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E48F09" w14:textId="1A28F59A" w:rsidR="006E0A2C" w:rsidRPr="00D9348B" w:rsidRDefault="00DA6C03" w:rsidP="006E0A2C">
      <w:pPr>
        <w:rPr>
          <w:rFonts w:cs="Calibri"/>
        </w:rPr>
      </w:pPr>
      <w:r>
        <w:rPr>
          <w:noProof/>
        </w:rPr>
        <w:pict w14:anchorId="5F09E8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71" type="#_x0000_t75" style="position:absolute;margin-left:-70.65pt;margin-top:-291pt;width:594.3pt;height:848.8pt;z-index:4;mso-position-horizontal-relative:text;mso-position-vertical-relative:text">
            <v:imagedata r:id="rId8" o:title="Greenhouse Gas Inventory report_cover"/>
          </v:shape>
        </w:pict>
      </w:r>
    </w:p>
    <w:p w14:paraId="3E5028BB" w14:textId="77777777" w:rsidR="006E0A2C" w:rsidRPr="00D9348B" w:rsidRDefault="006E0A2C" w:rsidP="006E0A2C">
      <w:pPr>
        <w:rPr>
          <w:rFonts w:cs="Calibri"/>
        </w:rPr>
        <w:sectPr w:rsidR="006E0A2C" w:rsidRPr="00D9348B" w:rsidSect="00872795">
          <w:headerReference w:type="default" r:id="rId9"/>
          <w:footerReference w:type="default" r:id="rId10"/>
          <w:pgSz w:w="11907" w:h="16840" w:code="9"/>
          <w:pgMar w:top="5670" w:right="1418" w:bottom="1701" w:left="1418" w:header="567" w:footer="567" w:gutter="0"/>
          <w:cols w:space="720"/>
        </w:sectPr>
      </w:pPr>
    </w:p>
    <w:p w14:paraId="24376D52" w14:textId="0D87A024" w:rsidR="0096512C" w:rsidRPr="00D9348B" w:rsidRDefault="0096512C" w:rsidP="0018246B">
      <w:pPr>
        <w:pStyle w:val="Imprint"/>
        <w:jc w:val="left"/>
        <w:rPr>
          <w:rFonts w:cs="Calibri"/>
        </w:rPr>
      </w:pPr>
      <w:r w:rsidRPr="00D9348B">
        <w:rPr>
          <w:rFonts w:cs="Calibri"/>
        </w:rPr>
        <w:lastRenderedPageBreak/>
        <w:t xml:space="preserve">Submitted to the United Nations </w:t>
      </w:r>
      <w:r w:rsidRPr="00D9348B">
        <w:rPr>
          <w:rFonts w:cs="Calibri"/>
        </w:rPr>
        <w:br/>
        <w:t>Framework Convention on Climate Change</w:t>
      </w:r>
      <w:r w:rsidRPr="00D9348B">
        <w:rPr>
          <w:rFonts w:cs="Calibri"/>
        </w:rPr>
        <w:br/>
      </w:r>
      <w:r w:rsidR="0062172E">
        <w:rPr>
          <w:rFonts w:cs="Calibri"/>
        </w:rPr>
        <w:t xml:space="preserve">April </w:t>
      </w:r>
      <w:r w:rsidRPr="00D9348B">
        <w:rPr>
          <w:rFonts w:cs="Calibri"/>
        </w:rPr>
        <w:t>20</w:t>
      </w:r>
      <w:r w:rsidR="007A30E8" w:rsidRPr="00D9348B">
        <w:rPr>
          <w:rFonts w:cs="Calibri"/>
        </w:rPr>
        <w:t>20</w:t>
      </w:r>
    </w:p>
    <w:p w14:paraId="7D699F07" w14:textId="77777777" w:rsidR="0096512C" w:rsidRPr="00D9348B" w:rsidRDefault="0096512C" w:rsidP="0096512C">
      <w:pPr>
        <w:pStyle w:val="Imprint"/>
        <w:jc w:val="left"/>
        <w:rPr>
          <w:rFonts w:cs="Calibri"/>
        </w:rPr>
      </w:pPr>
      <w:r w:rsidRPr="00D9348B">
        <w:rPr>
          <w:rFonts w:cs="Calibri"/>
        </w:rPr>
        <w:t xml:space="preserve">Ministry for the Environment </w:t>
      </w:r>
      <w:r w:rsidRPr="00D9348B">
        <w:rPr>
          <w:rFonts w:cs="Calibri"/>
        </w:rPr>
        <w:br/>
        <w:t>Manatū Mō Te Taiao</w:t>
      </w:r>
      <w:r w:rsidRPr="00D9348B">
        <w:rPr>
          <w:rFonts w:cs="Calibri"/>
        </w:rPr>
        <w:br/>
        <w:t>PO Box 10-362, Wellington, New Zealand</w:t>
      </w:r>
    </w:p>
    <w:p w14:paraId="5806D13E" w14:textId="305D6CED" w:rsidR="0096512C" w:rsidRPr="00D9348B" w:rsidRDefault="0083531E" w:rsidP="004A39F8">
      <w:pPr>
        <w:pStyle w:val="Imprint"/>
        <w:tabs>
          <w:tab w:val="left" w:pos="709"/>
        </w:tabs>
        <w:spacing w:after="120"/>
        <w:jc w:val="left"/>
        <w:rPr>
          <w:rFonts w:cs="Calibri"/>
        </w:rPr>
      </w:pPr>
      <w:r>
        <w:rPr>
          <w:rFonts w:cs="Calibri"/>
        </w:rPr>
        <w:t xml:space="preserve">ISSN: </w:t>
      </w:r>
      <w:r w:rsidRPr="0083531E">
        <w:rPr>
          <w:rFonts w:cs="Calibri"/>
        </w:rPr>
        <w:t xml:space="preserve">1179-223X (electronic) </w:t>
      </w:r>
    </w:p>
    <w:p w14:paraId="16730F45" w14:textId="15CAFE4D" w:rsidR="00D651CA" w:rsidRPr="00D9348B" w:rsidRDefault="00D651CA" w:rsidP="00D651CA">
      <w:pPr>
        <w:pStyle w:val="BodyText"/>
      </w:pPr>
      <w:r w:rsidRPr="00D9348B">
        <w:t>Volume 1</w:t>
      </w:r>
      <w:r w:rsidR="00F33CE0">
        <w:t>,</w:t>
      </w:r>
      <w:r w:rsidRPr="00D9348B">
        <w:t xml:space="preserve"> chapters 1–15</w:t>
      </w:r>
    </w:p>
    <w:p w14:paraId="1896218D" w14:textId="7640C4C7" w:rsidR="0096512C" w:rsidRPr="00D9348B" w:rsidRDefault="0096512C" w:rsidP="004A39F8">
      <w:pPr>
        <w:pStyle w:val="Imprint"/>
        <w:tabs>
          <w:tab w:val="left" w:pos="709"/>
        </w:tabs>
        <w:spacing w:before="120"/>
        <w:jc w:val="left"/>
        <w:rPr>
          <w:rFonts w:cs="Calibri"/>
        </w:rPr>
      </w:pPr>
      <w:r w:rsidRPr="00D9348B">
        <w:rPr>
          <w:rFonts w:cs="Calibri"/>
        </w:rPr>
        <w:t xml:space="preserve">Publication number: </w:t>
      </w:r>
      <w:r w:rsidR="0083531E">
        <w:rPr>
          <w:rFonts w:cs="Calibri"/>
        </w:rPr>
        <w:t>ME 1496</w:t>
      </w:r>
    </w:p>
    <w:p w14:paraId="5291D286" w14:textId="77777777" w:rsidR="006E0A2C" w:rsidRPr="00D9348B" w:rsidRDefault="007165CF" w:rsidP="00AD184B">
      <w:pPr>
        <w:rPr>
          <w:rFonts w:cs="Calibri"/>
        </w:rPr>
      </w:pPr>
      <w:r>
        <w:rPr>
          <w:rFonts w:cs="Calibri"/>
        </w:rPr>
        <w:pict w14:anchorId="443AFDE6">
          <v:shape id="_x0000_i1025" type="#_x0000_t75" style="width:201.6pt;height:63.85pt" fillcolor="window">
            <v:imagedata r:id="rId11" o:title="BW_Logo"/>
          </v:shape>
        </w:pict>
      </w:r>
    </w:p>
    <w:p w14:paraId="3F463047" w14:textId="77777777" w:rsidR="006E0A2C" w:rsidRPr="00D9348B" w:rsidRDefault="006E0A2C" w:rsidP="006E0A2C">
      <w:pPr>
        <w:rPr>
          <w:rFonts w:cs="Calibri"/>
        </w:rPr>
        <w:sectPr w:rsidR="006E0A2C" w:rsidRPr="00D9348B" w:rsidSect="0018246B">
          <w:headerReference w:type="default" r:id="rId12"/>
          <w:footerReference w:type="default" r:id="rId13"/>
          <w:pgSz w:w="11907" w:h="16840" w:code="9"/>
          <w:pgMar w:top="10206" w:right="1418" w:bottom="1701" w:left="1418" w:header="567" w:footer="567" w:gutter="0"/>
          <w:pgNumType w:fmt="lowerRoman"/>
          <w:cols w:space="720"/>
        </w:sectPr>
      </w:pPr>
    </w:p>
    <w:p w14:paraId="379B389F" w14:textId="0CC3608C" w:rsidR="007575A8" w:rsidRPr="00D9348B" w:rsidRDefault="007575A8" w:rsidP="007575A8">
      <w:pPr>
        <w:pStyle w:val="Heading1"/>
      </w:pPr>
      <w:bookmarkStart w:id="0" w:name="_Toc451345933"/>
      <w:bookmarkStart w:id="1" w:name="_Toc482790670"/>
      <w:bookmarkStart w:id="2" w:name="_Toc511116554"/>
      <w:bookmarkStart w:id="3" w:name="_Toc5269316"/>
      <w:bookmarkStart w:id="4" w:name="_Toc36224354"/>
      <w:r w:rsidRPr="00D9348B">
        <w:lastRenderedPageBreak/>
        <w:t>Acknowledgements</w:t>
      </w:r>
      <w:bookmarkEnd w:id="0"/>
      <w:bookmarkEnd w:id="1"/>
      <w:bookmarkEnd w:id="2"/>
      <w:bookmarkEnd w:id="3"/>
      <w:bookmarkEnd w:id="4"/>
    </w:p>
    <w:p w14:paraId="03E77A82" w14:textId="6CCF25F7" w:rsidR="00F83362" w:rsidRPr="009E083D" w:rsidRDefault="00F83362" w:rsidP="00F83362">
      <w:pPr>
        <w:spacing w:before="120"/>
        <w:rPr>
          <w:bCs/>
        </w:rPr>
      </w:pPr>
      <w:r w:rsidRPr="009E083D">
        <w:rPr>
          <w:bCs/>
        </w:rPr>
        <w:t>The Ministry for the Environment thanks and acknowledges the many experts from central and</w:t>
      </w:r>
      <w:r w:rsidR="009E083D">
        <w:rPr>
          <w:bCs/>
        </w:rPr>
        <w:t> </w:t>
      </w:r>
      <w:r w:rsidRPr="009E083D">
        <w:rPr>
          <w:bCs/>
        </w:rPr>
        <w:t>local government agencies, industry, and science organisations who contributed to the development of this inventory.</w:t>
      </w:r>
    </w:p>
    <w:p w14:paraId="62536D85" w14:textId="77777777" w:rsidR="00F83362" w:rsidRPr="00D9348B" w:rsidRDefault="00F83362" w:rsidP="00F83362">
      <w:pPr>
        <w:pStyle w:val="Heading6"/>
      </w:pPr>
      <w:r w:rsidRPr="00D9348B">
        <w:t>Key contributors</w:t>
      </w:r>
    </w:p>
    <w:p w14:paraId="359D6C2C" w14:textId="77777777" w:rsidR="00F83362" w:rsidRPr="00D9348B" w:rsidRDefault="00F83362" w:rsidP="00F83362">
      <w:pPr>
        <w:spacing w:before="200"/>
        <w:rPr>
          <w:b/>
          <w:i/>
        </w:rPr>
      </w:pPr>
      <w:r w:rsidRPr="00D9348B">
        <w:rPr>
          <w:b/>
          <w:i/>
        </w:rPr>
        <w:t xml:space="preserve">Ministry for the Environment </w:t>
      </w:r>
    </w:p>
    <w:p w14:paraId="734B9A30" w14:textId="3E48EF4D" w:rsidR="00F83362" w:rsidRPr="00D9348B" w:rsidRDefault="00F83362" w:rsidP="00F83362">
      <w:pPr>
        <w:spacing w:before="80"/>
      </w:pPr>
      <w:r w:rsidRPr="00D9348B">
        <w:t>Bridget McNeill (National Inventory Focal Point, national inventory compilation, cross</w:t>
      </w:r>
      <w:r w:rsidRPr="00D9348B">
        <w:noBreakHyphen/>
        <w:t>sector analyses)</w:t>
      </w:r>
    </w:p>
    <w:p w14:paraId="36672B35" w14:textId="415BDBAC" w:rsidR="00F83362" w:rsidRPr="00D9348B" w:rsidRDefault="00F83362" w:rsidP="00F83362">
      <w:pPr>
        <w:spacing w:before="80"/>
      </w:pPr>
      <w:r w:rsidRPr="00D9348B">
        <w:t xml:space="preserve">Heather Martindale and Daniel Lawrence (Land Use, </w:t>
      </w:r>
      <w:r w:rsidR="00EA7212">
        <w:t>Land-U</w:t>
      </w:r>
      <w:r w:rsidR="00766DDA">
        <w:t>se</w:t>
      </w:r>
      <w:r w:rsidRPr="00D9348B">
        <w:t xml:space="preserve"> Change and Forestry (LULUCF) and Kyoto Protocol (KP-LULUCF))</w:t>
      </w:r>
    </w:p>
    <w:p w14:paraId="2EF16F30" w14:textId="77777777" w:rsidR="00F83362" w:rsidRPr="00D9348B" w:rsidRDefault="00F83362" w:rsidP="00F83362">
      <w:pPr>
        <w:spacing w:before="80"/>
      </w:pPr>
      <w:r w:rsidRPr="00D9348B">
        <w:t>Chris Bean (Waste, Tokelau, cross-sector analyses)</w:t>
      </w:r>
    </w:p>
    <w:p w14:paraId="7F436398" w14:textId="77777777" w:rsidR="00F83362" w:rsidRPr="00D9348B" w:rsidRDefault="00F83362" w:rsidP="00F83362">
      <w:pPr>
        <w:spacing w:before="80"/>
        <w:rPr>
          <w:b/>
        </w:rPr>
      </w:pPr>
      <w:r w:rsidRPr="00D9348B">
        <w:t>Ted Jamieson</w:t>
      </w:r>
      <w:r w:rsidRPr="00D9348B">
        <w:rPr>
          <w:i/>
        </w:rPr>
        <w:t xml:space="preserve"> </w:t>
      </w:r>
      <w:r w:rsidRPr="00D9348B">
        <w:t>(Industrial Processes and Product Use (IPPU))</w:t>
      </w:r>
    </w:p>
    <w:p w14:paraId="5750B248" w14:textId="77777777" w:rsidR="00F83362" w:rsidRPr="00D9348B" w:rsidRDefault="00F83362" w:rsidP="00F83362">
      <w:pPr>
        <w:spacing w:before="80"/>
      </w:pPr>
      <w:r w:rsidRPr="00D9348B">
        <w:t>Helen Plume (Primary reviewer: cross-sector analyses, general advice and guidance)</w:t>
      </w:r>
    </w:p>
    <w:p w14:paraId="4DD45BEE" w14:textId="737F55B2" w:rsidR="00F83362" w:rsidRPr="00D9348B" w:rsidRDefault="00F83362" w:rsidP="00F83362">
      <w:pPr>
        <w:spacing w:before="80"/>
      </w:pPr>
      <w:r w:rsidRPr="00D9348B">
        <w:t>Zavia Hands-Smith (QA/QC: IPPU, Waste, Tokelau, cross-sector analyses)</w:t>
      </w:r>
    </w:p>
    <w:p w14:paraId="66D7A940" w14:textId="77777777" w:rsidR="00F83362" w:rsidRPr="00D9348B" w:rsidRDefault="00F83362" w:rsidP="00F83362">
      <w:pPr>
        <w:spacing w:before="80"/>
      </w:pPr>
      <w:r w:rsidRPr="00D9348B">
        <w:t>Ivan Chirino-Valle (QA/QC: IPPU, Waste, cross-sector analyses)</w:t>
      </w:r>
    </w:p>
    <w:p w14:paraId="7A84FCC0" w14:textId="5BF2C2C3" w:rsidR="00F83362" w:rsidRPr="00D9348B" w:rsidRDefault="00F83362" w:rsidP="00F83362">
      <w:pPr>
        <w:spacing w:before="80"/>
      </w:pPr>
      <w:r w:rsidRPr="00D9348B">
        <w:t>Robert McClean, Antony Gomez, Caterina Joseph, Emily Dunning, Nigel Searles and Roger</w:t>
      </w:r>
      <w:r w:rsidR="001A5998" w:rsidRPr="00D9348B">
        <w:t> </w:t>
      </w:r>
      <w:r w:rsidRPr="00D9348B">
        <w:t>Lincoln (general advice and guidance)</w:t>
      </w:r>
    </w:p>
    <w:p w14:paraId="5AE13F4B" w14:textId="77777777" w:rsidR="00F83362" w:rsidRPr="00D9348B" w:rsidRDefault="00F83362" w:rsidP="00F83362">
      <w:pPr>
        <w:spacing w:before="200"/>
        <w:rPr>
          <w:b/>
          <w:i/>
        </w:rPr>
      </w:pPr>
      <w:r w:rsidRPr="00D9348B">
        <w:rPr>
          <w:b/>
          <w:i/>
        </w:rPr>
        <w:t>Ministry for Primary Industries</w:t>
      </w:r>
    </w:p>
    <w:p w14:paraId="0E460FAB" w14:textId="77777777" w:rsidR="00F83362" w:rsidRPr="00D9348B" w:rsidRDefault="00F83362" w:rsidP="00F83362">
      <w:pPr>
        <w:spacing w:before="80"/>
        <w:rPr>
          <w:iCs/>
        </w:rPr>
      </w:pPr>
      <w:r w:rsidRPr="00D9348B">
        <w:t>Joel Gibbs, Run Qing Tong, Hazelle Tomlin and Jamie Ash (Agriculture)</w:t>
      </w:r>
    </w:p>
    <w:p w14:paraId="30D3CA6B" w14:textId="67966043" w:rsidR="00F83362" w:rsidRPr="00D9348B" w:rsidRDefault="00F83362" w:rsidP="00F83362">
      <w:pPr>
        <w:spacing w:before="200"/>
        <w:rPr>
          <w:b/>
          <w:i/>
        </w:rPr>
      </w:pPr>
      <w:r w:rsidRPr="00D9348B">
        <w:rPr>
          <w:b/>
          <w:i/>
        </w:rPr>
        <w:t xml:space="preserve">Ministry </w:t>
      </w:r>
      <w:r w:rsidR="00C74E89" w:rsidRPr="00D9348B">
        <w:rPr>
          <w:b/>
          <w:i/>
        </w:rPr>
        <w:t>of</w:t>
      </w:r>
      <w:r w:rsidRPr="00D9348B">
        <w:rPr>
          <w:b/>
          <w:i/>
        </w:rPr>
        <w:t xml:space="preserve"> Business, Innovation and Employment</w:t>
      </w:r>
    </w:p>
    <w:p w14:paraId="480946A8" w14:textId="77777777" w:rsidR="00F83362" w:rsidRPr="00D9348B" w:rsidRDefault="00F83362" w:rsidP="00F83362">
      <w:pPr>
        <w:spacing w:before="80"/>
      </w:pPr>
      <w:r w:rsidRPr="00D9348B">
        <w:t>Michael Smith and Jan-Ives Ruzicka (Energy, IPPU: CO</w:t>
      </w:r>
      <w:r w:rsidRPr="00D9348B">
        <w:rPr>
          <w:vertAlign w:val="subscript"/>
        </w:rPr>
        <w:t>2</w:t>
      </w:r>
      <w:r w:rsidRPr="00D9348B">
        <w:t>)</w:t>
      </w:r>
    </w:p>
    <w:p w14:paraId="26E8886E" w14:textId="77777777" w:rsidR="00F83362" w:rsidRPr="00D9348B" w:rsidRDefault="00F83362" w:rsidP="00F83362">
      <w:pPr>
        <w:spacing w:before="80"/>
      </w:pPr>
      <w:r w:rsidRPr="00D9348B">
        <w:t>Bryan Field (QA/QC: Energy)</w:t>
      </w:r>
    </w:p>
    <w:p w14:paraId="41C69EEE" w14:textId="77777777" w:rsidR="00F83362" w:rsidRPr="00D9348B" w:rsidRDefault="00F83362" w:rsidP="00F83362">
      <w:pPr>
        <w:spacing w:before="200"/>
        <w:rPr>
          <w:b/>
          <w:i/>
        </w:rPr>
      </w:pPr>
      <w:r w:rsidRPr="00D9348B">
        <w:rPr>
          <w:b/>
          <w:i/>
        </w:rPr>
        <w:t>Environmental Protection Authority</w:t>
      </w:r>
    </w:p>
    <w:p w14:paraId="7BCBE86C" w14:textId="77777777" w:rsidR="00F83362" w:rsidRPr="00D9348B" w:rsidRDefault="00F83362" w:rsidP="00F83362">
      <w:pPr>
        <w:spacing w:before="80"/>
      </w:pPr>
      <w:r w:rsidRPr="00D9348B">
        <w:t>Dave Stuart and Melissa Ho (National Registry)</w:t>
      </w:r>
    </w:p>
    <w:p w14:paraId="58A080E0" w14:textId="77777777" w:rsidR="00F83362" w:rsidRPr="00D9348B" w:rsidRDefault="00F83362" w:rsidP="00F83362">
      <w:pPr>
        <w:spacing w:before="80"/>
      </w:pPr>
      <w:r w:rsidRPr="00D9348B">
        <w:t>Dave Hodson (National Registry, QA/QC: IPPU)</w:t>
      </w:r>
    </w:p>
    <w:p w14:paraId="207D0524" w14:textId="77777777" w:rsidR="00F83362" w:rsidRPr="00D9348B" w:rsidRDefault="00F83362" w:rsidP="00F83362">
      <w:pPr>
        <w:spacing w:before="200"/>
        <w:rPr>
          <w:b/>
          <w:bCs/>
          <w:i/>
          <w:iCs/>
        </w:rPr>
      </w:pPr>
      <w:r w:rsidRPr="00D9348B">
        <w:rPr>
          <w:b/>
          <w:bCs/>
          <w:i/>
          <w:iCs/>
        </w:rPr>
        <w:t>Ministry of Foreign Affairs and Trade</w:t>
      </w:r>
    </w:p>
    <w:p w14:paraId="773B01E7" w14:textId="77777777" w:rsidR="00F83362" w:rsidRPr="00D9348B" w:rsidRDefault="00F83362" w:rsidP="00F83362">
      <w:pPr>
        <w:spacing w:before="80"/>
      </w:pPr>
      <w:r w:rsidRPr="00D9348B">
        <w:t>Victoria Thomson and Paul Alexander (Information on Minimisation of Adverse Impacts)</w:t>
      </w:r>
    </w:p>
    <w:p w14:paraId="2DC4F43A" w14:textId="77777777" w:rsidR="00F83362" w:rsidRPr="00D9348B" w:rsidRDefault="00F83362" w:rsidP="00F83362">
      <w:pPr>
        <w:spacing w:before="80"/>
      </w:pPr>
      <w:r w:rsidRPr="00D9348B">
        <w:t>Daniel Eyre (QA/QC: Information on Minimisation of Adverse Impacts)</w:t>
      </w:r>
    </w:p>
    <w:p w14:paraId="77DA31E7" w14:textId="77777777" w:rsidR="00F83362" w:rsidRPr="00D9348B" w:rsidRDefault="00F83362" w:rsidP="00F83362">
      <w:pPr>
        <w:spacing w:before="200"/>
        <w:rPr>
          <w:b/>
          <w:i/>
        </w:rPr>
      </w:pPr>
      <w:r w:rsidRPr="00D9348B">
        <w:rPr>
          <w:b/>
          <w:i/>
        </w:rPr>
        <w:t>Other sector (Tokelau)</w:t>
      </w:r>
    </w:p>
    <w:p w14:paraId="08B96D26" w14:textId="77777777" w:rsidR="00F83362" w:rsidRPr="00D9348B" w:rsidRDefault="00F83362" w:rsidP="00F83362">
      <w:pPr>
        <w:spacing w:before="80"/>
      </w:pPr>
      <w:r w:rsidRPr="00D9348B">
        <w:t>Jaap Jasperse (formerly) Tokelau National Statistics Office</w:t>
      </w:r>
    </w:p>
    <w:p w14:paraId="4C9CF297" w14:textId="77777777" w:rsidR="00F83362" w:rsidRPr="00D9348B" w:rsidRDefault="00F83362" w:rsidP="00F83362">
      <w:pPr>
        <w:spacing w:before="80"/>
      </w:pPr>
      <w:r w:rsidRPr="00D9348B">
        <w:t>Paula Faiva, Tokelau Ministry for Climate, Oceans and Resilience (peer review, general advice and guidance)</w:t>
      </w:r>
    </w:p>
    <w:p w14:paraId="3C137601" w14:textId="5C1FEFB4" w:rsidR="00F83362" w:rsidRPr="00D9348B" w:rsidRDefault="00F83362" w:rsidP="00F83362">
      <w:pPr>
        <w:spacing w:before="80"/>
      </w:pPr>
      <w:r w:rsidRPr="00D9348B">
        <w:t>Penehuro Lefale, LeA International (peer</w:t>
      </w:r>
      <w:r w:rsidR="001469A6" w:rsidRPr="00D9348B">
        <w:t xml:space="preserve"> </w:t>
      </w:r>
      <w:r w:rsidRPr="00D9348B">
        <w:t>review, general advice and guidance)</w:t>
      </w:r>
    </w:p>
    <w:p w14:paraId="51A2D476" w14:textId="77777777" w:rsidR="00F83362" w:rsidRPr="00D9348B" w:rsidRDefault="00F83362" w:rsidP="00F83362">
      <w:pPr>
        <w:keepNext/>
        <w:spacing w:before="240" w:after="120"/>
        <w:outlineLvl w:val="5"/>
        <w:rPr>
          <w:b/>
          <w:iCs/>
        </w:rPr>
      </w:pPr>
      <w:r w:rsidRPr="00D9348B">
        <w:rPr>
          <w:b/>
          <w:iCs/>
        </w:rPr>
        <w:lastRenderedPageBreak/>
        <w:t>Technical contributors and contracted specialists</w:t>
      </w:r>
    </w:p>
    <w:p w14:paraId="6EBD935F" w14:textId="77777777" w:rsidR="00F83362" w:rsidRPr="00D9348B" w:rsidRDefault="00F83362" w:rsidP="007253D6">
      <w:pPr>
        <w:keepNext/>
        <w:spacing w:before="80"/>
        <w:rPr>
          <w:b/>
          <w:i/>
        </w:rPr>
      </w:pPr>
      <w:r w:rsidRPr="00D9348B">
        <w:rPr>
          <w:b/>
          <w:i/>
        </w:rPr>
        <w:t>National compilation and cross-sector analyses</w:t>
      </w:r>
    </w:p>
    <w:p w14:paraId="79CBA1EA" w14:textId="77777777" w:rsidR="00F83362" w:rsidRPr="00D9348B" w:rsidRDefault="00F83362" w:rsidP="00F83362">
      <w:pPr>
        <w:spacing w:before="80"/>
      </w:pPr>
      <w:r w:rsidRPr="00D9348B">
        <w:t>Olia Glade (Greenhouse Gas Management Institute)</w:t>
      </w:r>
    </w:p>
    <w:p w14:paraId="140F7856" w14:textId="77777777" w:rsidR="00F83362" w:rsidRPr="00D9348B" w:rsidRDefault="00F83362" w:rsidP="00F83362">
      <w:pPr>
        <w:spacing w:before="200"/>
        <w:rPr>
          <w:b/>
          <w:i/>
        </w:rPr>
      </w:pPr>
      <w:r w:rsidRPr="00D9348B">
        <w:rPr>
          <w:b/>
          <w:i/>
        </w:rPr>
        <w:t>Industrial Processes and Product Use sector</w:t>
      </w:r>
    </w:p>
    <w:p w14:paraId="30882521" w14:textId="77777777" w:rsidR="00F83362" w:rsidRPr="00D9348B" w:rsidRDefault="00F83362" w:rsidP="00F83362">
      <w:pPr>
        <w:spacing w:before="80"/>
      </w:pPr>
      <w:r w:rsidRPr="00D9348B">
        <w:t>Wayne Hennessy (Verum Group)</w:t>
      </w:r>
    </w:p>
    <w:p w14:paraId="72052B11" w14:textId="77777777" w:rsidR="00F83362" w:rsidRPr="00D9348B" w:rsidRDefault="00F83362" w:rsidP="00F83362">
      <w:pPr>
        <w:keepNext/>
        <w:spacing w:before="200"/>
        <w:rPr>
          <w:b/>
          <w:bCs/>
          <w:i/>
          <w:iCs/>
        </w:rPr>
      </w:pPr>
      <w:r w:rsidRPr="00D9348B">
        <w:rPr>
          <w:b/>
          <w:i/>
        </w:rPr>
        <w:t xml:space="preserve">Agriculture sector </w:t>
      </w:r>
    </w:p>
    <w:p w14:paraId="4B522156" w14:textId="13D9A938" w:rsidR="00F83362" w:rsidRPr="00D9348B" w:rsidRDefault="00F83362" w:rsidP="00AF3CC3">
      <w:pPr>
        <w:spacing w:before="80"/>
        <w:rPr>
          <w:rFonts w:eastAsia="Calibri"/>
        </w:rPr>
      </w:pPr>
      <w:r w:rsidRPr="00D9348B">
        <w:rPr>
          <w:rFonts w:eastAsia="Calibri"/>
        </w:rPr>
        <w:t>Harry Clark (New Zealand Agricultural Greenhouse Gas Research Centre), Surinder Saggar (Manaaki Whenua – Landcare Research), Tony van der Weerden, Vicki Burggraaf and Mike</w:t>
      </w:r>
      <w:r w:rsidR="001A5998" w:rsidRPr="00D9348B">
        <w:rPr>
          <w:rFonts w:eastAsia="Calibri"/>
        </w:rPr>
        <w:t> </w:t>
      </w:r>
      <w:r w:rsidRPr="00D9348B">
        <w:rPr>
          <w:rFonts w:eastAsia="Calibri"/>
        </w:rPr>
        <w:t>Rollo (AgResearch)</w:t>
      </w:r>
    </w:p>
    <w:p w14:paraId="28D5CB51" w14:textId="77777777" w:rsidR="00F83362" w:rsidRPr="00D9348B" w:rsidRDefault="00F83362" w:rsidP="00F83362">
      <w:pPr>
        <w:spacing w:before="80"/>
        <w:rPr>
          <w:rFonts w:eastAsia="Calibri"/>
        </w:rPr>
      </w:pPr>
      <w:r w:rsidRPr="00D9348B">
        <w:rPr>
          <w:rFonts w:eastAsia="Calibri"/>
        </w:rPr>
        <w:t>Gerald Rys, Darran Austin, Hayden Montgomery, Mele Tabukovu, Delvina Gorton, David Kenrick, Rachel Cooper, HanLing Petredean and Nicki Ablitt (Ministry for Primary Industries)</w:t>
      </w:r>
    </w:p>
    <w:p w14:paraId="2CE5AB8F" w14:textId="5A9E38D7" w:rsidR="00F83362" w:rsidRPr="00D9348B" w:rsidRDefault="00F83362" w:rsidP="007253D6">
      <w:pPr>
        <w:pStyle w:val="BodyText"/>
        <w:spacing w:before="200" w:after="0"/>
      </w:pPr>
      <w:r w:rsidRPr="00D9348B">
        <w:rPr>
          <w:b/>
          <w:i/>
        </w:rPr>
        <w:t xml:space="preserve">Land Use, </w:t>
      </w:r>
      <w:r w:rsidR="00EA7212">
        <w:rPr>
          <w:b/>
          <w:i/>
        </w:rPr>
        <w:t>Land-U</w:t>
      </w:r>
      <w:r w:rsidR="00766DDA">
        <w:rPr>
          <w:b/>
          <w:i/>
        </w:rPr>
        <w:t>se</w:t>
      </w:r>
      <w:r w:rsidRPr="00D9348B">
        <w:rPr>
          <w:b/>
          <w:i/>
        </w:rPr>
        <w:t xml:space="preserve"> Change and Forestry sector (LULUCF) and Kyoto Protocol – LULUCF</w:t>
      </w:r>
    </w:p>
    <w:p w14:paraId="01F34B38" w14:textId="77777777" w:rsidR="00F83362" w:rsidRPr="00D9348B" w:rsidRDefault="00F83362" w:rsidP="007253D6">
      <w:pPr>
        <w:spacing w:before="80"/>
        <w:rPr>
          <w:rFonts w:eastAsia="Calibri"/>
        </w:rPr>
      </w:pPr>
      <w:r w:rsidRPr="00D9348B">
        <w:rPr>
          <w:rFonts w:eastAsia="Calibri"/>
        </w:rPr>
        <w:t>Deborah Burgess, Charlie Clark, Asher Cook, Michael Cooper, Rachel Innes and Nigel Searles (Ministry for the Environment), Craig Elvidge (Ministry for Primary Industries)</w:t>
      </w:r>
    </w:p>
    <w:p w14:paraId="2E512BB7" w14:textId="77777777" w:rsidR="00F83362" w:rsidRPr="00D9348B" w:rsidRDefault="00F83362" w:rsidP="007253D6">
      <w:pPr>
        <w:spacing w:before="200"/>
        <w:rPr>
          <w:b/>
          <w:i/>
        </w:rPr>
      </w:pPr>
      <w:r w:rsidRPr="00D9348B">
        <w:rPr>
          <w:b/>
          <w:i/>
        </w:rPr>
        <w:t>Waste sector</w:t>
      </w:r>
    </w:p>
    <w:p w14:paraId="7B06D9ED" w14:textId="77777777" w:rsidR="00F83362" w:rsidRPr="00D9348B" w:rsidRDefault="00F83362" w:rsidP="007253D6">
      <w:pPr>
        <w:pStyle w:val="BodyText"/>
        <w:spacing w:before="80"/>
      </w:pPr>
      <w:r w:rsidRPr="00D9348B">
        <w:t>Nigel Donovan and Scott Gulliver (Ministry for the Environment)</w:t>
      </w:r>
    </w:p>
    <w:p w14:paraId="43DAD504" w14:textId="77777777" w:rsidR="00A641CA" w:rsidRPr="00D9348B" w:rsidRDefault="00A641CA" w:rsidP="007575A8">
      <w:pPr>
        <w:pStyle w:val="BodyText"/>
      </w:pPr>
    </w:p>
    <w:p w14:paraId="02E37783" w14:textId="77777777" w:rsidR="00D367F2" w:rsidRPr="00D9348B" w:rsidRDefault="00D367F2" w:rsidP="00D367F2">
      <w:pPr>
        <w:pStyle w:val="BodyText"/>
      </w:pPr>
    </w:p>
    <w:p w14:paraId="4306FA96" w14:textId="7DC82940" w:rsidR="00D367F2" w:rsidRPr="00D9348B" w:rsidRDefault="00D367F2" w:rsidP="00D367F2">
      <w:pPr>
        <w:pStyle w:val="BodyText"/>
        <w:sectPr w:rsidR="00D367F2" w:rsidRPr="00D9348B" w:rsidSect="007575A8">
          <w:headerReference w:type="even" r:id="rId14"/>
          <w:headerReference w:type="default" r:id="rId15"/>
          <w:footerReference w:type="even" r:id="rId16"/>
          <w:footerReference w:type="default" r:id="rId17"/>
          <w:pgSz w:w="11907" w:h="16840" w:code="9"/>
          <w:pgMar w:top="1418" w:right="1701" w:bottom="1418" w:left="1701" w:header="567" w:footer="567" w:gutter="0"/>
          <w:pgNumType w:fmt="lowerRoman"/>
          <w:cols w:space="720"/>
        </w:sectPr>
      </w:pPr>
    </w:p>
    <w:p w14:paraId="02B6E638" w14:textId="39C483F4" w:rsidR="006E0A2C" w:rsidRPr="00D9348B" w:rsidRDefault="006E0A2C" w:rsidP="00543478">
      <w:pPr>
        <w:pStyle w:val="ContentsHeading"/>
        <w:rPr>
          <w:rFonts w:cs="Calibri"/>
          <w:b w:val="0"/>
          <w:bCs w:val="0"/>
        </w:rPr>
      </w:pPr>
      <w:r w:rsidRPr="00D9348B">
        <w:rPr>
          <w:rFonts w:cs="Calibri"/>
          <w:b w:val="0"/>
          <w:bCs w:val="0"/>
        </w:rPr>
        <w:lastRenderedPageBreak/>
        <w:t>Contents</w:t>
      </w:r>
    </w:p>
    <w:p w14:paraId="0B48A6CD" w14:textId="303BD9CA" w:rsidR="003F123F" w:rsidRPr="00D9348B" w:rsidRDefault="000E5D1F">
      <w:pPr>
        <w:pStyle w:val="TOC1"/>
        <w:rPr>
          <w:noProof/>
          <w:sz w:val="22"/>
        </w:rPr>
      </w:pPr>
      <w:r w:rsidRPr="00D9348B">
        <w:rPr>
          <w:rFonts w:cs="Calibri"/>
          <w:sz w:val="28"/>
        </w:rPr>
        <w:fldChar w:fldCharType="begin"/>
      </w:r>
      <w:r w:rsidRPr="00D9348B">
        <w:rPr>
          <w:rFonts w:cs="Calibri"/>
          <w:sz w:val="28"/>
        </w:rPr>
        <w:instrText xml:space="preserve"> TOC \h \z \t "Heading 1,1,Heading 2,2" </w:instrText>
      </w:r>
      <w:r w:rsidRPr="00D9348B">
        <w:rPr>
          <w:rFonts w:cs="Calibri"/>
          <w:sz w:val="28"/>
        </w:rPr>
        <w:fldChar w:fldCharType="separate"/>
      </w:r>
      <w:hyperlink w:anchor="_Toc36224354" w:history="1">
        <w:r w:rsidR="003F123F" w:rsidRPr="00D9348B">
          <w:rPr>
            <w:rStyle w:val="Hyperlink"/>
            <w:noProof/>
          </w:rPr>
          <w:t>Acknowledgements</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_Toc36224354 \h </w:instrText>
        </w:r>
        <w:r w:rsidR="003F123F" w:rsidRPr="00D9348B">
          <w:rPr>
            <w:noProof/>
            <w:webHidden/>
          </w:rPr>
        </w:r>
        <w:r w:rsidR="003F123F" w:rsidRPr="00D9348B">
          <w:rPr>
            <w:noProof/>
            <w:webHidden/>
          </w:rPr>
          <w:fldChar w:fldCharType="separate"/>
        </w:r>
        <w:r w:rsidR="00950F0A">
          <w:rPr>
            <w:noProof/>
            <w:webHidden/>
          </w:rPr>
          <w:t>iii</w:t>
        </w:r>
        <w:r w:rsidR="003F123F" w:rsidRPr="00D9348B">
          <w:rPr>
            <w:noProof/>
            <w:webHidden/>
          </w:rPr>
          <w:fldChar w:fldCharType="end"/>
        </w:r>
      </w:hyperlink>
    </w:p>
    <w:p w14:paraId="7D33BA3F" w14:textId="5400AAD7" w:rsidR="003F123F" w:rsidRPr="00D9348B" w:rsidRDefault="00DA6C03">
      <w:pPr>
        <w:pStyle w:val="TOC1"/>
        <w:rPr>
          <w:noProof/>
          <w:sz w:val="22"/>
        </w:rPr>
      </w:pPr>
      <w:hyperlink w:anchor="_Toc36224355" w:history="1">
        <w:r w:rsidR="003F123F" w:rsidRPr="00D9348B">
          <w:rPr>
            <w:rStyle w:val="Hyperlink"/>
            <w:noProof/>
          </w:rPr>
          <w:t>Tables</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_Toc36224355 \h </w:instrText>
        </w:r>
        <w:r w:rsidR="003F123F" w:rsidRPr="00D9348B">
          <w:rPr>
            <w:noProof/>
            <w:webHidden/>
          </w:rPr>
        </w:r>
        <w:r w:rsidR="003F123F" w:rsidRPr="00D9348B">
          <w:rPr>
            <w:noProof/>
            <w:webHidden/>
          </w:rPr>
          <w:fldChar w:fldCharType="separate"/>
        </w:r>
        <w:r w:rsidR="00950F0A">
          <w:rPr>
            <w:noProof/>
            <w:webHidden/>
          </w:rPr>
          <w:t>ix</w:t>
        </w:r>
        <w:r w:rsidR="003F123F" w:rsidRPr="00D9348B">
          <w:rPr>
            <w:noProof/>
            <w:webHidden/>
          </w:rPr>
          <w:fldChar w:fldCharType="end"/>
        </w:r>
      </w:hyperlink>
    </w:p>
    <w:p w14:paraId="447CF06F" w14:textId="3B7D7859" w:rsidR="003F123F" w:rsidRPr="00D9348B" w:rsidRDefault="00DA6C03">
      <w:pPr>
        <w:pStyle w:val="TOC1"/>
        <w:rPr>
          <w:noProof/>
          <w:sz w:val="22"/>
        </w:rPr>
      </w:pPr>
      <w:hyperlink w:anchor="_Toc36224356" w:history="1">
        <w:r w:rsidR="003F123F" w:rsidRPr="00D9348B">
          <w:rPr>
            <w:rStyle w:val="Hyperlink"/>
            <w:noProof/>
          </w:rPr>
          <w:t>Figures</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_Toc36224356 \h </w:instrText>
        </w:r>
        <w:r w:rsidR="003F123F" w:rsidRPr="00D9348B">
          <w:rPr>
            <w:noProof/>
            <w:webHidden/>
          </w:rPr>
        </w:r>
        <w:r w:rsidR="003F123F" w:rsidRPr="00D9348B">
          <w:rPr>
            <w:noProof/>
            <w:webHidden/>
          </w:rPr>
          <w:fldChar w:fldCharType="separate"/>
        </w:r>
        <w:r w:rsidR="00950F0A">
          <w:rPr>
            <w:noProof/>
            <w:webHidden/>
          </w:rPr>
          <w:t>xvi</w:t>
        </w:r>
        <w:r w:rsidR="003F123F" w:rsidRPr="00D9348B">
          <w:rPr>
            <w:noProof/>
            <w:webHidden/>
          </w:rPr>
          <w:fldChar w:fldCharType="end"/>
        </w:r>
      </w:hyperlink>
    </w:p>
    <w:p w14:paraId="08209B62" w14:textId="04AC829B" w:rsidR="003F123F" w:rsidRPr="00D9348B" w:rsidRDefault="00DA6C03">
      <w:pPr>
        <w:pStyle w:val="TOC1"/>
        <w:rPr>
          <w:noProof/>
          <w:sz w:val="22"/>
        </w:rPr>
      </w:pPr>
      <w:hyperlink w:anchor="_Toc36224357" w:history="1">
        <w:r w:rsidR="003F123F" w:rsidRPr="00D9348B">
          <w:rPr>
            <w:rStyle w:val="Hyperlink"/>
            <w:noProof/>
          </w:rPr>
          <w:t>Abbreviations</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_Toc36224357 \h </w:instrText>
        </w:r>
        <w:r w:rsidR="003F123F" w:rsidRPr="00D9348B">
          <w:rPr>
            <w:noProof/>
            <w:webHidden/>
          </w:rPr>
        </w:r>
        <w:r w:rsidR="003F123F" w:rsidRPr="00D9348B">
          <w:rPr>
            <w:noProof/>
            <w:webHidden/>
          </w:rPr>
          <w:fldChar w:fldCharType="separate"/>
        </w:r>
        <w:r w:rsidR="00950F0A">
          <w:rPr>
            <w:noProof/>
            <w:webHidden/>
          </w:rPr>
          <w:t>xx</w:t>
        </w:r>
        <w:r w:rsidR="003F123F" w:rsidRPr="00D9348B">
          <w:rPr>
            <w:noProof/>
            <w:webHidden/>
          </w:rPr>
          <w:fldChar w:fldCharType="end"/>
        </w:r>
      </w:hyperlink>
    </w:p>
    <w:p w14:paraId="65F5B5E6" w14:textId="3DF42D93" w:rsidR="003F123F" w:rsidRPr="00D9348B" w:rsidRDefault="00DA6C03">
      <w:pPr>
        <w:pStyle w:val="TOC1"/>
        <w:rPr>
          <w:noProof/>
          <w:sz w:val="22"/>
        </w:rPr>
      </w:pPr>
      <w:hyperlink w:anchor="_Toc36224358" w:history="1">
        <w:r w:rsidR="003F123F" w:rsidRPr="00D9348B">
          <w:rPr>
            <w:rStyle w:val="Hyperlink"/>
            <w:noProof/>
          </w:rPr>
          <w:t>Executive summary</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_Toc36224358 \h </w:instrText>
        </w:r>
        <w:r w:rsidR="003F123F" w:rsidRPr="00D9348B">
          <w:rPr>
            <w:noProof/>
            <w:webHidden/>
          </w:rPr>
        </w:r>
        <w:r w:rsidR="003F123F" w:rsidRPr="00D9348B">
          <w:rPr>
            <w:noProof/>
            <w:webHidden/>
          </w:rPr>
          <w:fldChar w:fldCharType="separate"/>
        </w:r>
        <w:r w:rsidR="00950F0A">
          <w:rPr>
            <w:noProof/>
            <w:webHidden/>
          </w:rPr>
          <w:t>1</w:t>
        </w:r>
        <w:r w:rsidR="003F123F" w:rsidRPr="00D9348B">
          <w:rPr>
            <w:noProof/>
            <w:webHidden/>
          </w:rPr>
          <w:fldChar w:fldCharType="end"/>
        </w:r>
      </w:hyperlink>
    </w:p>
    <w:p w14:paraId="1E501458" w14:textId="2C097AF5" w:rsidR="003F123F" w:rsidRPr="00D9348B" w:rsidRDefault="00DA6C03">
      <w:pPr>
        <w:pStyle w:val="TOC2"/>
        <w:rPr>
          <w:noProof/>
          <w:sz w:val="22"/>
        </w:rPr>
      </w:pPr>
      <w:hyperlink w:anchor="_Toc36224359" w:history="1">
        <w:r w:rsidR="003F123F" w:rsidRPr="00D9348B">
          <w:rPr>
            <w:rStyle w:val="Hyperlink"/>
            <w:noProof/>
          </w:rPr>
          <w:t>ES.1</w:t>
        </w:r>
        <w:r w:rsidR="003F123F" w:rsidRPr="00D9348B">
          <w:rPr>
            <w:noProof/>
            <w:sz w:val="22"/>
          </w:rPr>
          <w:tab/>
        </w:r>
        <w:r w:rsidR="003F123F" w:rsidRPr="00D9348B">
          <w:rPr>
            <w:rStyle w:val="Hyperlink"/>
            <w:noProof/>
          </w:rPr>
          <w:t>Background</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_Toc36224359 \h </w:instrText>
        </w:r>
        <w:r w:rsidR="003F123F" w:rsidRPr="00D9348B">
          <w:rPr>
            <w:noProof/>
            <w:webHidden/>
          </w:rPr>
        </w:r>
        <w:r w:rsidR="003F123F" w:rsidRPr="00D9348B">
          <w:rPr>
            <w:noProof/>
            <w:webHidden/>
          </w:rPr>
          <w:fldChar w:fldCharType="separate"/>
        </w:r>
        <w:r w:rsidR="00950F0A">
          <w:rPr>
            <w:noProof/>
            <w:webHidden/>
          </w:rPr>
          <w:t>2</w:t>
        </w:r>
        <w:r w:rsidR="003F123F" w:rsidRPr="00D9348B">
          <w:rPr>
            <w:noProof/>
            <w:webHidden/>
          </w:rPr>
          <w:fldChar w:fldCharType="end"/>
        </w:r>
      </w:hyperlink>
    </w:p>
    <w:p w14:paraId="01293B01" w14:textId="7041EE73" w:rsidR="003F123F" w:rsidRPr="00D9348B" w:rsidRDefault="00DA6C03">
      <w:pPr>
        <w:pStyle w:val="TOC2"/>
        <w:rPr>
          <w:noProof/>
          <w:sz w:val="22"/>
        </w:rPr>
      </w:pPr>
      <w:hyperlink w:anchor="_Toc36224360" w:history="1">
        <w:r w:rsidR="003F123F" w:rsidRPr="00D9348B">
          <w:rPr>
            <w:rStyle w:val="Hyperlink"/>
            <w:noProof/>
          </w:rPr>
          <w:t>ES.2</w:t>
        </w:r>
        <w:r w:rsidR="003F123F" w:rsidRPr="00D9348B">
          <w:rPr>
            <w:noProof/>
            <w:sz w:val="22"/>
          </w:rPr>
          <w:tab/>
        </w:r>
        <w:r w:rsidR="003F123F" w:rsidRPr="00D9348B">
          <w:rPr>
            <w:rStyle w:val="Hyperlink"/>
            <w:noProof/>
          </w:rPr>
          <w:t>National trends</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_Toc36224360 \h </w:instrText>
        </w:r>
        <w:r w:rsidR="003F123F" w:rsidRPr="00D9348B">
          <w:rPr>
            <w:noProof/>
            <w:webHidden/>
          </w:rPr>
        </w:r>
        <w:r w:rsidR="003F123F" w:rsidRPr="00D9348B">
          <w:rPr>
            <w:noProof/>
            <w:webHidden/>
          </w:rPr>
          <w:fldChar w:fldCharType="separate"/>
        </w:r>
        <w:r w:rsidR="00950F0A">
          <w:rPr>
            <w:noProof/>
            <w:webHidden/>
          </w:rPr>
          <w:t>2</w:t>
        </w:r>
        <w:r w:rsidR="003F123F" w:rsidRPr="00D9348B">
          <w:rPr>
            <w:noProof/>
            <w:webHidden/>
          </w:rPr>
          <w:fldChar w:fldCharType="end"/>
        </w:r>
      </w:hyperlink>
    </w:p>
    <w:p w14:paraId="25C95055" w14:textId="250BC900" w:rsidR="003F123F" w:rsidRPr="00D9348B" w:rsidRDefault="00DA6C03">
      <w:pPr>
        <w:pStyle w:val="TOC2"/>
        <w:rPr>
          <w:noProof/>
          <w:sz w:val="22"/>
        </w:rPr>
      </w:pPr>
      <w:hyperlink w:anchor="_Toc36224361" w:history="1">
        <w:r w:rsidR="003F123F" w:rsidRPr="00D9348B">
          <w:rPr>
            <w:rStyle w:val="Hyperlink"/>
            <w:noProof/>
          </w:rPr>
          <w:t>ES.3</w:t>
        </w:r>
        <w:r w:rsidR="003F123F" w:rsidRPr="00D9348B">
          <w:rPr>
            <w:noProof/>
            <w:sz w:val="22"/>
          </w:rPr>
          <w:tab/>
        </w:r>
        <w:r w:rsidR="003F123F" w:rsidRPr="00D9348B">
          <w:rPr>
            <w:rStyle w:val="Hyperlink"/>
            <w:noProof/>
          </w:rPr>
          <w:t>Greenhouse gas trends</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_Toc36224361 \h </w:instrText>
        </w:r>
        <w:r w:rsidR="003F123F" w:rsidRPr="00D9348B">
          <w:rPr>
            <w:noProof/>
            <w:webHidden/>
          </w:rPr>
        </w:r>
        <w:r w:rsidR="003F123F" w:rsidRPr="00D9348B">
          <w:rPr>
            <w:noProof/>
            <w:webHidden/>
          </w:rPr>
          <w:fldChar w:fldCharType="separate"/>
        </w:r>
        <w:r w:rsidR="00950F0A">
          <w:rPr>
            <w:noProof/>
            <w:webHidden/>
          </w:rPr>
          <w:t>4</w:t>
        </w:r>
        <w:r w:rsidR="003F123F" w:rsidRPr="00D9348B">
          <w:rPr>
            <w:noProof/>
            <w:webHidden/>
          </w:rPr>
          <w:fldChar w:fldCharType="end"/>
        </w:r>
      </w:hyperlink>
    </w:p>
    <w:p w14:paraId="371BA4D9" w14:textId="6BC17D94" w:rsidR="003F123F" w:rsidRPr="00D9348B" w:rsidRDefault="00DA6C03">
      <w:pPr>
        <w:pStyle w:val="TOC2"/>
        <w:rPr>
          <w:noProof/>
          <w:sz w:val="22"/>
        </w:rPr>
      </w:pPr>
      <w:hyperlink w:anchor="_Toc36224362" w:history="1">
        <w:r w:rsidR="003F123F" w:rsidRPr="00D9348B">
          <w:rPr>
            <w:rStyle w:val="Hyperlink"/>
            <w:noProof/>
          </w:rPr>
          <w:t>ES.4</w:t>
        </w:r>
        <w:r w:rsidR="003F123F" w:rsidRPr="00D9348B">
          <w:rPr>
            <w:noProof/>
            <w:sz w:val="22"/>
          </w:rPr>
          <w:tab/>
        </w:r>
        <w:r w:rsidR="003F123F" w:rsidRPr="00D9348B">
          <w:rPr>
            <w:rStyle w:val="Hyperlink"/>
            <w:noProof/>
          </w:rPr>
          <w:t>Sector trends</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_Toc36224362 \h </w:instrText>
        </w:r>
        <w:r w:rsidR="003F123F" w:rsidRPr="00D9348B">
          <w:rPr>
            <w:noProof/>
            <w:webHidden/>
          </w:rPr>
        </w:r>
        <w:r w:rsidR="003F123F" w:rsidRPr="00D9348B">
          <w:rPr>
            <w:noProof/>
            <w:webHidden/>
          </w:rPr>
          <w:fldChar w:fldCharType="separate"/>
        </w:r>
        <w:r w:rsidR="00950F0A">
          <w:rPr>
            <w:noProof/>
            <w:webHidden/>
          </w:rPr>
          <w:t>7</w:t>
        </w:r>
        <w:r w:rsidR="003F123F" w:rsidRPr="00D9348B">
          <w:rPr>
            <w:noProof/>
            <w:webHidden/>
          </w:rPr>
          <w:fldChar w:fldCharType="end"/>
        </w:r>
      </w:hyperlink>
    </w:p>
    <w:p w14:paraId="3A8FE140" w14:textId="0B959AE2" w:rsidR="003F123F" w:rsidRPr="00D9348B" w:rsidRDefault="00DA6C03">
      <w:pPr>
        <w:pStyle w:val="TOC2"/>
        <w:rPr>
          <w:noProof/>
          <w:sz w:val="22"/>
        </w:rPr>
      </w:pPr>
      <w:hyperlink w:anchor="_Toc36224363" w:history="1">
        <w:r w:rsidR="003F123F" w:rsidRPr="00D9348B">
          <w:rPr>
            <w:rStyle w:val="Hyperlink"/>
            <w:noProof/>
          </w:rPr>
          <w:t xml:space="preserve">ES.5 </w:t>
        </w:r>
        <w:r w:rsidR="003F123F" w:rsidRPr="00D9348B">
          <w:rPr>
            <w:noProof/>
            <w:sz w:val="22"/>
          </w:rPr>
          <w:tab/>
        </w:r>
        <w:r w:rsidR="003F123F" w:rsidRPr="00D9348B">
          <w:rPr>
            <w:rStyle w:val="Hyperlink"/>
            <w:noProof/>
          </w:rPr>
          <w:t>Activities under Article 3.3 and Article 3.4 of the Kyoto Protocol (chapter 11)</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_Toc36224363 \h </w:instrText>
        </w:r>
        <w:r w:rsidR="003F123F" w:rsidRPr="00D9348B">
          <w:rPr>
            <w:noProof/>
            <w:webHidden/>
          </w:rPr>
        </w:r>
        <w:r w:rsidR="003F123F" w:rsidRPr="00D9348B">
          <w:rPr>
            <w:noProof/>
            <w:webHidden/>
          </w:rPr>
          <w:fldChar w:fldCharType="separate"/>
        </w:r>
        <w:r w:rsidR="00950F0A">
          <w:rPr>
            <w:noProof/>
            <w:webHidden/>
          </w:rPr>
          <w:t>14</w:t>
        </w:r>
        <w:r w:rsidR="003F123F" w:rsidRPr="00D9348B">
          <w:rPr>
            <w:noProof/>
            <w:webHidden/>
          </w:rPr>
          <w:fldChar w:fldCharType="end"/>
        </w:r>
      </w:hyperlink>
    </w:p>
    <w:p w14:paraId="3CC13043" w14:textId="2E0E7E51" w:rsidR="003F123F" w:rsidRPr="00D9348B" w:rsidRDefault="00DA6C03">
      <w:pPr>
        <w:pStyle w:val="TOC2"/>
        <w:rPr>
          <w:noProof/>
          <w:sz w:val="22"/>
        </w:rPr>
      </w:pPr>
      <w:hyperlink w:anchor="_Toc36224364" w:history="1">
        <w:r w:rsidR="003F123F" w:rsidRPr="00D9348B">
          <w:rPr>
            <w:rStyle w:val="Hyperlink"/>
            <w:noProof/>
          </w:rPr>
          <w:t>ES.6</w:t>
        </w:r>
        <w:r w:rsidR="003F123F" w:rsidRPr="00D9348B">
          <w:rPr>
            <w:noProof/>
            <w:sz w:val="22"/>
          </w:rPr>
          <w:tab/>
        </w:r>
        <w:r w:rsidR="003F123F" w:rsidRPr="00D9348B">
          <w:rPr>
            <w:rStyle w:val="Hyperlink"/>
            <w:noProof/>
          </w:rPr>
          <w:t>Improvements introduced</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_Toc36224364 \h </w:instrText>
        </w:r>
        <w:r w:rsidR="003F123F" w:rsidRPr="00D9348B">
          <w:rPr>
            <w:noProof/>
            <w:webHidden/>
          </w:rPr>
        </w:r>
        <w:r w:rsidR="003F123F" w:rsidRPr="00D9348B">
          <w:rPr>
            <w:noProof/>
            <w:webHidden/>
          </w:rPr>
          <w:fldChar w:fldCharType="separate"/>
        </w:r>
        <w:r w:rsidR="00950F0A">
          <w:rPr>
            <w:noProof/>
            <w:webHidden/>
          </w:rPr>
          <w:t>16</w:t>
        </w:r>
        <w:r w:rsidR="003F123F" w:rsidRPr="00D9348B">
          <w:rPr>
            <w:noProof/>
            <w:webHidden/>
          </w:rPr>
          <w:fldChar w:fldCharType="end"/>
        </w:r>
      </w:hyperlink>
    </w:p>
    <w:p w14:paraId="5A655647" w14:textId="06120388" w:rsidR="003F123F" w:rsidRPr="00D9348B" w:rsidRDefault="00DA6C03">
      <w:pPr>
        <w:pStyle w:val="TOC2"/>
        <w:rPr>
          <w:noProof/>
          <w:sz w:val="22"/>
        </w:rPr>
      </w:pPr>
      <w:hyperlink w:anchor="_Toc36224365" w:history="1">
        <w:r w:rsidR="003F123F" w:rsidRPr="00D9348B">
          <w:rPr>
            <w:rStyle w:val="Hyperlink"/>
            <w:noProof/>
          </w:rPr>
          <w:t>ES.7</w:t>
        </w:r>
        <w:r w:rsidR="003F123F" w:rsidRPr="00D9348B">
          <w:rPr>
            <w:noProof/>
            <w:sz w:val="22"/>
          </w:rPr>
          <w:tab/>
        </w:r>
        <w:r w:rsidR="003F123F" w:rsidRPr="00D9348B">
          <w:rPr>
            <w:rStyle w:val="Hyperlink"/>
            <w:noProof/>
          </w:rPr>
          <w:t>National registry (chapters 12 and 14)</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_Toc36224365 \h </w:instrText>
        </w:r>
        <w:r w:rsidR="003F123F" w:rsidRPr="00D9348B">
          <w:rPr>
            <w:noProof/>
            <w:webHidden/>
          </w:rPr>
        </w:r>
        <w:r w:rsidR="003F123F" w:rsidRPr="00D9348B">
          <w:rPr>
            <w:noProof/>
            <w:webHidden/>
          </w:rPr>
          <w:fldChar w:fldCharType="separate"/>
        </w:r>
        <w:r w:rsidR="00950F0A">
          <w:rPr>
            <w:noProof/>
            <w:webHidden/>
          </w:rPr>
          <w:t>18</w:t>
        </w:r>
        <w:r w:rsidR="003F123F" w:rsidRPr="00D9348B">
          <w:rPr>
            <w:noProof/>
            <w:webHidden/>
          </w:rPr>
          <w:fldChar w:fldCharType="end"/>
        </w:r>
      </w:hyperlink>
    </w:p>
    <w:p w14:paraId="7CABB6C2" w14:textId="3B75C0A1" w:rsidR="003F123F" w:rsidRPr="00D9348B" w:rsidRDefault="00DA6C03">
      <w:pPr>
        <w:pStyle w:val="TOC2"/>
        <w:rPr>
          <w:noProof/>
          <w:sz w:val="22"/>
        </w:rPr>
      </w:pPr>
      <w:hyperlink w:anchor="_Toc36224366" w:history="1">
        <w:r w:rsidR="003F123F" w:rsidRPr="00D9348B">
          <w:rPr>
            <w:rStyle w:val="Hyperlink"/>
            <w:noProof/>
          </w:rPr>
          <w:t>Executive summary: References</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_Toc36224366 \h </w:instrText>
        </w:r>
        <w:r w:rsidR="003F123F" w:rsidRPr="00D9348B">
          <w:rPr>
            <w:noProof/>
            <w:webHidden/>
          </w:rPr>
        </w:r>
        <w:r w:rsidR="003F123F" w:rsidRPr="00D9348B">
          <w:rPr>
            <w:noProof/>
            <w:webHidden/>
          </w:rPr>
          <w:fldChar w:fldCharType="separate"/>
        </w:r>
        <w:r w:rsidR="00950F0A">
          <w:rPr>
            <w:noProof/>
            <w:webHidden/>
          </w:rPr>
          <w:t>19</w:t>
        </w:r>
        <w:r w:rsidR="003F123F" w:rsidRPr="00D9348B">
          <w:rPr>
            <w:noProof/>
            <w:webHidden/>
          </w:rPr>
          <w:fldChar w:fldCharType="end"/>
        </w:r>
      </w:hyperlink>
    </w:p>
    <w:p w14:paraId="628F2FEE" w14:textId="2138B1C8" w:rsidR="003F123F" w:rsidRPr="00D9348B" w:rsidRDefault="00DA6C03">
      <w:pPr>
        <w:pStyle w:val="TOC1"/>
        <w:rPr>
          <w:noProof/>
          <w:sz w:val="22"/>
        </w:rPr>
      </w:pPr>
      <w:hyperlink w:anchor="_Toc36224367" w:history="1">
        <w:r w:rsidR="003F123F" w:rsidRPr="00D9348B">
          <w:rPr>
            <w:rStyle w:val="Hyperlink"/>
            <w:noProof/>
          </w:rPr>
          <w:t>Chapter 1: Introduction</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_Toc36224367 \h </w:instrText>
        </w:r>
        <w:r w:rsidR="003F123F" w:rsidRPr="00D9348B">
          <w:rPr>
            <w:noProof/>
            <w:webHidden/>
          </w:rPr>
        </w:r>
        <w:r w:rsidR="003F123F" w:rsidRPr="00D9348B">
          <w:rPr>
            <w:noProof/>
            <w:webHidden/>
          </w:rPr>
          <w:fldChar w:fldCharType="separate"/>
        </w:r>
        <w:r w:rsidR="00950F0A">
          <w:rPr>
            <w:noProof/>
            <w:webHidden/>
          </w:rPr>
          <w:t>20</w:t>
        </w:r>
        <w:r w:rsidR="003F123F" w:rsidRPr="00D9348B">
          <w:rPr>
            <w:noProof/>
            <w:webHidden/>
          </w:rPr>
          <w:fldChar w:fldCharType="end"/>
        </w:r>
      </w:hyperlink>
    </w:p>
    <w:p w14:paraId="2A2E9641" w14:textId="373C164C" w:rsidR="003F123F" w:rsidRPr="00D9348B" w:rsidRDefault="00DA6C03">
      <w:pPr>
        <w:pStyle w:val="TOC2"/>
        <w:rPr>
          <w:noProof/>
          <w:sz w:val="22"/>
        </w:rPr>
      </w:pPr>
      <w:hyperlink w:anchor="_Toc36224368" w:history="1">
        <w:r w:rsidR="003F123F" w:rsidRPr="00D9348B">
          <w:rPr>
            <w:rStyle w:val="Hyperlink"/>
            <w:noProof/>
          </w:rPr>
          <w:t>1.1</w:t>
        </w:r>
        <w:r w:rsidR="003F123F" w:rsidRPr="00D9348B">
          <w:rPr>
            <w:noProof/>
            <w:sz w:val="22"/>
          </w:rPr>
          <w:tab/>
        </w:r>
        <w:r w:rsidR="003F123F" w:rsidRPr="00D9348B">
          <w:rPr>
            <w:rStyle w:val="Hyperlink"/>
            <w:noProof/>
          </w:rPr>
          <w:t>Background</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_Toc36224368 \h </w:instrText>
        </w:r>
        <w:r w:rsidR="003F123F" w:rsidRPr="00D9348B">
          <w:rPr>
            <w:noProof/>
            <w:webHidden/>
          </w:rPr>
        </w:r>
        <w:r w:rsidR="003F123F" w:rsidRPr="00D9348B">
          <w:rPr>
            <w:noProof/>
            <w:webHidden/>
          </w:rPr>
          <w:fldChar w:fldCharType="separate"/>
        </w:r>
        <w:r w:rsidR="00950F0A">
          <w:rPr>
            <w:noProof/>
            <w:webHidden/>
          </w:rPr>
          <w:t>20</w:t>
        </w:r>
        <w:r w:rsidR="003F123F" w:rsidRPr="00D9348B">
          <w:rPr>
            <w:noProof/>
            <w:webHidden/>
          </w:rPr>
          <w:fldChar w:fldCharType="end"/>
        </w:r>
      </w:hyperlink>
    </w:p>
    <w:p w14:paraId="5846F874" w14:textId="076996B7" w:rsidR="003F123F" w:rsidRPr="00D9348B" w:rsidRDefault="00DA6C03">
      <w:pPr>
        <w:pStyle w:val="TOC2"/>
        <w:rPr>
          <w:noProof/>
          <w:sz w:val="22"/>
        </w:rPr>
      </w:pPr>
      <w:hyperlink w:anchor="_Toc36224369" w:history="1">
        <w:r w:rsidR="003F123F" w:rsidRPr="00D9348B">
          <w:rPr>
            <w:rStyle w:val="Hyperlink"/>
            <w:noProof/>
          </w:rPr>
          <w:t>1.2</w:t>
        </w:r>
        <w:r w:rsidR="003F123F" w:rsidRPr="00D9348B">
          <w:rPr>
            <w:noProof/>
            <w:sz w:val="22"/>
          </w:rPr>
          <w:tab/>
        </w:r>
        <w:r w:rsidR="003F123F" w:rsidRPr="00D9348B">
          <w:rPr>
            <w:rStyle w:val="Hyperlink"/>
            <w:noProof/>
          </w:rPr>
          <w:t>Description of the national inventory arrangements</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_Toc36224369 \h </w:instrText>
        </w:r>
        <w:r w:rsidR="003F123F" w:rsidRPr="00D9348B">
          <w:rPr>
            <w:noProof/>
            <w:webHidden/>
          </w:rPr>
        </w:r>
        <w:r w:rsidR="003F123F" w:rsidRPr="00D9348B">
          <w:rPr>
            <w:noProof/>
            <w:webHidden/>
          </w:rPr>
          <w:fldChar w:fldCharType="separate"/>
        </w:r>
        <w:r w:rsidR="00950F0A">
          <w:rPr>
            <w:noProof/>
            <w:webHidden/>
          </w:rPr>
          <w:t>23</w:t>
        </w:r>
        <w:r w:rsidR="003F123F" w:rsidRPr="00D9348B">
          <w:rPr>
            <w:noProof/>
            <w:webHidden/>
          </w:rPr>
          <w:fldChar w:fldCharType="end"/>
        </w:r>
      </w:hyperlink>
    </w:p>
    <w:p w14:paraId="35B666DD" w14:textId="58456A13" w:rsidR="003F123F" w:rsidRPr="00D9348B" w:rsidRDefault="00DA6C03">
      <w:pPr>
        <w:pStyle w:val="TOC2"/>
        <w:rPr>
          <w:noProof/>
          <w:sz w:val="22"/>
        </w:rPr>
      </w:pPr>
      <w:hyperlink w:anchor="_Toc36224370" w:history="1">
        <w:r w:rsidR="003F123F" w:rsidRPr="00D9348B">
          <w:rPr>
            <w:rStyle w:val="Hyperlink"/>
            <w:noProof/>
          </w:rPr>
          <w:t>1.3</w:t>
        </w:r>
        <w:r w:rsidR="003F123F" w:rsidRPr="00D9348B">
          <w:rPr>
            <w:noProof/>
            <w:sz w:val="22"/>
          </w:rPr>
          <w:tab/>
        </w:r>
        <w:r w:rsidR="003F123F" w:rsidRPr="00D9348B">
          <w:rPr>
            <w:rStyle w:val="Hyperlink"/>
            <w:noProof/>
          </w:rPr>
          <w:t>Inventory preparation: data collection, processing and storage</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_Toc36224370 \h </w:instrText>
        </w:r>
        <w:r w:rsidR="003F123F" w:rsidRPr="00D9348B">
          <w:rPr>
            <w:noProof/>
            <w:webHidden/>
          </w:rPr>
        </w:r>
        <w:r w:rsidR="003F123F" w:rsidRPr="00D9348B">
          <w:rPr>
            <w:noProof/>
            <w:webHidden/>
          </w:rPr>
          <w:fldChar w:fldCharType="separate"/>
        </w:r>
        <w:r w:rsidR="00950F0A">
          <w:rPr>
            <w:noProof/>
            <w:webHidden/>
          </w:rPr>
          <w:t>32</w:t>
        </w:r>
        <w:r w:rsidR="003F123F" w:rsidRPr="00D9348B">
          <w:rPr>
            <w:noProof/>
            <w:webHidden/>
          </w:rPr>
          <w:fldChar w:fldCharType="end"/>
        </w:r>
      </w:hyperlink>
    </w:p>
    <w:p w14:paraId="3194F544" w14:textId="4312E02E" w:rsidR="003F123F" w:rsidRPr="00D9348B" w:rsidRDefault="00DA6C03">
      <w:pPr>
        <w:pStyle w:val="TOC2"/>
        <w:rPr>
          <w:noProof/>
          <w:sz w:val="22"/>
        </w:rPr>
      </w:pPr>
      <w:hyperlink w:anchor="_Toc36224371" w:history="1">
        <w:r w:rsidR="003F123F" w:rsidRPr="00D9348B">
          <w:rPr>
            <w:rStyle w:val="Hyperlink"/>
            <w:noProof/>
          </w:rPr>
          <w:t>1.4</w:t>
        </w:r>
        <w:r w:rsidR="003F123F" w:rsidRPr="00D9348B">
          <w:rPr>
            <w:noProof/>
            <w:sz w:val="22"/>
          </w:rPr>
          <w:tab/>
        </w:r>
        <w:r w:rsidR="003F123F" w:rsidRPr="00D9348B">
          <w:rPr>
            <w:rStyle w:val="Hyperlink"/>
            <w:noProof/>
          </w:rPr>
          <w:t>Methodologies and data sources used</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_Toc36224371 \h </w:instrText>
        </w:r>
        <w:r w:rsidR="003F123F" w:rsidRPr="00D9348B">
          <w:rPr>
            <w:noProof/>
            <w:webHidden/>
          </w:rPr>
        </w:r>
        <w:r w:rsidR="003F123F" w:rsidRPr="00D9348B">
          <w:rPr>
            <w:noProof/>
            <w:webHidden/>
          </w:rPr>
          <w:fldChar w:fldCharType="separate"/>
        </w:r>
        <w:r w:rsidR="00950F0A">
          <w:rPr>
            <w:noProof/>
            <w:webHidden/>
          </w:rPr>
          <w:t>33</w:t>
        </w:r>
        <w:r w:rsidR="003F123F" w:rsidRPr="00D9348B">
          <w:rPr>
            <w:noProof/>
            <w:webHidden/>
          </w:rPr>
          <w:fldChar w:fldCharType="end"/>
        </w:r>
      </w:hyperlink>
    </w:p>
    <w:p w14:paraId="3A920865" w14:textId="03D96999" w:rsidR="003F123F" w:rsidRPr="00D9348B" w:rsidRDefault="00DA6C03">
      <w:pPr>
        <w:pStyle w:val="TOC2"/>
        <w:rPr>
          <w:noProof/>
          <w:sz w:val="22"/>
        </w:rPr>
      </w:pPr>
      <w:hyperlink w:anchor="_Toc36224372" w:history="1">
        <w:r w:rsidR="003F123F" w:rsidRPr="00D9348B">
          <w:rPr>
            <w:rStyle w:val="Hyperlink"/>
            <w:noProof/>
          </w:rPr>
          <w:t>1.5</w:t>
        </w:r>
        <w:r w:rsidR="003F123F" w:rsidRPr="00D9348B">
          <w:rPr>
            <w:noProof/>
            <w:sz w:val="22"/>
          </w:rPr>
          <w:tab/>
        </w:r>
        <w:r w:rsidR="003F123F" w:rsidRPr="00D9348B">
          <w:rPr>
            <w:rStyle w:val="Hyperlink"/>
            <w:noProof/>
          </w:rPr>
          <w:t>Key categories</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_Toc36224372 \h </w:instrText>
        </w:r>
        <w:r w:rsidR="003F123F" w:rsidRPr="00D9348B">
          <w:rPr>
            <w:noProof/>
            <w:webHidden/>
          </w:rPr>
        </w:r>
        <w:r w:rsidR="003F123F" w:rsidRPr="00D9348B">
          <w:rPr>
            <w:noProof/>
            <w:webHidden/>
          </w:rPr>
          <w:fldChar w:fldCharType="separate"/>
        </w:r>
        <w:r w:rsidR="00950F0A">
          <w:rPr>
            <w:noProof/>
            <w:webHidden/>
          </w:rPr>
          <w:t>37</w:t>
        </w:r>
        <w:r w:rsidR="003F123F" w:rsidRPr="00D9348B">
          <w:rPr>
            <w:noProof/>
            <w:webHidden/>
          </w:rPr>
          <w:fldChar w:fldCharType="end"/>
        </w:r>
      </w:hyperlink>
    </w:p>
    <w:p w14:paraId="0F58EA9A" w14:textId="5AB7AFAC" w:rsidR="003F123F" w:rsidRPr="00D9348B" w:rsidRDefault="00DA6C03">
      <w:pPr>
        <w:pStyle w:val="TOC2"/>
        <w:rPr>
          <w:noProof/>
          <w:sz w:val="22"/>
        </w:rPr>
      </w:pPr>
      <w:hyperlink w:anchor="_Toc36224373" w:history="1">
        <w:r w:rsidR="003F123F" w:rsidRPr="00D9348B">
          <w:rPr>
            <w:rStyle w:val="Hyperlink"/>
            <w:noProof/>
          </w:rPr>
          <w:t>1.6</w:t>
        </w:r>
        <w:r w:rsidR="003F123F" w:rsidRPr="00D9348B">
          <w:rPr>
            <w:noProof/>
            <w:sz w:val="22"/>
          </w:rPr>
          <w:tab/>
        </w:r>
        <w:r w:rsidR="003F123F" w:rsidRPr="00D9348B">
          <w:rPr>
            <w:rStyle w:val="Hyperlink"/>
            <w:noProof/>
          </w:rPr>
          <w:t>Inventory uncertainty</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_Toc36224373 \h </w:instrText>
        </w:r>
        <w:r w:rsidR="003F123F" w:rsidRPr="00D9348B">
          <w:rPr>
            <w:noProof/>
            <w:webHidden/>
          </w:rPr>
        </w:r>
        <w:r w:rsidR="003F123F" w:rsidRPr="00D9348B">
          <w:rPr>
            <w:noProof/>
            <w:webHidden/>
          </w:rPr>
          <w:fldChar w:fldCharType="separate"/>
        </w:r>
        <w:r w:rsidR="00950F0A">
          <w:rPr>
            <w:noProof/>
            <w:webHidden/>
          </w:rPr>
          <w:t>47</w:t>
        </w:r>
        <w:r w:rsidR="003F123F" w:rsidRPr="00D9348B">
          <w:rPr>
            <w:noProof/>
            <w:webHidden/>
          </w:rPr>
          <w:fldChar w:fldCharType="end"/>
        </w:r>
      </w:hyperlink>
    </w:p>
    <w:p w14:paraId="612CDC9A" w14:textId="324A2129" w:rsidR="003F123F" w:rsidRPr="00D9348B" w:rsidRDefault="00DA6C03">
      <w:pPr>
        <w:pStyle w:val="TOC2"/>
        <w:rPr>
          <w:noProof/>
          <w:sz w:val="22"/>
        </w:rPr>
      </w:pPr>
      <w:hyperlink w:anchor="_Toc36224374" w:history="1">
        <w:r w:rsidR="003F123F" w:rsidRPr="00D9348B">
          <w:rPr>
            <w:rStyle w:val="Hyperlink"/>
            <w:noProof/>
          </w:rPr>
          <w:t>1.7</w:t>
        </w:r>
        <w:r w:rsidR="003F123F" w:rsidRPr="00D9348B">
          <w:rPr>
            <w:noProof/>
            <w:sz w:val="22"/>
          </w:rPr>
          <w:tab/>
        </w:r>
        <w:r w:rsidR="003F123F" w:rsidRPr="00D9348B">
          <w:rPr>
            <w:rStyle w:val="Hyperlink"/>
            <w:noProof/>
          </w:rPr>
          <w:t>Inventory completeness</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_Toc36224374 \h </w:instrText>
        </w:r>
        <w:r w:rsidR="003F123F" w:rsidRPr="00D9348B">
          <w:rPr>
            <w:noProof/>
            <w:webHidden/>
          </w:rPr>
        </w:r>
        <w:r w:rsidR="003F123F" w:rsidRPr="00D9348B">
          <w:rPr>
            <w:noProof/>
            <w:webHidden/>
          </w:rPr>
          <w:fldChar w:fldCharType="separate"/>
        </w:r>
        <w:r w:rsidR="00950F0A">
          <w:rPr>
            <w:noProof/>
            <w:webHidden/>
          </w:rPr>
          <w:t>50</w:t>
        </w:r>
        <w:r w:rsidR="003F123F" w:rsidRPr="00D9348B">
          <w:rPr>
            <w:noProof/>
            <w:webHidden/>
          </w:rPr>
          <w:fldChar w:fldCharType="end"/>
        </w:r>
      </w:hyperlink>
    </w:p>
    <w:p w14:paraId="1117E4CD" w14:textId="72B157F9" w:rsidR="003F123F" w:rsidRPr="00D9348B" w:rsidRDefault="00DA6C03">
      <w:pPr>
        <w:pStyle w:val="TOC2"/>
        <w:rPr>
          <w:noProof/>
          <w:sz w:val="22"/>
        </w:rPr>
      </w:pPr>
      <w:hyperlink w:anchor="_Toc36224375" w:history="1">
        <w:r w:rsidR="003F123F" w:rsidRPr="00D9348B">
          <w:rPr>
            <w:rStyle w:val="Hyperlink"/>
            <w:noProof/>
          </w:rPr>
          <w:t>1.8</w:t>
        </w:r>
        <w:r w:rsidR="003F123F" w:rsidRPr="00D9348B">
          <w:rPr>
            <w:noProof/>
            <w:sz w:val="22"/>
          </w:rPr>
          <w:tab/>
        </w:r>
        <w:r w:rsidR="003F123F" w:rsidRPr="00D9348B">
          <w:rPr>
            <w:rStyle w:val="Hyperlink"/>
            <w:noProof/>
          </w:rPr>
          <w:t>National registry</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_Toc36224375 \h </w:instrText>
        </w:r>
        <w:r w:rsidR="003F123F" w:rsidRPr="00D9348B">
          <w:rPr>
            <w:noProof/>
            <w:webHidden/>
          </w:rPr>
        </w:r>
        <w:r w:rsidR="003F123F" w:rsidRPr="00D9348B">
          <w:rPr>
            <w:noProof/>
            <w:webHidden/>
          </w:rPr>
          <w:fldChar w:fldCharType="separate"/>
        </w:r>
        <w:r w:rsidR="00950F0A">
          <w:rPr>
            <w:noProof/>
            <w:webHidden/>
          </w:rPr>
          <w:t>50</w:t>
        </w:r>
        <w:r w:rsidR="003F123F" w:rsidRPr="00D9348B">
          <w:rPr>
            <w:noProof/>
            <w:webHidden/>
          </w:rPr>
          <w:fldChar w:fldCharType="end"/>
        </w:r>
      </w:hyperlink>
    </w:p>
    <w:p w14:paraId="5CB152AE" w14:textId="305E8703" w:rsidR="003F123F" w:rsidRPr="00D9348B" w:rsidRDefault="00DA6C03">
      <w:pPr>
        <w:pStyle w:val="TOC2"/>
        <w:rPr>
          <w:noProof/>
          <w:sz w:val="22"/>
        </w:rPr>
      </w:pPr>
      <w:hyperlink w:anchor="_Toc36224376" w:history="1">
        <w:r w:rsidR="003F123F" w:rsidRPr="00D9348B">
          <w:rPr>
            <w:rStyle w:val="Hyperlink"/>
            <w:noProof/>
          </w:rPr>
          <w:t xml:space="preserve">1.9 </w:t>
        </w:r>
        <w:r w:rsidR="003F123F" w:rsidRPr="00D9348B">
          <w:rPr>
            <w:noProof/>
            <w:sz w:val="22"/>
          </w:rPr>
          <w:tab/>
        </w:r>
        <w:r w:rsidR="003F123F" w:rsidRPr="00D9348B">
          <w:rPr>
            <w:rStyle w:val="Hyperlink"/>
            <w:noProof/>
          </w:rPr>
          <w:t>New Zealand’s Emissions Trading Scheme</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_Toc36224376 \h </w:instrText>
        </w:r>
        <w:r w:rsidR="003F123F" w:rsidRPr="00D9348B">
          <w:rPr>
            <w:noProof/>
            <w:webHidden/>
          </w:rPr>
        </w:r>
        <w:r w:rsidR="003F123F" w:rsidRPr="00D9348B">
          <w:rPr>
            <w:noProof/>
            <w:webHidden/>
          </w:rPr>
          <w:fldChar w:fldCharType="separate"/>
        </w:r>
        <w:r w:rsidR="00950F0A">
          <w:rPr>
            <w:noProof/>
            <w:webHidden/>
          </w:rPr>
          <w:t>51</w:t>
        </w:r>
        <w:r w:rsidR="003F123F" w:rsidRPr="00D9348B">
          <w:rPr>
            <w:noProof/>
            <w:webHidden/>
          </w:rPr>
          <w:fldChar w:fldCharType="end"/>
        </w:r>
      </w:hyperlink>
    </w:p>
    <w:p w14:paraId="19BDBE9F" w14:textId="3AC8A2F2" w:rsidR="003F123F" w:rsidRPr="00D9348B" w:rsidRDefault="00DA6C03">
      <w:pPr>
        <w:pStyle w:val="TOC2"/>
        <w:rPr>
          <w:noProof/>
          <w:sz w:val="22"/>
        </w:rPr>
      </w:pPr>
      <w:hyperlink w:anchor="_Toc36224377" w:history="1">
        <w:r w:rsidR="003F123F" w:rsidRPr="00D9348B">
          <w:rPr>
            <w:rStyle w:val="Hyperlink"/>
            <w:noProof/>
          </w:rPr>
          <w:t xml:space="preserve">1.10 </w:t>
        </w:r>
        <w:r w:rsidR="003F123F" w:rsidRPr="00D9348B">
          <w:rPr>
            <w:noProof/>
            <w:sz w:val="22"/>
          </w:rPr>
          <w:tab/>
        </w:r>
        <w:r w:rsidR="003F123F" w:rsidRPr="00D9348B">
          <w:rPr>
            <w:rStyle w:val="Hyperlink"/>
            <w:noProof/>
          </w:rPr>
          <w:t>Improvements introduced</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_Toc36224377 \h </w:instrText>
        </w:r>
        <w:r w:rsidR="003F123F" w:rsidRPr="00D9348B">
          <w:rPr>
            <w:noProof/>
            <w:webHidden/>
          </w:rPr>
        </w:r>
        <w:r w:rsidR="003F123F" w:rsidRPr="00D9348B">
          <w:rPr>
            <w:noProof/>
            <w:webHidden/>
          </w:rPr>
          <w:fldChar w:fldCharType="separate"/>
        </w:r>
        <w:r w:rsidR="00950F0A">
          <w:rPr>
            <w:noProof/>
            <w:webHidden/>
          </w:rPr>
          <w:t>52</w:t>
        </w:r>
        <w:r w:rsidR="003F123F" w:rsidRPr="00D9348B">
          <w:rPr>
            <w:noProof/>
            <w:webHidden/>
          </w:rPr>
          <w:fldChar w:fldCharType="end"/>
        </w:r>
      </w:hyperlink>
    </w:p>
    <w:p w14:paraId="1F469256" w14:textId="64A94274" w:rsidR="003F123F" w:rsidRPr="00D9348B" w:rsidRDefault="00DA6C03">
      <w:pPr>
        <w:pStyle w:val="TOC2"/>
        <w:rPr>
          <w:noProof/>
          <w:sz w:val="22"/>
        </w:rPr>
      </w:pPr>
      <w:hyperlink w:anchor="_Toc36224378" w:history="1">
        <w:r w:rsidR="003F123F" w:rsidRPr="00D9348B">
          <w:rPr>
            <w:rStyle w:val="Hyperlink"/>
            <w:noProof/>
          </w:rPr>
          <w:t>Chapter 1: References</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_Toc36224378 \h </w:instrText>
        </w:r>
        <w:r w:rsidR="003F123F" w:rsidRPr="00D9348B">
          <w:rPr>
            <w:noProof/>
            <w:webHidden/>
          </w:rPr>
        </w:r>
        <w:r w:rsidR="003F123F" w:rsidRPr="00D9348B">
          <w:rPr>
            <w:noProof/>
            <w:webHidden/>
          </w:rPr>
          <w:fldChar w:fldCharType="separate"/>
        </w:r>
        <w:r w:rsidR="00950F0A">
          <w:rPr>
            <w:noProof/>
            <w:webHidden/>
          </w:rPr>
          <w:t>56</w:t>
        </w:r>
        <w:r w:rsidR="003F123F" w:rsidRPr="00D9348B">
          <w:rPr>
            <w:noProof/>
            <w:webHidden/>
          </w:rPr>
          <w:fldChar w:fldCharType="end"/>
        </w:r>
      </w:hyperlink>
    </w:p>
    <w:p w14:paraId="7168A609" w14:textId="4A4C6324" w:rsidR="003F123F" w:rsidRPr="00D9348B" w:rsidRDefault="00DA6C03">
      <w:pPr>
        <w:pStyle w:val="TOC1"/>
        <w:rPr>
          <w:noProof/>
          <w:sz w:val="22"/>
        </w:rPr>
      </w:pPr>
      <w:hyperlink w:anchor="_Toc36224379" w:history="1">
        <w:r w:rsidR="003F123F" w:rsidRPr="00D9348B">
          <w:rPr>
            <w:rStyle w:val="Hyperlink"/>
            <w:noProof/>
          </w:rPr>
          <w:t>Chapter 2: Trends in greenhouse gas emissions</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_Toc36224379 \h </w:instrText>
        </w:r>
        <w:r w:rsidR="003F123F" w:rsidRPr="00D9348B">
          <w:rPr>
            <w:noProof/>
            <w:webHidden/>
          </w:rPr>
        </w:r>
        <w:r w:rsidR="003F123F" w:rsidRPr="00D9348B">
          <w:rPr>
            <w:noProof/>
            <w:webHidden/>
          </w:rPr>
          <w:fldChar w:fldCharType="separate"/>
        </w:r>
        <w:r w:rsidR="00950F0A">
          <w:rPr>
            <w:noProof/>
            <w:webHidden/>
          </w:rPr>
          <w:t>58</w:t>
        </w:r>
        <w:r w:rsidR="003F123F" w:rsidRPr="00D9348B">
          <w:rPr>
            <w:noProof/>
            <w:webHidden/>
          </w:rPr>
          <w:fldChar w:fldCharType="end"/>
        </w:r>
      </w:hyperlink>
    </w:p>
    <w:p w14:paraId="56B69B55" w14:textId="74DC365B" w:rsidR="003F123F" w:rsidRPr="00D9348B" w:rsidRDefault="00DA6C03">
      <w:pPr>
        <w:pStyle w:val="TOC2"/>
        <w:rPr>
          <w:noProof/>
          <w:sz w:val="22"/>
        </w:rPr>
      </w:pPr>
      <w:hyperlink w:anchor="_Toc36224380" w:history="1">
        <w:r w:rsidR="003F123F" w:rsidRPr="00D9348B">
          <w:rPr>
            <w:rStyle w:val="Hyperlink"/>
            <w:noProof/>
          </w:rPr>
          <w:t>2.1</w:t>
        </w:r>
        <w:r w:rsidR="003F123F" w:rsidRPr="00D9348B">
          <w:rPr>
            <w:noProof/>
            <w:sz w:val="22"/>
          </w:rPr>
          <w:tab/>
        </w:r>
        <w:r w:rsidR="003F123F" w:rsidRPr="00D9348B">
          <w:rPr>
            <w:rStyle w:val="Hyperlink"/>
            <w:noProof/>
          </w:rPr>
          <w:t>Emission trends for aggregated greenhouse gas emissions</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_Toc36224380 \h </w:instrText>
        </w:r>
        <w:r w:rsidR="003F123F" w:rsidRPr="00D9348B">
          <w:rPr>
            <w:noProof/>
            <w:webHidden/>
          </w:rPr>
        </w:r>
        <w:r w:rsidR="003F123F" w:rsidRPr="00D9348B">
          <w:rPr>
            <w:noProof/>
            <w:webHidden/>
          </w:rPr>
          <w:fldChar w:fldCharType="separate"/>
        </w:r>
        <w:r w:rsidR="00950F0A">
          <w:rPr>
            <w:noProof/>
            <w:webHidden/>
          </w:rPr>
          <w:t>58</w:t>
        </w:r>
        <w:r w:rsidR="003F123F" w:rsidRPr="00D9348B">
          <w:rPr>
            <w:noProof/>
            <w:webHidden/>
          </w:rPr>
          <w:fldChar w:fldCharType="end"/>
        </w:r>
      </w:hyperlink>
    </w:p>
    <w:p w14:paraId="3671F3A8" w14:textId="1B7EF474" w:rsidR="003F123F" w:rsidRPr="00D9348B" w:rsidRDefault="00DA6C03">
      <w:pPr>
        <w:pStyle w:val="TOC2"/>
        <w:rPr>
          <w:noProof/>
          <w:sz w:val="22"/>
        </w:rPr>
      </w:pPr>
      <w:hyperlink w:anchor="_Toc36224381" w:history="1">
        <w:r w:rsidR="003F123F" w:rsidRPr="00D9348B">
          <w:rPr>
            <w:rStyle w:val="Hyperlink"/>
            <w:noProof/>
          </w:rPr>
          <w:t>2.2</w:t>
        </w:r>
        <w:r w:rsidR="003F123F" w:rsidRPr="00D9348B">
          <w:rPr>
            <w:noProof/>
            <w:sz w:val="22"/>
          </w:rPr>
          <w:tab/>
        </w:r>
        <w:r w:rsidR="003F123F" w:rsidRPr="00D9348B">
          <w:rPr>
            <w:rStyle w:val="Hyperlink"/>
            <w:noProof/>
          </w:rPr>
          <w:t>Emission trends by sector</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_Toc36224381 \h </w:instrText>
        </w:r>
        <w:r w:rsidR="003F123F" w:rsidRPr="00D9348B">
          <w:rPr>
            <w:noProof/>
            <w:webHidden/>
          </w:rPr>
        </w:r>
        <w:r w:rsidR="003F123F" w:rsidRPr="00D9348B">
          <w:rPr>
            <w:noProof/>
            <w:webHidden/>
          </w:rPr>
          <w:fldChar w:fldCharType="separate"/>
        </w:r>
        <w:r w:rsidR="00950F0A">
          <w:rPr>
            <w:noProof/>
            <w:webHidden/>
          </w:rPr>
          <w:t>60</w:t>
        </w:r>
        <w:r w:rsidR="003F123F" w:rsidRPr="00D9348B">
          <w:rPr>
            <w:noProof/>
            <w:webHidden/>
          </w:rPr>
          <w:fldChar w:fldCharType="end"/>
        </w:r>
      </w:hyperlink>
    </w:p>
    <w:p w14:paraId="4C9D3D76" w14:textId="37C1A317" w:rsidR="003F123F" w:rsidRPr="00D9348B" w:rsidRDefault="00DA6C03">
      <w:pPr>
        <w:pStyle w:val="TOC2"/>
        <w:rPr>
          <w:noProof/>
          <w:sz w:val="22"/>
        </w:rPr>
      </w:pPr>
      <w:hyperlink w:anchor="_Toc36224382" w:history="1">
        <w:r w:rsidR="003F123F" w:rsidRPr="00D9348B">
          <w:rPr>
            <w:rStyle w:val="Hyperlink"/>
            <w:noProof/>
          </w:rPr>
          <w:t xml:space="preserve">2.3 </w:t>
        </w:r>
        <w:r w:rsidR="003F123F" w:rsidRPr="00D9348B">
          <w:rPr>
            <w:noProof/>
            <w:sz w:val="22"/>
          </w:rPr>
          <w:tab/>
        </w:r>
        <w:r w:rsidR="003F123F" w:rsidRPr="00D9348B">
          <w:rPr>
            <w:rStyle w:val="Hyperlink"/>
            <w:noProof/>
          </w:rPr>
          <w:t>Activities under Article 3.3 and Article 3.4 of the Kyoto Protocol</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_Toc36224382 \h </w:instrText>
        </w:r>
        <w:r w:rsidR="003F123F" w:rsidRPr="00D9348B">
          <w:rPr>
            <w:noProof/>
            <w:webHidden/>
          </w:rPr>
        </w:r>
        <w:r w:rsidR="003F123F" w:rsidRPr="00D9348B">
          <w:rPr>
            <w:noProof/>
            <w:webHidden/>
          </w:rPr>
          <w:fldChar w:fldCharType="separate"/>
        </w:r>
        <w:r w:rsidR="00950F0A">
          <w:rPr>
            <w:noProof/>
            <w:webHidden/>
          </w:rPr>
          <w:t>72</w:t>
        </w:r>
        <w:r w:rsidR="003F123F" w:rsidRPr="00D9348B">
          <w:rPr>
            <w:noProof/>
            <w:webHidden/>
          </w:rPr>
          <w:fldChar w:fldCharType="end"/>
        </w:r>
      </w:hyperlink>
    </w:p>
    <w:p w14:paraId="474BB201" w14:textId="06A413E0" w:rsidR="003F123F" w:rsidRPr="00D9348B" w:rsidRDefault="00DA6C03">
      <w:pPr>
        <w:pStyle w:val="TOC2"/>
        <w:rPr>
          <w:noProof/>
          <w:sz w:val="22"/>
        </w:rPr>
      </w:pPr>
      <w:hyperlink w:anchor="_Toc36224383" w:history="1">
        <w:r w:rsidR="003F123F" w:rsidRPr="00D9348B">
          <w:rPr>
            <w:rStyle w:val="Hyperlink"/>
            <w:noProof/>
          </w:rPr>
          <w:t>Chapter 2: References</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_Toc36224383 \h </w:instrText>
        </w:r>
        <w:r w:rsidR="003F123F" w:rsidRPr="00D9348B">
          <w:rPr>
            <w:noProof/>
            <w:webHidden/>
          </w:rPr>
        </w:r>
        <w:r w:rsidR="003F123F" w:rsidRPr="00D9348B">
          <w:rPr>
            <w:noProof/>
            <w:webHidden/>
          </w:rPr>
          <w:fldChar w:fldCharType="separate"/>
        </w:r>
        <w:r w:rsidR="00950F0A">
          <w:rPr>
            <w:noProof/>
            <w:webHidden/>
          </w:rPr>
          <w:t>75</w:t>
        </w:r>
        <w:r w:rsidR="003F123F" w:rsidRPr="00D9348B">
          <w:rPr>
            <w:noProof/>
            <w:webHidden/>
          </w:rPr>
          <w:fldChar w:fldCharType="end"/>
        </w:r>
      </w:hyperlink>
    </w:p>
    <w:p w14:paraId="3DF8BDE9" w14:textId="75E10DA7" w:rsidR="003F123F" w:rsidRPr="00D9348B" w:rsidRDefault="00DA6C03">
      <w:pPr>
        <w:pStyle w:val="TOC1"/>
        <w:rPr>
          <w:noProof/>
          <w:sz w:val="22"/>
        </w:rPr>
      </w:pPr>
      <w:hyperlink w:anchor="_Toc36224384" w:history="1">
        <w:r w:rsidR="003F123F" w:rsidRPr="00D9348B">
          <w:rPr>
            <w:rStyle w:val="Hyperlink"/>
            <w:rFonts w:cs="Calibri"/>
            <w:noProof/>
            <w:lang w:eastAsia="en-GB"/>
          </w:rPr>
          <w:t>Chapter 3: En</w:t>
        </w:r>
        <w:r w:rsidR="003F123F" w:rsidRPr="00D9348B">
          <w:rPr>
            <w:rStyle w:val="Hyperlink"/>
            <w:rFonts w:cs="Calibri"/>
            <w:noProof/>
            <w:lang w:eastAsia="en-GB"/>
          </w:rPr>
          <w:t>e</w:t>
        </w:r>
        <w:r w:rsidR="003F123F" w:rsidRPr="00D9348B">
          <w:rPr>
            <w:rStyle w:val="Hyperlink"/>
            <w:rFonts w:cs="Calibri"/>
            <w:noProof/>
            <w:lang w:eastAsia="en-GB"/>
          </w:rPr>
          <w:t>rgy</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_Toc36224384 \h </w:instrText>
        </w:r>
        <w:r w:rsidR="003F123F" w:rsidRPr="00D9348B">
          <w:rPr>
            <w:noProof/>
            <w:webHidden/>
          </w:rPr>
        </w:r>
        <w:r w:rsidR="003F123F" w:rsidRPr="00D9348B">
          <w:rPr>
            <w:noProof/>
            <w:webHidden/>
          </w:rPr>
          <w:fldChar w:fldCharType="separate"/>
        </w:r>
        <w:r w:rsidR="00950F0A">
          <w:rPr>
            <w:noProof/>
            <w:webHidden/>
          </w:rPr>
          <w:t>76</w:t>
        </w:r>
        <w:r w:rsidR="003F123F" w:rsidRPr="00D9348B">
          <w:rPr>
            <w:noProof/>
            <w:webHidden/>
          </w:rPr>
          <w:fldChar w:fldCharType="end"/>
        </w:r>
      </w:hyperlink>
    </w:p>
    <w:p w14:paraId="0A9A5C8E" w14:textId="7FABEC0B" w:rsidR="003F123F" w:rsidRPr="00D9348B" w:rsidRDefault="00DA6C03">
      <w:pPr>
        <w:pStyle w:val="TOC2"/>
        <w:rPr>
          <w:noProof/>
          <w:sz w:val="22"/>
        </w:rPr>
      </w:pPr>
      <w:hyperlink w:anchor="_Toc36224385" w:history="1">
        <w:r w:rsidR="003F123F" w:rsidRPr="00D9348B">
          <w:rPr>
            <w:rStyle w:val="Hyperlink"/>
            <w:rFonts w:cs="Calibri"/>
            <w:noProof/>
          </w:rPr>
          <w:t>3.1</w:t>
        </w:r>
        <w:r w:rsidR="003F123F" w:rsidRPr="00D9348B">
          <w:rPr>
            <w:noProof/>
            <w:sz w:val="22"/>
          </w:rPr>
          <w:tab/>
        </w:r>
        <w:r w:rsidR="003F123F" w:rsidRPr="00D9348B">
          <w:rPr>
            <w:rStyle w:val="Hyperlink"/>
            <w:rFonts w:cs="Calibri"/>
            <w:noProof/>
          </w:rPr>
          <w:t>Sector overview</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_Toc36224385 \h </w:instrText>
        </w:r>
        <w:r w:rsidR="003F123F" w:rsidRPr="00D9348B">
          <w:rPr>
            <w:noProof/>
            <w:webHidden/>
          </w:rPr>
        </w:r>
        <w:r w:rsidR="003F123F" w:rsidRPr="00D9348B">
          <w:rPr>
            <w:noProof/>
            <w:webHidden/>
          </w:rPr>
          <w:fldChar w:fldCharType="separate"/>
        </w:r>
        <w:r w:rsidR="00950F0A">
          <w:rPr>
            <w:noProof/>
            <w:webHidden/>
          </w:rPr>
          <w:t>76</w:t>
        </w:r>
        <w:r w:rsidR="003F123F" w:rsidRPr="00D9348B">
          <w:rPr>
            <w:noProof/>
            <w:webHidden/>
          </w:rPr>
          <w:fldChar w:fldCharType="end"/>
        </w:r>
      </w:hyperlink>
    </w:p>
    <w:p w14:paraId="5EDD5CF2" w14:textId="2945B721" w:rsidR="003F123F" w:rsidRPr="00D9348B" w:rsidRDefault="00DA6C03">
      <w:pPr>
        <w:pStyle w:val="TOC2"/>
        <w:rPr>
          <w:noProof/>
          <w:sz w:val="22"/>
        </w:rPr>
      </w:pPr>
      <w:hyperlink w:anchor="_Toc36224386" w:history="1">
        <w:r w:rsidR="003F123F" w:rsidRPr="00D9348B">
          <w:rPr>
            <w:rStyle w:val="Hyperlink"/>
            <w:rFonts w:cs="Calibri"/>
            <w:noProof/>
          </w:rPr>
          <w:t>3.2</w:t>
        </w:r>
        <w:r w:rsidR="003F123F" w:rsidRPr="00D9348B">
          <w:rPr>
            <w:noProof/>
            <w:sz w:val="22"/>
          </w:rPr>
          <w:tab/>
        </w:r>
        <w:r w:rsidR="003F123F" w:rsidRPr="00D9348B">
          <w:rPr>
            <w:rStyle w:val="Hyperlink"/>
            <w:rFonts w:cs="Calibri"/>
            <w:noProof/>
          </w:rPr>
          <w:t>Background information</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_Toc36224386 \h </w:instrText>
        </w:r>
        <w:r w:rsidR="003F123F" w:rsidRPr="00D9348B">
          <w:rPr>
            <w:noProof/>
            <w:webHidden/>
          </w:rPr>
        </w:r>
        <w:r w:rsidR="003F123F" w:rsidRPr="00D9348B">
          <w:rPr>
            <w:noProof/>
            <w:webHidden/>
          </w:rPr>
          <w:fldChar w:fldCharType="separate"/>
        </w:r>
        <w:r w:rsidR="00950F0A">
          <w:rPr>
            <w:noProof/>
            <w:webHidden/>
          </w:rPr>
          <w:t>79</w:t>
        </w:r>
        <w:r w:rsidR="003F123F" w:rsidRPr="00D9348B">
          <w:rPr>
            <w:noProof/>
            <w:webHidden/>
          </w:rPr>
          <w:fldChar w:fldCharType="end"/>
        </w:r>
      </w:hyperlink>
    </w:p>
    <w:p w14:paraId="6D4393F1" w14:textId="47279059" w:rsidR="003F123F" w:rsidRPr="00D9348B" w:rsidRDefault="00DA6C03">
      <w:pPr>
        <w:pStyle w:val="TOC2"/>
        <w:rPr>
          <w:noProof/>
          <w:sz w:val="22"/>
        </w:rPr>
      </w:pPr>
      <w:hyperlink w:anchor="_Toc36224387" w:history="1">
        <w:r w:rsidR="003F123F" w:rsidRPr="00D9348B">
          <w:rPr>
            <w:rStyle w:val="Hyperlink"/>
            <w:rFonts w:cs="Calibri"/>
            <w:noProof/>
          </w:rPr>
          <w:t>3.3</w:t>
        </w:r>
        <w:r w:rsidR="003F123F" w:rsidRPr="00D9348B">
          <w:rPr>
            <w:noProof/>
            <w:sz w:val="22"/>
          </w:rPr>
          <w:tab/>
        </w:r>
        <w:r w:rsidR="003F123F" w:rsidRPr="00D9348B">
          <w:rPr>
            <w:rStyle w:val="Hyperlink"/>
            <w:rFonts w:cs="Calibri"/>
            <w:noProof/>
          </w:rPr>
          <w:t>Fuel combustion (CRF 1.A)</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_Toc36224387 \h </w:instrText>
        </w:r>
        <w:r w:rsidR="003F123F" w:rsidRPr="00D9348B">
          <w:rPr>
            <w:noProof/>
            <w:webHidden/>
          </w:rPr>
        </w:r>
        <w:r w:rsidR="003F123F" w:rsidRPr="00D9348B">
          <w:rPr>
            <w:noProof/>
            <w:webHidden/>
          </w:rPr>
          <w:fldChar w:fldCharType="separate"/>
        </w:r>
        <w:r w:rsidR="00950F0A">
          <w:rPr>
            <w:noProof/>
            <w:webHidden/>
          </w:rPr>
          <w:t>82</w:t>
        </w:r>
        <w:r w:rsidR="003F123F" w:rsidRPr="00D9348B">
          <w:rPr>
            <w:noProof/>
            <w:webHidden/>
          </w:rPr>
          <w:fldChar w:fldCharType="end"/>
        </w:r>
      </w:hyperlink>
    </w:p>
    <w:p w14:paraId="548F7132" w14:textId="37C46EDE" w:rsidR="003F123F" w:rsidRPr="00D9348B" w:rsidRDefault="00DA6C03">
      <w:pPr>
        <w:pStyle w:val="TOC2"/>
        <w:rPr>
          <w:noProof/>
          <w:sz w:val="22"/>
        </w:rPr>
      </w:pPr>
      <w:hyperlink w:anchor="_Toc36224388" w:history="1">
        <w:r w:rsidR="003F123F" w:rsidRPr="00D9348B">
          <w:rPr>
            <w:rStyle w:val="Hyperlink"/>
            <w:rFonts w:cs="Calibri"/>
            <w:noProof/>
          </w:rPr>
          <w:t>3.4</w:t>
        </w:r>
        <w:r w:rsidR="003F123F" w:rsidRPr="00D9348B">
          <w:rPr>
            <w:noProof/>
            <w:sz w:val="22"/>
          </w:rPr>
          <w:tab/>
        </w:r>
        <w:r w:rsidR="003F123F" w:rsidRPr="00D9348B">
          <w:rPr>
            <w:rStyle w:val="Hyperlink"/>
            <w:rFonts w:cs="Calibri"/>
            <w:noProof/>
          </w:rPr>
          <w:t>Fugitive emissions from fuels (CRF 1.B)</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_Toc36224388 \h </w:instrText>
        </w:r>
        <w:r w:rsidR="003F123F" w:rsidRPr="00D9348B">
          <w:rPr>
            <w:noProof/>
            <w:webHidden/>
          </w:rPr>
        </w:r>
        <w:r w:rsidR="003F123F" w:rsidRPr="00D9348B">
          <w:rPr>
            <w:noProof/>
            <w:webHidden/>
          </w:rPr>
          <w:fldChar w:fldCharType="separate"/>
        </w:r>
        <w:r w:rsidR="00950F0A">
          <w:rPr>
            <w:noProof/>
            <w:webHidden/>
          </w:rPr>
          <w:t>111</w:t>
        </w:r>
        <w:r w:rsidR="003F123F" w:rsidRPr="00D9348B">
          <w:rPr>
            <w:noProof/>
            <w:webHidden/>
          </w:rPr>
          <w:fldChar w:fldCharType="end"/>
        </w:r>
      </w:hyperlink>
    </w:p>
    <w:p w14:paraId="1DF673B1" w14:textId="2CD91027" w:rsidR="003F123F" w:rsidRPr="00D9348B" w:rsidRDefault="00DA6C03">
      <w:pPr>
        <w:pStyle w:val="TOC2"/>
        <w:rPr>
          <w:noProof/>
          <w:sz w:val="22"/>
        </w:rPr>
      </w:pPr>
      <w:hyperlink w:anchor="_Toc36224389" w:history="1">
        <w:r w:rsidR="003F123F" w:rsidRPr="00D9348B">
          <w:rPr>
            <w:rStyle w:val="Hyperlink"/>
            <w:rFonts w:cs="Calibri"/>
            <w:noProof/>
          </w:rPr>
          <w:t>Chapter 3: References</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_Toc36224389 \h </w:instrText>
        </w:r>
        <w:r w:rsidR="003F123F" w:rsidRPr="00D9348B">
          <w:rPr>
            <w:noProof/>
            <w:webHidden/>
          </w:rPr>
        </w:r>
        <w:r w:rsidR="003F123F" w:rsidRPr="00D9348B">
          <w:rPr>
            <w:noProof/>
            <w:webHidden/>
          </w:rPr>
          <w:fldChar w:fldCharType="separate"/>
        </w:r>
        <w:r w:rsidR="00950F0A">
          <w:rPr>
            <w:noProof/>
            <w:webHidden/>
          </w:rPr>
          <w:t>120</w:t>
        </w:r>
        <w:r w:rsidR="003F123F" w:rsidRPr="00D9348B">
          <w:rPr>
            <w:noProof/>
            <w:webHidden/>
          </w:rPr>
          <w:fldChar w:fldCharType="end"/>
        </w:r>
      </w:hyperlink>
    </w:p>
    <w:p w14:paraId="12C10FB1" w14:textId="757E4216" w:rsidR="003F123F" w:rsidRPr="00D9348B" w:rsidRDefault="00DA6C03">
      <w:pPr>
        <w:pStyle w:val="TOC1"/>
        <w:rPr>
          <w:noProof/>
          <w:sz w:val="22"/>
        </w:rPr>
      </w:pPr>
      <w:hyperlink w:anchor="_Toc36224390" w:history="1">
        <w:r w:rsidR="003F123F" w:rsidRPr="00D9348B">
          <w:rPr>
            <w:rStyle w:val="Hyperlink"/>
            <w:noProof/>
          </w:rPr>
          <w:t>Chapter 4: Industrial Processes and Product Use (IPPU)</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_Toc36224390 \h </w:instrText>
        </w:r>
        <w:r w:rsidR="003F123F" w:rsidRPr="00D9348B">
          <w:rPr>
            <w:noProof/>
            <w:webHidden/>
          </w:rPr>
        </w:r>
        <w:r w:rsidR="003F123F" w:rsidRPr="00D9348B">
          <w:rPr>
            <w:noProof/>
            <w:webHidden/>
          </w:rPr>
          <w:fldChar w:fldCharType="separate"/>
        </w:r>
        <w:r w:rsidR="00950F0A">
          <w:rPr>
            <w:noProof/>
            <w:webHidden/>
          </w:rPr>
          <w:t>122</w:t>
        </w:r>
        <w:r w:rsidR="003F123F" w:rsidRPr="00D9348B">
          <w:rPr>
            <w:noProof/>
            <w:webHidden/>
          </w:rPr>
          <w:fldChar w:fldCharType="end"/>
        </w:r>
      </w:hyperlink>
    </w:p>
    <w:p w14:paraId="1383AA3B" w14:textId="03BF551A" w:rsidR="003F123F" w:rsidRPr="00D9348B" w:rsidRDefault="00DA6C03">
      <w:pPr>
        <w:pStyle w:val="TOC2"/>
        <w:rPr>
          <w:noProof/>
          <w:sz w:val="22"/>
        </w:rPr>
      </w:pPr>
      <w:hyperlink w:anchor="_Toc36224391" w:history="1">
        <w:r w:rsidR="003F123F" w:rsidRPr="00D9348B">
          <w:rPr>
            <w:rStyle w:val="Hyperlink"/>
            <w:noProof/>
          </w:rPr>
          <w:t xml:space="preserve">4.1 </w:t>
        </w:r>
        <w:r w:rsidR="003F123F" w:rsidRPr="00D9348B">
          <w:rPr>
            <w:noProof/>
            <w:sz w:val="22"/>
          </w:rPr>
          <w:tab/>
        </w:r>
        <w:r w:rsidR="003F123F" w:rsidRPr="00D9348B">
          <w:rPr>
            <w:rStyle w:val="Hyperlink"/>
            <w:noProof/>
          </w:rPr>
          <w:t>Sector overview</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_Toc36224391 \h </w:instrText>
        </w:r>
        <w:r w:rsidR="003F123F" w:rsidRPr="00D9348B">
          <w:rPr>
            <w:noProof/>
            <w:webHidden/>
          </w:rPr>
        </w:r>
        <w:r w:rsidR="003F123F" w:rsidRPr="00D9348B">
          <w:rPr>
            <w:noProof/>
            <w:webHidden/>
          </w:rPr>
          <w:fldChar w:fldCharType="separate"/>
        </w:r>
        <w:r w:rsidR="00950F0A">
          <w:rPr>
            <w:noProof/>
            <w:webHidden/>
          </w:rPr>
          <w:t>122</w:t>
        </w:r>
        <w:r w:rsidR="003F123F" w:rsidRPr="00D9348B">
          <w:rPr>
            <w:noProof/>
            <w:webHidden/>
          </w:rPr>
          <w:fldChar w:fldCharType="end"/>
        </w:r>
      </w:hyperlink>
    </w:p>
    <w:p w14:paraId="3D26645D" w14:textId="5A224454" w:rsidR="003F123F" w:rsidRPr="00D9348B" w:rsidRDefault="00DA6C03">
      <w:pPr>
        <w:pStyle w:val="TOC2"/>
        <w:rPr>
          <w:noProof/>
          <w:sz w:val="22"/>
        </w:rPr>
      </w:pPr>
      <w:hyperlink w:anchor="_Toc36224392" w:history="1">
        <w:r w:rsidR="003F123F" w:rsidRPr="00D9348B">
          <w:rPr>
            <w:rStyle w:val="Hyperlink"/>
            <w:noProof/>
          </w:rPr>
          <w:t>4.2</w:t>
        </w:r>
        <w:r w:rsidR="003F123F" w:rsidRPr="00D9348B">
          <w:rPr>
            <w:noProof/>
            <w:sz w:val="22"/>
          </w:rPr>
          <w:tab/>
        </w:r>
        <w:r w:rsidR="003F123F" w:rsidRPr="00D9348B">
          <w:rPr>
            <w:rStyle w:val="Hyperlink"/>
            <w:noProof/>
          </w:rPr>
          <w:t>Mineral industry (2.A)</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_Toc36224392 \h </w:instrText>
        </w:r>
        <w:r w:rsidR="003F123F" w:rsidRPr="00D9348B">
          <w:rPr>
            <w:noProof/>
            <w:webHidden/>
          </w:rPr>
        </w:r>
        <w:r w:rsidR="003F123F" w:rsidRPr="00D9348B">
          <w:rPr>
            <w:noProof/>
            <w:webHidden/>
          </w:rPr>
          <w:fldChar w:fldCharType="separate"/>
        </w:r>
        <w:r w:rsidR="00950F0A">
          <w:rPr>
            <w:noProof/>
            <w:webHidden/>
          </w:rPr>
          <w:t>127</w:t>
        </w:r>
        <w:r w:rsidR="003F123F" w:rsidRPr="00D9348B">
          <w:rPr>
            <w:noProof/>
            <w:webHidden/>
          </w:rPr>
          <w:fldChar w:fldCharType="end"/>
        </w:r>
      </w:hyperlink>
    </w:p>
    <w:p w14:paraId="04E50FD7" w14:textId="4E90F021" w:rsidR="003F123F" w:rsidRPr="00D9348B" w:rsidRDefault="00DA6C03">
      <w:pPr>
        <w:pStyle w:val="TOC2"/>
        <w:rPr>
          <w:noProof/>
          <w:sz w:val="22"/>
        </w:rPr>
      </w:pPr>
      <w:hyperlink w:anchor="_Toc36224393" w:history="1">
        <w:r w:rsidR="003F123F" w:rsidRPr="00D9348B">
          <w:rPr>
            <w:rStyle w:val="Hyperlink"/>
            <w:noProof/>
          </w:rPr>
          <w:t>4.3</w:t>
        </w:r>
        <w:r w:rsidR="003F123F" w:rsidRPr="00D9348B">
          <w:rPr>
            <w:noProof/>
            <w:sz w:val="22"/>
          </w:rPr>
          <w:tab/>
        </w:r>
        <w:r w:rsidR="003F123F" w:rsidRPr="00D9348B">
          <w:rPr>
            <w:rStyle w:val="Hyperlink"/>
            <w:noProof/>
          </w:rPr>
          <w:t>Chemical industry (2.B)</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_Toc36224393 \h </w:instrText>
        </w:r>
        <w:r w:rsidR="003F123F" w:rsidRPr="00D9348B">
          <w:rPr>
            <w:noProof/>
            <w:webHidden/>
          </w:rPr>
        </w:r>
        <w:r w:rsidR="003F123F" w:rsidRPr="00D9348B">
          <w:rPr>
            <w:noProof/>
            <w:webHidden/>
          </w:rPr>
          <w:fldChar w:fldCharType="separate"/>
        </w:r>
        <w:r w:rsidR="00950F0A">
          <w:rPr>
            <w:noProof/>
            <w:webHidden/>
          </w:rPr>
          <w:t>131</w:t>
        </w:r>
        <w:r w:rsidR="003F123F" w:rsidRPr="00D9348B">
          <w:rPr>
            <w:noProof/>
            <w:webHidden/>
          </w:rPr>
          <w:fldChar w:fldCharType="end"/>
        </w:r>
      </w:hyperlink>
    </w:p>
    <w:p w14:paraId="629D6C97" w14:textId="052E38CC" w:rsidR="003F123F" w:rsidRPr="00D9348B" w:rsidRDefault="00DA6C03">
      <w:pPr>
        <w:pStyle w:val="TOC2"/>
        <w:rPr>
          <w:noProof/>
          <w:sz w:val="22"/>
        </w:rPr>
      </w:pPr>
      <w:hyperlink w:anchor="_Toc36224394" w:history="1">
        <w:r w:rsidR="003F123F" w:rsidRPr="00D9348B">
          <w:rPr>
            <w:rStyle w:val="Hyperlink"/>
            <w:noProof/>
          </w:rPr>
          <w:t>4.4</w:t>
        </w:r>
        <w:r w:rsidR="003F123F" w:rsidRPr="00D9348B">
          <w:rPr>
            <w:noProof/>
            <w:sz w:val="22"/>
          </w:rPr>
          <w:tab/>
        </w:r>
        <w:r w:rsidR="003F123F" w:rsidRPr="00D9348B">
          <w:rPr>
            <w:rStyle w:val="Hyperlink"/>
            <w:noProof/>
          </w:rPr>
          <w:t>Metal industry (2.C)</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_Toc36224394 \h </w:instrText>
        </w:r>
        <w:r w:rsidR="003F123F" w:rsidRPr="00D9348B">
          <w:rPr>
            <w:noProof/>
            <w:webHidden/>
          </w:rPr>
        </w:r>
        <w:r w:rsidR="003F123F" w:rsidRPr="00D9348B">
          <w:rPr>
            <w:noProof/>
            <w:webHidden/>
          </w:rPr>
          <w:fldChar w:fldCharType="separate"/>
        </w:r>
        <w:r w:rsidR="00950F0A">
          <w:rPr>
            <w:noProof/>
            <w:webHidden/>
          </w:rPr>
          <w:t>135</w:t>
        </w:r>
        <w:r w:rsidR="003F123F" w:rsidRPr="00D9348B">
          <w:rPr>
            <w:noProof/>
            <w:webHidden/>
          </w:rPr>
          <w:fldChar w:fldCharType="end"/>
        </w:r>
      </w:hyperlink>
    </w:p>
    <w:p w14:paraId="4C5BD39E" w14:textId="6597B8DD" w:rsidR="003F123F" w:rsidRPr="00D9348B" w:rsidRDefault="00DA6C03">
      <w:pPr>
        <w:pStyle w:val="TOC2"/>
        <w:rPr>
          <w:noProof/>
          <w:sz w:val="22"/>
        </w:rPr>
      </w:pPr>
      <w:hyperlink w:anchor="_Toc36224395" w:history="1">
        <w:r w:rsidR="003F123F" w:rsidRPr="00D9348B">
          <w:rPr>
            <w:rStyle w:val="Hyperlink"/>
            <w:noProof/>
          </w:rPr>
          <w:t>4.5</w:t>
        </w:r>
        <w:r w:rsidR="003F123F" w:rsidRPr="00D9348B">
          <w:rPr>
            <w:noProof/>
            <w:sz w:val="22"/>
          </w:rPr>
          <w:tab/>
        </w:r>
        <w:r w:rsidR="003F123F" w:rsidRPr="00D9348B">
          <w:rPr>
            <w:rStyle w:val="Hyperlink"/>
            <w:noProof/>
          </w:rPr>
          <w:t>Non-energy products from fuels and solvent use (2.D)</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_Toc36224395 \h </w:instrText>
        </w:r>
        <w:r w:rsidR="003F123F" w:rsidRPr="00D9348B">
          <w:rPr>
            <w:noProof/>
            <w:webHidden/>
          </w:rPr>
        </w:r>
        <w:r w:rsidR="003F123F" w:rsidRPr="00D9348B">
          <w:rPr>
            <w:noProof/>
            <w:webHidden/>
          </w:rPr>
          <w:fldChar w:fldCharType="separate"/>
        </w:r>
        <w:r w:rsidR="00950F0A">
          <w:rPr>
            <w:noProof/>
            <w:webHidden/>
          </w:rPr>
          <w:t>141</w:t>
        </w:r>
        <w:r w:rsidR="003F123F" w:rsidRPr="00D9348B">
          <w:rPr>
            <w:noProof/>
            <w:webHidden/>
          </w:rPr>
          <w:fldChar w:fldCharType="end"/>
        </w:r>
      </w:hyperlink>
    </w:p>
    <w:p w14:paraId="79D22A6A" w14:textId="2A1FC10C" w:rsidR="003F123F" w:rsidRPr="00D9348B" w:rsidRDefault="00DA6C03">
      <w:pPr>
        <w:pStyle w:val="TOC2"/>
        <w:rPr>
          <w:noProof/>
          <w:sz w:val="22"/>
        </w:rPr>
      </w:pPr>
      <w:hyperlink w:anchor="_Toc36224396" w:history="1">
        <w:r w:rsidR="003F123F" w:rsidRPr="00D9348B">
          <w:rPr>
            <w:rStyle w:val="Hyperlink"/>
            <w:noProof/>
          </w:rPr>
          <w:t>4.6</w:t>
        </w:r>
        <w:r w:rsidR="003F123F" w:rsidRPr="00D9348B">
          <w:rPr>
            <w:noProof/>
            <w:sz w:val="22"/>
          </w:rPr>
          <w:tab/>
        </w:r>
        <w:r w:rsidR="003F123F" w:rsidRPr="00D9348B">
          <w:rPr>
            <w:rStyle w:val="Hyperlink"/>
            <w:noProof/>
          </w:rPr>
          <w:t>Electronics industry (2.E)</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_Toc36224396 \h </w:instrText>
        </w:r>
        <w:r w:rsidR="003F123F" w:rsidRPr="00D9348B">
          <w:rPr>
            <w:noProof/>
            <w:webHidden/>
          </w:rPr>
        </w:r>
        <w:r w:rsidR="003F123F" w:rsidRPr="00D9348B">
          <w:rPr>
            <w:noProof/>
            <w:webHidden/>
          </w:rPr>
          <w:fldChar w:fldCharType="separate"/>
        </w:r>
        <w:r w:rsidR="00950F0A">
          <w:rPr>
            <w:noProof/>
            <w:webHidden/>
          </w:rPr>
          <w:t>144</w:t>
        </w:r>
        <w:r w:rsidR="003F123F" w:rsidRPr="00D9348B">
          <w:rPr>
            <w:noProof/>
            <w:webHidden/>
          </w:rPr>
          <w:fldChar w:fldCharType="end"/>
        </w:r>
      </w:hyperlink>
    </w:p>
    <w:p w14:paraId="0EB2126E" w14:textId="7AFC311A" w:rsidR="003F123F" w:rsidRPr="00D9348B" w:rsidRDefault="00DA6C03">
      <w:pPr>
        <w:pStyle w:val="TOC2"/>
        <w:rPr>
          <w:noProof/>
          <w:sz w:val="22"/>
        </w:rPr>
      </w:pPr>
      <w:hyperlink w:anchor="_Toc36224397" w:history="1">
        <w:r w:rsidR="003F123F" w:rsidRPr="00D9348B">
          <w:rPr>
            <w:rStyle w:val="Hyperlink"/>
            <w:noProof/>
          </w:rPr>
          <w:t>4.7</w:t>
        </w:r>
        <w:r w:rsidR="003F123F" w:rsidRPr="00D9348B">
          <w:rPr>
            <w:noProof/>
            <w:sz w:val="22"/>
          </w:rPr>
          <w:tab/>
        </w:r>
        <w:r w:rsidR="003F123F" w:rsidRPr="00D9348B">
          <w:rPr>
            <w:rStyle w:val="Hyperlink"/>
            <w:noProof/>
          </w:rPr>
          <w:t>Product uses as substitutes for ODS (2.F)</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_Toc36224397 \h </w:instrText>
        </w:r>
        <w:r w:rsidR="003F123F" w:rsidRPr="00D9348B">
          <w:rPr>
            <w:noProof/>
            <w:webHidden/>
          </w:rPr>
        </w:r>
        <w:r w:rsidR="003F123F" w:rsidRPr="00D9348B">
          <w:rPr>
            <w:noProof/>
            <w:webHidden/>
          </w:rPr>
          <w:fldChar w:fldCharType="separate"/>
        </w:r>
        <w:r w:rsidR="00950F0A">
          <w:rPr>
            <w:noProof/>
            <w:webHidden/>
          </w:rPr>
          <w:t>144</w:t>
        </w:r>
        <w:r w:rsidR="003F123F" w:rsidRPr="00D9348B">
          <w:rPr>
            <w:noProof/>
            <w:webHidden/>
          </w:rPr>
          <w:fldChar w:fldCharType="end"/>
        </w:r>
      </w:hyperlink>
    </w:p>
    <w:p w14:paraId="6079CB6B" w14:textId="1C8FE518" w:rsidR="003F123F" w:rsidRPr="00D9348B" w:rsidRDefault="00DA6C03">
      <w:pPr>
        <w:pStyle w:val="TOC2"/>
        <w:rPr>
          <w:noProof/>
          <w:sz w:val="22"/>
        </w:rPr>
      </w:pPr>
      <w:hyperlink w:anchor="_Toc36224398" w:history="1">
        <w:r w:rsidR="003F123F" w:rsidRPr="00D9348B">
          <w:rPr>
            <w:rStyle w:val="Hyperlink"/>
            <w:noProof/>
          </w:rPr>
          <w:t>4.8</w:t>
        </w:r>
        <w:r w:rsidR="003F123F" w:rsidRPr="00D9348B">
          <w:rPr>
            <w:noProof/>
            <w:sz w:val="22"/>
          </w:rPr>
          <w:tab/>
        </w:r>
        <w:r w:rsidR="003F123F" w:rsidRPr="00D9348B">
          <w:rPr>
            <w:rStyle w:val="Hyperlink"/>
            <w:noProof/>
          </w:rPr>
          <w:t>Other product manufacture and use (2.G)</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_Toc36224398 \h </w:instrText>
        </w:r>
        <w:r w:rsidR="003F123F" w:rsidRPr="00D9348B">
          <w:rPr>
            <w:noProof/>
            <w:webHidden/>
          </w:rPr>
        </w:r>
        <w:r w:rsidR="003F123F" w:rsidRPr="00D9348B">
          <w:rPr>
            <w:noProof/>
            <w:webHidden/>
          </w:rPr>
          <w:fldChar w:fldCharType="separate"/>
        </w:r>
        <w:r w:rsidR="00950F0A">
          <w:rPr>
            <w:noProof/>
            <w:webHidden/>
          </w:rPr>
          <w:t>151</w:t>
        </w:r>
        <w:r w:rsidR="003F123F" w:rsidRPr="00D9348B">
          <w:rPr>
            <w:noProof/>
            <w:webHidden/>
          </w:rPr>
          <w:fldChar w:fldCharType="end"/>
        </w:r>
      </w:hyperlink>
    </w:p>
    <w:p w14:paraId="3B7DB052" w14:textId="530E9B8B" w:rsidR="003F123F" w:rsidRPr="00D9348B" w:rsidRDefault="00DA6C03">
      <w:pPr>
        <w:pStyle w:val="TOC2"/>
        <w:rPr>
          <w:noProof/>
          <w:sz w:val="22"/>
        </w:rPr>
      </w:pPr>
      <w:hyperlink w:anchor="_Toc36224399" w:history="1">
        <w:r w:rsidR="003F123F" w:rsidRPr="00D9348B">
          <w:rPr>
            <w:rStyle w:val="Hyperlink"/>
            <w:noProof/>
          </w:rPr>
          <w:t>Chapter 4: References</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_Toc36224399 \h </w:instrText>
        </w:r>
        <w:r w:rsidR="003F123F" w:rsidRPr="00D9348B">
          <w:rPr>
            <w:noProof/>
            <w:webHidden/>
          </w:rPr>
        </w:r>
        <w:r w:rsidR="003F123F" w:rsidRPr="00D9348B">
          <w:rPr>
            <w:noProof/>
            <w:webHidden/>
          </w:rPr>
          <w:fldChar w:fldCharType="separate"/>
        </w:r>
        <w:r w:rsidR="00950F0A">
          <w:rPr>
            <w:noProof/>
            <w:webHidden/>
          </w:rPr>
          <w:t>154</w:t>
        </w:r>
        <w:r w:rsidR="003F123F" w:rsidRPr="00D9348B">
          <w:rPr>
            <w:noProof/>
            <w:webHidden/>
          </w:rPr>
          <w:fldChar w:fldCharType="end"/>
        </w:r>
      </w:hyperlink>
    </w:p>
    <w:p w14:paraId="5FE21B92" w14:textId="06D84875" w:rsidR="003F123F" w:rsidRPr="00D9348B" w:rsidRDefault="00DA6C03">
      <w:pPr>
        <w:pStyle w:val="TOC1"/>
        <w:rPr>
          <w:noProof/>
          <w:sz w:val="22"/>
        </w:rPr>
      </w:pPr>
      <w:hyperlink w:anchor="_Toc36224400" w:history="1">
        <w:r w:rsidR="003F123F" w:rsidRPr="00D9348B">
          <w:rPr>
            <w:rStyle w:val="Hyperlink"/>
            <w:rFonts w:cs="Calibri"/>
            <w:noProof/>
          </w:rPr>
          <w:t>Chapter 5: Agriculture</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_Toc36224400 \h </w:instrText>
        </w:r>
        <w:r w:rsidR="003F123F" w:rsidRPr="00D9348B">
          <w:rPr>
            <w:noProof/>
            <w:webHidden/>
          </w:rPr>
        </w:r>
        <w:r w:rsidR="003F123F" w:rsidRPr="00D9348B">
          <w:rPr>
            <w:noProof/>
            <w:webHidden/>
          </w:rPr>
          <w:fldChar w:fldCharType="separate"/>
        </w:r>
        <w:r w:rsidR="00950F0A">
          <w:rPr>
            <w:noProof/>
            <w:webHidden/>
          </w:rPr>
          <w:t>155</w:t>
        </w:r>
        <w:r w:rsidR="003F123F" w:rsidRPr="00D9348B">
          <w:rPr>
            <w:noProof/>
            <w:webHidden/>
          </w:rPr>
          <w:fldChar w:fldCharType="end"/>
        </w:r>
      </w:hyperlink>
    </w:p>
    <w:p w14:paraId="00488B75" w14:textId="51F527A4" w:rsidR="003F123F" w:rsidRPr="00D9348B" w:rsidRDefault="00DA6C03">
      <w:pPr>
        <w:pStyle w:val="TOC2"/>
        <w:rPr>
          <w:noProof/>
          <w:sz w:val="22"/>
        </w:rPr>
      </w:pPr>
      <w:hyperlink w:anchor="_Toc36224401" w:history="1">
        <w:r w:rsidR="003F123F" w:rsidRPr="00D9348B">
          <w:rPr>
            <w:rStyle w:val="Hyperlink"/>
            <w:rFonts w:cs="Calibri"/>
            <w:noProof/>
          </w:rPr>
          <w:t xml:space="preserve">5.1 </w:t>
        </w:r>
        <w:r w:rsidR="003F123F" w:rsidRPr="00D9348B">
          <w:rPr>
            <w:noProof/>
            <w:sz w:val="22"/>
          </w:rPr>
          <w:tab/>
        </w:r>
        <w:r w:rsidR="003F123F" w:rsidRPr="00D9348B">
          <w:rPr>
            <w:rStyle w:val="Hyperlink"/>
            <w:rFonts w:cs="Calibri"/>
            <w:noProof/>
          </w:rPr>
          <w:t>Sector overview</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_Toc36224401 \h </w:instrText>
        </w:r>
        <w:r w:rsidR="003F123F" w:rsidRPr="00D9348B">
          <w:rPr>
            <w:noProof/>
            <w:webHidden/>
          </w:rPr>
        </w:r>
        <w:r w:rsidR="003F123F" w:rsidRPr="00D9348B">
          <w:rPr>
            <w:noProof/>
            <w:webHidden/>
          </w:rPr>
          <w:fldChar w:fldCharType="separate"/>
        </w:r>
        <w:r w:rsidR="00950F0A">
          <w:rPr>
            <w:noProof/>
            <w:webHidden/>
          </w:rPr>
          <w:t>155</w:t>
        </w:r>
        <w:r w:rsidR="003F123F" w:rsidRPr="00D9348B">
          <w:rPr>
            <w:noProof/>
            <w:webHidden/>
          </w:rPr>
          <w:fldChar w:fldCharType="end"/>
        </w:r>
      </w:hyperlink>
    </w:p>
    <w:p w14:paraId="7A1AABB1" w14:textId="03BF6D5E" w:rsidR="003F123F" w:rsidRPr="00D9348B" w:rsidRDefault="00DA6C03">
      <w:pPr>
        <w:pStyle w:val="TOC2"/>
        <w:rPr>
          <w:noProof/>
          <w:sz w:val="22"/>
        </w:rPr>
      </w:pPr>
      <w:hyperlink w:anchor="_Toc36224402" w:history="1">
        <w:r w:rsidR="003F123F" w:rsidRPr="00D9348B">
          <w:rPr>
            <w:rStyle w:val="Hyperlink"/>
            <w:rFonts w:cs="Calibri"/>
            <w:noProof/>
          </w:rPr>
          <w:t>5.2</w:t>
        </w:r>
        <w:r w:rsidR="003F123F" w:rsidRPr="00D9348B">
          <w:rPr>
            <w:noProof/>
            <w:sz w:val="22"/>
          </w:rPr>
          <w:tab/>
        </w:r>
        <w:r w:rsidR="003F123F" w:rsidRPr="00D9348B">
          <w:rPr>
            <w:rStyle w:val="Hyperlink"/>
            <w:rFonts w:cs="Calibri"/>
            <w:noProof/>
          </w:rPr>
          <w:t>Enteric fermentation (CRF 3.A)</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_Toc36224402 \h </w:instrText>
        </w:r>
        <w:r w:rsidR="003F123F" w:rsidRPr="00D9348B">
          <w:rPr>
            <w:noProof/>
            <w:webHidden/>
          </w:rPr>
        </w:r>
        <w:r w:rsidR="003F123F" w:rsidRPr="00D9348B">
          <w:rPr>
            <w:noProof/>
            <w:webHidden/>
          </w:rPr>
          <w:fldChar w:fldCharType="separate"/>
        </w:r>
        <w:r w:rsidR="00950F0A">
          <w:rPr>
            <w:noProof/>
            <w:webHidden/>
          </w:rPr>
          <w:t>178</w:t>
        </w:r>
        <w:r w:rsidR="003F123F" w:rsidRPr="00D9348B">
          <w:rPr>
            <w:noProof/>
            <w:webHidden/>
          </w:rPr>
          <w:fldChar w:fldCharType="end"/>
        </w:r>
      </w:hyperlink>
    </w:p>
    <w:p w14:paraId="6C399B3D" w14:textId="2947E4AF" w:rsidR="003F123F" w:rsidRPr="00D9348B" w:rsidRDefault="00DA6C03">
      <w:pPr>
        <w:pStyle w:val="TOC2"/>
        <w:rPr>
          <w:noProof/>
          <w:sz w:val="22"/>
        </w:rPr>
      </w:pPr>
      <w:hyperlink w:anchor="_Toc36224403" w:history="1">
        <w:r w:rsidR="003F123F" w:rsidRPr="00D9348B">
          <w:rPr>
            <w:rStyle w:val="Hyperlink"/>
            <w:rFonts w:cs="Calibri"/>
            <w:noProof/>
          </w:rPr>
          <w:t>5.3</w:t>
        </w:r>
        <w:r w:rsidR="003F123F" w:rsidRPr="00D9348B">
          <w:rPr>
            <w:noProof/>
            <w:sz w:val="22"/>
          </w:rPr>
          <w:tab/>
        </w:r>
        <w:r w:rsidR="003F123F" w:rsidRPr="00D9348B">
          <w:rPr>
            <w:rStyle w:val="Hyperlink"/>
            <w:rFonts w:cs="Calibri"/>
            <w:noProof/>
          </w:rPr>
          <w:t>Manure management (CRF 3.B)</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_Toc36224403 \h </w:instrText>
        </w:r>
        <w:r w:rsidR="003F123F" w:rsidRPr="00D9348B">
          <w:rPr>
            <w:noProof/>
            <w:webHidden/>
          </w:rPr>
        </w:r>
        <w:r w:rsidR="003F123F" w:rsidRPr="00D9348B">
          <w:rPr>
            <w:noProof/>
            <w:webHidden/>
          </w:rPr>
          <w:fldChar w:fldCharType="separate"/>
        </w:r>
        <w:r w:rsidR="00950F0A">
          <w:rPr>
            <w:noProof/>
            <w:webHidden/>
          </w:rPr>
          <w:t>188</w:t>
        </w:r>
        <w:r w:rsidR="003F123F" w:rsidRPr="00D9348B">
          <w:rPr>
            <w:noProof/>
            <w:webHidden/>
          </w:rPr>
          <w:fldChar w:fldCharType="end"/>
        </w:r>
      </w:hyperlink>
    </w:p>
    <w:p w14:paraId="790557A3" w14:textId="781D14F9" w:rsidR="003F123F" w:rsidRPr="00D9348B" w:rsidRDefault="00DA6C03">
      <w:pPr>
        <w:pStyle w:val="TOC2"/>
        <w:rPr>
          <w:noProof/>
          <w:sz w:val="22"/>
        </w:rPr>
      </w:pPr>
      <w:hyperlink w:anchor="_Toc36224404" w:history="1">
        <w:r w:rsidR="003F123F" w:rsidRPr="00D9348B">
          <w:rPr>
            <w:rStyle w:val="Hyperlink"/>
            <w:rFonts w:cs="Calibri"/>
            <w:noProof/>
          </w:rPr>
          <w:t>5.4</w:t>
        </w:r>
        <w:r w:rsidR="003F123F" w:rsidRPr="00D9348B">
          <w:rPr>
            <w:noProof/>
            <w:sz w:val="22"/>
          </w:rPr>
          <w:tab/>
        </w:r>
        <w:r w:rsidR="003F123F" w:rsidRPr="00D9348B">
          <w:rPr>
            <w:rStyle w:val="Hyperlink"/>
            <w:rFonts w:cs="Calibri"/>
            <w:noProof/>
          </w:rPr>
          <w:t>Rice cultivation (CRF 3.C)</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_Toc36224404 \h </w:instrText>
        </w:r>
        <w:r w:rsidR="003F123F" w:rsidRPr="00D9348B">
          <w:rPr>
            <w:noProof/>
            <w:webHidden/>
          </w:rPr>
        </w:r>
        <w:r w:rsidR="003F123F" w:rsidRPr="00D9348B">
          <w:rPr>
            <w:noProof/>
            <w:webHidden/>
          </w:rPr>
          <w:fldChar w:fldCharType="separate"/>
        </w:r>
        <w:r w:rsidR="00950F0A">
          <w:rPr>
            <w:noProof/>
            <w:webHidden/>
          </w:rPr>
          <w:t>200</w:t>
        </w:r>
        <w:r w:rsidR="003F123F" w:rsidRPr="00D9348B">
          <w:rPr>
            <w:noProof/>
            <w:webHidden/>
          </w:rPr>
          <w:fldChar w:fldCharType="end"/>
        </w:r>
      </w:hyperlink>
    </w:p>
    <w:p w14:paraId="5CFFF862" w14:textId="6320D0D7" w:rsidR="003F123F" w:rsidRPr="00D9348B" w:rsidRDefault="00DA6C03">
      <w:pPr>
        <w:pStyle w:val="TOC2"/>
        <w:rPr>
          <w:noProof/>
          <w:sz w:val="22"/>
        </w:rPr>
      </w:pPr>
      <w:hyperlink w:anchor="_Toc36224405" w:history="1">
        <w:r w:rsidR="003F123F" w:rsidRPr="00D9348B">
          <w:rPr>
            <w:rStyle w:val="Hyperlink"/>
            <w:rFonts w:cs="Calibri"/>
            <w:noProof/>
          </w:rPr>
          <w:t>5.5</w:t>
        </w:r>
        <w:r w:rsidR="003F123F" w:rsidRPr="00D9348B">
          <w:rPr>
            <w:noProof/>
            <w:sz w:val="22"/>
          </w:rPr>
          <w:tab/>
        </w:r>
        <w:r w:rsidR="003F123F" w:rsidRPr="00D9348B">
          <w:rPr>
            <w:rStyle w:val="Hyperlink"/>
            <w:rFonts w:cs="Calibri"/>
            <w:noProof/>
          </w:rPr>
          <w:t>Agricultural soils (CRF 3.D)</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_Toc36224405 \h </w:instrText>
        </w:r>
        <w:r w:rsidR="003F123F" w:rsidRPr="00D9348B">
          <w:rPr>
            <w:noProof/>
            <w:webHidden/>
          </w:rPr>
        </w:r>
        <w:r w:rsidR="003F123F" w:rsidRPr="00D9348B">
          <w:rPr>
            <w:noProof/>
            <w:webHidden/>
          </w:rPr>
          <w:fldChar w:fldCharType="separate"/>
        </w:r>
        <w:r w:rsidR="00950F0A">
          <w:rPr>
            <w:noProof/>
            <w:webHidden/>
          </w:rPr>
          <w:t>200</w:t>
        </w:r>
        <w:r w:rsidR="003F123F" w:rsidRPr="00D9348B">
          <w:rPr>
            <w:noProof/>
            <w:webHidden/>
          </w:rPr>
          <w:fldChar w:fldCharType="end"/>
        </w:r>
      </w:hyperlink>
    </w:p>
    <w:p w14:paraId="62E89E4B" w14:textId="46F8C90A" w:rsidR="003F123F" w:rsidRPr="00D9348B" w:rsidRDefault="00DA6C03">
      <w:pPr>
        <w:pStyle w:val="TOC2"/>
        <w:rPr>
          <w:noProof/>
          <w:sz w:val="22"/>
        </w:rPr>
      </w:pPr>
      <w:hyperlink w:anchor="_Toc36224406" w:history="1">
        <w:r w:rsidR="003F123F" w:rsidRPr="00D9348B">
          <w:rPr>
            <w:rStyle w:val="Hyperlink"/>
            <w:rFonts w:cs="Calibri"/>
            <w:noProof/>
          </w:rPr>
          <w:t>5.6</w:t>
        </w:r>
        <w:r w:rsidR="003F123F" w:rsidRPr="00D9348B">
          <w:rPr>
            <w:noProof/>
            <w:sz w:val="22"/>
          </w:rPr>
          <w:tab/>
        </w:r>
        <w:r w:rsidR="003F123F" w:rsidRPr="00D9348B">
          <w:rPr>
            <w:rStyle w:val="Hyperlink"/>
            <w:rFonts w:cs="Calibri"/>
            <w:noProof/>
          </w:rPr>
          <w:t>Prescribed burning of savanna (CRF 3.E)</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_Toc36224406 \h </w:instrText>
        </w:r>
        <w:r w:rsidR="003F123F" w:rsidRPr="00D9348B">
          <w:rPr>
            <w:noProof/>
            <w:webHidden/>
          </w:rPr>
        </w:r>
        <w:r w:rsidR="003F123F" w:rsidRPr="00D9348B">
          <w:rPr>
            <w:noProof/>
            <w:webHidden/>
          </w:rPr>
          <w:fldChar w:fldCharType="separate"/>
        </w:r>
        <w:r w:rsidR="00950F0A">
          <w:rPr>
            <w:noProof/>
            <w:webHidden/>
          </w:rPr>
          <w:t>227</w:t>
        </w:r>
        <w:r w:rsidR="003F123F" w:rsidRPr="00D9348B">
          <w:rPr>
            <w:noProof/>
            <w:webHidden/>
          </w:rPr>
          <w:fldChar w:fldCharType="end"/>
        </w:r>
      </w:hyperlink>
    </w:p>
    <w:p w14:paraId="110D8328" w14:textId="6C84D260" w:rsidR="003F123F" w:rsidRPr="00D9348B" w:rsidRDefault="00DA6C03">
      <w:pPr>
        <w:pStyle w:val="TOC2"/>
        <w:rPr>
          <w:noProof/>
          <w:sz w:val="22"/>
        </w:rPr>
      </w:pPr>
      <w:hyperlink w:anchor="_Toc36224407" w:history="1">
        <w:r w:rsidR="003F123F" w:rsidRPr="00D9348B">
          <w:rPr>
            <w:rStyle w:val="Hyperlink"/>
            <w:rFonts w:cs="Calibri"/>
            <w:noProof/>
          </w:rPr>
          <w:t>5.7</w:t>
        </w:r>
        <w:r w:rsidR="003F123F" w:rsidRPr="00D9348B">
          <w:rPr>
            <w:noProof/>
            <w:sz w:val="22"/>
          </w:rPr>
          <w:tab/>
        </w:r>
        <w:r w:rsidR="003F123F" w:rsidRPr="00D9348B">
          <w:rPr>
            <w:rStyle w:val="Hyperlink"/>
            <w:rFonts w:cs="Calibri"/>
            <w:noProof/>
          </w:rPr>
          <w:t>Field burning of agricultural residues (CRF 3.F)</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_Toc36224407 \h </w:instrText>
        </w:r>
        <w:r w:rsidR="003F123F" w:rsidRPr="00D9348B">
          <w:rPr>
            <w:noProof/>
            <w:webHidden/>
          </w:rPr>
        </w:r>
        <w:r w:rsidR="003F123F" w:rsidRPr="00D9348B">
          <w:rPr>
            <w:noProof/>
            <w:webHidden/>
          </w:rPr>
          <w:fldChar w:fldCharType="separate"/>
        </w:r>
        <w:r w:rsidR="00950F0A">
          <w:rPr>
            <w:noProof/>
            <w:webHidden/>
          </w:rPr>
          <w:t>227</w:t>
        </w:r>
        <w:r w:rsidR="003F123F" w:rsidRPr="00D9348B">
          <w:rPr>
            <w:noProof/>
            <w:webHidden/>
          </w:rPr>
          <w:fldChar w:fldCharType="end"/>
        </w:r>
      </w:hyperlink>
    </w:p>
    <w:p w14:paraId="4E6D5C30" w14:textId="5CB433C7" w:rsidR="003F123F" w:rsidRPr="00D9348B" w:rsidRDefault="00DA6C03">
      <w:pPr>
        <w:pStyle w:val="TOC2"/>
        <w:rPr>
          <w:noProof/>
          <w:sz w:val="22"/>
        </w:rPr>
      </w:pPr>
      <w:hyperlink w:anchor="_Toc36224408" w:history="1">
        <w:r w:rsidR="003F123F" w:rsidRPr="00D9348B">
          <w:rPr>
            <w:rStyle w:val="Hyperlink"/>
            <w:rFonts w:cs="Calibri"/>
            <w:noProof/>
          </w:rPr>
          <w:t>5.8</w:t>
        </w:r>
        <w:r w:rsidR="003F123F" w:rsidRPr="00D9348B">
          <w:rPr>
            <w:noProof/>
            <w:sz w:val="22"/>
          </w:rPr>
          <w:tab/>
        </w:r>
        <w:r w:rsidR="003F123F" w:rsidRPr="00D9348B">
          <w:rPr>
            <w:rStyle w:val="Hyperlink"/>
            <w:rFonts w:cs="Calibri"/>
            <w:noProof/>
          </w:rPr>
          <w:t>Liming (CRF 3.G)</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_Toc36224408 \h </w:instrText>
        </w:r>
        <w:r w:rsidR="003F123F" w:rsidRPr="00D9348B">
          <w:rPr>
            <w:noProof/>
            <w:webHidden/>
          </w:rPr>
        </w:r>
        <w:r w:rsidR="003F123F" w:rsidRPr="00D9348B">
          <w:rPr>
            <w:noProof/>
            <w:webHidden/>
          </w:rPr>
          <w:fldChar w:fldCharType="separate"/>
        </w:r>
        <w:r w:rsidR="00950F0A">
          <w:rPr>
            <w:noProof/>
            <w:webHidden/>
          </w:rPr>
          <w:t>231</w:t>
        </w:r>
        <w:r w:rsidR="003F123F" w:rsidRPr="00D9348B">
          <w:rPr>
            <w:noProof/>
            <w:webHidden/>
          </w:rPr>
          <w:fldChar w:fldCharType="end"/>
        </w:r>
      </w:hyperlink>
    </w:p>
    <w:p w14:paraId="5476824A" w14:textId="54DCA744" w:rsidR="003F123F" w:rsidRPr="00D9348B" w:rsidRDefault="00DA6C03">
      <w:pPr>
        <w:pStyle w:val="TOC2"/>
        <w:rPr>
          <w:noProof/>
          <w:sz w:val="22"/>
        </w:rPr>
      </w:pPr>
      <w:hyperlink w:anchor="_Toc36224409" w:history="1">
        <w:r w:rsidR="003F123F" w:rsidRPr="00D9348B">
          <w:rPr>
            <w:rStyle w:val="Hyperlink"/>
            <w:rFonts w:cs="Calibri"/>
            <w:noProof/>
          </w:rPr>
          <w:t>5.9</w:t>
        </w:r>
        <w:r w:rsidR="003F123F" w:rsidRPr="00D9348B">
          <w:rPr>
            <w:noProof/>
            <w:sz w:val="22"/>
          </w:rPr>
          <w:tab/>
        </w:r>
        <w:r w:rsidR="003F123F" w:rsidRPr="00D9348B">
          <w:rPr>
            <w:rStyle w:val="Hyperlink"/>
            <w:rFonts w:cs="Calibri"/>
            <w:noProof/>
          </w:rPr>
          <w:t>Urea application (CRF 3.H)</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_Toc36224409 \h </w:instrText>
        </w:r>
        <w:r w:rsidR="003F123F" w:rsidRPr="00D9348B">
          <w:rPr>
            <w:noProof/>
            <w:webHidden/>
          </w:rPr>
        </w:r>
        <w:r w:rsidR="003F123F" w:rsidRPr="00D9348B">
          <w:rPr>
            <w:noProof/>
            <w:webHidden/>
          </w:rPr>
          <w:fldChar w:fldCharType="separate"/>
        </w:r>
        <w:r w:rsidR="00950F0A">
          <w:rPr>
            <w:noProof/>
            <w:webHidden/>
          </w:rPr>
          <w:t>233</w:t>
        </w:r>
        <w:r w:rsidR="003F123F" w:rsidRPr="00D9348B">
          <w:rPr>
            <w:noProof/>
            <w:webHidden/>
          </w:rPr>
          <w:fldChar w:fldCharType="end"/>
        </w:r>
      </w:hyperlink>
    </w:p>
    <w:p w14:paraId="61713D74" w14:textId="3C794E68" w:rsidR="003F123F" w:rsidRPr="00D9348B" w:rsidRDefault="00DA6C03">
      <w:pPr>
        <w:pStyle w:val="TOC2"/>
        <w:rPr>
          <w:noProof/>
          <w:sz w:val="22"/>
        </w:rPr>
      </w:pPr>
      <w:hyperlink w:anchor="_Toc36224410" w:history="1">
        <w:r w:rsidR="003F123F" w:rsidRPr="00D9348B">
          <w:rPr>
            <w:rStyle w:val="Hyperlink"/>
            <w:rFonts w:cs="Calibri"/>
            <w:noProof/>
          </w:rPr>
          <w:t xml:space="preserve">5.10 </w:t>
        </w:r>
        <w:r w:rsidR="003F123F" w:rsidRPr="00D9348B">
          <w:rPr>
            <w:noProof/>
            <w:sz w:val="22"/>
          </w:rPr>
          <w:tab/>
        </w:r>
        <w:r w:rsidR="003F123F" w:rsidRPr="00D9348B">
          <w:rPr>
            <w:rStyle w:val="Hyperlink"/>
            <w:rFonts w:cs="Calibri"/>
            <w:noProof/>
          </w:rPr>
          <w:t>Other carbon-containing fertilisers (CRF 3.I)</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_Toc36224410 \h </w:instrText>
        </w:r>
        <w:r w:rsidR="003F123F" w:rsidRPr="00D9348B">
          <w:rPr>
            <w:noProof/>
            <w:webHidden/>
          </w:rPr>
        </w:r>
        <w:r w:rsidR="003F123F" w:rsidRPr="00D9348B">
          <w:rPr>
            <w:noProof/>
            <w:webHidden/>
          </w:rPr>
          <w:fldChar w:fldCharType="separate"/>
        </w:r>
        <w:r w:rsidR="00950F0A">
          <w:rPr>
            <w:noProof/>
            <w:webHidden/>
          </w:rPr>
          <w:t>234</w:t>
        </w:r>
        <w:r w:rsidR="003F123F" w:rsidRPr="00D9348B">
          <w:rPr>
            <w:noProof/>
            <w:webHidden/>
          </w:rPr>
          <w:fldChar w:fldCharType="end"/>
        </w:r>
      </w:hyperlink>
    </w:p>
    <w:p w14:paraId="504F6C8C" w14:textId="312CFAD7" w:rsidR="003F123F" w:rsidRPr="00D9348B" w:rsidRDefault="00DA6C03">
      <w:pPr>
        <w:pStyle w:val="TOC2"/>
        <w:rPr>
          <w:noProof/>
          <w:sz w:val="22"/>
        </w:rPr>
      </w:pPr>
      <w:hyperlink w:anchor="_Toc36224411" w:history="1">
        <w:r w:rsidR="003F123F" w:rsidRPr="00D9348B">
          <w:rPr>
            <w:rStyle w:val="Hyperlink"/>
            <w:noProof/>
          </w:rPr>
          <w:t>Chapter 5: References</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_Toc36224411 \h </w:instrText>
        </w:r>
        <w:r w:rsidR="003F123F" w:rsidRPr="00D9348B">
          <w:rPr>
            <w:noProof/>
            <w:webHidden/>
          </w:rPr>
        </w:r>
        <w:r w:rsidR="003F123F" w:rsidRPr="00D9348B">
          <w:rPr>
            <w:noProof/>
            <w:webHidden/>
          </w:rPr>
          <w:fldChar w:fldCharType="separate"/>
        </w:r>
        <w:r w:rsidR="00950F0A">
          <w:rPr>
            <w:noProof/>
            <w:webHidden/>
          </w:rPr>
          <w:t>235</w:t>
        </w:r>
        <w:r w:rsidR="003F123F" w:rsidRPr="00D9348B">
          <w:rPr>
            <w:noProof/>
            <w:webHidden/>
          </w:rPr>
          <w:fldChar w:fldCharType="end"/>
        </w:r>
      </w:hyperlink>
    </w:p>
    <w:p w14:paraId="120415CC" w14:textId="103375C1" w:rsidR="003F123F" w:rsidRPr="00D9348B" w:rsidRDefault="00DA6C03">
      <w:pPr>
        <w:pStyle w:val="TOC1"/>
        <w:rPr>
          <w:noProof/>
          <w:sz w:val="22"/>
        </w:rPr>
      </w:pPr>
      <w:hyperlink w:anchor="_Toc36224412" w:history="1">
        <w:r w:rsidR="003F123F" w:rsidRPr="00D9348B">
          <w:rPr>
            <w:rStyle w:val="Hyperlink"/>
            <w:noProof/>
          </w:rPr>
          <w:t>Chapter 6: Land Use, Land-Use Change and Forestry (LULUCF)</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_Toc36224412 \h </w:instrText>
        </w:r>
        <w:r w:rsidR="003F123F" w:rsidRPr="00D9348B">
          <w:rPr>
            <w:noProof/>
            <w:webHidden/>
          </w:rPr>
        </w:r>
        <w:r w:rsidR="003F123F" w:rsidRPr="00D9348B">
          <w:rPr>
            <w:noProof/>
            <w:webHidden/>
          </w:rPr>
          <w:fldChar w:fldCharType="separate"/>
        </w:r>
        <w:r w:rsidR="00950F0A">
          <w:rPr>
            <w:noProof/>
            <w:webHidden/>
          </w:rPr>
          <w:t>241</w:t>
        </w:r>
        <w:r w:rsidR="003F123F" w:rsidRPr="00D9348B">
          <w:rPr>
            <w:noProof/>
            <w:webHidden/>
          </w:rPr>
          <w:fldChar w:fldCharType="end"/>
        </w:r>
      </w:hyperlink>
    </w:p>
    <w:p w14:paraId="41C4EBE8" w14:textId="5CA5D8A5" w:rsidR="003F123F" w:rsidRPr="00D9348B" w:rsidRDefault="00DA6C03">
      <w:pPr>
        <w:pStyle w:val="TOC2"/>
        <w:rPr>
          <w:noProof/>
          <w:sz w:val="22"/>
        </w:rPr>
      </w:pPr>
      <w:hyperlink w:anchor="_Toc36224413" w:history="1">
        <w:r w:rsidR="003F123F" w:rsidRPr="00D9348B">
          <w:rPr>
            <w:rStyle w:val="Hyperlink"/>
            <w:noProof/>
          </w:rPr>
          <w:t>6.1</w:t>
        </w:r>
        <w:r w:rsidR="003F123F" w:rsidRPr="00D9348B">
          <w:rPr>
            <w:noProof/>
            <w:sz w:val="22"/>
          </w:rPr>
          <w:tab/>
        </w:r>
        <w:r w:rsidR="003F123F" w:rsidRPr="00D9348B">
          <w:rPr>
            <w:rStyle w:val="Hyperlink"/>
            <w:noProof/>
          </w:rPr>
          <w:t>Sector overview</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_Toc36224413 \h </w:instrText>
        </w:r>
        <w:r w:rsidR="003F123F" w:rsidRPr="00D9348B">
          <w:rPr>
            <w:noProof/>
            <w:webHidden/>
          </w:rPr>
        </w:r>
        <w:r w:rsidR="003F123F" w:rsidRPr="00D9348B">
          <w:rPr>
            <w:noProof/>
            <w:webHidden/>
          </w:rPr>
          <w:fldChar w:fldCharType="separate"/>
        </w:r>
        <w:r w:rsidR="00950F0A">
          <w:rPr>
            <w:noProof/>
            <w:webHidden/>
          </w:rPr>
          <w:t>241</w:t>
        </w:r>
        <w:r w:rsidR="003F123F" w:rsidRPr="00D9348B">
          <w:rPr>
            <w:noProof/>
            <w:webHidden/>
          </w:rPr>
          <w:fldChar w:fldCharType="end"/>
        </w:r>
      </w:hyperlink>
    </w:p>
    <w:p w14:paraId="3A9AF0FC" w14:textId="4CE20AF6" w:rsidR="003F123F" w:rsidRPr="00D9348B" w:rsidRDefault="00DA6C03">
      <w:pPr>
        <w:pStyle w:val="TOC2"/>
        <w:rPr>
          <w:noProof/>
          <w:sz w:val="22"/>
        </w:rPr>
      </w:pPr>
      <w:hyperlink w:anchor="_Toc36224414" w:history="1">
        <w:r w:rsidR="003F123F" w:rsidRPr="00D9348B">
          <w:rPr>
            <w:rStyle w:val="Hyperlink"/>
            <w:noProof/>
          </w:rPr>
          <w:t>6.2</w:t>
        </w:r>
        <w:r w:rsidR="003F123F" w:rsidRPr="00D9348B">
          <w:rPr>
            <w:noProof/>
            <w:sz w:val="22"/>
          </w:rPr>
          <w:tab/>
        </w:r>
        <w:r w:rsidR="003F123F" w:rsidRPr="00D9348B">
          <w:rPr>
            <w:rStyle w:val="Hyperlink"/>
            <w:noProof/>
          </w:rPr>
          <w:t>Representation of land areas</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_Toc36224414 \h </w:instrText>
        </w:r>
        <w:r w:rsidR="003F123F" w:rsidRPr="00D9348B">
          <w:rPr>
            <w:noProof/>
            <w:webHidden/>
          </w:rPr>
        </w:r>
        <w:r w:rsidR="003F123F" w:rsidRPr="00D9348B">
          <w:rPr>
            <w:noProof/>
            <w:webHidden/>
          </w:rPr>
          <w:fldChar w:fldCharType="separate"/>
        </w:r>
        <w:r w:rsidR="00950F0A">
          <w:rPr>
            <w:noProof/>
            <w:webHidden/>
          </w:rPr>
          <w:t>252</w:t>
        </w:r>
        <w:r w:rsidR="003F123F" w:rsidRPr="00D9348B">
          <w:rPr>
            <w:noProof/>
            <w:webHidden/>
          </w:rPr>
          <w:fldChar w:fldCharType="end"/>
        </w:r>
      </w:hyperlink>
    </w:p>
    <w:p w14:paraId="651BB4E2" w14:textId="44C9F9AC" w:rsidR="003F123F" w:rsidRPr="00D9348B" w:rsidRDefault="00DA6C03">
      <w:pPr>
        <w:pStyle w:val="TOC2"/>
        <w:rPr>
          <w:noProof/>
          <w:sz w:val="22"/>
        </w:rPr>
      </w:pPr>
      <w:hyperlink w:anchor="_Toc36224415" w:history="1">
        <w:r w:rsidR="003F123F" w:rsidRPr="00D9348B">
          <w:rPr>
            <w:rStyle w:val="Hyperlink"/>
            <w:noProof/>
          </w:rPr>
          <w:t>6.3</w:t>
        </w:r>
        <w:r w:rsidR="003F123F" w:rsidRPr="00D9348B">
          <w:rPr>
            <w:noProof/>
            <w:sz w:val="22"/>
          </w:rPr>
          <w:tab/>
        </w:r>
        <w:r w:rsidR="003F123F" w:rsidRPr="00D9348B">
          <w:rPr>
            <w:rStyle w:val="Hyperlink"/>
            <w:noProof/>
          </w:rPr>
          <w:t>Soils</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_Toc36224415 \h </w:instrText>
        </w:r>
        <w:r w:rsidR="003F123F" w:rsidRPr="00D9348B">
          <w:rPr>
            <w:noProof/>
            <w:webHidden/>
          </w:rPr>
        </w:r>
        <w:r w:rsidR="003F123F" w:rsidRPr="00D9348B">
          <w:rPr>
            <w:noProof/>
            <w:webHidden/>
          </w:rPr>
          <w:fldChar w:fldCharType="separate"/>
        </w:r>
        <w:r w:rsidR="00950F0A">
          <w:rPr>
            <w:noProof/>
            <w:webHidden/>
          </w:rPr>
          <w:t>271</w:t>
        </w:r>
        <w:r w:rsidR="003F123F" w:rsidRPr="00D9348B">
          <w:rPr>
            <w:noProof/>
            <w:webHidden/>
          </w:rPr>
          <w:fldChar w:fldCharType="end"/>
        </w:r>
      </w:hyperlink>
    </w:p>
    <w:p w14:paraId="72F72AEC" w14:textId="229882EF" w:rsidR="003F123F" w:rsidRPr="00D9348B" w:rsidRDefault="00DA6C03">
      <w:pPr>
        <w:pStyle w:val="TOC2"/>
        <w:rPr>
          <w:noProof/>
          <w:sz w:val="22"/>
        </w:rPr>
      </w:pPr>
      <w:hyperlink w:anchor="_Toc36224416" w:history="1">
        <w:r w:rsidR="003F123F" w:rsidRPr="00D9348B">
          <w:rPr>
            <w:rStyle w:val="Hyperlink"/>
            <w:noProof/>
          </w:rPr>
          <w:t>6.4</w:t>
        </w:r>
        <w:r w:rsidR="003F123F" w:rsidRPr="00D9348B">
          <w:rPr>
            <w:noProof/>
            <w:sz w:val="22"/>
          </w:rPr>
          <w:tab/>
        </w:r>
        <w:r w:rsidR="003F123F" w:rsidRPr="00D9348B">
          <w:rPr>
            <w:rStyle w:val="Hyperlink"/>
            <w:noProof/>
          </w:rPr>
          <w:t>Forest land (CRF 4A)</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_Toc36224416 \h </w:instrText>
        </w:r>
        <w:r w:rsidR="003F123F" w:rsidRPr="00D9348B">
          <w:rPr>
            <w:noProof/>
            <w:webHidden/>
          </w:rPr>
        </w:r>
        <w:r w:rsidR="003F123F" w:rsidRPr="00D9348B">
          <w:rPr>
            <w:noProof/>
            <w:webHidden/>
          </w:rPr>
          <w:fldChar w:fldCharType="separate"/>
        </w:r>
        <w:r w:rsidR="00950F0A">
          <w:rPr>
            <w:noProof/>
            <w:webHidden/>
          </w:rPr>
          <w:t>281</w:t>
        </w:r>
        <w:r w:rsidR="003F123F" w:rsidRPr="00D9348B">
          <w:rPr>
            <w:noProof/>
            <w:webHidden/>
          </w:rPr>
          <w:fldChar w:fldCharType="end"/>
        </w:r>
      </w:hyperlink>
    </w:p>
    <w:p w14:paraId="0F36A45C" w14:textId="47242FBD" w:rsidR="003F123F" w:rsidRPr="00D9348B" w:rsidRDefault="00DA6C03">
      <w:pPr>
        <w:pStyle w:val="TOC2"/>
        <w:rPr>
          <w:noProof/>
          <w:sz w:val="22"/>
        </w:rPr>
      </w:pPr>
      <w:hyperlink w:anchor="_Toc36224417" w:history="1">
        <w:r w:rsidR="003F123F" w:rsidRPr="00D9348B">
          <w:rPr>
            <w:rStyle w:val="Hyperlink"/>
            <w:noProof/>
          </w:rPr>
          <w:t>6.5</w:t>
        </w:r>
        <w:r w:rsidR="003F123F" w:rsidRPr="00D9348B">
          <w:rPr>
            <w:noProof/>
            <w:sz w:val="22"/>
          </w:rPr>
          <w:tab/>
        </w:r>
        <w:r w:rsidR="003F123F" w:rsidRPr="00D9348B">
          <w:rPr>
            <w:rStyle w:val="Hyperlink"/>
            <w:noProof/>
          </w:rPr>
          <w:t>Cropland (CRF 4B)</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_Toc36224417 \h </w:instrText>
        </w:r>
        <w:r w:rsidR="003F123F" w:rsidRPr="00D9348B">
          <w:rPr>
            <w:noProof/>
            <w:webHidden/>
          </w:rPr>
        </w:r>
        <w:r w:rsidR="003F123F" w:rsidRPr="00D9348B">
          <w:rPr>
            <w:noProof/>
            <w:webHidden/>
          </w:rPr>
          <w:fldChar w:fldCharType="separate"/>
        </w:r>
        <w:r w:rsidR="00950F0A">
          <w:rPr>
            <w:noProof/>
            <w:webHidden/>
          </w:rPr>
          <w:t>308</w:t>
        </w:r>
        <w:r w:rsidR="003F123F" w:rsidRPr="00D9348B">
          <w:rPr>
            <w:noProof/>
            <w:webHidden/>
          </w:rPr>
          <w:fldChar w:fldCharType="end"/>
        </w:r>
      </w:hyperlink>
    </w:p>
    <w:p w14:paraId="3E4C2461" w14:textId="47571240" w:rsidR="003F123F" w:rsidRPr="00D9348B" w:rsidRDefault="00DA6C03">
      <w:pPr>
        <w:pStyle w:val="TOC2"/>
        <w:rPr>
          <w:noProof/>
          <w:sz w:val="22"/>
        </w:rPr>
      </w:pPr>
      <w:hyperlink w:anchor="_Toc36224418" w:history="1">
        <w:r w:rsidR="003F123F" w:rsidRPr="00D9348B">
          <w:rPr>
            <w:rStyle w:val="Hyperlink"/>
            <w:noProof/>
          </w:rPr>
          <w:t>6.6</w:t>
        </w:r>
        <w:r w:rsidR="003F123F" w:rsidRPr="00D9348B">
          <w:rPr>
            <w:noProof/>
            <w:sz w:val="22"/>
          </w:rPr>
          <w:tab/>
        </w:r>
        <w:r w:rsidR="003F123F" w:rsidRPr="00D9348B">
          <w:rPr>
            <w:rStyle w:val="Hyperlink"/>
            <w:noProof/>
          </w:rPr>
          <w:t>Grassland (CRF 4C)</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_Toc36224418 \h </w:instrText>
        </w:r>
        <w:r w:rsidR="003F123F" w:rsidRPr="00D9348B">
          <w:rPr>
            <w:noProof/>
            <w:webHidden/>
          </w:rPr>
        </w:r>
        <w:r w:rsidR="003F123F" w:rsidRPr="00D9348B">
          <w:rPr>
            <w:noProof/>
            <w:webHidden/>
          </w:rPr>
          <w:fldChar w:fldCharType="separate"/>
        </w:r>
        <w:r w:rsidR="00950F0A">
          <w:rPr>
            <w:noProof/>
            <w:webHidden/>
          </w:rPr>
          <w:t>314</w:t>
        </w:r>
        <w:r w:rsidR="003F123F" w:rsidRPr="00D9348B">
          <w:rPr>
            <w:noProof/>
            <w:webHidden/>
          </w:rPr>
          <w:fldChar w:fldCharType="end"/>
        </w:r>
      </w:hyperlink>
    </w:p>
    <w:p w14:paraId="0A1C779B" w14:textId="183F6158" w:rsidR="003F123F" w:rsidRPr="00D9348B" w:rsidRDefault="00DA6C03">
      <w:pPr>
        <w:pStyle w:val="TOC2"/>
        <w:rPr>
          <w:noProof/>
          <w:sz w:val="22"/>
        </w:rPr>
      </w:pPr>
      <w:hyperlink w:anchor="_Toc36224419" w:history="1">
        <w:r w:rsidR="003F123F" w:rsidRPr="00D9348B">
          <w:rPr>
            <w:rStyle w:val="Hyperlink"/>
            <w:noProof/>
          </w:rPr>
          <w:t>6.7</w:t>
        </w:r>
        <w:r w:rsidR="003F123F" w:rsidRPr="00D9348B">
          <w:rPr>
            <w:noProof/>
            <w:sz w:val="22"/>
          </w:rPr>
          <w:tab/>
        </w:r>
        <w:r w:rsidR="003F123F" w:rsidRPr="00D9348B">
          <w:rPr>
            <w:rStyle w:val="Hyperlink"/>
            <w:noProof/>
          </w:rPr>
          <w:t>Wetlands (CRF 4D)</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_Toc36224419 \h </w:instrText>
        </w:r>
        <w:r w:rsidR="003F123F" w:rsidRPr="00D9348B">
          <w:rPr>
            <w:noProof/>
            <w:webHidden/>
          </w:rPr>
        </w:r>
        <w:r w:rsidR="003F123F" w:rsidRPr="00D9348B">
          <w:rPr>
            <w:noProof/>
            <w:webHidden/>
          </w:rPr>
          <w:fldChar w:fldCharType="separate"/>
        </w:r>
        <w:r w:rsidR="00950F0A">
          <w:rPr>
            <w:noProof/>
            <w:webHidden/>
          </w:rPr>
          <w:t>320</w:t>
        </w:r>
        <w:r w:rsidR="003F123F" w:rsidRPr="00D9348B">
          <w:rPr>
            <w:noProof/>
            <w:webHidden/>
          </w:rPr>
          <w:fldChar w:fldCharType="end"/>
        </w:r>
      </w:hyperlink>
    </w:p>
    <w:p w14:paraId="01252B09" w14:textId="119FC11B" w:rsidR="003F123F" w:rsidRPr="00D9348B" w:rsidRDefault="00DA6C03">
      <w:pPr>
        <w:pStyle w:val="TOC2"/>
        <w:rPr>
          <w:noProof/>
          <w:sz w:val="22"/>
        </w:rPr>
      </w:pPr>
      <w:hyperlink w:anchor="_Toc36224420" w:history="1">
        <w:r w:rsidR="003F123F" w:rsidRPr="00D9348B">
          <w:rPr>
            <w:rStyle w:val="Hyperlink"/>
            <w:noProof/>
          </w:rPr>
          <w:t>6.8</w:t>
        </w:r>
        <w:r w:rsidR="003F123F" w:rsidRPr="00D9348B">
          <w:rPr>
            <w:noProof/>
            <w:sz w:val="22"/>
          </w:rPr>
          <w:tab/>
        </w:r>
        <w:r w:rsidR="003F123F" w:rsidRPr="00D9348B">
          <w:rPr>
            <w:rStyle w:val="Hyperlink"/>
            <w:noProof/>
          </w:rPr>
          <w:t>Settlements (CRF 4E)</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_Toc36224420 \h </w:instrText>
        </w:r>
        <w:r w:rsidR="003F123F" w:rsidRPr="00D9348B">
          <w:rPr>
            <w:noProof/>
            <w:webHidden/>
          </w:rPr>
        </w:r>
        <w:r w:rsidR="003F123F" w:rsidRPr="00D9348B">
          <w:rPr>
            <w:noProof/>
            <w:webHidden/>
          </w:rPr>
          <w:fldChar w:fldCharType="separate"/>
        </w:r>
        <w:r w:rsidR="00950F0A">
          <w:rPr>
            <w:noProof/>
            <w:webHidden/>
          </w:rPr>
          <w:t>324</w:t>
        </w:r>
        <w:r w:rsidR="003F123F" w:rsidRPr="00D9348B">
          <w:rPr>
            <w:noProof/>
            <w:webHidden/>
          </w:rPr>
          <w:fldChar w:fldCharType="end"/>
        </w:r>
      </w:hyperlink>
    </w:p>
    <w:p w14:paraId="09F0B4D1" w14:textId="105FBAF3" w:rsidR="003F123F" w:rsidRPr="00D9348B" w:rsidRDefault="00DA6C03">
      <w:pPr>
        <w:pStyle w:val="TOC2"/>
        <w:rPr>
          <w:noProof/>
          <w:sz w:val="22"/>
        </w:rPr>
      </w:pPr>
      <w:hyperlink w:anchor="_Toc36224421" w:history="1">
        <w:r w:rsidR="003F123F" w:rsidRPr="00D9348B">
          <w:rPr>
            <w:rStyle w:val="Hyperlink"/>
            <w:noProof/>
          </w:rPr>
          <w:t>6.9</w:t>
        </w:r>
        <w:r w:rsidR="003F123F" w:rsidRPr="00D9348B">
          <w:rPr>
            <w:noProof/>
            <w:sz w:val="22"/>
          </w:rPr>
          <w:tab/>
        </w:r>
        <w:r w:rsidR="003F123F" w:rsidRPr="00D9348B">
          <w:rPr>
            <w:rStyle w:val="Hyperlink"/>
            <w:noProof/>
          </w:rPr>
          <w:t>Other land (CRF 4F)</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_Toc36224421 \h </w:instrText>
        </w:r>
        <w:r w:rsidR="003F123F" w:rsidRPr="00D9348B">
          <w:rPr>
            <w:noProof/>
            <w:webHidden/>
          </w:rPr>
        </w:r>
        <w:r w:rsidR="003F123F" w:rsidRPr="00D9348B">
          <w:rPr>
            <w:noProof/>
            <w:webHidden/>
          </w:rPr>
          <w:fldChar w:fldCharType="separate"/>
        </w:r>
        <w:r w:rsidR="00950F0A">
          <w:rPr>
            <w:noProof/>
            <w:webHidden/>
          </w:rPr>
          <w:t>327</w:t>
        </w:r>
        <w:r w:rsidR="003F123F" w:rsidRPr="00D9348B">
          <w:rPr>
            <w:noProof/>
            <w:webHidden/>
          </w:rPr>
          <w:fldChar w:fldCharType="end"/>
        </w:r>
      </w:hyperlink>
    </w:p>
    <w:p w14:paraId="72556069" w14:textId="3C1BC61C" w:rsidR="003F123F" w:rsidRPr="00D9348B" w:rsidRDefault="00DA6C03">
      <w:pPr>
        <w:pStyle w:val="TOC2"/>
        <w:rPr>
          <w:noProof/>
          <w:sz w:val="22"/>
        </w:rPr>
      </w:pPr>
      <w:hyperlink w:anchor="_Toc36224422" w:history="1">
        <w:r w:rsidR="003F123F" w:rsidRPr="00D9348B">
          <w:rPr>
            <w:rStyle w:val="Hyperlink"/>
            <w:noProof/>
          </w:rPr>
          <w:t>6.10</w:t>
        </w:r>
        <w:r w:rsidR="003F123F" w:rsidRPr="00D9348B">
          <w:rPr>
            <w:noProof/>
            <w:sz w:val="22"/>
          </w:rPr>
          <w:tab/>
        </w:r>
        <w:r w:rsidR="003F123F" w:rsidRPr="00D9348B">
          <w:rPr>
            <w:rStyle w:val="Hyperlink"/>
            <w:noProof/>
          </w:rPr>
          <w:t>Harvested wood products (CRF 4G)</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_Toc36224422 \h </w:instrText>
        </w:r>
        <w:r w:rsidR="003F123F" w:rsidRPr="00D9348B">
          <w:rPr>
            <w:noProof/>
            <w:webHidden/>
          </w:rPr>
        </w:r>
        <w:r w:rsidR="003F123F" w:rsidRPr="00D9348B">
          <w:rPr>
            <w:noProof/>
            <w:webHidden/>
          </w:rPr>
          <w:fldChar w:fldCharType="separate"/>
        </w:r>
        <w:r w:rsidR="00950F0A">
          <w:rPr>
            <w:noProof/>
            <w:webHidden/>
          </w:rPr>
          <w:t>329</w:t>
        </w:r>
        <w:r w:rsidR="003F123F" w:rsidRPr="00D9348B">
          <w:rPr>
            <w:noProof/>
            <w:webHidden/>
          </w:rPr>
          <w:fldChar w:fldCharType="end"/>
        </w:r>
      </w:hyperlink>
    </w:p>
    <w:p w14:paraId="5060811C" w14:textId="15976FB2" w:rsidR="003F123F" w:rsidRPr="00D9348B" w:rsidRDefault="00DA6C03">
      <w:pPr>
        <w:pStyle w:val="TOC2"/>
        <w:rPr>
          <w:noProof/>
          <w:sz w:val="22"/>
        </w:rPr>
      </w:pPr>
      <w:hyperlink w:anchor="_Toc36224423" w:history="1">
        <w:r w:rsidR="003F123F" w:rsidRPr="00D9348B">
          <w:rPr>
            <w:rStyle w:val="Hyperlink"/>
            <w:noProof/>
          </w:rPr>
          <w:t>6.11</w:t>
        </w:r>
        <w:r w:rsidR="003F123F" w:rsidRPr="00D9348B">
          <w:rPr>
            <w:noProof/>
            <w:sz w:val="22"/>
          </w:rPr>
          <w:tab/>
        </w:r>
        <w:r w:rsidR="003F123F" w:rsidRPr="00D9348B">
          <w:rPr>
            <w:rStyle w:val="Hyperlink"/>
            <w:noProof/>
          </w:rPr>
          <w:t>Non-CO</w:t>
        </w:r>
        <w:r w:rsidR="003F123F" w:rsidRPr="00D9348B">
          <w:rPr>
            <w:rStyle w:val="Hyperlink"/>
            <w:rFonts w:ascii="Arial Bold" w:hAnsi="Arial Bold"/>
            <w:noProof/>
            <w:vertAlign w:val="subscript"/>
          </w:rPr>
          <w:t>2</w:t>
        </w:r>
        <w:r w:rsidR="003F123F" w:rsidRPr="00D9348B">
          <w:rPr>
            <w:rStyle w:val="Hyperlink"/>
            <w:noProof/>
          </w:rPr>
          <w:t xml:space="preserve"> emissions (CRF 4(I–V))</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_Toc36224423 \h </w:instrText>
        </w:r>
        <w:r w:rsidR="003F123F" w:rsidRPr="00D9348B">
          <w:rPr>
            <w:noProof/>
            <w:webHidden/>
          </w:rPr>
        </w:r>
        <w:r w:rsidR="003F123F" w:rsidRPr="00D9348B">
          <w:rPr>
            <w:noProof/>
            <w:webHidden/>
          </w:rPr>
          <w:fldChar w:fldCharType="separate"/>
        </w:r>
        <w:r w:rsidR="00950F0A">
          <w:rPr>
            <w:noProof/>
            <w:webHidden/>
          </w:rPr>
          <w:t>333</w:t>
        </w:r>
        <w:r w:rsidR="003F123F" w:rsidRPr="00D9348B">
          <w:rPr>
            <w:noProof/>
            <w:webHidden/>
          </w:rPr>
          <w:fldChar w:fldCharType="end"/>
        </w:r>
      </w:hyperlink>
    </w:p>
    <w:p w14:paraId="2145F30E" w14:textId="547C1882" w:rsidR="003F123F" w:rsidRPr="00D9348B" w:rsidRDefault="00DA6C03">
      <w:pPr>
        <w:pStyle w:val="TOC2"/>
        <w:rPr>
          <w:noProof/>
          <w:sz w:val="22"/>
        </w:rPr>
      </w:pPr>
      <w:hyperlink w:anchor="_Toc36224424" w:history="1">
        <w:r w:rsidR="003F123F" w:rsidRPr="00D9348B">
          <w:rPr>
            <w:rStyle w:val="Hyperlink"/>
            <w:noProof/>
          </w:rPr>
          <w:t>Chapter 6: References</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_Toc36224424 \h </w:instrText>
        </w:r>
        <w:r w:rsidR="003F123F" w:rsidRPr="00D9348B">
          <w:rPr>
            <w:noProof/>
            <w:webHidden/>
          </w:rPr>
        </w:r>
        <w:r w:rsidR="003F123F" w:rsidRPr="00D9348B">
          <w:rPr>
            <w:noProof/>
            <w:webHidden/>
          </w:rPr>
          <w:fldChar w:fldCharType="separate"/>
        </w:r>
        <w:r w:rsidR="00950F0A">
          <w:rPr>
            <w:noProof/>
            <w:webHidden/>
          </w:rPr>
          <w:t>340</w:t>
        </w:r>
        <w:r w:rsidR="003F123F" w:rsidRPr="00D9348B">
          <w:rPr>
            <w:noProof/>
            <w:webHidden/>
          </w:rPr>
          <w:fldChar w:fldCharType="end"/>
        </w:r>
      </w:hyperlink>
    </w:p>
    <w:p w14:paraId="138A186F" w14:textId="4BC51080" w:rsidR="003F123F" w:rsidRPr="00D9348B" w:rsidRDefault="00DA6C03">
      <w:pPr>
        <w:pStyle w:val="TOC1"/>
        <w:rPr>
          <w:noProof/>
          <w:sz w:val="22"/>
        </w:rPr>
      </w:pPr>
      <w:hyperlink w:anchor="_Toc36224425" w:history="1">
        <w:r w:rsidR="003F123F" w:rsidRPr="00D9348B">
          <w:rPr>
            <w:rStyle w:val="Hyperlink"/>
            <w:noProof/>
          </w:rPr>
          <w:t>Chapter 7: Waste</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_Toc36224425 \h </w:instrText>
        </w:r>
        <w:r w:rsidR="003F123F" w:rsidRPr="00D9348B">
          <w:rPr>
            <w:noProof/>
            <w:webHidden/>
          </w:rPr>
        </w:r>
        <w:r w:rsidR="003F123F" w:rsidRPr="00D9348B">
          <w:rPr>
            <w:noProof/>
            <w:webHidden/>
          </w:rPr>
          <w:fldChar w:fldCharType="separate"/>
        </w:r>
        <w:r w:rsidR="00950F0A">
          <w:rPr>
            <w:noProof/>
            <w:webHidden/>
          </w:rPr>
          <w:t>348</w:t>
        </w:r>
        <w:r w:rsidR="003F123F" w:rsidRPr="00D9348B">
          <w:rPr>
            <w:noProof/>
            <w:webHidden/>
          </w:rPr>
          <w:fldChar w:fldCharType="end"/>
        </w:r>
      </w:hyperlink>
    </w:p>
    <w:p w14:paraId="33D82494" w14:textId="78BFB476" w:rsidR="003F123F" w:rsidRPr="00D9348B" w:rsidRDefault="00DA6C03">
      <w:pPr>
        <w:pStyle w:val="TOC2"/>
        <w:rPr>
          <w:noProof/>
          <w:sz w:val="22"/>
        </w:rPr>
      </w:pPr>
      <w:hyperlink w:anchor="_Toc36224426" w:history="1">
        <w:r w:rsidR="003F123F" w:rsidRPr="00D9348B">
          <w:rPr>
            <w:rStyle w:val="Hyperlink"/>
            <w:noProof/>
          </w:rPr>
          <w:t>7.1</w:t>
        </w:r>
        <w:r w:rsidR="003F123F" w:rsidRPr="00D9348B">
          <w:rPr>
            <w:noProof/>
            <w:sz w:val="22"/>
          </w:rPr>
          <w:tab/>
        </w:r>
        <w:r w:rsidR="003F123F" w:rsidRPr="00D9348B">
          <w:rPr>
            <w:rStyle w:val="Hyperlink"/>
            <w:noProof/>
          </w:rPr>
          <w:t>Sector overview</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_Toc36224426 \h </w:instrText>
        </w:r>
        <w:r w:rsidR="003F123F" w:rsidRPr="00D9348B">
          <w:rPr>
            <w:noProof/>
            <w:webHidden/>
          </w:rPr>
        </w:r>
        <w:r w:rsidR="003F123F" w:rsidRPr="00D9348B">
          <w:rPr>
            <w:noProof/>
            <w:webHidden/>
          </w:rPr>
          <w:fldChar w:fldCharType="separate"/>
        </w:r>
        <w:r w:rsidR="00950F0A">
          <w:rPr>
            <w:noProof/>
            <w:webHidden/>
          </w:rPr>
          <w:t>348</w:t>
        </w:r>
        <w:r w:rsidR="003F123F" w:rsidRPr="00D9348B">
          <w:rPr>
            <w:noProof/>
            <w:webHidden/>
          </w:rPr>
          <w:fldChar w:fldCharType="end"/>
        </w:r>
      </w:hyperlink>
    </w:p>
    <w:p w14:paraId="06001BD5" w14:textId="331EC42F" w:rsidR="003F123F" w:rsidRPr="00D9348B" w:rsidRDefault="00DA6C03">
      <w:pPr>
        <w:pStyle w:val="TOC2"/>
        <w:rPr>
          <w:noProof/>
          <w:sz w:val="22"/>
        </w:rPr>
      </w:pPr>
      <w:hyperlink w:anchor="_Toc36224427" w:history="1">
        <w:r w:rsidR="003F123F" w:rsidRPr="00D9348B">
          <w:rPr>
            <w:rStyle w:val="Hyperlink"/>
            <w:noProof/>
          </w:rPr>
          <w:t>7.2</w:t>
        </w:r>
        <w:r w:rsidR="003F123F" w:rsidRPr="00D9348B">
          <w:rPr>
            <w:noProof/>
            <w:sz w:val="22"/>
          </w:rPr>
          <w:tab/>
        </w:r>
        <w:r w:rsidR="003F123F" w:rsidRPr="00D9348B">
          <w:rPr>
            <w:rStyle w:val="Hyperlink"/>
            <w:noProof/>
          </w:rPr>
          <w:t>Solid waste disposal (5.A)</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_Toc36224427 \h </w:instrText>
        </w:r>
        <w:r w:rsidR="003F123F" w:rsidRPr="00D9348B">
          <w:rPr>
            <w:noProof/>
            <w:webHidden/>
          </w:rPr>
        </w:r>
        <w:r w:rsidR="003F123F" w:rsidRPr="00D9348B">
          <w:rPr>
            <w:noProof/>
            <w:webHidden/>
          </w:rPr>
          <w:fldChar w:fldCharType="separate"/>
        </w:r>
        <w:r w:rsidR="00950F0A">
          <w:rPr>
            <w:noProof/>
            <w:webHidden/>
          </w:rPr>
          <w:t>352</w:t>
        </w:r>
        <w:r w:rsidR="003F123F" w:rsidRPr="00D9348B">
          <w:rPr>
            <w:noProof/>
            <w:webHidden/>
          </w:rPr>
          <w:fldChar w:fldCharType="end"/>
        </w:r>
      </w:hyperlink>
    </w:p>
    <w:p w14:paraId="4D387A98" w14:textId="7115BF34" w:rsidR="003F123F" w:rsidRPr="00D9348B" w:rsidRDefault="00DA6C03">
      <w:pPr>
        <w:pStyle w:val="TOC2"/>
        <w:rPr>
          <w:noProof/>
          <w:sz w:val="22"/>
        </w:rPr>
      </w:pPr>
      <w:hyperlink w:anchor="_Toc36224428" w:history="1">
        <w:r w:rsidR="003F123F" w:rsidRPr="00D9348B">
          <w:rPr>
            <w:rStyle w:val="Hyperlink"/>
            <w:noProof/>
          </w:rPr>
          <w:t>7.3</w:t>
        </w:r>
        <w:r w:rsidR="003F123F" w:rsidRPr="00D9348B">
          <w:rPr>
            <w:noProof/>
            <w:sz w:val="22"/>
          </w:rPr>
          <w:tab/>
        </w:r>
        <w:r w:rsidR="003F123F" w:rsidRPr="00D9348B">
          <w:rPr>
            <w:rStyle w:val="Hyperlink"/>
            <w:noProof/>
          </w:rPr>
          <w:t>Biological treatment of solid waste (5.B)</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_Toc36224428 \h </w:instrText>
        </w:r>
        <w:r w:rsidR="003F123F" w:rsidRPr="00D9348B">
          <w:rPr>
            <w:noProof/>
            <w:webHidden/>
          </w:rPr>
        </w:r>
        <w:r w:rsidR="003F123F" w:rsidRPr="00D9348B">
          <w:rPr>
            <w:noProof/>
            <w:webHidden/>
          </w:rPr>
          <w:fldChar w:fldCharType="separate"/>
        </w:r>
        <w:r w:rsidR="00950F0A">
          <w:rPr>
            <w:noProof/>
            <w:webHidden/>
          </w:rPr>
          <w:t>368</w:t>
        </w:r>
        <w:r w:rsidR="003F123F" w:rsidRPr="00D9348B">
          <w:rPr>
            <w:noProof/>
            <w:webHidden/>
          </w:rPr>
          <w:fldChar w:fldCharType="end"/>
        </w:r>
      </w:hyperlink>
    </w:p>
    <w:p w14:paraId="0AC3E640" w14:textId="6E736395" w:rsidR="003F123F" w:rsidRPr="00D9348B" w:rsidRDefault="00DA6C03">
      <w:pPr>
        <w:pStyle w:val="TOC2"/>
        <w:rPr>
          <w:noProof/>
          <w:sz w:val="22"/>
        </w:rPr>
      </w:pPr>
      <w:hyperlink w:anchor="_Toc36224429" w:history="1">
        <w:r w:rsidR="003F123F" w:rsidRPr="00D9348B">
          <w:rPr>
            <w:rStyle w:val="Hyperlink"/>
            <w:noProof/>
          </w:rPr>
          <w:t>7.4</w:t>
        </w:r>
        <w:r w:rsidR="003F123F" w:rsidRPr="00D9348B">
          <w:rPr>
            <w:noProof/>
            <w:sz w:val="22"/>
          </w:rPr>
          <w:tab/>
        </w:r>
        <w:r w:rsidR="003F123F" w:rsidRPr="00D9348B">
          <w:rPr>
            <w:rStyle w:val="Hyperlink"/>
            <w:noProof/>
          </w:rPr>
          <w:t>Incineration and open burning of waste (5.C)</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_Toc36224429 \h </w:instrText>
        </w:r>
        <w:r w:rsidR="003F123F" w:rsidRPr="00D9348B">
          <w:rPr>
            <w:noProof/>
            <w:webHidden/>
          </w:rPr>
        </w:r>
        <w:r w:rsidR="003F123F" w:rsidRPr="00D9348B">
          <w:rPr>
            <w:noProof/>
            <w:webHidden/>
          </w:rPr>
          <w:fldChar w:fldCharType="separate"/>
        </w:r>
        <w:r w:rsidR="00950F0A">
          <w:rPr>
            <w:noProof/>
            <w:webHidden/>
          </w:rPr>
          <w:t>370</w:t>
        </w:r>
        <w:r w:rsidR="003F123F" w:rsidRPr="00D9348B">
          <w:rPr>
            <w:noProof/>
            <w:webHidden/>
          </w:rPr>
          <w:fldChar w:fldCharType="end"/>
        </w:r>
      </w:hyperlink>
    </w:p>
    <w:p w14:paraId="1864CE3D" w14:textId="1BE38471" w:rsidR="003F123F" w:rsidRPr="00D9348B" w:rsidRDefault="00DA6C03">
      <w:pPr>
        <w:pStyle w:val="TOC2"/>
        <w:rPr>
          <w:noProof/>
          <w:sz w:val="22"/>
        </w:rPr>
      </w:pPr>
      <w:hyperlink w:anchor="_Toc36224430" w:history="1">
        <w:r w:rsidR="003F123F" w:rsidRPr="00D9348B">
          <w:rPr>
            <w:rStyle w:val="Hyperlink"/>
            <w:noProof/>
          </w:rPr>
          <w:t xml:space="preserve">7.5 </w:t>
        </w:r>
        <w:r w:rsidR="003F123F" w:rsidRPr="00D9348B">
          <w:rPr>
            <w:noProof/>
            <w:sz w:val="22"/>
          </w:rPr>
          <w:tab/>
        </w:r>
        <w:r w:rsidR="003F123F" w:rsidRPr="00D9348B">
          <w:rPr>
            <w:rStyle w:val="Hyperlink"/>
            <w:noProof/>
          </w:rPr>
          <w:t>Wastewater treatment and discharge (5.D)</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_Toc36224430 \h </w:instrText>
        </w:r>
        <w:r w:rsidR="003F123F" w:rsidRPr="00D9348B">
          <w:rPr>
            <w:noProof/>
            <w:webHidden/>
          </w:rPr>
        </w:r>
        <w:r w:rsidR="003F123F" w:rsidRPr="00D9348B">
          <w:rPr>
            <w:noProof/>
            <w:webHidden/>
          </w:rPr>
          <w:fldChar w:fldCharType="separate"/>
        </w:r>
        <w:r w:rsidR="00950F0A">
          <w:rPr>
            <w:noProof/>
            <w:webHidden/>
          </w:rPr>
          <w:t>375</w:t>
        </w:r>
        <w:r w:rsidR="003F123F" w:rsidRPr="00D9348B">
          <w:rPr>
            <w:noProof/>
            <w:webHidden/>
          </w:rPr>
          <w:fldChar w:fldCharType="end"/>
        </w:r>
      </w:hyperlink>
    </w:p>
    <w:p w14:paraId="6E48BB58" w14:textId="3E169FB1" w:rsidR="003F123F" w:rsidRPr="00D9348B" w:rsidRDefault="00DA6C03">
      <w:pPr>
        <w:pStyle w:val="TOC2"/>
        <w:rPr>
          <w:noProof/>
          <w:sz w:val="22"/>
        </w:rPr>
      </w:pPr>
      <w:hyperlink w:anchor="_Toc36224431" w:history="1">
        <w:r w:rsidR="003F123F" w:rsidRPr="00D9348B">
          <w:rPr>
            <w:rStyle w:val="Hyperlink"/>
            <w:noProof/>
          </w:rPr>
          <w:t>Chapter 7: References</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_Toc36224431 \h </w:instrText>
        </w:r>
        <w:r w:rsidR="003F123F" w:rsidRPr="00D9348B">
          <w:rPr>
            <w:noProof/>
            <w:webHidden/>
          </w:rPr>
        </w:r>
        <w:r w:rsidR="003F123F" w:rsidRPr="00D9348B">
          <w:rPr>
            <w:noProof/>
            <w:webHidden/>
          </w:rPr>
          <w:fldChar w:fldCharType="separate"/>
        </w:r>
        <w:r w:rsidR="00950F0A">
          <w:rPr>
            <w:noProof/>
            <w:webHidden/>
          </w:rPr>
          <w:t>388</w:t>
        </w:r>
        <w:r w:rsidR="003F123F" w:rsidRPr="00D9348B">
          <w:rPr>
            <w:noProof/>
            <w:webHidden/>
          </w:rPr>
          <w:fldChar w:fldCharType="end"/>
        </w:r>
      </w:hyperlink>
    </w:p>
    <w:p w14:paraId="77482038" w14:textId="3BF01E93" w:rsidR="003F123F" w:rsidRPr="00D9348B" w:rsidRDefault="00DA6C03">
      <w:pPr>
        <w:pStyle w:val="TOC1"/>
        <w:rPr>
          <w:noProof/>
          <w:sz w:val="22"/>
        </w:rPr>
      </w:pPr>
      <w:hyperlink w:anchor="_Toc36224432" w:history="1">
        <w:r w:rsidR="003F123F" w:rsidRPr="00D9348B">
          <w:rPr>
            <w:rStyle w:val="Hyperlink"/>
            <w:noProof/>
          </w:rPr>
          <w:t>Chapter 8: Tokelau (other) sector</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_Toc36224432 \h </w:instrText>
        </w:r>
        <w:r w:rsidR="003F123F" w:rsidRPr="00D9348B">
          <w:rPr>
            <w:noProof/>
            <w:webHidden/>
          </w:rPr>
        </w:r>
        <w:r w:rsidR="003F123F" w:rsidRPr="00D9348B">
          <w:rPr>
            <w:noProof/>
            <w:webHidden/>
          </w:rPr>
          <w:fldChar w:fldCharType="separate"/>
        </w:r>
        <w:r w:rsidR="00950F0A">
          <w:rPr>
            <w:noProof/>
            <w:webHidden/>
          </w:rPr>
          <w:t>390</w:t>
        </w:r>
        <w:r w:rsidR="003F123F" w:rsidRPr="00D9348B">
          <w:rPr>
            <w:noProof/>
            <w:webHidden/>
          </w:rPr>
          <w:fldChar w:fldCharType="end"/>
        </w:r>
      </w:hyperlink>
    </w:p>
    <w:p w14:paraId="2508EAEC" w14:textId="1F8D6DAF" w:rsidR="003F123F" w:rsidRPr="00D9348B" w:rsidRDefault="00DA6C03">
      <w:pPr>
        <w:pStyle w:val="TOC2"/>
        <w:rPr>
          <w:noProof/>
          <w:sz w:val="22"/>
        </w:rPr>
      </w:pPr>
      <w:hyperlink w:anchor="_Toc36224433" w:history="1">
        <w:r w:rsidR="003F123F" w:rsidRPr="00D9348B">
          <w:rPr>
            <w:rStyle w:val="Hyperlink"/>
            <w:noProof/>
          </w:rPr>
          <w:t xml:space="preserve">8.1 </w:t>
        </w:r>
        <w:r w:rsidR="003F123F" w:rsidRPr="00D9348B">
          <w:rPr>
            <w:noProof/>
            <w:sz w:val="22"/>
          </w:rPr>
          <w:tab/>
        </w:r>
        <w:r w:rsidR="003F123F" w:rsidRPr="00D9348B">
          <w:rPr>
            <w:rStyle w:val="Hyperlink"/>
            <w:noProof/>
          </w:rPr>
          <w:t>Tokelau overview</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_Toc36224433 \h </w:instrText>
        </w:r>
        <w:r w:rsidR="003F123F" w:rsidRPr="00D9348B">
          <w:rPr>
            <w:noProof/>
            <w:webHidden/>
          </w:rPr>
        </w:r>
        <w:r w:rsidR="003F123F" w:rsidRPr="00D9348B">
          <w:rPr>
            <w:noProof/>
            <w:webHidden/>
          </w:rPr>
          <w:fldChar w:fldCharType="separate"/>
        </w:r>
        <w:r w:rsidR="00950F0A">
          <w:rPr>
            <w:noProof/>
            <w:webHidden/>
          </w:rPr>
          <w:t>390</w:t>
        </w:r>
        <w:r w:rsidR="003F123F" w:rsidRPr="00D9348B">
          <w:rPr>
            <w:noProof/>
            <w:webHidden/>
          </w:rPr>
          <w:fldChar w:fldCharType="end"/>
        </w:r>
      </w:hyperlink>
    </w:p>
    <w:p w14:paraId="62292CD5" w14:textId="47FDC0C0" w:rsidR="003F123F" w:rsidRPr="00D9348B" w:rsidRDefault="00DA6C03">
      <w:pPr>
        <w:pStyle w:val="TOC2"/>
        <w:rPr>
          <w:noProof/>
          <w:sz w:val="22"/>
        </w:rPr>
      </w:pPr>
      <w:hyperlink w:anchor="_Toc36224434" w:history="1">
        <w:r w:rsidR="003F123F" w:rsidRPr="00D9348B">
          <w:rPr>
            <w:rStyle w:val="Hyperlink"/>
            <w:noProof/>
          </w:rPr>
          <w:t xml:space="preserve">8.2 </w:t>
        </w:r>
        <w:r w:rsidR="003F123F" w:rsidRPr="00D9348B">
          <w:rPr>
            <w:noProof/>
            <w:sz w:val="22"/>
          </w:rPr>
          <w:tab/>
        </w:r>
        <w:r w:rsidR="003F123F" w:rsidRPr="00D9348B">
          <w:rPr>
            <w:rStyle w:val="Hyperlink"/>
            <w:noProof/>
          </w:rPr>
          <w:t>Energy emissions from Tokelau (CRF 6. Tokelau_1)</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_Toc36224434 \h </w:instrText>
        </w:r>
        <w:r w:rsidR="003F123F" w:rsidRPr="00D9348B">
          <w:rPr>
            <w:noProof/>
            <w:webHidden/>
          </w:rPr>
        </w:r>
        <w:r w:rsidR="003F123F" w:rsidRPr="00D9348B">
          <w:rPr>
            <w:noProof/>
            <w:webHidden/>
          </w:rPr>
          <w:fldChar w:fldCharType="separate"/>
        </w:r>
        <w:r w:rsidR="00950F0A">
          <w:rPr>
            <w:noProof/>
            <w:webHidden/>
          </w:rPr>
          <w:t>397</w:t>
        </w:r>
        <w:r w:rsidR="003F123F" w:rsidRPr="00D9348B">
          <w:rPr>
            <w:noProof/>
            <w:webHidden/>
          </w:rPr>
          <w:fldChar w:fldCharType="end"/>
        </w:r>
      </w:hyperlink>
    </w:p>
    <w:p w14:paraId="60A9E40F" w14:textId="07AF65C1" w:rsidR="003F123F" w:rsidRPr="00D9348B" w:rsidRDefault="00DA6C03">
      <w:pPr>
        <w:pStyle w:val="TOC2"/>
        <w:rPr>
          <w:noProof/>
          <w:sz w:val="22"/>
        </w:rPr>
      </w:pPr>
      <w:hyperlink w:anchor="_Toc36224435" w:history="1">
        <w:r w:rsidR="003F123F" w:rsidRPr="00D9348B">
          <w:rPr>
            <w:rStyle w:val="Hyperlink"/>
            <w:noProof/>
          </w:rPr>
          <w:t>8.3</w:t>
        </w:r>
        <w:r w:rsidR="003F123F" w:rsidRPr="00D9348B">
          <w:rPr>
            <w:noProof/>
            <w:sz w:val="22"/>
          </w:rPr>
          <w:tab/>
        </w:r>
        <w:r w:rsidR="003F123F" w:rsidRPr="00D9348B">
          <w:rPr>
            <w:rStyle w:val="Hyperlink"/>
            <w:noProof/>
          </w:rPr>
          <w:t>Emissions from Industrial Processes and Product Use in Tokelau (CRF 6. Tokelau_2)</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_Toc36224435 \h </w:instrText>
        </w:r>
        <w:r w:rsidR="003F123F" w:rsidRPr="00D9348B">
          <w:rPr>
            <w:noProof/>
            <w:webHidden/>
          </w:rPr>
        </w:r>
        <w:r w:rsidR="003F123F" w:rsidRPr="00D9348B">
          <w:rPr>
            <w:noProof/>
            <w:webHidden/>
          </w:rPr>
          <w:fldChar w:fldCharType="separate"/>
        </w:r>
        <w:r w:rsidR="00950F0A">
          <w:rPr>
            <w:noProof/>
            <w:webHidden/>
          </w:rPr>
          <w:t>406</w:t>
        </w:r>
        <w:r w:rsidR="003F123F" w:rsidRPr="00D9348B">
          <w:rPr>
            <w:noProof/>
            <w:webHidden/>
          </w:rPr>
          <w:fldChar w:fldCharType="end"/>
        </w:r>
      </w:hyperlink>
    </w:p>
    <w:p w14:paraId="709EF6E0" w14:textId="224BAA76" w:rsidR="003F123F" w:rsidRPr="00D9348B" w:rsidRDefault="00DA6C03">
      <w:pPr>
        <w:pStyle w:val="TOC2"/>
        <w:rPr>
          <w:noProof/>
          <w:sz w:val="22"/>
        </w:rPr>
      </w:pPr>
      <w:hyperlink w:anchor="_Toc36224436" w:history="1">
        <w:r w:rsidR="003F123F" w:rsidRPr="00D9348B">
          <w:rPr>
            <w:rStyle w:val="Hyperlink"/>
            <w:noProof/>
          </w:rPr>
          <w:t>8.4</w:t>
        </w:r>
        <w:r w:rsidR="003F123F" w:rsidRPr="00D9348B">
          <w:rPr>
            <w:noProof/>
            <w:sz w:val="22"/>
          </w:rPr>
          <w:tab/>
        </w:r>
        <w:r w:rsidR="003F123F" w:rsidRPr="00D9348B">
          <w:rPr>
            <w:rStyle w:val="Hyperlink"/>
            <w:noProof/>
          </w:rPr>
          <w:t>Emissions from the Agriculture sector in Tokelau (CRF 6. Tokelau_3)</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_Toc36224436 \h </w:instrText>
        </w:r>
        <w:r w:rsidR="003F123F" w:rsidRPr="00D9348B">
          <w:rPr>
            <w:noProof/>
            <w:webHidden/>
          </w:rPr>
        </w:r>
        <w:r w:rsidR="003F123F" w:rsidRPr="00D9348B">
          <w:rPr>
            <w:noProof/>
            <w:webHidden/>
          </w:rPr>
          <w:fldChar w:fldCharType="separate"/>
        </w:r>
        <w:r w:rsidR="00950F0A">
          <w:rPr>
            <w:noProof/>
            <w:webHidden/>
          </w:rPr>
          <w:t>409</w:t>
        </w:r>
        <w:r w:rsidR="003F123F" w:rsidRPr="00D9348B">
          <w:rPr>
            <w:noProof/>
            <w:webHidden/>
          </w:rPr>
          <w:fldChar w:fldCharType="end"/>
        </w:r>
      </w:hyperlink>
    </w:p>
    <w:p w14:paraId="1D71F101" w14:textId="65DCFC83" w:rsidR="003F123F" w:rsidRPr="00D9348B" w:rsidRDefault="00DA6C03">
      <w:pPr>
        <w:pStyle w:val="TOC2"/>
        <w:rPr>
          <w:noProof/>
          <w:sz w:val="22"/>
        </w:rPr>
      </w:pPr>
      <w:hyperlink w:anchor="_Toc36224437" w:history="1">
        <w:r w:rsidR="003F123F" w:rsidRPr="00D9348B">
          <w:rPr>
            <w:rStyle w:val="Hyperlink"/>
            <w:noProof/>
          </w:rPr>
          <w:t xml:space="preserve">8.5 </w:t>
        </w:r>
        <w:r w:rsidR="003F123F" w:rsidRPr="00D9348B">
          <w:rPr>
            <w:noProof/>
            <w:sz w:val="22"/>
          </w:rPr>
          <w:tab/>
        </w:r>
        <w:r w:rsidR="003F123F" w:rsidRPr="00D9348B">
          <w:rPr>
            <w:rStyle w:val="Hyperlink"/>
            <w:noProof/>
          </w:rPr>
          <w:t>Emissions from the Waste sector in Tokelau (CRF 6 Tokelau_5)</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_Toc36224437 \h </w:instrText>
        </w:r>
        <w:r w:rsidR="003F123F" w:rsidRPr="00D9348B">
          <w:rPr>
            <w:noProof/>
            <w:webHidden/>
          </w:rPr>
        </w:r>
        <w:r w:rsidR="003F123F" w:rsidRPr="00D9348B">
          <w:rPr>
            <w:noProof/>
            <w:webHidden/>
          </w:rPr>
          <w:fldChar w:fldCharType="separate"/>
        </w:r>
        <w:r w:rsidR="00950F0A">
          <w:rPr>
            <w:noProof/>
            <w:webHidden/>
          </w:rPr>
          <w:t>412</w:t>
        </w:r>
        <w:r w:rsidR="003F123F" w:rsidRPr="00D9348B">
          <w:rPr>
            <w:noProof/>
            <w:webHidden/>
          </w:rPr>
          <w:fldChar w:fldCharType="end"/>
        </w:r>
      </w:hyperlink>
    </w:p>
    <w:p w14:paraId="37377022" w14:textId="3409EBF1" w:rsidR="003F123F" w:rsidRPr="00D9348B" w:rsidRDefault="00DA6C03">
      <w:pPr>
        <w:pStyle w:val="TOC2"/>
        <w:rPr>
          <w:noProof/>
          <w:sz w:val="22"/>
        </w:rPr>
      </w:pPr>
      <w:hyperlink w:anchor="_Toc36224438" w:history="1">
        <w:r w:rsidR="003F123F" w:rsidRPr="00D9348B">
          <w:rPr>
            <w:rStyle w:val="Hyperlink"/>
            <w:noProof/>
          </w:rPr>
          <w:t>Chapter 8: References</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_Toc36224438 \h </w:instrText>
        </w:r>
        <w:r w:rsidR="003F123F" w:rsidRPr="00D9348B">
          <w:rPr>
            <w:noProof/>
            <w:webHidden/>
          </w:rPr>
        </w:r>
        <w:r w:rsidR="003F123F" w:rsidRPr="00D9348B">
          <w:rPr>
            <w:noProof/>
            <w:webHidden/>
          </w:rPr>
          <w:fldChar w:fldCharType="separate"/>
        </w:r>
        <w:r w:rsidR="00950F0A">
          <w:rPr>
            <w:noProof/>
            <w:webHidden/>
          </w:rPr>
          <w:t>419</w:t>
        </w:r>
        <w:r w:rsidR="003F123F" w:rsidRPr="00D9348B">
          <w:rPr>
            <w:noProof/>
            <w:webHidden/>
          </w:rPr>
          <w:fldChar w:fldCharType="end"/>
        </w:r>
      </w:hyperlink>
    </w:p>
    <w:p w14:paraId="64D587BD" w14:textId="6610CCAB" w:rsidR="003F123F" w:rsidRPr="00D9348B" w:rsidRDefault="00DA6C03">
      <w:pPr>
        <w:pStyle w:val="TOC1"/>
        <w:rPr>
          <w:noProof/>
          <w:sz w:val="22"/>
        </w:rPr>
      </w:pPr>
      <w:hyperlink w:anchor="_Toc36224439" w:history="1">
        <w:r w:rsidR="003F123F" w:rsidRPr="00D9348B">
          <w:rPr>
            <w:rStyle w:val="Hyperlink"/>
            <w:noProof/>
          </w:rPr>
          <w:t>Chapter 9: Indirect carbon dioxide and nitrous oxide emissions</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_Toc36224439 \h </w:instrText>
        </w:r>
        <w:r w:rsidR="003F123F" w:rsidRPr="00D9348B">
          <w:rPr>
            <w:noProof/>
            <w:webHidden/>
          </w:rPr>
        </w:r>
        <w:r w:rsidR="003F123F" w:rsidRPr="00D9348B">
          <w:rPr>
            <w:noProof/>
            <w:webHidden/>
          </w:rPr>
          <w:fldChar w:fldCharType="separate"/>
        </w:r>
        <w:r w:rsidR="00950F0A">
          <w:rPr>
            <w:noProof/>
            <w:webHidden/>
          </w:rPr>
          <w:t>420</w:t>
        </w:r>
        <w:r w:rsidR="003F123F" w:rsidRPr="00D9348B">
          <w:rPr>
            <w:noProof/>
            <w:webHidden/>
          </w:rPr>
          <w:fldChar w:fldCharType="end"/>
        </w:r>
      </w:hyperlink>
    </w:p>
    <w:p w14:paraId="6EC5511F" w14:textId="48428864" w:rsidR="003F123F" w:rsidRPr="00D9348B" w:rsidRDefault="00DA6C03">
      <w:pPr>
        <w:pStyle w:val="TOC1"/>
        <w:rPr>
          <w:noProof/>
          <w:sz w:val="22"/>
        </w:rPr>
      </w:pPr>
      <w:hyperlink w:anchor="_Toc36224440" w:history="1">
        <w:r w:rsidR="003F123F" w:rsidRPr="00D9348B">
          <w:rPr>
            <w:rStyle w:val="Hyperlink"/>
            <w:noProof/>
          </w:rPr>
          <w:t>Chapter 10: Recalculations and improvements</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_Toc36224440 \h </w:instrText>
        </w:r>
        <w:r w:rsidR="003F123F" w:rsidRPr="00D9348B">
          <w:rPr>
            <w:noProof/>
            <w:webHidden/>
          </w:rPr>
        </w:r>
        <w:r w:rsidR="003F123F" w:rsidRPr="00D9348B">
          <w:rPr>
            <w:noProof/>
            <w:webHidden/>
          </w:rPr>
          <w:fldChar w:fldCharType="separate"/>
        </w:r>
        <w:r w:rsidR="00950F0A">
          <w:rPr>
            <w:noProof/>
            <w:webHidden/>
          </w:rPr>
          <w:t>421</w:t>
        </w:r>
        <w:r w:rsidR="003F123F" w:rsidRPr="00D9348B">
          <w:rPr>
            <w:noProof/>
            <w:webHidden/>
          </w:rPr>
          <w:fldChar w:fldCharType="end"/>
        </w:r>
      </w:hyperlink>
    </w:p>
    <w:p w14:paraId="22C60EF2" w14:textId="40D38B61" w:rsidR="003F123F" w:rsidRPr="00D9348B" w:rsidRDefault="00DA6C03">
      <w:pPr>
        <w:pStyle w:val="TOC2"/>
        <w:rPr>
          <w:noProof/>
          <w:sz w:val="22"/>
        </w:rPr>
      </w:pPr>
      <w:hyperlink w:anchor="_Toc36224441" w:history="1">
        <w:r w:rsidR="003F123F" w:rsidRPr="00D9348B">
          <w:rPr>
            <w:rStyle w:val="Hyperlink"/>
            <w:noProof/>
          </w:rPr>
          <w:t>10.1</w:t>
        </w:r>
        <w:r w:rsidR="003F123F" w:rsidRPr="00D9348B">
          <w:rPr>
            <w:noProof/>
            <w:sz w:val="22"/>
          </w:rPr>
          <w:tab/>
        </w:r>
        <w:r w:rsidR="003F123F" w:rsidRPr="00D9348B">
          <w:rPr>
            <w:rStyle w:val="Hyperlink"/>
            <w:noProof/>
          </w:rPr>
          <w:t>Implications and justifications</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_Toc36224441 \h </w:instrText>
        </w:r>
        <w:r w:rsidR="003F123F" w:rsidRPr="00D9348B">
          <w:rPr>
            <w:noProof/>
            <w:webHidden/>
          </w:rPr>
        </w:r>
        <w:r w:rsidR="003F123F" w:rsidRPr="00D9348B">
          <w:rPr>
            <w:noProof/>
            <w:webHidden/>
          </w:rPr>
          <w:fldChar w:fldCharType="separate"/>
        </w:r>
        <w:r w:rsidR="00950F0A">
          <w:rPr>
            <w:noProof/>
            <w:webHidden/>
          </w:rPr>
          <w:t>421</w:t>
        </w:r>
        <w:r w:rsidR="003F123F" w:rsidRPr="00D9348B">
          <w:rPr>
            <w:noProof/>
            <w:webHidden/>
          </w:rPr>
          <w:fldChar w:fldCharType="end"/>
        </w:r>
      </w:hyperlink>
    </w:p>
    <w:p w14:paraId="233816FC" w14:textId="6F1C7449" w:rsidR="003F123F" w:rsidRPr="00D9348B" w:rsidRDefault="00DA6C03">
      <w:pPr>
        <w:pStyle w:val="TOC2"/>
        <w:rPr>
          <w:noProof/>
          <w:sz w:val="22"/>
        </w:rPr>
      </w:pPr>
      <w:hyperlink w:anchor="_Toc36224442" w:history="1">
        <w:r w:rsidR="003F123F" w:rsidRPr="00D9348B">
          <w:rPr>
            <w:rStyle w:val="Hyperlink"/>
            <w:noProof/>
          </w:rPr>
          <w:t>10.2</w:t>
        </w:r>
        <w:r w:rsidR="003F123F" w:rsidRPr="00D9348B">
          <w:rPr>
            <w:noProof/>
            <w:sz w:val="22"/>
          </w:rPr>
          <w:tab/>
        </w:r>
        <w:r w:rsidR="003F123F" w:rsidRPr="00D9348B">
          <w:rPr>
            <w:rStyle w:val="Hyperlink"/>
            <w:noProof/>
          </w:rPr>
          <w:t>Recalculations and planned improvements in response to the review process</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_Toc36224442 \h </w:instrText>
        </w:r>
        <w:r w:rsidR="003F123F" w:rsidRPr="00D9348B">
          <w:rPr>
            <w:noProof/>
            <w:webHidden/>
          </w:rPr>
        </w:r>
        <w:r w:rsidR="003F123F" w:rsidRPr="00D9348B">
          <w:rPr>
            <w:noProof/>
            <w:webHidden/>
          </w:rPr>
          <w:fldChar w:fldCharType="separate"/>
        </w:r>
        <w:r w:rsidR="00950F0A">
          <w:rPr>
            <w:noProof/>
            <w:webHidden/>
          </w:rPr>
          <w:t>433</w:t>
        </w:r>
        <w:r w:rsidR="003F123F" w:rsidRPr="00D9348B">
          <w:rPr>
            <w:noProof/>
            <w:webHidden/>
          </w:rPr>
          <w:fldChar w:fldCharType="end"/>
        </w:r>
      </w:hyperlink>
    </w:p>
    <w:p w14:paraId="39D67672" w14:textId="0E31C274" w:rsidR="003F123F" w:rsidRPr="00D9348B" w:rsidRDefault="00DA6C03">
      <w:pPr>
        <w:pStyle w:val="TOC2"/>
        <w:rPr>
          <w:noProof/>
          <w:sz w:val="22"/>
        </w:rPr>
      </w:pPr>
      <w:hyperlink w:anchor="_Toc36224443" w:history="1">
        <w:r w:rsidR="003F123F" w:rsidRPr="00D9348B">
          <w:rPr>
            <w:rStyle w:val="Hyperlink"/>
            <w:noProof/>
          </w:rPr>
          <w:t>Chapter 10: References</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_Toc36224443 \h </w:instrText>
        </w:r>
        <w:r w:rsidR="003F123F" w:rsidRPr="00D9348B">
          <w:rPr>
            <w:noProof/>
            <w:webHidden/>
          </w:rPr>
        </w:r>
        <w:r w:rsidR="003F123F" w:rsidRPr="00D9348B">
          <w:rPr>
            <w:noProof/>
            <w:webHidden/>
          </w:rPr>
          <w:fldChar w:fldCharType="separate"/>
        </w:r>
        <w:r w:rsidR="00950F0A">
          <w:rPr>
            <w:noProof/>
            <w:webHidden/>
          </w:rPr>
          <w:t>443</w:t>
        </w:r>
        <w:r w:rsidR="003F123F" w:rsidRPr="00D9348B">
          <w:rPr>
            <w:noProof/>
            <w:webHidden/>
          </w:rPr>
          <w:fldChar w:fldCharType="end"/>
        </w:r>
      </w:hyperlink>
    </w:p>
    <w:p w14:paraId="738AD664" w14:textId="23566A40" w:rsidR="003F123F" w:rsidRPr="00D9348B" w:rsidRDefault="00DA6C03">
      <w:pPr>
        <w:pStyle w:val="TOC1"/>
        <w:rPr>
          <w:noProof/>
          <w:sz w:val="22"/>
        </w:rPr>
      </w:pPr>
      <w:hyperlink w:anchor="_Toc36224444" w:history="1">
        <w:r w:rsidR="003F123F" w:rsidRPr="00D9348B">
          <w:rPr>
            <w:rStyle w:val="Hyperlink"/>
            <w:noProof/>
          </w:rPr>
          <w:t>Chapter 11: KP-LULUCF</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_Toc36224444 \h </w:instrText>
        </w:r>
        <w:r w:rsidR="003F123F" w:rsidRPr="00D9348B">
          <w:rPr>
            <w:noProof/>
            <w:webHidden/>
          </w:rPr>
        </w:r>
        <w:r w:rsidR="003F123F" w:rsidRPr="00D9348B">
          <w:rPr>
            <w:noProof/>
            <w:webHidden/>
          </w:rPr>
          <w:fldChar w:fldCharType="separate"/>
        </w:r>
        <w:r w:rsidR="00950F0A">
          <w:rPr>
            <w:noProof/>
            <w:webHidden/>
          </w:rPr>
          <w:t>444</w:t>
        </w:r>
        <w:r w:rsidR="003F123F" w:rsidRPr="00D9348B">
          <w:rPr>
            <w:noProof/>
            <w:webHidden/>
          </w:rPr>
          <w:fldChar w:fldCharType="end"/>
        </w:r>
      </w:hyperlink>
    </w:p>
    <w:p w14:paraId="304FB882" w14:textId="61DCFD70" w:rsidR="003F123F" w:rsidRPr="00D9348B" w:rsidRDefault="00DA6C03">
      <w:pPr>
        <w:pStyle w:val="TOC2"/>
        <w:rPr>
          <w:noProof/>
          <w:sz w:val="22"/>
        </w:rPr>
      </w:pPr>
      <w:hyperlink w:anchor="_Toc36224445" w:history="1">
        <w:r w:rsidR="003F123F" w:rsidRPr="00D9348B">
          <w:rPr>
            <w:rStyle w:val="Hyperlink"/>
            <w:noProof/>
          </w:rPr>
          <w:t xml:space="preserve">11.1 </w:t>
        </w:r>
        <w:r w:rsidR="003F123F" w:rsidRPr="00D9348B">
          <w:rPr>
            <w:noProof/>
            <w:sz w:val="22"/>
          </w:rPr>
          <w:tab/>
        </w:r>
        <w:r w:rsidR="003F123F" w:rsidRPr="00D9348B">
          <w:rPr>
            <w:rStyle w:val="Hyperlink"/>
            <w:noProof/>
          </w:rPr>
          <w:t>General information</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_Toc36224445 \h </w:instrText>
        </w:r>
        <w:r w:rsidR="003F123F" w:rsidRPr="00D9348B">
          <w:rPr>
            <w:noProof/>
            <w:webHidden/>
          </w:rPr>
        </w:r>
        <w:r w:rsidR="003F123F" w:rsidRPr="00D9348B">
          <w:rPr>
            <w:noProof/>
            <w:webHidden/>
          </w:rPr>
          <w:fldChar w:fldCharType="separate"/>
        </w:r>
        <w:r w:rsidR="00950F0A">
          <w:rPr>
            <w:noProof/>
            <w:webHidden/>
          </w:rPr>
          <w:t>444</w:t>
        </w:r>
        <w:r w:rsidR="003F123F" w:rsidRPr="00D9348B">
          <w:rPr>
            <w:noProof/>
            <w:webHidden/>
          </w:rPr>
          <w:fldChar w:fldCharType="end"/>
        </w:r>
      </w:hyperlink>
    </w:p>
    <w:p w14:paraId="7D662891" w14:textId="74EEFA66" w:rsidR="003F123F" w:rsidRPr="00D9348B" w:rsidRDefault="00DA6C03">
      <w:pPr>
        <w:pStyle w:val="TOC2"/>
        <w:rPr>
          <w:noProof/>
          <w:sz w:val="22"/>
        </w:rPr>
      </w:pPr>
      <w:hyperlink w:anchor="_Toc36224446" w:history="1">
        <w:r w:rsidR="003F123F" w:rsidRPr="00D9348B">
          <w:rPr>
            <w:rStyle w:val="Hyperlink"/>
            <w:noProof/>
          </w:rPr>
          <w:t>11.2</w:t>
        </w:r>
        <w:r w:rsidR="003F123F" w:rsidRPr="00D9348B">
          <w:rPr>
            <w:noProof/>
            <w:sz w:val="22"/>
          </w:rPr>
          <w:tab/>
        </w:r>
        <w:r w:rsidR="003F123F" w:rsidRPr="00D9348B">
          <w:rPr>
            <w:rStyle w:val="Hyperlink"/>
            <w:noProof/>
          </w:rPr>
          <w:t>Land-related information</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_Toc36224446 \h </w:instrText>
        </w:r>
        <w:r w:rsidR="003F123F" w:rsidRPr="00D9348B">
          <w:rPr>
            <w:noProof/>
            <w:webHidden/>
          </w:rPr>
        </w:r>
        <w:r w:rsidR="003F123F" w:rsidRPr="00D9348B">
          <w:rPr>
            <w:noProof/>
            <w:webHidden/>
          </w:rPr>
          <w:fldChar w:fldCharType="separate"/>
        </w:r>
        <w:r w:rsidR="00950F0A">
          <w:rPr>
            <w:noProof/>
            <w:webHidden/>
          </w:rPr>
          <w:t>448</w:t>
        </w:r>
        <w:r w:rsidR="003F123F" w:rsidRPr="00D9348B">
          <w:rPr>
            <w:noProof/>
            <w:webHidden/>
          </w:rPr>
          <w:fldChar w:fldCharType="end"/>
        </w:r>
      </w:hyperlink>
    </w:p>
    <w:p w14:paraId="532F3E9B" w14:textId="117B5C0A" w:rsidR="003F123F" w:rsidRPr="00D9348B" w:rsidRDefault="00DA6C03">
      <w:pPr>
        <w:pStyle w:val="TOC2"/>
        <w:rPr>
          <w:noProof/>
          <w:sz w:val="22"/>
        </w:rPr>
      </w:pPr>
      <w:hyperlink w:anchor="_Toc36224447" w:history="1">
        <w:r w:rsidR="003F123F" w:rsidRPr="00D9348B">
          <w:rPr>
            <w:rStyle w:val="Hyperlink"/>
            <w:noProof/>
          </w:rPr>
          <w:t>11.3</w:t>
        </w:r>
        <w:r w:rsidR="003F123F" w:rsidRPr="00D9348B">
          <w:rPr>
            <w:noProof/>
            <w:sz w:val="22"/>
          </w:rPr>
          <w:tab/>
        </w:r>
        <w:r w:rsidR="003F123F" w:rsidRPr="00D9348B">
          <w:rPr>
            <w:rStyle w:val="Hyperlink"/>
            <w:noProof/>
          </w:rPr>
          <w:t>Activity-specific information</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_Toc36224447 \h </w:instrText>
        </w:r>
        <w:r w:rsidR="003F123F" w:rsidRPr="00D9348B">
          <w:rPr>
            <w:noProof/>
            <w:webHidden/>
          </w:rPr>
        </w:r>
        <w:r w:rsidR="003F123F" w:rsidRPr="00D9348B">
          <w:rPr>
            <w:noProof/>
            <w:webHidden/>
          </w:rPr>
          <w:fldChar w:fldCharType="separate"/>
        </w:r>
        <w:r w:rsidR="00950F0A">
          <w:rPr>
            <w:noProof/>
            <w:webHidden/>
          </w:rPr>
          <w:t>449</w:t>
        </w:r>
        <w:r w:rsidR="003F123F" w:rsidRPr="00D9348B">
          <w:rPr>
            <w:noProof/>
            <w:webHidden/>
          </w:rPr>
          <w:fldChar w:fldCharType="end"/>
        </w:r>
      </w:hyperlink>
    </w:p>
    <w:p w14:paraId="5681AAEE" w14:textId="2D0B89E6" w:rsidR="003F123F" w:rsidRPr="00D9348B" w:rsidRDefault="00DA6C03">
      <w:pPr>
        <w:pStyle w:val="TOC2"/>
        <w:rPr>
          <w:noProof/>
          <w:sz w:val="22"/>
        </w:rPr>
      </w:pPr>
      <w:hyperlink w:anchor="_Toc36224448" w:history="1">
        <w:r w:rsidR="003F123F" w:rsidRPr="00D9348B">
          <w:rPr>
            <w:rStyle w:val="Hyperlink"/>
            <w:noProof/>
          </w:rPr>
          <w:t>11.4</w:t>
        </w:r>
        <w:r w:rsidR="003F123F" w:rsidRPr="00D9348B">
          <w:rPr>
            <w:noProof/>
            <w:sz w:val="22"/>
          </w:rPr>
          <w:tab/>
        </w:r>
        <w:r w:rsidR="003F123F" w:rsidRPr="00D9348B">
          <w:rPr>
            <w:rStyle w:val="Hyperlink"/>
            <w:noProof/>
          </w:rPr>
          <w:t>Other methodological issues</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_Toc36224448 \h </w:instrText>
        </w:r>
        <w:r w:rsidR="003F123F" w:rsidRPr="00D9348B">
          <w:rPr>
            <w:noProof/>
            <w:webHidden/>
          </w:rPr>
        </w:r>
        <w:r w:rsidR="003F123F" w:rsidRPr="00D9348B">
          <w:rPr>
            <w:noProof/>
            <w:webHidden/>
          </w:rPr>
          <w:fldChar w:fldCharType="separate"/>
        </w:r>
        <w:r w:rsidR="00950F0A">
          <w:rPr>
            <w:noProof/>
            <w:webHidden/>
          </w:rPr>
          <w:t>461</w:t>
        </w:r>
        <w:r w:rsidR="003F123F" w:rsidRPr="00D9348B">
          <w:rPr>
            <w:noProof/>
            <w:webHidden/>
          </w:rPr>
          <w:fldChar w:fldCharType="end"/>
        </w:r>
      </w:hyperlink>
    </w:p>
    <w:p w14:paraId="47875882" w14:textId="24766429" w:rsidR="003F123F" w:rsidRPr="00D9348B" w:rsidRDefault="00DA6C03">
      <w:pPr>
        <w:pStyle w:val="TOC2"/>
        <w:rPr>
          <w:noProof/>
          <w:sz w:val="22"/>
        </w:rPr>
      </w:pPr>
      <w:hyperlink w:anchor="_Toc36224449" w:history="1">
        <w:r w:rsidR="003F123F" w:rsidRPr="00D9348B">
          <w:rPr>
            <w:rStyle w:val="Hyperlink"/>
            <w:noProof/>
          </w:rPr>
          <w:t xml:space="preserve">11.5 </w:t>
        </w:r>
        <w:r w:rsidR="003F123F" w:rsidRPr="00D9348B">
          <w:rPr>
            <w:noProof/>
            <w:sz w:val="22"/>
          </w:rPr>
          <w:tab/>
        </w:r>
        <w:r w:rsidR="003F123F" w:rsidRPr="00D9348B">
          <w:rPr>
            <w:rStyle w:val="Hyperlink"/>
            <w:noProof/>
          </w:rPr>
          <w:t>Demonstration that activities apply</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_Toc36224449 \h </w:instrText>
        </w:r>
        <w:r w:rsidR="003F123F" w:rsidRPr="00D9348B">
          <w:rPr>
            <w:noProof/>
            <w:webHidden/>
          </w:rPr>
        </w:r>
        <w:r w:rsidR="003F123F" w:rsidRPr="00D9348B">
          <w:rPr>
            <w:noProof/>
            <w:webHidden/>
          </w:rPr>
          <w:fldChar w:fldCharType="separate"/>
        </w:r>
        <w:r w:rsidR="00950F0A">
          <w:rPr>
            <w:noProof/>
            <w:webHidden/>
          </w:rPr>
          <w:t>464</w:t>
        </w:r>
        <w:r w:rsidR="003F123F" w:rsidRPr="00D9348B">
          <w:rPr>
            <w:noProof/>
            <w:webHidden/>
          </w:rPr>
          <w:fldChar w:fldCharType="end"/>
        </w:r>
      </w:hyperlink>
    </w:p>
    <w:p w14:paraId="2E5B4A38" w14:textId="7F11C67F" w:rsidR="003F123F" w:rsidRPr="00D9348B" w:rsidRDefault="00DA6C03">
      <w:pPr>
        <w:pStyle w:val="TOC2"/>
        <w:rPr>
          <w:noProof/>
          <w:sz w:val="22"/>
        </w:rPr>
      </w:pPr>
      <w:hyperlink w:anchor="_Toc36224450" w:history="1">
        <w:r w:rsidR="003F123F" w:rsidRPr="00D9348B">
          <w:rPr>
            <w:rStyle w:val="Hyperlink"/>
            <w:noProof/>
          </w:rPr>
          <w:t>11.6</w:t>
        </w:r>
        <w:r w:rsidR="003F123F" w:rsidRPr="00D9348B">
          <w:rPr>
            <w:noProof/>
            <w:sz w:val="22"/>
          </w:rPr>
          <w:tab/>
        </w:r>
        <w:r w:rsidR="003F123F" w:rsidRPr="00D9348B">
          <w:rPr>
            <w:rStyle w:val="Hyperlink"/>
            <w:noProof/>
          </w:rPr>
          <w:t>Other information</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_Toc36224450 \h </w:instrText>
        </w:r>
        <w:r w:rsidR="003F123F" w:rsidRPr="00D9348B">
          <w:rPr>
            <w:noProof/>
            <w:webHidden/>
          </w:rPr>
        </w:r>
        <w:r w:rsidR="003F123F" w:rsidRPr="00D9348B">
          <w:rPr>
            <w:noProof/>
            <w:webHidden/>
          </w:rPr>
          <w:fldChar w:fldCharType="separate"/>
        </w:r>
        <w:r w:rsidR="00950F0A">
          <w:rPr>
            <w:noProof/>
            <w:webHidden/>
          </w:rPr>
          <w:t>468</w:t>
        </w:r>
        <w:r w:rsidR="003F123F" w:rsidRPr="00D9348B">
          <w:rPr>
            <w:noProof/>
            <w:webHidden/>
          </w:rPr>
          <w:fldChar w:fldCharType="end"/>
        </w:r>
      </w:hyperlink>
    </w:p>
    <w:p w14:paraId="7F3B1BC2" w14:textId="5650FC76" w:rsidR="003F123F" w:rsidRPr="00D9348B" w:rsidRDefault="00DA6C03">
      <w:pPr>
        <w:pStyle w:val="TOC2"/>
        <w:rPr>
          <w:noProof/>
          <w:sz w:val="22"/>
        </w:rPr>
      </w:pPr>
      <w:hyperlink w:anchor="_Toc36224451" w:history="1">
        <w:r w:rsidR="003F123F" w:rsidRPr="00D9348B">
          <w:rPr>
            <w:rStyle w:val="Hyperlink"/>
            <w:noProof/>
          </w:rPr>
          <w:t>11.7</w:t>
        </w:r>
        <w:r w:rsidR="003F123F" w:rsidRPr="00D9348B">
          <w:rPr>
            <w:noProof/>
            <w:sz w:val="22"/>
          </w:rPr>
          <w:tab/>
        </w:r>
        <w:r w:rsidR="003F123F" w:rsidRPr="00D9348B">
          <w:rPr>
            <w:rStyle w:val="Hyperlink"/>
            <w:noProof/>
          </w:rPr>
          <w:t>Information relating to Article 6</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_Toc36224451 \h </w:instrText>
        </w:r>
        <w:r w:rsidR="003F123F" w:rsidRPr="00D9348B">
          <w:rPr>
            <w:noProof/>
            <w:webHidden/>
          </w:rPr>
        </w:r>
        <w:r w:rsidR="003F123F" w:rsidRPr="00D9348B">
          <w:rPr>
            <w:noProof/>
            <w:webHidden/>
          </w:rPr>
          <w:fldChar w:fldCharType="separate"/>
        </w:r>
        <w:r w:rsidR="00950F0A">
          <w:rPr>
            <w:noProof/>
            <w:webHidden/>
          </w:rPr>
          <w:t>468</w:t>
        </w:r>
        <w:r w:rsidR="003F123F" w:rsidRPr="00D9348B">
          <w:rPr>
            <w:noProof/>
            <w:webHidden/>
          </w:rPr>
          <w:fldChar w:fldCharType="end"/>
        </w:r>
      </w:hyperlink>
    </w:p>
    <w:p w14:paraId="19A4E461" w14:textId="36E15FB5" w:rsidR="003F123F" w:rsidRPr="00D9348B" w:rsidRDefault="00DA6C03">
      <w:pPr>
        <w:pStyle w:val="TOC2"/>
        <w:rPr>
          <w:noProof/>
          <w:sz w:val="22"/>
        </w:rPr>
      </w:pPr>
      <w:hyperlink w:anchor="_Toc36224452" w:history="1">
        <w:r w:rsidR="003F123F" w:rsidRPr="00D9348B">
          <w:rPr>
            <w:rStyle w:val="Hyperlink"/>
            <w:noProof/>
          </w:rPr>
          <w:t>Chapter 11: References</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_Toc36224452 \h </w:instrText>
        </w:r>
        <w:r w:rsidR="003F123F" w:rsidRPr="00D9348B">
          <w:rPr>
            <w:noProof/>
            <w:webHidden/>
          </w:rPr>
        </w:r>
        <w:r w:rsidR="003F123F" w:rsidRPr="00D9348B">
          <w:rPr>
            <w:noProof/>
            <w:webHidden/>
          </w:rPr>
          <w:fldChar w:fldCharType="separate"/>
        </w:r>
        <w:r w:rsidR="00950F0A">
          <w:rPr>
            <w:noProof/>
            <w:webHidden/>
          </w:rPr>
          <w:t>469</w:t>
        </w:r>
        <w:r w:rsidR="003F123F" w:rsidRPr="00D9348B">
          <w:rPr>
            <w:noProof/>
            <w:webHidden/>
          </w:rPr>
          <w:fldChar w:fldCharType="end"/>
        </w:r>
      </w:hyperlink>
    </w:p>
    <w:p w14:paraId="65DA1D4D" w14:textId="4E1F29D4" w:rsidR="003F123F" w:rsidRPr="00D9348B" w:rsidRDefault="00DA6C03">
      <w:pPr>
        <w:pStyle w:val="TOC1"/>
        <w:rPr>
          <w:noProof/>
          <w:sz w:val="22"/>
        </w:rPr>
      </w:pPr>
      <w:hyperlink w:anchor="_Toc36224453" w:history="1">
        <w:r w:rsidR="003F123F" w:rsidRPr="00D9348B">
          <w:rPr>
            <w:rStyle w:val="Hyperlink"/>
            <w:noProof/>
          </w:rPr>
          <w:t>Chapter 12: Information on accounting of the Kyoto Protocol units</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_Toc36224453 \h </w:instrText>
        </w:r>
        <w:r w:rsidR="003F123F" w:rsidRPr="00D9348B">
          <w:rPr>
            <w:noProof/>
            <w:webHidden/>
          </w:rPr>
        </w:r>
        <w:r w:rsidR="003F123F" w:rsidRPr="00D9348B">
          <w:rPr>
            <w:noProof/>
            <w:webHidden/>
          </w:rPr>
          <w:fldChar w:fldCharType="separate"/>
        </w:r>
        <w:r w:rsidR="00950F0A">
          <w:rPr>
            <w:noProof/>
            <w:webHidden/>
          </w:rPr>
          <w:t>471</w:t>
        </w:r>
        <w:r w:rsidR="003F123F" w:rsidRPr="00D9348B">
          <w:rPr>
            <w:noProof/>
            <w:webHidden/>
          </w:rPr>
          <w:fldChar w:fldCharType="end"/>
        </w:r>
      </w:hyperlink>
    </w:p>
    <w:p w14:paraId="7BA2F86C" w14:textId="07A54D56" w:rsidR="003F123F" w:rsidRPr="00D9348B" w:rsidRDefault="00DA6C03">
      <w:pPr>
        <w:pStyle w:val="TOC2"/>
        <w:rPr>
          <w:noProof/>
          <w:sz w:val="22"/>
        </w:rPr>
      </w:pPr>
      <w:hyperlink w:anchor="_Toc36224454" w:history="1">
        <w:r w:rsidR="003F123F" w:rsidRPr="00D9348B">
          <w:rPr>
            <w:rStyle w:val="Hyperlink"/>
            <w:noProof/>
          </w:rPr>
          <w:t>12.1</w:t>
        </w:r>
        <w:r w:rsidR="003F123F" w:rsidRPr="00D9348B">
          <w:rPr>
            <w:noProof/>
            <w:sz w:val="22"/>
          </w:rPr>
          <w:tab/>
        </w:r>
        <w:r w:rsidR="003F123F" w:rsidRPr="00D9348B">
          <w:rPr>
            <w:rStyle w:val="Hyperlink"/>
            <w:noProof/>
          </w:rPr>
          <w:t>Background information</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_Toc36224454 \h </w:instrText>
        </w:r>
        <w:r w:rsidR="003F123F" w:rsidRPr="00D9348B">
          <w:rPr>
            <w:noProof/>
            <w:webHidden/>
          </w:rPr>
        </w:r>
        <w:r w:rsidR="003F123F" w:rsidRPr="00D9348B">
          <w:rPr>
            <w:noProof/>
            <w:webHidden/>
          </w:rPr>
          <w:fldChar w:fldCharType="separate"/>
        </w:r>
        <w:r w:rsidR="00950F0A">
          <w:rPr>
            <w:noProof/>
            <w:webHidden/>
          </w:rPr>
          <w:t>471</w:t>
        </w:r>
        <w:r w:rsidR="003F123F" w:rsidRPr="00D9348B">
          <w:rPr>
            <w:noProof/>
            <w:webHidden/>
          </w:rPr>
          <w:fldChar w:fldCharType="end"/>
        </w:r>
      </w:hyperlink>
    </w:p>
    <w:p w14:paraId="36214531" w14:textId="693763E0" w:rsidR="003F123F" w:rsidRPr="00D9348B" w:rsidRDefault="00DA6C03">
      <w:pPr>
        <w:pStyle w:val="TOC2"/>
        <w:rPr>
          <w:noProof/>
          <w:sz w:val="22"/>
        </w:rPr>
      </w:pPr>
      <w:hyperlink w:anchor="_Toc36224455" w:history="1">
        <w:r w:rsidR="003F123F" w:rsidRPr="00D9348B">
          <w:rPr>
            <w:rStyle w:val="Hyperlink"/>
            <w:noProof/>
          </w:rPr>
          <w:t>12.2</w:t>
        </w:r>
        <w:r w:rsidR="003F123F" w:rsidRPr="00D9348B">
          <w:rPr>
            <w:noProof/>
            <w:sz w:val="22"/>
          </w:rPr>
          <w:tab/>
        </w:r>
        <w:r w:rsidR="003F123F" w:rsidRPr="00D9348B">
          <w:rPr>
            <w:rStyle w:val="Hyperlink"/>
            <w:noProof/>
          </w:rPr>
          <w:t>Summary of the standard electronic format tables for reporting Kyoto Protocol units</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_Toc36224455 \h </w:instrText>
        </w:r>
        <w:r w:rsidR="003F123F" w:rsidRPr="00D9348B">
          <w:rPr>
            <w:noProof/>
            <w:webHidden/>
          </w:rPr>
        </w:r>
        <w:r w:rsidR="003F123F" w:rsidRPr="00D9348B">
          <w:rPr>
            <w:noProof/>
            <w:webHidden/>
          </w:rPr>
          <w:fldChar w:fldCharType="separate"/>
        </w:r>
        <w:r w:rsidR="00950F0A">
          <w:rPr>
            <w:noProof/>
            <w:webHidden/>
          </w:rPr>
          <w:t>471</w:t>
        </w:r>
        <w:r w:rsidR="003F123F" w:rsidRPr="00D9348B">
          <w:rPr>
            <w:noProof/>
            <w:webHidden/>
          </w:rPr>
          <w:fldChar w:fldCharType="end"/>
        </w:r>
      </w:hyperlink>
    </w:p>
    <w:p w14:paraId="35682951" w14:textId="3409EDAF" w:rsidR="003F123F" w:rsidRPr="00D9348B" w:rsidRDefault="00DA6C03">
      <w:pPr>
        <w:pStyle w:val="TOC2"/>
        <w:rPr>
          <w:noProof/>
          <w:sz w:val="22"/>
        </w:rPr>
      </w:pPr>
      <w:hyperlink w:anchor="_Toc36224456" w:history="1">
        <w:r w:rsidR="003F123F" w:rsidRPr="00D9348B">
          <w:rPr>
            <w:rStyle w:val="Hyperlink"/>
            <w:noProof/>
          </w:rPr>
          <w:t>12.3</w:t>
        </w:r>
        <w:r w:rsidR="003F123F" w:rsidRPr="00D9348B">
          <w:rPr>
            <w:noProof/>
            <w:sz w:val="22"/>
          </w:rPr>
          <w:tab/>
        </w:r>
        <w:r w:rsidR="003F123F" w:rsidRPr="00D9348B">
          <w:rPr>
            <w:rStyle w:val="Hyperlink"/>
            <w:noProof/>
          </w:rPr>
          <w:t>Discrepancies and notifications</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_Toc36224456 \h </w:instrText>
        </w:r>
        <w:r w:rsidR="003F123F" w:rsidRPr="00D9348B">
          <w:rPr>
            <w:noProof/>
            <w:webHidden/>
          </w:rPr>
        </w:r>
        <w:r w:rsidR="003F123F" w:rsidRPr="00D9348B">
          <w:rPr>
            <w:noProof/>
            <w:webHidden/>
          </w:rPr>
          <w:fldChar w:fldCharType="separate"/>
        </w:r>
        <w:r w:rsidR="00950F0A">
          <w:rPr>
            <w:noProof/>
            <w:webHidden/>
          </w:rPr>
          <w:t>472</w:t>
        </w:r>
        <w:r w:rsidR="003F123F" w:rsidRPr="00D9348B">
          <w:rPr>
            <w:noProof/>
            <w:webHidden/>
          </w:rPr>
          <w:fldChar w:fldCharType="end"/>
        </w:r>
      </w:hyperlink>
    </w:p>
    <w:p w14:paraId="7805CAF6" w14:textId="0812BC40" w:rsidR="003F123F" w:rsidRPr="00D9348B" w:rsidRDefault="00DA6C03">
      <w:pPr>
        <w:pStyle w:val="TOC2"/>
        <w:rPr>
          <w:noProof/>
          <w:sz w:val="22"/>
        </w:rPr>
      </w:pPr>
      <w:hyperlink w:anchor="_Toc36224457" w:history="1">
        <w:r w:rsidR="003F123F" w:rsidRPr="00D9348B">
          <w:rPr>
            <w:rStyle w:val="Hyperlink"/>
            <w:noProof/>
          </w:rPr>
          <w:t>12.4</w:t>
        </w:r>
        <w:r w:rsidR="003F123F" w:rsidRPr="00D9348B">
          <w:rPr>
            <w:noProof/>
            <w:sz w:val="22"/>
          </w:rPr>
          <w:tab/>
        </w:r>
        <w:r w:rsidR="003F123F" w:rsidRPr="00D9348B">
          <w:rPr>
            <w:rStyle w:val="Hyperlink"/>
            <w:noProof/>
          </w:rPr>
          <w:t>Publicly accessible information</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_Toc36224457 \h </w:instrText>
        </w:r>
        <w:r w:rsidR="003F123F" w:rsidRPr="00D9348B">
          <w:rPr>
            <w:noProof/>
            <w:webHidden/>
          </w:rPr>
        </w:r>
        <w:r w:rsidR="003F123F" w:rsidRPr="00D9348B">
          <w:rPr>
            <w:noProof/>
            <w:webHidden/>
          </w:rPr>
          <w:fldChar w:fldCharType="separate"/>
        </w:r>
        <w:r w:rsidR="00950F0A">
          <w:rPr>
            <w:noProof/>
            <w:webHidden/>
          </w:rPr>
          <w:t>472</w:t>
        </w:r>
        <w:r w:rsidR="003F123F" w:rsidRPr="00D9348B">
          <w:rPr>
            <w:noProof/>
            <w:webHidden/>
          </w:rPr>
          <w:fldChar w:fldCharType="end"/>
        </w:r>
      </w:hyperlink>
    </w:p>
    <w:p w14:paraId="11482499" w14:textId="68D61784" w:rsidR="003F123F" w:rsidRPr="00D9348B" w:rsidRDefault="00DA6C03">
      <w:pPr>
        <w:pStyle w:val="TOC2"/>
        <w:rPr>
          <w:noProof/>
          <w:sz w:val="22"/>
        </w:rPr>
      </w:pPr>
      <w:hyperlink w:anchor="_Toc36224458" w:history="1">
        <w:r w:rsidR="003F123F" w:rsidRPr="00D9348B">
          <w:rPr>
            <w:rStyle w:val="Hyperlink"/>
            <w:noProof/>
          </w:rPr>
          <w:t>12.5</w:t>
        </w:r>
        <w:r w:rsidR="003F123F" w:rsidRPr="00D9348B">
          <w:rPr>
            <w:noProof/>
            <w:sz w:val="22"/>
          </w:rPr>
          <w:tab/>
        </w:r>
        <w:r w:rsidR="003F123F" w:rsidRPr="00D9348B">
          <w:rPr>
            <w:rStyle w:val="Hyperlink"/>
            <w:noProof/>
          </w:rPr>
          <w:t>Calculation of the commitment period reserve</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_Toc36224458 \h </w:instrText>
        </w:r>
        <w:r w:rsidR="003F123F" w:rsidRPr="00D9348B">
          <w:rPr>
            <w:noProof/>
            <w:webHidden/>
          </w:rPr>
        </w:r>
        <w:r w:rsidR="003F123F" w:rsidRPr="00D9348B">
          <w:rPr>
            <w:noProof/>
            <w:webHidden/>
          </w:rPr>
          <w:fldChar w:fldCharType="separate"/>
        </w:r>
        <w:r w:rsidR="00950F0A">
          <w:rPr>
            <w:noProof/>
            <w:webHidden/>
          </w:rPr>
          <w:t>477</w:t>
        </w:r>
        <w:r w:rsidR="003F123F" w:rsidRPr="00D9348B">
          <w:rPr>
            <w:noProof/>
            <w:webHidden/>
          </w:rPr>
          <w:fldChar w:fldCharType="end"/>
        </w:r>
      </w:hyperlink>
    </w:p>
    <w:p w14:paraId="17B0C459" w14:textId="1420BD6E" w:rsidR="003F123F" w:rsidRPr="00D9348B" w:rsidRDefault="00DA6C03">
      <w:pPr>
        <w:pStyle w:val="TOC2"/>
        <w:rPr>
          <w:noProof/>
          <w:sz w:val="22"/>
        </w:rPr>
      </w:pPr>
      <w:hyperlink w:anchor="_Toc36224459" w:history="1">
        <w:r w:rsidR="003F123F" w:rsidRPr="00D9348B">
          <w:rPr>
            <w:rStyle w:val="Hyperlink"/>
            <w:noProof/>
          </w:rPr>
          <w:t>Chapter 12: Reference</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_Toc36224459 \h </w:instrText>
        </w:r>
        <w:r w:rsidR="003F123F" w:rsidRPr="00D9348B">
          <w:rPr>
            <w:noProof/>
            <w:webHidden/>
          </w:rPr>
        </w:r>
        <w:r w:rsidR="003F123F" w:rsidRPr="00D9348B">
          <w:rPr>
            <w:noProof/>
            <w:webHidden/>
          </w:rPr>
          <w:fldChar w:fldCharType="separate"/>
        </w:r>
        <w:r w:rsidR="00950F0A">
          <w:rPr>
            <w:noProof/>
            <w:webHidden/>
          </w:rPr>
          <w:t>478</w:t>
        </w:r>
        <w:r w:rsidR="003F123F" w:rsidRPr="00D9348B">
          <w:rPr>
            <w:noProof/>
            <w:webHidden/>
          </w:rPr>
          <w:fldChar w:fldCharType="end"/>
        </w:r>
      </w:hyperlink>
    </w:p>
    <w:p w14:paraId="736937BC" w14:textId="36F20D6B" w:rsidR="003F123F" w:rsidRPr="00D9348B" w:rsidRDefault="00DA6C03">
      <w:pPr>
        <w:pStyle w:val="TOC1"/>
        <w:rPr>
          <w:noProof/>
          <w:sz w:val="22"/>
        </w:rPr>
      </w:pPr>
      <w:hyperlink w:anchor="_Toc36224460" w:history="1">
        <w:r w:rsidR="003F123F" w:rsidRPr="00D9348B">
          <w:rPr>
            <w:rStyle w:val="Hyperlink"/>
            <w:noProof/>
          </w:rPr>
          <w:t>Chapter 13: Information on changes to the National Inventory System</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_Toc36224460 \h </w:instrText>
        </w:r>
        <w:r w:rsidR="003F123F" w:rsidRPr="00D9348B">
          <w:rPr>
            <w:noProof/>
            <w:webHidden/>
          </w:rPr>
        </w:r>
        <w:r w:rsidR="003F123F" w:rsidRPr="00D9348B">
          <w:rPr>
            <w:noProof/>
            <w:webHidden/>
          </w:rPr>
          <w:fldChar w:fldCharType="separate"/>
        </w:r>
        <w:r w:rsidR="00950F0A">
          <w:rPr>
            <w:noProof/>
            <w:webHidden/>
          </w:rPr>
          <w:t>479</w:t>
        </w:r>
        <w:r w:rsidR="003F123F" w:rsidRPr="00D9348B">
          <w:rPr>
            <w:noProof/>
            <w:webHidden/>
          </w:rPr>
          <w:fldChar w:fldCharType="end"/>
        </w:r>
      </w:hyperlink>
    </w:p>
    <w:p w14:paraId="268C2A59" w14:textId="675A3AEA" w:rsidR="003F123F" w:rsidRPr="00D9348B" w:rsidRDefault="00DA6C03">
      <w:pPr>
        <w:pStyle w:val="TOC1"/>
        <w:rPr>
          <w:noProof/>
          <w:sz w:val="22"/>
        </w:rPr>
      </w:pPr>
      <w:hyperlink w:anchor="_Toc36224461" w:history="1">
        <w:r w:rsidR="003F123F" w:rsidRPr="00D9348B">
          <w:rPr>
            <w:rStyle w:val="Hyperlink"/>
            <w:noProof/>
          </w:rPr>
          <w:t>Chapter 14: Information on changes to the national registry</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_Toc36224461 \h </w:instrText>
        </w:r>
        <w:r w:rsidR="003F123F" w:rsidRPr="00D9348B">
          <w:rPr>
            <w:noProof/>
            <w:webHidden/>
          </w:rPr>
        </w:r>
        <w:r w:rsidR="003F123F" w:rsidRPr="00D9348B">
          <w:rPr>
            <w:noProof/>
            <w:webHidden/>
          </w:rPr>
          <w:fldChar w:fldCharType="separate"/>
        </w:r>
        <w:r w:rsidR="00950F0A">
          <w:rPr>
            <w:noProof/>
            <w:webHidden/>
          </w:rPr>
          <w:t>480</w:t>
        </w:r>
        <w:r w:rsidR="003F123F" w:rsidRPr="00D9348B">
          <w:rPr>
            <w:noProof/>
            <w:webHidden/>
          </w:rPr>
          <w:fldChar w:fldCharType="end"/>
        </w:r>
      </w:hyperlink>
    </w:p>
    <w:p w14:paraId="6A416655" w14:textId="17F5F0E1" w:rsidR="003F123F" w:rsidRPr="00D9348B" w:rsidRDefault="00DA6C03">
      <w:pPr>
        <w:pStyle w:val="TOC1"/>
        <w:rPr>
          <w:noProof/>
          <w:sz w:val="22"/>
        </w:rPr>
      </w:pPr>
      <w:hyperlink w:anchor="_Toc36224462" w:history="1">
        <w:r w:rsidR="003F123F" w:rsidRPr="00D9348B">
          <w:rPr>
            <w:rStyle w:val="Hyperlink"/>
            <w:noProof/>
          </w:rPr>
          <w:t>Chapter 15: Information on minimisation of adverse impacts</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_Toc36224462 \h </w:instrText>
        </w:r>
        <w:r w:rsidR="003F123F" w:rsidRPr="00D9348B">
          <w:rPr>
            <w:noProof/>
            <w:webHidden/>
          </w:rPr>
        </w:r>
        <w:r w:rsidR="003F123F" w:rsidRPr="00D9348B">
          <w:rPr>
            <w:noProof/>
            <w:webHidden/>
          </w:rPr>
          <w:fldChar w:fldCharType="separate"/>
        </w:r>
        <w:r w:rsidR="00950F0A">
          <w:rPr>
            <w:noProof/>
            <w:webHidden/>
          </w:rPr>
          <w:t>482</w:t>
        </w:r>
        <w:r w:rsidR="003F123F" w:rsidRPr="00D9348B">
          <w:rPr>
            <w:noProof/>
            <w:webHidden/>
          </w:rPr>
          <w:fldChar w:fldCharType="end"/>
        </w:r>
      </w:hyperlink>
    </w:p>
    <w:p w14:paraId="69FFA816" w14:textId="5863DC12" w:rsidR="003F123F" w:rsidRPr="00D9348B" w:rsidRDefault="00DA6C03">
      <w:pPr>
        <w:pStyle w:val="TOC2"/>
        <w:rPr>
          <w:noProof/>
          <w:sz w:val="22"/>
        </w:rPr>
      </w:pPr>
      <w:hyperlink w:anchor="_Toc36224463" w:history="1">
        <w:r w:rsidR="003F123F" w:rsidRPr="00D9348B">
          <w:rPr>
            <w:rStyle w:val="Hyperlink"/>
            <w:noProof/>
          </w:rPr>
          <w:t xml:space="preserve">15.1 </w:t>
        </w:r>
        <w:r w:rsidR="003F123F" w:rsidRPr="00D9348B">
          <w:rPr>
            <w:noProof/>
            <w:sz w:val="22"/>
          </w:rPr>
          <w:tab/>
        </w:r>
        <w:r w:rsidR="003F123F" w:rsidRPr="00D9348B">
          <w:rPr>
            <w:rStyle w:val="Hyperlink"/>
            <w:noProof/>
          </w:rPr>
          <w:t>Overview</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_Toc36224463 \h </w:instrText>
        </w:r>
        <w:r w:rsidR="003F123F" w:rsidRPr="00D9348B">
          <w:rPr>
            <w:noProof/>
            <w:webHidden/>
          </w:rPr>
        </w:r>
        <w:r w:rsidR="003F123F" w:rsidRPr="00D9348B">
          <w:rPr>
            <w:noProof/>
            <w:webHidden/>
          </w:rPr>
          <w:fldChar w:fldCharType="separate"/>
        </w:r>
        <w:r w:rsidR="00950F0A">
          <w:rPr>
            <w:noProof/>
            <w:webHidden/>
          </w:rPr>
          <w:t>482</w:t>
        </w:r>
        <w:r w:rsidR="003F123F" w:rsidRPr="00D9348B">
          <w:rPr>
            <w:noProof/>
            <w:webHidden/>
          </w:rPr>
          <w:fldChar w:fldCharType="end"/>
        </w:r>
      </w:hyperlink>
    </w:p>
    <w:p w14:paraId="0FE052B3" w14:textId="67DC66FE" w:rsidR="003F123F" w:rsidRPr="00D9348B" w:rsidRDefault="00DA6C03">
      <w:pPr>
        <w:pStyle w:val="TOC2"/>
        <w:rPr>
          <w:noProof/>
          <w:sz w:val="22"/>
        </w:rPr>
      </w:pPr>
      <w:hyperlink w:anchor="_Toc36224464" w:history="1">
        <w:r w:rsidR="003F123F" w:rsidRPr="00D9348B">
          <w:rPr>
            <w:rStyle w:val="Hyperlink"/>
            <w:noProof/>
          </w:rPr>
          <w:t xml:space="preserve">15.2 </w:t>
        </w:r>
        <w:r w:rsidR="003F123F" w:rsidRPr="00D9348B">
          <w:rPr>
            <w:noProof/>
            <w:sz w:val="22"/>
          </w:rPr>
          <w:tab/>
        </w:r>
        <w:r w:rsidR="003F123F" w:rsidRPr="00D9348B">
          <w:rPr>
            <w:rStyle w:val="Hyperlink"/>
            <w:noProof/>
          </w:rPr>
          <w:t>Market imperfections, fiscal incentives, tax and duty exemptions and subsidies</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_Toc36224464 \h </w:instrText>
        </w:r>
        <w:r w:rsidR="003F123F" w:rsidRPr="00D9348B">
          <w:rPr>
            <w:noProof/>
            <w:webHidden/>
          </w:rPr>
        </w:r>
        <w:r w:rsidR="003F123F" w:rsidRPr="00D9348B">
          <w:rPr>
            <w:noProof/>
            <w:webHidden/>
          </w:rPr>
          <w:fldChar w:fldCharType="separate"/>
        </w:r>
        <w:r w:rsidR="00950F0A">
          <w:rPr>
            <w:noProof/>
            <w:webHidden/>
          </w:rPr>
          <w:t>483</w:t>
        </w:r>
        <w:r w:rsidR="003F123F" w:rsidRPr="00D9348B">
          <w:rPr>
            <w:noProof/>
            <w:webHidden/>
          </w:rPr>
          <w:fldChar w:fldCharType="end"/>
        </w:r>
      </w:hyperlink>
    </w:p>
    <w:p w14:paraId="2BD1566D" w14:textId="34C07C62" w:rsidR="003F123F" w:rsidRPr="00D9348B" w:rsidRDefault="00DA6C03">
      <w:pPr>
        <w:pStyle w:val="TOC2"/>
        <w:rPr>
          <w:noProof/>
          <w:sz w:val="22"/>
        </w:rPr>
      </w:pPr>
      <w:hyperlink w:anchor="_Toc36224465" w:history="1">
        <w:r w:rsidR="003F123F" w:rsidRPr="00D9348B">
          <w:rPr>
            <w:rStyle w:val="Hyperlink"/>
            <w:noProof/>
          </w:rPr>
          <w:t xml:space="preserve">15.3 </w:t>
        </w:r>
        <w:r w:rsidR="003F123F" w:rsidRPr="00D9348B">
          <w:rPr>
            <w:noProof/>
            <w:sz w:val="22"/>
          </w:rPr>
          <w:tab/>
        </w:r>
        <w:r w:rsidR="003F123F" w:rsidRPr="00D9348B">
          <w:rPr>
            <w:rStyle w:val="Hyperlink"/>
            <w:noProof/>
          </w:rPr>
          <w:t>Removal of subsidies</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_Toc36224465 \h </w:instrText>
        </w:r>
        <w:r w:rsidR="003F123F" w:rsidRPr="00D9348B">
          <w:rPr>
            <w:noProof/>
            <w:webHidden/>
          </w:rPr>
        </w:r>
        <w:r w:rsidR="003F123F" w:rsidRPr="00D9348B">
          <w:rPr>
            <w:noProof/>
            <w:webHidden/>
          </w:rPr>
          <w:fldChar w:fldCharType="separate"/>
        </w:r>
        <w:r w:rsidR="00950F0A">
          <w:rPr>
            <w:noProof/>
            <w:webHidden/>
          </w:rPr>
          <w:t>483</w:t>
        </w:r>
        <w:r w:rsidR="003F123F" w:rsidRPr="00D9348B">
          <w:rPr>
            <w:noProof/>
            <w:webHidden/>
          </w:rPr>
          <w:fldChar w:fldCharType="end"/>
        </w:r>
      </w:hyperlink>
    </w:p>
    <w:p w14:paraId="18ED4C52" w14:textId="3EBF4B06" w:rsidR="003F123F" w:rsidRPr="00D9348B" w:rsidRDefault="00DA6C03">
      <w:pPr>
        <w:pStyle w:val="TOC2"/>
        <w:rPr>
          <w:noProof/>
          <w:sz w:val="22"/>
        </w:rPr>
      </w:pPr>
      <w:hyperlink w:anchor="_Toc36224466" w:history="1">
        <w:r w:rsidR="003F123F" w:rsidRPr="00D9348B">
          <w:rPr>
            <w:rStyle w:val="Hyperlink"/>
            <w:noProof/>
          </w:rPr>
          <w:t xml:space="preserve">15.4 </w:t>
        </w:r>
        <w:r w:rsidR="003F123F" w:rsidRPr="00D9348B">
          <w:rPr>
            <w:noProof/>
            <w:sz w:val="22"/>
          </w:rPr>
          <w:tab/>
        </w:r>
        <w:r w:rsidR="003F123F" w:rsidRPr="00D9348B">
          <w:rPr>
            <w:rStyle w:val="Hyperlink"/>
            <w:noProof/>
          </w:rPr>
          <w:t>Technological development of non-energy uses of fossil fuels</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_Toc36224466 \h </w:instrText>
        </w:r>
        <w:r w:rsidR="003F123F" w:rsidRPr="00D9348B">
          <w:rPr>
            <w:noProof/>
            <w:webHidden/>
          </w:rPr>
        </w:r>
        <w:r w:rsidR="003F123F" w:rsidRPr="00D9348B">
          <w:rPr>
            <w:noProof/>
            <w:webHidden/>
          </w:rPr>
          <w:fldChar w:fldCharType="separate"/>
        </w:r>
        <w:r w:rsidR="00950F0A">
          <w:rPr>
            <w:noProof/>
            <w:webHidden/>
          </w:rPr>
          <w:t>484</w:t>
        </w:r>
        <w:r w:rsidR="003F123F" w:rsidRPr="00D9348B">
          <w:rPr>
            <w:noProof/>
            <w:webHidden/>
          </w:rPr>
          <w:fldChar w:fldCharType="end"/>
        </w:r>
      </w:hyperlink>
    </w:p>
    <w:p w14:paraId="6295AC85" w14:textId="20B69CEF" w:rsidR="003F123F" w:rsidRPr="00D9348B" w:rsidRDefault="00DA6C03">
      <w:pPr>
        <w:pStyle w:val="TOC2"/>
        <w:rPr>
          <w:noProof/>
          <w:sz w:val="22"/>
        </w:rPr>
      </w:pPr>
      <w:hyperlink w:anchor="_Toc36224467" w:history="1">
        <w:r w:rsidR="003F123F" w:rsidRPr="00D9348B">
          <w:rPr>
            <w:rStyle w:val="Hyperlink"/>
            <w:noProof/>
          </w:rPr>
          <w:t xml:space="preserve">15.5 </w:t>
        </w:r>
        <w:r w:rsidR="003F123F" w:rsidRPr="00D9348B">
          <w:rPr>
            <w:noProof/>
            <w:sz w:val="22"/>
          </w:rPr>
          <w:tab/>
        </w:r>
        <w:r w:rsidR="003F123F" w:rsidRPr="00D9348B">
          <w:rPr>
            <w:rStyle w:val="Hyperlink"/>
            <w:noProof/>
          </w:rPr>
          <w:t>Carbon capture and storage technology development</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_Toc36224467 \h </w:instrText>
        </w:r>
        <w:r w:rsidR="003F123F" w:rsidRPr="00D9348B">
          <w:rPr>
            <w:noProof/>
            <w:webHidden/>
          </w:rPr>
        </w:r>
        <w:r w:rsidR="003F123F" w:rsidRPr="00D9348B">
          <w:rPr>
            <w:noProof/>
            <w:webHidden/>
          </w:rPr>
          <w:fldChar w:fldCharType="separate"/>
        </w:r>
        <w:r w:rsidR="00950F0A">
          <w:rPr>
            <w:noProof/>
            <w:webHidden/>
          </w:rPr>
          <w:t>484</w:t>
        </w:r>
        <w:r w:rsidR="003F123F" w:rsidRPr="00D9348B">
          <w:rPr>
            <w:noProof/>
            <w:webHidden/>
          </w:rPr>
          <w:fldChar w:fldCharType="end"/>
        </w:r>
      </w:hyperlink>
    </w:p>
    <w:p w14:paraId="23085624" w14:textId="37A641FF" w:rsidR="003F123F" w:rsidRPr="00D9348B" w:rsidRDefault="00DA6C03">
      <w:pPr>
        <w:pStyle w:val="TOC2"/>
        <w:rPr>
          <w:noProof/>
          <w:sz w:val="22"/>
        </w:rPr>
      </w:pPr>
      <w:hyperlink w:anchor="_Toc36224468" w:history="1">
        <w:r w:rsidR="003F123F" w:rsidRPr="00D9348B">
          <w:rPr>
            <w:rStyle w:val="Hyperlink"/>
            <w:noProof/>
          </w:rPr>
          <w:t xml:space="preserve">15.6 </w:t>
        </w:r>
        <w:r w:rsidR="003F123F" w:rsidRPr="00D9348B">
          <w:rPr>
            <w:noProof/>
            <w:sz w:val="22"/>
          </w:rPr>
          <w:tab/>
        </w:r>
        <w:r w:rsidR="003F123F" w:rsidRPr="00D9348B">
          <w:rPr>
            <w:rStyle w:val="Hyperlink"/>
            <w:noProof/>
          </w:rPr>
          <w:t>Improvements in fossil fuel efficiencies</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_Toc36224468 \h </w:instrText>
        </w:r>
        <w:r w:rsidR="003F123F" w:rsidRPr="00D9348B">
          <w:rPr>
            <w:noProof/>
            <w:webHidden/>
          </w:rPr>
        </w:r>
        <w:r w:rsidR="003F123F" w:rsidRPr="00D9348B">
          <w:rPr>
            <w:noProof/>
            <w:webHidden/>
          </w:rPr>
          <w:fldChar w:fldCharType="separate"/>
        </w:r>
        <w:r w:rsidR="00950F0A">
          <w:rPr>
            <w:noProof/>
            <w:webHidden/>
          </w:rPr>
          <w:t>485</w:t>
        </w:r>
        <w:r w:rsidR="003F123F" w:rsidRPr="00D9348B">
          <w:rPr>
            <w:noProof/>
            <w:webHidden/>
          </w:rPr>
          <w:fldChar w:fldCharType="end"/>
        </w:r>
      </w:hyperlink>
    </w:p>
    <w:p w14:paraId="11DD652B" w14:textId="5AA6D4E3" w:rsidR="003F123F" w:rsidRPr="00D9348B" w:rsidRDefault="00DA6C03">
      <w:pPr>
        <w:pStyle w:val="TOC2"/>
        <w:rPr>
          <w:noProof/>
          <w:sz w:val="22"/>
        </w:rPr>
      </w:pPr>
      <w:hyperlink w:anchor="_Toc36224469" w:history="1">
        <w:r w:rsidR="003F123F" w:rsidRPr="00D9348B">
          <w:rPr>
            <w:rStyle w:val="Hyperlink"/>
            <w:noProof/>
          </w:rPr>
          <w:t xml:space="preserve">15.7 </w:t>
        </w:r>
        <w:r w:rsidR="003F123F" w:rsidRPr="00D9348B">
          <w:rPr>
            <w:noProof/>
            <w:sz w:val="22"/>
          </w:rPr>
          <w:tab/>
        </w:r>
        <w:r w:rsidR="003F123F" w:rsidRPr="00D9348B">
          <w:rPr>
            <w:rStyle w:val="Hyperlink"/>
            <w:noProof/>
          </w:rPr>
          <w:t>Assistance to non-Annex I Parties dependent on the export and consumption of fossil fuels for diversifying their economies</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_Toc36224469 \h </w:instrText>
        </w:r>
        <w:r w:rsidR="003F123F" w:rsidRPr="00D9348B">
          <w:rPr>
            <w:noProof/>
            <w:webHidden/>
          </w:rPr>
        </w:r>
        <w:r w:rsidR="003F123F" w:rsidRPr="00D9348B">
          <w:rPr>
            <w:noProof/>
            <w:webHidden/>
          </w:rPr>
          <w:fldChar w:fldCharType="separate"/>
        </w:r>
        <w:r w:rsidR="00950F0A">
          <w:rPr>
            <w:noProof/>
            <w:webHidden/>
          </w:rPr>
          <w:t>485</w:t>
        </w:r>
        <w:r w:rsidR="003F123F" w:rsidRPr="00D9348B">
          <w:rPr>
            <w:noProof/>
            <w:webHidden/>
          </w:rPr>
          <w:fldChar w:fldCharType="end"/>
        </w:r>
      </w:hyperlink>
    </w:p>
    <w:p w14:paraId="757EDE09" w14:textId="4B0C7E41" w:rsidR="003F123F" w:rsidRPr="00D9348B" w:rsidRDefault="00DA6C03">
      <w:pPr>
        <w:pStyle w:val="TOC2"/>
        <w:rPr>
          <w:noProof/>
          <w:sz w:val="22"/>
        </w:rPr>
      </w:pPr>
      <w:hyperlink w:anchor="_Toc36224470" w:history="1">
        <w:r w:rsidR="003F123F" w:rsidRPr="00D9348B">
          <w:rPr>
            <w:rStyle w:val="Hyperlink"/>
            <w:noProof/>
          </w:rPr>
          <w:t>Chapter 15: Reference</w:t>
        </w:r>
        <w:r w:rsidR="003F123F" w:rsidRPr="00D9348B">
          <w:rPr>
            <w:noProof/>
            <w:webHidden/>
          </w:rPr>
          <w:tab/>
        </w:r>
        <w:r w:rsidR="003F123F" w:rsidRPr="00D9348B">
          <w:rPr>
            <w:noProof/>
            <w:webHidden/>
          </w:rPr>
          <w:fldChar w:fldCharType="begin"/>
        </w:r>
        <w:r w:rsidR="003F123F" w:rsidRPr="00D9348B">
          <w:rPr>
            <w:noProof/>
            <w:webHidden/>
          </w:rPr>
          <w:instrText xml:space="preserve"> PAGEREF _Toc36224470 \h </w:instrText>
        </w:r>
        <w:r w:rsidR="003F123F" w:rsidRPr="00D9348B">
          <w:rPr>
            <w:noProof/>
            <w:webHidden/>
          </w:rPr>
        </w:r>
        <w:r w:rsidR="003F123F" w:rsidRPr="00D9348B">
          <w:rPr>
            <w:noProof/>
            <w:webHidden/>
          </w:rPr>
          <w:fldChar w:fldCharType="separate"/>
        </w:r>
        <w:r w:rsidR="00950F0A">
          <w:rPr>
            <w:noProof/>
            <w:webHidden/>
          </w:rPr>
          <w:t>486</w:t>
        </w:r>
        <w:r w:rsidR="003F123F" w:rsidRPr="00D9348B">
          <w:rPr>
            <w:noProof/>
            <w:webHidden/>
          </w:rPr>
          <w:fldChar w:fldCharType="end"/>
        </w:r>
      </w:hyperlink>
    </w:p>
    <w:p w14:paraId="7B6982B1" w14:textId="1F19010C" w:rsidR="006E0A2C" w:rsidRPr="009E7F98" w:rsidRDefault="000E5D1F" w:rsidP="003A6524">
      <w:pPr>
        <w:pStyle w:val="BodyText"/>
        <w:rPr>
          <w:rFonts w:cs="Calibri"/>
        </w:rPr>
      </w:pPr>
      <w:r w:rsidRPr="00D9348B">
        <w:fldChar w:fldCharType="end"/>
      </w:r>
    </w:p>
    <w:p w14:paraId="38918858" w14:textId="77777777" w:rsidR="0035181A" w:rsidRPr="009E7F98" w:rsidRDefault="0035181A" w:rsidP="0035181A">
      <w:pPr>
        <w:pStyle w:val="BodyText"/>
        <w:rPr>
          <w:rFonts w:cs="Calibri"/>
          <w:b/>
        </w:rPr>
      </w:pPr>
      <w:r w:rsidRPr="009E7F98">
        <w:rPr>
          <w:rFonts w:cs="Calibri"/>
          <w:b/>
        </w:rPr>
        <w:t>See separate file for the national inventory report annexes.</w:t>
      </w:r>
    </w:p>
    <w:p w14:paraId="2A5DF2D4" w14:textId="77777777" w:rsidR="0035181A" w:rsidRPr="009E7F98" w:rsidRDefault="0035181A" w:rsidP="00A34169">
      <w:pPr>
        <w:rPr>
          <w:rFonts w:cs="Calibri"/>
        </w:rPr>
      </w:pPr>
    </w:p>
    <w:p w14:paraId="6A0D1918" w14:textId="77777777" w:rsidR="00F51DB1" w:rsidRDefault="00F51DB1" w:rsidP="008E405A">
      <w:pPr>
        <w:pStyle w:val="Heading1"/>
        <w:sectPr w:rsidR="00F51DB1" w:rsidSect="007575A8">
          <w:footerReference w:type="even" r:id="rId18"/>
          <w:pgSz w:w="11907" w:h="16840" w:code="9"/>
          <w:pgMar w:top="1418" w:right="1701" w:bottom="1418" w:left="1701" w:header="567" w:footer="567" w:gutter="0"/>
          <w:pgNumType w:fmt="lowerRoman"/>
          <w:cols w:space="720"/>
        </w:sectPr>
      </w:pPr>
      <w:bookmarkStart w:id="5" w:name="_Toc36224355"/>
    </w:p>
    <w:p w14:paraId="19C7ACBA" w14:textId="717D2BFA" w:rsidR="006E0A2C" w:rsidRPr="00D9348B" w:rsidRDefault="006E0A2C" w:rsidP="008E405A">
      <w:pPr>
        <w:pStyle w:val="Heading1"/>
      </w:pPr>
      <w:r w:rsidRPr="00D9348B">
        <w:lastRenderedPageBreak/>
        <w:t>Tables</w:t>
      </w:r>
      <w:bookmarkEnd w:id="5"/>
    </w:p>
    <w:p w14:paraId="3F819677" w14:textId="15DBE26C" w:rsidR="002745A8" w:rsidRPr="00D9348B" w:rsidRDefault="003C080E">
      <w:pPr>
        <w:pStyle w:val="TableofFigures"/>
        <w:rPr>
          <w:rFonts w:cs="Times New Roman"/>
          <w:sz w:val="22"/>
        </w:rPr>
      </w:pPr>
      <w:r w:rsidRPr="00D9348B">
        <w:rPr>
          <w:noProof w:val="0"/>
        </w:rPr>
        <w:fldChar w:fldCharType="begin"/>
      </w:r>
      <w:r w:rsidRPr="00D9348B">
        <w:rPr>
          <w:noProof w:val="0"/>
        </w:rPr>
        <w:instrText xml:space="preserve"> TOC \h \z \t "Table" \c </w:instrText>
      </w:r>
      <w:r w:rsidRPr="00D9348B">
        <w:rPr>
          <w:noProof w:val="0"/>
        </w:rPr>
        <w:fldChar w:fldCharType="separate"/>
      </w:r>
      <w:hyperlink w:anchor="_Toc36224508" w:history="1">
        <w:r w:rsidR="002745A8" w:rsidRPr="00D9348B">
          <w:rPr>
            <w:rStyle w:val="Hyperlink"/>
          </w:rPr>
          <w:t xml:space="preserve">Table ES 3.1 </w:t>
        </w:r>
        <w:r w:rsidR="002745A8" w:rsidRPr="00D9348B">
          <w:rPr>
            <w:rFonts w:cs="Times New Roman"/>
            <w:sz w:val="22"/>
          </w:rPr>
          <w:tab/>
        </w:r>
        <w:r w:rsidR="002745A8" w:rsidRPr="00D9348B">
          <w:rPr>
            <w:rStyle w:val="Hyperlink"/>
          </w:rPr>
          <w:t>New Zealand’s gross emissions by gas in 1990 and 2018</w:t>
        </w:r>
        <w:r w:rsidR="002745A8" w:rsidRPr="00D9348B">
          <w:rPr>
            <w:webHidden/>
          </w:rPr>
          <w:tab/>
        </w:r>
        <w:r w:rsidR="002745A8" w:rsidRPr="00D9348B">
          <w:rPr>
            <w:webHidden/>
          </w:rPr>
          <w:fldChar w:fldCharType="begin"/>
        </w:r>
        <w:r w:rsidR="002745A8" w:rsidRPr="00D9348B">
          <w:rPr>
            <w:webHidden/>
          </w:rPr>
          <w:instrText xml:space="preserve"> PAGEREF _Toc36224508 \h </w:instrText>
        </w:r>
        <w:r w:rsidR="002745A8" w:rsidRPr="00D9348B">
          <w:rPr>
            <w:webHidden/>
          </w:rPr>
        </w:r>
        <w:r w:rsidR="002745A8" w:rsidRPr="00D9348B">
          <w:rPr>
            <w:webHidden/>
          </w:rPr>
          <w:fldChar w:fldCharType="separate"/>
        </w:r>
        <w:r w:rsidR="00950F0A">
          <w:rPr>
            <w:webHidden/>
          </w:rPr>
          <w:t>5</w:t>
        </w:r>
        <w:r w:rsidR="002745A8" w:rsidRPr="00D9348B">
          <w:rPr>
            <w:webHidden/>
          </w:rPr>
          <w:fldChar w:fldCharType="end"/>
        </w:r>
      </w:hyperlink>
    </w:p>
    <w:p w14:paraId="697617F0" w14:textId="283D01F7" w:rsidR="002745A8" w:rsidRPr="00D9348B" w:rsidRDefault="00DA6C03">
      <w:pPr>
        <w:pStyle w:val="TableofFigures"/>
        <w:rPr>
          <w:rFonts w:cs="Times New Roman"/>
          <w:sz w:val="22"/>
        </w:rPr>
      </w:pPr>
      <w:hyperlink w:anchor="_Toc36224509" w:history="1">
        <w:r w:rsidR="002745A8" w:rsidRPr="00D9348B">
          <w:rPr>
            <w:rStyle w:val="Hyperlink"/>
          </w:rPr>
          <w:t xml:space="preserve">Table ES 3.2 </w:t>
        </w:r>
        <w:r w:rsidR="002745A8" w:rsidRPr="00D9348B">
          <w:rPr>
            <w:rFonts w:cs="Times New Roman"/>
            <w:sz w:val="22"/>
          </w:rPr>
          <w:tab/>
        </w:r>
        <w:r w:rsidR="002745A8" w:rsidRPr="00D9348B">
          <w:rPr>
            <w:rStyle w:val="Hyperlink"/>
          </w:rPr>
          <w:t>New Zealand’s indirect greenhouse gas emissions (excluding LULUCF) in 1990 and 2018</w:t>
        </w:r>
        <w:r w:rsidR="002745A8" w:rsidRPr="00D9348B">
          <w:rPr>
            <w:webHidden/>
          </w:rPr>
          <w:tab/>
        </w:r>
        <w:r w:rsidR="002745A8" w:rsidRPr="00D9348B">
          <w:rPr>
            <w:webHidden/>
          </w:rPr>
          <w:fldChar w:fldCharType="begin"/>
        </w:r>
        <w:r w:rsidR="002745A8" w:rsidRPr="00D9348B">
          <w:rPr>
            <w:webHidden/>
          </w:rPr>
          <w:instrText xml:space="preserve"> PAGEREF _Toc36224509 \h </w:instrText>
        </w:r>
        <w:r w:rsidR="002745A8" w:rsidRPr="00D9348B">
          <w:rPr>
            <w:webHidden/>
          </w:rPr>
        </w:r>
        <w:r w:rsidR="002745A8" w:rsidRPr="00D9348B">
          <w:rPr>
            <w:webHidden/>
          </w:rPr>
          <w:fldChar w:fldCharType="separate"/>
        </w:r>
        <w:r w:rsidR="00950F0A">
          <w:rPr>
            <w:webHidden/>
          </w:rPr>
          <w:t>7</w:t>
        </w:r>
        <w:r w:rsidR="002745A8" w:rsidRPr="00D9348B">
          <w:rPr>
            <w:webHidden/>
          </w:rPr>
          <w:fldChar w:fldCharType="end"/>
        </w:r>
      </w:hyperlink>
    </w:p>
    <w:p w14:paraId="728141AE" w14:textId="3A88CB65" w:rsidR="002745A8" w:rsidRPr="00D9348B" w:rsidRDefault="00DA6C03">
      <w:pPr>
        <w:pStyle w:val="TableofFigures"/>
        <w:rPr>
          <w:rFonts w:cs="Times New Roman"/>
          <w:sz w:val="22"/>
        </w:rPr>
      </w:pPr>
      <w:hyperlink w:anchor="_Toc36224510" w:history="1">
        <w:r w:rsidR="002745A8" w:rsidRPr="00D9348B">
          <w:rPr>
            <w:rStyle w:val="Hyperlink"/>
          </w:rPr>
          <w:t xml:space="preserve">Table ES 4.1 </w:t>
        </w:r>
        <w:r w:rsidR="002745A8" w:rsidRPr="00D9348B">
          <w:rPr>
            <w:rFonts w:cs="Times New Roman"/>
            <w:sz w:val="22"/>
          </w:rPr>
          <w:tab/>
        </w:r>
        <w:r w:rsidR="002745A8" w:rsidRPr="00D9348B">
          <w:rPr>
            <w:rStyle w:val="Hyperlink"/>
          </w:rPr>
          <w:t>New Zealand’s gross emissions by sector in 1990 and 2018</w:t>
        </w:r>
        <w:r w:rsidR="002745A8" w:rsidRPr="00D9348B">
          <w:rPr>
            <w:webHidden/>
          </w:rPr>
          <w:tab/>
        </w:r>
        <w:r w:rsidR="002745A8" w:rsidRPr="00D9348B">
          <w:rPr>
            <w:webHidden/>
          </w:rPr>
          <w:fldChar w:fldCharType="begin"/>
        </w:r>
        <w:r w:rsidR="002745A8" w:rsidRPr="00D9348B">
          <w:rPr>
            <w:webHidden/>
          </w:rPr>
          <w:instrText xml:space="preserve"> PAGEREF _Toc36224510 \h </w:instrText>
        </w:r>
        <w:r w:rsidR="002745A8" w:rsidRPr="00D9348B">
          <w:rPr>
            <w:webHidden/>
          </w:rPr>
        </w:r>
        <w:r w:rsidR="002745A8" w:rsidRPr="00D9348B">
          <w:rPr>
            <w:webHidden/>
          </w:rPr>
          <w:fldChar w:fldCharType="separate"/>
        </w:r>
        <w:r w:rsidR="00950F0A">
          <w:rPr>
            <w:webHidden/>
          </w:rPr>
          <w:t>8</w:t>
        </w:r>
        <w:r w:rsidR="002745A8" w:rsidRPr="00D9348B">
          <w:rPr>
            <w:webHidden/>
          </w:rPr>
          <w:fldChar w:fldCharType="end"/>
        </w:r>
      </w:hyperlink>
    </w:p>
    <w:p w14:paraId="63C194D6" w14:textId="3C611CA0" w:rsidR="002745A8" w:rsidRPr="00D9348B" w:rsidRDefault="00DA6C03">
      <w:pPr>
        <w:pStyle w:val="TableofFigures"/>
        <w:tabs>
          <w:tab w:val="left" w:pos="1701"/>
        </w:tabs>
        <w:rPr>
          <w:rFonts w:cs="Times New Roman"/>
          <w:sz w:val="22"/>
        </w:rPr>
      </w:pPr>
      <w:hyperlink w:anchor="_Toc36224511" w:history="1">
        <w:r w:rsidR="002745A8" w:rsidRPr="00D9348B">
          <w:rPr>
            <w:rStyle w:val="Hyperlink"/>
          </w:rPr>
          <w:t>Table ES 5.1(a)</w:t>
        </w:r>
        <w:r w:rsidR="002745A8" w:rsidRPr="00D9348B">
          <w:rPr>
            <w:rFonts w:cs="Times New Roman"/>
            <w:sz w:val="22"/>
          </w:rPr>
          <w:t xml:space="preserve"> </w:t>
        </w:r>
        <w:r w:rsidR="002745A8" w:rsidRPr="00D9348B">
          <w:rPr>
            <w:rStyle w:val="Hyperlink"/>
          </w:rPr>
          <w:t xml:space="preserve">New Zealand’s </w:t>
        </w:r>
        <w:r w:rsidR="00766DDA">
          <w:rPr>
            <w:rStyle w:val="Hyperlink"/>
          </w:rPr>
          <w:t>land-use</w:t>
        </w:r>
        <w:r w:rsidR="002745A8" w:rsidRPr="00D9348B">
          <w:rPr>
            <w:rStyle w:val="Hyperlink"/>
          </w:rPr>
          <w:t xml:space="preserve"> areas for Afforestation and reforestation, Deforestation and Forest management</w:t>
        </w:r>
        <w:r w:rsidR="002745A8" w:rsidRPr="00D9348B">
          <w:rPr>
            <w:webHidden/>
          </w:rPr>
          <w:tab/>
        </w:r>
        <w:r w:rsidR="002745A8" w:rsidRPr="00D9348B">
          <w:rPr>
            <w:webHidden/>
          </w:rPr>
          <w:fldChar w:fldCharType="begin"/>
        </w:r>
        <w:r w:rsidR="002745A8" w:rsidRPr="00D9348B">
          <w:rPr>
            <w:webHidden/>
          </w:rPr>
          <w:instrText xml:space="preserve"> PAGEREF _Toc36224511 \h </w:instrText>
        </w:r>
        <w:r w:rsidR="002745A8" w:rsidRPr="00D9348B">
          <w:rPr>
            <w:webHidden/>
          </w:rPr>
        </w:r>
        <w:r w:rsidR="002745A8" w:rsidRPr="00D9348B">
          <w:rPr>
            <w:webHidden/>
          </w:rPr>
          <w:fldChar w:fldCharType="separate"/>
        </w:r>
        <w:r w:rsidR="00950F0A">
          <w:rPr>
            <w:webHidden/>
          </w:rPr>
          <w:t>15</w:t>
        </w:r>
        <w:r w:rsidR="002745A8" w:rsidRPr="00D9348B">
          <w:rPr>
            <w:webHidden/>
          </w:rPr>
          <w:fldChar w:fldCharType="end"/>
        </w:r>
      </w:hyperlink>
    </w:p>
    <w:p w14:paraId="1477D3D9" w14:textId="66227601" w:rsidR="002745A8" w:rsidRPr="00D9348B" w:rsidRDefault="00DA6C03">
      <w:pPr>
        <w:pStyle w:val="TableofFigures"/>
        <w:tabs>
          <w:tab w:val="left" w:pos="1701"/>
        </w:tabs>
        <w:rPr>
          <w:rFonts w:cs="Times New Roman"/>
          <w:sz w:val="22"/>
        </w:rPr>
      </w:pPr>
      <w:hyperlink w:anchor="_Toc36224512" w:history="1">
        <w:r w:rsidR="002745A8" w:rsidRPr="00D9348B">
          <w:rPr>
            <w:rStyle w:val="Hyperlink"/>
          </w:rPr>
          <w:t>Table ES 5.1(b)</w:t>
        </w:r>
        <w:r w:rsidR="002745A8" w:rsidRPr="00D9348B">
          <w:rPr>
            <w:rFonts w:cs="Times New Roman"/>
            <w:sz w:val="22"/>
          </w:rPr>
          <w:t xml:space="preserve"> </w:t>
        </w:r>
        <w:r w:rsidR="002745A8" w:rsidRPr="00D9348B">
          <w:rPr>
            <w:rStyle w:val="Hyperlink"/>
          </w:rPr>
          <w:t>New Zealand’s net emissions and accounting quantity by year for Afforestation and reforestation, Deforestation and Forest management</w:t>
        </w:r>
        <w:r w:rsidR="002745A8" w:rsidRPr="00D9348B">
          <w:rPr>
            <w:webHidden/>
          </w:rPr>
          <w:tab/>
        </w:r>
        <w:r w:rsidR="002745A8" w:rsidRPr="00D9348B">
          <w:rPr>
            <w:webHidden/>
          </w:rPr>
          <w:fldChar w:fldCharType="begin"/>
        </w:r>
        <w:r w:rsidR="002745A8" w:rsidRPr="00D9348B">
          <w:rPr>
            <w:webHidden/>
          </w:rPr>
          <w:instrText xml:space="preserve"> PAGEREF _Toc36224512 \h </w:instrText>
        </w:r>
        <w:r w:rsidR="002745A8" w:rsidRPr="00D9348B">
          <w:rPr>
            <w:webHidden/>
          </w:rPr>
        </w:r>
        <w:r w:rsidR="002745A8" w:rsidRPr="00D9348B">
          <w:rPr>
            <w:webHidden/>
          </w:rPr>
          <w:fldChar w:fldCharType="separate"/>
        </w:r>
        <w:r w:rsidR="00950F0A">
          <w:rPr>
            <w:webHidden/>
          </w:rPr>
          <w:t>15</w:t>
        </w:r>
        <w:r w:rsidR="002745A8" w:rsidRPr="00D9348B">
          <w:rPr>
            <w:webHidden/>
          </w:rPr>
          <w:fldChar w:fldCharType="end"/>
        </w:r>
      </w:hyperlink>
    </w:p>
    <w:p w14:paraId="5406FA35" w14:textId="293277FC" w:rsidR="002745A8" w:rsidRPr="00D9348B" w:rsidRDefault="00DA6C03">
      <w:pPr>
        <w:pStyle w:val="TableofFigures"/>
        <w:rPr>
          <w:rFonts w:cs="Times New Roman"/>
          <w:sz w:val="22"/>
        </w:rPr>
      </w:pPr>
      <w:hyperlink w:anchor="_Toc36224513" w:history="1">
        <w:r w:rsidR="002745A8" w:rsidRPr="00D9348B">
          <w:rPr>
            <w:rStyle w:val="Hyperlink"/>
          </w:rPr>
          <w:t>Table 1.4.1</w:t>
        </w:r>
        <w:r w:rsidR="002745A8" w:rsidRPr="00D9348B">
          <w:rPr>
            <w:rFonts w:cs="Times New Roman"/>
            <w:sz w:val="22"/>
          </w:rPr>
          <w:tab/>
        </w:r>
        <w:r w:rsidR="002745A8" w:rsidRPr="00D9348B">
          <w:rPr>
            <w:rStyle w:val="Hyperlink"/>
          </w:rPr>
          <w:t>Key sources for activity data in Tokelau</w:t>
        </w:r>
        <w:r w:rsidR="002745A8" w:rsidRPr="00D9348B">
          <w:rPr>
            <w:webHidden/>
          </w:rPr>
          <w:tab/>
        </w:r>
        <w:r w:rsidR="002745A8" w:rsidRPr="00D9348B">
          <w:rPr>
            <w:webHidden/>
          </w:rPr>
          <w:fldChar w:fldCharType="begin"/>
        </w:r>
        <w:r w:rsidR="002745A8" w:rsidRPr="00D9348B">
          <w:rPr>
            <w:webHidden/>
          </w:rPr>
          <w:instrText xml:space="preserve"> PAGEREF _Toc36224513 \h </w:instrText>
        </w:r>
        <w:r w:rsidR="002745A8" w:rsidRPr="00D9348B">
          <w:rPr>
            <w:webHidden/>
          </w:rPr>
        </w:r>
        <w:r w:rsidR="002745A8" w:rsidRPr="00D9348B">
          <w:rPr>
            <w:webHidden/>
          </w:rPr>
          <w:fldChar w:fldCharType="separate"/>
        </w:r>
        <w:r w:rsidR="00950F0A">
          <w:rPr>
            <w:webHidden/>
          </w:rPr>
          <w:t>36</w:t>
        </w:r>
        <w:r w:rsidR="002745A8" w:rsidRPr="00D9348B">
          <w:rPr>
            <w:webHidden/>
          </w:rPr>
          <w:fldChar w:fldCharType="end"/>
        </w:r>
      </w:hyperlink>
    </w:p>
    <w:p w14:paraId="2AB99CF2" w14:textId="30B5BDF7" w:rsidR="002745A8" w:rsidRPr="00D9348B" w:rsidRDefault="00DA6C03">
      <w:pPr>
        <w:pStyle w:val="TableofFigures"/>
        <w:rPr>
          <w:rFonts w:cs="Times New Roman"/>
          <w:sz w:val="22"/>
        </w:rPr>
      </w:pPr>
      <w:hyperlink w:anchor="_Toc36224514" w:history="1">
        <w:r w:rsidR="002745A8" w:rsidRPr="00D9348B">
          <w:rPr>
            <w:rStyle w:val="Hyperlink"/>
          </w:rPr>
          <w:t xml:space="preserve">Table 1.5.1 </w:t>
        </w:r>
        <w:r w:rsidR="002745A8" w:rsidRPr="00D9348B">
          <w:rPr>
            <w:rFonts w:cs="Times New Roman"/>
            <w:sz w:val="22"/>
          </w:rPr>
          <w:tab/>
        </w:r>
        <w:r w:rsidR="002745A8" w:rsidRPr="00D9348B">
          <w:rPr>
            <w:rStyle w:val="Hyperlink"/>
          </w:rPr>
          <w:t>Summary of New Zealand’s key categories for the 2018 level assessment and the trend assessment for 1990 to 2018 (including and excluding LULUCF activities)</w:t>
        </w:r>
        <w:r w:rsidR="002745A8" w:rsidRPr="00D9348B">
          <w:rPr>
            <w:webHidden/>
          </w:rPr>
          <w:tab/>
        </w:r>
        <w:r w:rsidR="002745A8" w:rsidRPr="00D9348B">
          <w:rPr>
            <w:webHidden/>
          </w:rPr>
          <w:fldChar w:fldCharType="begin"/>
        </w:r>
        <w:r w:rsidR="002745A8" w:rsidRPr="00D9348B">
          <w:rPr>
            <w:webHidden/>
          </w:rPr>
          <w:instrText xml:space="preserve"> PAGEREF _Toc36224514 \h </w:instrText>
        </w:r>
        <w:r w:rsidR="002745A8" w:rsidRPr="00D9348B">
          <w:rPr>
            <w:webHidden/>
          </w:rPr>
        </w:r>
        <w:r w:rsidR="002745A8" w:rsidRPr="00D9348B">
          <w:rPr>
            <w:webHidden/>
          </w:rPr>
          <w:fldChar w:fldCharType="separate"/>
        </w:r>
        <w:r w:rsidR="00950F0A">
          <w:rPr>
            <w:webHidden/>
          </w:rPr>
          <w:t>39</w:t>
        </w:r>
        <w:r w:rsidR="002745A8" w:rsidRPr="00D9348B">
          <w:rPr>
            <w:webHidden/>
          </w:rPr>
          <w:fldChar w:fldCharType="end"/>
        </w:r>
      </w:hyperlink>
    </w:p>
    <w:p w14:paraId="2DC6B3A7" w14:textId="6AB1E840" w:rsidR="002745A8" w:rsidRPr="00D9348B" w:rsidRDefault="00DA6C03">
      <w:pPr>
        <w:pStyle w:val="TableofFigures"/>
        <w:tabs>
          <w:tab w:val="left" w:pos="1701"/>
        </w:tabs>
        <w:rPr>
          <w:rFonts w:cs="Times New Roman"/>
          <w:sz w:val="22"/>
        </w:rPr>
      </w:pPr>
      <w:hyperlink w:anchor="_Toc36224515" w:history="1">
        <w:r w:rsidR="002745A8" w:rsidRPr="00D9348B">
          <w:rPr>
            <w:rStyle w:val="Hyperlink"/>
          </w:rPr>
          <w:t>Table 1.5.2(a &amp; b)</w:t>
        </w:r>
        <w:r w:rsidR="002745A8" w:rsidRPr="00D9348B">
          <w:rPr>
            <w:rFonts w:cs="Times New Roman"/>
            <w:sz w:val="22"/>
          </w:rPr>
          <w:t xml:space="preserve"> </w:t>
        </w:r>
        <w:r w:rsidR="002745A8" w:rsidRPr="00D9348B">
          <w:rPr>
            <w:rStyle w:val="Hyperlink"/>
          </w:rPr>
          <w:t>2018 level assessment for New Zealand’s key category analysis including LULUCF (a) and excluding LULUCF (b)</w:t>
        </w:r>
        <w:r w:rsidR="002745A8" w:rsidRPr="00D9348B">
          <w:rPr>
            <w:webHidden/>
          </w:rPr>
          <w:tab/>
        </w:r>
        <w:r w:rsidR="002745A8" w:rsidRPr="00D9348B">
          <w:rPr>
            <w:webHidden/>
          </w:rPr>
          <w:fldChar w:fldCharType="begin"/>
        </w:r>
        <w:r w:rsidR="002745A8" w:rsidRPr="00D9348B">
          <w:rPr>
            <w:webHidden/>
          </w:rPr>
          <w:instrText xml:space="preserve"> PAGEREF _Toc36224515 \h </w:instrText>
        </w:r>
        <w:r w:rsidR="002745A8" w:rsidRPr="00D9348B">
          <w:rPr>
            <w:webHidden/>
          </w:rPr>
        </w:r>
        <w:r w:rsidR="002745A8" w:rsidRPr="00D9348B">
          <w:rPr>
            <w:webHidden/>
          </w:rPr>
          <w:fldChar w:fldCharType="separate"/>
        </w:r>
        <w:r w:rsidR="00950F0A">
          <w:rPr>
            <w:webHidden/>
          </w:rPr>
          <w:t>41</w:t>
        </w:r>
        <w:r w:rsidR="002745A8" w:rsidRPr="00D9348B">
          <w:rPr>
            <w:webHidden/>
          </w:rPr>
          <w:fldChar w:fldCharType="end"/>
        </w:r>
      </w:hyperlink>
    </w:p>
    <w:p w14:paraId="3AE6C8F0" w14:textId="50D3D9A7" w:rsidR="002745A8" w:rsidRPr="00D9348B" w:rsidRDefault="00DA6C03">
      <w:pPr>
        <w:pStyle w:val="TableofFigures"/>
        <w:tabs>
          <w:tab w:val="left" w:pos="1701"/>
        </w:tabs>
        <w:rPr>
          <w:rFonts w:cs="Times New Roman"/>
          <w:sz w:val="22"/>
        </w:rPr>
      </w:pPr>
      <w:hyperlink w:anchor="_Toc36224516" w:history="1">
        <w:r w:rsidR="002745A8" w:rsidRPr="00D9348B">
          <w:rPr>
            <w:rStyle w:val="Hyperlink"/>
          </w:rPr>
          <w:t>Table 1.5.3(a &amp; b)</w:t>
        </w:r>
        <w:r w:rsidR="002745A8" w:rsidRPr="00D9348B">
          <w:rPr>
            <w:rFonts w:cs="Times New Roman"/>
            <w:sz w:val="22"/>
          </w:rPr>
          <w:t xml:space="preserve"> </w:t>
        </w:r>
        <w:r w:rsidR="002745A8" w:rsidRPr="00D9348B">
          <w:rPr>
            <w:rStyle w:val="Hyperlink"/>
          </w:rPr>
          <w:t>1990–2018 trend assessment for New Zealand’s key category analysis including LULUCF (a) and excluding LULUCF (b)</w:t>
        </w:r>
        <w:r w:rsidR="002745A8" w:rsidRPr="00D9348B">
          <w:rPr>
            <w:webHidden/>
          </w:rPr>
          <w:tab/>
        </w:r>
        <w:r w:rsidR="002745A8" w:rsidRPr="00D9348B">
          <w:rPr>
            <w:webHidden/>
          </w:rPr>
          <w:fldChar w:fldCharType="begin"/>
        </w:r>
        <w:r w:rsidR="002745A8" w:rsidRPr="00D9348B">
          <w:rPr>
            <w:webHidden/>
          </w:rPr>
          <w:instrText xml:space="preserve"> PAGEREF _Toc36224516 \h </w:instrText>
        </w:r>
        <w:r w:rsidR="002745A8" w:rsidRPr="00D9348B">
          <w:rPr>
            <w:webHidden/>
          </w:rPr>
        </w:r>
        <w:r w:rsidR="002745A8" w:rsidRPr="00D9348B">
          <w:rPr>
            <w:webHidden/>
          </w:rPr>
          <w:fldChar w:fldCharType="separate"/>
        </w:r>
        <w:r w:rsidR="00950F0A">
          <w:rPr>
            <w:webHidden/>
          </w:rPr>
          <w:t>43</w:t>
        </w:r>
        <w:r w:rsidR="002745A8" w:rsidRPr="00D9348B">
          <w:rPr>
            <w:webHidden/>
          </w:rPr>
          <w:fldChar w:fldCharType="end"/>
        </w:r>
      </w:hyperlink>
    </w:p>
    <w:p w14:paraId="42B76CAA" w14:textId="477C3EB7" w:rsidR="002745A8" w:rsidRPr="00D9348B" w:rsidRDefault="00DA6C03">
      <w:pPr>
        <w:pStyle w:val="TableofFigures"/>
        <w:rPr>
          <w:rFonts w:cs="Times New Roman"/>
          <w:sz w:val="22"/>
        </w:rPr>
      </w:pPr>
      <w:hyperlink w:anchor="_Toc36224517" w:history="1">
        <w:r w:rsidR="002745A8" w:rsidRPr="00D9348B">
          <w:rPr>
            <w:rStyle w:val="Hyperlink"/>
          </w:rPr>
          <w:t xml:space="preserve">Table 1.5.4 </w:t>
        </w:r>
        <w:r w:rsidR="002745A8" w:rsidRPr="00D9348B">
          <w:rPr>
            <w:rFonts w:cs="Times New Roman"/>
            <w:sz w:val="22"/>
          </w:rPr>
          <w:tab/>
        </w:r>
        <w:r w:rsidR="002745A8" w:rsidRPr="00D9348B">
          <w:rPr>
            <w:rStyle w:val="Hyperlink"/>
          </w:rPr>
          <w:t>Key categories under the Kyoto Protocol and corresponding categories under the Convention</w:t>
        </w:r>
        <w:r w:rsidR="002745A8" w:rsidRPr="00D9348B">
          <w:rPr>
            <w:webHidden/>
          </w:rPr>
          <w:tab/>
        </w:r>
        <w:r w:rsidR="002745A8" w:rsidRPr="00D9348B">
          <w:rPr>
            <w:webHidden/>
          </w:rPr>
          <w:fldChar w:fldCharType="begin"/>
        </w:r>
        <w:r w:rsidR="002745A8" w:rsidRPr="00D9348B">
          <w:rPr>
            <w:webHidden/>
          </w:rPr>
          <w:instrText xml:space="preserve"> PAGEREF _Toc36224517 \h </w:instrText>
        </w:r>
        <w:r w:rsidR="002745A8" w:rsidRPr="00D9348B">
          <w:rPr>
            <w:webHidden/>
          </w:rPr>
        </w:r>
        <w:r w:rsidR="002745A8" w:rsidRPr="00D9348B">
          <w:rPr>
            <w:webHidden/>
          </w:rPr>
          <w:fldChar w:fldCharType="separate"/>
        </w:r>
        <w:r w:rsidR="00950F0A">
          <w:rPr>
            <w:webHidden/>
          </w:rPr>
          <w:t>47</w:t>
        </w:r>
        <w:r w:rsidR="002745A8" w:rsidRPr="00D9348B">
          <w:rPr>
            <w:webHidden/>
          </w:rPr>
          <w:fldChar w:fldCharType="end"/>
        </w:r>
      </w:hyperlink>
    </w:p>
    <w:p w14:paraId="11D0888F" w14:textId="4843D95A" w:rsidR="002745A8" w:rsidRPr="00D9348B" w:rsidRDefault="00DA6C03">
      <w:pPr>
        <w:pStyle w:val="TableofFigures"/>
        <w:rPr>
          <w:rFonts w:cs="Times New Roman"/>
          <w:sz w:val="22"/>
        </w:rPr>
      </w:pPr>
      <w:hyperlink w:anchor="_Toc36224518" w:history="1">
        <w:r w:rsidR="002745A8" w:rsidRPr="00D9348B">
          <w:rPr>
            <w:rStyle w:val="Hyperlink"/>
          </w:rPr>
          <w:t xml:space="preserve">Table 1.9.1 </w:t>
        </w:r>
        <w:r w:rsidR="002745A8" w:rsidRPr="00D9348B">
          <w:rPr>
            <w:rFonts w:cs="Times New Roman"/>
            <w:sz w:val="22"/>
          </w:rPr>
          <w:tab/>
        </w:r>
        <w:r w:rsidR="002745A8" w:rsidRPr="00D9348B">
          <w:rPr>
            <w:rStyle w:val="Hyperlink"/>
          </w:rPr>
          <w:t>Dates for sector entry into the New Zealand Emissions Trading Scheme</w:t>
        </w:r>
        <w:r w:rsidR="002745A8" w:rsidRPr="00D9348B">
          <w:rPr>
            <w:webHidden/>
          </w:rPr>
          <w:tab/>
        </w:r>
        <w:r w:rsidR="002745A8" w:rsidRPr="00D9348B">
          <w:rPr>
            <w:webHidden/>
          </w:rPr>
          <w:fldChar w:fldCharType="begin"/>
        </w:r>
        <w:r w:rsidR="002745A8" w:rsidRPr="00D9348B">
          <w:rPr>
            <w:webHidden/>
          </w:rPr>
          <w:instrText xml:space="preserve"> PAGEREF _Toc36224518 \h </w:instrText>
        </w:r>
        <w:r w:rsidR="002745A8" w:rsidRPr="00D9348B">
          <w:rPr>
            <w:webHidden/>
          </w:rPr>
        </w:r>
        <w:r w:rsidR="002745A8" w:rsidRPr="00D9348B">
          <w:rPr>
            <w:webHidden/>
          </w:rPr>
          <w:fldChar w:fldCharType="separate"/>
        </w:r>
        <w:r w:rsidR="00950F0A">
          <w:rPr>
            <w:webHidden/>
          </w:rPr>
          <w:t>52</w:t>
        </w:r>
        <w:r w:rsidR="002745A8" w:rsidRPr="00D9348B">
          <w:rPr>
            <w:webHidden/>
          </w:rPr>
          <w:fldChar w:fldCharType="end"/>
        </w:r>
      </w:hyperlink>
    </w:p>
    <w:p w14:paraId="08137E6A" w14:textId="1C1971F2" w:rsidR="002745A8" w:rsidRPr="00D9348B" w:rsidRDefault="00DA6C03">
      <w:pPr>
        <w:pStyle w:val="TableofFigures"/>
        <w:rPr>
          <w:rFonts w:cs="Times New Roman"/>
          <w:sz w:val="22"/>
        </w:rPr>
      </w:pPr>
      <w:hyperlink w:anchor="_Toc36224519" w:history="1">
        <w:r w:rsidR="002745A8" w:rsidRPr="00D9348B">
          <w:rPr>
            <w:rStyle w:val="Hyperlink"/>
          </w:rPr>
          <w:t xml:space="preserve">Table 2.2.1 </w:t>
        </w:r>
        <w:r w:rsidR="002745A8" w:rsidRPr="00D9348B">
          <w:rPr>
            <w:rFonts w:cs="Times New Roman"/>
            <w:sz w:val="22"/>
          </w:rPr>
          <w:tab/>
        </w:r>
        <w:r w:rsidR="002745A8" w:rsidRPr="00D9348B">
          <w:rPr>
            <w:rStyle w:val="Hyperlink"/>
          </w:rPr>
          <w:t>New Zealand’s emissions by sector between 1990 and 2018</w:t>
        </w:r>
        <w:r w:rsidR="002745A8" w:rsidRPr="00D9348B">
          <w:rPr>
            <w:webHidden/>
          </w:rPr>
          <w:tab/>
        </w:r>
        <w:r w:rsidR="002745A8" w:rsidRPr="00D9348B">
          <w:rPr>
            <w:webHidden/>
          </w:rPr>
          <w:fldChar w:fldCharType="begin"/>
        </w:r>
        <w:r w:rsidR="002745A8" w:rsidRPr="00D9348B">
          <w:rPr>
            <w:webHidden/>
          </w:rPr>
          <w:instrText xml:space="preserve"> PAGEREF _Toc36224519 \h </w:instrText>
        </w:r>
        <w:r w:rsidR="002745A8" w:rsidRPr="00D9348B">
          <w:rPr>
            <w:webHidden/>
          </w:rPr>
        </w:r>
        <w:r w:rsidR="002745A8" w:rsidRPr="00D9348B">
          <w:rPr>
            <w:webHidden/>
          </w:rPr>
          <w:fldChar w:fldCharType="separate"/>
        </w:r>
        <w:r w:rsidR="00950F0A">
          <w:rPr>
            <w:webHidden/>
          </w:rPr>
          <w:t>62</w:t>
        </w:r>
        <w:r w:rsidR="002745A8" w:rsidRPr="00D9348B">
          <w:rPr>
            <w:webHidden/>
          </w:rPr>
          <w:fldChar w:fldCharType="end"/>
        </w:r>
      </w:hyperlink>
    </w:p>
    <w:p w14:paraId="6EE55F47" w14:textId="5B953D47" w:rsidR="002745A8" w:rsidRPr="00D9348B" w:rsidRDefault="00DA6C03">
      <w:pPr>
        <w:pStyle w:val="TableofFigures"/>
        <w:rPr>
          <w:rFonts w:cs="Times New Roman"/>
          <w:sz w:val="22"/>
        </w:rPr>
      </w:pPr>
      <w:hyperlink w:anchor="_Toc36224520" w:history="1">
        <w:r w:rsidR="002745A8" w:rsidRPr="00D9348B">
          <w:rPr>
            <w:rStyle w:val="Hyperlink"/>
          </w:rPr>
          <w:t xml:space="preserve">Table 2.2.2 </w:t>
        </w:r>
        <w:r w:rsidR="002745A8" w:rsidRPr="00D9348B">
          <w:rPr>
            <w:rFonts w:cs="Times New Roman"/>
            <w:sz w:val="22"/>
          </w:rPr>
          <w:tab/>
        </w:r>
        <w:r w:rsidR="002745A8" w:rsidRPr="00D9348B">
          <w:rPr>
            <w:rStyle w:val="Hyperlink"/>
          </w:rPr>
          <w:t>Emissions from Tokelau</w:t>
        </w:r>
        <w:r w:rsidR="002745A8" w:rsidRPr="00D9348B">
          <w:rPr>
            <w:webHidden/>
          </w:rPr>
          <w:tab/>
        </w:r>
        <w:r w:rsidR="002745A8" w:rsidRPr="00D9348B">
          <w:rPr>
            <w:webHidden/>
          </w:rPr>
          <w:fldChar w:fldCharType="begin"/>
        </w:r>
        <w:r w:rsidR="002745A8" w:rsidRPr="00D9348B">
          <w:rPr>
            <w:webHidden/>
          </w:rPr>
          <w:instrText xml:space="preserve"> PAGEREF _Toc36224520 \h </w:instrText>
        </w:r>
        <w:r w:rsidR="002745A8" w:rsidRPr="00D9348B">
          <w:rPr>
            <w:webHidden/>
          </w:rPr>
        </w:r>
        <w:r w:rsidR="002745A8" w:rsidRPr="00D9348B">
          <w:rPr>
            <w:webHidden/>
          </w:rPr>
          <w:fldChar w:fldCharType="separate"/>
        </w:r>
        <w:r w:rsidR="00950F0A">
          <w:rPr>
            <w:webHidden/>
          </w:rPr>
          <w:t>71</w:t>
        </w:r>
        <w:r w:rsidR="002745A8" w:rsidRPr="00D9348B">
          <w:rPr>
            <w:webHidden/>
          </w:rPr>
          <w:fldChar w:fldCharType="end"/>
        </w:r>
      </w:hyperlink>
    </w:p>
    <w:p w14:paraId="70851E87" w14:textId="7108B87D" w:rsidR="002745A8" w:rsidRPr="00D9348B" w:rsidRDefault="00DA6C03">
      <w:pPr>
        <w:pStyle w:val="TableofFigures"/>
        <w:rPr>
          <w:rFonts w:cs="Times New Roman"/>
          <w:sz w:val="22"/>
        </w:rPr>
      </w:pPr>
      <w:hyperlink w:anchor="_Toc36224521" w:history="1">
        <w:r w:rsidR="002745A8" w:rsidRPr="00D9348B">
          <w:rPr>
            <w:rStyle w:val="Hyperlink"/>
          </w:rPr>
          <w:t>Table 2.3.1</w:t>
        </w:r>
        <w:r w:rsidR="002745A8" w:rsidRPr="00D9348B">
          <w:rPr>
            <w:rFonts w:cs="Times New Roman"/>
            <w:sz w:val="22"/>
          </w:rPr>
          <w:tab/>
        </w:r>
        <w:r w:rsidR="002745A8" w:rsidRPr="00D9348B">
          <w:rPr>
            <w:rStyle w:val="Hyperlink"/>
          </w:rPr>
          <w:t>New Zealand’s net emissions and removals from land subject to activities under Article 3.3 and Forest management under Article 3.4 of the Kyoto Protocol</w:t>
        </w:r>
        <w:r w:rsidR="002745A8" w:rsidRPr="00D9348B">
          <w:rPr>
            <w:webHidden/>
          </w:rPr>
          <w:tab/>
        </w:r>
        <w:r w:rsidR="002745A8" w:rsidRPr="00D9348B">
          <w:rPr>
            <w:webHidden/>
          </w:rPr>
          <w:fldChar w:fldCharType="begin"/>
        </w:r>
        <w:r w:rsidR="002745A8" w:rsidRPr="00D9348B">
          <w:rPr>
            <w:webHidden/>
          </w:rPr>
          <w:instrText xml:space="preserve"> PAGEREF _Toc36224521 \h </w:instrText>
        </w:r>
        <w:r w:rsidR="002745A8" w:rsidRPr="00D9348B">
          <w:rPr>
            <w:webHidden/>
          </w:rPr>
        </w:r>
        <w:r w:rsidR="002745A8" w:rsidRPr="00D9348B">
          <w:rPr>
            <w:webHidden/>
          </w:rPr>
          <w:fldChar w:fldCharType="separate"/>
        </w:r>
        <w:r w:rsidR="00950F0A">
          <w:rPr>
            <w:webHidden/>
          </w:rPr>
          <w:t>74</w:t>
        </w:r>
        <w:r w:rsidR="002745A8" w:rsidRPr="00D9348B">
          <w:rPr>
            <w:webHidden/>
          </w:rPr>
          <w:fldChar w:fldCharType="end"/>
        </w:r>
      </w:hyperlink>
    </w:p>
    <w:p w14:paraId="3DF10513" w14:textId="7D3D8CED" w:rsidR="002745A8" w:rsidRPr="00D9348B" w:rsidRDefault="00DA6C03">
      <w:pPr>
        <w:pStyle w:val="TableofFigures"/>
        <w:rPr>
          <w:rFonts w:cs="Times New Roman"/>
          <w:sz w:val="22"/>
        </w:rPr>
      </w:pPr>
      <w:hyperlink w:anchor="_Toc36224522" w:history="1">
        <w:r w:rsidR="002745A8" w:rsidRPr="00D9348B">
          <w:rPr>
            <w:rStyle w:val="Hyperlink"/>
          </w:rPr>
          <w:t xml:space="preserve">Table 3.1.1 </w:t>
        </w:r>
        <w:r w:rsidR="002745A8" w:rsidRPr="00D9348B">
          <w:rPr>
            <w:rFonts w:cs="Times New Roman"/>
            <w:sz w:val="22"/>
          </w:rPr>
          <w:tab/>
        </w:r>
        <w:r w:rsidR="002745A8" w:rsidRPr="00D9348B">
          <w:rPr>
            <w:rStyle w:val="Hyperlink"/>
          </w:rPr>
          <w:t>Key categories in the Energy sector</w:t>
        </w:r>
        <w:r w:rsidR="002745A8" w:rsidRPr="00D9348B">
          <w:rPr>
            <w:webHidden/>
          </w:rPr>
          <w:tab/>
        </w:r>
        <w:r w:rsidR="002745A8" w:rsidRPr="00D9348B">
          <w:rPr>
            <w:webHidden/>
          </w:rPr>
          <w:fldChar w:fldCharType="begin"/>
        </w:r>
        <w:r w:rsidR="002745A8" w:rsidRPr="00D9348B">
          <w:rPr>
            <w:webHidden/>
          </w:rPr>
          <w:instrText xml:space="preserve"> PAGEREF _Toc36224522 \h </w:instrText>
        </w:r>
        <w:r w:rsidR="002745A8" w:rsidRPr="00D9348B">
          <w:rPr>
            <w:webHidden/>
          </w:rPr>
        </w:r>
        <w:r w:rsidR="002745A8" w:rsidRPr="00D9348B">
          <w:rPr>
            <w:webHidden/>
          </w:rPr>
          <w:fldChar w:fldCharType="separate"/>
        </w:r>
        <w:r w:rsidR="00950F0A">
          <w:rPr>
            <w:webHidden/>
          </w:rPr>
          <w:t>78</w:t>
        </w:r>
        <w:r w:rsidR="002745A8" w:rsidRPr="00D9348B">
          <w:rPr>
            <w:webHidden/>
          </w:rPr>
          <w:fldChar w:fldCharType="end"/>
        </w:r>
      </w:hyperlink>
    </w:p>
    <w:p w14:paraId="625C7042" w14:textId="4C2AF1CE" w:rsidR="002745A8" w:rsidRPr="00D9348B" w:rsidRDefault="00DA6C03">
      <w:pPr>
        <w:pStyle w:val="TableofFigures"/>
        <w:rPr>
          <w:rFonts w:cs="Times New Roman"/>
          <w:sz w:val="22"/>
        </w:rPr>
      </w:pPr>
      <w:hyperlink w:anchor="_Toc36224523" w:history="1">
        <w:r w:rsidR="002745A8" w:rsidRPr="00D9348B">
          <w:rPr>
            <w:rStyle w:val="Hyperlink"/>
          </w:rPr>
          <w:t xml:space="preserve">Table 3.2.1 </w:t>
        </w:r>
        <w:r w:rsidR="002745A8" w:rsidRPr="00D9348B">
          <w:rPr>
            <w:rFonts w:cs="Times New Roman"/>
            <w:sz w:val="22"/>
          </w:rPr>
          <w:tab/>
        </w:r>
        <w:r w:rsidR="002745A8" w:rsidRPr="00D9348B">
          <w:rPr>
            <w:rStyle w:val="Hyperlink"/>
          </w:rPr>
          <w:t>Use of natural gas as a feedstock in New Zealand</w:t>
        </w:r>
        <w:r w:rsidR="002745A8" w:rsidRPr="00D9348B">
          <w:rPr>
            <w:webHidden/>
          </w:rPr>
          <w:tab/>
        </w:r>
        <w:r w:rsidR="002745A8" w:rsidRPr="00D9348B">
          <w:rPr>
            <w:webHidden/>
          </w:rPr>
          <w:fldChar w:fldCharType="begin"/>
        </w:r>
        <w:r w:rsidR="002745A8" w:rsidRPr="00D9348B">
          <w:rPr>
            <w:webHidden/>
          </w:rPr>
          <w:instrText xml:space="preserve"> PAGEREF _Toc36224523 \h </w:instrText>
        </w:r>
        <w:r w:rsidR="002745A8" w:rsidRPr="00D9348B">
          <w:rPr>
            <w:webHidden/>
          </w:rPr>
        </w:r>
        <w:r w:rsidR="002745A8" w:rsidRPr="00D9348B">
          <w:rPr>
            <w:webHidden/>
          </w:rPr>
          <w:fldChar w:fldCharType="separate"/>
        </w:r>
        <w:r w:rsidR="00950F0A">
          <w:rPr>
            <w:webHidden/>
          </w:rPr>
          <w:t>80</w:t>
        </w:r>
        <w:r w:rsidR="002745A8" w:rsidRPr="00D9348B">
          <w:rPr>
            <w:webHidden/>
          </w:rPr>
          <w:fldChar w:fldCharType="end"/>
        </w:r>
      </w:hyperlink>
    </w:p>
    <w:p w14:paraId="0F4B8353" w14:textId="7E3C145A" w:rsidR="002745A8" w:rsidRPr="00D9348B" w:rsidRDefault="00DA6C03">
      <w:pPr>
        <w:pStyle w:val="TableofFigures"/>
        <w:rPr>
          <w:rFonts w:cs="Times New Roman"/>
          <w:sz w:val="22"/>
        </w:rPr>
      </w:pPr>
      <w:hyperlink w:anchor="_Toc36224524" w:history="1">
        <w:r w:rsidR="002745A8" w:rsidRPr="00D9348B">
          <w:rPr>
            <w:rStyle w:val="Hyperlink"/>
          </w:rPr>
          <w:t>Table 3.3.1</w:t>
        </w:r>
        <w:r w:rsidR="002745A8" w:rsidRPr="00D9348B">
          <w:rPr>
            <w:rFonts w:cs="Times New Roman"/>
            <w:sz w:val="22"/>
          </w:rPr>
          <w:tab/>
        </w:r>
        <w:r w:rsidR="002745A8" w:rsidRPr="00D9348B">
          <w:rPr>
            <w:rStyle w:val="Hyperlink"/>
          </w:rPr>
          <w:t>Uncertainty for New Zealand’s Energy sector emission estimates</w:t>
        </w:r>
        <w:r w:rsidR="002745A8" w:rsidRPr="00D9348B">
          <w:rPr>
            <w:webHidden/>
          </w:rPr>
          <w:tab/>
        </w:r>
        <w:r w:rsidR="002745A8" w:rsidRPr="00D9348B">
          <w:rPr>
            <w:webHidden/>
          </w:rPr>
          <w:fldChar w:fldCharType="begin"/>
        </w:r>
        <w:r w:rsidR="002745A8" w:rsidRPr="00D9348B">
          <w:rPr>
            <w:webHidden/>
          </w:rPr>
          <w:instrText xml:space="preserve"> PAGEREF _Toc36224524 \h </w:instrText>
        </w:r>
        <w:r w:rsidR="002745A8" w:rsidRPr="00D9348B">
          <w:rPr>
            <w:webHidden/>
          </w:rPr>
        </w:r>
        <w:r w:rsidR="002745A8" w:rsidRPr="00D9348B">
          <w:rPr>
            <w:webHidden/>
          </w:rPr>
          <w:fldChar w:fldCharType="separate"/>
        </w:r>
        <w:r w:rsidR="00950F0A">
          <w:rPr>
            <w:webHidden/>
          </w:rPr>
          <w:t>90</w:t>
        </w:r>
        <w:r w:rsidR="002745A8" w:rsidRPr="00D9348B">
          <w:rPr>
            <w:webHidden/>
          </w:rPr>
          <w:fldChar w:fldCharType="end"/>
        </w:r>
      </w:hyperlink>
    </w:p>
    <w:p w14:paraId="5EF9B77B" w14:textId="1CFA826F" w:rsidR="002745A8" w:rsidRPr="00D9348B" w:rsidRDefault="00DA6C03">
      <w:pPr>
        <w:pStyle w:val="TableofFigures"/>
        <w:rPr>
          <w:rFonts w:cs="Times New Roman"/>
          <w:sz w:val="22"/>
        </w:rPr>
      </w:pPr>
      <w:hyperlink w:anchor="_Toc36224525" w:history="1">
        <w:r w:rsidR="002745A8" w:rsidRPr="00D9348B">
          <w:rPr>
            <w:rStyle w:val="Hyperlink"/>
          </w:rPr>
          <w:t xml:space="preserve">Table 3.3.4 </w:t>
        </w:r>
        <w:r w:rsidR="002745A8" w:rsidRPr="00D9348B">
          <w:rPr>
            <w:rFonts w:cs="Times New Roman"/>
            <w:sz w:val="22"/>
          </w:rPr>
          <w:tab/>
        </w:r>
        <w:r w:rsidR="002745A8" w:rsidRPr="00D9348B">
          <w:rPr>
            <w:rStyle w:val="Hyperlink"/>
          </w:rPr>
          <w:t>Solid biomass splits for 2006 that were used to disaggregate the Manufacturing industries and construction category between 1990 and 2018</w:t>
        </w:r>
        <w:r w:rsidR="002745A8" w:rsidRPr="00D9348B">
          <w:rPr>
            <w:webHidden/>
          </w:rPr>
          <w:tab/>
        </w:r>
        <w:r w:rsidR="002745A8" w:rsidRPr="00D9348B">
          <w:rPr>
            <w:webHidden/>
          </w:rPr>
          <w:fldChar w:fldCharType="begin"/>
        </w:r>
        <w:r w:rsidR="002745A8" w:rsidRPr="00D9348B">
          <w:rPr>
            <w:webHidden/>
          </w:rPr>
          <w:instrText xml:space="preserve"> PAGEREF _Toc36224525 \h </w:instrText>
        </w:r>
        <w:r w:rsidR="002745A8" w:rsidRPr="00D9348B">
          <w:rPr>
            <w:webHidden/>
          </w:rPr>
        </w:r>
        <w:r w:rsidR="002745A8" w:rsidRPr="00D9348B">
          <w:rPr>
            <w:webHidden/>
          </w:rPr>
          <w:fldChar w:fldCharType="separate"/>
        </w:r>
        <w:r w:rsidR="00950F0A">
          <w:rPr>
            <w:webHidden/>
          </w:rPr>
          <w:t>96</w:t>
        </w:r>
        <w:r w:rsidR="002745A8" w:rsidRPr="00D9348B">
          <w:rPr>
            <w:webHidden/>
          </w:rPr>
          <w:fldChar w:fldCharType="end"/>
        </w:r>
      </w:hyperlink>
    </w:p>
    <w:p w14:paraId="2D00C998" w14:textId="0FF880FF" w:rsidR="002745A8" w:rsidRPr="00D9348B" w:rsidRDefault="00DA6C03">
      <w:pPr>
        <w:pStyle w:val="TableofFigures"/>
        <w:rPr>
          <w:rFonts w:cs="Times New Roman"/>
          <w:sz w:val="22"/>
        </w:rPr>
      </w:pPr>
      <w:hyperlink w:anchor="_Toc36224526" w:history="1">
        <w:r w:rsidR="002745A8" w:rsidRPr="00D9348B">
          <w:rPr>
            <w:rStyle w:val="Hyperlink"/>
          </w:rPr>
          <w:t xml:space="preserve">Table 3.3.7 </w:t>
        </w:r>
        <w:r w:rsidR="002745A8" w:rsidRPr="00D9348B">
          <w:rPr>
            <w:rFonts w:cs="Times New Roman"/>
            <w:sz w:val="22"/>
          </w:rPr>
          <w:tab/>
        </w:r>
        <w:r w:rsidR="002745A8" w:rsidRPr="00D9348B">
          <w:rPr>
            <w:rStyle w:val="Hyperlink"/>
          </w:rPr>
          <w:t>Split of fuel oil activity for ‘other primary industry’</w:t>
        </w:r>
        <w:r w:rsidR="002745A8" w:rsidRPr="00D9348B">
          <w:rPr>
            <w:webHidden/>
          </w:rPr>
          <w:tab/>
        </w:r>
        <w:r w:rsidR="002745A8" w:rsidRPr="00D9348B">
          <w:rPr>
            <w:webHidden/>
          </w:rPr>
          <w:fldChar w:fldCharType="begin"/>
        </w:r>
        <w:r w:rsidR="002745A8" w:rsidRPr="00D9348B">
          <w:rPr>
            <w:webHidden/>
          </w:rPr>
          <w:instrText xml:space="preserve"> PAGEREF _Toc36224526 \h </w:instrText>
        </w:r>
        <w:r w:rsidR="002745A8" w:rsidRPr="00D9348B">
          <w:rPr>
            <w:webHidden/>
          </w:rPr>
        </w:r>
        <w:r w:rsidR="002745A8" w:rsidRPr="00D9348B">
          <w:rPr>
            <w:webHidden/>
          </w:rPr>
          <w:fldChar w:fldCharType="separate"/>
        </w:r>
        <w:r w:rsidR="00950F0A">
          <w:rPr>
            <w:webHidden/>
          </w:rPr>
          <w:t>109</w:t>
        </w:r>
        <w:r w:rsidR="002745A8" w:rsidRPr="00D9348B">
          <w:rPr>
            <w:webHidden/>
          </w:rPr>
          <w:fldChar w:fldCharType="end"/>
        </w:r>
      </w:hyperlink>
    </w:p>
    <w:p w14:paraId="124292E1" w14:textId="59EA59AD" w:rsidR="002745A8" w:rsidRPr="00D9348B" w:rsidRDefault="00DA6C03">
      <w:pPr>
        <w:pStyle w:val="TableofFigures"/>
        <w:rPr>
          <w:rFonts w:cs="Times New Roman"/>
          <w:sz w:val="22"/>
        </w:rPr>
      </w:pPr>
      <w:hyperlink w:anchor="_Toc36224527" w:history="1">
        <w:r w:rsidR="002745A8" w:rsidRPr="00D9348B">
          <w:rPr>
            <w:rStyle w:val="Hyperlink"/>
          </w:rPr>
          <w:t xml:space="preserve">Table 3.4.2 </w:t>
        </w:r>
        <w:r w:rsidR="002745A8" w:rsidRPr="00D9348B">
          <w:rPr>
            <w:rFonts w:cs="Times New Roman"/>
            <w:sz w:val="22"/>
          </w:rPr>
          <w:tab/>
        </w:r>
        <w:r w:rsidR="002745A8" w:rsidRPr="00D9348B">
          <w:rPr>
            <w:rStyle w:val="Hyperlink"/>
          </w:rPr>
          <w:t>Details of abandoned underground mines in the North Island</w:t>
        </w:r>
        <w:r w:rsidR="002745A8" w:rsidRPr="00D9348B">
          <w:rPr>
            <w:webHidden/>
          </w:rPr>
          <w:tab/>
        </w:r>
        <w:r w:rsidR="002745A8" w:rsidRPr="00D9348B">
          <w:rPr>
            <w:webHidden/>
          </w:rPr>
          <w:fldChar w:fldCharType="begin"/>
        </w:r>
        <w:r w:rsidR="002745A8" w:rsidRPr="00D9348B">
          <w:rPr>
            <w:webHidden/>
          </w:rPr>
          <w:instrText xml:space="preserve"> PAGEREF _Toc36224527 \h </w:instrText>
        </w:r>
        <w:r w:rsidR="002745A8" w:rsidRPr="00D9348B">
          <w:rPr>
            <w:webHidden/>
          </w:rPr>
        </w:r>
        <w:r w:rsidR="002745A8" w:rsidRPr="00D9348B">
          <w:rPr>
            <w:webHidden/>
          </w:rPr>
          <w:fldChar w:fldCharType="separate"/>
        </w:r>
        <w:r w:rsidR="00950F0A">
          <w:rPr>
            <w:webHidden/>
          </w:rPr>
          <w:t>113</w:t>
        </w:r>
        <w:r w:rsidR="002745A8" w:rsidRPr="00D9348B">
          <w:rPr>
            <w:webHidden/>
          </w:rPr>
          <w:fldChar w:fldCharType="end"/>
        </w:r>
      </w:hyperlink>
    </w:p>
    <w:p w14:paraId="1F09803B" w14:textId="776DAF7F" w:rsidR="002745A8" w:rsidRPr="00D9348B" w:rsidRDefault="00DA6C03">
      <w:pPr>
        <w:pStyle w:val="TableofFigures"/>
        <w:rPr>
          <w:rFonts w:cs="Times New Roman"/>
          <w:sz w:val="22"/>
        </w:rPr>
      </w:pPr>
      <w:hyperlink w:anchor="_Toc36224528" w:history="1">
        <w:r w:rsidR="002745A8" w:rsidRPr="00D9348B">
          <w:rPr>
            <w:rStyle w:val="Hyperlink"/>
          </w:rPr>
          <w:t xml:space="preserve">Table 4.1.1 </w:t>
        </w:r>
        <w:r w:rsidR="002745A8" w:rsidRPr="00D9348B">
          <w:rPr>
            <w:rFonts w:cs="Times New Roman"/>
            <w:sz w:val="22"/>
          </w:rPr>
          <w:tab/>
        </w:r>
        <w:r w:rsidR="002745A8" w:rsidRPr="00D9348B">
          <w:rPr>
            <w:rStyle w:val="Hyperlink"/>
          </w:rPr>
          <w:t>New Zealand’s greenhouse gas emissions for the IPPU sector by source category in 1990 and 2018</w:t>
        </w:r>
        <w:r w:rsidR="002745A8" w:rsidRPr="00D9348B">
          <w:rPr>
            <w:webHidden/>
          </w:rPr>
          <w:tab/>
        </w:r>
        <w:r w:rsidR="002745A8" w:rsidRPr="00D9348B">
          <w:rPr>
            <w:webHidden/>
          </w:rPr>
          <w:fldChar w:fldCharType="begin"/>
        </w:r>
        <w:r w:rsidR="002745A8" w:rsidRPr="00D9348B">
          <w:rPr>
            <w:webHidden/>
          </w:rPr>
          <w:instrText xml:space="preserve"> PAGEREF _Toc36224528 \h </w:instrText>
        </w:r>
        <w:r w:rsidR="002745A8" w:rsidRPr="00D9348B">
          <w:rPr>
            <w:webHidden/>
          </w:rPr>
        </w:r>
        <w:r w:rsidR="002745A8" w:rsidRPr="00D9348B">
          <w:rPr>
            <w:webHidden/>
          </w:rPr>
          <w:fldChar w:fldCharType="separate"/>
        </w:r>
        <w:r w:rsidR="00950F0A">
          <w:rPr>
            <w:webHidden/>
          </w:rPr>
          <w:t>123</w:t>
        </w:r>
        <w:r w:rsidR="002745A8" w:rsidRPr="00D9348B">
          <w:rPr>
            <w:webHidden/>
          </w:rPr>
          <w:fldChar w:fldCharType="end"/>
        </w:r>
      </w:hyperlink>
    </w:p>
    <w:p w14:paraId="4A891DA4" w14:textId="0F33AD1B" w:rsidR="002745A8" w:rsidRPr="00D9348B" w:rsidRDefault="00DA6C03">
      <w:pPr>
        <w:pStyle w:val="TableofFigures"/>
        <w:rPr>
          <w:rFonts w:cs="Times New Roman"/>
          <w:sz w:val="22"/>
        </w:rPr>
      </w:pPr>
      <w:hyperlink w:anchor="_Toc36224529" w:history="1">
        <w:r w:rsidR="002745A8" w:rsidRPr="00D9348B">
          <w:rPr>
            <w:rStyle w:val="Hyperlink"/>
          </w:rPr>
          <w:t xml:space="preserve">Table 4.1.2 </w:t>
        </w:r>
        <w:r w:rsidR="002745A8" w:rsidRPr="00D9348B">
          <w:rPr>
            <w:rFonts w:cs="Times New Roman"/>
            <w:sz w:val="22"/>
          </w:rPr>
          <w:tab/>
        </w:r>
        <w:r w:rsidR="002745A8" w:rsidRPr="00D9348B">
          <w:rPr>
            <w:rStyle w:val="Hyperlink"/>
          </w:rPr>
          <w:t>Key categories in the IPPU sector</w:t>
        </w:r>
        <w:r w:rsidR="002745A8" w:rsidRPr="00D9348B">
          <w:rPr>
            <w:webHidden/>
          </w:rPr>
          <w:tab/>
        </w:r>
        <w:r w:rsidR="002745A8" w:rsidRPr="00D9348B">
          <w:rPr>
            <w:webHidden/>
          </w:rPr>
          <w:fldChar w:fldCharType="begin"/>
        </w:r>
        <w:r w:rsidR="002745A8" w:rsidRPr="00D9348B">
          <w:rPr>
            <w:webHidden/>
          </w:rPr>
          <w:instrText xml:space="preserve"> PAGEREF _Toc36224529 \h </w:instrText>
        </w:r>
        <w:r w:rsidR="002745A8" w:rsidRPr="00D9348B">
          <w:rPr>
            <w:webHidden/>
          </w:rPr>
        </w:r>
        <w:r w:rsidR="002745A8" w:rsidRPr="00D9348B">
          <w:rPr>
            <w:webHidden/>
          </w:rPr>
          <w:fldChar w:fldCharType="separate"/>
        </w:r>
        <w:r w:rsidR="00950F0A">
          <w:rPr>
            <w:webHidden/>
          </w:rPr>
          <w:t>124</w:t>
        </w:r>
        <w:r w:rsidR="002745A8" w:rsidRPr="00D9348B">
          <w:rPr>
            <w:webHidden/>
          </w:rPr>
          <w:fldChar w:fldCharType="end"/>
        </w:r>
      </w:hyperlink>
    </w:p>
    <w:p w14:paraId="0942FDFD" w14:textId="10C98C7A" w:rsidR="002745A8" w:rsidRPr="00D9348B" w:rsidRDefault="00DA6C03">
      <w:pPr>
        <w:pStyle w:val="TableofFigures"/>
        <w:rPr>
          <w:rFonts w:cs="Times New Roman"/>
          <w:sz w:val="22"/>
        </w:rPr>
      </w:pPr>
      <w:hyperlink w:anchor="_Toc36224530" w:history="1">
        <w:r w:rsidR="002745A8" w:rsidRPr="00D9348B">
          <w:rPr>
            <w:rStyle w:val="Hyperlink"/>
          </w:rPr>
          <w:t>Table 4.2.1</w:t>
        </w:r>
        <w:r w:rsidR="002745A8" w:rsidRPr="00D9348B">
          <w:rPr>
            <w:rFonts w:cs="Times New Roman"/>
            <w:sz w:val="22"/>
          </w:rPr>
          <w:tab/>
        </w:r>
        <w:r w:rsidR="002745A8" w:rsidRPr="00D9348B">
          <w:rPr>
            <w:rStyle w:val="Hyperlink"/>
          </w:rPr>
          <w:t>Uncertainty in emissions from mineral products</w:t>
        </w:r>
        <w:r w:rsidR="002745A8" w:rsidRPr="00D9348B">
          <w:rPr>
            <w:webHidden/>
          </w:rPr>
          <w:tab/>
        </w:r>
        <w:r w:rsidR="002745A8" w:rsidRPr="00D9348B">
          <w:rPr>
            <w:webHidden/>
          </w:rPr>
          <w:fldChar w:fldCharType="begin"/>
        </w:r>
        <w:r w:rsidR="002745A8" w:rsidRPr="00D9348B">
          <w:rPr>
            <w:webHidden/>
          </w:rPr>
          <w:instrText xml:space="preserve"> PAGEREF _Toc36224530 \h </w:instrText>
        </w:r>
        <w:r w:rsidR="002745A8" w:rsidRPr="00D9348B">
          <w:rPr>
            <w:webHidden/>
          </w:rPr>
        </w:r>
        <w:r w:rsidR="002745A8" w:rsidRPr="00D9348B">
          <w:rPr>
            <w:webHidden/>
          </w:rPr>
          <w:fldChar w:fldCharType="separate"/>
        </w:r>
        <w:r w:rsidR="00950F0A">
          <w:rPr>
            <w:webHidden/>
          </w:rPr>
          <w:t>130</w:t>
        </w:r>
        <w:r w:rsidR="002745A8" w:rsidRPr="00D9348B">
          <w:rPr>
            <w:webHidden/>
          </w:rPr>
          <w:fldChar w:fldCharType="end"/>
        </w:r>
      </w:hyperlink>
    </w:p>
    <w:p w14:paraId="6A168B7B" w14:textId="55B6296B" w:rsidR="002745A8" w:rsidRPr="00D9348B" w:rsidRDefault="00DA6C03">
      <w:pPr>
        <w:pStyle w:val="TableofFigures"/>
        <w:rPr>
          <w:rFonts w:cs="Times New Roman"/>
          <w:sz w:val="22"/>
        </w:rPr>
      </w:pPr>
      <w:hyperlink w:anchor="_Toc36224531" w:history="1">
        <w:r w:rsidR="002745A8" w:rsidRPr="00D9348B">
          <w:rPr>
            <w:rStyle w:val="Hyperlink"/>
          </w:rPr>
          <w:t>Table 4.3.1</w:t>
        </w:r>
        <w:r w:rsidR="002745A8" w:rsidRPr="00D9348B">
          <w:rPr>
            <w:rFonts w:cs="Times New Roman"/>
            <w:sz w:val="22"/>
          </w:rPr>
          <w:tab/>
        </w:r>
        <w:r w:rsidR="002745A8" w:rsidRPr="00D9348B">
          <w:rPr>
            <w:rStyle w:val="Hyperlink"/>
          </w:rPr>
          <w:t>Country-specific emission factors for indirect emissions</w:t>
        </w:r>
        <w:r w:rsidR="002745A8" w:rsidRPr="00D9348B">
          <w:rPr>
            <w:webHidden/>
          </w:rPr>
          <w:tab/>
        </w:r>
        <w:r w:rsidR="002745A8" w:rsidRPr="00D9348B">
          <w:rPr>
            <w:webHidden/>
          </w:rPr>
          <w:fldChar w:fldCharType="begin"/>
        </w:r>
        <w:r w:rsidR="002745A8" w:rsidRPr="00D9348B">
          <w:rPr>
            <w:webHidden/>
          </w:rPr>
          <w:instrText xml:space="preserve"> PAGEREF _Toc36224531 \h </w:instrText>
        </w:r>
        <w:r w:rsidR="002745A8" w:rsidRPr="00D9348B">
          <w:rPr>
            <w:webHidden/>
          </w:rPr>
        </w:r>
        <w:r w:rsidR="002745A8" w:rsidRPr="00D9348B">
          <w:rPr>
            <w:webHidden/>
          </w:rPr>
          <w:fldChar w:fldCharType="separate"/>
        </w:r>
        <w:r w:rsidR="00950F0A">
          <w:rPr>
            <w:webHidden/>
          </w:rPr>
          <w:t>134</w:t>
        </w:r>
        <w:r w:rsidR="002745A8" w:rsidRPr="00D9348B">
          <w:rPr>
            <w:webHidden/>
          </w:rPr>
          <w:fldChar w:fldCharType="end"/>
        </w:r>
      </w:hyperlink>
    </w:p>
    <w:p w14:paraId="7DF1CCD7" w14:textId="0B94E6BD" w:rsidR="002745A8" w:rsidRPr="00D9348B" w:rsidRDefault="00DA6C03">
      <w:pPr>
        <w:pStyle w:val="TableofFigures"/>
        <w:rPr>
          <w:rFonts w:cs="Times New Roman"/>
          <w:sz w:val="22"/>
        </w:rPr>
      </w:pPr>
      <w:hyperlink w:anchor="_Toc36224532" w:history="1">
        <w:r w:rsidR="002745A8" w:rsidRPr="00D9348B">
          <w:rPr>
            <w:rStyle w:val="Hyperlink"/>
          </w:rPr>
          <w:t>Table 4.3.2</w:t>
        </w:r>
        <w:r w:rsidR="002745A8" w:rsidRPr="00D9348B">
          <w:rPr>
            <w:rFonts w:cs="Times New Roman"/>
            <w:sz w:val="22"/>
          </w:rPr>
          <w:tab/>
        </w:r>
        <w:r w:rsidR="002745A8" w:rsidRPr="00D9348B">
          <w:rPr>
            <w:rStyle w:val="Hyperlink"/>
          </w:rPr>
          <w:t xml:space="preserve">Uncertainty in emissions from the </w:t>
        </w:r>
        <w:r w:rsidR="002745A8" w:rsidRPr="00D9348B">
          <w:rPr>
            <w:rStyle w:val="Hyperlink"/>
            <w:i/>
          </w:rPr>
          <w:t>Chemical industry</w:t>
        </w:r>
        <w:r w:rsidR="002745A8" w:rsidRPr="00D9348B">
          <w:rPr>
            <w:rStyle w:val="Hyperlink"/>
          </w:rPr>
          <w:t xml:space="preserve"> source category</w:t>
        </w:r>
        <w:r w:rsidR="002745A8" w:rsidRPr="00D9348B">
          <w:rPr>
            <w:webHidden/>
          </w:rPr>
          <w:tab/>
        </w:r>
        <w:r w:rsidR="002745A8" w:rsidRPr="00D9348B">
          <w:rPr>
            <w:webHidden/>
          </w:rPr>
          <w:fldChar w:fldCharType="begin"/>
        </w:r>
        <w:r w:rsidR="002745A8" w:rsidRPr="00D9348B">
          <w:rPr>
            <w:webHidden/>
          </w:rPr>
          <w:instrText xml:space="preserve"> PAGEREF _Toc36224532 \h </w:instrText>
        </w:r>
        <w:r w:rsidR="002745A8" w:rsidRPr="00D9348B">
          <w:rPr>
            <w:webHidden/>
          </w:rPr>
        </w:r>
        <w:r w:rsidR="002745A8" w:rsidRPr="00D9348B">
          <w:rPr>
            <w:webHidden/>
          </w:rPr>
          <w:fldChar w:fldCharType="separate"/>
        </w:r>
        <w:r w:rsidR="00950F0A">
          <w:rPr>
            <w:webHidden/>
          </w:rPr>
          <w:t>134</w:t>
        </w:r>
        <w:r w:rsidR="002745A8" w:rsidRPr="00D9348B">
          <w:rPr>
            <w:webHidden/>
          </w:rPr>
          <w:fldChar w:fldCharType="end"/>
        </w:r>
      </w:hyperlink>
    </w:p>
    <w:p w14:paraId="404C482B" w14:textId="18220974" w:rsidR="002745A8" w:rsidRPr="00D9348B" w:rsidRDefault="00DA6C03">
      <w:pPr>
        <w:pStyle w:val="TableofFigures"/>
        <w:rPr>
          <w:rFonts w:cs="Times New Roman"/>
          <w:sz w:val="22"/>
        </w:rPr>
      </w:pPr>
      <w:hyperlink w:anchor="_Toc36224533" w:history="1">
        <w:r w:rsidR="002745A8" w:rsidRPr="00D9348B">
          <w:rPr>
            <w:rStyle w:val="Hyperlink"/>
          </w:rPr>
          <w:t>Table 4.4.1</w:t>
        </w:r>
        <w:r w:rsidR="002745A8" w:rsidRPr="00D9348B">
          <w:rPr>
            <w:rFonts w:cs="Times New Roman"/>
            <w:sz w:val="22"/>
          </w:rPr>
          <w:tab/>
        </w:r>
        <w:r w:rsidR="002745A8" w:rsidRPr="00D9348B">
          <w:rPr>
            <w:rStyle w:val="Hyperlink"/>
          </w:rPr>
          <w:t>Typical analysis from New Zealand Steel Limited of the primary concentrate (provided by New Zealand Steel Limited)</w:t>
        </w:r>
        <w:r w:rsidR="002745A8" w:rsidRPr="00D9348B">
          <w:rPr>
            <w:webHidden/>
          </w:rPr>
          <w:tab/>
        </w:r>
        <w:r w:rsidR="002745A8" w:rsidRPr="00D9348B">
          <w:rPr>
            <w:webHidden/>
          </w:rPr>
          <w:fldChar w:fldCharType="begin"/>
        </w:r>
        <w:r w:rsidR="002745A8" w:rsidRPr="00D9348B">
          <w:rPr>
            <w:webHidden/>
          </w:rPr>
          <w:instrText xml:space="preserve"> PAGEREF _Toc36224533 \h </w:instrText>
        </w:r>
        <w:r w:rsidR="002745A8" w:rsidRPr="00D9348B">
          <w:rPr>
            <w:webHidden/>
          </w:rPr>
        </w:r>
        <w:r w:rsidR="002745A8" w:rsidRPr="00D9348B">
          <w:rPr>
            <w:webHidden/>
          </w:rPr>
          <w:fldChar w:fldCharType="separate"/>
        </w:r>
        <w:r w:rsidR="00950F0A">
          <w:rPr>
            <w:webHidden/>
          </w:rPr>
          <w:t>136</w:t>
        </w:r>
        <w:r w:rsidR="002745A8" w:rsidRPr="00D9348B">
          <w:rPr>
            <w:webHidden/>
          </w:rPr>
          <w:fldChar w:fldCharType="end"/>
        </w:r>
      </w:hyperlink>
    </w:p>
    <w:p w14:paraId="49798166" w14:textId="119EEA6F" w:rsidR="002745A8" w:rsidRPr="00D9348B" w:rsidRDefault="00DA6C03">
      <w:pPr>
        <w:pStyle w:val="TableofFigures"/>
        <w:rPr>
          <w:rFonts w:cs="Times New Roman"/>
          <w:sz w:val="22"/>
        </w:rPr>
      </w:pPr>
      <w:hyperlink w:anchor="_Toc36224534" w:history="1">
        <w:r w:rsidR="002745A8" w:rsidRPr="00D9348B">
          <w:rPr>
            <w:rStyle w:val="Hyperlink"/>
          </w:rPr>
          <w:t>Table 4.4.2</w:t>
        </w:r>
        <w:r w:rsidR="002745A8" w:rsidRPr="00D9348B">
          <w:rPr>
            <w:rFonts w:cs="Times New Roman"/>
            <w:sz w:val="22"/>
          </w:rPr>
          <w:tab/>
        </w:r>
        <w:r w:rsidR="002745A8" w:rsidRPr="00D9348B">
          <w:rPr>
            <w:rStyle w:val="Hyperlink"/>
          </w:rPr>
          <w:t>Uncertainty in emissions from the metal industry</w:t>
        </w:r>
        <w:r w:rsidR="002745A8" w:rsidRPr="00D9348B">
          <w:rPr>
            <w:webHidden/>
          </w:rPr>
          <w:tab/>
        </w:r>
        <w:r w:rsidR="002745A8" w:rsidRPr="00D9348B">
          <w:rPr>
            <w:webHidden/>
          </w:rPr>
          <w:fldChar w:fldCharType="begin"/>
        </w:r>
        <w:r w:rsidR="002745A8" w:rsidRPr="00D9348B">
          <w:rPr>
            <w:webHidden/>
          </w:rPr>
          <w:instrText xml:space="preserve"> PAGEREF _Toc36224534 \h </w:instrText>
        </w:r>
        <w:r w:rsidR="002745A8" w:rsidRPr="00D9348B">
          <w:rPr>
            <w:webHidden/>
          </w:rPr>
        </w:r>
        <w:r w:rsidR="002745A8" w:rsidRPr="00D9348B">
          <w:rPr>
            <w:webHidden/>
          </w:rPr>
          <w:fldChar w:fldCharType="separate"/>
        </w:r>
        <w:r w:rsidR="00950F0A">
          <w:rPr>
            <w:webHidden/>
          </w:rPr>
          <w:t>140</w:t>
        </w:r>
        <w:r w:rsidR="002745A8" w:rsidRPr="00D9348B">
          <w:rPr>
            <w:webHidden/>
          </w:rPr>
          <w:fldChar w:fldCharType="end"/>
        </w:r>
      </w:hyperlink>
    </w:p>
    <w:p w14:paraId="5565EF7C" w14:textId="18593FB9" w:rsidR="002745A8" w:rsidRPr="00D9348B" w:rsidRDefault="00DA6C03">
      <w:pPr>
        <w:pStyle w:val="TableofFigures"/>
        <w:rPr>
          <w:rFonts w:cs="Times New Roman"/>
          <w:sz w:val="22"/>
        </w:rPr>
      </w:pPr>
      <w:hyperlink w:anchor="_Toc36224535" w:history="1">
        <w:r w:rsidR="002745A8" w:rsidRPr="00D9348B">
          <w:rPr>
            <w:rStyle w:val="Hyperlink"/>
          </w:rPr>
          <w:t>Table 4.4.3</w:t>
        </w:r>
        <w:r w:rsidR="002745A8" w:rsidRPr="00D9348B">
          <w:rPr>
            <w:rFonts w:cs="Times New Roman"/>
            <w:sz w:val="22"/>
          </w:rPr>
          <w:tab/>
        </w:r>
        <w:r w:rsidR="002745A8" w:rsidRPr="00D9348B">
          <w:rPr>
            <w:rStyle w:val="Hyperlink"/>
          </w:rPr>
          <w:t>Explanation of variations in New Zealand’s aluminium emissions</w:t>
        </w:r>
        <w:r w:rsidR="002745A8" w:rsidRPr="00D9348B">
          <w:rPr>
            <w:webHidden/>
          </w:rPr>
          <w:tab/>
        </w:r>
        <w:r w:rsidR="002745A8" w:rsidRPr="00D9348B">
          <w:rPr>
            <w:webHidden/>
          </w:rPr>
          <w:fldChar w:fldCharType="begin"/>
        </w:r>
        <w:r w:rsidR="002745A8" w:rsidRPr="00D9348B">
          <w:rPr>
            <w:webHidden/>
          </w:rPr>
          <w:instrText xml:space="preserve"> PAGEREF _Toc36224535 \h </w:instrText>
        </w:r>
        <w:r w:rsidR="002745A8" w:rsidRPr="00D9348B">
          <w:rPr>
            <w:webHidden/>
          </w:rPr>
        </w:r>
        <w:r w:rsidR="002745A8" w:rsidRPr="00D9348B">
          <w:rPr>
            <w:webHidden/>
          </w:rPr>
          <w:fldChar w:fldCharType="separate"/>
        </w:r>
        <w:r w:rsidR="00950F0A">
          <w:rPr>
            <w:webHidden/>
          </w:rPr>
          <w:t>140</w:t>
        </w:r>
        <w:r w:rsidR="002745A8" w:rsidRPr="00D9348B">
          <w:rPr>
            <w:webHidden/>
          </w:rPr>
          <w:fldChar w:fldCharType="end"/>
        </w:r>
      </w:hyperlink>
    </w:p>
    <w:p w14:paraId="42A14230" w14:textId="11E80CB3" w:rsidR="002745A8" w:rsidRPr="00D9348B" w:rsidRDefault="00DA6C03">
      <w:pPr>
        <w:pStyle w:val="TableofFigures"/>
        <w:rPr>
          <w:rFonts w:cs="Times New Roman"/>
          <w:sz w:val="22"/>
        </w:rPr>
      </w:pPr>
      <w:hyperlink w:anchor="_Toc36224536" w:history="1">
        <w:r w:rsidR="002745A8" w:rsidRPr="00D9348B">
          <w:rPr>
            <w:rStyle w:val="Hyperlink"/>
          </w:rPr>
          <w:t xml:space="preserve">Table 4.5.1 </w:t>
        </w:r>
        <w:r w:rsidR="002745A8" w:rsidRPr="00D9348B">
          <w:rPr>
            <w:rFonts w:cs="Times New Roman"/>
            <w:sz w:val="22"/>
          </w:rPr>
          <w:tab/>
        </w:r>
        <w:r w:rsidR="002745A8" w:rsidRPr="00D9348B">
          <w:rPr>
            <w:rStyle w:val="Hyperlink"/>
          </w:rPr>
          <w:t>Calculation of NMVOC emissions from road paving</w:t>
        </w:r>
        <w:r w:rsidR="002745A8" w:rsidRPr="00D9348B">
          <w:rPr>
            <w:webHidden/>
          </w:rPr>
          <w:tab/>
        </w:r>
        <w:r w:rsidR="002745A8" w:rsidRPr="00D9348B">
          <w:rPr>
            <w:webHidden/>
          </w:rPr>
          <w:fldChar w:fldCharType="begin"/>
        </w:r>
        <w:r w:rsidR="002745A8" w:rsidRPr="00D9348B">
          <w:rPr>
            <w:webHidden/>
          </w:rPr>
          <w:instrText xml:space="preserve"> PAGEREF _Toc36224536 \h </w:instrText>
        </w:r>
        <w:r w:rsidR="002745A8" w:rsidRPr="00D9348B">
          <w:rPr>
            <w:webHidden/>
          </w:rPr>
        </w:r>
        <w:r w:rsidR="002745A8" w:rsidRPr="00D9348B">
          <w:rPr>
            <w:webHidden/>
          </w:rPr>
          <w:fldChar w:fldCharType="separate"/>
        </w:r>
        <w:r w:rsidR="00950F0A">
          <w:rPr>
            <w:webHidden/>
          </w:rPr>
          <w:t>143</w:t>
        </w:r>
        <w:r w:rsidR="002745A8" w:rsidRPr="00D9348B">
          <w:rPr>
            <w:webHidden/>
          </w:rPr>
          <w:fldChar w:fldCharType="end"/>
        </w:r>
      </w:hyperlink>
    </w:p>
    <w:p w14:paraId="3F74F29F" w14:textId="6D534409" w:rsidR="002745A8" w:rsidRPr="00D9348B" w:rsidRDefault="00DA6C03">
      <w:pPr>
        <w:pStyle w:val="TableofFigures"/>
        <w:rPr>
          <w:rFonts w:cs="Times New Roman"/>
          <w:sz w:val="22"/>
        </w:rPr>
      </w:pPr>
      <w:hyperlink w:anchor="_Toc36224537" w:history="1">
        <w:r w:rsidR="002745A8" w:rsidRPr="00D9348B">
          <w:rPr>
            <w:rStyle w:val="Hyperlink"/>
          </w:rPr>
          <w:t xml:space="preserve">Table 4.5.2 </w:t>
        </w:r>
        <w:r w:rsidR="002745A8" w:rsidRPr="00D9348B">
          <w:rPr>
            <w:rFonts w:cs="Times New Roman"/>
            <w:sz w:val="22"/>
          </w:rPr>
          <w:tab/>
        </w:r>
        <w:r w:rsidR="002745A8" w:rsidRPr="00D9348B">
          <w:rPr>
            <w:rStyle w:val="Hyperlink"/>
          </w:rPr>
          <w:t>Fraction of bitumen in road paving material</w:t>
        </w:r>
        <w:r w:rsidR="002745A8" w:rsidRPr="00D9348B">
          <w:rPr>
            <w:webHidden/>
          </w:rPr>
          <w:tab/>
        </w:r>
        <w:r w:rsidR="002745A8" w:rsidRPr="00D9348B">
          <w:rPr>
            <w:webHidden/>
          </w:rPr>
          <w:fldChar w:fldCharType="begin"/>
        </w:r>
        <w:r w:rsidR="002745A8" w:rsidRPr="00D9348B">
          <w:rPr>
            <w:webHidden/>
          </w:rPr>
          <w:instrText xml:space="preserve"> PAGEREF _Toc36224537 \h </w:instrText>
        </w:r>
        <w:r w:rsidR="002745A8" w:rsidRPr="00D9348B">
          <w:rPr>
            <w:webHidden/>
          </w:rPr>
        </w:r>
        <w:r w:rsidR="002745A8" w:rsidRPr="00D9348B">
          <w:rPr>
            <w:webHidden/>
          </w:rPr>
          <w:fldChar w:fldCharType="separate"/>
        </w:r>
        <w:r w:rsidR="00950F0A">
          <w:rPr>
            <w:webHidden/>
          </w:rPr>
          <w:t>143</w:t>
        </w:r>
        <w:r w:rsidR="002745A8" w:rsidRPr="00D9348B">
          <w:rPr>
            <w:webHidden/>
          </w:rPr>
          <w:fldChar w:fldCharType="end"/>
        </w:r>
      </w:hyperlink>
    </w:p>
    <w:p w14:paraId="048C86AC" w14:textId="29C0BF34" w:rsidR="002745A8" w:rsidRPr="00D9348B" w:rsidRDefault="00DA6C03">
      <w:pPr>
        <w:pStyle w:val="TableofFigures"/>
        <w:rPr>
          <w:rFonts w:cs="Times New Roman"/>
          <w:sz w:val="22"/>
        </w:rPr>
      </w:pPr>
      <w:hyperlink w:anchor="_Toc36224538" w:history="1">
        <w:r w:rsidR="002745A8" w:rsidRPr="00D9348B">
          <w:rPr>
            <w:rStyle w:val="Hyperlink"/>
          </w:rPr>
          <w:t>Table 4.5.3</w:t>
        </w:r>
        <w:r w:rsidR="002745A8" w:rsidRPr="00D9348B">
          <w:rPr>
            <w:rFonts w:cs="Times New Roman"/>
            <w:sz w:val="22"/>
          </w:rPr>
          <w:tab/>
        </w:r>
        <w:r w:rsidR="002745A8" w:rsidRPr="00D9348B">
          <w:rPr>
            <w:rStyle w:val="Hyperlink"/>
          </w:rPr>
          <w:t>Uncertainty in emissions in non-energy products from fuels and solvent use</w:t>
        </w:r>
        <w:r w:rsidR="002745A8" w:rsidRPr="00D9348B">
          <w:rPr>
            <w:webHidden/>
          </w:rPr>
          <w:tab/>
        </w:r>
        <w:r w:rsidR="002745A8" w:rsidRPr="00D9348B">
          <w:rPr>
            <w:webHidden/>
          </w:rPr>
          <w:fldChar w:fldCharType="begin"/>
        </w:r>
        <w:r w:rsidR="002745A8" w:rsidRPr="00D9348B">
          <w:rPr>
            <w:webHidden/>
          </w:rPr>
          <w:instrText xml:space="preserve"> PAGEREF _Toc36224538 \h </w:instrText>
        </w:r>
        <w:r w:rsidR="002745A8" w:rsidRPr="00D9348B">
          <w:rPr>
            <w:webHidden/>
          </w:rPr>
        </w:r>
        <w:r w:rsidR="002745A8" w:rsidRPr="00D9348B">
          <w:rPr>
            <w:webHidden/>
          </w:rPr>
          <w:fldChar w:fldCharType="separate"/>
        </w:r>
        <w:r w:rsidR="00950F0A">
          <w:rPr>
            <w:webHidden/>
          </w:rPr>
          <w:t>143</w:t>
        </w:r>
        <w:r w:rsidR="002745A8" w:rsidRPr="00D9348B">
          <w:rPr>
            <w:webHidden/>
          </w:rPr>
          <w:fldChar w:fldCharType="end"/>
        </w:r>
      </w:hyperlink>
    </w:p>
    <w:p w14:paraId="1E171DD9" w14:textId="3235C74B" w:rsidR="002745A8" w:rsidRPr="00D9348B" w:rsidRDefault="00DA6C03">
      <w:pPr>
        <w:pStyle w:val="TableofFigures"/>
        <w:rPr>
          <w:rFonts w:cs="Times New Roman"/>
          <w:sz w:val="22"/>
        </w:rPr>
      </w:pPr>
      <w:hyperlink w:anchor="_Toc36224539" w:history="1">
        <w:r w:rsidR="002745A8" w:rsidRPr="00D9348B">
          <w:rPr>
            <w:rStyle w:val="Hyperlink"/>
          </w:rPr>
          <w:t>Table 4.7.1</w:t>
        </w:r>
        <w:r w:rsidR="002745A8" w:rsidRPr="00D9348B">
          <w:rPr>
            <w:rFonts w:cs="Times New Roman"/>
            <w:sz w:val="22"/>
          </w:rPr>
          <w:tab/>
        </w:r>
        <w:r w:rsidR="002745A8" w:rsidRPr="00D9348B">
          <w:rPr>
            <w:rStyle w:val="Hyperlink"/>
          </w:rPr>
          <w:t>Average charge of HFC-134a in mobile air conditioners, 2009</w:t>
        </w:r>
        <w:r w:rsidR="002745A8" w:rsidRPr="00D9348B">
          <w:rPr>
            <w:webHidden/>
          </w:rPr>
          <w:tab/>
        </w:r>
        <w:r w:rsidR="002745A8" w:rsidRPr="00D9348B">
          <w:rPr>
            <w:webHidden/>
          </w:rPr>
          <w:fldChar w:fldCharType="begin"/>
        </w:r>
        <w:r w:rsidR="002745A8" w:rsidRPr="00D9348B">
          <w:rPr>
            <w:webHidden/>
          </w:rPr>
          <w:instrText xml:space="preserve"> PAGEREF _Toc36224539 \h </w:instrText>
        </w:r>
        <w:r w:rsidR="002745A8" w:rsidRPr="00D9348B">
          <w:rPr>
            <w:webHidden/>
          </w:rPr>
        </w:r>
        <w:r w:rsidR="002745A8" w:rsidRPr="00D9348B">
          <w:rPr>
            <w:webHidden/>
          </w:rPr>
          <w:fldChar w:fldCharType="separate"/>
        </w:r>
        <w:r w:rsidR="00950F0A">
          <w:rPr>
            <w:webHidden/>
          </w:rPr>
          <w:t>146</w:t>
        </w:r>
        <w:r w:rsidR="002745A8" w:rsidRPr="00D9348B">
          <w:rPr>
            <w:webHidden/>
          </w:rPr>
          <w:fldChar w:fldCharType="end"/>
        </w:r>
      </w:hyperlink>
    </w:p>
    <w:p w14:paraId="77E0CB7F" w14:textId="2D583112" w:rsidR="002745A8" w:rsidRPr="00D9348B" w:rsidRDefault="00DA6C03">
      <w:pPr>
        <w:pStyle w:val="TableofFigures"/>
        <w:rPr>
          <w:rFonts w:cs="Times New Roman"/>
          <w:sz w:val="22"/>
        </w:rPr>
      </w:pPr>
      <w:hyperlink w:anchor="_Toc36224540" w:history="1">
        <w:r w:rsidR="002745A8" w:rsidRPr="00D9348B">
          <w:rPr>
            <w:rStyle w:val="Hyperlink"/>
          </w:rPr>
          <w:t>Table 4.7.2</w:t>
        </w:r>
        <w:r w:rsidR="002745A8" w:rsidRPr="00D9348B">
          <w:rPr>
            <w:rFonts w:cs="Times New Roman"/>
            <w:sz w:val="22"/>
          </w:rPr>
          <w:tab/>
        </w:r>
        <w:r w:rsidR="002745A8" w:rsidRPr="00D9348B">
          <w:rPr>
            <w:rStyle w:val="Hyperlink"/>
          </w:rPr>
          <w:t>Summary of methodological tiers by sub-application</w:t>
        </w:r>
        <w:r w:rsidR="002745A8" w:rsidRPr="00D9348B">
          <w:rPr>
            <w:webHidden/>
          </w:rPr>
          <w:tab/>
        </w:r>
        <w:r w:rsidR="002745A8" w:rsidRPr="00D9348B">
          <w:rPr>
            <w:webHidden/>
          </w:rPr>
          <w:fldChar w:fldCharType="begin"/>
        </w:r>
        <w:r w:rsidR="002745A8" w:rsidRPr="00D9348B">
          <w:rPr>
            <w:webHidden/>
          </w:rPr>
          <w:instrText xml:space="preserve"> PAGEREF _Toc36224540 \h </w:instrText>
        </w:r>
        <w:r w:rsidR="002745A8" w:rsidRPr="00D9348B">
          <w:rPr>
            <w:webHidden/>
          </w:rPr>
        </w:r>
        <w:r w:rsidR="002745A8" w:rsidRPr="00D9348B">
          <w:rPr>
            <w:webHidden/>
          </w:rPr>
          <w:fldChar w:fldCharType="separate"/>
        </w:r>
        <w:r w:rsidR="00950F0A">
          <w:rPr>
            <w:webHidden/>
          </w:rPr>
          <w:t>148</w:t>
        </w:r>
        <w:r w:rsidR="002745A8" w:rsidRPr="00D9348B">
          <w:rPr>
            <w:webHidden/>
          </w:rPr>
          <w:fldChar w:fldCharType="end"/>
        </w:r>
      </w:hyperlink>
    </w:p>
    <w:p w14:paraId="05EBB3C9" w14:textId="2C882895" w:rsidR="002745A8" w:rsidRPr="00D9348B" w:rsidRDefault="00DA6C03">
      <w:pPr>
        <w:pStyle w:val="TableofFigures"/>
        <w:rPr>
          <w:rFonts w:cs="Times New Roman"/>
          <w:sz w:val="22"/>
        </w:rPr>
      </w:pPr>
      <w:hyperlink w:anchor="_Toc36224541" w:history="1">
        <w:r w:rsidR="002745A8" w:rsidRPr="00D9348B">
          <w:rPr>
            <w:rStyle w:val="Hyperlink"/>
          </w:rPr>
          <w:t>Table 4.7.3</w:t>
        </w:r>
        <w:r w:rsidR="002745A8" w:rsidRPr="00D9348B">
          <w:rPr>
            <w:rFonts w:cs="Times New Roman"/>
            <w:sz w:val="22"/>
          </w:rPr>
          <w:tab/>
        </w:r>
        <w:r w:rsidR="002745A8" w:rsidRPr="00D9348B">
          <w:rPr>
            <w:rStyle w:val="Hyperlink"/>
          </w:rPr>
          <w:t>Emission factors for mobile air conditioning</w:t>
        </w:r>
        <w:r w:rsidR="002745A8" w:rsidRPr="00D9348B">
          <w:rPr>
            <w:webHidden/>
          </w:rPr>
          <w:tab/>
        </w:r>
        <w:r w:rsidR="002745A8" w:rsidRPr="00D9348B">
          <w:rPr>
            <w:webHidden/>
          </w:rPr>
          <w:fldChar w:fldCharType="begin"/>
        </w:r>
        <w:r w:rsidR="002745A8" w:rsidRPr="00D9348B">
          <w:rPr>
            <w:webHidden/>
          </w:rPr>
          <w:instrText xml:space="preserve"> PAGEREF _Toc36224541 \h </w:instrText>
        </w:r>
        <w:r w:rsidR="002745A8" w:rsidRPr="00D9348B">
          <w:rPr>
            <w:webHidden/>
          </w:rPr>
        </w:r>
        <w:r w:rsidR="002745A8" w:rsidRPr="00D9348B">
          <w:rPr>
            <w:webHidden/>
          </w:rPr>
          <w:fldChar w:fldCharType="separate"/>
        </w:r>
        <w:r w:rsidR="00950F0A">
          <w:rPr>
            <w:webHidden/>
          </w:rPr>
          <w:t>149</w:t>
        </w:r>
        <w:r w:rsidR="002745A8" w:rsidRPr="00D9348B">
          <w:rPr>
            <w:webHidden/>
          </w:rPr>
          <w:fldChar w:fldCharType="end"/>
        </w:r>
      </w:hyperlink>
    </w:p>
    <w:p w14:paraId="3E5CE82F" w14:textId="61AE093F" w:rsidR="002745A8" w:rsidRPr="00D9348B" w:rsidRDefault="00DA6C03">
      <w:pPr>
        <w:pStyle w:val="TableofFigures"/>
        <w:rPr>
          <w:rFonts w:cs="Times New Roman"/>
          <w:sz w:val="22"/>
        </w:rPr>
      </w:pPr>
      <w:hyperlink w:anchor="_Toc36224542" w:history="1">
        <w:r w:rsidR="002745A8" w:rsidRPr="00D9348B">
          <w:rPr>
            <w:rStyle w:val="Hyperlink"/>
          </w:rPr>
          <w:t xml:space="preserve">Table 4.7.4 </w:t>
        </w:r>
        <w:r w:rsidR="002745A8" w:rsidRPr="00D9348B">
          <w:rPr>
            <w:rFonts w:cs="Times New Roman"/>
            <w:sz w:val="22"/>
          </w:rPr>
          <w:tab/>
        </w:r>
        <w:r w:rsidR="002745A8" w:rsidRPr="00D9348B">
          <w:rPr>
            <w:rStyle w:val="Hyperlink"/>
          </w:rPr>
          <w:t>New Zealand’s uncertainties in product uses as substitutes for ODS</w:t>
        </w:r>
        <w:r w:rsidR="002745A8" w:rsidRPr="00D9348B">
          <w:rPr>
            <w:webHidden/>
          </w:rPr>
          <w:tab/>
        </w:r>
        <w:r w:rsidR="002745A8" w:rsidRPr="00D9348B">
          <w:rPr>
            <w:webHidden/>
          </w:rPr>
          <w:fldChar w:fldCharType="begin"/>
        </w:r>
        <w:r w:rsidR="002745A8" w:rsidRPr="00D9348B">
          <w:rPr>
            <w:webHidden/>
          </w:rPr>
          <w:instrText xml:space="preserve"> PAGEREF _Toc36224542 \h </w:instrText>
        </w:r>
        <w:r w:rsidR="002745A8" w:rsidRPr="00D9348B">
          <w:rPr>
            <w:webHidden/>
          </w:rPr>
        </w:r>
        <w:r w:rsidR="002745A8" w:rsidRPr="00D9348B">
          <w:rPr>
            <w:webHidden/>
          </w:rPr>
          <w:fldChar w:fldCharType="separate"/>
        </w:r>
        <w:r w:rsidR="00950F0A">
          <w:rPr>
            <w:webHidden/>
          </w:rPr>
          <w:t>149</w:t>
        </w:r>
        <w:r w:rsidR="002745A8" w:rsidRPr="00D9348B">
          <w:rPr>
            <w:webHidden/>
          </w:rPr>
          <w:fldChar w:fldCharType="end"/>
        </w:r>
      </w:hyperlink>
    </w:p>
    <w:p w14:paraId="0D441577" w14:textId="18A5FA3D" w:rsidR="002745A8" w:rsidRPr="00D9348B" w:rsidRDefault="00DA6C03">
      <w:pPr>
        <w:pStyle w:val="TableofFigures"/>
        <w:rPr>
          <w:rFonts w:cs="Times New Roman"/>
          <w:sz w:val="22"/>
        </w:rPr>
      </w:pPr>
      <w:hyperlink w:anchor="_Toc36224543" w:history="1">
        <w:r w:rsidR="002745A8" w:rsidRPr="00D9348B">
          <w:rPr>
            <w:rStyle w:val="Hyperlink"/>
          </w:rPr>
          <w:t>Table 4.8.1</w:t>
        </w:r>
        <w:r w:rsidR="002745A8" w:rsidRPr="00D9348B">
          <w:rPr>
            <w:rFonts w:cs="Times New Roman"/>
            <w:sz w:val="22"/>
          </w:rPr>
          <w:tab/>
        </w:r>
        <w:r w:rsidR="002745A8" w:rsidRPr="00D9348B">
          <w:rPr>
            <w:rStyle w:val="Hyperlink"/>
          </w:rPr>
          <w:t>Uncertainty in emissions from other product manufacture and use</w:t>
        </w:r>
        <w:r w:rsidR="002745A8" w:rsidRPr="00D9348B">
          <w:rPr>
            <w:webHidden/>
          </w:rPr>
          <w:tab/>
        </w:r>
        <w:r w:rsidR="002745A8" w:rsidRPr="00D9348B">
          <w:rPr>
            <w:webHidden/>
          </w:rPr>
          <w:fldChar w:fldCharType="begin"/>
        </w:r>
        <w:r w:rsidR="002745A8" w:rsidRPr="00D9348B">
          <w:rPr>
            <w:webHidden/>
          </w:rPr>
          <w:instrText xml:space="preserve"> PAGEREF _Toc36224543 \h </w:instrText>
        </w:r>
        <w:r w:rsidR="002745A8" w:rsidRPr="00D9348B">
          <w:rPr>
            <w:webHidden/>
          </w:rPr>
        </w:r>
        <w:r w:rsidR="002745A8" w:rsidRPr="00D9348B">
          <w:rPr>
            <w:webHidden/>
          </w:rPr>
          <w:fldChar w:fldCharType="separate"/>
        </w:r>
        <w:r w:rsidR="00950F0A">
          <w:rPr>
            <w:webHidden/>
          </w:rPr>
          <w:t>153</w:t>
        </w:r>
        <w:r w:rsidR="002745A8" w:rsidRPr="00D9348B">
          <w:rPr>
            <w:webHidden/>
          </w:rPr>
          <w:fldChar w:fldCharType="end"/>
        </w:r>
      </w:hyperlink>
    </w:p>
    <w:p w14:paraId="07F8272A" w14:textId="708662CE" w:rsidR="002745A8" w:rsidRPr="00D9348B" w:rsidRDefault="00DA6C03">
      <w:pPr>
        <w:pStyle w:val="TableofFigures"/>
        <w:rPr>
          <w:rFonts w:cs="Times New Roman"/>
          <w:sz w:val="22"/>
        </w:rPr>
      </w:pPr>
      <w:hyperlink w:anchor="_Toc36224544" w:history="1">
        <w:r w:rsidR="002745A8" w:rsidRPr="00D9348B">
          <w:rPr>
            <w:rStyle w:val="Hyperlink"/>
          </w:rPr>
          <w:t xml:space="preserve">Table 5.1.1 </w:t>
        </w:r>
        <w:r w:rsidR="002745A8" w:rsidRPr="00D9348B">
          <w:rPr>
            <w:rFonts w:cs="Times New Roman"/>
            <w:sz w:val="22"/>
          </w:rPr>
          <w:tab/>
        </w:r>
        <w:r w:rsidR="002745A8" w:rsidRPr="00D9348B">
          <w:rPr>
            <w:rStyle w:val="Hyperlink"/>
          </w:rPr>
          <w:t>Trends and relative contribution of New Zealand’s agricultural greenhouse gas emissions by category between 1990 and 2018</w:t>
        </w:r>
        <w:r w:rsidR="002745A8" w:rsidRPr="00D9348B">
          <w:rPr>
            <w:webHidden/>
          </w:rPr>
          <w:tab/>
        </w:r>
        <w:r w:rsidR="002745A8" w:rsidRPr="00D9348B">
          <w:rPr>
            <w:webHidden/>
          </w:rPr>
          <w:fldChar w:fldCharType="begin"/>
        </w:r>
        <w:r w:rsidR="002745A8" w:rsidRPr="00D9348B">
          <w:rPr>
            <w:webHidden/>
          </w:rPr>
          <w:instrText xml:space="preserve"> PAGEREF _Toc36224544 \h </w:instrText>
        </w:r>
        <w:r w:rsidR="002745A8" w:rsidRPr="00D9348B">
          <w:rPr>
            <w:webHidden/>
          </w:rPr>
        </w:r>
        <w:r w:rsidR="002745A8" w:rsidRPr="00D9348B">
          <w:rPr>
            <w:webHidden/>
          </w:rPr>
          <w:fldChar w:fldCharType="separate"/>
        </w:r>
        <w:r w:rsidR="00950F0A">
          <w:rPr>
            <w:webHidden/>
          </w:rPr>
          <w:t>155</w:t>
        </w:r>
        <w:r w:rsidR="002745A8" w:rsidRPr="00D9348B">
          <w:rPr>
            <w:webHidden/>
          </w:rPr>
          <w:fldChar w:fldCharType="end"/>
        </w:r>
      </w:hyperlink>
    </w:p>
    <w:p w14:paraId="56031AD2" w14:textId="0ADA4065" w:rsidR="002745A8" w:rsidRPr="00D9348B" w:rsidRDefault="00DA6C03">
      <w:pPr>
        <w:pStyle w:val="TableofFigures"/>
        <w:rPr>
          <w:rFonts w:cs="Times New Roman"/>
          <w:sz w:val="22"/>
        </w:rPr>
      </w:pPr>
      <w:hyperlink w:anchor="_Toc36224545" w:history="1">
        <w:r w:rsidR="002745A8" w:rsidRPr="00D9348B">
          <w:rPr>
            <w:rStyle w:val="Hyperlink"/>
          </w:rPr>
          <w:t xml:space="preserve">Table 5.1.2 </w:t>
        </w:r>
        <w:r w:rsidR="002745A8" w:rsidRPr="00D9348B">
          <w:rPr>
            <w:rFonts w:cs="Times New Roman"/>
            <w:sz w:val="22"/>
          </w:rPr>
          <w:tab/>
        </w:r>
        <w:r w:rsidR="002745A8" w:rsidRPr="00D9348B">
          <w:rPr>
            <w:rStyle w:val="Hyperlink"/>
          </w:rPr>
          <w:t>Key categories in the Agriculture sector</w:t>
        </w:r>
        <w:r w:rsidR="002745A8" w:rsidRPr="00D9348B">
          <w:rPr>
            <w:webHidden/>
          </w:rPr>
          <w:tab/>
        </w:r>
        <w:r w:rsidR="002745A8" w:rsidRPr="00D9348B">
          <w:rPr>
            <w:webHidden/>
          </w:rPr>
          <w:fldChar w:fldCharType="begin"/>
        </w:r>
        <w:r w:rsidR="002745A8" w:rsidRPr="00D9348B">
          <w:rPr>
            <w:webHidden/>
          </w:rPr>
          <w:instrText xml:space="preserve"> PAGEREF _Toc36224545 \h </w:instrText>
        </w:r>
        <w:r w:rsidR="002745A8" w:rsidRPr="00D9348B">
          <w:rPr>
            <w:webHidden/>
          </w:rPr>
        </w:r>
        <w:r w:rsidR="002745A8" w:rsidRPr="00D9348B">
          <w:rPr>
            <w:webHidden/>
          </w:rPr>
          <w:fldChar w:fldCharType="separate"/>
        </w:r>
        <w:r w:rsidR="00950F0A">
          <w:rPr>
            <w:webHidden/>
          </w:rPr>
          <w:t>160</w:t>
        </w:r>
        <w:r w:rsidR="002745A8" w:rsidRPr="00D9348B">
          <w:rPr>
            <w:webHidden/>
          </w:rPr>
          <w:fldChar w:fldCharType="end"/>
        </w:r>
      </w:hyperlink>
    </w:p>
    <w:p w14:paraId="5028DCB4" w14:textId="7C395A19" w:rsidR="002745A8" w:rsidRPr="00D9348B" w:rsidRDefault="00DA6C03">
      <w:pPr>
        <w:pStyle w:val="TableofFigures"/>
        <w:rPr>
          <w:rFonts w:cs="Times New Roman"/>
          <w:sz w:val="22"/>
        </w:rPr>
      </w:pPr>
      <w:hyperlink w:anchor="_Toc36224546" w:history="1">
        <w:r w:rsidR="002745A8" w:rsidRPr="00D9348B">
          <w:rPr>
            <w:rStyle w:val="Hyperlink"/>
          </w:rPr>
          <w:t xml:space="preserve">Table 5.1.3 </w:t>
        </w:r>
        <w:r w:rsidR="002745A8" w:rsidRPr="00D9348B">
          <w:rPr>
            <w:rFonts w:cs="Times New Roman"/>
            <w:sz w:val="22"/>
          </w:rPr>
          <w:tab/>
        </w:r>
        <w:r w:rsidR="002745A8" w:rsidRPr="00D9348B">
          <w:rPr>
            <w:rStyle w:val="Hyperlink"/>
          </w:rPr>
          <w:t>Methods and emission factors in the Agriculture sector</w:t>
        </w:r>
        <w:r w:rsidR="002745A8" w:rsidRPr="00D9348B">
          <w:rPr>
            <w:webHidden/>
          </w:rPr>
          <w:tab/>
        </w:r>
        <w:r w:rsidR="002745A8" w:rsidRPr="00D9348B">
          <w:rPr>
            <w:webHidden/>
          </w:rPr>
          <w:fldChar w:fldCharType="begin"/>
        </w:r>
        <w:r w:rsidR="002745A8" w:rsidRPr="00D9348B">
          <w:rPr>
            <w:webHidden/>
          </w:rPr>
          <w:instrText xml:space="preserve"> PAGEREF _Toc36224546 \h </w:instrText>
        </w:r>
        <w:r w:rsidR="002745A8" w:rsidRPr="00D9348B">
          <w:rPr>
            <w:webHidden/>
          </w:rPr>
        </w:r>
        <w:r w:rsidR="002745A8" w:rsidRPr="00D9348B">
          <w:rPr>
            <w:webHidden/>
          </w:rPr>
          <w:fldChar w:fldCharType="separate"/>
        </w:r>
        <w:r w:rsidR="00950F0A">
          <w:rPr>
            <w:webHidden/>
          </w:rPr>
          <w:t>161</w:t>
        </w:r>
        <w:r w:rsidR="002745A8" w:rsidRPr="00D9348B">
          <w:rPr>
            <w:webHidden/>
          </w:rPr>
          <w:fldChar w:fldCharType="end"/>
        </w:r>
      </w:hyperlink>
    </w:p>
    <w:p w14:paraId="4AA7CD3E" w14:textId="4DB748B0" w:rsidR="002745A8" w:rsidRPr="00D9348B" w:rsidRDefault="00DA6C03">
      <w:pPr>
        <w:pStyle w:val="TableofFigures"/>
        <w:rPr>
          <w:rFonts w:cs="Times New Roman"/>
          <w:sz w:val="22"/>
        </w:rPr>
      </w:pPr>
      <w:hyperlink w:anchor="_Toc36224547" w:history="1">
        <w:r w:rsidR="002745A8" w:rsidRPr="00D9348B">
          <w:rPr>
            <w:rStyle w:val="Hyperlink"/>
          </w:rPr>
          <w:t xml:space="preserve">Table 5.1.4 </w:t>
        </w:r>
        <w:r w:rsidR="002745A8" w:rsidRPr="00D9348B">
          <w:rPr>
            <w:rFonts w:cs="Times New Roman"/>
            <w:sz w:val="22"/>
          </w:rPr>
          <w:tab/>
        </w:r>
        <w:r w:rsidR="002745A8" w:rsidRPr="00D9348B">
          <w:rPr>
            <w:rStyle w:val="Hyperlink"/>
          </w:rPr>
          <w:t>Agriculture sectoral approval process for inventory recalculations and improvements</w:t>
        </w:r>
        <w:r w:rsidR="002745A8" w:rsidRPr="00D9348B">
          <w:rPr>
            <w:webHidden/>
          </w:rPr>
          <w:tab/>
        </w:r>
        <w:r w:rsidR="002745A8" w:rsidRPr="00D9348B">
          <w:rPr>
            <w:webHidden/>
          </w:rPr>
          <w:fldChar w:fldCharType="begin"/>
        </w:r>
        <w:r w:rsidR="002745A8" w:rsidRPr="00D9348B">
          <w:rPr>
            <w:webHidden/>
          </w:rPr>
          <w:instrText xml:space="preserve"> PAGEREF _Toc36224547 \h </w:instrText>
        </w:r>
        <w:r w:rsidR="002745A8" w:rsidRPr="00D9348B">
          <w:rPr>
            <w:webHidden/>
          </w:rPr>
        </w:r>
        <w:r w:rsidR="002745A8" w:rsidRPr="00D9348B">
          <w:rPr>
            <w:webHidden/>
          </w:rPr>
          <w:fldChar w:fldCharType="separate"/>
        </w:r>
        <w:r w:rsidR="00950F0A">
          <w:rPr>
            <w:webHidden/>
          </w:rPr>
          <w:t>176</w:t>
        </w:r>
        <w:r w:rsidR="002745A8" w:rsidRPr="00D9348B">
          <w:rPr>
            <w:webHidden/>
          </w:rPr>
          <w:fldChar w:fldCharType="end"/>
        </w:r>
      </w:hyperlink>
    </w:p>
    <w:p w14:paraId="227993EC" w14:textId="0E674B03" w:rsidR="002745A8" w:rsidRPr="00D9348B" w:rsidRDefault="00DA6C03">
      <w:pPr>
        <w:pStyle w:val="TableofFigures"/>
        <w:rPr>
          <w:rFonts w:cs="Times New Roman"/>
          <w:sz w:val="22"/>
        </w:rPr>
      </w:pPr>
      <w:hyperlink w:anchor="_Toc36224548" w:history="1">
        <w:r w:rsidR="002745A8" w:rsidRPr="00D9348B">
          <w:rPr>
            <w:rStyle w:val="Hyperlink"/>
          </w:rPr>
          <w:t>Table 5.2.1</w:t>
        </w:r>
        <w:r w:rsidR="002745A8" w:rsidRPr="00D9348B">
          <w:rPr>
            <w:rFonts w:cs="Times New Roman"/>
            <w:sz w:val="22"/>
          </w:rPr>
          <w:tab/>
        </w:r>
        <w:r w:rsidR="002745A8" w:rsidRPr="00D9348B">
          <w:rPr>
            <w:rStyle w:val="Hyperlink"/>
          </w:rPr>
          <w:t>Trends and relative contribution of enteric fermentation (methane expressed in kt CO</w:t>
        </w:r>
        <w:r w:rsidR="002745A8" w:rsidRPr="00D9348B">
          <w:rPr>
            <w:rStyle w:val="Hyperlink"/>
            <w:vertAlign w:val="subscript"/>
          </w:rPr>
          <w:t>2</w:t>
        </w:r>
        <w:r w:rsidR="002745A8" w:rsidRPr="00D9348B">
          <w:rPr>
            <w:rStyle w:val="Hyperlink"/>
          </w:rPr>
          <w:t>-e) from livestock categories between 1990 and 2018</w:t>
        </w:r>
        <w:r w:rsidR="002745A8" w:rsidRPr="00D9348B">
          <w:rPr>
            <w:webHidden/>
          </w:rPr>
          <w:tab/>
        </w:r>
        <w:r w:rsidR="002745A8" w:rsidRPr="00D9348B">
          <w:rPr>
            <w:webHidden/>
          </w:rPr>
          <w:fldChar w:fldCharType="begin"/>
        </w:r>
        <w:r w:rsidR="002745A8" w:rsidRPr="00D9348B">
          <w:rPr>
            <w:webHidden/>
          </w:rPr>
          <w:instrText xml:space="preserve"> PAGEREF _Toc36224548 \h </w:instrText>
        </w:r>
        <w:r w:rsidR="002745A8" w:rsidRPr="00D9348B">
          <w:rPr>
            <w:webHidden/>
          </w:rPr>
        </w:r>
        <w:r w:rsidR="002745A8" w:rsidRPr="00D9348B">
          <w:rPr>
            <w:webHidden/>
          </w:rPr>
          <w:fldChar w:fldCharType="separate"/>
        </w:r>
        <w:r w:rsidR="00950F0A">
          <w:rPr>
            <w:webHidden/>
          </w:rPr>
          <w:t>179</w:t>
        </w:r>
        <w:r w:rsidR="002745A8" w:rsidRPr="00D9348B">
          <w:rPr>
            <w:webHidden/>
          </w:rPr>
          <w:fldChar w:fldCharType="end"/>
        </w:r>
      </w:hyperlink>
    </w:p>
    <w:p w14:paraId="2D2C9AC1" w14:textId="4164290B" w:rsidR="002745A8" w:rsidRPr="00D9348B" w:rsidRDefault="00DA6C03">
      <w:pPr>
        <w:pStyle w:val="TableofFigures"/>
        <w:rPr>
          <w:rFonts w:cs="Times New Roman"/>
          <w:sz w:val="22"/>
        </w:rPr>
      </w:pPr>
      <w:hyperlink w:anchor="_Toc36224549" w:history="1">
        <w:r w:rsidR="002745A8" w:rsidRPr="00D9348B">
          <w:rPr>
            <w:rStyle w:val="Hyperlink"/>
          </w:rPr>
          <w:t>Table 5.2.2</w:t>
        </w:r>
        <w:r w:rsidR="002745A8" w:rsidRPr="00D9348B">
          <w:rPr>
            <w:rFonts w:cs="Times New Roman"/>
            <w:sz w:val="22"/>
          </w:rPr>
          <w:tab/>
        </w:r>
        <w:r w:rsidR="002745A8" w:rsidRPr="00D9348B">
          <w:rPr>
            <w:rStyle w:val="Hyperlink"/>
          </w:rPr>
          <w:t>Methane (CH</w:t>
        </w:r>
        <w:r w:rsidR="002745A8" w:rsidRPr="00D9348B">
          <w:rPr>
            <w:rStyle w:val="Hyperlink"/>
            <w:vertAlign w:val="subscript"/>
          </w:rPr>
          <w:t>4</w:t>
        </w:r>
        <w:r w:rsidR="002745A8" w:rsidRPr="00D9348B">
          <w:rPr>
            <w:rStyle w:val="Hyperlink"/>
          </w:rPr>
          <w:t>) emissions and gross energy intake (GEI) from New Zealand measurements and IPCC (2006) default values</w:t>
        </w:r>
        <w:r w:rsidR="002745A8" w:rsidRPr="00D9348B">
          <w:rPr>
            <w:webHidden/>
          </w:rPr>
          <w:tab/>
        </w:r>
        <w:r w:rsidR="002745A8" w:rsidRPr="00D9348B">
          <w:rPr>
            <w:webHidden/>
          </w:rPr>
          <w:fldChar w:fldCharType="begin"/>
        </w:r>
        <w:r w:rsidR="002745A8" w:rsidRPr="00D9348B">
          <w:rPr>
            <w:webHidden/>
          </w:rPr>
          <w:instrText xml:space="preserve"> PAGEREF _Toc36224549 \h </w:instrText>
        </w:r>
        <w:r w:rsidR="002745A8" w:rsidRPr="00D9348B">
          <w:rPr>
            <w:webHidden/>
          </w:rPr>
        </w:r>
        <w:r w:rsidR="002745A8" w:rsidRPr="00D9348B">
          <w:rPr>
            <w:webHidden/>
          </w:rPr>
          <w:fldChar w:fldCharType="separate"/>
        </w:r>
        <w:r w:rsidR="00950F0A">
          <w:rPr>
            <w:webHidden/>
          </w:rPr>
          <w:t>182</w:t>
        </w:r>
        <w:r w:rsidR="002745A8" w:rsidRPr="00D9348B">
          <w:rPr>
            <w:webHidden/>
          </w:rPr>
          <w:fldChar w:fldCharType="end"/>
        </w:r>
      </w:hyperlink>
    </w:p>
    <w:p w14:paraId="2339A5AC" w14:textId="581B3B7F" w:rsidR="002745A8" w:rsidRPr="00D9348B" w:rsidRDefault="00DA6C03">
      <w:pPr>
        <w:pStyle w:val="TableofFigures"/>
        <w:rPr>
          <w:rFonts w:cs="Times New Roman"/>
          <w:sz w:val="22"/>
        </w:rPr>
      </w:pPr>
      <w:hyperlink w:anchor="_Toc36224550" w:history="1">
        <w:r w:rsidR="002745A8" w:rsidRPr="00D9348B">
          <w:rPr>
            <w:rStyle w:val="Hyperlink"/>
          </w:rPr>
          <w:t>Table 5.2.3</w:t>
        </w:r>
        <w:r w:rsidR="002745A8" w:rsidRPr="00D9348B">
          <w:rPr>
            <w:rFonts w:cs="Times New Roman"/>
            <w:sz w:val="22"/>
          </w:rPr>
          <w:tab/>
        </w:r>
        <w:r w:rsidR="002745A8" w:rsidRPr="00D9348B">
          <w:rPr>
            <w:rStyle w:val="Hyperlink"/>
          </w:rPr>
          <w:t>New Zealand’s implied emission factors for enteric fermentation from 1990 to 2018</w:t>
        </w:r>
        <w:r w:rsidR="002745A8" w:rsidRPr="00D9348B">
          <w:rPr>
            <w:webHidden/>
          </w:rPr>
          <w:tab/>
        </w:r>
        <w:r w:rsidR="002745A8" w:rsidRPr="00D9348B">
          <w:rPr>
            <w:webHidden/>
          </w:rPr>
          <w:fldChar w:fldCharType="begin"/>
        </w:r>
        <w:r w:rsidR="002745A8" w:rsidRPr="00D9348B">
          <w:rPr>
            <w:webHidden/>
          </w:rPr>
          <w:instrText xml:space="preserve"> PAGEREF _Toc36224550 \h </w:instrText>
        </w:r>
        <w:r w:rsidR="002745A8" w:rsidRPr="00D9348B">
          <w:rPr>
            <w:webHidden/>
          </w:rPr>
        </w:r>
        <w:r w:rsidR="002745A8" w:rsidRPr="00D9348B">
          <w:rPr>
            <w:webHidden/>
          </w:rPr>
          <w:fldChar w:fldCharType="separate"/>
        </w:r>
        <w:r w:rsidR="00950F0A">
          <w:rPr>
            <w:webHidden/>
          </w:rPr>
          <w:t>182</w:t>
        </w:r>
        <w:r w:rsidR="002745A8" w:rsidRPr="00D9348B">
          <w:rPr>
            <w:webHidden/>
          </w:rPr>
          <w:fldChar w:fldCharType="end"/>
        </w:r>
      </w:hyperlink>
    </w:p>
    <w:p w14:paraId="75957CDD" w14:textId="4DF7CEFE" w:rsidR="002745A8" w:rsidRPr="00D9348B" w:rsidRDefault="00DA6C03">
      <w:pPr>
        <w:pStyle w:val="TableofFigures"/>
        <w:rPr>
          <w:rFonts w:cs="Times New Roman"/>
          <w:sz w:val="22"/>
        </w:rPr>
      </w:pPr>
      <w:hyperlink w:anchor="_Toc36224551" w:history="1">
        <w:r w:rsidR="002745A8" w:rsidRPr="00D9348B">
          <w:rPr>
            <w:rStyle w:val="Hyperlink"/>
          </w:rPr>
          <w:t>Table 5.2.4</w:t>
        </w:r>
        <w:r w:rsidR="002745A8" w:rsidRPr="00D9348B">
          <w:rPr>
            <w:rFonts w:cs="Times New Roman"/>
            <w:sz w:val="22"/>
          </w:rPr>
          <w:tab/>
        </w:r>
        <w:r w:rsidR="002745A8" w:rsidRPr="00D9348B">
          <w:rPr>
            <w:rStyle w:val="Hyperlink"/>
          </w:rPr>
          <w:t>New Zealand’s uncertainty in the annual estimate of enteric fermentation emissions for 1990 and 2018, estimated using the 95 per cent confidence interval (±16 per cent)</w:t>
        </w:r>
        <w:r w:rsidR="002745A8" w:rsidRPr="00D9348B">
          <w:rPr>
            <w:webHidden/>
          </w:rPr>
          <w:tab/>
        </w:r>
        <w:r w:rsidR="002745A8" w:rsidRPr="00D9348B">
          <w:rPr>
            <w:webHidden/>
          </w:rPr>
          <w:fldChar w:fldCharType="begin"/>
        </w:r>
        <w:r w:rsidR="002745A8" w:rsidRPr="00D9348B">
          <w:rPr>
            <w:webHidden/>
          </w:rPr>
          <w:instrText xml:space="preserve"> PAGEREF _Toc36224551 \h </w:instrText>
        </w:r>
        <w:r w:rsidR="002745A8" w:rsidRPr="00D9348B">
          <w:rPr>
            <w:webHidden/>
          </w:rPr>
        </w:r>
        <w:r w:rsidR="002745A8" w:rsidRPr="00D9348B">
          <w:rPr>
            <w:webHidden/>
          </w:rPr>
          <w:fldChar w:fldCharType="separate"/>
        </w:r>
        <w:r w:rsidR="00950F0A">
          <w:rPr>
            <w:webHidden/>
          </w:rPr>
          <w:t>185</w:t>
        </w:r>
        <w:r w:rsidR="002745A8" w:rsidRPr="00D9348B">
          <w:rPr>
            <w:webHidden/>
          </w:rPr>
          <w:fldChar w:fldCharType="end"/>
        </w:r>
      </w:hyperlink>
    </w:p>
    <w:p w14:paraId="02E43222" w14:textId="1C2C92F4" w:rsidR="002745A8" w:rsidRPr="00D9348B" w:rsidRDefault="00DA6C03">
      <w:pPr>
        <w:pStyle w:val="TableofFigures"/>
        <w:rPr>
          <w:rFonts w:cs="Times New Roman"/>
          <w:sz w:val="22"/>
        </w:rPr>
      </w:pPr>
      <w:hyperlink w:anchor="_Toc36224552" w:history="1">
        <w:r w:rsidR="002745A8" w:rsidRPr="00D9348B">
          <w:rPr>
            <w:rStyle w:val="Hyperlink"/>
          </w:rPr>
          <w:t>Table 5.2.5</w:t>
        </w:r>
        <w:r w:rsidR="002745A8" w:rsidRPr="00D9348B">
          <w:rPr>
            <w:rFonts w:cs="Times New Roman"/>
            <w:sz w:val="22"/>
          </w:rPr>
          <w:tab/>
        </w:r>
        <w:r w:rsidR="002745A8" w:rsidRPr="00D9348B">
          <w:rPr>
            <w:rStyle w:val="Hyperlink"/>
          </w:rPr>
          <w:t>Comparison of the IPCC (2006) default emission factor and country-specific implied emission factors (IEFs) for methane (CH</w:t>
        </w:r>
        <w:r w:rsidR="002745A8" w:rsidRPr="00D9348B">
          <w:rPr>
            <w:rStyle w:val="Hyperlink"/>
            <w:vertAlign w:val="subscript"/>
          </w:rPr>
          <w:t>4</w:t>
        </w:r>
        <w:r w:rsidR="002745A8" w:rsidRPr="00D9348B">
          <w:rPr>
            <w:rStyle w:val="Hyperlink"/>
          </w:rPr>
          <w:t>) from enteric fermentation for dairy cattle, non</w:t>
        </w:r>
        <w:r w:rsidR="002745A8" w:rsidRPr="00D9348B">
          <w:rPr>
            <w:rStyle w:val="Hyperlink"/>
          </w:rPr>
          <w:noBreakHyphen/>
          <w:t>dairy cattle and sheep</w:t>
        </w:r>
        <w:r w:rsidR="002745A8" w:rsidRPr="00D9348B">
          <w:rPr>
            <w:webHidden/>
          </w:rPr>
          <w:tab/>
        </w:r>
        <w:r w:rsidR="002745A8" w:rsidRPr="00D9348B">
          <w:rPr>
            <w:webHidden/>
          </w:rPr>
          <w:fldChar w:fldCharType="begin"/>
        </w:r>
        <w:r w:rsidR="002745A8" w:rsidRPr="00D9348B">
          <w:rPr>
            <w:webHidden/>
          </w:rPr>
          <w:instrText xml:space="preserve"> PAGEREF _Toc36224552 \h </w:instrText>
        </w:r>
        <w:r w:rsidR="002745A8" w:rsidRPr="00D9348B">
          <w:rPr>
            <w:webHidden/>
          </w:rPr>
        </w:r>
        <w:r w:rsidR="002745A8" w:rsidRPr="00D9348B">
          <w:rPr>
            <w:webHidden/>
          </w:rPr>
          <w:fldChar w:fldCharType="separate"/>
        </w:r>
        <w:r w:rsidR="00950F0A">
          <w:rPr>
            <w:webHidden/>
          </w:rPr>
          <w:t>186</w:t>
        </w:r>
        <w:r w:rsidR="002745A8" w:rsidRPr="00D9348B">
          <w:rPr>
            <w:webHidden/>
          </w:rPr>
          <w:fldChar w:fldCharType="end"/>
        </w:r>
      </w:hyperlink>
    </w:p>
    <w:p w14:paraId="076401F8" w14:textId="187D8E55" w:rsidR="002745A8" w:rsidRPr="00D9348B" w:rsidRDefault="00DA6C03">
      <w:pPr>
        <w:pStyle w:val="TableofFigures"/>
        <w:rPr>
          <w:rFonts w:cs="Times New Roman"/>
          <w:sz w:val="22"/>
        </w:rPr>
      </w:pPr>
      <w:hyperlink w:anchor="_Toc36224553" w:history="1">
        <w:r w:rsidR="002745A8" w:rsidRPr="00D9348B">
          <w:rPr>
            <w:rStyle w:val="Hyperlink"/>
          </w:rPr>
          <w:t xml:space="preserve">Table 5.2.6 </w:t>
        </w:r>
        <w:r w:rsidR="002745A8" w:rsidRPr="00D9348B">
          <w:rPr>
            <w:rFonts w:cs="Times New Roman"/>
            <w:sz w:val="22"/>
          </w:rPr>
          <w:tab/>
        </w:r>
        <w:r w:rsidR="002745A8" w:rsidRPr="00D9348B">
          <w:rPr>
            <w:rStyle w:val="Hyperlink"/>
          </w:rPr>
          <w:t>Comparison of current and previous methane emissions estimates before and after changes to energy efficiency for maintenance (k</w:t>
        </w:r>
        <w:r w:rsidR="002745A8" w:rsidRPr="00D9348B">
          <w:rPr>
            <w:rStyle w:val="Hyperlink"/>
            <w:vertAlign w:val="subscript"/>
          </w:rPr>
          <w:t>m</w:t>
        </w:r>
        <w:r w:rsidR="002745A8" w:rsidRPr="00D9348B">
          <w:rPr>
            <w:rStyle w:val="Hyperlink"/>
          </w:rPr>
          <w:t>) equation, for enteric fermentation</w:t>
        </w:r>
        <w:r w:rsidR="002745A8" w:rsidRPr="00D9348B">
          <w:rPr>
            <w:webHidden/>
          </w:rPr>
          <w:tab/>
        </w:r>
        <w:r w:rsidR="002745A8" w:rsidRPr="00D9348B">
          <w:rPr>
            <w:webHidden/>
          </w:rPr>
          <w:fldChar w:fldCharType="begin"/>
        </w:r>
        <w:r w:rsidR="002745A8" w:rsidRPr="00D9348B">
          <w:rPr>
            <w:webHidden/>
          </w:rPr>
          <w:instrText xml:space="preserve"> PAGEREF _Toc36224553 \h </w:instrText>
        </w:r>
        <w:r w:rsidR="002745A8" w:rsidRPr="00D9348B">
          <w:rPr>
            <w:webHidden/>
          </w:rPr>
        </w:r>
        <w:r w:rsidR="002745A8" w:rsidRPr="00D9348B">
          <w:rPr>
            <w:webHidden/>
          </w:rPr>
          <w:fldChar w:fldCharType="separate"/>
        </w:r>
        <w:r w:rsidR="00950F0A">
          <w:rPr>
            <w:webHidden/>
          </w:rPr>
          <w:t>187</w:t>
        </w:r>
        <w:r w:rsidR="002745A8" w:rsidRPr="00D9348B">
          <w:rPr>
            <w:webHidden/>
          </w:rPr>
          <w:fldChar w:fldCharType="end"/>
        </w:r>
      </w:hyperlink>
    </w:p>
    <w:p w14:paraId="22AC42BE" w14:textId="10AD7942" w:rsidR="002745A8" w:rsidRPr="00D9348B" w:rsidRDefault="00DA6C03">
      <w:pPr>
        <w:pStyle w:val="TableofFigures"/>
        <w:rPr>
          <w:rFonts w:cs="Times New Roman"/>
          <w:sz w:val="22"/>
        </w:rPr>
      </w:pPr>
      <w:hyperlink w:anchor="_Toc36224554" w:history="1">
        <w:r w:rsidR="002745A8" w:rsidRPr="00D9348B">
          <w:rPr>
            <w:rStyle w:val="Hyperlink"/>
          </w:rPr>
          <w:t xml:space="preserve">Table 5.2.7 </w:t>
        </w:r>
        <w:r w:rsidR="002745A8" w:rsidRPr="00D9348B">
          <w:rPr>
            <w:rFonts w:cs="Times New Roman"/>
            <w:sz w:val="22"/>
          </w:rPr>
          <w:tab/>
        </w:r>
        <w:r w:rsidR="002745A8" w:rsidRPr="00D9348B">
          <w:rPr>
            <w:rStyle w:val="Hyperlink"/>
          </w:rPr>
          <w:t>Effect of revised dairy goat population estimates on methane emissions estimates, 1990 to 2018, for enteric fermentation</w:t>
        </w:r>
        <w:r w:rsidR="002745A8" w:rsidRPr="00D9348B">
          <w:rPr>
            <w:webHidden/>
          </w:rPr>
          <w:tab/>
        </w:r>
        <w:r w:rsidR="002745A8" w:rsidRPr="00D9348B">
          <w:rPr>
            <w:webHidden/>
          </w:rPr>
          <w:fldChar w:fldCharType="begin"/>
        </w:r>
        <w:r w:rsidR="002745A8" w:rsidRPr="00D9348B">
          <w:rPr>
            <w:webHidden/>
          </w:rPr>
          <w:instrText xml:space="preserve"> PAGEREF _Toc36224554 \h </w:instrText>
        </w:r>
        <w:r w:rsidR="002745A8" w:rsidRPr="00D9348B">
          <w:rPr>
            <w:webHidden/>
          </w:rPr>
        </w:r>
        <w:r w:rsidR="002745A8" w:rsidRPr="00D9348B">
          <w:rPr>
            <w:webHidden/>
          </w:rPr>
          <w:fldChar w:fldCharType="separate"/>
        </w:r>
        <w:r w:rsidR="00950F0A">
          <w:rPr>
            <w:webHidden/>
          </w:rPr>
          <w:t>188</w:t>
        </w:r>
        <w:r w:rsidR="002745A8" w:rsidRPr="00D9348B">
          <w:rPr>
            <w:webHidden/>
          </w:rPr>
          <w:fldChar w:fldCharType="end"/>
        </w:r>
      </w:hyperlink>
    </w:p>
    <w:p w14:paraId="45892D9C" w14:textId="0EC28A86" w:rsidR="002745A8" w:rsidRPr="00D9348B" w:rsidRDefault="00DA6C03">
      <w:pPr>
        <w:pStyle w:val="TableofFigures"/>
        <w:rPr>
          <w:rFonts w:cs="Times New Roman"/>
          <w:sz w:val="22"/>
        </w:rPr>
      </w:pPr>
      <w:hyperlink w:anchor="_Toc36224555" w:history="1">
        <w:r w:rsidR="002745A8" w:rsidRPr="00D9348B">
          <w:rPr>
            <w:rStyle w:val="Hyperlink"/>
          </w:rPr>
          <w:t>Table 5.3.1</w:t>
        </w:r>
        <w:r w:rsidR="002745A8" w:rsidRPr="00D9348B">
          <w:rPr>
            <w:rFonts w:cs="Times New Roman"/>
            <w:sz w:val="22"/>
          </w:rPr>
          <w:tab/>
        </w:r>
        <w:r w:rsidR="002745A8" w:rsidRPr="00D9348B">
          <w:rPr>
            <w:rStyle w:val="Hyperlink"/>
          </w:rPr>
          <w:t>Trends and relative contribution of methane and nitrous oxide emissions under the manure management category between 1990 and 2018</w:t>
        </w:r>
        <w:r w:rsidR="002745A8" w:rsidRPr="00D9348B">
          <w:rPr>
            <w:webHidden/>
          </w:rPr>
          <w:tab/>
        </w:r>
        <w:r w:rsidR="002745A8" w:rsidRPr="00D9348B">
          <w:rPr>
            <w:webHidden/>
          </w:rPr>
          <w:fldChar w:fldCharType="begin"/>
        </w:r>
        <w:r w:rsidR="002745A8" w:rsidRPr="00D9348B">
          <w:rPr>
            <w:webHidden/>
          </w:rPr>
          <w:instrText xml:space="preserve"> PAGEREF _Toc36224555 \h </w:instrText>
        </w:r>
        <w:r w:rsidR="002745A8" w:rsidRPr="00D9348B">
          <w:rPr>
            <w:webHidden/>
          </w:rPr>
        </w:r>
        <w:r w:rsidR="002745A8" w:rsidRPr="00D9348B">
          <w:rPr>
            <w:webHidden/>
          </w:rPr>
          <w:fldChar w:fldCharType="separate"/>
        </w:r>
        <w:r w:rsidR="00950F0A">
          <w:rPr>
            <w:webHidden/>
          </w:rPr>
          <w:t>189</w:t>
        </w:r>
        <w:r w:rsidR="002745A8" w:rsidRPr="00D9348B">
          <w:rPr>
            <w:webHidden/>
          </w:rPr>
          <w:fldChar w:fldCharType="end"/>
        </w:r>
      </w:hyperlink>
    </w:p>
    <w:p w14:paraId="3AA785E9" w14:textId="4BE3660F" w:rsidR="002745A8" w:rsidRPr="00D9348B" w:rsidRDefault="00DA6C03">
      <w:pPr>
        <w:pStyle w:val="TableofFigures"/>
        <w:rPr>
          <w:rFonts w:cs="Times New Roman"/>
          <w:sz w:val="22"/>
        </w:rPr>
      </w:pPr>
      <w:hyperlink w:anchor="_Toc36224556" w:history="1">
        <w:r w:rsidR="002745A8" w:rsidRPr="00D9348B">
          <w:rPr>
            <w:rStyle w:val="Hyperlink"/>
          </w:rPr>
          <w:t>Table 5.3.2</w:t>
        </w:r>
        <w:r w:rsidR="002745A8" w:rsidRPr="00D9348B">
          <w:rPr>
            <w:rFonts w:cs="Times New Roman"/>
            <w:sz w:val="22"/>
          </w:rPr>
          <w:tab/>
        </w:r>
        <w:r w:rsidR="002745A8" w:rsidRPr="00D9348B">
          <w:rPr>
            <w:rStyle w:val="Hyperlink"/>
          </w:rPr>
          <w:t>Distribution of livestock waste across animal waste management systems in New Zealand</w:t>
        </w:r>
        <w:r w:rsidR="002745A8" w:rsidRPr="00D9348B">
          <w:rPr>
            <w:webHidden/>
          </w:rPr>
          <w:tab/>
        </w:r>
        <w:r w:rsidR="002745A8" w:rsidRPr="00D9348B">
          <w:rPr>
            <w:webHidden/>
          </w:rPr>
          <w:fldChar w:fldCharType="begin"/>
        </w:r>
        <w:r w:rsidR="002745A8" w:rsidRPr="00D9348B">
          <w:rPr>
            <w:webHidden/>
          </w:rPr>
          <w:instrText xml:space="preserve"> PAGEREF _Toc36224556 \h </w:instrText>
        </w:r>
        <w:r w:rsidR="002745A8" w:rsidRPr="00D9348B">
          <w:rPr>
            <w:webHidden/>
          </w:rPr>
        </w:r>
        <w:r w:rsidR="002745A8" w:rsidRPr="00D9348B">
          <w:rPr>
            <w:webHidden/>
          </w:rPr>
          <w:fldChar w:fldCharType="separate"/>
        </w:r>
        <w:r w:rsidR="00950F0A">
          <w:rPr>
            <w:webHidden/>
          </w:rPr>
          <w:t>190</w:t>
        </w:r>
        <w:r w:rsidR="002745A8" w:rsidRPr="00D9348B">
          <w:rPr>
            <w:webHidden/>
          </w:rPr>
          <w:fldChar w:fldCharType="end"/>
        </w:r>
      </w:hyperlink>
    </w:p>
    <w:p w14:paraId="47C921B2" w14:textId="7909E9C0" w:rsidR="002745A8" w:rsidRPr="00D9348B" w:rsidRDefault="00DA6C03">
      <w:pPr>
        <w:pStyle w:val="TableofFigures"/>
        <w:rPr>
          <w:rFonts w:cs="Times New Roman"/>
          <w:sz w:val="22"/>
        </w:rPr>
      </w:pPr>
      <w:hyperlink w:anchor="_Toc36224557" w:history="1">
        <w:r w:rsidR="002745A8" w:rsidRPr="00D9348B">
          <w:rPr>
            <w:rStyle w:val="Hyperlink"/>
          </w:rPr>
          <w:t>Table 5.3.3</w:t>
        </w:r>
        <w:r w:rsidR="002745A8" w:rsidRPr="00D9348B">
          <w:rPr>
            <w:rFonts w:cs="Times New Roman"/>
            <w:sz w:val="22"/>
          </w:rPr>
          <w:tab/>
        </w:r>
        <w:r w:rsidR="002745A8" w:rsidRPr="00D9348B">
          <w:rPr>
            <w:rStyle w:val="Hyperlink"/>
          </w:rPr>
          <w:t>Nitrogen excretion rates (N</w:t>
        </w:r>
        <w:r w:rsidR="002745A8" w:rsidRPr="00D9348B">
          <w:rPr>
            <w:rStyle w:val="Hyperlink"/>
            <w:vertAlign w:val="subscript"/>
          </w:rPr>
          <w:t>ex</w:t>
        </w:r>
        <w:r w:rsidR="002745A8" w:rsidRPr="00D9348B">
          <w:rPr>
            <w:rStyle w:val="Hyperlink"/>
          </w:rPr>
          <w:t>) for New Zealand’s major livestock categories from 1990 to 2018</w:t>
        </w:r>
        <w:r w:rsidR="002745A8" w:rsidRPr="00D9348B">
          <w:rPr>
            <w:webHidden/>
          </w:rPr>
          <w:tab/>
        </w:r>
        <w:r w:rsidR="002745A8" w:rsidRPr="00D9348B">
          <w:rPr>
            <w:webHidden/>
          </w:rPr>
          <w:fldChar w:fldCharType="begin"/>
        </w:r>
        <w:r w:rsidR="002745A8" w:rsidRPr="00D9348B">
          <w:rPr>
            <w:webHidden/>
          </w:rPr>
          <w:instrText xml:space="preserve"> PAGEREF _Toc36224557 \h </w:instrText>
        </w:r>
        <w:r w:rsidR="002745A8" w:rsidRPr="00D9348B">
          <w:rPr>
            <w:webHidden/>
          </w:rPr>
        </w:r>
        <w:r w:rsidR="002745A8" w:rsidRPr="00D9348B">
          <w:rPr>
            <w:webHidden/>
          </w:rPr>
          <w:fldChar w:fldCharType="separate"/>
        </w:r>
        <w:r w:rsidR="00950F0A">
          <w:rPr>
            <w:webHidden/>
          </w:rPr>
          <w:t>194</w:t>
        </w:r>
        <w:r w:rsidR="002745A8" w:rsidRPr="00D9348B">
          <w:rPr>
            <w:webHidden/>
          </w:rPr>
          <w:fldChar w:fldCharType="end"/>
        </w:r>
      </w:hyperlink>
    </w:p>
    <w:p w14:paraId="0A1E92A4" w14:textId="02FA7E0C" w:rsidR="002745A8" w:rsidRPr="00D9348B" w:rsidRDefault="00DA6C03">
      <w:pPr>
        <w:pStyle w:val="TableofFigures"/>
        <w:rPr>
          <w:rFonts w:cs="Times New Roman"/>
          <w:sz w:val="22"/>
        </w:rPr>
      </w:pPr>
      <w:hyperlink w:anchor="_Toc36224558" w:history="1">
        <w:r w:rsidR="002745A8" w:rsidRPr="00D9348B">
          <w:rPr>
            <w:rStyle w:val="Hyperlink"/>
          </w:rPr>
          <w:t>Table 5.3.4</w:t>
        </w:r>
        <w:r w:rsidR="002745A8" w:rsidRPr="00D9348B">
          <w:rPr>
            <w:rFonts w:cs="Times New Roman"/>
            <w:sz w:val="22"/>
          </w:rPr>
          <w:tab/>
        </w:r>
        <w:r w:rsidR="002745A8" w:rsidRPr="00D9348B">
          <w:rPr>
            <w:rStyle w:val="Hyperlink"/>
          </w:rPr>
          <w:t>Nitrogen excretion (N</w:t>
        </w:r>
        <w:r w:rsidR="002745A8" w:rsidRPr="00D9348B">
          <w:rPr>
            <w:rStyle w:val="Hyperlink"/>
            <w:vertAlign w:val="subscript"/>
          </w:rPr>
          <w:t>ex</w:t>
        </w:r>
        <w:r w:rsidR="002745A8" w:rsidRPr="00D9348B">
          <w:rPr>
            <w:rStyle w:val="Hyperlink"/>
          </w:rPr>
          <w:t>) rates for New Zealand’s swine and goats from 1990 to 2018</w:t>
        </w:r>
        <w:r w:rsidR="002745A8" w:rsidRPr="00D9348B">
          <w:rPr>
            <w:webHidden/>
          </w:rPr>
          <w:tab/>
        </w:r>
        <w:r w:rsidR="002745A8" w:rsidRPr="00D9348B">
          <w:rPr>
            <w:webHidden/>
          </w:rPr>
          <w:fldChar w:fldCharType="begin"/>
        </w:r>
        <w:r w:rsidR="002745A8" w:rsidRPr="00D9348B">
          <w:rPr>
            <w:webHidden/>
          </w:rPr>
          <w:instrText xml:space="preserve"> PAGEREF _Toc36224558 \h </w:instrText>
        </w:r>
        <w:r w:rsidR="002745A8" w:rsidRPr="00D9348B">
          <w:rPr>
            <w:webHidden/>
          </w:rPr>
        </w:r>
        <w:r w:rsidR="002745A8" w:rsidRPr="00D9348B">
          <w:rPr>
            <w:webHidden/>
          </w:rPr>
          <w:fldChar w:fldCharType="separate"/>
        </w:r>
        <w:r w:rsidR="00950F0A">
          <w:rPr>
            <w:webHidden/>
          </w:rPr>
          <w:t>195</w:t>
        </w:r>
        <w:r w:rsidR="002745A8" w:rsidRPr="00D9348B">
          <w:rPr>
            <w:webHidden/>
          </w:rPr>
          <w:fldChar w:fldCharType="end"/>
        </w:r>
      </w:hyperlink>
    </w:p>
    <w:p w14:paraId="51EC6369" w14:textId="74BB952D" w:rsidR="002745A8" w:rsidRPr="00D9348B" w:rsidRDefault="00DA6C03">
      <w:pPr>
        <w:pStyle w:val="TableofFigures"/>
        <w:rPr>
          <w:rFonts w:cs="Times New Roman"/>
          <w:sz w:val="22"/>
        </w:rPr>
      </w:pPr>
      <w:hyperlink w:anchor="_Toc36224559" w:history="1">
        <w:r w:rsidR="002745A8" w:rsidRPr="00D9348B">
          <w:rPr>
            <w:rStyle w:val="Hyperlink"/>
          </w:rPr>
          <w:t>Table 5.3.5</w:t>
        </w:r>
        <w:r w:rsidR="002745A8" w:rsidRPr="00D9348B">
          <w:rPr>
            <w:rFonts w:cs="Times New Roman"/>
            <w:sz w:val="22"/>
          </w:rPr>
          <w:tab/>
        </w:r>
        <w:r w:rsidR="002745A8" w:rsidRPr="00D9348B">
          <w:rPr>
            <w:rStyle w:val="Hyperlink"/>
          </w:rPr>
          <w:t>IPCC default values for the fraction of managed manure nitrogen that volatilises as ammonia and oxides of nitrogen (Frac</w:t>
        </w:r>
        <w:r w:rsidR="002745A8" w:rsidRPr="00D9348B">
          <w:rPr>
            <w:rStyle w:val="Hyperlink"/>
            <w:vertAlign w:val="subscript"/>
          </w:rPr>
          <w:t>GasMS</w:t>
        </w:r>
        <w:r w:rsidR="002745A8" w:rsidRPr="00D9348B">
          <w:rPr>
            <w:rStyle w:val="Hyperlink"/>
          </w:rPr>
          <w:t>/100) for livestock categories per manure management system in New Zealand</w:t>
        </w:r>
        <w:r w:rsidR="002745A8" w:rsidRPr="00D9348B">
          <w:rPr>
            <w:webHidden/>
          </w:rPr>
          <w:tab/>
        </w:r>
        <w:r w:rsidR="002745A8" w:rsidRPr="00D9348B">
          <w:rPr>
            <w:webHidden/>
          </w:rPr>
          <w:fldChar w:fldCharType="begin"/>
        </w:r>
        <w:r w:rsidR="002745A8" w:rsidRPr="00D9348B">
          <w:rPr>
            <w:webHidden/>
          </w:rPr>
          <w:instrText xml:space="preserve"> PAGEREF _Toc36224559 \h </w:instrText>
        </w:r>
        <w:r w:rsidR="002745A8" w:rsidRPr="00D9348B">
          <w:rPr>
            <w:webHidden/>
          </w:rPr>
        </w:r>
        <w:r w:rsidR="002745A8" w:rsidRPr="00D9348B">
          <w:rPr>
            <w:webHidden/>
          </w:rPr>
          <w:fldChar w:fldCharType="separate"/>
        </w:r>
        <w:r w:rsidR="00950F0A">
          <w:rPr>
            <w:webHidden/>
          </w:rPr>
          <w:t>197</w:t>
        </w:r>
        <w:r w:rsidR="002745A8" w:rsidRPr="00D9348B">
          <w:rPr>
            <w:webHidden/>
          </w:rPr>
          <w:fldChar w:fldCharType="end"/>
        </w:r>
      </w:hyperlink>
    </w:p>
    <w:p w14:paraId="74AE9812" w14:textId="6EEE4109" w:rsidR="002745A8" w:rsidRPr="00D9348B" w:rsidRDefault="00DA6C03">
      <w:pPr>
        <w:pStyle w:val="TableofFigures"/>
        <w:rPr>
          <w:rFonts w:cs="Times New Roman"/>
          <w:sz w:val="22"/>
        </w:rPr>
      </w:pPr>
      <w:hyperlink w:anchor="_Toc36224560" w:history="1">
        <w:r w:rsidR="002745A8" w:rsidRPr="00D9348B">
          <w:rPr>
            <w:rStyle w:val="Hyperlink"/>
          </w:rPr>
          <w:t>Table 5.3.6</w:t>
        </w:r>
        <w:r w:rsidR="002745A8" w:rsidRPr="00D9348B">
          <w:rPr>
            <w:rFonts w:cs="Times New Roman"/>
            <w:sz w:val="22"/>
          </w:rPr>
          <w:tab/>
        </w:r>
        <w:r w:rsidR="002745A8" w:rsidRPr="00D9348B">
          <w:rPr>
            <w:rStyle w:val="Hyperlink"/>
          </w:rPr>
          <w:t>Comparison of IPCC (2006) table 10A-4 default emission factors and country-specific implied emission factors (IEFs) for methane from manure management</w:t>
        </w:r>
        <w:r w:rsidR="002745A8" w:rsidRPr="00D9348B">
          <w:rPr>
            <w:webHidden/>
          </w:rPr>
          <w:tab/>
        </w:r>
        <w:r w:rsidR="002745A8" w:rsidRPr="00D9348B">
          <w:rPr>
            <w:webHidden/>
          </w:rPr>
          <w:fldChar w:fldCharType="begin"/>
        </w:r>
        <w:r w:rsidR="002745A8" w:rsidRPr="00D9348B">
          <w:rPr>
            <w:webHidden/>
          </w:rPr>
          <w:instrText xml:space="preserve"> PAGEREF _Toc36224560 \h </w:instrText>
        </w:r>
        <w:r w:rsidR="002745A8" w:rsidRPr="00D9348B">
          <w:rPr>
            <w:webHidden/>
          </w:rPr>
        </w:r>
        <w:r w:rsidR="002745A8" w:rsidRPr="00D9348B">
          <w:rPr>
            <w:webHidden/>
          </w:rPr>
          <w:fldChar w:fldCharType="separate"/>
        </w:r>
        <w:r w:rsidR="00950F0A">
          <w:rPr>
            <w:webHidden/>
          </w:rPr>
          <w:t>199</w:t>
        </w:r>
        <w:r w:rsidR="002745A8" w:rsidRPr="00D9348B">
          <w:rPr>
            <w:webHidden/>
          </w:rPr>
          <w:fldChar w:fldCharType="end"/>
        </w:r>
      </w:hyperlink>
    </w:p>
    <w:p w14:paraId="690CDE14" w14:textId="50F505AC" w:rsidR="002745A8" w:rsidRPr="00D9348B" w:rsidRDefault="00DA6C03">
      <w:pPr>
        <w:pStyle w:val="TableofFigures"/>
        <w:rPr>
          <w:rFonts w:cs="Times New Roman"/>
          <w:sz w:val="22"/>
        </w:rPr>
      </w:pPr>
      <w:hyperlink w:anchor="_Toc36224561" w:history="1">
        <w:r w:rsidR="002745A8" w:rsidRPr="00D9348B">
          <w:rPr>
            <w:rStyle w:val="Hyperlink"/>
          </w:rPr>
          <w:t>Table 5.3.7</w:t>
        </w:r>
        <w:r w:rsidR="002745A8" w:rsidRPr="00D9348B">
          <w:rPr>
            <w:rFonts w:cs="Times New Roman"/>
            <w:sz w:val="22"/>
          </w:rPr>
          <w:tab/>
        </w:r>
        <w:r w:rsidR="002745A8" w:rsidRPr="00D9348B">
          <w:rPr>
            <w:rStyle w:val="Hyperlink"/>
          </w:rPr>
          <w:t>Comparison of current and previous emissions estimates before and after changes to the energy efficiency for maintenance (k</w:t>
        </w:r>
        <w:r w:rsidR="002745A8" w:rsidRPr="00D9348B">
          <w:rPr>
            <w:rStyle w:val="Hyperlink"/>
            <w:vertAlign w:val="subscript"/>
          </w:rPr>
          <w:t>m</w:t>
        </w:r>
        <w:r w:rsidR="002745A8" w:rsidRPr="00D9348B">
          <w:rPr>
            <w:rStyle w:val="Hyperlink"/>
          </w:rPr>
          <w:t>) equation</w:t>
        </w:r>
        <w:r w:rsidR="002745A8" w:rsidRPr="00D9348B">
          <w:rPr>
            <w:webHidden/>
          </w:rPr>
          <w:tab/>
        </w:r>
        <w:r w:rsidR="002745A8" w:rsidRPr="00D9348B">
          <w:rPr>
            <w:webHidden/>
          </w:rPr>
          <w:fldChar w:fldCharType="begin"/>
        </w:r>
        <w:r w:rsidR="002745A8" w:rsidRPr="00D9348B">
          <w:rPr>
            <w:webHidden/>
          </w:rPr>
          <w:instrText xml:space="preserve"> PAGEREF _Toc36224561 \h </w:instrText>
        </w:r>
        <w:r w:rsidR="002745A8" w:rsidRPr="00D9348B">
          <w:rPr>
            <w:webHidden/>
          </w:rPr>
        </w:r>
        <w:r w:rsidR="002745A8" w:rsidRPr="00D9348B">
          <w:rPr>
            <w:webHidden/>
          </w:rPr>
          <w:fldChar w:fldCharType="separate"/>
        </w:r>
        <w:r w:rsidR="00950F0A">
          <w:rPr>
            <w:webHidden/>
          </w:rPr>
          <w:t>200</w:t>
        </w:r>
        <w:r w:rsidR="002745A8" w:rsidRPr="00D9348B">
          <w:rPr>
            <w:webHidden/>
          </w:rPr>
          <w:fldChar w:fldCharType="end"/>
        </w:r>
      </w:hyperlink>
    </w:p>
    <w:p w14:paraId="2DB082B4" w14:textId="0417CBB4" w:rsidR="002745A8" w:rsidRPr="00D9348B" w:rsidRDefault="00DA6C03">
      <w:pPr>
        <w:pStyle w:val="TableofFigures"/>
        <w:rPr>
          <w:rFonts w:cs="Times New Roman"/>
          <w:sz w:val="22"/>
        </w:rPr>
      </w:pPr>
      <w:hyperlink w:anchor="_Toc36224562" w:history="1">
        <w:r w:rsidR="002745A8" w:rsidRPr="00D9348B">
          <w:rPr>
            <w:rStyle w:val="Hyperlink"/>
          </w:rPr>
          <w:t>Table 5.5.1</w:t>
        </w:r>
        <w:r w:rsidR="002745A8" w:rsidRPr="00D9348B">
          <w:rPr>
            <w:rFonts w:cs="Times New Roman"/>
            <w:sz w:val="22"/>
          </w:rPr>
          <w:tab/>
        </w:r>
        <w:r w:rsidR="002745A8" w:rsidRPr="00D9348B">
          <w:rPr>
            <w:rStyle w:val="Hyperlink"/>
          </w:rPr>
          <w:t>Trends and relative contribution of nitrous oxide emissions from Agricultural soils categories between 1990 and 2018</w:t>
        </w:r>
        <w:r w:rsidR="002745A8" w:rsidRPr="00D9348B">
          <w:rPr>
            <w:webHidden/>
          </w:rPr>
          <w:tab/>
        </w:r>
        <w:r w:rsidR="002745A8" w:rsidRPr="00D9348B">
          <w:rPr>
            <w:webHidden/>
          </w:rPr>
          <w:fldChar w:fldCharType="begin"/>
        </w:r>
        <w:r w:rsidR="002745A8" w:rsidRPr="00D9348B">
          <w:rPr>
            <w:webHidden/>
          </w:rPr>
          <w:instrText xml:space="preserve"> PAGEREF _Toc36224562 \h </w:instrText>
        </w:r>
        <w:r w:rsidR="002745A8" w:rsidRPr="00D9348B">
          <w:rPr>
            <w:webHidden/>
          </w:rPr>
        </w:r>
        <w:r w:rsidR="002745A8" w:rsidRPr="00D9348B">
          <w:rPr>
            <w:webHidden/>
          </w:rPr>
          <w:fldChar w:fldCharType="separate"/>
        </w:r>
        <w:r w:rsidR="00950F0A">
          <w:rPr>
            <w:webHidden/>
          </w:rPr>
          <w:t>202</w:t>
        </w:r>
        <w:r w:rsidR="002745A8" w:rsidRPr="00D9348B">
          <w:rPr>
            <w:webHidden/>
          </w:rPr>
          <w:fldChar w:fldCharType="end"/>
        </w:r>
      </w:hyperlink>
    </w:p>
    <w:p w14:paraId="6792FA45" w14:textId="656DFB6B" w:rsidR="002745A8" w:rsidRPr="00D9348B" w:rsidRDefault="00DA6C03">
      <w:pPr>
        <w:pStyle w:val="TableofFigures"/>
        <w:rPr>
          <w:rFonts w:cs="Times New Roman"/>
          <w:sz w:val="22"/>
        </w:rPr>
      </w:pPr>
      <w:hyperlink w:anchor="_Toc36224563" w:history="1">
        <w:r w:rsidR="002745A8" w:rsidRPr="00D9348B">
          <w:rPr>
            <w:rStyle w:val="Hyperlink"/>
          </w:rPr>
          <w:t>Table 5.5.2</w:t>
        </w:r>
        <w:r w:rsidR="002745A8" w:rsidRPr="00D9348B">
          <w:rPr>
            <w:rFonts w:cs="Times New Roman"/>
            <w:sz w:val="22"/>
          </w:rPr>
          <w:tab/>
        </w:r>
        <w:r w:rsidR="002745A8" w:rsidRPr="00D9348B">
          <w:rPr>
            <w:rStyle w:val="Hyperlink"/>
          </w:rPr>
          <w:t>Nitrous oxide (N</w:t>
        </w:r>
        <w:r w:rsidR="002745A8" w:rsidRPr="00D9348B">
          <w:rPr>
            <w:rStyle w:val="Hyperlink"/>
            <w:vertAlign w:val="subscript"/>
          </w:rPr>
          <w:t>2</w:t>
        </w:r>
        <w:r w:rsidR="002745A8" w:rsidRPr="00D9348B">
          <w:rPr>
            <w:rStyle w:val="Hyperlink"/>
          </w:rPr>
          <w:t>O) emission factors for Agricultural soils in New Zealand, excluding EF</w:t>
        </w:r>
        <w:r w:rsidR="002745A8" w:rsidRPr="00D9348B">
          <w:rPr>
            <w:rStyle w:val="Hyperlink"/>
            <w:vertAlign w:val="subscript"/>
          </w:rPr>
          <w:t>3,PRP</w:t>
        </w:r>
        <w:r w:rsidR="002745A8" w:rsidRPr="00D9348B">
          <w:rPr>
            <w:rStyle w:val="Hyperlink"/>
            <w:vertAlign w:val="subscript"/>
          </w:rPr>
          <w:noBreakHyphen/>
          <w:t xml:space="preserve"> URINE)</w:t>
        </w:r>
        <w:r w:rsidR="002745A8" w:rsidRPr="00D9348B">
          <w:rPr>
            <w:rStyle w:val="Hyperlink"/>
          </w:rPr>
          <w:t xml:space="preserve"> for cattle, sheep and deer</w:t>
        </w:r>
        <w:r w:rsidR="002745A8" w:rsidRPr="00D9348B">
          <w:rPr>
            <w:webHidden/>
          </w:rPr>
          <w:tab/>
        </w:r>
        <w:r w:rsidR="002745A8" w:rsidRPr="00D9348B">
          <w:rPr>
            <w:webHidden/>
          </w:rPr>
          <w:fldChar w:fldCharType="begin"/>
        </w:r>
        <w:r w:rsidR="002745A8" w:rsidRPr="00D9348B">
          <w:rPr>
            <w:webHidden/>
          </w:rPr>
          <w:instrText xml:space="preserve"> PAGEREF _Toc36224563 \h </w:instrText>
        </w:r>
        <w:r w:rsidR="002745A8" w:rsidRPr="00D9348B">
          <w:rPr>
            <w:webHidden/>
          </w:rPr>
        </w:r>
        <w:r w:rsidR="002745A8" w:rsidRPr="00D9348B">
          <w:rPr>
            <w:webHidden/>
          </w:rPr>
          <w:fldChar w:fldCharType="separate"/>
        </w:r>
        <w:r w:rsidR="00950F0A">
          <w:rPr>
            <w:webHidden/>
          </w:rPr>
          <w:t>204</w:t>
        </w:r>
        <w:r w:rsidR="002745A8" w:rsidRPr="00D9348B">
          <w:rPr>
            <w:webHidden/>
          </w:rPr>
          <w:fldChar w:fldCharType="end"/>
        </w:r>
      </w:hyperlink>
    </w:p>
    <w:p w14:paraId="0C9822D4" w14:textId="611E21E5" w:rsidR="002745A8" w:rsidRPr="00D9348B" w:rsidRDefault="00DA6C03">
      <w:pPr>
        <w:pStyle w:val="TableofFigures"/>
        <w:rPr>
          <w:rFonts w:cs="Times New Roman"/>
          <w:sz w:val="22"/>
        </w:rPr>
      </w:pPr>
      <w:hyperlink w:anchor="_Toc36224564" w:history="1">
        <w:r w:rsidR="002745A8" w:rsidRPr="00D9348B">
          <w:rPr>
            <w:rStyle w:val="Hyperlink"/>
          </w:rPr>
          <w:t>Table 5.5.3</w:t>
        </w:r>
        <w:r w:rsidR="002745A8" w:rsidRPr="00D9348B">
          <w:rPr>
            <w:rFonts w:cs="Times New Roman"/>
            <w:sz w:val="22"/>
          </w:rPr>
          <w:tab/>
        </w:r>
        <w:r w:rsidR="002745A8" w:rsidRPr="00D9348B">
          <w:rPr>
            <w:rStyle w:val="Hyperlink"/>
          </w:rPr>
          <w:t>Direct nitrous oxide (N</w:t>
        </w:r>
        <w:r w:rsidR="002745A8" w:rsidRPr="00D9348B">
          <w:rPr>
            <w:rStyle w:val="Hyperlink"/>
            <w:vertAlign w:val="subscript"/>
          </w:rPr>
          <w:t>2</w:t>
        </w:r>
        <w:r w:rsidR="002745A8" w:rsidRPr="00D9348B">
          <w:rPr>
            <w:rStyle w:val="Hyperlink"/>
          </w:rPr>
          <w:t>O) emission factors for urine deposited by cattle, sheep</w:t>
        </w:r>
        <w:r w:rsidR="00C73B65" w:rsidRPr="00D9348B">
          <w:rPr>
            <w:rStyle w:val="Hyperlink"/>
          </w:rPr>
          <w:t xml:space="preserve"> </w:t>
        </w:r>
        <w:r w:rsidR="002745A8" w:rsidRPr="00D9348B">
          <w:rPr>
            <w:rStyle w:val="Hyperlink"/>
          </w:rPr>
          <w:t>and</w:t>
        </w:r>
        <w:r w:rsidR="00C73B65" w:rsidRPr="00D9348B">
          <w:rPr>
            <w:rStyle w:val="Hyperlink"/>
          </w:rPr>
          <w:t> </w:t>
        </w:r>
        <w:r w:rsidR="002745A8" w:rsidRPr="00D9348B">
          <w:rPr>
            <w:rStyle w:val="Hyperlink"/>
          </w:rPr>
          <w:t>deer, by livestock type and slope, using values calculated by van der Weerden et al. (2019)</w:t>
        </w:r>
        <w:r w:rsidR="002745A8" w:rsidRPr="00D9348B">
          <w:rPr>
            <w:webHidden/>
          </w:rPr>
          <w:tab/>
        </w:r>
        <w:r w:rsidR="002745A8" w:rsidRPr="00D9348B">
          <w:rPr>
            <w:webHidden/>
          </w:rPr>
          <w:fldChar w:fldCharType="begin"/>
        </w:r>
        <w:r w:rsidR="002745A8" w:rsidRPr="00D9348B">
          <w:rPr>
            <w:webHidden/>
          </w:rPr>
          <w:instrText xml:space="preserve"> PAGEREF _Toc36224564 \h </w:instrText>
        </w:r>
        <w:r w:rsidR="002745A8" w:rsidRPr="00D9348B">
          <w:rPr>
            <w:webHidden/>
          </w:rPr>
        </w:r>
        <w:r w:rsidR="002745A8" w:rsidRPr="00D9348B">
          <w:rPr>
            <w:webHidden/>
          </w:rPr>
          <w:fldChar w:fldCharType="separate"/>
        </w:r>
        <w:r w:rsidR="00950F0A">
          <w:rPr>
            <w:webHidden/>
          </w:rPr>
          <w:t>204</w:t>
        </w:r>
        <w:r w:rsidR="002745A8" w:rsidRPr="00D9348B">
          <w:rPr>
            <w:webHidden/>
          </w:rPr>
          <w:fldChar w:fldCharType="end"/>
        </w:r>
      </w:hyperlink>
    </w:p>
    <w:p w14:paraId="437CD8DC" w14:textId="692B19BF" w:rsidR="002745A8" w:rsidRPr="00D9348B" w:rsidRDefault="00DA6C03">
      <w:pPr>
        <w:pStyle w:val="TableofFigures"/>
        <w:rPr>
          <w:rFonts w:cs="Times New Roman"/>
          <w:sz w:val="22"/>
        </w:rPr>
      </w:pPr>
      <w:hyperlink w:anchor="_Toc36224565" w:history="1">
        <w:r w:rsidR="002745A8" w:rsidRPr="00D9348B">
          <w:rPr>
            <w:rStyle w:val="Hyperlink"/>
          </w:rPr>
          <w:t>Table 5.5.4</w:t>
        </w:r>
        <w:r w:rsidR="002745A8" w:rsidRPr="00D9348B">
          <w:rPr>
            <w:rFonts w:cs="Times New Roman"/>
            <w:sz w:val="22"/>
          </w:rPr>
          <w:tab/>
        </w:r>
        <w:r w:rsidR="002745A8" w:rsidRPr="00D9348B">
          <w:rPr>
            <w:rStyle w:val="Hyperlink"/>
          </w:rPr>
          <w:t>Parameters for indirect nitrous oxide (N</w:t>
        </w:r>
        <w:r w:rsidR="002745A8" w:rsidRPr="00D9348B">
          <w:rPr>
            <w:rStyle w:val="Hyperlink"/>
            <w:vertAlign w:val="subscript"/>
          </w:rPr>
          <w:t>2</w:t>
        </w:r>
        <w:r w:rsidR="002745A8" w:rsidRPr="00D9348B">
          <w:rPr>
            <w:rStyle w:val="Hyperlink"/>
          </w:rPr>
          <w:t>O) emissions from agricultural soils in New Zealand</w:t>
        </w:r>
        <w:r w:rsidR="002745A8" w:rsidRPr="00D9348B">
          <w:rPr>
            <w:webHidden/>
          </w:rPr>
          <w:tab/>
        </w:r>
        <w:r w:rsidR="002745A8" w:rsidRPr="00D9348B">
          <w:rPr>
            <w:webHidden/>
          </w:rPr>
          <w:fldChar w:fldCharType="begin"/>
        </w:r>
        <w:r w:rsidR="002745A8" w:rsidRPr="00D9348B">
          <w:rPr>
            <w:webHidden/>
          </w:rPr>
          <w:instrText xml:space="preserve"> PAGEREF _Toc36224565 \h </w:instrText>
        </w:r>
        <w:r w:rsidR="002745A8" w:rsidRPr="00D9348B">
          <w:rPr>
            <w:webHidden/>
          </w:rPr>
        </w:r>
        <w:r w:rsidR="002745A8" w:rsidRPr="00D9348B">
          <w:rPr>
            <w:webHidden/>
          </w:rPr>
          <w:fldChar w:fldCharType="separate"/>
        </w:r>
        <w:r w:rsidR="00950F0A">
          <w:rPr>
            <w:webHidden/>
          </w:rPr>
          <w:t>204</w:t>
        </w:r>
        <w:r w:rsidR="002745A8" w:rsidRPr="00D9348B">
          <w:rPr>
            <w:webHidden/>
          </w:rPr>
          <w:fldChar w:fldCharType="end"/>
        </w:r>
      </w:hyperlink>
    </w:p>
    <w:p w14:paraId="27985274" w14:textId="5567A644" w:rsidR="002745A8" w:rsidRPr="00D9348B" w:rsidRDefault="00DA6C03">
      <w:pPr>
        <w:pStyle w:val="TableofFigures"/>
        <w:rPr>
          <w:rFonts w:cs="Times New Roman"/>
          <w:sz w:val="22"/>
        </w:rPr>
      </w:pPr>
      <w:hyperlink w:anchor="_Toc36224566" w:history="1">
        <w:r w:rsidR="002745A8" w:rsidRPr="00D9348B">
          <w:rPr>
            <w:rStyle w:val="Hyperlink"/>
          </w:rPr>
          <w:t>Table 5.5.5</w:t>
        </w:r>
        <w:r w:rsidR="002745A8" w:rsidRPr="00D9348B">
          <w:rPr>
            <w:rFonts w:cs="Times New Roman"/>
            <w:sz w:val="22"/>
          </w:rPr>
          <w:tab/>
        </w:r>
        <w:r w:rsidR="002745A8" w:rsidRPr="00D9348B">
          <w:rPr>
            <w:rStyle w:val="Hyperlink"/>
          </w:rPr>
          <w:t>Emission factors and parameter values for use of mitigation technologies</w:t>
        </w:r>
        <w:r w:rsidR="002745A8" w:rsidRPr="00D9348B">
          <w:rPr>
            <w:webHidden/>
          </w:rPr>
          <w:tab/>
        </w:r>
        <w:r w:rsidR="002745A8" w:rsidRPr="00D9348B">
          <w:rPr>
            <w:webHidden/>
          </w:rPr>
          <w:fldChar w:fldCharType="begin"/>
        </w:r>
        <w:r w:rsidR="002745A8" w:rsidRPr="00D9348B">
          <w:rPr>
            <w:webHidden/>
          </w:rPr>
          <w:instrText xml:space="preserve"> PAGEREF _Toc36224566 \h </w:instrText>
        </w:r>
        <w:r w:rsidR="002745A8" w:rsidRPr="00D9348B">
          <w:rPr>
            <w:webHidden/>
          </w:rPr>
        </w:r>
        <w:r w:rsidR="002745A8" w:rsidRPr="00D9348B">
          <w:rPr>
            <w:webHidden/>
          </w:rPr>
          <w:fldChar w:fldCharType="separate"/>
        </w:r>
        <w:r w:rsidR="00950F0A">
          <w:rPr>
            <w:webHidden/>
          </w:rPr>
          <w:t>205</w:t>
        </w:r>
        <w:r w:rsidR="002745A8" w:rsidRPr="00D9348B">
          <w:rPr>
            <w:webHidden/>
          </w:rPr>
          <w:fldChar w:fldCharType="end"/>
        </w:r>
      </w:hyperlink>
    </w:p>
    <w:p w14:paraId="19A00083" w14:textId="032A0F33" w:rsidR="002745A8" w:rsidRPr="00D9348B" w:rsidRDefault="00DA6C03">
      <w:pPr>
        <w:pStyle w:val="TableofFigures"/>
        <w:rPr>
          <w:rFonts w:cs="Times New Roman"/>
          <w:sz w:val="22"/>
        </w:rPr>
      </w:pPr>
      <w:hyperlink w:anchor="_Toc36224567" w:history="1">
        <w:r w:rsidR="002745A8" w:rsidRPr="00D9348B">
          <w:rPr>
            <w:rStyle w:val="Hyperlink"/>
          </w:rPr>
          <w:t>Table 5.5.6</w:t>
        </w:r>
        <w:r w:rsidR="002745A8" w:rsidRPr="00D9348B">
          <w:rPr>
            <w:rFonts w:cs="Times New Roman"/>
            <w:sz w:val="22"/>
          </w:rPr>
          <w:tab/>
        </w:r>
        <w:r w:rsidR="002745A8" w:rsidRPr="00D9348B">
          <w:rPr>
            <w:rStyle w:val="Hyperlink"/>
          </w:rPr>
          <w:t>Number of replicate-level EF</w:t>
        </w:r>
        <w:r w:rsidR="002745A8" w:rsidRPr="00D9348B">
          <w:rPr>
            <w:rStyle w:val="Hyperlink"/>
            <w:vertAlign w:val="subscript"/>
          </w:rPr>
          <w:t>3</w:t>
        </w:r>
        <w:r w:rsidR="002745A8" w:rsidRPr="00D9348B">
          <w:rPr>
            <w:rStyle w:val="Hyperlink"/>
          </w:rPr>
          <w:t xml:space="preserve"> values collated for van der Weerden et al. (2019) analysis, for each nitrogen source and topography (number of individual trials shown in brackets)</w:t>
        </w:r>
        <w:r w:rsidR="002745A8" w:rsidRPr="00D9348B">
          <w:rPr>
            <w:webHidden/>
          </w:rPr>
          <w:tab/>
        </w:r>
        <w:r w:rsidR="002745A8" w:rsidRPr="00D9348B">
          <w:rPr>
            <w:webHidden/>
          </w:rPr>
          <w:fldChar w:fldCharType="begin"/>
        </w:r>
        <w:r w:rsidR="002745A8" w:rsidRPr="00D9348B">
          <w:rPr>
            <w:webHidden/>
          </w:rPr>
          <w:instrText xml:space="preserve"> PAGEREF _Toc36224567 \h </w:instrText>
        </w:r>
        <w:r w:rsidR="002745A8" w:rsidRPr="00D9348B">
          <w:rPr>
            <w:webHidden/>
          </w:rPr>
        </w:r>
        <w:r w:rsidR="002745A8" w:rsidRPr="00D9348B">
          <w:rPr>
            <w:webHidden/>
          </w:rPr>
          <w:fldChar w:fldCharType="separate"/>
        </w:r>
        <w:r w:rsidR="00950F0A">
          <w:rPr>
            <w:webHidden/>
          </w:rPr>
          <w:t>211</w:t>
        </w:r>
        <w:r w:rsidR="002745A8" w:rsidRPr="00D9348B">
          <w:rPr>
            <w:webHidden/>
          </w:rPr>
          <w:fldChar w:fldCharType="end"/>
        </w:r>
      </w:hyperlink>
    </w:p>
    <w:p w14:paraId="2A40694C" w14:textId="6B26268A" w:rsidR="002745A8" w:rsidRPr="00D9348B" w:rsidRDefault="00DA6C03">
      <w:pPr>
        <w:pStyle w:val="TableofFigures"/>
        <w:rPr>
          <w:rFonts w:cs="Times New Roman"/>
          <w:sz w:val="22"/>
        </w:rPr>
      </w:pPr>
      <w:hyperlink w:anchor="_Toc36224568" w:history="1">
        <w:r w:rsidR="002745A8" w:rsidRPr="00D9348B">
          <w:rPr>
            <w:rStyle w:val="Hyperlink"/>
          </w:rPr>
          <w:t>Table 5.5.7</w:t>
        </w:r>
        <w:r w:rsidR="002745A8" w:rsidRPr="00D9348B">
          <w:rPr>
            <w:rFonts w:cs="Times New Roman"/>
            <w:sz w:val="22"/>
          </w:rPr>
          <w:tab/>
        </w:r>
        <w:r w:rsidR="002745A8" w:rsidRPr="00D9348B">
          <w:rPr>
            <w:rStyle w:val="Hyperlink"/>
          </w:rPr>
          <w:t>Number of replicate-level EF</w:t>
        </w:r>
        <w:r w:rsidR="002745A8" w:rsidRPr="00D9348B">
          <w:rPr>
            <w:rStyle w:val="Hyperlink"/>
            <w:vertAlign w:val="subscript"/>
          </w:rPr>
          <w:t>3</w:t>
        </w:r>
        <w:r w:rsidR="002745A8" w:rsidRPr="00D9348B">
          <w:rPr>
            <w:rStyle w:val="Hyperlink"/>
          </w:rPr>
          <w:t xml:space="preserve"> values collated for van der Weerden et al. (2019) analysis, for each nitrogen source, season that trial was undertaken, and topography</w:t>
        </w:r>
        <w:r w:rsidR="002745A8" w:rsidRPr="00D9348B">
          <w:rPr>
            <w:webHidden/>
          </w:rPr>
          <w:tab/>
        </w:r>
        <w:r w:rsidR="002745A8" w:rsidRPr="00D9348B">
          <w:rPr>
            <w:webHidden/>
          </w:rPr>
          <w:fldChar w:fldCharType="begin"/>
        </w:r>
        <w:r w:rsidR="002745A8" w:rsidRPr="00D9348B">
          <w:rPr>
            <w:webHidden/>
          </w:rPr>
          <w:instrText xml:space="preserve"> PAGEREF _Toc36224568 \h </w:instrText>
        </w:r>
        <w:r w:rsidR="002745A8" w:rsidRPr="00D9348B">
          <w:rPr>
            <w:webHidden/>
          </w:rPr>
        </w:r>
        <w:r w:rsidR="002745A8" w:rsidRPr="00D9348B">
          <w:rPr>
            <w:webHidden/>
          </w:rPr>
          <w:fldChar w:fldCharType="separate"/>
        </w:r>
        <w:r w:rsidR="00950F0A">
          <w:rPr>
            <w:webHidden/>
          </w:rPr>
          <w:t>211</w:t>
        </w:r>
        <w:r w:rsidR="002745A8" w:rsidRPr="00D9348B">
          <w:rPr>
            <w:webHidden/>
          </w:rPr>
          <w:fldChar w:fldCharType="end"/>
        </w:r>
      </w:hyperlink>
    </w:p>
    <w:p w14:paraId="04145BEF" w14:textId="71567176" w:rsidR="002745A8" w:rsidRPr="00D9348B" w:rsidRDefault="00DA6C03">
      <w:pPr>
        <w:pStyle w:val="TableofFigures"/>
        <w:rPr>
          <w:rFonts w:cs="Times New Roman"/>
          <w:sz w:val="22"/>
        </w:rPr>
      </w:pPr>
      <w:hyperlink w:anchor="_Toc36224569" w:history="1">
        <w:r w:rsidR="002745A8" w:rsidRPr="00D9348B">
          <w:rPr>
            <w:rStyle w:val="Hyperlink"/>
          </w:rPr>
          <w:t>Table 5.5.8</w:t>
        </w:r>
        <w:r w:rsidR="002745A8" w:rsidRPr="00D9348B">
          <w:rPr>
            <w:rFonts w:cs="Times New Roman"/>
            <w:sz w:val="22"/>
          </w:rPr>
          <w:tab/>
        </w:r>
        <w:r w:rsidR="002745A8" w:rsidRPr="00D9348B">
          <w:rPr>
            <w:rStyle w:val="Hyperlink"/>
          </w:rPr>
          <w:t>Trends and relative contribution of direct nitrous oxide emissions from urine and dung deposited by grazing animals per livestock category between 1990 and 2018</w:t>
        </w:r>
        <w:r w:rsidR="002745A8" w:rsidRPr="00D9348B">
          <w:rPr>
            <w:webHidden/>
          </w:rPr>
          <w:tab/>
        </w:r>
        <w:r w:rsidR="002745A8" w:rsidRPr="00D9348B">
          <w:rPr>
            <w:webHidden/>
          </w:rPr>
          <w:fldChar w:fldCharType="begin"/>
        </w:r>
        <w:r w:rsidR="002745A8" w:rsidRPr="00D9348B">
          <w:rPr>
            <w:webHidden/>
          </w:rPr>
          <w:instrText xml:space="preserve"> PAGEREF _Toc36224569 \h </w:instrText>
        </w:r>
        <w:r w:rsidR="002745A8" w:rsidRPr="00D9348B">
          <w:rPr>
            <w:webHidden/>
          </w:rPr>
        </w:r>
        <w:r w:rsidR="002745A8" w:rsidRPr="00D9348B">
          <w:rPr>
            <w:webHidden/>
          </w:rPr>
          <w:fldChar w:fldCharType="separate"/>
        </w:r>
        <w:r w:rsidR="00950F0A">
          <w:rPr>
            <w:webHidden/>
          </w:rPr>
          <w:t>213</w:t>
        </w:r>
        <w:r w:rsidR="002745A8" w:rsidRPr="00D9348B">
          <w:rPr>
            <w:webHidden/>
          </w:rPr>
          <w:fldChar w:fldCharType="end"/>
        </w:r>
      </w:hyperlink>
    </w:p>
    <w:p w14:paraId="1C1792B4" w14:textId="60377F35" w:rsidR="002745A8" w:rsidRPr="00D9348B" w:rsidRDefault="00DA6C03">
      <w:pPr>
        <w:pStyle w:val="TableofFigures"/>
        <w:rPr>
          <w:rFonts w:cs="Times New Roman"/>
          <w:sz w:val="22"/>
        </w:rPr>
      </w:pPr>
      <w:hyperlink w:anchor="_Toc36224570" w:history="1">
        <w:r w:rsidR="002745A8" w:rsidRPr="00D9348B">
          <w:rPr>
            <w:rStyle w:val="Hyperlink"/>
          </w:rPr>
          <w:t>Table 5.5.9</w:t>
        </w:r>
        <w:r w:rsidR="002745A8" w:rsidRPr="00D9348B">
          <w:rPr>
            <w:rFonts w:cs="Times New Roman"/>
            <w:sz w:val="22"/>
          </w:rPr>
          <w:tab/>
        </w:r>
        <w:r w:rsidR="002745A8" w:rsidRPr="00D9348B">
          <w:rPr>
            <w:rStyle w:val="Hyperlink"/>
          </w:rPr>
          <w:t>Mitigation impact of urease inhibitors on nitrous oxide emissions from volatilisation, from 2001 to 2018</w:t>
        </w:r>
        <w:r w:rsidR="002745A8" w:rsidRPr="00D9348B">
          <w:rPr>
            <w:webHidden/>
          </w:rPr>
          <w:tab/>
        </w:r>
        <w:r w:rsidR="002745A8" w:rsidRPr="00D9348B">
          <w:rPr>
            <w:webHidden/>
          </w:rPr>
          <w:fldChar w:fldCharType="begin"/>
        </w:r>
        <w:r w:rsidR="002745A8" w:rsidRPr="00D9348B">
          <w:rPr>
            <w:webHidden/>
          </w:rPr>
          <w:instrText xml:space="preserve"> PAGEREF _Toc36224570 \h </w:instrText>
        </w:r>
        <w:r w:rsidR="002745A8" w:rsidRPr="00D9348B">
          <w:rPr>
            <w:webHidden/>
          </w:rPr>
        </w:r>
        <w:r w:rsidR="002745A8" w:rsidRPr="00D9348B">
          <w:rPr>
            <w:webHidden/>
          </w:rPr>
          <w:fldChar w:fldCharType="separate"/>
        </w:r>
        <w:r w:rsidR="00950F0A">
          <w:rPr>
            <w:webHidden/>
          </w:rPr>
          <w:t>219</w:t>
        </w:r>
        <w:r w:rsidR="002745A8" w:rsidRPr="00D9348B">
          <w:rPr>
            <w:webHidden/>
          </w:rPr>
          <w:fldChar w:fldCharType="end"/>
        </w:r>
      </w:hyperlink>
    </w:p>
    <w:p w14:paraId="4F63C3AE" w14:textId="4D05106A" w:rsidR="002745A8" w:rsidRPr="00D9348B" w:rsidRDefault="00DA6C03">
      <w:pPr>
        <w:pStyle w:val="TableofFigures"/>
        <w:rPr>
          <w:rFonts w:cs="Times New Roman"/>
          <w:sz w:val="22"/>
        </w:rPr>
      </w:pPr>
      <w:hyperlink w:anchor="_Toc36224571" w:history="1">
        <w:r w:rsidR="002745A8" w:rsidRPr="00D9348B">
          <w:rPr>
            <w:rStyle w:val="Hyperlink"/>
          </w:rPr>
          <w:t>Table 5.5.10</w:t>
        </w:r>
        <w:r w:rsidR="002745A8" w:rsidRPr="00D9348B">
          <w:rPr>
            <w:rFonts w:cs="Times New Roman"/>
            <w:sz w:val="22"/>
          </w:rPr>
          <w:tab/>
        </w:r>
        <w:r w:rsidR="002745A8" w:rsidRPr="00D9348B">
          <w:rPr>
            <w:rStyle w:val="Hyperlink"/>
          </w:rPr>
          <w:t>Emission factors, parameters and mitigation for New Zealand’s DCD inhibitor calculations from 2007 to 2012</w:t>
        </w:r>
        <w:r w:rsidR="002745A8" w:rsidRPr="00D9348B">
          <w:rPr>
            <w:webHidden/>
          </w:rPr>
          <w:tab/>
        </w:r>
        <w:r w:rsidR="002745A8" w:rsidRPr="00D9348B">
          <w:rPr>
            <w:webHidden/>
          </w:rPr>
          <w:fldChar w:fldCharType="begin"/>
        </w:r>
        <w:r w:rsidR="002745A8" w:rsidRPr="00D9348B">
          <w:rPr>
            <w:webHidden/>
          </w:rPr>
          <w:instrText xml:space="preserve"> PAGEREF _Toc36224571 \h </w:instrText>
        </w:r>
        <w:r w:rsidR="002745A8" w:rsidRPr="00D9348B">
          <w:rPr>
            <w:webHidden/>
          </w:rPr>
        </w:r>
        <w:r w:rsidR="002745A8" w:rsidRPr="00D9348B">
          <w:rPr>
            <w:webHidden/>
          </w:rPr>
          <w:fldChar w:fldCharType="separate"/>
        </w:r>
        <w:r w:rsidR="00950F0A">
          <w:rPr>
            <w:webHidden/>
          </w:rPr>
          <w:t>221</w:t>
        </w:r>
        <w:r w:rsidR="002745A8" w:rsidRPr="00D9348B">
          <w:rPr>
            <w:webHidden/>
          </w:rPr>
          <w:fldChar w:fldCharType="end"/>
        </w:r>
      </w:hyperlink>
    </w:p>
    <w:p w14:paraId="4156BE35" w14:textId="19BB0C27" w:rsidR="002745A8" w:rsidRPr="00D9348B" w:rsidRDefault="00DA6C03">
      <w:pPr>
        <w:pStyle w:val="TableofFigures"/>
        <w:rPr>
          <w:rFonts w:cs="Times New Roman"/>
          <w:sz w:val="22"/>
        </w:rPr>
      </w:pPr>
      <w:hyperlink w:anchor="_Toc36224572" w:history="1">
        <w:r w:rsidR="002745A8" w:rsidRPr="00D9348B">
          <w:rPr>
            <w:rStyle w:val="Hyperlink"/>
          </w:rPr>
          <w:t>Table 5.5.11</w:t>
        </w:r>
        <w:r w:rsidR="002745A8" w:rsidRPr="00D9348B">
          <w:rPr>
            <w:rFonts w:cs="Times New Roman"/>
            <w:sz w:val="22"/>
          </w:rPr>
          <w:tab/>
        </w:r>
        <w:r w:rsidR="002745A8" w:rsidRPr="00D9348B">
          <w:rPr>
            <w:rStyle w:val="Hyperlink"/>
          </w:rPr>
          <w:t xml:space="preserve">New Zealand’s uncertainties in </w:t>
        </w:r>
        <w:r w:rsidR="002745A8" w:rsidRPr="00D9348B">
          <w:rPr>
            <w:rStyle w:val="Hyperlink"/>
            <w:spacing w:val="-2"/>
          </w:rPr>
          <w:t>nitrous oxide</w:t>
        </w:r>
        <w:r w:rsidR="002745A8" w:rsidRPr="00D9348B">
          <w:rPr>
            <w:rStyle w:val="Hyperlink"/>
          </w:rPr>
          <w:t xml:space="preserve"> (N</w:t>
        </w:r>
        <w:r w:rsidR="002745A8" w:rsidRPr="00D9348B">
          <w:rPr>
            <w:rStyle w:val="Hyperlink"/>
            <w:vertAlign w:val="subscript"/>
          </w:rPr>
          <w:t>2</w:t>
        </w:r>
        <w:r w:rsidR="002745A8" w:rsidRPr="00D9348B">
          <w:rPr>
            <w:rStyle w:val="Hyperlink"/>
          </w:rPr>
          <w:t>O) emissions from Agricultural soils for 1990, 2002, 2012 and 2016 estimated using Monte Carlo simulation (1990, 2002), the 95 per cent confidence interval (2012) and the analytical method (2018)</w:t>
        </w:r>
        <w:r w:rsidR="002745A8" w:rsidRPr="00D9348B">
          <w:rPr>
            <w:webHidden/>
          </w:rPr>
          <w:tab/>
        </w:r>
        <w:r w:rsidR="002745A8" w:rsidRPr="00D9348B">
          <w:rPr>
            <w:webHidden/>
          </w:rPr>
          <w:fldChar w:fldCharType="begin"/>
        </w:r>
        <w:r w:rsidR="002745A8" w:rsidRPr="00D9348B">
          <w:rPr>
            <w:webHidden/>
          </w:rPr>
          <w:instrText xml:space="preserve"> PAGEREF _Toc36224572 \h </w:instrText>
        </w:r>
        <w:r w:rsidR="002745A8" w:rsidRPr="00D9348B">
          <w:rPr>
            <w:webHidden/>
          </w:rPr>
        </w:r>
        <w:r w:rsidR="002745A8" w:rsidRPr="00D9348B">
          <w:rPr>
            <w:webHidden/>
          </w:rPr>
          <w:fldChar w:fldCharType="separate"/>
        </w:r>
        <w:r w:rsidR="00950F0A">
          <w:rPr>
            <w:webHidden/>
          </w:rPr>
          <w:t>222</w:t>
        </w:r>
        <w:r w:rsidR="002745A8" w:rsidRPr="00D9348B">
          <w:rPr>
            <w:webHidden/>
          </w:rPr>
          <w:fldChar w:fldCharType="end"/>
        </w:r>
      </w:hyperlink>
    </w:p>
    <w:p w14:paraId="37CBC27C" w14:textId="29945356" w:rsidR="002745A8" w:rsidRPr="00D9348B" w:rsidRDefault="00DA6C03">
      <w:pPr>
        <w:pStyle w:val="TableofFigures"/>
        <w:rPr>
          <w:rFonts w:cs="Times New Roman"/>
          <w:sz w:val="22"/>
        </w:rPr>
      </w:pPr>
      <w:hyperlink w:anchor="_Toc36224573" w:history="1">
        <w:r w:rsidR="002745A8" w:rsidRPr="00D9348B">
          <w:rPr>
            <w:rStyle w:val="Hyperlink"/>
          </w:rPr>
          <w:t>Table 5.5.12</w:t>
        </w:r>
        <w:r w:rsidR="002745A8" w:rsidRPr="00D9348B">
          <w:rPr>
            <w:rFonts w:cs="Times New Roman"/>
            <w:sz w:val="22"/>
          </w:rPr>
          <w:tab/>
        </w:r>
        <w:r w:rsidR="002745A8" w:rsidRPr="00D9348B">
          <w:rPr>
            <w:rStyle w:val="Hyperlink"/>
          </w:rPr>
          <w:t>Comparison of New Zealand’s implied emission factors (IEFs) for EF</w:t>
        </w:r>
        <w:r w:rsidR="002745A8" w:rsidRPr="00D9348B">
          <w:rPr>
            <w:rStyle w:val="Hyperlink"/>
            <w:vertAlign w:val="subscript"/>
          </w:rPr>
          <w:t>1</w:t>
        </w:r>
        <w:r w:rsidR="002745A8" w:rsidRPr="00D9348B">
          <w:rPr>
            <w:rStyle w:val="Hyperlink"/>
          </w:rPr>
          <w:t xml:space="preserve"> (synthetic nitrogen fertiliser) and EF</w:t>
        </w:r>
        <w:r w:rsidR="002745A8" w:rsidRPr="00D9348B">
          <w:rPr>
            <w:rStyle w:val="Hyperlink"/>
            <w:vertAlign w:val="subscript"/>
          </w:rPr>
          <w:t>3(PRP)</w:t>
        </w:r>
        <w:r w:rsidR="002745A8" w:rsidRPr="00D9348B">
          <w:rPr>
            <w:rStyle w:val="Hyperlink"/>
          </w:rPr>
          <w:t xml:space="preserve"> (pasture, range and paddock manure) with the IPCC default and the Australian-specific value</w:t>
        </w:r>
        <w:r w:rsidR="002745A8" w:rsidRPr="00D9348B">
          <w:rPr>
            <w:webHidden/>
          </w:rPr>
          <w:tab/>
        </w:r>
        <w:r w:rsidR="002745A8" w:rsidRPr="00D9348B">
          <w:rPr>
            <w:webHidden/>
          </w:rPr>
          <w:fldChar w:fldCharType="begin"/>
        </w:r>
        <w:r w:rsidR="002745A8" w:rsidRPr="00D9348B">
          <w:rPr>
            <w:webHidden/>
          </w:rPr>
          <w:instrText xml:space="preserve"> PAGEREF _Toc36224573 \h </w:instrText>
        </w:r>
        <w:r w:rsidR="002745A8" w:rsidRPr="00D9348B">
          <w:rPr>
            <w:webHidden/>
          </w:rPr>
        </w:r>
        <w:r w:rsidR="002745A8" w:rsidRPr="00D9348B">
          <w:rPr>
            <w:webHidden/>
          </w:rPr>
          <w:fldChar w:fldCharType="separate"/>
        </w:r>
        <w:r w:rsidR="00950F0A">
          <w:rPr>
            <w:webHidden/>
          </w:rPr>
          <w:t>223</w:t>
        </w:r>
        <w:r w:rsidR="002745A8" w:rsidRPr="00D9348B">
          <w:rPr>
            <w:webHidden/>
          </w:rPr>
          <w:fldChar w:fldCharType="end"/>
        </w:r>
      </w:hyperlink>
    </w:p>
    <w:p w14:paraId="1EF0D09D" w14:textId="09A50FBE" w:rsidR="002745A8" w:rsidRPr="00D9348B" w:rsidRDefault="00DA6C03">
      <w:pPr>
        <w:pStyle w:val="TableofFigures"/>
        <w:rPr>
          <w:rFonts w:cs="Times New Roman"/>
          <w:sz w:val="22"/>
        </w:rPr>
      </w:pPr>
      <w:hyperlink w:anchor="_Toc36224574" w:history="1">
        <w:r w:rsidR="002745A8" w:rsidRPr="00D9348B">
          <w:rPr>
            <w:rStyle w:val="Hyperlink"/>
          </w:rPr>
          <w:t>Table 5.5.13</w:t>
        </w:r>
        <w:r w:rsidR="002745A8" w:rsidRPr="00D9348B">
          <w:rPr>
            <w:rFonts w:cs="Times New Roman"/>
            <w:sz w:val="22"/>
          </w:rPr>
          <w:tab/>
        </w:r>
        <w:r w:rsidR="002745A8" w:rsidRPr="00D9348B">
          <w:rPr>
            <w:rStyle w:val="Hyperlink"/>
          </w:rPr>
          <w:t>Comparison of New Zealand’s country-specific factors for volatilisation (Frac</w:t>
        </w:r>
        <w:r w:rsidR="002745A8" w:rsidRPr="00D9348B">
          <w:rPr>
            <w:rStyle w:val="Hyperlink"/>
            <w:vertAlign w:val="subscript"/>
          </w:rPr>
          <w:t>GASF</w:t>
        </w:r>
        <w:r w:rsidR="002745A8" w:rsidRPr="00D9348B">
          <w:rPr>
            <w:rStyle w:val="Hyperlink"/>
          </w:rPr>
          <w:t>, Frac</w:t>
        </w:r>
        <w:r w:rsidR="002745A8" w:rsidRPr="00D9348B">
          <w:rPr>
            <w:rStyle w:val="Hyperlink"/>
            <w:vertAlign w:val="subscript"/>
          </w:rPr>
          <w:t>GASM</w:t>
        </w:r>
        <w:r w:rsidR="002745A8" w:rsidRPr="00D9348B">
          <w:rPr>
            <w:rStyle w:val="Hyperlink"/>
          </w:rPr>
          <w:t>) and leaching and runoff (Frac</w:t>
        </w:r>
        <w:r w:rsidR="002745A8" w:rsidRPr="00D9348B">
          <w:rPr>
            <w:rStyle w:val="Hyperlink"/>
            <w:vertAlign w:val="subscript"/>
          </w:rPr>
          <w:t>LEACH-(H)</w:t>
        </w:r>
        <w:r w:rsidR="002745A8" w:rsidRPr="00D9348B">
          <w:rPr>
            <w:rStyle w:val="Hyperlink"/>
          </w:rPr>
          <w:t>) with the IPCC default value and the Australian implied emission factor (IEF)</w:t>
        </w:r>
        <w:r w:rsidR="002745A8" w:rsidRPr="00D9348B">
          <w:rPr>
            <w:webHidden/>
          </w:rPr>
          <w:tab/>
        </w:r>
        <w:r w:rsidR="002745A8" w:rsidRPr="00D9348B">
          <w:rPr>
            <w:webHidden/>
          </w:rPr>
          <w:fldChar w:fldCharType="begin"/>
        </w:r>
        <w:r w:rsidR="002745A8" w:rsidRPr="00D9348B">
          <w:rPr>
            <w:webHidden/>
          </w:rPr>
          <w:instrText xml:space="preserve"> PAGEREF _Toc36224574 \h </w:instrText>
        </w:r>
        <w:r w:rsidR="002745A8" w:rsidRPr="00D9348B">
          <w:rPr>
            <w:webHidden/>
          </w:rPr>
        </w:r>
        <w:r w:rsidR="002745A8" w:rsidRPr="00D9348B">
          <w:rPr>
            <w:webHidden/>
          </w:rPr>
          <w:fldChar w:fldCharType="separate"/>
        </w:r>
        <w:r w:rsidR="00950F0A">
          <w:rPr>
            <w:webHidden/>
          </w:rPr>
          <w:t>223</w:t>
        </w:r>
        <w:r w:rsidR="002745A8" w:rsidRPr="00D9348B">
          <w:rPr>
            <w:webHidden/>
          </w:rPr>
          <w:fldChar w:fldCharType="end"/>
        </w:r>
      </w:hyperlink>
    </w:p>
    <w:p w14:paraId="177FC80B" w14:textId="2FD3CE34" w:rsidR="002745A8" w:rsidRPr="00D9348B" w:rsidRDefault="00DA6C03">
      <w:pPr>
        <w:pStyle w:val="TableofFigures"/>
        <w:rPr>
          <w:rFonts w:cs="Times New Roman"/>
          <w:sz w:val="22"/>
        </w:rPr>
      </w:pPr>
      <w:hyperlink w:anchor="_Toc36224575" w:history="1">
        <w:r w:rsidR="002745A8" w:rsidRPr="00D9348B">
          <w:rPr>
            <w:rStyle w:val="Hyperlink"/>
          </w:rPr>
          <w:t>Table 5.5.14</w:t>
        </w:r>
        <w:r w:rsidR="002745A8" w:rsidRPr="00D9348B">
          <w:rPr>
            <w:rFonts w:cs="Times New Roman"/>
            <w:sz w:val="22"/>
          </w:rPr>
          <w:tab/>
        </w:r>
        <w:r w:rsidR="002745A8" w:rsidRPr="00D9348B">
          <w:rPr>
            <w:rStyle w:val="Hyperlink"/>
          </w:rPr>
          <w:t>Comparison of current and previous emissions estimates before and after change to EF</w:t>
        </w:r>
        <w:r w:rsidR="002745A8" w:rsidRPr="00D9348B">
          <w:rPr>
            <w:rStyle w:val="Hyperlink"/>
            <w:vertAlign w:val="subscript"/>
          </w:rPr>
          <w:t>3,PRP</w:t>
        </w:r>
        <w:r w:rsidR="002745A8" w:rsidRPr="00D9348B">
          <w:rPr>
            <w:rStyle w:val="Hyperlink"/>
          </w:rPr>
          <w:t xml:space="preserve"> values for cattle, sheep and deer, and new methodology to allocate N</w:t>
        </w:r>
        <w:r w:rsidR="002745A8" w:rsidRPr="00D9348B">
          <w:rPr>
            <w:rStyle w:val="Hyperlink"/>
            <w:vertAlign w:val="subscript"/>
          </w:rPr>
          <w:t>ex</w:t>
        </w:r>
        <w:r w:rsidR="002745A8" w:rsidRPr="00D9348B">
          <w:rPr>
            <w:rStyle w:val="Hyperlink"/>
          </w:rPr>
          <w:t> to different hill slopes</w:t>
        </w:r>
        <w:r w:rsidR="002745A8" w:rsidRPr="00D9348B">
          <w:rPr>
            <w:webHidden/>
          </w:rPr>
          <w:tab/>
        </w:r>
        <w:r w:rsidR="002745A8" w:rsidRPr="00D9348B">
          <w:rPr>
            <w:webHidden/>
          </w:rPr>
          <w:fldChar w:fldCharType="begin"/>
        </w:r>
        <w:r w:rsidR="002745A8" w:rsidRPr="00D9348B">
          <w:rPr>
            <w:webHidden/>
          </w:rPr>
          <w:instrText xml:space="preserve"> PAGEREF _Toc36224575 \h </w:instrText>
        </w:r>
        <w:r w:rsidR="002745A8" w:rsidRPr="00D9348B">
          <w:rPr>
            <w:webHidden/>
          </w:rPr>
        </w:r>
        <w:r w:rsidR="002745A8" w:rsidRPr="00D9348B">
          <w:rPr>
            <w:webHidden/>
          </w:rPr>
          <w:fldChar w:fldCharType="separate"/>
        </w:r>
        <w:r w:rsidR="00950F0A">
          <w:rPr>
            <w:webHidden/>
          </w:rPr>
          <w:t>225</w:t>
        </w:r>
        <w:r w:rsidR="002745A8" w:rsidRPr="00D9348B">
          <w:rPr>
            <w:webHidden/>
          </w:rPr>
          <w:fldChar w:fldCharType="end"/>
        </w:r>
      </w:hyperlink>
    </w:p>
    <w:p w14:paraId="1C29F988" w14:textId="707B78C7" w:rsidR="002745A8" w:rsidRPr="00D9348B" w:rsidRDefault="00DA6C03">
      <w:pPr>
        <w:pStyle w:val="TableofFigures"/>
        <w:rPr>
          <w:rFonts w:cs="Times New Roman"/>
          <w:sz w:val="22"/>
        </w:rPr>
      </w:pPr>
      <w:hyperlink w:anchor="_Toc36224576" w:history="1">
        <w:r w:rsidR="002745A8" w:rsidRPr="00D9348B">
          <w:rPr>
            <w:rStyle w:val="Hyperlink"/>
          </w:rPr>
          <w:t>Table 5.5.15</w:t>
        </w:r>
        <w:r w:rsidR="002745A8" w:rsidRPr="00D9348B">
          <w:rPr>
            <w:rFonts w:cs="Times New Roman"/>
            <w:sz w:val="22"/>
          </w:rPr>
          <w:tab/>
        </w:r>
        <w:r w:rsidR="002745A8" w:rsidRPr="00D9348B">
          <w:rPr>
            <w:rStyle w:val="Hyperlink"/>
          </w:rPr>
          <w:t>Comparison of current and previous emissions estimates before and after change to estimated dairy goat population</w:t>
        </w:r>
        <w:r w:rsidR="002745A8" w:rsidRPr="00D9348B">
          <w:rPr>
            <w:webHidden/>
          </w:rPr>
          <w:tab/>
        </w:r>
        <w:r w:rsidR="002745A8" w:rsidRPr="00D9348B">
          <w:rPr>
            <w:webHidden/>
          </w:rPr>
          <w:fldChar w:fldCharType="begin"/>
        </w:r>
        <w:r w:rsidR="002745A8" w:rsidRPr="00D9348B">
          <w:rPr>
            <w:webHidden/>
          </w:rPr>
          <w:instrText xml:space="preserve"> PAGEREF _Toc36224576 \h </w:instrText>
        </w:r>
        <w:r w:rsidR="002745A8" w:rsidRPr="00D9348B">
          <w:rPr>
            <w:webHidden/>
          </w:rPr>
        </w:r>
        <w:r w:rsidR="002745A8" w:rsidRPr="00D9348B">
          <w:rPr>
            <w:webHidden/>
          </w:rPr>
          <w:fldChar w:fldCharType="separate"/>
        </w:r>
        <w:r w:rsidR="00950F0A">
          <w:rPr>
            <w:webHidden/>
          </w:rPr>
          <w:t>225</w:t>
        </w:r>
        <w:r w:rsidR="002745A8" w:rsidRPr="00D9348B">
          <w:rPr>
            <w:webHidden/>
          </w:rPr>
          <w:fldChar w:fldCharType="end"/>
        </w:r>
      </w:hyperlink>
    </w:p>
    <w:p w14:paraId="11569E57" w14:textId="7FCE68BD" w:rsidR="002745A8" w:rsidRPr="00D9348B" w:rsidRDefault="00DA6C03">
      <w:pPr>
        <w:pStyle w:val="TableofFigures"/>
        <w:rPr>
          <w:rFonts w:cs="Times New Roman"/>
          <w:sz w:val="22"/>
        </w:rPr>
      </w:pPr>
      <w:hyperlink w:anchor="_Toc36224577" w:history="1">
        <w:r w:rsidR="002745A8" w:rsidRPr="00D9348B">
          <w:rPr>
            <w:rStyle w:val="Hyperlink"/>
          </w:rPr>
          <w:t>Table 5.5.16</w:t>
        </w:r>
        <w:r w:rsidR="002745A8" w:rsidRPr="00D9348B">
          <w:rPr>
            <w:rFonts w:cs="Times New Roman"/>
            <w:sz w:val="22"/>
          </w:rPr>
          <w:tab/>
        </w:r>
        <w:r w:rsidR="002745A8" w:rsidRPr="00D9348B">
          <w:rPr>
            <w:rStyle w:val="Hyperlink"/>
          </w:rPr>
          <w:t>Comparison of current and previous emissions estimates before and after changes to energy efficiency for maintenance (k</w:t>
        </w:r>
        <w:r w:rsidR="002745A8" w:rsidRPr="00D9348B">
          <w:rPr>
            <w:rStyle w:val="Hyperlink"/>
            <w:vertAlign w:val="subscript"/>
          </w:rPr>
          <w:t>m</w:t>
        </w:r>
        <w:r w:rsidR="002745A8" w:rsidRPr="00D9348B">
          <w:rPr>
            <w:rStyle w:val="Hyperlink"/>
          </w:rPr>
          <w:t>) equation</w:t>
        </w:r>
        <w:r w:rsidR="002745A8" w:rsidRPr="00D9348B">
          <w:rPr>
            <w:webHidden/>
          </w:rPr>
          <w:tab/>
        </w:r>
        <w:r w:rsidR="002745A8" w:rsidRPr="00D9348B">
          <w:rPr>
            <w:webHidden/>
          </w:rPr>
          <w:fldChar w:fldCharType="begin"/>
        </w:r>
        <w:r w:rsidR="002745A8" w:rsidRPr="00D9348B">
          <w:rPr>
            <w:webHidden/>
          </w:rPr>
          <w:instrText xml:space="preserve"> PAGEREF _Toc36224577 \h </w:instrText>
        </w:r>
        <w:r w:rsidR="002745A8" w:rsidRPr="00D9348B">
          <w:rPr>
            <w:webHidden/>
          </w:rPr>
        </w:r>
        <w:r w:rsidR="002745A8" w:rsidRPr="00D9348B">
          <w:rPr>
            <w:webHidden/>
          </w:rPr>
          <w:fldChar w:fldCharType="separate"/>
        </w:r>
        <w:r w:rsidR="00950F0A">
          <w:rPr>
            <w:webHidden/>
          </w:rPr>
          <w:t>226</w:t>
        </w:r>
        <w:r w:rsidR="002745A8" w:rsidRPr="00D9348B">
          <w:rPr>
            <w:webHidden/>
          </w:rPr>
          <w:fldChar w:fldCharType="end"/>
        </w:r>
      </w:hyperlink>
    </w:p>
    <w:p w14:paraId="43053178" w14:textId="6747115A" w:rsidR="002745A8" w:rsidRPr="00D9348B" w:rsidRDefault="00DA6C03">
      <w:pPr>
        <w:pStyle w:val="TableofFigures"/>
        <w:rPr>
          <w:rFonts w:cs="Times New Roman"/>
          <w:sz w:val="22"/>
        </w:rPr>
      </w:pPr>
      <w:hyperlink w:anchor="_Toc36224578" w:history="1">
        <w:r w:rsidR="002745A8" w:rsidRPr="00D9348B">
          <w:rPr>
            <w:rStyle w:val="Hyperlink"/>
          </w:rPr>
          <w:t>Table 5.7.1</w:t>
        </w:r>
        <w:r w:rsidR="002745A8" w:rsidRPr="00D9348B">
          <w:rPr>
            <w:rFonts w:cs="Times New Roman"/>
            <w:sz w:val="22"/>
          </w:rPr>
          <w:tab/>
        </w:r>
        <w:r w:rsidR="002745A8" w:rsidRPr="00D9348B">
          <w:rPr>
            <w:rStyle w:val="Hyperlink"/>
          </w:rPr>
          <w:t>Emission ratios for agricultural residue burning</w:t>
        </w:r>
        <w:r w:rsidR="002745A8" w:rsidRPr="00D9348B">
          <w:rPr>
            <w:webHidden/>
          </w:rPr>
          <w:tab/>
        </w:r>
        <w:r w:rsidR="002745A8" w:rsidRPr="00D9348B">
          <w:rPr>
            <w:webHidden/>
          </w:rPr>
          <w:fldChar w:fldCharType="begin"/>
        </w:r>
        <w:r w:rsidR="002745A8" w:rsidRPr="00D9348B">
          <w:rPr>
            <w:webHidden/>
          </w:rPr>
          <w:instrText xml:space="preserve"> PAGEREF _Toc36224578 \h </w:instrText>
        </w:r>
        <w:r w:rsidR="002745A8" w:rsidRPr="00D9348B">
          <w:rPr>
            <w:webHidden/>
          </w:rPr>
        </w:r>
        <w:r w:rsidR="002745A8" w:rsidRPr="00D9348B">
          <w:rPr>
            <w:webHidden/>
          </w:rPr>
          <w:fldChar w:fldCharType="separate"/>
        </w:r>
        <w:r w:rsidR="00950F0A">
          <w:rPr>
            <w:webHidden/>
          </w:rPr>
          <w:t>227</w:t>
        </w:r>
        <w:r w:rsidR="002745A8" w:rsidRPr="00D9348B">
          <w:rPr>
            <w:webHidden/>
          </w:rPr>
          <w:fldChar w:fldCharType="end"/>
        </w:r>
      </w:hyperlink>
    </w:p>
    <w:p w14:paraId="39479579" w14:textId="1B679FE6" w:rsidR="002745A8" w:rsidRPr="00D9348B" w:rsidRDefault="00DA6C03">
      <w:pPr>
        <w:pStyle w:val="TableofFigures"/>
        <w:rPr>
          <w:rFonts w:cs="Times New Roman"/>
          <w:sz w:val="22"/>
        </w:rPr>
      </w:pPr>
      <w:hyperlink w:anchor="_Toc36224579" w:history="1">
        <w:r w:rsidR="002745A8" w:rsidRPr="00D9348B">
          <w:rPr>
            <w:rStyle w:val="Hyperlink"/>
          </w:rPr>
          <w:t xml:space="preserve">Table 5.7.2 </w:t>
        </w:r>
        <w:r w:rsidR="002745A8" w:rsidRPr="00D9348B">
          <w:rPr>
            <w:rFonts w:cs="Times New Roman"/>
            <w:sz w:val="22"/>
          </w:rPr>
          <w:tab/>
        </w:r>
        <w:r w:rsidR="002745A8" w:rsidRPr="00D9348B">
          <w:rPr>
            <w:rStyle w:val="Hyperlink"/>
          </w:rPr>
          <w:t>Values used to calculate New Zealand emissions from burning of agricultural residues</w:t>
        </w:r>
        <w:r w:rsidR="002745A8" w:rsidRPr="00D9348B">
          <w:rPr>
            <w:webHidden/>
          </w:rPr>
          <w:tab/>
        </w:r>
        <w:r w:rsidR="002745A8" w:rsidRPr="00D9348B">
          <w:rPr>
            <w:webHidden/>
          </w:rPr>
          <w:fldChar w:fldCharType="begin"/>
        </w:r>
        <w:r w:rsidR="002745A8" w:rsidRPr="00D9348B">
          <w:rPr>
            <w:webHidden/>
          </w:rPr>
          <w:instrText xml:space="preserve"> PAGEREF _Toc36224579 \h </w:instrText>
        </w:r>
        <w:r w:rsidR="002745A8" w:rsidRPr="00D9348B">
          <w:rPr>
            <w:webHidden/>
          </w:rPr>
        </w:r>
        <w:r w:rsidR="002745A8" w:rsidRPr="00D9348B">
          <w:rPr>
            <w:webHidden/>
          </w:rPr>
          <w:fldChar w:fldCharType="separate"/>
        </w:r>
        <w:r w:rsidR="00950F0A">
          <w:rPr>
            <w:webHidden/>
          </w:rPr>
          <w:t>228</w:t>
        </w:r>
        <w:r w:rsidR="002745A8" w:rsidRPr="00D9348B">
          <w:rPr>
            <w:webHidden/>
          </w:rPr>
          <w:fldChar w:fldCharType="end"/>
        </w:r>
      </w:hyperlink>
    </w:p>
    <w:p w14:paraId="0A3E045F" w14:textId="6A9DDBEE" w:rsidR="002745A8" w:rsidRPr="00D9348B" w:rsidRDefault="00DA6C03">
      <w:pPr>
        <w:pStyle w:val="TableofFigures"/>
        <w:rPr>
          <w:rFonts w:cs="Times New Roman"/>
          <w:sz w:val="22"/>
        </w:rPr>
      </w:pPr>
      <w:hyperlink w:anchor="_Toc36224580" w:history="1">
        <w:r w:rsidR="002745A8" w:rsidRPr="00D9348B">
          <w:rPr>
            <w:rStyle w:val="Hyperlink"/>
          </w:rPr>
          <w:t xml:space="preserve">Table 6.1.1 </w:t>
        </w:r>
        <w:r w:rsidR="002745A8" w:rsidRPr="00D9348B">
          <w:rPr>
            <w:rFonts w:cs="Times New Roman"/>
            <w:sz w:val="22"/>
          </w:rPr>
          <w:tab/>
        </w:r>
        <w:r w:rsidR="002745A8" w:rsidRPr="00D9348B">
          <w:rPr>
            <w:rStyle w:val="Hyperlink"/>
          </w:rPr>
          <w:t xml:space="preserve">New Zealand’s greenhouse gas net emissions for the LULUCF sector by </w:t>
        </w:r>
        <w:r w:rsidR="00766DDA">
          <w:rPr>
            <w:rStyle w:val="Hyperlink"/>
          </w:rPr>
          <w:t>land-use</w:t>
        </w:r>
        <w:r w:rsidR="002745A8" w:rsidRPr="00D9348B">
          <w:rPr>
            <w:rStyle w:val="Hyperlink"/>
          </w:rPr>
          <w:t xml:space="preserve"> category in 1990 and 2018</w:t>
        </w:r>
        <w:r w:rsidR="002745A8" w:rsidRPr="00D9348B">
          <w:rPr>
            <w:webHidden/>
          </w:rPr>
          <w:tab/>
        </w:r>
        <w:r w:rsidR="002745A8" w:rsidRPr="00D9348B">
          <w:rPr>
            <w:webHidden/>
          </w:rPr>
          <w:fldChar w:fldCharType="begin"/>
        </w:r>
        <w:r w:rsidR="002745A8" w:rsidRPr="00D9348B">
          <w:rPr>
            <w:webHidden/>
          </w:rPr>
          <w:instrText xml:space="preserve"> PAGEREF _Toc36224580 \h </w:instrText>
        </w:r>
        <w:r w:rsidR="002745A8" w:rsidRPr="00D9348B">
          <w:rPr>
            <w:webHidden/>
          </w:rPr>
        </w:r>
        <w:r w:rsidR="002745A8" w:rsidRPr="00D9348B">
          <w:rPr>
            <w:webHidden/>
          </w:rPr>
          <w:fldChar w:fldCharType="separate"/>
        </w:r>
        <w:r w:rsidR="00950F0A">
          <w:rPr>
            <w:webHidden/>
          </w:rPr>
          <w:t>241</w:t>
        </w:r>
        <w:r w:rsidR="002745A8" w:rsidRPr="00D9348B">
          <w:rPr>
            <w:webHidden/>
          </w:rPr>
          <w:fldChar w:fldCharType="end"/>
        </w:r>
      </w:hyperlink>
    </w:p>
    <w:p w14:paraId="083A79F2" w14:textId="3E75F406" w:rsidR="002745A8" w:rsidRPr="00D9348B" w:rsidRDefault="00DA6C03">
      <w:pPr>
        <w:pStyle w:val="TableofFigures"/>
        <w:rPr>
          <w:rFonts w:cs="Times New Roman"/>
          <w:sz w:val="22"/>
        </w:rPr>
      </w:pPr>
      <w:hyperlink w:anchor="_Toc36224581" w:history="1">
        <w:r w:rsidR="002745A8" w:rsidRPr="00D9348B">
          <w:rPr>
            <w:rStyle w:val="Hyperlink"/>
          </w:rPr>
          <w:t xml:space="preserve">Table 6.1.2 </w:t>
        </w:r>
        <w:r w:rsidR="002745A8" w:rsidRPr="00D9348B">
          <w:rPr>
            <w:rFonts w:cs="Times New Roman"/>
            <w:sz w:val="22"/>
          </w:rPr>
          <w:tab/>
        </w:r>
        <w:r w:rsidR="002745A8" w:rsidRPr="00D9348B">
          <w:rPr>
            <w:rStyle w:val="Hyperlink"/>
          </w:rPr>
          <w:t>Land use in New Zealand in 2018</w:t>
        </w:r>
        <w:r w:rsidR="002745A8" w:rsidRPr="00D9348B">
          <w:rPr>
            <w:webHidden/>
          </w:rPr>
          <w:tab/>
        </w:r>
        <w:r w:rsidR="002745A8" w:rsidRPr="00D9348B">
          <w:rPr>
            <w:webHidden/>
          </w:rPr>
          <w:fldChar w:fldCharType="begin"/>
        </w:r>
        <w:r w:rsidR="002745A8" w:rsidRPr="00D9348B">
          <w:rPr>
            <w:webHidden/>
          </w:rPr>
          <w:instrText xml:space="preserve"> PAGEREF _Toc36224581 \h </w:instrText>
        </w:r>
        <w:r w:rsidR="002745A8" w:rsidRPr="00D9348B">
          <w:rPr>
            <w:webHidden/>
          </w:rPr>
        </w:r>
        <w:r w:rsidR="002745A8" w:rsidRPr="00D9348B">
          <w:rPr>
            <w:webHidden/>
          </w:rPr>
          <w:fldChar w:fldCharType="separate"/>
        </w:r>
        <w:r w:rsidR="00950F0A">
          <w:rPr>
            <w:webHidden/>
          </w:rPr>
          <w:t>243</w:t>
        </w:r>
        <w:r w:rsidR="002745A8" w:rsidRPr="00D9348B">
          <w:rPr>
            <w:webHidden/>
          </w:rPr>
          <w:fldChar w:fldCharType="end"/>
        </w:r>
      </w:hyperlink>
    </w:p>
    <w:p w14:paraId="4664ECB0" w14:textId="570C3A2C" w:rsidR="002745A8" w:rsidRPr="00D9348B" w:rsidRDefault="00DA6C03">
      <w:pPr>
        <w:pStyle w:val="TableofFigures"/>
        <w:rPr>
          <w:rFonts w:cs="Times New Roman"/>
          <w:sz w:val="22"/>
        </w:rPr>
      </w:pPr>
      <w:hyperlink w:anchor="_Toc36224582" w:history="1">
        <w:r w:rsidR="002745A8" w:rsidRPr="00D9348B">
          <w:rPr>
            <w:rStyle w:val="Hyperlink"/>
          </w:rPr>
          <w:t>Table 6.1.3</w:t>
        </w:r>
        <w:r w:rsidR="002745A8" w:rsidRPr="00D9348B">
          <w:rPr>
            <w:rFonts w:cs="Times New Roman"/>
            <w:sz w:val="22"/>
          </w:rPr>
          <w:tab/>
        </w:r>
        <w:r w:rsidR="002745A8" w:rsidRPr="00D9348B">
          <w:rPr>
            <w:rStyle w:val="Hyperlink"/>
          </w:rPr>
          <w:t>New Zealand’s biomass carbon stock emission factors in land use before conversion</w:t>
        </w:r>
        <w:r w:rsidR="002745A8" w:rsidRPr="00D9348B">
          <w:rPr>
            <w:webHidden/>
          </w:rPr>
          <w:tab/>
        </w:r>
        <w:r w:rsidR="002745A8" w:rsidRPr="00D9348B">
          <w:rPr>
            <w:webHidden/>
          </w:rPr>
          <w:fldChar w:fldCharType="begin"/>
        </w:r>
        <w:r w:rsidR="002745A8" w:rsidRPr="00D9348B">
          <w:rPr>
            <w:webHidden/>
          </w:rPr>
          <w:instrText xml:space="preserve"> PAGEREF _Toc36224582 \h </w:instrText>
        </w:r>
        <w:r w:rsidR="002745A8" w:rsidRPr="00D9348B">
          <w:rPr>
            <w:webHidden/>
          </w:rPr>
        </w:r>
        <w:r w:rsidR="002745A8" w:rsidRPr="00D9348B">
          <w:rPr>
            <w:webHidden/>
          </w:rPr>
          <w:fldChar w:fldCharType="separate"/>
        </w:r>
        <w:r w:rsidR="00950F0A">
          <w:rPr>
            <w:webHidden/>
          </w:rPr>
          <w:t>245</w:t>
        </w:r>
        <w:r w:rsidR="002745A8" w:rsidRPr="00D9348B">
          <w:rPr>
            <w:webHidden/>
          </w:rPr>
          <w:fldChar w:fldCharType="end"/>
        </w:r>
      </w:hyperlink>
    </w:p>
    <w:p w14:paraId="28D9097C" w14:textId="2E4AC561" w:rsidR="002745A8" w:rsidRPr="00D9348B" w:rsidRDefault="00DA6C03">
      <w:pPr>
        <w:pStyle w:val="TableofFigures"/>
        <w:rPr>
          <w:rFonts w:cs="Times New Roman"/>
          <w:sz w:val="22"/>
        </w:rPr>
      </w:pPr>
      <w:hyperlink w:anchor="_Toc36224583" w:history="1">
        <w:r w:rsidR="002745A8" w:rsidRPr="00D9348B">
          <w:rPr>
            <w:rStyle w:val="Hyperlink"/>
          </w:rPr>
          <w:t>Table 6.1.4</w:t>
        </w:r>
        <w:r w:rsidR="002745A8" w:rsidRPr="00D9348B">
          <w:rPr>
            <w:rFonts w:cs="Times New Roman"/>
            <w:sz w:val="22"/>
          </w:rPr>
          <w:tab/>
        </w:r>
        <w:r w:rsidR="002745A8" w:rsidRPr="00D9348B">
          <w:rPr>
            <w:rStyle w:val="Hyperlink"/>
          </w:rPr>
          <w:t>New Zealand’s emission factors for annual growth in biomass carbon stock in land after conversion</w:t>
        </w:r>
        <w:r w:rsidR="002745A8" w:rsidRPr="00D9348B">
          <w:rPr>
            <w:webHidden/>
          </w:rPr>
          <w:tab/>
        </w:r>
        <w:r w:rsidR="002745A8" w:rsidRPr="00D9348B">
          <w:rPr>
            <w:webHidden/>
          </w:rPr>
          <w:fldChar w:fldCharType="begin"/>
        </w:r>
        <w:r w:rsidR="002745A8" w:rsidRPr="00D9348B">
          <w:rPr>
            <w:webHidden/>
          </w:rPr>
          <w:instrText xml:space="preserve"> PAGEREF _Toc36224583 \h </w:instrText>
        </w:r>
        <w:r w:rsidR="002745A8" w:rsidRPr="00D9348B">
          <w:rPr>
            <w:webHidden/>
          </w:rPr>
        </w:r>
        <w:r w:rsidR="002745A8" w:rsidRPr="00D9348B">
          <w:rPr>
            <w:webHidden/>
          </w:rPr>
          <w:fldChar w:fldCharType="separate"/>
        </w:r>
        <w:r w:rsidR="00950F0A">
          <w:rPr>
            <w:webHidden/>
          </w:rPr>
          <w:t>246</w:t>
        </w:r>
        <w:r w:rsidR="002745A8" w:rsidRPr="00D9348B">
          <w:rPr>
            <w:webHidden/>
          </w:rPr>
          <w:fldChar w:fldCharType="end"/>
        </w:r>
      </w:hyperlink>
    </w:p>
    <w:p w14:paraId="294DA2F4" w14:textId="7AF2CF6F" w:rsidR="002745A8" w:rsidRPr="00D9348B" w:rsidRDefault="00DA6C03">
      <w:pPr>
        <w:pStyle w:val="TableofFigures"/>
        <w:rPr>
          <w:rFonts w:cs="Times New Roman"/>
          <w:sz w:val="22"/>
        </w:rPr>
      </w:pPr>
      <w:hyperlink w:anchor="_Toc36224584" w:history="1">
        <w:r w:rsidR="002745A8" w:rsidRPr="00D9348B">
          <w:rPr>
            <w:rStyle w:val="Hyperlink"/>
          </w:rPr>
          <w:t>Table 6.1.5</w:t>
        </w:r>
        <w:r w:rsidR="002745A8" w:rsidRPr="00D9348B">
          <w:rPr>
            <w:rFonts w:cs="Times New Roman"/>
            <w:sz w:val="22"/>
          </w:rPr>
          <w:tab/>
        </w:r>
        <w:r w:rsidR="002745A8" w:rsidRPr="00D9348B">
          <w:rPr>
            <w:rStyle w:val="Hyperlink"/>
          </w:rPr>
          <w:t>Relationships between land-use, carbon pool and method of calculation used by New Zealand</w:t>
        </w:r>
        <w:r w:rsidR="002745A8" w:rsidRPr="00D9348B">
          <w:rPr>
            <w:webHidden/>
          </w:rPr>
          <w:tab/>
        </w:r>
        <w:r w:rsidR="002745A8" w:rsidRPr="00D9348B">
          <w:rPr>
            <w:webHidden/>
          </w:rPr>
          <w:fldChar w:fldCharType="begin"/>
        </w:r>
        <w:r w:rsidR="002745A8" w:rsidRPr="00D9348B">
          <w:rPr>
            <w:webHidden/>
          </w:rPr>
          <w:instrText xml:space="preserve"> PAGEREF _Toc36224584 \h </w:instrText>
        </w:r>
        <w:r w:rsidR="002745A8" w:rsidRPr="00D9348B">
          <w:rPr>
            <w:webHidden/>
          </w:rPr>
        </w:r>
        <w:r w:rsidR="002745A8" w:rsidRPr="00D9348B">
          <w:rPr>
            <w:webHidden/>
          </w:rPr>
          <w:fldChar w:fldCharType="separate"/>
        </w:r>
        <w:r w:rsidR="00950F0A">
          <w:rPr>
            <w:webHidden/>
          </w:rPr>
          <w:t>247</w:t>
        </w:r>
        <w:r w:rsidR="002745A8" w:rsidRPr="00D9348B">
          <w:rPr>
            <w:webHidden/>
          </w:rPr>
          <w:fldChar w:fldCharType="end"/>
        </w:r>
      </w:hyperlink>
    </w:p>
    <w:p w14:paraId="22713A5E" w14:textId="3FD82832" w:rsidR="002745A8" w:rsidRPr="00D9348B" w:rsidRDefault="00DA6C03">
      <w:pPr>
        <w:pStyle w:val="TableofFigures"/>
        <w:rPr>
          <w:rFonts w:cs="Times New Roman"/>
          <w:sz w:val="22"/>
        </w:rPr>
      </w:pPr>
      <w:hyperlink w:anchor="_Toc36224585" w:history="1">
        <w:r w:rsidR="002745A8" w:rsidRPr="00D9348B">
          <w:rPr>
            <w:rStyle w:val="Hyperlink"/>
          </w:rPr>
          <w:t>Table 6.1.6</w:t>
        </w:r>
        <w:r w:rsidR="002745A8" w:rsidRPr="00D9348B">
          <w:rPr>
            <w:rFonts w:cs="Times New Roman"/>
            <w:sz w:val="22"/>
          </w:rPr>
          <w:tab/>
        </w:r>
        <w:r w:rsidR="002745A8" w:rsidRPr="00D9348B">
          <w:rPr>
            <w:rStyle w:val="Hyperlink"/>
          </w:rPr>
          <w:t>New Zealand’s areas of pre-1990 natural forest deforestation estimated by type</w:t>
        </w:r>
        <w:r w:rsidR="00213A7A">
          <w:rPr>
            <w:rStyle w:val="Hyperlink"/>
          </w:rPr>
          <w:t xml:space="preserve"> </w:t>
        </w:r>
        <w:r w:rsidR="002745A8" w:rsidRPr="00D9348B">
          <w:rPr>
            <w:rStyle w:val="Hyperlink"/>
          </w:rPr>
          <w:t>from 1990 to 2018</w:t>
        </w:r>
        <w:r w:rsidR="002745A8" w:rsidRPr="00D9348B">
          <w:rPr>
            <w:webHidden/>
          </w:rPr>
          <w:tab/>
        </w:r>
        <w:r w:rsidR="002745A8" w:rsidRPr="00D9348B">
          <w:rPr>
            <w:webHidden/>
          </w:rPr>
          <w:fldChar w:fldCharType="begin"/>
        </w:r>
        <w:r w:rsidR="002745A8" w:rsidRPr="00D9348B">
          <w:rPr>
            <w:webHidden/>
          </w:rPr>
          <w:instrText xml:space="preserve"> PAGEREF _Toc36224585 \h </w:instrText>
        </w:r>
        <w:r w:rsidR="002745A8" w:rsidRPr="00D9348B">
          <w:rPr>
            <w:webHidden/>
          </w:rPr>
        </w:r>
        <w:r w:rsidR="002745A8" w:rsidRPr="00D9348B">
          <w:rPr>
            <w:webHidden/>
          </w:rPr>
          <w:fldChar w:fldCharType="separate"/>
        </w:r>
        <w:r w:rsidR="00950F0A">
          <w:rPr>
            <w:webHidden/>
          </w:rPr>
          <w:t>248</w:t>
        </w:r>
        <w:r w:rsidR="002745A8" w:rsidRPr="00D9348B">
          <w:rPr>
            <w:webHidden/>
          </w:rPr>
          <w:fldChar w:fldCharType="end"/>
        </w:r>
      </w:hyperlink>
    </w:p>
    <w:p w14:paraId="6CD8E5D0" w14:textId="2DFA9501" w:rsidR="002745A8" w:rsidRPr="00D9348B" w:rsidRDefault="00DA6C03">
      <w:pPr>
        <w:pStyle w:val="TableofFigures"/>
        <w:rPr>
          <w:rFonts w:cs="Times New Roman"/>
          <w:sz w:val="22"/>
        </w:rPr>
      </w:pPr>
      <w:hyperlink w:anchor="_Toc36224586" w:history="1">
        <w:r w:rsidR="002745A8" w:rsidRPr="00D9348B">
          <w:rPr>
            <w:rStyle w:val="Hyperlink"/>
          </w:rPr>
          <w:t>Table 6.1.7</w:t>
        </w:r>
        <w:r w:rsidR="002745A8" w:rsidRPr="00D9348B">
          <w:rPr>
            <w:rFonts w:cs="Times New Roman"/>
            <w:sz w:val="22"/>
          </w:rPr>
          <w:tab/>
        </w:r>
        <w:r w:rsidR="00766DDA">
          <w:rPr>
            <w:rStyle w:val="Hyperlink"/>
          </w:rPr>
          <w:t>Land-use</w:t>
        </w:r>
        <w:r w:rsidR="002745A8" w:rsidRPr="00D9348B">
          <w:rPr>
            <w:rStyle w:val="Hyperlink"/>
          </w:rPr>
          <w:t xml:space="preserve"> categories making the greatest contribution to uncertainty in the LULUCF sector</w:t>
        </w:r>
        <w:r w:rsidR="002745A8" w:rsidRPr="00D9348B">
          <w:rPr>
            <w:webHidden/>
          </w:rPr>
          <w:tab/>
        </w:r>
        <w:r w:rsidR="002745A8" w:rsidRPr="00D9348B">
          <w:rPr>
            <w:webHidden/>
          </w:rPr>
          <w:fldChar w:fldCharType="begin"/>
        </w:r>
        <w:r w:rsidR="002745A8" w:rsidRPr="00D9348B">
          <w:rPr>
            <w:webHidden/>
          </w:rPr>
          <w:instrText xml:space="preserve"> PAGEREF _Toc36224586 \h </w:instrText>
        </w:r>
        <w:r w:rsidR="002745A8" w:rsidRPr="00D9348B">
          <w:rPr>
            <w:webHidden/>
          </w:rPr>
        </w:r>
        <w:r w:rsidR="002745A8" w:rsidRPr="00D9348B">
          <w:rPr>
            <w:webHidden/>
          </w:rPr>
          <w:fldChar w:fldCharType="separate"/>
        </w:r>
        <w:r w:rsidR="00950F0A">
          <w:rPr>
            <w:webHidden/>
          </w:rPr>
          <w:t>250</w:t>
        </w:r>
        <w:r w:rsidR="002745A8" w:rsidRPr="00D9348B">
          <w:rPr>
            <w:webHidden/>
          </w:rPr>
          <w:fldChar w:fldCharType="end"/>
        </w:r>
      </w:hyperlink>
    </w:p>
    <w:p w14:paraId="57F54935" w14:textId="4EE5D1DF" w:rsidR="002745A8" w:rsidRPr="00D9348B" w:rsidRDefault="00DA6C03">
      <w:pPr>
        <w:pStyle w:val="TableofFigures"/>
        <w:rPr>
          <w:rFonts w:cs="Times New Roman"/>
          <w:sz w:val="22"/>
        </w:rPr>
      </w:pPr>
      <w:hyperlink w:anchor="_Toc36224587" w:history="1">
        <w:r w:rsidR="002745A8" w:rsidRPr="00D9348B">
          <w:rPr>
            <w:rStyle w:val="Hyperlink"/>
          </w:rPr>
          <w:t>Table 6.1.8</w:t>
        </w:r>
        <w:r w:rsidR="002745A8" w:rsidRPr="00D9348B">
          <w:rPr>
            <w:rFonts w:cs="Times New Roman"/>
            <w:sz w:val="22"/>
          </w:rPr>
          <w:tab/>
        </w:r>
        <w:r w:rsidR="002745A8" w:rsidRPr="00D9348B">
          <w:rPr>
            <w:rStyle w:val="Hyperlink"/>
          </w:rPr>
          <w:t>Recalculations to New Zealand’s total net LULUCF emissions for 1990 and 2017</w:t>
        </w:r>
        <w:r w:rsidR="002745A8" w:rsidRPr="00D9348B">
          <w:rPr>
            <w:webHidden/>
          </w:rPr>
          <w:tab/>
        </w:r>
        <w:r w:rsidR="002745A8" w:rsidRPr="00D9348B">
          <w:rPr>
            <w:webHidden/>
          </w:rPr>
          <w:fldChar w:fldCharType="begin"/>
        </w:r>
        <w:r w:rsidR="002745A8" w:rsidRPr="00D9348B">
          <w:rPr>
            <w:webHidden/>
          </w:rPr>
          <w:instrText xml:space="preserve"> PAGEREF _Toc36224587 \h </w:instrText>
        </w:r>
        <w:r w:rsidR="002745A8" w:rsidRPr="00D9348B">
          <w:rPr>
            <w:webHidden/>
          </w:rPr>
        </w:r>
        <w:r w:rsidR="002745A8" w:rsidRPr="00D9348B">
          <w:rPr>
            <w:webHidden/>
          </w:rPr>
          <w:fldChar w:fldCharType="separate"/>
        </w:r>
        <w:r w:rsidR="00950F0A">
          <w:rPr>
            <w:webHidden/>
          </w:rPr>
          <w:t>250</w:t>
        </w:r>
        <w:r w:rsidR="002745A8" w:rsidRPr="00D9348B">
          <w:rPr>
            <w:webHidden/>
          </w:rPr>
          <w:fldChar w:fldCharType="end"/>
        </w:r>
      </w:hyperlink>
    </w:p>
    <w:p w14:paraId="78065EC7" w14:textId="2BB73C9B" w:rsidR="002745A8" w:rsidRPr="00D9348B" w:rsidRDefault="00DA6C03">
      <w:pPr>
        <w:pStyle w:val="TableofFigures"/>
        <w:rPr>
          <w:rFonts w:cs="Times New Roman"/>
          <w:sz w:val="22"/>
        </w:rPr>
      </w:pPr>
      <w:hyperlink w:anchor="_Toc36224588" w:history="1">
        <w:r w:rsidR="002745A8" w:rsidRPr="00D9348B">
          <w:rPr>
            <w:rStyle w:val="Hyperlink"/>
          </w:rPr>
          <w:t>Table 6.1.9</w:t>
        </w:r>
        <w:r w:rsidR="002745A8" w:rsidRPr="00D9348B">
          <w:rPr>
            <w:rFonts w:cs="Times New Roman"/>
            <w:sz w:val="22"/>
          </w:rPr>
          <w:tab/>
        </w:r>
        <w:r w:rsidR="002745A8" w:rsidRPr="00D9348B">
          <w:rPr>
            <w:rStyle w:val="Hyperlink"/>
          </w:rPr>
          <w:t>Recalculations to New Zealand’s net LULUCF emissions for 1990 and 2017 by category</w:t>
        </w:r>
        <w:r w:rsidR="002745A8" w:rsidRPr="00D9348B">
          <w:rPr>
            <w:webHidden/>
          </w:rPr>
          <w:tab/>
        </w:r>
        <w:r w:rsidR="002745A8" w:rsidRPr="00D9348B">
          <w:rPr>
            <w:webHidden/>
          </w:rPr>
          <w:fldChar w:fldCharType="begin"/>
        </w:r>
        <w:r w:rsidR="002745A8" w:rsidRPr="00D9348B">
          <w:rPr>
            <w:webHidden/>
          </w:rPr>
          <w:instrText xml:space="preserve"> PAGEREF _Toc36224588 \h </w:instrText>
        </w:r>
        <w:r w:rsidR="002745A8" w:rsidRPr="00D9348B">
          <w:rPr>
            <w:webHidden/>
          </w:rPr>
        </w:r>
        <w:r w:rsidR="002745A8" w:rsidRPr="00D9348B">
          <w:rPr>
            <w:webHidden/>
          </w:rPr>
          <w:fldChar w:fldCharType="separate"/>
        </w:r>
        <w:r w:rsidR="00950F0A">
          <w:rPr>
            <w:webHidden/>
          </w:rPr>
          <w:t>251</w:t>
        </w:r>
        <w:r w:rsidR="002745A8" w:rsidRPr="00D9348B">
          <w:rPr>
            <w:webHidden/>
          </w:rPr>
          <w:fldChar w:fldCharType="end"/>
        </w:r>
      </w:hyperlink>
    </w:p>
    <w:p w14:paraId="276EE10B" w14:textId="38E5C4BE" w:rsidR="002745A8" w:rsidRPr="00D9348B" w:rsidRDefault="00DA6C03">
      <w:pPr>
        <w:pStyle w:val="TableofFigures"/>
        <w:rPr>
          <w:rFonts w:cs="Times New Roman"/>
          <w:sz w:val="22"/>
        </w:rPr>
      </w:pPr>
      <w:hyperlink w:anchor="_Toc36224589" w:history="1">
        <w:r w:rsidR="002745A8" w:rsidRPr="00D9348B">
          <w:rPr>
            <w:rStyle w:val="Hyperlink"/>
          </w:rPr>
          <w:t>Table 6.2.1</w:t>
        </w:r>
        <w:r w:rsidR="002745A8" w:rsidRPr="00D9348B">
          <w:rPr>
            <w:rFonts w:cs="Times New Roman"/>
            <w:sz w:val="22"/>
          </w:rPr>
          <w:tab/>
        </w:r>
        <w:r w:rsidR="002745A8" w:rsidRPr="00D9348B">
          <w:rPr>
            <w:rStyle w:val="Hyperlink"/>
          </w:rPr>
          <w:t xml:space="preserve">New Zealand’s </w:t>
        </w:r>
        <w:r w:rsidR="00766DDA">
          <w:rPr>
            <w:rStyle w:val="Hyperlink"/>
          </w:rPr>
          <w:t>land-use</w:t>
        </w:r>
        <w:r w:rsidR="002745A8" w:rsidRPr="00D9348B">
          <w:rPr>
            <w:rStyle w:val="Hyperlink"/>
          </w:rPr>
          <w:t xml:space="preserve"> categories and land uses</w:t>
        </w:r>
        <w:r w:rsidR="002745A8" w:rsidRPr="00D9348B">
          <w:rPr>
            <w:webHidden/>
          </w:rPr>
          <w:tab/>
        </w:r>
        <w:r w:rsidR="002745A8" w:rsidRPr="00D9348B">
          <w:rPr>
            <w:webHidden/>
          </w:rPr>
          <w:fldChar w:fldCharType="begin"/>
        </w:r>
        <w:r w:rsidR="002745A8" w:rsidRPr="00D9348B">
          <w:rPr>
            <w:webHidden/>
          </w:rPr>
          <w:instrText xml:space="preserve"> PAGEREF _Toc36224589 \h </w:instrText>
        </w:r>
        <w:r w:rsidR="002745A8" w:rsidRPr="00D9348B">
          <w:rPr>
            <w:webHidden/>
          </w:rPr>
        </w:r>
        <w:r w:rsidR="002745A8" w:rsidRPr="00D9348B">
          <w:rPr>
            <w:webHidden/>
          </w:rPr>
          <w:fldChar w:fldCharType="separate"/>
        </w:r>
        <w:r w:rsidR="00950F0A">
          <w:rPr>
            <w:webHidden/>
          </w:rPr>
          <w:t>252</w:t>
        </w:r>
        <w:r w:rsidR="002745A8" w:rsidRPr="00D9348B">
          <w:rPr>
            <w:webHidden/>
          </w:rPr>
          <w:fldChar w:fldCharType="end"/>
        </w:r>
      </w:hyperlink>
    </w:p>
    <w:p w14:paraId="63BC3A70" w14:textId="2B3E6BB6" w:rsidR="002745A8" w:rsidRPr="00D9348B" w:rsidRDefault="00DA6C03">
      <w:pPr>
        <w:pStyle w:val="TableofFigures"/>
        <w:rPr>
          <w:rFonts w:cs="Times New Roman"/>
          <w:sz w:val="22"/>
        </w:rPr>
      </w:pPr>
      <w:hyperlink w:anchor="_Toc36224590" w:history="1">
        <w:r w:rsidR="002745A8" w:rsidRPr="00D9348B">
          <w:rPr>
            <w:rStyle w:val="Hyperlink"/>
          </w:rPr>
          <w:t>Table 6.2.2</w:t>
        </w:r>
        <w:r w:rsidR="002745A8" w:rsidRPr="00D9348B">
          <w:rPr>
            <w:rFonts w:cs="Times New Roman"/>
            <w:sz w:val="22"/>
          </w:rPr>
          <w:tab/>
        </w:r>
        <w:r w:rsidR="002745A8" w:rsidRPr="00D9348B">
          <w:rPr>
            <w:rStyle w:val="Hyperlink"/>
          </w:rPr>
          <w:t>New Zealand’s mapping definitions for each land use</w:t>
        </w:r>
        <w:r w:rsidR="002745A8" w:rsidRPr="00D9348B">
          <w:rPr>
            <w:webHidden/>
          </w:rPr>
          <w:tab/>
        </w:r>
        <w:r w:rsidR="002745A8" w:rsidRPr="00D9348B">
          <w:rPr>
            <w:webHidden/>
          </w:rPr>
          <w:fldChar w:fldCharType="begin"/>
        </w:r>
        <w:r w:rsidR="002745A8" w:rsidRPr="00D9348B">
          <w:rPr>
            <w:webHidden/>
          </w:rPr>
          <w:instrText xml:space="preserve"> PAGEREF _Toc36224590 \h </w:instrText>
        </w:r>
        <w:r w:rsidR="002745A8" w:rsidRPr="00D9348B">
          <w:rPr>
            <w:webHidden/>
          </w:rPr>
        </w:r>
        <w:r w:rsidR="002745A8" w:rsidRPr="00D9348B">
          <w:rPr>
            <w:webHidden/>
          </w:rPr>
          <w:fldChar w:fldCharType="separate"/>
        </w:r>
        <w:r w:rsidR="00950F0A">
          <w:rPr>
            <w:webHidden/>
          </w:rPr>
          <w:t>253</w:t>
        </w:r>
        <w:r w:rsidR="002745A8" w:rsidRPr="00D9348B">
          <w:rPr>
            <w:webHidden/>
          </w:rPr>
          <w:fldChar w:fldCharType="end"/>
        </w:r>
      </w:hyperlink>
    </w:p>
    <w:p w14:paraId="471AB38D" w14:textId="7EB3E3B4" w:rsidR="002745A8" w:rsidRPr="00D9348B" w:rsidRDefault="00DA6C03">
      <w:pPr>
        <w:pStyle w:val="TableofFigures"/>
        <w:rPr>
          <w:rFonts w:cs="Times New Roman"/>
          <w:sz w:val="22"/>
        </w:rPr>
      </w:pPr>
      <w:hyperlink w:anchor="_Toc36224591" w:history="1">
        <w:r w:rsidR="002745A8" w:rsidRPr="00D9348B">
          <w:rPr>
            <w:rStyle w:val="Hyperlink"/>
          </w:rPr>
          <w:t>Table 6.2.3</w:t>
        </w:r>
        <w:r w:rsidR="002745A8" w:rsidRPr="00D9348B">
          <w:rPr>
            <w:rFonts w:cs="Times New Roman"/>
            <w:sz w:val="22"/>
          </w:rPr>
          <w:tab/>
        </w:r>
        <w:r w:rsidR="002745A8" w:rsidRPr="00D9348B">
          <w:rPr>
            <w:rStyle w:val="Hyperlink"/>
          </w:rPr>
          <w:t xml:space="preserve">Satellite imagery used for </w:t>
        </w:r>
        <w:r w:rsidR="00766DDA">
          <w:rPr>
            <w:rStyle w:val="Hyperlink"/>
          </w:rPr>
          <w:t>land-use</w:t>
        </w:r>
        <w:r w:rsidR="002745A8" w:rsidRPr="00D9348B">
          <w:rPr>
            <w:rStyle w:val="Hyperlink"/>
          </w:rPr>
          <w:t xml:space="preserve"> mapping in 1990, 2008 and 2012</w:t>
        </w:r>
        <w:r w:rsidR="002745A8" w:rsidRPr="00D9348B">
          <w:rPr>
            <w:webHidden/>
          </w:rPr>
          <w:tab/>
        </w:r>
        <w:r w:rsidR="002745A8" w:rsidRPr="00D9348B">
          <w:rPr>
            <w:webHidden/>
          </w:rPr>
          <w:fldChar w:fldCharType="begin"/>
        </w:r>
        <w:r w:rsidR="002745A8" w:rsidRPr="00D9348B">
          <w:rPr>
            <w:webHidden/>
          </w:rPr>
          <w:instrText xml:space="preserve"> PAGEREF _Toc36224591 \h </w:instrText>
        </w:r>
        <w:r w:rsidR="002745A8" w:rsidRPr="00D9348B">
          <w:rPr>
            <w:webHidden/>
          </w:rPr>
        </w:r>
        <w:r w:rsidR="002745A8" w:rsidRPr="00D9348B">
          <w:rPr>
            <w:webHidden/>
          </w:rPr>
          <w:fldChar w:fldCharType="separate"/>
        </w:r>
        <w:r w:rsidR="00950F0A">
          <w:rPr>
            <w:webHidden/>
          </w:rPr>
          <w:t>255</w:t>
        </w:r>
        <w:r w:rsidR="002745A8" w:rsidRPr="00D9348B">
          <w:rPr>
            <w:webHidden/>
          </w:rPr>
          <w:fldChar w:fldCharType="end"/>
        </w:r>
      </w:hyperlink>
    </w:p>
    <w:p w14:paraId="66671265" w14:textId="48E42780" w:rsidR="002745A8" w:rsidRPr="00D9348B" w:rsidRDefault="00DA6C03">
      <w:pPr>
        <w:pStyle w:val="TableofFigures"/>
        <w:rPr>
          <w:rFonts w:cs="Times New Roman"/>
          <w:sz w:val="22"/>
        </w:rPr>
      </w:pPr>
      <w:hyperlink w:anchor="_Toc36224592" w:history="1">
        <w:r w:rsidR="002745A8" w:rsidRPr="00D9348B">
          <w:rPr>
            <w:rStyle w:val="Hyperlink"/>
          </w:rPr>
          <w:t>Table 6.2.4</w:t>
        </w:r>
        <w:r w:rsidR="002745A8" w:rsidRPr="00D9348B">
          <w:rPr>
            <w:rFonts w:cs="Times New Roman"/>
            <w:sz w:val="22"/>
          </w:rPr>
          <w:tab/>
        </w:r>
        <w:r w:rsidR="002745A8" w:rsidRPr="00D9348B">
          <w:rPr>
            <w:rStyle w:val="Hyperlink"/>
          </w:rPr>
          <w:t xml:space="preserve">Ancillary mosaicked imagery data sets used in </w:t>
        </w:r>
        <w:r w:rsidR="00766DDA">
          <w:rPr>
            <w:rStyle w:val="Hyperlink"/>
          </w:rPr>
          <w:t>land-use</w:t>
        </w:r>
        <w:r w:rsidR="002745A8" w:rsidRPr="00D9348B">
          <w:rPr>
            <w:rStyle w:val="Hyperlink"/>
          </w:rPr>
          <w:t xml:space="preserve"> mapping</w:t>
        </w:r>
        <w:r w:rsidR="002745A8" w:rsidRPr="00D9348B">
          <w:rPr>
            <w:webHidden/>
          </w:rPr>
          <w:tab/>
        </w:r>
        <w:r w:rsidR="002745A8" w:rsidRPr="00D9348B">
          <w:rPr>
            <w:webHidden/>
          </w:rPr>
          <w:fldChar w:fldCharType="begin"/>
        </w:r>
        <w:r w:rsidR="002745A8" w:rsidRPr="00D9348B">
          <w:rPr>
            <w:webHidden/>
          </w:rPr>
          <w:instrText xml:space="preserve"> PAGEREF _Toc36224592 \h </w:instrText>
        </w:r>
        <w:r w:rsidR="002745A8" w:rsidRPr="00D9348B">
          <w:rPr>
            <w:webHidden/>
          </w:rPr>
        </w:r>
        <w:r w:rsidR="002745A8" w:rsidRPr="00D9348B">
          <w:rPr>
            <w:webHidden/>
          </w:rPr>
          <w:fldChar w:fldCharType="separate"/>
        </w:r>
        <w:r w:rsidR="00950F0A">
          <w:rPr>
            <w:webHidden/>
          </w:rPr>
          <w:t>262</w:t>
        </w:r>
        <w:r w:rsidR="002745A8" w:rsidRPr="00D9348B">
          <w:rPr>
            <w:webHidden/>
          </w:rPr>
          <w:fldChar w:fldCharType="end"/>
        </w:r>
      </w:hyperlink>
    </w:p>
    <w:p w14:paraId="1B39954B" w14:textId="15A273A8" w:rsidR="002745A8" w:rsidRPr="00D9348B" w:rsidRDefault="00DA6C03">
      <w:pPr>
        <w:pStyle w:val="TableofFigures"/>
        <w:rPr>
          <w:rFonts w:cs="Times New Roman"/>
          <w:sz w:val="22"/>
        </w:rPr>
      </w:pPr>
      <w:hyperlink w:anchor="_Toc36224593" w:history="1">
        <w:r w:rsidR="002745A8" w:rsidRPr="00D9348B">
          <w:rPr>
            <w:rStyle w:val="Hyperlink"/>
          </w:rPr>
          <w:t>Table 6.2.5</w:t>
        </w:r>
        <w:r w:rsidR="002745A8" w:rsidRPr="00D9348B">
          <w:rPr>
            <w:rFonts w:cs="Times New Roman"/>
            <w:sz w:val="22"/>
          </w:rPr>
          <w:tab/>
        </w:r>
        <w:r w:rsidR="002745A8" w:rsidRPr="00D9348B">
          <w:rPr>
            <w:rStyle w:val="Hyperlink"/>
          </w:rPr>
          <w:t>Methods used to estimate Afforestation total area and trends between 2008 and 2016</w:t>
        </w:r>
        <w:r w:rsidR="002745A8" w:rsidRPr="00D9348B">
          <w:rPr>
            <w:webHidden/>
          </w:rPr>
          <w:tab/>
        </w:r>
        <w:r w:rsidR="002745A8" w:rsidRPr="00D9348B">
          <w:rPr>
            <w:webHidden/>
          </w:rPr>
          <w:fldChar w:fldCharType="begin"/>
        </w:r>
        <w:r w:rsidR="002745A8" w:rsidRPr="00D9348B">
          <w:rPr>
            <w:webHidden/>
          </w:rPr>
          <w:instrText xml:space="preserve"> PAGEREF _Toc36224593 \h </w:instrText>
        </w:r>
        <w:r w:rsidR="002745A8" w:rsidRPr="00D9348B">
          <w:rPr>
            <w:webHidden/>
          </w:rPr>
        </w:r>
        <w:r w:rsidR="002745A8" w:rsidRPr="00D9348B">
          <w:rPr>
            <w:webHidden/>
          </w:rPr>
          <w:fldChar w:fldCharType="separate"/>
        </w:r>
        <w:r w:rsidR="00950F0A">
          <w:rPr>
            <w:webHidden/>
          </w:rPr>
          <w:t>268</w:t>
        </w:r>
        <w:r w:rsidR="002745A8" w:rsidRPr="00D9348B">
          <w:rPr>
            <w:webHidden/>
          </w:rPr>
          <w:fldChar w:fldCharType="end"/>
        </w:r>
      </w:hyperlink>
    </w:p>
    <w:p w14:paraId="0B21279B" w14:textId="5C5399AA" w:rsidR="002745A8" w:rsidRPr="00D9348B" w:rsidRDefault="00DA6C03">
      <w:pPr>
        <w:pStyle w:val="TableofFigures"/>
        <w:rPr>
          <w:rFonts w:cs="Times New Roman"/>
          <w:sz w:val="22"/>
        </w:rPr>
      </w:pPr>
      <w:hyperlink w:anchor="_Toc36224594" w:history="1">
        <w:r w:rsidR="002745A8" w:rsidRPr="00D9348B">
          <w:rPr>
            <w:rStyle w:val="Hyperlink"/>
          </w:rPr>
          <w:t>Table 6.3.1</w:t>
        </w:r>
        <w:r w:rsidR="002745A8" w:rsidRPr="00D9348B">
          <w:rPr>
            <w:rFonts w:cs="Times New Roman"/>
            <w:sz w:val="22"/>
          </w:rPr>
          <w:tab/>
        </w:r>
        <w:r w:rsidR="00766DDA">
          <w:rPr>
            <w:rStyle w:val="Hyperlink"/>
          </w:rPr>
          <w:t>Land-use</w:t>
        </w:r>
        <w:r w:rsidR="002745A8" w:rsidRPr="00D9348B">
          <w:rPr>
            <w:rStyle w:val="Hyperlink"/>
          </w:rPr>
          <w:t xml:space="preserve"> effect coefficients with standard errors, </w:t>
        </w:r>
        <w:r w:rsidR="002745A8" w:rsidRPr="00D9348B">
          <w:rPr>
            <w:rStyle w:val="Hyperlink"/>
            <w:i/>
          </w:rPr>
          <w:t>t</w:t>
        </w:r>
        <w:r w:rsidR="002745A8" w:rsidRPr="00D9348B">
          <w:rPr>
            <w:rStyle w:val="Hyperlink"/>
          </w:rPr>
          <w:t xml:space="preserve">-values, and corresponding </w:t>
        </w:r>
        <w:r w:rsidR="002745A8" w:rsidRPr="00D9348B">
          <w:rPr>
            <w:rStyle w:val="Hyperlink"/>
            <w:i/>
          </w:rPr>
          <w:t>p</w:t>
        </w:r>
        <w:r w:rsidR="002745A8" w:rsidRPr="00D9348B">
          <w:rPr>
            <w:rStyle w:val="Hyperlink"/>
          </w:rPr>
          <w:noBreakHyphen/>
          <w:t>value significance estimates, extracted from full model results</w:t>
        </w:r>
        <w:r w:rsidR="002745A8" w:rsidRPr="00D9348B">
          <w:rPr>
            <w:webHidden/>
          </w:rPr>
          <w:tab/>
        </w:r>
        <w:r w:rsidR="002745A8" w:rsidRPr="00D9348B">
          <w:rPr>
            <w:webHidden/>
          </w:rPr>
          <w:fldChar w:fldCharType="begin"/>
        </w:r>
        <w:r w:rsidR="002745A8" w:rsidRPr="00D9348B">
          <w:rPr>
            <w:webHidden/>
          </w:rPr>
          <w:instrText xml:space="preserve"> PAGEREF _Toc36224594 \h </w:instrText>
        </w:r>
        <w:r w:rsidR="002745A8" w:rsidRPr="00D9348B">
          <w:rPr>
            <w:webHidden/>
          </w:rPr>
        </w:r>
        <w:r w:rsidR="002745A8" w:rsidRPr="00D9348B">
          <w:rPr>
            <w:webHidden/>
          </w:rPr>
          <w:fldChar w:fldCharType="separate"/>
        </w:r>
        <w:r w:rsidR="00950F0A">
          <w:rPr>
            <w:webHidden/>
          </w:rPr>
          <w:t>275</w:t>
        </w:r>
        <w:r w:rsidR="002745A8" w:rsidRPr="00D9348B">
          <w:rPr>
            <w:webHidden/>
          </w:rPr>
          <w:fldChar w:fldCharType="end"/>
        </w:r>
      </w:hyperlink>
    </w:p>
    <w:p w14:paraId="11F9121E" w14:textId="3644E2D4" w:rsidR="002745A8" w:rsidRPr="00D9348B" w:rsidRDefault="00DA6C03">
      <w:pPr>
        <w:pStyle w:val="TableofFigures"/>
        <w:rPr>
          <w:rFonts w:cs="Times New Roman"/>
          <w:sz w:val="22"/>
        </w:rPr>
      </w:pPr>
      <w:hyperlink w:anchor="_Toc36224595" w:history="1">
        <w:r w:rsidR="002745A8" w:rsidRPr="00D9348B">
          <w:rPr>
            <w:rStyle w:val="Hyperlink"/>
          </w:rPr>
          <w:t>Table 6.3.2</w:t>
        </w:r>
        <w:r w:rsidR="002745A8" w:rsidRPr="00D9348B">
          <w:rPr>
            <w:rFonts w:cs="Times New Roman"/>
            <w:sz w:val="22"/>
          </w:rPr>
          <w:tab/>
        </w:r>
        <w:r w:rsidR="002745A8" w:rsidRPr="00D9348B">
          <w:rPr>
            <w:rStyle w:val="Hyperlink"/>
          </w:rPr>
          <w:t>Steady state soil organic carbon stocks, with 95 per cent confidence intervals, calculated from Soil CMS model</w:t>
        </w:r>
        <w:r w:rsidR="002745A8" w:rsidRPr="00D9348B">
          <w:rPr>
            <w:webHidden/>
          </w:rPr>
          <w:tab/>
        </w:r>
        <w:r w:rsidR="002745A8" w:rsidRPr="00D9348B">
          <w:rPr>
            <w:webHidden/>
          </w:rPr>
          <w:fldChar w:fldCharType="begin"/>
        </w:r>
        <w:r w:rsidR="002745A8" w:rsidRPr="00D9348B">
          <w:rPr>
            <w:webHidden/>
          </w:rPr>
          <w:instrText xml:space="preserve"> PAGEREF _Toc36224595 \h </w:instrText>
        </w:r>
        <w:r w:rsidR="002745A8" w:rsidRPr="00D9348B">
          <w:rPr>
            <w:webHidden/>
          </w:rPr>
        </w:r>
        <w:r w:rsidR="002745A8" w:rsidRPr="00D9348B">
          <w:rPr>
            <w:webHidden/>
          </w:rPr>
          <w:fldChar w:fldCharType="separate"/>
        </w:r>
        <w:r w:rsidR="00950F0A">
          <w:rPr>
            <w:webHidden/>
          </w:rPr>
          <w:t>276</w:t>
        </w:r>
        <w:r w:rsidR="002745A8" w:rsidRPr="00D9348B">
          <w:rPr>
            <w:webHidden/>
          </w:rPr>
          <w:fldChar w:fldCharType="end"/>
        </w:r>
      </w:hyperlink>
    </w:p>
    <w:p w14:paraId="1B38D434" w14:textId="4353CF9F" w:rsidR="002745A8" w:rsidRPr="00D9348B" w:rsidRDefault="00DA6C03">
      <w:pPr>
        <w:pStyle w:val="TableofFigures"/>
        <w:rPr>
          <w:rFonts w:cs="Times New Roman"/>
          <w:sz w:val="22"/>
        </w:rPr>
      </w:pPr>
      <w:hyperlink w:anchor="_Toc36224596" w:history="1">
        <w:r w:rsidR="002745A8" w:rsidRPr="00D9348B">
          <w:rPr>
            <w:rStyle w:val="Hyperlink"/>
          </w:rPr>
          <w:t>Table 6.3.3</w:t>
        </w:r>
        <w:r w:rsidR="002745A8" w:rsidRPr="00D9348B">
          <w:rPr>
            <w:rFonts w:cs="Times New Roman"/>
            <w:sz w:val="22"/>
          </w:rPr>
          <w:tab/>
        </w:r>
        <w:r w:rsidR="002745A8" w:rsidRPr="00D9348B">
          <w:rPr>
            <w:rStyle w:val="Hyperlink"/>
          </w:rPr>
          <w:t>New Zealand emission factors for organic soils</w:t>
        </w:r>
        <w:r w:rsidR="002745A8" w:rsidRPr="00D9348B">
          <w:rPr>
            <w:webHidden/>
          </w:rPr>
          <w:tab/>
        </w:r>
        <w:r w:rsidR="002745A8" w:rsidRPr="00D9348B">
          <w:rPr>
            <w:webHidden/>
          </w:rPr>
          <w:fldChar w:fldCharType="begin"/>
        </w:r>
        <w:r w:rsidR="002745A8" w:rsidRPr="00D9348B">
          <w:rPr>
            <w:webHidden/>
          </w:rPr>
          <w:instrText xml:space="preserve"> PAGEREF _Toc36224596 \h </w:instrText>
        </w:r>
        <w:r w:rsidR="002745A8" w:rsidRPr="00D9348B">
          <w:rPr>
            <w:webHidden/>
          </w:rPr>
        </w:r>
        <w:r w:rsidR="002745A8" w:rsidRPr="00D9348B">
          <w:rPr>
            <w:webHidden/>
          </w:rPr>
          <w:fldChar w:fldCharType="separate"/>
        </w:r>
        <w:r w:rsidR="00950F0A">
          <w:rPr>
            <w:webHidden/>
          </w:rPr>
          <w:t>279</w:t>
        </w:r>
        <w:r w:rsidR="002745A8" w:rsidRPr="00D9348B">
          <w:rPr>
            <w:webHidden/>
          </w:rPr>
          <w:fldChar w:fldCharType="end"/>
        </w:r>
      </w:hyperlink>
    </w:p>
    <w:p w14:paraId="6E31976B" w14:textId="1B20C9CF" w:rsidR="002745A8" w:rsidRPr="00D9348B" w:rsidRDefault="00DA6C03">
      <w:pPr>
        <w:pStyle w:val="TableofFigures"/>
        <w:rPr>
          <w:rFonts w:cs="Times New Roman"/>
          <w:sz w:val="22"/>
        </w:rPr>
      </w:pPr>
      <w:hyperlink w:anchor="_Toc36224597" w:history="1">
        <w:r w:rsidR="002745A8" w:rsidRPr="00D9348B">
          <w:rPr>
            <w:rStyle w:val="Hyperlink"/>
          </w:rPr>
          <w:t>Table 6.4.1</w:t>
        </w:r>
        <w:r w:rsidR="002745A8" w:rsidRPr="00D9348B">
          <w:rPr>
            <w:rFonts w:cs="Times New Roman"/>
            <w:sz w:val="22"/>
          </w:rPr>
          <w:tab/>
        </w:r>
        <w:r w:rsidR="002745A8" w:rsidRPr="00D9348B">
          <w:rPr>
            <w:rStyle w:val="Hyperlink"/>
          </w:rPr>
          <w:t>New Zealand’s land-use change for the Forest land category, and associated CO</w:t>
        </w:r>
        <w:r w:rsidR="002745A8" w:rsidRPr="00D9348B">
          <w:rPr>
            <w:rStyle w:val="Hyperlink"/>
            <w:vertAlign w:val="subscript"/>
          </w:rPr>
          <w:t>2</w:t>
        </w:r>
        <w:r w:rsidR="002745A8" w:rsidRPr="00D9348B">
          <w:rPr>
            <w:rStyle w:val="Hyperlink"/>
          </w:rPr>
          <w:t>-e emissions, in 1990 and 2018</w:t>
        </w:r>
        <w:r w:rsidR="002745A8" w:rsidRPr="00D9348B">
          <w:rPr>
            <w:webHidden/>
          </w:rPr>
          <w:tab/>
        </w:r>
        <w:r w:rsidR="002745A8" w:rsidRPr="00D9348B">
          <w:rPr>
            <w:webHidden/>
          </w:rPr>
          <w:fldChar w:fldCharType="begin"/>
        </w:r>
        <w:r w:rsidR="002745A8" w:rsidRPr="00D9348B">
          <w:rPr>
            <w:webHidden/>
          </w:rPr>
          <w:instrText xml:space="preserve"> PAGEREF _Toc36224597 \h </w:instrText>
        </w:r>
        <w:r w:rsidR="002745A8" w:rsidRPr="00D9348B">
          <w:rPr>
            <w:webHidden/>
          </w:rPr>
        </w:r>
        <w:r w:rsidR="002745A8" w:rsidRPr="00D9348B">
          <w:rPr>
            <w:webHidden/>
          </w:rPr>
          <w:fldChar w:fldCharType="separate"/>
        </w:r>
        <w:r w:rsidR="00950F0A">
          <w:rPr>
            <w:webHidden/>
          </w:rPr>
          <w:t>282</w:t>
        </w:r>
        <w:r w:rsidR="002745A8" w:rsidRPr="00D9348B">
          <w:rPr>
            <w:webHidden/>
          </w:rPr>
          <w:fldChar w:fldCharType="end"/>
        </w:r>
      </w:hyperlink>
    </w:p>
    <w:p w14:paraId="7F8ADD7A" w14:textId="013A8DEE" w:rsidR="002745A8" w:rsidRPr="00D9348B" w:rsidRDefault="00DA6C03">
      <w:pPr>
        <w:pStyle w:val="TableofFigures"/>
        <w:rPr>
          <w:rFonts w:cs="Times New Roman"/>
          <w:sz w:val="22"/>
        </w:rPr>
      </w:pPr>
      <w:hyperlink w:anchor="_Toc36224598" w:history="1">
        <w:r w:rsidR="002745A8" w:rsidRPr="00D9348B">
          <w:rPr>
            <w:rStyle w:val="Hyperlink"/>
          </w:rPr>
          <w:t>Table 6.4.2</w:t>
        </w:r>
        <w:r w:rsidR="002745A8" w:rsidRPr="00D9348B">
          <w:rPr>
            <w:rFonts w:cs="Times New Roman"/>
            <w:sz w:val="22"/>
          </w:rPr>
          <w:tab/>
        </w:r>
        <w:r w:rsidR="002745A8" w:rsidRPr="00D9348B">
          <w:rPr>
            <w:rStyle w:val="Hyperlink"/>
          </w:rPr>
          <w:t>Change in land area and associated CO</w:t>
        </w:r>
        <w:r w:rsidR="002745A8" w:rsidRPr="00D9348B">
          <w:rPr>
            <w:rStyle w:val="Hyperlink"/>
            <w:vertAlign w:val="subscript"/>
          </w:rPr>
          <w:t>2</w:t>
        </w:r>
        <w:r w:rsidR="002745A8" w:rsidRPr="00D9348B">
          <w:rPr>
            <w:rStyle w:val="Hyperlink"/>
          </w:rPr>
          <w:t xml:space="preserve"> emissions from carbon stock change between 1990 and 2018 for New Zealand’s Forest land</w:t>
        </w:r>
        <w:r w:rsidR="002745A8" w:rsidRPr="00D9348B">
          <w:rPr>
            <w:webHidden/>
          </w:rPr>
          <w:tab/>
        </w:r>
        <w:r w:rsidR="002745A8" w:rsidRPr="00D9348B">
          <w:rPr>
            <w:webHidden/>
          </w:rPr>
          <w:fldChar w:fldCharType="begin"/>
        </w:r>
        <w:r w:rsidR="002745A8" w:rsidRPr="00D9348B">
          <w:rPr>
            <w:webHidden/>
          </w:rPr>
          <w:instrText xml:space="preserve"> PAGEREF _Toc36224598 \h </w:instrText>
        </w:r>
        <w:r w:rsidR="002745A8" w:rsidRPr="00D9348B">
          <w:rPr>
            <w:webHidden/>
          </w:rPr>
        </w:r>
        <w:r w:rsidR="002745A8" w:rsidRPr="00D9348B">
          <w:rPr>
            <w:webHidden/>
          </w:rPr>
          <w:fldChar w:fldCharType="separate"/>
        </w:r>
        <w:r w:rsidR="00950F0A">
          <w:rPr>
            <w:webHidden/>
          </w:rPr>
          <w:t>282</w:t>
        </w:r>
        <w:r w:rsidR="002745A8" w:rsidRPr="00D9348B">
          <w:rPr>
            <w:webHidden/>
          </w:rPr>
          <w:fldChar w:fldCharType="end"/>
        </w:r>
      </w:hyperlink>
    </w:p>
    <w:p w14:paraId="0D5F8A09" w14:textId="551C7E05" w:rsidR="002745A8" w:rsidRPr="00D9348B" w:rsidRDefault="00DA6C03">
      <w:pPr>
        <w:pStyle w:val="TableofFigures"/>
        <w:rPr>
          <w:rFonts w:cs="Times New Roman"/>
          <w:sz w:val="22"/>
        </w:rPr>
      </w:pPr>
      <w:hyperlink w:anchor="_Toc36224599" w:history="1">
        <w:r w:rsidR="002745A8" w:rsidRPr="00D9348B">
          <w:rPr>
            <w:rStyle w:val="Hyperlink"/>
          </w:rPr>
          <w:t>Table 6.4.3</w:t>
        </w:r>
        <w:r w:rsidR="002745A8" w:rsidRPr="00D9348B">
          <w:rPr>
            <w:rFonts w:cs="Times New Roman"/>
            <w:sz w:val="22"/>
          </w:rPr>
          <w:tab/>
        </w:r>
        <w:r w:rsidR="002745A8" w:rsidRPr="00D9348B">
          <w:rPr>
            <w:rStyle w:val="Hyperlink"/>
          </w:rPr>
          <w:t>New Zealand’s net carbon stock change by carbon pool for the</w:t>
        </w:r>
        <w:r w:rsidR="002745A8" w:rsidRPr="00D9348B">
          <w:rPr>
            <w:rStyle w:val="Hyperlink"/>
            <w:rFonts w:cs="Arial"/>
          </w:rPr>
          <w:t xml:space="preserve"> Forest</w:t>
        </w:r>
        <w:r w:rsidR="002745A8" w:rsidRPr="00D9348B">
          <w:rPr>
            <w:rStyle w:val="Hyperlink"/>
          </w:rPr>
          <w:t xml:space="preserve"> land category from 1990 to 2018</w:t>
        </w:r>
        <w:r w:rsidR="002745A8" w:rsidRPr="00D9348B">
          <w:rPr>
            <w:webHidden/>
          </w:rPr>
          <w:tab/>
        </w:r>
        <w:r w:rsidR="002745A8" w:rsidRPr="00D9348B">
          <w:rPr>
            <w:webHidden/>
          </w:rPr>
          <w:fldChar w:fldCharType="begin"/>
        </w:r>
        <w:r w:rsidR="002745A8" w:rsidRPr="00D9348B">
          <w:rPr>
            <w:webHidden/>
          </w:rPr>
          <w:instrText xml:space="preserve"> PAGEREF _Toc36224599 \h </w:instrText>
        </w:r>
        <w:r w:rsidR="002745A8" w:rsidRPr="00D9348B">
          <w:rPr>
            <w:webHidden/>
          </w:rPr>
        </w:r>
        <w:r w:rsidR="002745A8" w:rsidRPr="00D9348B">
          <w:rPr>
            <w:webHidden/>
          </w:rPr>
          <w:fldChar w:fldCharType="separate"/>
        </w:r>
        <w:r w:rsidR="00950F0A">
          <w:rPr>
            <w:webHidden/>
          </w:rPr>
          <w:t>283</w:t>
        </w:r>
        <w:r w:rsidR="002745A8" w:rsidRPr="00D9348B">
          <w:rPr>
            <w:webHidden/>
          </w:rPr>
          <w:fldChar w:fldCharType="end"/>
        </w:r>
      </w:hyperlink>
    </w:p>
    <w:p w14:paraId="253F205C" w14:textId="7BD4E0AE" w:rsidR="002745A8" w:rsidRPr="00D9348B" w:rsidRDefault="00DA6C03">
      <w:pPr>
        <w:pStyle w:val="TableofFigures"/>
        <w:rPr>
          <w:rFonts w:cs="Times New Roman"/>
          <w:sz w:val="22"/>
        </w:rPr>
      </w:pPr>
      <w:hyperlink w:anchor="_Toc36224600" w:history="1">
        <w:r w:rsidR="002745A8" w:rsidRPr="00D9348B">
          <w:rPr>
            <w:rStyle w:val="Hyperlink"/>
          </w:rPr>
          <w:t>Table 6.4.4</w:t>
        </w:r>
        <w:r w:rsidR="002745A8" w:rsidRPr="00D9348B">
          <w:rPr>
            <w:rFonts w:cs="Times New Roman"/>
            <w:sz w:val="22"/>
          </w:rPr>
          <w:tab/>
        </w:r>
        <w:r w:rsidR="002745A8" w:rsidRPr="00D9348B">
          <w:rPr>
            <w:rStyle w:val="Hyperlink"/>
          </w:rPr>
          <w:t>New Zealand’s Forest land subject to deforestation, 1990 and 2018</w:t>
        </w:r>
        <w:r w:rsidR="002745A8" w:rsidRPr="00D9348B">
          <w:rPr>
            <w:webHidden/>
          </w:rPr>
          <w:tab/>
        </w:r>
        <w:r w:rsidR="002745A8" w:rsidRPr="00D9348B">
          <w:rPr>
            <w:webHidden/>
          </w:rPr>
          <w:fldChar w:fldCharType="begin"/>
        </w:r>
        <w:r w:rsidR="002745A8" w:rsidRPr="00D9348B">
          <w:rPr>
            <w:webHidden/>
          </w:rPr>
          <w:instrText xml:space="preserve"> PAGEREF _Toc36224600 \h </w:instrText>
        </w:r>
        <w:r w:rsidR="002745A8" w:rsidRPr="00D9348B">
          <w:rPr>
            <w:webHidden/>
          </w:rPr>
        </w:r>
        <w:r w:rsidR="002745A8" w:rsidRPr="00D9348B">
          <w:rPr>
            <w:webHidden/>
          </w:rPr>
          <w:fldChar w:fldCharType="separate"/>
        </w:r>
        <w:r w:rsidR="00950F0A">
          <w:rPr>
            <w:webHidden/>
          </w:rPr>
          <w:t>286</w:t>
        </w:r>
        <w:r w:rsidR="002745A8" w:rsidRPr="00D9348B">
          <w:rPr>
            <w:webHidden/>
          </w:rPr>
          <w:fldChar w:fldCharType="end"/>
        </w:r>
      </w:hyperlink>
    </w:p>
    <w:p w14:paraId="01C93FE5" w14:textId="0B05CC52" w:rsidR="002745A8" w:rsidRPr="00D9348B" w:rsidRDefault="00DA6C03">
      <w:pPr>
        <w:pStyle w:val="TableofFigures"/>
        <w:rPr>
          <w:rFonts w:cs="Times New Roman"/>
          <w:sz w:val="22"/>
        </w:rPr>
      </w:pPr>
      <w:hyperlink w:anchor="_Toc36224601" w:history="1">
        <w:r w:rsidR="002745A8" w:rsidRPr="00D9348B">
          <w:rPr>
            <w:rStyle w:val="Hyperlink"/>
          </w:rPr>
          <w:t>Table 6.4.5</w:t>
        </w:r>
        <w:r w:rsidR="002745A8" w:rsidRPr="00D9348B">
          <w:rPr>
            <w:rFonts w:cs="Times New Roman"/>
            <w:sz w:val="22"/>
          </w:rPr>
          <w:tab/>
        </w:r>
        <w:r w:rsidR="002745A8" w:rsidRPr="00D9348B">
          <w:rPr>
            <w:rStyle w:val="Hyperlink"/>
          </w:rPr>
          <w:t>Summary of methods used to calculate New Zealand’s natural forest biomass carbon stock from plot data</w:t>
        </w:r>
        <w:r w:rsidR="002745A8" w:rsidRPr="00D9348B">
          <w:rPr>
            <w:webHidden/>
          </w:rPr>
          <w:tab/>
        </w:r>
        <w:r w:rsidR="002745A8" w:rsidRPr="00D9348B">
          <w:rPr>
            <w:webHidden/>
          </w:rPr>
          <w:fldChar w:fldCharType="begin"/>
        </w:r>
        <w:r w:rsidR="002745A8" w:rsidRPr="00D9348B">
          <w:rPr>
            <w:webHidden/>
          </w:rPr>
          <w:instrText xml:space="preserve"> PAGEREF _Toc36224601 \h </w:instrText>
        </w:r>
        <w:r w:rsidR="002745A8" w:rsidRPr="00D9348B">
          <w:rPr>
            <w:webHidden/>
          </w:rPr>
        </w:r>
        <w:r w:rsidR="002745A8" w:rsidRPr="00D9348B">
          <w:rPr>
            <w:webHidden/>
          </w:rPr>
          <w:fldChar w:fldCharType="separate"/>
        </w:r>
        <w:r w:rsidR="00950F0A">
          <w:rPr>
            <w:webHidden/>
          </w:rPr>
          <w:t>292</w:t>
        </w:r>
        <w:r w:rsidR="002745A8" w:rsidRPr="00D9348B">
          <w:rPr>
            <w:webHidden/>
          </w:rPr>
          <w:fldChar w:fldCharType="end"/>
        </w:r>
      </w:hyperlink>
    </w:p>
    <w:p w14:paraId="20A4D8D5" w14:textId="64CF6FAC" w:rsidR="002745A8" w:rsidRPr="00D9348B" w:rsidRDefault="00DA6C03">
      <w:pPr>
        <w:pStyle w:val="TableofFigures"/>
        <w:rPr>
          <w:rFonts w:cs="Times New Roman"/>
          <w:sz w:val="22"/>
        </w:rPr>
      </w:pPr>
      <w:hyperlink w:anchor="_Toc36224602" w:history="1">
        <w:r w:rsidR="002745A8" w:rsidRPr="00D9348B">
          <w:rPr>
            <w:rStyle w:val="Hyperlink"/>
          </w:rPr>
          <w:t xml:space="preserve">Table 6.4.6 </w:t>
        </w:r>
        <w:r w:rsidR="002745A8" w:rsidRPr="00D9348B">
          <w:rPr>
            <w:rFonts w:cs="Times New Roman"/>
            <w:sz w:val="22"/>
          </w:rPr>
          <w:tab/>
        </w:r>
        <w:r w:rsidR="002745A8" w:rsidRPr="00D9348B">
          <w:rPr>
            <w:rStyle w:val="Hyperlink"/>
          </w:rPr>
          <w:t>Influence of individual site and management factors on predicted wood density for New Zealand planted forest</w:t>
        </w:r>
        <w:r w:rsidR="002745A8" w:rsidRPr="00D9348B">
          <w:rPr>
            <w:webHidden/>
          </w:rPr>
          <w:tab/>
        </w:r>
        <w:r w:rsidR="002745A8" w:rsidRPr="00D9348B">
          <w:rPr>
            <w:webHidden/>
          </w:rPr>
          <w:fldChar w:fldCharType="begin"/>
        </w:r>
        <w:r w:rsidR="002745A8" w:rsidRPr="00D9348B">
          <w:rPr>
            <w:webHidden/>
          </w:rPr>
          <w:instrText xml:space="preserve"> PAGEREF _Toc36224602 \h </w:instrText>
        </w:r>
        <w:r w:rsidR="002745A8" w:rsidRPr="00D9348B">
          <w:rPr>
            <w:webHidden/>
          </w:rPr>
        </w:r>
        <w:r w:rsidR="002745A8" w:rsidRPr="00D9348B">
          <w:rPr>
            <w:webHidden/>
          </w:rPr>
          <w:fldChar w:fldCharType="separate"/>
        </w:r>
        <w:r w:rsidR="00950F0A">
          <w:rPr>
            <w:webHidden/>
          </w:rPr>
          <w:t>297</w:t>
        </w:r>
        <w:r w:rsidR="002745A8" w:rsidRPr="00D9348B">
          <w:rPr>
            <w:webHidden/>
          </w:rPr>
          <w:fldChar w:fldCharType="end"/>
        </w:r>
      </w:hyperlink>
    </w:p>
    <w:p w14:paraId="6F1F3666" w14:textId="755CFD0A" w:rsidR="002745A8" w:rsidRPr="00D9348B" w:rsidRDefault="00DA6C03">
      <w:pPr>
        <w:pStyle w:val="TableofFigures"/>
        <w:rPr>
          <w:rFonts w:cs="Times New Roman"/>
          <w:sz w:val="22"/>
        </w:rPr>
      </w:pPr>
      <w:hyperlink w:anchor="_Toc36224603" w:history="1">
        <w:r w:rsidR="002745A8" w:rsidRPr="00D9348B">
          <w:rPr>
            <w:rStyle w:val="Hyperlink"/>
          </w:rPr>
          <w:t xml:space="preserve">Table 6.4.7 </w:t>
        </w:r>
        <w:r w:rsidR="002745A8" w:rsidRPr="00D9348B">
          <w:rPr>
            <w:rFonts w:cs="Times New Roman"/>
            <w:sz w:val="22"/>
          </w:rPr>
          <w:tab/>
        </w:r>
        <w:r w:rsidR="002745A8" w:rsidRPr="00D9348B">
          <w:rPr>
            <w:rStyle w:val="Hyperlink"/>
          </w:rPr>
          <w:t>Uncertainty in New Zealand’s 2018 estimates from pre-1990 natural forest (including land in transition)</w:t>
        </w:r>
        <w:r w:rsidR="002745A8" w:rsidRPr="00D9348B">
          <w:rPr>
            <w:webHidden/>
          </w:rPr>
          <w:tab/>
        </w:r>
        <w:r w:rsidR="002745A8" w:rsidRPr="00D9348B">
          <w:rPr>
            <w:webHidden/>
          </w:rPr>
          <w:fldChar w:fldCharType="begin"/>
        </w:r>
        <w:r w:rsidR="002745A8" w:rsidRPr="00D9348B">
          <w:rPr>
            <w:webHidden/>
          </w:rPr>
          <w:instrText xml:space="preserve"> PAGEREF _Toc36224603 \h </w:instrText>
        </w:r>
        <w:r w:rsidR="002745A8" w:rsidRPr="00D9348B">
          <w:rPr>
            <w:webHidden/>
          </w:rPr>
        </w:r>
        <w:r w:rsidR="002745A8" w:rsidRPr="00D9348B">
          <w:rPr>
            <w:webHidden/>
          </w:rPr>
          <w:fldChar w:fldCharType="separate"/>
        </w:r>
        <w:r w:rsidR="00950F0A">
          <w:rPr>
            <w:webHidden/>
          </w:rPr>
          <w:t>302</w:t>
        </w:r>
        <w:r w:rsidR="002745A8" w:rsidRPr="00D9348B">
          <w:rPr>
            <w:webHidden/>
          </w:rPr>
          <w:fldChar w:fldCharType="end"/>
        </w:r>
      </w:hyperlink>
    </w:p>
    <w:p w14:paraId="1B76E1CA" w14:textId="04860EA2" w:rsidR="002745A8" w:rsidRPr="00D9348B" w:rsidRDefault="00DA6C03">
      <w:pPr>
        <w:pStyle w:val="TableofFigures"/>
        <w:rPr>
          <w:rFonts w:cs="Times New Roman"/>
          <w:sz w:val="22"/>
        </w:rPr>
      </w:pPr>
      <w:hyperlink w:anchor="_Toc36224604" w:history="1">
        <w:r w:rsidR="002745A8" w:rsidRPr="00D9348B">
          <w:rPr>
            <w:rStyle w:val="Hyperlink"/>
          </w:rPr>
          <w:t>Table 6.4.8</w:t>
        </w:r>
        <w:r w:rsidR="002745A8" w:rsidRPr="00D9348B">
          <w:rPr>
            <w:rFonts w:cs="Times New Roman"/>
            <w:sz w:val="22"/>
          </w:rPr>
          <w:tab/>
        </w:r>
        <w:r w:rsidR="002745A8" w:rsidRPr="00D9348B">
          <w:rPr>
            <w:rStyle w:val="Hyperlink"/>
          </w:rPr>
          <w:t xml:space="preserve">Uncertainty in New Zealand’s 2018 estimates from </w:t>
        </w:r>
        <w:r w:rsidR="002745A8" w:rsidRPr="00D9348B">
          <w:rPr>
            <w:rStyle w:val="Hyperlink"/>
            <w:rFonts w:cs="Arial"/>
          </w:rPr>
          <w:t>pre-1990 planted forest (including land in transition)</w:t>
        </w:r>
        <w:r w:rsidR="002745A8" w:rsidRPr="00D9348B">
          <w:rPr>
            <w:webHidden/>
          </w:rPr>
          <w:tab/>
        </w:r>
        <w:r w:rsidR="002745A8" w:rsidRPr="00D9348B">
          <w:rPr>
            <w:webHidden/>
          </w:rPr>
          <w:fldChar w:fldCharType="begin"/>
        </w:r>
        <w:r w:rsidR="002745A8" w:rsidRPr="00D9348B">
          <w:rPr>
            <w:webHidden/>
          </w:rPr>
          <w:instrText xml:space="preserve"> PAGEREF _Toc36224604 \h </w:instrText>
        </w:r>
        <w:r w:rsidR="002745A8" w:rsidRPr="00D9348B">
          <w:rPr>
            <w:webHidden/>
          </w:rPr>
        </w:r>
        <w:r w:rsidR="002745A8" w:rsidRPr="00D9348B">
          <w:rPr>
            <w:webHidden/>
          </w:rPr>
          <w:fldChar w:fldCharType="separate"/>
        </w:r>
        <w:r w:rsidR="00950F0A">
          <w:rPr>
            <w:webHidden/>
          </w:rPr>
          <w:t>303</w:t>
        </w:r>
        <w:r w:rsidR="002745A8" w:rsidRPr="00D9348B">
          <w:rPr>
            <w:webHidden/>
          </w:rPr>
          <w:fldChar w:fldCharType="end"/>
        </w:r>
      </w:hyperlink>
    </w:p>
    <w:p w14:paraId="3AC0CA3D" w14:textId="015D492F" w:rsidR="002745A8" w:rsidRPr="00D9348B" w:rsidRDefault="00DA6C03">
      <w:pPr>
        <w:pStyle w:val="TableofFigures"/>
        <w:rPr>
          <w:rFonts w:cs="Times New Roman"/>
          <w:sz w:val="22"/>
        </w:rPr>
      </w:pPr>
      <w:hyperlink w:anchor="_Toc36224605" w:history="1">
        <w:r w:rsidR="002745A8" w:rsidRPr="00D9348B">
          <w:rPr>
            <w:rStyle w:val="Hyperlink"/>
          </w:rPr>
          <w:t xml:space="preserve">Table 6.4.9 </w:t>
        </w:r>
        <w:r w:rsidR="002745A8" w:rsidRPr="00D9348B">
          <w:rPr>
            <w:rFonts w:cs="Times New Roman"/>
            <w:sz w:val="22"/>
          </w:rPr>
          <w:tab/>
        </w:r>
        <w:r w:rsidR="002745A8" w:rsidRPr="00D9348B">
          <w:rPr>
            <w:rStyle w:val="Hyperlink"/>
          </w:rPr>
          <w:t>Uncertainty in New Zealand’s 2018 estimates from post-1989 forest (including land in transition)</w:t>
        </w:r>
        <w:r w:rsidR="002745A8" w:rsidRPr="00D9348B">
          <w:rPr>
            <w:webHidden/>
          </w:rPr>
          <w:tab/>
        </w:r>
        <w:r w:rsidR="002745A8" w:rsidRPr="00D9348B">
          <w:rPr>
            <w:webHidden/>
          </w:rPr>
          <w:fldChar w:fldCharType="begin"/>
        </w:r>
        <w:r w:rsidR="002745A8" w:rsidRPr="00D9348B">
          <w:rPr>
            <w:webHidden/>
          </w:rPr>
          <w:instrText xml:space="preserve"> PAGEREF _Toc36224605 \h </w:instrText>
        </w:r>
        <w:r w:rsidR="002745A8" w:rsidRPr="00D9348B">
          <w:rPr>
            <w:webHidden/>
          </w:rPr>
        </w:r>
        <w:r w:rsidR="002745A8" w:rsidRPr="00D9348B">
          <w:rPr>
            <w:webHidden/>
          </w:rPr>
          <w:fldChar w:fldCharType="separate"/>
        </w:r>
        <w:r w:rsidR="00950F0A">
          <w:rPr>
            <w:webHidden/>
          </w:rPr>
          <w:t>304</w:t>
        </w:r>
        <w:r w:rsidR="002745A8" w:rsidRPr="00D9348B">
          <w:rPr>
            <w:webHidden/>
          </w:rPr>
          <w:fldChar w:fldCharType="end"/>
        </w:r>
      </w:hyperlink>
    </w:p>
    <w:p w14:paraId="111B676C" w14:textId="2F5AF7AD" w:rsidR="002745A8" w:rsidRPr="00D9348B" w:rsidRDefault="00DA6C03">
      <w:pPr>
        <w:pStyle w:val="TableofFigures"/>
        <w:rPr>
          <w:rFonts w:cs="Times New Roman"/>
          <w:sz w:val="22"/>
        </w:rPr>
      </w:pPr>
      <w:hyperlink w:anchor="_Toc36224606" w:history="1">
        <w:r w:rsidR="002745A8" w:rsidRPr="00D9348B">
          <w:rPr>
            <w:rStyle w:val="Hyperlink"/>
          </w:rPr>
          <w:t xml:space="preserve">Table 6.4.10 </w:t>
        </w:r>
        <w:r w:rsidR="002745A8" w:rsidRPr="00D9348B">
          <w:rPr>
            <w:rFonts w:cs="Times New Roman"/>
            <w:sz w:val="22"/>
          </w:rPr>
          <w:tab/>
        </w:r>
        <w:r w:rsidR="002745A8" w:rsidRPr="00D9348B">
          <w:rPr>
            <w:rStyle w:val="Hyperlink"/>
          </w:rPr>
          <w:t>Recalculations of New Zealand’s estimates for the Forest land category in 1990 and 2017</w:t>
        </w:r>
        <w:r w:rsidR="002745A8" w:rsidRPr="00D9348B">
          <w:rPr>
            <w:webHidden/>
          </w:rPr>
          <w:tab/>
        </w:r>
        <w:r w:rsidR="002745A8" w:rsidRPr="00D9348B">
          <w:rPr>
            <w:webHidden/>
          </w:rPr>
          <w:fldChar w:fldCharType="begin"/>
        </w:r>
        <w:r w:rsidR="002745A8" w:rsidRPr="00D9348B">
          <w:rPr>
            <w:webHidden/>
          </w:rPr>
          <w:instrText xml:space="preserve"> PAGEREF _Toc36224606 \h </w:instrText>
        </w:r>
        <w:r w:rsidR="002745A8" w:rsidRPr="00D9348B">
          <w:rPr>
            <w:webHidden/>
          </w:rPr>
        </w:r>
        <w:r w:rsidR="002745A8" w:rsidRPr="00D9348B">
          <w:rPr>
            <w:webHidden/>
          </w:rPr>
          <w:fldChar w:fldCharType="separate"/>
        </w:r>
        <w:r w:rsidR="00950F0A">
          <w:rPr>
            <w:webHidden/>
          </w:rPr>
          <w:t>306</w:t>
        </w:r>
        <w:r w:rsidR="002745A8" w:rsidRPr="00D9348B">
          <w:rPr>
            <w:webHidden/>
          </w:rPr>
          <w:fldChar w:fldCharType="end"/>
        </w:r>
      </w:hyperlink>
    </w:p>
    <w:p w14:paraId="635B44DE" w14:textId="6AA4275A" w:rsidR="002745A8" w:rsidRPr="00D9348B" w:rsidRDefault="00DA6C03">
      <w:pPr>
        <w:pStyle w:val="TableofFigures"/>
        <w:rPr>
          <w:rFonts w:cs="Times New Roman"/>
          <w:sz w:val="22"/>
        </w:rPr>
      </w:pPr>
      <w:hyperlink w:anchor="_Toc36224607" w:history="1">
        <w:r w:rsidR="002745A8" w:rsidRPr="00D9348B">
          <w:rPr>
            <w:rStyle w:val="Hyperlink"/>
          </w:rPr>
          <w:t>Table 6.5.1</w:t>
        </w:r>
        <w:r w:rsidR="002745A8" w:rsidRPr="00D9348B">
          <w:rPr>
            <w:rFonts w:cs="Times New Roman"/>
            <w:sz w:val="22"/>
          </w:rPr>
          <w:tab/>
        </w:r>
        <w:r w:rsidR="002745A8" w:rsidRPr="00D9348B">
          <w:rPr>
            <w:rStyle w:val="Hyperlink"/>
          </w:rPr>
          <w:t>New Zealand’s land-use change by Cropland category, and associated</w:t>
        </w:r>
        <w:r w:rsidR="00213A7A">
          <w:rPr>
            <w:rStyle w:val="Hyperlink"/>
          </w:rPr>
          <w:t xml:space="preserve"> </w:t>
        </w:r>
        <w:r w:rsidR="002745A8" w:rsidRPr="00D9348B">
          <w:rPr>
            <w:rStyle w:val="Hyperlink"/>
          </w:rPr>
          <w:t>CO</w:t>
        </w:r>
        <w:r w:rsidR="002745A8" w:rsidRPr="00D9348B">
          <w:rPr>
            <w:rStyle w:val="Hyperlink"/>
            <w:vertAlign w:val="subscript"/>
          </w:rPr>
          <w:t>2</w:t>
        </w:r>
        <w:r w:rsidR="002745A8" w:rsidRPr="00D9348B">
          <w:rPr>
            <w:rStyle w:val="Hyperlink"/>
          </w:rPr>
          <w:t>-e emissions, 1990 and 2018</w:t>
        </w:r>
        <w:r w:rsidR="002745A8" w:rsidRPr="00D9348B">
          <w:rPr>
            <w:webHidden/>
          </w:rPr>
          <w:tab/>
        </w:r>
        <w:r w:rsidR="002745A8" w:rsidRPr="00D9348B">
          <w:rPr>
            <w:webHidden/>
          </w:rPr>
          <w:fldChar w:fldCharType="begin"/>
        </w:r>
        <w:r w:rsidR="002745A8" w:rsidRPr="00D9348B">
          <w:rPr>
            <w:webHidden/>
          </w:rPr>
          <w:instrText xml:space="preserve"> PAGEREF _Toc36224607 \h </w:instrText>
        </w:r>
        <w:r w:rsidR="002745A8" w:rsidRPr="00D9348B">
          <w:rPr>
            <w:webHidden/>
          </w:rPr>
        </w:r>
        <w:r w:rsidR="002745A8" w:rsidRPr="00D9348B">
          <w:rPr>
            <w:webHidden/>
          </w:rPr>
          <w:fldChar w:fldCharType="separate"/>
        </w:r>
        <w:r w:rsidR="00950F0A">
          <w:rPr>
            <w:webHidden/>
          </w:rPr>
          <w:t>308</w:t>
        </w:r>
        <w:r w:rsidR="002745A8" w:rsidRPr="00D9348B">
          <w:rPr>
            <w:webHidden/>
          </w:rPr>
          <w:fldChar w:fldCharType="end"/>
        </w:r>
      </w:hyperlink>
    </w:p>
    <w:p w14:paraId="3F6DE00D" w14:textId="07690DE6" w:rsidR="002745A8" w:rsidRPr="00D9348B" w:rsidRDefault="00DA6C03">
      <w:pPr>
        <w:pStyle w:val="TableofFigures"/>
        <w:rPr>
          <w:rFonts w:cs="Times New Roman"/>
          <w:sz w:val="22"/>
        </w:rPr>
      </w:pPr>
      <w:hyperlink w:anchor="_Toc36224608" w:history="1">
        <w:r w:rsidR="002745A8" w:rsidRPr="00D9348B">
          <w:rPr>
            <w:rStyle w:val="Hyperlink"/>
          </w:rPr>
          <w:t>Table 6.5.2</w:t>
        </w:r>
        <w:r w:rsidR="002745A8" w:rsidRPr="00D9348B">
          <w:rPr>
            <w:rFonts w:cs="Times New Roman"/>
            <w:sz w:val="22"/>
          </w:rPr>
          <w:tab/>
        </w:r>
        <w:r w:rsidR="002745A8" w:rsidRPr="00D9348B">
          <w:rPr>
            <w:rStyle w:val="Hyperlink"/>
          </w:rPr>
          <w:t>New Zealand’s carbon stock change by carbon pool for the</w:t>
        </w:r>
        <w:r w:rsidR="002745A8" w:rsidRPr="00D9348B">
          <w:rPr>
            <w:rStyle w:val="Hyperlink"/>
            <w:rFonts w:cs="Arial"/>
          </w:rPr>
          <w:t xml:space="preserve"> Crop</w:t>
        </w:r>
        <w:r w:rsidR="002745A8" w:rsidRPr="00D9348B">
          <w:rPr>
            <w:rStyle w:val="Hyperlink"/>
          </w:rPr>
          <w:t>land category from 1990 to 2018</w:t>
        </w:r>
        <w:r w:rsidR="002745A8" w:rsidRPr="00D9348B">
          <w:rPr>
            <w:webHidden/>
          </w:rPr>
          <w:tab/>
        </w:r>
        <w:r w:rsidR="002745A8" w:rsidRPr="00D9348B">
          <w:rPr>
            <w:webHidden/>
          </w:rPr>
          <w:fldChar w:fldCharType="begin"/>
        </w:r>
        <w:r w:rsidR="002745A8" w:rsidRPr="00D9348B">
          <w:rPr>
            <w:webHidden/>
          </w:rPr>
          <w:instrText xml:space="preserve"> PAGEREF _Toc36224608 \h </w:instrText>
        </w:r>
        <w:r w:rsidR="002745A8" w:rsidRPr="00D9348B">
          <w:rPr>
            <w:webHidden/>
          </w:rPr>
        </w:r>
        <w:r w:rsidR="002745A8" w:rsidRPr="00D9348B">
          <w:rPr>
            <w:webHidden/>
          </w:rPr>
          <w:fldChar w:fldCharType="separate"/>
        </w:r>
        <w:r w:rsidR="00950F0A">
          <w:rPr>
            <w:webHidden/>
          </w:rPr>
          <w:t>308</w:t>
        </w:r>
        <w:r w:rsidR="002745A8" w:rsidRPr="00D9348B">
          <w:rPr>
            <w:webHidden/>
          </w:rPr>
          <w:fldChar w:fldCharType="end"/>
        </w:r>
      </w:hyperlink>
    </w:p>
    <w:p w14:paraId="75391FAC" w14:textId="047C874D" w:rsidR="002745A8" w:rsidRPr="00D9348B" w:rsidRDefault="00DA6C03">
      <w:pPr>
        <w:pStyle w:val="TableofFigures"/>
        <w:rPr>
          <w:rFonts w:cs="Times New Roman"/>
          <w:sz w:val="22"/>
        </w:rPr>
      </w:pPr>
      <w:hyperlink w:anchor="_Toc36224609" w:history="1">
        <w:r w:rsidR="002745A8" w:rsidRPr="00D9348B">
          <w:rPr>
            <w:rStyle w:val="Hyperlink"/>
          </w:rPr>
          <w:t>Table 6.5.3</w:t>
        </w:r>
        <w:r w:rsidR="002745A8" w:rsidRPr="00D9348B">
          <w:rPr>
            <w:rFonts w:cs="Times New Roman"/>
            <w:sz w:val="22"/>
          </w:rPr>
          <w:tab/>
        </w:r>
        <w:r w:rsidR="002745A8" w:rsidRPr="00D9348B">
          <w:rPr>
            <w:rStyle w:val="Hyperlink"/>
          </w:rPr>
          <w:t>New Zealand’s land-use change by Cropland land use, and associated CO</w:t>
        </w:r>
        <w:r w:rsidR="002745A8" w:rsidRPr="00D9348B">
          <w:rPr>
            <w:rStyle w:val="Hyperlink"/>
            <w:vertAlign w:val="subscript"/>
          </w:rPr>
          <w:t>2</w:t>
        </w:r>
        <w:r w:rsidR="002745A8" w:rsidRPr="00D9348B">
          <w:rPr>
            <w:rStyle w:val="Hyperlink"/>
          </w:rPr>
          <w:t xml:space="preserve"> emissions from carbon stock change, from 1990 to 2018</w:t>
        </w:r>
        <w:r w:rsidR="002745A8" w:rsidRPr="00D9348B">
          <w:rPr>
            <w:webHidden/>
          </w:rPr>
          <w:tab/>
        </w:r>
        <w:r w:rsidR="002745A8" w:rsidRPr="00D9348B">
          <w:rPr>
            <w:webHidden/>
          </w:rPr>
          <w:fldChar w:fldCharType="begin"/>
        </w:r>
        <w:r w:rsidR="002745A8" w:rsidRPr="00D9348B">
          <w:rPr>
            <w:webHidden/>
          </w:rPr>
          <w:instrText xml:space="preserve"> PAGEREF _Toc36224609 \h </w:instrText>
        </w:r>
        <w:r w:rsidR="002745A8" w:rsidRPr="00D9348B">
          <w:rPr>
            <w:webHidden/>
          </w:rPr>
        </w:r>
        <w:r w:rsidR="002745A8" w:rsidRPr="00D9348B">
          <w:rPr>
            <w:webHidden/>
          </w:rPr>
          <w:fldChar w:fldCharType="separate"/>
        </w:r>
        <w:r w:rsidR="00950F0A">
          <w:rPr>
            <w:webHidden/>
          </w:rPr>
          <w:t>309</w:t>
        </w:r>
        <w:r w:rsidR="002745A8" w:rsidRPr="00D9348B">
          <w:rPr>
            <w:webHidden/>
          </w:rPr>
          <w:fldChar w:fldCharType="end"/>
        </w:r>
      </w:hyperlink>
    </w:p>
    <w:p w14:paraId="2B80F83B" w14:textId="16AD61D3" w:rsidR="002745A8" w:rsidRPr="00D9348B" w:rsidRDefault="00DA6C03">
      <w:pPr>
        <w:pStyle w:val="TableofFigures"/>
        <w:rPr>
          <w:rFonts w:cs="Times New Roman"/>
          <w:sz w:val="22"/>
        </w:rPr>
      </w:pPr>
      <w:hyperlink w:anchor="_Toc36224610" w:history="1">
        <w:r w:rsidR="002745A8" w:rsidRPr="00D9348B">
          <w:rPr>
            <w:rStyle w:val="Hyperlink"/>
          </w:rPr>
          <w:t>Table 6.5.4</w:t>
        </w:r>
        <w:r w:rsidR="002745A8" w:rsidRPr="00D9348B">
          <w:rPr>
            <w:rFonts w:cs="Times New Roman"/>
            <w:sz w:val="22"/>
          </w:rPr>
          <w:tab/>
        </w:r>
        <w:r w:rsidR="002745A8" w:rsidRPr="00D9348B">
          <w:rPr>
            <w:rStyle w:val="Hyperlink"/>
          </w:rPr>
          <w:t>New Zealand’s land-use change for the Cropland category from 1990 to 2018</w:t>
        </w:r>
        <w:r w:rsidR="002745A8" w:rsidRPr="00D9348B">
          <w:rPr>
            <w:webHidden/>
          </w:rPr>
          <w:tab/>
        </w:r>
        <w:r w:rsidR="002745A8" w:rsidRPr="00D9348B">
          <w:rPr>
            <w:webHidden/>
          </w:rPr>
          <w:fldChar w:fldCharType="begin"/>
        </w:r>
        <w:r w:rsidR="002745A8" w:rsidRPr="00D9348B">
          <w:rPr>
            <w:webHidden/>
          </w:rPr>
          <w:instrText xml:space="preserve"> PAGEREF _Toc36224610 \h </w:instrText>
        </w:r>
        <w:r w:rsidR="002745A8" w:rsidRPr="00D9348B">
          <w:rPr>
            <w:webHidden/>
          </w:rPr>
        </w:r>
        <w:r w:rsidR="002745A8" w:rsidRPr="00D9348B">
          <w:rPr>
            <w:webHidden/>
          </w:rPr>
          <w:fldChar w:fldCharType="separate"/>
        </w:r>
        <w:r w:rsidR="00950F0A">
          <w:rPr>
            <w:webHidden/>
          </w:rPr>
          <w:t>309</w:t>
        </w:r>
        <w:r w:rsidR="002745A8" w:rsidRPr="00D9348B">
          <w:rPr>
            <w:webHidden/>
          </w:rPr>
          <w:fldChar w:fldCharType="end"/>
        </w:r>
      </w:hyperlink>
    </w:p>
    <w:p w14:paraId="0DBFB4E5" w14:textId="2BFA3005" w:rsidR="002745A8" w:rsidRPr="00D9348B" w:rsidRDefault="00DA6C03">
      <w:pPr>
        <w:pStyle w:val="TableofFigures"/>
        <w:rPr>
          <w:rFonts w:cs="Times New Roman"/>
          <w:sz w:val="22"/>
        </w:rPr>
      </w:pPr>
      <w:hyperlink w:anchor="_Toc36224611" w:history="1">
        <w:r w:rsidR="002745A8" w:rsidRPr="00D9348B">
          <w:rPr>
            <w:rStyle w:val="Hyperlink"/>
          </w:rPr>
          <w:t>Table 6.5.5</w:t>
        </w:r>
        <w:r w:rsidR="002745A8" w:rsidRPr="00D9348B">
          <w:rPr>
            <w:rFonts w:cs="Times New Roman"/>
            <w:sz w:val="22"/>
          </w:rPr>
          <w:tab/>
        </w:r>
        <w:r w:rsidR="002745A8" w:rsidRPr="00D9348B">
          <w:rPr>
            <w:rStyle w:val="Hyperlink"/>
          </w:rPr>
          <w:t>Summary of New Zealand’s carbon stock change emission factors for Cropland</w:t>
        </w:r>
        <w:r w:rsidR="002745A8" w:rsidRPr="00D9348B">
          <w:rPr>
            <w:webHidden/>
          </w:rPr>
          <w:tab/>
        </w:r>
        <w:r w:rsidR="002745A8" w:rsidRPr="00D9348B">
          <w:rPr>
            <w:webHidden/>
          </w:rPr>
          <w:fldChar w:fldCharType="begin"/>
        </w:r>
        <w:r w:rsidR="002745A8" w:rsidRPr="00D9348B">
          <w:rPr>
            <w:webHidden/>
          </w:rPr>
          <w:instrText xml:space="preserve"> PAGEREF _Toc36224611 \h </w:instrText>
        </w:r>
        <w:r w:rsidR="002745A8" w:rsidRPr="00D9348B">
          <w:rPr>
            <w:webHidden/>
          </w:rPr>
        </w:r>
        <w:r w:rsidR="002745A8" w:rsidRPr="00D9348B">
          <w:rPr>
            <w:webHidden/>
          </w:rPr>
          <w:fldChar w:fldCharType="separate"/>
        </w:r>
        <w:r w:rsidR="00950F0A">
          <w:rPr>
            <w:webHidden/>
          </w:rPr>
          <w:t>310</w:t>
        </w:r>
        <w:r w:rsidR="002745A8" w:rsidRPr="00D9348B">
          <w:rPr>
            <w:webHidden/>
          </w:rPr>
          <w:fldChar w:fldCharType="end"/>
        </w:r>
      </w:hyperlink>
    </w:p>
    <w:p w14:paraId="0E8B7748" w14:textId="3AAC86E7" w:rsidR="002745A8" w:rsidRPr="00D9348B" w:rsidRDefault="00DA6C03">
      <w:pPr>
        <w:pStyle w:val="TableofFigures"/>
        <w:rPr>
          <w:rFonts w:cs="Times New Roman"/>
          <w:sz w:val="22"/>
        </w:rPr>
      </w:pPr>
      <w:hyperlink w:anchor="_Toc36224612" w:history="1">
        <w:r w:rsidR="002745A8" w:rsidRPr="00D9348B">
          <w:rPr>
            <w:rStyle w:val="Hyperlink"/>
          </w:rPr>
          <w:t>Table 6.5.6</w:t>
        </w:r>
        <w:r w:rsidR="002745A8" w:rsidRPr="00D9348B">
          <w:rPr>
            <w:rFonts w:cs="Times New Roman"/>
            <w:sz w:val="22"/>
          </w:rPr>
          <w:tab/>
        </w:r>
        <w:r w:rsidR="002745A8" w:rsidRPr="00D9348B">
          <w:rPr>
            <w:rStyle w:val="Hyperlink"/>
          </w:rPr>
          <w:t>Uncertainty in New Zealand’s 2018 Cropland estimates (including land in transition)</w:t>
        </w:r>
        <w:r w:rsidR="002745A8" w:rsidRPr="00D9348B">
          <w:rPr>
            <w:webHidden/>
          </w:rPr>
          <w:tab/>
        </w:r>
        <w:r w:rsidR="002745A8" w:rsidRPr="00D9348B">
          <w:rPr>
            <w:webHidden/>
          </w:rPr>
          <w:fldChar w:fldCharType="begin"/>
        </w:r>
        <w:r w:rsidR="002745A8" w:rsidRPr="00D9348B">
          <w:rPr>
            <w:webHidden/>
          </w:rPr>
          <w:instrText xml:space="preserve"> PAGEREF _Toc36224612 \h </w:instrText>
        </w:r>
        <w:r w:rsidR="002745A8" w:rsidRPr="00D9348B">
          <w:rPr>
            <w:webHidden/>
          </w:rPr>
        </w:r>
        <w:r w:rsidR="002745A8" w:rsidRPr="00D9348B">
          <w:rPr>
            <w:webHidden/>
          </w:rPr>
          <w:fldChar w:fldCharType="separate"/>
        </w:r>
        <w:r w:rsidR="00950F0A">
          <w:rPr>
            <w:webHidden/>
          </w:rPr>
          <w:t>313</w:t>
        </w:r>
        <w:r w:rsidR="002745A8" w:rsidRPr="00D9348B">
          <w:rPr>
            <w:webHidden/>
          </w:rPr>
          <w:fldChar w:fldCharType="end"/>
        </w:r>
      </w:hyperlink>
    </w:p>
    <w:p w14:paraId="176BC094" w14:textId="7EC052A6" w:rsidR="002745A8" w:rsidRPr="00D9348B" w:rsidRDefault="00DA6C03">
      <w:pPr>
        <w:pStyle w:val="TableofFigures"/>
        <w:rPr>
          <w:rFonts w:cs="Times New Roman"/>
          <w:sz w:val="22"/>
        </w:rPr>
      </w:pPr>
      <w:hyperlink w:anchor="_Toc36224613" w:history="1">
        <w:r w:rsidR="002745A8" w:rsidRPr="00D9348B">
          <w:rPr>
            <w:rStyle w:val="Hyperlink"/>
          </w:rPr>
          <w:t>Table 6.5.7</w:t>
        </w:r>
        <w:r w:rsidR="002745A8" w:rsidRPr="00D9348B">
          <w:rPr>
            <w:rFonts w:cs="Times New Roman"/>
            <w:sz w:val="22"/>
          </w:rPr>
          <w:tab/>
        </w:r>
        <w:r w:rsidR="002745A8" w:rsidRPr="00D9348B">
          <w:rPr>
            <w:rStyle w:val="Hyperlink"/>
          </w:rPr>
          <w:t>Recalculations of New Zealand’s net emissions from the Cropland category in 1990 and 2017</w:t>
        </w:r>
        <w:r w:rsidR="002745A8" w:rsidRPr="00D9348B">
          <w:rPr>
            <w:webHidden/>
          </w:rPr>
          <w:tab/>
        </w:r>
        <w:r w:rsidR="002745A8" w:rsidRPr="00D9348B">
          <w:rPr>
            <w:webHidden/>
          </w:rPr>
          <w:fldChar w:fldCharType="begin"/>
        </w:r>
        <w:r w:rsidR="002745A8" w:rsidRPr="00D9348B">
          <w:rPr>
            <w:webHidden/>
          </w:rPr>
          <w:instrText xml:space="preserve"> PAGEREF _Toc36224613 \h </w:instrText>
        </w:r>
        <w:r w:rsidR="002745A8" w:rsidRPr="00D9348B">
          <w:rPr>
            <w:webHidden/>
          </w:rPr>
        </w:r>
        <w:r w:rsidR="002745A8" w:rsidRPr="00D9348B">
          <w:rPr>
            <w:webHidden/>
          </w:rPr>
          <w:fldChar w:fldCharType="separate"/>
        </w:r>
        <w:r w:rsidR="00950F0A">
          <w:rPr>
            <w:webHidden/>
          </w:rPr>
          <w:t>313</w:t>
        </w:r>
        <w:r w:rsidR="002745A8" w:rsidRPr="00D9348B">
          <w:rPr>
            <w:webHidden/>
          </w:rPr>
          <w:fldChar w:fldCharType="end"/>
        </w:r>
      </w:hyperlink>
    </w:p>
    <w:p w14:paraId="1BC7A2D1" w14:textId="0F736C03" w:rsidR="002745A8" w:rsidRPr="00D9348B" w:rsidRDefault="00DA6C03">
      <w:pPr>
        <w:pStyle w:val="TableofFigures"/>
        <w:rPr>
          <w:rFonts w:cs="Times New Roman"/>
          <w:sz w:val="22"/>
        </w:rPr>
      </w:pPr>
      <w:hyperlink w:anchor="_Toc36224614" w:history="1">
        <w:r w:rsidR="002745A8" w:rsidRPr="00D9348B">
          <w:rPr>
            <w:rStyle w:val="Hyperlink"/>
          </w:rPr>
          <w:t>Table 6.6.1</w:t>
        </w:r>
        <w:r w:rsidR="002745A8" w:rsidRPr="00D9348B">
          <w:rPr>
            <w:rFonts w:cs="Times New Roman"/>
            <w:sz w:val="22"/>
          </w:rPr>
          <w:tab/>
        </w:r>
        <w:r w:rsidR="002745A8" w:rsidRPr="00D9348B">
          <w:rPr>
            <w:rStyle w:val="Hyperlink"/>
          </w:rPr>
          <w:t>New Zealand’s land-use change for the Grassland category, and associated CO</w:t>
        </w:r>
        <w:r w:rsidR="002745A8" w:rsidRPr="00D9348B">
          <w:rPr>
            <w:rStyle w:val="Hyperlink"/>
            <w:vertAlign w:val="subscript"/>
          </w:rPr>
          <w:t>2</w:t>
        </w:r>
        <w:r w:rsidR="002745A8" w:rsidRPr="00D9348B">
          <w:rPr>
            <w:rStyle w:val="Hyperlink"/>
          </w:rPr>
          <w:noBreakHyphen/>
          <w:t>e emissions, from 1990 to 2018</w:t>
        </w:r>
        <w:r w:rsidR="002745A8" w:rsidRPr="00D9348B">
          <w:rPr>
            <w:webHidden/>
          </w:rPr>
          <w:tab/>
        </w:r>
        <w:r w:rsidR="002745A8" w:rsidRPr="00D9348B">
          <w:rPr>
            <w:webHidden/>
          </w:rPr>
          <w:fldChar w:fldCharType="begin"/>
        </w:r>
        <w:r w:rsidR="002745A8" w:rsidRPr="00D9348B">
          <w:rPr>
            <w:webHidden/>
          </w:rPr>
          <w:instrText xml:space="preserve"> PAGEREF _Toc36224614 \h </w:instrText>
        </w:r>
        <w:r w:rsidR="002745A8" w:rsidRPr="00D9348B">
          <w:rPr>
            <w:webHidden/>
          </w:rPr>
        </w:r>
        <w:r w:rsidR="002745A8" w:rsidRPr="00D9348B">
          <w:rPr>
            <w:webHidden/>
          </w:rPr>
          <w:fldChar w:fldCharType="separate"/>
        </w:r>
        <w:r w:rsidR="00950F0A">
          <w:rPr>
            <w:webHidden/>
          </w:rPr>
          <w:t>315</w:t>
        </w:r>
        <w:r w:rsidR="002745A8" w:rsidRPr="00D9348B">
          <w:rPr>
            <w:webHidden/>
          </w:rPr>
          <w:fldChar w:fldCharType="end"/>
        </w:r>
      </w:hyperlink>
    </w:p>
    <w:p w14:paraId="54BDF67A" w14:textId="536612A2" w:rsidR="002745A8" w:rsidRPr="00D9348B" w:rsidRDefault="00DA6C03">
      <w:pPr>
        <w:pStyle w:val="TableofFigures"/>
        <w:rPr>
          <w:rFonts w:cs="Times New Roman"/>
          <w:sz w:val="22"/>
        </w:rPr>
      </w:pPr>
      <w:hyperlink w:anchor="_Toc36224615" w:history="1">
        <w:r w:rsidR="002745A8" w:rsidRPr="00D9348B">
          <w:rPr>
            <w:rStyle w:val="Hyperlink"/>
          </w:rPr>
          <w:t>Table 6.6.2</w:t>
        </w:r>
        <w:r w:rsidR="002745A8" w:rsidRPr="00D9348B">
          <w:rPr>
            <w:rFonts w:cs="Times New Roman"/>
            <w:sz w:val="22"/>
          </w:rPr>
          <w:tab/>
        </w:r>
        <w:r w:rsidR="002745A8" w:rsidRPr="00D9348B">
          <w:rPr>
            <w:rStyle w:val="Hyperlink"/>
          </w:rPr>
          <w:t>New Zealand’s carbon stock change by carbon pool for the</w:t>
        </w:r>
        <w:r w:rsidR="002745A8" w:rsidRPr="00D9348B">
          <w:rPr>
            <w:rStyle w:val="Hyperlink"/>
            <w:rFonts w:cs="Arial"/>
          </w:rPr>
          <w:t xml:space="preserve"> Grassland</w:t>
        </w:r>
        <w:r w:rsidR="002745A8" w:rsidRPr="00D9348B">
          <w:rPr>
            <w:rStyle w:val="Hyperlink"/>
          </w:rPr>
          <w:t xml:space="preserve"> category from 1990 to 2018</w:t>
        </w:r>
        <w:r w:rsidR="002745A8" w:rsidRPr="00D9348B">
          <w:rPr>
            <w:webHidden/>
          </w:rPr>
          <w:tab/>
        </w:r>
        <w:r w:rsidR="002745A8" w:rsidRPr="00D9348B">
          <w:rPr>
            <w:webHidden/>
          </w:rPr>
          <w:fldChar w:fldCharType="begin"/>
        </w:r>
        <w:r w:rsidR="002745A8" w:rsidRPr="00D9348B">
          <w:rPr>
            <w:webHidden/>
          </w:rPr>
          <w:instrText xml:space="preserve"> PAGEREF _Toc36224615 \h </w:instrText>
        </w:r>
        <w:r w:rsidR="002745A8" w:rsidRPr="00D9348B">
          <w:rPr>
            <w:webHidden/>
          </w:rPr>
        </w:r>
        <w:r w:rsidR="002745A8" w:rsidRPr="00D9348B">
          <w:rPr>
            <w:webHidden/>
          </w:rPr>
          <w:fldChar w:fldCharType="separate"/>
        </w:r>
        <w:r w:rsidR="00950F0A">
          <w:rPr>
            <w:webHidden/>
          </w:rPr>
          <w:t>315</w:t>
        </w:r>
        <w:r w:rsidR="002745A8" w:rsidRPr="00D9348B">
          <w:rPr>
            <w:webHidden/>
          </w:rPr>
          <w:fldChar w:fldCharType="end"/>
        </w:r>
      </w:hyperlink>
    </w:p>
    <w:p w14:paraId="16A59C43" w14:textId="058EC256" w:rsidR="002745A8" w:rsidRPr="00D9348B" w:rsidRDefault="00DA6C03">
      <w:pPr>
        <w:pStyle w:val="TableofFigures"/>
        <w:rPr>
          <w:rFonts w:cs="Times New Roman"/>
          <w:sz w:val="22"/>
        </w:rPr>
      </w:pPr>
      <w:hyperlink w:anchor="_Toc36224616" w:history="1">
        <w:r w:rsidR="002745A8" w:rsidRPr="00D9348B">
          <w:rPr>
            <w:rStyle w:val="Hyperlink"/>
          </w:rPr>
          <w:t>Table 6.6.3</w:t>
        </w:r>
        <w:r w:rsidR="002745A8" w:rsidRPr="00D9348B">
          <w:rPr>
            <w:rFonts w:cs="Times New Roman"/>
            <w:sz w:val="22"/>
          </w:rPr>
          <w:tab/>
        </w:r>
        <w:r w:rsidR="002745A8" w:rsidRPr="00D9348B">
          <w:rPr>
            <w:rStyle w:val="Hyperlink"/>
          </w:rPr>
          <w:t>Summary of New Zealand’s biomass emission factors for Grassland</w:t>
        </w:r>
        <w:r w:rsidR="002745A8" w:rsidRPr="00D9348B">
          <w:rPr>
            <w:webHidden/>
          </w:rPr>
          <w:tab/>
        </w:r>
        <w:r w:rsidR="002745A8" w:rsidRPr="00D9348B">
          <w:rPr>
            <w:webHidden/>
          </w:rPr>
          <w:fldChar w:fldCharType="begin"/>
        </w:r>
        <w:r w:rsidR="002745A8" w:rsidRPr="00D9348B">
          <w:rPr>
            <w:webHidden/>
          </w:rPr>
          <w:instrText xml:space="preserve"> PAGEREF _Toc36224616 \h </w:instrText>
        </w:r>
        <w:r w:rsidR="002745A8" w:rsidRPr="00D9348B">
          <w:rPr>
            <w:webHidden/>
          </w:rPr>
        </w:r>
        <w:r w:rsidR="002745A8" w:rsidRPr="00D9348B">
          <w:rPr>
            <w:webHidden/>
          </w:rPr>
          <w:fldChar w:fldCharType="separate"/>
        </w:r>
        <w:r w:rsidR="00950F0A">
          <w:rPr>
            <w:webHidden/>
          </w:rPr>
          <w:t>316</w:t>
        </w:r>
        <w:r w:rsidR="002745A8" w:rsidRPr="00D9348B">
          <w:rPr>
            <w:webHidden/>
          </w:rPr>
          <w:fldChar w:fldCharType="end"/>
        </w:r>
      </w:hyperlink>
    </w:p>
    <w:p w14:paraId="6A686611" w14:textId="5AD2F9B7" w:rsidR="002745A8" w:rsidRPr="00D9348B" w:rsidRDefault="00DA6C03">
      <w:pPr>
        <w:pStyle w:val="TableofFigures"/>
        <w:rPr>
          <w:rFonts w:cs="Times New Roman"/>
          <w:sz w:val="22"/>
        </w:rPr>
      </w:pPr>
      <w:hyperlink w:anchor="_Toc36224617" w:history="1">
        <w:r w:rsidR="002745A8" w:rsidRPr="00D9348B">
          <w:rPr>
            <w:rStyle w:val="Hyperlink"/>
          </w:rPr>
          <w:t>Table 6.6.4</w:t>
        </w:r>
        <w:r w:rsidR="002745A8" w:rsidRPr="00D9348B">
          <w:rPr>
            <w:rFonts w:cs="Times New Roman"/>
            <w:sz w:val="22"/>
          </w:rPr>
          <w:tab/>
        </w:r>
        <w:r w:rsidR="002745A8" w:rsidRPr="00D9348B">
          <w:rPr>
            <w:rStyle w:val="Hyperlink"/>
          </w:rPr>
          <w:t>New Zealand’s soil carbon stock values by Grassland type: from table 6.3.2</w:t>
        </w:r>
        <w:r w:rsidR="002745A8" w:rsidRPr="00D9348B">
          <w:rPr>
            <w:webHidden/>
          </w:rPr>
          <w:tab/>
        </w:r>
        <w:r w:rsidR="002745A8" w:rsidRPr="00D9348B">
          <w:rPr>
            <w:webHidden/>
          </w:rPr>
          <w:fldChar w:fldCharType="begin"/>
        </w:r>
        <w:r w:rsidR="002745A8" w:rsidRPr="00D9348B">
          <w:rPr>
            <w:webHidden/>
          </w:rPr>
          <w:instrText xml:space="preserve"> PAGEREF _Toc36224617 \h </w:instrText>
        </w:r>
        <w:r w:rsidR="002745A8" w:rsidRPr="00D9348B">
          <w:rPr>
            <w:webHidden/>
          </w:rPr>
        </w:r>
        <w:r w:rsidR="002745A8" w:rsidRPr="00D9348B">
          <w:rPr>
            <w:webHidden/>
          </w:rPr>
          <w:fldChar w:fldCharType="separate"/>
        </w:r>
        <w:r w:rsidR="00950F0A">
          <w:rPr>
            <w:webHidden/>
          </w:rPr>
          <w:t>317</w:t>
        </w:r>
        <w:r w:rsidR="002745A8" w:rsidRPr="00D9348B">
          <w:rPr>
            <w:webHidden/>
          </w:rPr>
          <w:fldChar w:fldCharType="end"/>
        </w:r>
      </w:hyperlink>
    </w:p>
    <w:p w14:paraId="42208F10" w14:textId="6A621B17" w:rsidR="002745A8" w:rsidRPr="00D9348B" w:rsidRDefault="00DA6C03">
      <w:pPr>
        <w:pStyle w:val="TableofFigures"/>
        <w:rPr>
          <w:rFonts w:cs="Times New Roman"/>
          <w:sz w:val="22"/>
        </w:rPr>
      </w:pPr>
      <w:hyperlink w:anchor="_Toc36224618" w:history="1">
        <w:r w:rsidR="002745A8" w:rsidRPr="00D9348B">
          <w:rPr>
            <w:rStyle w:val="Hyperlink"/>
          </w:rPr>
          <w:t>Table 6.6.5</w:t>
        </w:r>
        <w:r w:rsidR="002745A8" w:rsidRPr="00D9348B">
          <w:rPr>
            <w:rFonts w:cs="Times New Roman"/>
            <w:sz w:val="22"/>
          </w:rPr>
          <w:tab/>
        </w:r>
        <w:r w:rsidR="002745A8" w:rsidRPr="00D9348B">
          <w:rPr>
            <w:rStyle w:val="Hyperlink"/>
          </w:rPr>
          <w:t>Uncertainty in New Zealand’s 2018 estimates for the Grassland category (including land in transition)</w:t>
        </w:r>
        <w:r w:rsidR="002745A8" w:rsidRPr="00D9348B">
          <w:rPr>
            <w:webHidden/>
          </w:rPr>
          <w:tab/>
        </w:r>
        <w:r w:rsidR="002745A8" w:rsidRPr="00D9348B">
          <w:rPr>
            <w:webHidden/>
          </w:rPr>
          <w:fldChar w:fldCharType="begin"/>
        </w:r>
        <w:r w:rsidR="002745A8" w:rsidRPr="00D9348B">
          <w:rPr>
            <w:webHidden/>
          </w:rPr>
          <w:instrText xml:space="preserve"> PAGEREF _Toc36224618 \h </w:instrText>
        </w:r>
        <w:r w:rsidR="002745A8" w:rsidRPr="00D9348B">
          <w:rPr>
            <w:webHidden/>
          </w:rPr>
        </w:r>
        <w:r w:rsidR="002745A8" w:rsidRPr="00D9348B">
          <w:rPr>
            <w:webHidden/>
          </w:rPr>
          <w:fldChar w:fldCharType="separate"/>
        </w:r>
        <w:r w:rsidR="00950F0A">
          <w:rPr>
            <w:webHidden/>
          </w:rPr>
          <w:t>319</w:t>
        </w:r>
        <w:r w:rsidR="002745A8" w:rsidRPr="00D9348B">
          <w:rPr>
            <w:webHidden/>
          </w:rPr>
          <w:fldChar w:fldCharType="end"/>
        </w:r>
      </w:hyperlink>
    </w:p>
    <w:p w14:paraId="761D406F" w14:textId="3FA6A03B" w:rsidR="002745A8" w:rsidRPr="00D9348B" w:rsidRDefault="00DA6C03">
      <w:pPr>
        <w:pStyle w:val="TableofFigures"/>
        <w:rPr>
          <w:rFonts w:cs="Times New Roman"/>
          <w:sz w:val="22"/>
        </w:rPr>
      </w:pPr>
      <w:hyperlink w:anchor="_Toc36224619" w:history="1">
        <w:r w:rsidR="002745A8" w:rsidRPr="00D9348B">
          <w:rPr>
            <w:rStyle w:val="Hyperlink"/>
          </w:rPr>
          <w:t>Table 6.6.6</w:t>
        </w:r>
        <w:r w:rsidR="002745A8" w:rsidRPr="00D9348B">
          <w:rPr>
            <w:rFonts w:cs="Times New Roman"/>
            <w:sz w:val="22"/>
          </w:rPr>
          <w:tab/>
        </w:r>
        <w:r w:rsidR="002745A8" w:rsidRPr="00D9348B">
          <w:rPr>
            <w:rStyle w:val="Hyperlink"/>
          </w:rPr>
          <w:t>Recalculations of New Zealand’s net emissions from the Grassland category in 1990 and 2017</w:t>
        </w:r>
        <w:r w:rsidR="002745A8" w:rsidRPr="00D9348B">
          <w:rPr>
            <w:webHidden/>
          </w:rPr>
          <w:tab/>
        </w:r>
        <w:r w:rsidR="002745A8" w:rsidRPr="00D9348B">
          <w:rPr>
            <w:webHidden/>
          </w:rPr>
          <w:fldChar w:fldCharType="begin"/>
        </w:r>
        <w:r w:rsidR="002745A8" w:rsidRPr="00D9348B">
          <w:rPr>
            <w:webHidden/>
          </w:rPr>
          <w:instrText xml:space="preserve"> PAGEREF _Toc36224619 \h </w:instrText>
        </w:r>
        <w:r w:rsidR="002745A8" w:rsidRPr="00D9348B">
          <w:rPr>
            <w:webHidden/>
          </w:rPr>
        </w:r>
        <w:r w:rsidR="002745A8" w:rsidRPr="00D9348B">
          <w:rPr>
            <w:webHidden/>
          </w:rPr>
          <w:fldChar w:fldCharType="separate"/>
        </w:r>
        <w:r w:rsidR="00950F0A">
          <w:rPr>
            <w:webHidden/>
          </w:rPr>
          <w:t>319</w:t>
        </w:r>
        <w:r w:rsidR="002745A8" w:rsidRPr="00D9348B">
          <w:rPr>
            <w:webHidden/>
          </w:rPr>
          <w:fldChar w:fldCharType="end"/>
        </w:r>
      </w:hyperlink>
    </w:p>
    <w:p w14:paraId="5B3DEA8B" w14:textId="4D511B4B" w:rsidR="002745A8" w:rsidRPr="00D9348B" w:rsidRDefault="00DA6C03">
      <w:pPr>
        <w:pStyle w:val="TableofFigures"/>
        <w:rPr>
          <w:rFonts w:cs="Times New Roman"/>
          <w:sz w:val="22"/>
        </w:rPr>
      </w:pPr>
      <w:hyperlink w:anchor="_Toc36224620" w:history="1">
        <w:r w:rsidR="002745A8" w:rsidRPr="00D9348B">
          <w:rPr>
            <w:rStyle w:val="Hyperlink"/>
          </w:rPr>
          <w:t>Table 6.7.1</w:t>
        </w:r>
        <w:r w:rsidR="002745A8" w:rsidRPr="00D9348B">
          <w:rPr>
            <w:rFonts w:cs="Times New Roman"/>
            <w:sz w:val="22"/>
          </w:rPr>
          <w:tab/>
        </w:r>
        <w:r w:rsidR="002745A8" w:rsidRPr="00D9348B">
          <w:rPr>
            <w:rStyle w:val="Hyperlink"/>
          </w:rPr>
          <w:t>New Zealand’s land-use change for the Wetlands category, and associated CO</w:t>
        </w:r>
        <w:r w:rsidR="002745A8" w:rsidRPr="00D9348B">
          <w:rPr>
            <w:rStyle w:val="Hyperlink"/>
            <w:vertAlign w:val="subscript"/>
          </w:rPr>
          <w:t>2</w:t>
        </w:r>
        <w:r w:rsidR="002745A8" w:rsidRPr="00D9348B">
          <w:rPr>
            <w:rStyle w:val="Hyperlink"/>
          </w:rPr>
          <w:noBreakHyphen/>
          <w:t>e emissions, in 1990 and 2018</w:t>
        </w:r>
        <w:r w:rsidR="002745A8" w:rsidRPr="00D9348B">
          <w:rPr>
            <w:webHidden/>
          </w:rPr>
          <w:tab/>
        </w:r>
        <w:r w:rsidR="002745A8" w:rsidRPr="00D9348B">
          <w:rPr>
            <w:webHidden/>
          </w:rPr>
          <w:fldChar w:fldCharType="begin"/>
        </w:r>
        <w:r w:rsidR="002745A8" w:rsidRPr="00D9348B">
          <w:rPr>
            <w:webHidden/>
          </w:rPr>
          <w:instrText xml:space="preserve"> PAGEREF _Toc36224620 \h </w:instrText>
        </w:r>
        <w:r w:rsidR="002745A8" w:rsidRPr="00D9348B">
          <w:rPr>
            <w:webHidden/>
          </w:rPr>
        </w:r>
        <w:r w:rsidR="002745A8" w:rsidRPr="00D9348B">
          <w:rPr>
            <w:webHidden/>
          </w:rPr>
          <w:fldChar w:fldCharType="separate"/>
        </w:r>
        <w:r w:rsidR="00950F0A">
          <w:rPr>
            <w:webHidden/>
          </w:rPr>
          <w:t>321</w:t>
        </w:r>
        <w:r w:rsidR="002745A8" w:rsidRPr="00D9348B">
          <w:rPr>
            <w:webHidden/>
          </w:rPr>
          <w:fldChar w:fldCharType="end"/>
        </w:r>
      </w:hyperlink>
    </w:p>
    <w:p w14:paraId="715BB906" w14:textId="63B6DE53" w:rsidR="002745A8" w:rsidRPr="00D9348B" w:rsidRDefault="00DA6C03">
      <w:pPr>
        <w:pStyle w:val="TableofFigures"/>
        <w:rPr>
          <w:rFonts w:cs="Times New Roman"/>
          <w:sz w:val="22"/>
        </w:rPr>
      </w:pPr>
      <w:hyperlink w:anchor="_Toc36224621" w:history="1">
        <w:r w:rsidR="002745A8" w:rsidRPr="00D9348B">
          <w:rPr>
            <w:rStyle w:val="Hyperlink"/>
          </w:rPr>
          <w:t>Table 6.7.2</w:t>
        </w:r>
        <w:r w:rsidR="002745A8" w:rsidRPr="00D9348B">
          <w:rPr>
            <w:rFonts w:cs="Times New Roman"/>
            <w:sz w:val="22"/>
          </w:rPr>
          <w:tab/>
        </w:r>
        <w:r w:rsidR="002745A8" w:rsidRPr="00D9348B">
          <w:rPr>
            <w:rStyle w:val="Hyperlink"/>
          </w:rPr>
          <w:t>New Zealand’s carbon stock change by carbon pool for the Wetlands category from 1990 to 2018</w:t>
        </w:r>
        <w:r w:rsidR="002745A8" w:rsidRPr="00D9348B">
          <w:rPr>
            <w:webHidden/>
          </w:rPr>
          <w:tab/>
        </w:r>
        <w:r w:rsidR="002745A8" w:rsidRPr="00D9348B">
          <w:rPr>
            <w:webHidden/>
          </w:rPr>
          <w:fldChar w:fldCharType="begin"/>
        </w:r>
        <w:r w:rsidR="002745A8" w:rsidRPr="00D9348B">
          <w:rPr>
            <w:webHidden/>
          </w:rPr>
          <w:instrText xml:space="preserve"> PAGEREF _Toc36224621 \h </w:instrText>
        </w:r>
        <w:r w:rsidR="002745A8" w:rsidRPr="00D9348B">
          <w:rPr>
            <w:webHidden/>
          </w:rPr>
        </w:r>
        <w:r w:rsidR="002745A8" w:rsidRPr="00D9348B">
          <w:rPr>
            <w:webHidden/>
          </w:rPr>
          <w:fldChar w:fldCharType="separate"/>
        </w:r>
        <w:r w:rsidR="00950F0A">
          <w:rPr>
            <w:webHidden/>
          </w:rPr>
          <w:t>321</w:t>
        </w:r>
        <w:r w:rsidR="002745A8" w:rsidRPr="00D9348B">
          <w:rPr>
            <w:webHidden/>
          </w:rPr>
          <w:fldChar w:fldCharType="end"/>
        </w:r>
      </w:hyperlink>
    </w:p>
    <w:p w14:paraId="66D615E9" w14:textId="7D89B945" w:rsidR="002745A8" w:rsidRPr="00D9348B" w:rsidRDefault="00DA6C03">
      <w:pPr>
        <w:pStyle w:val="TableofFigures"/>
        <w:rPr>
          <w:rFonts w:cs="Times New Roman"/>
          <w:sz w:val="22"/>
        </w:rPr>
      </w:pPr>
      <w:hyperlink w:anchor="_Toc36224622" w:history="1">
        <w:r w:rsidR="002745A8" w:rsidRPr="00D9348B">
          <w:rPr>
            <w:rStyle w:val="Hyperlink"/>
          </w:rPr>
          <w:t>Table 6.7.3</w:t>
        </w:r>
        <w:r w:rsidR="002745A8" w:rsidRPr="00D9348B">
          <w:rPr>
            <w:rFonts w:cs="Times New Roman"/>
            <w:sz w:val="22"/>
          </w:rPr>
          <w:tab/>
        </w:r>
        <w:r w:rsidR="002745A8" w:rsidRPr="00D9348B">
          <w:rPr>
            <w:rStyle w:val="Hyperlink"/>
          </w:rPr>
          <w:t>Uncertainty in New Zealand’s 2018 estimates for the Wetlands category (including land in transition)</w:t>
        </w:r>
        <w:r w:rsidR="002745A8" w:rsidRPr="00D9348B">
          <w:rPr>
            <w:webHidden/>
          </w:rPr>
          <w:tab/>
        </w:r>
        <w:r w:rsidR="002745A8" w:rsidRPr="00D9348B">
          <w:rPr>
            <w:webHidden/>
          </w:rPr>
          <w:fldChar w:fldCharType="begin"/>
        </w:r>
        <w:r w:rsidR="002745A8" w:rsidRPr="00D9348B">
          <w:rPr>
            <w:webHidden/>
          </w:rPr>
          <w:instrText xml:space="preserve"> PAGEREF _Toc36224622 \h </w:instrText>
        </w:r>
        <w:r w:rsidR="002745A8" w:rsidRPr="00D9348B">
          <w:rPr>
            <w:webHidden/>
          </w:rPr>
        </w:r>
        <w:r w:rsidR="002745A8" w:rsidRPr="00D9348B">
          <w:rPr>
            <w:webHidden/>
          </w:rPr>
          <w:fldChar w:fldCharType="separate"/>
        </w:r>
        <w:r w:rsidR="00950F0A">
          <w:rPr>
            <w:webHidden/>
          </w:rPr>
          <w:t>323</w:t>
        </w:r>
        <w:r w:rsidR="002745A8" w:rsidRPr="00D9348B">
          <w:rPr>
            <w:webHidden/>
          </w:rPr>
          <w:fldChar w:fldCharType="end"/>
        </w:r>
      </w:hyperlink>
    </w:p>
    <w:p w14:paraId="3E1379DD" w14:textId="57B8B974" w:rsidR="002745A8" w:rsidRPr="00D9348B" w:rsidRDefault="00DA6C03">
      <w:pPr>
        <w:pStyle w:val="TableofFigures"/>
        <w:rPr>
          <w:rFonts w:cs="Times New Roman"/>
          <w:sz w:val="22"/>
        </w:rPr>
      </w:pPr>
      <w:hyperlink w:anchor="_Toc36224623" w:history="1">
        <w:r w:rsidR="002745A8" w:rsidRPr="00D9348B">
          <w:rPr>
            <w:rStyle w:val="Hyperlink"/>
          </w:rPr>
          <w:t>Table 6.7.4</w:t>
        </w:r>
        <w:r w:rsidR="002745A8" w:rsidRPr="00D9348B">
          <w:rPr>
            <w:rFonts w:cs="Times New Roman"/>
            <w:sz w:val="22"/>
          </w:rPr>
          <w:tab/>
        </w:r>
        <w:r w:rsidR="002745A8" w:rsidRPr="00D9348B">
          <w:rPr>
            <w:rStyle w:val="Hyperlink"/>
          </w:rPr>
          <w:t>Recalculations for New Zealand’s net emissions from the Wetlands category in 1990 and 2017</w:t>
        </w:r>
        <w:r w:rsidR="002745A8" w:rsidRPr="00D9348B">
          <w:rPr>
            <w:webHidden/>
          </w:rPr>
          <w:tab/>
        </w:r>
        <w:r w:rsidR="002745A8" w:rsidRPr="00D9348B">
          <w:rPr>
            <w:webHidden/>
          </w:rPr>
          <w:fldChar w:fldCharType="begin"/>
        </w:r>
        <w:r w:rsidR="002745A8" w:rsidRPr="00D9348B">
          <w:rPr>
            <w:webHidden/>
          </w:rPr>
          <w:instrText xml:space="preserve"> PAGEREF _Toc36224623 \h </w:instrText>
        </w:r>
        <w:r w:rsidR="002745A8" w:rsidRPr="00D9348B">
          <w:rPr>
            <w:webHidden/>
          </w:rPr>
        </w:r>
        <w:r w:rsidR="002745A8" w:rsidRPr="00D9348B">
          <w:rPr>
            <w:webHidden/>
          </w:rPr>
          <w:fldChar w:fldCharType="separate"/>
        </w:r>
        <w:r w:rsidR="00950F0A">
          <w:rPr>
            <w:webHidden/>
          </w:rPr>
          <w:t>324</w:t>
        </w:r>
        <w:r w:rsidR="002745A8" w:rsidRPr="00D9348B">
          <w:rPr>
            <w:webHidden/>
          </w:rPr>
          <w:fldChar w:fldCharType="end"/>
        </w:r>
      </w:hyperlink>
    </w:p>
    <w:p w14:paraId="0C36F48C" w14:textId="31E90C4B" w:rsidR="002745A8" w:rsidRPr="00D9348B" w:rsidRDefault="00DA6C03">
      <w:pPr>
        <w:pStyle w:val="TableofFigures"/>
        <w:rPr>
          <w:rFonts w:cs="Times New Roman"/>
          <w:sz w:val="22"/>
        </w:rPr>
      </w:pPr>
      <w:hyperlink w:anchor="_Toc36224624" w:history="1">
        <w:r w:rsidR="002745A8" w:rsidRPr="00D9348B">
          <w:rPr>
            <w:rStyle w:val="Hyperlink"/>
          </w:rPr>
          <w:t>Table 6.8.1</w:t>
        </w:r>
        <w:r w:rsidR="002745A8" w:rsidRPr="00D9348B">
          <w:rPr>
            <w:rFonts w:cs="Times New Roman"/>
            <w:sz w:val="22"/>
          </w:rPr>
          <w:tab/>
        </w:r>
        <w:r w:rsidR="002745A8" w:rsidRPr="00D9348B">
          <w:rPr>
            <w:rStyle w:val="Hyperlink"/>
          </w:rPr>
          <w:t>New Zealand’s land-use change for the Settlements category, and associated CO</w:t>
        </w:r>
        <w:r w:rsidR="002745A8" w:rsidRPr="00D9348B">
          <w:rPr>
            <w:rStyle w:val="Hyperlink"/>
            <w:vertAlign w:val="subscript"/>
          </w:rPr>
          <w:t>2</w:t>
        </w:r>
        <w:r w:rsidR="002745A8" w:rsidRPr="00D9348B">
          <w:rPr>
            <w:rStyle w:val="Hyperlink"/>
          </w:rPr>
          <w:noBreakHyphen/>
          <w:t>e emissions, from 1990 to 2018</w:t>
        </w:r>
        <w:r w:rsidR="002745A8" w:rsidRPr="00D9348B">
          <w:rPr>
            <w:webHidden/>
          </w:rPr>
          <w:tab/>
        </w:r>
        <w:r w:rsidR="002745A8" w:rsidRPr="00D9348B">
          <w:rPr>
            <w:webHidden/>
          </w:rPr>
          <w:fldChar w:fldCharType="begin"/>
        </w:r>
        <w:r w:rsidR="002745A8" w:rsidRPr="00D9348B">
          <w:rPr>
            <w:webHidden/>
          </w:rPr>
          <w:instrText xml:space="preserve"> PAGEREF _Toc36224624 \h </w:instrText>
        </w:r>
        <w:r w:rsidR="002745A8" w:rsidRPr="00D9348B">
          <w:rPr>
            <w:webHidden/>
          </w:rPr>
        </w:r>
        <w:r w:rsidR="002745A8" w:rsidRPr="00D9348B">
          <w:rPr>
            <w:webHidden/>
          </w:rPr>
          <w:fldChar w:fldCharType="separate"/>
        </w:r>
        <w:r w:rsidR="00950F0A">
          <w:rPr>
            <w:webHidden/>
          </w:rPr>
          <w:t>325</w:t>
        </w:r>
        <w:r w:rsidR="002745A8" w:rsidRPr="00D9348B">
          <w:rPr>
            <w:webHidden/>
          </w:rPr>
          <w:fldChar w:fldCharType="end"/>
        </w:r>
      </w:hyperlink>
    </w:p>
    <w:p w14:paraId="3350497F" w14:textId="22BF72D1" w:rsidR="002745A8" w:rsidRPr="00D9348B" w:rsidRDefault="00DA6C03">
      <w:pPr>
        <w:pStyle w:val="TableofFigures"/>
        <w:rPr>
          <w:rFonts w:cs="Times New Roman"/>
          <w:sz w:val="22"/>
        </w:rPr>
      </w:pPr>
      <w:hyperlink w:anchor="_Toc36224625" w:history="1">
        <w:r w:rsidR="002745A8" w:rsidRPr="00D9348B">
          <w:rPr>
            <w:rStyle w:val="Hyperlink"/>
          </w:rPr>
          <w:t>Table 6.8.2</w:t>
        </w:r>
        <w:r w:rsidR="002745A8" w:rsidRPr="00D9348B">
          <w:rPr>
            <w:rFonts w:cs="Times New Roman"/>
            <w:sz w:val="22"/>
          </w:rPr>
          <w:tab/>
        </w:r>
        <w:r w:rsidR="002745A8" w:rsidRPr="00D9348B">
          <w:rPr>
            <w:rStyle w:val="Hyperlink"/>
          </w:rPr>
          <w:t>New Zealand’s carbon stock change by carbon pool for the Settlements category from 1990 to 2018</w:t>
        </w:r>
        <w:r w:rsidR="002745A8" w:rsidRPr="00D9348B">
          <w:rPr>
            <w:webHidden/>
          </w:rPr>
          <w:tab/>
        </w:r>
        <w:r w:rsidR="002745A8" w:rsidRPr="00D9348B">
          <w:rPr>
            <w:webHidden/>
          </w:rPr>
          <w:fldChar w:fldCharType="begin"/>
        </w:r>
        <w:r w:rsidR="002745A8" w:rsidRPr="00D9348B">
          <w:rPr>
            <w:webHidden/>
          </w:rPr>
          <w:instrText xml:space="preserve"> PAGEREF _Toc36224625 \h </w:instrText>
        </w:r>
        <w:r w:rsidR="002745A8" w:rsidRPr="00D9348B">
          <w:rPr>
            <w:webHidden/>
          </w:rPr>
        </w:r>
        <w:r w:rsidR="002745A8" w:rsidRPr="00D9348B">
          <w:rPr>
            <w:webHidden/>
          </w:rPr>
          <w:fldChar w:fldCharType="separate"/>
        </w:r>
        <w:r w:rsidR="00950F0A">
          <w:rPr>
            <w:webHidden/>
          </w:rPr>
          <w:t>325</w:t>
        </w:r>
        <w:r w:rsidR="002745A8" w:rsidRPr="00D9348B">
          <w:rPr>
            <w:webHidden/>
          </w:rPr>
          <w:fldChar w:fldCharType="end"/>
        </w:r>
      </w:hyperlink>
    </w:p>
    <w:p w14:paraId="2A204E2D" w14:textId="0624FD12" w:rsidR="002745A8" w:rsidRPr="00D9348B" w:rsidRDefault="00DA6C03">
      <w:pPr>
        <w:pStyle w:val="TableofFigures"/>
        <w:rPr>
          <w:rFonts w:cs="Times New Roman"/>
          <w:sz w:val="22"/>
        </w:rPr>
      </w:pPr>
      <w:hyperlink w:anchor="_Toc36224626" w:history="1">
        <w:r w:rsidR="002745A8" w:rsidRPr="00D9348B">
          <w:rPr>
            <w:rStyle w:val="Hyperlink"/>
          </w:rPr>
          <w:t>Table 6.8.3</w:t>
        </w:r>
        <w:r w:rsidR="002745A8" w:rsidRPr="00D9348B">
          <w:rPr>
            <w:rFonts w:cs="Times New Roman"/>
            <w:sz w:val="22"/>
          </w:rPr>
          <w:tab/>
        </w:r>
        <w:r w:rsidR="002745A8" w:rsidRPr="00D9348B">
          <w:rPr>
            <w:rStyle w:val="Hyperlink"/>
          </w:rPr>
          <w:t>Uncertainty in New Zealand’s 2018 estimates for the Settlements category (including land in transition)</w:t>
        </w:r>
        <w:r w:rsidR="002745A8" w:rsidRPr="00D9348B">
          <w:rPr>
            <w:webHidden/>
          </w:rPr>
          <w:tab/>
        </w:r>
        <w:r w:rsidR="002745A8" w:rsidRPr="00D9348B">
          <w:rPr>
            <w:webHidden/>
          </w:rPr>
          <w:fldChar w:fldCharType="begin"/>
        </w:r>
        <w:r w:rsidR="002745A8" w:rsidRPr="00D9348B">
          <w:rPr>
            <w:webHidden/>
          </w:rPr>
          <w:instrText xml:space="preserve"> PAGEREF _Toc36224626 \h </w:instrText>
        </w:r>
        <w:r w:rsidR="002745A8" w:rsidRPr="00D9348B">
          <w:rPr>
            <w:webHidden/>
          </w:rPr>
        </w:r>
        <w:r w:rsidR="002745A8" w:rsidRPr="00D9348B">
          <w:rPr>
            <w:webHidden/>
          </w:rPr>
          <w:fldChar w:fldCharType="separate"/>
        </w:r>
        <w:r w:rsidR="00950F0A">
          <w:rPr>
            <w:webHidden/>
          </w:rPr>
          <w:t>326</w:t>
        </w:r>
        <w:r w:rsidR="002745A8" w:rsidRPr="00D9348B">
          <w:rPr>
            <w:webHidden/>
          </w:rPr>
          <w:fldChar w:fldCharType="end"/>
        </w:r>
      </w:hyperlink>
    </w:p>
    <w:p w14:paraId="3463E14D" w14:textId="58E08088" w:rsidR="002745A8" w:rsidRPr="00D9348B" w:rsidRDefault="00DA6C03">
      <w:pPr>
        <w:pStyle w:val="TableofFigures"/>
        <w:rPr>
          <w:rFonts w:cs="Times New Roman"/>
          <w:sz w:val="22"/>
        </w:rPr>
      </w:pPr>
      <w:hyperlink w:anchor="_Toc36224627" w:history="1">
        <w:r w:rsidR="002745A8" w:rsidRPr="00D9348B">
          <w:rPr>
            <w:rStyle w:val="Hyperlink"/>
          </w:rPr>
          <w:t>Table 6.8.4</w:t>
        </w:r>
        <w:r w:rsidR="002745A8" w:rsidRPr="00D9348B">
          <w:rPr>
            <w:rFonts w:cs="Times New Roman"/>
            <w:sz w:val="22"/>
          </w:rPr>
          <w:tab/>
        </w:r>
        <w:r w:rsidR="002745A8" w:rsidRPr="00D9348B">
          <w:rPr>
            <w:rStyle w:val="Hyperlink"/>
          </w:rPr>
          <w:t>Recalculations for New Zealand’s net emissions from the Settlements category in 1990 and 2017</w:t>
        </w:r>
        <w:r w:rsidR="002745A8" w:rsidRPr="00D9348B">
          <w:rPr>
            <w:webHidden/>
          </w:rPr>
          <w:tab/>
        </w:r>
        <w:r w:rsidR="002745A8" w:rsidRPr="00D9348B">
          <w:rPr>
            <w:webHidden/>
          </w:rPr>
          <w:fldChar w:fldCharType="begin"/>
        </w:r>
        <w:r w:rsidR="002745A8" w:rsidRPr="00D9348B">
          <w:rPr>
            <w:webHidden/>
          </w:rPr>
          <w:instrText xml:space="preserve"> PAGEREF _Toc36224627 \h </w:instrText>
        </w:r>
        <w:r w:rsidR="002745A8" w:rsidRPr="00D9348B">
          <w:rPr>
            <w:webHidden/>
          </w:rPr>
        </w:r>
        <w:r w:rsidR="002745A8" w:rsidRPr="00D9348B">
          <w:rPr>
            <w:webHidden/>
          </w:rPr>
          <w:fldChar w:fldCharType="separate"/>
        </w:r>
        <w:r w:rsidR="00950F0A">
          <w:rPr>
            <w:webHidden/>
          </w:rPr>
          <w:t>326</w:t>
        </w:r>
        <w:r w:rsidR="002745A8" w:rsidRPr="00D9348B">
          <w:rPr>
            <w:webHidden/>
          </w:rPr>
          <w:fldChar w:fldCharType="end"/>
        </w:r>
      </w:hyperlink>
    </w:p>
    <w:p w14:paraId="76C70F5A" w14:textId="2431FEE2" w:rsidR="002745A8" w:rsidRPr="00D9348B" w:rsidRDefault="00DA6C03">
      <w:pPr>
        <w:pStyle w:val="TableofFigures"/>
        <w:rPr>
          <w:rFonts w:cs="Times New Roman"/>
          <w:sz w:val="22"/>
        </w:rPr>
      </w:pPr>
      <w:hyperlink w:anchor="_Toc36224628" w:history="1">
        <w:r w:rsidR="002745A8" w:rsidRPr="00D9348B">
          <w:rPr>
            <w:rStyle w:val="Hyperlink"/>
          </w:rPr>
          <w:t>Table 6.9.1</w:t>
        </w:r>
        <w:r w:rsidR="002745A8" w:rsidRPr="00D9348B">
          <w:rPr>
            <w:rFonts w:cs="Times New Roman"/>
            <w:sz w:val="22"/>
          </w:rPr>
          <w:tab/>
        </w:r>
        <w:r w:rsidR="002745A8" w:rsidRPr="00D9348B">
          <w:rPr>
            <w:rStyle w:val="Hyperlink"/>
          </w:rPr>
          <w:t xml:space="preserve">New Zealand’s land-use change for the </w:t>
        </w:r>
        <w:r w:rsidR="00766DDA">
          <w:rPr>
            <w:rStyle w:val="Hyperlink"/>
          </w:rPr>
          <w:t>land-use</w:t>
        </w:r>
        <w:r w:rsidR="002745A8" w:rsidRPr="00D9348B">
          <w:rPr>
            <w:rStyle w:val="Hyperlink"/>
          </w:rPr>
          <w:t xml:space="preserve"> category Other land from 1990 to 2018</w:t>
        </w:r>
        <w:r w:rsidR="002745A8" w:rsidRPr="00D9348B">
          <w:rPr>
            <w:webHidden/>
          </w:rPr>
          <w:tab/>
        </w:r>
        <w:r w:rsidR="002745A8" w:rsidRPr="00D9348B">
          <w:rPr>
            <w:webHidden/>
          </w:rPr>
          <w:fldChar w:fldCharType="begin"/>
        </w:r>
        <w:r w:rsidR="002745A8" w:rsidRPr="00D9348B">
          <w:rPr>
            <w:webHidden/>
          </w:rPr>
          <w:instrText xml:space="preserve"> PAGEREF _Toc36224628 \h </w:instrText>
        </w:r>
        <w:r w:rsidR="002745A8" w:rsidRPr="00D9348B">
          <w:rPr>
            <w:webHidden/>
          </w:rPr>
        </w:r>
        <w:r w:rsidR="002745A8" w:rsidRPr="00D9348B">
          <w:rPr>
            <w:webHidden/>
          </w:rPr>
          <w:fldChar w:fldCharType="separate"/>
        </w:r>
        <w:r w:rsidR="00950F0A">
          <w:rPr>
            <w:webHidden/>
          </w:rPr>
          <w:t>327</w:t>
        </w:r>
        <w:r w:rsidR="002745A8" w:rsidRPr="00D9348B">
          <w:rPr>
            <w:webHidden/>
          </w:rPr>
          <w:fldChar w:fldCharType="end"/>
        </w:r>
      </w:hyperlink>
    </w:p>
    <w:p w14:paraId="4DA4DB5E" w14:textId="63D8869A" w:rsidR="002745A8" w:rsidRPr="00D9348B" w:rsidRDefault="00DA6C03">
      <w:pPr>
        <w:pStyle w:val="TableofFigures"/>
        <w:rPr>
          <w:rFonts w:cs="Times New Roman"/>
          <w:sz w:val="22"/>
        </w:rPr>
      </w:pPr>
      <w:hyperlink w:anchor="_Toc36224629" w:history="1">
        <w:r w:rsidR="002745A8" w:rsidRPr="00D9348B">
          <w:rPr>
            <w:rStyle w:val="Hyperlink"/>
          </w:rPr>
          <w:t>Table 6.9.2</w:t>
        </w:r>
        <w:r w:rsidR="002745A8" w:rsidRPr="00D9348B">
          <w:rPr>
            <w:rFonts w:cs="Times New Roman"/>
            <w:sz w:val="22"/>
          </w:rPr>
          <w:tab/>
        </w:r>
        <w:r w:rsidR="002745A8" w:rsidRPr="00D9348B">
          <w:rPr>
            <w:rStyle w:val="Hyperlink"/>
          </w:rPr>
          <w:t xml:space="preserve">Summary of New Zealand emission factors for the </w:t>
        </w:r>
        <w:r w:rsidR="00766DDA">
          <w:rPr>
            <w:rStyle w:val="Hyperlink"/>
          </w:rPr>
          <w:t>land-use</w:t>
        </w:r>
        <w:r w:rsidR="002745A8" w:rsidRPr="00D9348B">
          <w:rPr>
            <w:rStyle w:val="Hyperlink"/>
          </w:rPr>
          <w:t xml:space="preserve"> category Other land</w:t>
        </w:r>
        <w:r w:rsidR="002745A8" w:rsidRPr="00D9348B">
          <w:rPr>
            <w:webHidden/>
          </w:rPr>
          <w:tab/>
        </w:r>
        <w:r w:rsidR="002745A8" w:rsidRPr="00D9348B">
          <w:rPr>
            <w:webHidden/>
          </w:rPr>
          <w:fldChar w:fldCharType="begin"/>
        </w:r>
        <w:r w:rsidR="002745A8" w:rsidRPr="00D9348B">
          <w:rPr>
            <w:webHidden/>
          </w:rPr>
          <w:instrText xml:space="preserve"> PAGEREF _Toc36224629 \h </w:instrText>
        </w:r>
        <w:r w:rsidR="002745A8" w:rsidRPr="00D9348B">
          <w:rPr>
            <w:webHidden/>
          </w:rPr>
        </w:r>
        <w:r w:rsidR="002745A8" w:rsidRPr="00D9348B">
          <w:rPr>
            <w:webHidden/>
          </w:rPr>
          <w:fldChar w:fldCharType="separate"/>
        </w:r>
        <w:r w:rsidR="00950F0A">
          <w:rPr>
            <w:webHidden/>
          </w:rPr>
          <w:t>328</w:t>
        </w:r>
        <w:r w:rsidR="002745A8" w:rsidRPr="00D9348B">
          <w:rPr>
            <w:webHidden/>
          </w:rPr>
          <w:fldChar w:fldCharType="end"/>
        </w:r>
      </w:hyperlink>
    </w:p>
    <w:p w14:paraId="48807FBD" w14:textId="683A7241" w:rsidR="002745A8" w:rsidRPr="00D9348B" w:rsidRDefault="00DA6C03">
      <w:pPr>
        <w:pStyle w:val="TableofFigures"/>
        <w:rPr>
          <w:rFonts w:cs="Times New Roman"/>
          <w:sz w:val="22"/>
        </w:rPr>
      </w:pPr>
      <w:hyperlink w:anchor="_Toc36224630" w:history="1">
        <w:r w:rsidR="002745A8" w:rsidRPr="00D9348B">
          <w:rPr>
            <w:rStyle w:val="Hyperlink"/>
          </w:rPr>
          <w:t>Table 6.9.3</w:t>
        </w:r>
        <w:r w:rsidR="002745A8" w:rsidRPr="00D9348B">
          <w:rPr>
            <w:rFonts w:cs="Times New Roman"/>
            <w:sz w:val="22"/>
          </w:rPr>
          <w:tab/>
        </w:r>
        <w:r w:rsidR="002745A8" w:rsidRPr="00D9348B">
          <w:rPr>
            <w:rStyle w:val="Hyperlink"/>
          </w:rPr>
          <w:t xml:space="preserve">Uncertainty in New Zealand’s 2018 estimates for the </w:t>
        </w:r>
        <w:r w:rsidR="00766DDA">
          <w:rPr>
            <w:rStyle w:val="Hyperlink"/>
          </w:rPr>
          <w:t>land-use</w:t>
        </w:r>
        <w:r w:rsidR="002745A8" w:rsidRPr="00D9348B">
          <w:rPr>
            <w:rStyle w:val="Hyperlink"/>
          </w:rPr>
          <w:t xml:space="preserve"> category Other land (including land in transition)</w:t>
        </w:r>
        <w:r w:rsidR="002745A8" w:rsidRPr="00D9348B">
          <w:rPr>
            <w:webHidden/>
          </w:rPr>
          <w:tab/>
        </w:r>
        <w:r w:rsidR="002745A8" w:rsidRPr="00D9348B">
          <w:rPr>
            <w:webHidden/>
          </w:rPr>
          <w:fldChar w:fldCharType="begin"/>
        </w:r>
        <w:r w:rsidR="002745A8" w:rsidRPr="00D9348B">
          <w:rPr>
            <w:webHidden/>
          </w:rPr>
          <w:instrText xml:space="preserve"> PAGEREF _Toc36224630 \h </w:instrText>
        </w:r>
        <w:r w:rsidR="002745A8" w:rsidRPr="00D9348B">
          <w:rPr>
            <w:webHidden/>
          </w:rPr>
        </w:r>
        <w:r w:rsidR="002745A8" w:rsidRPr="00D9348B">
          <w:rPr>
            <w:webHidden/>
          </w:rPr>
          <w:fldChar w:fldCharType="separate"/>
        </w:r>
        <w:r w:rsidR="00950F0A">
          <w:rPr>
            <w:webHidden/>
          </w:rPr>
          <w:t>329</w:t>
        </w:r>
        <w:r w:rsidR="002745A8" w:rsidRPr="00D9348B">
          <w:rPr>
            <w:webHidden/>
          </w:rPr>
          <w:fldChar w:fldCharType="end"/>
        </w:r>
      </w:hyperlink>
    </w:p>
    <w:p w14:paraId="04B1404B" w14:textId="25D5F810" w:rsidR="002745A8" w:rsidRPr="00D9348B" w:rsidRDefault="00DA6C03">
      <w:pPr>
        <w:pStyle w:val="TableofFigures"/>
        <w:rPr>
          <w:rFonts w:cs="Times New Roman"/>
          <w:sz w:val="22"/>
        </w:rPr>
      </w:pPr>
      <w:hyperlink w:anchor="_Toc36224631" w:history="1">
        <w:r w:rsidR="002745A8" w:rsidRPr="00D9348B">
          <w:rPr>
            <w:rStyle w:val="Hyperlink"/>
          </w:rPr>
          <w:t>Table 6.9.4</w:t>
        </w:r>
        <w:r w:rsidR="002745A8" w:rsidRPr="00D9348B">
          <w:rPr>
            <w:rFonts w:cs="Times New Roman"/>
            <w:sz w:val="22"/>
          </w:rPr>
          <w:tab/>
        </w:r>
        <w:r w:rsidR="002745A8" w:rsidRPr="00D9348B">
          <w:rPr>
            <w:rStyle w:val="Hyperlink"/>
          </w:rPr>
          <w:t>Recalculations for New Zealand’s net emissions from the Other land category in 1990 and 2017</w:t>
        </w:r>
        <w:r w:rsidR="002745A8" w:rsidRPr="00D9348B">
          <w:rPr>
            <w:webHidden/>
          </w:rPr>
          <w:tab/>
        </w:r>
        <w:r w:rsidR="002745A8" w:rsidRPr="00D9348B">
          <w:rPr>
            <w:webHidden/>
          </w:rPr>
          <w:fldChar w:fldCharType="begin"/>
        </w:r>
        <w:r w:rsidR="002745A8" w:rsidRPr="00D9348B">
          <w:rPr>
            <w:webHidden/>
          </w:rPr>
          <w:instrText xml:space="preserve"> PAGEREF _Toc36224631 \h </w:instrText>
        </w:r>
        <w:r w:rsidR="002745A8" w:rsidRPr="00D9348B">
          <w:rPr>
            <w:webHidden/>
          </w:rPr>
        </w:r>
        <w:r w:rsidR="002745A8" w:rsidRPr="00D9348B">
          <w:rPr>
            <w:webHidden/>
          </w:rPr>
          <w:fldChar w:fldCharType="separate"/>
        </w:r>
        <w:r w:rsidR="00950F0A">
          <w:rPr>
            <w:webHidden/>
          </w:rPr>
          <w:t>329</w:t>
        </w:r>
        <w:r w:rsidR="002745A8" w:rsidRPr="00D9348B">
          <w:rPr>
            <w:webHidden/>
          </w:rPr>
          <w:fldChar w:fldCharType="end"/>
        </w:r>
      </w:hyperlink>
    </w:p>
    <w:p w14:paraId="1EFC2D6D" w14:textId="6690E435" w:rsidR="002745A8" w:rsidRPr="00D9348B" w:rsidRDefault="00DA6C03">
      <w:pPr>
        <w:pStyle w:val="TableofFigures"/>
        <w:rPr>
          <w:rFonts w:cs="Times New Roman"/>
          <w:sz w:val="22"/>
        </w:rPr>
      </w:pPr>
      <w:hyperlink w:anchor="_Toc36224632" w:history="1">
        <w:r w:rsidR="002745A8" w:rsidRPr="00D9348B">
          <w:rPr>
            <w:rStyle w:val="Hyperlink"/>
          </w:rPr>
          <w:t>Table 6.10.1</w:t>
        </w:r>
        <w:r w:rsidR="002745A8" w:rsidRPr="00D9348B">
          <w:rPr>
            <w:rFonts w:cs="Times New Roman"/>
            <w:sz w:val="22"/>
          </w:rPr>
          <w:tab/>
        </w:r>
        <w:r w:rsidR="002745A8" w:rsidRPr="00D9348B">
          <w:rPr>
            <w:rStyle w:val="Hyperlink"/>
          </w:rPr>
          <w:t>Country-specific conversion factors for Harvested wood products produced from New Zealand wood</w:t>
        </w:r>
        <w:r w:rsidR="002745A8" w:rsidRPr="00D9348B">
          <w:rPr>
            <w:webHidden/>
          </w:rPr>
          <w:tab/>
        </w:r>
        <w:r w:rsidR="002745A8" w:rsidRPr="00D9348B">
          <w:rPr>
            <w:webHidden/>
          </w:rPr>
          <w:fldChar w:fldCharType="begin"/>
        </w:r>
        <w:r w:rsidR="002745A8" w:rsidRPr="00D9348B">
          <w:rPr>
            <w:webHidden/>
          </w:rPr>
          <w:instrText xml:space="preserve"> PAGEREF _Toc36224632 \h </w:instrText>
        </w:r>
        <w:r w:rsidR="002745A8" w:rsidRPr="00D9348B">
          <w:rPr>
            <w:webHidden/>
          </w:rPr>
        </w:r>
        <w:r w:rsidR="002745A8" w:rsidRPr="00D9348B">
          <w:rPr>
            <w:webHidden/>
          </w:rPr>
          <w:fldChar w:fldCharType="separate"/>
        </w:r>
        <w:r w:rsidR="00950F0A">
          <w:rPr>
            <w:webHidden/>
          </w:rPr>
          <w:t>331</w:t>
        </w:r>
        <w:r w:rsidR="002745A8" w:rsidRPr="00D9348B">
          <w:rPr>
            <w:webHidden/>
          </w:rPr>
          <w:fldChar w:fldCharType="end"/>
        </w:r>
      </w:hyperlink>
    </w:p>
    <w:p w14:paraId="4B678092" w14:textId="6731C4C5" w:rsidR="002745A8" w:rsidRPr="00D9348B" w:rsidRDefault="00DA6C03">
      <w:pPr>
        <w:pStyle w:val="TableofFigures"/>
        <w:rPr>
          <w:rFonts w:cs="Times New Roman"/>
          <w:sz w:val="22"/>
        </w:rPr>
      </w:pPr>
      <w:hyperlink w:anchor="_Toc36224633" w:history="1">
        <w:r w:rsidR="002745A8" w:rsidRPr="00D9348B">
          <w:rPr>
            <w:rStyle w:val="Hyperlink"/>
          </w:rPr>
          <w:t>Table 6.10.2</w:t>
        </w:r>
        <w:r w:rsidR="002745A8" w:rsidRPr="00D9348B">
          <w:rPr>
            <w:rFonts w:cs="Times New Roman"/>
            <w:sz w:val="22"/>
          </w:rPr>
          <w:tab/>
        </w:r>
        <w:r w:rsidR="002745A8" w:rsidRPr="00D9348B">
          <w:rPr>
            <w:rStyle w:val="Hyperlink"/>
          </w:rPr>
          <w:t>Uncertainty in Harvested wood products data and parameters</w:t>
        </w:r>
        <w:r w:rsidR="002745A8" w:rsidRPr="00D9348B">
          <w:rPr>
            <w:webHidden/>
          </w:rPr>
          <w:tab/>
        </w:r>
        <w:r w:rsidR="002745A8" w:rsidRPr="00D9348B">
          <w:rPr>
            <w:webHidden/>
          </w:rPr>
          <w:fldChar w:fldCharType="begin"/>
        </w:r>
        <w:r w:rsidR="002745A8" w:rsidRPr="00D9348B">
          <w:rPr>
            <w:webHidden/>
          </w:rPr>
          <w:instrText xml:space="preserve"> PAGEREF _Toc36224633 \h </w:instrText>
        </w:r>
        <w:r w:rsidR="002745A8" w:rsidRPr="00D9348B">
          <w:rPr>
            <w:webHidden/>
          </w:rPr>
        </w:r>
        <w:r w:rsidR="002745A8" w:rsidRPr="00D9348B">
          <w:rPr>
            <w:webHidden/>
          </w:rPr>
          <w:fldChar w:fldCharType="separate"/>
        </w:r>
        <w:r w:rsidR="00950F0A">
          <w:rPr>
            <w:webHidden/>
          </w:rPr>
          <w:t>332</w:t>
        </w:r>
        <w:r w:rsidR="002745A8" w:rsidRPr="00D9348B">
          <w:rPr>
            <w:webHidden/>
          </w:rPr>
          <w:fldChar w:fldCharType="end"/>
        </w:r>
      </w:hyperlink>
    </w:p>
    <w:p w14:paraId="5CBC2FF0" w14:textId="77F31AE1" w:rsidR="002745A8" w:rsidRPr="00D9348B" w:rsidRDefault="00DA6C03">
      <w:pPr>
        <w:pStyle w:val="TableofFigures"/>
        <w:rPr>
          <w:rFonts w:cs="Times New Roman"/>
          <w:sz w:val="22"/>
        </w:rPr>
      </w:pPr>
      <w:hyperlink w:anchor="_Toc36224634" w:history="1">
        <w:r w:rsidR="002745A8" w:rsidRPr="00D9348B">
          <w:rPr>
            <w:rStyle w:val="Hyperlink"/>
          </w:rPr>
          <w:t>Table 6.10.3</w:t>
        </w:r>
        <w:r w:rsidR="002745A8" w:rsidRPr="00D9348B">
          <w:rPr>
            <w:rFonts w:cs="Times New Roman"/>
            <w:sz w:val="22"/>
          </w:rPr>
          <w:tab/>
        </w:r>
        <w:r w:rsidR="002745A8" w:rsidRPr="00D9348B">
          <w:rPr>
            <w:rStyle w:val="Hyperlink"/>
          </w:rPr>
          <w:t>Uncertainty in New Zealand’s 2018 estimates from emissions associated with Harvested wood products</w:t>
        </w:r>
        <w:r w:rsidR="002745A8" w:rsidRPr="00D9348B">
          <w:rPr>
            <w:webHidden/>
          </w:rPr>
          <w:tab/>
        </w:r>
        <w:r w:rsidR="002745A8" w:rsidRPr="00D9348B">
          <w:rPr>
            <w:webHidden/>
          </w:rPr>
          <w:fldChar w:fldCharType="begin"/>
        </w:r>
        <w:r w:rsidR="002745A8" w:rsidRPr="00D9348B">
          <w:rPr>
            <w:webHidden/>
          </w:rPr>
          <w:instrText xml:space="preserve"> PAGEREF _Toc36224634 \h </w:instrText>
        </w:r>
        <w:r w:rsidR="002745A8" w:rsidRPr="00D9348B">
          <w:rPr>
            <w:webHidden/>
          </w:rPr>
        </w:r>
        <w:r w:rsidR="002745A8" w:rsidRPr="00D9348B">
          <w:rPr>
            <w:webHidden/>
          </w:rPr>
          <w:fldChar w:fldCharType="separate"/>
        </w:r>
        <w:r w:rsidR="00950F0A">
          <w:rPr>
            <w:webHidden/>
          </w:rPr>
          <w:t>332</w:t>
        </w:r>
        <w:r w:rsidR="002745A8" w:rsidRPr="00D9348B">
          <w:rPr>
            <w:webHidden/>
          </w:rPr>
          <w:fldChar w:fldCharType="end"/>
        </w:r>
      </w:hyperlink>
    </w:p>
    <w:p w14:paraId="3A87EE4B" w14:textId="4B090864" w:rsidR="002745A8" w:rsidRPr="00D9348B" w:rsidRDefault="00DA6C03">
      <w:pPr>
        <w:pStyle w:val="TableofFigures"/>
        <w:rPr>
          <w:rFonts w:cs="Times New Roman"/>
          <w:sz w:val="22"/>
        </w:rPr>
      </w:pPr>
      <w:hyperlink w:anchor="_Toc36224635" w:history="1">
        <w:r w:rsidR="002745A8" w:rsidRPr="00D9348B">
          <w:rPr>
            <w:rStyle w:val="Hyperlink"/>
          </w:rPr>
          <w:t>Table 6.10.4</w:t>
        </w:r>
        <w:r w:rsidR="002745A8" w:rsidRPr="00D9348B">
          <w:rPr>
            <w:rFonts w:cs="Times New Roman"/>
            <w:sz w:val="22"/>
          </w:rPr>
          <w:tab/>
        </w:r>
        <w:r w:rsidR="002745A8" w:rsidRPr="00D9348B">
          <w:rPr>
            <w:rStyle w:val="Hyperlink"/>
          </w:rPr>
          <w:t>Recalculations for New Zealand’s net emissions from the Harvested wood products category in 1990 and 2017</w:t>
        </w:r>
        <w:r w:rsidR="002745A8" w:rsidRPr="00D9348B">
          <w:rPr>
            <w:webHidden/>
          </w:rPr>
          <w:tab/>
        </w:r>
        <w:r w:rsidR="002745A8" w:rsidRPr="00D9348B">
          <w:rPr>
            <w:webHidden/>
          </w:rPr>
          <w:fldChar w:fldCharType="begin"/>
        </w:r>
        <w:r w:rsidR="002745A8" w:rsidRPr="00D9348B">
          <w:rPr>
            <w:webHidden/>
          </w:rPr>
          <w:instrText xml:space="preserve"> PAGEREF _Toc36224635 \h </w:instrText>
        </w:r>
        <w:r w:rsidR="002745A8" w:rsidRPr="00D9348B">
          <w:rPr>
            <w:webHidden/>
          </w:rPr>
        </w:r>
        <w:r w:rsidR="002745A8" w:rsidRPr="00D9348B">
          <w:rPr>
            <w:webHidden/>
          </w:rPr>
          <w:fldChar w:fldCharType="separate"/>
        </w:r>
        <w:r w:rsidR="00950F0A">
          <w:rPr>
            <w:webHidden/>
          </w:rPr>
          <w:t>333</w:t>
        </w:r>
        <w:r w:rsidR="002745A8" w:rsidRPr="00D9348B">
          <w:rPr>
            <w:webHidden/>
          </w:rPr>
          <w:fldChar w:fldCharType="end"/>
        </w:r>
      </w:hyperlink>
    </w:p>
    <w:p w14:paraId="0BCD8080" w14:textId="7E4D6D20" w:rsidR="002745A8" w:rsidRPr="00D9348B" w:rsidRDefault="00DA6C03">
      <w:pPr>
        <w:pStyle w:val="TableofFigures"/>
        <w:rPr>
          <w:rFonts w:cs="Times New Roman"/>
          <w:sz w:val="22"/>
        </w:rPr>
      </w:pPr>
      <w:hyperlink w:anchor="_Toc36224636" w:history="1">
        <w:r w:rsidR="002745A8" w:rsidRPr="00D9348B">
          <w:rPr>
            <w:rStyle w:val="Hyperlink"/>
          </w:rPr>
          <w:t>Table 6.11.1</w:t>
        </w:r>
        <w:r w:rsidR="002745A8" w:rsidRPr="00D9348B">
          <w:rPr>
            <w:rFonts w:cs="Times New Roman"/>
            <w:sz w:val="22"/>
          </w:rPr>
          <w:tab/>
        </w:r>
        <w:r w:rsidR="002745A8" w:rsidRPr="00D9348B">
          <w:rPr>
            <w:rStyle w:val="Hyperlink"/>
          </w:rPr>
          <w:t>Uncertainty in New Zealand’s 2018 estimates for N</w:t>
        </w:r>
        <w:r w:rsidR="002745A8" w:rsidRPr="00D9348B">
          <w:rPr>
            <w:rStyle w:val="Hyperlink"/>
            <w:vertAlign w:val="subscript"/>
          </w:rPr>
          <w:t>2</w:t>
        </w:r>
        <w:r w:rsidR="002745A8" w:rsidRPr="00D9348B">
          <w:rPr>
            <w:rStyle w:val="Hyperlink"/>
          </w:rPr>
          <w:t>O emissions from land-use change</w:t>
        </w:r>
        <w:r w:rsidR="002745A8" w:rsidRPr="00D9348B">
          <w:rPr>
            <w:webHidden/>
          </w:rPr>
          <w:tab/>
        </w:r>
        <w:r w:rsidR="002745A8" w:rsidRPr="00D9348B">
          <w:rPr>
            <w:webHidden/>
          </w:rPr>
          <w:fldChar w:fldCharType="begin"/>
        </w:r>
        <w:r w:rsidR="002745A8" w:rsidRPr="00D9348B">
          <w:rPr>
            <w:webHidden/>
          </w:rPr>
          <w:instrText xml:space="preserve"> PAGEREF _Toc36224636 \h </w:instrText>
        </w:r>
        <w:r w:rsidR="002745A8" w:rsidRPr="00D9348B">
          <w:rPr>
            <w:webHidden/>
          </w:rPr>
        </w:r>
        <w:r w:rsidR="002745A8" w:rsidRPr="00D9348B">
          <w:rPr>
            <w:webHidden/>
          </w:rPr>
          <w:fldChar w:fldCharType="separate"/>
        </w:r>
        <w:r w:rsidR="00950F0A">
          <w:rPr>
            <w:webHidden/>
          </w:rPr>
          <w:t>334</w:t>
        </w:r>
        <w:r w:rsidR="002745A8" w:rsidRPr="00D9348B">
          <w:rPr>
            <w:webHidden/>
          </w:rPr>
          <w:fldChar w:fldCharType="end"/>
        </w:r>
      </w:hyperlink>
    </w:p>
    <w:p w14:paraId="65C76C64" w14:textId="761AC5DB" w:rsidR="002745A8" w:rsidRPr="00D9348B" w:rsidRDefault="00DA6C03">
      <w:pPr>
        <w:pStyle w:val="TableofFigures"/>
        <w:rPr>
          <w:rFonts w:cs="Times New Roman"/>
          <w:sz w:val="22"/>
        </w:rPr>
      </w:pPr>
      <w:hyperlink w:anchor="_Toc36224637" w:history="1">
        <w:r w:rsidR="002745A8" w:rsidRPr="00D9348B">
          <w:rPr>
            <w:rStyle w:val="Hyperlink"/>
          </w:rPr>
          <w:t>Table 6.11.2</w:t>
        </w:r>
        <w:r w:rsidR="002745A8" w:rsidRPr="00D9348B">
          <w:rPr>
            <w:rFonts w:cs="Times New Roman"/>
            <w:sz w:val="22"/>
          </w:rPr>
          <w:tab/>
        </w:r>
        <w:r w:rsidR="002745A8" w:rsidRPr="00D9348B">
          <w:rPr>
            <w:rStyle w:val="Hyperlink"/>
          </w:rPr>
          <w:t>Non-CO</w:t>
        </w:r>
        <w:r w:rsidR="002745A8" w:rsidRPr="00D9348B">
          <w:rPr>
            <w:rStyle w:val="Hyperlink"/>
            <w:vertAlign w:val="subscript"/>
          </w:rPr>
          <w:t>2</w:t>
        </w:r>
        <w:r w:rsidR="002745A8" w:rsidRPr="00D9348B">
          <w:rPr>
            <w:rStyle w:val="Hyperlink"/>
          </w:rPr>
          <w:t xml:space="preserve"> emissions from Biomass burning</w:t>
        </w:r>
        <w:r w:rsidR="002745A8" w:rsidRPr="00D9348B">
          <w:rPr>
            <w:webHidden/>
          </w:rPr>
          <w:tab/>
        </w:r>
        <w:r w:rsidR="002745A8" w:rsidRPr="00D9348B">
          <w:rPr>
            <w:webHidden/>
          </w:rPr>
          <w:fldChar w:fldCharType="begin"/>
        </w:r>
        <w:r w:rsidR="002745A8" w:rsidRPr="00D9348B">
          <w:rPr>
            <w:webHidden/>
          </w:rPr>
          <w:instrText xml:space="preserve"> PAGEREF _Toc36224637 \h </w:instrText>
        </w:r>
        <w:r w:rsidR="002745A8" w:rsidRPr="00D9348B">
          <w:rPr>
            <w:webHidden/>
          </w:rPr>
        </w:r>
        <w:r w:rsidR="002745A8" w:rsidRPr="00D9348B">
          <w:rPr>
            <w:webHidden/>
          </w:rPr>
          <w:fldChar w:fldCharType="separate"/>
        </w:r>
        <w:r w:rsidR="00950F0A">
          <w:rPr>
            <w:webHidden/>
          </w:rPr>
          <w:t>335</w:t>
        </w:r>
        <w:r w:rsidR="002745A8" w:rsidRPr="00D9348B">
          <w:rPr>
            <w:webHidden/>
          </w:rPr>
          <w:fldChar w:fldCharType="end"/>
        </w:r>
      </w:hyperlink>
    </w:p>
    <w:p w14:paraId="2E961384" w14:textId="429F15D5" w:rsidR="002745A8" w:rsidRPr="00D9348B" w:rsidRDefault="00DA6C03">
      <w:pPr>
        <w:pStyle w:val="TableofFigures"/>
        <w:rPr>
          <w:rFonts w:cs="Times New Roman"/>
          <w:sz w:val="22"/>
        </w:rPr>
      </w:pPr>
      <w:hyperlink w:anchor="_Toc36224638" w:history="1">
        <w:r w:rsidR="002745A8" w:rsidRPr="00D9348B">
          <w:rPr>
            <w:rStyle w:val="Hyperlink"/>
          </w:rPr>
          <w:t>Table 6.11.3</w:t>
        </w:r>
        <w:r w:rsidR="002745A8" w:rsidRPr="00D9348B">
          <w:rPr>
            <w:rFonts w:cs="Times New Roman"/>
            <w:sz w:val="22"/>
          </w:rPr>
          <w:tab/>
        </w:r>
        <w:r w:rsidR="002745A8" w:rsidRPr="00D9348B">
          <w:rPr>
            <w:rStyle w:val="Hyperlink"/>
          </w:rPr>
          <w:t>Uncertainty in New Zealand’s 2018 estimates for CH</w:t>
        </w:r>
        <w:r w:rsidR="002745A8" w:rsidRPr="00D9348B">
          <w:rPr>
            <w:rStyle w:val="Hyperlink"/>
            <w:vertAlign w:val="subscript"/>
          </w:rPr>
          <w:t>4</w:t>
        </w:r>
        <w:r w:rsidR="002745A8" w:rsidRPr="00D9348B">
          <w:rPr>
            <w:rStyle w:val="Hyperlink"/>
          </w:rPr>
          <w:t xml:space="preserve"> and N</w:t>
        </w:r>
        <w:r w:rsidR="002745A8" w:rsidRPr="00D9348B">
          <w:rPr>
            <w:rStyle w:val="Hyperlink"/>
            <w:vertAlign w:val="subscript"/>
          </w:rPr>
          <w:t>2</w:t>
        </w:r>
        <w:r w:rsidR="002745A8" w:rsidRPr="00D9348B">
          <w:rPr>
            <w:rStyle w:val="Hyperlink"/>
          </w:rPr>
          <w:t>O emissions from Biomass burning</w:t>
        </w:r>
        <w:r w:rsidR="002745A8" w:rsidRPr="00D9348B">
          <w:rPr>
            <w:webHidden/>
          </w:rPr>
          <w:tab/>
        </w:r>
        <w:r w:rsidR="002745A8" w:rsidRPr="00D9348B">
          <w:rPr>
            <w:webHidden/>
          </w:rPr>
          <w:fldChar w:fldCharType="begin"/>
        </w:r>
        <w:r w:rsidR="002745A8" w:rsidRPr="00D9348B">
          <w:rPr>
            <w:webHidden/>
          </w:rPr>
          <w:instrText xml:space="preserve"> PAGEREF _Toc36224638 \h </w:instrText>
        </w:r>
        <w:r w:rsidR="002745A8" w:rsidRPr="00D9348B">
          <w:rPr>
            <w:webHidden/>
          </w:rPr>
        </w:r>
        <w:r w:rsidR="002745A8" w:rsidRPr="00D9348B">
          <w:rPr>
            <w:webHidden/>
          </w:rPr>
          <w:fldChar w:fldCharType="separate"/>
        </w:r>
        <w:r w:rsidR="00950F0A">
          <w:rPr>
            <w:webHidden/>
          </w:rPr>
          <w:t>338</w:t>
        </w:r>
        <w:r w:rsidR="002745A8" w:rsidRPr="00D9348B">
          <w:rPr>
            <w:webHidden/>
          </w:rPr>
          <w:fldChar w:fldCharType="end"/>
        </w:r>
      </w:hyperlink>
    </w:p>
    <w:p w14:paraId="4E778AF7" w14:textId="311DBCF9" w:rsidR="002745A8" w:rsidRPr="00D9348B" w:rsidRDefault="00DA6C03">
      <w:pPr>
        <w:pStyle w:val="TableofFigures"/>
        <w:rPr>
          <w:rFonts w:cs="Times New Roman"/>
          <w:sz w:val="22"/>
        </w:rPr>
      </w:pPr>
      <w:hyperlink w:anchor="_Toc36224639" w:history="1">
        <w:r w:rsidR="002745A8" w:rsidRPr="00D9348B">
          <w:rPr>
            <w:rStyle w:val="Hyperlink"/>
          </w:rPr>
          <w:t xml:space="preserve">Table 7.1.1 </w:t>
        </w:r>
        <w:r w:rsidR="002745A8" w:rsidRPr="00D9348B">
          <w:rPr>
            <w:rFonts w:cs="Times New Roman"/>
            <w:sz w:val="22"/>
          </w:rPr>
          <w:tab/>
        </w:r>
        <w:r w:rsidR="002745A8" w:rsidRPr="00D9348B">
          <w:rPr>
            <w:rStyle w:val="Hyperlink"/>
          </w:rPr>
          <w:t>New Zealand’s greenhouse gas emissions for the Waste sector</w:t>
        </w:r>
        <w:r w:rsidR="00213A7A">
          <w:rPr>
            <w:rStyle w:val="Hyperlink"/>
          </w:rPr>
          <w:t xml:space="preserve"> </w:t>
        </w:r>
        <w:r w:rsidR="002745A8" w:rsidRPr="00D9348B">
          <w:rPr>
            <w:rStyle w:val="Hyperlink"/>
          </w:rPr>
          <w:t>by source category 1990 and 2018</w:t>
        </w:r>
        <w:r w:rsidR="002745A8" w:rsidRPr="00D9348B">
          <w:rPr>
            <w:webHidden/>
          </w:rPr>
          <w:tab/>
        </w:r>
        <w:r w:rsidR="002745A8" w:rsidRPr="00D9348B">
          <w:rPr>
            <w:webHidden/>
          </w:rPr>
          <w:fldChar w:fldCharType="begin"/>
        </w:r>
        <w:r w:rsidR="002745A8" w:rsidRPr="00D9348B">
          <w:rPr>
            <w:webHidden/>
          </w:rPr>
          <w:instrText xml:space="preserve"> PAGEREF _Toc36224639 \h </w:instrText>
        </w:r>
        <w:r w:rsidR="002745A8" w:rsidRPr="00D9348B">
          <w:rPr>
            <w:webHidden/>
          </w:rPr>
        </w:r>
        <w:r w:rsidR="002745A8" w:rsidRPr="00D9348B">
          <w:rPr>
            <w:webHidden/>
          </w:rPr>
          <w:fldChar w:fldCharType="separate"/>
        </w:r>
        <w:r w:rsidR="00950F0A">
          <w:rPr>
            <w:webHidden/>
          </w:rPr>
          <w:t>349</w:t>
        </w:r>
        <w:r w:rsidR="002745A8" w:rsidRPr="00D9348B">
          <w:rPr>
            <w:webHidden/>
          </w:rPr>
          <w:fldChar w:fldCharType="end"/>
        </w:r>
      </w:hyperlink>
    </w:p>
    <w:p w14:paraId="5B1B01AB" w14:textId="49144390" w:rsidR="002745A8" w:rsidRPr="00D9348B" w:rsidRDefault="00DA6C03">
      <w:pPr>
        <w:pStyle w:val="TableofFigures"/>
        <w:rPr>
          <w:rFonts w:cs="Times New Roman"/>
          <w:sz w:val="22"/>
        </w:rPr>
      </w:pPr>
      <w:hyperlink w:anchor="_Toc36224640" w:history="1">
        <w:r w:rsidR="002745A8" w:rsidRPr="00D9348B">
          <w:rPr>
            <w:rStyle w:val="Hyperlink"/>
          </w:rPr>
          <w:t xml:space="preserve">Table 7.1.2 </w:t>
        </w:r>
        <w:r w:rsidR="002745A8" w:rsidRPr="00D9348B">
          <w:rPr>
            <w:rFonts w:cs="Times New Roman"/>
            <w:sz w:val="22"/>
          </w:rPr>
          <w:tab/>
        </w:r>
        <w:r w:rsidR="002745A8" w:rsidRPr="00D9348B">
          <w:rPr>
            <w:rStyle w:val="Hyperlink"/>
          </w:rPr>
          <w:t>Key categories in the Waste sector</w:t>
        </w:r>
        <w:r w:rsidR="002745A8" w:rsidRPr="00D9348B">
          <w:rPr>
            <w:webHidden/>
          </w:rPr>
          <w:tab/>
        </w:r>
        <w:r w:rsidR="002745A8" w:rsidRPr="00D9348B">
          <w:rPr>
            <w:webHidden/>
          </w:rPr>
          <w:fldChar w:fldCharType="begin"/>
        </w:r>
        <w:r w:rsidR="002745A8" w:rsidRPr="00D9348B">
          <w:rPr>
            <w:webHidden/>
          </w:rPr>
          <w:instrText xml:space="preserve"> PAGEREF _Toc36224640 \h </w:instrText>
        </w:r>
        <w:r w:rsidR="002745A8" w:rsidRPr="00D9348B">
          <w:rPr>
            <w:webHidden/>
          </w:rPr>
        </w:r>
        <w:r w:rsidR="002745A8" w:rsidRPr="00D9348B">
          <w:rPr>
            <w:webHidden/>
          </w:rPr>
          <w:fldChar w:fldCharType="separate"/>
        </w:r>
        <w:r w:rsidR="00950F0A">
          <w:rPr>
            <w:webHidden/>
          </w:rPr>
          <w:t>350</w:t>
        </w:r>
        <w:r w:rsidR="002745A8" w:rsidRPr="00D9348B">
          <w:rPr>
            <w:webHidden/>
          </w:rPr>
          <w:fldChar w:fldCharType="end"/>
        </w:r>
      </w:hyperlink>
    </w:p>
    <w:p w14:paraId="361BD217" w14:textId="19C4A386" w:rsidR="002745A8" w:rsidRPr="00D9348B" w:rsidRDefault="00DA6C03">
      <w:pPr>
        <w:pStyle w:val="TableofFigures"/>
        <w:rPr>
          <w:rFonts w:cs="Times New Roman"/>
          <w:sz w:val="22"/>
        </w:rPr>
      </w:pPr>
      <w:hyperlink w:anchor="_Toc36224641" w:history="1">
        <w:r w:rsidR="002745A8" w:rsidRPr="00D9348B">
          <w:rPr>
            <w:rStyle w:val="Hyperlink"/>
          </w:rPr>
          <w:t xml:space="preserve">Table 7.2.1 </w:t>
        </w:r>
        <w:r w:rsidR="002745A8" w:rsidRPr="00D9348B">
          <w:rPr>
            <w:rFonts w:cs="Times New Roman"/>
            <w:sz w:val="22"/>
          </w:rPr>
          <w:tab/>
        </w:r>
        <w:r w:rsidR="002745A8" w:rsidRPr="00D9348B">
          <w:rPr>
            <w:rStyle w:val="Hyperlink"/>
          </w:rPr>
          <w:t>Landfill emissions in the common reporting format table</w:t>
        </w:r>
        <w:r w:rsidR="002745A8" w:rsidRPr="00D9348B">
          <w:rPr>
            <w:webHidden/>
          </w:rPr>
          <w:tab/>
        </w:r>
        <w:r w:rsidR="002745A8" w:rsidRPr="00D9348B">
          <w:rPr>
            <w:webHidden/>
          </w:rPr>
          <w:fldChar w:fldCharType="begin"/>
        </w:r>
        <w:r w:rsidR="002745A8" w:rsidRPr="00D9348B">
          <w:rPr>
            <w:webHidden/>
          </w:rPr>
          <w:instrText xml:space="preserve"> PAGEREF _Toc36224641 \h </w:instrText>
        </w:r>
        <w:r w:rsidR="002745A8" w:rsidRPr="00D9348B">
          <w:rPr>
            <w:webHidden/>
          </w:rPr>
        </w:r>
        <w:r w:rsidR="002745A8" w:rsidRPr="00D9348B">
          <w:rPr>
            <w:webHidden/>
          </w:rPr>
          <w:fldChar w:fldCharType="separate"/>
        </w:r>
        <w:r w:rsidR="00950F0A">
          <w:rPr>
            <w:webHidden/>
          </w:rPr>
          <w:t>353</w:t>
        </w:r>
        <w:r w:rsidR="002745A8" w:rsidRPr="00D9348B">
          <w:rPr>
            <w:webHidden/>
          </w:rPr>
          <w:fldChar w:fldCharType="end"/>
        </w:r>
      </w:hyperlink>
    </w:p>
    <w:p w14:paraId="64579571" w14:textId="571C5E67" w:rsidR="002745A8" w:rsidRPr="00D9348B" w:rsidRDefault="00DA6C03">
      <w:pPr>
        <w:pStyle w:val="TableofFigures"/>
        <w:rPr>
          <w:rFonts w:cs="Times New Roman"/>
          <w:sz w:val="22"/>
        </w:rPr>
      </w:pPr>
      <w:hyperlink w:anchor="_Toc36224642" w:history="1">
        <w:r w:rsidR="002745A8" w:rsidRPr="00D9348B">
          <w:rPr>
            <w:rStyle w:val="Hyperlink"/>
          </w:rPr>
          <w:t xml:space="preserve">Table 7.2.2 </w:t>
        </w:r>
        <w:r w:rsidR="002745A8" w:rsidRPr="00D9348B">
          <w:rPr>
            <w:rFonts w:cs="Times New Roman"/>
            <w:sz w:val="22"/>
          </w:rPr>
          <w:tab/>
        </w:r>
        <w:r w:rsidR="002745A8" w:rsidRPr="00D9348B">
          <w:rPr>
            <w:rStyle w:val="Hyperlink"/>
          </w:rPr>
          <w:t>Landfill categories in 2018</w:t>
        </w:r>
        <w:r w:rsidR="002745A8" w:rsidRPr="00D9348B">
          <w:rPr>
            <w:webHidden/>
          </w:rPr>
          <w:tab/>
        </w:r>
        <w:r w:rsidR="002745A8" w:rsidRPr="00D9348B">
          <w:rPr>
            <w:webHidden/>
          </w:rPr>
          <w:fldChar w:fldCharType="begin"/>
        </w:r>
        <w:r w:rsidR="002745A8" w:rsidRPr="00D9348B">
          <w:rPr>
            <w:webHidden/>
          </w:rPr>
          <w:instrText xml:space="preserve"> PAGEREF _Toc36224642 \h </w:instrText>
        </w:r>
        <w:r w:rsidR="002745A8" w:rsidRPr="00D9348B">
          <w:rPr>
            <w:webHidden/>
          </w:rPr>
        </w:r>
        <w:r w:rsidR="002745A8" w:rsidRPr="00D9348B">
          <w:rPr>
            <w:webHidden/>
          </w:rPr>
          <w:fldChar w:fldCharType="separate"/>
        </w:r>
        <w:r w:rsidR="00950F0A">
          <w:rPr>
            <w:webHidden/>
          </w:rPr>
          <w:t>354</w:t>
        </w:r>
        <w:r w:rsidR="002745A8" w:rsidRPr="00D9348B">
          <w:rPr>
            <w:webHidden/>
          </w:rPr>
          <w:fldChar w:fldCharType="end"/>
        </w:r>
      </w:hyperlink>
    </w:p>
    <w:p w14:paraId="0F0D0F22" w14:textId="6FF3EC56" w:rsidR="002745A8" w:rsidRPr="00D9348B" w:rsidRDefault="00DA6C03">
      <w:pPr>
        <w:pStyle w:val="TableofFigures"/>
        <w:rPr>
          <w:rFonts w:cs="Times New Roman"/>
          <w:sz w:val="22"/>
        </w:rPr>
      </w:pPr>
      <w:hyperlink w:anchor="_Toc36224643" w:history="1">
        <w:r w:rsidR="002745A8" w:rsidRPr="00D9348B">
          <w:rPr>
            <w:rStyle w:val="Hyperlink"/>
          </w:rPr>
          <w:t xml:space="preserve">Table 7.2.3 </w:t>
        </w:r>
        <w:r w:rsidR="002745A8" w:rsidRPr="00D9348B">
          <w:rPr>
            <w:rFonts w:cs="Times New Roman"/>
            <w:sz w:val="22"/>
          </w:rPr>
          <w:tab/>
        </w:r>
        <w:r w:rsidR="002745A8" w:rsidRPr="00D9348B">
          <w:rPr>
            <w:rStyle w:val="Hyperlink"/>
          </w:rPr>
          <w:t>Solid waste deposited to municipal and uncategorised landfills from 1950 to 2018</w:t>
        </w:r>
        <w:r w:rsidR="002745A8" w:rsidRPr="00D9348B">
          <w:rPr>
            <w:webHidden/>
          </w:rPr>
          <w:tab/>
        </w:r>
        <w:r w:rsidR="002745A8" w:rsidRPr="00D9348B">
          <w:rPr>
            <w:webHidden/>
          </w:rPr>
          <w:fldChar w:fldCharType="begin"/>
        </w:r>
        <w:r w:rsidR="002745A8" w:rsidRPr="00D9348B">
          <w:rPr>
            <w:webHidden/>
          </w:rPr>
          <w:instrText xml:space="preserve"> PAGEREF _Toc36224643 \h </w:instrText>
        </w:r>
        <w:r w:rsidR="002745A8" w:rsidRPr="00D9348B">
          <w:rPr>
            <w:webHidden/>
          </w:rPr>
        </w:r>
        <w:r w:rsidR="002745A8" w:rsidRPr="00D9348B">
          <w:rPr>
            <w:webHidden/>
          </w:rPr>
          <w:fldChar w:fldCharType="separate"/>
        </w:r>
        <w:r w:rsidR="00950F0A">
          <w:rPr>
            <w:webHidden/>
          </w:rPr>
          <w:t>355</w:t>
        </w:r>
        <w:r w:rsidR="002745A8" w:rsidRPr="00D9348B">
          <w:rPr>
            <w:webHidden/>
          </w:rPr>
          <w:fldChar w:fldCharType="end"/>
        </w:r>
      </w:hyperlink>
    </w:p>
    <w:p w14:paraId="030A413B" w14:textId="0D9EB650" w:rsidR="002745A8" w:rsidRPr="00D9348B" w:rsidRDefault="00DA6C03">
      <w:pPr>
        <w:pStyle w:val="TableofFigures"/>
        <w:rPr>
          <w:rFonts w:cs="Times New Roman"/>
          <w:sz w:val="22"/>
        </w:rPr>
      </w:pPr>
      <w:hyperlink w:anchor="_Toc36224644" w:history="1">
        <w:r w:rsidR="002745A8" w:rsidRPr="00D9348B">
          <w:rPr>
            <w:rStyle w:val="Hyperlink"/>
          </w:rPr>
          <w:t xml:space="preserve">Table 7.2.4 </w:t>
        </w:r>
        <w:r w:rsidR="002745A8" w:rsidRPr="00D9348B">
          <w:rPr>
            <w:rFonts w:cs="Times New Roman"/>
            <w:sz w:val="22"/>
          </w:rPr>
          <w:tab/>
        </w:r>
        <w:r w:rsidR="002745A8" w:rsidRPr="00D9348B">
          <w:rPr>
            <w:rStyle w:val="Hyperlink"/>
          </w:rPr>
          <w:t>Solid waste deposited to unmanaged landfills from 1950 to 2018</w:t>
        </w:r>
        <w:r w:rsidR="002745A8" w:rsidRPr="00D9348B">
          <w:rPr>
            <w:webHidden/>
          </w:rPr>
          <w:tab/>
        </w:r>
        <w:r w:rsidR="002745A8" w:rsidRPr="00D9348B">
          <w:rPr>
            <w:webHidden/>
          </w:rPr>
          <w:fldChar w:fldCharType="begin"/>
        </w:r>
        <w:r w:rsidR="002745A8" w:rsidRPr="00D9348B">
          <w:rPr>
            <w:webHidden/>
          </w:rPr>
          <w:instrText xml:space="preserve"> PAGEREF _Toc36224644 \h </w:instrText>
        </w:r>
        <w:r w:rsidR="002745A8" w:rsidRPr="00D9348B">
          <w:rPr>
            <w:webHidden/>
          </w:rPr>
        </w:r>
        <w:r w:rsidR="002745A8" w:rsidRPr="00D9348B">
          <w:rPr>
            <w:webHidden/>
          </w:rPr>
          <w:fldChar w:fldCharType="separate"/>
        </w:r>
        <w:r w:rsidR="00950F0A">
          <w:rPr>
            <w:webHidden/>
          </w:rPr>
          <w:t>357</w:t>
        </w:r>
        <w:r w:rsidR="002745A8" w:rsidRPr="00D9348B">
          <w:rPr>
            <w:webHidden/>
          </w:rPr>
          <w:fldChar w:fldCharType="end"/>
        </w:r>
      </w:hyperlink>
    </w:p>
    <w:p w14:paraId="3B75188D" w14:textId="1D21BF98" w:rsidR="002745A8" w:rsidRPr="00D9348B" w:rsidRDefault="00DA6C03">
      <w:pPr>
        <w:pStyle w:val="TableofFigures"/>
        <w:rPr>
          <w:rFonts w:cs="Times New Roman"/>
          <w:sz w:val="22"/>
        </w:rPr>
      </w:pPr>
      <w:hyperlink w:anchor="_Toc36224645" w:history="1">
        <w:r w:rsidR="002745A8" w:rsidRPr="00D9348B">
          <w:rPr>
            <w:rStyle w:val="Hyperlink"/>
          </w:rPr>
          <w:t xml:space="preserve">Table 7.2.5 </w:t>
        </w:r>
        <w:r w:rsidR="002745A8" w:rsidRPr="00D9348B">
          <w:rPr>
            <w:rFonts w:cs="Times New Roman"/>
            <w:sz w:val="22"/>
          </w:rPr>
          <w:tab/>
        </w:r>
        <w:r w:rsidR="002745A8" w:rsidRPr="00D9348B">
          <w:rPr>
            <w:rStyle w:val="Hyperlink"/>
          </w:rPr>
          <w:t>Estimated composition of waste to municipal landfills from 1950 to 2018</w:t>
        </w:r>
        <w:r w:rsidR="002745A8" w:rsidRPr="00D9348B">
          <w:rPr>
            <w:webHidden/>
          </w:rPr>
          <w:tab/>
        </w:r>
        <w:r w:rsidR="002745A8" w:rsidRPr="00D9348B">
          <w:rPr>
            <w:webHidden/>
          </w:rPr>
          <w:fldChar w:fldCharType="begin"/>
        </w:r>
        <w:r w:rsidR="002745A8" w:rsidRPr="00D9348B">
          <w:rPr>
            <w:webHidden/>
          </w:rPr>
          <w:instrText xml:space="preserve"> PAGEREF _Toc36224645 \h </w:instrText>
        </w:r>
        <w:r w:rsidR="002745A8" w:rsidRPr="00D9348B">
          <w:rPr>
            <w:webHidden/>
          </w:rPr>
        </w:r>
        <w:r w:rsidR="002745A8" w:rsidRPr="00D9348B">
          <w:rPr>
            <w:webHidden/>
          </w:rPr>
          <w:fldChar w:fldCharType="separate"/>
        </w:r>
        <w:r w:rsidR="00950F0A">
          <w:rPr>
            <w:webHidden/>
          </w:rPr>
          <w:t>360</w:t>
        </w:r>
        <w:r w:rsidR="002745A8" w:rsidRPr="00D9348B">
          <w:rPr>
            <w:webHidden/>
          </w:rPr>
          <w:fldChar w:fldCharType="end"/>
        </w:r>
      </w:hyperlink>
    </w:p>
    <w:p w14:paraId="163BA1D5" w14:textId="6427E262" w:rsidR="002745A8" w:rsidRPr="00D9348B" w:rsidRDefault="00DA6C03">
      <w:pPr>
        <w:pStyle w:val="TableofFigures"/>
        <w:rPr>
          <w:rFonts w:cs="Times New Roman"/>
          <w:sz w:val="22"/>
        </w:rPr>
      </w:pPr>
      <w:hyperlink w:anchor="_Toc36224646" w:history="1">
        <w:r w:rsidR="002745A8" w:rsidRPr="00D9348B">
          <w:rPr>
            <w:rStyle w:val="Hyperlink"/>
          </w:rPr>
          <w:t>Table 7.2.6</w:t>
        </w:r>
        <w:r w:rsidR="002745A8" w:rsidRPr="00D9348B">
          <w:rPr>
            <w:rFonts w:cs="Times New Roman"/>
            <w:sz w:val="22"/>
          </w:rPr>
          <w:tab/>
        </w:r>
        <w:r w:rsidR="002745A8" w:rsidRPr="00D9348B">
          <w:rPr>
            <w:rStyle w:val="Hyperlink"/>
          </w:rPr>
          <w:t>Methane generation rates used for landfills with landfill gas recovery, 1990 and 2018</w:t>
        </w:r>
        <w:r w:rsidR="002745A8" w:rsidRPr="00D9348B">
          <w:rPr>
            <w:webHidden/>
          </w:rPr>
          <w:tab/>
        </w:r>
        <w:r w:rsidR="002745A8" w:rsidRPr="00D9348B">
          <w:rPr>
            <w:webHidden/>
          </w:rPr>
          <w:fldChar w:fldCharType="begin"/>
        </w:r>
        <w:r w:rsidR="002745A8" w:rsidRPr="00D9348B">
          <w:rPr>
            <w:webHidden/>
          </w:rPr>
          <w:instrText xml:space="preserve"> PAGEREF _Toc36224646 \h </w:instrText>
        </w:r>
        <w:r w:rsidR="002745A8" w:rsidRPr="00D9348B">
          <w:rPr>
            <w:webHidden/>
          </w:rPr>
        </w:r>
        <w:r w:rsidR="002745A8" w:rsidRPr="00D9348B">
          <w:rPr>
            <w:webHidden/>
          </w:rPr>
          <w:fldChar w:fldCharType="separate"/>
        </w:r>
        <w:r w:rsidR="00950F0A">
          <w:rPr>
            <w:webHidden/>
          </w:rPr>
          <w:t>362</w:t>
        </w:r>
        <w:r w:rsidR="002745A8" w:rsidRPr="00D9348B">
          <w:rPr>
            <w:webHidden/>
          </w:rPr>
          <w:fldChar w:fldCharType="end"/>
        </w:r>
      </w:hyperlink>
    </w:p>
    <w:p w14:paraId="08BC333C" w14:textId="33F3764E" w:rsidR="002745A8" w:rsidRPr="00D9348B" w:rsidRDefault="00DA6C03">
      <w:pPr>
        <w:pStyle w:val="TableofFigures"/>
        <w:rPr>
          <w:rFonts w:cs="Times New Roman"/>
          <w:sz w:val="22"/>
        </w:rPr>
      </w:pPr>
      <w:hyperlink w:anchor="_Toc36224647" w:history="1">
        <w:r w:rsidR="002745A8" w:rsidRPr="00D9348B">
          <w:rPr>
            <w:rStyle w:val="Hyperlink"/>
            <w:rFonts w:cs="Arial"/>
          </w:rPr>
          <w:t>Table 7.2.7</w:t>
        </w:r>
        <w:r w:rsidR="002745A8" w:rsidRPr="00D9348B">
          <w:rPr>
            <w:rFonts w:cs="Times New Roman"/>
            <w:sz w:val="22"/>
          </w:rPr>
          <w:tab/>
        </w:r>
        <w:r w:rsidR="002745A8" w:rsidRPr="00D9348B">
          <w:rPr>
            <w:rStyle w:val="Hyperlink"/>
            <w:rFonts w:cs="Arial"/>
          </w:rPr>
          <w:t>Methane recovery rates and amounts for landfill sites with landfill gas recovery 2018</w:t>
        </w:r>
        <w:r w:rsidR="002745A8" w:rsidRPr="00D9348B">
          <w:rPr>
            <w:webHidden/>
          </w:rPr>
          <w:tab/>
        </w:r>
        <w:r w:rsidR="002745A8" w:rsidRPr="00D9348B">
          <w:rPr>
            <w:webHidden/>
          </w:rPr>
          <w:fldChar w:fldCharType="begin"/>
        </w:r>
        <w:r w:rsidR="002745A8" w:rsidRPr="00D9348B">
          <w:rPr>
            <w:webHidden/>
          </w:rPr>
          <w:instrText xml:space="preserve"> PAGEREF _Toc36224647 \h </w:instrText>
        </w:r>
        <w:r w:rsidR="002745A8" w:rsidRPr="00D9348B">
          <w:rPr>
            <w:webHidden/>
          </w:rPr>
        </w:r>
        <w:r w:rsidR="002745A8" w:rsidRPr="00D9348B">
          <w:rPr>
            <w:webHidden/>
          </w:rPr>
          <w:fldChar w:fldCharType="separate"/>
        </w:r>
        <w:r w:rsidR="00950F0A">
          <w:rPr>
            <w:webHidden/>
          </w:rPr>
          <w:t>363</w:t>
        </w:r>
        <w:r w:rsidR="002745A8" w:rsidRPr="00D9348B">
          <w:rPr>
            <w:webHidden/>
          </w:rPr>
          <w:fldChar w:fldCharType="end"/>
        </w:r>
      </w:hyperlink>
    </w:p>
    <w:p w14:paraId="370649E2" w14:textId="6E1077AA" w:rsidR="002745A8" w:rsidRPr="00D9348B" w:rsidRDefault="00DA6C03">
      <w:pPr>
        <w:pStyle w:val="TableofFigures"/>
        <w:rPr>
          <w:rFonts w:cs="Times New Roman"/>
          <w:sz w:val="22"/>
        </w:rPr>
      </w:pPr>
      <w:hyperlink w:anchor="_Toc36224648" w:history="1">
        <w:r w:rsidR="002745A8" w:rsidRPr="00D9348B">
          <w:rPr>
            <w:rStyle w:val="Hyperlink"/>
          </w:rPr>
          <w:t xml:space="preserve">Table 7.2.8 </w:t>
        </w:r>
        <w:r w:rsidR="002745A8" w:rsidRPr="00D9348B">
          <w:rPr>
            <w:rFonts w:cs="Times New Roman"/>
            <w:sz w:val="22"/>
          </w:rPr>
          <w:tab/>
        </w:r>
        <w:r w:rsidR="002745A8" w:rsidRPr="00D9348B">
          <w:rPr>
            <w:rStyle w:val="Hyperlink"/>
          </w:rPr>
          <w:t>Summary of parameters for municipal landfills</w:t>
        </w:r>
        <w:r w:rsidR="002745A8" w:rsidRPr="00D9348B">
          <w:rPr>
            <w:webHidden/>
          </w:rPr>
          <w:tab/>
        </w:r>
        <w:r w:rsidR="002745A8" w:rsidRPr="00D9348B">
          <w:rPr>
            <w:webHidden/>
          </w:rPr>
          <w:fldChar w:fldCharType="begin"/>
        </w:r>
        <w:r w:rsidR="002745A8" w:rsidRPr="00D9348B">
          <w:rPr>
            <w:webHidden/>
          </w:rPr>
          <w:instrText xml:space="preserve"> PAGEREF _Toc36224648 \h </w:instrText>
        </w:r>
        <w:r w:rsidR="002745A8" w:rsidRPr="00D9348B">
          <w:rPr>
            <w:webHidden/>
          </w:rPr>
        </w:r>
        <w:r w:rsidR="002745A8" w:rsidRPr="00D9348B">
          <w:rPr>
            <w:webHidden/>
          </w:rPr>
          <w:fldChar w:fldCharType="separate"/>
        </w:r>
        <w:r w:rsidR="00950F0A">
          <w:rPr>
            <w:webHidden/>
          </w:rPr>
          <w:t>365</w:t>
        </w:r>
        <w:r w:rsidR="002745A8" w:rsidRPr="00D9348B">
          <w:rPr>
            <w:webHidden/>
          </w:rPr>
          <w:fldChar w:fldCharType="end"/>
        </w:r>
      </w:hyperlink>
    </w:p>
    <w:p w14:paraId="074D28B7" w14:textId="1023F30D" w:rsidR="002745A8" w:rsidRPr="00D9348B" w:rsidRDefault="00DA6C03">
      <w:pPr>
        <w:pStyle w:val="TableofFigures"/>
        <w:rPr>
          <w:rFonts w:cs="Times New Roman"/>
          <w:sz w:val="22"/>
        </w:rPr>
      </w:pPr>
      <w:hyperlink w:anchor="_Toc36224649" w:history="1">
        <w:r w:rsidR="002745A8" w:rsidRPr="00D9348B">
          <w:rPr>
            <w:rStyle w:val="Hyperlink"/>
          </w:rPr>
          <w:t>Table 7.2.9</w:t>
        </w:r>
        <w:r w:rsidR="002745A8" w:rsidRPr="00D9348B">
          <w:rPr>
            <w:rFonts w:cs="Times New Roman"/>
            <w:sz w:val="22"/>
          </w:rPr>
          <w:tab/>
        </w:r>
        <w:r w:rsidR="002745A8" w:rsidRPr="00D9348B">
          <w:rPr>
            <w:rStyle w:val="Hyperlink"/>
          </w:rPr>
          <w:t>Summary of parameters for non-municipal landfills and farm fills</w:t>
        </w:r>
        <w:r w:rsidR="002745A8" w:rsidRPr="00D9348B">
          <w:rPr>
            <w:webHidden/>
          </w:rPr>
          <w:tab/>
        </w:r>
        <w:r w:rsidR="002745A8" w:rsidRPr="00D9348B">
          <w:rPr>
            <w:webHidden/>
          </w:rPr>
          <w:fldChar w:fldCharType="begin"/>
        </w:r>
        <w:r w:rsidR="002745A8" w:rsidRPr="00D9348B">
          <w:rPr>
            <w:webHidden/>
          </w:rPr>
          <w:instrText xml:space="preserve"> PAGEREF _Toc36224649 \h </w:instrText>
        </w:r>
        <w:r w:rsidR="002745A8" w:rsidRPr="00D9348B">
          <w:rPr>
            <w:webHidden/>
          </w:rPr>
        </w:r>
        <w:r w:rsidR="002745A8" w:rsidRPr="00D9348B">
          <w:rPr>
            <w:webHidden/>
          </w:rPr>
          <w:fldChar w:fldCharType="separate"/>
        </w:r>
        <w:r w:rsidR="00950F0A">
          <w:rPr>
            <w:webHidden/>
          </w:rPr>
          <w:t>366</w:t>
        </w:r>
        <w:r w:rsidR="002745A8" w:rsidRPr="00D9348B">
          <w:rPr>
            <w:webHidden/>
          </w:rPr>
          <w:fldChar w:fldCharType="end"/>
        </w:r>
      </w:hyperlink>
    </w:p>
    <w:p w14:paraId="361F9E24" w14:textId="2D15B464" w:rsidR="002745A8" w:rsidRPr="00D9348B" w:rsidRDefault="00DA6C03">
      <w:pPr>
        <w:pStyle w:val="TableofFigures"/>
        <w:rPr>
          <w:rFonts w:cs="Times New Roman"/>
          <w:sz w:val="22"/>
        </w:rPr>
      </w:pPr>
      <w:hyperlink w:anchor="_Toc36224650" w:history="1">
        <w:r w:rsidR="002745A8" w:rsidRPr="00D9348B">
          <w:rPr>
            <w:rStyle w:val="Hyperlink"/>
          </w:rPr>
          <w:t>Table 7.2.10</w:t>
        </w:r>
        <w:r w:rsidR="002745A8" w:rsidRPr="00D9348B">
          <w:rPr>
            <w:rFonts w:cs="Times New Roman"/>
            <w:sz w:val="22"/>
          </w:rPr>
          <w:tab/>
        </w:r>
        <w:r w:rsidR="002745A8" w:rsidRPr="00D9348B">
          <w:rPr>
            <w:rStyle w:val="Hyperlink"/>
          </w:rPr>
          <w:t>Uncertainty in emissions from Solid waste disposal</w:t>
        </w:r>
        <w:r w:rsidR="002745A8" w:rsidRPr="00D9348B">
          <w:rPr>
            <w:webHidden/>
          </w:rPr>
          <w:tab/>
        </w:r>
        <w:r w:rsidR="002745A8" w:rsidRPr="00D9348B">
          <w:rPr>
            <w:webHidden/>
          </w:rPr>
          <w:fldChar w:fldCharType="begin"/>
        </w:r>
        <w:r w:rsidR="002745A8" w:rsidRPr="00D9348B">
          <w:rPr>
            <w:webHidden/>
          </w:rPr>
          <w:instrText xml:space="preserve"> PAGEREF _Toc36224650 \h </w:instrText>
        </w:r>
        <w:r w:rsidR="002745A8" w:rsidRPr="00D9348B">
          <w:rPr>
            <w:webHidden/>
          </w:rPr>
        </w:r>
        <w:r w:rsidR="002745A8" w:rsidRPr="00D9348B">
          <w:rPr>
            <w:webHidden/>
          </w:rPr>
          <w:fldChar w:fldCharType="separate"/>
        </w:r>
        <w:r w:rsidR="00950F0A">
          <w:rPr>
            <w:webHidden/>
          </w:rPr>
          <w:t>367</w:t>
        </w:r>
        <w:r w:rsidR="002745A8" w:rsidRPr="00D9348B">
          <w:rPr>
            <w:webHidden/>
          </w:rPr>
          <w:fldChar w:fldCharType="end"/>
        </w:r>
      </w:hyperlink>
    </w:p>
    <w:p w14:paraId="7602A49D" w14:textId="2CBE63EC" w:rsidR="002745A8" w:rsidRPr="00D9348B" w:rsidRDefault="00DA6C03">
      <w:pPr>
        <w:pStyle w:val="TableofFigures"/>
        <w:rPr>
          <w:rFonts w:cs="Times New Roman"/>
          <w:sz w:val="22"/>
        </w:rPr>
      </w:pPr>
      <w:hyperlink w:anchor="_Toc36224651" w:history="1">
        <w:r w:rsidR="002745A8" w:rsidRPr="00D9348B">
          <w:rPr>
            <w:rStyle w:val="Hyperlink"/>
          </w:rPr>
          <w:t xml:space="preserve">Table 7.3.1 </w:t>
        </w:r>
        <w:r w:rsidR="002745A8" w:rsidRPr="00D9348B">
          <w:rPr>
            <w:rFonts w:cs="Times New Roman"/>
            <w:sz w:val="22"/>
          </w:rPr>
          <w:tab/>
        </w:r>
        <w:r w:rsidR="002745A8" w:rsidRPr="00D9348B">
          <w:rPr>
            <w:rStyle w:val="Hyperlink"/>
          </w:rPr>
          <w:t>Emission factors applied to estimate emissions from composting</w:t>
        </w:r>
        <w:r w:rsidR="002745A8" w:rsidRPr="00D9348B">
          <w:rPr>
            <w:webHidden/>
          </w:rPr>
          <w:tab/>
        </w:r>
        <w:r w:rsidR="002745A8" w:rsidRPr="00D9348B">
          <w:rPr>
            <w:webHidden/>
          </w:rPr>
          <w:fldChar w:fldCharType="begin"/>
        </w:r>
        <w:r w:rsidR="002745A8" w:rsidRPr="00D9348B">
          <w:rPr>
            <w:webHidden/>
          </w:rPr>
          <w:instrText xml:space="preserve"> PAGEREF _Toc36224651 \h </w:instrText>
        </w:r>
        <w:r w:rsidR="002745A8" w:rsidRPr="00D9348B">
          <w:rPr>
            <w:webHidden/>
          </w:rPr>
        </w:r>
        <w:r w:rsidR="002745A8" w:rsidRPr="00D9348B">
          <w:rPr>
            <w:webHidden/>
          </w:rPr>
          <w:fldChar w:fldCharType="separate"/>
        </w:r>
        <w:r w:rsidR="00950F0A">
          <w:rPr>
            <w:webHidden/>
          </w:rPr>
          <w:t>369</w:t>
        </w:r>
        <w:r w:rsidR="002745A8" w:rsidRPr="00D9348B">
          <w:rPr>
            <w:webHidden/>
          </w:rPr>
          <w:fldChar w:fldCharType="end"/>
        </w:r>
      </w:hyperlink>
    </w:p>
    <w:p w14:paraId="5E721D8F" w14:textId="1A5AFDBB" w:rsidR="002745A8" w:rsidRPr="00D9348B" w:rsidRDefault="00DA6C03">
      <w:pPr>
        <w:pStyle w:val="TableofFigures"/>
        <w:rPr>
          <w:rFonts w:cs="Times New Roman"/>
          <w:sz w:val="22"/>
        </w:rPr>
      </w:pPr>
      <w:hyperlink w:anchor="_Toc36224652" w:history="1">
        <w:r w:rsidR="002745A8" w:rsidRPr="00D9348B">
          <w:rPr>
            <w:rStyle w:val="Hyperlink"/>
          </w:rPr>
          <w:t>Table 7.3.2</w:t>
        </w:r>
        <w:r w:rsidR="002745A8" w:rsidRPr="00D9348B">
          <w:rPr>
            <w:rFonts w:cs="Times New Roman"/>
            <w:sz w:val="22"/>
          </w:rPr>
          <w:tab/>
        </w:r>
        <w:r w:rsidR="002745A8" w:rsidRPr="00D9348B">
          <w:rPr>
            <w:rStyle w:val="Hyperlink"/>
          </w:rPr>
          <w:t>Uncertainty in emissions from compost</w:t>
        </w:r>
        <w:r w:rsidR="002745A8" w:rsidRPr="00D9348B">
          <w:rPr>
            <w:webHidden/>
          </w:rPr>
          <w:tab/>
        </w:r>
        <w:r w:rsidR="002745A8" w:rsidRPr="00D9348B">
          <w:rPr>
            <w:webHidden/>
          </w:rPr>
          <w:fldChar w:fldCharType="begin"/>
        </w:r>
        <w:r w:rsidR="002745A8" w:rsidRPr="00D9348B">
          <w:rPr>
            <w:webHidden/>
          </w:rPr>
          <w:instrText xml:space="preserve"> PAGEREF _Toc36224652 \h </w:instrText>
        </w:r>
        <w:r w:rsidR="002745A8" w:rsidRPr="00D9348B">
          <w:rPr>
            <w:webHidden/>
          </w:rPr>
        </w:r>
        <w:r w:rsidR="002745A8" w:rsidRPr="00D9348B">
          <w:rPr>
            <w:webHidden/>
          </w:rPr>
          <w:fldChar w:fldCharType="separate"/>
        </w:r>
        <w:r w:rsidR="00950F0A">
          <w:rPr>
            <w:webHidden/>
          </w:rPr>
          <w:t>369</w:t>
        </w:r>
        <w:r w:rsidR="002745A8" w:rsidRPr="00D9348B">
          <w:rPr>
            <w:webHidden/>
          </w:rPr>
          <w:fldChar w:fldCharType="end"/>
        </w:r>
      </w:hyperlink>
    </w:p>
    <w:p w14:paraId="5AE4E0F9" w14:textId="6727FB77" w:rsidR="002745A8" w:rsidRPr="00D9348B" w:rsidRDefault="00DA6C03">
      <w:pPr>
        <w:pStyle w:val="TableofFigures"/>
        <w:rPr>
          <w:rFonts w:cs="Times New Roman"/>
          <w:sz w:val="22"/>
        </w:rPr>
      </w:pPr>
      <w:hyperlink w:anchor="_Toc36224653" w:history="1">
        <w:r w:rsidR="002745A8" w:rsidRPr="00D9348B">
          <w:rPr>
            <w:rStyle w:val="Hyperlink"/>
            <w:rFonts w:cs="Arial"/>
          </w:rPr>
          <w:t xml:space="preserve">Table 7.4.1 </w:t>
        </w:r>
        <w:r w:rsidR="002745A8" w:rsidRPr="00D9348B">
          <w:rPr>
            <w:rFonts w:cs="Times New Roman"/>
            <w:sz w:val="22"/>
          </w:rPr>
          <w:tab/>
        </w:r>
        <w:r w:rsidR="002745A8" w:rsidRPr="00D9348B">
          <w:rPr>
            <w:rStyle w:val="Hyperlink"/>
            <w:rFonts w:cs="Arial"/>
          </w:rPr>
          <w:t>Emissions from Incineration and open burning of waste (5.C)</w:t>
        </w:r>
        <w:r w:rsidR="002745A8" w:rsidRPr="00D9348B">
          <w:rPr>
            <w:webHidden/>
          </w:rPr>
          <w:tab/>
        </w:r>
        <w:r w:rsidR="002745A8" w:rsidRPr="00D9348B">
          <w:rPr>
            <w:webHidden/>
          </w:rPr>
          <w:fldChar w:fldCharType="begin"/>
        </w:r>
        <w:r w:rsidR="002745A8" w:rsidRPr="00D9348B">
          <w:rPr>
            <w:webHidden/>
          </w:rPr>
          <w:instrText xml:space="preserve"> PAGEREF _Toc36224653 \h </w:instrText>
        </w:r>
        <w:r w:rsidR="002745A8" w:rsidRPr="00D9348B">
          <w:rPr>
            <w:webHidden/>
          </w:rPr>
        </w:r>
        <w:r w:rsidR="002745A8" w:rsidRPr="00D9348B">
          <w:rPr>
            <w:webHidden/>
          </w:rPr>
          <w:fldChar w:fldCharType="separate"/>
        </w:r>
        <w:r w:rsidR="00950F0A">
          <w:rPr>
            <w:webHidden/>
          </w:rPr>
          <w:t>370</w:t>
        </w:r>
        <w:r w:rsidR="002745A8" w:rsidRPr="00D9348B">
          <w:rPr>
            <w:webHidden/>
          </w:rPr>
          <w:fldChar w:fldCharType="end"/>
        </w:r>
      </w:hyperlink>
    </w:p>
    <w:p w14:paraId="19978B1F" w14:textId="58A77FAE" w:rsidR="002745A8" w:rsidRPr="00D9348B" w:rsidRDefault="00DA6C03">
      <w:pPr>
        <w:pStyle w:val="TableofFigures"/>
        <w:rPr>
          <w:rFonts w:cs="Times New Roman"/>
          <w:sz w:val="22"/>
        </w:rPr>
      </w:pPr>
      <w:hyperlink w:anchor="_Toc36224654" w:history="1">
        <w:r w:rsidR="002745A8" w:rsidRPr="00D9348B">
          <w:rPr>
            <w:rStyle w:val="Hyperlink"/>
          </w:rPr>
          <w:t xml:space="preserve">Table 7.4.2 </w:t>
        </w:r>
        <w:r w:rsidR="002745A8" w:rsidRPr="00D9348B">
          <w:rPr>
            <w:rFonts w:cs="Times New Roman"/>
            <w:sz w:val="22"/>
          </w:rPr>
          <w:tab/>
        </w:r>
        <w:r w:rsidR="002745A8" w:rsidRPr="00D9348B">
          <w:rPr>
            <w:rStyle w:val="Hyperlink"/>
          </w:rPr>
          <w:t>Amounts of waste incinerated 1990 to 2018</w:t>
        </w:r>
        <w:r w:rsidR="002745A8" w:rsidRPr="00D9348B">
          <w:rPr>
            <w:webHidden/>
          </w:rPr>
          <w:tab/>
        </w:r>
        <w:r w:rsidR="002745A8" w:rsidRPr="00D9348B">
          <w:rPr>
            <w:webHidden/>
          </w:rPr>
          <w:fldChar w:fldCharType="begin"/>
        </w:r>
        <w:r w:rsidR="002745A8" w:rsidRPr="00D9348B">
          <w:rPr>
            <w:webHidden/>
          </w:rPr>
          <w:instrText xml:space="preserve"> PAGEREF _Toc36224654 \h </w:instrText>
        </w:r>
        <w:r w:rsidR="002745A8" w:rsidRPr="00D9348B">
          <w:rPr>
            <w:webHidden/>
          </w:rPr>
        </w:r>
        <w:r w:rsidR="002745A8" w:rsidRPr="00D9348B">
          <w:rPr>
            <w:webHidden/>
          </w:rPr>
          <w:fldChar w:fldCharType="separate"/>
        </w:r>
        <w:r w:rsidR="00950F0A">
          <w:rPr>
            <w:webHidden/>
          </w:rPr>
          <w:t>371</w:t>
        </w:r>
        <w:r w:rsidR="002745A8" w:rsidRPr="00D9348B">
          <w:rPr>
            <w:webHidden/>
          </w:rPr>
          <w:fldChar w:fldCharType="end"/>
        </w:r>
      </w:hyperlink>
    </w:p>
    <w:p w14:paraId="65C0F5DB" w14:textId="21890254" w:rsidR="002745A8" w:rsidRPr="00D9348B" w:rsidRDefault="00DA6C03">
      <w:pPr>
        <w:pStyle w:val="TableofFigures"/>
        <w:rPr>
          <w:rFonts w:cs="Times New Roman"/>
          <w:sz w:val="22"/>
        </w:rPr>
      </w:pPr>
      <w:hyperlink w:anchor="_Toc36224655" w:history="1">
        <w:r w:rsidR="002745A8" w:rsidRPr="00D9348B">
          <w:rPr>
            <w:rStyle w:val="Hyperlink"/>
          </w:rPr>
          <w:t>Table 7.4.3</w:t>
        </w:r>
        <w:r w:rsidR="002745A8" w:rsidRPr="00D9348B">
          <w:rPr>
            <w:rFonts w:cs="Times New Roman"/>
            <w:sz w:val="22"/>
          </w:rPr>
          <w:tab/>
        </w:r>
        <w:r w:rsidR="002745A8" w:rsidRPr="00D9348B">
          <w:rPr>
            <w:rStyle w:val="Hyperlink"/>
          </w:rPr>
          <w:t>Values applied to estimate carbon dioxide emissions from open burning of rural waste</w:t>
        </w:r>
        <w:r w:rsidR="002745A8" w:rsidRPr="00D9348B">
          <w:rPr>
            <w:webHidden/>
          </w:rPr>
          <w:tab/>
        </w:r>
        <w:r w:rsidR="002745A8" w:rsidRPr="00D9348B">
          <w:rPr>
            <w:webHidden/>
          </w:rPr>
          <w:fldChar w:fldCharType="begin"/>
        </w:r>
        <w:r w:rsidR="002745A8" w:rsidRPr="00D9348B">
          <w:rPr>
            <w:webHidden/>
          </w:rPr>
          <w:instrText xml:space="preserve"> PAGEREF _Toc36224655 \h </w:instrText>
        </w:r>
        <w:r w:rsidR="002745A8" w:rsidRPr="00D9348B">
          <w:rPr>
            <w:webHidden/>
          </w:rPr>
        </w:r>
        <w:r w:rsidR="002745A8" w:rsidRPr="00D9348B">
          <w:rPr>
            <w:webHidden/>
          </w:rPr>
          <w:fldChar w:fldCharType="separate"/>
        </w:r>
        <w:r w:rsidR="00950F0A">
          <w:rPr>
            <w:webHidden/>
          </w:rPr>
          <w:t>372</w:t>
        </w:r>
        <w:r w:rsidR="002745A8" w:rsidRPr="00D9348B">
          <w:rPr>
            <w:webHidden/>
          </w:rPr>
          <w:fldChar w:fldCharType="end"/>
        </w:r>
      </w:hyperlink>
    </w:p>
    <w:p w14:paraId="36A4CB58" w14:textId="377BD372" w:rsidR="002745A8" w:rsidRPr="00D9348B" w:rsidRDefault="00DA6C03">
      <w:pPr>
        <w:pStyle w:val="TableofFigures"/>
        <w:rPr>
          <w:rFonts w:cs="Times New Roman"/>
          <w:sz w:val="22"/>
        </w:rPr>
      </w:pPr>
      <w:hyperlink w:anchor="_Toc36224656" w:history="1">
        <w:r w:rsidR="002745A8" w:rsidRPr="00D9348B">
          <w:rPr>
            <w:rStyle w:val="Hyperlink"/>
          </w:rPr>
          <w:t>Table 7.4.4</w:t>
        </w:r>
        <w:r w:rsidR="002745A8" w:rsidRPr="00D9348B">
          <w:rPr>
            <w:rFonts w:cs="Times New Roman"/>
            <w:sz w:val="22"/>
          </w:rPr>
          <w:tab/>
        </w:r>
        <w:r w:rsidR="002745A8" w:rsidRPr="00D9348B">
          <w:rPr>
            <w:rStyle w:val="Hyperlink"/>
          </w:rPr>
          <w:t>Parameter values applied to estimate emissions from incineration</w:t>
        </w:r>
        <w:r w:rsidR="002745A8" w:rsidRPr="00D9348B">
          <w:rPr>
            <w:webHidden/>
          </w:rPr>
          <w:tab/>
        </w:r>
        <w:r w:rsidR="002745A8" w:rsidRPr="00D9348B">
          <w:rPr>
            <w:webHidden/>
          </w:rPr>
          <w:fldChar w:fldCharType="begin"/>
        </w:r>
        <w:r w:rsidR="002745A8" w:rsidRPr="00D9348B">
          <w:rPr>
            <w:webHidden/>
          </w:rPr>
          <w:instrText xml:space="preserve"> PAGEREF _Toc36224656 \h </w:instrText>
        </w:r>
        <w:r w:rsidR="002745A8" w:rsidRPr="00D9348B">
          <w:rPr>
            <w:webHidden/>
          </w:rPr>
        </w:r>
        <w:r w:rsidR="002745A8" w:rsidRPr="00D9348B">
          <w:rPr>
            <w:webHidden/>
          </w:rPr>
          <w:fldChar w:fldCharType="separate"/>
        </w:r>
        <w:r w:rsidR="00950F0A">
          <w:rPr>
            <w:webHidden/>
          </w:rPr>
          <w:t>373</w:t>
        </w:r>
        <w:r w:rsidR="002745A8" w:rsidRPr="00D9348B">
          <w:rPr>
            <w:webHidden/>
          </w:rPr>
          <w:fldChar w:fldCharType="end"/>
        </w:r>
      </w:hyperlink>
    </w:p>
    <w:p w14:paraId="6B19C150" w14:textId="66E85C7D" w:rsidR="002745A8" w:rsidRPr="00D9348B" w:rsidRDefault="00DA6C03">
      <w:pPr>
        <w:pStyle w:val="TableofFigures"/>
        <w:rPr>
          <w:rFonts w:cs="Times New Roman"/>
          <w:sz w:val="22"/>
        </w:rPr>
      </w:pPr>
      <w:hyperlink w:anchor="_Toc36224657" w:history="1">
        <w:r w:rsidR="002745A8" w:rsidRPr="00D9348B">
          <w:rPr>
            <w:rStyle w:val="Hyperlink"/>
          </w:rPr>
          <w:t>Table 7.4.5</w:t>
        </w:r>
        <w:r w:rsidR="002745A8" w:rsidRPr="00D9348B">
          <w:rPr>
            <w:rFonts w:cs="Times New Roman"/>
            <w:sz w:val="22"/>
          </w:rPr>
          <w:tab/>
        </w:r>
        <w:r w:rsidR="002745A8" w:rsidRPr="00D9348B">
          <w:rPr>
            <w:rStyle w:val="Hyperlink"/>
          </w:rPr>
          <w:t>Parameters used to estimate emissions from open burning</w:t>
        </w:r>
        <w:r w:rsidR="002745A8" w:rsidRPr="00D9348B">
          <w:rPr>
            <w:webHidden/>
          </w:rPr>
          <w:tab/>
        </w:r>
        <w:r w:rsidR="002745A8" w:rsidRPr="00D9348B">
          <w:rPr>
            <w:webHidden/>
          </w:rPr>
          <w:fldChar w:fldCharType="begin"/>
        </w:r>
        <w:r w:rsidR="002745A8" w:rsidRPr="00D9348B">
          <w:rPr>
            <w:webHidden/>
          </w:rPr>
          <w:instrText xml:space="preserve"> PAGEREF _Toc36224657 \h </w:instrText>
        </w:r>
        <w:r w:rsidR="002745A8" w:rsidRPr="00D9348B">
          <w:rPr>
            <w:webHidden/>
          </w:rPr>
        </w:r>
        <w:r w:rsidR="002745A8" w:rsidRPr="00D9348B">
          <w:rPr>
            <w:webHidden/>
          </w:rPr>
          <w:fldChar w:fldCharType="separate"/>
        </w:r>
        <w:r w:rsidR="00950F0A">
          <w:rPr>
            <w:webHidden/>
          </w:rPr>
          <w:t>373</w:t>
        </w:r>
        <w:r w:rsidR="002745A8" w:rsidRPr="00D9348B">
          <w:rPr>
            <w:webHidden/>
          </w:rPr>
          <w:fldChar w:fldCharType="end"/>
        </w:r>
      </w:hyperlink>
    </w:p>
    <w:p w14:paraId="561A0BCD" w14:textId="7F3DEAF9" w:rsidR="002745A8" w:rsidRPr="00D9348B" w:rsidRDefault="00DA6C03">
      <w:pPr>
        <w:pStyle w:val="TableofFigures"/>
        <w:rPr>
          <w:rFonts w:cs="Times New Roman"/>
          <w:sz w:val="22"/>
        </w:rPr>
      </w:pPr>
      <w:hyperlink w:anchor="_Toc36224658" w:history="1">
        <w:r w:rsidR="002745A8" w:rsidRPr="00D9348B">
          <w:rPr>
            <w:rStyle w:val="Hyperlink"/>
          </w:rPr>
          <w:t>Table 7.4.6</w:t>
        </w:r>
        <w:r w:rsidR="002745A8" w:rsidRPr="00D9348B">
          <w:rPr>
            <w:rFonts w:cs="Times New Roman"/>
            <w:sz w:val="22"/>
          </w:rPr>
          <w:tab/>
        </w:r>
        <w:r w:rsidR="002745A8" w:rsidRPr="00D9348B">
          <w:rPr>
            <w:rStyle w:val="Hyperlink"/>
          </w:rPr>
          <w:t>Uncertainty in emissions from incineration and open burning</w:t>
        </w:r>
        <w:r w:rsidR="002745A8" w:rsidRPr="00D9348B">
          <w:rPr>
            <w:webHidden/>
          </w:rPr>
          <w:tab/>
        </w:r>
        <w:r w:rsidR="002745A8" w:rsidRPr="00D9348B">
          <w:rPr>
            <w:webHidden/>
          </w:rPr>
          <w:fldChar w:fldCharType="begin"/>
        </w:r>
        <w:r w:rsidR="002745A8" w:rsidRPr="00D9348B">
          <w:rPr>
            <w:webHidden/>
          </w:rPr>
          <w:instrText xml:space="preserve"> PAGEREF _Toc36224658 \h </w:instrText>
        </w:r>
        <w:r w:rsidR="002745A8" w:rsidRPr="00D9348B">
          <w:rPr>
            <w:webHidden/>
          </w:rPr>
        </w:r>
        <w:r w:rsidR="002745A8" w:rsidRPr="00D9348B">
          <w:rPr>
            <w:webHidden/>
          </w:rPr>
          <w:fldChar w:fldCharType="separate"/>
        </w:r>
        <w:r w:rsidR="00950F0A">
          <w:rPr>
            <w:webHidden/>
          </w:rPr>
          <w:t>374</w:t>
        </w:r>
        <w:r w:rsidR="002745A8" w:rsidRPr="00D9348B">
          <w:rPr>
            <w:webHidden/>
          </w:rPr>
          <w:fldChar w:fldCharType="end"/>
        </w:r>
      </w:hyperlink>
    </w:p>
    <w:p w14:paraId="4043AD7C" w14:textId="0C0AF97B" w:rsidR="002745A8" w:rsidRPr="00D9348B" w:rsidRDefault="00DA6C03">
      <w:pPr>
        <w:pStyle w:val="TableofFigures"/>
        <w:rPr>
          <w:rFonts w:cs="Times New Roman"/>
          <w:sz w:val="22"/>
        </w:rPr>
      </w:pPr>
      <w:hyperlink w:anchor="_Toc36224659" w:history="1">
        <w:r w:rsidR="002745A8" w:rsidRPr="00D9348B">
          <w:rPr>
            <w:rStyle w:val="Hyperlink"/>
            <w:rFonts w:cs="Arial"/>
          </w:rPr>
          <w:t xml:space="preserve">Table 7.5.1 </w:t>
        </w:r>
        <w:r w:rsidR="002745A8" w:rsidRPr="00D9348B">
          <w:rPr>
            <w:rFonts w:cs="Times New Roman"/>
            <w:sz w:val="22"/>
          </w:rPr>
          <w:tab/>
        </w:r>
        <w:r w:rsidR="002745A8" w:rsidRPr="00D9348B">
          <w:rPr>
            <w:rStyle w:val="Hyperlink"/>
            <w:rFonts w:cs="Arial"/>
          </w:rPr>
          <w:t>Emissions from Wastewater treatment and discharge (5.D)</w:t>
        </w:r>
        <w:r w:rsidR="002745A8" w:rsidRPr="00D9348B">
          <w:rPr>
            <w:webHidden/>
          </w:rPr>
          <w:tab/>
        </w:r>
        <w:r w:rsidR="002745A8" w:rsidRPr="00D9348B">
          <w:rPr>
            <w:webHidden/>
          </w:rPr>
          <w:fldChar w:fldCharType="begin"/>
        </w:r>
        <w:r w:rsidR="002745A8" w:rsidRPr="00D9348B">
          <w:rPr>
            <w:webHidden/>
          </w:rPr>
          <w:instrText xml:space="preserve"> PAGEREF _Toc36224659 \h </w:instrText>
        </w:r>
        <w:r w:rsidR="002745A8" w:rsidRPr="00D9348B">
          <w:rPr>
            <w:webHidden/>
          </w:rPr>
        </w:r>
        <w:r w:rsidR="002745A8" w:rsidRPr="00D9348B">
          <w:rPr>
            <w:webHidden/>
          </w:rPr>
          <w:fldChar w:fldCharType="separate"/>
        </w:r>
        <w:r w:rsidR="00950F0A">
          <w:rPr>
            <w:webHidden/>
          </w:rPr>
          <w:t>375</w:t>
        </w:r>
        <w:r w:rsidR="002745A8" w:rsidRPr="00D9348B">
          <w:rPr>
            <w:webHidden/>
          </w:rPr>
          <w:fldChar w:fldCharType="end"/>
        </w:r>
      </w:hyperlink>
    </w:p>
    <w:p w14:paraId="7F634B1B" w14:textId="60E2B1E9" w:rsidR="002745A8" w:rsidRPr="00D9348B" w:rsidRDefault="00DA6C03">
      <w:pPr>
        <w:pStyle w:val="TableofFigures"/>
        <w:rPr>
          <w:rFonts w:cs="Times New Roman"/>
          <w:sz w:val="22"/>
        </w:rPr>
      </w:pPr>
      <w:hyperlink w:anchor="_Toc36224660" w:history="1">
        <w:r w:rsidR="002745A8" w:rsidRPr="00D9348B">
          <w:rPr>
            <w:rStyle w:val="Hyperlink"/>
          </w:rPr>
          <w:t xml:space="preserve">Table 7.5.2 </w:t>
        </w:r>
        <w:r w:rsidR="002745A8" w:rsidRPr="00D9348B">
          <w:rPr>
            <w:rFonts w:cs="Times New Roman"/>
            <w:sz w:val="22"/>
          </w:rPr>
          <w:tab/>
        </w:r>
        <w:r w:rsidR="002745A8" w:rsidRPr="00D9348B">
          <w:rPr>
            <w:rStyle w:val="Hyperlink"/>
          </w:rPr>
          <w:t>Activity data and key factors for domestic wastewater from 1990 to 2018</w:t>
        </w:r>
        <w:r w:rsidR="002745A8" w:rsidRPr="00D9348B">
          <w:rPr>
            <w:webHidden/>
          </w:rPr>
          <w:tab/>
        </w:r>
        <w:r w:rsidR="002745A8" w:rsidRPr="00D9348B">
          <w:rPr>
            <w:webHidden/>
          </w:rPr>
          <w:fldChar w:fldCharType="begin"/>
        </w:r>
        <w:r w:rsidR="002745A8" w:rsidRPr="00D9348B">
          <w:rPr>
            <w:webHidden/>
          </w:rPr>
          <w:instrText xml:space="preserve"> PAGEREF _Toc36224660 \h </w:instrText>
        </w:r>
        <w:r w:rsidR="002745A8" w:rsidRPr="00D9348B">
          <w:rPr>
            <w:webHidden/>
          </w:rPr>
        </w:r>
        <w:r w:rsidR="002745A8" w:rsidRPr="00D9348B">
          <w:rPr>
            <w:webHidden/>
          </w:rPr>
          <w:fldChar w:fldCharType="separate"/>
        </w:r>
        <w:r w:rsidR="00950F0A">
          <w:rPr>
            <w:webHidden/>
          </w:rPr>
          <w:t>377</w:t>
        </w:r>
        <w:r w:rsidR="002745A8" w:rsidRPr="00D9348B">
          <w:rPr>
            <w:webHidden/>
          </w:rPr>
          <w:fldChar w:fldCharType="end"/>
        </w:r>
      </w:hyperlink>
    </w:p>
    <w:p w14:paraId="1F453B94" w14:textId="328A1476" w:rsidR="002745A8" w:rsidRPr="00D9348B" w:rsidRDefault="00DA6C03">
      <w:pPr>
        <w:pStyle w:val="TableofFigures"/>
        <w:rPr>
          <w:rFonts w:cs="Times New Roman"/>
          <w:sz w:val="22"/>
        </w:rPr>
      </w:pPr>
      <w:hyperlink w:anchor="_Toc36224661" w:history="1">
        <w:r w:rsidR="002745A8" w:rsidRPr="00D9348B">
          <w:rPr>
            <w:rStyle w:val="Hyperlink"/>
            <w:rFonts w:cs="Arial"/>
          </w:rPr>
          <w:t xml:space="preserve">Table 7.5.3 </w:t>
        </w:r>
        <w:r w:rsidR="002745A8" w:rsidRPr="00D9348B">
          <w:rPr>
            <w:rFonts w:cs="Times New Roman"/>
            <w:sz w:val="22"/>
          </w:rPr>
          <w:tab/>
        </w:r>
        <w:r w:rsidR="002745A8" w:rsidRPr="00D9348B">
          <w:rPr>
            <w:rStyle w:val="Hyperlink"/>
            <w:rFonts w:cs="Arial"/>
          </w:rPr>
          <w:t>Total organic product producing methane from industrial wastewater 1990 to 2018</w:t>
        </w:r>
        <w:r w:rsidR="002745A8" w:rsidRPr="00D9348B">
          <w:rPr>
            <w:webHidden/>
          </w:rPr>
          <w:tab/>
        </w:r>
        <w:r w:rsidR="002745A8" w:rsidRPr="00D9348B">
          <w:rPr>
            <w:webHidden/>
          </w:rPr>
          <w:fldChar w:fldCharType="begin"/>
        </w:r>
        <w:r w:rsidR="002745A8" w:rsidRPr="00D9348B">
          <w:rPr>
            <w:webHidden/>
          </w:rPr>
          <w:instrText xml:space="preserve"> PAGEREF _Toc36224661 \h </w:instrText>
        </w:r>
        <w:r w:rsidR="002745A8" w:rsidRPr="00D9348B">
          <w:rPr>
            <w:webHidden/>
          </w:rPr>
        </w:r>
        <w:r w:rsidR="002745A8" w:rsidRPr="00D9348B">
          <w:rPr>
            <w:webHidden/>
          </w:rPr>
          <w:fldChar w:fldCharType="separate"/>
        </w:r>
        <w:r w:rsidR="00950F0A">
          <w:rPr>
            <w:webHidden/>
          </w:rPr>
          <w:t>377</w:t>
        </w:r>
        <w:r w:rsidR="002745A8" w:rsidRPr="00D9348B">
          <w:rPr>
            <w:webHidden/>
          </w:rPr>
          <w:fldChar w:fldCharType="end"/>
        </w:r>
      </w:hyperlink>
    </w:p>
    <w:p w14:paraId="3E0B5E7A" w14:textId="74E8DFF9" w:rsidR="002745A8" w:rsidRPr="00D9348B" w:rsidRDefault="00DA6C03">
      <w:pPr>
        <w:pStyle w:val="TableofFigures"/>
        <w:rPr>
          <w:rFonts w:cs="Times New Roman"/>
          <w:sz w:val="22"/>
        </w:rPr>
      </w:pPr>
      <w:hyperlink w:anchor="_Toc36224662" w:history="1">
        <w:r w:rsidR="002745A8" w:rsidRPr="00D9348B">
          <w:rPr>
            <w:rStyle w:val="Hyperlink"/>
          </w:rPr>
          <w:t xml:space="preserve">Table 7.5.4 </w:t>
        </w:r>
        <w:r w:rsidR="002745A8" w:rsidRPr="00D9348B">
          <w:rPr>
            <w:rFonts w:cs="Times New Roman"/>
            <w:sz w:val="22"/>
          </w:rPr>
          <w:tab/>
        </w:r>
        <w:r w:rsidR="002745A8" w:rsidRPr="00D9348B">
          <w:rPr>
            <w:rStyle w:val="Hyperlink"/>
          </w:rPr>
          <w:t>Nitrogen in effluent from industrial wastewater 1990 to 2018</w:t>
        </w:r>
        <w:r w:rsidR="002745A8" w:rsidRPr="00D9348B">
          <w:rPr>
            <w:webHidden/>
          </w:rPr>
          <w:tab/>
        </w:r>
        <w:r w:rsidR="002745A8" w:rsidRPr="00D9348B">
          <w:rPr>
            <w:webHidden/>
          </w:rPr>
          <w:fldChar w:fldCharType="begin"/>
        </w:r>
        <w:r w:rsidR="002745A8" w:rsidRPr="00D9348B">
          <w:rPr>
            <w:webHidden/>
          </w:rPr>
          <w:instrText xml:space="preserve"> PAGEREF _Toc36224662 \h </w:instrText>
        </w:r>
        <w:r w:rsidR="002745A8" w:rsidRPr="00D9348B">
          <w:rPr>
            <w:webHidden/>
          </w:rPr>
        </w:r>
        <w:r w:rsidR="002745A8" w:rsidRPr="00D9348B">
          <w:rPr>
            <w:webHidden/>
          </w:rPr>
          <w:fldChar w:fldCharType="separate"/>
        </w:r>
        <w:r w:rsidR="00950F0A">
          <w:rPr>
            <w:webHidden/>
          </w:rPr>
          <w:t>378</w:t>
        </w:r>
        <w:r w:rsidR="002745A8" w:rsidRPr="00D9348B">
          <w:rPr>
            <w:webHidden/>
          </w:rPr>
          <w:fldChar w:fldCharType="end"/>
        </w:r>
      </w:hyperlink>
    </w:p>
    <w:p w14:paraId="5534539F" w14:textId="4567C3F3" w:rsidR="002745A8" w:rsidRPr="00D9348B" w:rsidRDefault="00DA6C03">
      <w:pPr>
        <w:pStyle w:val="TableofFigures"/>
        <w:rPr>
          <w:rFonts w:cs="Times New Roman"/>
          <w:sz w:val="22"/>
        </w:rPr>
      </w:pPr>
      <w:hyperlink w:anchor="_Toc36224663" w:history="1">
        <w:r w:rsidR="002745A8" w:rsidRPr="00D9348B">
          <w:rPr>
            <w:rStyle w:val="Hyperlink"/>
          </w:rPr>
          <w:t>Table 7.5.5</w:t>
        </w:r>
        <w:r w:rsidR="002745A8" w:rsidRPr="00D9348B">
          <w:rPr>
            <w:rFonts w:cs="Times New Roman"/>
            <w:sz w:val="22"/>
          </w:rPr>
          <w:tab/>
        </w:r>
        <w:r w:rsidR="002745A8" w:rsidRPr="00D9348B">
          <w:rPr>
            <w:rStyle w:val="Hyperlink"/>
          </w:rPr>
          <w:t>Methods used for calculating emissions from wastewater treatment</w:t>
        </w:r>
        <w:r w:rsidR="002745A8" w:rsidRPr="00D9348B">
          <w:rPr>
            <w:webHidden/>
          </w:rPr>
          <w:tab/>
        </w:r>
        <w:r w:rsidR="002745A8" w:rsidRPr="00D9348B">
          <w:rPr>
            <w:webHidden/>
          </w:rPr>
          <w:fldChar w:fldCharType="begin"/>
        </w:r>
        <w:r w:rsidR="002745A8" w:rsidRPr="00D9348B">
          <w:rPr>
            <w:webHidden/>
          </w:rPr>
          <w:instrText xml:space="preserve"> PAGEREF _Toc36224663 \h </w:instrText>
        </w:r>
        <w:r w:rsidR="002745A8" w:rsidRPr="00D9348B">
          <w:rPr>
            <w:webHidden/>
          </w:rPr>
        </w:r>
        <w:r w:rsidR="002745A8" w:rsidRPr="00D9348B">
          <w:rPr>
            <w:webHidden/>
          </w:rPr>
          <w:fldChar w:fldCharType="separate"/>
        </w:r>
        <w:r w:rsidR="00950F0A">
          <w:rPr>
            <w:webHidden/>
          </w:rPr>
          <w:t>380</w:t>
        </w:r>
        <w:r w:rsidR="002745A8" w:rsidRPr="00D9348B">
          <w:rPr>
            <w:webHidden/>
          </w:rPr>
          <w:fldChar w:fldCharType="end"/>
        </w:r>
      </w:hyperlink>
    </w:p>
    <w:p w14:paraId="5378EAC7" w14:textId="23E43C54" w:rsidR="002745A8" w:rsidRPr="00D9348B" w:rsidRDefault="00DA6C03">
      <w:pPr>
        <w:pStyle w:val="TableofFigures"/>
        <w:rPr>
          <w:rFonts w:cs="Times New Roman"/>
          <w:sz w:val="22"/>
        </w:rPr>
      </w:pPr>
      <w:hyperlink w:anchor="_Toc36224664" w:history="1">
        <w:r w:rsidR="002745A8" w:rsidRPr="00D9348B">
          <w:rPr>
            <w:rStyle w:val="Hyperlink"/>
          </w:rPr>
          <w:t>Table 7.5.6</w:t>
        </w:r>
        <w:r w:rsidR="002745A8" w:rsidRPr="00D9348B">
          <w:rPr>
            <w:rFonts w:cs="Times New Roman"/>
            <w:sz w:val="22"/>
          </w:rPr>
          <w:tab/>
        </w:r>
        <w:r w:rsidR="002745A8" w:rsidRPr="00D9348B">
          <w:rPr>
            <w:rStyle w:val="Hyperlink"/>
          </w:rPr>
          <w:t>Parameter values applied by New Zealand for estimating methane emissions for domestic wastewater treatment</w:t>
        </w:r>
        <w:r w:rsidR="002745A8" w:rsidRPr="00D9348B">
          <w:rPr>
            <w:webHidden/>
          </w:rPr>
          <w:tab/>
        </w:r>
        <w:r w:rsidR="002745A8" w:rsidRPr="00D9348B">
          <w:rPr>
            <w:webHidden/>
          </w:rPr>
          <w:fldChar w:fldCharType="begin"/>
        </w:r>
        <w:r w:rsidR="002745A8" w:rsidRPr="00D9348B">
          <w:rPr>
            <w:webHidden/>
          </w:rPr>
          <w:instrText xml:space="preserve"> PAGEREF _Toc36224664 \h </w:instrText>
        </w:r>
        <w:r w:rsidR="002745A8" w:rsidRPr="00D9348B">
          <w:rPr>
            <w:webHidden/>
          </w:rPr>
        </w:r>
        <w:r w:rsidR="002745A8" w:rsidRPr="00D9348B">
          <w:rPr>
            <w:webHidden/>
          </w:rPr>
          <w:fldChar w:fldCharType="separate"/>
        </w:r>
        <w:r w:rsidR="00950F0A">
          <w:rPr>
            <w:webHidden/>
          </w:rPr>
          <w:t>382</w:t>
        </w:r>
        <w:r w:rsidR="002745A8" w:rsidRPr="00D9348B">
          <w:rPr>
            <w:webHidden/>
          </w:rPr>
          <w:fldChar w:fldCharType="end"/>
        </w:r>
      </w:hyperlink>
    </w:p>
    <w:p w14:paraId="60D3C356" w14:textId="74AFCCCA" w:rsidR="002745A8" w:rsidRPr="00D9348B" w:rsidRDefault="00DA6C03">
      <w:pPr>
        <w:pStyle w:val="TableofFigures"/>
        <w:rPr>
          <w:rFonts w:cs="Times New Roman"/>
          <w:sz w:val="22"/>
        </w:rPr>
      </w:pPr>
      <w:hyperlink w:anchor="_Toc36224665" w:history="1">
        <w:r w:rsidR="002745A8" w:rsidRPr="00D9348B">
          <w:rPr>
            <w:rStyle w:val="Hyperlink"/>
          </w:rPr>
          <w:t>Table 7.5.7</w:t>
        </w:r>
        <w:r w:rsidR="002745A8" w:rsidRPr="00D9348B">
          <w:rPr>
            <w:rFonts w:cs="Times New Roman"/>
            <w:sz w:val="22"/>
          </w:rPr>
          <w:tab/>
        </w:r>
        <w:r w:rsidR="002745A8" w:rsidRPr="00D9348B">
          <w:rPr>
            <w:rStyle w:val="Hyperlink"/>
          </w:rPr>
          <w:t>Parameter values applied by New Zealand for estimating nitrous oxide emissions from domestic and commercial wastewater treatment</w:t>
        </w:r>
        <w:r w:rsidR="002745A8" w:rsidRPr="00D9348B">
          <w:rPr>
            <w:webHidden/>
          </w:rPr>
          <w:tab/>
        </w:r>
        <w:r w:rsidR="002745A8" w:rsidRPr="00D9348B">
          <w:rPr>
            <w:webHidden/>
          </w:rPr>
          <w:fldChar w:fldCharType="begin"/>
        </w:r>
        <w:r w:rsidR="002745A8" w:rsidRPr="00D9348B">
          <w:rPr>
            <w:webHidden/>
          </w:rPr>
          <w:instrText xml:space="preserve"> PAGEREF _Toc36224665 \h </w:instrText>
        </w:r>
        <w:r w:rsidR="002745A8" w:rsidRPr="00D9348B">
          <w:rPr>
            <w:webHidden/>
          </w:rPr>
        </w:r>
        <w:r w:rsidR="002745A8" w:rsidRPr="00D9348B">
          <w:rPr>
            <w:webHidden/>
          </w:rPr>
          <w:fldChar w:fldCharType="separate"/>
        </w:r>
        <w:r w:rsidR="00950F0A">
          <w:rPr>
            <w:webHidden/>
          </w:rPr>
          <w:t>383</w:t>
        </w:r>
        <w:r w:rsidR="002745A8" w:rsidRPr="00D9348B">
          <w:rPr>
            <w:webHidden/>
          </w:rPr>
          <w:fldChar w:fldCharType="end"/>
        </w:r>
      </w:hyperlink>
    </w:p>
    <w:p w14:paraId="36F99B6D" w14:textId="211E2FE6" w:rsidR="002745A8" w:rsidRPr="00D9348B" w:rsidRDefault="00DA6C03">
      <w:pPr>
        <w:pStyle w:val="TableofFigures"/>
        <w:rPr>
          <w:rFonts w:cs="Times New Roman"/>
          <w:sz w:val="22"/>
        </w:rPr>
      </w:pPr>
      <w:hyperlink w:anchor="_Toc36224666" w:history="1">
        <w:r w:rsidR="002745A8" w:rsidRPr="00D9348B">
          <w:rPr>
            <w:rStyle w:val="Hyperlink"/>
          </w:rPr>
          <w:t>Table 7.5.8</w:t>
        </w:r>
        <w:r w:rsidR="002745A8" w:rsidRPr="00D9348B">
          <w:rPr>
            <w:rFonts w:cs="Times New Roman"/>
            <w:sz w:val="22"/>
          </w:rPr>
          <w:tab/>
        </w:r>
        <w:r w:rsidR="002745A8" w:rsidRPr="00D9348B">
          <w:rPr>
            <w:rStyle w:val="Hyperlink"/>
          </w:rPr>
          <w:t>Parameter values applied by New Zealand for estimating methane emissions from wastewater treatment by the meat industry</w:t>
        </w:r>
        <w:r w:rsidR="002745A8" w:rsidRPr="00D9348B">
          <w:rPr>
            <w:webHidden/>
          </w:rPr>
          <w:tab/>
        </w:r>
        <w:r w:rsidR="002745A8" w:rsidRPr="00D9348B">
          <w:rPr>
            <w:webHidden/>
          </w:rPr>
          <w:fldChar w:fldCharType="begin"/>
        </w:r>
        <w:r w:rsidR="002745A8" w:rsidRPr="00D9348B">
          <w:rPr>
            <w:webHidden/>
          </w:rPr>
          <w:instrText xml:space="preserve"> PAGEREF _Toc36224666 \h </w:instrText>
        </w:r>
        <w:r w:rsidR="002745A8" w:rsidRPr="00D9348B">
          <w:rPr>
            <w:webHidden/>
          </w:rPr>
        </w:r>
        <w:r w:rsidR="002745A8" w:rsidRPr="00D9348B">
          <w:rPr>
            <w:webHidden/>
          </w:rPr>
          <w:fldChar w:fldCharType="separate"/>
        </w:r>
        <w:r w:rsidR="00950F0A">
          <w:rPr>
            <w:webHidden/>
          </w:rPr>
          <w:t>383</w:t>
        </w:r>
        <w:r w:rsidR="002745A8" w:rsidRPr="00D9348B">
          <w:rPr>
            <w:webHidden/>
          </w:rPr>
          <w:fldChar w:fldCharType="end"/>
        </w:r>
      </w:hyperlink>
    </w:p>
    <w:p w14:paraId="20CC6EA1" w14:textId="519EC44E" w:rsidR="002745A8" w:rsidRPr="00D9348B" w:rsidRDefault="00DA6C03">
      <w:pPr>
        <w:pStyle w:val="TableofFigures"/>
        <w:rPr>
          <w:rFonts w:cs="Times New Roman"/>
          <w:sz w:val="22"/>
        </w:rPr>
      </w:pPr>
      <w:hyperlink w:anchor="_Toc36224667" w:history="1">
        <w:r w:rsidR="002745A8" w:rsidRPr="00D9348B">
          <w:rPr>
            <w:rStyle w:val="Hyperlink"/>
          </w:rPr>
          <w:t>Table 7.5.9</w:t>
        </w:r>
        <w:r w:rsidR="002745A8" w:rsidRPr="00D9348B">
          <w:rPr>
            <w:rFonts w:cs="Times New Roman"/>
            <w:sz w:val="22"/>
          </w:rPr>
          <w:tab/>
        </w:r>
        <w:r w:rsidR="002745A8" w:rsidRPr="00D9348B">
          <w:rPr>
            <w:rStyle w:val="Hyperlink"/>
          </w:rPr>
          <w:t>Parameter values applied by New Zealand for estimating methane emissions for wastewater treatment by the pulp and paper industry</w:t>
        </w:r>
        <w:r w:rsidR="002745A8" w:rsidRPr="00D9348B">
          <w:rPr>
            <w:webHidden/>
          </w:rPr>
          <w:tab/>
        </w:r>
        <w:r w:rsidR="002745A8" w:rsidRPr="00D9348B">
          <w:rPr>
            <w:webHidden/>
          </w:rPr>
          <w:fldChar w:fldCharType="begin"/>
        </w:r>
        <w:r w:rsidR="002745A8" w:rsidRPr="00D9348B">
          <w:rPr>
            <w:webHidden/>
          </w:rPr>
          <w:instrText xml:space="preserve"> PAGEREF _Toc36224667 \h </w:instrText>
        </w:r>
        <w:r w:rsidR="002745A8" w:rsidRPr="00D9348B">
          <w:rPr>
            <w:webHidden/>
          </w:rPr>
        </w:r>
        <w:r w:rsidR="002745A8" w:rsidRPr="00D9348B">
          <w:rPr>
            <w:webHidden/>
          </w:rPr>
          <w:fldChar w:fldCharType="separate"/>
        </w:r>
        <w:r w:rsidR="00950F0A">
          <w:rPr>
            <w:webHidden/>
          </w:rPr>
          <w:t>384</w:t>
        </w:r>
        <w:r w:rsidR="002745A8" w:rsidRPr="00D9348B">
          <w:rPr>
            <w:webHidden/>
          </w:rPr>
          <w:fldChar w:fldCharType="end"/>
        </w:r>
      </w:hyperlink>
    </w:p>
    <w:p w14:paraId="5DBCDBA5" w14:textId="1EF5A52D" w:rsidR="002745A8" w:rsidRPr="00D9348B" w:rsidRDefault="00DA6C03">
      <w:pPr>
        <w:pStyle w:val="TableofFigures"/>
        <w:rPr>
          <w:rFonts w:cs="Times New Roman"/>
          <w:sz w:val="22"/>
        </w:rPr>
      </w:pPr>
      <w:hyperlink w:anchor="_Toc36224668" w:history="1">
        <w:r w:rsidR="002745A8" w:rsidRPr="00D9348B">
          <w:rPr>
            <w:rStyle w:val="Hyperlink"/>
          </w:rPr>
          <w:t>Table 7.5.10</w:t>
        </w:r>
        <w:r w:rsidR="002745A8" w:rsidRPr="00D9348B">
          <w:rPr>
            <w:rFonts w:cs="Times New Roman"/>
            <w:sz w:val="22"/>
          </w:rPr>
          <w:tab/>
        </w:r>
        <w:r w:rsidR="002745A8" w:rsidRPr="00D9348B">
          <w:rPr>
            <w:rStyle w:val="Hyperlink"/>
          </w:rPr>
          <w:t>Parameter values applied by New Zealand for estimating methane emissions for wastewater treatment by the wine industry</w:t>
        </w:r>
        <w:r w:rsidR="002745A8" w:rsidRPr="00D9348B">
          <w:rPr>
            <w:webHidden/>
          </w:rPr>
          <w:tab/>
        </w:r>
        <w:r w:rsidR="002745A8" w:rsidRPr="00D9348B">
          <w:rPr>
            <w:webHidden/>
          </w:rPr>
          <w:fldChar w:fldCharType="begin"/>
        </w:r>
        <w:r w:rsidR="002745A8" w:rsidRPr="00D9348B">
          <w:rPr>
            <w:webHidden/>
          </w:rPr>
          <w:instrText xml:space="preserve"> PAGEREF _Toc36224668 \h </w:instrText>
        </w:r>
        <w:r w:rsidR="002745A8" w:rsidRPr="00D9348B">
          <w:rPr>
            <w:webHidden/>
          </w:rPr>
        </w:r>
        <w:r w:rsidR="002745A8" w:rsidRPr="00D9348B">
          <w:rPr>
            <w:webHidden/>
          </w:rPr>
          <w:fldChar w:fldCharType="separate"/>
        </w:r>
        <w:r w:rsidR="00950F0A">
          <w:rPr>
            <w:webHidden/>
          </w:rPr>
          <w:t>384</w:t>
        </w:r>
        <w:r w:rsidR="002745A8" w:rsidRPr="00D9348B">
          <w:rPr>
            <w:webHidden/>
          </w:rPr>
          <w:fldChar w:fldCharType="end"/>
        </w:r>
      </w:hyperlink>
    </w:p>
    <w:p w14:paraId="31433BE2" w14:textId="04B35C5A" w:rsidR="002745A8" w:rsidRPr="00D9348B" w:rsidRDefault="00DA6C03">
      <w:pPr>
        <w:pStyle w:val="TableofFigures"/>
        <w:rPr>
          <w:rFonts w:cs="Times New Roman"/>
          <w:sz w:val="22"/>
        </w:rPr>
      </w:pPr>
      <w:hyperlink w:anchor="_Toc36224669" w:history="1">
        <w:r w:rsidR="002745A8" w:rsidRPr="00D9348B">
          <w:rPr>
            <w:rStyle w:val="Hyperlink"/>
          </w:rPr>
          <w:t>Table 7.5.11</w:t>
        </w:r>
        <w:r w:rsidR="002745A8" w:rsidRPr="00D9348B">
          <w:rPr>
            <w:rFonts w:cs="Times New Roman"/>
            <w:sz w:val="22"/>
          </w:rPr>
          <w:tab/>
        </w:r>
        <w:r w:rsidR="002745A8" w:rsidRPr="00D9348B">
          <w:rPr>
            <w:rStyle w:val="Hyperlink"/>
          </w:rPr>
          <w:t>Parameter values applied by New Zealand for estimating methane emissions for wastewater treatment by the wool scouring industry</w:t>
        </w:r>
        <w:r w:rsidR="002745A8" w:rsidRPr="00D9348B">
          <w:rPr>
            <w:webHidden/>
          </w:rPr>
          <w:tab/>
        </w:r>
        <w:r w:rsidR="002745A8" w:rsidRPr="00D9348B">
          <w:rPr>
            <w:webHidden/>
          </w:rPr>
          <w:fldChar w:fldCharType="begin"/>
        </w:r>
        <w:r w:rsidR="002745A8" w:rsidRPr="00D9348B">
          <w:rPr>
            <w:webHidden/>
          </w:rPr>
          <w:instrText xml:space="preserve"> PAGEREF _Toc36224669 \h </w:instrText>
        </w:r>
        <w:r w:rsidR="002745A8" w:rsidRPr="00D9348B">
          <w:rPr>
            <w:webHidden/>
          </w:rPr>
        </w:r>
        <w:r w:rsidR="002745A8" w:rsidRPr="00D9348B">
          <w:rPr>
            <w:webHidden/>
          </w:rPr>
          <w:fldChar w:fldCharType="separate"/>
        </w:r>
        <w:r w:rsidR="00950F0A">
          <w:rPr>
            <w:webHidden/>
          </w:rPr>
          <w:t>384</w:t>
        </w:r>
        <w:r w:rsidR="002745A8" w:rsidRPr="00D9348B">
          <w:rPr>
            <w:webHidden/>
          </w:rPr>
          <w:fldChar w:fldCharType="end"/>
        </w:r>
      </w:hyperlink>
    </w:p>
    <w:p w14:paraId="7B5D1900" w14:textId="7E122E83" w:rsidR="002745A8" w:rsidRPr="00D9348B" w:rsidRDefault="00DA6C03">
      <w:pPr>
        <w:pStyle w:val="TableofFigures"/>
        <w:rPr>
          <w:rFonts w:cs="Times New Roman"/>
          <w:sz w:val="22"/>
        </w:rPr>
      </w:pPr>
      <w:hyperlink w:anchor="_Toc36224670" w:history="1">
        <w:r w:rsidR="002745A8" w:rsidRPr="00D9348B">
          <w:rPr>
            <w:rStyle w:val="Hyperlink"/>
          </w:rPr>
          <w:t>Table 7.5.12</w:t>
        </w:r>
        <w:r w:rsidR="002745A8" w:rsidRPr="00D9348B">
          <w:rPr>
            <w:rFonts w:cs="Times New Roman"/>
            <w:sz w:val="22"/>
          </w:rPr>
          <w:tab/>
        </w:r>
        <w:r w:rsidR="002745A8" w:rsidRPr="00D9348B">
          <w:rPr>
            <w:rStyle w:val="Hyperlink"/>
          </w:rPr>
          <w:t>Parameter values applied by New Zealand for estimating methane emissions for wastewater treatment by the leather and skins industry</w:t>
        </w:r>
        <w:r w:rsidR="002745A8" w:rsidRPr="00D9348B">
          <w:rPr>
            <w:webHidden/>
          </w:rPr>
          <w:tab/>
        </w:r>
        <w:r w:rsidR="002745A8" w:rsidRPr="00D9348B">
          <w:rPr>
            <w:webHidden/>
          </w:rPr>
          <w:fldChar w:fldCharType="begin"/>
        </w:r>
        <w:r w:rsidR="002745A8" w:rsidRPr="00D9348B">
          <w:rPr>
            <w:webHidden/>
          </w:rPr>
          <w:instrText xml:space="preserve"> PAGEREF _Toc36224670 \h </w:instrText>
        </w:r>
        <w:r w:rsidR="002745A8" w:rsidRPr="00D9348B">
          <w:rPr>
            <w:webHidden/>
          </w:rPr>
        </w:r>
        <w:r w:rsidR="002745A8" w:rsidRPr="00D9348B">
          <w:rPr>
            <w:webHidden/>
          </w:rPr>
          <w:fldChar w:fldCharType="separate"/>
        </w:r>
        <w:r w:rsidR="00950F0A">
          <w:rPr>
            <w:webHidden/>
          </w:rPr>
          <w:t>385</w:t>
        </w:r>
        <w:r w:rsidR="002745A8" w:rsidRPr="00D9348B">
          <w:rPr>
            <w:webHidden/>
          </w:rPr>
          <w:fldChar w:fldCharType="end"/>
        </w:r>
      </w:hyperlink>
    </w:p>
    <w:p w14:paraId="3D951547" w14:textId="3B15FF4B" w:rsidR="002745A8" w:rsidRPr="00D9348B" w:rsidRDefault="00DA6C03">
      <w:pPr>
        <w:pStyle w:val="TableofFigures"/>
        <w:rPr>
          <w:rFonts w:cs="Times New Roman"/>
          <w:sz w:val="22"/>
        </w:rPr>
      </w:pPr>
      <w:hyperlink w:anchor="_Toc36224671" w:history="1">
        <w:r w:rsidR="002745A8" w:rsidRPr="00D9348B">
          <w:rPr>
            <w:rStyle w:val="Hyperlink"/>
          </w:rPr>
          <w:t>Table 7.5.13</w:t>
        </w:r>
        <w:r w:rsidR="002745A8" w:rsidRPr="00D9348B">
          <w:rPr>
            <w:rFonts w:cs="Times New Roman"/>
            <w:sz w:val="22"/>
          </w:rPr>
          <w:tab/>
        </w:r>
        <w:r w:rsidR="002745A8" w:rsidRPr="00D9348B">
          <w:rPr>
            <w:rStyle w:val="Hyperlink"/>
          </w:rPr>
          <w:t>Parameter values applied by New Zealand for estimating nitrous oxide emissions for wastewater treatment for the meat industry</w:t>
        </w:r>
        <w:r w:rsidR="002745A8" w:rsidRPr="00D9348B">
          <w:rPr>
            <w:webHidden/>
          </w:rPr>
          <w:tab/>
        </w:r>
        <w:r w:rsidR="002745A8" w:rsidRPr="00D9348B">
          <w:rPr>
            <w:webHidden/>
          </w:rPr>
          <w:fldChar w:fldCharType="begin"/>
        </w:r>
        <w:r w:rsidR="002745A8" w:rsidRPr="00D9348B">
          <w:rPr>
            <w:webHidden/>
          </w:rPr>
          <w:instrText xml:space="preserve"> PAGEREF _Toc36224671 \h </w:instrText>
        </w:r>
        <w:r w:rsidR="002745A8" w:rsidRPr="00D9348B">
          <w:rPr>
            <w:webHidden/>
          </w:rPr>
        </w:r>
        <w:r w:rsidR="002745A8" w:rsidRPr="00D9348B">
          <w:rPr>
            <w:webHidden/>
          </w:rPr>
          <w:fldChar w:fldCharType="separate"/>
        </w:r>
        <w:r w:rsidR="00950F0A">
          <w:rPr>
            <w:webHidden/>
          </w:rPr>
          <w:t>385</w:t>
        </w:r>
        <w:r w:rsidR="002745A8" w:rsidRPr="00D9348B">
          <w:rPr>
            <w:webHidden/>
          </w:rPr>
          <w:fldChar w:fldCharType="end"/>
        </w:r>
      </w:hyperlink>
    </w:p>
    <w:p w14:paraId="1B5E1D70" w14:textId="3FAF539B" w:rsidR="002745A8" w:rsidRPr="00D9348B" w:rsidRDefault="00DA6C03">
      <w:pPr>
        <w:pStyle w:val="TableofFigures"/>
        <w:rPr>
          <w:rFonts w:cs="Times New Roman"/>
          <w:sz w:val="22"/>
        </w:rPr>
      </w:pPr>
      <w:hyperlink w:anchor="_Toc36224672" w:history="1">
        <w:r w:rsidR="002745A8" w:rsidRPr="00D9348B">
          <w:rPr>
            <w:rStyle w:val="Hyperlink"/>
          </w:rPr>
          <w:t>Table 7.5.14</w:t>
        </w:r>
        <w:r w:rsidR="002745A8" w:rsidRPr="00D9348B">
          <w:rPr>
            <w:rFonts w:cs="Times New Roman"/>
            <w:sz w:val="22"/>
          </w:rPr>
          <w:tab/>
        </w:r>
        <w:r w:rsidR="002745A8" w:rsidRPr="00D9348B">
          <w:rPr>
            <w:rStyle w:val="Hyperlink"/>
          </w:rPr>
          <w:t>Parameter values applied by New Zealand for estimating nitrous oxide emissions for wastewater treatment for the dairy processing industry</w:t>
        </w:r>
        <w:r w:rsidR="002745A8" w:rsidRPr="00D9348B">
          <w:rPr>
            <w:webHidden/>
          </w:rPr>
          <w:tab/>
        </w:r>
        <w:r w:rsidR="002745A8" w:rsidRPr="00D9348B">
          <w:rPr>
            <w:webHidden/>
          </w:rPr>
          <w:fldChar w:fldCharType="begin"/>
        </w:r>
        <w:r w:rsidR="002745A8" w:rsidRPr="00D9348B">
          <w:rPr>
            <w:webHidden/>
          </w:rPr>
          <w:instrText xml:space="preserve"> PAGEREF _Toc36224672 \h </w:instrText>
        </w:r>
        <w:r w:rsidR="002745A8" w:rsidRPr="00D9348B">
          <w:rPr>
            <w:webHidden/>
          </w:rPr>
        </w:r>
        <w:r w:rsidR="002745A8" w:rsidRPr="00D9348B">
          <w:rPr>
            <w:webHidden/>
          </w:rPr>
          <w:fldChar w:fldCharType="separate"/>
        </w:r>
        <w:r w:rsidR="00950F0A">
          <w:rPr>
            <w:webHidden/>
          </w:rPr>
          <w:t>385</w:t>
        </w:r>
        <w:r w:rsidR="002745A8" w:rsidRPr="00D9348B">
          <w:rPr>
            <w:webHidden/>
          </w:rPr>
          <w:fldChar w:fldCharType="end"/>
        </w:r>
      </w:hyperlink>
    </w:p>
    <w:p w14:paraId="049C0099" w14:textId="7FAB69FF" w:rsidR="002745A8" w:rsidRPr="00D9348B" w:rsidRDefault="00DA6C03">
      <w:pPr>
        <w:pStyle w:val="TableofFigures"/>
        <w:rPr>
          <w:rFonts w:cs="Times New Roman"/>
          <w:sz w:val="22"/>
        </w:rPr>
      </w:pPr>
      <w:hyperlink w:anchor="_Toc36224673" w:history="1">
        <w:r w:rsidR="002745A8" w:rsidRPr="00D9348B">
          <w:rPr>
            <w:rStyle w:val="Hyperlink"/>
          </w:rPr>
          <w:t>Table 7.5.15</w:t>
        </w:r>
        <w:r w:rsidR="002745A8" w:rsidRPr="00D9348B">
          <w:rPr>
            <w:rFonts w:cs="Times New Roman"/>
            <w:sz w:val="22"/>
          </w:rPr>
          <w:tab/>
        </w:r>
        <w:r w:rsidR="002745A8" w:rsidRPr="00D9348B">
          <w:rPr>
            <w:rStyle w:val="Hyperlink"/>
          </w:rPr>
          <w:t>Parameter values applied by New Zealand for estimating nitrous oxide emissions for wastewater treatment for the meat industry</w:t>
        </w:r>
        <w:r w:rsidR="002745A8" w:rsidRPr="00D9348B">
          <w:rPr>
            <w:webHidden/>
          </w:rPr>
          <w:tab/>
        </w:r>
        <w:r w:rsidR="002745A8" w:rsidRPr="00D9348B">
          <w:rPr>
            <w:webHidden/>
          </w:rPr>
          <w:fldChar w:fldCharType="begin"/>
        </w:r>
        <w:r w:rsidR="002745A8" w:rsidRPr="00D9348B">
          <w:rPr>
            <w:webHidden/>
          </w:rPr>
          <w:instrText xml:space="preserve"> PAGEREF _Toc36224673 \h </w:instrText>
        </w:r>
        <w:r w:rsidR="002745A8" w:rsidRPr="00D9348B">
          <w:rPr>
            <w:webHidden/>
          </w:rPr>
        </w:r>
        <w:r w:rsidR="002745A8" w:rsidRPr="00D9348B">
          <w:rPr>
            <w:webHidden/>
          </w:rPr>
          <w:fldChar w:fldCharType="separate"/>
        </w:r>
        <w:r w:rsidR="00950F0A">
          <w:rPr>
            <w:webHidden/>
          </w:rPr>
          <w:t>386</w:t>
        </w:r>
        <w:r w:rsidR="002745A8" w:rsidRPr="00D9348B">
          <w:rPr>
            <w:webHidden/>
          </w:rPr>
          <w:fldChar w:fldCharType="end"/>
        </w:r>
      </w:hyperlink>
    </w:p>
    <w:p w14:paraId="6FCF95D1" w14:textId="7B6F8E11" w:rsidR="002745A8" w:rsidRPr="00D9348B" w:rsidRDefault="00DA6C03">
      <w:pPr>
        <w:pStyle w:val="TableofFigures"/>
        <w:rPr>
          <w:rFonts w:cs="Times New Roman"/>
          <w:sz w:val="22"/>
        </w:rPr>
      </w:pPr>
      <w:hyperlink w:anchor="_Toc36224674" w:history="1">
        <w:r w:rsidR="002745A8" w:rsidRPr="00D9348B">
          <w:rPr>
            <w:rStyle w:val="Hyperlink"/>
          </w:rPr>
          <w:t>Table 7.5.16</w:t>
        </w:r>
        <w:r w:rsidR="002745A8" w:rsidRPr="00D9348B">
          <w:rPr>
            <w:rFonts w:cs="Times New Roman"/>
            <w:sz w:val="22"/>
          </w:rPr>
          <w:tab/>
        </w:r>
        <w:r w:rsidR="002745A8" w:rsidRPr="00D9348B">
          <w:rPr>
            <w:rStyle w:val="Hyperlink"/>
          </w:rPr>
          <w:t>Uncertainty in emissions from wastewater</w:t>
        </w:r>
        <w:r w:rsidR="002745A8" w:rsidRPr="00D9348B">
          <w:rPr>
            <w:webHidden/>
          </w:rPr>
          <w:tab/>
        </w:r>
        <w:r w:rsidR="002745A8" w:rsidRPr="00D9348B">
          <w:rPr>
            <w:webHidden/>
          </w:rPr>
          <w:fldChar w:fldCharType="begin"/>
        </w:r>
        <w:r w:rsidR="002745A8" w:rsidRPr="00D9348B">
          <w:rPr>
            <w:webHidden/>
          </w:rPr>
          <w:instrText xml:space="preserve"> PAGEREF _Toc36224674 \h </w:instrText>
        </w:r>
        <w:r w:rsidR="002745A8" w:rsidRPr="00D9348B">
          <w:rPr>
            <w:webHidden/>
          </w:rPr>
        </w:r>
        <w:r w:rsidR="002745A8" w:rsidRPr="00D9348B">
          <w:rPr>
            <w:webHidden/>
          </w:rPr>
          <w:fldChar w:fldCharType="separate"/>
        </w:r>
        <w:r w:rsidR="00950F0A">
          <w:rPr>
            <w:webHidden/>
          </w:rPr>
          <w:t>386</w:t>
        </w:r>
        <w:r w:rsidR="002745A8" w:rsidRPr="00D9348B">
          <w:rPr>
            <w:webHidden/>
          </w:rPr>
          <w:fldChar w:fldCharType="end"/>
        </w:r>
      </w:hyperlink>
    </w:p>
    <w:p w14:paraId="09B36186" w14:textId="6AB62EC2" w:rsidR="002745A8" w:rsidRPr="00D9348B" w:rsidRDefault="00DA6C03">
      <w:pPr>
        <w:pStyle w:val="TableofFigures"/>
        <w:rPr>
          <w:rFonts w:cs="Times New Roman"/>
          <w:sz w:val="22"/>
        </w:rPr>
      </w:pPr>
      <w:hyperlink w:anchor="_Toc36224675" w:history="1">
        <w:r w:rsidR="002745A8" w:rsidRPr="00D9348B">
          <w:rPr>
            <w:rStyle w:val="Hyperlink"/>
          </w:rPr>
          <w:t xml:space="preserve">Table 8.1.1 </w:t>
        </w:r>
        <w:r w:rsidR="002745A8" w:rsidRPr="00D9348B">
          <w:rPr>
            <w:rFonts w:cs="Times New Roman"/>
            <w:sz w:val="22"/>
          </w:rPr>
          <w:tab/>
        </w:r>
        <w:r w:rsidR="002745A8" w:rsidRPr="00D9348B">
          <w:rPr>
            <w:rStyle w:val="Hyperlink"/>
          </w:rPr>
          <w:t>Gross emissions from Tokelau by gas in 1990 and 2018</w:t>
        </w:r>
        <w:r w:rsidR="002745A8" w:rsidRPr="00D9348B">
          <w:rPr>
            <w:webHidden/>
          </w:rPr>
          <w:tab/>
        </w:r>
        <w:r w:rsidR="002745A8" w:rsidRPr="00D9348B">
          <w:rPr>
            <w:webHidden/>
          </w:rPr>
          <w:fldChar w:fldCharType="begin"/>
        </w:r>
        <w:r w:rsidR="002745A8" w:rsidRPr="00D9348B">
          <w:rPr>
            <w:webHidden/>
          </w:rPr>
          <w:instrText xml:space="preserve"> PAGEREF _Toc36224675 \h </w:instrText>
        </w:r>
        <w:r w:rsidR="002745A8" w:rsidRPr="00D9348B">
          <w:rPr>
            <w:webHidden/>
          </w:rPr>
        </w:r>
        <w:r w:rsidR="002745A8" w:rsidRPr="00D9348B">
          <w:rPr>
            <w:webHidden/>
          </w:rPr>
          <w:fldChar w:fldCharType="separate"/>
        </w:r>
        <w:r w:rsidR="00950F0A">
          <w:rPr>
            <w:webHidden/>
          </w:rPr>
          <w:t>393</w:t>
        </w:r>
        <w:r w:rsidR="002745A8" w:rsidRPr="00D9348B">
          <w:rPr>
            <w:webHidden/>
          </w:rPr>
          <w:fldChar w:fldCharType="end"/>
        </w:r>
      </w:hyperlink>
    </w:p>
    <w:p w14:paraId="41B1090D" w14:textId="30100C8D" w:rsidR="002745A8" w:rsidRPr="00D9348B" w:rsidRDefault="00DA6C03">
      <w:pPr>
        <w:pStyle w:val="TableofFigures"/>
        <w:rPr>
          <w:rFonts w:cs="Times New Roman"/>
          <w:sz w:val="22"/>
        </w:rPr>
      </w:pPr>
      <w:hyperlink w:anchor="_Toc36224676" w:history="1">
        <w:r w:rsidR="002745A8" w:rsidRPr="00D9348B">
          <w:rPr>
            <w:rStyle w:val="Hyperlink"/>
          </w:rPr>
          <w:t>Table 8.1.2</w:t>
        </w:r>
        <w:r w:rsidR="002745A8" w:rsidRPr="00D9348B">
          <w:rPr>
            <w:rFonts w:cs="Times New Roman"/>
            <w:sz w:val="22"/>
          </w:rPr>
          <w:tab/>
        </w:r>
        <w:r w:rsidR="002745A8" w:rsidRPr="00D9348B">
          <w:rPr>
            <w:rStyle w:val="Hyperlink"/>
          </w:rPr>
          <w:t>Key sources for activity data in Tokelau</w:t>
        </w:r>
        <w:r w:rsidR="002745A8" w:rsidRPr="00D9348B">
          <w:rPr>
            <w:webHidden/>
          </w:rPr>
          <w:tab/>
        </w:r>
        <w:r w:rsidR="002745A8" w:rsidRPr="00D9348B">
          <w:rPr>
            <w:webHidden/>
          </w:rPr>
          <w:fldChar w:fldCharType="begin"/>
        </w:r>
        <w:r w:rsidR="002745A8" w:rsidRPr="00D9348B">
          <w:rPr>
            <w:webHidden/>
          </w:rPr>
          <w:instrText xml:space="preserve"> PAGEREF _Toc36224676 \h </w:instrText>
        </w:r>
        <w:r w:rsidR="002745A8" w:rsidRPr="00D9348B">
          <w:rPr>
            <w:webHidden/>
          </w:rPr>
        </w:r>
        <w:r w:rsidR="002745A8" w:rsidRPr="00D9348B">
          <w:rPr>
            <w:webHidden/>
          </w:rPr>
          <w:fldChar w:fldCharType="separate"/>
        </w:r>
        <w:r w:rsidR="00950F0A">
          <w:rPr>
            <w:webHidden/>
          </w:rPr>
          <w:t>396</w:t>
        </w:r>
        <w:r w:rsidR="002745A8" w:rsidRPr="00D9348B">
          <w:rPr>
            <w:webHidden/>
          </w:rPr>
          <w:fldChar w:fldCharType="end"/>
        </w:r>
      </w:hyperlink>
    </w:p>
    <w:p w14:paraId="3FB51A7A" w14:textId="0224C0C4" w:rsidR="002745A8" w:rsidRPr="00D9348B" w:rsidRDefault="00DA6C03">
      <w:pPr>
        <w:pStyle w:val="TableofFigures"/>
        <w:rPr>
          <w:rFonts w:cs="Times New Roman"/>
          <w:sz w:val="22"/>
        </w:rPr>
      </w:pPr>
      <w:hyperlink w:anchor="_Toc36224677" w:history="1">
        <w:r w:rsidR="002745A8" w:rsidRPr="00D9348B">
          <w:rPr>
            <w:rStyle w:val="Hyperlink"/>
          </w:rPr>
          <w:t>Table 8.2.1</w:t>
        </w:r>
        <w:r w:rsidR="002745A8" w:rsidRPr="00D9348B">
          <w:rPr>
            <w:rFonts w:cs="Times New Roman"/>
            <w:sz w:val="22"/>
          </w:rPr>
          <w:tab/>
        </w:r>
        <w:r w:rsidR="002745A8" w:rsidRPr="00D9348B">
          <w:rPr>
            <w:rStyle w:val="Hyperlink"/>
          </w:rPr>
          <w:t>Uncertainties for the Energy industries category</w:t>
        </w:r>
        <w:r w:rsidR="002745A8" w:rsidRPr="00D9348B">
          <w:rPr>
            <w:webHidden/>
          </w:rPr>
          <w:tab/>
        </w:r>
        <w:r w:rsidR="002745A8" w:rsidRPr="00D9348B">
          <w:rPr>
            <w:webHidden/>
          </w:rPr>
          <w:fldChar w:fldCharType="begin"/>
        </w:r>
        <w:r w:rsidR="002745A8" w:rsidRPr="00D9348B">
          <w:rPr>
            <w:webHidden/>
          </w:rPr>
          <w:instrText xml:space="preserve"> PAGEREF _Toc36224677 \h </w:instrText>
        </w:r>
        <w:r w:rsidR="002745A8" w:rsidRPr="00D9348B">
          <w:rPr>
            <w:webHidden/>
          </w:rPr>
        </w:r>
        <w:r w:rsidR="002745A8" w:rsidRPr="00D9348B">
          <w:rPr>
            <w:webHidden/>
          </w:rPr>
          <w:fldChar w:fldCharType="separate"/>
        </w:r>
        <w:r w:rsidR="00950F0A">
          <w:rPr>
            <w:webHidden/>
          </w:rPr>
          <w:t>401</w:t>
        </w:r>
        <w:r w:rsidR="002745A8" w:rsidRPr="00D9348B">
          <w:rPr>
            <w:webHidden/>
          </w:rPr>
          <w:fldChar w:fldCharType="end"/>
        </w:r>
      </w:hyperlink>
    </w:p>
    <w:p w14:paraId="21C5A399" w14:textId="7EB62898" w:rsidR="002745A8" w:rsidRPr="00D9348B" w:rsidRDefault="00DA6C03">
      <w:pPr>
        <w:pStyle w:val="TableofFigures"/>
        <w:rPr>
          <w:rFonts w:cs="Times New Roman"/>
          <w:sz w:val="22"/>
        </w:rPr>
      </w:pPr>
      <w:hyperlink w:anchor="_Toc36224678" w:history="1">
        <w:r w:rsidR="002745A8" w:rsidRPr="00D9348B">
          <w:rPr>
            <w:rStyle w:val="Hyperlink"/>
          </w:rPr>
          <w:t>Table 8.2.2</w:t>
        </w:r>
        <w:r w:rsidR="002745A8" w:rsidRPr="00D9348B">
          <w:rPr>
            <w:rFonts w:cs="Times New Roman"/>
            <w:sz w:val="22"/>
          </w:rPr>
          <w:tab/>
        </w:r>
        <w:r w:rsidR="002745A8" w:rsidRPr="00D9348B">
          <w:rPr>
            <w:rStyle w:val="Hyperlink"/>
          </w:rPr>
          <w:t xml:space="preserve">Uncertainties for the </w:t>
        </w:r>
        <w:r w:rsidR="002745A8" w:rsidRPr="00D9348B">
          <w:rPr>
            <w:rStyle w:val="Hyperlink"/>
            <w:i/>
          </w:rPr>
          <w:t xml:space="preserve">Other sectors – Residential </w:t>
        </w:r>
        <w:r w:rsidR="002745A8" w:rsidRPr="00D9348B">
          <w:rPr>
            <w:rStyle w:val="Hyperlink"/>
          </w:rPr>
          <w:t>category</w:t>
        </w:r>
        <w:r w:rsidR="002745A8" w:rsidRPr="00D9348B">
          <w:rPr>
            <w:webHidden/>
          </w:rPr>
          <w:tab/>
        </w:r>
        <w:r w:rsidR="002745A8" w:rsidRPr="00D9348B">
          <w:rPr>
            <w:webHidden/>
          </w:rPr>
          <w:fldChar w:fldCharType="begin"/>
        </w:r>
        <w:r w:rsidR="002745A8" w:rsidRPr="00D9348B">
          <w:rPr>
            <w:webHidden/>
          </w:rPr>
          <w:instrText xml:space="preserve"> PAGEREF _Toc36224678 \h </w:instrText>
        </w:r>
        <w:r w:rsidR="002745A8" w:rsidRPr="00D9348B">
          <w:rPr>
            <w:webHidden/>
          </w:rPr>
        </w:r>
        <w:r w:rsidR="002745A8" w:rsidRPr="00D9348B">
          <w:rPr>
            <w:webHidden/>
          </w:rPr>
          <w:fldChar w:fldCharType="separate"/>
        </w:r>
        <w:r w:rsidR="00950F0A">
          <w:rPr>
            <w:webHidden/>
          </w:rPr>
          <w:t>403</w:t>
        </w:r>
        <w:r w:rsidR="002745A8" w:rsidRPr="00D9348B">
          <w:rPr>
            <w:webHidden/>
          </w:rPr>
          <w:fldChar w:fldCharType="end"/>
        </w:r>
      </w:hyperlink>
    </w:p>
    <w:p w14:paraId="3621DFED" w14:textId="13E3FF27" w:rsidR="002745A8" w:rsidRPr="00D9348B" w:rsidRDefault="00DA6C03">
      <w:pPr>
        <w:pStyle w:val="TableofFigures"/>
        <w:rPr>
          <w:rFonts w:cs="Times New Roman"/>
          <w:sz w:val="22"/>
        </w:rPr>
      </w:pPr>
      <w:hyperlink w:anchor="_Toc36224679" w:history="1">
        <w:r w:rsidR="002745A8" w:rsidRPr="00D9348B">
          <w:rPr>
            <w:rStyle w:val="Hyperlink"/>
          </w:rPr>
          <w:t>Table 8.2.3</w:t>
        </w:r>
        <w:r w:rsidR="002745A8" w:rsidRPr="00D9348B">
          <w:rPr>
            <w:rFonts w:cs="Times New Roman"/>
            <w:sz w:val="22"/>
          </w:rPr>
          <w:tab/>
        </w:r>
        <w:r w:rsidR="002745A8" w:rsidRPr="00D9348B">
          <w:rPr>
            <w:rStyle w:val="Hyperlink"/>
          </w:rPr>
          <w:t>Uncertainties for the Mobile combustion category</w:t>
        </w:r>
        <w:r w:rsidR="002745A8" w:rsidRPr="00D9348B">
          <w:rPr>
            <w:webHidden/>
          </w:rPr>
          <w:tab/>
        </w:r>
        <w:r w:rsidR="002745A8" w:rsidRPr="00D9348B">
          <w:rPr>
            <w:webHidden/>
          </w:rPr>
          <w:fldChar w:fldCharType="begin"/>
        </w:r>
        <w:r w:rsidR="002745A8" w:rsidRPr="00D9348B">
          <w:rPr>
            <w:webHidden/>
          </w:rPr>
          <w:instrText xml:space="preserve"> PAGEREF _Toc36224679 \h </w:instrText>
        </w:r>
        <w:r w:rsidR="002745A8" w:rsidRPr="00D9348B">
          <w:rPr>
            <w:webHidden/>
          </w:rPr>
        </w:r>
        <w:r w:rsidR="002745A8" w:rsidRPr="00D9348B">
          <w:rPr>
            <w:webHidden/>
          </w:rPr>
          <w:fldChar w:fldCharType="separate"/>
        </w:r>
        <w:r w:rsidR="00950F0A">
          <w:rPr>
            <w:webHidden/>
          </w:rPr>
          <w:t>405</w:t>
        </w:r>
        <w:r w:rsidR="002745A8" w:rsidRPr="00D9348B">
          <w:rPr>
            <w:webHidden/>
          </w:rPr>
          <w:fldChar w:fldCharType="end"/>
        </w:r>
      </w:hyperlink>
    </w:p>
    <w:p w14:paraId="4C985B8B" w14:textId="12076618" w:rsidR="002745A8" w:rsidRPr="00D9348B" w:rsidRDefault="00DA6C03">
      <w:pPr>
        <w:pStyle w:val="TableofFigures"/>
        <w:rPr>
          <w:rFonts w:cs="Times New Roman"/>
          <w:sz w:val="22"/>
        </w:rPr>
      </w:pPr>
      <w:hyperlink w:anchor="_Toc36224680" w:history="1">
        <w:r w:rsidR="002745A8" w:rsidRPr="00D9348B">
          <w:rPr>
            <w:rStyle w:val="Hyperlink"/>
          </w:rPr>
          <w:t>Table 8.3.1</w:t>
        </w:r>
        <w:r w:rsidR="002745A8" w:rsidRPr="00D9348B">
          <w:rPr>
            <w:rFonts w:cs="Times New Roman"/>
            <w:sz w:val="22"/>
          </w:rPr>
          <w:tab/>
        </w:r>
        <w:r w:rsidR="002745A8" w:rsidRPr="00D9348B">
          <w:rPr>
            <w:rStyle w:val="Hyperlink"/>
          </w:rPr>
          <w:t>Uncertainties for Refrigeration and air conditioning category</w:t>
        </w:r>
        <w:r w:rsidR="002745A8" w:rsidRPr="00D9348B">
          <w:rPr>
            <w:webHidden/>
          </w:rPr>
          <w:tab/>
        </w:r>
        <w:r w:rsidR="002745A8" w:rsidRPr="00D9348B">
          <w:rPr>
            <w:webHidden/>
          </w:rPr>
          <w:fldChar w:fldCharType="begin"/>
        </w:r>
        <w:r w:rsidR="002745A8" w:rsidRPr="00D9348B">
          <w:rPr>
            <w:webHidden/>
          </w:rPr>
          <w:instrText xml:space="preserve"> PAGEREF _Toc36224680 \h </w:instrText>
        </w:r>
        <w:r w:rsidR="002745A8" w:rsidRPr="00D9348B">
          <w:rPr>
            <w:webHidden/>
          </w:rPr>
        </w:r>
        <w:r w:rsidR="002745A8" w:rsidRPr="00D9348B">
          <w:rPr>
            <w:webHidden/>
          </w:rPr>
          <w:fldChar w:fldCharType="separate"/>
        </w:r>
        <w:r w:rsidR="00950F0A">
          <w:rPr>
            <w:webHidden/>
          </w:rPr>
          <w:t>408</w:t>
        </w:r>
        <w:r w:rsidR="002745A8" w:rsidRPr="00D9348B">
          <w:rPr>
            <w:webHidden/>
          </w:rPr>
          <w:fldChar w:fldCharType="end"/>
        </w:r>
      </w:hyperlink>
    </w:p>
    <w:p w14:paraId="0BFCB22D" w14:textId="3A8BA65F" w:rsidR="002745A8" w:rsidRPr="00D9348B" w:rsidRDefault="00DA6C03">
      <w:pPr>
        <w:pStyle w:val="TableofFigures"/>
        <w:rPr>
          <w:rFonts w:cs="Times New Roman"/>
          <w:sz w:val="22"/>
        </w:rPr>
      </w:pPr>
      <w:hyperlink w:anchor="_Toc36224681" w:history="1">
        <w:r w:rsidR="002745A8" w:rsidRPr="00D9348B">
          <w:rPr>
            <w:rStyle w:val="Hyperlink"/>
          </w:rPr>
          <w:t>Table 8.3.2</w:t>
        </w:r>
        <w:r w:rsidR="002745A8" w:rsidRPr="00D9348B">
          <w:rPr>
            <w:rFonts w:cs="Times New Roman"/>
            <w:sz w:val="22"/>
          </w:rPr>
          <w:tab/>
        </w:r>
        <w:r w:rsidR="002745A8" w:rsidRPr="00D9348B">
          <w:rPr>
            <w:rStyle w:val="Hyperlink"/>
          </w:rPr>
          <w:t>Uncertainty in emissions from other product manufacture and use</w:t>
        </w:r>
        <w:r w:rsidR="002745A8" w:rsidRPr="00D9348B">
          <w:rPr>
            <w:webHidden/>
          </w:rPr>
          <w:tab/>
        </w:r>
        <w:r w:rsidR="002745A8" w:rsidRPr="00D9348B">
          <w:rPr>
            <w:webHidden/>
          </w:rPr>
          <w:fldChar w:fldCharType="begin"/>
        </w:r>
        <w:r w:rsidR="002745A8" w:rsidRPr="00D9348B">
          <w:rPr>
            <w:webHidden/>
          </w:rPr>
          <w:instrText xml:space="preserve"> PAGEREF _Toc36224681 \h </w:instrText>
        </w:r>
        <w:r w:rsidR="002745A8" w:rsidRPr="00D9348B">
          <w:rPr>
            <w:webHidden/>
          </w:rPr>
        </w:r>
        <w:r w:rsidR="002745A8" w:rsidRPr="00D9348B">
          <w:rPr>
            <w:webHidden/>
          </w:rPr>
          <w:fldChar w:fldCharType="separate"/>
        </w:r>
        <w:r w:rsidR="00950F0A">
          <w:rPr>
            <w:webHidden/>
          </w:rPr>
          <w:t>409</w:t>
        </w:r>
        <w:r w:rsidR="002745A8" w:rsidRPr="00D9348B">
          <w:rPr>
            <w:webHidden/>
          </w:rPr>
          <w:fldChar w:fldCharType="end"/>
        </w:r>
      </w:hyperlink>
    </w:p>
    <w:p w14:paraId="784C112E" w14:textId="3758BBA7" w:rsidR="002745A8" w:rsidRPr="00D9348B" w:rsidRDefault="00DA6C03">
      <w:pPr>
        <w:pStyle w:val="TableofFigures"/>
        <w:rPr>
          <w:rFonts w:cs="Times New Roman"/>
          <w:sz w:val="22"/>
        </w:rPr>
      </w:pPr>
      <w:hyperlink w:anchor="_Toc36224682" w:history="1">
        <w:r w:rsidR="002745A8" w:rsidRPr="00D9348B">
          <w:rPr>
            <w:rStyle w:val="Hyperlink"/>
          </w:rPr>
          <w:t xml:space="preserve">Table 8.4.1 </w:t>
        </w:r>
        <w:r w:rsidR="002745A8" w:rsidRPr="00D9348B">
          <w:rPr>
            <w:rFonts w:cs="Times New Roman"/>
            <w:sz w:val="22"/>
          </w:rPr>
          <w:tab/>
        </w:r>
        <w:r w:rsidR="002745A8" w:rsidRPr="00D9348B">
          <w:rPr>
            <w:rStyle w:val="Hyperlink"/>
          </w:rPr>
          <w:t>Number of livestock in Tokelau (2016)</w:t>
        </w:r>
        <w:r w:rsidR="002745A8" w:rsidRPr="00D9348B">
          <w:rPr>
            <w:webHidden/>
          </w:rPr>
          <w:tab/>
        </w:r>
        <w:r w:rsidR="002745A8" w:rsidRPr="00D9348B">
          <w:rPr>
            <w:webHidden/>
          </w:rPr>
          <w:fldChar w:fldCharType="begin"/>
        </w:r>
        <w:r w:rsidR="002745A8" w:rsidRPr="00D9348B">
          <w:rPr>
            <w:webHidden/>
          </w:rPr>
          <w:instrText xml:space="preserve"> PAGEREF _Toc36224682 \h </w:instrText>
        </w:r>
        <w:r w:rsidR="002745A8" w:rsidRPr="00D9348B">
          <w:rPr>
            <w:webHidden/>
          </w:rPr>
        </w:r>
        <w:r w:rsidR="002745A8" w:rsidRPr="00D9348B">
          <w:rPr>
            <w:webHidden/>
          </w:rPr>
          <w:fldChar w:fldCharType="separate"/>
        </w:r>
        <w:r w:rsidR="00950F0A">
          <w:rPr>
            <w:webHidden/>
          </w:rPr>
          <w:t>411</w:t>
        </w:r>
        <w:r w:rsidR="002745A8" w:rsidRPr="00D9348B">
          <w:rPr>
            <w:webHidden/>
          </w:rPr>
          <w:fldChar w:fldCharType="end"/>
        </w:r>
      </w:hyperlink>
    </w:p>
    <w:p w14:paraId="193C11B1" w14:textId="14E76985" w:rsidR="002745A8" w:rsidRPr="00D9348B" w:rsidRDefault="00DA6C03">
      <w:pPr>
        <w:pStyle w:val="TableofFigures"/>
        <w:rPr>
          <w:rFonts w:cs="Times New Roman"/>
          <w:sz w:val="22"/>
        </w:rPr>
      </w:pPr>
      <w:hyperlink w:anchor="_Toc36224683" w:history="1">
        <w:r w:rsidR="002745A8" w:rsidRPr="00D9348B">
          <w:rPr>
            <w:rStyle w:val="Hyperlink"/>
            <w:rFonts w:eastAsia="Calibri"/>
          </w:rPr>
          <w:t>Table 8.5.1</w:t>
        </w:r>
        <w:r w:rsidR="002745A8" w:rsidRPr="00D9348B">
          <w:rPr>
            <w:rFonts w:cs="Times New Roman"/>
            <w:sz w:val="22"/>
          </w:rPr>
          <w:tab/>
        </w:r>
        <w:r w:rsidR="002745A8" w:rsidRPr="00D9348B">
          <w:rPr>
            <w:rStyle w:val="Hyperlink"/>
            <w:rFonts w:eastAsia="Calibri"/>
          </w:rPr>
          <w:t>Summary of parameters for uncategorised landfills in Tokelau</w:t>
        </w:r>
        <w:r w:rsidR="002745A8" w:rsidRPr="00D9348B">
          <w:rPr>
            <w:webHidden/>
          </w:rPr>
          <w:tab/>
        </w:r>
        <w:r w:rsidR="002745A8" w:rsidRPr="00D9348B">
          <w:rPr>
            <w:webHidden/>
          </w:rPr>
          <w:fldChar w:fldCharType="begin"/>
        </w:r>
        <w:r w:rsidR="002745A8" w:rsidRPr="00D9348B">
          <w:rPr>
            <w:webHidden/>
          </w:rPr>
          <w:instrText xml:space="preserve"> PAGEREF _Toc36224683 \h </w:instrText>
        </w:r>
        <w:r w:rsidR="002745A8" w:rsidRPr="00D9348B">
          <w:rPr>
            <w:webHidden/>
          </w:rPr>
        </w:r>
        <w:r w:rsidR="002745A8" w:rsidRPr="00D9348B">
          <w:rPr>
            <w:webHidden/>
          </w:rPr>
          <w:fldChar w:fldCharType="separate"/>
        </w:r>
        <w:r w:rsidR="00950F0A">
          <w:rPr>
            <w:webHidden/>
          </w:rPr>
          <w:t>414</w:t>
        </w:r>
        <w:r w:rsidR="002745A8" w:rsidRPr="00D9348B">
          <w:rPr>
            <w:webHidden/>
          </w:rPr>
          <w:fldChar w:fldCharType="end"/>
        </w:r>
      </w:hyperlink>
    </w:p>
    <w:p w14:paraId="307F7012" w14:textId="71C1C01A" w:rsidR="002745A8" w:rsidRPr="00D9348B" w:rsidRDefault="00DA6C03">
      <w:pPr>
        <w:pStyle w:val="TableofFigures"/>
        <w:rPr>
          <w:rFonts w:cs="Times New Roman"/>
          <w:sz w:val="22"/>
        </w:rPr>
      </w:pPr>
      <w:hyperlink w:anchor="_Toc36224684" w:history="1">
        <w:r w:rsidR="002745A8" w:rsidRPr="00D9348B">
          <w:rPr>
            <w:rStyle w:val="Hyperlink"/>
          </w:rPr>
          <w:t>Table 8.5.2</w:t>
        </w:r>
        <w:r w:rsidR="002745A8" w:rsidRPr="00D9348B">
          <w:rPr>
            <w:rFonts w:cs="Times New Roman"/>
            <w:sz w:val="22"/>
          </w:rPr>
          <w:tab/>
        </w:r>
        <w:r w:rsidR="002745A8" w:rsidRPr="00D9348B">
          <w:rPr>
            <w:rStyle w:val="Hyperlink"/>
          </w:rPr>
          <w:t>Uncertainty in emissions from the Solid waste disposal category</w:t>
        </w:r>
        <w:r w:rsidR="002745A8" w:rsidRPr="00D9348B">
          <w:rPr>
            <w:webHidden/>
          </w:rPr>
          <w:tab/>
        </w:r>
        <w:r w:rsidR="002745A8" w:rsidRPr="00D9348B">
          <w:rPr>
            <w:webHidden/>
          </w:rPr>
          <w:fldChar w:fldCharType="begin"/>
        </w:r>
        <w:r w:rsidR="002745A8" w:rsidRPr="00D9348B">
          <w:rPr>
            <w:webHidden/>
          </w:rPr>
          <w:instrText xml:space="preserve"> PAGEREF _Toc36224684 \h </w:instrText>
        </w:r>
        <w:r w:rsidR="002745A8" w:rsidRPr="00D9348B">
          <w:rPr>
            <w:webHidden/>
          </w:rPr>
        </w:r>
        <w:r w:rsidR="002745A8" w:rsidRPr="00D9348B">
          <w:rPr>
            <w:webHidden/>
          </w:rPr>
          <w:fldChar w:fldCharType="separate"/>
        </w:r>
        <w:r w:rsidR="00950F0A">
          <w:rPr>
            <w:webHidden/>
          </w:rPr>
          <w:t>415</w:t>
        </w:r>
        <w:r w:rsidR="002745A8" w:rsidRPr="00D9348B">
          <w:rPr>
            <w:webHidden/>
          </w:rPr>
          <w:fldChar w:fldCharType="end"/>
        </w:r>
      </w:hyperlink>
    </w:p>
    <w:p w14:paraId="23FB21EE" w14:textId="36E9071D" w:rsidR="002745A8" w:rsidRPr="00D9348B" w:rsidRDefault="00DA6C03">
      <w:pPr>
        <w:pStyle w:val="TableofFigures"/>
        <w:rPr>
          <w:rFonts w:cs="Times New Roman"/>
          <w:sz w:val="22"/>
        </w:rPr>
      </w:pPr>
      <w:hyperlink w:anchor="_Toc36224685" w:history="1">
        <w:r w:rsidR="002745A8" w:rsidRPr="00D9348B">
          <w:rPr>
            <w:rStyle w:val="Hyperlink"/>
            <w:rFonts w:eastAsia="Calibri" w:cs="Arial"/>
          </w:rPr>
          <w:t>Table 8.5.3</w:t>
        </w:r>
        <w:r w:rsidR="002745A8" w:rsidRPr="00D9348B">
          <w:rPr>
            <w:rFonts w:cs="Times New Roman"/>
            <w:sz w:val="22"/>
          </w:rPr>
          <w:tab/>
        </w:r>
        <w:r w:rsidR="002745A8" w:rsidRPr="00D9348B">
          <w:rPr>
            <w:rStyle w:val="Hyperlink"/>
            <w:rFonts w:eastAsia="Calibri" w:cs="Arial"/>
          </w:rPr>
          <w:t>Composition data and carbon content used for estimating emissions from 5.C.2</w:t>
        </w:r>
        <w:r w:rsidR="002745A8" w:rsidRPr="00D9348B">
          <w:rPr>
            <w:webHidden/>
          </w:rPr>
          <w:tab/>
        </w:r>
        <w:r w:rsidR="002745A8" w:rsidRPr="00D9348B">
          <w:rPr>
            <w:webHidden/>
          </w:rPr>
          <w:fldChar w:fldCharType="begin"/>
        </w:r>
        <w:r w:rsidR="002745A8" w:rsidRPr="00D9348B">
          <w:rPr>
            <w:webHidden/>
          </w:rPr>
          <w:instrText xml:space="preserve"> PAGEREF _Toc36224685 \h </w:instrText>
        </w:r>
        <w:r w:rsidR="002745A8" w:rsidRPr="00D9348B">
          <w:rPr>
            <w:webHidden/>
          </w:rPr>
        </w:r>
        <w:r w:rsidR="002745A8" w:rsidRPr="00D9348B">
          <w:rPr>
            <w:webHidden/>
          </w:rPr>
          <w:fldChar w:fldCharType="separate"/>
        </w:r>
        <w:r w:rsidR="00950F0A">
          <w:rPr>
            <w:webHidden/>
          </w:rPr>
          <w:t>416</w:t>
        </w:r>
        <w:r w:rsidR="002745A8" w:rsidRPr="00D9348B">
          <w:rPr>
            <w:webHidden/>
          </w:rPr>
          <w:fldChar w:fldCharType="end"/>
        </w:r>
      </w:hyperlink>
    </w:p>
    <w:p w14:paraId="7451748F" w14:textId="4CCF6A16" w:rsidR="002745A8" w:rsidRPr="00D9348B" w:rsidRDefault="00DA6C03">
      <w:pPr>
        <w:pStyle w:val="TableofFigures"/>
        <w:rPr>
          <w:rFonts w:cs="Times New Roman"/>
          <w:sz w:val="22"/>
        </w:rPr>
      </w:pPr>
      <w:hyperlink w:anchor="_Toc36224686" w:history="1">
        <w:r w:rsidR="002745A8" w:rsidRPr="00D9348B">
          <w:rPr>
            <w:rStyle w:val="Hyperlink"/>
          </w:rPr>
          <w:t>Table 8.5.4</w:t>
        </w:r>
        <w:r w:rsidR="002745A8" w:rsidRPr="00D9348B">
          <w:rPr>
            <w:rFonts w:cs="Times New Roman"/>
            <w:sz w:val="22"/>
          </w:rPr>
          <w:tab/>
        </w:r>
        <w:r w:rsidR="002745A8" w:rsidRPr="00D9348B">
          <w:rPr>
            <w:rStyle w:val="Hyperlink"/>
          </w:rPr>
          <w:t>Uncertainty in emissions from open burning for Tokelau.</w:t>
        </w:r>
        <w:r w:rsidR="002745A8" w:rsidRPr="00D9348B">
          <w:rPr>
            <w:webHidden/>
          </w:rPr>
          <w:tab/>
        </w:r>
        <w:r w:rsidR="002745A8" w:rsidRPr="00D9348B">
          <w:rPr>
            <w:webHidden/>
          </w:rPr>
          <w:fldChar w:fldCharType="begin"/>
        </w:r>
        <w:r w:rsidR="002745A8" w:rsidRPr="00D9348B">
          <w:rPr>
            <w:webHidden/>
          </w:rPr>
          <w:instrText xml:space="preserve"> PAGEREF _Toc36224686 \h </w:instrText>
        </w:r>
        <w:r w:rsidR="002745A8" w:rsidRPr="00D9348B">
          <w:rPr>
            <w:webHidden/>
          </w:rPr>
        </w:r>
        <w:r w:rsidR="002745A8" w:rsidRPr="00D9348B">
          <w:rPr>
            <w:webHidden/>
          </w:rPr>
          <w:fldChar w:fldCharType="separate"/>
        </w:r>
        <w:r w:rsidR="00950F0A">
          <w:rPr>
            <w:webHidden/>
          </w:rPr>
          <w:t>416</w:t>
        </w:r>
        <w:r w:rsidR="002745A8" w:rsidRPr="00D9348B">
          <w:rPr>
            <w:webHidden/>
          </w:rPr>
          <w:fldChar w:fldCharType="end"/>
        </w:r>
      </w:hyperlink>
    </w:p>
    <w:p w14:paraId="73F18EA1" w14:textId="72738749" w:rsidR="002745A8" w:rsidRPr="00D9348B" w:rsidRDefault="00DA6C03">
      <w:pPr>
        <w:pStyle w:val="TableofFigures"/>
        <w:rPr>
          <w:rFonts w:cs="Times New Roman"/>
          <w:sz w:val="22"/>
        </w:rPr>
      </w:pPr>
      <w:hyperlink w:anchor="_Toc36224687" w:history="1">
        <w:r w:rsidR="002745A8" w:rsidRPr="00D9348B">
          <w:rPr>
            <w:rStyle w:val="Hyperlink"/>
          </w:rPr>
          <w:t>Table 8.5.5</w:t>
        </w:r>
        <w:r w:rsidR="002745A8" w:rsidRPr="00D9348B">
          <w:rPr>
            <w:rFonts w:cs="Times New Roman"/>
            <w:sz w:val="22"/>
          </w:rPr>
          <w:tab/>
        </w:r>
        <w:r w:rsidR="002745A8" w:rsidRPr="00D9348B">
          <w:rPr>
            <w:rStyle w:val="Hyperlink"/>
          </w:rPr>
          <w:t>Parameters for estimating methane emissions for Tokelau wastewater treatment</w:t>
        </w:r>
        <w:r w:rsidR="002745A8" w:rsidRPr="00D9348B">
          <w:rPr>
            <w:webHidden/>
          </w:rPr>
          <w:tab/>
        </w:r>
        <w:r w:rsidR="002745A8" w:rsidRPr="00D9348B">
          <w:rPr>
            <w:webHidden/>
          </w:rPr>
          <w:fldChar w:fldCharType="begin"/>
        </w:r>
        <w:r w:rsidR="002745A8" w:rsidRPr="00D9348B">
          <w:rPr>
            <w:webHidden/>
          </w:rPr>
          <w:instrText xml:space="preserve"> PAGEREF _Toc36224687 \h </w:instrText>
        </w:r>
        <w:r w:rsidR="002745A8" w:rsidRPr="00D9348B">
          <w:rPr>
            <w:webHidden/>
          </w:rPr>
        </w:r>
        <w:r w:rsidR="002745A8" w:rsidRPr="00D9348B">
          <w:rPr>
            <w:webHidden/>
          </w:rPr>
          <w:fldChar w:fldCharType="separate"/>
        </w:r>
        <w:r w:rsidR="00950F0A">
          <w:rPr>
            <w:webHidden/>
          </w:rPr>
          <w:t>417</w:t>
        </w:r>
        <w:r w:rsidR="002745A8" w:rsidRPr="00D9348B">
          <w:rPr>
            <w:webHidden/>
          </w:rPr>
          <w:fldChar w:fldCharType="end"/>
        </w:r>
      </w:hyperlink>
    </w:p>
    <w:p w14:paraId="14F999EC" w14:textId="2ACD80CE" w:rsidR="002745A8" w:rsidRPr="00D9348B" w:rsidRDefault="00DA6C03">
      <w:pPr>
        <w:pStyle w:val="TableofFigures"/>
        <w:rPr>
          <w:rFonts w:cs="Times New Roman"/>
          <w:sz w:val="22"/>
        </w:rPr>
      </w:pPr>
      <w:hyperlink w:anchor="_Toc36224688" w:history="1">
        <w:r w:rsidR="002745A8" w:rsidRPr="00D9348B">
          <w:rPr>
            <w:rStyle w:val="Hyperlink"/>
          </w:rPr>
          <w:t>Table 8.5.6</w:t>
        </w:r>
        <w:r w:rsidR="002745A8" w:rsidRPr="00D9348B">
          <w:rPr>
            <w:rFonts w:cs="Times New Roman"/>
            <w:sz w:val="22"/>
          </w:rPr>
          <w:tab/>
        </w:r>
        <w:r w:rsidR="002745A8" w:rsidRPr="00D9348B">
          <w:rPr>
            <w:rStyle w:val="Hyperlink"/>
          </w:rPr>
          <w:t>Parameter values applied for estimating nitrous oxide emissions for</w:t>
        </w:r>
        <w:r w:rsidR="00213A7A">
          <w:rPr>
            <w:rStyle w:val="Hyperlink"/>
          </w:rPr>
          <w:t xml:space="preserve"> </w:t>
        </w:r>
        <w:r w:rsidR="002745A8" w:rsidRPr="00D9348B">
          <w:rPr>
            <w:rStyle w:val="Hyperlink"/>
          </w:rPr>
          <w:t>Tokelau wastewater treatment</w:t>
        </w:r>
        <w:r w:rsidR="002745A8" w:rsidRPr="00D9348B">
          <w:rPr>
            <w:webHidden/>
          </w:rPr>
          <w:tab/>
        </w:r>
        <w:r w:rsidR="002745A8" w:rsidRPr="00D9348B">
          <w:rPr>
            <w:webHidden/>
          </w:rPr>
          <w:fldChar w:fldCharType="begin"/>
        </w:r>
        <w:r w:rsidR="002745A8" w:rsidRPr="00D9348B">
          <w:rPr>
            <w:webHidden/>
          </w:rPr>
          <w:instrText xml:space="preserve"> PAGEREF _Toc36224688 \h </w:instrText>
        </w:r>
        <w:r w:rsidR="002745A8" w:rsidRPr="00D9348B">
          <w:rPr>
            <w:webHidden/>
          </w:rPr>
        </w:r>
        <w:r w:rsidR="002745A8" w:rsidRPr="00D9348B">
          <w:rPr>
            <w:webHidden/>
          </w:rPr>
          <w:fldChar w:fldCharType="separate"/>
        </w:r>
        <w:r w:rsidR="00950F0A">
          <w:rPr>
            <w:webHidden/>
          </w:rPr>
          <w:t>418</w:t>
        </w:r>
        <w:r w:rsidR="002745A8" w:rsidRPr="00D9348B">
          <w:rPr>
            <w:webHidden/>
          </w:rPr>
          <w:fldChar w:fldCharType="end"/>
        </w:r>
      </w:hyperlink>
    </w:p>
    <w:p w14:paraId="4692A7B5" w14:textId="2DEFBEBD" w:rsidR="002745A8" w:rsidRPr="00D9348B" w:rsidRDefault="00DA6C03">
      <w:pPr>
        <w:pStyle w:val="TableofFigures"/>
        <w:rPr>
          <w:rFonts w:cs="Times New Roman"/>
          <w:sz w:val="22"/>
        </w:rPr>
      </w:pPr>
      <w:hyperlink w:anchor="_Toc36224689" w:history="1">
        <w:r w:rsidR="002745A8" w:rsidRPr="00D9348B">
          <w:rPr>
            <w:rStyle w:val="Hyperlink"/>
          </w:rPr>
          <w:t>Table 8.5.7</w:t>
        </w:r>
        <w:r w:rsidR="002745A8" w:rsidRPr="00D9348B">
          <w:rPr>
            <w:rFonts w:cs="Times New Roman"/>
            <w:sz w:val="22"/>
          </w:rPr>
          <w:tab/>
        </w:r>
        <w:r w:rsidR="002745A8" w:rsidRPr="00D9348B">
          <w:rPr>
            <w:rStyle w:val="Hyperlink"/>
          </w:rPr>
          <w:t>Uncertainty in emissions from domestic wastewater</w:t>
        </w:r>
        <w:r w:rsidR="002745A8" w:rsidRPr="00D9348B">
          <w:rPr>
            <w:webHidden/>
          </w:rPr>
          <w:tab/>
        </w:r>
        <w:r w:rsidR="002745A8" w:rsidRPr="00D9348B">
          <w:rPr>
            <w:webHidden/>
          </w:rPr>
          <w:fldChar w:fldCharType="begin"/>
        </w:r>
        <w:r w:rsidR="002745A8" w:rsidRPr="00D9348B">
          <w:rPr>
            <w:webHidden/>
          </w:rPr>
          <w:instrText xml:space="preserve"> PAGEREF _Toc36224689 \h </w:instrText>
        </w:r>
        <w:r w:rsidR="002745A8" w:rsidRPr="00D9348B">
          <w:rPr>
            <w:webHidden/>
          </w:rPr>
        </w:r>
        <w:r w:rsidR="002745A8" w:rsidRPr="00D9348B">
          <w:rPr>
            <w:webHidden/>
          </w:rPr>
          <w:fldChar w:fldCharType="separate"/>
        </w:r>
        <w:r w:rsidR="00950F0A">
          <w:rPr>
            <w:webHidden/>
          </w:rPr>
          <w:t>418</w:t>
        </w:r>
        <w:r w:rsidR="002745A8" w:rsidRPr="00D9348B">
          <w:rPr>
            <w:webHidden/>
          </w:rPr>
          <w:fldChar w:fldCharType="end"/>
        </w:r>
      </w:hyperlink>
    </w:p>
    <w:p w14:paraId="0338B4B5" w14:textId="36BC7378" w:rsidR="002745A8" w:rsidRPr="00D9348B" w:rsidRDefault="00DA6C03">
      <w:pPr>
        <w:pStyle w:val="TableofFigures"/>
        <w:rPr>
          <w:rFonts w:cs="Times New Roman"/>
          <w:sz w:val="22"/>
        </w:rPr>
      </w:pPr>
      <w:hyperlink w:anchor="_Toc36224690" w:history="1">
        <w:r w:rsidR="002745A8" w:rsidRPr="00D9348B">
          <w:rPr>
            <w:rStyle w:val="Hyperlink"/>
          </w:rPr>
          <w:t xml:space="preserve">Table 10.1.1 </w:t>
        </w:r>
        <w:r w:rsidR="002745A8" w:rsidRPr="00D9348B">
          <w:rPr>
            <w:rFonts w:cs="Times New Roman"/>
            <w:sz w:val="22"/>
          </w:rPr>
          <w:tab/>
        </w:r>
        <w:r w:rsidR="002745A8" w:rsidRPr="00D9348B">
          <w:rPr>
            <w:rStyle w:val="Hyperlink"/>
          </w:rPr>
          <w:t>Largest recalculations in each sector that increase emissions estimates</w:t>
        </w:r>
        <w:r w:rsidR="002745A8" w:rsidRPr="00D9348B">
          <w:rPr>
            <w:webHidden/>
          </w:rPr>
          <w:tab/>
        </w:r>
        <w:r w:rsidR="002745A8" w:rsidRPr="00D9348B">
          <w:rPr>
            <w:webHidden/>
          </w:rPr>
          <w:fldChar w:fldCharType="begin"/>
        </w:r>
        <w:r w:rsidR="002745A8" w:rsidRPr="00D9348B">
          <w:rPr>
            <w:webHidden/>
          </w:rPr>
          <w:instrText xml:space="preserve"> PAGEREF _Toc36224690 \h </w:instrText>
        </w:r>
        <w:r w:rsidR="002745A8" w:rsidRPr="00D9348B">
          <w:rPr>
            <w:webHidden/>
          </w:rPr>
        </w:r>
        <w:r w:rsidR="002745A8" w:rsidRPr="00D9348B">
          <w:rPr>
            <w:webHidden/>
          </w:rPr>
          <w:fldChar w:fldCharType="separate"/>
        </w:r>
        <w:r w:rsidR="00950F0A">
          <w:rPr>
            <w:webHidden/>
          </w:rPr>
          <w:t>422</w:t>
        </w:r>
        <w:r w:rsidR="002745A8" w:rsidRPr="00D9348B">
          <w:rPr>
            <w:webHidden/>
          </w:rPr>
          <w:fldChar w:fldCharType="end"/>
        </w:r>
      </w:hyperlink>
    </w:p>
    <w:p w14:paraId="31793116" w14:textId="192716AD" w:rsidR="002745A8" w:rsidRPr="00D9348B" w:rsidRDefault="00DA6C03">
      <w:pPr>
        <w:pStyle w:val="TableofFigures"/>
        <w:rPr>
          <w:rFonts w:cs="Times New Roman"/>
          <w:sz w:val="22"/>
        </w:rPr>
      </w:pPr>
      <w:hyperlink w:anchor="_Toc36224691" w:history="1">
        <w:r w:rsidR="002745A8" w:rsidRPr="00D9348B">
          <w:rPr>
            <w:rStyle w:val="Hyperlink"/>
          </w:rPr>
          <w:t xml:space="preserve">Table 10.1.2 </w:t>
        </w:r>
        <w:r w:rsidR="002745A8" w:rsidRPr="00D9348B">
          <w:rPr>
            <w:rFonts w:cs="Times New Roman"/>
            <w:sz w:val="22"/>
          </w:rPr>
          <w:tab/>
        </w:r>
        <w:r w:rsidR="002745A8" w:rsidRPr="00D9348B">
          <w:rPr>
            <w:rStyle w:val="Hyperlink"/>
          </w:rPr>
          <w:t>Largest recalculations in each sector that reduce emissions estimates</w:t>
        </w:r>
        <w:r w:rsidR="002745A8" w:rsidRPr="00D9348B">
          <w:rPr>
            <w:webHidden/>
          </w:rPr>
          <w:tab/>
        </w:r>
        <w:r w:rsidR="002745A8" w:rsidRPr="00D9348B">
          <w:rPr>
            <w:webHidden/>
          </w:rPr>
          <w:fldChar w:fldCharType="begin"/>
        </w:r>
        <w:r w:rsidR="002745A8" w:rsidRPr="00D9348B">
          <w:rPr>
            <w:webHidden/>
          </w:rPr>
          <w:instrText xml:space="preserve"> PAGEREF _Toc36224691 \h </w:instrText>
        </w:r>
        <w:r w:rsidR="002745A8" w:rsidRPr="00D9348B">
          <w:rPr>
            <w:webHidden/>
          </w:rPr>
        </w:r>
        <w:r w:rsidR="002745A8" w:rsidRPr="00D9348B">
          <w:rPr>
            <w:webHidden/>
          </w:rPr>
          <w:fldChar w:fldCharType="separate"/>
        </w:r>
        <w:r w:rsidR="00950F0A">
          <w:rPr>
            <w:webHidden/>
          </w:rPr>
          <w:t>422</w:t>
        </w:r>
        <w:r w:rsidR="002745A8" w:rsidRPr="00D9348B">
          <w:rPr>
            <w:webHidden/>
          </w:rPr>
          <w:fldChar w:fldCharType="end"/>
        </w:r>
      </w:hyperlink>
    </w:p>
    <w:p w14:paraId="115CEEB7" w14:textId="7B04F90E" w:rsidR="002745A8" w:rsidRPr="00D9348B" w:rsidRDefault="00DA6C03">
      <w:pPr>
        <w:pStyle w:val="TableofFigures"/>
        <w:rPr>
          <w:rFonts w:cs="Times New Roman"/>
          <w:sz w:val="22"/>
        </w:rPr>
      </w:pPr>
      <w:hyperlink w:anchor="_Toc36224692" w:history="1">
        <w:r w:rsidR="002745A8" w:rsidRPr="00D9348B">
          <w:rPr>
            <w:rStyle w:val="Hyperlink"/>
          </w:rPr>
          <w:t>Table 10.1.3</w:t>
        </w:r>
        <w:r w:rsidR="002745A8" w:rsidRPr="00D9348B">
          <w:rPr>
            <w:rFonts w:cs="Times New Roman"/>
            <w:sz w:val="22"/>
          </w:rPr>
          <w:tab/>
        </w:r>
        <w:r w:rsidR="002745A8" w:rsidRPr="00D9348B">
          <w:rPr>
            <w:rStyle w:val="Hyperlink"/>
          </w:rPr>
          <w:t>Explanations and justifications for recalculations in the IPPU sector</w:t>
        </w:r>
        <w:r w:rsidR="002745A8" w:rsidRPr="00D9348B">
          <w:rPr>
            <w:webHidden/>
          </w:rPr>
          <w:tab/>
        </w:r>
        <w:r w:rsidR="002745A8" w:rsidRPr="00D9348B">
          <w:rPr>
            <w:webHidden/>
          </w:rPr>
          <w:fldChar w:fldCharType="begin"/>
        </w:r>
        <w:r w:rsidR="002745A8" w:rsidRPr="00D9348B">
          <w:rPr>
            <w:webHidden/>
          </w:rPr>
          <w:instrText xml:space="preserve"> PAGEREF _Toc36224692 \h </w:instrText>
        </w:r>
        <w:r w:rsidR="002745A8" w:rsidRPr="00D9348B">
          <w:rPr>
            <w:webHidden/>
          </w:rPr>
        </w:r>
        <w:r w:rsidR="002745A8" w:rsidRPr="00D9348B">
          <w:rPr>
            <w:webHidden/>
          </w:rPr>
          <w:fldChar w:fldCharType="separate"/>
        </w:r>
        <w:r w:rsidR="00950F0A">
          <w:rPr>
            <w:webHidden/>
          </w:rPr>
          <w:t>424</w:t>
        </w:r>
        <w:r w:rsidR="002745A8" w:rsidRPr="00D9348B">
          <w:rPr>
            <w:webHidden/>
          </w:rPr>
          <w:fldChar w:fldCharType="end"/>
        </w:r>
      </w:hyperlink>
    </w:p>
    <w:p w14:paraId="353EA52B" w14:textId="275AD7EB" w:rsidR="002745A8" w:rsidRPr="00D9348B" w:rsidRDefault="00DA6C03">
      <w:pPr>
        <w:pStyle w:val="TableofFigures"/>
        <w:rPr>
          <w:rFonts w:cs="Times New Roman"/>
          <w:sz w:val="22"/>
        </w:rPr>
      </w:pPr>
      <w:hyperlink w:anchor="_Toc36224693" w:history="1">
        <w:r w:rsidR="002745A8" w:rsidRPr="00D9348B">
          <w:rPr>
            <w:rStyle w:val="Hyperlink"/>
          </w:rPr>
          <w:t>Table 10.1.4</w:t>
        </w:r>
        <w:r w:rsidR="002745A8" w:rsidRPr="00D9348B">
          <w:rPr>
            <w:rFonts w:cs="Times New Roman"/>
            <w:sz w:val="22"/>
          </w:rPr>
          <w:tab/>
        </w:r>
        <w:r w:rsidR="002745A8" w:rsidRPr="00D9348B">
          <w:rPr>
            <w:rStyle w:val="Hyperlink"/>
          </w:rPr>
          <w:t>Effect of revised EF</w:t>
        </w:r>
        <w:r w:rsidR="002745A8" w:rsidRPr="00D9348B">
          <w:rPr>
            <w:rStyle w:val="Hyperlink"/>
            <w:vertAlign w:val="subscript"/>
          </w:rPr>
          <w:t>3,PRP</w:t>
        </w:r>
        <w:r w:rsidR="002745A8" w:rsidRPr="00D9348B">
          <w:rPr>
            <w:rStyle w:val="Hyperlink"/>
          </w:rPr>
          <w:t xml:space="preserve"> values for cattle, sheep and deer, and new methodology to</w:t>
        </w:r>
        <w:r w:rsidR="00695807" w:rsidRPr="00D9348B">
          <w:rPr>
            <w:rStyle w:val="Hyperlink"/>
          </w:rPr>
          <w:t> </w:t>
        </w:r>
        <w:r w:rsidR="002745A8" w:rsidRPr="00D9348B">
          <w:rPr>
            <w:rStyle w:val="Hyperlink"/>
          </w:rPr>
          <w:t>allocate N</w:t>
        </w:r>
        <w:r w:rsidR="002745A8" w:rsidRPr="00D9348B">
          <w:rPr>
            <w:rStyle w:val="Hyperlink"/>
            <w:vertAlign w:val="subscript"/>
          </w:rPr>
          <w:t>ex</w:t>
        </w:r>
        <w:r w:rsidR="002745A8" w:rsidRPr="00D9348B">
          <w:rPr>
            <w:rStyle w:val="Hyperlink"/>
          </w:rPr>
          <w:t xml:space="preserve"> to different hill slopes on agricultural emissions estimates, 1990</w:t>
        </w:r>
        <w:r w:rsidR="00695807" w:rsidRPr="00D9348B">
          <w:rPr>
            <w:rStyle w:val="Hyperlink"/>
          </w:rPr>
          <w:t> </w:t>
        </w:r>
        <w:r w:rsidR="002745A8" w:rsidRPr="00D9348B">
          <w:rPr>
            <w:rStyle w:val="Hyperlink"/>
          </w:rPr>
          <w:t>to</w:t>
        </w:r>
        <w:r w:rsidR="00695807" w:rsidRPr="00D9348B">
          <w:rPr>
            <w:rStyle w:val="Hyperlink"/>
          </w:rPr>
          <w:t> </w:t>
        </w:r>
        <w:r w:rsidR="002745A8" w:rsidRPr="00D9348B">
          <w:rPr>
            <w:rStyle w:val="Hyperlink"/>
          </w:rPr>
          <w:t>2018</w:t>
        </w:r>
        <w:r w:rsidR="002745A8" w:rsidRPr="00D9348B">
          <w:rPr>
            <w:webHidden/>
          </w:rPr>
          <w:tab/>
        </w:r>
        <w:r w:rsidR="002745A8" w:rsidRPr="00D9348B">
          <w:rPr>
            <w:webHidden/>
          </w:rPr>
          <w:fldChar w:fldCharType="begin"/>
        </w:r>
        <w:r w:rsidR="002745A8" w:rsidRPr="00D9348B">
          <w:rPr>
            <w:webHidden/>
          </w:rPr>
          <w:instrText xml:space="preserve"> PAGEREF _Toc36224693 \h </w:instrText>
        </w:r>
        <w:r w:rsidR="002745A8" w:rsidRPr="00D9348B">
          <w:rPr>
            <w:webHidden/>
          </w:rPr>
        </w:r>
        <w:r w:rsidR="002745A8" w:rsidRPr="00D9348B">
          <w:rPr>
            <w:webHidden/>
          </w:rPr>
          <w:fldChar w:fldCharType="separate"/>
        </w:r>
        <w:r w:rsidR="00950F0A">
          <w:rPr>
            <w:webHidden/>
          </w:rPr>
          <w:t>425</w:t>
        </w:r>
        <w:r w:rsidR="002745A8" w:rsidRPr="00D9348B">
          <w:rPr>
            <w:webHidden/>
          </w:rPr>
          <w:fldChar w:fldCharType="end"/>
        </w:r>
      </w:hyperlink>
    </w:p>
    <w:p w14:paraId="3F532F6C" w14:textId="5CF510FD" w:rsidR="002745A8" w:rsidRPr="00D9348B" w:rsidRDefault="00DA6C03">
      <w:pPr>
        <w:pStyle w:val="TableofFigures"/>
        <w:rPr>
          <w:rFonts w:cs="Times New Roman"/>
          <w:sz w:val="22"/>
        </w:rPr>
      </w:pPr>
      <w:hyperlink w:anchor="_Toc36224694" w:history="1">
        <w:r w:rsidR="002745A8" w:rsidRPr="00D9348B">
          <w:rPr>
            <w:rStyle w:val="Hyperlink"/>
          </w:rPr>
          <w:t>Table 10.1.5</w:t>
        </w:r>
        <w:r w:rsidR="002745A8" w:rsidRPr="00D9348B">
          <w:rPr>
            <w:rFonts w:cs="Times New Roman"/>
            <w:sz w:val="22"/>
          </w:rPr>
          <w:tab/>
        </w:r>
        <w:r w:rsidR="002745A8" w:rsidRPr="00D9348B">
          <w:rPr>
            <w:rStyle w:val="Hyperlink"/>
          </w:rPr>
          <w:t>Comparison of previous and new dairy goat population estimates</w:t>
        </w:r>
        <w:r w:rsidR="002745A8" w:rsidRPr="00D9348B">
          <w:rPr>
            <w:webHidden/>
          </w:rPr>
          <w:tab/>
        </w:r>
        <w:r w:rsidR="002745A8" w:rsidRPr="00D9348B">
          <w:rPr>
            <w:webHidden/>
          </w:rPr>
          <w:fldChar w:fldCharType="begin"/>
        </w:r>
        <w:r w:rsidR="002745A8" w:rsidRPr="00D9348B">
          <w:rPr>
            <w:webHidden/>
          </w:rPr>
          <w:instrText xml:space="preserve"> PAGEREF _Toc36224694 \h </w:instrText>
        </w:r>
        <w:r w:rsidR="002745A8" w:rsidRPr="00D9348B">
          <w:rPr>
            <w:webHidden/>
          </w:rPr>
        </w:r>
        <w:r w:rsidR="002745A8" w:rsidRPr="00D9348B">
          <w:rPr>
            <w:webHidden/>
          </w:rPr>
          <w:fldChar w:fldCharType="separate"/>
        </w:r>
        <w:r w:rsidR="00950F0A">
          <w:rPr>
            <w:webHidden/>
          </w:rPr>
          <w:t>426</w:t>
        </w:r>
        <w:r w:rsidR="002745A8" w:rsidRPr="00D9348B">
          <w:rPr>
            <w:webHidden/>
          </w:rPr>
          <w:fldChar w:fldCharType="end"/>
        </w:r>
      </w:hyperlink>
    </w:p>
    <w:p w14:paraId="754F230A" w14:textId="68741211" w:rsidR="002745A8" w:rsidRPr="00D9348B" w:rsidRDefault="00DA6C03">
      <w:pPr>
        <w:pStyle w:val="TableofFigures"/>
        <w:rPr>
          <w:rFonts w:cs="Times New Roman"/>
          <w:sz w:val="22"/>
        </w:rPr>
      </w:pPr>
      <w:hyperlink w:anchor="_Toc36224695" w:history="1">
        <w:r w:rsidR="002745A8" w:rsidRPr="00D9348B">
          <w:rPr>
            <w:rStyle w:val="Hyperlink"/>
          </w:rPr>
          <w:t>Table 10.1.6</w:t>
        </w:r>
        <w:r w:rsidR="002745A8" w:rsidRPr="00D9348B">
          <w:rPr>
            <w:rFonts w:cs="Times New Roman"/>
            <w:sz w:val="22"/>
          </w:rPr>
          <w:tab/>
        </w:r>
        <w:r w:rsidR="002745A8" w:rsidRPr="00D9348B">
          <w:rPr>
            <w:rStyle w:val="Hyperlink"/>
          </w:rPr>
          <w:t>Effect of revised dairy goat population estimates on agricultural emissions estimates, 1990 to 2018</w:t>
        </w:r>
        <w:r w:rsidR="002745A8" w:rsidRPr="00D9348B">
          <w:rPr>
            <w:webHidden/>
          </w:rPr>
          <w:tab/>
        </w:r>
        <w:r w:rsidR="002745A8" w:rsidRPr="00D9348B">
          <w:rPr>
            <w:webHidden/>
          </w:rPr>
          <w:fldChar w:fldCharType="begin"/>
        </w:r>
        <w:r w:rsidR="002745A8" w:rsidRPr="00D9348B">
          <w:rPr>
            <w:webHidden/>
          </w:rPr>
          <w:instrText xml:space="preserve"> PAGEREF _Toc36224695 \h </w:instrText>
        </w:r>
        <w:r w:rsidR="002745A8" w:rsidRPr="00D9348B">
          <w:rPr>
            <w:webHidden/>
          </w:rPr>
        </w:r>
        <w:r w:rsidR="002745A8" w:rsidRPr="00D9348B">
          <w:rPr>
            <w:webHidden/>
          </w:rPr>
          <w:fldChar w:fldCharType="separate"/>
        </w:r>
        <w:r w:rsidR="00950F0A">
          <w:rPr>
            <w:webHidden/>
          </w:rPr>
          <w:t>426</w:t>
        </w:r>
        <w:r w:rsidR="002745A8" w:rsidRPr="00D9348B">
          <w:rPr>
            <w:webHidden/>
          </w:rPr>
          <w:fldChar w:fldCharType="end"/>
        </w:r>
      </w:hyperlink>
    </w:p>
    <w:p w14:paraId="78002A8B" w14:textId="4BA3E02A" w:rsidR="002745A8" w:rsidRPr="00D9348B" w:rsidRDefault="00DA6C03">
      <w:pPr>
        <w:pStyle w:val="TableofFigures"/>
        <w:rPr>
          <w:rFonts w:cs="Times New Roman"/>
          <w:sz w:val="22"/>
        </w:rPr>
      </w:pPr>
      <w:hyperlink w:anchor="_Toc36224696" w:history="1">
        <w:r w:rsidR="002745A8" w:rsidRPr="00D9348B">
          <w:rPr>
            <w:rStyle w:val="Hyperlink"/>
          </w:rPr>
          <w:t>Table 10.1.7</w:t>
        </w:r>
        <w:r w:rsidR="002745A8" w:rsidRPr="00D9348B">
          <w:rPr>
            <w:rFonts w:cs="Times New Roman"/>
            <w:sz w:val="22"/>
          </w:rPr>
          <w:tab/>
        </w:r>
        <w:r w:rsidR="002745A8" w:rsidRPr="00D9348B">
          <w:rPr>
            <w:rStyle w:val="Hyperlink"/>
          </w:rPr>
          <w:t>Effect of changes to energy efficiency for maintenance (k</w:t>
        </w:r>
        <w:r w:rsidR="002745A8" w:rsidRPr="00D9348B">
          <w:rPr>
            <w:rStyle w:val="Hyperlink"/>
            <w:vertAlign w:val="subscript"/>
          </w:rPr>
          <w:t>m</w:t>
        </w:r>
        <w:r w:rsidR="002745A8" w:rsidRPr="00D9348B">
          <w:rPr>
            <w:rStyle w:val="Hyperlink"/>
          </w:rPr>
          <w:t>) equations on agricultural emissions estimates, 1990 to 2018</w:t>
        </w:r>
        <w:r w:rsidR="002745A8" w:rsidRPr="00D9348B">
          <w:rPr>
            <w:webHidden/>
          </w:rPr>
          <w:tab/>
        </w:r>
        <w:r w:rsidR="002745A8" w:rsidRPr="00D9348B">
          <w:rPr>
            <w:webHidden/>
          </w:rPr>
          <w:fldChar w:fldCharType="begin"/>
        </w:r>
        <w:r w:rsidR="002745A8" w:rsidRPr="00D9348B">
          <w:rPr>
            <w:webHidden/>
          </w:rPr>
          <w:instrText xml:space="preserve"> PAGEREF _Toc36224696 \h </w:instrText>
        </w:r>
        <w:r w:rsidR="002745A8" w:rsidRPr="00D9348B">
          <w:rPr>
            <w:webHidden/>
          </w:rPr>
        </w:r>
        <w:r w:rsidR="002745A8" w:rsidRPr="00D9348B">
          <w:rPr>
            <w:webHidden/>
          </w:rPr>
          <w:fldChar w:fldCharType="separate"/>
        </w:r>
        <w:r w:rsidR="00950F0A">
          <w:rPr>
            <w:webHidden/>
          </w:rPr>
          <w:t>427</w:t>
        </w:r>
        <w:r w:rsidR="002745A8" w:rsidRPr="00D9348B">
          <w:rPr>
            <w:webHidden/>
          </w:rPr>
          <w:fldChar w:fldCharType="end"/>
        </w:r>
      </w:hyperlink>
    </w:p>
    <w:p w14:paraId="396D16B3" w14:textId="2543722B" w:rsidR="002745A8" w:rsidRPr="00D9348B" w:rsidRDefault="00DA6C03">
      <w:pPr>
        <w:pStyle w:val="TableofFigures"/>
        <w:rPr>
          <w:rFonts w:cs="Times New Roman"/>
          <w:sz w:val="22"/>
        </w:rPr>
      </w:pPr>
      <w:hyperlink w:anchor="_Toc36224697" w:history="1">
        <w:r w:rsidR="002745A8" w:rsidRPr="00D9348B">
          <w:rPr>
            <w:rStyle w:val="Hyperlink"/>
          </w:rPr>
          <w:t>Table 10.1.8</w:t>
        </w:r>
        <w:r w:rsidR="002745A8" w:rsidRPr="00D9348B">
          <w:rPr>
            <w:rFonts w:cs="Times New Roman"/>
            <w:sz w:val="22"/>
          </w:rPr>
          <w:tab/>
        </w:r>
        <w:r w:rsidR="002745A8" w:rsidRPr="00D9348B">
          <w:rPr>
            <w:rStyle w:val="Hyperlink"/>
          </w:rPr>
          <w:t>Explanations and justifications for recalculations in the LULUCF sector</w:t>
        </w:r>
        <w:r w:rsidR="002745A8" w:rsidRPr="00D9348B">
          <w:rPr>
            <w:webHidden/>
          </w:rPr>
          <w:tab/>
        </w:r>
        <w:r w:rsidR="002745A8" w:rsidRPr="00D9348B">
          <w:rPr>
            <w:webHidden/>
          </w:rPr>
          <w:fldChar w:fldCharType="begin"/>
        </w:r>
        <w:r w:rsidR="002745A8" w:rsidRPr="00D9348B">
          <w:rPr>
            <w:webHidden/>
          </w:rPr>
          <w:instrText xml:space="preserve"> PAGEREF _Toc36224697 \h </w:instrText>
        </w:r>
        <w:r w:rsidR="002745A8" w:rsidRPr="00D9348B">
          <w:rPr>
            <w:webHidden/>
          </w:rPr>
        </w:r>
        <w:r w:rsidR="002745A8" w:rsidRPr="00D9348B">
          <w:rPr>
            <w:webHidden/>
          </w:rPr>
          <w:fldChar w:fldCharType="separate"/>
        </w:r>
        <w:r w:rsidR="00950F0A">
          <w:rPr>
            <w:webHidden/>
          </w:rPr>
          <w:t>428</w:t>
        </w:r>
        <w:r w:rsidR="002745A8" w:rsidRPr="00D9348B">
          <w:rPr>
            <w:webHidden/>
          </w:rPr>
          <w:fldChar w:fldCharType="end"/>
        </w:r>
      </w:hyperlink>
    </w:p>
    <w:p w14:paraId="290CA2C7" w14:textId="109F25C0" w:rsidR="002745A8" w:rsidRPr="00D9348B" w:rsidRDefault="00DA6C03">
      <w:pPr>
        <w:pStyle w:val="TableofFigures"/>
        <w:rPr>
          <w:rFonts w:cs="Times New Roman"/>
          <w:sz w:val="22"/>
        </w:rPr>
      </w:pPr>
      <w:hyperlink w:anchor="_Toc36224698" w:history="1">
        <w:r w:rsidR="002745A8" w:rsidRPr="00D9348B">
          <w:rPr>
            <w:rStyle w:val="Hyperlink"/>
          </w:rPr>
          <w:t>Table 10.1.9</w:t>
        </w:r>
        <w:r w:rsidR="002745A8" w:rsidRPr="00D9348B">
          <w:rPr>
            <w:rFonts w:cs="Times New Roman"/>
            <w:sz w:val="22"/>
          </w:rPr>
          <w:tab/>
        </w:r>
        <w:r w:rsidR="002745A8" w:rsidRPr="00D9348B">
          <w:rPr>
            <w:rStyle w:val="Hyperlink"/>
          </w:rPr>
          <w:t>Explanations and justifications for recalculations in the Waste sector</w:t>
        </w:r>
        <w:r w:rsidR="002745A8" w:rsidRPr="00D9348B">
          <w:rPr>
            <w:webHidden/>
          </w:rPr>
          <w:tab/>
        </w:r>
        <w:r w:rsidR="002745A8" w:rsidRPr="00D9348B">
          <w:rPr>
            <w:webHidden/>
          </w:rPr>
          <w:fldChar w:fldCharType="begin"/>
        </w:r>
        <w:r w:rsidR="002745A8" w:rsidRPr="00D9348B">
          <w:rPr>
            <w:webHidden/>
          </w:rPr>
          <w:instrText xml:space="preserve"> PAGEREF _Toc36224698 \h </w:instrText>
        </w:r>
        <w:r w:rsidR="002745A8" w:rsidRPr="00D9348B">
          <w:rPr>
            <w:webHidden/>
          </w:rPr>
        </w:r>
        <w:r w:rsidR="002745A8" w:rsidRPr="00D9348B">
          <w:rPr>
            <w:webHidden/>
          </w:rPr>
          <w:fldChar w:fldCharType="separate"/>
        </w:r>
        <w:r w:rsidR="00950F0A">
          <w:rPr>
            <w:webHidden/>
          </w:rPr>
          <w:t>429</w:t>
        </w:r>
        <w:r w:rsidR="002745A8" w:rsidRPr="00D9348B">
          <w:rPr>
            <w:webHidden/>
          </w:rPr>
          <w:fldChar w:fldCharType="end"/>
        </w:r>
      </w:hyperlink>
    </w:p>
    <w:p w14:paraId="36D9EEFD" w14:textId="1896878C" w:rsidR="002745A8" w:rsidRPr="00D9348B" w:rsidRDefault="00DA6C03">
      <w:pPr>
        <w:pStyle w:val="TableofFigures"/>
        <w:rPr>
          <w:rFonts w:cs="Times New Roman"/>
          <w:sz w:val="22"/>
        </w:rPr>
      </w:pPr>
      <w:hyperlink w:anchor="_Toc36224700" w:history="1">
        <w:r w:rsidR="002745A8" w:rsidRPr="00D9348B">
          <w:rPr>
            <w:rStyle w:val="Hyperlink"/>
          </w:rPr>
          <w:t>Table 10.1.10</w:t>
        </w:r>
        <w:r w:rsidR="002745A8" w:rsidRPr="00D9348B">
          <w:rPr>
            <w:rFonts w:cs="Times New Roman"/>
            <w:sz w:val="22"/>
          </w:rPr>
          <w:tab/>
        </w:r>
        <w:r w:rsidR="002745A8" w:rsidRPr="00D9348B">
          <w:rPr>
            <w:rStyle w:val="Hyperlink"/>
          </w:rPr>
          <w:t>Explanation and justifications for recalculating Energy, Agriculture and Waste water</w:t>
        </w:r>
        <w:r w:rsidR="00CF4043" w:rsidRPr="00D9348B">
          <w:rPr>
            <w:rStyle w:val="Hyperlink"/>
          </w:rPr>
          <w:t> </w:t>
        </w:r>
        <w:r w:rsidR="002745A8" w:rsidRPr="00D9348B">
          <w:rPr>
            <w:rStyle w:val="Hyperlink"/>
          </w:rPr>
          <w:t>sectors</w:t>
        </w:r>
        <w:r w:rsidR="002745A8" w:rsidRPr="00D9348B">
          <w:rPr>
            <w:webHidden/>
          </w:rPr>
          <w:tab/>
        </w:r>
        <w:r w:rsidR="002745A8" w:rsidRPr="00D9348B">
          <w:rPr>
            <w:webHidden/>
          </w:rPr>
          <w:fldChar w:fldCharType="begin"/>
        </w:r>
        <w:r w:rsidR="002745A8" w:rsidRPr="00D9348B">
          <w:rPr>
            <w:webHidden/>
          </w:rPr>
          <w:instrText xml:space="preserve"> PAGEREF _Toc36224700 \h </w:instrText>
        </w:r>
        <w:r w:rsidR="002745A8" w:rsidRPr="00D9348B">
          <w:rPr>
            <w:webHidden/>
          </w:rPr>
        </w:r>
        <w:r w:rsidR="002745A8" w:rsidRPr="00D9348B">
          <w:rPr>
            <w:webHidden/>
          </w:rPr>
          <w:fldChar w:fldCharType="separate"/>
        </w:r>
        <w:r w:rsidR="00950F0A">
          <w:rPr>
            <w:webHidden/>
          </w:rPr>
          <w:t>430</w:t>
        </w:r>
        <w:r w:rsidR="002745A8" w:rsidRPr="00D9348B">
          <w:rPr>
            <w:webHidden/>
          </w:rPr>
          <w:fldChar w:fldCharType="end"/>
        </w:r>
      </w:hyperlink>
    </w:p>
    <w:p w14:paraId="61B22C09" w14:textId="3421EFFA" w:rsidR="002745A8" w:rsidRPr="00D9348B" w:rsidRDefault="00DA6C03">
      <w:pPr>
        <w:pStyle w:val="TableofFigures"/>
        <w:rPr>
          <w:rFonts w:cs="Times New Roman"/>
          <w:sz w:val="22"/>
        </w:rPr>
      </w:pPr>
      <w:hyperlink w:anchor="_Toc36224701" w:history="1">
        <w:r w:rsidR="002745A8" w:rsidRPr="00D9348B">
          <w:rPr>
            <w:rStyle w:val="Hyperlink"/>
          </w:rPr>
          <w:t>Table 10.1.11</w:t>
        </w:r>
        <w:r w:rsidR="002745A8" w:rsidRPr="00D9348B">
          <w:rPr>
            <w:rFonts w:cs="Times New Roman"/>
            <w:sz w:val="22"/>
          </w:rPr>
          <w:tab/>
        </w:r>
        <w:r w:rsidR="002745A8" w:rsidRPr="00D9348B">
          <w:rPr>
            <w:rStyle w:val="Hyperlink"/>
          </w:rPr>
          <w:t>Explanations and justifications for recalculations of New Zealand’s previous Kyoto Protocol estimates</w:t>
        </w:r>
        <w:r w:rsidR="002745A8" w:rsidRPr="00D9348B">
          <w:rPr>
            <w:webHidden/>
          </w:rPr>
          <w:tab/>
        </w:r>
        <w:r w:rsidR="002745A8" w:rsidRPr="00D9348B">
          <w:rPr>
            <w:webHidden/>
          </w:rPr>
          <w:fldChar w:fldCharType="begin"/>
        </w:r>
        <w:r w:rsidR="002745A8" w:rsidRPr="00D9348B">
          <w:rPr>
            <w:webHidden/>
          </w:rPr>
          <w:instrText xml:space="preserve"> PAGEREF _Toc36224701 \h </w:instrText>
        </w:r>
        <w:r w:rsidR="002745A8" w:rsidRPr="00D9348B">
          <w:rPr>
            <w:webHidden/>
          </w:rPr>
        </w:r>
        <w:r w:rsidR="002745A8" w:rsidRPr="00D9348B">
          <w:rPr>
            <w:webHidden/>
          </w:rPr>
          <w:fldChar w:fldCharType="separate"/>
        </w:r>
        <w:r w:rsidR="00950F0A">
          <w:rPr>
            <w:webHidden/>
          </w:rPr>
          <w:t>432</w:t>
        </w:r>
        <w:r w:rsidR="002745A8" w:rsidRPr="00D9348B">
          <w:rPr>
            <w:webHidden/>
          </w:rPr>
          <w:fldChar w:fldCharType="end"/>
        </w:r>
      </w:hyperlink>
    </w:p>
    <w:p w14:paraId="0B504418" w14:textId="109A1769" w:rsidR="002745A8" w:rsidRPr="00D9348B" w:rsidRDefault="00DA6C03">
      <w:pPr>
        <w:pStyle w:val="TableofFigures"/>
        <w:rPr>
          <w:rFonts w:cs="Times New Roman"/>
          <w:sz w:val="22"/>
        </w:rPr>
      </w:pPr>
      <w:hyperlink w:anchor="_Toc36224702" w:history="1">
        <w:r w:rsidR="002745A8" w:rsidRPr="00D9348B">
          <w:rPr>
            <w:rStyle w:val="Hyperlink"/>
          </w:rPr>
          <w:t>Table 10.1.12</w:t>
        </w:r>
        <w:r w:rsidR="002745A8" w:rsidRPr="00D9348B">
          <w:rPr>
            <w:rFonts w:cs="Times New Roman"/>
            <w:sz w:val="22"/>
          </w:rPr>
          <w:tab/>
        </w:r>
        <w:r w:rsidR="002745A8" w:rsidRPr="00D9348B">
          <w:rPr>
            <w:rStyle w:val="Hyperlink"/>
          </w:rPr>
          <w:t>Impact of the recalculations of New Zealand’s net emissions under Article 3.3 and Article 3.4 of the Kyoto Protocol in 2017</w:t>
        </w:r>
        <w:r w:rsidR="002745A8" w:rsidRPr="00D9348B">
          <w:rPr>
            <w:webHidden/>
          </w:rPr>
          <w:tab/>
        </w:r>
        <w:r w:rsidR="002745A8" w:rsidRPr="00D9348B">
          <w:rPr>
            <w:webHidden/>
          </w:rPr>
          <w:fldChar w:fldCharType="begin"/>
        </w:r>
        <w:r w:rsidR="002745A8" w:rsidRPr="00D9348B">
          <w:rPr>
            <w:webHidden/>
          </w:rPr>
          <w:instrText xml:space="preserve"> PAGEREF _Toc36224702 \h </w:instrText>
        </w:r>
        <w:r w:rsidR="002745A8" w:rsidRPr="00D9348B">
          <w:rPr>
            <w:webHidden/>
          </w:rPr>
        </w:r>
        <w:r w:rsidR="002745A8" w:rsidRPr="00D9348B">
          <w:rPr>
            <w:webHidden/>
          </w:rPr>
          <w:fldChar w:fldCharType="separate"/>
        </w:r>
        <w:r w:rsidR="00950F0A">
          <w:rPr>
            <w:webHidden/>
          </w:rPr>
          <w:t>432</w:t>
        </w:r>
        <w:r w:rsidR="002745A8" w:rsidRPr="00D9348B">
          <w:rPr>
            <w:webHidden/>
          </w:rPr>
          <w:fldChar w:fldCharType="end"/>
        </w:r>
      </w:hyperlink>
    </w:p>
    <w:p w14:paraId="2150F2A2" w14:textId="1A978EE3" w:rsidR="002745A8" w:rsidRPr="00D9348B" w:rsidRDefault="00DA6C03">
      <w:pPr>
        <w:pStyle w:val="TableofFigures"/>
        <w:rPr>
          <w:rFonts w:cs="Times New Roman"/>
          <w:sz w:val="22"/>
        </w:rPr>
      </w:pPr>
      <w:hyperlink w:anchor="_Toc36224703" w:history="1">
        <w:r w:rsidR="002745A8" w:rsidRPr="00D9348B">
          <w:rPr>
            <w:rStyle w:val="Hyperlink"/>
          </w:rPr>
          <w:t>Table 10.1.13</w:t>
        </w:r>
        <w:r w:rsidR="002745A8" w:rsidRPr="00D9348B">
          <w:rPr>
            <w:rFonts w:cs="Times New Roman"/>
            <w:sz w:val="22"/>
          </w:rPr>
          <w:tab/>
        </w:r>
        <w:r w:rsidR="002745A8" w:rsidRPr="00D9348B">
          <w:rPr>
            <w:rStyle w:val="Hyperlink"/>
          </w:rPr>
          <w:t>Recalculations to New Zealand’s 2017 activity data under the Kyoto Protocol</w:t>
        </w:r>
        <w:r w:rsidR="002745A8" w:rsidRPr="00D9348B">
          <w:rPr>
            <w:webHidden/>
          </w:rPr>
          <w:tab/>
        </w:r>
        <w:r w:rsidR="002745A8" w:rsidRPr="00D9348B">
          <w:rPr>
            <w:webHidden/>
          </w:rPr>
          <w:fldChar w:fldCharType="begin"/>
        </w:r>
        <w:r w:rsidR="002745A8" w:rsidRPr="00D9348B">
          <w:rPr>
            <w:webHidden/>
          </w:rPr>
          <w:instrText xml:space="preserve"> PAGEREF _Toc36224703 \h </w:instrText>
        </w:r>
        <w:r w:rsidR="002745A8" w:rsidRPr="00D9348B">
          <w:rPr>
            <w:webHidden/>
          </w:rPr>
        </w:r>
        <w:r w:rsidR="002745A8" w:rsidRPr="00D9348B">
          <w:rPr>
            <w:webHidden/>
          </w:rPr>
          <w:fldChar w:fldCharType="separate"/>
        </w:r>
        <w:r w:rsidR="00950F0A">
          <w:rPr>
            <w:webHidden/>
          </w:rPr>
          <w:t>432</w:t>
        </w:r>
        <w:r w:rsidR="002745A8" w:rsidRPr="00D9348B">
          <w:rPr>
            <w:webHidden/>
          </w:rPr>
          <w:fldChar w:fldCharType="end"/>
        </w:r>
      </w:hyperlink>
    </w:p>
    <w:p w14:paraId="3979073F" w14:textId="4BC0FC57" w:rsidR="002745A8" w:rsidRPr="00D9348B" w:rsidRDefault="00DA6C03">
      <w:pPr>
        <w:pStyle w:val="TableofFigures"/>
        <w:rPr>
          <w:rFonts w:cs="Times New Roman"/>
          <w:sz w:val="22"/>
        </w:rPr>
      </w:pPr>
      <w:hyperlink w:anchor="_Toc36224704" w:history="1">
        <w:r w:rsidR="002745A8" w:rsidRPr="00D9348B">
          <w:rPr>
            <w:rStyle w:val="Hyperlink"/>
          </w:rPr>
          <w:t>Table 10.2.1</w:t>
        </w:r>
        <w:r w:rsidR="002745A8" w:rsidRPr="00D9348B">
          <w:rPr>
            <w:rFonts w:cs="Times New Roman"/>
            <w:sz w:val="22"/>
          </w:rPr>
          <w:tab/>
        </w:r>
        <w:r w:rsidR="002745A8" w:rsidRPr="00D9348B">
          <w:rPr>
            <w:rStyle w:val="Hyperlink"/>
          </w:rPr>
          <w:t>New Zealand’s response to recommendations still relevant as reported in table 3 and table 4 of the 2017 assessment review report for issues raised in earlier reviews</w:t>
        </w:r>
        <w:r w:rsidR="002745A8" w:rsidRPr="00D9348B">
          <w:rPr>
            <w:webHidden/>
          </w:rPr>
          <w:tab/>
        </w:r>
        <w:r w:rsidR="002745A8" w:rsidRPr="00D9348B">
          <w:rPr>
            <w:webHidden/>
          </w:rPr>
          <w:fldChar w:fldCharType="begin"/>
        </w:r>
        <w:r w:rsidR="002745A8" w:rsidRPr="00D9348B">
          <w:rPr>
            <w:webHidden/>
          </w:rPr>
          <w:instrText xml:space="preserve"> PAGEREF _Toc36224704 \h </w:instrText>
        </w:r>
        <w:r w:rsidR="002745A8" w:rsidRPr="00D9348B">
          <w:rPr>
            <w:webHidden/>
          </w:rPr>
        </w:r>
        <w:r w:rsidR="002745A8" w:rsidRPr="00D9348B">
          <w:rPr>
            <w:webHidden/>
          </w:rPr>
          <w:fldChar w:fldCharType="separate"/>
        </w:r>
        <w:r w:rsidR="00950F0A">
          <w:rPr>
            <w:webHidden/>
          </w:rPr>
          <w:t>433</w:t>
        </w:r>
        <w:r w:rsidR="002745A8" w:rsidRPr="00D9348B">
          <w:rPr>
            <w:webHidden/>
          </w:rPr>
          <w:fldChar w:fldCharType="end"/>
        </w:r>
      </w:hyperlink>
    </w:p>
    <w:p w14:paraId="7317BFEB" w14:textId="572A1B80" w:rsidR="002745A8" w:rsidRPr="00D9348B" w:rsidRDefault="00DA6C03">
      <w:pPr>
        <w:pStyle w:val="TableofFigures"/>
        <w:rPr>
          <w:rFonts w:cs="Times New Roman"/>
          <w:sz w:val="22"/>
        </w:rPr>
      </w:pPr>
      <w:hyperlink w:anchor="_Toc36224705" w:history="1">
        <w:r w:rsidR="002745A8" w:rsidRPr="00D9348B">
          <w:rPr>
            <w:rStyle w:val="Hyperlink"/>
          </w:rPr>
          <w:t>Table 10.2.2</w:t>
        </w:r>
        <w:r w:rsidR="002745A8" w:rsidRPr="00D9348B">
          <w:rPr>
            <w:rFonts w:cs="Times New Roman"/>
            <w:sz w:val="22"/>
          </w:rPr>
          <w:tab/>
        </w:r>
        <w:r w:rsidR="002745A8" w:rsidRPr="00D9348B">
          <w:rPr>
            <w:rStyle w:val="Hyperlink"/>
          </w:rPr>
          <w:t>New Zealand’s response to recommendations as reported in table 5 of the 2017 assessment review report from the review of New Zealand’s 2017 inventory submission</w:t>
        </w:r>
        <w:r w:rsidR="002745A8" w:rsidRPr="00D9348B">
          <w:rPr>
            <w:webHidden/>
          </w:rPr>
          <w:tab/>
        </w:r>
        <w:r w:rsidR="002745A8" w:rsidRPr="00D9348B">
          <w:rPr>
            <w:webHidden/>
          </w:rPr>
          <w:fldChar w:fldCharType="begin"/>
        </w:r>
        <w:r w:rsidR="002745A8" w:rsidRPr="00D9348B">
          <w:rPr>
            <w:webHidden/>
          </w:rPr>
          <w:instrText xml:space="preserve"> PAGEREF _Toc36224705 \h </w:instrText>
        </w:r>
        <w:r w:rsidR="002745A8" w:rsidRPr="00D9348B">
          <w:rPr>
            <w:webHidden/>
          </w:rPr>
        </w:r>
        <w:r w:rsidR="002745A8" w:rsidRPr="00D9348B">
          <w:rPr>
            <w:webHidden/>
          </w:rPr>
          <w:fldChar w:fldCharType="separate"/>
        </w:r>
        <w:r w:rsidR="00950F0A">
          <w:rPr>
            <w:webHidden/>
          </w:rPr>
          <w:t>439</w:t>
        </w:r>
        <w:r w:rsidR="002745A8" w:rsidRPr="00D9348B">
          <w:rPr>
            <w:webHidden/>
          </w:rPr>
          <w:fldChar w:fldCharType="end"/>
        </w:r>
      </w:hyperlink>
    </w:p>
    <w:p w14:paraId="712A97E0" w14:textId="15EFC2C3" w:rsidR="002745A8" w:rsidRPr="00D9348B" w:rsidRDefault="00DA6C03">
      <w:pPr>
        <w:pStyle w:val="TableofFigures"/>
        <w:rPr>
          <w:rFonts w:cs="Times New Roman"/>
          <w:sz w:val="22"/>
        </w:rPr>
      </w:pPr>
      <w:hyperlink w:anchor="_Toc36224706" w:history="1">
        <w:r w:rsidR="002745A8" w:rsidRPr="00D9348B">
          <w:rPr>
            <w:rStyle w:val="Hyperlink"/>
          </w:rPr>
          <w:t>Table 11.1.1</w:t>
        </w:r>
        <w:r w:rsidR="002745A8" w:rsidRPr="00D9348B">
          <w:rPr>
            <w:rFonts w:cs="Times New Roman"/>
            <w:sz w:val="22"/>
          </w:rPr>
          <w:tab/>
        </w:r>
        <w:r w:rsidR="002745A8" w:rsidRPr="00D9348B">
          <w:rPr>
            <w:rStyle w:val="Hyperlink"/>
          </w:rPr>
          <w:t>New Zealand’s emissions under Article 3.3 and Article 3.4 of the Kyoto Protocol during the second reporting period</w:t>
        </w:r>
        <w:r w:rsidR="002745A8" w:rsidRPr="00D9348B">
          <w:rPr>
            <w:webHidden/>
          </w:rPr>
          <w:tab/>
        </w:r>
        <w:r w:rsidR="002745A8" w:rsidRPr="00D9348B">
          <w:rPr>
            <w:webHidden/>
          </w:rPr>
          <w:fldChar w:fldCharType="begin"/>
        </w:r>
        <w:r w:rsidR="002745A8" w:rsidRPr="00D9348B">
          <w:rPr>
            <w:webHidden/>
          </w:rPr>
          <w:instrText xml:space="preserve"> PAGEREF _Toc36224706 \h </w:instrText>
        </w:r>
        <w:r w:rsidR="002745A8" w:rsidRPr="00D9348B">
          <w:rPr>
            <w:webHidden/>
          </w:rPr>
        </w:r>
        <w:r w:rsidR="002745A8" w:rsidRPr="00D9348B">
          <w:rPr>
            <w:webHidden/>
          </w:rPr>
          <w:fldChar w:fldCharType="separate"/>
        </w:r>
        <w:r w:rsidR="00950F0A">
          <w:rPr>
            <w:webHidden/>
          </w:rPr>
          <w:t>444</w:t>
        </w:r>
        <w:r w:rsidR="002745A8" w:rsidRPr="00D9348B">
          <w:rPr>
            <w:webHidden/>
          </w:rPr>
          <w:fldChar w:fldCharType="end"/>
        </w:r>
      </w:hyperlink>
    </w:p>
    <w:p w14:paraId="0A114FCF" w14:textId="15F2E052" w:rsidR="002745A8" w:rsidRPr="00D9348B" w:rsidRDefault="00DA6C03">
      <w:pPr>
        <w:pStyle w:val="TableofFigures"/>
        <w:rPr>
          <w:rFonts w:cs="Times New Roman"/>
          <w:sz w:val="22"/>
        </w:rPr>
      </w:pPr>
      <w:hyperlink w:anchor="_Toc36224707" w:history="1">
        <w:r w:rsidR="002745A8" w:rsidRPr="00D9348B">
          <w:rPr>
            <w:rStyle w:val="Hyperlink"/>
          </w:rPr>
          <w:t>Table 11.1.2</w:t>
        </w:r>
        <w:r w:rsidR="002745A8" w:rsidRPr="00D9348B">
          <w:rPr>
            <w:rFonts w:cs="Times New Roman"/>
            <w:sz w:val="22"/>
          </w:rPr>
          <w:tab/>
        </w:r>
        <w:r w:rsidR="002745A8" w:rsidRPr="00D9348B">
          <w:rPr>
            <w:rStyle w:val="Hyperlink"/>
          </w:rPr>
          <w:t>New Zealand’s emissions for the second commitment period of the Kyoto Protocol by greenhouse gas source category</w:t>
        </w:r>
        <w:r w:rsidR="002745A8" w:rsidRPr="00D9348B">
          <w:rPr>
            <w:webHidden/>
          </w:rPr>
          <w:tab/>
        </w:r>
        <w:r w:rsidR="002745A8" w:rsidRPr="00D9348B">
          <w:rPr>
            <w:webHidden/>
          </w:rPr>
          <w:fldChar w:fldCharType="begin"/>
        </w:r>
        <w:r w:rsidR="002745A8" w:rsidRPr="00D9348B">
          <w:rPr>
            <w:webHidden/>
          </w:rPr>
          <w:instrText xml:space="preserve"> PAGEREF _Toc36224707 \h </w:instrText>
        </w:r>
        <w:r w:rsidR="002745A8" w:rsidRPr="00D9348B">
          <w:rPr>
            <w:webHidden/>
          </w:rPr>
        </w:r>
        <w:r w:rsidR="002745A8" w:rsidRPr="00D9348B">
          <w:rPr>
            <w:webHidden/>
          </w:rPr>
          <w:fldChar w:fldCharType="separate"/>
        </w:r>
        <w:r w:rsidR="00950F0A">
          <w:rPr>
            <w:webHidden/>
          </w:rPr>
          <w:t>446</w:t>
        </w:r>
        <w:r w:rsidR="002745A8" w:rsidRPr="00D9348B">
          <w:rPr>
            <w:webHidden/>
          </w:rPr>
          <w:fldChar w:fldCharType="end"/>
        </w:r>
      </w:hyperlink>
    </w:p>
    <w:p w14:paraId="552F6D2C" w14:textId="118DD274" w:rsidR="002745A8" w:rsidRPr="00D9348B" w:rsidRDefault="00DA6C03">
      <w:pPr>
        <w:pStyle w:val="TableofFigures"/>
        <w:rPr>
          <w:rFonts w:cs="Times New Roman"/>
          <w:sz w:val="22"/>
        </w:rPr>
      </w:pPr>
      <w:hyperlink w:anchor="_Toc36224708" w:history="1">
        <w:r w:rsidR="002745A8" w:rsidRPr="00D9348B">
          <w:rPr>
            <w:rStyle w:val="Hyperlink"/>
          </w:rPr>
          <w:t>Table 11.1.3</w:t>
        </w:r>
        <w:r w:rsidR="002745A8" w:rsidRPr="00D9348B">
          <w:rPr>
            <w:rFonts w:cs="Times New Roman"/>
            <w:sz w:val="22"/>
          </w:rPr>
          <w:tab/>
        </w:r>
        <w:r w:rsidR="002745A8" w:rsidRPr="00D9348B">
          <w:rPr>
            <w:rStyle w:val="Hyperlink"/>
          </w:rPr>
          <w:t>Parameters defining Forest land in New Zealand</w:t>
        </w:r>
        <w:r w:rsidR="002745A8" w:rsidRPr="00D9348B">
          <w:rPr>
            <w:webHidden/>
          </w:rPr>
          <w:tab/>
        </w:r>
        <w:r w:rsidR="002745A8" w:rsidRPr="00D9348B">
          <w:rPr>
            <w:webHidden/>
          </w:rPr>
          <w:fldChar w:fldCharType="begin"/>
        </w:r>
        <w:r w:rsidR="002745A8" w:rsidRPr="00D9348B">
          <w:rPr>
            <w:webHidden/>
          </w:rPr>
          <w:instrText xml:space="preserve"> PAGEREF _Toc36224708 \h </w:instrText>
        </w:r>
        <w:r w:rsidR="002745A8" w:rsidRPr="00D9348B">
          <w:rPr>
            <w:webHidden/>
          </w:rPr>
        </w:r>
        <w:r w:rsidR="002745A8" w:rsidRPr="00D9348B">
          <w:rPr>
            <w:webHidden/>
          </w:rPr>
          <w:fldChar w:fldCharType="separate"/>
        </w:r>
        <w:r w:rsidR="00950F0A">
          <w:rPr>
            <w:webHidden/>
          </w:rPr>
          <w:t>446</w:t>
        </w:r>
        <w:r w:rsidR="002745A8" w:rsidRPr="00D9348B">
          <w:rPr>
            <w:webHidden/>
          </w:rPr>
          <w:fldChar w:fldCharType="end"/>
        </w:r>
      </w:hyperlink>
    </w:p>
    <w:p w14:paraId="177C1AF0" w14:textId="763B04BE" w:rsidR="002745A8" w:rsidRPr="00D9348B" w:rsidRDefault="00DA6C03">
      <w:pPr>
        <w:pStyle w:val="TableofFigures"/>
        <w:rPr>
          <w:rFonts w:cs="Times New Roman"/>
          <w:sz w:val="22"/>
        </w:rPr>
      </w:pPr>
      <w:hyperlink w:anchor="_Toc36224709" w:history="1">
        <w:r w:rsidR="002745A8" w:rsidRPr="00D9348B">
          <w:rPr>
            <w:rStyle w:val="Hyperlink"/>
          </w:rPr>
          <w:t>Table 11.2.1</w:t>
        </w:r>
        <w:r w:rsidR="002745A8" w:rsidRPr="00D9348B">
          <w:rPr>
            <w:rFonts w:cs="Times New Roman"/>
            <w:sz w:val="22"/>
          </w:rPr>
          <w:tab/>
        </w:r>
        <w:r w:rsidR="002745A8" w:rsidRPr="00D9348B">
          <w:rPr>
            <w:rStyle w:val="Hyperlink"/>
          </w:rPr>
          <w:t>Relationship between mapped land-use changes and activities reported under Article 3.3 and Article 3.4</w:t>
        </w:r>
        <w:r w:rsidR="002745A8" w:rsidRPr="00D9348B">
          <w:rPr>
            <w:webHidden/>
          </w:rPr>
          <w:tab/>
        </w:r>
        <w:r w:rsidR="002745A8" w:rsidRPr="00D9348B">
          <w:rPr>
            <w:webHidden/>
          </w:rPr>
          <w:fldChar w:fldCharType="begin"/>
        </w:r>
        <w:r w:rsidR="002745A8" w:rsidRPr="00D9348B">
          <w:rPr>
            <w:webHidden/>
          </w:rPr>
          <w:instrText xml:space="preserve"> PAGEREF _Toc36224709 \h </w:instrText>
        </w:r>
        <w:r w:rsidR="002745A8" w:rsidRPr="00D9348B">
          <w:rPr>
            <w:webHidden/>
          </w:rPr>
        </w:r>
        <w:r w:rsidR="002745A8" w:rsidRPr="00D9348B">
          <w:rPr>
            <w:webHidden/>
          </w:rPr>
          <w:fldChar w:fldCharType="separate"/>
        </w:r>
        <w:r w:rsidR="00950F0A">
          <w:rPr>
            <w:webHidden/>
          </w:rPr>
          <w:t>448</w:t>
        </w:r>
        <w:r w:rsidR="002745A8" w:rsidRPr="00D9348B">
          <w:rPr>
            <w:webHidden/>
          </w:rPr>
          <w:fldChar w:fldCharType="end"/>
        </w:r>
      </w:hyperlink>
    </w:p>
    <w:p w14:paraId="0F221686" w14:textId="2C81766C" w:rsidR="002745A8" w:rsidRPr="00D9348B" w:rsidRDefault="00DA6C03">
      <w:pPr>
        <w:pStyle w:val="TableofFigures"/>
        <w:rPr>
          <w:rFonts w:cs="Times New Roman"/>
          <w:sz w:val="22"/>
        </w:rPr>
      </w:pPr>
      <w:hyperlink w:anchor="_Toc36224710" w:history="1">
        <w:r w:rsidR="002745A8" w:rsidRPr="00D9348B">
          <w:rPr>
            <w:rStyle w:val="Hyperlink"/>
          </w:rPr>
          <w:t>Table 11.3.1</w:t>
        </w:r>
        <w:r w:rsidR="002745A8" w:rsidRPr="00D9348B">
          <w:rPr>
            <w:rFonts w:cs="Times New Roman"/>
            <w:sz w:val="22"/>
          </w:rPr>
          <w:tab/>
        </w:r>
        <w:r w:rsidR="002745A8" w:rsidRPr="00D9348B">
          <w:rPr>
            <w:rStyle w:val="Hyperlink"/>
          </w:rPr>
          <w:t>New Zealand’s estimated annual area under Afforestation and reforestation</w:t>
        </w:r>
        <w:r w:rsidR="002745A8" w:rsidRPr="00D9348B">
          <w:rPr>
            <w:rStyle w:val="Hyperlink"/>
            <w:vertAlign w:val="subscript"/>
          </w:rPr>
          <w:t xml:space="preserve"> </w:t>
        </w:r>
        <w:r w:rsidR="002745A8" w:rsidRPr="00D9348B">
          <w:rPr>
            <w:rStyle w:val="Hyperlink"/>
          </w:rPr>
          <w:t>from 1990 to 2018</w:t>
        </w:r>
        <w:r w:rsidR="002745A8" w:rsidRPr="00D9348B">
          <w:rPr>
            <w:webHidden/>
          </w:rPr>
          <w:tab/>
        </w:r>
        <w:r w:rsidR="002745A8" w:rsidRPr="00D9348B">
          <w:rPr>
            <w:webHidden/>
          </w:rPr>
          <w:fldChar w:fldCharType="begin"/>
        </w:r>
        <w:r w:rsidR="002745A8" w:rsidRPr="00D9348B">
          <w:rPr>
            <w:webHidden/>
          </w:rPr>
          <w:instrText xml:space="preserve"> PAGEREF _Toc36224710 \h </w:instrText>
        </w:r>
        <w:r w:rsidR="002745A8" w:rsidRPr="00D9348B">
          <w:rPr>
            <w:webHidden/>
          </w:rPr>
        </w:r>
        <w:r w:rsidR="002745A8" w:rsidRPr="00D9348B">
          <w:rPr>
            <w:webHidden/>
          </w:rPr>
          <w:fldChar w:fldCharType="separate"/>
        </w:r>
        <w:r w:rsidR="00950F0A">
          <w:rPr>
            <w:webHidden/>
          </w:rPr>
          <w:t>450</w:t>
        </w:r>
        <w:r w:rsidR="002745A8" w:rsidRPr="00D9348B">
          <w:rPr>
            <w:webHidden/>
          </w:rPr>
          <w:fldChar w:fldCharType="end"/>
        </w:r>
      </w:hyperlink>
    </w:p>
    <w:p w14:paraId="29C6C209" w14:textId="5145D9FF" w:rsidR="002745A8" w:rsidRPr="00D9348B" w:rsidRDefault="00DA6C03">
      <w:pPr>
        <w:pStyle w:val="TableofFigures"/>
        <w:rPr>
          <w:rFonts w:cs="Times New Roman"/>
          <w:sz w:val="22"/>
        </w:rPr>
      </w:pPr>
      <w:hyperlink w:anchor="_Toc36224711" w:history="1">
        <w:r w:rsidR="002745A8" w:rsidRPr="00D9348B">
          <w:rPr>
            <w:rStyle w:val="Hyperlink"/>
          </w:rPr>
          <w:t>Table 11.3.2</w:t>
        </w:r>
        <w:r w:rsidR="002745A8" w:rsidRPr="00D9348B">
          <w:rPr>
            <w:rFonts w:cs="Times New Roman"/>
            <w:sz w:val="22"/>
          </w:rPr>
          <w:tab/>
        </w:r>
        <w:r w:rsidR="002745A8" w:rsidRPr="00D9348B">
          <w:rPr>
            <w:rStyle w:val="Hyperlink"/>
          </w:rPr>
          <w:t>New Zealand’s estimated annual area under Afforestation and reforestation</w:t>
        </w:r>
        <w:r w:rsidR="002745A8" w:rsidRPr="00D9348B">
          <w:rPr>
            <w:rStyle w:val="Hyperlink"/>
            <w:vertAlign w:val="subscript"/>
          </w:rPr>
          <w:t xml:space="preserve"> </w:t>
        </w:r>
        <w:r w:rsidR="002745A8" w:rsidRPr="00D9348B">
          <w:rPr>
            <w:rStyle w:val="Hyperlink"/>
          </w:rPr>
          <w:t>from 2013 to 2018</w:t>
        </w:r>
        <w:r w:rsidR="002745A8" w:rsidRPr="00D9348B">
          <w:rPr>
            <w:webHidden/>
          </w:rPr>
          <w:tab/>
        </w:r>
        <w:r w:rsidR="002745A8" w:rsidRPr="00D9348B">
          <w:rPr>
            <w:webHidden/>
          </w:rPr>
          <w:fldChar w:fldCharType="begin"/>
        </w:r>
        <w:r w:rsidR="002745A8" w:rsidRPr="00D9348B">
          <w:rPr>
            <w:webHidden/>
          </w:rPr>
          <w:instrText xml:space="preserve"> PAGEREF _Toc36224711 \h </w:instrText>
        </w:r>
        <w:r w:rsidR="002745A8" w:rsidRPr="00D9348B">
          <w:rPr>
            <w:webHidden/>
          </w:rPr>
        </w:r>
        <w:r w:rsidR="002745A8" w:rsidRPr="00D9348B">
          <w:rPr>
            <w:webHidden/>
          </w:rPr>
          <w:fldChar w:fldCharType="separate"/>
        </w:r>
        <w:r w:rsidR="00950F0A">
          <w:rPr>
            <w:webHidden/>
          </w:rPr>
          <w:t>451</w:t>
        </w:r>
        <w:r w:rsidR="002745A8" w:rsidRPr="00D9348B">
          <w:rPr>
            <w:webHidden/>
          </w:rPr>
          <w:fldChar w:fldCharType="end"/>
        </w:r>
      </w:hyperlink>
    </w:p>
    <w:p w14:paraId="490EA551" w14:textId="57397927" w:rsidR="002745A8" w:rsidRPr="00D9348B" w:rsidRDefault="00DA6C03">
      <w:pPr>
        <w:pStyle w:val="TableofFigures"/>
        <w:rPr>
          <w:rFonts w:cs="Times New Roman"/>
          <w:sz w:val="22"/>
        </w:rPr>
      </w:pPr>
      <w:hyperlink w:anchor="_Toc36224712" w:history="1">
        <w:r w:rsidR="002745A8" w:rsidRPr="00D9348B">
          <w:rPr>
            <w:rStyle w:val="Hyperlink"/>
          </w:rPr>
          <w:t>Table 11.3.3</w:t>
        </w:r>
        <w:r w:rsidR="002745A8" w:rsidRPr="00D9348B">
          <w:rPr>
            <w:rFonts w:cs="Times New Roman"/>
            <w:sz w:val="22"/>
          </w:rPr>
          <w:tab/>
        </w:r>
        <w:r w:rsidR="002745A8" w:rsidRPr="00D9348B">
          <w:rPr>
            <w:rStyle w:val="Hyperlink"/>
          </w:rPr>
          <w:t>New Zealand’s Afforestation and reforestation reconciliation between Kyoto Protocol and Intergovernmental Panel on Climate Change Convention</w:t>
        </w:r>
        <w:r w:rsidR="00213A7A">
          <w:rPr>
            <w:rStyle w:val="Hyperlink"/>
          </w:rPr>
          <w:t xml:space="preserve"> </w:t>
        </w:r>
        <w:r w:rsidR="002745A8" w:rsidRPr="00D9348B">
          <w:rPr>
            <w:rStyle w:val="Hyperlink"/>
          </w:rPr>
          <w:t>reporting from 2008 to 2018</w:t>
        </w:r>
        <w:r w:rsidR="002745A8" w:rsidRPr="00D9348B">
          <w:rPr>
            <w:webHidden/>
          </w:rPr>
          <w:tab/>
        </w:r>
        <w:r w:rsidR="002745A8" w:rsidRPr="00D9348B">
          <w:rPr>
            <w:webHidden/>
          </w:rPr>
          <w:fldChar w:fldCharType="begin"/>
        </w:r>
        <w:r w:rsidR="002745A8" w:rsidRPr="00D9348B">
          <w:rPr>
            <w:webHidden/>
          </w:rPr>
          <w:instrText xml:space="preserve"> PAGEREF _Toc36224712 \h </w:instrText>
        </w:r>
        <w:r w:rsidR="002745A8" w:rsidRPr="00D9348B">
          <w:rPr>
            <w:webHidden/>
          </w:rPr>
        </w:r>
        <w:r w:rsidR="002745A8" w:rsidRPr="00D9348B">
          <w:rPr>
            <w:webHidden/>
          </w:rPr>
          <w:fldChar w:fldCharType="separate"/>
        </w:r>
        <w:r w:rsidR="00950F0A">
          <w:rPr>
            <w:webHidden/>
          </w:rPr>
          <w:t>452</w:t>
        </w:r>
        <w:r w:rsidR="002745A8" w:rsidRPr="00D9348B">
          <w:rPr>
            <w:webHidden/>
          </w:rPr>
          <w:fldChar w:fldCharType="end"/>
        </w:r>
      </w:hyperlink>
    </w:p>
    <w:p w14:paraId="51E8EA4B" w14:textId="48C37558" w:rsidR="002745A8" w:rsidRPr="00D9348B" w:rsidRDefault="00DA6C03">
      <w:pPr>
        <w:pStyle w:val="TableofFigures"/>
        <w:rPr>
          <w:rFonts w:cs="Times New Roman"/>
          <w:sz w:val="22"/>
        </w:rPr>
      </w:pPr>
      <w:hyperlink w:anchor="_Toc36224713" w:history="1">
        <w:r w:rsidR="002745A8" w:rsidRPr="00D9348B">
          <w:rPr>
            <w:rStyle w:val="Hyperlink"/>
          </w:rPr>
          <w:t>Table 11.3.4</w:t>
        </w:r>
        <w:r w:rsidR="002745A8" w:rsidRPr="00D9348B">
          <w:rPr>
            <w:rFonts w:cs="Times New Roman"/>
            <w:sz w:val="22"/>
          </w:rPr>
          <w:tab/>
        </w:r>
        <w:r w:rsidR="002745A8" w:rsidRPr="00D9348B">
          <w:rPr>
            <w:rStyle w:val="Hyperlink"/>
          </w:rPr>
          <w:t>Area of New Zealand subject to deforestation</w:t>
        </w:r>
        <w:r w:rsidR="002745A8" w:rsidRPr="00D9348B">
          <w:rPr>
            <w:webHidden/>
          </w:rPr>
          <w:tab/>
        </w:r>
        <w:r w:rsidR="002745A8" w:rsidRPr="00D9348B">
          <w:rPr>
            <w:webHidden/>
          </w:rPr>
          <w:fldChar w:fldCharType="begin"/>
        </w:r>
        <w:r w:rsidR="002745A8" w:rsidRPr="00D9348B">
          <w:rPr>
            <w:webHidden/>
          </w:rPr>
          <w:instrText xml:space="preserve"> PAGEREF _Toc36224713 \h </w:instrText>
        </w:r>
        <w:r w:rsidR="002745A8" w:rsidRPr="00D9348B">
          <w:rPr>
            <w:webHidden/>
          </w:rPr>
        </w:r>
        <w:r w:rsidR="002745A8" w:rsidRPr="00D9348B">
          <w:rPr>
            <w:webHidden/>
          </w:rPr>
          <w:fldChar w:fldCharType="separate"/>
        </w:r>
        <w:r w:rsidR="00950F0A">
          <w:rPr>
            <w:webHidden/>
          </w:rPr>
          <w:t>454</w:t>
        </w:r>
        <w:r w:rsidR="002745A8" w:rsidRPr="00D9348B">
          <w:rPr>
            <w:webHidden/>
          </w:rPr>
          <w:fldChar w:fldCharType="end"/>
        </w:r>
      </w:hyperlink>
    </w:p>
    <w:p w14:paraId="6F711F3A" w14:textId="46E30898" w:rsidR="002745A8" w:rsidRPr="00D9348B" w:rsidRDefault="00DA6C03">
      <w:pPr>
        <w:pStyle w:val="TableofFigures"/>
        <w:rPr>
          <w:rFonts w:cs="Times New Roman"/>
          <w:sz w:val="22"/>
        </w:rPr>
      </w:pPr>
      <w:hyperlink w:anchor="_Toc36224714" w:history="1">
        <w:r w:rsidR="002745A8" w:rsidRPr="00D9348B">
          <w:rPr>
            <w:rStyle w:val="Hyperlink"/>
          </w:rPr>
          <w:t>Table 11.3.5</w:t>
        </w:r>
        <w:r w:rsidR="002745A8" w:rsidRPr="00D9348B">
          <w:rPr>
            <w:rFonts w:cs="Times New Roman"/>
            <w:sz w:val="22"/>
          </w:rPr>
          <w:tab/>
        </w:r>
        <w:r w:rsidR="002745A8" w:rsidRPr="00D9348B">
          <w:rPr>
            <w:rStyle w:val="Hyperlink"/>
          </w:rPr>
          <w:t>Carbon equivalent forests (2013–18)</w:t>
        </w:r>
        <w:r w:rsidR="002745A8" w:rsidRPr="00D9348B">
          <w:rPr>
            <w:webHidden/>
          </w:rPr>
          <w:tab/>
        </w:r>
        <w:r w:rsidR="002745A8" w:rsidRPr="00D9348B">
          <w:rPr>
            <w:webHidden/>
          </w:rPr>
          <w:fldChar w:fldCharType="begin"/>
        </w:r>
        <w:r w:rsidR="002745A8" w:rsidRPr="00D9348B">
          <w:rPr>
            <w:webHidden/>
          </w:rPr>
          <w:instrText xml:space="preserve"> PAGEREF _Toc36224714 \h </w:instrText>
        </w:r>
        <w:r w:rsidR="002745A8" w:rsidRPr="00D9348B">
          <w:rPr>
            <w:webHidden/>
          </w:rPr>
        </w:r>
        <w:r w:rsidR="002745A8" w:rsidRPr="00D9348B">
          <w:rPr>
            <w:webHidden/>
          </w:rPr>
          <w:fldChar w:fldCharType="separate"/>
        </w:r>
        <w:r w:rsidR="00950F0A">
          <w:rPr>
            <w:webHidden/>
          </w:rPr>
          <w:t>457</w:t>
        </w:r>
        <w:r w:rsidR="002745A8" w:rsidRPr="00D9348B">
          <w:rPr>
            <w:webHidden/>
          </w:rPr>
          <w:fldChar w:fldCharType="end"/>
        </w:r>
      </w:hyperlink>
    </w:p>
    <w:p w14:paraId="61C7E80F" w14:textId="0BA7B48A" w:rsidR="002745A8" w:rsidRPr="00D9348B" w:rsidRDefault="00DA6C03">
      <w:pPr>
        <w:pStyle w:val="TableofFigures"/>
        <w:rPr>
          <w:rFonts w:cs="Times New Roman"/>
          <w:sz w:val="22"/>
        </w:rPr>
      </w:pPr>
      <w:hyperlink w:anchor="_Toc36224715" w:history="1">
        <w:r w:rsidR="002745A8" w:rsidRPr="00D9348B">
          <w:rPr>
            <w:rStyle w:val="Hyperlink"/>
          </w:rPr>
          <w:t xml:space="preserve">Table 11.4.1 </w:t>
        </w:r>
        <w:r w:rsidR="002745A8" w:rsidRPr="00D9348B">
          <w:rPr>
            <w:rFonts w:cs="Times New Roman"/>
            <w:sz w:val="22"/>
          </w:rPr>
          <w:tab/>
        </w:r>
        <w:r w:rsidR="002745A8" w:rsidRPr="00D9348B">
          <w:rPr>
            <w:rStyle w:val="Hyperlink"/>
          </w:rPr>
          <w:t>Uncertainty in New Zealand’s estimates for Afforestation and reforestation, Deforestation and Forest management in 2018</w:t>
        </w:r>
        <w:r w:rsidR="002745A8" w:rsidRPr="00D9348B">
          <w:rPr>
            <w:webHidden/>
          </w:rPr>
          <w:tab/>
        </w:r>
        <w:r w:rsidR="002745A8" w:rsidRPr="00D9348B">
          <w:rPr>
            <w:webHidden/>
          </w:rPr>
          <w:fldChar w:fldCharType="begin"/>
        </w:r>
        <w:r w:rsidR="002745A8" w:rsidRPr="00D9348B">
          <w:rPr>
            <w:webHidden/>
          </w:rPr>
          <w:instrText xml:space="preserve"> PAGEREF _Toc36224715 \h </w:instrText>
        </w:r>
        <w:r w:rsidR="002745A8" w:rsidRPr="00D9348B">
          <w:rPr>
            <w:webHidden/>
          </w:rPr>
        </w:r>
        <w:r w:rsidR="002745A8" w:rsidRPr="00D9348B">
          <w:rPr>
            <w:webHidden/>
          </w:rPr>
          <w:fldChar w:fldCharType="separate"/>
        </w:r>
        <w:r w:rsidR="00950F0A">
          <w:rPr>
            <w:webHidden/>
          </w:rPr>
          <w:t>462</w:t>
        </w:r>
        <w:r w:rsidR="002745A8" w:rsidRPr="00D9348B">
          <w:rPr>
            <w:webHidden/>
          </w:rPr>
          <w:fldChar w:fldCharType="end"/>
        </w:r>
      </w:hyperlink>
    </w:p>
    <w:p w14:paraId="4D1E682E" w14:textId="6B4E7E8D" w:rsidR="002745A8" w:rsidRPr="00D9348B" w:rsidRDefault="00DA6C03">
      <w:pPr>
        <w:pStyle w:val="TableofFigures"/>
        <w:rPr>
          <w:rFonts w:cs="Times New Roman"/>
          <w:sz w:val="22"/>
        </w:rPr>
      </w:pPr>
      <w:hyperlink w:anchor="_Toc36224716" w:history="1">
        <w:r w:rsidR="002745A8" w:rsidRPr="00D9348B">
          <w:rPr>
            <w:rStyle w:val="Hyperlink"/>
          </w:rPr>
          <w:t xml:space="preserve">Table 11.4.2 </w:t>
        </w:r>
        <w:r w:rsidR="002745A8" w:rsidRPr="00D9348B">
          <w:rPr>
            <w:rFonts w:cs="Times New Roman"/>
            <w:sz w:val="22"/>
          </w:rPr>
          <w:tab/>
        </w:r>
        <w:r w:rsidR="002745A8" w:rsidRPr="00D9348B">
          <w:rPr>
            <w:rStyle w:val="Hyperlink"/>
          </w:rPr>
          <w:t>Total uncertainty in New Zealand’s estimates for Afforestation and reforestation, Deforestation and Forest management in 2018</w:t>
        </w:r>
        <w:r w:rsidR="002745A8" w:rsidRPr="00D9348B">
          <w:rPr>
            <w:webHidden/>
          </w:rPr>
          <w:tab/>
        </w:r>
        <w:r w:rsidR="002745A8" w:rsidRPr="00D9348B">
          <w:rPr>
            <w:webHidden/>
          </w:rPr>
          <w:fldChar w:fldCharType="begin"/>
        </w:r>
        <w:r w:rsidR="002745A8" w:rsidRPr="00D9348B">
          <w:rPr>
            <w:webHidden/>
          </w:rPr>
          <w:instrText xml:space="preserve"> PAGEREF _Toc36224716 \h </w:instrText>
        </w:r>
        <w:r w:rsidR="002745A8" w:rsidRPr="00D9348B">
          <w:rPr>
            <w:webHidden/>
          </w:rPr>
        </w:r>
        <w:r w:rsidR="002745A8" w:rsidRPr="00D9348B">
          <w:rPr>
            <w:webHidden/>
          </w:rPr>
          <w:fldChar w:fldCharType="separate"/>
        </w:r>
        <w:r w:rsidR="00950F0A">
          <w:rPr>
            <w:webHidden/>
          </w:rPr>
          <w:t>462</w:t>
        </w:r>
        <w:r w:rsidR="002745A8" w:rsidRPr="00D9348B">
          <w:rPr>
            <w:webHidden/>
          </w:rPr>
          <w:fldChar w:fldCharType="end"/>
        </w:r>
      </w:hyperlink>
    </w:p>
    <w:p w14:paraId="228F99A9" w14:textId="1AE02459" w:rsidR="002745A8" w:rsidRPr="00D9348B" w:rsidRDefault="00DA6C03">
      <w:pPr>
        <w:pStyle w:val="TableofFigures"/>
        <w:rPr>
          <w:rFonts w:cs="Times New Roman"/>
          <w:sz w:val="22"/>
        </w:rPr>
      </w:pPr>
      <w:hyperlink w:anchor="_Toc36224717" w:history="1">
        <w:r w:rsidR="002745A8" w:rsidRPr="00D9348B">
          <w:rPr>
            <w:rStyle w:val="Hyperlink"/>
          </w:rPr>
          <w:t>Table 11.4.3</w:t>
        </w:r>
        <w:r w:rsidR="002745A8" w:rsidRPr="00D9348B">
          <w:rPr>
            <w:rFonts w:cs="Times New Roman"/>
            <w:sz w:val="22"/>
          </w:rPr>
          <w:tab/>
        </w:r>
        <w:r w:rsidR="002745A8" w:rsidRPr="00D9348B">
          <w:rPr>
            <w:rStyle w:val="Hyperlink"/>
          </w:rPr>
          <w:t>Recalculations of New Zealand’s 2017 activity data under Article 3.3 and Article 3.4 of the Kyoto Protocol</w:t>
        </w:r>
        <w:r w:rsidR="002745A8" w:rsidRPr="00D9348B">
          <w:rPr>
            <w:webHidden/>
          </w:rPr>
          <w:tab/>
        </w:r>
        <w:r w:rsidR="002745A8" w:rsidRPr="00D9348B">
          <w:rPr>
            <w:webHidden/>
          </w:rPr>
          <w:fldChar w:fldCharType="begin"/>
        </w:r>
        <w:r w:rsidR="002745A8" w:rsidRPr="00D9348B">
          <w:rPr>
            <w:webHidden/>
          </w:rPr>
          <w:instrText xml:space="preserve"> PAGEREF _Toc36224717 \h </w:instrText>
        </w:r>
        <w:r w:rsidR="002745A8" w:rsidRPr="00D9348B">
          <w:rPr>
            <w:webHidden/>
          </w:rPr>
        </w:r>
        <w:r w:rsidR="002745A8" w:rsidRPr="00D9348B">
          <w:rPr>
            <w:webHidden/>
          </w:rPr>
          <w:fldChar w:fldCharType="separate"/>
        </w:r>
        <w:r w:rsidR="00950F0A">
          <w:rPr>
            <w:webHidden/>
          </w:rPr>
          <w:t>463</w:t>
        </w:r>
        <w:r w:rsidR="002745A8" w:rsidRPr="00D9348B">
          <w:rPr>
            <w:webHidden/>
          </w:rPr>
          <w:fldChar w:fldCharType="end"/>
        </w:r>
      </w:hyperlink>
    </w:p>
    <w:p w14:paraId="7A069FEA" w14:textId="710783D2" w:rsidR="002745A8" w:rsidRPr="00D9348B" w:rsidRDefault="00DA6C03">
      <w:pPr>
        <w:pStyle w:val="TableofFigures"/>
        <w:rPr>
          <w:rFonts w:cs="Times New Roman"/>
          <w:sz w:val="22"/>
        </w:rPr>
      </w:pPr>
      <w:hyperlink w:anchor="_Toc36224718" w:history="1">
        <w:r w:rsidR="002745A8" w:rsidRPr="00D9348B">
          <w:rPr>
            <w:rStyle w:val="Hyperlink"/>
          </w:rPr>
          <w:t>Table 11.4.4</w:t>
        </w:r>
        <w:r w:rsidR="002745A8" w:rsidRPr="00D9348B">
          <w:rPr>
            <w:rFonts w:cs="Times New Roman"/>
            <w:sz w:val="22"/>
          </w:rPr>
          <w:tab/>
        </w:r>
        <w:r w:rsidR="002745A8" w:rsidRPr="00D9348B">
          <w:rPr>
            <w:rStyle w:val="Hyperlink"/>
          </w:rPr>
          <w:t>Recalculations of New Zealand’s total net emissions estimates from 2013 under Article 3.3 and Article 3.4 of the Kyoto Protocol</w:t>
        </w:r>
        <w:r w:rsidR="002745A8" w:rsidRPr="00D9348B">
          <w:rPr>
            <w:webHidden/>
          </w:rPr>
          <w:tab/>
        </w:r>
        <w:r w:rsidR="002745A8" w:rsidRPr="00D9348B">
          <w:rPr>
            <w:webHidden/>
          </w:rPr>
          <w:fldChar w:fldCharType="begin"/>
        </w:r>
        <w:r w:rsidR="002745A8" w:rsidRPr="00D9348B">
          <w:rPr>
            <w:webHidden/>
          </w:rPr>
          <w:instrText xml:space="preserve"> PAGEREF _Toc36224718 \h </w:instrText>
        </w:r>
        <w:r w:rsidR="002745A8" w:rsidRPr="00D9348B">
          <w:rPr>
            <w:webHidden/>
          </w:rPr>
        </w:r>
        <w:r w:rsidR="002745A8" w:rsidRPr="00D9348B">
          <w:rPr>
            <w:webHidden/>
          </w:rPr>
          <w:fldChar w:fldCharType="separate"/>
        </w:r>
        <w:r w:rsidR="00950F0A">
          <w:rPr>
            <w:webHidden/>
          </w:rPr>
          <w:t>464</w:t>
        </w:r>
        <w:r w:rsidR="002745A8" w:rsidRPr="00D9348B">
          <w:rPr>
            <w:webHidden/>
          </w:rPr>
          <w:fldChar w:fldCharType="end"/>
        </w:r>
      </w:hyperlink>
    </w:p>
    <w:p w14:paraId="6B31C4B3" w14:textId="6D150045" w:rsidR="002745A8" w:rsidRPr="00D9348B" w:rsidRDefault="00DA6C03">
      <w:pPr>
        <w:pStyle w:val="TableofFigures"/>
        <w:rPr>
          <w:rFonts w:cs="Times New Roman"/>
          <w:sz w:val="22"/>
        </w:rPr>
      </w:pPr>
      <w:hyperlink w:anchor="_Toc36224719" w:history="1">
        <w:r w:rsidR="002745A8" w:rsidRPr="00D9348B">
          <w:rPr>
            <w:rStyle w:val="Hyperlink"/>
          </w:rPr>
          <w:t xml:space="preserve">Table 11.5.1 </w:t>
        </w:r>
        <w:r w:rsidR="002745A8" w:rsidRPr="00D9348B">
          <w:rPr>
            <w:rFonts w:cs="Times New Roman"/>
            <w:sz w:val="22"/>
          </w:rPr>
          <w:tab/>
        </w:r>
        <w:r w:rsidR="002745A8" w:rsidRPr="00D9348B">
          <w:rPr>
            <w:rStyle w:val="Hyperlink"/>
          </w:rPr>
          <w:t xml:space="preserve">Estimate of land destocked in New Zealand between 2014 and 2016 awaiting a </w:t>
        </w:r>
        <w:r w:rsidR="00766DDA">
          <w:rPr>
            <w:rStyle w:val="Hyperlink"/>
          </w:rPr>
          <w:t>land-use</w:t>
        </w:r>
        <w:r w:rsidR="002745A8" w:rsidRPr="00D9348B">
          <w:rPr>
            <w:rStyle w:val="Hyperlink"/>
          </w:rPr>
          <w:t xml:space="preserve"> determination</w:t>
        </w:r>
        <w:r w:rsidR="002745A8" w:rsidRPr="00D9348B">
          <w:rPr>
            <w:webHidden/>
          </w:rPr>
          <w:tab/>
        </w:r>
        <w:r w:rsidR="002745A8" w:rsidRPr="00D9348B">
          <w:rPr>
            <w:webHidden/>
          </w:rPr>
          <w:fldChar w:fldCharType="begin"/>
        </w:r>
        <w:r w:rsidR="002745A8" w:rsidRPr="00D9348B">
          <w:rPr>
            <w:webHidden/>
          </w:rPr>
          <w:instrText xml:space="preserve"> PAGEREF _Toc36224719 \h </w:instrText>
        </w:r>
        <w:r w:rsidR="002745A8" w:rsidRPr="00D9348B">
          <w:rPr>
            <w:webHidden/>
          </w:rPr>
        </w:r>
        <w:r w:rsidR="002745A8" w:rsidRPr="00D9348B">
          <w:rPr>
            <w:webHidden/>
          </w:rPr>
          <w:fldChar w:fldCharType="separate"/>
        </w:r>
        <w:r w:rsidR="00950F0A">
          <w:rPr>
            <w:webHidden/>
          </w:rPr>
          <w:t>467</w:t>
        </w:r>
        <w:r w:rsidR="002745A8" w:rsidRPr="00D9348B">
          <w:rPr>
            <w:webHidden/>
          </w:rPr>
          <w:fldChar w:fldCharType="end"/>
        </w:r>
      </w:hyperlink>
    </w:p>
    <w:p w14:paraId="6F53E80F" w14:textId="2D18CD29" w:rsidR="002745A8" w:rsidRPr="00D9348B" w:rsidRDefault="00DA6C03">
      <w:pPr>
        <w:pStyle w:val="TableofFigures"/>
        <w:rPr>
          <w:rFonts w:cs="Times New Roman"/>
          <w:sz w:val="22"/>
        </w:rPr>
      </w:pPr>
      <w:hyperlink w:anchor="_Toc36224720" w:history="1">
        <w:r w:rsidR="002745A8" w:rsidRPr="00D9348B">
          <w:rPr>
            <w:rStyle w:val="Hyperlink"/>
          </w:rPr>
          <w:t>Table 12.2.1</w:t>
        </w:r>
        <w:r w:rsidR="002745A8" w:rsidRPr="00D9348B">
          <w:rPr>
            <w:rFonts w:cs="Times New Roman"/>
            <w:sz w:val="22"/>
          </w:rPr>
          <w:tab/>
        </w:r>
        <w:r w:rsidR="002745A8" w:rsidRPr="00D9348B">
          <w:rPr>
            <w:rStyle w:val="Hyperlink"/>
          </w:rPr>
          <w:t>New Zealand’s submission of the standard electronic format</w:t>
        </w:r>
        <w:r w:rsidR="002745A8" w:rsidRPr="00D9348B">
          <w:rPr>
            <w:webHidden/>
          </w:rPr>
          <w:tab/>
        </w:r>
        <w:r w:rsidR="002745A8" w:rsidRPr="00D9348B">
          <w:rPr>
            <w:webHidden/>
          </w:rPr>
          <w:fldChar w:fldCharType="begin"/>
        </w:r>
        <w:r w:rsidR="002745A8" w:rsidRPr="00D9348B">
          <w:rPr>
            <w:webHidden/>
          </w:rPr>
          <w:instrText xml:space="preserve"> PAGEREF _Toc36224720 \h </w:instrText>
        </w:r>
        <w:r w:rsidR="002745A8" w:rsidRPr="00D9348B">
          <w:rPr>
            <w:webHidden/>
          </w:rPr>
        </w:r>
        <w:r w:rsidR="002745A8" w:rsidRPr="00D9348B">
          <w:rPr>
            <w:webHidden/>
          </w:rPr>
          <w:fldChar w:fldCharType="separate"/>
        </w:r>
        <w:r w:rsidR="00950F0A">
          <w:rPr>
            <w:webHidden/>
          </w:rPr>
          <w:t>472</w:t>
        </w:r>
        <w:r w:rsidR="002745A8" w:rsidRPr="00D9348B">
          <w:rPr>
            <w:webHidden/>
          </w:rPr>
          <w:fldChar w:fldCharType="end"/>
        </w:r>
      </w:hyperlink>
    </w:p>
    <w:p w14:paraId="00FA69FC" w14:textId="677065F7" w:rsidR="002745A8" w:rsidRPr="00D9348B" w:rsidRDefault="00DA6C03">
      <w:pPr>
        <w:pStyle w:val="TableofFigures"/>
        <w:rPr>
          <w:rFonts w:cs="Times New Roman"/>
          <w:sz w:val="22"/>
        </w:rPr>
      </w:pPr>
      <w:hyperlink w:anchor="_Toc36224721" w:history="1">
        <w:r w:rsidR="002745A8" w:rsidRPr="00D9348B">
          <w:rPr>
            <w:rStyle w:val="Hyperlink"/>
          </w:rPr>
          <w:t>Table 12.3.1</w:t>
        </w:r>
        <w:r w:rsidR="002745A8" w:rsidRPr="00D9348B">
          <w:rPr>
            <w:rFonts w:cs="Times New Roman"/>
            <w:sz w:val="22"/>
          </w:rPr>
          <w:tab/>
        </w:r>
        <w:r w:rsidR="002745A8" w:rsidRPr="00D9348B">
          <w:rPr>
            <w:rStyle w:val="Hyperlink"/>
          </w:rPr>
          <w:t>Discrepancies and notifications from New Zealand’s national registry</w:t>
        </w:r>
        <w:r w:rsidR="002745A8" w:rsidRPr="00D9348B">
          <w:rPr>
            <w:webHidden/>
          </w:rPr>
          <w:tab/>
        </w:r>
        <w:r w:rsidR="002745A8" w:rsidRPr="00D9348B">
          <w:rPr>
            <w:webHidden/>
          </w:rPr>
          <w:fldChar w:fldCharType="begin"/>
        </w:r>
        <w:r w:rsidR="002745A8" w:rsidRPr="00D9348B">
          <w:rPr>
            <w:webHidden/>
          </w:rPr>
          <w:instrText xml:space="preserve"> PAGEREF _Toc36224721 \h </w:instrText>
        </w:r>
        <w:r w:rsidR="002745A8" w:rsidRPr="00D9348B">
          <w:rPr>
            <w:webHidden/>
          </w:rPr>
        </w:r>
        <w:r w:rsidR="002745A8" w:rsidRPr="00D9348B">
          <w:rPr>
            <w:webHidden/>
          </w:rPr>
          <w:fldChar w:fldCharType="separate"/>
        </w:r>
        <w:r w:rsidR="00950F0A">
          <w:rPr>
            <w:webHidden/>
          </w:rPr>
          <w:t>472</w:t>
        </w:r>
        <w:r w:rsidR="002745A8" w:rsidRPr="00D9348B">
          <w:rPr>
            <w:webHidden/>
          </w:rPr>
          <w:fldChar w:fldCharType="end"/>
        </w:r>
      </w:hyperlink>
    </w:p>
    <w:p w14:paraId="21C096A1" w14:textId="376726E3" w:rsidR="002745A8" w:rsidRPr="00D9348B" w:rsidRDefault="00DA6C03">
      <w:pPr>
        <w:pStyle w:val="TableofFigures"/>
        <w:rPr>
          <w:rFonts w:cs="Times New Roman"/>
          <w:sz w:val="22"/>
        </w:rPr>
      </w:pPr>
      <w:hyperlink w:anchor="_Toc36224722" w:history="1">
        <w:r w:rsidR="002745A8" w:rsidRPr="00D9348B">
          <w:rPr>
            <w:rStyle w:val="Hyperlink"/>
          </w:rPr>
          <w:t>Table 12.4.1</w:t>
        </w:r>
        <w:r w:rsidR="002745A8" w:rsidRPr="00D9348B">
          <w:rPr>
            <w:rFonts w:cs="Times New Roman"/>
            <w:sz w:val="22"/>
          </w:rPr>
          <w:tab/>
        </w:r>
        <w:r w:rsidR="002745A8" w:rsidRPr="00D9348B">
          <w:rPr>
            <w:rStyle w:val="Hyperlink"/>
          </w:rPr>
          <w:t>List of the publicly accessible information in New Zealand’s national registry</w:t>
        </w:r>
        <w:r w:rsidR="002745A8" w:rsidRPr="00D9348B">
          <w:rPr>
            <w:webHidden/>
          </w:rPr>
          <w:tab/>
        </w:r>
        <w:r w:rsidR="002745A8" w:rsidRPr="00D9348B">
          <w:rPr>
            <w:webHidden/>
          </w:rPr>
          <w:fldChar w:fldCharType="begin"/>
        </w:r>
        <w:r w:rsidR="002745A8" w:rsidRPr="00D9348B">
          <w:rPr>
            <w:webHidden/>
          </w:rPr>
          <w:instrText xml:space="preserve"> PAGEREF _Toc36224722 \h </w:instrText>
        </w:r>
        <w:r w:rsidR="002745A8" w:rsidRPr="00D9348B">
          <w:rPr>
            <w:webHidden/>
          </w:rPr>
        </w:r>
        <w:r w:rsidR="002745A8" w:rsidRPr="00D9348B">
          <w:rPr>
            <w:webHidden/>
          </w:rPr>
          <w:fldChar w:fldCharType="separate"/>
        </w:r>
        <w:r w:rsidR="00950F0A">
          <w:rPr>
            <w:webHidden/>
          </w:rPr>
          <w:t>472</w:t>
        </w:r>
        <w:r w:rsidR="002745A8" w:rsidRPr="00D9348B">
          <w:rPr>
            <w:webHidden/>
          </w:rPr>
          <w:fldChar w:fldCharType="end"/>
        </w:r>
      </w:hyperlink>
    </w:p>
    <w:p w14:paraId="745F6D29" w14:textId="24814DD7" w:rsidR="002745A8" w:rsidRPr="00D9348B" w:rsidRDefault="00DA6C03">
      <w:pPr>
        <w:pStyle w:val="TableofFigures"/>
        <w:rPr>
          <w:rFonts w:cs="Times New Roman"/>
          <w:sz w:val="22"/>
        </w:rPr>
      </w:pPr>
      <w:hyperlink w:anchor="_Toc36224723" w:history="1">
        <w:r w:rsidR="002745A8" w:rsidRPr="00D9348B">
          <w:rPr>
            <w:rStyle w:val="Hyperlink"/>
          </w:rPr>
          <w:t xml:space="preserve">Table 14.1 </w:t>
        </w:r>
        <w:r w:rsidR="002745A8" w:rsidRPr="00D9348B">
          <w:rPr>
            <w:rFonts w:cs="Times New Roman"/>
            <w:sz w:val="22"/>
          </w:rPr>
          <w:tab/>
        </w:r>
        <w:r w:rsidR="002745A8" w:rsidRPr="00D9348B">
          <w:rPr>
            <w:rStyle w:val="Hyperlink"/>
          </w:rPr>
          <w:t>Changes made to New Zealand’s national registry</w:t>
        </w:r>
        <w:r w:rsidR="002745A8" w:rsidRPr="00D9348B">
          <w:rPr>
            <w:webHidden/>
          </w:rPr>
          <w:tab/>
        </w:r>
        <w:r w:rsidR="002745A8" w:rsidRPr="00D9348B">
          <w:rPr>
            <w:webHidden/>
          </w:rPr>
          <w:fldChar w:fldCharType="begin"/>
        </w:r>
        <w:r w:rsidR="002745A8" w:rsidRPr="00D9348B">
          <w:rPr>
            <w:webHidden/>
          </w:rPr>
          <w:instrText xml:space="preserve"> PAGEREF _Toc36224723 \h </w:instrText>
        </w:r>
        <w:r w:rsidR="002745A8" w:rsidRPr="00D9348B">
          <w:rPr>
            <w:webHidden/>
          </w:rPr>
        </w:r>
        <w:r w:rsidR="002745A8" w:rsidRPr="00D9348B">
          <w:rPr>
            <w:webHidden/>
          </w:rPr>
          <w:fldChar w:fldCharType="separate"/>
        </w:r>
        <w:r w:rsidR="00950F0A">
          <w:rPr>
            <w:webHidden/>
          </w:rPr>
          <w:t>480</w:t>
        </w:r>
        <w:r w:rsidR="002745A8" w:rsidRPr="00D9348B">
          <w:rPr>
            <w:webHidden/>
          </w:rPr>
          <w:fldChar w:fldCharType="end"/>
        </w:r>
      </w:hyperlink>
    </w:p>
    <w:p w14:paraId="0BEBBEF6" w14:textId="53CABC50" w:rsidR="002745A8" w:rsidRPr="00D9348B" w:rsidRDefault="00DA6C03">
      <w:pPr>
        <w:pStyle w:val="TableofFigures"/>
        <w:rPr>
          <w:rFonts w:cs="Times New Roman"/>
          <w:sz w:val="22"/>
        </w:rPr>
      </w:pPr>
      <w:hyperlink w:anchor="_Toc36224724" w:history="1">
        <w:r w:rsidR="002745A8" w:rsidRPr="00D9348B">
          <w:rPr>
            <w:rStyle w:val="Hyperlink"/>
          </w:rPr>
          <w:t>Table 14.2</w:t>
        </w:r>
        <w:r w:rsidR="002745A8" w:rsidRPr="00D9348B">
          <w:rPr>
            <w:rFonts w:cs="Times New Roman"/>
            <w:sz w:val="22"/>
          </w:rPr>
          <w:tab/>
        </w:r>
        <w:r w:rsidR="002745A8" w:rsidRPr="00D9348B">
          <w:rPr>
            <w:rStyle w:val="Hyperlink"/>
          </w:rPr>
          <w:t>Previous recommendations for New Zealand from the expert review team</w:t>
        </w:r>
        <w:r w:rsidR="002745A8" w:rsidRPr="00D9348B">
          <w:rPr>
            <w:webHidden/>
          </w:rPr>
          <w:tab/>
        </w:r>
        <w:r w:rsidR="002745A8" w:rsidRPr="00D9348B">
          <w:rPr>
            <w:webHidden/>
          </w:rPr>
          <w:fldChar w:fldCharType="begin"/>
        </w:r>
        <w:r w:rsidR="002745A8" w:rsidRPr="00D9348B">
          <w:rPr>
            <w:webHidden/>
          </w:rPr>
          <w:instrText xml:space="preserve"> PAGEREF _Toc36224724 \h </w:instrText>
        </w:r>
        <w:r w:rsidR="002745A8" w:rsidRPr="00D9348B">
          <w:rPr>
            <w:webHidden/>
          </w:rPr>
        </w:r>
        <w:r w:rsidR="002745A8" w:rsidRPr="00D9348B">
          <w:rPr>
            <w:webHidden/>
          </w:rPr>
          <w:fldChar w:fldCharType="separate"/>
        </w:r>
        <w:r w:rsidR="00950F0A">
          <w:rPr>
            <w:webHidden/>
          </w:rPr>
          <w:t>480</w:t>
        </w:r>
        <w:r w:rsidR="002745A8" w:rsidRPr="00D9348B">
          <w:rPr>
            <w:webHidden/>
          </w:rPr>
          <w:fldChar w:fldCharType="end"/>
        </w:r>
      </w:hyperlink>
    </w:p>
    <w:p w14:paraId="6E09A560" w14:textId="75A49561" w:rsidR="002745A8" w:rsidRPr="00D9348B" w:rsidRDefault="00DA6C03">
      <w:pPr>
        <w:pStyle w:val="TableofFigures"/>
        <w:rPr>
          <w:rFonts w:cs="Times New Roman"/>
          <w:sz w:val="22"/>
        </w:rPr>
      </w:pPr>
      <w:hyperlink w:anchor="_Toc36224725" w:history="1">
        <w:r w:rsidR="002745A8" w:rsidRPr="00D9348B">
          <w:rPr>
            <w:rStyle w:val="Hyperlink"/>
          </w:rPr>
          <w:t xml:space="preserve">Table 14.3 </w:t>
        </w:r>
        <w:r w:rsidR="002745A8" w:rsidRPr="00D9348B">
          <w:rPr>
            <w:rFonts w:cs="Times New Roman"/>
            <w:sz w:val="22"/>
          </w:rPr>
          <w:tab/>
        </w:r>
        <w:r w:rsidR="002745A8" w:rsidRPr="00D9348B">
          <w:rPr>
            <w:rStyle w:val="Hyperlink"/>
          </w:rPr>
          <w:t>Contact details</w:t>
        </w:r>
        <w:r w:rsidR="002745A8" w:rsidRPr="00D9348B">
          <w:rPr>
            <w:webHidden/>
          </w:rPr>
          <w:tab/>
        </w:r>
        <w:r w:rsidR="002745A8" w:rsidRPr="00D9348B">
          <w:rPr>
            <w:webHidden/>
          </w:rPr>
          <w:fldChar w:fldCharType="begin"/>
        </w:r>
        <w:r w:rsidR="002745A8" w:rsidRPr="00D9348B">
          <w:rPr>
            <w:webHidden/>
          </w:rPr>
          <w:instrText xml:space="preserve"> PAGEREF _Toc36224725 \h </w:instrText>
        </w:r>
        <w:r w:rsidR="002745A8" w:rsidRPr="00D9348B">
          <w:rPr>
            <w:webHidden/>
          </w:rPr>
        </w:r>
        <w:r w:rsidR="002745A8" w:rsidRPr="00D9348B">
          <w:rPr>
            <w:webHidden/>
          </w:rPr>
          <w:fldChar w:fldCharType="separate"/>
        </w:r>
        <w:r w:rsidR="00950F0A">
          <w:rPr>
            <w:webHidden/>
          </w:rPr>
          <w:t>481</w:t>
        </w:r>
        <w:r w:rsidR="002745A8" w:rsidRPr="00D9348B">
          <w:rPr>
            <w:webHidden/>
          </w:rPr>
          <w:fldChar w:fldCharType="end"/>
        </w:r>
      </w:hyperlink>
    </w:p>
    <w:p w14:paraId="235F7A7B" w14:textId="031A550E" w:rsidR="006E0A2C" w:rsidRPr="00D9348B" w:rsidRDefault="003C080E" w:rsidP="006E0A2C">
      <w:pPr>
        <w:rPr>
          <w:rFonts w:cs="Calibri"/>
        </w:rPr>
      </w:pPr>
      <w:r w:rsidRPr="00D9348B">
        <w:rPr>
          <w:rFonts w:cs="Calibri"/>
          <w:sz w:val="20"/>
        </w:rPr>
        <w:fldChar w:fldCharType="end"/>
      </w:r>
    </w:p>
    <w:p w14:paraId="20EA95E1" w14:textId="77777777" w:rsidR="00E853F3" w:rsidRPr="00D9348B" w:rsidRDefault="00E853F3" w:rsidP="006E0A2C">
      <w:pPr>
        <w:rPr>
          <w:rFonts w:cs="Calibri"/>
        </w:rPr>
      </w:pPr>
    </w:p>
    <w:p w14:paraId="245736DD" w14:textId="77777777" w:rsidR="006E0A2C" w:rsidRPr="00D9348B" w:rsidRDefault="006E0A2C" w:rsidP="006E0A2C">
      <w:pPr>
        <w:rPr>
          <w:rFonts w:cs="Calibri"/>
        </w:rPr>
      </w:pPr>
    </w:p>
    <w:p w14:paraId="40E075C1" w14:textId="77777777" w:rsidR="00C21B54" w:rsidRPr="00D9348B" w:rsidRDefault="00C21B54" w:rsidP="006E0A2C">
      <w:pPr>
        <w:rPr>
          <w:rFonts w:cs="Calibri"/>
        </w:rPr>
      </w:pPr>
    </w:p>
    <w:p w14:paraId="7E12532A" w14:textId="1C817750" w:rsidR="00C21B54" w:rsidRPr="00D9348B" w:rsidRDefault="00C21B54" w:rsidP="006529AF">
      <w:pPr>
        <w:pStyle w:val="Heading1"/>
      </w:pPr>
      <w:bookmarkStart w:id="6" w:name="_Toc36224356"/>
      <w:r w:rsidRPr="00D9348B">
        <w:t>Figures</w:t>
      </w:r>
      <w:bookmarkEnd w:id="6"/>
    </w:p>
    <w:p w14:paraId="27D56993" w14:textId="1866C61E" w:rsidR="00185AB0" w:rsidRPr="00BE3630" w:rsidRDefault="00635834">
      <w:pPr>
        <w:pStyle w:val="TableofFigures"/>
        <w:rPr>
          <w:rFonts w:cs="Times New Roman"/>
          <w:sz w:val="22"/>
        </w:rPr>
      </w:pPr>
      <w:r w:rsidRPr="00D9348B">
        <w:rPr>
          <w:noProof w:val="0"/>
        </w:rPr>
        <w:fldChar w:fldCharType="begin"/>
      </w:r>
      <w:r w:rsidRPr="00D9348B">
        <w:rPr>
          <w:noProof w:val="0"/>
        </w:rPr>
        <w:instrText xml:space="preserve"> TOC \h \z \t "Figure" \c </w:instrText>
      </w:r>
      <w:r w:rsidRPr="00D9348B">
        <w:rPr>
          <w:noProof w:val="0"/>
        </w:rPr>
        <w:fldChar w:fldCharType="separate"/>
      </w:r>
      <w:hyperlink w:anchor="_Toc36292746" w:history="1">
        <w:r w:rsidR="00185AB0" w:rsidRPr="00D9348B">
          <w:rPr>
            <w:rStyle w:val="Hyperlink"/>
          </w:rPr>
          <w:t>Figure ES 2.1</w:t>
        </w:r>
        <w:r w:rsidR="00185AB0" w:rsidRPr="00BE3630">
          <w:rPr>
            <w:rFonts w:cs="Times New Roman"/>
            <w:sz w:val="22"/>
          </w:rPr>
          <w:tab/>
        </w:r>
        <w:r w:rsidR="00185AB0" w:rsidRPr="00D9348B">
          <w:rPr>
            <w:rStyle w:val="Hyperlink"/>
          </w:rPr>
          <w:t>New Zealand’s gross and net emissions (under the Convention) from 1990 to 2018</w:t>
        </w:r>
        <w:r w:rsidR="00185AB0" w:rsidRPr="00D9348B">
          <w:rPr>
            <w:webHidden/>
          </w:rPr>
          <w:tab/>
        </w:r>
        <w:r w:rsidR="00185AB0" w:rsidRPr="00D9348B">
          <w:rPr>
            <w:webHidden/>
          </w:rPr>
          <w:fldChar w:fldCharType="begin"/>
        </w:r>
        <w:r w:rsidR="00185AB0" w:rsidRPr="00D9348B">
          <w:rPr>
            <w:webHidden/>
          </w:rPr>
          <w:instrText xml:space="preserve"> PAGEREF _Toc36292746 \h </w:instrText>
        </w:r>
        <w:r w:rsidR="00185AB0" w:rsidRPr="00D9348B">
          <w:rPr>
            <w:webHidden/>
          </w:rPr>
        </w:r>
        <w:r w:rsidR="00185AB0" w:rsidRPr="00D9348B">
          <w:rPr>
            <w:webHidden/>
          </w:rPr>
          <w:fldChar w:fldCharType="separate"/>
        </w:r>
        <w:r w:rsidR="00950F0A">
          <w:rPr>
            <w:webHidden/>
          </w:rPr>
          <w:t>4</w:t>
        </w:r>
        <w:r w:rsidR="00185AB0" w:rsidRPr="00D9348B">
          <w:rPr>
            <w:webHidden/>
          </w:rPr>
          <w:fldChar w:fldCharType="end"/>
        </w:r>
      </w:hyperlink>
    </w:p>
    <w:p w14:paraId="4140068B" w14:textId="7142D382" w:rsidR="00185AB0" w:rsidRPr="00BE3630" w:rsidRDefault="00DA6C03">
      <w:pPr>
        <w:pStyle w:val="TableofFigures"/>
        <w:rPr>
          <w:rFonts w:cs="Times New Roman"/>
          <w:sz w:val="22"/>
        </w:rPr>
      </w:pPr>
      <w:hyperlink w:anchor="_Toc36292747" w:history="1">
        <w:r w:rsidR="00185AB0" w:rsidRPr="00D9348B">
          <w:rPr>
            <w:rStyle w:val="Hyperlink"/>
          </w:rPr>
          <w:t xml:space="preserve">Figure ES 3.1 </w:t>
        </w:r>
        <w:r w:rsidR="00185AB0" w:rsidRPr="00BE3630">
          <w:rPr>
            <w:rFonts w:cs="Times New Roman"/>
            <w:sz w:val="22"/>
          </w:rPr>
          <w:tab/>
        </w:r>
        <w:r w:rsidR="00185AB0" w:rsidRPr="00D9348B">
          <w:rPr>
            <w:rStyle w:val="Hyperlink"/>
          </w:rPr>
          <w:t>New Zealand’s gross emissions by gas in 2018</w:t>
        </w:r>
        <w:r w:rsidR="00185AB0" w:rsidRPr="00D9348B">
          <w:rPr>
            <w:webHidden/>
          </w:rPr>
          <w:tab/>
        </w:r>
        <w:r w:rsidR="00185AB0" w:rsidRPr="00D9348B">
          <w:rPr>
            <w:webHidden/>
          </w:rPr>
          <w:fldChar w:fldCharType="begin"/>
        </w:r>
        <w:r w:rsidR="00185AB0" w:rsidRPr="00D9348B">
          <w:rPr>
            <w:webHidden/>
          </w:rPr>
          <w:instrText xml:space="preserve"> PAGEREF _Toc36292747 \h </w:instrText>
        </w:r>
        <w:r w:rsidR="00185AB0" w:rsidRPr="00D9348B">
          <w:rPr>
            <w:webHidden/>
          </w:rPr>
        </w:r>
        <w:r w:rsidR="00185AB0" w:rsidRPr="00D9348B">
          <w:rPr>
            <w:webHidden/>
          </w:rPr>
          <w:fldChar w:fldCharType="separate"/>
        </w:r>
        <w:r w:rsidR="00950F0A">
          <w:rPr>
            <w:webHidden/>
          </w:rPr>
          <w:t>5</w:t>
        </w:r>
        <w:r w:rsidR="00185AB0" w:rsidRPr="00D9348B">
          <w:rPr>
            <w:webHidden/>
          </w:rPr>
          <w:fldChar w:fldCharType="end"/>
        </w:r>
      </w:hyperlink>
    </w:p>
    <w:p w14:paraId="5047C9AD" w14:textId="71A73E71" w:rsidR="00185AB0" w:rsidRPr="00BE3630" w:rsidRDefault="00DA6C03">
      <w:pPr>
        <w:pStyle w:val="TableofFigures"/>
        <w:rPr>
          <w:rFonts w:cs="Times New Roman"/>
          <w:sz w:val="22"/>
        </w:rPr>
      </w:pPr>
      <w:hyperlink w:anchor="_Toc36292748" w:history="1">
        <w:r w:rsidR="00185AB0" w:rsidRPr="00D9348B">
          <w:rPr>
            <w:rStyle w:val="Hyperlink"/>
          </w:rPr>
          <w:t xml:space="preserve">Figure ES 3.2 </w:t>
        </w:r>
        <w:r w:rsidR="00185AB0" w:rsidRPr="00BE3630">
          <w:rPr>
            <w:rFonts w:cs="Times New Roman"/>
            <w:sz w:val="22"/>
          </w:rPr>
          <w:tab/>
        </w:r>
        <w:r w:rsidR="00185AB0" w:rsidRPr="00D9348B">
          <w:rPr>
            <w:rStyle w:val="Hyperlink"/>
          </w:rPr>
          <w:t>New Zealand’s emissions by gas in 1990 and 2018</w:t>
        </w:r>
        <w:r w:rsidR="00185AB0" w:rsidRPr="00D9348B">
          <w:rPr>
            <w:webHidden/>
          </w:rPr>
          <w:tab/>
        </w:r>
        <w:r w:rsidR="00185AB0" w:rsidRPr="00D9348B">
          <w:rPr>
            <w:webHidden/>
          </w:rPr>
          <w:fldChar w:fldCharType="begin"/>
        </w:r>
        <w:r w:rsidR="00185AB0" w:rsidRPr="00D9348B">
          <w:rPr>
            <w:webHidden/>
          </w:rPr>
          <w:instrText xml:space="preserve"> PAGEREF _Toc36292748 \h </w:instrText>
        </w:r>
        <w:r w:rsidR="00185AB0" w:rsidRPr="00D9348B">
          <w:rPr>
            <w:webHidden/>
          </w:rPr>
        </w:r>
        <w:r w:rsidR="00185AB0" w:rsidRPr="00D9348B">
          <w:rPr>
            <w:webHidden/>
          </w:rPr>
          <w:fldChar w:fldCharType="separate"/>
        </w:r>
        <w:r w:rsidR="00950F0A">
          <w:rPr>
            <w:webHidden/>
          </w:rPr>
          <w:t>6</w:t>
        </w:r>
        <w:r w:rsidR="00185AB0" w:rsidRPr="00D9348B">
          <w:rPr>
            <w:webHidden/>
          </w:rPr>
          <w:fldChar w:fldCharType="end"/>
        </w:r>
      </w:hyperlink>
    </w:p>
    <w:p w14:paraId="6D10E11D" w14:textId="61F87085" w:rsidR="00185AB0" w:rsidRPr="00BE3630" w:rsidRDefault="00DA6C03">
      <w:pPr>
        <w:pStyle w:val="TableofFigures"/>
        <w:rPr>
          <w:rFonts w:cs="Times New Roman"/>
          <w:sz w:val="22"/>
        </w:rPr>
      </w:pPr>
      <w:hyperlink w:anchor="_Toc36292749" w:history="1">
        <w:r w:rsidR="00185AB0" w:rsidRPr="00D9348B">
          <w:rPr>
            <w:rStyle w:val="Hyperlink"/>
          </w:rPr>
          <w:t xml:space="preserve">Figure ES 4.1 </w:t>
        </w:r>
        <w:r w:rsidR="00185AB0" w:rsidRPr="00BE3630">
          <w:rPr>
            <w:rFonts w:cs="Times New Roman"/>
            <w:sz w:val="22"/>
          </w:rPr>
          <w:tab/>
        </w:r>
        <w:r w:rsidR="00185AB0" w:rsidRPr="00D9348B">
          <w:rPr>
            <w:rStyle w:val="Hyperlink"/>
          </w:rPr>
          <w:t>Changes in New Zealand’s gross emissions profile by sector from 1990 to 2018</w:t>
        </w:r>
        <w:r w:rsidR="00185AB0" w:rsidRPr="00D9348B">
          <w:rPr>
            <w:webHidden/>
          </w:rPr>
          <w:tab/>
        </w:r>
        <w:r w:rsidR="00185AB0" w:rsidRPr="00D9348B">
          <w:rPr>
            <w:webHidden/>
          </w:rPr>
          <w:fldChar w:fldCharType="begin"/>
        </w:r>
        <w:r w:rsidR="00185AB0" w:rsidRPr="00D9348B">
          <w:rPr>
            <w:webHidden/>
          </w:rPr>
          <w:instrText xml:space="preserve"> PAGEREF _Toc36292749 \h </w:instrText>
        </w:r>
        <w:r w:rsidR="00185AB0" w:rsidRPr="00D9348B">
          <w:rPr>
            <w:webHidden/>
          </w:rPr>
        </w:r>
        <w:r w:rsidR="00185AB0" w:rsidRPr="00D9348B">
          <w:rPr>
            <w:webHidden/>
          </w:rPr>
          <w:fldChar w:fldCharType="separate"/>
        </w:r>
        <w:r w:rsidR="00950F0A">
          <w:rPr>
            <w:webHidden/>
          </w:rPr>
          <w:t>7</w:t>
        </w:r>
        <w:r w:rsidR="00185AB0" w:rsidRPr="00D9348B">
          <w:rPr>
            <w:webHidden/>
          </w:rPr>
          <w:fldChar w:fldCharType="end"/>
        </w:r>
      </w:hyperlink>
    </w:p>
    <w:p w14:paraId="3B990B9F" w14:textId="7833B902" w:rsidR="00185AB0" w:rsidRPr="00BE3630" w:rsidRDefault="00DA6C03">
      <w:pPr>
        <w:pStyle w:val="TableofFigures"/>
        <w:rPr>
          <w:rFonts w:cs="Times New Roman"/>
          <w:sz w:val="22"/>
        </w:rPr>
      </w:pPr>
      <w:hyperlink w:anchor="_Toc36292750" w:history="1">
        <w:r w:rsidR="00185AB0" w:rsidRPr="00D9348B">
          <w:rPr>
            <w:rStyle w:val="Hyperlink"/>
          </w:rPr>
          <w:t xml:space="preserve">Figure ES 4.2 </w:t>
        </w:r>
        <w:r w:rsidR="00185AB0" w:rsidRPr="00BE3630">
          <w:rPr>
            <w:rFonts w:cs="Times New Roman"/>
            <w:sz w:val="22"/>
          </w:rPr>
          <w:tab/>
        </w:r>
        <w:r w:rsidR="00185AB0" w:rsidRPr="00D9348B">
          <w:rPr>
            <w:rStyle w:val="Hyperlink"/>
          </w:rPr>
          <w:t>New Zealand’s emissions by sector in 2018</w:t>
        </w:r>
        <w:r w:rsidR="00185AB0" w:rsidRPr="00D9348B">
          <w:rPr>
            <w:webHidden/>
          </w:rPr>
          <w:tab/>
        </w:r>
        <w:r w:rsidR="00185AB0" w:rsidRPr="00D9348B">
          <w:rPr>
            <w:webHidden/>
          </w:rPr>
          <w:fldChar w:fldCharType="begin"/>
        </w:r>
        <w:r w:rsidR="00185AB0" w:rsidRPr="00D9348B">
          <w:rPr>
            <w:webHidden/>
          </w:rPr>
          <w:instrText xml:space="preserve"> PAGEREF _Toc36292750 \h </w:instrText>
        </w:r>
        <w:r w:rsidR="00185AB0" w:rsidRPr="00D9348B">
          <w:rPr>
            <w:webHidden/>
          </w:rPr>
        </w:r>
        <w:r w:rsidR="00185AB0" w:rsidRPr="00D9348B">
          <w:rPr>
            <w:webHidden/>
          </w:rPr>
          <w:fldChar w:fldCharType="separate"/>
        </w:r>
        <w:r w:rsidR="00950F0A">
          <w:rPr>
            <w:webHidden/>
          </w:rPr>
          <w:t>8</w:t>
        </w:r>
        <w:r w:rsidR="00185AB0" w:rsidRPr="00D9348B">
          <w:rPr>
            <w:webHidden/>
          </w:rPr>
          <w:fldChar w:fldCharType="end"/>
        </w:r>
      </w:hyperlink>
    </w:p>
    <w:p w14:paraId="795FB6CA" w14:textId="3F6A1118" w:rsidR="00185AB0" w:rsidRPr="00BE3630" w:rsidRDefault="00DA6C03">
      <w:pPr>
        <w:pStyle w:val="TableofFigures"/>
        <w:rPr>
          <w:rFonts w:cs="Times New Roman"/>
          <w:sz w:val="22"/>
        </w:rPr>
      </w:pPr>
      <w:hyperlink w:anchor="_Toc36292751" w:history="1">
        <w:r w:rsidR="00185AB0" w:rsidRPr="00D9348B">
          <w:rPr>
            <w:rStyle w:val="Hyperlink"/>
          </w:rPr>
          <w:t>Figure ES 4.3</w:t>
        </w:r>
        <w:r w:rsidR="00185AB0" w:rsidRPr="00BE3630">
          <w:rPr>
            <w:rFonts w:cs="Times New Roman"/>
            <w:sz w:val="22"/>
          </w:rPr>
          <w:tab/>
        </w:r>
        <w:r w:rsidR="00185AB0" w:rsidRPr="00D9348B">
          <w:rPr>
            <w:rStyle w:val="Hyperlink"/>
          </w:rPr>
          <w:t>Change in New Zealand’s emissions by sector, comparing 1990 and 2018</w:t>
        </w:r>
        <w:r w:rsidR="00185AB0" w:rsidRPr="00D9348B">
          <w:rPr>
            <w:webHidden/>
          </w:rPr>
          <w:tab/>
        </w:r>
        <w:r w:rsidR="00185AB0" w:rsidRPr="00D9348B">
          <w:rPr>
            <w:webHidden/>
          </w:rPr>
          <w:fldChar w:fldCharType="begin"/>
        </w:r>
        <w:r w:rsidR="00185AB0" w:rsidRPr="00D9348B">
          <w:rPr>
            <w:webHidden/>
          </w:rPr>
          <w:instrText xml:space="preserve"> PAGEREF _Toc36292751 \h </w:instrText>
        </w:r>
        <w:r w:rsidR="00185AB0" w:rsidRPr="00D9348B">
          <w:rPr>
            <w:webHidden/>
          </w:rPr>
        </w:r>
        <w:r w:rsidR="00185AB0" w:rsidRPr="00D9348B">
          <w:rPr>
            <w:webHidden/>
          </w:rPr>
          <w:fldChar w:fldCharType="separate"/>
        </w:r>
        <w:r w:rsidR="00950F0A">
          <w:rPr>
            <w:webHidden/>
          </w:rPr>
          <w:t>9</w:t>
        </w:r>
        <w:r w:rsidR="00185AB0" w:rsidRPr="00D9348B">
          <w:rPr>
            <w:webHidden/>
          </w:rPr>
          <w:fldChar w:fldCharType="end"/>
        </w:r>
      </w:hyperlink>
    </w:p>
    <w:p w14:paraId="67F45007" w14:textId="73DE3897" w:rsidR="00185AB0" w:rsidRPr="00BE3630" w:rsidRDefault="00DA6C03">
      <w:pPr>
        <w:pStyle w:val="TableofFigures"/>
        <w:rPr>
          <w:rFonts w:cs="Times New Roman"/>
          <w:sz w:val="22"/>
        </w:rPr>
      </w:pPr>
      <w:hyperlink w:anchor="_Toc36292752" w:history="1">
        <w:r w:rsidR="00185AB0" w:rsidRPr="00D9348B">
          <w:rPr>
            <w:rStyle w:val="Hyperlink"/>
          </w:rPr>
          <w:t>Figure ES 4.4</w:t>
        </w:r>
        <w:r w:rsidR="00185AB0" w:rsidRPr="00BE3630">
          <w:rPr>
            <w:rFonts w:cs="Times New Roman"/>
            <w:sz w:val="22"/>
          </w:rPr>
          <w:tab/>
        </w:r>
        <w:r w:rsidR="00185AB0" w:rsidRPr="00D9348B">
          <w:rPr>
            <w:rStyle w:val="Hyperlink"/>
          </w:rPr>
          <w:t>New Zealand’s LULUCF sector net emissions from 1990 to 2018</w:t>
        </w:r>
        <w:r w:rsidR="00185AB0" w:rsidRPr="00D9348B">
          <w:rPr>
            <w:webHidden/>
          </w:rPr>
          <w:tab/>
        </w:r>
        <w:r w:rsidR="00185AB0" w:rsidRPr="00D9348B">
          <w:rPr>
            <w:webHidden/>
          </w:rPr>
          <w:fldChar w:fldCharType="begin"/>
        </w:r>
        <w:r w:rsidR="00185AB0" w:rsidRPr="00D9348B">
          <w:rPr>
            <w:webHidden/>
          </w:rPr>
          <w:instrText xml:space="preserve"> PAGEREF _Toc36292752 \h </w:instrText>
        </w:r>
        <w:r w:rsidR="00185AB0" w:rsidRPr="00D9348B">
          <w:rPr>
            <w:webHidden/>
          </w:rPr>
        </w:r>
        <w:r w:rsidR="00185AB0" w:rsidRPr="00D9348B">
          <w:rPr>
            <w:webHidden/>
          </w:rPr>
          <w:fldChar w:fldCharType="separate"/>
        </w:r>
        <w:r w:rsidR="00950F0A">
          <w:rPr>
            <w:webHidden/>
          </w:rPr>
          <w:t>12</w:t>
        </w:r>
        <w:r w:rsidR="00185AB0" w:rsidRPr="00D9348B">
          <w:rPr>
            <w:webHidden/>
          </w:rPr>
          <w:fldChar w:fldCharType="end"/>
        </w:r>
      </w:hyperlink>
    </w:p>
    <w:p w14:paraId="22AF0512" w14:textId="580C5EC7" w:rsidR="00185AB0" w:rsidRPr="00BE3630" w:rsidRDefault="00DA6C03">
      <w:pPr>
        <w:pStyle w:val="TableofFigures"/>
        <w:rPr>
          <w:rFonts w:cs="Times New Roman"/>
          <w:sz w:val="22"/>
        </w:rPr>
      </w:pPr>
      <w:hyperlink w:anchor="_Toc36292753" w:history="1">
        <w:r w:rsidR="00185AB0" w:rsidRPr="00D9348B">
          <w:rPr>
            <w:rStyle w:val="Hyperlink"/>
          </w:rPr>
          <w:t>Figure 1.2.1</w:t>
        </w:r>
        <w:r w:rsidR="00185AB0" w:rsidRPr="00BE3630">
          <w:rPr>
            <w:rFonts w:cs="Times New Roman"/>
            <w:sz w:val="22"/>
          </w:rPr>
          <w:tab/>
        </w:r>
        <w:r w:rsidR="00185AB0" w:rsidRPr="00D9348B">
          <w:rPr>
            <w:rStyle w:val="Hyperlink"/>
          </w:rPr>
          <w:t>New Zealand’s inventory system at a glance: how different agencies are involved</w:t>
        </w:r>
        <w:r w:rsidR="00185AB0" w:rsidRPr="00D9348B">
          <w:rPr>
            <w:webHidden/>
          </w:rPr>
          <w:tab/>
        </w:r>
        <w:r w:rsidR="00185AB0" w:rsidRPr="00D9348B">
          <w:rPr>
            <w:webHidden/>
          </w:rPr>
          <w:fldChar w:fldCharType="begin"/>
        </w:r>
        <w:r w:rsidR="00185AB0" w:rsidRPr="00D9348B">
          <w:rPr>
            <w:webHidden/>
          </w:rPr>
          <w:instrText xml:space="preserve"> PAGEREF _Toc36292753 \h </w:instrText>
        </w:r>
        <w:r w:rsidR="00185AB0" w:rsidRPr="00D9348B">
          <w:rPr>
            <w:webHidden/>
          </w:rPr>
        </w:r>
        <w:r w:rsidR="00185AB0" w:rsidRPr="00D9348B">
          <w:rPr>
            <w:webHidden/>
          </w:rPr>
          <w:fldChar w:fldCharType="separate"/>
        </w:r>
        <w:r w:rsidR="00950F0A">
          <w:rPr>
            <w:webHidden/>
          </w:rPr>
          <w:t>26</w:t>
        </w:r>
        <w:r w:rsidR="00185AB0" w:rsidRPr="00D9348B">
          <w:rPr>
            <w:webHidden/>
          </w:rPr>
          <w:fldChar w:fldCharType="end"/>
        </w:r>
      </w:hyperlink>
    </w:p>
    <w:p w14:paraId="2F6245ED" w14:textId="1A6AA13B" w:rsidR="00185AB0" w:rsidRPr="00BE3630" w:rsidRDefault="00DA6C03">
      <w:pPr>
        <w:pStyle w:val="TableofFigures"/>
        <w:rPr>
          <w:rFonts w:cs="Times New Roman"/>
          <w:sz w:val="22"/>
        </w:rPr>
      </w:pPr>
      <w:hyperlink w:anchor="_Toc36292754" w:history="1">
        <w:r w:rsidR="00185AB0" w:rsidRPr="00D9348B">
          <w:rPr>
            <w:rStyle w:val="Hyperlink"/>
          </w:rPr>
          <w:t>Figure 1.2.2</w:t>
        </w:r>
        <w:r w:rsidR="00185AB0" w:rsidRPr="00BE3630">
          <w:rPr>
            <w:rFonts w:cs="Times New Roman"/>
            <w:sz w:val="22"/>
          </w:rPr>
          <w:tab/>
        </w:r>
        <w:r w:rsidR="00185AB0" w:rsidRPr="00D9348B">
          <w:rPr>
            <w:rStyle w:val="Hyperlink"/>
          </w:rPr>
          <w:t>Summary of New Zealand’s inventory planning and preparation</w:t>
        </w:r>
        <w:r w:rsidR="00185AB0" w:rsidRPr="00D9348B">
          <w:rPr>
            <w:webHidden/>
          </w:rPr>
          <w:tab/>
        </w:r>
        <w:r w:rsidR="00185AB0" w:rsidRPr="00D9348B">
          <w:rPr>
            <w:webHidden/>
          </w:rPr>
          <w:fldChar w:fldCharType="begin"/>
        </w:r>
        <w:r w:rsidR="00185AB0" w:rsidRPr="00D9348B">
          <w:rPr>
            <w:webHidden/>
          </w:rPr>
          <w:instrText xml:space="preserve"> PAGEREF _Toc36292754 \h </w:instrText>
        </w:r>
        <w:r w:rsidR="00185AB0" w:rsidRPr="00D9348B">
          <w:rPr>
            <w:webHidden/>
          </w:rPr>
        </w:r>
        <w:r w:rsidR="00185AB0" w:rsidRPr="00D9348B">
          <w:rPr>
            <w:webHidden/>
          </w:rPr>
          <w:fldChar w:fldCharType="separate"/>
        </w:r>
        <w:r w:rsidR="00950F0A">
          <w:rPr>
            <w:webHidden/>
          </w:rPr>
          <w:t>27</w:t>
        </w:r>
        <w:r w:rsidR="00185AB0" w:rsidRPr="00D9348B">
          <w:rPr>
            <w:webHidden/>
          </w:rPr>
          <w:fldChar w:fldCharType="end"/>
        </w:r>
      </w:hyperlink>
    </w:p>
    <w:p w14:paraId="68216C63" w14:textId="5E229F0E" w:rsidR="00185AB0" w:rsidRPr="00BE3630" w:rsidRDefault="00DA6C03">
      <w:pPr>
        <w:pStyle w:val="TableofFigures"/>
        <w:rPr>
          <w:rFonts w:cs="Times New Roman"/>
          <w:sz w:val="22"/>
        </w:rPr>
      </w:pPr>
      <w:hyperlink w:anchor="_Toc36292755" w:history="1">
        <w:r w:rsidR="00185AB0" w:rsidRPr="00D9348B">
          <w:rPr>
            <w:rStyle w:val="Hyperlink"/>
          </w:rPr>
          <w:t>Figure 2.1.1</w:t>
        </w:r>
        <w:r w:rsidR="00185AB0" w:rsidRPr="00BE3630">
          <w:rPr>
            <w:rFonts w:cs="Times New Roman"/>
            <w:sz w:val="22"/>
          </w:rPr>
          <w:tab/>
        </w:r>
        <w:r w:rsidR="00185AB0" w:rsidRPr="00D9348B">
          <w:rPr>
            <w:rStyle w:val="Hyperlink"/>
          </w:rPr>
          <w:t>New Zealand’s gross and net emissions (under the Convention) from 1990 to 2018</w:t>
        </w:r>
        <w:r w:rsidR="00185AB0" w:rsidRPr="00D9348B">
          <w:rPr>
            <w:webHidden/>
          </w:rPr>
          <w:tab/>
        </w:r>
        <w:r w:rsidR="00185AB0" w:rsidRPr="00D9348B">
          <w:rPr>
            <w:webHidden/>
          </w:rPr>
          <w:fldChar w:fldCharType="begin"/>
        </w:r>
        <w:r w:rsidR="00185AB0" w:rsidRPr="00D9348B">
          <w:rPr>
            <w:webHidden/>
          </w:rPr>
          <w:instrText xml:space="preserve"> PAGEREF _Toc36292755 \h </w:instrText>
        </w:r>
        <w:r w:rsidR="00185AB0" w:rsidRPr="00D9348B">
          <w:rPr>
            <w:webHidden/>
          </w:rPr>
        </w:r>
        <w:r w:rsidR="00185AB0" w:rsidRPr="00D9348B">
          <w:rPr>
            <w:webHidden/>
          </w:rPr>
          <w:fldChar w:fldCharType="separate"/>
        </w:r>
        <w:r w:rsidR="00950F0A">
          <w:rPr>
            <w:webHidden/>
          </w:rPr>
          <w:t>59</w:t>
        </w:r>
        <w:r w:rsidR="00185AB0" w:rsidRPr="00D9348B">
          <w:rPr>
            <w:webHidden/>
          </w:rPr>
          <w:fldChar w:fldCharType="end"/>
        </w:r>
      </w:hyperlink>
    </w:p>
    <w:p w14:paraId="65480341" w14:textId="5FD5AC3B" w:rsidR="00185AB0" w:rsidRPr="00BE3630" w:rsidRDefault="00DA6C03">
      <w:pPr>
        <w:pStyle w:val="TableofFigures"/>
        <w:rPr>
          <w:rFonts w:cs="Times New Roman"/>
          <w:sz w:val="22"/>
        </w:rPr>
      </w:pPr>
      <w:hyperlink w:anchor="_Toc36292756" w:history="1">
        <w:r w:rsidR="00185AB0" w:rsidRPr="00D9348B">
          <w:rPr>
            <w:rStyle w:val="Hyperlink"/>
          </w:rPr>
          <w:t>Figure 2.2.1</w:t>
        </w:r>
        <w:r w:rsidR="00185AB0" w:rsidRPr="00BE3630">
          <w:rPr>
            <w:rFonts w:cs="Times New Roman"/>
            <w:sz w:val="22"/>
          </w:rPr>
          <w:tab/>
        </w:r>
        <w:r w:rsidR="00185AB0" w:rsidRPr="00D9348B">
          <w:rPr>
            <w:rStyle w:val="Hyperlink"/>
          </w:rPr>
          <w:t>New Zealand’s emissions by sector in 2018</w:t>
        </w:r>
        <w:r w:rsidR="00185AB0" w:rsidRPr="00D9348B">
          <w:rPr>
            <w:webHidden/>
          </w:rPr>
          <w:tab/>
        </w:r>
        <w:r w:rsidR="00185AB0" w:rsidRPr="00D9348B">
          <w:rPr>
            <w:webHidden/>
          </w:rPr>
          <w:fldChar w:fldCharType="begin"/>
        </w:r>
        <w:r w:rsidR="00185AB0" w:rsidRPr="00D9348B">
          <w:rPr>
            <w:webHidden/>
          </w:rPr>
          <w:instrText xml:space="preserve"> PAGEREF _Toc36292756 \h </w:instrText>
        </w:r>
        <w:r w:rsidR="00185AB0" w:rsidRPr="00D9348B">
          <w:rPr>
            <w:webHidden/>
          </w:rPr>
        </w:r>
        <w:r w:rsidR="00185AB0" w:rsidRPr="00D9348B">
          <w:rPr>
            <w:webHidden/>
          </w:rPr>
          <w:fldChar w:fldCharType="separate"/>
        </w:r>
        <w:r w:rsidR="00950F0A">
          <w:rPr>
            <w:webHidden/>
          </w:rPr>
          <w:t>60</w:t>
        </w:r>
        <w:r w:rsidR="00185AB0" w:rsidRPr="00D9348B">
          <w:rPr>
            <w:webHidden/>
          </w:rPr>
          <w:fldChar w:fldCharType="end"/>
        </w:r>
      </w:hyperlink>
    </w:p>
    <w:p w14:paraId="16B1C708" w14:textId="660B2512" w:rsidR="00185AB0" w:rsidRPr="00BE3630" w:rsidRDefault="00DA6C03">
      <w:pPr>
        <w:pStyle w:val="TableofFigures"/>
        <w:rPr>
          <w:rFonts w:cs="Times New Roman"/>
          <w:sz w:val="22"/>
        </w:rPr>
      </w:pPr>
      <w:hyperlink w:anchor="_Toc36292757" w:history="1">
        <w:r w:rsidR="00185AB0" w:rsidRPr="00D9348B">
          <w:rPr>
            <w:rStyle w:val="Hyperlink"/>
          </w:rPr>
          <w:t>Figure 2.2.2</w:t>
        </w:r>
        <w:r w:rsidR="00185AB0" w:rsidRPr="00BE3630">
          <w:rPr>
            <w:rFonts w:cs="Times New Roman"/>
            <w:sz w:val="22"/>
          </w:rPr>
          <w:tab/>
        </w:r>
        <w:r w:rsidR="00185AB0" w:rsidRPr="00D9348B">
          <w:rPr>
            <w:rStyle w:val="Hyperlink"/>
          </w:rPr>
          <w:t>New Zealand’s gross emissions by gas in 2018</w:t>
        </w:r>
        <w:r w:rsidR="00185AB0" w:rsidRPr="00D9348B">
          <w:rPr>
            <w:webHidden/>
          </w:rPr>
          <w:tab/>
        </w:r>
        <w:r w:rsidR="00185AB0" w:rsidRPr="00D9348B">
          <w:rPr>
            <w:webHidden/>
          </w:rPr>
          <w:fldChar w:fldCharType="begin"/>
        </w:r>
        <w:r w:rsidR="00185AB0" w:rsidRPr="00D9348B">
          <w:rPr>
            <w:webHidden/>
          </w:rPr>
          <w:instrText xml:space="preserve"> PAGEREF _Toc36292757 \h </w:instrText>
        </w:r>
        <w:r w:rsidR="00185AB0" w:rsidRPr="00D9348B">
          <w:rPr>
            <w:webHidden/>
          </w:rPr>
        </w:r>
        <w:r w:rsidR="00185AB0" w:rsidRPr="00D9348B">
          <w:rPr>
            <w:webHidden/>
          </w:rPr>
          <w:fldChar w:fldCharType="separate"/>
        </w:r>
        <w:r w:rsidR="00950F0A">
          <w:rPr>
            <w:webHidden/>
          </w:rPr>
          <w:t>61</w:t>
        </w:r>
        <w:r w:rsidR="00185AB0" w:rsidRPr="00D9348B">
          <w:rPr>
            <w:webHidden/>
          </w:rPr>
          <w:fldChar w:fldCharType="end"/>
        </w:r>
      </w:hyperlink>
    </w:p>
    <w:p w14:paraId="3D2D3F65" w14:textId="0A2ED52C" w:rsidR="00185AB0" w:rsidRPr="00BE3630" w:rsidRDefault="00DA6C03">
      <w:pPr>
        <w:pStyle w:val="TableofFigures"/>
        <w:rPr>
          <w:rFonts w:cs="Times New Roman"/>
          <w:sz w:val="22"/>
        </w:rPr>
      </w:pPr>
      <w:hyperlink w:anchor="_Toc36292758" w:history="1">
        <w:r w:rsidR="00185AB0" w:rsidRPr="00D9348B">
          <w:rPr>
            <w:rStyle w:val="Hyperlink"/>
          </w:rPr>
          <w:t xml:space="preserve">Figure 2.2.3 </w:t>
        </w:r>
        <w:r w:rsidR="00185AB0" w:rsidRPr="00BE3630">
          <w:rPr>
            <w:rFonts w:cs="Times New Roman"/>
            <w:sz w:val="22"/>
          </w:rPr>
          <w:tab/>
        </w:r>
        <w:r w:rsidR="00185AB0" w:rsidRPr="00D9348B">
          <w:rPr>
            <w:rStyle w:val="Hyperlink"/>
          </w:rPr>
          <w:t>Percentage contribution by sector to New Zealand’s gross emissions from 1990 to 2018</w:t>
        </w:r>
        <w:r w:rsidR="00185AB0" w:rsidRPr="00D9348B">
          <w:rPr>
            <w:webHidden/>
          </w:rPr>
          <w:tab/>
        </w:r>
        <w:r w:rsidR="00185AB0" w:rsidRPr="00D9348B">
          <w:rPr>
            <w:webHidden/>
          </w:rPr>
          <w:fldChar w:fldCharType="begin"/>
        </w:r>
        <w:r w:rsidR="00185AB0" w:rsidRPr="00D9348B">
          <w:rPr>
            <w:webHidden/>
          </w:rPr>
          <w:instrText xml:space="preserve"> PAGEREF _Toc36292758 \h </w:instrText>
        </w:r>
        <w:r w:rsidR="00185AB0" w:rsidRPr="00D9348B">
          <w:rPr>
            <w:webHidden/>
          </w:rPr>
        </w:r>
        <w:r w:rsidR="00185AB0" w:rsidRPr="00D9348B">
          <w:rPr>
            <w:webHidden/>
          </w:rPr>
          <w:fldChar w:fldCharType="separate"/>
        </w:r>
        <w:r w:rsidR="00950F0A">
          <w:rPr>
            <w:webHidden/>
          </w:rPr>
          <w:t>62</w:t>
        </w:r>
        <w:r w:rsidR="00185AB0" w:rsidRPr="00D9348B">
          <w:rPr>
            <w:webHidden/>
          </w:rPr>
          <w:fldChar w:fldCharType="end"/>
        </w:r>
      </w:hyperlink>
    </w:p>
    <w:p w14:paraId="0BE5D618" w14:textId="2ED10918" w:rsidR="00185AB0" w:rsidRPr="00BE3630" w:rsidRDefault="00DA6C03">
      <w:pPr>
        <w:pStyle w:val="TableofFigures"/>
        <w:rPr>
          <w:rFonts w:cs="Times New Roman"/>
          <w:sz w:val="22"/>
        </w:rPr>
      </w:pPr>
      <w:hyperlink w:anchor="_Toc36292759" w:history="1">
        <w:r w:rsidR="00185AB0" w:rsidRPr="00D9348B">
          <w:rPr>
            <w:rStyle w:val="Hyperlink"/>
          </w:rPr>
          <w:t>Figure 2.2.4</w:t>
        </w:r>
        <w:r w:rsidR="00185AB0" w:rsidRPr="00BE3630">
          <w:rPr>
            <w:rFonts w:cs="Times New Roman"/>
            <w:sz w:val="22"/>
          </w:rPr>
          <w:tab/>
        </w:r>
        <w:r w:rsidR="00185AB0" w:rsidRPr="00D9348B">
          <w:rPr>
            <w:rStyle w:val="Hyperlink"/>
          </w:rPr>
          <w:t>Change in New Zealand’s emissions by sector comparing 1990 and 2018</w:t>
        </w:r>
        <w:r w:rsidR="00185AB0" w:rsidRPr="00D9348B">
          <w:rPr>
            <w:webHidden/>
          </w:rPr>
          <w:tab/>
        </w:r>
        <w:r w:rsidR="00185AB0" w:rsidRPr="00D9348B">
          <w:rPr>
            <w:webHidden/>
          </w:rPr>
          <w:fldChar w:fldCharType="begin"/>
        </w:r>
        <w:r w:rsidR="00185AB0" w:rsidRPr="00D9348B">
          <w:rPr>
            <w:webHidden/>
          </w:rPr>
          <w:instrText xml:space="preserve"> PAGEREF _Toc36292759 \h </w:instrText>
        </w:r>
        <w:r w:rsidR="00185AB0" w:rsidRPr="00D9348B">
          <w:rPr>
            <w:webHidden/>
          </w:rPr>
        </w:r>
        <w:r w:rsidR="00185AB0" w:rsidRPr="00D9348B">
          <w:rPr>
            <w:webHidden/>
          </w:rPr>
          <w:fldChar w:fldCharType="separate"/>
        </w:r>
        <w:r w:rsidR="00950F0A">
          <w:rPr>
            <w:webHidden/>
          </w:rPr>
          <w:t>63</w:t>
        </w:r>
        <w:r w:rsidR="00185AB0" w:rsidRPr="00D9348B">
          <w:rPr>
            <w:webHidden/>
          </w:rPr>
          <w:fldChar w:fldCharType="end"/>
        </w:r>
      </w:hyperlink>
    </w:p>
    <w:p w14:paraId="0B530660" w14:textId="6EF97DFE" w:rsidR="00185AB0" w:rsidRPr="00BE3630" w:rsidRDefault="00DA6C03">
      <w:pPr>
        <w:pStyle w:val="TableofFigures"/>
        <w:rPr>
          <w:rFonts w:cs="Times New Roman"/>
          <w:sz w:val="22"/>
        </w:rPr>
      </w:pPr>
      <w:hyperlink w:anchor="_Toc36292760" w:history="1">
        <w:r w:rsidR="00185AB0" w:rsidRPr="00D9348B">
          <w:rPr>
            <w:rStyle w:val="Hyperlink"/>
          </w:rPr>
          <w:t>Figure 2.2.5</w:t>
        </w:r>
        <w:r w:rsidR="00185AB0" w:rsidRPr="00BE3630">
          <w:rPr>
            <w:rFonts w:cs="Times New Roman"/>
            <w:sz w:val="22"/>
          </w:rPr>
          <w:tab/>
        </w:r>
        <w:r w:rsidR="00185AB0" w:rsidRPr="00D9348B">
          <w:rPr>
            <w:rStyle w:val="Hyperlink"/>
          </w:rPr>
          <w:t>Absolute change in New Zealand’s gross emissions by sector from 1990 to 2018</w:t>
        </w:r>
        <w:r w:rsidR="00185AB0" w:rsidRPr="00D9348B">
          <w:rPr>
            <w:webHidden/>
          </w:rPr>
          <w:tab/>
        </w:r>
        <w:r w:rsidR="00185AB0" w:rsidRPr="00D9348B">
          <w:rPr>
            <w:webHidden/>
          </w:rPr>
          <w:fldChar w:fldCharType="begin"/>
        </w:r>
        <w:r w:rsidR="00185AB0" w:rsidRPr="00D9348B">
          <w:rPr>
            <w:webHidden/>
          </w:rPr>
          <w:instrText xml:space="preserve"> PAGEREF _Toc36292760 \h </w:instrText>
        </w:r>
        <w:r w:rsidR="00185AB0" w:rsidRPr="00D9348B">
          <w:rPr>
            <w:webHidden/>
          </w:rPr>
        </w:r>
        <w:r w:rsidR="00185AB0" w:rsidRPr="00D9348B">
          <w:rPr>
            <w:webHidden/>
          </w:rPr>
          <w:fldChar w:fldCharType="separate"/>
        </w:r>
        <w:r w:rsidR="00950F0A">
          <w:rPr>
            <w:webHidden/>
          </w:rPr>
          <w:t>64</w:t>
        </w:r>
        <w:r w:rsidR="00185AB0" w:rsidRPr="00D9348B">
          <w:rPr>
            <w:webHidden/>
          </w:rPr>
          <w:fldChar w:fldCharType="end"/>
        </w:r>
      </w:hyperlink>
    </w:p>
    <w:p w14:paraId="0B28586F" w14:textId="6845DCA3" w:rsidR="00185AB0" w:rsidRPr="00BE3630" w:rsidRDefault="00DA6C03">
      <w:pPr>
        <w:pStyle w:val="TableofFigures"/>
        <w:rPr>
          <w:rFonts w:cs="Times New Roman"/>
          <w:sz w:val="22"/>
        </w:rPr>
      </w:pPr>
      <w:hyperlink w:anchor="_Toc36292761" w:history="1">
        <w:r w:rsidR="00185AB0" w:rsidRPr="00D9348B">
          <w:rPr>
            <w:rStyle w:val="Hyperlink"/>
          </w:rPr>
          <w:t>Figure 2.2.6</w:t>
        </w:r>
        <w:r w:rsidR="00185AB0" w:rsidRPr="00BE3630">
          <w:rPr>
            <w:rFonts w:cs="Times New Roman"/>
            <w:sz w:val="22"/>
          </w:rPr>
          <w:tab/>
        </w:r>
        <w:r w:rsidR="00185AB0" w:rsidRPr="00D9348B">
          <w:rPr>
            <w:rStyle w:val="Hyperlink"/>
          </w:rPr>
          <w:t>Absolute change in net emissions from the LULUCF sector from 1990 to 2018</w:t>
        </w:r>
        <w:r w:rsidR="00185AB0" w:rsidRPr="00D9348B">
          <w:rPr>
            <w:webHidden/>
          </w:rPr>
          <w:tab/>
        </w:r>
        <w:r w:rsidR="00185AB0" w:rsidRPr="00D9348B">
          <w:rPr>
            <w:webHidden/>
          </w:rPr>
          <w:fldChar w:fldCharType="begin"/>
        </w:r>
        <w:r w:rsidR="00185AB0" w:rsidRPr="00D9348B">
          <w:rPr>
            <w:webHidden/>
          </w:rPr>
          <w:instrText xml:space="preserve"> PAGEREF _Toc36292761 \h </w:instrText>
        </w:r>
        <w:r w:rsidR="00185AB0" w:rsidRPr="00D9348B">
          <w:rPr>
            <w:webHidden/>
          </w:rPr>
        </w:r>
        <w:r w:rsidR="00185AB0" w:rsidRPr="00D9348B">
          <w:rPr>
            <w:webHidden/>
          </w:rPr>
          <w:fldChar w:fldCharType="separate"/>
        </w:r>
        <w:r w:rsidR="00950F0A">
          <w:rPr>
            <w:webHidden/>
          </w:rPr>
          <w:t>64</w:t>
        </w:r>
        <w:r w:rsidR="00185AB0" w:rsidRPr="00D9348B">
          <w:rPr>
            <w:webHidden/>
          </w:rPr>
          <w:fldChar w:fldCharType="end"/>
        </w:r>
      </w:hyperlink>
    </w:p>
    <w:p w14:paraId="25D55FB6" w14:textId="2C4A858E" w:rsidR="00185AB0" w:rsidRPr="00BE3630" w:rsidRDefault="00DA6C03">
      <w:pPr>
        <w:pStyle w:val="TableofFigures"/>
        <w:rPr>
          <w:rFonts w:cs="Times New Roman"/>
          <w:sz w:val="22"/>
        </w:rPr>
      </w:pPr>
      <w:hyperlink w:anchor="_Toc36292762" w:history="1">
        <w:r w:rsidR="00185AB0" w:rsidRPr="00D9348B">
          <w:rPr>
            <w:rStyle w:val="Hyperlink"/>
          </w:rPr>
          <w:t>Figure 2.2.7</w:t>
        </w:r>
        <w:r w:rsidR="00185AB0" w:rsidRPr="00BE3630">
          <w:rPr>
            <w:rFonts w:cs="Times New Roman"/>
            <w:sz w:val="22"/>
          </w:rPr>
          <w:tab/>
        </w:r>
        <w:r w:rsidR="00185AB0" w:rsidRPr="00D9348B">
          <w:rPr>
            <w:rStyle w:val="Hyperlink"/>
          </w:rPr>
          <w:t>New Zealand’s Energy sector emissions from 1990 to 2018</w:t>
        </w:r>
        <w:r w:rsidR="00185AB0" w:rsidRPr="00D9348B">
          <w:rPr>
            <w:webHidden/>
          </w:rPr>
          <w:tab/>
        </w:r>
        <w:r w:rsidR="00185AB0" w:rsidRPr="00D9348B">
          <w:rPr>
            <w:webHidden/>
          </w:rPr>
          <w:fldChar w:fldCharType="begin"/>
        </w:r>
        <w:r w:rsidR="00185AB0" w:rsidRPr="00D9348B">
          <w:rPr>
            <w:webHidden/>
          </w:rPr>
          <w:instrText xml:space="preserve"> PAGEREF _Toc36292762 \h </w:instrText>
        </w:r>
        <w:r w:rsidR="00185AB0" w:rsidRPr="00D9348B">
          <w:rPr>
            <w:webHidden/>
          </w:rPr>
        </w:r>
        <w:r w:rsidR="00185AB0" w:rsidRPr="00D9348B">
          <w:rPr>
            <w:webHidden/>
          </w:rPr>
          <w:fldChar w:fldCharType="separate"/>
        </w:r>
        <w:r w:rsidR="00950F0A">
          <w:rPr>
            <w:webHidden/>
          </w:rPr>
          <w:t>65</w:t>
        </w:r>
        <w:r w:rsidR="00185AB0" w:rsidRPr="00D9348B">
          <w:rPr>
            <w:webHidden/>
          </w:rPr>
          <w:fldChar w:fldCharType="end"/>
        </w:r>
      </w:hyperlink>
    </w:p>
    <w:p w14:paraId="05C5843D" w14:textId="024B5FC6" w:rsidR="00185AB0" w:rsidRPr="00BE3630" w:rsidRDefault="00DA6C03">
      <w:pPr>
        <w:pStyle w:val="TableofFigures"/>
        <w:rPr>
          <w:rFonts w:cs="Times New Roman"/>
          <w:sz w:val="22"/>
        </w:rPr>
      </w:pPr>
      <w:hyperlink w:anchor="_Toc36292763" w:history="1">
        <w:r w:rsidR="00185AB0" w:rsidRPr="00D9348B">
          <w:rPr>
            <w:rStyle w:val="Hyperlink"/>
          </w:rPr>
          <w:t>Figure 2.2.8</w:t>
        </w:r>
        <w:r w:rsidR="00185AB0" w:rsidRPr="00BE3630">
          <w:rPr>
            <w:rFonts w:cs="Times New Roman"/>
            <w:sz w:val="22"/>
          </w:rPr>
          <w:tab/>
        </w:r>
        <w:r w:rsidR="00185AB0" w:rsidRPr="00D9348B">
          <w:rPr>
            <w:rStyle w:val="Hyperlink"/>
          </w:rPr>
          <w:t>New Zealand’s IPPU sector emissions from 1990 to 2018</w:t>
        </w:r>
        <w:r w:rsidR="00185AB0" w:rsidRPr="00D9348B">
          <w:rPr>
            <w:webHidden/>
          </w:rPr>
          <w:tab/>
        </w:r>
        <w:r w:rsidR="00185AB0" w:rsidRPr="00D9348B">
          <w:rPr>
            <w:webHidden/>
          </w:rPr>
          <w:fldChar w:fldCharType="begin"/>
        </w:r>
        <w:r w:rsidR="00185AB0" w:rsidRPr="00D9348B">
          <w:rPr>
            <w:webHidden/>
          </w:rPr>
          <w:instrText xml:space="preserve"> PAGEREF _Toc36292763 \h </w:instrText>
        </w:r>
        <w:r w:rsidR="00185AB0" w:rsidRPr="00D9348B">
          <w:rPr>
            <w:webHidden/>
          </w:rPr>
        </w:r>
        <w:r w:rsidR="00185AB0" w:rsidRPr="00D9348B">
          <w:rPr>
            <w:webHidden/>
          </w:rPr>
          <w:fldChar w:fldCharType="separate"/>
        </w:r>
        <w:r w:rsidR="00950F0A">
          <w:rPr>
            <w:webHidden/>
          </w:rPr>
          <w:t>66</w:t>
        </w:r>
        <w:r w:rsidR="00185AB0" w:rsidRPr="00D9348B">
          <w:rPr>
            <w:webHidden/>
          </w:rPr>
          <w:fldChar w:fldCharType="end"/>
        </w:r>
      </w:hyperlink>
    </w:p>
    <w:p w14:paraId="056ED7B4" w14:textId="1EB39E0E" w:rsidR="00185AB0" w:rsidRPr="00BE3630" w:rsidRDefault="00DA6C03">
      <w:pPr>
        <w:pStyle w:val="TableofFigures"/>
        <w:rPr>
          <w:rFonts w:cs="Times New Roman"/>
          <w:sz w:val="22"/>
        </w:rPr>
      </w:pPr>
      <w:hyperlink w:anchor="_Toc36292764" w:history="1">
        <w:r w:rsidR="00185AB0" w:rsidRPr="00D9348B">
          <w:rPr>
            <w:rStyle w:val="Hyperlink"/>
          </w:rPr>
          <w:t>Figure 2.2.9</w:t>
        </w:r>
        <w:r w:rsidR="00185AB0" w:rsidRPr="00BE3630">
          <w:rPr>
            <w:rFonts w:cs="Times New Roman"/>
            <w:sz w:val="22"/>
          </w:rPr>
          <w:tab/>
        </w:r>
        <w:r w:rsidR="00185AB0" w:rsidRPr="00D9348B">
          <w:rPr>
            <w:rStyle w:val="Hyperlink"/>
          </w:rPr>
          <w:t>New Zealand’s Agriculture sector emissions from 1990 to 2018</w:t>
        </w:r>
        <w:r w:rsidR="00185AB0" w:rsidRPr="00D9348B">
          <w:rPr>
            <w:webHidden/>
          </w:rPr>
          <w:tab/>
        </w:r>
        <w:r w:rsidR="00185AB0" w:rsidRPr="00D9348B">
          <w:rPr>
            <w:webHidden/>
          </w:rPr>
          <w:fldChar w:fldCharType="begin"/>
        </w:r>
        <w:r w:rsidR="00185AB0" w:rsidRPr="00D9348B">
          <w:rPr>
            <w:webHidden/>
          </w:rPr>
          <w:instrText xml:space="preserve"> PAGEREF _Toc36292764 \h </w:instrText>
        </w:r>
        <w:r w:rsidR="00185AB0" w:rsidRPr="00D9348B">
          <w:rPr>
            <w:webHidden/>
          </w:rPr>
        </w:r>
        <w:r w:rsidR="00185AB0" w:rsidRPr="00D9348B">
          <w:rPr>
            <w:webHidden/>
          </w:rPr>
          <w:fldChar w:fldCharType="separate"/>
        </w:r>
        <w:r w:rsidR="00950F0A">
          <w:rPr>
            <w:webHidden/>
          </w:rPr>
          <w:t>68</w:t>
        </w:r>
        <w:r w:rsidR="00185AB0" w:rsidRPr="00D9348B">
          <w:rPr>
            <w:webHidden/>
          </w:rPr>
          <w:fldChar w:fldCharType="end"/>
        </w:r>
      </w:hyperlink>
    </w:p>
    <w:p w14:paraId="0855C912" w14:textId="5A588EC9" w:rsidR="00185AB0" w:rsidRPr="00BE3630" w:rsidRDefault="00DA6C03">
      <w:pPr>
        <w:pStyle w:val="TableofFigures"/>
        <w:rPr>
          <w:rFonts w:cs="Times New Roman"/>
          <w:sz w:val="22"/>
        </w:rPr>
      </w:pPr>
      <w:hyperlink w:anchor="_Toc36292765" w:history="1">
        <w:r w:rsidR="00185AB0" w:rsidRPr="00D9348B">
          <w:rPr>
            <w:rStyle w:val="Hyperlink"/>
          </w:rPr>
          <w:t>Figure 2.2.10</w:t>
        </w:r>
        <w:r w:rsidR="00185AB0" w:rsidRPr="00BE3630">
          <w:rPr>
            <w:rFonts w:cs="Times New Roman"/>
            <w:sz w:val="22"/>
          </w:rPr>
          <w:tab/>
        </w:r>
        <w:r w:rsidR="00185AB0" w:rsidRPr="00D9348B">
          <w:rPr>
            <w:rStyle w:val="Hyperlink"/>
          </w:rPr>
          <w:t>New Zealand’s LULUCF sector net emissions from 1990 to 2018</w:t>
        </w:r>
        <w:r w:rsidR="00185AB0" w:rsidRPr="00D9348B">
          <w:rPr>
            <w:webHidden/>
          </w:rPr>
          <w:tab/>
        </w:r>
        <w:r w:rsidR="00185AB0" w:rsidRPr="00D9348B">
          <w:rPr>
            <w:webHidden/>
          </w:rPr>
          <w:fldChar w:fldCharType="begin"/>
        </w:r>
        <w:r w:rsidR="00185AB0" w:rsidRPr="00D9348B">
          <w:rPr>
            <w:webHidden/>
          </w:rPr>
          <w:instrText xml:space="preserve"> PAGEREF _Toc36292765 \h </w:instrText>
        </w:r>
        <w:r w:rsidR="00185AB0" w:rsidRPr="00D9348B">
          <w:rPr>
            <w:webHidden/>
          </w:rPr>
        </w:r>
        <w:r w:rsidR="00185AB0" w:rsidRPr="00D9348B">
          <w:rPr>
            <w:webHidden/>
          </w:rPr>
          <w:fldChar w:fldCharType="separate"/>
        </w:r>
        <w:r w:rsidR="00950F0A">
          <w:rPr>
            <w:webHidden/>
          </w:rPr>
          <w:t>69</w:t>
        </w:r>
        <w:r w:rsidR="00185AB0" w:rsidRPr="00D9348B">
          <w:rPr>
            <w:webHidden/>
          </w:rPr>
          <w:fldChar w:fldCharType="end"/>
        </w:r>
      </w:hyperlink>
    </w:p>
    <w:p w14:paraId="5E0F5F40" w14:textId="56D6E839" w:rsidR="00185AB0" w:rsidRPr="00BE3630" w:rsidRDefault="00DA6C03">
      <w:pPr>
        <w:pStyle w:val="TableofFigures"/>
        <w:rPr>
          <w:rFonts w:cs="Times New Roman"/>
          <w:sz w:val="22"/>
        </w:rPr>
      </w:pPr>
      <w:hyperlink w:anchor="_Toc36292766" w:history="1">
        <w:r w:rsidR="00185AB0" w:rsidRPr="00D9348B">
          <w:rPr>
            <w:rStyle w:val="Hyperlink"/>
          </w:rPr>
          <w:t>Figure 2.2.11</w:t>
        </w:r>
        <w:r w:rsidR="00185AB0" w:rsidRPr="00BE3630">
          <w:rPr>
            <w:rFonts w:cs="Times New Roman"/>
            <w:sz w:val="22"/>
          </w:rPr>
          <w:tab/>
        </w:r>
        <w:r w:rsidR="00185AB0" w:rsidRPr="00D9348B">
          <w:rPr>
            <w:rStyle w:val="Hyperlink"/>
          </w:rPr>
          <w:t>New Zealand’s Waste sector emissions from 1990 to 2018</w:t>
        </w:r>
        <w:r w:rsidR="00185AB0" w:rsidRPr="00D9348B">
          <w:rPr>
            <w:webHidden/>
          </w:rPr>
          <w:tab/>
        </w:r>
        <w:r w:rsidR="00185AB0" w:rsidRPr="00D9348B">
          <w:rPr>
            <w:webHidden/>
          </w:rPr>
          <w:fldChar w:fldCharType="begin"/>
        </w:r>
        <w:r w:rsidR="00185AB0" w:rsidRPr="00D9348B">
          <w:rPr>
            <w:webHidden/>
          </w:rPr>
          <w:instrText xml:space="preserve"> PAGEREF _Toc36292766 \h </w:instrText>
        </w:r>
        <w:r w:rsidR="00185AB0" w:rsidRPr="00D9348B">
          <w:rPr>
            <w:webHidden/>
          </w:rPr>
        </w:r>
        <w:r w:rsidR="00185AB0" w:rsidRPr="00D9348B">
          <w:rPr>
            <w:webHidden/>
          </w:rPr>
          <w:fldChar w:fldCharType="separate"/>
        </w:r>
        <w:r w:rsidR="00950F0A">
          <w:rPr>
            <w:webHidden/>
          </w:rPr>
          <w:t>70</w:t>
        </w:r>
        <w:r w:rsidR="00185AB0" w:rsidRPr="00D9348B">
          <w:rPr>
            <w:webHidden/>
          </w:rPr>
          <w:fldChar w:fldCharType="end"/>
        </w:r>
      </w:hyperlink>
    </w:p>
    <w:p w14:paraId="0EC5FE6F" w14:textId="17F754CE" w:rsidR="00185AB0" w:rsidRPr="00BE3630" w:rsidRDefault="00DA6C03">
      <w:pPr>
        <w:pStyle w:val="TableofFigures"/>
        <w:rPr>
          <w:rFonts w:cs="Times New Roman"/>
          <w:sz w:val="22"/>
        </w:rPr>
      </w:pPr>
      <w:hyperlink w:anchor="_Toc36292767" w:history="1">
        <w:r w:rsidR="00185AB0" w:rsidRPr="00D9348B">
          <w:rPr>
            <w:rStyle w:val="Hyperlink"/>
          </w:rPr>
          <w:t>Figure 2.2.12</w:t>
        </w:r>
        <w:r w:rsidR="00185AB0" w:rsidRPr="00BE3630">
          <w:rPr>
            <w:rFonts w:cs="Times New Roman"/>
            <w:sz w:val="22"/>
          </w:rPr>
          <w:tab/>
        </w:r>
        <w:r w:rsidR="00185AB0" w:rsidRPr="00D9348B">
          <w:rPr>
            <w:rStyle w:val="Hyperlink"/>
          </w:rPr>
          <w:t>Emissions by sector for Tokelau from 1990 to 2018</w:t>
        </w:r>
        <w:r w:rsidR="00185AB0" w:rsidRPr="00D9348B">
          <w:rPr>
            <w:webHidden/>
          </w:rPr>
          <w:tab/>
        </w:r>
        <w:r w:rsidR="00185AB0" w:rsidRPr="00D9348B">
          <w:rPr>
            <w:webHidden/>
          </w:rPr>
          <w:fldChar w:fldCharType="begin"/>
        </w:r>
        <w:r w:rsidR="00185AB0" w:rsidRPr="00D9348B">
          <w:rPr>
            <w:webHidden/>
          </w:rPr>
          <w:instrText xml:space="preserve"> PAGEREF _Toc36292767 \h </w:instrText>
        </w:r>
        <w:r w:rsidR="00185AB0" w:rsidRPr="00D9348B">
          <w:rPr>
            <w:webHidden/>
          </w:rPr>
        </w:r>
        <w:r w:rsidR="00185AB0" w:rsidRPr="00D9348B">
          <w:rPr>
            <w:webHidden/>
          </w:rPr>
          <w:fldChar w:fldCharType="separate"/>
        </w:r>
        <w:r w:rsidR="00950F0A">
          <w:rPr>
            <w:webHidden/>
          </w:rPr>
          <w:t>72</w:t>
        </w:r>
        <w:r w:rsidR="00185AB0" w:rsidRPr="00D9348B">
          <w:rPr>
            <w:webHidden/>
          </w:rPr>
          <w:fldChar w:fldCharType="end"/>
        </w:r>
      </w:hyperlink>
    </w:p>
    <w:p w14:paraId="5CBE962E" w14:textId="5BC6F6A3" w:rsidR="00185AB0" w:rsidRPr="00BE3630" w:rsidRDefault="00DA6C03">
      <w:pPr>
        <w:pStyle w:val="TableofFigures"/>
        <w:rPr>
          <w:rFonts w:cs="Times New Roman"/>
          <w:sz w:val="22"/>
        </w:rPr>
      </w:pPr>
      <w:hyperlink w:anchor="_Toc36292768" w:history="1">
        <w:r w:rsidR="00185AB0" w:rsidRPr="00D9348B">
          <w:rPr>
            <w:rStyle w:val="Hyperlink"/>
          </w:rPr>
          <w:t>Figure 3.1.1</w:t>
        </w:r>
        <w:r w:rsidR="00185AB0" w:rsidRPr="00BE3630">
          <w:rPr>
            <w:rFonts w:cs="Times New Roman"/>
            <w:sz w:val="22"/>
          </w:rPr>
          <w:tab/>
        </w:r>
        <w:r w:rsidR="00185AB0" w:rsidRPr="00D9348B">
          <w:rPr>
            <w:rStyle w:val="Hyperlink"/>
          </w:rPr>
          <w:t>New Zealand’s Energy sector emissions (1990–2018)</w:t>
        </w:r>
        <w:r w:rsidR="00185AB0" w:rsidRPr="00D9348B">
          <w:rPr>
            <w:webHidden/>
          </w:rPr>
          <w:tab/>
        </w:r>
        <w:r w:rsidR="00185AB0" w:rsidRPr="00D9348B">
          <w:rPr>
            <w:webHidden/>
          </w:rPr>
          <w:fldChar w:fldCharType="begin"/>
        </w:r>
        <w:r w:rsidR="00185AB0" w:rsidRPr="00D9348B">
          <w:rPr>
            <w:webHidden/>
          </w:rPr>
          <w:instrText xml:space="preserve"> PAGEREF _Toc36292768 \h </w:instrText>
        </w:r>
        <w:r w:rsidR="00185AB0" w:rsidRPr="00D9348B">
          <w:rPr>
            <w:webHidden/>
          </w:rPr>
        </w:r>
        <w:r w:rsidR="00185AB0" w:rsidRPr="00D9348B">
          <w:rPr>
            <w:webHidden/>
          </w:rPr>
          <w:fldChar w:fldCharType="separate"/>
        </w:r>
        <w:r w:rsidR="00950F0A">
          <w:rPr>
            <w:webHidden/>
          </w:rPr>
          <w:t>77</w:t>
        </w:r>
        <w:r w:rsidR="00185AB0" w:rsidRPr="00D9348B">
          <w:rPr>
            <w:webHidden/>
          </w:rPr>
          <w:fldChar w:fldCharType="end"/>
        </w:r>
      </w:hyperlink>
    </w:p>
    <w:p w14:paraId="169442D9" w14:textId="13234E99" w:rsidR="00185AB0" w:rsidRPr="00BE3630" w:rsidRDefault="00DA6C03">
      <w:pPr>
        <w:pStyle w:val="TableofFigures"/>
        <w:rPr>
          <w:rFonts w:cs="Times New Roman"/>
          <w:sz w:val="22"/>
        </w:rPr>
      </w:pPr>
      <w:hyperlink w:anchor="_Toc36292769" w:history="1">
        <w:r w:rsidR="00185AB0" w:rsidRPr="00D9348B">
          <w:rPr>
            <w:rStyle w:val="Hyperlink"/>
          </w:rPr>
          <w:t>Figure 3.2.1</w:t>
        </w:r>
        <w:r w:rsidR="00185AB0" w:rsidRPr="00BE3630">
          <w:rPr>
            <w:rFonts w:cs="Times New Roman"/>
            <w:sz w:val="22"/>
          </w:rPr>
          <w:tab/>
        </w:r>
        <w:r w:rsidR="00185AB0" w:rsidRPr="00D9348B">
          <w:rPr>
            <w:rStyle w:val="Hyperlink"/>
          </w:rPr>
          <w:t>Natural gas consumption by end use type (1990–2018)</w:t>
        </w:r>
        <w:r w:rsidR="00185AB0" w:rsidRPr="00D9348B">
          <w:rPr>
            <w:webHidden/>
          </w:rPr>
          <w:tab/>
        </w:r>
        <w:r w:rsidR="00185AB0" w:rsidRPr="00D9348B">
          <w:rPr>
            <w:webHidden/>
          </w:rPr>
          <w:fldChar w:fldCharType="begin"/>
        </w:r>
        <w:r w:rsidR="00185AB0" w:rsidRPr="00D9348B">
          <w:rPr>
            <w:webHidden/>
          </w:rPr>
          <w:instrText xml:space="preserve"> PAGEREF _Toc36292769 \h </w:instrText>
        </w:r>
        <w:r w:rsidR="00185AB0" w:rsidRPr="00D9348B">
          <w:rPr>
            <w:webHidden/>
          </w:rPr>
        </w:r>
        <w:r w:rsidR="00185AB0" w:rsidRPr="00D9348B">
          <w:rPr>
            <w:webHidden/>
          </w:rPr>
          <w:fldChar w:fldCharType="separate"/>
        </w:r>
        <w:r w:rsidR="00950F0A">
          <w:rPr>
            <w:webHidden/>
          </w:rPr>
          <w:t>81</w:t>
        </w:r>
        <w:r w:rsidR="00185AB0" w:rsidRPr="00D9348B">
          <w:rPr>
            <w:webHidden/>
          </w:rPr>
          <w:fldChar w:fldCharType="end"/>
        </w:r>
      </w:hyperlink>
    </w:p>
    <w:p w14:paraId="50D53408" w14:textId="5BD37A16" w:rsidR="00185AB0" w:rsidRPr="00BE3630" w:rsidRDefault="00DA6C03">
      <w:pPr>
        <w:pStyle w:val="TableofFigures"/>
        <w:rPr>
          <w:rFonts w:cs="Times New Roman"/>
          <w:sz w:val="22"/>
        </w:rPr>
      </w:pPr>
      <w:hyperlink w:anchor="_Toc36292770" w:history="1">
        <w:r w:rsidR="00185AB0" w:rsidRPr="00D9348B">
          <w:rPr>
            <w:rStyle w:val="Hyperlink"/>
          </w:rPr>
          <w:t>Figure 3.3.1</w:t>
        </w:r>
        <w:r w:rsidR="00185AB0" w:rsidRPr="00BE3630">
          <w:rPr>
            <w:rFonts w:cs="Times New Roman"/>
            <w:sz w:val="22"/>
          </w:rPr>
          <w:tab/>
        </w:r>
        <w:r w:rsidR="00185AB0" w:rsidRPr="00D9348B">
          <w:rPr>
            <w:rStyle w:val="Hyperlink"/>
          </w:rPr>
          <w:t xml:space="preserve">Change in New Zealand’s emissions from the fuel combustion categories </w:t>
        </w:r>
        <w:r w:rsidR="009A67BF" w:rsidRPr="00D9348B">
          <w:rPr>
            <w:rStyle w:val="Hyperlink"/>
          </w:rPr>
          <w:br/>
        </w:r>
        <w:r w:rsidR="00185AB0" w:rsidRPr="00D9348B">
          <w:rPr>
            <w:rStyle w:val="Hyperlink"/>
          </w:rPr>
          <w:t>(1990–2018)</w:t>
        </w:r>
        <w:r w:rsidR="00185AB0" w:rsidRPr="00D9348B">
          <w:rPr>
            <w:webHidden/>
          </w:rPr>
          <w:tab/>
        </w:r>
        <w:r w:rsidR="00185AB0" w:rsidRPr="00D9348B">
          <w:rPr>
            <w:webHidden/>
          </w:rPr>
          <w:fldChar w:fldCharType="begin"/>
        </w:r>
        <w:r w:rsidR="00185AB0" w:rsidRPr="00D9348B">
          <w:rPr>
            <w:webHidden/>
          </w:rPr>
          <w:instrText xml:space="preserve"> PAGEREF _Toc36292770 \h </w:instrText>
        </w:r>
        <w:r w:rsidR="00185AB0" w:rsidRPr="00D9348B">
          <w:rPr>
            <w:webHidden/>
          </w:rPr>
        </w:r>
        <w:r w:rsidR="00185AB0" w:rsidRPr="00D9348B">
          <w:rPr>
            <w:webHidden/>
          </w:rPr>
          <w:fldChar w:fldCharType="separate"/>
        </w:r>
        <w:r w:rsidR="00950F0A">
          <w:rPr>
            <w:webHidden/>
          </w:rPr>
          <w:t>82</w:t>
        </w:r>
        <w:r w:rsidR="00185AB0" w:rsidRPr="00D9348B">
          <w:rPr>
            <w:webHidden/>
          </w:rPr>
          <w:fldChar w:fldCharType="end"/>
        </w:r>
      </w:hyperlink>
    </w:p>
    <w:p w14:paraId="1E39EF66" w14:textId="4779EC41" w:rsidR="00185AB0" w:rsidRPr="00BE3630" w:rsidRDefault="00DA6C03">
      <w:pPr>
        <w:pStyle w:val="TableofFigures"/>
        <w:rPr>
          <w:rFonts w:cs="Times New Roman"/>
          <w:sz w:val="22"/>
        </w:rPr>
      </w:pPr>
      <w:hyperlink w:anchor="_Toc36292771" w:history="1">
        <w:r w:rsidR="00185AB0" w:rsidRPr="00D9348B">
          <w:rPr>
            <w:rStyle w:val="Hyperlink"/>
          </w:rPr>
          <w:t xml:space="preserve">Figure 3.3.2 </w:t>
        </w:r>
        <w:r w:rsidR="00185AB0" w:rsidRPr="00BE3630">
          <w:rPr>
            <w:rFonts w:cs="Times New Roman"/>
            <w:sz w:val="22"/>
          </w:rPr>
          <w:tab/>
        </w:r>
        <w:r w:rsidR="00185AB0" w:rsidRPr="00D9348B">
          <w:rPr>
            <w:rStyle w:val="Hyperlink"/>
          </w:rPr>
          <w:t>Energy sector quality control process map</w:t>
        </w:r>
        <w:r w:rsidR="00185AB0" w:rsidRPr="00D9348B">
          <w:rPr>
            <w:webHidden/>
          </w:rPr>
          <w:tab/>
        </w:r>
        <w:r w:rsidR="00185AB0" w:rsidRPr="00D9348B">
          <w:rPr>
            <w:webHidden/>
          </w:rPr>
          <w:fldChar w:fldCharType="begin"/>
        </w:r>
        <w:r w:rsidR="00185AB0" w:rsidRPr="00D9348B">
          <w:rPr>
            <w:webHidden/>
          </w:rPr>
          <w:instrText xml:space="preserve"> PAGEREF _Toc36292771 \h </w:instrText>
        </w:r>
        <w:r w:rsidR="00185AB0" w:rsidRPr="00D9348B">
          <w:rPr>
            <w:webHidden/>
          </w:rPr>
        </w:r>
        <w:r w:rsidR="00185AB0" w:rsidRPr="00D9348B">
          <w:rPr>
            <w:webHidden/>
          </w:rPr>
          <w:fldChar w:fldCharType="separate"/>
        </w:r>
        <w:r w:rsidR="00950F0A">
          <w:rPr>
            <w:webHidden/>
          </w:rPr>
          <w:t>88</w:t>
        </w:r>
        <w:r w:rsidR="00185AB0" w:rsidRPr="00D9348B">
          <w:rPr>
            <w:webHidden/>
          </w:rPr>
          <w:fldChar w:fldCharType="end"/>
        </w:r>
      </w:hyperlink>
    </w:p>
    <w:p w14:paraId="2FA1E363" w14:textId="0E6EC29C" w:rsidR="00185AB0" w:rsidRPr="00BE3630" w:rsidRDefault="00DA6C03">
      <w:pPr>
        <w:pStyle w:val="TableofFigures"/>
        <w:rPr>
          <w:rFonts w:cs="Times New Roman"/>
          <w:sz w:val="22"/>
        </w:rPr>
      </w:pPr>
      <w:hyperlink w:anchor="_Toc36292772" w:history="1">
        <w:r w:rsidR="00185AB0" w:rsidRPr="00D9348B">
          <w:rPr>
            <w:rStyle w:val="Hyperlink"/>
          </w:rPr>
          <w:t xml:space="preserve">Figure 3.3.3 </w:t>
        </w:r>
        <w:r w:rsidR="00185AB0" w:rsidRPr="00BE3630">
          <w:rPr>
            <w:rFonts w:cs="Times New Roman"/>
            <w:sz w:val="22"/>
          </w:rPr>
          <w:tab/>
        </w:r>
        <w:r w:rsidR="00185AB0" w:rsidRPr="00D9348B">
          <w:rPr>
            <w:rStyle w:val="Hyperlink"/>
          </w:rPr>
          <w:t>Carbon dioxide implied emission factor (IEF) – Liquid fuel combustion (1990–2018)</w:t>
        </w:r>
        <w:r w:rsidR="00185AB0" w:rsidRPr="00D9348B">
          <w:rPr>
            <w:webHidden/>
          </w:rPr>
          <w:tab/>
        </w:r>
        <w:r w:rsidR="00185AB0" w:rsidRPr="00D9348B">
          <w:rPr>
            <w:webHidden/>
          </w:rPr>
          <w:fldChar w:fldCharType="begin"/>
        </w:r>
        <w:r w:rsidR="00185AB0" w:rsidRPr="00D9348B">
          <w:rPr>
            <w:webHidden/>
          </w:rPr>
          <w:instrText xml:space="preserve"> PAGEREF _Toc36292772 \h </w:instrText>
        </w:r>
        <w:r w:rsidR="00185AB0" w:rsidRPr="00D9348B">
          <w:rPr>
            <w:webHidden/>
          </w:rPr>
        </w:r>
        <w:r w:rsidR="00185AB0" w:rsidRPr="00D9348B">
          <w:rPr>
            <w:webHidden/>
          </w:rPr>
          <w:fldChar w:fldCharType="separate"/>
        </w:r>
        <w:r w:rsidR="00950F0A">
          <w:rPr>
            <w:webHidden/>
          </w:rPr>
          <w:t>89</w:t>
        </w:r>
        <w:r w:rsidR="00185AB0" w:rsidRPr="00D9348B">
          <w:rPr>
            <w:webHidden/>
          </w:rPr>
          <w:fldChar w:fldCharType="end"/>
        </w:r>
      </w:hyperlink>
    </w:p>
    <w:p w14:paraId="709D23CE" w14:textId="4B7B943E" w:rsidR="00185AB0" w:rsidRPr="00BE3630" w:rsidRDefault="00DA6C03">
      <w:pPr>
        <w:pStyle w:val="TableofFigures"/>
        <w:rPr>
          <w:rFonts w:cs="Times New Roman"/>
          <w:sz w:val="22"/>
        </w:rPr>
      </w:pPr>
      <w:hyperlink w:anchor="_Toc36292773" w:history="1">
        <w:r w:rsidR="00185AB0" w:rsidRPr="00D9348B">
          <w:rPr>
            <w:rStyle w:val="Hyperlink"/>
          </w:rPr>
          <w:t xml:space="preserve">Figure 3.3.4 </w:t>
        </w:r>
        <w:r w:rsidR="00185AB0" w:rsidRPr="00BE3630">
          <w:rPr>
            <w:rFonts w:cs="Times New Roman"/>
            <w:sz w:val="22"/>
          </w:rPr>
          <w:tab/>
        </w:r>
        <w:r w:rsidR="00185AB0" w:rsidRPr="00D9348B">
          <w:rPr>
            <w:rStyle w:val="Hyperlink"/>
          </w:rPr>
          <w:t>Carbon dioxide implied emission factor (IEF) – Solid fuel combustion (1990–2018)</w:t>
        </w:r>
        <w:r w:rsidR="00185AB0" w:rsidRPr="00D9348B">
          <w:rPr>
            <w:webHidden/>
          </w:rPr>
          <w:tab/>
        </w:r>
        <w:r w:rsidR="00185AB0" w:rsidRPr="00D9348B">
          <w:rPr>
            <w:webHidden/>
          </w:rPr>
          <w:fldChar w:fldCharType="begin"/>
        </w:r>
        <w:r w:rsidR="00185AB0" w:rsidRPr="00D9348B">
          <w:rPr>
            <w:webHidden/>
          </w:rPr>
          <w:instrText xml:space="preserve"> PAGEREF _Toc36292773 \h </w:instrText>
        </w:r>
        <w:r w:rsidR="00185AB0" w:rsidRPr="00D9348B">
          <w:rPr>
            <w:webHidden/>
          </w:rPr>
        </w:r>
        <w:r w:rsidR="00185AB0" w:rsidRPr="00D9348B">
          <w:rPr>
            <w:webHidden/>
          </w:rPr>
          <w:fldChar w:fldCharType="separate"/>
        </w:r>
        <w:r w:rsidR="00950F0A">
          <w:rPr>
            <w:webHidden/>
          </w:rPr>
          <w:t>89</w:t>
        </w:r>
        <w:r w:rsidR="00185AB0" w:rsidRPr="00D9348B">
          <w:rPr>
            <w:webHidden/>
          </w:rPr>
          <w:fldChar w:fldCharType="end"/>
        </w:r>
      </w:hyperlink>
    </w:p>
    <w:p w14:paraId="577383AE" w14:textId="728190CF" w:rsidR="00185AB0" w:rsidRPr="00BE3630" w:rsidRDefault="00DA6C03">
      <w:pPr>
        <w:pStyle w:val="TableofFigures"/>
        <w:rPr>
          <w:rFonts w:cs="Times New Roman"/>
          <w:sz w:val="22"/>
        </w:rPr>
      </w:pPr>
      <w:hyperlink w:anchor="_Toc36292774" w:history="1">
        <w:r w:rsidR="00185AB0" w:rsidRPr="00D9348B">
          <w:rPr>
            <w:rStyle w:val="Hyperlink"/>
          </w:rPr>
          <w:t>Figure 3.3.5</w:t>
        </w:r>
        <w:r w:rsidR="00185AB0" w:rsidRPr="00BE3630">
          <w:rPr>
            <w:rFonts w:cs="Times New Roman"/>
            <w:sz w:val="22"/>
          </w:rPr>
          <w:tab/>
        </w:r>
        <w:r w:rsidR="00185AB0" w:rsidRPr="00D9348B">
          <w:rPr>
            <w:rStyle w:val="Hyperlink"/>
            <w:lang w:eastAsia="en-GB"/>
          </w:rPr>
          <w:t xml:space="preserve">Carbon dioxide implied emission factor </w:t>
        </w:r>
        <w:r w:rsidR="00185AB0" w:rsidRPr="00D9348B">
          <w:rPr>
            <w:rStyle w:val="Hyperlink"/>
          </w:rPr>
          <w:t>(IEF)</w:t>
        </w:r>
        <w:r w:rsidR="00185AB0" w:rsidRPr="00D9348B">
          <w:rPr>
            <w:rStyle w:val="Hyperlink"/>
            <w:lang w:eastAsia="en-GB"/>
          </w:rPr>
          <w:t xml:space="preserve"> – Gaseous fuel combustion </w:t>
        </w:r>
        <w:r w:rsidR="009A67BF" w:rsidRPr="00D9348B">
          <w:rPr>
            <w:rStyle w:val="Hyperlink"/>
            <w:lang w:eastAsia="en-GB"/>
          </w:rPr>
          <w:br/>
        </w:r>
        <w:r w:rsidR="00185AB0" w:rsidRPr="00D9348B">
          <w:rPr>
            <w:rStyle w:val="Hyperlink"/>
          </w:rPr>
          <w:t>(1990–2018)</w:t>
        </w:r>
        <w:r w:rsidR="00185AB0" w:rsidRPr="00D9348B">
          <w:rPr>
            <w:webHidden/>
          </w:rPr>
          <w:tab/>
        </w:r>
        <w:r w:rsidR="00185AB0" w:rsidRPr="00D9348B">
          <w:rPr>
            <w:webHidden/>
          </w:rPr>
          <w:fldChar w:fldCharType="begin"/>
        </w:r>
        <w:r w:rsidR="00185AB0" w:rsidRPr="00D9348B">
          <w:rPr>
            <w:webHidden/>
          </w:rPr>
          <w:instrText xml:space="preserve"> PAGEREF _Toc36292774 \h </w:instrText>
        </w:r>
        <w:r w:rsidR="00185AB0" w:rsidRPr="00D9348B">
          <w:rPr>
            <w:webHidden/>
          </w:rPr>
        </w:r>
        <w:r w:rsidR="00185AB0" w:rsidRPr="00D9348B">
          <w:rPr>
            <w:webHidden/>
          </w:rPr>
          <w:fldChar w:fldCharType="separate"/>
        </w:r>
        <w:r w:rsidR="00950F0A">
          <w:rPr>
            <w:webHidden/>
          </w:rPr>
          <w:t>90</w:t>
        </w:r>
        <w:r w:rsidR="00185AB0" w:rsidRPr="00D9348B">
          <w:rPr>
            <w:webHidden/>
          </w:rPr>
          <w:fldChar w:fldCharType="end"/>
        </w:r>
      </w:hyperlink>
    </w:p>
    <w:p w14:paraId="058F8F25" w14:textId="5F8FC23F" w:rsidR="00185AB0" w:rsidRPr="00BE3630" w:rsidRDefault="00DA6C03">
      <w:pPr>
        <w:pStyle w:val="TableofFigures"/>
        <w:rPr>
          <w:rFonts w:cs="Times New Roman"/>
          <w:sz w:val="22"/>
        </w:rPr>
      </w:pPr>
      <w:hyperlink w:anchor="_Toc36292775" w:history="1">
        <w:r w:rsidR="00185AB0" w:rsidRPr="00D9348B">
          <w:rPr>
            <w:rStyle w:val="Hyperlink"/>
          </w:rPr>
          <w:t>Figure 3.3.6</w:t>
        </w:r>
        <w:r w:rsidR="00185AB0" w:rsidRPr="00BE3630">
          <w:rPr>
            <w:rFonts w:cs="Times New Roman"/>
            <w:sz w:val="22"/>
          </w:rPr>
          <w:tab/>
        </w:r>
        <w:r w:rsidR="00185AB0" w:rsidRPr="00D9348B">
          <w:rPr>
            <w:rStyle w:val="Hyperlink"/>
            <w:lang w:eastAsia="en-GB"/>
          </w:rPr>
          <w:t xml:space="preserve">New Zealand’s </w:t>
        </w:r>
        <w:r w:rsidR="00185AB0" w:rsidRPr="00D9348B">
          <w:rPr>
            <w:rStyle w:val="Hyperlink"/>
          </w:rPr>
          <w:t>electricity</w:t>
        </w:r>
        <w:r w:rsidR="00185AB0" w:rsidRPr="00D9348B">
          <w:rPr>
            <w:rStyle w:val="Hyperlink"/>
            <w:lang w:eastAsia="en-GB"/>
          </w:rPr>
          <w:t xml:space="preserve"> generation by source</w:t>
        </w:r>
        <w:r w:rsidR="00185AB0" w:rsidRPr="00D9348B">
          <w:rPr>
            <w:webHidden/>
          </w:rPr>
          <w:tab/>
        </w:r>
        <w:r w:rsidR="00185AB0" w:rsidRPr="00D9348B">
          <w:rPr>
            <w:webHidden/>
          </w:rPr>
          <w:fldChar w:fldCharType="begin"/>
        </w:r>
        <w:r w:rsidR="00185AB0" w:rsidRPr="00D9348B">
          <w:rPr>
            <w:webHidden/>
          </w:rPr>
          <w:instrText xml:space="preserve"> PAGEREF _Toc36292775 \h </w:instrText>
        </w:r>
        <w:r w:rsidR="00185AB0" w:rsidRPr="00D9348B">
          <w:rPr>
            <w:webHidden/>
          </w:rPr>
        </w:r>
        <w:r w:rsidR="00185AB0" w:rsidRPr="00D9348B">
          <w:rPr>
            <w:webHidden/>
          </w:rPr>
          <w:fldChar w:fldCharType="separate"/>
        </w:r>
        <w:r w:rsidR="00950F0A">
          <w:rPr>
            <w:webHidden/>
          </w:rPr>
          <w:t>92</w:t>
        </w:r>
        <w:r w:rsidR="00185AB0" w:rsidRPr="00D9348B">
          <w:rPr>
            <w:webHidden/>
          </w:rPr>
          <w:fldChar w:fldCharType="end"/>
        </w:r>
      </w:hyperlink>
    </w:p>
    <w:p w14:paraId="6F732540" w14:textId="3CD8186A" w:rsidR="00185AB0" w:rsidRPr="00BE3630" w:rsidRDefault="00DA6C03">
      <w:pPr>
        <w:pStyle w:val="TableofFigures"/>
        <w:rPr>
          <w:rFonts w:cs="Times New Roman"/>
          <w:sz w:val="22"/>
        </w:rPr>
      </w:pPr>
      <w:hyperlink w:anchor="_Toc36292776" w:history="1">
        <w:r w:rsidR="00185AB0" w:rsidRPr="00D9348B">
          <w:rPr>
            <w:rStyle w:val="Hyperlink"/>
          </w:rPr>
          <w:t>Figure 3.3.7</w:t>
        </w:r>
        <w:r w:rsidR="00185AB0" w:rsidRPr="00BE3630">
          <w:rPr>
            <w:rFonts w:cs="Times New Roman"/>
            <w:sz w:val="22"/>
          </w:rPr>
          <w:tab/>
        </w:r>
        <w:r w:rsidR="00185AB0" w:rsidRPr="00D9348B">
          <w:rPr>
            <w:rStyle w:val="Hyperlink"/>
            <w:lang w:eastAsia="en-GB"/>
          </w:rPr>
          <w:t>Decision tree to identify a main activity electricity generator or an autoproducer</w:t>
        </w:r>
        <w:r w:rsidR="00185AB0" w:rsidRPr="00D9348B">
          <w:rPr>
            <w:webHidden/>
          </w:rPr>
          <w:tab/>
        </w:r>
        <w:r w:rsidR="00185AB0" w:rsidRPr="00D9348B">
          <w:rPr>
            <w:webHidden/>
          </w:rPr>
          <w:fldChar w:fldCharType="begin"/>
        </w:r>
        <w:r w:rsidR="00185AB0" w:rsidRPr="00D9348B">
          <w:rPr>
            <w:webHidden/>
          </w:rPr>
          <w:instrText xml:space="preserve"> PAGEREF _Toc36292776 \h </w:instrText>
        </w:r>
        <w:r w:rsidR="00185AB0" w:rsidRPr="00D9348B">
          <w:rPr>
            <w:webHidden/>
          </w:rPr>
        </w:r>
        <w:r w:rsidR="00185AB0" w:rsidRPr="00D9348B">
          <w:rPr>
            <w:webHidden/>
          </w:rPr>
          <w:fldChar w:fldCharType="separate"/>
        </w:r>
        <w:r w:rsidR="00950F0A">
          <w:rPr>
            <w:webHidden/>
          </w:rPr>
          <w:t>93</w:t>
        </w:r>
        <w:r w:rsidR="00185AB0" w:rsidRPr="00D9348B">
          <w:rPr>
            <w:webHidden/>
          </w:rPr>
          <w:fldChar w:fldCharType="end"/>
        </w:r>
      </w:hyperlink>
    </w:p>
    <w:p w14:paraId="2F690BE6" w14:textId="342D5032" w:rsidR="00185AB0" w:rsidRPr="00BE3630" w:rsidRDefault="00DA6C03">
      <w:pPr>
        <w:pStyle w:val="TableofFigures"/>
        <w:rPr>
          <w:rFonts w:cs="Times New Roman"/>
          <w:sz w:val="22"/>
        </w:rPr>
      </w:pPr>
      <w:hyperlink w:anchor="_Toc36292777" w:history="1">
        <w:r w:rsidR="00185AB0" w:rsidRPr="00D9348B">
          <w:rPr>
            <w:rStyle w:val="Hyperlink"/>
          </w:rPr>
          <w:t xml:space="preserve">Figure 3.3.8 </w:t>
        </w:r>
        <w:r w:rsidR="00185AB0" w:rsidRPr="00BE3630">
          <w:rPr>
            <w:rFonts w:cs="Times New Roman"/>
            <w:sz w:val="22"/>
          </w:rPr>
          <w:tab/>
        </w:r>
        <w:r w:rsidR="00185AB0" w:rsidRPr="00D9348B">
          <w:rPr>
            <w:rStyle w:val="Hyperlink"/>
          </w:rPr>
          <w:t>Splits used for Manufacturing industries and construction category – Gasoline (1990–2018)</w:t>
        </w:r>
        <w:r w:rsidR="00185AB0" w:rsidRPr="00D9348B">
          <w:rPr>
            <w:webHidden/>
          </w:rPr>
          <w:tab/>
        </w:r>
        <w:r w:rsidR="00185AB0" w:rsidRPr="00D9348B">
          <w:rPr>
            <w:webHidden/>
          </w:rPr>
          <w:fldChar w:fldCharType="begin"/>
        </w:r>
        <w:r w:rsidR="00185AB0" w:rsidRPr="00D9348B">
          <w:rPr>
            <w:webHidden/>
          </w:rPr>
          <w:instrText xml:space="preserve"> PAGEREF _Toc36292777 \h </w:instrText>
        </w:r>
        <w:r w:rsidR="00185AB0" w:rsidRPr="00D9348B">
          <w:rPr>
            <w:webHidden/>
          </w:rPr>
        </w:r>
        <w:r w:rsidR="00185AB0" w:rsidRPr="00D9348B">
          <w:rPr>
            <w:webHidden/>
          </w:rPr>
          <w:fldChar w:fldCharType="separate"/>
        </w:r>
        <w:r w:rsidR="00950F0A">
          <w:rPr>
            <w:webHidden/>
          </w:rPr>
          <w:t>97</w:t>
        </w:r>
        <w:r w:rsidR="00185AB0" w:rsidRPr="00D9348B">
          <w:rPr>
            <w:webHidden/>
          </w:rPr>
          <w:fldChar w:fldCharType="end"/>
        </w:r>
      </w:hyperlink>
    </w:p>
    <w:p w14:paraId="6BFA55F0" w14:textId="721887A6" w:rsidR="00185AB0" w:rsidRPr="00BE3630" w:rsidRDefault="00DA6C03">
      <w:pPr>
        <w:pStyle w:val="TableofFigures"/>
        <w:rPr>
          <w:rFonts w:cs="Times New Roman"/>
          <w:sz w:val="22"/>
        </w:rPr>
      </w:pPr>
      <w:hyperlink w:anchor="_Toc36292778" w:history="1">
        <w:r w:rsidR="00185AB0" w:rsidRPr="00D9348B">
          <w:rPr>
            <w:rStyle w:val="Hyperlink"/>
          </w:rPr>
          <w:t xml:space="preserve">Figure 3.3.9 </w:t>
        </w:r>
        <w:r w:rsidR="00185AB0" w:rsidRPr="00BE3630">
          <w:rPr>
            <w:rFonts w:cs="Times New Roman"/>
            <w:sz w:val="22"/>
          </w:rPr>
          <w:tab/>
        </w:r>
        <w:r w:rsidR="00185AB0" w:rsidRPr="00D9348B">
          <w:rPr>
            <w:rStyle w:val="Hyperlink"/>
          </w:rPr>
          <w:t xml:space="preserve">Splits used for Manufacturing industries and construction category – Diesel </w:t>
        </w:r>
        <w:r w:rsidR="009A67BF" w:rsidRPr="00D9348B">
          <w:rPr>
            <w:rStyle w:val="Hyperlink"/>
          </w:rPr>
          <w:br/>
        </w:r>
        <w:r w:rsidR="00185AB0" w:rsidRPr="00D9348B">
          <w:rPr>
            <w:rStyle w:val="Hyperlink"/>
          </w:rPr>
          <w:t>(1990–2018)</w:t>
        </w:r>
        <w:r w:rsidR="00185AB0" w:rsidRPr="00D9348B">
          <w:rPr>
            <w:webHidden/>
          </w:rPr>
          <w:tab/>
        </w:r>
        <w:r w:rsidR="00185AB0" w:rsidRPr="00D9348B">
          <w:rPr>
            <w:webHidden/>
          </w:rPr>
          <w:fldChar w:fldCharType="begin"/>
        </w:r>
        <w:r w:rsidR="00185AB0" w:rsidRPr="00D9348B">
          <w:rPr>
            <w:webHidden/>
          </w:rPr>
          <w:instrText xml:space="preserve"> PAGEREF _Toc36292778 \h </w:instrText>
        </w:r>
        <w:r w:rsidR="00185AB0" w:rsidRPr="00D9348B">
          <w:rPr>
            <w:webHidden/>
          </w:rPr>
        </w:r>
        <w:r w:rsidR="00185AB0" w:rsidRPr="00D9348B">
          <w:rPr>
            <w:webHidden/>
          </w:rPr>
          <w:fldChar w:fldCharType="separate"/>
        </w:r>
        <w:r w:rsidR="00950F0A">
          <w:rPr>
            <w:webHidden/>
          </w:rPr>
          <w:t>98</w:t>
        </w:r>
        <w:r w:rsidR="00185AB0" w:rsidRPr="00D9348B">
          <w:rPr>
            <w:webHidden/>
          </w:rPr>
          <w:fldChar w:fldCharType="end"/>
        </w:r>
      </w:hyperlink>
    </w:p>
    <w:p w14:paraId="7DBFBACA" w14:textId="1E3ACBE5" w:rsidR="00185AB0" w:rsidRPr="00BE3630" w:rsidRDefault="00DA6C03">
      <w:pPr>
        <w:pStyle w:val="TableofFigures"/>
        <w:rPr>
          <w:rFonts w:cs="Times New Roman"/>
          <w:sz w:val="22"/>
        </w:rPr>
      </w:pPr>
      <w:hyperlink w:anchor="_Toc36292779" w:history="1">
        <w:r w:rsidR="00185AB0" w:rsidRPr="00D9348B">
          <w:rPr>
            <w:rStyle w:val="Hyperlink"/>
          </w:rPr>
          <w:t xml:space="preserve">Figure 3.3.10 </w:t>
        </w:r>
        <w:r w:rsidR="00185AB0" w:rsidRPr="00BE3630">
          <w:rPr>
            <w:rFonts w:cs="Times New Roman"/>
            <w:sz w:val="22"/>
          </w:rPr>
          <w:tab/>
        </w:r>
        <w:r w:rsidR="00185AB0" w:rsidRPr="00D9348B">
          <w:rPr>
            <w:rStyle w:val="Hyperlink"/>
          </w:rPr>
          <w:t xml:space="preserve">Splits used for Manufacturing industries and construction category – Fuel oil </w:t>
        </w:r>
        <w:r w:rsidR="00867E9D" w:rsidRPr="00D9348B">
          <w:rPr>
            <w:rStyle w:val="Hyperlink"/>
          </w:rPr>
          <w:br/>
        </w:r>
        <w:r w:rsidR="00185AB0" w:rsidRPr="00D9348B">
          <w:rPr>
            <w:rStyle w:val="Hyperlink"/>
          </w:rPr>
          <w:t>(1990–2018)</w:t>
        </w:r>
        <w:r w:rsidR="00185AB0" w:rsidRPr="00D9348B">
          <w:rPr>
            <w:webHidden/>
          </w:rPr>
          <w:tab/>
        </w:r>
        <w:r w:rsidR="00185AB0" w:rsidRPr="00D9348B">
          <w:rPr>
            <w:webHidden/>
          </w:rPr>
          <w:fldChar w:fldCharType="begin"/>
        </w:r>
        <w:r w:rsidR="00185AB0" w:rsidRPr="00D9348B">
          <w:rPr>
            <w:webHidden/>
          </w:rPr>
          <w:instrText xml:space="preserve"> PAGEREF _Toc36292779 \h </w:instrText>
        </w:r>
        <w:r w:rsidR="00185AB0" w:rsidRPr="00D9348B">
          <w:rPr>
            <w:webHidden/>
          </w:rPr>
        </w:r>
        <w:r w:rsidR="00185AB0" w:rsidRPr="00D9348B">
          <w:rPr>
            <w:webHidden/>
          </w:rPr>
          <w:fldChar w:fldCharType="separate"/>
        </w:r>
        <w:r w:rsidR="00950F0A">
          <w:rPr>
            <w:webHidden/>
          </w:rPr>
          <w:t>98</w:t>
        </w:r>
        <w:r w:rsidR="00185AB0" w:rsidRPr="00D9348B">
          <w:rPr>
            <w:webHidden/>
          </w:rPr>
          <w:fldChar w:fldCharType="end"/>
        </w:r>
      </w:hyperlink>
    </w:p>
    <w:p w14:paraId="3F6DD916" w14:textId="656ED455" w:rsidR="00185AB0" w:rsidRPr="00BE3630" w:rsidRDefault="00DA6C03">
      <w:pPr>
        <w:pStyle w:val="TableofFigures"/>
        <w:rPr>
          <w:rFonts w:cs="Times New Roman"/>
          <w:sz w:val="22"/>
        </w:rPr>
      </w:pPr>
      <w:hyperlink w:anchor="_Toc36292780" w:history="1">
        <w:r w:rsidR="00185AB0" w:rsidRPr="00D9348B">
          <w:rPr>
            <w:rStyle w:val="Hyperlink"/>
          </w:rPr>
          <w:t>Figure 3.3.11</w:t>
        </w:r>
        <w:r w:rsidR="00185AB0" w:rsidRPr="00D9348B">
          <w:rPr>
            <w:rStyle w:val="Hyperlink"/>
            <w:lang w:eastAsia="en-GB"/>
          </w:rPr>
          <w:t xml:space="preserve"> </w:t>
        </w:r>
        <w:r w:rsidR="00185AB0" w:rsidRPr="00BE3630">
          <w:rPr>
            <w:rFonts w:cs="Times New Roman"/>
            <w:sz w:val="22"/>
          </w:rPr>
          <w:tab/>
        </w:r>
        <w:r w:rsidR="00185AB0" w:rsidRPr="00D9348B">
          <w:rPr>
            <w:rStyle w:val="Hyperlink"/>
            <w:lang w:eastAsia="en-GB"/>
          </w:rPr>
          <w:t>Splicing method decision tree for gasoline emissions</w:t>
        </w:r>
        <w:r w:rsidR="00185AB0" w:rsidRPr="00D9348B">
          <w:rPr>
            <w:webHidden/>
          </w:rPr>
          <w:tab/>
        </w:r>
        <w:r w:rsidR="00185AB0" w:rsidRPr="00D9348B">
          <w:rPr>
            <w:webHidden/>
          </w:rPr>
          <w:fldChar w:fldCharType="begin"/>
        </w:r>
        <w:r w:rsidR="00185AB0" w:rsidRPr="00D9348B">
          <w:rPr>
            <w:webHidden/>
          </w:rPr>
          <w:instrText xml:space="preserve"> PAGEREF _Toc36292780 \h </w:instrText>
        </w:r>
        <w:r w:rsidR="00185AB0" w:rsidRPr="00D9348B">
          <w:rPr>
            <w:webHidden/>
          </w:rPr>
        </w:r>
        <w:r w:rsidR="00185AB0" w:rsidRPr="00D9348B">
          <w:rPr>
            <w:webHidden/>
          </w:rPr>
          <w:fldChar w:fldCharType="separate"/>
        </w:r>
        <w:r w:rsidR="00950F0A">
          <w:rPr>
            <w:webHidden/>
          </w:rPr>
          <w:t>103</w:t>
        </w:r>
        <w:r w:rsidR="00185AB0" w:rsidRPr="00D9348B">
          <w:rPr>
            <w:webHidden/>
          </w:rPr>
          <w:fldChar w:fldCharType="end"/>
        </w:r>
      </w:hyperlink>
    </w:p>
    <w:p w14:paraId="742DE4A6" w14:textId="21F1FEBD" w:rsidR="00185AB0" w:rsidRPr="00BE3630" w:rsidRDefault="00DA6C03">
      <w:pPr>
        <w:pStyle w:val="TableofFigures"/>
        <w:rPr>
          <w:rFonts w:cs="Times New Roman"/>
          <w:sz w:val="22"/>
        </w:rPr>
      </w:pPr>
      <w:hyperlink w:anchor="_Toc36292781" w:history="1">
        <w:r w:rsidR="00185AB0" w:rsidRPr="00D9348B">
          <w:rPr>
            <w:rStyle w:val="Hyperlink"/>
          </w:rPr>
          <w:t xml:space="preserve">Figure 3.4.1 </w:t>
        </w:r>
        <w:r w:rsidR="00185AB0" w:rsidRPr="00BE3630">
          <w:rPr>
            <w:rFonts w:cs="Times New Roman"/>
            <w:sz w:val="22"/>
          </w:rPr>
          <w:tab/>
        </w:r>
        <w:r w:rsidR="00185AB0" w:rsidRPr="00D9348B">
          <w:rPr>
            <w:rStyle w:val="Hyperlink"/>
          </w:rPr>
          <w:t xml:space="preserve">Schematic diagram of the use of geothermal fluid for electricity generation </w:t>
        </w:r>
        <w:r w:rsidR="00867E9D" w:rsidRPr="00D9348B">
          <w:rPr>
            <w:rStyle w:val="Hyperlink"/>
          </w:rPr>
          <w:br/>
        </w:r>
        <w:r w:rsidR="00185AB0" w:rsidRPr="00D9348B">
          <w:rPr>
            <w:rStyle w:val="Hyperlink"/>
          </w:rPr>
          <w:t>– as at Wairakei and Ohaaki geothermal stations (New Zealand Institute of Chemistry, 1998)</w:t>
        </w:r>
        <w:r w:rsidR="00185AB0" w:rsidRPr="00D9348B">
          <w:rPr>
            <w:webHidden/>
          </w:rPr>
          <w:tab/>
        </w:r>
        <w:r w:rsidR="00185AB0" w:rsidRPr="00D9348B">
          <w:rPr>
            <w:webHidden/>
          </w:rPr>
          <w:fldChar w:fldCharType="begin"/>
        </w:r>
        <w:r w:rsidR="00185AB0" w:rsidRPr="00D9348B">
          <w:rPr>
            <w:webHidden/>
          </w:rPr>
          <w:instrText xml:space="preserve"> PAGEREF _Toc36292781 \h </w:instrText>
        </w:r>
        <w:r w:rsidR="00185AB0" w:rsidRPr="00D9348B">
          <w:rPr>
            <w:webHidden/>
          </w:rPr>
        </w:r>
        <w:r w:rsidR="00185AB0" w:rsidRPr="00D9348B">
          <w:rPr>
            <w:webHidden/>
          </w:rPr>
          <w:fldChar w:fldCharType="separate"/>
        </w:r>
        <w:r w:rsidR="00950F0A">
          <w:rPr>
            <w:webHidden/>
          </w:rPr>
          <w:t>116</w:t>
        </w:r>
        <w:r w:rsidR="00185AB0" w:rsidRPr="00D9348B">
          <w:rPr>
            <w:webHidden/>
          </w:rPr>
          <w:fldChar w:fldCharType="end"/>
        </w:r>
      </w:hyperlink>
    </w:p>
    <w:p w14:paraId="1FA9B555" w14:textId="6E9DAB45" w:rsidR="00185AB0" w:rsidRPr="00BE3630" w:rsidRDefault="00DA6C03">
      <w:pPr>
        <w:pStyle w:val="TableofFigures"/>
        <w:rPr>
          <w:rFonts w:cs="Times New Roman"/>
          <w:sz w:val="22"/>
        </w:rPr>
      </w:pPr>
      <w:hyperlink w:anchor="_Toc36292782" w:history="1">
        <w:r w:rsidR="00185AB0" w:rsidRPr="00D9348B">
          <w:rPr>
            <w:rStyle w:val="Hyperlink"/>
          </w:rPr>
          <w:t>Figure 4.1.1</w:t>
        </w:r>
        <w:r w:rsidR="00185AB0" w:rsidRPr="00BE3630">
          <w:rPr>
            <w:rFonts w:cs="Times New Roman"/>
            <w:sz w:val="22"/>
          </w:rPr>
          <w:tab/>
        </w:r>
        <w:r w:rsidR="00185AB0" w:rsidRPr="00D9348B">
          <w:rPr>
            <w:rStyle w:val="Hyperlink"/>
          </w:rPr>
          <w:t>New Zealand’s annual emissions from the IPPU sector from 1990 to 2018</w:t>
        </w:r>
        <w:r w:rsidR="00185AB0" w:rsidRPr="00D9348B">
          <w:rPr>
            <w:webHidden/>
          </w:rPr>
          <w:tab/>
        </w:r>
        <w:r w:rsidR="00185AB0" w:rsidRPr="00D9348B">
          <w:rPr>
            <w:webHidden/>
          </w:rPr>
          <w:fldChar w:fldCharType="begin"/>
        </w:r>
        <w:r w:rsidR="00185AB0" w:rsidRPr="00D9348B">
          <w:rPr>
            <w:webHidden/>
          </w:rPr>
          <w:instrText xml:space="preserve"> PAGEREF _Toc36292782 \h </w:instrText>
        </w:r>
        <w:r w:rsidR="00185AB0" w:rsidRPr="00D9348B">
          <w:rPr>
            <w:webHidden/>
          </w:rPr>
        </w:r>
        <w:r w:rsidR="00185AB0" w:rsidRPr="00D9348B">
          <w:rPr>
            <w:webHidden/>
          </w:rPr>
          <w:fldChar w:fldCharType="separate"/>
        </w:r>
        <w:r w:rsidR="00950F0A">
          <w:rPr>
            <w:webHidden/>
          </w:rPr>
          <w:t>124</w:t>
        </w:r>
        <w:r w:rsidR="00185AB0" w:rsidRPr="00D9348B">
          <w:rPr>
            <w:webHidden/>
          </w:rPr>
          <w:fldChar w:fldCharType="end"/>
        </w:r>
      </w:hyperlink>
    </w:p>
    <w:p w14:paraId="4C9E4FA0" w14:textId="6A7C2446" w:rsidR="00185AB0" w:rsidRPr="00BE3630" w:rsidRDefault="00DA6C03">
      <w:pPr>
        <w:pStyle w:val="TableofFigures"/>
        <w:rPr>
          <w:rFonts w:cs="Times New Roman"/>
          <w:sz w:val="22"/>
        </w:rPr>
      </w:pPr>
      <w:hyperlink w:anchor="_Toc36292783" w:history="1">
        <w:r w:rsidR="00185AB0" w:rsidRPr="00D9348B">
          <w:rPr>
            <w:rStyle w:val="Hyperlink"/>
          </w:rPr>
          <w:t>Figure 4.1.2</w:t>
        </w:r>
        <w:r w:rsidR="00185AB0" w:rsidRPr="00BE3630">
          <w:rPr>
            <w:rFonts w:cs="Times New Roman"/>
            <w:sz w:val="22"/>
          </w:rPr>
          <w:tab/>
        </w:r>
        <w:r w:rsidR="00185AB0" w:rsidRPr="00D9348B">
          <w:rPr>
            <w:rStyle w:val="Hyperlink"/>
          </w:rPr>
          <w:t>Change in New Zealand’s emissions from the IPPU sector from 1990 to 2018</w:t>
        </w:r>
        <w:r w:rsidR="00185AB0" w:rsidRPr="00D9348B">
          <w:rPr>
            <w:webHidden/>
          </w:rPr>
          <w:tab/>
        </w:r>
        <w:r w:rsidR="00185AB0" w:rsidRPr="00D9348B">
          <w:rPr>
            <w:webHidden/>
          </w:rPr>
          <w:fldChar w:fldCharType="begin"/>
        </w:r>
        <w:r w:rsidR="00185AB0" w:rsidRPr="00D9348B">
          <w:rPr>
            <w:webHidden/>
          </w:rPr>
          <w:instrText xml:space="preserve"> PAGEREF _Toc36292783 \h </w:instrText>
        </w:r>
        <w:r w:rsidR="00185AB0" w:rsidRPr="00D9348B">
          <w:rPr>
            <w:webHidden/>
          </w:rPr>
        </w:r>
        <w:r w:rsidR="00185AB0" w:rsidRPr="00D9348B">
          <w:rPr>
            <w:webHidden/>
          </w:rPr>
          <w:fldChar w:fldCharType="separate"/>
        </w:r>
        <w:r w:rsidR="00950F0A">
          <w:rPr>
            <w:webHidden/>
          </w:rPr>
          <w:t>124</w:t>
        </w:r>
        <w:r w:rsidR="00185AB0" w:rsidRPr="00D9348B">
          <w:rPr>
            <w:webHidden/>
          </w:rPr>
          <w:fldChar w:fldCharType="end"/>
        </w:r>
      </w:hyperlink>
    </w:p>
    <w:p w14:paraId="70618D7B" w14:textId="202B1676" w:rsidR="00185AB0" w:rsidRPr="00BE3630" w:rsidRDefault="00DA6C03">
      <w:pPr>
        <w:pStyle w:val="TableofFigures"/>
        <w:rPr>
          <w:rFonts w:cs="Times New Roman"/>
          <w:sz w:val="22"/>
        </w:rPr>
      </w:pPr>
      <w:hyperlink w:anchor="_Toc36292784" w:history="1">
        <w:r w:rsidR="00185AB0" w:rsidRPr="00D9348B">
          <w:rPr>
            <w:rStyle w:val="Hyperlink"/>
          </w:rPr>
          <w:t xml:space="preserve">Figure 4.1.3 </w:t>
        </w:r>
        <w:r w:rsidR="00185AB0" w:rsidRPr="00BE3630">
          <w:rPr>
            <w:rFonts w:cs="Times New Roman"/>
            <w:sz w:val="22"/>
          </w:rPr>
          <w:tab/>
        </w:r>
        <w:r w:rsidR="00185AB0" w:rsidRPr="00D9348B">
          <w:rPr>
            <w:rStyle w:val="Hyperlink"/>
          </w:rPr>
          <w:t>Example: Tier 1 quality checks for the IPPU sector</w:t>
        </w:r>
        <w:r w:rsidR="00185AB0" w:rsidRPr="00D9348B">
          <w:rPr>
            <w:webHidden/>
          </w:rPr>
          <w:tab/>
        </w:r>
        <w:r w:rsidR="00185AB0" w:rsidRPr="00D9348B">
          <w:rPr>
            <w:webHidden/>
          </w:rPr>
          <w:fldChar w:fldCharType="begin"/>
        </w:r>
        <w:r w:rsidR="00185AB0" w:rsidRPr="00D9348B">
          <w:rPr>
            <w:webHidden/>
          </w:rPr>
          <w:instrText xml:space="preserve"> PAGEREF _Toc36292784 \h </w:instrText>
        </w:r>
        <w:r w:rsidR="00185AB0" w:rsidRPr="00D9348B">
          <w:rPr>
            <w:webHidden/>
          </w:rPr>
        </w:r>
        <w:r w:rsidR="00185AB0" w:rsidRPr="00D9348B">
          <w:rPr>
            <w:webHidden/>
          </w:rPr>
          <w:fldChar w:fldCharType="separate"/>
        </w:r>
        <w:r w:rsidR="00950F0A">
          <w:rPr>
            <w:webHidden/>
          </w:rPr>
          <w:t>126</w:t>
        </w:r>
        <w:r w:rsidR="00185AB0" w:rsidRPr="00D9348B">
          <w:rPr>
            <w:webHidden/>
          </w:rPr>
          <w:fldChar w:fldCharType="end"/>
        </w:r>
      </w:hyperlink>
    </w:p>
    <w:p w14:paraId="697D9826" w14:textId="441AE9F4" w:rsidR="00185AB0" w:rsidRPr="00BE3630" w:rsidRDefault="00DA6C03">
      <w:pPr>
        <w:pStyle w:val="TableofFigures"/>
        <w:rPr>
          <w:rFonts w:cs="Times New Roman"/>
          <w:sz w:val="22"/>
        </w:rPr>
      </w:pPr>
      <w:hyperlink w:anchor="_Toc36292785" w:history="1">
        <w:r w:rsidR="00185AB0" w:rsidRPr="00D9348B">
          <w:rPr>
            <w:rStyle w:val="Hyperlink"/>
          </w:rPr>
          <w:t xml:space="preserve">Figure 4.4.1 </w:t>
        </w:r>
        <w:r w:rsidR="00185AB0" w:rsidRPr="00BE3630">
          <w:rPr>
            <w:rFonts w:cs="Times New Roman"/>
            <w:sz w:val="22"/>
          </w:rPr>
          <w:tab/>
        </w:r>
        <w:r w:rsidR="00185AB0" w:rsidRPr="00D9348B">
          <w:rPr>
            <w:rStyle w:val="Hyperlink"/>
          </w:rPr>
          <w:t>Simplified schematic of iron and steel production in New Zealand</w:t>
        </w:r>
        <w:r w:rsidR="00185AB0" w:rsidRPr="00D9348B">
          <w:rPr>
            <w:webHidden/>
          </w:rPr>
          <w:tab/>
        </w:r>
        <w:r w:rsidR="00185AB0" w:rsidRPr="00D9348B">
          <w:rPr>
            <w:webHidden/>
          </w:rPr>
          <w:fldChar w:fldCharType="begin"/>
        </w:r>
        <w:r w:rsidR="00185AB0" w:rsidRPr="00D9348B">
          <w:rPr>
            <w:webHidden/>
          </w:rPr>
          <w:instrText xml:space="preserve"> PAGEREF _Toc36292785 \h </w:instrText>
        </w:r>
        <w:r w:rsidR="00185AB0" w:rsidRPr="00D9348B">
          <w:rPr>
            <w:webHidden/>
          </w:rPr>
        </w:r>
        <w:r w:rsidR="00185AB0" w:rsidRPr="00D9348B">
          <w:rPr>
            <w:webHidden/>
          </w:rPr>
          <w:fldChar w:fldCharType="separate"/>
        </w:r>
        <w:r w:rsidR="00950F0A">
          <w:rPr>
            <w:webHidden/>
          </w:rPr>
          <w:t>137</w:t>
        </w:r>
        <w:r w:rsidR="00185AB0" w:rsidRPr="00D9348B">
          <w:rPr>
            <w:webHidden/>
          </w:rPr>
          <w:fldChar w:fldCharType="end"/>
        </w:r>
      </w:hyperlink>
    </w:p>
    <w:p w14:paraId="1242DC60" w14:textId="1A932655" w:rsidR="00185AB0" w:rsidRPr="00BE3630" w:rsidRDefault="00DA6C03">
      <w:pPr>
        <w:pStyle w:val="TableofFigures"/>
        <w:rPr>
          <w:rFonts w:cs="Times New Roman"/>
          <w:sz w:val="22"/>
        </w:rPr>
      </w:pPr>
      <w:hyperlink w:anchor="_Toc36292786" w:history="1">
        <w:r w:rsidR="00185AB0" w:rsidRPr="00D9348B">
          <w:rPr>
            <w:rStyle w:val="Hyperlink"/>
          </w:rPr>
          <w:t>Figure 5.1.1</w:t>
        </w:r>
        <w:r w:rsidR="00185AB0" w:rsidRPr="00BE3630">
          <w:rPr>
            <w:rFonts w:cs="Times New Roman"/>
            <w:sz w:val="22"/>
          </w:rPr>
          <w:tab/>
        </w:r>
        <w:r w:rsidR="00185AB0" w:rsidRPr="00D9348B">
          <w:rPr>
            <w:rStyle w:val="Hyperlink"/>
          </w:rPr>
          <w:t>Change in New Zealand’s emissions from the Agriculture sector from 1990 to 2018</w:t>
        </w:r>
        <w:r w:rsidR="00185AB0" w:rsidRPr="00D9348B">
          <w:rPr>
            <w:webHidden/>
          </w:rPr>
          <w:tab/>
        </w:r>
        <w:r w:rsidR="00185AB0" w:rsidRPr="00D9348B">
          <w:rPr>
            <w:webHidden/>
          </w:rPr>
          <w:fldChar w:fldCharType="begin"/>
        </w:r>
        <w:r w:rsidR="00185AB0" w:rsidRPr="00D9348B">
          <w:rPr>
            <w:webHidden/>
          </w:rPr>
          <w:instrText xml:space="preserve"> PAGEREF _Toc36292786 \h </w:instrText>
        </w:r>
        <w:r w:rsidR="00185AB0" w:rsidRPr="00D9348B">
          <w:rPr>
            <w:webHidden/>
          </w:rPr>
        </w:r>
        <w:r w:rsidR="00185AB0" w:rsidRPr="00D9348B">
          <w:rPr>
            <w:webHidden/>
          </w:rPr>
          <w:fldChar w:fldCharType="separate"/>
        </w:r>
        <w:r w:rsidR="00950F0A">
          <w:rPr>
            <w:webHidden/>
          </w:rPr>
          <w:t>156</w:t>
        </w:r>
        <w:r w:rsidR="00185AB0" w:rsidRPr="00D9348B">
          <w:rPr>
            <w:webHidden/>
          </w:rPr>
          <w:fldChar w:fldCharType="end"/>
        </w:r>
      </w:hyperlink>
    </w:p>
    <w:p w14:paraId="2A0CF7F0" w14:textId="718136CB" w:rsidR="00185AB0" w:rsidRPr="00BE3630" w:rsidRDefault="00DA6C03">
      <w:pPr>
        <w:pStyle w:val="TableofFigures"/>
        <w:rPr>
          <w:rFonts w:cs="Times New Roman"/>
          <w:sz w:val="22"/>
        </w:rPr>
      </w:pPr>
      <w:hyperlink w:anchor="_Toc36292787" w:history="1">
        <w:r w:rsidR="00185AB0" w:rsidRPr="00D9348B">
          <w:rPr>
            <w:rStyle w:val="Hyperlink"/>
          </w:rPr>
          <w:t>Figure 5.1.2</w:t>
        </w:r>
        <w:r w:rsidR="00185AB0" w:rsidRPr="00BE3630">
          <w:rPr>
            <w:rFonts w:cs="Times New Roman"/>
            <w:sz w:val="22"/>
          </w:rPr>
          <w:tab/>
        </w:r>
        <w:r w:rsidR="00185AB0" w:rsidRPr="00D9348B">
          <w:rPr>
            <w:rStyle w:val="Hyperlink"/>
          </w:rPr>
          <w:t>New Zealand’s Agriculture sector emissions from 1990 to 2018</w:t>
        </w:r>
        <w:r w:rsidR="00185AB0" w:rsidRPr="00D9348B">
          <w:rPr>
            <w:webHidden/>
          </w:rPr>
          <w:tab/>
        </w:r>
        <w:r w:rsidR="00185AB0" w:rsidRPr="00D9348B">
          <w:rPr>
            <w:webHidden/>
          </w:rPr>
          <w:fldChar w:fldCharType="begin"/>
        </w:r>
        <w:r w:rsidR="00185AB0" w:rsidRPr="00D9348B">
          <w:rPr>
            <w:webHidden/>
          </w:rPr>
          <w:instrText xml:space="preserve"> PAGEREF _Toc36292787 \h </w:instrText>
        </w:r>
        <w:r w:rsidR="00185AB0" w:rsidRPr="00D9348B">
          <w:rPr>
            <w:webHidden/>
          </w:rPr>
        </w:r>
        <w:r w:rsidR="00185AB0" w:rsidRPr="00D9348B">
          <w:rPr>
            <w:webHidden/>
          </w:rPr>
          <w:fldChar w:fldCharType="separate"/>
        </w:r>
        <w:r w:rsidR="00950F0A">
          <w:rPr>
            <w:webHidden/>
          </w:rPr>
          <w:t>156</w:t>
        </w:r>
        <w:r w:rsidR="00185AB0" w:rsidRPr="00D9348B">
          <w:rPr>
            <w:webHidden/>
          </w:rPr>
          <w:fldChar w:fldCharType="end"/>
        </w:r>
      </w:hyperlink>
    </w:p>
    <w:p w14:paraId="4E907A58" w14:textId="07367378" w:rsidR="00185AB0" w:rsidRPr="00BE3630" w:rsidRDefault="00DA6C03">
      <w:pPr>
        <w:pStyle w:val="TableofFigures"/>
        <w:rPr>
          <w:rFonts w:cs="Times New Roman"/>
          <w:sz w:val="22"/>
        </w:rPr>
      </w:pPr>
      <w:hyperlink w:anchor="_Toc36292788" w:history="1">
        <w:r w:rsidR="00185AB0" w:rsidRPr="00D9348B">
          <w:rPr>
            <w:rStyle w:val="Hyperlink"/>
          </w:rPr>
          <w:t xml:space="preserve">Figure 5.1.3a </w:t>
        </w:r>
        <w:r w:rsidR="00185AB0" w:rsidRPr="00BE3630">
          <w:rPr>
            <w:rFonts w:cs="Times New Roman"/>
            <w:sz w:val="22"/>
          </w:rPr>
          <w:tab/>
        </w:r>
        <w:r w:rsidR="00185AB0" w:rsidRPr="00D9348B">
          <w:rPr>
            <w:rStyle w:val="Hyperlink"/>
          </w:rPr>
          <w:t>Populations of New Zealand’s dairy cattle, non-dairy cattle and deer from 1990 to 2018 (June year ending)</w:t>
        </w:r>
        <w:r w:rsidR="00185AB0" w:rsidRPr="00D9348B">
          <w:rPr>
            <w:webHidden/>
          </w:rPr>
          <w:tab/>
        </w:r>
        <w:r w:rsidR="00185AB0" w:rsidRPr="00D9348B">
          <w:rPr>
            <w:webHidden/>
          </w:rPr>
          <w:fldChar w:fldCharType="begin"/>
        </w:r>
        <w:r w:rsidR="00185AB0" w:rsidRPr="00D9348B">
          <w:rPr>
            <w:webHidden/>
          </w:rPr>
          <w:instrText xml:space="preserve"> PAGEREF _Toc36292788 \h </w:instrText>
        </w:r>
        <w:r w:rsidR="00185AB0" w:rsidRPr="00D9348B">
          <w:rPr>
            <w:webHidden/>
          </w:rPr>
        </w:r>
        <w:r w:rsidR="00185AB0" w:rsidRPr="00D9348B">
          <w:rPr>
            <w:webHidden/>
          </w:rPr>
          <w:fldChar w:fldCharType="separate"/>
        </w:r>
        <w:r w:rsidR="00950F0A">
          <w:rPr>
            <w:webHidden/>
          </w:rPr>
          <w:t>158</w:t>
        </w:r>
        <w:r w:rsidR="00185AB0" w:rsidRPr="00D9348B">
          <w:rPr>
            <w:webHidden/>
          </w:rPr>
          <w:fldChar w:fldCharType="end"/>
        </w:r>
      </w:hyperlink>
    </w:p>
    <w:p w14:paraId="17B258BD" w14:textId="6A6B11F3" w:rsidR="00185AB0" w:rsidRPr="00BE3630" w:rsidRDefault="00DA6C03">
      <w:pPr>
        <w:pStyle w:val="TableofFigures"/>
        <w:rPr>
          <w:rFonts w:cs="Times New Roman"/>
          <w:sz w:val="22"/>
        </w:rPr>
      </w:pPr>
      <w:hyperlink w:anchor="_Toc36292789" w:history="1">
        <w:r w:rsidR="00185AB0" w:rsidRPr="00D9348B">
          <w:rPr>
            <w:rStyle w:val="Hyperlink"/>
          </w:rPr>
          <w:t xml:space="preserve">Figure 5.1.3b </w:t>
        </w:r>
        <w:r w:rsidR="00185AB0" w:rsidRPr="00BE3630">
          <w:rPr>
            <w:rFonts w:cs="Times New Roman"/>
            <w:sz w:val="22"/>
          </w:rPr>
          <w:tab/>
        </w:r>
        <w:r w:rsidR="00185AB0" w:rsidRPr="00D9348B">
          <w:rPr>
            <w:rStyle w:val="Hyperlink"/>
          </w:rPr>
          <w:t>Population of New Zealand’s sheep from 1990 to 2018 (June year ending)</w:t>
        </w:r>
        <w:r w:rsidR="00185AB0" w:rsidRPr="00D9348B">
          <w:rPr>
            <w:webHidden/>
          </w:rPr>
          <w:tab/>
        </w:r>
        <w:r w:rsidR="00185AB0" w:rsidRPr="00D9348B">
          <w:rPr>
            <w:webHidden/>
          </w:rPr>
          <w:fldChar w:fldCharType="begin"/>
        </w:r>
        <w:r w:rsidR="00185AB0" w:rsidRPr="00D9348B">
          <w:rPr>
            <w:webHidden/>
          </w:rPr>
          <w:instrText xml:space="preserve"> PAGEREF _Toc36292789 \h </w:instrText>
        </w:r>
        <w:r w:rsidR="00185AB0" w:rsidRPr="00D9348B">
          <w:rPr>
            <w:webHidden/>
          </w:rPr>
        </w:r>
        <w:r w:rsidR="00185AB0" w:rsidRPr="00D9348B">
          <w:rPr>
            <w:webHidden/>
          </w:rPr>
          <w:fldChar w:fldCharType="separate"/>
        </w:r>
        <w:r w:rsidR="00950F0A">
          <w:rPr>
            <w:webHidden/>
          </w:rPr>
          <w:t>158</w:t>
        </w:r>
        <w:r w:rsidR="00185AB0" w:rsidRPr="00D9348B">
          <w:rPr>
            <w:webHidden/>
          </w:rPr>
          <w:fldChar w:fldCharType="end"/>
        </w:r>
      </w:hyperlink>
    </w:p>
    <w:p w14:paraId="30030B2D" w14:textId="60A34112" w:rsidR="00185AB0" w:rsidRPr="00BE3630" w:rsidRDefault="00DA6C03">
      <w:pPr>
        <w:pStyle w:val="TableofFigures"/>
        <w:rPr>
          <w:rFonts w:cs="Times New Roman"/>
          <w:sz w:val="22"/>
        </w:rPr>
      </w:pPr>
      <w:hyperlink w:anchor="_Toc36292790" w:history="1">
        <w:r w:rsidR="00185AB0" w:rsidRPr="00D9348B">
          <w:rPr>
            <w:rStyle w:val="Hyperlink"/>
          </w:rPr>
          <w:t>Figure 5.1.4</w:t>
        </w:r>
        <w:r w:rsidR="00185AB0" w:rsidRPr="00BE3630">
          <w:rPr>
            <w:rFonts w:cs="Times New Roman"/>
            <w:sz w:val="22"/>
          </w:rPr>
          <w:tab/>
        </w:r>
        <w:r w:rsidR="00185AB0" w:rsidRPr="00D9348B">
          <w:rPr>
            <w:rStyle w:val="Hyperlink"/>
          </w:rPr>
          <w:t>Dairy milk productivity and implied enteric fermentation methane emission factors for dairy cows from 1990 to 2018</w:t>
        </w:r>
        <w:r w:rsidR="00185AB0" w:rsidRPr="00D9348B">
          <w:rPr>
            <w:webHidden/>
          </w:rPr>
          <w:tab/>
        </w:r>
        <w:r w:rsidR="00185AB0" w:rsidRPr="00D9348B">
          <w:rPr>
            <w:webHidden/>
          </w:rPr>
          <w:fldChar w:fldCharType="begin"/>
        </w:r>
        <w:r w:rsidR="00185AB0" w:rsidRPr="00D9348B">
          <w:rPr>
            <w:webHidden/>
          </w:rPr>
          <w:instrText xml:space="preserve"> PAGEREF _Toc36292790 \h </w:instrText>
        </w:r>
        <w:r w:rsidR="00185AB0" w:rsidRPr="00D9348B">
          <w:rPr>
            <w:webHidden/>
          </w:rPr>
        </w:r>
        <w:r w:rsidR="00185AB0" w:rsidRPr="00D9348B">
          <w:rPr>
            <w:webHidden/>
          </w:rPr>
          <w:fldChar w:fldCharType="separate"/>
        </w:r>
        <w:r w:rsidR="00950F0A">
          <w:rPr>
            <w:webHidden/>
          </w:rPr>
          <w:t>159</w:t>
        </w:r>
        <w:r w:rsidR="00185AB0" w:rsidRPr="00D9348B">
          <w:rPr>
            <w:webHidden/>
          </w:rPr>
          <w:fldChar w:fldCharType="end"/>
        </w:r>
      </w:hyperlink>
    </w:p>
    <w:p w14:paraId="7FD07FE1" w14:textId="4ECA3E35" w:rsidR="00185AB0" w:rsidRPr="00BE3630" w:rsidRDefault="00DA6C03">
      <w:pPr>
        <w:pStyle w:val="TableofFigures"/>
        <w:rPr>
          <w:rFonts w:cs="Times New Roman"/>
          <w:sz w:val="22"/>
        </w:rPr>
      </w:pPr>
      <w:hyperlink w:anchor="_Toc36292791" w:history="1">
        <w:r w:rsidR="00185AB0" w:rsidRPr="00D9348B">
          <w:rPr>
            <w:rStyle w:val="Hyperlink"/>
          </w:rPr>
          <w:t xml:space="preserve">Figure 5.1.5 </w:t>
        </w:r>
        <w:r w:rsidR="00185AB0" w:rsidRPr="00BE3630">
          <w:rPr>
            <w:rFonts w:cs="Times New Roman"/>
            <w:sz w:val="22"/>
          </w:rPr>
          <w:tab/>
        </w:r>
        <w:r w:rsidR="00185AB0" w:rsidRPr="00D9348B">
          <w:rPr>
            <w:rStyle w:val="Hyperlink"/>
          </w:rPr>
          <w:t>Simplified methodology for calculating emissions for major ruminant livestock categories</w:t>
        </w:r>
        <w:r w:rsidR="00185AB0" w:rsidRPr="00D9348B">
          <w:rPr>
            <w:webHidden/>
          </w:rPr>
          <w:tab/>
        </w:r>
        <w:r w:rsidR="00185AB0" w:rsidRPr="00D9348B">
          <w:rPr>
            <w:webHidden/>
          </w:rPr>
          <w:fldChar w:fldCharType="begin"/>
        </w:r>
        <w:r w:rsidR="00185AB0" w:rsidRPr="00D9348B">
          <w:rPr>
            <w:webHidden/>
          </w:rPr>
          <w:instrText xml:space="preserve"> PAGEREF _Toc36292791 \h </w:instrText>
        </w:r>
        <w:r w:rsidR="00185AB0" w:rsidRPr="00D9348B">
          <w:rPr>
            <w:webHidden/>
          </w:rPr>
        </w:r>
        <w:r w:rsidR="00185AB0" w:rsidRPr="00D9348B">
          <w:rPr>
            <w:webHidden/>
          </w:rPr>
          <w:fldChar w:fldCharType="separate"/>
        </w:r>
        <w:r w:rsidR="00950F0A">
          <w:rPr>
            <w:webHidden/>
          </w:rPr>
          <w:t>163</w:t>
        </w:r>
        <w:r w:rsidR="00185AB0" w:rsidRPr="00D9348B">
          <w:rPr>
            <w:webHidden/>
          </w:rPr>
          <w:fldChar w:fldCharType="end"/>
        </w:r>
      </w:hyperlink>
    </w:p>
    <w:p w14:paraId="7CC6E654" w14:textId="2E4EA773" w:rsidR="00185AB0" w:rsidRPr="00BE3630" w:rsidRDefault="00DA6C03">
      <w:pPr>
        <w:pStyle w:val="TableofFigures"/>
        <w:rPr>
          <w:rFonts w:cs="Times New Roman"/>
          <w:sz w:val="22"/>
        </w:rPr>
      </w:pPr>
      <w:hyperlink w:anchor="_Toc36292792" w:history="1">
        <w:r w:rsidR="00185AB0" w:rsidRPr="00D9348B">
          <w:rPr>
            <w:rStyle w:val="Hyperlink"/>
          </w:rPr>
          <w:t xml:space="preserve">Figure 5.1.6 </w:t>
        </w:r>
        <w:r w:rsidR="00185AB0" w:rsidRPr="00BE3630">
          <w:rPr>
            <w:rFonts w:cs="Times New Roman"/>
            <w:sz w:val="22"/>
          </w:rPr>
          <w:tab/>
        </w:r>
        <w:r w:rsidR="00185AB0" w:rsidRPr="00D9348B">
          <w:rPr>
            <w:rStyle w:val="Hyperlink"/>
          </w:rPr>
          <w:t>National monthly milk production in New Zealand from 2016 to 2018</w:t>
        </w:r>
        <w:r w:rsidR="00185AB0" w:rsidRPr="00D9348B">
          <w:rPr>
            <w:webHidden/>
          </w:rPr>
          <w:tab/>
        </w:r>
        <w:r w:rsidR="00185AB0" w:rsidRPr="00D9348B">
          <w:rPr>
            <w:webHidden/>
          </w:rPr>
          <w:fldChar w:fldCharType="begin"/>
        </w:r>
        <w:r w:rsidR="00185AB0" w:rsidRPr="00D9348B">
          <w:rPr>
            <w:webHidden/>
          </w:rPr>
          <w:instrText xml:space="preserve"> PAGEREF _Toc36292792 \h </w:instrText>
        </w:r>
        <w:r w:rsidR="00185AB0" w:rsidRPr="00D9348B">
          <w:rPr>
            <w:webHidden/>
          </w:rPr>
        </w:r>
        <w:r w:rsidR="00185AB0" w:rsidRPr="00D9348B">
          <w:rPr>
            <w:webHidden/>
          </w:rPr>
          <w:fldChar w:fldCharType="separate"/>
        </w:r>
        <w:r w:rsidR="00950F0A">
          <w:rPr>
            <w:webHidden/>
          </w:rPr>
          <w:t>167</w:t>
        </w:r>
        <w:r w:rsidR="00185AB0" w:rsidRPr="00D9348B">
          <w:rPr>
            <w:webHidden/>
          </w:rPr>
          <w:fldChar w:fldCharType="end"/>
        </w:r>
      </w:hyperlink>
    </w:p>
    <w:p w14:paraId="757F0DA3" w14:textId="4C13AB8A" w:rsidR="00185AB0" w:rsidRPr="00BE3630" w:rsidRDefault="00DA6C03">
      <w:pPr>
        <w:pStyle w:val="TableofFigures"/>
        <w:rPr>
          <w:rFonts w:cs="Times New Roman"/>
          <w:sz w:val="22"/>
        </w:rPr>
      </w:pPr>
      <w:hyperlink w:anchor="_Toc36292793" w:history="1">
        <w:r w:rsidR="00185AB0" w:rsidRPr="00D9348B">
          <w:rPr>
            <w:rStyle w:val="Hyperlink"/>
          </w:rPr>
          <w:t xml:space="preserve">Figure 5.1.7 </w:t>
        </w:r>
        <w:r w:rsidR="00185AB0" w:rsidRPr="00BE3630">
          <w:rPr>
            <w:rFonts w:cs="Times New Roman"/>
            <w:sz w:val="22"/>
          </w:rPr>
          <w:tab/>
        </w:r>
        <w:r w:rsidR="00185AB0" w:rsidRPr="00D9348B">
          <w:rPr>
            <w:rStyle w:val="Hyperlink"/>
          </w:rPr>
          <w:t>Agriculture sectoral approval process for inventory recalculations and improvements</w:t>
        </w:r>
        <w:r w:rsidR="00185AB0" w:rsidRPr="00D9348B">
          <w:rPr>
            <w:webHidden/>
          </w:rPr>
          <w:tab/>
        </w:r>
        <w:r w:rsidR="00185AB0" w:rsidRPr="00D9348B">
          <w:rPr>
            <w:webHidden/>
          </w:rPr>
          <w:fldChar w:fldCharType="begin"/>
        </w:r>
        <w:r w:rsidR="00185AB0" w:rsidRPr="00D9348B">
          <w:rPr>
            <w:webHidden/>
          </w:rPr>
          <w:instrText xml:space="preserve"> PAGEREF _Toc36292793 \h </w:instrText>
        </w:r>
        <w:r w:rsidR="00185AB0" w:rsidRPr="00D9348B">
          <w:rPr>
            <w:webHidden/>
          </w:rPr>
        </w:r>
        <w:r w:rsidR="00185AB0" w:rsidRPr="00D9348B">
          <w:rPr>
            <w:webHidden/>
          </w:rPr>
          <w:fldChar w:fldCharType="separate"/>
        </w:r>
        <w:r w:rsidR="00950F0A">
          <w:rPr>
            <w:webHidden/>
          </w:rPr>
          <w:t>173</w:t>
        </w:r>
        <w:r w:rsidR="00185AB0" w:rsidRPr="00D9348B">
          <w:rPr>
            <w:webHidden/>
          </w:rPr>
          <w:fldChar w:fldCharType="end"/>
        </w:r>
      </w:hyperlink>
    </w:p>
    <w:p w14:paraId="263B206D" w14:textId="1B241758" w:rsidR="00185AB0" w:rsidRPr="00BE3630" w:rsidRDefault="00DA6C03">
      <w:pPr>
        <w:pStyle w:val="TableofFigures"/>
        <w:rPr>
          <w:rFonts w:cs="Times New Roman"/>
          <w:sz w:val="22"/>
        </w:rPr>
      </w:pPr>
      <w:hyperlink w:anchor="_Toc36292794" w:history="1">
        <w:r w:rsidR="00185AB0" w:rsidRPr="00D9348B">
          <w:rPr>
            <w:rStyle w:val="Hyperlink"/>
          </w:rPr>
          <w:t>Figure 5.2.1</w:t>
        </w:r>
        <w:r w:rsidR="00185AB0" w:rsidRPr="00BE3630">
          <w:rPr>
            <w:rFonts w:cs="Times New Roman"/>
            <w:sz w:val="22"/>
          </w:rPr>
          <w:tab/>
        </w:r>
        <w:r w:rsidR="00185AB0" w:rsidRPr="00D9348B">
          <w:rPr>
            <w:rStyle w:val="Hyperlink"/>
          </w:rPr>
          <w:t>Schematic diagram showing how New Zealand’s emissions from enteric fermentation for cattle and deer are calculated</w:t>
        </w:r>
        <w:r w:rsidR="00185AB0" w:rsidRPr="00D9348B">
          <w:rPr>
            <w:webHidden/>
          </w:rPr>
          <w:tab/>
        </w:r>
        <w:r w:rsidR="00185AB0" w:rsidRPr="00D9348B">
          <w:rPr>
            <w:webHidden/>
          </w:rPr>
          <w:fldChar w:fldCharType="begin"/>
        </w:r>
        <w:r w:rsidR="00185AB0" w:rsidRPr="00D9348B">
          <w:rPr>
            <w:webHidden/>
          </w:rPr>
          <w:instrText xml:space="preserve"> PAGEREF _Toc36292794 \h </w:instrText>
        </w:r>
        <w:r w:rsidR="00185AB0" w:rsidRPr="00D9348B">
          <w:rPr>
            <w:webHidden/>
          </w:rPr>
        </w:r>
        <w:r w:rsidR="00185AB0" w:rsidRPr="00D9348B">
          <w:rPr>
            <w:webHidden/>
          </w:rPr>
          <w:fldChar w:fldCharType="separate"/>
        </w:r>
        <w:r w:rsidR="00950F0A">
          <w:rPr>
            <w:webHidden/>
          </w:rPr>
          <w:t>180</w:t>
        </w:r>
        <w:r w:rsidR="00185AB0" w:rsidRPr="00D9348B">
          <w:rPr>
            <w:webHidden/>
          </w:rPr>
          <w:fldChar w:fldCharType="end"/>
        </w:r>
      </w:hyperlink>
    </w:p>
    <w:p w14:paraId="4557B2F7" w14:textId="35093D2F" w:rsidR="00185AB0" w:rsidRPr="00BE3630" w:rsidRDefault="00DA6C03">
      <w:pPr>
        <w:pStyle w:val="TableofFigures"/>
        <w:rPr>
          <w:rFonts w:cs="Times New Roman"/>
          <w:sz w:val="22"/>
        </w:rPr>
      </w:pPr>
      <w:hyperlink w:anchor="_Toc36292795" w:history="1">
        <w:r w:rsidR="00185AB0" w:rsidRPr="00D9348B">
          <w:rPr>
            <w:rStyle w:val="Hyperlink"/>
          </w:rPr>
          <w:t>Figure 5.5.1</w:t>
        </w:r>
        <w:r w:rsidR="00185AB0" w:rsidRPr="00BE3630">
          <w:rPr>
            <w:rFonts w:cs="Times New Roman"/>
            <w:sz w:val="22"/>
          </w:rPr>
          <w:tab/>
        </w:r>
        <w:r w:rsidR="00185AB0" w:rsidRPr="00D9348B">
          <w:rPr>
            <w:rStyle w:val="Hyperlink"/>
          </w:rPr>
          <w:t>Sources of nitrous oxide emissions from agricultural soils, showing the contribution of each source to emissions through both direct and indirect pathways</w:t>
        </w:r>
        <w:r w:rsidR="00185AB0" w:rsidRPr="00D9348B">
          <w:rPr>
            <w:webHidden/>
          </w:rPr>
          <w:tab/>
        </w:r>
        <w:r w:rsidR="00185AB0" w:rsidRPr="00D9348B">
          <w:rPr>
            <w:webHidden/>
          </w:rPr>
          <w:fldChar w:fldCharType="begin"/>
        </w:r>
        <w:r w:rsidR="00185AB0" w:rsidRPr="00D9348B">
          <w:rPr>
            <w:webHidden/>
          </w:rPr>
          <w:instrText xml:space="preserve"> PAGEREF _Toc36292795 \h </w:instrText>
        </w:r>
        <w:r w:rsidR="00185AB0" w:rsidRPr="00D9348B">
          <w:rPr>
            <w:webHidden/>
          </w:rPr>
        </w:r>
        <w:r w:rsidR="00185AB0" w:rsidRPr="00D9348B">
          <w:rPr>
            <w:webHidden/>
          </w:rPr>
          <w:fldChar w:fldCharType="separate"/>
        </w:r>
        <w:r w:rsidR="00950F0A">
          <w:rPr>
            <w:webHidden/>
          </w:rPr>
          <w:t>201</w:t>
        </w:r>
        <w:r w:rsidR="00185AB0" w:rsidRPr="00D9348B">
          <w:rPr>
            <w:webHidden/>
          </w:rPr>
          <w:fldChar w:fldCharType="end"/>
        </w:r>
      </w:hyperlink>
    </w:p>
    <w:p w14:paraId="50797E81" w14:textId="3C93D08A" w:rsidR="00185AB0" w:rsidRPr="00BE3630" w:rsidRDefault="00DA6C03">
      <w:pPr>
        <w:pStyle w:val="TableofFigures"/>
        <w:rPr>
          <w:rFonts w:cs="Times New Roman"/>
          <w:sz w:val="22"/>
        </w:rPr>
      </w:pPr>
      <w:hyperlink w:anchor="_Toc36292796" w:history="1">
        <w:r w:rsidR="00185AB0" w:rsidRPr="00D9348B">
          <w:rPr>
            <w:rStyle w:val="Hyperlink"/>
          </w:rPr>
          <w:t>Figure 5.5.2</w:t>
        </w:r>
        <w:r w:rsidR="00185AB0" w:rsidRPr="00BE3630">
          <w:rPr>
            <w:rFonts w:cs="Times New Roman"/>
            <w:sz w:val="22"/>
          </w:rPr>
          <w:tab/>
        </w:r>
        <w:r w:rsidR="00185AB0" w:rsidRPr="00D9348B">
          <w:rPr>
            <w:rStyle w:val="Hyperlink"/>
          </w:rPr>
          <w:t>Synthetic nitrogen fertiliser use in New Zealand from 1990 to 2018</w:t>
        </w:r>
        <w:r w:rsidR="00185AB0" w:rsidRPr="00D9348B">
          <w:rPr>
            <w:webHidden/>
          </w:rPr>
          <w:tab/>
        </w:r>
        <w:r w:rsidR="00185AB0" w:rsidRPr="00D9348B">
          <w:rPr>
            <w:webHidden/>
          </w:rPr>
          <w:fldChar w:fldCharType="begin"/>
        </w:r>
        <w:r w:rsidR="00185AB0" w:rsidRPr="00D9348B">
          <w:rPr>
            <w:webHidden/>
          </w:rPr>
          <w:instrText xml:space="preserve"> PAGEREF _Toc36292796 \h </w:instrText>
        </w:r>
        <w:r w:rsidR="00185AB0" w:rsidRPr="00D9348B">
          <w:rPr>
            <w:webHidden/>
          </w:rPr>
        </w:r>
        <w:r w:rsidR="00185AB0" w:rsidRPr="00D9348B">
          <w:rPr>
            <w:webHidden/>
          </w:rPr>
          <w:fldChar w:fldCharType="separate"/>
        </w:r>
        <w:r w:rsidR="00950F0A">
          <w:rPr>
            <w:webHidden/>
          </w:rPr>
          <w:t>206</w:t>
        </w:r>
        <w:r w:rsidR="00185AB0" w:rsidRPr="00D9348B">
          <w:rPr>
            <w:webHidden/>
          </w:rPr>
          <w:fldChar w:fldCharType="end"/>
        </w:r>
      </w:hyperlink>
    </w:p>
    <w:p w14:paraId="5FF6ED5C" w14:textId="57950004" w:rsidR="00185AB0" w:rsidRPr="00BE3630" w:rsidRDefault="00DA6C03">
      <w:pPr>
        <w:pStyle w:val="TableofFigures"/>
        <w:rPr>
          <w:rFonts w:cs="Times New Roman"/>
          <w:sz w:val="22"/>
        </w:rPr>
      </w:pPr>
      <w:hyperlink w:anchor="_Toc36292797" w:history="1">
        <w:r w:rsidR="00185AB0" w:rsidRPr="00D9348B">
          <w:rPr>
            <w:rStyle w:val="Hyperlink"/>
          </w:rPr>
          <w:t>Figure 5.5.3</w:t>
        </w:r>
        <w:r w:rsidR="00185AB0" w:rsidRPr="00BE3630">
          <w:rPr>
            <w:rFonts w:cs="Times New Roman"/>
            <w:sz w:val="22"/>
          </w:rPr>
          <w:tab/>
        </w:r>
        <w:r w:rsidR="00185AB0" w:rsidRPr="00D9348B">
          <w:rPr>
            <w:rStyle w:val="Hyperlink"/>
          </w:rPr>
          <w:t>Percentage of synthetic nitrogen fertiliser derived from urea from 1990 to 2018</w:t>
        </w:r>
        <w:r w:rsidR="00185AB0" w:rsidRPr="00D9348B">
          <w:rPr>
            <w:webHidden/>
          </w:rPr>
          <w:tab/>
        </w:r>
        <w:r w:rsidR="00185AB0" w:rsidRPr="00D9348B">
          <w:rPr>
            <w:webHidden/>
          </w:rPr>
          <w:fldChar w:fldCharType="begin"/>
        </w:r>
        <w:r w:rsidR="00185AB0" w:rsidRPr="00D9348B">
          <w:rPr>
            <w:webHidden/>
          </w:rPr>
          <w:instrText xml:space="preserve"> PAGEREF _Toc36292797 \h </w:instrText>
        </w:r>
        <w:r w:rsidR="00185AB0" w:rsidRPr="00D9348B">
          <w:rPr>
            <w:webHidden/>
          </w:rPr>
        </w:r>
        <w:r w:rsidR="00185AB0" w:rsidRPr="00D9348B">
          <w:rPr>
            <w:webHidden/>
          </w:rPr>
          <w:fldChar w:fldCharType="separate"/>
        </w:r>
        <w:r w:rsidR="00950F0A">
          <w:rPr>
            <w:webHidden/>
          </w:rPr>
          <w:t>207</w:t>
        </w:r>
        <w:r w:rsidR="00185AB0" w:rsidRPr="00D9348B">
          <w:rPr>
            <w:webHidden/>
          </w:rPr>
          <w:fldChar w:fldCharType="end"/>
        </w:r>
      </w:hyperlink>
    </w:p>
    <w:p w14:paraId="1EFCBBBD" w14:textId="14F116EE" w:rsidR="00185AB0" w:rsidRPr="00BE3630" w:rsidRDefault="00DA6C03">
      <w:pPr>
        <w:pStyle w:val="TableofFigures"/>
        <w:rPr>
          <w:rFonts w:cs="Times New Roman"/>
          <w:sz w:val="22"/>
        </w:rPr>
      </w:pPr>
      <w:hyperlink w:anchor="_Toc36292798" w:history="1">
        <w:r w:rsidR="00185AB0" w:rsidRPr="00D9348B">
          <w:rPr>
            <w:rStyle w:val="Hyperlink"/>
          </w:rPr>
          <w:t>Figure 5.8.1</w:t>
        </w:r>
        <w:r w:rsidR="00185AB0" w:rsidRPr="00BE3630">
          <w:rPr>
            <w:rFonts w:cs="Times New Roman"/>
            <w:sz w:val="22"/>
          </w:rPr>
          <w:tab/>
        </w:r>
        <w:r w:rsidR="00185AB0" w:rsidRPr="00D9348B">
          <w:rPr>
            <w:rStyle w:val="Hyperlink"/>
          </w:rPr>
          <w:t>Limestone usage on agricultural land in New Zealand from 1990 to 2018</w:t>
        </w:r>
        <w:r w:rsidR="00185AB0" w:rsidRPr="00D9348B">
          <w:rPr>
            <w:webHidden/>
          </w:rPr>
          <w:tab/>
        </w:r>
        <w:r w:rsidR="00185AB0" w:rsidRPr="00D9348B">
          <w:rPr>
            <w:webHidden/>
          </w:rPr>
          <w:fldChar w:fldCharType="begin"/>
        </w:r>
        <w:r w:rsidR="00185AB0" w:rsidRPr="00D9348B">
          <w:rPr>
            <w:webHidden/>
          </w:rPr>
          <w:instrText xml:space="preserve"> PAGEREF _Toc36292798 \h </w:instrText>
        </w:r>
        <w:r w:rsidR="00185AB0" w:rsidRPr="00D9348B">
          <w:rPr>
            <w:webHidden/>
          </w:rPr>
        </w:r>
        <w:r w:rsidR="00185AB0" w:rsidRPr="00D9348B">
          <w:rPr>
            <w:webHidden/>
          </w:rPr>
          <w:fldChar w:fldCharType="separate"/>
        </w:r>
        <w:r w:rsidR="00950F0A">
          <w:rPr>
            <w:webHidden/>
          </w:rPr>
          <w:t>232</w:t>
        </w:r>
        <w:r w:rsidR="00185AB0" w:rsidRPr="00D9348B">
          <w:rPr>
            <w:webHidden/>
          </w:rPr>
          <w:fldChar w:fldCharType="end"/>
        </w:r>
      </w:hyperlink>
    </w:p>
    <w:p w14:paraId="60BB08EA" w14:textId="0FA7790F" w:rsidR="00185AB0" w:rsidRPr="00BE3630" w:rsidRDefault="00DA6C03">
      <w:pPr>
        <w:pStyle w:val="TableofFigures"/>
        <w:rPr>
          <w:rFonts w:cs="Times New Roman"/>
          <w:sz w:val="22"/>
        </w:rPr>
      </w:pPr>
      <w:hyperlink w:anchor="_Toc36292799" w:history="1">
        <w:r w:rsidR="00185AB0" w:rsidRPr="00D9348B">
          <w:rPr>
            <w:rStyle w:val="Hyperlink"/>
          </w:rPr>
          <w:t>Figure 5.8.2</w:t>
        </w:r>
        <w:r w:rsidR="00185AB0" w:rsidRPr="00BE3630">
          <w:rPr>
            <w:rFonts w:cs="Times New Roman"/>
            <w:sz w:val="22"/>
          </w:rPr>
          <w:tab/>
        </w:r>
        <w:r w:rsidR="00185AB0" w:rsidRPr="00D9348B">
          <w:rPr>
            <w:rStyle w:val="Hyperlink"/>
          </w:rPr>
          <w:t>Dolomite usage on agricultural land in New Zealand from 1990 to 2018</w:t>
        </w:r>
        <w:r w:rsidR="00185AB0" w:rsidRPr="00D9348B">
          <w:rPr>
            <w:webHidden/>
          </w:rPr>
          <w:tab/>
        </w:r>
        <w:r w:rsidR="00185AB0" w:rsidRPr="00D9348B">
          <w:rPr>
            <w:webHidden/>
          </w:rPr>
          <w:fldChar w:fldCharType="begin"/>
        </w:r>
        <w:r w:rsidR="00185AB0" w:rsidRPr="00D9348B">
          <w:rPr>
            <w:webHidden/>
          </w:rPr>
          <w:instrText xml:space="preserve"> PAGEREF _Toc36292799 \h </w:instrText>
        </w:r>
        <w:r w:rsidR="00185AB0" w:rsidRPr="00D9348B">
          <w:rPr>
            <w:webHidden/>
          </w:rPr>
        </w:r>
        <w:r w:rsidR="00185AB0" w:rsidRPr="00D9348B">
          <w:rPr>
            <w:webHidden/>
          </w:rPr>
          <w:fldChar w:fldCharType="separate"/>
        </w:r>
        <w:r w:rsidR="00950F0A">
          <w:rPr>
            <w:webHidden/>
          </w:rPr>
          <w:t>232</w:t>
        </w:r>
        <w:r w:rsidR="00185AB0" w:rsidRPr="00D9348B">
          <w:rPr>
            <w:webHidden/>
          </w:rPr>
          <w:fldChar w:fldCharType="end"/>
        </w:r>
      </w:hyperlink>
    </w:p>
    <w:p w14:paraId="0251EF40" w14:textId="08919423" w:rsidR="00185AB0" w:rsidRPr="00BE3630" w:rsidRDefault="00DA6C03">
      <w:pPr>
        <w:pStyle w:val="TableofFigures"/>
        <w:rPr>
          <w:rFonts w:cs="Times New Roman"/>
          <w:sz w:val="22"/>
        </w:rPr>
      </w:pPr>
      <w:hyperlink w:anchor="_Toc36292800" w:history="1">
        <w:r w:rsidR="00185AB0" w:rsidRPr="00D9348B">
          <w:rPr>
            <w:rStyle w:val="Hyperlink"/>
          </w:rPr>
          <w:t>Figure 6.1.1</w:t>
        </w:r>
        <w:r w:rsidR="00185AB0" w:rsidRPr="00BE3630">
          <w:rPr>
            <w:rFonts w:cs="Times New Roman"/>
            <w:sz w:val="22"/>
          </w:rPr>
          <w:tab/>
        </w:r>
        <w:r w:rsidR="00185AB0" w:rsidRPr="00D9348B">
          <w:rPr>
            <w:rStyle w:val="Hyperlink"/>
          </w:rPr>
          <w:t>New Zealand’s annual emissions from the LULUCF sector from 1990 to 2018</w:t>
        </w:r>
        <w:r w:rsidR="00185AB0" w:rsidRPr="00D9348B">
          <w:rPr>
            <w:webHidden/>
          </w:rPr>
          <w:tab/>
        </w:r>
        <w:r w:rsidR="00185AB0" w:rsidRPr="00D9348B">
          <w:rPr>
            <w:webHidden/>
          </w:rPr>
          <w:fldChar w:fldCharType="begin"/>
        </w:r>
        <w:r w:rsidR="00185AB0" w:rsidRPr="00D9348B">
          <w:rPr>
            <w:webHidden/>
          </w:rPr>
          <w:instrText xml:space="preserve"> PAGEREF _Toc36292800 \h </w:instrText>
        </w:r>
        <w:r w:rsidR="00185AB0" w:rsidRPr="00D9348B">
          <w:rPr>
            <w:webHidden/>
          </w:rPr>
        </w:r>
        <w:r w:rsidR="00185AB0" w:rsidRPr="00D9348B">
          <w:rPr>
            <w:webHidden/>
          </w:rPr>
          <w:fldChar w:fldCharType="separate"/>
        </w:r>
        <w:r w:rsidR="00950F0A">
          <w:rPr>
            <w:webHidden/>
          </w:rPr>
          <w:t>242</w:t>
        </w:r>
        <w:r w:rsidR="00185AB0" w:rsidRPr="00D9348B">
          <w:rPr>
            <w:webHidden/>
          </w:rPr>
          <w:fldChar w:fldCharType="end"/>
        </w:r>
      </w:hyperlink>
    </w:p>
    <w:p w14:paraId="1C540F7E" w14:textId="05BD7F50" w:rsidR="00185AB0" w:rsidRPr="00BE3630" w:rsidRDefault="00DA6C03">
      <w:pPr>
        <w:pStyle w:val="TableofFigures"/>
        <w:rPr>
          <w:rFonts w:cs="Times New Roman"/>
          <w:sz w:val="22"/>
        </w:rPr>
      </w:pPr>
      <w:hyperlink w:anchor="_Toc36292801" w:history="1">
        <w:r w:rsidR="00185AB0" w:rsidRPr="00D9348B">
          <w:rPr>
            <w:rStyle w:val="Hyperlink"/>
          </w:rPr>
          <w:t>Figure 6.1.2</w:t>
        </w:r>
        <w:r w:rsidR="00185AB0" w:rsidRPr="00BE3630">
          <w:rPr>
            <w:rFonts w:cs="Times New Roman"/>
            <w:sz w:val="22"/>
          </w:rPr>
          <w:tab/>
        </w:r>
        <w:r w:rsidR="00185AB0" w:rsidRPr="00D9348B">
          <w:rPr>
            <w:rStyle w:val="Hyperlink"/>
          </w:rPr>
          <w:t>Change in New Zealand’s emissions from the LULUCF sector from 1990 to 2018</w:t>
        </w:r>
        <w:r w:rsidR="00185AB0" w:rsidRPr="00D9348B">
          <w:rPr>
            <w:webHidden/>
          </w:rPr>
          <w:tab/>
        </w:r>
        <w:r w:rsidR="00185AB0" w:rsidRPr="00D9348B">
          <w:rPr>
            <w:webHidden/>
          </w:rPr>
          <w:fldChar w:fldCharType="begin"/>
        </w:r>
        <w:r w:rsidR="00185AB0" w:rsidRPr="00D9348B">
          <w:rPr>
            <w:webHidden/>
          </w:rPr>
          <w:instrText xml:space="preserve"> PAGEREF _Toc36292801 \h </w:instrText>
        </w:r>
        <w:r w:rsidR="00185AB0" w:rsidRPr="00D9348B">
          <w:rPr>
            <w:webHidden/>
          </w:rPr>
        </w:r>
        <w:r w:rsidR="00185AB0" w:rsidRPr="00D9348B">
          <w:rPr>
            <w:webHidden/>
          </w:rPr>
          <w:fldChar w:fldCharType="separate"/>
        </w:r>
        <w:r w:rsidR="00950F0A">
          <w:rPr>
            <w:webHidden/>
          </w:rPr>
          <w:t>243</w:t>
        </w:r>
        <w:r w:rsidR="00185AB0" w:rsidRPr="00D9348B">
          <w:rPr>
            <w:webHidden/>
          </w:rPr>
          <w:fldChar w:fldCharType="end"/>
        </w:r>
      </w:hyperlink>
    </w:p>
    <w:p w14:paraId="5FE312D1" w14:textId="1AC07CCE" w:rsidR="00185AB0" w:rsidRPr="00BE3630" w:rsidRDefault="00DA6C03">
      <w:pPr>
        <w:pStyle w:val="TableofFigures"/>
        <w:rPr>
          <w:rFonts w:cs="Times New Roman"/>
          <w:sz w:val="22"/>
        </w:rPr>
      </w:pPr>
      <w:hyperlink w:anchor="_Toc36292802" w:history="1">
        <w:r w:rsidR="00185AB0" w:rsidRPr="00D9348B">
          <w:rPr>
            <w:rStyle w:val="Hyperlink"/>
          </w:rPr>
          <w:t>Figure 6.2.1</w:t>
        </w:r>
        <w:r w:rsidR="00185AB0" w:rsidRPr="00BE3630">
          <w:rPr>
            <w:rFonts w:cs="Times New Roman"/>
            <w:sz w:val="22"/>
          </w:rPr>
          <w:tab/>
        </w:r>
        <w:r w:rsidR="00185AB0" w:rsidRPr="00D9348B">
          <w:rPr>
            <w:rStyle w:val="Hyperlink"/>
          </w:rPr>
          <w:t xml:space="preserve">New Zealand’s </w:t>
        </w:r>
        <w:r w:rsidR="00766DDA">
          <w:rPr>
            <w:rStyle w:val="Hyperlink"/>
          </w:rPr>
          <w:t>land-use</w:t>
        </w:r>
        <w:r w:rsidR="00185AB0" w:rsidRPr="00D9348B">
          <w:rPr>
            <w:rStyle w:val="Hyperlink"/>
          </w:rPr>
          <w:t xml:space="preserve"> mapping process for 1990 and 2008 </w:t>
        </w:r>
        <w:r w:rsidR="00766DDA">
          <w:rPr>
            <w:rStyle w:val="Hyperlink"/>
          </w:rPr>
          <w:t>land-use</w:t>
        </w:r>
        <w:r w:rsidR="00185AB0" w:rsidRPr="00D9348B">
          <w:rPr>
            <w:rStyle w:val="Hyperlink"/>
          </w:rPr>
          <w:t xml:space="preserve"> maps</w:t>
        </w:r>
        <w:r w:rsidR="00185AB0" w:rsidRPr="00D9348B">
          <w:rPr>
            <w:webHidden/>
          </w:rPr>
          <w:tab/>
        </w:r>
        <w:r w:rsidR="00185AB0" w:rsidRPr="00D9348B">
          <w:rPr>
            <w:webHidden/>
          </w:rPr>
          <w:fldChar w:fldCharType="begin"/>
        </w:r>
        <w:r w:rsidR="00185AB0" w:rsidRPr="00D9348B">
          <w:rPr>
            <w:webHidden/>
          </w:rPr>
          <w:instrText xml:space="preserve"> PAGEREF _Toc36292802 \h </w:instrText>
        </w:r>
        <w:r w:rsidR="00185AB0" w:rsidRPr="00D9348B">
          <w:rPr>
            <w:webHidden/>
          </w:rPr>
        </w:r>
        <w:r w:rsidR="00185AB0" w:rsidRPr="00D9348B">
          <w:rPr>
            <w:webHidden/>
          </w:rPr>
          <w:fldChar w:fldCharType="separate"/>
        </w:r>
        <w:r w:rsidR="00950F0A">
          <w:rPr>
            <w:webHidden/>
          </w:rPr>
          <w:t>257</w:t>
        </w:r>
        <w:r w:rsidR="00185AB0" w:rsidRPr="00D9348B">
          <w:rPr>
            <w:webHidden/>
          </w:rPr>
          <w:fldChar w:fldCharType="end"/>
        </w:r>
      </w:hyperlink>
    </w:p>
    <w:p w14:paraId="2555B5B1" w14:textId="0868A1B7" w:rsidR="00185AB0" w:rsidRPr="00BE3630" w:rsidRDefault="00DA6C03">
      <w:pPr>
        <w:pStyle w:val="TableofFigures"/>
        <w:rPr>
          <w:rFonts w:cs="Times New Roman"/>
          <w:sz w:val="22"/>
        </w:rPr>
      </w:pPr>
      <w:hyperlink w:anchor="_Toc36292803" w:history="1">
        <w:r w:rsidR="00185AB0" w:rsidRPr="00D9348B">
          <w:rPr>
            <w:rStyle w:val="Hyperlink"/>
          </w:rPr>
          <w:t>Figure 6.2.2</w:t>
        </w:r>
        <w:r w:rsidR="00185AB0" w:rsidRPr="00BE3630">
          <w:rPr>
            <w:rFonts w:cs="Times New Roman"/>
            <w:sz w:val="22"/>
          </w:rPr>
          <w:tab/>
        </w:r>
        <w:r w:rsidR="00766DDA">
          <w:rPr>
            <w:rStyle w:val="Hyperlink"/>
          </w:rPr>
          <w:t>Land-use</w:t>
        </w:r>
        <w:r w:rsidR="00185AB0" w:rsidRPr="00D9348B">
          <w:rPr>
            <w:rStyle w:val="Hyperlink"/>
          </w:rPr>
          <w:t xml:space="preserve"> map of New Zealand as at 1 January 1990</w:t>
        </w:r>
        <w:r w:rsidR="00185AB0" w:rsidRPr="00D9348B">
          <w:rPr>
            <w:webHidden/>
          </w:rPr>
          <w:tab/>
        </w:r>
        <w:r w:rsidR="00185AB0" w:rsidRPr="00D9348B">
          <w:rPr>
            <w:webHidden/>
          </w:rPr>
          <w:fldChar w:fldCharType="begin"/>
        </w:r>
        <w:r w:rsidR="00185AB0" w:rsidRPr="00D9348B">
          <w:rPr>
            <w:webHidden/>
          </w:rPr>
          <w:instrText xml:space="preserve"> PAGEREF _Toc36292803 \h </w:instrText>
        </w:r>
        <w:r w:rsidR="00185AB0" w:rsidRPr="00D9348B">
          <w:rPr>
            <w:webHidden/>
          </w:rPr>
        </w:r>
        <w:r w:rsidR="00185AB0" w:rsidRPr="00D9348B">
          <w:rPr>
            <w:webHidden/>
          </w:rPr>
          <w:fldChar w:fldCharType="separate"/>
        </w:r>
        <w:r w:rsidR="00950F0A">
          <w:rPr>
            <w:webHidden/>
          </w:rPr>
          <w:t>258</w:t>
        </w:r>
        <w:r w:rsidR="00185AB0" w:rsidRPr="00D9348B">
          <w:rPr>
            <w:webHidden/>
          </w:rPr>
          <w:fldChar w:fldCharType="end"/>
        </w:r>
      </w:hyperlink>
    </w:p>
    <w:p w14:paraId="64281201" w14:textId="4935F6FF" w:rsidR="00185AB0" w:rsidRPr="00BE3630" w:rsidRDefault="00DA6C03">
      <w:pPr>
        <w:pStyle w:val="TableofFigures"/>
        <w:rPr>
          <w:rFonts w:cs="Times New Roman"/>
          <w:sz w:val="22"/>
        </w:rPr>
      </w:pPr>
      <w:hyperlink w:anchor="_Toc36292804" w:history="1">
        <w:r w:rsidR="00185AB0" w:rsidRPr="00D9348B">
          <w:rPr>
            <w:rStyle w:val="Hyperlink"/>
          </w:rPr>
          <w:t>Figure 6.2.3</w:t>
        </w:r>
        <w:r w:rsidR="00185AB0" w:rsidRPr="00BE3630">
          <w:rPr>
            <w:rFonts w:cs="Times New Roman"/>
            <w:sz w:val="22"/>
          </w:rPr>
          <w:tab/>
        </w:r>
        <w:r w:rsidR="00766DDA">
          <w:rPr>
            <w:rStyle w:val="Hyperlink"/>
          </w:rPr>
          <w:t>Land-use</w:t>
        </w:r>
        <w:r w:rsidR="00185AB0" w:rsidRPr="00D9348B">
          <w:rPr>
            <w:rStyle w:val="Hyperlink"/>
          </w:rPr>
          <w:t xml:space="preserve"> map of New Zealand as at 1 January 2008</w:t>
        </w:r>
        <w:r w:rsidR="00185AB0" w:rsidRPr="00D9348B">
          <w:rPr>
            <w:webHidden/>
          </w:rPr>
          <w:tab/>
        </w:r>
        <w:r w:rsidR="00185AB0" w:rsidRPr="00D9348B">
          <w:rPr>
            <w:webHidden/>
          </w:rPr>
          <w:fldChar w:fldCharType="begin"/>
        </w:r>
        <w:r w:rsidR="00185AB0" w:rsidRPr="00D9348B">
          <w:rPr>
            <w:webHidden/>
          </w:rPr>
          <w:instrText xml:space="preserve"> PAGEREF _Toc36292804 \h </w:instrText>
        </w:r>
        <w:r w:rsidR="00185AB0" w:rsidRPr="00D9348B">
          <w:rPr>
            <w:webHidden/>
          </w:rPr>
        </w:r>
        <w:r w:rsidR="00185AB0" w:rsidRPr="00D9348B">
          <w:rPr>
            <w:webHidden/>
          </w:rPr>
          <w:fldChar w:fldCharType="separate"/>
        </w:r>
        <w:r w:rsidR="00950F0A">
          <w:rPr>
            <w:webHidden/>
          </w:rPr>
          <w:t>259</w:t>
        </w:r>
        <w:r w:rsidR="00185AB0" w:rsidRPr="00D9348B">
          <w:rPr>
            <w:webHidden/>
          </w:rPr>
          <w:fldChar w:fldCharType="end"/>
        </w:r>
      </w:hyperlink>
    </w:p>
    <w:p w14:paraId="70478DDF" w14:textId="371F5892" w:rsidR="00185AB0" w:rsidRPr="00BE3630" w:rsidRDefault="00DA6C03">
      <w:pPr>
        <w:pStyle w:val="TableofFigures"/>
        <w:rPr>
          <w:rFonts w:cs="Times New Roman"/>
          <w:sz w:val="22"/>
        </w:rPr>
      </w:pPr>
      <w:hyperlink w:anchor="_Toc36292805" w:history="1">
        <w:r w:rsidR="00185AB0" w:rsidRPr="00D9348B">
          <w:rPr>
            <w:rStyle w:val="Hyperlink"/>
          </w:rPr>
          <w:t>Figure 6.2.4</w:t>
        </w:r>
        <w:r w:rsidR="00185AB0" w:rsidRPr="00BE3630">
          <w:rPr>
            <w:rFonts w:cs="Times New Roman"/>
            <w:sz w:val="22"/>
          </w:rPr>
          <w:tab/>
        </w:r>
        <w:r w:rsidR="00185AB0" w:rsidRPr="00D9348B">
          <w:rPr>
            <w:rStyle w:val="Hyperlink"/>
          </w:rPr>
          <w:t>Identification of post-1989 forest in New Zealand</w:t>
        </w:r>
        <w:r w:rsidR="00185AB0" w:rsidRPr="00D9348B">
          <w:rPr>
            <w:webHidden/>
          </w:rPr>
          <w:tab/>
        </w:r>
        <w:r w:rsidR="00185AB0" w:rsidRPr="00D9348B">
          <w:rPr>
            <w:webHidden/>
          </w:rPr>
          <w:fldChar w:fldCharType="begin"/>
        </w:r>
        <w:r w:rsidR="00185AB0" w:rsidRPr="00D9348B">
          <w:rPr>
            <w:webHidden/>
          </w:rPr>
          <w:instrText xml:space="preserve"> PAGEREF _Toc36292805 \h </w:instrText>
        </w:r>
        <w:r w:rsidR="00185AB0" w:rsidRPr="00D9348B">
          <w:rPr>
            <w:webHidden/>
          </w:rPr>
        </w:r>
        <w:r w:rsidR="00185AB0" w:rsidRPr="00D9348B">
          <w:rPr>
            <w:webHidden/>
          </w:rPr>
          <w:fldChar w:fldCharType="separate"/>
        </w:r>
        <w:r w:rsidR="00950F0A">
          <w:rPr>
            <w:webHidden/>
          </w:rPr>
          <w:t>261</w:t>
        </w:r>
        <w:r w:rsidR="00185AB0" w:rsidRPr="00D9348B">
          <w:rPr>
            <w:webHidden/>
          </w:rPr>
          <w:fldChar w:fldCharType="end"/>
        </w:r>
      </w:hyperlink>
    </w:p>
    <w:p w14:paraId="041A983B" w14:textId="4004D8ED" w:rsidR="00185AB0" w:rsidRPr="00BE3630" w:rsidRDefault="00DA6C03">
      <w:pPr>
        <w:pStyle w:val="TableofFigures"/>
        <w:rPr>
          <w:rFonts w:cs="Times New Roman"/>
          <w:sz w:val="22"/>
        </w:rPr>
      </w:pPr>
      <w:hyperlink w:anchor="_Toc36292806" w:history="1">
        <w:r w:rsidR="00185AB0" w:rsidRPr="00D9348B">
          <w:rPr>
            <w:rStyle w:val="Hyperlink"/>
          </w:rPr>
          <w:t>Figure 6.2.5</w:t>
        </w:r>
        <w:r w:rsidR="00185AB0" w:rsidRPr="00BE3630">
          <w:rPr>
            <w:rFonts w:cs="Times New Roman"/>
            <w:sz w:val="22"/>
          </w:rPr>
          <w:tab/>
        </w:r>
        <w:r w:rsidR="00185AB0" w:rsidRPr="00D9348B">
          <w:rPr>
            <w:rStyle w:val="Hyperlink"/>
          </w:rPr>
          <w:t xml:space="preserve">New Zealand’s </w:t>
        </w:r>
        <w:r w:rsidR="00766DDA">
          <w:rPr>
            <w:rStyle w:val="Hyperlink"/>
          </w:rPr>
          <w:t>land-use</w:t>
        </w:r>
        <w:r w:rsidR="00185AB0" w:rsidRPr="00D9348B">
          <w:rPr>
            <w:rStyle w:val="Hyperlink"/>
          </w:rPr>
          <w:t xml:space="preserve"> mapping process for 2012 and 2016 </w:t>
        </w:r>
        <w:r w:rsidR="00766DDA">
          <w:rPr>
            <w:rStyle w:val="Hyperlink"/>
          </w:rPr>
          <w:t>land-use</w:t>
        </w:r>
        <w:r w:rsidR="00185AB0" w:rsidRPr="00D9348B">
          <w:rPr>
            <w:rStyle w:val="Hyperlink"/>
          </w:rPr>
          <w:t xml:space="preserve"> maps</w:t>
        </w:r>
        <w:r w:rsidR="00185AB0" w:rsidRPr="00D9348B">
          <w:rPr>
            <w:webHidden/>
          </w:rPr>
          <w:tab/>
        </w:r>
        <w:r w:rsidR="00185AB0" w:rsidRPr="00D9348B">
          <w:rPr>
            <w:webHidden/>
          </w:rPr>
          <w:fldChar w:fldCharType="begin"/>
        </w:r>
        <w:r w:rsidR="00185AB0" w:rsidRPr="00D9348B">
          <w:rPr>
            <w:webHidden/>
          </w:rPr>
          <w:instrText xml:space="preserve"> PAGEREF _Toc36292806 \h </w:instrText>
        </w:r>
        <w:r w:rsidR="00185AB0" w:rsidRPr="00D9348B">
          <w:rPr>
            <w:webHidden/>
          </w:rPr>
        </w:r>
        <w:r w:rsidR="00185AB0" w:rsidRPr="00D9348B">
          <w:rPr>
            <w:webHidden/>
          </w:rPr>
          <w:fldChar w:fldCharType="separate"/>
        </w:r>
        <w:r w:rsidR="00950F0A">
          <w:rPr>
            <w:webHidden/>
          </w:rPr>
          <w:t>262</w:t>
        </w:r>
        <w:r w:rsidR="00185AB0" w:rsidRPr="00D9348B">
          <w:rPr>
            <w:webHidden/>
          </w:rPr>
          <w:fldChar w:fldCharType="end"/>
        </w:r>
      </w:hyperlink>
    </w:p>
    <w:p w14:paraId="0B4EB86C" w14:textId="034F3A01" w:rsidR="00185AB0" w:rsidRPr="00BE3630" w:rsidRDefault="00DA6C03">
      <w:pPr>
        <w:pStyle w:val="TableofFigures"/>
        <w:rPr>
          <w:rFonts w:cs="Times New Roman"/>
          <w:sz w:val="22"/>
        </w:rPr>
      </w:pPr>
      <w:hyperlink w:anchor="_Toc36292807" w:history="1">
        <w:r w:rsidR="00185AB0" w:rsidRPr="00D9348B">
          <w:rPr>
            <w:rStyle w:val="Hyperlink"/>
          </w:rPr>
          <w:t>Figure 6.2.6</w:t>
        </w:r>
        <w:r w:rsidR="00185AB0" w:rsidRPr="00BE3630">
          <w:rPr>
            <w:rFonts w:cs="Times New Roman"/>
            <w:sz w:val="22"/>
          </w:rPr>
          <w:tab/>
        </w:r>
        <w:r w:rsidR="00185AB0" w:rsidRPr="00D9348B">
          <w:rPr>
            <w:rStyle w:val="Hyperlink"/>
          </w:rPr>
          <w:t>New Zealand’s identification of deforestation</w:t>
        </w:r>
        <w:r w:rsidR="00185AB0" w:rsidRPr="00D9348B">
          <w:rPr>
            <w:webHidden/>
          </w:rPr>
          <w:tab/>
        </w:r>
        <w:r w:rsidR="00185AB0" w:rsidRPr="00D9348B">
          <w:rPr>
            <w:webHidden/>
          </w:rPr>
          <w:fldChar w:fldCharType="begin"/>
        </w:r>
        <w:r w:rsidR="00185AB0" w:rsidRPr="00D9348B">
          <w:rPr>
            <w:webHidden/>
          </w:rPr>
          <w:instrText xml:space="preserve"> PAGEREF _Toc36292807 \h </w:instrText>
        </w:r>
        <w:r w:rsidR="00185AB0" w:rsidRPr="00D9348B">
          <w:rPr>
            <w:webHidden/>
          </w:rPr>
        </w:r>
        <w:r w:rsidR="00185AB0" w:rsidRPr="00D9348B">
          <w:rPr>
            <w:webHidden/>
          </w:rPr>
          <w:fldChar w:fldCharType="separate"/>
        </w:r>
        <w:r w:rsidR="00950F0A">
          <w:rPr>
            <w:webHidden/>
          </w:rPr>
          <w:t>265</w:t>
        </w:r>
        <w:r w:rsidR="00185AB0" w:rsidRPr="00D9348B">
          <w:rPr>
            <w:webHidden/>
          </w:rPr>
          <w:fldChar w:fldCharType="end"/>
        </w:r>
      </w:hyperlink>
    </w:p>
    <w:p w14:paraId="6605C86C" w14:textId="4167194F" w:rsidR="00185AB0" w:rsidRPr="00BE3630" w:rsidRDefault="00DA6C03">
      <w:pPr>
        <w:pStyle w:val="TableofFigures"/>
        <w:rPr>
          <w:rFonts w:cs="Times New Roman"/>
          <w:sz w:val="22"/>
        </w:rPr>
      </w:pPr>
      <w:hyperlink w:anchor="_Toc36292808" w:history="1">
        <w:r w:rsidR="00185AB0" w:rsidRPr="00D9348B">
          <w:rPr>
            <w:rStyle w:val="Hyperlink"/>
          </w:rPr>
          <w:t>Figure 6.2.7</w:t>
        </w:r>
        <w:r w:rsidR="00185AB0" w:rsidRPr="00BE3630">
          <w:rPr>
            <w:rFonts w:cs="Times New Roman"/>
            <w:sz w:val="22"/>
          </w:rPr>
          <w:tab/>
        </w:r>
        <w:r w:rsidR="00766DDA">
          <w:rPr>
            <w:rStyle w:val="Hyperlink"/>
          </w:rPr>
          <w:t>Land-use</w:t>
        </w:r>
        <w:r w:rsidR="00185AB0" w:rsidRPr="00D9348B">
          <w:rPr>
            <w:rStyle w:val="Hyperlink"/>
          </w:rPr>
          <w:t xml:space="preserve"> map of New Zealand as at 31 December 2016</w:t>
        </w:r>
        <w:r w:rsidR="00185AB0" w:rsidRPr="00D9348B">
          <w:rPr>
            <w:webHidden/>
          </w:rPr>
          <w:tab/>
        </w:r>
        <w:r w:rsidR="00185AB0" w:rsidRPr="00D9348B">
          <w:rPr>
            <w:webHidden/>
          </w:rPr>
          <w:fldChar w:fldCharType="begin"/>
        </w:r>
        <w:r w:rsidR="00185AB0" w:rsidRPr="00D9348B">
          <w:rPr>
            <w:webHidden/>
          </w:rPr>
          <w:instrText xml:space="preserve"> PAGEREF _Toc36292808 \h </w:instrText>
        </w:r>
        <w:r w:rsidR="00185AB0" w:rsidRPr="00D9348B">
          <w:rPr>
            <w:webHidden/>
          </w:rPr>
        </w:r>
        <w:r w:rsidR="00185AB0" w:rsidRPr="00D9348B">
          <w:rPr>
            <w:webHidden/>
          </w:rPr>
          <w:fldChar w:fldCharType="separate"/>
        </w:r>
        <w:r w:rsidR="00950F0A">
          <w:rPr>
            <w:webHidden/>
          </w:rPr>
          <w:t>266</w:t>
        </w:r>
        <w:r w:rsidR="00185AB0" w:rsidRPr="00D9348B">
          <w:rPr>
            <w:webHidden/>
          </w:rPr>
          <w:fldChar w:fldCharType="end"/>
        </w:r>
      </w:hyperlink>
    </w:p>
    <w:p w14:paraId="06E6B220" w14:textId="6D5B91BA" w:rsidR="00185AB0" w:rsidRPr="00BE3630" w:rsidRDefault="00DA6C03">
      <w:pPr>
        <w:pStyle w:val="TableofFigures"/>
        <w:rPr>
          <w:rFonts w:cs="Times New Roman"/>
          <w:sz w:val="22"/>
        </w:rPr>
      </w:pPr>
      <w:hyperlink w:anchor="_Toc36292809" w:history="1">
        <w:r w:rsidR="00185AB0" w:rsidRPr="00D9348B">
          <w:rPr>
            <w:rStyle w:val="Hyperlink"/>
          </w:rPr>
          <w:t>Figure 6.3.1</w:t>
        </w:r>
        <w:r w:rsidR="00185AB0" w:rsidRPr="00BE3630">
          <w:rPr>
            <w:rFonts w:cs="Times New Roman"/>
            <w:sz w:val="22"/>
          </w:rPr>
          <w:tab/>
        </w:r>
        <w:r w:rsidR="00185AB0" w:rsidRPr="00D9348B">
          <w:rPr>
            <w:rStyle w:val="Hyperlink"/>
          </w:rPr>
          <w:t>Soil samples in the Soil CMS model calibration data set</w:t>
        </w:r>
        <w:r w:rsidR="00185AB0" w:rsidRPr="00D9348B">
          <w:rPr>
            <w:webHidden/>
          </w:rPr>
          <w:tab/>
        </w:r>
        <w:r w:rsidR="00185AB0" w:rsidRPr="00D9348B">
          <w:rPr>
            <w:webHidden/>
          </w:rPr>
          <w:fldChar w:fldCharType="begin"/>
        </w:r>
        <w:r w:rsidR="00185AB0" w:rsidRPr="00D9348B">
          <w:rPr>
            <w:webHidden/>
          </w:rPr>
          <w:instrText xml:space="preserve"> PAGEREF _Toc36292809 \h </w:instrText>
        </w:r>
        <w:r w:rsidR="00185AB0" w:rsidRPr="00D9348B">
          <w:rPr>
            <w:webHidden/>
          </w:rPr>
        </w:r>
        <w:r w:rsidR="00185AB0" w:rsidRPr="00D9348B">
          <w:rPr>
            <w:webHidden/>
          </w:rPr>
          <w:fldChar w:fldCharType="separate"/>
        </w:r>
        <w:r w:rsidR="00950F0A">
          <w:rPr>
            <w:webHidden/>
          </w:rPr>
          <w:t>274</w:t>
        </w:r>
        <w:r w:rsidR="00185AB0" w:rsidRPr="00D9348B">
          <w:rPr>
            <w:webHidden/>
          </w:rPr>
          <w:fldChar w:fldCharType="end"/>
        </w:r>
      </w:hyperlink>
    </w:p>
    <w:p w14:paraId="5B4C35C3" w14:textId="4287E126" w:rsidR="00185AB0" w:rsidRPr="00BE3630" w:rsidRDefault="00DA6C03">
      <w:pPr>
        <w:pStyle w:val="TableofFigures"/>
        <w:rPr>
          <w:rFonts w:cs="Times New Roman"/>
          <w:sz w:val="22"/>
        </w:rPr>
      </w:pPr>
      <w:hyperlink w:anchor="_Toc36292810" w:history="1">
        <w:r w:rsidR="00185AB0" w:rsidRPr="00D9348B">
          <w:rPr>
            <w:rStyle w:val="Hyperlink"/>
          </w:rPr>
          <w:t>Figure 6.3.2</w:t>
        </w:r>
        <w:r w:rsidR="00185AB0" w:rsidRPr="00BE3630">
          <w:rPr>
            <w:rFonts w:cs="Times New Roman"/>
            <w:sz w:val="22"/>
          </w:rPr>
          <w:tab/>
        </w:r>
        <w:r w:rsidR="00185AB0" w:rsidRPr="00D9348B">
          <w:rPr>
            <w:rStyle w:val="Hyperlink"/>
          </w:rPr>
          <w:t>Result of applying the Marcus multi-comparison test to the adopted model</w:t>
        </w:r>
        <w:r w:rsidR="00185AB0" w:rsidRPr="00D9348B">
          <w:rPr>
            <w:webHidden/>
          </w:rPr>
          <w:tab/>
        </w:r>
        <w:r w:rsidR="00185AB0" w:rsidRPr="00D9348B">
          <w:rPr>
            <w:webHidden/>
          </w:rPr>
          <w:fldChar w:fldCharType="begin"/>
        </w:r>
        <w:r w:rsidR="00185AB0" w:rsidRPr="00D9348B">
          <w:rPr>
            <w:webHidden/>
          </w:rPr>
          <w:instrText xml:space="preserve"> PAGEREF _Toc36292810 \h </w:instrText>
        </w:r>
        <w:r w:rsidR="00185AB0" w:rsidRPr="00D9348B">
          <w:rPr>
            <w:webHidden/>
          </w:rPr>
        </w:r>
        <w:r w:rsidR="00185AB0" w:rsidRPr="00D9348B">
          <w:rPr>
            <w:webHidden/>
          </w:rPr>
          <w:fldChar w:fldCharType="separate"/>
        </w:r>
        <w:r w:rsidR="00950F0A">
          <w:rPr>
            <w:webHidden/>
          </w:rPr>
          <w:t>277</w:t>
        </w:r>
        <w:r w:rsidR="00185AB0" w:rsidRPr="00D9348B">
          <w:rPr>
            <w:webHidden/>
          </w:rPr>
          <w:fldChar w:fldCharType="end"/>
        </w:r>
      </w:hyperlink>
    </w:p>
    <w:p w14:paraId="15B76644" w14:textId="61774CAE" w:rsidR="00185AB0" w:rsidRPr="00BE3630" w:rsidRDefault="00DA6C03">
      <w:pPr>
        <w:pStyle w:val="TableofFigures"/>
        <w:rPr>
          <w:rFonts w:cs="Times New Roman"/>
          <w:sz w:val="22"/>
        </w:rPr>
      </w:pPr>
      <w:hyperlink w:anchor="_Toc36292811" w:history="1">
        <w:r w:rsidR="00185AB0" w:rsidRPr="00D9348B">
          <w:rPr>
            <w:rStyle w:val="Hyperlink"/>
          </w:rPr>
          <w:t>Figure 6.4.1</w:t>
        </w:r>
        <w:r w:rsidR="00185AB0" w:rsidRPr="00BE3630">
          <w:rPr>
            <w:rFonts w:cs="Times New Roman"/>
            <w:sz w:val="22"/>
          </w:rPr>
          <w:tab/>
        </w:r>
        <w:r w:rsidR="00185AB0" w:rsidRPr="00D9348B">
          <w:rPr>
            <w:rStyle w:val="Hyperlink"/>
          </w:rPr>
          <w:t>Annual areas of afforestation/reforestation in New Zealand from 1990 to 2018</w:t>
        </w:r>
        <w:r w:rsidR="00185AB0" w:rsidRPr="00D9348B">
          <w:rPr>
            <w:webHidden/>
          </w:rPr>
          <w:tab/>
        </w:r>
        <w:r w:rsidR="00185AB0" w:rsidRPr="00D9348B">
          <w:rPr>
            <w:webHidden/>
          </w:rPr>
          <w:fldChar w:fldCharType="begin"/>
        </w:r>
        <w:r w:rsidR="00185AB0" w:rsidRPr="00D9348B">
          <w:rPr>
            <w:webHidden/>
          </w:rPr>
          <w:instrText xml:space="preserve"> PAGEREF _Toc36292811 \h </w:instrText>
        </w:r>
        <w:r w:rsidR="00185AB0" w:rsidRPr="00D9348B">
          <w:rPr>
            <w:webHidden/>
          </w:rPr>
        </w:r>
        <w:r w:rsidR="00185AB0" w:rsidRPr="00D9348B">
          <w:rPr>
            <w:webHidden/>
          </w:rPr>
          <w:fldChar w:fldCharType="separate"/>
        </w:r>
        <w:r w:rsidR="00950F0A">
          <w:rPr>
            <w:webHidden/>
          </w:rPr>
          <w:t>285</w:t>
        </w:r>
        <w:r w:rsidR="00185AB0" w:rsidRPr="00D9348B">
          <w:rPr>
            <w:webHidden/>
          </w:rPr>
          <w:fldChar w:fldCharType="end"/>
        </w:r>
      </w:hyperlink>
    </w:p>
    <w:p w14:paraId="37DAEBD0" w14:textId="5C4905B9" w:rsidR="00185AB0" w:rsidRPr="00BE3630" w:rsidRDefault="00DA6C03">
      <w:pPr>
        <w:pStyle w:val="TableofFigures"/>
        <w:rPr>
          <w:rFonts w:cs="Times New Roman"/>
          <w:sz w:val="22"/>
        </w:rPr>
      </w:pPr>
      <w:hyperlink w:anchor="_Toc36292812" w:history="1">
        <w:r w:rsidR="00185AB0" w:rsidRPr="00D9348B">
          <w:rPr>
            <w:rStyle w:val="Hyperlink"/>
          </w:rPr>
          <w:t>Figure 6.4.2</w:t>
        </w:r>
        <w:r w:rsidR="00185AB0" w:rsidRPr="00BE3630">
          <w:rPr>
            <w:rFonts w:cs="Times New Roman"/>
            <w:sz w:val="22"/>
          </w:rPr>
          <w:tab/>
        </w:r>
        <w:r w:rsidR="00185AB0" w:rsidRPr="00D9348B">
          <w:rPr>
            <w:rStyle w:val="Hyperlink"/>
          </w:rPr>
          <w:t>New Zealand’s net carbon dioxide removals by post-1989 forests from 1990 to 2018</w:t>
        </w:r>
        <w:r w:rsidR="00185AB0" w:rsidRPr="00D9348B">
          <w:rPr>
            <w:webHidden/>
          </w:rPr>
          <w:tab/>
        </w:r>
        <w:r w:rsidR="00185AB0" w:rsidRPr="00D9348B">
          <w:rPr>
            <w:webHidden/>
          </w:rPr>
          <w:fldChar w:fldCharType="begin"/>
        </w:r>
        <w:r w:rsidR="00185AB0" w:rsidRPr="00D9348B">
          <w:rPr>
            <w:webHidden/>
          </w:rPr>
          <w:instrText xml:space="preserve"> PAGEREF _Toc36292812 \h </w:instrText>
        </w:r>
        <w:r w:rsidR="00185AB0" w:rsidRPr="00D9348B">
          <w:rPr>
            <w:webHidden/>
          </w:rPr>
        </w:r>
        <w:r w:rsidR="00185AB0" w:rsidRPr="00D9348B">
          <w:rPr>
            <w:webHidden/>
          </w:rPr>
          <w:fldChar w:fldCharType="separate"/>
        </w:r>
        <w:r w:rsidR="00950F0A">
          <w:rPr>
            <w:webHidden/>
          </w:rPr>
          <w:t>285</w:t>
        </w:r>
        <w:r w:rsidR="00185AB0" w:rsidRPr="00D9348B">
          <w:rPr>
            <w:webHidden/>
          </w:rPr>
          <w:fldChar w:fldCharType="end"/>
        </w:r>
      </w:hyperlink>
    </w:p>
    <w:p w14:paraId="64954B60" w14:textId="4C4A3074" w:rsidR="00185AB0" w:rsidRPr="00BE3630" w:rsidRDefault="00DA6C03">
      <w:pPr>
        <w:pStyle w:val="TableofFigures"/>
        <w:rPr>
          <w:rFonts w:cs="Times New Roman"/>
          <w:sz w:val="22"/>
        </w:rPr>
      </w:pPr>
      <w:hyperlink w:anchor="_Toc36292813" w:history="1">
        <w:r w:rsidR="00185AB0" w:rsidRPr="00D9348B">
          <w:rPr>
            <w:rStyle w:val="Hyperlink"/>
          </w:rPr>
          <w:t>Figure 6.4.3</w:t>
        </w:r>
        <w:r w:rsidR="00185AB0" w:rsidRPr="00BE3630">
          <w:rPr>
            <w:rFonts w:cs="Times New Roman"/>
            <w:sz w:val="22"/>
          </w:rPr>
          <w:tab/>
        </w:r>
        <w:r w:rsidR="00185AB0" w:rsidRPr="00D9348B">
          <w:rPr>
            <w:rStyle w:val="Hyperlink"/>
          </w:rPr>
          <w:t>New Zealand’s area of deforestation since 1990, by Forest land category</w:t>
        </w:r>
        <w:r w:rsidR="00185AB0" w:rsidRPr="00D9348B">
          <w:rPr>
            <w:webHidden/>
          </w:rPr>
          <w:tab/>
        </w:r>
        <w:r w:rsidR="00185AB0" w:rsidRPr="00D9348B">
          <w:rPr>
            <w:webHidden/>
          </w:rPr>
          <w:fldChar w:fldCharType="begin"/>
        </w:r>
        <w:r w:rsidR="00185AB0" w:rsidRPr="00D9348B">
          <w:rPr>
            <w:webHidden/>
          </w:rPr>
          <w:instrText xml:space="preserve"> PAGEREF _Toc36292813 \h </w:instrText>
        </w:r>
        <w:r w:rsidR="00185AB0" w:rsidRPr="00D9348B">
          <w:rPr>
            <w:webHidden/>
          </w:rPr>
        </w:r>
        <w:r w:rsidR="00185AB0" w:rsidRPr="00D9348B">
          <w:rPr>
            <w:webHidden/>
          </w:rPr>
          <w:fldChar w:fldCharType="separate"/>
        </w:r>
        <w:r w:rsidR="00950F0A">
          <w:rPr>
            <w:webHidden/>
          </w:rPr>
          <w:t>286</w:t>
        </w:r>
        <w:r w:rsidR="00185AB0" w:rsidRPr="00D9348B">
          <w:rPr>
            <w:webHidden/>
          </w:rPr>
          <w:fldChar w:fldCharType="end"/>
        </w:r>
      </w:hyperlink>
    </w:p>
    <w:p w14:paraId="4E798049" w14:textId="3035E9B2" w:rsidR="00185AB0" w:rsidRPr="00BE3630" w:rsidRDefault="00DA6C03">
      <w:pPr>
        <w:pStyle w:val="TableofFigures"/>
        <w:rPr>
          <w:rFonts w:cs="Times New Roman"/>
          <w:sz w:val="22"/>
        </w:rPr>
      </w:pPr>
      <w:hyperlink w:anchor="_Toc36292814" w:history="1">
        <w:r w:rsidR="00185AB0" w:rsidRPr="00D9348B">
          <w:rPr>
            <w:rStyle w:val="Hyperlink"/>
          </w:rPr>
          <w:t>Figure 6.4.4</w:t>
        </w:r>
        <w:r w:rsidR="00185AB0" w:rsidRPr="00BE3630">
          <w:rPr>
            <w:rFonts w:cs="Times New Roman"/>
            <w:sz w:val="22"/>
          </w:rPr>
          <w:tab/>
        </w:r>
        <w:r w:rsidR="00185AB0" w:rsidRPr="00D9348B">
          <w:rPr>
            <w:rStyle w:val="Hyperlink"/>
          </w:rPr>
          <w:t>New Zealand’s area of planted forest harvest (inclusive of deforestation) from 1990 to 2018</w:t>
        </w:r>
        <w:r w:rsidR="00185AB0" w:rsidRPr="00D9348B">
          <w:rPr>
            <w:webHidden/>
          </w:rPr>
          <w:tab/>
        </w:r>
        <w:r w:rsidR="00185AB0" w:rsidRPr="00D9348B">
          <w:rPr>
            <w:webHidden/>
          </w:rPr>
          <w:fldChar w:fldCharType="begin"/>
        </w:r>
        <w:r w:rsidR="00185AB0" w:rsidRPr="00D9348B">
          <w:rPr>
            <w:webHidden/>
          </w:rPr>
          <w:instrText xml:space="preserve"> PAGEREF _Toc36292814 \h </w:instrText>
        </w:r>
        <w:r w:rsidR="00185AB0" w:rsidRPr="00D9348B">
          <w:rPr>
            <w:webHidden/>
          </w:rPr>
        </w:r>
        <w:r w:rsidR="00185AB0" w:rsidRPr="00D9348B">
          <w:rPr>
            <w:webHidden/>
          </w:rPr>
          <w:fldChar w:fldCharType="separate"/>
        </w:r>
        <w:r w:rsidR="00950F0A">
          <w:rPr>
            <w:webHidden/>
          </w:rPr>
          <w:t>288</w:t>
        </w:r>
        <w:r w:rsidR="00185AB0" w:rsidRPr="00D9348B">
          <w:rPr>
            <w:webHidden/>
          </w:rPr>
          <w:fldChar w:fldCharType="end"/>
        </w:r>
      </w:hyperlink>
    </w:p>
    <w:p w14:paraId="263B4544" w14:textId="441599C7" w:rsidR="00185AB0" w:rsidRPr="00BE3630" w:rsidRDefault="00DA6C03">
      <w:pPr>
        <w:pStyle w:val="TableofFigures"/>
        <w:rPr>
          <w:rFonts w:cs="Times New Roman"/>
          <w:sz w:val="22"/>
        </w:rPr>
      </w:pPr>
      <w:hyperlink w:anchor="_Toc36292815" w:history="1">
        <w:r w:rsidR="00185AB0" w:rsidRPr="00D9348B">
          <w:rPr>
            <w:rStyle w:val="Hyperlink"/>
          </w:rPr>
          <w:t>Figure 6.4.5</w:t>
        </w:r>
        <w:r w:rsidR="00185AB0" w:rsidRPr="00BE3630">
          <w:rPr>
            <w:rFonts w:cs="Times New Roman"/>
            <w:sz w:val="22"/>
          </w:rPr>
          <w:tab/>
        </w:r>
        <w:r w:rsidR="00185AB0" w:rsidRPr="00D9348B">
          <w:rPr>
            <w:rStyle w:val="Hyperlink"/>
          </w:rPr>
          <w:t>Location of New Zealand’s pre-1990 forest carbon monitoring plots</w:t>
        </w:r>
        <w:r w:rsidR="00185AB0" w:rsidRPr="00D9348B">
          <w:rPr>
            <w:webHidden/>
          </w:rPr>
          <w:tab/>
        </w:r>
        <w:r w:rsidR="00185AB0" w:rsidRPr="00D9348B">
          <w:rPr>
            <w:webHidden/>
          </w:rPr>
          <w:fldChar w:fldCharType="begin"/>
        </w:r>
        <w:r w:rsidR="00185AB0" w:rsidRPr="00D9348B">
          <w:rPr>
            <w:webHidden/>
          </w:rPr>
          <w:instrText xml:space="preserve"> PAGEREF _Toc36292815 \h </w:instrText>
        </w:r>
        <w:r w:rsidR="00185AB0" w:rsidRPr="00D9348B">
          <w:rPr>
            <w:webHidden/>
          </w:rPr>
        </w:r>
        <w:r w:rsidR="00185AB0" w:rsidRPr="00D9348B">
          <w:rPr>
            <w:webHidden/>
          </w:rPr>
          <w:fldChar w:fldCharType="separate"/>
        </w:r>
        <w:r w:rsidR="00950F0A">
          <w:rPr>
            <w:webHidden/>
          </w:rPr>
          <w:t>290</w:t>
        </w:r>
        <w:r w:rsidR="00185AB0" w:rsidRPr="00D9348B">
          <w:rPr>
            <w:webHidden/>
          </w:rPr>
          <w:fldChar w:fldCharType="end"/>
        </w:r>
      </w:hyperlink>
    </w:p>
    <w:p w14:paraId="4ADD05E3" w14:textId="2DB383A4" w:rsidR="00185AB0" w:rsidRPr="00BE3630" w:rsidRDefault="00DA6C03">
      <w:pPr>
        <w:pStyle w:val="TableofFigures"/>
        <w:rPr>
          <w:rFonts w:cs="Times New Roman"/>
          <w:sz w:val="22"/>
        </w:rPr>
      </w:pPr>
      <w:hyperlink w:anchor="_Toc36292816" w:history="1">
        <w:r w:rsidR="00185AB0" w:rsidRPr="00D9348B">
          <w:rPr>
            <w:rStyle w:val="Hyperlink"/>
          </w:rPr>
          <w:t>Figure 6.4.6</w:t>
        </w:r>
        <w:r w:rsidR="00185AB0" w:rsidRPr="00BE3630">
          <w:rPr>
            <w:rFonts w:cs="Times New Roman"/>
            <w:sz w:val="22"/>
          </w:rPr>
          <w:tab/>
        </w:r>
        <w:r w:rsidR="00185AB0" w:rsidRPr="00D9348B">
          <w:rPr>
            <w:rStyle w:val="Hyperlink"/>
          </w:rPr>
          <w:t>Location of New Zealand’s post-1989 forest plots</w:t>
        </w:r>
        <w:r w:rsidR="00185AB0" w:rsidRPr="00D9348B">
          <w:rPr>
            <w:webHidden/>
          </w:rPr>
          <w:tab/>
        </w:r>
        <w:r w:rsidR="00185AB0" w:rsidRPr="00D9348B">
          <w:rPr>
            <w:webHidden/>
          </w:rPr>
          <w:fldChar w:fldCharType="begin"/>
        </w:r>
        <w:r w:rsidR="00185AB0" w:rsidRPr="00D9348B">
          <w:rPr>
            <w:webHidden/>
          </w:rPr>
          <w:instrText xml:space="preserve"> PAGEREF _Toc36292816 \h </w:instrText>
        </w:r>
        <w:r w:rsidR="00185AB0" w:rsidRPr="00D9348B">
          <w:rPr>
            <w:webHidden/>
          </w:rPr>
        </w:r>
        <w:r w:rsidR="00185AB0" w:rsidRPr="00D9348B">
          <w:rPr>
            <w:webHidden/>
          </w:rPr>
          <w:fldChar w:fldCharType="separate"/>
        </w:r>
        <w:r w:rsidR="00950F0A">
          <w:rPr>
            <w:webHidden/>
          </w:rPr>
          <w:t>291</w:t>
        </w:r>
        <w:r w:rsidR="00185AB0" w:rsidRPr="00D9348B">
          <w:rPr>
            <w:webHidden/>
          </w:rPr>
          <w:fldChar w:fldCharType="end"/>
        </w:r>
      </w:hyperlink>
    </w:p>
    <w:p w14:paraId="1C37BA8C" w14:textId="7E851438" w:rsidR="00185AB0" w:rsidRPr="00BE3630" w:rsidRDefault="00DA6C03">
      <w:pPr>
        <w:pStyle w:val="TableofFigures"/>
        <w:rPr>
          <w:rFonts w:cs="Times New Roman"/>
          <w:sz w:val="22"/>
        </w:rPr>
      </w:pPr>
      <w:hyperlink w:anchor="_Toc36292817" w:history="1">
        <w:r w:rsidR="00185AB0" w:rsidRPr="00D9348B">
          <w:rPr>
            <w:rStyle w:val="Hyperlink"/>
          </w:rPr>
          <w:t>Figure 6.4.7</w:t>
        </w:r>
        <w:r w:rsidR="00185AB0" w:rsidRPr="00BE3630">
          <w:rPr>
            <w:rFonts w:cs="Times New Roman"/>
            <w:sz w:val="22"/>
          </w:rPr>
          <w:tab/>
        </w:r>
        <w:r w:rsidR="00185AB0" w:rsidRPr="00D9348B">
          <w:rPr>
            <w:rStyle w:val="Hyperlink"/>
          </w:rPr>
          <w:t>New Zealand’s planted forest inventory modelling process</w:t>
        </w:r>
        <w:r w:rsidR="00185AB0" w:rsidRPr="00D9348B">
          <w:rPr>
            <w:webHidden/>
          </w:rPr>
          <w:tab/>
        </w:r>
        <w:r w:rsidR="00185AB0" w:rsidRPr="00D9348B">
          <w:rPr>
            <w:webHidden/>
          </w:rPr>
          <w:fldChar w:fldCharType="begin"/>
        </w:r>
        <w:r w:rsidR="00185AB0" w:rsidRPr="00D9348B">
          <w:rPr>
            <w:webHidden/>
          </w:rPr>
          <w:instrText xml:space="preserve"> PAGEREF _Toc36292817 \h </w:instrText>
        </w:r>
        <w:r w:rsidR="00185AB0" w:rsidRPr="00D9348B">
          <w:rPr>
            <w:webHidden/>
          </w:rPr>
        </w:r>
        <w:r w:rsidR="00185AB0" w:rsidRPr="00D9348B">
          <w:rPr>
            <w:webHidden/>
          </w:rPr>
          <w:fldChar w:fldCharType="separate"/>
        </w:r>
        <w:r w:rsidR="00950F0A">
          <w:rPr>
            <w:webHidden/>
          </w:rPr>
          <w:t>298</w:t>
        </w:r>
        <w:r w:rsidR="00185AB0" w:rsidRPr="00D9348B">
          <w:rPr>
            <w:webHidden/>
          </w:rPr>
          <w:fldChar w:fldCharType="end"/>
        </w:r>
      </w:hyperlink>
    </w:p>
    <w:p w14:paraId="20FC419C" w14:textId="4AC7C335" w:rsidR="00185AB0" w:rsidRPr="00BE3630" w:rsidRDefault="00DA6C03">
      <w:pPr>
        <w:pStyle w:val="TableofFigures"/>
        <w:rPr>
          <w:rFonts w:cs="Times New Roman"/>
          <w:sz w:val="22"/>
        </w:rPr>
      </w:pPr>
      <w:hyperlink w:anchor="_Toc36292818" w:history="1">
        <w:r w:rsidR="00185AB0" w:rsidRPr="00D9348B">
          <w:rPr>
            <w:rStyle w:val="Hyperlink"/>
          </w:rPr>
          <w:t>Figure 6.10.1</w:t>
        </w:r>
        <w:r w:rsidR="00185AB0" w:rsidRPr="00BE3630">
          <w:rPr>
            <w:rFonts w:cs="Times New Roman"/>
            <w:sz w:val="22"/>
          </w:rPr>
          <w:tab/>
        </w:r>
        <w:r w:rsidR="00185AB0" w:rsidRPr="00D9348B">
          <w:rPr>
            <w:rStyle w:val="Hyperlink"/>
          </w:rPr>
          <w:t>Volume of roundwood produced and exported between 1990 to 2018</w:t>
        </w:r>
        <w:r w:rsidR="00185AB0" w:rsidRPr="00D9348B">
          <w:rPr>
            <w:webHidden/>
          </w:rPr>
          <w:tab/>
        </w:r>
        <w:r w:rsidR="00185AB0" w:rsidRPr="00D9348B">
          <w:rPr>
            <w:webHidden/>
          </w:rPr>
          <w:fldChar w:fldCharType="begin"/>
        </w:r>
        <w:r w:rsidR="00185AB0" w:rsidRPr="00D9348B">
          <w:rPr>
            <w:webHidden/>
          </w:rPr>
          <w:instrText xml:space="preserve"> PAGEREF _Toc36292818 \h </w:instrText>
        </w:r>
        <w:r w:rsidR="00185AB0" w:rsidRPr="00D9348B">
          <w:rPr>
            <w:webHidden/>
          </w:rPr>
        </w:r>
        <w:r w:rsidR="00185AB0" w:rsidRPr="00D9348B">
          <w:rPr>
            <w:webHidden/>
          </w:rPr>
          <w:fldChar w:fldCharType="separate"/>
        </w:r>
        <w:r w:rsidR="00950F0A">
          <w:rPr>
            <w:webHidden/>
          </w:rPr>
          <w:t>330</w:t>
        </w:r>
        <w:r w:rsidR="00185AB0" w:rsidRPr="00D9348B">
          <w:rPr>
            <w:webHidden/>
          </w:rPr>
          <w:fldChar w:fldCharType="end"/>
        </w:r>
      </w:hyperlink>
    </w:p>
    <w:p w14:paraId="086DD2B8" w14:textId="354B8C0F" w:rsidR="00185AB0" w:rsidRPr="00BE3630" w:rsidRDefault="00DA6C03">
      <w:pPr>
        <w:pStyle w:val="TableofFigures"/>
        <w:rPr>
          <w:rFonts w:cs="Times New Roman"/>
          <w:sz w:val="22"/>
        </w:rPr>
      </w:pPr>
      <w:hyperlink w:anchor="_Toc36292819" w:history="1">
        <w:r w:rsidR="00185AB0" w:rsidRPr="00D9348B">
          <w:rPr>
            <w:rStyle w:val="Hyperlink"/>
          </w:rPr>
          <w:t>Figure 7.1.1</w:t>
        </w:r>
        <w:r w:rsidR="00185AB0" w:rsidRPr="00BE3630">
          <w:rPr>
            <w:rFonts w:cs="Times New Roman"/>
            <w:sz w:val="22"/>
          </w:rPr>
          <w:tab/>
        </w:r>
        <w:r w:rsidR="00185AB0" w:rsidRPr="00D9348B">
          <w:rPr>
            <w:rStyle w:val="Hyperlink"/>
          </w:rPr>
          <w:t>Profile of emissions from New Zealand’s Waste sector by source from 1990 to 2018</w:t>
        </w:r>
        <w:r w:rsidR="00185AB0" w:rsidRPr="00D9348B">
          <w:rPr>
            <w:webHidden/>
          </w:rPr>
          <w:tab/>
        </w:r>
        <w:r w:rsidR="00185AB0" w:rsidRPr="00D9348B">
          <w:rPr>
            <w:webHidden/>
          </w:rPr>
          <w:fldChar w:fldCharType="begin"/>
        </w:r>
        <w:r w:rsidR="00185AB0" w:rsidRPr="00D9348B">
          <w:rPr>
            <w:webHidden/>
          </w:rPr>
          <w:instrText xml:space="preserve"> PAGEREF _Toc36292819 \h </w:instrText>
        </w:r>
        <w:r w:rsidR="00185AB0" w:rsidRPr="00D9348B">
          <w:rPr>
            <w:webHidden/>
          </w:rPr>
        </w:r>
        <w:r w:rsidR="00185AB0" w:rsidRPr="00D9348B">
          <w:rPr>
            <w:webHidden/>
          </w:rPr>
          <w:fldChar w:fldCharType="separate"/>
        </w:r>
        <w:r w:rsidR="00950F0A">
          <w:rPr>
            <w:webHidden/>
          </w:rPr>
          <w:t>349</w:t>
        </w:r>
        <w:r w:rsidR="00185AB0" w:rsidRPr="00D9348B">
          <w:rPr>
            <w:webHidden/>
          </w:rPr>
          <w:fldChar w:fldCharType="end"/>
        </w:r>
      </w:hyperlink>
    </w:p>
    <w:p w14:paraId="78399689" w14:textId="5AD87CA6" w:rsidR="00185AB0" w:rsidRPr="00BE3630" w:rsidRDefault="00DA6C03">
      <w:pPr>
        <w:pStyle w:val="TableofFigures"/>
        <w:rPr>
          <w:rFonts w:cs="Times New Roman"/>
          <w:sz w:val="22"/>
        </w:rPr>
      </w:pPr>
      <w:hyperlink w:anchor="_Toc36292820" w:history="1">
        <w:r w:rsidR="00185AB0" w:rsidRPr="00D9348B">
          <w:rPr>
            <w:rStyle w:val="Hyperlink"/>
          </w:rPr>
          <w:t>Figure 7.1.2</w:t>
        </w:r>
        <w:r w:rsidR="00185AB0" w:rsidRPr="00BE3630">
          <w:rPr>
            <w:rFonts w:cs="Times New Roman"/>
            <w:sz w:val="22"/>
          </w:rPr>
          <w:tab/>
        </w:r>
        <w:r w:rsidR="00185AB0" w:rsidRPr="00D9348B">
          <w:rPr>
            <w:rStyle w:val="Hyperlink"/>
          </w:rPr>
          <w:t>Change in New Zealand’s emissions from the Waste sector by source category from 1990 to 2018</w:t>
        </w:r>
        <w:r w:rsidR="00185AB0" w:rsidRPr="00D9348B">
          <w:rPr>
            <w:webHidden/>
          </w:rPr>
          <w:tab/>
        </w:r>
        <w:r w:rsidR="00185AB0" w:rsidRPr="00D9348B">
          <w:rPr>
            <w:webHidden/>
          </w:rPr>
          <w:fldChar w:fldCharType="begin"/>
        </w:r>
        <w:r w:rsidR="00185AB0" w:rsidRPr="00D9348B">
          <w:rPr>
            <w:webHidden/>
          </w:rPr>
          <w:instrText xml:space="preserve"> PAGEREF _Toc36292820 \h </w:instrText>
        </w:r>
        <w:r w:rsidR="00185AB0" w:rsidRPr="00D9348B">
          <w:rPr>
            <w:webHidden/>
          </w:rPr>
        </w:r>
        <w:r w:rsidR="00185AB0" w:rsidRPr="00D9348B">
          <w:rPr>
            <w:webHidden/>
          </w:rPr>
          <w:fldChar w:fldCharType="separate"/>
        </w:r>
        <w:r w:rsidR="00950F0A">
          <w:rPr>
            <w:webHidden/>
          </w:rPr>
          <w:t>350</w:t>
        </w:r>
        <w:r w:rsidR="00185AB0" w:rsidRPr="00D9348B">
          <w:rPr>
            <w:webHidden/>
          </w:rPr>
          <w:fldChar w:fldCharType="end"/>
        </w:r>
      </w:hyperlink>
    </w:p>
    <w:p w14:paraId="545100BA" w14:textId="4018E53F" w:rsidR="00185AB0" w:rsidRPr="00BE3630" w:rsidRDefault="00DA6C03">
      <w:pPr>
        <w:pStyle w:val="TableofFigures"/>
        <w:rPr>
          <w:rFonts w:cs="Times New Roman"/>
          <w:sz w:val="22"/>
        </w:rPr>
      </w:pPr>
      <w:hyperlink w:anchor="_Toc36292821" w:history="1">
        <w:r w:rsidR="00185AB0" w:rsidRPr="00D9348B">
          <w:rPr>
            <w:rStyle w:val="Hyperlink"/>
          </w:rPr>
          <w:t xml:space="preserve">Figure 7.1.3 </w:t>
        </w:r>
        <w:r w:rsidR="00185AB0" w:rsidRPr="00BE3630">
          <w:rPr>
            <w:rFonts w:cs="Times New Roman"/>
            <w:sz w:val="22"/>
          </w:rPr>
          <w:tab/>
        </w:r>
        <w:r w:rsidR="00185AB0" w:rsidRPr="00D9348B">
          <w:rPr>
            <w:rStyle w:val="Hyperlink"/>
          </w:rPr>
          <w:t>Tier 1 quality checks for the Waste sector</w:t>
        </w:r>
        <w:r w:rsidR="00185AB0" w:rsidRPr="00D9348B">
          <w:rPr>
            <w:webHidden/>
          </w:rPr>
          <w:tab/>
        </w:r>
        <w:r w:rsidR="00185AB0" w:rsidRPr="00D9348B">
          <w:rPr>
            <w:webHidden/>
          </w:rPr>
          <w:fldChar w:fldCharType="begin"/>
        </w:r>
        <w:r w:rsidR="00185AB0" w:rsidRPr="00D9348B">
          <w:rPr>
            <w:webHidden/>
          </w:rPr>
          <w:instrText xml:space="preserve"> PAGEREF _Toc36292821 \h </w:instrText>
        </w:r>
        <w:r w:rsidR="00185AB0" w:rsidRPr="00D9348B">
          <w:rPr>
            <w:webHidden/>
          </w:rPr>
        </w:r>
        <w:r w:rsidR="00185AB0" w:rsidRPr="00D9348B">
          <w:rPr>
            <w:webHidden/>
          </w:rPr>
          <w:fldChar w:fldCharType="separate"/>
        </w:r>
        <w:r w:rsidR="00950F0A">
          <w:rPr>
            <w:webHidden/>
          </w:rPr>
          <w:t>352</w:t>
        </w:r>
        <w:r w:rsidR="00185AB0" w:rsidRPr="00D9348B">
          <w:rPr>
            <w:webHidden/>
          </w:rPr>
          <w:fldChar w:fldCharType="end"/>
        </w:r>
      </w:hyperlink>
    </w:p>
    <w:p w14:paraId="4295BC42" w14:textId="35ED9C6B" w:rsidR="00185AB0" w:rsidRPr="00BE3630" w:rsidRDefault="00DA6C03">
      <w:pPr>
        <w:pStyle w:val="TableofFigures"/>
        <w:rPr>
          <w:rFonts w:cs="Times New Roman"/>
          <w:sz w:val="22"/>
        </w:rPr>
      </w:pPr>
      <w:hyperlink w:anchor="_Toc36292822" w:history="1">
        <w:r w:rsidR="00185AB0" w:rsidRPr="00D9348B">
          <w:rPr>
            <w:rStyle w:val="Hyperlink"/>
          </w:rPr>
          <w:t>Figure 7.2.1</w:t>
        </w:r>
        <w:r w:rsidR="00185AB0" w:rsidRPr="00BE3630">
          <w:rPr>
            <w:rFonts w:cs="Times New Roman"/>
            <w:sz w:val="22"/>
          </w:rPr>
          <w:tab/>
        </w:r>
        <w:r w:rsidR="00185AB0" w:rsidRPr="00D9348B">
          <w:rPr>
            <w:rStyle w:val="Hyperlink"/>
          </w:rPr>
          <w:t>The composition of municipal solid waste landfilled in New Zealand and the United States</w:t>
        </w:r>
        <w:r w:rsidR="00185AB0" w:rsidRPr="00D9348B">
          <w:rPr>
            <w:webHidden/>
          </w:rPr>
          <w:tab/>
        </w:r>
        <w:r w:rsidR="00185AB0" w:rsidRPr="00D9348B">
          <w:rPr>
            <w:webHidden/>
          </w:rPr>
          <w:fldChar w:fldCharType="begin"/>
        </w:r>
        <w:r w:rsidR="00185AB0" w:rsidRPr="00D9348B">
          <w:rPr>
            <w:webHidden/>
          </w:rPr>
          <w:instrText xml:space="preserve"> PAGEREF _Toc36292822 \h </w:instrText>
        </w:r>
        <w:r w:rsidR="00185AB0" w:rsidRPr="00D9348B">
          <w:rPr>
            <w:webHidden/>
          </w:rPr>
        </w:r>
        <w:r w:rsidR="00185AB0" w:rsidRPr="00D9348B">
          <w:rPr>
            <w:webHidden/>
          </w:rPr>
          <w:fldChar w:fldCharType="separate"/>
        </w:r>
        <w:r w:rsidR="00950F0A">
          <w:rPr>
            <w:webHidden/>
          </w:rPr>
          <w:t>361</w:t>
        </w:r>
        <w:r w:rsidR="00185AB0" w:rsidRPr="00D9348B">
          <w:rPr>
            <w:webHidden/>
          </w:rPr>
          <w:fldChar w:fldCharType="end"/>
        </w:r>
      </w:hyperlink>
    </w:p>
    <w:p w14:paraId="0563FDE8" w14:textId="62572D4D" w:rsidR="00185AB0" w:rsidRPr="00BE3630" w:rsidRDefault="00DA6C03">
      <w:pPr>
        <w:pStyle w:val="TableofFigures"/>
        <w:rPr>
          <w:rFonts w:cs="Times New Roman"/>
          <w:sz w:val="22"/>
        </w:rPr>
      </w:pPr>
      <w:hyperlink w:anchor="_Toc36292823" w:history="1">
        <w:r w:rsidR="00185AB0" w:rsidRPr="00D9348B">
          <w:rPr>
            <w:rStyle w:val="Hyperlink"/>
            <w:rFonts w:cs="Arial"/>
          </w:rPr>
          <w:t>Figure 7.2.2</w:t>
        </w:r>
        <w:r w:rsidR="00185AB0" w:rsidRPr="00BE3630">
          <w:rPr>
            <w:rFonts w:cs="Times New Roman"/>
            <w:sz w:val="22"/>
          </w:rPr>
          <w:tab/>
        </w:r>
        <w:r w:rsidR="00185AB0" w:rsidRPr="00D9348B">
          <w:rPr>
            <w:rStyle w:val="Hyperlink"/>
            <w:rFonts w:cs="Arial"/>
          </w:rPr>
          <w:t>Effect on emissions from landfills with landfill gas (LFG) recovery when using default methane recovery rate from 1990 to 2018</w:t>
        </w:r>
        <w:r w:rsidR="00185AB0" w:rsidRPr="00D9348B">
          <w:rPr>
            <w:webHidden/>
          </w:rPr>
          <w:tab/>
        </w:r>
        <w:r w:rsidR="00185AB0" w:rsidRPr="00D9348B">
          <w:rPr>
            <w:webHidden/>
          </w:rPr>
          <w:fldChar w:fldCharType="begin"/>
        </w:r>
        <w:r w:rsidR="00185AB0" w:rsidRPr="00D9348B">
          <w:rPr>
            <w:webHidden/>
          </w:rPr>
          <w:instrText xml:space="preserve"> PAGEREF _Toc36292823 \h </w:instrText>
        </w:r>
        <w:r w:rsidR="00185AB0" w:rsidRPr="00D9348B">
          <w:rPr>
            <w:webHidden/>
          </w:rPr>
        </w:r>
        <w:r w:rsidR="00185AB0" w:rsidRPr="00D9348B">
          <w:rPr>
            <w:webHidden/>
          </w:rPr>
          <w:fldChar w:fldCharType="separate"/>
        </w:r>
        <w:r w:rsidR="00950F0A">
          <w:rPr>
            <w:webHidden/>
          </w:rPr>
          <w:t>364</w:t>
        </w:r>
        <w:r w:rsidR="00185AB0" w:rsidRPr="00D9348B">
          <w:rPr>
            <w:webHidden/>
          </w:rPr>
          <w:fldChar w:fldCharType="end"/>
        </w:r>
      </w:hyperlink>
    </w:p>
    <w:p w14:paraId="68105D29" w14:textId="64A812CE" w:rsidR="00185AB0" w:rsidRPr="00BE3630" w:rsidRDefault="00DA6C03">
      <w:pPr>
        <w:pStyle w:val="TableofFigures"/>
        <w:rPr>
          <w:rFonts w:cs="Times New Roman"/>
          <w:sz w:val="22"/>
        </w:rPr>
      </w:pPr>
      <w:hyperlink w:anchor="_Toc36292824" w:history="1">
        <w:r w:rsidR="00185AB0" w:rsidRPr="00D9348B">
          <w:rPr>
            <w:rStyle w:val="Hyperlink"/>
          </w:rPr>
          <w:t xml:space="preserve">Figure 8.1.1 </w:t>
        </w:r>
        <w:r w:rsidR="00185AB0" w:rsidRPr="00BE3630">
          <w:rPr>
            <w:rFonts w:cs="Times New Roman"/>
            <w:sz w:val="22"/>
          </w:rPr>
          <w:tab/>
        </w:r>
        <w:r w:rsidR="00185AB0" w:rsidRPr="00D9348B">
          <w:rPr>
            <w:rStyle w:val="Hyperlink"/>
          </w:rPr>
          <w:t>Map of Tokelau</w:t>
        </w:r>
        <w:r w:rsidR="00185AB0" w:rsidRPr="00D9348B">
          <w:rPr>
            <w:webHidden/>
          </w:rPr>
          <w:tab/>
        </w:r>
        <w:r w:rsidR="00185AB0" w:rsidRPr="00D9348B">
          <w:rPr>
            <w:webHidden/>
          </w:rPr>
          <w:fldChar w:fldCharType="begin"/>
        </w:r>
        <w:r w:rsidR="00185AB0" w:rsidRPr="00D9348B">
          <w:rPr>
            <w:webHidden/>
          </w:rPr>
          <w:instrText xml:space="preserve"> PAGEREF _Toc36292824 \h </w:instrText>
        </w:r>
        <w:r w:rsidR="00185AB0" w:rsidRPr="00D9348B">
          <w:rPr>
            <w:webHidden/>
          </w:rPr>
        </w:r>
        <w:r w:rsidR="00185AB0" w:rsidRPr="00D9348B">
          <w:rPr>
            <w:webHidden/>
          </w:rPr>
          <w:fldChar w:fldCharType="separate"/>
        </w:r>
        <w:r w:rsidR="00950F0A">
          <w:rPr>
            <w:webHidden/>
          </w:rPr>
          <w:t>390</w:t>
        </w:r>
        <w:r w:rsidR="00185AB0" w:rsidRPr="00D9348B">
          <w:rPr>
            <w:webHidden/>
          </w:rPr>
          <w:fldChar w:fldCharType="end"/>
        </w:r>
      </w:hyperlink>
    </w:p>
    <w:p w14:paraId="56D2CA5B" w14:textId="7E5583B6" w:rsidR="00185AB0" w:rsidRPr="00BE3630" w:rsidRDefault="00DA6C03">
      <w:pPr>
        <w:pStyle w:val="TableofFigures"/>
        <w:rPr>
          <w:rFonts w:cs="Times New Roman"/>
          <w:sz w:val="22"/>
        </w:rPr>
      </w:pPr>
      <w:hyperlink w:anchor="_Toc36292825" w:history="1">
        <w:r w:rsidR="00185AB0" w:rsidRPr="00D9348B">
          <w:rPr>
            <w:rStyle w:val="Hyperlink"/>
          </w:rPr>
          <w:t xml:space="preserve">Figure 8.1.2 </w:t>
        </w:r>
        <w:r w:rsidR="00185AB0" w:rsidRPr="00BE3630">
          <w:rPr>
            <w:rFonts w:cs="Times New Roman"/>
            <w:sz w:val="22"/>
          </w:rPr>
          <w:tab/>
        </w:r>
        <w:r w:rsidR="00185AB0" w:rsidRPr="00D9348B">
          <w:rPr>
            <w:rStyle w:val="Hyperlink"/>
          </w:rPr>
          <w:t>Tokelau’s emissions by gas in 2018</w:t>
        </w:r>
        <w:r w:rsidR="00185AB0" w:rsidRPr="00D9348B">
          <w:rPr>
            <w:webHidden/>
          </w:rPr>
          <w:tab/>
        </w:r>
        <w:r w:rsidR="00185AB0" w:rsidRPr="00D9348B">
          <w:rPr>
            <w:webHidden/>
          </w:rPr>
          <w:fldChar w:fldCharType="begin"/>
        </w:r>
        <w:r w:rsidR="00185AB0" w:rsidRPr="00D9348B">
          <w:rPr>
            <w:webHidden/>
          </w:rPr>
          <w:instrText xml:space="preserve"> PAGEREF _Toc36292825 \h </w:instrText>
        </w:r>
        <w:r w:rsidR="00185AB0" w:rsidRPr="00D9348B">
          <w:rPr>
            <w:webHidden/>
          </w:rPr>
        </w:r>
        <w:r w:rsidR="00185AB0" w:rsidRPr="00D9348B">
          <w:rPr>
            <w:webHidden/>
          </w:rPr>
          <w:fldChar w:fldCharType="separate"/>
        </w:r>
        <w:r w:rsidR="00950F0A">
          <w:rPr>
            <w:webHidden/>
          </w:rPr>
          <w:t>392</w:t>
        </w:r>
        <w:r w:rsidR="00185AB0" w:rsidRPr="00D9348B">
          <w:rPr>
            <w:webHidden/>
          </w:rPr>
          <w:fldChar w:fldCharType="end"/>
        </w:r>
      </w:hyperlink>
    </w:p>
    <w:p w14:paraId="6FA9E471" w14:textId="3657A337" w:rsidR="00185AB0" w:rsidRPr="00BE3630" w:rsidRDefault="00DA6C03">
      <w:pPr>
        <w:pStyle w:val="TableofFigures"/>
        <w:rPr>
          <w:rFonts w:cs="Times New Roman"/>
          <w:sz w:val="22"/>
        </w:rPr>
      </w:pPr>
      <w:hyperlink w:anchor="_Toc36292826" w:history="1">
        <w:r w:rsidR="00185AB0" w:rsidRPr="00D9348B">
          <w:rPr>
            <w:rStyle w:val="Hyperlink"/>
          </w:rPr>
          <w:t xml:space="preserve">Figure 8.1.3 </w:t>
        </w:r>
        <w:r w:rsidR="00185AB0" w:rsidRPr="00BE3630">
          <w:rPr>
            <w:rFonts w:cs="Times New Roman"/>
            <w:sz w:val="22"/>
          </w:rPr>
          <w:tab/>
        </w:r>
        <w:r w:rsidR="00185AB0" w:rsidRPr="00D9348B">
          <w:rPr>
            <w:rStyle w:val="Hyperlink"/>
          </w:rPr>
          <w:t>Tokelau’s emissions by sector in 2018</w:t>
        </w:r>
        <w:r w:rsidR="00185AB0" w:rsidRPr="00D9348B">
          <w:rPr>
            <w:webHidden/>
          </w:rPr>
          <w:tab/>
        </w:r>
        <w:r w:rsidR="00185AB0" w:rsidRPr="00D9348B">
          <w:rPr>
            <w:webHidden/>
          </w:rPr>
          <w:fldChar w:fldCharType="begin"/>
        </w:r>
        <w:r w:rsidR="00185AB0" w:rsidRPr="00D9348B">
          <w:rPr>
            <w:webHidden/>
          </w:rPr>
          <w:instrText xml:space="preserve"> PAGEREF _Toc36292826 \h </w:instrText>
        </w:r>
        <w:r w:rsidR="00185AB0" w:rsidRPr="00D9348B">
          <w:rPr>
            <w:webHidden/>
          </w:rPr>
        </w:r>
        <w:r w:rsidR="00185AB0" w:rsidRPr="00D9348B">
          <w:rPr>
            <w:webHidden/>
          </w:rPr>
          <w:fldChar w:fldCharType="separate"/>
        </w:r>
        <w:r w:rsidR="00950F0A">
          <w:rPr>
            <w:webHidden/>
          </w:rPr>
          <w:t>392</w:t>
        </w:r>
        <w:r w:rsidR="00185AB0" w:rsidRPr="00D9348B">
          <w:rPr>
            <w:webHidden/>
          </w:rPr>
          <w:fldChar w:fldCharType="end"/>
        </w:r>
      </w:hyperlink>
    </w:p>
    <w:p w14:paraId="63ADA5A8" w14:textId="23277779" w:rsidR="00185AB0" w:rsidRPr="00BE3630" w:rsidRDefault="00DA6C03">
      <w:pPr>
        <w:pStyle w:val="TableofFigures"/>
        <w:rPr>
          <w:rFonts w:cs="Times New Roman"/>
          <w:sz w:val="22"/>
        </w:rPr>
      </w:pPr>
      <w:hyperlink w:anchor="_Toc36292827" w:history="1">
        <w:r w:rsidR="00185AB0" w:rsidRPr="00D9348B">
          <w:rPr>
            <w:rStyle w:val="Hyperlink"/>
            <w:rFonts w:eastAsia="Calibri"/>
          </w:rPr>
          <w:t xml:space="preserve">Figure 8.1.4 </w:t>
        </w:r>
        <w:r w:rsidR="00185AB0" w:rsidRPr="00BE3630">
          <w:rPr>
            <w:rFonts w:cs="Times New Roman"/>
            <w:sz w:val="22"/>
          </w:rPr>
          <w:tab/>
        </w:r>
        <w:r w:rsidR="00185AB0" w:rsidRPr="00D9348B">
          <w:rPr>
            <w:rStyle w:val="Hyperlink"/>
            <w:rFonts w:eastAsia="Calibri"/>
          </w:rPr>
          <w:t>Emissions by sector for Tokelau (kt CO</w:t>
        </w:r>
        <w:r w:rsidR="00185AB0" w:rsidRPr="00D9348B">
          <w:rPr>
            <w:rStyle w:val="Hyperlink"/>
            <w:rFonts w:eastAsia="Calibri"/>
            <w:vertAlign w:val="subscript"/>
          </w:rPr>
          <w:t>2</w:t>
        </w:r>
        <w:r w:rsidR="00185AB0" w:rsidRPr="00D9348B">
          <w:rPr>
            <w:rStyle w:val="Hyperlink"/>
            <w:rFonts w:eastAsia="Calibri"/>
          </w:rPr>
          <w:t>-e) from 1990 to 2018</w:t>
        </w:r>
        <w:r w:rsidR="00185AB0" w:rsidRPr="00D9348B">
          <w:rPr>
            <w:webHidden/>
          </w:rPr>
          <w:tab/>
        </w:r>
        <w:r w:rsidR="00185AB0" w:rsidRPr="00D9348B">
          <w:rPr>
            <w:webHidden/>
          </w:rPr>
          <w:fldChar w:fldCharType="begin"/>
        </w:r>
        <w:r w:rsidR="00185AB0" w:rsidRPr="00D9348B">
          <w:rPr>
            <w:webHidden/>
          </w:rPr>
          <w:instrText xml:space="preserve"> PAGEREF _Toc36292827 \h </w:instrText>
        </w:r>
        <w:r w:rsidR="00185AB0" w:rsidRPr="00D9348B">
          <w:rPr>
            <w:webHidden/>
          </w:rPr>
        </w:r>
        <w:r w:rsidR="00185AB0" w:rsidRPr="00D9348B">
          <w:rPr>
            <w:webHidden/>
          </w:rPr>
          <w:fldChar w:fldCharType="separate"/>
        </w:r>
        <w:r w:rsidR="00950F0A">
          <w:rPr>
            <w:webHidden/>
          </w:rPr>
          <w:t>393</w:t>
        </w:r>
        <w:r w:rsidR="00185AB0" w:rsidRPr="00D9348B">
          <w:rPr>
            <w:webHidden/>
          </w:rPr>
          <w:fldChar w:fldCharType="end"/>
        </w:r>
      </w:hyperlink>
    </w:p>
    <w:p w14:paraId="17B8F95F" w14:textId="5165CE93" w:rsidR="00185AB0" w:rsidRPr="00BE3630" w:rsidRDefault="00DA6C03">
      <w:pPr>
        <w:pStyle w:val="TableofFigures"/>
        <w:rPr>
          <w:rFonts w:cs="Times New Roman"/>
          <w:sz w:val="22"/>
        </w:rPr>
      </w:pPr>
      <w:hyperlink w:anchor="_Toc36292828" w:history="1">
        <w:r w:rsidR="00185AB0" w:rsidRPr="00D9348B">
          <w:rPr>
            <w:rStyle w:val="Hyperlink"/>
          </w:rPr>
          <w:t xml:space="preserve">Figure 8.2.1 </w:t>
        </w:r>
        <w:r w:rsidR="00185AB0" w:rsidRPr="00BE3630">
          <w:rPr>
            <w:rFonts w:cs="Times New Roman"/>
            <w:sz w:val="22"/>
          </w:rPr>
          <w:tab/>
        </w:r>
        <w:r w:rsidR="00185AB0" w:rsidRPr="00D9348B">
          <w:rPr>
            <w:rStyle w:val="Hyperlink"/>
          </w:rPr>
          <w:t>Cluster block diagram for Tokelau’s solar project</w:t>
        </w:r>
        <w:r w:rsidR="00185AB0" w:rsidRPr="00D9348B">
          <w:rPr>
            <w:webHidden/>
          </w:rPr>
          <w:tab/>
        </w:r>
        <w:r w:rsidR="00185AB0" w:rsidRPr="00D9348B">
          <w:rPr>
            <w:webHidden/>
          </w:rPr>
          <w:fldChar w:fldCharType="begin"/>
        </w:r>
        <w:r w:rsidR="00185AB0" w:rsidRPr="00D9348B">
          <w:rPr>
            <w:webHidden/>
          </w:rPr>
          <w:instrText xml:space="preserve"> PAGEREF _Toc36292828 \h </w:instrText>
        </w:r>
        <w:r w:rsidR="00185AB0" w:rsidRPr="00D9348B">
          <w:rPr>
            <w:webHidden/>
          </w:rPr>
        </w:r>
        <w:r w:rsidR="00185AB0" w:rsidRPr="00D9348B">
          <w:rPr>
            <w:webHidden/>
          </w:rPr>
          <w:fldChar w:fldCharType="separate"/>
        </w:r>
        <w:r w:rsidR="00950F0A">
          <w:rPr>
            <w:webHidden/>
          </w:rPr>
          <w:t>399</w:t>
        </w:r>
        <w:r w:rsidR="00185AB0" w:rsidRPr="00D9348B">
          <w:rPr>
            <w:webHidden/>
          </w:rPr>
          <w:fldChar w:fldCharType="end"/>
        </w:r>
      </w:hyperlink>
    </w:p>
    <w:p w14:paraId="2E437519" w14:textId="60331B3F" w:rsidR="00185AB0" w:rsidRPr="00BE3630" w:rsidRDefault="00DA6C03">
      <w:pPr>
        <w:pStyle w:val="TableofFigures"/>
        <w:rPr>
          <w:rFonts w:cs="Times New Roman"/>
          <w:sz w:val="22"/>
        </w:rPr>
      </w:pPr>
      <w:hyperlink w:anchor="_Toc36292829" w:history="1">
        <w:r w:rsidR="00185AB0" w:rsidRPr="00D9348B">
          <w:rPr>
            <w:rStyle w:val="Hyperlink"/>
            <w:rFonts w:eastAsia="Calibri"/>
          </w:rPr>
          <w:t xml:space="preserve">Figure 8.2.2 </w:t>
        </w:r>
        <w:r w:rsidR="00185AB0" w:rsidRPr="00BE3630">
          <w:rPr>
            <w:rFonts w:cs="Times New Roman"/>
            <w:sz w:val="22"/>
          </w:rPr>
          <w:tab/>
        </w:r>
        <w:r w:rsidR="00185AB0" w:rsidRPr="00D9348B">
          <w:rPr>
            <w:rStyle w:val="Hyperlink"/>
            <w:rFonts w:eastAsia="Calibri"/>
          </w:rPr>
          <w:t>Energy emissions by category for Tokelau (kt CO</w:t>
        </w:r>
        <w:r w:rsidR="00185AB0" w:rsidRPr="00D9348B">
          <w:rPr>
            <w:rStyle w:val="Hyperlink"/>
            <w:rFonts w:eastAsia="Calibri"/>
            <w:vertAlign w:val="subscript"/>
          </w:rPr>
          <w:t>2</w:t>
        </w:r>
        <w:r w:rsidR="00185AB0" w:rsidRPr="00D9348B">
          <w:rPr>
            <w:rStyle w:val="Hyperlink"/>
            <w:rFonts w:eastAsia="Calibri"/>
          </w:rPr>
          <w:t>-e) from 1990 to 2018</w:t>
        </w:r>
        <w:r w:rsidR="00185AB0" w:rsidRPr="00D9348B">
          <w:rPr>
            <w:webHidden/>
          </w:rPr>
          <w:tab/>
        </w:r>
        <w:r w:rsidR="00185AB0" w:rsidRPr="00D9348B">
          <w:rPr>
            <w:webHidden/>
          </w:rPr>
          <w:fldChar w:fldCharType="begin"/>
        </w:r>
        <w:r w:rsidR="00185AB0" w:rsidRPr="00D9348B">
          <w:rPr>
            <w:webHidden/>
          </w:rPr>
          <w:instrText xml:space="preserve"> PAGEREF _Toc36292829 \h </w:instrText>
        </w:r>
        <w:r w:rsidR="00185AB0" w:rsidRPr="00D9348B">
          <w:rPr>
            <w:webHidden/>
          </w:rPr>
        </w:r>
        <w:r w:rsidR="00185AB0" w:rsidRPr="00D9348B">
          <w:rPr>
            <w:webHidden/>
          </w:rPr>
          <w:fldChar w:fldCharType="separate"/>
        </w:r>
        <w:r w:rsidR="00950F0A">
          <w:rPr>
            <w:webHidden/>
          </w:rPr>
          <w:t>400</w:t>
        </w:r>
        <w:r w:rsidR="00185AB0" w:rsidRPr="00D9348B">
          <w:rPr>
            <w:webHidden/>
          </w:rPr>
          <w:fldChar w:fldCharType="end"/>
        </w:r>
      </w:hyperlink>
    </w:p>
    <w:p w14:paraId="6CF013C6" w14:textId="3871B84E" w:rsidR="00185AB0" w:rsidRPr="00BE3630" w:rsidRDefault="00DA6C03">
      <w:pPr>
        <w:pStyle w:val="TableofFigures"/>
        <w:rPr>
          <w:rFonts w:cs="Times New Roman"/>
          <w:sz w:val="22"/>
        </w:rPr>
      </w:pPr>
      <w:hyperlink w:anchor="_Toc36292830" w:history="1">
        <w:r w:rsidR="00185AB0" w:rsidRPr="00D9348B">
          <w:rPr>
            <w:rStyle w:val="Hyperlink"/>
            <w:rFonts w:eastAsia="Calibri"/>
          </w:rPr>
          <w:t xml:space="preserve">Figure 8.3.1 </w:t>
        </w:r>
        <w:r w:rsidR="00185AB0" w:rsidRPr="00BE3630">
          <w:rPr>
            <w:rFonts w:cs="Times New Roman"/>
            <w:sz w:val="22"/>
          </w:rPr>
          <w:tab/>
        </w:r>
        <w:r w:rsidR="00185AB0" w:rsidRPr="00D9348B">
          <w:rPr>
            <w:rStyle w:val="Hyperlink"/>
            <w:rFonts w:eastAsia="Calibri"/>
          </w:rPr>
          <w:t>IPPU emissions by category for Tokelau (kt CO</w:t>
        </w:r>
        <w:r w:rsidR="00185AB0" w:rsidRPr="00D9348B">
          <w:rPr>
            <w:rStyle w:val="Hyperlink"/>
            <w:rFonts w:eastAsia="Calibri"/>
            <w:vertAlign w:val="subscript"/>
          </w:rPr>
          <w:t>2</w:t>
        </w:r>
        <w:r w:rsidR="00185AB0" w:rsidRPr="00D9348B">
          <w:rPr>
            <w:rStyle w:val="Hyperlink"/>
            <w:rFonts w:eastAsia="Calibri"/>
          </w:rPr>
          <w:t>-e) from 1990 to 2018</w:t>
        </w:r>
        <w:r w:rsidR="00185AB0" w:rsidRPr="00D9348B">
          <w:rPr>
            <w:webHidden/>
          </w:rPr>
          <w:tab/>
        </w:r>
        <w:r w:rsidR="00185AB0" w:rsidRPr="00D9348B">
          <w:rPr>
            <w:webHidden/>
          </w:rPr>
          <w:fldChar w:fldCharType="begin"/>
        </w:r>
        <w:r w:rsidR="00185AB0" w:rsidRPr="00D9348B">
          <w:rPr>
            <w:webHidden/>
          </w:rPr>
          <w:instrText xml:space="preserve"> PAGEREF _Toc36292830 \h </w:instrText>
        </w:r>
        <w:r w:rsidR="00185AB0" w:rsidRPr="00D9348B">
          <w:rPr>
            <w:webHidden/>
          </w:rPr>
        </w:r>
        <w:r w:rsidR="00185AB0" w:rsidRPr="00D9348B">
          <w:rPr>
            <w:webHidden/>
          </w:rPr>
          <w:fldChar w:fldCharType="separate"/>
        </w:r>
        <w:r w:rsidR="00950F0A">
          <w:rPr>
            <w:webHidden/>
          </w:rPr>
          <w:t>406</w:t>
        </w:r>
        <w:r w:rsidR="00185AB0" w:rsidRPr="00D9348B">
          <w:rPr>
            <w:webHidden/>
          </w:rPr>
          <w:fldChar w:fldCharType="end"/>
        </w:r>
      </w:hyperlink>
    </w:p>
    <w:p w14:paraId="51338F03" w14:textId="1B67FE1D" w:rsidR="00185AB0" w:rsidRPr="00BE3630" w:rsidRDefault="00DA6C03">
      <w:pPr>
        <w:pStyle w:val="TableofFigures"/>
        <w:rPr>
          <w:rFonts w:cs="Times New Roman"/>
          <w:sz w:val="22"/>
        </w:rPr>
      </w:pPr>
      <w:hyperlink w:anchor="_Toc36292831" w:history="1">
        <w:r w:rsidR="00185AB0" w:rsidRPr="00D9348B">
          <w:rPr>
            <w:rStyle w:val="Hyperlink"/>
            <w:rFonts w:eastAsia="Calibri"/>
          </w:rPr>
          <w:t>Figure 8.3.</w:t>
        </w:r>
        <w:r w:rsidR="001941AE" w:rsidRPr="00D9348B">
          <w:rPr>
            <w:rStyle w:val="Hyperlink"/>
            <w:rFonts w:eastAsia="Calibri"/>
          </w:rPr>
          <w:t>2</w:t>
        </w:r>
        <w:r w:rsidR="00185AB0" w:rsidRPr="00D9348B">
          <w:rPr>
            <w:rStyle w:val="Hyperlink"/>
            <w:rFonts w:eastAsia="Calibri"/>
          </w:rPr>
          <w:t xml:space="preserve"> </w:t>
        </w:r>
        <w:r w:rsidR="00185AB0" w:rsidRPr="00BE3630">
          <w:rPr>
            <w:rFonts w:cs="Times New Roman"/>
            <w:sz w:val="22"/>
          </w:rPr>
          <w:tab/>
        </w:r>
        <w:r w:rsidR="00185AB0" w:rsidRPr="00D9348B">
          <w:rPr>
            <w:rStyle w:val="Hyperlink"/>
            <w:rFonts w:eastAsia="Calibri"/>
          </w:rPr>
          <w:t>Agriculture emissions by category for Tokelau (kt CO</w:t>
        </w:r>
        <w:r w:rsidR="00185AB0" w:rsidRPr="00D9348B">
          <w:rPr>
            <w:rStyle w:val="Hyperlink"/>
            <w:rFonts w:eastAsia="Calibri"/>
            <w:vertAlign w:val="subscript"/>
          </w:rPr>
          <w:t>2</w:t>
        </w:r>
        <w:r w:rsidR="00185AB0" w:rsidRPr="00D9348B">
          <w:rPr>
            <w:rStyle w:val="Hyperlink"/>
            <w:rFonts w:eastAsia="Calibri"/>
          </w:rPr>
          <w:t>-e) from 1990 to 2018</w:t>
        </w:r>
        <w:r w:rsidR="00185AB0" w:rsidRPr="00D9348B">
          <w:rPr>
            <w:webHidden/>
          </w:rPr>
          <w:tab/>
        </w:r>
        <w:r w:rsidR="00185AB0" w:rsidRPr="00D9348B">
          <w:rPr>
            <w:webHidden/>
          </w:rPr>
          <w:fldChar w:fldCharType="begin"/>
        </w:r>
        <w:r w:rsidR="00185AB0" w:rsidRPr="00D9348B">
          <w:rPr>
            <w:webHidden/>
          </w:rPr>
          <w:instrText xml:space="preserve"> PAGEREF _Toc36292831 \h </w:instrText>
        </w:r>
        <w:r w:rsidR="00185AB0" w:rsidRPr="00D9348B">
          <w:rPr>
            <w:webHidden/>
          </w:rPr>
        </w:r>
        <w:r w:rsidR="00185AB0" w:rsidRPr="00D9348B">
          <w:rPr>
            <w:webHidden/>
          </w:rPr>
          <w:fldChar w:fldCharType="separate"/>
        </w:r>
        <w:r w:rsidR="00950F0A">
          <w:rPr>
            <w:webHidden/>
          </w:rPr>
          <w:t>410</w:t>
        </w:r>
        <w:r w:rsidR="00185AB0" w:rsidRPr="00D9348B">
          <w:rPr>
            <w:webHidden/>
          </w:rPr>
          <w:fldChar w:fldCharType="end"/>
        </w:r>
      </w:hyperlink>
    </w:p>
    <w:p w14:paraId="42023823" w14:textId="24BC81CE" w:rsidR="00185AB0" w:rsidRPr="00BE3630" w:rsidRDefault="00DA6C03">
      <w:pPr>
        <w:pStyle w:val="TableofFigures"/>
        <w:rPr>
          <w:rFonts w:cs="Times New Roman"/>
          <w:sz w:val="22"/>
        </w:rPr>
      </w:pPr>
      <w:hyperlink w:anchor="_Toc36292832" w:history="1">
        <w:r w:rsidR="00185AB0" w:rsidRPr="00D9348B">
          <w:rPr>
            <w:rStyle w:val="Hyperlink"/>
            <w:rFonts w:eastAsia="Calibri"/>
          </w:rPr>
          <w:t xml:space="preserve">Figure 8.5.1 </w:t>
        </w:r>
        <w:r w:rsidR="00185AB0" w:rsidRPr="00BE3630">
          <w:rPr>
            <w:rFonts w:cs="Times New Roman"/>
            <w:sz w:val="22"/>
          </w:rPr>
          <w:tab/>
        </w:r>
        <w:r w:rsidR="00185AB0" w:rsidRPr="00D9348B">
          <w:rPr>
            <w:rStyle w:val="Hyperlink"/>
            <w:rFonts w:eastAsia="Calibri"/>
          </w:rPr>
          <w:t>Waste sector emissions by category for Tokelau (kt CO</w:t>
        </w:r>
        <w:r w:rsidR="00185AB0" w:rsidRPr="00D9348B">
          <w:rPr>
            <w:rStyle w:val="Hyperlink"/>
            <w:rFonts w:eastAsia="Calibri"/>
            <w:vertAlign w:val="subscript"/>
          </w:rPr>
          <w:t>2</w:t>
        </w:r>
        <w:r w:rsidR="00185AB0" w:rsidRPr="00D9348B">
          <w:rPr>
            <w:rStyle w:val="Hyperlink"/>
            <w:rFonts w:eastAsia="Calibri"/>
          </w:rPr>
          <w:t>-e) from 1990 to 2018</w:t>
        </w:r>
        <w:r w:rsidR="00185AB0" w:rsidRPr="00D9348B">
          <w:rPr>
            <w:webHidden/>
          </w:rPr>
          <w:tab/>
        </w:r>
        <w:r w:rsidR="00185AB0" w:rsidRPr="00D9348B">
          <w:rPr>
            <w:webHidden/>
          </w:rPr>
          <w:fldChar w:fldCharType="begin"/>
        </w:r>
        <w:r w:rsidR="00185AB0" w:rsidRPr="00D9348B">
          <w:rPr>
            <w:webHidden/>
          </w:rPr>
          <w:instrText xml:space="preserve"> PAGEREF _Toc36292832 \h </w:instrText>
        </w:r>
        <w:r w:rsidR="00185AB0" w:rsidRPr="00D9348B">
          <w:rPr>
            <w:webHidden/>
          </w:rPr>
        </w:r>
        <w:r w:rsidR="00185AB0" w:rsidRPr="00D9348B">
          <w:rPr>
            <w:webHidden/>
          </w:rPr>
          <w:fldChar w:fldCharType="separate"/>
        </w:r>
        <w:r w:rsidR="00950F0A">
          <w:rPr>
            <w:webHidden/>
          </w:rPr>
          <w:t>413</w:t>
        </w:r>
        <w:r w:rsidR="00185AB0" w:rsidRPr="00D9348B">
          <w:rPr>
            <w:webHidden/>
          </w:rPr>
          <w:fldChar w:fldCharType="end"/>
        </w:r>
      </w:hyperlink>
    </w:p>
    <w:p w14:paraId="6A306C95" w14:textId="1D68C4FC" w:rsidR="00185AB0" w:rsidRPr="00BE3630" w:rsidRDefault="00DA6C03">
      <w:pPr>
        <w:pStyle w:val="TableofFigures"/>
        <w:rPr>
          <w:rFonts w:cs="Times New Roman"/>
          <w:sz w:val="22"/>
        </w:rPr>
      </w:pPr>
      <w:hyperlink w:anchor="_Toc36292833" w:history="1">
        <w:r w:rsidR="00185AB0" w:rsidRPr="00D9348B">
          <w:rPr>
            <w:rStyle w:val="Hyperlink"/>
          </w:rPr>
          <w:t>Figure 10.1.1</w:t>
        </w:r>
        <w:r w:rsidR="00185AB0" w:rsidRPr="00BE3630">
          <w:rPr>
            <w:rFonts w:cs="Times New Roman"/>
            <w:sz w:val="22"/>
          </w:rPr>
          <w:tab/>
        </w:r>
        <w:r w:rsidR="00185AB0" w:rsidRPr="00D9348B">
          <w:rPr>
            <w:rStyle w:val="Hyperlink"/>
          </w:rPr>
          <w:t>Effect of recalculations on New Zealand’s gross greenhouse gas emissions from 1990 to 2017</w:t>
        </w:r>
        <w:r w:rsidR="00185AB0" w:rsidRPr="00D9348B">
          <w:rPr>
            <w:webHidden/>
          </w:rPr>
          <w:tab/>
        </w:r>
        <w:r w:rsidR="00185AB0" w:rsidRPr="00D9348B">
          <w:rPr>
            <w:webHidden/>
          </w:rPr>
          <w:fldChar w:fldCharType="begin"/>
        </w:r>
        <w:r w:rsidR="00185AB0" w:rsidRPr="00D9348B">
          <w:rPr>
            <w:webHidden/>
          </w:rPr>
          <w:instrText xml:space="preserve"> PAGEREF _Toc36292833 \h </w:instrText>
        </w:r>
        <w:r w:rsidR="00185AB0" w:rsidRPr="00D9348B">
          <w:rPr>
            <w:webHidden/>
          </w:rPr>
        </w:r>
        <w:r w:rsidR="00185AB0" w:rsidRPr="00D9348B">
          <w:rPr>
            <w:webHidden/>
          </w:rPr>
          <w:fldChar w:fldCharType="separate"/>
        </w:r>
        <w:r w:rsidR="00950F0A">
          <w:rPr>
            <w:webHidden/>
          </w:rPr>
          <w:t>421</w:t>
        </w:r>
        <w:r w:rsidR="00185AB0" w:rsidRPr="00D9348B">
          <w:rPr>
            <w:webHidden/>
          </w:rPr>
          <w:fldChar w:fldCharType="end"/>
        </w:r>
      </w:hyperlink>
    </w:p>
    <w:p w14:paraId="5EC2701C" w14:textId="249A4863" w:rsidR="00185AB0" w:rsidRPr="00BE3630" w:rsidRDefault="00DA6C03">
      <w:pPr>
        <w:pStyle w:val="TableofFigures"/>
        <w:rPr>
          <w:rFonts w:cs="Times New Roman"/>
          <w:sz w:val="22"/>
        </w:rPr>
      </w:pPr>
      <w:hyperlink w:anchor="_Toc36292834" w:history="1">
        <w:r w:rsidR="00185AB0" w:rsidRPr="00D9348B">
          <w:rPr>
            <w:rStyle w:val="Hyperlink"/>
          </w:rPr>
          <w:t>Figure 10.1.2</w:t>
        </w:r>
        <w:r w:rsidR="00185AB0" w:rsidRPr="00BE3630">
          <w:rPr>
            <w:rFonts w:cs="Times New Roman"/>
            <w:sz w:val="22"/>
          </w:rPr>
          <w:tab/>
        </w:r>
        <w:r w:rsidR="00185AB0" w:rsidRPr="00D9348B">
          <w:rPr>
            <w:rStyle w:val="Hyperlink"/>
          </w:rPr>
          <w:t>Effect of changes to activity data on New Zealand’s Energy sector from 1990 to 2017</w:t>
        </w:r>
        <w:r w:rsidR="00185AB0" w:rsidRPr="00D9348B">
          <w:rPr>
            <w:webHidden/>
          </w:rPr>
          <w:tab/>
        </w:r>
        <w:r w:rsidR="00185AB0" w:rsidRPr="00D9348B">
          <w:rPr>
            <w:webHidden/>
          </w:rPr>
          <w:fldChar w:fldCharType="begin"/>
        </w:r>
        <w:r w:rsidR="00185AB0" w:rsidRPr="00D9348B">
          <w:rPr>
            <w:webHidden/>
          </w:rPr>
          <w:instrText xml:space="preserve"> PAGEREF _Toc36292834 \h </w:instrText>
        </w:r>
        <w:r w:rsidR="00185AB0" w:rsidRPr="00D9348B">
          <w:rPr>
            <w:webHidden/>
          </w:rPr>
        </w:r>
        <w:r w:rsidR="00185AB0" w:rsidRPr="00D9348B">
          <w:rPr>
            <w:webHidden/>
          </w:rPr>
          <w:fldChar w:fldCharType="separate"/>
        </w:r>
        <w:r w:rsidR="00950F0A">
          <w:rPr>
            <w:webHidden/>
          </w:rPr>
          <w:t>423</w:t>
        </w:r>
        <w:r w:rsidR="00185AB0" w:rsidRPr="00D9348B">
          <w:rPr>
            <w:webHidden/>
          </w:rPr>
          <w:fldChar w:fldCharType="end"/>
        </w:r>
      </w:hyperlink>
    </w:p>
    <w:p w14:paraId="6453D629" w14:textId="0F014B8C" w:rsidR="00185AB0" w:rsidRPr="00BE3630" w:rsidRDefault="00DA6C03">
      <w:pPr>
        <w:pStyle w:val="TableofFigures"/>
        <w:rPr>
          <w:rFonts w:cs="Times New Roman"/>
          <w:sz w:val="22"/>
        </w:rPr>
      </w:pPr>
      <w:hyperlink w:anchor="_Toc36292835" w:history="1">
        <w:r w:rsidR="00185AB0" w:rsidRPr="00D9348B">
          <w:rPr>
            <w:rStyle w:val="Hyperlink"/>
          </w:rPr>
          <w:t>Figure 10.1.3</w:t>
        </w:r>
        <w:r w:rsidR="00185AB0" w:rsidRPr="00BE3630">
          <w:rPr>
            <w:rFonts w:cs="Times New Roman"/>
            <w:sz w:val="22"/>
          </w:rPr>
          <w:tab/>
        </w:r>
        <w:r w:rsidR="00185AB0" w:rsidRPr="00D9348B">
          <w:rPr>
            <w:rStyle w:val="Hyperlink"/>
          </w:rPr>
          <w:t>Effect of recalculations on the IPPU sector from 1990 to 2017</w:t>
        </w:r>
        <w:r w:rsidR="00185AB0" w:rsidRPr="00D9348B">
          <w:rPr>
            <w:webHidden/>
          </w:rPr>
          <w:tab/>
        </w:r>
        <w:r w:rsidR="00185AB0" w:rsidRPr="00D9348B">
          <w:rPr>
            <w:webHidden/>
          </w:rPr>
          <w:fldChar w:fldCharType="begin"/>
        </w:r>
        <w:r w:rsidR="00185AB0" w:rsidRPr="00D9348B">
          <w:rPr>
            <w:webHidden/>
          </w:rPr>
          <w:instrText xml:space="preserve"> PAGEREF _Toc36292835 \h </w:instrText>
        </w:r>
        <w:r w:rsidR="00185AB0" w:rsidRPr="00D9348B">
          <w:rPr>
            <w:webHidden/>
          </w:rPr>
        </w:r>
        <w:r w:rsidR="00185AB0" w:rsidRPr="00D9348B">
          <w:rPr>
            <w:webHidden/>
          </w:rPr>
          <w:fldChar w:fldCharType="separate"/>
        </w:r>
        <w:r w:rsidR="00950F0A">
          <w:rPr>
            <w:webHidden/>
          </w:rPr>
          <w:t>423</w:t>
        </w:r>
        <w:r w:rsidR="00185AB0" w:rsidRPr="00D9348B">
          <w:rPr>
            <w:webHidden/>
          </w:rPr>
          <w:fldChar w:fldCharType="end"/>
        </w:r>
      </w:hyperlink>
    </w:p>
    <w:p w14:paraId="7F4BC3A0" w14:textId="5809B609" w:rsidR="00185AB0" w:rsidRPr="00BE3630" w:rsidRDefault="00DA6C03">
      <w:pPr>
        <w:pStyle w:val="TableofFigures"/>
        <w:rPr>
          <w:rFonts w:cs="Times New Roman"/>
          <w:sz w:val="22"/>
        </w:rPr>
      </w:pPr>
      <w:hyperlink w:anchor="_Toc36292836" w:history="1">
        <w:r w:rsidR="00185AB0" w:rsidRPr="00D9348B">
          <w:rPr>
            <w:rStyle w:val="Hyperlink"/>
          </w:rPr>
          <w:t>Figure 10.1.4</w:t>
        </w:r>
        <w:r w:rsidR="00185AB0" w:rsidRPr="00BE3630">
          <w:rPr>
            <w:rFonts w:cs="Times New Roman"/>
            <w:sz w:val="22"/>
          </w:rPr>
          <w:tab/>
        </w:r>
        <w:r w:rsidR="00185AB0" w:rsidRPr="00D9348B">
          <w:rPr>
            <w:rStyle w:val="Hyperlink"/>
          </w:rPr>
          <w:t>Effect of recalculations on New Zealand’s Agriculture sector from 1990 to 2017</w:t>
        </w:r>
        <w:r w:rsidR="00185AB0" w:rsidRPr="00D9348B">
          <w:rPr>
            <w:webHidden/>
          </w:rPr>
          <w:tab/>
        </w:r>
        <w:r w:rsidR="00185AB0" w:rsidRPr="00D9348B">
          <w:rPr>
            <w:webHidden/>
          </w:rPr>
          <w:fldChar w:fldCharType="begin"/>
        </w:r>
        <w:r w:rsidR="00185AB0" w:rsidRPr="00D9348B">
          <w:rPr>
            <w:webHidden/>
          </w:rPr>
          <w:instrText xml:space="preserve"> PAGEREF _Toc36292836 \h </w:instrText>
        </w:r>
        <w:r w:rsidR="00185AB0" w:rsidRPr="00D9348B">
          <w:rPr>
            <w:webHidden/>
          </w:rPr>
        </w:r>
        <w:r w:rsidR="00185AB0" w:rsidRPr="00D9348B">
          <w:rPr>
            <w:webHidden/>
          </w:rPr>
          <w:fldChar w:fldCharType="separate"/>
        </w:r>
        <w:r w:rsidR="00950F0A">
          <w:rPr>
            <w:webHidden/>
          </w:rPr>
          <w:t>424</w:t>
        </w:r>
        <w:r w:rsidR="00185AB0" w:rsidRPr="00D9348B">
          <w:rPr>
            <w:webHidden/>
          </w:rPr>
          <w:fldChar w:fldCharType="end"/>
        </w:r>
      </w:hyperlink>
    </w:p>
    <w:p w14:paraId="189CBE13" w14:textId="2F873004" w:rsidR="00185AB0" w:rsidRPr="00BE3630" w:rsidRDefault="00DA6C03">
      <w:pPr>
        <w:pStyle w:val="TableofFigures"/>
        <w:rPr>
          <w:rFonts w:cs="Times New Roman"/>
          <w:sz w:val="22"/>
        </w:rPr>
      </w:pPr>
      <w:hyperlink w:anchor="_Toc36292837" w:history="1">
        <w:r w:rsidR="00185AB0" w:rsidRPr="00D9348B">
          <w:rPr>
            <w:rStyle w:val="Hyperlink"/>
          </w:rPr>
          <w:t>Figure 10.1.5</w:t>
        </w:r>
        <w:r w:rsidR="00185AB0" w:rsidRPr="00BE3630">
          <w:rPr>
            <w:rFonts w:cs="Times New Roman"/>
            <w:sz w:val="22"/>
          </w:rPr>
          <w:tab/>
        </w:r>
        <w:r w:rsidR="00185AB0" w:rsidRPr="00D9348B">
          <w:rPr>
            <w:rStyle w:val="Hyperlink"/>
          </w:rPr>
          <w:t>Effect of recalculations on net emissions from New Zealand’s LULUCF sector from 1990 to 2017</w:t>
        </w:r>
        <w:r w:rsidR="00185AB0" w:rsidRPr="00D9348B">
          <w:rPr>
            <w:webHidden/>
          </w:rPr>
          <w:tab/>
        </w:r>
        <w:r w:rsidR="00185AB0" w:rsidRPr="00D9348B">
          <w:rPr>
            <w:webHidden/>
          </w:rPr>
          <w:fldChar w:fldCharType="begin"/>
        </w:r>
        <w:r w:rsidR="00185AB0" w:rsidRPr="00D9348B">
          <w:rPr>
            <w:webHidden/>
          </w:rPr>
          <w:instrText xml:space="preserve"> PAGEREF _Toc36292837 \h </w:instrText>
        </w:r>
        <w:r w:rsidR="00185AB0" w:rsidRPr="00D9348B">
          <w:rPr>
            <w:webHidden/>
          </w:rPr>
        </w:r>
        <w:r w:rsidR="00185AB0" w:rsidRPr="00D9348B">
          <w:rPr>
            <w:webHidden/>
          </w:rPr>
          <w:fldChar w:fldCharType="separate"/>
        </w:r>
        <w:r w:rsidR="00950F0A">
          <w:rPr>
            <w:webHidden/>
          </w:rPr>
          <w:t>428</w:t>
        </w:r>
        <w:r w:rsidR="00185AB0" w:rsidRPr="00D9348B">
          <w:rPr>
            <w:webHidden/>
          </w:rPr>
          <w:fldChar w:fldCharType="end"/>
        </w:r>
      </w:hyperlink>
    </w:p>
    <w:p w14:paraId="50349693" w14:textId="7BB6AD8E" w:rsidR="00185AB0" w:rsidRPr="00BE3630" w:rsidRDefault="00DA6C03">
      <w:pPr>
        <w:pStyle w:val="TableofFigures"/>
        <w:rPr>
          <w:rFonts w:cs="Times New Roman"/>
          <w:sz w:val="22"/>
        </w:rPr>
      </w:pPr>
      <w:hyperlink w:anchor="_Toc36292838" w:history="1">
        <w:r w:rsidR="00185AB0" w:rsidRPr="00D9348B">
          <w:rPr>
            <w:rStyle w:val="Hyperlink"/>
          </w:rPr>
          <w:t>Figure 10.1.6</w:t>
        </w:r>
        <w:r w:rsidR="00185AB0" w:rsidRPr="00BE3630">
          <w:rPr>
            <w:rFonts w:cs="Times New Roman"/>
            <w:sz w:val="22"/>
          </w:rPr>
          <w:tab/>
        </w:r>
        <w:r w:rsidR="00185AB0" w:rsidRPr="00D9348B">
          <w:rPr>
            <w:rStyle w:val="Hyperlink"/>
          </w:rPr>
          <w:t>Effect of recalculations on New Zealand’s Waste sector from 1990 to 2017</w:t>
        </w:r>
        <w:r w:rsidR="00185AB0" w:rsidRPr="00D9348B">
          <w:rPr>
            <w:webHidden/>
          </w:rPr>
          <w:tab/>
        </w:r>
        <w:r w:rsidR="00185AB0" w:rsidRPr="00D9348B">
          <w:rPr>
            <w:webHidden/>
          </w:rPr>
          <w:fldChar w:fldCharType="begin"/>
        </w:r>
        <w:r w:rsidR="00185AB0" w:rsidRPr="00D9348B">
          <w:rPr>
            <w:webHidden/>
          </w:rPr>
          <w:instrText xml:space="preserve"> PAGEREF _Toc36292838 \h </w:instrText>
        </w:r>
        <w:r w:rsidR="00185AB0" w:rsidRPr="00D9348B">
          <w:rPr>
            <w:webHidden/>
          </w:rPr>
        </w:r>
        <w:r w:rsidR="00185AB0" w:rsidRPr="00D9348B">
          <w:rPr>
            <w:webHidden/>
          </w:rPr>
          <w:fldChar w:fldCharType="separate"/>
        </w:r>
        <w:r w:rsidR="00950F0A">
          <w:rPr>
            <w:webHidden/>
          </w:rPr>
          <w:t>429</w:t>
        </w:r>
        <w:r w:rsidR="00185AB0" w:rsidRPr="00D9348B">
          <w:rPr>
            <w:webHidden/>
          </w:rPr>
          <w:fldChar w:fldCharType="end"/>
        </w:r>
      </w:hyperlink>
    </w:p>
    <w:p w14:paraId="0C815DAC" w14:textId="0E249AEC" w:rsidR="00185AB0" w:rsidRPr="00BE3630" w:rsidRDefault="00DA6C03">
      <w:pPr>
        <w:pStyle w:val="TableofFigures"/>
        <w:rPr>
          <w:rFonts w:cs="Times New Roman"/>
          <w:sz w:val="22"/>
        </w:rPr>
      </w:pPr>
      <w:hyperlink w:anchor="_Toc36292839" w:history="1">
        <w:r w:rsidR="00185AB0" w:rsidRPr="00D9348B">
          <w:rPr>
            <w:rStyle w:val="Hyperlink"/>
          </w:rPr>
          <w:t>Figure 10.1.7</w:t>
        </w:r>
        <w:r w:rsidR="00185AB0" w:rsidRPr="00BE3630">
          <w:rPr>
            <w:rFonts w:cs="Times New Roman"/>
            <w:sz w:val="22"/>
          </w:rPr>
          <w:tab/>
        </w:r>
        <w:r w:rsidR="00185AB0" w:rsidRPr="00D9348B">
          <w:rPr>
            <w:rStyle w:val="Hyperlink"/>
          </w:rPr>
          <w:t>Explanations and justifications for recalculations in the Tokelau sector</w:t>
        </w:r>
        <w:r w:rsidR="00185AB0" w:rsidRPr="00D9348B">
          <w:rPr>
            <w:webHidden/>
          </w:rPr>
          <w:tab/>
        </w:r>
        <w:r w:rsidR="00185AB0" w:rsidRPr="00D9348B">
          <w:rPr>
            <w:webHidden/>
          </w:rPr>
          <w:fldChar w:fldCharType="begin"/>
        </w:r>
        <w:r w:rsidR="00185AB0" w:rsidRPr="00D9348B">
          <w:rPr>
            <w:webHidden/>
          </w:rPr>
          <w:instrText xml:space="preserve"> PAGEREF _Toc36292839 \h </w:instrText>
        </w:r>
        <w:r w:rsidR="00185AB0" w:rsidRPr="00D9348B">
          <w:rPr>
            <w:webHidden/>
          </w:rPr>
        </w:r>
        <w:r w:rsidR="00185AB0" w:rsidRPr="00D9348B">
          <w:rPr>
            <w:webHidden/>
          </w:rPr>
          <w:fldChar w:fldCharType="separate"/>
        </w:r>
        <w:r w:rsidR="00950F0A">
          <w:rPr>
            <w:webHidden/>
          </w:rPr>
          <w:t>430</w:t>
        </w:r>
        <w:r w:rsidR="00185AB0" w:rsidRPr="00D9348B">
          <w:rPr>
            <w:webHidden/>
          </w:rPr>
          <w:fldChar w:fldCharType="end"/>
        </w:r>
      </w:hyperlink>
    </w:p>
    <w:p w14:paraId="59F341E9" w14:textId="24400E7F" w:rsidR="00185AB0" w:rsidRPr="00BE3630" w:rsidRDefault="00DA6C03">
      <w:pPr>
        <w:pStyle w:val="TableofFigures"/>
        <w:rPr>
          <w:rFonts w:cs="Times New Roman"/>
          <w:sz w:val="22"/>
        </w:rPr>
      </w:pPr>
      <w:hyperlink w:anchor="_Toc36292840" w:history="1">
        <w:r w:rsidR="00185AB0" w:rsidRPr="00D9348B">
          <w:rPr>
            <w:rStyle w:val="Hyperlink"/>
          </w:rPr>
          <w:t>Figure 11.3.1</w:t>
        </w:r>
        <w:r w:rsidR="00185AB0" w:rsidRPr="00BE3630">
          <w:rPr>
            <w:rFonts w:cs="Times New Roman"/>
            <w:sz w:val="22"/>
          </w:rPr>
          <w:tab/>
        </w:r>
        <w:r w:rsidR="00185AB0" w:rsidRPr="00D9348B">
          <w:rPr>
            <w:rStyle w:val="Hyperlink"/>
          </w:rPr>
          <w:t>New Zealand’s annual areas of deforestation from 1990 to 2018</w:t>
        </w:r>
        <w:r w:rsidR="00185AB0" w:rsidRPr="00D9348B">
          <w:rPr>
            <w:webHidden/>
          </w:rPr>
          <w:tab/>
        </w:r>
        <w:r w:rsidR="00185AB0" w:rsidRPr="00D9348B">
          <w:rPr>
            <w:webHidden/>
          </w:rPr>
          <w:fldChar w:fldCharType="begin"/>
        </w:r>
        <w:r w:rsidR="00185AB0" w:rsidRPr="00D9348B">
          <w:rPr>
            <w:webHidden/>
          </w:rPr>
          <w:instrText xml:space="preserve"> PAGEREF _Toc36292840 \h </w:instrText>
        </w:r>
        <w:r w:rsidR="00185AB0" w:rsidRPr="00D9348B">
          <w:rPr>
            <w:webHidden/>
          </w:rPr>
        </w:r>
        <w:r w:rsidR="00185AB0" w:rsidRPr="00D9348B">
          <w:rPr>
            <w:webHidden/>
          </w:rPr>
          <w:fldChar w:fldCharType="separate"/>
        </w:r>
        <w:r w:rsidR="00950F0A">
          <w:rPr>
            <w:webHidden/>
          </w:rPr>
          <w:t>455</w:t>
        </w:r>
        <w:r w:rsidR="00185AB0" w:rsidRPr="00D9348B">
          <w:rPr>
            <w:webHidden/>
          </w:rPr>
          <w:fldChar w:fldCharType="end"/>
        </w:r>
      </w:hyperlink>
    </w:p>
    <w:p w14:paraId="64346AD9" w14:textId="013B8436" w:rsidR="00185AB0" w:rsidRPr="00BE3630" w:rsidRDefault="00DA6C03">
      <w:pPr>
        <w:pStyle w:val="TableofFigures"/>
        <w:rPr>
          <w:rFonts w:cs="Times New Roman"/>
          <w:sz w:val="22"/>
        </w:rPr>
      </w:pPr>
      <w:hyperlink w:anchor="_Toc36292841" w:history="1">
        <w:r w:rsidR="00185AB0" w:rsidRPr="00D9348B">
          <w:rPr>
            <w:rStyle w:val="Hyperlink"/>
          </w:rPr>
          <w:t>Figure 11.5.1</w:t>
        </w:r>
        <w:r w:rsidR="00185AB0" w:rsidRPr="00BE3630">
          <w:rPr>
            <w:rFonts w:cs="Times New Roman"/>
            <w:sz w:val="22"/>
          </w:rPr>
          <w:tab/>
        </w:r>
        <w:r w:rsidR="00185AB0" w:rsidRPr="00D9348B">
          <w:rPr>
            <w:rStyle w:val="Hyperlink"/>
          </w:rPr>
          <w:t>Verification of deforestation in New Zealand</w:t>
        </w:r>
        <w:r w:rsidR="00185AB0" w:rsidRPr="00D9348B">
          <w:rPr>
            <w:webHidden/>
          </w:rPr>
          <w:tab/>
        </w:r>
        <w:r w:rsidR="00185AB0" w:rsidRPr="00D9348B">
          <w:rPr>
            <w:webHidden/>
          </w:rPr>
          <w:fldChar w:fldCharType="begin"/>
        </w:r>
        <w:r w:rsidR="00185AB0" w:rsidRPr="00D9348B">
          <w:rPr>
            <w:webHidden/>
          </w:rPr>
          <w:instrText xml:space="preserve"> PAGEREF _Toc36292841 \h </w:instrText>
        </w:r>
        <w:r w:rsidR="00185AB0" w:rsidRPr="00D9348B">
          <w:rPr>
            <w:webHidden/>
          </w:rPr>
        </w:r>
        <w:r w:rsidR="00185AB0" w:rsidRPr="00D9348B">
          <w:rPr>
            <w:webHidden/>
          </w:rPr>
          <w:fldChar w:fldCharType="separate"/>
        </w:r>
        <w:r w:rsidR="00950F0A">
          <w:rPr>
            <w:webHidden/>
          </w:rPr>
          <w:t>466</w:t>
        </w:r>
        <w:r w:rsidR="00185AB0" w:rsidRPr="00D9348B">
          <w:rPr>
            <w:webHidden/>
          </w:rPr>
          <w:fldChar w:fldCharType="end"/>
        </w:r>
      </w:hyperlink>
    </w:p>
    <w:p w14:paraId="18AD2F4A" w14:textId="49F3F38D" w:rsidR="00C21B54" w:rsidRPr="00D9348B" w:rsidRDefault="00635834" w:rsidP="00C21B54">
      <w:pPr>
        <w:rPr>
          <w:rFonts w:cs="Calibri"/>
        </w:rPr>
      </w:pPr>
      <w:r w:rsidRPr="00D9348B">
        <w:rPr>
          <w:rFonts w:cs="Calibri"/>
          <w:sz w:val="20"/>
        </w:rPr>
        <w:fldChar w:fldCharType="end"/>
      </w:r>
    </w:p>
    <w:p w14:paraId="2D8518FE" w14:textId="661C954C" w:rsidR="00103A70" w:rsidRPr="00D9348B" w:rsidRDefault="00103A70" w:rsidP="00C21B54">
      <w:pPr>
        <w:rPr>
          <w:rFonts w:cs="Calibri"/>
        </w:rPr>
      </w:pPr>
    </w:p>
    <w:p w14:paraId="34BC3824" w14:textId="77777777" w:rsidR="00C15758" w:rsidRPr="00D9348B" w:rsidRDefault="00C15758" w:rsidP="00F44640">
      <w:pPr>
        <w:pStyle w:val="Heading1"/>
        <w:sectPr w:rsidR="00C15758" w:rsidRPr="00D9348B" w:rsidSect="007575A8">
          <w:footerReference w:type="even" r:id="rId19"/>
          <w:pgSz w:w="11907" w:h="16840" w:code="9"/>
          <w:pgMar w:top="1418" w:right="1701" w:bottom="1418" w:left="1701" w:header="567" w:footer="567" w:gutter="0"/>
          <w:pgNumType w:fmt="lowerRoman"/>
          <w:cols w:space="720"/>
        </w:sectPr>
      </w:pPr>
      <w:bookmarkStart w:id="7" w:name="_Toc511116555"/>
      <w:bookmarkStart w:id="8" w:name="_Toc5269317"/>
    </w:p>
    <w:p w14:paraId="203BDC08" w14:textId="1E1F6040" w:rsidR="00F44640" w:rsidRPr="00D9348B" w:rsidRDefault="00F44640" w:rsidP="00F44640">
      <w:pPr>
        <w:pStyle w:val="Heading1"/>
      </w:pPr>
      <w:bookmarkStart w:id="9" w:name="_Toc36224357"/>
      <w:r w:rsidRPr="00D9348B">
        <w:lastRenderedPageBreak/>
        <w:t>Abbreviations</w:t>
      </w:r>
      <w:bookmarkEnd w:id="7"/>
      <w:bookmarkEnd w:id="8"/>
      <w:bookmarkEnd w:id="9"/>
    </w:p>
    <w:tbl>
      <w:tblPr>
        <w:tblW w:w="8618" w:type="dxa"/>
        <w:tblLook w:val="04A0" w:firstRow="1" w:lastRow="0" w:firstColumn="1" w:lastColumn="0" w:noHBand="0" w:noVBand="1"/>
      </w:tblPr>
      <w:tblGrid>
        <w:gridCol w:w="1526"/>
        <w:gridCol w:w="7092"/>
      </w:tblGrid>
      <w:tr w:rsidR="00D40AF3" w:rsidRPr="00D81C27" w14:paraId="395D7E1F" w14:textId="77777777" w:rsidTr="00DB330E">
        <w:tc>
          <w:tcPr>
            <w:tcW w:w="1526" w:type="dxa"/>
            <w:shd w:val="clear" w:color="auto" w:fill="auto"/>
          </w:tcPr>
          <w:p w14:paraId="6706816C"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AAP</w:t>
            </w:r>
          </w:p>
        </w:tc>
        <w:tc>
          <w:tcPr>
            <w:tcW w:w="7092" w:type="dxa"/>
            <w:shd w:val="clear" w:color="auto" w:fill="auto"/>
          </w:tcPr>
          <w:p w14:paraId="7FA007F0" w14:textId="77777777" w:rsidR="00D40AF3" w:rsidRPr="00D81C27" w:rsidRDefault="00D40AF3" w:rsidP="00D81C27">
            <w:pPr>
              <w:pStyle w:val="BodyText"/>
              <w:spacing w:before="100" w:after="0"/>
              <w:rPr>
                <w:rFonts w:eastAsia="Calibri" w:cs="Calibri"/>
                <w:sz w:val="20"/>
                <w:szCs w:val="20"/>
              </w:rPr>
            </w:pPr>
            <w:r w:rsidRPr="00D81C27">
              <w:rPr>
                <w:rFonts w:cs="Calibri"/>
                <w:sz w:val="20"/>
                <w:szCs w:val="20"/>
              </w:rPr>
              <w:t>average animal population</w:t>
            </w:r>
          </w:p>
        </w:tc>
      </w:tr>
      <w:tr w:rsidR="00D40AF3" w:rsidRPr="00D81C27" w14:paraId="4BD9DFC7" w14:textId="77777777" w:rsidTr="00DB330E">
        <w:tc>
          <w:tcPr>
            <w:tcW w:w="1526" w:type="dxa"/>
            <w:shd w:val="clear" w:color="auto" w:fill="auto"/>
          </w:tcPr>
          <w:p w14:paraId="52BC2F85"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AAU</w:t>
            </w:r>
          </w:p>
        </w:tc>
        <w:tc>
          <w:tcPr>
            <w:tcW w:w="7092" w:type="dxa"/>
            <w:shd w:val="clear" w:color="auto" w:fill="auto"/>
          </w:tcPr>
          <w:p w14:paraId="1877ED5E"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assigned amount unit</w:t>
            </w:r>
          </w:p>
        </w:tc>
      </w:tr>
      <w:tr w:rsidR="00D40AF3" w:rsidRPr="00D81C27" w14:paraId="5707C105" w14:textId="77777777" w:rsidTr="00DB330E">
        <w:tc>
          <w:tcPr>
            <w:tcW w:w="1526" w:type="dxa"/>
            <w:shd w:val="clear" w:color="auto" w:fill="auto"/>
          </w:tcPr>
          <w:p w14:paraId="006AAAB7"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AD</w:t>
            </w:r>
          </w:p>
        </w:tc>
        <w:tc>
          <w:tcPr>
            <w:tcW w:w="7092" w:type="dxa"/>
            <w:shd w:val="clear" w:color="auto" w:fill="auto"/>
          </w:tcPr>
          <w:p w14:paraId="1723E4A8"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activity data</w:t>
            </w:r>
          </w:p>
        </w:tc>
      </w:tr>
      <w:tr w:rsidR="00D40AF3" w:rsidRPr="00D81C27" w14:paraId="33819228" w14:textId="77777777" w:rsidTr="00DB330E">
        <w:tc>
          <w:tcPr>
            <w:tcW w:w="1526" w:type="dxa"/>
            <w:shd w:val="clear" w:color="auto" w:fill="auto"/>
          </w:tcPr>
          <w:p w14:paraId="5F84C6CD" w14:textId="77777777" w:rsidR="00D40AF3" w:rsidRPr="00D81C27" w:rsidRDefault="00D40AF3" w:rsidP="00D81C27">
            <w:pPr>
              <w:pStyle w:val="BodyText"/>
              <w:spacing w:before="100" w:after="0"/>
              <w:rPr>
                <w:rFonts w:eastAsia="Calibri" w:cs="Calibri"/>
                <w:b/>
                <w:sz w:val="20"/>
                <w:szCs w:val="20"/>
                <w:highlight w:val="yellow"/>
              </w:rPr>
            </w:pPr>
            <w:r w:rsidRPr="00D81C27">
              <w:rPr>
                <w:rFonts w:eastAsia="Calibri" w:cs="Calibri"/>
                <w:b/>
                <w:sz w:val="20"/>
                <w:szCs w:val="20"/>
              </w:rPr>
              <w:t>AIC</w:t>
            </w:r>
          </w:p>
        </w:tc>
        <w:tc>
          <w:tcPr>
            <w:tcW w:w="7092" w:type="dxa"/>
            <w:shd w:val="clear" w:color="auto" w:fill="auto"/>
          </w:tcPr>
          <w:p w14:paraId="03CB90E0" w14:textId="77777777" w:rsidR="00D40AF3" w:rsidRPr="00D81C27" w:rsidRDefault="00D40AF3" w:rsidP="00D81C27">
            <w:pPr>
              <w:pStyle w:val="BodyText"/>
              <w:spacing w:before="100" w:after="0"/>
              <w:rPr>
                <w:rFonts w:eastAsia="Calibri" w:cs="Calibri"/>
                <w:sz w:val="20"/>
                <w:szCs w:val="20"/>
                <w:highlight w:val="yellow"/>
              </w:rPr>
            </w:pPr>
            <w:r w:rsidRPr="00D81C27">
              <w:rPr>
                <w:rFonts w:cs="Calibri"/>
                <w:sz w:val="20"/>
                <w:szCs w:val="20"/>
              </w:rPr>
              <w:t>Akaike information criterion</w:t>
            </w:r>
          </w:p>
        </w:tc>
      </w:tr>
      <w:tr w:rsidR="00D40AF3" w:rsidRPr="00D81C27" w14:paraId="04F22C90" w14:textId="77777777" w:rsidTr="00DB330E">
        <w:tc>
          <w:tcPr>
            <w:tcW w:w="1526" w:type="dxa"/>
            <w:shd w:val="clear" w:color="auto" w:fill="auto"/>
          </w:tcPr>
          <w:p w14:paraId="0CD0C587" w14:textId="77777777" w:rsidR="00D40AF3" w:rsidRPr="00D81C27" w:rsidRDefault="00D40AF3" w:rsidP="00D81C27">
            <w:pPr>
              <w:pStyle w:val="BodyText"/>
              <w:spacing w:before="100" w:after="0"/>
              <w:rPr>
                <w:rFonts w:eastAsia="Calibri" w:cs="Calibri"/>
                <w:b/>
                <w:sz w:val="20"/>
                <w:szCs w:val="20"/>
                <w:highlight w:val="yellow"/>
              </w:rPr>
            </w:pPr>
            <w:r w:rsidRPr="00D81C27">
              <w:rPr>
                <w:rFonts w:cs="Calibri"/>
                <w:spacing w:val="-2"/>
                <w:sz w:val="20"/>
                <w:szCs w:val="20"/>
              </w:rPr>
              <w:t>ANZSIC</w:t>
            </w:r>
          </w:p>
        </w:tc>
        <w:tc>
          <w:tcPr>
            <w:tcW w:w="7092" w:type="dxa"/>
            <w:shd w:val="clear" w:color="auto" w:fill="auto"/>
          </w:tcPr>
          <w:p w14:paraId="403679F9" w14:textId="77777777" w:rsidR="00D40AF3" w:rsidRPr="00D81C27" w:rsidRDefault="00D40AF3" w:rsidP="00D81C27">
            <w:pPr>
              <w:pStyle w:val="BodyText"/>
              <w:spacing w:before="100" w:after="0"/>
              <w:rPr>
                <w:rFonts w:eastAsia="Calibri" w:cs="Calibri"/>
                <w:sz w:val="20"/>
                <w:szCs w:val="20"/>
                <w:highlight w:val="yellow"/>
              </w:rPr>
            </w:pPr>
            <w:r w:rsidRPr="00D81C27">
              <w:rPr>
                <w:rFonts w:cs="Calibri"/>
                <w:spacing w:val="-2"/>
                <w:sz w:val="20"/>
                <w:szCs w:val="20"/>
              </w:rPr>
              <w:t>Australian and New Zealand Standard Industrial Classification</w:t>
            </w:r>
          </w:p>
        </w:tc>
      </w:tr>
      <w:tr w:rsidR="00D40AF3" w:rsidRPr="00D81C27" w14:paraId="3AC2ABFA" w14:textId="77777777" w:rsidTr="00DB330E">
        <w:tc>
          <w:tcPr>
            <w:tcW w:w="1526" w:type="dxa"/>
            <w:shd w:val="clear" w:color="auto" w:fill="auto"/>
          </w:tcPr>
          <w:p w14:paraId="59A44164"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APEC</w:t>
            </w:r>
          </w:p>
        </w:tc>
        <w:tc>
          <w:tcPr>
            <w:tcW w:w="7092" w:type="dxa"/>
            <w:shd w:val="clear" w:color="auto" w:fill="auto"/>
          </w:tcPr>
          <w:p w14:paraId="0D6D7232"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 xml:space="preserve">Asia-Pacific Economic Cooperation </w:t>
            </w:r>
          </w:p>
        </w:tc>
      </w:tr>
      <w:tr w:rsidR="00D40AF3" w:rsidRPr="00D81C27" w14:paraId="4CBAB202" w14:textId="77777777" w:rsidTr="00DB330E">
        <w:tc>
          <w:tcPr>
            <w:tcW w:w="1526" w:type="dxa"/>
            <w:shd w:val="clear" w:color="auto" w:fill="auto"/>
          </w:tcPr>
          <w:p w14:paraId="594C580E"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 xml:space="preserve">ARR </w:t>
            </w:r>
          </w:p>
        </w:tc>
        <w:tc>
          <w:tcPr>
            <w:tcW w:w="7092" w:type="dxa"/>
            <w:shd w:val="clear" w:color="auto" w:fill="auto"/>
          </w:tcPr>
          <w:p w14:paraId="60DB00CD"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assessment review report</w:t>
            </w:r>
          </w:p>
        </w:tc>
      </w:tr>
      <w:tr w:rsidR="00D40AF3" w:rsidRPr="00D81C27" w14:paraId="63291CEE" w14:textId="77777777" w:rsidTr="00DB330E">
        <w:tc>
          <w:tcPr>
            <w:tcW w:w="1526" w:type="dxa"/>
            <w:shd w:val="clear" w:color="auto" w:fill="auto"/>
          </w:tcPr>
          <w:p w14:paraId="314BC208"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BERG</w:t>
            </w:r>
          </w:p>
        </w:tc>
        <w:tc>
          <w:tcPr>
            <w:tcW w:w="7092" w:type="dxa"/>
            <w:shd w:val="clear" w:color="auto" w:fill="auto"/>
          </w:tcPr>
          <w:p w14:paraId="425F7570"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Biological Emissions Reference Group</w:t>
            </w:r>
          </w:p>
        </w:tc>
      </w:tr>
      <w:tr w:rsidR="00D40AF3" w:rsidRPr="00D81C27" w14:paraId="63C5D364" w14:textId="77777777" w:rsidTr="00DB330E">
        <w:tc>
          <w:tcPr>
            <w:tcW w:w="1526" w:type="dxa"/>
            <w:shd w:val="clear" w:color="auto" w:fill="auto"/>
          </w:tcPr>
          <w:p w14:paraId="3B47CF19"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BOD</w:t>
            </w:r>
          </w:p>
        </w:tc>
        <w:tc>
          <w:tcPr>
            <w:tcW w:w="7092" w:type="dxa"/>
            <w:shd w:val="clear" w:color="auto" w:fill="auto"/>
          </w:tcPr>
          <w:p w14:paraId="4CE0B67E"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biochemical oxygen demand</w:t>
            </w:r>
          </w:p>
        </w:tc>
      </w:tr>
      <w:tr w:rsidR="00D40AF3" w:rsidRPr="00D81C27" w14:paraId="01B622D7" w14:textId="77777777" w:rsidTr="00DB330E">
        <w:tc>
          <w:tcPr>
            <w:tcW w:w="1526" w:type="dxa"/>
            <w:shd w:val="clear" w:color="auto" w:fill="auto"/>
          </w:tcPr>
          <w:p w14:paraId="374B9871"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BRANZ</w:t>
            </w:r>
          </w:p>
        </w:tc>
        <w:tc>
          <w:tcPr>
            <w:tcW w:w="7092" w:type="dxa"/>
            <w:shd w:val="clear" w:color="auto" w:fill="auto"/>
          </w:tcPr>
          <w:p w14:paraId="6A23FD37"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Building Research Association of New Zealand</w:t>
            </w:r>
          </w:p>
        </w:tc>
      </w:tr>
      <w:tr w:rsidR="00D40AF3" w:rsidRPr="00D81C27" w14:paraId="6DCBA2C2" w14:textId="77777777" w:rsidTr="00DB330E">
        <w:tc>
          <w:tcPr>
            <w:tcW w:w="1526" w:type="dxa"/>
            <w:shd w:val="clear" w:color="auto" w:fill="auto"/>
          </w:tcPr>
          <w:p w14:paraId="43634F3F" w14:textId="77777777" w:rsidR="00D40AF3" w:rsidRPr="00D81C27" w:rsidRDefault="00D40AF3" w:rsidP="00D81C27">
            <w:pPr>
              <w:pStyle w:val="BodyText"/>
              <w:spacing w:before="100" w:after="0"/>
              <w:rPr>
                <w:rFonts w:eastAsia="Calibri" w:cs="Calibri"/>
                <w:b/>
                <w:sz w:val="20"/>
                <w:szCs w:val="20"/>
              </w:rPr>
            </w:pPr>
            <w:r w:rsidRPr="00D81C27">
              <w:rPr>
                <w:rFonts w:cs="Calibri"/>
                <w:b/>
                <w:sz w:val="20"/>
                <w:szCs w:val="20"/>
              </w:rPr>
              <w:t>CF</w:t>
            </w:r>
            <w:r w:rsidRPr="00D81C27">
              <w:rPr>
                <w:rFonts w:cs="Calibri"/>
                <w:b/>
                <w:sz w:val="20"/>
                <w:szCs w:val="20"/>
                <w:vertAlign w:val="subscript"/>
              </w:rPr>
              <w:t>4</w:t>
            </w:r>
          </w:p>
        </w:tc>
        <w:tc>
          <w:tcPr>
            <w:tcW w:w="7092" w:type="dxa"/>
            <w:shd w:val="clear" w:color="auto" w:fill="auto"/>
          </w:tcPr>
          <w:p w14:paraId="53E4061F" w14:textId="77777777" w:rsidR="00D40AF3" w:rsidRPr="00D81C27" w:rsidRDefault="00D40AF3" w:rsidP="00D81C27">
            <w:pPr>
              <w:pStyle w:val="BodyText"/>
              <w:spacing w:before="100" w:after="0"/>
              <w:rPr>
                <w:rFonts w:eastAsia="Calibri" w:cs="Calibri"/>
                <w:sz w:val="20"/>
                <w:szCs w:val="20"/>
              </w:rPr>
            </w:pPr>
            <w:r w:rsidRPr="00D81C27">
              <w:rPr>
                <w:rFonts w:cs="Calibri"/>
                <w:sz w:val="20"/>
                <w:szCs w:val="20"/>
              </w:rPr>
              <w:t>perfluoromethane</w:t>
            </w:r>
          </w:p>
        </w:tc>
      </w:tr>
      <w:tr w:rsidR="00D40AF3" w:rsidRPr="00D81C27" w14:paraId="37AEB121" w14:textId="77777777" w:rsidTr="00DB330E">
        <w:tc>
          <w:tcPr>
            <w:tcW w:w="1526" w:type="dxa"/>
            <w:shd w:val="clear" w:color="auto" w:fill="auto"/>
          </w:tcPr>
          <w:p w14:paraId="382FE1F7" w14:textId="77777777" w:rsidR="00D40AF3" w:rsidRPr="00D81C27" w:rsidRDefault="00D40AF3" w:rsidP="00D81C27">
            <w:pPr>
              <w:pStyle w:val="BodyText"/>
              <w:spacing w:before="100" w:after="0"/>
              <w:rPr>
                <w:rFonts w:eastAsia="Calibri" w:cs="Calibri"/>
                <w:b/>
                <w:sz w:val="20"/>
                <w:szCs w:val="20"/>
              </w:rPr>
            </w:pPr>
            <w:r w:rsidRPr="00D81C27">
              <w:rPr>
                <w:rFonts w:cs="Calibri"/>
                <w:b/>
                <w:sz w:val="20"/>
                <w:szCs w:val="20"/>
              </w:rPr>
              <w:t>C</w:t>
            </w:r>
            <w:r w:rsidRPr="00D81C27">
              <w:rPr>
                <w:rFonts w:cs="Calibri"/>
                <w:b/>
                <w:sz w:val="20"/>
                <w:szCs w:val="20"/>
                <w:vertAlign w:val="subscript"/>
              </w:rPr>
              <w:t>2</w:t>
            </w:r>
            <w:r w:rsidRPr="00D81C27">
              <w:rPr>
                <w:rFonts w:cs="Calibri"/>
                <w:b/>
                <w:sz w:val="20"/>
                <w:szCs w:val="20"/>
              </w:rPr>
              <w:t>F</w:t>
            </w:r>
            <w:r w:rsidRPr="00D81C27">
              <w:rPr>
                <w:rFonts w:cs="Calibri"/>
                <w:b/>
                <w:sz w:val="20"/>
                <w:szCs w:val="20"/>
                <w:vertAlign w:val="subscript"/>
              </w:rPr>
              <w:t>6</w:t>
            </w:r>
          </w:p>
        </w:tc>
        <w:tc>
          <w:tcPr>
            <w:tcW w:w="7092" w:type="dxa"/>
            <w:shd w:val="clear" w:color="auto" w:fill="auto"/>
          </w:tcPr>
          <w:p w14:paraId="1FFC9361" w14:textId="77777777" w:rsidR="00D40AF3" w:rsidRPr="00D81C27" w:rsidRDefault="00D40AF3" w:rsidP="00D81C27">
            <w:pPr>
              <w:pStyle w:val="BodyText"/>
              <w:spacing w:before="100" w:after="0"/>
              <w:rPr>
                <w:rFonts w:eastAsia="Calibri" w:cs="Calibri"/>
                <w:sz w:val="20"/>
                <w:szCs w:val="20"/>
              </w:rPr>
            </w:pPr>
            <w:r w:rsidRPr="00D81C27">
              <w:rPr>
                <w:rFonts w:cs="Calibri"/>
                <w:sz w:val="20"/>
                <w:szCs w:val="20"/>
              </w:rPr>
              <w:t>perfluoroethane</w:t>
            </w:r>
          </w:p>
        </w:tc>
      </w:tr>
      <w:tr w:rsidR="00D40AF3" w:rsidRPr="00D81C27" w14:paraId="2EAE7A79" w14:textId="77777777" w:rsidTr="00DB330E">
        <w:tc>
          <w:tcPr>
            <w:tcW w:w="1526" w:type="dxa"/>
            <w:shd w:val="clear" w:color="auto" w:fill="auto"/>
          </w:tcPr>
          <w:p w14:paraId="43CDFE01" w14:textId="77777777" w:rsidR="00D40AF3" w:rsidRPr="00D81C27" w:rsidRDefault="00D40AF3" w:rsidP="00D81C27">
            <w:pPr>
              <w:pStyle w:val="BodyText"/>
              <w:spacing w:before="100" w:after="0"/>
              <w:rPr>
                <w:rFonts w:cs="Calibri"/>
                <w:b/>
                <w:sz w:val="20"/>
                <w:szCs w:val="20"/>
              </w:rPr>
            </w:pPr>
            <w:r w:rsidRPr="00D81C27">
              <w:rPr>
                <w:rFonts w:cs="Calibri"/>
                <w:b/>
                <w:sz w:val="20"/>
                <w:szCs w:val="20"/>
              </w:rPr>
              <w:t>C</w:t>
            </w:r>
            <w:r w:rsidRPr="00D81C27">
              <w:rPr>
                <w:rFonts w:cs="Calibri"/>
                <w:b/>
                <w:sz w:val="20"/>
                <w:szCs w:val="20"/>
                <w:vertAlign w:val="subscript"/>
              </w:rPr>
              <w:t>3</w:t>
            </w:r>
            <w:r w:rsidRPr="00D81C27">
              <w:rPr>
                <w:rFonts w:cs="Calibri"/>
                <w:b/>
                <w:sz w:val="20"/>
                <w:szCs w:val="20"/>
              </w:rPr>
              <w:t>F</w:t>
            </w:r>
            <w:r w:rsidRPr="00D81C27">
              <w:rPr>
                <w:rFonts w:cs="Calibri"/>
                <w:b/>
                <w:sz w:val="20"/>
                <w:szCs w:val="20"/>
                <w:vertAlign w:val="subscript"/>
              </w:rPr>
              <w:t>8</w:t>
            </w:r>
          </w:p>
        </w:tc>
        <w:tc>
          <w:tcPr>
            <w:tcW w:w="7092" w:type="dxa"/>
            <w:shd w:val="clear" w:color="auto" w:fill="auto"/>
          </w:tcPr>
          <w:p w14:paraId="50963CFC" w14:textId="77777777" w:rsidR="00D40AF3" w:rsidRPr="00D81C27" w:rsidRDefault="00D40AF3" w:rsidP="00D81C27">
            <w:pPr>
              <w:pStyle w:val="BodyText"/>
              <w:spacing w:before="100" w:after="0"/>
              <w:rPr>
                <w:rFonts w:cs="Calibri"/>
                <w:sz w:val="20"/>
                <w:szCs w:val="20"/>
              </w:rPr>
            </w:pPr>
            <w:r w:rsidRPr="00D81C27">
              <w:rPr>
                <w:rFonts w:cs="Calibri"/>
                <w:sz w:val="20"/>
                <w:szCs w:val="20"/>
              </w:rPr>
              <w:t xml:space="preserve">perfluoropropane </w:t>
            </w:r>
          </w:p>
        </w:tc>
      </w:tr>
      <w:tr w:rsidR="00D40AF3" w:rsidRPr="00D81C27" w14:paraId="727B10D6" w14:textId="77777777" w:rsidTr="00DB330E">
        <w:tc>
          <w:tcPr>
            <w:tcW w:w="1526" w:type="dxa"/>
            <w:shd w:val="clear" w:color="auto" w:fill="auto"/>
          </w:tcPr>
          <w:p w14:paraId="769D2F26" w14:textId="77777777" w:rsidR="00D40AF3" w:rsidRPr="00D81C27" w:rsidRDefault="00D40AF3" w:rsidP="00D81C27">
            <w:pPr>
              <w:pStyle w:val="BodyText"/>
              <w:spacing w:before="100" w:after="0"/>
              <w:rPr>
                <w:rFonts w:eastAsia="Calibri" w:cs="Calibri"/>
                <w:b/>
                <w:sz w:val="20"/>
                <w:szCs w:val="20"/>
              </w:rPr>
            </w:pPr>
            <w:r w:rsidRPr="00D81C27">
              <w:rPr>
                <w:rFonts w:cs="Calibri"/>
                <w:b/>
                <w:sz w:val="20"/>
                <w:szCs w:val="20"/>
              </w:rPr>
              <w:t>CaO</w:t>
            </w:r>
          </w:p>
        </w:tc>
        <w:tc>
          <w:tcPr>
            <w:tcW w:w="7092" w:type="dxa"/>
            <w:shd w:val="clear" w:color="auto" w:fill="auto"/>
          </w:tcPr>
          <w:p w14:paraId="0726B1AE" w14:textId="77777777" w:rsidR="00D40AF3" w:rsidRPr="00D81C27" w:rsidRDefault="00D40AF3" w:rsidP="00D81C27">
            <w:pPr>
              <w:pStyle w:val="BodyText"/>
              <w:spacing w:before="100" w:after="0"/>
              <w:rPr>
                <w:rFonts w:eastAsia="Calibri" w:cs="Calibri"/>
                <w:sz w:val="20"/>
                <w:szCs w:val="20"/>
              </w:rPr>
            </w:pPr>
            <w:r w:rsidRPr="00D81C27">
              <w:rPr>
                <w:rFonts w:cs="Calibri"/>
                <w:sz w:val="20"/>
                <w:szCs w:val="20"/>
              </w:rPr>
              <w:t xml:space="preserve">calcium oxide </w:t>
            </w:r>
          </w:p>
        </w:tc>
      </w:tr>
      <w:tr w:rsidR="00D40AF3" w:rsidRPr="00D81C27" w14:paraId="36B23669" w14:textId="77777777" w:rsidTr="00DB330E">
        <w:tc>
          <w:tcPr>
            <w:tcW w:w="1526" w:type="dxa"/>
            <w:shd w:val="clear" w:color="auto" w:fill="auto"/>
          </w:tcPr>
          <w:p w14:paraId="7641DD85" w14:textId="77777777" w:rsidR="00D40AF3" w:rsidRPr="00D81C27" w:rsidRDefault="00D40AF3" w:rsidP="00D81C27">
            <w:pPr>
              <w:pStyle w:val="BodyText"/>
              <w:spacing w:before="100" w:after="0"/>
              <w:rPr>
                <w:rFonts w:cs="Calibri"/>
                <w:b/>
                <w:sz w:val="20"/>
                <w:szCs w:val="20"/>
              </w:rPr>
            </w:pPr>
            <w:r w:rsidRPr="00D81C27">
              <w:rPr>
                <w:rFonts w:cs="Calibri"/>
                <w:b/>
                <w:sz w:val="20"/>
                <w:szCs w:val="20"/>
              </w:rPr>
              <w:t>Ca(OH)</w:t>
            </w:r>
            <w:r w:rsidRPr="00D81C27">
              <w:rPr>
                <w:rFonts w:cs="Calibri"/>
                <w:b/>
                <w:sz w:val="20"/>
                <w:szCs w:val="20"/>
                <w:vertAlign w:val="subscript"/>
              </w:rPr>
              <w:t>2</w:t>
            </w:r>
          </w:p>
        </w:tc>
        <w:tc>
          <w:tcPr>
            <w:tcW w:w="7092" w:type="dxa"/>
            <w:shd w:val="clear" w:color="auto" w:fill="auto"/>
          </w:tcPr>
          <w:p w14:paraId="57DC3A37" w14:textId="77777777" w:rsidR="00D40AF3" w:rsidRPr="00D81C27" w:rsidRDefault="00D40AF3" w:rsidP="00D81C27">
            <w:pPr>
              <w:pStyle w:val="BodyText"/>
              <w:spacing w:before="100" w:after="0"/>
              <w:rPr>
                <w:rFonts w:cs="Calibri"/>
                <w:sz w:val="20"/>
                <w:szCs w:val="20"/>
              </w:rPr>
            </w:pPr>
            <w:r w:rsidRPr="00D81C27">
              <w:rPr>
                <w:rFonts w:cs="Calibri"/>
                <w:sz w:val="20"/>
                <w:szCs w:val="20"/>
              </w:rPr>
              <w:t>calcium hydroxide</w:t>
            </w:r>
          </w:p>
        </w:tc>
      </w:tr>
      <w:tr w:rsidR="00D40AF3" w:rsidRPr="00D81C27" w14:paraId="127EBED8" w14:textId="77777777" w:rsidTr="00DB330E">
        <w:tc>
          <w:tcPr>
            <w:tcW w:w="1526" w:type="dxa"/>
            <w:shd w:val="clear" w:color="auto" w:fill="auto"/>
          </w:tcPr>
          <w:p w14:paraId="6DDE193B" w14:textId="77777777" w:rsidR="00D40AF3" w:rsidRPr="00D81C27" w:rsidRDefault="00D40AF3" w:rsidP="00D81C27">
            <w:pPr>
              <w:pStyle w:val="BodyText"/>
              <w:spacing w:before="100" w:after="0"/>
              <w:rPr>
                <w:rFonts w:cs="Calibri"/>
                <w:b/>
                <w:sz w:val="20"/>
                <w:szCs w:val="20"/>
                <w:highlight w:val="yellow"/>
              </w:rPr>
            </w:pPr>
            <w:r w:rsidRPr="00D81C27">
              <w:rPr>
                <w:rFonts w:cs="Calibri"/>
                <w:b/>
                <w:sz w:val="20"/>
                <w:szCs w:val="20"/>
              </w:rPr>
              <w:t>CCF</w:t>
            </w:r>
            <w:r w:rsidRPr="00D81C27">
              <w:rPr>
                <w:rFonts w:cs="Calibri"/>
                <w:b/>
                <w:sz w:val="20"/>
                <w:szCs w:val="20"/>
                <w:vertAlign w:val="subscript"/>
              </w:rPr>
              <w:t>i</w:t>
            </w:r>
          </w:p>
        </w:tc>
        <w:tc>
          <w:tcPr>
            <w:tcW w:w="7092" w:type="dxa"/>
            <w:shd w:val="clear" w:color="auto" w:fill="auto"/>
          </w:tcPr>
          <w:p w14:paraId="7C7AEA62" w14:textId="77777777" w:rsidR="00D40AF3" w:rsidRPr="00D81C27" w:rsidRDefault="00D40AF3" w:rsidP="00D81C27">
            <w:pPr>
              <w:pStyle w:val="BodyText"/>
              <w:spacing w:before="100" w:after="0"/>
              <w:rPr>
                <w:rFonts w:cs="Calibri"/>
                <w:sz w:val="20"/>
                <w:szCs w:val="20"/>
                <w:highlight w:val="yellow"/>
              </w:rPr>
            </w:pPr>
            <w:r w:rsidRPr="00D81C27">
              <w:rPr>
                <w:rFonts w:cs="Calibri"/>
                <w:spacing w:val="-2"/>
                <w:sz w:val="20"/>
                <w:szCs w:val="20"/>
              </w:rPr>
              <w:t>carbon content factor</w:t>
            </w:r>
          </w:p>
        </w:tc>
      </w:tr>
      <w:tr w:rsidR="00D40AF3" w:rsidRPr="00D81C27" w14:paraId="0E7E91CD" w14:textId="77777777" w:rsidTr="00DB330E">
        <w:tc>
          <w:tcPr>
            <w:tcW w:w="1526" w:type="dxa"/>
            <w:shd w:val="clear" w:color="auto" w:fill="auto"/>
          </w:tcPr>
          <w:p w14:paraId="236C2715" w14:textId="77777777" w:rsidR="00D40AF3" w:rsidRPr="00D81C27" w:rsidRDefault="00D40AF3" w:rsidP="00D81C27">
            <w:pPr>
              <w:pStyle w:val="BodyText"/>
              <w:spacing w:before="100" w:after="0"/>
              <w:rPr>
                <w:rFonts w:cs="Calibri"/>
                <w:b/>
                <w:sz w:val="20"/>
                <w:szCs w:val="20"/>
              </w:rPr>
            </w:pPr>
            <w:r w:rsidRPr="00D81C27">
              <w:rPr>
                <w:rFonts w:cs="Calibri"/>
                <w:b/>
                <w:sz w:val="20"/>
                <w:szCs w:val="20"/>
              </w:rPr>
              <w:t>CDM</w:t>
            </w:r>
          </w:p>
        </w:tc>
        <w:tc>
          <w:tcPr>
            <w:tcW w:w="7092" w:type="dxa"/>
            <w:shd w:val="clear" w:color="auto" w:fill="auto"/>
          </w:tcPr>
          <w:p w14:paraId="07241677" w14:textId="77777777" w:rsidR="00D40AF3" w:rsidRPr="00D81C27" w:rsidRDefault="00D40AF3" w:rsidP="00D81C27">
            <w:pPr>
              <w:pStyle w:val="BodyText"/>
              <w:spacing w:before="100" w:after="0"/>
              <w:rPr>
                <w:rFonts w:cs="Calibri"/>
                <w:sz w:val="20"/>
                <w:szCs w:val="20"/>
              </w:rPr>
            </w:pPr>
            <w:r w:rsidRPr="00D81C27">
              <w:rPr>
                <w:rFonts w:cs="Calibri"/>
                <w:sz w:val="20"/>
                <w:szCs w:val="20"/>
              </w:rPr>
              <w:t>Clean Development Mechanism</w:t>
            </w:r>
          </w:p>
        </w:tc>
      </w:tr>
      <w:tr w:rsidR="00D40AF3" w:rsidRPr="00D81C27" w14:paraId="6330A325" w14:textId="77777777" w:rsidTr="00DB330E">
        <w:tc>
          <w:tcPr>
            <w:tcW w:w="1526" w:type="dxa"/>
            <w:shd w:val="clear" w:color="auto" w:fill="auto"/>
          </w:tcPr>
          <w:p w14:paraId="28AC0C4A"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 xml:space="preserve">CEF </w:t>
            </w:r>
          </w:p>
        </w:tc>
        <w:tc>
          <w:tcPr>
            <w:tcW w:w="7092" w:type="dxa"/>
            <w:shd w:val="clear" w:color="auto" w:fill="auto"/>
          </w:tcPr>
          <w:p w14:paraId="6B6029CE" w14:textId="77777777" w:rsidR="00D40AF3" w:rsidRPr="00D81C27" w:rsidRDefault="00D40AF3" w:rsidP="00D81C27">
            <w:pPr>
              <w:pStyle w:val="BodyText"/>
              <w:spacing w:before="100" w:after="0"/>
              <w:rPr>
                <w:rFonts w:eastAsia="Calibri" w:cs="Calibri"/>
                <w:sz w:val="20"/>
                <w:szCs w:val="20"/>
                <w:highlight w:val="yellow"/>
              </w:rPr>
            </w:pPr>
            <w:r w:rsidRPr="00D81C27">
              <w:rPr>
                <w:rFonts w:eastAsia="Calibri" w:cs="Calibri"/>
                <w:sz w:val="20"/>
                <w:szCs w:val="20"/>
              </w:rPr>
              <w:t>carbon equivalent forest</w:t>
            </w:r>
          </w:p>
        </w:tc>
      </w:tr>
      <w:tr w:rsidR="00D40AF3" w:rsidRPr="00D81C27" w14:paraId="43A956C8" w14:textId="77777777" w:rsidTr="00DB330E">
        <w:tc>
          <w:tcPr>
            <w:tcW w:w="1526" w:type="dxa"/>
            <w:shd w:val="clear" w:color="auto" w:fill="auto"/>
          </w:tcPr>
          <w:p w14:paraId="5BEF9E14"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CEF</w:t>
            </w:r>
            <w:r w:rsidRPr="00D81C27">
              <w:rPr>
                <w:rFonts w:eastAsia="Calibri" w:cs="Calibri"/>
                <w:b/>
                <w:sz w:val="20"/>
                <w:szCs w:val="20"/>
                <w:vertAlign w:val="subscript"/>
              </w:rPr>
              <w:t>hc</w:t>
            </w:r>
            <w:r w:rsidRPr="00D81C27">
              <w:rPr>
                <w:rFonts w:eastAsia="Calibri" w:cs="Calibri"/>
                <w:b/>
                <w:sz w:val="20"/>
                <w:szCs w:val="20"/>
              </w:rPr>
              <w:t xml:space="preserve"> </w:t>
            </w:r>
          </w:p>
        </w:tc>
        <w:tc>
          <w:tcPr>
            <w:tcW w:w="7092" w:type="dxa"/>
            <w:shd w:val="clear" w:color="auto" w:fill="auto"/>
          </w:tcPr>
          <w:p w14:paraId="129044BA"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carbon equivalent forest (harvested and converted)</w:t>
            </w:r>
          </w:p>
        </w:tc>
      </w:tr>
      <w:tr w:rsidR="00D40AF3" w:rsidRPr="00D81C27" w14:paraId="3B7AC96B" w14:textId="77777777" w:rsidTr="00DB330E">
        <w:tc>
          <w:tcPr>
            <w:tcW w:w="1526" w:type="dxa"/>
            <w:shd w:val="clear" w:color="auto" w:fill="auto"/>
          </w:tcPr>
          <w:p w14:paraId="52730DDF"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CEF</w:t>
            </w:r>
            <w:r w:rsidRPr="00D81C27">
              <w:rPr>
                <w:rFonts w:eastAsia="Calibri" w:cs="Calibri"/>
                <w:b/>
                <w:sz w:val="20"/>
                <w:szCs w:val="20"/>
                <w:vertAlign w:val="subscript"/>
              </w:rPr>
              <w:t xml:space="preserve">ne </w:t>
            </w:r>
          </w:p>
        </w:tc>
        <w:tc>
          <w:tcPr>
            <w:tcW w:w="7092" w:type="dxa"/>
            <w:shd w:val="clear" w:color="auto" w:fill="auto"/>
          </w:tcPr>
          <w:p w14:paraId="22E80E56"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carbon equivalent forest (newly established)</w:t>
            </w:r>
          </w:p>
        </w:tc>
      </w:tr>
      <w:tr w:rsidR="00D40AF3" w:rsidRPr="00D81C27" w14:paraId="415658DB" w14:textId="77777777" w:rsidTr="00DB330E">
        <w:tc>
          <w:tcPr>
            <w:tcW w:w="1526" w:type="dxa"/>
            <w:shd w:val="clear" w:color="auto" w:fill="auto"/>
          </w:tcPr>
          <w:p w14:paraId="708DCEFB"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CER</w:t>
            </w:r>
          </w:p>
        </w:tc>
        <w:tc>
          <w:tcPr>
            <w:tcW w:w="7092" w:type="dxa"/>
            <w:shd w:val="clear" w:color="auto" w:fill="auto"/>
          </w:tcPr>
          <w:p w14:paraId="0B4A6D78"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 xml:space="preserve">certified emission reductions </w:t>
            </w:r>
          </w:p>
        </w:tc>
      </w:tr>
      <w:tr w:rsidR="00D40AF3" w:rsidRPr="00D81C27" w14:paraId="26C6E160" w14:textId="77777777" w:rsidTr="00DB330E">
        <w:tc>
          <w:tcPr>
            <w:tcW w:w="1526" w:type="dxa"/>
            <w:shd w:val="clear" w:color="auto" w:fill="auto"/>
          </w:tcPr>
          <w:p w14:paraId="289B8F3E" w14:textId="77777777" w:rsidR="00D40AF3" w:rsidRPr="00D81C27" w:rsidRDefault="00D40AF3" w:rsidP="00D81C27">
            <w:pPr>
              <w:pStyle w:val="BodyText"/>
              <w:spacing w:before="100" w:after="0"/>
              <w:rPr>
                <w:rFonts w:eastAsia="Calibri" w:cs="Calibri"/>
                <w:b/>
                <w:sz w:val="20"/>
                <w:szCs w:val="20"/>
              </w:rPr>
            </w:pPr>
            <w:r w:rsidRPr="00D81C27">
              <w:rPr>
                <w:rFonts w:cs="Calibri"/>
                <w:b/>
                <w:sz w:val="20"/>
                <w:szCs w:val="20"/>
              </w:rPr>
              <w:t>CFC</w:t>
            </w:r>
          </w:p>
        </w:tc>
        <w:tc>
          <w:tcPr>
            <w:tcW w:w="7092" w:type="dxa"/>
            <w:shd w:val="clear" w:color="auto" w:fill="auto"/>
          </w:tcPr>
          <w:p w14:paraId="72D31483" w14:textId="77777777" w:rsidR="00D40AF3" w:rsidRPr="00D81C27" w:rsidRDefault="00D40AF3" w:rsidP="00D81C27">
            <w:pPr>
              <w:pStyle w:val="BodyText"/>
              <w:spacing w:before="100" w:after="0"/>
              <w:rPr>
                <w:rFonts w:eastAsia="Calibri" w:cs="Calibri"/>
                <w:sz w:val="20"/>
                <w:szCs w:val="20"/>
              </w:rPr>
            </w:pPr>
            <w:r w:rsidRPr="00D81C27">
              <w:rPr>
                <w:rFonts w:cs="Calibri"/>
                <w:sz w:val="20"/>
                <w:szCs w:val="20"/>
              </w:rPr>
              <w:t>chlorofluorocarbon</w:t>
            </w:r>
          </w:p>
        </w:tc>
      </w:tr>
      <w:tr w:rsidR="00D40AF3" w:rsidRPr="00D81C27" w14:paraId="2350D49B" w14:textId="77777777" w:rsidTr="00DB330E">
        <w:tc>
          <w:tcPr>
            <w:tcW w:w="1526" w:type="dxa"/>
            <w:shd w:val="clear" w:color="auto" w:fill="auto"/>
          </w:tcPr>
          <w:p w14:paraId="36C0D60D"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CH</w:t>
            </w:r>
            <w:r w:rsidRPr="00D81C27">
              <w:rPr>
                <w:rFonts w:eastAsia="Calibri" w:cs="Calibri"/>
                <w:b/>
                <w:sz w:val="20"/>
                <w:szCs w:val="20"/>
                <w:vertAlign w:val="subscript"/>
              </w:rPr>
              <w:t>4</w:t>
            </w:r>
          </w:p>
        </w:tc>
        <w:tc>
          <w:tcPr>
            <w:tcW w:w="7092" w:type="dxa"/>
            <w:shd w:val="clear" w:color="auto" w:fill="auto"/>
          </w:tcPr>
          <w:p w14:paraId="1EE070B7"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methane</w:t>
            </w:r>
          </w:p>
        </w:tc>
      </w:tr>
      <w:tr w:rsidR="00D40AF3" w:rsidRPr="00D81C27" w14:paraId="58A32008" w14:textId="77777777" w:rsidTr="00DB330E">
        <w:tc>
          <w:tcPr>
            <w:tcW w:w="1526" w:type="dxa"/>
            <w:shd w:val="clear" w:color="auto" w:fill="auto"/>
          </w:tcPr>
          <w:p w14:paraId="6EF8F3A8"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 xml:space="preserve">CMP </w:t>
            </w:r>
          </w:p>
        </w:tc>
        <w:tc>
          <w:tcPr>
            <w:tcW w:w="7092" w:type="dxa"/>
            <w:shd w:val="clear" w:color="auto" w:fill="auto"/>
          </w:tcPr>
          <w:p w14:paraId="5FA85A75"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Conference of the Parties serving as the Meeting of the Parties to the Kyoto Protocol</w:t>
            </w:r>
          </w:p>
        </w:tc>
      </w:tr>
      <w:tr w:rsidR="00D40AF3" w:rsidRPr="00D81C27" w14:paraId="604A40F3" w14:textId="77777777" w:rsidTr="00DB330E">
        <w:tc>
          <w:tcPr>
            <w:tcW w:w="1526" w:type="dxa"/>
            <w:shd w:val="clear" w:color="auto" w:fill="auto"/>
          </w:tcPr>
          <w:p w14:paraId="0510B178" w14:textId="77777777" w:rsidR="00D40AF3" w:rsidRPr="00D81C27" w:rsidRDefault="00D40AF3" w:rsidP="00D81C27">
            <w:pPr>
              <w:pStyle w:val="BodyText"/>
              <w:spacing w:before="100" w:after="0"/>
              <w:rPr>
                <w:rFonts w:eastAsia="Calibri" w:cs="Calibri"/>
                <w:b/>
                <w:sz w:val="20"/>
                <w:szCs w:val="20"/>
              </w:rPr>
            </w:pPr>
            <w:r w:rsidRPr="00D81C27">
              <w:rPr>
                <w:rFonts w:cs="Calibri"/>
                <w:b/>
                <w:sz w:val="20"/>
                <w:szCs w:val="20"/>
                <w:lang w:eastAsia="en-GB"/>
              </w:rPr>
              <w:t>CNG</w:t>
            </w:r>
          </w:p>
        </w:tc>
        <w:tc>
          <w:tcPr>
            <w:tcW w:w="7092" w:type="dxa"/>
            <w:shd w:val="clear" w:color="auto" w:fill="auto"/>
          </w:tcPr>
          <w:p w14:paraId="6C7504E9" w14:textId="77777777" w:rsidR="00D40AF3" w:rsidRPr="00D81C27" w:rsidRDefault="00D40AF3" w:rsidP="00D81C27">
            <w:pPr>
              <w:pStyle w:val="BodyText"/>
              <w:spacing w:before="100" w:after="0"/>
              <w:rPr>
                <w:rFonts w:eastAsia="Calibri" w:cs="Calibri"/>
                <w:sz w:val="20"/>
                <w:szCs w:val="20"/>
              </w:rPr>
            </w:pPr>
            <w:r w:rsidRPr="00D81C27">
              <w:rPr>
                <w:rFonts w:cs="Calibri"/>
                <w:sz w:val="20"/>
                <w:szCs w:val="20"/>
                <w:lang w:eastAsia="en-GB"/>
              </w:rPr>
              <w:t>compressed natural gas</w:t>
            </w:r>
          </w:p>
        </w:tc>
      </w:tr>
      <w:tr w:rsidR="00D40AF3" w:rsidRPr="00D81C27" w14:paraId="06A49CF0" w14:textId="77777777" w:rsidTr="00DB330E">
        <w:tc>
          <w:tcPr>
            <w:tcW w:w="1526" w:type="dxa"/>
            <w:shd w:val="clear" w:color="auto" w:fill="auto"/>
          </w:tcPr>
          <w:p w14:paraId="1BAA901C"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 xml:space="preserve">CO </w:t>
            </w:r>
          </w:p>
        </w:tc>
        <w:tc>
          <w:tcPr>
            <w:tcW w:w="7092" w:type="dxa"/>
            <w:shd w:val="clear" w:color="auto" w:fill="auto"/>
          </w:tcPr>
          <w:p w14:paraId="79672FE0"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carbon monoxide</w:t>
            </w:r>
          </w:p>
        </w:tc>
      </w:tr>
      <w:tr w:rsidR="00D40AF3" w:rsidRPr="00D81C27" w14:paraId="4BD287B3" w14:textId="77777777" w:rsidTr="00DB330E">
        <w:tc>
          <w:tcPr>
            <w:tcW w:w="1526" w:type="dxa"/>
            <w:shd w:val="clear" w:color="auto" w:fill="auto"/>
          </w:tcPr>
          <w:p w14:paraId="742560B3"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COD</w:t>
            </w:r>
          </w:p>
        </w:tc>
        <w:tc>
          <w:tcPr>
            <w:tcW w:w="7092" w:type="dxa"/>
            <w:shd w:val="clear" w:color="auto" w:fill="auto"/>
          </w:tcPr>
          <w:p w14:paraId="58FBB819"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chemical oxygen demand</w:t>
            </w:r>
          </w:p>
        </w:tc>
      </w:tr>
      <w:tr w:rsidR="00D40AF3" w:rsidRPr="00D81C27" w14:paraId="46A50DDA" w14:textId="77777777" w:rsidTr="00DB330E">
        <w:tc>
          <w:tcPr>
            <w:tcW w:w="1526" w:type="dxa"/>
            <w:shd w:val="clear" w:color="auto" w:fill="auto"/>
          </w:tcPr>
          <w:p w14:paraId="66ACB817"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COP</w:t>
            </w:r>
          </w:p>
        </w:tc>
        <w:tc>
          <w:tcPr>
            <w:tcW w:w="7092" w:type="dxa"/>
            <w:shd w:val="clear" w:color="auto" w:fill="auto"/>
          </w:tcPr>
          <w:p w14:paraId="0B1F30F0" w14:textId="77777777" w:rsidR="00D40AF3" w:rsidRPr="00D81C27" w:rsidRDefault="00D40AF3" w:rsidP="00D81C27">
            <w:pPr>
              <w:pStyle w:val="BodyText"/>
              <w:spacing w:before="100" w:after="0"/>
              <w:rPr>
                <w:rFonts w:eastAsia="Calibri" w:cs="Calibri"/>
                <w:sz w:val="20"/>
                <w:szCs w:val="20"/>
              </w:rPr>
            </w:pPr>
            <w:r w:rsidRPr="00D81C27">
              <w:rPr>
                <w:rFonts w:cs="Calibri"/>
                <w:sz w:val="20"/>
                <w:szCs w:val="20"/>
              </w:rPr>
              <w:t>Conference of the Parties</w:t>
            </w:r>
          </w:p>
        </w:tc>
      </w:tr>
      <w:tr w:rsidR="00D40AF3" w:rsidRPr="00D81C27" w14:paraId="725FFE3F" w14:textId="77777777" w:rsidTr="00DB330E">
        <w:tc>
          <w:tcPr>
            <w:tcW w:w="1526" w:type="dxa"/>
            <w:shd w:val="clear" w:color="auto" w:fill="auto"/>
          </w:tcPr>
          <w:p w14:paraId="4511338B"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CO</w:t>
            </w:r>
            <w:r w:rsidRPr="00D81C27">
              <w:rPr>
                <w:rFonts w:eastAsia="Calibri" w:cs="Calibri"/>
                <w:b/>
                <w:sz w:val="20"/>
                <w:szCs w:val="20"/>
                <w:vertAlign w:val="subscript"/>
              </w:rPr>
              <w:t>2</w:t>
            </w:r>
            <w:r w:rsidRPr="00D81C27">
              <w:rPr>
                <w:rFonts w:eastAsia="Calibri" w:cs="Calibri"/>
                <w:b/>
                <w:sz w:val="20"/>
                <w:szCs w:val="20"/>
              </w:rPr>
              <w:t xml:space="preserve"> </w:t>
            </w:r>
          </w:p>
        </w:tc>
        <w:tc>
          <w:tcPr>
            <w:tcW w:w="7092" w:type="dxa"/>
            <w:shd w:val="clear" w:color="auto" w:fill="auto"/>
          </w:tcPr>
          <w:p w14:paraId="3FF3430C"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carbon dioxide</w:t>
            </w:r>
          </w:p>
        </w:tc>
      </w:tr>
      <w:tr w:rsidR="00D40AF3" w:rsidRPr="00D81C27" w14:paraId="5312686F" w14:textId="77777777" w:rsidTr="00DB330E">
        <w:tc>
          <w:tcPr>
            <w:tcW w:w="1526" w:type="dxa"/>
            <w:shd w:val="clear" w:color="auto" w:fill="auto"/>
          </w:tcPr>
          <w:p w14:paraId="67A99D63"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CO</w:t>
            </w:r>
            <w:r w:rsidRPr="00D81C27">
              <w:rPr>
                <w:rFonts w:eastAsia="Calibri" w:cs="Calibri"/>
                <w:b/>
                <w:sz w:val="20"/>
                <w:szCs w:val="20"/>
                <w:vertAlign w:val="subscript"/>
              </w:rPr>
              <w:t>2</w:t>
            </w:r>
            <w:r w:rsidRPr="00D81C27">
              <w:rPr>
                <w:rFonts w:eastAsia="Calibri" w:cs="Calibri"/>
                <w:b/>
                <w:sz w:val="20"/>
                <w:szCs w:val="20"/>
              </w:rPr>
              <w:t>-e</w:t>
            </w:r>
          </w:p>
        </w:tc>
        <w:tc>
          <w:tcPr>
            <w:tcW w:w="7092" w:type="dxa"/>
            <w:shd w:val="clear" w:color="auto" w:fill="auto"/>
          </w:tcPr>
          <w:p w14:paraId="7107CB62"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carbon dioxide equivalent</w:t>
            </w:r>
          </w:p>
        </w:tc>
      </w:tr>
      <w:tr w:rsidR="00D40AF3" w:rsidRPr="00D81C27" w14:paraId="1C1A882C" w14:textId="77777777" w:rsidTr="00DB330E">
        <w:tc>
          <w:tcPr>
            <w:tcW w:w="1526" w:type="dxa"/>
            <w:shd w:val="clear" w:color="auto" w:fill="auto"/>
          </w:tcPr>
          <w:p w14:paraId="043D51A8"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CP1</w:t>
            </w:r>
          </w:p>
        </w:tc>
        <w:tc>
          <w:tcPr>
            <w:tcW w:w="7092" w:type="dxa"/>
            <w:shd w:val="clear" w:color="auto" w:fill="auto"/>
          </w:tcPr>
          <w:p w14:paraId="3F7239A7"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first commitment period under the Kyoto Protocol</w:t>
            </w:r>
          </w:p>
        </w:tc>
      </w:tr>
      <w:tr w:rsidR="00D40AF3" w:rsidRPr="00D81C27" w14:paraId="2E95F30C" w14:textId="77777777" w:rsidTr="00DB330E">
        <w:tc>
          <w:tcPr>
            <w:tcW w:w="1526" w:type="dxa"/>
            <w:shd w:val="clear" w:color="auto" w:fill="auto"/>
          </w:tcPr>
          <w:p w14:paraId="40E6C4EB"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CP2</w:t>
            </w:r>
          </w:p>
        </w:tc>
        <w:tc>
          <w:tcPr>
            <w:tcW w:w="7092" w:type="dxa"/>
            <w:shd w:val="clear" w:color="auto" w:fill="auto"/>
          </w:tcPr>
          <w:p w14:paraId="701D4967"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second commitment period under the Kyoto Protocol</w:t>
            </w:r>
          </w:p>
        </w:tc>
      </w:tr>
      <w:tr w:rsidR="00D40AF3" w:rsidRPr="00D81C27" w14:paraId="108E7A3B" w14:textId="77777777" w:rsidTr="00DB330E">
        <w:tc>
          <w:tcPr>
            <w:tcW w:w="1526" w:type="dxa"/>
            <w:shd w:val="clear" w:color="auto" w:fill="auto"/>
          </w:tcPr>
          <w:p w14:paraId="4999EC4D"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CRA</w:t>
            </w:r>
          </w:p>
        </w:tc>
        <w:tc>
          <w:tcPr>
            <w:tcW w:w="7092" w:type="dxa"/>
            <w:shd w:val="clear" w:color="auto" w:fill="auto"/>
          </w:tcPr>
          <w:p w14:paraId="310B10C1"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Calculation and Reporting Application</w:t>
            </w:r>
          </w:p>
        </w:tc>
      </w:tr>
      <w:tr w:rsidR="00D40AF3" w:rsidRPr="00D81C27" w14:paraId="51ECDE57" w14:textId="77777777" w:rsidTr="00DB330E">
        <w:tc>
          <w:tcPr>
            <w:tcW w:w="1526" w:type="dxa"/>
            <w:shd w:val="clear" w:color="auto" w:fill="auto"/>
          </w:tcPr>
          <w:p w14:paraId="44F3F32A"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 xml:space="preserve">CRF </w:t>
            </w:r>
          </w:p>
        </w:tc>
        <w:tc>
          <w:tcPr>
            <w:tcW w:w="7092" w:type="dxa"/>
            <w:shd w:val="clear" w:color="auto" w:fill="auto"/>
          </w:tcPr>
          <w:p w14:paraId="5DC461E8"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common reporting format</w:t>
            </w:r>
          </w:p>
        </w:tc>
      </w:tr>
      <w:tr w:rsidR="00D40AF3" w:rsidRPr="00D81C27" w14:paraId="175C33ED" w14:textId="77777777" w:rsidTr="00DB330E">
        <w:tc>
          <w:tcPr>
            <w:tcW w:w="1526" w:type="dxa"/>
            <w:shd w:val="clear" w:color="auto" w:fill="auto"/>
          </w:tcPr>
          <w:p w14:paraId="071AA060"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DAP</w:t>
            </w:r>
          </w:p>
        </w:tc>
        <w:tc>
          <w:tcPr>
            <w:tcW w:w="7092" w:type="dxa"/>
            <w:shd w:val="clear" w:color="auto" w:fill="auto"/>
          </w:tcPr>
          <w:p w14:paraId="23874484" w14:textId="77777777" w:rsidR="00D40AF3" w:rsidRPr="00D81C27" w:rsidRDefault="00D40AF3" w:rsidP="00D81C27">
            <w:pPr>
              <w:pStyle w:val="BodyText"/>
              <w:spacing w:before="100" w:after="0"/>
              <w:rPr>
                <w:rFonts w:eastAsia="Calibri" w:cs="Calibri"/>
                <w:sz w:val="20"/>
                <w:szCs w:val="20"/>
              </w:rPr>
            </w:pPr>
            <w:r w:rsidRPr="00D81C27">
              <w:rPr>
                <w:rFonts w:cs="Calibri"/>
                <w:sz w:val="20"/>
                <w:szCs w:val="20"/>
              </w:rPr>
              <w:t>diammonium phosphate</w:t>
            </w:r>
          </w:p>
        </w:tc>
      </w:tr>
      <w:tr w:rsidR="00D40AF3" w:rsidRPr="00D81C27" w14:paraId="5594E4EA" w14:textId="77777777" w:rsidTr="00DB330E">
        <w:tc>
          <w:tcPr>
            <w:tcW w:w="1526" w:type="dxa"/>
            <w:shd w:val="clear" w:color="auto" w:fill="auto"/>
          </w:tcPr>
          <w:p w14:paraId="4740D8E0"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DCD</w:t>
            </w:r>
          </w:p>
        </w:tc>
        <w:tc>
          <w:tcPr>
            <w:tcW w:w="7092" w:type="dxa"/>
            <w:shd w:val="clear" w:color="auto" w:fill="auto"/>
          </w:tcPr>
          <w:p w14:paraId="1DCCD1AF"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dicyandiamide</w:t>
            </w:r>
          </w:p>
        </w:tc>
      </w:tr>
      <w:tr w:rsidR="00D40AF3" w:rsidRPr="00D81C27" w14:paraId="7F601340" w14:textId="77777777" w:rsidTr="00DB330E">
        <w:tc>
          <w:tcPr>
            <w:tcW w:w="1526" w:type="dxa"/>
            <w:shd w:val="clear" w:color="auto" w:fill="auto"/>
          </w:tcPr>
          <w:p w14:paraId="4C1EC3A4"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lastRenderedPageBreak/>
              <w:t>DEF</w:t>
            </w:r>
          </w:p>
        </w:tc>
        <w:tc>
          <w:tcPr>
            <w:tcW w:w="7092" w:type="dxa"/>
            <w:shd w:val="clear" w:color="auto" w:fill="auto"/>
          </w:tcPr>
          <w:p w14:paraId="5344543A"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default emissions factor</w:t>
            </w:r>
          </w:p>
        </w:tc>
      </w:tr>
      <w:tr w:rsidR="00D40AF3" w:rsidRPr="00D81C27" w14:paraId="5408B9E9" w14:textId="77777777" w:rsidTr="00DB330E">
        <w:tc>
          <w:tcPr>
            <w:tcW w:w="1526" w:type="dxa"/>
            <w:shd w:val="clear" w:color="auto" w:fill="auto"/>
          </w:tcPr>
          <w:p w14:paraId="23CF8AD1"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DEF</w:t>
            </w:r>
          </w:p>
        </w:tc>
        <w:tc>
          <w:tcPr>
            <w:tcW w:w="7092" w:type="dxa"/>
            <w:shd w:val="clear" w:color="auto" w:fill="auto"/>
          </w:tcPr>
          <w:p w14:paraId="6C0D4479"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diesel exhaust fluid</w:t>
            </w:r>
          </w:p>
        </w:tc>
      </w:tr>
      <w:tr w:rsidR="00D40AF3" w:rsidRPr="00D81C27" w14:paraId="529F29E3" w14:textId="77777777" w:rsidTr="00DB330E">
        <w:tc>
          <w:tcPr>
            <w:tcW w:w="1526" w:type="dxa"/>
            <w:shd w:val="clear" w:color="auto" w:fill="auto"/>
          </w:tcPr>
          <w:p w14:paraId="6DD10578"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DM</w:t>
            </w:r>
          </w:p>
        </w:tc>
        <w:tc>
          <w:tcPr>
            <w:tcW w:w="7092" w:type="dxa"/>
            <w:shd w:val="clear" w:color="auto" w:fill="auto"/>
          </w:tcPr>
          <w:p w14:paraId="06CBC708"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dry matter</w:t>
            </w:r>
          </w:p>
        </w:tc>
      </w:tr>
      <w:tr w:rsidR="00D40AF3" w:rsidRPr="00D81C27" w14:paraId="53D46E3D" w14:textId="77777777" w:rsidTr="00DB330E">
        <w:tc>
          <w:tcPr>
            <w:tcW w:w="1526" w:type="dxa"/>
            <w:shd w:val="clear" w:color="auto" w:fill="auto"/>
          </w:tcPr>
          <w:p w14:paraId="3F16DB35"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DMD</w:t>
            </w:r>
          </w:p>
        </w:tc>
        <w:tc>
          <w:tcPr>
            <w:tcW w:w="7092" w:type="dxa"/>
            <w:shd w:val="clear" w:color="auto" w:fill="auto"/>
          </w:tcPr>
          <w:p w14:paraId="6AE44FC0"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dry-matter digestibility</w:t>
            </w:r>
          </w:p>
        </w:tc>
      </w:tr>
      <w:tr w:rsidR="00D40AF3" w:rsidRPr="00D81C27" w14:paraId="414D6B5F" w14:textId="77777777" w:rsidTr="00DB330E">
        <w:tc>
          <w:tcPr>
            <w:tcW w:w="1526" w:type="dxa"/>
            <w:shd w:val="clear" w:color="auto" w:fill="auto"/>
          </w:tcPr>
          <w:p w14:paraId="1795ECCF"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DMI</w:t>
            </w:r>
          </w:p>
        </w:tc>
        <w:tc>
          <w:tcPr>
            <w:tcW w:w="7092" w:type="dxa"/>
            <w:shd w:val="clear" w:color="auto" w:fill="auto"/>
          </w:tcPr>
          <w:p w14:paraId="6DAA8216"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dry-matter intake</w:t>
            </w:r>
          </w:p>
        </w:tc>
      </w:tr>
      <w:tr w:rsidR="00D40AF3" w:rsidRPr="00D81C27" w14:paraId="724C2BE0" w14:textId="77777777" w:rsidTr="00DB330E">
        <w:tc>
          <w:tcPr>
            <w:tcW w:w="1526" w:type="dxa"/>
            <w:shd w:val="clear" w:color="auto" w:fill="auto"/>
          </w:tcPr>
          <w:p w14:paraId="521CEC35" w14:textId="77777777" w:rsidR="00D40AF3" w:rsidRPr="00D81C27" w:rsidRDefault="00D40AF3" w:rsidP="00D81C27">
            <w:pPr>
              <w:pStyle w:val="BodyText"/>
              <w:spacing w:before="100" w:after="0"/>
              <w:rPr>
                <w:rFonts w:eastAsia="Calibri" w:cs="Calibri"/>
                <w:b/>
                <w:sz w:val="20"/>
                <w:szCs w:val="20"/>
              </w:rPr>
            </w:pPr>
            <w:r w:rsidRPr="00D81C27">
              <w:rPr>
                <w:rFonts w:cs="Calibri"/>
                <w:b/>
                <w:sz w:val="20"/>
                <w:szCs w:val="20"/>
              </w:rPr>
              <w:t>DOC</w:t>
            </w:r>
          </w:p>
        </w:tc>
        <w:tc>
          <w:tcPr>
            <w:tcW w:w="7092" w:type="dxa"/>
            <w:shd w:val="clear" w:color="auto" w:fill="auto"/>
          </w:tcPr>
          <w:p w14:paraId="3A9E9F25" w14:textId="77777777" w:rsidR="00D40AF3" w:rsidRPr="00D81C27" w:rsidRDefault="00D40AF3" w:rsidP="00D81C27">
            <w:pPr>
              <w:pStyle w:val="BodyText"/>
              <w:spacing w:before="100" w:after="0"/>
              <w:rPr>
                <w:rFonts w:eastAsia="Calibri" w:cs="Calibri"/>
                <w:sz w:val="20"/>
                <w:szCs w:val="20"/>
              </w:rPr>
            </w:pPr>
            <w:r w:rsidRPr="00D81C27">
              <w:rPr>
                <w:rFonts w:cs="Calibri"/>
                <w:sz w:val="20"/>
                <w:szCs w:val="20"/>
              </w:rPr>
              <w:t>degradable organic carbon</w:t>
            </w:r>
          </w:p>
        </w:tc>
      </w:tr>
      <w:tr w:rsidR="00D40AF3" w:rsidRPr="00D81C27" w14:paraId="42CF0E8E" w14:textId="77777777" w:rsidTr="00DB330E">
        <w:tc>
          <w:tcPr>
            <w:tcW w:w="1526" w:type="dxa"/>
            <w:shd w:val="clear" w:color="auto" w:fill="auto"/>
          </w:tcPr>
          <w:p w14:paraId="6F3C1D9E"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DPFI</w:t>
            </w:r>
          </w:p>
        </w:tc>
        <w:tc>
          <w:tcPr>
            <w:tcW w:w="7092" w:type="dxa"/>
            <w:shd w:val="clear" w:color="auto" w:fill="auto"/>
          </w:tcPr>
          <w:p w14:paraId="7049304E"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 xml:space="preserve">Delivery of Petroleum Fuels by Industry </w:t>
            </w:r>
          </w:p>
        </w:tc>
      </w:tr>
      <w:tr w:rsidR="00D40AF3" w:rsidRPr="00D81C27" w14:paraId="161DE786" w14:textId="77777777" w:rsidTr="00DB330E">
        <w:tc>
          <w:tcPr>
            <w:tcW w:w="1526" w:type="dxa"/>
            <w:shd w:val="clear" w:color="auto" w:fill="auto"/>
          </w:tcPr>
          <w:p w14:paraId="1C6E3EEC"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EEZ</w:t>
            </w:r>
          </w:p>
        </w:tc>
        <w:tc>
          <w:tcPr>
            <w:tcW w:w="7092" w:type="dxa"/>
            <w:shd w:val="clear" w:color="auto" w:fill="auto"/>
          </w:tcPr>
          <w:p w14:paraId="4C709556"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Exclusive Economic Zone</w:t>
            </w:r>
          </w:p>
        </w:tc>
      </w:tr>
      <w:tr w:rsidR="00D40AF3" w:rsidRPr="00D81C27" w14:paraId="4121738F" w14:textId="77777777" w:rsidTr="00DB330E">
        <w:tc>
          <w:tcPr>
            <w:tcW w:w="1526" w:type="dxa"/>
            <w:shd w:val="clear" w:color="auto" w:fill="auto"/>
          </w:tcPr>
          <w:p w14:paraId="1447CD02"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 xml:space="preserve">EF </w:t>
            </w:r>
          </w:p>
        </w:tc>
        <w:tc>
          <w:tcPr>
            <w:tcW w:w="7092" w:type="dxa"/>
            <w:shd w:val="clear" w:color="auto" w:fill="auto"/>
          </w:tcPr>
          <w:p w14:paraId="21908A96"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emission factor</w:t>
            </w:r>
          </w:p>
        </w:tc>
      </w:tr>
      <w:tr w:rsidR="00D40AF3" w:rsidRPr="00D81C27" w14:paraId="4A4E5BC2" w14:textId="77777777" w:rsidTr="00DB330E">
        <w:tc>
          <w:tcPr>
            <w:tcW w:w="1526" w:type="dxa"/>
            <w:shd w:val="clear" w:color="auto" w:fill="auto"/>
          </w:tcPr>
          <w:p w14:paraId="3B5B1156"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EF</w:t>
            </w:r>
            <w:r w:rsidRPr="00D81C27">
              <w:rPr>
                <w:rFonts w:eastAsia="Calibri" w:cs="Calibri"/>
                <w:b/>
                <w:sz w:val="20"/>
                <w:szCs w:val="20"/>
                <w:vertAlign w:val="subscript"/>
              </w:rPr>
              <w:t>3</w:t>
            </w:r>
          </w:p>
        </w:tc>
        <w:tc>
          <w:tcPr>
            <w:tcW w:w="7092" w:type="dxa"/>
            <w:shd w:val="clear" w:color="auto" w:fill="auto"/>
          </w:tcPr>
          <w:p w14:paraId="2FB4E8A9" w14:textId="668ED22B" w:rsidR="00D40AF3" w:rsidRPr="00E25503" w:rsidRDefault="00054EC9" w:rsidP="00054EC9">
            <w:pPr>
              <w:pStyle w:val="BodyText"/>
              <w:spacing w:before="100" w:after="0"/>
              <w:rPr>
                <w:rFonts w:eastAsia="Calibri" w:cs="Calibri"/>
                <w:sz w:val="20"/>
                <w:szCs w:val="20"/>
              </w:rPr>
            </w:pPr>
            <w:r w:rsidRPr="00E25503">
              <w:rPr>
                <w:sz w:val="20"/>
                <w:szCs w:val="20"/>
              </w:rPr>
              <w:t>emission factor for N</w:t>
            </w:r>
            <w:r w:rsidRPr="00E25503">
              <w:rPr>
                <w:sz w:val="20"/>
                <w:szCs w:val="20"/>
                <w:vertAlign w:val="subscript"/>
              </w:rPr>
              <w:t>2</w:t>
            </w:r>
            <w:r w:rsidRPr="00E25503">
              <w:rPr>
                <w:sz w:val="20"/>
                <w:szCs w:val="20"/>
              </w:rPr>
              <w:t>O emissions from urine and dung nitrogen</w:t>
            </w:r>
          </w:p>
        </w:tc>
      </w:tr>
      <w:tr w:rsidR="00D40AF3" w:rsidRPr="00D81C27" w14:paraId="2465E0D5" w14:textId="77777777" w:rsidTr="00DB330E">
        <w:tc>
          <w:tcPr>
            <w:tcW w:w="1526" w:type="dxa"/>
            <w:shd w:val="clear" w:color="auto" w:fill="auto"/>
          </w:tcPr>
          <w:p w14:paraId="3B22FC71" w14:textId="77777777" w:rsidR="00D40AF3" w:rsidRPr="00D81C27" w:rsidRDefault="00D40AF3" w:rsidP="00D81C27">
            <w:pPr>
              <w:pStyle w:val="BodyText"/>
              <w:spacing w:before="100" w:after="0"/>
              <w:rPr>
                <w:rFonts w:eastAsia="Calibri" w:cs="Calibri"/>
                <w:b/>
                <w:bCs/>
                <w:sz w:val="20"/>
                <w:szCs w:val="20"/>
              </w:rPr>
            </w:pPr>
            <w:r w:rsidRPr="00D81C27">
              <w:rPr>
                <w:rFonts w:cs="Calibri"/>
                <w:b/>
                <w:bCs/>
                <w:sz w:val="20"/>
                <w:szCs w:val="20"/>
              </w:rPr>
              <w:t>EF</w:t>
            </w:r>
            <w:r w:rsidRPr="00D81C27">
              <w:rPr>
                <w:rFonts w:cs="Calibri"/>
                <w:b/>
                <w:bCs/>
                <w:sz w:val="20"/>
                <w:szCs w:val="20"/>
                <w:vertAlign w:val="subscript"/>
              </w:rPr>
              <w:t>3,PRP</w:t>
            </w:r>
          </w:p>
        </w:tc>
        <w:tc>
          <w:tcPr>
            <w:tcW w:w="7092" w:type="dxa"/>
            <w:shd w:val="clear" w:color="auto" w:fill="auto"/>
          </w:tcPr>
          <w:p w14:paraId="483B4228" w14:textId="4DC8E244" w:rsidR="00D40AF3" w:rsidRPr="00E25503" w:rsidRDefault="00EF3F0D" w:rsidP="00D81C27">
            <w:pPr>
              <w:pStyle w:val="BodyText"/>
              <w:spacing w:before="100" w:after="0"/>
              <w:rPr>
                <w:rFonts w:eastAsia="Calibri" w:cs="Calibri"/>
                <w:sz w:val="20"/>
                <w:szCs w:val="20"/>
              </w:rPr>
            </w:pPr>
            <w:r w:rsidRPr="00E25503">
              <w:rPr>
                <w:sz w:val="20"/>
                <w:szCs w:val="20"/>
              </w:rPr>
              <w:t>emission factor for N</w:t>
            </w:r>
            <w:r w:rsidRPr="00E25503">
              <w:rPr>
                <w:sz w:val="20"/>
                <w:szCs w:val="20"/>
                <w:vertAlign w:val="subscript"/>
              </w:rPr>
              <w:t>2</w:t>
            </w:r>
            <w:r w:rsidRPr="00E25503">
              <w:rPr>
                <w:sz w:val="20"/>
                <w:szCs w:val="20"/>
              </w:rPr>
              <w:t>O emissions from urine and dung nitrogen deposited on pasture, range and paddock by grazing animals</w:t>
            </w:r>
          </w:p>
        </w:tc>
      </w:tr>
      <w:tr w:rsidR="00D40AF3" w:rsidRPr="00D81C27" w14:paraId="6D5A06BD" w14:textId="77777777" w:rsidTr="00DB330E">
        <w:tc>
          <w:tcPr>
            <w:tcW w:w="1526" w:type="dxa"/>
            <w:shd w:val="clear" w:color="auto" w:fill="auto"/>
          </w:tcPr>
          <w:p w14:paraId="736F1F39"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EPA</w:t>
            </w:r>
          </w:p>
        </w:tc>
        <w:tc>
          <w:tcPr>
            <w:tcW w:w="7092" w:type="dxa"/>
            <w:shd w:val="clear" w:color="auto" w:fill="auto"/>
          </w:tcPr>
          <w:p w14:paraId="090DB15E"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Environmental Protection Authority</w:t>
            </w:r>
          </w:p>
        </w:tc>
      </w:tr>
      <w:tr w:rsidR="00D40AF3" w:rsidRPr="00D81C27" w14:paraId="4550017B" w14:textId="77777777" w:rsidTr="00DB330E">
        <w:tc>
          <w:tcPr>
            <w:tcW w:w="1526" w:type="dxa"/>
            <w:shd w:val="clear" w:color="auto" w:fill="auto"/>
          </w:tcPr>
          <w:p w14:paraId="31C16537"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 xml:space="preserve">ERT </w:t>
            </w:r>
          </w:p>
        </w:tc>
        <w:tc>
          <w:tcPr>
            <w:tcW w:w="7092" w:type="dxa"/>
            <w:shd w:val="clear" w:color="auto" w:fill="auto"/>
          </w:tcPr>
          <w:p w14:paraId="6354BFD4"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expert review team</w:t>
            </w:r>
          </w:p>
        </w:tc>
      </w:tr>
      <w:tr w:rsidR="00D40AF3" w:rsidRPr="00D81C27" w14:paraId="6D33CBDC" w14:textId="77777777" w:rsidTr="00DB330E">
        <w:tc>
          <w:tcPr>
            <w:tcW w:w="1526" w:type="dxa"/>
            <w:shd w:val="clear" w:color="auto" w:fill="auto"/>
          </w:tcPr>
          <w:p w14:paraId="2955A0E1"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ERU</w:t>
            </w:r>
          </w:p>
        </w:tc>
        <w:tc>
          <w:tcPr>
            <w:tcW w:w="7092" w:type="dxa"/>
            <w:shd w:val="clear" w:color="auto" w:fill="auto"/>
          </w:tcPr>
          <w:p w14:paraId="55099F5E"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emission reduction unit</w:t>
            </w:r>
          </w:p>
        </w:tc>
      </w:tr>
      <w:tr w:rsidR="00D40AF3" w:rsidRPr="00D81C27" w14:paraId="058A25AE" w14:textId="77777777" w:rsidTr="00DB330E">
        <w:tc>
          <w:tcPr>
            <w:tcW w:w="1526" w:type="dxa"/>
            <w:shd w:val="clear" w:color="auto" w:fill="auto"/>
          </w:tcPr>
          <w:p w14:paraId="7720BAA5"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ETS</w:t>
            </w:r>
          </w:p>
        </w:tc>
        <w:tc>
          <w:tcPr>
            <w:tcW w:w="7092" w:type="dxa"/>
            <w:shd w:val="clear" w:color="auto" w:fill="auto"/>
          </w:tcPr>
          <w:p w14:paraId="3DA5325E"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Emissions Trading Scheme</w:t>
            </w:r>
          </w:p>
        </w:tc>
      </w:tr>
      <w:tr w:rsidR="00D40AF3" w:rsidRPr="00D81C27" w14:paraId="2035452D" w14:textId="77777777" w:rsidTr="00DB330E">
        <w:tc>
          <w:tcPr>
            <w:tcW w:w="1526" w:type="dxa"/>
            <w:shd w:val="clear" w:color="auto" w:fill="auto"/>
          </w:tcPr>
          <w:p w14:paraId="1FD43C69"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FAME</w:t>
            </w:r>
          </w:p>
        </w:tc>
        <w:tc>
          <w:tcPr>
            <w:tcW w:w="7092" w:type="dxa"/>
            <w:shd w:val="clear" w:color="auto" w:fill="auto"/>
          </w:tcPr>
          <w:p w14:paraId="2C1E4477"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fatty acid methyl ester</w:t>
            </w:r>
          </w:p>
        </w:tc>
      </w:tr>
      <w:tr w:rsidR="00D40AF3" w:rsidRPr="00D81C27" w14:paraId="08833A0D" w14:textId="77777777" w:rsidTr="00DB330E">
        <w:tc>
          <w:tcPr>
            <w:tcW w:w="1526" w:type="dxa"/>
            <w:shd w:val="clear" w:color="auto" w:fill="auto"/>
          </w:tcPr>
          <w:p w14:paraId="36AB8ED0"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 xml:space="preserve">FAO </w:t>
            </w:r>
          </w:p>
        </w:tc>
        <w:tc>
          <w:tcPr>
            <w:tcW w:w="7092" w:type="dxa"/>
            <w:shd w:val="clear" w:color="auto" w:fill="auto"/>
          </w:tcPr>
          <w:p w14:paraId="6E9295A1"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 xml:space="preserve">Food and Agriculture Organization </w:t>
            </w:r>
          </w:p>
        </w:tc>
      </w:tr>
      <w:tr w:rsidR="00D40AF3" w:rsidRPr="00D81C27" w14:paraId="1AD14145" w14:textId="77777777" w:rsidTr="00DB330E">
        <w:tc>
          <w:tcPr>
            <w:tcW w:w="1526" w:type="dxa"/>
            <w:shd w:val="clear" w:color="auto" w:fill="auto"/>
          </w:tcPr>
          <w:p w14:paraId="2D56C23E"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 xml:space="preserve">FAOSTAT </w:t>
            </w:r>
          </w:p>
        </w:tc>
        <w:tc>
          <w:tcPr>
            <w:tcW w:w="7092" w:type="dxa"/>
            <w:shd w:val="clear" w:color="auto" w:fill="auto"/>
          </w:tcPr>
          <w:p w14:paraId="74667CDE"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Database produced by the Statistics Division of the Food and Agriculture Organization the United Nations</w:t>
            </w:r>
          </w:p>
        </w:tc>
      </w:tr>
      <w:tr w:rsidR="00D40AF3" w:rsidRPr="00D81C27" w14:paraId="7F615F92" w14:textId="77777777" w:rsidTr="00DB330E">
        <w:tc>
          <w:tcPr>
            <w:tcW w:w="1526" w:type="dxa"/>
            <w:shd w:val="clear" w:color="auto" w:fill="auto"/>
          </w:tcPr>
          <w:p w14:paraId="68C1A7D7"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FDM</w:t>
            </w:r>
          </w:p>
        </w:tc>
        <w:tc>
          <w:tcPr>
            <w:tcW w:w="7092" w:type="dxa"/>
            <w:shd w:val="clear" w:color="auto" w:fill="auto"/>
          </w:tcPr>
          <w:p w14:paraId="6850D0A6"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faecal dry matter</w:t>
            </w:r>
          </w:p>
        </w:tc>
      </w:tr>
      <w:tr w:rsidR="00D40AF3" w:rsidRPr="00D81C27" w14:paraId="5CC13050" w14:textId="77777777" w:rsidTr="00DB330E">
        <w:tc>
          <w:tcPr>
            <w:tcW w:w="1526" w:type="dxa"/>
            <w:shd w:val="clear" w:color="auto" w:fill="auto"/>
          </w:tcPr>
          <w:p w14:paraId="559C5A20"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FENZ</w:t>
            </w:r>
          </w:p>
        </w:tc>
        <w:tc>
          <w:tcPr>
            <w:tcW w:w="7092" w:type="dxa"/>
            <w:shd w:val="clear" w:color="auto" w:fill="auto"/>
          </w:tcPr>
          <w:p w14:paraId="6A3A61A7" w14:textId="77777777" w:rsidR="00D40AF3" w:rsidRPr="00D81C27" w:rsidRDefault="00D40AF3" w:rsidP="00D81C27">
            <w:pPr>
              <w:pStyle w:val="BodyText"/>
              <w:spacing w:before="100" w:after="0"/>
              <w:rPr>
                <w:rFonts w:eastAsia="Calibri" w:cs="Calibri"/>
                <w:sz w:val="20"/>
                <w:szCs w:val="20"/>
              </w:rPr>
            </w:pPr>
            <w:r w:rsidRPr="00D81C27">
              <w:rPr>
                <w:rFonts w:cs="Calibri"/>
                <w:sz w:val="20"/>
                <w:szCs w:val="20"/>
              </w:rPr>
              <w:t>Fire and Emergency New Zealand</w:t>
            </w:r>
          </w:p>
        </w:tc>
      </w:tr>
      <w:tr w:rsidR="00D40AF3" w:rsidRPr="00D81C27" w14:paraId="2AF90209" w14:textId="77777777" w:rsidTr="00DB330E">
        <w:tc>
          <w:tcPr>
            <w:tcW w:w="1526" w:type="dxa"/>
            <w:shd w:val="clear" w:color="auto" w:fill="auto"/>
          </w:tcPr>
          <w:p w14:paraId="7A67556F"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 xml:space="preserve">FMRL </w:t>
            </w:r>
          </w:p>
        </w:tc>
        <w:tc>
          <w:tcPr>
            <w:tcW w:w="7092" w:type="dxa"/>
            <w:shd w:val="clear" w:color="auto" w:fill="auto"/>
          </w:tcPr>
          <w:p w14:paraId="69458480"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forest management reference level</w:t>
            </w:r>
          </w:p>
        </w:tc>
      </w:tr>
      <w:tr w:rsidR="00D40AF3" w:rsidRPr="00D81C27" w14:paraId="3C8AF0B6" w14:textId="77777777" w:rsidTr="00DB330E">
        <w:tc>
          <w:tcPr>
            <w:tcW w:w="1526" w:type="dxa"/>
            <w:shd w:val="clear" w:color="auto" w:fill="auto"/>
          </w:tcPr>
          <w:p w14:paraId="2DCFDD73"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FMRL</w:t>
            </w:r>
            <w:r w:rsidRPr="00D81C27">
              <w:rPr>
                <w:rFonts w:eastAsia="Calibri" w:cs="Calibri"/>
                <w:b/>
                <w:i/>
                <w:sz w:val="20"/>
                <w:szCs w:val="20"/>
                <w:vertAlign w:val="subscript"/>
              </w:rPr>
              <w:t>corr</w:t>
            </w:r>
            <w:r w:rsidRPr="00D81C27">
              <w:rPr>
                <w:rFonts w:eastAsia="Calibri" w:cs="Calibri"/>
                <w:b/>
                <w:sz w:val="20"/>
                <w:szCs w:val="20"/>
              </w:rPr>
              <w:t xml:space="preserve"> </w:t>
            </w:r>
          </w:p>
        </w:tc>
        <w:tc>
          <w:tcPr>
            <w:tcW w:w="7092" w:type="dxa"/>
            <w:shd w:val="clear" w:color="auto" w:fill="auto"/>
          </w:tcPr>
          <w:p w14:paraId="1A6F57E0"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Technically corrected forest management reference level</w:t>
            </w:r>
          </w:p>
        </w:tc>
      </w:tr>
      <w:tr w:rsidR="00D40AF3" w:rsidRPr="00D81C27" w14:paraId="2286687C" w14:textId="77777777" w:rsidTr="00DB330E">
        <w:tc>
          <w:tcPr>
            <w:tcW w:w="1526" w:type="dxa"/>
            <w:shd w:val="clear" w:color="auto" w:fill="auto"/>
          </w:tcPr>
          <w:p w14:paraId="394142C5"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FOD</w:t>
            </w:r>
          </w:p>
        </w:tc>
        <w:tc>
          <w:tcPr>
            <w:tcW w:w="7092" w:type="dxa"/>
            <w:shd w:val="clear" w:color="auto" w:fill="auto"/>
          </w:tcPr>
          <w:p w14:paraId="17AB5271"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 xml:space="preserve">First Order Decay </w:t>
            </w:r>
          </w:p>
        </w:tc>
      </w:tr>
      <w:tr w:rsidR="00D40AF3" w:rsidRPr="00D81C27" w14:paraId="1CC2E74A" w14:textId="77777777" w:rsidTr="00DB330E">
        <w:tc>
          <w:tcPr>
            <w:tcW w:w="1526" w:type="dxa"/>
            <w:shd w:val="clear" w:color="auto" w:fill="auto"/>
          </w:tcPr>
          <w:p w14:paraId="19630FB3"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 xml:space="preserve">FOLPI </w:t>
            </w:r>
          </w:p>
        </w:tc>
        <w:tc>
          <w:tcPr>
            <w:tcW w:w="7092" w:type="dxa"/>
            <w:shd w:val="clear" w:color="auto" w:fill="auto"/>
          </w:tcPr>
          <w:p w14:paraId="085E17C7"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Forestry-Oriented Linear Programming Interpreter</w:t>
            </w:r>
          </w:p>
        </w:tc>
      </w:tr>
      <w:tr w:rsidR="00D40AF3" w:rsidRPr="00D81C27" w14:paraId="42E3C917" w14:textId="77777777" w:rsidTr="00DB330E">
        <w:tc>
          <w:tcPr>
            <w:tcW w:w="1526" w:type="dxa"/>
            <w:shd w:val="clear" w:color="auto" w:fill="auto"/>
          </w:tcPr>
          <w:p w14:paraId="7C2FCBFC"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GDP</w:t>
            </w:r>
          </w:p>
        </w:tc>
        <w:tc>
          <w:tcPr>
            <w:tcW w:w="7092" w:type="dxa"/>
            <w:shd w:val="clear" w:color="auto" w:fill="auto"/>
          </w:tcPr>
          <w:p w14:paraId="50B17509"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gross domestic product</w:t>
            </w:r>
          </w:p>
        </w:tc>
      </w:tr>
      <w:tr w:rsidR="00D40AF3" w:rsidRPr="00D81C27" w14:paraId="67E158EB" w14:textId="77777777" w:rsidTr="00DB330E">
        <w:tc>
          <w:tcPr>
            <w:tcW w:w="1526" w:type="dxa"/>
            <w:shd w:val="clear" w:color="auto" w:fill="auto"/>
          </w:tcPr>
          <w:p w14:paraId="37A643A2"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GEI</w:t>
            </w:r>
          </w:p>
        </w:tc>
        <w:tc>
          <w:tcPr>
            <w:tcW w:w="7092" w:type="dxa"/>
            <w:shd w:val="clear" w:color="auto" w:fill="auto"/>
          </w:tcPr>
          <w:p w14:paraId="007D7440"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gross energy intake</w:t>
            </w:r>
          </w:p>
        </w:tc>
      </w:tr>
      <w:tr w:rsidR="00D40AF3" w:rsidRPr="00D81C27" w14:paraId="395C5671" w14:textId="77777777" w:rsidTr="00DB330E">
        <w:tc>
          <w:tcPr>
            <w:tcW w:w="1526" w:type="dxa"/>
            <w:shd w:val="clear" w:color="auto" w:fill="auto"/>
          </w:tcPr>
          <w:p w14:paraId="4B1D2CE0"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Gg</w:t>
            </w:r>
          </w:p>
        </w:tc>
        <w:tc>
          <w:tcPr>
            <w:tcW w:w="7092" w:type="dxa"/>
            <w:shd w:val="clear" w:color="auto" w:fill="auto"/>
          </w:tcPr>
          <w:p w14:paraId="394F7C32"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gigagram(s)</w:t>
            </w:r>
          </w:p>
        </w:tc>
      </w:tr>
      <w:tr w:rsidR="00D40AF3" w:rsidRPr="00D81C27" w14:paraId="46FA42EB" w14:textId="77777777" w:rsidTr="00DB330E">
        <w:tc>
          <w:tcPr>
            <w:tcW w:w="1526" w:type="dxa"/>
            <w:shd w:val="clear" w:color="auto" w:fill="auto"/>
          </w:tcPr>
          <w:p w14:paraId="266D0372"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GHG</w:t>
            </w:r>
          </w:p>
        </w:tc>
        <w:tc>
          <w:tcPr>
            <w:tcW w:w="7092" w:type="dxa"/>
            <w:shd w:val="clear" w:color="auto" w:fill="auto"/>
          </w:tcPr>
          <w:p w14:paraId="3F29F073"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greenhouse gas(es)</w:t>
            </w:r>
          </w:p>
        </w:tc>
      </w:tr>
      <w:tr w:rsidR="00D40AF3" w:rsidRPr="00D81C27" w14:paraId="11F2C064" w14:textId="77777777" w:rsidTr="00DB330E">
        <w:tc>
          <w:tcPr>
            <w:tcW w:w="1526" w:type="dxa"/>
            <w:shd w:val="clear" w:color="auto" w:fill="auto"/>
          </w:tcPr>
          <w:p w14:paraId="09E614BB"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GIS</w:t>
            </w:r>
          </w:p>
        </w:tc>
        <w:tc>
          <w:tcPr>
            <w:tcW w:w="7092" w:type="dxa"/>
            <w:shd w:val="clear" w:color="auto" w:fill="auto"/>
          </w:tcPr>
          <w:p w14:paraId="5AB5F7DD"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geographic information system</w:t>
            </w:r>
          </w:p>
        </w:tc>
      </w:tr>
      <w:tr w:rsidR="00D40AF3" w:rsidRPr="00D81C27" w14:paraId="36FF2F1E" w14:textId="77777777" w:rsidTr="00DB330E">
        <w:tc>
          <w:tcPr>
            <w:tcW w:w="1526" w:type="dxa"/>
            <w:shd w:val="clear" w:color="auto" w:fill="auto"/>
          </w:tcPr>
          <w:p w14:paraId="28CB6D68"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GJ</w:t>
            </w:r>
          </w:p>
        </w:tc>
        <w:tc>
          <w:tcPr>
            <w:tcW w:w="7092" w:type="dxa"/>
            <w:shd w:val="clear" w:color="auto" w:fill="auto"/>
          </w:tcPr>
          <w:p w14:paraId="1F3107A6"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gigajoule(s)</w:t>
            </w:r>
          </w:p>
        </w:tc>
      </w:tr>
      <w:tr w:rsidR="00D40AF3" w:rsidRPr="00D81C27" w14:paraId="470961C9" w14:textId="77777777" w:rsidTr="00DB330E">
        <w:tc>
          <w:tcPr>
            <w:tcW w:w="1526" w:type="dxa"/>
            <w:shd w:val="clear" w:color="auto" w:fill="auto"/>
          </w:tcPr>
          <w:p w14:paraId="76BF5422" w14:textId="77777777" w:rsidR="00D40AF3" w:rsidRPr="00D81C27" w:rsidRDefault="00D40AF3" w:rsidP="00D81C27">
            <w:pPr>
              <w:pStyle w:val="BodyText"/>
              <w:spacing w:before="100" w:after="0"/>
              <w:rPr>
                <w:rFonts w:cs="Calibri"/>
                <w:b/>
                <w:sz w:val="20"/>
                <w:szCs w:val="20"/>
              </w:rPr>
            </w:pPr>
            <w:r w:rsidRPr="00D81C27">
              <w:rPr>
                <w:rFonts w:cs="Calibri"/>
                <w:b/>
                <w:sz w:val="20"/>
                <w:szCs w:val="20"/>
              </w:rPr>
              <w:t>GPS</w:t>
            </w:r>
          </w:p>
        </w:tc>
        <w:tc>
          <w:tcPr>
            <w:tcW w:w="7092" w:type="dxa"/>
            <w:shd w:val="clear" w:color="auto" w:fill="auto"/>
          </w:tcPr>
          <w:p w14:paraId="250B8C12"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global positioning system</w:t>
            </w:r>
          </w:p>
        </w:tc>
      </w:tr>
      <w:tr w:rsidR="00D40AF3" w:rsidRPr="00D81C27" w14:paraId="049F7BA8" w14:textId="77777777" w:rsidTr="00DB330E">
        <w:tc>
          <w:tcPr>
            <w:tcW w:w="1526" w:type="dxa"/>
            <w:shd w:val="clear" w:color="auto" w:fill="auto"/>
          </w:tcPr>
          <w:p w14:paraId="4DF92E4A" w14:textId="77777777" w:rsidR="00D40AF3" w:rsidRPr="00D81C27" w:rsidRDefault="00D40AF3" w:rsidP="00D81C27">
            <w:pPr>
              <w:pStyle w:val="BodyText"/>
              <w:spacing w:before="100" w:after="0"/>
              <w:rPr>
                <w:rFonts w:cs="Calibri"/>
                <w:b/>
                <w:sz w:val="20"/>
                <w:szCs w:val="20"/>
              </w:rPr>
            </w:pPr>
            <w:r w:rsidRPr="00D81C27">
              <w:rPr>
                <w:rFonts w:cs="Calibri"/>
                <w:b/>
                <w:sz w:val="20"/>
                <w:szCs w:val="20"/>
              </w:rPr>
              <w:t>GRA</w:t>
            </w:r>
          </w:p>
        </w:tc>
        <w:tc>
          <w:tcPr>
            <w:tcW w:w="7092" w:type="dxa"/>
            <w:shd w:val="clear" w:color="auto" w:fill="auto"/>
          </w:tcPr>
          <w:p w14:paraId="6B71B7A7"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Global Research Alliance on Agricultural Greenhouse Gases</w:t>
            </w:r>
          </w:p>
        </w:tc>
      </w:tr>
      <w:tr w:rsidR="00D40AF3" w:rsidRPr="00D81C27" w14:paraId="77CFFC46" w14:textId="77777777" w:rsidTr="00DB330E">
        <w:tc>
          <w:tcPr>
            <w:tcW w:w="1526" w:type="dxa"/>
            <w:shd w:val="clear" w:color="auto" w:fill="auto"/>
          </w:tcPr>
          <w:p w14:paraId="7557846A" w14:textId="77777777" w:rsidR="00D40AF3" w:rsidRPr="00D81C27" w:rsidRDefault="00D40AF3" w:rsidP="00D81C27">
            <w:pPr>
              <w:pStyle w:val="BodyText"/>
              <w:spacing w:before="100" w:after="0"/>
              <w:rPr>
                <w:rFonts w:cs="Calibri"/>
                <w:b/>
                <w:sz w:val="20"/>
                <w:szCs w:val="20"/>
              </w:rPr>
            </w:pPr>
            <w:r w:rsidRPr="00D81C27">
              <w:rPr>
                <w:rFonts w:cs="Calibri"/>
                <w:b/>
                <w:sz w:val="20"/>
                <w:szCs w:val="20"/>
              </w:rPr>
              <w:t>GST</w:t>
            </w:r>
          </w:p>
        </w:tc>
        <w:tc>
          <w:tcPr>
            <w:tcW w:w="7092" w:type="dxa"/>
            <w:shd w:val="clear" w:color="auto" w:fill="auto"/>
          </w:tcPr>
          <w:p w14:paraId="397FD30A"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 xml:space="preserve">goods and services tax </w:t>
            </w:r>
          </w:p>
        </w:tc>
      </w:tr>
      <w:tr w:rsidR="00D40AF3" w:rsidRPr="00D81C27" w14:paraId="04AAFA5B" w14:textId="77777777" w:rsidTr="00DB330E">
        <w:tc>
          <w:tcPr>
            <w:tcW w:w="1526" w:type="dxa"/>
            <w:shd w:val="clear" w:color="auto" w:fill="auto"/>
          </w:tcPr>
          <w:p w14:paraId="010DFAE0" w14:textId="77777777" w:rsidR="00D40AF3" w:rsidRPr="00D81C27" w:rsidRDefault="00D40AF3" w:rsidP="00D81C27">
            <w:pPr>
              <w:pStyle w:val="BodyText"/>
              <w:spacing w:before="100" w:after="0"/>
              <w:rPr>
                <w:rFonts w:cs="Calibri"/>
                <w:b/>
                <w:sz w:val="20"/>
                <w:szCs w:val="20"/>
              </w:rPr>
            </w:pPr>
            <w:r w:rsidRPr="00D81C27">
              <w:rPr>
                <w:rFonts w:cs="Calibri"/>
                <w:b/>
                <w:sz w:val="20"/>
                <w:szCs w:val="20"/>
              </w:rPr>
              <w:t>G20</w:t>
            </w:r>
          </w:p>
        </w:tc>
        <w:tc>
          <w:tcPr>
            <w:tcW w:w="7092" w:type="dxa"/>
            <w:shd w:val="clear" w:color="auto" w:fill="auto"/>
          </w:tcPr>
          <w:p w14:paraId="105E1727" w14:textId="77777777" w:rsidR="00D40AF3" w:rsidRPr="00D81C27" w:rsidRDefault="00D40AF3" w:rsidP="00D81C27">
            <w:pPr>
              <w:pStyle w:val="BodyText"/>
              <w:spacing w:before="100" w:after="0"/>
              <w:rPr>
                <w:rFonts w:eastAsia="Calibri" w:cs="Calibri"/>
                <w:sz w:val="20"/>
                <w:szCs w:val="20"/>
              </w:rPr>
            </w:pPr>
            <w:r w:rsidRPr="00D81C27">
              <w:rPr>
                <w:rFonts w:cs="Calibri"/>
                <w:sz w:val="20"/>
                <w:szCs w:val="20"/>
              </w:rPr>
              <w:t>Group of Twenty</w:t>
            </w:r>
          </w:p>
        </w:tc>
      </w:tr>
      <w:tr w:rsidR="00D40AF3" w:rsidRPr="00D81C27" w14:paraId="4A52885E" w14:textId="77777777" w:rsidTr="00DB330E">
        <w:tc>
          <w:tcPr>
            <w:tcW w:w="1526" w:type="dxa"/>
            <w:shd w:val="clear" w:color="auto" w:fill="auto"/>
          </w:tcPr>
          <w:p w14:paraId="2E53231A"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ha</w:t>
            </w:r>
          </w:p>
        </w:tc>
        <w:tc>
          <w:tcPr>
            <w:tcW w:w="7092" w:type="dxa"/>
            <w:shd w:val="clear" w:color="auto" w:fill="auto"/>
          </w:tcPr>
          <w:p w14:paraId="46767AD1"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hectare(s)</w:t>
            </w:r>
          </w:p>
        </w:tc>
      </w:tr>
      <w:tr w:rsidR="00D40AF3" w:rsidRPr="00D81C27" w14:paraId="5E685A10" w14:textId="77777777" w:rsidTr="00DB330E">
        <w:tc>
          <w:tcPr>
            <w:tcW w:w="1526" w:type="dxa"/>
            <w:shd w:val="clear" w:color="auto" w:fill="auto"/>
          </w:tcPr>
          <w:p w14:paraId="5B46579D"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HCFC</w:t>
            </w:r>
          </w:p>
        </w:tc>
        <w:tc>
          <w:tcPr>
            <w:tcW w:w="7092" w:type="dxa"/>
            <w:shd w:val="clear" w:color="auto" w:fill="auto"/>
          </w:tcPr>
          <w:p w14:paraId="349BF73B"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hydrochlorofluorocarbon</w:t>
            </w:r>
          </w:p>
        </w:tc>
      </w:tr>
      <w:tr w:rsidR="00D40AF3" w:rsidRPr="00D81C27" w14:paraId="6FAA158C" w14:textId="77777777" w:rsidTr="00DB330E">
        <w:tc>
          <w:tcPr>
            <w:tcW w:w="1526" w:type="dxa"/>
            <w:shd w:val="clear" w:color="auto" w:fill="auto"/>
          </w:tcPr>
          <w:p w14:paraId="28386F2F"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HFC</w:t>
            </w:r>
          </w:p>
        </w:tc>
        <w:tc>
          <w:tcPr>
            <w:tcW w:w="7092" w:type="dxa"/>
            <w:shd w:val="clear" w:color="auto" w:fill="auto"/>
          </w:tcPr>
          <w:p w14:paraId="180E178C"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hydrofluorocarbon</w:t>
            </w:r>
          </w:p>
        </w:tc>
      </w:tr>
      <w:tr w:rsidR="00D40AF3" w:rsidRPr="00D81C27" w14:paraId="2F468B47" w14:textId="77777777" w:rsidTr="00DB330E">
        <w:tc>
          <w:tcPr>
            <w:tcW w:w="1526" w:type="dxa"/>
            <w:shd w:val="clear" w:color="auto" w:fill="auto"/>
          </w:tcPr>
          <w:p w14:paraId="6B0984D5"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IAE</w:t>
            </w:r>
          </w:p>
        </w:tc>
        <w:tc>
          <w:tcPr>
            <w:tcW w:w="7092" w:type="dxa"/>
            <w:shd w:val="clear" w:color="auto" w:fill="auto"/>
          </w:tcPr>
          <w:p w14:paraId="6739CBA6" w14:textId="77777777" w:rsidR="00D40AF3" w:rsidRPr="00D81C27" w:rsidRDefault="00D40AF3" w:rsidP="00D81C27">
            <w:pPr>
              <w:pStyle w:val="BodyText"/>
              <w:spacing w:before="100" w:after="0"/>
              <w:rPr>
                <w:rFonts w:eastAsia="Calibri" w:cs="Calibri"/>
                <w:sz w:val="20"/>
                <w:szCs w:val="20"/>
              </w:rPr>
            </w:pPr>
            <w:r w:rsidRPr="00D81C27">
              <w:rPr>
                <w:rFonts w:cs="Calibri"/>
                <w:sz w:val="20"/>
                <w:szCs w:val="20"/>
                <w:lang w:eastAsia="en-GB"/>
              </w:rPr>
              <w:t>International Energy Agency</w:t>
            </w:r>
          </w:p>
        </w:tc>
      </w:tr>
      <w:tr w:rsidR="00D40AF3" w:rsidRPr="00D81C27" w14:paraId="04D55265" w14:textId="77777777" w:rsidTr="00DB330E">
        <w:tc>
          <w:tcPr>
            <w:tcW w:w="1526" w:type="dxa"/>
            <w:shd w:val="clear" w:color="auto" w:fill="auto"/>
          </w:tcPr>
          <w:p w14:paraId="4059F2D1"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IE</w:t>
            </w:r>
          </w:p>
        </w:tc>
        <w:tc>
          <w:tcPr>
            <w:tcW w:w="7092" w:type="dxa"/>
            <w:shd w:val="clear" w:color="auto" w:fill="auto"/>
          </w:tcPr>
          <w:p w14:paraId="55C51577"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included elsewhere</w:t>
            </w:r>
          </w:p>
        </w:tc>
      </w:tr>
      <w:tr w:rsidR="00D40AF3" w:rsidRPr="00D81C27" w14:paraId="51F9923D" w14:textId="77777777" w:rsidTr="00DB330E">
        <w:tc>
          <w:tcPr>
            <w:tcW w:w="1526" w:type="dxa"/>
            <w:shd w:val="clear" w:color="auto" w:fill="auto"/>
          </w:tcPr>
          <w:p w14:paraId="06C6B035"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lastRenderedPageBreak/>
              <w:t>IEF</w:t>
            </w:r>
          </w:p>
        </w:tc>
        <w:tc>
          <w:tcPr>
            <w:tcW w:w="7092" w:type="dxa"/>
            <w:shd w:val="clear" w:color="auto" w:fill="auto"/>
          </w:tcPr>
          <w:p w14:paraId="0F62879F"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implied emission factor</w:t>
            </w:r>
          </w:p>
        </w:tc>
      </w:tr>
      <w:tr w:rsidR="00D40AF3" w:rsidRPr="00D81C27" w14:paraId="4E93BEDE" w14:textId="77777777" w:rsidTr="00DB330E">
        <w:tc>
          <w:tcPr>
            <w:tcW w:w="1526" w:type="dxa"/>
            <w:shd w:val="clear" w:color="auto" w:fill="auto"/>
          </w:tcPr>
          <w:p w14:paraId="6E6BFFD4"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 xml:space="preserve">IPCC </w:t>
            </w:r>
          </w:p>
        </w:tc>
        <w:tc>
          <w:tcPr>
            <w:tcW w:w="7092" w:type="dxa"/>
            <w:shd w:val="clear" w:color="auto" w:fill="auto"/>
          </w:tcPr>
          <w:p w14:paraId="404267C5"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Intergovernmental Panel on Climate Change</w:t>
            </w:r>
          </w:p>
        </w:tc>
      </w:tr>
      <w:tr w:rsidR="00D40AF3" w:rsidRPr="00D81C27" w14:paraId="0D013069" w14:textId="77777777" w:rsidTr="00DB330E">
        <w:tc>
          <w:tcPr>
            <w:tcW w:w="1526" w:type="dxa"/>
            <w:shd w:val="clear" w:color="auto" w:fill="auto"/>
          </w:tcPr>
          <w:p w14:paraId="150E1D5F"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 xml:space="preserve">IPPU </w:t>
            </w:r>
          </w:p>
        </w:tc>
        <w:tc>
          <w:tcPr>
            <w:tcW w:w="7092" w:type="dxa"/>
            <w:shd w:val="clear" w:color="auto" w:fill="auto"/>
          </w:tcPr>
          <w:p w14:paraId="59898D5E"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Industrial Processes and Product Use</w:t>
            </w:r>
          </w:p>
        </w:tc>
      </w:tr>
      <w:tr w:rsidR="00D40AF3" w:rsidRPr="00D81C27" w14:paraId="6A42B49E" w14:textId="77777777" w:rsidTr="00DB330E">
        <w:tc>
          <w:tcPr>
            <w:tcW w:w="1526" w:type="dxa"/>
            <w:shd w:val="clear" w:color="auto" w:fill="auto"/>
          </w:tcPr>
          <w:p w14:paraId="01AAD6C8" w14:textId="77777777" w:rsidR="00D40AF3" w:rsidRPr="00D81C27" w:rsidRDefault="00D40AF3" w:rsidP="00D81C27">
            <w:pPr>
              <w:pStyle w:val="BodyText"/>
              <w:spacing w:before="100" w:after="0"/>
              <w:rPr>
                <w:rFonts w:eastAsia="Calibri" w:cs="Calibri"/>
                <w:b/>
                <w:sz w:val="20"/>
                <w:szCs w:val="20"/>
              </w:rPr>
            </w:pPr>
            <w:r w:rsidRPr="00D81C27">
              <w:rPr>
                <w:rFonts w:cs="Calibri"/>
                <w:b/>
                <w:sz w:val="20"/>
                <w:szCs w:val="20"/>
              </w:rPr>
              <w:t>IRENA</w:t>
            </w:r>
          </w:p>
        </w:tc>
        <w:tc>
          <w:tcPr>
            <w:tcW w:w="7092" w:type="dxa"/>
            <w:shd w:val="clear" w:color="auto" w:fill="auto"/>
          </w:tcPr>
          <w:p w14:paraId="11FE77B2" w14:textId="77777777" w:rsidR="00D40AF3" w:rsidRPr="00D81C27" w:rsidRDefault="00D40AF3" w:rsidP="00D81C27">
            <w:pPr>
              <w:pStyle w:val="BodyText"/>
              <w:spacing w:before="100" w:after="0"/>
              <w:rPr>
                <w:rFonts w:eastAsia="Calibri" w:cs="Calibri"/>
                <w:sz w:val="20"/>
                <w:szCs w:val="20"/>
              </w:rPr>
            </w:pPr>
            <w:r w:rsidRPr="00D81C27">
              <w:rPr>
                <w:rFonts w:cs="Calibri"/>
                <w:sz w:val="20"/>
                <w:szCs w:val="20"/>
              </w:rPr>
              <w:t xml:space="preserve">International Renewable Energy Agency </w:t>
            </w:r>
          </w:p>
        </w:tc>
      </w:tr>
      <w:tr w:rsidR="00D40AF3" w:rsidRPr="00D81C27" w14:paraId="2125E4AE" w14:textId="77777777" w:rsidTr="00DB330E">
        <w:tc>
          <w:tcPr>
            <w:tcW w:w="1526" w:type="dxa"/>
            <w:shd w:val="clear" w:color="auto" w:fill="auto"/>
          </w:tcPr>
          <w:p w14:paraId="1C17F0C9"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k</w:t>
            </w:r>
            <w:r w:rsidRPr="00D81C27">
              <w:rPr>
                <w:rFonts w:eastAsia="Calibri" w:cs="Calibri"/>
                <w:b/>
                <w:sz w:val="20"/>
                <w:szCs w:val="20"/>
                <w:vertAlign w:val="subscript"/>
              </w:rPr>
              <w:t>m</w:t>
            </w:r>
          </w:p>
        </w:tc>
        <w:tc>
          <w:tcPr>
            <w:tcW w:w="7092" w:type="dxa"/>
            <w:shd w:val="clear" w:color="auto" w:fill="auto"/>
          </w:tcPr>
          <w:p w14:paraId="5D7D0B43" w14:textId="04504C2E" w:rsidR="00D40AF3" w:rsidRPr="00E25503" w:rsidRDefault="00D40AF3" w:rsidP="006D2BC6">
            <w:pPr>
              <w:pStyle w:val="BodyText"/>
              <w:spacing w:before="100" w:after="0"/>
              <w:rPr>
                <w:rFonts w:eastAsia="Calibri" w:cs="Calibri"/>
                <w:sz w:val="20"/>
                <w:szCs w:val="20"/>
              </w:rPr>
            </w:pPr>
            <w:r w:rsidRPr="00E25503">
              <w:rPr>
                <w:rFonts w:cs="Calibri"/>
                <w:sz w:val="20"/>
                <w:szCs w:val="20"/>
              </w:rPr>
              <w:t>energy efficiency for maintenance</w:t>
            </w:r>
            <w:r w:rsidR="001D206C" w:rsidRPr="00E25503">
              <w:rPr>
                <w:sz w:val="20"/>
                <w:szCs w:val="20"/>
              </w:rPr>
              <w:t xml:space="preserve"> or the efficiency of utilisation of metabolis</w:t>
            </w:r>
            <w:r w:rsidR="006D2BC6" w:rsidRPr="00E25503">
              <w:rPr>
                <w:sz w:val="20"/>
                <w:szCs w:val="20"/>
              </w:rPr>
              <w:t>a</w:t>
            </w:r>
            <w:r w:rsidR="001D206C" w:rsidRPr="00E25503">
              <w:rPr>
                <w:sz w:val="20"/>
                <w:szCs w:val="20"/>
              </w:rPr>
              <w:t>ble energy for maintenance activities</w:t>
            </w:r>
          </w:p>
        </w:tc>
      </w:tr>
      <w:tr w:rsidR="00D40AF3" w:rsidRPr="00D81C27" w14:paraId="3E46DF8E" w14:textId="77777777" w:rsidTr="00DB330E">
        <w:tc>
          <w:tcPr>
            <w:tcW w:w="1526" w:type="dxa"/>
            <w:shd w:val="clear" w:color="auto" w:fill="auto"/>
          </w:tcPr>
          <w:p w14:paraId="45C2AACC"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KP</w:t>
            </w:r>
          </w:p>
        </w:tc>
        <w:tc>
          <w:tcPr>
            <w:tcW w:w="7092" w:type="dxa"/>
            <w:shd w:val="clear" w:color="auto" w:fill="auto"/>
          </w:tcPr>
          <w:p w14:paraId="581F27CE"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Kyoto Protocol</w:t>
            </w:r>
          </w:p>
        </w:tc>
      </w:tr>
      <w:tr w:rsidR="00D40AF3" w:rsidRPr="00D81C27" w14:paraId="7DA09AD3" w14:textId="77777777" w:rsidTr="00DB330E">
        <w:tc>
          <w:tcPr>
            <w:tcW w:w="1526" w:type="dxa"/>
            <w:shd w:val="clear" w:color="auto" w:fill="auto"/>
          </w:tcPr>
          <w:p w14:paraId="3FFB1CA2"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KP-LULUCF</w:t>
            </w:r>
          </w:p>
        </w:tc>
        <w:tc>
          <w:tcPr>
            <w:tcW w:w="7092" w:type="dxa"/>
            <w:shd w:val="clear" w:color="auto" w:fill="auto"/>
          </w:tcPr>
          <w:p w14:paraId="1F8648B9"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Land Use, Land-use Change and Forestry activities under the Kyoto Protocol</w:t>
            </w:r>
          </w:p>
        </w:tc>
      </w:tr>
      <w:tr w:rsidR="00D40AF3" w:rsidRPr="00D81C27" w14:paraId="0D278BA6" w14:textId="77777777" w:rsidTr="00DB330E">
        <w:tc>
          <w:tcPr>
            <w:tcW w:w="1526" w:type="dxa"/>
            <w:shd w:val="clear" w:color="auto" w:fill="auto"/>
          </w:tcPr>
          <w:p w14:paraId="156084A5"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kt</w:t>
            </w:r>
          </w:p>
        </w:tc>
        <w:tc>
          <w:tcPr>
            <w:tcW w:w="7092" w:type="dxa"/>
            <w:shd w:val="clear" w:color="auto" w:fill="auto"/>
          </w:tcPr>
          <w:p w14:paraId="32CD6850"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kilotonne(s)</w:t>
            </w:r>
          </w:p>
        </w:tc>
      </w:tr>
      <w:tr w:rsidR="00D40AF3" w:rsidRPr="00D81C27" w14:paraId="08E04A01" w14:textId="77777777" w:rsidTr="00DB330E">
        <w:tc>
          <w:tcPr>
            <w:tcW w:w="1526" w:type="dxa"/>
            <w:shd w:val="clear" w:color="auto" w:fill="auto"/>
          </w:tcPr>
          <w:p w14:paraId="412516D4"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LCDB</w:t>
            </w:r>
          </w:p>
        </w:tc>
        <w:tc>
          <w:tcPr>
            <w:tcW w:w="7092" w:type="dxa"/>
            <w:shd w:val="clear" w:color="auto" w:fill="auto"/>
          </w:tcPr>
          <w:p w14:paraId="46E98D58" w14:textId="747DE341"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land cover database</w:t>
            </w:r>
          </w:p>
        </w:tc>
      </w:tr>
      <w:tr w:rsidR="00D40AF3" w:rsidRPr="00D81C27" w14:paraId="37FB551C" w14:textId="77777777" w:rsidTr="00DB330E">
        <w:tc>
          <w:tcPr>
            <w:tcW w:w="1526" w:type="dxa"/>
            <w:shd w:val="clear" w:color="auto" w:fill="auto"/>
          </w:tcPr>
          <w:p w14:paraId="1F83C475"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 xml:space="preserve">lCER </w:t>
            </w:r>
          </w:p>
        </w:tc>
        <w:tc>
          <w:tcPr>
            <w:tcW w:w="7092" w:type="dxa"/>
            <w:shd w:val="clear" w:color="auto" w:fill="auto"/>
          </w:tcPr>
          <w:p w14:paraId="1D1489E8"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long-term certified emission reduction unit</w:t>
            </w:r>
          </w:p>
        </w:tc>
      </w:tr>
      <w:tr w:rsidR="00D40AF3" w:rsidRPr="00D81C27" w14:paraId="1154CD4B" w14:textId="77777777" w:rsidTr="00DB330E">
        <w:tc>
          <w:tcPr>
            <w:tcW w:w="1526" w:type="dxa"/>
            <w:shd w:val="clear" w:color="auto" w:fill="auto"/>
          </w:tcPr>
          <w:p w14:paraId="3FFCE61E"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LFG</w:t>
            </w:r>
          </w:p>
        </w:tc>
        <w:tc>
          <w:tcPr>
            <w:tcW w:w="7092" w:type="dxa"/>
            <w:shd w:val="clear" w:color="auto" w:fill="auto"/>
          </w:tcPr>
          <w:p w14:paraId="6414E9A8"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landfill gas</w:t>
            </w:r>
          </w:p>
        </w:tc>
      </w:tr>
      <w:tr w:rsidR="00D40AF3" w:rsidRPr="00D81C27" w14:paraId="2EDB8977" w14:textId="77777777" w:rsidTr="00DB330E">
        <w:tc>
          <w:tcPr>
            <w:tcW w:w="1526" w:type="dxa"/>
            <w:shd w:val="clear" w:color="auto" w:fill="auto"/>
          </w:tcPr>
          <w:p w14:paraId="7D546200"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LIC</w:t>
            </w:r>
          </w:p>
        </w:tc>
        <w:tc>
          <w:tcPr>
            <w:tcW w:w="7092" w:type="dxa"/>
            <w:shd w:val="clear" w:color="auto" w:fill="auto"/>
          </w:tcPr>
          <w:p w14:paraId="29409D33"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Livestock Improvement Corporation</w:t>
            </w:r>
          </w:p>
        </w:tc>
      </w:tr>
      <w:tr w:rsidR="00D40AF3" w:rsidRPr="00D81C27" w14:paraId="190B161E" w14:textId="77777777" w:rsidTr="00DB330E">
        <w:tc>
          <w:tcPr>
            <w:tcW w:w="1526" w:type="dxa"/>
            <w:shd w:val="clear" w:color="auto" w:fill="auto"/>
          </w:tcPr>
          <w:p w14:paraId="37356F33"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LiDAR</w:t>
            </w:r>
          </w:p>
        </w:tc>
        <w:tc>
          <w:tcPr>
            <w:tcW w:w="7092" w:type="dxa"/>
            <w:shd w:val="clear" w:color="auto" w:fill="auto"/>
          </w:tcPr>
          <w:p w14:paraId="17F7D09F"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Light Detection and Ranging</w:t>
            </w:r>
          </w:p>
        </w:tc>
      </w:tr>
      <w:tr w:rsidR="00D40AF3" w:rsidRPr="00D81C27" w14:paraId="4F5AA4C0" w14:textId="77777777" w:rsidTr="00DB330E">
        <w:tc>
          <w:tcPr>
            <w:tcW w:w="1526" w:type="dxa"/>
            <w:shd w:val="clear" w:color="auto" w:fill="auto"/>
          </w:tcPr>
          <w:p w14:paraId="595C32C5" w14:textId="77777777" w:rsidR="00D40AF3" w:rsidRPr="00D81C27" w:rsidRDefault="00D40AF3" w:rsidP="00D81C27">
            <w:pPr>
              <w:pStyle w:val="BodyText"/>
              <w:spacing w:before="100" w:after="0"/>
              <w:rPr>
                <w:rFonts w:eastAsia="Calibri" w:cs="Calibri"/>
                <w:b/>
                <w:sz w:val="20"/>
                <w:szCs w:val="20"/>
              </w:rPr>
            </w:pPr>
            <w:r w:rsidRPr="00D81C27">
              <w:rPr>
                <w:rFonts w:cs="Calibri"/>
                <w:b/>
                <w:sz w:val="20"/>
                <w:szCs w:val="20"/>
                <w:lang w:eastAsia="en-GB"/>
              </w:rPr>
              <w:t>LPG</w:t>
            </w:r>
          </w:p>
        </w:tc>
        <w:tc>
          <w:tcPr>
            <w:tcW w:w="7092" w:type="dxa"/>
            <w:shd w:val="clear" w:color="auto" w:fill="auto"/>
          </w:tcPr>
          <w:p w14:paraId="4114A069" w14:textId="77777777" w:rsidR="00D40AF3" w:rsidRPr="00D81C27" w:rsidRDefault="00D40AF3" w:rsidP="00D81C27">
            <w:pPr>
              <w:pStyle w:val="BodyText"/>
              <w:spacing w:before="100" w:after="0"/>
              <w:rPr>
                <w:rFonts w:eastAsia="Calibri" w:cs="Calibri"/>
                <w:sz w:val="20"/>
                <w:szCs w:val="20"/>
              </w:rPr>
            </w:pPr>
            <w:r w:rsidRPr="00D81C27">
              <w:rPr>
                <w:rFonts w:cs="Calibri"/>
                <w:sz w:val="20"/>
                <w:szCs w:val="20"/>
              </w:rPr>
              <w:t>liquefied petroleu</w:t>
            </w:r>
            <w:r w:rsidRPr="00D81C27">
              <w:rPr>
                <w:rFonts w:cs="Calibri"/>
                <w:sz w:val="20"/>
                <w:szCs w:val="20"/>
                <w:lang w:eastAsia="en-GB"/>
              </w:rPr>
              <w:t>m gas</w:t>
            </w:r>
          </w:p>
        </w:tc>
      </w:tr>
      <w:tr w:rsidR="00D40AF3" w:rsidRPr="00D81C27" w14:paraId="19439AE3" w14:textId="77777777" w:rsidTr="00DB330E">
        <w:tc>
          <w:tcPr>
            <w:tcW w:w="1526" w:type="dxa"/>
            <w:shd w:val="clear" w:color="auto" w:fill="auto"/>
          </w:tcPr>
          <w:p w14:paraId="636F33F6"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LUCAS</w:t>
            </w:r>
          </w:p>
        </w:tc>
        <w:tc>
          <w:tcPr>
            <w:tcW w:w="7092" w:type="dxa"/>
            <w:shd w:val="clear" w:color="auto" w:fill="auto"/>
          </w:tcPr>
          <w:p w14:paraId="3C2958E2" w14:textId="04362A13" w:rsidR="00D40AF3" w:rsidRPr="00D81C27" w:rsidRDefault="00766DDA" w:rsidP="00D81C27">
            <w:pPr>
              <w:pStyle w:val="BodyText"/>
              <w:spacing w:before="100" w:after="0"/>
              <w:rPr>
                <w:rFonts w:eastAsia="Calibri" w:cs="Calibri"/>
                <w:sz w:val="20"/>
                <w:szCs w:val="20"/>
              </w:rPr>
            </w:pPr>
            <w:r>
              <w:rPr>
                <w:rFonts w:eastAsia="Calibri" w:cs="Calibri"/>
                <w:sz w:val="20"/>
                <w:szCs w:val="20"/>
              </w:rPr>
              <w:t>Land-use</w:t>
            </w:r>
            <w:r w:rsidR="00D40AF3" w:rsidRPr="00D81C27">
              <w:rPr>
                <w:rFonts w:eastAsia="Calibri" w:cs="Calibri"/>
                <w:sz w:val="20"/>
                <w:szCs w:val="20"/>
              </w:rPr>
              <w:t xml:space="preserve"> Carbon Analysis System</w:t>
            </w:r>
          </w:p>
        </w:tc>
      </w:tr>
      <w:tr w:rsidR="00D40AF3" w:rsidRPr="00D81C27" w14:paraId="66D2EA54" w14:textId="77777777" w:rsidTr="00DB330E">
        <w:tc>
          <w:tcPr>
            <w:tcW w:w="1526" w:type="dxa"/>
            <w:shd w:val="clear" w:color="auto" w:fill="auto"/>
          </w:tcPr>
          <w:p w14:paraId="5199C690"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LUE</w:t>
            </w:r>
          </w:p>
        </w:tc>
        <w:tc>
          <w:tcPr>
            <w:tcW w:w="7092" w:type="dxa"/>
            <w:shd w:val="clear" w:color="auto" w:fill="auto"/>
          </w:tcPr>
          <w:p w14:paraId="136362D3" w14:textId="4C1AA86A" w:rsidR="00D40AF3" w:rsidRPr="00D81C27" w:rsidRDefault="00766DDA" w:rsidP="00D81C27">
            <w:pPr>
              <w:pStyle w:val="BodyText"/>
              <w:spacing w:before="100" w:after="0"/>
              <w:rPr>
                <w:rFonts w:eastAsia="Calibri" w:cs="Calibri"/>
                <w:sz w:val="20"/>
                <w:szCs w:val="20"/>
              </w:rPr>
            </w:pPr>
            <w:r>
              <w:rPr>
                <w:rFonts w:eastAsia="Calibri" w:cs="Calibri"/>
                <w:sz w:val="20"/>
                <w:szCs w:val="20"/>
              </w:rPr>
              <w:t>land-use</w:t>
            </w:r>
            <w:r w:rsidR="00D40AF3" w:rsidRPr="00D81C27">
              <w:rPr>
                <w:rFonts w:eastAsia="Calibri" w:cs="Calibri"/>
                <w:sz w:val="20"/>
                <w:szCs w:val="20"/>
              </w:rPr>
              <w:t xml:space="preserve"> effect</w:t>
            </w:r>
          </w:p>
        </w:tc>
      </w:tr>
      <w:tr w:rsidR="00D40AF3" w:rsidRPr="00D81C27" w14:paraId="7CD11B60" w14:textId="77777777" w:rsidTr="00DB330E">
        <w:tc>
          <w:tcPr>
            <w:tcW w:w="1526" w:type="dxa"/>
            <w:shd w:val="clear" w:color="auto" w:fill="auto"/>
          </w:tcPr>
          <w:p w14:paraId="447482C4"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LULUCF</w:t>
            </w:r>
          </w:p>
        </w:tc>
        <w:tc>
          <w:tcPr>
            <w:tcW w:w="7092" w:type="dxa"/>
            <w:shd w:val="clear" w:color="auto" w:fill="auto"/>
          </w:tcPr>
          <w:p w14:paraId="44C96268"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Land Use, Land-Use Change and Forestry</w:t>
            </w:r>
          </w:p>
        </w:tc>
      </w:tr>
      <w:tr w:rsidR="00D40AF3" w:rsidRPr="00D81C27" w14:paraId="057CC3B6" w14:textId="77777777" w:rsidTr="00DB330E">
        <w:tc>
          <w:tcPr>
            <w:tcW w:w="1526" w:type="dxa"/>
            <w:shd w:val="clear" w:color="auto" w:fill="auto"/>
          </w:tcPr>
          <w:p w14:paraId="7D142BC8"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LUM</w:t>
            </w:r>
          </w:p>
        </w:tc>
        <w:tc>
          <w:tcPr>
            <w:tcW w:w="7092" w:type="dxa"/>
            <w:shd w:val="clear" w:color="auto" w:fill="auto"/>
          </w:tcPr>
          <w:p w14:paraId="09E085E1" w14:textId="1CE74BFC" w:rsidR="00D40AF3" w:rsidRPr="00D81C27" w:rsidRDefault="00766DDA" w:rsidP="00D81C27">
            <w:pPr>
              <w:pStyle w:val="BodyText"/>
              <w:spacing w:before="100" w:after="0"/>
              <w:rPr>
                <w:rFonts w:eastAsia="Calibri" w:cs="Calibri"/>
                <w:sz w:val="20"/>
                <w:szCs w:val="20"/>
              </w:rPr>
            </w:pPr>
            <w:r>
              <w:rPr>
                <w:rFonts w:eastAsia="Calibri" w:cs="Calibri"/>
                <w:sz w:val="20"/>
                <w:szCs w:val="20"/>
              </w:rPr>
              <w:t>land-use</w:t>
            </w:r>
            <w:r w:rsidR="00D40AF3" w:rsidRPr="00D81C27">
              <w:rPr>
                <w:rFonts w:eastAsia="Calibri" w:cs="Calibri"/>
                <w:sz w:val="20"/>
                <w:szCs w:val="20"/>
              </w:rPr>
              <w:t xml:space="preserve"> map</w:t>
            </w:r>
          </w:p>
        </w:tc>
      </w:tr>
      <w:tr w:rsidR="00D40AF3" w:rsidRPr="00D81C27" w14:paraId="63CC34F3" w14:textId="77777777" w:rsidTr="00DB330E">
        <w:tc>
          <w:tcPr>
            <w:tcW w:w="1526" w:type="dxa"/>
            <w:shd w:val="clear" w:color="auto" w:fill="auto"/>
          </w:tcPr>
          <w:p w14:paraId="1E6CCEB9"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 xml:space="preserve">MBIE </w:t>
            </w:r>
          </w:p>
        </w:tc>
        <w:tc>
          <w:tcPr>
            <w:tcW w:w="7092" w:type="dxa"/>
            <w:shd w:val="clear" w:color="auto" w:fill="auto"/>
          </w:tcPr>
          <w:p w14:paraId="4F434C20"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Ministry of Business, Innovation and Employment</w:t>
            </w:r>
          </w:p>
        </w:tc>
      </w:tr>
      <w:tr w:rsidR="00D40AF3" w:rsidRPr="00D81C27" w14:paraId="3E9C2910" w14:textId="77777777" w:rsidTr="00DB330E">
        <w:tc>
          <w:tcPr>
            <w:tcW w:w="1526" w:type="dxa"/>
            <w:shd w:val="clear" w:color="auto" w:fill="auto"/>
          </w:tcPr>
          <w:p w14:paraId="2C183980"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MCF</w:t>
            </w:r>
          </w:p>
        </w:tc>
        <w:tc>
          <w:tcPr>
            <w:tcW w:w="7092" w:type="dxa"/>
            <w:shd w:val="clear" w:color="auto" w:fill="auto"/>
          </w:tcPr>
          <w:p w14:paraId="3862BA91"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methane correction factor</w:t>
            </w:r>
          </w:p>
        </w:tc>
      </w:tr>
      <w:tr w:rsidR="00D40AF3" w:rsidRPr="00D81C27" w14:paraId="6C3FC312" w14:textId="77777777" w:rsidTr="00DB330E">
        <w:tc>
          <w:tcPr>
            <w:tcW w:w="1526" w:type="dxa"/>
            <w:shd w:val="clear" w:color="auto" w:fill="auto"/>
          </w:tcPr>
          <w:p w14:paraId="07E0233B"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MDI</w:t>
            </w:r>
          </w:p>
        </w:tc>
        <w:tc>
          <w:tcPr>
            <w:tcW w:w="7092" w:type="dxa"/>
            <w:shd w:val="clear" w:color="auto" w:fill="auto"/>
          </w:tcPr>
          <w:p w14:paraId="3CB44ECC"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metered dose inhaler</w:t>
            </w:r>
          </w:p>
        </w:tc>
      </w:tr>
      <w:tr w:rsidR="00D40AF3" w:rsidRPr="00D81C27" w14:paraId="33B67042" w14:textId="77777777" w:rsidTr="00DB330E">
        <w:tc>
          <w:tcPr>
            <w:tcW w:w="1526" w:type="dxa"/>
            <w:shd w:val="clear" w:color="auto" w:fill="auto"/>
          </w:tcPr>
          <w:p w14:paraId="652B7702"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MDO</w:t>
            </w:r>
          </w:p>
        </w:tc>
        <w:tc>
          <w:tcPr>
            <w:tcW w:w="7092" w:type="dxa"/>
            <w:shd w:val="clear" w:color="auto" w:fill="auto"/>
          </w:tcPr>
          <w:p w14:paraId="4F81701A" w14:textId="77777777" w:rsidR="00D40AF3" w:rsidRPr="00D81C27" w:rsidRDefault="00D40AF3" w:rsidP="00D81C27">
            <w:pPr>
              <w:pStyle w:val="BodyText"/>
              <w:spacing w:before="100" w:after="0"/>
              <w:rPr>
                <w:rFonts w:eastAsia="Calibri" w:cs="Calibri"/>
                <w:sz w:val="20"/>
                <w:szCs w:val="20"/>
              </w:rPr>
            </w:pPr>
            <w:r w:rsidRPr="00D81C27">
              <w:rPr>
                <w:rFonts w:cs="Calibri"/>
                <w:sz w:val="20"/>
                <w:szCs w:val="20"/>
              </w:rPr>
              <w:t>marine diesel oil</w:t>
            </w:r>
          </w:p>
        </w:tc>
      </w:tr>
      <w:tr w:rsidR="00D40AF3" w:rsidRPr="00D81C27" w14:paraId="2FB982D0" w14:textId="77777777" w:rsidTr="00DB330E">
        <w:tc>
          <w:tcPr>
            <w:tcW w:w="1526" w:type="dxa"/>
            <w:shd w:val="clear" w:color="auto" w:fill="auto"/>
          </w:tcPr>
          <w:p w14:paraId="78FD7382"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ME</w:t>
            </w:r>
          </w:p>
        </w:tc>
        <w:tc>
          <w:tcPr>
            <w:tcW w:w="7092" w:type="dxa"/>
            <w:shd w:val="clear" w:color="auto" w:fill="auto"/>
          </w:tcPr>
          <w:p w14:paraId="2E4532C5"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metabolisable energy</w:t>
            </w:r>
          </w:p>
        </w:tc>
      </w:tr>
      <w:tr w:rsidR="00D40AF3" w:rsidRPr="00D81C27" w14:paraId="36A298DD" w14:textId="77777777" w:rsidTr="00DB330E">
        <w:tc>
          <w:tcPr>
            <w:tcW w:w="1526" w:type="dxa"/>
            <w:shd w:val="clear" w:color="auto" w:fill="auto"/>
          </w:tcPr>
          <w:p w14:paraId="7ADC37D5"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MFAT</w:t>
            </w:r>
          </w:p>
        </w:tc>
        <w:tc>
          <w:tcPr>
            <w:tcW w:w="7092" w:type="dxa"/>
            <w:shd w:val="clear" w:color="auto" w:fill="auto"/>
          </w:tcPr>
          <w:p w14:paraId="6D56D126"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Ministry of Foreign Affairs and Trade</w:t>
            </w:r>
          </w:p>
        </w:tc>
      </w:tr>
      <w:tr w:rsidR="00D40AF3" w:rsidRPr="00D81C27" w14:paraId="7A0E9FE6" w14:textId="77777777" w:rsidTr="00DB330E">
        <w:tc>
          <w:tcPr>
            <w:tcW w:w="1526" w:type="dxa"/>
            <w:shd w:val="clear" w:color="auto" w:fill="auto"/>
          </w:tcPr>
          <w:p w14:paraId="16CF2C15"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MfE</w:t>
            </w:r>
          </w:p>
        </w:tc>
        <w:tc>
          <w:tcPr>
            <w:tcW w:w="7092" w:type="dxa"/>
            <w:shd w:val="clear" w:color="auto" w:fill="auto"/>
          </w:tcPr>
          <w:p w14:paraId="24DAD448"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Ministry for the Environment</w:t>
            </w:r>
          </w:p>
        </w:tc>
      </w:tr>
      <w:tr w:rsidR="00D40AF3" w:rsidRPr="00D81C27" w14:paraId="32B6A56D" w14:textId="77777777" w:rsidTr="00DB330E">
        <w:tc>
          <w:tcPr>
            <w:tcW w:w="1526" w:type="dxa"/>
            <w:shd w:val="clear" w:color="auto" w:fill="auto"/>
          </w:tcPr>
          <w:p w14:paraId="1E194147" w14:textId="77777777" w:rsidR="00D40AF3" w:rsidRPr="00D81C27" w:rsidRDefault="00D40AF3" w:rsidP="00D81C27">
            <w:pPr>
              <w:pStyle w:val="BodyText"/>
              <w:spacing w:before="100" w:after="0"/>
              <w:rPr>
                <w:rFonts w:eastAsia="Calibri" w:cs="Calibri"/>
                <w:b/>
                <w:sz w:val="20"/>
                <w:szCs w:val="20"/>
              </w:rPr>
            </w:pPr>
            <w:r w:rsidRPr="00D81C27">
              <w:rPr>
                <w:rFonts w:cs="Calibri"/>
                <w:b/>
                <w:sz w:val="20"/>
                <w:szCs w:val="20"/>
              </w:rPr>
              <w:t>MgO</w:t>
            </w:r>
          </w:p>
        </w:tc>
        <w:tc>
          <w:tcPr>
            <w:tcW w:w="7092" w:type="dxa"/>
            <w:shd w:val="clear" w:color="auto" w:fill="auto"/>
          </w:tcPr>
          <w:p w14:paraId="49EA0B0C" w14:textId="77777777" w:rsidR="00D40AF3" w:rsidRPr="00D81C27" w:rsidRDefault="00D40AF3" w:rsidP="00D81C27">
            <w:pPr>
              <w:pStyle w:val="BodyText"/>
              <w:spacing w:before="100" w:after="0"/>
              <w:rPr>
                <w:rFonts w:eastAsia="Calibri" w:cs="Calibri"/>
                <w:sz w:val="20"/>
                <w:szCs w:val="20"/>
              </w:rPr>
            </w:pPr>
            <w:r w:rsidRPr="00D81C27">
              <w:rPr>
                <w:rFonts w:cs="Calibri"/>
                <w:sz w:val="20"/>
                <w:szCs w:val="20"/>
              </w:rPr>
              <w:t>magnesium oxide</w:t>
            </w:r>
          </w:p>
        </w:tc>
      </w:tr>
      <w:tr w:rsidR="00D40AF3" w:rsidRPr="00D81C27" w14:paraId="1BBC3E35" w14:textId="77777777" w:rsidTr="00DB330E">
        <w:tc>
          <w:tcPr>
            <w:tcW w:w="1526" w:type="dxa"/>
            <w:shd w:val="clear" w:color="auto" w:fill="auto"/>
          </w:tcPr>
          <w:p w14:paraId="23F506D0" w14:textId="77777777" w:rsidR="00D40AF3" w:rsidRPr="00D81C27" w:rsidRDefault="00D40AF3" w:rsidP="00D81C27">
            <w:pPr>
              <w:pStyle w:val="BodyText"/>
              <w:spacing w:before="100" w:after="0"/>
              <w:rPr>
                <w:rFonts w:cs="Calibri"/>
                <w:b/>
                <w:sz w:val="20"/>
                <w:szCs w:val="20"/>
              </w:rPr>
            </w:pPr>
            <w:r w:rsidRPr="00D81C27">
              <w:rPr>
                <w:rFonts w:cs="Calibri"/>
                <w:b/>
                <w:sz w:val="20"/>
                <w:szCs w:val="20"/>
              </w:rPr>
              <w:t>MiCORE</w:t>
            </w:r>
          </w:p>
        </w:tc>
        <w:tc>
          <w:tcPr>
            <w:tcW w:w="7092" w:type="dxa"/>
            <w:shd w:val="clear" w:color="auto" w:fill="auto"/>
          </w:tcPr>
          <w:p w14:paraId="0A132698" w14:textId="77777777" w:rsidR="00D40AF3" w:rsidRPr="00D81C27" w:rsidRDefault="00D40AF3" w:rsidP="00D81C27">
            <w:pPr>
              <w:pStyle w:val="BodyText"/>
              <w:spacing w:before="100" w:after="0"/>
              <w:rPr>
                <w:rFonts w:cs="Calibri"/>
                <w:sz w:val="20"/>
                <w:szCs w:val="20"/>
              </w:rPr>
            </w:pPr>
            <w:r w:rsidRPr="00D81C27">
              <w:rPr>
                <w:rFonts w:cs="Calibri"/>
                <w:sz w:val="20"/>
                <w:szCs w:val="20"/>
              </w:rPr>
              <w:t>Ministry for Climate, Oceans and Resilience (Tokelau)</w:t>
            </w:r>
          </w:p>
        </w:tc>
      </w:tr>
      <w:tr w:rsidR="00D40AF3" w:rsidRPr="00D81C27" w14:paraId="6E9FDAB0" w14:textId="77777777" w:rsidTr="00DB330E">
        <w:tc>
          <w:tcPr>
            <w:tcW w:w="1526" w:type="dxa"/>
            <w:shd w:val="clear" w:color="auto" w:fill="auto"/>
          </w:tcPr>
          <w:p w14:paraId="1FAB3872" w14:textId="77777777" w:rsidR="00D40AF3" w:rsidRPr="00D81C27" w:rsidRDefault="00D40AF3" w:rsidP="00D81C27">
            <w:pPr>
              <w:pStyle w:val="BodyText"/>
              <w:spacing w:before="100" w:after="0"/>
              <w:rPr>
                <w:rFonts w:cs="Calibri"/>
                <w:b/>
                <w:sz w:val="20"/>
                <w:szCs w:val="20"/>
              </w:rPr>
            </w:pPr>
            <w:r w:rsidRPr="00D81C27">
              <w:rPr>
                <w:rFonts w:cs="Calibri"/>
                <w:b/>
                <w:sz w:val="20"/>
                <w:szCs w:val="20"/>
              </w:rPr>
              <w:t>MJ</w:t>
            </w:r>
          </w:p>
        </w:tc>
        <w:tc>
          <w:tcPr>
            <w:tcW w:w="7092" w:type="dxa"/>
            <w:shd w:val="clear" w:color="auto" w:fill="auto"/>
          </w:tcPr>
          <w:p w14:paraId="06A121F1" w14:textId="77777777" w:rsidR="00D40AF3" w:rsidRPr="00D81C27" w:rsidRDefault="00D40AF3" w:rsidP="00D81C27">
            <w:pPr>
              <w:pStyle w:val="BodyText"/>
              <w:spacing w:before="100" w:after="0"/>
              <w:rPr>
                <w:rFonts w:cs="Calibri"/>
                <w:sz w:val="20"/>
                <w:szCs w:val="20"/>
              </w:rPr>
            </w:pPr>
            <w:r w:rsidRPr="00D81C27">
              <w:rPr>
                <w:rFonts w:cs="Calibri"/>
                <w:sz w:val="20"/>
                <w:szCs w:val="20"/>
              </w:rPr>
              <w:t>megajoule</w:t>
            </w:r>
          </w:p>
        </w:tc>
      </w:tr>
      <w:tr w:rsidR="00D40AF3" w:rsidRPr="00D81C27" w14:paraId="296A8BE0" w14:textId="77777777" w:rsidTr="00DB330E">
        <w:tc>
          <w:tcPr>
            <w:tcW w:w="1526" w:type="dxa"/>
            <w:shd w:val="clear" w:color="auto" w:fill="auto"/>
          </w:tcPr>
          <w:p w14:paraId="05957E5D"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MOS</w:t>
            </w:r>
          </w:p>
        </w:tc>
        <w:tc>
          <w:tcPr>
            <w:tcW w:w="7092" w:type="dxa"/>
            <w:shd w:val="clear" w:color="auto" w:fill="auto"/>
          </w:tcPr>
          <w:p w14:paraId="531D62F7"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 xml:space="preserve">Monthly Oil Supply </w:t>
            </w:r>
          </w:p>
        </w:tc>
      </w:tr>
      <w:tr w:rsidR="00D40AF3" w:rsidRPr="00D81C27" w14:paraId="35CA8867" w14:textId="77777777" w:rsidTr="00DB330E">
        <w:tc>
          <w:tcPr>
            <w:tcW w:w="1526" w:type="dxa"/>
            <w:shd w:val="clear" w:color="auto" w:fill="auto"/>
          </w:tcPr>
          <w:p w14:paraId="7784EAA9"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MPI</w:t>
            </w:r>
          </w:p>
        </w:tc>
        <w:tc>
          <w:tcPr>
            <w:tcW w:w="7092" w:type="dxa"/>
            <w:shd w:val="clear" w:color="auto" w:fill="auto"/>
          </w:tcPr>
          <w:p w14:paraId="412B50E0"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Ministry for Primary Industries</w:t>
            </w:r>
          </w:p>
        </w:tc>
      </w:tr>
      <w:tr w:rsidR="00D40AF3" w:rsidRPr="00D81C27" w14:paraId="7A30BF5C" w14:textId="77777777" w:rsidTr="00DB330E">
        <w:tc>
          <w:tcPr>
            <w:tcW w:w="1526" w:type="dxa"/>
            <w:shd w:val="clear" w:color="auto" w:fill="auto"/>
          </w:tcPr>
          <w:p w14:paraId="35DFA7E4"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Mt</w:t>
            </w:r>
          </w:p>
        </w:tc>
        <w:tc>
          <w:tcPr>
            <w:tcW w:w="7092" w:type="dxa"/>
            <w:shd w:val="clear" w:color="auto" w:fill="auto"/>
          </w:tcPr>
          <w:p w14:paraId="6038B2D0"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megatonne(s)</w:t>
            </w:r>
          </w:p>
        </w:tc>
      </w:tr>
      <w:tr w:rsidR="00D40AF3" w:rsidRPr="00D81C27" w14:paraId="668FBBAB" w14:textId="77777777" w:rsidTr="00DB330E">
        <w:tc>
          <w:tcPr>
            <w:tcW w:w="1526" w:type="dxa"/>
            <w:shd w:val="clear" w:color="auto" w:fill="auto"/>
          </w:tcPr>
          <w:p w14:paraId="3B2A188B"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MW</w:t>
            </w:r>
          </w:p>
        </w:tc>
        <w:tc>
          <w:tcPr>
            <w:tcW w:w="7092" w:type="dxa"/>
            <w:shd w:val="clear" w:color="auto" w:fill="auto"/>
          </w:tcPr>
          <w:p w14:paraId="58FC6A88"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megawatt(s)</w:t>
            </w:r>
          </w:p>
        </w:tc>
      </w:tr>
      <w:tr w:rsidR="00D40AF3" w:rsidRPr="00D81C27" w14:paraId="4C7F9192" w14:textId="77777777" w:rsidTr="00DB330E">
        <w:tc>
          <w:tcPr>
            <w:tcW w:w="1526" w:type="dxa"/>
            <w:shd w:val="clear" w:color="auto" w:fill="auto"/>
          </w:tcPr>
          <w:p w14:paraId="331F8E47"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N</w:t>
            </w:r>
          </w:p>
        </w:tc>
        <w:tc>
          <w:tcPr>
            <w:tcW w:w="7092" w:type="dxa"/>
            <w:shd w:val="clear" w:color="auto" w:fill="auto"/>
          </w:tcPr>
          <w:p w14:paraId="5CA1F6A2"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nitrogen</w:t>
            </w:r>
          </w:p>
        </w:tc>
      </w:tr>
      <w:tr w:rsidR="00D40AF3" w:rsidRPr="00D81C27" w14:paraId="66A6F027" w14:textId="77777777" w:rsidTr="00DB330E">
        <w:tc>
          <w:tcPr>
            <w:tcW w:w="1526" w:type="dxa"/>
            <w:shd w:val="clear" w:color="auto" w:fill="auto"/>
          </w:tcPr>
          <w:p w14:paraId="55007D62"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N</w:t>
            </w:r>
            <w:r w:rsidRPr="00D81C27">
              <w:rPr>
                <w:rFonts w:eastAsia="Calibri" w:cs="Calibri"/>
                <w:b/>
                <w:sz w:val="20"/>
                <w:szCs w:val="20"/>
                <w:vertAlign w:val="subscript"/>
              </w:rPr>
              <w:t>2</w:t>
            </w:r>
            <w:r w:rsidRPr="00D81C27">
              <w:rPr>
                <w:rFonts w:eastAsia="Calibri" w:cs="Calibri"/>
                <w:b/>
                <w:sz w:val="20"/>
                <w:szCs w:val="20"/>
              </w:rPr>
              <w:t xml:space="preserve">O </w:t>
            </w:r>
          </w:p>
        </w:tc>
        <w:tc>
          <w:tcPr>
            <w:tcW w:w="7092" w:type="dxa"/>
            <w:shd w:val="clear" w:color="auto" w:fill="auto"/>
          </w:tcPr>
          <w:p w14:paraId="0ED6EF4C"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nitrous oxide</w:t>
            </w:r>
          </w:p>
        </w:tc>
      </w:tr>
      <w:tr w:rsidR="00D40AF3" w:rsidRPr="00D81C27" w14:paraId="41985E74" w14:textId="77777777" w:rsidTr="00DB330E">
        <w:tc>
          <w:tcPr>
            <w:tcW w:w="1526" w:type="dxa"/>
            <w:shd w:val="clear" w:color="auto" w:fill="auto"/>
          </w:tcPr>
          <w:p w14:paraId="2D57F531"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 xml:space="preserve">NA </w:t>
            </w:r>
          </w:p>
        </w:tc>
        <w:tc>
          <w:tcPr>
            <w:tcW w:w="7092" w:type="dxa"/>
            <w:shd w:val="clear" w:color="auto" w:fill="auto"/>
          </w:tcPr>
          <w:p w14:paraId="2266174B"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not applicable</w:t>
            </w:r>
          </w:p>
        </w:tc>
      </w:tr>
      <w:tr w:rsidR="00D40AF3" w:rsidRPr="00D81C27" w14:paraId="675090E7" w14:textId="77777777" w:rsidTr="00DB330E">
        <w:tc>
          <w:tcPr>
            <w:tcW w:w="1526" w:type="dxa"/>
            <w:shd w:val="clear" w:color="auto" w:fill="auto"/>
          </w:tcPr>
          <w:p w14:paraId="0D6C698D"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NE</w:t>
            </w:r>
          </w:p>
        </w:tc>
        <w:tc>
          <w:tcPr>
            <w:tcW w:w="7092" w:type="dxa"/>
            <w:shd w:val="clear" w:color="auto" w:fill="auto"/>
          </w:tcPr>
          <w:p w14:paraId="1319FECC"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not estimated</w:t>
            </w:r>
          </w:p>
        </w:tc>
      </w:tr>
      <w:tr w:rsidR="00D40AF3" w:rsidRPr="00D81C27" w14:paraId="469963ED" w14:textId="77777777" w:rsidTr="00DB330E">
        <w:tc>
          <w:tcPr>
            <w:tcW w:w="1526" w:type="dxa"/>
            <w:shd w:val="clear" w:color="auto" w:fill="auto"/>
          </w:tcPr>
          <w:p w14:paraId="18D3E1FC"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 xml:space="preserve">NEFD </w:t>
            </w:r>
          </w:p>
        </w:tc>
        <w:tc>
          <w:tcPr>
            <w:tcW w:w="7092" w:type="dxa"/>
            <w:shd w:val="clear" w:color="auto" w:fill="auto"/>
          </w:tcPr>
          <w:p w14:paraId="139141E3"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National Exotic Forest Description</w:t>
            </w:r>
          </w:p>
        </w:tc>
      </w:tr>
      <w:tr w:rsidR="00D40AF3" w:rsidRPr="00D81C27" w14:paraId="63C9D4DC" w14:textId="77777777" w:rsidTr="00DB330E">
        <w:tc>
          <w:tcPr>
            <w:tcW w:w="1526" w:type="dxa"/>
            <w:shd w:val="clear" w:color="auto" w:fill="auto"/>
          </w:tcPr>
          <w:p w14:paraId="059B595D" w14:textId="77777777" w:rsidR="00D40AF3" w:rsidRPr="00D81C27" w:rsidRDefault="00D40AF3" w:rsidP="00D81C27">
            <w:pPr>
              <w:pStyle w:val="BodyText"/>
              <w:spacing w:before="100" w:after="0"/>
              <w:rPr>
                <w:rFonts w:eastAsia="Calibri" w:cs="Calibri"/>
                <w:b/>
                <w:sz w:val="20"/>
                <w:szCs w:val="20"/>
              </w:rPr>
            </w:pPr>
            <w:r w:rsidRPr="00D81C27">
              <w:rPr>
                <w:rFonts w:cs="Calibri"/>
                <w:b/>
                <w:sz w:val="20"/>
                <w:szCs w:val="20"/>
              </w:rPr>
              <w:t>N</w:t>
            </w:r>
            <w:r w:rsidRPr="00D81C27">
              <w:rPr>
                <w:rFonts w:cs="Calibri"/>
                <w:b/>
                <w:sz w:val="20"/>
                <w:szCs w:val="20"/>
                <w:vertAlign w:val="subscript"/>
              </w:rPr>
              <w:t>ex</w:t>
            </w:r>
          </w:p>
        </w:tc>
        <w:tc>
          <w:tcPr>
            <w:tcW w:w="7092" w:type="dxa"/>
            <w:shd w:val="clear" w:color="auto" w:fill="auto"/>
          </w:tcPr>
          <w:p w14:paraId="33BFE53B" w14:textId="77777777" w:rsidR="00D40AF3" w:rsidRPr="00D81C27" w:rsidRDefault="00D40AF3" w:rsidP="00D81C27">
            <w:pPr>
              <w:pStyle w:val="BodyText"/>
              <w:spacing w:before="100" w:after="0"/>
              <w:rPr>
                <w:rFonts w:eastAsia="Calibri" w:cs="Calibri"/>
                <w:sz w:val="20"/>
                <w:szCs w:val="20"/>
              </w:rPr>
            </w:pPr>
            <w:r w:rsidRPr="00D81C27">
              <w:rPr>
                <w:rFonts w:cs="Calibri"/>
                <w:sz w:val="20"/>
                <w:szCs w:val="20"/>
              </w:rPr>
              <w:t xml:space="preserve">nitrogen excretion rates </w:t>
            </w:r>
          </w:p>
        </w:tc>
      </w:tr>
      <w:tr w:rsidR="00D40AF3" w:rsidRPr="00D81C27" w14:paraId="7B3B42AB" w14:textId="77777777" w:rsidTr="00DB330E">
        <w:tc>
          <w:tcPr>
            <w:tcW w:w="1526" w:type="dxa"/>
            <w:shd w:val="clear" w:color="auto" w:fill="auto"/>
          </w:tcPr>
          <w:p w14:paraId="50F7E040"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NF</w:t>
            </w:r>
            <w:r w:rsidRPr="00D81C27">
              <w:rPr>
                <w:rFonts w:eastAsia="Calibri" w:cs="Calibri"/>
                <w:b/>
                <w:sz w:val="20"/>
                <w:szCs w:val="20"/>
                <w:vertAlign w:val="subscript"/>
              </w:rPr>
              <w:t>3</w:t>
            </w:r>
          </w:p>
        </w:tc>
        <w:tc>
          <w:tcPr>
            <w:tcW w:w="7092" w:type="dxa"/>
            <w:shd w:val="clear" w:color="auto" w:fill="auto"/>
          </w:tcPr>
          <w:p w14:paraId="5062D968"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nitrogen trifluoride</w:t>
            </w:r>
          </w:p>
        </w:tc>
      </w:tr>
      <w:tr w:rsidR="00D40AF3" w:rsidRPr="00D81C27" w14:paraId="393EA56F" w14:textId="77777777" w:rsidTr="00DB330E">
        <w:tc>
          <w:tcPr>
            <w:tcW w:w="1526" w:type="dxa"/>
            <w:shd w:val="clear" w:color="auto" w:fill="auto"/>
          </w:tcPr>
          <w:p w14:paraId="2B799CCC" w14:textId="77777777" w:rsidR="00D40AF3" w:rsidRPr="00D81C27" w:rsidRDefault="00D40AF3" w:rsidP="00D81C27">
            <w:pPr>
              <w:pStyle w:val="BodyText"/>
              <w:spacing w:before="100" w:after="0"/>
              <w:rPr>
                <w:rFonts w:eastAsia="Calibri" w:cs="Calibri"/>
                <w:b/>
                <w:sz w:val="20"/>
                <w:szCs w:val="20"/>
              </w:rPr>
            </w:pPr>
            <w:r w:rsidRPr="00D81C27">
              <w:rPr>
                <w:rFonts w:cs="Calibri"/>
                <w:b/>
                <w:sz w:val="20"/>
                <w:szCs w:val="20"/>
              </w:rPr>
              <w:lastRenderedPageBreak/>
              <w:t>NH</w:t>
            </w:r>
            <w:r w:rsidRPr="00D81C27">
              <w:rPr>
                <w:rFonts w:cs="Calibri"/>
                <w:b/>
                <w:sz w:val="20"/>
                <w:szCs w:val="20"/>
                <w:vertAlign w:val="subscript"/>
              </w:rPr>
              <w:t>3</w:t>
            </w:r>
          </w:p>
        </w:tc>
        <w:tc>
          <w:tcPr>
            <w:tcW w:w="7092" w:type="dxa"/>
            <w:shd w:val="clear" w:color="auto" w:fill="auto"/>
          </w:tcPr>
          <w:p w14:paraId="73810F8E"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ammonia</w:t>
            </w:r>
          </w:p>
        </w:tc>
      </w:tr>
      <w:tr w:rsidR="00D40AF3" w:rsidRPr="00D81C27" w14:paraId="136A3B8B" w14:textId="77777777" w:rsidTr="00DB330E">
        <w:tc>
          <w:tcPr>
            <w:tcW w:w="1526" w:type="dxa"/>
            <w:shd w:val="clear" w:color="auto" w:fill="auto"/>
          </w:tcPr>
          <w:p w14:paraId="335D6E10"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NIR</w:t>
            </w:r>
          </w:p>
        </w:tc>
        <w:tc>
          <w:tcPr>
            <w:tcW w:w="7092" w:type="dxa"/>
            <w:shd w:val="clear" w:color="auto" w:fill="auto"/>
          </w:tcPr>
          <w:p w14:paraId="22543461"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national inventory report</w:t>
            </w:r>
          </w:p>
        </w:tc>
      </w:tr>
      <w:tr w:rsidR="00D40AF3" w:rsidRPr="00D81C27" w14:paraId="485BFFD7" w14:textId="77777777" w:rsidTr="00DB330E">
        <w:tc>
          <w:tcPr>
            <w:tcW w:w="1526" w:type="dxa"/>
            <w:shd w:val="clear" w:color="auto" w:fill="auto"/>
          </w:tcPr>
          <w:p w14:paraId="6D7AEFDA"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NMVOC</w:t>
            </w:r>
          </w:p>
        </w:tc>
        <w:tc>
          <w:tcPr>
            <w:tcW w:w="7092" w:type="dxa"/>
            <w:shd w:val="clear" w:color="auto" w:fill="auto"/>
          </w:tcPr>
          <w:p w14:paraId="20506C6B"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non-methane volatile organic compound</w:t>
            </w:r>
          </w:p>
        </w:tc>
      </w:tr>
      <w:tr w:rsidR="00D40AF3" w:rsidRPr="00D81C27" w14:paraId="4128F19E" w14:textId="77777777" w:rsidTr="00DB330E">
        <w:tc>
          <w:tcPr>
            <w:tcW w:w="1526" w:type="dxa"/>
            <w:shd w:val="clear" w:color="auto" w:fill="auto"/>
          </w:tcPr>
          <w:p w14:paraId="0C72B313"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NO</w:t>
            </w:r>
          </w:p>
        </w:tc>
        <w:tc>
          <w:tcPr>
            <w:tcW w:w="7092" w:type="dxa"/>
            <w:shd w:val="clear" w:color="auto" w:fill="auto"/>
          </w:tcPr>
          <w:p w14:paraId="274C9CD2"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not occurring</w:t>
            </w:r>
          </w:p>
        </w:tc>
      </w:tr>
      <w:tr w:rsidR="00D40AF3" w:rsidRPr="00D81C27" w14:paraId="7CEEA861" w14:textId="77777777" w:rsidTr="00DB330E">
        <w:tc>
          <w:tcPr>
            <w:tcW w:w="1526" w:type="dxa"/>
            <w:shd w:val="clear" w:color="auto" w:fill="auto"/>
          </w:tcPr>
          <w:p w14:paraId="5AC9FF42"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NO</w:t>
            </w:r>
            <w:r w:rsidRPr="00D81C27">
              <w:rPr>
                <w:rFonts w:eastAsia="Calibri" w:cs="Calibri"/>
                <w:b/>
                <w:sz w:val="20"/>
                <w:szCs w:val="20"/>
                <w:vertAlign w:val="subscript"/>
              </w:rPr>
              <w:t>3</w:t>
            </w:r>
          </w:p>
        </w:tc>
        <w:tc>
          <w:tcPr>
            <w:tcW w:w="7092" w:type="dxa"/>
            <w:shd w:val="clear" w:color="auto" w:fill="auto"/>
          </w:tcPr>
          <w:p w14:paraId="12525E0C"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nitrate</w:t>
            </w:r>
          </w:p>
        </w:tc>
      </w:tr>
      <w:tr w:rsidR="00D40AF3" w:rsidRPr="00D81C27" w14:paraId="5FEA4FAC" w14:textId="77777777" w:rsidTr="00DB330E">
        <w:tc>
          <w:tcPr>
            <w:tcW w:w="1526" w:type="dxa"/>
            <w:shd w:val="clear" w:color="auto" w:fill="auto"/>
          </w:tcPr>
          <w:p w14:paraId="6ABE9004"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NOx</w:t>
            </w:r>
          </w:p>
        </w:tc>
        <w:tc>
          <w:tcPr>
            <w:tcW w:w="7092" w:type="dxa"/>
            <w:shd w:val="clear" w:color="auto" w:fill="auto"/>
          </w:tcPr>
          <w:p w14:paraId="2BA7D02E"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nitrogen oxides (other than nitrous oxide)</w:t>
            </w:r>
          </w:p>
        </w:tc>
      </w:tr>
      <w:tr w:rsidR="00D40AF3" w:rsidRPr="00D81C27" w14:paraId="4ECE9F65" w14:textId="77777777" w:rsidTr="00DB330E">
        <w:tc>
          <w:tcPr>
            <w:tcW w:w="1526" w:type="dxa"/>
            <w:shd w:val="clear" w:color="auto" w:fill="auto"/>
          </w:tcPr>
          <w:p w14:paraId="3AFF66F5"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NRFA</w:t>
            </w:r>
          </w:p>
        </w:tc>
        <w:tc>
          <w:tcPr>
            <w:tcW w:w="7092" w:type="dxa"/>
            <w:shd w:val="clear" w:color="auto" w:fill="auto"/>
          </w:tcPr>
          <w:p w14:paraId="731D86F0" w14:textId="77777777" w:rsidR="00D40AF3" w:rsidRPr="00D81C27" w:rsidRDefault="00D40AF3" w:rsidP="00D81C27">
            <w:pPr>
              <w:pStyle w:val="BodyText"/>
              <w:spacing w:before="100" w:after="0"/>
              <w:rPr>
                <w:rFonts w:eastAsia="Calibri" w:cs="Calibri"/>
                <w:sz w:val="20"/>
                <w:szCs w:val="20"/>
              </w:rPr>
            </w:pPr>
            <w:r w:rsidRPr="00D81C27">
              <w:rPr>
                <w:rFonts w:cs="Calibri"/>
                <w:sz w:val="20"/>
                <w:szCs w:val="20"/>
              </w:rPr>
              <w:t>New Zealand Rural Fire Authority</w:t>
            </w:r>
          </w:p>
        </w:tc>
      </w:tr>
      <w:tr w:rsidR="00D40AF3" w:rsidRPr="00D81C27" w14:paraId="3945F039" w14:textId="77777777" w:rsidTr="00DB330E">
        <w:tc>
          <w:tcPr>
            <w:tcW w:w="1526" w:type="dxa"/>
            <w:shd w:val="clear" w:color="auto" w:fill="auto"/>
          </w:tcPr>
          <w:p w14:paraId="67C5C96B"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NSD</w:t>
            </w:r>
          </w:p>
        </w:tc>
        <w:tc>
          <w:tcPr>
            <w:tcW w:w="7092" w:type="dxa"/>
            <w:shd w:val="clear" w:color="auto" w:fill="auto"/>
          </w:tcPr>
          <w:p w14:paraId="29CD0502"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National Soils Database</w:t>
            </w:r>
          </w:p>
        </w:tc>
      </w:tr>
      <w:tr w:rsidR="00D40AF3" w:rsidRPr="00D81C27" w14:paraId="3340A590" w14:textId="77777777" w:rsidTr="00DB330E">
        <w:tc>
          <w:tcPr>
            <w:tcW w:w="1526" w:type="dxa"/>
            <w:shd w:val="clear" w:color="auto" w:fill="auto"/>
          </w:tcPr>
          <w:p w14:paraId="4B1D9405"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NZAGRC</w:t>
            </w:r>
          </w:p>
        </w:tc>
        <w:tc>
          <w:tcPr>
            <w:tcW w:w="7092" w:type="dxa"/>
            <w:shd w:val="clear" w:color="auto" w:fill="auto"/>
          </w:tcPr>
          <w:p w14:paraId="48C47170"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New Zealand Agricultural Greenhouse Gas Research Centre</w:t>
            </w:r>
          </w:p>
        </w:tc>
      </w:tr>
      <w:tr w:rsidR="00D40AF3" w:rsidRPr="00D81C27" w14:paraId="29317645" w14:textId="77777777" w:rsidTr="00DB330E">
        <w:tc>
          <w:tcPr>
            <w:tcW w:w="1526" w:type="dxa"/>
            <w:shd w:val="clear" w:color="auto" w:fill="auto"/>
          </w:tcPr>
          <w:p w14:paraId="521C50EA" w14:textId="77777777" w:rsidR="00D40AF3" w:rsidRPr="00D81C27" w:rsidRDefault="00D40AF3" w:rsidP="00D81C27">
            <w:pPr>
              <w:pStyle w:val="BodyText"/>
              <w:spacing w:before="100" w:after="0"/>
              <w:rPr>
                <w:rFonts w:eastAsia="Calibri" w:cs="Calibri"/>
                <w:b/>
                <w:sz w:val="20"/>
                <w:szCs w:val="20"/>
              </w:rPr>
            </w:pPr>
            <w:r w:rsidRPr="00D81C27">
              <w:rPr>
                <w:rFonts w:cs="Calibri"/>
                <w:b/>
                <w:sz w:val="20"/>
                <w:szCs w:val="20"/>
              </w:rPr>
              <w:t>NZAS</w:t>
            </w:r>
          </w:p>
        </w:tc>
        <w:tc>
          <w:tcPr>
            <w:tcW w:w="7092" w:type="dxa"/>
            <w:shd w:val="clear" w:color="auto" w:fill="auto"/>
          </w:tcPr>
          <w:p w14:paraId="2359056A" w14:textId="77777777" w:rsidR="00D40AF3" w:rsidRPr="00D81C27" w:rsidRDefault="00D40AF3" w:rsidP="00D81C27">
            <w:pPr>
              <w:pStyle w:val="BodyText"/>
              <w:spacing w:before="100" w:after="0"/>
              <w:rPr>
                <w:rFonts w:eastAsia="Calibri" w:cs="Calibri"/>
                <w:sz w:val="20"/>
                <w:szCs w:val="20"/>
              </w:rPr>
            </w:pPr>
            <w:r w:rsidRPr="00D81C27">
              <w:rPr>
                <w:rFonts w:cs="Calibri"/>
                <w:sz w:val="20"/>
                <w:szCs w:val="20"/>
              </w:rPr>
              <w:t>New Zealand Aluminium Smelters Limited</w:t>
            </w:r>
          </w:p>
        </w:tc>
      </w:tr>
      <w:tr w:rsidR="00D40AF3" w:rsidRPr="00D81C27" w14:paraId="0F1D07E4" w14:textId="77777777" w:rsidTr="00DB330E">
        <w:tc>
          <w:tcPr>
            <w:tcW w:w="1526" w:type="dxa"/>
            <w:shd w:val="clear" w:color="auto" w:fill="auto"/>
          </w:tcPr>
          <w:p w14:paraId="699308D6"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 xml:space="preserve">NZ ETS </w:t>
            </w:r>
          </w:p>
        </w:tc>
        <w:tc>
          <w:tcPr>
            <w:tcW w:w="7092" w:type="dxa"/>
            <w:shd w:val="clear" w:color="auto" w:fill="auto"/>
          </w:tcPr>
          <w:p w14:paraId="48C6D66E"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New Zealand Emissions Trading Scheme</w:t>
            </w:r>
          </w:p>
        </w:tc>
      </w:tr>
      <w:tr w:rsidR="00D40AF3" w:rsidRPr="00D81C27" w14:paraId="3AC7F65D" w14:textId="77777777" w:rsidTr="00DB330E">
        <w:tc>
          <w:tcPr>
            <w:tcW w:w="1526" w:type="dxa"/>
            <w:shd w:val="clear" w:color="auto" w:fill="auto"/>
          </w:tcPr>
          <w:p w14:paraId="67C465B5"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NZLRI</w:t>
            </w:r>
          </w:p>
        </w:tc>
        <w:tc>
          <w:tcPr>
            <w:tcW w:w="7092" w:type="dxa"/>
            <w:shd w:val="clear" w:color="auto" w:fill="auto"/>
          </w:tcPr>
          <w:p w14:paraId="747EAD36"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New Zealand Land Resource Inventory</w:t>
            </w:r>
          </w:p>
        </w:tc>
      </w:tr>
      <w:tr w:rsidR="00D40AF3" w:rsidRPr="00D81C27" w14:paraId="67A49898" w14:textId="77777777" w:rsidTr="00DB330E">
        <w:tc>
          <w:tcPr>
            <w:tcW w:w="1526" w:type="dxa"/>
            <w:shd w:val="clear" w:color="auto" w:fill="auto"/>
          </w:tcPr>
          <w:p w14:paraId="24433078"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NZU</w:t>
            </w:r>
          </w:p>
        </w:tc>
        <w:tc>
          <w:tcPr>
            <w:tcW w:w="7092" w:type="dxa"/>
            <w:shd w:val="clear" w:color="auto" w:fill="auto"/>
          </w:tcPr>
          <w:p w14:paraId="40A72789"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New Zealand Unit</w:t>
            </w:r>
          </w:p>
        </w:tc>
      </w:tr>
      <w:tr w:rsidR="00D40AF3" w:rsidRPr="00D81C27" w14:paraId="2E83FB17" w14:textId="77777777" w:rsidTr="00DB330E">
        <w:tc>
          <w:tcPr>
            <w:tcW w:w="1526" w:type="dxa"/>
            <w:shd w:val="clear" w:color="auto" w:fill="auto"/>
          </w:tcPr>
          <w:p w14:paraId="307EF9A7"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ODS</w:t>
            </w:r>
          </w:p>
        </w:tc>
        <w:tc>
          <w:tcPr>
            <w:tcW w:w="7092" w:type="dxa"/>
            <w:shd w:val="clear" w:color="auto" w:fill="auto"/>
          </w:tcPr>
          <w:p w14:paraId="123C4DDE"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ozone-depleting substances</w:t>
            </w:r>
          </w:p>
        </w:tc>
      </w:tr>
      <w:tr w:rsidR="00D40AF3" w:rsidRPr="00D81C27" w14:paraId="47279C31" w14:textId="77777777" w:rsidTr="00DB330E">
        <w:tc>
          <w:tcPr>
            <w:tcW w:w="1526" w:type="dxa"/>
            <w:shd w:val="clear" w:color="auto" w:fill="auto"/>
          </w:tcPr>
          <w:p w14:paraId="18447919"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OECD</w:t>
            </w:r>
          </w:p>
        </w:tc>
        <w:tc>
          <w:tcPr>
            <w:tcW w:w="7092" w:type="dxa"/>
            <w:shd w:val="clear" w:color="auto" w:fill="auto"/>
          </w:tcPr>
          <w:p w14:paraId="15E68276"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 xml:space="preserve">Organisation for Economic Co-operation and Development </w:t>
            </w:r>
          </w:p>
        </w:tc>
      </w:tr>
      <w:tr w:rsidR="00D40AF3" w:rsidRPr="00D81C27" w14:paraId="220768EA" w14:textId="77777777" w:rsidTr="00DB330E">
        <w:tc>
          <w:tcPr>
            <w:tcW w:w="1526" w:type="dxa"/>
            <w:shd w:val="clear" w:color="auto" w:fill="auto"/>
          </w:tcPr>
          <w:p w14:paraId="559FEDE6"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PFC</w:t>
            </w:r>
          </w:p>
        </w:tc>
        <w:tc>
          <w:tcPr>
            <w:tcW w:w="7092" w:type="dxa"/>
            <w:shd w:val="clear" w:color="auto" w:fill="auto"/>
          </w:tcPr>
          <w:p w14:paraId="7376722F"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perfluorocarbon</w:t>
            </w:r>
          </w:p>
        </w:tc>
      </w:tr>
      <w:tr w:rsidR="00D40AF3" w:rsidRPr="00D81C27" w14:paraId="0DD42051" w14:textId="77777777" w:rsidTr="00DB330E">
        <w:tc>
          <w:tcPr>
            <w:tcW w:w="1526" w:type="dxa"/>
            <w:shd w:val="clear" w:color="auto" w:fill="auto"/>
          </w:tcPr>
          <w:p w14:paraId="1150ABF5" w14:textId="77777777" w:rsidR="00D40AF3" w:rsidRPr="00D81C27" w:rsidRDefault="00D40AF3" w:rsidP="00D81C27">
            <w:pPr>
              <w:pStyle w:val="BodyText"/>
              <w:spacing w:before="100" w:after="0"/>
              <w:rPr>
                <w:rFonts w:eastAsia="Calibri" w:cs="Calibri"/>
                <w:b/>
                <w:bCs/>
                <w:sz w:val="20"/>
                <w:szCs w:val="20"/>
                <w:highlight w:val="yellow"/>
              </w:rPr>
            </w:pPr>
            <w:r w:rsidRPr="00D81C27">
              <w:rPr>
                <w:rFonts w:cs="Calibri"/>
                <w:b/>
                <w:bCs/>
                <w:sz w:val="20"/>
                <w:szCs w:val="20"/>
              </w:rPr>
              <w:t>PGGRC</w:t>
            </w:r>
          </w:p>
        </w:tc>
        <w:tc>
          <w:tcPr>
            <w:tcW w:w="7092" w:type="dxa"/>
            <w:shd w:val="clear" w:color="auto" w:fill="auto"/>
          </w:tcPr>
          <w:p w14:paraId="5EE18C66" w14:textId="77777777" w:rsidR="00D40AF3" w:rsidRPr="00D81C27" w:rsidRDefault="00D40AF3" w:rsidP="00D81C27">
            <w:pPr>
              <w:pStyle w:val="BodyText"/>
              <w:spacing w:before="100" w:after="0"/>
              <w:rPr>
                <w:rFonts w:eastAsia="Calibri" w:cs="Calibri"/>
                <w:sz w:val="20"/>
                <w:szCs w:val="20"/>
                <w:highlight w:val="yellow"/>
              </w:rPr>
            </w:pPr>
            <w:r w:rsidRPr="00D81C27">
              <w:rPr>
                <w:rFonts w:cs="Calibri"/>
                <w:sz w:val="20"/>
                <w:szCs w:val="20"/>
              </w:rPr>
              <w:t>Pastoral Greenhouse Gas Research Consortium</w:t>
            </w:r>
          </w:p>
        </w:tc>
      </w:tr>
      <w:tr w:rsidR="00D40AF3" w:rsidRPr="00D81C27" w14:paraId="4C26D882" w14:textId="77777777" w:rsidTr="00DB330E">
        <w:tc>
          <w:tcPr>
            <w:tcW w:w="1526" w:type="dxa"/>
            <w:shd w:val="clear" w:color="auto" w:fill="auto"/>
          </w:tcPr>
          <w:p w14:paraId="1DE86F30"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PJ</w:t>
            </w:r>
          </w:p>
        </w:tc>
        <w:tc>
          <w:tcPr>
            <w:tcW w:w="7092" w:type="dxa"/>
            <w:shd w:val="clear" w:color="auto" w:fill="auto"/>
          </w:tcPr>
          <w:p w14:paraId="78FE3AE8"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petajoule(s)</w:t>
            </w:r>
          </w:p>
        </w:tc>
      </w:tr>
      <w:tr w:rsidR="00D40AF3" w:rsidRPr="00D81C27" w14:paraId="784D9546" w14:textId="77777777" w:rsidTr="00DB330E">
        <w:tc>
          <w:tcPr>
            <w:tcW w:w="1526" w:type="dxa"/>
            <w:shd w:val="clear" w:color="auto" w:fill="auto"/>
          </w:tcPr>
          <w:p w14:paraId="094CC161"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PSP</w:t>
            </w:r>
          </w:p>
        </w:tc>
        <w:tc>
          <w:tcPr>
            <w:tcW w:w="7092" w:type="dxa"/>
            <w:shd w:val="clear" w:color="auto" w:fill="auto"/>
          </w:tcPr>
          <w:p w14:paraId="60A36B05"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permanent sample plot</w:t>
            </w:r>
          </w:p>
        </w:tc>
      </w:tr>
      <w:tr w:rsidR="00D40AF3" w:rsidRPr="00D81C27" w14:paraId="744B8456" w14:textId="77777777" w:rsidTr="00DB330E">
        <w:tc>
          <w:tcPr>
            <w:tcW w:w="1526" w:type="dxa"/>
            <w:shd w:val="clear" w:color="auto" w:fill="auto"/>
          </w:tcPr>
          <w:p w14:paraId="5364A54D"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QA</w:t>
            </w:r>
          </w:p>
        </w:tc>
        <w:tc>
          <w:tcPr>
            <w:tcW w:w="7092" w:type="dxa"/>
            <w:shd w:val="clear" w:color="auto" w:fill="auto"/>
          </w:tcPr>
          <w:p w14:paraId="57265303"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quality assurance</w:t>
            </w:r>
          </w:p>
        </w:tc>
      </w:tr>
      <w:tr w:rsidR="00D40AF3" w:rsidRPr="00D81C27" w14:paraId="15ADEB87" w14:textId="77777777" w:rsidTr="00DB330E">
        <w:tc>
          <w:tcPr>
            <w:tcW w:w="1526" w:type="dxa"/>
            <w:shd w:val="clear" w:color="auto" w:fill="auto"/>
          </w:tcPr>
          <w:p w14:paraId="1020C6D0"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 xml:space="preserve">QC </w:t>
            </w:r>
          </w:p>
        </w:tc>
        <w:tc>
          <w:tcPr>
            <w:tcW w:w="7092" w:type="dxa"/>
            <w:shd w:val="clear" w:color="auto" w:fill="auto"/>
          </w:tcPr>
          <w:p w14:paraId="5477DEDF"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quality control</w:t>
            </w:r>
          </w:p>
        </w:tc>
      </w:tr>
      <w:tr w:rsidR="00D40AF3" w:rsidRPr="00D81C27" w14:paraId="0969F3B0" w14:textId="77777777" w:rsidTr="00DB330E">
        <w:tc>
          <w:tcPr>
            <w:tcW w:w="1526" w:type="dxa"/>
            <w:shd w:val="clear" w:color="auto" w:fill="auto"/>
          </w:tcPr>
          <w:p w14:paraId="4C315DB4"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RGG</w:t>
            </w:r>
          </w:p>
        </w:tc>
        <w:tc>
          <w:tcPr>
            <w:tcW w:w="7092" w:type="dxa"/>
            <w:shd w:val="clear" w:color="auto" w:fill="auto"/>
          </w:tcPr>
          <w:p w14:paraId="1CE49D0E"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 xml:space="preserve">Reporting Governance Group </w:t>
            </w:r>
          </w:p>
        </w:tc>
      </w:tr>
      <w:tr w:rsidR="00D40AF3" w:rsidRPr="00D81C27" w14:paraId="279CD8ED" w14:textId="77777777" w:rsidTr="00DB330E">
        <w:tc>
          <w:tcPr>
            <w:tcW w:w="1526" w:type="dxa"/>
            <w:shd w:val="clear" w:color="auto" w:fill="auto"/>
          </w:tcPr>
          <w:p w14:paraId="40B652FF"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RMU</w:t>
            </w:r>
          </w:p>
        </w:tc>
        <w:tc>
          <w:tcPr>
            <w:tcW w:w="7092" w:type="dxa"/>
            <w:shd w:val="clear" w:color="auto" w:fill="auto"/>
          </w:tcPr>
          <w:p w14:paraId="2D9AD2FC"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removal unit</w:t>
            </w:r>
          </w:p>
        </w:tc>
      </w:tr>
      <w:tr w:rsidR="00D40AF3" w:rsidRPr="00D81C27" w14:paraId="0F13A167" w14:textId="77777777" w:rsidTr="00DB330E">
        <w:tc>
          <w:tcPr>
            <w:tcW w:w="1526" w:type="dxa"/>
            <w:shd w:val="clear" w:color="auto" w:fill="auto"/>
          </w:tcPr>
          <w:p w14:paraId="473ACB99" w14:textId="77777777" w:rsidR="00D40AF3" w:rsidRPr="00D81C27" w:rsidRDefault="00D40AF3" w:rsidP="00D81C27">
            <w:pPr>
              <w:pStyle w:val="BodyText"/>
              <w:spacing w:before="100" w:after="0"/>
              <w:rPr>
                <w:rFonts w:eastAsia="Calibri" w:cs="Calibri"/>
                <w:b/>
                <w:bCs/>
                <w:sz w:val="20"/>
                <w:szCs w:val="20"/>
                <w:highlight w:val="yellow"/>
              </w:rPr>
            </w:pPr>
            <w:r w:rsidRPr="00D81C27">
              <w:rPr>
                <w:rFonts w:cs="Calibri"/>
                <w:b/>
                <w:bCs/>
                <w:sz w:val="20"/>
                <w:szCs w:val="20"/>
              </w:rPr>
              <w:t>SEforALL</w:t>
            </w:r>
          </w:p>
        </w:tc>
        <w:tc>
          <w:tcPr>
            <w:tcW w:w="7092" w:type="dxa"/>
            <w:shd w:val="clear" w:color="auto" w:fill="auto"/>
          </w:tcPr>
          <w:p w14:paraId="35A17BB5" w14:textId="77777777" w:rsidR="00D40AF3" w:rsidRPr="00D81C27" w:rsidRDefault="00D40AF3" w:rsidP="00D81C27">
            <w:pPr>
              <w:pStyle w:val="BodyText"/>
              <w:spacing w:before="100" w:after="0"/>
              <w:rPr>
                <w:rFonts w:eastAsia="Calibri" w:cs="Calibri"/>
                <w:sz w:val="20"/>
                <w:szCs w:val="20"/>
                <w:highlight w:val="yellow"/>
              </w:rPr>
            </w:pPr>
            <w:r w:rsidRPr="00D81C27">
              <w:rPr>
                <w:rFonts w:cs="Calibri"/>
                <w:sz w:val="20"/>
                <w:szCs w:val="20"/>
              </w:rPr>
              <w:t>Sustainable Energy for All</w:t>
            </w:r>
          </w:p>
        </w:tc>
      </w:tr>
      <w:tr w:rsidR="00D40AF3" w:rsidRPr="00D81C27" w14:paraId="55F0332D" w14:textId="77777777" w:rsidTr="00DB330E">
        <w:tc>
          <w:tcPr>
            <w:tcW w:w="1526" w:type="dxa"/>
            <w:shd w:val="clear" w:color="auto" w:fill="auto"/>
          </w:tcPr>
          <w:p w14:paraId="7F23AD4D"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SEF</w:t>
            </w:r>
          </w:p>
        </w:tc>
        <w:tc>
          <w:tcPr>
            <w:tcW w:w="7092" w:type="dxa"/>
            <w:shd w:val="clear" w:color="auto" w:fill="auto"/>
          </w:tcPr>
          <w:p w14:paraId="16BC6EB7"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standard electronic format</w:t>
            </w:r>
          </w:p>
        </w:tc>
      </w:tr>
      <w:tr w:rsidR="00D40AF3" w:rsidRPr="00D81C27" w14:paraId="3036408A" w14:textId="77777777" w:rsidTr="00DB330E">
        <w:tc>
          <w:tcPr>
            <w:tcW w:w="1526" w:type="dxa"/>
            <w:shd w:val="clear" w:color="auto" w:fill="auto"/>
          </w:tcPr>
          <w:p w14:paraId="7AE8373C"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SF</w:t>
            </w:r>
            <w:r w:rsidRPr="00D81C27">
              <w:rPr>
                <w:rFonts w:eastAsia="Calibri" w:cs="Calibri"/>
                <w:b/>
                <w:sz w:val="20"/>
                <w:szCs w:val="20"/>
                <w:vertAlign w:val="subscript"/>
              </w:rPr>
              <w:t>6</w:t>
            </w:r>
          </w:p>
        </w:tc>
        <w:tc>
          <w:tcPr>
            <w:tcW w:w="7092" w:type="dxa"/>
            <w:shd w:val="clear" w:color="auto" w:fill="auto"/>
          </w:tcPr>
          <w:p w14:paraId="399BFC99"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sulphur hexafluoride</w:t>
            </w:r>
          </w:p>
        </w:tc>
      </w:tr>
      <w:tr w:rsidR="00D40AF3" w:rsidRPr="00D81C27" w14:paraId="4B4E499D" w14:textId="77777777" w:rsidTr="00DB330E">
        <w:tc>
          <w:tcPr>
            <w:tcW w:w="1526" w:type="dxa"/>
            <w:shd w:val="clear" w:color="auto" w:fill="auto"/>
          </w:tcPr>
          <w:p w14:paraId="2C56C87F"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SO</w:t>
            </w:r>
            <w:r w:rsidRPr="00D81C27">
              <w:rPr>
                <w:rFonts w:eastAsia="Calibri" w:cs="Calibri"/>
                <w:b/>
                <w:sz w:val="20"/>
                <w:szCs w:val="20"/>
                <w:vertAlign w:val="subscript"/>
              </w:rPr>
              <w:t>2</w:t>
            </w:r>
          </w:p>
        </w:tc>
        <w:tc>
          <w:tcPr>
            <w:tcW w:w="7092" w:type="dxa"/>
            <w:shd w:val="clear" w:color="auto" w:fill="auto"/>
          </w:tcPr>
          <w:p w14:paraId="18568C3A"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sulphur dioxide</w:t>
            </w:r>
          </w:p>
        </w:tc>
      </w:tr>
      <w:tr w:rsidR="00D40AF3" w:rsidRPr="00D81C27" w14:paraId="4397C6DF" w14:textId="77777777" w:rsidTr="00DB330E">
        <w:tc>
          <w:tcPr>
            <w:tcW w:w="1526" w:type="dxa"/>
            <w:shd w:val="clear" w:color="auto" w:fill="auto"/>
          </w:tcPr>
          <w:p w14:paraId="156ADCE3"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SOC</w:t>
            </w:r>
          </w:p>
        </w:tc>
        <w:tc>
          <w:tcPr>
            <w:tcW w:w="7092" w:type="dxa"/>
            <w:shd w:val="clear" w:color="auto" w:fill="auto"/>
          </w:tcPr>
          <w:p w14:paraId="3FA8A391"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soil organic carbon</w:t>
            </w:r>
          </w:p>
        </w:tc>
      </w:tr>
      <w:tr w:rsidR="00D40AF3" w:rsidRPr="00D81C27" w14:paraId="6073E89B" w14:textId="77777777" w:rsidTr="00DB330E">
        <w:tc>
          <w:tcPr>
            <w:tcW w:w="1526" w:type="dxa"/>
            <w:shd w:val="clear" w:color="auto" w:fill="auto"/>
          </w:tcPr>
          <w:p w14:paraId="30B520A5"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Stats NZ</w:t>
            </w:r>
          </w:p>
        </w:tc>
        <w:tc>
          <w:tcPr>
            <w:tcW w:w="7092" w:type="dxa"/>
            <w:shd w:val="clear" w:color="auto" w:fill="auto"/>
          </w:tcPr>
          <w:p w14:paraId="2FB2264B"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Statistics New Zealand</w:t>
            </w:r>
          </w:p>
        </w:tc>
      </w:tr>
      <w:tr w:rsidR="00D40AF3" w:rsidRPr="00D81C27" w14:paraId="378E9E90" w14:textId="77777777" w:rsidTr="00DB330E">
        <w:tc>
          <w:tcPr>
            <w:tcW w:w="1526" w:type="dxa"/>
            <w:shd w:val="clear" w:color="auto" w:fill="auto"/>
          </w:tcPr>
          <w:p w14:paraId="59AF6896"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TACCC</w:t>
            </w:r>
          </w:p>
        </w:tc>
        <w:tc>
          <w:tcPr>
            <w:tcW w:w="7092" w:type="dxa"/>
            <w:shd w:val="clear" w:color="auto" w:fill="auto"/>
          </w:tcPr>
          <w:p w14:paraId="394C1A02"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transparency, accuracy, completeness, consistency and comparability</w:t>
            </w:r>
          </w:p>
        </w:tc>
      </w:tr>
      <w:tr w:rsidR="00D40AF3" w:rsidRPr="00D81C27" w14:paraId="66838EBA" w14:textId="77777777" w:rsidTr="00DB330E">
        <w:tc>
          <w:tcPr>
            <w:tcW w:w="1526" w:type="dxa"/>
            <w:shd w:val="clear" w:color="auto" w:fill="auto"/>
          </w:tcPr>
          <w:p w14:paraId="7565BA00"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 xml:space="preserve">tCER </w:t>
            </w:r>
          </w:p>
        </w:tc>
        <w:tc>
          <w:tcPr>
            <w:tcW w:w="7092" w:type="dxa"/>
            <w:shd w:val="clear" w:color="auto" w:fill="auto"/>
          </w:tcPr>
          <w:p w14:paraId="5A9D7AF9"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temporary certified emission reduction unit</w:t>
            </w:r>
          </w:p>
        </w:tc>
      </w:tr>
      <w:tr w:rsidR="00D40AF3" w:rsidRPr="00D81C27" w14:paraId="3DD31AF7" w14:textId="77777777" w:rsidTr="00DB330E">
        <w:tc>
          <w:tcPr>
            <w:tcW w:w="1526" w:type="dxa"/>
            <w:shd w:val="clear" w:color="auto" w:fill="auto"/>
          </w:tcPr>
          <w:p w14:paraId="60076177"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TJ</w:t>
            </w:r>
          </w:p>
        </w:tc>
        <w:tc>
          <w:tcPr>
            <w:tcW w:w="7092" w:type="dxa"/>
            <w:shd w:val="clear" w:color="auto" w:fill="auto"/>
          </w:tcPr>
          <w:p w14:paraId="163301A7"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terajoule</w:t>
            </w:r>
          </w:p>
        </w:tc>
      </w:tr>
      <w:tr w:rsidR="00D40AF3" w:rsidRPr="00D81C27" w14:paraId="6D1491A9" w14:textId="77777777" w:rsidTr="00DB330E">
        <w:tc>
          <w:tcPr>
            <w:tcW w:w="1526" w:type="dxa"/>
            <w:shd w:val="clear" w:color="auto" w:fill="auto"/>
          </w:tcPr>
          <w:p w14:paraId="66BE5184"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TOW</w:t>
            </w:r>
          </w:p>
        </w:tc>
        <w:tc>
          <w:tcPr>
            <w:tcW w:w="7092" w:type="dxa"/>
            <w:shd w:val="clear" w:color="auto" w:fill="auto"/>
          </w:tcPr>
          <w:p w14:paraId="2E4A225A" w14:textId="52742FBF"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total organic product in wastewater</w:t>
            </w:r>
          </w:p>
        </w:tc>
      </w:tr>
      <w:tr w:rsidR="00D40AF3" w:rsidRPr="00D81C27" w14:paraId="3F9F627A" w14:textId="77777777" w:rsidTr="00DB330E">
        <w:tc>
          <w:tcPr>
            <w:tcW w:w="1526" w:type="dxa"/>
            <w:shd w:val="clear" w:color="auto" w:fill="auto"/>
          </w:tcPr>
          <w:p w14:paraId="4924FEB9"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UEF</w:t>
            </w:r>
          </w:p>
        </w:tc>
        <w:tc>
          <w:tcPr>
            <w:tcW w:w="7092" w:type="dxa"/>
            <w:shd w:val="clear" w:color="auto" w:fill="auto"/>
          </w:tcPr>
          <w:p w14:paraId="2B4CE2A3"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unique emissions factor</w:t>
            </w:r>
          </w:p>
        </w:tc>
      </w:tr>
      <w:tr w:rsidR="00D40AF3" w:rsidRPr="00D81C27" w14:paraId="7D5104B9" w14:textId="77777777" w:rsidTr="00DB330E">
        <w:tc>
          <w:tcPr>
            <w:tcW w:w="1526" w:type="dxa"/>
            <w:shd w:val="clear" w:color="auto" w:fill="auto"/>
          </w:tcPr>
          <w:p w14:paraId="6091C54D"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 xml:space="preserve">UNFCCC </w:t>
            </w:r>
          </w:p>
        </w:tc>
        <w:tc>
          <w:tcPr>
            <w:tcW w:w="7092" w:type="dxa"/>
            <w:shd w:val="clear" w:color="auto" w:fill="auto"/>
          </w:tcPr>
          <w:p w14:paraId="534AF2CA" w14:textId="77777777" w:rsidR="00D40AF3" w:rsidRPr="00D81C27" w:rsidRDefault="00D40AF3" w:rsidP="00D81C27">
            <w:pPr>
              <w:pStyle w:val="BodyText"/>
              <w:spacing w:before="100" w:after="0"/>
              <w:rPr>
                <w:rFonts w:eastAsia="Calibri" w:cs="Calibri"/>
                <w:sz w:val="20"/>
                <w:szCs w:val="20"/>
              </w:rPr>
            </w:pPr>
            <w:r w:rsidRPr="00D81C27">
              <w:rPr>
                <w:rFonts w:eastAsia="Calibri" w:cs="Calibri"/>
                <w:sz w:val="20"/>
                <w:szCs w:val="20"/>
              </w:rPr>
              <w:t xml:space="preserve">United Nations Framework Convention on Climate Change </w:t>
            </w:r>
          </w:p>
        </w:tc>
      </w:tr>
      <w:tr w:rsidR="00D40AF3" w:rsidRPr="00D81C27" w14:paraId="1814E54B" w14:textId="77777777" w:rsidTr="00DB330E">
        <w:tc>
          <w:tcPr>
            <w:tcW w:w="1526" w:type="dxa"/>
            <w:shd w:val="clear" w:color="auto" w:fill="auto"/>
          </w:tcPr>
          <w:p w14:paraId="282F2924" w14:textId="77777777" w:rsidR="00D40AF3" w:rsidRPr="00D81C27" w:rsidRDefault="00D40AF3" w:rsidP="00D81C27">
            <w:pPr>
              <w:pStyle w:val="BodyText"/>
              <w:spacing w:before="100" w:after="0"/>
              <w:rPr>
                <w:rFonts w:eastAsia="Calibri" w:cs="Calibri"/>
                <w:b/>
                <w:sz w:val="20"/>
                <w:szCs w:val="20"/>
              </w:rPr>
            </w:pPr>
            <w:r w:rsidRPr="00D81C27">
              <w:rPr>
                <w:rFonts w:eastAsia="Calibri" w:cs="Calibri"/>
                <w:b/>
                <w:sz w:val="20"/>
                <w:szCs w:val="20"/>
              </w:rPr>
              <w:t>WTO</w:t>
            </w:r>
          </w:p>
        </w:tc>
        <w:tc>
          <w:tcPr>
            <w:tcW w:w="7092" w:type="dxa"/>
            <w:shd w:val="clear" w:color="auto" w:fill="auto"/>
          </w:tcPr>
          <w:p w14:paraId="344A0E57" w14:textId="77777777" w:rsidR="00D40AF3" w:rsidRPr="00D81C27" w:rsidRDefault="00D40AF3" w:rsidP="00D81C27">
            <w:pPr>
              <w:pStyle w:val="BodyText"/>
              <w:spacing w:before="100" w:after="0"/>
              <w:rPr>
                <w:rFonts w:eastAsia="Calibri" w:cs="Calibri"/>
                <w:sz w:val="20"/>
                <w:szCs w:val="20"/>
              </w:rPr>
            </w:pPr>
            <w:r w:rsidRPr="00D81C27">
              <w:rPr>
                <w:rFonts w:cs="Calibri"/>
                <w:sz w:val="20"/>
                <w:szCs w:val="20"/>
              </w:rPr>
              <w:t>World Trade Organisation</w:t>
            </w:r>
          </w:p>
        </w:tc>
      </w:tr>
    </w:tbl>
    <w:p w14:paraId="71987A52" w14:textId="3374E7D0" w:rsidR="00103A70" w:rsidRPr="00D9348B" w:rsidRDefault="00103A70" w:rsidP="00F44640">
      <w:pPr>
        <w:pStyle w:val="BodyText"/>
      </w:pPr>
    </w:p>
    <w:p w14:paraId="46FBF2F0" w14:textId="77777777" w:rsidR="00C21B54" w:rsidRPr="00D9348B" w:rsidRDefault="00C21B54" w:rsidP="006E0A2C">
      <w:pPr>
        <w:rPr>
          <w:rFonts w:cs="Calibri"/>
        </w:rPr>
      </w:pPr>
    </w:p>
    <w:p w14:paraId="4AA3BED9" w14:textId="77777777" w:rsidR="006E0A2C" w:rsidRPr="00D9348B" w:rsidRDefault="006E0A2C" w:rsidP="006E0A2C">
      <w:pPr>
        <w:rPr>
          <w:rFonts w:cs="Calibri"/>
        </w:rPr>
        <w:sectPr w:rsidR="006E0A2C" w:rsidRPr="00D9348B" w:rsidSect="007575A8">
          <w:footerReference w:type="even" r:id="rId20"/>
          <w:pgSz w:w="11907" w:h="16840" w:code="9"/>
          <w:pgMar w:top="1418" w:right="1701" w:bottom="1418" w:left="1701" w:header="567" w:footer="567" w:gutter="0"/>
          <w:pgNumType w:fmt="lowerRoman"/>
          <w:cols w:space="720"/>
        </w:sectPr>
      </w:pPr>
    </w:p>
    <w:p w14:paraId="39DC69E0" w14:textId="60314374" w:rsidR="00C4400C" w:rsidRPr="00D9348B" w:rsidRDefault="00C4400C" w:rsidP="00741439">
      <w:pPr>
        <w:pStyle w:val="Heading1"/>
        <w:spacing w:after="360"/>
      </w:pPr>
      <w:bookmarkStart w:id="10" w:name="_Toc511116556"/>
      <w:bookmarkStart w:id="11" w:name="_Toc5269318"/>
      <w:bookmarkStart w:id="12" w:name="_Toc36224358"/>
      <w:r w:rsidRPr="00D9348B">
        <w:lastRenderedPageBreak/>
        <w:t>Executive summary</w:t>
      </w:r>
      <w:bookmarkEnd w:id="10"/>
      <w:bookmarkEnd w:id="11"/>
      <w:bookmarkEnd w:id="12"/>
    </w:p>
    <w:tbl>
      <w:tblPr>
        <w:tblW w:w="85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2"/>
      </w:tblGrid>
      <w:tr w:rsidR="00D1512E" w:rsidRPr="00D9348B" w14:paraId="3D724BCE" w14:textId="77777777" w:rsidTr="00741439">
        <w:tc>
          <w:tcPr>
            <w:tcW w:w="8562" w:type="dxa"/>
            <w:shd w:val="clear" w:color="auto" w:fill="auto"/>
          </w:tcPr>
          <w:p w14:paraId="1ECFCDDE" w14:textId="77777777" w:rsidR="00D1512E" w:rsidRPr="00D9348B" w:rsidRDefault="00D1512E" w:rsidP="00DB330E">
            <w:pPr>
              <w:pStyle w:val="Keypointshead"/>
              <w:spacing w:before="200" w:after="0"/>
            </w:pPr>
            <w:bookmarkStart w:id="13" w:name="_Toc352504811"/>
            <w:bookmarkStart w:id="14" w:name="_Toc414531259"/>
            <w:bookmarkStart w:id="15" w:name="_Toc448321480"/>
            <w:bookmarkStart w:id="16" w:name="_Toc511116557"/>
            <w:r w:rsidRPr="00D9348B">
              <w:t>Key points</w:t>
            </w:r>
          </w:p>
          <w:p w14:paraId="25198FD9" w14:textId="77777777" w:rsidR="00D1512E" w:rsidRPr="00D9348B" w:rsidRDefault="00D1512E" w:rsidP="00DB330E">
            <w:pPr>
              <w:pStyle w:val="Keypointstext"/>
              <w:spacing w:after="0"/>
              <w:rPr>
                <w:b/>
                <w:bCs/>
              </w:rPr>
            </w:pPr>
            <w:r w:rsidRPr="00D9348B">
              <w:rPr>
                <w:b/>
                <w:bCs/>
              </w:rPr>
              <w:t>In 2018</w:t>
            </w:r>
          </w:p>
          <w:p w14:paraId="60B03546" w14:textId="77777777" w:rsidR="00D1512E" w:rsidRPr="00D9348B" w:rsidRDefault="00D1512E" w:rsidP="00D1512E">
            <w:pPr>
              <w:pStyle w:val="Keypointsbullet"/>
              <w:numPr>
                <w:ilvl w:val="0"/>
                <w:numId w:val="1"/>
              </w:numPr>
              <w:tabs>
                <w:tab w:val="clear" w:pos="851"/>
              </w:tabs>
              <w:spacing w:before="60"/>
              <w:ind w:left="681" w:hanging="397"/>
            </w:pPr>
            <w:r w:rsidRPr="00D9348B">
              <w:t>New Zealand’s gross greenhouse gas emissions were 78,862 kilotonnes carbon dioxide equivalent (kt CO</w:t>
            </w:r>
            <w:r w:rsidRPr="00D9348B">
              <w:rPr>
                <w:vertAlign w:val="subscript"/>
              </w:rPr>
              <w:t>2</w:t>
            </w:r>
            <w:r w:rsidRPr="00D9348B">
              <w:t>-e), comprising 44 per cent carbon dioxide, 43 per cent methane, 10 per cent nitrous oxide and 2 per cent fluorinated gases.</w:t>
            </w:r>
          </w:p>
          <w:p w14:paraId="62F8962B" w14:textId="77777777" w:rsidR="00D1512E" w:rsidRPr="00D9348B" w:rsidRDefault="00D1512E" w:rsidP="00D1512E">
            <w:pPr>
              <w:pStyle w:val="Keypointsbullet"/>
              <w:numPr>
                <w:ilvl w:val="0"/>
                <w:numId w:val="1"/>
              </w:numPr>
              <w:tabs>
                <w:tab w:val="clear" w:pos="851"/>
              </w:tabs>
              <w:spacing w:before="80"/>
              <w:ind w:left="681" w:hanging="397"/>
            </w:pPr>
            <w:r w:rsidRPr="00D9348B">
              <w:t>The Agriculture and Energy sectors were the two largest contributors to gross emissions, at 48 per cent and 41 per cent respectively.</w:t>
            </w:r>
          </w:p>
          <w:p w14:paraId="75A5E45B" w14:textId="77777777" w:rsidR="00D1512E" w:rsidRPr="00D9348B" w:rsidRDefault="00D1512E" w:rsidP="00D1512E">
            <w:pPr>
              <w:pStyle w:val="Keypointsbullet"/>
              <w:numPr>
                <w:ilvl w:val="0"/>
                <w:numId w:val="1"/>
              </w:numPr>
              <w:tabs>
                <w:tab w:val="clear" w:pos="851"/>
              </w:tabs>
              <w:spacing w:before="80"/>
              <w:ind w:left="681" w:hanging="397"/>
            </w:pPr>
            <w:r w:rsidRPr="00D9348B">
              <w:t>The Land Use, Land-Use Change and Forestry (LULUCF) sector offset 30 per cent of New Zealand’s gross emissions.</w:t>
            </w:r>
          </w:p>
          <w:p w14:paraId="7836771C" w14:textId="77777777" w:rsidR="00D1512E" w:rsidRPr="00D9348B" w:rsidRDefault="00D1512E" w:rsidP="00D1512E">
            <w:pPr>
              <w:pStyle w:val="Keypointsbullet"/>
              <w:numPr>
                <w:ilvl w:val="0"/>
                <w:numId w:val="1"/>
              </w:numPr>
              <w:tabs>
                <w:tab w:val="clear" w:pos="851"/>
              </w:tabs>
              <w:spacing w:before="80"/>
              <w:ind w:left="681" w:hanging="397"/>
            </w:pPr>
            <w:r w:rsidRPr="00D9348B">
              <w:t>New Zealand’s net emissions were 55,468 kt CO</w:t>
            </w:r>
            <w:r w:rsidRPr="00D9348B">
              <w:rPr>
                <w:vertAlign w:val="subscript"/>
              </w:rPr>
              <w:t>2</w:t>
            </w:r>
            <w:r w:rsidRPr="00D9348B">
              <w:t>-e in 2018.</w:t>
            </w:r>
          </w:p>
          <w:p w14:paraId="5C845758" w14:textId="77777777" w:rsidR="00D1512E" w:rsidRPr="00D9348B" w:rsidRDefault="00D1512E" w:rsidP="00DB330E">
            <w:pPr>
              <w:pStyle w:val="Keypointstext"/>
              <w:spacing w:before="160" w:after="0"/>
              <w:rPr>
                <w:b/>
              </w:rPr>
            </w:pPr>
            <w:r w:rsidRPr="00D9348B">
              <w:rPr>
                <w:b/>
              </w:rPr>
              <w:t xml:space="preserve">Since 1990 </w:t>
            </w:r>
          </w:p>
          <w:p w14:paraId="5C17B3A4" w14:textId="77777777" w:rsidR="00D1512E" w:rsidRPr="00D9348B" w:rsidRDefault="00D1512E" w:rsidP="00D1512E">
            <w:pPr>
              <w:pStyle w:val="Keypointsbullet"/>
              <w:numPr>
                <w:ilvl w:val="0"/>
                <w:numId w:val="1"/>
              </w:numPr>
              <w:tabs>
                <w:tab w:val="clear" w:pos="851"/>
              </w:tabs>
              <w:spacing w:before="60"/>
              <w:ind w:left="681" w:hanging="397"/>
            </w:pPr>
            <w:r w:rsidRPr="00D9348B">
              <w:t>New Zealand’s gross emissions have increased by 24 per cent (15,271 kt CO</w:t>
            </w:r>
            <w:r w:rsidRPr="00D9348B">
              <w:rPr>
                <w:vertAlign w:val="subscript"/>
              </w:rPr>
              <w:t>2</w:t>
            </w:r>
            <w:r w:rsidRPr="00D9348B">
              <w:t>-e). The five emission sources that contributed the most to this increase were:</w:t>
            </w:r>
          </w:p>
          <w:p w14:paraId="14539144" w14:textId="77777777" w:rsidR="00D1512E" w:rsidRPr="00D9348B" w:rsidRDefault="00D1512E" w:rsidP="00DB330E">
            <w:pPr>
              <w:pStyle w:val="Keypointsub-bullet"/>
              <w:spacing w:before="80"/>
            </w:pPr>
            <w:r w:rsidRPr="00D9348B">
              <w:t>enteric fermentation from dairy cattle (methane)</w:t>
            </w:r>
          </w:p>
          <w:p w14:paraId="64F8ACC0" w14:textId="77777777" w:rsidR="00D1512E" w:rsidRPr="00D9348B" w:rsidRDefault="00D1512E" w:rsidP="00DB330E">
            <w:pPr>
              <w:pStyle w:val="Keypointsub-bullet"/>
              <w:spacing w:before="80"/>
            </w:pPr>
            <w:r w:rsidRPr="00D9348B">
              <w:t>fuel use in road transport (carbon dioxide)</w:t>
            </w:r>
          </w:p>
          <w:p w14:paraId="330833CB" w14:textId="77777777" w:rsidR="00D1512E" w:rsidRPr="00D9348B" w:rsidRDefault="00D1512E" w:rsidP="00DB330E">
            <w:pPr>
              <w:pStyle w:val="Keypointsub-bullet"/>
              <w:spacing w:before="80"/>
            </w:pPr>
            <w:r w:rsidRPr="00D9348B">
              <w:t>agricultural soils, from increased fertiliser use (nitrous oxide)</w:t>
            </w:r>
          </w:p>
          <w:p w14:paraId="5CB7B7C1" w14:textId="77777777" w:rsidR="00D1512E" w:rsidRPr="00D9348B" w:rsidRDefault="00D1512E" w:rsidP="00DB330E">
            <w:pPr>
              <w:pStyle w:val="Keypointsub-bullet"/>
              <w:spacing w:before="80"/>
            </w:pPr>
            <w:r w:rsidRPr="00D9348B">
              <w:t>industrial and household refrigeration and air-conditioning systems from increased use of hydrofluorocarbon-based refrigerants that replaced ozone depleting substances (fluorinated gases)</w:t>
            </w:r>
          </w:p>
          <w:p w14:paraId="0F114C1F" w14:textId="77777777" w:rsidR="00D1512E" w:rsidRPr="00D9348B" w:rsidRDefault="00D1512E" w:rsidP="00DB330E">
            <w:pPr>
              <w:pStyle w:val="Keypointsub-bullet"/>
              <w:spacing w:before="80"/>
            </w:pPr>
            <w:proofErr w:type="gramStart"/>
            <w:r w:rsidRPr="00D9348B">
              <w:t>fuel</w:t>
            </w:r>
            <w:proofErr w:type="gramEnd"/>
            <w:r w:rsidRPr="00D9348B">
              <w:t xml:space="preserve"> use in </w:t>
            </w:r>
            <w:r w:rsidRPr="00D9348B">
              <w:rPr>
                <w:i/>
              </w:rPr>
              <w:t>Manufacturing industries and construction</w:t>
            </w:r>
            <w:r w:rsidRPr="00D9348B">
              <w:t xml:space="preserve"> from increased production due to economic growth (carbon dioxide).</w:t>
            </w:r>
          </w:p>
          <w:p w14:paraId="25A1EF0B" w14:textId="77777777" w:rsidR="00D1512E" w:rsidRPr="00D9348B" w:rsidRDefault="00D1512E" w:rsidP="00771A8F">
            <w:pPr>
              <w:pStyle w:val="Keypointsbullet"/>
              <w:numPr>
                <w:ilvl w:val="0"/>
                <w:numId w:val="31"/>
              </w:numPr>
              <w:spacing w:before="80"/>
              <w:ind w:left="681" w:hanging="397"/>
              <w:rPr>
                <w:rFonts w:cs="Arial"/>
              </w:rPr>
            </w:pPr>
            <w:r w:rsidRPr="00D9348B">
              <w:rPr>
                <w:rFonts w:cs="Arial"/>
              </w:rPr>
              <w:t>New Zealand’s net emissions increased by 57 per cent (20,174 kt CO</w:t>
            </w:r>
            <w:r w:rsidRPr="00D9348B">
              <w:rPr>
                <w:rFonts w:cs="Arial"/>
                <w:vertAlign w:val="subscript"/>
              </w:rPr>
              <w:t>2</w:t>
            </w:r>
            <w:r w:rsidRPr="00D9348B">
              <w:rPr>
                <w:rFonts w:cs="Arial"/>
              </w:rPr>
              <w:t>-e) due to the underlying increase in gross emissions and the increased volume of timber that was harvested from New Zealand’s plantation forest estate in 2018 compared with 1990.</w:t>
            </w:r>
          </w:p>
          <w:p w14:paraId="505C5229" w14:textId="77777777" w:rsidR="00D1512E" w:rsidRPr="00D9348B" w:rsidRDefault="00D1512E" w:rsidP="00DB330E">
            <w:pPr>
              <w:pStyle w:val="Keypointstext"/>
              <w:spacing w:after="0"/>
              <w:rPr>
                <w:b/>
              </w:rPr>
            </w:pPr>
            <w:r w:rsidRPr="00D9348B">
              <w:rPr>
                <w:b/>
              </w:rPr>
              <w:t>Between 2017 and 2018</w:t>
            </w:r>
          </w:p>
          <w:p w14:paraId="00C8CE95" w14:textId="77777777" w:rsidR="00D1512E" w:rsidRPr="00D9348B" w:rsidRDefault="00D1512E" w:rsidP="00D1512E">
            <w:pPr>
              <w:pStyle w:val="Keypointsbullet"/>
              <w:numPr>
                <w:ilvl w:val="0"/>
                <w:numId w:val="1"/>
              </w:numPr>
              <w:tabs>
                <w:tab w:val="clear" w:pos="851"/>
              </w:tabs>
              <w:spacing w:before="60"/>
              <w:ind w:left="681" w:hanging="397"/>
            </w:pPr>
            <w:r w:rsidRPr="00D9348B">
              <w:t>Gross emissions decreased by 1 per cent, which was largely attributed to a decrease in emissions from the Energy sector (by 3 per cent or 1,058 kt CO</w:t>
            </w:r>
            <w:r w:rsidRPr="00D9348B">
              <w:rPr>
                <w:vertAlign w:val="subscript"/>
              </w:rPr>
              <w:t>2</w:t>
            </w:r>
            <w:r w:rsidRPr="00D9348B">
              <w:t>-e) driven mainly by:</w:t>
            </w:r>
          </w:p>
          <w:p w14:paraId="32A9DBE2" w14:textId="1B1FAE69" w:rsidR="00D1512E" w:rsidRPr="00D9348B" w:rsidRDefault="00D1512E" w:rsidP="00DB330E">
            <w:pPr>
              <w:pStyle w:val="Keypointsub-bullet"/>
              <w:spacing w:before="80"/>
            </w:pPr>
            <w:r w:rsidRPr="00D9348B">
              <w:t xml:space="preserve">a decrease in emissions from </w:t>
            </w:r>
            <w:r w:rsidR="0073441C" w:rsidRPr="00D9348B">
              <w:rPr>
                <w:i/>
              </w:rPr>
              <w:t>Manufacturing industries and construction</w:t>
            </w:r>
            <w:r w:rsidR="0073441C" w:rsidRPr="00D9348B">
              <w:t xml:space="preserve"> </w:t>
            </w:r>
            <w:r w:rsidRPr="00D9348B">
              <w:t xml:space="preserve">largely </w:t>
            </w:r>
            <w:r w:rsidRPr="00D9348B">
              <w:rPr>
                <w:iCs/>
              </w:rPr>
              <w:t xml:space="preserve">due to </w:t>
            </w:r>
            <w:r w:rsidRPr="00D9348B">
              <w:t>outages at the Pohokura natural gas field</w:t>
            </w:r>
          </w:p>
          <w:p w14:paraId="396537F5" w14:textId="77777777" w:rsidR="00D1512E" w:rsidRPr="00D9348B" w:rsidRDefault="00D1512E" w:rsidP="00DB330E">
            <w:pPr>
              <w:pStyle w:val="Keypointsub-bullet"/>
              <w:spacing w:before="80"/>
            </w:pPr>
            <w:proofErr w:type="gramStart"/>
            <w:r w:rsidRPr="00D9348B">
              <w:t>a</w:t>
            </w:r>
            <w:proofErr w:type="gramEnd"/>
            <w:r w:rsidRPr="00D9348B">
              <w:t xml:space="preserve"> decrease in emissions from the </w:t>
            </w:r>
            <w:r w:rsidRPr="00D9348B">
              <w:rPr>
                <w:i/>
                <w:iCs/>
              </w:rPr>
              <w:t>Public electricity and heat production</w:t>
            </w:r>
            <w:r w:rsidRPr="00D9348B">
              <w:t xml:space="preserve"> category primarily due to a reduced need for natural gas-fired electricity generation in response to higher levels of hydro generation.</w:t>
            </w:r>
          </w:p>
          <w:p w14:paraId="7B208296" w14:textId="77777777" w:rsidR="00D1512E" w:rsidRPr="00D9348B" w:rsidRDefault="00D1512E" w:rsidP="00D1512E">
            <w:pPr>
              <w:pStyle w:val="Keypointsbullet"/>
              <w:numPr>
                <w:ilvl w:val="0"/>
                <w:numId w:val="1"/>
              </w:numPr>
              <w:tabs>
                <w:tab w:val="clear" w:pos="851"/>
              </w:tabs>
              <w:spacing w:before="80"/>
              <w:ind w:left="681" w:hanging="397"/>
            </w:pPr>
            <w:r w:rsidRPr="00D9348B">
              <w:t>Emissions from the Agriculture, Industrial processes and product use, and Waste sectors did not show significant changes overall beyond small annual variations below 1 per cent.</w:t>
            </w:r>
          </w:p>
          <w:p w14:paraId="293EAF14" w14:textId="77777777" w:rsidR="00D1512E" w:rsidRPr="00D9348B" w:rsidRDefault="00D1512E" w:rsidP="00D1512E">
            <w:pPr>
              <w:pStyle w:val="Keypointsbullet"/>
              <w:numPr>
                <w:ilvl w:val="0"/>
                <w:numId w:val="1"/>
              </w:numPr>
              <w:tabs>
                <w:tab w:val="clear" w:pos="851"/>
              </w:tabs>
              <w:spacing w:before="80"/>
              <w:ind w:left="681" w:hanging="397"/>
            </w:pPr>
            <w:r w:rsidRPr="00D9348B">
              <w:t>Net emissions decreased by 3 per cent (1,463 kt CO2-e), due to the underlying decrease in gross emissions and increased removals from LULUCF.</w:t>
            </w:r>
          </w:p>
          <w:p w14:paraId="64CF4C09" w14:textId="77777777" w:rsidR="00D1512E" w:rsidRPr="00D9348B" w:rsidRDefault="00D1512E" w:rsidP="00D1512E">
            <w:pPr>
              <w:pStyle w:val="Keypointsbullet"/>
              <w:numPr>
                <w:ilvl w:val="0"/>
                <w:numId w:val="1"/>
              </w:numPr>
              <w:tabs>
                <w:tab w:val="clear" w:pos="851"/>
              </w:tabs>
              <w:spacing w:before="80"/>
              <w:ind w:left="681" w:hanging="397"/>
            </w:pPr>
            <w:r w:rsidRPr="00D9348B">
              <w:t>Between 2017 and 2018, net emissions from the LULUCF sector decreased by 3 per cent (684 kt CO</w:t>
            </w:r>
            <w:r w:rsidRPr="00D9348B">
              <w:rPr>
                <w:vertAlign w:val="subscript"/>
              </w:rPr>
              <w:t>2</w:t>
            </w:r>
            <w:r w:rsidRPr="00D9348B">
              <w:noBreakHyphen/>
              <w:t>e), largely due to a reduced rate of deforestation and an increase in the production of harvested wood products.</w:t>
            </w:r>
          </w:p>
          <w:p w14:paraId="7FA4D0D4" w14:textId="77777777" w:rsidR="00D1512E" w:rsidRPr="00D9348B" w:rsidRDefault="00D1512E" w:rsidP="00DB330E">
            <w:pPr>
              <w:pStyle w:val="Keypointstext"/>
              <w:spacing w:after="0"/>
              <w:rPr>
                <w:b/>
                <w:bCs/>
              </w:rPr>
            </w:pPr>
            <w:r w:rsidRPr="00D9348B">
              <w:rPr>
                <w:b/>
                <w:bCs/>
              </w:rPr>
              <w:t>Improvements</w:t>
            </w:r>
          </w:p>
          <w:p w14:paraId="70EC53DE" w14:textId="77777777" w:rsidR="00D1512E" w:rsidRPr="00D9348B" w:rsidRDefault="00D1512E" w:rsidP="00D1512E">
            <w:pPr>
              <w:pStyle w:val="Keypointsbullet"/>
              <w:numPr>
                <w:ilvl w:val="0"/>
                <w:numId w:val="1"/>
              </w:numPr>
              <w:tabs>
                <w:tab w:val="clear" w:pos="851"/>
              </w:tabs>
              <w:spacing w:before="60"/>
              <w:ind w:left="681" w:hanging="397"/>
            </w:pPr>
            <w:r w:rsidRPr="00D9348B">
              <w:t>Emissions estimates for the entire time series are recalculated due to improvements to the inventory. The largest changes to this inventory are:</w:t>
            </w:r>
          </w:p>
          <w:p w14:paraId="355A596B" w14:textId="77777777" w:rsidR="00D1512E" w:rsidRPr="00D9348B" w:rsidRDefault="00D1512E" w:rsidP="00DB330E">
            <w:pPr>
              <w:pStyle w:val="Keypointsub-bullet"/>
              <w:spacing w:before="80"/>
            </w:pPr>
            <w:r w:rsidRPr="00D9348B">
              <w:t>new nitrous oxide emission factors in the Agriculture sector for livestock excreta, to more accurately reflect emissions resulting from different kinds of livestock grazed on flat land and sloped land</w:t>
            </w:r>
          </w:p>
          <w:p w14:paraId="66253BC1" w14:textId="77777777" w:rsidR="00D1512E" w:rsidRPr="00D9348B" w:rsidRDefault="00D1512E" w:rsidP="00DB330E">
            <w:pPr>
              <w:pStyle w:val="Keypointsub-bullet"/>
              <w:spacing w:before="80" w:after="120"/>
            </w:pPr>
            <w:proofErr w:type="gramStart"/>
            <w:r w:rsidRPr="00D9348B">
              <w:t>updated</w:t>
            </w:r>
            <w:proofErr w:type="gramEnd"/>
            <w:r w:rsidRPr="00D9348B">
              <w:t xml:space="preserve"> carbon stocks and stock change for pre-1990 natural forest following a re-analysis, with a number of method improvements to increase accuracy.</w:t>
            </w:r>
          </w:p>
        </w:tc>
      </w:tr>
    </w:tbl>
    <w:p w14:paraId="64D2FEDE" w14:textId="77777777" w:rsidR="00D1512E" w:rsidRPr="00D9348B" w:rsidRDefault="00D1512E" w:rsidP="00D1512E">
      <w:pPr>
        <w:pStyle w:val="Heading2"/>
      </w:pPr>
      <w:bookmarkStart w:id="17" w:name="_Toc5269319"/>
      <w:bookmarkStart w:id="18" w:name="_Toc36224359"/>
      <w:r w:rsidRPr="00D9348B">
        <w:lastRenderedPageBreak/>
        <w:t>ES.1</w:t>
      </w:r>
      <w:r w:rsidRPr="00D9348B">
        <w:tab/>
        <w:t>Background</w:t>
      </w:r>
      <w:bookmarkEnd w:id="13"/>
      <w:bookmarkEnd w:id="14"/>
      <w:bookmarkEnd w:id="15"/>
      <w:bookmarkEnd w:id="16"/>
      <w:bookmarkEnd w:id="17"/>
      <w:bookmarkEnd w:id="18"/>
    </w:p>
    <w:p w14:paraId="0D886D1C" w14:textId="2F5B5105" w:rsidR="00D1512E" w:rsidRPr="00D9348B" w:rsidRDefault="00D1512E" w:rsidP="00D1512E">
      <w:pPr>
        <w:pStyle w:val="BodyText"/>
      </w:pPr>
      <w:r w:rsidRPr="00D9348B">
        <w:rPr>
          <w:i/>
        </w:rPr>
        <w:t>New Zealand’s Greenhouse Gas Inventory</w:t>
      </w:r>
      <w:r w:rsidRPr="00D9348B">
        <w:t xml:space="preserve"> (the inventory) is the official annual report of all anthropogenic (human-induced) emissions and removals of greenhouse gases (GHGs) in</w:t>
      </w:r>
      <w:r w:rsidR="00F336E2" w:rsidRPr="00D9348B">
        <w:t> </w:t>
      </w:r>
      <w:r w:rsidRPr="00D9348B">
        <w:t>New Zealand. It measures New Zealand’s progress against obligations under the United Nations Framework Convention on Climate Change (the Convention) and the Kyoto Protocol and is the official basis for measuring New Zealand’s progress towards its international emissions reduction targets.</w:t>
      </w:r>
    </w:p>
    <w:p w14:paraId="45CE7236" w14:textId="77777777" w:rsidR="00D1512E" w:rsidRPr="00D9348B" w:rsidRDefault="00D1512E" w:rsidP="00D1512E">
      <w:pPr>
        <w:pStyle w:val="BodyText"/>
      </w:pPr>
      <w:r w:rsidRPr="00D9348B">
        <w:t>The inventory submission consists of the common reporting format (CRF) database containing inventory data for 1990–2018 from all emissions and removals in New Zealand together with this publication, the national inventory report, which is a narrative that presents major emission trends and methodologies for estimating emissions and removals. It also includes sections on the inventory uncertainties, recalculations and improvements. In addition, the standard electronic format tables that contain data on emission units and emission reduction units in the emissions register and their transfers between the registers of different countries are included in this submission.</w:t>
      </w:r>
    </w:p>
    <w:p w14:paraId="1C004D72" w14:textId="77777777" w:rsidR="00D1512E" w:rsidRPr="00D9348B" w:rsidRDefault="00D1512E" w:rsidP="00D1512E">
      <w:pPr>
        <w:pStyle w:val="BodyText"/>
      </w:pPr>
      <w:r w:rsidRPr="00D9348B">
        <w:t>Inventory reporting under the Convention covers seven direct GHGs: carbon dioxide (CO</w:t>
      </w:r>
      <w:r w:rsidRPr="00D9348B">
        <w:rPr>
          <w:vertAlign w:val="subscript"/>
        </w:rPr>
        <w:t>2</w:t>
      </w:r>
      <w:r w:rsidRPr="00D9348B">
        <w:t>), methane (CH</w:t>
      </w:r>
      <w:r w:rsidRPr="00D9348B">
        <w:rPr>
          <w:vertAlign w:val="subscript"/>
        </w:rPr>
        <w:t>4</w:t>
      </w:r>
      <w:r w:rsidRPr="00D9348B">
        <w:t>), nitrous oxide (N</w:t>
      </w:r>
      <w:r w:rsidRPr="00D9348B">
        <w:rPr>
          <w:vertAlign w:val="subscript"/>
        </w:rPr>
        <w:t>2</w:t>
      </w:r>
      <w:r w:rsidRPr="00D9348B">
        <w:t>O), hydrofluorocarbons (HFCs), perfluorocarbons (PFCs), sulphur hexafluoride (SF</w:t>
      </w:r>
      <w:r w:rsidRPr="00D9348B">
        <w:rPr>
          <w:vertAlign w:val="subscript"/>
        </w:rPr>
        <w:t>6</w:t>
      </w:r>
      <w:r w:rsidRPr="00D9348B">
        <w:t>) and nitrogen trifluoride (NF</w:t>
      </w:r>
      <w:r w:rsidRPr="00D9348B">
        <w:rPr>
          <w:vertAlign w:val="subscript"/>
        </w:rPr>
        <w:t>3</w:t>
      </w:r>
      <w:r w:rsidRPr="00D9348B">
        <w:t>).</w:t>
      </w:r>
      <w:r w:rsidRPr="00D9348B">
        <w:rPr>
          <w:rStyle w:val="FootnoteReference"/>
        </w:rPr>
        <w:footnoteReference w:id="1"/>
      </w:r>
      <w:r w:rsidRPr="00D9348B">
        <w:t xml:space="preserve"> Indirect GHGs</w:t>
      </w:r>
      <w:r w:rsidRPr="00D9348B">
        <w:rPr>
          <w:rStyle w:val="FootnoteReference"/>
        </w:rPr>
        <w:footnoteReference w:id="2"/>
      </w:r>
      <w:r w:rsidRPr="00D9348B">
        <w:t xml:space="preserve"> are also included; however, only emissions and removals of the direct GHGs are included in estimates of total national emissions under the Convention and accounted for under the Kyoto Protocol. </w:t>
      </w:r>
    </w:p>
    <w:p w14:paraId="52A7E15C" w14:textId="43193C57" w:rsidR="00D1512E" w:rsidRPr="00D9348B" w:rsidRDefault="00D1512E" w:rsidP="00D1512E">
      <w:pPr>
        <w:pStyle w:val="BodyText"/>
      </w:pPr>
      <w:r w:rsidRPr="00D9348B">
        <w:t>T</w:t>
      </w:r>
      <w:r w:rsidR="00DD20DA">
        <w:t>he gases are reported under six</w:t>
      </w:r>
      <w:r w:rsidRPr="00D9348B">
        <w:t xml:space="preserve"> sectors: Energy; Industrial Processes and Product Use (IPPU); Agriculture; Land Use, Land-Use Change and Forestry (LULUCF); Waste</w:t>
      </w:r>
      <w:r w:rsidR="00DD20DA">
        <w:t xml:space="preserve"> and New Zealand’s ‘Other’ sector </w:t>
      </w:r>
      <w:r w:rsidR="00C6374B">
        <w:t>(</w:t>
      </w:r>
      <w:r w:rsidR="00DD20DA">
        <w:t>Tokelau</w:t>
      </w:r>
      <w:r w:rsidR="00C6374B">
        <w:t>)</w:t>
      </w:r>
      <w:r w:rsidRPr="00D9348B">
        <w:t xml:space="preserve">. </w:t>
      </w:r>
    </w:p>
    <w:p w14:paraId="0D7D6330" w14:textId="77777777" w:rsidR="00D1512E" w:rsidRPr="00D9348B" w:rsidRDefault="00D1512E" w:rsidP="00D1512E">
      <w:pPr>
        <w:pStyle w:val="BodyText"/>
      </w:pPr>
      <w:r w:rsidRPr="00D9348B">
        <w:t xml:space="preserve">New Zealand ratified the Convention on 16 September 1993 and the Paris Agreement on 4 October 2016. The extension (as of 13 November 2017) of New Zealand’s ratification of the Convention and the Paris Agreement to include Tokelau means, </w:t>
      </w:r>
      <w:r w:rsidRPr="00D9348B">
        <w:rPr>
          <w:i/>
        </w:rPr>
        <w:t>inter alia</w:t>
      </w:r>
      <w:r w:rsidRPr="00D9348B">
        <w:t>, that New Zealand’s national inventory shall include GHG emissions and removals estimates from Tokelau. Starting from 2019, emissions from Tokelau are included in New Zealand’s greenhouse inventory.</w:t>
      </w:r>
    </w:p>
    <w:p w14:paraId="1E52D6F8" w14:textId="77777777" w:rsidR="00D1512E" w:rsidRPr="00D9348B" w:rsidRDefault="00D1512E" w:rsidP="00D1512E">
      <w:pPr>
        <w:pStyle w:val="Heading2"/>
      </w:pPr>
      <w:bookmarkStart w:id="19" w:name="_Toc352504812"/>
      <w:bookmarkStart w:id="20" w:name="_Toc414531260"/>
      <w:bookmarkStart w:id="21" w:name="_Toc448321481"/>
      <w:bookmarkStart w:id="22" w:name="_Toc511116558"/>
      <w:bookmarkStart w:id="23" w:name="_Toc5269320"/>
      <w:bookmarkStart w:id="24" w:name="_Toc36224360"/>
      <w:r w:rsidRPr="00D9348B">
        <w:t>ES.2</w:t>
      </w:r>
      <w:r w:rsidRPr="00D9348B">
        <w:tab/>
        <w:t>National trends</w:t>
      </w:r>
      <w:bookmarkEnd w:id="19"/>
      <w:bookmarkEnd w:id="20"/>
      <w:bookmarkEnd w:id="21"/>
      <w:bookmarkEnd w:id="22"/>
      <w:bookmarkEnd w:id="23"/>
      <w:bookmarkEnd w:id="24"/>
    </w:p>
    <w:p w14:paraId="6B0DBA36" w14:textId="77777777" w:rsidR="00D1512E" w:rsidRPr="00D9348B" w:rsidRDefault="00D1512E" w:rsidP="006B5184">
      <w:pPr>
        <w:pStyle w:val="Heading4"/>
        <w:spacing w:before="160"/>
      </w:pPr>
      <w:r w:rsidRPr="00D9348B">
        <w:t>Gross emissions</w:t>
      </w:r>
    </w:p>
    <w:p w14:paraId="08ADACD2" w14:textId="77777777" w:rsidR="00D1512E" w:rsidRPr="00D9348B" w:rsidRDefault="00D1512E" w:rsidP="00D1512E">
      <w:pPr>
        <w:pStyle w:val="BodyText"/>
      </w:pPr>
      <w:r w:rsidRPr="00D9348B">
        <w:t xml:space="preserve">Gross emissions include those from the Energy, IPPU, </w:t>
      </w:r>
      <w:proofErr w:type="gramStart"/>
      <w:r w:rsidRPr="00D9348B">
        <w:t>Agriculture</w:t>
      </w:r>
      <w:proofErr w:type="gramEnd"/>
      <w:r w:rsidRPr="00D9348B">
        <w:t xml:space="preserve"> and Waste sectors but do not include emissions and removals from the LULUCF sector. Reporting of gross emissions, excluding the LULUCF sector, is consistent with the reporting requirements under the Convention (UNFCCC, 2013).</w:t>
      </w:r>
    </w:p>
    <w:p w14:paraId="09CBA9DE" w14:textId="77777777" w:rsidR="00D1512E" w:rsidRPr="00D9348B" w:rsidRDefault="00D1512E" w:rsidP="006B5184">
      <w:pPr>
        <w:pStyle w:val="Heading5"/>
        <w:spacing w:before="160"/>
      </w:pPr>
      <w:r w:rsidRPr="00D9348B">
        <w:t>1990–2018</w:t>
      </w:r>
    </w:p>
    <w:p w14:paraId="65405840" w14:textId="77777777" w:rsidR="00D1512E" w:rsidRPr="00D9348B" w:rsidRDefault="00D1512E" w:rsidP="00D1512E">
      <w:pPr>
        <w:pStyle w:val="BodyText"/>
        <w:spacing w:before="100" w:after="100"/>
      </w:pPr>
      <w:r w:rsidRPr="00D9348B">
        <w:t>In 1990, New Zealand’s gross GHG emissions were 63,590.9 kilotonnes carbon dioxide equivalent (kt CO</w:t>
      </w:r>
      <w:r w:rsidRPr="00D9348B">
        <w:rPr>
          <w:vertAlign w:val="subscript"/>
        </w:rPr>
        <w:t>2</w:t>
      </w:r>
      <w:r w:rsidRPr="00D9348B">
        <w:t>-e). Between 1990 and 2018, GHG emissions increased by 15,271.4 kt CO</w:t>
      </w:r>
      <w:r w:rsidRPr="00D9348B">
        <w:rPr>
          <w:vertAlign w:val="subscript"/>
        </w:rPr>
        <w:t>2</w:t>
      </w:r>
      <w:r w:rsidRPr="00D9348B">
        <w:t xml:space="preserve">-e </w:t>
      </w:r>
      <w:r w:rsidRPr="00D9348B">
        <w:lastRenderedPageBreak/>
        <w:t>(24.0 per cent) to 78,862.3 kt CO</w:t>
      </w:r>
      <w:r w:rsidRPr="00D9348B">
        <w:rPr>
          <w:vertAlign w:val="subscript"/>
        </w:rPr>
        <w:t>2</w:t>
      </w:r>
      <w:r w:rsidRPr="00D9348B">
        <w:t>-e in 2018 (figure ES 2.1). From 1990 to 2018, the average annual growth in gross emissions was 0.7 per cent.</w:t>
      </w:r>
    </w:p>
    <w:p w14:paraId="70868EB3" w14:textId="77777777" w:rsidR="00D1512E" w:rsidRPr="00D9348B" w:rsidRDefault="00D1512E" w:rsidP="00D1512E">
      <w:pPr>
        <w:pStyle w:val="BodyText"/>
        <w:keepLines/>
        <w:spacing w:before="100" w:after="100"/>
      </w:pPr>
      <w:r w:rsidRPr="00D9348B">
        <w:t>The emission categories that contributed the most to this increase in gross emissions were:</w:t>
      </w:r>
      <w:r w:rsidRPr="00D9348B">
        <w:rPr>
          <w:i/>
        </w:rPr>
        <w:t xml:space="preserve"> Enteric fermentation</w:t>
      </w:r>
      <w:r w:rsidRPr="00D9348B">
        <w:rPr>
          <w:vertAlign w:val="superscript"/>
        </w:rPr>
        <w:footnoteReference w:id="3"/>
      </w:r>
      <w:r w:rsidRPr="00D9348B">
        <w:rPr>
          <w:i/>
        </w:rPr>
        <w:t xml:space="preserve"> from dairy cattle</w:t>
      </w:r>
      <w:r w:rsidRPr="00D9348B">
        <w:t>,</w:t>
      </w:r>
      <w:r w:rsidRPr="00D9348B">
        <w:rPr>
          <w:i/>
        </w:rPr>
        <w:t xml:space="preserve"> Road transportation</w:t>
      </w:r>
      <w:r w:rsidRPr="00D9348B">
        <w:t>,</w:t>
      </w:r>
      <w:r w:rsidRPr="00D9348B">
        <w:rPr>
          <w:i/>
        </w:rPr>
        <w:t xml:space="preserve"> Agricultural soils</w:t>
      </w:r>
      <w:r w:rsidRPr="00D9348B">
        <w:t xml:space="preserve">, </w:t>
      </w:r>
      <w:r w:rsidRPr="00D9348B">
        <w:rPr>
          <w:rFonts w:eastAsia="+mn-ea"/>
          <w:i/>
          <w:spacing w:val="-2"/>
        </w:rPr>
        <w:t>Product uses as substitutes for ODS</w:t>
      </w:r>
      <w:r w:rsidRPr="00D9348B">
        <w:rPr>
          <w:rStyle w:val="FootnoteReference"/>
          <w:rFonts w:eastAsia="+mn-ea"/>
          <w:spacing w:val="-2"/>
        </w:rPr>
        <w:footnoteReference w:id="4"/>
      </w:r>
      <w:r w:rsidRPr="00D9348B">
        <w:rPr>
          <w:rFonts w:eastAsia="+mn-ea"/>
          <w:spacing w:val="-2"/>
        </w:rPr>
        <w:t xml:space="preserve"> and</w:t>
      </w:r>
      <w:r w:rsidRPr="00D9348B">
        <w:rPr>
          <w:i/>
        </w:rPr>
        <w:t xml:space="preserve"> Manufacturing industries and construction </w:t>
      </w:r>
      <w:r w:rsidRPr="00D9348B">
        <w:t>(especially the categories</w:t>
      </w:r>
      <w:r w:rsidRPr="00D9348B">
        <w:rPr>
          <w:i/>
        </w:rPr>
        <w:t xml:space="preserve"> Chemicals </w:t>
      </w:r>
      <w:r w:rsidRPr="00D9348B">
        <w:t xml:space="preserve">and </w:t>
      </w:r>
      <w:r w:rsidRPr="00D9348B">
        <w:rPr>
          <w:i/>
        </w:rPr>
        <w:t>Food processing, beverages and tobacco</w:t>
      </w:r>
      <w:r w:rsidRPr="00D9348B">
        <w:t>).</w:t>
      </w:r>
    </w:p>
    <w:p w14:paraId="751D681A" w14:textId="77777777" w:rsidR="00D1512E" w:rsidRPr="00D9348B" w:rsidRDefault="00D1512E" w:rsidP="00D1512E">
      <w:pPr>
        <w:pStyle w:val="Heading5"/>
      </w:pPr>
      <w:r w:rsidRPr="00D9348B">
        <w:t>2017–2018</w:t>
      </w:r>
    </w:p>
    <w:p w14:paraId="042FB00D" w14:textId="35A492DC" w:rsidR="00D1512E" w:rsidRPr="00D9348B" w:rsidRDefault="00D1512E" w:rsidP="00D1512E">
      <w:pPr>
        <w:pStyle w:val="BodyText"/>
        <w:spacing w:before="100" w:after="100"/>
        <w:rPr>
          <w:rFonts w:cs="Arial"/>
          <w:lang w:eastAsia="en-GB"/>
        </w:rPr>
      </w:pPr>
      <w:r w:rsidRPr="00D9348B">
        <w:t>Between 2017 and 2018, New Zealand’s gross emissions decreased by 778.6 kt CO</w:t>
      </w:r>
      <w:r w:rsidRPr="00D9348B">
        <w:rPr>
          <w:vertAlign w:val="subscript"/>
        </w:rPr>
        <w:t>2</w:t>
      </w:r>
      <w:r w:rsidRPr="00D9348B">
        <w:t>-e (1.0 per</w:t>
      </w:r>
      <w:r w:rsidR="00F336E2" w:rsidRPr="00D9348B">
        <w:t> </w:t>
      </w:r>
      <w:r w:rsidRPr="00D9348B">
        <w:t>cent), which was mainly driven by a decrease of emissions from the Energy sector (1,058.4 kt CO</w:t>
      </w:r>
      <w:r w:rsidRPr="00D9348B">
        <w:rPr>
          <w:vertAlign w:val="subscript"/>
        </w:rPr>
        <w:t>2</w:t>
      </w:r>
      <w:r w:rsidRPr="00D9348B">
        <w:noBreakHyphen/>
        <w:t>e or 3.2 per cent)</w:t>
      </w:r>
      <w:r w:rsidRPr="00D9348B">
        <w:rPr>
          <w:lang w:eastAsia="en-GB"/>
        </w:rPr>
        <w:t xml:space="preserve">. </w:t>
      </w:r>
      <w:r w:rsidRPr="00D9348B">
        <w:t>This was mainly</w:t>
      </w:r>
      <w:r w:rsidRPr="00D9348B">
        <w:rPr>
          <w:lang w:eastAsia="en-GB"/>
        </w:rPr>
        <w:t xml:space="preserve"> attributed to decreases in CO</w:t>
      </w:r>
      <w:r w:rsidRPr="00D9348B">
        <w:rPr>
          <w:vertAlign w:val="subscript"/>
          <w:lang w:eastAsia="en-GB"/>
        </w:rPr>
        <w:t>2</w:t>
      </w:r>
      <w:r w:rsidRPr="00D9348B">
        <w:rPr>
          <w:lang w:eastAsia="en-GB"/>
        </w:rPr>
        <w:t xml:space="preserve"> emissions from the </w:t>
      </w:r>
      <w:r w:rsidRPr="00D9348B">
        <w:rPr>
          <w:i/>
          <w:lang w:eastAsia="en-GB"/>
        </w:rPr>
        <w:t>Manufacturing industries and construction</w:t>
      </w:r>
      <w:r w:rsidRPr="00D9348B">
        <w:rPr>
          <w:lang w:eastAsia="en-GB"/>
        </w:rPr>
        <w:t xml:space="preserve"> category and the </w:t>
      </w:r>
      <w:r w:rsidRPr="00D9348B">
        <w:rPr>
          <w:i/>
          <w:lang w:eastAsia="en-GB"/>
        </w:rPr>
        <w:t>Public electricity and heat production</w:t>
      </w:r>
      <w:r w:rsidRPr="00D9348B">
        <w:rPr>
          <w:lang w:eastAsia="en-GB"/>
        </w:rPr>
        <w:t xml:space="preserve"> category. The decrease in emissions from </w:t>
      </w:r>
      <w:r w:rsidRPr="00D9348B">
        <w:rPr>
          <w:i/>
          <w:lang w:eastAsia="en-GB"/>
        </w:rPr>
        <w:t>Manufacturing industries and construction</w:t>
      </w:r>
      <w:r w:rsidRPr="00D9348B">
        <w:rPr>
          <w:lang w:eastAsia="en-GB"/>
        </w:rPr>
        <w:t xml:space="preserve"> was largely </w:t>
      </w:r>
      <w:r w:rsidRPr="00D9348B">
        <w:rPr>
          <w:iCs/>
          <w:lang w:eastAsia="en-GB"/>
        </w:rPr>
        <w:t xml:space="preserve">due to </w:t>
      </w:r>
      <w:r w:rsidRPr="00D9348B">
        <w:rPr>
          <w:lang w:eastAsia="en-GB"/>
        </w:rPr>
        <w:t>outages at the Pohokura natural gas field, which saw a 34</w:t>
      </w:r>
      <w:r w:rsidR="006B5184" w:rsidRPr="00D9348B">
        <w:rPr>
          <w:lang w:eastAsia="en-GB"/>
        </w:rPr>
        <w:t> </w:t>
      </w:r>
      <w:r w:rsidRPr="00D9348B">
        <w:rPr>
          <w:lang w:eastAsia="en-GB"/>
        </w:rPr>
        <w:t>per</w:t>
      </w:r>
      <w:r w:rsidR="006B5184" w:rsidRPr="00D9348B">
        <w:rPr>
          <w:lang w:eastAsia="en-GB"/>
        </w:rPr>
        <w:t> </w:t>
      </w:r>
      <w:r w:rsidRPr="00D9348B">
        <w:rPr>
          <w:lang w:eastAsia="en-GB"/>
        </w:rPr>
        <w:t>cent production drop between 2017 and 2018 levels.</w:t>
      </w:r>
      <w:r w:rsidRPr="00D9348B">
        <w:rPr>
          <w:rStyle w:val="FootnoteReference"/>
          <w:lang w:eastAsia="en-GB"/>
        </w:rPr>
        <w:footnoteReference w:id="5"/>
      </w:r>
      <w:r w:rsidRPr="00D9348B">
        <w:rPr>
          <w:lang w:eastAsia="en-GB"/>
        </w:rPr>
        <w:t xml:space="preserve"> The decrease in emissions from</w:t>
      </w:r>
      <w:r w:rsidR="006B5184" w:rsidRPr="00D9348B">
        <w:rPr>
          <w:lang w:eastAsia="en-GB"/>
        </w:rPr>
        <w:t> </w:t>
      </w:r>
      <w:r w:rsidRPr="00D9348B">
        <w:rPr>
          <w:lang w:eastAsia="en-GB"/>
        </w:rPr>
        <w:t xml:space="preserve">the </w:t>
      </w:r>
      <w:r w:rsidRPr="00D9348B">
        <w:rPr>
          <w:i/>
          <w:iCs/>
          <w:lang w:eastAsia="en-GB"/>
        </w:rPr>
        <w:t>Public electricity and heat production</w:t>
      </w:r>
      <w:r w:rsidRPr="00D9348B">
        <w:rPr>
          <w:lang w:eastAsia="en-GB"/>
        </w:rPr>
        <w:t xml:space="preserve"> category was primarily due to a decrease in</w:t>
      </w:r>
      <w:r w:rsidR="006B5184" w:rsidRPr="00D9348B">
        <w:rPr>
          <w:lang w:eastAsia="en-GB"/>
        </w:rPr>
        <w:t> </w:t>
      </w:r>
      <w:r w:rsidRPr="00D9348B">
        <w:rPr>
          <w:lang w:eastAsia="en-GB"/>
        </w:rPr>
        <w:t>natural gas</w:t>
      </w:r>
      <w:r w:rsidR="00F336E2" w:rsidRPr="00D9348B">
        <w:rPr>
          <w:lang w:eastAsia="en-GB"/>
        </w:rPr>
        <w:noBreakHyphen/>
      </w:r>
      <w:r w:rsidRPr="00D9348B">
        <w:rPr>
          <w:lang w:eastAsia="en-GB"/>
        </w:rPr>
        <w:t>fired generation in response to higher levels of hydro generation</w:t>
      </w:r>
      <w:r w:rsidRPr="00D9348B">
        <w:rPr>
          <w:i/>
          <w:iCs/>
        </w:rPr>
        <w:t>.</w:t>
      </w:r>
    </w:p>
    <w:p w14:paraId="348186EA" w14:textId="77777777" w:rsidR="00D1512E" w:rsidRPr="00D9348B" w:rsidRDefault="00D1512E" w:rsidP="00D1512E">
      <w:pPr>
        <w:pStyle w:val="BodyText"/>
        <w:rPr>
          <w:lang w:eastAsia="en-GB"/>
        </w:rPr>
      </w:pPr>
      <w:r w:rsidRPr="00D9348B">
        <w:rPr>
          <w:lang w:eastAsia="en-GB"/>
        </w:rPr>
        <w:t>Emissions from the Agriculture, IPPU and Waste sectors did not show significant changes beyond small annual variations below 1 per cent.</w:t>
      </w:r>
    </w:p>
    <w:p w14:paraId="68218E94" w14:textId="77777777" w:rsidR="00D1512E" w:rsidRPr="00D9348B" w:rsidRDefault="00D1512E" w:rsidP="00865BDB">
      <w:pPr>
        <w:pStyle w:val="Heading4"/>
      </w:pPr>
      <w:r w:rsidRPr="00D9348B">
        <w:t>Net emissions – reporting under the Convention</w:t>
      </w:r>
    </w:p>
    <w:p w14:paraId="6A67C038" w14:textId="77777777" w:rsidR="00D1512E" w:rsidRPr="00D9348B" w:rsidRDefault="00D1512E" w:rsidP="00D1512E">
      <w:pPr>
        <w:pStyle w:val="BodyText"/>
      </w:pPr>
      <w:bookmarkStart w:id="25" w:name="_Toc321399312"/>
      <w:bookmarkStart w:id="26" w:name="_Toc414531568"/>
      <w:bookmarkStart w:id="27" w:name="_Toc444693960"/>
      <w:bookmarkStart w:id="28" w:name="_Toc447275645"/>
      <w:r w:rsidRPr="00D9348B">
        <w:t xml:space="preserve">Net emissions include emissions from the Energy, IPPU, Agriculture and Waste sectors, together with emissions and removals from the LULUCF sector. </w:t>
      </w:r>
    </w:p>
    <w:p w14:paraId="2946193C" w14:textId="77777777" w:rsidR="00D1512E" w:rsidRPr="00D9348B" w:rsidRDefault="00D1512E" w:rsidP="00D1512E">
      <w:pPr>
        <w:pStyle w:val="BodyText"/>
      </w:pPr>
      <w:r w:rsidRPr="00D9348B">
        <w:t>In 1990, New Zealand’s net emissions were 35,293.9 kt CO</w:t>
      </w:r>
      <w:r w:rsidRPr="00D9348B">
        <w:rPr>
          <w:vertAlign w:val="subscript"/>
        </w:rPr>
        <w:t>2</w:t>
      </w:r>
      <w:r w:rsidRPr="00D9348B">
        <w:t>-e. Between 1990 and 2018, net GHG emissions increased by 20,174.3</w:t>
      </w:r>
      <w:r w:rsidRPr="00D9348B" w:rsidDel="00113096">
        <w:t xml:space="preserve"> </w:t>
      </w:r>
      <w:r w:rsidRPr="00D9348B">
        <w:t>kt CO</w:t>
      </w:r>
      <w:r w:rsidRPr="00D9348B">
        <w:rPr>
          <w:vertAlign w:val="subscript"/>
        </w:rPr>
        <w:t>2</w:t>
      </w:r>
      <w:r w:rsidRPr="00D9348B">
        <w:t>-e (57.2</w:t>
      </w:r>
      <w:r w:rsidRPr="00D9348B" w:rsidDel="00113096">
        <w:t xml:space="preserve"> </w:t>
      </w:r>
      <w:r w:rsidRPr="00D9348B">
        <w:t>per cent) to 55,468.2 kt CO</w:t>
      </w:r>
      <w:r w:rsidRPr="00D9348B">
        <w:rPr>
          <w:vertAlign w:val="subscript"/>
        </w:rPr>
        <w:t>2</w:t>
      </w:r>
      <w:r w:rsidRPr="00D9348B">
        <w:t xml:space="preserve">-e (figure ES 2.1). </w:t>
      </w:r>
    </w:p>
    <w:p w14:paraId="0142D410" w14:textId="77777777" w:rsidR="00D1512E" w:rsidRPr="00D9348B" w:rsidRDefault="00D1512E" w:rsidP="00D1512E">
      <w:pPr>
        <w:pStyle w:val="BodyText"/>
      </w:pPr>
      <w:r w:rsidRPr="00D9348B">
        <w:t xml:space="preserve">The four categories that contributed the most to the increase in net emissions between 1990 and 2018 were </w:t>
      </w:r>
      <w:proofErr w:type="gramStart"/>
      <w:r w:rsidRPr="00D9348B">
        <w:rPr>
          <w:i/>
        </w:rPr>
        <w:t>Enteric</w:t>
      </w:r>
      <w:proofErr w:type="gramEnd"/>
      <w:r w:rsidRPr="00D9348B">
        <w:rPr>
          <w:i/>
        </w:rPr>
        <w:t xml:space="preserve"> fermentation from dairy cattle</w:t>
      </w:r>
      <w:r w:rsidRPr="00D9348B">
        <w:t>,</w:t>
      </w:r>
      <w:r w:rsidRPr="00D9348B">
        <w:rPr>
          <w:i/>
        </w:rPr>
        <w:t xml:space="preserve"> Road transportation</w:t>
      </w:r>
      <w:r w:rsidRPr="00D9348B">
        <w:t>,</w:t>
      </w:r>
      <w:r w:rsidRPr="00D9348B">
        <w:rPr>
          <w:i/>
        </w:rPr>
        <w:t xml:space="preserve"> Land remaining forest land</w:t>
      </w:r>
      <w:r w:rsidRPr="00D9348B">
        <w:t xml:space="preserve"> and</w:t>
      </w:r>
      <w:r w:rsidRPr="00D9348B">
        <w:rPr>
          <w:i/>
        </w:rPr>
        <w:t xml:space="preserve"> Land converted to forest land</w:t>
      </w:r>
      <w:r w:rsidRPr="00D9348B">
        <w:t>.</w:t>
      </w:r>
    </w:p>
    <w:p w14:paraId="7BCE254D" w14:textId="77777777" w:rsidR="00D1512E" w:rsidRPr="00D9348B" w:rsidRDefault="00D1512E" w:rsidP="00D1512E">
      <w:pPr>
        <w:pStyle w:val="Figure"/>
      </w:pPr>
      <w:bookmarkStart w:id="29" w:name="_Toc511116910"/>
      <w:bookmarkStart w:id="30" w:name="_Toc5269643"/>
      <w:bookmarkStart w:id="31" w:name="_Toc36292746"/>
      <w:r w:rsidRPr="00D9348B">
        <w:lastRenderedPageBreak/>
        <w:t>Figure ES 2.1</w:t>
      </w:r>
      <w:r w:rsidRPr="00D9348B">
        <w:tab/>
        <w:t>New Zealand’s gross and net emissions (under the Convention) from 1990 to</w:t>
      </w:r>
      <w:bookmarkEnd w:id="25"/>
      <w:bookmarkEnd w:id="26"/>
      <w:bookmarkEnd w:id="27"/>
      <w:bookmarkEnd w:id="28"/>
      <w:r w:rsidRPr="00D9348B">
        <w:t> </w:t>
      </w:r>
      <w:bookmarkEnd w:id="29"/>
      <w:r w:rsidRPr="00D9348B">
        <w:t>2018</w:t>
      </w:r>
      <w:bookmarkEnd w:id="30"/>
      <w:bookmarkEnd w:id="31"/>
    </w:p>
    <w:p w14:paraId="2E7A03B8" w14:textId="25F75D7D" w:rsidR="00D1512E" w:rsidRPr="00D9348B" w:rsidRDefault="007165CF" w:rsidP="00D1512E">
      <w:r>
        <w:pict w14:anchorId="23BC3505">
          <v:shape id="_x0000_i1026" type="#_x0000_t75" style="width:427pt;height:219.15pt">
            <v:imagedata r:id="rId21" o:title="Figure 2" croptop="1763f" cropbottom="2300f" cropright="1035f"/>
          </v:shape>
        </w:pict>
      </w:r>
    </w:p>
    <w:p w14:paraId="19ED7BE5" w14:textId="77777777" w:rsidR="00D1512E" w:rsidRPr="00D9348B" w:rsidRDefault="00D1512E" w:rsidP="00865BDB">
      <w:pPr>
        <w:pStyle w:val="Heading4"/>
      </w:pPr>
      <w:r w:rsidRPr="00D9348B">
        <w:t>Accounting for New Zealand’s 2020 target</w:t>
      </w:r>
    </w:p>
    <w:p w14:paraId="46B6AFB2" w14:textId="5DAD00BE" w:rsidR="00D1512E" w:rsidRPr="00D9348B" w:rsidRDefault="00D1512E" w:rsidP="00D1512E">
      <w:pPr>
        <w:pStyle w:val="BodyText"/>
      </w:pPr>
      <w:bookmarkStart w:id="32" w:name="_Toc321398805"/>
      <w:r w:rsidRPr="00D9348B">
        <w:t>For the period 2013 to 2020, New Zealand has taken a target under the Convention. This target</w:t>
      </w:r>
      <w:r w:rsidR="00751CB3" w:rsidRPr="00D9348B">
        <w:t> </w:t>
      </w:r>
      <w:r w:rsidRPr="00D9348B">
        <w:t>is to reduce emissions to 5 per cent below 1990 levels by 2020. New Zealand will apply</w:t>
      </w:r>
      <w:r w:rsidR="00751CB3" w:rsidRPr="00D9348B">
        <w:t> </w:t>
      </w:r>
      <w:r w:rsidRPr="00D9348B">
        <w:t xml:space="preserve">the Kyoto Protocol framework of rules in accounting for its 2020 target under the Convention. This means New Zealand will count net removals from Article 3.3 – </w:t>
      </w:r>
      <w:r w:rsidRPr="00D9348B">
        <w:rPr>
          <w:i/>
        </w:rPr>
        <w:t xml:space="preserve">Afforestation and reforestation </w:t>
      </w:r>
      <w:r w:rsidRPr="00D9348B">
        <w:t>and</w:t>
      </w:r>
      <w:r w:rsidRPr="00D9348B">
        <w:rPr>
          <w:i/>
        </w:rPr>
        <w:t xml:space="preserve"> Deforestation</w:t>
      </w:r>
      <w:r w:rsidRPr="00D9348B">
        <w:t xml:space="preserve"> and Article 3.4 – </w:t>
      </w:r>
      <w:r w:rsidRPr="00D9348B">
        <w:rPr>
          <w:i/>
        </w:rPr>
        <w:t>Forest management</w:t>
      </w:r>
      <w:r w:rsidRPr="00D9348B">
        <w:t xml:space="preserve"> of the Kyoto Protocol towards its target. </w:t>
      </w:r>
    </w:p>
    <w:p w14:paraId="697F1FA5" w14:textId="77777777" w:rsidR="00D1512E" w:rsidRPr="00D9348B" w:rsidRDefault="00D1512E" w:rsidP="00D1512E">
      <w:pPr>
        <w:pStyle w:val="BodyText"/>
        <w:rPr>
          <w:spacing w:val="-2"/>
        </w:rPr>
      </w:pPr>
      <w:r w:rsidRPr="00D9348B">
        <w:t>New Zealand’s emissions budget for the period 2013 to 2020 is 509,774,982 tonnes CO</w:t>
      </w:r>
      <w:r w:rsidRPr="00D9348B">
        <w:rPr>
          <w:vertAlign w:val="subscript"/>
        </w:rPr>
        <w:t>2</w:t>
      </w:r>
      <w:r w:rsidRPr="00D9348B">
        <w:noBreakHyphen/>
        <w:t>e.</w:t>
      </w:r>
      <w:r w:rsidRPr="00D9348B">
        <w:rPr>
          <w:rStyle w:val="FootnoteReference"/>
        </w:rPr>
        <w:footnoteReference w:id="6"/>
      </w:r>
      <w:r w:rsidRPr="00D9348B">
        <w:t xml:space="preserve"> </w:t>
      </w:r>
      <w:r w:rsidRPr="00D9348B">
        <w:rPr>
          <w:spacing w:val="-2"/>
        </w:rPr>
        <w:t xml:space="preserve">This is based on the gross emissions data for 1990 included in New Zealand’s 2016 inventory submission (New Zealand’s Initial Report, Ministry for the Environment, 2016). </w:t>
      </w:r>
    </w:p>
    <w:p w14:paraId="4CEDF0EE" w14:textId="77777777" w:rsidR="00D1512E" w:rsidRPr="00D9348B" w:rsidRDefault="00D1512E" w:rsidP="00D1512E">
      <w:pPr>
        <w:pStyle w:val="BodyText"/>
      </w:pPr>
      <w:r w:rsidRPr="00D9348B">
        <w:t>New Zealand tracks progress towards its 2020 target by regularly publishing a net position. This report can be found on New Zealand’s Ministry for the Environment website.</w:t>
      </w:r>
      <w:r w:rsidRPr="00D9348B">
        <w:rPr>
          <w:rStyle w:val="FootnoteReference"/>
        </w:rPr>
        <w:footnoteReference w:id="7"/>
      </w:r>
    </w:p>
    <w:p w14:paraId="5F40BB31" w14:textId="77777777" w:rsidR="00D1512E" w:rsidRPr="00D9348B" w:rsidRDefault="00D1512E" w:rsidP="00D1512E">
      <w:pPr>
        <w:pStyle w:val="Heading2"/>
      </w:pPr>
      <w:bookmarkStart w:id="33" w:name="_Toc352504813"/>
      <w:bookmarkStart w:id="34" w:name="_Toc414531261"/>
      <w:bookmarkStart w:id="35" w:name="_Toc448321482"/>
      <w:bookmarkStart w:id="36" w:name="_Toc511116559"/>
      <w:bookmarkStart w:id="37" w:name="_Toc5269321"/>
      <w:bookmarkStart w:id="38" w:name="_Toc36224361"/>
      <w:bookmarkEnd w:id="32"/>
      <w:r w:rsidRPr="00D9348B">
        <w:t>ES.3</w:t>
      </w:r>
      <w:r w:rsidRPr="00D9348B">
        <w:tab/>
        <w:t>Greenhouse gas trends</w:t>
      </w:r>
      <w:bookmarkEnd w:id="33"/>
      <w:bookmarkEnd w:id="34"/>
      <w:bookmarkEnd w:id="35"/>
      <w:bookmarkEnd w:id="36"/>
      <w:bookmarkEnd w:id="37"/>
      <w:bookmarkEnd w:id="38"/>
    </w:p>
    <w:p w14:paraId="515A33BF" w14:textId="00D04E91" w:rsidR="00D1512E" w:rsidRPr="00D9348B" w:rsidRDefault="00D1512E" w:rsidP="00D1512E">
      <w:pPr>
        <w:pStyle w:val="BodyText"/>
      </w:pPr>
      <w:r w:rsidRPr="00D9348B">
        <w:t>Inventory reporting under the Convention covers the following direct GHGs: CO</w:t>
      </w:r>
      <w:r w:rsidRPr="00D9348B">
        <w:rPr>
          <w:vertAlign w:val="subscript"/>
        </w:rPr>
        <w:t>2</w:t>
      </w:r>
      <w:r w:rsidRPr="00D9348B">
        <w:t>, CH</w:t>
      </w:r>
      <w:r w:rsidRPr="00D9348B">
        <w:rPr>
          <w:vertAlign w:val="subscript"/>
        </w:rPr>
        <w:t>4</w:t>
      </w:r>
      <w:r w:rsidRPr="00D9348B">
        <w:t>, N</w:t>
      </w:r>
      <w:r w:rsidRPr="00D9348B">
        <w:rPr>
          <w:vertAlign w:val="subscript"/>
        </w:rPr>
        <w:t>2</w:t>
      </w:r>
      <w:r w:rsidRPr="00D9348B">
        <w:t>O, SF</w:t>
      </w:r>
      <w:r w:rsidRPr="00D9348B">
        <w:rPr>
          <w:vertAlign w:val="subscript"/>
        </w:rPr>
        <w:t>6</w:t>
      </w:r>
      <w:r w:rsidRPr="00D9348B">
        <w:t>,</w:t>
      </w:r>
      <w:r w:rsidR="00D90F13" w:rsidRPr="00D9348B">
        <w:t> </w:t>
      </w:r>
      <w:r w:rsidRPr="00D9348B">
        <w:t>PFCs, HFCs and NF</w:t>
      </w:r>
      <w:r w:rsidRPr="00D9348B">
        <w:rPr>
          <w:vertAlign w:val="subscript"/>
        </w:rPr>
        <w:t>3</w:t>
      </w:r>
      <w:r w:rsidRPr="00D9348B">
        <w:t>. Because NF</w:t>
      </w:r>
      <w:r w:rsidRPr="00D9348B">
        <w:rPr>
          <w:vertAlign w:val="subscript"/>
        </w:rPr>
        <w:t>3</w:t>
      </w:r>
      <w:r w:rsidRPr="00D9348B">
        <w:t xml:space="preserve"> emissions do not occur in New Zealand, no NF</w:t>
      </w:r>
      <w:r w:rsidRPr="00D9348B">
        <w:rPr>
          <w:vertAlign w:val="subscript"/>
        </w:rPr>
        <w:t>3</w:t>
      </w:r>
      <w:r w:rsidRPr="00D9348B">
        <w:t xml:space="preserve"> data are</w:t>
      </w:r>
      <w:r w:rsidR="00D90F13" w:rsidRPr="00D9348B">
        <w:t> </w:t>
      </w:r>
      <w:r w:rsidRPr="00D9348B">
        <w:t>included in this report. Figure ES 3.1 presents New Zealand’s 2018 emissions by gas.</w:t>
      </w:r>
    </w:p>
    <w:p w14:paraId="0C800446" w14:textId="77777777" w:rsidR="00D1512E" w:rsidRPr="00D9348B" w:rsidRDefault="00D1512E" w:rsidP="00D1512E">
      <w:pPr>
        <w:pStyle w:val="BodyText"/>
      </w:pPr>
      <w:r w:rsidRPr="00D9348B">
        <w:t xml:space="preserve">Table ES 3.1 provides a summary of emissions for each gas in 1990 and 2018 and the changes since 1990. This is also illustrated in figure ES 3.2. </w:t>
      </w:r>
    </w:p>
    <w:p w14:paraId="2630BBC3" w14:textId="77777777" w:rsidR="00D1512E" w:rsidRPr="00D9348B" w:rsidRDefault="00D1512E" w:rsidP="00D1512E">
      <w:pPr>
        <w:pStyle w:val="Figure"/>
        <w:spacing w:after="0"/>
      </w:pPr>
      <w:bookmarkStart w:id="39" w:name="_Toc444693961"/>
      <w:bookmarkStart w:id="40" w:name="_Toc447275646"/>
      <w:bookmarkStart w:id="41" w:name="_Toc511116911"/>
      <w:bookmarkStart w:id="42" w:name="_Toc5269644"/>
      <w:bookmarkStart w:id="43" w:name="_Toc36292747"/>
      <w:r w:rsidRPr="00D9348B" w:rsidDel="0031329E">
        <w:lastRenderedPageBreak/>
        <w:t xml:space="preserve">Figure ES 3.1 </w:t>
      </w:r>
      <w:r w:rsidRPr="00D9348B" w:rsidDel="0031329E">
        <w:tab/>
        <w:t xml:space="preserve">New Zealand’s </w:t>
      </w:r>
      <w:r w:rsidRPr="00D9348B">
        <w:t xml:space="preserve">gross </w:t>
      </w:r>
      <w:r w:rsidRPr="00D9348B" w:rsidDel="0031329E">
        <w:t xml:space="preserve">emissions by gas in </w:t>
      </w:r>
      <w:bookmarkEnd w:id="39"/>
      <w:bookmarkEnd w:id="40"/>
      <w:bookmarkEnd w:id="41"/>
      <w:r w:rsidRPr="00D9348B" w:rsidDel="0031329E">
        <w:t>201</w:t>
      </w:r>
      <w:r w:rsidRPr="00D9348B">
        <w:t>8</w:t>
      </w:r>
      <w:bookmarkEnd w:id="42"/>
      <w:bookmarkEnd w:id="43"/>
    </w:p>
    <w:p w14:paraId="369FE282" w14:textId="77777777" w:rsidR="00D1512E" w:rsidRPr="00D9348B" w:rsidRDefault="007165CF" w:rsidP="00D1512E">
      <w:r>
        <w:pict w14:anchorId="064ABFD6">
          <v:shape id="_x0000_i1027" type="#_x0000_t75" style="width:425.1pt;height:228.5pt">
            <v:imagedata r:id="rId22" o:title="Figure 2"/>
          </v:shape>
        </w:pict>
      </w:r>
    </w:p>
    <w:p w14:paraId="2EC177AF" w14:textId="77777777" w:rsidR="00D1512E" w:rsidRPr="00D9348B" w:rsidRDefault="00D1512E" w:rsidP="00D90F13">
      <w:pPr>
        <w:pStyle w:val="Noteundertable"/>
      </w:pPr>
      <w:r w:rsidRPr="00D9348B">
        <w:rPr>
          <w:b/>
        </w:rPr>
        <w:t xml:space="preserve">Note: </w:t>
      </w:r>
      <w:r w:rsidRPr="00D9348B">
        <w:rPr>
          <w:b/>
        </w:rPr>
        <w:tab/>
      </w:r>
      <w:r w:rsidRPr="00D9348B">
        <w:t>The percentages may not add up to 100 per cent due to rounding.</w:t>
      </w:r>
    </w:p>
    <w:p w14:paraId="4F1941F9" w14:textId="77777777" w:rsidR="00D1512E" w:rsidRPr="00D9348B" w:rsidRDefault="00D1512E" w:rsidP="00D1512E">
      <w:pPr>
        <w:pStyle w:val="Table"/>
        <w:spacing w:before="240"/>
      </w:pPr>
      <w:bookmarkStart w:id="44" w:name="_Toc444693993"/>
      <w:bookmarkStart w:id="45" w:name="_Toc451176048"/>
      <w:bookmarkStart w:id="46" w:name="_Toc511116697"/>
      <w:bookmarkStart w:id="47" w:name="_Toc5269431"/>
      <w:bookmarkStart w:id="48" w:name="_Toc36224508"/>
      <w:r w:rsidRPr="00D9348B">
        <w:t xml:space="preserve">Table ES 3.1 </w:t>
      </w:r>
      <w:r w:rsidRPr="00D9348B">
        <w:tab/>
        <w:t>New Zealand’s gross emissions by gas in 1990 and </w:t>
      </w:r>
      <w:bookmarkEnd w:id="44"/>
      <w:bookmarkEnd w:id="45"/>
      <w:bookmarkEnd w:id="46"/>
      <w:r w:rsidRPr="00D9348B">
        <w:t>2018</w:t>
      </w:r>
      <w:bookmarkEnd w:id="47"/>
      <w:bookmarkEnd w:id="48"/>
    </w:p>
    <w:tbl>
      <w:tblPr>
        <w:tblW w:w="8505" w:type="dxa"/>
        <w:tblInd w:w="108" w:type="dxa"/>
        <w:tblBorders>
          <w:bottom w:val="single" w:sz="8" w:space="0" w:color="365F91"/>
          <w:insideH w:val="single" w:sz="8" w:space="0" w:color="365F91"/>
        </w:tblBorders>
        <w:tblLook w:val="01E0" w:firstRow="1" w:lastRow="1" w:firstColumn="1" w:lastColumn="1" w:noHBand="0" w:noVBand="0"/>
      </w:tblPr>
      <w:tblGrid>
        <w:gridCol w:w="2694"/>
        <w:gridCol w:w="1417"/>
        <w:gridCol w:w="1418"/>
        <w:gridCol w:w="1559"/>
        <w:gridCol w:w="1417"/>
      </w:tblGrid>
      <w:tr w:rsidR="00D1512E" w:rsidRPr="00D9348B" w14:paraId="711C02AA" w14:textId="77777777" w:rsidTr="00DB330E">
        <w:tc>
          <w:tcPr>
            <w:tcW w:w="2694" w:type="dxa"/>
            <w:vMerge w:val="restart"/>
            <w:tcBorders>
              <w:top w:val="single" w:sz="4" w:space="0" w:color="365F91"/>
              <w:left w:val="nil"/>
              <w:bottom w:val="nil"/>
              <w:right w:val="nil"/>
              <w:tl2br w:val="nil"/>
              <w:tr2bl w:val="nil"/>
            </w:tcBorders>
            <w:shd w:val="clear" w:color="auto" w:fill="365F91"/>
            <w:vAlign w:val="bottom"/>
          </w:tcPr>
          <w:p w14:paraId="1704DFA7" w14:textId="77777777" w:rsidR="00D1512E" w:rsidRPr="00D9348B" w:rsidRDefault="00D1512E" w:rsidP="00DB330E">
            <w:pPr>
              <w:pStyle w:val="TableTextBold"/>
              <w:keepNext/>
              <w:rPr>
                <w:noProof w:val="0"/>
                <w:color w:val="FFFFFF"/>
              </w:rPr>
            </w:pPr>
            <w:r w:rsidRPr="00D9348B">
              <w:rPr>
                <w:noProof w:val="0"/>
                <w:color w:val="FFFFFF"/>
              </w:rPr>
              <w:t>Direct greenhouse gas emissions</w:t>
            </w:r>
          </w:p>
        </w:tc>
        <w:tc>
          <w:tcPr>
            <w:tcW w:w="2835" w:type="dxa"/>
            <w:gridSpan w:val="2"/>
            <w:tcBorders>
              <w:top w:val="single" w:sz="4" w:space="0" w:color="365F91"/>
              <w:left w:val="nil"/>
              <w:bottom w:val="nil"/>
              <w:right w:val="nil"/>
              <w:tl2br w:val="nil"/>
              <w:tr2bl w:val="nil"/>
            </w:tcBorders>
            <w:shd w:val="clear" w:color="auto" w:fill="365F91"/>
            <w:vAlign w:val="bottom"/>
          </w:tcPr>
          <w:p w14:paraId="3104B640" w14:textId="77777777" w:rsidR="00D1512E" w:rsidRPr="00D9348B" w:rsidRDefault="00D1512E" w:rsidP="00DB330E">
            <w:pPr>
              <w:pStyle w:val="TableTextBold"/>
              <w:keepNext/>
              <w:jc w:val="center"/>
              <w:rPr>
                <w:noProof w:val="0"/>
                <w:color w:val="FFFFFF"/>
              </w:rPr>
            </w:pPr>
            <w:r w:rsidRPr="00D9348B">
              <w:rPr>
                <w:noProof w:val="0"/>
                <w:color w:val="FFFFFF"/>
              </w:rPr>
              <w:t>kt CO</w:t>
            </w:r>
            <w:r w:rsidRPr="00D9348B">
              <w:rPr>
                <w:noProof w:val="0"/>
                <w:color w:val="FFFFFF"/>
                <w:vertAlign w:val="subscript"/>
              </w:rPr>
              <w:t>2</w:t>
            </w:r>
            <w:r w:rsidRPr="00D9348B">
              <w:rPr>
                <w:noProof w:val="0"/>
                <w:color w:val="FFFFFF"/>
              </w:rPr>
              <w:t>-equivalent</w:t>
            </w:r>
          </w:p>
        </w:tc>
        <w:tc>
          <w:tcPr>
            <w:tcW w:w="1559" w:type="dxa"/>
            <w:vMerge w:val="restart"/>
            <w:tcBorders>
              <w:top w:val="single" w:sz="4" w:space="0" w:color="365F91"/>
              <w:left w:val="nil"/>
              <w:bottom w:val="nil"/>
              <w:right w:val="nil"/>
              <w:tl2br w:val="nil"/>
              <w:tr2bl w:val="nil"/>
            </w:tcBorders>
            <w:shd w:val="clear" w:color="auto" w:fill="365F91"/>
            <w:vAlign w:val="bottom"/>
          </w:tcPr>
          <w:p w14:paraId="1CD09204" w14:textId="77777777" w:rsidR="00D1512E" w:rsidRPr="00D9348B" w:rsidRDefault="00D1512E" w:rsidP="00DB330E">
            <w:pPr>
              <w:pStyle w:val="TableTextBold"/>
              <w:keepNext/>
              <w:jc w:val="center"/>
              <w:rPr>
                <w:noProof w:val="0"/>
                <w:color w:val="FFFFFF"/>
              </w:rPr>
            </w:pPr>
            <w:r w:rsidRPr="00D9348B">
              <w:rPr>
                <w:noProof w:val="0"/>
                <w:color w:val="FFFFFF"/>
              </w:rPr>
              <w:t>Change from 1990 (kt CO</w:t>
            </w:r>
            <w:r w:rsidRPr="00D9348B">
              <w:rPr>
                <w:noProof w:val="0"/>
                <w:color w:val="FFFFFF"/>
                <w:vertAlign w:val="subscript"/>
              </w:rPr>
              <w:t>2</w:t>
            </w:r>
            <w:r w:rsidRPr="00D9348B">
              <w:rPr>
                <w:noProof w:val="0"/>
                <w:color w:val="FFFFFF"/>
              </w:rPr>
              <w:t>-equivalent)</w:t>
            </w:r>
          </w:p>
        </w:tc>
        <w:tc>
          <w:tcPr>
            <w:tcW w:w="1417" w:type="dxa"/>
            <w:vMerge w:val="restart"/>
            <w:tcBorders>
              <w:top w:val="single" w:sz="4" w:space="0" w:color="365F91"/>
              <w:left w:val="nil"/>
              <w:bottom w:val="nil"/>
              <w:right w:val="nil"/>
              <w:tl2br w:val="nil"/>
              <w:tr2bl w:val="nil"/>
            </w:tcBorders>
            <w:shd w:val="clear" w:color="auto" w:fill="365F91"/>
            <w:vAlign w:val="bottom"/>
          </w:tcPr>
          <w:p w14:paraId="087E51FD" w14:textId="77777777" w:rsidR="00D1512E" w:rsidRPr="00D9348B" w:rsidRDefault="00D1512E" w:rsidP="00DB330E">
            <w:pPr>
              <w:pStyle w:val="TableTextBold"/>
              <w:keepNext/>
              <w:jc w:val="right"/>
              <w:rPr>
                <w:noProof w:val="0"/>
                <w:color w:val="FFFFFF"/>
              </w:rPr>
            </w:pPr>
            <w:r w:rsidRPr="00D9348B">
              <w:rPr>
                <w:noProof w:val="0"/>
                <w:color w:val="FFFFFF"/>
              </w:rPr>
              <w:t>Change from 1990 (%)</w:t>
            </w:r>
          </w:p>
        </w:tc>
      </w:tr>
      <w:tr w:rsidR="00D1512E" w:rsidRPr="00D9348B" w14:paraId="4AB70360" w14:textId="77777777" w:rsidTr="00DB330E">
        <w:tc>
          <w:tcPr>
            <w:tcW w:w="2694" w:type="dxa"/>
            <w:vMerge/>
            <w:tcBorders>
              <w:top w:val="nil"/>
              <w:bottom w:val="single" w:sz="4" w:space="0" w:color="365F91"/>
            </w:tcBorders>
            <w:shd w:val="clear" w:color="auto" w:fill="365F91"/>
            <w:vAlign w:val="bottom"/>
          </w:tcPr>
          <w:p w14:paraId="5A9F36F5" w14:textId="77777777" w:rsidR="00D1512E" w:rsidRPr="00D9348B" w:rsidRDefault="00D1512E" w:rsidP="00DB330E">
            <w:pPr>
              <w:keepNext/>
              <w:spacing w:before="60" w:after="60"/>
              <w:rPr>
                <w:rFonts w:ascii="Arial" w:hAnsi="Arial"/>
                <w:color w:val="FFFFFF"/>
              </w:rPr>
            </w:pPr>
          </w:p>
        </w:tc>
        <w:tc>
          <w:tcPr>
            <w:tcW w:w="1417" w:type="dxa"/>
            <w:tcBorders>
              <w:top w:val="nil"/>
              <w:bottom w:val="single" w:sz="4" w:space="0" w:color="365F91"/>
            </w:tcBorders>
            <w:shd w:val="clear" w:color="auto" w:fill="365F91"/>
            <w:vAlign w:val="bottom"/>
          </w:tcPr>
          <w:p w14:paraId="290C30F1" w14:textId="77777777" w:rsidR="00D1512E" w:rsidRPr="00D9348B" w:rsidRDefault="00D1512E" w:rsidP="00DB330E">
            <w:pPr>
              <w:pStyle w:val="TableTextBold"/>
              <w:keepNext/>
              <w:spacing w:before="0"/>
              <w:jc w:val="center"/>
              <w:rPr>
                <w:noProof w:val="0"/>
                <w:color w:val="FFFFFF"/>
              </w:rPr>
            </w:pPr>
            <w:r w:rsidRPr="00D9348B">
              <w:rPr>
                <w:noProof w:val="0"/>
                <w:color w:val="FFFFFF"/>
              </w:rPr>
              <w:t>1990</w:t>
            </w:r>
          </w:p>
        </w:tc>
        <w:tc>
          <w:tcPr>
            <w:tcW w:w="1418" w:type="dxa"/>
            <w:tcBorders>
              <w:top w:val="nil"/>
              <w:bottom w:val="single" w:sz="4" w:space="0" w:color="365F91"/>
            </w:tcBorders>
            <w:shd w:val="clear" w:color="auto" w:fill="365F91"/>
            <w:vAlign w:val="bottom"/>
          </w:tcPr>
          <w:p w14:paraId="53BE6285" w14:textId="77777777" w:rsidR="00D1512E" w:rsidRPr="00D9348B" w:rsidRDefault="00D1512E" w:rsidP="00DB330E">
            <w:pPr>
              <w:pStyle w:val="TableTextBold"/>
              <w:keepNext/>
              <w:spacing w:before="0"/>
              <w:jc w:val="center"/>
              <w:rPr>
                <w:noProof w:val="0"/>
                <w:color w:val="FFFFFF"/>
              </w:rPr>
            </w:pPr>
            <w:r w:rsidRPr="00D9348B">
              <w:rPr>
                <w:noProof w:val="0"/>
                <w:color w:val="FFFFFF"/>
              </w:rPr>
              <w:t>2018</w:t>
            </w:r>
          </w:p>
        </w:tc>
        <w:tc>
          <w:tcPr>
            <w:tcW w:w="1559" w:type="dxa"/>
            <w:vMerge/>
            <w:tcBorders>
              <w:top w:val="nil"/>
              <w:bottom w:val="single" w:sz="4" w:space="0" w:color="365F91"/>
            </w:tcBorders>
            <w:shd w:val="clear" w:color="auto" w:fill="365F91"/>
            <w:vAlign w:val="bottom"/>
          </w:tcPr>
          <w:p w14:paraId="49D66168" w14:textId="77777777" w:rsidR="00D1512E" w:rsidRPr="00D9348B" w:rsidRDefault="00D1512E" w:rsidP="00DB330E">
            <w:pPr>
              <w:keepNext/>
              <w:spacing w:before="60" w:after="60"/>
              <w:jc w:val="center"/>
              <w:rPr>
                <w:rFonts w:ascii="Arial" w:hAnsi="Arial"/>
                <w:b/>
                <w:color w:val="FFFFFF"/>
                <w:sz w:val="16"/>
              </w:rPr>
            </w:pPr>
          </w:p>
        </w:tc>
        <w:tc>
          <w:tcPr>
            <w:tcW w:w="1417" w:type="dxa"/>
            <w:vMerge/>
            <w:tcBorders>
              <w:top w:val="nil"/>
              <w:bottom w:val="single" w:sz="4" w:space="0" w:color="365F91"/>
            </w:tcBorders>
            <w:shd w:val="clear" w:color="auto" w:fill="365F91"/>
            <w:vAlign w:val="bottom"/>
          </w:tcPr>
          <w:p w14:paraId="4063AB7F" w14:textId="77777777" w:rsidR="00D1512E" w:rsidRPr="00D9348B" w:rsidRDefault="00D1512E" w:rsidP="00DB330E">
            <w:pPr>
              <w:keepNext/>
              <w:spacing w:before="60" w:after="60"/>
              <w:jc w:val="center"/>
              <w:rPr>
                <w:rFonts w:ascii="Arial" w:hAnsi="Arial"/>
                <w:b/>
                <w:color w:val="FFFFFF"/>
                <w:sz w:val="16"/>
              </w:rPr>
            </w:pPr>
          </w:p>
        </w:tc>
      </w:tr>
      <w:tr w:rsidR="00D1512E" w:rsidRPr="00D9348B" w14:paraId="46B081C0" w14:textId="77777777" w:rsidTr="00DB330E">
        <w:tc>
          <w:tcPr>
            <w:tcW w:w="2694" w:type="dxa"/>
            <w:tcBorders>
              <w:top w:val="single" w:sz="4" w:space="0" w:color="365F91"/>
            </w:tcBorders>
            <w:shd w:val="clear" w:color="auto" w:fill="auto"/>
          </w:tcPr>
          <w:p w14:paraId="6A09445A" w14:textId="77777777" w:rsidR="00D1512E" w:rsidRPr="00D9348B" w:rsidRDefault="00D1512E" w:rsidP="00DB330E">
            <w:pPr>
              <w:pStyle w:val="TableText"/>
              <w:keepNext/>
              <w:spacing w:before="50" w:after="50"/>
              <w:rPr>
                <w:color w:val="000000"/>
              </w:rPr>
            </w:pPr>
            <w:r w:rsidRPr="00D9348B">
              <w:rPr>
                <w:color w:val="000000"/>
              </w:rPr>
              <w:t>CO</w:t>
            </w:r>
            <w:r w:rsidRPr="00D9348B">
              <w:rPr>
                <w:color w:val="000000"/>
                <w:szCs w:val="16"/>
                <w:vertAlign w:val="subscript"/>
              </w:rPr>
              <w:t>2</w:t>
            </w:r>
            <w:r w:rsidRPr="00D9348B">
              <w:rPr>
                <w:color w:val="000000"/>
              </w:rPr>
              <w:t xml:space="preserve"> </w:t>
            </w:r>
          </w:p>
        </w:tc>
        <w:tc>
          <w:tcPr>
            <w:tcW w:w="1417" w:type="dxa"/>
            <w:tcBorders>
              <w:top w:val="single" w:sz="4" w:space="0" w:color="365F91"/>
            </w:tcBorders>
            <w:shd w:val="clear" w:color="auto" w:fill="auto"/>
            <w:vAlign w:val="bottom"/>
          </w:tcPr>
          <w:p w14:paraId="00901FAB" w14:textId="77777777" w:rsidR="00D1512E" w:rsidRPr="00D9348B" w:rsidRDefault="00D1512E" w:rsidP="00DB330E">
            <w:pPr>
              <w:pStyle w:val="TableText"/>
              <w:keepNext/>
              <w:spacing w:before="50" w:after="50"/>
              <w:ind w:right="283"/>
              <w:jc w:val="right"/>
              <w:rPr>
                <w:rFonts w:cs="Arial"/>
                <w:color w:val="000000"/>
                <w:szCs w:val="16"/>
              </w:rPr>
            </w:pPr>
            <w:r w:rsidRPr="00D9348B">
              <w:rPr>
                <w:rFonts w:cs="Arial"/>
                <w:color w:val="000000"/>
                <w:szCs w:val="16"/>
              </w:rPr>
              <w:t>25,446.3</w:t>
            </w:r>
          </w:p>
        </w:tc>
        <w:tc>
          <w:tcPr>
            <w:tcW w:w="1418" w:type="dxa"/>
            <w:tcBorders>
              <w:top w:val="single" w:sz="4" w:space="0" w:color="365F91"/>
            </w:tcBorders>
            <w:shd w:val="clear" w:color="auto" w:fill="auto"/>
            <w:vAlign w:val="bottom"/>
          </w:tcPr>
          <w:p w14:paraId="341B96F9" w14:textId="77777777" w:rsidR="00D1512E" w:rsidRPr="00D9348B" w:rsidRDefault="00D1512E" w:rsidP="00DB330E">
            <w:pPr>
              <w:pStyle w:val="TableText"/>
              <w:keepNext/>
              <w:spacing w:before="50" w:after="50"/>
              <w:ind w:right="283"/>
              <w:jc w:val="right"/>
              <w:rPr>
                <w:rFonts w:cs="Arial"/>
                <w:color w:val="000000"/>
                <w:szCs w:val="16"/>
              </w:rPr>
            </w:pPr>
            <w:r w:rsidRPr="00D9348B">
              <w:rPr>
                <w:rFonts w:cs="Arial"/>
                <w:color w:val="000000"/>
                <w:szCs w:val="16"/>
              </w:rPr>
              <w:t>35,080.3</w:t>
            </w:r>
          </w:p>
        </w:tc>
        <w:tc>
          <w:tcPr>
            <w:tcW w:w="1559" w:type="dxa"/>
            <w:tcBorders>
              <w:top w:val="single" w:sz="4" w:space="0" w:color="365F91"/>
            </w:tcBorders>
            <w:shd w:val="clear" w:color="auto" w:fill="auto"/>
            <w:vAlign w:val="bottom"/>
          </w:tcPr>
          <w:p w14:paraId="217B9C9C" w14:textId="77777777" w:rsidR="00D1512E" w:rsidRPr="00D9348B" w:rsidRDefault="00D1512E" w:rsidP="00DB330E">
            <w:pPr>
              <w:pStyle w:val="TableText"/>
              <w:keepNext/>
              <w:spacing w:before="50" w:after="50"/>
              <w:ind w:right="176"/>
              <w:jc w:val="right"/>
              <w:rPr>
                <w:rFonts w:cs="Arial"/>
                <w:color w:val="000000"/>
                <w:szCs w:val="16"/>
              </w:rPr>
            </w:pPr>
            <w:r w:rsidRPr="00D9348B">
              <w:rPr>
                <w:rFonts w:cs="Arial"/>
                <w:color w:val="000000"/>
                <w:szCs w:val="16"/>
              </w:rPr>
              <w:t>9,634.1</w:t>
            </w:r>
          </w:p>
        </w:tc>
        <w:tc>
          <w:tcPr>
            <w:tcW w:w="1417" w:type="dxa"/>
            <w:tcBorders>
              <w:top w:val="single" w:sz="4" w:space="0" w:color="365F91"/>
            </w:tcBorders>
            <w:shd w:val="clear" w:color="auto" w:fill="auto"/>
            <w:vAlign w:val="bottom"/>
          </w:tcPr>
          <w:p w14:paraId="1E33DCF6" w14:textId="77777777" w:rsidR="00D1512E" w:rsidRPr="00D9348B" w:rsidRDefault="00D1512E" w:rsidP="00DB330E">
            <w:pPr>
              <w:pStyle w:val="TableText"/>
              <w:keepNext/>
              <w:tabs>
                <w:tab w:val="left" w:pos="1309"/>
              </w:tabs>
              <w:spacing w:before="50" w:after="50"/>
              <w:ind w:right="337"/>
              <w:jc w:val="right"/>
              <w:rPr>
                <w:rFonts w:cs="Arial"/>
                <w:color w:val="000000"/>
                <w:szCs w:val="16"/>
              </w:rPr>
            </w:pPr>
            <w:r w:rsidRPr="00D9348B">
              <w:rPr>
                <w:rFonts w:cs="Arial"/>
                <w:color w:val="000000"/>
                <w:szCs w:val="16"/>
              </w:rPr>
              <w:t>37.9</w:t>
            </w:r>
          </w:p>
        </w:tc>
      </w:tr>
      <w:tr w:rsidR="00D1512E" w:rsidRPr="00D9348B" w14:paraId="75CE182D" w14:textId="77777777" w:rsidTr="00DB330E">
        <w:tc>
          <w:tcPr>
            <w:tcW w:w="2694" w:type="dxa"/>
            <w:shd w:val="clear" w:color="auto" w:fill="auto"/>
          </w:tcPr>
          <w:p w14:paraId="7C6E83AB" w14:textId="77777777" w:rsidR="00D1512E" w:rsidRPr="00D9348B" w:rsidRDefault="00D1512E" w:rsidP="00DB330E">
            <w:pPr>
              <w:pStyle w:val="TableText"/>
              <w:keepNext/>
              <w:spacing w:before="50" w:after="50"/>
              <w:rPr>
                <w:color w:val="000000"/>
              </w:rPr>
            </w:pPr>
            <w:r w:rsidRPr="00D9348B">
              <w:rPr>
                <w:color w:val="000000"/>
              </w:rPr>
              <w:t>CH</w:t>
            </w:r>
            <w:r w:rsidRPr="00D9348B">
              <w:rPr>
                <w:color w:val="000000"/>
                <w:vertAlign w:val="subscript"/>
              </w:rPr>
              <w:t xml:space="preserve">4 </w:t>
            </w:r>
          </w:p>
        </w:tc>
        <w:tc>
          <w:tcPr>
            <w:tcW w:w="1417" w:type="dxa"/>
            <w:shd w:val="clear" w:color="auto" w:fill="auto"/>
            <w:vAlign w:val="bottom"/>
          </w:tcPr>
          <w:p w14:paraId="36BE2245" w14:textId="77777777" w:rsidR="00D1512E" w:rsidRPr="00D9348B" w:rsidRDefault="00D1512E" w:rsidP="00DB330E">
            <w:pPr>
              <w:pStyle w:val="TableText"/>
              <w:keepNext/>
              <w:spacing w:before="50" w:after="50"/>
              <w:ind w:right="283"/>
              <w:jc w:val="right"/>
              <w:rPr>
                <w:rFonts w:cs="Arial"/>
                <w:color w:val="000000"/>
                <w:szCs w:val="16"/>
              </w:rPr>
            </w:pPr>
            <w:r w:rsidRPr="00D9348B">
              <w:rPr>
                <w:rFonts w:cs="Arial"/>
                <w:color w:val="000000"/>
                <w:szCs w:val="16"/>
              </w:rPr>
              <w:t>32,287.6</w:t>
            </w:r>
          </w:p>
        </w:tc>
        <w:tc>
          <w:tcPr>
            <w:tcW w:w="1418" w:type="dxa"/>
            <w:shd w:val="clear" w:color="auto" w:fill="auto"/>
            <w:vAlign w:val="bottom"/>
          </w:tcPr>
          <w:p w14:paraId="37358151" w14:textId="77777777" w:rsidR="00D1512E" w:rsidRPr="00D9348B" w:rsidRDefault="00D1512E" w:rsidP="00DB330E">
            <w:pPr>
              <w:pStyle w:val="TableText"/>
              <w:keepNext/>
              <w:spacing w:before="50" w:after="50"/>
              <w:ind w:right="283"/>
              <w:jc w:val="right"/>
              <w:rPr>
                <w:rFonts w:cs="Arial"/>
                <w:color w:val="000000"/>
                <w:szCs w:val="16"/>
              </w:rPr>
            </w:pPr>
            <w:r w:rsidRPr="00D9348B">
              <w:rPr>
                <w:rFonts w:cs="Arial"/>
                <w:color w:val="000000"/>
                <w:szCs w:val="16"/>
              </w:rPr>
              <w:t>34,286.2</w:t>
            </w:r>
          </w:p>
        </w:tc>
        <w:tc>
          <w:tcPr>
            <w:tcW w:w="1559" w:type="dxa"/>
            <w:shd w:val="clear" w:color="auto" w:fill="auto"/>
            <w:vAlign w:val="bottom"/>
          </w:tcPr>
          <w:p w14:paraId="1AAEC882" w14:textId="77777777" w:rsidR="00D1512E" w:rsidRPr="00D9348B" w:rsidRDefault="00D1512E" w:rsidP="00DB330E">
            <w:pPr>
              <w:pStyle w:val="TableText"/>
              <w:keepNext/>
              <w:spacing w:before="50" w:after="50"/>
              <w:ind w:right="176"/>
              <w:jc w:val="right"/>
              <w:rPr>
                <w:rFonts w:cs="Arial"/>
                <w:color w:val="000000"/>
                <w:szCs w:val="16"/>
              </w:rPr>
            </w:pPr>
            <w:r w:rsidRPr="00D9348B">
              <w:rPr>
                <w:rFonts w:cs="Arial"/>
                <w:color w:val="000000"/>
                <w:szCs w:val="16"/>
              </w:rPr>
              <w:t>1,998.6</w:t>
            </w:r>
          </w:p>
        </w:tc>
        <w:tc>
          <w:tcPr>
            <w:tcW w:w="1417" w:type="dxa"/>
            <w:shd w:val="clear" w:color="auto" w:fill="auto"/>
            <w:vAlign w:val="bottom"/>
          </w:tcPr>
          <w:p w14:paraId="3E4EF307" w14:textId="77777777" w:rsidR="00D1512E" w:rsidRPr="00D9348B" w:rsidRDefault="00D1512E" w:rsidP="00DB330E">
            <w:pPr>
              <w:pStyle w:val="TableText"/>
              <w:keepNext/>
              <w:spacing w:before="50" w:after="50"/>
              <w:ind w:right="337"/>
              <w:jc w:val="right"/>
              <w:rPr>
                <w:rFonts w:cs="Arial"/>
                <w:color w:val="000000"/>
                <w:szCs w:val="16"/>
              </w:rPr>
            </w:pPr>
            <w:r w:rsidRPr="00D9348B">
              <w:rPr>
                <w:rFonts w:cs="Arial"/>
                <w:color w:val="000000"/>
                <w:szCs w:val="16"/>
              </w:rPr>
              <w:t>6.2</w:t>
            </w:r>
          </w:p>
        </w:tc>
      </w:tr>
      <w:tr w:rsidR="00D1512E" w:rsidRPr="00D9348B" w14:paraId="57BBD2AD" w14:textId="77777777" w:rsidTr="00DB330E">
        <w:tc>
          <w:tcPr>
            <w:tcW w:w="2694" w:type="dxa"/>
            <w:shd w:val="clear" w:color="auto" w:fill="auto"/>
          </w:tcPr>
          <w:p w14:paraId="7E825EDE" w14:textId="77777777" w:rsidR="00D1512E" w:rsidRPr="00D9348B" w:rsidRDefault="00D1512E" w:rsidP="00DB330E">
            <w:pPr>
              <w:pStyle w:val="TableText"/>
              <w:keepNext/>
              <w:spacing w:before="50" w:after="50"/>
              <w:rPr>
                <w:color w:val="000000"/>
              </w:rPr>
            </w:pPr>
            <w:r w:rsidRPr="00D9348B">
              <w:rPr>
                <w:color w:val="000000"/>
              </w:rPr>
              <w:t>N</w:t>
            </w:r>
            <w:r w:rsidRPr="00D9348B">
              <w:rPr>
                <w:color w:val="000000"/>
                <w:szCs w:val="16"/>
                <w:vertAlign w:val="subscript"/>
              </w:rPr>
              <w:t>2</w:t>
            </w:r>
            <w:r w:rsidRPr="00D9348B">
              <w:rPr>
                <w:color w:val="000000"/>
              </w:rPr>
              <w:t xml:space="preserve">O </w:t>
            </w:r>
          </w:p>
        </w:tc>
        <w:tc>
          <w:tcPr>
            <w:tcW w:w="1417" w:type="dxa"/>
            <w:shd w:val="clear" w:color="auto" w:fill="auto"/>
            <w:vAlign w:val="bottom"/>
          </w:tcPr>
          <w:p w14:paraId="6A7E79D6" w14:textId="77777777" w:rsidR="00D1512E" w:rsidRPr="00D9348B" w:rsidRDefault="00D1512E" w:rsidP="00DB330E">
            <w:pPr>
              <w:pStyle w:val="TableText"/>
              <w:keepNext/>
              <w:spacing w:before="50" w:after="50"/>
              <w:ind w:right="283"/>
              <w:jc w:val="right"/>
              <w:rPr>
                <w:rFonts w:cs="Arial"/>
                <w:color w:val="000000"/>
                <w:szCs w:val="16"/>
              </w:rPr>
            </w:pPr>
            <w:r w:rsidRPr="00D9348B">
              <w:rPr>
                <w:rFonts w:cs="Arial"/>
                <w:color w:val="000000"/>
                <w:szCs w:val="16"/>
              </w:rPr>
              <w:t>4,927.1</w:t>
            </w:r>
          </w:p>
        </w:tc>
        <w:tc>
          <w:tcPr>
            <w:tcW w:w="1418" w:type="dxa"/>
            <w:shd w:val="clear" w:color="auto" w:fill="auto"/>
            <w:vAlign w:val="bottom"/>
          </w:tcPr>
          <w:p w14:paraId="1114E515" w14:textId="77777777" w:rsidR="00D1512E" w:rsidRPr="00D9348B" w:rsidRDefault="00D1512E" w:rsidP="00DB330E">
            <w:pPr>
              <w:pStyle w:val="TableText"/>
              <w:keepNext/>
              <w:spacing w:before="50" w:after="50"/>
              <w:ind w:right="283"/>
              <w:jc w:val="right"/>
              <w:rPr>
                <w:rFonts w:cs="Arial"/>
                <w:color w:val="000000"/>
                <w:szCs w:val="16"/>
              </w:rPr>
            </w:pPr>
            <w:r w:rsidRPr="00D9348B">
              <w:rPr>
                <w:rFonts w:cs="Arial"/>
                <w:color w:val="000000"/>
                <w:szCs w:val="16"/>
              </w:rPr>
              <w:t>7,592.5</w:t>
            </w:r>
          </w:p>
        </w:tc>
        <w:tc>
          <w:tcPr>
            <w:tcW w:w="1559" w:type="dxa"/>
            <w:shd w:val="clear" w:color="auto" w:fill="auto"/>
            <w:vAlign w:val="bottom"/>
          </w:tcPr>
          <w:p w14:paraId="69A4FE0A" w14:textId="77777777" w:rsidR="00D1512E" w:rsidRPr="00D9348B" w:rsidRDefault="00D1512E" w:rsidP="00DB330E">
            <w:pPr>
              <w:pStyle w:val="TableText"/>
              <w:keepNext/>
              <w:spacing w:before="50" w:after="50"/>
              <w:ind w:right="176"/>
              <w:jc w:val="right"/>
              <w:rPr>
                <w:rFonts w:cs="Arial"/>
                <w:color w:val="000000"/>
                <w:szCs w:val="16"/>
              </w:rPr>
            </w:pPr>
            <w:r w:rsidRPr="00D9348B">
              <w:rPr>
                <w:rFonts w:cs="Arial"/>
                <w:color w:val="000000"/>
                <w:szCs w:val="16"/>
              </w:rPr>
              <w:t>2,665.3</w:t>
            </w:r>
          </w:p>
        </w:tc>
        <w:tc>
          <w:tcPr>
            <w:tcW w:w="1417" w:type="dxa"/>
            <w:shd w:val="clear" w:color="auto" w:fill="auto"/>
            <w:vAlign w:val="bottom"/>
          </w:tcPr>
          <w:p w14:paraId="79B2B44C" w14:textId="77777777" w:rsidR="00D1512E" w:rsidRPr="00D9348B" w:rsidRDefault="00D1512E" w:rsidP="00DB330E">
            <w:pPr>
              <w:pStyle w:val="TableText"/>
              <w:keepNext/>
              <w:tabs>
                <w:tab w:val="left" w:pos="1309"/>
              </w:tabs>
              <w:spacing w:before="50" w:after="50"/>
              <w:ind w:right="337"/>
              <w:jc w:val="right"/>
              <w:rPr>
                <w:rFonts w:cs="Arial"/>
                <w:color w:val="000000"/>
                <w:szCs w:val="16"/>
              </w:rPr>
            </w:pPr>
            <w:r w:rsidRPr="00D9348B">
              <w:rPr>
                <w:rFonts w:cs="Arial"/>
                <w:color w:val="000000"/>
                <w:szCs w:val="16"/>
              </w:rPr>
              <w:t>54.1</w:t>
            </w:r>
          </w:p>
        </w:tc>
      </w:tr>
      <w:tr w:rsidR="00D1512E" w:rsidRPr="00D9348B" w14:paraId="0399CBD9" w14:textId="77777777" w:rsidTr="00DB330E">
        <w:tc>
          <w:tcPr>
            <w:tcW w:w="2694" w:type="dxa"/>
            <w:shd w:val="clear" w:color="auto" w:fill="auto"/>
          </w:tcPr>
          <w:p w14:paraId="5B8E157B" w14:textId="77777777" w:rsidR="00D1512E" w:rsidRPr="00D9348B" w:rsidRDefault="00D1512E" w:rsidP="00DB330E">
            <w:pPr>
              <w:pStyle w:val="TableText"/>
              <w:spacing w:before="50" w:after="50"/>
              <w:rPr>
                <w:color w:val="000000"/>
              </w:rPr>
            </w:pPr>
            <w:r w:rsidRPr="00D9348B">
              <w:rPr>
                <w:color w:val="000000"/>
              </w:rPr>
              <w:t>HFCs</w:t>
            </w:r>
          </w:p>
        </w:tc>
        <w:tc>
          <w:tcPr>
            <w:tcW w:w="1417" w:type="dxa"/>
            <w:shd w:val="clear" w:color="auto" w:fill="auto"/>
            <w:vAlign w:val="bottom"/>
          </w:tcPr>
          <w:p w14:paraId="74DAF954" w14:textId="77777777" w:rsidR="00D1512E" w:rsidRPr="00D9348B" w:rsidRDefault="00D1512E" w:rsidP="00DB330E">
            <w:pPr>
              <w:pStyle w:val="TableText"/>
              <w:spacing w:before="50" w:after="50"/>
              <w:ind w:right="283"/>
              <w:jc w:val="right"/>
              <w:rPr>
                <w:rFonts w:cs="Arial"/>
                <w:color w:val="000000"/>
                <w:szCs w:val="16"/>
              </w:rPr>
            </w:pPr>
            <w:r w:rsidRPr="00D9348B">
              <w:rPr>
                <w:rFonts w:cs="Arial"/>
                <w:color w:val="000000"/>
                <w:szCs w:val="16"/>
              </w:rPr>
              <w:t>0.0</w:t>
            </w:r>
          </w:p>
        </w:tc>
        <w:tc>
          <w:tcPr>
            <w:tcW w:w="1418" w:type="dxa"/>
            <w:shd w:val="clear" w:color="auto" w:fill="auto"/>
            <w:vAlign w:val="bottom"/>
          </w:tcPr>
          <w:p w14:paraId="0F9C1011" w14:textId="77777777" w:rsidR="00D1512E" w:rsidRPr="00D9348B" w:rsidRDefault="00D1512E" w:rsidP="00DB330E">
            <w:pPr>
              <w:pStyle w:val="TableText"/>
              <w:spacing w:before="50" w:after="50"/>
              <w:ind w:right="283"/>
              <w:jc w:val="right"/>
              <w:rPr>
                <w:rFonts w:cs="Arial"/>
                <w:color w:val="000000"/>
                <w:szCs w:val="16"/>
              </w:rPr>
            </w:pPr>
            <w:r w:rsidRPr="00D9348B">
              <w:rPr>
                <w:rFonts w:cs="Arial"/>
                <w:color w:val="000000"/>
                <w:szCs w:val="16"/>
              </w:rPr>
              <w:t>1,816.1</w:t>
            </w:r>
          </w:p>
        </w:tc>
        <w:tc>
          <w:tcPr>
            <w:tcW w:w="1559" w:type="dxa"/>
            <w:shd w:val="clear" w:color="auto" w:fill="auto"/>
            <w:vAlign w:val="bottom"/>
          </w:tcPr>
          <w:p w14:paraId="71211C16" w14:textId="77777777" w:rsidR="00D1512E" w:rsidRPr="00D9348B" w:rsidRDefault="00D1512E" w:rsidP="00DB330E">
            <w:pPr>
              <w:pStyle w:val="TableText"/>
              <w:spacing w:before="50" w:after="50"/>
              <w:ind w:right="176"/>
              <w:jc w:val="right"/>
              <w:rPr>
                <w:rFonts w:cs="Arial"/>
                <w:color w:val="000000"/>
                <w:szCs w:val="16"/>
              </w:rPr>
            </w:pPr>
            <w:r w:rsidRPr="00D9348B">
              <w:rPr>
                <w:rFonts w:cs="Arial"/>
                <w:color w:val="000000"/>
                <w:szCs w:val="16"/>
              </w:rPr>
              <w:t>1,816.1</w:t>
            </w:r>
          </w:p>
        </w:tc>
        <w:tc>
          <w:tcPr>
            <w:tcW w:w="1417" w:type="dxa"/>
            <w:shd w:val="clear" w:color="auto" w:fill="auto"/>
            <w:vAlign w:val="center"/>
          </w:tcPr>
          <w:p w14:paraId="1E3F75E0" w14:textId="77777777" w:rsidR="00D1512E" w:rsidRPr="00D9348B" w:rsidRDefault="00D1512E" w:rsidP="00DB330E">
            <w:pPr>
              <w:pStyle w:val="TableText"/>
              <w:tabs>
                <w:tab w:val="left" w:pos="1451"/>
              </w:tabs>
              <w:spacing w:before="50" w:after="50"/>
              <w:ind w:right="337"/>
              <w:jc w:val="right"/>
              <w:rPr>
                <w:color w:val="000000"/>
              </w:rPr>
            </w:pPr>
            <w:r w:rsidRPr="00D9348B">
              <w:rPr>
                <w:color w:val="000000"/>
              </w:rPr>
              <w:t>NA</w:t>
            </w:r>
          </w:p>
        </w:tc>
      </w:tr>
      <w:tr w:rsidR="00D1512E" w:rsidRPr="00D9348B" w14:paraId="6F5686E3" w14:textId="77777777" w:rsidTr="00DB330E">
        <w:tc>
          <w:tcPr>
            <w:tcW w:w="2694" w:type="dxa"/>
            <w:shd w:val="clear" w:color="auto" w:fill="auto"/>
          </w:tcPr>
          <w:p w14:paraId="3E2E0386" w14:textId="77777777" w:rsidR="00D1512E" w:rsidRPr="00D9348B" w:rsidRDefault="00D1512E" w:rsidP="00DB330E">
            <w:pPr>
              <w:pStyle w:val="TableText"/>
              <w:spacing w:before="50" w:after="50"/>
              <w:rPr>
                <w:color w:val="000000"/>
              </w:rPr>
            </w:pPr>
            <w:r w:rsidRPr="00D9348B">
              <w:rPr>
                <w:color w:val="000000"/>
              </w:rPr>
              <w:t>PFCs</w:t>
            </w:r>
          </w:p>
        </w:tc>
        <w:tc>
          <w:tcPr>
            <w:tcW w:w="1417" w:type="dxa"/>
            <w:shd w:val="clear" w:color="auto" w:fill="auto"/>
            <w:vAlign w:val="bottom"/>
          </w:tcPr>
          <w:p w14:paraId="0649EE4B" w14:textId="77777777" w:rsidR="00D1512E" w:rsidRPr="00D9348B" w:rsidRDefault="00D1512E" w:rsidP="00DB330E">
            <w:pPr>
              <w:pStyle w:val="TableText"/>
              <w:spacing w:before="50" w:after="50"/>
              <w:ind w:right="283"/>
              <w:jc w:val="right"/>
              <w:rPr>
                <w:rFonts w:cs="Arial"/>
                <w:color w:val="000000"/>
                <w:szCs w:val="16"/>
              </w:rPr>
            </w:pPr>
            <w:r w:rsidRPr="00D9348B">
              <w:rPr>
                <w:rFonts w:cs="Arial"/>
                <w:color w:val="000000"/>
                <w:szCs w:val="16"/>
              </w:rPr>
              <w:t>909.9</w:t>
            </w:r>
          </w:p>
        </w:tc>
        <w:tc>
          <w:tcPr>
            <w:tcW w:w="1418" w:type="dxa"/>
            <w:shd w:val="clear" w:color="auto" w:fill="auto"/>
            <w:vAlign w:val="bottom"/>
          </w:tcPr>
          <w:p w14:paraId="5D477914" w14:textId="77777777" w:rsidR="00D1512E" w:rsidRPr="00D9348B" w:rsidRDefault="00D1512E" w:rsidP="00DB330E">
            <w:pPr>
              <w:pStyle w:val="TableText"/>
              <w:spacing w:before="50" w:after="50"/>
              <w:ind w:right="283"/>
              <w:jc w:val="right"/>
              <w:rPr>
                <w:rFonts w:cs="Arial"/>
                <w:color w:val="000000"/>
                <w:szCs w:val="16"/>
              </w:rPr>
            </w:pPr>
            <w:r w:rsidRPr="00D9348B">
              <w:rPr>
                <w:rFonts w:cs="Arial"/>
                <w:color w:val="000000"/>
                <w:szCs w:val="16"/>
              </w:rPr>
              <w:t>72.4</w:t>
            </w:r>
          </w:p>
        </w:tc>
        <w:tc>
          <w:tcPr>
            <w:tcW w:w="1559" w:type="dxa"/>
            <w:shd w:val="clear" w:color="auto" w:fill="auto"/>
            <w:vAlign w:val="center"/>
          </w:tcPr>
          <w:p w14:paraId="19FCD932" w14:textId="77777777" w:rsidR="00D1512E" w:rsidRPr="00D9348B" w:rsidRDefault="00D1512E" w:rsidP="00DB330E">
            <w:pPr>
              <w:pStyle w:val="TableText"/>
              <w:spacing w:before="50" w:after="50"/>
              <w:ind w:right="176"/>
              <w:jc w:val="right"/>
              <w:rPr>
                <w:color w:val="000000"/>
              </w:rPr>
            </w:pPr>
            <w:r w:rsidRPr="00D9348B">
              <w:rPr>
                <w:color w:val="000000"/>
              </w:rPr>
              <w:t>–837.6</w:t>
            </w:r>
          </w:p>
        </w:tc>
        <w:tc>
          <w:tcPr>
            <w:tcW w:w="1417" w:type="dxa"/>
            <w:shd w:val="clear" w:color="auto" w:fill="auto"/>
            <w:vAlign w:val="center"/>
          </w:tcPr>
          <w:p w14:paraId="14252058" w14:textId="77777777" w:rsidR="00D1512E" w:rsidRPr="00D9348B" w:rsidRDefault="00D1512E" w:rsidP="00DB330E">
            <w:pPr>
              <w:pStyle w:val="TableText"/>
              <w:tabs>
                <w:tab w:val="left" w:pos="3152"/>
              </w:tabs>
              <w:spacing w:before="50" w:after="50"/>
              <w:ind w:right="337"/>
              <w:jc w:val="right"/>
              <w:rPr>
                <w:color w:val="000000"/>
              </w:rPr>
            </w:pPr>
            <w:r w:rsidRPr="00D9348B">
              <w:rPr>
                <w:color w:val="000000"/>
              </w:rPr>
              <w:t>–92.0</w:t>
            </w:r>
          </w:p>
        </w:tc>
      </w:tr>
      <w:tr w:rsidR="00D1512E" w:rsidRPr="00D9348B" w14:paraId="1607057C" w14:textId="77777777" w:rsidTr="00DB330E">
        <w:tc>
          <w:tcPr>
            <w:tcW w:w="2694" w:type="dxa"/>
            <w:shd w:val="clear" w:color="auto" w:fill="auto"/>
          </w:tcPr>
          <w:p w14:paraId="6581B823" w14:textId="77777777" w:rsidR="00D1512E" w:rsidRPr="00D9348B" w:rsidRDefault="00D1512E" w:rsidP="00DB330E">
            <w:pPr>
              <w:pStyle w:val="TableText"/>
              <w:spacing w:before="50" w:after="50"/>
              <w:rPr>
                <w:color w:val="000000"/>
              </w:rPr>
            </w:pPr>
            <w:r w:rsidRPr="00D9348B">
              <w:rPr>
                <w:color w:val="000000"/>
              </w:rPr>
              <w:t>SF</w:t>
            </w:r>
            <w:r w:rsidRPr="00D9348B">
              <w:rPr>
                <w:color w:val="000000"/>
                <w:szCs w:val="16"/>
                <w:vertAlign w:val="subscript"/>
              </w:rPr>
              <w:t>6</w:t>
            </w:r>
          </w:p>
        </w:tc>
        <w:tc>
          <w:tcPr>
            <w:tcW w:w="1417" w:type="dxa"/>
            <w:shd w:val="clear" w:color="auto" w:fill="auto"/>
            <w:vAlign w:val="bottom"/>
          </w:tcPr>
          <w:p w14:paraId="3C81F25A" w14:textId="77777777" w:rsidR="00D1512E" w:rsidRPr="00D9348B" w:rsidRDefault="00D1512E" w:rsidP="00DB330E">
            <w:pPr>
              <w:pStyle w:val="TableText"/>
              <w:tabs>
                <w:tab w:val="left" w:pos="1313"/>
              </w:tabs>
              <w:spacing w:before="50" w:after="50"/>
              <w:ind w:right="283"/>
              <w:jc w:val="right"/>
              <w:rPr>
                <w:rFonts w:cs="Arial"/>
                <w:color w:val="000000"/>
                <w:szCs w:val="16"/>
              </w:rPr>
            </w:pPr>
            <w:r w:rsidRPr="00D9348B">
              <w:rPr>
                <w:rFonts w:cs="Arial"/>
                <w:color w:val="000000"/>
                <w:szCs w:val="16"/>
              </w:rPr>
              <w:t>20.0</w:t>
            </w:r>
          </w:p>
        </w:tc>
        <w:tc>
          <w:tcPr>
            <w:tcW w:w="1418" w:type="dxa"/>
            <w:shd w:val="clear" w:color="auto" w:fill="auto"/>
            <w:vAlign w:val="bottom"/>
          </w:tcPr>
          <w:p w14:paraId="603B4627" w14:textId="77777777" w:rsidR="00D1512E" w:rsidRPr="00D9348B" w:rsidRDefault="00D1512E" w:rsidP="00DB330E">
            <w:pPr>
              <w:pStyle w:val="TableText"/>
              <w:tabs>
                <w:tab w:val="left" w:pos="1313"/>
              </w:tabs>
              <w:spacing w:before="50" w:after="50"/>
              <w:ind w:right="283"/>
              <w:jc w:val="right"/>
              <w:rPr>
                <w:rFonts w:cs="Arial"/>
                <w:color w:val="000000"/>
                <w:szCs w:val="16"/>
              </w:rPr>
            </w:pPr>
            <w:r w:rsidRPr="00D9348B">
              <w:rPr>
                <w:rFonts w:cs="Arial"/>
                <w:color w:val="000000"/>
                <w:szCs w:val="16"/>
              </w:rPr>
              <w:t>14.7</w:t>
            </w:r>
          </w:p>
        </w:tc>
        <w:tc>
          <w:tcPr>
            <w:tcW w:w="1559" w:type="dxa"/>
            <w:shd w:val="clear" w:color="auto" w:fill="auto"/>
            <w:vAlign w:val="center"/>
          </w:tcPr>
          <w:p w14:paraId="5CFF2FBE" w14:textId="77777777" w:rsidR="00D1512E" w:rsidRPr="00D9348B" w:rsidRDefault="00D1512E" w:rsidP="00DB330E">
            <w:pPr>
              <w:pStyle w:val="TableText"/>
              <w:tabs>
                <w:tab w:val="left" w:pos="1313"/>
              </w:tabs>
              <w:spacing w:before="50" w:after="50"/>
              <w:ind w:right="283"/>
              <w:jc w:val="right"/>
              <w:rPr>
                <w:color w:val="000000"/>
              </w:rPr>
            </w:pPr>
            <w:r w:rsidRPr="00D9348B">
              <w:rPr>
                <w:color w:val="000000"/>
              </w:rPr>
              <w:t>–5.3</w:t>
            </w:r>
          </w:p>
        </w:tc>
        <w:tc>
          <w:tcPr>
            <w:tcW w:w="1417" w:type="dxa"/>
            <w:shd w:val="clear" w:color="auto" w:fill="auto"/>
            <w:vAlign w:val="center"/>
          </w:tcPr>
          <w:p w14:paraId="44D7633D" w14:textId="77777777" w:rsidR="00D1512E" w:rsidRPr="00D9348B" w:rsidRDefault="00D1512E" w:rsidP="00DB330E">
            <w:pPr>
              <w:pStyle w:val="TableText"/>
              <w:tabs>
                <w:tab w:val="left" w:pos="1313"/>
                <w:tab w:val="left" w:pos="3010"/>
              </w:tabs>
              <w:spacing w:before="50" w:after="50"/>
              <w:ind w:right="283"/>
              <w:jc w:val="right"/>
              <w:rPr>
                <w:color w:val="000000"/>
              </w:rPr>
            </w:pPr>
            <w:r w:rsidRPr="00D9348B">
              <w:rPr>
                <w:color w:val="000000"/>
              </w:rPr>
              <w:t>–26.3</w:t>
            </w:r>
          </w:p>
        </w:tc>
      </w:tr>
      <w:tr w:rsidR="00D1512E" w:rsidRPr="00D9348B" w14:paraId="0868F71A" w14:textId="77777777" w:rsidTr="00DB330E">
        <w:tc>
          <w:tcPr>
            <w:tcW w:w="2694" w:type="dxa"/>
            <w:shd w:val="clear" w:color="auto" w:fill="auto"/>
          </w:tcPr>
          <w:p w14:paraId="266A3639" w14:textId="77777777" w:rsidR="00D1512E" w:rsidRPr="00D9348B" w:rsidRDefault="00D1512E" w:rsidP="00DB330E">
            <w:pPr>
              <w:pStyle w:val="Tableboldblue"/>
            </w:pPr>
            <w:r w:rsidRPr="00D9348B">
              <w:t>Gross, all gases</w:t>
            </w:r>
          </w:p>
        </w:tc>
        <w:tc>
          <w:tcPr>
            <w:tcW w:w="1417" w:type="dxa"/>
            <w:shd w:val="clear" w:color="auto" w:fill="auto"/>
            <w:vAlign w:val="center"/>
          </w:tcPr>
          <w:p w14:paraId="53AEE9D2" w14:textId="77777777" w:rsidR="00D1512E" w:rsidRPr="00D9348B" w:rsidRDefault="00D1512E" w:rsidP="00DB330E">
            <w:pPr>
              <w:pStyle w:val="Tableboldblue"/>
              <w:tabs>
                <w:tab w:val="left" w:pos="1313"/>
              </w:tabs>
              <w:ind w:right="283"/>
              <w:jc w:val="right"/>
            </w:pPr>
            <w:r w:rsidRPr="00D9348B">
              <w:t>63,590.9</w:t>
            </w:r>
          </w:p>
        </w:tc>
        <w:tc>
          <w:tcPr>
            <w:tcW w:w="1418" w:type="dxa"/>
            <w:shd w:val="clear" w:color="auto" w:fill="auto"/>
            <w:vAlign w:val="center"/>
          </w:tcPr>
          <w:p w14:paraId="784CF135" w14:textId="77777777" w:rsidR="00D1512E" w:rsidRPr="00D9348B" w:rsidRDefault="00D1512E" w:rsidP="00DB330E">
            <w:pPr>
              <w:pStyle w:val="Tableboldblue"/>
              <w:tabs>
                <w:tab w:val="left" w:pos="1313"/>
              </w:tabs>
              <w:ind w:right="283"/>
              <w:jc w:val="right"/>
            </w:pPr>
            <w:r w:rsidRPr="00D9348B">
              <w:t>78,862.3</w:t>
            </w:r>
          </w:p>
        </w:tc>
        <w:tc>
          <w:tcPr>
            <w:tcW w:w="1559" w:type="dxa"/>
            <w:shd w:val="clear" w:color="auto" w:fill="auto"/>
            <w:vAlign w:val="center"/>
          </w:tcPr>
          <w:p w14:paraId="3ACE68E1" w14:textId="77777777" w:rsidR="00D1512E" w:rsidRPr="00D9348B" w:rsidRDefault="00D1512E" w:rsidP="00DB330E">
            <w:pPr>
              <w:pStyle w:val="Tableboldblue"/>
              <w:tabs>
                <w:tab w:val="left" w:pos="1313"/>
                <w:tab w:val="left" w:pos="1720"/>
              </w:tabs>
              <w:ind w:right="283"/>
              <w:jc w:val="right"/>
            </w:pPr>
            <w:r w:rsidRPr="00D9348B">
              <w:t>15,271.4</w:t>
            </w:r>
          </w:p>
        </w:tc>
        <w:tc>
          <w:tcPr>
            <w:tcW w:w="1417" w:type="dxa"/>
            <w:shd w:val="clear" w:color="auto" w:fill="auto"/>
            <w:vAlign w:val="center"/>
          </w:tcPr>
          <w:p w14:paraId="1B9A4580" w14:textId="77777777" w:rsidR="00D1512E" w:rsidRPr="00D9348B" w:rsidRDefault="00D1512E" w:rsidP="00DB330E">
            <w:pPr>
              <w:pStyle w:val="Tableboldblue"/>
              <w:tabs>
                <w:tab w:val="left" w:pos="1313"/>
                <w:tab w:val="left" w:pos="1451"/>
              </w:tabs>
              <w:ind w:right="283"/>
              <w:jc w:val="right"/>
            </w:pPr>
            <w:r w:rsidRPr="00D9348B">
              <w:t>24.0</w:t>
            </w:r>
          </w:p>
        </w:tc>
      </w:tr>
    </w:tbl>
    <w:p w14:paraId="3DDC4B61" w14:textId="77777777" w:rsidR="00D1512E" w:rsidRPr="00D9348B" w:rsidRDefault="00D1512E" w:rsidP="00D1512E">
      <w:pPr>
        <w:pStyle w:val="Noteundertable"/>
      </w:pPr>
      <w:r w:rsidRPr="00D9348B">
        <w:rPr>
          <w:b/>
        </w:rPr>
        <w:t xml:space="preserve">Note: </w:t>
      </w:r>
      <w:r w:rsidRPr="00D9348B">
        <w:rPr>
          <w:b/>
        </w:rPr>
        <w:tab/>
      </w:r>
      <w:r w:rsidRPr="00D9348B">
        <w:t>Gross emissions exclude net removals from the LULUCF sector. The per cent change for HFCs is not applicable (NA) because no emissions of HFCs occurred in 1990. Columns may not total due to rounding. Percentages presented are calculated from unrounded values.</w:t>
      </w:r>
    </w:p>
    <w:p w14:paraId="4744A526" w14:textId="77777777" w:rsidR="00D1512E" w:rsidRPr="00D9348B" w:rsidRDefault="00D1512E" w:rsidP="001E5645">
      <w:pPr>
        <w:pStyle w:val="Figure"/>
      </w:pPr>
      <w:bookmarkStart w:id="49" w:name="_Toc444693962"/>
      <w:bookmarkStart w:id="50" w:name="_Toc447275647"/>
      <w:bookmarkStart w:id="51" w:name="_Toc511116912"/>
      <w:bookmarkStart w:id="52" w:name="_Toc5269645"/>
      <w:bookmarkStart w:id="53" w:name="_Toc36292748"/>
      <w:r w:rsidRPr="00D9348B">
        <w:lastRenderedPageBreak/>
        <w:t xml:space="preserve">Figure ES 3.2 </w:t>
      </w:r>
      <w:r w:rsidRPr="00D9348B">
        <w:tab/>
        <w:t>New Zealand’s emissions by gas in 1990 and </w:t>
      </w:r>
      <w:bookmarkEnd w:id="49"/>
      <w:bookmarkEnd w:id="50"/>
      <w:bookmarkEnd w:id="51"/>
      <w:r w:rsidRPr="00D9348B">
        <w:t>2018</w:t>
      </w:r>
      <w:bookmarkEnd w:id="52"/>
      <w:bookmarkEnd w:id="53"/>
    </w:p>
    <w:p w14:paraId="2F8085A3" w14:textId="7FFBD41A" w:rsidR="00D1512E" w:rsidRPr="00D9348B" w:rsidRDefault="007165CF" w:rsidP="001E5645">
      <w:pPr>
        <w:spacing w:before="120" w:after="60"/>
      </w:pPr>
      <w:r>
        <w:pict w14:anchorId="7CAE1F00">
          <v:shape id="_x0000_i1028" type="#_x0000_t75" style="width:413.2pt;height:273.6pt">
            <v:imagedata r:id="rId23" o:title="Figure ES 3"/>
          </v:shape>
        </w:pict>
      </w:r>
    </w:p>
    <w:p w14:paraId="70938817" w14:textId="77777777" w:rsidR="00D1512E" w:rsidRPr="00D9348B" w:rsidRDefault="00D1512E" w:rsidP="00D1512E">
      <w:pPr>
        <w:pStyle w:val="BodyText"/>
      </w:pPr>
      <w:r w:rsidRPr="00D9348B">
        <w:t>In 1990, CH</w:t>
      </w:r>
      <w:r w:rsidRPr="00D9348B">
        <w:rPr>
          <w:vertAlign w:val="subscript"/>
        </w:rPr>
        <w:t>4</w:t>
      </w:r>
      <w:r w:rsidRPr="00D9348B">
        <w:t xml:space="preserve"> made up the largest proportion of gross emissions, while in 2018, CO</w:t>
      </w:r>
      <w:r w:rsidRPr="00D9348B">
        <w:rPr>
          <w:vertAlign w:val="subscript"/>
        </w:rPr>
        <w:t>2</w:t>
      </w:r>
      <w:r w:rsidRPr="00D9348B">
        <w:t xml:space="preserve"> and CH</w:t>
      </w:r>
      <w:r w:rsidRPr="00D9348B">
        <w:rPr>
          <w:vertAlign w:val="subscript"/>
        </w:rPr>
        <w:t>4</w:t>
      </w:r>
      <w:r w:rsidRPr="00D9348B">
        <w:t xml:space="preserve"> contributed nearly equal proportions to the gross national emissions (see figure ES 3.2). While emissions of CH</w:t>
      </w:r>
      <w:r w:rsidRPr="00D9348B">
        <w:rPr>
          <w:vertAlign w:val="subscript"/>
        </w:rPr>
        <w:t>4</w:t>
      </w:r>
      <w:r w:rsidRPr="00D9348B">
        <w:t xml:space="preserve"> have also increased over this time, the proportion of CH</w:t>
      </w:r>
      <w:r w:rsidRPr="00D9348B">
        <w:rPr>
          <w:vertAlign w:val="subscript"/>
        </w:rPr>
        <w:t>4</w:t>
      </w:r>
      <w:r w:rsidRPr="00D9348B">
        <w:t xml:space="preserve"> in the inventory has decreased over the time series, because CO</w:t>
      </w:r>
      <w:r w:rsidRPr="00D9348B">
        <w:rPr>
          <w:vertAlign w:val="subscript"/>
        </w:rPr>
        <w:t>2</w:t>
      </w:r>
      <w:r w:rsidRPr="00D9348B">
        <w:t xml:space="preserve"> emissions have increased by a greater amount. </w:t>
      </w:r>
    </w:p>
    <w:p w14:paraId="66D8DE4D" w14:textId="77777777" w:rsidR="00D1512E" w:rsidRPr="00D9348B" w:rsidRDefault="00D1512E" w:rsidP="00D1512E">
      <w:pPr>
        <w:pStyle w:val="BodyText"/>
      </w:pPr>
      <w:r w:rsidRPr="00D9348B">
        <w:t>This trend reflects the increase in CO</w:t>
      </w:r>
      <w:r w:rsidRPr="00D9348B">
        <w:rPr>
          <w:vertAlign w:val="subscript"/>
        </w:rPr>
        <w:t xml:space="preserve">2 </w:t>
      </w:r>
      <w:r w:rsidRPr="00D9348B">
        <w:t>emissions from the Energy sector as the biggest contributor of CO</w:t>
      </w:r>
      <w:r w:rsidRPr="00D9348B">
        <w:rPr>
          <w:vertAlign w:val="subscript"/>
        </w:rPr>
        <w:t xml:space="preserve">2 </w:t>
      </w:r>
      <w:r w:rsidRPr="00D9348B">
        <w:t>to New Zealand’s gross emissions (ranging between 87.0 per cent and 89.1 per cent of gross CO</w:t>
      </w:r>
      <w:r w:rsidRPr="00D9348B">
        <w:rPr>
          <w:vertAlign w:val="subscript"/>
        </w:rPr>
        <w:t xml:space="preserve">2 </w:t>
      </w:r>
      <w:r w:rsidRPr="00D9348B">
        <w:t xml:space="preserve">emissions across the entire time series). </w:t>
      </w:r>
    </w:p>
    <w:p w14:paraId="28D52B3B" w14:textId="77777777" w:rsidR="00D1512E" w:rsidRPr="00D9348B" w:rsidRDefault="00D1512E" w:rsidP="00D1512E">
      <w:pPr>
        <w:pStyle w:val="BodyText"/>
      </w:pPr>
      <w:r w:rsidRPr="00D9348B">
        <w:t>In 2018, 23,568.6 kt CO</w:t>
      </w:r>
      <w:r w:rsidRPr="00D9348B">
        <w:rPr>
          <w:vertAlign w:val="subscript"/>
        </w:rPr>
        <w:t>2</w:t>
      </w:r>
      <w:r w:rsidRPr="00D9348B">
        <w:t xml:space="preserve"> was sequestered by the LULUCF sector,</w:t>
      </w:r>
      <w:r w:rsidRPr="00D9348B">
        <w:rPr>
          <w:rStyle w:val="FootnoteReference"/>
        </w:rPr>
        <w:footnoteReference w:id="8"/>
      </w:r>
      <w:r w:rsidRPr="00D9348B">
        <w:t xml:space="preserve"> bringing the net emissions from the sector down to </w:t>
      </w:r>
      <w:r w:rsidRPr="00D9348B">
        <w:rPr>
          <w:color w:val="000000"/>
        </w:rPr>
        <w:t>–</w:t>
      </w:r>
      <w:r w:rsidRPr="00D9348B">
        <w:t>23,394.1 kt CO</w:t>
      </w:r>
      <w:r w:rsidRPr="00D9348B">
        <w:rPr>
          <w:vertAlign w:val="subscript"/>
        </w:rPr>
        <w:t>2</w:t>
      </w:r>
      <w:r w:rsidRPr="00D9348B">
        <w:t xml:space="preserve">-e. This offset 29.7 per cent of New Zealand’s gross emissions. </w:t>
      </w:r>
    </w:p>
    <w:p w14:paraId="14E8488F" w14:textId="7A5A8AD2" w:rsidR="00D1512E" w:rsidRPr="00D9348B" w:rsidRDefault="00D1512E" w:rsidP="00D1512E">
      <w:pPr>
        <w:pStyle w:val="BodyText"/>
      </w:pPr>
      <w:r w:rsidRPr="00D9348B">
        <w:t>Between 1990 and 2018, the amount of CO</w:t>
      </w:r>
      <w:r w:rsidRPr="00D9348B">
        <w:rPr>
          <w:vertAlign w:val="subscript"/>
        </w:rPr>
        <w:t>2</w:t>
      </w:r>
      <w:r w:rsidRPr="00D9348B">
        <w:t xml:space="preserve"> removed from the atmosphere by the LULUCF sector decreased by 5,038.2 kt (17.6 per cent) from the 1990 level of 28,606.8 kt. The decrease</w:t>
      </w:r>
      <w:r w:rsidR="00D90F13" w:rsidRPr="00D9348B">
        <w:t> </w:t>
      </w:r>
      <w:r w:rsidRPr="00D9348B">
        <w:t>reflects the age structure of the forest and is the result of increased harvesting and</w:t>
      </w:r>
      <w:r w:rsidR="00D90F13" w:rsidRPr="00D9348B">
        <w:t> </w:t>
      </w:r>
      <w:r w:rsidRPr="00D9348B">
        <w:t>deforestation since 1990.</w:t>
      </w:r>
    </w:p>
    <w:p w14:paraId="2E344C6C" w14:textId="77777777" w:rsidR="00D1512E" w:rsidRPr="00D9348B" w:rsidRDefault="00D1512E" w:rsidP="00865BDB">
      <w:pPr>
        <w:pStyle w:val="Heading4"/>
      </w:pPr>
      <w:r w:rsidRPr="00D9348B">
        <w:t>Indirect gases</w:t>
      </w:r>
    </w:p>
    <w:p w14:paraId="2764A719" w14:textId="77777777" w:rsidR="00D1512E" w:rsidRPr="00D9348B" w:rsidRDefault="00D1512E" w:rsidP="00D1512E">
      <w:pPr>
        <w:pStyle w:val="BodyText"/>
      </w:pPr>
      <w:r w:rsidRPr="00D9348B">
        <w:t>Indirect GHGs are included in inventory reporting but are not counted in emissions totals. These indirect gases are carbon monoxide (CO), sulphur dioxide (SO</w:t>
      </w:r>
      <w:r w:rsidRPr="00D9348B">
        <w:rPr>
          <w:vertAlign w:val="subscript"/>
        </w:rPr>
        <w:t>2</w:t>
      </w:r>
      <w:r w:rsidRPr="00D9348B">
        <w:t>), oxides of nitrogen (NO</w:t>
      </w:r>
      <w:r w:rsidRPr="00D9348B">
        <w:rPr>
          <w:vertAlign w:val="subscript"/>
        </w:rPr>
        <w:t>X</w:t>
      </w:r>
      <w:r w:rsidRPr="00D9348B">
        <w:t xml:space="preserve">) and non-methane volatile organic compounds (NMVOCs). </w:t>
      </w:r>
    </w:p>
    <w:p w14:paraId="5B6B3815" w14:textId="77777777" w:rsidR="00D1512E" w:rsidRPr="00D9348B" w:rsidRDefault="00D1512E" w:rsidP="00D1512E">
      <w:pPr>
        <w:pStyle w:val="BodyText"/>
      </w:pPr>
      <w:r w:rsidRPr="00D9348B">
        <w:t xml:space="preserve">Table ES 3.2 summarises New Zealand’s indirect GHG emissions in 1990 and 2018 as well as the change between these years. </w:t>
      </w:r>
    </w:p>
    <w:p w14:paraId="3B535AD7" w14:textId="77777777" w:rsidR="00D1512E" w:rsidRPr="00D9348B" w:rsidRDefault="00D1512E" w:rsidP="00D1512E">
      <w:pPr>
        <w:pStyle w:val="Table"/>
      </w:pPr>
      <w:bookmarkStart w:id="54" w:name="_Toc444693994"/>
      <w:bookmarkStart w:id="55" w:name="_Toc451176049"/>
      <w:bookmarkStart w:id="56" w:name="_Toc511116698"/>
      <w:bookmarkStart w:id="57" w:name="_Toc5269432"/>
      <w:bookmarkStart w:id="58" w:name="_Toc36224509"/>
      <w:r w:rsidRPr="00D9348B">
        <w:lastRenderedPageBreak/>
        <w:t xml:space="preserve">Table ES 3.2 </w:t>
      </w:r>
      <w:r w:rsidRPr="00D9348B">
        <w:tab/>
        <w:t>New Zealand’s indirect greenhouse gas emissions (excluding LULUCF) in 1990 and </w:t>
      </w:r>
      <w:bookmarkEnd w:id="54"/>
      <w:bookmarkEnd w:id="55"/>
      <w:bookmarkEnd w:id="56"/>
      <w:r w:rsidRPr="00D9348B">
        <w:t>2018</w:t>
      </w:r>
      <w:bookmarkEnd w:id="57"/>
      <w:bookmarkEnd w:id="58"/>
    </w:p>
    <w:tbl>
      <w:tblPr>
        <w:tblW w:w="8505" w:type="dxa"/>
        <w:tblInd w:w="108" w:type="dxa"/>
        <w:tblBorders>
          <w:bottom w:val="single" w:sz="8" w:space="0" w:color="365F91"/>
          <w:insideH w:val="single" w:sz="8" w:space="0" w:color="365F91"/>
        </w:tblBorders>
        <w:tblLook w:val="01E0" w:firstRow="1" w:lastRow="1" w:firstColumn="1" w:lastColumn="1" w:noHBand="0" w:noVBand="0"/>
      </w:tblPr>
      <w:tblGrid>
        <w:gridCol w:w="3119"/>
        <w:gridCol w:w="1276"/>
        <w:gridCol w:w="1275"/>
        <w:gridCol w:w="1418"/>
        <w:gridCol w:w="1417"/>
      </w:tblGrid>
      <w:tr w:rsidR="00D1512E" w:rsidRPr="00D9348B" w14:paraId="234CB1C3" w14:textId="77777777" w:rsidTr="00DB330E">
        <w:tc>
          <w:tcPr>
            <w:tcW w:w="3119" w:type="dxa"/>
            <w:vMerge w:val="restart"/>
            <w:tcBorders>
              <w:top w:val="single" w:sz="4" w:space="0" w:color="365F91"/>
              <w:left w:val="nil"/>
              <w:bottom w:val="nil"/>
              <w:right w:val="nil"/>
              <w:tl2br w:val="nil"/>
              <w:tr2bl w:val="nil"/>
            </w:tcBorders>
            <w:shd w:val="clear" w:color="auto" w:fill="365F91"/>
            <w:vAlign w:val="bottom"/>
          </w:tcPr>
          <w:p w14:paraId="07D0C273" w14:textId="77777777" w:rsidR="00D1512E" w:rsidRPr="00D9348B" w:rsidRDefault="00D1512E" w:rsidP="00DB330E">
            <w:pPr>
              <w:pStyle w:val="TableTextBold"/>
              <w:rPr>
                <w:noProof w:val="0"/>
                <w:color w:val="FFFFFF"/>
              </w:rPr>
            </w:pPr>
            <w:r w:rsidRPr="00D9348B">
              <w:rPr>
                <w:noProof w:val="0"/>
                <w:color w:val="FFFFFF"/>
              </w:rPr>
              <w:t>Indirect greenhouse gas emissions</w:t>
            </w:r>
          </w:p>
        </w:tc>
        <w:tc>
          <w:tcPr>
            <w:tcW w:w="2551" w:type="dxa"/>
            <w:gridSpan w:val="2"/>
            <w:tcBorders>
              <w:top w:val="single" w:sz="4" w:space="0" w:color="365F91"/>
              <w:left w:val="nil"/>
              <w:bottom w:val="nil"/>
              <w:right w:val="nil"/>
              <w:tl2br w:val="nil"/>
              <w:tr2bl w:val="nil"/>
            </w:tcBorders>
            <w:shd w:val="clear" w:color="auto" w:fill="365F91"/>
            <w:vAlign w:val="bottom"/>
          </w:tcPr>
          <w:p w14:paraId="6EC06F2B" w14:textId="77777777" w:rsidR="00D1512E" w:rsidRPr="00D9348B" w:rsidRDefault="00D1512E" w:rsidP="00777D15">
            <w:pPr>
              <w:pStyle w:val="TableTextBold"/>
              <w:spacing w:after="0"/>
              <w:jc w:val="center"/>
              <w:rPr>
                <w:noProof w:val="0"/>
                <w:color w:val="FFFFFF"/>
              </w:rPr>
            </w:pPr>
            <w:r w:rsidRPr="00D9348B">
              <w:rPr>
                <w:noProof w:val="0"/>
                <w:color w:val="FFFFFF"/>
              </w:rPr>
              <w:t xml:space="preserve">kt </w:t>
            </w:r>
          </w:p>
        </w:tc>
        <w:tc>
          <w:tcPr>
            <w:tcW w:w="1418" w:type="dxa"/>
            <w:vMerge w:val="restart"/>
            <w:tcBorders>
              <w:top w:val="single" w:sz="4" w:space="0" w:color="365F91"/>
              <w:left w:val="nil"/>
              <w:bottom w:val="nil"/>
              <w:right w:val="nil"/>
              <w:tl2br w:val="nil"/>
              <w:tr2bl w:val="nil"/>
            </w:tcBorders>
            <w:shd w:val="clear" w:color="auto" w:fill="365F91"/>
            <w:vAlign w:val="bottom"/>
          </w:tcPr>
          <w:p w14:paraId="6775CA11" w14:textId="77777777" w:rsidR="00D1512E" w:rsidRPr="00D9348B" w:rsidRDefault="00D1512E" w:rsidP="00DB330E">
            <w:pPr>
              <w:pStyle w:val="TableTextBold"/>
              <w:jc w:val="right"/>
              <w:rPr>
                <w:noProof w:val="0"/>
                <w:color w:val="FFFFFF"/>
              </w:rPr>
            </w:pPr>
            <w:r w:rsidRPr="00D9348B">
              <w:rPr>
                <w:noProof w:val="0"/>
                <w:color w:val="FFFFFF"/>
              </w:rPr>
              <w:t>Change from 1990 (kt)</w:t>
            </w:r>
          </w:p>
        </w:tc>
        <w:tc>
          <w:tcPr>
            <w:tcW w:w="1417" w:type="dxa"/>
            <w:vMerge w:val="restart"/>
            <w:tcBorders>
              <w:top w:val="single" w:sz="4" w:space="0" w:color="365F91"/>
              <w:left w:val="nil"/>
              <w:bottom w:val="nil"/>
              <w:right w:val="nil"/>
              <w:tl2br w:val="nil"/>
              <w:tr2bl w:val="nil"/>
            </w:tcBorders>
            <w:shd w:val="clear" w:color="auto" w:fill="365F91"/>
            <w:vAlign w:val="bottom"/>
          </w:tcPr>
          <w:p w14:paraId="2CD5DB59" w14:textId="77777777" w:rsidR="00D1512E" w:rsidRPr="00D9348B" w:rsidRDefault="00D1512E" w:rsidP="00DB330E">
            <w:pPr>
              <w:pStyle w:val="TableTextBold"/>
              <w:jc w:val="right"/>
              <w:rPr>
                <w:noProof w:val="0"/>
                <w:color w:val="FFFFFF"/>
              </w:rPr>
            </w:pPr>
            <w:r w:rsidRPr="00D9348B">
              <w:rPr>
                <w:noProof w:val="0"/>
                <w:color w:val="FFFFFF"/>
              </w:rPr>
              <w:t>Change from 1990 (%)</w:t>
            </w:r>
          </w:p>
        </w:tc>
      </w:tr>
      <w:tr w:rsidR="00D1512E" w:rsidRPr="00D9348B" w14:paraId="4BFF17E5" w14:textId="77777777" w:rsidTr="00DB330E">
        <w:tc>
          <w:tcPr>
            <w:tcW w:w="3119" w:type="dxa"/>
            <w:vMerge/>
            <w:tcBorders>
              <w:top w:val="nil"/>
              <w:bottom w:val="single" w:sz="4" w:space="0" w:color="365F91"/>
            </w:tcBorders>
            <w:shd w:val="clear" w:color="auto" w:fill="365F91"/>
            <w:vAlign w:val="bottom"/>
          </w:tcPr>
          <w:p w14:paraId="504C43CE" w14:textId="77777777" w:rsidR="00D1512E" w:rsidRPr="00D9348B" w:rsidRDefault="00D1512E" w:rsidP="00DB330E">
            <w:pPr>
              <w:keepNext/>
              <w:spacing w:before="60" w:after="60"/>
              <w:rPr>
                <w:rFonts w:ascii="Arial" w:hAnsi="Arial"/>
                <w:color w:val="FFFFFF"/>
              </w:rPr>
            </w:pPr>
          </w:p>
        </w:tc>
        <w:tc>
          <w:tcPr>
            <w:tcW w:w="1276" w:type="dxa"/>
            <w:tcBorders>
              <w:top w:val="nil"/>
              <w:bottom w:val="single" w:sz="4" w:space="0" w:color="365F91"/>
            </w:tcBorders>
            <w:shd w:val="clear" w:color="auto" w:fill="365F91"/>
            <w:vAlign w:val="bottom"/>
          </w:tcPr>
          <w:p w14:paraId="18D217FF" w14:textId="77777777" w:rsidR="00D1512E" w:rsidRPr="00D9348B" w:rsidRDefault="00D1512E" w:rsidP="00DB330E">
            <w:pPr>
              <w:pStyle w:val="TableTextBold"/>
              <w:jc w:val="center"/>
              <w:rPr>
                <w:noProof w:val="0"/>
                <w:color w:val="FFFFFF"/>
              </w:rPr>
            </w:pPr>
            <w:r w:rsidRPr="00D9348B">
              <w:rPr>
                <w:noProof w:val="0"/>
                <w:color w:val="FFFFFF"/>
              </w:rPr>
              <w:t>1990</w:t>
            </w:r>
          </w:p>
        </w:tc>
        <w:tc>
          <w:tcPr>
            <w:tcW w:w="1275" w:type="dxa"/>
            <w:tcBorders>
              <w:top w:val="nil"/>
              <w:bottom w:val="single" w:sz="4" w:space="0" w:color="365F91"/>
            </w:tcBorders>
            <w:shd w:val="clear" w:color="auto" w:fill="365F91"/>
            <w:vAlign w:val="bottom"/>
          </w:tcPr>
          <w:p w14:paraId="4EEF432A" w14:textId="77777777" w:rsidR="00D1512E" w:rsidRPr="00D9348B" w:rsidRDefault="00D1512E" w:rsidP="00DB330E">
            <w:pPr>
              <w:pStyle w:val="TableTextBold"/>
              <w:jc w:val="center"/>
              <w:rPr>
                <w:noProof w:val="0"/>
                <w:color w:val="FFFFFF"/>
              </w:rPr>
            </w:pPr>
            <w:r w:rsidRPr="00D9348B">
              <w:rPr>
                <w:noProof w:val="0"/>
                <w:color w:val="FFFFFF"/>
              </w:rPr>
              <w:t>2018</w:t>
            </w:r>
          </w:p>
        </w:tc>
        <w:tc>
          <w:tcPr>
            <w:tcW w:w="1418" w:type="dxa"/>
            <w:vMerge/>
            <w:tcBorders>
              <w:top w:val="nil"/>
              <w:bottom w:val="single" w:sz="4" w:space="0" w:color="365F91"/>
            </w:tcBorders>
            <w:shd w:val="clear" w:color="auto" w:fill="365F91"/>
            <w:vAlign w:val="bottom"/>
          </w:tcPr>
          <w:p w14:paraId="4BF07E92" w14:textId="77777777" w:rsidR="00D1512E" w:rsidRPr="00D9348B" w:rsidRDefault="00D1512E" w:rsidP="00DB330E">
            <w:pPr>
              <w:keepNext/>
              <w:spacing w:before="60" w:after="60"/>
              <w:jc w:val="center"/>
              <w:rPr>
                <w:rFonts w:ascii="Arial" w:hAnsi="Arial"/>
                <w:b/>
                <w:color w:val="FFFFFF"/>
                <w:sz w:val="16"/>
              </w:rPr>
            </w:pPr>
          </w:p>
        </w:tc>
        <w:tc>
          <w:tcPr>
            <w:tcW w:w="1417" w:type="dxa"/>
            <w:vMerge/>
            <w:tcBorders>
              <w:top w:val="nil"/>
              <w:bottom w:val="single" w:sz="4" w:space="0" w:color="365F91"/>
            </w:tcBorders>
            <w:shd w:val="clear" w:color="auto" w:fill="365F91"/>
            <w:vAlign w:val="bottom"/>
          </w:tcPr>
          <w:p w14:paraId="6434787C" w14:textId="77777777" w:rsidR="00D1512E" w:rsidRPr="00D9348B" w:rsidRDefault="00D1512E" w:rsidP="00DB330E">
            <w:pPr>
              <w:keepNext/>
              <w:spacing w:before="60" w:after="60"/>
              <w:jc w:val="center"/>
              <w:rPr>
                <w:rFonts w:ascii="Arial" w:hAnsi="Arial"/>
                <w:b/>
                <w:color w:val="FFFFFF"/>
                <w:sz w:val="16"/>
              </w:rPr>
            </w:pPr>
          </w:p>
        </w:tc>
      </w:tr>
      <w:tr w:rsidR="00D1512E" w:rsidRPr="00D9348B" w14:paraId="68A88779" w14:textId="77777777" w:rsidTr="00DB330E">
        <w:tc>
          <w:tcPr>
            <w:tcW w:w="3119" w:type="dxa"/>
            <w:tcBorders>
              <w:top w:val="single" w:sz="4" w:space="0" w:color="365F91"/>
            </w:tcBorders>
            <w:shd w:val="clear" w:color="auto" w:fill="auto"/>
          </w:tcPr>
          <w:p w14:paraId="144486C8" w14:textId="77777777" w:rsidR="00D1512E" w:rsidRPr="00D9348B" w:rsidRDefault="00D1512E" w:rsidP="00DB330E">
            <w:pPr>
              <w:pStyle w:val="TableText"/>
              <w:spacing w:before="50" w:after="50"/>
              <w:rPr>
                <w:color w:val="000000"/>
              </w:rPr>
            </w:pPr>
            <w:r w:rsidRPr="00D9348B">
              <w:rPr>
                <w:color w:val="000000"/>
              </w:rPr>
              <w:t>CO</w:t>
            </w:r>
          </w:p>
        </w:tc>
        <w:tc>
          <w:tcPr>
            <w:tcW w:w="1276" w:type="dxa"/>
            <w:tcBorders>
              <w:top w:val="single" w:sz="4" w:space="0" w:color="365F91"/>
            </w:tcBorders>
            <w:shd w:val="clear" w:color="auto" w:fill="auto"/>
          </w:tcPr>
          <w:p w14:paraId="23F37149" w14:textId="77777777" w:rsidR="00D1512E" w:rsidRPr="00D9348B" w:rsidRDefault="00D1512E" w:rsidP="00DB330E">
            <w:pPr>
              <w:pStyle w:val="TableText"/>
              <w:spacing w:before="50" w:after="50"/>
              <w:ind w:right="283"/>
              <w:jc w:val="right"/>
              <w:rPr>
                <w:color w:val="000000"/>
              </w:rPr>
            </w:pPr>
            <w:r w:rsidRPr="00D9348B">
              <w:rPr>
                <w:color w:val="000000"/>
              </w:rPr>
              <w:t>602.8</w:t>
            </w:r>
          </w:p>
        </w:tc>
        <w:tc>
          <w:tcPr>
            <w:tcW w:w="1275" w:type="dxa"/>
            <w:tcBorders>
              <w:top w:val="single" w:sz="4" w:space="0" w:color="365F91"/>
            </w:tcBorders>
            <w:shd w:val="clear" w:color="auto" w:fill="auto"/>
          </w:tcPr>
          <w:p w14:paraId="4D4DD410" w14:textId="77777777" w:rsidR="00D1512E" w:rsidRPr="00D9348B" w:rsidRDefault="00D1512E" w:rsidP="00DB330E">
            <w:pPr>
              <w:pStyle w:val="TableText"/>
              <w:spacing w:before="50" w:after="50"/>
              <w:ind w:right="283"/>
              <w:jc w:val="right"/>
              <w:rPr>
                <w:color w:val="000000"/>
              </w:rPr>
            </w:pPr>
            <w:r w:rsidRPr="00D9348B">
              <w:rPr>
                <w:color w:val="000000"/>
              </w:rPr>
              <w:t>739.8</w:t>
            </w:r>
          </w:p>
        </w:tc>
        <w:tc>
          <w:tcPr>
            <w:tcW w:w="1418" w:type="dxa"/>
            <w:tcBorders>
              <w:top w:val="single" w:sz="4" w:space="0" w:color="365F91"/>
            </w:tcBorders>
            <w:shd w:val="clear" w:color="auto" w:fill="auto"/>
            <w:vAlign w:val="bottom"/>
          </w:tcPr>
          <w:p w14:paraId="3DCD3BC9" w14:textId="77777777" w:rsidR="00D1512E" w:rsidRPr="00D9348B" w:rsidRDefault="00D1512E" w:rsidP="00DB330E">
            <w:pPr>
              <w:pStyle w:val="TableText"/>
              <w:spacing w:before="50" w:after="50"/>
              <w:ind w:right="283"/>
              <w:jc w:val="right"/>
              <w:rPr>
                <w:rFonts w:cs="Arial"/>
                <w:color w:val="000000"/>
                <w:szCs w:val="16"/>
              </w:rPr>
            </w:pPr>
            <w:r w:rsidRPr="00D9348B">
              <w:rPr>
                <w:rFonts w:cs="Arial"/>
                <w:color w:val="000000"/>
                <w:szCs w:val="16"/>
              </w:rPr>
              <w:t>137.0</w:t>
            </w:r>
          </w:p>
        </w:tc>
        <w:tc>
          <w:tcPr>
            <w:tcW w:w="1417" w:type="dxa"/>
            <w:tcBorders>
              <w:top w:val="single" w:sz="4" w:space="0" w:color="365F91"/>
            </w:tcBorders>
            <w:shd w:val="clear" w:color="auto" w:fill="auto"/>
            <w:vAlign w:val="bottom"/>
          </w:tcPr>
          <w:p w14:paraId="057B5CEC" w14:textId="77777777" w:rsidR="00D1512E" w:rsidRPr="00D9348B" w:rsidRDefault="00D1512E" w:rsidP="00DB330E">
            <w:pPr>
              <w:pStyle w:val="TableText"/>
              <w:spacing w:before="50" w:after="50"/>
              <w:ind w:right="283"/>
              <w:jc w:val="right"/>
              <w:rPr>
                <w:rFonts w:cs="Arial"/>
                <w:color w:val="000000"/>
                <w:szCs w:val="16"/>
              </w:rPr>
            </w:pPr>
            <w:r w:rsidRPr="00D9348B">
              <w:rPr>
                <w:rFonts w:cs="Arial"/>
                <w:color w:val="000000"/>
                <w:szCs w:val="16"/>
              </w:rPr>
              <w:t>22.7</w:t>
            </w:r>
          </w:p>
        </w:tc>
      </w:tr>
      <w:tr w:rsidR="00D1512E" w:rsidRPr="00D9348B" w14:paraId="3D2C0EAF" w14:textId="77777777" w:rsidTr="00DB330E">
        <w:tc>
          <w:tcPr>
            <w:tcW w:w="3119" w:type="dxa"/>
            <w:tcBorders>
              <w:top w:val="single" w:sz="4" w:space="0" w:color="365F91"/>
            </w:tcBorders>
            <w:shd w:val="clear" w:color="auto" w:fill="auto"/>
          </w:tcPr>
          <w:p w14:paraId="24622093" w14:textId="77777777" w:rsidR="00D1512E" w:rsidRPr="00D9348B" w:rsidRDefault="00D1512E" w:rsidP="00DB330E">
            <w:pPr>
              <w:pStyle w:val="TableText"/>
              <w:spacing w:before="50" w:after="50"/>
              <w:rPr>
                <w:color w:val="000000"/>
              </w:rPr>
            </w:pPr>
            <w:r w:rsidRPr="00D9348B">
              <w:rPr>
                <w:color w:val="000000"/>
              </w:rPr>
              <w:t>NMVOCs</w:t>
            </w:r>
          </w:p>
        </w:tc>
        <w:tc>
          <w:tcPr>
            <w:tcW w:w="1276" w:type="dxa"/>
            <w:tcBorders>
              <w:top w:val="single" w:sz="4" w:space="0" w:color="365F91"/>
            </w:tcBorders>
            <w:shd w:val="clear" w:color="auto" w:fill="auto"/>
          </w:tcPr>
          <w:p w14:paraId="6388654B" w14:textId="77777777" w:rsidR="00D1512E" w:rsidRPr="00D9348B" w:rsidRDefault="00D1512E" w:rsidP="00DB330E">
            <w:pPr>
              <w:pStyle w:val="TableText"/>
              <w:spacing w:before="50" w:after="50"/>
              <w:ind w:right="283"/>
              <w:jc w:val="right"/>
              <w:rPr>
                <w:color w:val="000000"/>
              </w:rPr>
            </w:pPr>
            <w:r w:rsidRPr="00D9348B">
              <w:rPr>
                <w:color w:val="000000"/>
              </w:rPr>
              <w:t>145.0</w:t>
            </w:r>
          </w:p>
        </w:tc>
        <w:tc>
          <w:tcPr>
            <w:tcW w:w="1275" w:type="dxa"/>
            <w:tcBorders>
              <w:top w:val="single" w:sz="4" w:space="0" w:color="365F91"/>
            </w:tcBorders>
            <w:shd w:val="clear" w:color="auto" w:fill="auto"/>
          </w:tcPr>
          <w:p w14:paraId="02A2C970" w14:textId="77777777" w:rsidR="00D1512E" w:rsidRPr="00D9348B" w:rsidRDefault="00D1512E" w:rsidP="00DB330E">
            <w:pPr>
              <w:pStyle w:val="TableText"/>
              <w:spacing w:before="50" w:after="50"/>
              <w:ind w:right="283"/>
              <w:jc w:val="right"/>
              <w:rPr>
                <w:color w:val="000000"/>
              </w:rPr>
            </w:pPr>
            <w:r w:rsidRPr="00D9348B">
              <w:rPr>
                <w:color w:val="000000"/>
              </w:rPr>
              <w:t>191.3</w:t>
            </w:r>
          </w:p>
        </w:tc>
        <w:tc>
          <w:tcPr>
            <w:tcW w:w="1418" w:type="dxa"/>
            <w:tcBorders>
              <w:top w:val="single" w:sz="4" w:space="0" w:color="365F91"/>
            </w:tcBorders>
            <w:shd w:val="clear" w:color="auto" w:fill="auto"/>
            <w:vAlign w:val="bottom"/>
          </w:tcPr>
          <w:p w14:paraId="3A168356" w14:textId="77777777" w:rsidR="00D1512E" w:rsidRPr="00D9348B" w:rsidRDefault="00D1512E" w:rsidP="00DB330E">
            <w:pPr>
              <w:pStyle w:val="TableText"/>
              <w:spacing w:before="50" w:after="50"/>
              <w:ind w:right="283"/>
              <w:jc w:val="right"/>
              <w:rPr>
                <w:rFonts w:cs="Arial"/>
                <w:color w:val="000000"/>
                <w:szCs w:val="16"/>
              </w:rPr>
            </w:pPr>
            <w:r w:rsidRPr="00D9348B">
              <w:rPr>
                <w:rFonts w:cs="Arial"/>
                <w:color w:val="000000"/>
                <w:szCs w:val="16"/>
              </w:rPr>
              <w:t>46.3</w:t>
            </w:r>
          </w:p>
        </w:tc>
        <w:tc>
          <w:tcPr>
            <w:tcW w:w="1417" w:type="dxa"/>
            <w:tcBorders>
              <w:top w:val="single" w:sz="4" w:space="0" w:color="365F91"/>
            </w:tcBorders>
            <w:shd w:val="clear" w:color="auto" w:fill="auto"/>
            <w:vAlign w:val="bottom"/>
          </w:tcPr>
          <w:p w14:paraId="0CB9562F" w14:textId="77777777" w:rsidR="00D1512E" w:rsidRPr="00D9348B" w:rsidRDefault="00D1512E" w:rsidP="00DB330E">
            <w:pPr>
              <w:pStyle w:val="TableText"/>
              <w:spacing w:before="50" w:after="50"/>
              <w:ind w:right="283"/>
              <w:jc w:val="right"/>
              <w:rPr>
                <w:rFonts w:cs="Arial"/>
                <w:color w:val="000000"/>
                <w:szCs w:val="16"/>
              </w:rPr>
            </w:pPr>
            <w:r w:rsidRPr="00D9348B">
              <w:rPr>
                <w:rFonts w:cs="Arial"/>
                <w:color w:val="000000"/>
                <w:szCs w:val="16"/>
              </w:rPr>
              <w:t>32.0</w:t>
            </w:r>
          </w:p>
        </w:tc>
      </w:tr>
      <w:tr w:rsidR="00D1512E" w:rsidRPr="00D9348B" w14:paraId="4D2FE765" w14:textId="77777777" w:rsidTr="00DB330E">
        <w:tc>
          <w:tcPr>
            <w:tcW w:w="3119" w:type="dxa"/>
            <w:shd w:val="clear" w:color="auto" w:fill="auto"/>
          </w:tcPr>
          <w:p w14:paraId="5E3C1F99" w14:textId="77777777" w:rsidR="00D1512E" w:rsidRPr="00D9348B" w:rsidRDefault="00D1512E" w:rsidP="00DB330E">
            <w:pPr>
              <w:pStyle w:val="TableText"/>
              <w:spacing w:before="50" w:after="50"/>
              <w:rPr>
                <w:color w:val="000000"/>
              </w:rPr>
            </w:pPr>
            <w:r w:rsidRPr="00D9348B">
              <w:rPr>
                <w:color w:val="000000"/>
              </w:rPr>
              <w:t>NO</w:t>
            </w:r>
            <w:r w:rsidRPr="00D9348B">
              <w:rPr>
                <w:color w:val="000000"/>
                <w:vertAlign w:val="subscript"/>
              </w:rPr>
              <w:t>x</w:t>
            </w:r>
          </w:p>
        </w:tc>
        <w:tc>
          <w:tcPr>
            <w:tcW w:w="1276" w:type="dxa"/>
            <w:shd w:val="clear" w:color="auto" w:fill="auto"/>
          </w:tcPr>
          <w:p w14:paraId="43950A1F" w14:textId="77777777" w:rsidR="00D1512E" w:rsidRPr="00D9348B" w:rsidRDefault="00D1512E" w:rsidP="00DB330E">
            <w:pPr>
              <w:pStyle w:val="TableText"/>
              <w:spacing w:before="50" w:after="50"/>
              <w:ind w:right="283"/>
              <w:jc w:val="right"/>
              <w:rPr>
                <w:color w:val="000000"/>
              </w:rPr>
            </w:pPr>
            <w:r w:rsidRPr="00D9348B">
              <w:rPr>
                <w:color w:val="000000"/>
              </w:rPr>
              <w:t>101.7</w:t>
            </w:r>
          </w:p>
        </w:tc>
        <w:tc>
          <w:tcPr>
            <w:tcW w:w="1275" w:type="dxa"/>
            <w:shd w:val="clear" w:color="auto" w:fill="auto"/>
          </w:tcPr>
          <w:p w14:paraId="47B2236C" w14:textId="77777777" w:rsidR="00D1512E" w:rsidRPr="00D9348B" w:rsidRDefault="00D1512E" w:rsidP="00DB330E">
            <w:pPr>
              <w:pStyle w:val="TableText"/>
              <w:spacing w:before="50" w:after="50"/>
              <w:ind w:right="283"/>
              <w:jc w:val="right"/>
              <w:rPr>
                <w:color w:val="000000"/>
              </w:rPr>
            </w:pPr>
            <w:r w:rsidRPr="00D9348B">
              <w:rPr>
                <w:color w:val="000000"/>
              </w:rPr>
              <w:t>168.3</w:t>
            </w:r>
          </w:p>
        </w:tc>
        <w:tc>
          <w:tcPr>
            <w:tcW w:w="1418" w:type="dxa"/>
            <w:shd w:val="clear" w:color="auto" w:fill="auto"/>
            <w:vAlign w:val="bottom"/>
          </w:tcPr>
          <w:p w14:paraId="1805D01C" w14:textId="77777777" w:rsidR="00D1512E" w:rsidRPr="00D9348B" w:rsidRDefault="00D1512E" w:rsidP="00DB330E">
            <w:pPr>
              <w:pStyle w:val="TableText"/>
              <w:spacing w:before="50" w:after="50"/>
              <w:ind w:right="283"/>
              <w:jc w:val="right"/>
              <w:rPr>
                <w:rFonts w:cs="Arial"/>
                <w:color w:val="000000"/>
                <w:szCs w:val="16"/>
              </w:rPr>
            </w:pPr>
            <w:r w:rsidRPr="00D9348B">
              <w:rPr>
                <w:rFonts w:cs="Arial"/>
                <w:color w:val="000000"/>
                <w:szCs w:val="16"/>
              </w:rPr>
              <w:t>66.6</w:t>
            </w:r>
          </w:p>
        </w:tc>
        <w:tc>
          <w:tcPr>
            <w:tcW w:w="1417" w:type="dxa"/>
            <w:shd w:val="clear" w:color="auto" w:fill="auto"/>
            <w:vAlign w:val="bottom"/>
          </w:tcPr>
          <w:p w14:paraId="320D8EE6" w14:textId="77777777" w:rsidR="00D1512E" w:rsidRPr="00D9348B" w:rsidRDefault="00D1512E" w:rsidP="00DB330E">
            <w:pPr>
              <w:pStyle w:val="TableText"/>
              <w:spacing w:before="50" w:after="50"/>
              <w:ind w:right="283"/>
              <w:jc w:val="right"/>
              <w:rPr>
                <w:rFonts w:cs="Arial"/>
                <w:color w:val="000000"/>
                <w:szCs w:val="16"/>
              </w:rPr>
            </w:pPr>
            <w:r w:rsidRPr="00D9348B">
              <w:rPr>
                <w:rFonts w:cs="Arial"/>
                <w:color w:val="000000"/>
                <w:szCs w:val="16"/>
              </w:rPr>
              <w:t>65.5</w:t>
            </w:r>
          </w:p>
        </w:tc>
      </w:tr>
      <w:tr w:rsidR="00D1512E" w:rsidRPr="00D9348B" w14:paraId="54FBB11C" w14:textId="77777777" w:rsidTr="00DB330E">
        <w:tc>
          <w:tcPr>
            <w:tcW w:w="3119" w:type="dxa"/>
            <w:shd w:val="clear" w:color="auto" w:fill="auto"/>
          </w:tcPr>
          <w:p w14:paraId="41CCDF5D" w14:textId="77777777" w:rsidR="00D1512E" w:rsidRPr="00D9348B" w:rsidRDefault="00D1512E" w:rsidP="00DB330E">
            <w:pPr>
              <w:pStyle w:val="TableText"/>
              <w:spacing w:before="50" w:after="50"/>
              <w:rPr>
                <w:color w:val="000000"/>
              </w:rPr>
            </w:pPr>
            <w:r w:rsidRPr="00D9348B">
              <w:rPr>
                <w:color w:val="000000"/>
              </w:rPr>
              <w:t>SO</w:t>
            </w:r>
            <w:r w:rsidRPr="00D9348B">
              <w:rPr>
                <w:color w:val="000000"/>
                <w:vertAlign w:val="subscript"/>
              </w:rPr>
              <w:t>2</w:t>
            </w:r>
          </w:p>
        </w:tc>
        <w:tc>
          <w:tcPr>
            <w:tcW w:w="1276" w:type="dxa"/>
            <w:shd w:val="clear" w:color="auto" w:fill="auto"/>
          </w:tcPr>
          <w:p w14:paraId="6BA1CC2C" w14:textId="77777777" w:rsidR="00D1512E" w:rsidRPr="00D9348B" w:rsidRDefault="00D1512E" w:rsidP="00DB330E">
            <w:pPr>
              <w:pStyle w:val="TableText"/>
              <w:spacing w:before="50" w:after="50"/>
              <w:ind w:right="283"/>
              <w:jc w:val="right"/>
              <w:rPr>
                <w:color w:val="000000"/>
              </w:rPr>
            </w:pPr>
            <w:r w:rsidRPr="00D9348B">
              <w:rPr>
                <w:color w:val="000000"/>
              </w:rPr>
              <w:t>57.1</w:t>
            </w:r>
          </w:p>
        </w:tc>
        <w:tc>
          <w:tcPr>
            <w:tcW w:w="1275" w:type="dxa"/>
            <w:shd w:val="clear" w:color="auto" w:fill="auto"/>
          </w:tcPr>
          <w:p w14:paraId="3922A893" w14:textId="77777777" w:rsidR="00D1512E" w:rsidRPr="00D9348B" w:rsidRDefault="00D1512E" w:rsidP="00DB330E">
            <w:pPr>
              <w:pStyle w:val="TableText"/>
              <w:spacing w:before="50" w:after="50"/>
              <w:ind w:right="283"/>
              <w:jc w:val="right"/>
              <w:rPr>
                <w:color w:val="000000"/>
              </w:rPr>
            </w:pPr>
            <w:r w:rsidRPr="00D9348B">
              <w:rPr>
                <w:color w:val="000000"/>
              </w:rPr>
              <w:t>71.3</w:t>
            </w:r>
          </w:p>
        </w:tc>
        <w:tc>
          <w:tcPr>
            <w:tcW w:w="1418" w:type="dxa"/>
            <w:shd w:val="clear" w:color="auto" w:fill="auto"/>
            <w:vAlign w:val="bottom"/>
          </w:tcPr>
          <w:p w14:paraId="01A9DB29" w14:textId="77777777" w:rsidR="00D1512E" w:rsidRPr="00D9348B" w:rsidRDefault="00D1512E" w:rsidP="00DB330E">
            <w:pPr>
              <w:pStyle w:val="TableText"/>
              <w:spacing w:before="50" w:after="50"/>
              <w:ind w:right="283"/>
              <w:jc w:val="right"/>
              <w:rPr>
                <w:rFonts w:cs="Arial"/>
                <w:color w:val="000000"/>
                <w:szCs w:val="16"/>
              </w:rPr>
            </w:pPr>
            <w:r w:rsidRPr="00D9348B">
              <w:rPr>
                <w:rFonts w:cs="Arial"/>
                <w:color w:val="000000"/>
                <w:szCs w:val="16"/>
              </w:rPr>
              <w:t>14.3</w:t>
            </w:r>
          </w:p>
        </w:tc>
        <w:tc>
          <w:tcPr>
            <w:tcW w:w="1417" w:type="dxa"/>
            <w:shd w:val="clear" w:color="auto" w:fill="auto"/>
            <w:vAlign w:val="bottom"/>
          </w:tcPr>
          <w:p w14:paraId="6C495982" w14:textId="77777777" w:rsidR="00D1512E" w:rsidRPr="00D9348B" w:rsidRDefault="00D1512E" w:rsidP="00DB330E">
            <w:pPr>
              <w:pStyle w:val="TableText"/>
              <w:spacing w:before="50" w:after="50"/>
              <w:ind w:right="283"/>
              <w:jc w:val="right"/>
              <w:rPr>
                <w:rFonts w:cs="Arial"/>
                <w:color w:val="000000"/>
                <w:szCs w:val="16"/>
              </w:rPr>
            </w:pPr>
            <w:r w:rsidRPr="00D9348B">
              <w:rPr>
                <w:rFonts w:cs="Arial"/>
                <w:color w:val="000000"/>
                <w:szCs w:val="16"/>
              </w:rPr>
              <w:t>25.0</w:t>
            </w:r>
          </w:p>
        </w:tc>
      </w:tr>
    </w:tbl>
    <w:p w14:paraId="56C65F4E" w14:textId="77777777" w:rsidR="00D1512E" w:rsidRPr="00D9348B" w:rsidRDefault="00D1512E" w:rsidP="00D1512E">
      <w:pPr>
        <w:pStyle w:val="Noteundertable"/>
      </w:pPr>
      <w:bookmarkStart w:id="59" w:name="_Toc352504814"/>
      <w:bookmarkStart w:id="60" w:name="_Toc414531262"/>
      <w:bookmarkStart w:id="61" w:name="_Toc448321483"/>
      <w:r w:rsidRPr="00D9348B">
        <w:rPr>
          <w:b/>
        </w:rPr>
        <w:t>Note:</w:t>
      </w:r>
      <w:r w:rsidRPr="00D9348B">
        <w:t xml:space="preserve"> </w:t>
      </w:r>
      <w:r w:rsidRPr="00D9348B">
        <w:tab/>
        <w:t>Columns may not total due to rounding. Percentages presented are calculated from unrounded values.</w:t>
      </w:r>
    </w:p>
    <w:p w14:paraId="13430EE7" w14:textId="77777777" w:rsidR="00D1512E" w:rsidRPr="00D9348B" w:rsidRDefault="00D1512E" w:rsidP="00D90F13">
      <w:pPr>
        <w:pStyle w:val="Heading2"/>
        <w:spacing w:before="240"/>
      </w:pPr>
      <w:bookmarkStart w:id="62" w:name="_Toc511116560"/>
      <w:bookmarkStart w:id="63" w:name="_Toc5269322"/>
      <w:bookmarkStart w:id="64" w:name="_Toc36224362"/>
      <w:r w:rsidRPr="00D9348B">
        <w:t>ES.4</w:t>
      </w:r>
      <w:r w:rsidRPr="00D9348B">
        <w:tab/>
        <w:t>Sector trends</w:t>
      </w:r>
      <w:bookmarkEnd w:id="59"/>
      <w:bookmarkEnd w:id="60"/>
      <w:bookmarkEnd w:id="61"/>
      <w:bookmarkEnd w:id="62"/>
      <w:bookmarkEnd w:id="63"/>
      <w:bookmarkEnd w:id="64"/>
      <w:r w:rsidRPr="00D9348B">
        <w:t xml:space="preserve"> </w:t>
      </w:r>
    </w:p>
    <w:p w14:paraId="0E9F660C" w14:textId="77777777" w:rsidR="00D1512E" w:rsidRPr="00D9348B" w:rsidRDefault="00D1512E" w:rsidP="00D1512E">
      <w:pPr>
        <w:pStyle w:val="BodyText"/>
      </w:pPr>
      <w:r w:rsidRPr="00D9348B">
        <w:t xml:space="preserve">The Agriculture and Energy sectors dominate New Zealand’s gross emissions. Together, these sectors produced almost 90 per cent of New Zealand’s gross GHG emissions. The IPPU and Waste sectors produce relatively small amounts of GHGs, contributing between 4 per cent and 7 per cent to the gross emissions for the entire time series. Figure ES 4.1 shows the proportion that each inventory sector contributed to New Zealand’s gross emissions. It also shows the proportion of gross emissions offset by the LULUCF sector, which was a net GHG sink between 1990 and 2018. </w:t>
      </w:r>
    </w:p>
    <w:p w14:paraId="141AA1B2" w14:textId="77777777" w:rsidR="00D1512E" w:rsidRPr="00D9348B" w:rsidRDefault="00D1512E" w:rsidP="00D1512E">
      <w:pPr>
        <w:pStyle w:val="Figure"/>
      </w:pPr>
      <w:bookmarkStart w:id="65" w:name="_Toc444693964"/>
      <w:bookmarkStart w:id="66" w:name="_Toc447275649"/>
      <w:bookmarkStart w:id="67" w:name="_Toc511116913"/>
      <w:bookmarkStart w:id="68" w:name="_Toc5269646"/>
      <w:bookmarkStart w:id="69" w:name="_Toc36292749"/>
      <w:r w:rsidRPr="00D9348B">
        <w:t xml:space="preserve">Figure ES 4.1 </w:t>
      </w:r>
      <w:r w:rsidRPr="00D9348B">
        <w:tab/>
        <w:t>Changes in New Zealand’s gross emissions profile by sector from 1990 to </w:t>
      </w:r>
      <w:bookmarkEnd w:id="65"/>
      <w:bookmarkEnd w:id="66"/>
      <w:bookmarkEnd w:id="67"/>
      <w:r w:rsidRPr="00D9348B">
        <w:t>201</w:t>
      </w:r>
      <w:bookmarkEnd w:id="68"/>
      <w:r w:rsidRPr="00D9348B">
        <w:t>8</w:t>
      </w:r>
      <w:bookmarkEnd w:id="69"/>
    </w:p>
    <w:p w14:paraId="5CB9DA24" w14:textId="198F24A1" w:rsidR="00D1512E" w:rsidRPr="00D9348B" w:rsidRDefault="007165CF" w:rsidP="00D90F13">
      <w:pPr>
        <w:spacing w:after="120"/>
      </w:pPr>
      <w:r>
        <w:pict w14:anchorId="3EE82DEC">
          <v:shape id="_x0000_i1029" type="#_x0000_t75" style="width:416.95pt;height:251.05pt">
            <v:imagedata r:id="rId24" o:title="Figure 2"/>
          </v:shape>
        </w:pict>
      </w:r>
    </w:p>
    <w:p w14:paraId="60F284EC" w14:textId="77777777" w:rsidR="00D1512E" w:rsidRPr="00D9348B" w:rsidRDefault="00D1512E" w:rsidP="00D1512E">
      <w:pPr>
        <w:pStyle w:val="Noteundertable"/>
      </w:pPr>
      <w:r w:rsidRPr="00D9348B">
        <w:rPr>
          <w:b/>
          <w:bCs/>
        </w:rPr>
        <w:t>Note:</w:t>
      </w:r>
      <w:r w:rsidRPr="00D9348B">
        <w:t xml:space="preserve"> </w:t>
      </w:r>
      <w:r w:rsidRPr="00D9348B">
        <w:tab/>
        <w:t xml:space="preserve">Net removals from the LULUCF sector are as reported under the Convention (chapter 6). </w:t>
      </w:r>
    </w:p>
    <w:p w14:paraId="4B522531" w14:textId="77777777" w:rsidR="00D1512E" w:rsidRPr="00D9348B" w:rsidRDefault="00D1512E" w:rsidP="00D90F13">
      <w:pPr>
        <w:pStyle w:val="BodyText"/>
      </w:pPr>
      <w:r w:rsidRPr="00D9348B">
        <w:t>Figure ES 4.2 shows emissions by sector in 2018. Agriculture was New Zealand’s largest sector (47.8 per cent of the gross emissions). New Zealand’s Energy sector contributed 40.5 per cent to the gross emissions, while the IPPU and Waste sectors contributed 6.5 per cent and 5.1 per cent to the gross emissions respectively.</w:t>
      </w:r>
    </w:p>
    <w:p w14:paraId="2969AE55" w14:textId="77777777" w:rsidR="00D1512E" w:rsidRPr="00D9348B" w:rsidRDefault="00D1512E" w:rsidP="00D1512E">
      <w:pPr>
        <w:pStyle w:val="Figure"/>
        <w:spacing w:after="60"/>
      </w:pPr>
      <w:bookmarkStart w:id="70" w:name="_Toc444693965"/>
      <w:bookmarkStart w:id="71" w:name="_Toc447275650"/>
      <w:bookmarkStart w:id="72" w:name="_Toc511116914"/>
      <w:bookmarkStart w:id="73" w:name="_Toc5269647"/>
      <w:bookmarkStart w:id="74" w:name="_Toc36292750"/>
      <w:r w:rsidRPr="00D9348B">
        <w:lastRenderedPageBreak/>
        <w:t xml:space="preserve">Figure ES 4.2 </w:t>
      </w:r>
      <w:r w:rsidRPr="00D9348B">
        <w:tab/>
        <w:t xml:space="preserve">New Zealand’s emissions by sector in </w:t>
      </w:r>
      <w:bookmarkEnd w:id="70"/>
      <w:bookmarkEnd w:id="71"/>
      <w:bookmarkEnd w:id="72"/>
      <w:r w:rsidRPr="00D9348B">
        <w:t>2018</w:t>
      </w:r>
      <w:bookmarkEnd w:id="73"/>
      <w:bookmarkEnd w:id="74"/>
    </w:p>
    <w:p w14:paraId="5651AB13" w14:textId="77777777" w:rsidR="00D1512E" w:rsidRPr="00D9348B" w:rsidRDefault="007165CF" w:rsidP="00D1512E">
      <w:r>
        <w:pict w14:anchorId="6C36985D">
          <v:shape id="_x0000_i1030" type="#_x0000_t75" style="width:425.75pt;height:182.8pt">
            <v:imagedata r:id="rId25" o:title="Figure 2"/>
          </v:shape>
        </w:pict>
      </w:r>
    </w:p>
    <w:p w14:paraId="161CDA96" w14:textId="77777777" w:rsidR="00D1512E" w:rsidRPr="00D9348B" w:rsidRDefault="00D1512E" w:rsidP="00D1512E">
      <w:pPr>
        <w:pStyle w:val="Noteundertable"/>
        <w:ind w:left="675" w:hanging="675"/>
      </w:pPr>
      <w:r w:rsidRPr="00D9348B">
        <w:rPr>
          <w:b/>
        </w:rPr>
        <w:t>Note:</w:t>
      </w:r>
      <w:r w:rsidRPr="00D9348B">
        <w:t xml:space="preserve"> </w:t>
      </w:r>
      <w:r w:rsidRPr="00D9348B">
        <w:tab/>
        <w:t>The percentages may not add up to 100 per cent due to rounding. The LULUCF sector, which is not a part of gross emissions, is included here as a negative value.</w:t>
      </w:r>
    </w:p>
    <w:p w14:paraId="6BFA686F" w14:textId="77777777" w:rsidR="00D1512E" w:rsidRPr="00D9348B" w:rsidRDefault="00D1512E" w:rsidP="00D1512E">
      <w:pPr>
        <w:pStyle w:val="BodyText"/>
      </w:pPr>
      <w:r w:rsidRPr="00D9348B">
        <w:t>Table ES 4.1 and figure ES 4.3 summarise emissions by sector in 1990 and 2018 as well as the change between those years. A more detailed description of the emission trends for each sector is presented in chapter 2, section 2.2.</w:t>
      </w:r>
    </w:p>
    <w:p w14:paraId="00855028" w14:textId="77777777" w:rsidR="00D1512E" w:rsidRPr="00D9348B" w:rsidRDefault="00D1512E" w:rsidP="00D1512E">
      <w:pPr>
        <w:pStyle w:val="Table"/>
      </w:pPr>
      <w:bookmarkStart w:id="75" w:name="_Toc444693995"/>
      <w:bookmarkStart w:id="76" w:name="_Toc451176050"/>
      <w:bookmarkStart w:id="77" w:name="_Toc511116699"/>
      <w:bookmarkStart w:id="78" w:name="_Toc5269433"/>
      <w:bookmarkStart w:id="79" w:name="_Toc36224510"/>
      <w:r w:rsidRPr="00D9348B">
        <w:t xml:space="preserve">Table ES 4.1 </w:t>
      </w:r>
      <w:r w:rsidRPr="00D9348B">
        <w:tab/>
        <w:t xml:space="preserve">New Zealand’s gross emissions by sector in 1990 and </w:t>
      </w:r>
      <w:bookmarkEnd w:id="75"/>
      <w:bookmarkEnd w:id="76"/>
      <w:bookmarkEnd w:id="77"/>
      <w:r w:rsidRPr="00D9348B">
        <w:t>2018</w:t>
      </w:r>
      <w:bookmarkEnd w:id="78"/>
      <w:bookmarkEnd w:id="79"/>
    </w:p>
    <w:tbl>
      <w:tblPr>
        <w:tblW w:w="8505" w:type="dxa"/>
        <w:tblInd w:w="108" w:type="dxa"/>
        <w:tblBorders>
          <w:bottom w:val="single" w:sz="8" w:space="0" w:color="365F91"/>
          <w:insideH w:val="single" w:sz="8" w:space="0" w:color="365F91"/>
        </w:tblBorders>
        <w:tblLayout w:type="fixed"/>
        <w:tblLook w:val="01E0" w:firstRow="1" w:lastRow="1" w:firstColumn="1" w:lastColumn="1" w:noHBand="0" w:noVBand="0"/>
      </w:tblPr>
      <w:tblGrid>
        <w:gridCol w:w="3544"/>
        <w:gridCol w:w="999"/>
        <w:gridCol w:w="999"/>
        <w:gridCol w:w="1546"/>
        <w:gridCol w:w="1417"/>
      </w:tblGrid>
      <w:tr w:rsidR="00D1512E" w:rsidRPr="00D9348B" w14:paraId="1B1B7E71" w14:textId="77777777" w:rsidTr="004662B3">
        <w:trPr>
          <w:trHeight w:val="344"/>
        </w:trPr>
        <w:tc>
          <w:tcPr>
            <w:tcW w:w="3544" w:type="dxa"/>
            <w:vMerge w:val="restart"/>
            <w:tcBorders>
              <w:top w:val="single" w:sz="4" w:space="0" w:color="365F91"/>
              <w:left w:val="nil"/>
              <w:bottom w:val="nil"/>
              <w:right w:val="nil"/>
              <w:tl2br w:val="nil"/>
              <w:tr2bl w:val="nil"/>
            </w:tcBorders>
            <w:shd w:val="clear" w:color="auto" w:fill="365F91"/>
            <w:vAlign w:val="bottom"/>
          </w:tcPr>
          <w:p w14:paraId="1560BC51" w14:textId="77777777" w:rsidR="00D1512E" w:rsidRPr="00D9348B" w:rsidRDefault="00D1512E" w:rsidP="00DB330E">
            <w:pPr>
              <w:pStyle w:val="TableTextBold"/>
              <w:keepNext/>
              <w:spacing w:before="50" w:after="50"/>
              <w:rPr>
                <w:rFonts w:cs="Arial"/>
                <w:noProof w:val="0"/>
                <w:color w:val="FFFFFF"/>
              </w:rPr>
            </w:pPr>
            <w:r w:rsidRPr="00D9348B">
              <w:rPr>
                <w:rFonts w:cs="Arial"/>
                <w:noProof w:val="0"/>
                <w:color w:val="FFFFFF"/>
              </w:rPr>
              <w:t>Sector</w:t>
            </w:r>
          </w:p>
        </w:tc>
        <w:tc>
          <w:tcPr>
            <w:tcW w:w="1998" w:type="dxa"/>
            <w:gridSpan w:val="2"/>
            <w:tcBorders>
              <w:top w:val="single" w:sz="4" w:space="0" w:color="365F91"/>
              <w:left w:val="nil"/>
              <w:bottom w:val="single" w:sz="4" w:space="0" w:color="365F91"/>
              <w:right w:val="nil"/>
              <w:tl2br w:val="nil"/>
              <w:tr2bl w:val="nil"/>
            </w:tcBorders>
            <w:shd w:val="clear" w:color="auto" w:fill="365F91"/>
            <w:vAlign w:val="bottom"/>
          </w:tcPr>
          <w:p w14:paraId="3B25223B" w14:textId="77777777" w:rsidR="00D1512E" w:rsidRPr="00D9348B" w:rsidRDefault="00D1512E" w:rsidP="00777D15">
            <w:pPr>
              <w:pStyle w:val="TableTextBold"/>
              <w:spacing w:before="50" w:after="0"/>
              <w:jc w:val="center"/>
              <w:rPr>
                <w:rFonts w:cs="Arial"/>
                <w:bCs/>
                <w:noProof w:val="0"/>
                <w:color w:val="FFFFFF"/>
              </w:rPr>
            </w:pPr>
            <w:r w:rsidRPr="00D9348B">
              <w:rPr>
                <w:rFonts w:cs="Arial"/>
                <w:bCs/>
                <w:noProof w:val="0"/>
                <w:color w:val="FFFFFF"/>
              </w:rPr>
              <w:t>kt CO</w:t>
            </w:r>
            <w:r w:rsidRPr="00D9348B">
              <w:rPr>
                <w:rFonts w:cs="Arial"/>
                <w:bCs/>
                <w:noProof w:val="0"/>
                <w:color w:val="FFFFFF"/>
                <w:vertAlign w:val="subscript"/>
              </w:rPr>
              <w:t>2</w:t>
            </w:r>
            <w:r w:rsidRPr="00D9348B">
              <w:rPr>
                <w:rFonts w:cs="Arial"/>
                <w:bCs/>
                <w:noProof w:val="0"/>
                <w:color w:val="FFFFFF"/>
              </w:rPr>
              <w:t>-equivalent</w:t>
            </w:r>
          </w:p>
        </w:tc>
        <w:tc>
          <w:tcPr>
            <w:tcW w:w="1546" w:type="dxa"/>
            <w:vMerge w:val="restart"/>
            <w:tcBorders>
              <w:top w:val="single" w:sz="4" w:space="0" w:color="365F91"/>
              <w:left w:val="nil"/>
              <w:bottom w:val="nil"/>
              <w:right w:val="nil"/>
              <w:tl2br w:val="nil"/>
              <w:tr2bl w:val="nil"/>
            </w:tcBorders>
            <w:shd w:val="clear" w:color="auto" w:fill="365F91"/>
            <w:vAlign w:val="bottom"/>
          </w:tcPr>
          <w:p w14:paraId="1A9EF642" w14:textId="77777777" w:rsidR="00D1512E" w:rsidRPr="00D9348B" w:rsidRDefault="00D1512E" w:rsidP="00DB330E">
            <w:pPr>
              <w:pStyle w:val="TableTextBold"/>
              <w:spacing w:before="50" w:after="50"/>
              <w:jc w:val="right"/>
              <w:rPr>
                <w:rFonts w:cs="Arial"/>
                <w:bCs/>
                <w:noProof w:val="0"/>
                <w:color w:val="FFFFFF"/>
              </w:rPr>
            </w:pPr>
            <w:r w:rsidRPr="00D9348B">
              <w:rPr>
                <w:rFonts w:cs="Arial"/>
                <w:bCs/>
                <w:noProof w:val="0"/>
                <w:color w:val="FFFFFF"/>
              </w:rPr>
              <w:t>Change from 1990 (kt CO</w:t>
            </w:r>
            <w:r w:rsidRPr="00D9348B">
              <w:rPr>
                <w:rFonts w:cs="Arial"/>
                <w:bCs/>
                <w:noProof w:val="0"/>
                <w:color w:val="FFFFFF"/>
                <w:vertAlign w:val="subscript"/>
              </w:rPr>
              <w:t>2</w:t>
            </w:r>
            <w:r w:rsidRPr="00D9348B">
              <w:rPr>
                <w:rFonts w:cs="Arial"/>
                <w:bCs/>
                <w:noProof w:val="0"/>
                <w:color w:val="FFFFFF"/>
              </w:rPr>
              <w:t>-equivalent)</w:t>
            </w:r>
          </w:p>
        </w:tc>
        <w:tc>
          <w:tcPr>
            <w:tcW w:w="1417" w:type="dxa"/>
            <w:vMerge w:val="restart"/>
            <w:tcBorders>
              <w:top w:val="single" w:sz="4" w:space="0" w:color="365F91"/>
              <w:left w:val="nil"/>
              <w:bottom w:val="nil"/>
              <w:right w:val="nil"/>
              <w:tl2br w:val="nil"/>
              <w:tr2bl w:val="nil"/>
            </w:tcBorders>
            <w:shd w:val="clear" w:color="auto" w:fill="365F91"/>
            <w:vAlign w:val="bottom"/>
          </w:tcPr>
          <w:p w14:paraId="5F5A026A" w14:textId="77777777" w:rsidR="00D1512E" w:rsidRPr="00D9348B" w:rsidRDefault="00D1512E" w:rsidP="00DB330E">
            <w:pPr>
              <w:pStyle w:val="TableTextBold"/>
              <w:spacing w:before="50" w:after="50"/>
              <w:jc w:val="right"/>
              <w:rPr>
                <w:rFonts w:cs="Arial"/>
                <w:bCs/>
                <w:noProof w:val="0"/>
                <w:color w:val="FFFFFF"/>
              </w:rPr>
            </w:pPr>
            <w:r w:rsidRPr="00D9348B">
              <w:rPr>
                <w:rFonts w:cs="Arial"/>
                <w:bCs/>
                <w:noProof w:val="0"/>
                <w:color w:val="FFFFFF"/>
              </w:rPr>
              <w:t>Change from 1990 (%)</w:t>
            </w:r>
          </w:p>
        </w:tc>
      </w:tr>
      <w:tr w:rsidR="00D1512E" w:rsidRPr="00D9348B" w14:paraId="76AAD77C" w14:textId="77777777" w:rsidTr="004662B3">
        <w:tc>
          <w:tcPr>
            <w:tcW w:w="3544" w:type="dxa"/>
            <w:vMerge/>
            <w:tcBorders>
              <w:top w:val="nil"/>
              <w:bottom w:val="single" w:sz="4" w:space="0" w:color="365F91"/>
            </w:tcBorders>
            <w:shd w:val="clear" w:color="auto" w:fill="365F91"/>
            <w:vAlign w:val="bottom"/>
          </w:tcPr>
          <w:p w14:paraId="08CE780A" w14:textId="77777777" w:rsidR="00D1512E" w:rsidRPr="00D9348B" w:rsidRDefault="00D1512E" w:rsidP="00DB330E">
            <w:pPr>
              <w:pStyle w:val="TableTextBold"/>
              <w:keepNext/>
              <w:spacing w:before="50" w:after="50"/>
              <w:jc w:val="center"/>
              <w:rPr>
                <w:noProof w:val="0"/>
                <w:color w:val="FFFFFF"/>
              </w:rPr>
            </w:pPr>
          </w:p>
        </w:tc>
        <w:tc>
          <w:tcPr>
            <w:tcW w:w="999" w:type="dxa"/>
            <w:tcBorders>
              <w:top w:val="single" w:sz="4" w:space="0" w:color="365F91"/>
              <w:bottom w:val="single" w:sz="4" w:space="0" w:color="365F91"/>
            </w:tcBorders>
            <w:shd w:val="clear" w:color="auto" w:fill="365F91"/>
            <w:vAlign w:val="bottom"/>
          </w:tcPr>
          <w:p w14:paraId="73DFD9F1" w14:textId="77777777" w:rsidR="00D1512E" w:rsidRPr="00D9348B" w:rsidRDefault="00D1512E" w:rsidP="00DB330E">
            <w:pPr>
              <w:pStyle w:val="TableTextBold"/>
              <w:spacing w:before="50" w:after="50"/>
              <w:jc w:val="right"/>
              <w:rPr>
                <w:noProof w:val="0"/>
                <w:color w:val="FFFFFF"/>
              </w:rPr>
            </w:pPr>
            <w:r w:rsidRPr="00D9348B">
              <w:rPr>
                <w:noProof w:val="0"/>
                <w:color w:val="FFFFFF"/>
              </w:rPr>
              <w:t>1990</w:t>
            </w:r>
          </w:p>
        </w:tc>
        <w:tc>
          <w:tcPr>
            <w:tcW w:w="999" w:type="dxa"/>
            <w:tcBorders>
              <w:top w:val="single" w:sz="4" w:space="0" w:color="365F91"/>
              <w:bottom w:val="single" w:sz="4" w:space="0" w:color="365F91"/>
            </w:tcBorders>
            <w:shd w:val="clear" w:color="auto" w:fill="365F91"/>
            <w:vAlign w:val="bottom"/>
          </w:tcPr>
          <w:p w14:paraId="6DB8E93C" w14:textId="77777777" w:rsidR="00D1512E" w:rsidRPr="00D9348B" w:rsidRDefault="00D1512E" w:rsidP="00DB330E">
            <w:pPr>
              <w:pStyle w:val="TableTextBold"/>
              <w:spacing w:before="50" w:after="50"/>
              <w:jc w:val="right"/>
              <w:rPr>
                <w:noProof w:val="0"/>
                <w:color w:val="FFFFFF"/>
              </w:rPr>
            </w:pPr>
            <w:r w:rsidRPr="00D9348B">
              <w:rPr>
                <w:noProof w:val="0"/>
                <w:color w:val="FFFFFF"/>
              </w:rPr>
              <w:t>2018</w:t>
            </w:r>
          </w:p>
        </w:tc>
        <w:tc>
          <w:tcPr>
            <w:tcW w:w="1546" w:type="dxa"/>
            <w:vMerge/>
            <w:tcBorders>
              <w:top w:val="nil"/>
              <w:bottom w:val="single" w:sz="4" w:space="0" w:color="365F91"/>
            </w:tcBorders>
            <w:shd w:val="clear" w:color="auto" w:fill="365F91"/>
            <w:vAlign w:val="bottom"/>
          </w:tcPr>
          <w:p w14:paraId="69D89835" w14:textId="77777777" w:rsidR="00D1512E" w:rsidRPr="00D9348B" w:rsidRDefault="00D1512E" w:rsidP="00DB330E">
            <w:pPr>
              <w:pStyle w:val="TableTextBold"/>
              <w:spacing w:before="50" w:after="50"/>
              <w:jc w:val="right"/>
              <w:rPr>
                <w:noProof w:val="0"/>
                <w:color w:val="FFFFFF"/>
              </w:rPr>
            </w:pPr>
          </w:p>
        </w:tc>
        <w:tc>
          <w:tcPr>
            <w:tcW w:w="1417" w:type="dxa"/>
            <w:vMerge/>
            <w:tcBorders>
              <w:top w:val="nil"/>
              <w:bottom w:val="single" w:sz="4" w:space="0" w:color="365F91"/>
            </w:tcBorders>
            <w:shd w:val="clear" w:color="auto" w:fill="365F91"/>
            <w:vAlign w:val="bottom"/>
          </w:tcPr>
          <w:p w14:paraId="35541B5F" w14:textId="77777777" w:rsidR="00D1512E" w:rsidRPr="00D9348B" w:rsidRDefault="00D1512E" w:rsidP="00DB330E">
            <w:pPr>
              <w:pStyle w:val="TableTextBold"/>
              <w:spacing w:before="50" w:after="50"/>
              <w:jc w:val="right"/>
              <w:rPr>
                <w:noProof w:val="0"/>
                <w:color w:val="FFFFFF"/>
              </w:rPr>
            </w:pPr>
          </w:p>
        </w:tc>
      </w:tr>
      <w:tr w:rsidR="00D1512E" w:rsidRPr="00D9348B" w14:paraId="114088D5" w14:textId="77777777" w:rsidTr="004662B3">
        <w:tc>
          <w:tcPr>
            <w:tcW w:w="3544" w:type="dxa"/>
            <w:tcBorders>
              <w:top w:val="single" w:sz="4" w:space="0" w:color="365F91"/>
            </w:tcBorders>
            <w:shd w:val="clear" w:color="auto" w:fill="auto"/>
          </w:tcPr>
          <w:p w14:paraId="1319B74C" w14:textId="77777777" w:rsidR="00D1512E" w:rsidRPr="00D9348B" w:rsidRDefault="00D1512E" w:rsidP="00DB330E">
            <w:pPr>
              <w:pStyle w:val="TableText"/>
              <w:keepNext/>
              <w:rPr>
                <w:b/>
                <w:color w:val="000000"/>
              </w:rPr>
            </w:pPr>
            <w:r w:rsidRPr="00D9348B">
              <w:rPr>
                <w:b/>
                <w:color w:val="000000"/>
              </w:rPr>
              <w:t>Energy</w:t>
            </w:r>
          </w:p>
        </w:tc>
        <w:tc>
          <w:tcPr>
            <w:tcW w:w="999" w:type="dxa"/>
            <w:tcBorders>
              <w:top w:val="single" w:sz="4" w:space="0" w:color="365F91"/>
            </w:tcBorders>
            <w:shd w:val="clear" w:color="auto" w:fill="auto"/>
          </w:tcPr>
          <w:p w14:paraId="5C998CD7" w14:textId="77777777" w:rsidR="00D1512E" w:rsidRPr="00D9348B" w:rsidRDefault="00D1512E" w:rsidP="00DB330E">
            <w:pPr>
              <w:pStyle w:val="TableText"/>
              <w:jc w:val="right"/>
              <w:rPr>
                <w:color w:val="000000"/>
              </w:rPr>
            </w:pPr>
            <w:r w:rsidRPr="00D9348B">
              <w:rPr>
                <w:color w:val="000000"/>
              </w:rPr>
              <w:t>23,778.3</w:t>
            </w:r>
          </w:p>
        </w:tc>
        <w:tc>
          <w:tcPr>
            <w:tcW w:w="999" w:type="dxa"/>
            <w:tcBorders>
              <w:top w:val="single" w:sz="4" w:space="0" w:color="365F91"/>
            </w:tcBorders>
            <w:shd w:val="clear" w:color="auto" w:fill="auto"/>
          </w:tcPr>
          <w:p w14:paraId="09BCF0B8" w14:textId="77777777" w:rsidR="00D1512E" w:rsidRPr="00D9348B" w:rsidRDefault="00D1512E" w:rsidP="00DB330E">
            <w:pPr>
              <w:pStyle w:val="TableText"/>
              <w:jc w:val="right"/>
              <w:rPr>
                <w:color w:val="000000"/>
              </w:rPr>
            </w:pPr>
            <w:r w:rsidRPr="00D9348B">
              <w:rPr>
                <w:color w:val="000000"/>
              </w:rPr>
              <w:t>31,946.2</w:t>
            </w:r>
          </w:p>
        </w:tc>
        <w:tc>
          <w:tcPr>
            <w:tcW w:w="1546" w:type="dxa"/>
            <w:tcBorders>
              <w:top w:val="single" w:sz="4" w:space="0" w:color="365F91"/>
            </w:tcBorders>
            <w:shd w:val="clear" w:color="auto" w:fill="auto"/>
          </w:tcPr>
          <w:p w14:paraId="306B89CD" w14:textId="77777777" w:rsidR="00D1512E" w:rsidRPr="00D9348B" w:rsidRDefault="00D1512E" w:rsidP="00DB330E">
            <w:pPr>
              <w:pStyle w:val="TableText"/>
              <w:jc w:val="right"/>
              <w:rPr>
                <w:color w:val="000000"/>
              </w:rPr>
            </w:pPr>
            <w:r w:rsidRPr="00D9348B">
              <w:rPr>
                <w:color w:val="000000"/>
              </w:rPr>
              <w:t>8,167.8</w:t>
            </w:r>
          </w:p>
        </w:tc>
        <w:tc>
          <w:tcPr>
            <w:tcW w:w="1417" w:type="dxa"/>
            <w:tcBorders>
              <w:top w:val="single" w:sz="4" w:space="0" w:color="365F91"/>
            </w:tcBorders>
            <w:shd w:val="clear" w:color="auto" w:fill="auto"/>
          </w:tcPr>
          <w:p w14:paraId="289257D7" w14:textId="77777777" w:rsidR="00D1512E" w:rsidRPr="00D9348B" w:rsidRDefault="00D1512E" w:rsidP="00DB330E">
            <w:pPr>
              <w:pStyle w:val="TableText"/>
              <w:jc w:val="right"/>
              <w:rPr>
                <w:color w:val="000000"/>
              </w:rPr>
            </w:pPr>
            <w:r w:rsidRPr="00D9348B">
              <w:rPr>
                <w:color w:val="000000"/>
              </w:rPr>
              <w:t>34.3</w:t>
            </w:r>
          </w:p>
        </w:tc>
      </w:tr>
      <w:tr w:rsidR="00D1512E" w:rsidRPr="00D9348B" w14:paraId="5F9D11A2" w14:textId="77777777" w:rsidTr="004662B3">
        <w:tc>
          <w:tcPr>
            <w:tcW w:w="3544" w:type="dxa"/>
            <w:shd w:val="clear" w:color="auto" w:fill="auto"/>
          </w:tcPr>
          <w:p w14:paraId="73CE0FEB" w14:textId="77777777" w:rsidR="00D1512E" w:rsidRPr="00D9348B" w:rsidRDefault="00D1512E" w:rsidP="00DB330E">
            <w:pPr>
              <w:pStyle w:val="TableText"/>
              <w:keepNext/>
              <w:rPr>
                <w:b/>
                <w:color w:val="000000"/>
              </w:rPr>
            </w:pPr>
            <w:r w:rsidRPr="00D9348B">
              <w:rPr>
                <w:b/>
                <w:color w:val="000000"/>
              </w:rPr>
              <w:t>Industrial Processes and Product Use</w:t>
            </w:r>
          </w:p>
        </w:tc>
        <w:tc>
          <w:tcPr>
            <w:tcW w:w="999" w:type="dxa"/>
            <w:shd w:val="clear" w:color="auto" w:fill="auto"/>
          </w:tcPr>
          <w:p w14:paraId="4345A195" w14:textId="77777777" w:rsidR="00D1512E" w:rsidRPr="00D9348B" w:rsidRDefault="00D1512E" w:rsidP="00DB330E">
            <w:pPr>
              <w:pStyle w:val="TableText"/>
              <w:jc w:val="right"/>
              <w:rPr>
                <w:color w:val="000000"/>
              </w:rPr>
            </w:pPr>
            <w:r w:rsidRPr="00D9348B">
              <w:rPr>
                <w:color w:val="000000"/>
              </w:rPr>
              <w:t>3,579.9</w:t>
            </w:r>
          </w:p>
        </w:tc>
        <w:tc>
          <w:tcPr>
            <w:tcW w:w="999" w:type="dxa"/>
            <w:shd w:val="clear" w:color="auto" w:fill="auto"/>
          </w:tcPr>
          <w:p w14:paraId="6154AAAB" w14:textId="77777777" w:rsidR="00D1512E" w:rsidRPr="00D9348B" w:rsidRDefault="00D1512E" w:rsidP="00DB330E">
            <w:pPr>
              <w:pStyle w:val="TableText"/>
              <w:jc w:val="right"/>
              <w:rPr>
                <w:color w:val="000000"/>
              </w:rPr>
            </w:pPr>
            <w:r w:rsidRPr="00D9348B">
              <w:rPr>
                <w:color w:val="000000"/>
              </w:rPr>
              <w:t>5,158.1</w:t>
            </w:r>
          </w:p>
        </w:tc>
        <w:tc>
          <w:tcPr>
            <w:tcW w:w="1546" w:type="dxa"/>
            <w:shd w:val="clear" w:color="auto" w:fill="auto"/>
          </w:tcPr>
          <w:p w14:paraId="08243E49" w14:textId="77777777" w:rsidR="00D1512E" w:rsidRPr="00D9348B" w:rsidRDefault="00D1512E" w:rsidP="00DB330E">
            <w:pPr>
              <w:pStyle w:val="TableText"/>
              <w:jc w:val="right"/>
              <w:rPr>
                <w:color w:val="000000"/>
              </w:rPr>
            </w:pPr>
            <w:r w:rsidRPr="00D9348B">
              <w:rPr>
                <w:color w:val="000000"/>
              </w:rPr>
              <w:t>1,578.3</w:t>
            </w:r>
          </w:p>
        </w:tc>
        <w:tc>
          <w:tcPr>
            <w:tcW w:w="1417" w:type="dxa"/>
            <w:shd w:val="clear" w:color="auto" w:fill="auto"/>
          </w:tcPr>
          <w:p w14:paraId="71763A07" w14:textId="77777777" w:rsidR="00D1512E" w:rsidRPr="00D9348B" w:rsidRDefault="00D1512E" w:rsidP="00DB330E">
            <w:pPr>
              <w:pStyle w:val="TableText"/>
              <w:jc w:val="right"/>
              <w:rPr>
                <w:color w:val="000000"/>
              </w:rPr>
            </w:pPr>
            <w:r w:rsidRPr="00D9348B">
              <w:rPr>
                <w:color w:val="000000"/>
              </w:rPr>
              <w:t>44.1</w:t>
            </w:r>
          </w:p>
        </w:tc>
      </w:tr>
      <w:tr w:rsidR="00D1512E" w:rsidRPr="00D9348B" w14:paraId="3531DDF2" w14:textId="77777777" w:rsidTr="004662B3">
        <w:tc>
          <w:tcPr>
            <w:tcW w:w="3544" w:type="dxa"/>
            <w:shd w:val="clear" w:color="auto" w:fill="auto"/>
          </w:tcPr>
          <w:p w14:paraId="27BA4DB1" w14:textId="77777777" w:rsidR="00D1512E" w:rsidRPr="00D9348B" w:rsidRDefault="00D1512E" w:rsidP="00DB330E">
            <w:pPr>
              <w:pStyle w:val="TableText"/>
              <w:keepNext/>
              <w:rPr>
                <w:b/>
                <w:color w:val="000000"/>
              </w:rPr>
            </w:pPr>
            <w:r w:rsidRPr="00D9348B">
              <w:rPr>
                <w:b/>
                <w:color w:val="000000"/>
              </w:rPr>
              <w:t>Agriculture</w:t>
            </w:r>
          </w:p>
        </w:tc>
        <w:tc>
          <w:tcPr>
            <w:tcW w:w="999" w:type="dxa"/>
            <w:shd w:val="clear" w:color="auto" w:fill="auto"/>
          </w:tcPr>
          <w:p w14:paraId="314350F9" w14:textId="77777777" w:rsidR="00D1512E" w:rsidRPr="00D9348B" w:rsidRDefault="00D1512E" w:rsidP="00DB330E">
            <w:pPr>
              <w:pStyle w:val="TableText"/>
              <w:jc w:val="right"/>
              <w:rPr>
                <w:color w:val="000000"/>
              </w:rPr>
            </w:pPr>
            <w:r w:rsidRPr="00D9348B">
              <w:rPr>
                <w:color w:val="000000"/>
              </w:rPr>
              <w:t>32,182.0</w:t>
            </w:r>
          </w:p>
        </w:tc>
        <w:tc>
          <w:tcPr>
            <w:tcW w:w="999" w:type="dxa"/>
            <w:shd w:val="clear" w:color="auto" w:fill="auto"/>
          </w:tcPr>
          <w:p w14:paraId="7E8639D8" w14:textId="77777777" w:rsidR="00D1512E" w:rsidRPr="00D9348B" w:rsidRDefault="00D1512E" w:rsidP="00DB330E">
            <w:pPr>
              <w:pStyle w:val="TableText"/>
              <w:jc w:val="right"/>
              <w:rPr>
                <w:color w:val="000000"/>
              </w:rPr>
            </w:pPr>
            <w:r w:rsidRPr="00D9348B">
              <w:rPr>
                <w:color w:val="000000"/>
              </w:rPr>
              <w:t>37,697.0</w:t>
            </w:r>
          </w:p>
        </w:tc>
        <w:tc>
          <w:tcPr>
            <w:tcW w:w="1546" w:type="dxa"/>
            <w:shd w:val="clear" w:color="auto" w:fill="auto"/>
          </w:tcPr>
          <w:p w14:paraId="7E66080E" w14:textId="77777777" w:rsidR="00D1512E" w:rsidRPr="00D9348B" w:rsidRDefault="00D1512E" w:rsidP="00DB330E">
            <w:pPr>
              <w:pStyle w:val="TableText"/>
              <w:jc w:val="right"/>
              <w:rPr>
                <w:color w:val="000000"/>
              </w:rPr>
            </w:pPr>
            <w:r w:rsidRPr="00D9348B">
              <w:rPr>
                <w:color w:val="000000"/>
              </w:rPr>
              <w:t>5,515.0</w:t>
            </w:r>
          </w:p>
        </w:tc>
        <w:tc>
          <w:tcPr>
            <w:tcW w:w="1417" w:type="dxa"/>
            <w:shd w:val="clear" w:color="auto" w:fill="auto"/>
          </w:tcPr>
          <w:p w14:paraId="2B4FF334" w14:textId="77777777" w:rsidR="00D1512E" w:rsidRPr="00D9348B" w:rsidRDefault="00D1512E" w:rsidP="00DB330E">
            <w:pPr>
              <w:pStyle w:val="TableText"/>
              <w:jc w:val="right"/>
              <w:rPr>
                <w:color w:val="000000"/>
              </w:rPr>
            </w:pPr>
            <w:r w:rsidRPr="00D9348B">
              <w:rPr>
                <w:color w:val="000000"/>
              </w:rPr>
              <w:t>17.1</w:t>
            </w:r>
          </w:p>
        </w:tc>
      </w:tr>
      <w:tr w:rsidR="00D1512E" w:rsidRPr="00D9348B" w14:paraId="7277E116" w14:textId="77777777" w:rsidTr="004662B3">
        <w:tc>
          <w:tcPr>
            <w:tcW w:w="3544" w:type="dxa"/>
            <w:shd w:val="clear" w:color="auto" w:fill="auto"/>
          </w:tcPr>
          <w:p w14:paraId="551C4E67" w14:textId="77777777" w:rsidR="00D1512E" w:rsidRPr="00D9348B" w:rsidRDefault="00D1512E" w:rsidP="00DB330E">
            <w:pPr>
              <w:pStyle w:val="TableText"/>
              <w:rPr>
                <w:b/>
                <w:color w:val="000000"/>
              </w:rPr>
            </w:pPr>
            <w:r w:rsidRPr="00D9348B">
              <w:rPr>
                <w:b/>
                <w:color w:val="000000"/>
              </w:rPr>
              <w:t>Waste</w:t>
            </w:r>
          </w:p>
        </w:tc>
        <w:tc>
          <w:tcPr>
            <w:tcW w:w="999" w:type="dxa"/>
            <w:shd w:val="clear" w:color="auto" w:fill="auto"/>
          </w:tcPr>
          <w:p w14:paraId="39F895D1" w14:textId="77777777" w:rsidR="00D1512E" w:rsidRPr="00D9348B" w:rsidRDefault="00D1512E" w:rsidP="00DB330E">
            <w:pPr>
              <w:pStyle w:val="TableText"/>
              <w:jc w:val="right"/>
              <w:rPr>
                <w:color w:val="000000"/>
              </w:rPr>
            </w:pPr>
            <w:r w:rsidRPr="00D9348B">
              <w:rPr>
                <w:color w:val="000000"/>
              </w:rPr>
              <w:t>4,047.6</w:t>
            </w:r>
          </w:p>
        </w:tc>
        <w:tc>
          <w:tcPr>
            <w:tcW w:w="999" w:type="dxa"/>
            <w:shd w:val="clear" w:color="auto" w:fill="auto"/>
          </w:tcPr>
          <w:p w14:paraId="109848F2" w14:textId="77777777" w:rsidR="00D1512E" w:rsidRPr="00D9348B" w:rsidRDefault="00D1512E" w:rsidP="00DB330E">
            <w:pPr>
              <w:pStyle w:val="TableText"/>
              <w:jc w:val="right"/>
              <w:rPr>
                <w:color w:val="000000"/>
              </w:rPr>
            </w:pPr>
            <w:r w:rsidRPr="00D9348B">
              <w:rPr>
                <w:color w:val="000000"/>
              </w:rPr>
              <w:t>4,057.4</w:t>
            </w:r>
          </w:p>
        </w:tc>
        <w:tc>
          <w:tcPr>
            <w:tcW w:w="1546" w:type="dxa"/>
            <w:shd w:val="clear" w:color="auto" w:fill="auto"/>
          </w:tcPr>
          <w:p w14:paraId="3D333379" w14:textId="77777777" w:rsidR="00D1512E" w:rsidRPr="00D9348B" w:rsidRDefault="00D1512E" w:rsidP="00DB330E">
            <w:pPr>
              <w:pStyle w:val="TableText"/>
              <w:jc w:val="right"/>
              <w:rPr>
                <w:color w:val="000000"/>
              </w:rPr>
            </w:pPr>
            <w:r w:rsidRPr="00D9348B">
              <w:rPr>
                <w:color w:val="000000"/>
              </w:rPr>
              <w:t>9.8</w:t>
            </w:r>
          </w:p>
        </w:tc>
        <w:tc>
          <w:tcPr>
            <w:tcW w:w="1417" w:type="dxa"/>
            <w:shd w:val="clear" w:color="auto" w:fill="auto"/>
          </w:tcPr>
          <w:p w14:paraId="704A6E57" w14:textId="77777777" w:rsidR="00D1512E" w:rsidRPr="00D9348B" w:rsidRDefault="00D1512E" w:rsidP="00DB330E">
            <w:pPr>
              <w:pStyle w:val="TableText"/>
              <w:jc w:val="right"/>
              <w:rPr>
                <w:color w:val="000000"/>
              </w:rPr>
            </w:pPr>
            <w:r w:rsidRPr="00D9348B">
              <w:rPr>
                <w:color w:val="000000"/>
              </w:rPr>
              <w:t>0.2</w:t>
            </w:r>
          </w:p>
        </w:tc>
      </w:tr>
      <w:tr w:rsidR="00D1512E" w:rsidRPr="00D9348B" w14:paraId="6705DEAF" w14:textId="77777777" w:rsidTr="004662B3">
        <w:tc>
          <w:tcPr>
            <w:tcW w:w="3544" w:type="dxa"/>
            <w:shd w:val="clear" w:color="auto" w:fill="auto"/>
          </w:tcPr>
          <w:p w14:paraId="7C02EEF7" w14:textId="77777777" w:rsidR="00D1512E" w:rsidRPr="00D9348B" w:rsidRDefault="00D1512E" w:rsidP="00DB330E">
            <w:pPr>
              <w:pStyle w:val="TableText"/>
              <w:rPr>
                <w:b/>
                <w:color w:val="000000"/>
              </w:rPr>
            </w:pPr>
            <w:r w:rsidRPr="00D9348B">
              <w:rPr>
                <w:b/>
                <w:color w:val="000000"/>
              </w:rPr>
              <w:t>Other (Tokelau)</w:t>
            </w:r>
          </w:p>
        </w:tc>
        <w:tc>
          <w:tcPr>
            <w:tcW w:w="999" w:type="dxa"/>
            <w:shd w:val="clear" w:color="auto" w:fill="auto"/>
          </w:tcPr>
          <w:p w14:paraId="1796822D" w14:textId="77777777" w:rsidR="00D1512E" w:rsidRPr="00D9348B" w:rsidRDefault="00D1512E" w:rsidP="00DB330E">
            <w:pPr>
              <w:pStyle w:val="TableText"/>
              <w:jc w:val="right"/>
              <w:rPr>
                <w:color w:val="000000"/>
              </w:rPr>
            </w:pPr>
            <w:r w:rsidRPr="00D9348B">
              <w:rPr>
                <w:color w:val="000000"/>
              </w:rPr>
              <w:t>3.17</w:t>
            </w:r>
          </w:p>
        </w:tc>
        <w:tc>
          <w:tcPr>
            <w:tcW w:w="999" w:type="dxa"/>
            <w:shd w:val="clear" w:color="auto" w:fill="auto"/>
          </w:tcPr>
          <w:p w14:paraId="040CC959" w14:textId="77777777" w:rsidR="00D1512E" w:rsidRPr="00D9348B" w:rsidRDefault="00D1512E" w:rsidP="00DB330E">
            <w:pPr>
              <w:pStyle w:val="TableText"/>
              <w:jc w:val="right"/>
              <w:rPr>
                <w:color w:val="000000"/>
              </w:rPr>
            </w:pPr>
            <w:r w:rsidRPr="00D9348B">
              <w:rPr>
                <w:color w:val="000000"/>
              </w:rPr>
              <w:t>3.62</w:t>
            </w:r>
          </w:p>
        </w:tc>
        <w:tc>
          <w:tcPr>
            <w:tcW w:w="1546" w:type="dxa"/>
            <w:shd w:val="clear" w:color="auto" w:fill="auto"/>
          </w:tcPr>
          <w:p w14:paraId="79951C5E" w14:textId="77777777" w:rsidR="00D1512E" w:rsidRPr="00D9348B" w:rsidRDefault="00D1512E" w:rsidP="00DB330E">
            <w:pPr>
              <w:pStyle w:val="TableText"/>
              <w:jc w:val="right"/>
              <w:rPr>
                <w:color w:val="000000"/>
              </w:rPr>
            </w:pPr>
            <w:r w:rsidRPr="00D9348B">
              <w:rPr>
                <w:color w:val="000000"/>
              </w:rPr>
              <w:t>0.45</w:t>
            </w:r>
          </w:p>
        </w:tc>
        <w:tc>
          <w:tcPr>
            <w:tcW w:w="1417" w:type="dxa"/>
            <w:shd w:val="clear" w:color="auto" w:fill="auto"/>
          </w:tcPr>
          <w:p w14:paraId="686E3576" w14:textId="77777777" w:rsidR="00D1512E" w:rsidRPr="00D9348B" w:rsidRDefault="00D1512E" w:rsidP="00DB330E">
            <w:pPr>
              <w:pStyle w:val="TableText"/>
              <w:jc w:val="right"/>
              <w:rPr>
                <w:color w:val="000000"/>
              </w:rPr>
            </w:pPr>
            <w:r w:rsidRPr="00D9348B">
              <w:rPr>
                <w:color w:val="000000"/>
              </w:rPr>
              <w:t>14.2</w:t>
            </w:r>
          </w:p>
        </w:tc>
      </w:tr>
      <w:tr w:rsidR="00D1512E" w:rsidRPr="00D9348B" w14:paraId="1501F62C" w14:textId="77777777" w:rsidTr="004662B3">
        <w:tc>
          <w:tcPr>
            <w:tcW w:w="3544" w:type="dxa"/>
            <w:shd w:val="clear" w:color="auto" w:fill="auto"/>
          </w:tcPr>
          <w:p w14:paraId="673CD236" w14:textId="77777777" w:rsidR="00D1512E" w:rsidRPr="00D9348B" w:rsidRDefault="00D1512E" w:rsidP="00DB330E">
            <w:pPr>
              <w:pStyle w:val="TableText"/>
              <w:rPr>
                <w:b/>
                <w:color w:val="365F91"/>
              </w:rPr>
            </w:pPr>
            <w:r w:rsidRPr="00D9348B">
              <w:rPr>
                <w:b/>
                <w:color w:val="365F91"/>
              </w:rPr>
              <w:t>Gross (excluding LULUCF)</w:t>
            </w:r>
          </w:p>
        </w:tc>
        <w:tc>
          <w:tcPr>
            <w:tcW w:w="999" w:type="dxa"/>
            <w:shd w:val="clear" w:color="auto" w:fill="auto"/>
          </w:tcPr>
          <w:p w14:paraId="23595E60" w14:textId="77777777" w:rsidR="00D1512E" w:rsidRPr="00D9348B" w:rsidRDefault="00D1512E" w:rsidP="00DB330E">
            <w:pPr>
              <w:pStyle w:val="TableText"/>
              <w:jc w:val="right"/>
              <w:rPr>
                <w:color w:val="000000"/>
              </w:rPr>
            </w:pPr>
            <w:r w:rsidRPr="00D9348B">
              <w:rPr>
                <w:b/>
                <w:color w:val="365F91"/>
              </w:rPr>
              <w:t>63,590.9</w:t>
            </w:r>
          </w:p>
        </w:tc>
        <w:tc>
          <w:tcPr>
            <w:tcW w:w="999" w:type="dxa"/>
            <w:shd w:val="clear" w:color="auto" w:fill="auto"/>
          </w:tcPr>
          <w:p w14:paraId="36864CE9" w14:textId="77777777" w:rsidR="00D1512E" w:rsidRPr="00D9348B" w:rsidRDefault="00D1512E" w:rsidP="00DB330E">
            <w:pPr>
              <w:pStyle w:val="TableText"/>
              <w:jc w:val="right"/>
              <w:rPr>
                <w:b/>
                <w:color w:val="365F91"/>
              </w:rPr>
            </w:pPr>
            <w:r w:rsidRPr="00D9348B">
              <w:rPr>
                <w:b/>
                <w:color w:val="365F91"/>
              </w:rPr>
              <w:t>78,862.3</w:t>
            </w:r>
          </w:p>
        </w:tc>
        <w:tc>
          <w:tcPr>
            <w:tcW w:w="1546" w:type="dxa"/>
            <w:shd w:val="clear" w:color="auto" w:fill="auto"/>
          </w:tcPr>
          <w:p w14:paraId="59415DC9" w14:textId="77777777" w:rsidR="00D1512E" w:rsidRPr="00D9348B" w:rsidRDefault="00D1512E" w:rsidP="00DB330E">
            <w:pPr>
              <w:pStyle w:val="TableText"/>
              <w:jc w:val="right"/>
              <w:rPr>
                <w:b/>
                <w:color w:val="365F91"/>
              </w:rPr>
            </w:pPr>
            <w:r w:rsidRPr="00D9348B">
              <w:rPr>
                <w:b/>
                <w:color w:val="365F91"/>
              </w:rPr>
              <w:t>15,271.4</w:t>
            </w:r>
          </w:p>
        </w:tc>
        <w:tc>
          <w:tcPr>
            <w:tcW w:w="1417" w:type="dxa"/>
            <w:shd w:val="clear" w:color="auto" w:fill="auto"/>
          </w:tcPr>
          <w:p w14:paraId="3BB7CB60" w14:textId="77777777" w:rsidR="00D1512E" w:rsidRPr="00D9348B" w:rsidRDefault="00D1512E" w:rsidP="00DB330E">
            <w:pPr>
              <w:pStyle w:val="TableText"/>
              <w:jc w:val="right"/>
              <w:rPr>
                <w:b/>
                <w:color w:val="365F91"/>
              </w:rPr>
            </w:pPr>
            <w:r w:rsidRPr="00D9348B">
              <w:rPr>
                <w:b/>
                <w:color w:val="365F91"/>
              </w:rPr>
              <w:t>24.0</w:t>
            </w:r>
          </w:p>
        </w:tc>
      </w:tr>
      <w:tr w:rsidR="00D1512E" w:rsidRPr="00D9348B" w14:paraId="5B9CC1AF" w14:textId="77777777" w:rsidTr="004662B3">
        <w:tc>
          <w:tcPr>
            <w:tcW w:w="3544" w:type="dxa"/>
            <w:shd w:val="clear" w:color="auto" w:fill="auto"/>
          </w:tcPr>
          <w:p w14:paraId="074DB6BA" w14:textId="77777777" w:rsidR="00D1512E" w:rsidRPr="00D9348B" w:rsidRDefault="00D1512E" w:rsidP="00DB330E">
            <w:pPr>
              <w:pStyle w:val="TableText"/>
              <w:rPr>
                <w:b/>
                <w:color w:val="000000"/>
              </w:rPr>
            </w:pPr>
            <w:r w:rsidRPr="00D9348B">
              <w:rPr>
                <w:b/>
                <w:color w:val="000000"/>
              </w:rPr>
              <w:t xml:space="preserve">LULUCF </w:t>
            </w:r>
          </w:p>
        </w:tc>
        <w:tc>
          <w:tcPr>
            <w:tcW w:w="999" w:type="dxa"/>
            <w:shd w:val="clear" w:color="auto" w:fill="auto"/>
          </w:tcPr>
          <w:p w14:paraId="4B67AEA6" w14:textId="77777777" w:rsidR="00D1512E" w:rsidRPr="00D9348B" w:rsidRDefault="00D1512E" w:rsidP="00DB330E">
            <w:pPr>
              <w:pStyle w:val="TableText"/>
              <w:jc w:val="right"/>
              <w:rPr>
                <w:color w:val="000000"/>
              </w:rPr>
            </w:pPr>
            <w:r w:rsidRPr="00D9348B">
              <w:rPr>
                <w:color w:val="000000"/>
              </w:rPr>
              <w:t>–28,297.0</w:t>
            </w:r>
          </w:p>
        </w:tc>
        <w:tc>
          <w:tcPr>
            <w:tcW w:w="999" w:type="dxa"/>
            <w:shd w:val="clear" w:color="auto" w:fill="auto"/>
          </w:tcPr>
          <w:p w14:paraId="63A3EF2B" w14:textId="77777777" w:rsidR="00D1512E" w:rsidRPr="00D9348B" w:rsidRDefault="00D1512E" w:rsidP="00DB330E">
            <w:pPr>
              <w:pStyle w:val="TableText"/>
              <w:jc w:val="right"/>
              <w:rPr>
                <w:color w:val="000000"/>
              </w:rPr>
            </w:pPr>
            <w:r w:rsidRPr="00D9348B">
              <w:rPr>
                <w:color w:val="000000"/>
              </w:rPr>
              <w:t>–23,394.1</w:t>
            </w:r>
          </w:p>
        </w:tc>
        <w:tc>
          <w:tcPr>
            <w:tcW w:w="1546" w:type="dxa"/>
            <w:shd w:val="clear" w:color="auto" w:fill="auto"/>
          </w:tcPr>
          <w:p w14:paraId="231B2ECC" w14:textId="77777777" w:rsidR="00D1512E" w:rsidRPr="00D9348B" w:rsidRDefault="00D1512E" w:rsidP="00DB330E">
            <w:pPr>
              <w:pStyle w:val="TableText"/>
              <w:jc w:val="right"/>
              <w:rPr>
                <w:color w:val="000000"/>
              </w:rPr>
            </w:pPr>
            <w:r w:rsidRPr="00D9348B">
              <w:rPr>
                <w:color w:val="000000"/>
              </w:rPr>
              <w:t>4,903.0</w:t>
            </w:r>
          </w:p>
        </w:tc>
        <w:tc>
          <w:tcPr>
            <w:tcW w:w="1417" w:type="dxa"/>
            <w:shd w:val="clear" w:color="auto" w:fill="auto"/>
          </w:tcPr>
          <w:p w14:paraId="64DF0A58" w14:textId="77777777" w:rsidR="00D1512E" w:rsidRPr="00D9348B" w:rsidRDefault="00D1512E" w:rsidP="00DB330E">
            <w:pPr>
              <w:pStyle w:val="TableText"/>
              <w:jc w:val="right"/>
              <w:rPr>
                <w:color w:val="000000"/>
              </w:rPr>
            </w:pPr>
            <w:r w:rsidRPr="00D9348B">
              <w:rPr>
                <w:color w:val="000000"/>
              </w:rPr>
              <w:t>17.3</w:t>
            </w:r>
          </w:p>
        </w:tc>
      </w:tr>
      <w:tr w:rsidR="00D1512E" w:rsidRPr="00D9348B" w14:paraId="03EE2C91" w14:textId="77777777" w:rsidTr="004662B3">
        <w:tc>
          <w:tcPr>
            <w:tcW w:w="3544" w:type="dxa"/>
            <w:shd w:val="clear" w:color="auto" w:fill="auto"/>
          </w:tcPr>
          <w:p w14:paraId="27BF501C" w14:textId="77777777" w:rsidR="00D1512E" w:rsidRPr="00D9348B" w:rsidRDefault="00D1512E" w:rsidP="00DB330E">
            <w:pPr>
              <w:pStyle w:val="TableText"/>
              <w:rPr>
                <w:b/>
                <w:color w:val="365F91"/>
              </w:rPr>
            </w:pPr>
            <w:r w:rsidRPr="00D9348B">
              <w:rPr>
                <w:b/>
                <w:color w:val="365F91"/>
              </w:rPr>
              <w:t>Net (including LULUCF)</w:t>
            </w:r>
          </w:p>
        </w:tc>
        <w:tc>
          <w:tcPr>
            <w:tcW w:w="999" w:type="dxa"/>
            <w:shd w:val="clear" w:color="auto" w:fill="auto"/>
          </w:tcPr>
          <w:p w14:paraId="71710D79" w14:textId="77777777" w:rsidR="00D1512E" w:rsidRPr="00D9348B" w:rsidRDefault="00D1512E" w:rsidP="00DB330E">
            <w:pPr>
              <w:pStyle w:val="TableText"/>
              <w:jc w:val="right"/>
              <w:rPr>
                <w:color w:val="000000"/>
              </w:rPr>
            </w:pPr>
            <w:r w:rsidRPr="00D9348B">
              <w:rPr>
                <w:b/>
                <w:color w:val="365F91"/>
              </w:rPr>
              <w:t>35,293.9</w:t>
            </w:r>
          </w:p>
        </w:tc>
        <w:tc>
          <w:tcPr>
            <w:tcW w:w="999" w:type="dxa"/>
            <w:shd w:val="clear" w:color="auto" w:fill="auto"/>
          </w:tcPr>
          <w:p w14:paraId="191EC9DB" w14:textId="77777777" w:rsidR="00D1512E" w:rsidRPr="00D9348B" w:rsidRDefault="00D1512E" w:rsidP="00DB330E">
            <w:pPr>
              <w:pStyle w:val="TableText"/>
              <w:jc w:val="right"/>
              <w:rPr>
                <w:b/>
                <w:color w:val="365F91"/>
              </w:rPr>
            </w:pPr>
            <w:r w:rsidRPr="00D9348B">
              <w:rPr>
                <w:b/>
                <w:color w:val="365F91"/>
              </w:rPr>
              <w:t>55,468.2</w:t>
            </w:r>
          </w:p>
        </w:tc>
        <w:tc>
          <w:tcPr>
            <w:tcW w:w="1546" w:type="dxa"/>
            <w:shd w:val="clear" w:color="auto" w:fill="auto"/>
          </w:tcPr>
          <w:p w14:paraId="4D328371" w14:textId="77777777" w:rsidR="00D1512E" w:rsidRPr="00D9348B" w:rsidRDefault="00D1512E" w:rsidP="00DB330E">
            <w:pPr>
              <w:pStyle w:val="TableText"/>
              <w:jc w:val="right"/>
              <w:rPr>
                <w:b/>
                <w:color w:val="365F91"/>
              </w:rPr>
            </w:pPr>
            <w:r w:rsidRPr="00D9348B">
              <w:rPr>
                <w:b/>
                <w:color w:val="365F91"/>
              </w:rPr>
              <w:t>20,174.3</w:t>
            </w:r>
          </w:p>
        </w:tc>
        <w:tc>
          <w:tcPr>
            <w:tcW w:w="1417" w:type="dxa"/>
            <w:shd w:val="clear" w:color="auto" w:fill="auto"/>
          </w:tcPr>
          <w:p w14:paraId="25E95853" w14:textId="77777777" w:rsidR="00D1512E" w:rsidRPr="00D9348B" w:rsidRDefault="00D1512E" w:rsidP="00DB330E">
            <w:pPr>
              <w:pStyle w:val="TableText"/>
              <w:jc w:val="right"/>
              <w:rPr>
                <w:b/>
                <w:color w:val="365F91"/>
              </w:rPr>
            </w:pPr>
            <w:r w:rsidRPr="00D9348B">
              <w:rPr>
                <w:b/>
                <w:color w:val="365F91"/>
              </w:rPr>
              <w:t>57.2</w:t>
            </w:r>
          </w:p>
        </w:tc>
      </w:tr>
    </w:tbl>
    <w:p w14:paraId="633063EE" w14:textId="77777777" w:rsidR="00D1512E" w:rsidRPr="00D9348B" w:rsidRDefault="00D1512E" w:rsidP="00D1512E">
      <w:pPr>
        <w:pStyle w:val="Noteundertable"/>
      </w:pPr>
      <w:r w:rsidRPr="00D9348B">
        <w:rPr>
          <w:b/>
        </w:rPr>
        <w:t>Note:</w:t>
      </w:r>
      <w:r w:rsidRPr="00D9348B">
        <w:t xml:space="preserve"> </w:t>
      </w:r>
      <w:r w:rsidRPr="00D9348B">
        <w:tab/>
        <w:t>Net emissions from the LULUCF sector are reported as a negative number because the sector removes more CO</w:t>
      </w:r>
      <w:r w:rsidRPr="00D9348B">
        <w:rPr>
          <w:vertAlign w:val="subscript"/>
        </w:rPr>
        <w:t>2</w:t>
      </w:r>
      <w:r w:rsidRPr="00D9348B">
        <w:t xml:space="preserve"> from the atmosphere than it emits (see chapter 6). Columns may not total due to rounding. Percentages presented are calculated from unrounded values. For Tokelau contributions, see chapter 2, table 2.1.1.</w:t>
      </w:r>
    </w:p>
    <w:p w14:paraId="52769693" w14:textId="77777777" w:rsidR="00D1512E" w:rsidRPr="00D9348B" w:rsidRDefault="00D1512E" w:rsidP="00D1512E">
      <w:pPr>
        <w:pStyle w:val="Figure"/>
      </w:pPr>
      <w:bookmarkStart w:id="80" w:name="_Toc444693966"/>
      <w:bookmarkStart w:id="81" w:name="_Toc447275651"/>
      <w:bookmarkStart w:id="82" w:name="_Toc511116915"/>
      <w:bookmarkStart w:id="83" w:name="_Toc5269648"/>
      <w:bookmarkStart w:id="84" w:name="_Toc36292751"/>
      <w:r w:rsidRPr="00D9348B">
        <w:lastRenderedPageBreak/>
        <w:t>Figure ES 4.3</w:t>
      </w:r>
      <w:r w:rsidRPr="00D9348B">
        <w:tab/>
        <w:t>Change in New Zealand’s emissions by sector, comparing 1990 and </w:t>
      </w:r>
      <w:bookmarkEnd w:id="80"/>
      <w:bookmarkEnd w:id="81"/>
      <w:bookmarkEnd w:id="82"/>
      <w:r w:rsidRPr="00D9348B">
        <w:t>2018</w:t>
      </w:r>
      <w:bookmarkEnd w:id="83"/>
      <w:bookmarkEnd w:id="84"/>
      <w:r w:rsidRPr="00D9348B">
        <w:t xml:space="preserve"> </w:t>
      </w:r>
    </w:p>
    <w:p w14:paraId="2A7B5B92" w14:textId="225DE438" w:rsidR="00D1512E" w:rsidRPr="00D9348B" w:rsidRDefault="007165CF" w:rsidP="00500181">
      <w:pPr>
        <w:spacing w:before="120"/>
      </w:pPr>
      <w:r>
        <w:pict w14:anchorId="05801BA1">
          <v:shape id="_x0000_i1031" type="#_x0000_t75" style="width:416.95pt;height:4in">
            <v:imagedata r:id="rId26" o:title="Figure 2"/>
          </v:shape>
        </w:pict>
      </w:r>
    </w:p>
    <w:p w14:paraId="5974C588" w14:textId="77777777" w:rsidR="00D1512E" w:rsidRPr="00D9348B" w:rsidRDefault="00D1512E" w:rsidP="00BC77DD">
      <w:pPr>
        <w:pStyle w:val="Heading3"/>
        <w:spacing w:before="240"/>
      </w:pPr>
      <w:r w:rsidRPr="00D9348B">
        <w:t xml:space="preserve">Sector-specific trends </w:t>
      </w:r>
    </w:p>
    <w:p w14:paraId="6FCAD5E9" w14:textId="46352003" w:rsidR="00D1512E" w:rsidRPr="00D9348B" w:rsidRDefault="00D1512E" w:rsidP="00BC77DD">
      <w:pPr>
        <w:pStyle w:val="Heading4"/>
        <w:spacing w:before="120"/>
      </w:pPr>
      <w:r w:rsidRPr="00D9348B">
        <w:t>Energy (chapter 3)</w:t>
      </w:r>
    </w:p>
    <w:p w14:paraId="537D2DE0" w14:textId="77777777" w:rsidR="00D1512E" w:rsidRPr="00D9348B" w:rsidRDefault="00D1512E" w:rsidP="00500181">
      <w:pPr>
        <w:pStyle w:val="Heading5"/>
        <w:spacing w:before="160"/>
      </w:pPr>
      <w:r w:rsidRPr="00D9348B">
        <w:t>2018</w:t>
      </w:r>
    </w:p>
    <w:p w14:paraId="0455C950" w14:textId="77777777" w:rsidR="00D1512E" w:rsidRPr="00D9348B" w:rsidRDefault="00D1512E" w:rsidP="00D1512E">
      <w:pPr>
        <w:pStyle w:val="BodyText"/>
      </w:pPr>
      <w:r w:rsidRPr="00D9348B">
        <w:t>In 2018, emissions from the Energy sector contributed 31,946.2</w:t>
      </w:r>
      <w:r w:rsidRPr="00D9348B">
        <w:rPr>
          <w:color w:val="000000"/>
        </w:rPr>
        <w:t xml:space="preserve"> </w:t>
      </w:r>
      <w:r w:rsidRPr="00D9348B">
        <w:t>kt CO</w:t>
      </w:r>
      <w:r w:rsidRPr="00D9348B">
        <w:rPr>
          <w:vertAlign w:val="subscript"/>
        </w:rPr>
        <w:t>2</w:t>
      </w:r>
      <w:r w:rsidRPr="00D9348B">
        <w:t xml:space="preserve">-e or 40.5 per cent of New Zealand’s gross GHG emissions (see figure ES 4.2). The largest sources of emissions in the Energy sector were the </w:t>
      </w:r>
      <w:r w:rsidRPr="00D9348B">
        <w:rPr>
          <w:i/>
        </w:rPr>
        <w:t xml:space="preserve">Road transportation </w:t>
      </w:r>
      <w:r w:rsidRPr="00D9348B">
        <w:t>category, contributing 15,070.9 kt CO</w:t>
      </w:r>
      <w:r w:rsidRPr="00D9348B">
        <w:rPr>
          <w:vertAlign w:val="subscript"/>
        </w:rPr>
        <w:t>2</w:t>
      </w:r>
      <w:r w:rsidRPr="00D9348B">
        <w:t xml:space="preserve">-e (47.2 per cent), and the </w:t>
      </w:r>
      <w:r w:rsidRPr="00D9348B">
        <w:rPr>
          <w:i/>
        </w:rPr>
        <w:t xml:space="preserve">Public electricity and heat production </w:t>
      </w:r>
      <w:r w:rsidRPr="00D9348B">
        <w:t>category, contributing 3,310.8 kt CO</w:t>
      </w:r>
      <w:r w:rsidRPr="00D9348B">
        <w:rPr>
          <w:vertAlign w:val="subscript"/>
        </w:rPr>
        <w:t>2</w:t>
      </w:r>
      <w:r w:rsidRPr="00D9348B">
        <w:t>-e (10.4 per cent) to energy emissions.</w:t>
      </w:r>
    </w:p>
    <w:p w14:paraId="6A18BADB" w14:textId="77777777" w:rsidR="00D1512E" w:rsidRPr="00D9348B" w:rsidRDefault="00D1512E" w:rsidP="00500181">
      <w:pPr>
        <w:pStyle w:val="Heading5"/>
        <w:spacing w:before="160"/>
      </w:pPr>
      <w:r w:rsidRPr="00D9348B">
        <w:t>1990–2018</w:t>
      </w:r>
    </w:p>
    <w:p w14:paraId="51C5579F" w14:textId="239E01CC" w:rsidR="00D1512E" w:rsidRPr="00D9348B" w:rsidRDefault="00D1512E" w:rsidP="00D1512E">
      <w:pPr>
        <w:pStyle w:val="BodyText"/>
      </w:pPr>
      <w:r w:rsidRPr="00D9348B">
        <w:t>In 2018, emissions from the Energy sector were 34.3 per cent higher (8,167.8 kt) than the 1990</w:t>
      </w:r>
      <w:r w:rsidR="00500181" w:rsidRPr="00D9348B">
        <w:t> </w:t>
      </w:r>
      <w:r w:rsidRPr="00D9348B">
        <w:t>level of 23,778.3 kt CO</w:t>
      </w:r>
      <w:r w:rsidRPr="00D9348B">
        <w:rPr>
          <w:vertAlign w:val="subscript"/>
        </w:rPr>
        <w:t>2</w:t>
      </w:r>
      <w:r w:rsidRPr="00D9348B">
        <w:t xml:space="preserve">-e. This growth in emissions is primarily from </w:t>
      </w:r>
      <w:r w:rsidRPr="00D9348B">
        <w:rPr>
          <w:i/>
        </w:rPr>
        <w:t>Road transportation</w:t>
      </w:r>
      <w:r w:rsidRPr="00D9348B">
        <w:t>, which increased by 7,595.6 kt CO</w:t>
      </w:r>
      <w:r w:rsidRPr="00D9348B">
        <w:rPr>
          <w:vertAlign w:val="subscript"/>
        </w:rPr>
        <w:t>2</w:t>
      </w:r>
      <w:r w:rsidRPr="00D9348B">
        <w:t xml:space="preserve">-e (101.6 per cent), </w:t>
      </w:r>
      <w:r w:rsidRPr="00D9348B">
        <w:rPr>
          <w:i/>
        </w:rPr>
        <w:t>Chemicals</w:t>
      </w:r>
      <w:r w:rsidRPr="00D9348B">
        <w:t>, which increased by 708.6</w:t>
      </w:r>
      <w:r w:rsidR="00500181" w:rsidRPr="00D9348B">
        <w:t> </w:t>
      </w:r>
      <w:r w:rsidRPr="00D9348B">
        <w:t>kt CO</w:t>
      </w:r>
      <w:r w:rsidRPr="00D9348B">
        <w:rPr>
          <w:vertAlign w:val="subscript"/>
        </w:rPr>
        <w:t>2</w:t>
      </w:r>
      <w:r w:rsidRPr="00D9348B">
        <w:t xml:space="preserve">-e (129.0 per cent), and </w:t>
      </w:r>
      <w:r w:rsidRPr="00D9348B">
        <w:rPr>
          <w:i/>
        </w:rPr>
        <w:t>Food processing, beverages and tobacco</w:t>
      </w:r>
      <w:r w:rsidRPr="00D9348B">
        <w:t>, which increased by 1,249.7 kt CO</w:t>
      </w:r>
      <w:r w:rsidRPr="00D9348B">
        <w:rPr>
          <w:vertAlign w:val="subscript"/>
        </w:rPr>
        <w:t>2</w:t>
      </w:r>
      <w:r w:rsidRPr="00D9348B">
        <w:t>-e (75.4 per cent).</w:t>
      </w:r>
    </w:p>
    <w:p w14:paraId="1ABF5677" w14:textId="77777777" w:rsidR="00D1512E" w:rsidRPr="00D9348B" w:rsidRDefault="00D1512E" w:rsidP="00D1512E">
      <w:pPr>
        <w:pStyle w:val="BodyText"/>
      </w:pPr>
      <w:r w:rsidRPr="00D9348B">
        <w:t xml:space="preserve">The main drivers for emission increases in the </w:t>
      </w:r>
      <w:r w:rsidRPr="00D9348B">
        <w:rPr>
          <w:i/>
        </w:rPr>
        <w:t>Road transportation</w:t>
      </w:r>
      <w:r w:rsidRPr="00D9348B">
        <w:t xml:space="preserve"> and </w:t>
      </w:r>
      <w:r w:rsidRPr="00D9348B">
        <w:rPr>
          <w:i/>
        </w:rPr>
        <w:t>Food processing, beverages and tobacco</w:t>
      </w:r>
      <w:r w:rsidRPr="00D9348B">
        <w:t xml:space="preserve"> categories are New Zealand’s population growth since 1990 (by 42 per cent) and continuing economic growth associated with the increasing demand for transporting people and goods as well as food production for domestic use and export. </w:t>
      </w:r>
    </w:p>
    <w:p w14:paraId="3964D5B1" w14:textId="77777777" w:rsidR="00D1512E" w:rsidRPr="00D9348B" w:rsidRDefault="00D1512E" w:rsidP="00D1512E">
      <w:pPr>
        <w:pStyle w:val="BodyText"/>
      </w:pPr>
      <w:r w:rsidRPr="00D9348B">
        <w:t xml:space="preserve">One of the main drivers for increasing emissions in the </w:t>
      </w:r>
      <w:r w:rsidRPr="00D9348B">
        <w:rPr>
          <w:i/>
        </w:rPr>
        <w:t>Chemicals</w:t>
      </w:r>
      <w:r w:rsidRPr="00D9348B">
        <w:t xml:space="preserve"> category is a significant increase in the production of methanol in New Zealand. This is due to the fast-growing export market for methanol because of its increasing use as a clean transport fuel by New Zealand’s trading partners. The other driver is an increased production of ammonia and urea due to the growing demand for fertilisers in New Zealand’s agriculture sector.</w:t>
      </w:r>
    </w:p>
    <w:p w14:paraId="6C66C58F" w14:textId="17A35503" w:rsidR="00D1512E" w:rsidRPr="00D9348B" w:rsidRDefault="00D1512E" w:rsidP="00D1512E">
      <w:pPr>
        <w:pStyle w:val="BodyText"/>
      </w:pPr>
      <w:r w:rsidRPr="00D9348B">
        <w:lastRenderedPageBreak/>
        <w:t xml:space="preserve">In 2018, emissions from 1.A.1.c </w:t>
      </w:r>
      <w:r w:rsidRPr="00D9348B">
        <w:rPr>
          <w:i/>
        </w:rPr>
        <w:t>Manufacture of solid fuels and other energy industries</w:t>
      </w:r>
      <w:r w:rsidRPr="00D9348B">
        <w:t xml:space="preserve"> were much lower than the 1990 level, by 1,464.1 kt CO</w:t>
      </w:r>
      <w:r w:rsidRPr="00D9348B">
        <w:rPr>
          <w:vertAlign w:val="subscript"/>
        </w:rPr>
        <w:t>2</w:t>
      </w:r>
      <w:r w:rsidRPr="00D9348B">
        <w:t>-e (85.0 per cent). This decrease is primarily due to the cessation of synthetic gasoline production in 1997. Figure ES 4.1 shows the energy emissions time series from 1990 to 2018. The trend shows emissions increasing up until 2008,</w:t>
      </w:r>
      <w:r w:rsidR="00500181" w:rsidRPr="00D9348B">
        <w:t> </w:t>
      </w:r>
      <w:r w:rsidRPr="00D9348B">
        <w:t>after which there is a general decline. The decline reflected a steady growth in energy production from renewable sources (mostly geothermal) as well as the sensitivity of the Energy sector to the effects of the 2007–08 global economic recession, earthquakes in 2011, 2013 and 2016, and the changes in rainfall levels from year to year, which affect the amount of</w:t>
      </w:r>
      <w:r w:rsidR="00500181" w:rsidRPr="00D9348B">
        <w:t> </w:t>
      </w:r>
      <w:r w:rsidRPr="00D9348B">
        <w:t>hydroelectricity produced (see section 2.2 in chapter 2 for further details).</w:t>
      </w:r>
    </w:p>
    <w:p w14:paraId="3DB5EC1F" w14:textId="77777777" w:rsidR="00D1512E" w:rsidRPr="00D9348B" w:rsidRDefault="00D1512E" w:rsidP="00500181">
      <w:pPr>
        <w:pStyle w:val="Heading5"/>
        <w:spacing w:before="200"/>
      </w:pPr>
      <w:r w:rsidRPr="00D9348B">
        <w:t>2017</w:t>
      </w:r>
      <w:r w:rsidRPr="00D9348B">
        <w:rPr>
          <w:lang w:eastAsia="en-GB"/>
        </w:rPr>
        <w:t>–</w:t>
      </w:r>
      <w:r w:rsidRPr="00D9348B">
        <w:t>2018</w:t>
      </w:r>
    </w:p>
    <w:p w14:paraId="07302DC4" w14:textId="71E27EFA" w:rsidR="00D1512E" w:rsidRPr="00D9348B" w:rsidRDefault="00D1512E" w:rsidP="00D1512E">
      <w:pPr>
        <w:pStyle w:val="BodyText"/>
        <w:rPr>
          <w:lang w:eastAsia="en-GB"/>
        </w:rPr>
      </w:pPr>
      <w:r w:rsidRPr="00D9348B">
        <w:rPr>
          <w:lang w:eastAsia="en-GB"/>
        </w:rPr>
        <w:t xml:space="preserve">Between </w:t>
      </w:r>
      <w:r w:rsidRPr="00D9348B">
        <w:t xml:space="preserve">2017 </w:t>
      </w:r>
      <w:r w:rsidRPr="00D9348B">
        <w:rPr>
          <w:lang w:eastAsia="en-GB"/>
        </w:rPr>
        <w:t xml:space="preserve">and </w:t>
      </w:r>
      <w:r w:rsidRPr="00D9348B">
        <w:t>2018</w:t>
      </w:r>
      <w:r w:rsidRPr="00D9348B">
        <w:rPr>
          <w:lang w:eastAsia="en-GB"/>
        </w:rPr>
        <w:t>, emissions from the Energy sector decreased by</w:t>
      </w:r>
      <w:r w:rsidRPr="00D9348B">
        <w:t xml:space="preserve"> 1,058.4 </w:t>
      </w:r>
      <w:r w:rsidRPr="00D9348B">
        <w:rPr>
          <w:lang w:eastAsia="en-GB"/>
        </w:rPr>
        <w:t>kt CO</w:t>
      </w:r>
      <w:r w:rsidRPr="00D9348B">
        <w:rPr>
          <w:vertAlign w:val="subscript"/>
          <w:lang w:eastAsia="en-GB"/>
        </w:rPr>
        <w:t>2</w:t>
      </w:r>
      <w:r w:rsidRPr="00D9348B">
        <w:rPr>
          <w:lang w:eastAsia="en-GB"/>
        </w:rPr>
        <w:t>-e (</w:t>
      </w:r>
      <w:r w:rsidRPr="00D9348B">
        <w:t>3.2</w:t>
      </w:r>
      <w:r w:rsidR="00500181" w:rsidRPr="00D9348B">
        <w:t> </w:t>
      </w:r>
      <w:r w:rsidRPr="00D9348B">
        <w:t>per cent</w:t>
      </w:r>
      <w:r w:rsidRPr="00D9348B">
        <w:rPr>
          <w:lang w:eastAsia="en-GB"/>
        </w:rPr>
        <w:t xml:space="preserve">). This is primarily due to a </w:t>
      </w:r>
      <w:r w:rsidRPr="00D9348B">
        <w:t xml:space="preserve">472.6 </w:t>
      </w:r>
      <w:r w:rsidRPr="00D9348B">
        <w:rPr>
          <w:lang w:eastAsia="en-GB"/>
        </w:rPr>
        <w:t>kt CO</w:t>
      </w:r>
      <w:r w:rsidRPr="00D9348B">
        <w:rPr>
          <w:vertAlign w:val="subscript"/>
          <w:lang w:eastAsia="en-GB"/>
        </w:rPr>
        <w:t>2</w:t>
      </w:r>
      <w:r w:rsidRPr="00D9348B">
        <w:rPr>
          <w:lang w:eastAsia="en-GB"/>
        </w:rPr>
        <w:t>-e (</w:t>
      </w:r>
      <w:r w:rsidRPr="00D9348B">
        <w:t>27.3 per cent</w:t>
      </w:r>
      <w:r w:rsidRPr="00D9348B">
        <w:rPr>
          <w:lang w:eastAsia="en-GB"/>
        </w:rPr>
        <w:t xml:space="preserve">) decrease in emissions from category 1.A.2.c </w:t>
      </w:r>
      <w:r w:rsidRPr="00D9348B">
        <w:rPr>
          <w:i/>
          <w:lang w:eastAsia="en-GB"/>
        </w:rPr>
        <w:t>Chemicals</w:t>
      </w:r>
      <w:r w:rsidRPr="00D9348B">
        <w:rPr>
          <w:lang w:eastAsia="en-GB"/>
        </w:rPr>
        <w:t xml:space="preserve">. The decrease was partially offset by an increase from category </w:t>
      </w:r>
      <w:r w:rsidRPr="00D9348B">
        <w:rPr>
          <w:rFonts w:cs="Arial"/>
          <w:lang w:eastAsia="en-GB"/>
        </w:rPr>
        <w:t xml:space="preserve">1.A.3.b </w:t>
      </w:r>
      <w:r w:rsidRPr="00D9348B">
        <w:rPr>
          <w:rFonts w:cs="Arial"/>
          <w:i/>
          <w:lang w:eastAsia="en-GB"/>
        </w:rPr>
        <w:t>Road transport</w:t>
      </w:r>
      <w:r w:rsidRPr="00D9348B">
        <w:rPr>
          <w:lang w:eastAsia="en-GB"/>
        </w:rPr>
        <w:t xml:space="preserve">, which </w:t>
      </w:r>
      <w:r w:rsidRPr="00D9348B">
        <w:t>increased by 295.2 kt</w:t>
      </w:r>
      <w:r w:rsidRPr="00D9348B">
        <w:rPr>
          <w:lang w:eastAsia="en-GB"/>
        </w:rPr>
        <w:t xml:space="preserve"> CO</w:t>
      </w:r>
      <w:r w:rsidRPr="00D9348B">
        <w:rPr>
          <w:vertAlign w:val="subscript"/>
          <w:lang w:eastAsia="en-GB"/>
        </w:rPr>
        <w:t>2</w:t>
      </w:r>
      <w:r w:rsidRPr="00D9348B">
        <w:rPr>
          <w:lang w:eastAsia="en-GB"/>
        </w:rPr>
        <w:t>-e (</w:t>
      </w:r>
      <w:r w:rsidRPr="00D9348B">
        <w:t>2.0 per cent</w:t>
      </w:r>
      <w:r w:rsidRPr="00D9348B">
        <w:rPr>
          <w:lang w:eastAsia="en-GB"/>
        </w:rPr>
        <w:t>).</w:t>
      </w:r>
    </w:p>
    <w:p w14:paraId="5E587D23" w14:textId="1A0B0D6B" w:rsidR="00D1512E" w:rsidRPr="00D9348B" w:rsidRDefault="00D1512E" w:rsidP="00D1512E">
      <w:pPr>
        <w:pStyle w:val="BodyText"/>
        <w:rPr>
          <w:i/>
        </w:rPr>
      </w:pPr>
      <w:r w:rsidRPr="00D9348B">
        <w:rPr>
          <w:lang w:eastAsia="en-GB"/>
        </w:rPr>
        <w:t>There was also a 305.4</w:t>
      </w:r>
      <w:r w:rsidRPr="00D9348B">
        <w:t xml:space="preserve"> </w:t>
      </w:r>
      <w:r w:rsidRPr="00D9348B">
        <w:rPr>
          <w:lang w:eastAsia="en-GB"/>
        </w:rPr>
        <w:t>kt CO</w:t>
      </w:r>
      <w:r w:rsidRPr="00D9348B">
        <w:rPr>
          <w:szCs w:val="14"/>
          <w:vertAlign w:val="subscript"/>
          <w:lang w:eastAsia="en-GB"/>
        </w:rPr>
        <w:t>2</w:t>
      </w:r>
      <w:r w:rsidRPr="00D9348B">
        <w:rPr>
          <w:lang w:eastAsia="en-GB"/>
        </w:rPr>
        <w:t>-e (</w:t>
      </w:r>
      <w:r w:rsidRPr="00D9348B">
        <w:t>8.4 per cent</w:t>
      </w:r>
      <w:r w:rsidRPr="00D9348B">
        <w:rPr>
          <w:lang w:eastAsia="en-GB"/>
        </w:rPr>
        <w:t xml:space="preserve">) decrease in emissions for category 1.A.1.a </w:t>
      </w:r>
      <w:r w:rsidRPr="00D9348B">
        <w:rPr>
          <w:i/>
          <w:lang w:eastAsia="en-GB"/>
        </w:rPr>
        <w:t>Public</w:t>
      </w:r>
      <w:r w:rsidR="00500181" w:rsidRPr="00D9348B">
        <w:rPr>
          <w:i/>
          <w:lang w:eastAsia="en-GB"/>
        </w:rPr>
        <w:t> </w:t>
      </w:r>
      <w:r w:rsidRPr="00D9348B">
        <w:rPr>
          <w:i/>
          <w:lang w:eastAsia="en-GB"/>
        </w:rPr>
        <w:t>electricity and heat production</w:t>
      </w:r>
      <w:r w:rsidRPr="00D9348B">
        <w:rPr>
          <w:lang w:eastAsia="en-GB"/>
        </w:rPr>
        <w:t>. This was primarily due to a decrease in natural gas-fired generation in response to higher levels of hydro generation</w:t>
      </w:r>
      <w:r w:rsidRPr="00D9348B">
        <w:rPr>
          <w:i/>
        </w:rPr>
        <w:t>.</w:t>
      </w:r>
    </w:p>
    <w:p w14:paraId="03C585C1" w14:textId="77777777" w:rsidR="00D1512E" w:rsidRPr="00D9348B" w:rsidRDefault="00D1512E" w:rsidP="00865BDB">
      <w:pPr>
        <w:pStyle w:val="Heading4"/>
      </w:pPr>
      <w:r w:rsidRPr="00D9348B">
        <w:t>IPPU (chapter 4)</w:t>
      </w:r>
    </w:p>
    <w:p w14:paraId="4BA8EF04" w14:textId="77777777" w:rsidR="00D1512E" w:rsidRPr="00D9348B" w:rsidRDefault="00D1512E" w:rsidP="00D1512E">
      <w:pPr>
        <w:pStyle w:val="Heading5"/>
        <w:spacing w:before="120"/>
      </w:pPr>
      <w:r w:rsidRPr="00D9348B">
        <w:t>2018</w:t>
      </w:r>
    </w:p>
    <w:p w14:paraId="2AE6453F" w14:textId="076DC0DC" w:rsidR="00D1512E" w:rsidRPr="00D9348B" w:rsidRDefault="00D1512E" w:rsidP="00D1512E">
      <w:pPr>
        <w:pStyle w:val="BodyText"/>
      </w:pPr>
      <w:r w:rsidRPr="00D9348B">
        <w:t>In 2018, emissions from the IPPU sector contributed 5,158.1 kt CO</w:t>
      </w:r>
      <w:r w:rsidRPr="00D9348B">
        <w:rPr>
          <w:vertAlign w:val="subscript"/>
        </w:rPr>
        <w:t>2</w:t>
      </w:r>
      <w:r w:rsidRPr="00D9348B">
        <w:t>-e or 6.5 per cent of New</w:t>
      </w:r>
      <w:r w:rsidR="00500181" w:rsidRPr="00D9348B">
        <w:t> </w:t>
      </w:r>
      <w:r w:rsidRPr="00D9348B">
        <w:t xml:space="preserve">Zealand’s gross GHG emissions (see figure ES 4.2). </w:t>
      </w:r>
    </w:p>
    <w:p w14:paraId="5EFB3EBA" w14:textId="0716E507" w:rsidR="00D1512E" w:rsidRPr="00D9348B" w:rsidRDefault="00D1512E" w:rsidP="00D1512E">
      <w:pPr>
        <w:pStyle w:val="BodyText"/>
      </w:pPr>
      <w:r w:rsidRPr="00D9348B">
        <w:t xml:space="preserve">The largest source of emissions is the </w:t>
      </w:r>
      <w:r w:rsidRPr="00D9348B">
        <w:rPr>
          <w:i/>
        </w:rPr>
        <w:t xml:space="preserve">Metal industry </w:t>
      </w:r>
      <w:r w:rsidRPr="00D9348B">
        <w:t>category, where substantial CO</w:t>
      </w:r>
      <w:r w:rsidRPr="00D9348B">
        <w:rPr>
          <w:vertAlign w:val="subscript"/>
        </w:rPr>
        <w:t>2</w:t>
      </w:r>
      <w:r w:rsidRPr="00D9348B">
        <w:t xml:space="preserve"> emissions come from the </w:t>
      </w:r>
      <w:r w:rsidRPr="00D9348B">
        <w:rPr>
          <w:i/>
        </w:rPr>
        <w:t>Iron and steel production</w:t>
      </w:r>
      <w:r w:rsidRPr="00D9348B">
        <w:t xml:space="preserve"> and </w:t>
      </w:r>
      <w:r w:rsidRPr="00D9348B">
        <w:rPr>
          <w:i/>
        </w:rPr>
        <w:t xml:space="preserve">Aluminium production </w:t>
      </w:r>
      <w:r w:rsidRPr="00D9348B">
        <w:t>categories</w:t>
      </w:r>
      <w:r w:rsidRPr="00D9348B">
        <w:rPr>
          <w:i/>
        </w:rPr>
        <w:t xml:space="preserve">. </w:t>
      </w:r>
      <w:r w:rsidRPr="00D9348B">
        <w:t>The</w:t>
      </w:r>
      <w:r w:rsidR="00500181" w:rsidRPr="00D9348B">
        <w:t> </w:t>
      </w:r>
      <w:r w:rsidRPr="00D9348B">
        <w:rPr>
          <w:i/>
        </w:rPr>
        <w:t xml:space="preserve">Mineral industry </w:t>
      </w:r>
      <w:r w:rsidRPr="00D9348B">
        <w:t xml:space="preserve">and </w:t>
      </w:r>
      <w:r w:rsidRPr="00D9348B">
        <w:rPr>
          <w:i/>
        </w:rPr>
        <w:t>Chemical industry</w:t>
      </w:r>
      <w:r w:rsidRPr="00D9348B">
        <w:t xml:space="preserve"> categories also contribute significant CO</w:t>
      </w:r>
      <w:r w:rsidRPr="00D9348B">
        <w:rPr>
          <w:vertAlign w:val="subscript"/>
        </w:rPr>
        <w:t>2</w:t>
      </w:r>
      <w:r w:rsidRPr="00D9348B">
        <w:t xml:space="preserve"> emissions, and most of the non-CO</w:t>
      </w:r>
      <w:r w:rsidRPr="00D9348B">
        <w:rPr>
          <w:vertAlign w:val="subscript"/>
        </w:rPr>
        <w:t>2</w:t>
      </w:r>
      <w:r w:rsidRPr="00D9348B">
        <w:t xml:space="preserve"> emissions come from </w:t>
      </w:r>
      <w:r w:rsidRPr="00D9348B">
        <w:rPr>
          <w:i/>
        </w:rPr>
        <w:t>Product uses as substitutes for ODS</w:t>
      </w:r>
      <w:r w:rsidRPr="00D9348B">
        <w:t>.</w:t>
      </w:r>
      <w:r w:rsidR="00BC77DD" w:rsidRPr="00D9348B">
        <w:t> </w:t>
      </w:r>
      <w:r w:rsidRPr="00D9348B">
        <w:t xml:space="preserve">Coal and natural gas are also used on a significant scale for energy in these industries, and related emissions are reported under the Energy sector in the category </w:t>
      </w:r>
      <w:r w:rsidRPr="00D9348B">
        <w:rPr>
          <w:i/>
        </w:rPr>
        <w:t>Manufacturing industries and construction</w:t>
      </w:r>
      <w:r w:rsidRPr="00D9348B">
        <w:t xml:space="preserve">. </w:t>
      </w:r>
    </w:p>
    <w:p w14:paraId="67A2524A" w14:textId="77777777" w:rsidR="00D1512E" w:rsidRPr="00D9348B" w:rsidRDefault="00D1512E" w:rsidP="00500181">
      <w:pPr>
        <w:pStyle w:val="Heading5"/>
        <w:spacing w:before="200"/>
      </w:pPr>
      <w:r w:rsidRPr="00D9348B">
        <w:t>1990–2018</w:t>
      </w:r>
    </w:p>
    <w:p w14:paraId="593BD03A" w14:textId="77777777" w:rsidR="00D1512E" w:rsidRPr="00D9348B" w:rsidRDefault="00D1512E" w:rsidP="00D1512E">
      <w:pPr>
        <w:pStyle w:val="BodyText"/>
      </w:pPr>
      <w:r w:rsidRPr="00D9348B">
        <w:t>IPPU sector emissions in 2018 were 1,578.3 kt CO</w:t>
      </w:r>
      <w:r w:rsidRPr="00D9348B">
        <w:rPr>
          <w:vertAlign w:val="subscript"/>
        </w:rPr>
        <w:t>2</w:t>
      </w:r>
      <w:r w:rsidRPr="00D9348B">
        <w:t>-e (44.1 per cent) higher than emissions in 1990 (3,579.9 kt CO</w:t>
      </w:r>
      <w:r w:rsidRPr="00D9348B">
        <w:rPr>
          <w:vertAlign w:val="subscript"/>
        </w:rPr>
        <w:t>2</w:t>
      </w:r>
      <w:r w:rsidRPr="00D9348B">
        <w:t xml:space="preserve">-e). This was mainly driven by an increase in emissions from the </w:t>
      </w:r>
      <w:r w:rsidRPr="00D9348B">
        <w:rPr>
          <w:i/>
        </w:rPr>
        <w:t>Product uses as substitutes for ODS</w:t>
      </w:r>
      <w:r w:rsidRPr="00D9348B">
        <w:t xml:space="preserve"> category due to the introduction of HFCs to replace ozone-depleting substances in refrigeration and air conditioning and to increased use of household and commercial air conditioning. Carbon dioxide emissions have also increased, due to the growth in production of metals, lime and cement, but at a slower rate. There has been a substantial reduction in emissions of PFCs, due to improved management of anode effects in </w:t>
      </w:r>
      <w:r w:rsidRPr="00D9348B">
        <w:rPr>
          <w:i/>
        </w:rPr>
        <w:t>Aluminium production</w:t>
      </w:r>
      <w:r w:rsidRPr="00D9348B">
        <w:t>, and some reduction in emissions of N</w:t>
      </w:r>
      <w:r w:rsidRPr="00D9348B">
        <w:rPr>
          <w:vertAlign w:val="subscript"/>
        </w:rPr>
        <w:t>2</w:t>
      </w:r>
      <w:r w:rsidRPr="00D9348B">
        <w:t xml:space="preserve">O used for medical applications in </w:t>
      </w:r>
      <w:proofErr w:type="gramStart"/>
      <w:r w:rsidRPr="00D9348B">
        <w:rPr>
          <w:i/>
        </w:rPr>
        <w:t>Other</w:t>
      </w:r>
      <w:proofErr w:type="gramEnd"/>
      <w:r w:rsidRPr="00D9348B">
        <w:rPr>
          <w:i/>
        </w:rPr>
        <w:t xml:space="preserve"> product manufacture and use</w:t>
      </w:r>
      <w:r w:rsidRPr="00D9348B">
        <w:t xml:space="preserve">. </w:t>
      </w:r>
    </w:p>
    <w:p w14:paraId="66B017C3" w14:textId="77777777" w:rsidR="00D1512E" w:rsidRPr="00D9348B" w:rsidRDefault="00D1512E" w:rsidP="00500181">
      <w:pPr>
        <w:pStyle w:val="Heading5"/>
        <w:spacing w:before="200"/>
      </w:pPr>
      <w:r w:rsidRPr="00D9348B">
        <w:t>2017–2018</w:t>
      </w:r>
    </w:p>
    <w:p w14:paraId="0C8C73C0" w14:textId="77777777" w:rsidR="00D1512E" w:rsidRPr="00D9348B" w:rsidRDefault="00D1512E" w:rsidP="00D1512E">
      <w:pPr>
        <w:pStyle w:val="BodyText"/>
        <w:rPr>
          <w:spacing w:val="-2"/>
        </w:rPr>
      </w:pPr>
      <w:r w:rsidRPr="00D9348B">
        <w:t>IPPU sector emissions in 2018 were 36.8 kt CO</w:t>
      </w:r>
      <w:r w:rsidRPr="00D9348B">
        <w:rPr>
          <w:vertAlign w:val="subscript"/>
        </w:rPr>
        <w:t>2</w:t>
      </w:r>
      <w:r w:rsidRPr="00D9348B">
        <w:t xml:space="preserve">-e (0.7 per cent) higher than emissions in 2017. </w:t>
      </w:r>
      <w:r w:rsidRPr="00D9348B">
        <w:rPr>
          <w:spacing w:val="-2"/>
        </w:rPr>
        <w:t xml:space="preserve">This change was </w:t>
      </w:r>
      <w:r w:rsidRPr="00D9348B">
        <w:t xml:space="preserve">the net result of an increase in emissions from the </w:t>
      </w:r>
      <w:r w:rsidRPr="00D9348B">
        <w:rPr>
          <w:i/>
        </w:rPr>
        <w:t>Product uses as substitutes for ODS</w:t>
      </w:r>
      <w:r w:rsidRPr="00D9348B" w:rsidDel="00AC41FF">
        <w:rPr>
          <w:i/>
        </w:rPr>
        <w:t xml:space="preserve"> </w:t>
      </w:r>
      <w:r w:rsidRPr="00D9348B">
        <w:t>category (157.5 kt CO</w:t>
      </w:r>
      <w:r w:rsidRPr="00D9348B">
        <w:rPr>
          <w:vertAlign w:val="subscript"/>
        </w:rPr>
        <w:t>2</w:t>
      </w:r>
      <w:r w:rsidRPr="00D9348B">
        <w:t>-e or 9.5 per cent) offset by small decreases in all other significant categories driven by varying production rates</w:t>
      </w:r>
      <w:r w:rsidRPr="00D9348B">
        <w:rPr>
          <w:spacing w:val="-2"/>
        </w:rPr>
        <w:t xml:space="preserve">. </w:t>
      </w:r>
    </w:p>
    <w:p w14:paraId="03415369" w14:textId="77777777" w:rsidR="00D1512E" w:rsidRPr="00D9348B" w:rsidRDefault="00D1512E" w:rsidP="00865BDB">
      <w:pPr>
        <w:pStyle w:val="Heading4"/>
      </w:pPr>
      <w:r w:rsidRPr="00D9348B">
        <w:lastRenderedPageBreak/>
        <w:t>Agriculture (chapter 5)</w:t>
      </w:r>
    </w:p>
    <w:p w14:paraId="7C29A1A2" w14:textId="77777777" w:rsidR="00D1512E" w:rsidRPr="00D9348B" w:rsidRDefault="00D1512E" w:rsidP="00D1512E">
      <w:pPr>
        <w:pStyle w:val="Heading5"/>
        <w:spacing w:before="120"/>
      </w:pPr>
      <w:r w:rsidRPr="00D9348B">
        <w:t>2018</w:t>
      </w:r>
    </w:p>
    <w:p w14:paraId="642AB06C" w14:textId="77777777" w:rsidR="00D1512E" w:rsidRPr="00D9348B" w:rsidRDefault="00D1512E" w:rsidP="00FD4854">
      <w:pPr>
        <w:pStyle w:val="BodyText"/>
        <w:spacing w:before="100"/>
      </w:pPr>
      <w:r w:rsidRPr="00D9348B">
        <w:t>In 2018, the Agriculture sector contributed 37,696.96 kt CO</w:t>
      </w:r>
      <w:r w:rsidRPr="00D9348B">
        <w:rPr>
          <w:vertAlign w:val="subscript"/>
        </w:rPr>
        <w:t>2</w:t>
      </w:r>
      <w:r w:rsidRPr="00D9348B">
        <w:t xml:space="preserve">-e (47.8 per cent) of New Zealand’s gross emissions (see figure ES 4.2). </w:t>
      </w:r>
    </w:p>
    <w:p w14:paraId="54BF17A5" w14:textId="4501E1F5" w:rsidR="00D1512E" w:rsidRPr="00D9348B" w:rsidRDefault="00D1512E" w:rsidP="00FD4854">
      <w:pPr>
        <w:pStyle w:val="BodyText"/>
        <w:spacing w:before="100"/>
      </w:pPr>
      <w:r w:rsidRPr="00D9348B">
        <w:t>The largest source of emissions within the Agriculture sector in 2018 was CH</w:t>
      </w:r>
      <w:r w:rsidRPr="00D9348B">
        <w:rPr>
          <w:vertAlign w:val="subscript"/>
        </w:rPr>
        <w:t>4</w:t>
      </w:r>
      <w:r w:rsidRPr="00D9348B">
        <w:t xml:space="preserve"> emissions from </w:t>
      </w:r>
      <w:proofErr w:type="gramStart"/>
      <w:r w:rsidRPr="00D9348B">
        <w:rPr>
          <w:i/>
          <w:iCs/>
        </w:rPr>
        <w:t>Enteric</w:t>
      </w:r>
      <w:proofErr w:type="gramEnd"/>
      <w:r w:rsidRPr="00D9348B">
        <w:rPr>
          <w:i/>
          <w:iCs/>
        </w:rPr>
        <w:t xml:space="preserve"> fermentation</w:t>
      </w:r>
      <w:r w:rsidRPr="00D9348B">
        <w:t>, a process that produces CH</w:t>
      </w:r>
      <w:r w:rsidRPr="00D9348B">
        <w:rPr>
          <w:vertAlign w:val="subscript"/>
        </w:rPr>
        <w:t>4</w:t>
      </w:r>
      <w:r w:rsidRPr="00D9348B">
        <w:t xml:space="preserve"> from livestock digestive systems. The remainder of the emissions from the Agriculture sector are N</w:t>
      </w:r>
      <w:r w:rsidRPr="00D9348B">
        <w:rPr>
          <w:vertAlign w:val="subscript"/>
        </w:rPr>
        <w:t>2</w:t>
      </w:r>
      <w:r w:rsidRPr="00D9348B">
        <w:t xml:space="preserve">O emissions from </w:t>
      </w:r>
      <w:r w:rsidRPr="00D9348B">
        <w:rPr>
          <w:i/>
          <w:iCs/>
        </w:rPr>
        <w:t>Agricultural soils</w:t>
      </w:r>
      <w:r w:rsidRPr="00D9348B">
        <w:t xml:space="preserve"> (which come from adding nitrogen to the soil, e.g., through livestock manure and nitrogen fertiliser), CH</w:t>
      </w:r>
      <w:r w:rsidRPr="00D9348B">
        <w:rPr>
          <w:vertAlign w:val="subscript"/>
        </w:rPr>
        <w:t>4</w:t>
      </w:r>
      <w:r w:rsidRPr="00D9348B">
        <w:t xml:space="preserve"> and N</w:t>
      </w:r>
      <w:r w:rsidRPr="00D9348B">
        <w:rPr>
          <w:vertAlign w:val="subscript"/>
        </w:rPr>
        <w:t>2</w:t>
      </w:r>
      <w:r w:rsidRPr="00D9348B">
        <w:t xml:space="preserve">O emissions from </w:t>
      </w:r>
      <w:r w:rsidRPr="00D9348B">
        <w:rPr>
          <w:i/>
        </w:rPr>
        <w:t>Manure management</w:t>
      </w:r>
      <w:r w:rsidRPr="00D9348B">
        <w:rPr>
          <w:iCs/>
        </w:rPr>
        <w:t>,</w:t>
      </w:r>
      <w:r w:rsidRPr="00D9348B">
        <w:t xml:space="preserve"> and smaller amounts of CO</w:t>
      </w:r>
      <w:r w:rsidRPr="00D9348B">
        <w:rPr>
          <w:vertAlign w:val="subscript"/>
        </w:rPr>
        <w:t>2</w:t>
      </w:r>
      <w:r w:rsidRPr="00D9348B">
        <w:t xml:space="preserve"> from the use of urea and lime. </w:t>
      </w:r>
      <w:r w:rsidRPr="00D9348B">
        <w:rPr>
          <w:i/>
        </w:rPr>
        <w:t>Enteric fermentation</w:t>
      </w:r>
      <w:r w:rsidRPr="00D9348B">
        <w:t xml:space="preserve"> is responsible for 74.1 per cent of the total emissions from the sector, </w:t>
      </w:r>
      <w:r w:rsidRPr="00D9348B">
        <w:rPr>
          <w:i/>
        </w:rPr>
        <w:t xml:space="preserve">Agricultural soils </w:t>
      </w:r>
      <w:r w:rsidRPr="00D9348B">
        <w:t xml:space="preserve">18.6 per cent, and the remaining 7.3 per cent of emissions come from </w:t>
      </w:r>
      <w:r w:rsidRPr="00D9348B">
        <w:rPr>
          <w:i/>
        </w:rPr>
        <w:t>Manure management</w:t>
      </w:r>
      <w:r w:rsidRPr="00D9348B">
        <w:t xml:space="preserve">, </w:t>
      </w:r>
      <w:r w:rsidRPr="00D9348B">
        <w:rPr>
          <w:i/>
        </w:rPr>
        <w:t>Field burning of agricultural residues</w:t>
      </w:r>
      <w:r w:rsidRPr="00D9348B">
        <w:t xml:space="preserve">, </w:t>
      </w:r>
      <w:r w:rsidRPr="00D9348B">
        <w:rPr>
          <w:i/>
        </w:rPr>
        <w:t>Liming</w:t>
      </w:r>
      <w:r w:rsidRPr="00D9348B">
        <w:t xml:space="preserve"> and</w:t>
      </w:r>
      <w:r w:rsidR="00984460" w:rsidRPr="00D9348B">
        <w:t> </w:t>
      </w:r>
      <w:r w:rsidRPr="00D9348B">
        <w:rPr>
          <w:i/>
        </w:rPr>
        <w:t>Urea application</w:t>
      </w:r>
      <w:r w:rsidRPr="00D9348B">
        <w:t xml:space="preserve">. </w:t>
      </w:r>
    </w:p>
    <w:p w14:paraId="41FAEACF" w14:textId="77777777" w:rsidR="00D1512E" w:rsidRPr="00D9348B" w:rsidRDefault="00D1512E" w:rsidP="00FD4854">
      <w:pPr>
        <w:pStyle w:val="Heading5"/>
        <w:spacing w:before="160"/>
      </w:pPr>
      <w:r w:rsidRPr="00D9348B">
        <w:t xml:space="preserve">1990–2018 </w:t>
      </w:r>
    </w:p>
    <w:p w14:paraId="520EE72E" w14:textId="77777777" w:rsidR="00D1512E" w:rsidRPr="00D9348B" w:rsidRDefault="00D1512E" w:rsidP="00FD4854">
      <w:pPr>
        <w:pStyle w:val="BodyText"/>
        <w:spacing w:before="100"/>
      </w:pPr>
      <w:r w:rsidRPr="00D9348B">
        <w:t>In 2018, New Zealand’s Agriculture sector emissions were 17.1 per cent (5,515.0 kt CO</w:t>
      </w:r>
      <w:r w:rsidRPr="00D9348B">
        <w:rPr>
          <w:vertAlign w:val="subscript"/>
        </w:rPr>
        <w:t>2</w:t>
      </w:r>
      <w:r w:rsidRPr="00D9348B">
        <w:t>-e) above the 1990 level (32,181.96 kt CO</w:t>
      </w:r>
      <w:r w:rsidRPr="00D9348B">
        <w:rPr>
          <w:vertAlign w:val="subscript"/>
        </w:rPr>
        <w:t>2</w:t>
      </w:r>
      <w:r w:rsidRPr="00D9348B">
        <w:t>-e). This increase is primarily due to a 56.7 per cent (2,542.5 kt CO</w:t>
      </w:r>
      <w:r w:rsidRPr="00D9348B">
        <w:rPr>
          <w:vertAlign w:val="subscript"/>
        </w:rPr>
        <w:t>2</w:t>
      </w:r>
      <w:r w:rsidRPr="00D9348B">
        <w:t>-e) increase in N</w:t>
      </w:r>
      <w:r w:rsidRPr="00D9348B">
        <w:rPr>
          <w:vertAlign w:val="subscript"/>
        </w:rPr>
        <w:t>2</w:t>
      </w:r>
      <w:r w:rsidRPr="00D9348B">
        <w:t xml:space="preserve">O emissions from the </w:t>
      </w:r>
      <w:r w:rsidRPr="00D9348B">
        <w:rPr>
          <w:i/>
          <w:iCs/>
        </w:rPr>
        <w:t>Agricultural soils</w:t>
      </w:r>
      <w:r w:rsidRPr="00D9348B">
        <w:t xml:space="preserve"> category and a 5.2 per cent (1,390.0 kt CO</w:t>
      </w:r>
      <w:r w:rsidRPr="00D9348B">
        <w:rPr>
          <w:vertAlign w:val="subscript"/>
        </w:rPr>
        <w:t>2</w:t>
      </w:r>
      <w:r w:rsidRPr="00D9348B">
        <w:noBreakHyphen/>
        <w:t>e) increase in CH</w:t>
      </w:r>
      <w:r w:rsidRPr="00D9348B">
        <w:rPr>
          <w:vertAlign w:val="subscript"/>
        </w:rPr>
        <w:t>4</w:t>
      </w:r>
      <w:r w:rsidRPr="00D9348B">
        <w:t xml:space="preserve"> emissions from the </w:t>
      </w:r>
      <w:proofErr w:type="gramStart"/>
      <w:r w:rsidRPr="00D9348B">
        <w:rPr>
          <w:i/>
          <w:iCs/>
        </w:rPr>
        <w:t>Enteric</w:t>
      </w:r>
      <w:proofErr w:type="gramEnd"/>
      <w:r w:rsidRPr="00D9348B">
        <w:rPr>
          <w:i/>
          <w:iCs/>
        </w:rPr>
        <w:t xml:space="preserve"> fermentation</w:t>
      </w:r>
      <w:r w:rsidRPr="00D9348B">
        <w:t xml:space="preserve"> category. </w:t>
      </w:r>
    </w:p>
    <w:p w14:paraId="20C7C3B4" w14:textId="3AE613CC" w:rsidR="00D1512E" w:rsidRPr="00D9348B" w:rsidRDefault="00D1512E" w:rsidP="00FD4854">
      <w:pPr>
        <w:pStyle w:val="BodyText"/>
        <w:spacing w:before="100"/>
        <w:rPr>
          <w:u w:val="double"/>
        </w:rPr>
      </w:pPr>
      <w:r w:rsidRPr="00D9348B">
        <w:t>The main drivers for these changes were a 672.5 per cent increase in synthetic nitrogen fertiliser applied since 1990 and an 85.6 per cent increase in the size of the national dairy herd over the same time period.</w:t>
      </w:r>
      <w:r w:rsidRPr="00D9348B">
        <w:rPr>
          <w:rStyle w:val="FootnoteReference"/>
        </w:rPr>
        <w:footnoteReference w:id="9"/>
      </w:r>
      <w:r w:rsidRPr="00D9348B">
        <w:t xml:space="preserve"> Falls of 52.9 per cent in the sheep population and 19.1 per cent in</w:t>
      </w:r>
      <w:r w:rsidR="00FD4854" w:rsidRPr="00D9348B">
        <w:t> </w:t>
      </w:r>
      <w:r w:rsidRPr="00D9348B">
        <w:t xml:space="preserve">the non-dairy cattle population have partially offset these increases. </w:t>
      </w:r>
    </w:p>
    <w:p w14:paraId="2AAB8AC3" w14:textId="77777777" w:rsidR="00D1512E" w:rsidRPr="00D9348B" w:rsidRDefault="00D1512E" w:rsidP="00FD4854">
      <w:pPr>
        <w:pStyle w:val="Heading5"/>
        <w:spacing w:before="160"/>
      </w:pPr>
      <w:r w:rsidRPr="00D9348B">
        <w:t xml:space="preserve">2017–2018 </w:t>
      </w:r>
    </w:p>
    <w:p w14:paraId="11F7216D" w14:textId="77777777" w:rsidR="00D1512E" w:rsidRPr="00D9348B" w:rsidRDefault="00D1512E" w:rsidP="00FD4854">
      <w:pPr>
        <w:pStyle w:val="BodyText"/>
        <w:spacing w:before="100" w:after="100"/>
      </w:pPr>
      <w:r w:rsidRPr="00D9348B">
        <w:t>Total agricultural emissions in 2018 were 0.7 per cent (278.2 kt CO</w:t>
      </w:r>
      <w:r w:rsidRPr="00D9348B">
        <w:rPr>
          <w:vertAlign w:val="subscript"/>
        </w:rPr>
        <w:t>2</w:t>
      </w:r>
      <w:r w:rsidRPr="00D9348B">
        <w:t xml:space="preserve">-e) higher than in 2017. This increase was due to an increase in emissions from non-dairy (beef) cattle, dairy cattle, sheep, and nitrogen fertiliser use. </w:t>
      </w:r>
    </w:p>
    <w:p w14:paraId="50CA0A1E" w14:textId="68F69D27" w:rsidR="00D1512E" w:rsidRPr="00D9348B" w:rsidRDefault="00D1512E" w:rsidP="00FD4854">
      <w:pPr>
        <w:pStyle w:val="BodyText"/>
        <w:spacing w:before="100" w:after="100"/>
      </w:pPr>
      <w:r w:rsidRPr="00D9348B">
        <w:t>Non-dairy cattle emissions increased 1.3 per cent (82.0 kt CO</w:t>
      </w:r>
      <w:r w:rsidRPr="00D9348B">
        <w:rPr>
          <w:vertAlign w:val="subscript"/>
        </w:rPr>
        <w:t>2</w:t>
      </w:r>
      <w:r w:rsidRPr="00D9348B">
        <w:t>-e) as the national non-dairy herd increased. Dairy cattle emissions increased 0.3 per cent (49.3 kt CO</w:t>
      </w:r>
      <w:r w:rsidRPr="00D9348B">
        <w:rPr>
          <w:vertAlign w:val="subscript"/>
        </w:rPr>
        <w:t>2</w:t>
      </w:r>
      <w:r w:rsidRPr="00D9348B">
        <w:t>-e), because a small fall in the national dairy herd was offset by a small increase in total milk production (LIC and DairyNZ, 2019). Sheep emissions increased 0.4 per cent (41.7 kt CO</w:t>
      </w:r>
      <w:r w:rsidRPr="00D9348B">
        <w:rPr>
          <w:vertAlign w:val="subscript"/>
        </w:rPr>
        <w:t>2</w:t>
      </w:r>
      <w:r w:rsidRPr="00D9348B">
        <w:t>-e), because a small decrease in the sheep population was offset by an increase in average slaughter weights. The</w:t>
      </w:r>
      <w:r w:rsidR="00454A0D" w:rsidRPr="00D9348B">
        <w:t> </w:t>
      </w:r>
      <w:r w:rsidRPr="00D9348B">
        <w:t>change between 2017 and 2018 is due to strong commodity prices (for dairy and meat products) as well as favourable climatic conditions supporting pasture growth. The rate of decline in sheep populations has slowed in recent years due to strong lamb prices.</w:t>
      </w:r>
    </w:p>
    <w:p w14:paraId="71F31196" w14:textId="142825BF" w:rsidR="00D1512E" w:rsidRPr="00D9348B" w:rsidRDefault="00D1512E" w:rsidP="00FD4854">
      <w:pPr>
        <w:pStyle w:val="BodyText"/>
        <w:spacing w:before="100"/>
      </w:pPr>
      <w:r w:rsidRPr="00D9348B">
        <w:t>Emissions increased from synthetic nitrogen fertiliser, urea application and liming. These increased 3.3 per cent (54.0 kt CO</w:t>
      </w:r>
      <w:r w:rsidRPr="00D9348B">
        <w:rPr>
          <w:vertAlign w:val="subscript"/>
        </w:rPr>
        <w:t>2</w:t>
      </w:r>
      <w:r w:rsidRPr="00D9348B">
        <w:t>-e), 3.4 per cent (19.9 kt CO</w:t>
      </w:r>
      <w:r w:rsidRPr="00D9348B">
        <w:rPr>
          <w:vertAlign w:val="subscript"/>
        </w:rPr>
        <w:t>2</w:t>
      </w:r>
      <w:r w:rsidRPr="00D9348B">
        <w:t>-e) and 7.7 per cent (35.3</w:t>
      </w:r>
      <w:r w:rsidR="00454A0D" w:rsidRPr="00D9348B">
        <w:t> </w:t>
      </w:r>
      <w:r w:rsidRPr="00D9348B">
        <w:t>kt</w:t>
      </w:r>
      <w:r w:rsidR="00454A0D" w:rsidRPr="00D9348B">
        <w:t> </w:t>
      </w:r>
      <w:r w:rsidRPr="00D9348B">
        <w:t>CO</w:t>
      </w:r>
      <w:r w:rsidRPr="00D9348B">
        <w:rPr>
          <w:vertAlign w:val="subscript"/>
        </w:rPr>
        <w:t>2</w:t>
      </w:r>
      <w:r w:rsidRPr="00D9348B">
        <w:t>-e) respectively.</w:t>
      </w:r>
    </w:p>
    <w:p w14:paraId="14F6AEE4" w14:textId="77777777" w:rsidR="00D1512E" w:rsidRPr="00D9348B" w:rsidRDefault="00D1512E" w:rsidP="00FD4854">
      <w:pPr>
        <w:pStyle w:val="Heading4"/>
        <w:spacing w:before="160"/>
      </w:pPr>
      <w:r w:rsidRPr="00D9348B">
        <w:t>LULUCF (chapter 6)</w:t>
      </w:r>
    </w:p>
    <w:p w14:paraId="56A01CFF" w14:textId="5A125C41" w:rsidR="00D1512E" w:rsidRPr="00D9348B" w:rsidRDefault="00D1512E" w:rsidP="00D1512E">
      <w:pPr>
        <w:pStyle w:val="BodyText"/>
      </w:pPr>
      <w:r w:rsidRPr="00D9348B">
        <w:t>The following information on LULUCF summarises reporting under the Convention. Reporting for Article 3.3 and Article 3.4 LULUCF activities under the Kyoto Protocol are covered in section</w:t>
      </w:r>
      <w:r w:rsidR="00454A0D" w:rsidRPr="00D9348B">
        <w:t> </w:t>
      </w:r>
      <w:r w:rsidRPr="00D9348B">
        <w:t>ES.5.</w:t>
      </w:r>
    </w:p>
    <w:p w14:paraId="57853701" w14:textId="77777777" w:rsidR="00D1512E" w:rsidRPr="00D9348B" w:rsidRDefault="00D1512E" w:rsidP="00D1512E">
      <w:pPr>
        <w:pStyle w:val="Heading5"/>
      </w:pPr>
      <w:r w:rsidRPr="00D9348B">
        <w:lastRenderedPageBreak/>
        <w:t>2018</w:t>
      </w:r>
    </w:p>
    <w:p w14:paraId="2C9C0F6F" w14:textId="60236624" w:rsidR="00D1512E" w:rsidRPr="00D9348B" w:rsidRDefault="00D1512E" w:rsidP="00D1512E">
      <w:pPr>
        <w:pStyle w:val="BodyText"/>
      </w:pPr>
      <w:r w:rsidRPr="00D9348B">
        <w:t>The LULUCF sector under the Convention was a sink of –23,394.1 kt CO</w:t>
      </w:r>
      <w:r w:rsidRPr="00D9348B">
        <w:rPr>
          <w:vertAlign w:val="subscript"/>
        </w:rPr>
        <w:t>2</w:t>
      </w:r>
      <w:r w:rsidRPr="00D9348B">
        <w:t xml:space="preserve">-e net emissions. This offset 29.7 per cent of New Zealand’s gross emissions in 2018. The category contributing the most to both removals and emissions is </w:t>
      </w:r>
      <w:r w:rsidRPr="00D9348B">
        <w:rPr>
          <w:i/>
        </w:rPr>
        <w:t>Forest land remaining forest land</w:t>
      </w:r>
      <w:r w:rsidRPr="00D9348B">
        <w:t>. This is because most</w:t>
      </w:r>
      <w:r w:rsidR="00454A0D" w:rsidRPr="00D9348B">
        <w:t> </w:t>
      </w:r>
      <w:r w:rsidRPr="00D9348B">
        <w:t>of New Zealand’s forests are removing a large amount of CO</w:t>
      </w:r>
      <w:r w:rsidRPr="00D9348B">
        <w:rPr>
          <w:vertAlign w:val="subscript"/>
        </w:rPr>
        <w:t>2</w:t>
      </w:r>
      <w:r w:rsidRPr="00D9348B">
        <w:t xml:space="preserve"> from the atmosphere due</w:t>
      </w:r>
      <w:r w:rsidR="00FD4854" w:rsidRPr="00D9348B">
        <w:t> </w:t>
      </w:r>
      <w:r w:rsidRPr="00D9348B">
        <w:t>to growth, while also being a large source of emissions due to the current high levels of</w:t>
      </w:r>
      <w:r w:rsidR="00FD4854" w:rsidRPr="00D9348B">
        <w:t> </w:t>
      </w:r>
      <w:r w:rsidRPr="00D9348B">
        <w:t>sustainable harvesting that is occurring in New Zealand’s plantation forests.</w:t>
      </w:r>
    </w:p>
    <w:p w14:paraId="7A08E8A4" w14:textId="77777777" w:rsidR="00D1512E" w:rsidRPr="00D9348B" w:rsidRDefault="00D1512E" w:rsidP="00D1512E">
      <w:pPr>
        <w:pStyle w:val="Heading5"/>
      </w:pPr>
      <w:r w:rsidRPr="00D9348B">
        <w:t>1990–2018</w:t>
      </w:r>
    </w:p>
    <w:p w14:paraId="42D1DB2E" w14:textId="77777777" w:rsidR="00D1512E" w:rsidRPr="00D9348B" w:rsidRDefault="00D1512E" w:rsidP="00D1512E">
      <w:pPr>
        <w:pStyle w:val="BodyText"/>
      </w:pPr>
      <w:r w:rsidRPr="00D9348B">
        <w:t xml:space="preserve">For the entire period 1990–2018, the LULUCF sector represented a net sink, that is, each year the total removals from the sector were greater than its total emissions. </w:t>
      </w:r>
    </w:p>
    <w:p w14:paraId="07D25A71" w14:textId="77777777" w:rsidR="00D1512E" w:rsidRPr="00D9348B" w:rsidRDefault="00D1512E" w:rsidP="00D1512E">
      <w:pPr>
        <w:pStyle w:val="BodyText"/>
      </w:pPr>
      <w:r w:rsidRPr="00D9348B">
        <w:t xml:space="preserve">From 1990 to 2018, net emissions from LULUCF increased by </w:t>
      </w:r>
      <w:r w:rsidRPr="00D9348B">
        <w:rPr>
          <w:spacing w:val="-2"/>
        </w:rPr>
        <w:t>4,903.0 kt CO</w:t>
      </w:r>
      <w:r w:rsidRPr="00D9348B">
        <w:rPr>
          <w:spacing w:val="-2"/>
          <w:vertAlign w:val="subscript"/>
        </w:rPr>
        <w:t>2</w:t>
      </w:r>
      <w:r w:rsidRPr="00D9348B">
        <w:rPr>
          <w:spacing w:val="-2"/>
        </w:rPr>
        <w:t>-e (</w:t>
      </w:r>
      <w:r w:rsidRPr="00D9348B">
        <w:rPr>
          <w:rFonts w:cs="Arial"/>
          <w:color w:val="000000"/>
          <w:spacing w:val="-2"/>
          <w:szCs w:val="16"/>
        </w:rPr>
        <w:t xml:space="preserve">17.3 </w:t>
      </w:r>
      <w:r w:rsidRPr="00D9348B">
        <w:rPr>
          <w:spacing w:val="-2"/>
        </w:rPr>
        <w:t>per cent) from the 1990 level of –28,297.0</w:t>
      </w:r>
      <w:r w:rsidRPr="00D9348B">
        <w:t xml:space="preserve"> kt CO</w:t>
      </w:r>
      <w:r w:rsidRPr="00D9348B">
        <w:rPr>
          <w:vertAlign w:val="subscript"/>
        </w:rPr>
        <w:t>2</w:t>
      </w:r>
      <w:r w:rsidRPr="00D9348B">
        <w:t xml:space="preserve">-e (see figure ES 4.4). This is the result of the cyclical nature of growth and harvest of New Zealand’s plantation forests and its impact on carbon stocks, coupled with the uneven age-class distribution of these forests (see figure 6.4.4 in chapter 6). Net emissions are higher because current harvest rates are higher than they were in 1990. Emissions have also increased in the </w:t>
      </w:r>
      <w:r w:rsidRPr="00D9348B">
        <w:rPr>
          <w:i/>
        </w:rPr>
        <w:t>Grassland</w:t>
      </w:r>
      <w:r w:rsidRPr="00D9348B">
        <w:t xml:space="preserve"> category since 1990 due to the higher level of deforestation occurring now compared with 1990.</w:t>
      </w:r>
    </w:p>
    <w:p w14:paraId="2BE455A7" w14:textId="5030DE4E" w:rsidR="00D1512E" w:rsidRPr="00D9348B" w:rsidRDefault="00D1512E" w:rsidP="00D1512E">
      <w:pPr>
        <w:pStyle w:val="BodyText"/>
      </w:pPr>
      <w:r w:rsidRPr="00D9348B">
        <w:t>The fluctuations in net emissions from the LULUCF sector (figure ES 4.4) are influenced by harvesting and deforestation rates. Harvesting rates are driven by a number of factors, particularly forest stand age and log prices. Deforestation rates are driven largely by the relative profitability of forestry, compared with alternative land uses. The increase in net emissions between 2004 and 2007 was largely due to the increase in deforestation of planted forests that occurred leading up to 2008, before the introduction of the New Zealand Emissions Trading Scheme (NZ ETS).</w:t>
      </w:r>
      <w:r w:rsidRPr="00D9348B">
        <w:rPr>
          <w:vertAlign w:val="superscript"/>
        </w:rPr>
        <w:footnoteReference w:id="10"/>
      </w:r>
      <w:r w:rsidRPr="00D9348B">
        <w:t xml:space="preserve"> Emissions from deforestation were much lower in 2008.</w:t>
      </w:r>
      <w:r w:rsidR="00454A0D" w:rsidRPr="00D9348B">
        <w:t> </w:t>
      </w:r>
      <w:r w:rsidRPr="00D9348B">
        <w:t>The level of harvesting has generally been increasing since 2008.</w:t>
      </w:r>
    </w:p>
    <w:p w14:paraId="71B6AEC6" w14:textId="77777777" w:rsidR="00D1512E" w:rsidRPr="00D9348B" w:rsidRDefault="00D1512E" w:rsidP="00D1512E">
      <w:pPr>
        <w:pStyle w:val="Figure"/>
      </w:pPr>
      <w:bookmarkStart w:id="85" w:name="_Toc352505106"/>
      <w:bookmarkStart w:id="86" w:name="_Toc414531573"/>
      <w:bookmarkStart w:id="87" w:name="_Toc444693967"/>
      <w:bookmarkStart w:id="88" w:name="_Toc447275652"/>
      <w:bookmarkStart w:id="89" w:name="_Toc511116916"/>
      <w:bookmarkStart w:id="90" w:name="_Toc5269649"/>
      <w:bookmarkStart w:id="91" w:name="_Toc36292752"/>
      <w:r w:rsidRPr="00D9348B">
        <w:t>Figure ES 4.4</w:t>
      </w:r>
      <w:r w:rsidRPr="00D9348B">
        <w:tab/>
        <w:t>New Zealand’s LULUCF sector net emissions from 1990 to</w:t>
      </w:r>
      <w:bookmarkEnd w:id="85"/>
      <w:bookmarkEnd w:id="86"/>
      <w:bookmarkEnd w:id="87"/>
      <w:bookmarkEnd w:id="88"/>
      <w:r w:rsidRPr="00D9348B">
        <w:t> </w:t>
      </w:r>
      <w:bookmarkEnd w:id="89"/>
      <w:r w:rsidRPr="00D9348B">
        <w:t>2018</w:t>
      </w:r>
      <w:bookmarkEnd w:id="90"/>
      <w:bookmarkEnd w:id="91"/>
    </w:p>
    <w:p w14:paraId="085BCA3C" w14:textId="39B0B71B" w:rsidR="00D1512E" w:rsidRPr="00D9348B" w:rsidRDefault="007165CF" w:rsidP="00454A0D">
      <w:pPr>
        <w:pStyle w:val="BodyText"/>
        <w:spacing w:before="60"/>
      </w:pPr>
      <w:r>
        <w:pict w14:anchorId="1EB09C13">
          <v:shape id="_x0000_i1032" type="#_x0000_t75" style="width:390.7pt;height:246.7pt">
            <v:imagedata r:id="rId27" o:title="Figure ES 4" croptop="3286f" cropbottom="3428f"/>
          </v:shape>
        </w:pict>
      </w:r>
    </w:p>
    <w:p w14:paraId="446A0D47" w14:textId="77777777" w:rsidR="00D1512E" w:rsidRPr="00D9348B" w:rsidRDefault="00D1512E" w:rsidP="00454A0D">
      <w:pPr>
        <w:pStyle w:val="Heading5"/>
        <w:spacing w:before="160"/>
      </w:pPr>
      <w:r w:rsidRPr="00D9348B">
        <w:lastRenderedPageBreak/>
        <w:t>2017–2018</w:t>
      </w:r>
    </w:p>
    <w:p w14:paraId="338C4073" w14:textId="77777777" w:rsidR="00D1512E" w:rsidRPr="00D9348B" w:rsidRDefault="00D1512E" w:rsidP="00D1512E">
      <w:pPr>
        <w:pStyle w:val="BodyText"/>
      </w:pPr>
      <w:r w:rsidRPr="00D9348B">
        <w:t>Between 2017 and 2018, net CO</w:t>
      </w:r>
      <w:r w:rsidRPr="00D9348B">
        <w:rPr>
          <w:vertAlign w:val="subscript"/>
        </w:rPr>
        <w:t>2</w:t>
      </w:r>
      <w:r w:rsidRPr="00D9348B">
        <w:t xml:space="preserve"> emissions from the LULUCF sector decreased by </w:t>
      </w:r>
      <w:r w:rsidRPr="00D9348B">
        <w:rPr>
          <w:spacing w:val="-2"/>
        </w:rPr>
        <w:t>684.0 kt CO</w:t>
      </w:r>
      <w:r w:rsidRPr="00D9348B">
        <w:rPr>
          <w:spacing w:val="-2"/>
          <w:vertAlign w:val="subscript"/>
        </w:rPr>
        <w:t>2</w:t>
      </w:r>
      <w:r w:rsidRPr="00D9348B">
        <w:rPr>
          <w:spacing w:val="-2"/>
        </w:rPr>
        <w:noBreakHyphen/>
        <w:t>e (</w:t>
      </w:r>
      <w:r w:rsidRPr="00D9348B">
        <w:t xml:space="preserve">3.0 per cent). The largest change occurred in the </w:t>
      </w:r>
      <w:r w:rsidRPr="00D9348B">
        <w:rPr>
          <w:i/>
        </w:rPr>
        <w:t>Harvested wood products</w:t>
      </w:r>
      <w:r w:rsidRPr="00D9348B">
        <w:t xml:space="preserve"> category, with a decrease in net emissions of 2,366.8 kt CO</w:t>
      </w:r>
      <w:r w:rsidRPr="00D9348B">
        <w:rPr>
          <w:vertAlign w:val="subscript"/>
        </w:rPr>
        <w:t>2</w:t>
      </w:r>
      <w:r w:rsidRPr="00D9348B">
        <w:t xml:space="preserve">-e. The increase in the production of harvested wood products was driven by an increase in the rate of harvesting of planted forests between 2017 and 2018. This increase in harvesting contributed to an increase in emissions from </w:t>
      </w:r>
      <w:r w:rsidRPr="00D9348B">
        <w:rPr>
          <w:i/>
        </w:rPr>
        <w:t>Forest land</w:t>
      </w:r>
      <w:r w:rsidRPr="00D9348B">
        <w:t xml:space="preserve"> by 2,150.9 kt </w:t>
      </w:r>
      <w:r w:rsidRPr="00D9348B">
        <w:rPr>
          <w:spacing w:val="-2"/>
        </w:rPr>
        <w:t>CO</w:t>
      </w:r>
      <w:r w:rsidRPr="00D9348B">
        <w:rPr>
          <w:spacing w:val="-2"/>
          <w:vertAlign w:val="subscript"/>
        </w:rPr>
        <w:t>2</w:t>
      </w:r>
      <w:r w:rsidRPr="00D9348B">
        <w:rPr>
          <w:spacing w:val="-2"/>
        </w:rPr>
        <w:t>-e over this period, the second-largest change in emissions for the LULUCF sector.</w:t>
      </w:r>
    </w:p>
    <w:p w14:paraId="26914595" w14:textId="77777777" w:rsidR="00D1512E" w:rsidRPr="00D9348B" w:rsidRDefault="00D1512E" w:rsidP="00865BDB">
      <w:pPr>
        <w:pStyle w:val="Heading4"/>
      </w:pPr>
      <w:r w:rsidRPr="00D9348B">
        <w:t>Waste (chapter 7)</w:t>
      </w:r>
    </w:p>
    <w:p w14:paraId="2E273BBF" w14:textId="77777777" w:rsidR="00D1512E" w:rsidRPr="00D9348B" w:rsidRDefault="00D1512E" w:rsidP="00454A0D">
      <w:pPr>
        <w:pStyle w:val="Heading5"/>
        <w:spacing w:before="160"/>
      </w:pPr>
      <w:r w:rsidRPr="00D9348B">
        <w:t>2018</w:t>
      </w:r>
    </w:p>
    <w:p w14:paraId="322BE754" w14:textId="77777777" w:rsidR="00D1512E" w:rsidRPr="00D9348B" w:rsidRDefault="00D1512E" w:rsidP="00D1512E">
      <w:pPr>
        <w:pStyle w:val="BodyText"/>
      </w:pPr>
      <w:r w:rsidRPr="00D9348B">
        <w:rPr>
          <w:spacing w:val="-2"/>
        </w:rPr>
        <w:t>In 2018, emissions from the Waste sector contributed 4,057.4 kt CO</w:t>
      </w:r>
      <w:r w:rsidRPr="00D9348B">
        <w:rPr>
          <w:spacing w:val="-2"/>
          <w:vertAlign w:val="subscript"/>
        </w:rPr>
        <w:t>2</w:t>
      </w:r>
      <w:r w:rsidRPr="00D9348B">
        <w:rPr>
          <w:spacing w:val="-2"/>
        </w:rPr>
        <w:t xml:space="preserve">-e or 5.1 per cent of New Zealand’s gross GHG emissions. The largest source category is the </w:t>
      </w:r>
      <w:r w:rsidRPr="00D9348B">
        <w:rPr>
          <w:i/>
          <w:spacing w:val="-2"/>
        </w:rPr>
        <w:t>Solid waste disposal</w:t>
      </w:r>
      <w:r w:rsidRPr="00D9348B">
        <w:rPr>
          <w:spacing w:val="-2"/>
        </w:rPr>
        <w:t xml:space="preserve"> category</w:t>
      </w:r>
      <w:r w:rsidRPr="00D9348B">
        <w:t xml:space="preserve">. </w:t>
      </w:r>
    </w:p>
    <w:p w14:paraId="59564C4B" w14:textId="77777777" w:rsidR="00D1512E" w:rsidRPr="00D9348B" w:rsidRDefault="00D1512E" w:rsidP="00D1512E">
      <w:pPr>
        <w:pStyle w:val="Heading5"/>
      </w:pPr>
      <w:r w:rsidRPr="00D9348B">
        <w:t>1990–2018</w:t>
      </w:r>
    </w:p>
    <w:p w14:paraId="5EB9BDB9" w14:textId="77777777" w:rsidR="00D1512E" w:rsidRPr="00D9348B" w:rsidRDefault="00D1512E" w:rsidP="00D1512E">
      <w:pPr>
        <w:pStyle w:val="BodyText"/>
        <w:rPr>
          <w:rFonts w:eastAsia="+mn-ea"/>
        </w:rPr>
      </w:pPr>
      <w:r w:rsidRPr="00D9348B">
        <w:rPr>
          <w:rFonts w:eastAsia="+mn-ea"/>
        </w:rPr>
        <w:t>Total Waste sector emissions in 2018 were 9.8 kt CO</w:t>
      </w:r>
      <w:r w:rsidRPr="00D9348B">
        <w:rPr>
          <w:rFonts w:eastAsia="+mn-ea"/>
          <w:vertAlign w:val="subscript"/>
        </w:rPr>
        <w:t>2</w:t>
      </w:r>
      <w:r w:rsidRPr="00D9348B">
        <w:rPr>
          <w:rFonts w:eastAsia="+mn-ea"/>
        </w:rPr>
        <w:t>-e (0.2 per cent) above 1990 emissions of 4,047.6 kt CO</w:t>
      </w:r>
      <w:r w:rsidRPr="00D9348B">
        <w:rPr>
          <w:rFonts w:eastAsia="+mn-ea"/>
          <w:vertAlign w:val="subscript"/>
        </w:rPr>
        <w:t>2</w:t>
      </w:r>
      <w:r w:rsidRPr="00D9348B">
        <w:rPr>
          <w:rFonts w:eastAsia="+mn-ea"/>
        </w:rPr>
        <w:t>-e. Annual emissions increased between 1990 and 2002, peaking at 4,838.2 kt CO</w:t>
      </w:r>
      <w:r w:rsidRPr="00D9348B">
        <w:rPr>
          <w:rFonts w:eastAsia="+mn-ea"/>
          <w:vertAlign w:val="subscript"/>
        </w:rPr>
        <w:t>2</w:t>
      </w:r>
      <w:r w:rsidRPr="00D9348B">
        <w:rPr>
          <w:rFonts w:eastAsia="+mn-ea"/>
        </w:rPr>
        <w:noBreakHyphen/>
        <w:t xml:space="preserve">e in 2002, and have generally decreased since that time. </w:t>
      </w:r>
    </w:p>
    <w:p w14:paraId="16B0524D" w14:textId="77777777" w:rsidR="00D1512E" w:rsidRPr="00D9348B" w:rsidRDefault="00D1512E" w:rsidP="00D1512E">
      <w:pPr>
        <w:pStyle w:val="BodyText"/>
        <w:rPr>
          <w:rFonts w:eastAsia="+mn-ea"/>
        </w:rPr>
      </w:pPr>
      <w:r w:rsidRPr="00D9348B">
        <w:rPr>
          <w:rFonts w:eastAsia="+mn-ea"/>
        </w:rPr>
        <w:t>The increase between 1990 and 2002 was the result of ongoing growth in population and economic activity. This resulted in increasing volumes of solid waste and wastewater for the entire time series. Waste sector emissions have been trending down since 2005, in spite of these increasing volumes.</w:t>
      </w:r>
      <w:r w:rsidRPr="00D9348B" w:rsidDel="001D789A">
        <w:rPr>
          <w:rFonts w:eastAsia="+mn-ea"/>
        </w:rPr>
        <w:t xml:space="preserve"> </w:t>
      </w:r>
      <w:r w:rsidRPr="00D9348B">
        <w:rPr>
          <w:rFonts w:eastAsia="+mn-ea"/>
        </w:rPr>
        <w:t xml:space="preserve">This is due to improvements in the management of solid waste disposal at municipal landfills, particularly increased </w:t>
      </w:r>
      <w:r w:rsidRPr="00D9348B">
        <w:t>CH</w:t>
      </w:r>
      <w:r w:rsidRPr="00D9348B">
        <w:rPr>
          <w:vertAlign w:val="subscript"/>
        </w:rPr>
        <w:t>4</w:t>
      </w:r>
      <w:r w:rsidRPr="00D9348B">
        <w:rPr>
          <w:rFonts w:eastAsia="+mn-ea"/>
        </w:rPr>
        <w:t xml:space="preserve"> recovery. </w:t>
      </w:r>
      <w:r w:rsidRPr="00D9348B">
        <w:t>The trends are shown in figure 2.2.11 in chapter 2 and figures 7.1.1 and 7.1.2 in chapter 7.</w:t>
      </w:r>
    </w:p>
    <w:p w14:paraId="055223A0" w14:textId="77777777" w:rsidR="00D1512E" w:rsidRPr="00D9348B" w:rsidRDefault="00D1512E" w:rsidP="00D1512E">
      <w:pPr>
        <w:pStyle w:val="Heading5"/>
      </w:pPr>
      <w:r w:rsidRPr="00D9348B">
        <w:t>2017–2018</w:t>
      </w:r>
    </w:p>
    <w:p w14:paraId="3B2D67D3" w14:textId="49C19534" w:rsidR="00D1512E" w:rsidRPr="00D9348B" w:rsidRDefault="00D1512E" w:rsidP="00D1512E">
      <w:pPr>
        <w:pStyle w:val="BodyText"/>
      </w:pPr>
      <w:r w:rsidRPr="00D9348B">
        <w:t>Total Waste sector emissions in 2018 were 35.2 kt CO</w:t>
      </w:r>
      <w:r w:rsidRPr="00D9348B">
        <w:rPr>
          <w:vertAlign w:val="subscript"/>
        </w:rPr>
        <w:t>2</w:t>
      </w:r>
      <w:r w:rsidRPr="00D9348B">
        <w:t>-e (0.9 per cent) lower than in 2017. This</w:t>
      </w:r>
      <w:r w:rsidR="00454A0D" w:rsidRPr="00D9348B">
        <w:t> </w:t>
      </w:r>
      <w:r w:rsidRPr="00D9348B">
        <w:t>decrease is largely the result of decreases in CH</w:t>
      </w:r>
      <w:r w:rsidRPr="00D9348B">
        <w:rPr>
          <w:vertAlign w:val="subscript"/>
        </w:rPr>
        <w:t>4</w:t>
      </w:r>
      <w:r w:rsidRPr="00D9348B">
        <w:t xml:space="preserve"> emissions in the</w:t>
      </w:r>
      <w:r w:rsidRPr="00D9348B">
        <w:rPr>
          <w:i/>
        </w:rPr>
        <w:t xml:space="preserve"> Solid waste disposal</w:t>
      </w:r>
      <w:r w:rsidRPr="00D9348B">
        <w:t xml:space="preserve"> category, due to an increase in CH</w:t>
      </w:r>
      <w:r w:rsidRPr="00D9348B">
        <w:rPr>
          <w:vertAlign w:val="subscript"/>
        </w:rPr>
        <w:t>4</w:t>
      </w:r>
      <w:r w:rsidRPr="00D9348B">
        <w:t xml:space="preserve"> recovery and a slight reduction in farm waste.</w:t>
      </w:r>
    </w:p>
    <w:p w14:paraId="57F4D40E" w14:textId="77777777" w:rsidR="00D1512E" w:rsidRPr="00D9348B" w:rsidRDefault="00D1512E" w:rsidP="00865BDB">
      <w:pPr>
        <w:pStyle w:val="Heading4"/>
      </w:pPr>
      <w:r w:rsidRPr="00D9348B">
        <w:t>Other sector (Tokelau – chapter 8)</w:t>
      </w:r>
    </w:p>
    <w:p w14:paraId="66780516" w14:textId="77777777" w:rsidR="00D1512E" w:rsidRPr="00D9348B" w:rsidRDefault="00D1512E" w:rsidP="00454A0D">
      <w:pPr>
        <w:pStyle w:val="Heading5"/>
        <w:spacing w:before="160"/>
      </w:pPr>
      <w:r w:rsidRPr="00D9348B">
        <w:t>2018</w:t>
      </w:r>
    </w:p>
    <w:p w14:paraId="2567FB54" w14:textId="77777777" w:rsidR="00D1512E" w:rsidRPr="00D9348B" w:rsidRDefault="00D1512E" w:rsidP="00454A0D">
      <w:pPr>
        <w:pStyle w:val="BodyText"/>
      </w:pPr>
      <w:r w:rsidRPr="00D9348B">
        <w:t>The total amount of emissions of GHGs from all sources in Tokelau in 2018 were 3.62 kt CO</w:t>
      </w:r>
      <w:r w:rsidRPr="00D9348B">
        <w:rPr>
          <w:vertAlign w:val="subscript"/>
        </w:rPr>
        <w:t>2</w:t>
      </w:r>
      <w:r w:rsidRPr="00D9348B">
        <w:t xml:space="preserve">-e, contributing approximately 0.005 per cent to </w:t>
      </w:r>
      <w:proofErr w:type="gramStart"/>
      <w:r w:rsidRPr="00D9348B">
        <w:t>New</w:t>
      </w:r>
      <w:proofErr w:type="gramEnd"/>
      <w:r w:rsidRPr="00D9348B">
        <w:t xml:space="preserve"> Zealand’s gross emissions. The largest source category was the </w:t>
      </w:r>
      <w:r w:rsidRPr="00D9348B">
        <w:rPr>
          <w:i/>
        </w:rPr>
        <w:t>Domestic navigation</w:t>
      </w:r>
      <w:r w:rsidRPr="00D9348B">
        <w:t xml:space="preserve"> category contributing 1.50 kt CO</w:t>
      </w:r>
      <w:r w:rsidRPr="00D9348B">
        <w:rPr>
          <w:vertAlign w:val="subscript"/>
        </w:rPr>
        <w:t>2</w:t>
      </w:r>
      <w:r w:rsidRPr="00D9348B">
        <w:t xml:space="preserve">-e (81.2 per cent of all energy emissions and 41.6 per cent of gross emissions from Tokelau). </w:t>
      </w:r>
    </w:p>
    <w:p w14:paraId="2121934B" w14:textId="77777777" w:rsidR="00D1512E" w:rsidRPr="00D9348B" w:rsidRDefault="00D1512E" w:rsidP="00D1512E">
      <w:pPr>
        <w:pStyle w:val="Heading5"/>
      </w:pPr>
      <w:r w:rsidRPr="00D9348B">
        <w:t>1990–2018</w:t>
      </w:r>
    </w:p>
    <w:p w14:paraId="7D7D41EC" w14:textId="638B8B04" w:rsidR="00D1512E" w:rsidRPr="00D9348B" w:rsidRDefault="00D1512E" w:rsidP="00454A0D">
      <w:pPr>
        <w:pStyle w:val="BodyText"/>
      </w:pPr>
      <w:r w:rsidRPr="00D9348B">
        <w:t>In 1990, gross emissions from Tokelau were 3.17 kt CO</w:t>
      </w:r>
      <w:r w:rsidRPr="00D9348B">
        <w:rPr>
          <w:vertAlign w:val="subscript"/>
        </w:rPr>
        <w:t>2</w:t>
      </w:r>
      <w:r w:rsidRPr="00D9348B">
        <w:t>-e. Between 1990 and 2018, gross</w:t>
      </w:r>
      <w:r w:rsidR="00454A0D" w:rsidRPr="00D9348B">
        <w:t xml:space="preserve"> </w:t>
      </w:r>
      <w:r w:rsidRPr="00D9348B">
        <w:t>emissions from Tokelau increased by 14.2 per cent (0.45 kt CO</w:t>
      </w:r>
      <w:r w:rsidRPr="00D9348B">
        <w:rPr>
          <w:vertAlign w:val="subscript"/>
        </w:rPr>
        <w:t>2</w:t>
      </w:r>
      <w:r w:rsidRPr="00D9348B">
        <w:t>-e) to 3.62 kt CO</w:t>
      </w:r>
      <w:r w:rsidRPr="00D9348B">
        <w:rPr>
          <w:vertAlign w:val="subscript"/>
        </w:rPr>
        <w:t>2</w:t>
      </w:r>
      <w:r w:rsidRPr="00D9348B">
        <w:t>-e in 2018.</w:t>
      </w:r>
    </w:p>
    <w:p w14:paraId="299D92A9" w14:textId="5ACD8822" w:rsidR="00D1512E" w:rsidRPr="00D9348B" w:rsidRDefault="00D1512E" w:rsidP="00454A0D">
      <w:pPr>
        <w:pStyle w:val="BodyText"/>
      </w:pPr>
      <w:r w:rsidRPr="00D9348B">
        <w:t xml:space="preserve">The emission categories that contributed the most to this change were </w:t>
      </w:r>
      <w:r w:rsidRPr="00D9348B">
        <w:rPr>
          <w:i/>
          <w:iCs/>
        </w:rPr>
        <w:t xml:space="preserve">Domestic navigation </w:t>
      </w:r>
      <w:r w:rsidRPr="00D9348B">
        <w:t xml:space="preserve">and </w:t>
      </w:r>
      <w:r w:rsidRPr="00D9348B">
        <w:rPr>
          <w:i/>
          <w:iCs/>
        </w:rPr>
        <w:t>Refrigeration and air conditioning</w:t>
      </w:r>
      <w:r w:rsidRPr="00D9348B">
        <w:t xml:space="preserve">. The changes in </w:t>
      </w:r>
      <w:r w:rsidRPr="00D9348B">
        <w:rPr>
          <w:i/>
        </w:rPr>
        <w:t>Domestic navigation</w:t>
      </w:r>
      <w:r w:rsidRPr="00D9348B">
        <w:t xml:space="preserve"> are a result of Tokelau gaining ownership and use of the ferry </w:t>
      </w:r>
      <w:r w:rsidRPr="00D9348B">
        <w:rPr>
          <w:i/>
        </w:rPr>
        <w:t>Mataliki</w:t>
      </w:r>
      <w:r w:rsidRPr="00D9348B">
        <w:t xml:space="preserve"> in 2016 and cargo vessel </w:t>
      </w:r>
      <w:r w:rsidRPr="00D9348B">
        <w:rPr>
          <w:i/>
        </w:rPr>
        <w:t>Kalopaga</w:t>
      </w:r>
      <w:r w:rsidRPr="00D9348B">
        <w:t xml:space="preserve"> in 2018 leading to an increasing number of sea voyages between the atolls, which increased </w:t>
      </w:r>
      <w:r w:rsidRPr="00D9348B">
        <w:lastRenderedPageBreak/>
        <w:t>transport emissions. Emissions from Tokelau’s IPPU sector have also increased slightly as fridges and freezers have become more commonly used. Further changes in Tokelau’s Energy sector emissions are a significant rise then drop (by approximately 400 per cent and 82.5 per cent respectively) in consumption of imported petroleum products used for electricity production in Tokelau. Emissions from Tokelau’s Agriculture sector have decreased slightly as a</w:t>
      </w:r>
      <w:r w:rsidR="00454A0D" w:rsidRPr="00D9348B">
        <w:t> </w:t>
      </w:r>
      <w:r w:rsidRPr="00D9348B">
        <w:t>result of a reduced population of pigs (figure 2.2.12). The trends are shown in chapter 2, figure 2.2.12, and in chapter 8.</w:t>
      </w:r>
    </w:p>
    <w:p w14:paraId="1D101C30" w14:textId="77777777" w:rsidR="00D1512E" w:rsidRPr="00D9348B" w:rsidRDefault="00D1512E" w:rsidP="00D1512E">
      <w:pPr>
        <w:pStyle w:val="Heading5"/>
      </w:pPr>
      <w:r w:rsidRPr="00D9348B">
        <w:t>2017–2018</w:t>
      </w:r>
    </w:p>
    <w:p w14:paraId="0E161929" w14:textId="77777777" w:rsidR="00D1512E" w:rsidRPr="00D9348B" w:rsidRDefault="00D1512E" w:rsidP="00454A0D">
      <w:pPr>
        <w:pStyle w:val="BodyText"/>
      </w:pPr>
      <w:r w:rsidRPr="00D9348B">
        <w:t>Total Tokelau emissions in 2018 were 0.10 kt CO</w:t>
      </w:r>
      <w:r w:rsidRPr="00D9348B">
        <w:rPr>
          <w:vertAlign w:val="subscript"/>
        </w:rPr>
        <w:t>2</w:t>
      </w:r>
      <w:r w:rsidRPr="00D9348B">
        <w:t>-e (2.8 per cent) higher than emissions in 2017. This increase is largely the result of increases in CO</w:t>
      </w:r>
      <w:r w:rsidRPr="00D9348B">
        <w:rPr>
          <w:vertAlign w:val="subscript"/>
        </w:rPr>
        <w:t>2</w:t>
      </w:r>
      <w:r w:rsidRPr="00D9348B">
        <w:t xml:space="preserve"> emissions in the </w:t>
      </w:r>
      <w:r w:rsidRPr="00D9348B">
        <w:rPr>
          <w:i/>
        </w:rPr>
        <w:t>Domestic navigation</w:t>
      </w:r>
      <w:r w:rsidRPr="00D9348B">
        <w:t xml:space="preserve"> category, due to increasing shipping within Tokelau. </w:t>
      </w:r>
    </w:p>
    <w:p w14:paraId="00CFE475" w14:textId="3A55FDB0" w:rsidR="00D1512E" w:rsidRPr="00D9348B" w:rsidRDefault="00D1512E" w:rsidP="00D1512E">
      <w:pPr>
        <w:pStyle w:val="Heading2"/>
      </w:pPr>
      <w:bookmarkStart w:id="92" w:name="_Toc384580473"/>
      <w:bookmarkStart w:id="93" w:name="_Toc384581608"/>
      <w:bookmarkStart w:id="94" w:name="_Toc391023767"/>
      <w:bookmarkStart w:id="95" w:name="_Toc414531263"/>
      <w:bookmarkStart w:id="96" w:name="_Toc448321484"/>
      <w:bookmarkStart w:id="97" w:name="_Toc511116561"/>
      <w:bookmarkStart w:id="98" w:name="_Toc5269323"/>
      <w:bookmarkStart w:id="99" w:name="_Toc36224363"/>
      <w:r w:rsidRPr="00D9348B">
        <w:t xml:space="preserve">ES.5 </w:t>
      </w:r>
      <w:r w:rsidRPr="00D9348B">
        <w:tab/>
        <w:t>Activities under Article 3.3 and Article 3.4 of the</w:t>
      </w:r>
      <w:r w:rsidR="00FD4854" w:rsidRPr="00D9348B">
        <w:t> </w:t>
      </w:r>
      <w:r w:rsidRPr="00D9348B">
        <w:t>Kyoto</w:t>
      </w:r>
      <w:r w:rsidR="00454A0D" w:rsidRPr="00D9348B">
        <w:t> </w:t>
      </w:r>
      <w:r w:rsidRPr="00D9348B">
        <w:t>Protocol</w:t>
      </w:r>
      <w:bookmarkEnd w:id="92"/>
      <w:bookmarkEnd w:id="93"/>
      <w:bookmarkEnd w:id="94"/>
      <w:r w:rsidRPr="00D9348B">
        <w:t xml:space="preserve"> (chapter 11)</w:t>
      </w:r>
      <w:bookmarkEnd w:id="95"/>
      <w:bookmarkEnd w:id="96"/>
      <w:bookmarkEnd w:id="97"/>
      <w:bookmarkEnd w:id="98"/>
      <w:bookmarkEnd w:id="99"/>
    </w:p>
    <w:p w14:paraId="427C1693" w14:textId="2CCD2FD8" w:rsidR="00D1512E" w:rsidRPr="00D9348B" w:rsidRDefault="00D1512E" w:rsidP="00D1512E">
      <w:pPr>
        <w:pStyle w:val="BodyText"/>
      </w:pPr>
      <w:bookmarkStart w:id="100" w:name="_Toc448321485"/>
      <w:bookmarkStart w:id="101" w:name="_Toc511116562"/>
      <w:bookmarkStart w:id="102" w:name="_Toc5269324"/>
      <w:bookmarkStart w:id="103" w:name="_Toc352504936"/>
      <w:bookmarkStart w:id="104" w:name="_Toc391023810"/>
      <w:bookmarkStart w:id="105" w:name="_Toc414531388"/>
      <w:r w:rsidRPr="00D9348B">
        <w:t xml:space="preserve">Under the Kyoto Protocol, reporting of </w:t>
      </w:r>
      <w:r w:rsidRPr="00D9348B">
        <w:rPr>
          <w:i/>
        </w:rPr>
        <w:t>Afforestation and reforestation</w:t>
      </w:r>
      <w:r w:rsidRPr="00D9348B">
        <w:t xml:space="preserve"> and </w:t>
      </w:r>
      <w:r w:rsidRPr="00D9348B">
        <w:rPr>
          <w:i/>
        </w:rPr>
        <w:t>Deforestation</w:t>
      </w:r>
      <w:r w:rsidRPr="00D9348B">
        <w:t xml:space="preserve"> activities since 1990, and </w:t>
      </w:r>
      <w:r w:rsidRPr="00D9348B">
        <w:rPr>
          <w:i/>
        </w:rPr>
        <w:t>Forest management</w:t>
      </w:r>
      <w:r w:rsidRPr="00D9348B">
        <w:t xml:space="preserve"> is mandatory during the second commitment period. This is a change from the first commitment period, when reporting on </w:t>
      </w:r>
      <w:r w:rsidRPr="00D9348B">
        <w:rPr>
          <w:i/>
        </w:rPr>
        <w:t>Forest management</w:t>
      </w:r>
      <w:r w:rsidRPr="00D9348B">
        <w:t xml:space="preserve"> was voluntary for Annex I Parties. Reporting on </w:t>
      </w:r>
      <w:r w:rsidRPr="00D9348B">
        <w:rPr>
          <w:i/>
        </w:rPr>
        <w:t>Cropland management</w:t>
      </w:r>
      <w:r w:rsidRPr="00D9348B">
        <w:t xml:space="preserve">, </w:t>
      </w:r>
      <w:r w:rsidRPr="00D9348B">
        <w:rPr>
          <w:i/>
        </w:rPr>
        <w:t>Grazing land management</w:t>
      </w:r>
      <w:r w:rsidRPr="00D9348B">
        <w:t xml:space="preserve">, </w:t>
      </w:r>
      <w:r w:rsidRPr="00D9348B">
        <w:rPr>
          <w:i/>
        </w:rPr>
        <w:t>Revegetation</w:t>
      </w:r>
      <w:r w:rsidRPr="00D9348B">
        <w:rPr>
          <w:iCs/>
        </w:rPr>
        <w:t>,</w:t>
      </w:r>
      <w:r w:rsidRPr="00D9348B">
        <w:t xml:space="preserve"> and </w:t>
      </w:r>
      <w:r w:rsidRPr="00D9348B">
        <w:rPr>
          <w:i/>
        </w:rPr>
        <w:t>Wetland drainage and rewetting</w:t>
      </w:r>
      <w:r w:rsidRPr="00D9348B">
        <w:t xml:space="preserve"> is voluntary for</w:t>
      </w:r>
      <w:r w:rsidR="00454A0D" w:rsidRPr="00D9348B">
        <w:t> </w:t>
      </w:r>
      <w:r w:rsidRPr="00D9348B">
        <w:t>2013–20 (Kyoto Protocol, Article 3.4). New Zealand has not elected to report on any of these voluntary categories.</w:t>
      </w:r>
    </w:p>
    <w:p w14:paraId="2D7AD67A" w14:textId="77777777" w:rsidR="00D1512E" w:rsidRPr="00D9348B" w:rsidRDefault="00D1512E" w:rsidP="00D1512E">
      <w:pPr>
        <w:pStyle w:val="BodyText"/>
      </w:pPr>
      <w:r w:rsidRPr="00D9348B">
        <w:t>More information on how New Zealand accounts against its target is provided in section ES.2.</w:t>
      </w:r>
    </w:p>
    <w:p w14:paraId="5C82D9CA" w14:textId="5F355288" w:rsidR="00D1512E" w:rsidRPr="00D9348B" w:rsidRDefault="00D1512E" w:rsidP="00D1512E">
      <w:pPr>
        <w:pStyle w:val="BodyText"/>
      </w:pPr>
      <w:r w:rsidRPr="00D9348B">
        <w:t xml:space="preserve">New Zealand reports on activities under Article 3.3 and Article 3.4 of the Kyoto Protocol by monitoring trends in land use. The Ministry for the Environment tracks forest land use and periodically produces </w:t>
      </w:r>
      <w:r w:rsidR="00766DDA">
        <w:t>land-use</w:t>
      </w:r>
      <w:r w:rsidRPr="00D9348B">
        <w:t xml:space="preserve"> maps. This information is supplemented by forestry statistics produced by the Ministry for Primary Industries. These data sources are used to detect the following trends in land use.</w:t>
      </w:r>
    </w:p>
    <w:p w14:paraId="22EA0190" w14:textId="77777777" w:rsidR="00D1512E" w:rsidRPr="00D9348B" w:rsidRDefault="00D1512E" w:rsidP="00FD4854">
      <w:pPr>
        <w:pStyle w:val="Heading5"/>
        <w:spacing w:before="200"/>
      </w:pPr>
      <w:r w:rsidRPr="00D9348B">
        <w:t xml:space="preserve">Afforestation and reforestation </w:t>
      </w:r>
    </w:p>
    <w:p w14:paraId="064AA95D" w14:textId="69C87133" w:rsidR="00D1512E" w:rsidRPr="00D9348B" w:rsidRDefault="00D1512E" w:rsidP="00D1512E">
      <w:pPr>
        <w:pStyle w:val="BodyText"/>
      </w:pPr>
      <w:r w:rsidRPr="00D9348B">
        <w:t xml:space="preserve">The net area subject to </w:t>
      </w:r>
      <w:r w:rsidRPr="00D9348B">
        <w:rPr>
          <w:i/>
        </w:rPr>
        <w:t>Afforestation and reforestation</w:t>
      </w:r>
      <w:r w:rsidRPr="00D9348B">
        <w:t xml:space="preserve"> activities between 1990 and 2018 was</w:t>
      </w:r>
      <w:r w:rsidR="00454A0D" w:rsidRPr="00D9348B">
        <w:t> </w:t>
      </w:r>
      <w:r w:rsidRPr="00D9348B">
        <w:t xml:space="preserve">698,497 hectares. This excludes the area subsequently converted to another land use, which is reported as a </w:t>
      </w:r>
      <w:r w:rsidRPr="00D9348B">
        <w:rPr>
          <w:i/>
        </w:rPr>
        <w:t>Deforestation</w:t>
      </w:r>
      <w:r w:rsidRPr="00D9348B">
        <w:t xml:space="preserve"> activity. The provisional estimate of </w:t>
      </w:r>
      <w:r w:rsidRPr="00D9348B">
        <w:rPr>
          <w:i/>
        </w:rPr>
        <w:t>Afforestation and reforestation</w:t>
      </w:r>
      <w:r w:rsidRPr="00D9348B">
        <w:t xml:space="preserve"> for 2018 is 9,443 hectares. </w:t>
      </w:r>
    </w:p>
    <w:p w14:paraId="7950032A" w14:textId="77777777" w:rsidR="00D1512E" w:rsidRPr="00D9348B" w:rsidRDefault="00D1512E" w:rsidP="00FD4854">
      <w:pPr>
        <w:pStyle w:val="Heading5"/>
        <w:spacing w:before="200"/>
      </w:pPr>
      <w:r w:rsidRPr="00D9348B">
        <w:t xml:space="preserve">Deforestation </w:t>
      </w:r>
    </w:p>
    <w:p w14:paraId="0D964CCF" w14:textId="77777777" w:rsidR="00D1512E" w:rsidRPr="00D9348B" w:rsidRDefault="00D1512E" w:rsidP="00D1512E">
      <w:pPr>
        <w:pStyle w:val="BodyText"/>
      </w:pPr>
      <w:r w:rsidRPr="00D9348B">
        <w:t xml:space="preserve">The area deforested between 1 January 1990 and 31 December 2018 was 201,206 hectares. The area subject to </w:t>
      </w:r>
      <w:r w:rsidRPr="00D9348B">
        <w:rPr>
          <w:i/>
        </w:rPr>
        <w:t>Deforestation</w:t>
      </w:r>
      <w:r w:rsidRPr="00D9348B">
        <w:t xml:space="preserve"> in 2018 was 3,740 hectares. </w:t>
      </w:r>
    </w:p>
    <w:p w14:paraId="5A0D6010" w14:textId="77777777" w:rsidR="00D1512E" w:rsidRPr="00D9348B" w:rsidRDefault="00D1512E" w:rsidP="00A96B45">
      <w:pPr>
        <w:pStyle w:val="Heading5"/>
        <w:spacing w:before="200"/>
      </w:pPr>
      <w:r w:rsidRPr="00D9348B">
        <w:t>Forest management</w:t>
      </w:r>
    </w:p>
    <w:p w14:paraId="4E2B2EDD" w14:textId="77777777" w:rsidR="00D1512E" w:rsidRPr="00D9348B" w:rsidRDefault="00D1512E" w:rsidP="00D1512E">
      <w:pPr>
        <w:pStyle w:val="BodyText"/>
      </w:pPr>
      <w:r w:rsidRPr="00D9348B">
        <w:t xml:space="preserve">The net area reported under </w:t>
      </w:r>
      <w:r w:rsidRPr="00D9348B">
        <w:rPr>
          <w:i/>
        </w:rPr>
        <w:t>Forest management</w:t>
      </w:r>
      <w:r w:rsidRPr="00D9348B">
        <w:t xml:space="preserve"> as at the end of 2018 was 9,208,933 hectares (table ES 5.1(a)). This represents 34.3 per cent of New Zealand’s total land area. </w:t>
      </w:r>
    </w:p>
    <w:p w14:paraId="69B1A116" w14:textId="42D1EFD9" w:rsidR="00D1512E" w:rsidRPr="00D9348B" w:rsidRDefault="00D1512E" w:rsidP="00D1512E">
      <w:pPr>
        <w:pStyle w:val="Table"/>
      </w:pPr>
      <w:bookmarkStart w:id="106" w:name="_Toc511116700"/>
      <w:bookmarkStart w:id="107" w:name="_Toc5269434"/>
      <w:bookmarkStart w:id="108" w:name="_Toc36224511"/>
      <w:r w:rsidRPr="00D9348B">
        <w:lastRenderedPageBreak/>
        <w:t>Table ES 5.1(a)</w:t>
      </w:r>
      <w:r w:rsidRPr="00D9348B">
        <w:tab/>
        <w:t xml:space="preserve">New Zealand’s </w:t>
      </w:r>
      <w:r w:rsidR="00766DDA">
        <w:t>land-use</w:t>
      </w:r>
      <w:r w:rsidRPr="00D9348B">
        <w:t xml:space="preserve"> areas for Afforestation and reforestation, Deforestation</w:t>
      </w:r>
      <w:r w:rsidRPr="00D9348B">
        <w:br/>
        <w:t>and Forest management</w:t>
      </w:r>
      <w:bookmarkEnd w:id="106"/>
      <w:bookmarkEnd w:id="107"/>
      <w:bookmarkEnd w:id="108"/>
    </w:p>
    <w:tbl>
      <w:tblPr>
        <w:tblW w:w="8562" w:type="dxa"/>
        <w:tblInd w:w="108" w:type="dxa"/>
        <w:tblLayout w:type="fixed"/>
        <w:tblLook w:val="04A0" w:firstRow="1" w:lastRow="0" w:firstColumn="1" w:lastColumn="0" w:noHBand="0" w:noVBand="1"/>
      </w:tblPr>
      <w:tblGrid>
        <w:gridCol w:w="2410"/>
        <w:gridCol w:w="999"/>
        <w:gridCol w:w="992"/>
        <w:gridCol w:w="1079"/>
        <w:gridCol w:w="994"/>
        <w:gridCol w:w="992"/>
        <w:gridCol w:w="1096"/>
      </w:tblGrid>
      <w:tr w:rsidR="00832057" w:rsidRPr="00D9348B" w14:paraId="3A1FF49E" w14:textId="77777777" w:rsidTr="00DB330E">
        <w:tc>
          <w:tcPr>
            <w:tcW w:w="2410" w:type="dxa"/>
            <w:vMerge w:val="restart"/>
            <w:tcBorders>
              <w:top w:val="single" w:sz="4" w:space="0" w:color="365F91"/>
              <w:left w:val="nil"/>
              <w:right w:val="nil"/>
            </w:tcBorders>
            <w:shd w:val="clear" w:color="000000" w:fill="365F91"/>
            <w:vAlign w:val="bottom"/>
          </w:tcPr>
          <w:p w14:paraId="5E7DA9CC" w14:textId="1398922A" w:rsidR="00832057" w:rsidRPr="00D9348B" w:rsidRDefault="00832057" w:rsidP="00DB330E">
            <w:pPr>
              <w:pStyle w:val="TableTextBold"/>
              <w:spacing w:before="50" w:after="50"/>
              <w:jc w:val="right"/>
              <w:rPr>
                <w:noProof w:val="0"/>
                <w:color w:val="FFFFFF"/>
              </w:rPr>
            </w:pPr>
            <w:r w:rsidRPr="00D9348B">
              <w:rPr>
                <w:noProof w:val="0"/>
                <w:color w:val="0070C0"/>
              </w:rPr>
              <w:t> </w:t>
            </w:r>
          </w:p>
        </w:tc>
        <w:tc>
          <w:tcPr>
            <w:tcW w:w="6152" w:type="dxa"/>
            <w:gridSpan w:val="6"/>
            <w:tcBorders>
              <w:top w:val="single" w:sz="4" w:space="0" w:color="365F91"/>
              <w:left w:val="nil"/>
              <w:right w:val="nil"/>
            </w:tcBorders>
            <w:shd w:val="clear" w:color="000000" w:fill="365F91"/>
          </w:tcPr>
          <w:p w14:paraId="7D301EF1" w14:textId="0776400F" w:rsidR="00832057" w:rsidRPr="00D9348B" w:rsidRDefault="00832057" w:rsidP="00832057">
            <w:pPr>
              <w:pStyle w:val="TableTextBold"/>
              <w:spacing w:after="0"/>
              <w:jc w:val="center"/>
              <w:rPr>
                <w:noProof w:val="0"/>
                <w:color w:val="FFFFFF"/>
              </w:rPr>
            </w:pPr>
            <w:r w:rsidRPr="00D9348B">
              <w:rPr>
                <w:noProof w:val="0"/>
                <w:color w:val="FFFFFF"/>
              </w:rPr>
              <w:t>Hectares</w:t>
            </w:r>
          </w:p>
        </w:tc>
      </w:tr>
      <w:tr w:rsidR="00605CD5" w:rsidRPr="00D9348B" w14:paraId="44CBF2F8" w14:textId="77777777" w:rsidTr="00DB330E">
        <w:tc>
          <w:tcPr>
            <w:tcW w:w="2410" w:type="dxa"/>
            <w:vMerge/>
            <w:tcBorders>
              <w:left w:val="nil"/>
              <w:right w:val="nil"/>
            </w:tcBorders>
            <w:shd w:val="clear" w:color="000000" w:fill="365F91"/>
            <w:vAlign w:val="center"/>
            <w:hideMark/>
          </w:tcPr>
          <w:p w14:paraId="76F82EFB" w14:textId="191AB5FD" w:rsidR="00605CD5" w:rsidRPr="00D9348B" w:rsidRDefault="00605CD5" w:rsidP="00DB330E">
            <w:pPr>
              <w:pStyle w:val="TableTextBold"/>
              <w:spacing w:before="50" w:after="50"/>
              <w:jc w:val="right"/>
              <w:rPr>
                <w:noProof w:val="0"/>
                <w:color w:val="0070C0"/>
              </w:rPr>
            </w:pPr>
          </w:p>
        </w:tc>
        <w:tc>
          <w:tcPr>
            <w:tcW w:w="999" w:type="dxa"/>
            <w:tcBorders>
              <w:top w:val="single" w:sz="8" w:space="0" w:color="365F91"/>
              <w:left w:val="nil"/>
              <w:right w:val="nil"/>
            </w:tcBorders>
            <w:shd w:val="clear" w:color="000000" w:fill="365F91"/>
            <w:vAlign w:val="center"/>
            <w:hideMark/>
          </w:tcPr>
          <w:p w14:paraId="2A2F4E5E" w14:textId="77777777" w:rsidR="00605CD5" w:rsidRPr="00D9348B" w:rsidRDefault="00605CD5" w:rsidP="00DB330E">
            <w:pPr>
              <w:pStyle w:val="TableTextBold"/>
              <w:spacing w:before="50" w:after="50"/>
              <w:jc w:val="right"/>
              <w:rPr>
                <w:noProof w:val="0"/>
                <w:color w:val="FFFFFF"/>
              </w:rPr>
            </w:pPr>
            <w:r w:rsidRPr="00D9348B">
              <w:rPr>
                <w:noProof w:val="0"/>
                <w:color w:val="FFFFFF"/>
              </w:rPr>
              <w:t>2013</w:t>
            </w:r>
          </w:p>
        </w:tc>
        <w:tc>
          <w:tcPr>
            <w:tcW w:w="992" w:type="dxa"/>
            <w:tcBorders>
              <w:top w:val="single" w:sz="8" w:space="0" w:color="365F91"/>
              <w:left w:val="nil"/>
              <w:right w:val="nil"/>
            </w:tcBorders>
            <w:shd w:val="clear" w:color="000000" w:fill="365F91"/>
            <w:vAlign w:val="center"/>
            <w:hideMark/>
          </w:tcPr>
          <w:p w14:paraId="73DE374C" w14:textId="77777777" w:rsidR="00605CD5" w:rsidRPr="00D9348B" w:rsidRDefault="00605CD5" w:rsidP="00DB330E">
            <w:pPr>
              <w:pStyle w:val="TableTextBold"/>
              <w:spacing w:before="50" w:after="50"/>
              <w:jc w:val="right"/>
              <w:rPr>
                <w:noProof w:val="0"/>
                <w:color w:val="FFFFFF"/>
              </w:rPr>
            </w:pPr>
            <w:r w:rsidRPr="00D9348B">
              <w:rPr>
                <w:noProof w:val="0"/>
                <w:color w:val="FFFFFF"/>
              </w:rPr>
              <w:t>2014</w:t>
            </w:r>
          </w:p>
        </w:tc>
        <w:tc>
          <w:tcPr>
            <w:tcW w:w="1079" w:type="dxa"/>
            <w:tcBorders>
              <w:top w:val="single" w:sz="8" w:space="0" w:color="365F91"/>
              <w:left w:val="nil"/>
              <w:right w:val="nil"/>
            </w:tcBorders>
            <w:shd w:val="clear" w:color="000000" w:fill="365F91"/>
            <w:vAlign w:val="center"/>
            <w:hideMark/>
          </w:tcPr>
          <w:p w14:paraId="2EFC65EE" w14:textId="77777777" w:rsidR="00605CD5" w:rsidRPr="00D9348B" w:rsidRDefault="00605CD5" w:rsidP="00DB330E">
            <w:pPr>
              <w:pStyle w:val="TableTextBold"/>
              <w:spacing w:before="50" w:after="50"/>
              <w:jc w:val="right"/>
              <w:rPr>
                <w:noProof w:val="0"/>
                <w:color w:val="FFFFFF"/>
              </w:rPr>
            </w:pPr>
            <w:r w:rsidRPr="00D9348B">
              <w:rPr>
                <w:noProof w:val="0"/>
                <w:color w:val="FFFFFF"/>
              </w:rPr>
              <w:t>2015</w:t>
            </w:r>
          </w:p>
        </w:tc>
        <w:tc>
          <w:tcPr>
            <w:tcW w:w="994" w:type="dxa"/>
            <w:tcBorders>
              <w:top w:val="single" w:sz="8" w:space="0" w:color="365F91"/>
              <w:left w:val="nil"/>
              <w:right w:val="nil"/>
            </w:tcBorders>
            <w:shd w:val="clear" w:color="000000" w:fill="365F91"/>
            <w:vAlign w:val="center"/>
            <w:hideMark/>
          </w:tcPr>
          <w:p w14:paraId="23DF371A" w14:textId="77777777" w:rsidR="00605CD5" w:rsidRPr="00D9348B" w:rsidRDefault="00605CD5" w:rsidP="00DB330E">
            <w:pPr>
              <w:pStyle w:val="TableTextBold"/>
              <w:spacing w:before="50" w:after="50"/>
              <w:jc w:val="right"/>
              <w:rPr>
                <w:noProof w:val="0"/>
                <w:color w:val="FFFFFF"/>
              </w:rPr>
            </w:pPr>
            <w:r w:rsidRPr="00D9348B">
              <w:rPr>
                <w:noProof w:val="0"/>
                <w:color w:val="FFFFFF"/>
              </w:rPr>
              <w:t>2016</w:t>
            </w:r>
          </w:p>
        </w:tc>
        <w:tc>
          <w:tcPr>
            <w:tcW w:w="992" w:type="dxa"/>
            <w:tcBorders>
              <w:top w:val="single" w:sz="8" w:space="0" w:color="365F91"/>
              <w:left w:val="nil"/>
              <w:right w:val="nil"/>
            </w:tcBorders>
            <w:shd w:val="clear" w:color="000000" w:fill="365F91"/>
          </w:tcPr>
          <w:p w14:paraId="4551998A" w14:textId="77777777" w:rsidR="00605CD5" w:rsidRPr="00D9348B" w:rsidRDefault="00605CD5" w:rsidP="00DB330E">
            <w:pPr>
              <w:pStyle w:val="TableTextBold"/>
              <w:spacing w:before="50" w:after="50"/>
              <w:jc w:val="right"/>
              <w:rPr>
                <w:noProof w:val="0"/>
                <w:color w:val="FFFFFF"/>
              </w:rPr>
            </w:pPr>
            <w:r w:rsidRPr="00D9348B">
              <w:rPr>
                <w:noProof w:val="0"/>
                <w:color w:val="FFFFFF"/>
              </w:rPr>
              <w:t>2017</w:t>
            </w:r>
            <w:r w:rsidRPr="00D9348B">
              <w:rPr>
                <w:noProof w:val="0"/>
                <w:color w:val="FFFFFF"/>
                <w:vertAlign w:val="superscript"/>
              </w:rPr>
              <w:t>P</w:t>
            </w:r>
          </w:p>
        </w:tc>
        <w:tc>
          <w:tcPr>
            <w:tcW w:w="1096" w:type="dxa"/>
            <w:tcBorders>
              <w:top w:val="single" w:sz="8" w:space="0" w:color="365F91"/>
              <w:left w:val="nil"/>
              <w:right w:val="nil"/>
            </w:tcBorders>
            <w:shd w:val="clear" w:color="000000" w:fill="365F91"/>
          </w:tcPr>
          <w:p w14:paraId="667C2CB4" w14:textId="77777777" w:rsidR="00605CD5" w:rsidRPr="00D9348B" w:rsidRDefault="00605CD5" w:rsidP="00DB330E">
            <w:pPr>
              <w:pStyle w:val="TableTextBold"/>
              <w:spacing w:before="50" w:after="50"/>
              <w:jc w:val="right"/>
              <w:rPr>
                <w:noProof w:val="0"/>
                <w:color w:val="FFFFFF"/>
              </w:rPr>
            </w:pPr>
            <w:r w:rsidRPr="00D9348B">
              <w:rPr>
                <w:noProof w:val="0"/>
                <w:color w:val="FFFFFF"/>
              </w:rPr>
              <w:t>2018</w:t>
            </w:r>
            <w:r w:rsidRPr="00D9348B">
              <w:rPr>
                <w:noProof w:val="0"/>
                <w:color w:val="FFFFFF"/>
                <w:vertAlign w:val="superscript"/>
              </w:rPr>
              <w:t>P</w:t>
            </w:r>
          </w:p>
        </w:tc>
      </w:tr>
      <w:tr w:rsidR="00D1512E" w:rsidRPr="00D9348B" w14:paraId="3EB2CDE9" w14:textId="77777777" w:rsidTr="00605CD5">
        <w:tc>
          <w:tcPr>
            <w:tcW w:w="2410" w:type="dxa"/>
            <w:tcBorders>
              <w:left w:val="nil"/>
              <w:bottom w:val="single" w:sz="4" w:space="0" w:color="auto"/>
              <w:right w:val="nil"/>
            </w:tcBorders>
            <w:shd w:val="clear" w:color="auto" w:fill="auto"/>
            <w:vAlign w:val="center"/>
            <w:hideMark/>
          </w:tcPr>
          <w:p w14:paraId="5F34FE6A" w14:textId="77777777" w:rsidR="00D1512E" w:rsidRPr="00D9348B" w:rsidRDefault="00D1512E" w:rsidP="00DB330E">
            <w:pPr>
              <w:pStyle w:val="TableTextBold"/>
              <w:spacing w:before="50" w:after="40"/>
              <w:rPr>
                <w:noProof w:val="0"/>
              </w:rPr>
            </w:pPr>
            <w:r w:rsidRPr="00D9348B">
              <w:rPr>
                <w:noProof w:val="0"/>
              </w:rPr>
              <w:t>Afforestation and reforestation</w:t>
            </w:r>
          </w:p>
        </w:tc>
        <w:tc>
          <w:tcPr>
            <w:tcW w:w="999" w:type="dxa"/>
            <w:tcBorders>
              <w:left w:val="nil"/>
              <w:bottom w:val="single" w:sz="4" w:space="0" w:color="auto"/>
              <w:right w:val="nil"/>
            </w:tcBorders>
            <w:shd w:val="clear" w:color="auto" w:fill="auto"/>
            <w:noWrap/>
            <w:vAlign w:val="bottom"/>
            <w:hideMark/>
          </w:tcPr>
          <w:p w14:paraId="0F111F0C" w14:textId="77777777" w:rsidR="00D1512E" w:rsidRPr="00D9348B" w:rsidRDefault="00D1512E" w:rsidP="00DB330E">
            <w:pPr>
              <w:pStyle w:val="TableTextBold"/>
              <w:spacing w:before="50" w:after="40"/>
              <w:rPr>
                <w:noProof w:val="0"/>
              </w:rPr>
            </w:pPr>
          </w:p>
        </w:tc>
        <w:tc>
          <w:tcPr>
            <w:tcW w:w="992" w:type="dxa"/>
            <w:tcBorders>
              <w:left w:val="nil"/>
              <w:bottom w:val="single" w:sz="4" w:space="0" w:color="auto"/>
              <w:right w:val="nil"/>
            </w:tcBorders>
            <w:shd w:val="clear" w:color="auto" w:fill="auto"/>
            <w:noWrap/>
            <w:vAlign w:val="bottom"/>
            <w:hideMark/>
          </w:tcPr>
          <w:p w14:paraId="1EE0D079" w14:textId="77777777" w:rsidR="00D1512E" w:rsidRPr="00D9348B" w:rsidRDefault="00D1512E" w:rsidP="00DB330E">
            <w:pPr>
              <w:pStyle w:val="TableTextBold"/>
              <w:spacing w:before="50" w:after="40"/>
              <w:rPr>
                <w:noProof w:val="0"/>
              </w:rPr>
            </w:pPr>
          </w:p>
        </w:tc>
        <w:tc>
          <w:tcPr>
            <w:tcW w:w="1079" w:type="dxa"/>
            <w:tcBorders>
              <w:left w:val="nil"/>
              <w:bottom w:val="single" w:sz="4" w:space="0" w:color="auto"/>
              <w:right w:val="nil"/>
            </w:tcBorders>
            <w:shd w:val="clear" w:color="auto" w:fill="auto"/>
            <w:noWrap/>
            <w:vAlign w:val="bottom"/>
            <w:hideMark/>
          </w:tcPr>
          <w:p w14:paraId="31AA85E1" w14:textId="77777777" w:rsidR="00D1512E" w:rsidRPr="00D9348B" w:rsidRDefault="00D1512E" w:rsidP="00DB330E">
            <w:pPr>
              <w:pStyle w:val="TableTextBold"/>
              <w:spacing w:before="50" w:after="40"/>
              <w:rPr>
                <w:noProof w:val="0"/>
              </w:rPr>
            </w:pPr>
          </w:p>
        </w:tc>
        <w:tc>
          <w:tcPr>
            <w:tcW w:w="994" w:type="dxa"/>
            <w:tcBorders>
              <w:left w:val="nil"/>
              <w:bottom w:val="single" w:sz="4" w:space="0" w:color="auto"/>
              <w:right w:val="nil"/>
            </w:tcBorders>
            <w:shd w:val="clear" w:color="auto" w:fill="auto"/>
            <w:noWrap/>
            <w:vAlign w:val="bottom"/>
            <w:hideMark/>
          </w:tcPr>
          <w:p w14:paraId="75DECCFF" w14:textId="77777777" w:rsidR="00D1512E" w:rsidRPr="00D9348B" w:rsidRDefault="00D1512E" w:rsidP="00DB330E">
            <w:pPr>
              <w:pStyle w:val="TableTextBold"/>
              <w:spacing w:before="50" w:after="40"/>
              <w:rPr>
                <w:noProof w:val="0"/>
              </w:rPr>
            </w:pPr>
          </w:p>
        </w:tc>
        <w:tc>
          <w:tcPr>
            <w:tcW w:w="992" w:type="dxa"/>
            <w:tcBorders>
              <w:left w:val="nil"/>
              <w:bottom w:val="single" w:sz="4" w:space="0" w:color="auto"/>
              <w:right w:val="nil"/>
            </w:tcBorders>
          </w:tcPr>
          <w:p w14:paraId="7F6B3EAE" w14:textId="77777777" w:rsidR="00D1512E" w:rsidRPr="00D9348B" w:rsidRDefault="00D1512E" w:rsidP="00DB330E">
            <w:pPr>
              <w:pStyle w:val="TableTextBold"/>
              <w:spacing w:before="50" w:after="40"/>
              <w:rPr>
                <w:noProof w:val="0"/>
              </w:rPr>
            </w:pPr>
          </w:p>
        </w:tc>
        <w:tc>
          <w:tcPr>
            <w:tcW w:w="1096" w:type="dxa"/>
            <w:tcBorders>
              <w:left w:val="nil"/>
              <w:bottom w:val="single" w:sz="4" w:space="0" w:color="auto"/>
              <w:right w:val="nil"/>
            </w:tcBorders>
          </w:tcPr>
          <w:p w14:paraId="505096B7" w14:textId="77777777" w:rsidR="00D1512E" w:rsidRPr="00D9348B" w:rsidRDefault="00D1512E" w:rsidP="00DB330E">
            <w:pPr>
              <w:pStyle w:val="TableTextBold"/>
              <w:spacing w:before="50" w:after="40"/>
              <w:rPr>
                <w:noProof w:val="0"/>
              </w:rPr>
            </w:pPr>
          </w:p>
        </w:tc>
      </w:tr>
      <w:tr w:rsidR="00D1512E" w:rsidRPr="00D9348B" w14:paraId="45BEFF10" w14:textId="77777777" w:rsidTr="00605CD5">
        <w:tc>
          <w:tcPr>
            <w:tcW w:w="2410" w:type="dxa"/>
            <w:tcBorders>
              <w:top w:val="single" w:sz="4" w:space="0" w:color="auto"/>
              <w:left w:val="nil"/>
              <w:right w:val="nil"/>
            </w:tcBorders>
            <w:shd w:val="clear" w:color="auto" w:fill="auto"/>
            <w:vAlign w:val="center"/>
            <w:hideMark/>
          </w:tcPr>
          <w:p w14:paraId="6C923EE8" w14:textId="77777777" w:rsidR="00D1512E" w:rsidRPr="00D9348B" w:rsidRDefault="00D1512E" w:rsidP="00DB330E">
            <w:pPr>
              <w:pStyle w:val="TableText"/>
              <w:spacing w:before="50" w:after="50"/>
            </w:pPr>
            <w:r w:rsidRPr="00D9348B">
              <w:t>Net cumulative area since 1990</w:t>
            </w:r>
          </w:p>
        </w:tc>
        <w:tc>
          <w:tcPr>
            <w:tcW w:w="999" w:type="dxa"/>
            <w:tcBorders>
              <w:top w:val="single" w:sz="4" w:space="0" w:color="auto"/>
              <w:left w:val="nil"/>
              <w:right w:val="nil"/>
            </w:tcBorders>
            <w:shd w:val="clear" w:color="auto" w:fill="auto"/>
            <w:hideMark/>
          </w:tcPr>
          <w:p w14:paraId="41842D43" w14:textId="77777777" w:rsidR="00D1512E" w:rsidRPr="00D9348B" w:rsidRDefault="00D1512E" w:rsidP="00DB330E">
            <w:pPr>
              <w:pStyle w:val="TableText"/>
              <w:spacing w:before="50" w:after="50"/>
              <w:jc w:val="right"/>
              <w:rPr>
                <w:rFonts w:cs="Arial"/>
                <w:szCs w:val="16"/>
              </w:rPr>
            </w:pPr>
            <w:r w:rsidRPr="00D9348B">
              <w:t>677,229</w:t>
            </w:r>
          </w:p>
        </w:tc>
        <w:tc>
          <w:tcPr>
            <w:tcW w:w="992" w:type="dxa"/>
            <w:tcBorders>
              <w:top w:val="single" w:sz="4" w:space="0" w:color="auto"/>
              <w:left w:val="nil"/>
              <w:right w:val="nil"/>
            </w:tcBorders>
            <w:shd w:val="clear" w:color="auto" w:fill="auto"/>
            <w:hideMark/>
          </w:tcPr>
          <w:p w14:paraId="06C93B3C" w14:textId="77777777" w:rsidR="00D1512E" w:rsidRPr="00D9348B" w:rsidRDefault="00D1512E" w:rsidP="00DB330E">
            <w:pPr>
              <w:pStyle w:val="TableText"/>
              <w:spacing w:before="50" w:after="50"/>
              <w:jc w:val="right"/>
              <w:rPr>
                <w:rFonts w:cs="Arial"/>
                <w:szCs w:val="16"/>
              </w:rPr>
            </w:pPr>
            <w:r w:rsidRPr="00D9348B">
              <w:t>679,128</w:t>
            </w:r>
          </w:p>
        </w:tc>
        <w:tc>
          <w:tcPr>
            <w:tcW w:w="1079" w:type="dxa"/>
            <w:tcBorders>
              <w:top w:val="single" w:sz="4" w:space="0" w:color="auto"/>
              <w:left w:val="nil"/>
              <w:right w:val="nil"/>
            </w:tcBorders>
            <w:shd w:val="clear" w:color="auto" w:fill="auto"/>
            <w:hideMark/>
          </w:tcPr>
          <w:p w14:paraId="70F222BE" w14:textId="77777777" w:rsidR="00D1512E" w:rsidRPr="00D9348B" w:rsidRDefault="00D1512E" w:rsidP="00DB330E">
            <w:pPr>
              <w:pStyle w:val="TableText"/>
              <w:spacing w:before="50" w:after="50"/>
              <w:jc w:val="right"/>
              <w:rPr>
                <w:rFonts w:cs="Arial"/>
                <w:szCs w:val="16"/>
              </w:rPr>
            </w:pPr>
            <w:r w:rsidRPr="00D9348B">
              <w:t>680,963</w:t>
            </w:r>
          </w:p>
        </w:tc>
        <w:tc>
          <w:tcPr>
            <w:tcW w:w="994" w:type="dxa"/>
            <w:tcBorders>
              <w:top w:val="single" w:sz="4" w:space="0" w:color="auto"/>
              <w:left w:val="nil"/>
              <w:right w:val="nil"/>
            </w:tcBorders>
            <w:shd w:val="clear" w:color="auto" w:fill="auto"/>
            <w:hideMark/>
          </w:tcPr>
          <w:p w14:paraId="142BCAD6" w14:textId="77777777" w:rsidR="00D1512E" w:rsidRPr="00D9348B" w:rsidRDefault="00D1512E" w:rsidP="00DB330E">
            <w:pPr>
              <w:pStyle w:val="TableText"/>
              <w:spacing w:before="50" w:after="50"/>
              <w:jc w:val="right"/>
              <w:rPr>
                <w:rFonts w:cs="Arial"/>
                <w:szCs w:val="16"/>
              </w:rPr>
            </w:pPr>
            <w:r w:rsidRPr="00D9348B">
              <w:t>683,921</w:t>
            </w:r>
          </w:p>
        </w:tc>
        <w:tc>
          <w:tcPr>
            <w:tcW w:w="992" w:type="dxa"/>
            <w:tcBorders>
              <w:top w:val="single" w:sz="4" w:space="0" w:color="auto"/>
              <w:left w:val="nil"/>
              <w:right w:val="nil"/>
            </w:tcBorders>
          </w:tcPr>
          <w:p w14:paraId="6F11384D" w14:textId="77777777" w:rsidR="00D1512E" w:rsidRPr="00D9348B" w:rsidRDefault="00D1512E" w:rsidP="00DB330E">
            <w:pPr>
              <w:pStyle w:val="TableText"/>
              <w:spacing w:before="50" w:after="50"/>
              <w:jc w:val="right"/>
            </w:pPr>
            <w:r w:rsidRPr="00D9348B">
              <w:t>689,747</w:t>
            </w:r>
          </w:p>
        </w:tc>
        <w:tc>
          <w:tcPr>
            <w:tcW w:w="1096" w:type="dxa"/>
            <w:tcBorders>
              <w:top w:val="single" w:sz="4" w:space="0" w:color="auto"/>
              <w:left w:val="nil"/>
              <w:right w:val="nil"/>
            </w:tcBorders>
          </w:tcPr>
          <w:p w14:paraId="02A9C389" w14:textId="77777777" w:rsidR="00D1512E" w:rsidRPr="00D9348B" w:rsidRDefault="00D1512E" w:rsidP="00DB330E">
            <w:pPr>
              <w:pStyle w:val="TableText"/>
              <w:spacing w:before="50" w:after="50"/>
              <w:jc w:val="right"/>
            </w:pPr>
            <w:r w:rsidRPr="00D9348B">
              <w:t>698,497</w:t>
            </w:r>
          </w:p>
        </w:tc>
      </w:tr>
      <w:tr w:rsidR="00D1512E" w:rsidRPr="00D9348B" w14:paraId="387E0938" w14:textId="77777777" w:rsidTr="00605CD5">
        <w:tc>
          <w:tcPr>
            <w:tcW w:w="2410" w:type="dxa"/>
            <w:tcBorders>
              <w:left w:val="nil"/>
              <w:right w:val="nil"/>
            </w:tcBorders>
            <w:shd w:val="clear" w:color="auto" w:fill="auto"/>
            <w:vAlign w:val="center"/>
            <w:hideMark/>
          </w:tcPr>
          <w:p w14:paraId="4B4BEDAB" w14:textId="77777777" w:rsidR="00D1512E" w:rsidRPr="00D9348B" w:rsidRDefault="00D1512E" w:rsidP="00DB330E">
            <w:pPr>
              <w:pStyle w:val="TableText"/>
              <w:spacing w:before="50" w:after="50"/>
            </w:pPr>
            <w:r w:rsidRPr="00D9348B">
              <w:t>Area in calendar year</w:t>
            </w:r>
          </w:p>
        </w:tc>
        <w:tc>
          <w:tcPr>
            <w:tcW w:w="999" w:type="dxa"/>
            <w:tcBorders>
              <w:left w:val="nil"/>
              <w:right w:val="nil"/>
            </w:tcBorders>
            <w:shd w:val="clear" w:color="auto" w:fill="auto"/>
            <w:hideMark/>
          </w:tcPr>
          <w:p w14:paraId="3AE99655" w14:textId="77777777" w:rsidR="00D1512E" w:rsidRPr="00D9348B" w:rsidRDefault="00D1512E" w:rsidP="00DB330E">
            <w:pPr>
              <w:pStyle w:val="TableText"/>
              <w:spacing w:before="50" w:after="50"/>
              <w:jc w:val="right"/>
              <w:rPr>
                <w:rFonts w:cs="Arial"/>
                <w:szCs w:val="16"/>
              </w:rPr>
            </w:pPr>
            <w:r w:rsidRPr="00D9348B">
              <w:t>4,530</w:t>
            </w:r>
          </w:p>
        </w:tc>
        <w:tc>
          <w:tcPr>
            <w:tcW w:w="992" w:type="dxa"/>
            <w:tcBorders>
              <w:left w:val="nil"/>
              <w:right w:val="nil"/>
            </w:tcBorders>
            <w:shd w:val="clear" w:color="auto" w:fill="auto"/>
            <w:hideMark/>
          </w:tcPr>
          <w:p w14:paraId="2E391339" w14:textId="77777777" w:rsidR="00D1512E" w:rsidRPr="00D9348B" w:rsidRDefault="00D1512E" w:rsidP="00DB330E">
            <w:pPr>
              <w:pStyle w:val="TableText"/>
              <w:spacing w:before="50" w:after="50"/>
              <w:jc w:val="right"/>
              <w:rPr>
                <w:rFonts w:cs="Arial"/>
                <w:szCs w:val="16"/>
              </w:rPr>
            </w:pPr>
            <w:r w:rsidRPr="00D9348B">
              <w:t>3,447</w:t>
            </w:r>
          </w:p>
        </w:tc>
        <w:tc>
          <w:tcPr>
            <w:tcW w:w="1079" w:type="dxa"/>
            <w:tcBorders>
              <w:left w:val="nil"/>
              <w:right w:val="nil"/>
            </w:tcBorders>
            <w:shd w:val="clear" w:color="auto" w:fill="auto"/>
            <w:hideMark/>
          </w:tcPr>
          <w:p w14:paraId="5EA32B1A" w14:textId="77777777" w:rsidR="00D1512E" w:rsidRPr="00D9348B" w:rsidRDefault="00D1512E" w:rsidP="00DB330E">
            <w:pPr>
              <w:pStyle w:val="TableText"/>
              <w:spacing w:before="50" w:after="50"/>
              <w:jc w:val="right"/>
              <w:rPr>
                <w:rFonts w:cs="Arial"/>
                <w:szCs w:val="16"/>
                <w:vertAlign w:val="superscript"/>
              </w:rPr>
            </w:pPr>
            <w:r w:rsidRPr="00D9348B">
              <w:t>3,502</w:t>
            </w:r>
          </w:p>
        </w:tc>
        <w:tc>
          <w:tcPr>
            <w:tcW w:w="994" w:type="dxa"/>
            <w:tcBorders>
              <w:left w:val="nil"/>
              <w:right w:val="nil"/>
            </w:tcBorders>
            <w:shd w:val="clear" w:color="auto" w:fill="auto"/>
            <w:hideMark/>
          </w:tcPr>
          <w:p w14:paraId="34B96388" w14:textId="77777777" w:rsidR="00D1512E" w:rsidRPr="00D9348B" w:rsidRDefault="00D1512E" w:rsidP="00DB330E">
            <w:pPr>
              <w:pStyle w:val="TableText"/>
              <w:spacing w:before="50" w:after="50"/>
              <w:jc w:val="right"/>
              <w:rPr>
                <w:rFonts w:cs="Arial"/>
                <w:szCs w:val="16"/>
                <w:vertAlign w:val="superscript"/>
              </w:rPr>
            </w:pPr>
            <w:r w:rsidRPr="00D9348B">
              <w:t>4,281</w:t>
            </w:r>
          </w:p>
        </w:tc>
        <w:tc>
          <w:tcPr>
            <w:tcW w:w="992" w:type="dxa"/>
            <w:tcBorders>
              <w:left w:val="nil"/>
              <w:right w:val="nil"/>
            </w:tcBorders>
            <w:vAlign w:val="center"/>
          </w:tcPr>
          <w:p w14:paraId="472C1F23" w14:textId="77777777" w:rsidR="00D1512E" w:rsidRPr="00D9348B" w:rsidRDefault="00D1512E" w:rsidP="00DB330E">
            <w:pPr>
              <w:pStyle w:val="TableText"/>
              <w:spacing w:before="50" w:after="50"/>
              <w:jc w:val="right"/>
            </w:pPr>
            <w:r w:rsidRPr="00D9348B">
              <w:t>6,461</w:t>
            </w:r>
          </w:p>
        </w:tc>
        <w:tc>
          <w:tcPr>
            <w:tcW w:w="1096" w:type="dxa"/>
            <w:tcBorders>
              <w:left w:val="nil"/>
              <w:right w:val="nil"/>
            </w:tcBorders>
            <w:vAlign w:val="center"/>
          </w:tcPr>
          <w:p w14:paraId="02B36D8A" w14:textId="77777777" w:rsidR="00D1512E" w:rsidRPr="00D9348B" w:rsidRDefault="00D1512E" w:rsidP="00DB330E">
            <w:pPr>
              <w:pStyle w:val="TableText"/>
              <w:spacing w:before="50" w:after="50"/>
              <w:jc w:val="right"/>
            </w:pPr>
            <w:r w:rsidRPr="00D9348B">
              <w:t>9,443</w:t>
            </w:r>
          </w:p>
        </w:tc>
      </w:tr>
      <w:tr w:rsidR="00D1512E" w:rsidRPr="00D9348B" w14:paraId="6D9A7A87" w14:textId="77777777" w:rsidTr="00605CD5">
        <w:tc>
          <w:tcPr>
            <w:tcW w:w="2410" w:type="dxa"/>
            <w:tcBorders>
              <w:top w:val="nil"/>
              <w:left w:val="nil"/>
              <w:bottom w:val="single" w:sz="4" w:space="0" w:color="auto"/>
              <w:right w:val="nil"/>
            </w:tcBorders>
            <w:shd w:val="clear" w:color="auto" w:fill="auto"/>
            <w:vAlign w:val="center"/>
            <w:hideMark/>
          </w:tcPr>
          <w:p w14:paraId="56348B20" w14:textId="77777777" w:rsidR="00D1512E" w:rsidRPr="00D9348B" w:rsidRDefault="00D1512E" w:rsidP="00DB330E">
            <w:pPr>
              <w:pStyle w:val="TableTextBold"/>
              <w:spacing w:before="50" w:after="50"/>
              <w:rPr>
                <w:noProof w:val="0"/>
              </w:rPr>
            </w:pPr>
            <w:r w:rsidRPr="00D9348B">
              <w:rPr>
                <w:noProof w:val="0"/>
              </w:rPr>
              <w:t>Deforestation</w:t>
            </w:r>
          </w:p>
        </w:tc>
        <w:tc>
          <w:tcPr>
            <w:tcW w:w="999" w:type="dxa"/>
            <w:tcBorders>
              <w:top w:val="nil"/>
              <w:left w:val="nil"/>
              <w:bottom w:val="single" w:sz="4" w:space="0" w:color="auto"/>
              <w:right w:val="nil"/>
            </w:tcBorders>
            <w:shd w:val="clear" w:color="auto" w:fill="auto"/>
            <w:hideMark/>
          </w:tcPr>
          <w:p w14:paraId="38CA3D0B" w14:textId="77777777" w:rsidR="00D1512E" w:rsidRPr="00D9348B" w:rsidRDefault="00D1512E" w:rsidP="00DB330E">
            <w:pPr>
              <w:pStyle w:val="TableTextBold"/>
              <w:spacing w:before="50" w:after="50"/>
              <w:jc w:val="right"/>
              <w:rPr>
                <w:rFonts w:cs="Arial"/>
                <w:noProof w:val="0"/>
                <w:szCs w:val="16"/>
              </w:rPr>
            </w:pPr>
          </w:p>
        </w:tc>
        <w:tc>
          <w:tcPr>
            <w:tcW w:w="992" w:type="dxa"/>
            <w:tcBorders>
              <w:top w:val="nil"/>
              <w:left w:val="nil"/>
              <w:bottom w:val="single" w:sz="4" w:space="0" w:color="auto"/>
              <w:right w:val="nil"/>
            </w:tcBorders>
            <w:shd w:val="clear" w:color="auto" w:fill="auto"/>
            <w:hideMark/>
          </w:tcPr>
          <w:p w14:paraId="4194907C" w14:textId="77777777" w:rsidR="00D1512E" w:rsidRPr="00D9348B" w:rsidRDefault="00D1512E" w:rsidP="00DB330E">
            <w:pPr>
              <w:pStyle w:val="TableTextBold"/>
              <w:spacing w:before="50" w:after="50"/>
              <w:jc w:val="right"/>
              <w:rPr>
                <w:rFonts w:cs="Arial"/>
                <w:noProof w:val="0"/>
                <w:szCs w:val="16"/>
              </w:rPr>
            </w:pPr>
          </w:p>
        </w:tc>
        <w:tc>
          <w:tcPr>
            <w:tcW w:w="1079" w:type="dxa"/>
            <w:tcBorders>
              <w:top w:val="nil"/>
              <w:left w:val="nil"/>
              <w:bottom w:val="single" w:sz="4" w:space="0" w:color="auto"/>
              <w:right w:val="nil"/>
            </w:tcBorders>
            <w:shd w:val="clear" w:color="auto" w:fill="auto"/>
            <w:hideMark/>
          </w:tcPr>
          <w:p w14:paraId="7B77B571" w14:textId="77777777" w:rsidR="00D1512E" w:rsidRPr="00D9348B" w:rsidRDefault="00D1512E" w:rsidP="00DB330E">
            <w:pPr>
              <w:pStyle w:val="TableTextBold"/>
              <w:spacing w:before="50" w:after="50"/>
              <w:jc w:val="right"/>
              <w:rPr>
                <w:rFonts w:cs="Arial"/>
                <w:noProof w:val="0"/>
                <w:szCs w:val="16"/>
              </w:rPr>
            </w:pPr>
          </w:p>
        </w:tc>
        <w:tc>
          <w:tcPr>
            <w:tcW w:w="994" w:type="dxa"/>
            <w:tcBorders>
              <w:top w:val="nil"/>
              <w:left w:val="nil"/>
              <w:bottom w:val="single" w:sz="4" w:space="0" w:color="auto"/>
              <w:right w:val="nil"/>
            </w:tcBorders>
            <w:shd w:val="clear" w:color="auto" w:fill="auto"/>
            <w:hideMark/>
          </w:tcPr>
          <w:p w14:paraId="3A78AC6F" w14:textId="77777777" w:rsidR="00D1512E" w:rsidRPr="00D9348B" w:rsidRDefault="00D1512E" w:rsidP="00DB330E">
            <w:pPr>
              <w:pStyle w:val="TableTextBold"/>
              <w:spacing w:before="50" w:after="50"/>
              <w:jc w:val="right"/>
              <w:rPr>
                <w:rFonts w:cs="Arial"/>
                <w:noProof w:val="0"/>
                <w:szCs w:val="16"/>
              </w:rPr>
            </w:pPr>
          </w:p>
        </w:tc>
        <w:tc>
          <w:tcPr>
            <w:tcW w:w="992" w:type="dxa"/>
            <w:tcBorders>
              <w:top w:val="nil"/>
              <w:left w:val="nil"/>
              <w:bottom w:val="single" w:sz="4" w:space="0" w:color="auto"/>
              <w:right w:val="nil"/>
            </w:tcBorders>
          </w:tcPr>
          <w:p w14:paraId="427BE5E2" w14:textId="77777777" w:rsidR="00D1512E" w:rsidRPr="00D9348B" w:rsidRDefault="00D1512E" w:rsidP="00DB330E">
            <w:pPr>
              <w:pStyle w:val="TableTextBold"/>
              <w:spacing w:before="50" w:after="50"/>
              <w:jc w:val="right"/>
              <w:rPr>
                <w:rFonts w:cs="Arial"/>
                <w:noProof w:val="0"/>
                <w:szCs w:val="16"/>
              </w:rPr>
            </w:pPr>
          </w:p>
        </w:tc>
        <w:tc>
          <w:tcPr>
            <w:tcW w:w="1096" w:type="dxa"/>
            <w:tcBorders>
              <w:top w:val="nil"/>
              <w:left w:val="nil"/>
              <w:bottom w:val="single" w:sz="4" w:space="0" w:color="auto"/>
              <w:right w:val="nil"/>
            </w:tcBorders>
          </w:tcPr>
          <w:p w14:paraId="262ED47D" w14:textId="77777777" w:rsidR="00D1512E" w:rsidRPr="00D9348B" w:rsidRDefault="00D1512E" w:rsidP="00DB330E">
            <w:pPr>
              <w:pStyle w:val="TableTextBold"/>
              <w:spacing w:before="50" w:after="50"/>
              <w:jc w:val="right"/>
              <w:rPr>
                <w:rFonts w:cs="Arial"/>
                <w:noProof w:val="0"/>
                <w:szCs w:val="16"/>
              </w:rPr>
            </w:pPr>
          </w:p>
        </w:tc>
      </w:tr>
      <w:tr w:rsidR="00D1512E" w:rsidRPr="00D9348B" w14:paraId="36ED757B" w14:textId="77777777" w:rsidTr="00605CD5">
        <w:tc>
          <w:tcPr>
            <w:tcW w:w="2410" w:type="dxa"/>
            <w:tcBorders>
              <w:top w:val="single" w:sz="4" w:space="0" w:color="auto"/>
              <w:left w:val="nil"/>
              <w:right w:val="nil"/>
            </w:tcBorders>
            <w:shd w:val="clear" w:color="auto" w:fill="auto"/>
            <w:vAlign w:val="center"/>
            <w:hideMark/>
          </w:tcPr>
          <w:p w14:paraId="5A5B72F2" w14:textId="77777777" w:rsidR="00D1512E" w:rsidRPr="00D9348B" w:rsidRDefault="00D1512E" w:rsidP="00DB330E">
            <w:pPr>
              <w:pStyle w:val="TableText"/>
              <w:spacing w:before="50" w:after="50"/>
            </w:pPr>
            <w:r w:rsidRPr="00D9348B">
              <w:t>Net cumulative area since 1990</w:t>
            </w:r>
          </w:p>
        </w:tc>
        <w:tc>
          <w:tcPr>
            <w:tcW w:w="999" w:type="dxa"/>
            <w:tcBorders>
              <w:top w:val="single" w:sz="4" w:space="0" w:color="auto"/>
              <w:left w:val="nil"/>
              <w:right w:val="nil"/>
            </w:tcBorders>
            <w:shd w:val="clear" w:color="auto" w:fill="auto"/>
            <w:vAlign w:val="center"/>
            <w:hideMark/>
          </w:tcPr>
          <w:p w14:paraId="015588F5" w14:textId="77777777" w:rsidR="00D1512E" w:rsidRPr="00D9348B" w:rsidRDefault="00D1512E" w:rsidP="00DB330E">
            <w:pPr>
              <w:pStyle w:val="TableText"/>
              <w:spacing w:before="50" w:after="50"/>
              <w:jc w:val="right"/>
              <w:rPr>
                <w:rFonts w:cs="Arial"/>
                <w:szCs w:val="16"/>
              </w:rPr>
            </w:pPr>
            <w:r w:rsidRPr="00D9348B">
              <w:rPr>
                <w:rFonts w:cs="Arial"/>
                <w:color w:val="000000"/>
                <w:szCs w:val="16"/>
              </w:rPr>
              <w:t>176,101</w:t>
            </w:r>
          </w:p>
        </w:tc>
        <w:tc>
          <w:tcPr>
            <w:tcW w:w="992" w:type="dxa"/>
            <w:tcBorders>
              <w:top w:val="single" w:sz="4" w:space="0" w:color="auto"/>
              <w:left w:val="nil"/>
              <w:right w:val="nil"/>
            </w:tcBorders>
            <w:shd w:val="clear" w:color="auto" w:fill="auto"/>
            <w:vAlign w:val="center"/>
            <w:hideMark/>
          </w:tcPr>
          <w:p w14:paraId="4973C6B7" w14:textId="77777777" w:rsidR="00D1512E" w:rsidRPr="00D9348B" w:rsidRDefault="00D1512E" w:rsidP="00DB330E">
            <w:pPr>
              <w:pStyle w:val="TableText"/>
              <w:spacing w:before="50" w:after="50"/>
              <w:jc w:val="right"/>
              <w:rPr>
                <w:rFonts w:cs="Arial"/>
                <w:szCs w:val="16"/>
              </w:rPr>
            </w:pPr>
            <w:r w:rsidRPr="00D9348B">
              <w:rPr>
                <w:rFonts w:cs="Arial"/>
                <w:color w:val="000000"/>
                <w:szCs w:val="16"/>
              </w:rPr>
              <w:t>184,637</w:t>
            </w:r>
          </w:p>
        </w:tc>
        <w:tc>
          <w:tcPr>
            <w:tcW w:w="1079" w:type="dxa"/>
            <w:tcBorders>
              <w:top w:val="single" w:sz="4" w:space="0" w:color="auto"/>
              <w:left w:val="nil"/>
              <w:right w:val="nil"/>
            </w:tcBorders>
            <w:shd w:val="clear" w:color="auto" w:fill="auto"/>
            <w:vAlign w:val="center"/>
            <w:hideMark/>
          </w:tcPr>
          <w:p w14:paraId="799B3EA8" w14:textId="77777777" w:rsidR="00D1512E" w:rsidRPr="00D9348B" w:rsidRDefault="00D1512E" w:rsidP="00DB330E">
            <w:pPr>
              <w:pStyle w:val="TableText"/>
              <w:spacing w:before="50" w:after="50"/>
              <w:jc w:val="right"/>
              <w:rPr>
                <w:rFonts w:cs="Arial"/>
                <w:szCs w:val="16"/>
              </w:rPr>
            </w:pPr>
            <w:r w:rsidRPr="00D9348B">
              <w:rPr>
                <w:rFonts w:cs="Arial"/>
                <w:color w:val="000000"/>
                <w:szCs w:val="16"/>
              </w:rPr>
              <w:t>190,560</w:t>
            </w:r>
          </w:p>
        </w:tc>
        <w:tc>
          <w:tcPr>
            <w:tcW w:w="994" w:type="dxa"/>
            <w:tcBorders>
              <w:top w:val="single" w:sz="4" w:space="0" w:color="auto"/>
              <w:left w:val="nil"/>
              <w:right w:val="nil"/>
            </w:tcBorders>
            <w:shd w:val="clear" w:color="auto" w:fill="auto"/>
            <w:vAlign w:val="center"/>
            <w:hideMark/>
          </w:tcPr>
          <w:p w14:paraId="53BFB914" w14:textId="77777777" w:rsidR="00D1512E" w:rsidRPr="00D9348B" w:rsidRDefault="00D1512E" w:rsidP="00DB330E">
            <w:pPr>
              <w:pStyle w:val="TableText"/>
              <w:spacing w:before="50" w:after="50"/>
              <w:jc w:val="right"/>
              <w:rPr>
                <w:rFonts w:cs="Arial"/>
                <w:szCs w:val="16"/>
              </w:rPr>
            </w:pPr>
            <w:r w:rsidRPr="00D9348B">
              <w:rPr>
                <w:rFonts w:cs="Arial"/>
                <w:color w:val="000000"/>
                <w:szCs w:val="16"/>
              </w:rPr>
              <w:t>193,974</w:t>
            </w:r>
          </w:p>
        </w:tc>
        <w:tc>
          <w:tcPr>
            <w:tcW w:w="992" w:type="dxa"/>
            <w:tcBorders>
              <w:top w:val="single" w:sz="4" w:space="0" w:color="auto"/>
              <w:left w:val="nil"/>
              <w:right w:val="nil"/>
            </w:tcBorders>
            <w:vAlign w:val="center"/>
          </w:tcPr>
          <w:p w14:paraId="7D2C0C74" w14:textId="77777777" w:rsidR="00D1512E" w:rsidRPr="00D9348B" w:rsidRDefault="00D1512E" w:rsidP="00DB330E">
            <w:pPr>
              <w:pStyle w:val="TableText"/>
              <w:spacing w:before="50" w:after="50"/>
              <w:jc w:val="right"/>
              <w:rPr>
                <w:rFonts w:cs="Arial"/>
                <w:szCs w:val="16"/>
              </w:rPr>
            </w:pPr>
            <w:r w:rsidRPr="00D9348B">
              <w:rPr>
                <w:rFonts w:cs="Arial"/>
                <w:color w:val="000000"/>
                <w:szCs w:val="16"/>
              </w:rPr>
              <w:t>197,466</w:t>
            </w:r>
          </w:p>
        </w:tc>
        <w:tc>
          <w:tcPr>
            <w:tcW w:w="1096" w:type="dxa"/>
            <w:tcBorders>
              <w:top w:val="single" w:sz="4" w:space="0" w:color="auto"/>
              <w:left w:val="nil"/>
              <w:right w:val="nil"/>
            </w:tcBorders>
            <w:vAlign w:val="center"/>
          </w:tcPr>
          <w:p w14:paraId="1DE6B654" w14:textId="77777777" w:rsidR="00D1512E" w:rsidRPr="00D9348B" w:rsidRDefault="00D1512E" w:rsidP="00DB330E">
            <w:pPr>
              <w:pStyle w:val="TableText"/>
              <w:spacing w:before="50" w:after="50"/>
              <w:jc w:val="right"/>
            </w:pPr>
            <w:r w:rsidRPr="00D9348B">
              <w:rPr>
                <w:rFonts w:cs="Arial"/>
                <w:color w:val="000000"/>
                <w:szCs w:val="16"/>
              </w:rPr>
              <w:t>201,206</w:t>
            </w:r>
          </w:p>
        </w:tc>
      </w:tr>
      <w:tr w:rsidR="00D1512E" w:rsidRPr="00D9348B" w14:paraId="3043E28F" w14:textId="77777777" w:rsidTr="00605CD5">
        <w:tc>
          <w:tcPr>
            <w:tcW w:w="2410" w:type="dxa"/>
            <w:tcBorders>
              <w:left w:val="nil"/>
              <w:right w:val="nil"/>
            </w:tcBorders>
            <w:shd w:val="clear" w:color="auto" w:fill="auto"/>
            <w:vAlign w:val="center"/>
            <w:hideMark/>
          </w:tcPr>
          <w:p w14:paraId="4EC0B5AB" w14:textId="77777777" w:rsidR="00D1512E" w:rsidRPr="00D9348B" w:rsidRDefault="00D1512E" w:rsidP="00DB330E">
            <w:pPr>
              <w:pStyle w:val="TableText"/>
              <w:spacing w:before="50" w:after="50"/>
            </w:pPr>
            <w:r w:rsidRPr="00D9348B">
              <w:t>Area in calendar year</w:t>
            </w:r>
          </w:p>
        </w:tc>
        <w:tc>
          <w:tcPr>
            <w:tcW w:w="999" w:type="dxa"/>
            <w:tcBorders>
              <w:left w:val="nil"/>
              <w:right w:val="nil"/>
            </w:tcBorders>
            <w:shd w:val="clear" w:color="auto" w:fill="auto"/>
            <w:vAlign w:val="center"/>
            <w:hideMark/>
          </w:tcPr>
          <w:p w14:paraId="52062D9F" w14:textId="77777777" w:rsidR="00D1512E" w:rsidRPr="00D9348B" w:rsidRDefault="00D1512E" w:rsidP="00DB330E">
            <w:pPr>
              <w:pStyle w:val="TableText"/>
              <w:spacing w:before="50" w:after="50"/>
              <w:jc w:val="right"/>
            </w:pPr>
            <w:r w:rsidRPr="00D9348B">
              <w:t xml:space="preserve"> 14,232 </w:t>
            </w:r>
          </w:p>
        </w:tc>
        <w:tc>
          <w:tcPr>
            <w:tcW w:w="992" w:type="dxa"/>
            <w:tcBorders>
              <w:left w:val="nil"/>
              <w:right w:val="nil"/>
            </w:tcBorders>
            <w:shd w:val="clear" w:color="auto" w:fill="auto"/>
            <w:vAlign w:val="center"/>
            <w:hideMark/>
          </w:tcPr>
          <w:p w14:paraId="5211180F" w14:textId="77777777" w:rsidR="00D1512E" w:rsidRPr="00D9348B" w:rsidRDefault="00D1512E" w:rsidP="00DB330E">
            <w:pPr>
              <w:pStyle w:val="TableText"/>
              <w:spacing w:before="50" w:after="50"/>
              <w:jc w:val="right"/>
            </w:pPr>
            <w:r w:rsidRPr="00D9348B">
              <w:t xml:space="preserve"> 8,536 </w:t>
            </w:r>
          </w:p>
        </w:tc>
        <w:tc>
          <w:tcPr>
            <w:tcW w:w="1079" w:type="dxa"/>
            <w:tcBorders>
              <w:left w:val="nil"/>
              <w:right w:val="nil"/>
            </w:tcBorders>
            <w:shd w:val="clear" w:color="auto" w:fill="auto"/>
            <w:vAlign w:val="center"/>
            <w:hideMark/>
          </w:tcPr>
          <w:p w14:paraId="74D4D57B" w14:textId="77777777" w:rsidR="00D1512E" w:rsidRPr="00D9348B" w:rsidRDefault="00D1512E" w:rsidP="00DB330E">
            <w:pPr>
              <w:pStyle w:val="TableText"/>
              <w:spacing w:before="50" w:after="50"/>
              <w:jc w:val="right"/>
            </w:pPr>
            <w:r w:rsidRPr="00D9348B">
              <w:t xml:space="preserve"> 5,923 </w:t>
            </w:r>
          </w:p>
        </w:tc>
        <w:tc>
          <w:tcPr>
            <w:tcW w:w="994" w:type="dxa"/>
            <w:tcBorders>
              <w:left w:val="nil"/>
              <w:right w:val="nil"/>
            </w:tcBorders>
            <w:shd w:val="clear" w:color="auto" w:fill="auto"/>
            <w:vAlign w:val="center"/>
            <w:hideMark/>
          </w:tcPr>
          <w:p w14:paraId="240ECE50" w14:textId="77777777" w:rsidR="00D1512E" w:rsidRPr="00D9348B" w:rsidRDefault="00D1512E" w:rsidP="00DB330E">
            <w:pPr>
              <w:pStyle w:val="TableText"/>
              <w:spacing w:before="50" w:after="50"/>
              <w:jc w:val="right"/>
            </w:pPr>
            <w:r w:rsidRPr="00D9348B">
              <w:t xml:space="preserve"> 3,414 </w:t>
            </w:r>
          </w:p>
        </w:tc>
        <w:tc>
          <w:tcPr>
            <w:tcW w:w="992" w:type="dxa"/>
            <w:tcBorders>
              <w:left w:val="nil"/>
              <w:right w:val="nil"/>
            </w:tcBorders>
            <w:vAlign w:val="center"/>
          </w:tcPr>
          <w:p w14:paraId="670DAC00" w14:textId="77777777" w:rsidR="00D1512E" w:rsidRPr="00D9348B" w:rsidRDefault="00D1512E" w:rsidP="00DB330E">
            <w:pPr>
              <w:pStyle w:val="TableText"/>
              <w:spacing w:before="50" w:after="50"/>
              <w:jc w:val="right"/>
            </w:pPr>
            <w:r w:rsidRPr="00D9348B">
              <w:t xml:space="preserve"> 3,493 </w:t>
            </w:r>
          </w:p>
        </w:tc>
        <w:tc>
          <w:tcPr>
            <w:tcW w:w="1096" w:type="dxa"/>
            <w:tcBorders>
              <w:left w:val="nil"/>
              <w:right w:val="nil"/>
            </w:tcBorders>
            <w:vAlign w:val="bottom"/>
          </w:tcPr>
          <w:p w14:paraId="128C6D25" w14:textId="17C76576" w:rsidR="00D1512E" w:rsidRPr="00D9348B" w:rsidRDefault="00D1512E" w:rsidP="00DB330E">
            <w:pPr>
              <w:pStyle w:val="TableText"/>
              <w:spacing w:before="50" w:after="50"/>
              <w:jc w:val="right"/>
            </w:pPr>
            <w:r w:rsidRPr="00D9348B">
              <w:t xml:space="preserve">3,740 </w:t>
            </w:r>
          </w:p>
        </w:tc>
      </w:tr>
      <w:tr w:rsidR="00D1512E" w:rsidRPr="00D9348B" w14:paraId="10212E62" w14:textId="77777777" w:rsidTr="00605CD5">
        <w:tc>
          <w:tcPr>
            <w:tcW w:w="2410" w:type="dxa"/>
            <w:tcBorders>
              <w:top w:val="nil"/>
              <w:left w:val="nil"/>
              <w:bottom w:val="single" w:sz="4" w:space="0" w:color="auto"/>
              <w:right w:val="nil"/>
            </w:tcBorders>
            <w:shd w:val="clear" w:color="auto" w:fill="auto"/>
            <w:vAlign w:val="center"/>
            <w:hideMark/>
          </w:tcPr>
          <w:p w14:paraId="375751AE" w14:textId="77777777" w:rsidR="00D1512E" w:rsidRPr="00D9348B" w:rsidRDefault="00D1512E" w:rsidP="00DB330E">
            <w:pPr>
              <w:pStyle w:val="TableTextBold"/>
              <w:spacing w:before="50" w:after="50"/>
              <w:rPr>
                <w:noProof w:val="0"/>
              </w:rPr>
            </w:pPr>
            <w:r w:rsidRPr="00D9348B">
              <w:rPr>
                <w:noProof w:val="0"/>
              </w:rPr>
              <w:t>Forest management</w:t>
            </w:r>
          </w:p>
        </w:tc>
        <w:tc>
          <w:tcPr>
            <w:tcW w:w="999" w:type="dxa"/>
            <w:tcBorders>
              <w:top w:val="nil"/>
              <w:left w:val="nil"/>
              <w:bottom w:val="single" w:sz="4" w:space="0" w:color="auto"/>
              <w:right w:val="nil"/>
            </w:tcBorders>
            <w:shd w:val="clear" w:color="auto" w:fill="auto"/>
            <w:hideMark/>
          </w:tcPr>
          <w:p w14:paraId="2BE54FDC" w14:textId="77777777" w:rsidR="00D1512E" w:rsidRPr="00D9348B" w:rsidRDefault="00D1512E" w:rsidP="00DB330E">
            <w:pPr>
              <w:pStyle w:val="TableTextBold"/>
              <w:spacing w:before="50" w:after="50"/>
              <w:jc w:val="right"/>
              <w:rPr>
                <w:rFonts w:cs="Arial"/>
                <w:noProof w:val="0"/>
                <w:szCs w:val="16"/>
              </w:rPr>
            </w:pPr>
          </w:p>
        </w:tc>
        <w:tc>
          <w:tcPr>
            <w:tcW w:w="992" w:type="dxa"/>
            <w:tcBorders>
              <w:top w:val="nil"/>
              <w:left w:val="nil"/>
              <w:bottom w:val="single" w:sz="4" w:space="0" w:color="auto"/>
              <w:right w:val="nil"/>
            </w:tcBorders>
            <w:shd w:val="clear" w:color="auto" w:fill="auto"/>
            <w:hideMark/>
          </w:tcPr>
          <w:p w14:paraId="173587FC" w14:textId="77777777" w:rsidR="00D1512E" w:rsidRPr="00D9348B" w:rsidRDefault="00D1512E" w:rsidP="00DB330E">
            <w:pPr>
              <w:pStyle w:val="TableTextBold"/>
              <w:spacing w:before="50" w:after="50"/>
              <w:jc w:val="right"/>
              <w:rPr>
                <w:rFonts w:cs="Arial"/>
                <w:noProof w:val="0"/>
                <w:szCs w:val="16"/>
              </w:rPr>
            </w:pPr>
          </w:p>
        </w:tc>
        <w:tc>
          <w:tcPr>
            <w:tcW w:w="1079" w:type="dxa"/>
            <w:tcBorders>
              <w:top w:val="nil"/>
              <w:left w:val="nil"/>
              <w:bottom w:val="single" w:sz="4" w:space="0" w:color="auto"/>
              <w:right w:val="nil"/>
            </w:tcBorders>
            <w:shd w:val="clear" w:color="auto" w:fill="auto"/>
            <w:hideMark/>
          </w:tcPr>
          <w:p w14:paraId="7BAE98F3" w14:textId="77777777" w:rsidR="00D1512E" w:rsidRPr="00D9348B" w:rsidRDefault="00D1512E" w:rsidP="00DB330E">
            <w:pPr>
              <w:pStyle w:val="TableTextBold"/>
              <w:spacing w:before="50" w:after="50"/>
              <w:jc w:val="right"/>
              <w:rPr>
                <w:rFonts w:cs="Arial"/>
                <w:noProof w:val="0"/>
                <w:szCs w:val="16"/>
              </w:rPr>
            </w:pPr>
          </w:p>
        </w:tc>
        <w:tc>
          <w:tcPr>
            <w:tcW w:w="994" w:type="dxa"/>
            <w:tcBorders>
              <w:top w:val="nil"/>
              <w:left w:val="nil"/>
              <w:bottom w:val="single" w:sz="4" w:space="0" w:color="auto"/>
              <w:right w:val="nil"/>
            </w:tcBorders>
            <w:shd w:val="clear" w:color="auto" w:fill="auto"/>
            <w:hideMark/>
          </w:tcPr>
          <w:p w14:paraId="742E8A46" w14:textId="77777777" w:rsidR="00D1512E" w:rsidRPr="00D9348B" w:rsidRDefault="00D1512E" w:rsidP="00DB330E">
            <w:pPr>
              <w:pStyle w:val="TableTextBold"/>
              <w:spacing w:before="50" w:after="50"/>
              <w:jc w:val="right"/>
              <w:rPr>
                <w:rFonts w:cs="Arial"/>
                <w:noProof w:val="0"/>
                <w:szCs w:val="16"/>
              </w:rPr>
            </w:pPr>
          </w:p>
        </w:tc>
        <w:tc>
          <w:tcPr>
            <w:tcW w:w="992" w:type="dxa"/>
            <w:tcBorders>
              <w:top w:val="nil"/>
              <w:left w:val="nil"/>
              <w:bottom w:val="single" w:sz="4" w:space="0" w:color="auto"/>
              <w:right w:val="nil"/>
            </w:tcBorders>
          </w:tcPr>
          <w:p w14:paraId="387BA421" w14:textId="77777777" w:rsidR="00D1512E" w:rsidRPr="00D9348B" w:rsidRDefault="00D1512E" w:rsidP="00DB330E">
            <w:pPr>
              <w:pStyle w:val="TableTextBold"/>
              <w:spacing w:before="50" w:after="50"/>
              <w:jc w:val="right"/>
              <w:rPr>
                <w:rFonts w:cs="Arial"/>
                <w:noProof w:val="0"/>
                <w:szCs w:val="16"/>
              </w:rPr>
            </w:pPr>
          </w:p>
        </w:tc>
        <w:tc>
          <w:tcPr>
            <w:tcW w:w="1096" w:type="dxa"/>
            <w:tcBorders>
              <w:top w:val="nil"/>
              <w:left w:val="nil"/>
              <w:bottom w:val="single" w:sz="4" w:space="0" w:color="auto"/>
              <w:right w:val="nil"/>
            </w:tcBorders>
          </w:tcPr>
          <w:p w14:paraId="7A5453D6" w14:textId="77777777" w:rsidR="00D1512E" w:rsidRPr="00D9348B" w:rsidRDefault="00D1512E" w:rsidP="00DB330E">
            <w:pPr>
              <w:pStyle w:val="TableTextBold"/>
              <w:spacing w:before="50" w:after="50"/>
              <w:jc w:val="right"/>
              <w:rPr>
                <w:rFonts w:cs="Arial"/>
                <w:noProof w:val="0"/>
                <w:szCs w:val="16"/>
              </w:rPr>
            </w:pPr>
          </w:p>
        </w:tc>
      </w:tr>
      <w:tr w:rsidR="00D1512E" w:rsidRPr="00D9348B" w14:paraId="5BFACC46" w14:textId="77777777" w:rsidTr="00605CD5">
        <w:tc>
          <w:tcPr>
            <w:tcW w:w="2410" w:type="dxa"/>
            <w:tcBorders>
              <w:top w:val="single" w:sz="4" w:space="0" w:color="auto"/>
              <w:left w:val="nil"/>
              <w:right w:val="nil"/>
            </w:tcBorders>
            <w:shd w:val="clear" w:color="auto" w:fill="auto"/>
            <w:vAlign w:val="center"/>
            <w:hideMark/>
          </w:tcPr>
          <w:p w14:paraId="63FD1FF8" w14:textId="77777777" w:rsidR="00D1512E" w:rsidRPr="00D9348B" w:rsidRDefault="00D1512E" w:rsidP="00DB330E">
            <w:pPr>
              <w:pStyle w:val="TableText"/>
              <w:spacing w:before="50" w:after="50"/>
            </w:pPr>
            <w:r w:rsidRPr="00D9348B">
              <w:t>Area included</w:t>
            </w:r>
          </w:p>
        </w:tc>
        <w:tc>
          <w:tcPr>
            <w:tcW w:w="999" w:type="dxa"/>
            <w:tcBorders>
              <w:top w:val="single" w:sz="4" w:space="0" w:color="auto"/>
              <w:left w:val="nil"/>
              <w:right w:val="nil"/>
            </w:tcBorders>
            <w:shd w:val="clear" w:color="auto" w:fill="auto"/>
            <w:vAlign w:val="center"/>
            <w:hideMark/>
          </w:tcPr>
          <w:p w14:paraId="00C05A0B" w14:textId="77777777" w:rsidR="00D1512E" w:rsidRPr="00D9348B" w:rsidRDefault="00D1512E" w:rsidP="00DB330E">
            <w:pPr>
              <w:pStyle w:val="TableText"/>
              <w:spacing w:before="50" w:after="50"/>
              <w:jc w:val="right"/>
              <w:rPr>
                <w:rFonts w:cs="Arial"/>
                <w:szCs w:val="16"/>
              </w:rPr>
            </w:pPr>
            <w:r w:rsidRPr="00D9348B">
              <w:rPr>
                <w:rFonts w:cs="Arial"/>
                <w:color w:val="000000"/>
                <w:szCs w:val="16"/>
              </w:rPr>
              <w:t>9,224,080</w:t>
            </w:r>
          </w:p>
        </w:tc>
        <w:tc>
          <w:tcPr>
            <w:tcW w:w="992" w:type="dxa"/>
            <w:tcBorders>
              <w:top w:val="single" w:sz="4" w:space="0" w:color="auto"/>
              <w:left w:val="nil"/>
              <w:right w:val="nil"/>
            </w:tcBorders>
            <w:shd w:val="clear" w:color="auto" w:fill="auto"/>
            <w:vAlign w:val="center"/>
            <w:hideMark/>
          </w:tcPr>
          <w:p w14:paraId="6E4B0F84" w14:textId="77777777" w:rsidR="00D1512E" w:rsidRPr="00D9348B" w:rsidRDefault="00D1512E" w:rsidP="00DB330E">
            <w:pPr>
              <w:pStyle w:val="TableText"/>
              <w:spacing w:before="50" w:after="50"/>
              <w:jc w:val="right"/>
              <w:rPr>
                <w:rFonts w:cs="Arial"/>
                <w:szCs w:val="16"/>
              </w:rPr>
            </w:pPr>
            <w:r w:rsidRPr="00D9348B">
              <w:rPr>
                <w:rFonts w:cs="Arial"/>
                <w:color w:val="000000"/>
                <w:szCs w:val="16"/>
              </w:rPr>
              <w:t>9,217,093</w:t>
            </w:r>
          </w:p>
        </w:tc>
        <w:tc>
          <w:tcPr>
            <w:tcW w:w="1079" w:type="dxa"/>
            <w:tcBorders>
              <w:top w:val="single" w:sz="4" w:space="0" w:color="auto"/>
              <w:left w:val="nil"/>
              <w:right w:val="nil"/>
            </w:tcBorders>
            <w:shd w:val="clear" w:color="auto" w:fill="auto"/>
            <w:vAlign w:val="center"/>
            <w:hideMark/>
          </w:tcPr>
          <w:p w14:paraId="509F2BA5" w14:textId="77777777" w:rsidR="00D1512E" w:rsidRPr="00D9348B" w:rsidRDefault="00D1512E" w:rsidP="00DB330E">
            <w:pPr>
              <w:pStyle w:val="TableText"/>
              <w:spacing w:before="50" w:after="50"/>
              <w:jc w:val="right"/>
              <w:rPr>
                <w:rFonts w:cs="Arial"/>
                <w:szCs w:val="16"/>
              </w:rPr>
            </w:pPr>
            <w:r w:rsidRPr="00D9348B">
              <w:rPr>
                <w:rFonts w:cs="Arial"/>
                <w:color w:val="000000"/>
                <w:szCs w:val="16"/>
              </w:rPr>
              <w:t>9,212,837</w:t>
            </w:r>
          </w:p>
        </w:tc>
        <w:tc>
          <w:tcPr>
            <w:tcW w:w="994" w:type="dxa"/>
            <w:tcBorders>
              <w:top w:val="single" w:sz="4" w:space="0" w:color="auto"/>
              <w:left w:val="nil"/>
              <w:right w:val="nil"/>
            </w:tcBorders>
            <w:shd w:val="clear" w:color="auto" w:fill="auto"/>
            <w:vAlign w:val="center"/>
            <w:hideMark/>
          </w:tcPr>
          <w:p w14:paraId="055A4584" w14:textId="77777777" w:rsidR="00D1512E" w:rsidRPr="00D9348B" w:rsidRDefault="00D1512E" w:rsidP="00DB330E">
            <w:pPr>
              <w:pStyle w:val="TableText"/>
              <w:spacing w:before="50" w:after="50"/>
              <w:jc w:val="right"/>
              <w:rPr>
                <w:rFonts w:cs="Arial"/>
                <w:szCs w:val="16"/>
              </w:rPr>
            </w:pPr>
            <w:r w:rsidRPr="00D9348B">
              <w:rPr>
                <w:rFonts w:cs="Arial"/>
                <w:color w:val="000000"/>
                <w:szCs w:val="16"/>
              </w:rPr>
              <w:t>9,211,357</w:t>
            </w:r>
          </w:p>
        </w:tc>
        <w:tc>
          <w:tcPr>
            <w:tcW w:w="992" w:type="dxa"/>
            <w:tcBorders>
              <w:top w:val="single" w:sz="4" w:space="0" w:color="auto"/>
              <w:left w:val="nil"/>
              <w:right w:val="nil"/>
            </w:tcBorders>
            <w:vAlign w:val="center"/>
          </w:tcPr>
          <w:p w14:paraId="732993FE" w14:textId="77777777" w:rsidR="00D1512E" w:rsidRPr="00D9348B" w:rsidRDefault="00D1512E" w:rsidP="00DB330E">
            <w:pPr>
              <w:pStyle w:val="TableText"/>
              <w:spacing w:before="50" w:after="50"/>
              <w:jc w:val="right"/>
              <w:rPr>
                <w:rFonts w:cs="Arial"/>
                <w:szCs w:val="16"/>
              </w:rPr>
            </w:pPr>
            <w:r w:rsidRPr="00D9348B">
              <w:rPr>
                <w:rFonts w:cs="Arial"/>
                <w:color w:val="000000"/>
                <w:szCs w:val="16"/>
              </w:rPr>
              <w:t>9,210,186</w:t>
            </w:r>
          </w:p>
        </w:tc>
        <w:tc>
          <w:tcPr>
            <w:tcW w:w="1096" w:type="dxa"/>
            <w:tcBorders>
              <w:top w:val="single" w:sz="4" w:space="0" w:color="auto"/>
              <w:left w:val="nil"/>
              <w:right w:val="nil"/>
            </w:tcBorders>
            <w:vAlign w:val="center"/>
          </w:tcPr>
          <w:p w14:paraId="1D1F7C93" w14:textId="77777777" w:rsidR="00D1512E" w:rsidRPr="00D9348B" w:rsidRDefault="00D1512E" w:rsidP="00DB330E">
            <w:pPr>
              <w:pStyle w:val="TableText"/>
              <w:spacing w:before="50" w:after="50"/>
              <w:jc w:val="right"/>
            </w:pPr>
            <w:r w:rsidRPr="00D9348B">
              <w:rPr>
                <w:rFonts w:cs="Arial"/>
                <w:color w:val="000000"/>
                <w:szCs w:val="16"/>
              </w:rPr>
              <w:t>9,208,933</w:t>
            </w:r>
          </w:p>
        </w:tc>
      </w:tr>
      <w:tr w:rsidR="00D1512E" w:rsidRPr="00D9348B" w14:paraId="1F35A194" w14:textId="77777777" w:rsidTr="00605CD5">
        <w:tc>
          <w:tcPr>
            <w:tcW w:w="2410" w:type="dxa"/>
            <w:tcBorders>
              <w:top w:val="single" w:sz="4" w:space="0" w:color="auto"/>
              <w:left w:val="nil"/>
              <w:bottom w:val="single" w:sz="8" w:space="0" w:color="44546A"/>
              <w:right w:val="nil"/>
            </w:tcBorders>
            <w:shd w:val="clear" w:color="auto" w:fill="auto"/>
            <w:vAlign w:val="center"/>
            <w:hideMark/>
          </w:tcPr>
          <w:p w14:paraId="3F7B6E19" w14:textId="77777777" w:rsidR="00D1512E" w:rsidRPr="00D9348B" w:rsidRDefault="00D1512E" w:rsidP="00454A0D">
            <w:pPr>
              <w:pStyle w:val="Tableboldblue"/>
            </w:pPr>
            <w:r w:rsidRPr="00D9348B">
              <w:t>Total area included</w:t>
            </w:r>
          </w:p>
        </w:tc>
        <w:tc>
          <w:tcPr>
            <w:tcW w:w="999" w:type="dxa"/>
            <w:tcBorders>
              <w:top w:val="single" w:sz="4" w:space="0" w:color="auto"/>
              <w:left w:val="nil"/>
              <w:bottom w:val="single" w:sz="8" w:space="0" w:color="44546A"/>
              <w:right w:val="nil"/>
            </w:tcBorders>
            <w:shd w:val="clear" w:color="auto" w:fill="auto"/>
            <w:vAlign w:val="center"/>
            <w:hideMark/>
          </w:tcPr>
          <w:p w14:paraId="7D3B98A9" w14:textId="77777777" w:rsidR="00D1512E" w:rsidRPr="00D9348B" w:rsidRDefault="00D1512E" w:rsidP="00454A0D">
            <w:pPr>
              <w:pStyle w:val="Tableboldblue"/>
              <w:jc w:val="right"/>
              <w:rPr>
                <w:rFonts w:cs="Arial"/>
                <w:szCs w:val="16"/>
              </w:rPr>
            </w:pPr>
            <w:r w:rsidRPr="00D9348B">
              <w:rPr>
                <w:rFonts w:cs="Arial"/>
                <w:bCs/>
                <w:szCs w:val="16"/>
              </w:rPr>
              <w:t>10,077,410</w:t>
            </w:r>
          </w:p>
        </w:tc>
        <w:tc>
          <w:tcPr>
            <w:tcW w:w="992" w:type="dxa"/>
            <w:tcBorders>
              <w:top w:val="single" w:sz="4" w:space="0" w:color="auto"/>
              <w:left w:val="nil"/>
              <w:bottom w:val="single" w:sz="8" w:space="0" w:color="44546A"/>
              <w:right w:val="nil"/>
            </w:tcBorders>
            <w:shd w:val="clear" w:color="auto" w:fill="auto"/>
            <w:vAlign w:val="center"/>
            <w:hideMark/>
          </w:tcPr>
          <w:p w14:paraId="725C7497" w14:textId="77777777" w:rsidR="00D1512E" w:rsidRPr="00D9348B" w:rsidRDefault="00D1512E" w:rsidP="00454A0D">
            <w:pPr>
              <w:pStyle w:val="Tableboldblue"/>
              <w:jc w:val="right"/>
              <w:rPr>
                <w:rFonts w:cs="Arial"/>
                <w:szCs w:val="16"/>
              </w:rPr>
            </w:pPr>
            <w:r w:rsidRPr="00D9348B">
              <w:rPr>
                <w:rFonts w:cs="Arial"/>
                <w:bCs/>
                <w:szCs w:val="16"/>
              </w:rPr>
              <w:t>10,080,857</w:t>
            </w:r>
          </w:p>
        </w:tc>
        <w:tc>
          <w:tcPr>
            <w:tcW w:w="1079" w:type="dxa"/>
            <w:tcBorders>
              <w:top w:val="single" w:sz="4" w:space="0" w:color="auto"/>
              <w:left w:val="nil"/>
              <w:bottom w:val="single" w:sz="8" w:space="0" w:color="44546A"/>
              <w:right w:val="nil"/>
            </w:tcBorders>
            <w:shd w:val="clear" w:color="auto" w:fill="auto"/>
            <w:vAlign w:val="center"/>
            <w:hideMark/>
          </w:tcPr>
          <w:p w14:paraId="5FF1C5F5" w14:textId="77777777" w:rsidR="00D1512E" w:rsidRPr="00D9348B" w:rsidRDefault="00D1512E" w:rsidP="00454A0D">
            <w:pPr>
              <w:pStyle w:val="Tableboldblue"/>
              <w:jc w:val="right"/>
              <w:rPr>
                <w:rFonts w:cs="Arial"/>
                <w:szCs w:val="16"/>
              </w:rPr>
            </w:pPr>
            <w:r w:rsidRPr="00D9348B">
              <w:rPr>
                <w:rFonts w:cs="Arial"/>
                <w:bCs/>
                <w:szCs w:val="16"/>
              </w:rPr>
              <w:t>10,084,359</w:t>
            </w:r>
          </w:p>
        </w:tc>
        <w:tc>
          <w:tcPr>
            <w:tcW w:w="994" w:type="dxa"/>
            <w:tcBorders>
              <w:top w:val="single" w:sz="4" w:space="0" w:color="auto"/>
              <w:left w:val="nil"/>
              <w:bottom w:val="single" w:sz="8" w:space="0" w:color="44546A"/>
              <w:right w:val="nil"/>
            </w:tcBorders>
            <w:shd w:val="clear" w:color="auto" w:fill="auto"/>
            <w:vAlign w:val="center"/>
            <w:hideMark/>
          </w:tcPr>
          <w:p w14:paraId="594420A5" w14:textId="77777777" w:rsidR="00D1512E" w:rsidRPr="00D9348B" w:rsidRDefault="00D1512E" w:rsidP="00454A0D">
            <w:pPr>
              <w:pStyle w:val="Tableboldblue"/>
              <w:jc w:val="right"/>
              <w:rPr>
                <w:rFonts w:cs="Arial"/>
                <w:szCs w:val="16"/>
              </w:rPr>
            </w:pPr>
            <w:r w:rsidRPr="00D9348B">
              <w:rPr>
                <w:rFonts w:cs="Arial"/>
                <w:bCs/>
                <w:szCs w:val="16"/>
              </w:rPr>
              <w:t>10,089,252</w:t>
            </w:r>
          </w:p>
        </w:tc>
        <w:tc>
          <w:tcPr>
            <w:tcW w:w="992" w:type="dxa"/>
            <w:tcBorders>
              <w:top w:val="single" w:sz="4" w:space="0" w:color="auto"/>
              <w:left w:val="nil"/>
              <w:bottom w:val="single" w:sz="8" w:space="0" w:color="44546A"/>
              <w:right w:val="nil"/>
            </w:tcBorders>
            <w:vAlign w:val="center"/>
          </w:tcPr>
          <w:p w14:paraId="25A52F36" w14:textId="77777777" w:rsidR="00D1512E" w:rsidRPr="00D9348B" w:rsidRDefault="00D1512E" w:rsidP="00454A0D">
            <w:pPr>
              <w:pStyle w:val="Tableboldblue"/>
              <w:jc w:val="right"/>
              <w:rPr>
                <w:rFonts w:cs="Arial"/>
                <w:szCs w:val="16"/>
              </w:rPr>
            </w:pPr>
            <w:r w:rsidRPr="00D9348B">
              <w:rPr>
                <w:rFonts w:cs="Arial"/>
                <w:bCs/>
                <w:szCs w:val="16"/>
              </w:rPr>
              <w:t>10,097,399</w:t>
            </w:r>
          </w:p>
        </w:tc>
        <w:tc>
          <w:tcPr>
            <w:tcW w:w="1096" w:type="dxa"/>
            <w:tcBorders>
              <w:top w:val="single" w:sz="4" w:space="0" w:color="auto"/>
              <w:left w:val="nil"/>
              <w:bottom w:val="single" w:sz="8" w:space="0" w:color="44546A"/>
              <w:right w:val="nil"/>
            </w:tcBorders>
            <w:vAlign w:val="center"/>
          </w:tcPr>
          <w:p w14:paraId="4D10F937" w14:textId="77777777" w:rsidR="00D1512E" w:rsidRPr="00D9348B" w:rsidRDefault="00D1512E" w:rsidP="00454A0D">
            <w:pPr>
              <w:pStyle w:val="Tableboldblue"/>
              <w:jc w:val="right"/>
            </w:pPr>
            <w:r w:rsidRPr="00D9348B">
              <w:rPr>
                <w:rFonts w:cs="Arial"/>
                <w:bCs/>
                <w:szCs w:val="16"/>
              </w:rPr>
              <w:t>10,108,636</w:t>
            </w:r>
          </w:p>
        </w:tc>
      </w:tr>
    </w:tbl>
    <w:p w14:paraId="67846223" w14:textId="1322D441" w:rsidR="00D1512E" w:rsidRPr="00D9348B" w:rsidRDefault="00D1512E" w:rsidP="00D1512E">
      <w:pPr>
        <w:pStyle w:val="Noteundertable"/>
        <w:rPr>
          <w:bCs/>
          <w:i/>
          <w:iCs/>
        </w:rPr>
      </w:pPr>
      <w:r w:rsidRPr="00D9348B">
        <w:rPr>
          <w:b/>
        </w:rPr>
        <w:t>Note:</w:t>
      </w:r>
      <w:r w:rsidRPr="00D9348B">
        <w:t xml:space="preserve"> </w:t>
      </w:r>
      <w:r w:rsidRPr="00D9348B">
        <w:tab/>
        <w:t>Afforestation and reforestation refers to new forest established since 31 December 1989 but excluding areas of carbon equivalent forest. This means the areas differ from those reported in chapter 6 because the</w:t>
      </w:r>
      <w:r w:rsidR="00454A0D" w:rsidRPr="00D9348B">
        <w:t> </w:t>
      </w:r>
      <w:r w:rsidRPr="00D9348B">
        <w:t>carbon equivalent forest provision means some new forest is reported under Forest management. Columns may not total due to rounding. P = provisional figure (all figures for 2017 and 2018 in this table are</w:t>
      </w:r>
      <w:r w:rsidR="00454A0D" w:rsidRPr="00D9348B">
        <w:t> </w:t>
      </w:r>
      <w:r w:rsidRPr="00D9348B">
        <w:t xml:space="preserve">provisional). </w:t>
      </w:r>
    </w:p>
    <w:p w14:paraId="5CB5BB78" w14:textId="77777777" w:rsidR="00D1512E" w:rsidRPr="00D9348B" w:rsidRDefault="00D1512E" w:rsidP="00D1512E">
      <w:pPr>
        <w:pStyle w:val="Heading5"/>
      </w:pPr>
      <w:r w:rsidRPr="00D9348B">
        <w:t>Emissions and removals in 2018</w:t>
      </w:r>
    </w:p>
    <w:p w14:paraId="42E5D3DE" w14:textId="77777777" w:rsidR="00D1512E" w:rsidRPr="00D9348B" w:rsidRDefault="00D1512E" w:rsidP="00D1512E">
      <w:pPr>
        <w:pStyle w:val="BodyText"/>
      </w:pPr>
      <w:r w:rsidRPr="00D9348B">
        <w:t>The emissions and removals associated with the above land-use changes are:</w:t>
      </w:r>
    </w:p>
    <w:p w14:paraId="05FDCD5C" w14:textId="77777777" w:rsidR="00D1512E" w:rsidRPr="00D9348B" w:rsidRDefault="00D1512E" w:rsidP="00771A8F">
      <w:pPr>
        <w:pStyle w:val="Bullet"/>
        <w:numPr>
          <w:ilvl w:val="0"/>
          <w:numId w:val="20"/>
        </w:numPr>
      </w:pPr>
      <w:r w:rsidRPr="00D9348B">
        <w:t>net removals of 17,593.2 kt CO</w:t>
      </w:r>
      <w:r w:rsidRPr="00D9348B">
        <w:rPr>
          <w:vertAlign w:val="subscript"/>
        </w:rPr>
        <w:t>2</w:t>
      </w:r>
      <w:r w:rsidRPr="00D9348B">
        <w:t xml:space="preserve">-e for </w:t>
      </w:r>
      <w:r w:rsidRPr="00D9348B">
        <w:rPr>
          <w:i/>
        </w:rPr>
        <w:t>Afforestation and reforestation</w:t>
      </w:r>
      <w:r w:rsidRPr="00D9348B">
        <w:t xml:space="preserve"> </w:t>
      </w:r>
    </w:p>
    <w:p w14:paraId="74BBF080" w14:textId="77777777" w:rsidR="00D1512E" w:rsidRPr="00D9348B" w:rsidRDefault="00D1512E" w:rsidP="00771A8F">
      <w:pPr>
        <w:pStyle w:val="Bullet"/>
        <w:numPr>
          <w:ilvl w:val="0"/>
          <w:numId w:val="20"/>
        </w:numPr>
      </w:pPr>
      <w:r w:rsidRPr="00D9348B">
        <w:t>net emissions of 2,146.2 kt CO</w:t>
      </w:r>
      <w:r w:rsidRPr="00D9348B">
        <w:rPr>
          <w:vertAlign w:val="subscript"/>
        </w:rPr>
        <w:t>2</w:t>
      </w:r>
      <w:r w:rsidRPr="00D9348B">
        <w:t xml:space="preserve">-e for </w:t>
      </w:r>
      <w:r w:rsidRPr="00D9348B">
        <w:rPr>
          <w:i/>
        </w:rPr>
        <w:t>Deforestation</w:t>
      </w:r>
    </w:p>
    <w:p w14:paraId="69065389" w14:textId="77777777" w:rsidR="00D1512E" w:rsidRPr="00D9348B" w:rsidRDefault="00D1512E" w:rsidP="00771A8F">
      <w:pPr>
        <w:pStyle w:val="Bullet"/>
        <w:numPr>
          <w:ilvl w:val="0"/>
          <w:numId w:val="20"/>
        </w:numPr>
      </w:pPr>
      <w:proofErr w:type="gramStart"/>
      <w:r w:rsidRPr="00D9348B">
        <w:t>net</w:t>
      </w:r>
      <w:proofErr w:type="gramEnd"/>
      <w:r w:rsidRPr="00D9348B">
        <w:t xml:space="preserve"> removals of 13,898.9 kt CO</w:t>
      </w:r>
      <w:r w:rsidRPr="00D9348B">
        <w:rPr>
          <w:vertAlign w:val="subscript"/>
        </w:rPr>
        <w:t>2</w:t>
      </w:r>
      <w:r w:rsidRPr="00D9348B">
        <w:t xml:space="preserve">-e for </w:t>
      </w:r>
      <w:r w:rsidRPr="00D9348B">
        <w:rPr>
          <w:i/>
        </w:rPr>
        <w:t>Forest management</w:t>
      </w:r>
      <w:r w:rsidRPr="00D9348B">
        <w:t>.</w:t>
      </w:r>
    </w:p>
    <w:p w14:paraId="32BFA47C" w14:textId="77777777" w:rsidR="00D1512E" w:rsidRPr="00D9348B" w:rsidRDefault="00D1512E" w:rsidP="00D1512E">
      <w:pPr>
        <w:pStyle w:val="Heading5"/>
      </w:pPr>
      <w:r w:rsidRPr="00D9348B">
        <w:t>Emissions and removals from 2013 to 2018</w:t>
      </w:r>
    </w:p>
    <w:p w14:paraId="7D15EA3B" w14:textId="77777777" w:rsidR="00D1512E" w:rsidRPr="00D9348B" w:rsidRDefault="00D1512E" w:rsidP="00D1512E">
      <w:pPr>
        <w:pStyle w:val="BodyText"/>
      </w:pPr>
      <w:r w:rsidRPr="00D9348B">
        <w:t xml:space="preserve">Estimates of emissions and removals for activities under Article 3.3 and Article 3.4 of the Kyoto Protocol for the period 2013 to 2018 are included in the inventory because these are used to establish the accounting quantity. This is the value that New Zealand can use towards meeting its 2020 target (see table ES 5.1(b)). The specific rules that apply when accounting against a target are explained in chapter 11, section 11.3.4. </w:t>
      </w:r>
    </w:p>
    <w:p w14:paraId="4CC7DAAF" w14:textId="77777777" w:rsidR="00D1512E" w:rsidRPr="00D9348B" w:rsidRDefault="00D1512E" w:rsidP="00D1512E">
      <w:pPr>
        <w:pStyle w:val="Table"/>
      </w:pPr>
      <w:bookmarkStart w:id="109" w:name="_Toc511116701"/>
      <w:bookmarkStart w:id="110" w:name="_Toc5269435"/>
      <w:bookmarkStart w:id="111" w:name="_Toc36224512"/>
      <w:bookmarkStart w:id="112" w:name="_Toc444693996"/>
      <w:bookmarkStart w:id="113" w:name="_Toc451176051"/>
      <w:r w:rsidRPr="00D9348B">
        <w:t>Table ES 5.1(b)</w:t>
      </w:r>
      <w:r w:rsidRPr="00D9348B">
        <w:tab/>
        <w:t>New Zealand’s net emissions and accounting quantity by year for</w:t>
      </w:r>
      <w:r w:rsidRPr="00D9348B">
        <w:br/>
        <w:t>Afforestation and reforestation, Deforestation and Forest management</w:t>
      </w:r>
      <w:bookmarkEnd w:id="109"/>
      <w:bookmarkEnd w:id="110"/>
      <w:bookmarkEnd w:id="111"/>
      <w:r w:rsidRPr="00D9348B" w:rsidDel="005C18B0">
        <w:t xml:space="preserve"> </w:t>
      </w:r>
      <w:bookmarkEnd w:id="112"/>
      <w:bookmarkEnd w:id="113"/>
    </w:p>
    <w:tbl>
      <w:tblPr>
        <w:tblW w:w="8397" w:type="dxa"/>
        <w:tblInd w:w="108" w:type="dxa"/>
        <w:tblLayout w:type="fixed"/>
        <w:tblLook w:val="04A0" w:firstRow="1" w:lastRow="0" w:firstColumn="1" w:lastColumn="0" w:noHBand="0" w:noVBand="1"/>
      </w:tblPr>
      <w:tblGrid>
        <w:gridCol w:w="2410"/>
        <w:gridCol w:w="992"/>
        <w:gridCol w:w="993"/>
        <w:gridCol w:w="992"/>
        <w:gridCol w:w="992"/>
        <w:gridCol w:w="992"/>
        <w:gridCol w:w="1026"/>
      </w:tblGrid>
      <w:tr w:rsidR="00832057" w:rsidRPr="00D9348B" w14:paraId="0236A4F8" w14:textId="77777777" w:rsidTr="00832057">
        <w:tc>
          <w:tcPr>
            <w:tcW w:w="2410" w:type="dxa"/>
            <w:tcBorders>
              <w:top w:val="single" w:sz="4" w:space="0" w:color="365F91"/>
              <w:left w:val="nil"/>
              <w:right w:val="nil"/>
            </w:tcBorders>
            <w:shd w:val="clear" w:color="000000" w:fill="365F91"/>
          </w:tcPr>
          <w:p w14:paraId="2A1D5227" w14:textId="77777777" w:rsidR="00832057" w:rsidRPr="00D9348B" w:rsidRDefault="00832057" w:rsidP="00DB330E">
            <w:pPr>
              <w:pStyle w:val="TableTextBold"/>
              <w:keepNext/>
              <w:rPr>
                <w:noProof w:val="0"/>
                <w:color w:val="FFFFFF"/>
              </w:rPr>
            </w:pPr>
          </w:p>
        </w:tc>
        <w:tc>
          <w:tcPr>
            <w:tcW w:w="5987" w:type="dxa"/>
            <w:gridSpan w:val="6"/>
            <w:tcBorders>
              <w:top w:val="single" w:sz="4" w:space="0" w:color="365F91"/>
              <w:left w:val="nil"/>
              <w:right w:val="nil"/>
            </w:tcBorders>
            <w:shd w:val="clear" w:color="000000" w:fill="365F91"/>
          </w:tcPr>
          <w:p w14:paraId="6605A924" w14:textId="3B9535BF" w:rsidR="00832057" w:rsidRPr="00D9348B" w:rsidRDefault="00832057" w:rsidP="00DB330E">
            <w:pPr>
              <w:pStyle w:val="TableTextBold"/>
              <w:keepNext/>
              <w:jc w:val="center"/>
              <w:rPr>
                <w:noProof w:val="0"/>
                <w:color w:val="FFFFFF"/>
              </w:rPr>
            </w:pPr>
            <w:r w:rsidRPr="00D9348B">
              <w:rPr>
                <w:noProof w:val="0"/>
                <w:color w:val="FFFFFF"/>
              </w:rPr>
              <w:t>kt CO</w:t>
            </w:r>
            <w:r w:rsidRPr="00D9348B">
              <w:rPr>
                <w:noProof w:val="0"/>
                <w:color w:val="FFFFFF"/>
                <w:vertAlign w:val="subscript"/>
              </w:rPr>
              <w:t>2</w:t>
            </w:r>
            <w:r w:rsidRPr="00D9348B">
              <w:rPr>
                <w:noProof w:val="0"/>
                <w:color w:val="FFFFFF"/>
              </w:rPr>
              <w:t>-equivalent</w:t>
            </w:r>
          </w:p>
        </w:tc>
      </w:tr>
      <w:tr w:rsidR="00D1512E" w:rsidRPr="00D9348B" w14:paraId="3A96D79D" w14:textId="77777777" w:rsidTr="00832057">
        <w:tc>
          <w:tcPr>
            <w:tcW w:w="2410" w:type="dxa"/>
            <w:tcBorders>
              <w:left w:val="nil"/>
              <w:bottom w:val="single" w:sz="4" w:space="0" w:color="365F91"/>
              <w:right w:val="nil"/>
            </w:tcBorders>
            <w:shd w:val="clear" w:color="000000" w:fill="365F91"/>
            <w:hideMark/>
          </w:tcPr>
          <w:p w14:paraId="05637E3C" w14:textId="77777777" w:rsidR="00D1512E" w:rsidRPr="00D9348B" w:rsidRDefault="00D1512E" w:rsidP="00DB330E">
            <w:pPr>
              <w:pStyle w:val="TableTextBold"/>
              <w:keepNext/>
              <w:rPr>
                <w:noProof w:val="0"/>
                <w:color w:val="FFFFFF"/>
              </w:rPr>
            </w:pPr>
            <w:r w:rsidRPr="00D9348B">
              <w:rPr>
                <w:noProof w:val="0"/>
                <w:color w:val="FFFFFF"/>
              </w:rPr>
              <w:t> Activity</w:t>
            </w:r>
          </w:p>
        </w:tc>
        <w:tc>
          <w:tcPr>
            <w:tcW w:w="992" w:type="dxa"/>
            <w:tcBorders>
              <w:left w:val="nil"/>
              <w:bottom w:val="single" w:sz="4" w:space="0" w:color="365F91"/>
              <w:right w:val="nil"/>
            </w:tcBorders>
            <w:shd w:val="clear" w:color="000000" w:fill="365F91"/>
            <w:hideMark/>
          </w:tcPr>
          <w:p w14:paraId="54EE89DB" w14:textId="77777777" w:rsidR="00D1512E" w:rsidRPr="00D9348B" w:rsidRDefault="00D1512E" w:rsidP="00DB330E">
            <w:pPr>
              <w:pStyle w:val="TableTextBold"/>
              <w:keepNext/>
              <w:jc w:val="center"/>
              <w:rPr>
                <w:noProof w:val="0"/>
                <w:color w:val="FFFFFF"/>
              </w:rPr>
            </w:pPr>
            <w:r w:rsidRPr="00D9348B">
              <w:rPr>
                <w:noProof w:val="0"/>
                <w:color w:val="FFFFFF"/>
              </w:rPr>
              <w:t>2013</w:t>
            </w:r>
          </w:p>
        </w:tc>
        <w:tc>
          <w:tcPr>
            <w:tcW w:w="993" w:type="dxa"/>
            <w:tcBorders>
              <w:left w:val="nil"/>
              <w:bottom w:val="single" w:sz="4" w:space="0" w:color="365F91"/>
              <w:right w:val="nil"/>
            </w:tcBorders>
            <w:shd w:val="clear" w:color="000000" w:fill="365F91"/>
            <w:hideMark/>
          </w:tcPr>
          <w:p w14:paraId="5E2B8105" w14:textId="77777777" w:rsidR="00D1512E" w:rsidRPr="00D9348B" w:rsidRDefault="00D1512E" w:rsidP="00DB330E">
            <w:pPr>
              <w:pStyle w:val="TableTextBold"/>
              <w:keepNext/>
              <w:jc w:val="center"/>
              <w:rPr>
                <w:noProof w:val="0"/>
                <w:color w:val="FFFFFF"/>
              </w:rPr>
            </w:pPr>
            <w:r w:rsidRPr="00D9348B">
              <w:rPr>
                <w:noProof w:val="0"/>
                <w:color w:val="FFFFFF"/>
              </w:rPr>
              <w:t>2014</w:t>
            </w:r>
          </w:p>
        </w:tc>
        <w:tc>
          <w:tcPr>
            <w:tcW w:w="992" w:type="dxa"/>
            <w:tcBorders>
              <w:left w:val="nil"/>
              <w:bottom w:val="single" w:sz="4" w:space="0" w:color="365F91"/>
              <w:right w:val="nil"/>
            </w:tcBorders>
            <w:shd w:val="clear" w:color="000000" w:fill="365F91"/>
            <w:hideMark/>
          </w:tcPr>
          <w:p w14:paraId="46019201" w14:textId="77777777" w:rsidR="00D1512E" w:rsidRPr="00D9348B" w:rsidRDefault="00D1512E" w:rsidP="00DB330E">
            <w:pPr>
              <w:pStyle w:val="TableTextBold"/>
              <w:keepNext/>
              <w:jc w:val="center"/>
              <w:rPr>
                <w:noProof w:val="0"/>
                <w:color w:val="FFFFFF"/>
              </w:rPr>
            </w:pPr>
            <w:r w:rsidRPr="00D9348B">
              <w:rPr>
                <w:noProof w:val="0"/>
                <w:color w:val="FFFFFF"/>
              </w:rPr>
              <w:t>2015</w:t>
            </w:r>
          </w:p>
        </w:tc>
        <w:tc>
          <w:tcPr>
            <w:tcW w:w="992" w:type="dxa"/>
            <w:tcBorders>
              <w:left w:val="nil"/>
              <w:bottom w:val="single" w:sz="4" w:space="0" w:color="365F91"/>
              <w:right w:val="nil"/>
            </w:tcBorders>
            <w:shd w:val="clear" w:color="000000" w:fill="365F91"/>
            <w:hideMark/>
          </w:tcPr>
          <w:p w14:paraId="454B0D80" w14:textId="77777777" w:rsidR="00D1512E" w:rsidRPr="00D9348B" w:rsidRDefault="00D1512E" w:rsidP="00DB330E">
            <w:pPr>
              <w:pStyle w:val="TableTextBold"/>
              <w:keepNext/>
              <w:jc w:val="center"/>
              <w:rPr>
                <w:noProof w:val="0"/>
                <w:color w:val="FFFFFF"/>
              </w:rPr>
            </w:pPr>
            <w:r w:rsidRPr="00D9348B">
              <w:rPr>
                <w:noProof w:val="0"/>
                <w:color w:val="FFFFFF"/>
              </w:rPr>
              <w:t>2016</w:t>
            </w:r>
          </w:p>
        </w:tc>
        <w:tc>
          <w:tcPr>
            <w:tcW w:w="992" w:type="dxa"/>
            <w:tcBorders>
              <w:left w:val="nil"/>
              <w:bottom w:val="single" w:sz="4" w:space="0" w:color="365F91"/>
              <w:right w:val="nil"/>
            </w:tcBorders>
            <w:shd w:val="clear" w:color="000000" w:fill="365F91"/>
          </w:tcPr>
          <w:p w14:paraId="6B51B8DF" w14:textId="77777777" w:rsidR="00D1512E" w:rsidRPr="00D9348B" w:rsidRDefault="00D1512E" w:rsidP="00DB330E">
            <w:pPr>
              <w:pStyle w:val="TableTextBold"/>
              <w:keepNext/>
              <w:jc w:val="center"/>
              <w:rPr>
                <w:noProof w:val="0"/>
                <w:color w:val="FFFFFF"/>
              </w:rPr>
            </w:pPr>
            <w:r w:rsidRPr="00D9348B">
              <w:rPr>
                <w:noProof w:val="0"/>
                <w:color w:val="FFFFFF"/>
              </w:rPr>
              <w:t>2017</w:t>
            </w:r>
            <w:r w:rsidRPr="00D9348B">
              <w:rPr>
                <w:noProof w:val="0"/>
                <w:color w:val="FFFFFF"/>
                <w:vertAlign w:val="superscript"/>
              </w:rPr>
              <w:t>P</w:t>
            </w:r>
          </w:p>
        </w:tc>
        <w:tc>
          <w:tcPr>
            <w:tcW w:w="1026" w:type="dxa"/>
            <w:tcBorders>
              <w:left w:val="nil"/>
              <w:bottom w:val="single" w:sz="4" w:space="0" w:color="365F91"/>
              <w:right w:val="nil"/>
            </w:tcBorders>
            <w:shd w:val="clear" w:color="000000" w:fill="365F91"/>
          </w:tcPr>
          <w:p w14:paraId="392E26E4" w14:textId="77777777" w:rsidR="00D1512E" w:rsidRPr="00D9348B" w:rsidRDefault="00D1512E" w:rsidP="00DB330E">
            <w:pPr>
              <w:pStyle w:val="TableTextBold"/>
              <w:keepNext/>
              <w:jc w:val="center"/>
              <w:rPr>
                <w:noProof w:val="0"/>
                <w:color w:val="FFFFFF"/>
              </w:rPr>
            </w:pPr>
            <w:r w:rsidRPr="00D9348B">
              <w:rPr>
                <w:noProof w:val="0"/>
                <w:color w:val="FFFFFF"/>
              </w:rPr>
              <w:t>2018</w:t>
            </w:r>
            <w:r w:rsidRPr="00D9348B">
              <w:rPr>
                <w:noProof w:val="0"/>
                <w:color w:val="FFFFFF"/>
                <w:vertAlign w:val="superscript"/>
              </w:rPr>
              <w:t>P</w:t>
            </w:r>
          </w:p>
        </w:tc>
      </w:tr>
      <w:tr w:rsidR="00D1512E" w:rsidRPr="00D9348B" w14:paraId="430BC8A0" w14:textId="77777777" w:rsidTr="00832057">
        <w:tc>
          <w:tcPr>
            <w:tcW w:w="2410" w:type="dxa"/>
            <w:tcBorders>
              <w:top w:val="single" w:sz="4" w:space="0" w:color="365F91"/>
              <w:left w:val="nil"/>
              <w:bottom w:val="single" w:sz="8" w:space="0" w:color="44546A"/>
              <w:right w:val="nil"/>
            </w:tcBorders>
            <w:shd w:val="clear" w:color="auto" w:fill="auto"/>
            <w:hideMark/>
          </w:tcPr>
          <w:p w14:paraId="47DA7342" w14:textId="77777777" w:rsidR="00D1512E" w:rsidRPr="00D9348B" w:rsidRDefault="00D1512E" w:rsidP="00DB330E">
            <w:pPr>
              <w:pStyle w:val="TableText"/>
              <w:keepNext/>
              <w:spacing w:before="50" w:after="50"/>
            </w:pPr>
            <w:r w:rsidRPr="00D9348B">
              <w:t xml:space="preserve">Afforestation and reforestation </w:t>
            </w:r>
          </w:p>
        </w:tc>
        <w:tc>
          <w:tcPr>
            <w:tcW w:w="992" w:type="dxa"/>
            <w:tcBorders>
              <w:top w:val="single" w:sz="4" w:space="0" w:color="365F91"/>
              <w:left w:val="nil"/>
              <w:bottom w:val="single" w:sz="8" w:space="0" w:color="44546A"/>
              <w:right w:val="nil"/>
            </w:tcBorders>
            <w:shd w:val="clear" w:color="auto" w:fill="auto"/>
            <w:hideMark/>
          </w:tcPr>
          <w:p w14:paraId="228480EC" w14:textId="77777777" w:rsidR="00D1512E" w:rsidRPr="00D9348B" w:rsidRDefault="00D1512E" w:rsidP="00DB330E">
            <w:pPr>
              <w:pStyle w:val="TableText"/>
              <w:keepNext/>
              <w:spacing w:before="50" w:after="50"/>
              <w:jc w:val="right"/>
            </w:pPr>
            <w:r w:rsidRPr="00D9348B">
              <w:t xml:space="preserve">–17,542.2 </w:t>
            </w:r>
          </w:p>
        </w:tc>
        <w:tc>
          <w:tcPr>
            <w:tcW w:w="993" w:type="dxa"/>
            <w:tcBorders>
              <w:top w:val="single" w:sz="4" w:space="0" w:color="365F91"/>
              <w:left w:val="nil"/>
              <w:bottom w:val="single" w:sz="8" w:space="0" w:color="44546A"/>
              <w:right w:val="nil"/>
            </w:tcBorders>
            <w:shd w:val="clear" w:color="auto" w:fill="auto"/>
            <w:hideMark/>
          </w:tcPr>
          <w:p w14:paraId="50529E52" w14:textId="77777777" w:rsidR="00D1512E" w:rsidRPr="00D9348B" w:rsidRDefault="00D1512E" w:rsidP="00DB330E">
            <w:pPr>
              <w:pStyle w:val="TableText"/>
              <w:keepNext/>
              <w:spacing w:before="50" w:after="50"/>
              <w:jc w:val="right"/>
            </w:pPr>
            <w:r w:rsidRPr="00D9348B">
              <w:t xml:space="preserve">–17,824.5 </w:t>
            </w:r>
          </w:p>
        </w:tc>
        <w:tc>
          <w:tcPr>
            <w:tcW w:w="992" w:type="dxa"/>
            <w:tcBorders>
              <w:top w:val="single" w:sz="4" w:space="0" w:color="365F91"/>
              <w:left w:val="nil"/>
              <w:bottom w:val="single" w:sz="8" w:space="0" w:color="44546A"/>
              <w:right w:val="nil"/>
            </w:tcBorders>
            <w:shd w:val="clear" w:color="auto" w:fill="auto"/>
            <w:hideMark/>
          </w:tcPr>
          <w:p w14:paraId="0C909FA9" w14:textId="77777777" w:rsidR="00D1512E" w:rsidRPr="00D9348B" w:rsidRDefault="00D1512E" w:rsidP="00DB330E">
            <w:pPr>
              <w:pStyle w:val="TableText"/>
              <w:keepNext/>
              <w:spacing w:before="50" w:after="50"/>
              <w:jc w:val="right"/>
            </w:pPr>
            <w:r w:rsidRPr="00D9348B">
              <w:t xml:space="preserve">–18,066.9 </w:t>
            </w:r>
          </w:p>
        </w:tc>
        <w:tc>
          <w:tcPr>
            <w:tcW w:w="992" w:type="dxa"/>
            <w:tcBorders>
              <w:top w:val="single" w:sz="4" w:space="0" w:color="365F91"/>
              <w:left w:val="nil"/>
              <w:bottom w:val="single" w:sz="8" w:space="0" w:color="44546A"/>
              <w:right w:val="nil"/>
            </w:tcBorders>
            <w:shd w:val="clear" w:color="auto" w:fill="auto"/>
            <w:hideMark/>
          </w:tcPr>
          <w:p w14:paraId="2349D124" w14:textId="77777777" w:rsidR="00D1512E" w:rsidRPr="00D9348B" w:rsidRDefault="00D1512E" w:rsidP="00DB330E">
            <w:pPr>
              <w:pStyle w:val="TableText"/>
              <w:keepNext/>
              <w:spacing w:before="50" w:after="50"/>
              <w:jc w:val="right"/>
            </w:pPr>
            <w:r w:rsidRPr="00D9348B">
              <w:t xml:space="preserve">–17,790.2 </w:t>
            </w:r>
          </w:p>
        </w:tc>
        <w:tc>
          <w:tcPr>
            <w:tcW w:w="992" w:type="dxa"/>
            <w:tcBorders>
              <w:top w:val="single" w:sz="4" w:space="0" w:color="365F91"/>
              <w:left w:val="nil"/>
              <w:bottom w:val="single" w:sz="8" w:space="0" w:color="44546A"/>
              <w:right w:val="nil"/>
            </w:tcBorders>
          </w:tcPr>
          <w:p w14:paraId="61E91523" w14:textId="77777777" w:rsidR="00D1512E" w:rsidRPr="00D9348B" w:rsidRDefault="00D1512E" w:rsidP="00DB330E">
            <w:pPr>
              <w:pStyle w:val="TableText"/>
              <w:keepNext/>
              <w:spacing w:before="50" w:after="50"/>
              <w:jc w:val="right"/>
            </w:pPr>
            <w:r w:rsidRPr="00D9348B">
              <w:t xml:space="preserve">-–17,790.2 </w:t>
            </w:r>
          </w:p>
        </w:tc>
        <w:tc>
          <w:tcPr>
            <w:tcW w:w="1026" w:type="dxa"/>
            <w:tcBorders>
              <w:top w:val="single" w:sz="4" w:space="0" w:color="365F91"/>
              <w:left w:val="nil"/>
              <w:bottom w:val="single" w:sz="8" w:space="0" w:color="44546A"/>
              <w:right w:val="nil"/>
            </w:tcBorders>
          </w:tcPr>
          <w:p w14:paraId="45DCCF5C" w14:textId="77777777" w:rsidR="00D1512E" w:rsidRPr="00D9348B" w:rsidRDefault="00D1512E" w:rsidP="00DB330E">
            <w:pPr>
              <w:pStyle w:val="TableText"/>
              <w:keepNext/>
              <w:spacing w:before="50" w:after="50"/>
              <w:jc w:val="right"/>
            </w:pPr>
            <w:r w:rsidRPr="00D9348B">
              <w:t xml:space="preserve">–17,593.2 </w:t>
            </w:r>
          </w:p>
        </w:tc>
      </w:tr>
      <w:tr w:rsidR="00D1512E" w:rsidRPr="00D9348B" w14:paraId="6AC65C18" w14:textId="77777777" w:rsidTr="00832057">
        <w:tc>
          <w:tcPr>
            <w:tcW w:w="2410" w:type="dxa"/>
            <w:tcBorders>
              <w:left w:val="nil"/>
              <w:bottom w:val="single" w:sz="8" w:space="0" w:color="44546A"/>
              <w:right w:val="nil"/>
            </w:tcBorders>
            <w:shd w:val="clear" w:color="auto" w:fill="auto"/>
            <w:hideMark/>
          </w:tcPr>
          <w:p w14:paraId="361C718D" w14:textId="77777777" w:rsidR="00D1512E" w:rsidRPr="00D9348B" w:rsidRDefault="00D1512E" w:rsidP="00DB330E">
            <w:pPr>
              <w:pStyle w:val="TableText"/>
              <w:keepNext/>
              <w:spacing w:before="50" w:after="50"/>
            </w:pPr>
            <w:r w:rsidRPr="00D9348B">
              <w:t>Deforestation</w:t>
            </w:r>
          </w:p>
        </w:tc>
        <w:tc>
          <w:tcPr>
            <w:tcW w:w="992" w:type="dxa"/>
            <w:tcBorders>
              <w:left w:val="nil"/>
              <w:bottom w:val="single" w:sz="8" w:space="0" w:color="44546A"/>
              <w:right w:val="nil"/>
            </w:tcBorders>
            <w:shd w:val="clear" w:color="auto" w:fill="auto"/>
            <w:hideMark/>
          </w:tcPr>
          <w:p w14:paraId="7C3CF660" w14:textId="77777777" w:rsidR="00D1512E" w:rsidRPr="00D9348B" w:rsidRDefault="00D1512E" w:rsidP="00DB330E">
            <w:pPr>
              <w:pStyle w:val="TableText"/>
              <w:keepNext/>
              <w:spacing w:before="50" w:after="50"/>
              <w:jc w:val="right"/>
            </w:pPr>
            <w:r w:rsidRPr="00D9348B">
              <w:t>9,525.6</w:t>
            </w:r>
          </w:p>
        </w:tc>
        <w:tc>
          <w:tcPr>
            <w:tcW w:w="993" w:type="dxa"/>
            <w:tcBorders>
              <w:left w:val="nil"/>
              <w:bottom w:val="single" w:sz="8" w:space="0" w:color="44546A"/>
              <w:right w:val="nil"/>
            </w:tcBorders>
            <w:shd w:val="clear" w:color="auto" w:fill="auto"/>
            <w:hideMark/>
          </w:tcPr>
          <w:p w14:paraId="49C4BE01" w14:textId="77777777" w:rsidR="00D1512E" w:rsidRPr="00D9348B" w:rsidRDefault="00D1512E" w:rsidP="00DB330E">
            <w:pPr>
              <w:pStyle w:val="TableText"/>
              <w:keepNext/>
              <w:spacing w:before="50" w:after="50"/>
              <w:jc w:val="right"/>
            </w:pPr>
            <w:r w:rsidRPr="00D9348B">
              <w:t>5,667.4</w:t>
            </w:r>
          </w:p>
        </w:tc>
        <w:tc>
          <w:tcPr>
            <w:tcW w:w="992" w:type="dxa"/>
            <w:tcBorders>
              <w:left w:val="nil"/>
              <w:bottom w:val="single" w:sz="8" w:space="0" w:color="44546A"/>
              <w:right w:val="nil"/>
            </w:tcBorders>
            <w:shd w:val="clear" w:color="auto" w:fill="auto"/>
            <w:hideMark/>
          </w:tcPr>
          <w:p w14:paraId="1BBA1364" w14:textId="77777777" w:rsidR="00D1512E" w:rsidRPr="00D9348B" w:rsidRDefault="00D1512E" w:rsidP="00DB330E">
            <w:pPr>
              <w:pStyle w:val="TableText"/>
              <w:keepNext/>
              <w:spacing w:before="50" w:after="50"/>
              <w:jc w:val="right"/>
            </w:pPr>
            <w:r w:rsidRPr="00D9348B">
              <w:t>3,640.3</w:t>
            </w:r>
          </w:p>
        </w:tc>
        <w:tc>
          <w:tcPr>
            <w:tcW w:w="992" w:type="dxa"/>
            <w:tcBorders>
              <w:left w:val="nil"/>
              <w:bottom w:val="single" w:sz="8" w:space="0" w:color="44546A"/>
              <w:right w:val="nil"/>
            </w:tcBorders>
            <w:shd w:val="clear" w:color="auto" w:fill="auto"/>
            <w:hideMark/>
          </w:tcPr>
          <w:p w14:paraId="4C86B3CD" w14:textId="77777777" w:rsidR="00D1512E" w:rsidRPr="00D9348B" w:rsidRDefault="00D1512E" w:rsidP="00DB330E">
            <w:pPr>
              <w:pStyle w:val="TableText"/>
              <w:keepNext/>
              <w:spacing w:before="50" w:after="50"/>
              <w:jc w:val="right"/>
            </w:pPr>
            <w:r w:rsidRPr="00D9348B">
              <w:t>1,821.5</w:t>
            </w:r>
          </w:p>
        </w:tc>
        <w:tc>
          <w:tcPr>
            <w:tcW w:w="992" w:type="dxa"/>
            <w:tcBorders>
              <w:left w:val="nil"/>
              <w:bottom w:val="single" w:sz="8" w:space="0" w:color="44546A"/>
              <w:right w:val="nil"/>
            </w:tcBorders>
          </w:tcPr>
          <w:p w14:paraId="66AC9C75" w14:textId="77777777" w:rsidR="00D1512E" w:rsidRPr="00D9348B" w:rsidRDefault="00D1512E" w:rsidP="00DB330E">
            <w:pPr>
              <w:pStyle w:val="TableText"/>
              <w:keepNext/>
              <w:spacing w:before="50" w:after="50"/>
              <w:jc w:val="right"/>
            </w:pPr>
            <w:r w:rsidRPr="00D9348B">
              <w:t>1,977.1</w:t>
            </w:r>
          </w:p>
        </w:tc>
        <w:tc>
          <w:tcPr>
            <w:tcW w:w="1026" w:type="dxa"/>
            <w:tcBorders>
              <w:left w:val="nil"/>
              <w:bottom w:val="single" w:sz="8" w:space="0" w:color="44546A"/>
              <w:right w:val="nil"/>
            </w:tcBorders>
          </w:tcPr>
          <w:p w14:paraId="06FB1E4E" w14:textId="77777777" w:rsidR="00D1512E" w:rsidRPr="00D9348B" w:rsidRDefault="00D1512E" w:rsidP="00DB330E">
            <w:pPr>
              <w:pStyle w:val="TableText"/>
              <w:keepNext/>
              <w:spacing w:before="50" w:after="50"/>
              <w:jc w:val="right"/>
            </w:pPr>
            <w:r w:rsidRPr="00D9348B">
              <w:t>2,146.2</w:t>
            </w:r>
          </w:p>
        </w:tc>
      </w:tr>
      <w:tr w:rsidR="00D1512E" w:rsidRPr="00D9348B" w14:paraId="6B0B3737" w14:textId="77777777" w:rsidTr="00832057">
        <w:tc>
          <w:tcPr>
            <w:tcW w:w="2410" w:type="dxa"/>
            <w:tcBorders>
              <w:left w:val="nil"/>
              <w:bottom w:val="single" w:sz="4" w:space="0" w:color="auto"/>
              <w:right w:val="nil"/>
            </w:tcBorders>
            <w:shd w:val="clear" w:color="auto" w:fill="auto"/>
            <w:hideMark/>
          </w:tcPr>
          <w:p w14:paraId="56C7E2AE" w14:textId="77777777" w:rsidR="00D1512E" w:rsidRPr="00D9348B" w:rsidRDefault="00D1512E" w:rsidP="00DB330E">
            <w:pPr>
              <w:pStyle w:val="TableText"/>
              <w:spacing w:before="50" w:after="50"/>
            </w:pPr>
            <w:r w:rsidRPr="00D9348B">
              <w:t>Forest management</w:t>
            </w:r>
          </w:p>
        </w:tc>
        <w:tc>
          <w:tcPr>
            <w:tcW w:w="992" w:type="dxa"/>
            <w:tcBorders>
              <w:left w:val="nil"/>
              <w:bottom w:val="single" w:sz="4" w:space="0" w:color="auto"/>
              <w:right w:val="nil"/>
            </w:tcBorders>
            <w:shd w:val="clear" w:color="auto" w:fill="auto"/>
            <w:hideMark/>
          </w:tcPr>
          <w:p w14:paraId="4D4FFEA8" w14:textId="77777777" w:rsidR="00D1512E" w:rsidRPr="00D9348B" w:rsidRDefault="00D1512E" w:rsidP="00DB330E">
            <w:pPr>
              <w:pStyle w:val="TableText"/>
              <w:spacing w:before="50" w:after="50"/>
              <w:jc w:val="right"/>
            </w:pPr>
            <w:r w:rsidRPr="00D9348B">
              <w:t xml:space="preserve">–18,487.6 </w:t>
            </w:r>
          </w:p>
        </w:tc>
        <w:tc>
          <w:tcPr>
            <w:tcW w:w="993" w:type="dxa"/>
            <w:tcBorders>
              <w:left w:val="nil"/>
              <w:bottom w:val="single" w:sz="4" w:space="0" w:color="auto"/>
              <w:right w:val="nil"/>
            </w:tcBorders>
            <w:shd w:val="clear" w:color="auto" w:fill="auto"/>
            <w:hideMark/>
          </w:tcPr>
          <w:p w14:paraId="10E95DE2" w14:textId="77777777" w:rsidR="00D1512E" w:rsidRPr="00D9348B" w:rsidRDefault="00D1512E" w:rsidP="00DB330E">
            <w:pPr>
              <w:pStyle w:val="TableText"/>
              <w:spacing w:before="50" w:after="50"/>
              <w:jc w:val="right"/>
            </w:pPr>
            <w:r w:rsidRPr="00D9348B">
              <w:t xml:space="preserve">–16,962.0 </w:t>
            </w:r>
          </w:p>
        </w:tc>
        <w:tc>
          <w:tcPr>
            <w:tcW w:w="992" w:type="dxa"/>
            <w:tcBorders>
              <w:left w:val="nil"/>
              <w:bottom w:val="single" w:sz="4" w:space="0" w:color="auto"/>
              <w:right w:val="nil"/>
            </w:tcBorders>
            <w:shd w:val="clear" w:color="auto" w:fill="auto"/>
            <w:hideMark/>
          </w:tcPr>
          <w:p w14:paraId="63C35B53" w14:textId="77777777" w:rsidR="00D1512E" w:rsidRPr="00D9348B" w:rsidRDefault="00D1512E" w:rsidP="00DB330E">
            <w:pPr>
              <w:pStyle w:val="TableText"/>
              <w:spacing w:before="50" w:after="50"/>
              <w:jc w:val="right"/>
            </w:pPr>
            <w:r w:rsidRPr="00D9348B">
              <w:t xml:space="preserve">–15,470.4 </w:t>
            </w:r>
          </w:p>
        </w:tc>
        <w:tc>
          <w:tcPr>
            <w:tcW w:w="992" w:type="dxa"/>
            <w:tcBorders>
              <w:left w:val="nil"/>
              <w:bottom w:val="single" w:sz="4" w:space="0" w:color="auto"/>
              <w:right w:val="nil"/>
            </w:tcBorders>
            <w:shd w:val="clear" w:color="auto" w:fill="auto"/>
            <w:hideMark/>
          </w:tcPr>
          <w:p w14:paraId="58937025" w14:textId="77777777" w:rsidR="00D1512E" w:rsidRPr="00D9348B" w:rsidRDefault="00D1512E" w:rsidP="00DB330E">
            <w:pPr>
              <w:pStyle w:val="TableText"/>
              <w:spacing w:before="50" w:after="50"/>
              <w:jc w:val="right"/>
            </w:pPr>
            <w:r w:rsidRPr="00D9348B">
              <w:t xml:space="preserve">–13,119.5 </w:t>
            </w:r>
          </w:p>
        </w:tc>
        <w:tc>
          <w:tcPr>
            <w:tcW w:w="992" w:type="dxa"/>
            <w:tcBorders>
              <w:left w:val="nil"/>
              <w:bottom w:val="single" w:sz="4" w:space="0" w:color="auto"/>
              <w:right w:val="nil"/>
            </w:tcBorders>
          </w:tcPr>
          <w:p w14:paraId="2B4211FC" w14:textId="77777777" w:rsidR="00D1512E" w:rsidRPr="00D9348B" w:rsidRDefault="00D1512E" w:rsidP="00DB330E">
            <w:pPr>
              <w:pStyle w:val="TableText"/>
              <w:spacing w:before="50" w:after="50"/>
              <w:jc w:val="right"/>
            </w:pPr>
            <w:r w:rsidRPr="00D9348B">
              <w:t xml:space="preserve">–13,136.0 </w:t>
            </w:r>
          </w:p>
        </w:tc>
        <w:tc>
          <w:tcPr>
            <w:tcW w:w="1026" w:type="dxa"/>
            <w:tcBorders>
              <w:left w:val="nil"/>
              <w:bottom w:val="single" w:sz="4" w:space="0" w:color="auto"/>
              <w:right w:val="nil"/>
            </w:tcBorders>
          </w:tcPr>
          <w:p w14:paraId="20B8C285" w14:textId="77777777" w:rsidR="00D1512E" w:rsidRPr="00D9348B" w:rsidRDefault="00D1512E" w:rsidP="00DB330E">
            <w:pPr>
              <w:pStyle w:val="TableText"/>
              <w:spacing w:before="50" w:after="50"/>
              <w:jc w:val="right"/>
            </w:pPr>
            <w:r w:rsidRPr="00D9348B">
              <w:t xml:space="preserve">–13,898.9 </w:t>
            </w:r>
          </w:p>
        </w:tc>
      </w:tr>
      <w:tr w:rsidR="00D1512E" w:rsidRPr="00D9348B" w14:paraId="401FBFD6" w14:textId="77777777" w:rsidTr="00832057">
        <w:tc>
          <w:tcPr>
            <w:tcW w:w="2410" w:type="dxa"/>
            <w:tcBorders>
              <w:top w:val="nil"/>
              <w:left w:val="nil"/>
              <w:bottom w:val="single" w:sz="4" w:space="0" w:color="auto"/>
              <w:right w:val="nil"/>
            </w:tcBorders>
            <w:shd w:val="clear" w:color="auto" w:fill="auto"/>
            <w:hideMark/>
          </w:tcPr>
          <w:p w14:paraId="28521D16" w14:textId="77777777" w:rsidR="00D1512E" w:rsidRPr="00D9348B" w:rsidRDefault="00D1512E" w:rsidP="00DB330E">
            <w:pPr>
              <w:pStyle w:val="Tableboldblue"/>
              <w:spacing w:before="50" w:after="50"/>
              <w:rPr>
                <w:lang w:eastAsia="en-NZ"/>
              </w:rPr>
            </w:pPr>
            <w:r w:rsidRPr="00D9348B">
              <w:rPr>
                <w:lang w:eastAsia="en-NZ"/>
              </w:rPr>
              <w:t>Net emissions</w:t>
            </w:r>
          </w:p>
        </w:tc>
        <w:tc>
          <w:tcPr>
            <w:tcW w:w="992" w:type="dxa"/>
            <w:tcBorders>
              <w:top w:val="nil"/>
              <w:left w:val="nil"/>
              <w:bottom w:val="single" w:sz="4" w:space="0" w:color="auto"/>
              <w:right w:val="nil"/>
            </w:tcBorders>
            <w:shd w:val="clear" w:color="auto" w:fill="auto"/>
            <w:hideMark/>
          </w:tcPr>
          <w:p w14:paraId="7132A23E" w14:textId="77777777" w:rsidR="00D1512E" w:rsidRPr="00D9348B" w:rsidRDefault="00D1512E" w:rsidP="00DB330E">
            <w:pPr>
              <w:pStyle w:val="Tableboldblue"/>
              <w:spacing w:before="50" w:after="50"/>
              <w:jc w:val="right"/>
              <w:rPr>
                <w:lang w:eastAsia="en-NZ"/>
              </w:rPr>
            </w:pPr>
            <w:r w:rsidRPr="00D9348B">
              <w:t xml:space="preserve">–26,504.2 </w:t>
            </w:r>
          </w:p>
        </w:tc>
        <w:tc>
          <w:tcPr>
            <w:tcW w:w="993" w:type="dxa"/>
            <w:tcBorders>
              <w:top w:val="nil"/>
              <w:left w:val="nil"/>
              <w:bottom w:val="single" w:sz="4" w:space="0" w:color="auto"/>
              <w:right w:val="nil"/>
            </w:tcBorders>
            <w:shd w:val="clear" w:color="auto" w:fill="auto"/>
            <w:hideMark/>
          </w:tcPr>
          <w:p w14:paraId="3E8708C7" w14:textId="77777777" w:rsidR="00D1512E" w:rsidRPr="00D9348B" w:rsidRDefault="00D1512E" w:rsidP="00DB330E">
            <w:pPr>
              <w:pStyle w:val="Tableboldblue"/>
              <w:spacing w:before="50" w:after="50"/>
              <w:jc w:val="right"/>
              <w:rPr>
                <w:lang w:eastAsia="en-NZ"/>
              </w:rPr>
            </w:pPr>
            <w:r w:rsidRPr="00D9348B">
              <w:t xml:space="preserve">–29,119.1 </w:t>
            </w:r>
          </w:p>
        </w:tc>
        <w:tc>
          <w:tcPr>
            <w:tcW w:w="992" w:type="dxa"/>
            <w:tcBorders>
              <w:top w:val="nil"/>
              <w:left w:val="nil"/>
              <w:bottom w:val="single" w:sz="4" w:space="0" w:color="auto"/>
              <w:right w:val="nil"/>
            </w:tcBorders>
            <w:shd w:val="clear" w:color="auto" w:fill="auto"/>
            <w:hideMark/>
          </w:tcPr>
          <w:p w14:paraId="5D6895A1" w14:textId="77777777" w:rsidR="00D1512E" w:rsidRPr="00D9348B" w:rsidRDefault="00D1512E" w:rsidP="00DB330E">
            <w:pPr>
              <w:pStyle w:val="Tableboldblue"/>
              <w:spacing w:before="50" w:after="50"/>
              <w:jc w:val="right"/>
              <w:rPr>
                <w:lang w:eastAsia="en-NZ"/>
              </w:rPr>
            </w:pPr>
            <w:r w:rsidRPr="00D9348B">
              <w:t xml:space="preserve">–29,897.0 </w:t>
            </w:r>
          </w:p>
        </w:tc>
        <w:tc>
          <w:tcPr>
            <w:tcW w:w="992" w:type="dxa"/>
            <w:tcBorders>
              <w:top w:val="nil"/>
              <w:left w:val="nil"/>
              <w:bottom w:val="single" w:sz="4" w:space="0" w:color="auto"/>
              <w:right w:val="nil"/>
            </w:tcBorders>
            <w:shd w:val="clear" w:color="auto" w:fill="auto"/>
            <w:hideMark/>
          </w:tcPr>
          <w:p w14:paraId="10412B71" w14:textId="77777777" w:rsidR="00D1512E" w:rsidRPr="00D9348B" w:rsidRDefault="00D1512E" w:rsidP="00DB330E">
            <w:pPr>
              <w:pStyle w:val="Tableboldblue"/>
              <w:spacing w:before="50" w:after="50"/>
              <w:jc w:val="right"/>
              <w:rPr>
                <w:lang w:eastAsia="en-NZ"/>
              </w:rPr>
            </w:pPr>
            <w:r w:rsidRPr="00D9348B">
              <w:t xml:space="preserve">–29,088.2 </w:t>
            </w:r>
          </w:p>
        </w:tc>
        <w:tc>
          <w:tcPr>
            <w:tcW w:w="992" w:type="dxa"/>
            <w:tcBorders>
              <w:top w:val="nil"/>
              <w:left w:val="nil"/>
              <w:bottom w:val="single" w:sz="4" w:space="0" w:color="auto"/>
              <w:right w:val="nil"/>
            </w:tcBorders>
          </w:tcPr>
          <w:p w14:paraId="2F2C3B62" w14:textId="77777777" w:rsidR="00D1512E" w:rsidRPr="00D9348B" w:rsidRDefault="00D1512E" w:rsidP="00DB330E">
            <w:pPr>
              <w:pStyle w:val="Tableboldblue"/>
              <w:spacing w:before="50" w:after="50"/>
              <w:jc w:val="right"/>
              <w:rPr>
                <w:lang w:eastAsia="en-NZ"/>
              </w:rPr>
            </w:pPr>
            <w:r w:rsidRPr="00D9348B">
              <w:t xml:space="preserve">–28,949.2 </w:t>
            </w:r>
          </w:p>
        </w:tc>
        <w:tc>
          <w:tcPr>
            <w:tcW w:w="1026" w:type="dxa"/>
            <w:tcBorders>
              <w:top w:val="nil"/>
              <w:left w:val="nil"/>
              <w:bottom w:val="single" w:sz="4" w:space="0" w:color="auto"/>
              <w:right w:val="nil"/>
            </w:tcBorders>
          </w:tcPr>
          <w:p w14:paraId="4EEEF452" w14:textId="77777777" w:rsidR="00D1512E" w:rsidRPr="00D9348B" w:rsidRDefault="00D1512E" w:rsidP="00DB330E">
            <w:pPr>
              <w:pStyle w:val="Tableboldblue"/>
              <w:spacing w:before="50" w:after="50"/>
              <w:jc w:val="right"/>
            </w:pPr>
            <w:r w:rsidRPr="00D9348B">
              <w:t xml:space="preserve">–29,346.0 </w:t>
            </w:r>
          </w:p>
        </w:tc>
      </w:tr>
      <w:tr w:rsidR="00D1512E" w:rsidRPr="00D9348B" w14:paraId="6F3FA17C" w14:textId="77777777" w:rsidTr="00832057">
        <w:tc>
          <w:tcPr>
            <w:tcW w:w="2410" w:type="dxa"/>
            <w:tcBorders>
              <w:top w:val="single" w:sz="4" w:space="0" w:color="auto"/>
              <w:left w:val="nil"/>
              <w:bottom w:val="single" w:sz="8" w:space="0" w:color="44546A"/>
              <w:right w:val="nil"/>
            </w:tcBorders>
            <w:shd w:val="clear" w:color="auto" w:fill="auto"/>
          </w:tcPr>
          <w:p w14:paraId="1D0F4A9D" w14:textId="77777777" w:rsidR="00D1512E" w:rsidRPr="00D9348B" w:rsidRDefault="00D1512E" w:rsidP="00DB330E">
            <w:pPr>
              <w:pStyle w:val="Tableboldblue"/>
              <w:spacing w:before="50" w:after="50"/>
              <w:rPr>
                <w:lang w:eastAsia="en-NZ"/>
              </w:rPr>
            </w:pPr>
            <w:r w:rsidRPr="00D9348B">
              <w:rPr>
                <w:lang w:eastAsia="en-NZ"/>
              </w:rPr>
              <w:t>Accounting quantity</w:t>
            </w:r>
          </w:p>
        </w:tc>
        <w:tc>
          <w:tcPr>
            <w:tcW w:w="992" w:type="dxa"/>
            <w:tcBorders>
              <w:top w:val="single" w:sz="4" w:space="0" w:color="auto"/>
              <w:left w:val="nil"/>
              <w:bottom w:val="single" w:sz="8" w:space="0" w:color="44546A"/>
              <w:right w:val="nil"/>
            </w:tcBorders>
            <w:shd w:val="clear" w:color="auto" w:fill="auto"/>
          </w:tcPr>
          <w:p w14:paraId="6EAE22A7" w14:textId="77777777" w:rsidR="00D1512E" w:rsidRPr="00D9348B" w:rsidRDefault="00D1512E" w:rsidP="00DB330E">
            <w:pPr>
              <w:pStyle w:val="Tableboldblue"/>
              <w:spacing w:before="50" w:after="50"/>
              <w:jc w:val="right"/>
              <w:rPr>
                <w:lang w:eastAsia="en-NZ"/>
              </w:rPr>
            </w:pPr>
            <w:r w:rsidRPr="00D9348B">
              <w:t xml:space="preserve">–8,016.6 </w:t>
            </w:r>
          </w:p>
        </w:tc>
        <w:tc>
          <w:tcPr>
            <w:tcW w:w="993" w:type="dxa"/>
            <w:tcBorders>
              <w:top w:val="single" w:sz="4" w:space="0" w:color="auto"/>
              <w:left w:val="nil"/>
              <w:bottom w:val="single" w:sz="8" w:space="0" w:color="44546A"/>
              <w:right w:val="nil"/>
            </w:tcBorders>
            <w:shd w:val="clear" w:color="auto" w:fill="auto"/>
          </w:tcPr>
          <w:p w14:paraId="297454A9" w14:textId="77777777" w:rsidR="00D1512E" w:rsidRPr="00D9348B" w:rsidRDefault="00D1512E" w:rsidP="00DB330E">
            <w:pPr>
              <w:pStyle w:val="Tableboldblue"/>
              <w:spacing w:before="50" w:after="50"/>
              <w:jc w:val="right"/>
              <w:rPr>
                <w:lang w:eastAsia="en-NZ"/>
              </w:rPr>
            </w:pPr>
            <w:r w:rsidRPr="00D9348B">
              <w:t xml:space="preserve">–12,157.1 </w:t>
            </w:r>
          </w:p>
        </w:tc>
        <w:tc>
          <w:tcPr>
            <w:tcW w:w="992" w:type="dxa"/>
            <w:tcBorders>
              <w:top w:val="single" w:sz="4" w:space="0" w:color="auto"/>
              <w:left w:val="nil"/>
              <w:bottom w:val="single" w:sz="8" w:space="0" w:color="44546A"/>
              <w:right w:val="nil"/>
            </w:tcBorders>
            <w:shd w:val="clear" w:color="auto" w:fill="auto"/>
          </w:tcPr>
          <w:p w14:paraId="6EE091C3" w14:textId="77777777" w:rsidR="00D1512E" w:rsidRPr="00D9348B" w:rsidRDefault="00D1512E" w:rsidP="00DB330E">
            <w:pPr>
              <w:pStyle w:val="Tableboldblue"/>
              <w:spacing w:before="50" w:after="50"/>
              <w:jc w:val="right"/>
              <w:rPr>
                <w:lang w:eastAsia="en-NZ"/>
              </w:rPr>
            </w:pPr>
            <w:r w:rsidRPr="00D9348B">
              <w:t xml:space="preserve">–14,426.6 </w:t>
            </w:r>
          </w:p>
        </w:tc>
        <w:tc>
          <w:tcPr>
            <w:tcW w:w="992" w:type="dxa"/>
            <w:tcBorders>
              <w:top w:val="single" w:sz="4" w:space="0" w:color="auto"/>
              <w:left w:val="nil"/>
              <w:bottom w:val="single" w:sz="8" w:space="0" w:color="44546A"/>
              <w:right w:val="nil"/>
            </w:tcBorders>
            <w:shd w:val="clear" w:color="auto" w:fill="auto"/>
          </w:tcPr>
          <w:p w14:paraId="3844D2C9" w14:textId="77777777" w:rsidR="00D1512E" w:rsidRPr="00D9348B" w:rsidRDefault="00D1512E" w:rsidP="00DB330E">
            <w:pPr>
              <w:pStyle w:val="Tableboldblue"/>
              <w:spacing w:before="50" w:after="50"/>
              <w:jc w:val="right"/>
              <w:rPr>
                <w:lang w:eastAsia="en-NZ"/>
              </w:rPr>
            </w:pPr>
            <w:r w:rsidRPr="00D9348B">
              <w:t xml:space="preserve">–15,968.7 </w:t>
            </w:r>
          </w:p>
        </w:tc>
        <w:tc>
          <w:tcPr>
            <w:tcW w:w="992" w:type="dxa"/>
            <w:tcBorders>
              <w:top w:val="single" w:sz="4" w:space="0" w:color="auto"/>
              <w:left w:val="nil"/>
              <w:bottom w:val="single" w:sz="8" w:space="0" w:color="44546A"/>
              <w:right w:val="nil"/>
            </w:tcBorders>
          </w:tcPr>
          <w:p w14:paraId="4357470E" w14:textId="77777777" w:rsidR="00D1512E" w:rsidRPr="00D9348B" w:rsidRDefault="00D1512E" w:rsidP="00DB330E">
            <w:pPr>
              <w:pStyle w:val="Tableboldblue"/>
              <w:spacing w:before="50" w:after="50"/>
              <w:jc w:val="right"/>
              <w:rPr>
                <w:lang w:eastAsia="en-NZ"/>
              </w:rPr>
            </w:pPr>
            <w:r w:rsidRPr="00D9348B">
              <w:t xml:space="preserve">–15,813.2 </w:t>
            </w:r>
          </w:p>
        </w:tc>
        <w:tc>
          <w:tcPr>
            <w:tcW w:w="1026" w:type="dxa"/>
            <w:tcBorders>
              <w:top w:val="single" w:sz="4" w:space="0" w:color="auto"/>
              <w:left w:val="nil"/>
              <w:bottom w:val="single" w:sz="8" w:space="0" w:color="44546A"/>
              <w:right w:val="nil"/>
            </w:tcBorders>
          </w:tcPr>
          <w:p w14:paraId="064DBC5B" w14:textId="77777777" w:rsidR="00D1512E" w:rsidRPr="00D9348B" w:rsidRDefault="00D1512E" w:rsidP="00DB330E">
            <w:pPr>
              <w:pStyle w:val="Tableboldblue"/>
              <w:spacing w:before="50" w:after="50"/>
              <w:jc w:val="right"/>
            </w:pPr>
            <w:r w:rsidRPr="00D9348B">
              <w:t xml:space="preserve">–15,447.0 </w:t>
            </w:r>
          </w:p>
        </w:tc>
      </w:tr>
    </w:tbl>
    <w:p w14:paraId="7722F540" w14:textId="77777777" w:rsidR="00D1512E" w:rsidRPr="00D9348B" w:rsidRDefault="00D1512E" w:rsidP="00D1512E">
      <w:pPr>
        <w:pStyle w:val="Noteundertable"/>
        <w:rPr>
          <w:bCs/>
          <w:i/>
          <w:iCs/>
        </w:rPr>
      </w:pPr>
      <w:r w:rsidRPr="00D9348B">
        <w:rPr>
          <w:b/>
        </w:rPr>
        <w:t>Note:</w:t>
      </w:r>
      <w:r w:rsidRPr="00D9348B">
        <w:t xml:space="preserve"> </w:t>
      </w:r>
      <w:r w:rsidRPr="00D9348B">
        <w:tab/>
        <w:t xml:space="preserve">The accounting quantity excludes net emissions from forest management because these will be accounted for against a forest management reference level at the end of the 2020 year and a cap will apply; further information on this is included in chapter 11, section 11.3.4. Removals are expressed as a negative value as per section 2.2.3 of the 2006 IPCC Guidelines (IPCC, 2006). Afforestation and reforestation refers to new forest established since 31 December 1989. Columns may not total due to rounding. P = provisional figure (all figures for 2017 and 2018 in this table are provisional). </w:t>
      </w:r>
    </w:p>
    <w:p w14:paraId="132784F9" w14:textId="77777777" w:rsidR="00D1512E" w:rsidRPr="00D9348B" w:rsidRDefault="00D1512E" w:rsidP="007911CD">
      <w:pPr>
        <w:pStyle w:val="Heading2"/>
        <w:spacing w:before="240"/>
      </w:pPr>
      <w:bookmarkStart w:id="114" w:name="_Toc36224364"/>
      <w:r w:rsidRPr="00D9348B">
        <w:lastRenderedPageBreak/>
        <w:t>ES.6</w:t>
      </w:r>
      <w:r w:rsidRPr="00D9348B">
        <w:tab/>
        <w:t>Improvements introduced</w:t>
      </w:r>
      <w:bookmarkEnd w:id="100"/>
      <w:bookmarkEnd w:id="101"/>
      <w:bookmarkEnd w:id="102"/>
      <w:bookmarkEnd w:id="114"/>
    </w:p>
    <w:p w14:paraId="6E250D82" w14:textId="77777777" w:rsidR="00D1512E" w:rsidRPr="00D9348B" w:rsidRDefault="00D1512E" w:rsidP="00D1512E">
      <w:pPr>
        <w:pStyle w:val="BodyText"/>
        <w:spacing w:before="100" w:after="100"/>
      </w:pPr>
      <w:r w:rsidRPr="00D9348B">
        <w:t xml:space="preserve">The inventory follows a process of continuous improvement as per the Convention principles. A range of improvements have been made to the inventory since the last submission. Improvements are made from year to year, to follow recommendations from international expert review teams, correct errors and implement additional changes planned by the agencies involved in preparing the inventory. </w:t>
      </w:r>
    </w:p>
    <w:p w14:paraId="1E843841" w14:textId="77777777" w:rsidR="00D1512E" w:rsidRPr="00D9348B" w:rsidRDefault="00D1512E" w:rsidP="00D1512E">
      <w:pPr>
        <w:pStyle w:val="BodyText"/>
        <w:spacing w:before="100" w:after="100"/>
      </w:pPr>
      <w:r w:rsidRPr="00D9348B">
        <w:t>When improvements are made, it is good practice to recalculate the whole time series from 1990 to the current inventory year to ensure a consistent time series. This means estimates of emissions and/or removals in a given year may differ from emissions and/or removals reported in the previous inventory submission.</w:t>
      </w:r>
    </w:p>
    <w:p w14:paraId="516ECB30" w14:textId="77777777" w:rsidR="00D1512E" w:rsidRPr="00D9348B" w:rsidRDefault="00D1512E" w:rsidP="00D1512E">
      <w:pPr>
        <w:pStyle w:val="BodyText"/>
        <w:spacing w:before="100" w:after="100"/>
      </w:pPr>
      <w:r w:rsidRPr="00D9348B">
        <w:t xml:space="preserve">The main improvements by sector are outlined below. Chapter 10 provides information on all recalculations made to the estimates. </w:t>
      </w:r>
    </w:p>
    <w:p w14:paraId="2275C569" w14:textId="77777777" w:rsidR="00D1512E" w:rsidRPr="00D9348B" w:rsidRDefault="00D1512E" w:rsidP="00865BDB">
      <w:pPr>
        <w:pStyle w:val="Heading4"/>
      </w:pPr>
      <w:r w:rsidRPr="00D9348B">
        <w:t>Energy (chapter 3)</w:t>
      </w:r>
    </w:p>
    <w:p w14:paraId="1B22FFE0" w14:textId="77777777" w:rsidR="00D1512E" w:rsidRPr="00D9348B" w:rsidRDefault="00D1512E" w:rsidP="007911CD">
      <w:pPr>
        <w:pStyle w:val="BodyText"/>
        <w:spacing w:before="100" w:after="100"/>
        <w:rPr>
          <w:lang w:eastAsia="en-GB"/>
        </w:rPr>
      </w:pPr>
      <w:r w:rsidRPr="00D9348B">
        <w:rPr>
          <w:lang w:eastAsia="en-GB"/>
        </w:rPr>
        <w:t>No significant improvements have been introduced that would affect emissions estimates. Projects to implement improvements for the reference approach and sectoral approach are ongoing, and results will be reported in our next submission.</w:t>
      </w:r>
    </w:p>
    <w:p w14:paraId="28BEE6BB" w14:textId="77777777" w:rsidR="00D1512E" w:rsidRPr="00D9348B" w:rsidRDefault="00D1512E" w:rsidP="007911CD">
      <w:pPr>
        <w:pStyle w:val="BodyText"/>
        <w:spacing w:before="100" w:after="100"/>
      </w:pPr>
      <w:r w:rsidRPr="00D9348B">
        <w:t xml:space="preserve">All source-specific planned improvements are discussed in their corresponding sections in chapter 3. </w:t>
      </w:r>
    </w:p>
    <w:p w14:paraId="3EA649CF" w14:textId="77777777" w:rsidR="00D1512E" w:rsidRPr="00D9348B" w:rsidRDefault="00D1512E" w:rsidP="00865BDB">
      <w:pPr>
        <w:pStyle w:val="Heading4"/>
      </w:pPr>
      <w:r w:rsidRPr="00D9348B">
        <w:t>IPPU (chapter 4)</w:t>
      </w:r>
    </w:p>
    <w:p w14:paraId="0C6A54AE" w14:textId="77777777" w:rsidR="00D1512E" w:rsidRPr="00D9348B" w:rsidRDefault="00D1512E" w:rsidP="007911CD">
      <w:pPr>
        <w:pStyle w:val="BodyText"/>
        <w:spacing w:before="80" w:after="100"/>
      </w:pPr>
      <w:r w:rsidRPr="00D9348B">
        <w:t xml:space="preserve">In the </w:t>
      </w:r>
      <w:r w:rsidRPr="00D9348B">
        <w:rPr>
          <w:i/>
        </w:rPr>
        <w:t>Product uses as substitutes for ODS</w:t>
      </w:r>
      <w:r w:rsidRPr="00D9348B">
        <w:t xml:space="preserve"> source category, activity data and emissions for refrigeration and air conditioning are disaggregated by sub-application. </w:t>
      </w:r>
    </w:p>
    <w:p w14:paraId="663F5FD0" w14:textId="77777777" w:rsidR="00D1512E" w:rsidRPr="00D9348B" w:rsidRDefault="00D1512E" w:rsidP="00D1512E">
      <w:pPr>
        <w:pStyle w:val="BodyText"/>
        <w:spacing w:before="100" w:after="100"/>
      </w:pPr>
      <w:r w:rsidRPr="00D9348B">
        <w:t xml:space="preserve">For this submission, emissions from refrigeration and air conditioning for 2013 to 2017 have been recalculated to better account for fluctuations in import volumes and refrigerant stockpiled by importers. </w:t>
      </w:r>
    </w:p>
    <w:p w14:paraId="284BAF24" w14:textId="77777777" w:rsidR="00D1512E" w:rsidRPr="00D9348B" w:rsidRDefault="00D1512E" w:rsidP="00D1512E">
      <w:pPr>
        <w:pStyle w:val="BodyText"/>
        <w:rPr>
          <w:spacing w:val="-2"/>
        </w:rPr>
      </w:pPr>
      <w:r w:rsidRPr="00D9348B">
        <w:t>Section 4.1.7 in chapter 4 contains more details about improvements and recalculations for the IPPU sector</w:t>
      </w:r>
      <w:r w:rsidRPr="00D9348B">
        <w:rPr>
          <w:spacing w:val="-2"/>
        </w:rPr>
        <w:t xml:space="preserve">. </w:t>
      </w:r>
    </w:p>
    <w:bookmarkEnd w:id="103"/>
    <w:bookmarkEnd w:id="104"/>
    <w:bookmarkEnd w:id="105"/>
    <w:p w14:paraId="7A8AC63A" w14:textId="77777777" w:rsidR="00D1512E" w:rsidRPr="00D9348B" w:rsidRDefault="00D1512E" w:rsidP="00865BDB">
      <w:pPr>
        <w:pStyle w:val="Heading4"/>
      </w:pPr>
      <w:r w:rsidRPr="00D9348B">
        <w:t>Agriculture (chapter 5)</w:t>
      </w:r>
    </w:p>
    <w:p w14:paraId="38E38A38" w14:textId="77777777" w:rsidR="00D1512E" w:rsidRPr="00D9348B" w:rsidRDefault="00D1512E" w:rsidP="007911CD">
      <w:pPr>
        <w:pStyle w:val="BodyText"/>
        <w:spacing w:after="100"/>
      </w:pPr>
      <w:r w:rsidRPr="00D9348B">
        <w:t>The improvements in the 2020 inventory submission included revisions to emission factors, methodologies and activity data as follows:</w:t>
      </w:r>
    </w:p>
    <w:p w14:paraId="0C3A5698" w14:textId="77777777" w:rsidR="00D1512E" w:rsidRPr="00D9348B" w:rsidRDefault="00D1512E" w:rsidP="007911CD">
      <w:pPr>
        <w:pStyle w:val="Bullet"/>
        <w:spacing w:after="100"/>
      </w:pPr>
      <w:proofErr w:type="gramStart"/>
      <w:r w:rsidRPr="00D9348B">
        <w:t>use</w:t>
      </w:r>
      <w:proofErr w:type="gramEnd"/>
      <w:r w:rsidRPr="00D9348B">
        <w:t xml:space="preserve"> of new N</w:t>
      </w:r>
      <w:r w:rsidRPr="00D9348B">
        <w:rPr>
          <w:vertAlign w:val="subscript"/>
        </w:rPr>
        <w:t>2</w:t>
      </w:r>
      <w:r w:rsidRPr="00D9348B">
        <w:t>O emission factors for animal excreta (EF</w:t>
      </w:r>
      <w:r w:rsidRPr="00D9348B">
        <w:rPr>
          <w:vertAlign w:val="subscript"/>
        </w:rPr>
        <w:t>3,PRP</w:t>
      </w:r>
      <w:r w:rsidRPr="00D9348B">
        <w:t>). These emission factors are now split by livestock type and hill slope and are applied using a new model that calculates the amount of livestock excreta deposited onto different slopes (low,</w:t>
      </w:r>
      <w:r w:rsidRPr="00D9348B">
        <w:rPr>
          <w:vertAlign w:val="superscript"/>
        </w:rPr>
        <w:footnoteReference w:id="11"/>
      </w:r>
      <w:r w:rsidRPr="00D9348B">
        <w:t xml:space="preserve"> medium</w:t>
      </w:r>
      <w:r w:rsidRPr="00D9348B">
        <w:rPr>
          <w:vertAlign w:val="superscript"/>
        </w:rPr>
        <w:footnoteReference w:id="12"/>
      </w:r>
      <w:r w:rsidRPr="00D9348B">
        <w:t xml:space="preserve"> and steep</w:t>
      </w:r>
      <w:r w:rsidRPr="00D9348B">
        <w:rPr>
          <w:vertAlign w:val="superscript"/>
        </w:rPr>
        <w:footnoteReference w:id="13"/>
      </w:r>
      <w:r w:rsidRPr="00D9348B">
        <w:t xml:space="preserve">). This improvement affected emissions from dairy cattle, beef cattle, sheep and deer in the </w:t>
      </w:r>
      <w:r w:rsidRPr="00D9348B">
        <w:rPr>
          <w:i/>
          <w:iCs/>
        </w:rPr>
        <w:t xml:space="preserve">Agricultural soils </w:t>
      </w:r>
      <w:r w:rsidRPr="00D9348B">
        <w:t xml:space="preserve">category. This improvement also affects the </w:t>
      </w:r>
      <w:r w:rsidRPr="00D9348B">
        <w:rPr>
          <w:iCs/>
        </w:rPr>
        <w:t>Agriculture</w:t>
      </w:r>
      <w:r w:rsidRPr="00D9348B">
        <w:t xml:space="preserve"> emissions profile. The Agricultural Advisory Panel recommended this improvement as a result of extensive research conducted over the past decade. </w:t>
      </w:r>
    </w:p>
    <w:p w14:paraId="3518CD4D" w14:textId="77777777" w:rsidR="00D1512E" w:rsidRPr="00D9348B" w:rsidRDefault="00D1512E" w:rsidP="007911CD">
      <w:pPr>
        <w:pStyle w:val="Bullet"/>
        <w:spacing w:after="100"/>
      </w:pPr>
      <w:proofErr w:type="gramStart"/>
      <w:r w:rsidRPr="00D9348B">
        <w:lastRenderedPageBreak/>
        <w:t>use</w:t>
      </w:r>
      <w:proofErr w:type="gramEnd"/>
      <w:r w:rsidRPr="00D9348B">
        <w:t xml:space="preserve"> of revised activity data for the proportion of dairy goats in the overall farmed goat population. This change affected emissions from goats in the </w:t>
      </w:r>
      <w:proofErr w:type="gramStart"/>
      <w:r w:rsidRPr="00D9348B">
        <w:rPr>
          <w:i/>
          <w:iCs/>
        </w:rPr>
        <w:t>Enteric</w:t>
      </w:r>
      <w:proofErr w:type="gramEnd"/>
      <w:r w:rsidRPr="00D9348B">
        <w:rPr>
          <w:i/>
          <w:iCs/>
        </w:rPr>
        <w:t xml:space="preserve"> fermentation</w:t>
      </w:r>
      <w:r w:rsidRPr="00D9348B">
        <w:t xml:space="preserve">, </w:t>
      </w:r>
      <w:r w:rsidRPr="00D9348B">
        <w:rPr>
          <w:i/>
          <w:iCs/>
        </w:rPr>
        <w:t>Manure management</w:t>
      </w:r>
      <w:r w:rsidRPr="00D9348B">
        <w:t xml:space="preserve"> and </w:t>
      </w:r>
      <w:r w:rsidRPr="00D9348B">
        <w:rPr>
          <w:i/>
          <w:iCs/>
        </w:rPr>
        <w:t xml:space="preserve">Agricultural soils </w:t>
      </w:r>
      <w:r w:rsidRPr="00D9348B">
        <w:t>categories. The Agricultural Advisory Panel recommended the inclusion of the new activity data, while further improvements will be considered for future inventory submissions.</w:t>
      </w:r>
    </w:p>
    <w:p w14:paraId="1388D2C6" w14:textId="3D10ED80" w:rsidR="00D1512E" w:rsidRPr="00D9348B" w:rsidRDefault="00D1512E" w:rsidP="007911CD">
      <w:pPr>
        <w:pStyle w:val="Bullet"/>
        <w:spacing w:after="100"/>
        <w:rPr>
          <w:rFonts w:eastAsia="Malgun Gothic"/>
          <w:sz w:val="20"/>
        </w:rPr>
      </w:pPr>
      <w:proofErr w:type="gramStart"/>
      <w:r w:rsidRPr="00D9348B">
        <w:t>minor</w:t>
      </w:r>
      <w:proofErr w:type="gramEnd"/>
      <w:r w:rsidRPr="00D9348B">
        <w:t xml:space="preserve"> improvements to the equations used to estimate energy efficiency for maintenance (k</w:t>
      </w:r>
      <w:r w:rsidRPr="00D9348B">
        <w:rPr>
          <w:vertAlign w:val="subscript"/>
        </w:rPr>
        <w:t>m</w:t>
      </w:r>
      <w:r w:rsidRPr="00D9348B">
        <w:t xml:space="preserve">) for beef cattle, sheep and deer, which is used to help calculate energy requirements, intake, and nitrogen excretion. This change included the specification of a constant to more significant figures and reverting to the IPCC default value for the gross energy content of feed of 18.45 </w:t>
      </w:r>
      <w:r w:rsidR="006D056D" w:rsidRPr="00D9348B">
        <w:t>megajoules per kilogram of</w:t>
      </w:r>
      <w:r w:rsidRPr="00D9348B">
        <w:t xml:space="preserve"> dry matter</w:t>
      </w:r>
      <w:r w:rsidR="00CA30D5">
        <w:t xml:space="preserve"> (</w:t>
      </w:r>
      <w:r w:rsidR="00CA30D5" w:rsidRPr="00EA6875">
        <w:t>MJ</w:t>
      </w:r>
      <w:r w:rsidR="00CA30D5">
        <w:t>/kg DM)</w:t>
      </w:r>
      <w:r w:rsidRPr="00D9348B">
        <w:t xml:space="preserve">. </w:t>
      </w:r>
      <w:r w:rsidRPr="00D9348B">
        <w:rPr>
          <w:rFonts w:eastAsia="Malgun Gothic"/>
        </w:rPr>
        <w:t xml:space="preserve">This change had a small effect on estimated emissions in the </w:t>
      </w:r>
      <w:proofErr w:type="gramStart"/>
      <w:r w:rsidRPr="00D9348B">
        <w:rPr>
          <w:rFonts w:eastAsia="Malgun Gothic"/>
          <w:i/>
          <w:iCs/>
        </w:rPr>
        <w:t>Enteric</w:t>
      </w:r>
      <w:proofErr w:type="gramEnd"/>
      <w:r w:rsidRPr="00D9348B">
        <w:rPr>
          <w:rFonts w:eastAsia="Malgun Gothic"/>
          <w:i/>
          <w:iCs/>
        </w:rPr>
        <w:t xml:space="preserve"> fermentation</w:t>
      </w:r>
      <w:r w:rsidRPr="00D9348B">
        <w:rPr>
          <w:rFonts w:eastAsia="Malgun Gothic"/>
        </w:rPr>
        <w:t xml:space="preserve">, </w:t>
      </w:r>
      <w:r w:rsidRPr="00D9348B">
        <w:rPr>
          <w:rFonts w:eastAsia="Malgun Gothic"/>
          <w:i/>
          <w:iCs/>
        </w:rPr>
        <w:t>Manure management</w:t>
      </w:r>
      <w:r w:rsidRPr="00D9348B">
        <w:rPr>
          <w:rFonts w:eastAsia="Malgun Gothic"/>
        </w:rPr>
        <w:t xml:space="preserve"> and </w:t>
      </w:r>
      <w:r w:rsidRPr="00D9348B">
        <w:rPr>
          <w:rFonts w:eastAsia="Malgun Gothic"/>
          <w:i/>
          <w:iCs/>
        </w:rPr>
        <w:t xml:space="preserve">Agricultural soils </w:t>
      </w:r>
      <w:r w:rsidRPr="00D9348B">
        <w:rPr>
          <w:rFonts w:eastAsia="Malgun Gothic"/>
        </w:rPr>
        <w:t>categories.</w:t>
      </w:r>
    </w:p>
    <w:p w14:paraId="030ABA91" w14:textId="77777777" w:rsidR="00D1512E" w:rsidRPr="00D9348B" w:rsidRDefault="00D1512E" w:rsidP="00865BDB">
      <w:pPr>
        <w:pStyle w:val="Heading4"/>
      </w:pPr>
      <w:r w:rsidRPr="00D9348B">
        <w:t xml:space="preserve">LULUCF (chapter 6) </w:t>
      </w:r>
    </w:p>
    <w:p w14:paraId="4DA40ED6" w14:textId="77777777" w:rsidR="00D1512E" w:rsidRPr="00D9348B" w:rsidRDefault="00D1512E" w:rsidP="00D1512E">
      <w:pPr>
        <w:pStyle w:val="BodyText"/>
      </w:pPr>
      <w:r w:rsidRPr="00D9348B">
        <w:t>The main differences between this submission and the previous inventory submission are the result of (in decreasing order of magnitude):</w:t>
      </w:r>
    </w:p>
    <w:p w14:paraId="29DA107F" w14:textId="1384AB04" w:rsidR="00D1512E" w:rsidRPr="00D9348B" w:rsidRDefault="00D1512E" w:rsidP="00454A0D">
      <w:pPr>
        <w:pStyle w:val="Bullet"/>
      </w:pPr>
      <w:proofErr w:type="gramStart"/>
      <w:r w:rsidRPr="00D9348B">
        <w:t>undertaking</w:t>
      </w:r>
      <w:proofErr w:type="gramEnd"/>
      <w:r w:rsidRPr="00D9348B">
        <w:t xml:space="preserve"> a revised analysis of the pre-1990 natural forest plot data (Paul et al., unpublished). This resulted in a 55.4 per cent reduction in the estimate for carbon stock</w:t>
      </w:r>
      <w:r w:rsidR="00954B07" w:rsidRPr="00D9348B">
        <w:t> </w:t>
      </w:r>
      <w:r w:rsidRPr="00D9348B">
        <w:t>change in the regenerating component of pre-1990 natural forest, compared with</w:t>
      </w:r>
      <w:r w:rsidR="00954B07" w:rsidRPr="00D9348B">
        <w:t> </w:t>
      </w:r>
      <w:r w:rsidRPr="00D9348B">
        <w:t>the previous submission</w:t>
      </w:r>
    </w:p>
    <w:p w14:paraId="2DB7A012" w14:textId="77777777" w:rsidR="00D1512E" w:rsidRPr="00D9348B" w:rsidRDefault="00D1512E" w:rsidP="00454A0D">
      <w:pPr>
        <w:pStyle w:val="Bullet"/>
      </w:pPr>
      <w:proofErr w:type="gramStart"/>
      <w:r w:rsidRPr="00D9348B">
        <w:t>revising</w:t>
      </w:r>
      <w:proofErr w:type="gramEnd"/>
      <w:r w:rsidRPr="00D9348B">
        <w:t xml:space="preserve"> the post-1989 planted forest yield table for the 2020 submission, which affected the estimates of carbon stock per hectare. </w:t>
      </w:r>
    </w:p>
    <w:p w14:paraId="78849466" w14:textId="77777777" w:rsidR="00D1512E" w:rsidRPr="00D9348B" w:rsidRDefault="00D1512E" w:rsidP="00865BDB">
      <w:pPr>
        <w:pStyle w:val="Heading4"/>
      </w:pPr>
      <w:r w:rsidRPr="00D9348B">
        <w:t>Waste (chapter 7)</w:t>
      </w:r>
    </w:p>
    <w:p w14:paraId="113E004C" w14:textId="77777777" w:rsidR="00D1512E" w:rsidRPr="00D9348B" w:rsidRDefault="00D1512E" w:rsidP="007911CD">
      <w:pPr>
        <w:pStyle w:val="BodyText"/>
      </w:pPr>
      <w:r w:rsidRPr="00D9348B">
        <w:t>Minor changes and improvements have been made in the Waste sector resulting in recalculations for several categories. These improvements are a combination of planned improvements and also responses to issues found during reviews of previous submissions.</w:t>
      </w:r>
    </w:p>
    <w:p w14:paraId="129E252D" w14:textId="77777777" w:rsidR="00D1512E" w:rsidRPr="00D9348B" w:rsidRDefault="00D1512E" w:rsidP="00D1512E">
      <w:pPr>
        <w:pStyle w:val="BodyText"/>
        <w:rPr>
          <w:spacing w:val="-2"/>
        </w:rPr>
      </w:pPr>
      <w:r w:rsidRPr="00D9348B">
        <w:rPr>
          <w:spacing w:val="-2"/>
        </w:rPr>
        <w:t xml:space="preserve">The most significant changes to emissions have been made to the </w:t>
      </w:r>
      <w:proofErr w:type="gramStart"/>
      <w:r w:rsidRPr="00D9348B">
        <w:rPr>
          <w:i/>
          <w:spacing w:val="-2"/>
        </w:rPr>
        <w:t>Unmanaged</w:t>
      </w:r>
      <w:proofErr w:type="gramEnd"/>
      <w:r w:rsidRPr="00D9348B">
        <w:rPr>
          <w:i/>
          <w:spacing w:val="-2"/>
        </w:rPr>
        <w:t xml:space="preserve"> waste disposal sites</w:t>
      </w:r>
      <w:r w:rsidRPr="00D9348B">
        <w:rPr>
          <w:spacing w:val="-2"/>
        </w:rPr>
        <w:t xml:space="preserve"> source category and have resulted in the largest recalculation for the Waste sector as a result of the corrections made.</w:t>
      </w:r>
    </w:p>
    <w:p w14:paraId="5804E05A" w14:textId="77777777" w:rsidR="00D1512E" w:rsidRPr="00D9348B" w:rsidRDefault="00D1512E" w:rsidP="00865BDB">
      <w:pPr>
        <w:pStyle w:val="Heading4"/>
      </w:pPr>
      <w:r w:rsidRPr="00D9348B">
        <w:t>Other sector (Tokelau – chapter 8)</w:t>
      </w:r>
    </w:p>
    <w:p w14:paraId="4E1FAE97" w14:textId="329165BB" w:rsidR="00D1512E" w:rsidRPr="00D9348B" w:rsidRDefault="00D1512E" w:rsidP="00D1512E">
      <w:pPr>
        <w:pStyle w:val="BodyText"/>
      </w:pPr>
      <w:r w:rsidRPr="00D9348B">
        <w:rPr>
          <w:lang w:eastAsia="en-GB"/>
        </w:rPr>
        <w:t>Significant changes and improvements have been made in the Tokelau emission estimates since the 2019 submission. Overall, i</w:t>
      </w:r>
      <w:r w:rsidRPr="00D9348B">
        <w:t>mprovements and recalculations made for the Tokelau sector have resulted in a 13.0 per cent (0.5 kt CO</w:t>
      </w:r>
      <w:r w:rsidRPr="00D9348B">
        <w:rPr>
          <w:vertAlign w:val="subscript"/>
        </w:rPr>
        <w:t>2</w:t>
      </w:r>
      <w:r w:rsidRPr="00D9348B">
        <w:t>-e) decrease in emissions in 1990 and a 22.9</w:t>
      </w:r>
      <w:r w:rsidR="00454A0D" w:rsidRPr="00D9348B">
        <w:t> </w:t>
      </w:r>
      <w:r w:rsidRPr="00D9348B">
        <w:t>per cent (0.7 kt CO</w:t>
      </w:r>
      <w:r w:rsidRPr="00D9348B">
        <w:rPr>
          <w:rFonts w:eastAsia="Arial"/>
          <w:vertAlign w:val="subscript"/>
        </w:rPr>
        <w:t>2</w:t>
      </w:r>
      <w:r w:rsidRPr="00D9348B">
        <w:t>-e) increase in emissions in 2017.</w:t>
      </w:r>
    </w:p>
    <w:p w14:paraId="3079C527" w14:textId="77777777" w:rsidR="00D1512E" w:rsidRPr="00D9348B" w:rsidRDefault="00D1512E" w:rsidP="00865BDB">
      <w:pPr>
        <w:pStyle w:val="Heading4"/>
      </w:pPr>
      <w:r w:rsidRPr="00D9348B">
        <w:t>KP-LULUCF (chapter 11)</w:t>
      </w:r>
    </w:p>
    <w:p w14:paraId="4A8D2B08" w14:textId="77777777" w:rsidR="00D1512E" w:rsidRPr="00D9348B" w:rsidRDefault="00D1512E" w:rsidP="00D1512E">
      <w:pPr>
        <w:pStyle w:val="BodyText"/>
        <w:spacing w:after="100"/>
      </w:pPr>
      <w:r w:rsidRPr="00D9348B">
        <w:t xml:space="preserve">Improvements have been introduced to the 2020 submission resulting in recalculations for all three activities. These improvements are listed in chapter 2 and chapter 6 (LULUCF). </w:t>
      </w:r>
    </w:p>
    <w:p w14:paraId="24B89EC9" w14:textId="77777777" w:rsidR="00D1512E" w:rsidRPr="00D9348B" w:rsidRDefault="00D1512E" w:rsidP="00865BDB">
      <w:pPr>
        <w:pStyle w:val="Heading4"/>
      </w:pPr>
      <w:r w:rsidRPr="00D9348B">
        <w:t>Improvements to national inventory system</w:t>
      </w:r>
    </w:p>
    <w:p w14:paraId="59B0466E" w14:textId="77777777" w:rsidR="00D1512E" w:rsidRPr="00D9348B" w:rsidRDefault="00D1512E" w:rsidP="00D1512E">
      <w:pPr>
        <w:pStyle w:val="BodyText"/>
      </w:pPr>
      <w:r w:rsidRPr="00D9348B">
        <w:t xml:space="preserve">No changes have been made in the legal or institutional arrangements in the national inventory system since the last inventory submission (2019). </w:t>
      </w:r>
    </w:p>
    <w:p w14:paraId="5A8AD9C1" w14:textId="77777777" w:rsidR="00D1512E" w:rsidRPr="00D9348B" w:rsidRDefault="00D1512E" w:rsidP="007911CD">
      <w:pPr>
        <w:pStyle w:val="Heading2"/>
        <w:spacing w:before="280"/>
      </w:pPr>
      <w:bookmarkStart w:id="115" w:name="_Toc414531265"/>
      <w:bookmarkStart w:id="116" w:name="_Toc448321486"/>
      <w:bookmarkStart w:id="117" w:name="_Toc511116563"/>
      <w:bookmarkStart w:id="118" w:name="_Toc5269325"/>
      <w:bookmarkStart w:id="119" w:name="_Toc36224365"/>
      <w:r w:rsidRPr="00D9348B">
        <w:lastRenderedPageBreak/>
        <w:t>ES.7</w:t>
      </w:r>
      <w:r w:rsidRPr="00D9348B">
        <w:tab/>
        <w:t>National registry</w:t>
      </w:r>
      <w:bookmarkEnd w:id="115"/>
      <w:bookmarkEnd w:id="116"/>
      <w:r w:rsidRPr="00D9348B">
        <w:t xml:space="preserve"> (chapters 12 and 14)</w:t>
      </w:r>
      <w:bookmarkEnd w:id="117"/>
      <w:bookmarkEnd w:id="118"/>
      <w:bookmarkEnd w:id="119"/>
    </w:p>
    <w:p w14:paraId="1BD09B41" w14:textId="77777777" w:rsidR="00D1512E" w:rsidRPr="00D9348B" w:rsidRDefault="00D1512E" w:rsidP="00D1512E">
      <w:pPr>
        <w:pStyle w:val="BodyText"/>
        <w:spacing w:after="100"/>
      </w:pPr>
      <w:r w:rsidRPr="00D9348B">
        <w:t xml:space="preserve">The Environmental Protection Authority is designated as the agency responsible for the implementation and operation of New Zealand’s national registry under the Kyoto Protocol, the New Zealand Emission Unit Register. The registry is electronic and accessible via the internet (www.eur.govt.nz). </w:t>
      </w:r>
    </w:p>
    <w:p w14:paraId="2CE0D3CC" w14:textId="77777777" w:rsidR="00D1512E" w:rsidRPr="00D9348B" w:rsidRDefault="00D1512E" w:rsidP="00D1512E">
      <w:pPr>
        <w:pStyle w:val="BodyText"/>
      </w:pPr>
      <w:r w:rsidRPr="00D9348B">
        <w:t>New Zealand replaced its registry system in August 2016. Testing and reviewing that involved secretariat staff from the United Nations Framework Convention on Climate Change took place during the period leading up to go-live of the new Register.</w:t>
      </w:r>
    </w:p>
    <w:p w14:paraId="482A0204" w14:textId="77777777" w:rsidR="00D1512E" w:rsidRPr="00D9348B" w:rsidRDefault="00D1512E" w:rsidP="00D1512E">
      <w:pPr>
        <w:pStyle w:val="BodyText"/>
      </w:pPr>
      <w:r w:rsidRPr="00D9348B">
        <w:t>In January 2008, New Zealand’s national registry was issued with New Zealand’s assigned amount of 309,564,733 metric tonnes CO</w:t>
      </w:r>
      <w:r w:rsidRPr="00D9348B">
        <w:rPr>
          <w:vertAlign w:val="subscript"/>
        </w:rPr>
        <w:t>2</w:t>
      </w:r>
      <w:r w:rsidRPr="00D9348B">
        <w:t xml:space="preserve">-e for the first commitment period (CP1). </w:t>
      </w:r>
    </w:p>
    <w:p w14:paraId="0E9C232E" w14:textId="77777777" w:rsidR="00D1512E" w:rsidRPr="00D9348B" w:rsidRDefault="00D1512E" w:rsidP="00D1512E">
      <w:pPr>
        <w:pStyle w:val="BodyText"/>
      </w:pPr>
      <w:r w:rsidRPr="00D9348B">
        <w:t>The commitment period reserve of 278,608,260 metric tonnes CO</w:t>
      </w:r>
      <w:r w:rsidRPr="00D9348B">
        <w:rPr>
          <w:vertAlign w:val="subscript"/>
        </w:rPr>
        <w:t>2</w:t>
      </w:r>
      <w:r w:rsidRPr="00D9348B">
        <w:t>-e for CP1 is 90 per cent of the assigned amount, and was fixed after the initial review in 2007.</w:t>
      </w:r>
    </w:p>
    <w:p w14:paraId="16FE5961" w14:textId="77777777" w:rsidR="00D1512E" w:rsidRPr="00D9348B" w:rsidRDefault="00D1512E" w:rsidP="00D1512E">
      <w:pPr>
        <w:pStyle w:val="BodyText"/>
      </w:pPr>
      <w:r w:rsidRPr="00D9348B">
        <w:t xml:space="preserve">At the beginning of the calendar year </w:t>
      </w:r>
      <w:r w:rsidRPr="00D9348B">
        <w:rPr>
          <w:color w:val="000000"/>
        </w:rPr>
        <w:t>2019</w:t>
      </w:r>
      <w:r w:rsidRPr="00D9348B">
        <w:t xml:space="preserve">, New Zealand’s national registry held 308,343,858 CP1 assigned amount units, 110,744,560 CP1 emissions reduction units, 21,685,909 CP1 certified emission reduction units and 100,845,399 CP1 removal units. No second commitment period (CP2) units were held by New Zealand in 2019. </w:t>
      </w:r>
    </w:p>
    <w:p w14:paraId="36B7A486" w14:textId="77777777" w:rsidR="00D1512E" w:rsidRPr="00D9348B" w:rsidRDefault="00D1512E" w:rsidP="00D1512E">
      <w:pPr>
        <w:pStyle w:val="BodyText"/>
      </w:pPr>
      <w:r w:rsidRPr="00D9348B">
        <w:t xml:space="preserve">New Zealand’s national registry did not hold any temporary certified emission reduction units or long-term certified emissions reduction units during </w:t>
      </w:r>
      <w:r w:rsidRPr="00D9348B">
        <w:rPr>
          <w:color w:val="000000"/>
        </w:rPr>
        <w:t>2019</w:t>
      </w:r>
      <w:r w:rsidRPr="00D9348B">
        <w:t>.</w:t>
      </w:r>
    </w:p>
    <w:p w14:paraId="3E2F6AB1" w14:textId="77777777" w:rsidR="00D1512E" w:rsidRPr="00D9348B" w:rsidRDefault="00D1512E" w:rsidP="00D1512E">
      <w:pPr>
        <w:pStyle w:val="BodyText"/>
      </w:pPr>
      <w:r w:rsidRPr="00D9348B">
        <w:t>For further information, please refer to chapters 12 and 14 of this inventory submission and the standard electronic format tables on New Zealand Emissions Trading Register holdings and transactions that were submitted to the United Nations Framework Convention on Climate Change along with this inventory submission.</w:t>
      </w:r>
    </w:p>
    <w:p w14:paraId="3C1CE31D" w14:textId="77777777" w:rsidR="00D1512E" w:rsidRPr="00D9348B" w:rsidRDefault="00D1512E" w:rsidP="00D1512E">
      <w:pPr>
        <w:pStyle w:val="Heading2"/>
        <w:spacing w:before="0" w:after="360"/>
      </w:pPr>
      <w:r w:rsidRPr="00D9348B">
        <w:br w:type="page"/>
      </w:r>
      <w:bookmarkStart w:id="120" w:name="_Toc414531266"/>
      <w:bookmarkStart w:id="121" w:name="_Toc448321487"/>
      <w:bookmarkStart w:id="122" w:name="_Toc511116564"/>
      <w:bookmarkStart w:id="123" w:name="_Toc5269326"/>
      <w:bookmarkStart w:id="124" w:name="_Toc36224366"/>
      <w:r w:rsidRPr="00D9348B">
        <w:lastRenderedPageBreak/>
        <w:t>Executive summary: References</w:t>
      </w:r>
      <w:bookmarkEnd w:id="120"/>
      <w:bookmarkEnd w:id="121"/>
      <w:bookmarkEnd w:id="122"/>
      <w:bookmarkEnd w:id="123"/>
      <w:bookmarkEnd w:id="124"/>
    </w:p>
    <w:p w14:paraId="3B41AF12" w14:textId="77777777" w:rsidR="00D1512E" w:rsidRPr="00D9348B" w:rsidRDefault="00D1512E" w:rsidP="00D1512E">
      <w:pPr>
        <w:pStyle w:val="References"/>
      </w:pPr>
      <w:r w:rsidRPr="00D9348B">
        <w:t xml:space="preserve">IPCC. 2006. Eggleston HS, Buendia L, Miwa K, Ngara T, Tanabe K (eds). </w:t>
      </w:r>
      <w:r w:rsidRPr="00D9348B">
        <w:rPr>
          <w:i/>
        </w:rPr>
        <w:t>2006 IPCC Guidelines for National Greenhouse Gas Inventories. Volume 4. Agriculture, Forestry and Other Land Use.</w:t>
      </w:r>
      <w:r w:rsidRPr="00D9348B">
        <w:t xml:space="preserve"> IPCC National Greenhouse Gas Inventories Programme. Japan: Published for the IPCC by the Institute for Global Environmental Strategies.</w:t>
      </w:r>
    </w:p>
    <w:p w14:paraId="61E60FB7" w14:textId="77777777" w:rsidR="00D1512E" w:rsidRPr="00D9348B" w:rsidRDefault="00D1512E" w:rsidP="00D1512E">
      <w:pPr>
        <w:pStyle w:val="References"/>
      </w:pPr>
      <w:r w:rsidRPr="00D9348B">
        <w:t xml:space="preserve">Ministry for the Environment. 2016. </w:t>
      </w:r>
      <w:r w:rsidRPr="00D9348B">
        <w:rPr>
          <w:i/>
        </w:rPr>
        <w:t>New Zealand’s Initial Report to Facilitate the Calculation of its Emissions Budget for the Period 2013 to 2020</w:t>
      </w:r>
      <w:r w:rsidRPr="00D9348B">
        <w:t>. Wellington: Ministry for the Environment.</w:t>
      </w:r>
    </w:p>
    <w:p w14:paraId="51F5D8F0" w14:textId="77777777" w:rsidR="00D1512E" w:rsidRPr="00D9348B" w:rsidRDefault="00D1512E" w:rsidP="00D1512E">
      <w:pPr>
        <w:pStyle w:val="References"/>
      </w:pPr>
      <w:r w:rsidRPr="00D9348B">
        <w:t>Ministry of Business, Innovation and Employment</w:t>
      </w:r>
      <w:r w:rsidRPr="00D9348B">
        <w:rPr>
          <w:lang w:eastAsia="en-GB"/>
        </w:rPr>
        <w:t xml:space="preserve">. 2019. </w:t>
      </w:r>
      <w:r w:rsidRPr="00D9348B">
        <w:rPr>
          <w:i/>
          <w:iCs/>
          <w:lang w:eastAsia="en-GB"/>
        </w:rPr>
        <w:t>Energy in New Zealand</w:t>
      </w:r>
      <w:r w:rsidRPr="00D9348B">
        <w:rPr>
          <w:lang w:eastAsia="en-GB"/>
        </w:rPr>
        <w:t xml:space="preserve">. Wellington: </w:t>
      </w:r>
      <w:r w:rsidRPr="00D9348B">
        <w:t>Ministry of Business, Innovation and Employment</w:t>
      </w:r>
      <w:r w:rsidRPr="00D9348B">
        <w:rPr>
          <w:lang w:eastAsia="en-GB"/>
        </w:rPr>
        <w:t xml:space="preserve">. </w:t>
      </w:r>
      <w:r w:rsidRPr="00D9348B">
        <w:t xml:space="preserve">Retrieved from </w:t>
      </w:r>
      <w:r w:rsidRPr="00D9348B">
        <w:rPr>
          <w:rStyle w:val="Hyperlink"/>
          <w:color w:val="auto"/>
        </w:rPr>
        <w:t xml:space="preserve">www.mbie.govt.nz/building-and-energy/energy-and-natural-resources/energy-statistics-and-modelling/energy-publications-and-technical-papers/energy-in-new-zealand/ </w:t>
      </w:r>
      <w:r w:rsidRPr="00D9348B">
        <w:t>(September 2019).</w:t>
      </w:r>
    </w:p>
    <w:p w14:paraId="5F9059E2" w14:textId="77777777" w:rsidR="00D1512E" w:rsidRPr="00D9348B" w:rsidRDefault="00D1512E" w:rsidP="00D1512E">
      <w:pPr>
        <w:pStyle w:val="References"/>
      </w:pPr>
      <w:r w:rsidRPr="00D9348B">
        <w:t xml:space="preserve">LIC (Livestock Improvement Corporation Limited) and DairyNZ. 2019. </w:t>
      </w:r>
      <w:r w:rsidRPr="00D9348B">
        <w:rPr>
          <w:i/>
        </w:rPr>
        <w:t xml:space="preserve">New Zealand Dairy Statistics </w:t>
      </w:r>
      <w:r w:rsidRPr="00D9348B">
        <w:rPr>
          <w:i/>
        </w:rPr>
        <w:br/>
        <w:t>2018–2019</w:t>
      </w:r>
      <w:r w:rsidRPr="00D9348B">
        <w:t xml:space="preserve">. Hamilton: DairyNZ. Retrieved from </w:t>
      </w:r>
      <w:hyperlink r:id="rId28" w:history="1">
        <w:r w:rsidRPr="00D9348B">
          <w:t>www.dairynz.co.nz/media/5792471/nz_dairy_statistics_2018-19_web_v2.pdf</w:t>
        </w:r>
      </w:hyperlink>
      <w:r w:rsidRPr="00D9348B" w:rsidDel="00A46026">
        <w:t xml:space="preserve"> </w:t>
      </w:r>
      <w:r w:rsidRPr="00D9348B">
        <w:t>(7 January 2020).</w:t>
      </w:r>
    </w:p>
    <w:p w14:paraId="3FD5261E" w14:textId="77777777" w:rsidR="00D1512E" w:rsidRPr="00D9348B" w:rsidRDefault="00D1512E" w:rsidP="00D1512E">
      <w:pPr>
        <w:pStyle w:val="References"/>
      </w:pPr>
      <w:r w:rsidRPr="00D9348B">
        <w:t>Paul TSH, Kimberley MO, Beets PN. Unpublished. Carbon stocks and change in New Zealand’s natural forests: Estimates from the first two complete inventory cycles 2002–2007 and 2007–2014. Contract report prepared for the Ministry for the Environment by the New Zealand Forest Research Institute Ltd (trading as Scion) in 2019.</w:t>
      </w:r>
    </w:p>
    <w:p w14:paraId="6F241FC4" w14:textId="77777777" w:rsidR="00D1512E" w:rsidRPr="00D9348B" w:rsidRDefault="00D1512E" w:rsidP="00D1512E">
      <w:pPr>
        <w:pStyle w:val="References"/>
      </w:pPr>
      <w:r w:rsidRPr="00D9348B">
        <w:t xml:space="preserve">UNFCCC. 2013. FCCC/CP/2013/10/Add.3. </w:t>
      </w:r>
      <w:r w:rsidRPr="00D9348B">
        <w:rPr>
          <w:i/>
        </w:rPr>
        <w:t>Report of the Conference of the Parties on its nineteenth session, held in Warsaw from 11 to 23 November 2013: Addendum; Decision 24/CP.19 Revision of the UNFCCC reporting guidelines on annual inventories for Parties included in Annex I to the Convention</w:t>
      </w:r>
      <w:r w:rsidRPr="00D9348B">
        <w:t>.</w:t>
      </w:r>
    </w:p>
    <w:p w14:paraId="57E39E5C" w14:textId="77777777" w:rsidR="00D1512E" w:rsidRPr="00D9348B" w:rsidRDefault="00D1512E" w:rsidP="00D1512E"/>
    <w:p w14:paraId="5CF5AB7B" w14:textId="41E3DD37" w:rsidR="00C4400C" w:rsidRPr="00D9348B" w:rsidRDefault="00C4400C" w:rsidP="00C4400C"/>
    <w:p w14:paraId="5DAA707A" w14:textId="6EA9EEEE" w:rsidR="00E55420" w:rsidRPr="00D9348B" w:rsidRDefault="00E55420" w:rsidP="00C4400C"/>
    <w:p w14:paraId="08400EE9" w14:textId="1C88AA3B" w:rsidR="00E55420" w:rsidRPr="00D9348B" w:rsidRDefault="00E55420" w:rsidP="00C4400C"/>
    <w:p w14:paraId="1CE57588" w14:textId="77777777" w:rsidR="00C15758" w:rsidRPr="00D9348B" w:rsidRDefault="00C15758" w:rsidP="00A02252">
      <w:pPr>
        <w:pStyle w:val="Heading1"/>
        <w:sectPr w:rsidR="00C15758" w:rsidRPr="00D9348B" w:rsidSect="00715D39">
          <w:headerReference w:type="even" r:id="rId29"/>
          <w:headerReference w:type="default" r:id="rId30"/>
          <w:footerReference w:type="even" r:id="rId31"/>
          <w:footerReference w:type="default" r:id="rId32"/>
          <w:pgSz w:w="11907" w:h="16840" w:code="9"/>
          <w:pgMar w:top="1418" w:right="1701" w:bottom="1418" w:left="1701" w:header="567" w:footer="567" w:gutter="0"/>
          <w:pgNumType w:start="1"/>
          <w:cols w:space="720"/>
        </w:sectPr>
      </w:pPr>
    </w:p>
    <w:p w14:paraId="510EABBB" w14:textId="77777777" w:rsidR="00643D10" w:rsidRPr="00D9348B" w:rsidRDefault="00643D10" w:rsidP="00643D10">
      <w:pPr>
        <w:pStyle w:val="Heading1"/>
      </w:pPr>
      <w:bookmarkStart w:id="125" w:name="_Toc280630202"/>
      <w:bookmarkStart w:id="126" w:name="_Toc310423449"/>
      <w:bookmarkStart w:id="127" w:name="_Toc342470715"/>
      <w:bookmarkStart w:id="128" w:name="_Toc352504867"/>
      <w:bookmarkStart w:id="129" w:name="_Toc414531267"/>
      <w:bookmarkStart w:id="130" w:name="_Toc448321488"/>
      <w:bookmarkStart w:id="131" w:name="_Toc511116565"/>
      <w:bookmarkStart w:id="132" w:name="_Toc5269327"/>
      <w:bookmarkStart w:id="133" w:name="_Toc36224367"/>
      <w:bookmarkStart w:id="134" w:name="_Toc139253947"/>
      <w:r w:rsidRPr="00D9348B">
        <w:lastRenderedPageBreak/>
        <w:t xml:space="preserve">Chapter 1: </w:t>
      </w:r>
      <w:bookmarkEnd w:id="125"/>
      <w:bookmarkEnd w:id="126"/>
      <w:bookmarkEnd w:id="127"/>
      <w:bookmarkEnd w:id="128"/>
      <w:r w:rsidRPr="00D9348B">
        <w:t>Introduction</w:t>
      </w:r>
      <w:bookmarkEnd w:id="129"/>
      <w:bookmarkEnd w:id="130"/>
      <w:bookmarkEnd w:id="131"/>
      <w:bookmarkEnd w:id="132"/>
      <w:bookmarkEnd w:id="133"/>
    </w:p>
    <w:p w14:paraId="3ADEF316" w14:textId="77777777" w:rsidR="00643D10" w:rsidRPr="00D9348B" w:rsidRDefault="00643D10" w:rsidP="00643D10">
      <w:pPr>
        <w:pStyle w:val="Heading2"/>
      </w:pPr>
      <w:bookmarkStart w:id="135" w:name="_Toc414531268"/>
      <w:bookmarkStart w:id="136" w:name="_Toc448321489"/>
      <w:bookmarkStart w:id="137" w:name="_Toc511116566"/>
      <w:bookmarkStart w:id="138" w:name="_Toc5269328"/>
      <w:bookmarkStart w:id="139" w:name="_Toc36224368"/>
      <w:r w:rsidRPr="00D9348B">
        <w:t>1.1</w:t>
      </w:r>
      <w:r w:rsidRPr="00D9348B">
        <w:tab/>
        <w:t>Background</w:t>
      </w:r>
      <w:bookmarkEnd w:id="135"/>
      <w:bookmarkEnd w:id="136"/>
      <w:bookmarkEnd w:id="137"/>
      <w:bookmarkEnd w:id="138"/>
      <w:bookmarkEnd w:id="139"/>
    </w:p>
    <w:p w14:paraId="162057C7" w14:textId="2EA411BB" w:rsidR="00643D10" w:rsidRPr="00D9348B" w:rsidRDefault="00643D10" w:rsidP="00643D10">
      <w:pPr>
        <w:pStyle w:val="BodyText"/>
      </w:pPr>
      <w:r w:rsidRPr="00D9348B">
        <w:rPr>
          <w:spacing w:val="-2"/>
        </w:rPr>
        <w:t>Greenhouse gases in the Earth’s atmosphere trap warmth from the sun and make life as we know it possible. The Intergovernmental Panel on Climate Change (IPCC) Fifth Assessment Report (IPCC, 2013) confirms that warming in the climate system is unequivocal, with many of the observed changes unprecedented over decades to millennia: warming of the atmosphere and the ocean, diminishing snow and ice, rising sea levels and increas</w:t>
      </w:r>
      <w:r w:rsidRPr="00D9348B">
        <w:rPr>
          <w:spacing w:val="-2"/>
        </w:rPr>
        <w:softHyphen/>
        <w:t xml:space="preserve">ing concentrations of greenhouse gases (GHGs). The report also suggests that, since the beginning of the industrial revolution (about 1750 AD), </w:t>
      </w:r>
      <w:r w:rsidRPr="00D9348B">
        <w:rPr>
          <w:rFonts w:cs="Frutiger LT Pro 57 Condensed"/>
          <w:color w:val="000000"/>
          <w:spacing w:val="-2"/>
        </w:rPr>
        <w:t>the atmospheric concentrations of the GHGs carbon dioxide (CO</w:t>
      </w:r>
      <w:r w:rsidRPr="00D9348B">
        <w:rPr>
          <w:spacing w:val="-2"/>
          <w:vertAlign w:val="subscript"/>
        </w:rPr>
        <w:t>2</w:t>
      </w:r>
      <w:r w:rsidRPr="00D9348B">
        <w:rPr>
          <w:rFonts w:cs="Frutiger LT Pro 57 Condensed"/>
          <w:color w:val="000000"/>
          <w:spacing w:val="-2"/>
        </w:rPr>
        <w:t>),</w:t>
      </w:r>
      <w:r w:rsidR="00D97563" w:rsidRPr="00D9348B">
        <w:rPr>
          <w:rFonts w:cs="Frutiger LT Pro 57 Condensed"/>
          <w:color w:val="000000"/>
          <w:spacing w:val="-2"/>
        </w:rPr>
        <w:t> </w:t>
      </w:r>
      <w:r w:rsidRPr="00D9348B">
        <w:rPr>
          <w:rFonts w:cs="Frutiger LT Pro 57 Condensed"/>
          <w:color w:val="000000"/>
          <w:spacing w:val="-2"/>
        </w:rPr>
        <w:t>methane (CH</w:t>
      </w:r>
      <w:r w:rsidRPr="00D9348B">
        <w:rPr>
          <w:spacing w:val="-2"/>
          <w:vertAlign w:val="subscript"/>
        </w:rPr>
        <w:t>4</w:t>
      </w:r>
      <w:r w:rsidRPr="00D9348B">
        <w:rPr>
          <w:rFonts w:cs="Frutiger LT Pro 57 Condensed"/>
          <w:color w:val="000000"/>
          <w:spacing w:val="-2"/>
        </w:rPr>
        <w:t>) and nitrous oxide (N</w:t>
      </w:r>
      <w:r w:rsidRPr="00D9348B">
        <w:rPr>
          <w:spacing w:val="-2"/>
          <w:vertAlign w:val="subscript"/>
        </w:rPr>
        <w:t>2</w:t>
      </w:r>
      <w:r w:rsidRPr="00D9348B">
        <w:rPr>
          <w:rFonts w:cs="Frutiger LT Pro 57 Condensed"/>
          <w:color w:val="000000"/>
          <w:spacing w:val="-2"/>
        </w:rPr>
        <w:t xml:space="preserve">O) have all increased due to human activity. </w:t>
      </w:r>
      <w:r w:rsidRPr="00D9348B">
        <w:rPr>
          <w:spacing w:val="-2"/>
        </w:rPr>
        <w:t>Continued emissions of GHGs will cause further warming and changes to all components of the</w:t>
      </w:r>
      <w:r w:rsidR="00D97563" w:rsidRPr="00D9348B">
        <w:rPr>
          <w:spacing w:val="-2"/>
        </w:rPr>
        <w:t> </w:t>
      </w:r>
      <w:r w:rsidRPr="00D9348B">
        <w:rPr>
          <w:spacing w:val="-2"/>
        </w:rPr>
        <w:t>climate system</w:t>
      </w:r>
      <w:r w:rsidRPr="00D9348B">
        <w:t>.</w:t>
      </w:r>
    </w:p>
    <w:p w14:paraId="71D43D63" w14:textId="77777777" w:rsidR="00643D10" w:rsidRPr="00D9348B" w:rsidRDefault="00643D10" w:rsidP="00643D10">
      <w:pPr>
        <w:pStyle w:val="Heading3"/>
      </w:pPr>
      <w:r w:rsidRPr="00D9348B">
        <w:t>1.1.1</w:t>
      </w:r>
      <w:r w:rsidRPr="00D9348B">
        <w:tab/>
        <w:t xml:space="preserve">United Nations Framework Convention on Climate Change </w:t>
      </w:r>
    </w:p>
    <w:p w14:paraId="764405D5" w14:textId="75655D2A" w:rsidR="00643D10" w:rsidRPr="00D9348B" w:rsidRDefault="00643D10" w:rsidP="00643D10">
      <w:pPr>
        <w:pStyle w:val="BodyText"/>
      </w:pPr>
      <w:r w:rsidRPr="00D9348B">
        <w:t>The science of climate change is assessed by the IPCC. In 1990, the IPCC concluded that human-induced climate change was a threat to our future. In response, the United Nations General Assembly convened a series of meetings that culminated in the adoption of the United</w:t>
      </w:r>
      <w:r w:rsidR="00D97563" w:rsidRPr="00D9348B">
        <w:t> </w:t>
      </w:r>
      <w:r w:rsidRPr="00D9348B">
        <w:t>Nations Framework Convention on Climate Change (the Convention) at the Earth Summit in Rio de Janeiro in May 1992.</w:t>
      </w:r>
    </w:p>
    <w:p w14:paraId="2AA0BAC9" w14:textId="77777777" w:rsidR="00643D10" w:rsidRPr="00D9348B" w:rsidRDefault="00643D10" w:rsidP="00643D10">
      <w:pPr>
        <w:pStyle w:val="BodyText"/>
      </w:pPr>
      <w:r w:rsidRPr="00D9348B">
        <w:t>The Convention has been signed and ratified by 197 nations, including New Zealand, and took effect on 21 March 1994.</w:t>
      </w:r>
    </w:p>
    <w:p w14:paraId="732A74FA" w14:textId="77777777" w:rsidR="00643D10" w:rsidRPr="00D9348B" w:rsidRDefault="00643D10" w:rsidP="00643D10">
      <w:pPr>
        <w:pStyle w:val="BodyText"/>
      </w:pPr>
      <w:r w:rsidRPr="00D9348B">
        <w:t>The main objective of the Convention (UNFCCC, 1992, Article 2) is to achieve:</w:t>
      </w:r>
    </w:p>
    <w:p w14:paraId="3ED6915B" w14:textId="77777777" w:rsidR="00643D10" w:rsidRPr="00D9348B" w:rsidRDefault="00643D10" w:rsidP="00643D10">
      <w:pPr>
        <w:pStyle w:val="Quote"/>
        <w:spacing w:before="120"/>
      </w:pPr>
      <w:r w:rsidRPr="00D9348B">
        <w:t xml:space="preserve">… </w:t>
      </w:r>
      <w:proofErr w:type="gramStart"/>
      <w:r w:rsidRPr="00D9348B">
        <w:t>stabilization</w:t>
      </w:r>
      <w:proofErr w:type="gramEnd"/>
      <w:r w:rsidRPr="00D9348B">
        <w:t xml:space="preserve"> of greenhouse gas concentrations in the atmosphere at a level that would prevent dangerous anthropogenic interference with the climate system. Such a level should be achieved within a time-frame sufficient to allow ecosystems to adapt naturally to climate change, to ensure that food production is not threatened and to enable economic development to proceed in a sustainable manner.</w:t>
      </w:r>
    </w:p>
    <w:p w14:paraId="489337AF" w14:textId="527062DA" w:rsidR="00643D10" w:rsidRPr="00D9348B" w:rsidRDefault="00643D10" w:rsidP="00643D10">
      <w:pPr>
        <w:pStyle w:val="BodyText"/>
      </w:pPr>
      <w:r w:rsidRPr="00D9348B">
        <w:t>All countries that ratify the Convention (the Parties) are required to address climate change, including monitoring trends in anthropogenic GHG emissions. The annual inventory of GHG emissions and removals fulfils this obligation. Parties are also obligated to protect and enhance carbon sinks and reservoirs, for example, forests, and implement measures that assist in national and/or regional climate change adaptation and mitigation. In addition, Parties listed in</w:t>
      </w:r>
      <w:r w:rsidR="00EC455D" w:rsidRPr="00D9348B">
        <w:t> </w:t>
      </w:r>
      <w:r w:rsidRPr="00D9348B">
        <w:t>Annex II</w:t>
      </w:r>
      <w:r w:rsidRPr="00D9348B">
        <w:rPr>
          <w:vertAlign w:val="superscript"/>
        </w:rPr>
        <w:footnoteReference w:id="14"/>
      </w:r>
      <w:r w:rsidRPr="00D9348B">
        <w:t xml:space="preserve"> to the Convention commit to providing technology transfer, capacity building and</w:t>
      </w:r>
      <w:r w:rsidR="00EC455D" w:rsidRPr="00D9348B">
        <w:t> </w:t>
      </w:r>
      <w:r w:rsidRPr="00D9348B">
        <w:t>financial assistance to non-Annex I</w:t>
      </w:r>
      <w:r w:rsidRPr="00D9348B">
        <w:rPr>
          <w:vertAlign w:val="superscript"/>
        </w:rPr>
        <w:footnoteReference w:id="15"/>
      </w:r>
      <w:r w:rsidRPr="00D9348B">
        <w:t xml:space="preserve"> Parties (developing country parties). </w:t>
      </w:r>
    </w:p>
    <w:p w14:paraId="52CC166E" w14:textId="7848D9F5" w:rsidR="00643D10" w:rsidRPr="00D9348B" w:rsidRDefault="00643D10" w:rsidP="00643D10">
      <w:pPr>
        <w:pStyle w:val="BodyText"/>
      </w:pPr>
      <w:r w:rsidRPr="00D9348B">
        <w:lastRenderedPageBreak/>
        <w:t>Annex I Parties also agreed to aim to return GHG emissions to 1990 levels by the year 2000.</w:t>
      </w:r>
      <w:r w:rsidR="00D97563" w:rsidRPr="00D9348B">
        <w:t> </w:t>
      </w:r>
      <w:r w:rsidRPr="00D9348B">
        <w:t>Only a few Annex I Parties made appreciable progress towards achieving this aim. The international community recognised that the existing commitments in the Convention were not enough to ensure GHG levels would be stabilised at a safe level. In response, in 1995, Parties launched a new round of talks to provide stronger and more detailed commitments for</w:t>
      </w:r>
      <w:r w:rsidR="00D97563" w:rsidRPr="00D9348B">
        <w:t> </w:t>
      </w:r>
      <w:r w:rsidRPr="00D9348B">
        <w:t>Annex I Parties. After two-and-a-half years of negotiations, the Kyoto Protocol was adopted</w:t>
      </w:r>
      <w:r w:rsidR="00D97563" w:rsidRPr="00D9348B">
        <w:t> </w:t>
      </w:r>
      <w:r w:rsidRPr="00D9348B">
        <w:t>in Kyoto, Japan, on 11 December 1997. New Zealand ratified the Kyoto Protocol on</w:t>
      </w:r>
      <w:r w:rsidR="00D97563" w:rsidRPr="00D9348B">
        <w:t> </w:t>
      </w:r>
      <w:r w:rsidRPr="00D9348B">
        <w:t>19 December 2002. The Protocol came into force on 16 February 2005.</w:t>
      </w:r>
    </w:p>
    <w:p w14:paraId="7A855C57" w14:textId="000F94C6" w:rsidR="00643D10" w:rsidRPr="00D9348B" w:rsidRDefault="00643D10" w:rsidP="00643D10">
      <w:pPr>
        <w:pStyle w:val="BodyText"/>
      </w:pPr>
      <w:r w:rsidRPr="00D9348B">
        <w:t>To accelerate and intensify the actions and investments needed for a sustainable low carbon</w:t>
      </w:r>
      <w:r w:rsidR="00D97563" w:rsidRPr="00D9348B">
        <w:t> </w:t>
      </w:r>
      <w:r w:rsidRPr="00D9348B">
        <w:t>future, parties to the convention reached a landmark agreement in Paris, France, on</w:t>
      </w:r>
      <w:r w:rsidR="00EC455D" w:rsidRPr="00D9348B">
        <w:t> </w:t>
      </w:r>
      <w:r w:rsidRPr="00D9348B">
        <w:t>12</w:t>
      </w:r>
      <w:r w:rsidR="00D97563" w:rsidRPr="00D9348B">
        <w:t> </w:t>
      </w:r>
      <w:r w:rsidRPr="00D9348B">
        <w:t>December 2015. The Paris Agreement was ratified by New Zealand on 4 October 2016. The</w:t>
      </w:r>
      <w:r w:rsidR="00D97563" w:rsidRPr="00D9348B">
        <w:t> </w:t>
      </w:r>
      <w:r w:rsidRPr="00D9348B">
        <w:t>extension (as of 13 November 2017) of New Zealand’s ratification of the Convention and</w:t>
      </w:r>
      <w:r w:rsidR="00EC455D" w:rsidRPr="00D9348B">
        <w:t> </w:t>
      </w:r>
      <w:r w:rsidRPr="00D9348B">
        <w:t xml:space="preserve">the Paris Agreement to include Tokelau means, </w:t>
      </w:r>
      <w:r w:rsidRPr="00D9348B">
        <w:rPr>
          <w:i/>
        </w:rPr>
        <w:t>inter alia</w:t>
      </w:r>
      <w:r w:rsidRPr="00D9348B">
        <w:t>, that New Zealand’s national inventory shall include GHG emissions and removals estimates from Tokelau. From 2019, emissions from Tokelau are included in New Zealand’s greenhouse inventory.</w:t>
      </w:r>
    </w:p>
    <w:p w14:paraId="69346266" w14:textId="77777777" w:rsidR="00643D10" w:rsidRPr="00D9348B" w:rsidRDefault="00643D10" w:rsidP="00643D10">
      <w:pPr>
        <w:pStyle w:val="Heading3"/>
      </w:pPr>
      <w:r w:rsidRPr="00D9348B">
        <w:t xml:space="preserve">1.1.2 </w:t>
      </w:r>
      <w:r w:rsidRPr="00D9348B">
        <w:tab/>
        <w:t>Kyoto Protocol</w:t>
      </w:r>
    </w:p>
    <w:p w14:paraId="19AFD95E" w14:textId="77777777" w:rsidR="00643D10" w:rsidRPr="00D9348B" w:rsidRDefault="00643D10" w:rsidP="00643D10">
      <w:pPr>
        <w:pStyle w:val="BodyText"/>
      </w:pPr>
      <w:r w:rsidRPr="00D9348B">
        <w:t>The Kyoto Protocol shares and expands upon the Convention’s objectives, principles and institutions. Only Parties to the Convention that have also become Parties to the Protocol (by ratifying, accepting, approving or acceding to it) are bound by the Protocol’s commitments, noting that GHG targets in the Kyoto Protocol only apply to Annex I Parties. The original objective of the Kyoto Protocol was to reduce the aggregate emissions of six GHGs from Annex I Parties to the Kyoto Protocol, together with targets for the first commitment period (CP1)) by at least 5 per cent below 1990 levels in the CP1 (2008–12). New Zealand’s target in CP1 was to return emissions to 1990 levels</w:t>
      </w:r>
      <w:r w:rsidRPr="00D9348B">
        <w:rPr>
          <w:vertAlign w:val="superscript"/>
        </w:rPr>
        <w:footnoteReference w:id="16"/>
      </w:r>
      <w:r w:rsidRPr="00D9348B">
        <w:t xml:space="preserve"> on average over the commitment period or otherwise take responsibility for the excess.</w:t>
      </w:r>
    </w:p>
    <w:p w14:paraId="0A32BDB9" w14:textId="77777777" w:rsidR="00643D10" w:rsidRPr="00D9348B" w:rsidRDefault="00643D10" w:rsidP="00643D10">
      <w:pPr>
        <w:pStyle w:val="BodyText"/>
      </w:pPr>
      <w:r w:rsidRPr="00D9348B">
        <w:t xml:space="preserve">The eighth session of the Conference of the Parties serving as the meeting of the Parties to the Kyoto Protocol (Doha, Qatar, November to December 2012), agreed to amendments to the Kyoto Protocol for the period 2013–20, including new targets in an amended Annex B. </w:t>
      </w:r>
    </w:p>
    <w:p w14:paraId="57A51C20" w14:textId="77777777" w:rsidR="00643D10" w:rsidRPr="00D9348B" w:rsidRDefault="00643D10" w:rsidP="00643D10">
      <w:pPr>
        <w:pStyle w:val="BodyText"/>
      </w:pPr>
      <w:r w:rsidRPr="00D9348B">
        <w:t>New Zealand has taken a target under the Convention during the 2013–20 period and does not have a commitment listed in the amended Annex B of the Kyoto Protocol. However, New Zealand remains a Party to the Kyoto Protocol and applies the Kyoto Protocol framework of rules to its target for the 2013–20 period.</w:t>
      </w:r>
    </w:p>
    <w:p w14:paraId="7434E11F" w14:textId="77777777" w:rsidR="00643D10" w:rsidRPr="00D9348B" w:rsidRDefault="00643D10" w:rsidP="00643D10">
      <w:pPr>
        <w:pStyle w:val="BodyText"/>
      </w:pPr>
      <w:r w:rsidRPr="00D9348B">
        <w:t xml:space="preserve">When reporting emissions and removals from the Land Use, Land-Use Change and Forestry (LULUCF) sector, New Zealand uses the land-based approach, set out in the </w:t>
      </w:r>
      <w:r w:rsidRPr="00D9348B">
        <w:rPr>
          <w:i/>
        </w:rPr>
        <w:t>2006 IPCC Guidelines for National Greenhouse Gas Inventories</w:t>
      </w:r>
      <w:r w:rsidRPr="00D9348B">
        <w:t xml:space="preserve"> (IPCC, 2006a). For the period 2013–20, New Zealand will also complete activity-based reporting under Article 3.3 of the Kyoto Protocol for the categories </w:t>
      </w:r>
      <w:r w:rsidRPr="00D9348B">
        <w:rPr>
          <w:i/>
        </w:rPr>
        <w:t>Afforestation</w:t>
      </w:r>
      <w:r w:rsidRPr="00D9348B">
        <w:t xml:space="preserve">, </w:t>
      </w:r>
      <w:r w:rsidRPr="00D9348B">
        <w:rPr>
          <w:i/>
        </w:rPr>
        <w:t>Reforestation</w:t>
      </w:r>
      <w:r w:rsidRPr="00D9348B">
        <w:t xml:space="preserve"> and </w:t>
      </w:r>
      <w:r w:rsidRPr="00D9348B">
        <w:rPr>
          <w:i/>
        </w:rPr>
        <w:t>Deforestation</w:t>
      </w:r>
      <w:r w:rsidRPr="00D9348B">
        <w:t xml:space="preserve">, and under Article 3.4 for </w:t>
      </w:r>
      <w:r w:rsidRPr="00D9348B">
        <w:rPr>
          <w:i/>
        </w:rPr>
        <w:t>Forest management</w:t>
      </w:r>
      <w:r w:rsidRPr="00D9348B">
        <w:t>.</w:t>
      </w:r>
    </w:p>
    <w:p w14:paraId="2BAD58E0" w14:textId="77777777" w:rsidR="00643D10" w:rsidRPr="00D9348B" w:rsidRDefault="00643D10" w:rsidP="00643D10">
      <w:pPr>
        <w:pStyle w:val="Heading3"/>
      </w:pPr>
      <w:r w:rsidRPr="00D9348B">
        <w:lastRenderedPageBreak/>
        <w:t>1.1.3</w:t>
      </w:r>
      <w:r w:rsidRPr="00D9348B">
        <w:tab/>
        <w:t>The inventory</w:t>
      </w:r>
    </w:p>
    <w:p w14:paraId="34375188" w14:textId="77777777" w:rsidR="00643D10" w:rsidRPr="00D9348B" w:rsidRDefault="00643D10" w:rsidP="00643D10">
      <w:pPr>
        <w:pStyle w:val="BodyText"/>
      </w:pPr>
      <w:r w:rsidRPr="00D9348B">
        <w:t xml:space="preserve">The Convention covers emissions and removals of all anthropogenic GHGs not controlled by the Montreal Protocol. </w:t>
      </w:r>
      <w:r w:rsidRPr="00D9348B">
        <w:rPr>
          <w:i/>
        </w:rPr>
        <w:t>New Zealand’s Greenhouse Gas Inventory</w:t>
      </w:r>
      <w:r w:rsidRPr="00D9348B">
        <w:t xml:space="preserve"> (the inventory) is the official annual report of these emissions and removals in New Zealand. </w:t>
      </w:r>
    </w:p>
    <w:p w14:paraId="493FA52C" w14:textId="3E6CBEA5" w:rsidR="00643D10" w:rsidRPr="00D9348B" w:rsidRDefault="00643D10" w:rsidP="00643D10">
      <w:pPr>
        <w:pStyle w:val="BodyText"/>
      </w:pPr>
      <w:r w:rsidRPr="00D9348B">
        <w:t>The methodologies, content and format of the inventory are described in the IPCC (IPCC, 2006b) and reporting guidelines agreed by the Conference of the Parties to the Convention and Conference of the Parties serving as the meeting of the Parties to the Kyoto Protocol (CMP). The most recent reporting guidelines are FCCC/CP/2013/10/Add.3 (UNFCCC, 2013b). As</w:t>
      </w:r>
      <w:r w:rsidR="00D97563" w:rsidRPr="00D9348B">
        <w:t> </w:t>
      </w:r>
      <w:r w:rsidRPr="00D9348B">
        <w:t>per the Convention reporting guidelines, New Zealand followed the 2006 IPCC Guidelines in</w:t>
      </w:r>
      <w:r w:rsidR="00EC455D" w:rsidRPr="00D9348B">
        <w:t> </w:t>
      </w:r>
      <w:r w:rsidRPr="00D9348B">
        <w:t>the preparation of the inventory.</w:t>
      </w:r>
    </w:p>
    <w:p w14:paraId="29B06FDD" w14:textId="1BB5DB70" w:rsidR="00643D10" w:rsidRPr="00D9348B" w:rsidRDefault="00643D10" w:rsidP="00EC455D">
      <w:pPr>
        <w:pStyle w:val="BodyText"/>
      </w:pPr>
      <w:r w:rsidRPr="00D9348B">
        <w:t>A complete inventory submission contains two main components: the national inventory report (NIR) and the common reporting format (CRF) tables. Inventories are subject to an annual technical review process administered by the UNFCCC secretariat. The results of these</w:t>
      </w:r>
      <w:r w:rsidR="00EC455D" w:rsidRPr="00D9348B">
        <w:t> </w:t>
      </w:r>
      <w:r w:rsidRPr="00D9348B">
        <w:t>reviews are available (</w:t>
      </w:r>
      <w:hyperlink r:id="rId33" w:history="1">
        <w:r w:rsidRPr="00D9348B">
          <w:t>www.unfccc.int</w:t>
        </w:r>
      </w:hyperlink>
      <w:r w:rsidRPr="00D9348B">
        <w:t>).</w:t>
      </w:r>
    </w:p>
    <w:p w14:paraId="77E56224" w14:textId="07275FD7" w:rsidR="00257BB5" w:rsidRPr="00D9348B" w:rsidRDefault="00643D10" w:rsidP="00257BB5">
      <w:pPr>
        <w:pStyle w:val="BodyText"/>
      </w:pPr>
      <w:r w:rsidRPr="00D9348B">
        <w:t>The inventory reports on emissions and removals of the gases CO</w:t>
      </w:r>
      <w:r w:rsidRPr="00D9348B">
        <w:rPr>
          <w:vertAlign w:val="subscript"/>
        </w:rPr>
        <w:t>2</w:t>
      </w:r>
      <w:r w:rsidRPr="00D9348B">
        <w:t>, CH</w:t>
      </w:r>
      <w:r w:rsidRPr="00D9348B">
        <w:rPr>
          <w:vertAlign w:val="subscript"/>
        </w:rPr>
        <w:t>4</w:t>
      </w:r>
      <w:r w:rsidRPr="00D9348B">
        <w:t>, N</w:t>
      </w:r>
      <w:r w:rsidRPr="00D9348B">
        <w:rPr>
          <w:vertAlign w:val="subscript"/>
        </w:rPr>
        <w:t>2</w:t>
      </w:r>
      <w:r w:rsidRPr="00D9348B">
        <w:t>O, hydrofluorocarbons (HFCs), perfluorocarbons (PFCs), sulphur hexafluoride (SF</w:t>
      </w:r>
      <w:r w:rsidRPr="00D9348B">
        <w:rPr>
          <w:vertAlign w:val="subscript"/>
        </w:rPr>
        <w:t>6</w:t>
      </w:r>
      <w:r w:rsidRPr="00D9348B">
        <w:t>) and nitrogen</w:t>
      </w:r>
      <w:r w:rsidR="00D97563" w:rsidRPr="00D9348B">
        <w:t> </w:t>
      </w:r>
      <w:r w:rsidRPr="00D9348B">
        <w:t>trifluoride (NF</w:t>
      </w:r>
      <w:r w:rsidRPr="00D9348B">
        <w:rPr>
          <w:vertAlign w:val="subscript"/>
        </w:rPr>
        <w:t>3</w:t>
      </w:r>
      <w:r w:rsidRPr="00D9348B">
        <w:t>).</w:t>
      </w:r>
      <w:r w:rsidRPr="00D9348B">
        <w:rPr>
          <w:rStyle w:val="FootnoteReference"/>
        </w:rPr>
        <w:footnoteReference w:id="17"/>
      </w:r>
      <w:r w:rsidRPr="00D9348B">
        <w:t xml:space="preserve"> The indirect GHGs,</w:t>
      </w:r>
      <w:r w:rsidRPr="00D9348B">
        <w:rPr>
          <w:rStyle w:val="FootnoteReference"/>
        </w:rPr>
        <w:footnoteReference w:id="18"/>
      </w:r>
      <w:r w:rsidRPr="00D9348B">
        <w:t xml:space="preserve"> carbon monoxide (CO), sulphur dioxide (SO</w:t>
      </w:r>
      <w:r w:rsidRPr="00D9348B">
        <w:rPr>
          <w:vertAlign w:val="subscript"/>
        </w:rPr>
        <w:t>2</w:t>
      </w:r>
      <w:r w:rsidRPr="00D9348B">
        <w:t>),</w:t>
      </w:r>
      <w:r w:rsidR="00D97563" w:rsidRPr="00D9348B">
        <w:t> </w:t>
      </w:r>
      <w:r w:rsidRPr="00D9348B">
        <w:t>oxides of nitrogen (NO</w:t>
      </w:r>
      <w:r w:rsidRPr="00D9348B">
        <w:rPr>
          <w:vertAlign w:val="subscript"/>
        </w:rPr>
        <w:t>X</w:t>
      </w:r>
      <w:r w:rsidRPr="00D9348B">
        <w:t>) and non-methane volatile organic compounds (NMVOCs), are</w:t>
      </w:r>
      <w:r w:rsidR="00D97563" w:rsidRPr="00D9348B">
        <w:t> </w:t>
      </w:r>
      <w:r w:rsidRPr="00D9348B">
        <w:t>also included. Only emissions and removals of the direct GHGs (CO</w:t>
      </w:r>
      <w:r w:rsidRPr="00D9348B">
        <w:rPr>
          <w:vertAlign w:val="subscript"/>
        </w:rPr>
        <w:t>2</w:t>
      </w:r>
      <w:r w:rsidRPr="00D9348B">
        <w:t>, CH</w:t>
      </w:r>
      <w:r w:rsidRPr="00D9348B">
        <w:rPr>
          <w:vertAlign w:val="subscript"/>
        </w:rPr>
        <w:t>4</w:t>
      </w:r>
      <w:r w:rsidRPr="00D9348B">
        <w:t>, N</w:t>
      </w:r>
      <w:r w:rsidRPr="00D9348B">
        <w:rPr>
          <w:vertAlign w:val="subscript"/>
        </w:rPr>
        <w:t>2</w:t>
      </w:r>
      <w:r w:rsidRPr="00D9348B">
        <w:t>O, HFCs, PFCs,</w:t>
      </w:r>
      <w:r w:rsidR="00EC455D" w:rsidRPr="00D9348B">
        <w:t> </w:t>
      </w:r>
      <w:r w:rsidRPr="00D9348B">
        <w:t>SF</w:t>
      </w:r>
      <w:r w:rsidRPr="00D9348B">
        <w:rPr>
          <w:vertAlign w:val="subscript"/>
        </w:rPr>
        <w:t>6</w:t>
      </w:r>
      <w:r w:rsidR="00D97563" w:rsidRPr="00D9348B">
        <w:rPr>
          <w:vertAlign w:val="subscript"/>
        </w:rPr>
        <w:t> </w:t>
      </w:r>
      <w:r w:rsidRPr="00D9348B">
        <w:t>and NF</w:t>
      </w:r>
      <w:r w:rsidRPr="00D9348B">
        <w:rPr>
          <w:vertAlign w:val="subscript"/>
        </w:rPr>
        <w:t>3</w:t>
      </w:r>
      <w:r w:rsidRPr="00D9348B">
        <w:t xml:space="preserve">) are reported in gross and net emissions under the Convention and are accounted for under the Kyoto Protocol. The gases are reported under </w:t>
      </w:r>
      <w:r w:rsidR="00257BB5">
        <w:t>six</w:t>
      </w:r>
      <w:r w:rsidRPr="00D9348B">
        <w:t xml:space="preserve"> sectors: Energy, Industrial Processes and Product Use (IPPU), Agriculture, LULUCF</w:t>
      </w:r>
      <w:r w:rsidR="00257BB5">
        <w:t>,</w:t>
      </w:r>
      <w:r w:rsidRPr="00D9348B">
        <w:t xml:space="preserve"> Waste</w:t>
      </w:r>
      <w:r w:rsidR="00257BB5">
        <w:t xml:space="preserve"> and New Zealand’s ‘Other’ sector (Tokelau)</w:t>
      </w:r>
      <w:r w:rsidR="00257BB5" w:rsidRPr="00D9348B">
        <w:t xml:space="preserve">. </w:t>
      </w:r>
    </w:p>
    <w:p w14:paraId="70C033D2" w14:textId="270581F7" w:rsidR="00643D10" w:rsidRPr="00D9348B" w:rsidRDefault="00643D10" w:rsidP="00D97563">
      <w:pPr>
        <w:pStyle w:val="BodyText"/>
      </w:pPr>
      <w:r w:rsidRPr="00D9348B">
        <w:t>From 2019, greenhouse gas</w:t>
      </w:r>
      <w:r w:rsidR="00D97563" w:rsidRPr="00D9348B">
        <w:t> </w:t>
      </w:r>
      <w:r w:rsidRPr="00D9348B">
        <w:t>emissions from Tokelau, New Zealand’s overseas dependent territory,</w:t>
      </w:r>
      <w:r w:rsidRPr="00D9348B">
        <w:rPr>
          <w:rStyle w:val="FootnoteReference"/>
        </w:rPr>
        <w:footnoteReference w:id="19"/>
      </w:r>
      <w:r w:rsidRPr="00D9348B">
        <w:t xml:space="preserve"> were</w:t>
      </w:r>
      <w:r w:rsidR="00EC455D" w:rsidRPr="00D9348B">
        <w:t> </w:t>
      </w:r>
      <w:r w:rsidRPr="00D9348B">
        <w:t>included in New Zealand’s ‘Other’ sector.</w:t>
      </w:r>
    </w:p>
    <w:p w14:paraId="1890E485" w14:textId="77777777" w:rsidR="00643D10" w:rsidRPr="00D9348B" w:rsidRDefault="00643D10" w:rsidP="00643D10">
      <w:pPr>
        <w:pStyle w:val="BodyText"/>
      </w:pPr>
      <w:r w:rsidRPr="00D9348B">
        <w:t>Reporting on afforestation, reforestation and deforestation activities since 1990 (Article 3.3 activities under the Kyoto Protocol) and forest management (under Article 3.4 of the Kyoto Protocol) are mandatory during the 2013–20 period of the Kyoto Protocol. Afforestation, reforestation, deforestation and forest management activities are defined below. The definitions are consistent with Decision 16/CMP.1 (UNFCCC, 2005a).</w:t>
      </w:r>
    </w:p>
    <w:p w14:paraId="099B8515" w14:textId="77777777" w:rsidR="00643D10" w:rsidRPr="00D9348B" w:rsidRDefault="00643D10" w:rsidP="00643D10">
      <w:pPr>
        <w:pStyle w:val="Heading3"/>
      </w:pPr>
      <w:r w:rsidRPr="00D9348B">
        <w:t>1.1.4</w:t>
      </w:r>
      <w:r w:rsidRPr="00D9348B">
        <w:tab/>
        <w:t>Supplementary information required</w:t>
      </w:r>
    </w:p>
    <w:p w14:paraId="2E4D2409" w14:textId="77777777" w:rsidR="00643D10" w:rsidRPr="00D9348B" w:rsidRDefault="00643D10" w:rsidP="00643D10">
      <w:pPr>
        <w:pStyle w:val="BodyText"/>
      </w:pPr>
      <w:r w:rsidRPr="00D9348B">
        <w:t xml:space="preserve">Following guidelines adopted by the CMP for reporting under Article 7.1 of the Kyoto Protocol, New Zealand includes supplementary information in its annual inventory submission. </w:t>
      </w:r>
    </w:p>
    <w:p w14:paraId="606C49F4" w14:textId="77777777" w:rsidR="00643D10" w:rsidRPr="00D9348B" w:rsidRDefault="00643D10" w:rsidP="00D97563">
      <w:pPr>
        <w:pStyle w:val="BodyText"/>
        <w:keepNext/>
        <w:spacing w:after="100"/>
      </w:pPr>
      <w:r w:rsidRPr="00D9348B">
        <w:lastRenderedPageBreak/>
        <w:t>The supplementary information covers:</w:t>
      </w:r>
    </w:p>
    <w:p w14:paraId="355E09EE" w14:textId="77777777" w:rsidR="00643D10" w:rsidRPr="00D9348B" w:rsidRDefault="00643D10" w:rsidP="00771A8F">
      <w:pPr>
        <w:pStyle w:val="Bullet"/>
        <w:numPr>
          <w:ilvl w:val="0"/>
          <w:numId w:val="20"/>
        </w:numPr>
        <w:spacing w:after="100"/>
      </w:pPr>
      <w:r w:rsidRPr="00D9348B">
        <w:t>information on emissions and removals for each activity under Article 3.3, forest management under Article 3.4, and for any elected activities under Article 3.4 (chapter 11)</w:t>
      </w:r>
    </w:p>
    <w:p w14:paraId="73AFC5B3" w14:textId="77777777" w:rsidR="00643D10" w:rsidRPr="00D9348B" w:rsidRDefault="00643D10" w:rsidP="00771A8F">
      <w:pPr>
        <w:pStyle w:val="Bullet"/>
        <w:numPr>
          <w:ilvl w:val="0"/>
          <w:numId w:val="20"/>
        </w:numPr>
        <w:spacing w:after="100"/>
      </w:pPr>
      <w:r w:rsidRPr="00D9348B">
        <w:t>holdings and transactions of units transferred and acquired under Kyoto Protocol mechanisms (chapter 12)</w:t>
      </w:r>
    </w:p>
    <w:p w14:paraId="394066DA" w14:textId="77777777" w:rsidR="00643D10" w:rsidRPr="00D9348B" w:rsidRDefault="00643D10" w:rsidP="00771A8F">
      <w:pPr>
        <w:pStyle w:val="Bullet"/>
        <w:numPr>
          <w:ilvl w:val="0"/>
          <w:numId w:val="20"/>
        </w:numPr>
        <w:spacing w:after="100"/>
      </w:pPr>
      <w:r w:rsidRPr="00D9348B">
        <w:t>significant changes to the national system for estimating emissions and removals (chapter 13) and to the Kyoto Protocol unit registry (chapter 14)</w:t>
      </w:r>
    </w:p>
    <w:p w14:paraId="76B698BA" w14:textId="77777777" w:rsidR="00643D10" w:rsidRPr="00D9348B" w:rsidRDefault="00643D10" w:rsidP="00771A8F">
      <w:pPr>
        <w:pStyle w:val="Bullet"/>
        <w:numPr>
          <w:ilvl w:val="0"/>
          <w:numId w:val="20"/>
        </w:numPr>
      </w:pPr>
      <w:proofErr w:type="gramStart"/>
      <w:r w:rsidRPr="00D9348B">
        <w:t>information</w:t>
      </w:r>
      <w:proofErr w:type="gramEnd"/>
      <w:r w:rsidRPr="00D9348B">
        <w:t xml:space="preserve"> related to the implementation of Article 3.14 on the minimisation of adverse impacts on developing country Parties (chapter 15).</w:t>
      </w:r>
    </w:p>
    <w:p w14:paraId="560E081D" w14:textId="77777777" w:rsidR="00643D10" w:rsidRPr="00D9348B" w:rsidRDefault="00643D10" w:rsidP="00D97563">
      <w:pPr>
        <w:pStyle w:val="Heading2"/>
        <w:spacing w:before="280"/>
      </w:pPr>
      <w:bookmarkStart w:id="140" w:name="_Toc352504821"/>
      <w:bookmarkStart w:id="141" w:name="_Toc414531269"/>
      <w:bookmarkStart w:id="142" w:name="_Toc448321490"/>
      <w:bookmarkStart w:id="143" w:name="_Toc511116567"/>
      <w:bookmarkStart w:id="144" w:name="_Toc5269329"/>
      <w:bookmarkStart w:id="145" w:name="_Toc36224369"/>
      <w:r w:rsidRPr="00D9348B">
        <w:t>1.2</w:t>
      </w:r>
      <w:r w:rsidRPr="00D9348B">
        <w:tab/>
      </w:r>
      <w:bookmarkEnd w:id="140"/>
      <w:r w:rsidRPr="00D9348B">
        <w:t>Description of the national inventory arrangements</w:t>
      </w:r>
      <w:bookmarkEnd w:id="141"/>
      <w:bookmarkEnd w:id="142"/>
      <w:bookmarkEnd w:id="143"/>
      <w:bookmarkEnd w:id="144"/>
      <w:bookmarkEnd w:id="145"/>
    </w:p>
    <w:p w14:paraId="735A13C7" w14:textId="77777777" w:rsidR="00643D10" w:rsidRPr="00D9348B" w:rsidRDefault="00643D10" w:rsidP="00D97563">
      <w:pPr>
        <w:pStyle w:val="Heading3"/>
        <w:spacing w:before="200"/>
      </w:pPr>
      <w:r w:rsidRPr="00D9348B">
        <w:t>1.2.1</w:t>
      </w:r>
      <w:r w:rsidRPr="00D9348B">
        <w:tab/>
        <w:t xml:space="preserve">Institutional, legal and procedural arrangements </w:t>
      </w:r>
    </w:p>
    <w:p w14:paraId="61B5B1ED" w14:textId="1AB1AF2A" w:rsidR="00643D10" w:rsidRPr="00D9348B" w:rsidRDefault="00643D10" w:rsidP="00D97563">
      <w:pPr>
        <w:pStyle w:val="BodyText"/>
        <w:keepNext/>
        <w:tabs>
          <w:tab w:val="left" w:pos="397"/>
        </w:tabs>
        <w:spacing w:after="100"/>
      </w:pPr>
      <w:r w:rsidRPr="00D9348B">
        <w:t xml:space="preserve">In 2002 New Zealand passed into legislation the </w:t>
      </w:r>
      <w:bookmarkStart w:id="146" w:name="OLE_LINK2"/>
      <w:bookmarkStart w:id="147" w:name="OLE_LINK3"/>
      <w:r w:rsidRPr="00D9348B">
        <w:t>Climate Change Response Act 2002</w:t>
      </w:r>
      <w:bookmarkEnd w:id="146"/>
      <w:bookmarkEnd w:id="147"/>
      <w:r w:rsidRPr="00D9348B">
        <w:t>. This enabled New Zealand to meet its international obligations under the Convention and Kyoto Protocol. A Prime Ministerial directive for the administration of the 2002 Act named the Ministry for the Environment (MfE) as New Zealand’s ‘inventory agency’. Part 3, section 32, of</w:t>
      </w:r>
      <w:r w:rsidR="00EC455D" w:rsidRPr="00D9348B">
        <w:t> </w:t>
      </w:r>
      <w:r w:rsidRPr="00D9348B">
        <w:t>the Act specifies the following functions and requirements.</w:t>
      </w:r>
    </w:p>
    <w:p w14:paraId="1277BC06" w14:textId="46B48337" w:rsidR="00643D10" w:rsidRPr="00D9348B" w:rsidRDefault="00643D10" w:rsidP="00D97563">
      <w:pPr>
        <w:pStyle w:val="BodyText"/>
        <w:keepNext/>
        <w:tabs>
          <w:tab w:val="left" w:pos="397"/>
        </w:tabs>
        <w:spacing w:after="100"/>
        <w:ind w:left="397" w:hanging="397"/>
      </w:pPr>
      <w:r w:rsidRPr="00D9348B">
        <w:t xml:space="preserve">1. </w:t>
      </w:r>
      <w:r w:rsidR="00D97563" w:rsidRPr="00D9348B">
        <w:tab/>
      </w:r>
      <w:r w:rsidRPr="00D9348B">
        <w:t>The primary functions of the inventory agency are to:</w:t>
      </w:r>
    </w:p>
    <w:p w14:paraId="1674ED60" w14:textId="77777777" w:rsidR="00643D10" w:rsidRPr="00D9348B" w:rsidRDefault="00643D10" w:rsidP="00771A8F">
      <w:pPr>
        <w:pStyle w:val="Sub-bullet"/>
        <w:numPr>
          <w:ilvl w:val="0"/>
          <w:numId w:val="30"/>
        </w:numPr>
        <w:tabs>
          <w:tab w:val="clear" w:pos="794"/>
        </w:tabs>
        <w:spacing w:after="100"/>
        <w:ind w:left="794" w:hanging="397"/>
      </w:pPr>
      <w:r w:rsidRPr="00D9348B">
        <w:t>estimate annually New Zealand’s anthropogenic emissions by sources and removals by sinks, of greenhouse gases</w:t>
      </w:r>
    </w:p>
    <w:p w14:paraId="1EC34263" w14:textId="77777777" w:rsidR="00643D10" w:rsidRPr="00D9348B" w:rsidRDefault="00643D10" w:rsidP="00771A8F">
      <w:pPr>
        <w:pStyle w:val="Sub-bullet"/>
        <w:numPr>
          <w:ilvl w:val="0"/>
          <w:numId w:val="30"/>
        </w:numPr>
        <w:tabs>
          <w:tab w:val="clear" w:pos="794"/>
        </w:tabs>
        <w:spacing w:after="100"/>
        <w:ind w:left="794" w:hanging="397"/>
      </w:pPr>
      <w:r w:rsidRPr="00D9348B">
        <w:t>prepare the following reports for the purpose of discharging New Zealand’s obligations:</w:t>
      </w:r>
    </w:p>
    <w:p w14:paraId="43D68085" w14:textId="77777777" w:rsidR="00643D10" w:rsidRPr="00D9348B" w:rsidRDefault="00643D10" w:rsidP="00D97563">
      <w:pPr>
        <w:pStyle w:val="Sub-listi"/>
        <w:tabs>
          <w:tab w:val="clear" w:pos="360"/>
          <w:tab w:val="num" w:pos="1191"/>
        </w:tabs>
        <w:spacing w:after="100"/>
        <w:ind w:left="1191"/>
      </w:pPr>
      <w:r w:rsidRPr="00D9348B">
        <w:t xml:space="preserve">New Zealand’s annual inventory report </w:t>
      </w:r>
      <w:r w:rsidRPr="00D9348B">
        <w:rPr>
          <w:color w:val="000000"/>
          <w:shd w:val="clear" w:color="auto" w:fill="FFFFFF"/>
        </w:rPr>
        <w:t>under </w:t>
      </w:r>
      <w:r w:rsidRPr="00D9348B">
        <w:rPr>
          <w:rStyle w:val="insertwords"/>
          <w:color w:val="000000"/>
          <w:bdr w:val="none" w:sz="0" w:space="0" w:color="auto" w:frame="1"/>
        </w:rPr>
        <w:t>Articles 4 and 12 of the Convention and</w:t>
      </w:r>
      <w:r w:rsidRPr="00D9348B">
        <w:rPr>
          <w:rStyle w:val="insertwords"/>
          <w:color w:val="000000"/>
          <w:sz w:val="25"/>
          <w:szCs w:val="25"/>
          <w:bdr w:val="none" w:sz="0" w:space="0" w:color="auto" w:frame="1"/>
        </w:rPr>
        <w:t> </w:t>
      </w:r>
      <w:r w:rsidRPr="00D9348B">
        <w:t xml:space="preserve">Article </w:t>
      </w:r>
      <w:hyperlink r:id="rId34" w:anchor="DLM160412" w:history="1">
        <w:r w:rsidRPr="00D9348B">
          <w:rPr>
            <w:shd w:val="clear" w:color="auto" w:fill="FFFFFF"/>
          </w:rPr>
          <w:t>7.1</w:t>
        </w:r>
      </w:hyperlink>
      <w:r w:rsidRPr="00D9348B">
        <w:t xml:space="preserve"> of the Kyoto Protocol, including (but not limited to) the quantities of long-term certified emission reduction units and temporary certified emission reduction units that have expired or have been replaced, retired, or cancelled</w:t>
      </w:r>
    </w:p>
    <w:p w14:paraId="170D3CC5" w14:textId="77777777" w:rsidR="00643D10" w:rsidRPr="00D9348B" w:rsidRDefault="00643D10" w:rsidP="00D97563">
      <w:pPr>
        <w:pStyle w:val="Sub-listi"/>
        <w:tabs>
          <w:tab w:val="clear" w:pos="360"/>
          <w:tab w:val="num" w:pos="1191"/>
        </w:tabs>
        <w:spacing w:after="100"/>
        <w:ind w:left="1191"/>
      </w:pPr>
      <w:r w:rsidRPr="00D9348B">
        <w:t xml:space="preserve">New Zealand’s national communication (or periodic report) under Article </w:t>
      </w:r>
      <w:hyperlink r:id="rId35" w:anchor="DLM160412" w:history="1">
        <w:r w:rsidRPr="00D9348B">
          <w:rPr>
            <w:shd w:val="clear" w:color="auto" w:fill="FFFFFF"/>
          </w:rPr>
          <w:t>7.2</w:t>
        </w:r>
      </w:hyperlink>
      <w:r w:rsidRPr="00D9348B">
        <w:t xml:space="preserve"> of the Kyoto Protocol and Article </w:t>
      </w:r>
      <w:hyperlink r:id="rId36" w:anchor="DLM160067" w:history="1">
        <w:r w:rsidRPr="00D9348B">
          <w:rPr>
            <w:shd w:val="clear" w:color="auto" w:fill="FFFFFF"/>
          </w:rPr>
          <w:t>12</w:t>
        </w:r>
      </w:hyperlink>
      <w:r w:rsidRPr="00D9348B">
        <w:t xml:space="preserve"> of the Convention</w:t>
      </w:r>
    </w:p>
    <w:p w14:paraId="71E10BDC" w14:textId="77777777" w:rsidR="00643D10" w:rsidRPr="00D9348B" w:rsidRDefault="00643D10" w:rsidP="00643D10">
      <w:pPr>
        <w:pStyle w:val="Sub-listi"/>
        <w:tabs>
          <w:tab w:val="clear" w:pos="360"/>
          <w:tab w:val="num" w:pos="1191"/>
        </w:tabs>
        <w:ind w:left="1191"/>
      </w:pPr>
      <w:r w:rsidRPr="00D9348B">
        <w:t xml:space="preserve">New Zealand’s report for the calculation of its initial assigned amount under Article </w:t>
      </w:r>
      <w:hyperlink r:id="rId37" w:anchor="DLM160412" w:history="1">
        <w:r w:rsidRPr="00D9348B">
          <w:rPr>
            <w:shd w:val="clear" w:color="auto" w:fill="FFFFFF"/>
          </w:rPr>
          <w:t>7.4</w:t>
        </w:r>
      </w:hyperlink>
      <w:r w:rsidRPr="00D9348B">
        <w:t xml:space="preserve"> of the Kyoto Protocol, including its method of calculation.</w:t>
      </w:r>
    </w:p>
    <w:p w14:paraId="6190DCE6" w14:textId="77777777" w:rsidR="00643D10" w:rsidRPr="00D9348B" w:rsidRDefault="00643D10" w:rsidP="00D97563">
      <w:pPr>
        <w:pStyle w:val="BodyText"/>
        <w:spacing w:after="100"/>
        <w:ind w:left="397" w:hanging="397"/>
      </w:pPr>
      <w:r w:rsidRPr="00D9348B">
        <w:t>2.</w:t>
      </w:r>
      <w:r w:rsidRPr="00D9348B">
        <w:tab/>
        <w:t>In carrying out its functions, the inventory agency must:</w:t>
      </w:r>
    </w:p>
    <w:p w14:paraId="0D7745A4" w14:textId="77777777" w:rsidR="00643D10" w:rsidRPr="00D9348B" w:rsidRDefault="00643D10" w:rsidP="00771A8F">
      <w:pPr>
        <w:pStyle w:val="Sub-bullet"/>
        <w:numPr>
          <w:ilvl w:val="0"/>
          <w:numId w:val="30"/>
        </w:numPr>
        <w:tabs>
          <w:tab w:val="clear" w:pos="794"/>
        </w:tabs>
        <w:spacing w:after="100"/>
        <w:ind w:left="794" w:hanging="397"/>
      </w:pPr>
      <w:r w:rsidRPr="00D9348B">
        <w:t>identify source categories</w:t>
      </w:r>
    </w:p>
    <w:p w14:paraId="33B74F23" w14:textId="77777777" w:rsidR="00643D10" w:rsidRPr="00D9348B" w:rsidRDefault="00643D10" w:rsidP="00771A8F">
      <w:pPr>
        <w:pStyle w:val="Sub-bullet"/>
        <w:numPr>
          <w:ilvl w:val="0"/>
          <w:numId w:val="30"/>
        </w:numPr>
        <w:tabs>
          <w:tab w:val="clear" w:pos="794"/>
        </w:tabs>
        <w:spacing w:after="100"/>
        <w:ind w:left="794" w:hanging="397"/>
        <w:rPr>
          <w:color w:val="000000"/>
        </w:rPr>
      </w:pPr>
      <w:r w:rsidRPr="00D9348B">
        <w:t>collect data by means of:</w:t>
      </w:r>
    </w:p>
    <w:p w14:paraId="1A63D226" w14:textId="77777777" w:rsidR="00643D10" w:rsidRPr="00D9348B" w:rsidRDefault="00643D10" w:rsidP="00771A8F">
      <w:pPr>
        <w:pStyle w:val="Sub-listi"/>
        <w:numPr>
          <w:ilvl w:val="0"/>
          <w:numId w:val="32"/>
        </w:numPr>
        <w:spacing w:after="100"/>
        <w:rPr>
          <w:color w:val="000000"/>
        </w:rPr>
      </w:pPr>
      <w:r w:rsidRPr="00D9348B">
        <w:t>voluntary collection</w:t>
      </w:r>
    </w:p>
    <w:p w14:paraId="0281CCE2" w14:textId="77777777" w:rsidR="00643D10" w:rsidRPr="00D9348B" w:rsidRDefault="00643D10" w:rsidP="00D97563">
      <w:pPr>
        <w:pStyle w:val="Sub-listi"/>
        <w:tabs>
          <w:tab w:val="clear" w:pos="360"/>
          <w:tab w:val="num" w:pos="1191"/>
        </w:tabs>
        <w:spacing w:after="100"/>
        <w:ind w:left="1191"/>
        <w:rPr>
          <w:color w:val="000000"/>
        </w:rPr>
      </w:pPr>
      <w:r w:rsidRPr="00D9348B">
        <w:t>collection from government agencies and other agencies that hold relevant information</w:t>
      </w:r>
    </w:p>
    <w:p w14:paraId="489D9BBF" w14:textId="77777777" w:rsidR="00643D10" w:rsidRPr="00D9348B" w:rsidRDefault="00643D10" w:rsidP="00D97563">
      <w:pPr>
        <w:pStyle w:val="Sub-listi"/>
        <w:tabs>
          <w:tab w:val="clear" w:pos="360"/>
          <w:tab w:val="num" w:pos="1191"/>
        </w:tabs>
        <w:spacing w:after="100"/>
        <w:ind w:left="1191"/>
        <w:rPr>
          <w:color w:val="000000"/>
        </w:rPr>
      </w:pPr>
      <w:r w:rsidRPr="00D9348B">
        <w:t>collection in accordance with regulations made under this Part (if any)</w:t>
      </w:r>
    </w:p>
    <w:p w14:paraId="616CB738" w14:textId="77777777" w:rsidR="00643D10" w:rsidRPr="00D9348B" w:rsidRDefault="00643D10" w:rsidP="00771A8F">
      <w:pPr>
        <w:pStyle w:val="Sub-bullet"/>
        <w:numPr>
          <w:ilvl w:val="0"/>
          <w:numId w:val="30"/>
        </w:numPr>
        <w:tabs>
          <w:tab w:val="clear" w:pos="794"/>
        </w:tabs>
        <w:spacing w:after="100"/>
        <w:ind w:left="794" w:hanging="397"/>
      </w:pPr>
      <w:r w:rsidRPr="00D9348B">
        <w:t>estimate the emissions and removals for each source category</w:t>
      </w:r>
    </w:p>
    <w:p w14:paraId="22BDBF1B" w14:textId="77777777" w:rsidR="00643D10" w:rsidRPr="00D9348B" w:rsidRDefault="00643D10" w:rsidP="00771A8F">
      <w:pPr>
        <w:pStyle w:val="Sub-bullet"/>
        <w:numPr>
          <w:ilvl w:val="0"/>
          <w:numId w:val="30"/>
        </w:numPr>
        <w:tabs>
          <w:tab w:val="clear" w:pos="794"/>
        </w:tabs>
        <w:spacing w:after="100"/>
        <w:ind w:left="794" w:hanging="397"/>
      </w:pPr>
      <w:r w:rsidRPr="00D9348B">
        <w:t>undertake assessments on uncertainties</w:t>
      </w:r>
    </w:p>
    <w:p w14:paraId="64592787" w14:textId="77777777" w:rsidR="00643D10" w:rsidRPr="00D9348B" w:rsidRDefault="00643D10" w:rsidP="00771A8F">
      <w:pPr>
        <w:pStyle w:val="Sub-bullet"/>
        <w:numPr>
          <w:ilvl w:val="0"/>
          <w:numId w:val="30"/>
        </w:numPr>
        <w:tabs>
          <w:tab w:val="clear" w:pos="794"/>
        </w:tabs>
        <w:spacing w:after="100"/>
        <w:ind w:left="794" w:hanging="397"/>
      </w:pPr>
      <w:r w:rsidRPr="00D9348B">
        <w:t>undertake procedures to verify the data</w:t>
      </w:r>
    </w:p>
    <w:p w14:paraId="4B4E5323" w14:textId="77777777" w:rsidR="00643D10" w:rsidRPr="00D9348B" w:rsidRDefault="00643D10" w:rsidP="00771A8F">
      <w:pPr>
        <w:pStyle w:val="Sub-bullet"/>
        <w:numPr>
          <w:ilvl w:val="0"/>
          <w:numId w:val="30"/>
        </w:numPr>
        <w:tabs>
          <w:tab w:val="clear" w:pos="794"/>
        </w:tabs>
        <w:ind w:left="794" w:hanging="397"/>
      </w:pPr>
      <w:proofErr w:type="gramStart"/>
      <w:r w:rsidRPr="00D9348B">
        <w:t>retain</w:t>
      </w:r>
      <w:proofErr w:type="gramEnd"/>
      <w:r w:rsidRPr="00D9348B">
        <w:t xml:space="preserve"> information and documents to show how the estimates were determined.</w:t>
      </w:r>
    </w:p>
    <w:p w14:paraId="16D8518A" w14:textId="7269682E" w:rsidR="00643D10" w:rsidRPr="00D9348B" w:rsidRDefault="00643D10" w:rsidP="00643D10">
      <w:pPr>
        <w:pStyle w:val="BodyText"/>
      </w:pPr>
      <w:r w:rsidRPr="00D9348B">
        <w:lastRenderedPageBreak/>
        <w:t>Compliance provisions in section 36 of the Act provide for the authorisation of inspectors to</w:t>
      </w:r>
      <w:r w:rsidR="00D97563" w:rsidRPr="00D9348B">
        <w:t> </w:t>
      </w:r>
      <w:r w:rsidRPr="00D9348B">
        <w:t>collect information needed to estimate emissions or removals of GHGs.</w:t>
      </w:r>
    </w:p>
    <w:p w14:paraId="03BCDD39" w14:textId="45B99FE7" w:rsidR="00643D10" w:rsidRPr="00D9348B" w:rsidRDefault="00643D10" w:rsidP="00643D10">
      <w:pPr>
        <w:pStyle w:val="BodyText"/>
      </w:pPr>
      <w:r w:rsidRPr="00D9348B">
        <w:t>On 13 November 2017, New Zealand also extended its ratification of the Convention and the</w:t>
      </w:r>
      <w:r w:rsidR="00D97563" w:rsidRPr="00D9348B">
        <w:t> </w:t>
      </w:r>
      <w:r w:rsidRPr="00D9348B">
        <w:t xml:space="preserve">Paris Agreement to include Tokelau. </w:t>
      </w:r>
      <w:r w:rsidRPr="00D9348B">
        <w:rPr>
          <w:bCs/>
        </w:rPr>
        <w:t>This means,</w:t>
      </w:r>
      <w:r w:rsidRPr="00D9348B">
        <w:rPr>
          <w:bCs/>
          <w:i/>
        </w:rPr>
        <w:t xml:space="preserve"> inter alia</w:t>
      </w:r>
      <w:r w:rsidRPr="00D9348B">
        <w:rPr>
          <w:bCs/>
        </w:rPr>
        <w:t xml:space="preserve">, that New Zealand’s national </w:t>
      </w:r>
      <w:r w:rsidRPr="00D9348B">
        <w:t>GHG</w:t>
      </w:r>
      <w:r w:rsidRPr="00D9348B">
        <w:rPr>
          <w:bCs/>
        </w:rPr>
        <w:t xml:space="preserve"> inventory shall include the </w:t>
      </w:r>
      <w:r w:rsidRPr="00D9348B">
        <w:t>GHG</w:t>
      </w:r>
      <w:r w:rsidRPr="00D9348B">
        <w:rPr>
          <w:bCs/>
        </w:rPr>
        <w:t xml:space="preserve"> estimates from Tokelau. Further details are included in chapter 8, section 8.1.3.</w:t>
      </w:r>
    </w:p>
    <w:p w14:paraId="7F7F8F1F" w14:textId="77777777" w:rsidR="00643D10" w:rsidRPr="00D9348B" w:rsidRDefault="00643D10" w:rsidP="00643D10">
      <w:pPr>
        <w:pStyle w:val="Heading3"/>
      </w:pPr>
      <w:r w:rsidRPr="00D9348B">
        <w:t xml:space="preserve">1.2.2 </w:t>
      </w:r>
      <w:r w:rsidRPr="00D9348B">
        <w:tab/>
        <w:t>Inventory planning, preparation and management</w:t>
      </w:r>
    </w:p>
    <w:p w14:paraId="5BA29A09" w14:textId="204B871B" w:rsidR="00643D10" w:rsidRPr="00D9348B" w:rsidRDefault="00643D10" w:rsidP="00643D10">
      <w:pPr>
        <w:pStyle w:val="BodyText"/>
      </w:pPr>
      <w:r w:rsidRPr="00D9348B">
        <w:t>New Zealand is required under Article 5.1 of the Kyoto Protocol to have a national system for</w:t>
      </w:r>
      <w:r w:rsidR="00D97563" w:rsidRPr="00D9348B">
        <w:t> </w:t>
      </w:r>
      <w:r w:rsidRPr="00D9348B">
        <w:t>its inventory. New Zealand provided a full description of the national system in its initial report under the Kyoto Protocol (Ministry for the Environment, 2006). Changes to the national inventory system are documented in section 1.2.4 and chapter 13 of this submission.</w:t>
      </w:r>
    </w:p>
    <w:p w14:paraId="07FC3C31" w14:textId="77777777" w:rsidR="00643D10" w:rsidRPr="00D9348B" w:rsidRDefault="00643D10" w:rsidP="00643D10">
      <w:pPr>
        <w:pStyle w:val="BodyText"/>
      </w:pPr>
      <w:r w:rsidRPr="00D9348B">
        <w:t xml:space="preserve">New Zealand has developed national inventory system guidelines that document the tasks required to officially submit the inventory. These guidelines cover multiple aspects of the production of the inventory: inventory management, inventory planning and preparation, quality assurance/quality control (QA/QC) processes, communication and error management. This is a living document that is updated as required. </w:t>
      </w:r>
    </w:p>
    <w:p w14:paraId="729DCD02" w14:textId="77777777" w:rsidR="00643D10" w:rsidRPr="00D9348B" w:rsidRDefault="00643D10" w:rsidP="00865BDB">
      <w:pPr>
        <w:pStyle w:val="Heading4"/>
      </w:pPr>
      <w:r w:rsidRPr="00D9348B">
        <w:t>Inventory management</w:t>
      </w:r>
    </w:p>
    <w:p w14:paraId="2ACEC22F" w14:textId="477016CC" w:rsidR="00643D10" w:rsidRPr="00D9348B" w:rsidRDefault="00643D10" w:rsidP="00643D10">
      <w:pPr>
        <w:pStyle w:val="BodyText"/>
      </w:pPr>
      <w:r w:rsidRPr="00D9348B">
        <w:t>New Zealand uses a hybrid (centralised/distributed) approach to management for the inventory programme. Management and coordination of the inventory programme, as well as</w:t>
      </w:r>
      <w:r w:rsidR="00D97563" w:rsidRPr="00D9348B">
        <w:t> </w:t>
      </w:r>
      <w:r w:rsidRPr="00D9348B">
        <w:t>compilation, publication and submission of the inventory, are carried out by the inventory agency (MfE) in a centralised manner. Sector-specific work, which includes obtaining and processing activity data, estimating emissions, preparing sectoral CRF tables and writing sectoral inventory chapters, is carried out by a number of designated government agencies.</w:t>
      </w:r>
    </w:p>
    <w:p w14:paraId="58FC53AC" w14:textId="77777777" w:rsidR="00643D10" w:rsidRPr="00D9348B" w:rsidRDefault="00643D10" w:rsidP="00643D10">
      <w:pPr>
        <w:pStyle w:val="BodyText"/>
      </w:pPr>
      <w:r w:rsidRPr="00D9348B">
        <w:t xml:space="preserve">MfE is New Zealand’s single national entity for the inventory. It is responsible for the overall coordination, compilation and submission of the inventory to the UNFCCC secretariat. The National Inventory Compiler is based at MfE. Arrangements with other government agencies have evolved as resources and capacity have allowed and as a greater understanding of the reporting requirements has been attained. </w:t>
      </w:r>
    </w:p>
    <w:p w14:paraId="6322DC14" w14:textId="313A92C0" w:rsidR="00643D10" w:rsidRPr="00D9348B" w:rsidRDefault="00643D10" w:rsidP="00643D10">
      <w:pPr>
        <w:pStyle w:val="BodyText"/>
      </w:pPr>
      <w:r w:rsidRPr="00D9348B">
        <w:t>Inventory governance within each sector, as well as sector-level quality control, is managed by</w:t>
      </w:r>
      <w:r w:rsidR="00D97563" w:rsidRPr="00D9348B">
        <w:t> </w:t>
      </w:r>
      <w:r w:rsidRPr="00D9348B">
        <w:t>the agencies responsible for the sectors. The Reporting Governance Group (RGG) provides cross-agency governance over the climate change reporting, modelling and projections of GHG</w:t>
      </w:r>
      <w:r w:rsidR="00D97563" w:rsidRPr="00D9348B">
        <w:t> </w:t>
      </w:r>
      <w:r w:rsidRPr="00D9348B">
        <w:t>emissions and removals. The RGG is chaired by MfE, and its membership includes representation from the Ministry for Primary Industries (MPI), the Ministry of Business, Innovation and Employment (MBIE) and the Environmental Protection Authority (EPA). The main roles and expectations of the RGG include:</w:t>
      </w:r>
    </w:p>
    <w:p w14:paraId="4B61C900" w14:textId="77777777" w:rsidR="00643D10" w:rsidRPr="00D9348B" w:rsidRDefault="00643D10" w:rsidP="00771A8F">
      <w:pPr>
        <w:pStyle w:val="Bullet"/>
        <w:numPr>
          <w:ilvl w:val="0"/>
          <w:numId w:val="20"/>
        </w:numPr>
      </w:pPr>
      <w:r w:rsidRPr="00D9348B">
        <w:t>guiding, conferring and approving inventory and emissions projection improvements and assumptions (on the basis of advice from technical experts), planning and priorities, key messages, management of stakeholders and risks</w:t>
      </w:r>
    </w:p>
    <w:p w14:paraId="0168E7C2" w14:textId="77777777" w:rsidR="00643D10" w:rsidRPr="00D9348B" w:rsidRDefault="00643D10" w:rsidP="00771A8F">
      <w:pPr>
        <w:pStyle w:val="Bullet"/>
        <w:numPr>
          <w:ilvl w:val="0"/>
          <w:numId w:val="20"/>
        </w:numPr>
      </w:pPr>
      <w:r w:rsidRPr="00D9348B">
        <w:t>focusing on the delivery of reporting commitments to meet national and international requirements</w:t>
      </w:r>
    </w:p>
    <w:p w14:paraId="308FC064" w14:textId="77777777" w:rsidR="00643D10" w:rsidRPr="00D9348B" w:rsidRDefault="00643D10" w:rsidP="00771A8F">
      <w:pPr>
        <w:pStyle w:val="Bullet"/>
        <w:numPr>
          <w:ilvl w:val="0"/>
          <w:numId w:val="20"/>
        </w:numPr>
      </w:pPr>
      <w:r w:rsidRPr="00D9348B">
        <w:t>providing reporting leadership and guidance to analysts, modellers and technical specialists</w:t>
      </w:r>
    </w:p>
    <w:p w14:paraId="15D477AD" w14:textId="77777777" w:rsidR="00643D10" w:rsidRPr="00D9348B" w:rsidRDefault="00643D10" w:rsidP="00771A8F">
      <w:pPr>
        <w:pStyle w:val="Bullet"/>
        <w:numPr>
          <w:ilvl w:val="0"/>
          <w:numId w:val="20"/>
        </w:numPr>
      </w:pPr>
      <w:r w:rsidRPr="00D9348B">
        <w:lastRenderedPageBreak/>
        <w:t>sharing information, providing feedback and resolving any differences between agencies that impact on the delivery of the work programme</w:t>
      </w:r>
    </w:p>
    <w:p w14:paraId="12FFE16F" w14:textId="77777777" w:rsidR="00643D10" w:rsidRPr="00D9348B" w:rsidRDefault="00643D10" w:rsidP="00771A8F">
      <w:pPr>
        <w:pStyle w:val="Bullet"/>
        <w:numPr>
          <w:ilvl w:val="0"/>
          <w:numId w:val="20"/>
        </w:numPr>
      </w:pPr>
      <w:proofErr w:type="gramStart"/>
      <w:r w:rsidRPr="00D9348B">
        <w:t>reporting</w:t>
      </w:r>
      <w:proofErr w:type="gramEnd"/>
      <w:r w:rsidRPr="00D9348B">
        <w:t xml:space="preserve"> to the Climate Change Directors Group (a cross-agency group that oversees New Zealand’s international and domestic climate change policy) on the ‘big picture’ of the reporting work programme, direction, progress in delivery and capability to deliver, if required.</w:t>
      </w:r>
    </w:p>
    <w:p w14:paraId="7D781648" w14:textId="77777777" w:rsidR="00643D10" w:rsidRPr="00D9348B" w:rsidRDefault="00643D10" w:rsidP="00643D10">
      <w:pPr>
        <w:pStyle w:val="BodyText"/>
      </w:pPr>
      <w:r w:rsidRPr="00D9348B">
        <w:t>As well as its overall inventory coordination role, MfE also compiles emission estimates for the IPPU sector (non-CO</w:t>
      </w:r>
      <w:r w:rsidRPr="00D9348B">
        <w:rPr>
          <w:vertAlign w:val="subscript"/>
        </w:rPr>
        <w:t>2</w:t>
      </w:r>
      <w:r w:rsidRPr="00D9348B">
        <w:t xml:space="preserve"> gases through industry surveys and CO</w:t>
      </w:r>
      <w:r w:rsidRPr="00D9348B">
        <w:rPr>
          <w:vertAlign w:val="subscript"/>
        </w:rPr>
        <w:t>2</w:t>
      </w:r>
      <w:r w:rsidRPr="00D9348B">
        <w:t xml:space="preserve"> data provided by MBIE), Waste sector, emissions and removals for the LULUCF sector and Article 3.3 and Article 3.4 activities under the Kyoto Protocol. </w:t>
      </w:r>
    </w:p>
    <w:p w14:paraId="02FBBE23" w14:textId="44D0BD47" w:rsidR="00643D10" w:rsidRPr="00D9348B" w:rsidRDefault="00643D10" w:rsidP="00643D10">
      <w:pPr>
        <w:pStyle w:val="BodyText"/>
        <w:rPr>
          <w:spacing w:val="-2"/>
        </w:rPr>
      </w:pPr>
      <w:r w:rsidRPr="00D9348B">
        <w:rPr>
          <w:spacing w:val="-2"/>
        </w:rPr>
        <w:t xml:space="preserve">MfE conducts field measurement programmes within the LULUCF sector. It undertakes </w:t>
      </w:r>
      <w:r w:rsidR="00766DDA">
        <w:rPr>
          <w:spacing w:val="-2"/>
        </w:rPr>
        <w:t>land-use</w:t>
      </w:r>
      <w:r w:rsidRPr="00D9348B">
        <w:rPr>
          <w:spacing w:val="-2"/>
        </w:rPr>
        <w:t xml:space="preserve"> mapping from satellite imagery to report on emissions for the LULUCF sector and Article 3.3 and Article 3.4 activities under the Kyoto Protocol. This is supplemented with data on harvested wood products production and non-CO</w:t>
      </w:r>
      <w:r w:rsidRPr="00D9348B">
        <w:rPr>
          <w:spacing w:val="-2"/>
          <w:vertAlign w:val="subscript"/>
        </w:rPr>
        <w:t>2</w:t>
      </w:r>
      <w:r w:rsidRPr="00D9348B">
        <w:rPr>
          <w:spacing w:val="-2"/>
        </w:rPr>
        <w:t xml:space="preserve"> emissions collected through surveys of the sector. </w:t>
      </w:r>
    </w:p>
    <w:p w14:paraId="0EB9E4DD" w14:textId="77777777" w:rsidR="00643D10" w:rsidRPr="00D9348B" w:rsidRDefault="00643D10" w:rsidP="00643D10">
      <w:pPr>
        <w:pStyle w:val="BodyText"/>
      </w:pPr>
      <w:r w:rsidRPr="00D9348B">
        <w:t>MfE coordinates with the Tokelau Ministry for Climate, Oceans and Resilience (MiCORE; formerly known as the Climate Change Agency) on Tokelau’s inventory data and information and provides guidance on the inventory data collection, processing and delivery under the Memorandum of Understanding (MoU) between New Zealand and Tokelau.</w:t>
      </w:r>
    </w:p>
    <w:p w14:paraId="0C8DA2D8" w14:textId="77777777" w:rsidR="00643D10" w:rsidRPr="00D9348B" w:rsidRDefault="00643D10" w:rsidP="00643D10">
      <w:pPr>
        <w:pStyle w:val="BodyText"/>
      </w:pPr>
      <w:r w:rsidRPr="00D9348B">
        <w:t>MBIE estimates all emissions from the Energy sector and CO</w:t>
      </w:r>
      <w:r w:rsidRPr="00D9348B">
        <w:rPr>
          <w:vertAlign w:val="subscript"/>
        </w:rPr>
        <w:t>2</w:t>
      </w:r>
      <w:r w:rsidRPr="00D9348B">
        <w:t xml:space="preserve"> emissions from the IPPU sector. </w:t>
      </w:r>
    </w:p>
    <w:p w14:paraId="30ACF78F" w14:textId="77777777" w:rsidR="00643D10" w:rsidRPr="00D9348B" w:rsidRDefault="00643D10" w:rsidP="00643D10">
      <w:pPr>
        <w:pStyle w:val="BodyText"/>
      </w:pPr>
      <w:r w:rsidRPr="00D9348B">
        <w:t xml:space="preserve">MPI estimates emissions from the Agriculture sector. The estimates are underpinned by research and modelling undertaken at New Zealand’s Crown research institutes, universities and private research companies, and survey data collected by the national statistics agency Statistics New Zealand. </w:t>
      </w:r>
    </w:p>
    <w:p w14:paraId="76A2008A" w14:textId="77777777" w:rsidR="00643D10" w:rsidRPr="00D9348B" w:rsidRDefault="00643D10" w:rsidP="00643D10">
      <w:pPr>
        <w:pStyle w:val="BodyText"/>
      </w:pPr>
      <w:r w:rsidRPr="00D9348B">
        <w:t>Statistics New Zealand also provides population census data for producing the Waste and IPPU sectors’ emissions estimates and livestock statistics data for estimating emissions from the Agriculture and Waste sectors.</w:t>
      </w:r>
    </w:p>
    <w:p w14:paraId="3FFB94EF" w14:textId="77777777" w:rsidR="00643D10" w:rsidRPr="00D9348B" w:rsidRDefault="00643D10" w:rsidP="00643D10">
      <w:pPr>
        <w:pStyle w:val="BodyText"/>
      </w:pPr>
      <w:r w:rsidRPr="00D9348B">
        <w:t>The Ministry of Foreign Affairs and Trade (MFAT) provides information on the minimisation of adverse impacts under Article 13.4 of the Kyoto Protocol, as reported in chapter 15.</w:t>
      </w:r>
    </w:p>
    <w:p w14:paraId="318D76C2" w14:textId="77777777" w:rsidR="00643D10" w:rsidRPr="00D9348B" w:rsidRDefault="00643D10" w:rsidP="00643D10">
      <w:pPr>
        <w:pStyle w:val="BodyText"/>
      </w:pPr>
      <w:r w:rsidRPr="00D9348B">
        <w:t xml:space="preserve">MiCORE and the Tokelau National Statistics Office coordinate efforts in activity data collection and data processing for estimating emissions from Tokelau for all inventory sectors. </w:t>
      </w:r>
    </w:p>
    <w:p w14:paraId="1B11B377" w14:textId="093ECD58" w:rsidR="00643D10" w:rsidRPr="00D9348B" w:rsidRDefault="00643D10" w:rsidP="00643D10">
      <w:pPr>
        <w:pStyle w:val="BodyText"/>
      </w:pPr>
      <w:r w:rsidRPr="00D9348B">
        <w:t>The Climate Change Response Act 2002 establishes the requirement for a registry and a registrar. The EPA is the designated agency responsible for the implementation and operation</w:t>
      </w:r>
      <w:r w:rsidR="00D97563" w:rsidRPr="00D9348B">
        <w:t> </w:t>
      </w:r>
      <w:r w:rsidRPr="00D9348B">
        <w:t>of New</w:t>
      </w:r>
      <w:r w:rsidR="00D97563" w:rsidRPr="00D9348B">
        <w:t xml:space="preserve"> </w:t>
      </w:r>
      <w:r w:rsidRPr="00D9348B">
        <w:t>Zealand’s national registry under the Kyoto Protocol, the New Zealand Emissions Trading Register. The registry is electronic and accessible via the internet (</w:t>
      </w:r>
      <w:hyperlink r:id="rId38" w:history="1">
        <w:r w:rsidRPr="00D9348B">
          <w:t>www.emissionsregister.govt.nz</w:t>
        </w:r>
      </w:hyperlink>
      <w:r w:rsidRPr="00D9348B">
        <w:t xml:space="preserve">). Information on the annual holdings and transactions of transferred and acquired units under the Kyoto Protocol is provided in the standard electronic format tables accompanying this submission. Refer to chapter 12 for further information. </w:t>
      </w:r>
    </w:p>
    <w:p w14:paraId="111E9E8C" w14:textId="34F8FFC9" w:rsidR="00643D10" w:rsidRPr="00D9348B" w:rsidRDefault="00643D10" w:rsidP="00643D10">
      <w:pPr>
        <w:pStyle w:val="BodyText"/>
      </w:pPr>
      <w:r w:rsidRPr="00D9348B">
        <w:t>The above arrangements are presented in figure 1.2.1, which shows the specific responsibilities of different agencies involved in the inventory production as well as their</w:t>
      </w:r>
      <w:r w:rsidR="00014419" w:rsidRPr="00D9348B">
        <w:t> </w:t>
      </w:r>
      <w:r w:rsidRPr="00D9348B">
        <w:t>contribution to the inventory submission.</w:t>
      </w:r>
    </w:p>
    <w:p w14:paraId="5EB50AD1" w14:textId="77777777" w:rsidR="00643D10" w:rsidRPr="00D9348B" w:rsidRDefault="00643D10" w:rsidP="00643D10">
      <w:pPr>
        <w:pStyle w:val="Figure"/>
      </w:pPr>
      <w:bookmarkStart w:id="148" w:name="_Toc447275653"/>
      <w:bookmarkStart w:id="149" w:name="_Toc511116917"/>
      <w:bookmarkStart w:id="150" w:name="_Toc5269650"/>
      <w:bookmarkStart w:id="151" w:name="_Toc36292753"/>
      <w:r w:rsidRPr="00D9348B">
        <w:lastRenderedPageBreak/>
        <w:t>Figure 1.2.1</w:t>
      </w:r>
      <w:r w:rsidRPr="00D9348B">
        <w:tab/>
        <w:t>New Zealand’s inventory system at a glance: how different agencies are involved</w:t>
      </w:r>
      <w:bookmarkEnd w:id="148"/>
      <w:bookmarkEnd w:id="149"/>
      <w:bookmarkEnd w:id="150"/>
      <w:bookmarkEnd w:id="151"/>
    </w:p>
    <w:bookmarkStart w:id="152" w:name="_MON_1612274322"/>
    <w:bookmarkEnd w:id="152"/>
    <w:p w14:paraId="626CE956" w14:textId="77777777" w:rsidR="00643D10" w:rsidRPr="00D9348B" w:rsidRDefault="00643D10" w:rsidP="00643D10">
      <w:pPr>
        <w:pStyle w:val="BodyText"/>
        <w:jc w:val="center"/>
      </w:pPr>
      <w:r w:rsidRPr="00D9348B">
        <w:object w:dxaOrig="10335" w:dyaOrig="10905" w14:anchorId="19C4EC0D">
          <v:shape id="_x0000_i1033" type="#_x0000_t75" style="width:394.45pt;height:418.85pt" o:ole="">
            <v:imagedata r:id="rId39" o:title=""/>
          </v:shape>
          <o:OLEObject Type="Embed" ProgID="Visio.Drawing.11" ShapeID="_x0000_i1033" DrawAspect="Content" ObjectID="_1647932309" r:id="rId40"/>
        </w:object>
      </w:r>
    </w:p>
    <w:p w14:paraId="07407A49" w14:textId="6E95BDF8" w:rsidR="00643D10" w:rsidRPr="00D9348B" w:rsidRDefault="00643D10" w:rsidP="00643D10">
      <w:pPr>
        <w:pStyle w:val="Noteundertable"/>
      </w:pPr>
      <w:r w:rsidRPr="00D9348B">
        <w:rPr>
          <w:b/>
        </w:rPr>
        <w:t>Note:</w:t>
      </w:r>
      <w:r w:rsidRPr="00D9348B">
        <w:t xml:space="preserve"> </w:t>
      </w:r>
      <w:r w:rsidRPr="00D9348B">
        <w:tab/>
        <w:t>AG = Agriculture; EN = Energy; EPA = Environmental Protection Authority; ETS = Emissions Trading Scheme; IPPU = Industrial Processes and Product Use; KP</w:t>
      </w:r>
      <w:r w:rsidRPr="00D9348B">
        <w:noBreakHyphen/>
        <w:t>LULUCF = Kyoto Protocol Land Use, Land-use Change and</w:t>
      </w:r>
      <w:r w:rsidR="00D97563" w:rsidRPr="00D9348B">
        <w:t> </w:t>
      </w:r>
      <w:r w:rsidRPr="00D9348B">
        <w:t>Forestry; LULUCF = Land Use, Land-use Change and Forestry; MBIE = Ministry of Business, Innovation and Employment; MFAT = Ministry of Foreign Affairs and Trade; MfE = Ministry for the Environment; MiCORE</w:t>
      </w:r>
      <w:r w:rsidR="00D97563" w:rsidRPr="00D9348B">
        <w:t> </w:t>
      </w:r>
      <w:r w:rsidRPr="00D9348B">
        <w:t>=</w:t>
      </w:r>
      <w:r w:rsidR="00D97563" w:rsidRPr="00D9348B">
        <w:t> </w:t>
      </w:r>
      <w:r w:rsidRPr="00D9348B">
        <w:t>Tokelau Ministry for Climate, Oceans and resilience; MPI = Ministry for Primary Industries; QC</w:t>
      </w:r>
      <w:r w:rsidR="00D97563" w:rsidRPr="00D9348B">
        <w:t> </w:t>
      </w:r>
      <w:r w:rsidRPr="00D9348B">
        <w:t>=</w:t>
      </w:r>
      <w:r w:rsidR="00D97563" w:rsidRPr="00D9348B">
        <w:t> </w:t>
      </w:r>
      <w:r w:rsidRPr="00D9348B">
        <w:t>quality control; StatsNZ = Statistics New Zealand.</w:t>
      </w:r>
    </w:p>
    <w:p w14:paraId="4FA00787" w14:textId="77777777" w:rsidR="00643D10" w:rsidRPr="00D9348B" w:rsidRDefault="00643D10" w:rsidP="00865BDB">
      <w:pPr>
        <w:pStyle w:val="Heading4"/>
      </w:pPr>
      <w:r w:rsidRPr="00D9348B">
        <w:lastRenderedPageBreak/>
        <w:t>Inventory planning and preparation</w:t>
      </w:r>
    </w:p>
    <w:p w14:paraId="494DAB0C" w14:textId="77777777" w:rsidR="00643D10" w:rsidRPr="00D9348B" w:rsidRDefault="00643D10" w:rsidP="00643D10">
      <w:pPr>
        <w:pStyle w:val="BodyText"/>
        <w:keepNext/>
      </w:pPr>
      <w:r w:rsidRPr="00D9348B">
        <w:t>A summary of the inventory planning and preparation process is presented in figure 1.2.2.</w:t>
      </w:r>
    </w:p>
    <w:p w14:paraId="43A7BF81" w14:textId="77777777" w:rsidR="00643D10" w:rsidRPr="00D9348B" w:rsidRDefault="00643D10" w:rsidP="00643D10">
      <w:pPr>
        <w:pStyle w:val="Figure"/>
      </w:pPr>
      <w:bookmarkStart w:id="153" w:name="_Toc447275654"/>
      <w:bookmarkStart w:id="154" w:name="_Toc511116918"/>
      <w:bookmarkStart w:id="155" w:name="_Toc5269651"/>
      <w:bookmarkStart w:id="156" w:name="_Toc36292754"/>
      <w:r w:rsidRPr="00D9348B">
        <w:t>Figure 1.2.2</w:t>
      </w:r>
      <w:r w:rsidRPr="00D9348B">
        <w:tab/>
        <w:t>Summary of New Zealand’s inventory planning and preparation</w:t>
      </w:r>
      <w:bookmarkEnd w:id="153"/>
      <w:bookmarkEnd w:id="154"/>
      <w:bookmarkEnd w:id="155"/>
      <w:bookmarkEnd w:id="156"/>
    </w:p>
    <w:p w14:paraId="156A9108" w14:textId="77777777" w:rsidR="00643D10" w:rsidRPr="00D9348B" w:rsidRDefault="00643D10" w:rsidP="00643D10">
      <w:pPr>
        <w:pStyle w:val="BodyText"/>
      </w:pPr>
      <w:r w:rsidRPr="00D9348B">
        <w:object w:dxaOrig="9551" w:dyaOrig="11540" w14:anchorId="32A07754">
          <v:shape id="_x0000_i1034" type="#_x0000_t75" style="width:395.7pt;height:473.95pt" o:ole="">
            <v:imagedata r:id="rId41" o:title="" cropbottom="875f"/>
          </v:shape>
          <o:OLEObject Type="Embed" ProgID="Visio.Drawing.11" ShapeID="_x0000_i1034" DrawAspect="Content" ObjectID="_1647932310" r:id="rId42"/>
        </w:object>
      </w:r>
    </w:p>
    <w:p w14:paraId="344A993A" w14:textId="77777777" w:rsidR="00643D10" w:rsidRPr="00D9348B" w:rsidRDefault="00643D10" w:rsidP="00643D10">
      <w:pPr>
        <w:pStyle w:val="Noteundertable"/>
      </w:pPr>
      <w:r w:rsidRPr="00D9348B">
        <w:rPr>
          <w:b/>
        </w:rPr>
        <w:t>Note:</w:t>
      </w:r>
      <w:r w:rsidRPr="00D9348B">
        <w:t xml:space="preserve"> </w:t>
      </w:r>
      <w:r w:rsidRPr="00D9348B">
        <w:tab/>
        <w:t xml:space="preserve">CRF = common reporting format; NIR = National Inventory Report; PR = peer review; </w:t>
      </w:r>
      <w:r w:rsidRPr="00D9348B">
        <w:br/>
        <w:t>QC = quality control.</w:t>
      </w:r>
    </w:p>
    <w:p w14:paraId="2CE51E30" w14:textId="77777777" w:rsidR="00643D10" w:rsidRPr="00D9348B" w:rsidRDefault="00643D10" w:rsidP="00865BDB">
      <w:pPr>
        <w:pStyle w:val="Heading5"/>
        <w:spacing w:before="160"/>
      </w:pPr>
      <w:r w:rsidRPr="00D9348B">
        <w:t>Inventory planning</w:t>
      </w:r>
    </w:p>
    <w:p w14:paraId="6CC3E24A" w14:textId="77777777" w:rsidR="00643D10" w:rsidRPr="00D9348B" w:rsidRDefault="00643D10" w:rsidP="00643D10">
      <w:pPr>
        <w:pStyle w:val="BodyText"/>
      </w:pPr>
      <w:r w:rsidRPr="00D9348B">
        <w:t xml:space="preserve">Inventory planning is a two-phase process. The first phase, intrinsic sectoral planning, involves planning for the inventory compilation at the sector level. This includes planning for technical projects, actions and procedures that are specific to each sector. The second phase, national compilation and publication planning, involves planning for the cross-sectoral compilation. </w:t>
      </w:r>
    </w:p>
    <w:p w14:paraId="31CD1C55" w14:textId="77777777" w:rsidR="00643D10" w:rsidRPr="00D9348B" w:rsidRDefault="00643D10" w:rsidP="00643D10">
      <w:pPr>
        <w:pStyle w:val="BodyText"/>
      </w:pPr>
      <w:r w:rsidRPr="00D9348B">
        <w:lastRenderedPageBreak/>
        <w:t>Once the intrinsic sectoral planning is complete, the plans are coordinated between the agencies and adjustments are made as necessary. This usually happens through a lessons learned workshop and a production planning workshop. The lessons learned workshop is dedicated to the analysis of what worked well and what did not in the previous inventory cycle. During the production planning workshop, the following are discussed and agreed:</w:t>
      </w:r>
    </w:p>
    <w:p w14:paraId="24C4AEA4" w14:textId="77777777" w:rsidR="00643D10" w:rsidRPr="00D9348B" w:rsidRDefault="00643D10" w:rsidP="00771A8F">
      <w:pPr>
        <w:pStyle w:val="Bullet"/>
        <w:numPr>
          <w:ilvl w:val="0"/>
          <w:numId w:val="20"/>
        </w:numPr>
      </w:pPr>
      <w:r w:rsidRPr="00D9348B">
        <w:t xml:space="preserve">inventory deliverables </w:t>
      </w:r>
    </w:p>
    <w:p w14:paraId="286C812D" w14:textId="77777777" w:rsidR="00643D10" w:rsidRPr="00D9348B" w:rsidRDefault="00643D10" w:rsidP="00771A8F">
      <w:pPr>
        <w:pStyle w:val="Bullet"/>
        <w:numPr>
          <w:ilvl w:val="0"/>
          <w:numId w:val="20"/>
        </w:numPr>
      </w:pPr>
      <w:r w:rsidRPr="00D9348B">
        <w:t>QC deliverables</w:t>
      </w:r>
    </w:p>
    <w:p w14:paraId="65A46CA5" w14:textId="77777777" w:rsidR="00643D10" w:rsidRPr="00D9348B" w:rsidRDefault="00643D10" w:rsidP="00771A8F">
      <w:pPr>
        <w:pStyle w:val="Bullet"/>
        <w:numPr>
          <w:ilvl w:val="0"/>
          <w:numId w:val="20"/>
        </w:numPr>
      </w:pPr>
      <w:r w:rsidRPr="00D9348B">
        <w:t>schedule of major milestones</w:t>
      </w:r>
    </w:p>
    <w:p w14:paraId="6FE8D2DA" w14:textId="77777777" w:rsidR="00643D10" w:rsidRPr="00D9348B" w:rsidRDefault="00643D10" w:rsidP="00771A8F">
      <w:pPr>
        <w:pStyle w:val="Bullet"/>
        <w:numPr>
          <w:ilvl w:val="0"/>
          <w:numId w:val="20"/>
        </w:numPr>
      </w:pPr>
      <w:r w:rsidRPr="00D9348B">
        <w:t>changes to chapter structure</w:t>
      </w:r>
    </w:p>
    <w:p w14:paraId="51EDD806" w14:textId="77777777" w:rsidR="00643D10" w:rsidRPr="00D9348B" w:rsidRDefault="00643D10" w:rsidP="00771A8F">
      <w:pPr>
        <w:pStyle w:val="Bullet"/>
        <w:numPr>
          <w:ilvl w:val="0"/>
          <w:numId w:val="20"/>
        </w:numPr>
      </w:pPr>
      <w:proofErr w:type="gramStart"/>
      <w:r w:rsidRPr="00D9348B">
        <w:t>approach</w:t>
      </w:r>
      <w:proofErr w:type="gramEnd"/>
      <w:r w:rsidRPr="00D9348B">
        <w:t xml:space="preserve"> for solving problems during inventory preparation. </w:t>
      </w:r>
    </w:p>
    <w:p w14:paraId="2C854E80" w14:textId="4DBF895C" w:rsidR="00643D10" w:rsidRPr="00D9348B" w:rsidRDefault="00643D10" w:rsidP="00643D10">
      <w:pPr>
        <w:pStyle w:val="BodyText"/>
      </w:pPr>
      <w:r w:rsidRPr="00D9348B">
        <w:t>The second phase of the inventory planning, the national compilation and publication planning workshop, is dedicated to cross-sectoral compilation. The workshop occurs towards the end of</w:t>
      </w:r>
      <w:r w:rsidR="00D97563" w:rsidRPr="00D9348B">
        <w:t> </w:t>
      </w:r>
      <w:r w:rsidRPr="00D9348B">
        <w:t>each calendar year. During this workshop, different aspects of the compilation process are discussed and a detailed plan for the cross-sectoral compilation and publication is agreed. Participants in the workshop include MfE’s publication and public liaison teams as well as the inter-agency inventory production team. During the national compilation and publication planning workshop, the following are discussed and agreed:</w:t>
      </w:r>
    </w:p>
    <w:p w14:paraId="112142B2" w14:textId="77777777" w:rsidR="00643D10" w:rsidRPr="00D9348B" w:rsidRDefault="00643D10" w:rsidP="00771A8F">
      <w:pPr>
        <w:pStyle w:val="Bullet"/>
        <w:numPr>
          <w:ilvl w:val="0"/>
          <w:numId w:val="20"/>
        </w:numPr>
      </w:pPr>
      <w:r w:rsidRPr="00D9348B">
        <w:t>national compilation timeline</w:t>
      </w:r>
    </w:p>
    <w:p w14:paraId="44085100" w14:textId="77777777" w:rsidR="00643D10" w:rsidRPr="00D9348B" w:rsidRDefault="00643D10" w:rsidP="00771A8F">
      <w:pPr>
        <w:pStyle w:val="Bullet"/>
        <w:numPr>
          <w:ilvl w:val="0"/>
          <w:numId w:val="20"/>
        </w:numPr>
      </w:pPr>
      <w:r w:rsidRPr="00D9348B">
        <w:t>publication timeline</w:t>
      </w:r>
    </w:p>
    <w:p w14:paraId="0E183888" w14:textId="77777777" w:rsidR="00643D10" w:rsidRPr="00D9348B" w:rsidRDefault="00643D10" w:rsidP="00771A8F">
      <w:pPr>
        <w:pStyle w:val="Bullet"/>
        <w:numPr>
          <w:ilvl w:val="0"/>
          <w:numId w:val="20"/>
        </w:numPr>
      </w:pPr>
      <w:proofErr w:type="gramStart"/>
      <w:r w:rsidRPr="00D9348B">
        <w:t>public</w:t>
      </w:r>
      <w:proofErr w:type="gramEnd"/>
      <w:r w:rsidRPr="00D9348B">
        <w:t xml:space="preserve"> relations timeline.</w:t>
      </w:r>
    </w:p>
    <w:p w14:paraId="523D707A" w14:textId="77777777" w:rsidR="00643D10" w:rsidRPr="00D9348B" w:rsidRDefault="00643D10" w:rsidP="00643D10">
      <w:pPr>
        <w:pStyle w:val="BodyText"/>
      </w:pPr>
      <w:r w:rsidRPr="00D9348B">
        <w:t>Lessons learned are also considered in developing the plan.</w:t>
      </w:r>
    </w:p>
    <w:p w14:paraId="1A10E592" w14:textId="3F5F3D98" w:rsidR="00643D10" w:rsidRPr="00D9348B" w:rsidRDefault="00643D10" w:rsidP="00643D10">
      <w:pPr>
        <w:pStyle w:val="BodyText"/>
      </w:pPr>
      <w:r w:rsidRPr="00D9348B">
        <w:t>The second phase of the inventory planning also includes a workshop dedicated to key messages for the inventory, which is an integral part of the cross-sectoral compilation. The workshop’s output is the set of key inventory messages agreed between the sector leads, national inventory compiler and primary peer reviewers. The key messages are used for both</w:t>
      </w:r>
      <w:r w:rsidR="003D5797" w:rsidRPr="00D9348B">
        <w:t> </w:t>
      </w:r>
      <w:r w:rsidRPr="00D9348B">
        <w:t>the National Inventory Report and the inventory Snapshot, which presents a brief description of the inventory findings.</w:t>
      </w:r>
    </w:p>
    <w:p w14:paraId="1543BF13" w14:textId="77777777" w:rsidR="00643D10" w:rsidRPr="00D9348B" w:rsidRDefault="00643D10" w:rsidP="00643D10">
      <w:pPr>
        <w:pStyle w:val="BodyText"/>
      </w:pPr>
      <w:r w:rsidRPr="00D9348B">
        <w:t>The inventory planning process for Tokelau is governed by the MoU between New Zealand and Tokelau. Further information is provided in chapter 8.</w:t>
      </w:r>
    </w:p>
    <w:p w14:paraId="6305F5BF" w14:textId="77777777" w:rsidR="00643D10" w:rsidRPr="00D9348B" w:rsidRDefault="00643D10" w:rsidP="00865BDB">
      <w:pPr>
        <w:pStyle w:val="Heading5"/>
        <w:spacing w:before="160"/>
      </w:pPr>
      <w:r w:rsidRPr="00D9348B">
        <w:t>Inventory preparation</w:t>
      </w:r>
    </w:p>
    <w:p w14:paraId="76B182EA" w14:textId="77777777" w:rsidR="00643D10" w:rsidRPr="00D9348B" w:rsidRDefault="00643D10" w:rsidP="00643D10">
      <w:pPr>
        <w:pStyle w:val="BodyText"/>
      </w:pPr>
      <w:r w:rsidRPr="00D9348B">
        <w:t xml:space="preserve">The inventory preparation cycle has three phases: data collection and preliminary processing, final data processing and chapter preparation, and the national inventory compilation. </w:t>
      </w:r>
    </w:p>
    <w:p w14:paraId="12F845BE" w14:textId="77777777" w:rsidR="00643D10" w:rsidRPr="00D9348B" w:rsidRDefault="00643D10" w:rsidP="00643D10">
      <w:pPr>
        <w:pStyle w:val="BodyText"/>
      </w:pPr>
      <w:r w:rsidRPr="00D9348B">
        <w:t xml:space="preserve">The first phase, data collection and preliminary processing (June–October), includes data cleansing, data checks and preliminary formatting of data for further use. This phase may also include analysing potential improvements and related recalculations involved in the inventory. </w:t>
      </w:r>
    </w:p>
    <w:p w14:paraId="599851E1" w14:textId="77777777" w:rsidR="00643D10" w:rsidRPr="00D9348B" w:rsidRDefault="00643D10" w:rsidP="00643D10">
      <w:pPr>
        <w:pStyle w:val="BodyText"/>
      </w:pPr>
      <w:r w:rsidRPr="00D9348B">
        <w:t xml:space="preserve">The second phase of the inventory preparation (October–January) includes final data processing and drafting of chapters. During this phase, emissions estimates are finalised, final data quality control and verification are performed, data are loaded into the CRF Reporter and sectoral chapters are updated, reviewed and approved. </w:t>
      </w:r>
    </w:p>
    <w:p w14:paraId="438A05FF" w14:textId="77777777" w:rsidR="00643D10" w:rsidRPr="00D9348B" w:rsidRDefault="00643D10" w:rsidP="00643D10">
      <w:pPr>
        <w:pStyle w:val="BodyText"/>
      </w:pPr>
      <w:r w:rsidRPr="00D9348B">
        <w:lastRenderedPageBreak/>
        <w:t xml:space="preserve">The final phase of the inventory preparation (February–April) includes cross-sectoral analyses, national inventory compilation and publication, as well as producing supplementary materials for the Minister for Climate Change and the general public. </w:t>
      </w:r>
    </w:p>
    <w:p w14:paraId="2114D8A3" w14:textId="77777777" w:rsidR="00643D10" w:rsidRPr="00D9348B" w:rsidRDefault="00643D10" w:rsidP="00643D10">
      <w:pPr>
        <w:pStyle w:val="BodyText"/>
      </w:pPr>
      <w:r w:rsidRPr="00D9348B">
        <w:t>Tokelau follows the same inventory preparation cycle. The inventory data from Tokelau are finalised in November and generally undergo the same processes as the rest of the inventory.</w:t>
      </w:r>
    </w:p>
    <w:p w14:paraId="37C7A641" w14:textId="77777777" w:rsidR="00643D10" w:rsidRPr="00D9348B" w:rsidRDefault="00643D10" w:rsidP="00643D10">
      <w:pPr>
        <w:pStyle w:val="BodyText"/>
      </w:pPr>
      <w:r w:rsidRPr="00D9348B">
        <w:t xml:space="preserve">During the inventory planning and preparation cycles, the National Inventory Compiler has regular meetings with sector leads and experts to ensure that all issues are addressed and the production process goes as planned. The inventory QC Manager also has regular meetings with sector leads to monitor QC processes and procedures that are in place to ensure the quality of the final product meets the Convention standards and the QC deliverables are produced according to the agreed plan. Both the National Inventory Compiler and the QC Manager provide technical support and advice to the sector leads when required. </w:t>
      </w:r>
    </w:p>
    <w:p w14:paraId="0141D892" w14:textId="77777777" w:rsidR="00643D10" w:rsidRPr="00D9348B" w:rsidRDefault="00643D10" w:rsidP="00865BDB">
      <w:pPr>
        <w:pStyle w:val="Heading3"/>
        <w:spacing w:before="280"/>
      </w:pPr>
      <w:r w:rsidRPr="00D9348B">
        <w:t xml:space="preserve">1.2.3 </w:t>
      </w:r>
      <w:r w:rsidRPr="00D9348B">
        <w:tab/>
        <w:t>Quality assurance and quality control and verification plan</w:t>
      </w:r>
    </w:p>
    <w:p w14:paraId="561DFB0E" w14:textId="77777777" w:rsidR="00643D10" w:rsidRPr="00D9348B" w:rsidRDefault="00643D10" w:rsidP="00643D10">
      <w:pPr>
        <w:pStyle w:val="BodyText"/>
        <w:rPr>
          <w:spacing w:val="-2"/>
        </w:rPr>
      </w:pPr>
      <w:r w:rsidRPr="00D9348B">
        <w:rPr>
          <w:spacing w:val="-2"/>
        </w:rPr>
        <w:t>Quality assurance and quality control are integral parts of preparing New Zealand’s inventory. MfE developed a QA/QC plan in 2004, as required by the reporting guidelines under the Convention (UNFCCC, 2006, 2013b) to formalise, document and archive the QA/QC procedures. This plan has been updated as the automatic QC tools have been developed and the approach to the final CRF data approvals has been modified. Details of the QA/QC activities performed during the compilation of the 2019 submission are discussed in the relevant sections below. Examples of QC checks are provided in the Excel spreadsheets accompanying this submission.</w:t>
      </w:r>
    </w:p>
    <w:p w14:paraId="573533C2" w14:textId="77777777" w:rsidR="00643D10" w:rsidRPr="00D9348B" w:rsidRDefault="00643D10" w:rsidP="00865BDB">
      <w:pPr>
        <w:pStyle w:val="Heading4"/>
        <w:spacing w:before="200"/>
      </w:pPr>
      <w:r w:rsidRPr="00D9348B">
        <w:t>Quality control</w:t>
      </w:r>
    </w:p>
    <w:p w14:paraId="2F0F7F75" w14:textId="77777777" w:rsidR="00643D10" w:rsidRPr="00D9348B" w:rsidRDefault="00643D10" w:rsidP="00643D10">
      <w:pPr>
        <w:pStyle w:val="BodyText"/>
      </w:pPr>
      <w:r w:rsidRPr="00D9348B">
        <w:t xml:space="preserve">The focus of New Zealand’s QC plan is to meet the transparency, accuracy, completeness, consistency, and comparability (TACCC) principles while ensuring efficient use of resources, and to mitigate QC-related risks in the inventory planning and preparation process. </w:t>
      </w:r>
    </w:p>
    <w:p w14:paraId="00996727" w14:textId="77777777" w:rsidR="00643D10" w:rsidRPr="00D9348B" w:rsidRDefault="00643D10" w:rsidP="00643D10">
      <w:pPr>
        <w:pStyle w:val="BodyText"/>
      </w:pPr>
      <w:r w:rsidRPr="00D9348B">
        <w:t>The main elements of the QA/QC plan include:</w:t>
      </w:r>
    </w:p>
    <w:p w14:paraId="1816E6C3" w14:textId="77777777" w:rsidR="00643D10" w:rsidRPr="00D9348B" w:rsidRDefault="00643D10" w:rsidP="00771A8F">
      <w:pPr>
        <w:pStyle w:val="Bullet"/>
        <w:numPr>
          <w:ilvl w:val="0"/>
          <w:numId w:val="20"/>
        </w:numPr>
      </w:pPr>
      <w:r w:rsidRPr="00D9348B">
        <w:t>revising the QC deliverables to ensure they are fit for purpose, well-supported with relevant templates, and adapted to the changes in the inventory software tools</w:t>
      </w:r>
    </w:p>
    <w:p w14:paraId="419F8508" w14:textId="77777777" w:rsidR="00643D10" w:rsidRPr="00D9348B" w:rsidRDefault="00643D10" w:rsidP="00771A8F">
      <w:pPr>
        <w:pStyle w:val="Bullet"/>
        <w:numPr>
          <w:ilvl w:val="0"/>
          <w:numId w:val="20"/>
        </w:numPr>
      </w:pPr>
      <w:r w:rsidRPr="00D9348B">
        <w:t>reinforcing the error-checking process by providing dedicated personnel and support to the sector leads</w:t>
      </w:r>
    </w:p>
    <w:p w14:paraId="1FBF601C" w14:textId="77777777" w:rsidR="00643D10" w:rsidRPr="00D9348B" w:rsidRDefault="00643D10" w:rsidP="00771A8F">
      <w:pPr>
        <w:pStyle w:val="Bullet"/>
        <w:numPr>
          <w:ilvl w:val="0"/>
          <w:numId w:val="20"/>
        </w:numPr>
      </w:pPr>
      <w:r w:rsidRPr="00D9348B">
        <w:t>applying automated inventory tools, where available, to minimise the number of errors during data transfers</w:t>
      </w:r>
    </w:p>
    <w:p w14:paraId="0BD6C607" w14:textId="77777777" w:rsidR="00643D10" w:rsidRPr="00D9348B" w:rsidRDefault="00643D10" w:rsidP="00771A8F">
      <w:pPr>
        <w:pStyle w:val="Bullet"/>
        <w:numPr>
          <w:ilvl w:val="0"/>
          <w:numId w:val="20"/>
        </w:numPr>
      </w:pPr>
      <w:r w:rsidRPr="00D9348B">
        <w:t>adjusting QC tools to accommodate any changes in the CRF Reporter software that happened since the previous submission</w:t>
      </w:r>
    </w:p>
    <w:p w14:paraId="4977A254" w14:textId="77777777" w:rsidR="00643D10" w:rsidRPr="00D9348B" w:rsidRDefault="00643D10" w:rsidP="00771A8F">
      <w:pPr>
        <w:pStyle w:val="Bullet"/>
        <w:numPr>
          <w:ilvl w:val="0"/>
          <w:numId w:val="20"/>
        </w:numPr>
      </w:pPr>
      <w:r w:rsidRPr="00D9348B">
        <w:t>performing CRF data integrity checks and adhering to the reporting guidelines once data compilation in each sector is complete</w:t>
      </w:r>
    </w:p>
    <w:p w14:paraId="0D9B5BAB" w14:textId="77777777" w:rsidR="00643D10" w:rsidRPr="00D9348B" w:rsidRDefault="00643D10" w:rsidP="00771A8F">
      <w:pPr>
        <w:pStyle w:val="Bullet"/>
        <w:numPr>
          <w:ilvl w:val="0"/>
          <w:numId w:val="20"/>
        </w:numPr>
      </w:pPr>
      <w:proofErr w:type="gramStart"/>
      <w:r w:rsidRPr="00D9348B">
        <w:t>ensuring</w:t>
      </w:r>
      <w:proofErr w:type="gramEnd"/>
      <w:r w:rsidRPr="00D9348B">
        <w:t xml:space="preserve"> the chapters in the inventory and their structure demonstrate transparency of the methods and incorporate suggestions from previous inventory reviews.</w:t>
      </w:r>
    </w:p>
    <w:p w14:paraId="1C1858DC" w14:textId="13D6C6EE" w:rsidR="00643D10" w:rsidRPr="00D9348B" w:rsidRDefault="00643D10" w:rsidP="00643D10">
      <w:pPr>
        <w:pStyle w:val="BodyText"/>
      </w:pPr>
      <w:r w:rsidRPr="00D9348B">
        <w:t>Completion of the IPCC 2006 Tier 1 QC check sheets for each sector is the responsibility of the</w:t>
      </w:r>
      <w:r w:rsidR="00865BDB" w:rsidRPr="00D9348B">
        <w:t> </w:t>
      </w:r>
      <w:r w:rsidRPr="00D9348B">
        <w:t>sector leads. The Tier 1 checks are in line with the 2006 IPCC Guidelines (IPCC, 2006b). Wherever possible, manual checking has been replaced by, or supplemented with, automated</w:t>
      </w:r>
      <w:r w:rsidR="00865BDB" w:rsidRPr="00D9348B">
        <w:t> </w:t>
      </w:r>
      <w:r w:rsidRPr="00D9348B">
        <w:t xml:space="preserve">checks. </w:t>
      </w:r>
    </w:p>
    <w:p w14:paraId="6D15AA10" w14:textId="77777777" w:rsidR="00643D10" w:rsidRPr="00D9348B" w:rsidRDefault="00643D10" w:rsidP="00643D10">
      <w:pPr>
        <w:pStyle w:val="BodyText"/>
      </w:pPr>
      <w:r w:rsidRPr="00D9348B">
        <w:lastRenderedPageBreak/>
        <w:t>The sectoral contributions to the inventory and Tier 1 QC checks were signed off by the responsible agency before final approval of the inventory and submission to the UNFCCC.</w:t>
      </w:r>
      <w:r w:rsidRPr="00D9348B" w:rsidDel="000B7D87">
        <w:t xml:space="preserve"> </w:t>
      </w:r>
    </w:p>
    <w:p w14:paraId="732A2637" w14:textId="77777777" w:rsidR="00643D10" w:rsidRPr="00D9348B" w:rsidRDefault="00643D10" w:rsidP="00643D10">
      <w:pPr>
        <w:pStyle w:val="BodyText"/>
        <w:spacing w:after="100"/>
      </w:pPr>
      <w:r w:rsidRPr="00D9348B">
        <w:t>MfE used the QC checking procedures included in the CRF Reporter to ensure the data submitted to the UNFCCC secretariat are complete. In addition, data in the CRF tables were also checked for anomalies, errors and omissions.</w:t>
      </w:r>
    </w:p>
    <w:p w14:paraId="3308F64E" w14:textId="77777777" w:rsidR="00643D10" w:rsidRPr="00D9348B" w:rsidRDefault="00643D10" w:rsidP="00643D10">
      <w:pPr>
        <w:pStyle w:val="BodyText"/>
        <w:spacing w:after="100"/>
      </w:pPr>
      <w:r w:rsidRPr="00D9348B">
        <w:t>After the CRF data were compiled in each inventory sector, MfE personnel reviewed the CRF data for each sector and category for data integrity and time-series consistency prior to sector finalisation. This is to ensure that the CRF does not contain blank entries in the reported categories, and all instances of using the ‘IE’ (included elsewhere) and ‘NE’ (not estimated) notation keys for GHG emissions, as well as large variations in the implied emission factors, have been explained. The results of these checks were provided to the sector leads to make any corrections and to include the relevant references and explanations, if required, in order to finalise the CRF data for each inventory sector. The finalised sector-level data were entered into the web-based CRF database by sector compilers by 7 February 2020.</w:t>
      </w:r>
    </w:p>
    <w:p w14:paraId="79DDDE95" w14:textId="77777777" w:rsidR="00643D10" w:rsidRPr="00D9348B" w:rsidRDefault="00643D10" w:rsidP="00643D10">
      <w:pPr>
        <w:pStyle w:val="BodyText"/>
        <w:spacing w:after="100"/>
      </w:pPr>
      <w:r w:rsidRPr="00D9348B">
        <w:t>The Energy and Agriculture activity data provided by Statistics New Zealand are official national statistics and, as such, are subject to their own rigorous QA/QC procedures. Human and animal population statistics provided by Statistics New Zealand were also used for estimating emissions from the Waste sector.</w:t>
      </w:r>
    </w:p>
    <w:p w14:paraId="4FB0E893" w14:textId="77777777" w:rsidR="00643D10" w:rsidRPr="00D9348B" w:rsidRDefault="00643D10" w:rsidP="00643D10">
      <w:pPr>
        <w:pStyle w:val="BodyText"/>
        <w:spacing w:after="100"/>
      </w:pPr>
      <w:r w:rsidRPr="00D9348B">
        <w:t>Tokelau’s inventory data undergo QC processes at the Tokelau National Statistics Office, in consultation with the relevant sector leads, national QC Manager and the National Inventory Compiler in New Zealand. The Tokelau sector in the CRF undergoes the same CRF data integrity checks as other inventory sectors.</w:t>
      </w:r>
    </w:p>
    <w:p w14:paraId="50D71F5A" w14:textId="77777777" w:rsidR="00643D10" w:rsidRPr="00D9348B" w:rsidRDefault="00643D10" w:rsidP="00643D10">
      <w:pPr>
        <w:pStyle w:val="BodyText"/>
      </w:pPr>
      <w:r w:rsidRPr="00D9348B">
        <w:t>Annex 6 contains details of the QA/QC processes applied during the preparation of the inventory.</w:t>
      </w:r>
    </w:p>
    <w:p w14:paraId="67DA9244" w14:textId="77777777" w:rsidR="00643D10" w:rsidRPr="00D9348B" w:rsidRDefault="00643D10" w:rsidP="00865BDB">
      <w:pPr>
        <w:pStyle w:val="Heading4"/>
        <w:spacing w:before="200"/>
      </w:pPr>
      <w:r w:rsidRPr="00D9348B">
        <w:t>Quality assurance</w:t>
      </w:r>
    </w:p>
    <w:p w14:paraId="472A1AFC" w14:textId="77777777" w:rsidR="00643D10" w:rsidRPr="00D9348B" w:rsidRDefault="00643D10" w:rsidP="00643D10">
      <w:pPr>
        <w:pStyle w:val="BodyText"/>
      </w:pPr>
      <w:r w:rsidRPr="00D9348B">
        <w:t xml:space="preserve">New Zealand’s QA system includes prioritisation of improvements, processes around accepting improvements into the inventory, in-depth review of sector inventories or their components every 5 to 10 years, and improving the expertise of key contributors to the inventory. The government audit agency (Audit New Zealand) makes annual audits of the inventory performance. New Zealand also considers the international inventory reviews performed by the expert review teams under the UNFCCC as an important element of quality assurance. Regular meetings to discuss the progress of QA/QC activities and relevant issues with each sector lead are in place. The main aspects of quality assurance are explained in detail below. </w:t>
      </w:r>
    </w:p>
    <w:p w14:paraId="355A1F0C" w14:textId="77777777" w:rsidR="00643D10" w:rsidRPr="00D9348B" w:rsidRDefault="00643D10" w:rsidP="00643D10">
      <w:pPr>
        <w:pStyle w:val="BodyText"/>
      </w:pPr>
      <w:r w:rsidRPr="00D9348B">
        <w:t xml:space="preserve">All sector leads are encouraged to schedule QA audits of their systems at least every five years. The Energy sector leads had a discussion of sectoral issues with the Danish inventory team during bilateral meetings in 2017 dedicated to different aspects of the Energy sectoral inventory, specifically data sources, data collection, verification processes; using the New Zealand Emissions Trading Scheme (NZ ETS) data for higher tier methods in the Energy sector; applying higher tier methods for road transport; disaggregation of non-road liquid fuel use; and fugitive emissions from fuels. </w:t>
      </w:r>
    </w:p>
    <w:p w14:paraId="5D65DF9B" w14:textId="4F36C24C" w:rsidR="00643D10" w:rsidRPr="00D9348B" w:rsidRDefault="00643D10" w:rsidP="00643D10">
      <w:pPr>
        <w:pStyle w:val="BodyText"/>
      </w:pPr>
      <w:r w:rsidRPr="00D9348B">
        <w:t xml:space="preserve">The Agriculture sector completed a major QA review of its calculation models with an external party in 2013. Since then, there has also been other QA activities for agriculture, including a bilateral review with Australia in 2014, and an external review of equations used to determine </w:t>
      </w:r>
      <w:r w:rsidR="00E87F19" w:rsidRPr="00D9348B">
        <w:t>metabolisable</w:t>
      </w:r>
      <w:r w:rsidRPr="00D9348B">
        <w:t xml:space="preserve"> energy requirements in 2016. In 2019, an external consultant was contracted to </w:t>
      </w:r>
      <w:r w:rsidRPr="00D9348B">
        <w:lastRenderedPageBreak/>
        <w:t xml:space="preserve">review and develop a QA plan for the Energy sector. The recommendations from that project are currently being implemented. For more information, see chapter 5, section 5.1.6, of the 2020 inventory submission). </w:t>
      </w:r>
    </w:p>
    <w:p w14:paraId="28402BC1" w14:textId="77777777" w:rsidR="00643D10" w:rsidRPr="00D9348B" w:rsidRDefault="00643D10" w:rsidP="00865BDB">
      <w:pPr>
        <w:pStyle w:val="Heading5"/>
        <w:spacing w:before="160"/>
      </w:pPr>
      <w:r w:rsidRPr="00D9348B">
        <w:t xml:space="preserve">Prioritisation of improvements </w:t>
      </w:r>
    </w:p>
    <w:p w14:paraId="40DB5AEA" w14:textId="77777777" w:rsidR="00643D10" w:rsidRPr="00D9348B" w:rsidRDefault="00643D10" w:rsidP="00643D10">
      <w:pPr>
        <w:pStyle w:val="BodyText"/>
      </w:pPr>
      <w:r w:rsidRPr="00D9348B">
        <w:t>Priorities for the development of the inventory are guided by:</w:t>
      </w:r>
    </w:p>
    <w:p w14:paraId="3A3B87A5" w14:textId="77777777" w:rsidR="00643D10" w:rsidRPr="00D9348B" w:rsidRDefault="00643D10" w:rsidP="00771A8F">
      <w:pPr>
        <w:pStyle w:val="Bullet"/>
        <w:numPr>
          <w:ilvl w:val="0"/>
          <w:numId w:val="20"/>
        </w:numPr>
      </w:pPr>
      <w:r w:rsidRPr="00D9348B">
        <w:t xml:space="preserve">the analysis of key categories (level and trend) </w:t>
      </w:r>
    </w:p>
    <w:p w14:paraId="18CF871B" w14:textId="77777777" w:rsidR="00643D10" w:rsidRPr="00D9348B" w:rsidRDefault="00643D10" w:rsidP="00771A8F">
      <w:pPr>
        <w:pStyle w:val="Bullet"/>
        <w:numPr>
          <w:ilvl w:val="0"/>
          <w:numId w:val="20"/>
        </w:numPr>
      </w:pPr>
      <w:r w:rsidRPr="00D9348B">
        <w:t xml:space="preserve">the degree of improvement to be achieved for existing emission and removal estimates </w:t>
      </w:r>
    </w:p>
    <w:p w14:paraId="6C7ED931" w14:textId="77777777" w:rsidR="00643D10" w:rsidRPr="00D9348B" w:rsidRDefault="00643D10" w:rsidP="00771A8F">
      <w:pPr>
        <w:pStyle w:val="Bullet"/>
        <w:numPr>
          <w:ilvl w:val="0"/>
          <w:numId w:val="20"/>
        </w:numPr>
      </w:pPr>
      <w:r w:rsidRPr="00D9348B">
        <w:t xml:space="preserve">the availability of resources required to implement the change </w:t>
      </w:r>
    </w:p>
    <w:p w14:paraId="595F2A74" w14:textId="77777777" w:rsidR="00643D10" w:rsidRPr="00D9348B" w:rsidRDefault="00643D10" w:rsidP="00771A8F">
      <w:pPr>
        <w:pStyle w:val="Bullet"/>
        <w:numPr>
          <w:ilvl w:val="0"/>
          <w:numId w:val="20"/>
        </w:numPr>
      </w:pPr>
      <w:proofErr w:type="gramStart"/>
      <w:r w:rsidRPr="00D9348B">
        <w:t>recommendations</w:t>
      </w:r>
      <w:proofErr w:type="gramEnd"/>
      <w:r w:rsidRPr="00D9348B">
        <w:t xml:space="preserve"> from previous international reviews of the inventory. </w:t>
      </w:r>
    </w:p>
    <w:p w14:paraId="32EC9582" w14:textId="77777777" w:rsidR="00643D10" w:rsidRPr="00D9348B" w:rsidRDefault="00643D10" w:rsidP="00643D10">
      <w:pPr>
        <w:pStyle w:val="BodyText"/>
      </w:pPr>
      <w:r w:rsidRPr="00D9348B">
        <w:t xml:space="preserve">Uncertainties are also considered in prioritising improvements. For example, if a change in a methodological approach may lead to a significant increase of uncertainty of the estimates, then the proposed change may be rejected on the basis of an undesired increase in uncertainty. Otherwise, if the proposed improvement is not expected to affect the uncertainty significantly or will result in uncertainty reduction, then the change is likely to be accepted. The inventory improvement and QA and QC plans are updated annually to reflect current and future development of the inventory. </w:t>
      </w:r>
    </w:p>
    <w:p w14:paraId="39306F3F" w14:textId="77777777" w:rsidR="00643D10" w:rsidRPr="00D9348B" w:rsidRDefault="00643D10" w:rsidP="00865BDB">
      <w:pPr>
        <w:pStyle w:val="Heading5"/>
        <w:spacing w:before="160"/>
      </w:pPr>
      <w:r w:rsidRPr="00D9348B">
        <w:t>Acceptance of improvements and recalculations</w:t>
      </w:r>
    </w:p>
    <w:p w14:paraId="1228A79F" w14:textId="77777777" w:rsidR="00643D10" w:rsidRPr="00D9348B" w:rsidRDefault="00643D10" w:rsidP="00643D10">
      <w:pPr>
        <w:pStyle w:val="BodyText"/>
      </w:pPr>
      <w:r w:rsidRPr="00D9348B">
        <w:t xml:space="preserve">All improvements in the inventory undergo peer review by an independent expert or a group of experts. The change will be included in the inventory only if the peer reviewer concludes that the change is consistent with IPCC good practice. </w:t>
      </w:r>
    </w:p>
    <w:p w14:paraId="3CB3292C" w14:textId="77777777" w:rsidR="00643D10" w:rsidRPr="00D9348B" w:rsidRDefault="00643D10" w:rsidP="00643D10">
      <w:pPr>
        <w:pStyle w:val="BodyText"/>
      </w:pPr>
      <w:r w:rsidRPr="00D9348B">
        <w:t>Given the significance of the Agriculture sector to New Zealand’s emissions, government established the independent Agriculture Inventory Advisory Panel to assess whether proposed improvements and recalculations in the sector are scientifically robust enough to be included in the inventory. Reports and/or papers on proposed changes must be peer-reviewed before they are presented to this panel of experts. The Panel then advises MPI of its recommendations. Refer to chapter 5, section 5.1.5, for further details.</w:t>
      </w:r>
    </w:p>
    <w:p w14:paraId="403F4F7B" w14:textId="77777777" w:rsidR="00643D10" w:rsidRPr="00D9348B" w:rsidRDefault="00643D10" w:rsidP="00643D10">
      <w:pPr>
        <w:pStyle w:val="BodyText"/>
      </w:pPr>
      <w:r w:rsidRPr="00D9348B">
        <w:t>All recalculations and improvements to the inventory require the approval of the Reporting Governance Group. The recalculations need to be sufficiently explained in terms of improving one or more of the IPCC good practice principles. If due to recalculations, emissions from the recalculated category exceed 500 kilotonnes carbon dioxide equivalent (kt CO</w:t>
      </w:r>
      <w:r w:rsidRPr="00D9348B">
        <w:rPr>
          <w:vertAlign w:val="subscript"/>
        </w:rPr>
        <w:t>2</w:t>
      </w:r>
      <w:r w:rsidRPr="00D9348B">
        <w:t xml:space="preserve">-e), the results and reasons for the recalculations are recorded in the Recalculation form. The recalculations and explanations are documented and archived for future reference. </w:t>
      </w:r>
    </w:p>
    <w:p w14:paraId="57D8FAFF" w14:textId="77777777" w:rsidR="00643D10" w:rsidRPr="00D9348B" w:rsidRDefault="00643D10" w:rsidP="00865BDB">
      <w:pPr>
        <w:pStyle w:val="Heading4"/>
        <w:spacing w:before="160"/>
      </w:pPr>
      <w:r w:rsidRPr="00D9348B">
        <w:t>Verification activities</w:t>
      </w:r>
    </w:p>
    <w:p w14:paraId="3A21F642" w14:textId="51DF519C" w:rsidR="00643D10" w:rsidRPr="00D9348B" w:rsidRDefault="00643D10" w:rsidP="00643D10">
      <w:pPr>
        <w:pStyle w:val="BodyText"/>
      </w:pPr>
      <w:r w:rsidRPr="00D9348B">
        <w:t>Where relevant, further verification activities carried out for a sector are discussed in the</w:t>
      </w:r>
      <w:r w:rsidR="00865BDB" w:rsidRPr="00D9348B">
        <w:t xml:space="preserve"> </w:t>
      </w:r>
      <w:r w:rsidRPr="00D9348B">
        <w:t>sector-specific sections of this report. Section 1.9.2 provides information about the verification method that has become available for the inventory by using data from the NZ ETS.</w:t>
      </w:r>
    </w:p>
    <w:p w14:paraId="43F111DA" w14:textId="77777777" w:rsidR="00643D10" w:rsidRPr="00D9348B" w:rsidRDefault="00643D10" w:rsidP="00643D10">
      <w:pPr>
        <w:pStyle w:val="BodyText"/>
      </w:pPr>
      <w:r w:rsidRPr="00D9348B">
        <w:t>In the Energy sector, the reference approach is used for verification of the emission estimates for CO</w:t>
      </w:r>
      <w:r w:rsidRPr="00D9348B">
        <w:rPr>
          <w:vertAlign w:val="subscript"/>
        </w:rPr>
        <w:t>2</w:t>
      </w:r>
      <w:r w:rsidRPr="00D9348B">
        <w:t xml:space="preserve"> obtained from the sectoral approach.</w:t>
      </w:r>
    </w:p>
    <w:p w14:paraId="1246A3CD" w14:textId="77777777" w:rsidR="00643D10" w:rsidRPr="00D9348B" w:rsidRDefault="00643D10" w:rsidP="00865BDB">
      <w:pPr>
        <w:pStyle w:val="Heading4"/>
        <w:spacing w:before="160"/>
      </w:pPr>
      <w:r w:rsidRPr="00D9348B">
        <w:lastRenderedPageBreak/>
        <w:t>Treatment of confidentiality issues</w:t>
      </w:r>
    </w:p>
    <w:p w14:paraId="3B06AD84" w14:textId="71A0F4E0" w:rsidR="00643D10" w:rsidRPr="00D9348B" w:rsidRDefault="00643D10" w:rsidP="00643D10">
      <w:pPr>
        <w:pStyle w:val="BodyText"/>
      </w:pPr>
      <w:r w:rsidRPr="00D9348B">
        <w:t>When specific emission and activity data in the inventory can result in identifying individuals and/or individual businesses and, therefore, affect their wellbeing, commercial interest in trade and/or negotiations, those data are considered to be confidential. The 2006 IPCC Guidelines recommend that confidential data be aggregated so as to draw out the information that is important to the user, without disclosing confidential data (IPCC, 2006b). For New Zealand, confidentiality issues largely apply to sources of emissions in the Energy and IPPU sectors, where an entire industry or source category is often represented by just one or two companies. Therefore, a practice of presenting information as an ‘industry average’ is often not applicable in New Zealand because this would lead to breaching business confidentiality. Confidential information is held by the agencies preparing the inventory sector estimates (MPI,</w:t>
      </w:r>
      <w:r w:rsidR="00865BDB" w:rsidRPr="00D9348B">
        <w:t> </w:t>
      </w:r>
      <w:r w:rsidRPr="00D9348B">
        <w:t>MBIE, EPA and MfE), and each agency has security procedures (e.g., password-restricted access to files on computers) to ensure the data are kept confidential.</w:t>
      </w:r>
    </w:p>
    <w:p w14:paraId="0A3B63B8" w14:textId="77777777" w:rsidR="00643D10" w:rsidRPr="00D9348B" w:rsidRDefault="00643D10" w:rsidP="00643D10">
      <w:pPr>
        <w:pStyle w:val="BodyText"/>
        <w:spacing w:after="100"/>
      </w:pPr>
      <w:r w:rsidRPr="00D9348B">
        <w:t xml:space="preserve">To protect the confidentiality of businesses that contribute data to the inventory (as appropriate), two approaches are used: </w:t>
      </w:r>
    </w:p>
    <w:p w14:paraId="236D3741" w14:textId="1EEB2E9E" w:rsidR="00643D10" w:rsidRPr="00D9348B" w:rsidRDefault="00643D10" w:rsidP="00771A8F">
      <w:pPr>
        <w:pStyle w:val="Bullet"/>
        <w:numPr>
          <w:ilvl w:val="0"/>
          <w:numId w:val="20"/>
        </w:numPr>
      </w:pPr>
      <w:r w:rsidRPr="00D9348B">
        <w:t>where emissions can be reported without compromising confidentiality, the corresponding activity data are not reported and are marked as confidential in the CRF</w:t>
      </w:r>
      <w:r w:rsidR="003D5797" w:rsidRPr="00D9348B">
        <w:t> </w:t>
      </w:r>
      <w:r w:rsidRPr="00D9348B">
        <w:t>tables</w:t>
      </w:r>
    </w:p>
    <w:p w14:paraId="2FED6EF0" w14:textId="77777777" w:rsidR="00643D10" w:rsidRPr="00D9348B" w:rsidRDefault="00643D10" w:rsidP="00771A8F">
      <w:pPr>
        <w:pStyle w:val="Bullet"/>
        <w:numPr>
          <w:ilvl w:val="0"/>
          <w:numId w:val="20"/>
        </w:numPr>
      </w:pPr>
      <w:proofErr w:type="gramStart"/>
      <w:r w:rsidRPr="00D9348B">
        <w:t>where</w:t>
      </w:r>
      <w:proofErr w:type="gramEnd"/>
      <w:r w:rsidRPr="00D9348B">
        <w:t xml:space="preserve"> reporting emissions data would risk breaching confidentiality, the emissions data are aggregated with other emissions from a different source category. The notation key ‘IE’ (included elsewhere) is used.</w:t>
      </w:r>
    </w:p>
    <w:p w14:paraId="42C5BB1D" w14:textId="3E4644BD" w:rsidR="00643D10" w:rsidRPr="00D9348B" w:rsidRDefault="00643D10" w:rsidP="00643D10">
      <w:pPr>
        <w:pStyle w:val="BodyText"/>
      </w:pPr>
      <w:r w:rsidRPr="00D9348B">
        <w:t xml:space="preserve">In the IPPU sector, activity data for the categories </w:t>
      </w:r>
      <w:r w:rsidRPr="00D9348B">
        <w:rPr>
          <w:i/>
        </w:rPr>
        <w:t>Iron and steel production</w:t>
      </w:r>
      <w:r w:rsidRPr="00D9348B">
        <w:t xml:space="preserve">, </w:t>
      </w:r>
      <w:r w:rsidRPr="00D9348B">
        <w:rPr>
          <w:i/>
        </w:rPr>
        <w:t>Cement production</w:t>
      </w:r>
      <w:r w:rsidRPr="00D9348B">
        <w:t xml:space="preserve"> and </w:t>
      </w:r>
      <w:r w:rsidRPr="00D9348B">
        <w:rPr>
          <w:i/>
        </w:rPr>
        <w:t>Glass production</w:t>
      </w:r>
      <w:r w:rsidRPr="00D9348B">
        <w:t xml:space="preserve"> are marked as confidential. Emissions for </w:t>
      </w:r>
      <w:r w:rsidRPr="00D9348B">
        <w:rPr>
          <w:i/>
        </w:rPr>
        <w:t>Glass production</w:t>
      </w:r>
      <w:r w:rsidRPr="00D9348B">
        <w:t xml:space="preserve"> are</w:t>
      </w:r>
      <w:r w:rsidR="003D5797" w:rsidRPr="00D9348B">
        <w:t> </w:t>
      </w:r>
      <w:r w:rsidRPr="00D9348B">
        <w:t xml:space="preserve">reported under the </w:t>
      </w:r>
      <w:proofErr w:type="gramStart"/>
      <w:r w:rsidRPr="00D9348B">
        <w:rPr>
          <w:i/>
        </w:rPr>
        <w:t>Other</w:t>
      </w:r>
      <w:proofErr w:type="gramEnd"/>
      <w:r w:rsidRPr="00D9348B">
        <w:rPr>
          <w:i/>
        </w:rPr>
        <w:t xml:space="preserve"> uses of carbonates</w:t>
      </w:r>
      <w:r w:rsidRPr="00D9348B">
        <w:t xml:space="preserve"> category. </w:t>
      </w:r>
    </w:p>
    <w:p w14:paraId="36A81DC7" w14:textId="1721BE7E" w:rsidR="00643D10" w:rsidRPr="00D9348B" w:rsidRDefault="00643D10" w:rsidP="00643D10">
      <w:pPr>
        <w:pStyle w:val="Heading3"/>
      </w:pPr>
      <w:r w:rsidRPr="00D9348B">
        <w:t xml:space="preserve">1.2.4 </w:t>
      </w:r>
      <w:r w:rsidRPr="00D9348B">
        <w:tab/>
        <w:t>Changes in national inventory arrangements since the previous annual</w:t>
      </w:r>
      <w:r w:rsidR="003D5797" w:rsidRPr="00D9348B">
        <w:t> </w:t>
      </w:r>
      <w:r w:rsidRPr="00D9348B">
        <w:t>greenhouse gas inventory submission</w:t>
      </w:r>
    </w:p>
    <w:p w14:paraId="6A8B37C1" w14:textId="77777777" w:rsidR="00643D10" w:rsidRPr="00D9348B" w:rsidRDefault="00643D10" w:rsidP="00643D10">
      <w:pPr>
        <w:pStyle w:val="BodyText"/>
      </w:pPr>
      <w:r w:rsidRPr="00D9348B">
        <w:t xml:space="preserve">No changes have been made in the legal or institutional arrangements in the National Inventory System since the last (2019) inventory submission. </w:t>
      </w:r>
    </w:p>
    <w:p w14:paraId="79E6C67E" w14:textId="58D3B082" w:rsidR="00643D10" w:rsidRPr="00D9348B" w:rsidRDefault="00643D10" w:rsidP="00643D10">
      <w:pPr>
        <w:pStyle w:val="BodyText"/>
      </w:pPr>
      <w:r w:rsidRPr="00D9348B">
        <w:t>Changes in New Zealand’s inventory system in the last (2019) submission were associated with</w:t>
      </w:r>
      <w:r w:rsidR="00865BDB" w:rsidRPr="00D9348B">
        <w:t> </w:t>
      </w:r>
      <w:r w:rsidRPr="00D9348B">
        <w:t xml:space="preserve">including GHG emissions from Tokelau in New Zealand’s GHG inventory (see chapter 13 for details). </w:t>
      </w:r>
    </w:p>
    <w:p w14:paraId="2559D8BF" w14:textId="1B39E9CB" w:rsidR="00643D10" w:rsidRPr="00D9348B" w:rsidRDefault="00643D10" w:rsidP="00643D10">
      <w:pPr>
        <w:pStyle w:val="Heading2"/>
      </w:pPr>
      <w:bookmarkStart w:id="157" w:name="_Toc352504822"/>
      <w:bookmarkStart w:id="158" w:name="_Toc414531270"/>
      <w:bookmarkStart w:id="159" w:name="_Toc448321491"/>
      <w:bookmarkStart w:id="160" w:name="_Toc511116568"/>
      <w:bookmarkStart w:id="161" w:name="_Toc5269330"/>
      <w:bookmarkStart w:id="162" w:name="_Toc36224370"/>
      <w:r w:rsidRPr="00D9348B">
        <w:t>1.3</w:t>
      </w:r>
      <w:r w:rsidRPr="00D9348B">
        <w:tab/>
        <w:t xml:space="preserve">Inventory preparation: data collection, </w:t>
      </w:r>
      <w:bookmarkEnd w:id="157"/>
      <w:r w:rsidRPr="00D9348B">
        <w:t>processing</w:t>
      </w:r>
      <w:r w:rsidR="00865BDB" w:rsidRPr="00D9348B">
        <w:t xml:space="preserve"> </w:t>
      </w:r>
      <w:r w:rsidRPr="00D9348B">
        <w:t>and</w:t>
      </w:r>
      <w:r w:rsidR="00865BDB" w:rsidRPr="00D9348B">
        <w:t> </w:t>
      </w:r>
      <w:r w:rsidRPr="00D9348B">
        <w:t>storage</w:t>
      </w:r>
      <w:bookmarkEnd w:id="158"/>
      <w:bookmarkEnd w:id="159"/>
      <w:bookmarkEnd w:id="160"/>
      <w:bookmarkEnd w:id="161"/>
      <w:bookmarkEnd w:id="162"/>
    </w:p>
    <w:p w14:paraId="02DCCC5D" w14:textId="77777777" w:rsidR="00643D10" w:rsidRPr="00D9348B" w:rsidRDefault="00643D10" w:rsidP="00643D10">
      <w:pPr>
        <w:pStyle w:val="BodyText"/>
        <w:spacing w:after="100"/>
      </w:pPr>
      <w:r w:rsidRPr="00D9348B">
        <w:t>Inventory planning and preparation is described above in section 1.2.</w:t>
      </w:r>
    </w:p>
    <w:p w14:paraId="6B98CF5E" w14:textId="77777777" w:rsidR="00643D10" w:rsidRPr="00D9348B" w:rsidRDefault="00643D10" w:rsidP="00643D10">
      <w:pPr>
        <w:pStyle w:val="BodyText"/>
        <w:spacing w:after="100"/>
        <w:rPr>
          <w:spacing w:val="-2"/>
        </w:rPr>
      </w:pPr>
      <w:r w:rsidRPr="00D9348B">
        <w:rPr>
          <w:spacing w:val="-2"/>
        </w:rPr>
        <w:t xml:space="preserve">The National Inventory Compiler coordinates the calculation of level and trend uncertainties, key category assessment, and finalises the inventory. The inventory is then approved for publication by the Climate Change Director (MfE) before submission to the UNFCCC secretariat. </w:t>
      </w:r>
    </w:p>
    <w:p w14:paraId="60584335" w14:textId="77777777" w:rsidR="00643D10" w:rsidRPr="00D9348B" w:rsidRDefault="00643D10" w:rsidP="00643D10">
      <w:pPr>
        <w:pStyle w:val="BodyText"/>
        <w:spacing w:after="100"/>
      </w:pPr>
      <w:r w:rsidRPr="00D9348B">
        <w:t>The inventory and all required data for the submission are stored at MfE in a restricted file system. The inventory is published on the MfE and UNFCCC websites.</w:t>
      </w:r>
    </w:p>
    <w:p w14:paraId="351734FA" w14:textId="77777777" w:rsidR="00643D10" w:rsidRPr="00D9348B" w:rsidRDefault="00643D10" w:rsidP="00865BDB">
      <w:pPr>
        <w:pStyle w:val="Heading4"/>
      </w:pPr>
      <w:r w:rsidRPr="00D9348B">
        <w:lastRenderedPageBreak/>
        <w:t>Data archiving, security and recovery</w:t>
      </w:r>
    </w:p>
    <w:p w14:paraId="565823CD" w14:textId="77777777" w:rsidR="00643D10" w:rsidRPr="00D9348B" w:rsidRDefault="00643D10" w:rsidP="00643D10">
      <w:pPr>
        <w:pStyle w:val="BodyText"/>
        <w:spacing w:before="100"/>
        <w:rPr>
          <w:sz w:val="24"/>
          <w:szCs w:val="24"/>
        </w:rPr>
      </w:pPr>
      <w:r w:rsidRPr="00D9348B">
        <w:t>To provide data security and file recovery for the inventory in the event of a disaster, a distributive strategy for storage is in place. This includes storing inventory files using different types of storage devices (local and networked storage devices) in different geographical locations. The changes to all files are backed up on a daily basis, and the entire system is backed up on a weekly basis.</w:t>
      </w:r>
      <w:r w:rsidRPr="00D9348B">
        <w:rPr>
          <w:sz w:val="24"/>
          <w:szCs w:val="24"/>
        </w:rPr>
        <w:t xml:space="preserve"> </w:t>
      </w:r>
    </w:p>
    <w:p w14:paraId="0E62462B" w14:textId="77777777" w:rsidR="00643D10" w:rsidRPr="00D9348B" w:rsidRDefault="00643D10" w:rsidP="00643D10">
      <w:pPr>
        <w:pStyle w:val="BodyText"/>
      </w:pPr>
      <w:r w:rsidRPr="00D9348B">
        <w:t>New Zealand’s inventory archiving system reflects the distributed system. Specifically:</w:t>
      </w:r>
    </w:p>
    <w:p w14:paraId="6B2A992A" w14:textId="5F108C70" w:rsidR="00643D10" w:rsidRPr="00D9348B" w:rsidRDefault="00643D10" w:rsidP="00771A8F">
      <w:pPr>
        <w:pStyle w:val="Bullet"/>
        <w:numPr>
          <w:ilvl w:val="0"/>
          <w:numId w:val="20"/>
        </w:numPr>
      </w:pPr>
      <w:proofErr w:type="gramStart"/>
      <w:r w:rsidRPr="00D9348B">
        <w:t>all</w:t>
      </w:r>
      <w:proofErr w:type="gramEnd"/>
      <w:r w:rsidRPr="00D9348B">
        <w:t xml:space="preserve"> files for the inventory are stored in MfE’s secure file management system and backed up on several different devices. This covers all data files and supplementary materials as part of the submission for the inventory, CRF tables, database back-up files from the CRF</w:t>
      </w:r>
      <w:r w:rsidR="00137E84" w:rsidRPr="00D9348B">
        <w:t> </w:t>
      </w:r>
      <w:r w:rsidRPr="00D9348B">
        <w:t>Reporter, sectoral chapters, the compiled inventory, confirmations of sign-off, communication between New Zealand’s inventory team and the expert review team, national inventory system, process maps, project planning and documentation, and other related documents for the inventory</w:t>
      </w:r>
    </w:p>
    <w:p w14:paraId="5C42CD47" w14:textId="77777777" w:rsidR="00643D10" w:rsidRPr="00D9348B" w:rsidRDefault="00643D10" w:rsidP="00771A8F">
      <w:pPr>
        <w:pStyle w:val="Bullet"/>
        <w:numPr>
          <w:ilvl w:val="0"/>
          <w:numId w:val="20"/>
        </w:numPr>
      </w:pPr>
      <w:r w:rsidRPr="00D9348B">
        <w:t xml:space="preserve">each sectoral agency keeps its data in secure file systems, including communication with contractors, activity data, emission factors, preliminary calculations and specific software applications containing sectoral data models </w:t>
      </w:r>
    </w:p>
    <w:p w14:paraId="09CA01BA" w14:textId="77777777" w:rsidR="00643D10" w:rsidRPr="00D9348B" w:rsidRDefault="00643D10" w:rsidP="00771A8F">
      <w:pPr>
        <w:pStyle w:val="Bullet"/>
        <w:numPr>
          <w:ilvl w:val="0"/>
          <w:numId w:val="20"/>
        </w:numPr>
      </w:pPr>
      <w:proofErr w:type="gramStart"/>
      <w:r w:rsidRPr="00D9348B">
        <w:t>each</w:t>
      </w:r>
      <w:proofErr w:type="gramEnd"/>
      <w:r w:rsidRPr="00D9348B">
        <w:t xml:space="preserve"> of the agencies involved in the preparation of the inventory has security procedures in case of natural disasters, fire, flood or other accidents, which are kept at a high standard.</w:t>
      </w:r>
    </w:p>
    <w:p w14:paraId="25B0E363" w14:textId="77777777" w:rsidR="00643D10" w:rsidRPr="00D9348B" w:rsidRDefault="00643D10" w:rsidP="00643D10">
      <w:pPr>
        <w:pStyle w:val="Heading2"/>
      </w:pPr>
      <w:bookmarkStart w:id="163" w:name="_Toc352504823"/>
      <w:bookmarkStart w:id="164" w:name="_Toc414531271"/>
      <w:bookmarkStart w:id="165" w:name="_Toc448321492"/>
      <w:bookmarkStart w:id="166" w:name="_Toc511116569"/>
      <w:bookmarkStart w:id="167" w:name="_Toc5269331"/>
      <w:bookmarkStart w:id="168" w:name="_Toc36224371"/>
      <w:r w:rsidRPr="00D9348B">
        <w:t>1.4</w:t>
      </w:r>
      <w:r w:rsidRPr="00D9348B">
        <w:tab/>
        <w:t>Methodologies and data sources used</w:t>
      </w:r>
      <w:bookmarkEnd w:id="163"/>
      <w:bookmarkEnd w:id="164"/>
      <w:bookmarkEnd w:id="165"/>
      <w:bookmarkEnd w:id="166"/>
      <w:bookmarkEnd w:id="167"/>
      <w:bookmarkEnd w:id="168"/>
    </w:p>
    <w:p w14:paraId="0E1003E4" w14:textId="77777777" w:rsidR="00643D10" w:rsidRPr="00D9348B" w:rsidRDefault="00643D10" w:rsidP="00643D10">
      <w:pPr>
        <w:pStyle w:val="BodyText"/>
        <w:spacing w:after="100"/>
      </w:pPr>
      <w:r w:rsidRPr="00D9348B">
        <w:t xml:space="preserve">The guiding documents in the inventory’s preparation are the </w:t>
      </w:r>
      <w:r w:rsidRPr="00D9348B">
        <w:rPr>
          <w:i/>
        </w:rPr>
        <w:t>2006 IPCC Guidelines for National Greenhouse Gas Inventories</w:t>
      </w:r>
      <w:r w:rsidRPr="00D9348B">
        <w:t xml:space="preserve"> (IPCC, 2006b), the </w:t>
      </w:r>
      <w:r w:rsidRPr="00D9348B">
        <w:rPr>
          <w:i/>
        </w:rPr>
        <w:t>2013 Revised Supplementary Methods and Good Practice Guidance Arising from the Kyoto Protocol</w:t>
      </w:r>
      <w:r w:rsidRPr="00D9348B">
        <w:t xml:space="preserve"> (IPCC, 2014), the</w:t>
      </w:r>
      <w:r w:rsidRPr="00D9348B">
        <w:rPr>
          <w:i/>
        </w:rPr>
        <w:t xml:space="preserve"> </w:t>
      </w:r>
      <w:r w:rsidRPr="00D9348B">
        <w:t xml:space="preserve">revised </w:t>
      </w:r>
      <w:r w:rsidRPr="00D9348B">
        <w:rPr>
          <w:i/>
        </w:rPr>
        <w:t>UNFCCC reporting guidelines on annual inventories for Parties included in Annex I to the Convention</w:t>
      </w:r>
      <w:r w:rsidRPr="00D9348B">
        <w:t xml:space="preserve"> (UNFCCC, 2013b), and the Kyoto Protocol decisions pertaining to reporting and review (UNFCCC, 2005 a–k, 2012, 2013c, 2016a, 2016b).</w:t>
      </w:r>
    </w:p>
    <w:p w14:paraId="1771FAC7" w14:textId="77777777" w:rsidR="00643D10" w:rsidRPr="00D9348B" w:rsidRDefault="00643D10" w:rsidP="00643D10">
      <w:pPr>
        <w:pStyle w:val="BodyText"/>
        <w:spacing w:after="100"/>
      </w:pPr>
      <w:r w:rsidRPr="00D9348B">
        <w:t>The 2006 IPCC Guidelines provide a number of possible methodologies for calculating emissions or removals from a given category (IPCC, 2006b). In most cases, these possibilities represent calculations of the same form where the differences are in the level of detail at which the calculations are carried out. The methodologies are provided in a structure of three tiers that describe and connect the various levels of detail at which estimates can be made. The choice of method depends on factors such as the importance of the inventory category and the availability of data. The tiered structure ensures that estimates calculated at a highly detailed level can be aggregated up to a common minimum level of detail for comparison with all other reporting countries. The methods for estimating emissions and/or removals are distinguished between the tiers as follows:</w:t>
      </w:r>
    </w:p>
    <w:p w14:paraId="0AAE5992" w14:textId="77777777" w:rsidR="00643D10" w:rsidRPr="00D9348B" w:rsidRDefault="00643D10" w:rsidP="00771A8F">
      <w:pPr>
        <w:pStyle w:val="Bullet"/>
        <w:numPr>
          <w:ilvl w:val="0"/>
          <w:numId w:val="20"/>
        </w:numPr>
        <w:spacing w:after="100"/>
      </w:pPr>
      <w:r w:rsidRPr="00D9348B">
        <w:t xml:space="preserve">Tier 1 methods apply IPCC default emission factors and use IPCC default methods </w:t>
      </w:r>
    </w:p>
    <w:p w14:paraId="5DAEEF22" w14:textId="77777777" w:rsidR="00643D10" w:rsidRPr="00D9348B" w:rsidRDefault="00643D10" w:rsidP="00771A8F">
      <w:pPr>
        <w:pStyle w:val="Bullet"/>
        <w:numPr>
          <w:ilvl w:val="0"/>
          <w:numId w:val="20"/>
        </w:numPr>
        <w:spacing w:after="100"/>
      </w:pPr>
      <w:r w:rsidRPr="00D9348B">
        <w:t>Tier 2 methods apply country-specific emission factors and use IPCC default methods</w:t>
      </w:r>
    </w:p>
    <w:p w14:paraId="1B18D4EE" w14:textId="77777777" w:rsidR="00643D10" w:rsidRPr="00D9348B" w:rsidRDefault="00643D10" w:rsidP="00771A8F">
      <w:pPr>
        <w:pStyle w:val="Bullet"/>
        <w:numPr>
          <w:ilvl w:val="0"/>
          <w:numId w:val="20"/>
        </w:numPr>
      </w:pPr>
      <w:r w:rsidRPr="00D9348B">
        <w:t>Tier 3 methods apply country-specific emission factors and use country-specific methods.</w:t>
      </w:r>
    </w:p>
    <w:p w14:paraId="22AD5F51" w14:textId="77777777" w:rsidR="00643D10" w:rsidRPr="00D9348B" w:rsidRDefault="00643D10" w:rsidP="00643D10">
      <w:pPr>
        <w:pStyle w:val="BodyText"/>
        <w:spacing w:before="100" w:after="100"/>
      </w:pPr>
      <w:r w:rsidRPr="00D9348B">
        <w:t>Methodology for each sector in the inventory is described briefly here. Refer to each sector chapter for more detail.</w:t>
      </w:r>
    </w:p>
    <w:p w14:paraId="702E6A62" w14:textId="77777777" w:rsidR="00643D10" w:rsidRPr="00D9348B" w:rsidRDefault="00643D10" w:rsidP="00865BDB">
      <w:pPr>
        <w:pStyle w:val="Heading4"/>
      </w:pPr>
      <w:r w:rsidRPr="00D9348B">
        <w:lastRenderedPageBreak/>
        <w:t>Energy</w:t>
      </w:r>
    </w:p>
    <w:p w14:paraId="3FB42823" w14:textId="77777777" w:rsidR="00643D10" w:rsidRPr="00D9348B" w:rsidRDefault="00643D10" w:rsidP="00643D10">
      <w:pPr>
        <w:pStyle w:val="BodyText"/>
        <w:spacing w:before="100" w:after="100"/>
        <w:rPr>
          <w:lang w:eastAsia="en-GB"/>
        </w:rPr>
      </w:pPr>
      <w:r w:rsidRPr="00D9348B">
        <w:rPr>
          <w:lang w:eastAsia="en-GB"/>
        </w:rPr>
        <w:t xml:space="preserve">Greenhouse gas emissions from the Energy sector are calculated using a detailed sectoral approach. This bottom-up approach is energy demand based; it involves processing energy data collected on a regular basis through various surveys. For verification, New Zealand has also applied the IPCC reference approach to estimate </w:t>
      </w:r>
      <w:r w:rsidRPr="00D9348B">
        <w:t>CO</w:t>
      </w:r>
      <w:r w:rsidRPr="00D9348B">
        <w:rPr>
          <w:vertAlign w:val="subscript"/>
        </w:rPr>
        <w:t>2</w:t>
      </w:r>
      <w:r w:rsidRPr="00D9348B">
        <w:rPr>
          <w:lang w:eastAsia="en-GB"/>
        </w:rPr>
        <w:t xml:space="preserve"> emissions from fuel combustion for the time series 1990–</w:t>
      </w:r>
      <w:r w:rsidRPr="00D9348B">
        <w:t>2018</w:t>
      </w:r>
      <w:r w:rsidRPr="00D9348B">
        <w:rPr>
          <w:lang w:eastAsia="en-GB"/>
        </w:rPr>
        <w:t xml:space="preserve"> (see annex 4). </w:t>
      </w:r>
    </w:p>
    <w:p w14:paraId="7D74AE56" w14:textId="2E1946E0" w:rsidR="00643D10" w:rsidRPr="00D9348B" w:rsidRDefault="00643D10" w:rsidP="00643D10">
      <w:pPr>
        <w:pStyle w:val="BodyText"/>
        <w:spacing w:before="100" w:after="100"/>
      </w:pPr>
      <w:r w:rsidRPr="00D9348B">
        <w:rPr>
          <w:lang w:eastAsia="en-GB"/>
        </w:rPr>
        <w:t>The activity data used for the sectoral approach are referred to as ‘observed’ energy-use figures. These are based on surveys and questionnaires administered by MBIE. The differences between ‘calculated’ and ‘observed’ figures are reported as statistical differences in the energy</w:t>
      </w:r>
      <w:r w:rsidR="00137E84" w:rsidRPr="00D9348B">
        <w:rPr>
          <w:lang w:eastAsia="en-GB"/>
        </w:rPr>
        <w:t> </w:t>
      </w:r>
      <w:r w:rsidRPr="00D9348B">
        <w:rPr>
          <w:lang w:eastAsia="en-GB"/>
        </w:rPr>
        <w:t xml:space="preserve">balance tables released along with </w:t>
      </w:r>
      <w:r w:rsidRPr="00D9348B">
        <w:rPr>
          <w:i/>
          <w:iCs/>
          <w:lang w:eastAsia="en-GB"/>
        </w:rPr>
        <w:t xml:space="preserve">Energy in New Zealand 2019 </w:t>
      </w:r>
      <w:r w:rsidRPr="00D9348B">
        <w:rPr>
          <w:lang w:eastAsia="en-GB"/>
        </w:rPr>
        <w:t xml:space="preserve">(MBIE, 2019). Due to the time interval between the publication of </w:t>
      </w:r>
      <w:r w:rsidRPr="00D9348B">
        <w:rPr>
          <w:i/>
          <w:lang w:eastAsia="en-GB"/>
        </w:rPr>
        <w:t>Energy in New Zealand</w:t>
      </w:r>
      <w:r w:rsidRPr="00D9348B">
        <w:rPr>
          <w:lang w:eastAsia="en-GB"/>
        </w:rPr>
        <w:t xml:space="preserve"> and the preparation of this submission, some data revisions may have occurred. See chapter 3 for further details on methodologies applied in the Energy sector and a description of the sources for activity data for the inventory.</w:t>
      </w:r>
    </w:p>
    <w:p w14:paraId="00512177" w14:textId="77777777" w:rsidR="00643D10" w:rsidRPr="00D9348B" w:rsidRDefault="00643D10" w:rsidP="00865BDB">
      <w:pPr>
        <w:pStyle w:val="Heading4"/>
        <w:spacing w:before="160"/>
      </w:pPr>
      <w:r w:rsidRPr="00D9348B">
        <w:t>IPPU</w:t>
      </w:r>
    </w:p>
    <w:p w14:paraId="437D8E66" w14:textId="77777777" w:rsidR="00643D10" w:rsidRPr="00D9348B" w:rsidRDefault="00643D10" w:rsidP="00643D10">
      <w:pPr>
        <w:pStyle w:val="BodyText"/>
        <w:spacing w:before="100" w:after="100"/>
        <w:rPr>
          <w:rFonts w:eastAsia="+mn-ea"/>
        </w:rPr>
      </w:pPr>
      <w:r w:rsidRPr="00D9348B">
        <w:rPr>
          <w:rFonts w:eastAsia="+mn-ea"/>
        </w:rPr>
        <w:t xml:space="preserve">Activity data in the IPPU sector have been derived from a variety of sources. In the </w:t>
      </w:r>
      <w:r w:rsidRPr="00D9348B">
        <w:rPr>
          <w:rFonts w:eastAsia="+mn-ea"/>
          <w:i/>
        </w:rPr>
        <w:t>Mineral industry</w:t>
      </w:r>
      <w:r w:rsidRPr="00D9348B">
        <w:rPr>
          <w:rFonts w:eastAsia="+mn-ea"/>
        </w:rPr>
        <w:t xml:space="preserve"> category, the primary data source is emissions data reported under the NZ ETS. For the </w:t>
      </w:r>
      <w:r w:rsidRPr="00D9348B">
        <w:rPr>
          <w:rFonts w:eastAsia="+mn-ea"/>
          <w:i/>
        </w:rPr>
        <w:t>Chemical industry</w:t>
      </w:r>
      <w:r w:rsidRPr="00D9348B">
        <w:rPr>
          <w:rFonts w:eastAsia="+mn-ea"/>
        </w:rPr>
        <w:t xml:space="preserve"> and </w:t>
      </w:r>
      <w:r w:rsidRPr="00D9348B">
        <w:rPr>
          <w:rFonts w:eastAsia="+mn-ea"/>
          <w:i/>
        </w:rPr>
        <w:t>Metal industry</w:t>
      </w:r>
      <w:r w:rsidRPr="00D9348B">
        <w:rPr>
          <w:rFonts w:eastAsia="+mn-ea"/>
        </w:rPr>
        <w:t xml:space="preserve"> categories, data (including activity data) are provided to MBIE in response to an annual survey. For some large-scale activities in the </w:t>
      </w:r>
      <w:r w:rsidRPr="00D9348B">
        <w:rPr>
          <w:rFonts w:eastAsia="+mn-ea"/>
          <w:i/>
        </w:rPr>
        <w:t>Mineral industry</w:t>
      </w:r>
      <w:r w:rsidRPr="00D9348B">
        <w:rPr>
          <w:rFonts w:eastAsia="+mn-ea"/>
        </w:rPr>
        <w:t xml:space="preserve">, </w:t>
      </w:r>
      <w:r w:rsidRPr="00D9348B">
        <w:rPr>
          <w:rFonts w:eastAsia="+mn-ea"/>
          <w:i/>
        </w:rPr>
        <w:t>Chemical industry</w:t>
      </w:r>
      <w:r w:rsidRPr="00D9348B">
        <w:rPr>
          <w:rFonts w:eastAsia="+mn-ea"/>
        </w:rPr>
        <w:t xml:space="preserve"> and </w:t>
      </w:r>
      <w:r w:rsidRPr="00D9348B">
        <w:rPr>
          <w:rFonts w:eastAsia="+mn-ea"/>
          <w:i/>
        </w:rPr>
        <w:t>Metal industry</w:t>
      </w:r>
      <w:r w:rsidRPr="00D9348B">
        <w:rPr>
          <w:rFonts w:eastAsia="+mn-ea"/>
        </w:rPr>
        <w:t xml:space="preserve"> categories, which are carried out by only one or two companies in New Zealand, activity data are reported as confidential in the CRF tables. </w:t>
      </w:r>
    </w:p>
    <w:p w14:paraId="42CCB36D" w14:textId="77777777" w:rsidR="00643D10" w:rsidRPr="00D9348B" w:rsidRDefault="00643D10" w:rsidP="00643D10">
      <w:pPr>
        <w:pStyle w:val="BodyText"/>
        <w:spacing w:before="100" w:after="100"/>
        <w:rPr>
          <w:rFonts w:eastAsia="+mn-ea"/>
        </w:rPr>
      </w:pPr>
      <w:r w:rsidRPr="00D9348B">
        <w:rPr>
          <w:rFonts w:eastAsia="+mn-ea"/>
        </w:rPr>
        <w:t xml:space="preserve">Emissions data for glass production (2.A.3) are reported in category 2.A.4 to aggregate the data with other sources and preserve confidentiality. Also, data on emissions from hydrogen making at the Marsden Point oil refinery are reported in the </w:t>
      </w:r>
      <w:r w:rsidRPr="00D9348B">
        <w:rPr>
          <w:rFonts w:eastAsia="+mn-ea"/>
          <w:i/>
        </w:rPr>
        <w:t>Chemical industry</w:t>
      </w:r>
      <w:r w:rsidRPr="00D9348B">
        <w:rPr>
          <w:rFonts w:eastAsia="+mn-ea"/>
        </w:rPr>
        <w:t xml:space="preserve"> source category. This allows data from New Zealand’s only industrial hydrogen-making process, which is smaller in scale than refining, to be aggregated and kept confidential. </w:t>
      </w:r>
    </w:p>
    <w:p w14:paraId="420C32B1" w14:textId="77777777" w:rsidR="00643D10" w:rsidRPr="00D9348B" w:rsidRDefault="00643D10" w:rsidP="00643D10">
      <w:pPr>
        <w:pStyle w:val="BodyText"/>
        <w:spacing w:before="100" w:after="100"/>
        <w:rPr>
          <w:rFonts w:eastAsia="+mn-ea"/>
        </w:rPr>
      </w:pPr>
      <w:r w:rsidRPr="00D9348B">
        <w:rPr>
          <w:rFonts w:eastAsia="+mn-ea"/>
        </w:rPr>
        <w:t xml:space="preserve">For the </w:t>
      </w:r>
      <w:r w:rsidRPr="00D9348B">
        <w:rPr>
          <w:rFonts w:eastAsia="+mn-ea"/>
          <w:i/>
        </w:rPr>
        <w:t>Product uses as substitutes for ODS</w:t>
      </w:r>
      <w:r w:rsidRPr="00D9348B">
        <w:rPr>
          <w:rStyle w:val="FootnoteReference"/>
          <w:rFonts w:eastAsia="+mn-ea"/>
        </w:rPr>
        <w:footnoteReference w:id="20"/>
      </w:r>
      <w:r w:rsidRPr="00D9348B">
        <w:rPr>
          <w:rFonts w:eastAsia="+mn-ea"/>
        </w:rPr>
        <w:t xml:space="preserve"> category, updated activity data have been obtained through a detailed annual survey covering the electrical, refrigeration and other industry participants (CRL Energy Ltd., unpublished(b)) as well as importers of HFCs and other substances in this category. </w:t>
      </w:r>
    </w:p>
    <w:p w14:paraId="69017ED3" w14:textId="77777777" w:rsidR="00643D10" w:rsidRPr="00D9348B" w:rsidRDefault="00643D10" w:rsidP="00643D10">
      <w:pPr>
        <w:pStyle w:val="BodyText"/>
        <w:spacing w:before="100" w:after="100"/>
      </w:pPr>
      <w:r w:rsidRPr="00D9348B">
        <w:t xml:space="preserve">New Zealand uses a combination of Tier 1 and Tier 2 methodologies for the IPPU sector. Tier 2 methods are used for all key categories. </w:t>
      </w:r>
    </w:p>
    <w:p w14:paraId="796B4C46" w14:textId="77777777" w:rsidR="00643D10" w:rsidRPr="00D9348B" w:rsidRDefault="00643D10" w:rsidP="00643D10">
      <w:pPr>
        <w:pStyle w:val="BodyText"/>
        <w:spacing w:before="100" w:after="100"/>
        <w:rPr>
          <w:rFonts w:eastAsia="+mn-ea"/>
        </w:rPr>
      </w:pPr>
      <w:r w:rsidRPr="00D9348B">
        <w:rPr>
          <w:rFonts w:eastAsia="+mn-ea"/>
        </w:rPr>
        <w:t xml:space="preserve">For the small amounts of indirect GHG emissions reported in the </w:t>
      </w:r>
      <w:r w:rsidRPr="00D9348B">
        <w:rPr>
          <w:rFonts w:eastAsia="+mn-ea"/>
          <w:i/>
        </w:rPr>
        <w:t>Chemical industry</w:t>
      </w:r>
      <w:r w:rsidRPr="00D9348B">
        <w:rPr>
          <w:rFonts w:eastAsia="+mn-ea"/>
        </w:rPr>
        <w:t xml:space="preserve"> category and the </w:t>
      </w:r>
      <w:r w:rsidRPr="00D9348B">
        <w:rPr>
          <w:rFonts w:eastAsia="+mn-ea"/>
          <w:i/>
        </w:rPr>
        <w:t>Other product manufacture and use</w:t>
      </w:r>
      <w:r w:rsidRPr="00D9348B">
        <w:rPr>
          <w:rFonts w:eastAsia="+mn-ea"/>
        </w:rPr>
        <w:t xml:space="preserve"> category, data were obtained by a detailed industry survey and analysis (CRL Energy, unpublished(a)). Emissions and activity data have been extrapolated for the years since 2006. </w:t>
      </w:r>
    </w:p>
    <w:p w14:paraId="245A21A7" w14:textId="77777777" w:rsidR="00643D10" w:rsidRPr="00D9348B" w:rsidRDefault="00643D10" w:rsidP="00643D10">
      <w:pPr>
        <w:pStyle w:val="BodyText"/>
        <w:spacing w:before="100" w:after="100"/>
      </w:pPr>
      <w:r w:rsidRPr="00D9348B">
        <w:t>Country-specific emission factors have been used where available, including for emissions of indirect GHGs.</w:t>
      </w:r>
    </w:p>
    <w:p w14:paraId="30C9BFD6" w14:textId="77777777" w:rsidR="00643D10" w:rsidRPr="00D9348B" w:rsidRDefault="00643D10" w:rsidP="00865BDB">
      <w:pPr>
        <w:pStyle w:val="Heading4"/>
        <w:spacing w:before="160"/>
      </w:pPr>
      <w:r w:rsidRPr="00D9348B">
        <w:t xml:space="preserve">Agriculture </w:t>
      </w:r>
    </w:p>
    <w:p w14:paraId="46D1491D" w14:textId="77777777" w:rsidR="00643D10" w:rsidRPr="00D9348B" w:rsidRDefault="00643D10" w:rsidP="00643D10">
      <w:pPr>
        <w:pStyle w:val="BodyText"/>
        <w:spacing w:before="100" w:after="100"/>
      </w:pPr>
      <w:r w:rsidRPr="00D9348B">
        <w:t>New Zealand has developed a Tier 2 methodology with country-specific emission factors. This methodology uses detailed data on livestock population and production to calculate livestock energy requirements for four major livestock categories (</w:t>
      </w:r>
      <w:r w:rsidRPr="00D9348B">
        <w:rPr>
          <w:i/>
        </w:rPr>
        <w:t>Dairy cattle</w:t>
      </w:r>
      <w:r w:rsidRPr="00D9348B">
        <w:rPr>
          <w:iCs/>
        </w:rPr>
        <w:t>,</w:t>
      </w:r>
      <w:r w:rsidRPr="00D9348B">
        <w:rPr>
          <w:i/>
        </w:rPr>
        <w:t xml:space="preserve"> Non-dairy (beef) cattle</w:t>
      </w:r>
      <w:r w:rsidRPr="00D9348B">
        <w:rPr>
          <w:iCs/>
        </w:rPr>
        <w:t>,</w:t>
      </w:r>
      <w:r w:rsidRPr="00D9348B">
        <w:rPr>
          <w:i/>
        </w:rPr>
        <w:t xml:space="preserve"> </w:t>
      </w:r>
      <w:r w:rsidRPr="00D9348B">
        <w:rPr>
          <w:i/>
        </w:rPr>
        <w:lastRenderedPageBreak/>
        <w:t>Sheep</w:t>
      </w:r>
      <w:r w:rsidRPr="00D9348B">
        <w:rPr>
          <w:iCs/>
        </w:rPr>
        <w:t xml:space="preserve"> and</w:t>
      </w:r>
      <w:r w:rsidRPr="00D9348B">
        <w:rPr>
          <w:i/>
        </w:rPr>
        <w:t xml:space="preserve"> Deer</w:t>
      </w:r>
      <w:r w:rsidRPr="00D9348B">
        <w:t xml:space="preserve">). Other livestock are classified as ‘minor’ due to their small total contribution to agricultural emissions and are outlined below. Animal population data are collected by Statistics New Zealand. Productivity data are available from the Livestock Improvement Corporation (LIC) and industry organisations, such as Beef + Lamb New Zealand Ltd and Deer Industry New Zealand, which regularly collect animal sector statistics. Statistics on animal carcass weights are collected by MPI and are used to derive live weights. </w:t>
      </w:r>
    </w:p>
    <w:p w14:paraId="65EEA53D" w14:textId="77777777" w:rsidR="00643D10" w:rsidRPr="00D9348B" w:rsidRDefault="00643D10" w:rsidP="00643D10">
      <w:pPr>
        <w:pStyle w:val="BodyText"/>
        <w:spacing w:before="100" w:after="100"/>
      </w:pPr>
      <w:r w:rsidRPr="00D9348B">
        <w:t>Other livestock species combined (</w:t>
      </w:r>
      <w:r w:rsidRPr="00D9348B">
        <w:rPr>
          <w:i/>
          <w:iCs/>
        </w:rPr>
        <w:t>Swine</w:t>
      </w:r>
      <w:r w:rsidRPr="00D9348B">
        <w:t xml:space="preserve">, </w:t>
      </w:r>
      <w:r w:rsidRPr="00D9348B">
        <w:rPr>
          <w:i/>
          <w:iCs/>
        </w:rPr>
        <w:t>Goats</w:t>
      </w:r>
      <w:r w:rsidRPr="00D9348B">
        <w:t xml:space="preserve">, </w:t>
      </w:r>
      <w:r w:rsidRPr="00D9348B">
        <w:rPr>
          <w:i/>
          <w:iCs/>
        </w:rPr>
        <w:t>Horses</w:t>
      </w:r>
      <w:r w:rsidRPr="00D9348B">
        <w:t xml:space="preserve">, </w:t>
      </w:r>
      <w:r w:rsidRPr="00D9348B">
        <w:rPr>
          <w:i/>
          <w:iCs/>
        </w:rPr>
        <w:t>Llamas</w:t>
      </w:r>
      <w:r w:rsidRPr="00D9348B">
        <w:t xml:space="preserve"> </w:t>
      </w:r>
      <w:r w:rsidRPr="00D9348B">
        <w:rPr>
          <w:i/>
          <w:iCs/>
        </w:rPr>
        <w:t>and</w:t>
      </w:r>
      <w:r w:rsidRPr="00D9348B">
        <w:t xml:space="preserve"> </w:t>
      </w:r>
      <w:r w:rsidRPr="00D9348B">
        <w:rPr>
          <w:i/>
          <w:iCs/>
        </w:rPr>
        <w:t>alpacas</w:t>
      </w:r>
      <w:r w:rsidRPr="00D9348B">
        <w:t xml:space="preserve">, </w:t>
      </w:r>
      <w:r w:rsidRPr="00D9348B">
        <w:rPr>
          <w:i/>
          <w:iCs/>
        </w:rPr>
        <w:t>Mules and asses</w:t>
      </w:r>
      <w:r w:rsidRPr="00D9348B">
        <w:t xml:space="preserve">, and </w:t>
      </w:r>
      <w:r w:rsidRPr="00D9348B">
        <w:rPr>
          <w:i/>
          <w:iCs/>
        </w:rPr>
        <w:t>Poultry</w:t>
      </w:r>
      <w:r w:rsidRPr="00D9348B">
        <w:t>) account for only 0.5 per cent of New Zealand’s agriculture emissions. Emissions from these minor livestock species are estimated using Tier 1 methods. Where information is available, New Zealand has used country-specific emission methodology and factors. Rabbits are considered an agricultural pest in New Zealand, and, based on expert opinion, only a very small number of rabbits are farmed in the country (R. Sanson, pers. comm., 2019). Because of this, emissions from farmed rabbits are not estimated (NE) because their emissions are insignificant. There is no known farming of other fur-bearing animals in New Zealand.</w:t>
      </w:r>
    </w:p>
    <w:p w14:paraId="0F460ED9" w14:textId="77777777" w:rsidR="00643D10" w:rsidRPr="00D9348B" w:rsidRDefault="00643D10" w:rsidP="00643D10">
      <w:pPr>
        <w:pStyle w:val="BodyText"/>
      </w:pPr>
      <w:r w:rsidRPr="00D9348B">
        <w:t xml:space="preserve">For estimating emissions from the </w:t>
      </w:r>
      <w:r w:rsidRPr="00D9348B">
        <w:rPr>
          <w:i/>
          <w:iCs/>
        </w:rPr>
        <w:t xml:space="preserve">Agricultural soils </w:t>
      </w:r>
      <w:r w:rsidRPr="00D9348B">
        <w:t>category, New Zealand uses methodologies based on the IPCC Guidelines (IPCC, 2006a), the outputs of the Tier 2 livestock population characterisation, and modelling of the livestock nutrition and energy requirements. New Zealand uses a combination of default and country-specific emission factors and parameters to calculate N</w:t>
      </w:r>
      <w:r w:rsidRPr="00D9348B">
        <w:rPr>
          <w:vertAlign w:val="subscript"/>
        </w:rPr>
        <w:t>2</w:t>
      </w:r>
      <w:r w:rsidRPr="00D9348B">
        <w:t xml:space="preserve">O emissions from the </w:t>
      </w:r>
      <w:r w:rsidRPr="00D9348B">
        <w:rPr>
          <w:i/>
          <w:iCs/>
        </w:rPr>
        <w:t xml:space="preserve">Agricultural soils </w:t>
      </w:r>
      <w:r w:rsidRPr="00D9348B">
        <w:t>category. Details on these emission factors and parameters are listed in chapter 5 (tables 5.5.2 and 5.5.3) and annex 3 (tables A3.1.5, A3.1.6 and A3.1.7). Table 5.5.5 in chapter 5 contains the parameters used to estimate emissions where specific mitigation technologies are used.</w:t>
      </w:r>
    </w:p>
    <w:p w14:paraId="0DB44DB6" w14:textId="77777777" w:rsidR="00643D10" w:rsidRPr="00D9348B" w:rsidRDefault="00643D10" w:rsidP="00643D10">
      <w:pPr>
        <w:pStyle w:val="BodyText"/>
      </w:pPr>
      <w:r w:rsidRPr="00D9348B">
        <w:t xml:space="preserve">Activity data for the </w:t>
      </w:r>
      <w:r w:rsidRPr="00D9348B">
        <w:rPr>
          <w:i/>
          <w:iCs/>
        </w:rPr>
        <w:t>Liming</w:t>
      </w:r>
      <w:r w:rsidRPr="00D9348B">
        <w:t xml:space="preserve"> category are obtained from Statistics New Zealand, and activity data on the use of synthetic fertiliser containing nitrogen are provided by the Fertiliser Association of New Zealand. A Tier 2 (model) approach is used to calculate emissions from the </w:t>
      </w:r>
      <w:r w:rsidRPr="00D9348B">
        <w:rPr>
          <w:i/>
          <w:iCs/>
        </w:rPr>
        <w:t>Burning of agricultural residues</w:t>
      </w:r>
      <w:r w:rsidRPr="00D9348B">
        <w:t xml:space="preserve"> category. There is no rice cultivation in New Zealand or CO</w:t>
      </w:r>
      <w:r w:rsidRPr="00D9348B">
        <w:rPr>
          <w:vertAlign w:val="subscript"/>
        </w:rPr>
        <w:t>2</w:t>
      </w:r>
      <w:r w:rsidRPr="00D9348B">
        <w:t xml:space="preserve"> emissions from other carbon-containing fertilisers.</w:t>
      </w:r>
    </w:p>
    <w:p w14:paraId="5915FF68" w14:textId="77777777" w:rsidR="00643D10" w:rsidRPr="00D9348B" w:rsidRDefault="00643D10" w:rsidP="00865BDB">
      <w:pPr>
        <w:pStyle w:val="Heading4"/>
        <w:spacing w:before="200"/>
      </w:pPr>
      <w:r w:rsidRPr="00D9348B">
        <w:t>LULUCF and KP-LULUCF</w:t>
      </w:r>
    </w:p>
    <w:p w14:paraId="3BF40CC7" w14:textId="3729C16F" w:rsidR="00643D10" w:rsidRPr="00D9348B" w:rsidRDefault="00643D10" w:rsidP="00643D10">
      <w:pPr>
        <w:pStyle w:val="BodyText"/>
      </w:pPr>
      <w:r w:rsidRPr="00D9348B">
        <w:t>New Zealand uses a combination of Tier 1, Tier 2 and Tier 3 methodologies for estimating emissions and removals for the LULUCF sector under the Convention and Article 3.3 and Article 3.4 activities under the Kyoto Protocol. Tier 2 or Tier 3 approaches have been applied to estimate biomass carbon in the pools with the most living biomass at maturity:</w:t>
      </w:r>
      <w:r w:rsidRPr="00D9348B">
        <w:rPr>
          <w:i/>
        </w:rPr>
        <w:t xml:space="preserve"> Pre-1990 natural forest</w:t>
      </w:r>
      <w:r w:rsidRPr="00D9348B">
        <w:t xml:space="preserve">, </w:t>
      </w:r>
      <w:r w:rsidRPr="00D9348B">
        <w:rPr>
          <w:i/>
        </w:rPr>
        <w:t>Pre-1990 planted forest</w:t>
      </w:r>
      <w:r w:rsidRPr="00D9348B">
        <w:t xml:space="preserve">, </w:t>
      </w:r>
      <w:r w:rsidRPr="00D9348B">
        <w:rPr>
          <w:i/>
        </w:rPr>
        <w:t>Post-1989 forest</w:t>
      </w:r>
      <w:r w:rsidRPr="00D9348B">
        <w:t xml:space="preserve">, </w:t>
      </w:r>
      <w:r w:rsidRPr="00D9348B">
        <w:rPr>
          <w:i/>
        </w:rPr>
        <w:t>Perennial cropland</w:t>
      </w:r>
      <w:r w:rsidRPr="00D9348B">
        <w:t xml:space="preserve"> and </w:t>
      </w:r>
      <w:r w:rsidRPr="00D9348B">
        <w:rPr>
          <w:i/>
        </w:rPr>
        <w:t>Grassland with woody biomass</w:t>
      </w:r>
      <w:r w:rsidRPr="00D9348B">
        <w:t xml:space="preserve">. For all other </w:t>
      </w:r>
      <w:r w:rsidR="00766DDA">
        <w:t>land-use</w:t>
      </w:r>
      <w:r w:rsidRPr="00D9348B">
        <w:t xml:space="preserve"> categories, a Tier 1 approach is used for estimating biomass carbon. A Tier 2 modelling approach has also been used to estimate carbon changes in the mineral soil component of the soil organic matter pool, while Tier 1 is used for organic soils. Furthermore, a Tier 2 approach has been used to estimate carbon stock changes in the </w:t>
      </w:r>
      <w:r w:rsidRPr="00D9348B">
        <w:rPr>
          <w:i/>
        </w:rPr>
        <w:t>Harvested wood products</w:t>
      </w:r>
      <w:r w:rsidRPr="00D9348B">
        <w:t xml:space="preserve"> category. </w:t>
      </w:r>
    </w:p>
    <w:p w14:paraId="1C9AF986" w14:textId="77777777" w:rsidR="00643D10" w:rsidRPr="00D9348B" w:rsidRDefault="00643D10" w:rsidP="00643D10">
      <w:pPr>
        <w:pStyle w:val="BodyText"/>
      </w:pPr>
      <w:r w:rsidRPr="00D9348B">
        <w:t>New Zealand has established a data collection and modelling programme for the LULUCF sector called the Land Use and Carbon Analysis System (LUCAS). The LUCAS programme includes:</w:t>
      </w:r>
    </w:p>
    <w:p w14:paraId="00634B3F" w14:textId="77777777" w:rsidR="00643D10" w:rsidRPr="00D9348B" w:rsidRDefault="00643D10" w:rsidP="00771A8F">
      <w:pPr>
        <w:pStyle w:val="Bullet"/>
        <w:numPr>
          <w:ilvl w:val="0"/>
          <w:numId w:val="20"/>
        </w:numPr>
      </w:pPr>
      <w:r w:rsidRPr="00D9348B">
        <w:t>use of field plot measurements for natural and planted forests</w:t>
      </w:r>
    </w:p>
    <w:p w14:paraId="7C4A60E3" w14:textId="77777777" w:rsidR="00643D10" w:rsidRPr="00D9348B" w:rsidRDefault="00643D10" w:rsidP="00771A8F">
      <w:pPr>
        <w:pStyle w:val="Bullet"/>
        <w:numPr>
          <w:ilvl w:val="0"/>
          <w:numId w:val="20"/>
        </w:numPr>
      </w:pPr>
      <w:r w:rsidRPr="00D9348B">
        <w:t xml:space="preserve">use of allometric models and a </w:t>
      </w:r>
      <w:r w:rsidRPr="00D9348B">
        <w:rPr>
          <w:spacing w:val="-2"/>
        </w:rPr>
        <w:t>forest carbon modelling system</w:t>
      </w:r>
      <w:r w:rsidRPr="00D9348B">
        <w:t xml:space="preserve"> to estimate carbon stock and carbon stock change in natural and planted forests respectively (Beets et al., 2014; Paul et al., unpublished(a), unpublished(b); Paul and Kimberley, unpublished)</w:t>
      </w:r>
    </w:p>
    <w:p w14:paraId="4C73DCBA" w14:textId="19192D3A" w:rsidR="00643D10" w:rsidRPr="00D9348B" w:rsidRDefault="00643D10" w:rsidP="00771A8F">
      <w:pPr>
        <w:pStyle w:val="Bullet"/>
        <w:numPr>
          <w:ilvl w:val="0"/>
          <w:numId w:val="20"/>
        </w:numPr>
      </w:pPr>
      <w:r w:rsidRPr="00D9348B">
        <w:lastRenderedPageBreak/>
        <w:t xml:space="preserve">wall-to-wall </w:t>
      </w:r>
      <w:r w:rsidR="00766DDA">
        <w:t>land-use</w:t>
      </w:r>
      <w:r w:rsidRPr="00D9348B">
        <w:t xml:space="preserve"> mapping for 1990, 2008, 2012 and 2016 using satellite and aircraft remotely sensed imagery, with additional information on post-1989 forest afforestation and deforestation of planted forest used for estimating the change</w:t>
      </w:r>
    </w:p>
    <w:p w14:paraId="13E7A1F7" w14:textId="77777777" w:rsidR="00643D10" w:rsidRPr="00D9348B" w:rsidRDefault="00643D10" w:rsidP="00771A8F">
      <w:pPr>
        <w:pStyle w:val="Bullet"/>
        <w:numPr>
          <w:ilvl w:val="0"/>
          <w:numId w:val="20"/>
        </w:numPr>
      </w:pPr>
      <w:proofErr w:type="gramStart"/>
      <w:r w:rsidRPr="00D9348B">
        <w:t>development</w:t>
      </w:r>
      <w:proofErr w:type="gramEnd"/>
      <w:r w:rsidRPr="00D9348B">
        <w:t xml:space="preserve"> of databases and applications to store and process all data associated with LULUCF activities.</w:t>
      </w:r>
    </w:p>
    <w:p w14:paraId="383D44C4" w14:textId="77777777" w:rsidR="00643D10" w:rsidRPr="00D9348B" w:rsidRDefault="00643D10" w:rsidP="00865BDB">
      <w:pPr>
        <w:pStyle w:val="Heading4"/>
        <w:spacing w:before="200"/>
      </w:pPr>
      <w:r w:rsidRPr="00D9348B">
        <w:t>Waste</w:t>
      </w:r>
    </w:p>
    <w:p w14:paraId="2183EA59" w14:textId="30B48836" w:rsidR="00643D10" w:rsidRPr="00D9348B" w:rsidRDefault="00643D10" w:rsidP="00643D10">
      <w:pPr>
        <w:pStyle w:val="BodyText"/>
      </w:pPr>
      <w:r w:rsidRPr="00D9348B">
        <w:t>Activity data have come from a variety of sources. Municipal solid waste disposal data, from mandatory reporting under the Waste Minimisation Act 2008, are used for the years for which they are available (2010 onwards). Activity data for all other sources were based on specific surveys or estimates. Interpolation based on gross domestic product or population is used for</w:t>
      </w:r>
      <w:r w:rsidR="00865BDB" w:rsidRPr="00D9348B">
        <w:t> </w:t>
      </w:r>
      <w:r w:rsidRPr="00D9348B">
        <w:t>other years.</w:t>
      </w:r>
    </w:p>
    <w:p w14:paraId="5CC21552" w14:textId="77777777" w:rsidR="00643D10" w:rsidRPr="00D9348B" w:rsidRDefault="00643D10" w:rsidP="00643D10">
      <w:pPr>
        <w:pStyle w:val="BodyText"/>
      </w:pPr>
      <w:r w:rsidRPr="00D9348B">
        <w:t xml:space="preserve">New Zealand uses Tier 2 methodologies for estimating emissions from the </w:t>
      </w:r>
      <w:r w:rsidRPr="00D9348B">
        <w:rPr>
          <w:i/>
        </w:rPr>
        <w:t>Solid waste disposal</w:t>
      </w:r>
      <w:r w:rsidRPr="00D9348B">
        <w:t xml:space="preserve"> source category, which is a key category, and for some wastewater emissions. Tier 1 methods are used to estimate most other emissions in the Waste sector.</w:t>
      </w:r>
    </w:p>
    <w:p w14:paraId="1CB8E573" w14:textId="77777777" w:rsidR="00643D10" w:rsidRPr="00D9348B" w:rsidRDefault="00643D10" w:rsidP="00643D10">
      <w:pPr>
        <w:pStyle w:val="BodyText"/>
      </w:pPr>
      <w:r w:rsidRPr="00D9348B">
        <w:t>Country-specific emission factors have been used where available, including parameters for municipal waste and for treatment of some types of industrial wastewater.</w:t>
      </w:r>
    </w:p>
    <w:p w14:paraId="7C472D83" w14:textId="77777777" w:rsidR="00643D10" w:rsidRPr="00D9348B" w:rsidRDefault="00643D10" w:rsidP="00865BDB">
      <w:pPr>
        <w:pStyle w:val="Heading4"/>
        <w:spacing w:before="200"/>
      </w:pPr>
      <w:r w:rsidRPr="00D9348B">
        <w:t>Other sector (Tokelau)</w:t>
      </w:r>
    </w:p>
    <w:p w14:paraId="51A9F865" w14:textId="77777777" w:rsidR="00643D10" w:rsidRPr="00D9348B" w:rsidRDefault="00643D10" w:rsidP="00643D10">
      <w:pPr>
        <w:pStyle w:val="BodyText"/>
      </w:pPr>
      <w:r w:rsidRPr="00D9348B">
        <w:t xml:space="preserve">The Tokelau National Statistics Office collects and processes activity data from Tokelau for inventory preparation. Table 1.4.1 contains the key sources of activity data from Tokelau used in the GHG inventory. </w:t>
      </w:r>
    </w:p>
    <w:p w14:paraId="00AB13A3" w14:textId="77777777" w:rsidR="00643D10" w:rsidRPr="00D9348B" w:rsidRDefault="00643D10" w:rsidP="00643D10">
      <w:pPr>
        <w:pStyle w:val="Table"/>
      </w:pPr>
      <w:bookmarkStart w:id="169" w:name="_Toc36224513"/>
      <w:r w:rsidRPr="00D9348B">
        <w:t>Table 1.4.1</w:t>
      </w:r>
      <w:r w:rsidRPr="00D9348B">
        <w:tab/>
        <w:t>Key sources for activity data in Tokelau</w:t>
      </w:r>
      <w:bookmarkEnd w:id="169"/>
    </w:p>
    <w:tbl>
      <w:tblPr>
        <w:tblW w:w="8505" w:type="dxa"/>
        <w:tblInd w:w="108" w:type="dxa"/>
        <w:tblBorders>
          <w:top w:val="single" w:sz="4" w:space="0" w:color="365F91"/>
          <w:bottom w:val="single" w:sz="4" w:space="0" w:color="365F91"/>
          <w:insideH w:val="single" w:sz="4" w:space="0" w:color="365F91"/>
        </w:tblBorders>
        <w:tblLayout w:type="fixed"/>
        <w:tblCellMar>
          <w:left w:w="85" w:type="dxa"/>
          <w:right w:w="85" w:type="dxa"/>
        </w:tblCellMar>
        <w:tblLook w:val="04A0" w:firstRow="1" w:lastRow="0" w:firstColumn="1" w:lastColumn="0" w:noHBand="0" w:noVBand="1"/>
      </w:tblPr>
      <w:tblGrid>
        <w:gridCol w:w="567"/>
        <w:gridCol w:w="1537"/>
        <w:gridCol w:w="2551"/>
        <w:gridCol w:w="3850"/>
      </w:tblGrid>
      <w:tr w:rsidR="00643D10" w:rsidRPr="00D9348B" w14:paraId="1E8EDD2E" w14:textId="77777777" w:rsidTr="00B25070">
        <w:trPr>
          <w:tblHeader/>
        </w:trPr>
        <w:tc>
          <w:tcPr>
            <w:tcW w:w="567" w:type="dxa"/>
            <w:shd w:val="clear" w:color="auto" w:fill="365F91"/>
            <w:vAlign w:val="bottom"/>
          </w:tcPr>
          <w:p w14:paraId="3E1CF8A1" w14:textId="77777777" w:rsidR="00643D10" w:rsidRPr="00D9348B" w:rsidRDefault="00643D10" w:rsidP="00DB330E">
            <w:pPr>
              <w:pStyle w:val="TableTextBold"/>
              <w:rPr>
                <w:rFonts w:eastAsia="Calibri" w:cs="Calibri"/>
                <w:bCs/>
                <w:noProof w:val="0"/>
                <w:color w:val="FFFFFF"/>
                <w:szCs w:val="16"/>
              </w:rPr>
            </w:pPr>
            <w:r w:rsidRPr="00D9348B">
              <w:rPr>
                <w:rFonts w:eastAsia="Calibri" w:cs="Calibri"/>
                <w:bCs/>
                <w:noProof w:val="0"/>
                <w:color w:val="FFFFFF"/>
                <w:szCs w:val="16"/>
              </w:rPr>
              <w:t>Item</w:t>
            </w:r>
          </w:p>
        </w:tc>
        <w:tc>
          <w:tcPr>
            <w:tcW w:w="1537" w:type="dxa"/>
            <w:shd w:val="clear" w:color="auto" w:fill="365F91"/>
            <w:vAlign w:val="bottom"/>
          </w:tcPr>
          <w:p w14:paraId="787B1CF7" w14:textId="77777777" w:rsidR="00643D10" w:rsidRPr="00D9348B" w:rsidRDefault="00643D10" w:rsidP="00DB330E">
            <w:pPr>
              <w:pStyle w:val="TableTextBold"/>
              <w:rPr>
                <w:rFonts w:eastAsia="Calibri" w:cs="Calibri"/>
                <w:bCs/>
                <w:noProof w:val="0"/>
                <w:color w:val="FFFFFF"/>
                <w:szCs w:val="16"/>
              </w:rPr>
            </w:pPr>
            <w:r w:rsidRPr="00D9348B">
              <w:rPr>
                <w:rFonts w:eastAsia="Calibri" w:cs="Calibri"/>
                <w:bCs/>
                <w:noProof w:val="0"/>
                <w:color w:val="FFFFFF"/>
                <w:szCs w:val="16"/>
              </w:rPr>
              <w:t>Name/abbreviation</w:t>
            </w:r>
          </w:p>
        </w:tc>
        <w:tc>
          <w:tcPr>
            <w:tcW w:w="2551" w:type="dxa"/>
            <w:shd w:val="clear" w:color="auto" w:fill="365F91"/>
            <w:vAlign w:val="bottom"/>
          </w:tcPr>
          <w:p w14:paraId="26132B4A" w14:textId="77777777" w:rsidR="00643D10" w:rsidRPr="00D9348B" w:rsidRDefault="00643D10" w:rsidP="00DB330E">
            <w:pPr>
              <w:pStyle w:val="TableTextBold"/>
              <w:rPr>
                <w:rFonts w:eastAsia="Calibri" w:cs="Calibri"/>
                <w:bCs/>
                <w:noProof w:val="0"/>
                <w:color w:val="FFFFFF"/>
                <w:szCs w:val="16"/>
              </w:rPr>
            </w:pPr>
            <w:r w:rsidRPr="00D9348B">
              <w:rPr>
                <w:rFonts w:eastAsia="Calibri" w:cs="Calibri"/>
                <w:bCs/>
                <w:noProof w:val="0"/>
                <w:color w:val="FFFFFF"/>
                <w:szCs w:val="16"/>
              </w:rPr>
              <w:t>Explanation</w:t>
            </w:r>
          </w:p>
        </w:tc>
        <w:tc>
          <w:tcPr>
            <w:tcW w:w="3850" w:type="dxa"/>
            <w:shd w:val="clear" w:color="auto" w:fill="365F91"/>
            <w:vAlign w:val="bottom"/>
          </w:tcPr>
          <w:p w14:paraId="48707D97" w14:textId="77777777" w:rsidR="00643D10" w:rsidRPr="00D9348B" w:rsidRDefault="00643D10" w:rsidP="00DB330E">
            <w:pPr>
              <w:pStyle w:val="TableTextBold"/>
              <w:rPr>
                <w:rFonts w:eastAsia="Calibri" w:cs="Calibri"/>
                <w:bCs/>
                <w:noProof w:val="0"/>
                <w:color w:val="FFFFFF"/>
                <w:szCs w:val="16"/>
              </w:rPr>
            </w:pPr>
            <w:r w:rsidRPr="00D9348B">
              <w:rPr>
                <w:rFonts w:eastAsia="Calibri" w:cs="Calibri"/>
                <w:bCs/>
                <w:noProof w:val="0"/>
                <w:color w:val="FFFFFF"/>
                <w:szCs w:val="16"/>
              </w:rPr>
              <w:t>Used where</w:t>
            </w:r>
          </w:p>
        </w:tc>
      </w:tr>
      <w:tr w:rsidR="00643D10" w:rsidRPr="00D9348B" w14:paraId="4C9904D9" w14:textId="77777777" w:rsidTr="00B25070">
        <w:tc>
          <w:tcPr>
            <w:tcW w:w="567" w:type="dxa"/>
            <w:shd w:val="clear" w:color="auto" w:fill="FFFFFF"/>
          </w:tcPr>
          <w:p w14:paraId="69C7E096" w14:textId="77777777" w:rsidR="00643D10" w:rsidRPr="00D9348B" w:rsidRDefault="00643D10" w:rsidP="00DB330E">
            <w:pPr>
              <w:pStyle w:val="TableText"/>
              <w:rPr>
                <w:rFonts w:eastAsia="Calibri" w:cs="Calibri"/>
                <w:b/>
                <w:bCs/>
                <w:szCs w:val="16"/>
              </w:rPr>
            </w:pPr>
            <w:r w:rsidRPr="00D9348B">
              <w:rPr>
                <w:rFonts w:eastAsia="Calibri" w:cs="Calibri"/>
                <w:b/>
                <w:bCs/>
                <w:szCs w:val="16"/>
              </w:rPr>
              <w:t>1</w:t>
            </w:r>
          </w:p>
        </w:tc>
        <w:tc>
          <w:tcPr>
            <w:tcW w:w="1537" w:type="dxa"/>
            <w:shd w:val="clear" w:color="auto" w:fill="auto"/>
          </w:tcPr>
          <w:p w14:paraId="33FFC125" w14:textId="77777777" w:rsidR="00643D10" w:rsidRPr="00D9348B" w:rsidRDefault="00643D10" w:rsidP="00DB330E">
            <w:pPr>
              <w:pStyle w:val="TableText"/>
              <w:rPr>
                <w:rFonts w:eastAsia="Calibri" w:cs="Calibri"/>
                <w:szCs w:val="16"/>
              </w:rPr>
            </w:pPr>
            <w:r w:rsidRPr="00D9348B">
              <w:rPr>
                <w:rFonts w:eastAsia="Calibri" w:cs="Calibri"/>
                <w:szCs w:val="16"/>
              </w:rPr>
              <w:t>Census</w:t>
            </w:r>
          </w:p>
        </w:tc>
        <w:tc>
          <w:tcPr>
            <w:tcW w:w="2551" w:type="dxa"/>
            <w:shd w:val="clear" w:color="auto" w:fill="auto"/>
          </w:tcPr>
          <w:p w14:paraId="75A17C6F" w14:textId="77777777" w:rsidR="00643D10" w:rsidRPr="00D9348B" w:rsidRDefault="00643D10" w:rsidP="00DB330E">
            <w:pPr>
              <w:pStyle w:val="TableText"/>
              <w:spacing w:after="0"/>
              <w:rPr>
                <w:rFonts w:eastAsia="Calibri" w:cs="Calibri"/>
                <w:szCs w:val="16"/>
              </w:rPr>
            </w:pPr>
            <w:r w:rsidRPr="00D9348B">
              <w:rPr>
                <w:rFonts w:eastAsia="Calibri" w:cs="Calibri"/>
                <w:szCs w:val="16"/>
              </w:rPr>
              <w:t>Tokelau Census of Population and Dwellings 2006, 2011, 2016</w:t>
            </w:r>
          </w:p>
          <w:p w14:paraId="7116BBEE" w14:textId="71471B9F" w:rsidR="00643D10" w:rsidRPr="00D9348B" w:rsidRDefault="00643D10" w:rsidP="00DB330E">
            <w:pPr>
              <w:pStyle w:val="TableText"/>
              <w:rPr>
                <w:rFonts w:eastAsia="Calibri" w:cs="Calibri"/>
                <w:szCs w:val="16"/>
              </w:rPr>
            </w:pPr>
            <w:r w:rsidRPr="00D9348B">
              <w:rPr>
                <w:rFonts w:eastAsia="Calibri" w:cs="Calibri"/>
                <w:szCs w:val="16"/>
              </w:rPr>
              <w:t>www.tinyurl.com/TokelauCensus</w:t>
            </w:r>
          </w:p>
        </w:tc>
        <w:tc>
          <w:tcPr>
            <w:tcW w:w="3850" w:type="dxa"/>
            <w:shd w:val="clear" w:color="auto" w:fill="auto"/>
          </w:tcPr>
          <w:p w14:paraId="10349732" w14:textId="77777777" w:rsidR="00643D10" w:rsidRPr="00D9348B" w:rsidRDefault="00643D10" w:rsidP="00DB330E">
            <w:pPr>
              <w:pStyle w:val="TableText"/>
              <w:rPr>
                <w:rFonts w:eastAsia="Calibri" w:cs="Calibri"/>
                <w:szCs w:val="16"/>
              </w:rPr>
            </w:pPr>
            <w:r w:rsidRPr="00D9348B">
              <w:rPr>
                <w:rFonts w:eastAsia="Calibri" w:cs="Calibri"/>
                <w:szCs w:val="16"/>
              </w:rPr>
              <w:t>Census data; interpolations for populations of people and livestock; solid and water waste disposal (flush toilets), number of private aluminium boats/outboard motors, home appliances</w:t>
            </w:r>
          </w:p>
        </w:tc>
      </w:tr>
      <w:tr w:rsidR="00643D10" w:rsidRPr="00D9348B" w14:paraId="7E41EA8F" w14:textId="77777777" w:rsidTr="00B25070">
        <w:tc>
          <w:tcPr>
            <w:tcW w:w="567" w:type="dxa"/>
            <w:shd w:val="clear" w:color="auto" w:fill="FFFFFF"/>
          </w:tcPr>
          <w:p w14:paraId="255BCEB4" w14:textId="77777777" w:rsidR="00643D10" w:rsidRPr="00D9348B" w:rsidRDefault="00643D10" w:rsidP="00DB330E">
            <w:pPr>
              <w:pStyle w:val="TableText"/>
              <w:rPr>
                <w:rFonts w:eastAsia="Calibri" w:cs="Calibri"/>
                <w:b/>
                <w:bCs/>
                <w:szCs w:val="16"/>
              </w:rPr>
            </w:pPr>
            <w:r w:rsidRPr="00D9348B">
              <w:rPr>
                <w:rFonts w:eastAsia="Calibri" w:cs="Calibri"/>
                <w:b/>
                <w:bCs/>
                <w:szCs w:val="16"/>
              </w:rPr>
              <w:t>2</w:t>
            </w:r>
          </w:p>
        </w:tc>
        <w:tc>
          <w:tcPr>
            <w:tcW w:w="1537" w:type="dxa"/>
            <w:shd w:val="clear" w:color="auto" w:fill="auto"/>
          </w:tcPr>
          <w:p w14:paraId="4E158903" w14:textId="77777777" w:rsidR="00643D10" w:rsidRPr="00D9348B" w:rsidRDefault="00643D10" w:rsidP="00DB330E">
            <w:pPr>
              <w:pStyle w:val="TableText"/>
              <w:rPr>
                <w:rFonts w:eastAsia="Calibri" w:cs="Calibri"/>
                <w:szCs w:val="16"/>
              </w:rPr>
            </w:pPr>
            <w:r w:rsidRPr="00D9348B">
              <w:rPr>
                <w:rFonts w:eastAsia="Calibri" w:cs="Calibri"/>
                <w:szCs w:val="16"/>
              </w:rPr>
              <w:t>Archives NZ</w:t>
            </w:r>
          </w:p>
        </w:tc>
        <w:tc>
          <w:tcPr>
            <w:tcW w:w="2551" w:type="dxa"/>
            <w:shd w:val="clear" w:color="auto" w:fill="auto"/>
          </w:tcPr>
          <w:p w14:paraId="2B3605B8" w14:textId="77777777" w:rsidR="00643D10" w:rsidRPr="00D9348B" w:rsidRDefault="00643D10" w:rsidP="00DB330E">
            <w:pPr>
              <w:pStyle w:val="TableText"/>
              <w:rPr>
                <w:rFonts w:eastAsia="Calibri" w:cs="Calibri"/>
                <w:szCs w:val="16"/>
              </w:rPr>
            </w:pPr>
            <w:r w:rsidRPr="00D9348B">
              <w:rPr>
                <w:rFonts w:eastAsia="Calibri" w:cs="Calibri"/>
                <w:szCs w:val="16"/>
              </w:rPr>
              <w:t>Archives New Zealand, Wellington</w:t>
            </w:r>
          </w:p>
        </w:tc>
        <w:tc>
          <w:tcPr>
            <w:tcW w:w="3850" w:type="dxa"/>
            <w:shd w:val="clear" w:color="auto" w:fill="auto"/>
          </w:tcPr>
          <w:p w14:paraId="52861E36" w14:textId="77777777" w:rsidR="00643D10" w:rsidRPr="00D9348B" w:rsidRDefault="00643D10" w:rsidP="00DB330E">
            <w:pPr>
              <w:pStyle w:val="TableText"/>
              <w:rPr>
                <w:rFonts w:eastAsia="Calibri" w:cs="Calibri"/>
                <w:szCs w:val="16"/>
              </w:rPr>
            </w:pPr>
            <w:r w:rsidRPr="00D9348B">
              <w:rPr>
                <w:rFonts w:eastAsia="Calibri" w:cs="Calibri"/>
                <w:szCs w:val="16"/>
              </w:rPr>
              <w:t>Historic Census records going back to 1951, at five-year intervals (TNSO collation and analysis)</w:t>
            </w:r>
          </w:p>
        </w:tc>
      </w:tr>
      <w:tr w:rsidR="00643D10" w:rsidRPr="00D9348B" w14:paraId="4B65616D" w14:textId="77777777" w:rsidTr="00B25070">
        <w:tc>
          <w:tcPr>
            <w:tcW w:w="567" w:type="dxa"/>
            <w:shd w:val="clear" w:color="auto" w:fill="FFFFFF"/>
          </w:tcPr>
          <w:p w14:paraId="41D07433" w14:textId="77777777" w:rsidR="00643D10" w:rsidRPr="00D9348B" w:rsidRDefault="00643D10" w:rsidP="00DB330E">
            <w:pPr>
              <w:pStyle w:val="TableText"/>
              <w:rPr>
                <w:rFonts w:eastAsia="Calibri" w:cs="Calibri"/>
                <w:b/>
                <w:bCs/>
                <w:szCs w:val="16"/>
              </w:rPr>
            </w:pPr>
            <w:r w:rsidRPr="00D9348B">
              <w:rPr>
                <w:rFonts w:eastAsia="Calibri" w:cs="Calibri"/>
                <w:b/>
                <w:bCs/>
                <w:szCs w:val="16"/>
              </w:rPr>
              <w:t>3</w:t>
            </w:r>
          </w:p>
        </w:tc>
        <w:tc>
          <w:tcPr>
            <w:tcW w:w="1537" w:type="dxa"/>
            <w:shd w:val="clear" w:color="auto" w:fill="auto"/>
          </w:tcPr>
          <w:p w14:paraId="750692EE" w14:textId="77777777" w:rsidR="00643D10" w:rsidRPr="00D9348B" w:rsidRDefault="00643D10" w:rsidP="00DB330E">
            <w:pPr>
              <w:pStyle w:val="TableText"/>
              <w:rPr>
                <w:rFonts w:eastAsia="Calibri" w:cs="Calibri"/>
                <w:szCs w:val="16"/>
              </w:rPr>
            </w:pPr>
            <w:r w:rsidRPr="00D9348B">
              <w:rPr>
                <w:rFonts w:eastAsia="Calibri" w:cs="Calibri"/>
                <w:szCs w:val="16"/>
              </w:rPr>
              <w:t>HIES</w:t>
            </w:r>
          </w:p>
        </w:tc>
        <w:tc>
          <w:tcPr>
            <w:tcW w:w="2551" w:type="dxa"/>
            <w:shd w:val="clear" w:color="auto" w:fill="auto"/>
          </w:tcPr>
          <w:p w14:paraId="183F9C77" w14:textId="77777777" w:rsidR="00643D10" w:rsidRPr="00D9348B" w:rsidRDefault="00643D10" w:rsidP="00DB330E">
            <w:pPr>
              <w:pStyle w:val="TableText"/>
              <w:spacing w:after="0"/>
              <w:rPr>
                <w:rFonts w:eastAsia="Calibri" w:cs="Calibri"/>
                <w:szCs w:val="16"/>
              </w:rPr>
            </w:pPr>
            <w:r w:rsidRPr="00D9348B">
              <w:rPr>
                <w:rFonts w:eastAsia="Calibri" w:cs="Calibri"/>
                <w:szCs w:val="16"/>
              </w:rPr>
              <w:t>Tokelau Household Income and Expenditure Survey 2015/16</w:t>
            </w:r>
          </w:p>
          <w:p w14:paraId="5B623933" w14:textId="77777777" w:rsidR="00643D10" w:rsidRPr="00D9348B" w:rsidRDefault="00643D10" w:rsidP="00DB330E">
            <w:pPr>
              <w:pStyle w:val="TableText"/>
              <w:rPr>
                <w:rFonts w:eastAsia="Calibri" w:cs="Calibri"/>
                <w:szCs w:val="16"/>
              </w:rPr>
            </w:pPr>
            <w:r w:rsidRPr="00D9348B">
              <w:rPr>
                <w:rFonts w:eastAsia="Calibri" w:cs="Calibri"/>
                <w:szCs w:val="16"/>
              </w:rPr>
              <w:t>www.tinyurl.com/TokelauHIES</w:t>
            </w:r>
          </w:p>
        </w:tc>
        <w:tc>
          <w:tcPr>
            <w:tcW w:w="3850" w:type="dxa"/>
            <w:shd w:val="clear" w:color="auto" w:fill="auto"/>
          </w:tcPr>
          <w:p w14:paraId="62394DAA" w14:textId="77777777" w:rsidR="00643D10" w:rsidRPr="00D9348B" w:rsidRDefault="00643D10" w:rsidP="00DB330E">
            <w:pPr>
              <w:pStyle w:val="TableText"/>
              <w:rPr>
                <w:rFonts w:eastAsia="Calibri" w:cs="Calibri"/>
                <w:szCs w:val="16"/>
              </w:rPr>
            </w:pPr>
            <w:r w:rsidRPr="00D9348B">
              <w:rPr>
                <w:rFonts w:eastAsia="Calibri" w:cs="Calibri"/>
                <w:szCs w:val="16"/>
              </w:rPr>
              <w:t>Population and dwellings data supplementary to Census, in partnership with Pacific Community (SPC)</w:t>
            </w:r>
          </w:p>
        </w:tc>
      </w:tr>
      <w:tr w:rsidR="00643D10" w:rsidRPr="00D9348B" w14:paraId="36F97E20" w14:textId="77777777" w:rsidTr="00B25070">
        <w:tc>
          <w:tcPr>
            <w:tcW w:w="567" w:type="dxa"/>
            <w:shd w:val="clear" w:color="auto" w:fill="FFFFFF"/>
          </w:tcPr>
          <w:p w14:paraId="0B57774E" w14:textId="77777777" w:rsidR="00643D10" w:rsidRPr="00D9348B" w:rsidRDefault="00643D10" w:rsidP="00DB330E">
            <w:pPr>
              <w:pStyle w:val="TableText"/>
              <w:rPr>
                <w:rFonts w:eastAsia="Calibri" w:cs="Calibri"/>
                <w:b/>
                <w:bCs/>
                <w:szCs w:val="16"/>
              </w:rPr>
            </w:pPr>
            <w:r w:rsidRPr="00D9348B">
              <w:rPr>
                <w:rFonts w:eastAsia="Calibri" w:cs="Calibri"/>
                <w:b/>
                <w:bCs/>
                <w:szCs w:val="16"/>
              </w:rPr>
              <w:t>4</w:t>
            </w:r>
          </w:p>
        </w:tc>
        <w:tc>
          <w:tcPr>
            <w:tcW w:w="1537" w:type="dxa"/>
            <w:shd w:val="clear" w:color="auto" w:fill="auto"/>
          </w:tcPr>
          <w:p w14:paraId="3588A39C" w14:textId="77777777" w:rsidR="00643D10" w:rsidRPr="00D9348B" w:rsidRDefault="00643D10" w:rsidP="00DB330E">
            <w:pPr>
              <w:pStyle w:val="TableText"/>
              <w:rPr>
                <w:rFonts w:eastAsia="Calibri" w:cs="Calibri"/>
                <w:szCs w:val="16"/>
              </w:rPr>
            </w:pPr>
            <w:r w:rsidRPr="00D9348B">
              <w:rPr>
                <w:rFonts w:eastAsia="Calibri" w:cs="Calibri"/>
                <w:szCs w:val="16"/>
              </w:rPr>
              <w:t>SNZ, StatsNZ</w:t>
            </w:r>
          </w:p>
        </w:tc>
        <w:tc>
          <w:tcPr>
            <w:tcW w:w="2551" w:type="dxa"/>
            <w:shd w:val="clear" w:color="auto" w:fill="auto"/>
          </w:tcPr>
          <w:p w14:paraId="55F95AF5" w14:textId="77777777" w:rsidR="00643D10" w:rsidRPr="00D9348B" w:rsidRDefault="00643D10" w:rsidP="00DB330E">
            <w:pPr>
              <w:pStyle w:val="TableText"/>
              <w:spacing w:after="0"/>
              <w:rPr>
                <w:rFonts w:eastAsia="Calibri" w:cs="Calibri"/>
                <w:szCs w:val="16"/>
              </w:rPr>
            </w:pPr>
            <w:r w:rsidRPr="00D9348B">
              <w:rPr>
                <w:rFonts w:eastAsia="Calibri" w:cs="Calibri"/>
                <w:szCs w:val="16"/>
              </w:rPr>
              <w:t>Statistics New Zealand, Wellington</w:t>
            </w:r>
          </w:p>
          <w:p w14:paraId="5A234730" w14:textId="77777777" w:rsidR="00643D10" w:rsidRPr="00D9348B" w:rsidRDefault="00DA6C03" w:rsidP="00DB330E">
            <w:pPr>
              <w:pStyle w:val="TableText"/>
              <w:rPr>
                <w:rFonts w:eastAsia="Calibri" w:cs="Calibri"/>
                <w:szCs w:val="16"/>
              </w:rPr>
            </w:pPr>
            <w:hyperlink r:id="rId43" w:history="1">
              <w:r w:rsidR="00643D10" w:rsidRPr="00D9348B">
                <w:rPr>
                  <w:rStyle w:val="Hyperlink"/>
                  <w:rFonts w:eastAsia="Calibri" w:cs="Calibri"/>
                  <w:color w:val="auto"/>
                  <w:szCs w:val="16"/>
                </w:rPr>
                <w:t>www.stats.govt.nz</w:t>
              </w:r>
            </w:hyperlink>
          </w:p>
        </w:tc>
        <w:tc>
          <w:tcPr>
            <w:tcW w:w="3850" w:type="dxa"/>
            <w:shd w:val="clear" w:color="auto" w:fill="auto"/>
          </w:tcPr>
          <w:p w14:paraId="166EE2A4" w14:textId="77777777" w:rsidR="00643D10" w:rsidRPr="00D9348B" w:rsidRDefault="00643D10" w:rsidP="00DB330E">
            <w:pPr>
              <w:pStyle w:val="TableText"/>
              <w:rPr>
                <w:rFonts w:eastAsia="Calibri" w:cs="Calibri"/>
                <w:szCs w:val="16"/>
              </w:rPr>
            </w:pPr>
            <w:r w:rsidRPr="00D9348B">
              <w:rPr>
                <w:rFonts w:eastAsia="Calibri" w:cs="Calibri"/>
                <w:szCs w:val="16"/>
              </w:rPr>
              <w:t>Major partner in collection, analysis and publication of Tokelau Census data</w:t>
            </w:r>
          </w:p>
        </w:tc>
      </w:tr>
      <w:tr w:rsidR="00643D10" w:rsidRPr="00D9348B" w14:paraId="48C21E8B" w14:textId="77777777" w:rsidTr="00B25070">
        <w:tc>
          <w:tcPr>
            <w:tcW w:w="567" w:type="dxa"/>
            <w:shd w:val="clear" w:color="auto" w:fill="FFFFFF"/>
          </w:tcPr>
          <w:p w14:paraId="1C687595" w14:textId="77777777" w:rsidR="00643D10" w:rsidRPr="00D9348B" w:rsidRDefault="00643D10" w:rsidP="00DB330E">
            <w:pPr>
              <w:pStyle w:val="TableText"/>
              <w:rPr>
                <w:rFonts w:eastAsia="Calibri" w:cs="Calibri"/>
                <w:b/>
                <w:bCs/>
                <w:szCs w:val="16"/>
              </w:rPr>
            </w:pPr>
            <w:r w:rsidRPr="00D9348B">
              <w:rPr>
                <w:rFonts w:eastAsia="Calibri" w:cs="Calibri"/>
                <w:b/>
                <w:bCs/>
                <w:szCs w:val="16"/>
              </w:rPr>
              <w:t>5</w:t>
            </w:r>
          </w:p>
        </w:tc>
        <w:tc>
          <w:tcPr>
            <w:tcW w:w="1537" w:type="dxa"/>
            <w:shd w:val="clear" w:color="auto" w:fill="auto"/>
          </w:tcPr>
          <w:p w14:paraId="6E739471" w14:textId="77777777" w:rsidR="00643D10" w:rsidRPr="00D9348B" w:rsidRDefault="00643D10" w:rsidP="00DB330E">
            <w:pPr>
              <w:pStyle w:val="TableText"/>
              <w:rPr>
                <w:rFonts w:eastAsia="Calibri" w:cs="Calibri"/>
                <w:szCs w:val="16"/>
              </w:rPr>
            </w:pPr>
            <w:r w:rsidRPr="00D9348B">
              <w:rPr>
                <w:rFonts w:eastAsia="Calibri" w:cs="Calibri"/>
                <w:szCs w:val="16"/>
              </w:rPr>
              <w:t>TNSO</w:t>
            </w:r>
          </w:p>
        </w:tc>
        <w:tc>
          <w:tcPr>
            <w:tcW w:w="2551" w:type="dxa"/>
            <w:shd w:val="clear" w:color="auto" w:fill="auto"/>
          </w:tcPr>
          <w:p w14:paraId="63129F8C" w14:textId="77777777" w:rsidR="00643D10" w:rsidRPr="00D9348B" w:rsidRDefault="00643D10" w:rsidP="00DB330E">
            <w:pPr>
              <w:pStyle w:val="TableText"/>
              <w:spacing w:after="0"/>
              <w:rPr>
                <w:rFonts w:eastAsia="Calibri" w:cs="Calibri"/>
                <w:szCs w:val="16"/>
              </w:rPr>
            </w:pPr>
            <w:r w:rsidRPr="00D9348B">
              <w:rPr>
                <w:rFonts w:eastAsia="Calibri" w:cs="Calibri"/>
                <w:szCs w:val="16"/>
              </w:rPr>
              <w:t>Tokelau National Statistics Office, Apia</w:t>
            </w:r>
          </w:p>
          <w:p w14:paraId="5C7F984C" w14:textId="77777777" w:rsidR="00643D10" w:rsidRPr="00D9348B" w:rsidRDefault="00DA6C03" w:rsidP="00DB330E">
            <w:pPr>
              <w:pStyle w:val="TableText"/>
              <w:rPr>
                <w:rFonts w:eastAsia="Calibri" w:cs="Calibri"/>
                <w:szCs w:val="16"/>
              </w:rPr>
            </w:pPr>
            <w:hyperlink r:id="rId44" w:history="1">
              <w:r w:rsidR="00643D10" w:rsidRPr="00D9348B">
                <w:rPr>
                  <w:rStyle w:val="Hyperlink"/>
                  <w:rFonts w:eastAsia="Calibri" w:cs="Calibri"/>
                  <w:color w:val="auto"/>
                  <w:szCs w:val="16"/>
                </w:rPr>
                <w:t>www.tokelau.org.nz/Stats.html</w:t>
              </w:r>
            </w:hyperlink>
          </w:p>
        </w:tc>
        <w:tc>
          <w:tcPr>
            <w:tcW w:w="3850" w:type="dxa"/>
            <w:shd w:val="clear" w:color="auto" w:fill="auto"/>
          </w:tcPr>
          <w:p w14:paraId="26027EAB" w14:textId="77777777" w:rsidR="00643D10" w:rsidRPr="00D9348B" w:rsidRDefault="00643D10" w:rsidP="00DB330E">
            <w:pPr>
              <w:pStyle w:val="TableText"/>
              <w:rPr>
                <w:rFonts w:eastAsia="Calibri" w:cs="Calibri"/>
                <w:szCs w:val="16"/>
              </w:rPr>
            </w:pPr>
            <w:r w:rsidRPr="00D9348B">
              <w:rPr>
                <w:rFonts w:eastAsia="Calibri" w:cs="Calibri"/>
                <w:szCs w:val="16"/>
              </w:rPr>
              <w:t xml:space="preserve">Joint collection, analysis and publication of Tokelau Census data </w:t>
            </w:r>
          </w:p>
        </w:tc>
      </w:tr>
      <w:tr w:rsidR="00643D10" w:rsidRPr="00D9348B" w14:paraId="2D35437A" w14:textId="77777777" w:rsidTr="00B25070">
        <w:tc>
          <w:tcPr>
            <w:tcW w:w="567" w:type="dxa"/>
            <w:shd w:val="clear" w:color="auto" w:fill="FFFFFF"/>
          </w:tcPr>
          <w:p w14:paraId="5A1A8BB8" w14:textId="77777777" w:rsidR="00643D10" w:rsidRPr="00D9348B" w:rsidRDefault="00643D10" w:rsidP="00DB330E">
            <w:pPr>
              <w:pStyle w:val="TableText"/>
              <w:rPr>
                <w:rFonts w:eastAsia="Calibri" w:cs="Calibri"/>
                <w:b/>
                <w:bCs/>
                <w:szCs w:val="16"/>
              </w:rPr>
            </w:pPr>
            <w:r w:rsidRPr="00D9348B">
              <w:rPr>
                <w:rFonts w:eastAsia="Calibri" w:cs="Calibri"/>
                <w:b/>
                <w:bCs/>
                <w:szCs w:val="16"/>
              </w:rPr>
              <w:t>6</w:t>
            </w:r>
          </w:p>
        </w:tc>
        <w:tc>
          <w:tcPr>
            <w:tcW w:w="1537" w:type="dxa"/>
            <w:shd w:val="clear" w:color="auto" w:fill="auto"/>
          </w:tcPr>
          <w:p w14:paraId="476EE7C9" w14:textId="77777777" w:rsidR="00643D10" w:rsidRPr="00D9348B" w:rsidRDefault="00643D10" w:rsidP="00DB330E">
            <w:pPr>
              <w:pStyle w:val="TableText"/>
              <w:rPr>
                <w:rFonts w:eastAsia="Calibri" w:cs="Calibri"/>
                <w:szCs w:val="16"/>
              </w:rPr>
            </w:pPr>
            <w:r w:rsidRPr="00D9348B">
              <w:rPr>
                <w:rFonts w:eastAsia="Calibri" w:cs="Calibri"/>
                <w:szCs w:val="16"/>
              </w:rPr>
              <w:t>DoE</w:t>
            </w:r>
          </w:p>
        </w:tc>
        <w:tc>
          <w:tcPr>
            <w:tcW w:w="2551" w:type="dxa"/>
            <w:shd w:val="clear" w:color="auto" w:fill="auto"/>
          </w:tcPr>
          <w:p w14:paraId="04BEF0FA" w14:textId="77777777" w:rsidR="00643D10" w:rsidRPr="00D9348B" w:rsidRDefault="00643D10" w:rsidP="00DB330E">
            <w:pPr>
              <w:pStyle w:val="TableText"/>
              <w:rPr>
                <w:rFonts w:eastAsia="Calibri" w:cs="Calibri"/>
                <w:szCs w:val="16"/>
              </w:rPr>
            </w:pPr>
            <w:r w:rsidRPr="00D9348B">
              <w:rPr>
                <w:rFonts w:eastAsia="Calibri" w:cs="Calibri"/>
                <w:szCs w:val="16"/>
              </w:rPr>
              <w:t>Tokelau Department of Energy</w:t>
            </w:r>
          </w:p>
        </w:tc>
        <w:tc>
          <w:tcPr>
            <w:tcW w:w="3850" w:type="dxa"/>
            <w:shd w:val="clear" w:color="auto" w:fill="auto"/>
          </w:tcPr>
          <w:p w14:paraId="2C2F49F7" w14:textId="4765610D" w:rsidR="00643D10" w:rsidRPr="00D9348B" w:rsidRDefault="00643D10" w:rsidP="00DB330E">
            <w:pPr>
              <w:pStyle w:val="TableText"/>
              <w:rPr>
                <w:rFonts w:eastAsia="Calibri" w:cs="Calibri"/>
                <w:szCs w:val="16"/>
              </w:rPr>
            </w:pPr>
            <w:r w:rsidRPr="00D9348B">
              <w:rPr>
                <w:rFonts w:eastAsia="Calibri" w:cs="Calibri"/>
                <w:szCs w:val="16"/>
              </w:rPr>
              <w:t xml:space="preserve">Estimate of diesel use for 24/7 power generation in 2004, plus before and after installation of solar in </w:t>
            </w:r>
            <w:r w:rsidR="00865BDB" w:rsidRPr="00D9348B">
              <w:rPr>
                <w:rFonts w:eastAsia="Calibri" w:cs="Calibri"/>
                <w:szCs w:val="16"/>
              </w:rPr>
              <w:br/>
            </w:r>
            <w:r w:rsidRPr="00D9348B">
              <w:rPr>
                <w:rFonts w:eastAsia="Calibri" w:cs="Calibri"/>
                <w:szCs w:val="16"/>
              </w:rPr>
              <w:t>July–September 2012 (personal communication Mr</w:t>
            </w:r>
            <w:r w:rsidR="00865BDB" w:rsidRPr="00D9348B">
              <w:rPr>
                <w:rFonts w:eastAsia="Calibri" w:cs="Calibri"/>
                <w:szCs w:val="16"/>
              </w:rPr>
              <w:t> </w:t>
            </w:r>
            <w:r w:rsidRPr="00D9348B">
              <w:rPr>
                <w:rFonts w:eastAsia="Calibri" w:cs="Calibri"/>
                <w:szCs w:val="16"/>
              </w:rPr>
              <w:t>Robin Pene, DoE director)</w:t>
            </w:r>
          </w:p>
        </w:tc>
      </w:tr>
      <w:tr w:rsidR="00643D10" w:rsidRPr="00D9348B" w14:paraId="7C2DCBC6" w14:textId="77777777" w:rsidTr="00B25070">
        <w:tc>
          <w:tcPr>
            <w:tcW w:w="567" w:type="dxa"/>
            <w:shd w:val="clear" w:color="auto" w:fill="FFFFFF"/>
          </w:tcPr>
          <w:p w14:paraId="6F6A6261" w14:textId="77777777" w:rsidR="00643D10" w:rsidRPr="00D9348B" w:rsidRDefault="00643D10" w:rsidP="00DB330E">
            <w:pPr>
              <w:pStyle w:val="TableText"/>
              <w:rPr>
                <w:rFonts w:eastAsia="Calibri" w:cs="Calibri"/>
                <w:b/>
                <w:bCs/>
                <w:szCs w:val="16"/>
              </w:rPr>
            </w:pPr>
            <w:r w:rsidRPr="00D9348B">
              <w:rPr>
                <w:rFonts w:eastAsia="Calibri" w:cs="Calibri"/>
                <w:b/>
                <w:bCs/>
                <w:szCs w:val="16"/>
              </w:rPr>
              <w:t>7</w:t>
            </w:r>
          </w:p>
        </w:tc>
        <w:tc>
          <w:tcPr>
            <w:tcW w:w="1537" w:type="dxa"/>
            <w:shd w:val="clear" w:color="auto" w:fill="auto"/>
          </w:tcPr>
          <w:p w14:paraId="5F4D12E1" w14:textId="77777777" w:rsidR="00643D10" w:rsidRPr="00D9348B" w:rsidRDefault="00643D10" w:rsidP="00DB330E">
            <w:pPr>
              <w:pStyle w:val="TableText"/>
              <w:rPr>
                <w:rFonts w:eastAsia="Calibri" w:cs="Calibri"/>
                <w:szCs w:val="16"/>
              </w:rPr>
            </w:pPr>
            <w:r w:rsidRPr="00D9348B">
              <w:rPr>
                <w:rFonts w:eastAsia="Calibri" w:cs="Calibri"/>
                <w:szCs w:val="16"/>
              </w:rPr>
              <w:t>PPS</w:t>
            </w:r>
          </w:p>
        </w:tc>
        <w:tc>
          <w:tcPr>
            <w:tcW w:w="2551" w:type="dxa"/>
            <w:shd w:val="clear" w:color="auto" w:fill="auto"/>
          </w:tcPr>
          <w:p w14:paraId="2ADA3475" w14:textId="77777777" w:rsidR="00643D10" w:rsidRPr="00D9348B" w:rsidRDefault="00643D10" w:rsidP="00DB330E">
            <w:pPr>
              <w:pStyle w:val="TableText"/>
              <w:rPr>
                <w:rFonts w:eastAsia="Calibri" w:cs="Calibri"/>
                <w:szCs w:val="16"/>
              </w:rPr>
            </w:pPr>
            <w:r w:rsidRPr="00D9348B">
              <w:rPr>
                <w:rFonts w:eastAsia="Calibri" w:cs="Calibri"/>
                <w:szCs w:val="16"/>
              </w:rPr>
              <w:t>Petroleum Product Supplies Ltd Apia</w:t>
            </w:r>
          </w:p>
        </w:tc>
        <w:tc>
          <w:tcPr>
            <w:tcW w:w="3850" w:type="dxa"/>
            <w:shd w:val="clear" w:color="auto" w:fill="auto"/>
          </w:tcPr>
          <w:p w14:paraId="101B2381" w14:textId="77777777" w:rsidR="00643D10" w:rsidRPr="00D9348B" w:rsidRDefault="00643D10" w:rsidP="00DB330E">
            <w:pPr>
              <w:pStyle w:val="TableText"/>
              <w:rPr>
                <w:rFonts w:eastAsia="Calibri" w:cs="Calibri"/>
                <w:szCs w:val="16"/>
              </w:rPr>
            </w:pPr>
            <w:r w:rsidRPr="00D9348B">
              <w:rPr>
                <w:rFonts w:eastAsia="Calibri" w:cs="Calibri"/>
                <w:szCs w:val="16"/>
              </w:rPr>
              <w:t>Fuel prices and volumes supplied for shipping and on-atoll use of diesel, petrol, kerosene and lubricant oil</w:t>
            </w:r>
          </w:p>
        </w:tc>
      </w:tr>
      <w:tr w:rsidR="00643D10" w:rsidRPr="00D9348B" w14:paraId="02AB5F19" w14:textId="77777777" w:rsidTr="00B25070">
        <w:tc>
          <w:tcPr>
            <w:tcW w:w="567" w:type="dxa"/>
            <w:shd w:val="clear" w:color="auto" w:fill="FFFFFF"/>
          </w:tcPr>
          <w:p w14:paraId="03EF68D0" w14:textId="77777777" w:rsidR="00643D10" w:rsidRPr="00D9348B" w:rsidRDefault="00643D10" w:rsidP="00DB330E">
            <w:pPr>
              <w:pStyle w:val="TableText"/>
              <w:rPr>
                <w:rFonts w:eastAsia="Calibri" w:cs="Calibri"/>
                <w:b/>
                <w:bCs/>
                <w:szCs w:val="16"/>
              </w:rPr>
            </w:pPr>
            <w:r w:rsidRPr="00D9348B">
              <w:rPr>
                <w:rFonts w:eastAsia="Calibri" w:cs="Calibri"/>
                <w:b/>
                <w:bCs/>
                <w:szCs w:val="16"/>
              </w:rPr>
              <w:t>8</w:t>
            </w:r>
          </w:p>
        </w:tc>
        <w:tc>
          <w:tcPr>
            <w:tcW w:w="1537" w:type="dxa"/>
            <w:shd w:val="clear" w:color="auto" w:fill="auto"/>
          </w:tcPr>
          <w:p w14:paraId="1294AD09" w14:textId="77777777" w:rsidR="00643D10" w:rsidRPr="00D9348B" w:rsidRDefault="00643D10" w:rsidP="00DB330E">
            <w:pPr>
              <w:pStyle w:val="TableText"/>
              <w:rPr>
                <w:rFonts w:eastAsia="Calibri" w:cs="Calibri"/>
                <w:szCs w:val="16"/>
              </w:rPr>
            </w:pPr>
            <w:r w:rsidRPr="00D9348B">
              <w:rPr>
                <w:rFonts w:eastAsia="Calibri" w:cs="Calibri"/>
                <w:szCs w:val="16"/>
              </w:rPr>
              <w:t>DoF</w:t>
            </w:r>
          </w:p>
        </w:tc>
        <w:tc>
          <w:tcPr>
            <w:tcW w:w="2551" w:type="dxa"/>
            <w:shd w:val="clear" w:color="auto" w:fill="auto"/>
          </w:tcPr>
          <w:p w14:paraId="6CBEF1F5" w14:textId="77777777" w:rsidR="00643D10" w:rsidRPr="00D9348B" w:rsidRDefault="00643D10" w:rsidP="00DB330E">
            <w:pPr>
              <w:pStyle w:val="TableText"/>
              <w:rPr>
                <w:rFonts w:eastAsia="Calibri" w:cs="Calibri"/>
                <w:szCs w:val="16"/>
              </w:rPr>
            </w:pPr>
            <w:r w:rsidRPr="00D9348B">
              <w:rPr>
                <w:rFonts w:eastAsia="Calibri" w:cs="Calibri"/>
                <w:szCs w:val="16"/>
              </w:rPr>
              <w:t>Tokelau Department of Finance</w:t>
            </w:r>
          </w:p>
        </w:tc>
        <w:tc>
          <w:tcPr>
            <w:tcW w:w="3850" w:type="dxa"/>
            <w:shd w:val="clear" w:color="auto" w:fill="auto"/>
          </w:tcPr>
          <w:p w14:paraId="74552CFA" w14:textId="77777777" w:rsidR="00643D10" w:rsidRPr="00D9348B" w:rsidRDefault="00643D10" w:rsidP="00DB330E">
            <w:pPr>
              <w:pStyle w:val="TableText"/>
              <w:rPr>
                <w:rFonts w:eastAsia="Calibri" w:cs="Calibri"/>
                <w:szCs w:val="16"/>
              </w:rPr>
            </w:pPr>
            <w:r w:rsidRPr="00D9348B">
              <w:rPr>
                <w:rFonts w:eastAsia="Calibri" w:cs="Calibri"/>
                <w:szCs w:val="16"/>
              </w:rPr>
              <w:t>Paid invoices and payment records to PPS, Origin, and on-atoll stores</w:t>
            </w:r>
          </w:p>
        </w:tc>
      </w:tr>
      <w:tr w:rsidR="00643D10" w:rsidRPr="00D9348B" w14:paraId="6FA84722" w14:textId="77777777" w:rsidTr="00B25070">
        <w:tc>
          <w:tcPr>
            <w:tcW w:w="567" w:type="dxa"/>
            <w:shd w:val="clear" w:color="auto" w:fill="FFFFFF"/>
          </w:tcPr>
          <w:p w14:paraId="036BE155" w14:textId="77777777" w:rsidR="00643D10" w:rsidRPr="00D9348B" w:rsidRDefault="00643D10" w:rsidP="00DB330E">
            <w:pPr>
              <w:pStyle w:val="TableText"/>
              <w:rPr>
                <w:rFonts w:eastAsia="Calibri" w:cs="Calibri"/>
                <w:b/>
                <w:bCs/>
                <w:szCs w:val="16"/>
              </w:rPr>
            </w:pPr>
            <w:r w:rsidRPr="00D9348B">
              <w:rPr>
                <w:rFonts w:eastAsia="Calibri" w:cs="Calibri"/>
                <w:b/>
                <w:bCs/>
                <w:szCs w:val="16"/>
              </w:rPr>
              <w:t>9</w:t>
            </w:r>
          </w:p>
        </w:tc>
        <w:tc>
          <w:tcPr>
            <w:tcW w:w="1537" w:type="dxa"/>
            <w:shd w:val="clear" w:color="auto" w:fill="auto"/>
          </w:tcPr>
          <w:p w14:paraId="5CB0238A" w14:textId="77777777" w:rsidR="00643D10" w:rsidRPr="00D9348B" w:rsidRDefault="00643D10" w:rsidP="00DB330E">
            <w:pPr>
              <w:pStyle w:val="TableText"/>
              <w:rPr>
                <w:rFonts w:eastAsia="Calibri" w:cs="Calibri"/>
                <w:szCs w:val="16"/>
              </w:rPr>
            </w:pPr>
            <w:r w:rsidRPr="00D9348B">
              <w:rPr>
                <w:rFonts w:eastAsia="Calibri" w:cs="Calibri"/>
                <w:szCs w:val="16"/>
              </w:rPr>
              <w:t>2018 vehicle survey</w:t>
            </w:r>
          </w:p>
        </w:tc>
        <w:tc>
          <w:tcPr>
            <w:tcW w:w="2551" w:type="dxa"/>
            <w:shd w:val="clear" w:color="auto" w:fill="auto"/>
          </w:tcPr>
          <w:p w14:paraId="6C5055AA" w14:textId="77777777" w:rsidR="00643D10" w:rsidRPr="00D9348B" w:rsidRDefault="00643D10" w:rsidP="00DB330E">
            <w:pPr>
              <w:pStyle w:val="TableText"/>
              <w:rPr>
                <w:rFonts w:eastAsia="Calibri" w:cs="Calibri"/>
                <w:szCs w:val="16"/>
              </w:rPr>
            </w:pPr>
            <w:r w:rsidRPr="00D9348B">
              <w:rPr>
                <w:rFonts w:eastAsia="Calibri" w:cs="Calibri"/>
                <w:szCs w:val="16"/>
              </w:rPr>
              <w:t>Photo survey of Tokelau motorised vehicles on-atoll, August–December 2018</w:t>
            </w:r>
          </w:p>
        </w:tc>
        <w:tc>
          <w:tcPr>
            <w:tcW w:w="3850" w:type="dxa"/>
            <w:shd w:val="clear" w:color="auto" w:fill="auto"/>
          </w:tcPr>
          <w:p w14:paraId="60F344EE" w14:textId="77777777" w:rsidR="00643D10" w:rsidRPr="00D9348B" w:rsidRDefault="00643D10" w:rsidP="00DB330E">
            <w:pPr>
              <w:pStyle w:val="TableText"/>
              <w:rPr>
                <w:rFonts w:eastAsia="Calibri" w:cs="Calibri"/>
                <w:szCs w:val="16"/>
              </w:rPr>
            </w:pPr>
            <w:r w:rsidRPr="00D9348B">
              <w:rPr>
                <w:rFonts w:eastAsia="Calibri" w:cs="Calibri"/>
                <w:szCs w:val="16"/>
              </w:rPr>
              <w:t>Personal communication JA Jasperse, TNSO</w:t>
            </w:r>
          </w:p>
        </w:tc>
      </w:tr>
      <w:tr w:rsidR="00643D10" w:rsidRPr="00D9348B" w14:paraId="15E41F83" w14:textId="77777777" w:rsidTr="00B25070">
        <w:tc>
          <w:tcPr>
            <w:tcW w:w="567" w:type="dxa"/>
            <w:shd w:val="clear" w:color="auto" w:fill="FFFFFF"/>
          </w:tcPr>
          <w:p w14:paraId="25BDDA0A" w14:textId="77777777" w:rsidR="00643D10" w:rsidRPr="00D9348B" w:rsidRDefault="00643D10" w:rsidP="00DB330E">
            <w:pPr>
              <w:pStyle w:val="TableText"/>
              <w:rPr>
                <w:rFonts w:eastAsia="Calibri" w:cs="Calibri"/>
                <w:b/>
                <w:bCs/>
                <w:szCs w:val="16"/>
              </w:rPr>
            </w:pPr>
            <w:r w:rsidRPr="00D9348B">
              <w:rPr>
                <w:rFonts w:eastAsia="Calibri" w:cs="Calibri"/>
                <w:b/>
                <w:bCs/>
                <w:szCs w:val="16"/>
              </w:rPr>
              <w:lastRenderedPageBreak/>
              <w:t>10</w:t>
            </w:r>
          </w:p>
        </w:tc>
        <w:tc>
          <w:tcPr>
            <w:tcW w:w="1537" w:type="dxa"/>
            <w:shd w:val="clear" w:color="auto" w:fill="auto"/>
          </w:tcPr>
          <w:p w14:paraId="7F6280AE" w14:textId="77777777" w:rsidR="00643D10" w:rsidRPr="00D9348B" w:rsidRDefault="00643D10" w:rsidP="00DB330E">
            <w:pPr>
              <w:pStyle w:val="TableText"/>
              <w:rPr>
                <w:rFonts w:eastAsia="Calibri" w:cs="Calibri"/>
                <w:szCs w:val="16"/>
              </w:rPr>
            </w:pPr>
            <w:r w:rsidRPr="00D9348B">
              <w:rPr>
                <w:rFonts w:eastAsia="Calibri" w:cs="Calibri"/>
                <w:szCs w:val="16"/>
              </w:rPr>
              <w:t>Origin</w:t>
            </w:r>
          </w:p>
        </w:tc>
        <w:tc>
          <w:tcPr>
            <w:tcW w:w="2551" w:type="dxa"/>
            <w:shd w:val="clear" w:color="auto" w:fill="auto"/>
          </w:tcPr>
          <w:p w14:paraId="00EF8542" w14:textId="77777777" w:rsidR="00643D10" w:rsidRPr="00D9348B" w:rsidRDefault="00643D10" w:rsidP="00DB330E">
            <w:pPr>
              <w:pStyle w:val="TableText"/>
              <w:rPr>
                <w:rFonts w:eastAsia="Calibri" w:cs="Calibri"/>
                <w:szCs w:val="16"/>
              </w:rPr>
            </w:pPr>
            <w:r w:rsidRPr="00D9348B">
              <w:rPr>
                <w:rFonts w:eastAsia="Calibri" w:cs="Calibri"/>
                <w:szCs w:val="16"/>
              </w:rPr>
              <w:t>Origin Energy Samoa Ltd, Apia</w:t>
            </w:r>
          </w:p>
        </w:tc>
        <w:tc>
          <w:tcPr>
            <w:tcW w:w="3850" w:type="dxa"/>
            <w:shd w:val="clear" w:color="auto" w:fill="auto"/>
          </w:tcPr>
          <w:p w14:paraId="7FD7D3C5" w14:textId="77777777" w:rsidR="00643D10" w:rsidRPr="00D9348B" w:rsidRDefault="00643D10" w:rsidP="00DB330E">
            <w:pPr>
              <w:pStyle w:val="TableText"/>
              <w:rPr>
                <w:rFonts w:eastAsia="Calibri" w:cs="Calibri"/>
                <w:szCs w:val="16"/>
              </w:rPr>
            </w:pPr>
            <w:r w:rsidRPr="00D9348B">
              <w:rPr>
                <w:rFonts w:eastAsia="Calibri" w:cs="Calibri"/>
                <w:szCs w:val="16"/>
              </w:rPr>
              <w:t>Prices and volumes supplied for on-atoll use of propane for cooking</w:t>
            </w:r>
          </w:p>
        </w:tc>
      </w:tr>
      <w:tr w:rsidR="00643D10" w:rsidRPr="00D9348B" w14:paraId="6FFD136B" w14:textId="77777777" w:rsidTr="00B25070">
        <w:tc>
          <w:tcPr>
            <w:tcW w:w="567" w:type="dxa"/>
            <w:shd w:val="clear" w:color="auto" w:fill="FFFFFF"/>
          </w:tcPr>
          <w:p w14:paraId="6B9995AA" w14:textId="77777777" w:rsidR="00643D10" w:rsidRPr="00D9348B" w:rsidRDefault="00643D10" w:rsidP="00DB330E">
            <w:pPr>
              <w:pStyle w:val="TableText"/>
              <w:rPr>
                <w:rFonts w:eastAsia="Calibri" w:cs="Calibri"/>
                <w:b/>
                <w:bCs/>
                <w:szCs w:val="16"/>
              </w:rPr>
            </w:pPr>
            <w:r w:rsidRPr="00D9348B">
              <w:rPr>
                <w:rFonts w:eastAsia="Calibri" w:cs="Calibri"/>
                <w:b/>
                <w:bCs/>
                <w:szCs w:val="16"/>
              </w:rPr>
              <w:t>11</w:t>
            </w:r>
          </w:p>
        </w:tc>
        <w:tc>
          <w:tcPr>
            <w:tcW w:w="1537" w:type="dxa"/>
            <w:shd w:val="clear" w:color="auto" w:fill="auto"/>
          </w:tcPr>
          <w:p w14:paraId="7E0F99FC" w14:textId="77777777" w:rsidR="00643D10" w:rsidRPr="00D9348B" w:rsidRDefault="00643D10" w:rsidP="00DB330E">
            <w:pPr>
              <w:pStyle w:val="TableText"/>
              <w:rPr>
                <w:rFonts w:eastAsia="Calibri" w:cs="Calibri"/>
                <w:szCs w:val="16"/>
              </w:rPr>
            </w:pPr>
            <w:r w:rsidRPr="00D9348B">
              <w:rPr>
                <w:rFonts w:eastAsia="Calibri" w:cs="Calibri"/>
                <w:szCs w:val="16"/>
              </w:rPr>
              <w:t>PCTrade-Green</w:t>
            </w:r>
          </w:p>
        </w:tc>
        <w:tc>
          <w:tcPr>
            <w:tcW w:w="2551" w:type="dxa"/>
            <w:shd w:val="clear" w:color="auto" w:fill="auto"/>
          </w:tcPr>
          <w:p w14:paraId="379342DF" w14:textId="77777777" w:rsidR="00643D10" w:rsidRPr="00D9348B" w:rsidRDefault="00643D10" w:rsidP="00DB330E">
            <w:pPr>
              <w:pStyle w:val="TableText"/>
              <w:rPr>
                <w:rFonts w:eastAsia="Calibri" w:cs="Calibri"/>
                <w:szCs w:val="16"/>
              </w:rPr>
            </w:pPr>
            <w:r w:rsidRPr="00D9348B">
              <w:rPr>
                <w:rFonts w:eastAsia="Calibri" w:cs="Calibri"/>
                <w:szCs w:val="16"/>
              </w:rPr>
              <w:t>Excel version of PCTrade package developed by StatsNZ, Christchurch</w:t>
            </w:r>
          </w:p>
        </w:tc>
        <w:tc>
          <w:tcPr>
            <w:tcW w:w="3850" w:type="dxa"/>
            <w:shd w:val="clear" w:color="auto" w:fill="auto"/>
          </w:tcPr>
          <w:p w14:paraId="27793543" w14:textId="77777777" w:rsidR="00643D10" w:rsidRPr="00D9348B" w:rsidRDefault="00643D10" w:rsidP="00DB330E">
            <w:pPr>
              <w:pStyle w:val="TableText"/>
              <w:rPr>
                <w:rFonts w:eastAsia="Calibri" w:cs="Calibri"/>
                <w:szCs w:val="16"/>
              </w:rPr>
            </w:pPr>
            <w:r w:rsidRPr="00D9348B">
              <w:rPr>
                <w:rFonts w:eastAsia="Calibri" w:cs="Calibri"/>
                <w:szCs w:val="16"/>
              </w:rPr>
              <w:t>Used for analysing cargo shipping manifests, providing number of return voyages Apia–Tokelau over time, imports of goods, and exports of recyclables to date (2014–June 2019 data available)</w:t>
            </w:r>
          </w:p>
        </w:tc>
      </w:tr>
      <w:tr w:rsidR="00643D10" w:rsidRPr="00D9348B" w14:paraId="61E987F7" w14:textId="77777777" w:rsidTr="00B25070">
        <w:tc>
          <w:tcPr>
            <w:tcW w:w="567" w:type="dxa"/>
            <w:shd w:val="clear" w:color="auto" w:fill="FFFFFF"/>
          </w:tcPr>
          <w:p w14:paraId="5ADEE608" w14:textId="77777777" w:rsidR="00643D10" w:rsidRPr="00D9348B" w:rsidRDefault="00643D10" w:rsidP="00DB330E">
            <w:pPr>
              <w:pStyle w:val="TableText"/>
              <w:rPr>
                <w:rFonts w:eastAsia="Calibri" w:cs="Calibri"/>
                <w:b/>
                <w:bCs/>
                <w:szCs w:val="16"/>
              </w:rPr>
            </w:pPr>
            <w:r w:rsidRPr="00D9348B">
              <w:rPr>
                <w:rFonts w:eastAsia="Calibri" w:cs="Calibri"/>
                <w:b/>
                <w:bCs/>
                <w:szCs w:val="16"/>
              </w:rPr>
              <w:t>12</w:t>
            </w:r>
          </w:p>
        </w:tc>
        <w:tc>
          <w:tcPr>
            <w:tcW w:w="1537" w:type="dxa"/>
            <w:shd w:val="clear" w:color="auto" w:fill="auto"/>
          </w:tcPr>
          <w:p w14:paraId="342BABFB" w14:textId="77777777" w:rsidR="00643D10" w:rsidRPr="00D9348B" w:rsidRDefault="00643D10" w:rsidP="00DB330E">
            <w:pPr>
              <w:pStyle w:val="TableText"/>
              <w:rPr>
                <w:rFonts w:eastAsia="Calibri" w:cs="Calibri"/>
                <w:szCs w:val="16"/>
              </w:rPr>
            </w:pPr>
            <w:r w:rsidRPr="00D9348B">
              <w:rPr>
                <w:rFonts w:eastAsia="Calibri" w:cs="Calibri"/>
                <w:szCs w:val="16"/>
              </w:rPr>
              <w:t>DoH</w:t>
            </w:r>
          </w:p>
        </w:tc>
        <w:tc>
          <w:tcPr>
            <w:tcW w:w="2551" w:type="dxa"/>
            <w:shd w:val="clear" w:color="auto" w:fill="auto"/>
          </w:tcPr>
          <w:p w14:paraId="0A718551" w14:textId="77777777" w:rsidR="00643D10" w:rsidRPr="00D9348B" w:rsidRDefault="00643D10" w:rsidP="00DB330E">
            <w:pPr>
              <w:pStyle w:val="TableText"/>
              <w:rPr>
                <w:rFonts w:eastAsia="Calibri" w:cs="Calibri"/>
                <w:szCs w:val="16"/>
              </w:rPr>
            </w:pPr>
            <w:r w:rsidRPr="00D9348B">
              <w:rPr>
                <w:rFonts w:eastAsia="Calibri" w:cs="Calibri"/>
                <w:szCs w:val="16"/>
              </w:rPr>
              <w:t>Tokelau Department of Health</w:t>
            </w:r>
          </w:p>
        </w:tc>
        <w:tc>
          <w:tcPr>
            <w:tcW w:w="3850" w:type="dxa"/>
            <w:shd w:val="clear" w:color="auto" w:fill="auto"/>
          </w:tcPr>
          <w:p w14:paraId="401432B1" w14:textId="77777777" w:rsidR="00643D10" w:rsidRPr="00D9348B" w:rsidRDefault="00643D10" w:rsidP="00DB330E">
            <w:pPr>
              <w:pStyle w:val="TableText"/>
              <w:rPr>
                <w:rFonts w:eastAsia="Calibri" w:cs="Calibri"/>
                <w:szCs w:val="16"/>
              </w:rPr>
            </w:pPr>
            <w:r w:rsidRPr="00D9348B">
              <w:rPr>
                <w:rFonts w:eastAsia="Calibri" w:cs="Calibri"/>
                <w:szCs w:val="16"/>
              </w:rPr>
              <w:t>Anecdotal information on inhalers, laser gas, fire extinguishers</w:t>
            </w:r>
          </w:p>
        </w:tc>
      </w:tr>
      <w:tr w:rsidR="00643D10" w:rsidRPr="00D9348B" w14:paraId="58E5B40B" w14:textId="77777777" w:rsidTr="00B25070">
        <w:tc>
          <w:tcPr>
            <w:tcW w:w="567" w:type="dxa"/>
            <w:shd w:val="clear" w:color="auto" w:fill="FFFFFF"/>
          </w:tcPr>
          <w:p w14:paraId="5711FC80" w14:textId="77777777" w:rsidR="00643D10" w:rsidRPr="00D9348B" w:rsidRDefault="00643D10" w:rsidP="00DB330E">
            <w:pPr>
              <w:pStyle w:val="TableText"/>
              <w:rPr>
                <w:rFonts w:eastAsia="Calibri" w:cs="Calibri"/>
                <w:b/>
                <w:bCs/>
                <w:szCs w:val="16"/>
              </w:rPr>
            </w:pPr>
            <w:r w:rsidRPr="00D9348B">
              <w:rPr>
                <w:rFonts w:eastAsia="Calibri" w:cs="Calibri"/>
                <w:b/>
                <w:bCs/>
                <w:szCs w:val="16"/>
              </w:rPr>
              <w:t>13</w:t>
            </w:r>
          </w:p>
        </w:tc>
        <w:tc>
          <w:tcPr>
            <w:tcW w:w="1537" w:type="dxa"/>
            <w:shd w:val="clear" w:color="auto" w:fill="auto"/>
          </w:tcPr>
          <w:p w14:paraId="6810984F" w14:textId="77777777" w:rsidR="00643D10" w:rsidRPr="00D9348B" w:rsidRDefault="00643D10" w:rsidP="00DB330E">
            <w:pPr>
              <w:pStyle w:val="TableText"/>
              <w:rPr>
                <w:rFonts w:eastAsia="Calibri" w:cs="Calibri"/>
                <w:szCs w:val="16"/>
              </w:rPr>
            </w:pPr>
            <w:r w:rsidRPr="00D9348B">
              <w:rPr>
                <w:rFonts w:eastAsia="Calibri" w:cs="Calibri"/>
                <w:szCs w:val="16"/>
              </w:rPr>
              <w:t>TSS</w:t>
            </w:r>
          </w:p>
        </w:tc>
        <w:tc>
          <w:tcPr>
            <w:tcW w:w="2551" w:type="dxa"/>
            <w:shd w:val="clear" w:color="auto" w:fill="auto"/>
          </w:tcPr>
          <w:p w14:paraId="5FAFF86C" w14:textId="77777777" w:rsidR="00643D10" w:rsidRPr="00D9348B" w:rsidRDefault="00643D10" w:rsidP="00DB330E">
            <w:pPr>
              <w:pStyle w:val="TableText"/>
              <w:rPr>
                <w:rFonts w:eastAsia="Calibri" w:cs="Calibri"/>
                <w:szCs w:val="16"/>
              </w:rPr>
            </w:pPr>
            <w:r w:rsidRPr="00D9348B">
              <w:rPr>
                <w:rFonts w:eastAsia="Calibri" w:cs="Calibri"/>
                <w:szCs w:val="16"/>
              </w:rPr>
              <w:t>Tokelau Department of Transport and Support Services, Apia</w:t>
            </w:r>
          </w:p>
        </w:tc>
        <w:tc>
          <w:tcPr>
            <w:tcW w:w="3850" w:type="dxa"/>
            <w:shd w:val="clear" w:color="auto" w:fill="auto"/>
          </w:tcPr>
          <w:p w14:paraId="7CDA2C62" w14:textId="77777777" w:rsidR="00643D10" w:rsidRPr="00D9348B" w:rsidRDefault="00643D10" w:rsidP="00DB330E">
            <w:pPr>
              <w:pStyle w:val="TableText"/>
              <w:rPr>
                <w:rFonts w:eastAsia="Calibri" w:cs="Calibri"/>
                <w:szCs w:val="16"/>
              </w:rPr>
            </w:pPr>
            <w:r w:rsidRPr="00D9348B">
              <w:rPr>
                <w:rFonts w:eastAsia="Calibri" w:cs="Calibri"/>
                <w:szCs w:val="16"/>
              </w:rPr>
              <w:t>Cargo shipping manifests for analysis of imports of all goods, and export of recyclables</w:t>
            </w:r>
          </w:p>
        </w:tc>
      </w:tr>
      <w:tr w:rsidR="00643D10" w:rsidRPr="00D9348B" w14:paraId="0B2F0343" w14:textId="77777777" w:rsidTr="00B25070">
        <w:tc>
          <w:tcPr>
            <w:tcW w:w="567" w:type="dxa"/>
            <w:shd w:val="clear" w:color="auto" w:fill="FFFFFF"/>
          </w:tcPr>
          <w:p w14:paraId="7F39015A" w14:textId="77777777" w:rsidR="00643D10" w:rsidRPr="00D9348B" w:rsidRDefault="00643D10" w:rsidP="00DB330E">
            <w:pPr>
              <w:pStyle w:val="TableText"/>
              <w:keepNext/>
              <w:rPr>
                <w:rFonts w:eastAsia="Calibri" w:cs="Calibri"/>
                <w:b/>
                <w:bCs/>
                <w:szCs w:val="16"/>
              </w:rPr>
            </w:pPr>
            <w:r w:rsidRPr="00D9348B">
              <w:rPr>
                <w:rFonts w:eastAsia="Calibri" w:cs="Calibri"/>
                <w:b/>
                <w:bCs/>
                <w:szCs w:val="16"/>
              </w:rPr>
              <w:t>14</w:t>
            </w:r>
          </w:p>
        </w:tc>
        <w:tc>
          <w:tcPr>
            <w:tcW w:w="1537" w:type="dxa"/>
            <w:shd w:val="clear" w:color="auto" w:fill="auto"/>
          </w:tcPr>
          <w:p w14:paraId="48F5E776" w14:textId="77777777" w:rsidR="00643D10" w:rsidRPr="00D9348B" w:rsidRDefault="00643D10" w:rsidP="00DB330E">
            <w:pPr>
              <w:pStyle w:val="TableText"/>
              <w:keepNext/>
              <w:rPr>
                <w:rFonts w:eastAsia="Calibri" w:cs="Calibri"/>
                <w:szCs w:val="16"/>
              </w:rPr>
            </w:pPr>
            <w:r w:rsidRPr="00D9348B">
              <w:rPr>
                <w:rFonts w:eastAsia="Calibri" w:cs="Calibri"/>
                <w:szCs w:val="16"/>
              </w:rPr>
              <w:t>2014 Imports study</w:t>
            </w:r>
          </w:p>
        </w:tc>
        <w:tc>
          <w:tcPr>
            <w:tcW w:w="2551" w:type="dxa"/>
            <w:shd w:val="clear" w:color="auto" w:fill="auto"/>
          </w:tcPr>
          <w:p w14:paraId="1CBD66D2" w14:textId="77777777" w:rsidR="00643D10" w:rsidRPr="00D9348B" w:rsidRDefault="00643D10" w:rsidP="00DB330E">
            <w:pPr>
              <w:pStyle w:val="TableText"/>
              <w:keepNext/>
              <w:rPr>
                <w:rFonts w:eastAsia="Calibri" w:cs="Calibri"/>
                <w:szCs w:val="16"/>
              </w:rPr>
            </w:pPr>
            <w:r w:rsidRPr="00D9348B">
              <w:rPr>
                <w:rFonts w:eastAsia="Calibri" w:cs="Calibri"/>
                <w:szCs w:val="16"/>
              </w:rPr>
              <w:t xml:space="preserve">Jasperse, JA. 2016. </w:t>
            </w:r>
            <w:r w:rsidRPr="00D9348B">
              <w:rPr>
                <w:rFonts w:eastAsia="Calibri" w:cs="Calibri"/>
                <w:i/>
                <w:iCs/>
                <w:szCs w:val="16"/>
              </w:rPr>
              <w:t>Analysis of 2014 imports into Tokelau from Samoa, Part 2: Stores’ invoices reconciled with cargo manifests, and quality of life implications</w:t>
            </w:r>
            <w:r w:rsidRPr="00D9348B">
              <w:rPr>
                <w:rFonts w:eastAsia="Calibri" w:cs="Calibri"/>
                <w:szCs w:val="16"/>
              </w:rPr>
              <w:t xml:space="preserve">. Tokelau National Statistics Office </w:t>
            </w:r>
          </w:p>
        </w:tc>
        <w:tc>
          <w:tcPr>
            <w:tcW w:w="3850" w:type="dxa"/>
            <w:shd w:val="clear" w:color="auto" w:fill="auto"/>
          </w:tcPr>
          <w:p w14:paraId="291E4EAC" w14:textId="77777777" w:rsidR="00643D10" w:rsidRPr="00D9348B" w:rsidRDefault="00643D10" w:rsidP="00DB330E">
            <w:pPr>
              <w:pStyle w:val="TableText"/>
              <w:keepNext/>
              <w:spacing w:after="0"/>
              <w:rPr>
                <w:rFonts w:eastAsia="Calibri" w:cs="Calibri"/>
                <w:szCs w:val="16"/>
              </w:rPr>
            </w:pPr>
            <w:r w:rsidRPr="00D9348B">
              <w:rPr>
                <w:rFonts w:eastAsia="Calibri" w:cs="Calibri"/>
                <w:szCs w:val="16"/>
              </w:rPr>
              <w:t>Various Energy and Waste sector data, for example, calculation of per capita protein consumption</w:t>
            </w:r>
          </w:p>
          <w:p w14:paraId="0ABCE1CC" w14:textId="77777777" w:rsidR="00643D10" w:rsidRPr="00D9348B" w:rsidRDefault="00DA6C03" w:rsidP="00DB330E">
            <w:pPr>
              <w:pStyle w:val="TableText"/>
              <w:keepNext/>
              <w:rPr>
                <w:rFonts w:eastAsia="Calibri" w:cs="Calibri"/>
                <w:szCs w:val="16"/>
              </w:rPr>
            </w:pPr>
            <w:hyperlink r:id="rId45" w:history="1">
              <w:r w:rsidR="00643D10" w:rsidRPr="00D9348B">
                <w:rPr>
                  <w:rStyle w:val="Hyperlink"/>
                  <w:rFonts w:eastAsia="Calibri" w:cs="Calibri"/>
                  <w:color w:val="auto"/>
                  <w:szCs w:val="16"/>
                </w:rPr>
                <w:t>www.tokelau.org.nz/Bulletin/September+2016/2014+imports+final.html</w:t>
              </w:r>
            </w:hyperlink>
          </w:p>
        </w:tc>
      </w:tr>
      <w:tr w:rsidR="00643D10" w:rsidRPr="00D9348B" w14:paraId="2153DC08" w14:textId="77777777" w:rsidTr="00B25070">
        <w:tc>
          <w:tcPr>
            <w:tcW w:w="567" w:type="dxa"/>
            <w:shd w:val="clear" w:color="auto" w:fill="FFFFFF"/>
          </w:tcPr>
          <w:p w14:paraId="259CE501" w14:textId="77777777" w:rsidR="00643D10" w:rsidRPr="00D9348B" w:rsidRDefault="00643D10" w:rsidP="00DB330E">
            <w:pPr>
              <w:pStyle w:val="TableText"/>
              <w:rPr>
                <w:rFonts w:eastAsia="Calibri" w:cs="Calibri"/>
                <w:b/>
                <w:bCs/>
                <w:szCs w:val="16"/>
              </w:rPr>
            </w:pPr>
            <w:r w:rsidRPr="00D9348B">
              <w:rPr>
                <w:rFonts w:eastAsia="Calibri" w:cs="Calibri"/>
                <w:b/>
                <w:bCs/>
                <w:szCs w:val="16"/>
              </w:rPr>
              <w:t>15</w:t>
            </w:r>
          </w:p>
        </w:tc>
        <w:tc>
          <w:tcPr>
            <w:tcW w:w="1537" w:type="dxa"/>
            <w:shd w:val="clear" w:color="auto" w:fill="auto"/>
          </w:tcPr>
          <w:p w14:paraId="0F0A0BAB" w14:textId="77777777" w:rsidR="00643D10" w:rsidRPr="00D9348B" w:rsidRDefault="00643D10" w:rsidP="00DB330E">
            <w:pPr>
              <w:pStyle w:val="TableText"/>
              <w:rPr>
                <w:rFonts w:eastAsia="Calibri" w:cs="Calibri"/>
                <w:szCs w:val="16"/>
              </w:rPr>
            </w:pPr>
            <w:r w:rsidRPr="00D9348B">
              <w:rPr>
                <w:rFonts w:eastAsia="Calibri" w:cs="Calibri"/>
                <w:szCs w:val="16"/>
              </w:rPr>
              <w:t>EDNRE</w:t>
            </w:r>
          </w:p>
        </w:tc>
        <w:tc>
          <w:tcPr>
            <w:tcW w:w="2551" w:type="dxa"/>
            <w:shd w:val="clear" w:color="auto" w:fill="auto"/>
          </w:tcPr>
          <w:p w14:paraId="0F6E4A5C" w14:textId="77777777" w:rsidR="00643D10" w:rsidRPr="00D9348B" w:rsidRDefault="00643D10" w:rsidP="00DB330E">
            <w:pPr>
              <w:pStyle w:val="TableText"/>
              <w:rPr>
                <w:rFonts w:eastAsia="Calibri" w:cs="Calibri"/>
                <w:szCs w:val="16"/>
              </w:rPr>
            </w:pPr>
            <w:r w:rsidRPr="00D9348B">
              <w:rPr>
                <w:rFonts w:eastAsia="Calibri" w:cs="Calibri"/>
                <w:szCs w:val="16"/>
              </w:rPr>
              <w:t>Tokelau Department of Economic Development, Natural Resources and Environment</w:t>
            </w:r>
          </w:p>
        </w:tc>
        <w:tc>
          <w:tcPr>
            <w:tcW w:w="3850" w:type="dxa"/>
            <w:shd w:val="clear" w:color="auto" w:fill="auto"/>
          </w:tcPr>
          <w:p w14:paraId="1527577C" w14:textId="77777777" w:rsidR="00643D10" w:rsidRPr="00D9348B" w:rsidRDefault="00643D10" w:rsidP="00DB330E">
            <w:pPr>
              <w:pStyle w:val="TableText"/>
              <w:rPr>
                <w:rFonts w:eastAsia="Calibri" w:cs="Calibri"/>
                <w:szCs w:val="16"/>
              </w:rPr>
            </w:pPr>
            <w:r w:rsidRPr="00D9348B">
              <w:rPr>
                <w:rFonts w:eastAsia="Calibri" w:cs="Calibri"/>
                <w:szCs w:val="16"/>
              </w:rPr>
              <w:t>Anecdotal information on waste disposal and export</w:t>
            </w:r>
          </w:p>
        </w:tc>
      </w:tr>
      <w:tr w:rsidR="00643D10" w:rsidRPr="00D9348B" w14:paraId="363DDD6B" w14:textId="77777777" w:rsidTr="00B25070">
        <w:tc>
          <w:tcPr>
            <w:tcW w:w="567" w:type="dxa"/>
            <w:shd w:val="clear" w:color="auto" w:fill="FFFFFF"/>
          </w:tcPr>
          <w:p w14:paraId="292CEA49" w14:textId="77777777" w:rsidR="00643D10" w:rsidRPr="00D9348B" w:rsidRDefault="00643D10" w:rsidP="00DB330E">
            <w:pPr>
              <w:pStyle w:val="TableText"/>
              <w:rPr>
                <w:rFonts w:eastAsia="Calibri" w:cs="Calibri"/>
                <w:b/>
                <w:bCs/>
                <w:szCs w:val="16"/>
              </w:rPr>
            </w:pPr>
            <w:r w:rsidRPr="00D9348B">
              <w:rPr>
                <w:rFonts w:eastAsia="Calibri" w:cs="Calibri"/>
                <w:b/>
                <w:bCs/>
                <w:szCs w:val="16"/>
              </w:rPr>
              <w:t>16</w:t>
            </w:r>
          </w:p>
        </w:tc>
        <w:tc>
          <w:tcPr>
            <w:tcW w:w="1537" w:type="dxa"/>
            <w:shd w:val="clear" w:color="auto" w:fill="auto"/>
          </w:tcPr>
          <w:p w14:paraId="3B24C205" w14:textId="77777777" w:rsidR="00643D10" w:rsidRPr="00D9348B" w:rsidRDefault="00643D10" w:rsidP="00DB330E">
            <w:pPr>
              <w:pStyle w:val="TableText"/>
              <w:rPr>
                <w:rFonts w:eastAsia="Calibri" w:cs="Calibri"/>
                <w:szCs w:val="16"/>
              </w:rPr>
            </w:pPr>
            <w:r w:rsidRPr="00D9348B">
              <w:rPr>
                <w:rFonts w:eastAsia="Calibri" w:cs="Calibri"/>
                <w:szCs w:val="16"/>
              </w:rPr>
              <w:t>PCRAFI</w:t>
            </w:r>
          </w:p>
        </w:tc>
        <w:tc>
          <w:tcPr>
            <w:tcW w:w="2551" w:type="dxa"/>
            <w:shd w:val="clear" w:color="auto" w:fill="auto"/>
          </w:tcPr>
          <w:p w14:paraId="0C3408F2" w14:textId="77777777" w:rsidR="00643D10" w:rsidRPr="00D9348B" w:rsidRDefault="00643D10" w:rsidP="00DB330E">
            <w:pPr>
              <w:pStyle w:val="TableText"/>
              <w:rPr>
                <w:rFonts w:eastAsia="Calibri" w:cs="Calibri"/>
                <w:szCs w:val="16"/>
              </w:rPr>
            </w:pPr>
            <w:r w:rsidRPr="00D9348B">
              <w:rPr>
                <w:rFonts w:eastAsia="Calibri" w:cs="Calibri"/>
                <w:szCs w:val="16"/>
              </w:rPr>
              <w:t xml:space="preserve">Koroisamanunu, Iva; Joy Papao; Mereoni Ketewai; and Arieta Sokota: </w:t>
            </w:r>
            <w:r w:rsidRPr="00D9348B">
              <w:rPr>
                <w:rFonts w:eastAsia="Calibri" w:cs="Calibri"/>
                <w:i/>
                <w:iCs/>
                <w:szCs w:val="16"/>
              </w:rPr>
              <w:t>Mission Preliminary Report (Fieldwork undertaken from 8 August – 2 September 2013). SOPAC technical note (PR193)</w:t>
            </w:r>
            <w:r w:rsidRPr="00D9348B">
              <w:rPr>
                <w:rFonts w:eastAsia="Calibri" w:cs="Calibri"/>
                <w:szCs w:val="16"/>
              </w:rPr>
              <w:t>, May 2014. Water and Sanitation Programme and Disaster Reduction Programme. Applied Geoscience and Technology Division (SOPAC), Suva, Fiji Islands</w:t>
            </w:r>
          </w:p>
        </w:tc>
        <w:tc>
          <w:tcPr>
            <w:tcW w:w="3850" w:type="dxa"/>
            <w:shd w:val="clear" w:color="auto" w:fill="auto"/>
          </w:tcPr>
          <w:p w14:paraId="4347D832" w14:textId="77777777" w:rsidR="00643D10" w:rsidRPr="00D9348B" w:rsidRDefault="00643D10" w:rsidP="00DB330E">
            <w:pPr>
              <w:pStyle w:val="TableText"/>
              <w:rPr>
                <w:rFonts w:eastAsia="Calibri" w:cs="Calibri"/>
                <w:szCs w:val="16"/>
              </w:rPr>
            </w:pPr>
            <w:r w:rsidRPr="00D9348B">
              <w:rPr>
                <w:rFonts w:eastAsia="Calibri" w:cs="Calibri"/>
                <w:szCs w:val="16"/>
              </w:rPr>
              <w:t>Information on drinking water, wastewater and sanitation</w:t>
            </w:r>
          </w:p>
        </w:tc>
      </w:tr>
      <w:tr w:rsidR="00643D10" w:rsidRPr="00D9348B" w14:paraId="3A850A55" w14:textId="77777777" w:rsidTr="00B25070">
        <w:tc>
          <w:tcPr>
            <w:tcW w:w="567" w:type="dxa"/>
            <w:shd w:val="clear" w:color="auto" w:fill="FFFFFF"/>
          </w:tcPr>
          <w:p w14:paraId="7E6410E2" w14:textId="77777777" w:rsidR="00643D10" w:rsidRPr="00D9348B" w:rsidRDefault="00643D10" w:rsidP="00DB330E">
            <w:pPr>
              <w:pStyle w:val="TableText"/>
              <w:rPr>
                <w:rFonts w:eastAsia="Calibri" w:cs="Calibri"/>
                <w:b/>
                <w:bCs/>
                <w:szCs w:val="16"/>
              </w:rPr>
            </w:pPr>
            <w:r w:rsidRPr="00D9348B">
              <w:rPr>
                <w:rFonts w:eastAsia="Calibri" w:cs="Calibri"/>
                <w:b/>
                <w:bCs/>
                <w:szCs w:val="16"/>
              </w:rPr>
              <w:t>17</w:t>
            </w:r>
          </w:p>
        </w:tc>
        <w:tc>
          <w:tcPr>
            <w:tcW w:w="1537" w:type="dxa"/>
            <w:shd w:val="clear" w:color="auto" w:fill="auto"/>
          </w:tcPr>
          <w:p w14:paraId="5FE8A516" w14:textId="77777777" w:rsidR="00643D10" w:rsidRPr="00D9348B" w:rsidRDefault="00643D10" w:rsidP="00DB330E">
            <w:pPr>
              <w:pStyle w:val="TableText"/>
              <w:rPr>
                <w:rFonts w:eastAsia="Calibri" w:cs="Calibri"/>
                <w:szCs w:val="16"/>
              </w:rPr>
            </w:pPr>
            <w:r w:rsidRPr="00D9348B">
              <w:rPr>
                <w:rFonts w:eastAsia="Calibri" w:cs="Calibri"/>
                <w:szCs w:val="16"/>
              </w:rPr>
              <w:t>MiCORE</w:t>
            </w:r>
          </w:p>
        </w:tc>
        <w:tc>
          <w:tcPr>
            <w:tcW w:w="2551" w:type="dxa"/>
            <w:shd w:val="clear" w:color="auto" w:fill="auto"/>
          </w:tcPr>
          <w:p w14:paraId="7B1227E9" w14:textId="77777777" w:rsidR="00643D10" w:rsidRPr="00D9348B" w:rsidRDefault="00643D10" w:rsidP="00DB330E">
            <w:pPr>
              <w:pStyle w:val="TableText"/>
              <w:rPr>
                <w:rFonts w:eastAsia="Calibri" w:cs="Calibri"/>
                <w:szCs w:val="16"/>
              </w:rPr>
            </w:pPr>
            <w:r w:rsidRPr="00D9348B">
              <w:rPr>
                <w:rFonts w:eastAsia="Calibri" w:cs="Calibri"/>
                <w:szCs w:val="16"/>
              </w:rPr>
              <w:t>Tokelau Ministry of Climate, Oceans and Resilience</w:t>
            </w:r>
          </w:p>
        </w:tc>
        <w:tc>
          <w:tcPr>
            <w:tcW w:w="3850" w:type="dxa"/>
            <w:shd w:val="clear" w:color="auto" w:fill="auto"/>
          </w:tcPr>
          <w:p w14:paraId="02921D92" w14:textId="77777777" w:rsidR="00643D10" w:rsidRPr="00D9348B" w:rsidRDefault="00643D10" w:rsidP="00DB330E">
            <w:pPr>
              <w:pStyle w:val="TableText"/>
              <w:rPr>
                <w:rFonts w:eastAsia="Calibri" w:cs="Calibri"/>
                <w:szCs w:val="16"/>
              </w:rPr>
            </w:pPr>
            <w:r w:rsidRPr="00D9348B">
              <w:rPr>
                <w:rFonts w:eastAsia="Calibri" w:cs="Calibri"/>
                <w:szCs w:val="16"/>
              </w:rPr>
              <w:t>Partner to Memorandum of Understanding (MOU) with New Zealand Ministry for the Environment (MfE) leading to the present inventory</w:t>
            </w:r>
          </w:p>
        </w:tc>
      </w:tr>
    </w:tbl>
    <w:p w14:paraId="62356082" w14:textId="77777777" w:rsidR="00643D10" w:rsidRPr="00D9348B" w:rsidRDefault="00643D10" w:rsidP="00865BDB">
      <w:pPr>
        <w:pStyle w:val="Heading2"/>
        <w:spacing w:before="440"/>
      </w:pPr>
      <w:bookmarkStart w:id="170" w:name="_Toc352504824"/>
      <w:bookmarkStart w:id="171" w:name="_Toc414531272"/>
      <w:bookmarkStart w:id="172" w:name="_Toc448321493"/>
      <w:bookmarkStart w:id="173" w:name="_Toc511116570"/>
      <w:bookmarkStart w:id="174" w:name="_Toc5269332"/>
      <w:bookmarkStart w:id="175" w:name="_Toc36224372"/>
      <w:r w:rsidRPr="00D9348B">
        <w:t>1.5</w:t>
      </w:r>
      <w:r w:rsidRPr="00D9348B">
        <w:tab/>
        <w:t>Key categories</w:t>
      </w:r>
      <w:bookmarkEnd w:id="170"/>
      <w:bookmarkEnd w:id="171"/>
      <w:bookmarkEnd w:id="172"/>
      <w:bookmarkEnd w:id="173"/>
      <w:bookmarkEnd w:id="174"/>
      <w:bookmarkEnd w:id="175"/>
    </w:p>
    <w:p w14:paraId="34C43391" w14:textId="77777777" w:rsidR="00643D10" w:rsidRPr="00D9348B" w:rsidRDefault="00643D10" w:rsidP="00865BDB">
      <w:pPr>
        <w:pStyle w:val="Heading3"/>
        <w:spacing w:before="160"/>
      </w:pPr>
      <w:r w:rsidRPr="00D9348B">
        <w:t xml:space="preserve">1.5.1 </w:t>
      </w:r>
      <w:r w:rsidRPr="00D9348B">
        <w:tab/>
        <w:t>Reporting under the Convention</w:t>
      </w:r>
    </w:p>
    <w:p w14:paraId="65FB216F" w14:textId="77777777" w:rsidR="00643D10" w:rsidRPr="00D9348B" w:rsidRDefault="00643D10" w:rsidP="00643D10">
      <w:pPr>
        <w:pStyle w:val="BodyText"/>
        <w:rPr>
          <w:spacing w:val="-2"/>
        </w:rPr>
      </w:pPr>
      <w:r w:rsidRPr="00D9348B">
        <w:rPr>
          <w:spacing w:val="-2"/>
        </w:rPr>
        <w:t xml:space="preserve">The 2006 IPCC Guidelines (IPCC, 2006b, Vol 1, section 4.1.1, p 4.5) identify a key category as: </w:t>
      </w:r>
    </w:p>
    <w:p w14:paraId="6E3E7E68" w14:textId="77777777" w:rsidR="00643D10" w:rsidRPr="00D9348B" w:rsidRDefault="00643D10" w:rsidP="00643D10">
      <w:pPr>
        <w:pStyle w:val="Quote"/>
      </w:pPr>
      <w:r w:rsidRPr="00D9348B">
        <w:t xml:space="preserve">…one that is prioritised within the National Inventory System because its estimate has a significant influence on a country’s total Inventory of direct greenhouse gases in terms of the absolute level of emissions, the trend in emissions, or both. </w:t>
      </w:r>
    </w:p>
    <w:p w14:paraId="6E8448E0" w14:textId="77777777" w:rsidR="00643D10" w:rsidRPr="00D9348B" w:rsidRDefault="00643D10" w:rsidP="00643D10">
      <w:pPr>
        <w:pStyle w:val="BodyText"/>
      </w:pPr>
      <w:r w:rsidRPr="00D9348B">
        <w:t>Key categories identified within the inventory are used to prioritise inventory improvements.</w:t>
      </w:r>
    </w:p>
    <w:p w14:paraId="63ECA532" w14:textId="77777777" w:rsidR="00643D10" w:rsidRPr="00D9348B" w:rsidRDefault="00643D10" w:rsidP="00643D10">
      <w:pPr>
        <w:pStyle w:val="BodyText"/>
      </w:pPr>
      <w:r w:rsidRPr="00D9348B">
        <w:t xml:space="preserve">Because some categories in the inventory apply default uncertainty values for emission estimates, and developing country-specific uncertainty values is resource prohibitive, the key categories in the inventory have been assessed using the Approach 1 level (L1) and Approach 1 trend (T1) methodologies from the 2006 IPCC Guidelines (IPCC, 2006b). The key category analysis identifies key categories of emissions and removals as those that sum to 95 per cent of the gross or net level of emissions and those that are within the top 95 per cent of the categories that contribute to the change between 1990 and 2018, or the trend of emissions. The key categories identified in the 2018 year are summarised in table 1.5.1. In accordance with the 2006 IPCC Guidelines, the key category analysis is performed once for the inventory including the LULUCF sector and then repeated for the inventory excluding the LULUCF sector. </w:t>
      </w:r>
      <w:r w:rsidRPr="00D9348B">
        <w:lastRenderedPageBreak/>
        <w:t xml:space="preserve">Non-LULUCF categories that are identified as key in the first analysis are still counted even when they are not identified as a key category when the LULUCF sector is included. </w:t>
      </w:r>
    </w:p>
    <w:p w14:paraId="088A57B1" w14:textId="77777777" w:rsidR="00643D10" w:rsidRPr="00D9348B" w:rsidRDefault="00643D10" w:rsidP="00643D10">
      <w:pPr>
        <w:pStyle w:val="BodyText"/>
      </w:pPr>
      <w:r w:rsidRPr="00D9348B">
        <w:t>The key category analysis performed for the inventory differs from that produced in the CRF tables, because the level of aggregation of categories is adjusted to better reflect New Zealand’s emissions profile. Specifically, a large proportion of emissions from the Energy and Agriculture sectors are disaggregated further than the key category analysis generated in the CRF tables, to allow for a more evenly proportioned analysis of categories.</w:t>
      </w:r>
    </w:p>
    <w:p w14:paraId="3E52E3B0" w14:textId="77777777" w:rsidR="00643D10" w:rsidRPr="00D9348B" w:rsidRDefault="00643D10" w:rsidP="00643D10">
      <w:pPr>
        <w:pStyle w:val="BodyText"/>
      </w:pPr>
      <w:r w:rsidRPr="00D9348B">
        <w:t>Table 1.5.2(a) identifies that the major contributions to the level analysis of net emissions for 2018 are:</w:t>
      </w:r>
    </w:p>
    <w:p w14:paraId="0CF5AE3B" w14:textId="77777777" w:rsidR="00643D10" w:rsidRPr="00D9348B" w:rsidRDefault="00643D10" w:rsidP="00771A8F">
      <w:pPr>
        <w:pStyle w:val="Bullet"/>
        <w:numPr>
          <w:ilvl w:val="0"/>
          <w:numId w:val="20"/>
        </w:numPr>
      </w:pPr>
      <w:r w:rsidRPr="00D9348B">
        <w:t>CO</w:t>
      </w:r>
      <w:r w:rsidRPr="00D9348B">
        <w:rPr>
          <w:vertAlign w:val="subscript"/>
        </w:rPr>
        <w:t>2</w:t>
      </w:r>
      <w:r w:rsidRPr="00D9348B">
        <w:t xml:space="preserve"> emissions from </w:t>
      </w:r>
      <w:r w:rsidRPr="00D9348B">
        <w:rPr>
          <w:i/>
        </w:rPr>
        <w:t>Land converted to forest land</w:t>
      </w:r>
      <w:r w:rsidRPr="00D9348B">
        <w:t xml:space="preserve"> (14.1 per cent)</w:t>
      </w:r>
    </w:p>
    <w:p w14:paraId="4829D85D" w14:textId="77777777" w:rsidR="00643D10" w:rsidRPr="00D9348B" w:rsidRDefault="00643D10" w:rsidP="00771A8F">
      <w:pPr>
        <w:pStyle w:val="Bullet"/>
        <w:numPr>
          <w:ilvl w:val="0"/>
          <w:numId w:val="20"/>
        </w:numPr>
      </w:pPr>
      <w:r w:rsidRPr="00D9348B">
        <w:t>CO</w:t>
      </w:r>
      <w:r w:rsidRPr="00D9348B">
        <w:rPr>
          <w:vertAlign w:val="subscript"/>
        </w:rPr>
        <w:t>2</w:t>
      </w:r>
      <w:r w:rsidRPr="00D9348B">
        <w:t xml:space="preserve"> emissions from </w:t>
      </w:r>
      <w:r w:rsidRPr="00D9348B">
        <w:rPr>
          <w:i/>
        </w:rPr>
        <w:t>Road transportation – Liquid fuels</w:t>
      </w:r>
      <w:r w:rsidRPr="00D9348B">
        <w:t xml:space="preserve"> (13.5 per cent)</w:t>
      </w:r>
    </w:p>
    <w:p w14:paraId="085E33D7" w14:textId="77777777" w:rsidR="00643D10" w:rsidRPr="00D9348B" w:rsidRDefault="00643D10" w:rsidP="00771A8F">
      <w:pPr>
        <w:pStyle w:val="Bullet"/>
        <w:numPr>
          <w:ilvl w:val="0"/>
          <w:numId w:val="20"/>
        </w:numPr>
      </w:pPr>
      <w:r w:rsidRPr="00D9348B">
        <w:t>CH</w:t>
      </w:r>
      <w:r w:rsidRPr="00D9348B">
        <w:rPr>
          <w:vertAlign w:val="subscript"/>
        </w:rPr>
        <w:t xml:space="preserve">4 </w:t>
      </w:r>
      <w:r w:rsidRPr="00D9348B">
        <w:t xml:space="preserve">emissions from </w:t>
      </w:r>
      <w:r w:rsidRPr="00D9348B">
        <w:rPr>
          <w:i/>
        </w:rPr>
        <w:t>Dairy cattle</w:t>
      </w:r>
      <w:r w:rsidRPr="00D9348B">
        <w:t xml:space="preserve"> – </w:t>
      </w:r>
      <w:r w:rsidRPr="00D9348B">
        <w:rPr>
          <w:i/>
        </w:rPr>
        <w:t>Enteric fermentation</w:t>
      </w:r>
      <w:r w:rsidRPr="00D9348B">
        <w:t xml:space="preserve"> (12.3 per cent)</w:t>
      </w:r>
    </w:p>
    <w:p w14:paraId="20F78098" w14:textId="77777777" w:rsidR="00643D10" w:rsidRPr="00D9348B" w:rsidRDefault="00643D10" w:rsidP="00771A8F">
      <w:pPr>
        <w:pStyle w:val="Bullet"/>
        <w:numPr>
          <w:ilvl w:val="0"/>
          <w:numId w:val="20"/>
        </w:numPr>
      </w:pPr>
      <w:r w:rsidRPr="00D9348B">
        <w:t>CO</w:t>
      </w:r>
      <w:r w:rsidRPr="00D9348B">
        <w:rPr>
          <w:vertAlign w:val="subscript"/>
        </w:rPr>
        <w:t xml:space="preserve">2 </w:t>
      </w:r>
      <w:r w:rsidRPr="00D9348B">
        <w:t xml:space="preserve">emissions from </w:t>
      </w:r>
      <w:r w:rsidRPr="00D9348B">
        <w:rPr>
          <w:i/>
        </w:rPr>
        <w:t>Forest land – Harvested wood products</w:t>
      </w:r>
      <w:r w:rsidRPr="00D9348B">
        <w:t xml:space="preserve"> (9.7 per cent).</w:t>
      </w:r>
    </w:p>
    <w:p w14:paraId="520D179E" w14:textId="77777777" w:rsidR="00643D10" w:rsidRPr="00D9348B" w:rsidRDefault="00643D10" w:rsidP="00643D10">
      <w:pPr>
        <w:pStyle w:val="BodyText"/>
      </w:pPr>
      <w:r w:rsidRPr="00D9348B">
        <w:t>As detailed in table 1.5.3(a), the key categories that were identified as having the largest relative influence on the trend, when compared with the average change in net emissions from 1990 to 2018, are:</w:t>
      </w:r>
    </w:p>
    <w:p w14:paraId="5B4FDE6A" w14:textId="77777777" w:rsidR="00643D10" w:rsidRPr="00D9348B" w:rsidRDefault="00643D10" w:rsidP="00771A8F">
      <w:pPr>
        <w:pStyle w:val="Bullet"/>
        <w:numPr>
          <w:ilvl w:val="0"/>
          <w:numId w:val="20"/>
        </w:numPr>
      </w:pPr>
      <w:r w:rsidRPr="00D9348B">
        <w:t>CH</w:t>
      </w:r>
      <w:r w:rsidRPr="00D9348B">
        <w:rPr>
          <w:vertAlign w:val="subscript"/>
        </w:rPr>
        <w:t>4</w:t>
      </w:r>
      <w:r w:rsidRPr="00D9348B">
        <w:t xml:space="preserve"> emissions from </w:t>
      </w:r>
      <w:r w:rsidRPr="00D9348B">
        <w:rPr>
          <w:i/>
        </w:rPr>
        <w:t>Sheep</w:t>
      </w:r>
      <w:r w:rsidRPr="00D9348B">
        <w:t xml:space="preserve"> – </w:t>
      </w:r>
      <w:r w:rsidRPr="00D9348B">
        <w:rPr>
          <w:i/>
        </w:rPr>
        <w:t>Enteric fermentation</w:t>
      </w:r>
      <w:r w:rsidRPr="00D9348B">
        <w:t xml:space="preserve"> </w:t>
      </w:r>
      <w:r w:rsidRPr="00D9348B">
        <w:rPr>
          <w:spacing w:val="-2"/>
        </w:rPr>
        <w:t>(19.5</w:t>
      </w:r>
      <w:r w:rsidRPr="00D9348B">
        <w:t xml:space="preserve"> per cent as a decrease)</w:t>
      </w:r>
    </w:p>
    <w:p w14:paraId="2214766E" w14:textId="77777777" w:rsidR="00643D10" w:rsidRPr="00D9348B" w:rsidRDefault="00643D10" w:rsidP="00771A8F">
      <w:pPr>
        <w:pStyle w:val="Bullet"/>
        <w:numPr>
          <w:ilvl w:val="0"/>
          <w:numId w:val="20"/>
        </w:numPr>
        <w:rPr>
          <w:i/>
        </w:rPr>
      </w:pPr>
      <w:r w:rsidRPr="00D9348B">
        <w:t>CO</w:t>
      </w:r>
      <w:r w:rsidRPr="00D9348B">
        <w:rPr>
          <w:vertAlign w:val="subscript"/>
        </w:rPr>
        <w:t>2</w:t>
      </w:r>
      <w:r w:rsidRPr="00D9348B">
        <w:t xml:space="preserve"> emissions from </w:t>
      </w:r>
      <w:r w:rsidRPr="00D9348B">
        <w:rPr>
          <w:i/>
        </w:rPr>
        <w:t>Forest land – Harvested wood products</w:t>
      </w:r>
      <w:r w:rsidRPr="00D9348B">
        <w:t xml:space="preserve"> (13.8 per cent as an increase)</w:t>
      </w:r>
    </w:p>
    <w:p w14:paraId="06101F59" w14:textId="77777777" w:rsidR="00643D10" w:rsidRPr="00D9348B" w:rsidRDefault="00643D10" w:rsidP="00771A8F">
      <w:pPr>
        <w:pStyle w:val="Bullet"/>
        <w:numPr>
          <w:ilvl w:val="0"/>
          <w:numId w:val="20"/>
        </w:numPr>
      </w:pPr>
      <w:r w:rsidRPr="00D9348B">
        <w:t>CO</w:t>
      </w:r>
      <w:r w:rsidRPr="00D9348B">
        <w:rPr>
          <w:vertAlign w:val="subscript"/>
        </w:rPr>
        <w:t>2</w:t>
      </w:r>
      <w:r w:rsidRPr="00D9348B">
        <w:t xml:space="preserve"> emissions from </w:t>
      </w:r>
      <w:r w:rsidRPr="00D9348B">
        <w:rPr>
          <w:i/>
        </w:rPr>
        <w:t>Forest land – Land Converted to Forest Land</w:t>
      </w:r>
      <w:r w:rsidRPr="00D9348B">
        <w:t xml:space="preserve"> (10.1 per cent as a decrease)</w:t>
      </w:r>
    </w:p>
    <w:p w14:paraId="338F5474" w14:textId="77777777" w:rsidR="00643D10" w:rsidRPr="00D9348B" w:rsidRDefault="00643D10" w:rsidP="00771A8F">
      <w:pPr>
        <w:pStyle w:val="Bullet"/>
        <w:numPr>
          <w:ilvl w:val="0"/>
          <w:numId w:val="20"/>
        </w:numPr>
      </w:pPr>
      <w:r w:rsidRPr="00D9348B">
        <w:t>CH</w:t>
      </w:r>
      <w:r w:rsidRPr="00D9348B">
        <w:rPr>
          <w:vertAlign w:val="subscript"/>
        </w:rPr>
        <w:t>4</w:t>
      </w:r>
      <w:r w:rsidRPr="00D9348B">
        <w:t xml:space="preserve"> emissions from </w:t>
      </w:r>
      <w:r w:rsidRPr="00D9348B">
        <w:rPr>
          <w:i/>
        </w:rPr>
        <w:t>Dairy cattle – Enteric fermentation</w:t>
      </w:r>
      <w:r w:rsidRPr="00D9348B">
        <w:t xml:space="preserve"> (6.0 per cent as an increase).</w:t>
      </w:r>
    </w:p>
    <w:p w14:paraId="1CA7A5AF" w14:textId="77777777" w:rsidR="00643D10" w:rsidRPr="00D9348B" w:rsidRDefault="00643D10" w:rsidP="00643D10">
      <w:pPr>
        <w:pStyle w:val="BodyText"/>
      </w:pPr>
      <w:r w:rsidRPr="00D9348B">
        <w:t>For gross emissions, table 1.5.2(b) identifies that the major contributions to the level analysis for 2018 are:</w:t>
      </w:r>
    </w:p>
    <w:p w14:paraId="668BDF3F" w14:textId="77777777" w:rsidR="00643D10" w:rsidRPr="00D9348B" w:rsidRDefault="00643D10" w:rsidP="00771A8F">
      <w:pPr>
        <w:pStyle w:val="Bullet"/>
        <w:numPr>
          <w:ilvl w:val="0"/>
          <w:numId w:val="20"/>
        </w:numPr>
      </w:pPr>
      <w:r w:rsidRPr="00D9348B">
        <w:t>CO</w:t>
      </w:r>
      <w:r w:rsidRPr="00D9348B">
        <w:rPr>
          <w:vertAlign w:val="subscript"/>
        </w:rPr>
        <w:t>2</w:t>
      </w:r>
      <w:r w:rsidRPr="00D9348B">
        <w:t xml:space="preserve"> emissions from </w:t>
      </w:r>
      <w:r w:rsidRPr="00D9348B">
        <w:rPr>
          <w:i/>
        </w:rPr>
        <w:t>Road transportation – Liquid fuels</w:t>
      </w:r>
      <w:r w:rsidRPr="00D9348B">
        <w:t xml:space="preserve"> (19.0 per cent)</w:t>
      </w:r>
    </w:p>
    <w:p w14:paraId="1F006854" w14:textId="77777777" w:rsidR="00643D10" w:rsidRPr="00D9348B" w:rsidRDefault="00643D10" w:rsidP="00771A8F">
      <w:pPr>
        <w:pStyle w:val="Bullet"/>
        <w:numPr>
          <w:ilvl w:val="0"/>
          <w:numId w:val="20"/>
        </w:numPr>
      </w:pPr>
      <w:r w:rsidRPr="00D9348B">
        <w:t>CH</w:t>
      </w:r>
      <w:r w:rsidRPr="00D9348B">
        <w:rPr>
          <w:vertAlign w:val="subscript"/>
        </w:rPr>
        <w:t xml:space="preserve">4 </w:t>
      </w:r>
      <w:r w:rsidRPr="00D9348B">
        <w:t xml:space="preserve">emissions from </w:t>
      </w:r>
      <w:r w:rsidRPr="00D9348B">
        <w:rPr>
          <w:i/>
        </w:rPr>
        <w:t>Dairy cattle</w:t>
      </w:r>
      <w:r w:rsidRPr="00D9348B">
        <w:t xml:space="preserve"> – </w:t>
      </w:r>
      <w:r w:rsidRPr="00D9348B">
        <w:rPr>
          <w:i/>
        </w:rPr>
        <w:t>Enteric fermentation</w:t>
      </w:r>
      <w:r w:rsidRPr="00D9348B">
        <w:t xml:space="preserve"> (17.3 per cent)</w:t>
      </w:r>
    </w:p>
    <w:p w14:paraId="6DAF1C54" w14:textId="77777777" w:rsidR="00643D10" w:rsidRPr="00D9348B" w:rsidRDefault="00643D10" w:rsidP="00771A8F">
      <w:pPr>
        <w:pStyle w:val="Bullet"/>
        <w:numPr>
          <w:ilvl w:val="0"/>
          <w:numId w:val="20"/>
        </w:numPr>
      </w:pPr>
      <w:r w:rsidRPr="00D9348B">
        <w:t>CH</w:t>
      </w:r>
      <w:r w:rsidRPr="00D9348B">
        <w:rPr>
          <w:vertAlign w:val="subscript"/>
        </w:rPr>
        <w:t xml:space="preserve">4 </w:t>
      </w:r>
      <w:r w:rsidRPr="00D9348B">
        <w:t xml:space="preserve">emissions from </w:t>
      </w:r>
      <w:r w:rsidRPr="00D9348B">
        <w:rPr>
          <w:i/>
        </w:rPr>
        <w:t>Sheep</w:t>
      </w:r>
      <w:r w:rsidRPr="00D9348B">
        <w:t xml:space="preserve"> – </w:t>
      </w:r>
      <w:r w:rsidRPr="00D9348B">
        <w:rPr>
          <w:i/>
        </w:rPr>
        <w:t>Enteric fermentation</w:t>
      </w:r>
      <w:r w:rsidRPr="00D9348B">
        <w:t xml:space="preserve"> (10.6 per cent)</w:t>
      </w:r>
    </w:p>
    <w:p w14:paraId="71DEBD18" w14:textId="77777777" w:rsidR="00643D10" w:rsidRPr="00D9348B" w:rsidRDefault="00643D10" w:rsidP="00771A8F">
      <w:pPr>
        <w:pStyle w:val="Bullet"/>
        <w:numPr>
          <w:ilvl w:val="0"/>
          <w:numId w:val="20"/>
        </w:numPr>
      </w:pPr>
      <w:r w:rsidRPr="00D9348B">
        <w:t>CH</w:t>
      </w:r>
      <w:r w:rsidRPr="00D9348B">
        <w:rPr>
          <w:vertAlign w:val="subscript"/>
        </w:rPr>
        <w:t xml:space="preserve">4 </w:t>
      </w:r>
      <w:r w:rsidRPr="00D9348B">
        <w:t xml:space="preserve">emissions from </w:t>
      </w:r>
      <w:r w:rsidRPr="00D9348B">
        <w:rPr>
          <w:i/>
        </w:rPr>
        <w:t>Non-dairy cattle</w:t>
      </w:r>
      <w:r w:rsidRPr="00D9348B">
        <w:t xml:space="preserve"> – </w:t>
      </w:r>
      <w:r w:rsidRPr="00D9348B">
        <w:rPr>
          <w:i/>
        </w:rPr>
        <w:t>Enteric fermentation</w:t>
      </w:r>
      <w:r w:rsidRPr="00D9348B">
        <w:t xml:space="preserve"> (6.9 per cent).</w:t>
      </w:r>
    </w:p>
    <w:p w14:paraId="09094838" w14:textId="77777777" w:rsidR="00643D10" w:rsidRPr="00D9348B" w:rsidRDefault="00643D10" w:rsidP="00643D10">
      <w:pPr>
        <w:pStyle w:val="BodyText"/>
      </w:pPr>
      <w:r w:rsidRPr="00D9348B">
        <w:t>As detailed in table 1.5.3(b), the key categories that were identified as having the largest relative influence on the trend, when compared with the average change in gross emissions from 1990 to 2018, are:</w:t>
      </w:r>
    </w:p>
    <w:p w14:paraId="4424419E" w14:textId="77777777" w:rsidR="00643D10" w:rsidRPr="00D9348B" w:rsidRDefault="00643D10" w:rsidP="00771A8F">
      <w:pPr>
        <w:pStyle w:val="Bullet"/>
        <w:numPr>
          <w:ilvl w:val="0"/>
          <w:numId w:val="20"/>
        </w:numPr>
      </w:pPr>
      <w:r w:rsidRPr="00D9348B">
        <w:t>CH</w:t>
      </w:r>
      <w:r w:rsidRPr="00D9348B">
        <w:rPr>
          <w:vertAlign w:val="subscript"/>
        </w:rPr>
        <w:t>4</w:t>
      </w:r>
      <w:r w:rsidRPr="00D9348B">
        <w:t xml:space="preserve"> emissions from </w:t>
      </w:r>
      <w:r w:rsidRPr="00D9348B">
        <w:rPr>
          <w:i/>
        </w:rPr>
        <w:t>Sheep</w:t>
      </w:r>
      <w:r w:rsidRPr="00D9348B">
        <w:t xml:space="preserve"> – </w:t>
      </w:r>
      <w:r w:rsidRPr="00D9348B">
        <w:rPr>
          <w:i/>
        </w:rPr>
        <w:t>Enteric fermentation</w:t>
      </w:r>
      <w:r w:rsidRPr="00D9348B">
        <w:t xml:space="preserve"> </w:t>
      </w:r>
      <w:r w:rsidRPr="00D9348B">
        <w:rPr>
          <w:spacing w:val="-2"/>
        </w:rPr>
        <w:t>(21.8</w:t>
      </w:r>
      <w:r w:rsidRPr="00D9348B">
        <w:t xml:space="preserve"> per cent as a decrease)</w:t>
      </w:r>
    </w:p>
    <w:p w14:paraId="3DF629DC" w14:textId="77777777" w:rsidR="00643D10" w:rsidRPr="00D9348B" w:rsidRDefault="00643D10" w:rsidP="00771A8F">
      <w:pPr>
        <w:pStyle w:val="Bullet"/>
        <w:numPr>
          <w:ilvl w:val="0"/>
          <w:numId w:val="20"/>
        </w:numPr>
        <w:rPr>
          <w:i/>
        </w:rPr>
      </w:pPr>
      <w:r w:rsidRPr="00D9348B">
        <w:t>CH</w:t>
      </w:r>
      <w:r w:rsidRPr="00D9348B">
        <w:rPr>
          <w:vertAlign w:val="subscript"/>
        </w:rPr>
        <w:t>4</w:t>
      </w:r>
      <w:r w:rsidRPr="00D9348B">
        <w:t xml:space="preserve"> emissions from </w:t>
      </w:r>
      <w:r w:rsidRPr="00D9348B">
        <w:rPr>
          <w:i/>
        </w:rPr>
        <w:t>Dairy cattle</w:t>
      </w:r>
      <w:r w:rsidRPr="00D9348B">
        <w:t xml:space="preserve"> – </w:t>
      </w:r>
      <w:r w:rsidRPr="00D9348B">
        <w:rPr>
          <w:i/>
        </w:rPr>
        <w:t>Enteric fermentation</w:t>
      </w:r>
      <w:r w:rsidRPr="00D9348B">
        <w:t xml:space="preserve"> (14.8 per cent as an increase)</w:t>
      </w:r>
    </w:p>
    <w:p w14:paraId="27B0A022" w14:textId="77777777" w:rsidR="00643D10" w:rsidRPr="00D9348B" w:rsidRDefault="00643D10" w:rsidP="00771A8F">
      <w:pPr>
        <w:pStyle w:val="Bullet"/>
        <w:numPr>
          <w:ilvl w:val="0"/>
          <w:numId w:val="20"/>
        </w:numPr>
      </w:pPr>
      <w:r w:rsidRPr="00D9348B">
        <w:t>CO</w:t>
      </w:r>
      <w:r w:rsidRPr="00D9348B">
        <w:rPr>
          <w:vertAlign w:val="subscript"/>
        </w:rPr>
        <w:t>2</w:t>
      </w:r>
      <w:r w:rsidRPr="00D9348B">
        <w:t xml:space="preserve"> emissions from </w:t>
      </w:r>
      <w:r w:rsidRPr="00D9348B">
        <w:rPr>
          <w:i/>
        </w:rPr>
        <w:t>Road transportation – Liquid fuels</w:t>
      </w:r>
      <w:r w:rsidRPr="00D9348B">
        <w:t xml:space="preserve"> (14.4 per cent as an increase)</w:t>
      </w:r>
    </w:p>
    <w:p w14:paraId="3DFC0F92" w14:textId="77777777" w:rsidR="00643D10" w:rsidRPr="00D9348B" w:rsidRDefault="00643D10" w:rsidP="00771A8F">
      <w:pPr>
        <w:pStyle w:val="Bullet"/>
        <w:numPr>
          <w:ilvl w:val="0"/>
          <w:numId w:val="20"/>
        </w:numPr>
      </w:pPr>
      <w:r w:rsidRPr="00D9348B">
        <w:t>CO</w:t>
      </w:r>
      <w:r w:rsidRPr="00D9348B">
        <w:rPr>
          <w:vertAlign w:val="subscript"/>
        </w:rPr>
        <w:t>2</w:t>
      </w:r>
      <w:r w:rsidRPr="00D9348B">
        <w:t xml:space="preserve"> emissions from </w:t>
      </w:r>
      <w:r w:rsidRPr="00D9348B">
        <w:rPr>
          <w:i/>
        </w:rPr>
        <w:t>Energy industries – Manufacture of solid fuels</w:t>
      </w:r>
      <w:r w:rsidRPr="00D9348B">
        <w:t xml:space="preserve"> and </w:t>
      </w:r>
      <w:proofErr w:type="gramStart"/>
      <w:r w:rsidRPr="00D9348B">
        <w:rPr>
          <w:i/>
        </w:rPr>
        <w:t>Other</w:t>
      </w:r>
      <w:proofErr w:type="gramEnd"/>
      <w:r w:rsidRPr="00D9348B">
        <w:rPr>
          <w:i/>
        </w:rPr>
        <w:t xml:space="preserve"> energy industries – Gaseous fuels</w:t>
      </w:r>
      <w:r w:rsidRPr="00D9348B">
        <w:t xml:space="preserve"> (4.5 per cent as a decrease).</w:t>
      </w:r>
    </w:p>
    <w:p w14:paraId="09EE1801" w14:textId="77777777" w:rsidR="00643D10" w:rsidRPr="00D9348B" w:rsidRDefault="00643D10" w:rsidP="00643D10">
      <w:pPr>
        <w:pStyle w:val="Table"/>
      </w:pPr>
      <w:bookmarkStart w:id="176" w:name="_Toc36224514"/>
      <w:r w:rsidRPr="00D9348B">
        <w:lastRenderedPageBreak/>
        <w:t xml:space="preserve">Table 1.5.1 </w:t>
      </w:r>
      <w:r w:rsidRPr="00D9348B">
        <w:tab/>
        <w:t>Summary of New Zealand’s key categories for the 2018 level assessment and the trend assessment for 1990 to 2018 (including and excluding LULUCF activities)</w:t>
      </w:r>
      <w:bookmarkEnd w:id="176"/>
    </w:p>
    <w:tbl>
      <w:tblPr>
        <w:tblW w:w="8562" w:type="dxa"/>
        <w:tblInd w:w="108" w:type="dxa"/>
        <w:tblBorders>
          <w:top w:val="single" w:sz="4" w:space="0" w:color="365F91"/>
          <w:bottom w:val="single" w:sz="4" w:space="0" w:color="365F91"/>
          <w:insideH w:val="single" w:sz="4" w:space="0" w:color="365F91"/>
        </w:tblBorders>
        <w:tblLayout w:type="fixed"/>
        <w:tblCellMar>
          <w:left w:w="85" w:type="dxa"/>
          <w:right w:w="85" w:type="dxa"/>
        </w:tblCellMar>
        <w:tblLook w:val="04A0" w:firstRow="1" w:lastRow="0" w:firstColumn="1" w:lastColumn="0" w:noHBand="0" w:noVBand="1"/>
      </w:tblPr>
      <w:tblGrid>
        <w:gridCol w:w="1284"/>
        <w:gridCol w:w="5379"/>
        <w:gridCol w:w="591"/>
        <w:gridCol w:w="1308"/>
      </w:tblGrid>
      <w:tr w:rsidR="00643D10" w:rsidRPr="00D9348B" w14:paraId="5143E776" w14:textId="77777777" w:rsidTr="000E3CC9">
        <w:trPr>
          <w:tblHeader/>
        </w:trPr>
        <w:tc>
          <w:tcPr>
            <w:tcW w:w="5000" w:type="pct"/>
            <w:gridSpan w:val="4"/>
            <w:tcBorders>
              <w:bottom w:val="single" w:sz="4" w:space="0" w:color="365F91"/>
            </w:tcBorders>
            <w:shd w:val="clear" w:color="auto" w:fill="365F91"/>
            <w:tcMar>
              <w:right w:w="85" w:type="dxa"/>
            </w:tcMar>
            <w:vAlign w:val="bottom"/>
          </w:tcPr>
          <w:p w14:paraId="0E1B882D" w14:textId="77777777" w:rsidR="00643D10" w:rsidRPr="00D9348B" w:rsidRDefault="00643D10" w:rsidP="003E2C49">
            <w:pPr>
              <w:pStyle w:val="TableTextBold"/>
              <w:keepNext/>
              <w:spacing w:after="0"/>
              <w:rPr>
                <w:noProof w:val="0"/>
                <w:color w:val="FFFFFF"/>
              </w:rPr>
            </w:pPr>
            <w:r w:rsidRPr="00D9348B">
              <w:rPr>
                <w:noProof w:val="0"/>
                <w:color w:val="FFFFFF"/>
              </w:rPr>
              <w:t>Quantitative method used: IPCC Tier 1</w:t>
            </w:r>
          </w:p>
        </w:tc>
      </w:tr>
      <w:tr w:rsidR="000E3CC9" w:rsidRPr="00D9348B" w14:paraId="06412252" w14:textId="77777777" w:rsidTr="00A757CB">
        <w:trPr>
          <w:tblHeader/>
        </w:trPr>
        <w:tc>
          <w:tcPr>
            <w:tcW w:w="750" w:type="pct"/>
            <w:shd w:val="clear" w:color="2E74B5" w:fill="FFFFFF"/>
            <w:tcMar>
              <w:right w:w="85" w:type="dxa"/>
            </w:tcMar>
            <w:vAlign w:val="bottom"/>
          </w:tcPr>
          <w:p w14:paraId="35136DCA" w14:textId="77777777" w:rsidR="00643D10" w:rsidRPr="00D9348B" w:rsidRDefault="00643D10" w:rsidP="00DB330E">
            <w:pPr>
              <w:pStyle w:val="TableText"/>
              <w:rPr>
                <w:b/>
              </w:rPr>
            </w:pPr>
            <w:r w:rsidRPr="00D9348B">
              <w:rPr>
                <w:b/>
              </w:rPr>
              <w:t>CRF category code</w:t>
            </w:r>
          </w:p>
        </w:tc>
        <w:tc>
          <w:tcPr>
            <w:tcW w:w="3141" w:type="pct"/>
            <w:shd w:val="clear" w:color="2E74B5" w:fill="FFFFFF"/>
            <w:vAlign w:val="bottom"/>
            <w:hideMark/>
          </w:tcPr>
          <w:p w14:paraId="4567A2A4" w14:textId="77777777" w:rsidR="00643D10" w:rsidRPr="00D9348B" w:rsidRDefault="00643D10" w:rsidP="00DB330E">
            <w:pPr>
              <w:pStyle w:val="TableText"/>
              <w:rPr>
                <w:b/>
              </w:rPr>
            </w:pPr>
            <w:r w:rsidRPr="00D9348B">
              <w:rPr>
                <w:b/>
              </w:rPr>
              <w:t>IPCC category</w:t>
            </w:r>
          </w:p>
        </w:tc>
        <w:tc>
          <w:tcPr>
            <w:tcW w:w="345" w:type="pct"/>
            <w:shd w:val="clear" w:color="2E74B5" w:fill="FFFFFF"/>
            <w:vAlign w:val="bottom"/>
            <w:hideMark/>
          </w:tcPr>
          <w:p w14:paraId="33D759A0" w14:textId="77777777" w:rsidR="00643D10" w:rsidRPr="00D9348B" w:rsidRDefault="00643D10" w:rsidP="00DB330E">
            <w:pPr>
              <w:pStyle w:val="TableText"/>
              <w:jc w:val="center"/>
              <w:rPr>
                <w:b/>
              </w:rPr>
            </w:pPr>
            <w:r w:rsidRPr="00D9348B">
              <w:rPr>
                <w:b/>
              </w:rPr>
              <w:t>Gas</w:t>
            </w:r>
          </w:p>
        </w:tc>
        <w:tc>
          <w:tcPr>
            <w:tcW w:w="764" w:type="pct"/>
            <w:shd w:val="clear" w:color="2E74B5" w:fill="FFFFFF"/>
            <w:vAlign w:val="bottom"/>
            <w:hideMark/>
          </w:tcPr>
          <w:p w14:paraId="6796261D" w14:textId="77777777" w:rsidR="00643D10" w:rsidRPr="00D9348B" w:rsidRDefault="00643D10" w:rsidP="00DB330E">
            <w:pPr>
              <w:pStyle w:val="TableText"/>
              <w:rPr>
                <w:b/>
              </w:rPr>
            </w:pPr>
            <w:r w:rsidRPr="00D9348B">
              <w:rPr>
                <w:b/>
              </w:rPr>
              <w:t>Criteria for identification</w:t>
            </w:r>
            <w:r w:rsidRPr="00D9348B">
              <w:rPr>
                <w:rStyle w:val="FootnoteReference"/>
                <w:b/>
              </w:rPr>
              <w:footnoteReference w:id="21"/>
            </w:r>
          </w:p>
        </w:tc>
      </w:tr>
      <w:tr w:rsidR="00643D10" w:rsidRPr="00D9348B" w14:paraId="22043280" w14:textId="77777777" w:rsidTr="003E2C49">
        <w:tc>
          <w:tcPr>
            <w:tcW w:w="750" w:type="pct"/>
            <w:tcMar>
              <w:right w:w="85" w:type="dxa"/>
            </w:tcMar>
            <w:vAlign w:val="bottom"/>
          </w:tcPr>
          <w:p w14:paraId="0BCE59F7" w14:textId="77777777" w:rsidR="00643D10" w:rsidRPr="00D9348B" w:rsidRDefault="00643D10" w:rsidP="00DB330E">
            <w:pPr>
              <w:pStyle w:val="TableText"/>
              <w:rPr>
                <w:rFonts w:cs="Arial"/>
                <w:szCs w:val="16"/>
              </w:rPr>
            </w:pPr>
            <w:r w:rsidRPr="00D9348B">
              <w:rPr>
                <w:b/>
              </w:rPr>
              <w:t>Energy</w:t>
            </w:r>
          </w:p>
        </w:tc>
        <w:tc>
          <w:tcPr>
            <w:tcW w:w="3141" w:type="pct"/>
            <w:shd w:val="clear" w:color="auto" w:fill="auto"/>
            <w:vAlign w:val="bottom"/>
          </w:tcPr>
          <w:p w14:paraId="065E18B9" w14:textId="77777777" w:rsidR="00643D10" w:rsidRPr="00D9348B" w:rsidRDefault="00643D10" w:rsidP="00DB330E">
            <w:pPr>
              <w:pStyle w:val="TableText"/>
              <w:rPr>
                <w:rFonts w:cs="Arial"/>
                <w:szCs w:val="16"/>
              </w:rPr>
            </w:pPr>
          </w:p>
        </w:tc>
        <w:tc>
          <w:tcPr>
            <w:tcW w:w="345" w:type="pct"/>
            <w:shd w:val="clear" w:color="auto" w:fill="auto"/>
            <w:noWrap/>
            <w:vAlign w:val="bottom"/>
          </w:tcPr>
          <w:p w14:paraId="62E72954" w14:textId="77777777" w:rsidR="00643D10" w:rsidRPr="00D9348B" w:rsidRDefault="00643D10" w:rsidP="00DB330E">
            <w:pPr>
              <w:pStyle w:val="TableText"/>
              <w:jc w:val="center"/>
              <w:rPr>
                <w:rFonts w:cs="Arial"/>
                <w:color w:val="000000"/>
                <w:szCs w:val="16"/>
              </w:rPr>
            </w:pPr>
          </w:p>
        </w:tc>
        <w:tc>
          <w:tcPr>
            <w:tcW w:w="764" w:type="pct"/>
            <w:shd w:val="clear" w:color="auto" w:fill="auto"/>
            <w:noWrap/>
            <w:vAlign w:val="bottom"/>
          </w:tcPr>
          <w:p w14:paraId="5929573A" w14:textId="77777777" w:rsidR="00643D10" w:rsidRPr="00D9348B" w:rsidRDefault="00643D10" w:rsidP="00DB330E">
            <w:pPr>
              <w:pStyle w:val="TableText"/>
              <w:rPr>
                <w:rFonts w:cs="Arial"/>
                <w:color w:val="000000"/>
                <w:szCs w:val="16"/>
              </w:rPr>
            </w:pPr>
          </w:p>
        </w:tc>
      </w:tr>
      <w:tr w:rsidR="00643D10" w:rsidRPr="00D9348B" w14:paraId="578411FE" w14:textId="77777777" w:rsidTr="003E2C49">
        <w:tc>
          <w:tcPr>
            <w:tcW w:w="750" w:type="pct"/>
            <w:tcMar>
              <w:right w:w="85" w:type="dxa"/>
            </w:tcMar>
            <w:vAlign w:val="bottom"/>
          </w:tcPr>
          <w:p w14:paraId="16121798" w14:textId="77777777" w:rsidR="00643D10" w:rsidRPr="00D9348B" w:rsidRDefault="00643D10" w:rsidP="00DB330E">
            <w:pPr>
              <w:pStyle w:val="TableText"/>
              <w:rPr>
                <w:rFonts w:cs="Arial"/>
                <w:szCs w:val="16"/>
              </w:rPr>
            </w:pPr>
            <w:r w:rsidRPr="00D9348B">
              <w:t>1.A.1.a</w:t>
            </w:r>
          </w:p>
        </w:tc>
        <w:tc>
          <w:tcPr>
            <w:tcW w:w="3141" w:type="pct"/>
            <w:shd w:val="clear" w:color="auto" w:fill="auto"/>
            <w:vAlign w:val="bottom"/>
          </w:tcPr>
          <w:p w14:paraId="4F1FD372" w14:textId="77777777" w:rsidR="00643D10" w:rsidRPr="00D9348B" w:rsidRDefault="00643D10" w:rsidP="00DB330E">
            <w:pPr>
              <w:pStyle w:val="TableText"/>
              <w:rPr>
                <w:rFonts w:cs="Arial"/>
                <w:szCs w:val="16"/>
              </w:rPr>
            </w:pPr>
            <w:r w:rsidRPr="00D9348B">
              <w:t>Energy Industries – Public Electricity and Heat Production Gaseous Fuels</w:t>
            </w:r>
          </w:p>
        </w:tc>
        <w:tc>
          <w:tcPr>
            <w:tcW w:w="345" w:type="pct"/>
            <w:shd w:val="clear" w:color="auto" w:fill="auto"/>
            <w:noWrap/>
            <w:vAlign w:val="bottom"/>
          </w:tcPr>
          <w:p w14:paraId="12FFA338" w14:textId="77777777" w:rsidR="00643D10" w:rsidRPr="00D9348B" w:rsidRDefault="00643D10" w:rsidP="00DB330E">
            <w:pPr>
              <w:pStyle w:val="TableText"/>
              <w:jc w:val="center"/>
              <w:rPr>
                <w:rFonts w:cs="Arial"/>
                <w:color w:val="000000"/>
                <w:szCs w:val="16"/>
              </w:rPr>
            </w:pPr>
            <w:r w:rsidRPr="00D9348B">
              <w:rPr>
                <w:rFonts w:cs="Arial"/>
                <w:color w:val="000000"/>
                <w:szCs w:val="16"/>
              </w:rPr>
              <w:t>CO</w:t>
            </w:r>
            <w:r w:rsidRPr="00D9348B">
              <w:rPr>
                <w:rFonts w:cs="Arial"/>
                <w:color w:val="000000"/>
                <w:szCs w:val="16"/>
                <w:vertAlign w:val="subscript"/>
              </w:rPr>
              <w:t>2</w:t>
            </w:r>
          </w:p>
        </w:tc>
        <w:tc>
          <w:tcPr>
            <w:tcW w:w="764" w:type="pct"/>
            <w:shd w:val="clear" w:color="auto" w:fill="auto"/>
            <w:noWrap/>
            <w:vAlign w:val="bottom"/>
          </w:tcPr>
          <w:p w14:paraId="742556E9" w14:textId="77777777" w:rsidR="00643D10" w:rsidRPr="00D9348B" w:rsidRDefault="00643D10" w:rsidP="00DB330E">
            <w:pPr>
              <w:pStyle w:val="TableText"/>
              <w:rPr>
                <w:rFonts w:cs="Arial"/>
                <w:color w:val="000000"/>
                <w:szCs w:val="16"/>
              </w:rPr>
            </w:pPr>
            <w:r w:rsidRPr="00D9348B">
              <w:t>L1, T1</w:t>
            </w:r>
          </w:p>
        </w:tc>
      </w:tr>
      <w:tr w:rsidR="00643D10" w:rsidRPr="00D9348B" w14:paraId="1A5CA621" w14:textId="77777777" w:rsidTr="003E2C49">
        <w:tc>
          <w:tcPr>
            <w:tcW w:w="750" w:type="pct"/>
            <w:tcMar>
              <w:right w:w="85" w:type="dxa"/>
            </w:tcMar>
            <w:vAlign w:val="bottom"/>
          </w:tcPr>
          <w:p w14:paraId="00B3261A" w14:textId="77777777" w:rsidR="00643D10" w:rsidRPr="00D9348B" w:rsidRDefault="00643D10" w:rsidP="00DB330E">
            <w:pPr>
              <w:pStyle w:val="TableText"/>
              <w:rPr>
                <w:rFonts w:cs="Arial"/>
                <w:szCs w:val="16"/>
              </w:rPr>
            </w:pPr>
            <w:r w:rsidRPr="00D9348B">
              <w:t>1.A.1.a</w:t>
            </w:r>
          </w:p>
        </w:tc>
        <w:tc>
          <w:tcPr>
            <w:tcW w:w="3141" w:type="pct"/>
            <w:shd w:val="clear" w:color="auto" w:fill="auto"/>
            <w:vAlign w:val="bottom"/>
          </w:tcPr>
          <w:p w14:paraId="73C96B57" w14:textId="77777777" w:rsidR="00643D10" w:rsidRPr="00D9348B" w:rsidRDefault="00643D10" w:rsidP="00DB330E">
            <w:pPr>
              <w:pStyle w:val="TableText"/>
              <w:rPr>
                <w:rFonts w:cs="Arial"/>
                <w:szCs w:val="16"/>
              </w:rPr>
            </w:pPr>
            <w:r w:rsidRPr="00D9348B">
              <w:t>Energy Industries – Public Electricity and Heat Production Solid Fuels</w:t>
            </w:r>
          </w:p>
        </w:tc>
        <w:tc>
          <w:tcPr>
            <w:tcW w:w="345" w:type="pct"/>
            <w:shd w:val="clear" w:color="auto" w:fill="auto"/>
            <w:noWrap/>
            <w:vAlign w:val="bottom"/>
          </w:tcPr>
          <w:p w14:paraId="1127D5C8" w14:textId="77777777" w:rsidR="00643D10" w:rsidRPr="00D9348B" w:rsidRDefault="00643D10" w:rsidP="00DB330E">
            <w:pPr>
              <w:pStyle w:val="TableText"/>
              <w:jc w:val="center"/>
              <w:rPr>
                <w:rFonts w:cs="Arial"/>
                <w:color w:val="000000"/>
                <w:szCs w:val="16"/>
              </w:rPr>
            </w:pPr>
            <w:r w:rsidRPr="00D9348B">
              <w:rPr>
                <w:rFonts w:cs="Arial"/>
                <w:color w:val="000000"/>
                <w:szCs w:val="16"/>
              </w:rPr>
              <w:t>CO</w:t>
            </w:r>
            <w:r w:rsidRPr="00D9348B">
              <w:rPr>
                <w:rFonts w:cs="Arial"/>
                <w:color w:val="000000"/>
                <w:szCs w:val="16"/>
                <w:vertAlign w:val="subscript"/>
              </w:rPr>
              <w:t>2</w:t>
            </w:r>
          </w:p>
        </w:tc>
        <w:tc>
          <w:tcPr>
            <w:tcW w:w="764" w:type="pct"/>
            <w:shd w:val="clear" w:color="auto" w:fill="auto"/>
            <w:noWrap/>
            <w:vAlign w:val="bottom"/>
          </w:tcPr>
          <w:p w14:paraId="40410B56" w14:textId="77777777" w:rsidR="00643D10" w:rsidRPr="00D9348B" w:rsidRDefault="00643D10" w:rsidP="00DB330E">
            <w:pPr>
              <w:pStyle w:val="TableText"/>
              <w:rPr>
                <w:rFonts w:cs="Arial"/>
                <w:color w:val="000000"/>
                <w:szCs w:val="16"/>
              </w:rPr>
            </w:pPr>
            <w:r w:rsidRPr="00D9348B">
              <w:t>L1, T1</w:t>
            </w:r>
          </w:p>
        </w:tc>
      </w:tr>
      <w:tr w:rsidR="00643D10" w:rsidRPr="00D9348B" w14:paraId="2D90ECDC" w14:textId="77777777" w:rsidTr="003E2C49">
        <w:tc>
          <w:tcPr>
            <w:tcW w:w="750" w:type="pct"/>
            <w:tcMar>
              <w:right w:w="85" w:type="dxa"/>
            </w:tcMar>
            <w:vAlign w:val="bottom"/>
          </w:tcPr>
          <w:p w14:paraId="6F5E0931" w14:textId="77777777" w:rsidR="00643D10" w:rsidRPr="00D9348B" w:rsidRDefault="00643D10" w:rsidP="00DB330E">
            <w:pPr>
              <w:pStyle w:val="TableText"/>
              <w:rPr>
                <w:rFonts w:cs="Arial"/>
                <w:szCs w:val="16"/>
              </w:rPr>
            </w:pPr>
            <w:r w:rsidRPr="00D9348B">
              <w:t>1.A.1.b</w:t>
            </w:r>
          </w:p>
        </w:tc>
        <w:tc>
          <w:tcPr>
            <w:tcW w:w="3141" w:type="pct"/>
            <w:shd w:val="clear" w:color="auto" w:fill="auto"/>
            <w:vAlign w:val="bottom"/>
          </w:tcPr>
          <w:p w14:paraId="05938867" w14:textId="77777777" w:rsidR="00643D10" w:rsidRPr="00D9348B" w:rsidRDefault="00643D10" w:rsidP="00DB330E">
            <w:pPr>
              <w:pStyle w:val="TableText"/>
              <w:rPr>
                <w:rFonts w:cs="Arial"/>
                <w:szCs w:val="16"/>
              </w:rPr>
            </w:pPr>
            <w:r w:rsidRPr="00D9348B">
              <w:t>Energy Industries – Petroleum Refining Liquid Fuels</w:t>
            </w:r>
          </w:p>
        </w:tc>
        <w:tc>
          <w:tcPr>
            <w:tcW w:w="345" w:type="pct"/>
            <w:shd w:val="clear" w:color="auto" w:fill="auto"/>
            <w:noWrap/>
            <w:vAlign w:val="bottom"/>
          </w:tcPr>
          <w:p w14:paraId="07E4849A" w14:textId="77777777" w:rsidR="00643D10" w:rsidRPr="00D9348B" w:rsidRDefault="00643D10" w:rsidP="00DB330E">
            <w:pPr>
              <w:pStyle w:val="TableText"/>
              <w:jc w:val="center"/>
              <w:rPr>
                <w:rFonts w:cs="Arial"/>
                <w:color w:val="000000"/>
                <w:szCs w:val="16"/>
              </w:rPr>
            </w:pPr>
            <w:r w:rsidRPr="00D9348B">
              <w:rPr>
                <w:rFonts w:cs="Arial"/>
                <w:color w:val="000000"/>
                <w:szCs w:val="16"/>
              </w:rPr>
              <w:t>CO</w:t>
            </w:r>
            <w:r w:rsidRPr="00D9348B">
              <w:rPr>
                <w:rFonts w:cs="Arial"/>
                <w:color w:val="000000"/>
                <w:szCs w:val="16"/>
                <w:vertAlign w:val="subscript"/>
              </w:rPr>
              <w:t>2</w:t>
            </w:r>
          </w:p>
        </w:tc>
        <w:tc>
          <w:tcPr>
            <w:tcW w:w="764" w:type="pct"/>
            <w:shd w:val="clear" w:color="auto" w:fill="auto"/>
            <w:noWrap/>
            <w:vAlign w:val="bottom"/>
          </w:tcPr>
          <w:p w14:paraId="64BFCFBA" w14:textId="77777777" w:rsidR="00643D10" w:rsidRPr="00D9348B" w:rsidRDefault="00643D10" w:rsidP="00DB330E">
            <w:pPr>
              <w:pStyle w:val="TableText"/>
              <w:rPr>
                <w:rFonts w:cs="Arial"/>
                <w:color w:val="000000"/>
                <w:szCs w:val="16"/>
              </w:rPr>
            </w:pPr>
            <w:r w:rsidRPr="00D9348B">
              <w:t>L1, T1</w:t>
            </w:r>
          </w:p>
        </w:tc>
      </w:tr>
      <w:tr w:rsidR="00643D10" w:rsidRPr="00D9348B" w14:paraId="04E77FA7" w14:textId="77777777" w:rsidTr="003E2C49">
        <w:tc>
          <w:tcPr>
            <w:tcW w:w="750" w:type="pct"/>
            <w:tcMar>
              <w:right w:w="85" w:type="dxa"/>
            </w:tcMar>
            <w:vAlign w:val="bottom"/>
          </w:tcPr>
          <w:p w14:paraId="2BDB890B" w14:textId="77777777" w:rsidR="00643D10" w:rsidRPr="00D9348B" w:rsidRDefault="00643D10" w:rsidP="00DB330E">
            <w:pPr>
              <w:pStyle w:val="TableText"/>
              <w:rPr>
                <w:rFonts w:cs="Arial"/>
                <w:szCs w:val="16"/>
              </w:rPr>
            </w:pPr>
            <w:r w:rsidRPr="00D9348B">
              <w:t>1.A.1.b</w:t>
            </w:r>
          </w:p>
        </w:tc>
        <w:tc>
          <w:tcPr>
            <w:tcW w:w="3141" w:type="pct"/>
            <w:shd w:val="clear" w:color="auto" w:fill="auto"/>
            <w:vAlign w:val="bottom"/>
          </w:tcPr>
          <w:p w14:paraId="20252BA9" w14:textId="77777777" w:rsidR="00643D10" w:rsidRPr="00D9348B" w:rsidRDefault="00643D10" w:rsidP="00DB330E">
            <w:pPr>
              <w:pStyle w:val="TableText"/>
              <w:rPr>
                <w:rFonts w:cs="Arial"/>
                <w:szCs w:val="16"/>
              </w:rPr>
            </w:pPr>
            <w:r w:rsidRPr="00D9348B">
              <w:t>Energy Industries – Petroleum Refining Gaseous Fuels</w:t>
            </w:r>
          </w:p>
        </w:tc>
        <w:tc>
          <w:tcPr>
            <w:tcW w:w="345" w:type="pct"/>
            <w:shd w:val="clear" w:color="auto" w:fill="auto"/>
            <w:noWrap/>
            <w:vAlign w:val="bottom"/>
          </w:tcPr>
          <w:p w14:paraId="4D08C2DE" w14:textId="77777777" w:rsidR="00643D10" w:rsidRPr="00D9348B" w:rsidRDefault="00643D10" w:rsidP="00DB330E">
            <w:pPr>
              <w:pStyle w:val="TableText"/>
              <w:jc w:val="center"/>
              <w:rPr>
                <w:rFonts w:cs="Arial"/>
                <w:color w:val="000000"/>
                <w:szCs w:val="16"/>
              </w:rPr>
            </w:pPr>
            <w:r w:rsidRPr="00D9348B">
              <w:rPr>
                <w:rFonts w:cs="Arial"/>
                <w:color w:val="000000"/>
                <w:szCs w:val="16"/>
              </w:rPr>
              <w:t>CO</w:t>
            </w:r>
            <w:r w:rsidRPr="00D9348B">
              <w:rPr>
                <w:rFonts w:cs="Arial"/>
                <w:color w:val="000000"/>
                <w:szCs w:val="16"/>
                <w:vertAlign w:val="subscript"/>
              </w:rPr>
              <w:t>2</w:t>
            </w:r>
          </w:p>
        </w:tc>
        <w:tc>
          <w:tcPr>
            <w:tcW w:w="764" w:type="pct"/>
            <w:shd w:val="clear" w:color="auto" w:fill="auto"/>
            <w:noWrap/>
            <w:vAlign w:val="bottom"/>
          </w:tcPr>
          <w:p w14:paraId="64289BA2" w14:textId="77777777" w:rsidR="00643D10" w:rsidRPr="00D9348B" w:rsidRDefault="00643D10" w:rsidP="00DB330E">
            <w:pPr>
              <w:pStyle w:val="TableText"/>
              <w:rPr>
                <w:rFonts w:cs="Arial"/>
                <w:color w:val="000000"/>
                <w:szCs w:val="16"/>
              </w:rPr>
            </w:pPr>
            <w:r w:rsidRPr="00D9348B">
              <w:t>L1, T1</w:t>
            </w:r>
          </w:p>
        </w:tc>
      </w:tr>
      <w:tr w:rsidR="00643D10" w:rsidRPr="00D9348B" w14:paraId="760802F0" w14:textId="77777777" w:rsidTr="003E2C49">
        <w:tc>
          <w:tcPr>
            <w:tcW w:w="750" w:type="pct"/>
            <w:tcMar>
              <w:right w:w="85" w:type="dxa"/>
            </w:tcMar>
            <w:vAlign w:val="bottom"/>
          </w:tcPr>
          <w:p w14:paraId="4018EF6D" w14:textId="77777777" w:rsidR="00643D10" w:rsidRPr="00D9348B" w:rsidRDefault="00643D10" w:rsidP="00DB330E">
            <w:pPr>
              <w:pStyle w:val="TableText"/>
              <w:rPr>
                <w:rFonts w:cs="Arial"/>
                <w:szCs w:val="16"/>
              </w:rPr>
            </w:pPr>
            <w:r w:rsidRPr="00D9348B">
              <w:t>1.A.1.c</w:t>
            </w:r>
          </w:p>
        </w:tc>
        <w:tc>
          <w:tcPr>
            <w:tcW w:w="3141" w:type="pct"/>
            <w:shd w:val="clear" w:color="auto" w:fill="auto"/>
            <w:vAlign w:val="bottom"/>
          </w:tcPr>
          <w:p w14:paraId="17A6068F" w14:textId="77777777" w:rsidR="00643D10" w:rsidRPr="00D9348B" w:rsidRDefault="00643D10" w:rsidP="00DB330E">
            <w:pPr>
              <w:pStyle w:val="TableText"/>
              <w:rPr>
                <w:rFonts w:cs="Arial"/>
                <w:szCs w:val="16"/>
              </w:rPr>
            </w:pPr>
            <w:r w:rsidRPr="00D9348B">
              <w:t>Energy Industries – Manufacture of Solid Fuels and Other Energy Industries Gaseous Fuels</w:t>
            </w:r>
          </w:p>
        </w:tc>
        <w:tc>
          <w:tcPr>
            <w:tcW w:w="345" w:type="pct"/>
            <w:shd w:val="clear" w:color="auto" w:fill="auto"/>
            <w:noWrap/>
            <w:vAlign w:val="bottom"/>
          </w:tcPr>
          <w:p w14:paraId="57566D3F" w14:textId="77777777" w:rsidR="00643D10" w:rsidRPr="00D9348B" w:rsidRDefault="00643D10" w:rsidP="00DB330E">
            <w:pPr>
              <w:pStyle w:val="TableText"/>
              <w:jc w:val="center"/>
              <w:rPr>
                <w:rFonts w:cs="Arial"/>
                <w:color w:val="000000"/>
                <w:szCs w:val="16"/>
              </w:rPr>
            </w:pPr>
            <w:r w:rsidRPr="00D9348B">
              <w:rPr>
                <w:rFonts w:cs="Arial"/>
                <w:color w:val="000000"/>
                <w:szCs w:val="16"/>
              </w:rPr>
              <w:t>CO</w:t>
            </w:r>
            <w:r w:rsidRPr="00D9348B">
              <w:rPr>
                <w:rFonts w:cs="Arial"/>
                <w:color w:val="000000"/>
                <w:szCs w:val="16"/>
                <w:vertAlign w:val="subscript"/>
              </w:rPr>
              <w:t>2</w:t>
            </w:r>
          </w:p>
        </w:tc>
        <w:tc>
          <w:tcPr>
            <w:tcW w:w="764" w:type="pct"/>
            <w:shd w:val="clear" w:color="auto" w:fill="auto"/>
            <w:noWrap/>
            <w:vAlign w:val="bottom"/>
          </w:tcPr>
          <w:p w14:paraId="29A9E6CD" w14:textId="77777777" w:rsidR="00643D10" w:rsidRPr="00D9348B" w:rsidRDefault="00643D10" w:rsidP="00DB330E">
            <w:pPr>
              <w:pStyle w:val="TableText"/>
              <w:rPr>
                <w:rFonts w:cs="Arial"/>
                <w:color w:val="000000"/>
                <w:szCs w:val="16"/>
              </w:rPr>
            </w:pPr>
            <w:r w:rsidRPr="00D9348B">
              <w:t>L1, T1</w:t>
            </w:r>
          </w:p>
        </w:tc>
      </w:tr>
      <w:tr w:rsidR="00643D10" w:rsidRPr="00D9348B" w14:paraId="0AFECC27" w14:textId="77777777" w:rsidTr="003E2C49">
        <w:tc>
          <w:tcPr>
            <w:tcW w:w="750" w:type="pct"/>
            <w:tcMar>
              <w:right w:w="85" w:type="dxa"/>
            </w:tcMar>
            <w:vAlign w:val="bottom"/>
          </w:tcPr>
          <w:p w14:paraId="2C65A16E" w14:textId="77777777" w:rsidR="00643D10" w:rsidRPr="00D9348B" w:rsidRDefault="00643D10" w:rsidP="00DB330E">
            <w:pPr>
              <w:pStyle w:val="TableText"/>
              <w:rPr>
                <w:rFonts w:cs="Arial"/>
                <w:szCs w:val="16"/>
              </w:rPr>
            </w:pPr>
            <w:r w:rsidRPr="00D9348B">
              <w:t>1.A.2.c</w:t>
            </w:r>
          </w:p>
        </w:tc>
        <w:tc>
          <w:tcPr>
            <w:tcW w:w="3141" w:type="pct"/>
            <w:shd w:val="clear" w:color="auto" w:fill="auto"/>
            <w:vAlign w:val="bottom"/>
          </w:tcPr>
          <w:p w14:paraId="51EED6B2" w14:textId="77777777" w:rsidR="00643D10" w:rsidRPr="00D9348B" w:rsidRDefault="00643D10" w:rsidP="00DB330E">
            <w:pPr>
              <w:pStyle w:val="TableText"/>
              <w:rPr>
                <w:rFonts w:cs="Arial"/>
                <w:szCs w:val="16"/>
              </w:rPr>
            </w:pPr>
            <w:r w:rsidRPr="00D9348B">
              <w:t>Manufacturing Industries and Construction – Chemicals Gaseous Fuels</w:t>
            </w:r>
          </w:p>
        </w:tc>
        <w:tc>
          <w:tcPr>
            <w:tcW w:w="345" w:type="pct"/>
            <w:shd w:val="clear" w:color="auto" w:fill="auto"/>
            <w:noWrap/>
            <w:vAlign w:val="bottom"/>
          </w:tcPr>
          <w:p w14:paraId="52AF4D6B" w14:textId="77777777" w:rsidR="00643D10" w:rsidRPr="00D9348B" w:rsidRDefault="00643D10" w:rsidP="00DB330E">
            <w:pPr>
              <w:pStyle w:val="TableText"/>
              <w:jc w:val="center"/>
              <w:rPr>
                <w:rFonts w:cs="Arial"/>
                <w:color w:val="000000"/>
                <w:szCs w:val="16"/>
              </w:rPr>
            </w:pPr>
            <w:r w:rsidRPr="00D9348B">
              <w:rPr>
                <w:rFonts w:cs="Arial"/>
                <w:color w:val="000000"/>
                <w:szCs w:val="16"/>
              </w:rPr>
              <w:t>CO</w:t>
            </w:r>
            <w:r w:rsidRPr="00D9348B">
              <w:rPr>
                <w:rFonts w:cs="Arial"/>
                <w:color w:val="000000"/>
                <w:szCs w:val="16"/>
                <w:vertAlign w:val="subscript"/>
              </w:rPr>
              <w:t>2</w:t>
            </w:r>
          </w:p>
        </w:tc>
        <w:tc>
          <w:tcPr>
            <w:tcW w:w="764" w:type="pct"/>
            <w:shd w:val="clear" w:color="auto" w:fill="auto"/>
            <w:noWrap/>
            <w:vAlign w:val="bottom"/>
          </w:tcPr>
          <w:p w14:paraId="2A39EB26" w14:textId="77777777" w:rsidR="00643D10" w:rsidRPr="00D9348B" w:rsidRDefault="00643D10" w:rsidP="00DB330E">
            <w:pPr>
              <w:pStyle w:val="TableText"/>
              <w:rPr>
                <w:rFonts w:cs="Arial"/>
                <w:color w:val="000000"/>
                <w:szCs w:val="16"/>
              </w:rPr>
            </w:pPr>
            <w:r w:rsidRPr="00D9348B">
              <w:t>L1, T1</w:t>
            </w:r>
          </w:p>
        </w:tc>
      </w:tr>
      <w:tr w:rsidR="00643D10" w:rsidRPr="00D9348B" w14:paraId="62CAD09E" w14:textId="77777777" w:rsidTr="003E2C49">
        <w:tc>
          <w:tcPr>
            <w:tcW w:w="750" w:type="pct"/>
            <w:tcMar>
              <w:right w:w="85" w:type="dxa"/>
            </w:tcMar>
            <w:vAlign w:val="bottom"/>
          </w:tcPr>
          <w:p w14:paraId="6BEAA23F" w14:textId="77777777" w:rsidR="00643D10" w:rsidRPr="00D9348B" w:rsidRDefault="00643D10" w:rsidP="00DB330E">
            <w:pPr>
              <w:pStyle w:val="TableText"/>
              <w:rPr>
                <w:rFonts w:cs="Arial"/>
                <w:szCs w:val="16"/>
              </w:rPr>
            </w:pPr>
            <w:r w:rsidRPr="00D9348B">
              <w:t>1.A.2.d</w:t>
            </w:r>
          </w:p>
        </w:tc>
        <w:tc>
          <w:tcPr>
            <w:tcW w:w="3141" w:type="pct"/>
            <w:shd w:val="clear" w:color="auto" w:fill="auto"/>
            <w:vAlign w:val="bottom"/>
          </w:tcPr>
          <w:p w14:paraId="235F3FED" w14:textId="77777777" w:rsidR="00643D10" w:rsidRPr="00D9348B" w:rsidRDefault="00643D10" w:rsidP="00DB330E">
            <w:pPr>
              <w:pStyle w:val="TableText"/>
              <w:rPr>
                <w:rFonts w:cs="Arial"/>
                <w:szCs w:val="16"/>
              </w:rPr>
            </w:pPr>
            <w:r w:rsidRPr="00D9348B">
              <w:t>Manufacturing Industries and Construction – Pulp, Paper and Print Gaseous Fuels</w:t>
            </w:r>
          </w:p>
        </w:tc>
        <w:tc>
          <w:tcPr>
            <w:tcW w:w="345" w:type="pct"/>
            <w:shd w:val="clear" w:color="auto" w:fill="auto"/>
            <w:noWrap/>
            <w:vAlign w:val="bottom"/>
          </w:tcPr>
          <w:p w14:paraId="18243673" w14:textId="77777777" w:rsidR="00643D10" w:rsidRPr="00D9348B" w:rsidRDefault="00643D10" w:rsidP="00DB330E">
            <w:pPr>
              <w:pStyle w:val="TableText"/>
              <w:jc w:val="center"/>
              <w:rPr>
                <w:rFonts w:cs="Arial"/>
                <w:color w:val="000000"/>
                <w:szCs w:val="16"/>
              </w:rPr>
            </w:pPr>
            <w:r w:rsidRPr="00D9348B">
              <w:rPr>
                <w:rFonts w:cs="Arial"/>
                <w:color w:val="000000"/>
                <w:szCs w:val="16"/>
              </w:rPr>
              <w:t>CO</w:t>
            </w:r>
            <w:r w:rsidRPr="00D9348B">
              <w:rPr>
                <w:rFonts w:cs="Arial"/>
                <w:color w:val="000000"/>
                <w:szCs w:val="16"/>
                <w:vertAlign w:val="subscript"/>
              </w:rPr>
              <w:t>2</w:t>
            </w:r>
          </w:p>
        </w:tc>
        <w:tc>
          <w:tcPr>
            <w:tcW w:w="764" w:type="pct"/>
            <w:shd w:val="clear" w:color="auto" w:fill="auto"/>
            <w:noWrap/>
            <w:vAlign w:val="bottom"/>
          </w:tcPr>
          <w:p w14:paraId="40499AF7" w14:textId="77777777" w:rsidR="00643D10" w:rsidRPr="00D9348B" w:rsidRDefault="00643D10" w:rsidP="00DB330E">
            <w:pPr>
              <w:pStyle w:val="TableText"/>
              <w:rPr>
                <w:rFonts w:cs="Arial"/>
                <w:color w:val="000000"/>
                <w:szCs w:val="16"/>
              </w:rPr>
            </w:pPr>
            <w:r w:rsidRPr="00D9348B">
              <w:t>L1, T1</w:t>
            </w:r>
          </w:p>
        </w:tc>
      </w:tr>
      <w:tr w:rsidR="00643D10" w:rsidRPr="00D9348B" w14:paraId="6060FFDB" w14:textId="77777777" w:rsidTr="003E2C49">
        <w:tc>
          <w:tcPr>
            <w:tcW w:w="750" w:type="pct"/>
            <w:tcMar>
              <w:right w:w="85" w:type="dxa"/>
            </w:tcMar>
            <w:vAlign w:val="bottom"/>
          </w:tcPr>
          <w:p w14:paraId="19B223E7" w14:textId="77777777" w:rsidR="00643D10" w:rsidRPr="00D9348B" w:rsidRDefault="00643D10" w:rsidP="00DB330E">
            <w:pPr>
              <w:pStyle w:val="TableText"/>
              <w:rPr>
                <w:rFonts w:cs="Arial"/>
                <w:szCs w:val="16"/>
              </w:rPr>
            </w:pPr>
            <w:r w:rsidRPr="00D9348B">
              <w:t>1.A.2.d</w:t>
            </w:r>
          </w:p>
        </w:tc>
        <w:tc>
          <w:tcPr>
            <w:tcW w:w="3141" w:type="pct"/>
            <w:shd w:val="clear" w:color="auto" w:fill="auto"/>
            <w:vAlign w:val="bottom"/>
          </w:tcPr>
          <w:p w14:paraId="62181AF9" w14:textId="77777777" w:rsidR="00643D10" w:rsidRPr="00D9348B" w:rsidRDefault="00643D10" w:rsidP="00DB330E">
            <w:pPr>
              <w:pStyle w:val="TableText"/>
              <w:rPr>
                <w:rFonts w:cs="Arial"/>
                <w:szCs w:val="16"/>
              </w:rPr>
            </w:pPr>
            <w:r w:rsidRPr="00D9348B">
              <w:t>Manufacturing Industries and Construction – Pulp, Paper and Print Solid Fuels</w:t>
            </w:r>
          </w:p>
        </w:tc>
        <w:tc>
          <w:tcPr>
            <w:tcW w:w="345" w:type="pct"/>
            <w:shd w:val="clear" w:color="auto" w:fill="auto"/>
            <w:noWrap/>
            <w:vAlign w:val="bottom"/>
          </w:tcPr>
          <w:p w14:paraId="51CFBC4A" w14:textId="77777777" w:rsidR="00643D10" w:rsidRPr="00D9348B" w:rsidRDefault="00643D10" w:rsidP="00DB330E">
            <w:pPr>
              <w:pStyle w:val="TableText"/>
              <w:jc w:val="center"/>
              <w:rPr>
                <w:rFonts w:cs="Arial"/>
                <w:color w:val="000000"/>
                <w:szCs w:val="16"/>
              </w:rPr>
            </w:pPr>
            <w:r w:rsidRPr="00D9348B">
              <w:rPr>
                <w:rFonts w:cs="Arial"/>
                <w:color w:val="000000"/>
                <w:szCs w:val="16"/>
              </w:rPr>
              <w:t>CO</w:t>
            </w:r>
            <w:r w:rsidRPr="00D9348B">
              <w:rPr>
                <w:rFonts w:cs="Arial"/>
                <w:color w:val="000000"/>
                <w:szCs w:val="16"/>
                <w:vertAlign w:val="subscript"/>
              </w:rPr>
              <w:t>2</w:t>
            </w:r>
          </w:p>
        </w:tc>
        <w:tc>
          <w:tcPr>
            <w:tcW w:w="764" w:type="pct"/>
            <w:shd w:val="clear" w:color="auto" w:fill="auto"/>
            <w:noWrap/>
            <w:vAlign w:val="bottom"/>
          </w:tcPr>
          <w:p w14:paraId="29774A10" w14:textId="77777777" w:rsidR="00643D10" w:rsidRPr="00D9348B" w:rsidRDefault="00643D10" w:rsidP="00DB330E">
            <w:pPr>
              <w:pStyle w:val="TableText"/>
              <w:rPr>
                <w:rFonts w:cs="Arial"/>
                <w:color w:val="000000"/>
                <w:szCs w:val="16"/>
              </w:rPr>
            </w:pPr>
            <w:r w:rsidRPr="00D9348B">
              <w:t>T1</w:t>
            </w:r>
          </w:p>
        </w:tc>
      </w:tr>
      <w:tr w:rsidR="00643D10" w:rsidRPr="00D9348B" w14:paraId="2658E1CF" w14:textId="77777777" w:rsidTr="003E2C49">
        <w:tc>
          <w:tcPr>
            <w:tcW w:w="750" w:type="pct"/>
            <w:tcMar>
              <w:right w:w="85" w:type="dxa"/>
            </w:tcMar>
            <w:vAlign w:val="bottom"/>
          </w:tcPr>
          <w:p w14:paraId="04446FAB" w14:textId="77777777" w:rsidR="00643D10" w:rsidRPr="00D9348B" w:rsidRDefault="00643D10" w:rsidP="00DB330E">
            <w:pPr>
              <w:pStyle w:val="TableText"/>
              <w:rPr>
                <w:rFonts w:cs="Arial"/>
                <w:szCs w:val="16"/>
              </w:rPr>
            </w:pPr>
            <w:r w:rsidRPr="00D9348B">
              <w:t>1.A.2.e</w:t>
            </w:r>
          </w:p>
        </w:tc>
        <w:tc>
          <w:tcPr>
            <w:tcW w:w="3141" w:type="pct"/>
            <w:shd w:val="clear" w:color="auto" w:fill="auto"/>
            <w:vAlign w:val="bottom"/>
          </w:tcPr>
          <w:p w14:paraId="507CB74E" w14:textId="77777777" w:rsidR="00643D10" w:rsidRPr="00D9348B" w:rsidRDefault="00643D10" w:rsidP="00DB330E">
            <w:pPr>
              <w:pStyle w:val="TableText"/>
              <w:rPr>
                <w:rFonts w:cs="Arial"/>
                <w:szCs w:val="16"/>
              </w:rPr>
            </w:pPr>
            <w:r w:rsidRPr="00D9348B">
              <w:t>Manufacturing Industries and Construction – Food Processing, Beverages and Tobacco Solid Fuels</w:t>
            </w:r>
          </w:p>
        </w:tc>
        <w:tc>
          <w:tcPr>
            <w:tcW w:w="345" w:type="pct"/>
            <w:shd w:val="clear" w:color="auto" w:fill="auto"/>
            <w:noWrap/>
            <w:vAlign w:val="bottom"/>
          </w:tcPr>
          <w:p w14:paraId="5B91106A" w14:textId="77777777" w:rsidR="00643D10" w:rsidRPr="00D9348B" w:rsidRDefault="00643D10" w:rsidP="00DB330E">
            <w:pPr>
              <w:pStyle w:val="TableText"/>
              <w:jc w:val="center"/>
              <w:rPr>
                <w:rFonts w:cs="Arial"/>
                <w:color w:val="000000"/>
                <w:szCs w:val="16"/>
              </w:rPr>
            </w:pPr>
            <w:r w:rsidRPr="00D9348B">
              <w:rPr>
                <w:rFonts w:cs="Arial"/>
                <w:color w:val="000000"/>
                <w:szCs w:val="16"/>
              </w:rPr>
              <w:t>CO</w:t>
            </w:r>
            <w:r w:rsidRPr="00D9348B">
              <w:rPr>
                <w:rFonts w:cs="Arial"/>
                <w:color w:val="000000"/>
                <w:szCs w:val="16"/>
                <w:vertAlign w:val="subscript"/>
              </w:rPr>
              <w:t>2</w:t>
            </w:r>
          </w:p>
        </w:tc>
        <w:tc>
          <w:tcPr>
            <w:tcW w:w="764" w:type="pct"/>
            <w:shd w:val="clear" w:color="auto" w:fill="auto"/>
            <w:noWrap/>
            <w:vAlign w:val="bottom"/>
          </w:tcPr>
          <w:p w14:paraId="672F8D9E" w14:textId="77777777" w:rsidR="00643D10" w:rsidRPr="00D9348B" w:rsidRDefault="00643D10" w:rsidP="00DB330E">
            <w:pPr>
              <w:pStyle w:val="TableText"/>
              <w:rPr>
                <w:rFonts w:cs="Arial"/>
                <w:color w:val="000000"/>
                <w:szCs w:val="16"/>
              </w:rPr>
            </w:pPr>
            <w:r w:rsidRPr="00D9348B">
              <w:t>L1, T1</w:t>
            </w:r>
          </w:p>
        </w:tc>
      </w:tr>
      <w:tr w:rsidR="00643D10" w:rsidRPr="00D9348B" w14:paraId="641DCFA3" w14:textId="77777777" w:rsidTr="003E2C49">
        <w:tc>
          <w:tcPr>
            <w:tcW w:w="750" w:type="pct"/>
            <w:tcMar>
              <w:right w:w="85" w:type="dxa"/>
            </w:tcMar>
            <w:vAlign w:val="bottom"/>
          </w:tcPr>
          <w:p w14:paraId="3ADB7BE5" w14:textId="77777777" w:rsidR="00643D10" w:rsidRPr="00D9348B" w:rsidRDefault="00643D10" w:rsidP="00DB330E">
            <w:pPr>
              <w:pStyle w:val="TableText"/>
              <w:rPr>
                <w:rFonts w:cs="Arial"/>
                <w:szCs w:val="16"/>
              </w:rPr>
            </w:pPr>
            <w:r w:rsidRPr="00D9348B">
              <w:t>1.A.2.e</w:t>
            </w:r>
          </w:p>
        </w:tc>
        <w:tc>
          <w:tcPr>
            <w:tcW w:w="3141" w:type="pct"/>
            <w:shd w:val="clear" w:color="auto" w:fill="auto"/>
            <w:vAlign w:val="bottom"/>
          </w:tcPr>
          <w:p w14:paraId="112CD4CA" w14:textId="77777777" w:rsidR="00643D10" w:rsidRPr="00D9348B" w:rsidRDefault="00643D10" w:rsidP="00DB330E">
            <w:pPr>
              <w:pStyle w:val="TableText"/>
              <w:rPr>
                <w:rFonts w:cs="Arial"/>
                <w:szCs w:val="16"/>
              </w:rPr>
            </w:pPr>
            <w:r w:rsidRPr="00D9348B">
              <w:t>Manufacturing Industries and Construction – Food Processing, Beverages and Tobacco Gaseous Fuels</w:t>
            </w:r>
          </w:p>
        </w:tc>
        <w:tc>
          <w:tcPr>
            <w:tcW w:w="345" w:type="pct"/>
            <w:shd w:val="clear" w:color="auto" w:fill="auto"/>
            <w:noWrap/>
            <w:vAlign w:val="bottom"/>
          </w:tcPr>
          <w:p w14:paraId="7FEBFFA1" w14:textId="77777777" w:rsidR="00643D10" w:rsidRPr="00D9348B" w:rsidRDefault="00643D10" w:rsidP="00DB330E">
            <w:pPr>
              <w:pStyle w:val="TableText"/>
              <w:jc w:val="center"/>
              <w:rPr>
                <w:rFonts w:cs="Arial"/>
                <w:color w:val="000000"/>
                <w:szCs w:val="16"/>
              </w:rPr>
            </w:pPr>
            <w:r w:rsidRPr="00D9348B">
              <w:rPr>
                <w:rFonts w:cs="Arial"/>
                <w:color w:val="000000"/>
                <w:szCs w:val="16"/>
              </w:rPr>
              <w:t>CO</w:t>
            </w:r>
            <w:r w:rsidRPr="00D9348B">
              <w:rPr>
                <w:rFonts w:cs="Arial"/>
                <w:color w:val="000000"/>
                <w:szCs w:val="16"/>
                <w:vertAlign w:val="subscript"/>
              </w:rPr>
              <w:t>2</w:t>
            </w:r>
          </w:p>
        </w:tc>
        <w:tc>
          <w:tcPr>
            <w:tcW w:w="764" w:type="pct"/>
            <w:shd w:val="clear" w:color="auto" w:fill="auto"/>
            <w:noWrap/>
            <w:vAlign w:val="bottom"/>
          </w:tcPr>
          <w:p w14:paraId="1BBAB0D0" w14:textId="77777777" w:rsidR="00643D10" w:rsidRPr="00D9348B" w:rsidRDefault="00643D10" w:rsidP="00DB330E">
            <w:pPr>
              <w:pStyle w:val="TableText"/>
              <w:rPr>
                <w:rFonts w:cs="Arial"/>
                <w:color w:val="000000"/>
                <w:szCs w:val="16"/>
              </w:rPr>
            </w:pPr>
            <w:r w:rsidRPr="00D9348B">
              <w:t>L1, T1</w:t>
            </w:r>
          </w:p>
        </w:tc>
      </w:tr>
      <w:tr w:rsidR="00643D10" w:rsidRPr="00D9348B" w14:paraId="76FE1083" w14:textId="77777777" w:rsidTr="003E2C49">
        <w:tc>
          <w:tcPr>
            <w:tcW w:w="750" w:type="pct"/>
            <w:tcMar>
              <w:right w:w="85" w:type="dxa"/>
            </w:tcMar>
            <w:vAlign w:val="bottom"/>
          </w:tcPr>
          <w:p w14:paraId="66B38345" w14:textId="77777777" w:rsidR="00643D10" w:rsidRPr="00D9348B" w:rsidRDefault="00643D10" w:rsidP="00DB330E">
            <w:pPr>
              <w:pStyle w:val="TableText"/>
              <w:rPr>
                <w:rFonts w:cs="Arial"/>
                <w:szCs w:val="16"/>
              </w:rPr>
            </w:pPr>
            <w:r w:rsidRPr="00D9348B">
              <w:t>1.A.2.e</w:t>
            </w:r>
          </w:p>
        </w:tc>
        <w:tc>
          <w:tcPr>
            <w:tcW w:w="3141" w:type="pct"/>
            <w:shd w:val="clear" w:color="auto" w:fill="auto"/>
            <w:vAlign w:val="bottom"/>
          </w:tcPr>
          <w:p w14:paraId="0FBFCCDB" w14:textId="77777777" w:rsidR="00643D10" w:rsidRPr="00D9348B" w:rsidRDefault="00643D10" w:rsidP="00DB330E">
            <w:pPr>
              <w:pStyle w:val="TableText"/>
              <w:rPr>
                <w:rFonts w:cs="Arial"/>
                <w:szCs w:val="16"/>
              </w:rPr>
            </w:pPr>
            <w:r w:rsidRPr="00D9348B">
              <w:t>Manufacturing Industries and Construction – Food Processing, Beverages and Tobacco Liquid Fuels</w:t>
            </w:r>
          </w:p>
        </w:tc>
        <w:tc>
          <w:tcPr>
            <w:tcW w:w="345" w:type="pct"/>
            <w:shd w:val="clear" w:color="auto" w:fill="auto"/>
            <w:noWrap/>
            <w:vAlign w:val="bottom"/>
          </w:tcPr>
          <w:p w14:paraId="4C22986B" w14:textId="77777777" w:rsidR="00643D10" w:rsidRPr="00D9348B" w:rsidRDefault="00643D10" w:rsidP="00DB330E">
            <w:pPr>
              <w:pStyle w:val="TableText"/>
              <w:jc w:val="center"/>
              <w:rPr>
                <w:rFonts w:cs="Arial"/>
                <w:color w:val="000000"/>
                <w:szCs w:val="16"/>
              </w:rPr>
            </w:pPr>
            <w:r w:rsidRPr="00D9348B">
              <w:rPr>
                <w:rFonts w:cs="Arial"/>
                <w:color w:val="000000"/>
                <w:szCs w:val="16"/>
              </w:rPr>
              <w:t>CO</w:t>
            </w:r>
            <w:r w:rsidRPr="00D9348B">
              <w:rPr>
                <w:rFonts w:cs="Arial"/>
                <w:color w:val="000000"/>
                <w:szCs w:val="16"/>
                <w:vertAlign w:val="subscript"/>
              </w:rPr>
              <w:t>2</w:t>
            </w:r>
          </w:p>
        </w:tc>
        <w:tc>
          <w:tcPr>
            <w:tcW w:w="764" w:type="pct"/>
            <w:shd w:val="clear" w:color="auto" w:fill="auto"/>
            <w:noWrap/>
            <w:vAlign w:val="bottom"/>
          </w:tcPr>
          <w:p w14:paraId="663E16D0" w14:textId="77777777" w:rsidR="00643D10" w:rsidRPr="00D9348B" w:rsidRDefault="00643D10" w:rsidP="00DB330E">
            <w:pPr>
              <w:pStyle w:val="TableText"/>
              <w:rPr>
                <w:rFonts w:cs="Arial"/>
                <w:color w:val="000000"/>
                <w:szCs w:val="16"/>
              </w:rPr>
            </w:pPr>
            <w:r w:rsidRPr="00D9348B">
              <w:t>L1, T1</w:t>
            </w:r>
          </w:p>
        </w:tc>
      </w:tr>
      <w:tr w:rsidR="00643D10" w:rsidRPr="00D9348B" w14:paraId="093ACC45" w14:textId="77777777" w:rsidTr="003E2C49">
        <w:tc>
          <w:tcPr>
            <w:tcW w:w="750" w:type="pct"/>
            <w:tcMar>
              <w:right w:w="85" w:type="dxa"/>
            </w:tcMar>
            <w:vAlign w:val="bottom"/>
          </w:tcPr>
          <w:p w14:paraId="0BCC6176" w14:textId="77777777" w:rsidR="00643D10" w:rsidRPr="00D9348B" w:rsidRDefault="00643D10" w:rsidP="00DB330E">
            <w:pPr>
              <w:pStyle w:val="TableText"/>
              <w:rPr>
                <w:rFonts w:cs="Arial"/>
                <w:szCs w:val="16"/>
              </w:rPr>
            </w:pPr>
            <w:r w:rsidRPr="00D9348B">
              <w:t>1.A.2.f</w:t>
            </w:r>
          </w:p>
        </w:tc>
        <w:tc>
          <w:tcPr>
            <w:tcW w:w="3141" w:type="pct"/>
            <w:shd w:val="clear" w:color="auto" w:fill="auto"/>
            <w:vAlign w:val="bottom"/>
          </w:tcPr>
          <w:p w14:paraId="3AC3A6B0" w14:textId="77777777" w:rsidR="00643D10" w:rsidRPr="00D9348B" w:rsidRDefault="00643D10" w:rsidP="00DB330E">
            <w:pPr>
              <w:pStyle w:val="TableText"/>
              <w:rPr>
                <w:rFonts w:cs="Arial"/>
                <w:szCs w:val="16"/>
              </w:rPr>
            </w:pPr>
            <w:r w:rsidRPr="00D9348B">
              <w:t>Manufacturing Industries and Construction – Non-metallic Minerals Solid Fuels</w:t>
            </w:r>
          </w:p>
        </w:tc>
        <w:tc>
          <w:tcPr>
            <w:tcW w:w="345" w:type="pct"/>
            <w:shd w:val="clear" w:color="auto" w:fill="auto"/>
            <w:noWrap/>
            <w:vAlign w:val="bottom"/>
          </w:tcPr>
          <w:p w14:paraId="7EDE77F7" w14:textId="77777777" w:rsidR="00643D10" w:rsidRPr="00D9348B" w:rsidRDefault="00643D10" w:rsidP="00DB330E">
            <w:pPr>
              <w:pStyle w:val="TableText"/>
              <w:jc w:val="center"/>
              <w:rPr>
                <w:rFonts w:cs="Arial"/>
                <w:color w:val="000000"/>
                <w:szCs w:val="16"/>
              </w:rPr>
            </w:pPr>
            <w:r w:rsidRPr="00D9348B">
              <w:rPr>
                <w:rFonts w:cs="Arial"/>
                <w:color w:val="000000"/>
                <w:szCs w:val="16"/>
              </w:rPr>
              <w:t>CO</w:t>
            </w:r>
            <w:r w:rsidRPr="00D9348B">
              <w:rPr>
                <w:rFonts w:cs="Arial"/>
                <w:color w:val="000000"/>
                <w:szCs w:val="16"/>
                <w:vertAlign w:val="subscript"/>
              </w:rPr>
              <w:t>2</w:t>
            </w:r>
          </w:p>
        </w:tc>
        <w:tc>
          <w:tcPr>
            <w:tcW w:w="764" w:type="pct"/>
            <w:shd w:val="clear" w:color="auto" w:fill="auto"/>
            <w:noWrap/>
            <w:vAlign w:val="bottom"/>
          </w:tcPr>
          <w:p w14:paraId="37AD2A41" w14:textId="77777777" w:rsidR="00643D10" w:rsidRPr="00D9348B" w:rsidRDefault="00643D10" w:rsidP="00DB330E">
            <w:pPr>
              <w:pStyle w:val="TableText"/>
              <w:rPr>
                <w:rFonts w:cs="Arial"/>
                <w:color w:val="000000"/>
                <w:szCs w:val="16"/>
              </w:rPr>
            </w:pPr>
            <w:r w:rsidRPr="00D9348B">
              <w:t>L1, T1</w:t>
            </w:r>
          </w:p>
        </w:tc>
      </w:tr>
      <w:tr w:rsidR="00643D10" w:rsidRPr="00D9348B" w14:paraId="1B1275DD" w14:textId="77777777" w:rsidTr="003E2C49">
        <w:tc>
          <w:tcPr>
            <w:tcW w:w="750" w:type="pct"/>
            <w:tcMar>
              <w:right w:w="85" w:type="dxa"/>
            </w:tcMar>
            <w:vAlign w:val="bottom"/>
          </w:tcPr>
          <w:p w14:paraId="2FBB1F93" w14:textId="77777777" w:rsidR="00643D10" w:rsidRPr="00D9348B" w:rsidRDefault="00643D10" w:rsidP="00DB330E">
            <w:pPr>
              <w:pStyle w:val="TableText"/>
              <w:rPr>
                <w:rFonts w:cs="Arial"/>
                <w:szCs w:val="16"/>
              </w:rPr>
            </w:pPr>
            <w:r w:rsidRPr="00D9348B">
              <w:t>1.A.2.g.iii</w:t>
            </w:r>
          </w:p>
        </w:tc>
        <w:tc>
          <w:tcPr>
            <w:tcW w:w="3141" w:type="pct"/>
            <w:shd w:val="clear" w:color="auto" w:fill="auto"/>
            <w:vAlign w:val="bottom"/>
          </w:tcPr>
          <w:p w14:paraId="38B72032" w14:textId="77777777" w:rsidR="00643D10" w:rsidRPr="00D9348B" w:rsidRDefault="00643D10" w:rsidP="00DB330E">
            <w:pPr>
              <w:pStyle w:val="TableText"/>
              <w:rPr>
                <w:rFonts w:cs="Arial"/>
                <w:szCs w:val="16"/>
              </w:rPr>
            </w:pPr>
            <w:r w:rsidRPr="00D9348B">
              <w:t>Other (please specify) – Mining (excluding fuels) and Quarrying Liquid Fuels</w:t>
            </w:r>
          </w:p>
        </w:tc>
        <w:tc>
          <w:tcPr>
            <w:tcW w:w="345" w:type="pct"/>
            <w:shd w:val="clear" w:color="auto" w:fill="auto"/>
            <w:noWrap/>
            <w:vAlign w:val="bottom"/>
          </w:tcPr>
          <w:p w14:paraId="645AF72D" w14:textId="77777777" w:rsidR="00643D10" w:rsidRPr="00D9348B" w:rsidRDefault="00643D10" w:rsidP="00DB330E">
            <w:pPr>
              <w:pStyle w:val="TableText"/>
              <w:jc w:val="center"/>
              <w:rPr>
                <w:rFonts w:cs="Arial"/>
                <w:color w:val="000000"/>
                <w:szCs w:val="16"/>
              </w:rPr>
            </w:pPr>
            <w:r w:rsidRPr="00D9348B">
              <w:rPr>
                <w:rFonts w:cs="Arial"/>
                <w:color w:val="000000"/>
                <w:szCs w:val="16"/>
              </w:rPr>
              <w:t>CO</w:t>
            </w:r>
            <w:r w:rsidRPr="00D9348B">
              <w:rPr>
                <w:rFonts w:cs="Arial"/>
                <w:color w:val="000000"/>
                <w:szCs w:val="16"/>
                <w:vertAlign w:val="subscript"/>
              </w:rPr>
              <w:t>2</w:t>
            </w:r>
          </w:p>
        </w:tc>
        <w:tc>
          <w:tcPr>
            <w:tcW w:w="764" w:type="pct"/>
            <w:shd w:val="clear" w:color="auto" w:fill="auto"/>
            <w:noWrap/>
            <w:vAlign w:val="bottom"/>
          </w:tcPr>
          <w:p w14:paraId="10C97176" w14:textId="77777777" w:rsidR="00643D10" w:rsidRPr="00D9348B" w:rsidRDefault="00643D10" w:rsidP="00DB330E">
            <w:pPr>
              <w:pStyle w:val="TableText"/>
              <w:rPr>
                <w:rFonts w:cs="Arial"/>
                <w:color w:val="000000"/>
                <w:szCs w:val="16"/>
              </w:rPr>
            </w:pPr>
            <w:r w:rsidRPr="00D9348B">
              <w:t>L1, T1</w:t>
            </w:r>
          </w:p>
        </w:tc>
      </w:tr>
      <w:tr w:rsidR="00643D10" w:rsidRPr="00D9348B" w14:paraId="17C54635" w14:textId="77777777" w:rsidTr="003E2C49">
        <w:tc>
          <w:tcPr>
            <w:tcW w:w="750" w:type="pct"/>
            <w:tcMar>
              <w:right w:w="85" w:type="dxa"/>
            </w:tcMar>
            <w:vAlign w:val="bottom"/>
          </w:tcPr>
          <w:p w14:paraId="2E406964" w14:textId="77777777" w:rsidR="00643D10" w:rsidRPr="00D9348B" w:rsidRDefault="00643D10" w:rsidP="00DB330E">
            <w:pPr>
              <w:pStyle w:val="TableText"/>
              <w:rPr>
                <w:rFonts w:cs="Arial"/>
                <w:szCs w:val="16"/>
              </w:rPr>
            </w:pPr>
            <w:r w:rsidRPr="00D9348B">
              <w:t>1.A.2.g.viii</w:t>
            </w:r>
          </w:p>
        </w:tc>
        <w:tc>
          <w:tcPr>
            <w:tcW w:w="3141" w:type="pct"/>
            <w:shd w:val="clear" w:color="auto" w:fill="auto"/>
            <w:vAlign w:val="bottom"/>
          </w:tcPr>
          <w:p w14:paraId="7817ED74" w14:textId="77777777" w:rsidR="00643D10" w:rsidRPr="00D9348B" w:rsidRDefault="00643D10" w:rsidP="00DB330E">
            <w:pPr>
              <w:pStyle w:val="TableText"/>
              <w:rPr>
                <w:rFonts w:cs="Arial"/>
                <w:szCs w:val="16"/>
              </w:rPr>
            </w:pPr>
            <w:r w:rsidRPr="00D9348B">
              <w:t>Other (please specify) – Other (please specify) Liquid Fuels</w:t>
            </w:r>
          </w:p>
        </w:tc>
        <w:tc>
          <w:tcPr>
            <w:tcW w:w="345" w:type="pct"/>
            <w:shd w:val="clear" w:color="auto" w:fill="auto"/>
            <w:noWrap/>
            <w:vAlign w:val="bottom"/>
          </w:tcPr>
          <w:p w14:paraId="48FD69F6" w14:textId="77777777" w:rsidR="00643D10" w:rsidRPr="00D9348B" w:rsidRDefault="00643D10" w:rsidP="00DB330E">
            <w:pPr>
              <w:pStyle w:val="TableText"/>
              <w:jc w:val="center"/>
              <w:rPr>
                <w:rFonts w:cs="Arial"/>
                <w:color w:val="000000"/>
                <w:szCs w:val="16"/>
              </w:rPr>
            </w:pPr>
            <w:r w:rsidRPr="00D9348B">
              <w:rPr>
                <w:rFonts w:cs="Arial"/>
                <w:color w:val="000000"/>
                <w:szCs w:val="16"/>
              </w:rPr>
              <w:t>CO</w:t>
            </w:r>
            <w:r w:rsidRPr="00D9348B">
              <w:rPr>
                <w:rFonts w:cs="Arial"/>
                <w:color w:val="000000"/>
                <w:szCs w:val="16"/>
                <w:vertAlign w:val="subscript"/>
              </w:rPr>
              <w:t>2</w:t>
            </w:r>
          </w:p>
        </w:tc>
        <w:tc>
          <w:tcPr>
            <w:tcW w:w="764" w:type="pct"/>
            <w:shd w:val="clear" w:color="auto" w:fill="auto"/>
            <w:noWrap/>
            <w:vAlign w:val="bottom"/>
          </w:tcPr>
          <w:p w14:paraId="3CD6CEB8" w14:textId="77777777" w:rsidR="00643D10" w:rsidRPr="00D9348B" w:rsidRDefault="00643D10" w:rsidP="00DB330E">
            <w:pPr>
              <w:pStyle w:val="TableText"/>
              <w:rPr>
                <w:rFonts w:cs="Arial"/>
                <w:color w:val="000000"/>
                <w:szCs w:val="16"/>
              </w:rPr>
            </w:pPr>
            <w:r w:rsidRPr="00D9348B">
              <w:t>L1, T1</w:t>
            </w:r>
          </w:p>
        </w:tc>
      </w:tr>
      <w:tr w:rsidR="00643D10" w:rsidRPr="00D9348B" w14:paraId="48AB7D9E" w14:textId="77777777" w:rsidTr="003E2C49">
        <w:tc>
          <w:tcPr>
            <w:tcW w:w="750" w:type="pct"/>
            <w:tcMar>
              <w:right w:w="85" w:type="dxa"/>
            </w:tcMar>
            <w:vAlign w:val="bottom"/>
          </w:tcPr>
          <w:p w14:paraId="06231F2C" w14:textId="77777777" w:rsidR="00643D10" w:rsidRPr="00D9348B" w:rsidRDefault="00643D10" w:rsidP="00DB330E">
            <w:pPr>
              <w:pStyle w:val="TableText"/>
              <w:rPr>
                <w:rFonts w:cs="Arial"/>
                <w:szCs w:val="16"/>
              </w:rPr>
            </w:pPr>
            <w:r w:rsidRPr="00D9348B">
              <w:t>1.A.2.g.viii</w:t>
            </w:r>
          </w:p>
        </w:tc>
        <w:tc>
          <w:tcPr>
            <w:tcW w:w="3141" w:type="pct"/>
            <w:shd w:val="clear" w:color="auto" w:fill="auto"/>
            <w:vAlign w:val="bottom"/>
          </w:tcPr>
          <w:p w14:paraId="0C6F8C24" w14:textId="77777777" w:rsidR="00643D10" w:rsidRPr="00D9348B" w:rsidRDefault="00643D10" w:rsidP="00DB330E">
            <w:pPr>
              <w:pStyle w:val="TableText"/>
              <w:rPr>
                <w:rFonts w:cs="Arial"/>
                <w:szCs w:val="16"/>
              </w:rPr>
            </w:pPr>
            <w:r w:rsidRPr="00D9348B">
              <w:t>Other (please specify) – Other (please specify) Solid Fuels</w:t>
            </w:r>
          </w:p>
        </w:tc>
        <w:tc>
          <w:tcPr>
            <w:tcW w:w="345" w:type="pct"/>
            <w:shd w:val="clear" w:color="auto" w:fill="auto"/>
            <w:noWrap/>
            <w:vAlign w:val="bottom"/>
          </w:tcPr>
          <w:p w14:paraId="2E5FFA8D" w14:textId="77777777" w:rsidR="00643D10" w:rsidRPr="00D9348B" w:rsidRDefault="00643D10" w:rsidP="00DB330E">
            <w:pPr>
              <w:pStyle w:val="TableText"/>
              <w:jc w:val="center"/>
              <w:rPr>
                <w:rFonts w:cs="Arial"/>
                <w:color w:val="000000"/>
                <w:szCs w:val="16"/>
              </w:rPr>
            </w:pPr>
            <w:r w:rsidRPr="00D9348B">
              <w:rPr>
                <w:rFonts w:cs="Arial"/>
                <w:color w:val="000000"/>
                <w:szCs w:val="16"/>
              </w:rPr>
              <w:t>CO</w:t>
            </w:r>
            <w:r w:rsidRPr="00D9348B">
              <w:rPr>
                <w:rFonts w:cs="Arial"/>
                <w:color w:val="000000"/>
                <w:szCs w:val="16"/>
                <w:vertAlign w:val="subscript"/>
              </w:rPr>
              <w:t>2</w:t>
            </w:r>
          </w:p>
        </w:tc>
        <w:tc>
          <w:tcPr>
            <w:tcW w:w="764" w:type="pct"/>
            <w:shd w:val="clear" w:color="auto" w:fill="auto"/>
            <w:noWrap/>
            <w:vAlign w:val="bottom"/>
          </w:tcPr>
          <w:p w14:paraId="331BB2EA" w14:textId="77777777" w:rsidR="00643D10" w:rsidRPr="00D9348B" w:rsidRDefault="00643D10" w:rsidP="00DB330E">
            <w:pPr>
              <w:pStyle w:val="TableText"/>
              <w:rPr>
                <w:rFonts w:cs="Arial"/>
                <w:color w:val="000000"/>
                <w:szCs w:val="16"/>
              </w:rPr>
            </w:pPr>
            <w:r w:rsidRPr="00D9348B">
              <w:t>T1</w:t>
            </w:r>
          </w:p>
        </w:tc>
      </w:tr>
      <w:tr w:rsidR="00643D10" w:rsidRPr="00D9348B" w14:paraId="2C7382CB" w14:textId="77777777" w:rsidTr="003E2C49">
        <w:tc>
          <w:tcPr>
            <w:tcW w:w="750" w:type="pct"/>
            <w:tcMar>
              <w:right w:w="85" w:type="dxa"/>
            </w:tcMar>
            <w:vAlign w:val="bottom"/>
          </w:tcPr>
          <w:p w14:paraId="75FF0298" w14:textId="77777777" w:rsidR="00643D10" w:rsidRPr="00D9348B" w:rsidRDefault="00643D10" w:rsidP="00DB330E">
            <w:pPr>
              <w:pStyle w:val="TableText"/>
              <w:rPr>
                <w:rFonts w:cs="Arial"/>
                <w:color w:val="000000"/>
                <w:szCs w:val="16"/>
              </w:rPr>
            </w:pPr>
            <w:r w:rsidRPr="00D9348B">
              <w:t>1.A.3.a</w:t>
            </w:r>
          </w:p>
        </w:tc>
        <w:tc>
          <w:tcPr>
            <w:tcW w:w="3141" w:type="pct"/>
            <w:shd w:val="clear" w:color="auto" w:fill="auto"/>
            <w:vAlign w:val="bottom"/>
          </w:tcPr>
          <w:p w14:paraId="53136625" w14:textId="77777777" w:rsidR="00643D10" w:rsidRPr="00D9348B" w:rsidRDefault="00643D10" w:rsidP="00DB330E">
            <w:pPr>
              <w:pStyle w:val="TableText"/>
              <w:rPr>
                <w:rFonts w:cs="Arial"/>
                <w:color w:val="000000"/>
                <w:szCs w:val="16"/>
              </w:rPr>
            </w:pPr>
            <w:r w:rsidRPr="00D9348B">
              <w:t>Domestic Aviation – Jet Kerosene</w:t>
            </w:r>
          </w:p>
        </w:tc>
        <w:tc>
          <w:tcPr>
            <w:tcW w:w="345" w:type="pct"/>
            <w:shd w:val="clear" w:color="auto" w:fill="auto"/>
            <w:noWrap/>
            <w:vAlign w:val="bottom"/>
          </w:tcPr>
          <w:p w14:paraId="2A428D0F" w14:textId="77777777" w:rsidR="00643D10" w:rsidRPr="00D9348B" w:rsidRDefault="00643D10" w:rsidP="00DB330E">
            <w:pPr>
              <w:pStyle w:val="TableText"/>
              <w:jc w:val="center"/>
              <w:rPr>
                <w:rFonts w:cs="Arial"/>
                <w:color w:val="000000"/>
                <w:szCs w:val="16"/>
              </w:rPr>
            </w:pPr>
            <w:r w:rsidRPr="00D9348B">
              <w:rPr>
                <w:rFonts w:cs="Arial"/>
                <w:color w:val="000000"/>
                <w:szCs w:val="16"/>
              </w:rPr>
              <w:t>CO</w:t>
            </w:r>
            <w:r w:rsidRPr="00D9348B">
              <w:rPr>
                <w:rFonts w:cs="Arial"/>
                <w:color w:val="000000"/>
                <w:szCs w:val="16"/>
                <w:vertAlign w:val="subscript"/>
              </w:rPr>
              <w:t>2</w:t>
            </w:r>
          </w:p>
        </w:tc>
        <w:tc>
          <w:tcPr>
            <w:tcW w:w="764" w:type="pct"/>
            <w:shd w:val="clear" w:color="auto" w:fill="auto"/>
            <w:noWrap/>
            <w:vAlign w:val="bottom"/>
          </w:tcPr>
          <w:p w14:paraId="562A3657" w14:textId="77777777" w:rsidR="00643D10" w:rsidRPr="00D9348B" w:rsidRDefault="00643D10" w:rsidP="00DB330E">
            <w:pPr>
              <w:pStyle w:val="TableText"/>
              <w:rPr>
                <w:rFonts w:cs="Arial"/>
                <w:color w:val="000000"/>
                <w:szCs w:val="16"/>
              </w:rPr>
            </w:pPr>
            <w:r w:rsidRPr="00D9348B">
              <w:t>L1, T1</w:t>
            </w:r>
          </w:p>
        </w:tc>
      </w:tr>
      <w:tr w:rsidR="00643D10" w:rsidRPr="00D9348B" w14:paraId="5C0737DC" w14:textId="77777777" w:rsidTr="003E2C49">
        <w:tc>
          <w:tcPr>
            <w:tcW w:w="750" w:type="pct"/>
            <w:tcMar>
              <w:right w:w="85" w:type="dxa"/>
            </w:tcMar>
            <w:vAlign w:val="bottom"/>
          </w:tcPr>
          <w:p w14:paraId="666D81C2" w14:textId="77777777" w:rsidR="00643D10" w:rsidRPr="00D9348B" w:rsidRDefault="00643D10" w:rsidP="00DB330E">
            <w:pPr>
              <w:pStyle w:val="TableText"/>
              <w:rPr>
                <w:rFonts w:cs="Arial"/>
                <w:szCs w:val="16"/>
              </w:rPr>
            </w:pPr>
            <w:r w:rsidRPr="00D9348B">
              <w:t>1.A.3.b</w:t>
            </w:r>
          </w:p>
        </w:tc>
        <w:tc>
          <w:tcPr>
            <w:tcW w:w="3141" w:type="pct"/>
            <w:shd w:val="clear" w:color="auto" w:fill="auto"/>
            <w:vAlign w:val="bottom"/>
          </w:tcPr>
          <w:p w14:paraId="1217CB6B" w14:textId="77777777" w:rsidR="00643D10" w:rsidRPr="00D9348B" w:rsidRDefault="00643D10" w:rsidP="00DB330E">
            <w:pPr>
              <w:pStyle w:val="TableText"/>
              <w:rPr>
                <w:rFonts w:cs="Arial"/>
                <w:szCs w:val="16"/>
              </w:rPr>
            </w:pPr>
            <w:r w:rsidRPr="00D9348B">
              <w:t>Transport – Road Transportation Liquid Fuels</w:t>
            </w:r>
          </w:p>
        </w:tc>
        <w:tc>
          <w:tcPr>
            <w:tcW w:w="345" w:type="pct"/>
            <w:shd w:val="clear" w:color="auto" w:fill="auto"/>
            <w:noWrap/>
            <w:vAlign w:val="bottom"/>
          </w:tcPr>
          <w:p w14:paraId="35E3767A" w14:textId="77777777" w:rsidR="00643D10" w:rsidRPr="00D9348B" w:rsidRDefault="00643D10" w:rsidP="00DB330E">
            <w:pPr>
              <w:pStyle w:val="TableText"/>
              <w:jc w:val="center"/>
              <w:rPr>
                <w:rFonts w:cs="Arial"/>
                <w:color w:val="000000"/>
                <w:szCs w:val="16"/>
              </w:rPr>
            </w:pPr>
            <w:r w:rsidRPr="00D9348B">
              <w:rPr>
                <w:rFonts w:cs="Arial"/>
                <w:color w:val="000000"/>
                <w:szCs w:val="16"/>
              </w:rPr>
              <w:t>CO</w:t>
            </w:r>
            <w:r w:rsidRPr="00D9348B">
              <w:rPr>
                <w:rFonts w:cs="Arial"/>
                <w:color w:val="000000"/>
                <w:szCs w:val="16"/>
                <w:vertAlign w:val="subscript"/>
              </w:rPr>
              <w:t>2</w:t>
            </w:r>
          </w:p>
        </w:tc>
        <w:tc>
          <w:tcPr>
            <w:tcW w:w="764" w:type="pct"/>
            <w:shd w:val="clear" w:color="auto" w:fill="auto"/>
            <w:noWrap/>
            <w:vAlign w:val="bottom"/>
          </w:tcPr>
          <w:p w14:paraId="7244FF68" w14:textId="77777777" w:rsidR="00643D10" w:rsidRPr="00D9348B" w:rsidRDefault="00643D10" w:rsidP="00DB330E">
            <w:pPr>
              <w:pStyle w:val="TableText"/>
              <w:rPr>
                <w:rFonts w:cs="Arial"/>
                <w:color w:val="000000"/>
                <w:szCs w:val="16"/>
              </w:rPr>
            </w:pPr>
            <w:r w:rsidRPr="00D9348B">
              <w:t>L1, T1</w:t>
            </w:r>
          </w:p>
        </w:tc>
      </w:tr>
      <w:tr w:rsidR="00643D10" w:rsidRPr="00D9348B" w14:paraId="572EDAB4" w14:textId="77777777" w:rsidTr="003E2C49">
        <w:tc>
          <w:tcPr>
            <w:tcW w:w="750" w:type="pct"/>
            <w:tcMar>
              <w:right w:w="85" w:type="dxa"/>
            </w:tcMar>
            <w:vAlign w:val="bottom"/>
          </w:tcPr>
          <w:p w14:paraId="1BF6CF29" w14:textId="77777777" w:rsidR="00643D10" w:rsidRPr="00D9348B" w:rsidRDefault="00643D10" w:rsidP="00DB330E">
            <w:pPr>
              <w:pStyle w:val="TableText"/>
              <w:rPr>
                <w:rFonts w:cs="Arial"/>
                <w:szCs w:val="16"/>
              </w:rPr>
            </w:pPr>
            <w:r w:rsidRPr="00D9348B">
              <w:t>1.A.3.b</w:t>
            </w:r>
          </w:p>
        </w:tc>
        <w:tc>
          <w:tcPr>
            <w:tcW w:w="3141" w:type="pct"/>
            <w:shd w:val="clear" w:color="auto" w:fill="auto"/>
            <w:vAlign w:val="bottom"/>
          </w:tcPr>
          <w:p w14:paraId="6676225F" w14:textId="77777777" w:rsidR="00643D10" w:rsidRPr="00D9348B" w:rsidRDefault="00643D10" w:rsidP="00DB330E">
            <w:pPr>
              <w:pStyle w:val="TableText"/>
              <w:rPr>
                <w:rFonts w:cs="Arial"/>
                <w:szCs w:val="16"/>
              </w:rPr>
            </w:pPr>
            <w:r w:rsidRPr="00D9348B">
              <w:t>Transport – Road Transportation Gaseous Fuels</w:t>
            </w:r>
          </w:p>
        </w:tc>
        <w:tc>
          <w:tcPr>
            <w:tcW w:w="345" w:type="pct"/>
            <w:shd w:val="clear" w:color="auto" w:fill="auto"/>
            <w:noWrap/>
            <w:vAlign w:val="bottom"/>
          </w:tcPr>
          <w:p w14:paraId="5D11857B" w14:textId="77777777" w:rsidR="00643D10" w:rsidRPr="00D9348B" w:rsidRDefault="00643D10" w:rsidP="00DB330E">
            <w:pPr>
              <w:pStyle w:val="TableText"/>
              <w:jc w:val="center"/>
              <w:rPr>
                <w:rFonts w:cs="Arial"/>
                <w:color w:val="000000"/>
                <w:szCs w:val="16"/>
              </w:rPr>
            </w:pPr>
            <w:r w:rsidRPr="00D9348B">
              <w:rPr>
                <w:rFonts w:cs="Arial"/>
                <w:color w:val="000000"/>
                <w:szCs w:val="16"/>
              </w:rPr>
              <w:t>CO</w:t>
            </w:r>
            <w:r w:rsidRPr="00D9348B">
              <w:rPr>
                <w:rFonts w:cs="Arial"/>
                <w:color w:val="000000"/>
                <w:szCs w:val="16"/>
                <w:vertAlign w:val="subscript"/>
              </w:rPr>
              <w:t>2</w:t>
            </w:r>
          </w:p>
        </w:tc>
        <w:tc>
          <w:tcPr>
            <w:tcW w:w="764" w:type="pct"/>
            <w:shd w:val="clear" w:color="auto" w:fill="auto"/>
            <w:noWrap/>
            <w:vAlign w:val="bottom"/>
          </w:tcPr>
          <w:p w14:paraId="043A99E7" w14:textId="77777777" w:rsidR="00643D10" w:rsidRPr="00D9348B" w:rsidRDefault="00643D10" w:rsidP="00DB330E">
            <w:pPr>
              <w:pStyle w:val="TableText"/>
              <w:rPr>
                <w:rFonts w:cs="Arial"/>
                <w:color w:val="000000"/>
                <w:szCs w:val="16"/>
              </w:rPr>
            </w:pPr>
            <w:r w:rsidRPr="00D9348B">
              <w:t>T1</w:t>
            </w:r>
          </w:p>
        </w:tc>
      </w:tr>
      <w:tr w:rsidR="00643D10" w:rsidRPr="00D9348B" w14:paraId="244EA71B" w14:textId="77777777" w:rsidTr="003E2C49">
        <w:tc>
          <w:tcPr>
            <w:tcW w:w="750" w:type="pct"/>
            <w:tcMar>
              <w:right w:w="85" w:type="dxa"/>
            </w:tcMar>
            <w:vAlign w:val="bottom"/>
          </w:tcPr>
          <w:p w14:paraId="3B89168A" w14:textId="77777777" w:rsidR="00643D10" w:rsidRPr="00D9348B" w:rsidRDefault="00643D10" w:rsidP="00DB330E">
            <w:pPr>
              <w:pStyle w:val="TableText"/>
              <w:rPr>
                <w:rFonts w:cs="Arial"/>
                <w:szCs w:val="16"/>
              </w:rPr>
            </w:pPr>
            <w:r w:rsidRPr="00D9348B">
              <w:t>1.A.3.d</w:t>
            </w:r>
          </w:p>
        </w:tc>
        <w:tc>
          <w:tcPr>
            <w:tcW w:w="3141" w:type="pct"/>
            <w:shd w:val="clear" w:color="auto" w:fill="auto"/>
            <w:vAlign w:val="bottom"/>
          </w:tcPr>
          <w:p w14:paraId="15327C3C" w14:textId="77777777" w:rsidR="00643D10" w:rsidRPr="00D9348B" w:rsidRDefault="00643D10" w:rsidP="00DB330E">
            <w:pPr>
              <w:pStyle w:val="TableText"/>
              <w:rPr>
                <w:rFonts w:cs="Arial"/>
                <w:szCs w:val="16"/>
              </w:rPr>
            </w:pPr>
            <w:r w:rsidRPr="00D9348B">
              <w:t>Domestic Navigation – Residual Fuel Oil</w:t>
            </w:r>
          </w:p>
        </w:tc>
        <w:tc>
          <w:tcPr>
            <w:tcW w:w="345" w:type="pct"/>
            <w:shd w:val="clear" w:color="auto" w:fill="auto"/>
            <w:noWrap/>
            <w:vAlign w:val="bottom"/>
          </w:tcPr>
          <w:p w14:paraId="4CD4C3F1" w14:textId="77777777" w:rsidR="00643D10" w:rsidRPr="00D9348B" w:rsidRDefault="00643D10" w:rsidP="00DB330E">
            <w:pPr>
              <w:pStyle w:val="TableText"/>
              <w:jc w:val="center"/>
              <w:rPr>
                <w:rFonts w:cs="Arial"/>
                <w:color w:val="000000"/>
                <w:szCs w:val="16"/>
              </w:rPr>
            </w:pPr>
            <w:r w:rsidRPr="00D9348B">
              <w:rPr>
                <w:rFonts w:cs="Arial"/>
                <w:color w:val="000000"/>
                <w:szCs w:val="16"/>
              </w:rPr>
              <w:t>CO</w:t>
            </w:r>
            <w:r w:rsidRPr="00D9348B">
              <w:rPr>
                <w:rFonts w:cs="Arial"/>
                <w:color w:val="000000"/>
                <w:szCs w:val="16"/>
                <w:vertAlign w:val="subscript"/>
              </w:rPr>
              <w:t>2</w:t>
            </w:r>
          </w:p>
        </w:tc>
        <w:tc>
          <w:tcPr>
            <w:tcW w:w="764" w:type="pct"/>
            <w:shd w:val="clear" w:color="auto" w:fill="auto"/>
            <w:noWrap/>
            <w:vAlign w:val="bottom"/>
          </w:tcPr>
          <w:p w14:paraId="196DCC98" w14:textId="77777777" w:rsidR="00643D10" w:rsidRPr="00D9348B" w:rsidRDefault="00643D10" w:rsidP="00DB330E">
            <w:pPr>
              <w:pStyle w:val="TableText"/>
              <w:rPr>
                <w:rFonts w:cs="Arial"/>
                <w:color w:val="000000"/>
                <w:szCs w:val="16"/>
              </w:rPr>
            </w:pPr>
            <w:r w:rsidRPr="00D9348B">
              <w:t>L1</w:t>
            </w:r>
          </w:p>
        </w:tc>
      </w:tr>
      <w:tr w:rsidR="00643D10" w:rsidRPr="00D9348B" w14:paraId="3F3F6C4E" w14:textId="77777777" w:rsidTr="003E2C49">
        <w:tc>
          <w:tcPr>
            <w:tcW w:w="750" w:type="pct"/>
            <w:tcMar>
              <w:right w:w="85" w:type="dxa"/>
            </w:tcMar>
            <w:vAlign w:val="bottom"/>
          </w:tcPr>
          <w:p w14:paraId="786D8003" w14:textId="77777777" w:rsidR="00643D10" w:rsidRPr="00D9348B" w:rsidRDefault="00643D10" w:rsidP="00DB330E">
            <w:pPr>
              <w:pStyle w:val="TableText"/>
              <w:rPr>
                <w:rFonts w:cs="Arial"/>
                <w:szCs w:val="16"/>
              </w:rPr>
            </w:pPr>
            <w:r w:rsidRPr="00D9348B">
              <w:t>1.A.4.a</w:t>
            </w:r>
          </w:p>
        </w:tc>
        <w:tc>
          <w:tcPr>
            <w:tcW w:w="3141" w:type="pct"/>
            <w:shd w:val="clear" w:color="auto" w:fill="auto"/>
            <w:vAlign w:val="bottom"/>
          </w:tcPr>
          <w:p w14:paraId="1BD4DEB0" w14:textId="77777777" w:rsidR="00643D10" w:rsidRPr="00D9348B" w:rsidRDefault="00643D10" w:rsidP="00DB330E">
            <w:pPr>
              <w:pStyle w:val="TableText"/>
              <w:rPr>
                <w:rFonts w:cs="Arial"/>
                <w:szCs w:val="16"/>
              </w:rPr>
            </w:pPr>
            <w:r w:rsidRPr="00D9348B">
              <w:t>Other Sectors – Commercial/Institutional Gaseous Fuels</w:t>
            </w:r>
          </w:p>
        </w:tc>
        <w:tc>
          <w:tcPr>
            <w:tcW w:w="345" w:type="pct"/>
            <w:shd w:val="clear" w:color="auto" w:fill="auto"/>
            <w:noWrap/>
            <w:vAlign w:val="bottom"/>
          </w:tcPr>
          <w:p w14:paraId="506FD97B" w14:textId="77777777" w:rsidR="00643D10" w:rsidRPr="00D9348B" w:rsidRDefault="00643D10" w:rsidP="00DB330E">
            <w:pPr>
              <w:pStyle w:val="TableText"/>
              <w:jc w:val="center"/>
              <w:rPr>
                <w:rFonts w:cs="Arial"/>
                <w:color w:val="000000"/>
                <w:szCs w:val="16"/>
              </w:rPr>
            </w:pPr>
            <w:r w:rsidRPr="00D9348B">
              <w:rPr>
                <w:rFonts w:cs="Arial"/>
                <w:color w:val="000000"/>
                <w:szCs w:val="16"/>
              </w:rPr>
              <w:t>CO</w:t>
            </w:r>
            <w:r w:rsidRPr="00D9348B">
              <w:rPr>
                <w:rFonts w:cs="Arial"/>
                <w:color w:val="000000"/>
                <w:szCs w:val="16"/>
                <w:vertAlign w:val="subscript"/>
              </w:rPr>
              <w:t>2</w:t>
            </w:r>
          </w:p>
        </w:tc>
        <w:tc>
          <w:tcPr>
            <w:tcW w:w="764" w:type="pct"/>
            <w:shd w:val="clear" w:color="auto" w:fill="auto"/>
            <w:noWrap/>
            <w:vAlign w:val="bottom"/>
          </w:tcPr>
          <w:p w14:paraId="6DF731D3" w14:textId="77777777" w:rsidR="00643D10" w:rsidRPr="00D9348B" w:rsidRDefault="00643D10" w:rsidP="00DB330E">
            <w:pPr>
              <w:pStyle w:val="TableText"/>
              <w:rPr>
                <w:rFonts w:cs="Arial"/>
                <w:color w:val="000000"/>
                <w:szCs w:val="16"/>
              </w:rPr>
            </w:pPr>
            <w:r w:rsidRPr="00D9348B">
              <w:t>L1, T1</w:t>
            </w:r>
          </w:p>
        </w:tc>
      </w:tr>
      <w:tr w:rsidR="00643D10" w:rsidRPr="00D9348B" w14:paraId="21280B90" w14:textId="77777777" w:rsidTr="003E2C49">
        <w:tc>
          <w:tcPr>
            <w:tcW w:w="750" w:type="pct"/>
            <w:tcMar>
              <w:right w:w="85" w:type="dxa"/>
            </w:tcMar>
            <w:vAlign w:val="bottom"/>
          </w:tcPr>
          <w:p w14:paraId="7F2AC187" w14:textId="77777777" w:rsidR="00643D10" w:rsidRPr="00D9348B" w:rsidRDefault="00643D10" w:rsidP="00DB330E">
            <w:pPr>
              <w:pStyle w:val="TableText"/>
              <w:rPr>
                <w:rFonts w:cs="Arial"/>
                <w:color w:val="000000"/>
                <w:szCs w:val="16"/>
              </w:rPr>
            </w:pPr>
            <w:r w:rsidRPr="00D9348B">
              <w:t>1.A.4.a</w:t>
            </w:r>
          </w:p>
        </w:tc>
        <w:tc>
          <w:tcPr>
            <w:tcW w:w="3141" w:type="pct"/>
            <w:shd w:val="clear" w:color="auto" w:fill="auto"/>
            <w:vAlign w:val="bottom"/>
          </w:tcPr>
          <w:p w14:paraId="264F460A" w14:textId="77777777" w:rsidR="00643D10" w:rsidRPr="00D9348B" w:rsidRDefault="00643D10" w:rsidP="00DB330E">
            <w:pPr>
              <w:pStyle w:val="TableText"/>
              <w:rPr>
                <w:rFonts w:cs="Arial"/>
                <w:color w:val="000000"/>
                <w:szCs w:val="16"/>
              </w:rPr>
            </w:pPr>
            <w:r w:rsidRPr="00D9348B">
              <w:t>Other Sectors – Commercial/Institutional Liquid Fuels</w:t>
            </w:r>
          </w:p>
        </w:tc>
        <w:tc>
          <w:tcPr>
            <w:tcW w:w="345" w:type="pct"/>
            <w:shd w:val="clear" w:color="auto" w:fill="auto"/>
            <w:noWrap/>
            <w:vAlign w:val="bottom"/>
          </w:tcPr>
          <w:p w14:paraId="4A3EB9FC" w14:textId="77777777" w:rsidR="00643D10" w:rsidRPr="00D9348B" w:rsidRDefault="00643D10" w:rsidP="00DB330E">
            <w:pPr>
              <w:pStyle w:val="TableText"/>
              <w:jc w:val="center"/>
              <w:rPr>
                <w:rFonts w:cs="Arial"/>
                <w:color w:val="000000"/>
                <w:szCs w:val="16"/>
              </w:rPr>
            </w:pPr>
            <w:r w:rsidRPr="00D9348B">
              <w:rPr>
                <w:rFonts w:cs="Arial"/>
                <w:color w:val="000000"/>
                <w:szCs w:val="16"/>
              </w:rPr>
              <w:t>CO</w:t>
            </w:r>
            <w:r w:rsidRPr="00D9348B">
              <w:rPr>
                <w:rFonts w:cs="Arial"/>
                <w:color w:val="000000"/>
                <w:szCs w:val="16"/>
                <w:vertAlign w:val="subscript"/>
              </w:rPr>
              <w:t>2</w:t>
            </w:r>
          </w:p>
        </w:tc>
        <w:tc>
          <w:tcPr>
            <w:tcW w:w="764" w:type="pct"/>
            <w:shd w:val="clear" w:color="auto" w:fill="auto"/>
            <w:noWrap/>
            <w:vAlign w:val="bottom"/>
          </w:tcPr>
          <w:p w14:paraId="6371D5E8" w14:textId="77777777" w:rsidR="00643D10" w:rsidRPr="00D9348B" w:rsidRDefault="00643D10" w:rsidP="00DB330E">
            <w:pPr>
              <w:pStyle w:val="TableText"/>
              <w:rPr>
                <w:rFonts w:cs="Arial"/>
                <w:color w:val="000000"/>
                <w:szCs w:val="16"/>
              </w:rPr>
            </w:pPr>
            <w:r w:rsidRPr="00D9348B">
              <w:t>L1, T1</w:t>
            </w:r>
          </w:p>
        </w:tc>
      </w:tr>
      <w:tr w:rsidR="00643D10" w:rsidRPr="00D9348B" w14:paraId="271F4B2D" w14:textId="77777777" w:rsidTr="003E2C49">
        <w:tc>
          <w:tcPr>
            <w:tcW w:w="750" w:type="pct"/>
            <w:tcMar>
              <w:right w:w="85" w:type="dxa"/>
            </w:tcMar>
            <w:vAlign w:val="bottom"/>
          </w:tcPr>
          <w:p w14:paraId="18504478" w14:textId="77777777" w:rsidR="00643D10" w:rsidRPr="00D9348B" w:rsidRDefault="00643D10" w:rsidP="00DB330E">
            <w:pPr>
              <w:pStyle w:val="TableText"/>
              <w:rPr>
                <w:rFonts w:cs="Arial"/>
                <w:szCs w:val="16"/>
              </w:rPr>
            </w:pPr>
            <w:r w:rsidRPr="00D9348B">
              <w:t>1.A.4.a</w:t>
            </w:r>
          </w:p>
        </w:tc>
        <w:tc>
          <w:tcPr>
            <w:tcW w:w="3141" w:type="pct"/>
            <w:shd w:val="clear" w:color="auto" w:fill="auto"/>
            <w:vAlign w:val="bottom"/>
          </w:tcPr>
          <w:p w14:paraId="5A5F6910" w14:textId="77777777" w:rsidR="00643D10" w:rsidRPr="00D9348B" w:rsidRDefault="00643D10" w:rsidP="00DB330E">
            <w:pPr>
              <w:pStyle w:val="TableText"/>
              <w:rPr>
                <w:rFonts w:cs="Arial"/>
                <w:szCs w:val="16"/>
              </w:rPr>
            </w:pPr>
            <w:r w:rsidRPr="00D9348B">
              <w:t>Other Sectors – Commercial/Institutional Solid Fuels</w:t>
            </w:r>
          </w:p>
        </w:tc>
        <w:tc>
          <w:tcPr>
            <w:tcW w:w="345" w:type="pct"/>
            <w:shd w:val="clear" w:color="auto" w:fill="auto"/>
            <w:noWrap/>
            <w:vAlign w:val="bottom"/>
          </w:tcPr>
          <w:p w14:paraId="194E70DE" w14:textId="77777777" w:rsidR="00643D10" w:rsidRPr="00D9348B" w:rsidRDefault="00643D10" w:rsidP="00DB330E">
            <w:pPr>
              <w:pStyle w:val="TableText"/>
              <w:jc w:val="center"/>
              <w:rPr>
                <w:rFonts w:cs="Arial"/>
                <w:color w:val="000000"/>
                <w:szCs w:val="16"/>
              </w:rPr>
            </w:pPr>
            <w:r w:rsidRPr="00D9348B">
              <w:rPr>
                <w:rFonts w:cs="Arial"/>
                <w:color w:val="000000"/>
                <w:szCs w:val="16"/>
              </w:rPr>
              <w:t>CO</w:t>
            </w:r>
            <w:r w:rsidRPr="00D9348B">
              <w:rPr>
                <w:rFonts w:cs="Arial"/>
                <w:color w:val="000000"/>
                <w:szCs w:val="16"/>
                <w:vertAlign w:val="subscript"/>
              </w:rPr>
              <w:t>2</w:t>
            </w:r>
          </w:p>
        </w:tc>
        <w:tc>
          <w:tcPr>
            <w:tcW w:w="764" w:type="pct"/>
            <w:shd w:val="clear" w:color="auto" w:fill="auto"/>
            <w:noWrap/>
            <w:vAlign w:val="bottom"/>
          </w:tcPr>
          <w:p w14:paraId="714CB742" w14:textId="77777777" w:rsidR="00643D10" w:rsidRPr="00D9348B" w:rsidRDefault="00643D10" w:rsidP="00DB330E">
            <w:pPr>
              <w:pStyle w:val="TableText"/>
              <w:rPr>
                <w:rFonts w:cs="Arial"/>
                <w:color w:val="000000"/>
                <w:szCs w:val="16"/>
              </w:rPr>
            </w:pPr>
            <w:r w:rsidRPr="00D9348B">
              <w:t>T1</w:t>
            </w:r>
          </w:p>
        </w:tc>
      </w:tr>
      <w:tr w:rsidR="00643D10" w:rsidRPr="00D9348B" w14:paraId="5875E65A" w14:textId="77777777" w:rsidTr="003E2C49">
        <w:tc>
          <w:tcPr>
            <w:tcW w:w="750" w:type="pct"/>
            <w:tcMar>
              <w:right w:w="85" w:type="dxa"/>
            </w:tcMar>
            <w:vAlign w:val="bottom"/>
          </w:tcPr>
          <w:p w14:paraId="7693BBE9" w14:textId="77777777" w:rsidR="00643D10" w:rsidRPr="00D9348B" w:rsidRDefault="00643D10" w:rsidP="00DB330E">
            <w:pPr>
              <w:pStyle w:val="TableText"/>
              <w:rPr>
                <w:rFonts w:cs="Arial"/>
                <w:szCs w:val="16"/>
              </w:rPr>
            </w:pPr>
            <w:r w:rsidRPr="00D9348B">
              <w:t>1.A.4.b</w:t>
            </w:r>
          </w:p>
        </w:tc>
        <w:tc>
          <w:tcPr>
            <w:tcW w:w="3141" w:type="pct"/>
            <w:shd w:val="clear" w:color="auto" w:fill="auto"/>
            <w:vAlign w:val="bottom"/>
          </w:tcPr>
          <w:p w14:paraId="1C9CCD30" w14:textId="77777777" w:rsidR="00643D10" w:rsidRPr="00D9348B" w:rsidRDefault="00643D10" w:rsidP="00DB330E">
            <w:pPr>
              <w:pStyle w:val="TableText"/>
              <w:rPr>
                <w:rFonts w:cs="Arial"/>
                <w:szCs w:val="16"/>
              </w:rPr>
            </w:pPr>
            <w:r w:rsidRPr="00D9348B">
              <w:t>Other Sectors – Residential Gaseous Fuels</w:t>
            </w:r>
          </w:p>
        </w:tc>
        <w:tc>
          <w:tcPr>
            <w:tcW w:w="345" w:type="pct"/>
            <w:shd w:val="clear" w:color="auto" w:fill="auto"/>
            <w:noWrap/>
            <w:vAlign w:val="bottom"/>
          </w:tcPr>
          <w:p w14:paraId="46786182" w14:textId="77777777" w:rsidR="00643D10" w:rsidRPr="00D9348B" w:rsidRDefault="00643D10" w:rsidP="00DB330E">
            <w:pPr>
              <w:pStyle w:val="TableText"/>
              <w:jc w:val="center"/>
              <w:rPr>
                <w:rFonts w:cs="Arial"/>
                <w:color w:val="000000"/>
                <w:szCs w:val="16"/>
              </w:rPr>
            </w:pPr>
            <w:r w:rsidRPr="00D9348B">
              <w:rPr>
                <w:rFonts w:cs="Arial"/>
                <w:color w:val="000000"/>
                <w:szCs w:val="16"/>
              </w:rPr>
              <w:t>CO</w:t>
            </w:r>
            <w:r w:rsidRPr="00D9348B">
              <w:rPr>
                <w:rFonts w:cs="Arial"/>
                <w:color w:val="000000"/>
                <w:szCs w:val="16"/>
                <w:vertAlign w:val="subscript"/>
              </w:rPr>
              <w:t>2</w:t>
            </w:r>
          </w:p>
        </w:tc>
        <w:tc>
          <w:tcPr>
            <w:tcW w:w="764" w:type="pct"/>
            <w:shd w:val="clear" w:color="auto" w:fill="auto"/>
            <w:noWrap/>
            <w:vAlign w:val="bottom"/>
          </w:tcPr>
          <w:p w14:paraId="1341A57A" w14:textId="77777777" w:rsidR="00643D10" w:rsidRPr="00D9348B" w:rsidRDefault="00643D10" w:rsidP="00DB330E">
            <w:pPr>
              <w:pStyle w:val="TableText"/>
              <w:rPr>
                <w:rFonts w:cs="Arial"/>
                <w:color w:val="000000"/>
                <w:szCs w:val="16"/>
              </w:rPr>
            </w:pPr>
            <w:r w:rsidRPr="00D9348B">
              <w:t>L1, T1</w:t>
            </w:r>
          </w:p>
        </w:tc>
      </w:tr>
      <w:tr w:rsidR="00643D10" w:rsidRPr="00D9348B" w14:paraId="48C143A7" w14:textId="77777777" w:rsidTr="003E2C49">
        <w:tc>
          <w:tcPr>
            <w:tcW w:w="750" w:type="pct"/>
            <w:tcMar>
              <w:right w:w="85" w:type="dxa"/>
            </w:tcMar>
            <w:vAlign w:val="bottom"/>
          </w:tcPr>
          <w:p w14:paraId="3E12EAE7" w14:textId="77777777" w:rsidR="00643D10" w:rsidRPr="00D9348B" w:rsidRDefault="00643D10" w:rsidP="00DB330E">
            <w:pPr>
              <w:pStyle w:val="TableText"/>
              <w:rPr>
                <w:rFonts w:cs="Arial"/>
                <w:szCs w:val="16"/>
              </w:rPr>
            </w:pPr>
            <w:r w:rsidRPr="00D9348B">
              <w:t>1.A.4.b</w:t>
            </w:r>
          </w:p>
        </w:tc>
        <w:tc>
          <w:tcPr>
            <w:tcW w:w="3141" w:type="pct"/>
            <w:shd w:val="clear" w:color="auto" w:fill="auto"/>
            <w:vAlign w:val="bottom"/>
          </w:tcPr>
          <w:p w14:paraId="76CA8272" w14:textId="77777777" w:rsidR="00643D10" w:rsidRPr="00D9348B" w:rsidRDefault="00643D10" w:rsidP="00DB330E">
            <w:pPr>
              <w:pStyle w:val="TableText"/>
              <w:rPr>
                <w:rFonts w:cs="Arial"/>
                <w:szCs w:val="16"/>
              </w:rPr>
            </w:pPr>
            <w:r w:rsidRPr="00D9348B">
              <w:t>Other Sectors – Residential Liquid Fuels</w:t>
            </w:r>
          </w:p>
        </w:tc>
        <w:tc>
          <w:tcPr>
            <w:tcW w:w="345" w:type="pct"/>
            <w:shd w:val="clear" w:color="auto" w:fill="auto"/>
            <w:noWrap/>
            <w:vAlign w:val="bottom"/>
          </w:tcPr>
          <w:p w14:paraId="51FB4A25" w14:textId="77777777" w:rsidR="00643D10" w:rsidRPr="00D9348B" w:rsidRDefault="00643D10" w:rsidP="00DB330E">
            <w:pPr>
              <w:pStyle w:val="TableText"/>
              <w:jc w:val="center"/>
              <w:rPr>
                <w:rFonts w:cs="Arial"/>
                <w:color w:val="000000"/>
                <w:szCs w:val="16"/>
              </w:rPr>
            </w:pPr>
            <w:r w:rsidRPr="00D9348B">
              <w:rPr>
                <w:rFonts w:cs="Arial"/>
                <w:color w:val="000000"/>
                <w:szCs w:val="16"/>
              </w:rPr>
              <w:t>CO</w:t>
            </w:r>
            <w:r w:rsidRPr="00D9348B">
              <w:rPr>
                <w:rFonts w:cs="Arial"/>
                <w:color w:val="000000"/>
                <w:szCs w:val="16"/>
                <w:vertAlign w:val="subscript"/>
              </w:rPr>
              <w:t>2</w:t>
            </w:r>
          </w:p>
        </w:tc>
        <w:tc>
          <w:tcPr>
            <w:tcW w:w="764" w:type="pct"/>
            <w:shd w:val="clear" w:color="auto" w:fill="auto"/>
            <w:noWrap/>
            <w:vAlign w:val="bottom"/>
          </w:tcPr>
          <w:p w14:paraId="30585BAA" w14:textId="77777777" w:rsidR="00643D10" w:rsidRPr="00D9348B" w:rsidRDefault="00643D10" w:rsidP="00DB330E">
            <w:pPr>
              <w:pStyle w:val="TableText"/>
              <w:rPr>
                <w:rFonts w:cs="Arial"/>
                <w:color w:val="000000"/>
                <w:szCs w:val="16"/>
              </w:rPr>
            </w:pPr>
            <w:r w:rsidRPr="00D9348B">
              <w:t>L1</w:t>
            </w:r>
          </w:p>
        </w:tc>
      </w:tr>
      <w:tr w:rsidR="00643D10" w:rsidRPr="00D9348B" w14:paraId="4CD0A870" w14:textId="77777777" w:rsidTr="003E2C49">
        <w:tc>
          <w:tcPr>
            <w:tcW w:w="750" w:type="pct"/>
            <w:tcMar>
              <w:right w:w="85" w:type="dxa"/>
            </w:tcMar>
            <w:vAlign w:val="bottom"/>
          </w:tcPr>
          <w:p w14:paraId="394D2EAB" w14:textId="77777777" w:rsidR="00643D10" w:rsidRPr="00D9348B" w:rsidRDefault="00643D10" w:rsidP="00DB330E">
            <w:pPr>
              <w:pStyle w:val="TableText"/>
              <w:rPr>
                <w:rFonts w:cs="Arial"/>
                <w:szCs w:val="16"/>
              </w:rPr>
            </w:pPr>
            <w:r w:rsidRPr="00D9348B">
              <w:t>1.A.4.b</w:t>
            </w:r>
          </w:p>
        </w:tc>
        <w:tc>
          <w:tcPr>
            <w:tcW w:w="3141" w:type="pct"/>
            <w:shd w:val="clear" w:color="auto" w:fill="auto"/>
            <w:vAlign w:val="bottom"/>
          </w:tcPr>
          <w:p w14:paraId="61041728" w14:textId="77777777" w:rsidR="00643D10" w:rsidRPr="00D9348B" w:rsidRDefault="00643D10" w:rsidP="00DB330E">
            <w:pPr>
              <w:pStyle w:val="TableText"/>
              <w:rPr>
                <w:rFonts w:cs="Arial"/>
                <w:szCs w:val="16"/>
              </w:rPr>
            </w:pPr>
            <w:r w:rsidRPr="00D9348B">
              <w:t>Other Sectors – Residential Solid Fuels</w:t>
            </w:r>
          </w:p>
        </w:tc>
        <w:tc>
          <w:tcPr>
            <w:tcW w:w="345" w:type="pct"/>
            <w:shd w:val="clear" w:color="auto" w:fill="auto"/>
            <w:noWrap/>
            <w:vAlign w:val="bottom"/>
          </w:tcPr>
          <w:p w14:paraId="74F94CD8" w14:textId="77777777" w:rsidR="00643D10" w:rsidRPr="00D9348B" w:rsidRDefault="00643D10" w:rsidP="00DB330E">
            <w:pPr>
              <w:pStyle w:val="TableText"/>
              <w:jc w:val="center"/>
              <w:rPr>
                <w:rFonts w:cs="Arial"/>
                <w:color w:val="000000"/>
                <w:szCs w:val="16"/>
              </w:rPr>
            </w:pPr>
            <w:r w:rsidRPr="00D9348B">
              <w:rPr>
                <w:rFonts w:cs="Arial"/>
                <w:color w:val="000000"/>
                <w:szCs w:val="16"/>
              </w:rPr>
              <w:t>CO</w:t>
            </w:r>
            <w:r w:rsidRPr="00D9348B">
              <w:rPr>
                <w:rFonts w:cs="Arial"/>
                <w:color w:val="000000"/>
                <w:szCs w:val="16"/>
                <w:vertAlign w:val="subscript"/>
              </w:rPr>
              <w:t>2</w:t>
            </w:r>
          </w:p>
        </w:tc>
        <w:tc>
          <w:tcPr>
            <w:tcW w:w="764" w:type="pct"/>
            <w:shd w:val="clear" w:color="auto" w:fill="auto"/>
            <w:noWrap/>
            <w:vAlign w:val="bottom"/>
          </w:tcPr>
          <w:p w14:paraId="1B05E937" w14:textId="77777777" w:rsidR="00643D10" w:rsidRPr="00D9348B" w:rsidRDefault="00643D10" w:rsidP="00DB330E">
            <w:pPr>
              <w:pStyle w:val="TableText"/>
              <w:rPr>
                <w:rFonts w:cs="Arial"/>
                <w:color w:val="000000"/>
                <w:szCs w:val="16"/>
              </w:rPr>
            </w:pPr>
            <w:r w:rsidRPr="00D9348B">
              <w:t>T1</w:t>
            </w:r>
          </w:p>
        </w:tc>
      </w:tr>
      <w:tr w:rsidR="00643D10" w:rsidRPr="00D9348B" w14:paraId="6FA04EC1" w14:textId="77777777" w:rsidTr="003E2C49">
        <w:tc>
          <w:tcPr>
            <w:tcW w:w="750" w:type="pct"/>
            <w:tcMar>
              <w:right w:w="85" w:type="dxa"/>
            </w:tcMar>
            <w:vAlign w:val="bottom"/>
          </w:tcPr>
          <w:p w14:paraId="7BDAB922" w14:textId="77777777" w:rsidR="00643D10" w:rsidRPr="00D9348B" w:rsidRDefault="00643D10" w:rsidP="00DB330E">
            <w:pPr>
              <w:pStyle w:val="TableText"/>
              <w:rPr>
                <w:rFonts w:cs="Arial"/>
                <w:szCs w:val="16"/>
              </w:rPr>
            </w:pPr>
            <w:r w:rsidRPr="00D9348B">
              <w:t>1.A.4.c</w:t>
            </w:r>
          </w:p>
        </w:tc>
        <w:tc>
          <w:tcPr>
            <w:tcW w:w="3141" w:type="pct"/>
            <w:shd w:val="clear" w:color="auto" w:fill="auto"/>
            <w:vAlign w:val="bottom"/>
          </w:tcPr>
          <w:p w14:paraId="10FD5580" w14:textId="77777777" w:rsidR="00643D10" w:rsidRPr="00D9348B" w:rsidRDefault="00643D10" w:rsidP="00DB330E">
            <w:pPr>
              <w:pStyle w:val="TableText"/>
              <w:rPr>
                <w:rFonts w:cs="Arial"/>
                <w:szCs w:val="16"/>
              </w:rPr>
            </w:pPr>
            <w:r w:rsidRPr="00D9348B">
              <w:t>Other Sectors – Agriculture/Forestry/Fishing Liquid Fuels</w:t>
            </w:r>
          </w:p>
        </w:tc>
        <w:tc>
          <w:tcPr>
            <w:tcW w:w="345" w:type="pct"/>
            <w:shd w:val="clear" w:color="auto" w:fill="auto"/>
            <w:noWrap/>
            <w:vAlign w:val="bottom"/>
          </w:tcPr>
          <w:p w14:paraId="61C5C49F" w14:textId="77777777" w:rsidR="00643D10" w:rsidRPr="00D9348B" w:rsidRDefault="00643D10" w:rsidP="00DB330E">
            <w:pPr>
              <w:pStyle w:val="TableText"/>
              <w:jc w:val="center"/>
              <w:rPr>
                <w:rFonts w:cs="Arial"/>
                <w:color w:val="000000"/>
                <w:szCs w:val="16"/>
              </w:rPr>
            </w:pPr>
            <w:r w:rsidRPr="00D9348B">
              <w:rPr>
                <w:rFonts w:cs="Arial"/>
                <w:color w:val="000000"/>
                <w:szCs w:val="16"/>
              </w:rPr>
              <w:t>CO</w:t>
            </w:r>
            <w:r w:rsidRPr="00D9348B">
              <w:rPr>
                <w:rFonts w:cs="Arial"/>
                <w:color w:val="000000"/>
                <w:szCs w:val="16"/>
                <w:vertAlign w:val="subscript"/>
              </w:rPr>
              <w:t>2</w:t>
            </w:r>
          </w:p>
        </w:tc>
        <w:tc>
          <w:tcPr>
            <w:tcW w:w="764" w:type="pct"/>
            <w:shd w:val="clear" w:color="auto" w:fill="auto"/>
            <w:noWrap/>
            <w:vAlign w:val="bottom"/>
          </w:tcPr>
          <w:p w14:paraId="7B14FFA5" w14:textId="77777777" w:rsidR="00643D10" w:rsidRPr="00D9348B" w:rsidRDefault="00643D10" w:rsidP="00DB330E">
            <w:pPr>
              <w:pStyle w:val="TableText"/>
              <w:rPr>
                <w:rFonts w:cs="Arial"/>
                <w:color w:val="000000"/>
                <w:szCs w:val="16"/>
              </w:rPr>
            </w:pPr>
            <w:r w:rsidRPr="00D9348B">
              <w:t>L1, T1</w:t>
            </w:r>
          </w:p>
        </w:tc>
      </w:tr>
      <w:tr w:rsidR="00643D10" w:rsidRPr="00D9348B" w14:paraId="58E0BFAF" w14:textId="77777777" w:rsidTr="003E2C49">
        <w:tc>
          <w:tcPr>
            <w:tcW w:w="750" w:type="pct"/>
            <w:tcMar>
              <w:right w:w="85" w:type="dxa"/>
            </w:tcMar>
            <w:vAlign w:val="bottom"/>
          </w:tcPr>
          <w:p w14:paraId="73FA3F04" w14:textId="77777777" w:rsidR="00643D10" w:rsidRPr="00D9348B" w:rsidRDefault="00643D10" w:rsidP="00DB330E">
            <w:pPr>
              <w:pStyle w:val="TableText"/>
              <w:rPr>
                <w:rFonts w:cs="Arial"/>
                <w:szCs w:val="16"/>
              </w:rPr>
            </w:pPr>
            <w:r w:rsidRPr="00D9348B">
              <w:t>1.A.4.c</w:t>
            </w:r>
          </w:p>
        </w:tc>
        <w:tc>
          <w:tcPr>
            <w:tcW w:w="3141" w:type="pct"/>
            <w:shd w:val="clear" w:color="auto" w:fill="auto"/>
            <w:vAlign w:val="bottom"/>
          </w:tcPr>
          <w:p w14:paraId="625074DC" w14:textId="77777777" w:rsidR="00643D10" w:rsidRPr="00D9348B" w:rsidRDefault="00643D10" w:rsidP="00DB330E">
            <w:pPr>
              <w:pStyle w:val="TableText"/>
              <w:rPr>
                <w:rFonts w:cs="Arial"/>
                <w:szCs w:val="16"/>
              </w:rPr>
            </w:pPr>
            <w:r w:rsidRPr="00D9348B">
              <w:t>Other Sectors – Agriculture/Forestry/Fishing Solid Fuels</w:t>
            </w:r>
          </w:p>
        </w:tc>
        <w:tc>
          <w:tcPr>
            <w:tcW w:w="345" w:type="pct"/>
            <w:shd w:val="clear" w:color="auto" w:fill="auto"/>
            <w:noWrap/>
            <w:vAlign w:val="bottom"/>
          </w:tcPr>
          <w:p w14:paraId="43A0183A" w14:textId="77777777" w:rsidR="00643D10" w:rsidRPr="00D9348B" w:rsidRDefault="00643D10" w:rsidP="00DB330E">
            <w:pPr>
              <w:pStyle w:val="TableText"/>
              <w:jc w:val="center"/>
              <w:rPr>
                <w:rFonts w:cs="Arial"/>
                <w:color w:val="000000"/>
                <w:szCs w:val="16"/>
              </w:rPr>
            </w:pPr>
            <w:r w:rsidRPr="00D9348B">
              <w:rPr>
                <w:rFonts w:cs="Arial"/>
                <w:color w:val="000000"/>
                <w:szCs w:val="16"/>
              </w:rPr>
              <w:t>CO</w:t>
            </w:r>
            <w:r w:rsidRPr="00D9348B">
              <w:rPr>
                <w:rFonts w:cs="Arial"/>
                <w:color w:val="000000"/>
                <w:szCs w:val="16"/>
                <w:vertAlign w:val="subscript"/>
              </w:rPr>
              <w:t>2</w:t>
            </w:r>
          </w:p>
        </w:tc>
        <w:tc>
          <w:tcPr>
            <w:tcW w:w="764" w:type="pct"/>
            <w:shd w:val="clear" w:color="auto" w:fill="auto"/>
            <w:noWrap/>
            <w:vAlign w:val="bottom"/>
          </w:tcPr>
          <w:p w14:paraId="6FCE5005" w14:textId="77777777" w:rsidR="00643D10" w:rsidRPr="00D9348B" w:rsidRDefault="00643D10" w:rsidP="00DB330E">
            <w:pPr>
              <w:pStyle w:val="TableText"/>
              <w:rPr>
                <w:rFonts w:cs="Arial"/>
                <w:color w:val="000000"/>
                <w:szCs w:val="16"/>
              </w:rPr>
            </w:pPr>
            <w:r w:rsidRPr="00D9348B">
              <w:t>T1</w:t>
            </w:r>
          </w:p>
        </w:tc>
      </w:tr>
      <w:tr w:rsidR="00643D10" w:rsidRPr="00D9348B" w14:paraId="4634F345" w14:textId="77777777" w:rsidTr="003E2C49">
        <w:tc>
          <w:tcPr>
            <w:tcW w:w="750" w:type="pct"/>
            <w:tcMar>
              <w:right w:w="85" w:type="dxa"/>
            </w:tcMar>
            <w:vAlign w:val="bottom"/>
          </w:tcPr>
          <w:p w14:paraId="41267DC2" w14:textId="77777777" w:rsidR="00643D10" w:rsidRPr="00D9348B" w:rsidRDefault="00643D10" w:rsidP="00DB330E">
            <w:pPr>
              <w:pStyle w:val="TableText"/>
            </w:pPr>
            <w:r w:rsidRPr="00D9348B">
              <w:t>1.B.1.a.1</w:t>
            </w:r>
          </w:p>
        </w:tc>
        <w:tc>
          <w:tcPr>
            <w:tcW w:w="3141" w:type="pct"/>
            <w:shd w:val="clear" w:color="auto" w:fill="auto"/>
            <w:vAlign w:val="bottom"/>
          </w:tcPr>
          <w:p w14:paraId="7CB34581" w14:textId="77777777" w:rsidR="00643D10" w:rsidRPr="00D9348B" w:rsidRDefault="00643D10" w:rsidP="00DB330E">
            <w:pPr>
              <w:pStyle w:val="TableText"/>
              <w:rPr>
                <w:rFonts w:cs="Arial"/>
                <w:color w:val="000000"/>
                <w:szCs w:val="16"/>
              </w:rPr>
            </w:pPr>
            <w:r w:rsidRPr="00D9348B">
              <w:t>Coal Mining and Handling – Underground Mines</w:t>
            </w:r>
          </w:p>
        </w:tc>
        <w:tc>
          <w:tcPr>
            <w:tcW w:w="345" w:type="pct"/>
            <w:shd w:val="clear" w:color="auto" w:fill="auto"/>
            <w:noWrap/>
            <w:vAlign w:val="bottom"/>
          </w:tcPr>
          <w:p w14:paraId="047E5164" w14:textId="77777777" w:rsidR="00643D10" w:rsidRPr="00D9348B" w:rsidRDefault="00643D10" w:rsidP="00DB330E">
            <w:pPr>
              <w:pStyle w:val="TableText"/>
              <w:jc w:val="center"/>
              <w:rPr>
                <w:rFonts w:cs="Arial"/>
                <w:color w:val="000000"/>
                <w:szCs w:val="16"/>
              </w:rPr>
            </w:pPr>
            <w:r w:rsidRPr="00D9348B">
              <w:rPr>
                <w:rFonts w:cs="Arial"/>
                <w:color w:val="000000"/>
                <w:szCs w:val="16"/>
              </w:rPr>
              <w:t>CH</w:t>
            </w:r>
            <w:r w:rsidRPr="00D9348B">
              <w:rPr>
                <w:rFonts w:cs="Arial"/>
                <w:color w:val="000000"/>
                <w:szCs w:val="16"/>
                <w:vertAlign w:val="subscript"/>
              </w:rPr>
              <w:t>4</w:t>
            </w:r>
          </w:p>
        </w:tc>
        <w:tc>
          <w:tcPr>
            <w:tcW w:w="764" w:type="pct"/>
            <w:shd w:val="clear" w:color="auto" w:fill="auto"/>
            <w:noWrap/>
            <w:vAlign w:val="bottom"/>
          </w:tcPr>
          <w:p w14:paraId="7D050F9D" w14:textId="77777777" w:rsidR="00643D10" w:rsidRPr="00D9348B" w:rsidRDefault="00643D10" w:rsidP="00DB330E">
            <w:pPr>
              <w:pStyle w:val="TableText"/>
              <w:rPr>
                <w:rFonts w:cs="Arial"/>
                <w:color w:val="000000"/>
                <w:szCs w:val="16"/>
              </w:rPr>
            </w:pPr>
            <w:r w:rsidRPr="00D9348B">
              <w:t>T1</w:t>
            </w:r>
          </w:p>
        </w:tc>
      </w:tr>
      <w:tr w:rsidR="00643D10" w:rsidRPr="00D9348B" w14:paraId="734A9FB2" w14:textId="77777777" w:rsidTr="003E2C49">
        <w:tc>
          <w:tcPr>
            <w:tcW w:w="750" w:type="pct"/>
            <w:tcMar>
              <w:right w:w="85" w:type="dxa"/>
            </w:tcMar>
            <w:vAlign w:val="bottom"/>
          </w:tcPr>
          <w:p w14:paraId="78657402" w14:textId="77777777" w:rsidR="00643D10" w:rsidRPr="00D9348B" w:rsidRDefault="00643D10" w:rsidP="00DB330E">
            <w:pPr>
              <w:pStyle w:val="TableText"/>
              <w:rPr>
                <w:rFonts w:cs="Arial"/>
                <w:szCs w:val="16"/>
              </w:rPr>
            </w:pPr>
            <w:r w:rsidRPr="00D9348B">
              <w:t>1.B.2.b.5</w:t>
            </w:r>
          </w:p>
        </w:tc>
        <w:tc>
          <w:tcPr>
            <w:tcW w:w="3141" w:type="pct"/>
            <w:shd w:val="clear" w:color="auto" w:fill="auto"/>
            <w:vAlign w:val="bottom"/>
          </w:tcPr>
          <w:p w14:paraId="672057AD" w14:textId="77777777" w:rsidR="00643D10" w:rsidRPr="00D9348B" w:rsidRDefault="00643D10" w:rsidP="00DB330E">
            <w:pPr>
              <w:pStyle w:val="TableText"/>
              <w:rPr>
                <w:rFonts w:cs="Arial"/>
                <w:szCs w:val="16"/>
              </w:rPr>
            </w:pPr>
            <w:r w:rsidRPr="00D9348B">
              <w:t>Natural Gas – Distribution</w:t>
            </w:r>
          </w:p>
        </w:tc>
        <w:tc>
          <w:tcPr>
            <w:tcW w:w="345" w:type="pct"/>
            <w:shd w:val="clear" w:color="auto" w:fill="auto"/>
            <w:noWrap/>
            <w:vAlign w:val="bottom"/>
          </w:tcPr>
          <w:p w14:paraId="5ED077DD" w14:textId="77777777" w:rsidR="00643D10" w:rsidRPr="00D9348B" w:rsidRDefault="00643D10" w:rsidP="00DB330E">
            <w:pPr>
              <w:pStyle w:val="TableText"/>
              <w:jc w:val="center"/>
              <w:rPr>
                <w:rFonts w:cs="Arial"/>
                <w:color w:val="000000"/>
                <w:szCs w:val="16"/>
              </w:rPr>
            </w:pPr>
            <w:r w:rsidRPr="00D9348B">
              <w:rPr>
                <w:rFonts w:cs="Arial"/>
                <w:color w:val="000000"/>
                <w:szCs w:val="16"/>
              </w:rPr>
              <w:t>CH</w:t>
            </w:r>
            <w:r w:rsidRPr="00D9348B">
              <w:rPr>
                <w:rFonts w:cs="Arial"/>
                <w:color w:val="000000"/>
                <w:szCs w:val="16"/>
                <w:vertAlign w:val="subscript"/>
              </w:rPr>
              <w:t>4</w:t>
            </w:r>
          </w:p>
        </w:tc>
        <w:tc>
          <w:tcPr>
            <w:tcW w:w="764" w:type="pct"/>
            <w:shd w:val="clear" w:color="auto" w:fill="auto"/>
            <w:noWrap/>
            <w:vAlign w:val="bottom"/>
          </w:tcPr>
          <w:p w14:paraId="7E934853" w14:textId="77777777" w:rsidR="00643D10" w:rsidRPr="00D9348B" w:rsidRDefault="00643D10" w:rsidP="00DB330E">
            <w:pPr>
              <w:pStyle w:val="TableText"/>
              <w:rPr>
                <w:rFonts w:cs="Arial"/>
                <w:color w:val="000000"/>
                <w:szCs w:val="16"/>
              </w:rPr>
            </w:pPr>
            <w:r w:rsidRPr="00D9348B">
              <w:t>T1</w:t>
            </w:r>
          </w:p>
        </w:tc>
      </w:tr>
      <w:tr w:rsidR="00643D10" w:rsidRPr="00D9348B" w14:paraId="4B3A99A7" w14:textId="77777777" w:rsidTr="003E2C49">
        <w:tc>
          <w:tcPr>
            <w:tcW w:w="750" w:type="pct"/>
            <w:tcMar>
              <w:right w:w="85" w:type="dxa"/>
            </w:tcMar>
            <w:vAlign w:val="bottom"/>
          </w:tcPr>
          <w:p w14:paraId="10DD6022" w14:textId="77777777" w:rsidR="00643D10" w:rsidRPr="00D9348B" w:rsidRDefault="00643D10" w:rsidP="00DB330E">
            <w:pPr>
              <w:pStyle w:val="TableText"/>
              <w:rPr>
                <w:rFonts w:cs="Arial"/>
                <w:szCs w:val="16"/>
              </w:rPr>
            </w:pPr>
            <w:r w:rsidRPr="00D9348B">
              <w:t>1.B.2.c.1.ii</w:t>
            </w:r>
          </w:p>
        </w:tc>
        <w:tc>
          <w:tcPr>
            <w:tcW w:w="3141" w:type="pct"/>
            <w:shd w:val="clear" w:color="auto" w:fill="auto"/>
            <w:vAlign w:val="bottom"/>
          </w:tcPr>
          <w:p w14:paraId="17BDC48E" w14:textId="77777777" w:rsidR="00643D10" w:rsidRPr="00D9348B" w:rsidRDefault="00643D10" w:rsidP="00DB330E">
            <w:pPr>
              <w:pStyle w:val="TableText"/>
              <w:rPr>
                <w:rFonts w:cs="Arial"/>
                <w:szCs w:val="16"/>
              </w:rPr>
            </w:pPr>
            <w:r w:rsidRPr="00D9348B">
              <w:t>Venting – Gas</w:t>
            </w:r>
          </w:p>
        </w:tc>
        <w:tc>
          <w:tcPr>
            <w:tcW w:w="345" w:type="pct"/>
            <w:shd w:val="clear" w:color="auto" w:fill="auto"/>
            <w:noWrap/>
            <w:vAlign w:val="bottom"/>
          </w:tcPr>
          <w:p w14:paraId="662A4B02" w14:textId="77777777" w:rsidR="00643D10" w:rsidRPr="00D9348B" w:rsidRDefault="00643D10" w:rsidP="00DB330E">
            <w:pPr>
              <w:pStyle w:val="TableText"/>
              <w:jc w:val="center"/>
              <w:rPr>
                <w:rFonts w:cs="Arial"/>
                <w:color w:val="000000"/>
                <w:szCs w:val="16"/>
              </w:rPr>
            </w:pPr>
            <w:r w:rsidRPr="00D9348B">
              <w:rPr>
                <w:rFonts w:cs="Arial"/>
                <w:color w:val="000000"/>
                <w:szCs w:val="16"/>
              </w:rPr>
              <w:t>CO</w:t>
            </w:r>
            <w:r w:rsidRPr="00D9348B">
              <w:rPr>
                <w:rFonts w:cs="Arial"/>
                <w:color w:val="000000"/>
                <w:szCs w:val="16"/>
                <w:vertAlign w:val="subscript"/>
              </w:rPr>
              <w:t>2</w:t>
            </w:r>
          </w:p>
        </w:tc>
        <w:tc>
          <w:tcPr>
            <w:tcW w:w="764" w:type="pct"/>
            <w:shd w:val="clear" w:color="auto" w:fill="auto"/>
            <w:noWrap/>
            <w:vAlign w:val="bottom"/>
          </w:tcPr>
          <w:p w14:paraId="7F8C7A3E" w14:textId="77777777" w:rsidR="00643D10" w:rsidRPr="00D9348B" w:rsidRDefault="00643D10" w:rsidP="00DB330E">
            <w:pPr>
              <w:pStyle w:val="TableText"/>
              <w:rPr>
                <w:rFonts w:cs="Arial"/>
                <w:color w:val="000000"/>
                <w:szCs w:val="16"/>
              </w:rPr>
            </w:pPr>
            <w:r w:rsidRPr="00D9348B">
              <w:t>L1, T1</w:t>
            </w:r>
          </w:p>
        </w:tc>
      </w:tr>
      <w:tr w:rsidR="00643D10" w:rsidRPr="00D9348B" w14:paraId="43049CC6" w14:textId="77777777" w:rsidTr="003E2C49">
        <w:tc>
          <w:tcPr>
            <w:tcW w:w="750" w:type="pct"/>
            <w:tcMar>
              <w:right w:w="85" w:type="dxa"/>
            </w:tcMar>
            <w:vAlign w:val="bottom"/>
          </w:tcPr>
          <w:p w14:paraId="222582B2" w14:textId="77777777" w:rsidR="00643D10" w:rsidRPr="00D9348B" w:rsidRDefault="00643D10" w:rsidP="00DB330E">
            <w:pPr>
              <w:pStyle w:val="TableText"/>
              <w:rPr>
                <w:rFonts w:cs="Arial"/>
                <w:szCs w:val="16"/>
              </w:rPr>
            </w:pPr>
            <w:r w:rsidRPr="00D9348B">
              <w:t>1.B.2.d</w:t>
            </w:r>
          </w:p>
        </w:tc>
        <w:tc>
          <w:tcPr>
            <w:tcW w:w="3141" w:type="pct"/>
            <w:shd w:val="clear" w:color="auto" w:fill="auto"/>
            <w:vAlign w:val="bottom"/>
          </w:tcPr>
          <w:p w14:paraId="1413B724" w14:textId="77777777" w:rsidR="00643D10" w:rsidRPr="00D9348B" w:rsidRDefault="00643D10" w:rsidP="00DB330E">
            <w:pPr>
              <w:pStyle w:val="TableText"/>
              <w:rPr>
                <w:rFonts w:cs="Arial"/>
                <w:szCs w:val="16"/>
              </w:rPr>
            </w:pPr>
            <w:r w:rsidRPr="00D9348B">
              <w:t>Other (please specify) – Geothermal</w:t>
            </w:r>
          </w:p>
        </w:tc>
        <w:tc>
          <w:tcPr>
            <w:tcW w:w="345" w:type="pct"/>
            <w:shd w:val="clear" w:color="auto" w:fill="auto"/>
            <w:noWrap/>
            <w:vAlign w:val="bottom"/>
          </w:tcPr>
          <w:p w14:paraId="536596B3" w14:textId="77777777" w:rsidR="00643D10" w:rsidRPr="00D9348B" w:rsidRDefault="00643D10" w:rsidP="00DB330E">
            <w:pPr>
              <w:pStyle w:val="TableText"/>
              <w:jc w:val="center"/>
              <w:rPr>
                <w:rFonts w:cs="Arial"/>
                <w:color w:val="000000"/>
                <w:szCs w:val="16"/>
              </w:rPr>
            </w:pPr>
            <w:r w:rsidRPr="00D9348B">
              <w:rPr>
                <w:rFonts w:cs="Arial"/>
                <w:color w:val="000000"/>
                <w:szCs w:val="16"/>
              </w:rPr>
              <w:t>CO</w:t>
            </w:r>
            <w:r w:rsidRPr="00D9348B">
              <w:rPr>
                <w:rFonts w:cs="Arial"/>
                <w:color w:val="000000"/>
                <w:szCs w:val="16"/>
                <w:vertAlign w:val="subscript"/>
              </w:rPr>
              <w:t>2</w:t>
            </w:r>
          </w:p>
        </w:tc>
        <w:tc>
          <w:tcPr>
            <w:tcW w:w="764" w:type="pct"/>
            <w:shd w:val="clear" w:color="auto" w:fill="auto"/>
            <w:noWrap/>
            <w:vAlign w:val="bottom"/>
          </w:tcPr>
          <w:p w14:paraId="7B533AD3" w14:textId="77777777" w:rsidR="00643D10" w:rsidRPr="00D9348B" w:rsidRDefault="00643D10" w:rsidP="00DB330E">
            <w:pPr>
              <w:pStyle w:val="TableText"/>
              <w:rPr>
                <w:rFonts w:cs="Arial"/>
                <w:color w:val="000000"/>
                <w:szCs w:val="16"/>
              </w:rPr>
            </w:pPr>
            <w:r w:rsidRPr="00D9348B">
              <w:t>L1, T1</w:t>
            </w:r>
          </w:p>
        </w:tc>
      </w:tr>
      <w:tr w:rsidR="00643D10" w:rsidRPr="00D9348B" w14:paraId="66015031" w14:textId="77777777" w:rsidTr="003E2C49">
        <w:tc>
          <w:tcPr>
            <w:tcW w:w="750" w:type="pct"/>
            <w:tcMar>
              <w:right w:w="85" w:type="dxa"/>
            </w:tcMar>
            <w:vAlign w:val="bottom"/>
          </w:tcPr>
          <w:p w14:paraId="22FF35F7" w14:textId="77777777" w:rsidR="00643D10" w:rsidRPr="00D9348B" w:rsidRDefault="00643D10" w:rsidP="00DB330E">
            <w:pPr>
              <w:pStyle w:val="TableText"/>
              <w:rPr>
                <w:rFonts w:cs="Arial"/>
                <w:szCs w:val="16"/>
              </w:rPr>
            </w:pPr>
            <w:r w:rsidRPr="00D9348B">
              <w:t>1.B.2.d</w:t>
            </w:r>
          </w:p>
        </w:tc>
        <w:tc>
          <w:tcPr>
            <w:tcW w:w="3141" w:type="pct"/>
            <w:shd w:val="clear" w:color="auto" w:fill="auto"/>
            <w:vAlign w:val="bottom"/>
          </w:tcPr>
          <w:p w14:paraId="33C61CFF" w14:textId="77777777" w:rsidR="00643D10" w:rsidRPr="00D9348B" w:rsidRDefault="00643D10" w:rsidP="00DB330E">
            <w:pPr>
              <w:pStyle w:val="TableText"/>
              <w:rPr>
                <w:rFonts w:cs="Arial"/>
                <w:szCs w:val="16"/>
              </w:rPr>
            </w:pPr>
            <w:r w:rsidRPr="00D9348B">
              <w:t>Other (please specify) – Geothermal</w:t>
            </w:r>
          </w:p>
        </w:tc>
        <w:tc>
          <w:tcPr>
            <w:tcW w:w="345" w:type="pct"/>
            <w:shd w:val="clear" w:color="auto" w:fill="auto"/>
            <w:noWrap/>
            <w:vAlign w:val="bottom"/>
          </w:tcPr>
          <w:p w14:paraId="52533B6D" w14:textId="77777777" w:rsidR="00643D10" w:rsidRPr="00D9348B" w:rsidRDefault="00643D10" w:rsidP="00DB330E">
            <w:pPr>
              <w:pStyle w:val="TableText"/>
              <w:jc w:val="center"/>
              <w:rPr>
                <w:rFonts w:cs="Arial"/>
                <w:color w:val="000000"/>
                <w:szCs w:val="16"/>
              </w:rPr>
            </w:pPr>
            <w:r w:rsidRPr="00D9348B">
              <w:rPr>
                <w:rFonts w:cs="Arial"/>
                <w:color w:val="000000"/>
                <w:szCs w:val="16"/>
              </w:rPr>
              <w:t>CH</w:t>
            </w:r>
            <w:r w:rsidRPr="00D9348B">
              <w:rPr>
                <w:rFonts w:cs="Arial"/>
                <w:color w:val="000000"/>
                <w:szCs w:val="16"/>
                <w:vertAlign w:val="subscript"/>
              </w:rPr>
              <w:t>4</w:t>
            </w:r>
          </w:p>
        </w:tc>
        <w:tc>
          <w:tcPr>
            <w:tcW w:w="764" w:type="pct"/>
            <w:shd w:val="clear" w:color="auto" w:fill="auto"/>
            <w:noWrap/>
            <w:vAlign w:val="bottom"/>
          </w:tcPr>
          <w:p w14:paraId="5E1BA7CD" w14:textId="77777777" w:rsidR="00643D10" w:rsidRPr="00D9348B" w:rsidRDefault="00643D10" w:rsidP="00DB330E">
            <w:pPr>
              <w:pStyle w:val="TableText"/>
              <w:rPr>
                <w:rFonts w:cs="Arial"/>
                <w:color w:val="000000"/>
                <w:szCs w:val="16"/>
              </w:rPr>
            </w:pPr>
            <w:r w:rsidRPr="00D9348B">
              <w:t>T1</w:t>
            </w:r>
          </w:p>
        </w:tc>
      </w:tr>
      <w:tr w:rsidR="00643D10" w:rsidRPr="00D9348B" w14:paraId="7692547D" w14:textId="77777777" w:rsidTr="003E2C49">
        <w:tc>
          <w:tcPr>
            <w:tcW w:w="750" w:type="pct"/>
            <w:tcMar>
              <w:right w:w="85" w:type="dxa"/>
            </w:tcMar>
            <w:vAlign w:val="bottom"/>
          </w:tcPr>
          <w:p w14:paraId="5B6E5725" w14:textId="77777777" w:rsidR="00643D10" w:rsidRPr="00D9348B" w:rsidRDefault="00643D10" w:rsidP="00DB330E">
            <w:pPr>
              <w:pStyle w:val="TableText"/>
              <w:rPr>
                <w:rFonts w:cs="Arial"/>
                <w:szCs w:val="16"/>
              </w:rPr>
            </w:pPr>
            <w:r w:rsidRPr="00D9348B">
              <w:rPr>
                <w:b/>
              </w:rPr>
              <w:lastRenderedPageBreak/>
              <w:t>IPPU</w:t>
            </w:r>
          </w:p>
        </w:tc>
        <w:tc>
          <w:tcPr>
            <w:tcW w:w="3141" w:type="pct"/>
            <w:shd w:val="clear" w:color="auto" w:fill="auto"/>
            <w:vAlign w:val="bottom"/>
          </w:tcPr>
          <w:p w14:paraId="3311FD22" w14:textId="77777777" w:rsidR="00643D10" w:rsidRPr="00D9348B" w:rsidRDefault="00643D10" w:rsidP="00DB330E">
            <w:pPr>
              <w:pStyle w:val="TableText"/>
              <w:rPr>
                <w:rFonts w:cs="Arial"/>
                <w:szCs w:val="16"/>
              </w:rPr>
            </w:pPr>
          </w:p>
        </w:tc>
        <w:tc>
          <w:tcPr>
            <w:tcW w:w="345" w:type="pct"/>
            <w:shd w:val="clear" w:color="auto" w:fill="auto"/>
            <w:noWrap/>
            <w:vAlign w:val="bottom"/>
          </w:tcPr>
          <w:p w14:paraId="5428E142" w14:textId="77777777" w:rsidR="00643D10" w:rsidRPr="00D9348B" w:rsidRDefault="00643D10" w:rsidP="00DB330E">
            <w:pPr>
              <w:pStyle w:val="TableText"/>
              <w:jc w:val="center"/>
              <w:rPr>
                <w:rFonts w:cs="Arial"/>
                <w:color w:val="000000"/>
                <w:szCs w:val="16"/>
              </w:rPr>
            </w:pPr>
          </w:p>
        </w:tc>
        <w:tc>
          <w:tcPr>
            <w:tcW w:w="764" w:type="pct"/>
            <w:shd w:val="clear" w:color="auto" w:fill="auto"/>
            <w:noWrap/>
            <w:vAlign w:val="bottom"/>
          </w:tcPr>
          <w:p w14:paraId="3F568DFF" w14:textId="77777777" w:rsidR="00643D10" w:rsidRPr="00D9348B" w:rsidRDefault="00643D10" w:rsidP="00DB330E">
            <w:pPr>
              <w:pStyle w:val="TableText"/>
              <w:rPr>
                <w:rFonts w:cs="Arial"/>
                <w:color w:val="000000"/>
                <w:szCs w:val="16"/>
              </w:rPr>
            </w:pPr>
          </w:p>
        </w:tc>
      </w:tr>
      <w:tr w:rsidR="00643D10" w:rsidRPr="00D9348B" w14:paraId="11B04E67" w14:textId="77777777" w:rsidTr="003E2C49">
        <w:tc>
          <w:tcPr>
            <w:tcW w:w="750" w:type="pct"/>
            <w:tcMar>
              <w:right w:w="85" w:type="dxa"/>
            </w:tcMar>
            <w:vAlign w:val="bottom"/>
          </w:tcPr>
          <w:p w14:paraId="66C02BFB" w14:textId="77777777" w:rsidR="00643D10" w:rsidRPr="00D9348B" w:rsidRDefault="00643D10" w:rsidP="00DB330E">
            <w:pPr>
              <w:pStyle w:val="TableText"/>
              <w:rPr>
                <w:rFonts w:cs="Arial"/>
                <w:szCs w:val="16"/>
              </w:rPr>
            </w:pPr>
            <w:r w:rsidRPr="00D9348B">
              <w:t>2.A.1</w:t>
            </w:r>
          </w:p>
        </w:tc>
        <w:tc>
          <w:tcPr>
            <w:tcW w:w="3141" w:type="pct"/>
            <w:shd w:val="clear" w:color="auto" w:fill="auto"/>
            <w:vAlign w:val="bottom"/>
          </w:tcPr>
          <w:p w14:paraId="75641DAA" w14:textId="77777777" w:rsidR="00643D10" w:rsidRPr="00D9348B" w:rsidRDefault="00643D10" w:rsidP="00DB330E">
            <w:pPr>
              <w:pStyle w:val="TableText"/>
              <w:rPr>
                <w:rFonts w:cs="Arial"/>
                <w:szCs w:val="16"/>
              </w:rPr>
            </w:pPr>
            <w:r w:rsidRPr="00D9348B">
              <w:t>Mineral Industry – Cement Production</w:t>
            </w:r>
          </w:p>
        </w:tc>
        <w:tc>
          <w:tcPr>
            <w:tcW w:w="345" w:type="pct"/>
            <w:shd w:val="clear" w:color="auto" w:fill="auto"/>
            <w:noWrap/>
            <w:vAlign w:val="bottom"/>
          </w:tcPr>
          <w:p w14:paraId="1CD2E8AA" w14:textId="77777777" w:rsidR="00643D10" w:rsidRPr="00D9348B" w:rsidRDefault="00643D10" w:rsidP="00DB330E">
            <w:pPr>
              <w:pStyle w:val="TableText"/>
              <w:jc w:val="center"/>
              <w:rPr>
                <w:rFonts w:cs="Arial"/>
                <w:color w:val="000000"/>
                <w:szCs w:val="16"/>
              </w:rPr>
            </w:pPr>
            <w:r w:rsidRPr="00D9348B">
              <w:rPr>
                <w:rFonts w:cs="Arial"/>
                <w:color w:val="000000"/>
                <w:szCs w:val="16"/>
              </w:rPr>
              <w:t>CO</w:t>
            </w:r>
            <w:r w:rsidRPr="00D9348B">
              <w:rPr>
                <w:rFonts w:cs="Arial"/>
                <w:color w:val="000000"/>
                <w:szCs w:val="16"/>
                <w:vertAlign w:val="subscript"/>
              </w:rPr>
              <w:t>2</w:t>
            </w:r>
          </w:p>
        </w:tc>
        <w:tc>
          <w:tcPr>
            <w:tcW w:w="764" w:type="pct"/>
            <w:shd w:val="clear" w:color="auto" w:fill="auto"/>
            <w:noWrap/>
            <w:vAlign w:val="bottom"/>
          </w:tcPr>
          <w:p w14:paraId="6234766E" w14:textId="77777777" w:rsidR="00643D10" w:rsidRPr="00D9348B" w:rsidRDefault="00643D10" w:rsidP="00DB330E">
            <w:pPr>
              <w:pStyle w:val="TableText"/>
              <w:rPr>
                <w:rFonts w:cs="Arial"/>
                <w:color w:val="000000"/>
                <w:szCs w:val="16"/>
              </w:rPr>
            </w:pPr>
            <w:r w:rsidRPr="00D9348B">
              <w:t>L1, T1</w:t>
            </w:r>
          </w:p>
        </w:tc>
      </w:tr>
      <w:tr w:rsidR="00643D10" w:rsidRPr="00D9348B" w14:paraId="4BAB3D93" w14:textId="77777777" w:rsidTr="003E2C49">
        <w:tc>
          <w:tcPr>
            <w:tcW w:w="750" w:type="pct"/>
            <w:tcMar>
              <w:right w:w="85" w:type="dxa"/>
            </w:tcMar>
            <w:vAlign w:val="bottom"/>
          </w:tcPr>
          <w:p w14:paraId="33BC833C" w14:textId="77777777" w:rsidR="00643D10" w:rsidRPr="00D9348B" w:rsidRDefault="00643D10" w:rsidP="00DB330E">
            <w:pPr>
              <w:pStyle w:val="TableText"/>
            </w:pPr>
            <w:r w:rsidRPr="00D9348B">
              <w:t>2.C.1</w:t>
            </w:r>
          </w:p>
        </w:tc>
        <w:tc>
          <w:tcPr>
            <w:tcW w:w="3141" w:type="pct"/>
            <w:shd w:val="clear" w:color="auto" w:fill="auto"/>
            <w:vAlign w:val="bottom"/>
          </w:tcPr>
          <w:p w14:paraId="62036904" w14:textId="77777777" w:rsidR="00643D10" w:rsidRPr="00D9348B" w:rsidRDefault="00643D10" w:rsidP="00DB330E">
            <w:pPr>
              <w:pStyle w:val="TableText"/>
            </w:pPr>
            <w:r w:rsidRPr="00D9348B">
              <w:t>Metal Industry – Iron and Steel Production</w:t>
            </w:r>
          </w:p>
        </w:tc>
        <w:tc>
          <w:tcPr>
            <w:tcW w:w="345" w:type="pct"/>
            <w:shd w:val="clear" w:color="auto" w:fill="auto"/>
            <w:noWrap/>
            <w:vAlign w:val="bottom"/>
          </w:tcPr>
          <w:p w14:paraId="37E09E96" w14:textId="77777777" w:rsidR="00643D10" w:rsidRPr="00D9348B" w:rsidRDefault="00643D10" w:rsidP="00DB330E">
            <w:pPr>
              <w:pStyle w:val="TableText"/>
              <w:jc w:val="center"/>
            </w:pPr>
            <w:r w:rsidRPr="00D9348B">
              <w:rPr>
                <w:rFonts w:cs="Arial"/>
                <w:color w:val="000000"/>
                <w:szCs w:val="16"/>
              </w:rPr>
              <w:t>CO</w:t>
            </w:r>
            <w:r w:rsidRPr="00D9348B">
              <w:rPr>
                <w:rFonts w:cs="Arial"/>
                <w:color w:val="000000"/>
                <w:szCs w:val="16"/>
                <w:vertAlign w:val="subscript"/>
              </w:rPr>
              <w:t>2</w:t>
            </w:r>
          </w:p>
        </w:tc>
        <w:tc>
          <w:tcPr>
            <w:tcW w:w="764" w:type="pct"/>
            <w:shd w:val="clear" w:color="auto" w:fill="auto"/>
            <w:noWrap/>
            <w:vAlign w:val="bottom"/>
          </w:tcPr>
          <w:p w14:paraId="3F30BC0E" w14:textId="77777777" w:rsidR="00643D10" w:rsidRPr="00D9348B" w:rsidRDefault="00643D10" w:rsidP="00DB330E">
            <w:pPr>
              <w:pStyle w:val="TableText"/>
            </w:pPr>
            <w:r w:rsidRPr="00D9348B">
              <w:t>L1, T1</w:t>
            </w:r>
          </w:p>
        </w:tc>
      </w:tr>
      <w:tr w:rsidR="00643D10" w:rsidRPr="00D9348B" w14:paraId="08064DD8" w14:textId="77777777" w:rsidTr="003E2C49">
        <w:tc>
          <w:tcPr>
            <w:tcW w:w="750" w:type="pct"/>
            <w:tcMar>
              <w:right w:w="85" w:type="dxa"/>
            </w:tcMar>
            <w:vAlign w:val="bottom"/>
          </w:tcPr>
          <w:p w14:paraId="03661E1A" w14:textId="77777777" w:rsidR="00643D10" w:rsidRPr="00D9348B" w:rsidRDefault="00643D10" w:rsidP="00DB330E">
            <w:pPr>
              <w:pStyle w:val="TableText"/>
              <w:rPr>
                <w:rFonts w:cs="Arial"/>
                <w:szCs w:val="16"/>
              </w:rPr>
            </w:pPr>
            <w:r w:rsidRPr="00D9348B">
              <w:t>2.C.3</w:t>
            </w:r>
          </w:p>
        </w:tc>
        <w:tc>
          <w:tcPr>
            <w:tcW w:w="3141" w:type="pct"/>
            <w:shd w:val="clear" w:color="auto" w:fill="auto"/>
            <w:vAlign w:val="bottom"/>
          </w:tcPr>
          <w:p w14:paraId="7F9D7BEC" w14:textId="77777777" w:rsidR="00643D10" w:rsidRPr="00D9348B" w:rsidRDefault="00643D10" w:rsidP="00DB330E">
            <w:pPr>
              <w:pStyle w:val="TableText"/>
              <w:rPr>
                <w:rFonts w:cs="Arial"/>
                <w:szCs w:val="16"/>
              </w:rPr>
            </w:pPr>
            <w:r w:rsidRPr="00D9348B">
              <w:t>Metal Industry – Aluminium Production</w:t>
            </w:r>
          </w:p>
        </w:tc>
        <w:tc>
          <w:tcPr>
            <w:tcW w:w="345" w:type="pct"/>
            <w:shd w:val="clear" w:color="auto" w:fill="auto"/>
            <w:noWrap/>
            <w:vAlign w:val="bottom"/>
          </w:tcPr>
          <w:p w14:paraId="57A7FA94" w14:textId="77777777" w:rsidR="00643D10" w:rsidRPr="00D9348B" w:rsidRDefault="00643D10" w:rsidP="00DB330E">
            <w:pPr>
              <w:pStyle w:val="TableText"/>
              <w:jc w:val="center"/>
              <w:rPr>
                <w:rFonts w:cs="Arial"/>
                <w:color w:val="000000"/>
                <w:szCs w:val="16"/>
              </w:rPr>
            </w:pPr>
            <w:r w:rsidRPr="00D9348B">
              <w:rPr>
                <w:rFonts w:cs="Arial"/>
                <w:color w:val="000000"/>
                <w:szCs w:val="16"/>
              </w:rPr>
              <w:t>CO</w:t>
            </w:r>
            <w:r w:rsidRPr="00D9348B">
              <w:rPr>
                <w:rFonts w:cs="Arial"/>
                <w:color w:val="000000"/>
                <w:szCs w:val="16"/>
                <w:vertAlign w:val="subscript"/>
              </w:rPr>
              <w:t>2</w:t>
            </w:r>
          </w:p>
        </w:tc>
        <w:tc>
          <w:tcPr>
            <w:tcW w:w="764" w:type="pct"/>
            <w:shd w:val="clear" w:color="auto" w:fill="auto"/>
            <w:noWrap/>
            <w:vAlign w:val="bottom"/>
          </w:tcPr>
          <w:p w14:paraId="6244E4B1" w14:textId="77777777" w:rsidR="00643D10" w:rsidRPr="00D9348B" w:rsidRDefault="00643D10" w:rsidP="00DB330E">
            <w:pPr>
              <w:pStyle w:val="TableText"/>
              <w:rPr>
                <w:rFonts w:cs="Arial"/>
                <w:color w:val="000000"/>
                <w:szCs w:val="16"/>
              </w:rPr>
            </w:pPr>
            <w:r w:rsidRPr="00D9348B">
              <w:t>L1, T1</w:t>
            </w:r>
          </w:p>
        </w:tc>
      </w:tr>
      <w:tr w:rsidR="00643D10" w:rsidRPr="00D9348B" w14:paraId="6EE04F64" w14:textId="77777777" w:rsidTr="003E2C49">
        <w:tc>
          <w:tcPr>
            <w:tcW w:w="750" w:type="pct"/>
            <w:tcMar>
              <w:right w:w="85" w:type="dxa"/>
            </w:tcMar>
            <w:vAlign w:val="bottom"/>
          </w:tcPr>
          <w:p w14:paraId="74E50E63" w14:textId="77777777" w:rsidR="00643D10" w:rsidRPr="00D9348B" w:rsidRDefault="00643D10" w:rsidP="00DB330E">
            <w:pPr>
              <w:pStyle w:val="TableText"/>
              <w:rPr>
                <w:rFonts w:cs="Arial"/>
                <w:szCs w:val="16"/>
              </w:rPr>
            </w:pPr>
            <w:r w:rsidRPr="00D9348B">
              <w:t>2.C.3</w:t>
            </w:r>
          </w:p>
        </w:tc>
        <w:tc>
          <w:tcPr>
            <w:tcW w:w="3141" w:type="pct"/>
            <w:shd w:val="clear" w:color="auto" w:fill="auto"/>
            <w:vAlign w:val="bottom"/>
          </w:tcPr>
          <w:p w14:paraId="1265F1A4" w14:textId="77777777" w:rsidR="00643D10" w:rsidRPr="00D9348B" w:rsidRDefault="00643D10" w:rsidP="00DB330E">
            <w:pPr>
              <w:pStyle w:val="TableText"/>
              <w:rPr>
                <w:rFonts w:cs="Arial"/>
                <w:szCs w:val="16"/>
              </w:rPr>
            </w:pPr>
            <w:r w:rsidRPr="00D9348B">
              <w:t>Metal Industry – Aluminium Production</w:t>
            </w:r>
          </w:p>
        </w:tc>
        <w:tc>
          <w:tcPr>
            <w:tcW w:w="345" w:type="pct"/>
            <w:shd w:val="clear" w:color="auto" w:fill="auto"/>
            <w:noWrap/>
            <w:vAlign w:val="bottom"/>
          </w:tcPr>
          <w:p w14:paraId="6BF3D5DA" w14:textId="77777777" w:rsidR="00643D10" w:rsidRPr="00D9348B" w:rsidRDefault="00643D10" w:rsidP="00DB330E">
            <w:pPr>
              <w:pStyle w:val="TableText"/>
              <w:jc w:val="center"/>
              <w:rPr>
                <w:rFonts w:cs="Arial"/>
                <w:color w:val="000000"/>
                <w:szCs w:val="16"/>
              </w:rPr>
            </w:pPr>
            <w:r w:rsidRPr="00D9348B">
              <w:t>PFCs</w:t>
            </w:r>
          </w:p>
        </w:tc>
        <w:tc>
          <w:tcPr>
            <w:tcW w:w="764" w:type="pct"/>
            <w:shd w:val="clear" w:color="auto" w:fill="auto"/>
            <w:noWrap/>
            <w:vAlign w:val="bottom"/>
          </w:tcPr>
          <w:p w14:paraId="045FEBA8" w14:textId="77777777" w:rsidR="00643D10" w:rsidRPr="00D9348B" w:rsidRDefault="00643D10" w:rsidP="00DB330E">
            <w:pPr>
              <w:pStyle w:val="TableText"/>
              <w:rPr>
                <w:rFonts w:cs="Arial"/>
                <w:color w:val="000000"/>
                <w:szCs w:val="16"/>
              </w:rPr>
            </w:pPr>
            <w:r w:rsidRPr="00D9348B">
              <w:t>T1</w:t>
            </w:r>
          </w:p>
        </w:tc>
      </w:tr>
      <w:tr w:rsidR="00643D10" w:rsidRPr="00D9348B" w14:paraId="593E40ED" w14:textId="77777777" w:rsidTr="003E2C49">
        <w:tc>
          <w:tcPr>
            <w:tcW w:w="750" w:type="pct"/>
            <w:tcMar>
              <w:right w:w="85" w:type="dxa"/>
            </w:tcMar>
            <w:vAlign w:val="bottom"/>
          </w:tcPr>
          <w:p w14:paraId="2E52947C" w14:textId="77777777" w:rsidR="00643D10" w:rsidRPr="00D9348B" w:rsidRDefault="00643D10" w:rsidP="00DB330E">
            <w:pPr>
              <w:pStyle w:val="TableText"/>
              <w:rPr>
                <w:rFonts w:cs="Arial"/>
                <w:szCs w:val="16"/>
              </w:rPr>
            </w:pPr>
            <w:r w:rsidRPr="00D9348B">
              <w:t>2.F.1</w:t>
            </w:r>
          </w:p>
        </w:tc>
        <w:tc>
          <w:tcPr>
            <w:tcW w:w="3141" w:type="pct"/>
            <w:shd w:val="clear" w:color="auto" w:fill="auto"/>
            <w:vAlign w:val="bottom"/>
          </w:tcPr>
          <w:p w14:paraId="311714EA" w14:textId="77777777" w:rsidR="00643D10" w:rsidRPr="00D9348B" w:rsidRDefault="00643D10" w:rsidP="00DB330E">
            <w:pPr>
              <w:pStyle w:val="TableText"/>
              <w:rPr>
                <w:rFonts w:cs="Arial"/>
                <w:szCs w:val="16"/>
              </w:rPr>
            </w:pPr>
            <w:r w:rsidRPr="00D9348B">
              <w:t>Product Uses as Substitutes for ODS – Refrigeration and Air Conditioning</w:t>
            </w:r>
          </w:p>
        </w:tc>
        <w:tc>
          <w:tcPr>
            <w:tcW w:w="345" w:type="pct"/>
            <w:shd w:val="clear" w:color="auto" w:fill="auto"/>
            <w:noWrap/>
            <w:vAlign w:val="bottom"/>
          </w:tcPr>
          <w:p w14:paraId="5D8A33DE" w14:textId="77777777" w:rsidR="00643D10" w:rsidRPr="00D9348B" w:rsidRDefault="00643D10" w:rsidP="00DB330E">
            <w:pPr>
              <w:pStyle w:val="TableText"/>
              <w:jc w:val="center"/>
              <w:rPr>
                <w:rFonts w:cs="Arial"/>
                <w:color w:val="000000"/>
                <w:szCs w:val="16"/>
              </w:rPr>
            </w:pPr>
            <w:r w:rsidRPr="00D9348B">
              <w:t>HFCs</w:t>
            </w:r>
          </w:p>
        </w:tc>
        <w:tc>
          <w:tcPr>
            <w:tcW w:w="764" w:type="pct"/>
            <w:shd w:val="clear" w:color="auto" w:fill="auto"/>
            <w:noWrap/>
            <w:vAlign w:val="bottom"/>
          </w:tcPr>
          <w:p w14:paraId="19F4A3D7" w14:textId="77777777" w:rsidR="00643D10" w:rsidRPr="00D9348B" w:rsidRDefault="00643D10" w:rsidP="00DB330E">
            <w:pPr>
              <w:pStyle w:val="TableText"/>
              <w:rPr>
                <w:rFonts w:cs="Arial"/>
                <w:color w:val="000000"/>
                <w:szCs w:val="16"/>
              </w:rPr>
            </w:pPr>
            <w:r w:rsidRPr="00D9348B">
              <w:t>L1, T1</w:t>
            </w:r>
          </w:p>
        </w:tc>
      </w:tr>
      <w:tr w:rsidR="00643D10" w:rsidRPr="00D9348B" w14:paraId="7D581DEC" w14:textId="77777777" w:rsidTr="003E2C49">
        <w:tc>
          <w:tcPr>
            <w:tcW w:w="750" w:type="pct"/>
            <w:tcMar>
              <w:right w:w="85" w:type="dxa"/>
            </w:tcMar>
            <w:vAlign w:val="bottom"/>
          </w:tcPr>
          <w:p w14:paraId="444DAB6D" w14:textId="77777777" w:rsidR="00643D10" w:rsidRPr="00D9348B" w:rsidRDefault="00643D10" w:rsidP="00DB330E">
            <w:pPr>
              <w:pStyle w:val="TableText"/>
              <w:rPr>
                <w:rFonts w:cs="Arial"/>
                <w:szCs w:val="16"/>
              </w:rPr>
            </w:pPr>
            <w:r w:rsidRPr="00D9348B">
              <w:t>2.F.4</w:t>
            </w:r>
          </w:p>
        </w:tc>
        <w:tc>
          <w:tcPr>
            <w:tcW w:w="3141" w:type="pct"/>
            <w:shd w:val="clear" w:color="auto" w:fill="auto"/>
            <w:vAlign w:val="bottom"/>
          </w:tcPr>
          <w:p w14:paraId="72B63A94" w14:textId="77777777" w:rsidR="00643D10" w:rsidRPr="00D9348B" w:rsidRDefault="00643D10" w:rsidP="00DB330E">
            <w:pPr>
              <w:pStyle w:val="TableText"/>
              <w:rPr>
                <w:rFonts w:cs="Arial"/>
                <w:szCs w:val="16"/>
              </w:rPr>
            </w:pPr>
            <w:r w:rsidRPr="00D9348B">
              <w:t>Product Uses as Substitutes for ODS – Aerosols</w:t>
            </w:r>
          </w:p>
        </w:tc>
        <w:tc>
          <w:tcPr>
            <w:tcW w:w="345" w:type="pct"/>
            <w:shd w:val="clear" w:color="auto" w:fill="auto"/>
            <w:noWrap/>
            <w:vAlign w:val="bottom"/>
          </w:tcPr>
          <w:p w14:paraId="53F232A1" w14:textId="77777777" w:rsidR="00643D10" w:rsidRPr="00D9348B" w:rsidRDefault="00643D10" w:rsidP="00DB330E">
            <w:pPr>
              <w:pStyle w:val="TableText"/>
              <w:jc w:val="center"/>
              <w:rPr>
                <w:rFonts w:cs="Arial"/>
                <w:color w:val="000000"/>
                <w:szCs w:val="16"/>
              </w:rPr>
            </w:pPr>
            <w:r w:rsidRPr="00D9348B">
              <w:t>HFCs</w:t>
            </w:r>
          </w:p>
        </w:tc>
        <w:tc>
          <w:tcPr>
            <w:tcW w:w="764" w:type="pct"/>
            <w:shd w:val="clear" w:color="auto" w:fill="auto"/>
            <w:noWrap/>
            <w:vAlign w:val="bottom"/>
          </w:tcPr>
          <w:p w14:paraId="0D8D35DD" w14:textId="77777777" w:rsidR="00643D10" w:rsidRPr="00D9348B" w:rsidRDefault="00643D10" w:rsidP="00DB330E">
            <w:pPr>
              <w:pStyle w:val="TableText"/>
              <w:rPr>
                <w:rFonts w:cs="Arial"/>
                <w:color w:val="000000"/>
                <w:szCs w:val="16"/>
              </w:rPr>
            </w:pPr>
            <w:r w:rsidRPr="00D9348B">
              <w:t>T1</w:t>
            </w:r>
          </w:p>
        </w:tc>
      </w:tr>
      <w:tr w:rsidR="00643D10" w:rsidRPr="00D9348B" w14:paraId="0007C8CC" w14:textId="77777777" w:rsidTr="003E2C49">
        <w:tc>
          <w:tcPr>
            <w:tcW w:w="750" w:type="pct"/>
            <w:tcMar>
              <w:right w:w="85" w:type="dxa"/>
            </w:tcMar>
            <w:vAlign w:val="bottom"/>
          </w:tcPr>
          <w:p w14:paraId="3880E13E" w14:textId="77777777" w:rsidR="00643D10" w:rsidRPr="00D9348B" w:rsidRDefault="00643D10" w:rsidP="00DB330E">
            <w:pPr>
              <w:pStyle w:val="TableText"/>
              <w:rPr>
                <w:rFonts w:cs="Arial"/>
                <w:szCs w:val="16"/>
              </w:rPr>
            </w:pPr>
            <w:r w:rsidRPr="00D9348B">
              <w:rPr>
                <w:b/>
              </w:rPr>
              <w:t>Agriculture</w:t>
            </w:r>
          </w:p>
        </w:tc>
        <w:tc>
          <w:tcPr>
            <w:tcW w:w="3141" w:type="pct"/>
            <w:shd w:val="clear" w:color="auto" w:fill="auto"/>
            <w:vAlign w:val="bottom"/>
          </w:tcPr>
          <w:p w14:paraId="434DE0C3" w14:textId="77777777" w:rsidR="00643D10" w:rsidRPr="00D9348B" w:rsidRDefault="00643D10" w:rsidP="00DB330E">
            <w:pPr>
              <w:pStyle w:val="TableText"/>
              <w:rPr>
                <w:rFonts w:cs="Arial"/>
                <w:szCs w:val="16"/>
              </w:rPr>
            </w:pPr>
          </w:p>
        </w:tc>
        <w:tc>
          <w:tcPr>
            <w:tcW w:w="345" w:type="pct"/>
            <w:shd w:val="clear" w:color="auto" w:fill="auto"/>
            <w:noWrap/>
            <w:vAlign w:val="bottom"/>
          </w:tcPr>
          <w:p w14:paraId="1DB47F7E" w14:textId="77777777" w:rsidR="00643D10" w:rsidRPr="00D9348B" w:rsidRDefault="00643D10" w:rsidP="00DB330E">
            <w:pPr>
              <w:pStyle w:val="TableText"/>
              <w:jc w:val="center"/>
              <w:rPr>
                <w:rFonts w:cs="Arial"/>
                <w:color w:val="000000"/>
                <w:szCs w:val="16"/>
              </w:rPr>
            </w:pPr>
          </w:p>
        </w:tc>
        <w:tc>
          <w:tcPr>
            <w:tcW w:w="764" w:type="pct"/>
            <w:shd w:val="clear" w:color="auto" w:fill="auto"/>
            <w:noWrap/>
            <w:vAlign w:val="bottom"/>
          </w:tcPr>
          <w:p w14:paraId="308BD8C5" w14:textId="77777777" w:rsidR="00643D10" w:rsidRPr="00D9348B" w:rsidRDefault="00643D10" w:rsidP="00DB330E">
            <w:pPr>
              <w:pStyle w:val="TableText"/>
              <w:rPr>
                <w:rFonts w:cs="Arial"/>
                <w:color w:val="000000"/>
                <w:szCs w:val="16"/>
              </w:rPr>
            </w:pPr>
          </w:p>
        </w:tc>
      </w:tr>
      <w:tr w:rsidR="00643D10" w:rsidRPr="00D9348B" w14:paraId="37A911A2" w14:textId="77777777" w:rsidTr="003E2C49">
        <w:tc>
          <w:tcPr>
            <w:tcW w:w="750" w:type="pct"/>
            <w:tcMar>
              <w:right w:w="85" w:type="dxa"/>
            </w:tcMar>
            <w:vAlign w:val="bottom"/>
          </w:tcPr>
          <w:p w14:paraId="45AEFBAC" w14:textId="77777777" w:rsidR="00643D10" w:rsidRPr="00D9348B" w:rsidRDefault="00643D10" w:rsidP="00DB330E">
            <w:pPr>
              <w:pStyle w:val="TableText"/>
              <w:rPr>
                <w:rFonts w:cs="Arial"/>
                <w:szCs w:val="16"/>
              </w:rPr>
            </w:pPr>
            <w:r w:rsidRPr="00D9348B">
              <w:t>3.A.1</w:t>
            </w:r>
          </w:p>
        </w:tc>
        <w:tc>
          <w:tcPr>
            <w:tcW w:w="3141" w:type="pct"/>
            <w:shd w:val="clear" w:color="auto" w:fill="auto"/>
            <w:vAlign w:val="bottom"/>
          </w:tcPr>
          <w:p w14:paraId="64F9CCDA" w14:textId="77777777" w:rsidR="00643D10" w:rsidRPr="00D9348B" w:rsidRDefault="00643D10" w:rsidP="00DB330E">
            <w:pPr>
              <w:pStyle w:val="TableText"/>
              <w:rPr>
                <w:rFonts w:cs="Arial"/>
                <w:szCs w:val="16"/>
              </w:rPr>
            </w:pPr>
            <w:r w:rsidRPr="00D9348B">
              <w:t>Option A – Dairy Cattle</w:t>
            </w:r>
          </w:p>
        </w:tc>
        <w:tc>
          <w:tcPr>
            <w:tcW w:w="345" w:type="pct"/>
            <w:shd w:val="clear" w:color="auto" w:fill="auto"/>
            <w:noWrap/>
            <w:vAlign w:val="bottom"/>
          </w:tcPr>
          <w:p w14:paraId="5E34A6BA" w14:textId="77777777" w:rsidR="00643D10" w:rsidRPr="00D9348B" w:rsidRDefault="00643D10" w:rsidP="00DB330E">
            <w:pPr>
              <w:pStyle w:val="TableText"/>
              <w:jc w:val="center"/>
              <w:rPr>
                <w:rFonts w:cs="Arial"/>
                <w:color w:val="000000"/>
                <w:szCs w:val="16"/>
              </w:rPr>
            </w:pPr>
            <w:r w:rsidRPr="00D9348B">
              <w:t>CH4</w:t>
            </w:r>
          </w:p>
        </w:tc>
        <w:tc>
          <w:tcPr>
            <w:tcW w:w="764" w:type="pct"/>
            <w:shd w:val="clear" w:color="auto" w:fill="auto"/>
            <w:noWrap/>
            <w:vAlign w:val="bottom"/>
          </w:tcPr>
          <w:p w14:paraId="24ED1E1D" w14:textId="77777777" w:rsidR="00643D10" w:rsidRPr="00D9348B" w:rsidRDefault="00643D10" w:rsidP="00DB330E">
            <w:pPr>
              <w:pStyle w:val="TableText"/>
              <w:rPr>
                <w:rFonts w:cs="Arial"/>
                <w:color w:val="000000"/>
                <w:szCs w:val="16"/>
              </w:rPr>
            </w:pPr>
            <w:r w:rsidRPr="00D9348B">
              <w:t>L1, T1</w:t>
            </w:r>
          </w:p>
        </w:tc>
      </w:tr>
      <w:tr w:rsidR="00643D10" w:rsidRPr="00D9348B" w14:paraId="7E60EA56" w14:textId="77777777" w:rsidTr="003E2C49">
        <w:tc>
          <w:tcPr>
            <w:tcW w:w="750" w:type="pct"/>
            <w:tcMar>
              <w:right w:w="85" w:type="dxa"/>
            </w:tcMar>
            <w:vAlign w:val="bottom"/>
          </w:tcPr>
          <w:p w14:paraId="6C16382F" w14:textId="77777777" w:rsidR="00643D10" w:rsidRPr="00D9348B" w:rsidRDefault="00643D10" w:rsidP="00DB330E">
            <w:pPr>
              <w:pStyle w:val="TableText"/>
              <w:rPr>
                <w:rFonts w:cs="Arial"/>
                <w:szCs w:val="16"/>
              </w:rPr>
            </w:pPr>
            <w:r w:rsidRPr="00D9348B">
              <w:t>3.A.1</w:t>
            </w:r>
          </w:p>
        </w:tc>
        <w:tc>
          <w:tcPr>
            <w:tcW w:w="3141" w:type="pct"/>
            <w:shd w:val="clear" w:color="auto" w:fill="auto"/>
            <w:vAlign w:val="bottom"/>
          </w:tcPr>
          <w:p w14:paraId="2B765617" w14:textId="77777777" w:rsidR="00643D10" w:rsidRPr="00D9348B" w:rsidRDefault="00643D10" w:rsidP="00DB330E">
            <w:pPr>
              <w:pStyle w:val="TableText"/>
              <w:rPr>
                <w:rFonts w:cs="Arial"/>
                <w:szCs w:val="16"/>
              </w:rPr>
            </w:pPr>
            <w:r w:rsidRPr="00D9348B">
              <w:t>Option A – Non-dairy Cattle</w:t>
            </w:r>
          </w:p>
        </w:tc>
        <w:tc>
          <w:tcPr>
            <w:tcW w:w="345" w:type="pct"/>
            <w:shd w:val="clear" w:color="auto" w:fill="auto"/>
            <w:noWrap/>
            <w:vAlign w:val="bottom"/>
          </w:tcPr>
          <w:p w14:paraId="75D1834C" w14:textId="77777777" w:rsidR="00643D10" w:rsidRPr="00D9348B" w:rsidRDefault="00643D10" w:rsidP="00DB330E">
            <w:pPr>
              <w:pStyle w:val="TableText"/>
              <w:jc w:val="center"/>
              <w:rPr>
                <w:rFonts w:cs="Arial"/>
                <w:color w:val="000000"/>
                <w:szCs w:val="16"/>
              </w:rPr>
            </w:pPr>
            <w:r w:rsidRPr="00D9348B">
              <w:rPr>
                <w:rFonts w:cs="Arial"/>
                <w:color w:val="000000"/>
                <w:szCs w:val="16"/>
              </w:rPr>
              <w:t>CH</w:t>
            </w:r>
            <w:r w:rsidRPr="00D9348B">
              <w:rPr>
                <w:rFonts w:cs="Arial"/>
                <w:color w:val="000000"/>
                <w:szCs w:val="16"/>
                <w:vertAlign w:val="subscript"/>
              </w:rPr>
              <w:t>4</w:t>
            </w:r>
          </w:p>
        </w:tc>
        <w:tc>
          <w:tcPr>
            <w:tcW w:w="764" w:type="pct"/>
            <w:shd w:val="clear" w:color="auto" w:fill="auto"/>
            <w:noWrap/>
            <w:vAlign w:val="bottom"/>
          </w:tcPr>
          <w:p w14:paraId="01A6FDBD" w14:textId="77777777" w:rsidR="00643D10" w:rsidRPr="00D9348B" w:rsidRDefault="00643D10" w:rsidP="00DB330E">
            <w:pPr>
              <w:pStyle w:val="TableText"/>
              <w:rPr>
                <w:rFonts w:cs="Arial"/>
                <w:color w:val="000000"/>
                <w:szCs w:val="16"/>
              </w:rPr>
            </w:pPr>
            <w:r w:rsidRPr="00D9348B">
              <w:t>L1, T1</w:t>
            </w:r>
          </w:p>
        </w:tc>
      </w:tr>
      <w:tr w:rsidR="00643D10" w:rsidRPr="00D9348B" w14:paraId="5BD891B2" w14:textId="77777777" w:rsidTr="003E2C49">
        <w:tc>
          <w:tcPr>
            <w:tcW w:w="750" w:type="pct"/>
            <w:tcMar>
              <w:right w:w="85" w:type="dxa"/>
            </w:tcMar>
            <w:vAlign w:val="bottom"/>
          </w:tcPr>
          <w:p w14:paraId="670AEBAA" w14:textId="77777777" w:rsidR="00643D10" w:rsidRPr="00D9348B" w:rsidRDefault="00643D10" w:rsidP="00DB330E">
            <w:pPr>
              <w:pStyle w:val="TableText"/>
              <w:rPr>
                <w:rFonts w:cs="Arial"/>
                <w:szCs w:val="16"/>
              </w:rPr>
            </w:pPr>
            <w:r w:rsidRPr="00D9348B">
              <w:t>3.A.2</w:t>
            </w:r>
          </w:p>
        </w:tc>
        <w:tc>
          <w:tcPr>
            <w:tcW w:w="3141" w:type="pct"/>
            <w:shd w:val="clear" w:color="auto" w:fill="auto"/>
            <w:vAlign w:val="bottom"/>
          </w:tcPr>
          <w:p w14:paraId="28FFB8E4" w14:textId="77777777" w:rsidR="00643D10" w:rsidRPr="00D9348B" w:rsidRDefault="00643D10" w:rsidP="00DB330E">
            <w:pPr>
              <w:pStyle w:val="TableText"/>
              <w:rPr>
                <w:rFonts w:cs="Arial"/>
                <w:szCs w:val="16"/>
              </w:rPr>
            </w:pPr>
            <w:r w:rsidRPr="00D9348B">
              <w:t>Other (please specify) – Sheep</w:t>
            </w:r>
          </w:p>
        </w:tc>
        <w:tc>
          <w:tcPr>
            <w:tcW w:w="345" w:type="pct"/>
            <w:shd w:val="clear" w:color="auto" w:fill="auto"/>
            <w:noWrap/>
            <w:vAlign w:val="bottom"/>
          </w:tcPr>
          <w:p w14:paraId="7564DE63" w14:textId="77777777" w:rsidR="00643D10" w:rsidRPr="00D9348B" w:rsidRDefault="00643D10" w:rsidP="00DB330E">
            <w:pPr>
              <w:pStyle w:val="TableText"/>
              <w:jc w:val="center"/>
              <w:rPr>
                <w:rFonts w:cs="Arial"/>
                <w:color w:val="000000"/>
                <w:szCs w:val="16"/>
              </w:rPr>
            </w:pPr>
            <w:r w:rsidRPr="00D9348B">
              <w:rPr>
                <w:rFonts w:cs="Arial"/>
                <w:color w:val="000000"/>
                <w:szCs w:val="16"/>
              </w:rPr>
              <w:t>CH</w:t>
            </w:r>
            <w:r w:rsidRPr="00D9348B">
              <w:rPr>
                <w:rFonts w:cs="Arial"/>
                <w:color w:val="000000"/>
                <w:szCs w:val="16"/>
                <w:vertAlign w:val="subscript"/>
              </w:rPr>
              <w:t>4</w:t>
            </w:r>
          </w:p>
        </w:tc>
        <w:tc>
          <w:tcPr>
            <w:tcW w:w="764" w:type="pct"/>
            <w:shd w:val="clear" w:color="auto" w:fill="auto"/>
            <w:noWrap/>
            <w:vAlign w:val="bottom"/>
          </w:tcPr>
          <w:p w14:paraId="39B47AD2" w14:textId="77777777" w:rsidR="00643D10" w:rsidRPr="00D9348B" w:rsidRDefault="00643D10" w:rsidP="00DB330E">
            <w:pPr>
              <w:pStyle w:val="TableText"/>
              <w:rPr>
                <w:rFonts w:cs="Arial"/>
                <w:color w:val="000000"/>
                <w:szCs w:val="16"/>
              </w:rPr>
            </w:pPr>
            <w:r w:rsidRPr="00D9348B">
              <w:t>L1, T1</w:t>
            </w:r>
          </w:p>
        </w:tc>
      </w:tr>
      <w:tr w:rsidR="00643D10" w:rsidRPr="00D9348B" w14:paraId="5A9DD892" w14:textId="77777777" w:rsidTr="003E2C49">
        <w:tc>
          <w:tcPr>
            <w:tcW w:w="750" w:type="pct"/>
            <w:tcMar>
              <w:right w:w="85" w:type="dxa"/>
            </w:tcMar>
            <w:vAlign w:val="bottom"/>
          </w:tcPr>
          <w:p w14:paraId="1E5A377A" w14:textId="77777777" w:rsidR="00643D10" w:rsidRPr="00D9348B" w:rsidRDefault="00643D10" w:rsidP="00DB330E">
            <w:pPr>
              <w:pStyle w:val="TableText"/>
              <w:rPr>
                <w:rFonts w:cs="Arial"/>
                <w:szCs w:val="16"/>
              </w:rPr>
            </w:pPr>
            <w:r w:rsidRPr="00D9348B">
              <w:t>3.A.4</w:t>
            </w:r>
          </w:p>
        </w:tc>
        <w:tc>
          <w:tcPr>
            <w:tcW w:w="3141" w:type="pct"/>
            <w:shd w:val="clear" w:color="auto" w:fill="auto"/>
            <w:vAlign w:val="bottom"/>
          </w:tcPr>
          <w:p w14:paraId="060F06AF" w14:textId="77777777" w:rsidR="00643D10" w:rsidRPr="00D9348B" w:rsidRDefault="00643D10" w:rsidP="00DB330E">
            <w:pPr>
              <w:pStyle w:val="TableText"/>
              <w:rPr>
                <w:rFonts w:cs="Arial"/>
                <w:szCs w:val="16"/>
              </w:rPr>
            </w:pPr>
            <w:r w:rsidRPr="00D9348B">
              <w:t>Other Livestock – Deer</w:t>
            </w:r>
          </w:p>
        </w:tc>
        <w:tc>
          <w:tcPr>
            <w:tcW w:w="345" w:type="pct"/>
            <w:shd w:val="clear" w:color="auto" w:fill="auto"/>
            <w:noWrap/>
            <w:vAlign w:val="bottom"/>
          </w:tcPr>
          <w:p w14:paraId="0980265E" w14:textId="77777777" w:rsidR="00643D10" w:rsidRPr="00D9348B" w:rsidRDefault="00643D10" w:rsidP="00DB330E">
            <w:pPr>
              <w:pStyle w:val="TableText"/>
              <w:jc w:val="center"/>
              <w:rPr>
                <w:rFonts w:cs="Arial"/>
                <w:color w:val="000000"/>
                <w:szCs w:val="16"/>
              </w:rPr>
            </w:pPr>
            <w:r w:rsidRPr="00D9348B">
              <w:rPr>
                <w:rFonts w:cs="Arial"/>
                <w:color w:val="000000"/>
                <w:szCs w:val="16"/>
              </w:rPr>
              <w:t>CH</w:t>
            </w:r>
            <w:r w:rsidRPr="00D9348B">
              <w:rPr>
                <w:rFonts w:cs="Arial"/>
                <w:color w:val="000000"/>
                <w:szCs w:val="16"/>
                <w:vertAlign w:val="subscript"/>
              </w:rPr>
              <w:t>4</w:t>
            </w:r>
          </w:p>
        </w:tc>
        <w:tc>
          <w:tcPr>
            <w:tcW w:w="764" w:type="pct"/>
            <w:shd w:val="clear" w:color="auto" w:fill="auto"/>
            <w:noWrap/>
            <w:vAlign w:val="bottom"/>
          </w:tcPr>
          <w:p w14:paraId="144C9FDF" w14:textId="77777777" w:rsidR="00643D10" w:rsidRPr="00D9348B" w:rsidRDefault="00643D10" w:rsidP="00DB330E">
            <w:pPr>
              <w:pStyle w:val="TableText"/>
              <w:rPr>
                <w:rFonts w:cs="Arial"/>
                <w:color w:val="000000"/>
                <w:szCs w:val="16"/>
              </w:rPr>
            </w:pPr>
            <w:r w:rsidRPr="00D9348B">
              <w:t>L1, T1</w:t>
            </w:r>
          </w:p>
        </w:tc>
      </w:tr>
      <w:tr w:rsidR="00643D10" w:rsidRPr="00D9348B" w14:paraId="681A1B83" w14:textId="77777777" w:rsidTr="003E2C49">
        <w:tc>
          <w:tcPr>
            <w:tcW w:w="750" w:type="pct"/>
            <w:tcMar>
              <w:right w:w="85" w:type="dxa"/>
            </w:tcMar>
            <w:vAlign w:val="bottom"/>
          </w:tcPr>
          <w:p w14:paraId="748A3978" w14:textId="77777777" w:rsidR="00643D10" w:rsidRPr="00D9348B" w:rsidRDefault="00643D10" w:rsidP="00DB330E">
            <w:pPr>
              <w:pStyle w:val="TableText"/>
              <w:rPr>
                <w:rFonts w:cs="Arial"/>
                <w:szCs w:val="16"/>
              </w:rPr>
            </w:pPr>
            <w:r w:rsidRPr="00D9348B">
              <w:t>3.A.4</w:t>
            </w:r>
          </w:p>
        </w:tc>
        <w:tc>
          <w:tcPr>
            <w:tcW w:w="3141" w:type="pct"/>
            <w:shd w:val="clear" w:color="auto" w:fill="auto"/>
            <w:vAlign w:val="bottom"/>
          </w:tcPr>
          <w:p w14:paraId="75CBA807" w14:textId="77777777" w:rsidR="00643D10" w:rsidRPr="00D9348B" w:rsidRDefault="00643D10" w:rsidP="00DB330E">
            <w:pPr>
              <w:pStyle w:val="TableText"/>
              <w:rPr>
                <w:rFonts w:cs="Arial"/>
                <w:szCs w:val="16"/>
              </w:rPr>
            </w:pPr>
            <w:r w:rsidRPr="00D9348B">
              <w:t>Other Livestock – Goats</w:t>
            </w:r>
          </w:p>
        </w:tc>
        <w:tc>
          <w:tcPr>
            <w:tcW w:w="345" w:type="pct"/>
            <w:shd w:val="clear" w:color="auto" w:fill="auto"/>
            <w:noWrap/>
            <w:vAlign w:val="bottom"/>
          </w:tcPr>
          <w:p w14:paraId="20FA0310" w14:textId="77777777" w:rsidR="00643D10" w:rsidRPr="00D9348B" w:rsidRDefault="00643D10" w:rsidP="00DB330E">
            <w:pPr>
              <w:pStyle w:val="TableText"/>
              <w:jc w:val="center"/>
              <w:rPr>
                <w:rFonts w:cs="Arial"/>
                <w:color w:val="000000"/>
                <w:szCs w:val="16"/>
              </w:rPr>
            </w:pPr>
            <w:r w:rsidRPr="00D9348B">
              <w:rPr>
                <w:rFonts w:cs="Arial"/>
                <w:color w:val="000000"/>
                <w:szCs w:val="16"/>
              </w:rPr>
              <w:t>CH</w:t>
            </w:r>
            <w:r w:rsidRPr="00D9348B">
              <w:rPr>
                <w:rFonts w:cs="Arial"/>
                <w:color w:val="000000"/>
                <w:szCs w:val="16"/>
                <w:vertAlign w:val="subscript"/>
              </w:rPr>
              <w:t>4</w:t>
            </w:r>
          </w:p>
        </w:tc>
        <w:tc>
          <w:tcPr>
            <w:tcW w:w="764" w:type="pct"/>
            <w:shd w:val="clear" w:color="auto" w:fill="auto"/>
            <w:noWrap/>
            <w:vAlign w:val="bottom"/>
          </w:tcPr>
          <w:p w14:paraId="325453A8" w14:textId="77777777" w:rsidR="00643D10" w:rsidRPr="00D9348B" w:rsidRDefault="00643D10" w:rsidP="00DB330E">
            <w:pPr>
              <w:pStyle w:val="TableText"/>
              <w:rPr>
                <w:rFonts w:cs="Arial"/>
                <w:color w:val="000000"/>
                <w:szCs w:val="16"/>
              </w:rPr>
            </w:pPr>
            <w:r w:rsidRPr="00D9348B">
              <w:t>T1</w:t>
            </w:r>
          </w:p>
        </w:tc>
      </w:tr>
      <w:tr w:rsidR="00643D10" w:rsidRPr="00D9348B" w14:paraId="79FF0851" w14:textId="77777777" w:rsidTr="003E2C49">
        <w:tc>
          <w:tcPr>
            <w:tcW w:w="750" w:type="pct"/>
            <w:tcMar>
              <w:right w:w="85" w:type="dxa"/>
            </w:tcMar>
            <w:vAlign w:val="bottom"/>
          </w:tcPr>
          <w:p w14:paraId="4C9E555E" w14:textId="77777777" w:rsidR="00643D10" w:rsidRPr="00D9348B" w:rsidRDefault="00643D10" w:rsidP="00DB330E">
            <w:pPr>
              <w:pStyle w:val="TableText"/>
            </w:pPr>
            <w:r w:rsidRPr="00D9348B">
              <w:t>3.B.1.1</w:t>
            </w:r>
          </w:p>
        </w:tc>
        <w:tc>
          <w:tcPr>
            <w:tcW w:w="3141" w:type="pct"/>
            <w:shd w:val="clear" w:color="auto" w:fill="auto"/>
            <w:vAlign w:val="bottom"/>
          </w:tcPr>
          <w:p w14:paraId="713DDCC0" w14:textId="77777777" w:rsidR="00643D10" w:rsidRPr="00D9348B" w:rsidRDefault="00643D10" w:rsidP="00DB330E">
            <w:pPr>
              <w:pStyle w:val="TableText"/>
              <w:keepNext/>
              <w:rPr>
                <w:rFonts w:cs="Arial"/>
                <w:szCs w:val="16"/>
              </w:rPr>
            </w:pPr>
            <w:r w:rsidRPr="00D9348B">
              <w:t>Option A – Dairy Cattle</w:t>
            </w:r>
          </w:p>
        </w:tc>
        <w:tc>
          <w:tcPr>
            <w:tcW w:w="345" w:type="pct"/>
            <w:shd w:val="clear" w:color="auto" w:fill="auto"/>
            <w:noWrap/>
            <w:vAlign w:val="bottom"/>
          </w:tcPr>
          <w:p w14:paraId="6D4A9747" w14:textId="77777777" w:rsidR="00643D10" w:rsidRPr="00D9348B" w:rsidRDefault="00643D10" w:rsidP="00DB330E">
            <w:pPr>
              <w:pStyle w:val="TableText"/>
              <w:keepNext/>
              <w:jc w:val="center"/>
              <w:rPr>
                <w:rFonts w:cs="Arial"/>
                <w:color w:val="000000"/>
                <w:szCs w:val="16"/>
              </w:rPr>
            </w:pPr>
            <w:r w:rsidRPr="00D9348B">
              <w:rPr>
                <w:rFonts w:cs="Arial"/>
                <w:color w:val="000000"/>
                <w:szCs w:val="16"/>
              </w:rPr>
              <w:t>CH</w:t>
            </w:r>
            <w:r w:rsidRPr="00D9348B">
              <w:rPr>
                <w:rFonts w:cs="Arial"/>
                <w:color w:val="000000"/>
                <w:szCs w:val="16"/>
                <w:vertAlign w:val="subscript"/>
              </w:rPr>
              <w:t>4</w:t>
            </w:r>
          </w:p>
        </w:tc>
        <w:tc>
          <w:tcPr>
            <w:tcW w:w="764" w:type="pct"/>
            <w:shd w:val="clear" w:color="auto" w:fill="auto"/>
            <w:noWrap/>
            <w:vAlign w:val="bottom"/>
          </w:tcPr>
          <w:p w14:paraId="619A5D6D" w14:textId="77777777" w:rsidR="00643D10" w:rsidRPr="00D9348B" w:rsidRDefault="00643D10" w:rsidP="00DB330E">
            <w:pPr>
              <w:pStyle w:val="TableText"/>
              <w:keepNext/>
              <w:rPr>
                <w:rFonts w:cs="Arial"/>
                <w:color w:val="000000"/>
                <w:szCs w:val="16"/>
              </w:rPr>
            </w:pPr>
            <w:r w:rsidRPr="00D9348B">
              <w:t>L1, T1</w:t>
            </w:r>
          </w:p>
        </w:tc>
      </w:tr>
      <w:tr w:rsidR="00643D10" w:rsidRPr="00D9348B" w14:paraId="54423D43" w14:textId="77777777" w:rsidTr="003E2C49">
        <w:tc>
          <w:tcPr>
            <w:tcW w:w="750" w:type="pct"/>
            <w:tcMar>
              <w:right w:w="85" w:type="dxa"/>
            </w:tcMar>
            <w:vAlign w:val="bottom"/>
          </w:tcPr>
          <w:p w14:paraId="47EF16F1" w14:textId="77777777" w:rsidR="00643D10" w:rsidRPr="00D9348B" w:rsidRDefault="00643D10" w:rsidP="00DB330E">
            <w:pPr>
              <w:pStyle w:val="TableText"/>
              <w:rPr>
                <w:rFonts w:cs="Arial"/>
                <w:szCs w:val="16"/>
              </w:rPr>
            </w:pPr>
            <w:r w:rsidRPr="00D9348B">
              <w:t>3.D.1.1</w:t>
            </w:r>
          </w:p>
        </w:tc>
        <w:tc>
          <w:tcPr>
            <w:tcW w:w="3141" w:type="pct"/>
            <w:shd w:val="clear" w:color="auto" w:fill="auto"/>
            <w:vAlign w:val="bottom"/>
          </w:tcPr>
          <w:p w14:paraId="3A4FFDC8" w14:textId="77777777" w:rsidR="00643D10" w:rsidRPr="00D9348B" w:rsidRDefault="00643D10" w:rsidP="00DB330E">
            <w:pPr>
              <w:pStyle w:val="TableText"/>
              <w:rPr>
                <w:rFonts w:cs="Arial"/>
                <w:szCs w:val="16"/>
              </w:rPr>
            </w:pPr>
            <w:r w:rsidRPr="00D9348B">
              <w:t>Direct N</w:t>
            </w:r>
            <w:r w:rsidRPr="00D9348B">
              <w:rPr>
                <w:vertAlign w:val="subscript"/>
              </w:rPr>
              <w:t>2</w:t>
            </w:r>
            <w:r w:rsidRPr="00D9348B">
              <w:t>O Emissions From Managed Soils – Inorganic N Fertilizers</w:t>
            </w:r>
          </w:p>
        </w:tc>
        <w:tc>
          <w:tcPr>
            <w:tcW w:w="345" w:type="pct"/>
            <w:shd w:val="clear" w:color="auto" w:fill="auto"/>
            <w:noWrap/>
            <w:vAlign w:val="bottom"/>
          </w:tcPr>
          <w:p w14:paraId="29C7C084" w14:textId="77777777" w:rsidR="00643D10" w:rsidRPr="00D9348B" w:rsidRDefault="00643D10" w:rsidP="00DB330E">
            <w:pPr>
              <w:pStyle w:val="TableText"/>
              <w:jc w:val="center"/>
              <w:rPr>
                <w:rFonts w:cs="Arial"/>
                <w:color w:val="000000"/>
                <w:szCs w:val="16"/>
              </w:rPr>
            </w:pPr>
            <w:r w:rsidRPr="00D9348B">
              <w:rPr>
                <w:rFonts w:cs="Arial"/>
                <w:color w:val="000000"/>
                <w:szCs w:val="16"/>
              </w:rPr>
              <w:t>N</w:t>
            </w:r>
            <w:r w:rsidRPr="00D9348B">
              <w:rPr>
                <w:rFonts w:cs="Arial"/>
                <w:color w:val="000000"/>
                <w:szCs w:val="16"/>
                <w:vertAlign w:val="subscript"/>
              </w:rPr>
              <w:t>2</w:t>
            </w:r>
            <w:r w:rsidRPr="00D9348B">
              <w:rPr>
                <w:rFonts w:cs="Arial"/>
                <w:color w:val="000000"/>
                <w:szCs w:val="16"/>
              </w:rPr>
              <w:t>O</w:t>
            </w:r>
          </w:p>
        </w:tc>
        <w:tc>
          <w:tcPr>
            <w:tcW w:w="764" w:type="pct"/>
            <w:shd w:val="clear" w:color="auto" w:fill="auto"/>
            <w:noWrap/>
            <w:vAlign w:val="bottom"/>
          </w:tcPr>
          <w:p w14:paraId="6F316024" w14:textId="77777777" w:rsidR="00643D10" w:rsidRPr="00D9348B" w:rsidRDefault="00643D10" w:rsidP="00DB330E">
            <w:pPr>
              <w:pStyle w:val="TableText"/>
              <w:rPr>
                <w:rFonts w:cs="Arial"/>
                <w:color w:val="000000"/>
                <w:szCs w:val="16"/>
              </w:rPr>
            </w:pPr>
            <w:r w:rsidRPr="00D9348B">
              <w:t>L1, T1</w:t>
            </w:r>
          </w:p>
        </w:tc>
      </w:tr>
      <w:tr w:rsidR="00643D10" w:rsidRPr="00D9348B" w14:paraId="25CBE18B" w14:textId="77777777" w:rsidTr="003E2C49">
        <w:tc>
          <w:tcPr>
            <w:tcW w:w="750" w:type="pct"/>
            <w:tcMar>
              <w:right w:w="85" w:type="dxa"/>
            </w:tcMar>
            <w:vAlign w:val="bottom"/>
          </w:tcPr>
          <w:p w14:paraId="0C351AAB" w14:textId="77777777" w:rsidR="00643D10" w:rsidRPr="00D9348B" w:rsidRDefault="00643D10" w:rsidP="00DB330E">
            <w:pPr>
              <w:pStyle w:val="TableText"/>
              <w:rPr>
                <w:rFonts w:cs="Arial"/>
                <w:szCs w:val="16"/>
              </w:rPr>
            </w:pPr>
            <w:r w:rsidRPr="00D9348B">
              <w:t>3.D.1.3</w:t>
            </w:r>
          </w:p>
        </w:tc>
        <w:tc>
          <w:tcPr>
            <w:tcW w:w="3141" w:type="pct"/>
            <w:shd w:val="clear" w:color="auto" w:fill="auto"/>
            <w:vAlign w:val="bottom"/>
          </w:tcPr>
          <w:p w14:paraId="6C4CD81A" w14:textId="77777777" w:rsidR="00643D10" w:rsidRPr="00D9348B" w:rsidRDefault="00643D10" w:rsidP="00DB330E">
            <w:pPr>
              <w:pStyle w:val="TableText"/>
              <w:rPr>
                <w:rFonts w:cs="Arial"/>
                <w:szCs w:val="16"/>
              </w:rPr>
            </w:pPr>
            <w:r w:rsidRPr="00D9348B">
              <w:t>Direct N</w:t>
            </w:r>
            <w:r w:rsidRPr="00D9348B">
              <w:rPr>
                <w:vertAlign w:val="subscript"/>
              </w:rPr>
              <w:t>2</w:t>
            </w:r>
            <w:r w:rsidRPr="00D9348B">
              <w:t>O Emissions From Managed Soils – Urine and Dung Deposited by Grazing Animals</w:t>
            </w:r>
          </w:p>
        </w:tc>
        <w:tc>
          <w:tcPr>
            <w:tcW w:w="345" w:type="pct"/>
            <w:shd w:val="clear" w:color="auto" w:fill="auto"/>
            <w:noWrap/>
            <w:vAlign w:val="bottom"/>
          </w:tcPr>
          <w:p w14:paraId="5B0B504F" w14:textId="77777777" w:rsidR="00643D10" w:rsidRPr="00D9348B" w:rsidRDefault="00643D10" w:rsidP="00DB330E">
            <w:pPr>
              <w:pStyle w:val="TableText"/>
              <w:jc w:val="center"/>
              <w:rPr>
                <w:rFonts w:cs="Arial"/>
                <w:color w:val="000000"/>
                <w:szCs w:val="16"/>
              </w:rPr>
            </w:pPr>
            <w:r w:rsidRPr="00D9348B">
              <w:rPr>
                <w:rFonts w:cs="Arial"/>
                <w:color w:val="000000"/>
                <w:szCs w:val="16"/>
              </w:rPr>
              <w:t>N</w:t>
            </w:r>
            <w:r w:rsidRPr="00D9348B">
              <w:rPr>
                <w:rFonts w:cs="Arial"/>
                <w:color w:val="000000"/>
                <w:szCs w:val="16"/>
                <w:vertAlign w:val="subscript"/>
              </w:rPr>
              <w:t>2</w:t>
            </w:r>
            <w:r w:rsidRPr="00D9348B">
              <w:rPr>
                <w:rFonts w:cs="Arial"/>
                <w:color w:val="000000"/>
                <w:szCs w:val="16"/>
              </w:rPr>
              <w:t>O</w:t>
            </w:r>
          </w:p>
        </w:tc>
        <w:tc>
          <w:tcPr>
            <w:tcW w:w="764" w:type="pct"/>
            <w:shd w:val="clear" w:color="auto" w:fill="auto"/>
            <w:noWrap/>
            <w:vAlign w:val="bottom"/>
          </w:tcPr>
          <w:p w14:paraId="5C14D212" w14:textId="77777777" w:rsidR="00643D10" w:rsidRPr="00D9348B" w:rsidRDefault="00643D10" w:rsidP="00DB330E">
            <w:pPr>
              <w:pStyle w:val="TableText"/>
              <w:rPr>
                <w:rFonts w:cs="Arial"/>
                <w:color w:val="000000"/>
                <w:szCs w:val="16"/>
              </w:rPr>
            </w:pPr>
            <w:r w:rsidRPr="00D9348B">
              <w:t>L1, T1</w:t>
            </w:r>
          </w:p>
        </w:tc>
      </w:tr>
      <w:tr w:rsidR="00643D10" w:rsidRPr="00D9348B" w14:paraId="06F399DE" w14:textId="77777777" w:rsidTr="003E2C49">
        <w:tc>
          <w:tcPr>
            <w:tcW w:w="750" w:type="pct"/>
            <w:tcMar>
              <w:right w:w="85" w:type="dxa"/>
            </w:tcMar>
            <w:vAlign w:val="bottom"/>
          </w:tcPr>
          <w:p w14:paraId="199865A5" w14:textId="77777777" w:rsidR="00643D10" w:rsidRPr="00D9348B" w:rsidRDefault="00643D10" w:rsidP="00DB330E">
            <w:pPr>
              <w:pStyle w:val="TableText"/>
              <w:keepNext/>
            </w:pPr>
            <w:r w:rsidRPr="00D9348B">
              <w:t>3.D.1.4</w:t>
            </w:r>
          </w:p>
        </w:tc>
        <w:tc>
          <w:tcPr>
            <w:tcW w:w="3141" w:type="pct"/>
            <w:shd w:val="clear" w:color="auto" w:fill="auto"/>
            <w:vAlign w:val="bottom"/>
          </w:tcPr>
          <w:p w14:paraId="06801DBF" w14:textId="77777777" w:rsidR="00643D10" w:rsidRPr="00D9348B" w:rsidRDefault="00643D10" w:rsidP="00DB330E">
            <w:pPr>
              <w:pStyle w:val="TableText"/>
            </w:pPr>
            <w:r w:rsidRPr="00D9348B">
              <w:t>Direct N</w:t>
            </w:r>
            <w:r w:rsidRPr="00D9348B">
              <w:rPr>
                <w:vertAlign w:val="subscript"/>
              </w:rPr>
              <w:t>2</w:t>
            </w:r>
            <w:r w:rsidRPr="00D9348B">
              <w:t>O Emissions From Managed Soils – Crop Residues</w:t>
            </w:r>
          </w:p>
        </w:tc>
        <w:tc>
          <w:tcPr>
            <w:tcW w:w="345" w:type="pct"/>
            <w:shd w:val="clear" w:color="auto" w:fill="auto"/>
            <w:noWrap/>
            <w:vAlign w:val="bottom"/>
          </w:tcPr>
          <w:p w14:paraId="7C01E1B4" w14:textId="77777777" w:rsidR="00643D10" w:rsidRPr="00D9348B" w:rsidRDefault="00643D10" w:rsidP="00DB330E">
            <w:pPr>
              <w:pStyle w:val="TableText"/>
              <w:jc w:val="center"/>
            </w:pPr>
            <w:r w:rsidRPr="00D9348B">
              <w:rPr>
                <w:rFonts w:cs="Arial"/>
                <w:color w:val="000000"/>
                <w:szCs w:val="16"/>
              </w:rPr>
              <w:t>N</w:t>
            </w:r>
            <w:r w:rsidRPr="00D9348B">
              <w:rPr>
                <w:rFonts w:cs="Arial"/>
                <w:color w:val="000000"/>
                <w:szCs w:val="16"/>
                <w:vertAlign w:val="subscript"/>
              </w:rPr>
              <w:t>2</w:t>
            </w:r>
            <w:r w:rsidRPr="00D9348B">
              <w:rPr>
                <w:rFonts w:cs="Arial"/>
                <w:color w:val="000000"/>
                <w:szCs w:val="16"/>
              </w:rPr>
              <w:t>O</w:t>
            </w:r>
          </w:p>
        </w:tc>
        <w:tc>
          <w:tcPr>
            <w:tcW w:w="764" w:type="pct"/>
            <w:shd w:val="clear" w:color="auto" w:fill="auto"/>
            <w:noWrap/>
            <w:vAlign w:val="bottom"/>
          </w:tcPr>
          <w:p w14:paraId="6F3CB4DE" w14:textId="77777777" w:rsidR="00643D10" w:rsidRPr="00D9348B" w:rsidRDefault="00643D10" w:rsidP="00DB330E">
            <w:pPr>
              <w:pStyle w:val="TableText"/>
            </w:pPr>
            <w:r w:rsidRPr="00D9348B">
              <w:t>L1</w:t>
            </w:r>
          </w:p>
        </w:tc>
      </w:tr>
      <w:tr w:rsidR="00643D10" w:rsidRPr="00D9348B" w14:paraId="51D7F0E8" w14:textId="77777777" w:rsidTr="003E2C49">
        <w:tc>
          <w:tcPr>
            <w:tcW w:w="750" w:type="pct"/>
            <w:tcMar>
              <w:right w:w="85" w:type="dxa"/>
            </w:tcMar>
            <w:vAlign w:val="bottom"/>
          </w:tcPr>
          <w:p w14:paraId="4A629ECF" w14:textId="77777777" w:rsidR="00643D10" w:rsidRPr="00D9348B" w:rsidRDefault="00643D10" w:rsidP="00DB330E">
            <w:pPr>
              <w:pStyle w:val="TableText"/>
              <w:rPr>
                <w:rFonts w:cs="Arial"/>
                <w:szCs w:val="16"/>
              </w:rPr>
            </w:pPr>
            <w:r w:rsidRPr="00D9348B">
              <w:t>3.D.2.1</w:t>
            </w:r>
          </w:p>
        </w:tc>
        <w:tc>
          <w:tcPr>
            <w:tcW w:w="3141" w:type="pct"/>
            <w:shd w:val="clear" w:color="auto" w:fill="auto"/>
            <w:vAlign w:val="bottom"/>
          </w:tcPr>
          <w:p w14:paraId="447337C7" w14:textId="77777777" w:rsidR="00643D10" w:rsidRPr="00D9348B" w:rsidRDefault="00643D10" w:rsidP="00DB330E">
            <w:pPr>
              <w:pStyle w:val="TableText"/>
              <w:rPr>
                <w:rFonts w:cs="Arial"/>
                <w:szCs w:val="16"/>
              </w:rPr>
            </w:pPr>
            <w:r w:rsidRPr="00D9348B">
              <w:t>Indirect N</w:t>
            </w:r>
            <w:r w:rsidRPr="00D9348B">
              <w:rPr>
                <w:vertAlign w:val="subscript"/>
              </w:rPr>
              <w:t>2</w:t>
            </w:r>
            <w:r w:rsidRPr="00D9348B">
              <w:t>O Emissions From Managed Soils – Atmospheric Deposition</w:t>
            </w:r>
          </w:p>
        </w:tc>
        <w:tc>
          <w:tcPr>
            <w:tcW w:w="345" w:type="pct"/>
            <w:shd w:val="clear" w:color="auto" w:fill="auto"/>
            <w:noWrap/>
            <w:vAlign w:val="bottom"/>
          </w:tcPr>
          <w:p w14:paraId="132F9933" w14:textId="77777777" w:rsidR="00643D10" w:rsidRPr="00D9348B" w:rsidRDefault="00643D10" w:rsidP="00DB330E">
            <w:pPr>
              <w:pStyle w:val="TableText"/>
              <w:jc w:val="center"/>
              <w:rPr>
                <w:rFonts w:cs="Arial"/>
                <w:color w:val="000000"/>
                <w:szCs w:val="16"/>
              </w:rPr>
            </w:pPr>
            <w:r w:rsidRPr="00D9348B">
              <w:rPr>
                <w:rFonts w:cs="Arial"/>
                <w:color w:val="000000"/>
                <w:szCs w:val="16"/>
              </w:rPr>
              <w:t>N</w:t>
            </w:r>
            <w:r w:rsidRPr="00D9348B">
              <w:rPr>
                <w:rFonts w:cs="Arial"/>
                <w:color w:val="000000"/>
                <w:szCs w:val="16"/>
                <w:vertAlign w:val="subscript"/>
              </w:rPr>
              <w:t>2</w:t>
            </w:r>
            <w:r w:rsidRPr="00D9348B">
              <w:rPr>
                <w:rFonts w:cs="Arial"/>
                <w:color w:val="000000"/>
                <w:szCs w:val="16"/>
              </w:rPr>
              <w:t>O</w:t>
            </w:r>
          </w:p>
        </w:tc>
        <w:tc>
          <w:tcPr>
            <w:tcW w:w="764" w:type="pct"/>
            <w:shd w:val="clear" w:color="auto" w:fill="auto"/>
            <w:noWrap/>
            <w:vAlign w:val="bottom"/>
          </w:tcPr>
          <w:p w14:paraId="2414ED14" w14:textId="77777777" w:rsidR="00643D10" w:rsidRPr="00D9348B" w:rsidRDefault="00643D10" w:rsidP="00DB330E">
            <w:pPr>
              <w:pStyle w:val="TableText"/>
              <w:rPr>
                <w:rFonts w:cs="Arial"/>
                <w:color w:val="000000"/>
                <w:szCs w:val="16"/>
              </w:rPr>
            </w:pPr>
            <w:r w:rsidRPr="00D9348B">
              <w:t>L1, T1</w:t>
            </w:r>
          </w:p>
        </w:tc>
      </w:tr>
      <w:tr w:rsidR="00643D10" w:rsidRPr="00D9348B" w14:paraId="1B08BD80" w14:textId="77777777" w:rsidTr="003E2C49">
        <w:tc>
          <w:tcPr>
            <w:tcW w:w="750" w:type="pct"/>
            <w:tcMar>
              <w:right w:w="85" w:type="dxa"/>
            </w:tcMar>
            <w:vAlign w:val="bottom"/>
          </w:tcPr>
          <w:p w14:paraId="6441C98C" w14:textId="77777777" w:rsidR="00643D10" w:rsidRPr="00D9348B" w:rsidRDefault="00643D10" w:rsidP="00DB330E">
            <w:pPr>
              <w:pStyle w:val="TableText"/>
              <w:rPr>
                <w:rFonts w:cs="Arial"/>
                <w:szCs w:val="16"/>
              </w:rPr>
            </w:pPr>
            <w:r w:rsidRPr="00D9348B">
              <w:t>3.D.2.2</w:t>
            </w:r>
          </w:p>
        </w:tc>
        <w:tc>
          <w:tcPr>
            <w:tcW w:w="3141" w:type="pct"/>
            <w:shd w:val="clear" w:color="auto" w:fill="auto"/>
            <w:vAlign w:val="bottom"/>
          </w:tcPr>
          <w:p w14:paraId="4ADDF4D2" w14:textId="77777777" w:rsidR="00643D10" w:rsidRPr="00D9348B" w:rsidRDefault="00643D10" w:rsidP="00DB330E">
            <w:pPr>
              <w:pStyle w:val="TableText"/>
              <w:rPr>
                <w:rFonts w:cs="Arial"/>
                <w:szCs w:val="16"/>
              </w:rPr>
            </w:pPr>
            <w:r w:rsidRPr="00D9348B">
              <w:t>Indirect N</w:t>
            </w:r>
            <w:r w:rsidRPr="00D9348B">
              <w:rPr>
                <w:vertAlign w:val="subscript"/>
              </w:rPr>
              <w:t>2</w:t>
            </w:r>
            <w:r w:rsidRPr="00D9348B">
              <w:t>O Emissions From Managed Soils – Nitrogen Leaching and Run-off</w:t>
            </w:r>
          </w:p>
        </w:tc>
        <w:tc>
          <w:tcPr>
            <w:tcW w:w="345" w:type="pct"/>
            <w:shd w:val="clear" w:color="auto" w:fill="auto"/>
            <w:noWrap/>
            <w:vAlign w:val="bottom"/>
          </w:tcPr>
          <w:p w14:paraId="40060AE2" w14:textId="77777777" w:rsidR="00643D10" w:rsidRPr="00D9348B" w:rsidRDefault="00643D10" w:rsidP="00DB330E">
            <w:pPr>
              <w:pStyle w:val="TableText"/>
              <w:jc w:val="center"/>
              <w:rPr>
                <w:rFonts w:cs="Arial"/>
                <w:color w:val="000000"/>
                <w:szCs w:val="16"/>
              </w:rPr>
            </w:pPr>
            <w:r w:rsidRPr="00D9348B">
              <w:rPr>
                <w:rFonts w:cs="Arial"/>
                <w:color w:val="000000"/>
                <w:szCs w:val="16"/>
              </w:rPr>
              <w:t>N</w:t>
            </w:r>
            <w:r w:rsidRPr="00D9348B">
              <w:rPr>
                <w:rFonts w:cs="Arial"/>
                <w:color w:val="000000"/>
                <w:szCs w:val="16"/>
                <w:vertAlign w:val="subscript"/>
              </w:rPr>
              <w:t>2</w:t>
            </w:r>
            <w:r w:rsidRPr="00D9348B">
              <w:rPr>
                <w:rFonts w:cs="Arial"/>
                <w:color w:val="000000"/>
                <w:szCs w:val="16"/>
              </w:rPr>
              <w:t>O</w:t>
            </w:r>
          </w:p>
        </w:tc>
        <w:tc>
          <w:tcPr>
            <w:tcW w:w="764" w:type="pct"/>
            <w:shd w:val="clear" w:color="auto" w:fill="auto"/>
            <w:noWrap/>
            <w:vAlign w:val="bottom"/>
          </w:tcPr>
          <w:p w14:paraId="42DC5DD6" w14:textId="77777777" w:rsidR="00643D10" w:rsidRPr="00D9348B" w:rsidRDefault="00643D10" w:rsidP="00DB330E">
            <w:pPr>
              <w:pStyle w:val="TableText"/>
              <w:rPr>
                <w:rFonts w:cs="Arial"/>
                <w:color w:val="000000"/>
                <w:szCs w:val="16"/>
              </w:rPr>
            </w:pPr>
            <w:r w:rsidRPr="00D9348B">
              <w:t>L1</w:t>
            </w:r>
          </w:p>
        </w:tc>
      </w:tr>
      <w:tr w:rsidR="00643D10" w:rsidRPr="00D9348B" w14:paraId="02D7A8D1" w14:textId="77777777" w:rsidTr="003E2C49">
        <w:tc>
          <w:tcPr>
            <w:tcW w:w="750" w:type="pct"/>
            <w:tcMar>
              <w:right w:w="85" w:type="dxa"/>
            </w:tcMar>
            <w:vAlign w:val="bottom"/>
          </w:tcPr>
          <w:p w14:paraId="395A9A69" w14:textId="77777777" w:rsidR="00643D10" w:rsidRPr="00D9348B" w:rsidRDefault="00643D10" w:rsidP="00DB330E">
            <w:pPr>
              <w:pStyle w:val="TableText"/>
              <w:rPr>
                <w:rFonts w:cs="Arial"/>
                <w:szCs w:val="16"/>
              </w:rPr>
            </w:pPr>
            <w:r w:rsidRPr="00D9348B">
              <w:t>3.G</w:t>
            </w:r>
          </w:p>
        </w:tc>
        <w:tc>
          <w:tcPr>
            <w:tcW w:w="3141" w:type="pct"/>
            <w:shd w:val="clear" w:color="auto" w:fill="auto"/>
            <w:vAlign w:val="bottom"/>
          </w:tcPr>
          <w:p w14:paraId="63E28FD9" w14:textId="77777777" w:rsidR="00643D10" w:rsidRPr="00D9348B" w:rsidRDefault="00643D10" w:rsidP="00DB330E">
            <w:pPr>
              <w:pStyle w:val="TableText"/>
              <w:rPr>
                <w:rFonts w:cs="Arial"/>
                <w:szCs w:val="16"/>
              </w:rPr>
            </w:pPr>
            <w:r w:rsidRPr="00D9348B">
              <w:t>Agriculture – Liming</w:t>
            </w:r>
          </w:p>
        </w:tc>
        <w:tc>
          <w:tcPr>
            <w:tcW w:w="345" w:type="pct"/>
            <w:shd w:val="clear" w:color="auto" w:fill="auto"/>
            <w:noWrap/>
            <w:vAlign w:val="bottom"/>
          </w:tcPr>
          <w:p w14:paraId="05B572A5" w14:textId="77777777" w:rsidR="00643D10" w:rsidRPr="00D9348B" w:rsidRDefault="00643D10" w:rsidP="00DB330E">
            <w:pPr>
              <w:pStyle w:val="TableText"/>
              <w:jc w:val="center"/>
              <w:rPr>
                <w:rFonts w:cs="Arial"/>
                <w:color w:val="000000"/>
                <w:szCs w:val="16"/>
              </w:rPr>
            </w:pPr>
            <w:r w:rsidRPr="00D9348B">
              <w:rPr>
                <w:rFonts w:cs="Arial"/>
                <w:color w:val="000000"/>
                <w:szCs w:val="16"/>
              </w:rPr>
              <w:t>CO</w:t>
            </w:r>
            <w:r w:rsidRPr="00D9348B">
              <w:rPr>
                <w:rFonts w:cs="Arial"/>
                <w:color w:val="000000"/>
                <w:szCs w:val="16"/>
                <w:vertAlign w:val="subscript"/>
              </w:rPr>
              <w:t>2</w:t>
            </w:r>
          </w:p>
        </w:tc>
        <w:tc>
          <w:tcPr>
            <w:tcW w:w="764" w:type="pct"/>
            <w:shd w:val="clear" w:color="auto" w:fill="auto"/>
            <w:noWrap/>
            <w:vAlign w:val="bottom"/>
          </w:tcPr>
          <w:p w14:paraId="1CFBCC41" w14:textId="77777777" w:rsidR="00643D10" w:rsidRPr="00D9348B" w:rsidRDefault="00643D10" w:rsidP="00DB330E">
            <w:pPr>
              <w:pStyle w:val="TableText"/>
              <w:rPr>
                <w:rFonts w:cs="Arial"/>
                <w:color w:val="000000"/>
                <w:szCs w:val="16"/>
              </w:rPr>
            </w:pPr>
            <w:r w:rsidRPr="00D9348B">
              <w:t>L1</w:t>
            </w:r>
          </w:p>
        </w:tc>
      </w:tr>
      <w:tr w:rsidR="00643D10" w:rsidRPr="00D9348B" w14:paraId="6966271D" w14:textId="77777777" w:rsidTr="003E2C49">
        <w:tc>
          <w:tcPr>
            <w:tcW w:w="750" w:type="pct"/>
            <w:tcMar>
              <w:right w:w="85" w:type="dxa"/>
            </w:tcMar>
            <w:vAlign w:val="bottom"/>
          </w:tcPr>
          <w:p w14:paraId="26740D2E" w14:textId="77777777" w:rsidR="00643D10" w:rsidRPr="00D9348B" w:rsidRDefault="00643D10" w:rsidP="00DB330E">
            <w:pPr>
              <w:pStyle w:val="TableText"/>
              <w:rPr>
                <w:rFonts w:cs="Arial"/>
                <w:szCs w:val="16"/>
              </w:rPr>
            </w:pPr>
            <w:r w:rsidRPr="00D9348B">
              <w:t>3.H</w:t>
            </w:r>
          </w:p>
        </w:tc>
        <w:tc>
          <w:tcPr>
            <w:tcW w:w="3141" w:type="pct"/>
            <w:shd w:val="clear" w:color="auto" w:fill="auto"/>
            <w:vAlign w:val="bottom"/>
          </w:tcPr>
          <w:p w14:paraId="4D2A5A7B" w14:textId="77777777" w:rsidR="00643D10" w:rsidRPr="00D9348B" w:rsidRDefault="00643D10" w:rsidP="00DB330E">
            <w:pPr>
              <w:pStyle w:val="TableText"/>
              <w:rPr>
                <w:rFonts w:cs="Arial"/>
                <w:szCs w:val="16"/>
              </w:rPr>
            </w:pPr>
            <w:r w:rsidRPr="00D9348B">
              <w:t>Agriculture – Urea Application</w:t>
            </w:r>
          </w:p>
        </w:tc>
        <w:tc>
          <w:tcPr>
            <w:tcW w:w="345" w:type="pct"/>
            <w:shd w:val="clear" w:color="auto" w:fill="auto"/>
            <w:noWrap/>
            <w:vAlign w:val="bottom"/>
          </w:tcPr>
          <w:p w14:paraId="6CDDF713" w14:textId="77777777" w:rsidR="00643D10" w:rsidRPr="00D9348B" w:rsidRDefault="00643D10" w:rsidP="00DB330E">
            <w:pPr>
              <w:pStyle w:val="TableText"/>
              <w:jc w:val="center"/>
              <w:rPr>
                <w:rFonts w:cs="Arial"/>
                <w:color w:val="000000"/>
                <w:szCs w:val="16"/>
              </w:rPr>
            </w:pPr>
            <w:r w:rsidRPr="00D9348B">
              <w:rPr>
                <w:rFonts w:cs="Arial"/>
                <w:color w:val="000000"/>
                <w:szCs w:val="16"/>
              </w:rPr>
              <w:t>CO</w:t>
            </w:r>
            <w:r w:rsidRPr="00D9348B">
              <w:rPr>
                <w:rFonts w:cs="Arial"/>
                <w:color w:val="000000"/>
                <w:szCs w:val="16"/>
                <w:vertAlign w:val="subscript"/>
              </w:rPr>
              <w:t>2</w:t>
            </w:r>
          </w:p>
        </w:tc>
        <w:tc>
          <w:tcPr>
            <w:tcW w:w="764" w:type="pct"/>
            <w:shd w:val="clear" w:color="auto" w:fill="auto"/>
            <w:noWrap/>
            <w:vAlign w:val="bottom"/>
          </w:tcPr>
          <w:p w14:paraId="1A5C7E4E" w14:textId="77777777" w:rsidR="00643D10" w:rsidRPr="00D9348B" w:rsidRDefault="00643D10" w:rsidP="00DB330E">
            <w:pPr>
              <w:pStyle w:val="TableText"/>
              <w:rPr>
                <w:rFonts w:cs="Arial"/>
                <w:color w:val="000000"/>
                <w:szCs w:val="16"/>
              </w:rPr>
            </w:pPr>
            <w:r w:rsidRPr="00D9348B">
              <w:t>L1, T1</w:t>
            </w:r>
          </w:p>
        </w:tc>
      </w:tr>
      <w:tr w:rsidR="00643D10" w:rsidRPr="00D9348B" w14:paraId="04A40204" w14:textId="77777777" w:rsidTr="003E2C49">
        <w:tc>
          <w:tcPr>
            <w:tcW w:w="750" w:type="pct"/>
            <w:tcMar>
              <w:right w:w="85" w:type="dxa"/>
            </w:tcMar>
            <w:vAlign w:val="bottom"/>
          </w:tcPr>
          <w:p w14:paraId="0EF766E5" w14:textId="77777777" w:rsidR="00643D10" w:rsidRPr="00D9348B" w:rsidRDefault="00643D10" w:rsidP="00DB330E">
            <w:pPr>
              <w:pStyle w:val="TableText"/>
              <w:rPr>
                <w:rFonts w:cs="Arial"/>
                <w:szCs w:val="16"/>
              </w:rPr>
            </w:pPr>
            <w:r w:rsidRPr="00D9348B">
              <w:rPr>
                <w:b/>
              </w:rPr>
              <w:t>LULUCF</w:t>
            </w:r>
          </w:p>
        </w:tc>
        <w:tc>
          <w:tcPr>
            <w:tcW w:w="3141" w:type="pct"/>
            <w:shd w:val="clear" w:color="auto" w:fill="auto"/>
            <w:vAlign w:val="bottom"/>
          </w:tcPr>
          <w:p w14:paraId="44330D1F" w14:textId="77777777" w:rsidR="00643D10" w:rsidRPr="00D9348B" w:rsidRDefault="00643D10" w:rsidP="00DB330E">
            <w:pPr>
              <w:pStyle w:val="TableText"/>
              <w:rPr>
                <w:rFonts w:cs="Arial"/>
                <w:szCs w:val="16"/>
              </w:rPr>
            </w:pPr>
          </w:p>
        </w:tc>
        <w:tc>
          <w:tcPr>
            <w:tcW w:w="345" w:type="pct"/>
            <w:shd w:val="clear" w:color="auto" w:fill="auto"/>
            <w:noWrap/>
            <w:vAlign w:val="bottom"/>
          </w:tcPr>
          <w:p w14:paraId="758B455C" w14:textId="77777777" w:rsidR="00643D10" w:rsidRPr="00D9348B" w:rsidRDefault="00643D10" w:rsidP="00DB330E">
            <w:pPr>
              <w:pStyle w:val="TableText"/>
              <w:jc w:val="center"/>
              <w:rPr>
                <w:rFonts w:cs="Arial"/>
                <w:color w:val="000000"/>
                <w:szCs w:val="16"/>
              </w:rPr>
            </w:pPr>
          </w:p>
        </w:tc>
        <w:tc>
          <w:tcPr>
            <w:tcW w:w="764" w:type="pct"/>
            <w:shd w:val="clear" w:color="auto" w:fill="auto"/>
            <w:noWrap/>
            <w:vAlign w:val="bottom"/>
          </w:tcPr>
          <w:p w14:paraId="7AF0D839" w14:textId="77777777" w:rsidR="00643D10" w:rsidRPr="00D9348B" w:rsidRDefault="00643D10" w:rsidP="00DB330E">
            <w:pPr>
              <w:pStyle w:val="TableText"/>
              <w:rPr>
                <w:rFonts w:cs="Arial"/>
                <w:color w:val="000000"/>
                <w:szCs w:val="16"/>
              </w:rPr>
            </w:pPr>
          </w:p>
        </w:tc>
      </w:tr>
      <w:tr w:rsidR="00643D10" w:rsidRPr="00D9348B" w14:paraId="60897734" w14:textId="77777777" w:rsidTr="003E2C49">
        <w:tc>
          <w:tcPr>
            <w:tcW w:w="750" w:type="pct"/>
            <w:tcMar>
              <w:right w:w="85" w:type="dxa"/>
            </w:tcMar>
            <w:vAlign w:val="bottom"/>
          </w:tcPr>
          <w:p w14:paraId="22EDF7F2" w14:textId="77777777" w:rsidR="00643D10" w:rsidRPr="00D9348B" w:rsidRDefault="00643D10" w:rsidP="00DB330E">
            <w:pPr>
              <w:pStyle w:val="TableText"/>
            </w:pPr>
            <w:r w:rsidRPr="00D9348B">
              <w:t>4.A.1</w:t>
            </w:r>
          </w:p>
        </w:tc>
        <w:tc>
          <w:tcPr>
            <w:tcW w:w="3141" w:type="pct"/>
            <w:shd w:val="clear" w:color="auto" w:fill="auto"/>
            <w:vAlign w:val="bottom"/>
          </w:tcPr>
          <w:p w14:paraId="1E4DC400" w14:textId="77777777" w:rsidR="00643D10" w:rsidRPr="00D9348B" w:rsidRDefault="00643D10" w:rsidP="00DB330E">
            <w:pPr>
              <w:pStyle w:val="TableText"/>
              <w:rPr>
                <w:rFonts w:cs="Arial"/>
                <w:szCs w:val="16"/>
              </w:rPr>
            </w:pPr>
            <w:r w:rsidRPr="00D9348B">
              <w:t>Forest Land – Forest Land Remaining Forest Land</w:t>
            </w:r>
          </w:p>
        </w:tc>
        <w:tc>
          <w:tcPr>
            <w:tcW w:w="345" w:type="pct"/>
            <w:shd w:val="clear" w:color="auto" w:fill="auto"/>
            <w:noWrap/>
            <w:vAlign w:val="bottom"/>
          </w:tcPr>
          <w:p w14:paraId="2864F99C" w14:textId="77777777" w:rsidR="00643D10" w:rsidRPr="00D9348B" w:rsidRDefault="00643D10" w:rsidP="00DB330E">
            <w:pPr>
              <w:pStyle w:val="TableText"/>
              <w:jc w:val="center"/>
              <w:rPr>
                <w:rFonts w:cs="Arial"/>
                <w:color w:val="000000"/>
                <w:szCs w:val="16"/>
              </w:rPr>
            </w:pPr>
            <w:r w:rsidRPr="00D9348B">
              <w:rPr>
                <w:rFonts w:cs="Arial"/>
                <w:color w:val="000000"/>
                <w:szCs w:val="16"/>
              </w:rPr>
              <w:t>CO</w:t>
            </w:r>
            <w:r w:rsidRPr="00D9348B">
              <w:rPr>
                <w:rFonts w:cs="Arial"/>
                <w:color w:val="000000"/>
                <w:szCs w:val="16"/>
                <w:vertAlign w:val="subscript"/>
              </w:rPr>
              <w:t>2</w:t>
            </w:r>
          </w:p>
        </w:tc>
        <w:tc>
          <w:tcPr>
            <w:tcW w:w="764" w:type="pct"/>
            <w:shd w:val="clear" w:color="auto" w:fill="auto"/>
            <w:noWrap/>
            <w:vAlign w:val="bottom"/>
          </w:tcPr>
          <w:p w14:paraId="44C8A5B2" w14:textId="77777777" w:rsidR="00643D10" w:rsidRPr="00D9348B" w:rsidRDefault="00643D10" w:rsidP="00DB330E">
            <w:pPr>
              <w:pStyle w:val="TableText"/>
              <w:rPr>
                <w:rFonts w:cs="Arial"/>
                <w:color w:val="000000"/>
                <w:szCs w:val="16"/>
              </w:rPr>
            </w:pPr>
            <w:r w:rsidRPr="00D9348B">
              <w:t>L1, T1</w:t>
            </w:r>
          </w:p>
        </w:tc>
      </w:tr>
      <w:tr w:rsidR="00643D10" w:rsidRPr="00D9348B" w14:paraId="097747CF" w14:textId="77777777" w:rsidTr="003E2C49">
        <w:tc>
          <w:tcPr>
            <w:tcW w:w="750" w:type="pct"/>
            <w:tcMar>
              <w:right w:w="85" w:type="dxa"/>
            </w:tcMar>
            <w:vAlign w:val="bottom"/>
          </w:tcPr>
          <w:p w14:paraId="14AEE20E" w14:textId="77777777" w:rsidR="00643D10" w:rsidRPr="00D9348B" w:rsidRDefault="00643D10" w:rsidP="00DB330E">
            <w:pPr>
              <w:pStyle w:val="TableText"/>
            </w:pPr>
            <w:r w:rsidRPr="00D9348B">
              <w:t>4.A.2</w:t>
            </w:r>
          </w:p>
        </w:tc>
        <w:tc>
          <w:tcPr>
            <w:tcW w:w="3141" w:type="pct"/>
            <w:shd w:val="clear" w:color="auto" w:fill="auto"/>
            <w:vAlign w:val="bottom"/>
          </w:tcPr>
          <w:p w14:paraId="1422F699" w14:textId="77777777" w:rsidR="00643D10" w:rsidRPr="00D9348B" w:rsidRDefault="00643D10" w:rsidP="00DB330E">
            <w:pPr>
              <w:pStyle w:val="TableText"/>
            </w:pPr>
            <w:r w:rsidRPr="00D9348B">
              <w:t>Forest Land – Land Converted to Forest Land</w:t>
            </w:r>
          </w:p>
        </w:tc>
        <w:tc>
          <w:tcPr>
            <w:tcW w:w="345" w:type="pct"/>
            <w:shd w:val="clear" w:color="auto" w:fill="auto"/>
            <w:noWrap/>
            <w:vAlign w:val="bottom"/>
          </w:tcPr>
          <w:p w14:paraId="1C5B1850" w14:textId="77777777" w:rsidR="00643D10" w:rsidRPr="00D9348B" w:rsidRDefault="00643D10" w:rsidP="00DB330E">
            <w:pPr>
              <w:pStyle w:val="TableText"/>
              <w:jc w:val="center"/>
            </w:pPr>
            <w:r w:rsidRPr="00D9348B">
              <w:rPr>
                <w:rFonts w:cs="Arial"/>
                <w:color w:val="000000"/>
                <w:szCs w:val="16"/>
              </w:rPr>
              <w:t>CO</w:t>
            </w:r>
            <w:r w:rsidRPr="00D9348B">
              <w:rPr>
                <w:rFonts w:cs="Arial"/>
                <w:color w:val="000000"/>
                <w:szCs w:val="16"/>
                <w:vertAlign w:val="subscript"/>
              </w:rPr>
              <w:t>2</w:t>
            </w:r>
          </w:p>
        </w:tc>
        <w:tc>
          <w:tcPr>
            <w:tcW w:w="764" w:type="pct"/>
            <w:shd w:val="clear" w:color="auto" w:fill="auto"/>
            <w:noWrap/>
            <w:vAlign w:val="bottom"/>
          </w:tcPr>
          <w:p w14:paraId="6DC06889" w14:textId="77777777" w:rsidR="00643D10" w:rsidRPr="00D9348B" w:rsidRDefault="00643D10" w:rsidP="00DB330E">
            <w:pPr>
              <w:pStyle w:val="TableText"/>
            </w:pPr>
            <w:r w:rsidRPr="00D9348B">
              <w:t>L1, T1</w:t>
            </w:r>
          </w:p>
        </w:tc>
      </w:tr>
      <w:tr w:rsidR="00643D10" w:rsidRPr="00D9348B" w14:paraId="0D83EC56" w14:textId="77777777" w:rsidTr="003E2C49">
        <w:tc>
          <w:tcPr>
            <w:tcW w:w="750" w:type="pct"/>
            <w:tcMar>
              <w:right w:w="85" w:type="dxa"/>
            </w:tcMar>
            <w:vAlign w:val="bottom"/>
          </w:tcPr>
          <w:p w14:paraId="400A8360" w14:textId="77777777" w:rsidR="00643D10" w:rsidRPr="00D9348B" w:rsidRDefault="00643D10" w:rsidP="00DB330E">
            <w:pPr>
              <w:pStyle w:val="TableText"/>
              <w:rPr>
                <w:rFonts w:cs="Arial"/>
                <w:szCs w:val="16"/>
              </w:rPr>
            </w:pPr>
            <w:r w:rsidRPr="00D9348B">
              <w:t>4.A.2</w:t>
            </w:r>
          </w:p>
        </w:tc>
        <w:tc>
          <w:tcPr>
            <w:tcW w:w="3141" w:type="pct"/>
            <w:shd w:val="clear" w:color="auto" w:fill="auto"/>
            <w:vAlign w:val="bottom"/>
          </w:tcPr>
          <w:p w14:paraId="6E5ED609" w14:textId="77777777" w:rsidR="00643D10" w:rsidRPr="00D9348B" w:rsidRDefault="00643D10" w:rsidP="00DB330E">
            <w:pPr>
              <w:pStyle w:val="TableText"/>
              <w:rPr>
                <w:rFonts w:cs="Arial"/>
                <w:szCs w:val="16"/>
              </w:rPr>
            </w:pPr>
            <w:r w:rsidRPr="00D9348B">
              <w:t>Forest Land – Land Converted to Forest Land</w:t>
            </w:r>
          </w:p>
        </w:tc>
        <w:tc>
          <w:tcPr>
            <w:tcW w:w="345" w:type="pct"/>
            <w:shd w:val="clear" w:color="auto" w:fill="auto"/>
            <w:noWrap/>
            <w:vAlign w:val="bottom"/>
          </w:tcPr>
          <w:p w14:paraId="47460125" w14:textId="77777777" w:rsidR="00643D10" w:rsidRPr="00D9348B" w:rsidRDefault="00643D10" w:rsidP="00DB330E">
            <w:pPr>
              <w:pStyle w:val="TableText"/>
              <w:jc w:val="center"/>
              <w:rPr>
                <w:rFonts w:cs="Arial"/>
                <w:szCs w:val="16"/>
              </w:rPr>
            </w:pPr>
            <w:r w:rsidRPr="00D9348B">
              <w:rPr>
                <w:rFonts w:cs="Arial"/>
                <w:color w:val="000000"/>
                <w:szCs w:val="16"/>
              </w:rPr>
              <w:t>N</w:t>
            </w:r>
            <w:r w:rsidRPr="00D9348B">
              <w:rPr>
                <w:rFonts w:cs="Arial"/>
                <w:color w:val="000000"/>
                <w:szCs w:val="16"/>
                <w:vertAlign w:val="subscript"/>
              </w:rPr>
              <w:t>2</w:t>
            </w:r>
            <w:r w:rsidRPr="00D9348B">
              <w:rPr>
                <w:rFonts w:cs="Arial"/>
                <w:color w:val="000000"/>
                <w:szCs w:val="16"/>
              </w:rPr>
              <w:t>O</w:t>
            </w:r>
          </w:p>
        </w:tc>
        <w:tc>
          <w:tcPr>
            <w:tcW w:w="764" w:type="pct"/>
            <w:shd w:val="clear" w:color="auto" w:fill="auto"/>
            <w:noWrap/>
            <w:vAlign w:val="bottom"/>
          </w:tcPr>
          <w:p w14:paraId="63A6B53E" w14:textId="77777777" w:rsidR="00643D10" w:rsidRPr="00D9348B" w:rsidRDefault="00643D10" w:rsidP="00DB330E">
            <w:pPr>
              <w:pStyle w:val="TableText"/>
              <w:rPr>
                <w:rFonts w:cs="Arial"/>
                <w:szCs w:val="16"/>
              </w:rPr>
            </w:pPr>
            <w:r w:rsidRPr="00D9348B">
              <w:t>T1</w:t>
            </w:r>
          </w:p>
        </w:tc>
      </w:tr>
      <w:tr w:rsidR="00643D10" w:rsidRPr="00D9348B" w14:paraId="0C43E668" w14:textId="77777777" w:rsidTr="003E2C49">
        <w:tc>
          <w:tcPr>
            <w:tcW w:w="750" w:type="pct"/>
            <w:tcMar>
              <w:right w:w="85" w:type="dxa"/>
            </w:tcMar>
            <w:vAlign w:val="bottom"/>
          </w:tcPr>
          <w:p w14:paraId="190E466F" w14:textId="77777777" w:rsidR="00643D10" w:rsidRPr="00D9348B" w:rsidRDefault="00643D10" w:rsidP="00DB330E">
            <w:pPr>
              <w:pStyle w:val="TableText"/>
              <w:rPr>
                <w:rFonts w:cs="Arial"/>
                <w:szCs w:val="16"/>
              </w:rPr>
            </w:pPr>
            <w:r w:rsidRPr="00D9348B">
              <w:t>4.B.1</w:t>
            </w:r>
          </w:p>
        </w:tc>
        <w:tc>
          <w:tcPr>
            <w:tcW w:w="3141" w:type="pct"/>
            <w:shd w:val="clear" w:color="auto" w:fill="auto"/>
            <w:vAlign w:val="bottom"/>
          </w:tcPr>
          <w:p w14:paraId="53B0C3B9" w14:textId="77777777" w:rsidR="00643D10" w:rsidRPr="00D9348B" w:rsidRDefault="00643D10" w:rsidP="00DB330E">
            <w:pPr>
              <w:pStyle w:val="TableText"/>
              <w:rPr>
                <w:rFonts w:cs="Arial"/>
                <w:szCs w:val="16"/>
              </w:rPr>
            </w:pPr>
            <w:r w:rsidRPr="00D9348B">
              <w:t>Cropland – Cropland Remaining Cropland</w:t>
            </w:r>
          </w:p>
        </w:tc>
        <w:tc>
          <w:tcPr>
            <w:tcW w:w="345" w:type="pct"/>
            <w:shd w:val="clear" w:color="auto" w:fill="auto"/>
            <w:noWrap/>
            <w:vAlign w:val="bottom"/>
          </w:tcPr>
          <w:p w14:paraId="3F518146" w14:textId="77777777" w:rsidR="00643D10" w:rsidRPr="00D9348B" w:rsidRDefault="00643D10" w:rsidP="00DB330E">
            <w:pPr>
              <w:pStyle w:val="TableText"/>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764" w:type="pct"/>
            <w:shd w:val="clear" w:color="auto" w:fill="auto"/>
            <w:noWrap/>
            <w:vAlign w:val="bottom"/>
          </w:tcPr>
          <w:p w14:paraId="34D937F1" w14:textId="77777777" w:rsidR="00643D10" w:rsidRPr="00D9348B" w:rsidRDefault="00643D10" w:rsidP="00DB330E">
            <w:pPr>
              <w:pStyle w:val="TableText"/>
              <w:rPr>
                <w:rFonts w:cs="Arial"/>
                <w:szCs w:val="16"/>
              </w:rPr>
            </w:pPr>
            <w:r w:rsidRPr="00D9348B">
              <w:t>L1, T1</w:t>
            </w:r>
          </w:p>
        </w:tc>
      </w:tr>
      <w:tr w:rsidR="00643D10" w:rsidRPr="00D9348B" w14:paraId="0253118F" w14:textId="77777777" w:rsidTr="003E2C49">
        <w:tc>
          <w:tcPr>
            <w:tcW w:w="750" w:type="pct"/>
            <w:tcMar>
              <w:right w:w="85" w:type="dxa"/>
            </w:tcMar>
            <w:vAlign w:val="bottom"/>
          </w:tcPr>
          <w:p w14:paraId="23EACCB2" w14:textId="77777777" w:rsidR="00643D10" w:rsidRPr="00D9348B" w:rsidRDefault="00643D10" w:rsidP="00DB330E">
            <w:pPr>
              <w:pStyle w:val="TableText"/>
              <w:rPr>
                <w:rFonts w:cs="Arial"/>
                <w:color w:val="000000"/>
                <w:szCs w:val="16"/>
              </w:rPr>
            </w:pPr>
            <w:r w:rsidRPr="00D9348B">
              <w:t>4.C.1</w:t>
            </w:r>
          </w:p>
        </w:tc>
        <w:tc>
          <w:tcPr>
            <w:tcW w:w="3141" w:type="pct"/>
            <w:shd w:val="clear" w:color="auto" w:fill="auto"/>
            <w:vAlign w:val="bottom"/>
          </w:tcPr>
          <w:p w14:paraId="01BB82E3" w14:textId="77777777" w:rsidR="00643D10" w:rsidRPr="00D9348B" w:rsidRDefault="00643D10" w:rsidP="00DB330E">
            <w:pPr>
              <w:pStyle w:val="TableText"/>
              <w:rPr>
                <w:rFonts w:cs="Arial"/>
                <w:color w:val="000000"/>
                <w:szCs w:val="16"/>
              </w:rPr>
            </w:pPr>
            <w:r w:rsidRPr="00D9348B">
              <w:t>Grassland – Grassland Remaining Grassland</w:t>
            </w:r>
          </w:p>
        </w:tc>
        <w:tc>
          <w:tcPr>
            <w:tcW w:w="345" w:type="pct"/>
            <w:shd w:val="clear" w:color="auto" w:fill="auto"/>
            <w:noWrap/>
            <w:vAlign w:val="bottom"/>
          </w:tcPr>
          <w:p w14:paraId="1198F71D" w14:textId="77777777" w:rsidR="00643D10" w:rsidRPr="00D9348B" w:rsidRDefault="00643D10" w:rsidP="00DB330E">
            <w:pPr>
              <w:pStyle w:val="TableText"/>
              <w:jc w:val="center"/>
              <w:rPr>
                <w:rFonts w:cs="Arial"/>
                <w:color w:val="000000"/>
                <w:szCs w:val="16"/>
              </w:rPr>
            </w:pPr>
            <w:r w:rsidRPr="00D9348B">
              <w:rPr>
                <w:rFonts w:cs="Arial"/>
                <w:color w:val="000000"/>
                <w:szCs w:val="16"/>
              </w:rPr>
              <w:t>CO</w:t>
            </w:r>
            <w:r w:rsidRPr="00D9348B">
              <w:rPr>
                <w:rFonts w:cs="Arial"/>
                <w:color w:val="000000"/>
                <w:szCs w:val="16"/>
                <w:vertAlign w:val="subscript"/>
              </w:rPr>
              <w:t>2</w:t>
            </w:r>
          </w:p>
        </w:tc>
        <w:tc>
          <w:tcPr>
            <w:tcW w:w="764" w:type="pct"/>
            <w:shd w:val="clear" w:color="auto" w:fill="auto"/>
            <w:noWrap/>
            <w:vAlign w:val="bottom"/>
          </w:tcPr>
          <w:p w14:paraId="344CD34D" w14:textId="77777777" w:rsidR="00643D10" w:rsidRPr="00D9348B" w:rsidRDefault="00643D10" w:rsidP="00DB330E">
            <w:pPr>
              <w:pStyle w:val="TableText"/>
              <w:rPr>
                <w:rFonts w:cs="Arial"/>
                <w:color w:val="000000"/>
                <w:szCs w:val="16"/>
              </w:rPr>
            </w:pPr>
            <w:r w:rsidRPr="00D9348B">
              <w:t>L1, T1</w:t>
            </w:r>
          </w:p>
        </w:tc>
      </w:tr>
      <w:tr w:rsidR="00643D10" w:rsidRPr="00D9348B" w14:paraId="5BF23994" w14:textId="77777777" w:rsidTr="003E2C49">
        <w:tc>
          <w:tcPr>
            <w:tcW w:w="750" w:type="pct"/>
            <w:tcMar>
              <w:right w:w="85" w:type="dxa"/>
            </w:tcMar>
            <w:vAlign w:val="bottom"/>
          </w:tcPr>
          <w:p w14:paraId="47D55398" w14:textId="77777777" w:rsidR="00643D10" w:rsidRPr="00D9348B" w:rsidRDefault="00643D10" w:rsidP="00DB330E">
            <w:pPr>
              <w:pStyle w:val="TableText"/>
              <w:rPr>
                <w:rFonts w:cs="Arial"/>
                <w:color w:val="000000"/>
                <w:szCs w:val="16"/>
              </w:rPr>
            </w:pPr>
            <w:r w:rsidRPr="00D9348B">
              <w:t>4.C.2</w:t>
            </w:r>
          </w:p>
        </w:tc>
        <w:tc>
          <w:tcPr>
            <w:tcW w:w="3141" w:type="pct"/>
            <w:shd w:val="clear" w:color="auto" w:fill="auto"/>
            <w:vAlign w:val="bottom"/>
          </w:tcPr>
          <w:p w14:paraId="5DF4D459" w14:textId="77777777" w:rsidR="00643D10" w:rsidRPr="00D9348B" w:rsidRDefault="00643D10" w:rsidP="00DB330E">
            <w:pPr>
              <w:pStyle w:val="TableText"/>
              <w:rPr>
                <w:rFonts w:cs="Arial"/>
                <w:color w:val="000000"/>
                <w:szCs w:val="16"/>
              </w:rPr>
            </w:pPr>
            <w:r w:rsidRPr="00D9348B">
              <w:t>Grassland – Land Converted to Grassland</w:t>
            </w:r>
          </w:p>
        </w:tc>
        <w:tc>
          <w:tcPr>
            <w:tcW w:w="345" w:type="pct"/>
            <w:shd w:val="clear" w:color="auto" w:fill="auto"/>
            <w:noWrap/>
            <w:vAlign w:val="bottom"/>
          </w:tcPr>
          <w:p w14:paraId="14833AEB" w14:textId="77777777" w:rsidR="00643D10" w:rsidRPr="00D9348B" w:rsidRDefault="00643D10" w:rsidP="00DB330E">
            <w:pPr>
              <w:pStyle w:val="TableText"/>
              <w:jc w:val="center"/>
              <w:rPr>
                <w:rFonts w:cs="Arial"/>
                <w:color w:val="000000"/>
                <w:szCs w:val="16"/>
              </w:rPr>
            </w:pPr>
            <w:r w:rsidRPr="00D9348B">
              <w:rPr>
                <w:rFonts w:cs="Arial"/>
                <w:color w:val="000000"/>
                <w:szCs w:val="16"/>
              </w:rPr>
              <w:t>CO</w:t>
            </w:r>
            <w:r w:rsidRPr="00D9348B">
              <w:rPr>
                <w:rFonts w:cs="Arial"/>
                <w:color w:val="000000"/>
                <w:szCs w:val="16"/>
                <w:vertAlign w:val="subscript"/>
              </w:rPr>
              <w:t>2</w:t>
            </w:r>
          </w:p>
        </w:tc>
        <w:tc>
          <w:tcPr>
            <w:tcW w:w="764" w:type="pct"/>
            <w:shd w:val="clear" w:color="auto" w:fill="auto"/>
            <w:noWrap/>
            <w:vAlign w:val="bottom"/>
          </w:tcPr>
          <w:p w14:paraId="09780205" w14:textId="77777777" w:rsidR="00643D10" w:rsidRPr="00D9348B" w:rsidRDefault="00643D10" w:rsidP="00DB330E">
            <w:pPr>
              <w:pStyle w:val="TableText"/>
              <w:rPr>
                <w:rFonts w:cs="Arial"/>
                <w:color w:val="000000"/>
                <w:szCs w:val="16"/>
              </w:rPr>
            </w:pPr>
            <w:r w:rsidRPr="00D9348B">
              <w:t>L1, T1</w:t>
            </w:r>
          </w:p>
        </w:tc>
      </w:tr>
      <w:tr w:rsidR="00643D10" w:rsidRPr="00D9348B" w14:paraId="79963DFB" w14:textId="77777777" w:rsidTr="003E2C49">
        <w:tc>
          <w:tcPr>
            <w:tcW w:w="750" w:type="pct"/>
            <w:tcMar>
              <w:right w:w="85" w:type="dxa"/>
            </w:tcMar>
            <w:vAlign w:val="bottom"/>
          </w:tcPr>
          <w:p w14:paraId="7697D2B5" w14:textId="77777777" w:rsidR="00643D10" w:rsidRPr="00D9348B" w:rsidRDefault="00643D10" w:rsidP="00DB330E">
            <w:pPr>
              <w:pStyle w:val="TableText"/>
              <w:rPr>
                <w:rFonts w:cs="Arial"/>
                <w:color w:val="000000"/>
                <w:szCs w:val="16"/>
              </w:rPr>
            </w:pPr>
            <w:r w:rsidRPr="00D9348B">
              <w:t>4.G</w:t>
            </w:r>
          </w:p>
        </w:tc>
        <w:tc>
          <w:tcPr>
            <w:tcW w:w="3141" w:type="pct"/>
            <w:shd w:val="clear" w:color="auto" w:fill="auto"/>
            <w:vAlign w:val="bottom"/>
          </w:tcPr>
          <w:p w14:paraId="397B51D4" w14:textId="77777777" w:rsidR="00643D10" w:rsidRPr="00D9348B" w:rsidRDefault="00643D10" w:rsidP="00DB330E">
            <w:pPr>
              <w:pStyle w:val="TableText"/>
              <w:rPr>
                <w:rFonts w:cs="Arial"/>
                <w:color w:val="000000"/>
                <w:szCs w:val="16"/>
              </w:rPr>
            </w:pPr>
            <w:r w:rsidRPr="00D9348B">
              <w:t>Land Use, Land-Use Change and Forestry – Harvested Wood Products</w:t>
            </w:r>
          </w:p>
        </w:tc>
        <w:tc>
          <w:tcPr>
            <w:tcW w:w="345" w:type="pct"/>
            <w:shd w:val="clear" w:color="auto" w:fill="auto"/>
            <w:noWrap/>
            <w:vAlign w:val="bottom"/>
          </w:tcPr>
          <w:p w14:paraId="4AFF1765" w14:textId="77777777" w:rsidR="00643D10" w:rsidRPr="00D9348B" w:rsidRDefault="00643D10" w:rsidP="00DB330E">
            <w:pPr>
              <w:pStyle w:val="TableText"/>
              <w:jc w:val="center"/>
              <w:rPr>
                <w:rFonts w:cs="Arial"/>
                <w:color w:val="000000"/>
                <w:szCs w:val="16"/>
              </w:rPr>
            </w:pPr>
            <w:r w:rsidRPr="00D9348B">
              <w:rPr>
                <w:rFonts w:cs="Arial"/>
                <w:color w:val="000000"/>
                <w:szCs w:val="16"/>
              </w:rPr>
              <w:t>CO</w:t>
            </w:r>
            <w:r w:rsidRPr="00D9348B">
              <w:rPr>
                <w:rFonts w:cs="Arial"/>
                <w:color w:val="000000"/>
                <w:szCs w:val="16"/>
                <w:vertAlign w:val="subscript"/>
              </w:rPr>
              <w:t>2</w:t>
            </w:r>
          </w:p>
        </w:tc>
        <w:tc>
          <w:tcPr>
            <w:tcW w:w="764" w:type="pct"/>
            <w:shd w:val="clear" w:color="auto" w:fill="auto"/>
            <w:noWrap/>
            <w:vAlign w:val="bottom"/>
          </w:tcPr>
          <w:p w14:paraId="37314E51" w14:textId="77777777" w:rsidR="00643D10" w:rsidRPr="00D9348B" w:rsidRDefault="00643D10" w:rsidP="00DB330E">
            <w:pPr>
              <w:pStyle w:val="TableText"/>
              <w:rPr>
                <w:rFonts w:cs="Arial"/>
                <w:color w:val="000000"/>
                <w:szCs w:val="16"/>
              </w:rPr>
            </w:pPr>
            <w:r w:rsidRPr="00D9348B">
              <w:t>L1, T1</w:t>
            </w:r>
          </w:p>
        </w:tc>
      </w:tr>
      <w:tr w:rsidR="00643D10" w:rsidRPr="00D9348B" w14:paraId="640B61EF" w14:textId="77777777" w:rsidTr="003E2C49">
        <w:tc>
          <w:tcPr>
            <w:tcW w:w="750" w:type="pct"/>
            <w:tcMar>
              <w:right w:w="85" w:type="dxa"/>
            </w:tcMar>
            <w:vAlign w:val="bottom"/>
          </w:tcPr>
          <w:p w14:paraId="13D4CE1B" w14:textId="77777777" w:rsidR="00643D10" w:rsidRPr="00D9348B" w:rsidRDefault="00643D10" w:rsidP="00DB330E">
            <w:pPr>
              <w:pStyle w:val="TableText"/>
              <w:rPr>
                <w:rFonts w:cs="Arial"/>
                <w:color w:val="000000"/>
                <w:szCs w:val="16"/>
              </w:rPr>
            </w:pPr>
            <w:r w:rsidRPr="00D9348B">
              <w:rPr>
                <w:b/>
              </w:rPr>
              <w:t>Waste</w:t>
            </w:r>
          </w:p>
        </w:tc>
        <w:tc>
          <w:tcPr>
            <w:tcW w:w="3141" w:type="pct"/>
            <w:shd w:val="clear" w:color="auto" w:fill="auto"/>
            <w:vAlign w:val="bottom"/>
          </w:tcPr>
          <w:p w14:paraId="65F3A877" w14:textId="77777777" w:rsidR="00643D10" w:rsidRPr="00D9348B" w:rsidRDefault="00643D10" w:rsidP="00DB330E">
            <w:pPr>
              <w:pStyle w:val="TableText"/>
              <w:rPr>
                <w:rFonts w:cs="Arial"/>
                <w:color w:val="000000"/>
                <w:szCs w:val="16"/>
              </w:rPr>
            </w:pPr>
          </w:p>
        </w:tc>
        <w:tc>
          <w:tcPr>
            <w:tcW w:w="345" w:type="pct"/>
            <w:shd w:val="clear" w:color="auto" w:fill="auto"/>
            <w:noWrap/>
            <w:vAlign w:val="bottom"/>
          </w:tcPr>
          <w:p w14:paraId="4F92C215" w14:textId="77777777" w:rsidR="00643D10" w:rsidRPr="00D9348B" w:rsidRDefault="00643D10" w:rsidP="00DB330E">
            <w:pPr>
              <w:pStyle w:val="TableText"/>
              <w:jc w:val="center"/>
              <w:rPr>
                <w:rFonts w:cs="Arial"/>
                <w:color w:val="000000"/>
                <w:szCs w:val="16"/>
              </w:rPr>
            </w:pPr>
          </w:p>
        </w:tc>
        <w:tc>
          <w:tcPr>
            <w:tcW w:w="764" w:type="pct"/>
            <w:shd w:val="clear" w:color="auto" w:fill="auto"/>
            <w:noWrap/>
            <w:vAlign w:val="bottom"/>
          </w:tcPr>
          <w:p w14:paraId="4C2C8C33" w14:textId="77777777" w:rsidR="00643D10" w:rsidRPr="00D9348B" w:rsidRDefault="00643D10" w:rsidP="00DB330E">
            <w:pPr>
              <w:pStyle w:val="TableText"/>
              <w:rPr>
                <w:rFonts w:cs="Arial"/>
                <w:color w:val="000000"/>
                <w:szCs w:val="16"/>
              </w:rPr>
            </w:pPr>
          </w:p>
        </w:tc>
      </w:tr>
      <w:tr w:rsidR="00643D10" w:rsidRPr="00D9348B" w14:paraId="2C780B95" w14:textId="77777777" w:rsidTr="003E2C49">
        <w:tc>
          <w:tcPr>
            <w:tcW w:w="750" w:type="pct"/>
            <w:tcMar>
              <w:right w:w="85" w:type="dxa"/>
            </w:tcMar>
            <w:vAlign w:val="bottom"/>
          </w:tcPr>
          <w:p w14:paraId="23B8ECC3" w14:textId="77777777" w:rsidR="00643D10" w:rsidRPr="00D9348B" w:rsidRDefault="00643D10" w:rsidP="00DB330E">
            <w:pPr>
              <w:pStyle w:val="TableText"/>
              <w:rPr>
                <w:rFonts w:cs="Arial"/>
                <w:color w:val="000000"/>
                <w:szCs w:val="16"/>
              </w:rPr>
            </w:pPr>
            <w:r w:rsidRPr="00D9348B">
              <w:t>5.A</w:t>
            </w:r>
          </w:p>
        </w:tc>
        <w:tc>
          <w:tcPr>
            <w:tcW w:w="3141" w:type="pct"/>
            <w:shd w:val="clear" w:color="auto" w:fill="auto"/>
            <w:vAlign w:val="bottom"/>
          </w:tcPr>
          <w:p w14:paraId="085FADA4" w14:textId="77777777" w:rsidR="00643D10" w:rsidRPr="00D9348B" w:rsidRDefault="00643D10" w:rsidP="00DB330E">
            <w:pPr>
              <w:pStyle w:val="TableText"/>
              <w:rPr>
                <w:rFonts w:cs="Arial"/>
                <w:color w:val="000000"/>
                <w:szCs w:val="16"/>
              </w:rPr>
            </w:pPr>
            <w:r w:rsidRPr="00D9348B">
              <w:t>Waste – Solid Waste Disposal</w:t>
            </w:r>
          </w:p>
        </w:tc>
        <w:tc>
          <w:tcPr>
            <w:tcW w:w="345" w:type="pct"/>
            <w:shd w:val="clear" w:color="auto" w:fill="auto"/>
            <w:noWrap/>
            <w:vAlign w:val="bottom"/>
          </w:tcPr>
          <w:p w14:paraId="599513EA" w14:textId="77777777" w:rsidR="00643D10" w:rsidRPr="00D9348B" w:rsidRDefault="00643D10" w:rsidP="00DB330E">
            <w:pPr>
              <w:pStyle w:val="TableText"/>
              <w:jc w:val="center"/>
              <w:rPr>
                <w:rFonts w:cs="Arial"/>
                <w:color w:val="000000"/>
                <w:szCs w:val="16"/>
              </w:rPr>
            </w:pPr>
            <w:r w:rsidRPr="00D9348B">
              <w:rPr>
                <w:rFonts w:cs="Arial"/>
                <w:color w:val="000000"/>
                <w:szCs w:val="16"/>
              </w:rPr>
              <w:t>CH</w:t>
            </w:r>
            <w:r w:rsidRPr="00D9348B">
              <w:rPr>
                <w:rFonts w:cs="Arial"/>
                <w:color w:val="000000"/>
                <w:szCs w:val="16"/>
                <w:vertAlign w:val="subscript"/>
              </w:rPr>
              <w:t>4</w:t>
            </w:r>
          </w:p>
        </w:tc>
        <w:tc>
          <w:tcPr>
            <w:tcW w:w="764" w:type="pct"/>
            <w:shd w:val="clear" w:color="auto" w:fill="auto"/>
            <w:noWrap/>
            <w:vAlign w:val="bottom"/>
          </w:tcPr>
          <w:p w14:paraId="4729DFB5" w14:textId="77777777" w:rsidR="00643D10" w:rsidRPr="00D9348B" w:rsidRDefault="00643D10" w:rsidP="00DB330E">
            <w:pPr>
              <w:pStyle w:val="TableText"/>
              <w:rPr>
                <w:rFonts w:cs="Arial"/>
                <w:color w:val="000000"/>
                <w:szCs w:val="16"/>
              </w:rPr>
            </w:pPr>
            <w:r w:rsidRPr="00D9348B">
              <w:t>L1, T1</w:t>
            </w:r>
          </w:p>
        </w:tc>
      </w:tr>
      <w:tr w:rsidR="00643D10" w:rsidRPr="00D9348B" w14:paraId="7D24B302" w14:textId="77777777" w:rsidTr="003E2C49">
        <w:tc>
          <w:tcPr>
            <w:tcW w:w="750" w:type="pct"/>
            <w:tcMar>
              <w:right w:w="85" w:type="dxa"/>
            </w:tcMar>
            <w:vAlign w:val="bottom"/>
          </w:tcPr>
          <w:p w14:paraId="14610B07" w14:textId="77777777" w:rsidR="00643D10" w:rsidRPr="00D9348B" w:rsidRDefault="00643D10" w:rsidP="00DB330E">
            <w:pPr>
              <w:pStyle w:val="TableText"/>
              <w:rPr>
                <w:rFonts w:cs="Arial"/>
                <w:color w:val="000000"/>
                <w:szCs w:val="16"/>
              </w:rPr>
            </w:pPr>
            <w:r w:rsidRPr="00D9348B">
              <w:t>5.D</w:t>
            </w:r>
          </w:p>
        </w:tc>
        <w:tc>
          <w:tcPr>
            <w:tcW w:w="3141" w:type="pct"/>
            <w:shd w:val="clear" w:color="auto" w:fill="auto"/>
            <w:vAlign w:val="bottom"/>
          </w:tcPr>
          <w:p w14:paraId="69F0D259" w14:textId="77777777" w:rsidR="00643D10" w:rsidRPr="00D9348B" w:rsidRDefault="00643D10" w:rsidP="00DB330E">
            <w:pPr>
              <w:pStyle w:val="TableText"/>
              <w:rPr>
                <w:rFonts w:cs="Arial"/>
                <w:color w:val="000000"/>
                <w:szCs w:val="16"/>
              </w:rPr>
            </w:pPr>
            <w:r w:rsidRPr="00D9348B">
              <w:t>Waste – Wastewater Treatment and Discharge</w:t>
            </w:r>
          </w:p>
        </w:tc>
        <w:tc>
          <w:tcPr>
            <w:tcW w:w="345" w:type="pct"/>
            <w:shd w:val="clear" w:color="auto" w:fill="auto"/>
            <w:noWrap/>
            <w:vAlign w:val="bottom"/>
          </w:tcPr>
          <w:p w14:paraId="56C2931F" w14:textId="77777777" w:rsidR="00643D10" w:rsidRPr="00D9348B" w:rsidRDefault="00643D10" w:rsidP="00DB330E">
            <w:pPr>
              <w:pStyle w:val="TableText"/>
              <w:jc w:val="center"/>
              <w:rPr>
                <w:rFonts w:cs="Arial"/>
                <w:color w:val="000000"/>
                <w:szCs w:val="16"/>
              </w:rPr>
            </w:pPr>
            <w:r w:rsidRPr="00D9348B">
              <w:rPr>
                <w:rFonts w:cs="Arial"/>
                <w:color w:val="000000"/>
                <w:szCs w:val="16"/>
              </w:rPr>
              <w:t>CH</w:t>
            </w:r>
            <w:r w:rsidRPr="00D9348B">
              <w:rPr>
                <w:rFonts w:cs="Arial"/>
                <w:color w:val="000000"/>
                <w:szCs w:val="16"/>
                <w:vertAlign w:val="subscript"/>
              </w:rPr>
              <w:t>4</w:t>
            </w:r>
          </w:p>
        </w:tc>
        <w:tc>
          <w:tcPr>
            <w:tcW w:w="764" w:type="pct"/>
            <w:shd w:val="clear" w:color="auto" w:fill="auto"/>
            <w:noWrap/>
            <w:vAlign w:val="bottom"/>
          </w:tcPr>
          <w:p w14:paraId="0192F098" w14:textId="77777777" w:rsidR="00643D10" w:rsidRPr="00D9348B" w:rsidRDefault="00643D10" w:rsidP="00DB330E">
            <w:pPr>
              <w:pStyle w:val="TableText"/>
              <w:rPr>
                <w:rFonts w:cs="Arial"/>
                <w:color w:val="000000"/>
                <w:szCs w:val="16"/>
              </w:rPr>
            </w:pPr>
            <w:r w:rsidRPr="00D9348B">
              <w:t>L1</w:t>
            </w:r>
          </w:p>
        </w:tc>
      </w:tr>
    </w:tbl>
    <w:p w14:paraId="03F451FC" w14:textId="77777777" w:rsidR="00643D10" w:rsidRPr="00D9348B" w:rsidRDefault="00643D10" w:rsidP="00643D10">
      <w:pPr>
        <w:pStyle w:val="Noteundertable"/>
      </w:pPr>
      <w:r w:rsidRPr="00D9348B">
        <w:rPr>
          <w:b/>
        </w:rPr>
        <w:t>Note:</w:t>
      </w:r>
      <w:r w:rsidRPr="00D9348B">
        <w:t xml:space="preserve"> </w:t>
      </w:r>
      <w:r w:rsidRPr="00D9348B">
        <w:tab/>
        <w:t>L1 means a key category is identified under the level analysis – approach 1 and T1 is trend analysis – approach 1.</w:t>
      </w:r>
    </w:p>
    <w:p w14:paraId="4EF9F21C" w14:textId="77777777" w:rsidR="00643D10" w:rsidRPr="00D9348B" w:rsidRDefault="00643D10" w:rsidP="00643D10">
      <w:pPr>
        <w:pStyle w:val="Table"/>
      </w:pPr>
      <w:bookmarkStart w:id="177" w:name="_Toc5269437"/>
      <w:bookmarkStart w:id="178" w:name="_Toc36224515"/>
      <w:r w:rsidRPr="00D9348B">
        <w:lastRenderedPageBreak/>
        <w:t>Table 1.5.2(a &amp; b)</w:t>
      </w:r>
      <w:r w:rsidRPr="00D9348B">
        <w:tab/>
        <w:t>2018 level assessment for New Zealand’s key category analysis including LULUCF (a</w:t>
      </w:r>
      <w:proofErr w:type="gramStart"/>
      <w:r w:rsidRPr="00D9348B">
        <w:t>)</w:t>
      </w:r>
      <w:proofErr w:type="gramEnd"/>
      <w:r w:rsidRPr="00D9348B">
        <w:br/>
        <w:t>and excluding LULUCF (b)</w:t>
      </w:r>
      <w:bookmarkEnd w:id="177"/>
      <w:bookmarkEnd w:id="178"/>
    </w:p>
    <w:tbl>
      <w:tblPr>
        <w:tblW w:w="8562" w:type="dxa"/>
        <w:tblInd w:w="108" w:type="dxa"/>
        <w:tblBorders>
          <w:bottom w:val="single" w:sz="8" w:space="0" w:color="365F91"/>
          <w:insideH w:val="single" w:sz="8" w:space="0" w:color="365F91"/>
        </w:tblBorders>
        <w:tblLayout w:type="fixed"/>
        <w:tblCellMar>
          <w:left w:w="85" w:type="dxa"/>
          <w:right w:w="57" w:type="dxa"/>
        </w:tblCellMar>
        <w:tblLook w:val="04A0" w:firstRow="1" w:lastRow="0" w:firstColumn="1" w:lastColumn="0" w:noHBand="0" w:noVBand="1"/>
      </w:tblPr>
      <w:tblGrid>
        <w:gridCol w:w="1031"/>
        <w:gridCol w:w="4187"/>
        <w:gridCol w:w="611"/>
        <w:gridCol w:w="911"/>
        <w:gridCol w:w="911"/>
        <w:gridCol w:w="911"/>
      </w:tblGrid>
      <w:tr w:rsidR="00643D10" w:rsidRPr="00D9348B" w14:paraId="0F90C708" w14:textId="77777777" w:rsidTr="003E2C49">
        <w:trPr>
          <w:tblHeader/>
        </w:trPr>
        <w:tc>
          <w:tcPr>
            <w:tcW w:w="8562" w:type="dxa"/>
            <w:gridSpan w:val="6"/>
            <w:tcBorders>
              <w:top w:val="single" w:sz="4" w:space="0" w:color="365F91"/>
              <w:left w:val="nil"/>
              <w:bottom w:val="single" w:sz="4" w:space="0" w:color="365F91"/>
              <w:right w:val="nil"/>
              <w:tl2br w:val="nil"/>
              <w:tr2bl w:val="nil"/>
            </w:tcBorders>
            <w:shd w:val="clear" w:color="365F91" w:fill="365F91"/>
          </w:tcPr>
          <w:p w14:paraId="65C9F389" w14:textId="77777777" w:rsidR="00643D10" w:rsidRPr="00D9348B" w:rsidRDefault="00643D10" w:rsidP="003E2C49">
            <w:pPr>
              <w:pStyle w:val="TableTextBold"/>
              <w:keepNext/>
              <w:rPr>
                <w:rFonts w:cs="Calibri"/>
                <w:noProof w:val="0"/>
                <w:color w:val="FFFFFF"/>
                <w:szCs w:val="16"/>
              </w:rPr>
            </w:pPr>
            <w:r w:rsidRPr="00D9348B">
              <w:rPr>
                <w:rFonts w:cs="Calibri"/>
                <w:noProof w:val="0"/>
                <w:color w:val="FFFFFF"/>
                <w:szCs w:val="16"/>
              </w:rPr>
              <w:t>(a) IPCC Tier 1 category level assessment – including LULUCF (net emissions): 2018</w:t>
            </w:r>
          </w:p>
        </w:tc>
      </w:tr>
      <w:tr w:rsidR="001A5BD0" w:rsidRPr="00D9348B" w14:paraId="19B264FC" w14:textId="77777777" w:rsidTr="00217967">
        <w:trPr>
          <w:tblHeader/>
        </w:trPr>
        <w:tc>
          <w:tcPr>
            <w:tcW w:w="1031" w:type="dxa"/>
            <w:tcBorders>
              <w:top w:val="single" w:sz="4" w:space="0" w:color="365F91"/>
              <w:left w:val="nil"/>
              <w:bottom w:val="single" w:sz="4" w:space="0" w:color="365F91"/>
              <w:right w:val="nil"/>
              <w:tl2br w:val="nil"/>
              <w:tr2bl w:val="nil"/>
            </w:tcBorders>
            <w:shd w:val="clear" w:color="2E74B5" w:fill="auto"/>
            <w:vAlign w:val="bottom"/>
          </w:tcPr>
          <w:p w14:paraId="403045D6" w14:textId="77777777" w:rsidR="00643D10" w:rsidRPr="00D9348B" w:rsidRDefault="00643D10" w:rsidP="003E2C49">
            <w:pPr>
              <w:pStyle w:val="TableText"/>
              <w:keepNext/>
              <w:spacing w:before="40"/>
              <w:rPr>
                <w:rFonts w:cs="Calibri"/>
                <w:b/>
                <w:bCs/>
                <w:szCs w:val="16"/>
              </w:rPr>
            </w:pPr>
            <w:r w:rsidRPr="00D9348B">
              <w:rPr>
                <w:rFonts w:cs="Calibri"/>
                <w:b/>
                <w:bCs/>
                <w:szCs w:val="16"/>
              </w:rPr>
              <w:t>CRF category code</w:t>
            </w:r>
          </w:p>
        </w:tc>
        <w:tc>
          <w:tcPr>
            <w:tcW w:w="4187" w:type="dxa"/>
            <w:tcBorders>
              <w:top w:val="single" w:sz="4" w:space="0" w:color="365F91"/>
              <w:left w:val="nil"/>
              <w:bottom w:val="single" w:sz="4" w:space="0" w:color="365F91"/>
              <w:right w:val="nil"/>
              <w:tl2br w:val="nil"/>
              <w:tr2bl w:val="nil"/>
            </w:tcBorders>
            <w:shd w:val="clear" w:color="2E74B5" w:fill="auto"/>
            <w:noWrap/>
            <w:vAlign w:val="bottom"/>
            <w:hideMark/>
          </w:tcPr>
          <w:p w14:paraId="16F40AF8" w14:textId="77777777" w:rsidR="00643D10" w:rsidRPr="00D9348B" w:rsidRDefault="00643D10" w:rsidP="003E2C49">
            <w:pPr>
              <w:pStyle w:val="TableTextBold"/>
              <w:keepNext/>
              <w:spacing w:before="40"/>
              <w:rPr>
                <w:rFonts w:cs="Calibri"/>
                <w:noProof w:val="0"/>
                <w:szCs w:val="16"/>
              </w:rPr>
            </w:pPr>
            <w:r w:rsidRPr="00D9348B">
              <w:rPr>
                <w:rFonts w:cs="Calibri"/>
                <w:bCs/>
                <w:noProof w:val="0"/>
                <w:color w:val="000000"/>
                <w:szCs w:val="16"/>
              </w:rPr>
              <w:t>IPCC category</w:t>
            </w:r>
          </w:p>
        </w:tc>
        <w:tc>
          <w:tcPr>
            <w:tcW w:w="611" w:type="dxa"/>
            <w:tcBorders>
              <w:top w:val="single" w:sz="4" w:space="0" w:color="365F91"/>
              <w:left w:val="nil"/>
              <w:bottom w:val="single" w:sz="4" w:space="0" w:color="365F91"/>
              <w:right w:val="nil"/>
              <w:tl2br w:val="nil"/>
              <w:tr2bl w:val="nil"/>
            </w:tcBorders>
            <w:shd w:val="clear" w:color="2E74B5" w:fill="auto"/>
            <w:vAlign w:val="bottom"/>
            <w:hideMark/>
          </w:tcPr>
          <w:p w14:paraId="2B5598F9" w14:textId="77777777" w:rsidR="00643D10" w:rsidRPr="00D9348B" w:rsidRDefault="00643D10" w:rsidP="003E2C49">
            <w:pPr>
              <w:pStyle w:val="TableTextBold"/>
              <w:keepNext/>
              <w:spacing w:before="40"/>
              <w:jc w:val="center"/>
              <w:rPr>
                <w:rFonts w:cs="Calibri"/>
                <w:noProof w:val="0"/>
                <w:szCs w:val="16"/>
              </w:rPr>
            </w:pPr>
            <w:r w:rsidRPr="00D9348B">
              <w:rPr>
                <w:rFonts w:cs="Calibri"/>
                <w:bCs/>
                <w:noProof w:val="0"/>
                <w:color w:val="000000"/>
                <w:szCs w:val="16"/>
              </w:rPr>
              <w:t>Gas</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0DDA49DF" w14:textId="77777777" w:rsidR="00643D10" w:rsidRPr="00D9348B" w:rsidRDefault="00643D10" w:rsidP="003E2C49">
            <w:pPr>
              <w:pStyle w:val="TableTextBold"/>
              <w:keepNext/>
              <w:spacing w:before="40"/>
              <w:jc w:val="right"/>
              <w:rPr>
                <w:rFonts w:cs="Calibri"/>
                <w:noProof w:val="0"/>
                <w:szCs w:val="16"/>
              </w:rPr>
            </w:pPr>
            <w:r w:rsidRPr="00D9348B">
              <w:rPr>
                <w:rFonts w:cs="Calibri"/>
                <w:bCs/>
                <w:noProof w:val="0"/>
                <w:color w:val="000000"/>
                <w:szCs w:val="16"/>
              </w:rPr>
              <w:t>2018 estimate</w:t>
            </w:r>
            <w:r w:rsidRPr="00D9348B">
              <w:rPr>
                <w:rFonts w:cs="Calibri"/>
                <w:bCs/>
                <w:noProof w:val="0"/>
                <w:color w:val="000000"/>
                <w:szCs w:val="16"/>
              </w:rPr>
              <w:br/>
              <w:t>(kt CO</w:t>
            </w:r>
            <w:r w:rsidRPr="00D9348B">
              <w:rPr>
                <w:rFonts w:cs="Calibri"/>
                <w:bCs/>
                <w:noProof w:val="0"/>
                <w:color w:val="000000"/>
                <w:szCs w:val="16"/>
                <w:vertAlign w:val="subscript"/>
              </w:rPr>
              <w:t>2</w:t>
            </w:r>
            <w:r w:rsidRPr="00D9348B">
              <w:rPr>
                <w:rFonts w:cs="Calibri"/>
                <w:bCs/>
                <w:noProof w:val="0"/>
                <w:color w:val="000000"/>
                <w:szCs w:val="16"/>
              </w:rPr>
              <w:t>-e)</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0A50B972" w14:textId="77777777" w:rsidR="00643D10" w:rsidRPr="00D9348B" w:rsidRDefault="00643D10" w:rsidP="003E2C49">
            <w:pPr>
              <w:pStyle w:val="TableTextBold"/>
              <w:keepNext/>
              <w:spacing w:before="40"/>
              <w:jc w:val="right"/>
              <w:rPr>
                <w:rFonts w:cs="Calibri"/>
                <w:noProof w:val="0"/>
                <w:szCs w:val="16"/>
              </w:rPr>
            </w:pPr>
            <w:r w:rsidRPr="00D9348B">
              <w:rPr>
                <w:rFonts w:cs="Calibri"/>
                <w:bCs/>
                <w:noProof w:val="0"/>
                <w:color w:val="000000"/>
                <w:szCs w:val="16"/>
              </w:rPr>
              <w:t>Level assessment (%)</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55E6FE30" w14:textId="77777777" w:rsidR="00643D10" w:rsidRPr="00D9348B" w:rsidRDefault="00643D10" w:rsidP="003E2C49">
            <w:pPr>
              <w:pStyle w:val="TableTextBold"/>
              <w:keepNext/>
              <w:spacing w:before="40"/>
              <w:jc w:val="right"/>
              <w:rPr>
                <w:rFonts w:cs="Calibri"/>
                <w:noProof w:val="0"/>
                <w:szCs w:val="16"/>
              </w:rPr>
            </w:pPr>
            <w:r w:rsidRPr="00D9348B">
              <w:rPr>
                <w:rFonts w:cs="Calibri"/>
                <w:bCs/>
                <w:noProof w:val="0"/>
                <w:color w:val="000000"/>
                <w:szCs w:val="16"/>
              </w:rPr>
              <w:t>Cumulative total (%)</w:t>
            </w:r>
          </w:p>
        </w:tc>
      </w:tr>
      <w:tr w:rsidR="001A5BD0" w:rsidRPr="00D9348B" w14:paraId="1F8CB836" w14:textId="77777777" w:rsidTr="00217967">
        <w:tc>
          <w:tcPr>
            <w:tcW w:w="1031" w:type="dxa"/>
            <w:tcBorders>
              <w:top w:val="single" w:sz="4" w:space="0" w:color="365F91"/>
              <w:left w:val="nil"/>
              <w:bottom w:val="single" w:sz="4" w:space="0" w:color="365F91"/>
              <w:right w:val="nil"/>
              <w:tl2br w:val="nil"/>
              <w:tr2bl w:val="nil"/>
            </w:tcBorders>
            <w:shd w:val="clear" w:color="2E74B5" w:fill="auto"/>
            <w:vAlign w:val="bottom"/>
          </w:tcPr>
          <w:p w14:paraId="6BD8E073" w14:textId="77777777" w:rsidR="00643D10" w:rsidRPr="00D9348B" w:rsidRDefault="00643D10" w:rsidP="00DB330E">
            <w:pPr>
              <w:pStyle w:val="TableText"/>
              <w:rPr>
                <w:rFonts w:cs="Calibri"/>
                <w:b/>
                <w:szCs w:val="16"/>
              </w:rPr>
            </w:pPr>
            <w:r w:rsidRPr="00D9348B">
              <w:rPr>
                <w:rFonts w:cs="Calibri"/>
                <w:szCs w:val="16"/>
              </w:rPr>
              <w:t>4.A.2</w:t>
            </w:r>
          </w:p>
        </w:tc>
        <w:tc>
          <w:tcPr>
            <w:tcW w:w="4187" w:type="dxa"/>
            <w:tcBorders>
              <w:top w:val="single" w:sz="4" w:space="0" w:color="365F91"/>
              <w:left w:val="nil"/>
              <w:bottom w:val="single" w:sz="4" w:space="0" w:color="365F91"/>
              <w:right w:val="nil"/>
              <w:tl2br w:val="nil"/>
              <w:tr2bl w:val="nil"/>
            </w:tcBorders>
            <w:shd w:val="clear" w:color="2E74B5" w:fill="auto"/>
            <w:noWrap/>
            <w:vAlign w:val="bottom"/>
            <w:hideMark/>
          </w:tcPr>
          <w:p w14:paraId="7A2791DC" w14:textId="77777777" w:rsidR="00643D10" w:rsidRPr="00D9348B" w:rsidRDefault="00643D10" w:rsidP="00DB330E">
            <w:pPr>
              <w:pStyle w:val="TableText"/>
              <w:rPr>
                <w:rFonts w:cs="Calibri"/>
                <w:b/>
                <w:szCs w:val="16"/>
              </w:rPr>
            </w:pPr>
            <w:r w:rsidRPr="00D9348B">
              <w:rPr>
                <w:rFonts w:cs="Calibri"/>
                <w:szCs w:val="16"/>
              </w:rPr>
              <w:t>Forest Land – Land Converted to Forest Land</w:t>
            </w:r>
          </w:p>
        </w:tc>
        <w:tc>
          <w:tcPr>
            <w:tcW w:w="611" w:type="dxa"/>
            <w:tcBorders>
              <w:top w:val="single" w:sz="4" w:space="0" w:color="365F91"/>
              <w:left w:val="nil"/>
              <w:bottom w:val="single" w:sz="4" w:space="0" w:color="365F91"/>
              <w:right w:val="nil"/>
              <w:tl2br w:val="nil"/>
              <w:tr2bl w:val="nil"/>
            </w:tcBorders>
            <w:shd w:val="clear" w:color="2E74B5" w:fill="auto"/>
            <w:vAlign w:val="bottom"/>
            <w:hideMark/>
          </w:tcPr>
          <w:p w14:paraId="5B13AF50" w14:textId="77777777" w:rsidR="00643D10" w:rsidRPr="00D9348B" w:rsidRDefault="00643D10" w:rsidP="00DB330E">
            <w:pPr>
              <w:pStyle w:val="TableText"/>
              <w:jc w:val="center"/>
              <w:rPr>
                <w:rFonts w:cs="Calibri"/>
                <w:b/>
                <w:bCs/>
                <w:szCs w:val="16"/>
              </w:rPr>
            </w:pPr>
            <w:r w:rsidRPr="00D9348B">
              <w:rPr>
                <w:rFonts w:cs="Calibri"/>
                <w:szCs w:val="16"/>
              </w:rPr>
              <w:t>CO</w:t>
            </w:r>
            <w:r w:rsidRPr="00D9348B">
              <w:rPr>
                <w:rFonts w:cs="Calibri"/>
                <w:szCs w:val="16"/>
                <w:vertAlign w:val="subscript"/>
              </w:rPr>
              <w:t>2</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1D397CC9" w14:textId="77777777" w:rsidR="00643D10" w:rsidRPr="00D9348B" w:rsidRDefault="00643D10" w:rsidP="00DB330E">
            <w:pPr>
              <w:pStyle w:val="TableText"/>
              <w:jc w:val="right"/>
              <w:rPr>
                <w:rFonts w:cs="Calibri"/>
                <w:b/>
                <w:bCs/>
                <w:szCs w:val="16"/>
              </w:rPr>
            </w:pPr>
            <w:r w:rsidRPr="00D9348B">
              <w:rPr>
                <w:rFonts w:cs="Calibri"/>
                <w:bCs/>
                <w:szCs w:val="16"/>
              </w:rPr>
              <w:t>–15,594.2</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4174F400" w14:textId="77777777" w:rsidR="00643D10" w:rsidRPr="00D9348B" w:rsidRDefault="00643D10" w:rsidP="00DB330E">
            <w:pPr>
              <w:pStyle w:val="TableText"/>
              <w:jc w:val="right"/>
              <w:rPr>
                <w:rFonts w:cs="Calibri"/>
                <w:b/>
                <w:bCs/>
                <w:szCs w:val="16"/>
              </w:rPr>
            </w:pPr>
            <w:r w:rsidRPr="00D9348B">
              <w:rPr>
                <w:rFonts w:cs="Calibri"/>
                <w:bCs/>
                <w:szCs w:val="16"/>
              </w:rPr>
              <w:t>14.1</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3EC17AB1" w14:textId="77777777" w:rsidR="00643D10" w:rsidRPr="00D9348B" w:rsidRDefault="00643D10" w:rsidP="00DB330E">
            <w:pPr>
              <w:pStyle w:val="TableText"/>
              <w:jc w:val="right"/>
              <w:rPr>
                <w:rFonts w:cs="Calibri"/>
                <w:b/>
                <w:bCs/>
                <w:szCs w:val="16"/>
              </w:rPr>
            </w:pPr>
            <w:r w:rsidRPr="00D9348B">
              <w:rPr>
                <w:rFonts w:cs="Calibri"/>
                <w:bCs/>
                <w:szCs w:val="16"/>
              </w:rPr>
              <w:t>14.1</w:t>
            </w:r>
          </w:p>
        </w:tc>
      </w:tr>
      <w:tr w:rsidR="001A5BD0" w:rsidRPr="00D9348B" w14:paraId="703E05F6" w14:textId="77777777" w:rsidTr="00217967">
        <w:tc>
          <w:tcPr>
            <w:tcW w:w="1031" w:type="dxa"/>
            <w:tcBorders>
              <w:top w:val="single" w:sz="4" w:space="0" w:color="365F91"/>
              <w:left w:val="nil"/>
              <w:bottom w:val="single" w:sz="4" w:space="0" w:color="365F91"/>
              <w:right w:val="nil"/>
              <w:tl2br w:val="nil"/>
              <w:tr2bl w:val="nil"/>
            </w:tcBorders>
            <w:shd w:val="clear" w:color="2E74B5" w:fill="auto"/>
            <w:vAlign w:val="bottom"/>
          </w:tcPr>
          <w:p w14:paraId="7483B646" w14:textId="77777777" w:rsidR="00643D10" w:rsidRPr="00D9348B" w:rsidRDefault="00643D10" w:rsidP="00DB330E">
            <w:pPr>
              <w:pStyle w:val="TableText"/>
              <w:rPr>
                <w:rFonts w:cs="Calibri"/>
                <w:b/>
                <w:szCs w:val="16"/>
              </w:rPr>
            </w:pPr>
            <w:r w:rsidRPr="00D9348B">
              <w:rPr>
                <w:rFonts w:cs="Calibri"/>
                <w:szCs w:val="16"/>
              </w:rPr>
              <w:t>1.A.3.b</w:t>
            </w:r>
          </w:p>
        </w:tc>
        <w:tc>
          <w:tcPr>
            <w:tcW w:w="4187" w:type="dxa"/>
            <w:tcBorders>
              <w:top w:val="single" w:sz="4" w:space="0" w:color="365F91"/>
              <w:left w:val="nil"/>
              <w:bottom w:val="single" w:sz="4" w:space="0" w:color="365F91"/>
              <w:right w:val="nil"/>
              <w:tl2br w:val="nil"/>
              <w:tr2bl w:val="nil"/>
            </w:tcBorders>
            <w:shd w:val="clear" w:color="2E74B5" w:fill="auto"/>
            <w:noWrap/>
            <w:vAlign w:val="bottom"/>
            <w:hideMark/>
          </w:tcPr>
          <w:p w14:paraId="7BF48048" w14:textId="77777777" w:rsidR="00643D10" w:rsidRPr="00D9348B" w:rsidRDefault="00643D10" w:rsidP="00DB330E">
            <w:pPr>
              <w:pStyle w:val="TableText"/>
              <w:rPr>
                <w:rFonts w:cs="Calibri"/>
                <w:b/>
                <w:szCs w:val="16"/>
              </w:rPr>
            </w:pPr>
            <w:r w:rsidRPr="00D9348B">
              <w:rPr>
                <w:rFonts w:cs="Calibri"/>
                <w:szCs w:val="16"/>
              </w:rPr>
              <w:t>Transport – Road Transportation Liquid Fuels</w:t>
            </w:r>
          </w:p>
        </w:tc>
        <w:tc>
          <w:tcPr>
            <w:tcW w:w="611" w:type="dxa"/>
            <w:tcBorders>
              <w:top w:val="single" w:sz="4" w:space="0" w:color="365F91"/>
              <w:left w:val="nil"/>
              <w:bottom w:val="single" w:sz="4" w:space="0" w:color="365F91"/>
              <w:right w:val="nil"/>
              <w:tl2br w:val="nil"/>
              <w:tr2bl w:val="nil"/>
            </w:tcBorders>
            <w:shd w:val="clear" w:color="2E74B5" w:fill="auto"/>
            <w:vAlign w:val="bottom"/>
            <w:hideMark/>
          </w:tcPr>
          <w:p w14:paraId="6DEA36E0" w14:textId="77777777" w:rsidR="00643D10" w:rsidRPr="00D9348B" w:rsidRDefault="00643D10" w:rsidP="00DB330E">
            <w:pPr>
              <w:pStyle w:val="TableText"/>
              <w:jc w:val="center"/>
              <w:rPr>
                <w:rFonts w:cs="Calibri"/>
                <w:b/>
                <w:bCs/>
                <w:szCs w:val="16"/>
              </w:rPr>
            </w:pPr>
            <w:r w:rsidRPr="00D9348B">
              <w:rPr>
                <w:rFonts w:cs="Calibri"/>
                <w:szCs w:val="16"/>
              </w:rPr>
              <w:t>CO</w:t>
            </w:r>
            <w:r w:rsidRPr="00D9348B">
              <w:rPr>
                <w:rFonts w:cs="Calibri"/>
                <w:szCs w:val="16"/>
                <w:vertAlign w:val="subscript"/>
              </w:rPr>
              <w:t>2</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4D481ECB" w14:textId="77777777" w:rsidR="00643D10" w:rsidRPr="00D9348B" w:rsidRDefault="00643D10" w:rsidP="00DB330E">
            <w:pPr>
              <w:pStyle w:val="TableText"/>
              <w:jc w:val="right"/>
              <w:rPr>
                <w:rFonts w:cs="Calibri"/>
                <w:b/>
                <w:bCs/>
                <w:szCs w:val="16"/>
              </w:rPr>
            </w:pPr>
            <w:r w:rsidRPr="00D9348B">
              <w:rPr>
                <w:rFonts w:cs="Calibri"/>
                <w:bCs/>
                <w:szCs w:val="16"/>
              </w:rPr>
              <w:t>14,956.5</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62D22F7B" w14:textId="77777777" w:rsidR="00643D10" w:rsidRPr="00D9348B" w:rsidRDefault="00643D10" w:rsidP="00DB330E">
            <w:pPr>
              <w:pStyle w:val="TableText"/>
              <w:jc w:val="right"/>
              <w:rPr>
                <w:rFonts w:cs="Calibri"/>
                <w:b/>
                <w:bCs/>
                <w:szCs w:val="16"/>
              </w:rPr>
            </w:pPr>
            <w:r w:rsidRPr="00D9348B">
              <w:rPr>
                <w:rFonts w:cs="Calibri"/>
                <w:bCs/>
                <w:szCs w:val="16"/>
              </w:rPr>
              <w:t>13.5</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34746471" w14:textId="77777777" w:rsidR="00643D10" w:rsidRPr="00D9348B" w:rsidRDefault="00643D10" w:rsidP="00DB330E">
            <w:pPr>
              <w:pStyle w:val="TableText"/>
              <w:jc w:val="right"/>
              <w:rPr>
                <w:rFonts w:cs="Calibri"/>
                <w:b/>
                <w:bCs/>
                <w:szCs w:val="16"/>
              </w:rPr>
            </w:pPr>
            <w:r w:rsidRPr="00D9348B">
              <w:rPr>
                <w:rFonts w:cs="Calibri"/>
                <w:bCs/>
                <w:szCs w:val="16"/>
              </w:rPr>
              <w:t>27.5</w:t>
            </w:r>
          </w:p>
        </w:tc>
      </w:tr>
      <w:tr w:rsidR="001A5BD0" w:rsidRPr="00D9348B" w14:paraId="773635A3" w14:textId="77777777" w:rsidTr="00217967">
        <w:tc>
          <w:tcPr>
            <w:tcW w:w="1031" w:type="dxa"/>
            <w:tcBorders>
              <w:top w:val="single" w:sz="4" w:space="0" w:color="365F91"/>
              <w:left w:val="nil"/>
              <w:bottom w:val="single" w:sz="4" w:space="0" w:color="365F91"/>
              <w:right w:val="nil"/>
              <w:tl2br w:val="nil"/>
              <w:tr2bl w:val="nil"/>
            </w:tcBorders>
            <w:shd w:val="clear" w:color="2E74B5" w:fill="auto"/>
            <w:vAlign w:val="bottom"/>
          </w:tcPr>
          <w:p w14:paraId="16779014" w14:textId="77777777" w:rsidR="00643D10" w:rsidRPr="00D9348B" w:rsidRDefault="00643D10" w:rsidP="00DB330E">
            <w:pPr>
              <w:pStyle w:val="TableText"/>
              <w:rPr>
                <w:rFonts w:cs="Calibri"/>
                <w:b/>
                <w:szCs w:val="16"/>
              </w:rPr>
            </w:pPr>
            <w:r w:rsidRPr="00D9348B">
              <w:rPr>
                <w:rFonts w:cs="Calibri"/>
                <w:szCs w:val="16"/>
              </w:rPr>
              <w:t>3.A.1</w:t>
            </w:r>
          </w:p>
        </w:tc>
        <w:tc>
          <w:tcPr>
            <w:tcW w:w="4187" w:type="dxa"/>
            <w:tcBorders>
              <w:top w:val="single" w:sz="4" w:space="0" w:color="365F91"/>
              <w:left w:val="nil"/>
              <w:bottom w:val="single" w:sz="4" w:space="0" w:color="365F91"/>
              <w:right w:val="nil"/>
              <w:tl2br w:val="nil"/>
              <w:tr2bl w:val="nil"/>
            </w:tcBorders>
            <w:shd w:val="clear" w:color="2E74B5" w:fill="auto"/>
            <w:noWrap/>
            <w:vAlign w:val="bottom"/>
            <w:hideMark/>
          </w:tcPr>
          <w:p w14:paraId="03DEFD5A" w14:textId="77777777" w:rsidR="00643D10" w:rsidRPr="00D9348B" w:rsidRDefault="00643D10" w:rsidP="00DB330E">
            <w:pPr>
              <w:pStyle w:val="TableText"/>
              <w:rPr>
                <w:rFonts w:cs="Calibri"/>
                <w:b/>
                <w:szCs w:val="16"/>
              </w:rPr>
            </w:pPr>
            <w:r w:rsidRPr="00D9348B">
              <w:rPr>
                <w:rFonts w:cs="Calibri"/>
                <w:szCs w:val="16"/>
              </w:rPr>
              <w:t>Option A – Dairy Cattle</w:t>
            </w:r>
          </w:p>
        </w:tc>
        <w:tc>
          <w:tcPr>
            <w:tcW w:w="611" w:type="dxa"/>
            <w:tcBorders>
              <w:top w:val="single" w:sz="4" w:space="0" w:color="365F91"/>
              <w:left w:val="nil"/>
              <w:bottom w:val="single" w:sz="4" w:space="0" w:color="365F91"/>
              <w:right w:val="nil"/>
              <w:tl2br w:val="nil"/>
              <w:tr2bl w:val="nil"/>
            </w:tcBorders>
            <w:shd w:val="clear" w:color="2E74B5" w:fill="auto"/>
            <w:vAlign w:val="bottom"/>
            <w:hideMark/>
          </w:tcPr>
          <w:p w14:paraId="1CAA0E02" w14:textId="77777777" w:rsidR="00643D10" w:rsidRPr="00D9348B" w:rsidRDefault="00643D10" w:rsidP="00DB330E">
            <w:pPr>
              <w:pStyle w:val="TableText"/>
              <w:jc w:val="center"/>
              <w:rPr>
                <w:rFonts w:cs="Calibri"/>
                <w:b/>
                <w:bCs/>
                <w:szCs w:val="16"/>
              </w:rPr>
            </w:pPr>
            <w:r w:rsidRPr="00D9348B">
              <w:rPr>
                <w:rFonts w:cs="Calibri"/>
                <w:bCs/>
                <w:szCs w:val="16"/>
              </w:rPr>
              <w:t>CH</w:t>
            </w:r>
            <w:r w:rsidRPr="00D9348B">
              <w:rPr>
                <w:rFonts w:cs="Calibri"/>
                <w:bCs/>
                <w:szCs w:val="16"/>
                <w:vertAlign w:val="subscript"/>
              </w:rPr>
              <w:t>4</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42E831ED" w14:textId="77777777" w:rsidR="00643D10" w:rsidRPr="00D9348B" w:rsidRDefault="00643D10" w:rsidP="00DB330E">
            <w:pPr>
              <w:pStyle w:val="TableText"/>
              <w:jc w:val="right"/>
              <w:rPr>
                <w:rFonts w:cs="Calibri"/>
                <w:b/>
                <w:bCs/>
                <w:szCs w:val="16"/>
              </w:rPr>
            </w:pPr>
            <w:r w:rsidRPr="00D9348B">
              <w:rPr>
                <w:rFonts w:cs="Calibri"/>
                <w:bCs/>
                <w:szCs w:val="16"/>
              </w:rPr>
              <w:t>13,611.6</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60D02AB6" w14:textId="77777777" w:rsidR="00643D10" w:rsidRPr="00D9348B" w:rsidRDefault="00643D10" w:rsidP="00DB330E">
            <w:pPr>
              <w:pStyle w:val="TableText"/>
              <w:jc w:val="right"/>
              <w:rPr>
                <w:rFonts w:cs="Calibri"/>
                <w:b/>
                <w:bCs/>
                <w:szCs w:val="16"/>
              </w:rPr>
            </w:pPr>
            <w:r w:rsidRPr="00D9348B">
              <w:rPr>
                <w:rFonts w:cs="Calibri"/>
                <w:bCs/>
                <w:szCs w:val="16"/>
              </w:rPr>
              <w:t>12.3</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2D036B40" w14:textId="77777777" w:rsidR="00643D10" w:rsidRPr="00D9348B" w:rsidRDefault="00643D10" w:rsidP="00DB330E">
            <w:pPr>
              <w:pStyle w:val="TableText"/>
              <w:jc w:val="right"/>
              <w:rPr>
                <w:rFonts w:cs="Calibri"/>
                <w:b/>
                <w:bCs/>
                <w:szCs w:val="16"/>
              </w:rPr>
            </w:pPr>
            <w:r w:rsidRPr="00D9348B">
              <w:rPr>
                <w:rFonts w:cs="Calibri"/>
                <w:bCs/>
                <w:szCs w:val="16"/>
              </w:rPr>
              <w:t>39.8</w:t>
            </w:r>
          </w:p>
        </w:tc>
      </w:tr>
      <w:tr w:rsidR="001A5BD0" w:rsidRPr="00D9348B" w14:paraId="6D0580B6" w14:textId="77777777" w:rsidTr="00217967">
        <w:tc>
          <w:tcPr>
            <w:tcW w:w="1031" w:type="dxa"/>
            <w:tcBorders>
              <w:top w:val="single" w:sz="4" w:space="0" w:color="365F91"/>
              <w:left w:val="nil"/>
              <w:bottom w:val="single" w:sz="4" w:space="0" w:color="365F91"/>
              <w:right w:val="nil"/>
              <w:tl2br w:val="nil"/>
              <w:tr2bl w:val="nil"/>
            </w:tcBorders>
            <w:shd w:val="clear" w:color="2E74B5" w:fill="auto"/>
            <w:vAlign w:val="bottom"/>
          </w:tcPr>
          <w:p w14:paraId="75B4A1AD" w14:textId="77777777" w:rsidR="00643D10" w:rsidRPr="00D9348B" w:rsidRDefault="00643D10" w:rsidP="00DB330E">
            <w:pPr>
              <w:pStyle w:val="TableText"/>
              <w:rPr>
                <w:rFonts w:cs="Calibri"/>
                <w:b/>
                <w:szCs w:val="16"/>
              </w:rPr>
            </w:pPr>
            <w:r w:rsidRPr="00D9348B">
              <w:rPr>
                <w:rFonts w:cs="Calibri"/>
                <w:szCs w:val="16"/>
              </w:rPr>
              <w:t>4.G</w:t>
            </w:r>
          </w:p>
        </w:tc>
        <w:tc>
          <w:tcPr>
            <w:tcW w:w="4187" w:type="dxa"/>
            <w:tcBorders>
              <w:top w:val="single" w:sz="4" w:space="0" w:color="365F91"/>
              <w:left w:val="nil"/>
              <w:bottom w:val="single" w:sz="4" w:space="0" w:color="365F91"/>
              <w:right w:val="nil"/>
              <w:tl2br w:val="nil"/>
              <w:tr2bl w:val="nil"/>
            </w:tcBorders>
            <w:shd w:val="clear" w:color="2E74B5" w:fill="auto"/>
            <w:noWrap/>
            <w:vAlign w:val="bottom"/>
            <w:hideMark/>
          </w:tcPr>
          <w:p w14:paraId="2DAB669B" w14:textId="77777777" w:rsidR="00643D10" w:rsidRPr="00D9348B" w:rsidRDefault="00643D10" w:rsidP="00DB330E">
            <w:pPr>
              <w:pStyle w:val="TableText"/>
              <w:rPr>
                <w:rFonts w:cs="Calibri"/>
                <w:b/>
                <w:szCs w:val="16"/>
              </w:rPr>
            </w:pPr>
            <w:r w:rsidRPr="00D9348B">
              <w:rPr>
                <w:rFonts w:cs="Calibri"/>
                <w:szCs w:val="16"/>
              </w:rPr>
              <w:t>Land Use, Land-Use Change and Forestry – Harvested Wood Products</w:t>
            </w:r>
          </w:p>
        </w:tc>
        <w:tc>
          <w:tcPr>
            <w:tcW w:w="611" w:type="dxa"/>
            <w:tcBorders>
              <w:top w:val="single" w:sz="4" w:space="0" w:color="365F91"/>
              <w:left w:val="nil"/>
              <w:bottom w:val="single" w:sz="4" w:space="0" w:color="365F91"/>
              <w:right w:val="nil"/>
              <w:tl2br w:val="nil"/>
              <w:tr2bl w:val="nil"/>
            </w:tcBorders>
            <w:shd w:val="clear" w:color="2E74B5" w:fill="auto"/>
            <w:vAlign w:val="bottom"/>
            <w:hideMark/>
          </w:tcPr>
          <w:p w14:paraId="238C0C6C" w14:textId="77777777" w:rsidR="00643D10" w:rsidRPr="00D9348B" w:rsidRDefault="00643D10" w:rsidP="00DB330E">
            <w:pPr>
              <w:pStyle w:val="TableText"/>
              <w:jc w:val="center"/>
              <w:rPr>
                <w:rFonts w:cs="Calibri"/>
                <w:b/>
                <w:bCs/>
                <w:szCs w:val="16"/>
              </w:rPr>
            </w:pPr>
            <w:r w:rsidRPr="00D9348B">
              <w:rPr>
                <w:rFonts w:cs="Calibri"/>
                <w:szCs w:val="16"/>
              </w:rPr>
              <w:t>CO</w:t>
            </w:r>
            <w:r w:rsidRPr="00D9348B">
              <w:rPr>
                <w:rFonts w:cs="Calibri"/>
                <w:szCs w:val="16"/>
                <w:vertAlign w:val="subscript"/>
              </w:rPr>
              <w:t>2</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4EC542FB" w14:textId="77777777" w:rsidR="00643D10" w:rsidRPr="00D9348B" w:rsidRDefault="00643D10" w:rsidP="00DB330E">
            <w:pPr>
              <w:pStyle w:val="TableText"/>
              <w:jc w:val="right"/>
              <w:rPr>
                <w:rFonts w:cs="Calibri"/>
                <w:b/>
                <w:bCs/>
                <w:szCs w:val="16"/>
              </w:rPr>
            </w:pPr>
            <w:r w:rsidRPr="00D9348B">
              <w:rPr>
                <w:rFonts w:cs="Calibri"/>
                <w:bCs/>
                <w:szCs w:val="16"/>
              </w:rPr>
              <w:t>–10,746.7</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00A7766C" w14:textId="77777777" w:rsidR="00643D10" w:rsidRPr="00D9348B" w:rsidRDefault="00643D10" w:rsidP="00DB330E">
            <w:pPr>
              <w:pStyle w:val="TableText"/>
              <w:jc w:val="right"/>
              <w:rPr>
                <w:rFonts w:cs="Calibri"/>
                <w:b/>
                <w:bCs/>
                <w:szCs w:val="16"/>
              </w:rPr>
            </w:pPr>
            <w:r w:rsidRPr="00D9348B">
              <w:rPr>
                <w:rFonts w:cs="Calibri"/>
                <w:bCs/>
                <w:szCs w:val="16"/>
              </w:rPr>
              <w:t>9.7</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3376BB8B" w14:textId="77777777" w:rsidR="00643D10" w:rsidRPr="00D9348B" w:rsidRDefault="00643D10" w:rsidP="00DB330E">
            <w:pPr>
              <w:pStyle w:val="TableText"/>
              <w:jc w:val="right"/>
              <w:rPr>
                <w:rFonts w:cs="Calibri"/>
                <w:b/>
                <w:bCs/>
                <w:szCs w:val="16"/>
              </w:rPr>
            </w:pPr>
            <w:r w:rsidRPr="00D9348B">
              <w:rPr>
                <w:rFonts w:cs="Calibri"/>
                <w:bCs/>
                <w:szCs w:val="16"/>
              </w:rPr>
              <w:t>49.5</w:t>
            </w:r>
          </w:p>
        </w:tc>
      </w:tr>
      <w:tr w:rsidR="001A5BD0" w:rsidRPr="00D9348B" w14:paraId="67B3EFFF" w14:textId="77777777" w:rsidTr="00217967">
        <w:tc>
          <w:tcPr>
            <w:tcW w:w="1031" w:type="dxa"/>
            <w:tcBorders>
              <w:top w:val="single" w:sz="4" w:space="0" w:color="365F91"/>
              <w:left w:val="nil"/>
              <w:bottom w:val="single" w:sz="4" w:space="0" w:color="365F91"/>
              <w:right w:val="nil"/>
              <w:tl2br w:val="nil"/>
              <w:tr2bl w:val="nil"/>
            </w:tcBorders>
            <w:shd w:val="clear" w:color="2E74B5" w:fill="auto"/>
            <w:vAlign w:val="bottom"/>
          </w:tcPr>
          <w:p w14:paraId="0727BAD2" w14:textId="77777777" w:rsidR="00643D10" w:rsidRPr="00D9348B" w:rsidRDefault="00643D10" w:rsidP="00DB330E">
            <w:pPr>
              <w:pStyle w:val="TableText"/>
              <w:rPr>
                <w:rFonts w:cs="Calibri"/>
                <w:b/>
                <w:szCs w:val="16"/>
              </w:rPr>
            </w:pPr>
            <w:r w:rsidRPr="00D9348B">
              <w:rPr>
                <w:rFonts w:cs="Calibri"/>
                <w:szCs w:val="16"/>
              </w:rPr>
              <w:t>3.A.2</w:t>
            </w:r>
          </w:p>
        </w:tc>
        <w:tc>
          <w:tcPr>
            <w:tcW w:w="4187" w:type="dxa"/>
            <w:tcBorders>
              <w:top w:val="single" w:sz="4" w:space="0" w:color="365F91"/>
              <w:left w:val="nil"/>
              <w:bottom w:val="single" w:sz="4" w:space="0" w:color="365F91"/>
              <w:right w:val="nil"/>
              <w:tl2br w:val="nil"/>
              <w:tr2bl w:val="nil"/>
            </w:tcBorders>
            <w:shd w:val="clear" w:color="2E74B5" w:fill="auto"/>
            <w:noWrap/>
            <w:vAlign w:val="bottom"/>
            <w:hideMark/>
          </w:tcPr>
          <w:p w14:paraId="1A36CD5A" w14:textId="77777777" w:rsidR="00643D10" w:rsidRPr="00D9348B" w:rsidRDefault="00643D10" w:rsidP="00DB330E">
            <w:pPr>
              <w:pStyle w:val="TableText"/>
              <w:rPr>
                <w:rFonts w:cs="Calibri"/>
                <w:b/>
                <w:szCs w:val="16"/>
              </w:rPr>
            </w:pPr>
            <w:r w:rsidRPr="00D9348B">
              <w:rPr>
                <w:rFonts w:cs="Calibri"/>
                <w:szCs w:val="16"/>
              </w:rPr>
              <w:t>Other (please specify) – Sheep</w:t>
            </w:r>
          </w:p>
        </w:tc>
        <w:tc>
          <w:tcPr>
            <w:tcW w:w="611" w:type="dxa"/>
            <w:tcBorders>
              <w:top w:val="single" w:sz="4" w:space="0" w:color="365F91"/>
              <w:left w:val="nil"/>
              <w:bottom w:val="single" w:sz="4" w:space="0" w:color="365F91"/>
              <w:right w:val="nil"/>
              <w:tl2br w:val="nil"/>
              <w:tr2bl w:val="nil"/>
            </w:tcBorders>
            <w:shd w:val="clear" w:color="2E74B5" w:fill="auto"/>
            <w:vAlign w:val="bottom"/>
            <w:hideMark/>
          </w:tcPr>
          <w:p w14:paraId="4370BEFA" w14:textId="77777777" w:rsidR="00643D10" w:rsidRPr="00D9348B" w:rsidRDefault="00643D10" w:rsidP="00DB330E">
            <w:pPr>
              <w:pStyle w:val="TableText"/>
              <w:jc w:val="center"/>
              <w:rPr>
                <w:rFonts w:cs="Calibri"/>
                <w:b/>
                <w:bCs/>
                <w:szCs w:val="16"/>
              </w:rPr>
            </w:pPr>
            <w:r w:rsidRPr="00D9348B">
              <w:rPr>
                <w:rFonts w:cs="Calibri"/>
                <w:szCs w:val="16"/>
              </w:rPr>
              <w:t>CH</w:t>
            </w:r>
            <w:r w:rsidRPr="00D9348B">
              <w:rPr>
                <w:rFonts w:cs="Calibri"/>
                <w:szCs w:val="16"/>
                <w:vertAlign w:val="subscript"/>
              </w:rPr>
              <w:t>4</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575B4905" w14:textId="77777777" w:rsidR="00643D10" w:rsidRPr="00D9348B" w:rsidRDefault="00643D10" w:rsidP="00DB330E">
            <w:pPr>
              <w:pStyle w:val="TableText"/>
              <w:jc w:val="right"/>
              <w:rPr>
                <w:rFonts w:cs="Calibri"/>
                <w:b/>
                <w:bCs/>
                <w:szCs w:val="16"/>
              </w:rPr>
            </w:pPr>
            <w:r w:rsidRPr="00D9348B">
              <w:rPr>
                <w:rFonts w:cs="Calibri"/>
                <w:bCs/>
                <w:szCs w:val="16"/>
              </w:rPr>
              <w:t>8,390.1</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640D3A9A" w14:textId="77777777" w:rsidR="00643D10" w:rsidRPr="00D9348B" w:rsidRDefault="00643D10" w:rsidP="00DB330E">
            <w:pPr>
              <w:pStyle w:val="TableText"/>
              <w:jc w:val="right"/>
              <w:rPr>
                <w:rFonts w:cs="Calibri"/>
                <w:b/>
                <w:bCs/>
                <w:szCs w:val="16"/>
              </w:rPr>
            </w:pPr>
            <w:r w:rsidRPr="00D9348B">
              <w:rPr>
                <w:rFonts w:cs="Calibri"/>
                <w:bCs/>
                <w:szCs w:val="16"/>
              </w:rPr>
              <w:t>7.6</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6A8E1476" w14:textId="77777777" w:rsidR="00643D10" w:rsidRPr="00D9348B" w:rsidRDefault="00643D10" w:rsidP="00DB330E">
            <w:pPr>
              <w:pStyle w:val="TableText"/>
              <w:jc w:val="right"/>
              <w:rPr>
                <w:rFonts w:cs="Calibri"/>
                <w:b/>
                <w:bCs/>
                <w:szCs w:val="16"/>
              </w:rPr>
            </w:pPr>
            <w:r w:rsidRPr="00D9348B">
              <w:rPr>
                <w:rFonts w:cs="Calibri"/>
                <w:bCs/>
                <w:szCs w:val="16"/>
              </w:rPr>
              <w:t>57.1</w:t>
            </w:r>
          </w:p>
        </w:tc>
      </w:tr>
      <w:tr w:rsidR="001A5BD0" w:rsidRPr="00D9348B" w14:paraId="4932FA09" w14:textId="77777777" w:rsidTr="00217967">
        <w:tc>
          <w:tcPr>
            <w:tcW w:w="1031" w:type="dxa"/>
            <w:tcBorders>
              <w:top w:val="single" w:sz="4" w:space="0" w:color="365F91"/>
              <w:left w:val="nil"/>
              <w:bottom w:val="single" w:sz="4" w:space="0" w:color="365F91"/>
              <w:right w:val="nil"/>
              <w:tl2br w:val="nil"/>
              <w:tr2bl w:val="nil"/>
            </w:tcBorders>
            <w:shd w:val="clear" w:color="2E74B5" w:fill="auto"/>
            <w:vAlign w:val="bottom"/>
          </w:tcPr>
          <w:p w14:paraId="7D0AF083" w14:textId="77777777" w:rsidR="00643D10" w:rsidRPr="00D9348B" w:rsidRDefault="00643D10" w:rsidP="00DB330E">
            <w:pPr>
              <w:pStyle w:val="TableText"/>
              <w:rPr>
                <w:rFonts w:cs="Calibri"/>
                <w:b/>
                <w:szCs w:val="16"/>
              </w:rPr>
            </w:pPr>
            <w:r w:rsidRPr="00D9348B">
              <w:rPr>
                <w:rFonts w:cs="Calibri"/>
                <w:szCs w:val="16"/>
              </w:rPr>
              <w:t>3.A.1</w:t>
            </w:r>
          </w:p>
        </w:tc>
        <w:tc>
          <w:tcPr>
            <w:tcW w:w="4187" w:type="dxa"/>
            <w:tcBorders>
              <w:top w:val="single" w:sz="4" w:space="0" w:color="365F91"/>
              <w:left w:val="nil"/>
              <w:bottom w:val="single" w:sz="4" w:space="0" w:color="365F91"/>
              <w:right w:val="nil"/>
              <w:tl2br w:val="nil"/>
              <w:tr2bl w:val="nil"/>
            </w:tcBorders>
            <w:shd w:val="clear" w:color="2E74B5" w:fill="auto"/>
            <w:noWrap/>
            <w:vAlign w:val="bottom"/>
            <w:hideMark/>
          </w:tcPr>
          <w:p w14:paraId="27B9BA7E" w14:textId="77777777" w:rsidR="00643D10" w:rsidRPr="00D9348B" w:rsidRDefault="00643D10" w:rsidP="00DB330E">
            <w:pPr>
              <w:pStyle w:val="TableText"/>
              <w:rPr>
                <w:rFonts w:cs="Calibri"/>
                <w:b/>
                <w:szCs w:val="16"/>
              </w:rPr>
            </w:pPr>
            <w:r w:rsidRPr="00D9348B">
              <w:rPr>
                <w:rFonts w:cs="Calibri"/>
                <w:szCs w:val="16"/>
              </w:rPr>
              <w:t>Option A – Non-dairy Cattle</w:t>
            </w:r>
          </w:p>
        </w:tc>
        <w:tc>
          <w:tcPr>
            <w:tcW w:w="611" w:type="dxa"/>
            <w:tcBorders>
              <w:top w:val="single" w:sz="4" w:space="0" w:color="365F91"/>
              <w:left w:val="nil"/>
              <w:bottom w:val="single" w:sz="4" w:space="0" w:color="365F91"/>
              <w:right w:val="nil"/>
              <w:tl2br w:val="nil"/>
              <w:tr2bl w:val="nil"/>
            </w:tcBorders>
            <w:shd w:val="clear" w:color="2E74B5" w:fill="auto"/>
            <w:vAlign w:val="bottom"/>
            <w:hideMark/>
          </w:tcPr>
          <w:p w14:paraId="1B3432A4" w14:textId="77777777" w:rsidR="00643D10" w:rsidRPr="00D9348B" w:rsidRDefault="00643D10" w:rsidP="00DB330E">
            <w:pPr>
              <w:pStyle w:val="TableText"/>
              <w:jc w:val="center"/>
              <w:rPr>
                <w:rFonts w:cs="Calibri"/>
                <w:b/>
                <w:bCs/>
                <w:szCs w:val="16"/>
              </w:rPr>
            </w:pPr>
            <w:r w:rsidRPr="00D9348B">
              <w:rPr>
                <w:rFonts w:cs="Calibri"/>
                <w:szCs w:val="16"/>
              </w:rPr>
              <w:t>CH</w:t>
            </w:r>
            <w:r w:rsidRPr="00D9348B">
              <w:rPr>
                <w:rFonts w:cs="Calibri"/>
                <w:szCs w:val="16"/>
                <w:vertAlign w:val="subscript"/>
              </w:rPr>
              <w:t>4</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3C878044" w14:textId="77777777" w:rsidR="00643D10" w:rsidRPr="00D9348B" w:rsidRDefault="00643D10" w:rsidP="00DB330E">
            <w:pPr>
              <w:pStyle w:val="TableText"/>
              <w:jc w:val="right"/>
              <w:rPr>
                <w:rFonts w:cs="Calibri"/>
                <w:b/>
                <w:bCs/>
                <w:szCs w:val="16"/>
              </w:rPr>
            </w:pPr>
            <w:r w:rsidRPr="00D9348B">
              <w:rPr>
                <w:rFonts w:cs="Calibri"/>
                <w:bCs/>
                <w:szCs w:val="16"/>
              </w:rPr>
              <w:t>5,402.2</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35507D81" w14:textId="77777777" w:rsidR="00643D10" w:rsidRPr="00D9348B" w:rsidRDefault="00643D10" w:rsidP="00DB330E">
            <w:pPr>
              <w:pStyle w:val="TableText"/>
              <w:jc w:val="right"/>
              <w:rPr>
                <w:rFonts w:cs="Calibri"/>
                <w:b/>
                <w:bCs/>
                <w:szCs w:val="16"/>
              </w:rPr>
            </w:pPr>
            <w:r w:rsidRPr="00D9348B">
              <w:rPr>
                <w:rFonts w:cs="Calibri"/>
                <w:bCs/>
                <w:szCs w:val="16"/>
              </w:rPr>
              <w:t>4.9</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6BEB9EAB" w14:textId="77777777" w:rsidR="00643D10" w:rsidRPr="00D9348B" w:rsidRDefault="00643D10" w:rsidP="00DB330E">
            <w:pPr>
              <w:pStyle w:val="TableText"/>
              <w:jc w:val="right"/>
              <w:rPr>
                <w:rFonts w:cs="Calibri"/>
                <w:b/>
                <w:bCs/>
                <w:szCs w:val="16"/>
              </w:rPr>
            </w:pPr>
            <w:r w:rsidRPr="00D9348B">
              <w:rPr>
                <w:rFonts w:cs="Calibri"/>
                <w:bCs/>
                <w:szCs w:val="16"/>
              </w:rPr>
              <w:t>61.9</w:t>
            </w:r>
          </w:p>
        </w:tc>
      </w:tr>
      <w:tr w:rsidR="001A5BD0" w:rsidRPr="00D9348B" w14:paraId="739D47FA" w14:textId="77777777" w:rsidTr="00217967">
        <w:tc>
          <w:tcPr>
            <w:tcW w:w="1031" w:type="dxa"/>
            <w:tcBorders>
              <w:top w:val="single" w:sz="4" w:space="0" w:color="365F91"/>
              <w:left w:val="nil"/>
              <w:bottom w:val="single" w:sz="4" w:space="0" w:color="365F91"/>
              <w:right w:val="nil"/>
              <w:tl2br w:val="nil"/>
              <w:tr2bl w:val="nil"/>
            </w:tcBorders>
            <w:shd w:val="clear" w:color="2E74B5" w:fill="auto"/>
            <w:vAlign w:val="bottom"/>
          </w:tcPr>
          <w:p w14:paraId="43AF051C" w14:textId="77777777" w:rsidR="00643D10" w:rsidRPr="00D9348B" w:rsidRDefault="00643D10" w:rsidP="00DB330E">
            <w:pPr>
              <w:pStyle w:val="TableText"/>
              <w:rPr>
                <w:rFonts w:cs="Calibri"/>
                <w:b/>
                <w:szCs w:val="16"/>
              </w:rPr>
            </w:pPr>
            <w:r w:rsidRPr="00D9348B">
              <w:rPr>
                <w:rFonts w:cs="Calibri"/>
                <w:szCs w:val="16"/>
              </w:rPr>
              <w:t>3.D.1.3</w:t>
            </w:r>
          </w:p>
        </w:tc>
        <w:tc>
          <w:tcPr>
            <w:tcW w:w="4187" w:type="dxa"/>
            <w:tcBorders>
              <w:top w:val="single" w:sz="4" w:space="0" w:color="365F91"/>
              <w:left w:val="nil"/>
              <w:bottom w:val="single" w:sz="4" w:space="0" w:color="365F91"/>
              <w:right w:val="nil"/>
              <w:tl2br w:val="nil"/>
              <w:tr2bl w:val="nil"/>
            </w:tcBorders>
            <w:shd w:val="clear" w:color="2E74B5" w:fill="auto"/>
            <w:noWrap/>
            <w:vAlign w:val="bottom"/>
            <w:hideMark/>
          </w:tcPr>
          <w:p w14:paraId="2C63D4D8" w14:textId="77777777" w:rsidR="00643D10" w:rsidRPr="00D9348B" w:rsidRDefault="00643D10" w:rsidP="00DB330E">
            <w:pPr>
              <w:pStyle w:val="TableText"/>
              <w:rPr>
                <w:rFonts w:cs="Calibri"/>
                <w:b/>
                <w:szCs w:val="16"/>
              </w:rPr>
            </w:pPr>
            <w:r w:rsidRPr="00D9348B">
              <w:rPr>
                <w:rFonts w:cs="Calibri"/>
                <w:szCs w:val="16"/>
              </w:rPr>
              <w:t>Direct N</w:t>
            </w:r>
            <w:r w:rsidRPr="00D9348B">
              <w:rPr>
                <w:rFonts w:cs="Calibri"/>
                <w:szCs w:val="16"/>
                <w:vertAlign w:val="subscript"/>
              </w:rPr>
              <w:t>2</w:t>
            </w:r>
            <w:r w:rsidRPr="00D9348B">
              <w:rPr>
                <w:rFonts w:cs="Calibri"/>
                <w:szCs w:val="16"/>
              </w:rPr>
              <w:t>O Emissions from Managed Soils – Urine and Dung Deposited by Grazing Animals</w:t>
            </w:r>
          </w:p>
        </w:tc>
        <w:tc>
          <w:tcPr>
            <w:tcW w:w="611" w:type="dxa"/>
            <w:tcBorders>
              <w:top w:val="single" w:sz="4" w:space="0" w:color="365F91"/>
              <w:left w:val="nil"/>
              <w:bottom w:val="single" w:sz="4" w:space="0" w:color="365F91"/>
              <w:right w:val="nil"/>
              <w:tl2br w:val="nil"/>
              <w:tr2bl w:val="nil"/>
            </w:tcBorders>
            <w:shd w:val="clear" w:color="2E74B5" w:fill="auto"/>
            <w:vAlign w:val="bottom"/>
            <w:hideMark/>
          </w:tcPr>
          <w:p w14:paraId="0CE93BDD" w14:textId="77777777" w:rsidR="00643D10" w:rsidRPr="00D9348B" w:rsidRDefault="00643D10" w:rsidP="00DB330E">
            <w:pPr>
              <w:pStyle w:val="TableText"/>
              <w:jc w:val="center"/>
              <w:rPr>
                <w:rFonts w:cs="Calibri"/>
                <w:b/>
                <w:bCs/>
                <w:szCs w:val="16"/>
              </w:rPr>
            </w:pPr>
            <w:r w:rsidRPr="00D9348B">
              <w:rPr>
                <w:rFonts w:cs="Calibri"/>
                <w:szCs w:val="16"/>
              </w:rPr>
              <w:t>N</w:t>
            </w:r>
            <w:r w:rsidRPr="00D9348B">
              <w:rPr>
                <w:rFonts w:cs="Calibri"/>
                <w:szCs w:val="16"/>
                <w:vertAlign w:val="subscript"/>
              </w:rPr>
              <w:t>2</w:t>
            </w:r>
            <w:r w:rsidRPr="00D9348B">
              <w:rPr>
                <w:rFonts w:cs="Calibri"/>
                <w:szCs w:val="16"/>
              </w:rPr>
              <w:t>O</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6AAA3525" w14:textId="77777777" w:rsidR="00643D10" w:rsidRPr="00D9348B" w:rsidRDefault="00643D10" w:rsidP="00DB330E">
            <w:pPr>
              <w:pStyle w:val="TableText"/>
              <w:jc w:val="right"/>
              <w:rPr>
                <w:rFonts w:cs="Calibri"/>
                <w:b/>
                <w:bCs/>
                <w:szCs w:val="16"/>
              </w:rPr>
            </w:pPr>
            <w:r w:rsidRPr="00D9348B">
              <w:rPr>
                <w:rFonts w:cs="Calibri"/>
                <w:bCs/>
                <w:szCs w:val="16"/>
              </w:rPr>
              <w:t>3,824.2</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1EC5BE8F" w14:textId="77777777" w:rsidR="00643D10" w:rsidRPr="00D9348B" w:rsidRDefault="00643D10" w:rsidP="00DB330E">
            <w:pPr>
              <w:pStyle w:val="TableText"/>
              <w:jc w:val="right"/>
              <w:rPr>
                <w:rFonts w:cs="Calibri"/>
                <w:b/>
                <w:bCs/>
                <w:szCs w:val="16"/>
              </w:rPr>
            </w:pPr>
            <w:r w:rsidRPr="00D9348B">
              <w:rPr>
                <w:rFonts w:cs="Calibri"/>
                <w:bCs/>
                <w:szCs w:val="16"/>
              </w:rPr>
              <w:t>3.4</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232C3FEE" w14:textId="77777777" w:rsidR="00643D10" w:rsidRPr="00D9348B" w:rsidRDefault="00643D10" w:rsidP="00DB330E">
            <w:pPr>
              <w:pStyle w:val="TableText"/>
              <w:jc w:val="right"/>
              <w:rPr>
                <w:rFonts w:cs="Calibri"/>
                <w:b/>
                <w:bCs/>
                <w:szCs w:val="16"/>
              </w:rPr>
            </w:pPr>
            <w:r w:rsidRPr="00D9348B">
              <w:rPr>
                <w:rFonts w:cs="Calibri"/>
                <w:bCs/>
                <w:szCs w:val="16"/>
              </w:rPr>
              <w:t>65.4</w:t>
            </w:r>
          </w:p>
        </w:tc>
      </w:tr>
      <w:tr w:rsidR="001A5BD0" w:rsidRPr="00D9348B" w14:paraId="37CFBB2B" w14:textId="77777777" w:rsidTr="00217967">
        <w:tc>
          <w:tcPr>
            <w:tcW w:w="1031" w:type="dxa"/>
            <w:tcBorders>
              <w:top w:val="single" w:sz="4" w:space="0" w:color="365F91"/>
              <w:left w:val="nil"/>
              <w:bottom w:val="single" w:sz="4" w:space="0" w:color="365F91"/>
              <w:right w:val="nil"/>
              <w:tl2br w:val="nil"/>
              <w:tr2bl w:val="nil"/>
            </w:tcBorders>
            <w:shd w:val="clear" w:color="2E74B5" w:fill="auto"/>
            <w:vAlign w:val="bottom"/>
          </w:tcPr>
          <w:p w14:paraId="73DF3CB3" w14:textId="77777777" w:rsidR="00643D10" w:rsidRPr="00D9348B" w:rsidRDefault="00643D10" w:rsidP="00DB330E">
            <w:pPr>
              <w:pStyle w:val="TableText"/>
              <w:rPr>
                <w:rFonts w:cs="Calibri"/>
                <w:b/>
                <w:szCs w:val="16"/>
              </w:rPr>
            </w:pPr>
            <w:r w:rsidRPr="00D9348B">
              <w:rPr>
                <w:rFonts w:cs="Calibri"/>
                <w:szCs w:val="16"/>
              </w:rPr>
              <w:t>5.A</w:t>
            </w:r>
          </w:p>
        </w:tc>
        <w:tc>
          <w:tcPr>
            <w:tcW w:w="4187" w:type="dxa"/>
            <w:tcBorders>
              <w:top w:val="single" w:sz="4" w:space="0" w:color="365F91"/>
              <w:left w:val="nil"/>
              <w:bottom w:val="single" w:sz="4" w:space="0" w:color="365F91"/>
              <w:right w:val="nil"/>
              <w:tl2br w:val="nil"/>
              <w:tr2bl w:val="nil"/>
            </w:tcBorders>
            <w:shd w:val="clear" w:color="2E74B5" w:fill="auto"/>
            <w:noWrap/>
            <w:vAlign w:val="bottom"/>
            <w:hideMark/>
          </w:tcPr>
          <w:p w14:paraId="56289B08" w14:textId="77777777" w:rsidR="00643D10" w:rsidRPr="00D9348B" w:rsidRDefault="00643D10" w:rsidP="00DB330E">
            <w:pPr>
              <w:pStyle w:val="TableText"/>
              <w:rPr>
                <w:rFonts w:cs="Calibri"/>
                <w:b/>
                <w:szCs w:val="16"/>
              </w:rPr>
            </w:pPr>
            <w:r w:rsidRPr="00D9348B">
              <w:rPr>
                <w:rFonts w:cs="Calibri"/>
                <w:szCs w:val="16"/>
              </w:rPr>
              <w:t>Waste – Solid Waste Disposal</w:t>
            </w:r>
          </w:p>
        </w:tc>
        <w:tc>
          <w:tcPr>
            <w:tcW w:w="611" w:type="dxa"/>
            <w:tcBorders>
              <w:top w:val="single" w:sz="4" w:space="0" w:color="365F91"/>
              <w:left w:val="nil"/>
              <w:bottom w:val="single" w:sz="4" w:space="0" w:color="365F91"/>
              <w:right w:val="nil"/>
              <w:tl2br w:val="nil"/>
              <w:tr2bl w:val="nil"/>
            </w:tcBorders>
            <w:shd w:val="clear" w:color="2E74B5" w:fill="auto"/>
            <w:vAlign w:val="bottom"/>
            <w:hideMark/>
          </w:tcPr>
          <w:p w14:paraId="6ED0736C" w14:textId="77777777" w:rsidR="00643D10" w:rsidRPr="00D9348B" w:rsidRDefault="00643D10" w:rsidP="00DB330E">
            <w:pPr>
              <w:pStyle w:val="TableText"/>
              <w:jc w:val="center"/>
              <w:rPr>
                <w:rFonts w:cs="Calibri"/>
                <w:b/>
                <w:bCs/>
                <w:szCs w:val="16"/>
              </w:rPr>
            </w:pPr>
            <w:r w:rsidRPr="00D9348B">
              <w:rPr>
                <w:rFonts w:cs="Calibri"/>
                <w:szCs w:val="16"/>
              </w:rPr>
              <w:t>CH</w:t>
            </w:r>
            <w:r w:rsidRPr="00D9348B">
              <w:rPr>
                <w:rFonts w:cs="Calibri"/>
                <w:szCs w:val="16"/>
                <w:vertAlign w:val="subscript"/>
              </w:rPr>
              <w:t>4</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4DE8D731" w14:textId="77777777" w:rsidR="00643D10" w:rsidRPr="00D9348B" w:rsidRDefault="00643D10" w:rsidP="00DB330E">
            <w:pPr>
              <w:pStyle w:val="TableText"/>
              <w:jc w:val="right"/>
              <w:rPr>
                <w:rFonts w:cs="Calibri"/>
                <w:b/>
                <w:bCs/>
                <w:szCs w:val="16"/>
              </w:rPr>
            </w:pPr>
            <w:r w:rsidRPr="00D9348B">
              <w:rPr>
                <w:rFonts w:cs="Calibri"/>
                <w:bCs/>
                <w:szCs w:val="16"/>
              </w:rPr>
              <w:t>3,651.8</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78944E6F" w14:textId="77777777" w:rsidR="00643D10" w:rsidRPr="00D9348B" w:rsidRDefault="00643D10" w:rsidP="00DB330E">
            <w:pPr>
              <w:pStyle w:val="TableText"/>
              <w:jc w:val="right"/>
              <w:rPr>
                <w:rFonts w:cs="Calibri"/>
                <w:b/>
                <w:bCs/>
                <w:szCs w:val="16"/>
              </w:rPr>
            </w:pPr>
            <w:r w:rsidRPr="00D9348B">
              <w:rPr>
                <w:rFonts w:cs="Calibri"/>
                <w:bCs/>
                <w:szCs w:val="16"/>
              </w:rPr>
              <w:t>3.3</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6C91FE25" w14:textId="77777777" w:rsidR="00643D10" w:rsidRPr="00D9348B" w:rsidRDefault="00643D10" w:rsidP="00DB330E">
            <w:pPr>
              <w:pStyle w:val="TableText"/>
              <w:jc w:val="right"/>
              <w:rPr>
                <w:rFonts w:cs="Calibri"/>
                <w:b/>
                <w:bCs/>
                <w:szCs w:val="16"/>
              </w:rPr>
            </w:pPr>
            <w:r w:rsidRPr="00D9348B">
              <w:rPr>
                <w:rFonts w:cs="Calibri"/>
                <w:bCs/>
                <w:szCs w:val="16"/>
              </w:rPr>
              <w:t>68.7</w:t>
            </w:r>
          </w:p>
        </w:tc>
      </w:tr>
      <w:tr w:rsidR="001A5BD0" w:rsidRPr="00D9348B" w14:paraId="5730B65E" w14:textId="77777777" w:rsidTr="00217967">
        <w:tc>
          <w:tcPr>
            <w:tcW w:w="1031" w:type="dxa"/>
            <w:tcBorders>
              <w:top w:val="single" w:sz="4" w:space="0" w:color="365F91"/>
              <w:left w:val="nil"/>
              <w:bottom w:val="single" w:sz="4" w:space="0" w:color="365F91"/>
              <w:right w:val="nil"/>
              <w:tl2br w:val="nil"/>
              <w:tr2bl w:val="nil"/>
            </w:tcBorders>
            <w:shd w:val="clear" w:color="2E74B5" w:fill="auto"/>
            <w:vAlign w:val="bottom"/>
          </w:tcPr>
          <w:p w14:paraId="374C1F7D" w14:textId="77777777" w:rsidR="00643D10" w:rsidRPr="00D9348B" w:rsidRDefault="00643D10" w:rsidP="00DB330E">
            <w:pPr>
              <w:pStyle w:val="TableText"/>
              <w:rPr>
                <w:rFonts w:cs="Calibri"/>
                <w:b/>
                <w:szCs w:val="16"/>
              </w:rPr>
            </w:pPr>
            <w:r w:rsidRPr="00D9348B">
              <w:rPr>
                <w:rFonts w:cs="Calibri"/>
                <w:szCs w:val="16"/>
              </w:rPr>
              <w:t>4.C.2</w:t>
            </w:r>
          </w:p>
        </w:tc>
        <w:tc>
          <w:tcPr>
            <w:tcW w:w="4187" w:type="dxa"/>
            <w:tcBorders>
              <w:top w:val="single" w:sz="4" w:space="0" w:color="365F91"/>
              <w:left w:val="nil"/>
              <w:bottom w:val="single" w:sz="4" w:space="0" w:color="365F91"/>
              <w:right w:val="nil"/>
              <w:tl2br w:val="nil"/>
              <w:tr2bl w:val="nil"/>
            </w:tcBorders>
            <w:shd w:val="clear" w:color="2E74B5" w:fill="auto"/>
            <w:noWrap/>
            <w:vAlign w:val="bottom"/>
            <w:hideMark/>
          </w:tcPr>
          <w:p w14:paraId="7E60C118" w14:textId="77777777" w:rsidR="00643D10" w:rsidRPr="00D9348B" w:rsidRDefault="00643D10" w:rsidP="00DB330E">
            <w:pPr>
              <w:pStyle w:val="TableText"/>
              <w:rPr>
                <w:rFonts w:cs="Calibri"/>
                <w:b/>
                <w:szCs w:val="16"/>
              </w:rPr>
            </w:pPr>
            <w:r w:rsidRPr="00D9348B">
              <w:rPr>
                <w:rFonts w:cs="Calibri"/>
                <w:szCs w:val="16"/>
              </w:rPr>
              <w:t>Grassland – Land Converted to Grassland</w:t>
            </w:r>
          </w:p>
        </w:tc>
        <w:tc>
          <w:tcPr>
            <w:tcW w:w="611" w:type="dxa"/>
            <w:tcBorders>
              <w:top w:val="single" w:sz="4" w:space="0" w:color="365F91"/>
              <w:left w:val="nil"/>
              <w:bottom w:val="single" w:sz="4" w:space="0" w:color="365F91"/>
              <w:right w:val="nil"/>
              <w:tl2br w:val="nil"/>
              <w:tr2bl w:val="nil"/>
            </w:tcBorders>
            <w:shd w:val="clear" w:color="2E74B5" w:fill="auto"/>
            <w:vAlign w:val="bottom"/>
            <w:hideMark/>
          </w:tcPr>
          <w:p w14:paraId="60DCA8E2" w14:textId="77777777" w:rsidR="00643D10" w:rsidRPr="00D9348B" w:rsidRDefault="00643D10" w:rsidP="00DB330E">
            <w:pPr>
              <w:pStyle w:val="TableText"/>
              <w:jc w:val="center"/>
              <w:rPr>
                <w:rFonts w:cs="Calibri"/>
                <w:b/>
                <w:bCs/>
                <w:szCs w:val="16"/>
              </w:rPr>
            </w:pPr>
            <w:r w:rsidRPr="00D9348B">
              <w:rPr>
                <w:rFonts w:cs="Calibri"/>
                <w:szCs w:val="16"/>
              </w:rPr>
              <w:t>CO</w:t>
            </w:r>
            <w:r w:rsidRPr="00D9348B">
              <w:rPr>
                <w:rFonts w:cs="Calibri"/>
                <w:szCs w:val="16"/>
                <w:vertAlign w:val="subscript"/>
              </w:rPr>
              <w:t>2</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0C47C6FD" w14:textId="77777777" w:rsidR="00643D10" w:rsidRPr="00D9348B" w:rsidRDefault="00643D10" w:rsidP="00DB330E">
            <w:pPr>
              <w:pStyle w:val="TableText"/>
              <w:jc w:val="right"/>
              <w:rPr>
                <w:rFonts w:cs="Calibri"/>
                <w:b/>
                <w:bCs/>
                <w:szCs w:val="16"/>
              </w:rPr>
            </w:pPr>
            <w:r w:rsidRPr="00D9348B">
              <w:rPr>
                <w:rFonts w:cs="Calibri"/>
                <w:bCs/>
                <w:szCs w:val="16"/>
              </w:rPr>
              <w:t>2,434.9</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38A98611" w14:textId="77777777" w:rsidR="00643D10" w:rsidRPr="00D9348B" w:rsidRDefault="00643D10" w:rsidP="00DB330E">
            <w:pPr>
              <w:pStyle w:val="TableText"/>
              <w:jc w:val="right"/>
              <w:rPr>
                <w:rFonts w:cs="Calibri"/>
                <w:b/>
                <w:bCs/>
                <w:szCs w:val="16"/>
              </w:rPr>
            </w:pPr>
            <w:r w:rsidRPr="00D9348B">
              <w:rPr>
                <w:rFonts w:cs="Calibri"/>
                <w:bCs/>
                <w:szCs w:val="16"/>
              </w:rPr>
              <w:t>2.2</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5A890FD1" w14:textId="77777777" w:rsidR="00643D10" w:rsidRPr="00D9348B" w:rsidRDefault="00643D10" w:rsidP="00DB330E">
            <w:pPr>
              <w:pStyle w:val="TableText"/>
              <w:jc w:val="right"/>
              <w:rPr>
                <w:rFonts w:cs="Calibri"/>
                <w:b/>
                <w:bCs/>
                <w:szCs w:val="16"/>
              </w:rPr>
            </w:pPr>
            <w:r w:rsidRPr="00D9348B">
              <w:rPr>
                <w:rFonts w:cs="Calibri"/>
                <w:bCs/>
                <w:szCs w:val="16"/>
              </w:rPr>
              <w:t>70.9</w:t>
            </w:r>
          </w:p>
        </w:tc>
      </w:tr>
      <w:tr w:rsidR="001A5BD0" w:rsidRPr="00D9348B" w14:paraId="18B9A483" w14:textId="77777777" w:rsidTr="00217967">
        <w:tc>
          <w:tcPr>
            <w:tcW w:w="1031" w:type="dxa"/>
            <w:tcBorders>
              <w:top w:val="single" w:sz="4" w:space="0" w:color="365F91"/>
              <w:left w:val="nil"/>
              <w:bottom w:val="single" w:sz="4" w:space="0" w:color="365F91"/>
              <w:right w:val="nil"/>
              <w:tl2br w:val="nil"/>
              <w:tr2bl w:val="nil"/>
            </w:tcBorders>
            <w:shd w:val="clear" w:color="2E74B5" w:fill="auto"/>
            <w:vAlign w:val="bottom"/>
          </w:tcPr>
          <w:p w14:paraId="02D10E24" w14:textId="77777777" w:rsidR="00643D10" w:rsidRPr="00D9348B" w:rsidRDefault="00643D10" w:rsidP="00DB330E">
            <w:pPr>
              <w:pStyle w:val="TableText"/>
              <w:rPr>
                <w:rFonts w:cs="Calibri"/>
                <w:b/>
                <w:szCs w:val="16"/>
              </w:rPr>
            </w:pPr>
            <w:r w:rsidRPr="00D9348B">
              <w:rPr>
                <w:rFonts w:cs="Calibri"/>
                <w:szCs w:val="16"/>
              </w:rPr>
              <w:t>1.A.1.a</w:t>
            </w:r>
          </w:p>
        </w:tc>
        <w:tc>
          <w:tcPr>
            <w:tcW w:w="4187" w:type="dxa"/>
            <w:tcBorders>
              <w:top w:val="single" w:sz="4" w:space="0" w:color="365F91"/>
              <w:left w:val="nil"/>
              <w:bottom w:val="single" w:sz="4" w:space="0" w:color="365F91"/>
              <w:right w:val="nil"/>
              <w:tl2br w:val="nil"/>
              <w:tr2bl w:val="nil"/>
            </w:tcBorders>
            <w:shd w:val="clear" w:color="2E74B5" w:fill="auto"/>
            <w:noWrap/>
            <w:vAlign w:val="bottom"/>
            <w:hideMark/>
          </w:tcPr>
          <w:p w14:paraId="29183453" w14:textId="77777777" w:rsidR="00643D10" w:rsidRPr="00D9348B" w:rsidRDefault="00643D10" w:rsidP="00DB330E">
            <w:pPr>
              <w:pStyle w:val="TableText"/>
              <w:rPr>
                <w:rFonts w:cs="Calibri"/>
                <w:b/>
                <w:szCs w:val="16"/>
              </w:rPr>
            </w:pPr>
            <w:r w:rsidRPr="00D9348B">
              <w:rPr>
                <w:rFonts w:cs="Calibri"/>
                <w:szCs w:val="16"/>
              </w:rPr>
              <w:t>Energy Industries – Public Electricity and Heat Production Gaseous Fuels</w:t>
            </w:r>
          </w:p>
        </w:tc>
        <w:tc>
          <w:tcPr>
            <w:tcW w:w="611" w:type="dxa"/>
            <w:tcBorders>
              <w:top w:val="single" w:sz="4" w:space="0" w:color="365F91"/>
              <w:left w:val="nil"/>
              <w:bottom w:val="single" w:sz="4" w:space="0" w:color="365F91"/>
              <w:right w:val="nil"/>
              <w:tl2br w:val="nil"/>
              <w:tr2bl w:val="nil"/>
            </w:tcBorders>
            <w:shd w:val="clear" w:color="2E74B5" w:fill="auto"/>
            <w:vAlign w:val="bottom"/>
            <w:hideMark/>
          </w:tcPr>
          <w:p w14:paraId="209C254E" w14:textId="77777777" w:rsidR="00643D10" w:rsidRPr="00D9348B" w:rsidRDefault="00643D10" w:rsidP="00DB330E">
            <w:pPr>
              <w:pStyle w:val="TableText"/>
              <w:jc w:val="center"/>
              <w:rPr>
                <w:rFonts w:cs="Calibri"/>
                <w:b/>
                <w:bCs/>
                <w:szCs w:val="16"/>
              </w:rPr>
            </w:pPr>
            <w:r w:rsidRPr="00D9348B">
              <w:rPr>
                <w:rFonts w:cs="Calibri"/>
                <w:szCs w:val="16"/>
              </w:rPr>
              <w:t>CO</w:t>
            </w:r>
            <w:r w:rsidRPr="00D9348B">
              <w:rPr>
                <w:rFonts w:cs="Calibri"/>
                <w:szCs w:val="16"/>
                <w:vertAlign w:val="subscript"/>
              </w:rPr>
              <w:t>2</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214FE0F4" w14:textId="77777777" w:rsidR="00643D10" w:rsidRPr="00D9348B" w:rsidRDefault="00643D10" w:rsidP="00DB330E">
            <w:pPr>
              <w:pStyle w:val="TableText"/>
              <w:jc w:val="right"/>
              <w:rPr>
                <w:rFonts w:cs="Calibri"/>
                <w:b/>
                <w:bCs/>
                <w:szCs w:val="16"/>
              </w:rPr>
            </w:pPr>
            <w:r w:rsidRPr="00D9348B">
              <w:rPr>
                <w:rFonts w:cs="Calibri"/>
                <w:bCs/>
                <w:szCs w:val="16"/>
              </w:rPr>
              <w:t>2,366.6</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1075AC49" w14:textId="77777777" w:rsidR="00643D10" w:rsidRPr="00D9348B" w:rsidRDefault="00643D10" w:rsidP="00DB330E">
            <w:pPr>
              <w:pStyle w:val="TableText"/>
              <w:jc w:val="right"/>
              <w:rPr>
                <w:rFonts w:cs="Calibri"/>
                <w:b/>
                <w:bCs/>
                <w:szCs w:val="16"/>
              </w:rPr>
            </w:pPr>
            <w:r w:rsidRPr="00D9348B">
              <w:rPr>
                <w:rFonts w:cs="Calibri"/>
                <w:bCs/>
                <w:szCs w:val="16"/>
              </w:rPr>
              <w:t>2.1</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0D5F367A" w14:textId="77777777" w:rsidR="00643D10" w:rsidRPr="00D9348B" w:rsidRDefault="00643D10" w:rsidP="00DB330E">
            <w:pPr>
              <w:pStyle w:val="TableText"/>
              <w:jc w:val="right"/>
              <w:rPr>
                <w:rFonts w:cs="Calibri"/>
                <w:b/>
                <w:bCs/>
                <w:szCs w:val="16"/>
              </w:rPr>
            </w:pPr>
            <w:r w:rsidRPr="00D9348B">
              <w:rPr>
                <w:rFonts w:cs="Calibri"/>
                <w:bCs/>
                <w:szCs w:val="16"/>
              </w:rPr>
              <w:t>73.0</w:t>
            </w:r>
          </w:p>
        </w:tc>
      </w:tr>
      <w:tr w:rsidR="001A5BD0" w:rsidRPr="00D9348B" w14:paraId="03F10ACD" w14:textId="77777777" w:rsidTr="00217967">
        <w:tc>
          <w:tcPr>
            <w:tcW w:w="1031" w:type="dxa"/>
            <w:tcBorders>
              <w:top w:val="single" w:sz="4" w:space="0" w:color="365F91"/>
              <w:left w:val="nil"/>
              <w:bottom w:val="single" w:sz="4" w:space="0" w:color="365F91"/>
              <w:right w:val="nil"/>
              <w:tl2br w:val="nil"/>
              <w:tr2bl w:val="nil"/>
            </w:tcBorders>
            <w:shd w:val="clear" w:color="2E74B5" w:fill="auto"/>
            <w:vAlign w:val="bottom"/>
          </w:tcPr>
          <w:p w14:paraId="24E9064A" w14:textId="77777777" w:rsidR="00643D10" w:rsidRPr="00D9348B" w:rsidRDefault="00643D10" w:rsidP="00DB330E">
            <w:pPr>
              <w:pStyle w:val="TableText"/>
              <w:rPr>
                <w:rFonts w:cs="Calibri"/>
                <w:b/>
                <w:szCs w:val="16"/>
              </w:rPr>
            </w:pPr>
            <w:r w:rsidRPr="00D9348B">
              <w:rPr>
                <w:rFonts w:cs="Calibri"/>
                <w:szCs w:val="16"/>
              </w:rPr>
              <w:t>2.F.1</w:t>
            </w:r>
          </w:p>
        </w:tc>
        <w:tc>
          <w:tcPr>
            <w:tcW w:w="4187" w:type="dxa"/>
            <w:tcBorders>
              <w:top w:val="single" w:sz="4" w:space="0" w:color="365F91"/>
              <w:left w:val="nil"/>
              <w:bottom w:val="single" w:sz="4" w:space="0" w:color="365F91"/>
              <w:right w:val="nil"/>
              <w:tl2br w:val="nil"/>
              <w:tr2bl w:val="nil"/>
            </w:tcBorders>
            <w:shd w:val="clear" w:color="2E74B5" w:fill="auto"/>
            <w:noWrap/>
            <w:vAlign w:val="bottom"/>
            <w:hideMark/>
          </w:tcPr>
          <w:p w14:paraId="1AA3106A" w14:textId="77777777" w:rsidR="00643D10" w:rsidRPr="00D9348B" w:rsidRDefault="00643D10" w:rsidP="00DB330E">
            <w:pPr>
              <w:pStyle w:val="TableText"/>
              <w:rPr>
                <w:rFonts w:cs="Calibri"/>
                <w:b/>
                <w:szCs w:val="16"/>
              </w:rPr>
            </w:pPr>
            <w:r w:rsidRPr="00D9348B">
              <w:rPr>
                <w:rFonts w:cs="Calibri"/>
                <w:szCs w:val="16"/>
              </w:rPr>
              <w:t>Product Uses as Substitutes for ODS – Refrigeration and Air Conditioning</w:t>
            </w:r>
          </w:p>
        </w:tc>
        <w:tc>
          <w:tcPr>
            <w:tcW w:w="611" w:type="dxa"/>
            <w:tcBorders>
              <w:top w:val="single" w:sz="4" w:space="0" w:color="365F91"/>
              <w:left w:val="nil"/>
              <w:bottom w:val="single" w:sz="4" w:space="0" w:color="365F91"/>
              <w:right w:val="nil"/>
              <w:tl2br w:val="nil"/>
              <w:tr2bl w:val="nil"/>
            </w:tcBorders>
            <w:shd w:val="clear" w:color="2E74B5" w:fill="auto"/>
            <w:vAlign w:val="bottom"/>
            <w:hideMark/>
          </w:tcPr>
          <w:p w14:paraId="7CB96994" w14:textId="77777777" w:rsidR="00643D10" w:rsidRPr="00D9348B" w:rsidRDefault="00643D10" w:rsidP="00DB330E">
            <w:pPr>
              <w:pStyle w:val="TableText"/>
              <w:jc w:val="center"/>
              <w:rPr>
                <w:rFonts w:cs="Calibri"/>
                <w:b/>
                <w:bCs/>
                <w:szCs w:val="16"/>
              </w:rPr>
            </w:pPr>
            <w:r w:rsidRPr="00D9348B">
              <w:rPr>
                <w:rFonts w:cs="Calibri"/>
                <w:bCs/>
                <w:szCs w:val="16"/>
              </w:rPr>
              <w:t>HFCs</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70144002" w14:textId="77777777" w:rsidR="00643D10" w:rsidRPr="00D9348B" w:rsidRDefault="00643D10" w:rsidP="00DB330E">
            <w:pPr>
              <w:pStyle w:val="TableText"/>
              <w:jc w:val="right"/>
              <w:rPr>
                <w:rFonts w:cs="Calibri"/>
                <w:b/>
                <w:bCs/>
                <w:szCs w:val="16"/>
              </w:rPr>
            </w:pPr>
            <w:r w:rsidRPr="00D9348B">
              <w:rPr>
                <w:rFonts w:cs="Calibri"/>
                <w:bCs/>
                <w:szCs w:val="16"/>
              </w:rPr>
              <w:t>1,711.9</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53E886A2" w14:textId="77777777" w:rsidR="00643D10" w:rsidRPr="00D9348B" w:rsidRDefault="00643D10" w:rsidP="00DB330E">
            <w:pPr>
              <w:pStyle w:val="TableText"/>
              <w:jc w:val="right"/>
              <w:rPr>
                <w:rFonts w:cs="Calibri"/>
                <w:b/>
                <w:bCs/>
                <w:szCs w:val="16"/>
              </w:rPr>
            </w:pPr>
            <w:r w:rsidRPr="00D9348B">
              <w:rPr>
                <w:rFonts w:cs="Calibri"/>
                <w:bCs/>
                <w:szCs w:val="16"/>
              </w:rPr>
              <w:t>1.5</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1A81E313" w14:textId="77777777" w:rsidR="00643D10" w:rsidRPr="00D9348B" w:rsidRDefault="00643D10" w:rsidP="00DB330E">
            <w:pPr>
              <w:pStyle w:val="TableText"/>
              <w:jc w:val="right"/>
              <w:rPr>
                <w:rFonts w:cs="Calibri"/>
                <w:b/>
                <w:bCs/>
                <w:szCs w:val="16"/>
              </w:rPr>
            </w:pPr>
            <w:r w:rsidRPr="00D9348B">
              <w:rPr>
                <w:rFonts w:cs="Calibri"/>
                <w:bCs/>
                <w:szCs w:val="16"/>
              </w:rPr>
              <w:t>74.5</w:t>
            </w:r>
          </w:p>
        </w:tc>
      </w:tr>
      <w:tr w:rsidR="001A5BD0" w:rsidRPr="00D9348B" w14:paraId="509C9307" w14:textId="77777777" w:rsidTr="00217967">
        <w:tc>
          <w:tcPr>
            <w:tcW w:w="1031" w:type="dxa"/>
            <w:tcBorders>
              <w:top w:val="single" w:sz="4" w:space="0" w:color="365F91"/>
              <w:left w:val="nil"/>
              <w:bottom w:val="single" w:sz="4" w:space="0" w:color="365F91"/>
              <w:right w:val="nil"/>
              <w:tl2br w:val="nil"/>
              <w:tr2bl w:val="nil"/>
            </w:tcBorders>
            <w:shd w:val="clear" w:color="2E74B5" w:fill="auto"/>
            <w:vAlign w:val="bottom"/>
          </w:tcPr>
          <w:p w14:paraId="5138051B" w14:textId="77777777" w:rsidR="00643D10" w:rsidRPr="00D9348B" w:rsidRDefault="00643D10" w:rsidP="00DB330E">
            <w:pPr>
              <w:pStyle w:val="TableText"/>
              <w:rPr>
                <w:rFonts w:cs="Calibri"/>
                <w:b/>
                <w:szCs w:val="16"/>
              </w:rPr>
            </w:pPr>
            <w:r w:rsidRPr="00D9348B">
              <w:rPr>
                <w:rFonts w:cs="Calibri"/>
                <w:szCs w:val="16"/>
              </w:rPr>
              <w:t>2.C.1</w:t>
            </w:r>
          </w:p>
        </w:tc>
        <w:tc>
          <w:tcPr>
            <w:tcW w:w="4187" w:type="dxa"/>
            <w:tcBorders>
              <w:top w:val="single" w:sz="4" w:space="0" w:color="365F91"/>
              <w:left w:val="nil"/>
              <w:bottom w:val="single" w:sz="4" w:space="0" w:color="365F91"/>
              <w:right w:val="nil"/>
              <w:tl2br w:val="nil"/>
              <w:tr2bl w:val="nil"/>
            </w:tcBorders>
            <w:shd w:val="clear" w:color="2E74B5" w:fill="auto"/>
            <w:noWrap/>
            <w:vAlign w:val="bottom"/>
            <w:hideMark/>
          </w:tcPr>
          <w:p w14:paraId="6D28C435" w14:textId="77777777" w:rsidR="00643D10" w:rsidRPr="00D9348B" w:rsidRDefault="00643D10" w:rsidP="00DB330E">
            <w:pPr>
              <w:pStyle w:val="TableText"/>
              <w:rPr>
                <w:rFonts w:cs="Calibri"/>
                <w:b/>
                <w:szCs w:val="16"/>
              </w:rPr>
            </w:pPr>
            <w:r w:rsidRPr="00D9348B">
              <w:rPr>
                <w:rFonts w:cs="Calibri"/>
                <w:szCs w:val="16"/>
              </w:rPr>
              <w:t>Metal Industry – Iron and Steel Production</w:t>
            </w:r>
          </w:p>
        </w:tc>
        <w:tc>
          <w:tcPr>
            <w:tcW w:w="611" w:type="dxa"/>
            <w:tcBorders>
              <w:top w:val="single" w:sz="4" w:space="0" w:color="365F91"/>
              <w:left w:val="nil"/>
              <w:bottom w:val="single" w:sz="4" w:space="0" w:color="365F91"/>
              <w:right w:val="nil"/>
              <w:tl2br w:val="nil"/>
              <w:tr2bl w:val="nil"/>
            </w:tcBorders>
            <w:shd w:val="clear" w:color="2E74B5" w:fill="auto"/>
            <w:vAlign w:val="bottom"/>
            <w:hideMark/>
          </w:tcPr>
          <w:p w14:paraId="4FFC1891" w14:textId="77777777" w:rsidR="00643D10" w:rsidRPr="00D9348B" w:rsidRDefault="00643D10" w:rsidP="00DB330E">
            <w:pPr>
              <w:pStyle w:val="TableText"/>
              <w:jc w:val="center"/>
              <w:rPr>
                <w:rFonts w:cs="Calibri"/>
                <w:b/>
                <w:bCs/>
                <w:szCs w:val="16"/>
              </w:rPr>
            </w:pPr>
            <w:r w:rsidRPr="00D9348B">
              <w:rPr>
                <w:rFonts w:cs="Calibri"/>
                <w:szCs w:val="16"/>
              </w:rPr>
              <w:t>CO</w:t>
            </w:r>
            <w:r w:rsidRPr="00D9348B">
              <w:rPr>
                <w:rFonts w:cs="Calibri"/>
                <w:szCs w:val="16"/>
                <w:vertAlign w:val="subscript"/>
              </w:rPr>
              <w:t>2</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1547617F" w14:textId="77777777" w:rsidR="00643D10" w:rsidRPr="00D9348B" w:rsidRDefault="00643D10" w:rsidP="00DB330E">
            <w:pPr>
              <w:pStyle w:val="TableText"/>
              <w:jc w:val="right"/>
              <w:rPr>
                <w:rFonts w:cs="Calibri"/>
                <w:b/>
                <w:bCs/>
                <w:szCs w:val="16"/>
              </w:rPr>
            </w:pPr>
            <w:r w:rsidRPr="00D9348B">
              <w:rPr>
                <w:rFonts w:cs="Calibri"/>
                <w:bCs/>
                <w:szCs w:val="16"/>
              </w:rPr>
              <w:t>1,694.4</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6E741169" w14:textId="77777777" w:rsidR="00643D10" w:rsidRPr="00D9348B" w:rsidRDefault="00643D10" w:rsidP="00DB330E">
            <w:pPr>
              <w:pStyle w:val="TableText"/>
              <w:jc w:val="right"/>
              <w:rPr>
                <w:rFonts w:cs="Calibri"/>
                <w:b/>
                <w:bCs/>
                <w:szCs w:val="16"/>
              </w:rPr>
            </w:pPr>
            <w:r w:rsidRPr="00D9348B">
              <w:rPr>
                <w:rFonts w:cs="Calibri"/>
                <w:bCs/>
                <w:szCs w:val="16"/>
              </w:rPr>
              <w:t>1.5</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75CCE5E6" w14:textId="77777777" w:rsidR="00643D10" w:rsidRPr="00D9348B" w:rsidRDefault="00643D10" w:rsidP="00DB330E">
            <w:pPr>
              <w:pStyle w:val="TableText"/>
              <w:jc w:val="right"/>
              <w:rPr>
                <w:rFonts w:cs="Calibri"/>
                <w:b/>
                <w:bCs/>
                <w:szCs w:val="16"/>
              </w:rPr>
            </w:pPr>
            <w:r w:rsidRPr="00D9348B">
              <w:rPr>
                <w:rFonts w:cs="Calibri"/>
                <w:bCs/>
                <w:szCs w:val="16"/>
              </w:rPr>
              <w:t>76.1</w:t>
            </w:r>
          </w:p>
        </w:tc>
      </w:tr>
      <w:tr w:rsidR="001A5BD0" w:rsidRPr="00D9348B" w14:paraId="3530BFC7" w14:textId="77777777" w:rsidTr="00217967">
        <w:tc>
          <w:tcPr>
            <w:tcW w:w="1031" w:type="dxa"/>
            <w:tcBorders>
              <w:top w:val="single" w:sz="4" w:space="0" w:color="365F91"/>
              <w:left w:val="nil"/>
              <w:bottom w:val="single" w:sz="4" w:space="0" w:color="365F91"/>
              <w:right w:val="nil"/>
              <w:tl2br w:val="nil"/>
              <w:tr2bl w:val="nil"/>
            </w:tcBorders>
            <w:shd w:val="clear" w:color="2E74B5" w:fill="auto"/>
            <w:vAlign w:val="bottom"/>
          </w:tcPr>
          <w:p w14:paraId="21C151BB" w14:textId="77777777" w:rsidR="00643D10" w:rsidRPr="00D9348B" w:rsidRDefault="00643D10" w:rsidP="00DB330E">
            <w:pPr>
              <w:pStyle w:val="TableText"/>
              <w:rPr>
                <w:rFonts w:cs="Calibri"/>
                <w:b/>
                <w:szCs w:val="16"/>
              </w:rPr>
            </w:pPr>
            <w:r w:rsidRPr="00D9348B">
              <w:rPr>
                <w:rFonts w:cs="Calibri"/>
                <w:szCs w:val="16"/>
              </w:rPr>
              <w:t>1.A.2.e</w:t>
            </w:r>
          </w:p>
        </w:tc>
        <w:tc>
          <w:tcPr>
            <w:tcW w:w="4187" w:type="dxa"/>
            <w:tcBorders>
              <w:top w:val="single" w:sz="4" w:space="0" w:color="365F91"/>
              <w:left w:val="nil"/>
              <w:bottom w:val="single" w:sz="4" w:space="0" w:color="365F91"/>
              <w:right w:val="nil"/>
              <w:tl2br w:val="nil"/>
              <w:tr2bl w:val="nil"/>
            </w:tcBorders>
            <w:shd w:val="clear" w:color="2E74B5" w:fill="auto"/>
            <w:noWrap/>
            <w:vAlign w:val="bottom"/>
            <w:hideMark/>
          </w:tcPr>
          <w:p w14:paraId="106932C7" w14:textId="77777777" w:rsidR="00643D10" w:rsidRPr="00D9348B" w:rsidRDefault="00643D10" w:rsidP="00DB330E">
            <w:pPr>
              <w:pStyle w:val="TableText"/>
              <w:rPr>
                <w:rFonts w:cs="Calibri"/>
                <w:b/>
                <w:szCs w:val="16"/>
              </w:rPr>
            </w:pPr>
            <w:r w:rsidRPr="00D9348B">
              <w:rPr>
                <w:rFonts w:cs="Calibri"/>
                <w:szCs w:val="16"/>
              </w:rPr>
              <w:t>Manufacturing Industries and Construction – Food Processing, Beverages and Tobacco Solid Fuels</w:t>
            </w:r>
          </w:p>
        </w:tc>
        <w:tc>
          <w:tcPr>
            <w:tcW w:w="611" w:type="dxa"/>
            <w:tcBorders>
              <w:top w:val="single" w:sz="4" w:space="0" w:color="365F91"/>
              <w:left w:val="nil"/>
              <w:bottom w:val="single" w:sz="4" w:space="0" w:color="365F91"/>
              <w:right w:val="nil"/>
              <w:tl2br w:val="nil"/>
              <w:tr2bl w:val="nil"/>
            </w:tcBorders>
            <w:shd w:val="clear" w:color="2E74B5" w:fill="auto"/>
            <w:vAlign w:val="bottom"/>
            <w:hideMark/>
          </w:tcPr>
          <w:p w14:paraId="2ECDA67B" w14:textId="77777777" w:rsidR="00643D10" w:rsidRPr="00D9348B" w:rsidRDefault="00643D10" w:rsidP="00DB330E">
            <w:pPr>
              <w:pStyle w:val="TableText"/>
              <w:jc w:val="center"/>
              <w:rPr>
                <w:rFonts w:cs="Calibri"/>
                <w:b/>
                <w:bCs/>
                <w:szCs w:val="16"/>
              </w:rPr>
            </w:pPr>
            <w:r w:rsidRPr="00D9348B">
              <w:rPr>
                <w:rFonts w:cs="Calibri"/>
                <w:szCs w:val="16"/>
              </w:rPr>
              <w:t>CO</w:t>
            </w:r>
            <w:r w:rsidRPr="00D9348B">
              <w:rPr>
                <w:rFonts w:cs="Calibri"/>
                <w:szCs w:val="16"/>
                <w:vertAlign w:val="subscript"/>
              </w:rPr>
              <w:t>2</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22787A47" w14:textId="77777777" w:rsidR="00643D10" w:rsidRPr="00D9348B" w:rsidRDefault="00643D10" w:rsidP="00DB330E">
            <w:pPr>
              <w:pStyle w:val="TableText"/>
              <w:jc w:val="right"/>
              <w:rPr>
                <w:rFonts w:cs="Calibri"/>
                <w:b/>
                <w:bCs/>
                <w:szCs w:val="16"/>
              </w:rPr>
            </w:pPr>
            <w:r w:rsidRPr="00D9348B">
              <w:rPr>
                <w:rFonts w:cs="Calibri"/>
                <w:bCs/>
                <w:szCs w:val="16"/>
              </w:rPr>
              <w:t>1,626.7</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02F7B51D" w14:textId="77777777" w:rsidR="00643D10" w:rsidRPr="00D9348B" w:rsidRDefault="00643D10" w:rsidP="00DB330E">
            <w:pPr>
              <w:pStyle w:val="TableText"/>
              <w:jc w:val="right"/>
              <w:rPr>
                <w:rFonts w:cs="Calibri"/>
                <w:b/>
                <w:bCs/>
                <w:szCs w:val="16"/>
              </w:rPr>
            </w:pPr>
            <w:r w:rsidRPr="00D9348B">
              <w:rPr>
                <w:rFonts w:cs="Calibri"/>
                <w:bCs/>
                <w:szCs w:val="16"/>
              </w:rPr>
              <w:t>1.5</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73EBB94D" w14:textId="77777777" w:rsidR="00643D10" w:rsidRPr="00D9348B" w:rsidRDefault="00643D10" w:rsidP="00DB330E">
            <w:pPr>
              <w:pStyle w:val="TableText"/>
              <w:jc w:val="right"/>
              <w:rPr>
                <w:rFonts w:cs="Calibri"/>
                <w:b/>
                <w:bCs/>
                <w:szCs w:val="16"/>
              </w:rPr>
            </w:pPr>
            <w:r w:rsidRPr="00D9348B">
              <w:rPr>
                <w:rFonts w:cs="Calibri"/>
                <w:bCs/>
                <w:szCs w:val="16"/>
              </w:rPr>
              <w:t>77.5</w:t>
            </w:r>
          </w:p>
        </w:tc>
      </w:tr>
      <w:tr w:rsidR="001A5BD0" w:rsidRPr="00D9348B" w14:paraId="5C5B69D5" w14:textId="77777777" w:rsidTr="00217967">
        <w:tc>
          <w:tcPr>
            <w:tcW w:w="1031" w:type="dxa"/>
            <w:tcBorders>
              <w:top w:val="single" w:sz="4" w:space="0" w:color="365F91"/>
              <w:left w:val="nil"/>
              <w:bottom w:val="single" w:sz="4" w:space="0" w:color="365F91"/>
              <w:right w:val="nil"/>
              <w:tl2br w:val="nil"/>
              <w:tr2bl w:val="nil"/>
            </w:tcBorders>
            <w:shd w:val="clear" w:color="2E74B5" w:fill="auto"/>
            <w:vAlign w:val="bottom"/>
          </w:tcPr>
          <w:p w14:paraId="2A3A08FD" w14:textId="77777777" w:rsidR="00643D10" w:rsidRPr="00D9348B" w:rsidRDefault="00643D10" w:rsidP="00DB330E">
            <w:pPr>
              <w:pStyle w:val="TableText"/>
              <w:rPr>
                <w:rFonts w:cs="Calibri"/>
                <w:b/>
                <w:szCs w:val="16"/>
              </w:rPr>
            </w:pPr>
            <w:r w:rsidRPr="00D9348B">
              <w:rPr>
                <w:rFonts w:cs="Calibri"/>
                <w:szCs w:val="16"/>
              </w:rPr>
              <w:t>3.D.1.1</w:t>
            </w:r>
          </w:p>
        </w:tc>
        <w:tc>
          <w:tcPr>
            <w:tcW w:w="4187" w:type="dxa"/>
            <w:tcBorders>
              <w:top w:val="single" w:sz="4" w:space="0" w:color="365F91"/>
              <w:left w:val="nil"/>
              <w:bottom w:val="single" w:sz="4" w:space="0" w:color="365F91"/>
              <w:right w:val="nil"/>
              <w:tl2br w:val="nil"/>
              <w:tr2bl w:val="nil"/>
            </w:tcBorders>
            <w:shd w:val="clear" w:color="2E74B5" w:fill="auto"/>
            <w:noWrap/>
            <w:vAlign w:val="bottom"/>
            <w:hideMark/>
          </w:tcPr>
          <w:p w14:paraId="0F77A7A2" w14:textId="77777777" w:rsidR="00643D10" w:rsidRPr="00D9348B" w:rsidRDefault="00643D10" w:rsidP="00DB330E">
            <w:pPr>
              <w:pStyle w:val="TableText"/>
              <w:rPr>
                <w:rFonts w:cs="Calibri"/>
                <w:b/>
                <w:szCs w:val="16"/>
              </w:rPr>
            </w:pPr>
            <w:r w:rsidRPr="00D9348B">
              <w:rPr>
                <w:rFonts w:cs="Calibri"/>
                <w:szCs w:val="16"/>
              </w:rPr>
              <w:t>Direct N</w:t>
            </w:r>
            <w:r w:rsidRPr="00D9348B">
              <w:rPr>
                <w:rFonts w:cs="Calibri"/>
                <w:szCs w:val="16"/>
                <w:vertAlign w:val="subscript"/>
              </w:rPr>
              <w:t>2</w:t>
            </w:r>
            <w:r w:rsidRPr="00D9348B">
              <w:rPr>
                <w:rFonts w:cs="Calibri"/>
                <w:szCs w:val="16"/>
              </w:rPr>
              <w:t>O Emissions From Managed Soils – Inorganic N Fertilizers</w:t>
            </w:r>
          </w:p>
        </w:tc>
        <w:tc>
          <w:tcPr>
            <w:tcW w:w="611" w:type="dxa"/>
            <w:tcBorders>
              <w:top w:val="single" w:sz="4" w:space="0" w:color="365F91"/>
              <w:left w:val="nil"/>
              <w:bottom w:val="single" w:sz="4" w:space="0" w:color="365F91"/>
              <w:right w:val="nil"/>
              <w:tl2br w:val="nil"/>
              <w:tr2bl w:val="nil"/>
            </w:tcBorders>
            <w:shd w:val="clear" w:color="2E74B5" w:fill="auto"/>
            <w:vAlign w:val="bottom"/>
            <w:hideMark/>
          </w:tcPr>
          <w:p w14:paraId="7C669D88" w14:textId="77777777" w:rsidR="00643D10" w:rsidRPr="00D9348B" w:rsidRDefault="00643D10" w:rsidP="00DB330E">
            <w:pPr>
              <w:pStyle w:val="TableText"/>
              <w:jc w:val="center"/>
              <w:rPr>
                <w:rFonts w:cs="Calibri"/>
                <w:b/>
                <w:bCs/>
                <w:szCs w:val="16"/>
              </w:rPr>
            </w:pPr>
            <w:r w:rsidRPr="00D9348B">
              <w:rPr>
                <w:rFonts w:cs="Calibri"/>
                <w:szCs w:val="16"/>
              </w:rPr>
              <w:t>N</w:t>
            </w:r>
            <w:r w:rsidRPr="00D9348B">
              <w:rPr>
                <w:rFonts w:cs="Calibri"/>
                <w:szCs w:val="16"/>
                <w:vertAlign w:val="subscript"/>
              </w:rPr>
              <w:t>2</w:t>
            </w:r>
            <w:r w:rsidRPr="00D9348B">
              <w:rPr>
                <w:rFonts w:cs="Calibri"/>
                <w:szCs w:val="16"/>
              </w:rPr>
              <w:t>O</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07B666A4" w14:textId="77777777" w:rsidR="00643D10" w:rsidRPr="00D9348B" w:rsidRDefault="00643D10" w:rsidP="00DB330E">
            <w:pPr>
              <w:pStyle w:val="TableText"/>
              <w:jc w:val="right"/>
              <w:rPr>
                <w:rFonts w:cs="Calibri"/>
                <w:b/>
                <w:bCs/>
                <w:szCs w:val="16"/>
              </w:rPr>
            </w:pPr>
            <w:r w:rsidRPr="00D9348B">
              <w:rPr>
                <w:rFonts w:cs="Calibri"/>
                <w:bCs/>
                <w:szCs w:val="16"/>
              </w:rPr>
              <w:t>1,411.3</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7B8C5B58" w14:textId="77777777" w:rsidR="00643D10" w:rsidRPr="00D9348B" w:rsidRDefault="00643D10" w:rsidP="00DB330E">
            <w:pPr>
              <w:pStyle w:val="TableText"/>
              <w:jc w:val="right"/>
              <w:rPr>
                <w:rFonts w:cs="Calibri"/>
                <w:b/>
                <w:bCs/>
                <w:szCs w:val="16"/>
              </w:rPr>
            </w:pPr>
            <w:r w:rsidRPr="00D9348B">
              <w:rPr>
                <w:rFonts w:cs="Calibri"/>
                <w:bCs/>
                <w:szCs w:val="16"/>
              </w:rPr>
              <w:t>1.3</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529940E5" w14:textId="77777777" w:rsidR="00643D10" w:rsidRPr="00D9348B" w:rsidRDefault="00643D10" w:rsidP="00DB330E">
            <w:pPr>
              <w:pStyle w:val="TableText"/>
              <w:jc w:val="right"/>
              <w:rPr>
                <w:rFonts w:cs="Calibri"/>
                <w:b/>
                <w:bCs/>
                <w:szCs w:val="16"/>
              </w:rPr>
            </w:pPr>
            <w:r w:rsidRPr="00D9348B">
              <w:rPr>
                <w:rFonts w:cs="Calibri"/>
                <w:bCs/>
                <w:szCs w:val="16"/>
              </w:rPr>
              <w:t>78.8</w:t>
            </w:r>
          </w:p>
        </w:tc>
      </w:tr>
      <w:tr w:rsidR="001A5BD0" w:rsidRPr="00D9348B" w14:paraId="2CC3082F" w14:textId="77777777" w:rsidTr="00217967">
        <w:tc>
          <w:tcPr>
            <w:tcW w:w="1031" w:type="dxa"/>
            <w:tcBorders>
              <w:top w:val="single" w:sz="4" w:space="0" w:color="365F91"/>
              <w:left w:val="nil"/>
              <w:bottom w:val="single" w:sz="4" w:space="0" w:color="365F91"/>
              <w:right w:val="nil"/>
              <w:tl2br w:val="nil"/>
              <w:tr2bl w:val="nil"/>
            </w:tcBorders>
            <w:shd w:val="clear" w:color="2E74B5" w:fill="auto"/>
            <w:vAlign w:val="bottom"/>
          </w:tcPr>
          <w:p w14:paraId="39F7E5A6" w14:textId="77777777" w:rsidR="00643D10" w:rsidRPr="00D9348B" w:rsidRDefault="00643D10" w:rsidP="00DB330E">
            <w:pPr>
              <w:pStyle w:val="TableText"/>
              <w:rPr>
                <w:rFonts w:cs="Calibri"/>
                <w:b/>
                <w:szCs w:val="16"/>
              </w:rPr>
            </w:pPr>
            <w:r w:rsidRPr="00D9348B">
              <w:rPr>
                <w:rFonts w:cs="Calibri"/>
                <w:szCs w:val="16"/>
              </w:rPr>
              <w:t>4.A.1</w:t>
            </w:r>
          </w:p>
        </w:tc>
        <w:tc>
          <w:tcPr>
            <w:tcW w:w="4187" w:type="dxa"/>
            <w:tcBorders>
              <w:top w:val="single" w:sz="4" w:space="0" w:color="365F91"/>
              <w:left w:val="nil"/>
              <w:bottom w:val="single" w:sz="4" w:space="0" w:color="365F91"/>
              <w:right w:val="nil"/>
              <w:tl2br w:val="nil"/>
              <w:tr2bl w:val="nil"/>
            </w:tcBorders>
            <w:shd w:val="clear" w:color="2E74B5" w:fill="auto"/>
            <w:noWrap/>
            <w:vAlign w:val="bottom"/>
            <w:hideMark/>
          </w:tcPr>
          <w:p w14:paraId="7631DFE7" w14:textId="77777777" w:rsidR="00643D10" w:rsidRPr="00D9348B" w:rsidRDefault="00643D10" w:rsidP="00DB330E">
            <w:pPr>
              <w:pStyle w:val="TableText"/>
              <w:rPr>
                <w:rFonts w:cs="Calibri"/>
                <w:b/>
                <w:szCs w:val="16"/>
              </w:rPr>
            </w:pPr>
            <w:r w:rsidRPr="00D9348B">
              <w:rPr>
                <w:rFonts w:cs="Calibri"/>
                <w:szCs w:val="16"/>
              </w:rPr>
              <w:t>Forest Land – Forest Land Remaining Forest Land</w:t>
            </w:r>
          </w:p>
        </w:tc>
        <w:tc>
          <w:tcPr>
            <w:tcW w:w="611" w:type="dxa"/>
            <w:tcBorders>
              <w:top w:val="single" w:sz="4" w:space="0" w:color="365F91"/>
              <w:left w:val="nil"/>
              <w:bottom w:val="single" w:sz="4" w:space="0" w:color="365F91"/>
              <w:right w:val="nil"/>
              <w:tl2br w:val="nil"/>
              <w:tr2bl w:val="nil"/>
            </w:tcBorders>
            <w:shd w:val="clear" w:color="2E74B5" w:fill="auto"/>
            <w:vAlign w:val="bottom"/>
            <w:hideMark/>
          </w:tcPr>
          <w:p w14:paraId="72678F82" w14:textId="77777777" w:rsidR="00643D10" w:rsidRPr="00D9348B" w:rsidRDefault="00643D10" w:rsidP="00DB330E">
            <w:pPr>
              <w:pStyle w:val="TableText"/>
              <w:jc w:val="center"/>
              <w:rPr>
                <w:rFonts w:cs="Calibri"/>
                <w:b/>
                <w:bCs/>
                <w:szCs w:val="16"/>
              </w:rPr>
            </w:pPr>
            <w:r w:rsidRPr="00D9348B">
              <w:rPr>
                <w:rFonts w:cs="Calibri"/>
                <w:szCs w:val="16"/>
              </w:rPr>
              <w:t>CO</w:t>
            </w:r>
            <w:r w:rsidRPr="00D9348B">
              <w:rPr>
                <w:rFonts w:cs="Calibri"/>
                <w:szCs w:val="16"/>
                <w:vertAlign w:val="subscript"/>
              </w:rPr>
              <w:t>2</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09F97254" w14:textId="77777777" w:rsidR="00643D10" w:rsidRPr="00D9348B" w:rsidRDefault="00643D10" w:rsidP="00DB330E">
            <w:pPr>
              <w:pStyle w:val="TableText"/>
              <w:jc w:val="right"/>
              <w:rPr>
                <w:rFonts w:cs="Calibri"/>
                <w:b/>
                <w:bCs/>
                <w:szCs w:val="16"/>
              </w:rPr>
            </w:pPr>
            <w:r w:rsidRPr="00D9348B">
              <w:rPr>
                <w:rFonts w:cs="Calibri"/>
                <w:bCs/>
                <w:szCs w:val="16"/>
              </w:rPr>
              <w:t>–1,385.7</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41A3BCFC" w14:textId="77777777" w:rsidR="00643D10" w:rsidRPr="00D9348B" w:rsidRDefault="00643D10" w:rsidP="00DB330E">
            <w:pPr>
              <w:pStyle w:val="TableText"/>
              <w:jc w:val="right"/>
              <w:rPr>
                <w:rFonts w:cs="Calibri"/>
                <w:b/>
                <w:bCs/>
                <w:szCs w:val="16"/>
              </w:rPr>
            </w:pPr>
            <w:r w:rsidRPr="00D9348B">
              <w:rPr>
                <w:rFonts w:cs="Calibri"/>
                <w:bCs/>
                <w:szCs w:val="16"/>
              </w:rPr>
              <w:t>1.2</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4195D96D" w14:textId="77777777" w:rsidR="00643D10" w:rsidRPr="00D9348B" w:rsidRDefault="00643D10" w:rsidP="00DB330E">
            <w:pPr>
              <w:pStyle w:val="TableText"/>
              <w:jc w:val="right"/>
              <w:rPr>
                <w:rFonts w:cs="Calibri"/>
                <w:b/>
                <w:bCs/>
                <w:szCs w:val="16"/>
              </w:rPr>
            </w:pPr>
            <w:r w:rsidRPr="00D9348B">
              <w:rPr>
                <w:rFonts w:cs="Calibri"/>
                <w:bCs/>
                <w:szCs w:val="16"/>
              </w:rPr>
              <w:t>80.1</w:t>
            </w:r>
          </w:p>
        </w:tc>
      </w:tr>
      <w:tr w:rsidR="001A5BD0" w:rsidRPr="00D9348B" w14:paraId="0BF68128" w14:textId="77777777" w:rsidTr="00217967">
        <w:tc>
          <w:tcPr>
            <w:tcW w:w="1031" w:type="dxa"/>
            <w:tcBorders>
              <w:top w:val="single" w:sz="4" w:space="0" w:color="365F91"/>
              <w:left w:val="nil"/>
              <w:bottom w:val="single" w:sz="4" w:space="0" w:color="365F91"/>
              <w:right w:val="nil"/>
              <w:tl2br w:val="nil"/>
              <w:tr2bl w:val="nil"/>
            </w:tcBorders>
            <w:shd w:val="clear" w:color="2E74B5" w:fill="auto"/>
            <w:vAlign w:val="bottom"/>
          </w:tcPr>
          <w:p w14:paraId="511DC7E4" w14:textId="77777777" w:rsidR="00643D10" w:rsidRPr="00D9348B" w:rsidRDefault="00643D10" w:rsidP="00DB330E">
            <w:pPr>
              <w:pStyle w:val="TableText"/>
              <w:rPr>
                <w:rFonts w:cs="Calibri"/>
                <w:b/>
                <w:szCs w:val="16"/>
              </w:rPr>
            </w:pPr>
            <w:r w:rsidRPr="00D9348B">
              <w:rPr>
                <w:rFonts w:cs="Calibri"/>
                <w:szCs w:val="16"/>
              </w:rPr>
              <w:t>3.B.1.1</w:t>
            </w:r>
          </w:p>
        </w:tc>
        <w:tc>
          <w:tcPr>
            <w:tcW w:w="4187" w:type="dxa"/>
            <w:tcBorders>
              <w:top w:val="single" w:sz="4" w:space="0" w:color="365F91"/>
              <w:left w:val="nil"/>
              <w:bottom w:val="single" w:sz="4" w:space="0" w:color="365F91"/>
              <w:right w:val="nil"/>
              <w:tl2br w:val="nil"/>
              <w:tr2bl w:val="nil"/>
            </w:tcBorders>
            <w:shd w:val="clear" w:color="2E74B5" w:fill="auto"/>
            <w:noWrap/>
            <w:vAlign w:val="bottom"/>
            <w:hideMark/>
          </w:tcPr>
          <w:p w14:paraId="7E8A6757" w14:textId="77777777" w:rsidR="00643D10" w:rsidRPr="00D9348B" w:rsidRDefault="00643D10" w:rsidP="00DB330E">
            <w:pPr>
              <w:pStyle w:val="TableText"/>
              <w:rPr>
                <w:rFonts w:cs="Calibri"/>
                <w:b/>
                <w:szCs w:val="16"/>
              </w:rPr>
            </w:pPr>
            <w:r w:rsidRPr="00D9348B">
              <w:rPr>
                <w:rFonts w:cs="Calibri"/>
                <w:szCs w:val="16"/>
              </w:rPr>
              <w:t>Option A – Dairy Cattle</w:t>
            </w:r>
          </w:p>
        </w:tc>
        <w:tc>
          <w:tcPr>
            <w:tcW w:w="611" w:type="dxa"/>
            <w:tcBorders>
              <w:top w:val="single" w:sz="4" w:space="0" w:color="365F91"/>
              <w:left w:val="nil"/>
              <w:bottom w:val="single" w:sz="4" w:space="0" w:color="365F91"/>
              <w:right w:val="nil"/>
              <w:tl2br w:val="nil"/>
              <w:tr2bl w:val="nil"/>
            </w:tcBorders>
            <w:shd w:val="clear" w:color="2E74B5" w:fill="auto"/>
            <w:vAlign w:val="bottom"/>
            <w:hideMark/>
          </w:tcPr>
          <w:p w14:paraId="1EAB7BEE" w14:textId="77777777" w:rsidR="00643D10" w:rsidRPr="00D9348B" w:rsidRDefault="00643D10" w:rsidP="00DB330E">
            <w:pPr>
              <w:pStyle w:val="TableText"/>
              <w:jc w:val="center"/>
              <w:rPr>
                <w:rFonts w:cs="Calibri"/>
                <w:b/>
                <w:bCs/>
                <w:szCs w:val="16"/>
              </w:rPr>
            </w:pPr>
            <w:r w:rsidRPr="00D9348B">
              <w:rPr>
                <w:rFonts w:cs="Calibri"/>
                <w:szCs w:val="16"/>
              </w:rPr>
              <w:t>CH</w:t>
            </w:r>
            <w:r w:rsidRPr="00D9348B">
              <w:rPr>
                <w:rFonts w:cs="Calibri"/>
                <w:szCs w:val="16"/>
                <w:vertAlign w:val="subscript"/>
              </w:rPr>
              <w:t>4</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33BE0EBC" w14:textId="77777777" w:rsidR="00643D10" w:rsidRPr="00D9348B" w:rsidRDefault="00643D10" w:rsidP="00DB330E">
            <w:pPr>
              <w:pStyle w:val="TableText"/>
              <w:jc w:val="right"/>
              <w:rPr>
                <w:rFonts w:cs="Calibri"/>
                <w:b/>
                <w:bCs/>
                <w:szCs w:val="16"/>
              </w:rPr>
            </w:pPr>
            <w:r w:rsidRPr="00D9348B">
              <w:rPr>
                <w:rFonts w:cs="Calibri"/>
                <w:bCs/>
                <w:szCs w:val="16"/>
              </w:rPr>
              <w:t>1,263.2</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1D4821C2" w14:textId="77777777" w:rsidR="00643D10" w:rsidRPr="00D9348B" w:rsidRDefault="00643D10" w:rsidP="00DB330E">
            <w:pPr>
              <w:pStyle w:val="TableText"/>
              <w:jc w:val="right"/>
              <w:rPr>
                <w:rFonts w:cs="Calibri"/>
                <w:b/>
                <w:bCs/>
                <w:szCs w:val="16"/>
              </w:rPr>
            </w:pPr>
            <w:r w:rsidRPr="00D9348B">
              <w:rPr>
                <w:rFonts w:cs="Calibri"/>
                <w:bCs/>
                <w:szCs w:val="16"/>
              </w:rPr>
              <w:t>1.1</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7343D2AF" w14:textId="77777777" w:rsidR="00643D10" w:rsidRPr="00D9348B" w:rsidRDefault="00643D10" w:rsidP="00DB330E">
            <w:pPr>
              <w:pStyle w:val="TableText"/>
              <w:jc w:val="right"/>
              <w:rPr>
                <w:rFonts w:cs="Calibri"/>
                <w:b/>
                <w:bCs/>
                <w:szCs w:val="16"/>
              </w:rPr>
            </w:pPr>
            <w:r w:rsidRPr="00D9348B">
              <w:rPr>
                <w:rFonts w:cs="Calibri"/>
                <w:bCs/>
                <w:szCs w:val="16"/>
              </w:rPr>
              <w:t>81.2</w:t>
            </w:r>
          </w:p>
        </w:tc>
      </w:tr>
      <w:tr w:rsidR="001A5BD0" w:rsidRPr="00D9348B" w14:paraId="672EC16B" w14:textId="77777777" w:rsidTr="00217967">
        <w:tc>
          <w:tcPr>
            <w:tcW w:w="1031" w:type="dxa"/>
            <w:tcBorders>
              <w:top w:val="single" w:sz="4" w:space="0" w:color="365F91"/>
              <w:left w:val="nil"/>
              <w:bottom w:val="single" w:sz="4" w:space="0" w:color="365F91"/>
              <w:right w:val="nil"/>
              <w:tl2br w:val="nil"/>
              <w:tr2bl w:val="nil"/>
            </w:tcBorders>
            <w:shd w:val="clear" w:color="2E74B5" w:fill="auto"/>
            <w:vAlign w:val="bottom"/>
          </w:tcPr>
          <w:p w14:paraId="0AC59F7F" w14:textId="77777777" w:rsidR="00643D10" w:rsidRPr="00D9348B" w:rsidRDefault="00643D10" w:rsidP="00DB330E">
            <w:pPr>
              <w:pStyle w:val="TableText"/>
              <w:rPr>
                <w:rFonts w:cs="Calibri"/>
                <w:b/>
                <w:szCs w:val="16"/>
              </w:rPr>
            </w:pPr>
            <w:r w:rsidRPr="00D9348B">
              <w:rPr>
                <w:rFonts w:cs="Calibri"/>
                <w:szCs w:val="16"/>
              </w:rPr>
              <w:t>1.A.2.c</w:t>
            </w:r>
          </w:p>
        </w:tc>
        <w:tc>
          <w:tcPr>
            <w:tcW w:w="4187" w:type="dxa"/>
            <w:tcBorders>
              <w:top w:val="single" w:sz="4" w:space="0" w:color="365F91"/>
              <w:left w:val="nil"/>
              <w:bottom w:val="single" w:sz="4" w:space="0" w:color="365F91"/>
              <w:right w:val="nil"/>
              <w:tl2br w:val="nil"/>
              <w:tr2bl w:val="nil"/>
            </w:tcBorders>
            <w:shd w:val="clear" w:color="2E74B5" w:fill="auto"/>
            <w:noWrap/>
            <w:vAlign w:val="bottom"/>
            <w:hideMark/>
          </w:tcPr>
          <w:p w14:paraId="5A8474F2" w14:textId="77777777" w:rsidR="00643D10" w:rsidRPr="00D9348B" w:rsidRDefault="00643D10" w:rsidP="00DB330E">
            <w:pPr>
              <w:pStyle w:val="TableText"/>
              <w:rPr>
                <w:rFonts w:cs="Calibri"/>
                <w:b/>
                <w:szCs w:val="16"/>
              </w:rPr>
            </w:pPr>
            <w:r w:rsidRPr="00D9348B">
              <w:rPr>
                <w:rFonts w:cs="Calibri"/>
                <w:szCs w:val="16"/>
              </w:rPr>
              <w:t>Manufacturing Industries and Construction – Chemicals Gaseous Fuels</w:t>
            </w:r>
          </w:p>
        </w:tc>
        <w:tc>
          <w:tcPr>
            <w:tcW w:w="611" w:type="dxa"/>
            <w:tcBorders>
              <w:top w:val="single" w:sz="4" w:space="0" w:color="365F91"/>
              <w:left w:val="nil"/>
              <w:bottom w:val="single" w:sz="4" w:space="0" w:color="365F91"/>
              <w:right w:val="nil"/>
              <w:tl2br w:val="nil"/>
              <w:tr2bl w:val="nil"/>
            </w:tcBorders>
            <w:shd w:val="clear" w:color="2E74B5" w:fill="auto"/>
            <w:vAlign w:val="bottom"/>
            <w:hideMark/>
          </w:tcPr>
          <w:p w14:paraId="26874F64" w14:textId="77777777" w:rsidR="00643D10" w:rsidRPr="00D9348B" w:rsidRDefault="00643D10" w:rsidP="00DB330E">
            <w:pPr>
              <w:pStyle w:val="TableText"/>
              <w:jc w:val="center"/>
              <w:rPr>
                <w:rFonts w:cs="Calibri"/>
                <w:b/>
                <w:bCs/>
                <w:szCs w:val="16"/>
              </w:rPr>
            </w:pPr>
            <w:r w:rsidRPr="00D9348B">
              <w:rPr>
                <w:rFonts w:cs="Calibri"/>
                <w:szCs w:val="16"/>
              </w:rPr>
              <w:t>CO</w:t>
            </w:r>
            <w:r w:rsidRPr="00D9348B">
              <w:rPr>
                <w:rFonts w:cs="Calibri"/>
                <w:szCs w:val="16"/>
                <w:vertAlign w:val="subscript"/>
              </w:rPr>
              <w:t>2</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2FFD8340" w14:textId="77777777" w:rsidR="00643D10" w:rsidRPr="00D9348B" w:rsidRDefault="00643D10" w:rsidP="00DB330E">
            <w:pPr>
              <w:pStyle w:val="TableText"/>
              <w:jc w:val="right"/>
              <w:rPr>
                <w:rFonts w:cs="Calibri"/>
                <w:b/>
                <w:bCs/>
                <w:szCs w:val="16"/>
              </w:rPr>
            </w:pPr>
            <w:r w:rsidRPr="00D9348B">
              <w:rPr>
                <w:rFonts w:cs="Calibri"/>
                <w:bCs/>
                <w:szCs w:val="16"/>
              </w:rPr>
              <w:t>1,241.0</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2BA0F283" w14:textId="77777777" w:rsidR="00643D10" w:rsidRPr="00D9348B" w:rsidRDefault="00643D10" w:rsidP="00DB330E">
            <w:pPr>
              <w:pStyle w:val="TableText"/>
              <w:jc w:val="right"/>
              <w:rPr>
                <w:rFonts w:cs="Calibri"/>
                <w:b/>
                <w:bCs/>
                <w:szCs w:val="16"/>
              </w:rPr>
            </w:pPr>
            <w:r w:rsidRPr="00D9348B">
              <w:rPr>
                <w:rFonts w:cs="Calibri"/>
                <w:bCs/>
                <w:szCs w:val="16"/>
              </w:rPr>
              <w:t>1.1</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58845146" w14:textId="77777777" w:rsidR="00643D10" w:rsidRPr="00D9348B" w:rsidRDefault="00643D10" w:rsidP="00DB330E">
            <w:pPr>
              <w:pStyle w:val="TableText"/>
              <w:jc w:val="right"/>
              <w:rPr>
                <w:rFonts w:cs="Calibri"/>
                <w:b/>
                <w:bCs/>
                <w:szCs w:val="16"/>
              </w:rPr>
            </w:pPr>
            <w:r w:rsidRPr="00D9348B">
              <w:rPr>
                <w:rFonts w:cs="Calibri"/>
                <w:bCs/>
                <w:szCs w:val="16"/>
              </w:rPr>
              <w:t>82.3</w:t>
            </w:r>
          </w:p>
        </w:tc>
      </w:tr>
      <w:tr w:rsidR="001A5BD0" w:rsidRPr="00D9348B" w14:paraId="4A83E6FD" w14:textId="77777777" w:rsidTr="00217967">
        <w:tc>
          <w:tcPr>
            <w:tcW w:w="1031" w:type="dxa"/>
            <w:tcBorders>
              <w:top w:val="single" w:sz="4" w:space="0" w:color="365F91"/>
              <w:left w:val="nil"/>
              <w:bottom w:val="single" w:sz="4" w:space="0" w:color="365F91"/>
              <w:right w:val="nil"/>
              <w:tl2br w:val="nil"/>
              <w:tr2bl w:val="nil"/>
            </w:tcBorders>
            <w:shd w:val="clear" w:color="2E74B5" w:fill="auto"/>
            <w:vAlign w:val="bottom"/>
          </w:tcPr>
          <w:p w14:paraId="07BF21A8" w14:textId="77777777" w:rsidR="00643D10" w:rsidRPr="00D9348B" w:rsidRDefault="00643D10" w:rsidP="00DB330E">
            <w:pPr>
              <w:pStyle w:val="TableText"/>
              <w:rPr>
                <w:rFonts w:cs="Calibri"/>
                <w:b/>
                <w:szCs w:val="16"/>
              </w:rPr>
            </w:pPr>
            <w:r w:rsidRPr="00D9348B">
              <w:rPr>
                <w:rFonts w:cs="Calibri"/>
                <w:szCs w:val="16"/>
              </w:rPr>
              <w:t>4.C.1</w:t>
            </w:r>
          </w:p>
        </w:tc>
        <w:tc>
          <w:tcPr>
            <w:tcW w:w="4187" w:type="dxa"/>
            <w:tcBorders>
              <w:top w:val="single" w:sz="4" w:space="0" w:color="365F91"/>
              <w:left w:val="nil"/>
              <w:bottom w:val="single" w:sz="4" w:space="0" w:color="365F91"/>
              <w:right w:val="nil"/>
              <w:tl2br w:val="nil"/>
              <w:tr2bl w:val="nil"/>
            </w:tcBorders>
            <w:shd w:val="clear" w:color="2E74B5" w:fill="auto"/>
            <w:noWrap/>
            <w:vAlign w:val="bottom"/>
            <w:hideMark/>
          </w:tcPr>
          <w:p w14:paraId="4A7AE034" w14:textId="77777777" w:rsidR="00643D10" w:rsidRPr="00D9348B" w:rsidRDefault="00643D10" w:rsidP="00DB330E">
            <w:pPr>
              <w:pStyle w:val="TableText"/>
              <w:rPr>
                <w:rFonts w:cs="Calibri"/>
                <w:b/>
                <w:szCs w:val="16"/>
              </w:rPr>
            </w:pPr>
            <w:r w:rsidRPr="00D9348B">
              <w:rPr>
                <w:rFonts w:cs="Calibri"/>
                <w:szCs w:val="16"/>
              </w:rPr>
              <w:t>Grassland – Grassland Remaining Grassland</w:t>
            </w:r>
          </w:p>
        </w:tc>
        <w:tc>
          <w:tcPr>
            <w:tcW w:w="611" w:type="dxa"/>
            <w:tcBorders>
              <w:top w:val="single" w:sz="4" w:space="0" w:color="365F91"/>
              <w:left w:val="nil"/>
              <w:bottom w:val="single" w:sz="4" w:space="0" w:color="365F91"/>
              <w:right w:val="nil"/>
              <w:tl2br w:val="nil"/>
              <w:tr2bl w:val="nil"/>
            </w:tcBorders>
            <w:shd w:val="clear" w:color="2E74B5" w:fill="auto"/>
            <w:vAlign w:val="bottom"/>
            <w:hideMark/>
          </w:tcPr>
          <w:p w14:paraId="66F8113E" w14:textId="77777777" w:rsidR="00643D10" w:rsidRPr="00D9348B" w:rsidRDefault="00643D10" w:rsidP="00DB330E">
            <w:pPr>
              <w:pStyle w:val="TableText"/>
              <w:jc w:val="center"/>
              <w:rPr>
                <w:rFonts w:cs="Calibri"/>
                <w:b/>
                <w:bCs/>
                <w:szCs w:val="16"/>
              </w:rPr>
            </w:pPr>
            <w:r w:rsidRPr="00D9348B">
              <w:rPr>
                <w:rFonts w:cs="Calibri"/>
                <w:szCs w:val="16"/>
              </w:rPr>
              <w:t>CO</w:t>
            </w:r>
            <w:r w:rsidRPr="00D9348B">
              <w:rPr>
                <w:rFonts w:cs="Calibri"/>
                <w:szCs w:val="16"/>
                <w:vertAlign w:val="subscript"/>
              </w:rPr>
              <w:t>2</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55BA5602" w14:textId="77777777" w:rsidR="00643D10" w:rsidRPr="00D9348B" w:rsidRDefault="00643D10" w:rsidP="00DB330E">
            <w:pPr>
              <w:pStyle w:val="TableText"/>
              <w:jc w:val="right"/>
              <w:rPr>
                <w:rFonts w:cs="Calibri"/>
                <w:b/>
                <w:bCs/>
                <w:szCs w:val="16"/>
              </w:rPr>
            </w:pPr>
            <w:r w:rsidRPr="00D9348B">
              <w:rPr>
                <w:rFonts w:cs="Calibri"/>
                <w:bCs/>
                <w:szCs w:val="16"/>
              </w:rPr>
              <w:t>1,175.2</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68826670" w14:textId="77777777" w:rsidR="00643D10" w:rsidRPr="00D9348B" w:rsidRDefault="00643D10" w:rsidP="00DB330E">
            <w:pPr>
              <w:pStyle w:val="TableText"/>
              <w:jc w:val="right"/>
              <w:rPr>
                <w:rFonts w:cs="Calibri"/>
                <w:b/>
                <w:bCs/>
                <w:szCs w:val="16"/>
              </w:rPr>
            </w:pPr>
            <w:r w:rsidRPr="00D9348B">
              <w:rPr>
                <w:rFonts w:cs="Calibri"/>
                <w:bCs/>
                <w:szCs w:val="16"/>
              </w:rPr>
              <w:t>1.1</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6DA0BD1D" w14:textId="77777777" w:rsidR="00643D10" w:rsidRPr="00D9348B" w:rsidRDefault="00643D10" w:rsidP="00DB330E">
            <w:pPr>
              <w:pStyle w:val="TableText"/>
              <w:jc w:val="right"/>
              <w:rPr>
                <w:rFonts w:cs="Calibri"/>
                <w:b/>
                <w:bCs/>
                <w:szCs w:val="16"/>
              </w:rPr>
            </w:pPr>
            <w:r w:rsidRPr="00D9348B">
              <w:rPr>
                <w:rFonts w:cs="Calibri"/>
                <w:bCs/>
                <w:szCs w:val="16"/>
              </w:rPr>
              <w:t>83.4</w:t>
            </w:r>
          </w:p>
        </w:tc>
      </w:tr>
      <w:tr w:rsidR="001A5BD0" w:rsidRPr="00D9348B" w14:paraId="7676B2D4" w14:textId="77777777" w:rsidTr="00217967">
        <w:tc>
          <w:tcPr>
            <w:tcW w:w="1031" w:type="dxa"/>
            <w:tcBorders>
              <w:top w:val="single" w:sz="4" w:space="0" w:color="365F91"/>
              <w:left w:val="nil"/>
              <w:bottom w:val="single" w:sz="4" w:space="0" w:color="365F91"/>
              <w:right w:val="nil"/>
              <w:tl2br w:val="nil"/>
              <w:tr2bl w:val="nil"/>
            </w:tcBorders>
            <w:shd w:val="clear" w:color="2E74B5" w:fill="auto"/>
            <w:vAlign w:val="bottom"/>
          </w:tcPr>
          <w:p w14:paraId="41414FA7" w14:textId="77777777" w:rsidR="00643D10" w:rsidRPr="00D9348B" w:rsidRDefault="00643D10" w:rsidP="00DB330E">
            <w:pPr>
              <w:pStyle w:val="TableText"/>
              <w:rPr>
                <w:rFonts w:cs="Calibri"/>
                <w:b/>
                <w:szCs w:val="16"/>
              </w:rPr>
            </w:pPr>
            <w:r w:rsidRPr="00D9348B">
              <w:rPr>
                <w:rFonts w:cs="Calibri"/>
                <w:szCs w:val="16"/>
              </w:rPr>
              <w:t>1.A.3.a</w:t>
            </w:r>
          </w:p>
        </w:tc>
        <w:tc>
          <w:tcPr>
            <w:tcW w:w="4187" w:type="dxa"/>
            <w:tcBorders>
              <w:top w:val="single" w:sz="4" w:space="0" w:color="365F91"/>
              <w:left w:val="nil"/>
              <w:bottom w:val="single" w:sz="4" w:space="0" w:color="365F91"/>
              <w:right w:val="nil"/>
              <w:tl2br w:val="nil"/>
              <w:tr2bl w:val="nil"/>
            </w:tcBorders>
            <w:shd w:val="clear" w:color="2E74B5" w:fill="auto"/>
            <w:noWrap/>
            <w:vAlign w:val="bottom"/>
            <w:hideMark/>
          </w:tcPr>
          <w:p w14:paraId="0199880C" w14:textId="77777777" w:rsidR="00643D10" w:rsidRPr="00D9348B" w:rsidRDefault="00643D10" w:rsidP="00DB330E">
            <w:pPr>
              <w:pStyle w:val="TableText"/>
              <w:rPr>
                <w:rFonts w:cs="Calibri"/>
                <w:b/>
                <w:szCs w:val="16"/>
              </w:rPr>
            </w:pPr>
            <w:r w:rsidRPr="00D9348B">
              <w:rPr>
                <w:rFonts w:cs="Calibri"/>
                <w:szCs w:val="16"/>
              </w:rPr>
              <w:t>Domestic Aviation – Jet Kerosene</w:t>
            </w:r>
          </w:p>
        </w:tc>
        <w:tc>
          <w:tcPr>
            <w:tcW w:w="611" w:type="dxa"/>
            <w:tcBorders>
              <w:top w:val="single" w:sz="4" w:space="0" w:color="365F91"/>
              <w:left w:val="nil"/>
              <w:bottom w:val="single" w:sz="4" w:space="0" w:color="365F91"/>
              <w:right w:val="nil"/>
              <w:tl2br w:val="nil"/>
              <w:tr2bl w:val="nil"/>
            </w:tcBorders>
            <w:shd w:val="clear" w:color="2E74B5" w:fill="auto"/>
            <w:vAlign w:val="bottom"/>
            <w:hideMark/>
          </w:tcPr>
          <w:p w14:paraId="7A04E7AF" w14:textId="77777777" w:rsidR="00643D10" w:rsidRPr="00D9348B" w:rsidRDefault="00643D10" w:rsidP="00DB330E">
            <w:pPr>
              <w:pStyle w:val="TableText"/>
              <w:jc w:val="center"/>
              <w:rPr>
                <w:rFonts w:cs="Calibri"/>
                <w:b/>
                <w:bCs/>
                <w:szCs w:val="16"/>
              </w:rPr>
            </w:pPr>
            <w:r w:rsidRPr="00D9348B">
              <w:rPr>
                <w:rFonts w:cs="Calibri"/>
                <w:szCs w:val="16"/>
              </w:rPr>
              <w:t>CO</w:t>
            </w:r>
            <w:r w:rsidRPr="00D9348B">
              <w:rPr>
                <w:rFonts w:cs="Calibri"/>
                <w:szCs w:val="16"/>
                <w:vertAlign w:val="subscript"/>
              </w:rPr>
              <w:t>2</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29390EAD" w14:textId="77777777" w:rsidR="00643D10" w:rsidRPr="00D9348B" w:rsidRDefault="00643D10" w:rsidP="00DB330E">
            <w:pPr>
              <w:pStyle w:val="TableText"/>
              <w:jc w:val="right"/>
              <w:rPr>
                <w:rFonts w:cs="Calibri"/>
                <w:b/>
                <w:bCs/>
                <w:szCs w:val="16"/>
              </w:rPr>
            </w:pPr>
            <w:r w:rsidRPr="00D9348B">
              <w:rPr>
                <w:rFonts w:cs="Calibri"/>
                <w:bCs/>
                <w:szCs w:val="16"/>
              </w:rPr>
              <w:t>1,079.9</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0CF4C9A9" w14:textId="77777777" w:rsidR="00643D10" w:rsidRPr="00D9348B" w:rsidRDefault="00643D10" w:rsidP="00DB330E">
            <w:pPr>
              <w:pStyle w:val="TableText"/>
              <w:jc w:val="right"/>
              <w:rPr>
                <w:rFonts w:cs="Calibri"/>
                <w:b/>
                <w:bCs/>
                <w:szCs w:val="16"/>
              </w:rPr>
            </w:pPr>
            <w:r w:rsidRPr="00D9348B">
              <w:rPr>
                <w:rFonts w:cs="Calibri"/>
                <w:bCs/>
                <w:szCs w:val="16"/>
              </w:rPr>
              <w:t>1.0</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25E8FE76" w14:textId="77777777" w:rsidR="00643D10" w:rsidRPr="00D9348B" w:rsidRDefault="00643D10" w:rsidP="00DB330E">
            <w:pPr>
              <w:pStyle w:val="TableText"/>
              <w:jc w:val="right"/>
              <w:rPr>
                <w:rFonts w:cs="Calibri"/>
                <w:b/>
                <w:bCs/>
                <w:szCs w:val="16"/>
              </w:rPr>
            </w:pPr>
            <w:r w:rsidRPr="00D9348B">
              <w:rPr>
                <w:rFonts w:cs="Calibri"/>
                <w:bCs/>
                <w:szCs w:val="16"/>
              </w:rPr>
              <w:t>84.3</w:t>
            </w:r>
          </w:p>
        </w:tc>
      </w:tr>
      <w:tr w:rsidR="001A5BD0" w:rsidRPr="00D9348B" w14:paraId="10FE3BAD" w14:textId="77777777" w:rsidTr="00217967">
        <w:tc>
          <w:tcPr>
            <w:tcW w:w="1031" w:type="dxa"/>
            <w:tcBorders>
              <w:top w:val="single" w:sz="4" w:space="0" w:color="365F91"/>
              <w:left w:val="nil"/>
              <w:bottom w:val="single" w:sz="4" w:space="0" w:color="365F91"/>
              <w:right w:val="nil"/>
              <w:tl2br w:val="nil"/>
              <w:tr2bl w:val="nil"/>
            </w:tcBorders>
            <w:shd w:val="clear" w:color="2E74B5" w:fill="auto"/>
            <w:vAlign w:val="bottom"/>
          </w:tcPr>
          <w:p w14:paraId="42B77789" w14:textId="77777777" w:rsidR="00643D10" w:rsidRPr="00D9348B" w:rsidRDefault="00643D10" w:rsidP="00DB330E">
            <w:pPr>
              <w:pStyle w:val="TableText"/>
              <w:rPr>
                <w:rFonts w:cs="Calibri"/>
                <w:b/>
                <w:szCs w:val="16"/>
              </w:rPr>
            </w:pPr>
            <w:r w:rsidRPr="00D9348B">
              <w:rPr>
                <w:rFonts w:cs="Calibri"/>
                <w:szCs w:val="16"/>
              </w:rPr>
              <w:t>1.A.4.c</w:t>
            </w:r>
          </w:p>
        </w:tc>
        <w:tc>
          <w:tcPr>
            <w:tcW w:w="4187" w:type="dxa"/>
            <w:tcBorders>
              <w:top w:val="single" w:sz="4" w:space="0" w:color="365F91"/>
              <w:left w:val="nil"/>
              <w:bottom w:val="single" w:sz="4" w:space="0" w:color="365F91"/>
              <w:right w:val="nil"/>
              <w:tl2br w:val="nil"/>
              <w:tr2bl w:val="nil"/>
            </w:tcBorders>
            <w:shd w:val="clear" w:color="2E74B5" w:fill="auto"/>
            <w:noWrap/>
            <w:vAlign w:val="bottom"/>
            <w:hideMark/>
          </w:tcPr>
          <w:p w14:paraId="13719AD0" w14:textId="77777777" w:rsidR="00643D10" w:rsidRPr="00D9348B" w:rsidRDefault="00643D10" w:rsidP="00DB330E">
            <w:pPr>
              <w:pStyle w:val="TableText"/>
              <w:rPr>
                <w:rFonts w:cs="Calibri"/>
                <w:b/>
                <w:szCs w:val="16"/>
              </w:rPr>
            </w:pPr>
            <w:r w:rsidRPr="00D9348B">
              <w:rPr>
                <w:rFonts w:cs="Calibri"/>
                <w:szCs w:val="16"/>
              </w:rPr>
              <w:t>Other Sectors – Agriculture/Forestry/Fishing Liquid Fuels</w:t>
            </w:r>
          </w:p>
        </w:tc>
        <w:tc>
          <w:tcPr>
            <w:tcW w:w="611" w:type="dxa"/>
            <w:tcBorders>
              <w:top w:val="single" w:sz="4" w:space="0" w:color="365F91"/>
              <w:left w:val="nil"/>
              <w:bottom w:val="single" w:sz="4" w:space="0" w:color="365F91"/>
              <w:right w:val="nil"/>
              <w:tl2br w:val="nil"/>
              <w:tr2bl w:val="nil"/>
            </w:tcBorders>
            <w:shd w:val="clear" w:color="2E74B5" w:fill="auto"/>
            <w:vAlign w:val="bottom"/>
            <w:hideMark/>
          </w:tcPr>
          <w:p w14:paraId="084CE174" w14:textId="77777777" w:rsidR="00643D10" w:rsidRPr="00D9348B" w:rsidRDefault="00643D10" w:rsidP="00DB330E">
            <w:pPr>
              <w:pStyle w:val="TableText"/>
              <w:jc w:val="center"/>
              <w:rPr>
                <w:rFonts w:cs="Calibri"/>
                <w:b/>
                <w:bCs/>
                <w:szCs w:val="16"/>
              </w:rPr>
            </w:pPr>
            <w:r w:rsidRPr="00D9348B">
              <w:rPr>
                <w:rFonts w:cs="Calibri"/>
                <w:szCs w:val="16"/>
              </w:rPr>
              <w:t>CO</w:t>
            </w:r>
            <w:r w:rsidRPr="00D9348B">
              <w:rPr>
                <w:rFonts w:cs="Calibri"/>
                <w:szCs w:val="16"/>
                <w:vertAlign w:val="subscript"/>
              </w:rPr>
              <w:t>2</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0871C1FC" w14:textId="77777777" w:rsidR="00643D10" w:rsidRPr="00D9348B" w:rsidRDefault="00643D10" w:rsidP="00DB330E">
            <w:pPr>
              <w:pStyle w:val="TableText"/>
              <w:jc w:val="right"/>
              <w:rPr>
                <w:rFonts w:cs="Calibri"/>
                <w:b/>
                <w:bCs/>
                <w:szCs w:val="16"/>
              </w:rPr>
            </w:pPr>
            <w:r w:rsidRPr="00D9348B">
              <w:rPr>
                <w:rFonts w:cs="Calibri"/>
                <w:bCs/>
                <w:szCs w:val="16"/>
              </w:rPr>
              <w:t>1,041.3</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0F2BA5C9" w14:textId="77777777" w:rsidR="00643D10" w:rsidRPr="00D9348B" w:rsidRDefault="00643D10" w:rsidP="00DB330E">
            <w:pPr>
              <w:pStyle w:val="TableText"/>
              <w:jc w:val="right"/>
              <w:rPr>
                <w:rFonts w:cs="Calibri"/>
                <w:b/>
                <w:bCs/>
                <w:szCs w:val="16"/>
              </w:rPr>
            </w:pPr>
            <w:r w:rsidRPr="00D9348B">
              <w:rPr>
                <w:rFonts w:cs="Calibri"/>
                <w:bCs/>
                <w:szCs w:val="16"/>
              </w:rPr>
              <w:t>0.9</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1883BD34" w14:textId="77777777" w:rsidR="00643D10" w:rsidRPr="00D9348B" w:rsidRDefault="00643D10" w:rsidP="00DB330E">
            <w:pPr>
              <w:pStyle w:val="TableText"/>
              <w:jc w:val="right"/>
              <w:rPr>
                <w:rFonts w:cs="Calibri"/>
                <w:b/>
                <w:bCs/>
                <w:szCs w:val="16"/>
              </w:rPr>
            </w:pPr>
            <w:r w:rsidRPr="00D9348B">
              <w:rPr>
                <w:rFonts w:cs="Calibri"/>
                <w:bCs/>
                <w:szCs w:val="16"/>
              </w:rPr>
              <w:t>85.3</w:t>
            </w:r>
          </w:p>
        </w:tc>
      </w:tr>
      <w:tr w:rsidR="001A5BD0" w:rsidRPr="00D9348B" w14:paraId="5F877847" w14:textId="77777777" w:rsidTr="00217967">
        <w:tc>
          <w:tcPr>
            <w:tcW w:w="1031" w:type="dxa"/>
            <w:tcBorders>
              <w:top w:val="single" w:sz="4" w:space="0" w:color="365F91"/>
              <w:left w:val="nil"/>
              <w:bottom w:val="single" w:sz="4" w:space="0" w:color="365F91"/>
              <w:right w:val="nil"/>
              <w:tl2br w:val="nil"/>
              <w:tr2bl w:val="nil"/>
            </w:tcBorders>
            <w:shd w:val="clear" w:color="2E74B5" w:fill="auto"/>
            <w:vAlign w:val="bottom"/>
          </w:tcPr>
          <w:p w14:paraId="04440FC7" w14:textId="77777777" w:rsidR="00643D10" w:rsidRPr="00D9348B" w:rsidRDefault="00643D10" w:rsidP="00DB330E">
            <w:pPr>
              <w:pStyle w:val="TableText"/>
              <w:rPr>
                <w:rFonts w:cs="Calibri"/>
                <w:b/>
                <w:szCs w:val="16"/>
              </w:rPr>
            </w:pPr>
            <w:r w:rsidRPr="00D9348B">
              <w:rPr>
                <w:rFonts w:cs="Calibri"/>
                <w:szCs w:val="16"/>
              </w:rPr>
              <w:t>1.A.2.e</w:t>
            </w:r>
          </w:p>
        </w:tc>
        <w:tc>
          <w:tcPr>
            <w:tcW w:w="4187" w:type="dxa"/>
            <w:tcBorders>
              <w:top w:val="single" w:sz="4" w:space="0" w:color="365F91"/>
              <w:left w:val="nil"/>
              <w:bottom w:val="single" w:sz="4" w:space="0" w:color="365F91"/>
              <w:right w:val="nil"/>
              <w:tl2br w:val="nil"/>
              <w:tr2bl w:val="nil"/>
            </w:tcBorders>
            <w:shd w:val="clear" w:color="2E74B5" w:fill="auto"/>
            <w:noWrap/>
            <w:vAlign w:val="bottom"/>
            <w:hideMark/>
          </w:tcPr>
          <w:p w14:paraId="421DF40C" w14:textId="77777777" w:rsidR="00643D10" w:rsidRPr="00D9348B" w:rsidRDefault="00643D10" w:rsidP="00DB330E">
            <w:pPr>
              <w:pStyle w:val="TableText"/>
              <w:rPr>
                <w:rFonts w:cs="Calibri"/>
                <w:b/>
                <w:szCs w:val="16"/>
              </w:rPr>
            </w:pPr>
            <w:r w:rsidRPr="00D9348B">
              <w:rPr>
                <w:rFonts w:cs="Calibri"/>
                <w:szCs w:val="16"/>
              </w:rPr>
              <w:t>Manufacturing Industries and Construction – Food Processing, Beverages and Tobacco Gaseous Fuels</w:t>
            </w:r>
          </w:p>
        </w:tc>
        <w:tc>
          <w:tcPr>
            <w:tcW w:w="611" w:type="dxa"/>
            <w:tcBorders>
              <w:top w:val="single" w:sz="4" w:space="0" w:color="365F91"/>
              <w:left w:val="nil"/>
              <w:bottom w:val="single" w:sz="4" w:space="0" w:color="365F91"/>
              <w:right w:val="nil"/>
              <w:tl2br w:val="nil"/>
              <w:tr2bl w:val="nil"/>
            </w:tcBorders>
            <w:shd w:val="clear" w:color="2E74B5" w:fill="auto"/>
            <w:vAlign w:val="bottom"/>
            <w:hideMark/>
          </w:tcPr>
          <w:p w14:paraId="12285764" w14:textId="77777777" w:rsidR="00643D10" w:rsidRPr="00D9348B" w:rsidRDefault="00643D10" w:rsidP="00DB330E">
            <w:pPr>
              <w:pStyle w:val="TableText"/>
              <w:jc w:val="center"/>
              <w:rPr>
                <w:rFonts w:cs="Calibri"/>
                <w:b/>
                <w:bCs/>
                <w:szCs w:val="16"/>
              </w:rPr>
            </w:pPr>
            <w:r w:rsidRPr="00D9348B">
              <w:rPr>
                <w:rFonts w:cs="Calibri"/>
                <w:szCs w:val="16"/>
              </w:rPr>
              <w:t>CO</w:t>
            </w:r>
            <w:r w:rsidRPr="00D9348B">
              <w:rPr>
                <w:rFonts w:cs="Calibri"/>
                <w:szCs w:val="16"/>
                <w:vertAlign w:val="subscript"/>
              </w:rPr>
              <w:t>2</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30AD4170" w14:textId="77777777" w:rsidR="00643D10" w:rsidRPr="00D9348B" w:rsidRDefault="00643D10" w:rsidP="00DB330E">
            <w:pPr>
              <w:pStyle w:val="TableText"/>
              <w:jc w:val="right"/>
              <w:rPr>
                <w:rFonts w:cs="Calibri"/>
                <w:b/>
                <w:bCs/>
                <w:szCs w:val="16"/>
              </w:rPr>
            </w:pPr>
            <w:r w:rsidRPr="00D9348B">
              <w:rPr>
                <w:rFonts w:cs="Calibri"/>
                <w:bCs/>
                <w:szCs w:val="16"/>
              </w:rPr>
              <w:t>1,010.7</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01B442AD" w14:textId="77777777" w:rsidR="00643D10" w:rsidRPr="00D9348B" w:rsidRDefault="00643D10" w:rsidP="00DB330E">
            <w:pPr>
              <w:pStyle w:val="TableText"/>
              <w:jc w:val="right"/>
              <w:rPr>
                <w:rFonts w:cs="Calibri"/>
                <w:b/>
                <w:bCs/>
                <w:szCs w:val="16"/>
              </w:rPr>
            </w:pPr>
            <w:r w:rsidRPr="00D9348B">
              <w:rPr>
                <w:rFonts w:cs="Calibri"/>
                <w:bCs/>
                <w:szCs w:val="16"/>
              </w:rPr>
              <w:t>0.9</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7B6EAA48" w14:textId="77777777" w:rsidR="00643D10" w:rsidRPr="00D9348B" w:rsidRDefault="00643D10" w:rsidP="00DB330E">
            <w:pPr>
              <w:pStyle w:val="TableText"/>
              <w:jc w:val="right"/>
              <w:rPr>
                <w:rFonts w:cs="Calibri"/>
                <w:b/>
                <w:bCs/>
                <w:szCs w:val="16"/>
              </w:rPr>
            </w:pPr>
            <w:r w:rsidRPr="00D9348B">
              <w:rPr>
                <w:rFonts w:cs="Calibri"/>
                <w:bCs/>
                <w:szCs w:val="16"/>
              </w:rPr>
              <w:t>86.2</w:t>
            </w:r>
          </w:p>
        </w:tc>
      </w:tr>
      <w:tr w:rsidR="001A5BD0" w:rsidRPr="00D9348B" w14:paraId="28A7E7FD" w14:textId="77777777" w:rsidTr="00217967">
        <w:tc>
          <w:tcPr>
            <w:tcW w:w="1031" w:type="dxa"/>
            <w:tcBorders>
              <w:top w:val="single" w:sz="4" w:space="0" w:color="365F91"/>
              <w:left w:val="nil"/>
              <w:bottom w:val="single" w:sz="4" w:space="0" w:color="365F91"/>
              <w:right w:val="nil"/>
              <w:tl2br w:val="nil"/>
              <w:tr2bl w:val="nil"/>
            </w:tcBorders>
            <w:shd w:val="clear" w:color="2E74B5" w:fill="auto"/>
            <w:vAlign w:val="bottom"/>
          </w:tcPr>
          <w:p w14:paraId="6B1E30C1" w14:textId="77777777" w:rsidR="00643D10" w:rsidRPr="00D9348B" w:rsidRDefault="00643D10" w:rsidP="00DB330E">
            <w:pPr>
              <w:pStyle w:val="TableText"/>
              <w:rPr>
                <w:rFonts w:cs="Calibri"/>
                <w:b/>
                <w:szCs w:val="16"/>
              </w:rPr>
            </w:pPr>
            <w:r w:rsidRPr="00D9348B">
              <w:rPr>
                <w:rFonts w:cs="Calibri"/>
                <w:szCs w:val="16"/>
              </w:rPr>
              <w:t>1.A.1.a</w:t>
            </w:r>
          </w:p>
        </w:tc>
        <w:tc>
          <w:tcPr>
            <w:tcW w:w="4187" w:type="dxa"/>
            <w:tcBorders>
              <w:top w:val="single" w:sz="4" w:space="0" w:color="365F91"/>
              <w:left w:val="nil"/>
              <w:bottom w:val="single" w:sz="4" w:space="0" w:color="365F91"/>
              <w:right w:val="nil"/>
              <w:tl2br w:val="nil"/>
              <w:tr2bl w:val="nil"/>
            </w:tcBorders>
            <w:shd w:val="clear" w:color="2E74B5" w:fill="auto"/>
            <w:noWrap/>
            <w:vAlign w:val="bottom"/>
            <w:hideMark/>
          </w:tcPr>
          <w:p w14:paraId="00414AB6" w14:textId="77777777" w:rsidR="00643D10" w:rsidRPr="00D9348B" w:rsidRDefault="00643D10" w:rsidP="00DB330E">
            <w:pPr>
              <w:pStyle w:val="TableText"/>
              <w:rPr>
                <w:rFonts w:cs="Calibri"/>
                <w:b/>
                <w:szCs w:val="16"/>
              </w:rPr>
            </w:pPr>
            <w:r w:rsidRPr="00D9348B">
              <w:rPr>
                <w:rFonts w:cs="Calibri"/>
                <w:szCs w:val="16"/>
              </w:rPr>
              <w:t>Energy Industries – Public Electricity and Heat Production Solid Fuels</w:t>
            </w:r>
          </w:p>
        </w:tc>
        <w:tc>
          <w:tcPr>
            <w:tcW w:w="611" w:type="dxa"/>
            <w:tcBorders>
              <w:top w:val="single" w:sz="4" w:space="0" w:color="365F91"/>
              <w:left w:val="nil"/>
              <w:bottom w:val="single" w:sz="4" w:space="0" w:color="365F91"/>
              <w:right w:val="nil"/>
              <w:tl2br w:val="nil"/>
              <w:tr2bl w:val="nil"/>
            </w:tcBorders>
            <w:shd w:val="clear" w:color="2E74B5" w:fill="auto"/>
            <w:vAlign w:val="bottom"/>
            <w:hideMark/>
          </w:tcPr>
          <w:p w14:paraId="63DBDF7D" w14:textId="77777777" w:rsidR="00643D10" w:rsidRPr="00D9348B" w:rsidRDefault="00643D10" w:rsidP="00DB330E">
            <w:pPr>
              <w:pStyle w:val="TableText"/>
              <w:jc w:val="center"/>
              <w:rPr>
                <w:rFonts w:cs="Calibri"/>
                <w:b/>
                <w:bCs/>
                <w:szCs w:val="16"/>
              </w:rPr>
            </w:pPr>
            <w:r w:rsidRPr="00D9348B">
              <w:rPr>
                <w:rFonts w:cs="Calibri"/>
                <w:szCs w:val="16"/>
              </w:rPr>
              <w:t>CO</w:t>
            </w:r>
            <w:r w:rsidRPr="00D9348B">
              <w:rPr>
                <w:rFonts w:cs="Calibri"/>
                <w:szCs w:val="16"/>
                <w:vertAlign w:val="subscript"/>
              </w:rPr>
              <w:t>2</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0519A12C" w14:textId="77777777" w:rsidR="00643D10" w:rsidRPr="00D9348B" w:rsidRDefault="00643D10" w:rsidP="00DB330E">
            <w:pPr>
              <w:pStyle w:val="TableText"/>
              <w:jc w:val="right"/>
              <w:rPr>
                <w:rFonts w:cs="Calibri"/>
                <w:b/>
                <w:bCs/>
                <w:szCs w:val="16"/>
              </w:rPr>
            </w:pPr>
            <w:r w:rsidRPr="00D9348B">
              <w:rPr>
                <w:rFonts w:cs="Calibri"/>
                <w:bCs/>
                <w:szCs w:val="16"/>
              </w:rPr>
              <w:t>928.9</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4348BFEB" w14:textId="77777777" w:rsidR="00643D10" w:rsidRPr="00D9348B" w:rsidRDefault="00643D10" w:rsidP="00DB330E">
            <w:pPr>
              <w:pStyle w:val="TableText"/>
              <w:jc w:val="right"/>
              <w:rPr>
                <w:rFonts w:cs="Calibri"/>
                <w:b/>
                <w:bCs/>
                <w:szCs w:val="16"/>
              </w:rPr>
            </w:pPr>
            <w:r w:rsidRPr="00D9348B">
              <w:rPr>
                <w:rFonts w:cs="Calibri"/>
                <w:bCs/>
                <w:szCs w:val="16"/>
              </w:rPr>
              <w:t>0.8</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58F77748" w14:textId="77777777" w:rsidR="00643D10" w:rsidRPr="00D9348B" w:rsidRDefault="00643D10" w:rsidP="00DB330E">
            <w:pPr>
              <w:pStyle w:val="TableText"/>
              <w:jc w:val="right"/>
              <w:rPr>
                <w:rFonts w:cs="Calibri"/>
                <w:b/>
                <w:bCs/>
                <w:szCs w:val="16"/>
              </w:rPr>
            </w:pPr>
            <w:r w:rsidRPr="00D9348B">
              <w:rPr>
                <w:rFonts w:cs="Calibri"/>
                <w:bCs/>
                <w:szCs w:val="16"/>
              </w:rPr>
              <w:t>87.0</w:t>
            </w:r>
          </w:p>
        </w:tc>
      </w:tr>
      <w:tr w:rsidR="001A5BD0" w:rsidRPr="00D9348B" w14:paraId="035F381A" w14:textId="77777777" w:rsidTr="00217967">
        <w:tc>
          <w:tcPr>
            <w:tcW w:w="1031" w:type="dxa"/>
            <w:tcBorders>
              <w:top w:val="single" w:sz="4" w:space="0" w:color="365F91"/>
              <w:left w:val="nil"/>
              <w:bottom w:val="single" w:sz="4" w:space="0" w:color="365F91"/>
              <w:right w:val="nil"/>
              <w:tl2br w:val="nil"/>
              <w:tr2bl w:val="nil"/>
            </w:tcBorders>
            <w:shd w:val="clear" w:color="2E74B5" w:fill="auto"/>
            <w:vAlign w:val="bottom"/>
          </w:tcPr>
          <w:p w14:paraId="4C7B9ECA" w14:textId="77777777" w:rsidR="00643D10" w:rsidRPr="00D9348B" w:rsidRDefault="00643D10" w:rsidP="00DB330E">
            <w:pPr>
              <w:pStyle w:val="TableText"/>
              <w:rPr>
                <w:rFonts w:cs="Calibri"/>
                <w:b/>
                <w:szCs w:val="16"/>
              </w:rPr>
            </w:pPr>
            <w:r w:rsidRPr="00D9348B">
              <w:rPr>
                <w:rFonts w:cs="Calibri"/>
                <w:szCs w:val="16"/>
              </w:rPr>
              <w:t>3.D.2.1</w:t>
            </w:r>
          </w:p>
        </w:tc>
        <w:tc>
          <w:tcPr>
            <w:tcW w:w="4187" w:type="dxa"/>
            <w:tcBorders>
              <w:top w:val="single" w:sz="4" w:space="0" w:color="365F91"/>
              <w:left w:val="nil"/>
              <w:bottom w:val="single" w:sz="4" w:space="0" w:color="365F91"/>
              <w:right w:val="nil"/>
              <w:tl2br w:val="nil"/>
              <w:tr2bl w:val="nil"/>
            </w:tcBorders>
            <w:shd w:val="clear" w:color="2E74B5" w:fill="auto"/>
            <w:noWrap/>
            <w:vAlign w:val="bottom"/>
            <w:hideMark/>
          </w:tcPr>
          <w:p w14:paraId="3D8788F8" w14:textId="77777777" w:rsidR="00643D10" w:rsidRPr="00D9348B" w:rsidRDefault="00643D10" w:rsidP="00DB330E">
            <w:pPr>
              <w:pStyle w:val="TableText"/>
              <w:rPr>
                <w:rFonts w:cs="Calibri"/>
                <w:b/>
                <w:szCs w:val="16"/>
              </w:rPr>
            </w:pPr>
            <w:r w:rsidRPr="00D9348B">
              <w:rPr>
                <w:rFonts w:cs="Calibri"/>
                <w:szCs w:val="16"/>
              </w:rPr>
              <w:t>Indirect N</w:t>
            </w:r>
            <w:r w:rsidRPr="00D9348B">
              <w:rPr>
                <w:rFonts w:cs="Calibri"/>
                <w:szCs w:val="16"/>
                <w:vertAlign w:val="subscript"/>
              </w:rPr>
              <w:t>2</w:t>
            </w:r>
            <w:r w:rsidRPr="00D9348B">
              <w:rPr>
                <w:rFonts w:cs="Calibri"/>
                <w:szCs w:val="16"/>
              </w:rPr>
              <w:t>O Emissions From Managed Soils – Atmospheric Deposition</w:t>
            </w:r>
          </w:p>
        </w:tc>
        <w:tc>
          <w:tcPr>
            <w:tcW w:w="611" w:type="dxa"/>
            <w:tcBorders>
              <w:top w:val="single" w:sz="4" w:space="0" w:color="365F91"/>
              <w:left w:val="nil"/>
              <w:bottom w:val="single" w:sz="4" w:space="0" w:color="365F91"/>
              <w:right w:val="nil"/>
              <w:tl2br w:val="nil"/>
              <w:tr2bl w:val="nil"/>
            </w:tcBorders>
            <w:shd w:val="clear" w:color="2E74B5" w:fill="auto"/>
            <w:vAlign w:val="bottom"/>
            <w:hideMark/>
          </w:tcPr>
          <w:p w14:paraId="139E66EA" w14:textId="77777777" w:rsidR="00643D10" w:rsidRPr="00D9348B" w:rsidRDefault="00643D10" w:rsidP="00DB330E">
            <w:pPr>
              <w:pStyle w:val="TableText"/>
              <w:jc w:val="center"/>
              <w:rPr>
                <w:rFonts w:cs="Calibri"/>
                <w:b/>
                <w:bCs/>
                <w:szCs w:val="16"/>
              </w:rPr>
            </w:pPr>
            <w:r w:rsidRPr="00D9348B">
              <w:rPr>
                <w:rFonts w:cs="Calibri"/>
                <w:szCs w:val="16"/>
              </w:rPr>
              <w:t>N</w:t>
            </w:r>
            <w:r w:rsidRPr="00D9348B">
              <w:rPr>
                <w:rFonts w:cs="Calibri"/>
                <w:szCs w:val="16"/>
                <w:vertAlign w:val="subscript"/>
              </w:rPr>
              <w:t>2</w:t>
            </w:r>
            <w:r w:rsidRPr="00D9348B">
              <w:rPr>
                <w:rFonts w:cs="Calibri"/>
                <w:szCs w:val="16"/>
              </w:rPr>
              <w:t>O</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3EDEEA29" w14:textId="77777777" w:rsidR="00643D10" w:rsidRPr="00D9348B" w:rsidRDefault="00643D10" w:rsidP="00DB330E">
            <w:pPr>
              <w:pStyle w:val="TableText"/>
              <w:jc w:val="right"/>
              <w:rPr>
                <w:rFonts w:cs="Calibri"/>
                <w:b/>
                <w:bCs/>
                <w:szCs w:val="16"/>
              </w:rPr>
            </w:pPr>
            <w:r w:rsidRPr="00D9348B">
              <w:rPr>
                <w:rFonts w:cs="Calibri"/>
                <w:bCs/>
                <w:szCs w:val="16"/>
              </w:rPr>
              <w:t>919.6</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08CA07DB" w14:textId="77777777" w:rsidR="00643D10" w:rsidRPr="00D9348B" w:rsidRDefault="00643D10" w:rsidP="00DB330E">
            <w:pPr>
              <w:pStyle w:val="TableText"/>
              <w:jc w:val="right"/>
              <w:rPr>
                <w:rFonts w:cs="Calibri"/>
                <w:b/>
                <w:bCs/>
                <w:szCs w:val="16"/>
              </w:rPr>
            </w:pPr>
            <w:r w:rsidRPr="00D9348B">
              <w:rPr>
                <w:rFonts w:cs="Calibri"/>
                <w:bCs/>
                <w:szCs w:val="16"/>
              </w:rPr>
              <w:t>0.8</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499C11AF" w14:textId="77777777" w:rsidR="00643D10" w:rsidRPr="00D9348B" w:rsidRDefault="00643D10" w:rsidP="00DB330E">
            <w:pPr>
              <w:pStyle w:val="TableText"/>
              <w:jc w:val="right"/>
              <w:rPr>
                <w:rFonts w:cs="Calibri"/>
                <w:b/>
                <w:bCs/>
                <w:szCs w:val="16"/>
              </w:rPr>
            </w:pPr>
            <w:r w:rsidRPr="00D9348B">
              <w:rPr>
                <w:rFonts w:cs="Calibri"/>
                <w:bCs/>
                <w:szCs w:val="16"/>
              </w:rPr>
              <w:t>87.9</w:t>
            </w:r>
          </w:p>
        </w:tc>
      </w:tr>
      <w:tr w:rsidR="001A5BD0" w:rsidRPr="00D9348B" w14:paraId="12A3B429" w14:textId="77777777" w:rsidTr="00217967">
        <w:tc>
          <w:tcPr>
            <w:tcW w:w="1031" w:type="dxa"/>
            <w:tcBorders>
              <w:top w:val="single" w:sz="4" w:space="0" w:color="365F91"/>
              <w:left w:val="nil"/>
              <w:bottom w:val="single" w:sz="4" w:space="0" w:color="365F91"/>
              <w:right w:val="nil"/>
              <w:tl2br w:val="nil"/>
              <w:tr2bl w:val="nil"/>
            </w:tcBorders>
            <w:shd w:val="clear" w:color="2E74B5" w:fill="auto"/>
            <w:vAlign w:val="bottom"/>
          </w:tcPr>
          <w:p w14:paraId="76F7E288" w14:textId="77777777" w:rsidR="00643D10" w:rsidRPr="00D9348B" w:rsidRDefault="00643D10" w:rsidP="00DB330E">
            <w:pPr>
              <w:pStyle w:val="TableText"/>
              <w:rPr>
                <w:rFonts w:cs="Calibri"/>
                <w:b/>
                <w:szCs w:val="16"/>
              </w:rPr>
            </w:pPr>
            <w:r w:rsidRPr="00D9348B">
              <w:rPr>
                <w:rFonts w:cs="Calibri"/>
                <w:szCs w:val="16"/>
              </w:rPr>
              <w:t>1.A.2.g.iii</w:t>
            </w:r>
          </w:p>
        </w:tc>
        <w:tc>
          <w:tcPr>
            <w:tcW w:w="4187" w:type="dxa"/>
            <w:tcBorders>
              <w:top w:val="single" w:sz="4" w:space="0" w:color="365F91"/>
              <w:left w:val="nil"/>
              <w:bottom w:val="single" w:sz="4" w:space="0" w:color="365F91"/>
              <w:right w:val="nil"/>
              <w:tl2br w:val="nil"/>
              <w:tr2bl w:val="nil"/>
            </w:tcBorders>
            <w:shd w:val="clear" w:color="2E74B5" w:fill="auto"/>
            <w:noWrap/>
            <w:vAlign w:val="bottom"/>
            <w:hideMark/>
          </w:tcPr>
          <w:p w14:paraId="1EBA783D" w14:textId="77777777" w:rsidR="00643D10" w:rsidRPr="00D9348B" w:rsidRDefault="00643D10" w:rsidP="00DB330E">
            <w:pPr>
              <w:pStyle w:val="TableText"/>
              <w:rPr>
                <w:rFonts w:cs="Calibri"/>
                <w:b/>
                <w:szCs w:val="16"/>
              </w:rPr>
            </w:pPr>
            <w:r w:rsidRPr="00D9348B">
              <w:rPr>
                <w:rFonts w:cs="Calibri"/>
                <w:szCs w:val="16"/>
              </w:rPr>
              <w:t>Other (please specify) – Mining (excluding fuels) and Quarrying Liquid Fuels</w:t>
            </w:r>
          </w:p>
        </w:tc>
        <w:tc>
          <w:tcPr>
            <w:tcW w:w="611" w:type="dxa"/>
            <w:tcBorders>
              <w:top w:val="single" w:sz="4" w:space="0" w:color="365F91"/>
              <w:left w:val="nil"/>
              <w:bottom w:val="single" w:sz="4" w:space="0" w:color="365F91"/>
              <w:right w:val="nil"/>
              <w:tl2br w:val="nil"/>
              <w:tr2bl w:val="nil"/>
            </w:tcBorders>
            <w:shd w:val="clear" w:color="2E74B5" w:fill="auto"/>
            <w:vAlign w:val="bottom"/>
            <w:hideMark/>
          </w:tcPr>
          <w:p w14:paraId="72A3874F" w14:textId="77777777" w:rsidR="00643D10" w:rsidRPr="00D9348B" w:rsidRDefault="00643D10" w:rsidP="00DB330E">
            <w:pPr>
              <w:pStyle w:val="TableText"/>
              <w:jc w:val="center"/>
              <w:rPr>
                <w:rFonts w:cs="Calibri"/>
                <w:b/>
                <w:bCs/>
                <w:szCs w:val="16"/>
              </w:rPr>
            </w:pPr>
            <w:r w:rsidRPr="00D9348B">
              <w:rPr>
                <w:rFonts w:cs="Calibri"/>
                <w:szCs w:val="16"/>
              </w:rPr>
              <w:t>CO</w:t>
            </w:r>
            <w:r w:rsidRPr="00D9348B">
              <w:rPr>
                <w:rFonts w:cs="Calibri"/>
                <w:szCs w:val="16"/>
                <w:vertAlign w:val="subscript"/>
              </w:rPr>
              <w:t>2</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068AE906" w14:textId="77777777" w:rsidR="00643D10" w:rsidRPr="00D9348B" w:rsidRDefault="00643D10" w:rsidP="00DB330E">
            <w:pPr>
              <w:pStyle w:val="TableText"/>
              <w:jc w:val="right"/>
              <w:rPr>
                <w:rFonts w:cs="Calibri"/>
                <w:b/>
                <w:bCs/>
                <w:szCs w:val="16"/>
              </w:rPr>
            </w:pPr>
            <w:r w:rsidRPr="00D9348B">
              <w:rPr>
                <w:rFonts w:cs="Calibri"/>
                <w:bCs/>
                <w:szCs w:val="16"/>
              </w:rPr>
              <w:t>664.3</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1A1A4075" w14:textId="77777777" w:rsidR="00643D10" w:rsidRPr="00D9348B" w:rsidRDefault="00643D10" w:rsidP="00DB330E">
            <w:pPr>
              <w:pStyle w:val="TableText"/>
              <w:jc w:val="right"/>
              <w:rPr>
                <w:rFonts w:cs="Calibri"/>
                <w:b/>
                <w:bCs/>
                <w:szCs w:val="16"/>
              </w:rPr>
            </w:pPr>
            <w:r w:rsidRPr="00D9348B">
              <w:rPr>
                <w:rFonts w:cs="Calibri"/>
                <w:bCs/>
                <w:szCs w:val="16"/>
              </w:rPr>
              <w:t>0.6</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7C278199" w14:textId="77777777" w:rsidR="00643D10" w:rsidRPr="00D9348B" w:rsidRDefault="00643D10" w:rsidP="00DB330E">
            <w:pPr>
              <w:pStyle w:val="TableText"/>
              <w:jc w:val="right"/>
              <w:rPr>
                <w:rFonts w:cs="Calibri"/>
                <w:b/>
                <w:bCs/>
                <w:szCs w:val="16"/>
              </w:rPr>
            </w:pPr>
            <w:r w:rsidRPr="00D9348B">
              <w:rPr>
                <w:rFonts w:cs="Calibri"/>
                <w:bCs/>
                <w:szCs w:val="16"/>
              </w:rPr>
              <w:t>88.5</w:t>
            </w:r>
          </w:p>
        </w:tc>
      </w:tr>
      <w:tr w:rsidR="001A5BD0" w:rsidRPr="00D9348B" w14:paraId="710A9845" w14:textId="77777777" w:rsidTr="00217967">
        <w:tc>
          <w:tcPr>
            <w:tcW w:w="1031" w:type="dxa"/>
            <w:tcBorders>
              <w:top w:val="single" w:sz="4" w:space="0" w:color="365F91"/>
              <w:left w:val="nil"/>
              <w:bottom w:val="single" w:sz="4" w:space="0" w:color="365F91"/>
              <w:right w:val="nil"/>
              <w:tl2br w:val="nil"/>
              <w:tr2bl w:val="nil"/>
            </w:tcBorders>
            <w:shd w:val="clear" w:color="2E74B5" w:fill="auto"/>
            <w:vAlign w:val="bottom"/>
          </w:tcPr>
          <w:p w14:paraId="2D4339D3" w14:textId="77777777" w:rsidR="00643D10" w:rsidRPr="00D9348B" w:rsidRDefault="00643D10" w:rsidP="00DB330E">
            <w:pPr>
              <w:pStyle w:val="TableText"/>
              <w:rPr>
                <w:rFonts w:cs="Calibri"/>
                <w:b/>
                <w:szCs w:val="16"/>
              </w:rPr>
            </w:pPr>
            <w:r w:rsidRPr="00D9348B">
              <w:rPr>
                <w:rFonts w:cs="Calibri"/>
                <w:szCs w:val="16"/>
              </w:rPr>
              <w:t>3.H</w:t>
            </w:r>
          </w:p>
        </w:tc>
        <w:tc>
          <w:tcPr>
            <w:tcW w:w="4187" w:type="dxa"/>
            <w:tcBorders>
              <w:top w:val="single" w:sz="4" w:space="0" w:color="365F91"/>
              <w:left w:val="nil"/>
              <w:bottom w:val="single" w:sz="4" w:space="0" w:color="365F91"/>
              <w:right w:val="nil"/>
              <w:tl2br w:val="nil"/>
              <w:tr2bl w:val="nil"/>
            </w:tcBorders>
            <w:shd w:val="clear" w:color="2E74B5" w:fill="auto"/>
            <w:noWrap/>
            <w:vAlign w:val="bottom"/>
            <w:hideMark/>
          </w:tcPr>
          <w:p w14:paraId="070E1E96" w14:textId="77777777" w:rsidR="00643D10" w:rsidRPr="00D9348B" w:rsidRDefault="00643D10" w:rsidP="00DB330E">
            <w:pPr>
              <w:pStyle w:val="TableText"/>
              <w:rPr>
                <w:rFonts w:cs="Calibri"/>
                <w:b/>
                <w:szCs w:val="16"/>
              </w:rPr>
            </w:pPr>
            <w:r w:rsidRPr="00D9348B">
              <w:rPr>
                <w:rFonts w:cs="Calibri"/>
                <w:szCs w:val="16"/>
              </w:rPr>
              <w:t>Agriculture – Urea Application</w:t>
            </w:r>
          </w:p>
        </w:tc>
        <w:tc>
          <w:tcPr>
            <w:tcW w:w="611" w:type="dxa"/>
            <w:tcBorders>
              <w:top w:val="single" w:sz="4" w:space="0" w:color="365F91"/>
              <w:left w:val="nil"/>
              <w:bottom w:val="single" w:sz="4" w:space="0" w:color="365F91"/>
              <w:right w:val="nil"/>
              <w:tl2br w:val="nil"/>
              <w:tr2bl w:val="nil"/>
            </w:tcBorders>
            <w:shd w:val="clear" w:color="2E74B5" w:fill="auto"/>
            <w:vAlign w:val="bottom"/>
            <w:hideMark/>
          </w:tcPr>
          <w:p w14:paraId="43B8062E" w14:textId="77777777" w:rsidR="00643D10" w:rsidRPr="00D9348B" w:rsidRDefault="00643D10" w:rsidP="00DB330E">
            <w:pPr>
              <w:pStyle w:val="TableText"/>
              <w:jc w:val="center"/>
              <w:rPr>
                <w:rFonts w:cs="Calibri"/>
                <w:b/>
                <w:bCs/>
                <w:szCs w:val="16"/>
              </w:rPr>
            </w:pPr>
            <w:r w:rsidRPr="00D9348B">
              <w:rPr>
                <w:rFonts w:cs="Calibri"/>
                <w:szCs w:val="16"/>
              </w:rPr>
              <w:t>CO</w:t>
            </w:r>
            <w:r w:rsidRPr="00D9348B">
              <w:rPr>
                <w:rFonts w:cs="Calibri"/>
                <w:szCs w:val="16"/>
                <w:vertAlign w:val="subscript"/>
              </w:rPr>
              <w:t>2</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05D1FA91" w14:textId="77777777" w:rsidR="00643D10" w:rsidRPr="00D9348B" w:rsidRDefault="00643D10" w:rsidP="00DB330E">
            <w:pPr>
              <w:pStyle w:val="TableText"/>
              <w:jc w:val="right"/>
              <w:rPr>
                <w:rFonts w:cs="Calibri"/>
                <w:b/>
                <w:bCs/>
                <w:szCs w:val="16"/>
              </w:rPr>
            </w:pPr>
            <w:r w:rsidRPr="00D9348B">
              <w:rPr>
                <w:rFonts w:cs="Calibri"/>
                <w:bCs/>
                <w:szCs w:val="16"/>
              </w:rPr>
              <w:t>608.2</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638636B5" w14:textId="77777777" w:rsidR="00643D10" w:rsidRPr="00D9348B" w:rsidRDefault="00643D10" w:rsidP="00DB330E">
            <w:pPr>
              <w:pStyle w:val="TableText"/>
              <w:jc w:val="right"/>
              <w:rPr>
                <w:rFonts w:cs="Calibri"/>
                <w:b/>
                <w:bCs/>
                <w:szCs w:val="16"/>
              </w:rPr>
            </w:pPr>
            <w:r w:rsidRPr="00D9348B">
              <w:rPr>
                <w:rFonts w:cs="Calibri"/>
                <w:bCs/>
                <w:szCs w:val="16"/>
              </w:rPr>
              <w:t>0.5</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2EEDBA23" w14:textId="77777777" w:rsidR="00643D10" w:rsidRPr="00D9348B" w:rsidRDefault="00643D10" w:rsidP="00DB330E">
            <w:pPr>
              <w:pStyle w:val="TableText"/>
              <w:jc w:val="right"/>
              <w:rPr>
                <w:rFonts w:cs="Calibri"/>
                <w:b/>
                <w:bCs/>
                <w:szCs w:val="16"/>
              </w:rPr>
            </w:pPr>
            <w:r w:rsidRPr="00D9348B">
              <w:rPr>
                <w:rFonts w:cs="Calibri"/>
                <w:bCs/>
                <w:szCs w:val="16"/>
              </w:rPr>
              <w:t>89.0</w:t>
            </w:r>
          </w:p>
        </w:tc>
      </w:tr>
      <w:tr w:rsidR="001A5BD0" w:rsidRPr="00D9348B" w14:paraId="63941B85" w14:textId="77777777" w:rsidTr="00217967">
        <w:tc>
          <w:tcPr>
            <w:tcW w:w="1031" w:type="dxa"/>
            <w:tcBorders>
              <w:top w:val="single" w:sz="4" w:space="0" w:color="365F91"/>
              <w:left w:val="nil"/>
              <w:bottom w:val="single" w:sz="4" w:space="0" w:color="365F91"/>
              <w:right w:val="nil"/>
              <w:tl2br w:val="nil"/>
              <w:tr2bl w:val="nil"/>
            </w:tcBorders>
            <w:shd w:val="clear" w:color="2E74B5" w:fill="auto"/>
            <w:vAlign w:val="bottom"/>
          </w:tcPr>
          <w:p w14:paraId="3E807AD0" w14:textId="77777777" w:rsidR="00643D10" w:rsidRPr="00D9348B" w:rsidRDefault="00643D10" w:rsidP="00DB330E">
            <w:pPr>
              <w:pStyle w:val="TableText"/>
              <w:rPr>
                <w:rFonts w:cs="Calibri"/>
                <w:b/>
                <w:szCs w:val="16"/>
              </w:rPr>
            </w:pPr>
            <w:r w:rsidRPr="00D9348B">
              <w:rPr>
                <w:rFonts w:cs="Calibri"/>
                <w:szCs w:val="16"/>
              </w:rPr>
              <w:t>1.B.2.d</w:t>
            </w:r>
          </w:p>
        </w:tc>
        <w:tc>
          <w:tcPr>
            <w:tcW w:w="4187" w:type="dxa"/>
            <w:tcBorders>
              <w:top w:val="single" w:sz="4" w:space="0" w:color="365F91"/>
              <w:left w:val="nil"/>
              <w:bottom w:val="single" w:sz="4" w:space="0" w:color="365F91"/>
              <w:right w:val="nil"/>
              <w:tl2br w:val="nil"/>
              <w:tr2bl w:val="nil"/>
            </w:tcBorders>
            <w:shd w:val="clear" w:color="2E74B5" w:fill="auto"/>
            <w:noWrap/>
            <w:vAlign w:val="bottom"/>
            <w:hideMark/>
          </w:tcPr>
          <w:p w14:paraId="61F45F31" w14:textId="77777777" w:rsidR="00643D10" w:rsidRPr="00D9348B" w:rsidRDefault="00643D10" w:rsidP="00DB330E">
            <w:pPr>
              <w:pStyle w:val="TableText"/>
              <w:rPr>
                <w:rFonts w:cs="Calibri"/>
                <w:b/>
                <w:szCs w:val="16"/>
              </w:rPr>
            </w:pPr>
            <w:r w:rsidRPr="00D9348B">
              <w:rPr>
                <w:rFonts w:cs="Calibri"/>
                <w:szCs w:val="16"/>
              </w:rPr>
              <w:t>Other (please specify) – Geothermal</w:t>
            </w:r>
          </w:p>
        </w:tc>
        <w:tc>
          <w:tcPr>
            <w:tcW w:w="611" w:type="dxa"/>
            <w:tcBorders>
              <w:top w:val="single" w:sz="4" w:space="0" w:color="365F91"/>
              <w:left w:val="nil"/>
              <w:bottom w:val="single" w:sz="4" w:space="0" w:color="365F91"/>
              <w:right w:val="nil"/>
              <w:tl2br w:val="nil"/>
              <w:tr2bl w:val="nil"/>
            </w:tcBorders>
            <w:shd w:val="clear" w:color="2E74B5" w:fill="auto"/>
            <w:vAlign w:val="bottom"/>
            <w:hideMark/>
          </w:tcPr>
          <w:p w14:paraId="76F4CEA3" w14:textId="77777777" w:rsidR="00643D10" w:rsidRPr="00D9348B" w:rsidRDefault="00643D10" w:rsidP="00DB330E">
            <w:pPr>
              <w:pStyle w:val="TableText"/>
              <w:jc w:val="center"/>
              <w:rPr>
                <w:rFonts w:cs="Calibri"/>
                <w:b/>
                <w:bCs/>
                <w:szCs w:val="16"/>
              </w:rPr>
            </w:pPr>
            <w:r w:rsidRPr="00D9348B">
              <w:rPr>
                <w:rFonts w:cs="Calibri"/>
                <w:szCs w:val="16"/>
              </w:rPr>
              <w:t>CO</w:t>
            </w:r>
            <w:r w:rsidRPr="00D9348B">
              <w:rPr>
                <w:rFonts w:cs="Calibri"/>
                <w:szCs w:val="16"/>
                <w:vertAlign w:val="subscript"/>
              </w:rPr>
              <w:t>2</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28A83C60" w14:textId="77777777" w:rsidR="00643D10" w:rsidRPr="00D9348B" w:rsidRDefault="00643D10" w:rsidP="00DB330E">
            <w:pPr>
              <w:pStyle w:val="TableText"/>
              <w:jc w:val="right"/>
              <w:rPr>
                <w:rFonts w:cs="Calibri"/>
                <w:b/>
                <w:bCs/>
                <w:szCs w:val="16"/>
              </w:rPr>
            </w:pPr>
            <w:r w:rsidRPr="00D9348B">
              <w:rPr>
                <w:rFonts w:cs="Calibri"/>
                <w:bCs/>
                <w:szCs w:val="16"/>
              </w:rPr>
              <w:t>583.4</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5920FDC6" w14:textId="77777777" w:rsidR="00643D10" w:rsidRPr="00D9348B" w:rsidRDefault="00643D10" w:rsidP="00DB330E">
            <w:pPr>
              <w:pStyle w:val="TableText"/>
              <w:jc w:val="right"/>
              <w:rPr>
                <w:rFonts w:cs="Calibri"/>
                <w:b/>
                <w:bCs/>
                <w:szCs w:val="16"/>
              </w:rPr>
            </w:pPr>
            <w:r w:rsidRPr="00D9348B">
              <w:rPr>
                <w:rFonts w:cs="Calibri"/>
                <w:bCs/>
                <w:szCs w:val="16"/>
              </w:rPr>
              <w:t>0.5</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61B47908" w14:textId="77777777" w:rsidR="00643D10" w:rsidRPr="00D9348B" w:rsidRDefault="00643D10" w:rsidP="00DB330E">
            <w:pPr>
              <w:pStyle w:val="TableText"/>
              <w:jc w:val="right"/>
              <w:rPr>
                <w:rFonts w:cs="Calibri"/>
                <w:b/>
                <w:bCs/>
                <w:szCs w:val="16"/>
              </w:rPr>
            </w:pPr>
            <w:r w:rsidRPr="00D9348B">
              <w:rPr>
                <w:rFonts w:cs="Calibri"/>
                <w:bCs/>
                <w:szCs w:val="16"/>
              </w:rPr>
              <w:t>89.5</w:t>
            </w:r>
          </w:p>
        </w:tc>
      </w:tr>
      <w:tr w:rsidR="001A5BD0" w:rsidRPr="00D9348B" w14:paraId="6D43E9E4" w14:textId="77777777" w:rsidTr="00217967">
        <w:tc>
          <w:tcPr>
            <w:tcW w:w="1031" w:type="dxa"/>
            <w:tcBorders>
              <w:top w:val="single" w:sz="4" w:space="0" w:color="365F91"/>
              <w:left w:val="nil"/>
              <w:bottom w:val="single" w:sz="4" w:space="0" w:color="365F91"/>
              <w:right w:val="nil"/>
              <w:tl2br w:val="nil"/>
              <w:tr2bl w:val="nil"/>
            </w:tcBorders>
            <w:shd w:val="clear" w:color="2E74B5" w:fill="auto"/>
            <w:vAlign w:val="bottom"/>
          </w:tcPr>
          <w:p w14:paraId="43F0A192" w14:textId="77777777" w:rsidR="00643D10" w:rsidRPr="00D9348B" w:rsidRDefault="00643D10" w:rsidP="00DB330E">
            <w:pPr>
              <w:pStyle w:val="TableText"/>
              <w:rPr>
                <w:rFonts w:cs="Calibri"/>
                <w:b/>
                <w:szCs w:val="16"/>
              </w:rPr>
            </w:pPr>
            <w:r w:rsidRPr="00D9348B">
              <w:rPr>
                <w:rFonts w:cs="Calibri"/>
                <w:szCs w:val="16"/>
              </w:rPr>
              <w:t>1.A.1.b</w:t>
            </w:r>
          </w:p>
        </w:tc>
        <w:tc>
          <w:tcPr>
            <w:tcW w:w="4187" w:type="dxa"/>
            <w:tcBorders>
              <w:top w:val="single" w:sz="4" w:space="0" w:color="365F91"/>
              <w:left w:val="nil"/>
              <w:bottom w:val="single" w:sz="4" w:space="0" w:color="365F91"/>
              <w:right w:val="nil"/>
              <w:tl2br w:val="nil"/>
              <w:tr2bl w:val="nil"/>
            </w:tcBorders>
            <w:shd w:val="clear" w:color="2E74B5" w:fill="auto"/>
            <w:noWrap/>
            <w:vAlign w:val="bottom"/>
            <w:hideMark/>
          </w:tcPr>
          <w:p w14:paraId="0173393B" w14:textId="77777777" w:rsidR="00643D10" w:rsidRPr="00D9348B" w:rsidRDefault="00643D10" w:rsidP="00DB330E">
            <w:pPr>
              <w:pStyle w:val="TableText"/>
              <w:rPr>
                <w:rFonts w:cs="Calibri"/>
                <w:b/>
                <w:szCs w:val="16"/>
              </w:rPr>
            </w:pPr>
            <w:r w:rsidRPr="00D9348B">
              <w:rPr>
                <w:rFonts w:cs="Calibri"/>
                <w:szCs w:val="16"/>
              </w:rPr>
              <w:t>Energy Industries – Petroleum Refining Liquid Fuels</w:t>
            </w:r>
          </w:p>
        </w:tc>
        <w:tc>
          <w:tcPr>
            <w:tcW w:w="611" w:type="dxa"/>
            <w:tcBorders>
              <w:top w:val="single" w:sz="4" w:space="0" w:color="365F91"/>
              <w:left w:val="nil"/>
              <w:bottom w:val="single" w:sz="4" w:space="0" w:color="365F91"/>
              <w:right w:val="nil"/>
              <w:tl2br w:val="nil"/>
              <w:tr2bl w:val="nil"/>
            </w:tcBorders>
            <w:shd w:val="clear" w:color="2E74B5" w:fill="auto"/>
            <w:vAlign w:val="bottom"/>
            <w:hideMark/>
          </w:tcPr>
          <w:p w14:paraId="3C674215" w14:textId="77777777" w:rsidR="00643D10" w:rsidRPr="00D9348B" w:rsidRDefault="00643D10" w:rsidP="00DB330E">
            <w:pPr>
              <w:pStyle w:val="TableText"/>
              <w:jc w:val="center"/>
              <w:rPr>
                <w:rFonts w:cs="Calibri"/>
                <w:b/>
                <w:bCs/>
                <w:szCs w:val="16"/>
              </w:rPr>
            </w:pPr>
            <w:r w:rsidRPr="00D9348B">
              <w:rPr>
                <w:rFonts w:cs="Calibri"/>
                <w:szCs w:val="16"/>
              </w:rPr>
              <w:t>CO</w:t>
            </w:r>
            <w:r w:rsidRPr="00D9348B">
              <w:rPr>
                <w:rFonts w:cs="Calibri"/>
                <w:szCs w:val="16"/>
                <w:vertAlign w:val="subscript"/>
              </w:rPr>
              <w:t>2</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605EFB91" w14:textId="77777777" w:rsidR="00643D10" w:rsidRPr="00D9348B" w:rsidRDefault="00643D10" w:rsidP="00DB330E">
            <w:pPr>
              <w:pStyle w:val="TableText"/>
              <w:jc w:val="right"/>
              <w:rPr>
                <w:rFonts w:cs="Calibri"/>
                <w:b/>
                <w:bCs/>
                <w:szCs w:val="16"/>
              </w:rPr>
            </w:pPr>
            <w:r w:rsidRPr="00D9348B">
              <w:rPr>
                <w:rFonts w:cs="Calibri"/>
                <w:bCs/>
                <w:szCs w:val="16"/>
              </w:rPr>
              <w:t>579.7</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36E5CA1C" w14:textId="77777777" w:rsidR="00643D10" w:rsidRPr="00D9348B" w:rsidRDefault="00643D10" w:rsidP="00DB330E">
            <w:pPr>
              <w:pStyle w:val="TableText"/>
              <w:jc w:val="right"/>
              <w:rPr>
                <w:rFonts w:cs="Calibri"/>
                <w:b/>
                <w:bCs/>
                <w:szCs w:val="16"/>
              </w:rPr>
            </w:pPr>
            <w:r w:rsidRPr="00D9348B">
              <w:rPr>
                <w:rFonts w:cs="Calibri"/>
                <w:bCs/>
                <w:szCs w:val="16"/>
              </w:rPr>
              <w:t>0.5</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2887653F" w14:textId="77777777" w:rsidR="00643D10" w:rsidRPr="00D9348B" w:rsidRDefault="00643D10" w:rsidP="00DB330E">
            <w:pPr>
              <w:pStyle w:val="TableText"/>
              <w:jc w:val="right"/>
              <w:rPr>
                <w:rFonts w:cs="Calibri"/>
                <w:b/>
                <w:bCs/>
                <w:szCs w:val="16"/>
              </w:rPr>
            </w:pPr>
            <w:r w:rsidRPr="00D9348B">
              <w:rPr>
                <w:rFonts w:cs="Calibri"/>
                <w:bCs/>
                <w:szCs w:val="16"/>
              </w:rPr>
              <w:t>90.1</w:t>
            </w:r>
          </w:p>
        </w:tc>
      </w:tr>
      <w:tr w:rsidR="001A5BD0" w:rsidRPr="00D9348B" w14:paraId="299F760B" w14:textId="77777777" w:rsidTr="00217967">
        <w:tc>
          <w:tcPr>
            <w:tcW w:w="1031" w:type="dxa"/>
            <w:tcBorders>
              <w:top w:val="single" w:sz="4" w:space="0" w:color="365F91"/>
              <w:left w:val="nil"/>
              <w:bottom w:val="single" w:sz="4" w:space="0" w:color="365F91"/>
              <w:right w:val="nil"/>
              <w:tl2br w:val="nil"/>
              <w:tr2bl w:val="nil"/>
            </w:tcBorders>
            <w:shd w:val="clear" w:color="2E74B5" w:fill="auto"/>
            <w:vAlign w:val="bottom"/>
          </w:tcPr>
          <w:p w14:paraId="6170BF05" w14:textId="77777777" w:rsidR="00643D10" w:rsidRPr="00D9348B" w:rsidRDefault="00643D10" w:rsidP="00DB330E">
            <w:pPr>
              <w:pStyle w:val="TableText"/>
              <w:rPr>
                <w:rFonts w:cs="Calibri"/>
                <w:b/>
                <w:szCs w:val="16"/>
              </w:rPr>
            </w:pPr>
            <w:r w:rsidRPr="00D9348B">
              <w:rPr>
                <w:rFonts w:cs="Calibri"/>
                <w:szCs w:val="16"/>
              </w:rPr>
              <w:t>2.C.3</w:t>
            </w:r>
          </w:p>
        </w:tc>
        <w:tc>
          <w:tcPr>
            <w:tcW w:w="4187" w:type="dxa"/>
            <w:tcBorders>
              <w:top w:val="single" w:sz="4" w:space="0" w:color="365F91"/>
              <w:left w:val="nil"/>
              <w:bottom w:val="single" w:sz="4" w:space="0" w:color="365F91"/>
              <w:right w:val="nil"/>
              <w:tl2br w:val="nil"/>
              <w:tr2bl w:val="nil"/>
            </w:tcBorders>
            <w:shd w:val="clear" w:color="2E74B5" w:fill="auto"/>
            <w:noWrap/>
            <w:vAlign w:val="bottom"/>
            <w:hideMark/>
          </w:tcPr>
          <w:p w14:paraId="3D5D11F0" w14:textId="77777777" w:rsidR="00643D10" w:rsidRPr="00D9348B" w:rsidRDefault="00643D10" w:rsidP="00DB330E">
            <w:pPr>
              <w:pStyle w:val="TableText"/>
              <w:rPr>
                <w:rFonts w:cs="Calibri"/>
                <w:b/>
                <w:szCs w:val="16"/>
              </w:rPr>
            </w:pPr>
            <w:r w:rsidRPr="00D9348B">
              <w:rPr>
                <w:rFonts w:cs="Calibri"/>
                <w:szCs w:val="16"/>
              </w:rPr>
              <w:t>Metal Industry – Aluminium Production</w:t>
            </w:r>
          </w:p>
        </w:tc>
        <w:tc>
          <w:tcPr>
            <w:tcW w:w="611" w:type="dxa"/>
            <w:tcBorders>
              <w:top w:val="single" w:sz="4" w:space="0" w:color="365F91"/>
              <w:left w:val="nil"/>
              <w:bottom w:val="single" w:sz="4" w:space="0" w:color="365F91"/>
              <w:right w:val="nil"/>
              <w:tl2br w:val="nil"/>
              <w:tr2bl w:val="nil"/>
            </w:tcBorders>
            <w:shd w:val="clear" w:color="2E74B5" w:fill="auto"/>
            <w:vAlign w:val="bottom"/>
            <w:hideMark/>
          </w:tcPr>
          <w:p w14:paraId="3685E5FA" w14:textId="77777777" w:rsidR="00643D10" w:rsidRPr="00D9348B" w:rsidRDefault="00643D10" w:rsidP="00DB330E">
            <w:pPr>
              <w:pStyle w:val="TableText"/>
              <w:jc w:val="center"/>
              <w:rPr>
                <w:rFonts w:cs="Calibri"/>
                <w:b/>
                <w:bCs/>
                <w:szCs w:val="16"/>
              </w:rPr>
            </w:pPr>
            <w:r w:rsidRPr="00D9348B">
              <w:rPr>
                <w:rFonts w:cs="Calibri"/>
                <w:szCs w:val="16"/>
              </w:rPr>
              <w:t>CO</w:t>
            </w:r>
            <w:r w:rsidRPr="00D9348B">
              <w:rPr>
                <w:rFonts w:cs="Calibri"/>
                <w:szCs w:val="16"/>
                <w:vertAlign w:val="subscript"/>
              </w:rPr>
              <w:t>2</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49D46DBA" w14:textId="77777777" w:rsidR="00643D10" w:rsidRPr="00D9348B" w:rsidRDefault="00643D10" w:rsidP="00DB330E">
            <w:pPr>
              <w:pStyle w:val="TableText"/>
              <w:jc w:val="right"/>
              <w:rPr>
                <w:rFonts w:cs="Calibri"/>
                <w:b/>
                <w:bCs/>
                <w:szCs w:val="16"/>
              </w:rPr>
            </w:pPr>
            <w:r w:rsidRPr="00D9348B">
              <w:rPr>
                <w:rFonts w:cs="Calibri"/>
                <w:bCs/>
                <w:szCs w:val="16"/>
              </w:rPr>
              <w:t>554.9</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75826477" w14:textId="77777777" w:rsidR="00643D10" w:rsidRPr="00D9348B" w:rsidRDefault="00643D10" w:rsidP="00DB330E">
            <w:pPr>
              <w:pStyle w:val="TableText"/>
              <w:jc w:val="right"/>
              <w:rPr>
                <w:rFonts w:cs="Calibri"/>
                <w:b/>
                <w:bCs/>
                <w:szCs w:val="16"/>
              </w:rPr>
            </w:pPr>
            <w:r w:rsidRPr="00D9348B">
              <w:rPr>
                <w:rFonts w:cs="Calibri"/>
                <w:bCs/>
                <w:szCs w:val="16"/>
              </w:rPr>
              <w:t>0.5</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265518A7" w14:textId="77777777" w:rsidR="00643D10" w:rsidRPr="00D9348B" w:rsidRDefault="00643D10" w:rsidP="00DB330E">
            <w:pPr>
              <w:pStyle w:val="TableText"/>
              <w:jc w:val="right"/>
              <w:rPr>
                <w:rFonts w:cs="Calibri"/>
                <w:b/>
                <w:bCs/>
                <w:szCs w:val="16"/>
              </w:rPr>
            </w:pPr>
            <w:r w:rsidRPr="00D9348B">
              <w:rPr>
                <w:rFonts w:cs="Calibri"/>
                <w:bCs/>
                <w:szCs w:val="16"/>
              </w:rPr>
              <w:t>90.6</w:t>
            </w:r>
          </w:p>
        </w:tc>
      </w:tr>
      <w:tr w:rsidR="001A5BD0" w:rsidRPr="00D9348B" w14:paraId="36ED1571" w14:textId="77777777" w:rsidTr="00217967">
        <w:tc>
          <w:tcPr>
            <w:tcW w:w="1031" w:type="dxa"/>
            <w:tcBorders>
              <w:top w:val="single" w:sz="4" w:space="0" w:color="365F91"/>
              <w:left w:val="nil"/>
              <w:bottom w:val="single" w:sz="4" w:space="0" w:color="365F91"/>
              <w:right w:val="nil"/>
              <w:tl2br w:val="nil"/>
              <w:tr2bl w:val="nil"/>
            </w:tcBorders>
            <w:shd w:val="clear" w:color="2E74B5" w:fill="auto"/>
            <w:vAlign w:val="bottom"/>
          </w:tcPr>
          <w:p w14:paraId="65804063" w14:textId="77777777" w:rsidR="00643D10" w:rsidRPr="00D9348B" w:rsidRDefault="00643D10" w:rsidP="00DB330E">
            <w:pPr>
              <w:pStyle w:val="TableText"/>
              <w:rPr>
                <w:rFonts w:cs="Calibri"/>
                <w:b/>
                <w:szCs w:val="16"/>
              </w:rPr>
            </w:pPr>
            <w:r w:rsidRPr="00D9348B">
              <w:rPr>
                <w:rFonts w:cs="Calibri"/>
                <w:szCs w:val="16"/>
              </w:rPr>
              <w:t>3.D.2.2</w:t>
            </w:r>
          </w:p>
        </w:tc>
        <w:tc>
          <w:tcPr>
            <w:tcW w:w="4187" w:type="dxa"/>
            <w:tcBorders>
              <w:top w:val="single" w:sz="4" w:space="0" w:color="365F91"/>
              <w:left w:val="nil"/>
              <w:bottom w:val="single" w:sz="4" w:space="0" w:color="365F91"/>
              <w:right w:val="nil"/>
              <w:tl2br w:val="nil"/>
              <w:tr2bl w:val="nil"/>
            </w:tcBorders>
            <w:shd w:val="clear" w:color="2E74B5" w:fill="auto"/>
            <w:noWrap/>
            <w:vAlign w:val="bottom"/>
            <w:hideMark/>
          </w:tcPr>
          <w:p w14:paraId="0432FF3E" w14:textId="77777777" w:rsidR="00643D10" w:rsidRPr="00D9348B" w:rsidRDefault="00643D10" w:rsidP="00DB330E">
            <w:pPr>
              <w:pStyle w:val="TableText"/>
              <w:rPr>
                <w:rFonts w:cs="Calibri"/>
                <w:b/>
                <w:szCs w:val="16"/>
              </w:rPr>
            </w:pPr>
            <w:r w:rsidRPr="00D9348B">
              <w:rPr>
                <w:rFonts w:cs="Calibri"/>
                <w:szCs w:val="16"/>
              </w:rPr>
              <w:t>Indirect N</w:t>
            </w:r>
            <w:r w:rsidRPr="00D9348B">
              <w:rPr>
                <w:rFonts w:cs="Calibri"/>
                <w:szCs w:val="16"/>
                <w:vertAlign w:val="subscript"/>
              </w:rPr>
              <w:t>2</w:t>
            </w:r>
            <w:r w:rsidRPr="00D9348B">
              <w:rPr>
                <w:rFonts w:cs="Calibri"/>
                <w:szCs w:val="16"/>
              </w:rPr>
              <w:t>O Emissions from Managed Soils – Nitrogen Leaching and Run-off</w:t>
            </w:r>
          </w:p>
        </w:tc>
        <w:tc>
          <w:tcPr>
            <w:tcW w:w="611" w:type="dxa"/>
            <w:tcBorders>
              <w:top w:val="single" w:sz="4" w:space="0" w:color="365F91"/>
              <w:left w:val="nil"/>
              <w:bottom w:val="single" w:sz="4" w:space="0" w:color="365F91"/>
              <w:right w:val="nil"/>
              <w:tl2br w:val="nil"/>
              <w:tr2bl w:val="nil"/>
            </w:tcBorders>
            <w:shd w:val="clear" w:color="2E74B5" w:fill="auto"/>
            <w:vAlign w:val="bottom"/>
            <w:hideMark/>
          </w:tcPr>
          <w:p w14:paraId="3376A8DE" w14:textId="77777777" w:rsidR="00643D10" w:rsidRPr="00D9348B" w:rsidRDefault="00643D10" w:rsidP="00DB330E">
            <w:pPr>
              <w:pStyle w:val="TableText"/>
              <w:jc w:val="center"/>
              <w:rPr>
                <w:rFonts w:cs="Calibri"/>
                <w:b/>
                <w:bCs/>
                <w:szCs w:val="16"/>
              </w:rPr>
            </w:pPr>
            <w:r w:rsidRPr="00D9348B">
              <w:rPr>
                <w:rFonts w:cs="Calibri"/>
                <w:szCs w:val="16"/>
              </w:rPr>
              <w:t>N</w:t>
            </w:r>
            <w:r w:rsidRPr="00D9348B">
              <w:rPr>
                <w:rFonts w:cs="Calibri"/>
                <w:szCs w:val="16"/>
                <w:vertAlign w:val="subscript"/>
              </w:rPr>
              <w:t>2</w:t>
            </w:r>
            <w:r w:rsidRPr="00D9348B">
              <w:rPr>
                <w:rFonts w:cs="Calibri"/>
                <w:szCs w:val="16"/>
              </w:rPr>
              <w:t>O</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6A392117" w14:textId="77777777" w:rsidR="00643D10" w:rsidRPr="00D9348B" w:rsidRDefault="00643D10" w:rsidP="00DB330E">
            <w:pPr>
              <w:pStyle w:val="TableText"/>
              <w:jc w:val="right"/>
              <w:rPr>
                <w:rFonts w:cs="Calibri"/>
                <w:b/>
                <w:bCs/>
                <w:szCs w:val="16"/>
              </w:rPr>
            </w:pPr>
            <w:r w:rsidRPr="00D9348B">
              <w:rPr>
                <w:rFonts w:cs="Calibri"/>
                <w:bCs/>
                <w:szCs w:val="16"/>
              </w:rPr>
              <w:t>508.7</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2CB76465" w14:textId="77777777" w:rsidR="00643D10" w:rsidRPr="00D9348B" w:rsidRDefault="00643D10" w:rsidP="00DB330E">
            <w:pPr>
              <w:pStyle w:val="TableText"/>
              <w:jc w:val="right"/>
              <w:rPr>
                <w:rFonts w:cs="Calibri"/>
                <w:b/>
                <w:bCs/>
                <w:szCs w:val="16"/>
              </w:rPr>
            </w:pPr>
            <w:r w:rsidRPr="00D9348B">
              <w:rPr>
                <w:rFonts w:cs="Calibri"/>
                <w:bCs/>
                <w:szCs w:val="16"/>
              </w:rPr>
              <w:t>0.5</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129345E5" w14:textId="77777777" w:rsidR="00643D10" w:rsidRPr="00D9348B" w:rsidRDefault="00643D10" w:rsidP="00DB330E">
            <w:pPr>
              <w:pStyle w:val="TableText"/>
              <w:jc w:val="right"/>
              <w:rPr>
                <w:rFonts w:cs="Calibri"/>
                <w:b/>
                <w:bCs/>
                <w:szCs w:val="16"/>
              </w:rPr>
            </w:pPr>
            <w:r w:rsidRPr="00D9348B">
              <w:rPr>
                <w:rFonts w:cs="Calibri"/>
                <w:bCs/>
                <w:szCs w:val="16"/>
              </w:rPr>
              <w:t>91.0</w:t>
            </w:r>
          </w:p>
        </w:tc>
      </w:tr>
      <w:tr w:rsidR="001A5BD0" w:rsidRPr="00D9348B" w14:paraId="5C63B2AA" w14:textId="77777777" w:rsidTr="00217967">
        <w:tc>
          <w:tcPr>
            <w:tcW w:w="1031" w:type="dxa"/>
            <w:tcBorders>
              <w:top w:val="single" w:sz="4" w:space="0" w:color="365F91"/>
              <w:left w:val="nil"/>
              <w:bottom w:val="single" w:sz="4" w:space="0" w:color="365F91"/>
              <w:right w:val="nil"/>
              <w:tl2br w:val="nil"/>
              <w:tr2bl w:val="nil"/>
            </w:tcBorders>
            <w:shd w:val="clear" w:color="2E74B5" w:fill="auto"/>
            <w:vAlign w:val="bottom"/>
          </w:tcPr>
          <w:p w14:paraId="405C732E" w14:textId="77777777" w:rsidR="00643D10" w:rsidRPr="00D9348B" w:rsidRDefault="00643D10" w:rsidP="00DB330E">
            <w:pPr>
              <w:pStyle w:val="TableText"/>
              <w:rPr>
                <w:rFonts w:cs="Calibri"/>
                <w:b/>
                <w:szCs w:val="16"/>
              </w:rPr>
            </w:pPr>
            <w:r w:rsidRPr="00D9348B">
              <w:rPr>
                <w:rFonts w:cs="Calibri"/>
                <w:szCs w:val="16"/>
              </w:rPr>
              <w:t>3.G</w:t>
            </w:r>
          </w:p>
        </w:tc>
        <w:tc>
          <w:tcPr>
            <w:tcW w:w="4187" w:type="dxa"/>
            <w:tcBorders>
              <w:top w:val="single" w:sz="4" w:space="0" w:color="365F91"/>
              <w:left w:val="nil"/>
              <w:bottom w:val="single" w:sz="4" w:space="0" w:color="365F91"/>
              <w:right w:val="nil"/>
              <w:tl2br w:val="nil"/>
              <w:tr2bl w:val="nil"/>
            </w:tcBorders>
            <w:shd w:val="clear" w:color="2E74B5" w:fill="auto"/>
            <w:noWrap/>
            <w:vAlign w:val="bottom"/>
            <w:hideMark/>
          </w:tcPr>
          <w:p w14:paraId="35BB9177" w14:textId="77777777" w:rsidR="00643D10" w:rsidRPr="00D9348B" w:rsidRDefault="00643D10" w:rsidP="00DB330E">
            <w:pPr>
              <w:pStyle w:val="TableText"/>
              <w:rPr>
                <w:rFonts w:cs="Calibri"/>
                <w:b/>
                <w:szCs w:val="16"/>
              </w:rPr>
            </w:pPr>
            <w:r w:rsidRPr="00D9348B">
              <w:rPr>
                <w:rFonts w:cs="Calibri"/>
                <w:szCs w:val="16"/>
              </w:rPr>
              <w:t>Agriculture – Liming</w:t>
            </w:r>
          </w:p>
        </w:tc>
        <w:tc>
          <w:tcPr>
            <w:tcW w:w="611" w:type="dxa"/>
            <w:tcBorders>
              <w:top w:val="single" w:sz="4" w:space="0" w:color="365F91"/>
              <w:left w:val="nil"/>
              <w:bottom w:val="single" w:sz="4" w:space="0" w:color="365F91"/>
              <w:right w:val="nil"/>
              <w:tl2br w:val="nil"/>
              <w:tr2bl w:val="nil"/>
            </w:tcBorders>
            <w:shd w:val="clear" w:color="2E74B5" w:fill="auto"/>
            <w:vAlign w:val="bottom"/>
            <w:hideMark/>
          </w:tcPr>
          <w:p w14:paraId="77C84F54" w14:textId="77777777" w:rsidR="00643D10" w:rsidRPr="00D9348B" w:rsidRDefault="00643D10" w:rsidP="00DB330E">
            <w:pPr>
              <w:pStyle w:val="TableText"/>
              <w:jc w:val="center"/>
              <w:rPr>
                <w:rFonts w:cs="Calibri"/>
                <w:b/>
                <w:bCs/>
                <w:szCs w:val="16"/>
              </w:rPr>
            </w:pPr>
            <w:r w:rsidRPr="00D9348B">
              <w:rPr>
                <w:rFonts w:cs="Calibri"/>
                <w:szCs w:val="16"/>
              </w:rPr>
              <w:t>CO</w:t>
            </w:r>
            <w:r w:rsidRPr="00D9348B">
              <w:rPr>
                <w:rFonts w:cs="Calibri"/>
                <w:szCs w:val="16"/>
                <w:vertAlign w:val="subscript"/>
              </w:rPr>
              <w:t>2</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5A984632" w14:textId="77777777" w:rsidR="00643D10" w:rsidRPr="00D9348B" w:rsidRDefault="00643D10" w:rsidP="00DB330E">
            <w:pPr>
              <w:pStyle w:val="TableText"/>
              <w:jc w:val="right"/>
              <w:rPr>
                <w:rFonts w:cs="Calibri"/>
                <w:b/>
                <w:bCs/>
                <w:szCs w:val="16"/>
              </w:rPr>
            </w:pPr>
            <w:r w:rsidRPr="00D9348B">
              <w:rPr>
                <w:rFonts w:cs="Calibri"/>
                <w:bCs/>
                <w:szCs w:val="16"/>
              </w:rPr>
              <w:t>494.9</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1EC9CF99" w14:textId="77777777" w:rsidR="00643D10" w:rsidRPr="00D9348B" w:rsidRDefault="00643D10" w:rsidP="00DB330E">
            <w:pPr>
              <w:pStyle w:val="TableText"/>
              <w:jc w:val="right"/>
              <w:rPr>
                <w:rFonts w:cs="Calibri"/>
                <w:b/>
                <w:bCs/>
                <w:szCs w:val="16"/>
              </w:rPr>
            </w:pPr>
            <w:r w:rsidRPr="00D9348B">
              <w:rPr>
                <w:rFonts w:cs="Calibri"/>
                <w:bCs/>
                <w:szCs w:val="16"/>
              </w:rPr>
              <w:t>0.4</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3F2DD57B" w14:textId="77777777" w:rsidR="00643D10" w:rsidRPr="00D9348B" w:rsidRDefault="00643D10" w:rsidP="00DB330E">
            <w:pPr>
              <w:pStyle w:val="TableText"/>
              <w:jc w:val="right"/>
              <w:rPr>
                <w:rFonts w:cs="Calibri"/>
                <w:b/>
                <w:bCs/>
                <w:szCs w:val="16"/>
              </w:rPr>
            </w:pPr>
            <w:r w:rsidRPr="00D9348B">
              <w:rPr>
                <w:rFonts w:cs="Calibri"/>
                <w:bCs/>
                <w:szCs w:val="16"/>
              </w:rPr>
              <w:t>91.5</w:t>
            </w:r>
          </w:p>
        </w:tc>
      </w:tr>
      <w:tr w:rsidR="001A5BD0" w:rsidRPr="00D9348B" w14:paraId="3486AF63" w14:textId="77777777" w:rsidTr="00217967">
        <w:tc>
          <w:tcPr>
            <w:tcW w:w="1031" w:type="dxa"/>
            <w:tcBorders>
              <w:top w:val="single" w:sz="4" w:space="0" w:color="365F91"/>
              <w:left w:val="nil"/>
              <w:bottom w:val="single" w:sz="4" w:space="0" w:color="365F91"/>
              <w:right w:val="nil"/>
              <w:tl2br w:val="nil"/>
              <w:tr2bl w:val="nil"/>
            </w:tcBorders>
            <w:shd w:val="clear" w:color="2E74B5" w:fill="auto"/>
            <w:vAlign w:val="bottom"/>
          </w:tcPr>
          <w:p w14:paraId="77C9FB92" w14:textId="77777777" w:rsidR="00643D10" w:rsidRPr="00D9348B" w:rsidRDefault="00643D10" w:rsidP="00DB330E">
            <w:pPr>
              <w:pStyle w:val="TableText"/>
              <w:rPr>
                <w:rFonts w:cs="Calibri"/>
                <w:b/>
                <w:szCs w:val="16"/>
              </w:rPr>
            </w:pPr>
            <w:r w:rsidRPr="00D9348B">
              <w:rPr>
                <w:rFonts w:cs="Calibri"/>
                <w:szCs w:val="16"/>
              </w:rPr>
              <w:lastRenderedPageBreak/>
              <w:t>3.A.4</w:t>
            </w:r>
          </w:p>
        </w:tc>
        <w:tc>
          <w:tcPr>
            <w:tcW w:w="4187" w:type="dxa"/>
            <w:tcBorders>
              <w:top w:val="single" w:sz="4" w:space="0" w:color="365F91"/>
              <w:left w:val="nil"/>
              <w:bottom w:val="single" w:sz="4" w:space="0" w:color="365F91"/>
              <w:right w:val="nil"/>
              <w:tl2br w:val="nil"/>
              <w:tr2bl w:val="nil"/>
            </w:tcBorders>
            <w:shd w:val="clear" w:color="2E74B5" w:fill="auto"/>
            <w:noWrap/>
            <w:vAlign w:val="bottom"/>
            <w:hideMark/>
          </w:tcPr>
          <w:p w14:paraId="1AC50BC0" w14:textId="77777777" w:rsidR="00643D10" w:rsidRPr="00D9348B" w:rsidRDefault="00643D10" w:rsidP="00DB330E">
            <w:pPr>
              <w:pStyle w:val="TableText"/>
              <w:rPr>
                <w:rFonts w:cs="Calibri"/>
                <w:b/>
                <w:szCs w:val="16"/>
              </w:rPr>
            </w:pPr>
            <w:r w:rsidRPr="00D9348B">
              <w:rPr>
                <w:rFonts w:cs="Calibri"/>
                <w:szCs w:val="16"/>
              </w:rPr>
              <w:t>Other Livestock – Deer</w:t>
            </w:r>
          </w:p>
        </w:tc>
        <w:tc>
          <w:tcPr>
            <w:tcW w:w="611" w:type="dxa"/>
            <w:tcBorders>
              <w:top w:val="single" w:sz="4" w:space="0" w:color="365F91"/>
              <w:left w:val="nil"/>
              <w:bottom w:val="single" w:sz="4" w:space="0" w:color="365F91"/>
              <w:right w:val="nil"/>
              <w:tl2br w:val="nil"/>
              <w:tr2bl w:val="nil"/>
            </w:tcBorders>
            <w:shd w:val="clear" w:color="2E74B5" w:fill="auto"/>
            <w:vAlign w:val="bottom"/>
            <w:hideMark/>
          </w:tcPr>
          <w:p w14:paraId="14607408" w14:textId="77777777" w:rsidR="00643D10" w:rsidRPr="00D9348B" w:rsidRDefault="00643D10" w:rsidP="00DB330E">
            <w:pPr>
              <w:pStyle w:val="TableText"/>
              <w:jc w:val="center"/>
              <w:rPr>
                <w:rFonts w:cs="Calibri"/>
                <w:b/>
                <w:bCs/>
                <w:szCs w:val="16"/>
              </w:rPr>
            </w:pPr>
            <w:r w:rsidRPr="00D9348B">
              <w:rPr>
                <w:rFonts w:cs="Calibri"/>
                <w:szCs w:val="16"/>
              </w:rPr>
              <w:t>CH</w:t>
            </w:r>
            <w:r w:rsidRPr="00D9348B">
              <w:rPr>
                <w:rFonts w:cs="Calibri"/>
                <w:szCs w:val="16"/>
                <w:vertAlign w:val="subscript"/>
              </w:rPr>
              <w:t>4</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535021FC" w14:textId="77777777" w:rsidR="00643D10" w:rsidRPr="00D9348B" w:rsidRDefault="00643D10" w:rsidP="00DB330E">
            <w:pPr>
              <w:pStyle w:val="TableText"/>
              <w:jc w:val="right"/>
              <w:rPr>
                <w:rFonts w:cs="Calibri"/>
                <w:b/>
                <w:bCs/>
                <w:szCs w:val="16"/>
              </w:rPr>
            </w:pPr>
            <w:r w:rsidRPr="00D9348B">
              <w:rPr>
                <w:rFonts w:cs="Calibri"/>
                <w:bCs/>
                <w:szCs w:val="16"/>
              </w:rPr>
              <w:t>488.0</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44349A89" w14:textId="77777777" w:rsidR="00643D10" w:rsidRPr="00D9348B" w:rsidRDefault="00643D10" w:rsidP="00DB330E">
            <w:pPr>
              <w:pStyle w:val="TableText"/>
              <w:jc w:val="right"/>
              <w:rPr>
                <w:rFonts w:cs="Calibri"/>
                <w:b/>
                <w:bCs/>
                <w:szCs w:val="16"/>
              </w:rPr>
            </w:pPr>
            <w:r w:rsidRPr="00D9348B">
              <w:rPr>
                <w:rFonts w:cs="Calibri"/>
                <w:bCs/>
                <w:szCs w:val="16"/>
              </w:rPr>
              <w:t>0.4</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31195961" w14:textId="77777777" w:rsidR="00643D10" w:rsidRPr="00D9348B" w:rsidRDefault="00643D10" w:rsidP="00DB330E">
            <w:pPr>
              <w:pStyle w:val="TableText"/>
              <w:jc w:val="right"/>
              <w:rPr>
                <w:rFonts w:cs="Calibri"/>
                <w:b/>
                <w:bCs/>
                <w:szCs w:val="16"/>
              </w:rPr>
            </w:pPr>
            <w:r w:rsidRPr="00D9348B">
              <w:rPr>
                <w:rFonts w:cs="Calibri"/>
                <w:bCs/>
                <w:szCs w:val="16"/>
              </w:rPr>
              <w:t>91.9</w:t>
            </w:r>
          </w:p>
        </w:tc>
      </w:tr>
      <w:tr w:rsidR="001A5BD0" w:rsidRPr="00D9348B" w14:paraId="76B117F7" w14:textId="77777777" w:rsidTr="00217967">
        <w:tc>
          <w:tcPr>
            <w:tcW w:w="1031" w:type="dxa"/>
            <w:tcBorders>
              <w:top w:val="single" w:sz="4" w:space="0" w:color="365F91"/>
              <w:left w:val="nil"/>
              <w:bottom w:val="single" w:sz="4" w:space="0" w:color="365F91"/>
              <w:right w:val="nil"/>
              <w:tl2br w:val="nil"/>
              <w:tr2bl w:val="nil"/>
            </w:tcBorders>
            <w:shd w:val="clear" w:color="2E74B5" w:fill="auto"/>
            <w:vAlign w:val="bottom"/>
          </w:tcPr>
          <w:p w14:paraId="2E0337F1" w14:textId="77777777" w:rsidR="00643D10" w:rsidRPr="00D9348B" w:rsidRDefault="00643D10" w:rsidP="00DB330E">
            <w:pPr>
              <w:pStyle w:val="TableText"/>
              <w:rPr>
                <w:rFonts w:cs="Calibri"/>
                <w:b/>
                <w:szCs w:val="16"/>
              </w:rPr>
            </w:pPr>
            <w:r w:rsidRPr="00D9348B">
              <w:rPr>
                <w:rFonts w:cs="Calibri"/>
                <w:szCs w:val="16"/>
              </w:rPr>
              <w:t>1.A.4.a</w:t>
            </w:r>
          </w:p>
        </w:tc>
        <w:tc>
          <w:tcPr>
            <w:tcW w:w="4187" w:type="dxa"/>
            <w:tcBorders>
              <w:top w:val="single" w:sz="4" w:space="0" w:color="365F91"/>
              <w:left w:val="nil"/>
              <w:bottom w:val="single" w:sz="4" w:space="0" w:color="365F91"/>
              <w:right w:val="nil"/>
              <w:tl2br w:val="nil"/>
              <w:tr2bl w:val="nil"/>
            </w:tcBorders>
            <w:shd w:val="clear" w:color="2E74B5" w:fill="auto"/>
            <w:noWrap/>
            <w:vAlign w:val="bottom"/>
            <w:hideMark/>
          </w:tcPr>
          <w:p w14:paraId="4C85DD42" w14:textId="77777777" w:rsidR="00643D10" w:rsidRPr="00D9348B" w:rsidRDefault="00643D10" w:rsidP="00DB330E">
            <w:pPr>
              <w:pStyle w:val="TableText"/>
              <w:rPr>
                <w:rFonts w:cs="Calibri"/>
                <w:b/>
                <w:szCs w:val="16"/>
              </w:rPr>
            </w:pPr>
            <w:r w:rsidRPr="00D9348B">
              <w:rPr>
                <w:rFonts w:cs="Calibri"/>
                <w:szCs w:val="16"/>
              </w:rPr>
              <w:t>Other Sectors – Commercial/Institutional Gaseous Fuels</w:t>
            </w:r>
          </w:p>
        </w:tc>
        <w:tc>
          <w:tcPr>
            <w:tcW w:w="611" w:type="dxa"/>
            <w:tcBorders>
              <w:top w:val="single" w:sz="4" w:space="0" w:color="365F91"/>
              <w:left w:val="nil"/>
              <w:bottom w:val="single" w:sz="4" w:space="0" w:color="365F91"/>
              <w:right w:val="nil"/>
              <w:tl2br w:val="nil"/>
              <w:tr2bl w:val="nil"/>
            </w:tcBorders>
            <w:shd w:val="clear" w:color="2E74B5" w:fill="auto"/>
            <w:vAlign w:val="bottom"/>
            <w:hideMark/>
          </w:tcPr>
          <w:p w14:paraId="46861C78" w14:textId="77777777" w:rsidR="00643D10" w:rsidRPr="00D9348B" w:rsidRDefault="00643D10" w:rsidP="00DB330E">
            <w:pPr>
              <w:pStyle w:val="TableText"/>
              <w:jc w:val="center"/>
              <w:rPr>
                <w:rFonts w:cs="Calibri"/>
                <w:b/>
                <w:bCs/>
                <w:szCs w:val="16"/>
              </w:rPr>
            </w:pPr>
            <w:r w:rsidRPr="00D9348B">
              <w:rPr>
                <w:rFonts w:cs="Calibri"/>
                <w:szCs w:val="16"/>
              </w:rPr>
              <w:t>CO</w:t>
            </w:r>
            <w:r w:rsidRPr="00D9348B">
              <w:rPr>
                <w:rFonts w:cs="Calibri"/>
                <w:szCs w:val="16"/>
                <w:vertAlign w:val="subscript"/>
              </w:rPr>
              <w:t>2</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21FF0C39" w14:textId="77777777" w:rsidR="00643D10" w:rsidRPr="00D9348B" w:rsidRDefault="00643D10" w:rsidP="00DB330E">
            <w:pPr>
              <w:pStyle w:val="TableText"/>
              <w:jc w:val="right"/>
              <w:rPr>
                <w:rFonts w:cs="Calibri"/>
                <w:b/>
                <w:bCs/>
                <w:szCs w:val="16"/>
              </w:rPr>
            </w:pPr>
            <w:r w:rsidRPr="00D9348B">
              <w:rPr>
                <w:rFonts w:cs="Calibri"/>
                <w:bCs/>
                <w:szCs w:val="16"/>
              </w:rPr>
              <w:t>458.1</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5084BE5F" w14:textId="77777777" w:rsidR="00643D10" w:rsidRPr="00D9348B" w:rsidRDefault="00643D10" w:rsidP="00DB330E">
            <w:pPr>
              <w:pStyle w:val="TableText"/>
              <w:jc w:val="right"/>
              <w:rPr>
                <w:rFonts w:cs="Calibri"/>
                <w:b/>
                <w:bCs/>
                <w:szCs w:val="16"/>
              </w:rPr>
            </w:pPr>
            <w:r w:rsidRPr="00D9348B">
              <w:rPr>
                <w:rFonts w:cs="Calibri"/>
                <w:bCs/>
                <w:szCs w:val="16"/>
              </w:rPr>
              <w:t>0.4</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0F883049" w14:textId="77777777" w:rsidR="00643D10" w:rsidRPr="00D9348B" w:rsidRDefault="00643D10" w:rsidP="00DB330E">
            <w:pPr>
              <w:pStyle w:val="TableText"/>
              <w:jc w:val="right"/>
              <w:rPr>
                <w:rFonts w:cs="Calibri"/>
                <w:b/>
                <w:bCs/>
                <w:szCs w:val="16"/>
              </w:rPr>
            </w:pPr>
            <w:r w:rsidRPr="00D9348B">
              <w:rPr>
                <w:rFonts w:cs="Calibri"/>
                <w:bCs/>
                <w:szCs w:val="16"/>
              </w:rPr>
              <w:t>92.3</w:t>
            </w:r>
          </w:p>
        </w:tc>
      </w:tr>
      <w:tr w:rsidR="001A5BD0" w:rsidRPr="00D9348B" w14:paraId="5C98109B" w14:textId="77777777" w:rsidTr="00217967">
        <w:tc>
          <w:tcPr>
            <w:tcW w:w="1031" w:type="dxa"/>
            <w:tcBorders>
              <w:top w:val="single" w:sz="4" w:space="0" w:color="365F91"/>
              <w:left w:val="nil"/>
              <w:bottom w:val="single" w:sz="4" w:space="0" w:color="365F91"/>
              <w:right w:val="nil"/>
              <w:tl2br w:val="nil"/>
              <w:tr2bl w:val="nil"/>
            </w:tcBorders>
            <w:shd w:val="clear" w:color="2E74B5" w:fill="auto"/>
            <w:vAlign w:val="bottom"/>
          </w:tcPr>
          <w:p w14:paraId="02F14875" w14:textId="77777777" w:rsidR="00643D10" w:rsidRPr="00D9348B" w:rsidRDefault="00643D10" w:rsidP="00DB330E">
            <w:pPr>
              <w:pStyle w:val="TableText"/>
              <w:rPr>
                <w:rFonts w:cs="Calibri"/>
                <w:b/>
                <w:szCs w:val="16"/>
              </w:rPr>
            </w:pPr>
            <w:r w:rsidRPr="00D9348B">
              <w:rPr>
                <w:rFonts w:cs="Calibri"/>
                <w:szCs w:val="16"/>
              </w:rPr>
              <w:t>2.A.1</w:t>
            </w:r>
          </w:p>
        </w:tc>
        <w:tc>
          <w:tcPr>
            <w:tcW w:w="4187" w:type="dxa"/>
            <w:tcBorders>
              <w:top w:val="single" w:sz="4" w:space="0" w:color="365F91"/>
              <w:left w:val="nil"/>
              <w:bottom w:val="single" w:sz="4" w:space="0" w:color="365F91"/>
              <w:right w:val="nil"/>
              <w:tl2br w:val="nil"/>
              <w:tr2bl w:val="nil"/>
            </w:tcBorders>
            <w:shd w:val="clear" w:color="2E74B5" w:fill="auto"/>
            <w:noWrap/>
            <w:vAlign w:val="bottom"/>
            <w:hideMark/>
          </w:tcPr>
          <w:p w14:paraId="7D756F5E" w14:textId="77777777" w:rsidR="00643D10" w:rsidRPr="00D9348B" w:rsidRDefault="00643D10" w:rsidP="00DB330E">
            <w:pPr>
              <w:pStyle w:val="TableTextBold"/>
              <w:keepNext/>
              <w:rPr>
                <w:rFonts w:cs="Calibri"/>
                <w:b w:val="0"/>
                <w:bCs/>
                <w:noProof w:val="0"/>
                <w:color w:val="000000"/>
                <w:szCs w:val="16"/>
              </w:rPr>
            </w:pPr>
            <w:r w:rsidRPr="00D9348B">
              <w:rPr>
                <w:rFonts w:cs="Calibri"/>
                <w:b w:val="0"/>
                <w:bCs/>
                <w:noProof w:val="0"/>
                <w:color w:val="000000"/>
                <w:szCs w:val="16"/>
              </w:rPr>
              <w:t>Mineral Industry – Cement Production</w:t>
            </w:r>
          </w:p>
        </w:tc>
        <w:tc>
          <w:tcPr>
            <w:tcW w:w="611" w:type="dxa"/>
            <w:tcBorders>
              <w:top w:val="single" w:sz="4" w:space="0" w:color="365F91"/>
              <w:left w:val="nil"/>
              <w:bottom w:val="single" w:sz="4" w:space="0" w:color="365F91"/>
              <w:right w:val="nil"/>
              <w:tl2br w:val="nil"/>
              <w:tr2bl w:val="nil"/>
            </w:tcBorders>
            <w:shd w:val="clear" w:color="2E74B5" w:fill="auto"/>
            <w:vAlign w:val="bottom"/>
            <w:hideMark/>
          </w:tcPr>
          <w:p w14:paraId="1D3E5234" w14:textId="77777777" w:rsidR="00643D10" w:rsidRPr="00D9348B" w:rsidRDefault="00643D10" w:rsidP="00DB330E">
            <w:pPr>
              <w:pStyle w:val="TableText"/>
              <w:jc w:val="center"/>
              <w:rPr>
                <w:rFonts w:cs="Calibri"/>
                <w:b/>
                <w:bCs/>
                <w:szCs w:val="16"/>
              </w:rPr>
            </w:pPr>
            <w:r w:rsidRPr="00D9348B">
              <w:rPr>
                <w:rFonts w:cs="Calibri"/>
                <w:szCs w:val="16"/>
              </w:rPr>
              <w:t>CO</w:t>
            </w:r>
            <w:r w:rsidRPr="00D9348B">
              <w:rPr>
                <w:rFonts w:cs="Calibri"/>
                <w:szCs w:val="16"/>
                <w:vertAlign w:val="subscript"/>
              </w:rPr>
              <w:t>2</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7AE45267" w14:textId="77777777" w:rsidR="00643D10" w:rsidRPr="00D9348B" w:rsidRDefault="00643D10" w:rsidP="00DB330E">
            <w:pPr>
              <w:pStyle w:val="TableText"/>
              <w:jc w:val="right"/>
              <w:rPr>
                <w:rFonts w:cs="Calibri"/>
                <w:b/>
                <w:bCs/>
                <w:szCs w:val="16"/>
              </w:rPr>
            </w:pPr>
            <w:r w:rsidRPr="00D9348B">
              <w:rPr>
                <w:rFonts w:cs="Calibri"/>
                <w:bCs/>
                <w:szCs w:val="16"/>
              </w:rPr>
              <w:t>418.0</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243A3E7E" w14:textId="77777777" w:rsidR="00643D10" w:rsidRPr="00D9348B" w:rsidRDefault="00643D10" w:rsidP="00DB330E">
            <w:pPr>
              <w:pStyle w:val="TableText"/>
              <w:jc w:val="right"/>
              <w:rPr>
                <w:rFonts w:cs="Calibri"/>
                <w:b/>
                <w:bCs/>
                <w:szCs w:val="16"/>
              </w:rPr>
            </w:pPr>
            <w:r w:rsidRPr="00D9348B">
              <w:rPr>
                <w:rFonts w:cs="Calibri"/>
                <w:bCs/>
                <w:szCs w:val="16"/>
              </w:rPr>
              <w:t>0.4</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697C3206" w14:textId="77777777" w:rsidR="00643D10" w:rsidRPr="00D9348B" w:rsidRDefault="00643D10" w:rsidP="00DB330E">
            <w:pPr>
              <w:pStyle w:val="TableText"/>
              <w:jc w:val="right"/>
              <w:rPr>
                <w:rFonts w:cs="Calibri"/>
                <w:b/>
                <w:bCs/>
                <w:szCs w:val="16"/>
              </w:rPr>
            </w:pPr>
            <w:r w:rsidRPr="00D9348B">
              <w:rPr>
                <w:rFonts w:cs="Calibri"/>
                <w:bCs/>
                <w:szCs w:val="16"/>
              </w:rPr>
              <w:t>92.7</w:t>
            </w:r>
          </w:p>
        </w:tc>
      </w:tr>
      <w:tr w:rsidR="001A5BD0" w:rsidRPr="00D9348B" w14:paraId="23A6CA37" w14:textId="77777777" w:rsidTr="00217967">
        <w:tc>
          <w:tcPr>
            <w:tcW w:w="1031" w:type="dxa"/>
            <w:tcBorders>
              <w:top w:val="single" w:sz="4" w:space="0" w:color="365F91"/>
              <w:left w:val="nil"/>
              <w:bottom w:val="single" w:sz="4" w:space="0" w:color="365F91"/>
              <w:right w:val="nil"/>
              <w:tl2br w:val="nil"/>
              <w:tr2bl w:val="nil"/>
            </w:tcBorders>
            <w:shd w:val="clear" w:color="2E74B5" w:fill="auto"/>
            <w:vAlign w:val="bottom"/>
          </w:tcPr>
          <w:p w14:paraId="50C1F0E2" w14:textId="77777777" w:rsidR="00643D10" w:rsidRPr="00D9348B" w:rsidRDefault="00643D10" w:rsidP="00DB330E">
            <w:pPr>
              <w:pStyle w:val="TableText"/>
              <w:rPr>
                <w:rFonts w:cs="Calibri"/>
                <w:b/>
                <w:szCs w:val="16"/>
              </w:rPr>
            </w:pPr>
            <w:r w:rsidRPr="00D9348B">
              <w:rPr>
                <w:rFonts w:cs="Calibri"/>
                <w:szCs w:val="16"/>
              </w:rPr>
              <w:t>1.A.2.d</w:t>
            </w:r>
          </w:p>
        </w:tc>
        <w:tc>
          <w:tcPr>
            <w:tcW w:w="4187" w:type="dxa"/>
            <w:tcBorders>
              <w:top w:val="single" w:sz="4" w:space="0" w:color="365F91"/>
              <w:left w:val="nil"/>
              <w:bottom w:val="single" w:sz="4" w:space="0" w:color="365F91"/>
              <w:right w:val="nil"/>
              <w:tl2br w:val="nil"/>
              <w:tr2bl w:val="nil"/>
            </w:tcBorders>
            <w:shd w:val="clear" w:color="2E74B5" w:fill="auto"/>
            <w:noWrap/>
            <w:vAlign w:val="bottom"/>
            <w:hideMark/>
          </w:tcPr>
          <w:p w14:paraId="3B43017E" w14:textId="77777777" w:rsidR="00643D10" w:rsidRPr="00D9348B" w:rsidRDefault="00643D10" w:rsidP="00DB330E">
            <w:pPr>
              <w:pStyle w:val="TableTextBold"/>
              <w:keepNext/>
              <w:rPr>
                <w:rFonts w:cs="Calibri"/>
                <w:b w:val="0"/>
                <w:bCs/>
                <w:noProof w:val="0"/>
                <w:color w:val="000000"/>
                <w:szCs w:val="16"/>
              </w:rPr>
            </w:pPr>
            <w:r w:rsidRPr="00D9348B">
              <w:rPr>
                <w:rFonts w:cs="Calibri"/>
                <w:b w:val="0"/>
                <w:bCs/>
                <w:noProof w:val="0"/>
                <w:color w:val="000000"/>
                <w:szCs w:val="16"/>
              </w:rPr>
              <w:t>Manufacturing Industries and Construction – Pulp, Paper and Print Gaseous Fuels</w:t>
            </w:r>
          </w:p>
        </w:tc>
        <w:tc>
          <w:tcPr>
            <w:tcW w:w="611" w:type="dxa"/>
            <w:tcBorders>
              <w:top w:val="single" w:sz="4" w:space="0" w:color="365F91"/>
              <w:left w:val="nil"/>
              <w:bottom w:val="single" w:sz="4" w:space="0" w:color="365F91"/>
              <w:right w:val="nil"/>
              <w:tl2br w:val="nil"/>
              <w:tr2bl w:val="nil"/>
            </w:tcBorders>
            <w:shd w:val="clear" w:color="2E74B5" w:fill="auto"/>
            <w:vAlign w:val="bottom"/>
            <w:hideMark/>
          </w:tcPr>
          <w:p w14:paraId="149D0E20" w14:textId="77777777" w:rsidR="00643D10" w:rsidRPr="00D9348B" w:rsidRDefault="00643D10" w:rsidP="00DB330E">
            <w:pPr>
              <w:pStyle w:val="TableText"/>
              <w:jc w:val="center"/>
              <w:rPr>
                <w:rFonts w:cs="Calibri"/>
                <w:b/>
                <w:bCs/>
                <w:szCs w:val="16"/>
              </w:rPr>
            </w:pPr>
            <w:r w:rsidRPr="00D9348B">
              <w:rPr>
                <w:rFonts w:cs="Calibri"/>
                <w:szCs w:val="16"/>
              </w:rPr>
              <w:t>CO</w:t>
            </w:r>
            <w:r w:rsidRPr="00D9348B">
              <w:rPr>
                <w:rFonts w:cs="Calibri"/>
                <w:szCs w:val="16"/>
                <w:vertAlign w:val="subscript"/>
              </w:rPr>
              <w:t>2</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6833A2CF" w14:textId="77777777" w:rsidR="00643D10" w:rsidRPr="00D9348B" w:rsidRDefault="00643D10" w:rsidP="00DB330E">
            <w:pPr>
              <w:pStyle w:val="TableText"/>
              <w:jc w:val="right"/>
              <w:rPr>
                <w:rFonts w:cs="Calibri"/>
                <w:b/>
                <w:bCs/>
                <w:szCs w:val="16"/>
              </w:rPr>
            </w:pPr>
            <w:r w:rsidRPr="00D9348B">
              <w:rPr>
                <w:rFonts w:cs="Calibri"/>
                <w:bCs/>
                <w:szCs w:val="16"/>
              </w:rPr>
              <w:t>376.7</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1FF9E074" w14:textId="77777777" w:rsidR="00643D10" w:rsidRPr="00D9348B" w:rsidRDefault="00643D10" w:rsidP="00DB330E">
            <w:pPr>
              <w:pStyle w:val="TableText"/>
              <w:jc w:val="right"/>
              <w:rPr>
                <w:rFonts w:cs="Calibri"/>
                <w:b/>
                <w:bCs/>
                <w:szCs w:val="16"/>
              </w:rPr>
            </w:pPr>
            <w:r w:rsidRPr="00D9348B">
              <w:rPr>
                <w:rFonts w:cs="Calibri"/>
                <w:bCs/>
                <w:szCs w:val="16"/>
              </w:rPr>
              <w:t>0.3</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50248247" w14:textId="77777777" w:rsidR="00643D10" w:rsidRPr="00D9348B" w:rsidRDefault="00643D10" w:rsidP="00DB330E">
            <w:pPr>
              <w:pStyle w:val="TableText"/>
              <w:jc w:val="right"/>
              <w:rPr>
                <w:rFonts w:cs="Calibri"/>
                <w:b/>
                <w:bCs/>
                <w:szCs w:val="16"/>
              </w:rPr>
            </w:pPr>
            <w:r w:rsidRPr="00D9348B">
              <w:rPr>
                <w:rFonts w:cs="Calibri"/>
                <w:bCs/>
                <w:szCs w:val="16"/>
              </w:rPr>
              <w:t>93.0</w:t>
            </w:r>
          </w:p>
        </w:tc>
      </w:tr>
      <w:tr w:rsidR="001A5BD0" w:rsidRPr="00D9348B" w14:paraId="21BE2A84" w14:textId="77777777" w:rsidTr="00217967">
        <w:tc>
          <w:tcPr>
            <w:tcW w:w="1031" w:type="dxa"/>
            <w:tcBorders>
              <w:top w:val="single" w:sz="4" w:space="0" w:color="365F91"/>
              <w:left w:val="nil"/>
              <w:bottom w:val="single" w:sz="4" w:space="0" w:color="365F91"/>
              <w:right w:val="nil"/>
              <w:tl2br w:val="nil"/>
              <w:tr2bl w:val="nil"/>
            </w:tcBorders>
            <w:shd w:val="clear" w:color="2E74B5" w:fill="auto"/>
            <w:vAlign w:val="bottom"/>
          </w:tcPr>
          <w:p w14:paraId="50A87373" w14:textId="77777777" w:rsidR="00643D10" w:rsidRPr="00D9348B" w:rsidRDefault="00643D10" w:rsidP="00DB330E">
            <w:pPr>
              <w:pStyle w:val="TableText"/>
              <w:rPr>
                <w:rFonts w:cs="Calibri"/>
                <w:b/>
                <w:szCs w:val="16"/>
              </w:rPr>
            </w:pPr>
            <w:r w:rsidRPr="00D9348B">
              <w:rPr>
                <w:rFonts w:cs="Calibri"/>
                <w:szCs w:val="16"/>
              </w:rPr>
              <w:t>1.A.4.b</w:t>
            </w:r>
          </w:p>
        </w:tc>
        <w:tc>
          <w:tcPr>
            <w:tcW w:w="4187" w:type="dxa"/>
            <w:tcBorders>
              <w:top w:val="single" w:sz="4" w:space="0" w:color="365F91"/>
              <w:left w:val="nil"/>
              <w:bottom w:val="single" w:sz="4" w:space="0" w:color="365F91"/>
              <w:right w:val="nil"/>
              <w:tl2br w:val="nil"/>
              <w:tr2bl w:val="nil"/>
            </w:tcBorders>
            <w:shd w:val="clear" w:color="2E74B5" w:fill="auto"/>
            <w:noWrap/>
            <w:vAlign w:val="bottom"/>
            <w:hideMark/>
          </w:tcPr>
          <w:p w14:paraId="6961E9F4" w14:textId="77777777" w:rsidR="00643D10" w:rsidRPr="00D9348B" w:rsidRDefault="00643D10" w:rsidP="00DB330E">
            <w:pPr>
              <w:pStyle w:val="TableTextBold"/>
              <w:keepNext/>
              <w:rPr>
                <w:rFonts w:cs="Calibri"/>
                <w:b w:val="0"/>
                <w:bCs/>
                <w:noProof w:val="0"/>
                <w:color w:val="000000"/>
                <w:szCs w:val="16"/>
              </w:rPr>
            </w:pPr>
            <w:r w:rsidRPr="00D9348B">
              <w:rPr>
                <w:rFonts w:cs="Calibri"/>
                <w:b w:val="0"/>
                <w:bCs/>
                <w:noProof w:val="0"/>
                <w:color w:val="000000"/>
                <w:szCs w:val="16"/>
              </w:rPr>
              <w:t>Other Sectors – Residential Gaseous Fuels</w:t>
            </w:r>
          </w:p>
        </w:tc>
        <w:tc>
          <w:tcPr>
            <w:tcW w:w="611" w:type="dxa"/>
            <w:tcBorders>
              <w:top w:val="single" w:sz="4" w:space="0" w:color="365F91"/>
              <w:left w:val="nil"/>
              <w:bottom w:val="single" w:sz="4" w:space="0" w:color="365F91"/>
              <w:right w:val="nil"/>
              <w:tl2br w:val="nil"/>
              <w:tr2bl w:val="nil"/>
            </w:tcBorders>
            <w:shd w:val="clear" w:color="2E74B5" w:fill="auto"/>
            <w:vAlign w:val="bottom"/>
            <w:hideMark/>
          </w:tcPr>
          <w:p w14:paraId="6C59140C" w14:textId="77777777" w:rsidR="00643D10" w:rsidRPr="00D9348B" w:rsidRDefault="00643D10" w:rsidP="00DB330E">
            <w:pPr>
              <w:pStyle w:val="TableText"/>
              <w:jc w:val="center"/>
              <w:rPr>
                <w:rFonts w:cs="Calibri"/>
                <w:b/>
                <w:bCs/>
                <w:szCs w:val="16"/>
              </w:rPr>
            </w:pPr>
            <w:r w:rsidRPr="00D9348B">
              <w:rPr>
                <w:rFonts w:cs="Calibri"/>
                <w:szCs w:val="16"/>
              </w:rPr>
              <w:t>CO</w:t>
            </w:r>
            <w:r w:rsidRPr="00D9348B">
              <w:rPr>
                <w:rFonts w:cs="Calibri"/>
                <w:szCs w:val="16"/>
                <w:vertAlign w:val="subscript"/>
              </w:rPr>
              <w:t>2</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30630B78" w14:textId="77777777" w:rsidR="00643D10" w:rsidRPr="00D9348B" w:rsidRDefault="00643D10" w:rsidP="00DB330E">
            <w:pPr>
              <w:pStyle w:val="TableText"/>
              <w:jc w:val="right"/>
              <w:rPr>
                <w:rFonts w:cs="Calibri"/>
                <w:b/>
                <w:bCs/>
                <w:szCs w:val="16"/>
              </w:rPr>
            </w:pPr>
            <w:r w:rsidRPr="00D9348B">
              <w:rPr>
                <w:rFonts w:cs="Calibri"/>
                <w:bCs/>
                <w:szCs w:val="16"/>
              </w:rPr>
              <w:t>362.7</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62BBBEDA" w14:textId="77777777" w:rsidR="00643D10" w:rsidRPr="00D9348B" w:rsidRDefault="00643D10" w:rsidP="00DB330E">
            <w:pPr>
              <w:pStyle w:val="TableText"/>
              <w:jc w:val="right"/>
              <w:rPr>
                <w:rFonts w:cs="Calibri"/>
                <w:b/>
                <w:bCs/>
                <w:szCs w:val="16"/>
              </w:rPr>
            </w:pPr>
            <w:r w:rsidRPr="00D9348B">
              <w:rPr>
                <w:rFonts w:cs="Calibri"/>
                <w:bCs/>
                <w:szCs w:val="16"/>
              </w:rPr>
              <w:t>0.3</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57959D3E" w14:textId="77777777" w:rsidR="00643D10" w:rsidRPr="00D9348B" w:rsidRDefault="00643D10" w:rsidP="00DB330E">
            <w:pPr>
              <w:pStyle w:val="TableText"/>
              <w:jc w:val="right"/>
              <w:rPr>
                <w:rFonts w:cs="Calibri"/>
                <w:b/>
                <w:bCs/>
                <w:szCs w:val="16"/>
              </w:rPr>
            </w:pPr>
            <w:r w:rsidRPr="00D9348B">
              <w:rPr>
                <w:rFonts w:cs="Calibri"/>
                <w:bCs/>
                <w:szCs w:val="16"/>
              </w:rPr>
              <w:t>93.4</w:t>
            </w:r>
          </w:p>
        </w:tc>
      </w:tr>
      <w:tr w:rsidR="001A5BD0" w:rsidRPr="00D9348B" w14:paraId="3DB5EE08" w14:textId="77777777" w:rsidTr="00217967">
        <w:tc>
          <w:tcPr>
            <w:tcW w:w="1031" w:type="dxa"/>
            <w:tcBorders>
              <w:top w:val="single" w:sz="4" w:space="0" w:color="365F91"/>
              <w:left w:val="nil"/>
              <w:bottom w:val="single" w:sz="4" w:space="0" w:color="365F91"/>
              <w:right w:val="nil"/>
              <w:tl2br w:val="nil"/>
              <w:tr2bl w:val="nil"/>
            </w:tcBorders>
            <w:shd w:val="clear" w:color="2E74B5" w:fill="auto"/>
            <w:vAlign w:val="bottom"/>
          </w:tcPr>
          <w:p w14:paraId="1771DF60" w14:textId="77777777" w:rsidR="00643D10" w:rsidRPr="00D9348B" w:rsidRDefault="00643D10" w:rsidP="00DB330E">
            <w:pPr>
              <w:pStyle w:val="TableText"/>
              <w:rPr>
                <w:rFonts w:cs="Calibri"/>
                <w:b/>
                <w:szCs w:val="16"/>
              </w:rPr>
            </w:pPr>
            <w:r w:rsidRPr="00D9348B">
              <w:rPr>
                <w:rFonts w:cs="Calibri"/>
                <w:szCs w:val="16"/>
              </w:rPr>
              <w:t>4.B.1</w:t>
            </w:r>
          </w:p>
        </w:tc>
        <w:tc>
          <w:tcPr>
            <w:tcW w:w="4187" w:type="dxa"/>
            <w:tcBorders>
              <w:top w:val="single" w:sz="4" w:space="0" w:color="365F91"/>
              <w:left w:val="nil"/>
              <w:bottom w:val="single" w:sz="4" w:space="0" w:color="365F91"/>
              <w:right w:val="nil"/>
              <w:tl2br w:val="nil"/>
              <w:tr2bl w:val="nil"/>
            </w:tcBorders>
            <w:shd w:val="clear" w:color="2E74B5" w:fill="auto"/>
            <w:noWrap/>
            <w:vAlign w:val="bottom"/>
            <w:hideMark/>
          </w:tcPr>
          <w:p w14:paraId="06931C0D" w14:textId="77777777" w:rsidR="00643D10" w:rsidRPr="00D9348B" w:rsidRDefault="00643D10" w:rsidP="00DB330E">
            <w:pPr>
              <w:pStyle w:val="TableTextBold"/>
              <w:keepNext/>
              <w:rPr>
                <w:rFonts w:cs="Calibri"/>
                <w:b w:val="0"/>
                <w:bCs/>
                <w:noProof w:val="0"/>
                <w:color w:val="000000"/>
                <w:szCs w:val="16"/>
              </w:rPr>
            </w:pPr>
            <w:r w:rsidRPr="00D9348B">
              <w:rPr>
                <w:rFonts w:cs="Calibri"/>
                <w:b w:val="0"/>
                <w:bCs/>
                <w:noProof w:val="0"/>
                <w:color w:val="000000"/>
                <w:szCs w:val="16"/>
              </w:rPr>
              <w:t>Cropland – Cropland Remaining Cropland</w:t>
            </w:r>
          </w:p>
        </w:tc>
        <w:tc>
          <w:tcPr>
            <w:tcW w:w="611" w:type="dxa"/>
            <w:tcBorders>
              <w:top w:val="single" w:sz="4" w:space="0" w:color="365F91"/>
              <w:left w:val="nil"/>
              <w:bottom w:val="single" w:sz="4" w:space="0" w:color="365F91"/>
              <w:right w:val="nil"/>
              <w:tl2br w:val="nil"/>
              <w:tr2bl w:val="nil"/>
            </w:tcBorders>
            <w:shd w:val="clear" w:color="2E74B5" w:fill="auto"/>
            <w:vAlign w:val="bottom"/>
            <w:hideMark/>
          </w:tcPr>
          <w:p w14:paraId="54A7DEB6" w14:textId="77777777" w:rsidR="00643D10" w:rsidRPr="00D9348B" w:rsidRDefault="00643D10" w:rsidP="00DB330E">
            <w:pPr>
              <w:pStyle w:val="TableText"/>
              <w:jc w:val="center"/>
              <w:rPr>
                <w:rFonts w:cs="Calibri"/>
                <w:b/>
                <w:bCs/>
                <w:szCs w:val="16"/>
              </w:rPr>
            </w:pPr>
            <w:r w:rsidRPr="00D9348B">
              <w:rPr>
                <w:rFonts w:cs="Calibri"/>
                <w:szCs w:val="16"/>
              </w:rPr>
              <w:t>CO</w:t>
            </w:r>
            <w:r w:rsidRPr="00D9348B">
              <w:rPr>
                <w:rFonts w:cs="Calibri"/>
                <w:szCs w:val="16"/>
                <w:vertAlign w:val="subscript"/>
              </w:rPr>
              <w:t>2</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4717CA9A" w14:textId="77777777" w:rsidR="00643D10" w:rsidRPr="00D9348B" w:rsidRDefault="00643D10" w:rsidP="00DB330E">
            <w:pPr>
              <w:pStyle w:val="TableText"/>
              <w:jc w:val="right"/>
              <w:rPr>
                <w:rFonts w:cs="Calibri"/>
                <w:b/>
                <w:bCs/>
                <w:szCs w:val="16"/>
              </w:rPr>
            </w:pPr>
            <w:r w:rsidRPr="00D9348B">
              <w:rPr>
                <w:rFonts w:cs="Calibri"/>
                <w:bCs/>
                <w:szCs w:val="16"/>
              </w:rPr>
              <w:t>333.6</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76C451A8" w14:textId="77777777" w:rsidR="00643D10" w:rsidRPr="00D9348B" w:rsidRDefault="00643D10" w:rsidP="00DB330E">
            <w:pPr>
              <w:pStyle w:val="TableText"/>
              <w:jc w:val="right"/>
              <w:rPr>
                <w:rFonts w:cs="Calibri"/>
                <w:b/>
                <w:bCs/>
                <w:szCs w:val="16"/>
              </w:rPr>
            </w:pPr>
            <w:r w:rsidRPr="00D9348B">
              <w:rPr>
                <w:rFonts w:cs="Calibri"/>
                <w:bCs/>
                <w:szCs w:val="16"/>
              </w:rPr>
              <w:t>0.3</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647D8075" w14:textId="77777777" w:rsidR="00643D10" w:rsidRPr="00D9348B" w:rsidRDefault="00643D10" w:rsidP="00DB330E">
            <w:pPr>
              <w:pStyle w:val="TableText"/>
              <w:jc w:val="right"/>
              <w:rPr>
                <w:rFonts w:cs="Calibri"/>
                <w:b/>
                <w:bCs/>
                <w:szCs w:val="16"/>
              </w:rPr>
            </w:pPr>
            <w:r w:rsidRPr="00D9348B">
              <w:rPr>
                <w:rFonts w:cs="Calibri"/>
                <w:bCs/>
                <w:szCs w:val="16"/>
              </w:rPr>
              <w:t>93.7</w:t>
            </w:r>
          </w:p>
        </w:tc>
      </w:tr>
      <w:tr w:rsidR="001A5BD0" w:rsidRPr="00D9348B" w14:paraId="0C480660" w14:textId="77777777" w:rsidTr="00217967">
        <w:tc>
          <w:tcPr>
            <w:tcW w:w="1031" w:type="dxa"/>
            <w:tcBorders>
              <w:top w:val="single" w:sz="4" w:space="0" w:color="365F91"/>
              <w:left w:val="nil"/>
              <w:bottom w:val="single" w:sz="4" w:space="0" w:color="365F91"/>
              <w:right w:val="nil"/>
              <w:tl2br w:val="nil"/>
              <w:tr2bl w:val="nil"/>
            </w:tcBorders>
            <w:shd w:val="clear" w:color="2E74B5" w:fill="auto"/>
            <w:vAlign w:val="bottom"/>
          </w:tcPr>
          <w:p w14:paraId="07798778" w14:textId="77777777" w:rsidR="00643D10" w:rsidRPr="00D9348B" w:rsidRDefault="00643D10" w:rsidP="00DB330E">
            <w:pPr>
              <w:pStyle w:val="TableText"/>
              <w:rPr>
                <w:rFonts w:cs="Calibri"/>
                <w:b/>
                <w:szCs w:val="16"/>
              </w:rPr>
            </w:pPr>
            <w:r w:rsidRPr="00D9348B">
              <w:rPr>
                <w:rFonts w:cs="Calibri"/>
                <w:szCs w:val="16"/>
              </w:rPr>
              <w:t>1.B.2.c.1.ii</w:t>
            </w:r>
          </w:p>
        </w:tc>
        <w:tc>
          <w:tcPr>
            <w:tcW w:w="4187" w:type="dxa"/>
            <w:tcBorders>
              <w:top w:val="single" w:sz="4" w:space="0" w:color="365F91"/>
              <w:left w:val="nil"/>
              <w:bottom w:val="single" w:sz="4" w:space="0" w:color="365F91"/>
              <w:right w:val="nil"/>
              <w:tl2br w:val="nil"/>
              <w:tr2bl w:val="nil"/>
            </w:tcBorders>
            <w:shd w:val="clear" w:color="2E74B5" w:fill="auto"/>
            <w:noWrap/>
            <w:vAlign w:val="bottom"/>
            <w:hideMark/>
          </w:tcPr>
          <w:p w14:paraId="5C4EC2E9" w14:textId="77777777" w:rsidR="00643D10" w:rsidRPr="00D9348B" w:rsidRDefault="00643D10" w:rsidP="00DB330E">
            <w:pPr>
              <w:pStyle w:val="TableTextBold"/>
              <w:keepNext/>
              <w:rPr>
                <w:rFonts w:cs="Calibri"/>
                <w:b w:val="0"/>
                <w:bCs/>
                <w:noProof w:val="0"/>
                <w:color w:val="000000"/>
                <w:szCs w:val="16"/>
              </w:rPr>
            </w:pPr>
            <w:r w:rsidRPr="00D9348B">
              <w:rPr>
                <w:rFonts w:cs="Calibri"/>
                <w:b w:val="0"/>
                <w:bCs/>
                <w:noProof w:val="0"/>
                <w:color w:val="000000"/>
                <w:szCs w:val="16"/>
              </w:rPr>
              <w:t>Venting – Gas</w:t>
            </w:r>
          </w:p>
        </w:tc>
        <w:tc>
          <w:tcPr>
            <w:tcW w:w="611" w:type="dxa"/>
            <w:tcBorders>
              <w:top w:val="single" w:sz="4" w:space="0" w:color="365F91"/>
              <w:left w:val="nil"/>
              <w:bottom w:val="single" w:sz="4" w:space="0" w:color="365F91"/>
              <w:right w:val="nil"/>
              <w:tl2br w:val="nil"/>
              <w:tr2bl w:val="nil"/>
            </w:tcBorders>
            <w:shd w:val="clear" w:color="2E74B5" w:fill="auto"/>
            <w:vAlign w:val="bottom"/>
            <w:hideMark/>
          </w:tcPr>
          <w:p w14:paraId="549846F3" w14:textId="77777777" w:rsidR="00643D10" w:rsidRPr="00D9348B" w:rsidRDefault="00643D10" w:rsidP="00DB330E">
            <w:pPr>
              <w:pStyle w:val="TableText"/>
              <w:jc w:val="center"/>
              <w:rPr>
                <w:rFonts w:cs="Calibri"/>
                <w:b/>
                <w:bCs/>
                <w:szCs w:val="16"/>
              </w:rPr>
            </w:pPr>
            <w:r w:rsidRPr="00D9348B">
              <w:rPr>
                <w:rFonts w:cs="Calibri"/>
                <w:szCs w:val="16"/>
              </w:rPr>
              <w:t>CO</w:t>
            </w:r>
            <w:r w:rsidRPr="00D9348B">
              <w:rPr>
                <w:rFonts w:cs="Calibri"/>
                <w:szCs w:val="16"/>
                <w:vertAlign w:val="subscript"/>
              </w:rPr>
              <w:t>2</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70E6BE1A" w14:textId="77777777" w:rsidR="00643D10" w:rsidRPr="00D9348B" w:rsidRDefault="00643D10" w:rsidP="00DB330E">
            <w:pPr>
              <w:pStyle w:val="TableText"/>
              <w:jc w:val="right"/>
              <w:rPr>
                <w:rFonts w:cs="Calibri"/>
                <w:b/>
                <w:bCs/>
                <w:szCs w:val="16"/>
              </w:rPr>
            </w:pPr>
            <w:r w:rsidRPr="00D9348B">
              <w:rPr>
                <w:rFonts w:cs="Calibri"/>
                <w:bCs/>
                <w:szCs w:val="16"/>
              </w:rPr>
              <w:t>287.0</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5F17E5E0" w14:textId="77777777" w:rsidR="00643D10" w:rsidRPr="00D9348B" w:rsidRDefault="00643D10" w:rsidP="00DB330E">
            <w:pPr>
              <w:pStyle w:val="TableText"/>
              <w:jc w:val="right"/>
              <w:rPr>
                <w:rFonts w:cs="Calibri"/>
                <w:b/>
                <w:bCs/>
                <w:szCs w:val="16"/>
              </w:rPr>
            </w:pPr>
            <w:r w:rsidRPr="00D9348B">
              <w:rPr>
                <w:rFonts w:cs="Calibri"/>
                <w:bCs/>
                <w:szCs w:val="16"/>
              </w:rPr>
              <w:t>0.3</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32DABB16" w14:textId="77777777" w:rsidR="00643D10" w:rsidRPr="00D9348B" w:rsidRDefault="00643D10" w:rsidP="00DB330E">
            <w:pPr>
              <w:pStyle w:val="TableText"/>
              <w:jc w:val="right"/>
              <w:rPr>
                <w:rFonts w:cs="Calibri"/>
                <w:b/>
                <w:bCs/>
                <w:szCs w:val="16"/>
              </w:rPr>
            </w:pPr>
            <w:r w:rsidRPr="00D9348B">
              <w:rPr>
                <w:rFonts w:cs="Calibri"/>
                <w:bCs/>
                <w:szCs w:val="16"/>
              </w:rPr>
              <w:t>93.9</w:t>
            </w:r>
          </w:p>
        </w:tc>
      </w:tr>
      <w:tr w:rsidR="001A5BD0" w:rsidRPr="00D9348B" w14:paraId="0AF63FB9" w14:textId="77777777" w:rsidTr="00217967">
        <w:tc>
          <w:tcPr>
            <w:tcW w:w="1031" w:type="dxa"/>
            <w:tcBorders>
              <w:top w:val="single" w:sz="4" w:space="0" w:color="365F91"/>
              <w:left w:val="nil"/>
              <w:bottom w:val="single" w:sz="4" w:space="0" w:color="365F91"/>
              <w:right w:val="nil"/>
              <w:tl2br w:val="nil"/>
              <w:tr2bl w:val="nil"/>
            </w:tcBorders>
            <w:shd w:val="clear" w:color="2E74B5" w:fill="auto"/>
            <w:vAlign w:val="bottom"/>
          </w:tcPr>
          <w:p w14:paraId="42293A03" w14:textId="77777777" w:rsidR="00643D10" w:rsidRPr="00D9348B" w:rsidRDefault="00643D10" w:rsidP="00DB330E">
            <w:pPr>
              <w:pStyle w:val="TableText"/>
              <w:rPr>
                <w:rFonts w:cs="Calibri"/>
                <w:b/>
                <w:szCs w:val="16"/>
              </w:rPr>
            </w:pPr>
            <w:r w:rsidRPr="00D9348B">
              <w:rPr>
                <w:rFonts w:cs="Calibri"/>
                <w:szCs w:val="16"/>
              </w:rPr>
              <w:t>1.A.2.f</w:t>
            </w:r>
          </w:p>
        </w:tc>
        <w:tc>
          <w:tcPr>
            <w:tcW w:w="4187" w:type="dxa"/>
            <w:tcBorders>
              <w:top w:val="single" w:sz="4" w:space="0" w:color="365F91"/>
              <w:left w:val="nil"/>
              <w:bottom w:val="single" w:sz="4" w:space="0" w:color="365F91"/>
              <w:right w:val="nil"/>
              <w:tl2br w:val="nil"/>
              <w:tr2bl w:val="nil"/>
            </w:tcBorders>
            <w:shd w:val="clear" w:color="2E74B5" w:fill="auto"/>
            <w:noWrap/>
            <w:vAlign w:val="bottom"/>
            <w:hideMark/>
          </w:tcPr>
          <w:p w14:paraId="42A35437" w14:textId="77777777" w:rsidR="00643D10" w:rsidRPr="00D9348B" w:rsidRDefault="00643D10" w:rsidP="00DB330E">
            <w:pPr>
              <w:pStyle w:val="TableTextBold"/>
              <w:keepNext/>
              <w:rPr>
                <w:rFonts w:cs="Calibri"/>
                <w:b w:val="0"/>
                <w:bCs/>
                <w:noProof w:val="0"/>
                <w:color w:val="000000"/>
                <w:szCs w:val="16"/>
              </w:rPr>
            </w:pPr>
            <w:r w:rsidRPr="00D9348B">
              <w:rPr>
                <w:rFonts w:cs="Calibri"/>
                <w:b w:val="0"/>
                <w:bCs/>
                <w:noProof w:val="0"/>
                <w:color w:val="000000"/>
                <w:szCs w:val="16"/>
              </w:rPr>
              <w:t>Manufacturing Industries and Construction – Non-metallic Minerals Solid Fuels</w:t>
            </w:r>
          </w:p>
        </w:tc>
        <w:tc>
          <w:tcPr>
            <w:tcW w:w="611" w:type="dxa"/>
            <w:tcBorders>
              <w:top w:val="single" w:sz="4" w:space="0" w:color="365F91"/>
              <w:left w:val="nil"/>
              <w:bottom w:val="single" w:sz="4" w:space="0" w:color="365F91"/>
              <w:right w:val="nil"/>
              <w:tl2br w:val="nil"/>
              <w:tr2bl w:val="nil"/>
            </w:tcBorders>
            <w:shd w:val="clear" w:color="2E74B5" w:fill="auto"/>
            <w:vAlign w:val="bottom"/>
            <w:hideMark/>
          </w:tcPr>
          <w:p w14:paraId="0EE294A1" w14:textId="77777777" w:rsidR="00643D10" w:rsidRPr="00D9348B" w:rsidRDefault="00643D10" w:rsidP="00DB330E">
            <w:pPr>
              <w:pStyle w:val="TableText"/>
              <w:jc w:val="center"/>
              <w:rPr>
                <w:rFonts w:cs="Calibri"/>
                <w:b/>
                <w:bCs/>
                <w:szCs w:val="16"/>
              </w:rPr>
            </w:pPr>
            <w:r w:rsidRPr="00D9348B">
              <w:rPr>
                <w:rFonts w:cs="Calibri"/>
                <w:szCs w:val="16"/>
              </w:rPr>
              <w:t>CO</w:t>
            </w:r>
            <w:r w:rsidRPr="00D9348B">
              <w:rPr>
                <w:rFonts w:cs="Calibri"/>
                <w:szCs w:val="16"/>
                <w:vertAlign w:val="subscript"/>
              </w:rPr>
              <w:t>2</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256CA561" w14:textId="77777777" w:rsidR="00643D10" w:rsidRPr="00D9348B" w:rsidRDefault="00643D10" w:rsidP="00DB330E">
            <w:pPr>
              <w:pStyle w:val="TableText"/>
              <w:jc w:val="right"/>
              <w:rPr>
                <w:rFonts w:cs="Calibri"/>
                <w:b/>
                <w:bCs/>
                <w:szCs w:val="16"/>
              </w:rPr>
            </w:pPr>
            <w:r w:rsidRPr="00D9348B">
              <w:rPr>
                <w:rFonts w:cs="Calibri"/>
                <w:bCs/>
                <w:szCs w:val="16"/>
              </w:rPr>
              <w:t>265.4</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54113941" w14:textId="77777777" w:rsidR="00643D10" w:rsidRPr="00D9348B" w:rsidRDefault="00643D10" w:rsidP="00DB330E">
            <w:pPr>
              <w:pStyle w:val="TableText"/>
              <w:jc w:val="right"/>
              <w:rPr>
                <w:rFonts w:cs="Calibri"/>
                <w:b/>
                <w:bCs/>
                <w:szCs w:val="16"/>
              </w:rPr>
            </w:pPr>
            <w:r w:rsidRPr="00D9348B">
              <w:rPr>
                <w:rFonts w:cs="Calibri"/>
                <w:bCs/>
                <w:szCs w:val="16"/>
              </w:rPr>
              <w:t>0.2</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33CE433D" w14:textId="77777777" w:rsidR="00643D10" w:rsidRPr="00D9348B" w:rsidRDefault="00643D10" w:rsidP="00DB330E">
            <w:pPr>
              <w:pStyle w:val="TableText"/>
              <w:jc w:val="right"/>
              <w:rPr>
                <w:rFonts w:cs="Calibri"/>
                <w:b/>
                <w:bCs/>
                <w:szCs w:val="16"/>
              </w:rPr>
            </w:pPr>
            <w:r w:rsidRPr="00D9348B">
              <w:rPr>
                <w:rFonts w:cs="Calibri"/>
                <w:bCs/>
                <w:szCs w:val="16"/>
              </w:rPr>
              <w:t>94.2</w:t>
            </w:r>
          </w:p>
        </w:tc>
      </w:tr>
      <w:tr w:rsidR="001A5BD0" w:rsidRPr="00D9348B" w14:paraId="7F020FFB" w14:textId="77777777" w:rsidTr="00217967">
        <w:tc>
          <w:tcPr>
            <w:tcW w:w="1031" w:type="dxa"/>
            <w:tcBorders>
              <w:top w:val="single" w:sz="4" w:space="0" w:color="365F91"/>
              <w:left w:val="nil"/>
              <w:bottom w:val="single" w:sz="4" w:space="0" w:color="365F91"/>
              <w:right w:val="nil"/>
              <w:tl2br w:val="nil"/>
              <w:tr2bl w:val="nil"/>
            </w:tcBorders>
            <w:shd w:val="clear" w:color="2E74B5" w:fill="auto"/>
            <w:vAlign w:val="bottom"/>
          </w:tcPr>
          <w:p w14:paraId="23F75767" w14:textId="77777777" w:rsidR="00643D10" w:rsidRPr="00D9348B" w:rsidRDefault="00643D10" w:rsidP="00DB330E">
            <w:pPr>
              <w:pStyle w:val="TableText"/>
              <w:rPr>
                <w:rFonts w:cs="Calibri"/>
                <w:b/>
                <w:szCs w:val="16"/>
              </w:rPr>
            </w:pPr>
            <w:r w:rsidRPr="00D9348B">
              <w:rPr>
                <w:rFonts w:cs="Calibri"/>
                <w:szCs w:val="16"/>
              </w:rPr>
              <w:t>1.A.3.d</w:t>
            </w:r>
          </w:p>
        </w:tc>
        <w:tc>
          <w:tcPr>
            <w:tcW w:w="4187" w:type="dxa"/>
            <w:tcBorders>
              <w:top w:val="single" w:sz="4" w:space="0" w:color="365F91"/>
              <w:left w:val="nil"/>
              <w:bottom w:val="single" w:sz="4" w:space="0" w:color="365F91"/>
              <w:right w:val="nil"/>
              <w:tl2br w:val="nil"/>
              <w:tr2bl w:val="nil"/>
            </w:tcBorders>
            <w:shd w:val="clear" w:color="2E74B5" w:fill="auto"/>
            <w:noWrap/>
            <w:vAlign w:val="bottom"/>
            <w:hideMark/>
          </w:tcPr>
          <w:p w14:paraId="62E0D0EC" w14:textId="77777777" w:rsidR="00643D10" w:rsidRPr="00D9348B" w:rsidRDefault="00643D10" w:rsidP="00DB330E">
            <w:pPr>
              <w:pStyle w:val="TableTextBold"/>
              <w:keepNext/>
              <w:rPr>
                <w:rFonts w:cs="Calibri"/>
                <w:b w:val="0"/>
                <w:bCs/>
                <w:noProof w:val="0"/>
                <w:color w:val="000000"/>
                <w:szCs w:val="16"/>
              </w:rPr>
            </w:pPr>
            <w:r w:rsidRPr="00D9348B">
              <w:rPr>
                <w:rFonts w:cs="Calibri"/>
                <w:b w:val="0"/>
                <w:bCs/>
                <w:noProof w:val="0"/>
                <w:color w:val="000000"/>
                <w:szCs w:val="16"/>
              </w:rPr>
              <w:t>Domestic Navigation – Residual Fuel Oil</w:t>
            </w:r>
          </w:p>
        </w:tc>
        <w:tc>
          <w:tcPr>
            <w:tcW w:w="611" w:type="dxa"/>
            <w:tcBorders>
              <w:top w:val="single" w:sz="4" w:space="0" w:color="365F91"/>
              <w:left w:val="nil"/>
              <w:bottom w:val="single" w:sz="4" w:space="0" w:color="365F91"/>
              <w:right w:val="nil"/>
              <w:tl2br w:val="nil"/>
              <w:tr2bl w:val="nil"/>
            </w:tcBorders>
            <w:shd w:val="clear" w:color="2E74B5" w:fill="auto"/>
            <w:vAlign w:val="bottom"/>
            <w:hideMark/>
          </w:tcPr>
          <w:p w14:paraId="65BBEB03" w14:textId="77777777" w:rsidR="00643D10" w:rsidRPr="00D9348B" w:rsidRDefault="00643D10" w:rsidP="00DB330E">
            <w:pPr>
              <w:pStyle w:val="TableText"/>
              <w:jc w:val="center"/>
              <w:rPr>
                <w:rFonts w:cs="Calibri"/>
                <w:b/>
                <w:bCs/>
                <w:szCs w:val="16"/>
              </w:rPr>
            </w:pPr>
            <w:r w:rsidRPr="00D9348B">
              <w:rPr>
                <w:rFonts w:cs="Calibri"/>
                <w:szCs w:val="16"/>
              </w:rPr>
              <w:t>CO</w:t>
            </w:r>
            <w:r w:rsidRPr="00D9348B">
              <w:rPr>
                <w:rFonts w:cs="Calibri"/>
                <w:szCs w:val="16"/>
                <w:vertAlign w:val="subscript"/>
              </w:rPr>
              <w:t>2</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7533C6E6" w14:textId="77777777" w:rsidR="00643D10" w:rsidRPr="00D9348B" w:rsidRDefault="00643D10" w:rsidP="00DB330E">
            <w:pPr>
              <w:pStyle w:val="TableText"/>
              <w:jc w:val="right"/>
              <w:rPr>
                <w:rFonts w:cs="Calibri"/>
                <w:b/>
                <w:bCs/>
                <w:szCs w:val="16"/>
              </w:rPr>
            </w:pPr>
            <w:r w:rsidRPr="00D9348B">
              <w:rPr>
                <w:rFonts w:cs="Calibri"/>
                <w:bCs/>
                <w:szCs w:val="16"/>
              </w:rPr>
              <w:t>265.0</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5E626C93" w14:textId="77777777" w:rsidR="00643D10" w:rsidRPr="00D9348B" w:rsidRDefault="00643D10" w:rsidP="00DB330E">
            <w:pPr>
              <w:pStyle w:val="TableText"/>
              <w:jc w:val="right"/>
              <w:rPr>
                <w:rFonts w:cs="Calibri"/>
                <w:b/>
                <w:bCs/>
                <w:szCs w:val="16"/>
              </w:rPr>
            </w:pPr>
            <w:r w:rsidRPr="00D9348B">
              <w:rPr>
                <w:rFonts w:cs="Calibri"/>
                <w:bCs/>
                <w:szCs w:val="16"/>
              </w:rPr>
              <w:t>0.2</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00EC2989" w14:textId="77777777" w:rsidR="00643D10" w:rsidRPr="00D9348B" w:rsidRDefault="00643D10" w:rsidP="00DB330E">
            <w:pPr>
              <w:pStyle w:val="TableText"/>
              <w:jc w:val="right"/>
              <w:rPr>
                <w:rFonts w:cs="Calibri"/>
                <w:b/>
                <w:bCs/>
                <w:szCs w:val="16"/>
              </w:rPr>
            </w:pPr>
            <w:r w:rsidRPr="00D9348B">
              <w:rPr>
                <w:rFonts w:cs="Calibri"/>
                <w:bCs/>
                <w:szCs w:val="16"/>
              </w:rPr>
              <w:t>94.4</w:t>
            </w:r>
          </w:p>
        </w:tc>
      </w:tr>
      <w:tr w:rsidR="001A5BD0" w:rsidRPr="00D9348B" w14:paraId="5FC9D22A" w14:textId="77777777" w:rsidTr="00217967">
        <w:tc>
          <w:tcPr>
            <w:tcW w:w="1031" w:type="dxa"/>
            <w:tcBorders>
              <w:top w:val="single" w:sz="4" w:space="0" w:color="365F91"/>
              <w:left w:val="nil"/>
              <w:bottom w:val="single" w:sz="4" w:space="0" w:color="365F91"/>
              <w:right w:val="nil"/>
              <w:tl2br w:val="nil"/>
              <w:tr2bl w:val="nil"/>
            </w:tcBorders>
            <w:shd w:val="clear" w:color="2E74B5" w:fill="auto"/>
            <w:vAlign w:val="bottom"/>
          </w:tcPr>
          <w:p w14:paraId="0D2C1EA0" w14:textId="77777777" w:rsidR="00643D10" w:rsidRPr="00D9348B" w:rsidRDefault="00643D10" w:rsidP="00DB330E">
            <w:pPr>
              <w:pStyle w:val="TableText"/>
              <w:rPr>
                <w:rFonts w:cs="Calibri"/>
                <w:b/>
                <w:szCs w:val="16"/>
              </w:rPr>
            </w:pPr>
            <w:r w:rsidRPr="00D9348B">
              <w:rPr>
                <w:rFonts w:cs="Calibri"/>
                <w:szCs w:val="16"/>
              </w:rPr>
              <w:t>1.A.4.a</w:t>
            </w:r>
          </w:p>
        </w:tc>
        <w:tc>
          <w:tcPr>
            <w:tcW w:w="4187" w:type="dxa"/>
            <w:tcBorders>
              <w:top w:val="single" w:sz="4" w:space="0" w:color="365F91"/>
              <w:left w:val="nil"/>
              <w:bottom w:val="single" w:sz="4" w:space="0" w:color="365F91"/>
              <w:right w:val="nil"/>
              <w:tl2br w:val="nil"/>
              <w:tr2bl w:val="nil"/>
            </w:tcBorders>
            <w:shd w:val="clear" w:color="2E74B5" w:fill="auto"/>
            <w:noWrap/>
            <w:vAlign w:val="bottom"/>
            <w:hideMark/>
          </w:tcPr>
          <w:p w14:paraId="709FAAAD" w14:textId="77777777" w:rsidR="00643D10" w:rsidRPr="00D9348B" w:rsidRDefault="00643D10" w:rsidP="00DB330E">
            <w:pPr>
              <w:pStyle w:val="TableTextBold"/>
              <w:keepNext/>
              <w:rPr>
                <w:rFonts w:cs="Calibri"/>
                <w:b w:val="0"/>
                <w:bCs/>
                <w:noProof w:val="0"/>
                <w:color w:val="000000"/>
                <w:szCs w:val="16"/>
              </w:rPr>
            </w:pPr>
            <w:r w:rsidRPr="00D9348B">
              <w:rPr>
                <w:rFonts w:cs="Calibri"/>
                <w:b w:val="0"/>
                <w:bCs/>
                <w:noProof w:val="0"/>
                <w:color w:val="000000"/>
                <w:szCs w:val="16"/>
              </w:rPr>
              <w:t>Other Sectors – Commercial/Institutional Liquid Fuels</w:t>
            </w:r>
          </w:p>
        </w:tc>
        <w:tc>
          <w:tcPr>
            <w:tcW w:w="611" w:type="dxa"/>
            <w:tcBorders>
              <w:top w:val="single" w:sz="4" w:space="0" w:color="365F91"/>
              <w:left w:val="nil"/>
              <w:bottom w:val="single" w:sz="4" w:space="0" w:color="365F91"/>
              <w:right w:val="nil"/>
              <w:tl2br w:val="nil"/>
              <w:tr2bl w:val="nil"/>
            </w:tcBorders>
            <w:shd w:val="clear" w:color="2E74B5" w:fill="auto"/>
            <w:vAlign w:val="bottom"/>
            <w:hideMark/>
          </w:tcPr>
          <w:p w14:paraId="3863A4C9" w14:textId="77777777" w:rsidR="00643D10" w:rsidRPr="00D9348B" w:rsidRDefault="00643D10" w:rsidP="00DB330E">
            <w:pPr>
              <w:pStyle w:val="TableText"/>
              <w:jc w:val="center"/>
              <w:rPr>
                <w:rFonts w:cs="Calibri"/>
                <w:b/>
                <w:bCs/>
                <w:szCs w:val="16"/>
              </w:rPr>
            </w:pPr>
            <w:r w:rsidRPr="00D9348B">
              <w:rPr>
                <w:rFonts w:cs="Calibri"/>
                <w:szCs w:val="16"/>
              </w:rPr>
              <w:t>CO</w:t>
            </w:r>
            <w:r w:rsidRPr="00D9348B">
              <w:rPr>
                <w:rFonts w:cs="Calibri"/>
                <w:szCs w:val="16"/>
                <w:vertAlign w:val="subscript"/>
              </w:rPr>
              <w:t>2</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61B58943" w14:textId="77777777" w:rsidR="00643D10" w:rsidRPr="00D9348B" w:rsidRDefault="00643D10" w:rsidP="00DB330E">
            <w:pPr>
              <w:pStyle w:val="TableText"/>
              <w:jc w:val="right"/>
              <w:rPr>
                <w:rFonts w:cs="Calibri"/>
                <w:b/>
                <w:bCs/>
                <w:szCs w:val="16"/>
              </w:rPr>
            </w:pPr>
            <w:r w:rsidRPr="00D9348B">
              <w:rPr>
                <w:rFonts w:cs="Calibri"/>
                <w:bCs/>
                <w:szCs w:val="16"/>
              </w:rPr>
              <w:t>260.9</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0C5FABCE" w14:textId="77777777" w:rsidR="00643D10" w:rsidRPr="00D9348B" w:rsidRDefault="00643D10" w:rsidP="00DB330E">
            <w:pPr>
              <w:pStyle w:val="TableText"/>
              <w:jc w:val="right"/>
              <w:rPr>
                <w:rFonts w:cs="Calibri"/>
                <w:b/>
                <w:bCs/>
                <w:szCs w:val="16"/>
              </w:rPr>
            </w:pPr>
            <w:r w:rsidRPr="00D9348B">
              <w:rPr>
                <w:rFonts w:cs="Calibri"/>
                <w:bCs/>
                <w:szCs w:val="16"/>
              </w:rPr>
              <w:t>0.2</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4D4EB6DB" w14:textId="77777777" w:rsidR="00643D10" w:rsidRPr="00D9348B" w:rsidRDefault="00643D10" w:rsidP="00DB330E">
            <w:pPr>
              <w:pStyle w:val="TableText"/>
              <w:jc w:val="right"/>
              <w:rPr>
                <w:rFonts w:cs="Calibri"/>
                <w:b/>
                <w:bCs/>
                <w:szCs w:val="16"/>
              </w:rPr>
            </w:pPr>
            <w:r w:rsidRPr="00D9348B">
              <w:rPr>
                <w:rFonts w:cs="Calibri"/>
                <w:bCs/>
                <w:szCs w:val="16"/>
              </w:rPr>
              <w:t>94.6</w:t>
            </w:r>
          </w:p>
        </w:tc>
      </w:tr>
      <w:tr w:rsidR="001A5BD0" w:rsidRPr="00D9348B" w14:paraId="51D114A5" w14:textId="77777777" w:rsidTr="00217967">
        <w:tc>
          <w:tcPr>
            <w:tcW w:w="1031" w:type="dxa"/>
            <w:tcBorders>
              <w:top w:val="single" w:sz="4" w:space="0" w:color="365F91"/>
              <w:left w:val="nil"/>
              <w:bottom w:val="single" w:sz="4" w:space="0" w:color="365F91"/>
              <w:right w:val="nil"/>
              <w:tl2br w:val="nil"/>
              <w:tr2bl w:val="nil"/>
            </w:tcBorders>
            <w:shd w:val="clear" w:color="2E74B5" w:fill="auto"/>
            <w:vAlign w:val="bottom"/>
          </w:tcPr>
          <w:p w14:paraId="5C907098" w14:textId="77777777" w:rsidR="00643D10" w:rsidRPr="00D9348B" w:rsidRDefault="00643D10" w:rsidP="00DB330E">
            <w:pPr>
              <w:pStyle w:val="TableText"/>
              <w:rPr>
                <w:rFonts w:cs="Calibri"/>
                <w:b/>
                <w:szCs w:val="16"/>
              </w:rPr>
            </w:pPr>
            <w:r w:rsidRPr="00D9348B">
              <w:rPr>
                <w:rFonts w:cs="Calibri"/>
                <w:szCs w:val="16"/>
              </w:rPr>
              <w:t>1.A.1.c</w:t>
            </w:r>
          </w:p>
        </w:tc>
        <w:tc>
          <w:tcPr>
            <w:tcW w:w="4187" w:type="dxa"/>
            <w:tcBorders>
              <w:top w:val="single" w:sz="4" w:space="0" w:color="365F91"/>
              <w:left w:val="nil"/>
              <w:bottom w:val="single" w:sz="4" w:space="0" w:color="365F91"/>
              <w:right w:val="nil"/>
              <w:tl2br w:val="nil"/>
              <w:tr2bl w:val="nil"/>
            </w:tcBorders>
            <w:shd w:val="clear" w:color="2E74B5" w:fill="auto"/>
            <w:noWrap/>
            <w:vAlign w:val="bottom"/>
            <w:hideMark/>
          </w:tcPr>
          <w:p w14:paraId="2C3C612B" w14:textId="77777777" w:rsidR="00643D10" w:rsidRPr="00D9348B" w:rsidRDefault="00643D10" w:rsidP="00DB330E">
            <w:pPr>
              <w:pStyle w:val="TableTextBold"/>
              <w:keepNext/>
              <w:rPr>
                <w:rFonts w:cs="Calibri"/>
                <w:b w:val="0"/>
                <w:bCs/>
                <w:noProof w:val="0"/>
                <w:color w:val="000000"/>
                <w:szCs w:val="16"/>
              </w:rPr>
            </w:pPr>
            <w:r w:rsidRPr="00D9348B">
              <w:rPr>
                <w:rFonts w:cs="Calibri"/>
                <w:b w:val="0"/>
                <w:bCs/>
                <w:noProof w:val="0"/>
                <w:color w:val="000000"/>
                <w:szCs w:val="16"/>
              </w:rPr>
              <w:t>Energy Industries – Manufacture of Solid Fuels and Other Energy Industries Gaseous Fuels</w:t>
            </w:r>
          </w:p>
        </w:tc>
        <w:tc>
          <w:tcPr>
            <w:tcW w:w="611" w:type="dxa"/>
            <w:tcBorders>
              <w:top w:val="single" w:sz="4" w:space="0" w:color="365F91"/>
              <w:left w:val="nil"/>
              <w:bottom w:val="single" w:sz="4" w:space="0" w:color="365F91"/>
              <w:right w:val="nil"/>
              <w:tl2br w:val="nil"/>
              <w:tr2bl w:val="nil"/>
            </w:tcBorders>
            <w:shd w:val="clear" w:color="2E74B5" w:fill="auto"/>
            <w:vAlign w:val="bottom"/>
            <w:hideMark/>
          </w:tcPr>
          <w:p w14:paraId="23688251" w14:textId="77777777" w:rsidR="00643D10" w:rsidRPr="00D9348B" w:rsidRDefault="00643D10" w:rsidP="00DB330E">
            <w:pPr>
              <w:pStyle w:val="TableText"/>
              <w:jc w:val="center"/>
              <w:rPr>
                <w:rFonts w:cs="Calibri"/>
                <w:b/>
                <w:bCs/>
                <w:szCs w:val="16"/>
              </w:rPr>
            </w:pPr>
            <w:r w:rsidRPr="00D9348B">
              <w:rPr>
                <w:rFonts w:cs="Calibri"/>
                <w:szCs w:val="16"/>
              </w:rPr>
              <w:t>CO</w:t>
            </w:r>
            <w:r w:rsidRPr="00D9348B">
              <w:rPr>
                <w:rFonts w:cs="Calibri"/>
                <w:szCs w:val="16"/>
                <w:vertAlign w:val="subscript"/>
              </w:rPr>
              <w:t>2</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7B5C3324" w14:textId="77777777" w:rsidR="00643D10" w:rsidRPr="00D9348B" w:rsidRDefault="00643D10" w:rsidP="00DB330E">
            <w:pPr>
              <w:pStyle w:val="TableText"/>
              <w:jc w:val="right"/>
              <w:rPr>
                <w:rFonts w:cs="Calibri"/>
                <w:b/>
                <w:bCs/>
                <w:szCs w:val="16"/>
              </w:rPr>
            </w:pPr>
            <w:r w:rsidRPr="00D9348B">
              <w:rPr>
                <w:rFonts w:cs="Calibri"/>
                <w:bCs/>
                <w:szCs w:val="16"/>
              </w:rPr>
              <w:t>257.3</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1B22E47E" w14:textId="77777777" w:rsidR="00643D10" w:rsidRPr="00D9348B" w:rsidRDefault="00643D10" w:rsidP="00DB330E">
            <w:pPr>
              <w:pStyle w:val="TableText"/>
              <w:jc w:val="right"/>
              <w:rPr>
                <w:rFonts w:cs="Calibri"/>
                <w:b/>
                <w:bCs/>
                <w:szCs w:val="16"/>
              </w:rPr>
            </w:pPr>
            <w:r w:rsidRPr="00D9348B">
              <w:rPr>
                <w:rFonts w:cs="Calibri"/>
                <w:bCs/>
                <w:szCs w:val="16"/>
              </w:rPr>
              <w:t>0.2</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24A4655B" w14:textId="77777777" w:rsidR="00643D10" w:rsidRPr="00D9348B" w:rsidRDefault="00643D10" w:rsidP="00DB330E">
            <w:pPr>
              <w:pStyle w:val="TableText"/>
              <w:jc w:val="right"/>
              <w:rPr>
                <w:rFonts w:cs="Calibri"/>
                <w:b/>
                <w:bCs/>
                <w:szCs w:val="16"/>
              </w:rPr>
            </w:pPr>
            <w:r w:rsidRPr="00D9348B">
              <w:rPr>
                <w:rFonts w:cs="Calibri"/>
                <w:bCs/>
                <w:szCs w:val="16"/>
              </w:rPr>
              <w:t>94.9</w:t>
            </w:r>
          </w:p>
        </w:tc>
      </w:tr>
      <w:tr w:rsidR="001A5BD0" w:rsidRPr="00D9348B" w14:paraId="16A04831" w14:textId="77777777" w:rsidTr="00217967">
        <w:tc>
          <w:tcPr>
            <w:tcW w:w="1031" w:type="dxa"/>
            <w:tcBorders>
              <w:top w:val="single" w:sz="4" w:space="0" w:color="365F91"/>
              <w:left w:val="nil"/>
              <w:bottom w:val="single" w:sz="4" w:space="0" w:color="365F91"/>
              <w:right w:val="nil"/>
              <w:tl2br w:val="nil"/>
              <w:tr2bl w:val="nil"/>
            </w:tcBorders>
            <w:shd w:val="clear" w:color="2E74B5" w:fill="auto"/>
            <w:vAlign w:val="bottom"/>
          </w:tcPr>
          <w:p w14:paraId="5D11EDCF" w14:textId="77777777" w:rsidR="00643D10" w:rsidRPr="00D9348B" w:rsidRDefault="00643D10" w:rsidP="00DB330E">
            <w:pPr>
              <w:pStyle w:val="TableText"/>
              <w:rPr>
                <w:rFonts w:cs="Calibri"/>
                <w:b/>
                <w:szCs w:val="16"/>
              </w:rPr>
            </w:pPr>
            <w:r w:rsidRPr="00D9348B">
              <w:rPr>
                <w:rFonts w:cs="Calibri"/>
                <w:szCs w:val="16"/>
              </w:rPr>
              <w:t>1.A.2.e</w:t>
            </w:r>
          </w:p>
        </w:tc>
        <w:tc>
          <w:tcPr>
            <w:tcW w:w="4187" w:type="dxa"/>
            <w:tcBorders>
              <w:top w:val="single" w:sz="4" w:space="0" w:color="365F91"/>
              <w:left w:val="nil"/>
              <w:bottom w:val="single" w:sz="4" w:space="0" w:color="365F91"/>
              <w:right w:val="nil"/>
              <w:tl2br w:val="nil"/>
              <w:tr2bl w:val="nil"/>
            </w:tcBorders>
            <w:shd w:val="clear" w:color="2E74B5" w:fill="auto"/>
            <w:noWrap/>
            <w:vAlign w:val="bottom"/>
            <w:hideMark/>
          </w:tcPr>
          <w:p w14:paraId="13DCFF4F" w14:textId="77777777" w:rsidR="00643D10" w:rsidRPr="00D9348B" w:rsidRDefault="00643D10" w:rsidP="00DB330E">
            <w:pPr>
              <w:pStyle w:val="TableTextBold"/>
              <w:keepNext/>
              <w:rPr>
                <w:rFonts w:cs="Calibri"/>
                <w:b w:val="0"/>
                <w:bCs/>
                <w:noProof w:val="0"/>
                <w:color w:val="000000"/>
                <w:szCs w:val="16"/>
              </w:rPr>
            </w:pPr>
            <w:r w:rsidRPr="00D9348B">
              <w:rPr>
                <w:rFonts w:cs="Calibri"/>
                <w:b w:val="0"/>
                <w:bCs/>
                <w:noProof w:val="0"/>
                <w:color w:val="000000"/>
                <w:szCs w:val="16"/>
              </w:rPr>
              <w:t>Manufacturing Industries and Construction – Food Processing, Beverages and Tobacco Liquid Fuels</w:t>
            </w:r>
          </w:p>
        </w:tc>
        <w:tc>
          <w:tcPr>
            <w:tcW w:w="611" w:type="dxa"/>
            <w:tcBorders>
              <w:top w:val="single" w:sz="4" w:space="0" w:color="365F91"/>
              <w:left w:val="nil"/>
              <w:bottom w:val="single" w:sz="4" w:space="0" w:color="365F91"/>
              <w:right w:val="nil"/>
              <w:tl2br w:val="nil"/>
              <w:tr2bl w:val="nil"/>
            </w:tcBorders>
            <w:shd w:val="clear" w:color="2E74B5" w:fill="auto"/>
            <w:vAlign w:val="bottom"/>
            <w:hideMark/>
          </w:tcPr>
          <w:p w14:paraId="203B3CC3" w14:textId="77777777" w:rsidR="00643D10" w:rsidRPr="00D9348B" w:rsidRDefault="00643D10" w:rsidP="00DB330E">
            <w:pPr>
              <w:pStyle w:val="TableText"/>
              <w:jc w:val="center"/>
              <w:rPr>
                <w:rFonts w:cs="Calibri"/>
                <w:b/>
                <w:bCs/>
                <w:szCs w:val="16"/>
              </w:rPr>
            </w:pPr>
            <w:r w:rsidRPr="00D9348B">
              <w:rPr>
                <w:rFonts w:cs="Calibri"/>
                <w:szCs w:val="16"/>
              </w:rPr>
              <w:t>CO</w:t>
            </w:r>
            <w:r w:rsidRPr="00D9348B">
              <w:rPr>
                <w:rFonts w:cs="Calibri"/>
                <w:szCs w:val="16"/>
                <w:vertAlign w:val="subscript"/>
              </w:rPr>
              <w:t>2</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1B96CE1F" w14:textId="77777777" w:rsidR="00643D10" w:rsidRPr="00D9348B" w:rsidRDefault="00643D10" w:rsidP="00DB330E">
            <w:pPr>
              <w:pStyle w:val="TableText"/>
              <w:jc w:val="right"/>
              <w:rPr>
                <w:rFonts w:cs="Calibri"/>
                <w:b/>
                <w:bCs/>
                <w:szCs w:val="16"/>
              </w:rPr>
            </w:pPr>
            <w:r w:rsidRPr="00D9348B">
              <w:rPr>
                <w:rFonts w:cs="Calibri"/>
                <w:bCs/>
                <w:szCs w:val="16"/>
              </w:rPr>
              <w:t>256.2</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036E4778" w14:textId="77777777" w:rsidR="00643D10" w:rsidRPr="00D9348B" w:rsidRDefault="00643D10" w:rsidP="00DB330E">
            <w:pPr>
              <w:pStyle w:val="TableText"/>
              <w:jc w:val="right"/>
              <w:rPr>
                <w:rFonts w:cs="Calibri"/>
                <w:b/>
                <w:bCs/>
                <w:szCs w:val="16"/>
              </w:rPr>
            </w:pPr>
            <w:r w:rsidRPr="00D9348B">
              <w:rPr>
                <w:rFonts w:cs="Calibri"/>
                <w:bCs/>
                <w:szCs w:val="16"/>
              </w:rPr>
              <w:t>0.2</w:t>
            </w:r>
          </w:p>
        </w:tc>
        <w:tc>
          <w:tcPr>
            <w:tcW w:w="911" w:type="dxa"/>
            <w:tcBorders>
              <w:top w:val="single" w:sz="4" w:space="0" w:color="365F91"/>
              <w:left w:val="nil"/>
              <w:bottom w:val="single" w:sz="4" w:space="0" w:color="365F91"/>
              <w:right w:val="nil"/>
              <w:tl2br w:val="nil"/>
              <w:tr2bl w:val="nil"/>
            </w:tcBorders>
            <w:shd w:val="clear" w:color="2E74B5" w:fill="auto"/>
            <w:vAlign w:val="bottom"/>
            <w:hideMark/>
          </w:tcPr>
          <w:p w14:paraId="38B86FA8" w14:textId="77777777" w:rsidR="00643D10" w:rsidRPr="00D9348B" w:rsidRDefault="00643D10" w:rsidP="00DB330E">
            <w:pPr>
              <w:pStyle w:val="TableText"/>
              <w:jc w:val="right"/>
              <w:rPr>
                <w:rFonts w:cs="Calibri"/>
                <w:b/>
                <w:bCs/>
                <w:szCs w:val="16"/>
              </w:rPr>
            </w:pPr>
            <w:r w:rsidRPr="00D9348B">
              <w:rPr>
                <w:rFonts w:cs="Calibri"/>
                <w:bCs/>
                <w:szCs w:val="16"/>
              </w:rPr>
              <w:t>95.1</w:t>
            </w:r>
          </w:p>
        </w:tc>
      </w:tr>
    </w:tbl>
    <w:p w14:paraId="1DFE3035" w14:textId="77777777" w:rsidR="00643D10" w:rsidRPr="00D9348B" w:rsidRDefault="00643D10" w:rsidP="00643D10">
      <w:pPr>
        <w:pStyle w:val="BodyText"/>
      </w:pPr>
    </w:p>
    <w:tbl>
      <w:tblPr>
        <w:tblW w:w="8562" w:type="dxa"/>
        <w:tblInd w:w="108" w:type="dxa"/>
        <w:tblBorders>
          <w:top w:val="single" w:sz="4" w:space="0" w:color="365F91"/>
          <w:bottom w:val="single" w:sz="4" w:space="0" w:color="365F91"/>
          <w:insideH w:val="single" w:sz="4" w:space="0" w:color="365F91"/>
        </w:tblBorders>
        <w:tblLayout w:type="fixed"/>
        <w:tblCellMar>
          <w:left w:w="85" w:type="dxa"/>
          <w:right w:w="57" w:type="dxa"/>
        </w:tblCellMar>
        <w:tblLook w:val="04A0" w:firstRow="1" w:lastRow="0" w:firstColumn="1" w:lastColumn="0" w:noHBand="0" w:noVBand="1"/>
      </w:tblPr>
      <w:tblGrid>
        <w:gridCol w:w="1031"/>
        <w:gridCol w:w="4187"/>
        <w:gridCol w:w="611"/>
        <w:gridCol w:w="911"/>
        <w:gridCol w:w="911"/>
        <w:gridCol w:w="911"/>
      </w:tblGrid>
      <w:tr w:rsidR="00643D10" w:rsidRPr="00D9348B" w14:paraId="09F8451B" w14:textId="77777777" w:rsidTr="00703E08">
        <w:trPr>
          <w:tblHeader/>
        </w:trPr>
        <w:tc>
          <w:tcPr>
            <w:tcW w:w="8562" w:type="dxa"/>
            <w:gridSpan w:val="6"/>
            <w:tcBorders>
              <w:top w:val="single" w:sz="4" w:space="0" w:color="365F91"/>
              <w:bottom w:val="single" w:sz="4" w:space="0" w:color="365F91"/>
            </w:tcBorders>
            <w:shd w:val="clear" w:color="365F91" w:fill="365F91"/>
          </w:tcPr>
          <w:p w14:paraId="3B8C21C5" w14:textId="77777777" w:rsidR="00643D10" w:rsidRPr="00D9348B" w:rsidRDefault="00643D10" w:rsidP="00DB330E">
            <w:pPr>
              <w:pStyle w:val="TableTextBold"/>
              <w:keepNext/>
              <w:rPr>
                <w:noProof w:val="0"/>
                <w:color w:val="FFFFFF"/>
              </w:rPr>
            </w:pPr>
            <w:r w:rsidRPr="00D9348B">
              <w:rPr>
                <w:noProof w:val="0"/>
                <w:color w:val="FFFFFF"/>
              </w:rPr>
              <w:t>(b) IPCC Tier 1 category level assessment – excluding LULUCF (gross emissions): 2018</w:t>
            </w:r>
          </w:p>
        </w:tc>
      </w:tr>
      <w:tr w:rsidR="00643D10" w:rsidRPr="00D9348B" w14:paraId="7BC8C6D9" w14:textId="77777777" w:rsidTr="00217967">
        <w:trPr>
          <w:tblHeader/>
        </w:trPr>
        <w:tc>
          <w:tcPr>
            <w:tcW w:w="1031" w:type="dxa"/>
            <w:shd w:val="clear" w:color="2E74B5" w:fill="auto"/>
            <w:vAlign w:val="bottom"/>
          </w:tcPr>
          <w:p w14:paraId="147FDBAD" w14:textId="77777777" w:rsidR="00643D10" w:rsidRPr="00D9348B" w:rsidRDefault="00643D10" w:rsidP="00DB330E">
            <w:pPr>
              <w:pStyle w:val="TableTextBold"/>
              <w:keepNext/>
              <w:rPr>
                <w:rFonts w:cs="Arial"/>
                <w:noProof w:val="0"/>
                <w:szCs w:val="16"/>
              </w:rPr>
            </w:pPr>
            <w:r w:rsidRPr="00D9348B">
              <w:rPr>
                <w:rFonts w:cs="Arial"/>
                <w:bCs/>
                <w:noProof w:val="0"/>
                <w:color w:val="000000"/>
                <w:szCs w:val="16"/>
              </w:rPr>
              <w:t>CRF category code</w:t>
            </w:r>
          </w:p>
        </w:tc>
        <w:tc>
          <w:tcPr>
            <w:tcW w:w="4187" w:type="dxa"/>
            <w:shd w:val="clear" w:color="2E74B5" w:fill="auto"/>
            <w:noWrap/>
            <w:vAlign w:val="bottom"/>
            <w:hideMark/>
          </w:tcPr>
          <w:p w14:paraId="081B3E8A" w14:textId="77777777" w:rsidR="00643D10" w:rsidRPr="00D9348B" w:rsidRDefault="00643D10" w:rsidP="00DB330E">
            <w:pPr>
              <w:pStyle w:val="TableTextBold"/>
              <w:rPr>
                <w:rFonts w:cs="Arial"/>
                <w:noProof w:val="0"/>
                <w:szCs w:val="16"/>
              </w:rPr>
            </w:pPr>
            <w:r w:rsidRPr="00D9348B">
              <w:rPr>
                <w:rFonts w:cs="Arial"/>
                <w:bCs/>
                <w:noProof w:val="0"/>
                <w:color w:val="000000"/>
                <w:szCs w:val="16"/>
              </w:rPr>
              <w:t>IPCC category</w:t>
            </w:r>
          </w:p>
        </w:tc>
        <w:tc>
          <w:tcPr>
            <w:tcW w:w="611" w:type="dxa"/>
            <w:shd w:val="clear" w:color="2E74B5" w:fill="auto"/>
            <w:vAlign w:val="bottom"/>
            <w:hideMark/>
          </w:tcPr>
          <w:p w14:paraId="183ADA93" w14:textId="77777777" w:rsidR="00643D10" w:rsidRPr="00D9348B" w:rsidRDefault="00643D10" w:rsidP="00DB330E">
            <w:pPr>
              <w:pStyle w:val="TableTextBold"/>
              <w:jc w:val="center"/>
              <w:rPr>
                <w:rFonts w:cs="Arial"/>
                <w:noProof w:val="0"/>
                <w:szCs w:val="16"/>
              </w:rPr>
            </w:pPr>
            <w:r w:rsidRPr="00D9348B">
              <w:rPr>
                <w:rFonts w:cs="Arial"/>
                <w:bCs/>
                <w:noProof w:val="0"/>
                <w:color w:val="000000"/>
                <w:szCs w:val="16"/>
              </w:rPr>
              <w:t>Gas</w:t>
            </w:r>
          </w:p>
        </w:tc>
        <w:tc>
          <w:tcPr>
            <w:tcW w:w="911" w:type="dxa"/>
            <w:shd w:val="clear" w:color="2E74B5" w:fill="auto"/>
            <w:vAlign w:val="bottom"/>
            <w:hideMark/>
          </w:tcPr>
          <w:p w14:paraId="24DFF3D9" w14:textId="77777777" w:rsidR="00643D10" w:rsidRPr="00D9348B" w:rsidRDefault="00643D10" w:rsidP="00DB330E">
            <w:pPr>
              <w:pStyle w:val="TableTextBold"/>
              <w:jc w:val="right"/>
              <w:rPr>
                <w:rFonts w:cs="Arial"/>
                <w:noProof w:val="0"/>
                <w:szCs w:val="16"/>
              </w:rPr>
            </w:pPr>
            <w:r w:rsidRPr="00D9348B">
              <w:rPr>
                <w:rFonts w:cs="Arial"/>
                <w:bCs/>
                <w:noProof w:val="0"/>
                <w:color w:val="000000"/>
                <w:szCs w:val="16"/>
              </w:rPr>
              <w:t>2018 estimate</w:t>
            </w:r>
            <w:r w:rsidRPr="00D9348B">
              <w:rPr>
                <w:rFonts w:cs="Arial"/>
                <w:bCs/>
                <w:noProof w:val="0"/>
                <w:color w:val="000000"/>
                <w:szCs w:val="16"/>
              </w:rPr>
              <w:br/>
              <w:t>(kt CO</w:t>
            </w:r>
            <w:r w:rsidRPr="00D9348B">
              <w:rPr>
                <w:rFonts w:cs="Arial"/>
                <w:bCs/>
                <w:noProof w:val="0"/>
                <w:color w:val="000000"/>
                <w:szCs w:val="16"/>
                <w:vertAlign w:val="subscript"/>
              </w:rPr>
              <w:t>2</w:t>
            </w:r>
            <w:r w:rsidRPr="00D9348B">
              <w:rPr>
                <w:rFonts w:cs="Arial"/>
                <w:bCs/>
                <w:noProof w:val="0"/>
                <w:color w:val="000000"/>
                <w:szCs w:val="16"/>
              </w:rPr>
              <w:t>-e)</w:t>
            </w:r>
          </w:p>
        </w:tc>
        <w:tc>
          <w:tcPr>
            <w:tcW w:w="911" w:type="dxa"/>
            <w:shd w:val="clear" w:color="2E74B5" w:fill="auto"/>
            <w:vAlign w:val="bottom"/>
            <w:hideMark/>
          </w:tcPr>
          <w:p w14:paraId="3E9A9962" w14:textId="77777777" w:rsidR="00643D10" w:rsidRPr="00D9348B" w:rsidRDefault="00643D10" w:rsidP="00DB330E">
            <w:pPr>
              <w:pStyle w:val="TableTextBold"/>
              <w:jc w:val="right"/>
              <w:rPr>
                <w:rFonts w:cs="Arial"/>
                <w:noProof w:val="0"/>
                <w:szCs w:val="16"/>
              </w:rPr>
            </w:pPr>
            <w:r w:rsidRPr="00D9348B">
              <w:rPr>
                <w:rFonts w:cs="Arial"/>
                <w:bCs/>
                <w:noProof w:val="0"/>
                <w:color w:val="000000"/>
                <w:szCs w:val="16"/>
              </w:rPr>
              <w:t>Level assessment (%)</w:t>
            </w:r>
          </w:p>
        </w:tc>
        <w:tc>
          <w:tcPr>
            <w:tcW w:w="911" w:type="dxa"/>
            <w:shd w:val="clear" w:color="2E74B5" w:fill="auto"/>
            <w:vAlign w:val="bottom"/>
            <w:hideMark/>
          </w:tcPr>
          <w:p w14:paraId="4BFB1E5E" w14:textId="77777777" w:rsidR="00643D10" w:rsidRPr="00D9348B" w:rsidRDefault="00643D10" w:rsidP="00DB330E">
            <w:pPr>
              <w:pStyle w:val="TableTextBold"/>
              <w:jc w:val="right"/>
              <w:rPr>
                <w:rFonts w:cs="Arial"/>
                <w:noProof w:val="0"/>
                <w:szCs w:val="16"/>
              </w:rPr>
            </w:pPr>
            <w:r w:rsidRPr="00D9348B">
              <w:rPr>
                <w:rFonts w:cs="Arial"/>
                <w:bCs/>
                <w:noProof w:val="0"/>
                <w:color w:val="000000"/>
                <w:szCs w:val="16"/>
              </w:rPr>
              <w:t>Cumulative total (%)</w:t>
            </w:r>
          </w:p>
        </w:tc>
      </w:tr>
      <w:tr w:rsidR="00643D10" w:rsidRPr="00D9348B" w14:paraId="44945BB2" w14:textId="77777777" w:rsidTr="00217967">
        <w:tc>
          <w:tcPr>
            <w:tcW w:w="1031" w:type="dxa"/>
            <w:vAlign w:val="bottom"/>
          </w:tcPr>
          <w:p w14:paraId="608176B4" w14:textId="77777777" w:rsidR="00643D10" w:rsidRPr="00D9348B" w:rsidRDefault="00643D10" w:rsidP="00DB330E">
            <w:pPr>
              <w:pStyle w:val="TableText"/>
              <w:spacing w:before="40" w:after="40"/>
              <w:rPr>
                <w:rFonts w:cs="Arial"/>
                <w:szCs w:val="16"/>
              </w:rPr>
            </w:pPr>
            <w:r w:rsidRPr="00D9348B">
              <w:rPr>
                <w:rFonts w:cs="Arial"/>
                <w:bCs/>
                <w:color w:val="000000"/>
                <w:szCs w:val="16"/>
              </w:rPr>
              <w:t>1.A.3.b</w:t>
            </w:r>
          </w:p>
        </w:tc>
        <w:tc>
          <w:tcPr>
            <w:tcW w:w="4187" w:type="dxa"/>
            <w:shd w:val="clear" w:color="auto" w:fill="auto"/>
            <w:vAlign w:val="bottom"/>
          </w:tcPr>
          <w:p w14:paraId="61B3CB9A" w14:textId="77777777" w:rsidR="00643D10" w:rsidRPr="00D9348B" w:rsidRDefault="00643D10" w:rsidP="00DB330E">
            <w:pPr>
              <w:pStyle w:val="TableText"/>
              <w:spacing w:before="40" w:after="40"/>
              <w:rPr>
                <w:rFonts w:cs="Arial"/>
                <w:szCs w:val="16"/>
              </w:rPr>
            </w:pPr>
            <w:r w:rsidRPr="00D9348B">
              <w:rPr>
                <w:rFonts w:cs="Arial"/>
                <w:bCs/>
                <w:color w:val="000000"/>
                <w:szCs w:val="16"/>
              </w:rPr>
              <w:t>Transport – Road Transportation Liquid Fuels</w:t>
            </w:r>
          </w:p>
        </w:tc>
        <w:tc>
          <w:tcPr>
            <w:tcW w:w="611" w:type="dxa"/>
            <w:shd w:val="clear" w:color="auto" w:fill="auto"/>
            <w:vAlign w:val="bottom"/>
          </w:tcPr>
          <w:p w14:paraId="4996C895"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911" w:type="dxa"/>
            <w:shd w:val="clear" w:color="auto" w:fill="auto"/>
            <w:noWrap/>
            <w:vAlign w:val="bottom"/>
          </w:tcPr>
          <w:p w14:paraId="3899DCB6"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14,956.5</w:t>
            </w:r>
          </w:p>
        </w:tc>
        <w:tc>
          <w:tcPr>
            <w:tcW w:w="911" w:type="dxa"/>
            <w:shd w:val="clear" w:color="auto" w:fill="auto"/>
            <w:noWrap/>
            <w:vAlign w:val="bottom"/>
          </w:tcPr>
          <w:p w14:paraId="01B51121"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19.0</w:t>
            </w:r>
          </w:p>
        </w:tc>
        <w:tc>
          <w:tcPr>
            <w:tcW w:w="911" w:type="dxa"/>
            <w:shd w:val="clear" w:color="auto" w:fill="auto"/>
            <w:noWrap/>
            <w:vAlign w:val="bottom"/>
          </w:tcPr>
          <w:p w14:paraId="1A5EDEC1"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19.0</w:t>
            </w:r>
          </w:p>
        </w:tc>
      </w:tr>
      <w:tr w:rsidR="00643D10" w:rsidRPr="00D9348B" w14:paraId="3D4C996B" w14:textId="77777777" w:rsidTr="00217967">
        <w:tc>
          <w:tcPr>
            <w:tcW w:w="1031" w:type="dxa"/>
            <w:vAlign w:val="bottom"/>
          </w:tcPr>
          <w:p w14:paraId="0A8E9462" w14:textId="77777777" w:rsidR="00643D10" w:rsidRPr="00D9348B" w:rsidRDefault="00643D10" w:rsidP="00DB330E">
            <w:pPr>
              <w:pStyle w:val="TableText"/>
              <w:spacing w:before="40" w:after="40"/>
              <w:rPr>
                <w:rFonts w:cs="Arial"/>
                <w:szCs w:val="16"/>
              </w:rPr>
            </w:pPr>
            <w:r w:rsidRPr="00D9348B">
              <w:rPr>
                <w:rFonts w:cs="Arial"/>
                <w:bCs/>
                <w:color w:val="000000"/>
                <w:szCs w:val="16"/>
              </w:rPr>
              <w:t>3.A.1</w:t>
            </w:r>
          </w:p>
        </w:tc>
        <w:tc>
          <w:tcPr>
            <w:tcW w:w="4187" w:type="dxa"/>
            <w:shd w:val="clear" w:color="auto" w:fill="auto"/>
            <w:vAlign w:val="bottom"/>
          </w:tcPr>
          <w:p w14:paraId="1ADF297A" w14:textId="77777777" w:rsidR="00643D10" w:rsidRPr="00D9348B" w:rsidRDefault="00643D10" w:rsidP="00DB330E">
            <w:pPr>
              <w:pStyle w:val="TableText"/>
              <w:spacing w:before="40" w:after="40"/>
              <w:rPr>
                <w:rFonts w:cs="Arial"/>
                <w:szCs w:val="16"/>
              </w:rPr>
            </w:pPr>
            <w:r w:rsidRPr="00D9348B">
              <w:rPr>
                <w:rFonts w:cs="Arial"/>
                <w:bCs/>
                <w:color w:val="000000"/>
                <w:szCs w:val="16"/>
              </w:rPr>
              <w:t>Option A – Dairy Cattle</w:t>
            </w:r>
          </w:p>
        </w:tc>
        <w:tc>
          <w:tcPr>
            <w:tcW w:w="611" w:type="dxa"/>
            <w:shd w:val="clear" w:color="auto" w:fill="auto"/>
            <w:vAlign w:val="bottom"/>
          </w:tcPr>
          <w:p w14:paraId="7E46F7CC"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CH</w:t>
            </w:r>
            <w:r w:rsidRPr="00D9348B">
              <w:rPr>
                <w:rFonts w:cs="Arial"/>
                <w:color w:val="000000"/>
                <w:szCs w:val="16"/>
                <w:vertAlign w:val="subscript"/>
              </w:rPr>
              <w:t>4</w:t>
            </w:r>
          </w:p>
        </w:tc>
        <w:tc>
          <w:tcPr>
            <w:tcW w:w="911" w:type="dxa"/>
            <w:shd w:val="clear" w:color="auto" w:fill="auto"/>
            <w:noWrap/>
            <w:vAlign w:val="bottom"/>
          </w:tcPr>
          <w:p w14:paraId="039D3C15"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13,611.6</w:t>
            </w:r>
          </w:p>
        </w:tc>
        <w:tc>
          <w:tcPr>
            <w:tcW w:w="911" w:type="dxa"/>
            <w:shd w:val="clear" w:color="auto" w:fill="auto"/>
            <w:noWrap/>
            <w:vAlign w:val="bottom"/>
          </w:tcPr>
          <w:p w14:paraId="4216A58E"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17.3</w:t>
            </w:r>
          </w:p>
        </w:tc>
        <w:tc>
          <w:tcPr>
            <w:tcW w:w="911" w:type="dxa"/>
            <w:shd w:val="clear" w:color="auto" w:fill="auto"/>
            <w:noWrap/>
            <w:vAlign w:val="bottom"/>
          </w:tcPr>
          <w:p w14:paraId="79DA0DB4"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36.2</w:t>
            </w:r>
          </w:p>
        </w:tc>
      </w:tr>
      <w:tr w:rsidR="00643D10" w:rsidRPr="00D9348B" w14:paraId="26D98605" w14:textId="77777777" w:rsidTr="00217967">
        <w:tc>
          <w:tcPr>
            <w:tcW w:w="1031" w:type="dxa"/>
            <w:vAlign w:val="bottom"/>
          </w:tcPr>
          <w:p w14:paraId="3EA66E6B" w14:textId="77777777" w:rsidR="00643D10" w:rsidRPr="00D9348B" w:rsidRDefault="00643D10" w:rsidP="00DB330E">
            <w:pPr>
              <w:pStyle w:val="TableText"/>
              <w:spacing w:before="40" w:after="40"/>
              <w:rPr>
                <w:rFonts w:cs="Arial"/>
                <w:szCs w:val="16"/>
              </w:rPr>
            </w:pPr>
            <w:r w:rsidRPr="00D9348B">
              <w:rPr>
                <w:rFonts w:cs="Arial"/>
                <w:bCs/>
                <w:color w:val="000000"/>
                <w:szCs w:val="16"/>
              </w:rPr>
              <w:t>3.A.2</w:t>
            </w:r>
          </w:p>
        </w:tc>
        <w:tc>
          <w:tcPr>
            <w:tcW w:w="4187" w:type="dxa"/>
            <w:shd w:val="clear" w:color="auto" w:fill="auto"/>
            <w:vAlign w:val="bottom"/>
          </w:tcPr>
          <w:p w14:paraId="11E6E2D4" w14:textId="77777777" w:rsidR="00643D10" w:rsidRPr="00D9348B" w:rsidRDefault="00643D10" w:rsidP="00DB330E">
            <w:pPr>
              <w:pStyle w:val="TableText"/>
              <w:spacing w:before="40" w:after="40"/>
              <w:rPr>
                <w:rFonts w:cs="Arial"/>
                <w:szCs w:val="16"/>
              </w:rPr>
            </w:pPr>
            <w:r w:rsidRPr="00D9348B">
              <w:rPr>
                <w:rFonts w:cs="Arial"/>
                <w:bCs/>
                <w:color w:val="000000"/>
                <w:szCs w:val="16"/>
              </w:rPr>
              <w:t>Other (please specify) – Sheep</w:t>
            </w:r>
          </w:p>
        </w:tc>
        <w:tc>
          <w:tcPr>
            <w:tcW w:w="611" w:type="dxa"/>
            <w:shd w:val="clear" w:color="auto" w:fill="auto"/>
            <w:vAlign w:val="bottom"/>
          </w:tcPr>
          <w:p w14:paraId="61989E54"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CH</w:t>
            </w:r>
            <w:r w:rsidRPr="00D9348B">
              <w:rPr>
                <w:rFonts w:cs="Arial"/>
                <w:color w:val="000000"/>
                <w:szCs w:val="16"/>
                <w:vertAlign w:val="subscript"/>
              </w:rPr>
              <w:t>4</w:t>
            </w:r>
          </w:p>
        </w:tc>
        <w:tc>
          <w:tcPr>
            <w:tcW w:w="911" w:type="dxa"/>
            <w:shd w:val="clear" w:color="auto" w:fill="auto"/>
            <w:noWrap/>
            <w:vAlign w:val="bottom"/>
          </w:tcPr>
          <w:p w14:paraId="36FEE903"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8,390.1</w:t>
            </w:r>
          </w:p>
        </w:tc>
        <w:tc>
          <w:tcPr>
            <w:tcW w:w="911" w:type="dxa"/>
            <w:shd w:val="clear" w:color="auto" w:fill="auto"/>
            <w:noWrap/>
            <w:vAlign w:val="bottom"/>
          </w:tcPr>
          <w:p w14:paraId="6C3DF287"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10.6</w:t>
            </w:r>
          </w:p>
        </w:tc>
        <w:tc>
          <w:tcPr>
            <w:tcW w:w="911" w:type="dxa"/>
            <w:shd w:val="clear" w:color="auto" w:fill="auto"/>
            <w:noWrap/>
            <w:vAlign w:val="bottom"/>
          </w:tcPr>
          <w:p w14:paraId="1F8E081A"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46.9</w:t>
            </w:r>
          </w:p>
        </w:tc>
      </w:tr>
      <w:tr w:rsidR="00643D10" w:rsidRPr="00D9348B" w14:paraId="6A476FA5" w14:textId="77777777" w:rsidTr="00217967">
        <w:tc>
          <w:tcPr>
            <w:tcW w:w="1031" w:type="dxa"/>
            <w:vAlign w:val="bottom"/>
          </w:tcPr>
          <w:p w14:paraId="01F7269E" w14:textId="77777777" w:rsidR="00643D10" w:rsidRPr="00D9348B" w:rsidRDefault="00643D10" w:rsidP="00DB330E">
            <w:pPr>
              <w:pStyle w:val="TableText"/>
              <w:spacing w:before="40" w:after="40"/>
              <w:rPr>
                <w:rFonts w:cs="Arial"/>
                <w:szCs w:val="16"/>
              </w:rPr>
            </w:pPr>
            <w:r w:rsidRPr="00D9348B">
              <w:rPr>
                <w:rFonts w:cs="Arial"/>
                <w:bCs/>
                <w:color w:val="000000"/>
                <w:szCs w:val="16"/>
              </w:rPr>
              <w:t>3.A.1</w:t>
            </w:r>
          </w:p>
        </w:tc>
        <w:tc>
          <w:tcPr>
            <w:tcW w:w="4187" w:type="dxa"/>
            <w:shd w:val="clear" w:color="auto" w:fill="auto"/>
            <w:vAlign w:val="bottom"/>
          </w:tcPr>
          <w:p w14:paraId="019122BD" w14:textId="77777777" w:rsidR="00643D10" w:rsidRPr="00D9348B" w:rsidRDefault="00643D10" w:rsidP="00DB330E">
            <w:pPr>
              <w:pStyle w:val="TableText"/>
              <w:spacing w:before="40" w:after="40"/>
              <w:rPr>
                <w:rFonts w:cs="Arial"/>
                <w:szCs w:val="16"/>
              </w:rPr>
            </w:pPr>
            <w:r w:rsidRPr="00D9348B">
              <w:rPr>
                <w:rFonts w:cs="Arial"/>
                <w:bCs/>
                <w:color w:val="000000"/>
                <w:szCs w:val="16"/>
              </w:rPr>
              <w:t>Option A – Non-dairy Cattle</w:t>
            </w:r>
          </w:p>
        </w:tc>
        <w:tc>
          <w:tcPr>
            <w:tcW w:w="611" w:type="dxa"/>
            <w:shd w:val="clear" w:color="auto" w:fill="auto"/>
            <w:vAlign w:val="bottom"/>
          </w:tcPr>
          <w:p w14:paraId="37EE6E00"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CH</w:t>
            </w:r>
            <w:r w:rsidRPr="00D9348B">
              <w:rPr>
                <w:rFonts w:cs="Arial"/>
                <w:color w:val="000000"/>
                <w:szCs w:val="16"/>
                <w:vertAlign w:val="subscript"/>
              </w:rPr>
              <w:t>4</w:t>
            </w:r>
          </w:p>
        </w:tc>
        <w:tc>
          <w:tcPr>
            <w:tcW w:w="911" w:type="dxa"/>
            <w:shd w:val="clear" w:color="auto" w:fill="auto"/>
            <w:noWrap/>
            <w:vAlign w:val="bottom"/>
          </w:tcPr>
          <w:p w14:paraId="50FECF75"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5,402.2</w:t>
            </w:r>
          </w:p>
        </w:tc>
        <w:tc>
          <w:tcPr>
            <w:tcW w:w="911" w:type="dxa"/>
            <w:shd w:val="clear" w:color="auto" w:fill="auto"/>
            <w:noWrap/>
            <w:vAlign w:val="bottom"/>
          </w:tcPr>
          <w:p w14:paraId="5A69A3F4"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6.9</w:t>
            </w:r>
          </w:p>
        </w:tc>
        <w:tc>
          <w:tcPr>
            <w:tcW w:w="911" w:type="dxa"/>
            <w:shd w:val="clear" w:color="auto" w:fill="auto"/>
            <w:noWrap/>
            <w:vAlign w:val="bottom"/>
          </w:tcPr>
          <w:p w14:paraId="21C3A96D"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53.7</w:t>
            </w:r>
          </w:p>
        </w:tc>
      </w:tr>
      <w:tr w:rsidR="00643D10" w:rsidRPr="00D9348B" w14:paraId="598D4159" w14:textId="77777777" w:rsidTr="00217967">
        <w:tc>
          <w:tcPr>
            <w:tcW w:w="1031" w:type="dxa"/>
            <w:vAlign w:val="bottom"/>
          </w:tcPr>
          <w:p w14:paraId="5192FDDC" w14:textId="77777777" w:rsidR="00643D10" w:rsidRPr="00D9348B" w:rsidRDefault="00643D10" w:rsidP="00DB330E">
            <w:pPr>
              <w:pStyle w:val="TableText"/>
              <w:spacing w:before="40" w:after="40"/>
              <w:rPr>
                <w:rFonts w:cs="Arial"/>
                <w:szCs w:val="16"/>
              </w:rPr>
            </w:pPr>
            <w:r w:rsidRPr="00D9348B">
              <w:rPr>
                <w:rFonts w:cs="Arial"/>
                <w:bCs/>
                <w:color w:val="000000"/>
                <w:szCs w:val="16"/>
              </w:rPr>
              <w:t>3.D.1.3</w:t>
            </w:r>
          </w:p>
        </w:tc>
        <w:tc>
          <w:tcPr>
            <w:tcW w:w="4187" w:type="dxa"/>
            <w:shd w:val="clear" w:color="auto" w:fill="auto"/>
            <w:vAlign w:val="bottom"/>
          </w:tcPr>
          <w:p w14:paraId="0F21B080" w14:textId="77777777" w:rsidR="00643D10" w:rsidRPr="00D9348B" w:rsidRDefault="00643D10" w:rsidP="00DB330E">
            <w:pPr>
              <w:pStyle w:val="TableText"/>
              <w:spacing w:before="40" w:after="40"/>
              <w:rPr>
                <w:rFonts w:cs="Arial"/>
                <w:szCs w:val="16"/>
              </w:rPr>
            </w:pPr>
            <w:r w:rsidRPr="00D9348B">
              <w:rPr>
                <w:rFonts w:cs="Arial"/>
                <w:bCs/>
                <w:color w:val="000000"/>
                <w:szCs w:val="16"/>
              </w:rPr>
              <w:t>Direct N</w:t>
            </w:r>
            <w:r w:rsidRPr="00D9348B">
              <w:rPr>
                <w:rFonts w:cs="Arial"/>
                <w:bCs/>
                <w:color w:val="000000"/>
                <w:szCs w:val="16"/>
                <w:vertAlign w:val="subscript"/>
              </w:rPr>
              <w:t>2</w:t>
            </w:r>
            <w:r w:rsidRPr="00D9348B">
              <w:rPr>
                <w:rFonts w:cs="Arial"/>
                <w:bCs/>
                <w:color w:val="000000"/>
                <w:szCs w:val="16"/>
              </w:rPr>
              <w:t>O Emissions From Managed Soils – Urine and Dung Deposited by Grazing Animals</w:t>
            </w:r>
          </w:p>
        </w:tc>
        <w:tc>
          <w:tcPr>
            <w:tcW w:w="611" w:type="dxa"/>
            <w:shd w:val="clear" w:color="auto" w:fill="auto"/>
            <w:vAlign w:val="bottom"/>
          </w:tcPr>
          <w:p w14:paraId="1A7CCE3B"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N</w:t>
            </w:r>
            <w:r w:rsidRPr="00D9348B">
              <w:rPr>
                <w:rFonts w:cs="Arial"/>
                <w:color w:val="000000"/>
                <w:szCs w:val="16"/>
                <w:vertAlign w:val="subscript"/>
              </w:rPr>
              <w:t>2</w:t>
            </w:r>
            <w:r w:rsidRPr="00D9348B">
              <w:rPr>
                <w:rFonts w:cs="Arial"/>
                <w:color w:val="000000"/>
                <w:szCs w:val="16"/>
              </w:rPr>
              <w:t>O</w:t>
            </w:r>
          </w:p>
        </w:tc>
        <w:tc>
          <w:tcPr>
            <w:tcW w:w="911" w:type="dxa"/>
            <w:shd w:val="clear" w:color="auto" w:fill="auto"/>
            <w:noWrap/>
            <w:vAlign w:val="bottom"/>
          </w:tcPr>
          <w:p w14:paraId="41007BF5"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3,824.2</w:t>
            </w:r>
          </w:p>
        </w:tc>
        <w:tc>
          <w:tcPr>
            <w:tcW w:w="911" w:type="dxa"/>
            <w:shd w:val="clear" w:color="auto" w:fill="auto"/>
            <w:noWrap/>
            <w:vAlign w:val="bottom"/>
          </w:tcPr>
          <w:p w14:paraId="4AA04DA1"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4.8</w:t>
            </w:r>
          </w:p>
        </w:tc>
        <w:tc>
          <w:tcPr>
            <w:tcW w:w="911" w:type="dxa"/>
            <w:shd w:val="clear" w:color="auto" w:fill="auto"/>
            <w:noWrap/>
            <w:vAlign w:val="bottom"/>
          </w:tcPr>
          <w:p w14:paraId="02CEFB59"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58.6</w:t>
            </w:r>
          </w:p>
        </w:tc>
      </w:tr>
      <w:tr w:rsidR="00643D10" w:rsidRPr="00D9348B" w14:paraId="06BDAEFF" w14:textId="77777777" w:rsidTr="00217967">
        <w:tc>
          <w:tcPr>
            <w:tcW w:w="1031" w:type="dxa"/>
            <w:vAlign w:val="bottom"/>
          </w:tcPr>
          <w:p w14:paraId="1B10E022" w14:textId="77777777" w:rsidR="00643D10" w:rsidRPr="00D9348B" w:rsidRDefault="00643D10" w:rsidP="00DB330E">
            <w:pPr>
              <w:pStyle w:val="TableText"/>
              <w:keepNext/>
              <w:spacing w:before="40" w:after="40"/>
              <w:rPr>
                <w:rFonts w:cs="Arial"/>
                <w:szCs w:val="16"/>
              </w:rPr>
            </w:pPr>
            <w:r w:rsidRPr="00D9348B">
              <w:rPr>
                <w:rFonts w:cs="Arial"/>
                <w:bCs/>
                <w:color w:val="000000"/>
                <w:szCs w:val="16"/>
              </w:rPr>
              <w:t>5.A</w:t>
            </w:r>
          </w:p>
        </w:tc>
        <w:tc>
          <w:tcPr>
            <w:tcW w:w="4187" w:type="dxa"/>
            <w:shd w:val="clear" w:color="auto" w:fill="auto"/>
            <w:vAlign w:val="bottom"/>
          </w:tcPr>
          <w:p w14:paraId="717338F0" w14:textId="77777777" w:rsidR="00643D10" w:rsidRPr="00D9348B" w:rsidRDefault="00643D10" w:rsidP="00DB330E">
            <w:pPr>
              <w:pStyle w:val="TableText"/>
              <w:spacing w:before="40" w:after="40"/>
              <w:rPr>
                <w:rFonts w:cs="Arial"/>
                <w:szCs w:val="16"/>
              </w:rPr>
            </w:pPr>
            <w:r w:rsidRPr="00D9348B">
              <w:rPr>
                <w:rFonts w:cs="Arial"/>
                <w:bCs/>
                <w:color w:val="000000"/>
                <w:szCs w:val="16"/>
              </w:rPr>
              <w:t>Waste – Solid Waste Disposal</w:t>
            </w:r>
          </w:p>
        </w:tc>
        <w:tc>
          <w:tcPr>
            <w:tcW w:w="611" w:type="dxa"/>
            <w:shd w:val="clear" w:color="auto" w:fill="auto"/>
            <w:vAlign w:val="bottom"/>
          </w:tcPr>
          <w:p w14:paraId="6C5C3F0E"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CH</w:t>
            </w:r>
            <w:r w:rsidRPr="00D9348B">
              <w:rPr>
                <w:rFonts w:cs="Arial"/>
                <w:color w:val="000000"/>
                <w:szCs w:val="16"/>
                <w:vertAlign w:val="subscript"/>
              </w:rPr>
              <w:t>4</w:t>
            </w:r>
          </w:p>
        </w:tc>
        <w:tc>
          <w:tcPr>
            <w:tcW w:w="911" w:type="dxa"/>
            <w:shd w:val="clear" w:color="auto" w:fill="auto"/>
            <w:noWrap/>
            <w:vAlign w:val="bottom"/>
          </w:tcPr>
          <w:p w14:paraId="29EBDD45"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3,651.8</w:t>
            </w:r>
          </w:p>
        </w:tc>
        <w:tc>
          <w:tcPr>
            <w:tcW w:w="911" w:type="dxa"/>
            <w:shd w:val="clear" w:color="auto" w:fill="auto"/>
            <w:noWrap/>
            <w:vAlign w:val="bottom"/>
          </w:tcPr>
          <w:p w14:paraId="58946A2B"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4.6</w:t>
            </w:r>
          </w:p>
        </w:tc>
        <w:tc>
          <w:tcPr>
            <w:tcW w:w="911" w:type="dxa"/>
            <w:shd w:val="clear" w:color="auto" w:fill="auto"/>
            <w:noWrap/>
            <w:vAlign w:val="bottom"/>
          </w:tcPr>
          <w:p w14:paraId="50B9E61C"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63.2</w:t>
            </w:r>
          </w:p>
        </w:tc>
      </w:tr>
      <w:tr w:rsidR="00643D10" w:rsidRPr="00D9348B" w14:paraId="7FA9DF31" w14:textId="77777777" w:rsidTr="00217967">
        <w:tc>
          <w:tcPr>
            <w:tcW w:w="1031" w:type="dxa"/>
            <w:vAlign w:val="bottom"/>
          </w:tcPr>
          <w:p w14:paraId="35EF128D" w14:textId="77777777" w:rsidR="00643D10" w:rsidRPr="00D9348B" w:rsidRDefault="00643D10" w:rsidP="00DB330E">
            <w:pPr>
              <w:pStyle w:val="TableText"/>
              <w:spacing w:before="40" w:after="40"/>
              <w:rPr>
                <w:rFonts w:cs="Arial"/>
                <w:szCs w:val="16"/>
              </w:rPr>
            </w:pPr>
            <w:r w:rsidRPr="00D9348B">
              <w:rPr>
                <w:rFonts w:cs="Arial"/>
                <w:bCs/>
                <w:color w:val="000000"/>
                <w:szCs w:val="16"/>
              </w:rPr>
              <w:t>1.A.1.a</w:t>
            </w:r>
          </w:p>
        </w:tc>
        <w:tc>
          <w:tcPr>
            <w:tcW w:w="4187" w:type="dxa"/>
            <w:shd w:val="clear" w:color="auto" w:fill="auto"/>
            <w:vAlign w:val="bottom"/>
          </w:tcPr>
          <w:p w14:paraId="2FA7819E" w14:textId="77777777" w:rsidR="00643D10" w:rsidRPr="00D9348B" w:rsidRDefault="00643D10" w:rsidP="00DB330E">
            <w:pPr>
              <w:pStyle w:val="TableText"/>
              <w:spacing w:before="40" w:after="40"/>
              <w:rPr>
                <w:rFonts w:cs="Arial"/>
                <w:szCs w:val="16"/>
              </w:rPr>
            </w:pPr>
            <w:r w:rsidRPr="00D9348B">
              <w:rPr>
                <w:rFonts w:cs="Arial"/>
                <w:bCs/>
                <w:color w:val="000000"/>
                <w:szCs w:val="16"/>
              </w:rPr>
              <w:t>Energy Industries – Public Electricity and Heat Production Gaseous Fuels</w:t>
            </w:r>
          </w:p>
        </w:tc>
        <w:tc>
          <w:tcPr>
            <w:tcW w:w="611" w:type="dxa"/>
            <w:shd w:val="clear" w:color="auto" w:fill="auto"/>
            <w:vAlign w:val="bottom"/>
          </w:tcPr>
          <w:p w14:paraId="48244E6F"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911" w:type="dxa"/>
            <w:shd w:val="clear" w:color="auto" w:fill="auto"/>
            <w:noWrap/>
            <w:vAlign w:val="bottom"/>
          </w:tcPr>
          <w:p w14:paraId="33E1CF78"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2,366.6</w:t>
            </w:r>
          </w:p>
        </w:tc>
        <w:tc>
          <w:tcPr>
            <w:tcW w:w="911" w:type="dxa"/>
            <w:shd w:val="clear" w:color="auto" w:fill="auto"/>
            <w:noWrap/>
            <w:vAlign w:val="bottom"/>
          </w:tcPr>
          <w:p w14:paraId="78E0EB95"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3.0</w:t>
            </w:r>
          </w:p>
        </w:tc>
        <w:tc>
          <w:tcPr>
            <w:tcW w:w="911" w:type="dxa"/>
            <w:shd w:val="clear" w:color="auto" w:fill="auto"/>
            <w:noWrap/>
            <w:vAlign w:val="bottom"/>
          </w:tcPr>
          <w:p w14:paraId="67BAADC9"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66.2</w:t>
            </w:r>
          </w:p>
        </w:tc>
      </w:tr>
      <w:tr w:rsidR="00643D10" w:rsidRPr="00D9348B" w14:paraId="1C20252C" w14:textId="77777777" w:rsidTr="00217967">
        <w:tc>
          <w:tcPr>
            <w:tcW w:w="1031" w:type="dxa"/>
            <w:vAlign w:val="bottom"/>
          </w:tcPr>
          <w:p w14:paraId="32E45F93" w14:textId="77777777" w:rsidR="00643D10" w:rsidRPr="00D9348B" w:rsidRDefault="00643D10" w:rsidP="00DB330E">
            <w:pPr>
              <w:pStyle w:val="TableText"/>
              <w:spacing w:before="40" w:after="40"/>
              <w:rPr>
                <w:rFonts w:cs="Arial"/>
                <w:szCs w:val="16"/>
              </w:rPr>
            </w:pPr>
            <w:r w:rsidRPr="00D9348B">
              <w:rPr>
                <w:rFonts w:cs="Arial"/>
                <w:bCs/>
                <w:color w:val="000000"/>
                <w:szCs w:val="16"/>
              </w:rPr>
              <w:t>2.F.1</w:t>
            </w:r>
          </w:p>
        </w:tc>
        <w:tc>
          <w:tcPr>
            <w:tcW w:w="4187" w:type="dxa"/>
            <w:shd w:val="clear" w:color="auto" w:fill="auto"/>
            <w:vAlign w:val="bottom"/>
          </w:tcPr>
          <w:p w14:paraId="7E335F25" w14:textId="77777777" w:rsidR="00643D10" w:rsidRPr="00D9348B" w:rsidRDefault="00643D10" w:rsidP="00DB330E">
            <w:pPr>
              <w:pStyle w:val="TableText"/>
              <w:spacing w:before="40" w:after="40"/>
              <w:rPr>
                <w:rFonts w:cs="Arial"/>
                <w:szCs w:val="16"/>
              </w:rPr>
            </w:pPr>
            <w:r w:rsidRPr="00D9348B">
              <w:rPr>
                <w:rFonts w:cs="Arial"/>
                <w:bCs/>
                <w:color w:val="000000"/>
                <w:szCs w:val="16"/>
              </w:rPr>
              <w:t>Product Uses as Substitutes for ODS – Refrigeration and Air Conditioning</w:t>
            </w:r>
          </w:p>
        </w:tc>
        <w:tc>
          <w:tcPr>
            <w:tcW w:w="611" w:type="dxa"/>
            <w:shd w:val="clear" w:color="auto" w:fill="auto"/>
            <w:vAlign w:val="bottom"/>
          </w:tcPr>
          <w:p w14:paraId="13D5F8FE" w14:textId="77777777" w:rsidR="00643D10" w:rsidRPr="00D9348B" w:rsidRDefault="00643D10" w:rsidP="00DB330E">
            <w:pPr>
              <w:pStyle w:val="TableText"/>
              <w:spacing w:before="40" w:after="40"/>
              <w:jc w:val="center"/>
              <w:rPr>
                <w:rFonts w:cs="Arial"/>
                <w:szCs w:val="16"/>
              </w:rPr>
            </w:pPr>
            <w:r w:rsidRPr="00D9348B">
              <w:rPr>
                <w:rFonts w:cs="Arial"/>
                <w:bCs/>
                <w:color w:val="000000"/>
                <w:szCs w:val="16"/>
              </w:rPr>
              <w:t>HFCs</w:t>
            </w:r>
          </w:p>
        </w:tc>
        <w:tc>
          <w:tcPr>
            <w:tcW w:w="911" w:type="dxa"/>
            <w:shd w:val="clear" w:color="auto" w:fill="auto"/>
            <w:noWrap/>
            <w:vAlign w:val="bottom"/>
          </w:tcPr>
          <w:p w14:paraId="12BDE724"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1,711.9</w:t>
            </w:r>
          </w:p>
        </w:tc>
        <w:tc>
          <w:tcPr>
            <w:tcW w:w="911" w:type="dxa"/>
            <w:shd w:val="clear" w:color="auto" w:fill="auto"/>
            <w:noWrap/>
            <w:vAlign w:val="bottom"/>
          </w:tcPr>
          <w:p w14:paraId="1A5912C4"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2.2</w:t>
            </w:r>
          </w:p>
        </w:tc>
        <w:tc>
          <w:tcPr>
            <w:tcW w:w="911" w:type="dxa"/>
            <w:shd w:val="clear" w:color="auto" w:fill="auto"/>
            <w:noWrap/>
            <w:vAlign w:val="bottom"/>
          </w:tcPr>
          <w:p w14:paraId="6631B601"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68.4</w:t>
            </w:r>
          </w:p>
        </w:tc>
      </w:tr>
      <w:tr w:rsidR="00643D10" w:rsidRPr="00D9348B" w14:paraId="4808FDD1" w14:textId="77777777" w:rsidTr="00217967">
        <w:tc>
          <w:tcPr>
            <w:tcW w:w="1031" w:type="dxa"/>
            <w:vAlign w:val="bottom"/>
          </w:tcPr>
          <w:p w14:paraId="183ED68A" w14:textId="77777777" w:rsidR="00643D10" w:rsidRPr="00D9348B" w:rsidRDefault="00643D10" w:rsidP="00DB330E">
            <w:pPr>
              <w:pStyle w:val="TableText"/>
              <w:spacing w:before="40" w:after="40"/>
              <w:rPr>
                <w:rFonts w:cs="Arial"/>
                <w:szCs w:val="16"/>
              </w:rPr>
            </w:pPr>
            <w:r w:rsidRPr="00D9348B">
              <w:rPr>
                <w:rFonts w:cs="Arial"/>
                <w:bCs/>
                <w:color w:val="000000"/>
                <w:szCs w:val="16"/>
              </w:rPr>
              <w:t>2.C.1</w:t>
            </w:r>
          </w:p>
        </w:tc>
        <w:tc>
          <w:tcPr>
            <w:tcW w:w="4187" w:type="dxa"/>
            <w:shd w:val="clear" w:color="auto" w:fill="auto"/>
            <w:vAlign w:val="bottom"/>
          </w:tcPr>
          <w:p w14:paraId="3DB91F89" w14:textId="77777777" w:rsidR="00643D10" w:rsidRPr="00D9348B" w:rsidRDefault="00643D10" w:rsidP="00DB330E">
            <w:pPr>
              <w:pStyle w:val="TableText"/>
              <w:spacing w:before="40" w:after="40"/>
              <w:rPr>
                <w:rFonts w:cs="Arial"/>
                <w:szCs w:val="16"/>
              </w:rPr>
            </w:pPr>
            <w:r w:rsidRPr="00D9348B">
              <w:rPr>
                <w:rFonts w:cs="Arial"/>
                <w:bCs/>
                <w:color w:val="000000"/>
                <w:szCs w:val="16"/>
              </w:rPr>
              <w:t>Metal Industry – Iron and Steel Production</w:t>
            </w:r>
          </w:p>
        </w:tc>
        <w:tc>
          <w:tcPr>
            <w:tcW w:w="611" w:type="dxa"/>
            <w:shd w:val="clear" w:color="auto" w:fill="auto"/>
            <w:vAlign w:val="bottom"/>
          </w:tcPr>
          <w:p w14:paraId="01FB957A"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911" w:type="dxa"/>
            <w:shd w:val="clear" w:color="auto" w:fill="auto"/>
            <w:noWrap/>
            <w:vAlign w:val="bottom"/>
          </w:tcPr>
          <w:p w14:paraId="2BA22078"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1,694.4</w:t>
            </w:r>
          </w:p>
        </w:tc>
        <w:tc>
          <w:tcPr>
            <w:tcW w:w="911" w:type="dxa"/>
            <w:shd w:val="clear" w:color="auto" w:fill="auto"/>
            <w:noWrap/>
            <w:vAlign w:val="bottom"/>
          </w:tcPr>
          <w:p w14:paraId="05C46973"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2.1</w:t>
            </w:r>
          </w:p>
        </w:tc>
        <w:tc>
          <w:tcPr>
            <w:tcW w:w="911" w:type="dxa"/>
            <w:shd w:val="clear" w:color="auto" w:fill="auto"/>
            <w:noWrap/>
            <w:vAlign w:val="bottom"/>
          </w:tcPr>
          <w:p w14:paraId="5B0E20B1"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70.5</w:t>
            </w:r>
          </w:p>
        </w:tc>
      </w:tr>
      <w:tr w:rsidR="00643D10" w:rsidRPr="00D9348B" w14:paraId="4C1EABF2" w14:textId="77777777" w:rsidTr="00217967">
        <w:tc>
          <w:tcPr>
            <w:tcW w:w="1031" w:type="dxa"/>
            <w:vAlign w:val="bottom"/>
          </w:tcPr>
          <w:p w14:paraId="1BFE1AC3" w14:textId="77777777" w:rsidR="00643D10" w:rsidRPr="00D9348B" w:rsidRDefault="00643D10" w:rsidP="00DB330E">
            <w:pPr>
              <w:pStyle w:val="TableText"/>
              <w:spacing w:before="40" w:after="40"/>
              <w:rPr>
                <w:rFonts w:cs="Arial"/>
                <w:szCs w:val="16"/>
              </w:rPr>
            </w:pPr>
            <w:r w:rsidRPr="00D9348B">
              <w:rPr>
                <w:rFonts w:cs="Arial"/>
                <w:bCs/>
                <w:color w:val="000000"/>
                <w:szCs w:val="16"/>
              </w:rPr>
              <w:t>1.A.2.e</w:t>
            </w:r>
          </w:p>
        </w:tc>
        <w:tc>
          <w:tcPr>
            <w:tcW w:w="4187" w:type="dxa"/>
            <w:shd w:val="clear" w:color="auto" w:fill="auto"/>
            <w:vAlign w:val="bottom"/>
          </w:tcPr>
          <w:p w14:paraId="7E556A87" w14:textId="77777777" w:rsidR="00643D10" w:rsidRPr="00D9348B" w:rsidRDefault="00643D10" w:rsidP="00DB330E">
            <w:pPr>
              <w:pStyle w:val="TableText"/>
              <w:spacing w:before="40" w:after="40"/>
              <w:rPr>
                <w:rFonts w:cs="Arial"/>
                <w:szCs w:val="16"/>
              </w:rPr>
            </w:pPr>
            <w:r w:rsidRPr="00D9348B">
              <w:rPr>
                <w:rFonts w:cs="Arial"/>
                <w:bCs/>
                <w:color w:val="000000"/>
                <w:szCs w:val="16"/>
              </w:rPr>
              <w:t>Manufacturing Industries and Construction – Food Processing, Beverages and Tobacco Solid Fuels</w:t>
            </w:r>
          </w:p>
        </w:tc>
        <w:tc>
          <w:tcPr>
            <w:tcW w:w="611" w:type="dxa"/>
            <w:shd w:val="clear" w:color="auto" w:fill="auto"/>
            <w:vAlign w:val="bottom"/>
          </w:tcPr>
          <w:p w14:paraId="2DE4A605"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911" w:type="dxa"/>
            <w:shd w:val="clear" w:color="auto" w:fill="auto"/>
            <w:noWrap/>
            <w:vAlign w:val="bottom"/>
          </w:tcPr>
          <w:p w14:paraId="37C1D3BA"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1,626.7</w:t>
            </w:r>
          </w:p>
        </w:tc>
        <w:tc>
          <w:tcPr>
            <w:tcW w:w="911" w:type="dxa"/>
            <w:shd w:val="clear" w:color="auto" w:fill="auto"/>
            <w:noWrap/>
            <w:vAlign w:val="bottom"/>
          </w:tcPr>
          <w:p w14:paraId="21E44C1B"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2.1</w:t>
            </w:r>
          </w:p>
        </w:tc>
        <w:tc>
          <w:tcPr>
            <w:tcW w:w="911" w:type="dxa"/>
            <w:shd w:val="clear" w:color="auto" w:fill="auto"/>
            <w:noWrap/>
            <w:vAlign w:val="bottom"/>
          </w:tcPr>
          <w:p w14:paraId="4E4870DD"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72.6</w:t>
            </w:r>
          </w:p>
        </w:tc>
      </w:tr>
      <w:tr w:rsidR="00643D10" w:rsidRPr="00D9348B" w14:paraId="342E7041" w14:textId="77777777" w:rsidTr="00217967">
        <w:tc>
          <w:tcPr>
            <w:tcW w:w="1031" w:type="dxa"/>
            <w:vAlign w:val="bottom"/>
          </w:tcPr>
          <w:p w14:paraId="4FB73EB3" w14:textId="77777777" w:rsidR="00643D10" w:rsidRPr="00D9348B" w:rsidRDefault="00643D10" w:rsidP="00DB330E">
            <w:pPr>
              <w:pStyle w:val="TableText"/>
              <w:spacing w:before="40" w:after="40"/>
              <w:rPr>
                <w:rFonts w:cs="Arial"/>
                <w:szCs w:val="16"/>
              </w:rPr>
            </w:pPr>
            <w:r w:rsidRPr="00D9348B">
              <w:rPr>
                <w:rFonts w:cs="Arial"/>
                <w:bCs/>
                <w:color w:val="000000"/>
                <w:szCs w:val="16"/>
              </w:rPr>
              <w:t>3.D.1.1</w:t>
            </w:r>
          </w:p>
        </w:tc>
        <w:tc>
          <w:tcPr>
            <w:tcW w:w="4187" w:type="dxa"/>
            <w:shd w:val="clear" w:color="auto" w:fill="auto"/>
            <w:vAlign w:val="bottom"/>
          </w:tcPr>
          <w:p w14:paraId="43ED466C" w14:textId="77777777" w:rsidR="00643D10" w:rsidRPr="00D9348B" w:rsidRDefault="00643D10" w:rsidP="00DB330E">
            <w:pPr>
              <w:pStyle w:val="TableText"/>
              <w:spacing w:before="40" w:after="40"/>
              <w:rPr>
                <w:rFonts w:cs="Arial"/>
                <w:szCs w:val="16"/>
              </w:rPr>
            </w:pPr>
            <w:r w:rsidRPr="00D9348B">
              <w:rPr>
                <w:rFonts w:cs="Arial"/>
                <w:bCs/>
                <w:color w:val="000000"/>
                <w:szCs w:val="16"/>
              </w:rPr>
              <w:t>Direct N</w:t>
            </w:r>
            <w:r w:rsidRPr="00D9348B">
              <w:rPr>
                <w:rFonts w:cs="Arial"/>
                <w:bCs/>
                <w:color w:val="000000"/>
                <w:szCs w:val="16"/>
                <w:vertAlign w:val="subscript"/>
              </w:rPr>
              <w:t>2</w:t>
            </w:r>
            <w:r w:rsidRPr="00D9348B">
              <w:rPr>
                <w:rFonts w:cs="Arial"/>
                <w:bCs/>
                <w:color w:val="000000"/>
                <w:szCs w:val="16"/>
              </w:rPr>
              <w:t>O Emissions From Managed Soils – Inorganic N Fertilizers</w:t>
            </w:r>
          </w:p>
        </w:tc>
        <w:tc>
          <w:tcPr>
            <w:tcW w:w="611" w:type="dxa"/>
            <w:shd w:val="clear" w:color="auto" w:fill="auto"/>
            <w:vAlign w:val="bottom"/>
          </w:tcPr>
          <w:p w14:paraId="00B37E92"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N</w:t>
            </w:r>
            <w:r w:rsidRPr="00D9348B">
              <w:rPr>
                <w:rFonts w:cs="Arial"/>
                <w:color w:val="000000"/>
                <w:szCs w:val="16"/>
                <w:vertAlign w:val="subscript"/>
              </w:rPr>
              <w:t>2</w:t>
            </w:r>
            <w:r w:rsidRPr="00D9348B">
              <w:rPr>
                <w:rFonts w:cs="Arial"/>
                <w:color w:val="000000"/>
                <w:szCs w:val="16"/>
              </w:rPr>
              <w:t>O</w:t>
            </w:r>
          </w:p>
        </w:tc>
        <w:tc>
          <w:tcPr>
            <w:tcW w:w="911" w:type="dxa"/>
            <w:shd w:val="clear" w:color="auto" w:fill="auto"/>
            <w:noWrap/>
            <w:vAlign w:val="bottom"/>
          </w:tcPr>
          <w:p w14:paraId="010B58A5"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1,411.3</w:t>
            </w:r>
          </w:p>
        </w:tc>
        <w:tc>
          <w:tcPr>
            <w:tcW w:w="911" w:type="dxa"/>
            <w:shd w:val="clear" w:color="auto" w:fill="auto"/>
            <w:noWrap/>
            <w:vAlign w:val="bottom"/>
          </w:tcPr>
          <w:p w14:paraId="2B546EDC"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1.8</w:t>
            </w:r>
          </w:p>
        </w:tc>
        <w:tc>
          <w:tcPr>
            <w:tcW w:w="911" w:type="dxa"/>
            <w:shd w:val="clear" w:color="auto" w:fill="auto"/>
            <w:noWrap/>
            <w:vAlign w:val="bottom"/>
          </w:tcPr>
          <w:p w14:paraId="612DC6BF"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74.4</w:t>
            </w:r>
          </w:p>
        </w:tc>
      </w:tr>
      <w:tr w:rsidR="00643D10" w:rsidRPr="00D9348B" w14:paraId="151DBB79" w14:textId="77777777" w:rsidTr="00217967">
        <w:tc>
          <w:tcPr>
            <w:tcW w:w="1031" w:type="dxa"/>
            <w:vAlign w:val="bottom"/>
          </w:tcPr>
          <w:p w14:paraId="74954E1E" w14:textId="77777777" w:rsidR="00643D10" w:rsidRPr="00D9348B" w:rsidRDefault="00643D10" w:rsidP="00DB330E">
            <w:pPr>
              <w:pStyle w:val="TableText"/>
              <w:spacing w:before="40" w:after="40"/>
              <w:rPr>
                <w:rFonts w:cs="Arial"/>
                <w:szCs w:val="16"/>
              </w:rPr>
            </w:pPr>
            <w:r w:rsidRPr="00D9348B">
              <w:rPr>
                <w:rFonts w:cs="Arial"/>
                <w:bCs/>
                <w:color w:val="000000"/>
                <w:szCs w:val="16"/>
              </w:rPr>
              <w:t>3.B.1.1</w:t>
            </w:r>
          </w:p>
        </w:tc>
        <w:tc>
          <w:tcPr>
            <w:tcW w:w="4187" w:type="dxa"/>
            <w:shd w:val="clear" w:color="auto" w:fill="auto"/>
            <w:vAlign w:val="bottom"/>
          </w:tcPr>
          <w:p w14:paraId="1EE2D34E" w14:textId="77777777" w:rsidR="00643D10" w:rsidRPr="00D9348B" w:rsidRDefault="00643D10" w:rsidP="00DB330E">
            <w:pPr>
              <w:pStyle w:val="TableText"/>
              <w:spacing w:before="40" w:after="40"/>
              <w:rPr>
                <w:rFonts w:cs="Arial"/>
                <w:szCs w:val="16"/>
              </w:rPr>
            </w:pPr>
            <w:r w:rsidRPr="00D9348B">
              <w:rPr>
                <w:rFonts w:cs="Arial"/>
                <w:bCs/>
                <w:color w:val="000000"/>
                <w:szCs w:val="16"/>
              </w:rPr>
              <w:t>Option A – Dairy Cattle</w:t>
            </w:r>
          </w:p>
        </w:tc>
        <w:tc>
          <w:tcPr>
            <w:tcW w:w="611" w:type="dxa"/>
            <w:shd w:val="clear" w:color="auto" w:fill="auto"/>
            <w:vAlign w:val="bottom"/>
          </w:tcPr>
          <w:p w14:paraId="7ED11B4B"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CH</w:t>
            </w:r>
            <w:r w:rsidRPr="00D9348B">
              <w:rPr>
                <w:rFonts w:cs="Arial"/>
                <w:color w:val="000000"/>
                <w:szCs w:val="16"/>
                <w:vertAlign w:val="subscript"/>
              </w:rPr>
              <w:t>4</w:t>
            </w:r>
          </w:p>
        </w:tc>
        <w:tc>
          <w:tcPr>
            <w:tcW w:w="911" w:type="dxa"/>
            <w:shd w:val="clear" w:color="auto" w:fill="auto"/>
            <w:noWrap/>
            <w:vAlign w:val="bottom"/>
          </w:tcPr>
          <w:p w14:paraId="371102C9"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1,263.2</w:t>
            </w:r>
          </w:p>
        </w:tc>
        <w:tc>
          <w:tcPr>
            <w:tcW w:w="911" w:type="dxa"/>
            <w:shd w:val="clear" w:color="auto" w:fill="auto"/>
            <w:noWrap/>
            <w:vAlign w:val="bottom"/>
          </w:tcPr>
          <w:p w14:paraId="22A49A49"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1.6</w:t>
            </w:r>
          </w:p>
        </w:tc>
        <w:tc>
          <w:tcPr>
            <w:tcW w:w="911" w:type="dxa"/>
            <w:shd w:val="clear" w:color="auto" w:fill="auto"/>
            <w:noWrap/>
            <w:vAlign w:val="bottom"/>
          </w:tcPr>
          <w:p w14:paraId="1FBF9E04"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76.0</w:t>
            </w:r>
          </w:p>
        </w:tc>
      </w:tr>
      <w:tr w:rsidR="00643D10" w:rsidRPr="00D9348B" w14:paraId="41924E2A" w14:textId="77777777" w:rsidTr="00217967">
        <w:tc>
          <w:tcPr>
            <w:tcW w:w="1031" w:type="dxa"/>
            <w:vAlign w:val="bottom"/>
          </w:tcPr>
          <w:p w14:paraId="30ADD764" w14:textId="77777777" w:rsidR="00643D10" w:rsidRPr="00D9348B" w:rsidRDefault="00643D10" w:rsidP="00DB330E">
            <w:pPr>
              <w:pStyle w:val="TableText"/>
              <w:spacing w:before="40" w:after="40"/>
              <w:rPr>
                <w:rFonts w:cs="Arial"/>
                <w:szCs w:val="16"/>
              </w:rPr>
            </w:pPr>
            <w:r w:rsidRPr="00D9348B">
              <w:rPr>
                <w:rFonts w:cs="Arial"/>
                <w:bCs/>
                <w:color w:val="000000"/>
                <w:szCs w:val="16"/>
              </w:rPr>
              <w:t>1.A.2.c</w:t>
            </w:r>
          </w:p>
        </w:tc>
        <w:tc>
          <w:tcPr>
            <w:tcW w:w="4187" w:type="dxa"/>
            <w:shd w:val="clear" w:color="auto" w:fill="auto"/>
            <w:vAlign w:val="bottom"/>
          </w:tcPr>
          <w:p w14:paraId="182CE748" w14:textId="77777777" w:rsidR="00643D10" w:rsidRPr="00D9348B" w:rsidRDefault="00643D10" w:rsidP="00DB330E">
            <w:pPr>
              <w:pStyle w:val="TableText"/>
              <w:spacing w:before="40" w:after="40"/>
              <w:rPr>
                <w:rFonts w:cs="Arial"/>
                <w:szCs w:val="16"/>
              </w:rPr>
            </w:pPr>
            <w:r w:rsidRPr="00D9348B">
              <w:rPr>
                <w:rFonts w:cs="Arial"/>
                <w:bCs/>
                <w:color w:val="000000"/>
                <w:szCs w:val="16"/>
              </w:rPr>
              <w:t>Manufacturing Industries and Construction – Chemicals Gaseous Fuels</w:t>
            </w:r>
          </w:p>
        </w:tc>
        <w:tc>
          <w:tcPr>
            <w:tcW w:w="611" w:type="dxa"/>
            <w:shd w:val="clear" w:color="auto" w:fill="auto"/>
            <w:vAlign w:val="bottom"/>
          </w:tcPr>
          <w:p w14:paraId="0DB1615E"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911" w:type="dxa"/>
            <w:shd w:val="clear" w:color="auto" w:fill="auto"/>
            <w:noWrap/>
            <w:vAlign w:val="bottom"/>
          </w:tcPr>
          <w:p w14:paraId="68F10D11"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1,241.0</w:t>
            </w:r>
          </w:p>
        </w:tc>
        <w:tc>
          <w:tcPr>
            <w:tcW w:w="911" w:type="dxa"/>
            <w:shd w:val="clear" w:color="auto" w:fill="auto"/>
            <w:noWrap/>
            <w:vAlign w:val="bottom"/>
          </w:tcPr>
          <w:p w14:paraId="028F2EAE"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1.6</w:t>
            </w:r>
          </w:p>
        </w:tc>
        <w:tc>
          <w:tcPr>
            <w:tcW w:w="911" w:type="dxa"/>
            <w:shd w:val="clear" w:color="auto" w:fill="auto"/>
            <w:noWrap/>
            <w:vAlign w:val="bottom"/>
          </w:tcPr>
          <w:p w14:paraId="49FE7318"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77.5</w:t>
            </w:r>
          </w:p>
        </w:tc>
      </w:tr>
      <w:tr w:rsidR="00643D10" w:rsidRPr="00D9348B" w14:paraId="4B89988E" w14:textId="77777777" w:rsidTr="00217967">
        <w:tc>
          <w:tcPr>
            <w:tcW w:w="1031" w:type="dxa"/>
            <w:vAlign w:val="bottom"/>
          </w:tcPr>
          <w:p w14:paraId="24CD8810" w14:textId="77777777" w:rsidR="00643D10" w:rsidRPr="00D9348B" w:rsidRDefault="00643D10" w:rsidP="00DB330E">
            <w:pPr>
              <w:pStyle w:val="TableText"/>
              <w:spacing w:before="40" w:after="40"/>
              <w:rPr>
                <w:rFonts w:cs="Arial"/>
                <w:szCs w:val="16"/>
              </w:rPr>
            </w:pPr>
            <w:r w:rsidRPr="00D9348B">
              <w:rPr>
                <w:rFonts w:cs="Arial"/>
                <w:bCs/>
                <w:color w:val="000000"/>
                <w:szCs w:val="16"/>
              </w:rPr>
              <w:t>1.A.3.a</w:t>
            </w:r>
          </w:p>
        </w:tc>
        <w:tc>
          <w:tcPr>
            <w:tcW w:w="4187" w:type="dxa"/>
            <w:shd w:val="clear" w:color="auto" w:fill="auto"/>
            <w:vAlign w:val="bottom"/>
          </w:tcPr>
          <w:p w14:paraId="7BE98961" w14:textId="77777777" w:rsidR="00643D10" w:rsidRPr="00D9348B" w:rsidRDefault="00643D10" w:rsidP="00DB330E">
            <w:pPr>
              <w:pStyle w:val="TableText"/>
              <w:spacing w:before="40" w:after="40"/>
              <w:rPr>
                <w:rFonts w:cs="Arial"/>
                <w:szCs w:val="16"/>
              </w:rPr>
            </w:pPr>
            <w:r w:rsidRPr="00D9348B">
              <w:rPr>
                <w:rFonts w:cs="Arial"/>
                <w:bCs/>
                <w:color w:val="000000"/>
                <w:szCs w:val="16"/>
              </w:rPr>
              <w:t>Domestic Aviation – Jet Kerosene</w:t>
            </w:r>
          </w:p>
        </w:tc>
        <w:tc>
          <w:tcPr>
            <w:tcW w:w="611" w:type="dxa"/>
            <w:shd w:val="clear" w:color="auto" w:fill="auto"/>
            <w:vAlign w:val="bottom"/>
          </w:tcPr>
          <w:p w14:paraId="49483796"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911" w:type="dxa"/>
            <w:shd w:val="clear" w:color="auto" w:fill="auto"/>
            <w:noWrap/>
            <w:vAlign w:val="bottom"/>
          </w:tcPr>
          <w:p w14:paraId="72895E50"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1,079.9</w:t>
            </w:r>
          </w:p>
        </w:tc>
        <w:tc>
          <w:tcPr>
            <w:tcW w:w="911" w:type="dxa"/>
            <w:shd w:val="clear" w:color="auto" w:fill="auto"/>
            <w:noWrap/>
            <w:vAlign w:val="bottom"/>
          </w:tcPr>
          <w:p w14:paraId="1AF427B0"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1.4</w:t>
            </w:r>
          </w:p>
        </w:tc>
        <w:tc>
          <w:tcPr>
            <w:tcW w:w="911" w:type="dxa"/>
            <w:shd w:val="clear" w:color="auto" w:fill="auto"/>
            <w:noWrap/>
            <w:vAlign w:val="bottom"/>
          </w:tcPr>
          <w:p w14:paraId="23A351E6"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78.9</w:t>
            </w:r>
          </w:p>
        </w:tc>
      </w:tr>
      <w:tr w:rsidR="00643D10" w:rsidRPr="00D9348B" w14:paraId="5B91D886" w14:textId="77777777" w:rsidTr="00217967">
        <w:tc>
          <w:tcPr>
            <w:tcW w:w="1031" w:type="dxa"/>
            <w:vAlign w:val="bottom"/>
          </w:tcPr>
          <w:p w14:paraId="78AE5BAB" w14:textId="77777777" w:rsidR="00643D10" w:rsidRPr="00D9348B" w:rsidRDefault="00643D10" w:rsidP="00DB330E">
            <w:pPr>
              <w:pStyle w:val="TableText"/>
              <w:spacing w:before="40" w:after="40"/>
              <w:rPr>
                <w:rFonts w:cs="Arial"/>
                <w:szCs w:val="16"/>
              </w:rPr>
            </w:pPr>
            <w:r w:rsidRPr="00D9348B">
              <w:rPr>
                <w:rFonts w:cs="Arial"/>
                <w:bCs/>
                <w:color w:val="000000"/>
                <w:szCs w:val="16"/>
              </w:rPr>
              <w:t>1.A.4.c</w:t>
            </w:r>
          </w:p>
        </w:tc>
        <w:tc>
          <w:tcPr>
            <w:tcW w:w="4187" w:type="dxa"/>
            <w:shd w:val="clear" w:color="auto" w:fill="auto"/>
            <w:vAlign w:val="bottom"/>
          </w:tcPr>
          <w:p w14:paraId="53FFB864" w14:textId="77777777" w:rsidR="00643D10" w:rsidRPr="00D9348B" w:rsidRDefault="00643D10" w:rsidP="00DB330E">
            <w:pPr>
              <w:pStyle w:val="TableText"/>
              <w:spacing w:before="40" w:after="40"/>
              <w:rPr>
                <w:rFonts w:cs="Arial"/>
                <w:szCs w:val="16"/>
              </w:rPr>
            </w:pPr>
            <w:r w:rsidRPr="00D9348B">
              <w:rPr>
                <w:rFonts w:cs="Arial"/>
                <w:bCs/>
                <w:color w:val="000000"/>
                <w:szCs w:val="16"/>
              </w:rPr>
              <w:t>Other Sectors – Agriculture/Forestry/Fishing Liquid Fuels</w:t>
            </w:r>
          </w:p>
        </w:tc>
        <w:tc>
          <w:tcPr>
            <w:tcW w:w="611" w:type="dxa"/>
            <w:shd w:val="clear" w:color="auto" w:fill="auto"/>
            <w:vAlign w:val="bottom"/>
          </w:tcPr>
          <w:p w14:paraId="1451A52E"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911" w:type="dxa"/>
            <w:shd w:val="clear" w:color="auto" w:fill="auto"/>
            <w:noWrap/>
            <w:vAlign w:val="bottom"/>
          </w:tcPr>
          <w:p w14:paraId="1B3A88D1"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1,041.3</w:t>
            </w:r>
          </w:p>
        </w:tc>
        <w:tc>
          <w:tcPr>
            <w:tcW w:w="911" w:type="dxa"/>
            <w:shd w:val="clear" w:color="auto" w:fill="auto"/>
            <w:noWrap/>
            <w:vAlign w:val="bottom"/>
          </w:tcPr>
          <w:p w14:paraId="2F9F68C2"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1.3</w:t>
            </w:r>
          </w:p>
        </w:tc>
        <w:tc>
          <w:tcPr>
            <w:tcW w:w="911" w:type="dxa"/>
            <w:shd w:val="clear" w:color="auto" w:fill="auto"/>
            <w:noWrap/>
            <w:vAlign w:val="bottom"/>
          </w:tcPr>
          <w:p w14:paraId="1182A21C"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80.2</w:t>
            </w:r>
          </w:p>
        </w:tc>
      </w:tr>
      <w:tr w:rsidR="00643D10" w:rsidRPr="00D9348B" w14:paraId="1BD2BABD" w14:textId="77777777" w:rsidTr="00217967">
        <w:tc>
          <w:tcPr>
            <w:tcW w:w="1031" w:type="dxa"/>
            <w:vAlign w:val="bottom"/>
          </w:tcPr>
          <w:p w14:paraId="052C6A0B" w14:textId="77777777" w:rsidR="00643D10" w:rsidRPr="00D9348B" w:rsidRDefault="00643D10" w:rsidP="00DB330E">
            <w:pPr>
              <w:pStyle w:val="TableText"/>
              <w:spacing w:before="40" w:after="40"/>
              <w:rPr>
                <w:rFonts w:cs="Arial"/>
                <w:szCs w:val="16"/>
              </w:rPr>
            </w:pPr>
            <w:r w:rsidRPr="00D9348B">
              <w:rPr>
                <w:rFonts w:cs="Arial"/>
                <w:bCs/>
                <w:color w:val="000000"/>
                <w:szCs w:val="16"/>
              </w:rPr>
              <w:t>1.A.2.e</w:t>
            </w:r>
          </w:p>
        </w:tc>
        <w:tc>
          <w:tcPr>
            <w:tcW w:w="4187" w:type="dxa"/>
            <w:shd w:val="clear" w:color="auto" w:fill="auto"/>
            <w:vAlign w:val="bottom"/>
          </w:tcPr>
          <w:p w14:paraId="13ECE7EA" w14:textId="77777777" w:rsidR="00643D10" w:rsidRPr="00D9348B" w:rsidRDefault="00643D10" w:rsidP="00DB330E">
            <w:pPr>
              <w:pStyle w:val="TableText"/>
              <w:spacing w:before="40" w:after="40"/>
              <w:rPr>
                <w:rFonts w:cs="Arial"/>
                <w:szCs w:val="16"/>
              </w:rPr>
            </w:pPr>
            <w:r w:rsidRPr="00D9348B">
              <w:rPr>
                <w:rFonts w:cs="Arial"/>
                <w:bCs/>
                <w:color w:val="000000"/>
                <w:szCs w:val="16"/>
              </w:rPr>
              <w:t>Manufacturing Industries and Construction – Food Processing, Beverages and Tobacco Gaseous Fuels</w:t>
            </w:r>
          </w:p>
        </w:tc>
        <w:tc>
          <w:tcPr>
            <w:tcW w:w="611" w:type="dxa"/>
            <w:shd w:val="clear" w:color="auto" w:fill="auto"/>
            <w:vAlign w:val="bottom"/>
          </w:tcPr>
          <w:p w14:paraId="0289AD2A"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911" w:type="dxa"/>
            <w:shd w:val="clear" w:color="auto" w:fill="auto"/>
            <w:noWrap/>
            <w:vAlign w:val="bottom"/>
          </w:tcPr>
          <w:p w14:paraId="76C4DDBA"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1,010.7</w:t>
            </w:r>
          </w:p>
        </w:tc>
        <w:tc>
          <w:tcPr>
            <w:tcW w:w="911" w:type="dxa"/>
            <w:shd w:val="clear" w:color="auto" w:fill="auto"/>
            <w:noWrap/>
            <w:vAlign w:val="bottom"/>
          </w:tcPr>
          <w:p w14:paraId="797B0E9F"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1.3</w:t>
            </w:r>
          </w:p>
        </w:tc>
        <w:tc>
          <w:tcPr>
            <w:tcW w:w="911" w:type="dxa"/>
            <w:shd w:val="clear" w:color="auto" w:fill="auto"/>
            <w:noWrap/>
            <w:vAlign w:val="bottom"/>
          </w:tcPr>
          <w:p w14:paraId="00ECE9D1"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81.5</w:t>
            </w:r>
          </w:p>
        </w:tc>
      </w:tr>
      <w:tr w:rsidR="00643D10" w:rsidRPr="00D9348B" w14:paraId="35E99349" w14:textId="77777777" w:rsidTr="00217967">
        <w:tc>
          <w:tcPr>
            <w:tcW w:w="1031" w:type="dxa"/>
            <w:vAlign w:val="bottom"/>
          </w:tcPr>
          <w:p w14:paraId="7E52A6E5" w14:textId="77777777" w:rsidR="00643D10" w:rsidRPr="00D9348B" w:rsidRDefault="00643D10" w:rsidP="00DB330E">
            <w:pPr>
              <w:pStyle w:val="TableText"/>
              <w:spacing w:before="40" w:after="40"/>
              <w:rPr>
                <w:rFonts w:cs="Arial"/>
                <w:szCs w:val="16"/>
              </w:rPr>
            </w:pPr>
            <w:r w:rsidRPr="00D9348B">
              <w:rPr>
                <w:rFonts w:cs="Arial"/>
                <w:bCs/>
                <w:color w:val="000000"/>
                <w:szCs w:val="16"/>
              </w:rPr>
              <w:t>1.A.1.a</w:t>
            </w:r>
          </w:p>
        </w:tc>
        <w:tc>
          <w:tcPr>
            <w:tcW w:w="4187" w:type="dxa"/>
            <w:shd w:val="clear" w:color="auto" w:fill="auto"/>
            <w:vAlign w:val="bottom"/>
          </w:tcPr>
          <w:p w14:paraId="43D99A69" w14:textId="77777777" w:rsidR="00643D10" w:rsidRPr="00D9348B" w:rsidRDefault="00643D10" w:rsidP="00DB330E">
            <w:pPr>
              <w:pStyle w:val="TableText"/>
              <w:spacing w:before="40" w:after="40"/>
              <w:rPr>
                <w:rFonts w:cs="Arial"/>
                <w:szCs w:val="16"/>
              </w:rPr>
            </w:pPr>
            <w:r w:rsidRPr="00D9348B">
              <w:rPr>
                <w:rFonts w:cs="Arial"/>
                <w:bCs/>
                <w:color w:val="000000"/>
                <w:szCs w:val="16"/>
              </w:rPr>
              <w:t>Energy Industries – Public Electricity and Heat Production Solid Fuels</w:t>
            </w:r>
          </w:p>
        </w:tc>
        <w:tc>
          <w:tcPr>
            <w:tcW w:w="611" w:type="dxa"/>
            <w:shd w:val="clear" w:color="auto" w:fill="auto"/>
            <w:vAlign w:val="bottom"/>
          </w:tcPr>
          <w:p w14:paraId="0E059014"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911" w:type="dxa"/>
            <w:shd w:val="clear" w:color="auto" w:fill="auto"/>
            <w:noWrap/>
            <w:vAlign w:val="bottom"/>
          </w:tcPr>
          <w:p w14:paraId="06751241"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928.9</w:t>
            </w:r>
          </w:p>
        </w:tc>
        <w:tc>
          <w:tcPr>
            <w:tcW w:w="911" w:type="dxa"/>
            <w:shd w:val="clear" w:color="auto" w:fill="auto"/>
            <w:noWrap/>
            <w:vAlign w:val="bottom"/>
          </w:tcPr>
          <w:p w14:paraId="544A09ED"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1.2</w:t>
            </w:r>
          </w:p>
        </w:tc>
        <w:tc>
          <w:tcPr>
            <w:tcW w:w="911" w:type="dxa"/>
            <w:shd w:val="clear" w:color="auto" w:fill="auto"/>
            <w:noWrap/>
            <w:vAlign w:val="bottom"/>
          </w:tcPr>
          <w:p w14:paraId="376B996C"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82.7</w:t>
            </w:r>
          </w:p>
        </w:tc>
      </w:tr>
      <w:tr w:rsidR="00643D10" w:rsidRPr="00D9348B" w14:paraId="39967CC8" w14:textId="77777777" w:rsidTr="00217967">
        <w:tc>
          <w:tcPr>
            <w:tcW w:w="1031" w:type="dxa"/>
            <w:vAlign w:val="bottom"/>
          </w:tcPr>
          <w:p w14:paraId="5CC42332" w14:textId="77777777" w:rsidR="00643D10" w:rsidRPr="00D9348B" w:rsidRDefault="00643D10" w:rsidP="006A1572">
            <w:pPr>
              <w:pStyle w:val="TableText"/>
              <w:keepNext/>
              <w:spacing w:before="40" w:after="40"/>
              <w:rPr>
                <w:rFonts w:cs="Arial"/>
                <w:szCs w:val="16"/>
              </w:rPr>
            </w:pPr>
            <w:r w:rsidRPr="00D9348B">
              <w:rPr>
                <w:rFonts w:cs="Arial"/>
                <w:bCs/>
                <w:color w:val="000000"/>
                <w:szCs w:val="16"/>
              </w:rPr>
              <w:lastRenderedPageBreak/>
              <w:t>3.D.2.1</w:t>
            </w:r>
          </w:p>
        </w:tc>
        <w:tc>
          <w:tcPr>
            <w:tcW w:w="4187" w:type="dxa"/>
            <w:shd w:val="clear" w:color="auto" w:fill="auto"/>
            <w:vAlign w:val="bottom"/>
          </w:tcPr>
          <w:p w14:paraId="6B872089" w14:textId="77777777" w:rsidR="00643D10" w:rsidRPr="00D9348B" w:rsidRDefault="00643D10" w:rsidP="006A1572">
            <w:pPr>
              <w:pStyle w:val="TableText"/>
              <w:keepNext/>
              <w:spacing w:before="40" w:after="40"/>
              <w:rPr>
                <w:rFonts w:cs="Arial"/>
                <w:szCs w:val="16"/>
              </w:rPr>
            </w:pPr>
            <w:r w:rsidRPr="00D9348B">
              <w:rPr>
                <w:rFonts w:cs="Arial"/>
                <w:bCs/>
                <w:color w:val="000000"/>
                <w:szCs w:val="16"/>
              </w:rPr>
              <w:t>Indirect N</w:t>
            </w:r>
            <w:r w:rsidRPr="00D9348B">
              <w:rPr>
                <w:rFonts w:cs="Arial"/>
                <w:bCs/>
                <w:color w:val="000000"/>
                <w:szCs w:val="16"/>
                <w:vertAlign w:val="subscript"/>
              </w:rPr>
              <w:t>2</w:t>
            </w:r>
            <w:r w:rsidRPr="00D9348B">
              <w:rPr>
                <w:rFonts w:cs="Arial"/>
                <w:bCs/>
                <w:color w:val="000000"/>
                <w:szCs w:val="16"/>
              </w:rPr>
              <w:t>O Emissions From Managed Soils – Atmospheric Deposition</w:t>
            </w:r>
          </w:p>
        </w:tc>
        <w:tc>
          <w:tcPr>
            <w:tcW w:w="611" w:type="dxa"/>
            <w:shd w:val="clear" w:color="auto" w:fill="auto"/>
            <w:vAlign w:val="bottom"/>
          </w:tcPr>
          <w:p w14:paraId="39F80CC6" w14:textId="77777777" w:rsidR="00643D10" w:rsidRPr="00D9348B" w:rsidRDefault="00643D10" w:rsidP="006A1572">
            <w:pPr>
              <w:pStyle w:val="TableText"/>
              <w:keepNext/>
              <w:spacing w:before="40" w:after="40"/>
              <w:jc w:val="center"/>
              <w:rPr>
                <w:rFonts w:cs="Arial"/>
                <w:szCs w:val="16"/>
              </w:rPr>
            </w:pPr>
            <w:r w:rsidRPr="00D9348B">
              <w:rPr>
                <w:rFonts w:cs="Arial"/>
                <w:color w:val="000000"/>
                <w:szCs w:val="16"/>
              </w:rPr>
              <w:t>N</w:t>
            </w:r>
            <w:r w:rsidRPr="00D9348B">
              <w:rPr>
                <w:rFonts w:cs="Arial"/>
                <w:color w:val="000000"/>
                <w:szCs w:val="16"/>
                <w:vertAlign w:val="subscript"/>
              </w:rPr>
              <w:t>2</w:t>
            </w:r>
            <w:r w:rsidRPr="00D9348B">
              <w:rPr>
                <w:rFonts w:cs="Arial"/>
                <w:color w:val="000000"/>
                <w:szCs w:val="16"/>
              </w:rPr>
              <w:t>O</w:t>
            </w:r>
          </w:p>
        </w:tc>
        <w:tc>
          <w:tcPr>
            <w:tcW w:w="911" w:type="dxa"/>
            <w:shd w:val="clear" w:color="auto" w:fill="auto"/>
            <w:noWrap/>
            <w:vAlign w:val="bottom"/>
          </w:tcPr>
          <w:p w14:paraId="7C0EDC12" w14:textId="77777777" w:rsidR="00643D10" w:rsidRPr="00D9348B" w:rsidRDefault="00643D10" w:rsidP="006A1572">
            <w:pPr>
              <w:pStyle w:val="TableText"/>
              <w:keepNext/>
              <w:spacing w:before="40" w:after="40"/>
              <w:jc w:val="right"/>
              <w:rPr>
                <w:rFonts w:cs="Arial"/>
                <w:szCs w:val="16"/>
              </w:rPr>
            </w:pPr>
            <w:r w:rsidRPr="00D9348B">
              <w:rPr>
                <w:rFonts w:cs="Arial"/>
                <w:bCs/>
                <w:color w:val="000000"/>
                <w:szCs w:val="16"/>
              </w:rPr>
              <w:t>919.6</w:t>
            </w:r>
          </w:p>
        </w:tc>
        <w:tc>
          <w:tcPr>
            <w:tcW w:w="911" w:type="dxa"/>
            <w:shd w:val="clear" w:color="auto" w:fill="auto"/>
            <w:noWrap/>
            <w:vAlign w:val="bottom"/>
          </w:tcPr>
          <w:p w14:paraId="611D9E11" w14:textId="77777777" w:rsidR="00643D10" w:rsidRPr="00D9348B" w:rsidRDefault="00643D10" w:rsidP="006A1572">
            <w:pPr>
              <w:pStyle w:val="TableText"/>
              <w:keepNext/>
              <w:spacing w:before="40" w:after="40"/>
              <w:jc w:val="right"/>
              <w:rPr>
                <w:rFonts w:cs="Arial"/>
                <w:szCs w:val="16"/>
              </w:rPr>
            </w:pPr>
            <w:r w:rsidRPr="00D9348B">
              <w:rPr>
                <w:rFonts w:cs="Arial"/>
                <w:bCs/>
                <w:color w:val="000000"/>
                <w:szCs w:val="16"/>
              </w:rPr>
              <w:t>1.2</w:t>
            </w:r>
          </w:p>
        </w:tc>
        <w:tc>
          <w:tcPr>
            <w:tcW w:w="911" w:type="dxa"/>
            <w:shd w:val="clear" w:color="auto" w:fill="auto"/>
            <w:noWrap/>
            <w:vAlign w:val="bottom"/>
          </w:tcPr>
          <w:p w14:paraId="4845D202" w14:textId="77777777" w:rsidR="00643D10" w:rsidRPr="00D9348B" w:rsidRDefault="00643D10" w:rsidP="006A1572">
            <w:pPr>
              <w:pStyle w:val="TableText"/>
              <w:keepNext/>
              <w:spacing w:before="40" w:after="40"/>
              <w:jc w:val="right"/>
              <w:rPr>
                <w:rFonts w:cs="Arial"/>
                <w:szCs w:val="16"/>
              </w:rPr>
            </w:pPr>
            <w:r w:rsidRPr="00D9348B">
              <w:rPr>
                <w:rFonts w:cs="Arial"/>
                <w:bCs/>
                <w:color w:val="000000"/>
                <w:szCs w:val="16"/>
              </w:rPr>
              <w:t>83.9</w:t>
            </w:r>
          </w:p>
        </w:tc>
      </w:tr>
      <w:tr w:rsidR="00643D10" w:rsidRPr="00D9348B" w14:paraId="4C7F42C4" w14:textId="77777777" w:rsidTr="00217967">
        <w:tc>
          <w:tcPr>
            <w:tcW w:w="1031" w:type="dxa"/>
            <w:vAlign w:val="bottom"/>
          </w:tcPr>
          <w:p w14:paraId="5D3DC744" w14:textId="77777777" w:rsidR="00643D10" w:rsidRPr="00D9348B" w:rsidRDefault="00643D10" w:rsidP="00DB330E">
            <w:pPr>
              <w:pStyle w:val="TableText"/>
              <w:spacing w:before="40" w:after="40"/>
              <w:rPr>
                <w:rFonts w:cs="Arial"/>
                <w:szCs w:val="16"/>
              </w:rPr>
            </w:pPr>
            <w:r w:rsidRPr="00D9348B">
              <w:rPr>
                <w:rFonts w:cs="Arial"/>
                <w:bCs/>
                <w:color w:val="000000"/>
                <w:szCs w:val="16"/>
              </w:rPr>
              <w:t>1.A.2.g.iii</w:t>
            </w:r>
          </w:p>
        </w:tc>
        <w:tc>
          <w:tcPr>
            <w:tcW w:w="4187" w:type="dxa"/>
            <w:shd w:val="clear" w:color="auto" w:fill="auto"/>
            <w:vAlign w:val="bottom"/>
          </w:tcPr>
          <w:p w14:paraId="261267E7" w14:textId="77777777" w:rsidR="00643D10" w:rsidRPr="00D9348B" w:rsidRDefault="00643D10" w:rsidP="00DB330E">
            <w:pPr>
              <w:pStyle w:val="TableText"/>
              <w:spacing w:before="40" w:after="40"/>
              <w:rPr>
                <w:rFonts w:cs="Arial"/>
                <w:szCs w:val="16"/>
              </w:rPr>
            </w:pPr>
            <w:r w:rsidRPr="00D9348B">
              <w:rPr>
                <w:rFonts w:cs="Arial"/>
                <w:bCs/>
                <w:color w:val="000000"/>
                <w:szCs w:val="16"/>
              </w:rPr>
              <w:t>Other (please specify) – Mining (excluding fuels) and Quarrying Liquid Fuels</w:t>
            </w:r>
          </w:p>
        </w:tc>
        <w:tc>
          <w:tcPr>
            <w:tcW w:w="611" w:type="dxa"/>
            <w:shd w:val="clear" w:color="auto" w:fill="auto"/>
            <w:vAlign w:val="bottom"/>
          </w:tcPr>
          <w:p w14:paraId="2B28C77C"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911" w:type="dxa"/>
            <w:shd w:val="clear" w:color="auto" w:fill="auto"/>
            <w:noWrap/>
            <w:vAlign w:val="bottom"/>
          </w:tcPr>
          <w:p w14:paraId="5679AD39"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664.3</w:t>
            </w:r>
          </w:p>
        </w:tc>
        <w:tc>
          <w:tcPr>
            <w:tcW w:w="911" w:type="dxa"/>
            <w:shd w:val="clear" w:color="auto" w:fill="auto"/>
            <w:noWrap/>
            <w:vAlign w:val="bottom"/>
          </w:tcPr>
          <w:p w14:paraId="14F740FF"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0.8</w:t>
            </w:r>
          </w:p>
        </w:tc>
        <w:tc>
          <w:tcPr>
            <w:tcW w:w="911" w:type="dxa"/>
            <w:shd w:val="clear" w:color="auto" w:fill="auto"/>
            <w:noWrap/>
            <w:vAlign w:val="bottom"/>
          </w:tcPr>
          <w:p w14:paraId="6C852F94"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84.7</w:t>
            </w:r>
          </w:p>
        </w:tc>
      </w:tr>
      <w:tr w:rsidR="00643D10" w:rsidRPr="00D9348B" w14:paraId="52C96B11" w14:textId="77777777" w:rsidTr="00217967">
        <w:tc>
          <w:tcPr>
            <w:tcW w:w="1031" w:type="dxa"/>
            <w:vAlign w:val="bottom"/>
          </w:tcPr>
          <w:p w14:paraId="493138BD" w14:textId="77777777" w:rsidR="00643D10" w:rsidRPr="00D9348B" w:rsidRDefault="00643D10" w:rsidP="00DB330E">
            <w:pPr>
              <w:pStyle w:val="TableText"/>
              <w:spacing w:before="40" w:after="40"/>
              <w:rPr>
                <w:rFonts w:cs="Arial"/>
                <w:szCs w:val="16"/>
              </w:rPr>
            </w:pPr>
            <w:r w:rsidRPr="00D9348B">
              <w:rPr>
                <w:rFonts w:cs="Arial"/>
                <w:bCs/>
                <w:color w:val="000000"/>
                <w:szCs w:val="16"/>
              </w:rPr>
              <w:t>3.H</w:t>
            </w:r>
          </w:p>
        </w:tc>
        <w:tc>
          <w:tcPr>
            <w:tcW w:w="4187" w:type="dxa"/>
            <w:shd w:val="clear" w:color="auto" w:fill="auto"/>
            <w:vAlign w:val="bottom"/>
          </w:tcPr>
          <w:p w14:paraId="005A74D8" w14:textId="77777777" w:rsidR="00643D10" w:rsidRPr="00D9348B" w:rsidRDefault="00643D10" w:rsidP="00DB330E">
            <w:pPr>
              <w:pStyle w:val="TableText"/>
              <w:spacing w:before="40" w:after="40"/>
              <w:rPr>
                <w:rFonts w:cs="Arial"/>
                <w:szCs w:val="16"/>
              </w:rPr>
            </w:pPr>
            <w:r w:rsidRPr="00D9348B">
              <w:rPr>
                <w:rFonts w:cs="Arial"/>
                <w:bCs/>
                <w:color w:val="000000"/>
                <w:szCs w:val="16"/>
              </w:rPr>
              <w:t>Agriculture – Urea Application</w:t>
            </w:r>
          </w:p>
        </w:tc>
        <w:tc>
          <w:tcPr>
            <w:tcW w:w="611" w:type="dxa"/>
            <w:shd w:val="clear" w:color="auto" w:fill="auto"/>
            <w:vAlign w:val="bottom"/>
          </w:tcPr>
          <w:p w14:paraId="29412F34"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911" w:type="dxa"/>
            <w:shd w:val="clear" w:color="auto" w:fill="auto"/>
            <w:noWrap/>
            <w:vAlign w:val="bottom"/>
          </w:tcPr>
          <w:p w14:paraId="44BCA23A"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608.2</w:t>
            </w:r>
          </w:p>
        </w:tc>
        <w:tc>
          <w:tcPr>
            <w:tcW w:w="911" w:type="dxa"/>
            <w:shd w:val="clear" w:color="auto" w:fill="auto"/>
            <w:noWrap/>
            <w:vAlign w:val="bottom"/>
          </w:tcPr>
          <w:p w14:paraId="13A8661C"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0.8</w:t>
            </w:r>
          </w:p>
        </w:tc>
        <w:tc>
          <w:tcPr>
            <w:tcW w:w="911" w:type="dxa"/>
            <w:shd w:val="clear" w:color="auto" w:fill="auto"/>
            <w:noWrap/>
            <w:vAlign w:val="bottom"/>
          </w:tcPr>
          <w:p w14:paraId="3E620E3F"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85.5</w:t>
            </w:r>
          </w:p>
        </w:tc>
      </w:tr>
      <w:tr w:rsidR="00643D10" w:rsidRPr="00D9348B" w14:paraId="68E9A138" w14:textId="77777777" w:rsidTr="00217967">
        <w:tc>
          <w:tcPr>
            <w:tcW w:w="1031" w:type="dxa"/>
            <w:vAlign w:val="bottom"/>
          </w:tcPr>
          <w:p w14:paraId="141D3F66" w14:textId="77777777" w:rsidR="00643D10" w:rsidRPr="00D9348B" w:rsidRDefault="00643D10" w:rsidP="00DB330E">
            <w:pPr>
              <w:pStyle w:val="TableText"/>
              <w:spacing w:before="40" w:after="40"/>
              <w:rPr>
                <w:rFonts w:cs="Arial"/>
                <w:szCs w:val="16"/>
              </w:rPr>
            </w:pPr>
            <w:r w:rsidRPr="00D9348B">
              <w:rPr>
                <w:rFonts w:cs="Arial"/>
                <w:bCs/>
                <w:color w:val="000000"/>
                <w:szCs w:val="16"/>
              </w:rPr>
              <w:t>1.B.2.d</w:t>
            </w:r>
          </w:p>
        </w:tc>
        <w:tc>
          <w:tcPr>
            <w:tcW w:w="4187" w:type="dxa"/>
            <w:shd w:val="clear" w:color="auto" w:fill="auto"/>
            <w:vAlign w:val="bottom"/>
          </w:tcPr>
          <w:p w14:paraId="4115E5D3" w14:textId="77777777" w:rsidR="00643D10" w:rsidRPr="00D9348B" w:rsidRDefault="00643D10" w:rsidP="00DB330E">
            <w:pPr>
              <w:pStyle w:val="TableText"/>
              <w:spacing w:before="40" w:after="40"/>
              <w:rPr>
                <w:rFonts w:cs="Arial"/>
                <w:szCs w:val="16"/>
              </w:rPr>
            </w:pPr>
            <w:r w:rsidRPr="00D9348B">
              <w:rPr>
                <w:rFonts w:cs="Arial"/>
                <w:bCs/>
                <w:color w:val="000000"/>
                <w:szCs w:val="16"/>
              </w:rPr>
              <w:t>Other (please specify) – Geothermal</w:t>
            </w:r>
          </w:p>
        </w:tc>
        <w:tc>
          <w:tcPr>
            <w:tcW w:w="611" w:type="dxa"/>
            <w:shd w:val="clear" w:color="auto" w:fill="auto"/>
            <w:vAlign w:val="bottom"/>
          </w:tcPr>
          <w:p w14:paraId="001EAB38"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911" w:type="dxa"/>
            <w:shd w:val="clear" w:color="auto" w:fill="auto"/>
            <w:noWrap/>
            <w:vAlign w:val="bottom"/>
          </w:tcPr>
          <w:p w14:paraId="339B3579"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583.4</w:t>
            </w:r>
          </w:p>
        </w:tc>
        <w:tc>
          <w:tcPr>
            <w:tcW w:w="911" w:type="dxa"/>
            <w:shd w:val="clear" w:color="auto" w:fill="auto"/>
            <w:noWrap/>
            <w:vAlign w:val="bottom"/>
          </w:tcPr>
          <w:p w14:paraId="645F2A4A"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0.7</w:t>
            </w:r>
          </w:p>
        </w:tc>
        <w:tc>
          <w:tcPr>
            <w:tcW w:w="911" w:type="dxa"/>
            <w:shd w:val="clear" w:color="auto" w:fill="auto"/>
            <w:noWrap/>
            <w:vAlign w:val="bottom"/>
          </w:tcPr>
          <w:p w14:paraId="31E63E1D"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86.2</w:t>
            </w:r>
          </w:p>
        </w:tc>
      </w:tr>
      <w:tr w:rsidR="00643D10" w:rsidRPr="00D9348B" w14:paraId="67A307F9" w14:textId="77777777" w:rsidTr="00217967">
        <w:tc>
          <w:tcPr>
            <w:tcW w:w="1031" w:type="dxa"/>
            <w:vAlign w:val="bottom"/>
          </w:tcPr>
          <w:p w14:paraId="65DAD482" w14:textId="77777777" w:rsidR="00643D10" w:rsidRPr="00D9348B" w:rsidRDefault="00643D10" w:rsidP="00DB330E">
            <w:pPr>
              <w:pStyle w:val="TableText"/>
              <w:spacing w:before="40" w:after="40"/>
              <w:rPr>
                <w:rFonts w:cs="Arial"/>
                <w:szCs w:val="16"/>
              </w:rPr>
            </w:pPr>
            <w:r w:rsidRPr="00D9348B">
              <w:rPr>
                <w:rFonts w:cs="Arial"/>
                <w:bCs/>
                <w:color w:val="000000"/>
                <w:szCs w:val="16"/>
              </w:rPr>
              <w:t>1.A.1.b</w:t>
            </w:r>
          </w:p>
        </w:tc>
        <w:tc>
          <w:tcPr>
            <w:tcW w:w="4187" w:type="dxa"/>
            <w:shd w:val="clear" w:color="auto" w:fill="auto"/>
            <w:vAlign w:val="bottom"/>
          </w:tcPr>
          <w:p w14:paraId="17176009" w14:textId="77777777" w:rsidR="00643D10" w:rsidRPr="00D9348B" w:rsidRDefault="00643D10" w:rsidP="00DB330E">
            <w:pPr>
              <w:pStyle w:val="TableText"/>
              <w:spacing w:before="40" w:after="40"/>
              <w:rPr>
                <w:rFonts w:cs="Arial"/>
                <w:szCs w:val="16"/>
              </w:rPr>
            </w:pPr>
            <w:r w:rsidRPr="00D9348B">
              <w:rPr>
                <w:rFonts w:cs="Arial"/>
                <w:bCs/>
                <w:color w:val="000000"/>
                <w:szCs w:val="16"/>
              </w:rPr>
              <w:t>Energy Industries – Petroleum Refining Liquid Fuels</w:t>
            </w:r>
          </w:p>
        </w:tc>
        <w:tc>
          <w:tcPr>
            <w:tcW w:w="611" w:type="dxa"/>
            <w:shd w:val="clear" w:color="auto" w:fill="auto"/>
            <w:vAlign w:val="bottom"/>
          </w:tcPr>
          <w:p w14:paraId="76CC06D1"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911" w:type="dxa"/>
            <w:shd w:val="clear" w:color="auto" w:fill="auto"/>
            <w:noWrap/>
            <w:vAlign w:val="bottom"/>
          </w:tcPr>
          <w:p w14:paraId="0C2E800F"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579.7</w:t>
            </w:r>
          </w:p>
        </w:tc>
        <w:tc>
          <w:tcPr>
            <w:tcW w:w="911" w:type="dxa"/>
            <w:shd w:val="clear" w:color="auto" w:fill="auto"/>
            <w:noWrap/>
            <w:vAlign w:val="bottom"/>
          </w:tcPr>
          <w:p w14:paraId="6EF363F0"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0.7</w:t>
            </w:r>
          </w:p>
        </w:tc>
        <w:tc>
          <w:tcPr>
            <w:tcW w:w="911" w:type="dxa"/>
            <w:shd w:val="clear" w:color="auto" w:fill="auto"/>
            <w:noWrap/>
            <w:vAlign w:val="bottom"/>
          </w:tcPr>
          <w:p w14:paraId="0A4DD9A3"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86.9</w:t>
            </w:r>
          </w:p>
        </w:tc>
      </w:tr>
      <w:tr w:rsidR="00643D10" w:rsidRPr="00D9348B" w14:paraId="67319C88" w14:textId="77777777" w:rsidTr="00217967">
        <w:tc>
          <w:tcPr>
            <w:tcW w:w="1031" w:type="dxa"/>
            <w:vAlign w:val="bottom"/>
          </w:tcPr>
          <w:p w14:paraId="7475B96A" w14:textId="77777777" w:rsidR="00643D10" w:rsidRPr="00D9348B" w:rsidRDefault="00643D10" w:rsidP="00DB330E">
            <w:pPr>
              <w:pStyle w:val="TableText"/>
              <w:spacing w:before="40" w:after="40"/>
              <w:rPr>
                <w:rFonts w:cs="Arial"/>
                <w:szCs w:val="16"/>
              </w:rPr>
            </w:pPr>
            <w:r w:rsidRPr="00D9348B">
              <w:rPr>
                <w:rFonts w:cs="Arial"/>
                <w:bCs/>
                <w:color w:val="000000"/>
                <w:szCs w:val="16"/>
              </w:rPr>
              <w:t>2.C.3</w:t>
            </w:r>
          </w:p>
        </w:tc>
        <w:tc>
          <w:tcPr>
            <w:tcW w:w="4187" w:type="dxa"/>
            <w:shd w:val="clear" w:color="auto" w:fill="auto"/>
            <w:vAlign w:val="bottom"/>
          </w:tcPr>
          <w:p w14:paraId="63570F2B" w14:textId="77777777" w:rsidR="00643D10" w:rsidRPr="00D9348B" w:rsidRDefault="00643D10" w:rsidP="00DB330E">
            <w:pPr>
              <w:pStyle w:val="TableText"/>
              <w:spacing w:before="40" w:after="40"/>
              <w:rPr>
                <w:rFonts w:cs="Arial"/>
                <w:szCs w:val="16"/>
              </w:rPr>
            </w:pPr>
            <w:r w:rsidRPr="00D9348B">
              <w:rPr>
                <w:rFonts w:cs="Arial"/>
                <w:bCs/>
                <w:color w:val="000000"/>
                <w:szCs w:val="16"/>
              </w:rPr>
              <w:t>Metal Industry – Aluminium Production</w:t>
            </w:r>
          </w:p>
        </w:tc>
        <w:tc>
          <w:tcPr>
            <w:tcW w:w="611" w:type="dxa"/>
            <w:shd w:val="clear" w:color="auto" w:fill="auto"/>
            <w:vAlign w:val="bottom"/>
          </w:tcPr>
          <w:p w14:paraId="1DEDC19C"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911" w:type="dxa"/>
            <w:shd w:val="clear" w:color="auto" w:fill="auto"/>
            <w:noWrap/>
            <w:vAlign w:val="bottom"/>
          </w:tcPr>
          <w:p w14:paraId="4529411B"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554.9</w:t>
            </w:r>
          </w:p>
        </w:tc>
        <w:tc>
          <w:tcPr>
            <w:tcW w:w="911" w:type="dxa"/>
            <w:shd w:val="clear" w:color="auto" w:fill="auto"/>
            <w:noWrap/>
            <w:vAlign w:val="bottom"/>
          </w:tcPr>
          <w:p w14:paraId="5AB394EE"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0.7</w:t>
            </w:r>
          </w:p>
        </w:tc>
        <w:tc>
          <w:tcPr>
            <w:tcW w:w="911" w:type="dxa"/>
            <w:shd w:val="clear" w:color="auto" w:fill="auto"/>
            <w:noWrap/>
            <w:vAlign w:val="bottom"/>
          </w:tcPr>
          <w:p w14:paraId="36654C6C"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87.6</w:t>
            </w:r>
          </w:p>
        </w:tc>
      </w:tr>
      <w:tr w:rsidR="00643D10" w:rsidRPr="00D9348B" w14:paraId="5465BB4D" w14:textId="77777777" w:rsidTr="00217967">
        <w:tc>
          <w:tcPr>
            <w:tcW w:w="1031" w:type="dxa"/>
            <w:vAlign w:val="bottom"/>
          </w:tcPr>
          <w:p w14:paraId="754EEA50" w14:textId="77777777" w:rsidR="00643D10" w:rsidRPr="00D9348B" w:rsidRDefault="00643D10" w:rsidP="00DB330E">
            <w:pPr>
              <w:pStyle w:val="TableText"/>
              <w:spacing w:before="40" w:after="40"/>
              <w:rPr>
                <w:rFonts w:cs="Arial"/>
                <w:szCs w:val="16"/>
              </w:rPr>
            </w:pPr>
            <w:r w:rsidRPr="00D9348B">
              <w:rPr>
                <w:rFonts w:cs="Arial"/>
                <w:bCs/>
                <w:color w:val="000000"/>
                <w:szCs w:val="16"/>
              </w:rPr>
              <w:t>3.D.2.2</w:t>
            </w:r>
          </w:p>
        </w:tc>
        <w:tc>
          <w:tcPr>
            <w:tcW w:w="4187" w:type="dxa"/>
            <w:shd w:val="clear" w:color="auto" w:fill="auto"/>
            <w:vAlign w:val="bottom"/>
          </w:tcPr>
          <w:p w14:paraId="6F800841" w14:textId="77777777" w:rsidR="00643D10" w:rsidRPr="00D9348B" w:rsidRDefault="00643D10" w:rsidP="00DB330E">
            <w:pPr>
              <w:pStyle w:val="TableText"/>
              <w:spacing w:before="40" w:after="40"/>
              <w:rPr>
                <w:rFonts w:cs="Arial"/>
                <w:szCs w:val="16"/>
              </w:rPr>
            </w:pPr>
            <w:r w:rsidRPr="00D9348B">
              <w:rPr>
                <w:rFonts w:cs="Arial"/>
                <w:bCs/>
                <w:color w:val="000000"/>
                <w:szCs w:val="16"/>
              </w:rPr>
              <w:t>Indirect N</w:t>
            </w:r>
            <w:r w:rsidRPr="00D9348B">
              <w:rPr>
                <w:rFonts w:cs="Arial"/>
                <w:bCs/>
                <w:color w:val="000000"/>
                <w:szCs w:val="16"/>
                <w:vertAlign w:val="subscript"/>
              </w:rPr>
              <w:t>2</w:t>
            </w:r>
            <w:r w:rsidRPr="00D9348B">
              <w:rPr>
                <w:rFonts w:cs="Arial"/>
                <w:bCs/>
                <w:color w:val="000000"/>
                <w:szCs w:val="16"/>
              </w:rPr>
              <w:t>O Emissions from Managed Soils – Nitrogen Leaching and Run-off</w:t>
            </w:r>
          </w:p>
        </w:tc>
        <w:tc>
          <w:tcPr>
            <w:tcW w:w="611" w:type="dxa"/>
            <w:shd w:val="clear" w:color="auto" w:fill="auto"/>
            <w:vAlign w:val="bottom"/>
          </w:tcPr>
          <w:p w14:paraId="1DC995EF"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N</w:t>
            </w:r>
            <w:r w:rsidRPr="00D9348B">
              <w:rPr>
                <w:rFonts w:cs="Arial"/>
                <w:color w:val="000000"/>
                <w:szCs w:val="16"/>
                <w:vertAlign w:val="subscript"/>
              </w:rPr>
              <w:t>2</w:t>
            </w:r>
            <w:r w:rsidRPr="00D9348B">
              <w:rPr>
                <w:rFonts w:cs="Arial"/>
                <w:color w:val="000000"/>
                <w:szCs w:val="16"/>
              </w:rPr>
              <w:t>O</w:t>
            </w:r>
          </w:p>
        </w:tc>
        <w:tc>
          <w:tcPr>
            <w:tcW w:w="911" w:type="dxa"/>
            <w:shd w:val="clear" w:color="auto" w:fill="auto"/>
            <w:noWrap/>
            <w:vAlign w:val="bottom"/>
          </w:tcPr>
          <w:p w14:paraId="5989B017"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508.7</w:t>
            </w:r>
          </w:p>
        </w:tc>
        <w:tc>
          <w:tcPr>
            <w:tcW w:w="911" w:type="dxa"/>
            <w:shd w:val="clear" w:color="auto" w:fill="auto"/>
            <w:noWrap/>
            <w:vAlign w:val="bottom"/>
          </w:tcPr>
          <w:p w14:paraId="12353A06"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0.6</w:t>
            </w:r>
          </w:p>
        </w:tc>
        <w:tc>
          <w:tcPr>
            <w:tcW w:w="911" w:type="dxa"/>
            <w:shd w:val="clear" w:color="auto" w:fill="auto"/>
            <w:noWrap/>
            <w:vAlign w:val="bottom"/>
          </w:tcPr>
          <w:p w14:paraId="1EFFBF97"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88.3</w:t>
            </w:r>
          </w:p>
        </w:tc>
      </w:tr>
      <w:tr w:rsidR="00643D10" w:rsidRPr="00D9348B" w14:paraId="7EE68F81" w14:textId="77777777" w:rsidTr="00217967">
        <w:tc>
          <w:tcPr>
            <w:tcW w:w="1031" w:type="dxa"/>
            <w:vAlign w:val="bottom"/>
          </w:tcPr>
          <w:p w14:paraId="5DCF62B2" w14:textId="77777777" w:rsidR="00643D10" w:rsidRPr="00D9348B" w:rsidRDefault="00643D10" w:rsidP="00DB330E">
            <w:pPr>
              <w:pStyle w:val="TableText"/>
              <w:spacing w:before="40" w:after="40"/>
              <w:rPr>
                <w:rFonts w:cs="Arial"/>
                <w:szCs w:val="16"/>
              </w:rPr>
            </w:pPr>
            <w:r w:rsidRPr="00D9348B">
              <w:rPr>
                <w:rFonts w:cs="Arial"/>
                <w:bCs/>
                <w:color w:val="000000"/>
                <w:szCs w:val="16"/>
              </w:rPr>
              <w:t>3.G</w:t>
            </w:r>
          </w:p>
        </w:tc>
        <w:tc>
          <w:tcPr>
            <w:tcW w:w="4187" w:type="dxa"/>
            <w:shd w:val="clear" w:color="auto" w:fill="auto"/>
            <w:vAlign w:val="bottom"/>
          </w:tcPr>
          <w:p w14:paraId="780A2BD0" w14:textId="77777777" w:rsidR="00643D10" w:rsidRPr="00D9348B" w:rsidRDefault="00643D10" w:rsidP="00DB330E">
            <w:pPr>
              <w:pStyle w:val="TableText"/>
              <w:spacing w:before="40" w:after="40"/>
              <w:rPr>
                <w:rFonts w:cs="Arial"/>
                <w:szCs w:val="16"/>
              </w:rPr>
            </w:pPr>
            <w:r w:rsidRPr="00D9348B">
              <w:rPr>
                <w:rFonts w:cs="Arial"/>
                <w:bCs/>
                <w:color w:val="000000"/>
                <w:szCs w:val="16"/>
              </w:rPr>
              <w:t>Agriculture – Liming</w:t>
            </w:r>
          </w:p>
        </w:tc>
        <w:tc>
          <w:tcPr>
            <w:tcW w:w="611" w:type="dxa"/>
            <w:shd w:val="clear" w:color="auto" w:fill="auto"/>
            <w:vAlign w:val="bottom"/>
          </w:tcPr>
          <w:p w14:paraId="393FD302"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911" w:type="dxa"/>
            <w:shd w:val="clear" w:color="auto" w:fill="auto"/>
            <w:noWrap/>
            <w:vAlign w:val="bottom"/>
          </w:tcPr>
          <w:p w14:paraId="608EC4B9"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494.9</w:t>
            </w:r>
          </w:p>
        </w:tc>
        <w:tc>
          <w:tcPr>
            <w:tcW w:w="911" w:type="dxa"/>
            <w:shd w:val="clear" w:color="auto" w:fill="auto"/>
            <w:noWrap/>
            <w:vAlign w:val="bottom"/>
          </w:tcPr>
          <w:p w14:paraId="601DD49B"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0.6</w:t>
            </w:r>
          </w:p>
        </w:tc>
        <w:tc>
          <w:tcPr>
            <w:tcW w:w="911" w:type="dxa"/>
            <w:shd w:val="clear" w:color="auto" w:fill="auto"/>
            <w:noWrap/>
            <w:vAlign w:val="bottom"/>
          </w:tcPr>
          <w:p w14:paraId="7372319F"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88.9</w:t>
            </w:r>
          </w:p>
        </w:tc>
      </w:tr>
      <w:tr w:rsidR="00643D10" w:rsidRPr="00D9348B" w14:paraId="6CF3D22B" w14:textId="77777777" w:rsidTr="00217967">
        <w:tc>
          <w:tcPr>
            <w:tcW w:w="1031" w:type="dxa"/>
            <w:vAlign w:val="bottom"/>
          </w:tcPr>
          <w:p w14:paraId="6E1C33AF" w14:textId="77777777" w:rsidR="00643D10" w:rsidRPr="00D9348B" w:rsidRDefault="00643D10" w:rsidP="00DB330E">
            <w:pPr>
              <w:pStyle w:val="TableText"/>
              <w:spacing w:before="40" w:after="40"/>
              <w:rPr>
                <w:rFonts w:cs="Arial"/>
                <w:szCs w:val="16"/>
              </w:rPr>
            </w:pPr>
            <w:r w:rsidRPr="00D9348B">
              <w:rPr>
                <w:rFonts w:cs="Arial"/>
                <w:bCs/>
                <w:color w:val="000000"/>
                <w:szCs w:val="16"/>
              </w:rPr>
              <w:t>3.A.4</w:t>
            </w:r>
          </w:p>
        </w:tc>
        <w:tc>
          <w:tcPr>
            <w:tcW w:w="4187" w:type="dxa"/>
            <w:shd w:val="clear" w:color="auto" w:fill="auto"/>
            <w:vAlign w:val="bottom"/>
          </w:tcPr>
          <w:p w14:paraId="4AF7A919" w14:textId="77777777" w:rsidR="00643D10" w:rsidRPr="00D9348B" w:rsidRDefault="00643D10" w:rsidP="00DB330E">
            <w:pPr>
              <w:pStyle w:val="TableText"/>
              <w:spacing w:before="40" w:after="40"/>
              <w:rPr>
                <w:rFonts w:cs="Arial"/>
                <w:szCs w:val="16"/>
              </w:rPr>
            </w:pPr>
            <w:r w:rsidRPr="00D9348B">
              <w:rPr>
                <w:rFonts w:cs="Arial"/>
                <w:bCs/>
                <w:color w:val="000000"/>
                <w:szCs w:val="16"/>
              </w:rPr>
              <w:t>Other Livestock – Deer</w:t>
            </w:r>
          </w:p>
        </w:tc>
        <w:tc>
          <w:tcPr>
            <w:tcW w:w="611" w:type="dxa"/>
            <w:shd w:val="clear" w:color="auto" w:fill="auto"/>
            <w:vAlign w:val="bottom"/>
          </w:tcPr>
          <w:p w14:paraId="1A1F0CE9"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CH</w:t>
            </w:r>
            <w:r w:rsidRPr="00D9348B">
              <w:rPr>
                <w:rFonts w:cs="Arial"/>
                <w:color w:val="000000"/>
                <w:szCs w:val="16"/>
                <w:vertAlign w:val="subscript"/>
              </w:rPr>
              <w:t>4</w:t>
            </w:r>
          </w:p>
        </w:tc>
        <w:tc>
          <w:tcPr>
            <w:tcW w:w="911" w:type="dxa"/>
            <w:shd w:val="clear" w:color="auto" w:fill="auto"/>
            <w:noWrap/>
            <w:vAlign w:val="bottom"/>
          </w:tcPr>
          <w:p w14:paraId="343EFE8B"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488.0</w:t>
            </w:r>
          </w:p>
        </w:tc>
        <w:tc>
          <w:tcPr>
            <w:tcW w:w="911" w:type="dxa"/>
            <w:shd w:val="clear" w:color="auto" w:fill="auto"/>
            <w:noWrap/>
            <w:vAlign w:val="bottom"/>
          </w:tcPr>
          <w:p w14:paraId="6FB7E14D"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0.6</w:t>
            </w:r>
          </w:p>
        </w:tc>
        <w:tc>
          <w:tcPr>
            <w:tcW w:w="911" w:type="dxa"/>
            <w:shd w:val="clear" w:color="auto" w:fill="auto"/>
            <w:noWrap/>
            <w:vAlign w:val="bottom"/>
          </w:tcPr>
          <w:p w14:paraId="7C4B39C2"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89.5</w:t>
            </w:r>
          </w:p>
        </w:tc>
      </w:tr>
      <w:tr w:rsidR="00643D10" w:rsidRPr="00D9348B" w14:paraId="099BD4FA" w14:textId="77777777" w:rsidTr="00217967">
        <w:tc>
          <w:tcPr>
            <w:tcW w:w="1031" w:type="dxa"/>
            <w:vAlign w:val="bottom"/>
          </w:tcPr>
          <w:p w14:paraId="60D29DDA" w14:textId="77777777" w:rsidR="00643D10" w:rsidRPr="00D9348B" w:rsidRDefault="00643D10" w:rsidP="00DB330E">
            <w:pPr>
              <w:pStyle w:val="TableText"/>
              <w:spacing w:before="40" w:after="40"/>
              <w:rPr>
                <w:rFonts w:cs="Arial"/>
                <w:szCs w:val="16"/>
              </w:rPr>
            </w:pPr>
            <w:r w:rsidRPr="00D9348B">
              <w:rPr>
                <w:rFonts w:cs="Arial"/>
                <w:bCs/>
                <w:color w:val="000000"/>
                <w:szCs w:val="16"/>
              </w:rPr>
              <w:t>1.A.4.a</w:t>
            </w:r>
          </w:p>
        </w:tc>
        <w:tc>
          <w:tcPr>
            <w:tcW w:w="4187" w:type="dxa"/>
            <w:shd w:val="clear" w:color="auto" w:fill="auto"/>
            <w:vAlign w:val="bottom"/>
          </w:tcPr>
          <w:p w14:paraId="0AFE9322" w14:textId="77777777" w:rsidR="00643D10" w:rsidRPr="00D9348B" w:rsidRDefault="00643D10" w:rsidP="00DB330E">
            <w:pPr>
              <w:pStyle w:val="TableText"/>
              <w:spacing w:before="40" w:after="40"/>
              <w:rPr>
                <w:rFonts w:cs="Arial"/>
                <w:szCs w:val="16"/>
              </w:rPr>
            </w:pPr>
            <w:r w:rsidRPr="00D9348B">
              <w:rPr>
                <w:rFonts w:cs="Arial"/>
                <w:bCs/>
                <w:color w:val="000000"/>
                <w:szCs w:val="16"/>
              </w:rPr>
              <w:t>Other Sectors – Commercial/Institutional Gaseous Fuels</w:t>
            </w:r>
          </w:p>
        </w:tc>
        <w:tc>
          <w:tcPr>
            <w:tcW w:w="611" w:type="dxa"/>
            <w:shd w:val="clear" w:color="auto" w:fill="auto"/>
            <w:vAlign w:val="bottom"/>
          </w:tcPr>
          <w:p w14:paraId="635F3825"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911" w:type="dxa"/>
            <w:shd w:val="clear" w:color="auto" w:fill="auto"/>
            <w:noWrap/>
            <w:vAlign w:val="bottom"/>
          </w:tcPr>
          <w:p w14:paraId="56F9D781"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458.1</w:t>
            </w:r>
          </w:p>
        </w:tc>
        <w:tc>
          <w:tcPr>
            <w:tcW w:w="911" w:type="dxa"/>
            <w:shd w:val="clear" w:color="auto" w:fill="auto"/>
            <w:noWrap/>
            <w:vAlign w:val="bottom"/>
          </w:tcPr>
          <w:p w14:paraId="49CD5790"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0.6</w:t>
            </w:r>
          </w:p>
        </w:tc>
        <w:tc>
          <w:tcPr>
            <w:tcW w:w="911" w:type="dxa"/>
            <w:shd w:val="clear" w:color="auto" w:fill="auto"/>
            <w:noWrap/>
            <w:vAlign w:val="bottom"/>
          </w:tcPr>
          <w:p w14:paraId="65A51823"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90.1</w:t>
            </w:r>
          </w:p>
        </w:tc>
      </w:tr>
      <w:tr w:rsidR="00643D10" w:rsidRPr="00D9348B" w14:paraId="0AB0F585" w14:textId="77777777" w:rsidTr="00217967">
        <w:tc>
          <w:tcPr>
            <w:tcW w:w="1031" w:type="dxa"/>
            <w:vAlign w:val="bottom"/>
          </w:tcPr>
          <w:p w14:paraId="3A4641A1" w14:textId="77777777" w:rsidR="00643D10" w:rsidRPr="00D9348B" w:rsidRDefault="00643D10" w:rsidP="00DB330E">
            <w:pPr>
              <w:pStyle w:val="TableText"/>
              <w:spacing w:before="40" w:after="40"/>
              <w:rPr>
                <w:rFonts w:cs="Arial"/>
                <w:szCs w:val="16"/>
              </w:rPr>
            </w:pPr>
            <w:r w:rsidRPr="00D9348B">
              <w:rPr>
                <w:rFonts w:cs="Arial"/>
                <w:bCs/>
                <w:color w:val="000000"/>
                <w:szCs w:val="16"/>
              </w:rPr>
              <w:t>2.A.1</w:t>
            </w:r>
          </w:p>
        </w:tc>
        <w:tc>
          <w:tcPr>
            <w:tcW w:w="4187" w:type="dxa"/>
            <w:shd w:val="clear" w:color="auto" w:fill="auto"/>
            <w:vAlign w:val="bottom"/>
          </w:tcPr>
          <w:p w14:paraId="345089EB" w14:textId="77777777" w:rsidR="00643D10" w:rsidRPr="00D9348B" w:rsidRDefault="00643D10" w:rsidP="00DB330E">
            <w:pPr>
              <w:pStyle w:val="TableText"/>
              <w:spacing w:before="40" w:after="40"/>
              <w:rPr>
                <w:rFonts w:cs="Arial"/>
                <w:szCs w:val="16"/>
              </w:rPr>
            </w:pPr>
            <w:r w:rsidRPr="00D9348B">
              <w:rPr>
                <w:rFonts w:cs="Arial"/>
                <w:bCs/>
                <w:color w:val="000000"/>
                <w:szCs w:val="16"/>
              </w:rPr>
              <w:t>Mineral Industry – Cement Production</w:t>
            </w:r>
          </w:p>
        </w:tc>
        <w:tc>
          <w:tcPr>
            <w:tcW w:w="611" w:type="dxa"/>
            <w:shd w:val="clear" w:color="auto" w:fill="auto"/>
            <w:vAlign w:val="bottom"/>
          </w:tcPr>
          <w:p w14:paraId="10C7BA57"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911" w:type="dxa"/>
            <w:shd w:val="clear" w:color="auto" w:fill="auto"/>
            <w:noWrap/>
            <w:vAlign w:val="bottom"/>
          </w:tcPr>
          <w:p w14:paraId="59445766"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418.0</w:t>
            </w:r>
          </w:p>
        </w:tc>
        <w:tc>
          <w:tcPr>
            <w:tcW w:w="911" w:type="dxa"/>
            <w:shd w:val="clear" w:color="auto" w:fill="auto"/>
            <w:noWrap/>
            <w:vAlign w:val="bottom"/>
          </w:tcPr>
          <w:p w14:paraId="2DD9BBF2"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0.5</w:t>
            </w:r>
          </w:p>
        </w:tc>
        <w:tc>
          <w:tcPr>
            <w:tcW w:w="911" w:type="dxa"/>
            <w:shd w:val="clear" w:color="auto" w:fill="auto"/>
            <w:noWrap/>
            <w:vAlign w:val="bottom"/>
          </w:tcPr>
          <w:p w14:paraId="150C0F3B"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90.7</w:t>
            </w:r>
          </w:p>
        </w:tc>
      </w:tr>
      <w:tr w:rsidR="00643D10" w:rsidRPr="00D9348B" w14:paraId="47744122" w14:textId="77777777" w:rsidTr="00217967">
        <w:tc>
          <w:tcPr>
            <w:tcW w:w="1031" w:type="dxa"/>
            <w:vAlign w:val="bottom"/>
          </w:tcPr>
          <w:p w14:paraId="41C7B3CD" w14:textId="77777777" w:rsidR="00643D10" w:rsidRPr="00D9348B" w:rsidRDefault="00643D10" w:rsidP="00DB330E">
            <w:pPr>
              <w:pStyle w:val="TableText"/>
              <w:keepNext/>
              <w:spacing w:before="40" w:after="40"/>
              <w:rPr>
                <w:rFonts w:cs="Arial"/>
                <w:szCs w:val="16"/>
              </w:rPr>
            </w:pPr>
            <w:r w:rsidRPr="00D9348B">
              <w:rPr>
                <w:rFonts w:cs="Arial"/>
                <w:bCs/>
                <w:color w:val="000000"/>
                <w:szCs w:val="16"/>
              </w:rPr>
              <w:t>1.A.2.d</w:t>
            </w:r>
          </w:p>
        </w:tc>
        <w:tc>
          <w:tcPr>
            <w:tcW w:w="4187" w:type="dxa"/>
            <w:shd w:val="clear" w:color="auto" w:fill="auto"/>
            <w:vAlign w:val="bottom"/>
          </w:tcPr>
          <w:p w14:paraId="25499A10" w14:textId="77777777" w:rsidR="00643D10" w:rsidRPr="00D9348B" w:rsidRDefault="00643D10" w:rsidP="00DB330E">
            <w:pPr>
              <w:pStyle w:val="TableText"/>
              <w:spacing w:before="40" w:after="40"/>
              <w:rPr>
                <w:rFonts w:cs="Arial"/>
                <w:szCs w:val="16"/>
              </w:rPr>
            </w:pPr>
            <w:r w:rsidRPr="00D9348B">
              <w:rPr>
                <w:rFonts w:cs="Arial"/>
                <w:bCs/>
                <w:color w:val="000000"/>
                <w:szCs w:val="16"/>
              </w:rPr>
              <w:t>Manufacturing Industries and Construction – Pulp, Paper and Print Gaseous Fuels</w:t>
            </w:r>
          </w:p>
        </w:tc>
        <w:tc>
          <w:tcPr>
            <w:tcW w:w="611" w:type="dxa"/>
            <w:shd w:val="clear" w:color="auto" w:fill="auto"/>
            <w:vAlign w:val="bottom"/>
          </w:tcPr>
          <w:p w14:paraId="13A82272"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911" w:type="dxa"/>
            <w:shd w:val="clear" w:color="auto" w:fill="auto"/>
            <w:noWrap/>
            <w:vAlign w:val="bottom"/>
          </w:tcPr>
          <w:p w14:paraId="343E1F98"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376.7</w:t>
            </w:r>
          </w:p>
        </w:tc>
        <w:tc>
          <w:tcPr>
            <w:tcW w:w="911" w:type="dxa"/>
            <w:shd w:val="clear" w:color="auto" w:fill="auto"/>
            <w:noWrap/>
            <w:vAlign w:val="bottom"/>
          </w:tcPr>
          <w:p w14:paraId="4E4EDC31"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0.5</w:t>
            </w:r>
          </w:p>
        </w:tc>
        <w:tc>
          <w:tcPr>
            <w:tcW w:w="911" w:type="dxa"/>
            <w:shd w:val="clear" w:color="auto" w:fill="auto"/>
            <w:noWrap/>
            <w:vAlign w:val="bottom"/>
          </w:tcPr>
          <w:p w14:paraId="426212B3"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91.1</w:t>
            </w:r>
          </w:p>
        </w:tc>
      </w:tr>
      <w:tr w:rsidR="00643D10" w:rsidRPr="00D9348B" w14:paraId="3BCABA15" w14:textId="77777777" w:rsidTr="00217967">
        <w:tc>
          <w:tcPr>
            <w:tcW w:w="1031" w:type="dxa"/>
            <w:vAlign w:val="bottom"/>
          </w:tcPr>
          <w:p w14:paraId="51F3829A" w14:textId="77777777" w:rsidR="00643D10" w:rsidRPr="00D9348B" w:rsidRDefault="00643D10" w:rsidP="00DB330E">
            <w:pPr>
              <w:pStyle w:val="TableText"/>
              <w:spacing w:before="40" w:after="40"/>
              <w:rPr>
                <w:rFonts w:cs="Arial"/>
                <w:szCs w:val="16"/>
              </w:rPr>
            </w:pPr>
            <w:r w:rsidRPr="00D9348B">
              <w:rPr>
                <w:rFonts w:cs="Arial"/>
                <w:bCs/>
                <w:color w:val="000000"/>
                <w:szCs w:val="16"/>
              </w:rPr>
              <w:t>1.A.4.b</w:t>
            </w:r>
          </w:p>
        </w:tc>
        <w:tc>
          <w:tcPr>
            <w:tcW w:w="4187" w:type="dxa"/>
            <w:shd w:val="clear" w:color="auto" w:fill="auto"/>
            <w:vAlign w:val="bottom"/>
          </w:tcPr>
          <w:p w14:paraId="05E63234" w14:textId="77777777" w:rsidR="00643D10" w:rsidRPr="00D9348B" w:rsidRDefault="00643D10" w:rsidP="00DB330E">
            <w:pPr>
              <w:pStyle w:val="TableText"/>
              <w:spacing w:before="40" w:after="40"/>
              <w:rPr>
                <w:rFonts w:cs="Arial"/>
                <w:szCs w:val="16"/>
              </w:rPr>
            </w:pPr>
            <w:r w:rsidRPr="00D9348B">
              <w:rPr>
                <w:rFonts w:cs="Arial"/>
                <w:bCs/>
                <w:color w:val="000000"/>
                <w:szCs w:val="16"/>
              </w:rPr>
              <w:t>Other Sectors – Residential Gaseous Fuels</w:t>
            </w:r>
          </w:p>
        </w:tc>
        <w:tc>
          <w:tcPr>
            <w:tcW w:w="611" w:type="dxa"/>
            <w:shd w:val="clear" w:color="auto" w:fill="auto"/>
            <w:vAlign w:val="bottom"/>
          </w:tcPr>
          <w:p w14:paraId="6B20A9B6"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911" w:type="dxa"/>
            <w:shd w:val="clear" w:color="auto" w:fill="auto"/>
            <w:noWrap/>
            <w:vAlign w:val="bottom"/>
          </w:tcPr>
          <w:p w14:paraId="5F1BAD7E"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362.7</w:t>
            </w:r>
          </w:p>
        </w:tc>
        <w:tc>
          <w:tcPr>
            <w:tcW w:w="911" w:type="dxa"/>
            <w:shd w:val="clear" w:color="auto" w:fill="auto"/>
            <w:noWrap/>
            <w:vAlign w:val="bottom"/>
          </w:tcPr>
          <w:p w14:paraId="43DB96B6"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0.5</w:t>
            </w:r>
          </w:p>
        </w:tc>
        <w:tc>
          <w:tcPr>
            <w:tcW w:w="911" w:type="dxa"/>
            <w:shd w:val="clear" w:color="auto" w:fill="auto"/>
            <w:noWrap/>
            <w:vAlign w:val="bottom"/>
          </w:tcPr>
          <w:p w14:paraId="5A319916"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91.6</w:t>
            </w:r>
          </w:p>
        </w:tc>
      </w:tr>
      <w:tr w:rsidR="00643D10" w:rsidRPr="00D9348B" w14:paraId="70C031E2" w14:textId="77777777" w:rsidTr="00217967">
        <w:tc>
          <w:tcPr>
            <w:tcW w:w="1031" w:type="dxa"/>
            <w:vAlign w:val="bottom"/>
          </w:tcPr>
          <w:p w14:paraId="6B519057" w14:textId="77777777" w:rsidR="00643D10" w:rsidRPr="00D9348B" w:rsidRDefault="00643D10" w:rsidP="00DB330E">
            <w:pPr>
              <w:pStyle w:val="TableText"/>
              <w:spacing w:before="40" w:after="40"/>
              <w:rPr>
                <w:rFonts w:cs="Arial"/>
                <w:szCs w:val="16"/>
              </w:rPr>
            </w:pPr>
            <w:r w:rsidRPr="00D9348B">
              <w:rPr>
                <w:rFonts w:cs="Arial"/>
                <w:bCs/>
                <w:color w:val="000000"/>
                <w:szCs w:val="16"/>
              </w:rPr>
              <w:t>1.B.2.c.1.ii</w:t>
            </w:r>
          </w:p>
        </w:tc>
        <w:tc>
          <w:tcPr>
            <w:tcW w:w="4187" w:type="dxa"/>
            <w:shd w:val="clear" w:color="auto" w:fill="auto"/>
            <w:vAlign w:val="bottom"/>
          </w:tcPr>
          <w:p w14:paraId="331B5C35" w14:textId="77777777" w:rsidR="00643D10" w:rsidRPr="00D9348B" w:rsidRDefault="00643D10" w:rsidP="00DB330E">
            <w:pPr>
              <w:pStyle w:val="TableText"/>
              <w:spacing w:before="40" w:after="40"/>
              <w:rPr>
                <w:rFonts w:cs="Arial"/>
                <w:szCs w:val="16"/>
              </w:rPr>
            </w:pPr>
            <w:r w:rsidRPr="00D9348B">
              <w:rPr>
                <w:rFonts w:cs="Arial"/>
                <w:bCs/>
                <w:color w:val="000000"/>
                <w:szCs w:val="16"/>
              </w:rPr>
              <w:t>Venting – Gas</w:t>
            </w:r>
          </w:p>
        </w:tc>
        <w:tc>
          <w:tcPr>
            <w:tcW w:w="611" w:type="dxa"/>
            <w:shd w:val="clear" w:color="auto" w:fill="auto"/>
            <w:vAlign w:val="bottom"/>
          </w:tcPr>
          <w:p w14:paraId="3BAD27CF"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911" w:type="dxa"/>
            <w:shd w:val="clear" w:color="auto" w:fill="auto"/>
            <w:noWrap/>
            <w:vAlign w:val="bottom"/>
          </w:tcPr>
          <w:p w14:paraId="7CDCFFC5"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287.0</w:t>
            </w:r>
          </w:p>
        </w:tc>
        <w:tc>
          <w:tcPr>
            <w:tcW w:w="911" w:type="dxa"/>
            <w:shd w:val="clear" w:color="auto" w:fill="auto"/>
            <w:noWrap/>
            <w:vAlign w:val="bottom"/>
          </w:tcPr>
          <w:p w14:paraId="454D2506"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0.4</w:t>
            </w:r>
          </w:p>
        </w:tc>
        <w:tc>
          <w:tcPr>
            <w:tcW w:w="911" w:type="dxa"/>
            <w:shd w:val="clear" w:color="auto" w:fill="auto"/>
            <w:noWrap/>
            <w:vAlign w:val="bottom"/>
          </w:tcPr>
          <w:p w14:paraId="3B9225C8"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92.0</w:t>
            </w:r>
          </w:p>
        </w:tc>
      </w:tr>
      <w:tr w:rsidR="00643D10" w:rsidRPr="00D9348B" w14:paraId="660C6DCD" w14:textId="77777777" w:rsidTr="00217967">
        <w:tc>
          <w:tcPr>
            <w:tcW w:w="1031" w:type="dxa"/>
            <w:vAlign w:val="bottom"/>
          </w:tcPr>
          <w:p w14:paraId="1846AF34" w14:textId="77777777" w:rsidR="00643D10" w:rsidRPr="00D9348B" w:rsidRDefault="00643D10" w:rsidP="00DB330E">
            <w:pPr>
              <w:pStyle w:val="TableText"/>
              <w:spacing w:before="40" w:after="40"/>
              <w:rPr>
                <w:rFonts w:cs="Arial"/>
                <w:szCs w:val="16"/>
              </w:rPr>
            </w:pPr>
            <w:r w:rsidRPr="00D9348B">
              <w:rPr>
                <w:rFonts w:cs="Arial"/>
                <w:bCs/>
                <w:color w:val="000000"/>
                <w:szCs w:val="16"/>
              </w:rPr>
              <w:t>1.A.2.f</w:t>
            </w:r>
          </w:p>
        </w:tc>
        <w:tc>
          <w:tcPr>
            <w:tcW w:w="4187" w:type="dxa"/>
            <w:shd w:val="clear" w:color="auto" w:fill="auto"/>
            <w:vAlign w:val="bottom"/>
          </w:tcPr>
          <w:p w14:paraId="6ABC1A5B" w14:textId="77777777" w:rsidR="00643D10" w:rsidRPr="00D9348B" w:rsidRDefault="00643D10" w:rsidP="00DB330E">
            <w:pPr>
              <w:pStyle w:val="TableText"/>
              <w:spacing w:before="40" w:after="40"/>
              <w:rPr>
                <w:rFonts w:cs="Arial"/>
                <w:szCs w:val="16"/>
              </w:rPr>
            </w:pPr>
            <w:r w:rsidRPr="00D9348B">
              <w:rPr>
                <w:rFonts w:cs="Arial"/>
                <w:bCs/>
                <w:color w:val="000000"/>
                <w:szCs w:val="16"/>
              </w:rPr>
              <w:t>Manufacturing Industries and Construction – Non-metallic Minerals Solid Fuels</w:t>
            </w:r>
          </w:p>
        </w:tc>
        <w:tc>
          <w:tcPr>
            <w:tcW w:w="611" w:type="dxa"/>
            <w:shd w:val="clear" w:color="auto" w:fill="auto"/>
            <w:vAlign w:val="bottom"/>
          </w:tcPr>
          <w:p w14:paraId="4D4C054D"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911" w:type="dxa"/>
            <w:shd w:val="clear" w:color="auto" w:fill="auto"/>
            <w:noWrap/>
            <w:vAlign w:val="bottom"/>
          </w:tcPr>
          <w:p w14:paraId="7874388E"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265.4</w:t>
            </w:r>
          </w:p>
        </w:tc>
        <w:tc>
          <w:tcPr>
            <w:tcW w:w="911" w:type="dxa"/>
            <w:shd w:val="clear" w:color="auto" w:fill="auto"/>
            <w:noWrap/>
            <w:vAlign w:val="bottom"/>
          </w:tcPr>
          <w:p w14:paraId="1DAA9AC5"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0.3</w:t>
            </w:r>
          </w:p>
        </w:tc>
        <w:tc>
          <w:tcPr>
            <w:tcW w:w="911" w:type="dxa"/>
            <w:shd w:val="clear" w:color="auto" w:fill="auto"/>
            <w:noWrap/>
            <w:vAlign w:val="bottom"/>
          </w:tcPr>
          <w:p w14:paraId="350042B8"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92.3</w:t>
            </w:r>
          </w:p>
        </w:tc>
      </w:tr>
      <w:tr w:rsidR="00643D10" w:rsidRPr="00D9348B" w14:paraId="45F8A654" w14:textId="77777777" w:rsidTr="00217967">
        <w:tc>
          <w:tcPr>
            <w:tcW w:w="1031" w:type="dxa"/>
            <w:vAlign w:val="bottom"/>
          </w:tcPr>
          <w:p w14:paraId="05DD2CF7" w14:textId="77777777" w:rsidR="00643D10" w:rsidRPr="00D9348B" w:rsidRDefault="00643D10" w:rsidP="00DB330E">
            <w:pPr>
              <w:pStyle w:val="TableText"/>
              <w:spacing w:before="40" w:after="40"/>
              <w:rPr>
                <w:rFonts w:cs="Arial"/>
                <w:szCs w:val="16"/>
              </w:rPr>
            </w:pPr>
            <w:r w:rsidRPr="00D9348B">
              <w:rPr>
                <w:rFonts w:cs="Arial"/>
                <w:bCs/>
                <w:color w:val="000000"/>
                <w:szCs w:val="16"/>
              </w:rPr>
              <w:t>1.A.3.d</w:t>
            </w:r>
          </w:p>
        </w:tc>
        <w:tc>
          <w:tcPr>
            <w:tcW w:w="4187" w:type="dxa"/>
            <w:shd w:val="clear" w:color="auto" w:fill="auto"/>
            <w:vAlign w:val="bottom"/>
          </w:tcPr>
          <w:p w14:paraId="1112AAE4" w14:textId="77777777" w:rsidR="00643D10" w:rsidRPr="00D9348B" w:rsidRDefault="00643D10" w:rsidP="00DB330E">
            <w:pPr>
              <w:pStyle w:val="TableText"/>
              <w:spacing w:before="40" w:after="40"/>
              <w:rPr>
                <w:rFonts w:cs="Arial"/>
                <w:szCs w:val="16"/>
              </w:rPr>
            </w:pPr>
            <w:r w:rsidRPr="00D9348B">
              <w:rPr>
                <w:rFonts w:cs="Arial"/>
                <w:bCs/>
                <w:color w:val="000000"/>
                <w:szCs w:val="16"/>
              </w:rPr>
              <w:t>Domestic Navigation – Residual Fuel Oil</w:t>
            </w:r>
          </w:p>
        </w:tc>
        <w:tc>
          <w:tcPr>
            <w:tcW w:w="611" w:type="dxa"/>
            <w:shd w:val="clear" w:color="auto" w:fill="auto"/>
            <w:vAlign w:val="bottom"/>
          </w:tcPr>
          <w:p w14:paraId="1432B849"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911" w:type="dxa"/>
            <w:shd w:val="clear" w:color="auto" w:fill="auto"/>
            <w:noWrap/>
            <w:vAlign w:val="bottom"/>
          </w:tcPr>
          <w:p w14:paraId="78D4789F"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265.0</w:t>
            </w:r>
          </w:p>
        </w:tc>
        <w:tc>
          <w:tcPr>
            <w:tcW w:w="911" w:type="dxa"/>
            <w:shd w:val="clear" w:color="auto" w:fill="auto"/>
            <w:noWrap/>
            <w:vAlign w:val="bottom"/>
          </w:tcPr>
          <w:p w14:paraId="0A245D22"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0.3</w:t>
            </w:r>
          </w:p>
        </w:tc>
        <w:tc>
          <w:tcPr>
            <w:tcW w:w="911" w:type="dxa"/>
            <w:shd w:val="clear" w:color="auto" w:fill="auto"/>
            <w:noWrap/>
            <w:vAlign w:val="bottom"/>
          </w:tcPr>
          <w:p w14:paraId="30158E16"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92.6</w:t>
            </w:r>
          </w:p>
        </w:tc>
      </w:tr>
      <w:tr w:rsidR="00643D10" w:rsidRPr="00D9348B" w14:paraId="477D22B0" w14:textId="77777777" w:rsidTr="00217967">
        <w:tc>
          <w:tcPr>
            <w:tcW w:w="1031" w:type="dxa"/>
            <w:vAlign w:val="bottom"/>
          </w:tcPr>
          <w:p w14:paraId="6F11B12A" w14:textId="77777777" w:rsidR="00643D10" w:rsidRPr="00D9348B" w:rsidRDefault="00643D10" w:rsidP="00DB330E">
            <w:pPr>
              <w:pStyle w:val="TableText"/>
              <w:spacing w:before="40" w:after="40"/>
              <w:rPr>
                <w:rFonts w:cs="Arial"/>
                <w:szCs w:val="16"/>
              </w:rPr>
            </w:pPr>
            <w:r w:rsidRPr="00D9348B">
              <w:rPr>
                <w:rFonts w:cs="Arial"/>
                <w:bCs/>
                <w:color w:val="000000"/>
                <w:szCs w:val="16"/>
              </w:rPr>
              <w:t>1.A.4.a</w:t>
            </w:r>
          </w:p>
        </w:tc>
        <w:tc>
          <w:tcPr>
            <w:tcW w:w="4187" w:type="dxa"/>
            <w:shd w:val="clear" w:color="auto" w:fill="auto"/>
            <w:vAlign w:val="bottom"/>
          </w:tcPr>
          <w:p w14:paraId="14C6917F" w14:textId="77777777" w:rsidR="00643D10" w:rsidRPr="00D9348B" w:rsidRDefault="00643D10" w:rsidP="00DB330E">
            <w:pPr>
              <w:pStyle w:val="TableText"/>
              <w:spacing w:before="40" w:after="40"/>
              <w:rPr>
                <w:rFonts w:cs="Arial"/>
                <w:szCs w:val="16"/>
              </w:rPr>
            </w:pPr>
            <w:r w:rsidRPr="00D9348B">
              <w:rPr>
                <w:rFonts w:cs="Arial"/>
                <w:bCs/>
                <w:color w:val="000000"/>
                <w:szCs w:val="16"/>
              </w:rPr>
              <w:t>Other Sectors – Commercial/Institutional Liquid Fuels</w:t>
            </w:r>
          </w:p>
        </w:tc>
        <w:tc>
          <w:tcPr>
            <w:tcW w:w="611" w:type="dxa"/>
            <w:shd w:val="clear" w:color="auto" w:fill="auto"/>
            <w:vAlign w:val="bottom"/>
          </w:tcPr>
          <w:p w14:paraId="20C864B8"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911" w:type="dxa"/>
            <w:shd w:val="clear" w:color="auto" w:fill="auto"/>
            <w:noWrap/>
            <w:vAlign w:val="bottom"/>
          </w:tcPr>
          <w:p w14:paraId="42CCA76F"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260.9</w:t>
            </w:r>
          </w:p>
        </w:tc>
        <w:tc>
          <w:tcPr>
            <w:tcW w:w="911" w:type="dxa"/>
            <w:shd w:val="clear" w:color="auto" w:fill="auto"/>
            <w:noWrap/>
            <w:vAlign w:val="bottom"/>
          </w:tcPr>
          <w:p w14:paraId="404016D4"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0.3</w:t>
            </w:r>
          </w:p>
        </w:tc>
        <w:tc>
          <w:tcPr>
            <w:tcW w:w="911" w:type="dxa"/>
            <w:shd w:val="clear" w:color="auto" w:fill="auto"/>
            <w:noWrap/>
            <w:vAlign w:val="bottom"/>
          </w:tcPr>
          <w:p w14:paraId="75B8A41F"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93.0</w:t>
            </w:r>
          </w:p>
        </w:tc>
      </w:tr>
      <w:tr w:rsidR="00643D10" w:rsidRPr="00D9348B" w14:paraId="7EE904B2" w14:textId="77777777" w:rsidTr="00217967">
        <w:tc>
          <w:tcPr>
            <w:tcW w:w="1031" w:type="dxa"/>
            <w:vAlign w:val="bottom"/>
          </w:tcPr>
          <w:p w14:paraId="26A8834B" w14:textId="77777777" w:rsidR="00643D10" w:rsidRPr="00D9348B" w:rsidRDefault="00643D10" w:rsidP="00DB330E">
            <w:pPr>
              <w:pStyle w:val="TableText"/>
              <w:spacing w:before="40" w:after="40"/>
              <w:rPr>
                <w:rFonts w:cs="Arial"/>
                <w:szCs w:val="16"/>
              </w:rPr>
            </w:pPr>
            <w:r w:rsidRPr="00D9348B">
              <w:rPr>
                <w:rFonts w:cs="Arial"/>
                <w:bCs/>
                <w:color w:val="000000"/>
                <w:szCs w:val="16"/>
              </w:rPr>
              <w:t>1.A.1.c</w:t>
            </w:r>
          </w:p>
        </w:tc>
        <w:tc>
          <w:tcPr>
            <w:tcW w:w="4187" w:type="dxa"/>
            <w:shd w:val="clear" w:color="auto" w:fill="auto"/>
            <w:vAlign w:val="bottom"/>
          </w:tcPr>
          <w:p w14:paraId="29C1A76B" w14:textId="77777777" w:rsidR="00643D10" w:rsidRPr="00D9348B" w:rsidRDefault="00643D10" w:rsidP="00DB330E">
            <w:pPr>
              <w:pStyle w:val="TableText"/>
              <w:spacing w:before="40" w:after="40"/>
              <w:rPr>
                <w:rFonts w:cs="Arial"/>
                <w:szCs w:val="16"/>
              </w:rPr>
            </w:pPr>
            <w:r w:rsidRPr="00D9348B">
              <w:rPr>
                <w:rFonts w:cs="Arial"/>
                <w:bCs/>
                <w:color w:val="000000"/>
                <w:szCs w:val="16"/>
              </w:rPr>
              <w:t>Energy Industries – Manufacture of Solid Fuels and Other Energy Industries Gaseous Fuels</w:t>
            </w:r>
          </w:p>
        </w:tc>
        <w:tc>
          <w:tcPr>
            <w:tcW w:w="611" w:type="dxa"/>
            <w:shd w:val="clear" w:color="auto" w:fill="auto"/>
            <w:vAlign w:val="bottom"/>
          </w:tcPr>
          <w:p w14:paraId="05407F2E"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911" w:type="dxa"/>
            <w:shd w:val="clear" w:color="auto" w:fill="auto"/>
            <w:noWrap/>
            <w:vAlign w:val="bottom"/>
          </w:tcPr>
          <w:p w14:paraId="165BA9E2"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257.3</w:t>
            </w:r>
          </w:p>
        </w:tc>
        <w:tc>
          <w:tcPr>
            <w:tcW w:w="911" w:type="dxa"/>
            <w:shd w:val="clear" w:color="auto" w:fill="auto"/>
            <w:noWrap/>
            <w:vAlign w:val="bottom"/>
          </w:tcPr>
          <w:p w14:paraId="5590EFFC"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0.3</w:t>
            </w:r>
          </w:p>
        </w:tc>
        <w:tc>
          <w:tcPr>
            <w:tcW w:w="911" w:type="dxa"/>
            <w:shd w:val="clear" w:color="auto" w:fill="auto"/>
            <w:noWrap/>
            <w:vAlign w:val="bottom"/>
          </w:tcPr>
          <w:p w14:paraId="345368D2"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93.3</w:t>
            </w:r>
          </w:p>
        </w:tc>
      </w:tr>
      <w:tr w:rsidR="00643D10" w:rsidRPr="00D9348B" w14:paraId="301C511B" w14:textId="77777777" w:rsidTr="00217967">
        <w:tc>
          <w:tcPr>
            <w:tcW w:w="1031" w:type="dxa"/>
            <w:vAlign w:val="bottom"/>
          </w:tcPr>
          <w:p w14:paraId="4C661AA6" w14:textId="77777777" w:rsidR="00643D10" w:rsidRPr="00D9348B" w:rsidRDefault="00643D10" w:rsidP="00DB330E">
            <w:pPr>
              <w:pStyle w:val="TableText"/>
              <w:spacing w:before="40" w:after="40"/>
              <w:rPr>
                <w:rFonts w:cs="Arial"/>
                <w:szCs w:val="16"/>
              </w:rPr>
            </w:pPr>
            <w:r w:rsidRPr="00D9348B">
              <w:rPr>
                <w:rFonts w:cs="Arial"/>
                <w:bCs/>
                <w:color w:val="000000"/>
                <w:szCs w:val="16"/>
              </w:rPr>
              <w:t>1.A.2.e</w:t>
            </w:r>
          </w:p>
        </w:tc>
        <w:tc>
          <w:tcPr>
            <w:tcW w:w="4187" w:type="dxa"/>
            <w:shd w:val="clear" w:color="auto" w:fill="auto"/>
            <w:vAlign w:val="bottom"/>
          </w:tcPr>
          <w:p w14:paraId="0419210F" w14:textId="77777777" w:rsidR="00643D10" w:rsidRPr="00D9348B" w:rsidRDefault="00643D10" w:rsidP="00DB330E">
            <w:pPr>
              <w:pStyle w:val="TableText"/>
              <w:spacing w:before="40" w:after="40"/>
              <w:rPr>
                <w:rFonts w:cs="Arial"/>
                <w:szCs w:val="16"/>
              </w:rPr>
            </w:pPr>
            <w:r w:rsidRPr="00D9348B">
              <w:rPr>
                <w:rFonts w:cs="Arial"/>
                <w:bCs/>
                <w:color w:val="000000"/>
                <w:szCs w:val="16"/>
              </w:rPr>
              <w:t>Manufacturing Industries and Construction – Food Processing, Beverages and Tobacco Liquid Fuels</w:t>
            </w:r>
          </w:p>
        </w:tc>
        <w:tc>
          <w:tcPr>
            <w:tcW w:w="611" w:type="dxa"/>
            <w:shd w:val="clear" w:color="auto" w:fill="auto"/>
            <w:vAlign w:val="bottom"/>
          </w:tcPr>
          <w:p w14:paraId="5315EC41"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911" w:type="dxa"/>
            <w:shd w:val="clear" w:color="auto" w:fill="auto"/>
            <w:noWrap/>
            <w:vAlign w:val="bottom"/>
          </w:tcPr>
          <w:p w14:paraId="0B154F1C"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256.2</w:t>
            </w:r>
          </w:p>
        </w:tc>
        <w:tc>
          <w:tcPr>
            <w:tcW w:w="911" w:type="dxa"/>
            <w:shd w:val="clear" w:color="auto" w:fill="auto"/>
            <w:noWrap/>
            <w:vAlign w:val="bottom"/>
          </w:tcPr>
          <w:p w14:paraId="4B88A250"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0.3</w:t>
            </w:r>
          </w:p>
        </w:tc>
        <w:tc>
          <w:tcPr>
            <w:tcW w:w="911" w:type="dxa"/>
            <w:shd w:val="clear" w:color="auto" w:fill="auto"/>
            <w:noWrap/>
            <w:vAlign w:val="bottom"/>
          </w:tcPr>
          <w:p w14:paraId="53C7B94B"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93.6</w:t>
            </w:r>
          </w:p>
        </w:tc>
      </w:tr>
      <w:tr w:rsidR="00643D10" w:rsidRPr="00D9348B" w14:paraId="1A644AFE" w14:textId="77777777" w:rsidTr="00217967">
        <w:tc>
          <w:tcPr>
            <w:tcW w:w="1031" w:type="dxa"/>
            <w:vAlign w:val="bottom"/>
          </w:tcPr>
          <w:p w14:paraId="49605100" w14:textId="77777777" w:rsidR="00643D10" w:rsidRPr="00D9348B" w:rsidRDefault="00643D10" w:rsidP="00DB330E">
            <w:pPr>
              <w:pStyle w:val="TableText"/>
              <w:keepNext/>
              <w:spacing w:before="40" w:after="40"/>
              <w:rPr>
                <w:rFonts w:cs="Arial"/>
                <w:szCs w:val="16"/>
              </w:rPr>
            </w:pPr>
            <w:r w:rsidRPr="00D9348B">
              <w:rPr>
                <w:rFonts w:cs="Arial"/>
                <w:bCs/>
                <w:color w:val="000000"/>
                <w:szCs w:val="16"/>
              </w:rPr>
              <w:t>3.D.1.4</w:t>
            </w:r>
          </w:p>
        </w:tc>
        <w:tc>
          <w:tcPr>
            <w:tcW w:w="4187" w:type="dxa"/>
            <w:shd w:val="clear" w:color="auto" w:fill="auto"/>
            <w:vAlign w:val="bottom"/>
          </w:tcPr>
          <w:p w14:paraId="0F103ED3" w14:textId="77777777" w:rsidR="00643D10" w:rsidRPr="00D9348B" w:rsidRDefault="00643D10" w:rsidP="00DB330E">
            <w:pPr>
              <w:pStyle w:val="TableText"/>
              <w:spacing w:before="40" w:after="40"/>
              <w:rPr>
                <w:rFonts w:cs="Arial"/>
                <w:szCs w:val="16"/>
              </w:rPr>
            </w:pPr>
            <w:r w:rsidRPr="00D9348B">
              <w:rPr>
                <w:rFonts w:cs="Arial"/>
                <w:bCs/>
                <w:color w:val="000000"/>
                <w:szCs w:val="16"/>
              </w:rPr>
              <w:t>Direct N</w:t>
            </w:r>
            <w:r w:rsidRPr="00D9348B">
              <w:rPr>
                <w:rFonts w:cs="Arial"/>
                <w:bCs/>
                <w:color w:val="000000"/>
                <w:szCs w:val="16"/>
                <w:vertAlign w:val="subscript"/>
              </w:rPr>
              <w:t>2</w:t>
            </w:r>
            <w:r w:rsidRPr="00D9348B">
              <w:rPr>
                <w:rFonts w:cs="Arial"/>
                <w:bCs/>
                <w:color w:val="000000"/>
                <w:szCs w:val="16"/>
              </w:rPr>
              <w:t>O Emissions From Managed Soils – Crop Residues</w:t>
            </w:r>
          </w:p>
        </w:tc>
        <w:tc>
          <w:tcPr>
            <w:tcW w:w="611" w:type="dxa"/>
            <w:shd w:val="clear" w:color="auto" w:fill="auto"/>
            <w:vAlign w:val="bottom"/>
          </w:tcPr>
          <w:p w14:paraId="7D46E59D"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N</w:t>
            </w:r>
            <w:r w:rsidRPr="00D9348B">
              <w:rPr>
                <w:rFonts w:cs="Arial"/>
                <w:color w:val="000000"/>
                <w:szCs w:val="16"/>
                <w:vertAlign w:val="subscript"/>
              </w:rPr>
              <w:t>2</w:t>
            </w:r>
            <w:r w:rsidRPr="00D9348B">
              <w:rPr>
                <w:rFonts w:cs="Arial"/>
                <w:color w:val="000000"/>
                <w:szCs w:val="16"/>
              </w:rPr>
              <w:t>O</w:t>
            </w:r>
          </w:p>
        </w:tc>
        <w:tc>
          <w:tcPr>
            <w:tcW w:w="911" w:type="dxa"/>
            <w:shd w:val="clear" w:color="auto" w:fill="auto"/>
            <w:noWrap/>
            <w:vAlign w:val="bottom"/>
          </w:tcPr>
          <w:p w14:paraId="23E3A462"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253.2</w:t>
            </w:r>
          </w:p>
        </w:tc>
        <w:tc>
          <w:tcPr>
            <w:tcW w:w="911" w:type="dxa"/>
            <w:shd w:val="clear" w:color="auto" w:fill="auto"/>
            <w:noWrap/>
            <w:vAlign w:val="bottom"/>
          </w:tcPr>
          <w:p w14:paraId="6F261040"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0.3</w:t>
            </w:r>
          </w:p>
        </w:tc>
        <w:tc>
          <w:tcPr>
            <w:tcW w:w="911" w:type="dxa"/>
            <w:shd w:val="clear" w:color="auto" w:fill="auto"/>
            <w:noWrap/>
            <w:vAlign w:val="bottom"/>
          </w:tcPr>
          <w:p w14:paraId="224A607C"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93.9</w:t>
            </w:r>
          </w:p>
        </w:tc>
      </w:tr>
      <w:tr w:rsidR="00643D10" w:rsidRPr="00D9348B" w14:paraId="250AA150" w14:textId="77777777" w:rsidTr="00217967">
        <w:trPr>
          <w:trHeight w:val="367"/>
        </w:trPr>
        <w:tc>
          <w:tcPr>
            <w:tcW w:w="1031" w:type="dxa"/>
            <w:vAlign w:val="bottom"/>
          </w:tcPr>
          <w:p w14:paraId="149DB2DD" w14:textId="77777777" w:rsidR="00643D10" w:rsidRPr="00D9348B" w:rsidRDefault="00643D10" w:rsidP="00DB330E">
            <w:pPr>
              <w:pStyle w:val="TableText"/>
              <w:spacing w:before="40" w:after="40"/>
              <w:rPr>
                <w:rFonts w:cs="Arial"/>
                <w:szCs w:val="16"/>
              </w:rPr>
            </w:pPr>
            <w:r w:rsidRPr="00D9348B">
              <w:rPr>
                <w:rFonts w:cs="Arial"/>
                <w:bCs/>
                <w:color w:val="000000"/>
                <w:szCs w:val="16"/>
              </w:rPr>
              <w:t>5.D</w:t>
            </w:r>
          </w:p>
        </w:tc>
        <w:tc>
          <w:tcPr>
            <w:tcW w:w="4187" w:type="dxa"/>
            <w:shd w:val="clear" w:color="auto" w:fill="auto"/>
            <w:vAlign w:val="bottom"/>
          </w:tcPr>
          <w:p w14:paraId="00E391CB" w14:textId="77777777" w:rsidR="00643D10" w:rsidRPr="00D9348B" w:rsidRDefault="00643D10" w:rsidP="00DB330E">
            <w:pPr>
              <w:pStyle w:val="TableText"/>
              <w:spacing w:before="40" w:after="40"/>
              <w:rPr>
                <w:rFonts w:cs="Arial"/>
                <w:szCs w:val="16"/>
              </w:rPr>
            </w:pPr>
            <w:r w:rsidRPr="00D9348B">
              <w:rPr>
                <w:rFonts w:cs="Arial"/>
                <w:bCs/>
                <w:color w:val="000000"/>
                <w:szCs w:val="16"/>
              </w:rPr>
              <w:t>Waste – Wastewater Treatment and Discharge</w:t>
            </w:r>
          </w:p>
        </w:tc>
        <w:tc>
          <w:tcPr>
            <w:tcW w:w="611" w:type="dxa"/>
            <w:shd w:val="clear" w:color="auto" w:fill="auto"/>
            <w:vAlign w:val="bottom"/>
          </w:tcPr>
          <w:p w14:paraId="355CD37E"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CH</w:t>
            </w:r>
            <w:r w:rsidRPr="00D9348B">
              <w:rPr>
                <w:rFonts w:cs="Arial"/>
                <w:color w:val="000000"/>
                <w:szCs w:val="16"/>
                <w:vertAlign w:val="subscript"/>
              </w:rPr>
              <w:t>4</w:t>
            </w:r>
          </w:p>
        </w:tc>
        <w:tc>
          <w:tcPr>
            <w:tcW w:w="911" w:type="dxa"/>
            <w:shd w:val="clear" w:color="auto" w:fill="auto"/>
            <w:noWrap/>
            <w:vAlign w:val="bottom"/>
          </w:tcPr>
          <w:p w14:paraId="452A4BD6"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246.4</w:t>
            </w:r>
          </w:p>
        </w:tc>
        <w:tc>
          <w:tcPr>
            <w:tcW w:w="911" w:type="dxa"/>
            <w:shd w:val="clear" w:color="auto" w:fill="auto"/>
            <w:noWrap/>
            <w:vAlign w:val="bottom"/>
          </w:tcPr>
          <w:p w14:paraId="02AC2587"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0.3</w:t>
            </w:r>
          </w:p>
        </w:tc>
        <w:tc>
          <w:tcPr>
            <w:tcW w:w="911" w:type="dxa"/>
            <w:shd w:val="clear" w:color="auto" w:fill="auto"/>
            <w:noWrap/>
            <w:vAlign w:val="bottom"/>
          </w:tcPr>
          <w:p w14:paraId="2128607F"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94.2</w:t>
            </w:r>
          </w:p>
        </w:tc>
      </w:tr>
      <w:tr w:rsidR="00643D10" w:rsidRPr="00D9348B" w14:paraId="7FDE29DB" w14:textId="77777777" w:rsidTr="00217967">
        <w:tc>
          <w:tcPr>
            <w:tcW w:w="1031" w:type="dxa"/>
            <w:vAlign w:val="bottom"/>
          </w:tcPr>
          <w:p w14:paraId="23DB34E2" w14:textId="77777777" w:rsidR="00643D10" w:rsidRPr="00D9348B" w:rsidRDefault="00643D10" w:rsidP="00DB330E">
            <w:pPr>
              <w:pStyle w:val="TableText"/>
              <w:spacing w:before="40" w:after="40"/>
              <w:rPr>
                <w:rFonts w:cs="Arial"/>
                <w:szCs w:val="16"/>
              </w:rPr>
            </w:pPr>
            <w:r w:rsidRPr="00D9348B">
              <w:rPr>
                <w:rFonts w:cs="Arial"/>
                <w:bCs/>
                <w:color w:val="000000"/>
                <w:szCs w:val="16"/>
              </w:rPr>
              <w:t>1.A.4.b</w:t>
            </w:r>
          </w:p>
        </w:tc>
        <w:tc>
          <w:tcPr>
            <w:tcW w:w="4187" w:type="dxa"/>
            <w:shd w:val="clear" w:color="auto" w:fill="auto"/>
            <w:vAlign w:val="bottom"/>
          </w:tcPr>
          <w:p w14:paraId="2B888C22" w14:textId="77777777" w:rsidR="00643D10" w:rsidRPr="00D9348B" w:rsidRDefault="00643D10" w:rsidP="00DB330E">
            <w:pPr>
              <w:pStyle w:val="TableText"/>
              <w:spacing w:before="40" w:after="40"/>
              <w:rPr>
                <w:rFonts w:cs="Arial"/>
                <w:szCs w:val="16"/>
              </w:rPr>
            </w:pPr>
            <w:r w:rsidRPr="00D9348B">
              <w:rPr>
                <w:rFonts w:cs="Arial"/>
                <w:bCs/>
                <w:color w:val="000000"/>
                <w:szCs w:val="16"/>
              </w:rPr>
              <w:t>Other Sectors – Residential Liquid Fuels</w:t>
            </w:r>
          </w:p>
        </w:tc>
        <w:tc>
          <w:tcPr>
            <w:tcW w:w="611" w:type="dxa"/>
            <w:shd w:val="clear" w:color="auto" w:fill="auto"/>
            <w:vAlign w:val="bottom"/>
          </w:tcPr>
          <w:p w14:paraId="3074B983"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911" w:type="dxa"/>
            <w:shd w:val="clear" w:color="auto" w:fill="auto"/>
            <w:noWrap/>
            <w:vAlign w:val="bottom"/>
          </w:tcPr>
          <w:p w14:paraId="08FDA32C"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218.1</w:t>
            </w:r>
          </w:p>
        </w:tc>
        <w:tc>
          <w:tcPr>
            <w:tcW w:w="911" w:type="dxa"/>
            <w:shd w:val="clear" w:color="auto" w:fill="auto"/>
            <w:noWrap/>
            <w:vAlign w:val="bottom"/>
          </w:tcPr>
          <w:p w14:paraId="05697487"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0.3</w:t>
            </w:r>
          </w:p>
        </w:tc>
        <w:tc>
          <w:tcPr>
            <w:tcW w:w="911" w:type="dxa"/>
            <w:shd w:val="clear" w:color="auto" w:fill="auto"/>
            <w:noWrap/>
            <w:vAlign w:val="bottom"/>
          </w:tcPr>
          <w:p w14:paraId="39A81298"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94.5</w:t>
            </w:r>
          </w:p>
        </w:tc>
      </w:tr>
      <w:tr w:rsidR="00643D10" w:rsidRPr="00D9348B" w14:paraId="34C50DC1" w14:textId="77777777" w:rsidTr="00217967">
        <w:tc>
          <w:tcPr>
            <w:tcW w:w="1031" w:type="dxa"/>
            <w:vAlign w:val="bottom"/>
          </w:tcPr>
          <w:p w14:paraId="08F8B232" w14:textId="77777777" w:rsidR="00643D10" w:rsidRPr="00D9348B" w:rsidRDefault="00643D10" w:rsidP="00DB330E">
            <w:pPr>
              <w:pStyle w:val="TableText"/>
              <w:spacing w:before="40" w:after="40"/>
              <w:rPr>
                <w:rFonts w:cs="Arial"/>
                <w:szCs w:val="16"/>
              </w:rPr>
            </w:pPr>
            <w:r w:rsidRPr="00D9348B">
              <w:rPr>
                <w:rFonts w:cs="Arial"/>
                <w:bCs/>
                <w:color w:val="000000"/>
                <w:szCs w:val="16"/>
              </w:rPr>
              <w:t>1.A.2.g.viii</w:t>
            </w:r>
          </w:p>
        </w:tc>
        <w:tc>
          <w:tcPr>
            <w:tcW w:w="4187" w:type="dxa"/>
            <w:shd w:val="clear" w:color="auto" w:fill="auto"/>
            <w:vAlign w:val="bottom"/>
          </w:tcPr>
          <w:p w14:paraId="47D8D08D" w14:textId="77777777" w:rsidR="00643D10" w:rsidRPr="00D9348B" w:rsidRDefault="00643D10" w:rsidP="00DB330E">
            <w:pPr>
              <w:pStyle w:val="TableText"/>
              <w:spacing w:before="40" w:after="40"/>
              <w:rPr>
                <w:rFonts w:cs="Arial"/>
                <w:szCs w:val="16"/>
              </w:rPr>
            </w:pPr>
            <w:r w:rsidRPr="00D9348B">
              <w:rPr>
                <w:rFonts w:cs="Arial"/>
                <w:bCs/>
                <w:color w:val="000000"/>
                <w:szCs w:val="16"/>
              </w:rPr>
              <w:t>Other (please specify) – Other (please specify) Liquid Fuels</w:t>
            </w:r>
          </w:p>
        </w:tc>
        <w:tc>
          <w:tcPr>
            <w:tcW w:w="611" w:type="dxa"/>
            <w:shd w:val="clear" w:color="auto" w:fill="auto"/>
            <w:vAlign w:val="bottom"/>
          </w:tcPr>
          <w:p w14:paraId="63C58763"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911" w:type="dxa"/>
            <w:shd w:val="clear" w:color="auto" w:fill="auto"/>
            <w:noWrap/>
            <w:vAlign w:val="bottom"/>
          </w:tcPr>
          <w:p w14:paraId="2BE7DCD3"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208.4</w:t>
            </w:r>
          </w:p>
        </w:tc>
        <w:tc>
          <w:tcPr>
            <w:tcW w:w="911" w:type="dxa"/>
            <w:shd w:val="clear" w:color="auto" w:fill="auto"/>
            <w:noWrap/>
            <w:vAlign w:val="bottom"/>
          </w:tcPr>
          <w:p w14:paraId="790F47CA"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0.3</w:t>
            </w:r>
          </w:p>
        </w:tc>
        <w:tc>
          <w:tcPr>
            <w:tcW w:w="911" w:type="dxa"/>
            <w:shd w:val="clear" w:color="auto" w:fill="auto"/>
            <w:noWrap/>
            <w:vAlign w:val="bottom"/>
          </w:tcPr>
          <w:p w14:paraId="5A4218FA"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94.8</w:t>
            </w:r>
          </w:p>
        </w:tc>
      </w:tr>
      <w:tr w:rsidR="00643D10" w:rsidRPr="00D9348B" w14:paraId="517006E7" w14:textId="77777777" w:rsidTr="00217967">
        <w:tc>
          <w:tcPr>
            <w:tcW w:w="1031" w:type="dxa"/>
            <w:vAlign w:val="bottom"/>
          </w:tcPr>
          <w:p w14:paraId="06AD8447" w14:textId="77777777" w:rsidR="00643D10" w:rsidRPr="00D9348B" w:rsidRDefault="00643D10" w:rsidP="00DB330E">
            <w:pPr>
              <w:pStyle w:val="TableText"/>
              <w:spacing w:before="40" w:after="40"/>
              <w:rPr>
                <w:rFonts w:cs="Arial"/>
                <w:color w:val="000000"/>
                <w:szCs w:val="16"/>
              </w:rPr>
            </w:pPr>
            <w:r w:rsidRPr="00D9348B">
              <w:rPr>
                <w:rFonts w:cs="Arial"/>
                <w:bCs/>
                <w:color w:val="000000"/>
                <w:szCs w:val="16"/>
              </w:rPr>
              <w:t>1.A.1.b</w:t>
            </w:r>
          </w:p>
        </w:tc>
        <w:tc>
          <w:tcPr>
            <w:tcW w:w="4187" w:type="dxa"/>
            <w:shd w:val="clear" w:color="auto" w:fill="auto"/>
            <w:vAlign w:val="bottom"/>
          </w:tcPr>
          <w:p w14:paraId="49B83F21" w14:textId="77777777" w:rsidR="00643D10" w:rsidRPr="00D9348B" w:rsidRDefault="00643D10" w:rsidP="00DB330E">
            <w:pPr>
              <w:pStyle w:val="TableText"/>
              <w:spacing w:before="40" w:after="40"/>
              <w:rPr>
                <w:rFonts w:cs="Arial"/>
                <w:color w:val="000000"/>
                <w:szCs w:val="16"/>
              </w:rPr>
            </w:pPr>
            <w:r w:rsidRPr="00D9348B">
              <w:rPr>
                <w:rFonts w:cs="Arial"/>
                <w:bCs/>
                <w:color w:val="000000"/>
                <w:szCs w:val="16"/>
              </w:rPr>
              <w:t>Energy Industries – Petroleum Refining Gaseous Fuels</w:t>
            </w:r>
          </w:p>
        </w:tc>
        <w:tc>
          <w:tcPr>
            <w:tcW w:w="611" w:type="dxa"/>
            <w:shd w:val="clear" w:color="auto" w:fill="auto"/>
            <w:vAlign w:val="bottom"/>
          </w:tcPr>
          <w:p w14:paraId="3C5ABCB1" w14:textId="77777777" w:rsidR="00643D10" w:rsidRPr="00D9348B" w:rsidRDefault="00643D10" w:rsidP="00DB330E">
            <w:pPr>
              <w:pStyle w:val="TableText"/>
              <w:spacing w:before="40" w:after="40"/>
              <w:jc w:val="center"/>
              <w:rPr>
                <w:rFonts w:cs="Arial"/>
                <w:color w:val="000000"/>
                <w:szCs w:val="16"/>
              </w:rPr>
            </w:pPr>
            <w:r w:rsidRPr="00D9348B">
              <w:rPr>
                <w:rFonts w:cs="Arial"/>
                <w:color w:val="000000"/>
                <w:szCs w:val="16"/>
              </w:rPr>
              <w:t>CO</w:t>
            </w:r>
            <w:r w:rsidRPr="00D9348B">
              <w:rPr>
                <w:rFonts w:cs="Arial"/>
                <w:color w:val="000000"/>
                <w:szCs w:val="16"/>
                <w:vertAlign w:val="subscript"/>
              </w:rPr>
              <w:t>2</w:t>
            </w:r>
          </w:p>
        </w:tc>
        <w:tc>
          <w:tcPr>
            <w:tcW w:w="911" w:type="dxa"/>
            <w:shd w:val="clear" w:color="auto" w:fill="auto"/>
            <w:noWrap/>
            <w:vAlign w:val="bottom"/>
          </w:tcPr>
          <w:p w14:paraId="000594C4" w14:textId="77777777" w:rsidR="00643D10" w:rsidRPr="00D9348B" w:rsidRDefault="00643D10" w:rsidP="00DB330E">
            <w:pPr>
              <w:pStyle w:val="TableText"/>
              <w:spacing w:before="40" w:after="40"/>
              <w:jc w:val="right"/>
              <w:rPr>
                <w:rFonts w:cs="Arial"/>
                <w:color w:val="000000"/>
                <w:szCs w:val="16"/>
              </w:rPr>
            </w:pPr>
            <w:r w:rsidRPr="00D9348B">
              <w:rPr>
                <w:rFonts w:cs="Arial"/>
                <w:bCs/>
                <w:color w:val="000000"/>
                <w:szCs w:val="16"/>
              </w:rPr>
              <w:t>206.5</w:t>
            </w:r>
          </w:p>
        </w:tc>
        <w:tc>
          <w:tcPr>
            <w:tcW w:w="911" w:type="dxa"/>
            <w:shd w:val="clear" w:color="auto" w:fill="auto"/>
            <w:noWrap/>
            <w:vAlign w:val="bottom"/>
          </w:tcPr>
          <w:p w14:paraId="7128DB19" w14:textId="77777777" w:rsidR="00643D10" w:rsidRPr="00D9348B" w:rsidRDefault="00643D10" w:rsidP="00DB330E">
            <w:pPr>
              <w:pStyle w:val="TableText"/>
              <w:spacing w:before="40" w:after="40"/>
              <w:jc w:val="right"/>
              <w:rPr>
                <w:rFonts w:cs="Arial"/>
                <w:color w:val="000000"/>
                <w:szCs w:val="16"/>
              </w:rPr>
            </w:pPr>
            <w:r w:rsidRPr="00D9348B">
              <w:rPr>
                <w:rFonts w:cs="Arial"/>
                <w:bCs/>
                <w:color w:val="000000"/>
                <w:szCs w:val="16"/>
              </w:rPr>
              <w:t>0.3</w:t>
            </w:r>
          </w:p>
        </w:tc>
        <w:tc>
          <w:tcPr>
            <w:tcW w:w="911" w:type="dxa"/>
            <w:shd w:val="clear" w:color="auto" w:fill="auto"/>
            <w:noWrap/>
            <w:vAlign w:val="bottom"/>
          </w:tcPr>
          <w:p w14:paraId="476A3B41" w14:textId="77777777" w:rsidR="00643D10" w:rsidRPr="00D9348B" w:rsidRDefault="00643D10" w:rsidP="00DB330E">
            <w:pPr>
              <w:pStyle w:val="TableText"/>
              <w:spacing w:before="40" w:after="40"/>
              <w:jc w:val="right"/>
              <w:rPr>
                <w:rFonts w:cs="Arial"/>
                <w:color w:val="000000"/>
                <w:szCs w:val="16"/>
              </w:rPr>
            </w:pPr>
            <w:r w:rsidRPr="00D9348B">
              <w:rPr>
                <w:rFonts w:cs="Arial"/>
                <w:bCs/>
                <w:color w:val="000000"/>
                <w:szCs w:val="16"/>
              </w:rPr>
              <w:t>95.0</w:t>
            </w:r>
          </w:p>
        </w:tc>
      </w:tr>
    </w:tbl>
    <w:p w14:paraId="51C5A109" w14:textId="77777777" w:rsidR="00643D10" w:rsidRPr="00D9348B" w:rsidRDefault="00643D10" w:rsidP="006A1572"/>
    <w:p w14:paraId="25BFBD4C" w14:textId="77777777" w:rsidR="00643D10" w:rsidRPr="00D9348B" w:rsidRDefault="00643D10" w:rsidP="00643D10">
      <w:pPr>
        <w:pStyle w:val="Table"/>
        <w:ind w:left="1418" w:hanging="1418"/>
      </w:pPr>
      <w:bookmarkStart w:id="179" w:name="_Toc5269438"/>
      <w:bookmarkStart w:id="180" w:name="_Toc36224516"/>
      <w:r w:rsidRPr="00D9348B">
        <w:t>Table 1.5.3(a &amp; b)</w:t>
      </w:r>
      <w:r w:rsidRPr="00D9348B">
        <w:tab/>
        <w:t>1990–2018 trend assessment for New Zealand’s key category analysis including LULUCF (a)</w:t>
      </w:r>
      <w:r w:rsidRPr="00D9348B">
        <w:br/>
        <w:t>and excluding LULUCF (b)</w:t>
      </w:r>
      <w:bookmarkEnd w:id="179"/>
      <w:bookmarkEnd w:id="180"/>
    </w:p>
    <w:tbl>
      <w:tblPr>
        <w:tblW w:w="8562" w:type="dxa"/>
        <w:tblInd w:w="108" w:type="dxa"/>
        <w:tblBorders>
          <w:top w:val="single" w:sz="4" w:space="0" w:color="365F91"/>
          <w:bottom w:val="single" w:sz="4" w:space="0" w:color="365F91"/>
          <w:insideH w:val="single" w:sz="4" w:space="0" w:color="365F91"/>
        </w:tblBorders>
        <w:tblLayout w:type="fixed"/>
        <w:tblCellMar>
          <w:left w:w="57" w:type="dxa"/>
          <w:right w:w="57" w:type="dxa"/>
        </w:tblCellMar>
        <w:tblLook w:val="04A0" w:firstRow="1" w:lastRow="0" w:firstColumn="1" w:lastColumn="0" w:noHBand="0" w:noVBand="1"/>
      </w:tblPr>
      <w:tblGrid>
        <w:gridCol w:w="977"/>
        <w:gridCol w:w="2385"/>
        <w:gridCol w:w="550"/>
        <w:gridCol w:w="918"/>
        <w:gridCol w:w="918"/>
        <w:gridCol w:w="918"/>
        <w:gridCol w:w="978"/>
        <w:gridCol w:w="918"/>
      </w:tblGrid>
      <w:tr w:rsidR="00643D10" w:rsidRPr="00D9348B" w14:paraId="3FA74B9E" w14:textId="77777777" w:rsidTr="00DB330E">
        <w:trPr>
          <w:tblHeader/>
        </w:trPr>
        <w:tc>
          <w:tcPr>
            <w:tcW w:w="5000" w:type="pct"/>
            <w:gridSpan w:val="8"/>
            <w:tcBorders>
              <w:top w:val="single" w:sz="4" w:space="0" w:color="365F91"/>
              <w:bottom w:val="single" w:sz="4" w:space="0" w:color="365F91"/>
            </w:tcBorders>
            <w:shd w:val="solid" w:color="365F91" w:fill="auto"/>
          </w:tcPr>
          <w:p w14:paraId="47CDDD15" w14:textId="77777777" w:rsidR="00643D10" w:rsidRPr="00D9348B" w:rsidRDefault="00643D10" w:rsidP="00DB330E">
            <w:pPr>
              <w:pStyle w:val="TableTextBold"/>
              <w:keepNext/>
              <w:rPr>
                <w:noProof w:val="0"/>
                <w:color w:val="FFFFFF"/>
              </w:rPr>
            </w:pPr>
            <w:r w:rsidRPr="00D9348B">
              <w:rPr>
                <w:noProof w:val="0"/>
                <w:color w:val="FFFFFF"/>
              </w:rPr>
              <w:t>(a) IPCC Tier 1 category trend assessment – including LULUCF (net emissions) </w:t>
            </w:r>
          </w:p>
        </w:tc>
      </w:tr>
      <w:tr w:rsidR="00217967" w:rsidRPr="00D9348B" w14:paraId="270B8350" w14:textId="77777777" w:rsidTr="00217967">
        <w:trPr>
          <w:tblHeader/>
        </w:trPr>
        <w:tc>
          <w:tcPr>
            <w:tcW w:w="571" w:type="pct"/>
            <w:shd w:val="clear" w:color="365F91" w:fill="auto"/>
            <w:vAlign w:val="bottom"/>
          </w:tcPr>
          <w:p w14:paraId="100CAFD6" w14:textId="77777777" w:rsidR="00643D10" w:rsidRPr="00D9348B" w:rsidRDefault="00643D10" w:rsidP="00DB330E">
            <w:pPr>
              <w:pStyle w:val="TableTextBold"/>
              <w:keepNext/>
              <w:rPr>
                <w:rFonts w:cs="Arial"/>
                <w:bCs/>
                <w:noProof w:val="0"/>
                <w:szCs w:val="16"/>
              </w:rPr>
            </w:pPr>
            <w:r w:rsidRPr="00D9348B">
              <w:rPr>
                <w:rFonts w:cs="Arial"/>
                <w:bCs/>
                <w:noProof w:val="0"/>
                <w:color w:val="000000"/>
                <w:szCs w:val="16"/>
              </w:rPr>
              <w:t>CRF category code</w:t>
            </w:r>
          </w:p>
        </w:tc>
        <w:tc>
          <w:tcPr>
            <w:tcW w:w="1393" w:type="pct"/>
            <w:shd w:val="clear" w:color="365F91" w:fill="auto"/>
            <w:vAlign w:val="bottom"/>
            <w:hideMark/>
          </w:tcPr>
          <w:p w14:paraId="51C26A80" w14:textId="77777777" w:rsidR="00643D10" w:rsidRPr="00D9348B" w:rsidRDefault="00643D10" w:rsidP="00DB330E">
            <w:pPr>
              <w:pStyle w:val="TableTextBold"/>
              <w:keepNext/>
              <w:rPr>
                <w:rFonts w:cs="Arial"/>
                <w:bCs/>
                <w:noProof w:val="0"/>
                <w:szCs w:val="16"/>
              </w:rPr>
            </w:pPr>
            <w:r w:rsidRPr="00D9348B">
              <w:rPr>
                <w:rFonts w:cs="Arial"/>
                <w:bCs/>
                <w:noProof w:val="0"/>
                <w:color w:val="000000"/>
                <w:szCs w:val="16"/>
              </w:rPr>
              <w:t>IPCC category</w:t>
            </w:r>
          </w:p>
        </w:tc>
        <w:tc>
          <w:tcPr>
            <w:tcW w:w="321" w:type="pct"/>
            <w:shd w:val="clear" w:color="365F91" w:fill="auto"/>
            <w:vAlign w:val="bottom"/>
            <w:hideMark/>
          </w:tcPr>
          <w:p w14:paraId="2A7C8E76" w14:textId="77777777" w:rsidR="00643D10" w:rsidRPr="00D9348B" w:rsidRDefault="00643D10" w:rsidP="00DB330E">
            <w:pPr>
              <w:pStyle w:val="TableTextBold"/>
              <w:keepNext/>
              <w:jc w:val="center"/>
              <w:rPr>
                <w:rFonts w:cs="Arial"/>
                <w:bCs/>
                <w:noProof w:val="0"/>
                <w:szCs w:val="16"/>
              </w:rPr>
            </w:pPr>
            <w:r w:rsidRPr="00D9348B">
              <w:rPr>
                <w:rFonts w:cs="Arial"/>
                <w:bCs/>
                <w:noProof w:val="0"/>
                <w:color w:val="000000"/>
                <w:szCs w:val="16"/>
              </w:rPr>
              <w:t>Gas</w:t>
            </w:r>
          </w:p>
        </w:tc>
        <w:tc>
          <w:tcPr>
            <w:tcW w:w="536" w:type="pct"/>
            <w:shd w:val="clear" w:color="365F91" w:fill="auto"/>
            <w:vAlign w:val="bottom"/>
            <w:hideMark/>
          </w:tcPr>
          <w:p w14:paraId="0772162B" w14:textId="77777777" w:rsidR="00643D10" w:rsidRPr="00D9348B" w:rsidRDefault="00643D10" w:rsidP="00DB330E">
            <w:pPr>
              <w:pStyle w:val="TableTextBold"/>
              <w:keepNext/>
              <w:jc w:val="right"/>
              <w:rPr>
                <w:rFonts w:cs="Arial"/>
                <w:bCs/>
                <w:noProof w:val="0"/>
                <w:szCs w:val="16"/>
              </w:rPr>
            </w:pPr>
            <w:r w:rsidRPr="00D9348B">
              <w:rPr>
                <w:rFonts w:cs="Arial"/>
                <w:bCs/>
                <w:noProof w:val="0"/>
                <w:color w:val="000000"/>
                <w:szCs w:val="16"/>
              </w:rPr>
              <w:t>1990 estimate</w:t>
            </w:r>
            <w:r w:rsidRPr="00D9348B">
              <w:rPr>
                <w:rFonts w:cs="Arial"/>
                <w:bCs/>
                <w:noProof w:val="0"/>
                <w:color w:val="000000"/>
                <w:szCs w:val="16"/>
              </w:rPr>
              <w:br/>
              <w:t>(kt CO</w:t>
            </w:r>
            <w:r w:rsidRPr="00D9348B">
              <w:rPr>
                <w:rFonts w:cs="Arial"/>
                <w:bCs/>
                <w:noProof w:val="0"/>
                <w:color w:val="000000"/>
                <w:szCs w:val="16"/>
                <w:vertAlign w:val="subscript"/>
              </w:rPr>
              <w:t>2</w:t>
            </w:r>
            <w:r w:rsidRPr="00D9348B">
              <w:rPr>
                <w:rFonts w:cs="Arial"/>
                <w:bCs/>
                <w:noProof w:val="0"/>
                <w:color w:val="000000"/>
                <w:szCs w:val="16"/>
              </w:rPr>
              <w:t>-e)</w:t>
            </w:r>
          </w:p>
        </w:tc>
        <w:tc>
          <w:tcPr>
            <w:tcW w:w="536" w:type="pct"/>
            <w:shd w:val="clear" w:color="365F91" w:fill="auto"/>
            <w:vAlign w:val="bottom"/>
            <w:hideMark/>
          </w:tcPr>
          <w:p w14:paraId="3EC9262B" w14:textId="77777777" w:rsidR="00643D10" w:rsidRPr="00D9348B" w:rsidRDefault="00643D10" w:rsidP="00DB330E">
            <w:pPr>
              <w:pStyle w:val="TableTextBold"/>
              <w:keepNext/>
              <w:jc w:val="right"/>
              <w:rPr>
                <w:rFonts w:cs="Arial"/>
                <w:bCs/>
                <w:noProof w:val="0"/>
                <w:szCs w:val="16"/>
              </w:rPr>
            </w:pPr>
            <w:r w:rsidRPr="00D9348B">
              <w:rPr>
                <w:rFonts w:cs="Arial"/>
                <w:bCs/>
                <w:noProof w:val="0"/>
                <w:color w:val="000000"/>
                <w:szCs w:val="16"/>
              </w:rPr>
              <w:t>2018 estimate</w:t>
            </w:r>
            <w:r w:rsidRPr="00D9348B">
              <w:rPr>
                <w:rFonts w:cs="Arial"/>
                <w:bCs/>
                <w:noProof w:val="0"/>
                <w:color w:val="000000"/>
                <w:szCs w:val="16"/>
              </w:rPr>
              <w:br/>
              <w:t>(kt CO</w:t>
            </w:r>
            <w:r w:rsidRPr="00D9348B">
              <w:rPr>
                <w:rFonts w:cs="Arial"/>
                <w:bCs/>
                <w:noProof w:val="0"/>
                <w:color w:val="000000"/>
                <w:szCs w:val="16"/>
                <w:vertAlign w:val="subscript"/>
              </w:rPr>
              <w:t>2</w:t>
            </w:r>
            <w:r w:rsidRPr="00D9348B">
              <w:rPr>
                <w:rFonts w:cs="Arial"/>
                <w:bCs/>
                <w:noProof w:val="0"/>
                <w:color w:val="000000"/>
                <w:szCs w:val="16"/>
              </w:rPr>
              <w:t>-e)</w:t>
            </w:r>
          </w:p>
        </w:tc>
        <w:tc>
          <w:tcPr>
            <w:tcW w:w="536" w:type="pct"/>
            <w:shd w:val="clear" w:color="365F91" w:fill="auto"/>
            <w:vAlign w:val="bottom"/>
            <w:hideMark/>
          </w:tcPr>
          <w:p w14:paraId="45CA2274" w14:textId="77777777" w:rsidR="00643D10" w:rsidRPr="00D9348B" w:rsidRDefault="00643D10" w:rsidP="00DB330E">
            <w:pPr>
              <w:pStyle w:val="TableTextBold"/>
              <w:keepNext/>
              <w:jc w:val="right"/>
              <w:rPr>
                <w:rFonts w:cs="Arial"/>
                <w:bCs/>
                <w:noProof w:val="0"/>
                <w:szCs w:val="16"/>
              </w:rPr>
            </w:pPr>
            <w:r w:rsidRPr="00D9348B">
              <w:rPr>
                <w:rFonts w:cs="Arial"/>
                <w:bCs/>
                <w:noProof w:val="0"/>
                <w:color w:val="000000"/>
                <w:szCs w:val="16"/>
              </w:rPr>
              <w:t>Trend assessment</w:t>
            </w:r>
          </w:p>
        </w:tc>
        <w:tc>
          <w:tcPr>
            <w:tcW w:w="571" w:type="pct"/>
            <w:shd w:val="clear" w:color="365F91" w:fill="auto"/>
            <w:vAlign w:val="bottom"/>
            <w:hideMark/>
          </w:tcPr>
          <w:p w14:paraId="76988604" w14:textId="77777777" w:rsidR="00643D10" w:rsidRPr="00D9348B" w:rsidRDefault="00643D10" w:rsidP="00DB330E">
            <w:pPr>
              <w:pStyle w:val="TableTextBold"/>
              <w:keepNext/>
              <w:jc w:val="right"/>
              <w:rPr>
                <w:rFonts w:cs="Arial"/>
                <w:bCs/>
                <w:noProof w:val="0"/>
                <w:szCs w:val="16"/>
              </w:rPr>
            </w:pPr>
            <w:r w:rsidRPr="00D9348B">
              <w:rPr>
                <w:rFonts w:cs="Arial"/>
                <w:bCs/>
                <w:noProof w:val="0"/>
                <w:color w:val="000000"/>
                <w:szCs w:val="16"/>
              </w:rPr>
              <w:t>Absolute contribution to trend (%)</w:t>
            </w:r>
          </w:p>
        </w:tc>
        <w:tc>
          <w:tcPr>
            <w:tcW w:w="536" w:type="pct"/>
            <w:shd w:val="clear" w:color="365F91" w:fill="auto"/>
            <w:vAlign w:val="bottom"/>
            <w:hideMark/>
          </w:tcPr>
          <w:p w14:paraId="545A4B67" w14:textId="77777777" w:rsidR="00643D10" w:rsidRPr="00D9348B" w:rsidRDefault="00643D10" w:rsidP="00DB330E">
            <w:pPr>
              <w:pStyle w:val="TableTextBold"/>
              <w:keepNext/>
              <w:jc w:val="right"/>
              <w:rPr>
                <w:rFonts w:cs="Arial"/>
                <w:bCs/>
                <w:noProof w:val="0"/>
                <w:szCs w:val="16"/>
              </w:rPr>
            </w:pPr>
            <w:r w:rsidRPr="00D9348B">
              <w:rPr>
                <w:rFonts w:cs="Arial"/>
                <w:bCs/>
                <w:noProof w:val="0"/>
                <w:color w:val="000000"/>
                <w:szCs w:val="16"/>
              </w:rPr>
              <w:t>Absolute cumulative total (%)</w:t>
            </w:r>
          </w:p>
        </w:tc>
      </w:tr>
      <w:tr w:rsidR="00217967" w:rsidRPr="00D9348B" w14:paraId="126715D5" w14:textId="77777777" w:rsidTr="00217967">
        <w:tc>
          <w:tcPr>
            <w:tcW w:w="571" w:type="pct"/>
            <w:vAlign w:val="bottom"/>
          </w:tcPr>
          <w:p w14:paraId="7FB9662E" w14:textId="77777777" w:rsidR="00643D10" w:rsidRPr="00D9348B" w:rsidRDefault="00643D10" w:rsidP="00DB330E">
            <w:pPr>
              <w:pStyle w:val="TableText"/>
              <w:spacing w:before="40" w:after="40"/>
              <w:rPr>
                <w:rFonts w:cs="Arial"/>
                <w:szCs w:val="16"/>
              </w:rPr>
            </w:pPr>
            <w:r w:rsidRPr="00D9348B">
              <w:rPr>
                <w:rFonts w:cs="Arial"/>
                <w:bCs/>
                <w:color w:val="000000"/>
                <w:szCs w:val="16"/>
              </w:rPr>
              <w:t>3.A.2</w:t>
            </w:r>
          </w:p>
        </w:tc>
        <w:tc>
          <w:tcPr>
            <w:tcW w:w="1393" w:type="pct"/>
            <w:shd w:val="clear" w:color="auto" w:fill="auto"/>
            <w:vAlign w:val="bottom"/>
          </w:tcPr>
          <w:p w14:paraId="0691F5EA" w14:textId="77777777" w:rsidR="00643D10" w:rsidRPr="00D9348B" w:rsidRDefault="00643D10" w:rsidP="00DB330E">
            <w:pPr>
              <w:pStyle w:val="TableText"/>
              <w:spacing w:before="40" w:after="40"/>
              <w:rPr>
                <w:rFonts w:cs="Arial"/>
                <w:szCs w:val="16"/>
              </w:rPr>
            </w:pPr>
            <w:r w:rsidRPr="00D9348B">
              <w:rPr>
                <w:rFonts w:cs="Arial"/>
                <w:bCs/>
                <w:color w:val="000000"/>
                <w:szCs w:val="16"/>
              </w:rPr>
              <w:t>Other (please specify) – Sheep</w:t>
            </w:r>
          </w:p>
        </w:tc>
        <w:tc>
          <w:tcPr>
            <w:tcW w:w="321" w:type="pct"/>
            <w:shd w:val="clear" w:color="auto" w:fill="auto"/>
            <w:vAlign w:val="bottom"/>
          </w:tcPr>
          <w:p w14:paraId="2893C795"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CH</w:t>
            </w:r>
            <w:r w:rsidRPr="00D9348B">
              <w:rPr>
                <w:rFonts w:cs="Arial"/>
                <w:color w:val="000000"/>
                <w:szCs w:val="16"/>
                <w:vertAlign w:val="subscript"/>
              </w:rPr>
              <w:t>4</w:t>
            </w:r>
          </w:p>
        </w:tc>
        <w:tc>
          <w:tcPr>
            <w:tcW w:w="536" w:type="pct"/>
            <w:shd w:val="clear" w:color="auto" w:fill="auto"/>
            <w:vAlign w:val="bottom"/>
          </w:tcPr>
          <w:p w14:paraId="485C7419"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14,172.1</w:t>
            </w:r>
          </w:p>
        </w:tc>
        <w:tc>
          <w:tcPr>
            <w:tcW w:w="536" w:type="pct"/>
            <w:shd w:val="clear" w:color="auto" w:fill="auto"/>
            <w:vAlign w:val="bottom"/>
          </w:tcPr>
          <w:p w14:paraId="1DDEBC2D"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8,390.1</w:t>
            </w:r>
          </w:p>
        </w:tc>
        <w:tc>
          <w:tcPr>
            <w:tcW w:w="536" w:type="pct"/>
            <w:shd w:val="clear" w:color="auto" w:fill="auto"/>
            <w:vAlign w:val="bottom"/>
          </w:tcPr>
          <w:p w14:paraId="04E5BCB4"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0.147</w:t>
            </w:r>
          </w:p>
        </w:tc>
        <w:tc>
          <w:tcPr>
            <w:tcW w:w="571" w:type="pct"/>
            <w:shd w:val="clear" w:color="auto" w:fill="auto"/>
            <w:vAlign w:val="bottom"/>
          </w:tcPr>
          <w:p w14:paraId="7C84FB43"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19.5</w:t>
            </w:r>
          </w:p>
        </w:tc>
        <w:tc>
          <w:tcPr>
            <w:tcW w:w="536" w:type="pct"/>
            <w:shd w:val="clear" w:color="auto" w:fill="auto"/>
            <w:vAlign w:val="bottom"/>
          </w:tcPr>
          <w:p w14:paraId="14A82A2F"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19.5</w:t>
            </w:r>
          </w:p>
        </w:tc>
      </w:tr>
      <w:tr w:rsidR="00217967" w:rsidRPr="00D9348B" w14:paraId="200A43CA" w14:textId="77777777" w:rsidTr="00217967">
        <w:tc>
          <w:tcPr>
            <w:tcW w:w="571" w:type="pct"/>
            <w:vAlign w:val="bottom"/>
          </w:tcPr>
          <w:p w14:paraId="17BD4E2B" w14:textId="77777777" w:rsidR="00643D10" w:rsidRPr="00D9348B" w:rsidRDefault="00643D10" w:rsidP="00DB330E">
            <w:pPr>
              <w:pStyle w:val="TableText"/>
              <w:spacing w:before="40" w:after="40"/>
              <w:rPr>
                <w:rFonts w:cs="Arial"/>
                <w:szCs w:val="16"/>
              </w:rPr>
            </w:pPr>
            <w:r w:rsidRPr="00D9348B">
              <w:rPr>
                <w:rFonts w:cs="Arial"/>
                <w:bCs/>
                <w:color w:val="000000"/>
                <w:szCs w:val="16"/>
              </w:rPr>
              <w:t>4.G</w:t>
            </w:r>
          </w:p>
        </w:tc>
        <w:tc>
          <w:tcPr>
            <w:tcW w:w="1393" w:type="pct"/>
            <w:shd w:val="clear" w:color="auto" w:fill="auto"/>
            <w:vAlign w:val="bottom"/>
          </w:tcPr>
          <w:p w14:paraId="546C8D87" w14:textId="77777777" w:rsidR="00643D10" w:rsidRPr="00D9348B" w:rsidRDefault="00643D10" w:rsidP="00DB330E">
            <w:pPr>
              <w:pStyle w:val="TableText"/>
              <w:spacing w:before="40" w:after="40"/>
              <w:rPr>
                <w:rFonts w:cs="Arial"/>
                <w:szCs w:val="16"/>
              </w:rPr>
            </w:pPr>
            <w:r w:rsidRPr="00D9348B">
              <w:rPr>
                <w:rFonts w:cs="Arial"/>
                <w:bCs/>
                <w:color w:val="000000"/>
                <w:szCs w:val="16"/>
              </w:rPr>
              <w:t>Land Use, Land-Use Change and Forestry – Harvested Wood Products</w:t>
            </w:r>
          </w:p>
        </w:tc>
        <w:tc>
          <w:tcPr>
            <w:tcW w:w="321" w:type="pct"/>
            <w:shd w:val="clear" w:color="auto" w:fill="auto"/>
            <w:vAlign w:val="bottom"/>
          </w:tcPr>
          <w:p w14:paraId="637E5FF0"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36" w:type="pct"/>
            <w:shd w:val="clear" w:color="auto" w:fill="auto"/>
            <w:vAlign w:val="bottom"/>
          </w:tcPr>
          <w:p w14:paraId="0233699C"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–2,072.9</w:t>
            </w:r>
          </w:p>
        </w:tc>
        <w:tc>
          <w:tcPr>
            <w:tcW w:w="536" w:type="pct"/>
            <w:shd w:val="clear" w:color="auto" w:fill="auto"/>
            <w:vAlign w:val="bottom"/>
          </w:tcPr>
          <w:p w14:paraId="09673CF9"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–10,746.7</w:t>
            </w:r>
          </w:p>
        </w:tc>
        <w:tc>
          <w:tcPr>
            <w:tcW w:w="536" w:type="pct"/>
            <w:shd w:val="clear" w:color="auto" w:fill="auto"/>
            <w:vAlign w:val="bottom"/>
          </w:tcPr>
          <w:p w14:paraId="589AD1E2"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0.105</w:t>
            </w:r>
          </w:p>
        </w:tc>
        <w:tc>
          <w:tcPr>
            <w:tcW w:w="571" w:type="pct"/>
            <w:shd w:val="clear" w:color="auto" w:fill="auto"/>
            <w:vAlign w:val="bottom"/>
          </w:tcPr>
          <w:p w14:paraId="4672A921"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13.8</w:t>
            </w:r>
          </w:p>
        </w:tc>
        <w:tc>
          <w:tcPr>
            <w:tcW w:w="536" w:type="pct"/>
            <w:shd w:val="clear" w:color="auto" w:fill="auto"/>
            <w:vAlign w:val="bottom"/>
          </w:tcPr>
          <w:p w14:paraId="37CF1FF8"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33.3</w:t>
            </w:r>
          </w:p>
        </w:tc>
      </w:tr>
      <w:tr w:rsidR="00217967" w:rsidRPr="00D9348B" w14:paraId="01B65369" w14:textId="77777777" w:rsidTr="00217967">
        <w:tc>
          <w:tcPr>
            <w:tcW w:w="571" w:type="pct"/>
            <w:vAlign w:val="bottom"/>
          </w:tcPr>
          <w:p w14:paraId="44D755EE" w14:textId="77777777" w:rsidR="00643D10" w:rsidRPr="00D9348B" w:rsidRDefault="00643D10" w:rsidP="00DB330E">
            <w:pPr>
              <w:pStyle w:val="TableText"/>
              <w:spacing w:before="40" w:after="40"/>
              <w:rPr>
                <w:rFonts w:cs="Arial"/>
                <w:szCs w:val="16"/>
              </w:rPr>
            </w:pPr>
            <w:r w:rsidRPr="00D9348B">
              <w:rPr>
                <w:rFonts w:cs="Arial"/>
                <w:bCs/>
                <w:color w:val="000000"/>
                <w:szCs w:val="16"/>
              </w:rPr>
              <w:t>4.A.2</w:t>
            </w:r>
          </w:p>
        </w:tc>
        <w:tc>
          <w:tcPr>
            <w:tcW w:w="1393" w:type="pct"/>
            <w:shd w:val="clear" w:color="auto" w:fill="auto"/>
            <w:vAlign w:val="bottom"/>
          </w:tcPr>
          <w:p w14:paraId="1408521F" w14:textId="77777777" w:rsidR="00643D10" w:rsidRPr="00D9348B" w:rsidRDefault="00643D10" w:rsidP="00DB330E">
            <w:pPr>
              <w:pStyle w:val="TableText"/>
              <w:spacing w:before="40" w:after="40"/>
              <w:rPr>
                <w:rFonts w:cs="Arial"/>
                <w:szCs w:val="16"/>
              </w:rPr>
            </w:pPr>
            <w:r w:rsidRPr="00D9348B">
              <w:rPr>
                <w:rFonts w:cs="Arial"/>
                <w:bCs/>
                <w:color w:val="000000"/>
                <w:szCs w:val="16"/>
              </w:rPr>
              <w:t>Forest Land – Land Converted to Forest Land</w:t>
            </w:r>
          </w:p>
        </w:tc>
        <w:tc>
          <w:tcPr>
            <w:tcW w:w="321" w:type="pct"/>
            <w:shd w:val="clear" w:color="auto" w:fill="auto"/>
            <w:vAlign w:val="bottom"/>
          </w:tcPr>
          <w:p w14:paraId="1E432DC1"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36" w:type="pct"/>
            <w:shd w:val="clear" w:color="auto" w:fill="auto"/>
            <w:vAlign w:val="bottom"/>
          </w:tcPr>
          <w:p w14:paraId="123F0B53"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–19,598.9</w:t>
            </w:r>
          </w:p>
        </w:tc>
        <w:tc>
          <w:tcPr>
            <w:tcW w:w="536" w:type="pct"/>
            <w:shd w:val="clear" w:color="auto" w:fill="auto"/>
            <w:vAlign w:val="bottom"/>
          </w:tcPr>
          <w:p w14:paraId="17A22A33"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–15,594.2</w:t>
            </w:r>
          </w:p>
        </w:tc>
        <w:tc>
          <w:tcPr>
            <w:tcW w:w="536" w:type="pct"/>
            <w:shd w:val="clear" w:color="auto" w:fill="auto"/>
            <w:vAlign w:val="bottom"/>
          </w:tcPr>
          <w:p w14:paraId="43399F19"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0.076</w:t>
            </w:r>
          </w:p>
        </w:tc>
        <w:tc>
          <w:tcPr>
            <w:tcW w:w="571" w:type="pct"/>
            <w:shd w:val="clear" w:color="auto" w:fill="auto"/>
            <w:vAlign w:val="bottom"/>
          </w:tcPr>
          <w:p w14:paraId="1499613E"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10.1</w:t>
            </w:r>
          </w:p>
        </w:tc>
        <w:tc>
          <w:tcPr>
            <w:tcW w:w="536" w:type="pct"/>
            <w:shd w:val="clear" w:color="auto" w:fill="auto"/>
            <w:vAlign w:val="bottom"/>
          </w:tcPr>
          <w:p w14:paraId="5B345539"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43.4</w:t>
            </w:r>
          </w:p>
        </w:tc>
      </w:tr>
      <w:tr w:rsidR="00217967" w:rsidRPr="00D9348B" w14:paraId="13269D68" w14:textId="77777777" w:rsidTr="00217967">
        <w:tc>
          <w:tcPr>
            <w:tcW w:w="571" w:type="pct"/>
            <w:vAlign w:val="bottom"/>
          </w:tcPr>
          <w:p w14:paraId="4AAAA59B" w14:textId="77777777" w:rsidR="00643D10" w:rsidRPr="00D9348B" w:rsidRDefault="00643D10" w:rsidP="00DB330E">
            <w:pPr>
              <w:pStyle w:val="TableText"/>
              <w:spacing w:before="40" w:after="40"/>
              <w:rPr>
                <w:rFonts w:cs="Arial"/>
                <w:szCs w:val="16"/>
              </w:rPr>
            </w:pPr>
            <w:r w:rsidRPr="00D9348B">
              <w:rPr>
                <w:rFonts w:cs="Arial"/>
                <w:bCs/>
                <w:color w:val="000000"/>
                <w:szCs w:val="16"/>
              </w:rPr>
              <w:t>3.A.1</w:t>
            </w:r>
          </w:p>
        </w:tc>
        <w:tc>
          <w:tcPr>
            <w:tcW w:w="1393" w:type="pct"/>
            <w:shd w:val="clear" w:color="auto" w:fill="auto"/>
            <w:vAlign w:val="bottom"/>
          </w:tcPr>
          <w:p w14:paraId="0FA00993" w14:textId="77777777" w:rsidR="00643D10" w:rsidRPr="00D9348B" w:rsidRDefault="00643D10" w:rsidP="00DB330E">
            <w:pPr>
              <w:pStyle w:val="TableText"/>
              <w:spacing w:before="40" w:after="40"/>
              <w:rPr>
                <w:rFonts w:cs="Arial"/>
                <w:szCs w:val="16"/>
              </w:rPr>
            </w:pPr>
            <w:r w:rsidRPr="00D9348B">
              <w:rPr>
                <w:rFonts w:cs="Arial"/>
                <w:bCs/>
                <w:color w:val="000000"/>
                <w:szCs w:val="16"/>
              </w:rPr>
              <w:t>Option A – Dairy Cattle</w:t>
            </w:r>
          </w:p>
        </w:tc>
        <w:tc>
          <w:tcPr>
            <w:tcW w:w="321" w:type="pct"/>
            <w:shd w:val="clear" w:color="auto" w:fill="auto"/>
            <w:vAlign w:val="bottom"/>
          </w:tcPr>
          <w:p w14:paraId="099C03DA"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CH</w:t>
            </w:r>
            <w:r w:rsidRPr="00D9348B">
              <w:rPr>
                <w:rFonts w:cs="Arial"/>
                <w:color w:val="000000"/>
                <w:szCs w:val="16"/>
                <w:vertAlign w:val="subscript"/>
              </w:rPr>
              <w:t>4</w:t>
            </w:r>
          </w:p>
        </w:tc>
        <w:tc>
          <w:tcPr>
            <w:tcW w:w="536" w:type="pct"/>
            <w:shd w:val="clear" w:color="auto" w:fill="auto"/>
            <w:vAlign w:val="bottom"/>
          </w:tcPr>
          <w:p w14:paraId="414C858E"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5,940.0</w:t>
            </w:r>
          </w:p>
        </w:tc>
        <w:tc>
          <w:tcPr>
            <w:tcW w:w="536" w:type="pct"/>
            <w:shd w:val="clear" w:color="auto" w:fill="auto"/>
            <w:vAlign w:val="bottom"/>
          </w:tcPr>
          <w:p w14:paraId="2FAC7DBE"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13,611.6</w:t>
            </w:r>
          </w:p>
        </w:tc>
        <w:tc>
          <w:tcPr>
            <w:tcW w:w="536" w:type="pct"/>
            <w:shd w:val="clear" w:color="auto" w:fill="auto"/>
            <w:vAlign w:val="bottom"/>
          </w:tcPr>
          <w:p w14:paraId="07609DBF"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0.045</w:t>
            </w:r>
          </w:p>
        </w:tc>
        <w:tc>
          <w:tcPr>
            <w:tcW w:w="571" w:type="pct"/>
            <w:shd w:val="clear" w:color="auto" w:fill="auto"/>
            <w:vAlign w:val="bottom"/>
          </w:tcPr>
          <w:p w14:paraId="209052F3"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6.0</w:t>
            </w:r>
          </w:p>
        </w:tc>
        <w:tc>
          <w:tcPr>
            <w:tcW w:w="536" w:type="pct"/>
            <w:shd w:val="clear" w:color="auto" w:fill="auto"/>
            <w:vAlign w:val="bottom"/>
          </w:tcPr>
          <w:p w14:paraId="5BCAEE58"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49.4</w:t>
            </w:r>
          </w:p>
        </w:tc>
      </w:tr>
      <w:tr w:rsidR="00217967" w:rsidRPr="00D9348B" w14:paraId="37120F6D" w14:textId="77777777" w:rsidTr="00217967">
        <w:tc>
          <w:tcPr>
            <w:tcW w:w="571" w:type="pct"/>
            <w:vAlign w:val="bottom"/>
          </w:tcPr>
          <w:p w14:paraId="4B7166C9" w14:textId="77777777" w:rsidR="00643D10" w:rsidRPr="00D9348B" w:rsidRDefault="00643D10" w:rsidP="00DB330E">
            <w:pPr>
              <w:pStyle w:val="TableText"/>
              <w:spacing w:before="40" w:after="40"/>
              <w:rPr>
                <w:rFonts w:cs="Arial"/>
                <w:szCs w:val="16"/>
              </w:rPr>
            </w:pPr>
            <w:r w:rsidRPr="00D9348B">
              <w:rPr>
                <w:rFonts w:cs="Arial"/>
                <w:bCs/>
                <w:color w:val="000000"/>
                <w:szCs w:val="16"/>
              </w:rPr>
              <w:t>1.A.3.b</w:t>
            </w:r>
          </w:p>
        </w:tc>
        <w:tc>
          <w:tcPr>
            <w:tcW w:w="1393" w:type="pct"/>
            <w:shd w:val="clear" w:color="auto" w:fill="auto"/>
            <w:vAlign w:val="bottom"/>
          </w:tcPr>
          <w:p w14:paraId="58811C36" w14:textId="77777777" w:rsidR="00643D10" w:rsidRPr="00D9348B" w:rsidRDefault="00643D10" w:rsidP="00DB330E">
            <w:pPr>
              <w:pStyle w:val="TableText"/>
              <w:spacing w:before="40" w:after="40"/>
              <w:rPr>
                <w:rFonts w:cs="Arial"/>
                <w:szCs w:val="16"/>
              </w:rPr>
            </w:pPr>
            <w:r w:rsidRPr="00D9348B">
              <w:rPr>
                <w:rFonts w:cs="Arial"/>
                <w:bCs/>
                <w:color w:val="000000"/>
                <w:szCs w:val="16"/>
              </w:rPr>
              <w:t>Transport – Road Transportation Liquid Fuels</w:t>
            </w:r>
          </w:p>
        </w:tc>
        <w:tc>
          <w:tcPr>
            <w:tcW w:w="321" w:type="pct"/>
            <w:shd w:val="clear" w:color="auto" w:fill="auto"/>
            <w:vAlign w:val="bottom"/>
          </w:tcPr>
          <w:p w14:paraId="6C2432BC"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36" w:type="pct"/>
            <w:shd w:val="clear" w:color="auto" w:fill="auto"/>
            <w:vAlign w:val="bottom"/>
          </w:tcPr>
          <w:p w14:paraId="43BB3E73"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7,164.6</w:t>
            </w:r>
          </w:p>
        </w:tc>
        <w:tc>
          <w:tcPr>
            <w:tcW w:w="536" w:type="pct"/>
            <w:shd w:val="clear" w:color="auto" w:fill="auto"/>
            <w:vAlign w:val="bottom"/>
          </w:tcPr>
          <w:p w14:paraId="015787D7"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14,956.5</w:t>
            </w:r>
          </w:p>
        </w:tc>
        <w:tc>
          <w:tcPr>
            <w:tcW w:w="536" w:type="pct"/>
            <w:shd w:val="clear" w:color="auto" w:fill="auto"/>
            <w:vAlign w:val="bottom"/>
          </w:tcPr>
          <w:p w14:paraId="1602F037"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0.039</w:t>
            </w:r>
          </w:p>
        </w:tc>
        <w:tc>
          <w:tcPr>
            <w:tcW w:w="571" w:type="pct"/>
            <w:shd w:val="clear" w:color="auto" w:fill="auto"/>
            <w:vAlign w:val="bottom"/>
          </w:tcPr>
          <w:p w14:paraId="09C62ECC"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5.2</w:t>
            </w:r>
          </w:p>
        </w:tc>
        <w:tc>
          <w:tcPr>
            <w:tcW w:w="536" w:type="pct"/>
            <w:shd w:val="clear" w:color="auto" w:fill="auto"/>
            <w:vAlign w:val="bottom"/>
          </w:tcPr>
          <w:p w14:paraId="12FE0BA9"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54.6</w:t>
            </w:r>
          </w:p>
        </w:tc>
      </w:tr>
      <w:tr w:rsidR="00217967" w:rsidRPr="00D9348B" w14:paraId="3C3FD4CF" w14:textId="77777777" w:rsidTr="00217967">
        <w:tc>
          <w:tcPr>
            <w:tcW w:w="571" w:type="pct"/>
            <w:vAlign w:val="bottom"/>
          </w:tcPr>
          <w:p w14:paraId="4AE68D32" w14:textId="77777777" w:rsidR="00643D10" w:rsidRPr="00D9348B" w:rsidRDefault="00643D10" w:rsidP="00DB330E">
            <w:pPr>
              <w:pStyle w:val="TableText"/>
              <w:keepNext/>
              <w:spacing w:before="40" w:after="40"/>
              <w:rPr>
                <w:rFonts w:cs="Arial"/>
                <w:szCs w:val="16"/>
              </w:rPr>
            </w:pPr>
            <w:r w:rsidRPr="00D9348B">
              <w:rPr>
                <w:rFonts w:cs="Arial"/>
                <w:bCs/>
                <w:color w:val="000000"/>
                <w:szCs w:val="16"/>
              </w:rPr>
              <w:lastRenderedPageBreak/>
              <w:t>3.A.1</w:t>
            </w:r>
          </w:p>
        </w:tc>
        <w:tc>
          <w:tcPr>
            <w:tcW w:w="1393" w:type="pct"/>
            <w:shd w:val="clear" w:color="auto" w:fill="auto"/>
            <w:vAlign w:val="bottom"/>
          </w:tcPr>
          <w:p w14:paraId="09C388FD" w14:textId="77777777" w:rsidR="00643D10" w:rsidRPr="00D9348B" w:rsidRDefault="00643D10" w:rsidP="00DB330E">
            <w:pPr>
              <w:pStyle w:val="TableText"/>
              <w:spacing w:before="40" w:after="40"/>
              <w:rPr>
                <w:rFonts w:cs="Arial"/>
                <w:szCs w:val="16"/>
              </w:rPr>
            </w:pPr>
            <w:r w:rsidRPr="00D9348B">
              <w:rPr>
                <w:rFonts w:cs="Arial"/>
                <w:bCs/>
                <w:color w:val="000000"/>
                <w:szCs w:val="16"/>
              </w:rPr>
              <w:t>Option A – Non-dairy Cattle</w:t>
            </w:r>
          </w:p>
        </w:tc>
        <w:tc>
          <w:tcPr>
            <w:tcW w:w="321" w:type="pct"/>
            <w:shd w:val="clear" w:color="auto" w:fill="auto"/>
            <w:vAlign w:val="bottom"/>
          </w:tcPr>
          <w:p w14:paraId="2D6B12E0"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CH</w:t>
            </w:r>
            <w:r w:rsidRPr="00D9348B">
              <w:rPr>
                <w:rFonts w:cs="Arial"/>
                <w:color w:val="000000"/>
                <w:szCs w:val="16"/>
                <w:vertAlign w:val="subscript"/>
              </w:rPr>
              <w:t>4</w:t>
            </w:r>
          </w:p>
        </w:tc>
        <w:tc>
          <w:tcPr>
            <w:tcW w:w="536" w:type="pct"/>
            <w:shd w:val="clear" w:color="auto" w:fill="auto"/>
            <w:vAlign w:val="bottom"/>
          </w:tcPr>
          <w:p w14:paraId="7FBFE15B"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5,754.7</w:t>
            </w:r>
          </w:p>
        </w:tc>
        <w:tc>
          <w:tcPr>
            <w:tcW w:w="536" w:type="pct"/>
            <w:shd w:val="clear" w:color="auto" w:fill="auto"/>
            <w:vAlign w:val="bottom"/>
          </w:tcPr>
          <w:p w14:paraId="7F3552EC"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5,402.2</w:t>
            </w:r>
          </w:p>
        </w:tc>
        <w:tc>
          <w:tcPr>
            <w:tcW w:w="536" w:type="pct"/>
            <w:shd w:val="clear" w:color="auto" w:fill="auto"/>
            <w:vAlign w:val="bottom"/>
          </w:tcPr>
          <w:p w14:paraId="3BBB131B"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0.039</w:t>
            </w:r>
          </w:p>
        </w:tc>
        <w:tc>
          <w:tcPr>
            <w:tcW w:w="571" w:type="pct"/>
            <w:shd w:val="clear" w:color="auto" w:fill="auto"/>
            <w:vAlign w:val="bottom"/>
          </w:tcPr>
          <w:p w14:paraId="12D8D7E4"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5.1</w:t>
            </w:r>
          </w:p>
        </w:tc>
        <w:tc>
          <w:tcPr>
            <w:tcW w:w="536" w:type="pct"/>
            <w:shd w:val="clear" w:color="auto" w:fill="auto"/>
            <w:vAlign w:val="bottom"/>
          </w:tcPr>
          <w:p w14:paraId="23DEFA94"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59.7</w:t>
            </w:r>
          </w:p>
        </w:tc>
      </w:tr>
      <w:tr w:rsidR="00217967" w:rsidRPr="00D9348B" w14:paraId="178A3F17" w14:textId="77777777" w:rsidTr="00217967">
        <w:tc>
          <w:tcPr>
            <w:tcW w:w="571" w:type="pct"/>
            <w:vAlign w:val="bottom"/>
          </w:tcPr>
          <w:p w14:paraId="77D3E941" w14:textId="77777777" w:rsidR="00643D10" w:rsidRPr="00D9348B" w:rsidRDefault="00643D10" w:rsidP="00DB330E">
            <w:pPr>
              <w:pStyle w:val="TableText"/>
              <w:keepNext/>
              <w:spacing w:before="40" w:after="40"/>
              <w:rPr>
                <w:rFonts w:cs="Arial"/>
                <w:szCs w:val="16"/>
              </w:rPr>
            </w:pPr>
            <w:r w:rsidRPr="00D9348B">
              <w:rPr>
                <w:rFonts w:cs="Arial"/>
                <w:bCs/>
                <w:color w:val="000000"/>
                <w:szCs w:val="16"/>
              </w:rPr>
              <w:t>1.A.1.c</w:t>
            </w:r>
          </w:p>
        </w:tc>
        <w:tc>
          <w:tcPr>
            <w:tcW w:w="1393" w:type="pct"/>
            <w:shd w:val="clear" w:color="auto" w:fill="auto"/>
            <w:vAlign w:val="bottom"/>
          </w:tcPr>
          <w:p w14:paraId="17A85D93" w14:textId="77777777" w:rsidR="00643D10" w:rsidRPr="00D9348B" w:rsidRDefault="00643D10" w:rsidP="00DB330E">
            <w:pPr>
              <w:pStyle w:val="TableText"/>
              <w:spacing w:before="40" w:after="40"/>
              <w:rPr>
                <w:rFonts w:cs="Arial"/>
                <w:szCs w:val="16"/>
              </w:rPr>
            </w:pPr>
            <w:r w:rsidRPr="00D9348B">
              <w:rPr>
                <w:rFonts w:cs="Arial"/>
                <w:bCs/>
                <w:color w:val="000000"/>
                <w:szCs w:val="16"/>
              </w:rPr>
              <w:t>Energy Industries – Manufacture of Solid Fuels and Other Energy Industries Gaseous Fuels</w:t>
            </w:r>
          </w:p>
        </w:tc>
        <w:tc>
          <w:tcPr>
            <w:tcW w:w="321" w:type="pct"/>
            <w:shd w:val="clear" w:color="auto" w:fill="auto"/>
            <w:tcMar>
              <w:left w:w="0" w:type="dxa"/>
              <w:right w:w="0" w:type="dxa"/>
            </w:tcMar>
            <w:vAlign w:val="bottom"/>
          </w:tcPr>
          <w:p w14:paraId="311A86BA"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36" w:type="pct"/>
            <w:shd w:val="clear" w:color="auto" w:fill="auto"/>
            <w:vAlign w:val="bottom"/>
          </w:tcPr>
          <w:p w14:paraId="61AF5B7E"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1,720.1</w:t>
            </w:r>
          </w:p>
        </w:tc>
        <w:tc>
          <w:tcPr>
            <w:tcW w:w="536" w:type="pct"/>
            <w:shd w:val="clear" w:color="auto" w:fill="auto"/>
            <w:vAlign w:val="bottom"/>
          </w:tcPr>
          <w:p w14:paraId="1F55ED62"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257.3</w:t>
            </w:r>
          </w:p>
        </w:tc>
        <w:tc>
          <w:tcPr>
            <w:tcW w:w="536" w:type="pct"/>
            <w:shd w:val="clear" w:color="auto" w:fill="auto"/>
            <w:vAlign w:val="bottom"/>
          </w:tcPr>
          <w:p w14:paraId="3E807EB3"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0.026</w:t>
            </w:r>
          </w:p>
        </w:tc>
        <w:tc>
          <w:tcPr>
            <w:tcW w:w="571" w:type="pct"/>
            <w:shd w:val="clear" w:color="auto" w:fill="auto"/>
            <w:vAlign w:val="bottom"/>
          </w:tcPr>
          <w:p w14:paraId="62897869"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3.4</w:t>
            </w:r>
          </w:p>
        </w:tc>
        <w:tc>
          <w:tcPr>
            <w:tcW w:w="536" w:type="pct"/>
            <w:shd w:val="clear" w:color="auto" w:fill="auto"/>
            <w:vAlign w:val="bottom"/>
          </w:tcPr>
          <w:p w14:paraId="4EDD36C0"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63.1</w:t>
            </w:r>
          </w:p>
        </w:tc>
      </w:tr>
      <w:tr w:rsidR="00217967" w:rsidRPr="00D9348B" w14:paraId="041908EB" w14:textId="77777777" w:rsidTr="00217967">
        <w:tc>
          <w:tcPr>
            <w:tcW w:w="571" w:type="pct"/>
            <w:vAlign w:val="bottom"/>
          </w:tcPr>
          <w:p w14:paraId="2DA318F1" w14:textId="77777777" w:rsidR="00643D10" w:rsidRPr="00D9348B" w:rsidRDefault="00643D10" w:rsidP="00DB330E">
            <w:pPr>
              <w:pStyle w:val="TableText"/>
              <w:keepNext/>
              <w:spacing w:before="40" w:after="40"/>
              <w:rPr>
                <w:rFonts w:cs="Arial"/>
                <w:szCs w:val="16"/>
              </w:rPr>
            </w:pPr>
            <w:r w:rsidRPr="00D9348B">
              <w:rPr>
                <w:rFonts w:cs="Arial"/>
                <w:bCs/>
                <w:color w:val="000000"/>
                <w:szCs w:val="16"/>
              </w:rPr>
              <w:t>1.A.1.a</w:t>
            </w:r>
          </w:p>
        </w:tc>
        <w:tc>
          <w:tcPr>
            <w:tcW w:w="1393" w:type="pct"/>
            <w:shd w:val="clear" w:color="auto" w:fill="auto"/>
            <w:vAlign w:val="bottom"/>
          </w:tcPr>
          <w:p w14:paraId="6500A93E" w14:textId="77777777" w:rsidR="00643D10" w:rsidRPr="00D9348B" w:rsidRDefault="00643D10" w:rsidP="00DB330E">
            <w:pPr>
              <w:pStyle w:val="TableText"/>
              <w:spacing w:before="40" w:after="40"/>
              <w:rPr>
                <w:rFonts w:cs="Arial"/>
                <w:szCs w:val="16"/>
              </w:rPr>
            </w:pPr>
            <w:r w:rsidRPr="00D9348B">
              <w:rPr>
                <w:rFonts w:cs="Arial"/>
                <w:bCs/>
                <w:color w:val="000000"/>
                <w:szCs w:val="16"/>
              </w:rPr>
              <w:t>Energy Industries – Public Electricity and Heat Production Gaseous Fuels</w:t>
            </w:r>
          </w:p>
        </w:tc>
        <w:tc>
          <w:tcPr>
            <w:tcW w:w="321" w:type="pct"/>
            <w:shd w:val="clear" w:color="auto" w:fill="auto"/>
            <w:vAlign w:val="bottom"/>
          </w:tcPr>
          <w:p w14:paraId="6569AB9A"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36" w:type="pct"/>
            <w:shd w:val="clear" w:color="auto" w:fill="auto"/>
            <w:vAlign w:val="bottom"/>
          </w:tcPr>
          <w:p w14:paraId="21E92B5B"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3,011.8</w:t>
            </w:r>
          </w:p>
        </w:tc>
        <w:tc>
          <w:tcPr>
            <w:tcW w:w="536" w:type="pct"/>
            <w:shd w:val="clear" w:color="auto" w:fill="auto"/>
            <w:vAlign w:val="bottom"/>
          </w:tcPr>
          <w:p w14:paraId="093117EE"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2,366.6</w:t>
            </w:r>
          </w:p>
        </w:tc>
        <w:tc>
          <w:tcPr>
            <w:tcW w:w="536" w:type="pct"/>
            <w:shd w:val="clear" w:color="auto" w:fill="auto"/>
            <w:vAlign w:val="bottom"/>
          </w:tcPr>
          <w:p w14:paraId="3B6FBF15"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0.025</w:t>
            </w:r>
          </w:p>
        </w:tc>
        <w:tc>
          <w:tcPr>
            <w:tcW w:w="571" w:type="pct"/>
            <w:shd w:val="clear" w:color="auto" w:fill="auto"/>
            <w:vAlign w:val="bottom"/>
          </w:tcPr>
          <w:p w14:paraId="49025641"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3.3</w:t>
            </w:r>
          </w:p>
        </w:tc>
        <w:tc>
          <w:tcPr>
            <w:tcW w:w="536" w:type="pct"/>
            <w:shd w:val="clear" w:color="auto" w:fill="auto"/>
            <w:vAlign w:val="bottom"/>
          </w:tcPr>
          <w:p w14:paraId="79B3DC58"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66.4</w:t>
            </w:r>
          </w:p>
        </w:tc>
      </w:tr>
      <w:tr w:rsidR="00217967" w:rsidRPr="00D9348B" w14:paraId="6B10BB93" w14:textId="77777777" w:rsidTr="00217967">
        <w:tc>
          <w:tcPr>
            <w:tcW w:w="571" w:type="pct"/>
            <w:vAlign w:val="bottom"/>
          </w:tcPr>
          <w:p w14:paraId="4F77D70B" w14:textId="77777777" w:rsidR="00643D10" w:rsidRPr="00D9348B" w:rsidRDefault="00643D10" w:rsidP="00DB330E">
            <w:pPr>
              <w:pStyle w:val="TableText"/>
              <w:keepNext/>
              <w:spacing w:before="40" w:after="40"/>
              <w:rPr>
                <w:rFonts w:cs="Arial"/>
                <w:szCs w:val="16"/>
              </w:rPr>
            </w:pPr>
            <w:r w:rsidRPr="00D9348B">
              <w:rPr>
                <w:rFonts w:cs="Arial"/>
                <w:bCs/>
                <w:color w:val="000000"/>
                <w:szCs w:val="16"/>
              </w:rPr>
              <w:t>5.A</w:t>
            </w:r>
          </w:p>
        </w:tc>
        <w:tc>
          <w:tcPr>
            <w:tcW w:w="1393" w:type="pct"/>
            <w:shd w:val="clear" w:color="auto" w:fill="auto"/>
            <w:vAlign w:val="bottom"/>
          </w:tcPr>
          <w:p w14:paraId="43819943" w14:textId="77777777" w:rsidR="00643D10" w:rsidRPr="00D9348B" w:rsidRDefault="00643D10" w:rsidP="00DB330E">
            <w:pPr>
              <w:pStyle w:val="TableText"/>
              <w:spacing w:before="40" w:after="40"/>
              <w:rPr>
                <w:rFonts w:cs="Arial"/>
                <w:szCs w:val="16"/>
              </w:rPr>
            </w:pPr>
            <w:r w:rsidRPr="00D9348B">
              <w:rPr>
                <w:rFonts w:cs="Arial"/>
                <w:bCs/>
                <w:color w:val="000000"/>
                <w:szCs w:val="16"/>
              </w:rPr>
              <w:t>Waste – Solid Waste Disposal</w:t>
            </w:r>
          </w:p>
        </w:tc>
        <w:tc>
          <w:tcPr>
            <w:tcW w:w="321" w:type="pct"/>
            <w:shd w:val="clear" w:color="auto" w:fill="auto"/>
            <w:vAlign w:val="bottom"/>
          </w:tcPr>
          <w:p w14:paraId="5DE17821"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CH</w:t>
            </w:r>
            <w:r w:rsidRPr="00D9348B">
              <w:rPr>
                <w:rFonts w:cs="Arial"/>
                <w:color w:val="000000"/>
                <w:szCs w:val="16"/>
                <w:vertAlign w:val="subscript"/>
              </w:rPr>
              <w:t>4</w:t>
            </w:r>
          </w:p>
        </w:tc>
        <w:tc>
          <w:tcPr>
            <w:tcW w:w="536" w:type="pct"/>
            <w:shd w:val="clear" w:color="auto" w:fill="auto"/>
            <w:vAlign w:val="bottom"/>
          </w:tcPr>
          <w:p w14:paraId="2DCA6D32"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3,711.1</w:t>
            </w:r>
          </w:p>
        </w:tc>
        <w:tc>
          <w:tcPr>
            <w:tcW w:w="536" w:type="pct"/>
            <w:shd w:val="clear" w:color="auto" w:fill="auto"/>
            <w:vAlign w:val="bottom"/>
          </w:tcPr>
          <w:p w14:paraId="49CBDD85"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3,651.8</w:t>
            </w:r>
          </w:p>
        </w:tc>
        <w:tc>
          <w:tcPr>
            <w:tcW w:w="536" w:type="pct"/>
            <w:shd w:val="clear" w:color="auto" w:fill="auto"/>
            <w:vAlign w:val="bottom"/>
          </w:tcPr>
          <w:p w14:paraId="2CFE26A9"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0.023</w:t>
            </w:r>
          </w:p>
        </w:tc>
        <w:tc>
          <w:tcPr>
            <w:tcW w:w="571" w:type="pct"/>
            <w:shd w:val="clear" w:color="auto" w:fill="auto"/>
            <w:vAlign w:val="bottom"/>
          </w:tcPr>
          <w:p w14:paraId="2D1DF817"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3.1</w:t>
            </w:r>
          </w:p>
        </w:tc>
        <w:tc>
          <w:tcPr>
            <w:tcW w:w="536" w:type="pct"/>
            <w:shd w:val="clear" w:color="auto" w:fill="auto"/>
            <w:vAlign w:val="bottom"/>
          </w:tcPr>
          <w:p w14:paraId="71C343E6"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69.5</w:t>
            </w:r>
          </w:p>
        </w:tc>
      </w:tr>
      <w:tr w:rsidR="00217967" w:rsidRPr="00D9348B" w14:paraId="18A152BA" w14:textId="77777777" w:rsidTr="00217967">
        <w:tc>
          <w:tcPr>
            <w:tcW w:w="571" w:type="pct"/>
            <w:vAlign w:val="bottom"/>
          </w:tcPr>
          <w:p w14:paraId="7BF8DB54" w14:textId="77777777" w:rsidR="00643D10" w:rsidRPr="00D9348B" w:rsidRDefault="00643D10" w:rsidP="00DB330E">
            <w:pPr>
              <w:pStyle w:val="TableText"/>
              <w:spacing w:before="40" w:after="40"/>
              <w:rPr>
                <w:rFonts w:cs="Arial"/>
                <w:szCs w:val="16"/>
              </w:rPr>
            </w:pPr>
            <w:r w:rsidRPr="00D9348B">
              <w:rPr>
                <w:rFonts w:cs="Arial"/>
                <w:bCs/>
                <w:color w:val="000000"/>
                <w:szCs w:val="16"/>
              </w:rPr>
              <w:t>4.C.2</w:t>
            </w:r>
          </w:p>
        </w:tc>
        <w:tc>
          <w:tcPr>
            <w:tcW w:w="1393" w:type="pct"/>
            <w:shd w:val="clear" w:color="auto" w:fill="auto"/>
            <w:vAlign w:val="bottom"/>
          </w:tcPr>
          <w:p w14:paraId="15031922" w14:textId="77777777" w:rsidR="00643D10" w:rsidRPr="00D9348B" w:rsidRDefault="00643D10" w:rsidP="00DB330E">
            <w:pPr>
              <w:pStyle w:val="TableText"/>
              <w:spacing w:before="40" w:after="40"/>
              <w:rPr>
                <w:rFonts w:cs="Arial"/>
                <w:szCs w:val="16"/>
              </w:rPr>
            </w:pPr>
            <w:r w:rsidRPr="00D9348B">
              <w:rPr>
                <w:rFonts w:cs="Arial"/>
                <w:bCs/>
                <w:color w:val="000000"/>
                <w:szCs w:val="16"/>
              </w:rPr>
              <w:t>Grassland – Land Converted to Grassland</w:t>
            </w:r>
          </w:p>
        </w:tc>
        <w:tc>
          <w:tcPr>
            <w:tcW w:w="321" w:type="pct"/>
            <w:shd w:val="clear" w:color="auto" w:fill="auto"/>
            <w:tcMar>
              <w:left w:w="0" w:type="dxa"/>
              <w:right w:w="0" w:type="dxa"/>
            </w:tcMar>
            <w:vAlign w:val="bottom"/>
          </w:tcPr>
          <w:p w14:paraId="32E7EB52"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36" w:type="pct"/>
            <w:shd w:val="clear" w:color="auto" w:fill="auto"/>
            <w:vAlign w:val="bottom"/>
          </w:tcPr>
          <w:p w14:paraId="063B6496"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253.4</w:t>
            </w:r>
          </w:p>
        </w:tc>
        <w:tc>
          <w:tcPr>
            <w:tcW w:w="536" w:type="pct"/>
            <w:shd w:val="clear" w:color="auto" w:fill="auto"/>
            <w:vAlign w:val="bottom"/>
          </w:tcPr>
          <w:p w14:paraId="2F8E8005"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2,434.9</w:t>
            </w:r>
          </w:p>
        </w:tc>
        <w:tc>
          <w:tcPr>
            <w:tcW w:w="536" w:type="pct"/>
            <w:shd w:val="clear" w:color="auto" w:fill="auto"/>
            <w:vAlign w:val="bottom"/>
          </w:tcPr>
          <w:p w14:paraId="08D21C22"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0.022</w:t>
            </w:r>
          </w:p>
        </w:tc>
        <w:tc>
          <w:tcPr>
            <w:tcW w:w="571" w:type="pct"/>
            <w:shd w:val="clear" w:color="auto" w:fill="auto"/>
            <w:vAlign w:val="bottom"/>
          </w:tcPr>
          <w:p w14:paraId="7F8DEF6F"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2.9</w:t>
            </w:r>
          </w:p>
        </w:tc>
        <w:tc>
          <w:tcPr>
            <w:tcW w:w="536" w:type="pct"/>
            <w:shd w:val="clear" w:color="auto" w:fill="auto"/>
            <w:vAlign w:val="bottom"/>
          </w:tcPr>
          <w:p w14:paraId="0327602D"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72.3</w:t>
            </w:r>
          </w:p>
        </w:tc>
      </w:tr>
      <w:tr w:rsidR="00217967" w:rsidRPr="00D9348B" w14:paraId="0CE385CE" w14:textId="77777777" w:rsidTr="00217967">
        <w:tc>
          <w:tcPr>
            <w:tcW w:w="571" w:type="pct"/>
            <w:vAlign w:val="bottom"/>
          </w:tcPr>
          <w:p w14:paraId="7FEF5BC5" w14:textId="77777777" w:rsidR="00643D10" w:rsidRPr="00D9348B" w:rsidRDefault="00643D10" w:rsidP="00DB330E">
            <w:pPr>
              <w:pStyle w:val="TableText"/>
              <w:spacing w:before="40" w:after="40"/>
              <w:rPr>
                <w:rFonts w:cs="Arial"/>
                <w:szCs w:val="16"/>
              </w:rPr>
            </w:pPr>
            <w:r w:rsidRPr="00D9348B">
              <w:rPr>
                <w:rFonts w:cs="Arial"/>
                <w:bCs/>
                <w:color w:val="000000"/>
                <w:szCs w:val="16"/>
              </w:rPr>
              <w:t>4.A.1</w:t>
            </w:r>
          </w:p>
        </w:tc>
        <w:tc>
          <w:tcPr>
            <w:tcW w:w="1393" w:type="pct"/>
            <w:shd w:val="clear" w:color="auto" w:fill="auto"/>
            <w:vAlign w:val="bottom"/>
          </w:tcPr>
          <w:p w14:paraId="1CA0A03C" w14:textId="77777777" w:rsidR="00643D10" w:rsidRPr="00D9348B" w:rsidRDefault="00643D10" w:rsidP="00DB330E">
            <w:pPr>
              <w:pStyle w:val="TableText"/>
              <w:spacing w:before="40" w:after="40"/>
              <w:rPr>
                <w:rFonts w:cs="Arial"/>
                <w:szCs w:val="16"/>
              </w:rPr>
            </w:pPr>
            <w:r w:rsidRPr="00D9348B">
              <w:rPr>
                <w:rFonts w:cs="Arial"/>
                <w:bCs/>
                <w:color w:val="000000"/>
                <w:szCs w:val="16"/>
              </w:rPr>
              <w:t>Forest Land – Forest Land Remaining Forest Land</w:t>
            </w:r>
          </w:p>
        </w:tc>
        <w:tc>
          <w:tcPr>
            <w:tcW w:w="321" w:type="pct"/>
            <w:shd w:val="clear" w:color="auto" w:fill="auto"/>
            <w:vAlign w:val="bottom"/>
          </w:tcPr>
          <w:p w14:paraId="592FE773"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36" w:type="pct"/>
            <w:shd w:val="clear" w:color="auto" w:fill="auto"/>
            <w:vAlign w:val="bottom"/>
          </w:tcPr>
          <w:p w14:paraId="1DCF15D3"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–7,515.6</w:t>
            </w:r>
          </w:p>
        </w:tc>
        <w:tc>
          <w:tcPr>
            <w:tcW w:w="536" w:type="pct"/>
            <w:shd w:val="clear" w:color="auto" w:fill="auto"/>
            <w:vAlign w:val="bottom"/>
          </w:tcPr>
          <w:p w14:paraId="2C84FA79"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–1,385.7</w:t>
            </w:r>
          </w:p>
        </w:tc>
        <w:tc>
          <w:tcPr>
            <w:tcW w:w="536" w:type="pct"/>
            <w:shd w:val="clear" w:color="auto" w:fill="auto"/>
            <w:vAlign w:val="bottom"/>
          </w:tcPr>
          <w:p w14:paraId="0489BDFD"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0.019</w:t>
            </w:r>
          </w:p>
        </w:tc>
        <w:tc>
          <w:tcPr>
            <w:tcW w:w="571" w:type="pct"/>
            <w:shd w:val="clear" w:color="auto" w:fill="auto"/>
            <w:vAlign w:val="bottom"/>
          </w:tcPr>
          <w:p w14:paraId="334A5812"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2.6</w:t>
            </w:r>
          </w:p>
        </w:tc>
        <w:tc>
          <w:tcPr>
            <w:tcW w:w="536" w:type="pct"/>
            <w:shd w:val="clear" w:color="auto" w:fill="auto"/>
            <w:vAlign w:val="bottom"/>
          </w:tcPr>
          <w:p w14:paraId="4621771E"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74.9</w:t>
            </w:r>
          </w:p>
        </w:tc>
      </w:tr>
      <w:tr w:rsidR="00217967" w:rsidRPr="00D9348B" w14:paraId="47221F89" w14:textId="77777777" w:rsidTr="00217967">
        <w:tc>
          <w:tcPr>
            <w:tcW w:w="571" w:type="pct"/>
            <w:vAlign w:val="bottom"/>
          </w:tcPr>
          <w:p w14:paraId="0F90E364" w14:textId="77777777" w:rsidR="00643D10" w:rsidRPr="00D9348B" w:rsidRDefault="00643D10" w:rsidP="00DB330E">
            <w:pPr>
              <w:pStyle w:val="TableText"/>
              <w:spacing w:before="40" w:after="40"/>
              <w:rPr>
                <w:rFonts w:cs="Arial"/>
                <w:szCs w:val="16"/>
              </w:rPr>
            </w:pPr>
            <w:r w:rsidRPr="00D9348B">
              <w:rPr>
                <w:rFonts w:cs="Arial"/>
                <w:bCs/>
                <w:color w:val="000000"/>
                <w:szCs w:val="16"/>
              </w:rPr>
              <w:t>2.C.3</w:t>
            </w:r>
          </w:p>
        </w:tc>
        <w:tc>
          <w:tcPr>
            <w:tcW w:w="1393" w:type="pct"/>
            <w:shd w:val="clear" w:color="auto" w:fill="auto"/>
            <w:vAlign w:val="bottom"/>
          </w:tcPr>
          <w:p w14:paraId="4470259B" w14:textId="77777777" w:rsidR="00643D10" w:rsidRPr="00D9348B" w:rsidRDefault="00643D10" w:rsidP="00DB330E">
            <w:pPr>
              <w:pStyle w:val="TableText"/>
              <w:spacing w:before="40" w:after="40"/>
              <w:rPr>
                <w:rFonts w:cs="Arial"/>
                <w:szCs w:val="16"/>
              </w:rPr>
            </w:pPr>
            <w:r w:rsidRPr="00D9348B">
              <w:rPr>
                <w:rFonts w:cs="Arial"/>
                <w:bCs/>
                <w:color w:val="000000"/>
                <w:szCs w:val="16"/>
              </w:rPr>
              <w:t>Metal Industry – Aluminium Production</w:t>
            </w:r>
          </w:p>
        </w:tc>
        <w:tc>
          <w:tcPr>
            <w:tcW w:w="321" w:type="pct"/>
            <w:shd w:val="clear" w:color="auto" w:fill="auto"/>
            <w:vAlign w:val="bottom"/>
          </w:tcPr>
          <w:p w14:paraId="1D5F8094" w14:textId="77777777" w:rsidR="00643D10" w:rsidRPr="00D9348B" w:rsidRDefault="00643D10" w:rsidP="00DB330E">
            <w:pPr>
              <w:pStyle w:val="TableText"/>
              <w:spacing w:before="40" w:after="40"/>
              <w:jc w:val="center"/>
              <w:rPr>
                <w:rFonts w:cs="Arial"/>
                <w:szCs w:val="16"/>
              </w:rPr>
            </w:pPr>
            <w:r w:rsidRPr="00D9348B">
              <w:rPr>
                <w:rFonts w:cs="Arial"/>
                <w:bCs/>
                <w:color w:val="000000"/>
                <w:szCs w:val="16"/>
              </w:rPr>
              <w:t>PFCs</w:t>
            </w:r>
          </w:p>
        </w:tc>
        <w:tc>
          <w:tcPr>
            <w:tcW w:w="536" w:type="pct"/>
            <w:shd w:val="clear" w:color="auto" w:fill="auto"/>
            <w:vAlign w:val="bottom"/>
          </w:tcPr>
          <w:p w14:paraId="73D47C5D"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909.9</w:t>
            </w:r>
          </w:p>
        </w:tc>
        <w:tc>
          <w:tcPr>
            <w:tcW w:w="536" w:type="pct"/>
            <w:shd w:val="clear" w:color="auto" w:fill="auto"/>
            <w:vAlign w:val="bottom"/>
          </w:tcPr>
          <w:p w14:paraId="39B3EA61"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72.4</w:t>
            </w:r>
          </w:p>
        </w:tc>
        <w:tc>
          <w:tcPr>
            <w:tcW w:w="536" w:type="pct"/>
            <w:shd w:val="clear" w:color="auto" w:fill="auto"/>
            <w:vAlign w:val="bottom"/>
          </w:tcPr>
          <w:p w14:paraId="463368F9"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0.014</w:t>
            </w:r>
          </w:p>
        </w:tc>
        <w:tc>
          <w:tcPr>
            <w:tcW w:w="571" w:type="pct"/>
            <w:shd w:val="clear" w:color="auto" w:fill="auto"/>
            <w:vAlign w:val="bottom"/>
          </w:tcPr>
          <w:p w14:paraId="3D4EFB37"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1.9</w:t>
            </w:r>
          </w:p>
        </w:tc>
        <w:tc>
          <w:tcPr>
            <w:tcW w:w="536" w:type="pct"/>
            <w:shd w:val="clear" w:color="auto" w:fill="auto"/>
            <w:vAlign w:val="bottom"/>
          </w:tcPr>
          <w:p w14:paraId="1A082FE5"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76.8</w:t>
            </w:r>
          </w:p>
        </w:tc>
      </w:tr>
      <w:tr w:rsidR="00217967" w:rsidRPr="00D9348B" w14:paraId="7C128FA9" w14:textId="77777777" w:rsidTr="00217967">
        <w:tc>
          <w:tcPr>
            <w:tcW w:w="571" w:type="pct"/>
            <w:vAlign w:val="bottom"/>
          </w:tcPr>
          <w:p w14:paraId="03209F38" w14:textId="77777777" w:rsidR="00643D10" w:rsidRPr="00D9348B" w:rsidRDefault="00643D10" w:rsidP="00DB330E">
            <w:pPr>
              <w:pStyle w:val="TableText"/>
              <w:spacing w:before="40" w:after="40"/>
              <w:rPr>
                <w:rFonts w:cs="Arial"/>
                <w:szCs w:val="16"/>
              </w:rPr>
            </w:pPr>
            <w:r w:rsidRPr="00D9348B">
              <w:rPr>
                <w:rFonts w:cs="Arial"/>
                <w:bCs/>
                <w:color w:val="000000"/>
                <w:szCs w:val="16"/>
              </w:rPr>
              <w:t>4.C.1</w:t>
            </w:r>
          </w:p>
        </w:tc>
        <w:tc>
          <w:tcPr>
            <w:tcW w:w="1393" w:type="pct"/>
            <w:shd w:val="clear" w:color="auto" w:fill="auto"/>
            <w:vAlign w:val="bottom"/>
          </w:tcPr>
          <w:p w14:paraId="1588CFA8" w14:textId="77777777" w:rsidR="00643D10" w:rsidRPr="00D9348B" w:rsidRDefault="00643D10" w:rsidP="00DB330E">
            <w:pPr>
              <w:pStyle w:val="TableText"/>
              <w:spacing w:before="40" w:after="40"/>
              <w:rPr>
                <w:rFonts w:cs="Arial"/>
                <w:szCs w:val="16"/>
              </w:rPr>
            </w:pPr>
            <w:r w:rsidRPr="00D9348B">
              <w:rPr>
                <w:rFonts w:cs="Arial"/>
                <w:bCs/>
                <w:color w:val="000000"/>
                <w:szCs w:val="16"/>
              </w:rPr>
              <w:t>Grassland – Grassland Remaining Grassland</w:t>
            </w:r>
          </w:p>
        </w:tc>
        <w:tc>
          <w:tcPr>
            <w:tcW w:w="321" w:type="pct"/>
            <w:shd w:val="clear" w:color="auto" w:fill="auto"/>
            <w:vAlign w:val="bottom"/>
          </w:tcPr>
          <w:p w14:paraId="3C932F3C"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36" w:type="pct"/>
            <w:shd w:val="clear" w:color="auto" w:fill="auto"/>
            <w:vAlign w:val="bottom"/>
          </w:tcPr>
          <w:p w14:paraId="7587DB0C"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–216.1</w:t>
            </w:r>
          </w:p>
        </w:tc>
        <w:tc>
          <w:tcPr>
            <w:tcW w:w="536" w:type="pct"/>
            <w:shd w:val="clear" w:color="auto" w:fill="auto"/>
            <w:vAlign w:val="bottom"/>
          </w:tcPr>
          <w:p w14:paraId="77EB5BC9"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1,175.2</w:t>
            </w:r>
          </w:p>
        </w:tc>
        <w:tc>
          <w:tcPr>
            <w:tcW w:w="536" w:type="pct"/>
            <w:shd w:val="clear" w:color="auto" w:fill="auto"/>
            <w:vAlign w:val="bottom"/>
          </w:tcPr>
          <w:p w14:paraId="1B2D14C0"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0.013</w:t>
            </w:r>
          </w:p>
        </w:tc>
        <w:tc>
          <w:tcPr>
            <w:tcW w:w="571" w:type="pct"/>
            <w:shd w:val="clear" w:color="auto" w:fill="auto"/>
            <w:vAlign w:val="bottom"/>
          </w:tcPr>
          <w:p w14:paraId="2B81BE6D"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1.8</w:t>
            </w:r>
          </w:p>
        </w:tc>
        <w:tc>
          <w:tcPr>
            <w:tcW w:w="536" w:type="pct"/>
            <w:shd w:val="clear" w:color="auto" w:fill="auto"/>
            <w:vAlign w:val="bottom"/>
          </w:tcPr>
          <w:p w14:paraId="2B7329AD"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78.6</w:t>
            </w:r>
          </w:p>
        </w:tc>
      </w:tr>
      <w:tr w:rsidR="00217967" w:rsidRPr="00D9348B" w14:paraId="7C615CC2" w14:textId="77777777" w:rsidTr="00217967">
        <w:tc>
          <w:tcPr>
            <w:tcW w:w="571" w:type="pct"/>
            <w:vAlign w:val="bottom"/>
          </w:tcPr>
          <w:p w14:paraId="6F1E40FA" w14:textId="77777777" w:rsidR="00643D10" w:rsidRPr="00D9348B" w:rsidRDefault="00643D10" w:rsidP="00DB330E">
            <w:pPr>
              <w:pStyle w:val="TableText"/>
              <w:spacing w:before="40" w:after="40"/>
              <w:rPr>
                <w:rFonts w:cs="Arial"/>
                <w:szCs w:val="16"/>
              </w:rPr>
            </w:pPr>
            <w:r w:rsidRPr="00D9348B">
              <w:rPr>
                <w:rFonts w:cs="Arial"/>
                <w:bCs/>
                <w:color w:val="000000"/>
                <w:szCs w:val="16"/>
              </w:rPr>
              <w:t>1.A.2.g.viii</w:t>
            </w:r>
          </w:p>
        </w:tc>
        <w:tc>
          <w:tcPr>
            <w:tcW w:w="1393" w:type="pct"/>
            <w:shd w:val="clear" w:color="auto" w:fill="auto"/>
            <w:vAlign w:val="bottom"/>
          </w:tcPr>
          <w:p w14:paraId="76AF96F3" w14:textId="77777777" w:rsidR="00643D10" w:rsidRPr="00D9348B" w:rsidRDefault="00643D10" w:rsidP="00DB330E">
            <w:pPr>
              <w:pStyle w:val="TableText"/>
              <w:spacing w:before="40" w:after="40"/>
              <w:rPr>
                <w:rFonts w:cs="Arial"/>
                <w:szCs w:val="16"/>
              </w:rPr>
            </w:pPr>
            <w:r w:rsidRPr="00D9348B">
              <w:rPr>
                <w:rFonts w:cs="Arial"/>
                <w:bCs/>
                <w:color w:val="000000"/>
                <w:szCs w:val="16"/>
              </w:rPr>
              <w:t>Other (please specify) – Other (please specify) Solid Fuels</w:t>
            </w:r>
          </w:p>
        </w:tc>
        <w:tc>
          <w:tcPr>
            <w:tcW w:w="321" w:type="pct"/>
            <w:shd w:val="clear" w:color="auto" w:fill="auto"/>
            <w:vAlign w:val="bottom"/>
          </w:tcPr>
          <w:p w14:paraId="493EEA47"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36" w:type="pct"/>
            <w:shd w:val="clear" w:color="auto" w:fill="auto"/>
            <w:vAlign w:val="bottom"/>
          </w:tcPr>
          <w:p w14:paraId="0DAE8554"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731.1</w:t>
            </w:r>
          </w:p>
        </w:tc>
        <w:tc>
          <w:tcPr>
            <w:tcW w:w="536" w:type="pct"/>
            <w:shd w:val="clear" w:color="auto" w:fill="auto"/>
            <w:vAlign w:val="bottom"/>
          </w:tcPr>
          <w:p w14:paraId="7B3DB1B1"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51.4</w:t>
            </w:r>
          </w:p>
        </w:tc>
        <w:tc>
          <w:tcPr>
            <w:tcW w:w="536" w:type="pct"/>
            <w:shd w:val="clear" w:color="auto" w:fill="auto"/>
            <w:vAlign w:val="bottom"/>
          </w:tcPr>
          <w:p w14:paraId="08D6CCC3"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0.012</w:t>
            </w:r>
          </w:p>
        </w:tc>
        <w:tc>
          <w:tcPr>
            <w:tcW w:w="571" w:type="pct"/>
            <w:shd w:val="clear" w:color="auto" w:fill="auto"/>
            <w:vAlign w:val="bottom"/>
          </w:tcPr>
          <w:p w14:paraId="337A1940"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1.5</w:t>
            </w:r>
          </w:p>
        </w:tc>
        <w:tc>
          <w:tcPr>
            <w:tcW w:w="536" w:type="pct"/>
            <w:shd w:val="clear" w:color="auto" w:fill="auto"/>
            <w:vAlign w:val="bottom"/>
          </w:tcPr>
          <w:p w14:paraId="6E277FDE"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80.1</w:t>
            </w:r>
          </w:p>
        </w:tc>
      </w:tr>
      <w:tr w:rsidR="00217967" w:rsidRPr="00D9348B" w14:paraId="4B8FD67B" w14:textId="77777777" w:rsidTr="00217967">
        <w:tc>
          <w:tcPr>
            <w:tcW w:w="571" w:type="pct"/>
            <w:vAlign w:val="bottom"/>
          </w:tcPr>
          <w:p w14:paraId="3E307B15" w14:textId="77777777" w:rsidR="00643D10" w:rsidRPr="00D9348B" w:rsidRDefault="00643D10" w:rsidP="00DB330E">
            <w:pPr>
              <w:pStyle w:val="TableText"/>
              <w:spacing w:before="40" w:after="40"/>
              <w:rPr>
                <w:rFonts w:cs="Arial"/>
                <w:szCs w:val="16"/>
              </w:rPr>
            </w:pPr>
            <w:r w:rsidRPr="00D9348B">
              <w:rPr>
                <w:rFonts w:cs="Arial"/>
                <w:bCs/>
                <w:color w:val="000000"/>
                <w:szCs w:val="16"/>
              </w:rPr>
              <w:t>3.D.1.1</w:t>
            </w:r>
          </w:p>
        </w:tc>
        <w:tc>
          <w:tcPr>
            <w:tcW w:w="1393" w:type="pct"/>
            <w:shd w:val="clear" w:color="auto" w:fill="auto"/>
            <w:vAlign w:val="bottom"/>
          </w:tcPr>
          <w:p w14:paraId="64EEB12A" w14:textId="77777777" w:rsidR="00643D10" w:rsidRPr="00D9348B" w:rsidRDefault="00643D10" w:rsidP="00DB330E">
            <w:pPr>
              <w:pStyle w:val="TableText"/>
              <w:spacing w:before="40" w:after="40"/>
              <w:rPr>
                <w:rFonts w:cs="Arial"/>
                <w:szCs w:val="16"/>
              </w:rPr>
            </w:pPr>
            <w:r w:rsidRPr="00D9348B">
              <w:rPr>
                <w:rFonts w:cs="Arial"/>
                <w:bCs/>
                <w:color w:val="000000"/>
                <w:szCs w:val="16"/>
              </w:rPr>
              <w:t>Direct N</w:t>
            </w:r>
            <w:r w:rsidRPr="00D9348B">
              <w:rPr>
                <w:rFonts w:cs="Arial"/>
                <w:bCs/>
                <w:color w:val="000000"/>
                <w:szCs w:val="16"/>
                <w:vertAlign w:val="subscript"/>
              </w:rPr>
              <w:t>2</w:t>
            </w:r>
            <w:r w:rsidRPr="00D9348B">
              <w:rPr>
                <w:rFonts w:cs="Arial"/>
                <w:bCs/>
                <w:color w:val="000000"/>
                <w:szCs w:val="16"/>
              </w:rPr>
              <w:t>O Emissions From Managed Soils – Inorganic N Fertilizers</w:t>
            </w:r>
          </w:p>
        </w:tc>
        <w:tc>
          <w:tcPr>
            <w:tcW w:w="321" w:type="pct"/>
            <w:shd w:val="clear" w:color="auto" w:fill="auto"/>
            <w:vAlign w:val="bottom"/>
          </w:tcPr>
          <w:p w14:paraId="340F7E9C"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N</w:t>
            </w:r>
            <w:r w:rsidRPr="00D9348B">
              <w:rPr>
                <w:rFonts w:cs="Arial"/>
                <w:color w:val="000000"/>
                <w:szCs w:val="16"/>
                <w:vertAlign w:val="subscript"/>
              </w:rPr>
              <w:t>2</w:t>
            </w:r>
            <w:r w:rsidRPr="00D9348B">
              <w:rPr>
                <w:rFonts w:cs="Arial"/>
                <w:color w:val="000000"/>
                <w:szCs w:val="16"/>
              </w:rPr>
              <w:t>O</w:t>
            </w:r>
          </w:p>
        </w:tc>
        <w:tc>
          <w:tcPr>
            <w:tcW w:w="536" w:type="pct"/>
            <w:shd w:val="clear" w:color="auto" w:fill="auto"/>
            <w:vAlign w:val="bottom"/>
          </w:tcPr>
          <w:p w14:paraId="51790528"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230.3</w:t>
            </w:r>
          </w:p>
        </w:tc>
        <w:tc>
          <w:tcPr>
            <w:tcW w:w="536" w:type="pct"/>
            <w:shd w:val="clear" w:color="auto" w:fill="auto"/>
            <w:vAlign w:val="bottom"/>
          </w:tcPr>
          <w:p w14:paraId="2AC7AB3F"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1,411.3</w:t>
            </w:r>
          </w:p>
        </w:tc>
        <w:tc>
          <w:tcPr>
            <w:tcW w:w="536" w:type="pct"/>
            <w:shd w:val="clear" w:color="auto" w:fill="auto"/>
            <w:vAlign w:val="bottom"/>
          </w:tcPr>
          <w:p w14:paraId="49014FF3"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0.011</w:t>
            </w:r>
          </w:p>
        </w:tc>
        <w:tc>
          <w:tcPr>
            <w:tcW w:w="571" w:type="pct"/>
            <w:shd w:val="clear" w:color="auto" w:fill="auto"/>
            <w:vAlign w:val="bottom"/>
          </w:tcPr>
          <w:p w14:paraId="526502BB"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1.5</w:t>
            </w:r>
          </w:p>
        </w:tc>
        <w:tc>
          <w:tcPr>
            <w:tcW w:w="536" w:type="pct"/>
            <w:shd w:val="clear" w:color="auto" w:fill="auto"/>
            <w:vAlign w:val="bottom"/>
          </w:tcPr>
          <w:p w14:paraId="08269787"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81.6</w:t>
            </w:r>
          </w:p>
        </w:tc>
      </w:tr>
      <w:tr w:rsidR="00217967" w:rsidRPr="00D9348B" w14:paraId="17FAE0DE" w14:textId="77777777" w:rsidTr="00217967">
        <w:tc>
          <w:tcPr>
            <w:tcW w:w="571" w:type="pct"/>
            <w:vAlign w:val="bottom"/>
          </w:tcPr>
          <w:p w14:paraId="68240E9D" w14:textId="77777777" w:rsidR="00643D10" w:rsidRPr="00D9348B" w:rsidRDefault="00643D10" w:rsidP="00DB330E">
            <w:pPr>
              <w:pStyle w:val="TableText"/>
              <w:spacing w:before="40" w:after="40"/>
              <w:rPr>
                <w:rFonts w:cs="Arial"/>
                <w:szCs w:val="16"/>
              </w:rPr>
            </w:pPr>
            <w:r w:rsidRPr="00D9348B">
              <w:rPr>
                <w:rFonts w:cs="Arial"/>
                <w:bCs/>
                <w:color w:val="000000"/>
                <w:szCs w:val="16"/>
              </w:rPr>
              <w:t>3.D.1.3</w:t>
            </w:r>
          </w:p>
        </w:tc>
        <w:tc>
          <w:tcPr>
            <w:tcW w:w="1393" w:type="pct"/>
            <w:shd w:val="clear" w:color="auto" w:fill="auto"/>
            <w:vAlign w:val="bottom"/>
          </w:tcPr>
          <w:p w14:paraId="4A518662" w14:textId="77777777" w:rsidR="00643D10" w:rsidRPr="00D9348B" w:rsidRDefault="00643D10" w:rsidP="00DB330E">
            <w:pPr>
              <w:pStyle w:val="TableText"/>
              <w:spacing w:before="40" w:after="40"/>
              <w:rPr>
                <w:rFonts w:cs="Arial"/>
                <w:szCs w:val="16"/>
              </w:rPr>
            </w:pPr>
            <w:r w:rsidRPr="00D9348B">
              <w:rPr>
                <w:rFonts w:cs="Arial"/>
                <w:bCs/>
                <w:color w:val="000000"/>
                <w:szCs w:val="16"/>
              </w:rPr>
              <w:t>Direct N</w:t>
            </w:r>
            <w:r w:rsidRPr="00D9348B">
              <w:rPr>
                <w:rFonts w:cs="Arial"/>
                <w:bCs/>
                <w:color w:val="000000"/>
                <w:szCs w:val="16"/>
                <w:vertAlign w:val="subscript"/>
              </w:rPr>
              <w:t>2</w:t>
            </w:r>
            <w:r w:rsidRPr="00D9348B">
              <w:rPr>
                <w:rFonts w:cs="Arial"/>
                <w:bCs/>
                <w:color w:val="000000"/>
                <w:szCs w:val="16"/>
              </w:rPr>
              <w:t>O Emissions From Managed Soils – Urine and Dung Deposited by Grazing Animals</w:t>
            </w:r>
          </w:p>
        </w:tc>
        <w:tc>
          <w:tcPr>
            <w:tcW w:w="321" w:type="pct"/>
            <w:shd w:val="clear" w:color="auto" w:fill="auto"/>
            <w:vAlign w:val="bottom"/>
          </w:tcPr>
          <w:p w14:paraId="349D4647"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N</w:t>
            </w:r>
            <w:r w:rsidRPr="00D9348B">
              <w:rPr>
                <w:rFonts w:cs="Arial"/>
                <w:color w:val="000000"/>
                <w:szCs w:val="16"/>
                <w:vertAlign w:val="subscript"/>
              </w:rPr>
              <w:t>2</w:t>
            </w:r>
            <w:r w:rsidRPr="00D9348B">
              <w:rPr>
                <w:rFonts w:cs="Arial"/>
                <w:color w:val="000000"/>
                <w:szCs w:val="16"/>
              </w:rPr>
              <w:t>O</w:t>
            </w:r>
          </w:p>
        </w:tc>
        <w:tc>
          <w:tcPr>
            <w:tcW w:w="536" w:type="pct"/>
            <w:shd w:val="clear" w:color="auto" w:fill="auto"/>
            <w:vAlign w:val="bottom"/>
          </w:tcPr>
          <w:p w14:paraId="109DE21F"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2,926.9</w:t>
            </w:r>
          </w:p>
        </w:tc>
        <w:tc>
          <w:tcPr>
            <w:tcW w:w="536" w:type="pct"/>
            <w:shd w:val="clear" w:color="auto" w:fill="auto"/>
            <w:vAlign w:val="bottom"/>
          </w:tcPr>
          <w:p w14:paraId="13F867F3"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3,824.2</w:t>
            </w:r>
          </w:p>
        </w:tc>
        <w:tc>
          <w:tcPr>
            <w:tcW w:w="536" w:type="pct"/>
            <w:shd w:val="clear" w:color="auto" w:fill="auto"/>
            <w:vAlign w:val="bottom"/>
          </w:tcPr>
          <w:p w14:paraId="3BB8A0F5"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0.008</w:t>
            </w:r>
          </w:p>
        </w:tc>
        <w:tc>
          <w:tcPr>
            <w:tcW w:w="571" w:type="pct"/>
            <w:shd w:val="clear" w:color="auto" w:fill="auto"/>
            <w:vAlign w:val="bottom"/>
          </w:tcPr>
          <w:p w14:paraId="35039C04"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1.1</w:t>
            </w:r>
          </w:p>
        </w:tc>
        <w:tc>
          <w:tcPr>
            <w:tcW w:w="536" w:type="pct"/>
            <w:shd w:val="clear" w:color="auto" w:fill="auto"/>
            <w:vAlign w:val="bottom"/>
          </w:tcPr>
          <w:p w14:paraId="66850417"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82.7</w:t>
            </w:r>
          </w:p>
        </w:tc>
      </w:tr>
      <w:tr w:rsidR="00217967" w:rsidRPr="00D9348B" w14:paraId="61AA1C5E" w14:textId="77777777" w:rsidTr="00217967">
        <w:tc>
          <w:tcPr>
            <w:tcW w:w="571" w:type="pct"/>
            <w:vAlign w:val="bottom"/>
          </w:tcPr>
          <w:p w14:paraId="0E915774" w14:textId="77777777" w:rsidR="00643D10" w:rsidRPr="00D9348B" w:rsidRDefault="00643D10" w:rsidP="00DB330E">
            <w:pPr>
              <w:pStyle w:val="TableText"/>
              <w:spacing w:before="40" w:after="40"/>
              <w:rPr>
                <w:rFonts w:cs="Arial"/>
                <w:szCs w:val="16"/>
              </w:rPr>
            </w:pPr>
            <w:r w:rsidRPr="00D9348B">
              <w:rPr>
                <w:rFonts w:cs="Arial"/>
                <w:bCs/>
                <w:color w:val="000000"/>
                <w:szCs w:val="16"/>
              </w:rPr>
              <w:t>3.B.1.1</w:t>
            </w:r>
          </w:p>
        </w:tc>
        <w:tc>
          <w:tcPr>
            <w:tcW w:w="1393" w:type="pct"/>
            <w:shd w:val="clear" w:color="auto" w:fill="auto"/>
            <w:vAlign w:val="bottom"/>
          </w:tcPr>
          <w:p w14:paraId="78D4B675" w14:textId="77777777" w:rsidR="00643D10" w:rsidRPr="00D9348B" w:rsidRDefault="00643D10" w:rsidP="00DB330E">
            <w:pPr>
              <w:pStyle w:val="TableText"/>
              <w:spacing w:before="40" w:after="40"/>
              <w:rPr>
                <w:rFonts w:cs="Arial"/>
                <w:szCs w:val="16"/>
              </w:rPr>
            </w:pPr>
            <w:r w:rsidRPr="00D9348B">
              <w:rPr>
                <w:rFonts w:cs="Arial"/>
                <w:bCs/>
                <w:color w:val="000000"/>
                <w:szCs w:val="16"/>
              </w:rPr>
              <w:t>Option A – Dairy Cattle</w:t>
            </w:r>
          </w:p>
        </w:tc>
        <w:tc>
          <w:tcPr>
            <w:tcW w:w="321" w:type="pct"/>
            <w:shd w:val="clear" w:color="auto" w:fill="auto"/>
            <w:vAlign w:val="bottom"/>
          </w:tcPr>
          <w:p w14:paraId="1368A4FC"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CH</w:t>
            </w:r>
            <w:r w:rsidRPr="00D9348B">
              <w:rPr>
                <w:rFonts w:cs="Arial"/>
                <w:color w:val="000000"/>
                <w:szCs w:val="16"/>
                <w:vertAlign w:val="subscript"/>
              </w:rPr>
              <w:t>4</w:t>
            </w:r>
          </w:p>
        </w:tc>
        <w:tc>
          <w:tcPr>
            <w:tcW w:w="536" w:type="pct"/>
            <w:shd w:val="clear" w:color="auto" w:fill="auto"/>
            <w:vAlign w:val="bottom"/>
          </w:tcPr>
          <w:p w14:paraId="308E2267"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376.8</w:t>
            </w:r>
          </w:p>
        </w:tc>
        <w:tc>
          <w:tcPr>
            <w:tcW w:w="536" w:type="pct"/>
            <w:shd w:val="clear" w:color="auto" w:fill="auto"/>
            <w:vAlign w:val="bottom"/>
          </w:tcPr>
          <w:p w14:paraId="57CA8E80"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1,263.2</w:t>
            </w:r>
          </w:p>
        </w:tc>
        <w:tc>
          <w:tcPr>
            <w:tcW w:w="536" w:type="pct"/>
            <w:shd w:val="clear" w:color="auto" w:fill="auto"/>
            <w:vAlign w:val="bottom"/>
          </w:tcPr>
          <w:p w14:paraId="10C9B07A"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0.007</w:t>
            </w:r>
          </w:p>
        </w:tc>
        <w:tc>
          <w:tcPr>
            <w:tcW w:w="571" w:type="pct"/>
            <w:shd w:val="clear" w:color="auto" w:fill="auto"/>
            <w:vAlign w:val="bottom"/>
          </w:tcPr>
          <w:p w14:paraId="2483E1FC"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0.9</w:t>
            </w:r>
          </w:p>
        </w:tc>
        <w:tc>
          <w:tcPr>
            <w:tcW w:w="536" w:type="pct"/>
            <w:shd w:val="clear" w:color="auto" w:fill="auto"/>
            <w:vAlign w:val="bottom"/>
          </w:tcPr>
          <w:p w14:paraId="728133B8"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83.6</w:t>
            </w:r>
          </w:p>
        </w:tc>
      </w:tr>
      <w:tr w:rsidR="00217967" w:rsidRPr="00D9348B" w14:paraId="39829ABD" w14:textId="77777777" w:rsidTr="00217967">
        <w:tc>
          <w:tcPr>
            <w:tcW w:w="571" w:type="pct"/>
            <w:vAlign w:val="bottom"/>
          </w:tcPr>
          <w:p w14:paraId="560F2C2C" w14:textId="77777777" w:rsidR="00643D10" w:rsidRPr="00D9348B" w:rsidRDefault="00643D10" w:rsidP="00DB330E">
            <w:pPr>
              <w:pStyle w:val="TableText"/>
              <w:keepNext/>
              <w:spacing w:before="40" w:after="40"/>
              <w:rPr>
                <w:rFonts w:cs="Arial"/>
                <w:szCs w:val="16"/>
              </w:rPr>
            </w:pPr>
            <w:r w:rsidRPr="00D9348B">
              <w:rPr>
                <w:rFonts w:cs="Arial"/>
                <w:bCs/>
                <w:color w:val="000000"/>
                <w:szCs w:val="16"/>
              </w:rPr>
              <w:t>1.A.1.b</w:t>
            </w:r>
          </w:p>
        </w:tc>
        <w:tc>
          <w:tcPr>
            <w:tcW w:w="1393" w:type="pct"/>
            <w:shd w:val="clear" w:color="auto" w:fill="auto"/>
            <w:vAlign w:val="bottom"/>
          </w:tcPr>
          <w:p w14:paraId="1F1E6EA6" w14:textId="77777777" w:rsidR="00643D10" w:rsidRPr="00D9348B" w:rsidRDefault="00643D10" w:rsidP="00DB330E">
            <w:pPr>
              <w:pStyle w:val="TableText"/>
              <w:spacing w:before="40" w:after="40"/>
              <w:rPr>
                <w:rFonts w:cs="Arial"/>
                <w:szCs w:val="16"/>
              </w:rPr>
            </w:pPr>
            <w:r w:rsidRPr="00D9348B">
              <w:rPr>
                <w:rFonts w:cs="Arial"/>
                <w:bCs/>
                <w:color w:val="000000"/>
                <w:szCs w:val="16"/>
              </w:rPr>
              <w:t>Energy Industries – Petroleum Refining Liquid Fuels</w:t>
            </w:r>
          </w:p>
        </w:tc>
        <w:tc>
          <w:tcPr>
            <w:tcW w:w="321" w:type="pct"/>
            <w:shd w:val="clear" w:color="auto" w:fill="auto"/>
            <w:vAlign w:val="bottom"/>
          </w:tcPr>
          <w:p w14:paraId="6D87A7E6"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36" w:type="pct"/>
            <w:shd w:val="clear" w:color="auto" w:fill="auto"/>
            <w:vAlign w:val="bottom"/>
          </w:tcPr>
          <w:p w14:paraId="08411B58"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778.9</w:t>
            </w:r>
          </w:p>
        </w:tc>
        <w:tc>
          <w:tcPr>
            <w:tcW w:w="536" w:type="pct"/>
            <w:shd w:val="clear" w:color="auto" w:fill="auto"/>
            <w:vAlign w:val="bottom"/>
          </w:tcPr>
          <w:p w14:paraId="44C2AAF4"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579.7</w:t>
            </w:r>
          </w:p>
        </w:tc>
        <w:tc>
          <w:tcPr>
            <w:tcW w:w="536" w:type="pct"/>
            <w:shd w:val="clear" w:color="auto" w:fill="auto"/>
            <w:vAlign w:val="bottom"/>
          </w:tcPr>
          <w:p w14:paraId="7B251E04"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0.007</w:t>
            </w:r>
          </w:p>
        </w:tc>
        <w:tc>
          <w:tcPr>
            <w:tcW w:w="571" w:type="pct"/>
            <w:shd w:val="clear" w:color="auto" w:fill="auto"/>
            <w:vAlign w:val="bottom"/>
          </w:tcPr>
          <w:p w14:paraId="59FD7550"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0.9</w:t>
            </w:r>
          </w:p>
        </w:tc>
        <w:tc>
          <w:tcPr>
            <w:tcW w:w="536" w:type="pct"/>
            <w:shd w:val="clear" w:color="auto" w:fill="auto"/>
            <w:vAlign w:val="bottom"/>
          </w:tcPr>
          <w:p w14:paraId="6B8A739F"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84.5</w:t>
            </w:r>
          </w:p>
        </w:tc>
      </w:tr>
      <w:tr w:rsidR="00217967" w:rsidRPr="00D9348B" w14:paraId="443041DB" w14:textId="77777777" w:rsidTr="00217967">
        <w:tc>
          <w:tcPr>
            <w:tcW w:w="571" w:type="pct"/>
            <w:vAlign w:val="bottom"/>
          </w:tcPr>
          <w:p w14:paraId="627727CA" w14:textId="77777777" w:rsidR="00643D10" w:rsidRPr="00D9348B" w:rsidRDefault="00643D10" w:rsidP="00DB330E">
            <w:pPr>
              <w:pStyle w:val="TableText"/>
              <w:spacing w:before="40" w:after="40"/>
              <w:rPr>
                <w:rFonts w:cs="Arial"/>
                <w:szCs w:val="16"/>
              </w:rPr>
            </w:pPr>
            <w:r w:rsidRPr="00D9348B">
              <w:rPr>
                <w:rFonts w:cs="Arial"/>
                <w:bCs/>
                <w:color w:val="000000"/>
                <w:szCs w:val="16"/>
              </w:rPr>
              <w:t>1.A.4.c</w:t>
            </w:r>
          </w:p>
        </w:tc>
        <w:tc>
          <w:tcPr>
            <w:tcW w:w="1393" w:type="pct"/>
            <w:shd w:val="clear" w:color="auto" w:fill="auto"/>
            <w:vAlign w:val="bottom"/>
          </w:tcPr>
          <w:p w14:paraId="103E5624" w14:textId="22D9AA3F" w:rsidR="00643D10" w:rsidRPr="00D9348B" w:rsidRDefault="00643D10" w:rsidP="00DB330E">
            <w:pPr>
              <w:pStyle w:val="TableText"/>
              <w:spacing w:before="40" w:after="40"/>
              <w:rPr>
                <w:rFonts w:cs="Arial"/>
                <w:szCs w:val="16"/>
              </w:rPr>
            </w:pPr>
            <w:r w:rsidRPr="00D9348B">
              <w:rPr>
                <w:rFonts w:cs="Arial"/>
                <w:bCs/>
                <w:color w:val="000000"/>
                <w:szCs w:val="16"/>
              </w:rPr>
              <w:t>Other Sectors – Agriculture/</w:t>
            </w:r>
            <w:r w:rsidR="00923BCE" w:rsidRPr="00D9348B">
              <w:rPr>
                <w:rFonts w:cs="Arial"/>
                <w:bCs/>
                <w:color w:val="000000"/>
                <w:szCs w:val="16"/>
              </w:rPr>
              <w:t xml:space="preserve"> </w:t>
            </w:r>
            <w:r w:rsidRPr="00D9348B">
              <w:rPr>
                <w:rFonts w:cs="Arial"/>
                <w:bCs/>
                <w:color w:val="000000"/>
                <w:szCs w:val="16"/>
              </w:rPr>
              <w:t>Forestry/Fishing Liquid Fuels</w:t>
            </w:r>
          </w:p>
        </w:tc>
        <w:tc>
          <w:tcPr>
            <w:tcW w:w="321" w:type="pct"/>
            <w:shd w:val="clear" w:color="auto" w:fill="auto"/>
            <w:vAlign w:val="bottom"/>
          </w:tcPr>
          <w:p w14:paraId="427B49D1"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36" w:type="pct"/>
            <w:shd w:val="clear" w:color="auto" w:fill="auto"/>
            <w:vAlign w:val="bottom"/>
          </w:tcPr>
          <w:p w14:paraId="0ECBAD3F"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1,072.3</w:t>
            </w:r>
          </w:p>
        </w:tc>
        <w:tc>
          <w:tcPr>
            <w:tcW w:w="536" w:type="pct"/>
            <w:shd w:val="clear" w:color="auto" w:fill="auto"/>
            <w:vAlign w:val="bottom"/>
          </w:tcPr>
          <w:p w14:paraId="36C206F4"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1,041.3</w:t>
            </w:r>
          </w:p>
        </w:tc>
        <w:tc>
          <w:tcPr>
            <w:tcW w:w="536" w:type="pct"/>
            <w:shd w:val="clear" w:color="auto" w:fill="auto"/>
            <w:vAlign w:val="bottom"/>
          </w:tcPr>
          <w:p w14:paraId="4C9199E7"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0.007</w:t>
            </w:r>
          </w:p>
        </w:tc>
        <w:tc>
          <w:tcPr>
            <w:tcW w:w="571" w:type="pct"/>
            <w:shd w:val="clear" w:color="auto" w:fill="auto"/>
            <w:vAlign w:val="bottom"/>
          </w:tcPr>
          <w:p w14:paraId="08CA15E7"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0.9</w:t>
            </w:r>
          </w:p>
        </w:tc>
        <w:tc>
          <w:tcPr>
            <w:tcW w:w="536" w:type="pct"/>
            <w:shd w:val="clear" w:color="auto" w:fill="auto"/>
            <w:vAlign w:val="bottom"/>
          </w:tcPr>
          <w:p w14:paraId="4BB6F05F"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85.4</w:t>
            </w:r>
          </w:p>
        </w:tc>
      </w:tr>
      <w:tr w:rsidR="00217967" w:rsidRPr="00D9348B" w14:paraId="0F50321A" w14:textId="77777777" w:rsidTr="00217967">
        <w:tc>
          <w:tcPr>
            <w:tcW w:w="571" w:type="pct"/>
            <w:vAlign w:val="bottom"/>
          </w:tcPr>
          <w:p w14:paraId="0A5B4421" w14:textId="77777777" w:rsidR="00643D10" w:rsidRPr="00D9348B" w:rsidRDefault="00643D10" w:rsidP="00DB330E">
            <w:pPr>
              <w:pStyle w:val="TableText"/>
              <w:spacing w:before="40" w:after="40"/>
              <w:rPr>
                <w:rFonts w:cs="Arial"/>
                <w:szCs w:val="16"/>
              </w:rPr>
            </w:pPr>
            <w:r w:rsidRPr="00D9348B">
              <w:rPr>
                <w:rFonts w:cs="Arial"/>
                <w:bCs/>
                <w:color w:val="000000"/>
                <w:szCs w:val="16"/>
              </w:rPr>
              <w:t>3.H</w:t>
            </w:r>
          </w:p>
        </w:tc>
        <w:tc>
          <w:tcPr>
            <w:tcW w:w="1393" w:type="pct"/>
            <w:shd w:val="clear" w:color="auto" w:fill="auto"/>
            <w:vAlign w:val="bottom"/>
          </w:tcPr>
          <w:p w14:paraId="6A516A19" w14:textId="77777777" w:rsidR="00643D10" w:rsidRPr="00D9348B" w:rsidRDefault="00643D10" w:rsidP="00DB330E">
            <w:pPr>
              <w:pStyle w:val="TableText"/>
              <w:spacing w:before="40" w:after="40"/>
              <w:rPr>
                <w:rFonts w:cs="Arial"/>
                <w:szCs w:val="16"/>
              </w:rPr>
            </w:pPr>
            <w:r w:rsidRPr="00D9348B">
              <w:rPr>
                <w:rFonts w:cs="Arial"/>
                <w:bCs/>
                <w:color w:val="000000"/>
                <w:szCs w:val="16"/>
              </w:rPr>
              <w:t>Agriculture – Urea Application</w:t>
            </w:r>
          </w:p>
        </w:tc>
        <w:tc>
          <w:tcPr>
            <w:tcW w:w="321" w:type="pct"/>
            <w:shd w:val="clear" w:color="auto" w:fill="auto"/>
            <w:vAlign w:val="bottom"/>
          </w:tcPr>
          <w:p w14:paraId="50601F31"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36" w:type="pct"/>
            <w:shd w:val="clear" w:color="auto" w:fill="auto"/>
            <w:vAlign w:val="bottom"/>
          </w:tcPr>
          <w:p w14:paraId="12997A0A"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39.2</w:t>
            </w:r>
          </w:p>
        </w:tc>
        <w:tc>
          <w:tcPr>
            <w:tcW w:w="536" w:type="pct"/>
            <w:shd w:val="clear" w:color="auto" w:fill="auto"/>
            <w:vAlign w:val="bottom"/>
          </w:tcPr>
          <w:p w14:paraId="24EB7FF1"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608.2</w:t>
            </w:r>
          </w:p>
        </w:tc>
        <w:tc>
          <w:tcPr>
            <w:tcW w:w="536" w:type="pct"/>
            <w:shd w:val="clear" w:color="auto" w:fill="auto"/>
            <w:vAlign w:val="bottom"/>
          </w:tcPr>
          <w:p w14:paraId="7997FDC4"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0.006</w:t>
            </w:r>
          </w:p>
        </w:tc>
        <w:tc>
          <w:tcPr>
            <w:tcW w:w="571" w:type="pct"/>
            <w:shd w:val="clear" w:color="auto" w:fill="auto"/>
            <w:vAlign w:val="bottom"/>
          </w:tcPr>
          <w:p w14:paraId="56EF3167"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0.8</w:t>
            </w:r>
          </w:p>
        </w:tc>
        <w:tc>
          <w:tcPr>
            <w:tcW w:w="536" w:type="pct"/>
            <w:shd w:val="clear" w:color="auto" w:fill="auto"/>
            <w:vAlign w:val="bottom"/>
          </w:tcPr>
          <w:p w14:paraId="31471728"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86.2</w:t>
            </w:r>
          </w:p>
        </w:tc>
      </w:tr>
      <w:tr w:rsidR="00217967" w:rsidRPr="00D9348B" w14:paraId="1788E109" w14:textId="77777777" w:rsidTr="00217967">
        <w:tc>
          <w:tcPr>
            <w:tcW w:w="571" w:type="pct"/>
            <w:vAlign w:val="bottom"/>
          </w:tcPr>
          <w:p w14:paraId="129EB763" w14:textId="77777777" w:rsidR="00643D10" w:rsidRPr="00D9348B" w:rsidRDefault="00643D10" w:rsidP="00DB330E">
            <w:pPr>
              <w:pStyle w:val="TableText"/>
              <w:spacing w:before="40" w:after="40"/>
              <w:rPr>
                <w:rFonts w:cs="Arial"/>
                <w:szCs w:val="16"/>
              </w:rPr>
            </w:pPr>
            <w:r w:rsidRPr="00D9348B">
              <w:rPr>
                <w:rFonts w:cs="Arial"/>
                <w:bCs/>
                <w:color w:val="000000"/>
                <w:szCs w:val="16"/>
              </w:rPr>
              <w:t>1.A.4.a</w:t>
            </w:r>
          </w:p>
        </w:tc>
        <w:tc>
          <w:tcPr>
            <w:tcW w:w="1393" w:type="pct"/>
            <w:shd w:val="clear" w:color="auto" w:fill="auto"/>
            <w:vAlign w:val="bottom"/>
          </w:tcPr>
          <w:p w14:paraId="6DEDFD52" w14:textId="1AF77895" w:rsidR="00643D10" w:rsidRPr="00D9348B" w:rsidRDefault="00643D10" w:rsidP="00DB330E">
            <w:pPr>
              <w:pStyle w:val="TableText"/>
              <w:spacing w:before="40" w:after="40"/>
              <w:rPr>
                <w:rFonts w:cs="Arial"/>
                <w:szCs w:val="16"/>
              </w:rPr>
            </w:pPr>
            <w:r w:rsidRPr="00D9348B">
              <w:rPr>
                <w:rFonts w:cs="Arial"/>
                <w:bCs/>
                <w:color w:val="000000"/>
                <w:szCs w:val="16"/>
              </w:rPr>
              <w:t>Other Sectors – Commercial/</w:t>
            </w:r>
            <w:r w:rsidR="00923BCE" w:rsidRPr="00D9348B">
              <w:rPr>
                <w:rFonts w:cs="Arial"/>
                <w:bCs/>
                <w:color w:val="000000"/>
                <w:szCs w:val="16"/>
              </w:rPr>
              <w:t xml:space="preserve"> </w:t>
            </w:r>
            <w:r w:rsidRPr="00D9348B">
              <w:rPr>
                <w:rFonts w:cs="Arial"/>
                <w:bCs/>
                <w:color w:val="000000"/>
                <w:szCs w:val="16"/>
              </w:rPr>
              <w:t>Institutional Liquid Fuels</w:t>
            </w:r>
          </w:p>
        </w:tc>
        <w:tc>
          <w:tcPr>
            <w:tcW w:w="321" w:type="pct"/>
            <w:shd w:val="clear" w:color="auto" w:fill="auto"/>
            <w:vAlign w:val="bottom"/>
          </w:tcPr>
          <w:p w14:paraId="5E1C2102"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36" w:type="pct"/>
            <w:shd w:val="clear" w:color="auto" w:fill="auto"/>
            <w:vAlign w:val="bottom"/>
          </w:tcPr>
          <w:p w14:paraId="782B2B0E"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500.6</w:t>
            </w:r>
          </w:p>
        </w:tc>
        <w:tc>
          <w:tcPr>
            <w:tcW w:w="536" w:type="pct"/>
            <w:shd w:val="clear" w:color="auto" w:fill="auto"/>
            <w:vAlign w:val="bottom"/>
          </w:tcPr>
          <w:p w14:paraId="2B1FB66B"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260.9</w:t>
            </w:r>
          </w:p>
        </w:tc>
        <w:tc>
          <w:tcPr>
            <w:tcW w:w="536" w:type="pct"/>
            <w:shd w:val="clear" w:color="auto" w:fill="auto"/>
            <w:vAlign w:val="bottom"/>
          </w:tcPr>
          <w:p w14:paraId="7AA5E3EF"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0.006</w:t>
            </w:r>
          </w:p>
        </w:tc>
        <w:tc>
          <w:tcPr>
            <w:tcW w:w="571" w:type="pct"/>
            <w:shd w:val="clear" w:color="auto" w:fill="auto"/>
            <w:vAlign w:val="bottom"/>
          </w:tcPr>
          <w:p w14:paraId="49264973"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0.7</w:t>
            </w:r>
          </w:p>
        </w:tc>
        <w:tc>
          <w:tcPr>
            <w:tcW w:w="536" w:type="pct"/>
            <w:shd w:val="clear" w:color="auto" w:fill="auto"/>
            <w:vAlign w:val="bottom"/>
          </w:tcPr>
          <w:p w14:paraId="5CDCA3E8"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86.9</w:t>
            </w:r>
          </w:p>
        </w:tc>
      </w:tr>
      <w:tr w:rsidR="00217967" w:rsidRPr="00D9348B" w14:paraId="5EF80F4F" w14:textId="77777777" w:rsidTr="00217967">
        <w:tc>
          <w:tcPr>
            <w:tcW w:w="571" w:type="pct"/>
            <w:vAlign w:val="bottom"/>
          </w:tcPr>
          <w:p w14:paraId="792DE35E" w14:textId="77777777" w:rsidR="00643D10" w:rsidRPr="00D9348B" w:rsidRDefault="00643D10" w:rsidP="00DB330E">
            <w:pPr>
              <w:pStyle w:val="TableText"/>
              <w:keepNext/>
              <w:spacing w:before="40" w:after="40"/>
              <w:rPr>
                <w:rFonts w:cs="Arial"/>
                <w:szCs w:val="16"/>
              </w:rPr>
            </w:pPr>
            <w:r w:rsidRPr="00D9348B">
              <w:rPr>
                <w:rFonts w:cs="Arial"/>
                <w:bCs/>
                <w:color w:val="000000"/>
                <w:szCs w:val="16"/>
              </w:rPr>
              <w:t>1.A.4.b</w:t>
            </w:r>
          </w:p>
        </w:tc>
        <w:tc>
          <w:tcPr>
            <w:tcW w:w="1393" w:type="pct"/>
            <w:shd w:val="clear" w:color="auto" w:fill="auto"/>
            <w:vAlign w:val="bottom"/>
          </w:tcPr>
          <w:p w14:paraId="707889D4" w14:textId="77777777" w:rsidR="00643D10" w:rsidRPr="00D9348B" w:rsidRDefault="00643D10" w:rsidP="00DB330E">
            <w:pPr>
              <w:pStyle w:val="TableText"/>
              <w:spacing w:before="40" w:after="40"/>
              <w:rPr>
                <w:rFonts w:cs="Arial"/>
                <w:szCs w:val="16"/>
              </w:rPr>
            </w:pPr>
            <w:r w:rsidRPr="00D9348B">
              <w:rPr>
                <w:rFonts w:cs="Arial"/>
                <w:bCs/>
                <w:color w:val="000000"/>
                <w:szCs w:val="16"/>
              </w:rPr>
              <w:t>Other Sectors – Residential Solid Fuels</w:t>
            </w:r>
          </w:p>
        </w:tc>
        <w:tc>
          <w:tcPr>
            <w:tcW w:w="321" w:type="pct"/>
            <w:shd w:val="clear" w:color="auto" w:fill="auto"/>
            <w:vAlign w:val="bottom"/>
          </w:tcPr>
          <w:p w14:paraId="5B4C6D72"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36" w:type="pct"/>
            <w:shd w:val="clear" w:color="auto" w:fill="auto"/>
            <w:vAlign w:val="bottom"/>
          </w:tcPr>
          <w:p w14:paraId="1E0F89C1"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344.9</w:t>
            </w:r>
          </w:p>
        </w:tc>
        <w:tc>
          <w:tcPr>
            <w:tcW w:w="536" w:type="pct"/>
            <w:shd w:val="clear" w:color="auto" w:fill="auto"/>
            <w:vAlign w:val="bottom"/>
          </w:tcPr>
          <w:p w14:paraId="552474B3"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27.0</w:t>
            </w:r>
          </w:p>
        </w:tc>
        <w:tc>
          <w:tcPr>
            <w:tcW w:w="536" w:type="pct"/>
            <w:shd w:val="clear" w:color="auto" w:fill="auto"/>
            <w:vAlign w:val="bottom"/>
          </w:tcPr>
          <w:p w14:paraId="729DCAB8"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0.005</w:t>
            </w:r>
          </w:p>
        </w:tc>
        <w:tc>
          <w:tcPr>
            <w:tcW w:w="571" w:type="pct"/>
            <w:shd w:val="clear" w:color="auto" w:fill="auto"/>
            <w:vAlign w:val="bottom"/>
          </w:tcPr>
          <w:p w14:paraId="2A76F0ED"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0.7</w:t>
            </w:r>
          </w:p>
        </w:tc>
        <w:tc>
          <w:tcPr>
            <w:tcW w:w="536" w:type="pct"/>
            <w:shd w:val="clear" w:color="auto" w:fill="auto"/>
            <w:vAlign w:val="bottom"/>
          </w:tcPr>
          <w:p w14:paraId="30058625"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87.7</w:t>
            </w:r>
          </w:p>
        </w:tc>
      </w:tr>
      <w:tr w:rsidR="00217967" w:rsidRPr="00D9348B" w14:paraId="31312FA9" w14:textId="77777777" w:rsidTr="00217967">
        <w:tc>
          <w:tcPr>
            <w:tcW w:w="571" w:type="pct"/>
            <w:vAlign w:val="bottom"/>
          </w:tcPr>
          <w:p w14:paraId="6D7029AE" w14:textId="77777777" w:rsidR="00643D10" w:rsidRPr="00D9348B" w:rsidRDefault="00643D10" w:rsidP="00DB330E">
            <w:pPr>
              <w:pStyle w:val="TableText"/>
              <w:spacing w:before="40" w:after="40"/>
              <w:rPr>
                <w:rFonts w:cs="Arial"/>
                <w:szCs w:val="16"/>
              </w:rPr>
            </w:pPr>
            <w:r w:rsidRPr="00D9348B">
              <w:rPr>
                <w:rFonts w:cs="Arial"/>
                <w:bCs/>
                <w:color w:val="000000"/>
                <w:szCs w:val="16"/>
              </w:rPr>
              <w:t>1.A.2.c</w:t>
            </w:r>
          </w:p>
        </w:tc>
        <w:tc>
          <w:tcPr>
            <w:tcW w:w="1393" w:type="pct"/>
            <w:shd w:val="clear" w:color="auto" w:fill="auto"/>
            <w:vAlign w:val="bottom"/>
          </w:tcPr>
          <w:p w14:paraId="02FBEC34" w14:textId="77777777" w:rsidR="00643D10" w:rsidRPr="00D9348B" w:rsidRDefault="00643D10" w:rsidP="00DB330E">
            <w:pPr>
              <w:pStyle w:val="TableText"/>
              <w:spacing w:before="40" w:after="40"/>
              <w:rPr>
                <w:rFonts w:cs="Arial"/>
                <w:szCs w:val="16"/>
              </w:rPr>
            </w:pPr>
            <w:r w:rsidRPr="00D9348B">
              <w:rPr>
                <w:rFonts w:cs="Arial"/>
                <w:bCs/>
                <w:color w:val="000000"/>
                <w:szCs w:val="16"/>
              </w:rPr>
              <w:t>Manufacturing Industries and Construction – Chemicals Gaseous Fuels</w:t>
            </w:r>
          </w:p>
        </w:tc>
        <w:tc>
          <w:tcPr>
            <w:tcW w:w="321" w:type="pct"/>
            <w:shd w:val="clear" w:color="auto" w:fill="auto"/>
            <w:vAlign w:val="bottom"/>
          </w:tcPr>
          <w:p w14:paraId="15A14143"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36" w:type="pct"/>
            <w:shd w:val="clear" w:color="auto" w:fill="auto"/>
            <w:vAlign w:val="bottom"/>
          </w:tcPr>
          <w:p w14:paraId="66516DEC"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528.7</w:t>
            </w:r>
          </w:p>
        </w:tc>
        <w:tc>
          <w:tcPr>
            <w:tcW w:w="536" w:type="pct"/>
            <w:shd w:val="clear" w:color="auto" w:fill="auto"/>
            <w:vAlign w:val="bottom"/>
          </w:tcPr>
          <w:p w14:paraId="5CF2EB9F"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1,241.0</w:t>
            </w:r>
          </w:p>
        </w:tc>
        <w:tc>
          <w:tcPr>
            <w:tcW w:w="536" w:type="pct"/>
            <w:shd w:val="clear" w:color="auto" w:fill="auto"/>
            <w:vAlign w:val="bottom"/>
          </w:tcPr>
          <w:p w14:paraId="6E461A63"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0.004</w:t>
            </w:r>
          </w:p>
        </w:tc>
        <w:tc>
          <w:tcPr>
            <w:tcW w:w="571" w:type="pct"/>
            <w:shd w:val="clear" w:color="auto" w:fill="auto"/>
            <w:vAlign w:val="bottom"/>
          </w:tcPr>
          <w:p w14:paraId="126F29D3"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0.6</w:t>
            </w:r>
          </w:p>
        </w:tc>
        <w:tc>
          <w:tcPr>
            <w:tcW w:w="536" w:type="pct"/>
            <w:shd w:val="clear" w:color="auto" w:fill="auto"/>
            <w:vAlign w:val="bottom"/>
          </w:tcPr>
          <w:p w14:paraId="4DA43FD2"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88.2</w:t>
            </w:r>
          </w:p>
        </w:tc>
      </w:tr>
      <w:tr w:rsidR="00217967" w:rsidRPr="00D9348B" w14:paraId="2E7ADF4A" w14:textId="77777777" w:rsidTr="00217967">
        <w:tc>
          <w:tcPr>
            <w:tcW w:w="571" w:type="pct"/>
            <w:vAlign w:val="bottom"/>
          </w:tcPr>
          <w:p w14:paraId="46FE2E1A" w14:textId="77777777" w:rsidR="00643D10" w:rsidRPr="00D9348B" w:rsidRDefault="00643D10" w:rsidP="00DB330E">
            <w:pPr>
              <w:pStyle w:val="TableText"/>
              <w:spacing w:before="40" w:after="40"/>
              <w:rPr>
                <w:rFonts w:cs="Arial"/>
                <w:szCs w:val="16"/>
              </w:rPr>
            </w:pPr>
            <w:r w:rsidRPr="00D9348B">
              <w:rPr>
                <w:rFonts w:cs="Arial"/>
                <w:bCs/>
                <w:color w:val="000000"/>
                <w:szCs w:val="16"/>
              </w:rPr>
              <w:t>1.B.1.a.1</w:t>
            </w:r>
          </w:p>
        </w:tc>
        <w:tc>
          <w:tcPr>
            <w:tcW w:w="1393" w:type="pct"/>
            <w:shd w:val="clear" w:color="auto" w:fill="auto"/>
            <w:vAlign w:val="bottom"/>
          </w:tcPr>
          <w:p w14:paraId="203B6EC5" w14:textId="77777777" w:rsidR="00643D10" w:rsidRPr="00D9348B" w:rsidRDefault="00643D10" w:rsidP="00DB330E">
            <w:pPr>
              <w:pStyle w:val="TableText"/>
              <w:spacing w:before="40" w:after="40"/>
              <w:rPr>
                <w:rFonts w:cs="Arial"/>
                <w:szCs w:val="16"/>
              </w:rPr>
            </w:pPr>
            <w:r w:rsidRPr="00D9348B">
              <w:rPr>
                <w:rFonts w:cs="Arial"/>
                <w:bCs/>
                <w:color w:val="000000"/>
                <w:szCs w:val="16"/>
              </w:rPr>
              <w:t>Coal Mining and Handling – Underground Mines</w:t>
            </w:r>
          </w:p>
        </w:tc>
        <w:tc>
          <w:tcPr>
            <w:tcW w:w="321" w:type="pct"/>
            <w:shd w:val="clear" w:color="auto" w:fill="auto"/>
            <w:vAlign w:val="bottom"/>
          </w:tcPr>
          <w:p w14:paraId="23152E72"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CH</w:t>
            </w:r>
            <w:r w:rsidRPr="00D9348B">
              <w:rPr>
                <w:rFonts w:cs="Arial"/>
                <w:color w:val="000000"/>
                <w:szCs w:val="16"/>
                <w:vertAlign w:val="subscript"/>
              </w:rPr>
              <w:t>4</w:t>
            </w:r>
          </w:p>
        </w:tc>
        <w:tc>
          <w:tcPr>
            <w:tcW w:w="536" w:type="pct"/>
            <w:shd w:val="clear" w:color="auto" w:fill="auto"/>
            <w:vAlign w:val="bottom"/>
          </w:tcPr>
          <w:p w14:paraId="7EA38BB3"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289.6</w:t>
            </w:r>
          </w:p>
        </w:tc>
        <w:tc>
          <w:tcPr>
            <w:tcW w:w="536" w:type="pct"/>
            <w:shd w:val="clear" w:color="auto" w:fill="auto"/>
            <w:vAlign w:val="bottom"/>
          </w:tcPr>
          <w:p w14:paraId="63334C62"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59.7</w:t>
            </w:r>
          </w:p>
        </w:tc>
        <w:tc>
          <w:tcPr>
            <w:tcW w:w="536" w:type="pct"/>
            <w:shd w:val="clear" w:color="auto" w:fill="auto"/>
            <w:vAlign w:val="bottom"/>
          </w:tcPr>
          <w:p w14:paraId="42063D45"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0.004</w:t>
            </w:r>
          </w:p>
        </w:tc>
        <w:tc>
          <w:tcPr>
            <w:tcW w:w="571" w:type="pct"/>
            <w:shd w:val="clear" w:color="auto" w:fill="auto"/>
            <w:vAlign w:val="bottom"/>
          </w:tcPr>
          <w:p w14:paraId="0469489A"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0.6</w:t>
            </w:r>
          </w:p>
        </w:tc>
        <w:tc>
          <w:tcPr>
            <w:tcW w:w="536" w:type="pct"/>
            <w:shd w:val="clear" w:color="auto" w:fill="auto"/>
            <w:vAlign w:val="bottom"/>
          </w:tcPr>
          <w:p w14:paraId="5612E8D4"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88.8</w:t>
            </w:r>
          </w:p>
        </w:tc>
      </w:tr>
      <w:tr w:rsidR="00217967" w:rsidRPr="00D9348B" w14:paraId="7F637077" w14:textId="77777777" w:rsidTr="00217967">
        <w:tc>
          <w:tcPr>
            <w:tcW w:w="571" w:type="pct"/>
            <w:vAlign w:val="bottom"/>
          </w:tcPr>
          <w:p w14:paraId="3AD4DE4B" w14:textId="77777777" w:rsidR="00643D10" w:rsidRPr="00D9348B" w:rsidRDefault="00643D10" w:rsidP="00DB330E">
            <w:pPr>
              <w:pStyle w:val="TableText"/>
              <w:spacing w:before="40" w:after="40"/>
              <w:rPr>
                <w:rFonts w:cs="Arial"/>
                <w:szCs w:val="16"/>
              </w:rPr>
            </w:pPr>
            <w:r w:rsidRPr="00D9348B">
              <w:rPr>
                <w:rFonts w:cs="Arial"/>
                <w:bCs/>
                <w:color w:val="000000"/>
                <w:szCs w:val="16"/>
              </w:rPr>
              <w:t>2.C.1</w:t>
            </w:r>
          </w:p>
        </w:tc>
        <w:tc>
          <w:tcPr>
            <w:tcW w:w="1393" w:type="pct"/>
            <w:shd w:val="clear" w:color="auto" w:fill="auto"/>
            <w:vAlign w:val="bottom"/>
          </w:tcPr>
          <w:p w14:paraId="1360B6DE" w14:textId="77777777" w:rsidR="00643D10" w:rsidRPr="00D9348B" w:rsidRDefault="00643D10" w:rsidP="00DB330E">
            <w:pPr>
              <w:pStyle w:val="TableText"/>
              <w:spacing w:before="40" w:after="40"/>
              <w:rPr>
                <w:rFonts w:cs="Arial"/>
                <w:szCs w:val="16"/>
              </w:rPr>
            </w:pPr>
            <w:r w:rsidRPr="00D9348B">
              <w:rPr>
                <w:rFonts w:cs="Arial"/>
                <w:bCs/>
                <w:color w:val="000000"/>
                <w:szCs w:val="16"/>
              </w:rPr>
              <w:t>Metal Industry – Iron and Steel Production</w:t>
            </w:r>
          </w:p>
        </w:tc>
        <w:tc>
          <w:tcPr>
            <w:tcW w:w="321" w:type="pct"/>
            <w:shd w:val="clear" w:color="auto" w:fill="auto"/>
            <w:vAlign w:val="bottom"/>
          </w:tcPr>
          <w:p w14:paraId="00543167"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36" w:type="pct"/>
            <w:shd w:val="clear" w:color="auto" w:fill="auto"/>
            <w:vAlign w:val="bottom"/>
          </w:tcPr>
          <w:p w14:paraId="38F7EC39"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1,306.7</w:t>
            </w:r>
          </w:p>
        </w:tc>
        <w:tc>
          <w:tcPr>
            <w:tcW w:w="536" w:type="pct"/>
            <w:shd w:val="clear" w:color="auto" w:fill="auto"/>
            <w:vAlign w:val="bottom"/>
          </w:tcPr>
          <w:p w14:paraId="1A2E1C34"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1,694.4</w:t>
            </w:r>
          </w:p>
        </w:tc>
        <w:tc>
          <w:tcPr>
            <w:tcW w:w="536" w:type="pct"/>
            <w:shd w:val="clear" w:color="auto" w:fill="auto"/>
            <w:vAlign w:val="bottom"/>
          </w:tcPr>
          <w:p w14:paraId="75FCC26A"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0.004</w:t>
            </w:r>
          </w:p>
        </w:tc>
        <w:tc>
          <w:tcPr>
            <w:tcW w:w="571" w:type="pct"/>
            <w:shd w:val="clear" w:color="auto" w:fill="auto"/>
            <w:vAlign w:val="bottom"/>
          </w:tcPr>
          <w:p w14:paraId="7CBB604E"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0.5</w:t>
            </w:r>
          </w:p>
        </w:tc>
        <w:tc>
          <w:tcPr>
            <w:tcW w:w="536" w:type="pct"/>
            <w:shd w:val="clear" w:color="auto" w:fill="auto"/>
            <w:vAlign w:val="bottom"/>
          </w:tcPr>
          <w:p w14:paraId="3B6A7DA8"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89.3</w:t>
            </w:r>
          </w:p>
        </w:tc>
      </w:tr>
      <w:tr w:rsidR="00217967" w:rsidRPr="00D9348B" w14:paraId="7DEB1A35" w14:textId="77777777" w:rsidTr="00217967">
        <w:tc>
          <w:tcPr>
            <w:tcW w:w="571" w:type="pct"/>
            <w:vAlign w:val="bottom"/>
          </w:tcPr>
          <w:p w14:paraId="24DE8EA7" w14:textId="77777777" w:rsidR="00643D10" w:rsidRPr="00D9348B" w:rsidRDefault="00643D10" w:rsidP="00DB330E">
            <w:pPr>
              <w:pStyle w:val="TableText"/>
              <w:spacing w:before="40" w:after="40"/>
              <w:rPr>
                <w:rFonts w:cs="Arial"/>
                <w:szCs w:val="16"/>
              </w:rPr>
            </w:pPr>
            <w:r w:rsidRPr="00D9348B">
              <w:rPr>
                <w:rFonts w:cs="Arial"/>
                <w:bCs/>
                <w:color w:val="000000"/>
                <w:szCs w:val="16"/>
              </w:rPr>
              <w:t>1.A.2.f</w:t>
            </w:r>
          </w:p>
        </w:tc>
        <w:tc>
          <w:tcPr>
            <w:tcW w:w="1393" w:type="pct"/>
            <w:shd w:val="clear" w:color="auto" w:fill="auto"/>
            <w:vAlign w:val="bottom"/>
          </w:tcPr>
          <w:p w14:paraId="0913553E" w14:textId="77777777" w:rsidR="00643D10" w:rsidRPr="00D9348B" w:rsidRDefault="00643D10" w:rsidP="00DB330E">
            <w:pPr>
              <w:pStyle w:val="TableText"/>
              <w:spacing w:before="40" w:after="40"/>
              <w:rPr>
                <w:rFonts w:cs="Arial"/>
                <w:szCs w:val="16"/>
              </w:rPr>
            </w:pPr>
            <w:r w:rsidRPr="00D9348B">
              <w:rPr>
                <w:rFonts w:cs="Arial"/>
                <w:bCs/>
                <w:color w:val="000000"/>
                <w:szCs w:val="16"/>
              </w:rPr>
              <w:t>Manufacturing Industries and Construction – Non-metallic Minerals Solid Fuels</w:t>
            </w:r>
          </w:p>
        </w:tc>
        <w:tc>
          <w:tcPr>
            <w:tcW w:w="321" w:type="pct"/>
            <w:shd w:val="clear" w:color="auto" w:fill="auto"/>
            <w:vAlign w:val="bottom"/>
          </w:tcPr>
          <w:p w14:paraId="45B9E452"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36" w:type="pct"/>
            <w:shd w:val="clear" w:color="auto" w:fill="auto"/>
            <w:vAlign w:val="bottom"/>
          </w:tcPr>
          <w:p w14:paraId="0778EB7E"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382.9</w:t>
            </w:r>
          </w:p>
        </w:tc>
        <w:tc>
          <w:tcPr>
            <w:tcW w:w="536" w:type="pct"/>
            <w:shd w:val="clear" w:color="auto" w:fill="auto"/>
            <w:vAlign w:val="bottom"/>
          </w:tcPr>
          <w:p w14:paraId="44EF021C"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265.4</w:t>
            </w:r>
          </w:p>
        </w:tc>
        <w:tc>
          <w:tcPr>
            <w:tcW w:w="536" w:type="pct"/>
            <w:shd w:val="clear" w:color="auto" w:fill="auto"/>
            <w:vAlign w:val="bottom"/>
          </w:tcPr>
          <w:p w14:paraId="2030D500"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0.004</w:t>
            </w:r>
          </w:p>
        </w:tc>
        <w:tc>
          <w:tcPr>
            <w:tcW w:w="571" w:type="pct"/>
            <w:shd w:val="clear" w:color="auto" w:fill="auto"/>
            <w:vAlign w:val="bottom"/>
          </w:tcPr>
          <w:p w14:paraId="0C6818E6"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0.5</w:t>
            </w:r>
          </w:p>
        </w:tc>
        <w:tc>
          <w:tcPr>
            <w:tcW w:w="536" w:type="pct"/>
            <w:shd w:val="clear" w:color="auto" w:fill="auto"/>
            <w:vAlign w:val="bottom"/>
          </w:tcPr>
          <w:p w14:paraId="108FF65D"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89.8</w:t>
            </w:r>
          </w:p>
        </w:tc>
      </w:tr>
      <w:tr w:rsidR="00217967" w:rsidRPr="00D9348B" w14:paraId="0DB761B4" w14:textId="77777777" w:rsidTr="00217967">
        <w:tc>
          <w:tcPr>
            <w:tcW w:w="571" w:type="pct"/>
            <w:vAlign w:val="bottom"/>
          </w:tcPr>
          <w:p w14:paraId="3F596DF2" w14:textId="77777777" w:rsidR="00643D10" w:rsidRPr="00D9348B" w:rsidRDefault="00643D10" w:rsidP="00DB330E">
            <w:pPr>
              <w:pStyle w:val="TableText"/>
              <w:spacing w:before="40" w:after="40"/>
              <w:rPr>
                <w:rFonts w:cs="Arial"/>
                <w:szCs w:val="16"/>
              </w:rPr>
            </w:pPr>
            <w:r w:rsidRPr="00D9348B">
              <w:rPr>
                <w:rFonts w:cs="Arial"/>
                <w:bCs/>
                <w:color w:val="000000"/>
                <w:szCs w:val="16"/>
              </w:rPr>
              <w:t>1.A.3.a</w:t>
            </w:r>
          </w:p>
        </w:tc>
        <w:tc>
          <w:tcPr>
            <w:tcW w:w="1393" w:type="pct"/>
            <w:shd w:val="clear" w:color="auto" w:fill="auto"/>
            <w:vAlign w:val="bottom"/>
          </w:tcPr>
          <w:p w14:paraId="64DBBF25" w14:textId="77777777" w:rsidR="00643D10" w:rsidRPr="00D9348B" w:rsidRDefault="00643D10" w:rsidP="00DB330E">
            <w:pPr>
              <w:pStyle w:val="TableText"/>
              <w:spacing w:before="40" w:after="40"/>
              <w:rPr>
                <w:rFonts w:cs="Arial"/>
                <w:szCs w:val="16"/>
              </w:rPr>
            </w:pPr>
            <w:r w:rsidRPr="00D9348B">
              <w:rPr>
                <w:rFonts w:cs="Arial"/>
                <w:bCs/>
                <w:color w:val="000000"/>
                <w:szCs w:val="16"/>
              </w:rPr>
              <w:t>Domestic Aviation – Jet Kerosene</w:t>
            </w:r>
          </w:p>
        </w:tc>
        <w:tc>
          <w:tcPr>
            <w:tcW w:w="321" w:type="pct"/>
            <w:shd w:val="clear" w:color="auto" w:fill="auto"/>
            <w:vAlign w:val="bottom"/>
          </w:tcPr>
          <w:p w14:paraId="5D40CD4D"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36" w:type="pct"/>
            <w:shd w:val="clear" w:color="auto" w:fill="auto"/>
            <w:vAlign w:val="bottom"/>
          </w:tcPr>
          <w:p w14:paraId="1A10DB2A"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892.6</w:t>
            </w:r>
          </w:p>
        </w:tc>
        <w:tc>
          <w:tcPr>
            <w:tcW w:w="536" w:type="pct"/>
            <w:shd w:val="clear" w:color="auto" w:fill="auto"/>
            <w:vAlign w:val="bottom"/>
          </w:tcPr>
          <w:p w14:paraId="13B4AC15"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1,079.9</w:t>
            </w:r>
          </w:p>
        </w:tc>
        <w:tc>
          <w:tcPr>
            <w:tcW w:w="536" w:type="pct"/>
            <w:shd w:val="clear" w:color="auto" w:fill="auto"/>
            <w:vAlign w:val="bottom"/>
          </w:tcPr>
          <w:p w14:paraId="153A6298"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0.003</w:t>
            </w:r>
          </w:p>
        </w:tc>
        <w:tc>
          <w:tcPr>
            <w:tcW w:w="571" w:type="pct"/>
            <w:shd w:val="clear" w:color="auto" w:fill="auto"/>
            <w:vAlign w:val="bottom"/>
          </w:tcPr>
          <w:p w14:paraId="7BE52733"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0.5</w:t>
            </w:r>
          </w:p>
        </w:tc>
        <w:tc>
          <w:tcPr>
            <w:tcW w:w="536" w:type="pct"/>
            <w:shd w:val="clear" w:color="auto" w:fill="auto"/>
            <w:vAlign w:val="bottom"/>
          </w:tcPr>
          <w:p w14:paraId="211DC265"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90.2</w:t>
            </w:r>
          </w:p>
        </w:tc>
      </w:tr>
      <w:tr w:rsidR="00217967" w:rsidRPr="00D9348B" w14:paraId="2ADCC04A" w14:textId="77777777" w:rsidTr="00217967">
        <w:tc>
          <w:tcPr>
            <w:tcW w:w="571" w:type="pct"/>
            <w:vAlign w:val="bottom"/>
          </w:tcPr>
          <w:p w14:paraId="4F2BF508" w14:textId="77777777" w:rsidR="00643D10" w:rsidRPr="00D9348B" w:rsidRDefault="00643D10" w:rsidP="00DB330E">
            <w:pPr>
              <w:pStyle w:val="TableText"/>
              <w:spacing w:before="40" w:after="40"/>
              <w:rPr>
                <w:rFonts w:cs="Arial"/>
                <w:szCs w:val="16"/>
              </w:rPr>
            </w:pPr>
            <w:r w:rsidRPr="00D9348B">
              <w:rPr>
                <w:rFonts w:cs="Arial"/>
                <w:bCs/>
                <w:color w:val="000000"/>
                <w:szCs w:val="16"/>
              </w:rPr>
              <w:t>1.A.2.e</w:t>
            </w:r>
          </w:p>
        </w:tc>
        <w:tc>
          <w:tcPr>
            <w:tcW w:w="1393" w:type="pct"/>
            <w:shd w:val="clear" w:color="auto" w:fill="auto"/>
            <w:vAlign w:val="bottom"/>
          </w:tcPr>
          <w:p w14:paraId="6464080C" w14:textId="77777777" w:rsidR="00643D10" w:rsidRPr="00D9348B" w:rsidRDefault="00643D10" w:rsidP="00DB330E">
            <w:pPr>
              <w:pStyle w:val="TableText"/>
              <w:spacing w:before="40" w:after="40"/>
              <w:rPr>
                <w:rFonts w:cs="Arial"/>
                <w:szCs w:val="16"/>
              </w:rPr>
            </w:pPr>
            <w:r w:rsidRPr="00D9348B">
              <w:rPr>
                <w:rFonts w:cs="Arial"/>
                <w:bCs/>
                <w:color w:val="000000"/>
                <w:szCs w:val="16"/>
              </w:rPr>
              <w:t>Manufacturing Industries and Construction – Food Processing, Beverages and Tobacco Gaseous Fuels</w:t>
            </w:r>
          </w:p>
        </w:tc>
        <w:tc>
          <w:tcPr>
            <w:tcW w:w="321" w:type="pct"/>
            <w:shd w:val="clear" w:color="auto" w:fill="auto"/>
            <w:vAlign w:val="bottom"/>
          </w:tcPr>
          <w:p w14:paraId="6C95B3E3"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36" w:type="pct"/>
            <w:shd w:val="clear" w:color="auto" w:fill="auto"/>
            <w:vAlign w:val="bottom"/>
          </w:tcPr>
          <w:p w14:paraId="4622EB26"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445.1</w:t>
            </w:r>
          </w:p>
        </w:tc>
        <w:tc>
          <w:tcPr>
            <w:tcW w:w="536" w:type="pct"/>
            <w:shd w:val="clear" w:color="auto" w:fill="auto"/>
            <w:vAlign w:val="bottom"/>
          </w:tcPr>
          <w:p w14:paraId="44A3E8FF"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1,010.7</w:t>
            </w:r>
          </w:p>
        </w:tc>
        <w:tc>
          <w:tcPr>
            <w:tcW w:w="536" w:type="pct"/>
            <w:shd w:val="clear" w:color="auto" w:fill="auto"/>
            <w:vAlign w:val="bottom"/>
          </w:tcPr>
          <w:p w14:paraId="5F2E5075"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0.003</w:t>
            </w:r>
          </w:p>
        </w:tc>
        <w:tc>
          <w:tcPr>
            <w:tcW w:w="571" w:type="pct"/>
            <w:shd w:val="clear" w:color="auto" w:fill="auto"/>
            <w:vAlign w:val="bottom"/>
          </w:tcPr>
          <w:p w14:paraId="0ED17FD5"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0.4</w:t>
            </w:r>
          </w:p>
        </w:tc>
        <w:tc>
          <w:tcPr>
            <w:tcW w:w="536" w:type="pct"/>
            <w:shd w:val="clear" w:color="auto" w:fill="auto"/>
            <w:vAlign w:val="bottom"/>
          </w:tcPr>
          <w:p w14:paraId="1621D45D"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90.6</w:t>
            </w:r>
          </w:p>
        </w:tc>
      </w:tr>
      <w:tr w:rsidR="00217967" w:rsidRPr="00D9348B" w14:paraId="70264F54" w14:textId="77777777" w:rsidTr="00217967">
        <w:tc>
          <w:tcPr>
            <w:tcW w:w="571" w:type="pct"/>
            <w:vAlign w:val="bottom"/>
          </w:tcPr>
          <w:p w14:paraId="71C99BD0" w14:textId="77777777" w:rsidR="00643D10" w:rsidRPr="00D9348B" w:rsidRDefault="00643D10" w:rsidP="00DB330E">
            <w:pPr>
              <w:pStyle w:val="TableText"/>
              <w:spacing w:before="40" w:after="40"/>
              <w:rPr>
                <w:rFonts w:cs="Arial"/>
                <w:szCs w:val="16"/>
              </w:rPr>
            </w:pPr>
            <w:r w:rsidRPr="00D9348B">
              <w:rPr>
                <w:rFonts w:cs="Arial"/>
                <w:bCs/>
                <w:color w:val="000000"/>
                <w:szCs w:val="16"/>
              </w:rPr>
              <w:t>3.A.4</w:t>
            </w:r>
          </w:p>
        </w:tc>
        <w:tc>
          <w:tcPr>
            <w:tcW w:w="1393" w:type="pct"/>
            <w:shd w:val="clear" w:color="auto" w:fill="auto"/>
            <w:vAlign w:val="bottom"/>
          </w:tcPr>
          <w:p w14:paraId="5E6B7EF6" w14:textId="77777777" w:rsidR="00643D10" w:rsidRPr="00D9348B" w:rsidRDefault="00643D10" w:rsidP="00DB330E">
            <w:pPr>
              <w:pStyle w:val="TableText"/>
              <w:spacing w:before="40" w:after="40"/>
              <w:rPr>
                <w:rFonts w:cs="Arial"/>
                <w:szCs w:val="16"/>
              </w:rPr>
            </w:pPr>
            <w:r w:rsidRPr="00D9348B">
              <w:rPr>
                <w:rFonts w:cs="Arial"/>
                <w:bCs/>
                <w:color w:val="000000"/>
                <w:szCs w:val="16"/>
              </w:rPr>
              <w:t>Other Livestock – Goats</w:t>
            </w:r>
          </w:p>
        </w:tc>
        <w:tc>
          <w:tcPr>
            <w:tcW w:w="321" w:type="pct"/>
            <w:shd w:val="clear" w:color="auto" w:fill="auto"/>
            <w:vAlign w:val="bottom"/>
          </w:tcPr>
          <w:p w14:paraId="5CF27BB5"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CH</w:t>
            </w:r>
            <w:r w:rsidRPr="00D9348B">
              <w:rPr>
                <w:rFonts w:cs="Arial"/>
                <w:color w:val="000000"/>
                <w:szCs w:val="16"/>
                <w:vertAlign w:val="subscript"/>
              </w:rPr>
              <w:t>4</w:t>
            </w:r>
          </w:p>
        </w:tc>
        <w:tc>
          <w:tcPr>
            <w:tcW w:w="536" w:type="pct"/>
            <w:shd w:val="clear" w:color="auto" w:fill="auto"/>
            <w:vAlign w:val="bottom"/>
          </w:tcPr>
          <w:p w14:paraId="5D80AE83"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196.6</w:t>
            </w:r>
          </w:p>
        </w:tc>
        <w:tc>
          <w:tcPr>
            <w:tcW w:w="536" w:type="pct"/>
            <w:shd w:val="clear" w:color="auto" w:fill="auto"/>
            <w:vAlign w:val="bottom"/>
          </w:tcPr>
          <w:p w14:paraId="2CB3B6AD"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19.9</w:t>
            </w:r>
          </w:p>
        </w:tc>
        <w:tc>
          <w:tcPr>
            <w:tcW w:w="536" w:type="pct"/>
            <w:shd w:val="clear" w:color="auto" w:fill="auto"/>
            <w:vAlign w:val="bottom"/>
          </w:tcPr>
          <w:p w14:paraId="0573D195"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0.003</w:t>
            </w:r>
          </w:p>
        </w:tc>
        <w:tc>
          <w:tcPr>
            <w:tcW w:w="571" w:type="pct"/>
            <w:shd w:val="clear" w:color="auto" w:fill="auto"/>
            <w:vAlign w:val="bottom"/>
          </w:tcPr>
          <w:p w14:paraId="473C0696"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0.4</w:t>
            </w:r>
          </w:p>
        </w:tc>
        <w:tc>
          <w:tcPr>
            <w:tcW w:w="536" w:type="pct"/>
            <w:shd w:val="clear" w:color="auto" w:fill="auto"/>
            <w:vAlign w:val="bottom"/>
          </w:tcPr>
          <w:p w14:paraId="64D590F1"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91.1</w:t>
            </w:r>
          </w:p>
        </w:tc>
      </w:tr>
      <w:tr w:rsidR="00217967" w:rsidRPr="00D9348B" w14:paraId="6486FAA3" w14:textId="77777777" w:rsidTr="00217967">
        <w:tc>
          <w:tcPr>
            <w:tcW w:w="571" w:type="pct"/>
            <w:vAlign w:val="bottom"/>
          </w:tcPr>
          <w:p w14:paraId="08BE4B4C" w14:textId="77777777" w:rsidR="00643D10" w:rsidRPr="00D9348B" w:rsidRDefault="00643D10" w:rsidP="00923BCE">
            <w:pPr>
              <w:pStyle w:val="TableText"/>
              <w:keepNext/>
              <w:spacing w:before="40" w:after="40"/>
              <w:rPr>
                <w:rFonts w:cs="Arial"/>
                <w:szCs w:val="16"/>
              </w:rPr>
            </w:pPr>
            <w:r w:rsidRPr="00D9348B">
              <w:rPr>
                <w:rFonts w:cs="Arial"/>
                <w:bCs/>
                <w:color w:val="000000"/>
                <w:szCs w:val="16"/>
              </w:rPr>
              <w:t>2.A.1</w:t>
            </w:r>
          </w:p>
        </w:tc>
        <w:tc>
          <w:tcPr>
            <w:tcW w:w="1393" w:type="pct"/>
            <w:shd w:val="clear" w:color="auto" w:fill="auto"/>
            <w:vAlign w:val="bottom"/>
          </w:tcPr>
          <w:p w14:paraId="075B46CE" w14:textId="77777777" w:rsidR="00643D10" w:rsidRPr="00D9348B" w:rsidRDefault="00643D10" w:rsidP="00923BCE">
            <w:pPr>
              <w:pStyle w:val="TableText"/>
              <w:keepNext/>
              <w:spacing w:before="40" w:after="40"/>
              <w:rPr>
                <w:rFonts w:cs="Arial"/>
                <w:szCs w:val="16"/>
              </w:rPr>
            </w:pPr>
            <w:r w:rsidRPr="00D9348B">
              <w:rPr>
                <w:rFonts w:cs="Arial"/>
                <w:bCs/>
                <w:color w:val="000000"/>
                <w:szCs w:val="16"/>
              </w:rPr>
              <w:t>Mineral Industry – Cement Production</w:t>
            </w:r>
          </w:p>
        </w:tc>
        <w:tc>
          <w:tcPr>
            <w:tcW w:w="321" w:type="pct"/>
            <w:shd w:val="clear" w:color="auto" w:fill="auto"/>
            <w:vAlign w:val="bottom"/>
          </w:tcPr>
          <w:p w14:paraId="53B7F60C" w14:textId="77777777" w:rsidR="00643D10" w:rsidRPr="00D9348B" w:rsidRDefault="00643D10" w:rsidP="00923BCE">
            <w:pPr>
              <w:pStyle w:val="TableText"/>
              <w:keepN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36" w:type="pct"/>
            <w:shd w:val="clear" w:color="auto" w:fill="auto"/>
            <w:vAlign w:val="bottom"/>
          </w:tcPr>
          <w:p w14:paraId="53670073" w14:textId="77777777" w:rsidR="00643D10" w:rsidRPr="00D9348B" w:rsidRDefault="00643D10" w:rsidP="00923BCE">
            <w:pPr>
              <w:pStyle w:val="TableText"/>
              <w:keepNext/>
              <w:spacing w:before="40" w:after="40"/>
              <w:jc w:val="right"/>
              <w:rPr>
                <w:rFonts w:cs="Arial"/>
                <w:szCs w:val="16"/>
              </w:rPr>
            </w:pPr>
            <w:r w:rsidRPr="00D9348B">
              <w:rPr>
                <w:rFonts w:cs="Arial"/>
                <w:bCs/>
                <w:color w:val="000000"/>
                <w:szCs w:val="16"/>
              </w:rPr>
              <w:t>448.7</w:t>
            </w:r>
          </w:p>
        </w:tc>
        <w:tc>
          <w:tcPr>
            <w:tcW w:w="536" w:type="pct"/>
            <w:shd w:val="clear" w:color="auto" w:fill="auto"/>
            <w:vAlign w:val="bottom"/>
          </w:tcPr>
          <w:p w14:paraId="318930AB" w14:textId="77777777" w:rsidR="00643D10" w:rsidRPr="00D9348B" w:rsidRDefault="00643D10" w:rsidP="00923BCE">
            <w:pPr>
              <w:pStyle w:val="TableText"/>
              <w:keepNext/>
              <w:spacing w:before="40" w:after="40"/>
              <w:jc w:val="right"/>
              <w:rPr>
                <w:rFonts w:cs="Arial"/>
                <w:szCs w:val="16"/>
              </w:rPr>
            </w:pPr>
            <w:r w:rsidRPr="00D9348B">
              <w:rPr>
                <w:rFonts w:cs="Arial"/>
                <w:bCs/>
                <w:color w:val="000000"/>
                <w:szCs w:val="16"/>
              </w:rPr>
              <w:t>418.0</w:t>
            </w:r>
          </w:p>
        </w:tc>
        <w:tc>
          <w:tcPr>
            <w:tcW w:w="536" w:type="pct"/>
            <w:shd w:val="clear" w:color="auto" w:fill="auto"/>
            <w:vAlign w:val="bottom"/>
          </w:tcPr>
          <w:p w14:paraId="771CD161" w14:textId="77777777" w:rsidR="00643D10" w:rsidRPr="00D9348B" w:rsidRDefault="00643D10" w:rsidP="00923BCE">
            <w:pPr>
              <w:pStyle w:val="TableText"/>
              <w:keepNext/>
              <w:spacing w:before="40" w:after="40"/>
              <w:jc w:val="right"/>
              <w:rPr>
                <w:rFonts w:cs="Arial"/>
                <w:szCs w:val="16"/>
              </w:rPr>
            </w:pPr>
            <w:r w:rsidRPr="00D9348B">
              <w:rPr>
                <w:rFonts w:cs="Arial"/>
                <w:bCs/>
                <w:color w:val="000000"/>
                <w:szCs w:val="16"/>
              </w:rPr>
              <w:t>0.003</w:t>
            </w:r>
          </w:p>
        </w:tc>
        <w:tc>
          <w:tcPr>
            <w:tcW w:w="571" w:type="pct"/>
            <w:shd w:val="clear" w:color="auto" w:fill="auto"/>
            <w:vAlign w:val="bottom"/>
          </w:tcPr>
          <w:p w14:paraId="27997E76" w14:textId="77777777" w:rsidR="00643D10" w:rsidRPr="00D9348B" w:rsidRDefault="00643D10" w:rsidP="00923BCE">
            <w:pPr>
              <w:pStyle w:val="TableText"/>
              <w:keepNext/>
              <w:spacing w:before="40" w:after="40"/>
              <w:jc w:val="right"/>
              <w:rPr>
                <w:rFonts w:cs="Arial"/>
                <w:szCs w:val="16"/>
              </w:rPr>
            </w:pPr>
            <w:r w:rsidRPr="00D9348B">
              <w:rPr>
                <w:rFonts w:cs="Arial"/>
                <w:bCs/>
                <w:color w:val="000000"/>
                <w:szCs w:val="16"/>
              </w:rPr>
              <w:t>0.4</w:t>
            </w:r>
          </w:p>
        </w:tc>
        <w:tc>
          <w:tcPr>
            <w:tcW w:w="536" w:type="pct"/>
            <w:shd w:val="clear" w:color="auto" w:fill="auto"/>
            <w:vAlign w:val="bottom"/>
          </w:tcPr>
          <w:p w14:paraId="46953109" w14:textId="77777777" w:rsidR="00643D10" w:rsidRPr="00D9348B" w:rsidRDefault="00643D10" w:rsidP="00923BCE">
            <w:pPr>
              <w:pStyle w:val="TableText"/>
              <w:keepNext/>
              <w:spacing w:before="40" w:after="40"/>
              <w:jc w:val="right"/>
              <w:rPr>
                <w:rFonts w:cs="Arial"/>
                <w:szCs w:val="16"/>
              </w:rPr>
            </w:pPr>
            <w:r w:rsidRPr="00D9348B">
              <w:rPr>
                <w:rFonts w:cs="Arial"/>
                <w:bCs/>
                <w:color w:val="000000"/>
                <w:szCs w:val="16"/>
              </w:rPr>
              <w:t>91.5</w:t>
            </w:r>
          </w:p>
        </w:tc>
      </w:tr>
      <w:tr w:rsidR="00217967" w:rsidRPr="00D9348B" w14:paraId="04A39384" w14:textId="77777777" w:rsidTr="00217967">
        <w:tc>
          <w:tcPr>
            <w:tcW w:w="571" w:type="pct"/>
            <w:vAlign w:val="bottom"/>
          </w:tcPr>
          <w:p w14:paraId="294A2D49" w14:textId="77777777" w:rsidR="00643D10" w:rsidRPr="00D9348B" w:rsidRDefault="00643D10" w:rsidP="00DB330E">
            <w:pPr>
              <w:pStyle w:val="TableText"/>
              <w:spacing w:before="40" w:after="40"/>
              <w:rPr>
                <w:rFonts w:cs="Arial"/>
                <w:szCs w:val="16"/>
              </w:rPr>
            </w:pPr>
            <w:r w:rsidRPr="00D9348B">
              <w:rPr>
                <w:rFonts w:cs="Arial"/>
                <w:bCs/>
                <w:color w:val="000000"/>
                <w:szCs w:val="16"/>
              </w:rPr>
              <w:t>1.B.2.b.5</w:t>
            </w:r>
          </w:p>
        </w:tc>
        <w:tc>
          <w:tcPr>
            <w:tcW w:w="1393" w:type="pct"/>
            <w:shd w:val="clear" w:color="auto" w:fill="auto"/>
            <w:vAlign w:val="bottom"/>
          </w:tcPr>
          <w:p w14:paraId="1DB81CD8" w14:textId="77777777" w:rsidR="00643D10" w:rsidRPr="00D9348B" w:rsidRDefault="00643D10" w:rsidP="00DB330E">
            <w:pPr>
              <w:pStyle w:val="TableText"/>
              <w:spacing w:before="40" w:after="40"/>
              <w:rPr>
                <w:rFonts w:cs="Arial"/>
                <w:szCs w:val="16"/>
              </w:rPr>
            </w:pPr>
            <w:r w:rsidRPr="00D9348B">
              <w:rPr>
                <w:rFonts w:cs="Arial"/>
                <w:bCs/>
                <w:color w:val="000000"/>
                <w:szCs w:val="16"/>
              </w:rPr>
              <w:t>Natural Gas – Distribution</w:t>
            </w:r>
          </w:p>
        </w:tc>
        <w:tc>
          <w:tcPr>
            <w:tcW w:w="321" w:type="pct"/>
            <w:shd w:val="clear" w:color="auto" w:fill="auto"/>
            <w:vAlign w:val="bottom"/>
          </w:tcPr>
          <w:p w14:paraId="3B373D58"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CH</w:t>
            </w:r>
            <w:r w:rsidRPr="00D9348B">
              <w:rPr>
                <w:rFonts w:cs="Arial"/>
                <w:color w:val="000000"/>
                <w:szCs w:val="16"/>
                <w:vertAlign w:val="subscript"/>
              </w:rPr>
              <w:t>4</w:t>
            </w:r>
          </w:p>
        </w:tc>
        <w:tc>
          <w:tcPr>
            <w:tcW w:w="536" w:type="pct"/>
            <w:shd w:val="clear" w:color="auto" w:fill="auto"/>
            <w:vAlign w:val="bottom"/>
          </w:tcPr>
          <w:p w14:paraId="51393F9F"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277.5</w:t>
            </w:r>
          </w:p>
        </w:tc>
        <w:tc>
          <w:tcPr>
            <w:tcW w:w="536" w:type="pct"/>
            <w:shd w:val="clear" w:color="auto" w:fill="auto"/>
            <w:vAlign w:val="bottom"/>
          </w:tcPr>
          <w:p w14:paraId="1C4A8AC2"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203.0</w:t>
            </w:r>
          </w:p>
        </w:tc>
        <w:tc>
          <w:tcPr>
            <w:tcW w:w="536" w:type="pct"/>
            <w:shd w:val="clear" w:color="auto" w:fill="auto"/>
            <w:vAlign w:val="bottom"/>
          </w:tcPr>
          <w:p w14:paraId="72B9FFB4"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0.002</w:t>
            </w:r>
          </w:p>
        </w:tc>
        <w:tc>
          <w:tcPr>
            <w:tcW w:w="571" w:type="pct"/>
            <w:shd w:val="clear" w:color="auto" w:fill="auto"/>
            <w:vAlign w:val="bottom"/>
          </w:tcPr>
          <w:p w14:paraId="64938450"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0.3</w:t>
            </w:r>
          </w:p>
        </w:tc>
        <w:tc>
          <w:tcPr>
            <w:tcW w:w="536" w:type="pct"/>
            <w:shd w:val="clear" w:color="auto" w:fill="auto"/>
            <w:vAlign w:val="bottom"/>
          </w:tcPr>
          <w:p w14:paraId="0A47EEDF"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91.8</w:t>
            </w:r>
          </w:p>
        </w:tc>
      </w:tr>
      <w:tr w:rsidR="00217967" w:rsidRPr="00D9348B" w14:paraId="541DAB88" w14:textId="77777777" w:rsidTr="00217967">
        <w:tc>
          <w:tcPr>
            <w:tcW w:w="571" w:type="pct"/>
            <w:vAlign w:val="bottom"/>
          </w:tcPr>
          <w:p w14:paraId="125EF2C4" w14:textId="77777777" w:rsidR="00643D10" w:rsidRPr="00D9348B" w:rsidRDefault="00643D10" w:rsidP="00DB330E">
            <w:pPr>
              <w:pStyle w:val="TableText"/>
              <w:spacing w:before="40" w:after="40"/>
              <w:rPr>
                <w:rFonts w:cs="Arial"/>
                <w:szCs w:val="16"/>
              </w:rPr>
            </w:pPr>
            <w:r w:rsidRPr="00D9348B">
              <w:rPr>
                <w:rFonts w:cs="Arial"/>
                <w:bCs/>
                <w:color w:val="000000"/>
                <w:szCs w:val="16"/>
              </w:rPr>
              <w:lastRenderedPageBreak/>
              <w:t>4.B.1</w:t>
            </w:r>
          </w:p>
        </w:tc>
        <w:tc>
          <w:tcPr>
            <w:tcW w:w="1393" w:type="pct"/>
            <w:shd w:val="clear" w:color="auto" w:fill="auto"/>
            <w:vAlign w:val="bottom"/>
          </w:tcPr>
          <w:p w14:paraId="5F940B70" w14:textId="77777777" w:rsidR="00643D10" w:rsidRPr="00D9348B" w:rsidRDefault="00643D10" w:rsidP="00DB330E">
            <w:pPr>
              <w:pStyle w:val="TableText"/>
              <w:spacing w:before="40" w:after="40"/>
              <w:rPr>
                <w:rFonts w:cs="Arial"/>
                <w:szCs w:val="16"/>
              </w:rPr>
            </w:pPr>
            <w:r w:rsidRPr="00D9348B">
              <w:rPr>
                <w:rFonts w:cs="Arial"/>
                <w:bCs/>
                <w:color w:val="000000"/>
                <w:szCs w:val="16"/>
              </w:rPr>
              <w:t>Cropland – Cropland Remaining Cropland</w:t>
            </w:r>
          </w:p>
        </w:tc>
        <w:tc>
          <w:tcPr>
            <w:tcW w:w="321" w:type="pct"/>
            <w:shd w:val="clear" w:color="auto" w:fill="auto"/>
            <w:vAlign w:val="bottom"/>
          </w:tcPr>
          <w:p w14:paraId="4D87B768"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36" w:type="pct"/>
            <w:shd w:val="clear" w:color="auto" w:fill="auto"/>
            <w:vAlign w:val="bottom"/>
          </w:tcPr>
          <w:p w14:paraId="6A93E3F3"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357.8</w:t>
            </w:r>
          </w:p>
        </w:tc>
        <w:tc>
          <w:tcPr>
            <w:tcW w:w="536" w:type="pct"/>
            <w:shd w:val="clear" w:color="auto" w:fill="auto"/>
            <w:vAlign w:val="bottom"/>
          </w:tcPr>
          <w:p w14:paraId="469CD2F2"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333.6</w:t>
            </w:r>
          </w:p>
        </w:tc>
        <w:tc>
          <w:tcPr>
            <w:tcW w:w="536" w:type="pct"/>
            <w:shd w:val="clear" w:color="auto" w:fill="auto"/>
            <w:vAlign w:val="bottom"/>
          </w:tcPr>
          <w:p w14:paraId="09555673"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0.002</w:t>
            </w:r>
          </w:p>
        </w:tc>
        <w:tc>
          <w:tcPr>
            <w:tcW w:w="571" w:type="pct"/>
            <w:shd w:val="clear" w:color="auto" w:fill="auto"/>
            <w:vAlign w:val="bottom"/>
          </w:tcPr>
          <w:p w14:paraId="29E226A9"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0.3</w:t>
            </w:r>
          </w:p>
        </w:tc>
        <w:tc>
          <w:tcPr>
            <w:tcW w:w="536" w:type="pct"/>
            <w:shd w:val="clear" w:color="auto" w:fill="auto"/>
            <w:vAlign w:val="bottom"/>
          </w:tcPr>
          <w:p w14:paraId="63F1F3AA"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92.1</w:t>
            </w:r>
          </w:p>
        </w:tc>
      </w:tr>
      <w:tr w:rsidR="00217967" w:rsidRPr="00D9348B" w14:paraId="3587B2B7" w14:textId="77777777" w:rsidTr="00217967">
        <w:tc>
          <w:tcPr>
            <w:tcW w:w="571" w:type="pct"/>
            <w:vAlign w:val="bottom"/>
          </w:tcPr>
          <w:p w14:paraId="114A5408" w14:textId="77777777" w:rsidR="00643D10" w:rsidRPr="00D9348B" w:rsidRDefault="00643D10" w:rsidP="00DB330E">
            <w:pPr>
              <w:pStyle w:val="TableText"/>
              <w:spacing w:before="40" w:after="40"/>
              <w:rPr>
                <w:rFonts w:cs="Arial"/>
                <w:szCs w:val="16"/>
              </w:rPr>
            </w:pPr>
            <w:r w:rsidRPr="00D9348B">
              <w:rPr>
                <w:rFonts w:cs="Arial"/>
                <w:bCs/>
                <w:color w:val="000000"/>
                <w:szCs w:val="16"/>
              </w:rPr>
              <w:t>1.B.2.d</w:t>
            </w:r>
          </w:p>
        </w:tc>
        <w:tc>
          <w:tcPr>
            <w:tcW w:w="1393" w:type="pct"/>
            <w:shd w:val="clear" w:color="auto" w:fill="auto"/>
            <w:vAlign w:val="bottom"/>
          </w:tcPr>
          <w:p w14:paraId="6B865F4A" w14:textId="77777777" w:rsidR="00643D10" w:rsidRPr="00D9348B" w:rsidRDefault="00643D10" w:rsidP="00DB330E">
            <w:pPr>
              <w:pStyle w:val="TableText"/>
              <w:spacing w:before="40" w:after="40"/>
              <w:rPr>
                <w:rFonts w:cs="Arial"/>
                <w:szCs w:val="16"/>
              </w:rPr>
            </w:pPr>
            <w:r w:rsidRPr="00D9348B">
              <w:rPr>
                <w:rFonts w:cs="Arial"/>
                <w:bCs/>
                <w:color w:val="000000"/>
                <w:szCs w:val="16"/>
              </w:rPr>
              <w:t>Other (please specify) – Geothermal</w:t>
            </w:r>
          </w:p>
        </w:tc>
        <w:tc>
          <w:tcPr>
            <w:tcW w:w="321" w:type="pct"/>
            <w:shd w:val="clear" w:color="auto" w:fill="auto"/>
            <w:vAlign w:val="bottom"/>
          </w:tcPr>
          <w:p w14:paraId="1D02966B"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36" w:type="pct"/>
            <w:shd w:val="clear" w:color="auto" w:fill="auto"/>
            <w:vAlign w:val="bottom"/>
          </w:tcPr>
          <w:p w14:paraId="07513628"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228.6</w:t>
            </w:r>
          </w:p>
        </w:tc>
        <w:tc>
          <w:tcPr>
            <w:tcW w:w="536" w:type="pct"/>
            <w:shd w:val="clear" w:color="auto" w:fill="auto"/>
            <w:vAlign w:val="bottom"/>
          </w:tcPr>
          <w:p w14:paraId="5197413F"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583.4</w:t>
            </w:r>
          </w:p>
        </w:tc>
        <w:tc>
          <w:tcPr>
            <w:tcW w:w="536" w:type="pct"/>
            <w:shd w:val="clear" w:color="auto" w:fill="auto"/>
            <w:vAlign w:val="bottom"/>
          </w:tcPr>
          <w:p w14:paraId="32AEE7E0"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0.002</w:t>
            </w:r>
          </w:p>
        </w:tc>
        <w:tc>
          <w:tcPr>
            <w:tcW w:w="571" w:type="pct"/>
            <w:shd w:val="clear" w:color="auto" w:fill="auto"/>
            <w:vAlign w:val="bottom"/>
          </w:tcPr>
          <w:p w14:paraId="7B025BFB"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0.3</w:t>
            </w:r>
          </w:p>
        </w:tc>
        <w:tc>
          <w:tcPr>
            <w:tcW w:w="536" w:type="pct"/>
            <w:shd w:val="clear" w:color="auto" w:fill="auto"/>
            <w:vAlign w:val="bottom"/>
          </w:tcPr>
          <w:p w14:paraId="248FA3B2"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92.4</w:t>
            </w:r>
          </w:p>
        </w:tc>
      </w:tr>
      <w:tr w:rsidR="00217967" w:rsidRPr="00D9348B" w14:paraId="2AD8DA19" w14:textId="77777777" w:rsidTr="00217967">
        <w:tc>
          <w:tcPr>
            <w:tcW w:w="571" w:type="pct"/>
            <w:vAlign w:val="bottom"/>
          </w:tcPr>
          <w:p w14:paraId="31DFE229" w14:textId="77777777" w:rsidR="00643D10" w:rsidRPr="00D9348B" w:rsidRDefault="00643D10" w:rsidP="00DB330E">
            <w:pPr>
              <w:pStyle w:val="TableText"/>
              <w:spacing w:before="40" w:after="40"/>
              <w:rPr>
                <w:rFonts w:cs="Arial"/>
                <w:szCs w:val="16"/>
              </w:rPr>
            </w:pPr>
            <w:r w:rsidRPr="00D9348B">
              <w:rPr>
                <w:rFonts w:cs="Arial"/>
                <w:bCs/>
                <w:color w:val="000000"/>
                <w:szCs w:val="16"/>
              </w:rPr>
              <w:t>1.A.3.b</w:t>
            </w:r>
          </w:p>
        </w:tc>
        <w:tc>
          <w:tcPr>
            <w:tcW w:w="1393" w:type="pct"/>
            <w:shd w:val="clear" w:color="auto" w:fill="auto"/>
            <w:vAlign w:val="bottom"/>
          </w:tcPr>
          <w:p w14:paraId="74F403E7" w14:textId="77777777" w:rsidR="00643D10" w:rsidRPr="00D9348B" w:rsidRDefault="00643D10" w:rsidP="00DB330E">
            <w:pPr>
              <w:pStyle w:val="TableText"/>
              <w:spacing w:before="40" w:after="40"/>
              <w:rPr>
                <w:rFonts w:cs="Arial"/>
                <w:szCs w:val="16"/>
              </w:rPr>
            </w:pPr>
            <w:r w:rsidRPr="00D9348B">
              <w:rPr>
                <w:rFonts w:cs="Arial"/>
                <w:bCs/>
                <w:color w:val="000000"/>
                <w:szCs w:val="16"/>
              </w:rPr>
              <w:t>Transport – Road Transportation Gaseous Fuels</w:t>
            </w:r>
          </w:p>
        </w:tc>
        <w:tc>
          <w:tcPr>
            <w:tcW w:w="321" w:type="pct"/>
            <w:shd w:val="clear" w:color="auto" w:fill="auto"/>
            <w:vAlign w:val="bottom"/>
          </w:tcPr>
          <w:p w14:paraId="504699EC"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36" w:type="pct"/>
            <w:shd w:val="clear" w:color="auto" w:fill="auto"/>
            <w:vAlign w:val="bottom"/>
          </w:tcPr>
          <w:p w14:paraId="3F8BC6E1"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140.8</w:t>
            </w:r>
          </w:p>
        </w:tc>
        <w:tc>
          <w:tcPr>
            <w:tcW w:w="536" w:type="pct"/>
            <w:shd w:val="clear" w:color="auto" w:fill="auto"/>
            <w:vAlign w:val="bottom"/>
          </w:tcPr>
          <w:p w14:paraId="70597EE6"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0.0</w:t>
            </w:r>
          </w:p>
        </w:tc>
        <w:tc>
          <w:tcPr>
            <w:tcW w:w="536" w:type="pct"/>
            <w:shd w:val="clear" w:color="auto" w:fill="auto"/>
            <w:vAlign w:val="bottom"/>
          </w:tcPr>
          <w:p w14:paraId="3466439A"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0.002</w:t>
            </w:r>
          </w:p>
        </w:tc>
        <w:tc>
          <w:tcPr>
            <w:tcW w:w="571" w:type="pct"/>
            <w:shd w:val="clear" w:color="auto" w:fill="auto"/>
            <w:vAlign w:val="bottom"/>
          </w:tcPr>
          <w:p w14:paraId="523C4323"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0.3</w:t>
            </w:r>
          </w:p>
        </w:tc>
        <w:tc>
          <w:tcPr>
            <w:tcW w:w="536" w:type="pct"/>
            <w:shd w:val="clear" w:color="auto" w:fill="auto"/>
            <w:vAlign w:val="bottom"/>
          </w:tcPr>
          <w:p w14:paraId="6CE86789"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92.7</w:t>
            </w:r>
          </w:p>
        </w:tc>
      </w:tr>
      <w:tr w:rsidR="00217967" w:rsidRPr="00D9348B" w14:paraId="1E166818" w14:textId="77777777" w:rsidTr="00217967">
        <w:tc>
          <w:tcPr>
            <w:tcW w:w="571" w:type="pct"/>
            <w:vAlign w:val="bottom"/>
          </w:tcPr>
          <w:p w14:paraId="5C33B723" w14:textId="77777777" w:rsidR="00643D10" w:rsidRPr="00D9348B" w:rsidRDefault="00643D10" w:rsidP="00DB330E">
            <w:pPr>
              <w:pStyle w:val="TableText"/>
              <w:spacing w:before="40" w:after="40"/>
              <w:rPr>
                <w:rFonts w:cs="Arial"/>
                <w:szCs w:val="16"/>
              </w:rPr>
            </w:pPr>
            <w:r w:rsidRPr="00D9348B">
              <w:rPr>
                <w:rFonts w:cs="Arial"/>
                <w:bCs/>
                <w:color w:val="000000"/>
                <w:szCs w:val="16"/>
              </w:rPr>
              <w:t>3.A.4</w:t>
            </w:r>
          </w:p>
        </w:tc>
        <w:tc>
          <w:tcPr>
            <w:tcW w:w="1393" w:type="pct"/>
            <w:shd w:val="clear" w:color="auto" w:fill="auto"/>
            <w:vAlign w:val="bottom"/>
          </w:tcPr>
          <w:p w14:paraId="4705B38C" w14:textId="77777777" w:rsidR="00643D10" w:rsidRPr="00D9348B" w:rsidRDefault="00643D10" w:rsidP="00DB330E">
            <w:pPr>
              <w:pStyle w:val="TableText"/>
              <w:spacing w:before="40" w:after="40"/>
              <w:rPr>
                <w:rFonts w:cs="Arial"/>
                <w:szCs w:val="16"/>
              </w:rPr>
            </w:pPr>
            <w:r w:rsidRPr="00D9348B">
              <w:rPr>
                <w:rFonts w:cs="Arial"/>
                <w:bCs/>
                <w:color w:val="000000"/>
                <w:szCs w:val="16"/>
              </w:rPr>
              <w:t>Other Livestock – Deer</w:t>
            </w:r>
          </w:p>
        </w:tc>
        <w:tc>
          <w:tcPr>
            <w:tcW w:w="321" w:type="pct"/>
            <w:shd w:val="clear" w:color="auto" w:fill="auto"/>
            <w:vAlign w:val="bottom"/>
          </w:tcPr>
          <w:p w14:paraId="40C5E909"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CH</w:t>
            </w:r>
            <w:r w:rsidRPr="00D9348B">
              <w:rPr>
                <w:rFonts w:cs="Arial"/>
                <w:color w:val="000000"/>
                <w:szCs w:val="16"/>
                <w:vertAlign w:val="subscript"/>
              </w:rPr>
              <w:t>4</w:t>
            </w:r>
          </w:p>
        </w:tc>
        <w:tc>
          <w:tcPr>
            <w:tcW w:w="536" w:type="pct"/>
            <w:shd w:val="clear" w:color="auto" w:fill="auto"/>
            <w:vAlign w:val="bottom"/>
          </w:tcPr>
          <w:p w14:paraId="0389DCAF"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432.7</w:t>
            </w:r>
          </w:p>
        </w:tc>
        <w:tc>
          <w:tcPr>
            <w:tcW w:w="536" w:type="pct"/>
            <w:shd w:val="clear" w:color="auto" w:fill="auto"/>
            <w:vAlign w:val="bottom"/>
          </w:tcPr>
          <w:p w14:paraId="5AE3D3F4"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488.0</w:t>
            </w:r>
          </w:p>
        </w:tc>
        <w:tc>
          <w:tcPr>
            <w:tcW w:w="536" w:type="pct"/>
            <w:shd w:val="clear" w:color="auto" w:fill="auto"/>
            <w:vAlign w:val="bottom"/>
          </w:tcPr>
          <w:p w14:paraId="71472230"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0.002</w:t>
            </w:r>
          </w:p>
        </w:tc>
        <w:tc>
          <w:tcPr>
            <w:tcW w:w="571" w:type="pct"/>
            <w:shd w:val="clear" w:color="auto" w:fill="auto"/>
            <w:vAlign w:val="bottom"/>
          </w:tcPr>
          <w:p w14:paraId="50F77084"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0.3</w:t>
            </w:r>
          </w:p>
        </w:tc>
        <w:tc>
          <w:tcPr>
            <w:tcW w:w="536" w:type="pct"/>
            <w:shd w:val="clear" w:color="auto" w:fill="auto"/>
            <w:vAlign w:val="bottom"/>
          </w:tcPr>
          <w:p w14:paraId="3FA45324"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93.0</w:t>
            </w:r>
          </w:p>
        </w:tc>
      </w:tr>
      <w:tr w:rsidR="00217967" w:rsidRPr="00D9348B" w14:paraId="5FD3AA14" w14:textId="77777777" w:rsidTr="00217967">
        <w:tc>
          <w:tcPr>
            <w:tcW w:w="571" w:type="pct"/>
            <w:vAlign w:val="bottom"/>
          </w:tcPr>
          <w:p w14:paraId="5CA4164B" w14:textId="77777777" w:rsidR="00643D10" w:rsidRPr="00D9348B" w:rsidRDefault="00643D10" w:rsidP="00DB330E">
            <w:pPr>
              <w:pStyle w:val="TableText"/>
              <w:spacing w:before="40" w:after="40"/>
              <w:rPr>
                <w:rFonts w:cs="Arial"/>
                <w:szCs w:val="16"/>
              </w:rPr>
            </w:pPr>
            <w:r w:rsidRPr="00D9348B">
              <w:rPr>
                <w:rFonts w:cs="Arial"/>
                <w:bCs/>
                <w:color w:val="000000"/>
                <w:szCs w:val="16"/>
              </w:rPr>
              <w:t>3.D.2.1</w:t>
            </w:r>
          </w:p>
        </w:tc>
        <w:tc>
          <w:tcPr>
            <w:tcW w:w="1393" w:type="pct"/>
            <w:shd w:val="clear" w:color="auto" w:fill="auto"/>
            <w:vAlign w:val="bottom"/>
          </w:tcPr>
          <w:p w14:paraId="1DF81038" w14:textId="77777777" w:rsidR="00643D10" w:rsidRPr="00D9348B" w:rsidRDefault="00643D10" w:rsidP="00DB330E">
            <w:pPr>
              <w:pStyle w:val="TableText"/>
              <w:spacing w:before="40" w:after="40"/>
              <w:rPr>
                <w:rFonts w:cs="Arial"/>
                <w:szCs w:val="16"/>
              </w:rPr>
            </w:pPr>
            <w:r w:rsidRPr="00D9348B">
              <w:rPr>
                <w:rFonts w:cs="Arial"/>
                <w:bCs/>
                <w:color w:val="000000"/>
                <w:szCs w:val="16"/>
              </w:rPr>
              <w:t>Indirect N</w:t>
            </w:r>
            <w:r w:rsidRPr="00D9348B">
              <w:rPr>
                <w:rFonts w:cs="Arial"/>
                <w:bCs/>
                <w:color w:val="000000"/>
                <w:szCs w:val="16"/>
                <w:vertAlign w:val="subscript"/>
              </w:rPr>
              <w:t>2</w:t>
            </w:r>
            <w:r w:rsidRPr="00D9348B">
              <w:rPr>
                <w:rFonts w:cs="Arial"/>
                <w:bCs/>
                <w:color w:val="000000"/>
                <w:szCs w:val="16"/>
              </w:rPr>
              <w:t>O Emissions From Managed Soils – Atmospheric Deposition</w:t>
            </w:r>
          </w:p>
        </w:tc>
        <w:tc>
          <w:tcPr>
            <w:tcW w:w="321" w:type="pct"/>
            <w:shd w:val="clear" w:color="auto" w:fill="auto"/>
            <w:vAlign w:val="bottom"/>
          </w:tcPr>
          <w:p w14:paraId="5092E712"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N</w:t>
            </w:r>
            <w:r w:rsidRPr="00D9348B">
              <w:rPr>
                <w:rFonts w:cs="Arial"/>
                <w:color w:val="000000"/>
                <w:szCs w:val="16"/>
                <w:vertAlign w:val="subscript"/>
              </w:rPr>
              <w:t>2</w:t>
            </w:r>
            <w:r w:rsidRPr="00D9348B">
              <w:rPr>
                <w:rFonts w:cs="Arial"/>
                <w:color w:val="000000"/>
                <w:szCs w:val="16"/>
              </w:rPr>
              <w:t>O</w:t>
            </w:r>
          </w:p>
        </w:tc>
        <w:tc>
          <w:tcPr>
            <w:tcW w:w="536" w:type="pct"/>
            <w:shd w:val="clear" w:color="auto" w:fill="auto"/>
            <w:vAlign w:val="bottom"/>
          </w:tcPr>
          <w:p w14:paraId="2EB77641"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704.9</w:t>
            </w:r>
          </w:p>
        </w:tc>
        <w:tc>
          <w:tcPr>
            <w:tcW w:w="536" w:type="pct"/>
            <w:shd w:val="clear" w:color="auto" w:fill="auto"/>
            <w:vAlign w:val="bottom"/>
          </w:tcPr>
          <w:p w14:paraId="4F4077D9"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919.6</w:t>
            </w:r>
          </w:p>
        </w:tc>
        <w:tc>
          <w:tcPr>
            <w:tcW w:w="536" w:type="pct"/>
            <w:shd w:val="clear" w:color="auto" w:fill="auto"/>
            <w:vAlign w:val="bottom"/>
          </w:tcPr>
          <w:p w14:paraId="7742B0AC"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0.002</w:t>
            </w:r>
          </w:p>
        </w:tc>
        <w:tc>
          <w:tcPr>
            <w:tcW w:w="571" w:type="pct"/>
            <w:shd w:val="clear" w:color="auto" w:fill="auto"/>
            <w:vAlign w:val="bottom"/>
          </w:tcPr>
          <w:p w14:paraId="5480A574"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0.3</w:t>
            </w:r>
          </w:p>
        </w:tc>
        <w:tc>
          <w:tcPr>
            <w:tcW w:w="536" w:type="pct"/>
            <w:shd w:val="clear" w:color="auto" w:fill="auto"/>
            <w:vAlign w:val="bottom"/>
          </w:tcPr>
          <w:p w14:paraId="66582D6D"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93.3</w:t>
            </w:r>
          </w:p>
        </w:tc>
      </w:tr>
      <w:tr w:rsidR="00217967" w:rsidRPr="00D9348B" w14:paraId="16BC14D3" w14:textId="77777777" w:rsidTr="00217967">
        <w:tc>
          <w:tcPr>
            <w:tcW w:w="571" w:type="pct"/>
            <w:tcBorders>
              <w:bottom w:val="single" w:sz="4" w:space="0" w:color="365F91"/>
            </w:tcBorders>
            <w:vAlign w:val="bottom"/>
          </w:tcPr>
          <w:p w14:paraId="5630A84A" w14:textId="77777777" w:rsidR="00643D10" w:rsidRPr="00D9348B" w:rsidRDefault="00643D10" w:rsidP="00DB330E">
            <w:pPr>
              <w:pStyle w:val="TableText"/>
              <w:spacing w:before="40" w:after="40"/>
              <w:rPr>
                <w:rFonts w:cs="Arial"/>
                <w:szCs w:val="16"/>
              </w:rPr>
            </w:pPr>
            <w:r w:rsidRPr="00D9348B">
              <w:rPr>
                <w:rFonts w:cs="Arial"/>
                <w:bCs/>
                <w:color w:val="000000"/>
                <w:szCs w:val="16"/>
              </w:rPr>
              <w:t>1.A.1.a</w:t>
            </w:r>
          </w:p>
        </w:tc>
        <w:tc>
          <w:tcPr>
            <w:tcW w:w="1393" w:type="pct"/>
            <w:tcBorders>
              <w:bottom w:val="single" w:sz="4" w:space="0" w:color="365F91"/>
            </w:tcBorders>
            <w:shd w:val="clear" w:color="auto" w:fill="auto"/>
            <w:vAlign w:val="bottom"/>
          </w:tcPr>
          <w:p w14:paraId="23B515B9" w14:textId="77777777" w:rsidR="00643D10" w:rsidRPr="00D9348B" w:rsidRDefault="00643D10" w:rsidP="00DB330E">
            <w:pPr>
              <w:pStyle w:val="TableText"/>
              <w:spacing w:before="40" w:after="40"/>
              <w:rPr>
                <w:rFonts w:cs="Arial"/>
                <w:szCs w:val="16"/>
              </w:rPr>
            </w:pPr>
            <w:r w:rsidRPr="00D9348B">
              <w:rPr>
                <w:rFonts w:cs="Arial"/>
                <w:bCs/>
                <w:color w:val="000000"/>
                <w:szCs w:val="16"/>
              </w:rPr>
              <w:t>Energy Industries – Public Electricity and Heat Production Solid Fuels</w:t>
            </w:r>
          </w:p>
        </w:tc>
        <w:tc>
          <w:tcPr>
            <w:tcW w:w="321" w:type="pct"/>
            <w:tcBorders>
              <w:bottom w:val="single" w:sz="4" w:space="0" w:color="365F91"/>
            </w:tcBorders>
            <w:shd w:val="clear" w:color="auto" w:fill="auto"/>
            <w:vAlign w:val="bottom"/>
          </w:tcPr>
          <w:p w14:paraId="750F10D4"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36" w:type="pct"/>
            <w:tcBorders>
              <w:bottom w:val="single" w:sz="4" w:space="0" w:color="365F91"/>
            </w:tcBorders>
            <w:shd w:val="clear" w:color="auto" w:fill="auto"/>
            <w:vAlign w:val="bottom"/>
          </w:tcPr>
          <w:p w14:paraId="5E057ED0"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474.8</w:t>
            </w:r>
          </w:p>
        </w:tc>
        <w:tc>
          <w:tcPr>
            <w:tcW w:w="536" w:type="pct"/>
            <w:tcBorders>
              <w:bottom w:val="single" w:sz="4" w:space="0" w:color="365F91"/>
            </w:tcBorders>
            <w:shd w:val="clear" w:color="auto" w:fill="auto"/>
            <w:vAlign w:val="bottom"/>
          </w:tcPr>
          <w:p w14:paraId="13DEDDB0"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928.9</w:t>
            </w:r>
          </w:p>
        </w:tc>
        <w:tc>
          <w:tcPr>
            <w:tcW w:w="536" w:type="pct"/>
            <w:tcBorders>
              <w:bottom w:val="single" w:sz="4" w:space="0" w:color="365F91"/>
            </w:tcBorders>
            <w:shd w:val="clear" w:color="auto" w:fill="auto"/>
            <w:vAlign w:val="bottom"/>
          </w:tcPr>
          <w:p w14:paraId="67EB6088"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0.002</w:t>
            </w:r>
          </w:p>
        </w:tc>
        <w:tc>
          <w:tcPr>
            <w:tcW w:w="571" w:type="pct"/>
            <w:tcBorders>
              <w:bottom w:val="single" w:sz="4" w:space="0" w:color="365F91"/>
            </w:tcBorders>
            <w:shd w:val="clear" w:color="auto" w:fill="auto"/>
            <w:vAlign w:val="bottom"/>
          </w:tcPr>
          <w:p w14:paraId="4BE33911"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0.3</w:t>
            </w:r>
          </w:p>
        </w:tc>
        <w:tc>
          <w:tcPr>
            <w:tcW w:w="536" w:type="pct"/>
            <w:tcBorders>
              <w:bottom w:val="single" w:sz="4" w:space="0" w:color="365F91"/>
            </w:tcBorders>
            <w:shd w:val="clear" w:color="auto" w:fill="auto"/>
            <w:vAlign w:val="bottom"/>
          </w:tcPr>
          <w:p w14:paraId="67111E16"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93.5</w:t>
            </w:r>
          </w:p>
        </w:tc>
      </w:tr>
      <w:tr w:rsidR="00217967" w:rsidRPr="00D9348B" w14:paraId="1386441A" w14:textId="77777777" w:rsidTr="00217967">
        <w:tc>
          <w:tcPr>
            <w:tcW w:w="571" w:type="pct"/>
            <w:vAlign w:val="bottom"/>
          </w:tcPr>
          <w:p w14:paraId="4877AC88" w14:textId="77777777" w:rsidR="00643D10" w:rsidRPr="00D9348B" w:rsidRDefault="00643D10" w:rsidP="00DB330E">
            <w:pPr>
              <w:pStyle w:val="TableText"/>
              <w:spacing w:before="40" w:after="40"/>
              <w:rPr>
                <w:rFonts w:cs="Arial"/>
                <w:szCs w:val="16"/>
              </w:rPr>
            </w:pPr>
            <w:r w:rsidRPr="00D9348B">
              <w:rPr>
                <w:rFonts w:cs="Arial"/>
                <w:bCs/>
                <w:color w:val="000000"/>
                <w:szCs w:val="16"/>
              </w:rPr>
              <w:t>1.A.2.d</w:t>
            </w:r>
          </w:p>
        </w:tc>
        <w:tc>
          <w:tcPr>
            <w:tcW w:w="1393" w:type="pct"/>
            <w:shd w:val="clear" w:color="auto" w:fill="auto"/>
            <w:vAlign w:val="bottom"/>
          </w:tcPr>
          <w:p w14:paraId="3222BAFE" w14:textId="77777777" w:rsidR="00643D10" w:rsidRPr="00D9348B" w:rsidRDefault="00643D10" w:rsidP="00DB330E">
            <w:pPr>
              <w:pStyle w:val="TableText"/>
              <w:spacing w:before="40" w:after="40"/>
              <w:rPr>
                <w:rFonts w:cs="Arial"/>
                <w:szCs w:val="16"/>
              </w:rPr>
            </w:pPr>
            <w:r w:rsidRPr="00D9348B">
              <w:rPr>
                <w:rFonts w:cs="Arial"/>
                <w:bCs/>
                <w:color w:val="000000"/>
                <w:szCs w:val="16"/>
              </w:rPr>
              <w:t>Manufacturing Industries and Construction – Pulp, Paper and Print Gaseous Fuels</w:t>
            </w:r>
          </w:p>
        </w:tc>
        <w:tc>
          <w:tcPr>
            <w:tcW w:w="321" w:type="pct"/>
            <w:shd w:val="clear" w:color="auto" w:fill="auto"/>
            <w:vAlign w:val="bottom"/>
          </w:tcPr>
          <w:p w14:paraId="796C7717"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36" w:type="pct"/>
            <w:shd w:val="clear" w:color="auto" w:fill="auto"/>
            <w:vAlign w:val="bottom"/>
          </w:tcPr>
          <w:p w14:paraId="51219EDF"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348.9</w:t>
            </w:r>
          </w:p>
        </w:tc>
        <w:tc>
          <w:tcPr>
            <w:tcW w:w="536" w:type="pct"/>
            <w:shd w:val="clear" w:color="auto" w:fill="auto"/>
            <w:vAlign w:val="bottom"/>
          </w:tcPr>
          <w:p w14:paraId="11D8B20C"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376.7</w:t>
            </w:r>
          </w:p>
        </w:tc>
        <w:tc>
          <w:tcPr>
            <w:tcW w:w="536" w:type="pct"/>
            <w:shd w:val="clear" w:color="auto" w:fill="auto"/>
            <w:vAlign w:val="bottom"/>
          </w:tcPr>
          <w:p w14:paraId="41333274"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0.002</w:t>
            </w:r>
          </w:p>
        </w:tc>
        <w:tc>
          <w:tcPr>
            <w:tcW w:w="571" w:type="pct"/>
            <w:shd w:val="clear" w:color="auto" w:fill="auto"/>
            <w:vAlign w:val="bottom"/>
          </w:tcPr>
          <w:p w14:paraId="6423598A"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0.2</w:t>
            </w:r>
          </w:p>
        </w:tc>
        <w:tc>
          <w:tcPr>
            <w:tcW w:w="536" w:type="pct"/>
            <w:shd w:val="clear" w:color="auto" w:fill="auto"/>
            <w:vAlign w:val="bottom"/>
          </w:tcPr>
          <w:p w14:paraId="3B2EF553"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93.8</w:t>
            </w:r>
          </w:p>
        </w:tc>
      </w:tr>
      <w:tr w:rsidR="00217967" w:rsidRPr="00D9348B" w14:paraId="175C132D" w14:textId="77777777" w:rsidTr="00217967">
        <w:tc>
          <w:tcPr>
            <w:tcW w:w="571" w:type="pct"/>
            <w:vAlign w:val="bottom"/>
          </w:tcPr>
          <w:p w14:paraId="20EF4FD8" w14:textId="77777777" w:rsidR="00643D10" w:rsidRPr="00D9348B" w:rsidRDefault="00643D10" w:rsidP="00DB330E">
            <w:pPr>
              <w:pStyle w:val="TableText"/>
              <w:spacing w:before="40" w:after="40"/>
              <w:rPr>
                <w:rFonts w:cs="Arial"/>
                <w:color w:val="000000"/>
                <w:szCs w:val="16"/>
              </w:rPr>
            </w:pPr>
            <w:r w:rsidRPr="00D9348B">
              <w:rPr>
                <w:rFonts w:cs="Arial"/>
                <w:bCs/>
                <w:color w:val="000000"/>
                <w:szCs w:val="16"/>
              </w:rPr>
              <w:t>1.A.2.e</w:t>
            </w:r>
          </w:p>
        </w:tc>
        <w:tc>
          <w:tcPr>
            <w:tcW w:w="1393" w:type="pct"/>
            <w:shd w:val="clear" w:color="auto" w:fill="auto"/>
            <w:vAlign w:val="bottom"/>
          </w:tcPr>
          <w:p w14:paraId="17D6E65E" w14:textId="77777777" w:rsidR="00643D10" w:rsidRPr="00D9348B" w:rsidRDefault="00643D10" w:rsidP="00DB330E">
            <w:pPr>
              <w:pStyle w:val="TableText"/>
              <w:spacing w:before="40" w:after="40"/>
              <w:rPr>
                <w:rFonts w:cs="Arial"/>
                <w:color w:val="000000"/>
                <w:szCs w:val="16"/>
              </w:rPr>
            </w:pPr>
            <w:r w:rsidRPr="00D9348B">
              <w:rPr>
                <w:rFonts w:cs="Arial"/>
                <w:bCs/>
                <w:color w:val="000000"/>
                <w:szCs w:val="16"/>
              </w:rPr>
              <w:t>Manufacturing Industries and Construction – Food Processing, Beverages and Tobacco Liquid Fuels</w:t>
            </w:r>
          </w:p>
        </w:tc>
        <w:tc>
          <w:tcPr>
            <w:tcW w:w="321" w:type="pct"/>
            <w:shd w:val="clear" w:color="auto" w:fill="auto"/>
            <w:vAlign w:val="bottom"/>
          </w:tcPr>
          <w:p w14:paraId="2A504FE9" w14:textId="77777777" w:rsidR="00643D10" w:rsidRPr="00D9348B" w:rsidRDefault="00643D10" w:rsidP="00DB330E">
            <w:pPr>
              <w:pStyle w:val="TableText"/>
              <w:spacing w:before="40" w:after="40"/>
              <w:jc w:val="center"/>
              <w:rPr>
                <w:rFonts w:cs="Arial"/>
                <w:color w:val="000000"/>
                <w:szCs w:val="16"/>
              </w:rPr>
            </w:pPr>
            <w:r w:rsidRPr="00D9348B">
              <w:rPr>
                <w:rFonts w:cs="Arial"/>
                <w:color w:val="000000"/>
                <w:szCs w:val="16"/>
              </w:rPr>
              <w:t>CO</w:t>
            </w:r>
            <w:r w:rsidRPr="00D9348B">
              <w:rPr>
                <w:rFonts w:cs="Arial"/>
                <w:color w:val="000000"/>
                <w:szCs w:val="16"/>
                <w:vertAlign w:val="subscript"/>
              </w:rPr>
              <w:t>2</w:t>
            </w:r>
          </w:p>
        </w:tc>
        <w:tc>
          <w:tcPr>
            <w:tcW w:w="536" w:type="pct"/>
            <w:shd w:val="clear" w:color="auto" w:fill="auto"/>
            <w:vAlign w:val="bottom"/>
          </w:tcPr>
          <w:p w14:paraId="6616541E" w14:textId="77777777" w:rsidR="00643D10" w:rsidRPr="00D9348B" w:rsidRDefault="00643D10" w:rsidP="00DB330E">
            <w:pPr>
              <w:pStyle w:val="TableText"/>
              <w:spacing w:before="40" w:after="40"/>
              <w:jc w:val="right"/>
              <w:rPr>
                <w:rFonts w:cs="Arial"/>
                <w:color w:val="000000"/>
                <w:szCs w:val="16"/>
              </w:rPr>
            </w:pPr>
            <w:r w:rsidRPr="00D9348B">
              <w:rPr>
                <w:rFonts w:cs="Arial"/>
                <w:bCs/>
                <w:color w:val="000000"/>
                <w:szCs w:val="16"/>
              </w:rPr>
              <w:t>265.1</w:t>
            </w:r>
          </w:p>
        </w:tc>
        <w:tc>
          <w:tcPr>
            <w:tcW w:w="536" w:type="pct"/>
            <w:shd w:val="clear" w:color="auto" w:fill="auto"/>
            <w:vAlign w:val="bottom"/>
          </w:tcPr>
          <w:p w14:paraId="01A5DEC4" w14:textId="77777777" w:rsidR="00643D10" w:rsidRPr="00D9348B" w:rsidRDefault="00643D10" w:rsidP="00DB330E">
            <w:pPr>
              <w:pStyle w:val="TableText"/>
              <w:spacing w:before="40" w:after="40"/>
              <w:jc w:val="right"/>
              <w:rPr>
                <w:rFonts w:cs="Arial"/>
                <w:color w:val="000000"/>
                <w:szCs w:val="16"/>
              </w:rPr>
            </w:pPr>
            <w:r w:rsidRPr="00D9348B">
              <w:rPr>
                <w:rFonts w:cs="Arial"/>
                <w:bCs/>
                <w:color w:val="000000"/>
                <w:szCs w:val="16"/>
              </w:rPr>
              <w:t>256.2</w:t>
            </w:r>
          </w:p>
        </w:tc>
        <w:tc>
          <w:tcPr>
            <w:tcW w:w="536" w:type="pct"/>
            <w:shd w:val="clear" w:color="auto" w:fill="auto"/>
            <w:vAlign w:val="bottom"/>
          </w:tcPr>
          <w:p w14:paraId="535FACD7" w14:textId="77777777" w:rsidR="00643D10" w:rsidRPr="00D9348B" w:rsidRDefault="00643D10" w:rsidP="00DB330E">
            <w:pPr>
              <w:pStyle w:val="TableText"/>
              <w:spacing w:before="40" w:after="40"/>
              <w:jc w:val="right"/>
              <w:rPr>
                <w:rFonts w:cs="Arial"/>
                <w:color w:val="000000"/>
                <w:szCs w:val="16"/>
              </w:rPr>
            </w:pPr>
            <w:r w:rsidRPr="00D9348B">
              <w:rPr>
                <w:rFonts w:cs="Arial"/>
                <w:bCs/>
                <w:color w:val="000000"/>
                <w:szCs w:val="16"/>
              </w:rPr>
              <w:t>0.002</w:t>
            </w:r>
          </w:p>
        </w:tc>
        <w:tc>
          <w:tcPr>
            <w:tcW w:w="571" w:type="pct"/>
            <w:shd w:val="clear" w:color="auto" w:fill="auto"/>
            <w:vAlign w:val="bottom"/>
          </w:tcPr>
          <w:p w14:paraId="18769152" w14:textId="77777777" w:rsidR="00643D10" w:rsidRPr="00D9348B" w:rsidRDefault="00643D10" w:rsidP="00DB330E">
            <w:pPr>
              <w:pStyle w:val="TableText"/>
              <w:spacing w:before="40" w:after="40"/>
              <w:jc w:val="right"/>
              <w:rPr>
                <w:rFonts w:cs="Arial"/>
                <w:color w:val="000000"/>
                <w:szCs w:val="16"/>
              </w:rPr>
            </w:pPr>
            <w:r w:rsidRPr="00D9348B">
              <w:rPr>
                <w:rFonts w:cs="Arial"/>
                <w:bCs/>
                <w:color w:val="000000"/>
                <w:szCs w:val="16"/>
              </w:rPr>
              <w:t>0.2</w:t>
            </w:r>
          </w:p>
        </w:tc>
        <w:tc>
          <w:tcPr>
            <w:tcW w:w="536" w:type="pct"/>
            <w:shd w:val="clear" w:color="auto" w:fill="auto"/>
            <w:vAlign w:val="bottom"/>
          </w:tcPr>
          <w:p w14:paraId="17B1B43C" w14:textId="77777777" w:rsidR="00643D10" w:rsidRPr="00D9348B" w:rsidRDefault="00643D10" w:rsidP="00DB330E">
            <w:pPr>
              <w:pStyle w:val="TableText"/>
              <w:spacing w:before="40" w:after="40"/>
              <w:jc w:val="right"/>
              <w:rPr>
                <w:rFonts w:cs="Arial"/>
                <w:color w:val="000000"/>
                <w:szCs w:val="16"/>
              </w:rPr>
            </w:pPr>
            <w:r w:rsidRPr="00D9348B">
              <w:rPr>
                <w:rFonts w:cs="Arial"/>
                <w:bCs/>
                <w:color w:val="000000"/>
                <w:szCs w:val="16"/>
              </w:rPr>
              <w:t>94.0</w:t>
            </w:r>
          </w:p>
        </w:tc>
      </w:tr>
      <w:tr w:rsidR="00217967" w:rsidRPr="00D9348B" w14:paraId="3974546F" w14:textId="77777777" w:rsidTr="00217967">
        <w:tc>
          <w:tcPr>
            <w:tcW w:w="571" w:type="pct"/>
            <w:vAlign w:val="bottom"/>
          </w:tcPr>
          <w:p w14:paraId="425873B9" w14:textId="77777777" w:rsidR="00643D10" w:rsidRPr="00D9348B" w:rsidRDefault="00643D10" w:rsidP="00DB330E">
            <w:pPr>
              <w:pStyle w:val="TableText"/>
              <w:spacing w:before="40" w:after="40"/>
              <w:rPr>
                <w:rFonts w:cs="Arial"/>
                <w:color w:val="000000"/>
                <w:szCs w:val="16"/>
              </w:rPr>
            </w:pPr>
            <w:r w:rsidRPr="00D9348B">
              <w:rPr>
                <w:rFonts w:cs="Arial"/>
                <w:bCs/>
                <w:color w:val="000000"/>
                <w:szCs w:val="16"/>
              </w:rPr>
              <w:t>1.A.4.a</w:t>
            </w:r>
          </w:p>
        </w:tc>
        <w:tc>
          <w:tcPr>
            <w:tcW w:w="1393" w:type="pct"/>
            <w:shd w:val="clear" w:color="auto" w:fill="auto"/>
            <w:vAlign w:val="bottom"/>
          </w:tcPr>
          <w:p w14:paraId="565C59E5" w14:textId="711DA836" w:rsidR="00643D10" w:rsidRPr="00D9348B" w:rsidRDefault="00643D10" w:rsidP="00DB330E">
            <w:pPr>
              <w:pStyle w:val="TableText"/>
              <w:spacing w:before="40" w:after="40"/>
              <w:rPr>
                <w:rFonts w:cs="Arial"/>
                <w:color w:val="000000"/>
                <w:szCs w:val="16"/>
              </w:rPr>
            </w:pPr>
            <w:r w:rsidRPr="00D9348B">
              <w:rPr>
                <w:rFonts w:cs="Arial"/>
                <w:bCs/>
                <w:color w:val="000000"/>
                <w:szCs w:val="16"/>
              </w:rPr>
              <w:t>Other Sectors – Commercial/</w:t>
            </w:r>
            <w:r w:rsidR="00923BCE" w:rsidRPr="00D9348B">
              <w:rPr>
                <w:rFonts w:cs="Arial"/>
                <w:bCs/>
                <w:color w:val="000000"/>
                <w:szCs w:val="16"/>
              </w:rPr>
              <w:t xml:space="preserve"> </w:t>
            </w:r>
            <w:r w:rsidRPr="00D9348B">
              <w:rPr>
                <w:rFonts w:cs="Arial"/>
                <w:bCs/>
                <w:color w:val="000000"/>
                <w:szCs w:val="16"/>
              </w:rPr>
              <w:t>Institutional Solid Fuels</w:t>
            </w:r>
          </w:p>
        </w:tc>
        <w:tc>
          <w:tcPr>
            <w:tcW w:w="321" w:type="pct"/>
            <w:shd w:val="clear" w:color="auto" w:fill="auto"/>
            <w:vAlign w:val="bottom"/>
          </w:tcPr>
          <w:p w14:paraId="2FF1904B" w14:textId="77777777" w:rsidR="00643D10" w:rsidRPr="00D9348B" w:rsidRDefault="00643D10" w:rsidP="00DB330E">
            <w:pPr>
              <w:pStyle w:val="TableText"/>
              <w:spacing w:before="40" w:after="40"/>
              <w:jc w:val="center"/>
              <w:rPr>
                <w:rFonts w:cs="Arial"/>
                <w:color w:val="000000"/>
                <w:szCs w:val="16"/>
              </w:rPr>
            </w:pPr>
            <w:r w:rsidRPr="00D9348B">
              <w:rPr>
                <w:rFonts w:cs="Arial"/>
                <w:color w:val="000000"/>
                <w:szCs w:val="16"/>
              </w:rPr>
              <w:t>CO</w:t>
            </w:r>
            <w:r w:rsidRPr="00D9348B">
              <w:rPr>
                <w:rFonts w:cs="Arial"/>
                <w:color w:val="000000"/>
                <w:szCs w:val="16"/>
                <w:vertAlign w:val="subscript"/>
              </w:rPr>
              <w:t>2</w:t>
            </w:r>
          </w:p>
        </w:tc>
        <w:tc>
          <w:tcPr>
            <w:tcW w:w="536" w:type="pct"/>
            <w:shd w:val="clear" w:color="auto" w:fill="auto"/>
            <w:vAlign w:val="bottom"/>
          </w:tcPr>
          <w:p w14:paraId="61394883" w14:textId="77777777" w:rsidR="00643D10" w:rsidRPr="00D9348B" w:rsidRDefault="00643D10" w:rsidP="00DB330E">
            <w:pPr>
              <w:pStyle w:val="TableText"/>
              <w:spacing w:before="40" w:after="40"/>
              <w:jc w:val="right"/>
              <w:rPr>
                <w:rFonts w:cs="Arial"/>
                <w:color w:val="000000"/>
                <w:szCs w:val="16"/>
              </w:rPr>
            </w:pPr>
            <w:r w:rsidRPr="00D9348B">
              <w:rPr>
                <w:rFonts w:cs="Arial"/>
                <w:bCs/>
                <w:color w:val="000000"/>
                <w:szCs w:val="16"/>
              </w:rPr>
              <w:t>142.2</w:t>
            </w:r>
          </w:p>
        </w:tc>
        <w:tc>
          <w:tcPr>
            <w:tcW w:w="536" w:type="pct"/>
            <w:shd w:val="clear" w:color="auto" w:fill="auto"/>
            <w:vAlign w:val="bottom"/>
          </w:tcPr>
          <w:p w14:paraId="6D9FBD6D" w14:textId="77777777" w:rsidR="00643D10" w:rsidRPr="00D9348B" w:rsidRDefault="00643D10" w:rsidP="00DB330E">
            <w:pPr>
              <w:pStyle w:val="TableText"/>
              <w:spacing w:before="40" w:after="40"/>
              <w:jc w:val="right"/>
              <w:rPr>
                <w:rFonts w:cs="Arial"/>
                <w:color w:val="000000"/>
                <w:szCs w:val="16"/>
              </w:rPr>
            </w:pPr>
            <w:r w:rsidRPr="00D9348B">
              <w:rPr>
                <w:rFonts w:cs="Arial"/>
                <w:bCs/>
                <w:color w:val="000000"/>
                <w:szCs w:val="16"/>
              </w:rPr>
              <w:t>68.7</w:t>
            </w:r>
          </w:p>
        </w:tc>
        <w:tc>
          <w:tcPr>
            <w:tcW w:w="536" w:type="pct"/>
            <w:shd w:val="clear" w:color="auto" w:fill="auto"/>
            <w:vAlign w:val="bottom"/>
          </w:tcPr>
          <w:p w14:paraId="2432F7C2" w14:textId="77777777" w:rsidR="00643D10" w:rsidRPr="00D9348B" w:rsidRDefault="00643D10" w:rsidP="00DB330E">
            <w:pPr>
              <w:pStyle w:val="TableText"/>
              <w:spacing w:before="40" w:after="40"/>
              <w:jc w:val="right"/>
              <w:rPr>
                <w:rFonts w:cs="Arial"/>
                <w:color w:val="000000"/>
                <w:szCs w:val="16"/>
              </w:rPr>
            </w:pPr>
            <w:r w:rsidRPr="00D9348B">
              <w:rPr>
                <w:rFonts w:cs="Arial"/>
                <w:bCs/>
                <w:color w:val="000000"/>
                <w:szCs w:val="16"/>
              </w:rPr>
              <w:t>0.002</w:t>
            </w:r>
          </w:p>
        </w:tc>
        <w:tc>
          <w:tcPr>
            <w:tcW w:w="571" w:type="pct"/>
            <w:shd w:val="clear" w:color="auto" w:fill="auto"/>
            <w:vAlign w:val="bottom"/>
          </w:tcPr>
          <w:p w14:paraId="52579C60" w14:textId="77777777" w:rsidR="00643D10" w:rsidRPr="00D9348B" w:rsidRDefault="00643D10" w:rsidP="00DB330E">
            <w:pPr>
              <w:pStyle w:val="TableText"/>
              <w:spacing w:before="40" w:after="40"/>
              <w:jc w:val="right"/>
              <w:rPr>
                <w:rFonts w:cs="Arial"/>
                <w:color w:val="000000"/>
                <w:szCs w:val="16"/>
              </w:rPr>
            </w:pPr>
            <w:r w:rsidRPr="00D9348B">
              <w:rPr>
                <w:rFonts w:cs="Arial"/>
                <w:bCs/>
                <w:color w:val="000000"/>
                <w:szCs w:val="16"/>
              </w:rPr>
              <w:t>0.2</w:t>
            </w:r>
          </w:p>
        </w:tc>
        <w:tc>
          <w:tcPr>
            <w:tcW w:w="536" w:type="pct"/>
            <w:shd w:val="clear" w:color="auto" w:fill="auto"/>
            <w:vAlign w:val="bottom"/>
          </w:tcPr>
          <w:p w14:paraId="0616F2FC" w14:textId="77777777" w:rsidR="00643D10" w:rsidRPr="00D9348B" w:rsidRDefault="00643D10" w:rsidP="00DB330E">
            <w:pPr>
              <w:pStyle w:val="TableText"/>
              <w:spacing w:before="40" w:after="40"/>
              <w:jc w:val="right"/>
              <w:rPr>
                <w:rFonts w:cs="Arial"/>
                <w:color w:val="000000"/>
                <w:szCs w:val="16"/>
              </w:rPr>
            </w:pPr>
            <w:r w:rsidRPr="00D9348B">
              <w:rPr>
                <w:rFonts w:cs="Arial"/>
                <w:bCs/>
                <w:color w:val="000000"/>
                <w:szCs w:val="16"/>
              </w:rPr>
              <w:t>94.2</w:t>
            </w:r>
          </w:p>
        </w:tc>
      </w:tr>
      <w:tr w:rsidR="00217967" w:rsidRPr="00D9348B" w14:paraId="16737B15" w14:textId="77777777" w:rsidTr="00217967">
        <w:tc>
          <w:tcPr>
            <w:tcW w:w="571" w:type="pct"/>
            <w:vAlign w:val="bottom"/>
          </w:tcPr>
          <w:p w14:paraId="3ED80A94" w14:textId="77777777" w:rsidR="00643D10" w:rsidRPr="00D9348B" w:rsidRDefault="00643D10" w:rsidP="00DB330E">
            <w:pPr>
              <w:pStyle w:val="TableText"/>
              <w:spacing w:before="40" w:after="40"/>
              <w:rPr>
                <w:rFonts w:cs="Arial"/>
                <w:color w:val="000000"/>
                <w:szCs w:val="16"/>
              </w:rPr>
            </w:pPr>
            <w:r w:rsidRPr="00D9348B">
              <w:rPr>
                <w:rFonts w:cs="Arial"/>
                <w:bCs/>
                <w:color w:val="000000"/>
                <w:szCs w:val="16"/>
              </w:rPr>
              <w:t>1.A.2.e</w:t>
            </w:r>
          </w:p>
        </w:tc>
        <w:tc>
          <w:tcPr>
            <w:tcW w:w="1393" w:type="pct"/>
            <w:shd w:val="clear" w:color="auto" w:fill="auto"/>
            <w:vAlign w:val="bottom"/>
          </w:tcPr>
          <w:p w14:paraId="011AAAF5" w14:textId="77777777" w:rsidR="00643D10" w:rsidRPr="00D9348B" w:rsidRDefault="00643D10" w:rsidP="00DB330E">
            <w:pPr>
              <w:pStyle w:val="TableText"/>
              <w:spacing w:before="40" w:after="40"/>
              <w:rPr>
                <w:rFonts w:cs="Arial"/>
                <w:color w:val="000000"/>
                <w:szCs w:val="16"/>
              </w:rPr>
            </w:pPr>
            <w:r w:rsidRPr="00D9348B">
              <w:rPr>
                <w:rFonts w:cs="Arial"/>
                <w:bCs/>
                <w:color w:val="000000"/>
                <w:szCs w:val="16"/>
              </w:rPr>
              <w:t>Manufacturing Industries and Construction – Food Processing, Beverages and Tobacco Solid Fuels</w:t>
            </w:r>
          </w:p>
        </w:tc>
        <w:tc>
          <w:tcPr>
            <w:tcW w:w="321" w:type="pct"/>
            <w:shd w:val="clear" w:color="auto" w:fill="auto"/>
            <w:vAlign w:val="bottom"/>
          </w:tcPr>
          <w:p w14:paraId="771D2EA6" w14:textId="77777777" w:rsidR="00643D10" w:rsidRPr="00D9348B" w:rsidRDefault="00643D10" w:rsidP="00DB330E">
            <w:pPr>
              <w:pStyle w:val="TableText"/>
              <w:spacing w:before="40" w:after="40"/>
              <w:jc w:val="center"/>
              <w:rPr>
                <w:rFonts w:cs="Arial"/>
                <w:color w:val="000000"/>
                <w:szCs w:val="16"/>
              </w:rPr>
            </w:pPr>
            <w:r w:rsidRPr="00D9348B">
              <w:rPr>
                <w:rFonts w:cs="Arial"/>
                <w:color w:val="000000"/>
                <w:szCs w:val="16"/>
              </w:rPr>
              <w:t>CO</w:t>
            </w:r>
            <w:r w:rsidRPr="00D9348B">
              <w:rPr>
                <w:rFonts w:cs="Arial"/>
                <w:color w:val="000000"/>
                <w:szCs w:val="16"/>
                <w:vertAlign w:val="subscript"/>
              </w:rPr>
              <w:t>2</w:t>
            </w:r>
          </w:p>
        </w:tc>
        <w:tc>
          <w:tcPr>
            <w:tcW w:w="536" w:type="pct"/>
            <w:shd w:val="clear" w:color="auto" w:fill="auto"/>
            <w:vAlign w:val="bottom"/>
          </w:tcPr>
          <w:p w14:paraId="3593989B" w14:textId="77777777" w:rsidR="00643D10" w:rsidRPr="00D9348B" w:rsidRDefault="00643D10" w:rsidP="00DB330E">
            <w:pPr>
              <w:pStyle w:val="TableText"/>
              <w:spacing w:before="40" w:after="40"/>
              <w:jc w:val="right"/>
              <w:rPr>
                <w:rFonts w:cs="Arial"/>
                <w:color w:val="000000"/>
                <w:szCs w:val="16"/>
              </w:rPr>
            </w:pPr>
            <w:r w:rsidRPr="00D9348B">
              <w:rPr>
                <w:rFonts w:cs="Arial"/>
                <w:bCs/>
                <w:color w:val="000000"/>
                <w:szCs w:val="16"/>
              </w:rPr>
              <w:t>938.6</w:t>
            </w:r>
          </w:p>
        </w:tc>
        <w:tc>
          <w:tcPr>
            <w:tcW w:w="536" w:type="pct"/>
            <w:shd w:val="clear" w:color="auto" w:fill="auto"/>
            <w:vAlign w:val="bottom"/>
          </w:tcPr>
          <w:p w14:paraId="7A5252E3" w14:textId="77777777" w:rsidR="00643D10" w:rsidRPr="00D9348B" w:rsidRDefault="00643D10" w:rsidP="00DB330E">
            <w:pPr>
              <w:pStyle w:val="TableText"/>
              <w:spacing w:before="40" w:after="40"/>
              <w:jc w:val="right"/>
              <w:rPr>
                <w:rFonts w:cs="Arial"/>
                <w:color w:val="000000"/>
                <w:szCs w:val="16"/>
              </w:rPr>
            </w:pPr>
            <w:r w:rsidRPr="00D9348B">
              <w:rPr>
                <w:rFonts w:cs="Arial"/>
                <w:bCs/>
                <w:color w:val="000000"/>
                <w:szCs w:val="16"/>
              </w:rPr>
              <w:t>1,626.7</w:t>
            </w:r>
          </w:p>
        </w:tc>
        <w:tc>
          <w:tcPr>
            <w:tcW w:w="536" w:type="pct"/>
            <w:shd w:val="clear" w:color="auto" w:fill="auto"/>
            <w:vAlign w:val="bottom"/>
          </w:tcPr>
          <w:p w14:paraId="4342D3D6" w14:textId="77777777" w:rsidR="00643D10" w:rsidRPr="00D9348B" w:rsidRDefault="00643D10" w:rsidP="00DB330E">
            <w:pPr>
              <w:pStyle w:val="TableText"/>
              <w:spacing w:before="40" w:after="40"/>
              <w:jc w:val="right"/>
              <w:rPr>
                <w:rFonts w:cs="Arial"/>
                <w:color w:val="000000"/>
                <w:szCs w:val="16"/>
              </w:rPr>
            </w:pPr>
            <w:r w:rsidRPr="00D9348B">
              <w:rPr>
                <w:rFonts w:cs="Arial"/>
                <w:bCs/>
                <w:color w:val="000000"/>
                <w:szCs w:val="16"/>
              </w:rPr>
              <w:t>0.002</w:t>
            </w:r>
          </w:p>
        </w:tc>
        <w:tc>
          <w:tcPr>
            <w:tcW w:w="571" w:type="pct"/>
            <w:shd w:val="clear" w:color="auto" w:fill="auto"/>
            <w:vAlign w:val="bottom"/>
          </w:tcPr>
          <w:p w14:paraId="75C59EDE" w14:textId="77777777" w:rsidR="00643D10" w:rsidRPr="00D9348B" w:rsidRDefault="00643D10" w:rsidP="00DB330E">
            <w:pPr>
              <w:pStyle w:val="TableText"/>
              <w:spacing w:before="40" w:after="40"/>
              <w:jc w:val="right"/>
              <w:rPr>
                <w:rFonts w:cs="Arial"/>
                <w:color w:val="000000"/>
                <w:szCs w:val="16"/>
              </w:rPr>
            </w:pPr>
            <w:r w:rsidRPr="00D9348B">
              <w:rPr>
                <w:rFonts w:cs="Arial"/>
                <w:bCs/>
                <w:color w:val="000000"/>
                <w:szCs w:val="16"/>
              </w:rPr>
              <w:t>0.2</w:t>
            </w:r>
          </w:p>
        </w:tc>
        <w:tc>
          <w:tcPr>
            <w:tcW w:w="536" w:type="pct"/>
            <w:shd w:val="clear" w:color="auto" w:fill="auto"/>
            <w:vAlign w:val="bottom"/>
          </w:tcPr>
          <w:p w14:paraId="396C9A98" w14:textId="77777777" w:rsidR="00643D10" w:rsidRPr="00D9348B" w:rsidRDefault="00643D10" w:rsidP="00DB330E">
            <w:pPr>
              <w:pStyle w:val="TableText"/>
              <w:spacing w:before="40" w:after="40"/>
              <w:jc w:val="right"/>
              <w:rPr>
                <w:rFonts w:cs="Arial"/>
                <w:color w:val="000000"/>
                <w:szCs w:val="16"/>
              </w:rPr>
            </w:pPr>
            <w:r w:rsidRPr="00D9348B">
              <w:rPr>
                <w:rFonts w:cs="Arial"/>
                <w:bCs/>
                <w:color w:val="000000"/>
                <w:szCs w:val="16"/>
              </w:rPr>
              <w:t>94.4</w:t>
            </w:r>
          </w:p>
        </w:tc>
      </w:tr>
      <w:tr w:rsidR="00217967" w:rsidRPr="00D9348B" w14:paraId="6B9C1359" w14:textId="77777777" w:rsidTr="00217967">
        <w:tc>
          <w:tcPr>
            <w:tcW w:w="571" w:type="pct"/>
            <w:vAlign w:val="bottom"/>
          </w:tcPr>
          <w:p w14:paraId="6745A181" w14:textId="77777777" w:rsidR="00643D10" w:rsidRPr="00D9348B" w:rsidRDefault="00643D10" w:rsidP="00DB330E">
            <w:pPr>
              <w:pStyle w:val="TableText"/>
              <w:spacing w:before="40" w:after="40"/>
              <w:rPr>
                <w:rFonts w:cs="Arial"/>
                <w:color w:val="000000"/>
                <w:szCs w:val="16"/>
              </w:rPr>
            </w:pPr>
            <w:r w:rsidRPr="00D9348B">
              <w:rPr>
                <w:rFonts w:cs="Arial"/>
                <w:bCs/>
                <w:color w:val="000000"/>
                <w:szCs w:val="16"/>
              </w:rPr>
              <w:t>2.C.3</w:t>
            </w:r>
          </w:p>
        </w:tc>
        <w:tc>
          <w:tcPr>
            <w:tcW w:w="1393" w:type="pct"/>
            <w:shd w:val="clear" w:color="auto" w:fill="auto"/>
            <w:vAlign w:val="bottom"/>
          </w:tcPr>
          <w:p w14:paraId="7551B9A3" w14:textId="77777777" w:rsidR="00643D10" w:rsidRPr="00D9348B" w:rsidRDefault="00643D10" w:rsidP="00DB330E">
            <w:pPr>
              <w:pStyle w:val="TableText"/>
              <w:spacing w:before="40" w:after="40"/>
              <w:rPr>
                <w:rFonts w:cs="Arial"/>
                <w:color w:val="000000"/>
                <w:szCs w:val="16"/>
              </w:rPr>
            </w:pPr>
            <w:r w:rsidRPr="00D9348B">
              <w:rPr>
                <w:rFonts w:cs="Arial"/>
                <w:bCs/>
                <w:color w:val="000000"/>
                <w:szCs w:val="16"/>
              </w:rPr>
              <w:t>Metal Industry – Aluminium Production</w:t>
            </w:r>
          </w:p>
        </w:tc>
        <w:tc>
          <w:tcPr>
            <w:tcW w:w="321" w:type="pct"/>
            <w:shd w:val="clear" w:color="auto" w:fill="auto"/>
            <w:vAlign w:val="bottom"/>
          </w:tcPr>
          <w:p w14:paraId="5B4B9202" w14:textId="77777777" w:rsidR="00643D10" w:rsidRPr="00D9348B" w:rsidRDefault="00643D10" w:rsidP="00DB330E">
            <w:pPr>
              <w:pStyle w:val="TableText"/>
              <w:spacing w:before="40" w:after="40"/>
              <w:jc w:val="center"/>
              <w:rPr>
                <w:rFonts w:cs="Arial"/>
                <w:color w:val="000000"/>
                <w:szCs w:val="16"/>
              </w:rPr>
            </w:pPr>
            <w:r w:rsidRPr="00D9348B">
              <w:rPr>
                <w:rFonts w:cs="Arial"/>
                <w:color w:val="000000"/>
                <w:szCs w:val="16"/>
              </w:rPr>
              <w:t>CO</w:t>
            </w:r>
            <w:r w:rsidRPr="00D9348B">
              <w:rPr>
                <w:rFonts w:cs="Arial"/>
                <w:color w:val="000000"/>
                <w:szCs w:val="16"/>
                <w:vertAlign w:val="subscript"/>
              </w:rPr>
              <w:t>2</w:t>
            </w:r>
          </w:p>
        </w:tc>
        <w:tc>
          <w:tcPr>
            <w:tcW w:w="536" w:type="pct"/>
            <w:shd w:val="clear" w:color="auto" w:fill="auto"/>
            <w:vAlign w:val="bottom"/>
          </w:tcPr>
          <w:p w14:paraId="7D2D30DD" w14:textId="77777777" w:rsidR="00643D10" w:rsidRPr="00D9348B" w:rsidRDefault="00643D10" w:rsidP="00DB330E">
            <w:pPr>
              <w:pStyle w:val="TableText"/>
              <w:spacing w:before="40" w:after="40"/>
              <w:jc w:val="right"/>
              <w:rPr>
                <w:rFonts w:cs="Arial"/>
                <w:color w:val="000000"/>
                <w:szCs w:val="16"/>
              </w:rPr>
            </w:pPr>
            <w:r w:rsidRPr="00D9348B">
              <w:rPr>
                <w:rFonts w:cs="Arial"/>
                <w:bCs/>
                <w:color w:val="000000"/>
                <w:szCs w:val="16"/>
              </w:rPr>
              <w:t>449.0</w:t>
            </w:r>
          </w:p>
        </w:tc>
        <w:tc>
          <w:tcPr>
            <w:tcW w:w="536" w:type="pct"/>
            <w:shd w:val="clear" w:color="auto" w:fill="auto"/>
            <w:vAlign w:val="bottom"/>
          </w:tcPr>
          <w:p w14:paraId="49B87BD4" w14:textId="77777777" w:rsidR="00643D10" w:rsidRPr="00D9348B" w:rsidRDefault="00643D10" w:rsidP="00DB330E">
            <w:pPr>
              <w:pStyle w:val="TableText"/>
              <w:spacing w:before="40" w:after="40"/>
              <w:jc w:val="right"/>
              <w:rPr>
                <w:rFonts w:cs="Arial"/>
                <w:color w:val="000000"/>
                <w:szCs w:val="16"/>
              </w:rPr>
            </w:pPr>
            <w:r w:rsidRPr="00D9348B">
              <w:rPr>
                <w:rFonts w:cs="Arial"/>
                <w:bCs/>
                <w:color w:val="000000"/>
                <w:szCs w:val="16"/>
              </w:rPr>
              <w:t>554.9</w:t>
            </w:r>
          </w:p>
        </w:tc>
        <w:tc>
          <w:tcPr>
            <w:tcW w:w="536" w:type="pct"/>
            <w:shd w:val="clear" w:color="auto" w:fill="auto"/>
            <w:vAlign w:val="bottom"/>
          </w:tcPr>
          <w:p w14:paraId="4573636F" w14:textId="77777777" w:rsidR="00643D10" w:rsidRPr="00D9348B" w:rsidRDefault="00643D10" w:rsidP="00DB330E">
            <w:pPr>
              <w:pStyle w:val="TableText"/>
              <w:spacing w:before="40" w:after="40"/>
              <w:jc w:val="right"/>
              <w:rPr>
                <w:rFonts w:cs="Arial"/>
                <w:color w:val="000000"/>
                <w:szCs w:val="16"/>
              </w:rPr>
            </w:pPr>
            <w:r w:rsidRPr="00D9348B">
              <w:rPr>
                <w:rFonts w:cs="Arial"/>
                <w:bCs/>
                <w:color w:val="000000"/>
                <w:szCs w:val="16"/>
              </w:rPr>
              <w:t>0.002</w:t>
            </w:r>
          </w:p>
        </w:tc>
        <w:tc>
          <w:tcPr>
            <w:tcW w:w="571" w:type="pct"/>
            <w:shd w:val="clear" w:color="auto" w:fill="auto"/>
            <w:vAlign w:val="bottom"/>
          </w:tcPr>
          <w:p w14:paraId="76BA76FB" w14:textId="77777777" w:rsidR="00643D10" w:rsidRPr="00D9348B" w:rsidRDefault="00643D10" w:rsidP="00DB330E">
            <w:pPr>
              <w:pStyle w:val="TableText"/>
              <w:spacing w:before="40" w:after="40"/>
              <w:jc w:val="right"/>
              <w:rPr>
                <w:rFonts w:cs="Arial"/>
                <w:color w:val="000000"/>
                <w:szCs w:val="16"/>
              </w:rPr>
            </w:pPr>
            <w:r w:rsidRPr="00D9348B">
              <w:rPr>
                <w:rFonts w:cs="Arial"/>
                <w:bCs/>
                <w:color w:val="000000"/>
                <w:szCs w:val="16"/>
              </w:rPr>
              <w:t>0.2</w:t>
            </w:r>
          </w:p>
        </w:tc>
        <w:tc>
          <w:tcPr>
            <w:tcW w:w="536" w:type="pct"/>
            <w:shd w:val="clear" w:color="auto" w:fill="auto"/>
            <w:vAlign w:val="bottom"/>
          </w:tcPr>
          <w:p w14:paraId="6A737D55" w14:textId="77777777" w:rsidR="00643D10" w:rsidRPr="00D9348B" w:rsidRDefault="00643D10" w:rsidP="00DB330E">
            <w:pPr>
              <w:pStyle w:val="TableText"/>
              <w:spacing w:before="40" w:after="40"/>
              <w:jc w:val="right"/>
              <w:rPr>
                <w:rFonts w:cs="Arial"/>
                <w:color w:val="000000"/>
                <w:szCs w:val="16"/>
              </w:rPr>
            </w:pPr>
            <w:r w:rsidRPr="00D9348B">
              <w:rPr>
                <w:rFonts w:cs="Arial"/>
                <w:bCs/>
                <w:color w:val="000000"/>
                <w:szCs w:val="16"/>
              </w:rPr>
              <w:t>94.6</w:t>
            </w:r>
          </w:p>
        </w:tc>
      </w:tr>
      <w:tr w:rsidR="00217967" w:rsidRPr="00D9348B" w14:paraId="4AFAB627" w14:textId="77777777" w:rsidTr="00217967">
        <w:tc>
          <w:tcPr>
            <w:tcW w:w="571" w:type="pct"/>
            <w:vAlign w:val="bottom"/>
          </w:tcPr>
          <w:p w14:paraId="5D9F25A1" w14:textId="77777777" w:rsidR="00643D10" w:rsidRPr="00D9348B" w:rsidRDefault="00643D10" w:rsidP="00DB330E">
            <w:pPr>
              <w:pStyle w:val="TableText"/>
              <w:spacing w:before="40" w:after="40"/>
              <w:rPr>
                <w:rFonts w:cs="Arial"/>
                <w:color w:val="000000"/>
                <w:szCs w:val="16"/>
              </w:rPr>
            </w:pPr>
            <w:r w:rsidRPr="00D9348B">
              <w:rPr>
                <w:rFonts w:cs="Arial"/>
                <w:bCs/>
                <w:color w:val="000000"/>
                <w:szCs w:val="16"/>
              </w:rPr>
              <w:t>1.A.2.g.iii</w:t>
            </w:r>
          </w:p>
        </w:tc>
        <w:tc>
          <w:tcPr>
            <w:tcW w:w="1393" w:type="pct"/>
            <w:shd w:val="clear" w:color="auto" w:fill="auto"/>
            <w:vAlign w:val="bottom"/>
          </w:tcPr>
          <w:p w14:paraId="3D738BB2" w14:textId="77777777" w:rsidR="00643D10" w:rsidRPr="00D9348B" w:rsidRDefault="00643D10" w:rsidP="00DB330E">
            <w:pPr>
              <w:pStyle w:val="TableText"/>
              <w:spacing w:before="40" w:after="40"/>
              <w:rPr>
                <w:rFonts w:cs="Arial"/>
                <w:color w:val="000000"/>
                <w:szCs w:val="16"/>
              </w:rPr>
            </w:pPr>
            <w:r w:rsidRPr="00D9348B">
              <w:rPr>
                <w:rFonts w:cs="Arial"/>
                <w:bCs/>
                <w:color w:val="000000"/>
                <w:szCs w:val="16"/>
              </w:rPr>
              <w:t>Other (please specify) – Mining (excluding fuels) and Quarrying Liquid Fuels</w:t>
            </w:r>
          </w:p>
        </w:tc>
        <w:tc>
          <w:tcPr>
            <w:tcW w:w="321" w:type="pct"/>
            <w:shd w:val="clear" w:color="auto" w:fill="auto"/>
            <w:vAlign w:val="bottom"/>
          </w:tcPr>
          <w:p w14:paraId="14C30F52" w14:textId="77777777" w:rsidR="00643D10" w:rsidRPr="00D9348B" w:rsidRDefault="00643D10" w:rsidP="00DB330E">
            <w:pPr>
              <w:pStyle w:val="TableText"/>
              <w:spacing w:before="40" w:after="40"/>
              <w:jc w:val="center"/>
              <w:rPr>
                <w:rFonts w:cs="Arial"/>
                <w:color w:val="000000"/>
                <w:szCs w:val="16"/>
              </w:rPr>
            </w:pPr>
            <w:r w:rsidRPr="00D9348B">
              <w:rPr>
                <w:rFonts w:cs="Arial"/>
                <w:color w:val="000000"/>
                <w:szCs w:val="16"/>
              </w:rPr>
              <w:t>CO</w:t>
            </w:r>
            <w:r w:rsidRPr="00D9348B">
              <w:rPr>
                <w:rFonts w:cs="Arial"/>
                <w:color w:val="000000"/>
                <w:szCs w:val="16"/>
                <w:vertAlign w:val="subscript"/>
              </w:rPr>
              <w:t>2</w:t>
            </w:r>
          </w:p>
        </w:tc>
        <w:tc>
          <w:tcPr>
            <w:tcW w:w="536" w:type="pct"/>
            <w:shd w:val="clear" w:color="auto" w:fill="auto"/>
            <w:vAlign w:val="bottom"/>
          </w:tcPr>
          <w:p w14:paraId="1A2F8699" w14:textId="77777777" w:rsidR="00643D10" w:rsidRPr="00D9348B" w:rsidRDefault="00643D10" w:rsidP="00DB330E">
            <w:pPr>
              <w:pStyle w:val="TableText"/>
              <w:spacing w:before="40" w:after="40"/>
              <w:jc w:val="right"/>
              <w:rPr>
                <w:rFonts w:cs="Arial"/>
                <w:color w:val="000000"/>
                <w:szCs w:val="16"/>
              </w:rPr>
            </w:pPr>
            <w:r w:rsidRPr="00D9348B">
              <w:rPr>
                <w:rFonts w:cs="Arial"/>
                <w:bCs/>
                <w:color w:val="000000"/>
                <w:szCs w:val="16"/>
              </w:rPr>
              <w:t>331.5</w:t>
            </w:r>
          </w:p>
        </w:tc>
        <w:tc>
          <w:tcPr>
            <w:tcW w:w="536" w:type="pct"/>
            <w:shd w:val="clear" w:color="auto" w:fill="auto"/>
            <w:vAlign w:val="bottom"/>
          </w:tcPr>
          <w:p w14:paraId="2C4B4BD6" w14:textId="77777777" w:rsidR="00643D10" w:rsidRPr="00D9348B" w:rsidRDefault="00643D10" w:rsidP="00DB330E">
            <w:pPr>
              <w:pStyle w:val="TableText"/>
              <w:spacing w:before="40" w:after="40"/>
              <w:jc w:val="right"/>
              <w:rPr>
                <w:rFonts w:cs="Arial"/>
                <w:color w:val="000000"/>
                <w:szCs w:val="16"/>
              </w:rPr>
            </w:pPr>
            <w:r w:rsidRPr="00D9348B">
              <w:rPr>
                <w:rFonts w:cs="Arial"/>
                <w:bCs/>
                <w:color w:val="000000"/>
                <w:szCs w:val="16"/>
              </w:rPr>
              <w:t>664.3</w:t>
            </w:r>
          </w:p>
        </w:tc>
        <w:tc>
          <w:tcPr>
            <w:tcW w:w="536" w:type="pct"/>
            <w:shd w:val="clear" w:color="auto" w:fill="auto"/>
            <w:vAlign w:val="bottom"/>
          </w:tcPr>
          <w:p w14:paraId="5FA929AE" w14:textId="77777777" w:rsidR="00643D10" w:rsidRPr="00D9348B" w:rsidRDefault="00643D10" w:rsidP="00DB330E">
            <w:pPr>
              <w:pStyle w:val="TableText"/>
              <w:spacing w:before="40" w:after="40"/>
              <w:jc w:val="right"/>
              <w:rPr>
                <w:rFonts w:cs="Arial"/>
                <w:color w:val="000000"/>
                <w:szCs w:val="16"/>
              </w:rPr>
            </w:pPr>
            <w:r w:rsidRPr="00D9348B">
              <w:rPr>
                <w:rFonts w:cs="Arial"/>
                <w:bCs/>
                <w:color w:val="000000"/>
                <w:szCs w:val="16"/>
              </w:rPr>
              <w:t>0.002</w:t>
            </w:r>
          </w:p>
        </w:tc>
        <w:tc>
          <w:tcPr>
            <w:tcW w:w="571" w:type="pct"/>
            <w:shd w:val="clear" w:color="auto" w:fill="auto"/>
            <w:vAlign w:val="bottom"/>
          </w:tcPr>
          <w:p w14:paraId="77B0E959" w14:textId="77777777" w:rsidR="00643D10" w:rsidRPr="00D9348B" w:rsidRDefault="00643D10" w:rsidP="00DB330E">
            <w:pPr>
              <w:pStyle w:val="TableText"/>
              <w:spacing w:before="40" w:after="40"/>
              <w:jc w:val="right"/>
              <w:rPr>
                <w:rFonts w:cs="Arial"/>
                <w:color w:val="000000"/>
                <w:szCs w:val="16"/>
              </w:rPr>
            </w:pPr>
            <w:r w:rsidRPr="00D9348B">
              <w:rPr>
                <w:rFonts w:cs="Arial"/>
                <w:bCs/>
                <w:color w:val="000000"/>
                <w:szCs w:val="16"/>
              </w:rPr>
              <w:t>0.2</w:t>
            </w:r>
          </w:p>
        </w:tc>
        <w:tc>
          <w:tcPr>
            <w:tcW w:w="536" w:type="pct"/>
            <w:shd w:val="clear" w:color="auto" w:fill="auto"/>
            <w:vAlign w:val="bottom"/>
          </w:tcPr>
          <w:p w14:paraId="58F5062C" w14:textId="77777777" w:rsidR="00643D10" w:rsidRPr="00D9348B" w:rsidRDefault="00643D10" w:rsidP="00DB330E">
            <w:pPr>
              <w:pStyle w:val="TableText"/>
              <w:spacing w:before="40" w:after="40"/>
              <w:jc w:val="right"/>
              <w:rPr>
                <w:rFonts w:cs="Arial"/>
                <w:color w:val="000000"/>
                <w:szCs w:val="16"/>
              </w:rPr>
            </w:pPr>
            <w:r w:rsidRPr="00D9348B">
              <w:rPr>
                <w:rFonts w:cs="Arial"/>
                <w:bCs/>
                <w:color w:val="000000"/>
                <w:szCs w:val="16"/>
              </w:rPr>
              <w:t>94.8</w:t>
            </w:r>
          </w:p>
        </w:tc>
      </w:tr>
      <w:tr w:rsidR="00217967" w:rsidRPr="00D9348B" w14:paraId="1F5D3244" w14:textId="77777777" w:rsidTr="00217967">
        <w:tc>
          <w:tcPr>
            <w:tcW w:w="571" w:type="pct"/>
            <w:vAlign w:val="bottom"/>
          </w:tcPr>
          <w:p w14:paraId="0F2ACCCA" w14:textId="77777777" w:rsidR="00643D10" w:rsidRPr="00D9348B" w:rsidRDefault="00643D10" w:rsidP="00DB330E">
            <w:pPr>
              <w:pStyle w:val="TableText"/>
              <w:spacing w:before="40" w:after="40"/>
              <w:rPr>
                <w:rFonts w:cs="Arial"/>
                <w:color w:val="000000"/>
                <w:szCs w:val="16"/>
              </w:rPr>
            </w:pPr>
            <w:r w:rsidRPr="00D9348B">
              <w:rPr>
                <w:rFonts w:cs="Arial"/>
                <w:bCs/>
                <w:color w:val="000000"/>
                <w:szCs w:val="16"/>
              </w:rPr>
              <w:t>4.A.2</w:t>
            </w:r>
          </w:p>
        </w:tc>
        <w:tc>
          <w:tcPr>
            <w:tcW w:w="1393" w:type="pct"/>
            <w:shd w:val="clear" w:color="auto" w:fill="auto"/>
            <w:vAlign w:val="bottom"/>
          </w:tcPr>
          <w:p w14:paraId="77FF13F5" w14:textId="77777777" w:rsidR="00643D10" w:rsidRPr="00D9348B" w:rsidRDefault="00643D10" w:rsidP="00DB330E">
            <w:pPr>
              <w:pStyle w:val="TableText"/>
              <w:spacing w:before="40" w:after="40"/>
              <w:rPr>
                <w:rFonts w:cs="Arial"/>
                <w:color w:val="000000"/>
                <w:szCs w:val="16"/>
              </w:rPr>
            </w:pPr>
            <w:r w:rsidRPr="00D9348B">
              <w:rPr>
                <w:rFonts w:cs="Arial"/>
                <w:bCs/>
                <w:color w:val="000000"/>
                <w:szCs w:val="16"/>
              </w:rPr>
              <w:t>Forest Land – Land Converted to Forest Land</w:t>
            </w:r>
          </w:p>
        </w:tc>
        <w:tc>
          <w:tcPr>
            <w:tcW w:w="321" w:type="pct"/>
            <w:shd w:val="clear" w:color="auto" w:fill="auto"/>
            <w:vAlign w:val="bottom"/>
          </w:tcPr>
          <w:p w14:paraId="0FAD8F26" w14:textId="77777777" w:rsidR="00643D10" w:rsidRPr="00D9348B" w:rsidRDefault="00643D10" w:rsidP="00DB330E">
            <w:pPr>
              <w:pStyle w:val="TableText"/>
              <w:spacing w:before="40" w:after="40"/>
              <w:jc w:val="center"/>
              <w:rPr>
                <w:rFonts w:cs="Arial"/>
                <w:color w:val="000000"/>
                <w:szCs w:val="16"/>
              </w:rPr>
            </w:pPr>
            <w:r w:rsidRPr="00D9348B">
              <w:rPr>
                <w:rFonts w:cs="Arial"/>
                <w:color w:val="000000"/>
                <w:szCs w:val="16"/>
              </w:rPr>
              <w:t>N</w:t>
            </w:r>
            <w:r w:rsidRPr="00D9348B">
              <w:rPr>
                <w:rFonts w:cs="Arial"/>
                <w:color w:val="000000"/>
                <w:szCs w:val="16"/>
                <w:vertAlign w:val="subscript"/>
              </w:rPr>
              <w:t>2</w:t>
            </w:r>
            <w:r w:rsidRPr="00D9348B">
              <w:rPr>
                <w:rFonts w:cs="Arial"/>
                <w:color w:val="000000"/>
                <w:szCs w:val="16"/>
              </w:rPr>
              <w:t>O</w:t>
            </w:r>
          </w:p>
        </w:tc>
        <w:tc>
          <w:tcPr>
            <w:tcW w:w="536" w:type="pct"/>
            <w:shd w:val="clear" w:color="auto" w:fill="auto"/>
            <w:vAlign w:val="bottom"/>
          </w:tcPr>
          <w:p w14:paraId="10596313" w14:textId="77777777" w:rsidR="00643D10" w:rsidRPr="00D9348B" w:rsidRDefault="00643D10" w:rsidP="00DB330E">
            <w:pPr>
              <w:pStyle w:val="TableText"/>
              <w:spacing w:before="40" w:after="40"/>
              <w:jc w:val="right"/>
              <w:rPr>
                <w:rFonts w:cs="Arial"/>
                <w:color w:val="000000"/>
                <w:szCs w:val="16"/>
              </w:rPr>
            </w:pPr>
            <w:r w:rsidRPr="00D9348B">
              <w:rPr>
                <w:rFonts w:cs="Arial"/>
                <w:bCs/>
                <w:color w:val="000000"/>
                <w:szCs w:val="16"/>
              </w:rPr>
              <w:t>124.6</w:t>
            </w:r>
          </w:p>
        </w:tc>
        <w:tc>
          <w:tcPr>
            <w:tcW w:w="536" w:type="pct"/>
            <w:shd w:val="clear" w:color="auto" w:fill="auto"/>
            <w:vAlign w:val="bottom"/>
          </w:tcPr>
          <w:p w14:paraId="503A8134" w14:textId="77777777" w:rsidR="00643D10" w:rsidRPr="00D9348B" w:rsidRDefault="00643D10" w:rsidP="00DB330E">
            <w:pPr>
              <w:pStyle w:val="TableText"/>
              <w:spacing w:before="40" w:after="40"/>
              <w:jc w:val="right"/>
              <w:rPr>
                <w:rFonts w:cs="Arial"/>
                <w:color w:val="000000"/>
                <w:szCs w:val="16"/>
              </w:rPr>
            </w:pPr>
            <w:r w:rsidRPr="00D9348B">
              <w:rPr>
                <w:rFonts w:cs="Arial"/>
                <w:bCs/>
                <w:color w:val="000000"/>
                <w:szCs w:val="16"/>
              </w:rPr>
              <w:t>53.1</w:t>
            </w:r>
          </w:p>
        </w:tc>
        <w:tc>
          <w:tcPr>
            <w:tcW w:w="536" w:type="pct"/>
            <w:shd w:val="clear" w:color="auto" w:fill="auto"/>
            <w:vAlign w:val="bottom"/>
          </w:tcPr>
          <w:p w14:paraId="6F7B95A8" w14:textId="77777777" w:rsidR="00643D10" w:rsidRPr="00D9348B" w:rsidRDefault="00643D10" w:rsidP="00DB330E">
            <w:pPr>
              <w:pStyle w:val="TableText"/>
              <w:spacing w:before="40" w:after="40"/>
              <w:jc w:val="right"/>
              <w:rPr>
                <w:rFonts w:cs="Arial"/>
                <w:color w:val="000000"/>
                <w:szCs w:val="16"/>
              </w:rPr>
            </w:pPr>
            <w:r w:rsidRPr="00D9348B">
              <w:rPr>
                <w:rFonts w:cs="Arial"/>
                <w:bCs/>
                <w:color w:val="000000"/>
                <w:szCs w:val="16"/>
              </w:rPr>
              <w:t>0.002</w:t>
            </w:r>
          </w:p>
        </w:tc>
        <w:tc>
          <w:tcPr>
            <w:tcW w:w="571" w:type="pct"/>
            <w:shd w:val="clear" w:color="auto" w:fill="auto"/>
            <w:vAlign w:val="bottom"/>
          </w:tcPr>
          <w:p w14:paraId="73295234" w14:textId="77777777" w:rsidR="00643D10" w:rsidRPr="00D9348B" w:rsidRDefault="00643D10" w:rsidP="00DB330E">
            <w:pPr>
              <w:pStyle w:val="TableText"/>
              <w:spacing w:before="40" w:after="40"/>
              <w:jc w:val="right"/>
              <w:rPr>
                <w:rFonts w:cs="Arial"/>
                <w:color w:val="000000"/>
                <w:szCs w:val="16"/>
              </w:rPr>
            </w:pPr>
            <w:r w:rsidRPr="00D9348B">
              <w:rPr>
                <w:rFonts w:cs="Arial"/>
                <w:bCs/>
                <w:color w:val="000000"/>
                <w:szCs w:val="16"/>
              </w:rPr>
              <w:t>0.2</w:t>
            </w:r>
          </w:p>
        </w:tc>
        <w:tc>
          <w:tcPr>
            <w:tcW w:w="536" w:type="pct"/>
            <w:shd w:val="clear" w:color="auto" w:fill="auto"/>
            <w:vAlign w:val="bottom"/>
          </w:tcPr>
          <w:p w14:paraId="13437E9E" w14:textId="77777777" w:rsidR="00643D10" w:rsidRPr="00D9348B" w:rsidRDefault="00643D10" w:rsidP="00DB330E">
            <w:pPr>
              <w:pStyle w:val="TableText"/>
              <w:spacing w:before="40" w:after="40"/>
              <w:jc w:val="right"/>
              <w:rPr>
                <w:rFonts w:cs="Arial"/>
                <w:color w:val="000000"/>
                <w:szCs w:val="16"/>
              </w:rPr>
            </w:pPr>
            <w:r w:rsidRPr="00D9348B">
              <w:rPr>
                <w:rFonts w:cs="Arial"/>
                <w:bCs/>
                <w:color w:val="000000"/>
                <w:szCs w:val="16"/>
              </w:rPr>
              <w:t>95.0</w:t>
            </w:r>
          </w:p>
        </w:tc>
      </w:tr>
    </w:tbl>
    <w:p w14:paraId="555E1D63" w14:textId="77777777" w:rsidR="00643D10" w:rsidRPr="00D9348B" w:rsidRDefault="00643D10" w:rsidP="00643D10">
      <w:pPr>
        <w:pStyle w:val="BodyText"/>
      </w:pPr>
    </w:p>
    <w:tbl>
      <w:tblPr>
        <w:tblW w:w="8562" w:type="dxa"/>
        <w:tblInd w:w="108" w:type="dxa"/>
        <w:tblBorders>
          <w:top w:val="single" w:sz="4" w:space="0" w:color="365F91"/>
          <w:bottom w:val="single" w:sz="8" w:space="0" w:color="365F91"/>
          <w:insideH w:val="single" w:sz="4" w:space="0" w:color="365F91"/>
        </w:tblBorders>
        <w:tblLayout w:type="fixed"/>
        <w:tblCellMar>
          <w:left w:w="57" w:type="dxa"/>
          <w:right w:w="57" w:type="dxa"/>
        </w:tblCellMar>
        <w:tblLook w:val="04A0" w:firstRow="1" w:lastRow="0" w:firstColumn="1" w:lastColumn="0" w:noHBand="0" w:noVBand="1"/>
      </w:tblPr>
      <w:tblGrid>
        <w:gridCol w:w="1004"/>
        <w:gridCol w:w="2538"/>
        <w:gridCol w:w="591"/>
        <w:gridCol w:w="885"/>
        <w:gridCol w:w="885"/>
        <w:gridCol w:w="885"/>
        <w:gridCol w:w="885"/>
        <w:gridCol w:w="889"/>
      </w:tblGrid>
      <w:tr w:rsidR="00643D10" w:rsidRPr="00D9348B" w14:paraId="394D9CCC" w14:textId="77777777" w:rsidTr="00DB330E">
        <w:trPr>
          <w:tblHeader/>
        </w:trPr>
        <w:tc>
          <w:tcPr>
            <w:tcW w:w="5000" w:type="pct"/>
            <w:gridSpan w:val="8"/>
            <w:tcBorders>
              <w:top w:val="single" w:sz="4" w:space="0" w:color="365F91"/>
              <w:bottom w:val="single" w:sz="4" w:space="0" w:color="365F91"/>
            </w:tcBorders>
            <w:shd w:val="solid" w:color="365F91" w:fill="auto"/>
          </w:tcPr>
          <w:p w14:paraId="169A5222" w14:textId="77777777" w:rsidR="00643D10" w:rsidRPr="00D9348B" w:rsidRDefault="00643D10" w:rsidP="00DB330E">
            <w:pPr>
              <w:pStyle w:val="TableTextBold"/>
              <w:keepNext/>
              <w:rPr>
                <w:noProof w:val="0"/>
                <w:color w:val="FFFFFF"/>
              </w:rPr>
            </w:pPr>
            <w:r w:rsidRPr="00D9348B">
              <w:rPr>
                <w:noProof w:val="0"/>
                <w:color w:val="FFFFFF"/>
              </w:rPr>
              <w:t xml:space="preserve">(b) IPCC Tier 1 category trend assessment – excluding LULUCF (gross emissions) </w:t>
            </w:r>
          </w:p>
        </w:tc>
      </w:tr>
      <w:tr w:rsidR="00673052" w:rsidRPr="00D9348B" w14:paraId="3A1525B7" w14:textId="77777777" w:rsidTr="002851BB">
        <w:trPr>
          <w:tblHeader/>
        </w:trPr>
        <w:tc>
          <w:tcPr>
            <w:tcW w:w="586" w:type="pct"/>
            <w:tcBorders>
              <w:bottom w:val="single" w:sz="4" w:space="0" w:color="365F91"/>
            </w:tcBorders>
            <w:shd w:val="clear" w:color="2E74B5" w:fill="auto"/>
            <w:vAlign w:val="bottom"/>
          </w:tcPr>
          <w:p w14:paraId="71850BA8" w14:textId="77777777" w:rsidR="00643D10" w:rsidRPr="00D9348B" w:rsidRDefault="00643D10" w:rsidP="00DB330E">
            <w:pPr>
              <w:pStyle w:val="TableTextBold"/>
              <w:keepNext/>
              <w:rPr>
                <w:rFonts w:cs="Arial"/>
                <w:noProof w:val="0"/>
                <w:szCs w:val="16"/>
              </w:rPr>
            </w:pPr>
            <w:r w:rsidRPr="00D9348B">
              <w:rPr>
                <w:rFonts w:cs="Arial"/>
                <w:bCs/>
                <w:noProof w:val="0"/>
                <w:color w:val="000000"/>
                <w:szCs w:val="16"/>
              </w:rPr>
              <w:t>CRF category code</w:t>
            </w:r>
          </w:p>
        </w:tc>
        <w:tc>
          <w:tcPr>
            <w:tcW w:w="1482" w:type="pct"/>
            <w:tcBorders>
              <w:bottom w:val="single" w:sz="4" w:space="0" w:color="365F91"/>
            </w:tcBorders>
            <w:shd w:val="clear" w:color="2E74B5" w:fill="auto"/>
            <w:noWrap/>
            <w:vAlign w:val="bottom"/>
            <w:hideMark/>
          </w:tcPr>
          <w:p w14:paraId="181D2C29" w14:textId="77777777" w:rsidR="00643D10" w:rsidRPr="00D9348B" w:rsidRDefault="00643D10" w:rsidP="00DB330E">
            <w:pPr>
              <w:pStyle w:val="TableTextBold"/>
              <w:rPr>
                <w:rFonts w:cs="Arial"/>
                <w:noProof w:val="0"/>
                <w:szCs w:val="16"/>
              </w:rPr>
            </w:pPr>
            <w:r w:rsidRPr="00D9348B">
              <w:rPr>
                <w:rFonts w:cs="Arial"/>
                <w:bCs/>
                <w:noProof w:val="0"/>
                <w:color w:val="000000"/>
                <w:szCs w:val="16"/>
              </w:rPr>
              <w:t>IPCC category</w:t>
            </w:r>
          </w:p>
        </w:tc>
        <w:tc>
          <w:tcPr>
            <w:tcW w:w="345" w:type="pct"/>
            <w:tcBorders>
              <w:bottom w:val="single" w:sz="4" w:space="0" w:color="365F91"/>
            </w:tcBorders>
            <w:shd w:val="clear" w:color="2E74B5" w:fill="auto"/>
            <w:noWrap/>
            <w:vAlign w:val="bottom"/>
            <w:hideMark/>
          </w:tcPr>
          <w:p w14:paraId="3233EBC0" w14:textId="77777777" w:rsidR="00643D10" w:rsidRPr="00D9348B" w:rsidRDefault="00643D10" w:rsidP="00DB330E">
            <w:pPr>
              <w:pStyle w:val="TableTextBold"/>
              <w:jc w:val="center"/>
              <w:rPr>
                <w:rFonts w:cs="Arial"/>
                <w:noProof w:val="0"/>
                <w:szCs w:val="16"/>
              </w:rPr>
            </w:pPr>
            <w:r w:rsidRPr="00D9348B">
              <w:rPr>
                <w:rFonts w:cs="Arial"/>
                <w:bCs/>
                <w:noProof w:val="0"/>
                <w:color w:val="000000"/>
                <w:szCs w:val="16"/>
              </w:rPr>
              <w:t>Gas</w:t>
            </w:r>
          </w:p>
        </w:tc>
        <w:tc>
          <w:tcPr>
            <w:tcW w:w="517" w:type="pct"/>
            <w:tcBorders>
              <w:bottom w:val="single" w:sz="4" w:space="0" w:color="365F91"/>
            </w:tcBorders>
            <w:shd w:val="clear" w:color="2E74B5" w:fill="auto"/>
            <w:noWrap/>
            <w:vAlign w:val="bottom"/>
            <w:hideMark/>
          </w:tcPr>
          <w:p w14:paraId="0CE7E9D6" w14:textId="77777777" w:rsidR="00643D10" w:rsidRPr="00D9348B" w:rsidRDefault="00643D10" w:rsidP="00DB330E">
            <w:pPr>
              <w:pStyle w:val="TableTextBold"/>
              <w:jc w:val="right"/>
              <w:rPr>
                <w:rFonts w:cs="Arial"/>
                <w:noProof w:val="0"/>
                <w:szCs w:val="16"/>
              </w:rPr>
            </w:pPr>
            <w:r w:rsidRPr="00D9348B">
              <w:rPr>
                <w:rFonts w:cs="Arial"/>
                <w:bCs/>
                <w:noProof w:val="0"/>
                <w:color w:val="000000"/>
                <w:szCs w:val="16"/>
              </w:rPr>
              <w:t>1990 estimate</w:t>
            </w:r>
            <w:r w:rsidRPr="00D9348B">
              <w:rPr>
                <w:rFonts w:cs="Arial"/>
                <w:bCs/>
                <w:noProof w:val="0"/>
                <w:color w:val="000000"/>
                <w:szCs w:val="16"/>
              </w:rPr>
              <w:br/>
              <w:t>(kt CO</w:t>
            </w:r>
            <w:r w:rsidRPr="00D9348B">
              <w:rPr>
                <w:rFonts w:cs="Arial"/>
                <w:bCs/>
                <w:noProof w:val="0"/>
                <w:color w:val="000000"/>
                <w:szCs w:val="16"/>
                <w:vertAlign w:val="subscript"/>
              </w:rPr>
              <w:t>2</w:t>
            </w:r>
            <w:r w:rsidRPr="00D9348B">
              <w:rPr>
                <w:rFonts w:cs="Arial"/>
                <w:bCs/>
                <w:noProof w:val="0"/>
                <w:color w:val="000000"/>
                <w:szCs w:val="16"/>
              </w:rPr>
              <w:t>-e)</w:t>
            </w:r>
          </w:p>
        </w:tc>
        <w:tc>
          <w:tcPr>
            <w:tcW w:w="517" w:type="pct"/>
            <w:tcBorders>
              <w:bottom w:val="single" w:sz="4" w:space="0" w:color="365F91"/>
            </w:tcBorders>
            <w:shd w:val="clear" w:color="2E74B5" w:fill="auto"/>
            <w:noWrap/>
            <w:vAlign w:val="bottom"/>
            <w:hideMark/>
          </w:tcPr>
          <w:p w14:paraId="38027C5A" w14:textId="77777777" w:rsidR="00643D10" w:rsidRPr="00D9348B" w:rsidRDefault="00643D10" w:rsidP="00DB330E">
            <w:pPr>
              <w:pStyle w:val="TableTextBold"/>
              <w:jc w:val="right"/>
              <w:rPr>
                <w:rFonts w:cs="Arial"/>
                <w:noProof w:val="0"/>
                <w:szCs w:val="16"/>
              </w:rPr>
            </w:pPr>
            <w:r w:rsidRPr="00D9348B">
              <w:rPr>
                <w:rFonts w:cs="Arial"/>
                <w:bCs/>
                <w:noProof w:val="0"/>
                <w:color w:val="000000"/>
                <w:szCs w:val="16"/>
              </w:rPr>
              <w:t>2018 estimate</w:t>
            </w:r>
            <w:r w:rsidRPr="00D9348B">
              <w:rPr>
                <w:rFonts w:cs="Arial"/>
                <w:bCs/>
                <w:noProof w:val="0"/>
                <w:color w:val="000000"/>
                <w:szCs w:val="16"/>
              </w:rPr>
              <w:br/>
              <w:t>(kt CO</w:t>
            </w:r>
            <w:r w:rsidRPr="00D9348B">
              <w:rPr>
                <w:rFonts w:cs="Arial"/>
                <w:bCs/>
                <w:noProof w:val="0"/>
                <w:color w:val="000000"/>
                <w:szCs w:val="16"/>
                <w:vertAlign w:val="subscript"/>
              </w:rPr>
              <w:t>2</w:t>
            </w:r>
            <w:r w:rsidRPr="00D9348B">
              <w:rPr>
                <w:rFonts w:cs="Arial"/>
                <w:bCs/>
                <w:noProof w:val="0"/>
                <w:color w:val="000000"/>
                <w:szCs w:val="16"/>
              </w:rPr>
              <w:t>-e)</w:t>
            </w:r>
          </w:p>
        </w:tc>
        <w:tc>
          <w:tcPr>
            <w:tcW w:w="517" w:type="pct"/>
            <w:tcBorders>
              <w:bottom w:val="single" w:sz="4" w:space="0" w:color="365F91"/>
            </w:tcBorders>
            <w:shd w:val="clear" w:color="2E74B5" w:fill="auto"/>
            <w:noWrap/>
            <w:vAlign w:val="bottom"/>
            <w:hideMark/>
          </w:tcPr>
          <w:p w14:paraId="526958B8" w14:textId="77777777" w:rsidR="00643D10" w:rsidRPr="00D9348B" w:rsidRDefault="00643D10" w:rsidP="00DB330E">
            <w:pPr>
              <w:pStyle w:val="TableTextBold"/>
              <w:jc w:val="right"/>
              <w:rPr>
                <w:rFonts w:cs="Arial"/>
                <w:noProof w:val="0"/>
                <w:szCs w:val="16"/>
              </w:rPr>
            </w:pPr>
            <w:r w:rsidRPr="00D9348B">
              <w:rPr>
                <w:rFonts w:cs="Arial"/>
                <w:bCs/>
                <w:noProof w:val="0"/>
                <w:color w:val="000000"/>
                <w:szCs w:val="16"/>
              </w:rPr>
              <w:t>Trend assessment</w:t>
            </w:r>
          </w:p>
        </w:tc>
        <w:tc>
          <w:tcPr>
            <w:tcW w:w="517" w:type="pct"/>
            <w:tcBorders>
              <w:bottom w:val="single" w:sz="4" w:space="0" w:color="365F91"/>
            </w:tcBorders>
            <w:shd w:val="clear" w:color="2E74B5" w:fill="auto"/>
            <w:noWrap/>
            <w:vAlign w:val="bottom"/>
            <w:hideMark/>
          </w:tcPr>
          <w:p w14:paraId="2E7D6462" w14:textId="77777777" w:rsidR="00643D10" w:rsidRPr="00D9348B" w:rsidRDefault="00643D10" w:rsidP="00DB330E">
            <w:pPr>
              <w:pStyle w:val="TableTextBold"/>
              <w:jc w:val="right"/>
              <w:rPr>
                <w:rFonts w:cs="Arial"/>
                <w:noProof w:val="0"/>
                <w:szCs w:val="16"/>
              </w:rPr>
            </w:pPr>
            <w:r w:rsidRPr="00D9348B">
              <w:rPr>
                <w:rFonts w:cs="Arial"/>
                <w:bCs/>
                <w:noProof w:val="0"/>
                <w:color w:val="000000"/>
                <w:szCs w:val="16"/>
              </w:rPr>
              <w:t>Absolute contribution to trend (%)</w:t>
            </w:r>
          </w:p>
        </w:tc>
        <w:tc>
          <w:tcPr>
            <w:tcW w:w="517" w:type="pct"/>
            <w:tcBorders>
              <w:bottom w:val="single" w:sz="4" w:space="0" w:color="365F91"/>
            </w:tcBorders>
            <w:shd w:val="clear" w:color="2E74B5" w:fill="auto"/>
            <w:noWrap/>
            <w:vAlign w:val="bottom"/>
            <w:hideMark/>
          </w:tcPr>
          <w:p w14:paraId="1B80DFC4" w14:textId="77777777" w:rsidR="00643D10" w:rsidRPr="00D9348B" w:rsidRDefault="00643D10" w:rsidP="00DB330E">
            <w:pPr>
              <w:pStyle w:val="TableTextBold"/>
              <w:jc w:val="right"/>
              <w:rPr>
                <w:rFonts w:cs="Arial"/>
                <w:noProof w:val="0"/>
                <w:szCs w:val="16"/>
              </w:rPr>
            </w:pPr>
            <w:r w:rsidRPr="00D9348B">
              <w:rPr>
                <w:rFonts w:cs="Arial"/>
                <w:bCs/>
                <w:noProof w:val="0"/>
                <w:color w:val="000000"/>
                <w:szCs w:val="16"/>
              </w:rPr>
              <w:t>Absolute cumulative total (%)</w:t>
            </w:r>
          </w:p>
        </w:tc>
      </w:tr>
      <w:tr w:rsidR="0011242D" w:rsidRPr="00D9348B" w14:paraId="7800285F" w14:textId="77777777" w:rsidTr="002851BB">
        <w:tc>
          <w:tcPr>
            <w:tcW w:w="586" w:type="pct"/>
            <w:tcBorders>
              <w:bottom w:val="single" w:sz="4" w:space="0" w:color="365F91"/>
            </w:tcBorders>
            <w:vAlign w:val="bottom"/>
          </w:tcPr>
          <w:p w14:paraId="5854AA35" w14:textId="77777777" w:rsidR="00643D10" w:rsidRPr="00D9348B" w:rsidRDefault="00643D10" w:rsidP="00DB330E">
            <w:pPr>
              <w:pStyle w:val="TableText"/>
              <w:spacing w:before="40" w:after="40"/>
              <w:rPr>
                <w:rFonts w:cs="Arial"/>
                <w:szCs w:val="16"/>
              </w:rPr>
            </w:pPr>
            <w:r w:rsidRPr="00D9348B">
              <w:rPr>
                <w:rFonts w:cs="Arial"/>
                <w:bCs/>
                <w:color w:val="000000"/>
                <w:szCs w:val="16"/>
              </w:rPr>
              <w:t>3.A.2</w:t>
            </w:r>
          </w:p>
        </w:tc>
        <w:tc>
          <w:tcPr>
            <w:tcW w:w="1482" w:type="pct"/>
            <w:tcBorders>
              <w:bottom w:val="single" w:sz="4" w:space="0" w:color="365F91"/>
            </w:tcBorders>
            <w:shd w:val="clear" w:color="auto" w:fill="auto"/>
            <w:noWrap/>
            <w:vAlign w:val="bottom"/>
          </w:tcPr>
          <w:p w14:paraId="43128D18" w14:textId="77777777" w:rsidR="00643D10" w:rsidRPr="00D9348B" w:rsidRDefault="00643D10" w:rsidP="00DB330E">
            <w:pPr>
              <w:pStyle w:val="TableText"/>
              <w:spacing w:before="40" w:after="40"/>
              <w:rPr>
                <w:rFonts w:cs="Arial"/>
                <w:szCs w:val="16"/>
              </w:rPr>
            </w:pPr>
            <w:r w:rsidRPr="00D9348B">
              <w:rPr>
                <w:rFonts w:cs="Arial"/>
                <w:bCs/>
                <w:color w:val="000000"/>
                <w:szCs w:val="16"/>
              </w:rPr>
              <w:t>Other (please specify) – Sheep</w:t>
            </w:r>
          </w:p>
        </w:tc>
        <w:tc>
          <w:tcPr>
            <w:tcW w:w="345" w:type="pct"/>
            <w:tcBorders>
              <w:bottom w:val="single" w:sz="4" w:space="0" w:color="365F91"/>
            </w:tcBorders>
            <w:shd w:val="clear" w:color="auto" w:fill="auto"/>
            <w:noWrap/>
            <w:vAlign w:val="bottom"/>
          </w:tcPr>
          <w:p w14:paraId="39BBA364"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CH</w:t>
            </w:r>
            <w:r w:rsidRPr="00D9348B">
              <w:rPr>
                <w:rFonts w:cs="Arial"/>
                <w:color w:val="000000"/>
                <w:szCs w:val="16"/>
                <w:vertAlign w:val="subscript"/>
              </w:rPr>
              <w:t>4</w:t>
            </w:r>
          </w:p>
        </w:tc>
        <w:tc>
          <w:tcPr>
            <w:tcW w:w="517" w:type="pct"/>
            <w:tcBorders>
              <w:bottom w:val="single" w:sz="4" w:space="0" w:color="365F91"/>
            </w:tcBorders>
            <w:shd w:val="clear" w:color="auto" w:fill="auto"/>
            <w:noWrap/>
            <w:vAlign w:val="bottom"/>
          </w:tcPr>
          <w:p w14:paraId="6E780CB7"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14,172.1</w:t>
            </w:r>
          </w:p>
        </w:tc>
        <w:tc>
          <w:tcPr>
            <w:tcW w:w="517" w:type="pct"/>
            <w:tcBorders>
              <w:bottom w:val="single" w:sz="4" w:space="0" w:color="365F91"/>
            </w:tcBorders>
            <w:shd w:val="clear" w:color="auto" w:fill="auto"/>
            <w:noWrap/>
            <w:vAlign w:val="bottom"/>
          </w:tcPr>
          <w:p w14:paraId="0E8CBD12"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8,390.1</w:t>
            </w:r>
          </w:p>
        </w:tc>
        <w:tc>
          <w:tcPr>
            <w:tcW w:w="517" w:type="pct"/>
            <w:tcBorders>
              <w:bottom w:val="single" w:sz="4" w:space="0" w:color="365F91"/>
            </w:tcBorders>
            <w:shd w:val="clear" w:color="auto" w:fill="auto"/>
            <w:noWrap/>
            <w:vAlign w:val="bottom"/>
          </w:tcPr>
          <w:p w14:paraId="483E274B"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0.094</w:t>
            </w:r>
          </w:p>
        </w:tc>
        <w:tc>
          <w:tcPr>
            <w:tcW w:w="517" w:type="pct"/>
            <w:tcBorders>
              <w:bottom w:val="single" w:sz="4" w:space="0" w:color="365F91"/>
            </w:tcBorders>
            <w:shd w:val="clear" w:color="auto" w:fill="auto"/>
            <w:noWrap/>
            <w:vAlign w:val="bottom"/>
          </w:tcPr>
          <w:p w14:paraId="1376343A"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21.8</w:t>
            </w:r>
          </w:p>
        </w:tc>
        <w:tc>
          <w:tcPr>
            <w:tcW w:w="517" w:type="pct"/>
            <w:tcBorders>
              <w:bottom w:val="single" w:sz="4" w:space="0" w:color="365F91"/>
            </w:tcBorders>
            <w:shd w:val="clear" w:color="auto" w:fill="auto"/>
            <w:noWrap/>
            <w:vAlign w:val="bottom"/>
          </w:tcPr>
          <w:p w14:paraId="38BE4F97"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21.8</w:t>
            </w:r>
          </w:p>
        </w:tc>
      </w:tr>
      <w:tr w:rsidR="0011242D" w:rsidRPr="00D9348B" w14:paraId="57075F32" w14:textId="77777777" w:rsidTr="002851BB">
        <w:tc>
          <w:tcPr>
            <w:tcW w:w="586" w:type="pct"/>
            <w:tcBorders>
              <w:bottom w:val="single" w:sz="4" w:space="0" w:color="365F91"/>
            </w:tcBorders>
            <w:vAlign w:val="bottom"/>
          </w:tcPr>
          <w:p w14:paraId="3919C085" w14:textId="77777777" w:rsidR="00643D10" w:rsidRPr="00D9348B" w:rsidRDefault="00643D10" w:rsidP="00DB330E">
            <w:pPr>
              <w:pStyle w:val="TableText"/>
              <w:spacing w:before="40" w:after="40"/>
              <w:rPr>
                <w:rFonts w:cs="Arial"/>
                <w:szCs w:val="16"/>
              </w:rPr>
            </w:pPr>
            <w:r w:rsidRPr="00D9348B">
              <w:rPr>
                <w:rFonts w:cs="Arial"/>
                <w:bCs/>
                <w:color w:val="000000"/>
                <w:szCs w:val="16"/>
              </w:rPr>
              <w:t>3.A.1</w:t>
            </w:r>
          </w:p>
        </w:tc>
        <w:tc>
          <w:tcPr>
            <w:tcW w:w="1482" w:type="pct"/>
            <w:tcBorders>
              <w:bottom w:val="single" w:sz="4" w:space="0" w:color="365F91"/>
            </w:tcBorders>
            <w:shd w:val="clear" w:color="auto" w:fill="auto"/>
            <w:noWrap/>
            <w:vAlign w:val="bottom"/>
          </w:tcPr>
          <w:p w14:paraId="2BFB7979" w14:textId="77777777" w:rsidR="00643D10" w:rsidRPr="00D9348B" w:rsidRDefault="00643D10" w:rsidP="00DB330E">
            <w:pPr>
              <w:pStyle w:val="TableText"/>
              <w:spacing w:before="40" w:after="40"/>
              <w:rPr>
                <w:rFonts w:cs="Arial"/>
                <w:szCs w:val="16"/>
              </w:rPr>
            </w:pPr>
            <w:r w:rsidRPr="00D9348B">
              <w:rPr>
                <w:rFonts w:cs="Arial"/>
                <w:bCs/>
                <w:color w:val="000000"/>
                <w:szCs w:val="16"/>
              </w:rPr>
              <w:t>Option A – Dairy Cattle</w:t>
            </w:r>
          </w:p>
        </w:tc>
        <w:tc>
          <w:tcPr>
            <w:tcW w:w="345" w:type="pct"/>
            <w:tcBorders>
              <w:bottom w:val="single" w:sz="4" w:space="0" w:color="365F91"/>
            </w:tcBorders>
            <w:shd w:val="clear" w:color="auto" w:fill="auto"/>
            <w:noWrap/>
            <w:vAlign w:val="bottom"/>
          </w:tcPr>
          <w:p w14:paraId="696FD18C"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CH</w:t>
            </w:r>
            <w:r w:rsidRPr="00D9348B">
              <w:rPr>
                <w:rFonts w:cs="Arial"/>
                <w:color w:val="000000"/>
                <w:szCs w:val="16"/>
                <w:vertAlign w:val="subscript"/>
              </w:rPr>
              <w:t>4</w:t>
            </w:r>
          </w:p>
        </w:tc>
        <w:tc>
          <w:tcPr>
            <w:tcW w:w="517" w:type="pct"/>
            <w:tcBorders>
              <w:bottom w:val="single" w:sz="4" w:space="0" w:color="365F91"/>
            </w:tcBorders>
            <w:shd w:val="clear" w:color="auto" w:fill="auto"/>
            <w:noWrap/>
            <w:vAlign w:val="bottom"/>
          </w:tcPr>
          <w:p w14:paraId="01C6E9B7"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5,940.0</w:t>
            </w:r>
          </w:p>
        </w:tc>
        <w:tc>
          <w:tcPr>
            <w:tcW w:w="517" w:type="pct"/>
            <w:tcBorders>
              <w:bottom w:val="single" w:sz="4" w:space="0" w:color="365F91"/>
            </w:tcBorders>
            <w:shd w:val="clear" w:color="auto" w:fill="auto"/>
            <w:noWrap/>
            <w:vAlign w:val="bottom"/>
          </w:tcPr>
          <w:p w14:paraId="4700BCA4"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13,611.6</w:t>
            </w:r>
          </w:p>
        </w:tc>
        <w:tc>
          <w:tcPr>
            <w:tcW w:w="517" w:type="pct"/>
            <w:tcBorders>
              <w:bottom w:val="single" w:sz="4" w:space="0" w:color="365F91"/>
            </w:tcBorders>
            <w:shd w:val="clear" w:color="auto" w:fill="auto"/>
            <w:noWrap/>
            <w:vAlign w:val="bottom"/>
          </w:tcPr>
          <w:p w14:paraId="0251AB0A"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0.064</w:t>
            </w:r>
          </w:p>
        </w:tc>
        <w:tc>
          <w:tcPr>
            <w:tcW w:w="517" w:type="pct"/>
            <w:tcBorders>
              <w:bottom w:val="single" w:sz="4" w:space="0" w:color="365F91"/>
            </w:tcBorders>
            <w:shd w:val="clear" w:color="auto" w:fill="auto"/>
            <w:noWrap/>
            <w:vAlign w:val="bottom"/>
          </w:tcPr>
          <w:p w14:paraId="121B3F61"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14.8</w:t>
            </w:r>
          </w:p>
        </w:tc>
        <w:tc>
          <w:tcPr>
            <w:tcW w:w="517" w:type="pct"/>
            <w:tcBorders>
              <w:bottom w:val="single" w:sz="4" w:space="0" w:color="365F91"/>
            </w:tcBorders>
            <w:shd w:val="clear" w:color="auto" w:fill="auto"/>
            <w:noWrap/>
            <w:vAlign w:val="bottom"/>
          </w:tcPr>
          <w:p w14:paraId="3A5B2E2E"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36.6</w:t>
            </w:r>
          </w:p>
        </w:tc>
      </w:tr>
      <w:tr w:rsidR="0011242D" w:rsidRPr="00D9348B" w14:paraId="7F125207" w14:textId="77777777" w:rsidTr="002851BB">
        <w:tc>
          <w:tcPr>
            <w:tcW w:w="586" w:type="pct"/>
            <w:tcBorders>
              <w:bottom w:val="single" w:sz="4" w:space="0" w:color="365F91"/>
            </w:tcBorders>
            <w:vAlign w:val="bottom"/>
          </w:tcPr>
          <w:p w14:paraId="50DBDBC0" w14:textId="77777777" w:rsidR="00643D10" w:rsidRPr="00D9348B" w:rsidRDefault="00643D10" w:rsidP="00DB330E">
            <w:pPr>
              <w:pStyle w:val="TableText"/>
              <w:spacing w:before="40" w:after="40"/>
              <w:rPr>
                <w:rFonts w:cs="Arial"/>
                <w:szCs w:val="16"/>
              </w:rPr>
            </w:pPr>
            <w:r w:rsidRPr="00D9348B">
              <w:rPr>
                <w:rFonts w:cs="Arial"/>
                <w:bCs/>
                <w:color w:val="000000"/>
                <w:szCs w:val="16"/>
              </w:rPr>
              <w:t>1.A.3.b</w:t>
            </w:r>
          </w:p>
        </w:tc>
        <w:tc>
          <w:tcPr>
            <w:tcW w:w="1482" w:type="pct"/>
            <w:tcBorders>
              <w:bottom w:val="single" w:sz="4" w:space="0" w:color="365F91"/>
            </w:tcBorders>
            <w:shd w:val="clear" w:color="auto" w:fill="auto"/>
            <w:noWrap/>
            <w:vAlign w:val="bottom"/>
          </w:tcPr>
          <w:p w14:paraId="1D8A45BF" w14:textId="77777777" w:rsidR="00643D10" w:rsidRPr="00D9348B" w:rsidRDefault="00643D10" w:rsidP="00DB330E">
            <w:pPr>
              <w:pStyle w:val="TableText"/>
              <w:spacing w:before="40" w:after="40"/>
              <w:rPr>
                <w:rFonts w:cs="Arial"/>
                <w:szCs w:val="16"/>
              </w:rPr>
            </w:pPr>
            <w:r w:rsidRPr="00D9348B">
              <w:rPr>
                <w:rFonts w:cs="Arial"/>
                <w:bCs/>
                <w:color w:val="000000"/>
                <w:szCs w:val="16"/>
              </w:rPr>
              <w:t>Transport – Road Transportation Liquid Fuels</w:t>
            </w:r>
          </w:p>
        </w:tc>
        <w:tc>
          <w:tcPr>
            <w:tcW w:w="345" w:type="pct"/>
            <w:tcBorders>
              <w:bottom w:val="single" w:sz="4" w:space="0" w:color="365F91"/>
            </w:tcBorders>
            <w:shd w:val="clear" w:color="auto" w:fill="auto"/>
            <w:noWrap/>
            <w:tcMar>
              <w:left w:w="0" w:type="dxa"/>
              <w:right w:w="0" w:type="dxa"/>
            </w:tcMar>
            <w:vAlign w:val="bottom"/>
          </w:tcPr>
          <w:p w14:paraId="5CA26090"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17" w:type="pct"/>
            <w:tcBorders>
              <w:bottom w:val="single" w:sz="4" w:space="0" w:color="365F91"/>
            </w:tcBorders>
            <w:shd w:val="clear" w:color="auto" w:fill="auto"/>
            <w:noWrap/>
            <w:vAlign w:val="bottom"/>
          </w:tcPr>
          <w:p w14:paraId="5C5F6CA5"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7,164.6</w:t>
            </w:r>
          </w:p>
        </w:tc>
        <w:tc>
          <w:tcPr>
            <w:tcW w:w="517" w:type="pct"/>
            <w:tcBorders>
              <w:bottom w:val="single" w:sz="4" w:space="0" w:color="365F91"/>
            </w:tcBorders>
            <w:shd w:val="clear" w:color="auto" w:fill="auto"/>
            <w:noWrap/>
            <w:vAlign w:val="bottom"/>
          </w:tcPr>
          <w:p w14:paraId="53D7EB34"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14,956.5</w:t>
            </w:r>
          </w:p>
        </w:tc>
        <w:tc>
          <w:tcPr>
            <w:tcW w:w="517" w:type="pct"/>
            <w:tcBorders>
              <w:bottom w:val="single" w:sz="4" w:space="0" w:color="365F91"/>
            </w:tcBorders>
            <w:shd w:val="clear" w:color="auto" w:fill="auto"/>
            <w:noWrap/>
            <w:vAlign w:val="bottom"/>
          </w:tcPr>
          <w:p w14:paraId="1D670DFF"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0.062</w:t>
            </w:r>
          </w:p>
        </w:tc>
        <w:tc>
          <w:tcPr>
            <w:tcW w:w="517" w:type="pct"/>
            <w:tcBorders>
              <w:bottom w:val="single" w:sz="4" w:space="0" w:color="365F91"/>
            </w:tcBorders>
            <w:shd w:val="clear" w:color="auto" w:fill="auto"/>
            <w:noWrap/>
            <w:vAlign w:val="bottom"/>
          </w:tcPr>
          <w:p w14:paraId="1590BCE4"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14.4</w:t>
            </w:r>
          </w:p>
        </w:tc>
        <w:tc>
          <w:tcPr>
            <w:tcW w:w="517" w:type="pct"/>
            <w:tcBorders>
              <w:bottom w:val="single" w:sz="4" w:space="0" w:color="365F91"/>
            </w:tcBorders>
            <w:shd w:val="clear" w:color="auto" w:fill="auto"/>
            <w:noWrap/>
            <w:vAlign w:val="bottom"/>
          </w:tcPr>
          <w:p w14:paraId="6CAB34B7"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51.0</w:t>
            </w:r>
          </w:p>
        </w:tc>
      </w:tr>
      <w:tr w:rsidR="0011242D" w:rsidRPr="00D9348B" w14:paraId="4205C009" w14:textId="77777777" w:rsidTr="002851BB">
        <w:tc>
          <w:tcPr>
            <w:tcW w:w="586" w:type="pct"/>
            <w:tcBorders>
              <w:bottom w:val="single" w:sz="4" w:space="0" w:color="365F91"/>
            </w:tcBorders>
            <w:vAlign w:val="bottom"/>
          </w:tcPr>
          <w:p w14:paraId="7CE1D8FD" w14:textId="77777777" w:rsidR="00643D10" w:rsidRPr="00D9348B" w:rsidRDefault="00643D10" w:rsidP="00DB330E">
            <w:pPr>
              <w:pStyle w:val="TableText"/>
              <w:spacing w:before="40" w:after="40"/>
              <w:rPr>
                <w:rFonts w:cs="Arial"/>
                <w:szCs w:val="16"/>
              </w:rPr>
            </w:pPr>
            <w:r w:rsidRPr="00D9348B">
              <w:rPr>
                <w:rFonts w:cs="Arial"/>
                <w:bCs/>
                <w:color w:val="000000"/>
                <w:szCs w:val="16"/>
              </w:rPr>
              <w:t>1.A.1.c</w:t>
            </w:r>
          </w:p>
        </w:tc>
        <w:tc>
          <w:tcPr>
            <w:tcW w:w="1482" w:type="pct"/>
            <w:tcBorders>
              <w:bottom w:val="single" w:sz="4" w:space="0" w:color="365F91"/>
            </w:tcBorders>
            <w:shd w:val="clear" w:color="auto" w:fill="auto"/>
            <w:noWrap/>
            <w:vAlign w:val="bottom"/>
          </w:tcPr>
          <w:p w14:paraId="7F4E6B40" w14:textId="77777777" w:rsidR="00643D10" w:rsidRPr="00D9348B" w:rsidRDefault="00643D10" w:rsidP="00DB330E">
            <w:pPr>
              <w:pStyle w:val="TableText"/>
              <w:spacing w:before="40" w:after="40"/>
              <w:rPr>
                <w:rFonts w:cs="Arial"/>
                <w:szCs w:val="16"/>
              </w:rPr>
            </w:pPr>
            <w:r w:rsidRPr="00D9348B">
              <w:rPr>
                <w:rFonts w:cs="Arial"/>
                <w:bCs/>
                <w:color w:val="000000"/>
                <w:szCs w:val="16"/>
              </w:rPr>
              <w:t>Energy Industries – Manufacture of Solid Fuels and Other Energy Industries Gaseous Fuels</w:t>
            </w:r>
          </w:p>
        </w:tc>
        <w:tc>
          <w:tcPr>
            <w:tcW w:w="345" w:type="pct"/>
            <w:tcBorders>
              <w:bottom w:val="single" w:sz="4" w:space="0" w:color="365F91"/>
            </w:tcBorders>
            <w:shd w:val="clear" w:color="auto" w:fill="auto"/>
            <w:noWrap/>
            <w:vAlign w:val="bottom"/>
          </w:tcPr>
          <w:p w14:paraId="7E757480"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17" w:type="pct"/>
            <w:tcBorders>
              <w:bottom w:val="single" w:sz="4" w:space="0" w:color="365F91"/>
            </w:tcBorders>
            <w:shd w:val="clear" w:color="auto" w:fill="auto"/>
            <w:noWrap/>
            <w:vAlign w:val="bottom"/>
          </w:tcPr>
          <w:p w14:paraId="7B03553F"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1,720.1</w:t>
            </w:r>
          </w:p>
        </w:tc>
        <w:tc>
          <w:tcPr>
            <w:tcW w:w="517" w:type="pct"/>
            <w:tcBorders>
              <w:bottom w:val="single" w:sz="4" w:space="0" w:color="365F91"/>
            </w:tcBorders>
            <w:shd w:val="clear" w:color="auto" w:fill="auto"/>
            <w:noWrap/>
            <w:vAlign w:val="bottom"/>
          </w:tcPr>
          <w:p w14:paraId="49EA50BD"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257.3</w:t>
            </w:r>
          </w:p>
        </w:tc>
        <w:tc>
          <w:tcPr>
            <w:tcW w:w="517" w:type="pct"/>
            <w:tcBorders>
              <w:bottom w:val="single" w:sz="4" w:space="0" w:color="365F91"/>
            </w:tcBorders>
            <w:shd w:val="clear" w:color="auto" w:fill="auto"/>
            <w:noWrap/>
            <w:vAlign w:val="bottom"/>
          </w:tcPr>
          <w:p w14:paraId="3D28506E"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0.019</w:t>
            </w:r>
          </w:p>
        </w:tc>
        <w:tc>
          <w:tcPr>
            <w:tcW w:w="517" w:type="pct"/>
            <w:tcBorders>
              <w:bottom w:val="single" w:sz="4" w:space="0" w:color="365F91"/>
            </w:tcBorders>
            <w:shd w:val="clear" w:color="auto" w:fill="auto"/>
            <w:noWrap/>
            <w:vAlign w:val="bottom"/>
          </w:tcPr>
          <w:p w14:paraId="4EA269C5"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4.5</w:t>
            </w:r>
          </w:p>
        </w:tc>
        <w:tc>
          <w:tcPr>
            <w:tcW w:w="517" w:type="pct"/>
            <w:tcBorders>
              <w:bottom w:val="single" w:sz="4" w:space="0" w:color="365F91"/>
            </w:tcBorders>
            <w:shd w:val="clear" w:color="auto" w:fill="auto"/>
            <w:noWrap/>
            <w:vAlign w:val="bottom"/>
          </w:tcPr>
          <w:p w14:paraId="47C0944A"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55.5</w:t>
            </w:r>
          </w:p>
        </w:tc>
      </w:tr>
      <w:tr w:rsidR="0011242D" w:rsidRPr="00D9348B" w14:paraId="748E06CB" w14:textId="77777777" w:rsidTr="002851BB">
        <w:tc>
          <w:tcPr>
            <w:tcW w:w="586" w:type="pct"/>
            <w:tcBorders>
              <w:bottom w:val="single" w:sz="4" w:space="0" w:color="365F91"/>
            </w:tcBorders>
            <w:vAlign w:val="bottom"/>
          </w:tcPr>
          <w:p w14:paraId="71A4FB59" w14:textId="77777777" w:rsidR="00643D10" w:rsidRPr="00D9348B" w:rsidRDefault="00643D10" w:rsidP="00DB330E">
            <w:pPr>
              <w:pStyle w:val="TableText"/>
              <w:keepNext/>
              <w:spacing w:before="40" w:after="40"/>
              <w:rPr>
                <w:rFonts w:cs="Arial"/>
                <w:szCs w:val="16"/>
              </w:rPr>
            </w:pPr>
            <w:r w:rsidRPr="00D9348B">
              <w:rPr>
                <w:rFonts w:cs="Arial"/>
                <w:bCs/>
                <w:color w:val="000000"/>
                <w:szCs w:val="16"/>
              </w:rPr>
              <w:t>3.A.1</w:t>
            </w:r>
          </w:p>
        </w:tc>
        <w:tc>
          <w:tcPr>
            <w:tcW w:w="1482" w:type="pct"/>
            <w:tcBorders>
              <w:bottom w:val="single" w:sz="4" w:space="0" w:color="365F91"/>
            </w:tcBorders>
            <w:shd w:val="clear" w:color="auto" w:fill="auto"/>
            <w:noWrap/>
            <w:vAlign w:val="bottom"/>
          </w:tcPr>
          <w:p w14:paraId="614B7C9E" w14:textId="77777777" w:rsidR="00643D10" w:rsidRPr="00D9348B" w:rsidRDefault="00643D10" w:rsidP="00DB330E">
            <w:pPr>
              <w:pStyle w:val="TableText"/>
              <w:spacing w:before="40" w:after="40"/>
              <w:rPr>
                <w:rFonts w:cs="Arial"/>
                <w:szCs w:val="16"/>
              </w:rPr>
            </w:pPr>
            <w:r w:rsidRPr="00D9348B">
              <w:rPr>
                <w:rFonts w:cs="Arial"/>
                <w:bCs/>
                <w:color w:val="000000"/>
                <w:szCs w:val="16"/>
              </w:rPr>
              <w:t>Option A – Non-dairy Cattle</w:t>
            </w:r>
          </w:p>
        </w:tc>
        <w:tc>
          <w:tcPr>
            <w:tcW w:w="345" w:type="pct"/>
            <w:tcBorders>
              <w:bottom w:val="single" w:sz="4" w:space="0" w:color="365F91"/>
            </w:tcBorders>
            <w:shd w:val="clear" w:color="auto" w:fill="auto"/>
            <w:noWrap/>
            <w:vAlign w:val="bottom"/>
          </w:tcPr>
          <w:p w14:paraId="27F899D5" w14:textId="77777777" w:rsidR="00643D10" w:rsidRPr="00D9348B" w:rsidRDefault="00643D10" w:rsidP="00DB330E">
            <w:pPr>
              <w:pStyle w:val="TableText"/>
              <w:spacing w:before="40" w:after="40"/>
              <w:jc w:val="center"/>
              <w:rPr>
                <w:rFonts w:cs="Arial"/>
                <w:szCs w:val="16"/>
              </w:rPr>
            </w:pPr>
            <w:r w:rsidRPr="00D9348B">
              <w:rPr>
                <w:rFonts w:cs="Arial"/>
                <w:color w:val="000000"/>
                <w:szCs w:val="16"/>
              </w:rPr>
              <w:t>CH</w:t>
            </w:r>
            <w:r w:rsidRPr="00D9348B">
              <w:rPr>
                <w:rFonts w:cs="Arial"/>
                <w:color w:val="000000"/>
                <w:szCs w:val="16"/>
                <w:vertAlign w:val="subscript"/>
              </w:rPr>
              <w:t>4</w:t>
            </w:r>
          </w:p>
        </w:tc>
        <w:tc>
          <w:tcPr>
            <w:tcW w:w="517" w:type="pct"/>
            <w:tcBorders>
              <w:bottom w:val="single" w:sz="4" w:space="0" w:color="365F91"/>
            </w:tcBorders>
            <w:shd w:val="clear" w:color="auto" w:fill="auto"/>
            <w:noWrap/>
            <w:vAlign w:val="bottom"/>
          </w:tcPr>
          <w:p w14:paraId="07325175"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5,754.7</w:t>
            </w:r>
          </w:p>
        </w:tc>
        <w:tc>
          <w:tcPr>
            <w:tcW w:w="517" w:type="pct"/>
            <w:tcBorders>
              <w:bottom w:val="single" w:sz="4" w:space="0" w:color="365F91"/>
            </w:tcBorders>
            <w:shd w:val="clear" w:color="auto" w:fill="auto"/>
            <w:noWrap/>
            <w:vAlign w:val="bottom"/>
          </w:tcPr>
          <w:p w14:paraId="306B9726"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5,402.2</w:t>
            </w:r>
          </w:p>
        </w:tc>
        <w:tc>
          <w:tcPr>
            <w:tcW w:w="517" w:type="pct"/>
            <w:tcBorders>
              <w:bottom w:val="single" w:sz="4" w:space="0" w:color="365F91"/>
            </w:tcBorders>
            <w:shd w:val="clear" w:color="auto" w:fill="auto"/>
            <w:noWrap/>
            <w:vAlign w:val="bottom"/>
          </w:tcPr>
          <w:p w14:paraId="2A9255A3"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0.018</w:t>
            </w:r>
          </w:p>
        </w:tc>
        <w:tc>
          <w:tcPr>
            <w:tcW w:w="517" w:type="pct"/>
            <w:tcBorders>
              <w:bottom w:val="single" w:sz="4" w:space="0" w:color="365F91"/>
            </w:tcBorders>
            <w:shd w:val="clear" w:color="auto" w:fill="auto"/>
            <w:noWrap/>
            <w:vAlign w:val="bottom"/>
          </w:tcPr>
          <w:p w14:paraId="4AEC16F8"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4.1</w:t>
            </w:r>
          </w:p>
        </w:tc>
        <w:tc>
          <w:tcPr>
            <w:tcW w:w="517" w:type="pct"/>
            <w:tcBorders>
              <w:bottom w:val="single" w:sz="4" w:space="0" w:color="365F91"/>
            </w:tcBorders>
            <w:shd w:val="clear" w:color="auto" w:fill="auto"/>
            <w:noWrap/>
            <w:vAlign w:val="bottom"/>
          </w:tcPr>
          <w:p w14:paraId="5E3A103E" w14:textId="77777777" w:rsidR="00643D10" w:rsidRPr="00D9348B" w:rsidRDefault="00643D10" w:rsidP="00DB330E">
            <w:pPr>
              <w:pStyle w:val="TableText"/>
              <w:spacing w:before="40" w:after="40"/>
              <w:jc w:val="right"/>
              <w:rPr>
                <w:rFonts w:cs="Arial"/>
                <w:szCs w:val="16"/>
              </w:rPr>
            </w:pPr>
            <w:r w:rsidRPr="00D9348B">
              <w:rPr>
                <w:rFonts w:cs="Arial"/>
                <w:bCs/>
                <w:color w:val="000000"/>
                <w:szCs w:val="16"/>
              </w:rPr>
              <w:t>59.6</w:t>
            </w:r>
          </w:p>
        </w:tc>
      </w:tr>
      <w:tr w:rsidR="0011242D" w:rsidRPr="00D9348B" w14:paraId="571C3268" w14:textId="77777777" w:rsidTr="002851BB">
        <w:tc>
          <w:tcPr>
            <w:tcW w:w="586" w:type="pct"/>
            <w:tcBorders>
              <w:bottom w:val="single" w:sz="4" w:space="0" w:color="365F91"/>
            </w:tcBorders>
            <w:vAlign w:val="bottom"/>
          </w:tcPr>
          <w:p w14:paraId="07A785A6" w14:textId="77777777" w:rsidR="00643D10" w:rsidRPr="00D9348B" w:rsidRDefault="00643D10" w:rsidP="007D31BB">
            <w:pPr>
              <w:pStyle w:val="TableText"/>
            </w:pPr>
            <w:r w:rsidRPr="00D9348B">
              <w:t>2.F.1</w:t>
            </w:r>
          </w:p>
        </w:tc>
        <w:tc>
          <w:tcPr>
            <w:tcW w:w="1482" w:type="pct"/>
            <w:tcBorders>
              <w:bottom w:val="single" w:sz="4" w:space="0" w:color="365F91"/>
            </w:tcBorders>
            <w:shd w:val="clear" w:color="auto" w:fill="auto"/>
            <w:noWrap/>
            <w:vAlign w:val="bottom"/>
          </w:tcPr>
          <w:p w14:paraId="40BED3FF" w14:textId="77777777" w:rsidR="00643D10" w:rsidRPr="00D9348B" w:rsidRDefault="00643D10" w:rsidP="00846CDB">
            <w:pPr>
              <w:pStyle w:val="TableText"/>
              <w:keepNext/>
              <w:spacing w:before="40" w:after="40"/>
              <w:rPr>
                <w:rFonts w:cs="Arial"/>
                <w:szCs w:val="16"/>
              </w:rPr>
            </w:pPr>
            <w:r w:rsidRPr="00D9348B">
              <w:rPr>
                <w:rFonts w:cs="Arial"/>
                <w:bCs/>
                <w:color w:val="000000"/>
                <w:szCs w:val="16"/>
              </w:rPr>
              <w:t>Product Uses as Substitutes for ODS – Refrigeration and Air Conditioning</w:t>
            </w:r>
          </w:p>
        </w:tc>
        <w:tc>
          <w:tcPr>
            <w:tcW w:w="345" w:type="pct"/>
            <w:tcBorders>
              <w:bottom w:val="single" w:sz="4" w:space="0" w:color="365F91"/>
            </w:tcBorders>
            <w:shd w:val="clear" w:color="auto" w:fill="auto"/>
            <w:noWrap/>
            <w:tcMar>
              <w:left w:w="0" w:type="dxa"/>
              <w:right w:w="0" w:type="dxa"/>
            </w:tcMar>
            <w:vAlign w:val="bottom"/>
          </w:tcPr>
          <w:p w14:paraId="73D7BB4B" w14:textId="77777777" w:rsidR="00643D10" w:rsidRPr="00D9348B" w:rsidRDefault="00643D10" w:rsidP="00846CDB">
            <w:pPr>
              <w:pStyle w:val="TableText"/>
              <w:keepNext/>
              <w:spacing w:before="40" w:after="40"/>
              <w:jc w:val="center"/>
              <w:rPr>
                <w:rFonts w:cs="Arial"/>
                <w:szCs w:val="16"/>
              </w:rPr>
            </w:pPr>
            <w:r w:rsidRPr="00D9348B">
              <w:rPr>
                <w:rFonts w:cs="Arial"/>
                <w:bCs/>
                <w:color w:val="000000"/>
                <w:szCs w:val="16"/>
              </w:rPr>
              <w:t>HFCs</w:t>
            </w:r>
          </w:p>
        </w:tc>
        <w:tc>
          <w:tcPr>
            <w:tcW w:w="517" w:type="pct"/>
            <w:tcBorders>
              <w:bottom w:val="single" w:sz="4" w:space="0" w:color="365F91"/>
            </w:tcBorders>
            <w:shd w:val="clear" w:color="auto" w:fill="auto"/>
            <w:noWrap/>
            <w:vAlign w:val="bottom"/>
          </w:tcPr>
          <w:p w14:paraId="36392E66" w14:textId="77777777" w:rsidR="00643D10" w:rsidRPr="00D9348B" w:rsidRDefault="00643D10" w:rsidP="00846CDB">
            <w:pPr>
              <w:pStyle w:val="TableText"/>
              <w:keepNext/>
              <w:spacing w:before="40" w:after="40"/>
              <w:jc w:val="right"/>
              <w:rPr>
                <w:rFonts w:cs="Arial"/>
                <w:szCs w:val="16"/>
              </w:rPr>
            </w:pPr>
            <w:r w:rsidRPr="00D9348B">
              <w:rPr>
                <w:rFonts w:cs="Arial"/>
                <w:bCs/>
                <w:color w:val="000000"/>
                <w:szCs w:val="16"/>
              </w:rPr>
              <w:t>0.0</w:t>
            </w:r>
          </w:p>
        </w:tc>
        <w:tc>
          <w:tcPr>
            <w:tcW w:w="517" w:type="pct"/>
            <w:tcBorders>
              <w:bottom w:val="single" w:sz="4" w:space="0" w:color="365F91"/>
            </w:tcBorders>
            <w:shd w:val="clear" w:color="auto" w:fill="auto"/>
            <w:noWrap/>
            <w:vAlign w:val="bottom"/>
          </w:tcPr>
          <w:p w14:paraId="4AB5C629" w14:textId="77777777" w:rsidR="00643D10" w:rsidRPr="00D9348B" w:rsidRDefault="00643D10" w:rsidP="00846CDB">
            <w:pPr>
              <w:pStyle w:val="TableText"/>
              <w:keepNext/>
              <w:spacing w:before="40" w:after="40"/>
              <w:jc w:val="right"/>
              <w:rPr>
                <w:rFonts w:cs="Arial"/>
                <w:szCs w:val="16"/>
              </w:rPr>
            </w:pPr>
            <w:r w:rsidRPr="00D9348B">
              <w:rPr>
                <w:rFonts w:cs="Arial"/>
                <w:bCs/>
                <w:color w:val="000000"/>
                <w:szCs w:val="16"/>
              </w:rPr>
              <w:t>1,711.9</w:t>
            </w:r>
          </w:p>
        </w:tc>
        <w:tc>
          <w:tcPr>
            <w:tcW w:w="517" w:type="pct"/>
            <w:tcBorders>
              <w:bottom w:val="single" w:sz="4" w:space="0" w:color="365F91"/>
            </w:tcBorders>
            <w:shd w:val="clear" w:color="auto" w:fill="auto"/>
            <w:noWrap/>
            <w:vAlign w:val="bottom"/>
          </w:tcPr>
          <w:p w14:paraId="3A7FFB32" w14:textId="77777777" w:rsidR="00643D10" w:rsidRPr="00D9348B" w:rsidRDefault="00643D10" w:rsidP="00846CDB">
            <w:pPr>
              <w:pStyle w:val="TableText"/>
              <w:keepNext/>
              <w:spacing w:before="40" w:after="40"/>
              <w:jc w:val="right"/>
              <w:rPr>
                <w:rFonts w:cs="Arial"/>
                <w:szCs w:val="16"/>
              </w:rPr>
            </w:pPr>
            <w:r w:rsidRPr="00D9348B">
              <w:rPr>
                <w:rFonts w:cs="Arial"/>
                <w:bCs/>
                <w:color w:val="000000"/>
                <w:szCs w:val="16"/>
              </w:rPr>
              <w:t>0.018</w:t>
            </w:r>
          </w:p>
        </w:tc>
        <w:tc>
          <w:tcPr>
            <w:tcW w:w="517" w:type="pct"/>
            <w:tcBorders>
              <w:bottom w:val="single" w:sz="4" w:space="0" w:color="365F91"/>
            </w:tcBorders>
            <w:shd w:val="clear" w:color="auto" w:fill="auto"/>
            <w:noWrap/>
            <w:vAlign w:val="bottom"/>
          </w:tcPr>
          <w:p w14:paraId="5AD48102" w14:textId="77777777" w:rsidR="00643D10" w:rsidRPr="00D9348B" w:rsidRDefault="00643D10" w:rsidP="00846CDB">
            <w:pPr>
              <w:pStyle w:val="TableText"/>
              <w:keepNext/>
              <w:spacing w:before="40" w:after="40"/>
              <w:jc w:val="right"/>
              <w:rPr>
                <w:rFonts w:cs="Arial"/>
                <w:szCs w:val="16"/>
              </w:rPr>
            </w:pPr>
            <w:r w:rsidRPr="00D9348B">
              <w:rPr>
                <w:rFonts w:cs="Arial"/>
                <w:bCs/>
                <w:color w:val="000000"/>
                <w:szCs w:val="16"/>
              </w:rPr>
              <w:t>4.1</w:t>
            </w:r>
          </w:p>
        </w:tc>
        <w:tc>
          <w:tcPr>
            <w:tcW w:w="517" w:type="pct"/>
            <w:tcBorders>
              <w:bottom w:val="single" w:sz="4" w:space="0" w:color="365F91"/>
            </w:tcBorders>
            <w:shd w:val="clear" w:color="auto" w:fill="auto"/>
            <w:noWrap/>
            <w:vAlign w:val="bottom"/>
          </w:tcPr>
          <w:p w14:paraId="25660D62" w14:textId="77777777" w:rsidR="00643D10" w:rsidRPr="00D9348B" w:rsidRDefault="00643D10" w:rsidP="00846CDB">
            <w:pPr>
              <w:pStyle w:val="TableText"/>
              <w:keepNext/>
              <w:spacing w:before="40" w:after="40"/>
              <w:jc w:val="right"/>
              <w:rPr>
                <w:rFonts w:cs="Arial"/>
                <w:szCs w:val="16"/>
              </w:rPr>
            </w:pPr>
            <w:r w:rsidRPr="00D9348B">
              <w:rPr>
                <w:rFonts w:cs="Arial"/>
                <w:bCs/>
                <w:color w:val="000000"/>
                <w:szCs w:val="16"/>
              </w:rPr>
              <w:t>63.6</w:t>
            </w:r>
          </w:p>
        </w:tc>
      </w:tr>
      <w:tr w:rsidR="0011242D" w:rsidRPr="00D9348B" w14:paraId="65925F01" w14:textId="77777777" w:rsidTr="002851BB">
        <w:tc>
          <w:tcPr>
            <w:tcW w:w="586" w:type="pct"/>
            <w:tcBorders>
              <w:bottom w:val="single" w:sz="4" w:space="0" w:color="365F91"/>
            </w:tcBorders>
            <w:vAlign w:val="bottom"/>
          </w:tcPr>
          <w:p w14:paraId="6FC69665" w14:textId="77777777" w:rsidR="00643D10" w:rsidRPr="00D9348B" w:rsidRDefault="00643D10" w:rsidP="007D31BB">
            <w:pPr>
              <w:pStyle w:val="TableText"/>
            </w:pPr>
            <w:r w:rsidRPr="00D9348B">
              <w:t>1.A.1.a</w:t>
            </w:r>
          </w:p>
        </w:tc>
        <w:tc>
          <w:tcPr>
            <w:tcW w:w="1482" w:type="pct"/>
            <w:tcBorders>
              <w:bottom w:val="single" w:sz="4" w:space="0" w:color="365F91"/>
            </w:tcBorders>
            <w:shd w:val="clear" w:color="auto" w:fill="auto"/>
            <w:noWrap/>
            <w:vAlign w:val="bottom"/>
          </w:tcPr>
          <w:p w14:paraId="30849FFF" w14:textId="77777777" w:rsidR="00643D10" w:rsidRPr="00D9348B" w:rsidRDefault="00643D10" w:rsidP="00DB330E">
            <w:pPr>
              <w:pStyle w:val="TableText"/>
              <w:spacing w:before="50" w:after="50"/>
              <w:rPr>
                <w:rFonts w:cs="Arial"/>
                <w:szCs w:val="16"/>
              </w:rPr>
            </w:pPr>
            <w:r w:rsidRPr="00D9348B">
              <w:rPr>
                <w:rFonts w:cs="Arial"/>
                <w:bCs/>
                <w:color w:val="000000"/>
                <w:szCs w:val="16"/>
              </w:rPr>
              <w:t>Energy Industries – Public Electricity and Heat Production Gaseous Fuels</w:t>
            </w:r>
          </w:p>
        </w:tc>
        <w:tc>
          <w:tcPr>
            <w:tcW w:w="345" w:type="pct"/>
            <w:tcBorders>
              <w:bottom w:val="single" w:sz="4" w:space="0" w:color="365F91"/>
            </w:tcBorders>
            <w:shd w:val="clear" w:color="auto" w:fill="auto"/>
            <w:noWrap/>
            <w:vAlign w:val="bottom"/>
          </w:tcPr>
          <w:p w14:paraId="6AFAC47D" w14:textId="77777777" w:rsidR="00643D10" w:rsidRPr="00D9348B" w:rsidRDefault="00643D10" w:rsidP="00DB330E">
            <w:pPr>
              <w:pStyle w:val="TableText"/>
              <w:spacing w:before="50" w:after="5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17" w:type="pct"/>
            <w:tcBorders>
              <w:bottom w:val="single" w:sz="4" w:space="0" w:color="365F91"/>
            </w:tcBorders>
            <w:shd w:val="clear" w:color="auto" w:fill="auto"/>
            <w:noWrap/>
            <w:vAlign w:val="bottom"/>
          </w:tcPr>
          <w:p w14:paraId="3150DADC"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3,011.8</w:t>
            </w:r>
          </w:p>
        </w:tc>
        <w:tc>
          <w:tcPr>
            <w:tcW w:w="517" w:type="pct"/>
            <w:tcBorders>
              <w:bottom w:val="single" w:sz="4" w:space="0" w:color="365F91"/>
            </w:tcBorders>
            <w:shd w:val="clear" w:color="auto" w:fill="auto"/>
            <w:noWrap/>
            <w:vAlign w:val="bottom"/>
          </w:tcPr>
          <w:p w14:paraId="05E8EFAF"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2,366.6</w:t>
            </w:r>
          </w:p>
        </w:tc>
        <w:tc>
          <w:tcPr>
            <w:tcW w:w="517" w:type="pct"/>
            <w:tcBorders>
              <w:bottom w:val="single" w:sz="4" w:space="0" w:color="365F91"/>
            </w:tcBorders>
            <w:shd w:val="clear" w:color="auto" w:fill="auto"/>
            <w:noWrap/>
            <w:vAlign w:val="bottom"/>
          </w:tcPr>
          <w:p w14:paraId="543FC42C"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0.014</w:t>
            </w:r>
          </w:p>
        </w:tc>
        <w:tc>
          <w:tcPr>
            <w:tcW w:w="517" w:type="pct"/>
            <w:tcBorders>
              <w:bottom w:val="single" w:sz="4" w:space="0" w:color="365F91"/>
            </w:tcBorders>
            <w:shd w:val="clear" w:color="auto" w:fill="auto"/>
            <w:noWrap/>
            <w:vAlign w:val="bottom"/>
          </w:tcPr>
          <w:p w14:paraId="2D559D48"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3.2</w:t>
            </w:r>
          </w:p>
        </w:tc>
        <w:tc>
          <w:tcPr>
            <w:tcW w:w="517" w:type="pct"/>
            <w:tcBorders>
              <w:bottom w:val="single" w:sz="4" w:space="0" w:color="365F91"/>
            </w:tcBorders>
            <w:shd w:val="clear" w:color="auto" w:fill="auto"/>
            <w:noWrap/>
            <w:vAlign w:val="bottom"/>
          </w:tcPr>
          <w:p w14:paraId="487FB011"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66.9</w:t>
            </w:r>
          </w:p>
        </w:tc>
      </w:tr>
      <w:tr w:rsidR="0011242D" w:rsidRPr="00D9348B" w14:paraId="11D88DAE" w14:textId="77777777" w:rsidTr="002851BB">
        <w:tc>
          <w:tcPr>
            <w:tcW w:w="586" w:type="pct"/>
            <w:tcBorders>
              <w:bottom w:val="single" w:sz="4" w:space="0" w:color="365F91"/>
            </w:tcBorders>
            <w:vAlign w:val="bottom"/>
          </w:tcPr>
          <w:p w14:paraId="3B53999B" w14:textId="77777777" w:rsidR="00643D10" w:rsidRPr="00D9348B" w:rsidRDefault="00643D10" w:rsidP="002851BB">
            <w:pPr>
              <w:pStyle w:val="TableText"/>
            </w:pPr>
            <w:r w:rsidRPr="00D9348B">
              <w:t>3.D.1.1</w:t>
            </w:r>
          </w:p>
        </w:tc>
        <w:tc>
          <w:tcPr>
            <w:tcW w:w="1482" w:type="pct"/>
            <w:tcBorders>
              <w:bottom w:val="single" w:sz="4" w:space="0" w:color="365F91"/>
            </w:tcBorders>
            <w:shd w:val="clear" w:color="auto" w:fill="auto"/>
            <w:noWrap/>
            <w:vAlign w:val="bottom"/>
          </w:tcPr>
          <w:p w14:paraId="1138ACE6" w14:textId="77777777" w:rsidR="00643D10" w:rsidRPr="00D9348B" w:rsidRDefault="00643D10" w:rsidP="00DB330E">
            <w:pPr>
              <w:pStyle w:val="TableText"/>
              <w:spacing w:before="50" w:after="50"/>
              <w:rPr>
                <w:rFonts w:cs="Arial"/>
                <w:szCs w:val="16"/>
              </w:rPr>
            </w:pPr>
            <w:r w:rsidRPr="00D9348B">
              <w:rPr>
                <w:rFonts w:cs="Arial"/>
                <w:bCs/>
                <w:color w:val="000000"/>
                <w:szCs w:val="16"/>
              </w:rPr>
              <w:t>Direct N</w:t>
            </w:r>
            <w:r w:rsidRPr="00D9348B">
              <w:rPr>
                <w:rFonts w:cs="Arial"/>
                <w:bCs/>
                <w:color w:val="000000"/>
                <w:szCs w:val="16"/>
                <w:vertAlign w:val="subscript"/>
              </w:rPr>
              <w:t>2</w:t>
            </w:r>
            <w:r w:rsidRPr="00D9348B">
              <w:rPr>
                <w:rFonts w:cs="Arial"/>
                <w:bCs/>
                <w:color w:val="000000"/>
                <w:szCs w:val="16"/>
              </w:rPr>
              <w:t>O Emissions From Managed Soils – Inorganic N Fertilizers</w:t>
            </w:r>
          </w:p>
        </w:tc>
        <w:tc>
          <w:tcPr>
            <w:tcW w:w="345" w:type="pct"/>
            <w:tcBorders>
              <w:bottom w:val="single" w:sz="4" w:space="0" w:color="365F91"/>
            </w:tcBorders>
            <w:shd w:val="clear" w:color="auto" w:fill="auto"/>
            <w:noWrap/>
            <w:vAlign w:val="bottom"/>
          </w:tcPr>
          <w:p w14:paraId="464DA203" w14:textId="77777777" w:rsidR="00643D10" w:rsidRPr="00D9348B" w:rsidRDefault="00643D10" w:rsidP="00DB330E">
            <w:pPr>
              <w:pStyle w:val="TableText"/>
              <w:spacing w:before="50" w:after="50"/>
              <w:jc w:val="center"/>
              <w:rPr>
                <w:rFonts w:cs="Arial"/>
                <w:szCs w:val="16"/>
              </w:rPr>
            </w:pPr>
            <w:r w:rsidRPr="00D9348B">
              <w:rPr>
                <w:rFonts w:cs="Arial"/>
                <w:color w:val="000000"/>
                <w:szCs w:val="16"/>
              </w:rPr>
              <w:t>N</w:t>
            </w:r>
            <w:r w:rsidRPr="00D9348B">
              <w:rPr>
                <w:rFonts w:cs="Arial"/>
                <w:color w:val="000000"/>
                <w:szCs w:val="16"/>
                <w:vertAlign w:val="subscript"/>
              </w:rPr>
              <w:t>2</w:t>
            </w:r>
            <w:r w:rsidRPr="00D9348B">
              <w:rPr>
                <w:rFonts w:cs="Arial"/>
                <w:color w:val="000000"/>
                <w:szCs w:val="16"/>
              </w:rPr>
              <w:t>O</w:t>
            </w:r>
          </w:p>
        </w:tc>
        <w:tc>
          <w:tcPr>
            <w:tcW w:w="517" w:type="pct"/>
            <w:tcBorders>
              <w:bottom w:val="single" w:sz="4" w:space="0" w:color="365F91"/>
            </w:tcBorders>
            <w:shd w:val="clear" w:color="auto" w:fill="auto"/>
            <w:noWrap/>
            <w:vAlign w:val="bottom"/>
          </w:tcPr>
          <w:p w14:paraId="2B4D183F"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230.3</w:t>
            </w:r>
          </w:p>
        </w:tc>
        <w:tc>
          <w:tcPr>
            <w:tcW w:w="517" w:type="pct"/>
            <w:tcBorders>
              <w:bottom w:val="single" w:sz="4" w:space="0" w:color="365F91"/>
            </w:tcBorders>
            <w:shd w:val="clear" w:color="auto" w:fill="auto"/>
            <w:noWrap/>
            <w:vAlign w:val="bottom"/>
          </w:tcPr>
          <w:p w14:paraId="47A7E37B"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1,411.3</w:t>
            </w:r>
          </w:p>
        </w:tc>
        <w:tc>
          <w:tcPr>
            <w:tcW w:w="517" w:type="pct"/>
            <w:tcBorders>
              <w:bottom w:val="single" w:sz="4" w:space="0" w:color="365F91"/>
            </w:tcBorders>
            <w:shd w:val="clear" w:color="auto" w:fill="auto"/>
            <w:noWrap/>
            <w:vAlign w:val="bottom"/>
          </w:tcPr>
          <w:p w14:paraId="0ECEC12D"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0.012</w:t>
            </w:r>
          </w:p>
        </w:tc>
        <w:tc>
          <w:tcPr>
            <w:tcW w:w="517" w:type="pct"/>
            <w:tcBorders>
              <w:bottom w:val="single" w:sz="4" w:space="0" w:color="365F91"/>
            </w:tcBorders>
            <w:shd w:val="clear" w:color="auto" w:fill="auto"/>
            <w:noWrap/>
            <w:vAlign w:val="bottom"/>
          </w:tcPr>
          <w:p w14:paraId="2CD58682"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2.7</w:t>
            </w:r>
          </w:p>
        </w:tc>
        <w:tc>
          <w:tcPr>
            <w:tcW w:w="517" w:type="pct"/>
            <w:tcBorders>
              <w:bottom w:val="single" w:sz="4" w:space="0" w:color="365F91"/>
            </w:tcBorders>
            <w:shd w:val="clear" w:color="auto" w:fill="auto"/>
            <w:noWrap/>
            <w:vAlign w:val="bottom"/>
          </w:tcPr>
          <w:p w14:paraId="1695F4AF"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69.6</w:t>
            </w:r>
          </w:p>
        </w:tc>
      </w:tr>
      <w:tr w:rsidR="0011242D" w:rsidRPr="00D9348B" w14:paraId="24ED7D51" w14:textId="77777777" w:rsidTr="002851BB">
        <w:tc>
          <w:tcPr>
            <w:tcW w:w="586" w:type="pct"/>
            <w:tcBorders>
              <w:bottom w:val="single" w:sz="4" w:space="0" w:color="365F91"/>
            </w:tcBorders>
            <w:vAlign w:val="bottom"/>
          </w:tcPr>
          <w:p w14:paraId="3BC01737" w14:textId="77777777" w:rsidR="00643D10" w:rsidRPr="00D9348B" w:rsidRDefault="00643D10" w:rsidP="00DB330E">
            <w:pPr>
              <w:pStyle w:val="TableText"/>
              <w:spacing w:before="50" w:after="50"/>
              <w:rPr>
                <w:rFonts w:cs="Arial"/>
                <w:szCs w:val="16"/>
              </w:rPr>
            </w:pPr>
            <w:r w:rsidRPr="00D9348B">
              <w:rPr>
                <w:rFonts w:cs="Arial"/>
                <w:bCs/>
                <w:color w:val="000000"/>
                <w:szCs w:val="16"/>
              </w:rPr>
              <w:lastRenderedPageBreak/>
              <w:t>2.C.3</w:t>
            </w:r>
          </w:p>
        </w:tc>
        <w:tc>
          <w:tcPr>
            <w:tcW w:w="1482" w:type="pct"/>
            <w:tcBorders>
              <w:bottom w:val="single" w:sz="4" w:space="0" w:color="365F91"/>
            </w:tcBorders>
            <w:shd w:val="clear" w:color="auto" w:fill="auto"/>
            <w:noWrap/>
            <w:vAlign w:val="bottom"/>
          </w:tcPr>
          <w:p w14:paraId="53476C00" w14:textId="77777777" w:rsidR="00643D10" w:rsidRPr="00D9348B" w:rsidRDefault="00643D10" w:rsidP="00DB330E">
            <w:pPr>
              <w:pStyle w:val="TableText"/>
              <w:spacing w:before="50" w:after="50"/>
              <w:rPr>
                <w:rFonts w:cs="Arial"/>
                <w:szCs w:val="16"/>
              </w:rPr>
            </w:pPr>
            <w:r w:rsidRPr="00D9348B">
              <w:rPr>
                <w:rFonts w:cs="Arial"/>
                <w:bCs/>
                <w:color w:val="000000"/>
                <w:szCs w:val="16"/>
              </w:rPr>
              <w:t>Metal Industry – Aluminium Production</w:t>
            </w:r>
          </w:p>
        </w:tc>
        <w:tc>
          <w:tcPr>
            <w:tcW w:w="345" w:type="pct"/>
            <w:tcBorders>
              <w:bottom w:val="single" w:sz="4" w:space="0" w:color="365F91"/>
            </w:tcBorders>
            <w:shd w:val="clear" w:color="auto" w:fill="auto"/>
            <w:noWrap/>
            <w:vAlign w:val="bottom"/>
          </w:tcPr>
          <w:p w14:paraId="76071FBA" w14:textId="77777777" w:rsidR="00643D10" w:rsidRPr="00D9348B" w:rsidRDefault="00643D10" w:rsidP="00DB330E">
            <w:pPr>
              <w:pStyle w:val="TableText"/>
              <w:spacing w:before="50" w:after="50"/>
              <w:jc w:val="center"/>
              <w:rPr>
                <w:rFonts w:cs="Arial"/>
                <w:szCs w:val="16"/>
              </w:rPr>
            </w:pPr>
            <w:r w:rsidRPr="00D9348B">
              <w:rPr>
                <w:rFonts w:cs="Arial"/>
                <w:bCs/>
                <w:color w:val="000000"/>
                <w:szCs w:val="16"/>
              </w:rPr>
              <w:t>PFCs</w:t>
            </w:r>
          </w:p>
        </w:tc>
        <w:tc>
          <w:tcPr>
            <w:tcW w:w="517" w:type="pct"/>
            <w:tcBorders>
              <w:bottom w:val="single" w:sz="4" w:space="0" w:color="365F91"/>
            </w:tcBorders>
            <w:shd w:val="clear" w:color="auto" w:fill="auto"/>
            <w:noWrap/>
            <w:vAlign w:val="bottom"/>
          </w:tcPr>
          <w:p w14:paraId="0A5919B6"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909.9</w:t>
            </w:r>
          </w:p>
        </w:tc>
        <w:tc>
          <w:tcPr>
            <w:tcW w:w="517" w:type="pct"/>
            <w:tcBorders>
              <w:bottom w:val="single" w:sz="4" w:space="0" w:color="365F91"/>
            </w:tcBorders>
            <w:shd w:val="clear" w:color="auto" w:fill="auto"/>
            <w:noWrap/>
            <w:vAlign w:val="bottom"/>
          </w:tcPr>
          <w:p w14:paraId="173C0767"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72.4</w:t>
            </w:r>
          </w:p>
        </w:tc>
        <w:tc>
          <w:tcPr>
            <w:tcW w:w="517" w:type="pct"/>
            <w:tcBorders>
              <w:bottom w:val="single" w:sz="4" w:space="0" w:color="365F91"/>
            </w:tcBorders>
            <w:shd w:val="clear" w:color="auto" w:fill="auto"/>
            <w:noWrap/>
            <w:vAlign w:val="bottom"/>
          </w:tcPr>
          <w:p w14:paraId="74F4BB4E"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0.011</w:t>
            </w:r>
          </w:p>
        </w:tc>
        <w:tc>
          <w:tcPr>
            <w:tcW w:w="517" w:type="pct"/>
            <w:tcBorders>
              <w:bottom w:val="single" w:sz="4" w:space="0" w:color="365F91"/>
            </w:tcBorders>
            <w:shd w:val="clear" w:color="auto" w:fill="auto"/>
            <w:noWrap/>
            <w:vAlign w:val="bottom"/>
          </w:tcPr>
          <w:p w14:paraId="6BC284B6"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2.5</w:t>
            </w:r>
          </w:p>
        </w:tc>
        <w:tc>
          <w:tcPr>
            <w:tcW w:w="517" w:type="pct"/>
            <w:tcBorders>
              <w:bottom w:val="single" w:sz="4" w:space="0" w:color="365F91"/>
            </w:tcBorders>
            <w:shd w:val="clear" w:color="auto" w:fill="auto"/>
            <w:noWrap/>
            <w:vAlign w:val="bottom"/>
          </w:tcPr>
          <w:p w14:paraId="206A312E"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72.1</w:t>
            </w:r>
          </w:p>
        </w:tc>
      </w:tr>
      <w:tr w:rsidR="0011242D" w:rsidRPr="00D9348B" w14:paraId="31A46E32" w14:textId="77777777" w:rsidTr="002851BB">
        <w:tc>
          <w:tcPr>
            <w:tcW w:w="586" w:type="pct"/>
            <w:tcBorders>
              <w:bottom w:val="single" w:sz="4" w:space="0" w:color="365F91"/>
            </w:tcBorders>
            <w:vAlign w:val="bottom"/>
          </w:tcPr>
          <w:p w14:paraId="45ED4A77" w14:textId="77777777" w:rsidR="00643D10" w:rsidRPr="00D9348B" w:rsidRDefault="00643D10" w:rsidP="00DB330E">
            <w:pPr>
              <w:pStyle w:val="TableText"/>
              <w:spacing w:before="50" w:after="50"/>
              <w:rPr>
                <w:rFonts w:cs="Arial"/>
                <w:szCs w:val="16"/>
              </w:rPr>
            </w:pPr>
            <w:r w:rsidRPr="00D9348B">
              <w:rPr>
                <w:rFonts w:cs="Arial"/>
                <w:bCs/>
                <w:color w:val="000000"/>
                <w:szCs w:val="16"/>
              </w:rPr>
              <w:t>5.A</w:t>
            </w:r>
          </w:p>
        </w:tc>
        <w:tc>
          <w:tcPr>
            <w:tcW w:w="1482" w:type="pct"/>
            <w:tcBorders>
              <w:bottom w:val="single" w:sz="4" w:space="0" w:color="365F91"/>
            </w:tcBorders>
            <w:shd w:val="clear" w:color="auto" w:fill="auto"/>
            <w:noWrap/>
            <w:vAlign w:val="bottom"/>
          </w:tcPr>
          <w:p w14:paraId="3B4EA05B" w14:textId="77777777" w:rsidR="00643D10" w:rsidRPr="00D9348B" w:rsidRDefault="00643D10" w:rsidP="00DB330E">
            <w:pPr>
              <w:pStyle w:val="TableText"/>
              <w:spacing w:before="50" w:after="50"/>
              <w:rPr>
                <w:rFonts w:cs="Arial"/>
                <w:szCs w:val="16"/>
              </w:rPr>
            </w:pPr>
            <w:r w:rsidRPr="00D9348B">
              <w:rPr>
                <w:rFonts w:cs="Arial"/>
                <w:bCs/>
                <w:color w:val="000000"/>
                <w:szCs w:val="16"/>
              </w:rPr>
              <w:t>Waste – Solid Waste Disposal</w:t>
            </w:r>
          </w:p>
        </w:tc>
        <w:tc>
          <w:tcPr>
            <w:tcW w:w="345" w:type="pct"/>
            <w:tcBorders>
              <w:bottom w:val="single" w:sz="4" w:space="0" w:color="365F91"/>
            </w:tcBorders>
            <w:shd w:val="clear" w:color="auto" w:fill="auto"/>
            <w:noWrap/>
            <w:vAlign w:val="bottom"/>
          </w:tcPr>
          <w:p w14:paraId="526A96D4" w14:textId="77777777" w:rsidR="00643D10" w:rsidRPr="00D9348B" w:rsidRDefault="00643D10" w:rsidP="00DB330E">
            <w:pPr>
              <w:pStyle w:val="TableText"/>
              <w:spacing w:before="50" w:after="50"/>
              <w:jc w:val="center"/>
              <w:rPr>
                <w:rFonts w:cs="Arial"/>
                <w:szCs w:val="16"/>
              </w:rPr>
            </w:pPr>
            <w:r w:rsidRPr="00D9348B">
              <w:rPr>
                <w:rFonts w:cs="Arial"/>
                <w:color w:val="000000"/>
                <w:szCs w:val="16"/>
              </w:rPr>
              <w:t>CH</w:t>
            </w:r>
            <w:r w:rsidRPr="00D9348B">
              <w:rPr>
                <w:rFonts w:cs="Arial"/>
                <w:color w:val="000000"/>
                <w:szCs w:val="16"/>
                <w:vertAlign w:val="subscript"/>
              </w:rPr>
              <w:t>4</w:t>
            </w:r>
          </w:p>
        </w:tc>
        <w:tc>
          <w:tcPr>
            <w:tcW w:w="517" w:type="pct"/>
            <w:tcBorders>
              <w:bottom w:val="single" w:sz="4" w:space="0" w:color="365F91"/>
            </w:tcBorders>
            <w:shd w:val="clear" w:color="auto" w:fill="auto"/>
            <w:noWrap/>
            <w:vAlign w:val="bottom"/>
          </w:tcPr>
          <w:p w14:paraId="5E291FB3"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3,711.1</w:t>
            </w:r>
          </w:p>
        </w:tc>
        <w:tc>
          <w:tcPr>
            <w:tcW w:w="517" w:type="pct"/>
            <w:tcBorders>
              <w:bottom w:val="single" w:sz="4" w:space="0" w:color="365F91"/>
            </w:tcBorders>
            <w:shd w:val="clear" w:color="auto" w:fill="auto"/>
            <w:noWrap/>
            <w:vAlign w:val="bottom"/>
          </w:tcPr>
          <w:p w14:paraId="6AB20A50"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3,651.8</w:t>
            </w:r>
          </w:p>
        </w:tc>
        <w:tc>
          <w:tcPr>
            <w:tcW w:w="517" w:type="pct"/>
            <w:tcBorders>
              <w:bottom w:val="single" w:sz="4" w:space="0" w:color="365F91"/>
            </w:tcBorders>
            <w:shd w:val="clear" w:color="auto" w:fill="auto"/>
            <w:noWrap/>
            <w:vAlign w:val="bottom"/>
          </w:tcPr>
          <w:p w14:paraId="4B429BAB"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0.010</w:t>
            </w:r>
          </w:p>
        </w:tc>
        <w:tc>
          <w:tcPr>
            <w:tcW w:w="517" w:type="pct"/>
            <w:tcBorders>
              <w:bottom w:val="single" w:sz="4" w:space="0" w:color="365F91"/>
            </w:tcBorders>
            <w:shd w:val="clear" w:color="auto" w:fill="auto"/>
            <w:noWrap/>
            <w:vAlign w:val="bottom"/>
          </w:tcPr>
          <w:p w14:paraId="555ACB95"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2.3</w:t>
            </w:r>
          </w:p>
        </w:tc>
        <w:tc>
          <w:tcPr>
            <w:tcW w:w="517" w:type="pct"/>
            <w:tcBorders>
              <w:bottom w:val="single" w:sz="4" w:space="0" w:color="365F91"/>
            </w:tcBorders>
            <w:shd w:val="clear" w:color="auto" w:fill="auto"/>
            <w:noWrap/>
            <w:vAlign w:val="bottom"/>
          </w:tcPr>
          <w:p w14:paraId="1740F284"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74.3</w:t>
            </w:r>
          </w:p>
        </w:tc>
      </w:tr>
      <w:tr w:rsidR="0011242D" w:rsidRPr="00D9348B" w14:paraId="15002E79" w14:textId="77777777" w:rsidTr="002851BB">
        <w:tc>
          <w:tcPr>
            <w:tcW w:w="586" w:type="pct"/>
            <w:tcBorders>
              <w:bottom w:val="single" w:sz="4" w:space="0" w:color="365F91"/>
            </w:tcBorders>
            <w:vAlign w:val="bottom"/>
          </w:tcPr>
          <w:p w14:paraId="0C244F81" w14:textId="77777777" w:rsidR="00643D10" w:rsidRPr="00D9348B" w:rsidRDefault="00643D10" w:rsidP="00DB330E">
            <w:pPr>
              <w:pStyle w:val="TableText"/>
              <w:spacing w:before="50" w:after="50"/>
              <w:rPr>
                <w:rFonts w:cs="Arial"/>
                <w:szCs w:val="16"/>
              </w:rPr>
            </w:pPr>
            <w:r w:rsidRPr="00D9348B">
              <w:rPr>
                <w:rFonts w:cs="Arial"/>
                <w:bCs/>
                <w:color w:val="000000"/>
                <w:szCs w:val="16"/>
              </w:rPr>
              <w:t>1.A.2.g.viii</w:t>
            </w:r>
          </w:p>
        </w:tc>
        <w:tc>
          <w:tcPr>
            <w:tcW w:w="1482" w:type="pct"/>
            <w:tcBorders>
              <w:bottom w:val="single" w:sz="4" w:space="0" w:color="365F91"/>
            </w:tcBorders>
            <w:shd w:val="clear" w:color="auto" w:fill="auto"/>
            <w:noWrap/>
            <w:vAlign w:val="bottom"/>
          </w:tcPr>
          <w:p w14:paraId="680ACB72" w14:textId="77777777" w:rsidR="00643D10" w:rsidRPr="00D9348B" w:rsidRDefault="00643D10" w:rsidP="00DB330E">
            <w:pPr>
              <w:pStyle w:val="TableText"/>
              <w:spacing w:before="50" w:after="50"/>
              <w:rPr>
                <w:rFonts w:cs="Arial"/>
                <w:szCs w:val="16"/>
              </w:rPr>
            </w:pPr>
            <w:r w:rsidRPr="00D9348B">
              <w:rPr>
                <w:rFonts w:cs="Arial"/>
                <w:bCs/>
                <w:color w:val="000000"/>
                <w:szCs w:val="16"/>
              </w:rPr>
              <w:t>Other (please specify) – Other (please specify) Solid Fuels</w:t>
            </w:r>
          </w:p>
        </w:tc>
        <w:tc>
          <w:tcPr>
            <w:tcW w:w="345" w:type="pct"/>
            <w:tcBorders>
              <w:bottom w:val="single" w:sz="4" w:space="0" w:color="365F91"/>
            </w:tcBorders>
            <w:shd w:val="clear" w:color="auto" w:fill="auto"/>
            <w:noWrap/>
            <w:vAlign w:val="bottom"/>
          </w:tcPr>
          <w:p w14:paraId="012BCE7A" w14:textId="77777777" w:rsidR="00643D10" w:rsidRPr="00D9348B" w:rsidRDefault="00643D10" w:rsidP="00DB330E">
            <w:pPr>
              <w:pStyle w:val="TableText"/>
              <w:spacing w:before="50" w:after="5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17" w:type="pct"/>
            <w:tcBorders>
              <w:bottom w:val="single" w:sz="4" w:space="0" w:color="365F91"/>
            </w:tcBorders>
            <w:shd w:val="clear" w:color="auto" w:fill="auto"/>
            <w:noWrap/>
            <w:vAlign w:val="bottom"/>
          </w:tcPr>
          <w:p w14:paraId="089CCDAE"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731.1</w:t>
            </w:r>
          </w:p>
        </w:tc>
        <w:tc>
          <w:tcPr>
            <w:tcW w:w="517" w:type="pct"/>
            <w:tcBorders>
              <w:bottom w:val="single" w:sz="4" w:space="0" w:color="365F91"/>
            </w:tcBorders>
            <w:shd w:val="clear" w:color="auto" w:fill="auto"/>
            <w:noWrap/>
            <w:vAlign w:val="bottom"/>
          </w:tcPr>
          <w:p w14:paraId="028B37E6"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51.4</w:t>
            </w:r>
          </w:p>
        </w:tc>
        <w:tc>
          <w:tcPr>
            <w:tcW w:w="517" w:type="pct"/>
            <w:tcBorders>
              <w:bottom w:val="single" w:sz="4" w:space="0" w:color="365F91"/>
            </w:tcBorders>
            <w:shd w:val="clear" w:color="auto" w:fill="auto"/>
            <w:noWrap/>
            <w:vAlign w:val="bottom"/>
          </w:tcPr>
          <w:p w14:paraId="31EC2D90"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0.009</w:t>
            </w:r>
          </w:p>
        </w:tc>
        <w:tc>
          <w:tcPr>
            <w:tcW w:w="517" w:type="pct"/>
            <w:tcBorders>
              <w:bottom w:val="single" w:sz="4" w:space="0" w:color="365F91"/>
            </w:tcBorders>
            <w:shd w:val="clear" w:color="auto" w:fill="auto"/>
            <w:noWrap/>
            <w:vAlign w:val="bottom"/>
          </w:tcPr>
          <w:p w14:paraId="4C9CB595"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2.0</w:t>
            </w:r>
          </w:p>
        </w:tc>
        <w:tc>
          <w:tcPr>
            <w:tcW w:w="517" w:type="pct"/>
            <w:tcBorders>
              <w:bottom w:val="single" w:sz="4" w:space="0" w:color="365F91"/>
            </w:tcBorders>
            <w:shd w:val="clear" w:color="auto" w:fill="auto"/>
            <w:noWrap/>
            <w:vAlign w:val="bottom"/>
          </w:tcPr>
          <w:p w14:paraId="32EEFA2C"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76.4</w:t>
            </w:r>
          </w:p>
        </w:tc>
      </w:tr>
      <w:tr w:rsidR="0011242D" w:rsidRPr="00D9348B" w14:paraId="37895A1E" w14:textId="77777777" w:rsidTr="002851BB">
        <w:tc>
          <w:tcPr>
            <w:tcW w:w="586" w:type="pct"/>
            <w:tcBorders>
              <w:bottom w:val="single" w:sz="4" w:space="0" w:color="365F91"/>
            </w:tcBorders>
            <w:vAlign w:val="bottom"/>
          </w:tcPr>
          <w:p w14:paraId="43038C2F" w14:textId="77777777" w:rsidR="00643D10" w:rsidRPr="00D9348B" w:rsidRDefault="00643D10" w:rsidP="00DB330E">
            <w:pPr>
              <w:pStyle w:val="TableText"/>
              <w:spacing w:before="50" w:after="50"/>
              <w:rPr>
                <w:rFonts w:cs="Arial"/>
                <w:szCs w:val="16"/>
              </w:rPr>
            </w:pPr>
            <w:r w:rsidRPr="00D9348B">
              <w:rPr>
                <w:rFonts w:cs="Arial"/>
                <w:bCs/>
                <w:color w:val="000000"/>
                <w:szCs w:val="16"/>
              </w:rPr>
              <w:t>3.B.1.1</w:t>
            </w:r>
          </w:p>
        </w:tc>
        <w:tc>
          <w:tcPr>
            <w:tcW w:w="1482" w:type="pct"/>
            <w:tcBorders>
              <w:bottom w:val="single" w:sz="4" w:space="0" w:color="365F91"/>
            </w:tcBorders>
            <w:shd w:val="clear" w:color="auto" w:fill="auto"/>
            <w:noWrap/>
            <w:vAlign w:val="bottom"/>
          </w:tcPr>
          <w:p w14:paraId="7A25B1B3" w14:textId="77777777" w:rsidR="00643D10" w:rsidRPr="00D9348B" w:rsidRDefault="00643D10" w:rsidP="00DB330E">
            <w:pPr>
              <w:pStyle w:val="TableText"/>
              <w:spacing w:before="50" w:after="50"/>
              <w:rPr>
                <w:rFonts w:cs="Arial"/>
                <w:szCs w:val="16"/>
              </w:rPr>
            </w:pPr>
            <w:r w:rsidRPr="00D9348B">
              <w:rPr>
                <w:rFonts w:cs="Arial"/>
                <w:bCs/>
                <w:color w:val="000000"/>
                <w:szCs w:val="16"/>
              </w:rPr>
              <w:t>Option A – Dairy Cattle</w:t>
            </w:r>
          </w:p>
        </w:tc>
        <w:tc>
          <w:tcPr>
            <w:tcW w:w="345" w:type="pct"/>
            <w:tcBorders>
              <w:bottom w:val="single" w:sz="4" w:space="0" w:color="365F91"/>
            </w:tcBorders>
            <w:shd w:val="clear" w:color="auto" w:fill="auto"/>
            <w:noWrap/>
            <w:vAlign w:val="bottom"/>
          </w:tcPr>
          <w:p w14:paraId="131F1CF0" w14:textId="77777777" w:rsidR="00643D10" w:rsidRPr="00D9348B" w:rsidRDefault="00643D10" w:rsidP="00DB330E">
            <w:pPr>
              <w:pStyle w:val="TableText"/>
              <w:spacing w:before="50" w:after="50"/>
              <w:jc w:val="center"/>
              <w:rPr>
                <w:rFonts w:cs="Arial"/>
                <w:szCs w:val="16"/>
              </w:rPr>
            </w:pPr>
            <w:r w:rsidRPr="00D9348B">
              <w:rPr>
                <w:rFonts w:cs="Arial"/>
                <w:color w:val="000000"/>
                <w:szCs w:val="16"/>
              </w:rPr>
              <w:t>CH</w:t>
            </w:r>
            <w:r w:rsidRPr="00D9348B">
              <w:rPr>
                <w:rFonts w:cs="Arial"/>
                <w:color w:val="000000"/>
                <w:szCs w:val="16"/>
                <w:vertAlign w:val="subscript"/>
              </w:rPr>
              <w:t>4</w:t>
            </w:r>
          </w:p>
        </w:tc>
        <w:tc>
          <w:tcPr>
            <w:tcW w:w="517" w:type="pct"/>
            <w:tcBorders>
              <w:bottom w:val="single" w:sz="4" w:space="0" w:color="365F91"/>
            </w:tcBorders>
            <w:shd w:val="clear" w:color="auto" w:fill="auto"/>
            <w:noWrap/>
            <w:vAlign w:val="bottom"/>
          </w:tcPr>
          <w:p w14:paraId="2BA5CEDF"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376.8</w:t>
            </w:r>
          </w:p>
        </w:tc>
        <w:tc>
          <w:tcPr>
            <w:tcW w:w="517" w:type="pct"/>
            <w:tcBorders>
              <w:bottom w:val="single" w:sz="4" w:space="0" w:color="365F91"/>
            </w:tcBorders>
            <w:shd w:val="clear" w:color="auto" w:fill="auto"/>
            <w:noWrap/>
            <w:vAlign w:val="bottom"/>
          </w:tcPr>
          <w:p w14:paraId="12FE16E2"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1,263.2</w:t>
            </w:r>
          </w:p>
        </w:tc>
        <w:tc>
          <w:tcPr>
            <w:tcW w:w="517" w:type="pct"/>
            <w:tcBorders>
              <w:bottom w:val="single" w:sz="4" w:space="0" w:color="365F91"/>
            </w:tcBorders>
            <w:shd w:val="clear" w:color="auto" w:fill="auto"/>
            <w:noWrap/>
            <w:vAlign w:val="bottom"/>
          </w:tcPr>
          <w:p w14:paraId="38C095B9"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0.008</w:t>
            </w:r>
          </w:p>
        </w:tc>
        <w:tc>
          <w:tcPr>
            <w:tcW w:w="517" w:type="pct"/>
            <w:tcBorders>
              <w:bottom w:val="single" w:sz="4" w:space="0" w:color="365F91"/>
            </w:tcBorders>
            <w:shd w:val="clear" w:color="auto" w:fill="auto"/>
            <w:noWrap/>
            <w:vAlign w:val="bottom"/>
          </w:tcPr>
          <w:p w14:paraId="4F3CA7D5"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1.9</w:t>
            </w:r>
          </w:p>
        </w:tc>
        <w:tc>
          <w:tcPr>
            <w:tcW w:w="517" w:type="pct"/>
            <w:tcBorders>
              <w:bottom w:val="single" w:sz="4" w:space="0" w:color="365F91"/>
            </w:tcBorders>
            <w:shd w:val="clear" w:color="auto" w:fill="auto"/>
            <w:noWrap/>
            <w:vAlign w:val="bottom"/>
          </w:tcPr>
          <w:p w14:paraId="64FF771C"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78.2</w:t>
            </w:r>
          </w:p>
        </w:tc>
      </w:tr>
      <w:tr w:rsidR="0011242D" w:rsidRPr="00D9348B" w14:paraId="03EDC694" w14:textId="77777777" w:rsidTr="002851BB">
        <w:tc>
          <w:tcPr>
            <w:tcW w:w="586" w:type="pct"/>
            <w:tcBorders>
              <w:bottom w:val="single" w:sz="4" w:space="0" w:color="365F91"/>
            </w:tcBorders>
            <w:vAlign w:val="bottom"/>
          </w:tcPr>
          <w:p w14:paraId="2B530EC9" w14:textId="77777777" w:rsidR="00643D10" w:rsidRPr="00D9348B" w:rsidRDefault="00643D10" w:rsidP="00DB330E">
            <w:pPr>
              <w:pStyle w:val="TableText"/>
              <w:spacing w:before="50" w:after="50"/>
              <w:rPr>
                <w:rFonts w:cs="Arial"/>
                <w:szCs w:val="16"/>
              </w:rPr>
            </w:pPr>
            <w:r w:rsidRPr="00D9348B">
              <w:rPr>
                <w:rFonts w:cs="Arial"/>
                <w:bCs/>
                <w:color w:val="000000"/>
                <w:szCs w:val="16"/>
              </w:rPr>
              <w:t>1.A.2.c</w:t>
            </w:r>
          </w:p>
        </w:tc>
        <w:tc>
          <w:tcPr>
            <w:tcW w:w="1482" w:type="pct"/>
            <w:tcBorders>
              <w:bottom w:val="single" w:sz="4" w:space="0" w:color="365F91"/>
            </w:tcBorders>
            <w:shd w:val="clear" w:color="auto" w:fill="auto"/>
            <w:noWrap/>
            <w:vAlign w:val="bottom"/>
          </w:tcPr>
          <w:p w14:paraId="2C6AFF5A" w14:textId="77777777" w:rsidR="00643D10" w:rsidRPr="00D9348B" w:rsidRDefault="00643D10" w:rsidP="00DB330E">
            <w:pPr>
              <w:pStyle w:val="TableText"/>
              <w:spacing w:before="50" w:after="50"/>
              <w:rPr>
                <w:rFonts w:cs="Arial"/>
                <w:szCs w:val="16"/>
              </w:rPr>
            </w:pPr>
            <w:r w:rsidRPr="00D9348B">
              <w:rPr>
                <w:rFonts w:cs="Arial"/>
                <w:bCs/>
                <w:color w:val="000000"/>
                <w:szCs w:val="16"/>
              </w:rPr>
              <w:t>Manufacturing Industries and Construction – Chemicals Gaseous Fuels</w:t>
            </w:r>
          </w:p>
        </w:tc>
        <w:tc>
          <w:tcPr>
            <w:tcW w:w="345" w:type="pct"/>
            <w:tcBorders>
              <w:bottom w:val="single" w:sz="4" w:space="0" w:color="365F91"/>
            </w:tcBorders>
            <w:shd w:val="clear" w:color="auto" w:fill="auto"/>
            <w:noWrap/>
            <w:vAlign w:val="bottom"/>
          </w:tcPr>
          <w:p w14:paraId="1FD2DA5E" w14:textId="77777777" w:rsidR="00643D10" w:rsidRPr="00D9348B" w:rsidRDefault="00643D10" w:rsidP="00DB330E">
            <w:pPr>
              <w:pStyle w:val="TableText"/>
              <w:spacing w:before="50" w:after="5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17" w:type="pct"/>
            <w:tcBorders>
              <w:bottom w:val="single" w:sz="4" w:space="0" w:color="365F91"/>
            </w:tcBorders>
            <w:shd w:val="clear" w:color="auto" w:fill="auto"/>
            <w:noWrap/>
            <w:vAlign w:val="bottom"/>
          </w:tcPr>
          <w:p w14:paraId="7710043D"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528.7</w:t>
            </w:r>
          </w:p>
        </w:tc>
        <w:tc>
          <w:tcPr>
            <w:tcW w:w="517" w:type="pct"/>
            <w:tcBorders>
              <w:bottom w:val="single" w:sz="4" w:space="0" w:color="365F91"/>
            </w:tcBorders>
            <w:shd w:val="clear" w:color="auto" w:fill="auto"/>
            <w:noWrap/>
            <w:vAlign w:val="bottom"/>
          </w:tcPr>
          <w:p w14:paraId="3C7F8BED"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1,241.0</w:t>
            </w:r>
          </w:p>
        </w:tc>
        <w:tc>
          <w:tcPr>
            <w:tcW w:w="517" w:type="pct"/>
            <w:tcBorders>
              <w:bottom w:val="single" w:sz="4" w:space="0" w:color="365F91"/>
            </w:tcBorders>
            <w:shd w:val="clear" w:color="auto" w:fill="auto"/>
            <w:noWrap/>
            <w:vAlign w:val="bottom"/>
          </w:tcPr>
          <w:p w14:paraId="0427CF01"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0.006</w:t>
            </w:r>
          </w:p>
        </w:tc>
        <w:tc>
          <w:tcPr>
            <w:tcW w:w="517" w:type="pct"/>
            <w:tcBorders>
              <w:bottom w:val="single" w:sz="4" w:space="0" w:color="365F91"/>
            </w:tcBorders>
            <w:shd w:val="clear" w:color="auto" w:fill="auto"/>
            <w:noWrap/>
            <w:vAlign w:val="bottom"/>
          </w:tcPr>
          <w:p w14:paraId="063D0CEB"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1.4</w:t>
            </w:r>
          </w:p>
        </w:tc>
        <w:tc>
          <w:tcPr>
            <w:tcW w:w="517" w:type="pct"/>
            <w:tcBorders>
              <w:bottom w:val="single" w:sz="4" w:space="0" w:color="365F91"/>
            </w:tcBorders>
            <w:shd w:val="clear" w:color="auto" w:fill="auto"/>
            <w:noWrap/>
            <w:vAlign w:val="bottom"/>
          </w:tcPr>
          <w:p w14:paraId="6F2545A5"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79.6</w:t>
            </w:r>
          </w:p>
        </w:tc>
      </w:tr>
      <w:tr w:rsidR="0011242D" w:rsidRPr="00D9348B" w14:paraId="11938A7D" w14:textId="77777777" w:rsidTr="002851BB">
        <w:tc>
          <w:tcPr>
            <w:tcW w:w="586" w:type="pct"/>
            <w:tcBorders>
              <w:bottom w:val="single" w:sz="4" w:space="0" w:color="365F91"/>
            </w:tcBorders>
            <w:vAlign w:val="bottom"/>
          </w:tcPr>
          <w:p w14:paraId="53E7C427" w14:textId="77777777" w:rsidR="00643D10" w:rsidRPr="00D9348B" w:rsidRDefault="00643D10" w:rsidP="00DB330E">
            <w:pPr>
              <w:pStyle w:val="TableText"/>
              <w:spacing w:before="50" w:after="50"/>
              <w:rPr>
                <w:rFonts w:cs="Arial"/>
                <w:szCs w:val="16"/>
              </w:rPr>
            </w:pPr>
            <w:r w:rsidRPr="00D9348B">
              <w:rPr>
                <w:rFonts w:cs="Arial"/>
                <w:bCs/>
                <w:color w:val="000000"/>
                <w:szCs w:val="16"/>
              </w:rPr>
              <w:t>3.H</w:t>
            </w:r>
          </w:p>
        </w:tc>
        <w:tc>
          <w:tcPr>
            <w:tcW w:w="1482" w:type="pct"/>
            <w:tcBorders>
              <w:bottom w:val="single" w:sz="4" w:space="0" w:color="365F91"/>
            </w:tcBorders>
            <w:shd w:val="clear" w:color="auto" w:fill="auto"/>
            <w:noWrap/>
            <w:vAlign w:val="bottom"/>
          </w:tcPr>
          <w:p w14:paraId="7D5CE255" w14:textId="77777777" w:rsidR="00643D10" w:rsidRPr="00D9348B" w:rsidRDefault="00643D10" w:rsidP="00DB330E">
            <w:pPr>
              <w:pStyle w:val="TableText"/>
              <w:spacing w:before="50" w:after="50"/>
              <w:rPr>
                <w:rFonts w:cs="Arial"/>
                <w:szCs w:val="16"/>
              </w:rPr>
            </w:pPr>
            <w:r w:rsidRPr="00D9348B">
              <w:rPr>
                <w:rFonts w:cs="Arial"/>
                <w:bCs/>
                <w:color w:val="000000"/>
                <w:szCs w:val="16"/>
              </w:rPr>
              <w:t>Agriculture – Urea Application</w:t>
            </w:r>
          </w:p>
        </w:tc>
        <w:tc>
          <w:tcPr>
            <w:tcW w:w="345" w:type="pct"/>
            <w:tcBorders>
              <w:bottom w:val="single" w:sz="4" w:space="0" w:color="365F91"/>
            </w:tcBorders>
            <w:shd w:val="clear" w:color="auto" w:fill="auto"/>
            <w:noWrap/>
            <w:vAlign w:val="bottom"/>
          </w:tcPr>
          <w:p w14:paraId="6F63D2BC" w14:textId="77777777" w:rsidR="00643D10" w:rsidRPr="00D9348B" w:rsidRDefault="00643D10" w:rsidP="00DB330E">
            <w:pPr>
              <w:pStyle w:val="TableText"/>
              <w:spacing w:before="50" w:after="5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17" w:type="pct"/>
            <w:tcBorders>
              <w:bottom w:val="single" w:sz="4" w:space="0" w:color="365F91"/>
            </w:tcBorders>
            <w:shd w:val="clear" w:color="auto" w:fill="auto"/>
            <w:noWrap/>
            <w:vAlign w:val="bottom"/>
          </w:tcPr>
          <w:p w14:paraId="639859E0"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39.2</w:t>
            </w:r>
          </w:p>
        </w:tc>
        <w:tc>
          <w:tcPr>
            <w:tcW w:w="517" w:type="pct"/>
            <w:tcBorders>
              <w:bottom w:val="single" w:sz="4" w:space="0" w:color="365F91"/>
            </w:tcBorders>
            <w:shd w:val="clear" w:color="auto" w:fill="auto"/>
            <w:noWrap/>
            <w:vAlign w:val="bottom"/>
          </w:tcPr>
          <w:p w14:paraId="66BCCFA6"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608.2</w:t>
            </w:r>
          </w:p>
        </w:tc>
        <w:tc>
          <w:tcPr>
            <w:tcW w:w="517" w:type="pct"/>
            <w:tcBorders>
              <w:bottom w:val="single" w:sz="4" w:space="0" w:color="365F91"/>
            </w:tcBorders>
            <w:shd w:val="clear" w:color="auto" w:fill="auto"/>
            <w:noWrap/>
            <w:vAlign w:val="bottom"/>
          </w:tcPr>
          <w:p w14:paraId="7476F502"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0.006</w:t>
            </w:r>
          </w:p>
        </w:tc>
        <w:tc>
          <w:tcPr>
            <w:tcW w:w="517" w:type="pct"/>
            <w:tcBorders>
              <w:bottom w:val="single" w:sz="4" w:space="0" w:color="365F91"/>
            </w:tcBorders>
            <w:shd w:val="clear" w:color="auto" w:fill="auto"/>
            <w:noWrap/>
            <w:vAlign w:val="bottom"/>
          </w:tcPr>
          <w:p w14:paraId="12A2488A"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1.3</w:t>
            </w:r>
          </w:p>
        </w:tc>
        <w:tc>
          <w:tcPr>
            <w:tcW w:w="517" w:type="pct"/>
            <w:tcBorders>
              <w:bottom w:val="single" w:sz="4" w:space="0" w:color="365F91"/>
            </w:tcBorders>
            <w:shd w:val="clear" w:color="auto" w:fill="auto"/>
            <w:noWrap/>
            <w:vAlign w:val="bottom"/>
          </w:tcPr>
          <w:p w14:paraId="76C57E84"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81.0</w:t>
            </w:r>
          </w:p>
        </w:tc>
      </w:tr>
      <w:tr w:rsidR="0011242D" w:rsidRPr="00D9348B" w14:paraId="317EFA4A" w14:textId="77777777" w:rsidTr="002851BB">
        <w:tc>
          <w:tcPr>
            <w:tcW w:w="586" w:type="pct"/>
            <w:tcBorders>
              <w:bottom w:val="single" w:sz="4" w:space="0" w:color="365F91"/>
            </w:tcBorders>
            <w:vAlign w:val="bottom"/>
          </w:tcPr>
          <w:p w14:paraId="64348CB0" w14:textId="77777777" w:rsidR="00643D10" w:rsidRPr="00D9348B" w:rsidRDefault="00643D10" w:rsidP="00DB330E">
            <w:pPr>
              <w:pStyle w:val="TableText"/>
              <w:spacing w:before="50" w:after="50"/>
              <w:rPr>
                <w:rFonts w:cs="Arial"/>
                <w:szCs w:val="16"/>
              </w:rPr>
            </w:pPr>
            <w:r w:rsidRPr="00D9348B">
              <w:rPr>
                <w:rFonts w:cs="Arial"/>
                <w:bCs/>
                <w:color w:val="000000"/>
                <w:szCs w:val="16"/>
              </w:rPr>
              <w:t>1.A.2.e</w:t>
            </w:r>
          </w:p>
        </w:tc>
        <w:tc>
          <w:tcPr>
            <w:tcW w:w="1482" w:type="pct"/>
            <w:tcBorders>
              <w:bottom w:val="single" w:sz="4" w:space="0" w:color="365F91"/>
            </w:tcBorders>
            <w:shd w:val="clear" w:color="auto" w:fill="auto"/>
            <w:noWrap/>
            <w:vAlign w:val="bottom"/>
          </w:tcPr>
          <w:p w14:paraId="4F062D61" w14:textId="77777777" w:rsidR="00643D10" w:rsidRPr="00D9348B" w:rsidRDefault="00643D10" w:rsidP="00DB330E">
            <w:pPr>
              <w:pStyle w:val="TableText"/>
              <w:spacing w:before="50" w:after="50"/>
              <w:rPr>
                <w:rFonts w:cs="Arial"/>
                <w:szCs w:val="16"/>
              </w:rPr>
            </w:pPr>
            <w:r w:rsidRPr="00D9348B">
              <w:rPr>
                <w:rFonts w:cs="Arial"/>
                <w:bCs/>
                <w:color w:val="000000"/>
                <w:szCs w:val="16"/>
              </w:rPr>
              <w:t>Manufacturing Industries and Construction – Food Processing, Beverages and Tobacco Solid Fuels</w:t>
            </w:r>
          </w:p>
        </w:tc>
        <w:tc>
          <w:tcPr>
            <w:tcW w:w="345" w:type="pct"/>
            <w:tcBorders>
              <w:bottom w:val="single" w:sz="4" w:space="0" w:color="365F91"/>
            </w:tcBorders>
            <w:shd w:val="clear" w:color="auto" w:fill="auto"/>
            <w:noWrap/>
            <w:vAlign w:val="bottom"/>
          </w:tcPr>
          <w:p w14:paraId="3B07BC3A" w14:textId="77777777" w:rsidR="00643D10" w:rsidRPr="00D9348B" w:rsidRDefault="00643D10" w:rsidP="00DB330E">
            <w:pPr>
              <w:pStyle w:val="TableText"/>
              <w:spacing w:before="50" w:after="5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17" w:type="pct"/>
            <w:tcBorders>
              <w:bottom w:val="single" w:sz="4" w:space="0" w:color="365F91"/>
            </w:tcBorders>
            <w:shd w:val="clear" w:color="auto" w:fill="auto"/>
            <w:noWrap/>
            <w:vAlign w:val="bottom"/>
          </w:tcPr>
          <w:p w14:paraId="32CCDCAE"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938.6</w:t>
            </w:r>
          </w:p>
        </w:tc>
        <w:tc>
          <w:tcPr>
            <w:tcW w:w="517" w:type="pct"/>
            <w:tcBorders>
              <w:bottom w:val="single" w:sz="4" w:space="0" w:color="365F91"/>
            </w:tcBorders>
            <w:shd w:val="clear" w:color="auto" w:fill="auto"/>
            <w:noWrap/>
            <w:vAlign w:val="bottom"/>
          </w:tcPr>
          <w:p w14:paraId="783AD05B"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1,626.7</w:t>
            </w:r>
          </w:p>
        </w:tc>
        <w:tc>
          <w:tcPr>
            <w:tcW w:w="517" w:type="pct"/>
            <w:tcBorders>
              <w:bottom w:val="single" w:sz="4" w:space="0" w:color="365F91"/>
            </w:tcBorders>
            <w:shd w:val="clear" w:color="auto" w:fill="auto"/>
            <w:noWrap/>
            <w:vAlign w:val="bottom"/>
          </w:tcPr>
          <w:p w14:paraId="03582866"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0.005</w:t>
            </w:r>
          </w:p>
        </w:tc>
        <w:tc>
          <w:tcPr>
            <w:tcW w:w="517" w:type="pct"/>
            <w:tcBorders>
              <w:bottom w:val="single" w:sz="4" w:space="0" w:color="365F91"/>
            </w:tcBorders>
            <w:shd w:val="clear" w:color="auto" w:fill="auto"/>
            <w:noWrap/>
            <w:vAlign w:val="bottom"/>
          </w:tcPr>
          <w:p w14:paraId="681295E9"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1.1</w:t>
            </w:r>
          </w:p>
        </w:tc>
        <w:tc>
          <w:tcPr>
            <w:tcW w:w="517" w:type="pct"/>
            <w:tcBorders>
              <w:bottom w:val="single" w:sz="4" w:space="0" w:color="365F91"/>
            </w:tcBorders>
            <w:shd w:val="clear" w:color="auto" w:fill="auto"/>
            <w:noWrap/>
            <w:vAlign w:val="bottom"/>
          </w:tcPr>
          <w:p w14:paraId="2C0E0913"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82.1</w:t>
            </w:r>
          </w:p>
        </w:tc>
      </w:tr>
      <w:tr w:rsidR="0011242D" w:rsidRPr="00D9348B" w14:paraId="3C2604C5" w14:textId="77777777" w:rsidTr="002851BB">
        <w:tc>
          <w:tcPr>
            <w:tcW w:w="586" w:type="pct"/>
            <w:tcBorders>
              <w:bottom w:val="single" w:sz="4" w:space="0" w:color="365F91"/>
            </w:tcBorders>
            <w:vAlign w:val="bottom"/>
          </w:tcPr>
          <w:p w14:paraId="6F54C14C" w14:textId="77777777" w:rsidR="00643D10" w:rsidRPr="00D9348B" w:rsidRDefault="00643D10" w:rsidP="00DB330E">
            <w:pPr>
              <w:pStyle w:val="TableText"/>
              <w:spacing w:before="50" w:after="50"/>
              <w:rPr>
                <w:rFonts w:cs="Arial"/>
                <w:szCs w:val="16"/>
              </w:rPr>
            </w:pPr>
            <w:r w:rsidRPr="00D9348B">
              <w:rPr>
                <w:rFonts w:cs="Arial"/>
                <w:bCs/>
                <w:color w:val="000000"/>
                <w:szCs w:val="16"/>
              </w:rPr>
              <w:t>1.A.2.e</w:t>
            </w:r>
          </w:p>
        </w:tc>
        <w:tc>
          <w:tcPr>
            <w:tcW w:w="1482" w:type="pct"/>
            <w:tcBorders>
              <w:bottom w:val="single" w:sz="4" w:space="0" w:color="365F91"/>
            </w:tcBorders>
            <w:shd w:val="clear" w:color="auto" w:fill="auto"/>
            <w:noWrap/>
            <w:vAlign w:val="bottom"/>
          </w:tcPr>
          <w:p w14:paraId="21886757" w14:textId="77777777" w:rsidR="00643D10" w:rsidRPr="00D9348B" w:rsidRDefault="00643D10" w:rsidP="00DB330E">
            <w:pPr>
              <w:pStyle w:val="TableText"/>
              <w:spacing w:before="50" w:after="50"/>
              <w:rPr>
                <w:rFonts w:cs="Arial"/>
                <w:szCs w:val="16"/>
              </w:rPr>
            </w:pPr>
            <w:r w:rsidRPr="00D9348B">
              <w:rPr>
                <w:rFonts w:cs="Arial"/>
                <w:bCs/>
                <w:color w:val="000000"/>
                <w:szCs w:val="16"/>
              </w:rPr>
              <w:t>Manufacturing Industries and Construction – Food Processing, Beverages and Tobacco Gaseous Fuels</w:t>
            </w:r>
          </w:p>
        </w:tc>
        <w:tc>
          <w:tcPr>
            <w:tcW w:w="345" w:type="pct"/>
            <w:tcBorders>
              <w:bottom w:val="single" w:sz="4" w:space="0" w:color="365F91"/>
            </w:tcBorders>
            <w:shd w:val="clear" w:color="auto" w:fill="auto"/>
            <w:noWrap/>
            <w:vAlign w:val="bottom"/>
          </w:tcPr>
          <w:p w14:paraId="08F12949" w14:textId="77777777" w:rsidR="00643D10" w:rsidRPr="00D9348B" w:rsidRDefault="00643D10" w:rsidP="00DB330E">
            <w:pPr>
              <w:pStyle w:val="TableText"/>
              <w:spacing w:before="50" w:after="5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17" w:type="pct"/>
            <w:tcBorders>
              <w:bottom w:val="single" w:sz="4" w:space="0" w:color="365F91"/>
            </w:tcBorders>
            <w:shd w:val="clear" w:color="auto" w:fill="auto"/>
            <w:noWrap/>
            <w:vAlign w:val="bottom"/>
          </w:tcPr>
          <w:p w14:paraId="26C97D3C"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445.1</w:t>
            </w:r>
          </w:p>
        </w:tc>
        <w:tc>
          <w:tcPr>
            <w:tcW w:w="517" w:type="pct"/>
            <w:tcBorders>
              <w:bottom w:val="single" w:sz="4" w:space="0" w:color="365F91"/>
            </w:tcBorders>
            <w:shd w:val="clear" w:color="auto" w:fill="auto"/>
            <w:noWrap/>
            <w:vAlign w:val="bottom"/>
          </w:tcPr>
          <w:p w14:paraId="1AD6249E"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1,010.7</w:t>
            </w:r>
          </w:p>
        </w:tc>
        <w:tc>
          <w:tcPr>
            <w:tcW w:w="517" w:type="pct"/>
            <w:tcBorders>
              <w:bottom w:val="single" w:sz="4" w:space="0" w:color="365F91"/>
            </w:tcBorders>
            <w:shd w:val="clear" w:color="auto" w:fill="auto"/>
            <w:noWrap/>
            <w:vAlign w:val="bottom"/>
          </w:tcPr>
          <w:p w14:paraId="24476F42"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0.005</w:t>
            </w:r>
          </w:p>
        </w:tc>
        <w:tc>
          <w:tcPr>
            <w:tcW w:w="517" w:type="pct"/>
            <w:tcBorders>
              <w:bottom w:val="single" w:sz="4" w:space="0" w:color="365F91"/>
            </w:tcBorders>
            <w:shd w:val="clear" w:color="auto" w:fill="auto"/>
            <w:noWrap/>
            <w:vAlign w:val="bottom"/>
          </w:tcPr>
          <w:p w14:paraId="6383F0BF"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1.1</w:t>
            </w:r>
          </w:p>
        </w:tc>
        <w:tc>
          <w:tcPr>
            <w:tcW w:w="517" w:type="pct"/>
            <w:tcBorders>
              <w:bottom w:val="single" w:sz="4" w:space="0" w:color="365F91"/>
            </w:tcBorders>
            <w:shd w:val="clear" w:color="auto" w:fill="auto"/>
            <w:noWrap/>
            <w:vAlign w:val="bottom"/>
          </w:tcPr>
          <w:p w14:paraId="57B7AAF3"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83.1</w:t>
            </w:r>
          </w:p>
        </w:tc>
      </w:tr>
      <w:tr w:rsidR="0011242D" w:rsidRPr="00D9348B" w14:paraId="29479823" w14:textId="77777777" w:rsidTr="002851BB">
        <w:tc>
          <w:tcPr>
            <w:tcW w:w="586" w:type="pct"/>
            <w:tcBorders>
              <w:bottom w:val="single" w:sz="4" w:space="0" w:color="365F91"/>
            </w:tcBorders>
            <w:vAlign w:val="bottom"/>
          </w:tcPr>
          <w:p w14:paraId="1991C0E7" w14:textId="77777777" w:rsidR="00643D10" w:rsidRPr="00D9348B" w:rsidRDefault="00643D10" w:rsidP="00DB330E">
            <w:pPr>
              <w:pStyle w:val="TableText"/>
              <w:spacing w:before="50" w:after="50"/>
              <w:rPr>
                <w:rFonts w:cs="Arial"/>
                <w:szCs w:val="16"/>
              </w:rPr>
            </w:pPr>
            <w:r w:rsidRPr="00D9348B">
              <w:rPr>
                <w:rFonts w:cs="Arial"/>
                <w:bCs/>
                <w:color w:val="000000"/>
                <w:szCs w:val="16"/>
              </w:rPr>
              <w:t>1.A.4.b</w:t>
            </w:r>
          </w:p>
        </w:tc>
        <w:tc>
          <w:tcPr>
            <w:tcW w:w="1482" w:type="pct"/>
            <w:tcBorders>
              <w:bottom w:val="single" w:sz="4" w:space="0" w:color="365F91"/>
            </w:tcBorders>
            <w:shd w:val="clear" w:color="auto" w:fill="auto"/>
            <w:noWrap/>
            <w:vAlign w:val="bottom"/>
          </w:tcPr>
          <w:p w14:paraId="07A20E66" w14:textId="77777777" w:rsidR="00643D10" w:rsidRPr="00D9348B" w:rsidRDefault="00643D10" w:rsidP="00DB330E">
            <w:pPr>
              <w:pStyle w:val="TableText"/>
              <w:spacing w:before="50" w:after="50"/>
              <w:rPr>
                <w:rFonts w:cs="Arial"/>
                <w:szCs w:val="16"/>
              </w:rPr>
            </w:pPr>
            <w:r w:rsidRPr="00D9348B">
              <w:rPr>
                <w:rFonts w:cs="Arial"/>
                <w:bCs/>
                <w:color w:val="000000"/>
                <w:szCs w:val="16"/>
              </w:rPr>
              <w:t>Other Sectors – Residential Solid Fuels</w:t>
            </w:r>
          </w:p>
        </w:tc>
        <w:tc>
          <w:tcPr>
            <w:tcW w:w="345" w:type="pct"/>
            <w:tcBorders>
              <w:bottom w:val="single" w:sz="4" w:space="0" w:color="365F91"/>
            </w:tcBorders>
            <w:shd w:val="clear" w:color="auto" w:fill="auto"/>
            <w:noWrap/>
            <w:vAlign w:val="bottom"/>
          </w:tcPr>
          <w:p w14:paraId="6F0F2689" w14:textId="77777777" w:rsidR="00643D10" w:rsidRPr="00D9348B" w:rsidRDefault="00643D10" w:rsidP="00DB330E">
            <w:pPr>
              <w:pStyle w:val="TableText"/>
              <w:spacing w:before="50" w:after="5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17" w:type="pct"/>
            <w:tcBorders>
              <w:bottom w:val="single" w:sz="4" w:space="0" w:color="365F91"/>
            </w:tcBorders>
            <w:shd w:val="clear" w:color="auto" w:fill="auto"/>
            <w:noWrap/>
            <w:vAlign w:val="bottom"/>
          </w:tcPr>
          <w:p w14:paraId="33463A8D"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344.9</w:t>
            </w:r>
          </w:p>
        </w:tc>
        <w:tc>
          <w:tcPr>
            <w:tcW w:w="517" w:type="pct"/>
            <w:tcBorders>
              <w:bottom w:val="single" w:sz="4" w:space="0" w:color="365F91"/>
            </w:tcBorders>
            <w:shd w:val="clear" w:color="auto" w:fill="auto"/>
            <w:noWrap/>
            <w:vAlign w:val="bottom"/>
          </w:tcPr>
          <w:p w14:paraId="2840F28A"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27.0</w:t>
            </w:r>
          </w:p>
        </w:tc>
        <w:tc>
          <w:tcPr>
            <w:tcW w:w="517" w:type="pct"/>
            <w:tcBorders>
              <w:bottom w:val="single" w:sz="4" w:space="0" w:color="365F91"/>
            </w:tcBorders>
            <w:shd w:val="clear" w:color="auto" w:fill="auto"/>
            <w:noWrap/>
            <w:vAlign w:val="bottom"/>
          </w:tcPr>
          <w:p w14:paraId="5EA55E44"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0.004</w:t>
            </w:r>
          </w:p>
        </w:tc>
        <w:tc>
          <w:tcPr>
            <w:tcW w:w="517" w:type="pct"/>
            <w:tcBorders>
              <w:bottom w:val="single" w:sz="4" w:space="0" w:color="365F91"/>
            </w:tcBorders>
            <w:shd w:val="clear" w:color="auto" w:fill="auto"/>
            <w:noWrap/>
            <w:vAlign w:val="bottom"/>
          </w:tcPr>
          <w:p w14:paraId="091E3125"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1.0</w:t>
            </w:r>
          </w:p>
        </w:tc>
        <w:tc>
          <w:tcPr>
            <w:tcW w:w="517" w:type="pct"/>
            <w:tcBorders>
              <w:bottom w:val="single" w:sz="4" w:space="0" w:color="365F91"/>
            </w:tcBorders>
            <w:shd w:val="clear" w:color="auto" w:fill="auto"/>
            <w:noWrap/>
            <w:vAlign w:val="bottom"/>
          </w:tcPr>
          <w:p w14:paraId="66501522"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84.1</w:t>
            </w:r>
          </w:p>
        </w:tc>
      </w:tr>
      <w:tr w:rsidR="0011242D" w:rsidRPr="00D9348B" w14:paraId="34FC02FB" w14:textId="77777777" w:rsidTr="002851BB">
        <w:tc>
          <w:tcPr>
            <w:tcW w:w="586" w:type="pct"/>
            <w:tcBorders>
              <w:bottom w:val="single" w:sz="4" w:space="0" w:color="365F91"/>
            </w:tcBorders>
            <w:vAlign w:val="bottom"/>
          </w:tcPr>
          <w:p w14:paraId="3AA447F0" w14:textId="77777777" w:rsidR="00643D10" w:rsidRPr="00D9348B" w:rsidRDefault="00643D10" w:rsidP="00DB330E">
            <w:pPr>
              <w:pStyle w:val="TableText"/>
              <w:spacing w:before="50" w:after="50"/>
              <w:rPr>
                <w:rFonts w:cs="Arial"/>
                <w:szCs w:val="16"/>
              </w:rPr>
            </w:pPr>
            <w:r w:rsidRPr="00D9348B">
              <w:rPr>
                <w:rFonts w:cs="Arial"/>
                <w:bCs/>
                <w:color w:val="000000"/>
                <w:szCs w:val="16"/>
              </w:rPr>
              <w:t>1.A.1.b</w:t>
            </w:r>
          </w:p>
        </w:tc>
        <w:tc>
          <w:tcPr>
            <w:tcW w:w="1482" w:type="pct"/>
            <w:tcBorders>
              <w:bottom w:val="single" w:sz="4" w:space="0" w:color="365F91"/>
            </w:tcBorders>
            <w:shd w:val="clear" w:color="auto" w:fill="auto"/>
            <w:noWrap/>
            <w:vAlign w:val="bottom"/>
          </w:tcPr>
          <w:p w14:paraId="4B689821" w14:textId="77777777" w:rsidR="00643D10" w:rsidRPr="00D9348B" w:rsidRDefault="00643D10" w:rsidP="00DB330E">
            <w:pPr>
              <w:pStyle w:val="TableText"/>
              <w:spacing w:before="50" w:after="50"/>
              <w:rPr>
                <w:rFonts w:cs="Arial"/>
                <w:szCs w:val="16"/>
              </w:rPr>
            </w:pPr>
            <w:r w:rsidRPr="00D9348B">
              <w:rPr>
                <w:rFonts w:cs="Arial"/>
                <w:bCs/>
                <w:color w:val="000000"/>
                <w:szCs w:val="16"/>
              </w:rPr>
              <w:t>Energy Industries – Petroleum Refining Liquid Fuels</w:t>
            </w:r>
          </w:p>
        </w:tc>
        <w:tc>
          <w:tcPr>
            <w:tcW w:w="345" w:type="pct"/>
            <w:tcBorders>
              <w:bottom w:val="single" w:sz="4" w:space="0" w:color="365F91"/>
            </w:tcBorders>
            <w:shd w:val="clear" w:color="auto" w:fill="auto"/>
            <w:noWrap/>
            <w:vAlign w:val="bottom"/>
          </w:tcPr>
          <w:p w14:paraId="06A110F2" w14:textId="77777777" w:rsidR="00643D10" w:rsidRPr="00D9348B" w:rsidRDefault="00643D10" w:rsidP="00DB330E">
            <w:pPr>
              <w:pStyle w:val="TableText"/>
              <w:spacing w:before="50" w:after="5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17" w:type="pct"/>
            <w:tcBorders>
              <w:bottom w:val="single" w:sz="4" w:space="0" w:color="365F91"/>
            </w:tcBorders>
            <w:shd w:val="clear" w:color="auto" w:fill="auto"/>
            <w:noWrap/>
            <w:vAlign w:val="bottom"/>
          </w:tcPr>
          <w:p w14:paraId="6C13B70E"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778.9</w:t>
            </w:r>
          </w:p>
        </w:tc>
        <w:tc>
          <w:tcPr>
            <w:tcW w:w="517" w:type="pct"/>
            <w:tcBorders>
              <w:bottom w:val="single" w:sz="4" w:space="0" w:color="365F91"/>
            </w:tcBorders>
            <w:shd w:val="clear" w:color="auto" w:fill="auto"/>
            <w:noWrap/>
            <w:vAlign w:val="bottom"/>
          </w:tcPr>
          <w:p w14:paraId="4B627531"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579.7</w:t>
            </w:r>
          </w:p>
        </w:tc>
        <w:tc>
          <w:tcPr>
            <w:tcW w:w="517" w:type="pct"/>
            <w:tcBorders>
              <w:bottom w:val="single" w:sz="4" w:space="0" w:color="365F91"/>
            </w:tcBorders>
            <w:shd w:val="clear" w:color="auto" w:fill="auto"/>
            <w:noWrap/>
            <w:vAlign w:val="bottom"/>
          </w:tcPr>
          <w:p w14:paraId="1B36C23A"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0.004</w:t>
            </w:r>
          </w:p>
        </w:tc>
        <w:tc>
          <w:tcPr>
            <w:tcW w:w="517" w:type="pct"/>
            <w:tcBorders>
              <w:bottom w:val="single" w:sz="4" w:space="0" w:color="365F91"/>
            </w:tcBorders>
            <w:shd w:val="clear" w:color="auto" w:fill="auto"/>
            <w:noWrap/>
            <w:vAlign w:val="bottom"/>
          </w:tcPr>
          <w:p w14:paraId="1EC5F45A"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0.9</w:t>
            </w:r>
          </w:p>
        </w:tc>
        <w:tc>
          <w:tcPr>
            <w:tcW w:w="517" w:type="pct"/>
            <w:tcBorders>
              <w:bottom w:val="single" w:sz="4" w:space="0" w:color="365F91"/>
            </w:tcBorders>
            <w:shd w:val="clear" w:color="auto" w:fill="auto"/>
            <w:noWrap/>
            <w:vAlign w:val="bottom"/>
          </w:tcPr>
          <w:p w14:paraId="2B3BECE6"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85.0</w:t>
            </w:r>
          </w:p>
        </w:tc>
      </w:tr>
      <w:tr w:rsidR="0011242D" w:rsidRPr="00D9348B" w14:paraId="3570A4B1" w14:textId="77777777" w:rsidTr="002851BB">
        <w:tc>
          <w:tcPr>
            <w:tcW w:w="586" w:type="pct"/>
            <w:tcBorders>
              <w:bottom w:val="single" w:sz="4" w:space="0" w:color="365F91"/>
            </w:tcBorders>
            <w:vAlign w:val="bottom"/>
          </w:tcPr>
          <w:p w14:paraId="430B1F57" w14:textId="77777777" w:rsidR="00643D10" w:rsidRPr="00D9348B" w:rsidRDefault="00643D10" w:rsidP="00DB330E">
            <w:pPr>
              <w:pStyle w:val="TableText"/>
              <w:spacing w:before="50" w:after="50"/>
              <w:rPr>
                <w:rFonts w:cs="Arial"/>
                <w:szCs w:val="16"/>
              </w:rPr>
            </w:pPr>
            <w:r w:rsidRPr="00D9348B">
              <w:rPr>
                <w:rFonts w:cs="Arial"/>
                <w:bCs/>
                <w:color w:val="000000"/>
                <w:szCs w:val="16"/>
              </w:rPr>
              <w:t>1.A.4.a</w:t>
            </w:r>
          </w:p>
        </w:tc>
        <w:tc>
          <w:tcPr>
            <w:tcW w:w="1482" w:type="pct"/>
            <w:tcBorders>
              <w:bottom w:val="single" w:sz="4" w:space="0" w:color="365F91"/>
            </w:tcBorders>
            <w:shd w:val="clear" w:color="auto" w:fill="auto"/>
            <w:noWrap/>
            <w:vAlign w:val="bottom"/>
          </w:tcPr>
          <w:p w14:paraId="1CBE2360" w14:textId="77777777" w:rsidR="00643D10" w:rsidRPr="00D9348B" w:rsidRDefault="00643D10" w:rsidP="00DB330E">
            <w:pPr>
              <w:pStyle w:val="TableText"/>
              <w:spacing w:before="50" w:after="50"/>
              <w:rPr>
                <w:rFonts w:cs="Arial"/>
                <w:szCs w:val="16"/>
              </w:rPr>
            </w:pPr>
            <w:r w:rsidRPr="00D9348B">
              <w:rPr>
                <w:rFonts w:cs="Arial"/>
                <w:bCs/>
                <w:color w:val="000000"/>
                <w:szCs w:val="16"/>
              </w:rPr>
              <w:t>Other Sectors – Commercial/Institutional Liquid Fuels</w:t>
            </w:r>
          </w:p>
        </w:tc>
        <w:tc>
          <w:tcPr>
            <w:tcW w:w="345" w:type="pct"/>
            <w:tcBorders>
              <w:bottom w:val="single" w:sz="4" w:space="0" w:color="365F91"/>
            </w:tcBorders>
            <w:shd w:val="clear" w:color="auto" w:fill="auto"/>
            <w:noWrap/>
            <w:vAlign w:val="bottom"/>
          </w:tcPr>
          <w:p w14:paraId="455FDA63" w14:textId="77777777" w:rsidR="00643D10" w:rsidRPr="00D9348B" w:rsidRDefault="00643D10" w:rsidP="00DB330E">
            <w:pPr>
              <w:pStyle w:val="TableText"/>
              <w:spacing w:before="50" w:after="5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17" w:type="pct"/>
            <w:tcBorders>
              <w:bottom w:val="single" w:sz="4" w:space="0" w:color="365F91"/>
            </w:tcBorders>
            <w:shd w:val="clear" w:color="auto" w:fill="auto"/>
            <w:noWrap/>
            <w:vAlign w:val="bottom"/>
          </w:tcPr>
          <w:p w14:paraId="0949F0DE"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500.6</w:t>
            </w:r>
          </w:p>
        </w:tc>
        <w:tc>
          <w:tcPr>
            <w:tcW w:w="517" w:type="pct"/>
            <w:tcBorders>
              <w:bottom w:val="single" w:sz="4" w:space="0" w:color="365F91"/>
            </w:tcBorders>
            <w:shd w:val="clear" w:color="auto" w:fill="auto"/>
            <w:noWrap/>
            <w:vAlign w:val="bottom"/>
          </w:tcPr>
          <w:p w14:paraId="74AA3383"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260.9</w:t>
            </w:r>
          </w:p>
        </w:tc>
        <w:tc>
          <w:tcPr>
            <w:tcW w:w="517" w:type="pct"/>
            <w:tcBorders>
              <w:bottom w:val="single" w:sz="4" w:space="0" w:color="365F91"/>
            </w:tcBorders>
            <w:shd w:val="clear" w:color="auto" w:fill="auto"/>
            <w:noWrap/>
            <w:vAlign w:val="bottom"/>
          </w:tcPr>
          <w:p w14:paraId="408711A4"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0.004</w:t>
            </w:r>
          </w:p>
        </w:tc>
        <w:tc>
          <w:tcPr>
            <w:tcW w:w="517" w:type="pct"/>
            <w:tcBorders>
              <w:bottom w:val="single" w:sz="4" w:space="0" w:color="365F91"/>
            </w:tcBorders>
            <w:shd w:val="clear" w:color="auto" w:fill="auto"/>
            <w:noWrap/>
            <w:vAlign w:val="bottom"/>
          </w:tcPr>
          <w:p w14:paraId="18BC8D88"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0.9</w:t>
            </w:r>
          </w:p>
        </w:tc>
        <w:tc>
          <w:tcPr>
            <w:tcW w:w="517" w:type="pct"/>
            <w:tcBorders>
              <w:bottom w:val="single" w:sz="4" w:space="0" w:color="365F91"/>
            </w:tcBorders>
            <w:shd w:val="clear" w:color="auto" w:fill="auto"/>
            <w:noWrap/>
            <w:vAlign w:val="bottom"/>
          </w:tcPr>
          <w:p w14:paraId="148E62CA"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85.9</w:t>
            </w:r>
          </w:p>
        </w:tc>
      </w:tr>
      <w:tr w:rsidR="0011242D" w:rsidRPr="00D9348B" w14:paraId="525B2D49" w14:textId="77777777" w:rsidTr="002851BB">
        <w:tc>
          <w:tcPr>
            <w:tcW w:w="586" w:type="pct"/>
            <w:tcBorders>
              <w:bottom w:val="single" w:sz="4" w:space="0" w:color="365F91"/>
            </w:tcBorders>
            <w:vAlign w:val="bottom"/>
          </w:tcPr>
          <w:p w14:paraId="3D6AF4D1" w14:textId="77777777" w:rsidR="00643D10" w:rsidRPr="00D9348B" w:rsidRDefault="00643D10" w:rsidP="00DB330E">
            <w:pPr>
              <w:pStyle w:val="TableText"/>
              <w:spacing w:before="50" w:after="50"/>
              <w:rPr>
                <w:rFonts w:cs="Arial"/>
                <w:szCs w:val="16"/>
              </w:rPr>
            </w:pPr>
            <w:r w:rsidRPr="00D9348B">
              <w:rPr>
                <w:rFonts w:cs="Arial"/>
                <w:bCs/>
                <w:color w:val="000000"/>
                <w:szCs w:val="16"/>
              </w:rPr>
              <w:t>1.A.1.a</w:t>
            </w:r>
          </w:p>
        </w:tc>
        <w:tc>
          <w:tcPr>
            <w:tcW w:w="1482" w:type="pct"/>
            <w:tcBorders>
              <w:bottom w:val="single" w:sz="4" w:space="0" w:color="365F91"/>
            </w:tcBorders>
            <w:shd w:val="clear" w:color="auto" w:fill="auto"/>
            <w:noWrap/>
            <w:vAlign w:val="bottom"/>
          </w:tcPr>
          <w:p w14:paraId="4B3EB996" w14:textId="77777777" w:rsidR="00643D10" w:rsidRPr="00D9348B" w:rsidRDefault="00643D10" w:rsidP="00DB330E">
            <w:pPr>
              <w:pStyle w:val="TableText"/>
              <w:spacing w:before="50" w:after="50"/>
              <w:rPr>
                <w:rFonts w:cs="Arial"/>
                <w:szCs w:val="16"/>
              </w:rPr>
            </w:pPr>
            <w:r w:rsidRPr="00D9348B">
              <w:rPr>
                <w:rFonts w:cs="Arial"/>
                <w:bCs/>
                <w:color w:val="000000"/>
                <w:szCs w:val="16"/>
              </w:rPr>
              <w:t>Energy Industries – Public Electricity and Heat Production Solid Fuels</w:t>
            </w:r>
          </w:p>
        </w:tc>
        <w:tc>
          <w:tcPr>
            <w:tcW w:w="345" w:type="pct"/>
            <w:tcBorders>
              <w:bottom w:val="single" w:sz="4" w:space="0" w:color="365F91"/>
            </w:tcBorders>
            <w:shd w:val="clear" w:color="auto" w:fill="auto"/>
            <w:noWrap/>
            <w:vAlign w:val="bottom"/>
          </w:tcPr>
          <w:p w14:paraId="40628A28" w14:textId="77777777" w:rsidR="00643D10" w:rsidRPr="00D9348B" w:rsidRDefault="00643D10" w:rsidP="00DB330E">
            <w:pPr>
              <w:pStyle w:val="TableText"/>
              <w:spacing w:before="50" w:after="5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17" w:type="pct"/>
            <w:tcBorders>
              <w:bottom w:val="single" w:sz="4" w:space="0" w:color="365F91"/>
            </w:tcBorders>
            <w:shd w:val="clear" w:color="auto" w:fill="auto"/>
            <w:noWrap/>
            <w:vAlign w:val="bottom"/>
          </w:tcPr>
          <w:p w14:paraId="1F5AF221"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474.8</w:t>
            </w:r>
          </w:p>
        </w:tc>
        <w:tc>
          <w:tcPr>
            <w:tcW w:w="517" w:type="pct"/>
            <w:tcBorders>
              <w:bottom w:val="single" w:sz="4" w:space="0" w:color="365F91"/>
            </w:tcBorders>
            <w:shd w:val="clear" w:color="auto" w:fill="auto"/>
            <w:noWrap/>
            <w:vAlign w:val="bottom"/>
          </w:tcPr>
          <w:p w14:paraId="7F07AE68"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928.9</w:t>
            </w:r>
          </w:p>
        </w:tc>
        <w:tc>
          <w:tcPr>
            <w:tcW w:w="517" w:type="pct"/>
            <w:tcBorders>
              <w:bottom w:val="single" w:sz="4" w:space="0" w:color="365F91"/>
            </w:tcBorders>
            <w:shd w:val="clear" w:color="auto" w:fill="auto"/>
            <w:noWrap/>
            <w:vAlign w:val="bottom"/>
          </w:tcPr>
          <w:p w14:paraId="64BAC47D"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0.003</w:t>
            </w:r>
          </w:p>
        </w:tc>
        <w:tc>
          <w:tcPr>
            <w:tcW w:w="517" w:type="pct"/>
            <w:tcBorders>
              <w:bottom w:val="single" w:sz="4" w:space="0" w:color="365F91"/>
            </w:tcBorders>
            <w:shd w:val="clear" w:color="auto" w:fill="auto"/>
            <w:noWrap/>
            <w:vAlign w:val="bottom"/>
          </w:tcPr>
          <w:p w14:paraId="6C10E139"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0.8</w:t>
            </w:r>
          </w:p>
        </w:tc>
        <w:tc>
          <w:tcPr>
            <w:tcW w:w="517" w:type="pct"/>
            <w:tcBorders>
              <w:bottom w:val="single" w:sz="4" w:space="0" w:color="365F91"/>
            </w:tcBorders>
            <w:shd w:val="clear" w:color="auto" w:fill="auto"/>
            <w:noWrap/>
            <w:vAlign w:val="bottom"/>
          </w:tcPr>
          <w:p w14:paraId="5E9D4489"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86.7</w:t>
            </w:r>
          </w:p>
        </w:tc>
      </w:tr>
      <w:tr w:rsidR="0011242D" w:rsidRPr="00D9348B" w14:paraId="1B70E814" w14:textId="77777777" w:rsidTr="002851BB">
        <w:tc>
          <w:tcPr>
            <w:tcW w:w="586" w:type="pct"/>
            <w:tcBorders>
              <w:bottom w:val="single" w:sz="4" w:space="0" w:color="365F91"/>
            </w:tcBorders>
            <w:vAlign w:val="bottom"/>
          </w:tcPr>
          <w:p w14:paraId="0EE52A7B" w14:textId="77777777" w:rsidR="00643D10" w:rsidRPr="00D9348B" w:rsidRDefault="00643D10" w:rsidP="00DB330E">
            <w:pPr>
              <w:pStyle w:val="TableText"/>
              <w:keepNext/>
              <w:spacing w:before="50" w:after="50"/>
              <w:rPr>
                <w:rFonts w:cs="Arial"/>
                <w:szCs w:val="16"/>
              </w:rPr>
            </w:pPr>
            <w:r w:rsidRPr="00D9348B">
              <w:rPr>
                <w:rFonts w:cs="Arial"/>
                <w:bCs/>
                <w:color w:val="000000"/>
                <w:szCs w:val="16"/>
              </w:rPr>
              <w:t>1.B.2.d</w:t>
            </w:r>
          </w:p>
        </w:tc>
        <w:tc>
          <w:tcPr>
            <w:tcW w:w="1482" w:type="pct"/>
            <w:tcBorders>
              <w:bottom w:val="single" w:sz="4" w:space="0" w:color="365F91"/>
            </w:tcBorders>
            <w:shd w:val="clear" w:color="auto" w:fill="auto"/>
            <w:noWrap/>
            <w:vAlign w:val="bottom"/>
          </w:tcPr>
          <w:p w14:paraId="089B65D0" w14:textId="77777777" w:rsidR="00643D10" w:rsidRPr="00D9348B" w:rsidRDefault="00643D10" w:rsidP="00DB330E">
            <w:pPr>
              <w:pStyle w:val="TableText"/>
              <w:spacing w:before="50" w:after="50"/>
              <w:rPr>
                <w:rFonts w:cs="Arial"/>
                <w:szCs w:val="16"/>
              </w:rPr>
            </w:pPr>
            <w:r w:rsidRPr="00D9348B">
              <w:rPr>
                <w:rFonts w:cs="Arial"/>
                <w:bCs/>
                <w:color w:val="000000"/>
                <w:szCs w:val="16"/>
              </w:rPr>
              <w:t>Other (please specify) – Geothermal</w:t>
            </w:r>
          </w:p>
        </w:tc>
        <w:tc>
          <w:tcPr>
            <w:tcW w:w="345" w:type="pct"/>
            <w:tcBorders>
              <w:bottom w:val="single" w:sz="4" w:space="0" w:color="365F91"/>
            </w:tcBorders>
            <w:shd w:val="clear" w:color="auto" w:fill="auto"/>
            <w:noWrap/>
            <w:vAlign w:val="bottom"/>
          </w:tcPr>
          <w:p w14:paraId="4C9D87B9" w14:textId="77777777" w:rsidR="00643D10" w:rsidRPr="00D9348B" w:rsidRDefault="00643D10" w:rsidP="00DB330E">
            <w:pPr>
              <w:pStyle w:val="TableText"/>
              <w:spacing w:before="50" w:after="5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17" w:type="pct"/>
            <w:tcBorders>
              <w:bottom w:val="single" w:sz="4" w:space="0" w:color="365F91"/>
            </w:tcBorders>
            <w:shd w:val="clear" w:color="auto" w:fill="auto"/>
            <w:noWrap/>
            <w:vAlign w:val="bottom"/>
          </w:tcPr>
          <w:p w14:paraId="526C8FA9"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228.6</w:t>
            </w:r>
          </w:p>
        </w:tc>
        <w:tc>
          <w:tcPr>
            <w:tcW w:w="517" w:type="pct"/>
            <w:tcBorders>
              <w:bottom w:val="single" w:sz="4" w:space="0" w:color="365F91"/>
            </w:tcBorders>
            <w:shd w:val="clear" w:color="auto" w:fill="auto"/>
            <w:noWrap/>
            <w:vAlign w:val="bottom"/>
          </w:tcPr>
          <w:p w14:paraId="29D01CDD"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583.4</w:t>
            </w:r>
          </w:p>
        </w:tc>
        <w:tc>
          <w:tcPr>
            <w:tcW w:w="517" w:type="pct"/>
            <w:tcBorders>
              <w:bottom w:val="single" w:sz="4" w:space="0" w:color="365F91"/>
            </w:tcBorders>
            <w:shd w:val="clear" w:color="auto" w:fill="auto"/>
            <w:noWrap/>
            <w:vAlign w:val="bottom"/>
          </w:tcPr>
          <w:p w14:paraId="2FF0154A"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0.003</w:t>
            </w:r>
          </w:p>
        </w:tc>
        <w:tc>
          <w:tcPr>
            <w:tcW w:w="517" w:type="pct"/>
            <w:tcBorders>
              <w:bottom w:val="single" w:sz="4" w:space="0" w:color="365F91"/>
            </w:tcBorders>
            <w:shd w:val="clear" w:color="auto" w:fill="auto"/>
            <w:noWrap/>
            <w:vAlign w:val="bottom"/>
          </w:tcPr>
          <w:p w14:paraId="286D8AE8"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0.7</w:t>
            </w:r>
          </w:p>
        </w:tc>
        <w:tc>
          <w:tcPr>
            <w:tcW w:w="517" w:type="pct"/>
            <w:tcBorders>
              <w:bottom w:val="single" w:sz="4" w:space="0" w:color="365F91"/>
            </w:tcBorders>
            <w:shd w:val="clear" w:color="auto" w:fill="auto"/>
            <w:noWrap/>
            <w:vAlign w:val="bottom"/>
          </w:tcPr>
          <w:p w14:paraId="0D76A3A7"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87.4</w:t>
            </w:r>
          </w:p>
        </w:tc>
      </w:tr>
      <w:tr w:rsidR="0011242D" w:rsidRPr="00D9348B" w14:paraId="25E5665F" w14:textId="77777777" w:rsidTr="002851BB">
        <w:tc>
          <w:tcPr>
            <w:tcW w:w="586" w:type="pct"/>
            <w:tcBorders>
              <w:bottom w:val="single" w:sz="4" w:space="0" w:color="365F91"/>
            </w:tcBorders>
            <w:vAlign w:val="bottom"/>
          </w:tcPr>
          <w:p w14:paraId="558419C3" w14:textId="77777777" w:rsidR="00643D10" w:rsidRPr="00D9348B" w:rsidRDefault="00643D10" w:rsidP="00DB330E">
            <w:pPr>
              <w:pStyle w:val="TableText"/>
              <w:spacing w:before="50" w:after="50"/>
              <w:rPr>
                <w:rFonts w:cs="Arial"/>
                <w:szCs w:val="16"/>
              </w:rPr>
            </w:pPr>
            <w:r w:rsidRPr="00D9348B">
              <w:rPr>
                <w:rFonts w:cs="Arial"/>
                <w:bCs/>
                <w:color w:val="000000"/>
                <w:szCs w:val="16"/>
              </w:rPr>
              <w:t>1.B.1.a.1</w:t>
            </w:r>
          </w:p>
        </w:tc>
        <w:tc>
          <w:tcPr>
            <w:tcW w:w="1482" w:type="pct"/>
            <w:tcBorders>
              <w:bottom w:val="single" w:sz="4" w:space="0" w:color="365F91"/>
            </w:tcBorders>
            <w:shd w:val="clear" w:color="auto" w:fill="auto"/>
            <w:noWrap/>
            <w:vAlign w:val="bottom"/>
          </w:tcPr>
          <w:p w14:paraId="47DD2727" w14:textId="77777777" w:rsidR="00643D10" w:rsidRPr="00D9348B" w:rsidRDefault="00643D10" w:rsidP="00DB330E">
            <w:pPr>
              <w:pStyle w:val="TableText"/>
              <w:spacing w:before="50" w:after="50"/>
              <w:rPr>
                <w:rFonts w:cs="Arial"/>
                <w:szCs w:val="16"/>
              </w:rPr>
            </w:pPr>
            <w:r w:rsidRPr="00D9348B">
              <w:rPr>
                <w:rFonts w:cs="Arial"/>
                <w:bCs/>
                <w:color w:val="000000"/>
                <w:szCs w:val="16"/>
              </w:rPr>
              <w:t>Coal Mining and Handling – Underground Mines</w:t>
            </w:r>
          </w:p>
        </w:tc>
        <w:tc>
          <w:tcPr>
            <w:tcW w:w="345" w:type="pct"/>
            <w:tcBorders>
              <w:bottom w:val="single" w:sz="4" w:space="0" w:color="365F91"/>
            </w:tcBorders>
            <w:shd w:val="clear" w:color="auto" w:fill="auto"/>
            <w:noWrap/>
            <w:vAlign w:val="bottom"/>
          </w:tcPr>
          <w:p w14:paraId="0A33F0CB" w14:textId="77777777" w:rsidR="00643D10" w:rsidRPr="00D9348B" w:rsidRDefault="00643D10" w:rsidP="00DB330E">
            <w:pPr>
              <w:pStyle w:val="TableText"/>
              <w:spacing w:before="50" w:after="50"/>
              <w:jc w:val="center"/>
              <w:rPr>
                <w:rFonts w:cs="Arial"/>
                <w:szCs w:val="16"/>
              </w:rPr>
            </w:pPr>
            <w:r w:rsidRPr="00D9348B">
              <w:rPr>
                <w:rFonts w:cs="Arial"/>
                <w:color w:val="000000"/>
                <w:szCs w:val="16"/>
              </w:rPr>
              <w:t>CH</w:t>
            </w:r>
            <w:r w:rsidRPr="00D9348B">
              <w:rPr>
                <w:rFonts w:cs="Arial"/>
                <w:color w:val="000000"/>
                <w:szCs w:val="16"/>
                <w:vertAlign w:val="subscript"/>
              </w:rPr>
              <w:t>4</w:t>
            </w:r>
          </w:p>
        </w:tc>
        <w:tc>
          <w:tcPr>
            <w:tcW w:w="517" w:type="pct"/>
            <w:tcBorders>
              <w:bottom w:val="single" w:sz="4" w:space="0" w:color="365F91"/>
            </w:tcBorders>
            <w:shd w:val="clear" w:color="auto" w:fill="auto"/>
            <w:noWrap/>
            <w:vAlign w:val="bottom"/>
          </w:tcPr>
          <w:p w14:paraId="05A94543"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289.6</w:t>
            </w:r>
          </w:p>
        </w:tc>
        <w:tc>
          <w:tcPr>
            <w:tcW w:w="517" w:type="pct"/>
            <w:tcBorders>
              <w:bottom w:val="single" w:sz="4" w:space="0" w:color="365F91"/>
            </w:tcBorders>
            <w:shd w:val="clear" w:color="auto" w:fill="auto"/>
            <w:noWrap/>
            <w:vAlign w:val="bottom"/>
          </w:tcPr>
          <w:p w14:paraId="49D2C094"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59.7</w:t>
            </w:r>
          </w:p>
        </w:tc>
        <w:tc>
          <w:tcPr>
            <w:tcW w:w="517" w:type="pct"/>
            <w:tcBorders>
              <w:bottom w:val="single" w:sz="4" w:space="0" w:color="365F91"/>
            </w:tcBorders>
            <w:shd w:val="clear" w:color="auto" w:fill="auto"/>
            <w:noWrap/>
            <w:vAlign w:val="bottom"/>
          </w:tcPr>
          <w:p w14:paraId="3532D22C"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0.003</w:t>
            </w:r>
          </w:p>
        </w:tc>
        <w:tc>
          <w:tcPr>
            <w:tcW w:w="517" w:type="pct"/>
            <w:tcBorders>
              <w:bottom w:val="single" w:sz="4" w:space="0" w:color="365F91"/>
            </w:tcBorders>
            <w:shd w:val="clear" w:color="auto" w:fill="auto"/>
            <w:noWrap/>
            <w:vAlign w:val="bottom"/>
          </w:tcPr>
          <w:p w14:paraId="79B5A4BE"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0.7</w:t>
            </w:r>
          </w:p>
        </w:tc>
        <w:tc>
          <w:tcPr>
            <w:tcW w:w="517" w:type="pct"/>
            <w:tcBorders>
              <w:bottom w:val="single" w:sz="4" w:space="0" w:color="365F91"/>
            </w:tcBorders>
            <w:shd w:val="clear" w:color="auto" w:fill="auto"/>
            <w:noWrap/>
            <w:vAlign w:val="bottom"/>
          </w:tcPr>
          <w:p w14:paraId="487E0728"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88.1</w:t>
            </w:r>
          </w:p>
        </w:tc>
      </w:tr>
      <w:tr w:rsidR="0011242D" w:rsidRPr="00D9348B" w14:paraId="6AE1F53B" w14:textId="77777777" w:rsidTr="002851BB">
        <w:tc>
          <w:tcPr>
            <w:tcW w:w="586" w:type="pct"/>
            <w:tcBorders>
              <w:bottom w:val="single" w:sz="4" w:space="0" w:color="365F91"/>
            </w:tcBorders>
            <w:vAlign w:val="bottom"/>
          </w:tcPr>
          <w:p w14:paraId="6C950002" w14:textId="77777777" w:rsidR="00643D10" w:rsidRPr="00D9348B" w:rsidRDefault="00643D10" w:rsidP="00DB330E">
            <w:pPr>
              <w:pStyle w:val="TableText"/>
              <w:spacing w:before="50" w:after="50"/>
              <w:rPr>
                <w:rFonts w:cs="Arial"/>
                <w:szCs w:val="16"/>
              </w:rPr>
            </w:pPr>
            <w:r w:rsidRPr="00D9348B">
              <w:rPr>
                <w:rFonts w:cs="Arial"/>
                <w:bCs/>
                <w:color w:val="000000"/>
                <w:szCs w:val="16"/>
              </w:rPr>
              <w:t>1.A.4.c</w:t>
            </w:r>
          </w:p>
        </w:tc>
        <w:tc>
          <w:tcPr>
            <w:tcW w:w="1482" w:type="pct"/>
            <w:tcBorders>
              <w:bottom w:val="single" w:sz="4" w:space="0" w:color="365F91"/>
            </w:tcBorders>
            <w:shd w:val="clear" w:color="auto" w:fill="auto"/>
            <w:noWrap/>
            <w:vAlign w:val="bottom"/>
          </w:tcPr>
          <w:p w14:paraId="2B2E4118" w14:textId="77777777" w:rsidR="00643D10" w:rsidRPr="00D9348B" w:rsidRDefault="00643D10" w:rsidP="00DB330E">
            <w:pPr>
              <w:pStyle w:val="TableText"/>
              <w:spacing w:before="50" w:after="50"/>
              <w:rPr>
                <w:rFonts w:cs="Arial"/>
                <w:szCs w:val="16"/>
              </w:rPr>
            </w:pPr>
            <w:r w:rsidRPr="00D9348B">
              <w:rPr>
                <w:rFonts w:cs="Arial"/>
                <w:bCs/>
                <w:color w:val="000000"/>
                <w:szCs w:val="16"/>
              </w:rPr>
              <w:t>Other Sectors – Agriculture/Forestry/Fishing Liquid Fuels</w:t>
            </w:r>
          </w:p>
        </w:tc>
        <w:tc>
          <w:tcPr>
            <w:tcW w:w="345" w:type="pct"/>
            <w:tcBorders>
              <w:bottom w:val="single" w:sz="4" w:space="0" w:color="365F91"/>
            </w:tcBorders>
            <w:shd w:val="clear" w:color="auto" w:fill="auto"/>
            <w:noWrap/>
            <w:vAlign w:val="bottom"/>
          </w:tcPr>
          <w:p w14:paraId="2883ECA5" w14:textId="77777777" w:rsidR="00643D10" w:rsidRPr="00D9348B" w:rsidRDefault="00643D10" w:rsidP="00DB330E">
            <w:pPr>
              <w:pStyle w:val="TableText"/>
              <w:spacing w:before="50" w:after="5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17" w:type="pct"/>
            <w:tcBorders>
              <w:bottom w:val="single" w:sz="4" w:space="0" w:color="365F91"/>
            </w:tcBorders>
            <w:shd w:val="clear" w:color="auto" w:fill="auto"/>
            <w:noWrap/>
            <w:vAlign w:val="bottom"/>
          </w:tcPr>
          <w:p w14:paraId="681A2EE3"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1,072.3</w:t>
            </w:r>
          </w:p>
        </w:tc>
        <w:tc>
          <w:tcPr>
            <w:tcW w:w="517" w:type="pct"/>
            <w:tcBorders>
              <w:bottom w:val="single" w:sz="4" w:space="0" w:color="365F91"/>
            </w:tcBorders>
            <w:shd w:val="clear" w:color="auto" w:fill="auto"/>
            <w:noWrap/>
            <w:vAlign w:val="bottom"/>
          </w:tcPr>
          <w:p w14:paraId="4F85961A"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1,041.3</w:t>
            </w:r>
          </w:p>
        </w:tc>
        <w:tc>
          <w:tcPr>
            <w:tcW w:w="517" w:type="pct"/>
            <w:tcBorders>
              <w:bottom w:val="single" w:sz="4" w:space="0" w:color="365F91"/>
            </w:tcBorders>
            <w:shd w:val="clear" w:color="auto" w:fill="auto"/>
            <w:noWrap/>
            <w:vAlign w:val="bottom"/>
          </w:tcPr>
          <w:p w14:paraId="52DC42E7"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0.003</w:t>
            </w:r>
          </w:p>
        </w:tc>
        <w:tc>
          <w:tcPr>
            <w:tcW w:w="517" w:type="pct"/>
            <w:tcBorders>
              <w:bottom w:val="single" w:sz="4" w:space="0" w:color="365F91"/>
            </w:tcBorders>
            <w:shd w:val="clear" w:color="auto" w:fill="auto"/>
            <w:noWrap/>
            <w:vAlign w:val="bottom"/>
          </w:tcPr>
          <w:p w14:paraId="66FF817D"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0.7</w:t>
            </w:r>
          </w:p>
        </w:tc>
        <w:tc>
          <w:tcPr>
            <w:tcW w:w="517" w:type="pct"/>
            <w:tcBorders>
              <w:bottom w:val="single" w:sz="4" w:space="0" w:color="365F91"/>
            </w:tcBorders>
            <w:shd w:val="clear" w:color="auto" w:fill="auto"/>
            <w:noWrap/>
            <w:vAlign w:val="bottom"/>
          </w:tcPr>
          <w:p w14:paraId="731795FD"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88.8</w:t>
            </w:r>
          </w:p>
        </w:tc>
      </w:tr>
      <w:tr w:rsidR="0011242D" w:rsidRPr="00D9348B" w14:paraId="51E211E4" w14:textId="77777777" w:rsidTr="002851BB">
        <w:tc>
          <w:tcPr>
            <w:tcW w:w="586" w:type="pct"/>
            <w:tcBorders>
              <w:bottom w:val="single" w:sz="4" w:space="0" w:color="365F91"/>
            </w:tcBorders>
            <w:vAlign w:val="bottom"/>
          </w:tcPr>
          <w:p w14:paraId="7989CF0B" w14:textId="77777777" w:rsidR="00643D10" w:rsidRPr="00D9348B" w:rsidRDefault="00643D10" w:rsidP="00DB330E">
            <w:pPr>
              <w:pStyle w:val="TableText"/>
              <w:spacing w:before="50" w:after="50"/>
              <w:rPr>
                <w:rFonts w:cs="Arial"/>
                <w:szCs w:val="16"/>
              </w:rPr>
            </w:pPr>
            <w:r w:rsidRPr="00D9348B">
              <w:rPr>
                <w:rFonts w:cs="Arial"/>
                <w:bCs/>
                <w:color w:val="000000"/>
                <w:szCs w:val="16"/>
              </w:rPr>
              <w:t>1.A.2.g.iii</w:t>
            </w:r>
          </w:p>
        </w:tc>
        <w:tc>
          <w:tcPr>
            <w:tcW w:w="1482" w:type="pct"/>
            <w:tcBorders>
              <w:bottom w:val="single" w:sz="4" w:space="0" w:color="365F91"/>
            </w:tcBorders>
            <w:shd w:val="clear" w:color="auto" w:fill="auto"/>
            <w:noWrap/>
            <w:vAlign w:val="bottom"/>
          </w:tcPr>
          <w:p w14:paraId="36D8C784" w14:textId="77777777" w:rsidR="00643D10" w:rsidRPr="00D9348B" w:rsidRDefault="00643D10" w:rsidP="00DB330E">
            <w:pPr>
              <w:pStyle w:val="TableText"/>
              <w:spacing w:before="50" w:after="50"/>
              <w:rPr>
                <w:rFonts w:cs="Arial"/>
                <w:szCs w:val="16"/>
              </w:rPr>
            </w:pPr>
            <w:r w:rsidRPr="00D9348B">
              <w:rPr>
                <w:rFonts w:cs="Arial"/>
                <w:bCs/>
                <w:color w:val="000000"/>
                <w:szCs w:val="16"/>
              </w:rPr>
              <w:t>Other (please specify) – Mining (excluding fuels) and Quarrying Liquid Fuels</w:t>
            </w:r>
          </w:p>
        </w:tc>
        <w:tc>
          <w:tcPr>
            <w:tcW w:w="345" w:type="pct"/>
            <w:tcBorders>
              <w:bottom w:val="single" w:sz="4" w:space="0" w:color="365F91"/>
            </w:tcBorders>
            <w:shd w:val="clear" w:color="auto" w:fill="auto"/>
            <w:noWrap/>
            <w:vAlign w:val="bottom"/>
          </w:tcPr>
          <w:p w14:paraId="356AE9CC" w14:textId="77777777" w:rsidR="00643D10" w:rsidRPr="00D9348B" w:rsidRDefault="00643D10" w:rsidP="00DB330E">
            <w:pPr>
              <w:pStyle w:val="TableText"/>
              <w:spacing w:before="50" w:after="5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17" w:type="pct"/>
            <w:tcBorders>
              <w:bottom w:val="single" w:sz="4" w:space="0" w:color="365F91"/>
            </w:tcBorders>
            <w:shd w:val="clear" w:color="auto" w:fill="auto"/>
            <w:noWrap/>
            <w:vAlign w:val="bottom"/>
          </w:tcPr>
          <w:p w14:paraId="6197FE97"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331.5</w:t>
            </w:r>
          </w:p>
        </w:tc>
        <w:tc>
          <w:tcPr>
            <w:tcW w:w="517" w:type="pct"/>
            <w:tcBorders>
              <w:bottom w:val="single" w:sz="4" w:space="0" w:color="365F91"/>
            </w:tcBorders>
            <w:shd w:val="clear" w:color="auto" w:fill="auto"/>
            <w:noWrap/>
            <w:vAlign w:val="bottom"/>
          </w:tcPr>
          <w:p w14:paraId="1F0ECBA3"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664.3</w:t>
            </w:r>
          </w:p>
        </w:tc>
        <w:tc>
          <w:tcPr>
            <w:tcW w:w="517" w:type="pct"/>
            <w:tcBorders>
              <w:bottom w:val="single" w:sz="4" w:space="0" w:color="365F91"/>
            </w:tcBorders>
            <w:shd w:val="clear" w:color="auto" w:fill="auto"/>
            <w:noWrap/>
            <w:vAlign w:val="bottom"/>
          </w:tcPr>
          <w:p w14:paraId="15A6EB75"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0.003</w:t>
            </w:r>
          </w:p>
        </w:tc>
        <w:tc>
          <w:tcPr>
            <w:tcW w:w="517" w:type="pct"/>
            <w:tcBorders>
              <w:bottom w:val="single" w:sz="4" w:space="0" w:color="365F91"/>
            </w:tcBorders>
            <w:shd w:val="clear" w:color="auto" w:fill="auto"/>
            <w:noWrap/>
            <w:vAlign w:val="bottom"/>
          </w:tcPr>
          <w:p w14:paraId="3FA3A6AB"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0.6</w:t>
            </w:r>
          </w:p>
        </w:tc>
        <w:tc>
          <w:tcPr>
            <w:tcW w:w="517" w:type="pct"/>
            <w:tcBorders>
              <w:bottom w:val="single" w:sz="4" w:space="0" w:color="365F91"/>
            </w:tcBorders>
            <w:shd w:val="clear" w:color="auto" w:fill="auto"/>
            <w:noWrap/>
            <w:vAlign w:val="bottom"/>
          </w:tcPr>
          <w:p w14:paraId="043DCCAF"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89.4</w:t>
            </w:r>
          </w:p>
        </w:tc>
      </w:tr>
      <w:tr w:rsidR="0011242D" w:rsidRPr="00D9348B" w14:paraId="66C22203" w14:textId="77777777" w:rsidTr="002851BB">
        <w:tc>
          <w:tcPr>
            <w:tcW w:w="586" w:type="pct"/>
            <w:tcBorders>
              <w:bottom w:val="single" w:sz="4" w:space="0" w:color="365F91"/>
            </w:tcBorders>
            <w:vAlign w:val="bottom"/>
          </w:tcPr>
          <w:p w14:paraId="68D53A22" w14:textId="77777777" w:rsidR="00643D10" w:rsidRPr="00D9348B" w:rsidRDefault="00643D10" w:rsidP="002851BB">
            <w:pPr>
              <w:pStyle w:val="TableText"/>
              <w:spacing w:before="50" w:after="50"/>
            </w:pPr>
            <w:r w:rsidRPr="00D9348B">
              <w:t>3.A.4</w:t>
            </w:r>
          </w:p>
        </w:tc>
        <w:tc>
          <w:tcPr>
            <w:tcW w:w="1482" w:type="pct"/>
            <w:tcBorders>
              <w:bottom w:val="single" w:sz="4" w:space="0" w:color="365F91"/>
            </w:tcBorders>
            <w:shd w:val="clear" w:color="auto" w:fill="auto"/>
            <w:noWrap/>
            <w:vAlign w:val="bottom"/>
          </w:tcPr>
          <w:p w14:paraId="5724102E" w14:textId="77777777" w:rsidR="00643D10" w:rsidRPr="00D9348B" w:rsidRDefault="00643D10" w:rsidP="002851BB">
            <w:pPr>
              <w:pStyle w:val="TableText"/>
              <w:spacing w:before="50" w:after="50"/>
              <w:rPr>
                <w:rFonts w:cs="Arial"/>
                <w:szCs w:val="16"/>
              </w:rPr>
            </w:pPr>
            <w:r w:rsidRPr="00D9348B">
              <w:rPr>
                <w:rFonts w:cs="Arial"/>
                <w:bCs/>
                <w:color w:val="000000"/>
                <w:szCs w:val="16"/>
              </w:rPr>
              <w:t>Other livestock – Goats</w:t>
            </w:r>
          </w:p>
        </w:tc>
        <w:tc>
          <w:tcPr>
            <w:tcW w:w="345" w:type="pct"/>
            <w:tcBorders>
              <w:bottom w:val="single" w:sz="4" w:space="0" w:color="365F91"/>
            </w:tcBorders>
            <w:shd w:val="clear" w:color="auto" w:fill="auto"/>
            <w:noWrap/>
            <w:vAlign w:val="bottom"/>
          </w:tcPr>
          <w:p w14:paraId="1D8D88C8" w14:textId="77777777" w:rsidR="00643D10" w:rsidRPr="00D9348B" w:rsidRDefault="00643D10" w:rsidP="002851BB">
            <w:pPr>
              <w:pStyle w:val="TableText"/>
              <w:spacing w:before="50" w:after="50"/>
              <w:jc w:val="center"/>
              <w:rPr>
                <w:rFonts w:cs="Arial"/>
                <w:szCs w:val="16"/>
              </w:rPr>
            </w:pPr>
            <w:r w:rsidRPr="00D9348B">
              <w:rPr>
                <w:rFonts w:cs="Arial"/>
                <w:color w:val="000000"/>
                <w:szCs w:val="16"/>
              </w:rPr>
              <w:t>CH</w:t>
            </w:r>
            <w:r w:rsidRPr="00D9348B">
              <w:rPr>
                <w:rFonts w:cs="Arial"/>
                <w:color w:val="000000"/>
                <w:szCs w:val="16"/>
                <w:vertAlign w:val="subscript"/>
              </w:rPr>
              <w:t>4</w:t>
            </w:r>
          </w:p>
        </w:tc>
        <w:tc>
          <w:tcPr>
            <w:tcW w:w="517" w:type="pct"/>
            <w:tcBorders>
              <w:bottom w:val="single" w:sz="4" w:space="0" w:color="365F91"/>
            </w:tcBorders>
            <w:shd w:val="clear" w:color="auto" w:fill="auto"/>
            <w:noWrap/>
            <w:vAlign w:val="bottom"/>
          </w:tcPr>
          <w:p w14:paraId="59C532DA" w14:textId="77777777" w:rsidR="00643D10" w:rsidRPr="00D9348B" w:rsidRDefault="00643D10" w:rsidP="002851BB">
            <w:pPr>
              <w:pStyle w:val="TableText"/>
              <w:spacing w:before="50" w:after="50"/>
              <w:jc w:val="right"/>
              <w:rPr>
                <w:rFonts w:cs="Arial"/>
                <w:szCs w:val="16"/>
              </w:rPr>
            </w:pPr>
            <w:r w:rsidRPr="00D9348B">
              <w:rPr>
                <w:rFonts w:cs="Arial"/>
                <w:bCs/>
                <w:color w:val="000000"/>
                <w:szCs w:val="16"/>
              </w:rPr>
              <w:t>196.6</w:t>
            </w:r>
          </w:p>
        </w:tc>
        <w:tc>
          <w:tcPr>
            <w:tcW w:w="517" w:type="pct"/>
            <w:tcBorders>
              <w:bottom w:val="single" w:sz="4" w:space="0" w:color="365F91"/>
            </w:tcBorders>
            <w:shd w:val="clear" w:color="auto" w:fill="auto"/>
            <w:noWrap/>
            <w:vAlign w:val="bottom"/>
          </w:tcPr>
          <w:p w14:paraId="7D3CB8FF" w14:textId="77777777" w:rsidR="00643D10" w:rsidRPr="00D9348B" w:rsidRDefault="00643D10" w:rsidP="002851BB">
            <w:pPr>
              <w:pStyle w:val="TableText"/>
              <w:spacing w:before="50" w:after="50"/>
              <w:jc w:val="right"/>
              <w:rPr>
                <w:rFonts w:cs="Arial"/>
                <w:szCs w:val="16"/>
              </w:rPr>
            </w:pPr>
            <w:r w:rsidRPr="00D9348B">
              <w:rPr>
                <w:rFonts w:cs="Arial"/>
                <w:bCs/>
                <w:color w:val="000000"/>
                <w:szCs w:val="16"/>
              </w:rPr>
              <w:t>19.9</w:t>
            </w:r>
          </w:p>
        </w:tc>
        <w:tc>
          <w:tcPr>
            <w:tcW w:w="517" w:type="pct"/>
            <w:tcBorders>
              <w:bottom w:val="single" w:sz="4" w:space="0" w:color="365F91"/>
            </w:tcBorders>
            <w:shd w:val="clear" w:color="auto" w:fill="auto"/>
            <w:noWrap/>
            <w:vAlign w:val="bottom"/>
          </w:tcPr>
          <w:p w14:paraId="1D920CBE" w14:textId="77777777" w:rsidR="00643D10" w:rsidRPr="00D9348B" w:rsidRDefault="00643D10" w:rsidP="002851BB">
            <w:pPr>
              <w:pStyle w:val="TableText"/>
              <w:spacing w:before="50" w:after="50"/>
              <w:jc w:val="right"/>
              <w:rPr>
                <w:rFonts w:cs="Arial"/>
                <w:szCs w:val="16"/>
              </w:rPr>
            </w:pPr>
            <w:r w:rsidRPr="00D9348B">
              <w:rPr>
                <w:rFonts w:cs="Arial"/>
                <w:bCs/>
                <w:color w:val="000000"/>
                <w:szCs w:val="16"/>
              </w:rPr>
              <w:t>0.002</w:t>
            </w:r>
          </w:p>
        </w:tc>
        <w:tc>
          <w:tcPr>
            <w:tcW w:w="517" w:type="pct"/>
            <w:tcBorders>
              <w:bottom w:val="single" w:sz="4" w:space="0" w:color="365F91"/>
            </w:tcBorders>
            <w:shd w:val="clear" w:color="auto" w:fill="auto"/>
            <w:noWrap/>
            <w:vAlign w:val="bottom"/>
          </w:tcPr>
          <w:p w14:paraId="06FFA37A" w14:textId="77777777" w:rsidR="00643D10" w:rsidRPr="00D9348B" w:rsidRDefault="00643D10" w:rsidP="002851BB">
            <w:pPr>
              <w:pStyle w:val="TableText"/>
              <w:spacing w:before="50" w:after="50"/>
              <w:jc w:val="right"/>
              <w:rPr>
                <w:rFonts w:cs="Arial"/>
                <w:szCs w:val="16"/>
              </w:rPr>
            </w:pPr>
            <w:r w:rsidRPr="00D9348B">
              <w:rPr>
                <w:rFonts w:cs="Arial"/>
                <w:bCs/>
                <w:color w:val="000000"/>
                <w:szCs w:val="16"/>
              </w:rPr>
              <w:t>0.5</w:t>
            </w:r>
          </w:p>
        </w:tc>
        <w:tc>
          <w:tcPr>
            <w:tcW w:w="517" w:type="pct"/>
            <w:tcBorders>
              <w:bottom w:val="single" w:sz="4" w:space="0" w:color="365F91"/>
            </w:tcBorders>
            <w:shd w:val="clear" w:color="auto" w:fill="auto"/>
            <w:noWrap/>
            <w:vAlign w:val="bottom"/>
          </w:tcPr>
          <w:p w14:paraId="182F399E" w14:textId="77777777" w:rsidR="00643D10" w:rsidRPr="00D9348B" w:rsidRDefault="00643D10" w:rsidP="002851BB">
            <w:pPr>
              <w:pStyle w:val="TableText"/>
              <w:spacing w:before="50" w:after="50"/>
              <w:jc w:val="right"/>
              <w:rPr>
                <w:rFonts w:cs="Arial"/>
                <w:szCs w:val="16"/>
              </w:rPr>
            </w:pPr>
            <w:r w:rsidRPr="00D9348B">
              <w:rPr>
                <w:rFonts w:cs="Arial"/>
                <w:bCs/>
                <w:color w:val="000000"/>
                <w:szCs w:val="16"/>
              </w:rPr>
              <w:t>89.9</w:t>
            </w:r>
          </w:p>
        </w:tc>
      </w:tr>
      <w:tr w:rsidR="0011242D" w:rsidRPr="00D9348B" w14:paraId="01976825" w14:textId="77777777" w:rsidTr="002851BB">
        <w:tc>
          <w:tcPr>
            <w:tcW w:w="586" w:type="pct"/>
            <w:tcBorders>
              <w:bottom w:val="single" w:sz="4" w:space="0" w:color="365F91"/>
            </w:tcBorders>
            <w:vAlign w:val="bottom"/>
          </w:tcPr>
          <w:p w14:paraId="409FAF19" w14:textId="77777777" w:rsidR="00643D10" w:rsidRPr="00D9348B" w:rsidDel="00B93CB9" w:rsidRDefault="00643D10" w:rsidP="00DB330E">
            <w:pPr>
              <w:pStyle w:val="TableText"/>
              <w:spacing w:before="50" w:after="50"/>
              <w:rPr>
                <w:rFonts w:cs="Arial"/>
                <w:color w:val="000000"/>
                <w:szCs w:val="16"/>
              </w:rPr>
            </w:pPr>
            <w:r w:rsidRPr="00D9348B">
              <w:rPr>
                <w:rFonts w:cs="Arial"/>
                <w:bCs/>
                <w:color w:val="000000"/>
                <w:szCs w:val="16"/>
              </w:rPr>
              <w:t>1.A.2.f</w:t>
            </w:r>
          </w:p>
        </w:tc>
        <w:tc>
          <w:tcPr>
            <w:tcW w:w="1482" w:type="pct"/>
            <w:tcBorders>
              <w:bottom w:val="single" w:sz="4" w:space="0" w:color="365F91"/>
            </w:tcBorders>
            <w:shd w:val="clear" w:color="auto" w:fill="auto"/>
            <w:noWrap/>
            <w:vAlign w:val="bottom"/>
          </w:tcPr>
          <w:p w14:paraId="490D1C09" w14:textId="77777777" w:rsidR="00643D10" w:rsidRPr="00D9348B" w:rsidDel="00B93CB9" w:rsidRDefault="00643D10" w:rsidP="00DB330E">
            <w:pPr>
              <w:pStyle w:val="TableText"/>
              <w:spacing w:before="50" w:after="50"/>
              <w:rPr>
                <w:rFonts w:cs="Arial"/>
                <w:color w:val="000000"/>
                <w:szCs w:val="16"/>
              </w:rPr>
            </w:pPr>
            <w:r w:rsidRPr="00D9348B">
              <w:rPr>
                <w:rFonts w:cs="Arial"/>
                <w:bCs/>
                <w:color w:val="000000"/>
                <w:szCs w:val="16"/>
              </w:rPr>
              <w:t>Manufacturing Industries and Construction – Non-metallic Minerals Solid Fuels</w:t>
            </w:r>
          </w:p>
        </w:tc>
        <w:tc>
          <w:tcPr>
            <w:tcW w:w="345" w:type="pct"/>
            <w:tcBorders>
              <w:bottom w:val="single" w:sz="4" w:space="0" w:color="365F91"/>
            </w:tcBorders>
            <w:shd w:val="clear" w:color="auto" w:fill="auto"/>
            <w:noWrap/>
            <w:vAlign w:val="bottom"/>
          </w:tcPr>
          <w:p w14:paraId="16F969D3" w14:textId="77777777" w:rsidR="00643D10" w:rsidRPr="00D9348B" w:rsidDel="00B93CB9" w:rsidRDefault="00643D10" w:rsidP="00DB330E">
            <w:pPr>
              <w:pStyle w:val="TableText"/>
              <w:spacing w:before="50" w:after="50"/>
              <w:jc w:val="center"/>
              <w:rPr>
                <w:rFonts w:cs="Arial"/>
                <w:color w:val="000000"/>
                <w:szCs w:val="16"/>
              </w:rPr>
            </w:pPr>
            <w:r w:rsidRPr="00D9348B">
              <w:rPr>
                <w:rFonts w:cs="Arial"/>
                <w:color w:val="000000"/>
                <w:szCs w:val="16"/>
              </w:rPr>
              <w:t>CO</w:t>
            </w:r>
            <w:r w:rsidRPr="00D9348B">
              <w:rPr>
                <w:rFonts w:cs="Arial"/>
                <w:color w:val="000000"/>
                <w:szCs w:val="16"/>
                <w:vertAlign w:val="subscript"/>
              </w:rPr>
              <w:t>2</w:t>
            </w:r>
          </w:p>
        </w:tc>
        <w:tc>
          <w:tcPr>
            <w:tcW w:w="517" w:type="pct"/>
            <w:tcBorders>
              <w:bottom w:val="single" w:sz="4" w:space="0" w:color="365F91"/>
            </w:tcBorders>
            <w:shd w:val="clear" w:color="auto" w:fill="auto"/>
            <w:noWrap/>
            <w:vAlign w:val="bottom"/>
          </w:tcPr>
          <w:p w14:paraId="795D9459" w14:textId="77777777" w:rsidR="00643D10" w:rsidRPr="00D9348B" w:rsidDel="00B93CB9" w:rsidRDefault="00643D10" w:rsidP="00DB330E">
            <w:pPr>
              <w:pStyle w:val="TableText"/>
              <w:spacing w:before="50" w:after="50"/>
              <w:jc w:val="right"/>
              <w:rPr>
                <w:rFonts w:cs="Arial"/>
                <w:color w:val="000000"/>
                <w:szCs w:val="16"/>
              </w:rPr>
            </w:pPr>
            <w:r w:rsidRPr="00D9348B">
              <w:rPr>
                <w:rFonts w:cs="Arial"/>
                <w:bCs/>
                <w:color w:val="000000"/>
                <w:szCs w:val="16"/>
              </w:rPr>
              <w:t>382.9</w:t>
            </w:r>
          </w:p>
        </w:tc>
        <w:tc>
          <w:tcPr>
            <w:tcW w:w="517" w:type="pct"/>
            <w:tcBorders>
              <w:bottom w:val="single" w:sz="4" w:space="0" w:color="365F91"/>
            </w:tcBorders>
            <w:shd w:val="clear" w:color="auto" w:fill="auto"/>
            <w:noWrap/>
            <w:vAlign w:val="bottom"/>
          </w:tcPr>
          <w:p w14:paraId="16110C3A" w14:textId="77777777" w:rsidR="00643D10" w:rsidRPr="00D9348B" w:rsidDel="00B93CB9" w:rsidRDefault="00643D10" w:rsidP="00DB330E">
            <w:pPr>
              <w:pStyle w:val="TableText"/>
              <w:spacing w:before="50" w:after="50"/>
              <w:jc w:val="right"/>
              <w:rPr>
                <w:rFonts w:cs="Arial"/>
                <w:color w:val="000000"/>
                <w:szCs w:val="16"/>
              </w:rPr>
            </w:pPr>
            <w:r w:rsidRPr="00D9348B">
              <w:rPr>
                <w:rFonts w:cs="Arial"/>
                <w:bCs/>
                <w:color w:val="000000"/>
                <w:szCs w:val="16"/>
              </w:rPr>
              <w:t>265.4</w:t>
            </w:r>
          </w:p>
        </w:tc>
        <w:tc>
          <w:tcPr>
            <w:tcW w:w="517" w:type="pct"/>
            <w:tcBorders>
              <w:bottom w:val="single" w:sz="4" w:space="0" w:color="365F91"/>
            </w:tcBorders>
            <w:shd w:val="clear" w:color="auto" w:fill="auto"/>
            <w:noWrap/>
            <w:vAlign w:val="bottom"/>
          </w:tcPr>
          <w:p w14:paraId="270EC425" w14:textId="77777777" w:rsidR="00643D10" w:rsidRPr="00D9348B" w:rsidDel="00B93CB9" w:rsidRDefault="00643D10" w:rsidP="00DB330E">
            <w:pPr>
              <w:pStyle w:val="TableText"/>
              <w:spacing w:before="50" w:after="50"/>
              <w:jc w:val="right"/>
              <w:rPr>
                <w:rFonts w:cs="Arial"/>
                <w:color w:val="000000"/>
                <w:szCs w:val="16"/>
              </w:rPr>
            </w:pPr>
            <w:r w:rsidRPr="00D9348B">
              <w:rPr>
                <w:rFonts w:cs="Arial"/>
                <w:bCs/>
                <w:color w:val="000000"/>
                <w:szCs w:val="16"/>
              </w:rPr>
              <w:t>0.002</w:t>
            </w:r>
          </w:p>
        </w:tc>
        <w:tc>
          <w:tcPr>
            <w:tcW w:w="517" w:type="pct"/>
            <w:tcBorders>
              <w:bottom w:val="single" w:sz="4" w:space="0" w:color="365F91"/>
            </w:tcBorders>
            <w:shd w:val="clear" w:color="auto" w:fill="auto"/>
            <w:noWrap/>
            <w:vAlign w:val="bottom"/>
          </w:tcPr>
          <w:p w14:paraId="7C878652" w14:textId="77777777" w:rsidR="00643D10" w:rsidRPr="00D9348B" w:rsidDel="00B93CB9" w:rsidRDefault="00643D10" w:rsidP="00DB330E">
            <w:pPr>
              <w:pStyle w:val="TableText"/>
              <w:spacing w:before="50" w:after="50"/>
              <w:jc w:val="right"/>
              <w:rPr>
                <w:rFonts w:cs="Arial"/>
                <w:color w:val="000000"/>
                <w:szCs w:val="16"/>
              </w:rPr>
            </w:pPr>
            <w:r w:rsidRPr="00D9348B">
              <w:rPr>
                <w:rFonts w:cs="Arial"/>
                <w:bCs/>
                <w:color w:val="000000"/>
                <w:szCs w:val="16"/>
              </w:rPr>
              <w:t>0.5</w:t>
            </w:r>
          </w:p>
        </w:tc>
        <w:tc>
          <w:tcPr>
            <w:tcW w:w="517" w:type="pct"/>
            <w:tcBorders>
              <w:bottom w:val="single" w:sz="4" w:space="0" w:color="365F91"/>
            </w:tcBorders>
            <w:shd w:val="clear" w:color="auto" w:fill="auto"/>
            <w:noWrap/>
            <w:vAlign w:val="bottom"/>
          </w:tcPr>
          <w:p w14:paraId="7638F18B" w14:textId="77777777" w:rsidR="00643D10" w:rsidRPr="00D9348B" w:rsidDel="00B93CB9" w:rsidRDefault="00643D10" w:rsidP="00DB330E">
            <w:pPr>
              <w:pStyle w:val="TableText"/>
              <w:spacing w:before="50" w:after="50"/>
              <w:jc w:val="right"/>
              <w:rPr>
                <w:rFonts w:cs="Arial"/>
                <w:color w:val="000000"/>
                <w:szCs w:val="16"/>
              </w:rPr>
            </w:pPr>
            <w:r w:rsidRPr="00D9348B">
              <w:rPr>
                <w:rFonts w:cs="Arial"/>
                <w:bCs/>
                <w:color w:val="000000"/>
                <w:szCs w:val="16"/>
              </w:rPr>
              <w:t>90.4</w:t>
            </w:r>
          </w:p>
        </w:tc>
      </w:tr>
      <w:tr w:rsidR="0011242D" w:rsidRPr="00D9348B" w14:paraId="43A09120" w14:textId="77777777" w:rsidTr="002851BB">
        <w:tc>
          <w:tcPr>
            <w:tcW w:w="586" w:type="pct"/>
            <w:tcBorders>
              <w:bottom w:val="single" w:sz="4" w:space="0" w:color="365F91"/>
            </w:tcBorders>
            <w:vAlign w:val="bottom"/>
          </w:tcPr>
          <w:p w14:paraId="288316A7" w14:textId="77777777" w:rsidR="00643D10" w:rsidRPr="00D9348B" w:rsidRDefault="00643D10" w:rsidP="00DB330E">
            <w:pPr>
              <w:pStyle w:val="TableText"/>
              <w:spacing w:before="50" w:after="50"/>
              <w:rPr>
                <w:rFonts w:cs="Arial"/>
                <w:szCs w:val="16"/>
              </w:rPr>
            </w:pPr>
            <w:r w:rsidRPr="00D9348B">
              <w:rPr>
                <w:rFonts w:cs="Arial"/>
                <w:bCs/>
                <w:color w:val="000000"/>
                <w:szCs w:val="16"/>
              </w:rPr>
              <w:t>1.A.1.b</w:t>
            </w:r>
          </w:p>
        </w:tc>
        <w:tc>
          <w:tcPr>
            <w:tcW w:w="1482" w:type="pct"/>
            <w:tcBorders>
              <w:bottom w:val="single" w:sz="4" w:space="0" w:color="365F91"/>
            </w:tcBorders>
            <w:shd w:val="clear" w:color="auto" w:fill="auto"/>
            <w:noWrap/>
            <w:vAlign w:val="bottom"/>
          </w:tcPr>
          <w:p w14:paraId="4808DBE3" w14:textId="77777777" w:rsidR="00643D10" w:rsidRPr="00D9348B" w:rsidRDefault="00643D10" w:rsidP="00DB330E">
            <w:pPr>
              <w:pStyle w:val="TableText"/>
              <w:spacing w:before="50" w:after="50"/>
              <w:rPr>
                <w:rFonts w:cs="Arial"/>
                <w:szCs w:val="16"/>
              </w:rPr>
            </w:pPr>
            <w:r w:rsidRPr="00D9348B">
              <w:rPr>
                <w:rFonts w:cs="Arial"/>
                <w:bCs/>
                <w:color w:val="000000"/>
                <w:szCs w:val="16"/>
              </w:rPr>
              <w:t>Energy Industries – Petroleum Refining Gaseous Fuels</w:t>
            </w:r>
          </w:p>
        </w:tc>
        <w:tc>
          <w:tcPr>
            <w:tcW w:w="345" w:type="pct"/>
            <w:tcBorders>
              <w:bottom w:val="single" w:sz="4" w:space="0" w:color="365F91"/>
            </w:tcBorders>
            <w:shd w:val="clear" w:color="auto" w:fill="auto"/>
            <w:noWrap/>
            <w:vAlign w:val="bottom"/>
          </w:tcPr>
          <w:p w14:paraId="16E862EE" w14:textId="77777777" w:rsidR="00643D10" w:rsidRPr="00D9348B" w:rsidRDefault="00643D10" w:rsidP="00DB330E">
            <w:pPr>
              <w:pStyle w:val="TableText"/>
              <w:spacing w:before="50" w:after="5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17" w:type="pct"/>
            <w:tcBorders>
              <w:bottom w:val="single" w:sz="4" w:space="0" w:color="365F91"/>
            </w:tcBorders>
            <w:shd w:val="clear" w:color="auto" w:fill="auto"/>
            <w:noWrap/>
            <w:vAlign w:val="bottom"/>
          </w:tcPr>
          <w:p w14:paraId="6C27FCF4"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0.0</w:t>
            </w:r>
          </w:p>
        </w:tc>
        <w:tc>
          <w:tcPr>
            <w:tcW w:w="517" w:type="pct"/>
            <w:tcBorders>
              <w:bottom w:val="single" w:sz="4" w:space="0" w:color="365F91"/>
            </w:tcBorders>
            <w:shd w:val="clear" w:color="auto" w:fill="auto"/>
            <w:noWrap/>
            <w:vAlign w:val="bottom"/>
          </w:tcPr>
          <w:p w14:paraId="55201B32"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206.5</w:t>
            </w:r>
          </w:p>
        </w:tc>
        <w:tc>
          <w:tcPr>
            <w:tcW w:w="517" w:type="pct"/>
            <w:tcBorders>
              <w:bottom w:val="single" w:sz="4" w:space="0" w:color="365F91"/>
            </w:tcBorders>
            <w:shd w:val="clear" w:color="auto" w:fill="auto"/>
            <w:noWrap/>
            <w:vAlign w:val="bottom"/>
          </w:tcPr>
          <w:p w14:paraId="4BC01F0F"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0.002</w:t>
            </w:r>
          </w:p>
        </w:tc>
        <w:tc>
          <w:tcPr>
            <w:tcW w:w="517" w:type="pct"/>
            <w:tcBorders>
              <w:bottom w:val="single" w:sz="4" w:space="0" w:color="365F91"/>
            </w:tcBorders>
            <w:shd w:val="clear" w:color="auto" w:fill="auto"/>
            <w:noWrap/>
            <w:vAlign w:val="bottom"/>
          </w:tcPr>
          <w:p w14:paraId="247470BF"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0.5</w:t>
            </w:r>
          </w:p>
        </w:tc>
        <w:tc>
          <w:tcPr>
            <w:tcW w:w="517" w:type="pct"/>
            <w:tcBorders>
              <w:bottom w:val="single" w:sz="4" w:space="0" w:color="365F91"/>
            </w:tcBorders>
            <w:shd w:val="clear" w:color="auto" w:fill="auto"/>
            <w:noWrap/>
            <w:vAlign w:val="bottom"/>
          </w:tcPr>
          <w:p w14:paraId="22161140"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90.9</w:t>
            </w:r>
          </w:p>
        </w:tc>
      </w:tr>
      <w:tr w:rsidR="0011242D" w:rsidRPr="00D9348B" w14:paraId="23BF3C04" w14:textId="77777777" w:rsidTr="002851BB">
        <w:tc>
          <w:tcPr>
            <w:tcW w:w="586" w:type="pct"/>
            <w:tcBorders>
              <w:bottom w:val="single" w:sz="4" w:space="0" w:color="365F91"/>
            </w:tcBorders>
            <w:vAlign w:val="bottom"/>
          </w:tcPr>
          <w:p w14:paraId="01EC6068" w14:textId="77777777" w:rsidR="00643D10" w:rsidRPr="00D9348B" w:rsidRDefault="00643D10" w:rsidP="00DB330E">
            <w:pPr>
              <w:pStyle w:val="TableText"/>
              <w:spacing w:before="50" w:after="50"/>
              <w:rPr>
                <w:rFonts w:cs="Arial"/>
                <w:szCs w:val="16"/>
              </w:rPr>
            </w:pPr>
            <w:r w:rsidRPr="00D9348B">
              <w:rPr>
                <w:rFonts w:cs="Arial"/>
                <w:bCs/>
                <w:color w:val="000000"/>
                <w:szCs w:val="16"/>
              </w:rPr>
              <w:t>3.D.1.3</w:t>
            </w:r>
          </w:p>
        </w:tc>
        <w:tc>
          <w:tcPr>
            <w:tcW w:w="1482" w:type="pct"/>
            <w:tcBorders>
              <w:bottom w:val="single" w:sz="4" w:space="0" w:color="365F91"/>
            </w:tcBorders>
            <w:shd w:val="clear" w:color="auto" w:fill="auto"/>
            <w:noWrap/>
            <w:vAlign w:val="bottom"/>
          </w:tcPr>
          <w:p w14:paraId="643B18D9" w14:textId="77777777" w:rsidR="00643D10" w:rsidRPr="00D9348B" w:rsidRDefault="00643D10" w:rsidP="00DB330E">
            <w:pPr>
              <w:pStyle w:val="TableText"/>
              <w:spacing w:before="50" w:after="50"/>
              <w:rPr>
                <w:rFonts w:cs="Arial"/>
                <w:szCs w:val="16"/>
              </w:rPr>
            </w:pPr>
            <w:r w:rsidRPr="00D9348B">
              <w:rPr>
                <w:rFonts w:cs="Arial"/>
                <w:bCs/>
                <w:color w:val="000000"/>
                <w:szCs w:val="16"/>
              </w:rPr>
              <w:t>Direct N</w:t>
            </w:r>
            <w:r w:rsidRPr="00D9348B">
              <w:rPr>
                <w:rFonts w:cs="Arial"/>
                <w:bCs/>
                <w:color w:val="000000"/>
                <w:szCs w:val="16"/>
                <w:vertAlign w:val="subscript"/>
              </w:rPr>
              <w:t>2</w:t>
            </w:r>
            <w:r w:rsidRPr="00D9348B">
              <w:rPr>
                <w:rFonts w:cs="Arial"/>
                <w:bCs/>
                <w:color w:val="000000"/>
                <w:szCs w:val="16"/>
              </w:rPr>
              <w:t>O Emissions From Managed Soils – Urine and Dung Deposited by Grazing Animals</w:t>
            </w:r>
          </w:p>
        </w:tc>
        <w:tc>
          <w:tcPr>
            <w:tcW w:w="345" w:type="pct"/>
            <w:tcBorders>
              <w:bottom w:val="single" w:sz="4" w:space="0" w:color="365F91"/>
            </w:tcBorders>
            <w:shd w:val="clear" w:color="auto" w:fill="auto"/>
            <w:noWrap/>
            <w:vAlign w:val="bottom"/>
          </w:tcPr>
          <w:p w14:paraId="4A3516F9" w14:textId="77777777" w:rsidR="00643D10" w:rsidRPr="00D9348B" w:rsidRDefault="00643D10" w:rsidP="00DB330E">
            <w:pPr>
              <w:pStyle w:val="TableText"/>
              <w:spacing w:before="50" w:after="50"/>
              <w:jc w:val="center"/>
              <w:rPr>
                <w:rFonts w:cs="Arial"/>
                <w:szCs w:val="16"/>
              </w:rPr>
            </w:pPr>
            <w:r w:rsidRPr="00D9348B">
              <w:rPr>
                <w:rFonts w:cs="Arial"/>
                <w:color w:val="000000"/>
                <w:szCs w:val="16"/>
              </w:rPr>
              <w:t>N</w:t>
            </w:r>
            <w:r w:rsidRPr="00D9348B">
              <w:rPr>
                <w:rFonts w:cs="Arial"/>
                <w:color w:val="000000"/>
                <w:szCs w:val="16"/>
                <w:vertAlign w:val="subscript"/>
              </w:rPr>
              <w:t>2</w:t>
            </w:r>
            <w:r w:rsidRPr="00D9348B">
              <w:rPr>
                <w:rFonts w:cs="Arial"/>
                <w:color w:val="000000"/>
                <w:szCs w:val="16"/>
              </w:rPr>
              <w:t>O</w:t>
            </w:r>
          </w:p>
        </w:tc>
        <w:tc>
          <w:tcPr>
            <w:tcW w:w="517" w:type="pct"/>
            <w:tcBorders>
              <w:bottom w:val="single" w:sz="4" w:space="0" w:color="365F91"/>
            </w:tcBorders>
            <w:shd w:val="clear" w:color="auto" w:fill="auto"/>
            <w:noWrap/>
            <w:vAlign w:val="bottom"/>
          </w:tcPr>
          <w:p w14:paraId="71BF2CA4"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2,926.9</w:t>
            </w:r>
          </w:p>
        </w:tc>
        <w:tc>
          <w:tcPr>
            <w:tcW w:w="517" w:type="pct"/>
            <w:tcBorders>
              <w:bottom w:val="single" w:sz="4" w:space="0" w:color="365F91"/>
            </w:tcBorders>
            <w:shd w:val="clear" w:color="auto" w:fill="auto"/>
            <w:noWrap/>
            <w:vAlign w:val="bottom"/>
          </w:tcPr>
          <w:p w14:paraId="4E2075C8"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3,824.2</w:t>
            </w:r>
          </w:p>
        </w:tc>
        <w:tc>
          <w:tcPr>
            <w:tcW w:w="517" w:type="pct"/>
            <w:tcBorders>
              <w:bottom w:val="single" w:sz="4" w:space="0" w:color="365F91"/>
            </w:tcBorders>
            <w:shd w:val="clear" w:color="auto" w:fill="auto"/>
            <w:noWrap/>
            <w:vAlign w:val="bottom"/>
          </w:tcPr>
          <w:p w14:paraId="4E534A34"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0.002</w:t>
            </w:r>
          </w:p>
        </w:tc>
        <w:tc>
          <w:tcPr>
            <w:tcW w:w="517" w:type="pct"/>
            <w:tcBorders>
              <w:bottom w:val="single" w:sz="4" w:space="0" w:color="365F91"/>
            </w:tcBorders>
            <w:shd w:val="clear" w:color="auto" w:fill="auto"/>
            <w:noWrap/>
            <w:vAlign w:val="bottom"/>
          </w:tcPr>
          <w:p w14:paraId="6C5290D8"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0.5</w:t>
            </w:r>
          </w:p>
        </w:tc>
        <w:tc>
          <w:tcPr>
            <w:tcW w:w="517" w:type="pct"/>
            <w:tcBorders>
              <w:bottom w:val="single" w:sz="4" w:space="0" w:color="365F91"/>
            </w:tcBorders>
            <w:shd w:val="clear" w:color="auto" w:fill="auto"/>
            <w:noWrap/>
            <w:vAlign w:val="bottom"/>
          </w:tcPr>
          <w:p w14:paraId="368B9426"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91.4</w:t>
            </w:r>
          </w:p>
        </w:tc>
      </w:tr>
      <w:tr w:rsidR="0011242D" w:rsidRPr="00D9348B" w14:paraId="0777B365" w14:textId="77777777" w:rsidTr="002851BB">
        <w:tc>
          <w:tcPr>
            <w:tcW w:w="586" w:type="pct"/>
            <w:tcBorders>
              <w:bottom w:val="single" w:sz="4" w:space="0" w:color="365F91"/>
            </w:tcBorders>
            <w:vAlign w:val="bottom"/>
          </w:tcPr>
          <w:p w14:paraId="7A6E207E" w14:textId="77777777" w:rsidR="00643D10" w:rsidRPr="00D9348B" w:rsidRDefault="00643D10" w:rsidP="00DB330E">
            <w:pPr>
              <w:pStyle w:val="TableText"/>
              <w:spacing w:before="50" w:after="50"/>
              <w:rPr>
                <w:rFonts w:cs="Arial"/>
                <w:szCs w:val="16"/>
              </w:rPr>
            </w:pPr>
            <w:r w:rsidRPr="00D9348B">
              <w:rPr>
                <w:rFonts w:cs="Arial"/>
                <w:bCs/>
                <w:color w:val="000000"/>
                <w:szCs w:val="16"/>
              </w:rPr>
              <w:t>1.A.3.b</w:t>
            </w:r>
          </w:p>
        </w:tc>
        <w:tc>
          <w:tcPr>
            <w:tcW w:w="1482" w:type="pct"/>
            <w:tcBorders>
              <w:bottom w:val="single" w:sz="4" w:space="0" w:color="365F91"/>
            </w:tcBorders>
            <w:shd w:val="clear" w:color="auto" w:fill="auto"/>
            <w:noWrap/>
            <w:vAlign w:val="bottom"/>
          </w:tcPr>
          <w:p w14:paraId="6DE18712" w14:textId="77777777" w:rsidR="00643D10" w:rsidRPr="00D9348B" w:rsidRDefault="00643D10" w:rsidP="00DB330E">
            <w:pPr>
              <w:pStyle w:val="TableText"/>
              <w:spacing w:before="50" w:after="50"/>
              <w:rPr>
                <w:rFonts w:cs="Arial"/>
                <w:szCs w:val="16"/>
              </w:rPr>
            </w:pPr>
            <w:r w:rsidRPr="00D9348B">
              <w:rPr>
                <w:rFonts w:cs="Arial"/>
                <w:bCs/>
                <w:color w:val="000000"/>
                <w:szCs w:val="16"/>
              </w:rPr>
              <w:t>Transport – Road Transportation Gaseous Fuels</w:t>
            </w:r>
          </w:p>
        </w:tc>
        <w:tc>
          <w:tcPr>
            <w:tcW w:w="345" w:type="pct"/>
            <w:tcBorders>
              <w:bottom w:val="single" w:sz="4" w:space="0" w:color="365F91"/>
            </w:tcBorders>
            <w:shd w:val="clear" w:color="auto" w:fill="auto"/>
            <w:noWrap/>
            <w:vAlign w:val="bottom"/>
          </w:tcPr>
          <w:p w14:paraId="00079CC7" w14:textId="77777777" w:rsidR="00643D10" w:rsidRPr="00D9348B" w:rsidRDefault="00643D10" w:rsidP="00DB330E">
            <w:pPr>
              <w:pStyle w:val="TableText"/>
              <w:spacing w:before="50" w:after="5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17" w:type="pct"/>
            <w:tcBorders>
              <w:bottom w:val="single" w:sz="4" w:space="0" w:color="365F91"/>
            </w:tcBorders>
            <w:shd w:val="clear" w:color="auto" w:fill="auto"/>
            <w:noWrap/>
            <w:vAlign w:val="bottom"/>
          </w:tcPr>
          <w:p w14:paraId="3F162CAD"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140.8</w:t>
            </w:r>
          </w:p>
        </w:tc>
        <w:tc>
          <w:tcPr>
            <w:tcW w:w="517" w:type="pct"/>
            <w:tcBorders>
              <w:bottom w:val="single" w:sz="4" w:space="0" w:color="365F91"/>
            </w:tcBorders>
            <w:shd w:val="clear" w:color="auto" w:fill="auto"/>
            <w:noWrap/>
            <w:vAlign w:val="bottom"/>
          </w:tcPr>
          <w:p w14:paraId="50BCAD08"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0.0</w:t>
            </w:r>
          </w:p>
        </w:tc>
        <w:tc>
          <w:tcPr>
            <w:tcW w:w="517" w:type="pct"/>
            <w:tcBorders>
              <w:bottom w:val="single" w:sz="4" w:space="0" w:color="365F91"/>
            </w:tcBorders>
            <w:shd w:val="clear" w:color="auto" w:fill="auto"/>
            <w:noWrap/>
            <w:vAlign w:val="bottom"/>
          </w:tcPr>
          <w:p w14:paraId="7146FE9E"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0.002</w:t>
            </w:r>
          </w:p>
        </w:tc>
        <w:tc>
          <w:tcPr>
            <w:tcW w:w="517" w:type="pct"/>
            <w:tcBorders>
              <w:bottom w:val="single" w:sz="4" w:space="0" w:color="365F91"/>
            </w:tcBorders>
            <w:shd w:val="clear" w:color="auto" w:fill="auto"/>
            <w:noWrap/>
            <w:vAlign w:val="bottom"/>
          </w:tcPr>
          <w:p w14:paraId="4BA2F71F"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0.4</w:t>
            </w:r>
          </w:p>
        </w:tc>
        <w:tc>
          <w:tcPr>
            <w:tcW w:w="517" w:type="pct"/>
            <w:tcBorders>
              <w:bottom w:val="single" w:sz="4" w:space="0" w:color="365F91"/>
            </w:tcBorders>
            <w:shd w:val="clear" w:color="auto" w:fill="auto"/>
            <w:noWrap/>
            <w:vAlign w:val="bottom"/>
          </w:tcPr>
          <w:p w14:paraId="45EF46B0"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91.8</w:t>
            </w:r>
          </w:p>
        </w:tc>
      </w:tr>
      <w:tr w:rsidR="0011242D" w:rsidRPr="00D9348B" w14:paraId="6F0B3688" w14:textId="77777777" w:rsidTr="002851BB">
        <w:tc>
          <w:tcPr>
            <w:tcW w:w="586" w:type="pct"/>
            <w:tcBorders>
              <w:bottom w:val="single" w:sz="4" w:space="0" w:color="365F91"/>
            </w:tcBorders>
            <w:vAlign w:val="bottom"/>
          </w:tcPr>
          <w:p w14:paraId="1629DAEC" w14:textId="77777777" w:rsidR="00643D10" w:rsidRPr="00D9348B" w:rsidRDefault="00643D10" w:rsidP="002851BB">
            <w:pPr>
              <w:pStyle w:val="TableText"/>
            </w:pPr>
            <w:r w:rsidRPr="00D9348B">
              <w:t>1.A.4.a</w:t>
            </w:r>
          </w:p>
        </w:tc>
        <w:tc>
          <w:tcPr>
            <w:tcW w:w="1482" w:type="pct"/>
            <w:tcBorders>
              <w:bottom w:val="single" w:sz="4" w:space="0" w:color="365F91"/>
            </w:tcBorders>
            <w:shd w:val="clear" w:color="auto" w:fill="auto"/>
            <w:noWrap/>
            <w:vAlign w:val="bottom"/>
          </w:tcPr>
          <w:p w14:paraId="5EC0502C" w14:textId="77777777" w:rsidR="00643D10" w:rsidRPr="00D9348B" w:rsidRDefault="00643D10" w:rsidP="00DB330E">
            <w:pPr>
              <w:pStyle w:val="TableText"/>
              <w:spacing w:before="50" w:after="50"/>
              <w:rPr>
                <w:rFonts w:cs="Arial"/>
                <w:szCs w:val="16"/>
              </w:rPr>
            </w:pPr>
            <w:r w:rsidRPr="00D9348B">
              <w:rPr>
                <w:rFonts w:cs="Arial"/>
                <w:bCs/>
                <w:color w:val="000000"/>
                <w:szCs w:val="16"/>
              </w:rPr>
              <w:t>Other Sectors – Commercial/Institutional Gaseous Fuels</w:t>
            </w:r>
          </w:p>
        </w:tc>
        <w:tc>
          <w:tcPr>
            <w:tcW w:w="345" w:type="pct"/>
            <w:tcBorders>
              <w:bottom w:val="single" w:sz="4" w:space="0" w:color="365F91"/>
            </w:tcBorders>
            <w:shd w:val="clear" w:color="auto" w:fill="auto"/>
            <w:noWrap/>
            <w:vAlign w:val="bottom"/>
          </w:tcPr>
          <w:p w14:paraId="12D089EB" w14:textId="77777777" w:rsidR="00643D10" w:rsidRPr="00D9348B" w:rsidRDefault="00643D10" w:rsidP="00DB330E">
            <w:pPr>
              <w:pStyle w:val="TableText"/>
              <w:spacing w:before="50" w:after="5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17" w:type="pct"/>
            <w:tcBorders>
              <w:bottom w:val="single" w:sz="4" w:space="0" w:color="365F91"/>
            </w:tcBorders>
            <w:shd w:val="clear" w:color="auto" w:fill="auto"/>
            <w:noWrap/>
            <w:vAlign w:val="bottom"/>
          </w:tcPr>
          <w:p w14:paraId="6547BF5B"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236.1</w:t>
            </w:r>
          </w:p>
        </w:tc>
        <w:tc>
          <w:tcPr>
            <w:tcW w:w="517" w:type="pct"/>
            <w:tcBorders>
              <w:bottom w:val="single" w:sz="4" w:space="0" w:color="365F91"/>
            </w:tcBorders>
            <w:shd w:val="clear" w:color="auto" w:fill="auto"/>
            <w:noWrap/>
            <w:vAlign w:val="bottom"/>
          </w:tcPr>
          <w:p w14:paraId="0C84EEBD"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458.1</w:t>
            </w:r>
          </w:p>
        </w:tc>
        <w:tc>
          <w:tcPr>
            <w:tcW w:w="517" w:type="pct"/>
            <w:tcBorders>
              <w:bottom w:val="single" w:sz="4" w:space="0" w:color="365F91"/>
            </w:tcBorders>
            <w:shd w:val="clear" w:color="auto" w:fill="auto"/>
            <w:noWrap/>
            <w:vAlign w:val="bottom"/>
          </w:tcPr>
          <w:p w14:paraId="62C7729E"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0.002</w:t>
            </w:r>
          </w:p>
        </w:tc>
        <w:tc>
          <w:tcPr>
            <w:tcW w:w="517" w:type="pct"/>
            <w:tcBorders>
              <w:bottom w:val="single" w:sz="4" w:space="0" w:color="365F91"/>
            </w:tcBorders>
            <w:shd w:val="clear" w:color="auto" w:fill="auto"/>
            <w:noWrap/>
            <w:vAlign w:val="bottom"/>
          </w:tcPr>
          <w:p w14:paraId="18850CD0"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0.4</w:t>
            </w:r>
          </w:p>
        </w:tc>
        <w:tc>
          <w:tcPr>
            <w:tcW w:w="517" w:type="pct"/>
            <w:tcBorders>
              <w:bottom w:val="single" w:sz="4" w:space="0" w:color="365F91"/>
            </w:tcBorders>
            <w:shd w:val="clear" w:color="auto" w:fill="auto"/>
            <w:noWrap/>
            <w:vAlign w:val="bottom"/>
          </w:tcPr>
          <w:p w14:paraId="4349533D"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92.2</w:t>
            </w:r>
          </w:p>
        </w:tc>
      </w:tr>
      <w:tr w:rsidR="0011242D" w:rsidRPr="00D9348B" w14:paraId="22704CED" w14:textId="77777777" w:rsidTr="002851BB">
        <w:tc>
          <w:tcPr>
            <w:tcW w:w="586" w:type="pct"/>
            <w:tcBorders>
              <w:bottom w:val="single" w:sz="4" w:space="0" w:color="365F91"/>
            </w:tcBorders>
            <w:vAlign w:val="bottom"/>
          </w:tcPr>
          <w:p w14:paraId="1C37E469" w14:textId="77777777" w:rsidR="00643D10" w:rsidRPr="00D9348B" w:rsidRDefault="00643D10" w:rsidP="00DB330E">
            <w:pPr>
              <w:pStyle w:val="TableText"/>
              <w:spacing w:before="50" w:after="50"/>
              <w:rPr>
                <w:rFonts w:cs="Arial"/>
                <w:szCs w:val="16"/>
              </w:rPr>
            </w:pPr>
            <w:r w:rsidRPr="00D9348B">
              <w:rPr>
                <w:rFonts w:cs="Arial"/>
                <w:bCs/>
                <w:color w:val="000000"/>
                <w:szCs w:val="16"/>
              </w:rPr>
              <w:t>1.B.2.c.1.ii</w:t>
            </w:r>
          </w:p>
        </w:tc>
        <w:tc>
          <w:tcPr>
            <w:tcW w:w="1482" w:type="pct"/>
            <w:tcBorders>
              <w:bottom w:val="single" w:sz="4" w:space="0" w:color="365F91"/>
            </w:tcBorders>
            <w:shd w:val="clear" w:color="auto" w:fill="auto"/>
            <w:noWrap/>
            <w:vAlign w:val="bottom"/>
          </w:tcPr>
          <w:p w14:paraId="2742644A" w14:textId="77777777" w:rsidR="00643D10" w:rsidRPr="00D9348B" w:rsidRDefault="00643D10" w:rsidP="00DB330E">
            <w:pPr>
              <w:pStyle w:val="TableText"/>
              <w:spacing w:before="50" w:after="50"/>
              <w:rPr>
                <w:rFonts w:cs="Arial"/>
                <w:szCs w:val="16"/>
              </w:rPr>
            </w:pPr>
            <w:r w:rsidRPr="00D9348B">
              <w:rPr>
                <w:rFonts w:cs="Arial"/>
                <w:bCs/>
                <w:color w:val="000000"/>
                <w:szCs w:val="16"/>
              </w:rPr>
              <w:t>Venting – Gas</w:t>
            </w:r>
          </w:p>
        </w:tc>
        <w:tc>
          <w:tcPr>
            <w:tcW w:w="345" w:type="pct"/>
            <w:tcBorders>
              <w:bottom w:val="single" w:sz="4" w:space="0" w:color="365F91"/>
            </w:tcBorders>
            <w:shd w:val="clear" w:color="auto" w:fill="auto"/>
            <w:noWrap/>
            <w:vAlign w:val="bottom"/>
          </w:tcPr>
          <w:p w14:paraId="390E440C" w14:textId="77777777" w:rsidR="00643D10" w:rsidRPr="00D9348B" w:rsidRDefault="00643D10" w:rsidP="00DB330E">
            <w:pPr>
              <w:pStyle w:val="TableText"/>
              <w:spacing w:before="50" w:after="5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17" w:type="pct"/>
            <w:tcBorders>
              <w:bottom w:val="single" w:sz="4" w:space="0" w:color="365F91"/>
            </w:tcBorders>
            <w:shd w:val="clear" w:color="auto" w:fill="auto"/>
            <w:noWrap/>
            <w:vAlign w:val="bottom"/>
          </w:tcPr>
          <w:p w14:paraId="7355600A"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109.3</w:t>
            </w:r>
          </w:p>
        </w:tc>
        <w:tc>
          <w:tcPr>
            <w:tcW w:w="517" w:type="pct"/>
            <w:tcBorders>
              <w:bottom w:val="single" w:sz="4" w:space="0" w:color="365F91"/>
            </w:tcBorders>
            <w:shd w:val="clear" w:color="auto" w:fill="auto"/>
            <w:noWrap/>
            <w:vAlign w:val="bottom"/>
          </w:tcPr>
          <w:p w14:paraId="2D525E1D"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287.0</w:t>
            </w:r>
          </w:p>
        </w:tc>
        <w:tc>
          <w:tcPr>
            <w:tcW w:w="517" w:type="pct"/>
            <w:tcBorders>
              <w:bottom w:val="single" w:sz="4" w:space="0" w:color="365F91"/>
            </w:tcBorders>
            <w:shd w:val="clear" w:color="auto" w:fill="auto"/>
            <w:noWrap/>
            <w:vAlign w:val="bottom"/>
          </w:tcPr>
          <w:p w14:paraId="4BF14963"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0.002</w:t>
            </w:r>
          </w:p>
        </w:tc>
        <w:tc>
          <w:tcPr>
            <w:tcW w:w="517" w:type="pct"/>
            <w:tcBorders>
              <w:bottom w:val="single" w:sz="4" w:space="0" w:color="365F91"/>
            </w:tcBorders>
            <w:shd w:val="clear" w:color="auto" w:fill="auto"/>
            <w:noWrap/>
            <w:vAlign w:val="bottom"/>
          </w:tcPr>
          <w:p w14:paraId="0299466B"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0.4</w:t>
            </w:r>
          </w:p>
        </w:tc>
        <w:tc>
          <w:tcPr>
            <w:tcW w:w="517" w:type="pct"/>
            <w:tcBorders>
              <w:bottom w:val="single" w:sz="4" w:space="0" w:color="365F91"/>
            </w:tcBorders>
            <w:shd w:val="clear" w:color="auto" w:fill="auto"/>
            <w:noWrap/>
            <w:vAlign w:val="bottom"/>
          </w:tcPr>
          <w:p w14:paraId="4D2F161E"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92.5</w:t>
            </w:r>
          </w:p>
        </w:tc>
      </w:tr>
      <w:tr w:rsidR="0011242D" w:rsidRPr="00D9348B" w14:paraId="73DE7905" w14:textId="77777777" w:rsidTr="002851BB">
        <w:tc>
          <w:tcPr>
            <w:tcW w:w="586" w:type="pct"/>
            <w:tcBorders>
              <w:bottom w:val="single" w:sz="4" w:space="0" w:color="365F91"/>
            </w:tcBorders>
            <w:vAlign w:val="bottom"/>
          </w:tcPr>
          <w:p w14:paraId="4943EA47" w14:textId="77777777" w:rsidR="00643D10" w:rsidRPr="00D9348B" w:rsidRDefault="00643D10" w:rsidP="002851BB">
            <w:pPr>
              <w:pStyle w:val="TableText"/>
              <w:keepNext/>
              <w:spacing w:before="50" w:after="50"/>
              <w:rPr>
                <w:rFonts w:cs="Arial"/>
                <w:szCs w:val="16"/>
              </w:rPr>
            </w:pPr>
            <w:r w:rsidRPr="00D9348B">
              <w:rPr>
                <w:rFonts w:cs="Arial"/>
                <w:bCs/>
                <w:color w:val="000000"/>
                <w:szCs w:val="16"/>
              </w:rPr>
              <w:lastRenderedPageBreak/>
              <w:t>1.A.2.g.viii</w:t>
            </w:r>
          </w:p>
        </w:tc>
        <w:tc>
          <w:tcPr>
            <w:tcW w:w="1482" w:type="pct"/>
            <w:tcBorders>
              <w:bottom w:val="single" w:sz="4" w:space="0" w:color="365F91"/>
            </w:tcBorders>
            <w:shd w:val="clear" w:color="auto" w:fill="auto"/>
            <w:noWrap/>
            <w:vAlign w:val="bottom"/>
          </w:tcPr>
          <w:p w14:paraId="4D7F78E3" w14:textId="77777777" w:rsidR="00643D10" w:rsidRPr="00D9348B" w:rsidRDefault="00643D10" w:rsidP="00DB330E">
            <w:pPr>
              <w:pStyle w:val="TableText"/>
              <w:spacing w:before="50" w:after="50"/>
              <w:rPr>
                <w:rFonts w:cs="Arial"/>
                <w:szCs w:val="16"/>
              </w:rPr>
            </w:pPr>
            <w:r w:rsidRPr="00D9348B">
              <w:rPr>
                <w:rFonts w:cs="Arial"/>
                <w:bCs/>
                <w:color w:val="000000"/>
                <w:szCs w:val="16"/>
              </w:rPr>
              <w:t>Other (please specify) – Other (please specify) Liquid Fuels</w:t>
            </w:r>
          </w:p>
        </w:tc>
        <w:tc>
          <w:tcPr>
            <w:tcW w:w="345" w:type="pct"/>
            <w:tcBorders>
              <w:bottom w:val="single" w:sz="4" w:space="0" w:color="365F91"/>
            </w:tcBorders>
            <w:shd w:val="clear" w:color="auto" w:fill="auto"/>
            <w:noWrap/>
            <w:vAlign w:val="bottom"/>
          </w:tcPr>
          <w:p w14:paraId="2E4D872A" w14:textId="77777777" w:rsidR="00643D10" w:rsidRPr="00D9348B" w:rsidRDefault="00643D10" w:rsidP="00DB330E">
            <w:pPr>
              <w:pStyle w:val="TableText"/>
              <w:spacing w:before="50" w:after="5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17" w:type="pct"/>
            <w:tcBorders>
              <w:bottom w:val="single" w:sz="4" w:space="0" w:color="365F91"/>
            </w:tcBorders>
            <w:shd w:val="clear" w:color="auto" w:fill="auto"/>
            <w:noWrap/>
            <w:vAlign w:val="bottom"/>
          </w:tcPr>
          <w:p w14:paraId="6F4722E8"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51.5</w:t>
            </w:r>
          </w:p>
        </w:tc>
        <w:tc>
          <w:tcPr>
            <w:tcW w:w="517" w:type="pct"/>
            <w:tcBorders>
              <w:bottom w:val="single" w:sz="4" w:space="0" w:color="365F91"/>
            </w:tcBorders>
            <w:shd w:val="clear" w:color="auto" w:fill="auto"/>
            <w:noWrap/>
            <w:vAlign w:val="bottom"/>
          </w:tcPr>
          <w:p w14:paraId="17131785"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208.4</w:t>
            </w:r>
          </w:p>
        </w:tc>
        <w:tc>
          <w:tcPr>
            <w:tcW w:w="517" w:type="pct"/>
            <w:tcBorders>
              <w:bottom w:val="single" w:sz="4" w:space="0" w:color="365F91"/>
            </w:tcBorders>
            <w:shd w:val="clear" w:color="auto" w:fill="auto"/>
            <w:noWrap/>
            <w:vAlign w:val="bottom"/>
          </w:tcPr>
          <w:p w14:paraId="5279F8E5"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0.001</w:t>
            </w:r>
          </w:p>
        </w:tc>
        <w:tc>
          <w:tcPr>
            <w:tcW w:w="517" w:type="pct"/>
            <w:tcBorders>
              <w:bottom w:val="single" w:sz="4" w:space="0" w:color="365F91"/>
            </w:tcBorders>
            <w:shd w:val="clear" w:color="auto" w:fill="auto"/>
            <w:noWrap/>
            <w:vAlign w:val="bottom"/>
          </w:tcPr>
          <w:p w14:paraId="2C4E5025"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0.3</w:t>
            </w:r>
          </w:p>
        </w:tc>
        <w:tc>
          <w:tcPr>
            <w:tcW w:w="517" w:type="pct"/>
            <w:tcBorders>
              <w:bottom w:val="single" w:sz="4" w:space="0" w:color="365F91"/>
            </w:tcBorders>
            <w:shd w:val="clear" w:color="auto" w:fill="auto"/>
            <w:noWrap/>
            <w:vAlign w:val="bottom"/>
          </w:tcPr>
          <w:p w14:paraId="536564F2"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92.9</w:t>
            </w:r>
          </w:p>
        </w:tc>
      </w:tr>
      <w:tr w:rsidR="0011242D" w:rsidRPr="00D9348B" w14:paraId="7B16FC21" w14:textId="77777777" w:rsidTr="002851BB">
        <w:tc>
          <w:tcPr>
            <w:tcW w:w="586" w:type="pct"/>
            <w:tcBorders>
              <w:bottom w:val="single" w:sz="4" w:space="0" w:color="365F91"/>
            </w:tcBorders>
            <w:vAlign w:val="bottom"/>
          </w:tcPr>
          <w:p w14:paraId="38D59E3E" w14:textId="77777777" w:rsidR="00643D10" w:rsidRPr="00D9348B" w:rsidRDefault="00643D10" w:rsidP="00DB330E">
            <w:pPr>
              <w:pStyle w:val="TableText"/>
              <w:spacing w:before="50" w:after="50"/>
              <w:rPr>
                <w:rFonts w:cs="Arial"/>
                <w:szCs w:val="16"/>
              </w:rPr>
            </w:pPr>
            <w:r w:rsidRPr="00D9348B">
              <w:rPr>
                <w:rFonts w:cs="Arial"/>
                <w:bCs/>
                <w:color w:val="000000"/>
                <w:szCs w:val="16"/>
              </w:rPr>
              <w:t>1.B.2.b.5</w:t>
            </w:r>
          </w:p>
        </w:tc>
        <w:tc>
          <w:tcPr>
            <w:tcW w:w="1482" w:type="pct"/>
            <w:tcBorders>
              <w:bottom w:val="single" w:sz="4" w:space="0" w:color="365F91"/>
            </w:tcBorders>
            <w:shd w:val="clear" w:color="auto" w:fill="auto"/>
            <w:noWrap/>
            <w:vAlign w:val="bottom"/>
          </w:tcPr>
          <w:p w14:paraId="762479E0" w14:textId="77777777" w:rsidR="00643D10" w:rsidRPr="00D9348B" w:rsidRDefault="00643D10" w:rsidP="00DB330E">
            <w:pPr>
              <w:pStyle w:val="TableText"/>
              <w:spacing w:before="50" w:after="50"/>
              <w:rPr>
                <w:rFonts w:cs="Arial"/>
                <w:szCs w:val="16"/>
              </w:rPr>
            </w:pPr>
            <w:r w:rsidRPr="00D9348B">
              <w:rPr>
                <w:rFonts w:cs="Arial"/>
                <w:bCs/>
                <w:color w:val="000000"/>
                <w:szCs w:val="16"/>
              </w:rPr>
              <w:t>Natural Gas – Distribution</w:t>
            </w:r>
          </w:p>
        </w:tc>
        <w:tc>
          <w:tcPr>
            <w:tcW w:w="345" w:type="pct"/>
            <w:tcBorders>
              <w:bottom w:val="single" w:sz="4" w:space="0" w:color="365F91"/>
            </w:tcBorders>
            <w:shd w:val="clear" w:color="auto" w:fill="auto"/>
            <w:noWrap/>
            <w:vAlign w:val="bottom"/>
          </w:tcPr>
          <w:p w14:paraId="70647FE8" w14:textId="77777777" w:rsidR="00643D10" w:rsidRPr="00D9348B" w:rsidRDefault="00643D10" w:rsidP="00DB330E">
            <w:pPr>
              <w:pStyle w:val="TableText"/>
              <w:spacing w:before="50" w:after="50"/>
              <w:jc w:val="center"/>
              <w:rPr>
                <w:rFonts w:cs="Arial"/>
                <w:szCs w:val="16"/>
              </w:rPr>
            </w:pPr>
            <w:r w:rsidRPr="00D9348B">
              <w:rPr>
                <w:rFonts w:cs="Arial"/>
                <w:color w:val="000000"/>
                <w:szCs w:val="16"/>
              </w:rPr>
              <w:t>CH</w:t>
            </w:r>
            <w:r w:rsidRPr="00D9348B">
              <w:rPr>
                <w:rFonts w:cs="Arial"/>
                <w:color w:val="000000"/>
                <w:szCs w:val="16"/>
                <w:vertAlign w:val="subscript"/>
              </w:rPr>
              <w:t>4</w:t>
            </w:r>
          </w:p>
        </w:tc>
        <w:tc>
          <w:tcPr>
            <w:tcW w:w="517" w:type="pct"/>
            <w:tcBorders>
              <w:bottom w:val="single" w:sz="4" w:space="0" w:color="365F91"/>
            </w:tcBorders>
            <w:shd w:val="clear" w:color="auto" w:fill="auto"/>
            <w:noWrap/>
            <w:vAlign w:val="bottom"/>
          </w:tcPr>
          <w:p w14:paraId="5A8BD919"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277.5</w:t>
            </w:r>
          </w:p>
        </w:tc>
        <w:tc>
          <w:tcPr>
            <w:tcW w:w="517" w:type="pct"/>
            <w:tcBorders>
              <w:bottom w:val="single" w:sz="4" w:space="0" w:color="365F91"/>
            </w:tcBorders>
            <w:shd w:val="clear" w:color="auto" w:fill="auto"/>
            <w:noWrap/>
            <w:vAlign w:val="bottom"/>
          </w:tcPr>
          <w:p w14:paraId="42146AA0"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203.0</w:t>
            </w:r>
          </w:p>
        </w:tc>
        <w:tc>
          <w:tcPr>
            <w:tcW w:w="517" w:type="pct"/>
            <w:tcBorders>
              <w:bottom w:val="single" w:sz="4" w:space="0" w:color="365F91"/>
            </w:tcBorders>
            <w:shd w:val="clear" w:color="auto" w:fill="auto"/>
            <w:noWrap/>
            <w:vAlign w:val="bottom"/>
          </w:tcPr>
          <w:p w14:paraId="244B4E19"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0.001</w:t>
            </w:r>
          </w:p>
        </w:tc>
        <w:tc>
          <w:tcPr>
            <w:tcW w:w="517" w:type="pct"/>
            <w:tcBorders>
              <w:bottom w:val="single" w:sz="4" w:space="0" w:color="365F91"/>
            </w:tcBorders>
            <w:shd w:val="clear" w:color="auto" w:fill="auto"/>
            <w:noWrap/>
            <w:vAlign w:val="bottom"/>
          </w:tcPr>
          <w:p w14:paraId="77FFE3FA"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0.3</w:t>
            </w:r>
          </w:p>
        </w:tc>
        <w:tc>
          <w:tcPr>
            <w:tcW w:w="517" w:type="pct"/>
            <w:tcBorders>
              <w:bottom w:val="single" w:sz="4" w:space="0" w:color="365F91"/>
            </w:tcBorders>
            <w:shd w:val="clear" w:color="auto" w:fill="auto"/>
            <w:noWrap/>
            <w:vAlign w:val="bottom"/>
          </w:tcPr>
          <w:p w14:paraId="2ED9F84A"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93.2</w:t>
            </w:r>
          </w:p>
        </w:tc>
      </w:tr>
      <w:tr w:rsidR="0011242D" w:rsidRPr="00D9348B" w14:paraId="25C0705B" w14:textId="77777777" w:rsidTr="002851BB">
        <w:tc>
          <w:tcPr>
            <w:tcW w:w="586" w:type="pct"/>
            <w:tcBorders>
              <w:bottom w:val="single" w:sz="4" w:space="0" w:color="365F91"/>
            </w:tcBorders>
            <w:vAlign w:val="bottom"/>
          </w:tcPr>
          <w:p w14:paraId="3BD3889B" w14:textId="77777777" w:rsidR="00643D10" w:rsidRPr="00D9348B" w:rsidRDefault="00643D10" w:rsidP="00DB330E">
            <w:pPr>
              <w:pStyle w:val="TableText"/>
              <w:spacing w:before="50" w:after="50"/>
              <w:rPr>
                <w:rFonts w:cs="Arial"/>
                <w:szCs w:val="16"/>
              </w:rPr>
            </w:pPr>
            <w:r w:rsidRPr="00D9348B">
              <w:rPr>
                <w:rFonts w:cs="Arial"/>
                <w:bCs/>
                <w:color w:val="000000"/>
                <w:szCs w:val="16"/>
              </w:rPr>
              <w:t>1.A.4.c</w:t>
            </w:r>
          </w:p>
        </w:tc>
        <w:tc>
          <w:tcPr>
            <w:tcW w:w="1482" w:type="pct"/>
            <w:tcBorders>
              <w:bottom w:val="single" w:sz="4" w:space="0" w:color="365F91"/>
            </w:tcBorders>
            <w:shd w:val="clear" w:color="auto" w:fill="auto"/>
            <w:noWrap/>
            <w:vAlign w:val="bottom"/>
          </w:tcPr>
          <w:p w14:paraId="3D2C7DA6" w14:textId="6CE56754" w:rsidR="00643D10" w:rsidRPr="00D9348B" w:rsidRDefault="00643D10" w:rsidP="00DB330E">
            <w:pPr>
              <w:pStyle w:val="TableText"/>
              <w:spacing w:before="50" w:after="50"/>
              <w:rPr>
                <w:rFonts w:cs="Arial"/>
                <w:szCs w:val="16"/>
              </w:rPr>
            </w:pPr>
            <w:r w:rsidRPr="00D9348B">
              <w:rPr>
                <w:rFonts w:cs="Arial"/>
                <w:bCs/>
                <w:color w:val="000000"/>
                <w:szCs w:val="16"/>
              </w:rPr>
              <w:t>Other Sectors – Agriculture/</w:t>
            </w:r>
            <w:r w:rsidR="00846CDB" w:rsidRPr="00D9348B">
              <w:rPr>
                <w:rFonts w:cs="Arial"/>
                <w:bCs/>
                <w:color w:val="000000"/>
                <w:szCs w:val="16"/>
              </w:rPr>
              <w:t xml:space="preserve"> </w:t>
            </w:r>
            <w:r w:rsidRPr="00D9348B">
              <w:rPr>
                <w:rFonts w:cs="Arial"/>
                <w:bCs/>
                <w:color w:val="000000"/>
                <w:szCs w:val="16"/>
              </w:rPr>
              <w:t>Forestry/Fishing Solid Fuels</w:t>
            </w:r>
          </w:p>
        </w:tc>
        <w:tc>
          <w:tcPr>
            <w:tcW w:w="345" w:type="pct"/>
            <w:tcBorders>
              <w:bottom w:val="single" w:sz="4" w:space="0" w:color="365F91"/>
            </w:tcBorders>
            <w:shd w:val="clear" w:color="auto" w:fill="auto"/>
            <w:noWrap/>
            <w:vAlign w:val="bottom"/>
          </w:tcPr>
          <w:p w14:paraId="6EDD0CE3" w14:textId="77777777" w:rsidR="00643D10" w:rsidRPr="00D9348B" w:rsidRDefault="00643D10" w:rsidP="00DB330E">
            <w:pPr>
              <w:pStyle w:val="TableText"/>
              <w:spacing w:before="50" w:after="5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17" w:type="pct"/>
            <w:tcBorders>
              <w:bottom w:val="single" w:sz="4" w:space="0" w:color="365F91"/>
            </w:tcBorders>
            <w:shd w:val="clear" w:color="auto" w:fill="auto"/>
            <w:noWrap/>
            <w:vAlign w:val="bottom"/>
          </w:tcPr>
          <w:p w14:paraId="31445A86"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35.1</w:t>
            </w:r>
          </w:p>
        </w:tc>
        <w:tc>
          <w:tcPr>
            <w:tcW w:w="517" w:type="pct"/>
            <w:tcBorders>
              <w:bottom w:val="single" w:sz="4" w:space="0" w:color="365F91"/>
            </w:tcBorders>
            <w:shd w:val="clear" w:color="auto" w:fill="auto"/>
            <w:noWrap/>
            <w:vAlign w:val="bottom"/>
          </w:tcPr>
          <w:p w14:paraId="26519C79"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182.2</w:t>
            </w:r>
          </w:p>
        </w:tc>
        <w:tc>
          <w:tcPr>
            <w:tcW w:w="517" w:type="pct"/>
            <w:tcBorders>
              <w:bottom w:val="single" w:sz="4" w:space="0" w:color="365F91"/>
            </w:tcBorders>
            <w:shd w:val="clear" w:color="auto" w:fill="auto"/>
            <w:noWrap/>
            <w:vAlign w:val="bottom"/>
          </w:tcPr>
          <w:p w14:paraId="23ECA6F9"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0.001</w:t>
            </w:r>
          </w:p>
        </w:tc>
        <w:tc>
          <w:tcPr>
            <w:tcW w:w="517" w:type="pct"/>
            <w:tcBorders>
              <w:bottom w:val="single" w:sz="4" w:space="0" w:color="365F91"/>
            </w:tcBorders>
            <w:shd w:val="clear" w:color="auto" w:fill="auto"/>
            <w:noWrap/>
            <w:vAlign w:val="bottom"/>
          </w:tcPr>
          <w:p w14:paraId="48CE7034"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0.3</w:t>
            </w:r>
          </w:p>
        </w:tc>
        <w:tc>
          <w:tcPr>
            <w:tcW w:w="517" w:type="pct"/>
            <w:tcBorders>
              <w:bottom w:val="single" w:sz="4" w:space="0" w:color="365F91"/>
            </w:tcBorders>
            <w:shd w:val="clear" w:color="auto" w:fill="auto"/>
            <w:noWrap/>
            <w:vAlign w:val="bottom"/>
          </w:tcPr>
          <w:p w14:paraId="32B35B40"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93.5</w:t>
            </w:r>
          </w:p>
        </w:tc>
      </w:tr>
      <w:tr w:rsidR="0011242D" w:rsidRPr="00D9348B" w14:paraId="3019CC13" w14:textId="77777777" w:rsidTr="002851BB">
        <w:tc>
          <w:tcPr>
            <w:tcW w:w="586" w:type="pct"/>
            <w:tcBorders>
              <w:bottom w:val="single" w:sz="4" w:space="0" w:color="365F91"/>
            </w:tcBorders>
            <w:vAlign w:val="bottom"/>
          </w:tcPr>
          <w:p w14:paraId="62A31F2F" w14:textId="77777777" w:rsidR="00643D10" w:rsidRPr="00D9348B" w:rsidRDefault="00643D10" w:rsidP="00DB330E">
            <w:pPr>
              <w:pStyle w:val="TableText"/>
              <w:spacing w:before="50" w:after="50"/>
              <w:rPr>
                <w:rFonts w:cs="Arial"/>
                <w:szCs w:val="16"/>
              </w:rPr>
            </w:pPr>
            <w:r w:rsidRPr="00D9348B">
              <w:rPr>
                <w:rFonts w:cs="Arial"/>
                <w:bCs/>
                <w:color w:val="000000"/>
                <w:szCs w:val="16"/>
              </w:rPr>
              <w:t>2.A.1</w:t>
            </w:r>
          </w:p>
        </w:tc>
        <w:tc>
          <w:tcPr>
            <w:tcW w:w="1482" w:type="pct"/>
            <w:tcBorders>
              <w:bottom w:val="single" w:sz="4" w:space="0" w:color="365F91"/>
            </w:tcBorders>
            <w:shd w:val="clear" w:color="auto" w:fill="auto"/>
            <w:noWrap/>
            <w:vAlign w:val="bottom"/>
          </w:tcPr>
          <w:p w14:paraId="26F03CE5" w14:textId="77777777" w:rsidR="00643D10" w:rsidRPr="00D9348B" w:rsidRDefault="00643D10" w:rsidP="00DB330E">
            <w:pPr>
              <w:pStyle w:val="TableText"/>
              <w:spacing w:before="50" w:after="50"/>
              <w:rPr>
                <w:rFonts w:cs="Arial"/>
                <w:szCs w:val="16"/>
              </w:rPr>
            </w:pPr>
            <w:r w:rsidRPr="00D9348B">
              <w:rPr>
                <w:rFonts w:cs="Arial"/>
                <w:bCs/>
                <w:color w:val="000000"/>
                <w:szCs w:val="16"/>
              </w:rPr>
              <w:t>Mineral Industry – Cement Production</w:t>
            </w:r>
          </w:p>
        </w:tc>
        <w:tc>
          <w:tcPr>
            <w:tcW w:w="345" w:type="pct"/>
            <w:tcBorders>
              <w:bottom w:val="single" w:sz="4" w:space="0" w:color="365F91"/>
            </w:tcBorders>
            <w:shd w:val="clear" w:color="auto" w:fill="auto"/>
            <w:noWrap/>
            <w:vAlign w:val="bottom"/>
          </w:tcPr>
          <w:p w14:paraId="695CE977" w14:textId="77777777" w:rsidR="00643D10" w:rsidRPr="00D9348B" w:rsidRDefault="00643D10" w:rsidP="00DB330E">
            <w:pPr>
              <w:pStyle w:val="TableText"/>
              <w:spacing w:before="50" w:after="5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17" w:type="pct"/>
            <w:tcBorders>
              <w:bottom w:val="single" w:sz="4" w:space="0" w:color="365F91"/>
            </w:tcBorders>
            <w:shd w:val="clear" w:color="auto" w:fill="auto"/>
            <w:noWrap/>
            <w:vAlign w:val="bottom"/>
          </w:tcPr>
          <w:p w14:paraId="2C7576FD"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448.7</w:t>
            </w:r>
          </w:p>
        </w:tc>
        <w:tc>
          <w:tcPr>
            <w:tcW w:w="517" w:type="pct"/>
            <w:tcBorders>
              <w:bottom w:val="single" w:sz="4" w:space="0" w:color="365F91"/>
            </w:tcBorders>
            <w:shd w:val="clear" w:color="auto" w:fill="auto"/>
            <w:noWrap/>
            <w:vAlign w:val="bottom"/>
          </w:tcPr>
          <w:p w14:paraId="31628BF2"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418.0</w:t>
            </w:r>
          </w:p>
        </w:tc>
        <w:tc>
          <w:tcPr>
            <w:tcW w:w="517" w:type="pct"/>
            <w:tcBorders>
              <w:bottom w:val="single" w:sz="4" w:space="0" w:color="365F91"/>
            </w:tcBorders>
            <w:shd w:val="clear" w:color="auto" w:fill="auto"/>
            <w:noWrap/>
            <w:vAlign w:val="bottom"/>
          </w:tcPr>
          <w:p w14:paraId="2C9F9A0F"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0.001</w:t>
            </w:r>
          </w:p>
        </w:tc>
        <w:tc>
          <w:tcPr>
            <w:tcW w:w="517" w:type="pct"/>
            <w:tcBorders>
              <w:bottom w:val="single" w:sz="4" w:space="0" w:color="365F91"/>
            </w:tcBorders>
            <w:shd w:val="clear" w:color="auto" w:fill="auto"/>
            <w:noWrap/>
            <w:vAlign w:val="bottom"/>
          </w:tcPr>
          <w:p w14:paraId="01E5EE72"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0.3</w:t>
            </w:r>
          </w:p>
        </w:tc>
        <w:tc>
          <w:tcPr>
            <w:tcW w:w="517" w:type="pct"/>
            <w:tcBorders>
              <w:bottom w:val="single" w:sz="4" w:space="0" w:color="365F91"/>
            </w:tcBorders>
            <w:shd w:val="clear" w:color="auto" w:fill="auto"/>
            <w:noWrap/>
            <w:vAlign w:val="bottom"/>
          </w:tcPr>
          <w:p w14:paraId="6CF93958"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93.9</w:t>
            </w:r>
          </w:p>
        </w:tc>
      </w:tr>
      <w:tr w:rsidR="0011242D" w:rsidRPr="00D9348B" w14:paraId="772991D4" w14:textId="77777777" w:rsidTr="002851BB">
        <w:tc>
          <w:tcPr>
            <w:tcW w:w="586" w:type="pct"/>
            <w:tcBorders>
              <w:bottom w:val="single" w:sz="4" w:space="0" w:color="365F91"/>
            </w:tcBorders>
            <w:vAlign w:val="bottom"/>
          </w:tcPr>
          <w:p w14:paraId="68B6BD0E" w14:textId="77777777" w:rsidR="00643D10" w:rsidRPr="00D9348B" w:rsidRDefault="00643D10" w:rsidP="00DB330E">
            <w:pPr>
              <w:pStyle w:val="TableText"/>
              <w:spacing w:before="50" w:after="50"/>
              <w:rPr>
                <w:rFonts w:cs="Arial"/>
                <w:szCs w:val="16"/>
              </w:rPr>
            </w:pPr>
            <w:r w:rsidRPr="00D9348B">
              <w:rPr>
                <w:rFonts w:cs="Arial"/>
                <w:bCs/>
                <w:color w:val="000000"/>
                <w:szCs w:val="16"/>
              </w:rPr>
              <w:t>1.A.4.b</w:t>
            </w:r>
          </w:p>
        </w:tc>
        <w:tc>
          <w:tcPr>
            <w:tcW w:w="1482" w:type="pct"/>
            <w:tcBorders>
              <w:bottom w:val="single" w:sz="4" w:space="0" w:color="365F91"/>
            </w:tcBorders>
            <w:shd w:val="clear" w:color="auto" w:fill="auto"/>
            <w:noWrap/>
            <w:vAlign w:val="bottom"/>
          </w:tcPr>
          <w:p w14:paraId="457FBF37" w14:textId="77777777" w:rsidR="00643D10" w:rsidRPr="00D9348B" w:rsidRDefault="00643D10" w:rsidP="00DB330E">
            <w:pPr>
              <w:pStyle w:val="TableText"/>
              <w:spacing w:before="50" w:after="50"/>
              <w:rPr>
                <w:rFonts w:cs="Arial"/>
                <w:szCs w:val="16"/>
              </w:rPr>
            </w:pPr>
            <w:r w:rsidRPr="00D9348B">
              <w:rPr>
                <w:rFonts w:cs="Arial"/>
                <w:bCs/>
                <w:color w:val="000000"/>
                <w:szCs w:val="16"/>
              </w:rPr>
              <w:t>Other Sectors – Residential Gaseous Fuels</w:t>
            </w:r>
          </w:p>
        </w:tc>
        <w:tc>
          <w:tcPr>
            <w:tcW w:w="345" w:type="pct"/>
            <w:tcBorders>
              <w:bottom w:val="single" w:sz="4" w:space="0" w:color="365F91"/>
            </w:tcBorders>
            <w:shd w:val="clear" w:color="auto" w:fill="auto"/>
            <w:noWrap/>
            <w:vAlign w:val="bottom"/>
          </w:tcPr>
          <w:p w14:paraId="50D787DB" w14:textId="77777777" w:rsidR="00643D10" w:rsidRPr="00D9348B" w:rsidRDefault="00643D10" w:rsidP="00DB330E">
            <w:pPr>
              <w:pStyle w:val="TableText"/>
              <w:spacing w:before="50" w:after="5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17" w:type="pct"/>
            <w:tcBorders>
              <w:bottom w:val="single" w:sz="4" w:space="0" w:color="365F91"/>
            </w:tcBorders>
            <w:shd w:val="clear" w:color="auto" w:fill="auto"/>
            <w:noWrap/>
            <w:vAlign w:val="bottom"/>
          </w:tcPr>
          <w:p w14:paraId="7783C575"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185.6</w:t>
            </w:r>
          </w:p>
        </w:tc>
        <w:tc>
          <w:tcPr>
            <w:tcW w:w="517" w:type="pct"/>
            <w:tcBorders>
              <w:bottom w:val="single" w:sz="4" w:space="0" w:color="365F91"/>
            </w:tcBorders>
            <w:shd w:val="clear" w:color="auto" w:fill="auto"/>
            <w:noWrap/>
            <w:vAlign w:val="bottom"/>
          </w:tcPr>
          <w:p w14:paraId="153AFEBC"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362.7</w:t>
            </w:r>
          </w:p>
        </w:tc>
        <w:tc>
          <w:tcPr>
            <w:tcW w:w="517" w:type="pct"/>
            <w:tcBorders>
              <w:bottom w:val="single" w:sz="4" w:space="0" w:color="365F91"/>
            </w:tcBorders>
            <w:shd w:val="clear" w:color="auto" w:fill="auto"/>
            <w:noWrap/>
            <w:vAlign w:val="bottom"/>
          </w:tcPr>
          <w:p w14:paraId="134B3510"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0.001</w:t>
            </w:r>
          </w:p>
        </w:tc>
        <w:tc>
          <w:tcPr>
            <w:tcW w:w="517" w:type="pct"/>
            <w:tcBorders>
              <w:bottom w:val="single" w:sz="4" w:space="0" w:color="365F91"/>
            </w:tcBorders>
            <w:shd w:val="clear" w:color="auto" w:fill="auto"/>
            <w:noWrap/>
            <w:vAlign w:val="bottom"/>
          </w:tcPr>
          <w:p w14:paraId="473F5438"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0.3</w:t>
            </w:r>
          </w:p>
        </w:tc>
        <w:tc>
          <w:tcPr>
            <w:tcW w:w="517" w:type="pct"/>
            <w:tcBorders>
              <w:bottom w:val="single" w:sz="4" w:space="0" w:color="365F91"/>
            </w:tcBorders>
            <w:shd w:val="clear" w:color="auto" w:fill="auto"/>
            <w:noWrap/>
            <w:vAlign w:val="bottom"/>
          </w:tcPr>
          <w:p w14:paraId="638EC507"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94.2</w:t>
            </w:r>
          </w:p>
        </w:tc>
      </w:tr>
      <w:tr w:rsidR="0011242D" w:rsidRPr="00D9348B" w14:paraId="37D23C7C" w14:textId="77777777" w:rsidTr="002851BB">
        <w:tc>
          <w:tcPr>
            <w:tcW w:w="586" w:type="pct"/>
            <w:tcBorders>
              <w:bottom w:val="single" w:sz="4" w:space="0" w:color="365F91"/>
            </w:tcBorders>
            <w:vAlign w:val="bottom"/>
          </w:tcPr>
          <w:p w14:paraId="10CC6EA0" w14:textId="77777777" w:rsidR="00643D10" w:rsidRPr="00D9348B" w:rsidRDefault="00643D10" w:rsidP="00DB330E">
            <w:pPr>
              <w:pStyle w:val="TableText"/>
              <w:spacing w:before="50" w:after="50"/>
              <w:rPr>
                <w:rFonts w:cs="Arial"/>
                <w:szCs w:val="16"/>
              </w:rPr>
            </w:pPr>
            <w:r w:rsidRPr="00D9348B">
              <w:rPr>
                <w:rFonts w:cs="Arial"/>
                <w:bCs/>
                <w:color w:val="000000"/>
                <w:szCs w:val="16"/>
              </w:rPr>
              <w:t>1.A.4.a</w:t>
            </w:r>
          </w:p>
        </w:tc>
        <w:tc>
          <w:tcPr>
            <w:tcW w:w="1482" w:type="pct"/>
            <w:tcBorders>
              <w:bottom w:val="single" w:sz="4" w:space="0" w:color="365F91"/>
            </w:tcBorders>
            <w:shd w:val="clear" w:color="auto" w:fill="auto"/>
            <w:noWrap/>
            <w:vAlign w:val="bottom"/>
          </w:tcPr>
          <w:p w14:paraId="0DBCA64D" w14:textId="37B9EAF1" w:rsidR="00643D10" w:rsidRPr="00D9348B" w:rsidRDefault="00643D10" w:rsidP="00DB330E">
            <w:pPr>
              <w:pStyle w:val="TableText"/>
              <w:spacing w:before="50" w:after="50"/>
              <w:rPr>
                <w:rFonts w:cs="Arial"/>
                <w:szCs w:val="16"/>
              </w:rPr>
            </w:pPr>
            <w:r w:rsidRPr="00D9348B">
              <w:rPr>
                <w:rFonts w:cs="Arial"/>
                <w:bCs/>
                <w:color w:val="000000"/>
                <w:szCs w:val="16"/>
              </w:rPr>
              <w:t>Other Sectors – Commercial/</w:t>
            </w:r>
            <w:r w:rsidR="00846CDB" w:rsidRPr="00D9348B">
              <w:rPr>
                <w:rFonts w:cs="Arial"/>
                <w:bCs/>
                <w:color w:val="000000"/>
                <w:szCs w:val="16"/>
              </w:rPr>
              <w:t xml:space="preserve"> </w:t>
            </w:r>
            <w:r w:rsidRPr="00D9348B">
              <w:rPr>
                <w:rFonts w:cs="Arial"/>
                <w:bCs/>
                <w:color w:val="000000"/>
                <w:szCs w:val="16"/>
              </w:rPr>
              <w:t>Institutional Solid Fuels</w:t>
            </w:r>
          </w:p>
        </w:tc>
        <w:tc>
          <w:tcPr>
            <w:tcW w:w="345" w:type="pct"/>
            <w:tcBorders>
              <w:bottom w:val="single" w:sz="4" w:space="0" w:color="365F91"/>
            </w:tcBorders>
            <w:shd w:val="clear" w:color="auto" w:fill="auto"/>
            <w:noWrap/>
            <w:vAlign w:val="bottom"/>
          </w:tcPr>
          <w:p w14:paraId="194497F7" w14:textId="77777777" w:rsidR="00643D10" w:rsidRPr="00D9348B" w:rsidRDefault="00643D10" w:rsidP="00DB330E">
            <w:pPr>
              <w:pStyle w:val="TableText"/>
              <w:spacing w:before="50" w:after="5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17" w:type="pct"/>
            <w:tcBorders>
              <w:bottom w:val="single" w:sz="4" w:space="0" w:color="365F91"/>
            </w:tcBorders>
            <w:shd w:val="clear" w:color="auto" w:fill="auto"/>
            <w:noWrap/>
            <w:vAlign w:val="bottom"/>
          </w:tcPr>
          <w:p w14:paraId="778696D9"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142.2</w:t>
            </w:r>
          </w:p>
        </w:tc>
        <w:tc>
          <w:tcPr>
            <w:tcW w:w="517" w:type="pct"/>
            <w:tcBorders>
              <w:bottom w:val="single" w:sz="4" w:space="0" w:color="365F91"/>
            </w:tcBorders>
            <w:shd w:val="clear" w:color="auto" w:fill="auto"/>
            <w:noWrap/>
            <w:vAlign w:val="bottom"/>
          </w:tcPr>
          <w:p w14:paraId="015604E9"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68.7</w:t>
            </w:r>
          </w:p>
        </w:tc>
        <w:tc>
          <w:tcPr>
            <w:tcW w:w="517" w:type="pct"/>
            <w:tcBorders>
              <w:bottom w:val="single" w:sz="4" w:space="0" w:color="365F91"/>
            </w:tcBorders>
            <w:shd w:val="clear" w:color="auto" w:fill="auto"/>
            <w:noWrap/>
            <w:vAlign w:val="bottom"/>
          </w:tcPr>
          <w:p w14:paraId="5C071EB5"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0.001</w:t>
            </w:r>
          </w:p>
        </w:tc>
        <w:tc>
          <w:tcPr>
            <w:tcW w:w="517" w:type="pct"/>
            <w:tcBorders>
              <w:bottom w:val="single" w:sz="4" w:space="0" w:color="365F91"/>
            </w:tcBorders>
            <w:shd w:val="clear" w:color="auto" w:fill="auto"/>
            <w:noWrap/>
            <w:vAlign w:val="bottom"/>
          </w:tcPr>
          <w:p w14:paraId="1831EB36"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0.3</w:t>
            </w:r>
          </w:p>
        </w:tc>
        <w:tc>
          <w:tcPr>
            <w:tcW w:w="517" w:type="pct"/>
            <w:tcBorders>
              <w:bottom w:val="single" w:sz="4" w:space="0" w:color="365F91"/>
            </w:tcBorders>
            <w:shd w:val="clear" w:color="auto" w:fill="auto"/>
            <w:noWrap/>
            <w:vAlign w:val="bottom"/>
          </w:tcPr>
          <w:p w14:paraId="4E19334F"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94.4</w:t>
            </w:r>
          </w:p>
        </w:tc>
      </w:tr>
      <w:tr w:rsidR="0011242D" w:rsidRPr="00D9348B" w14:paraId="54A2A03F" w14:textId="77777777" w:rsidTr="002851BB">
        <w:tc>
          <w:tcPr>
            <w:tcW w:w="586" w:type="pct"/>
            <w:vAlign w:val="bottom"/>
          </w:tcPr>
          <w:p w14:paraId="17673246" w14:textId="77777777" w:rsidR="00643D10" w:rsidRPr="00D9348B" w:rsidRDefault="00643D10" w:rsidP="00DB330E">
            <w:pPr>
              <w:pStyle w:val="TableText"/>
              <w:spacing w:before="50" w:after="50"/>
              <w:rPr>
                <w:rFonts w:cs="Arial"/>
                <w:szCs w:val="16"/>
              </w:rPr>
            </w:pPr>
            <w:r w:rsidRPr="00D9348B">
              <w:rPr>
                <w:rFonts w:cs="Arial"/>
                <w:bCs/>
                <w:color w:val="000000"/>
                <w:szCs w:val="16"/>
              </w:rPr>
              <w:t>1.A.2.d</w:t>
            </w:r>
          </w:p>
        </w:tc>
        <w:tc>
          <w:tcPr>
            <w:tcW w:w="1482" w:type="pct"/>
            <w:shd w:val="clear" w:color="auto" w:fill="auto"/>
            <w:noWrap/>
            <w:vAlign w:val="bottom"/>
          </w:tcPr>
          <w:p w14:paraId="6D005702" w14:textId="77777777" w:rsidR="00643D10" w:rsidRPr="00D9348B" w:rsidRDefault="00643D10" w:rsidP="00DB330E">
            <w:pPr>
              <w:pStyle w:val="TableText"/>
              <w:spacing w:before="50" w:after="50"/>
              <w:rPr>
                <w:rFonts w:cs="Arial"/>
                <w:szCs w:val="16"/>
              </w:rPr>
            </w:pPr>
            <w:r w:rsidRPr="00D9348B">
              <w:rPr>
                <w:rFonts w:cs="Arial"/>
                <w:bCs/>
                <w:color w:val="000000"/>
                <w:szCs w:val="16"/>
              </w:rPr>
              <w:t>Manufacturing Industries and Construction – Pulp, Paper and Print Solid Fuels</w:t>
            </w:r>
          </w:p>
        </w:tc>
        <w:tc>
          <w:tcPr>
            <w:tcW w:w="345" w:type="pct"/>
            <w:shd w:val="clear" w:color="auto" w:fill="auto"/>
            <w:noWrap/>
            <w:tcMar>
              <w:left w:w="0" w:type="dxa"/>
              <w:right w:w="0" w:type="dxa"/>
            </w:tcMar>
            <w:vAlign w:val="bottom"/>
          </w:tcPr>
          <w:p w14:paraId="4116CEAE" w14:textId="77777777" w:rsidR="00643D10" w:rsidRPr="00D9348B" w:rsidRDefault="00643D10" w:rsidP="00DB330E">
            <w:pPr>
              <w:pStyle w:val="TableText"/>
              <w:spacing w:before="50" w:after="50"/>
              <w:jc w:val="center"/>
              <w:rPr>
                <w:rFonts w:cs="Arial"/>
                <w:szCs w:val="16"/>
              </w:rPr>
            </w:pPr>
            <w:r w:rsidRPr="00D9348B">
              <w:rPr>
                <w:rFonts w:cs="Arial"/>
                <w:color w:val="000000"/>
                <w:szCs w:val="16"/>
              </w:rPr>
              <w:t>CO</w:t>
            </w:r>
            <w:r w:rsidRPr="00D9348B">
              <w:rPr>
                <w:rFonts w:cs="Arial"/>
                <w:color w:val="000000"/>
                <w:szCs w:val="16"/>
                <w:vertAlign w:val="subscript"/>
              </w:rPr>
              <w:t>2</w:t>
            </w:r>
          </w:p>
        </w:tc>
        <w:tc>
          <w:tcPr>
            <w:tcW w:w="517" w:type="pct"/>
            <w:shd w:val="clear" w:color="auto" w:fill="auto"/>
            <w:noWrap/>
            <w:vAlign w:val="bottom"/>
          </w:tcPr>
          <w:p w14:paraId="2303B2DE"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109.5</w:t>
            </w:r>
          </w:p>
        </w:tc>
        <w:tc>
          <w:tcPr>
            <w:tcW w:w="517" w:type="pct"/>
            <w:shd w:val="clear" w:color="auto" w:fill="auto"/>
            <w:noWrap/>
            <w:vAlign w:val="bottom"/>
          </w:tcPr>
          <w:p w14:paraId="5FF1B754"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38.4</w:t>
            </w:r>
          </w:p>
        </w:tc>
        <w:tc>
          <w:tcPr>
            <w:tcW w:w="517" w:type="pct"/>
            <w:shd w:val="clear" w:color="auto" w:fill="auto"/>
            <w:noWrap/>
            <w:vAlign w:val="bottom"/>
          </w:tcPr>
          <w:p w14:paraId="5712F2B2"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0.001</w:t>
            </w:r>
          </w:p>
        </w:tc>
        <w:tc>
          <w:tcPr>
            <w:tcW w:w="517" w:type="pct"/>
            <w:shd w:val="clear" w:color="auto" w:fill="auto"/>
            <w:noWrap/>
            <w:vAlign w:val="bottom"/>
          </w:tcPr>
          <w:p w14:paraId="0CF5870F"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0.2</w:t>
            </w:r>
          </w:p>
        </w:tc>
        <w:tc>
          <w:tcPr>
            <w:tcW w:w="517" w:type="pct"/>
            <w:shd w:val="clear" w:color="auto" w:fill="auto"/>
            <w:noWrap/>
            <w:vAlign w:val="bottom"/>
          </w:tcPr>
          <w:p w14:paraId="424B0F9C"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94.7</w:t>
            </w:r>
          </w:p>
        </w:tc>
      </w:tr>
      <w:tr w:rsidR="0011242D" w:rsidRPr="00D9348B" w14:paraId="1CBD243C" w14:textId="77777777" w:rsidTr="002851BB">
        <w:tc>
          <w:tcPr>
            <w:tcW w:w="586" w:type="pct"/>
            <w:vAlign w:val="bottom"/>
          </w:tcPr>
          <w:p w14:paraId="7DEA8326" w14:textId="77777777" w:rsidR="00643D10" w:rsidRPr="00D9348B" w:rsidRDefault="00643D10" w:rsidP="00DB330E">
            <w:pPr>
              <w:pStyle w:val="TableText"/>
              <w:spacing w:before="50" w:after="50"/>
              <w:rPr>
                <w:rFonts w:cs="Arial"/>
                <w:szCs w:val="16"/>
              </w:rPr>
            </w:pPr>
            <w:r w:rsidRPr="00D9348B">
              <w:rPr>
                <w:rFonts w:cs="Arial"/>
                <w:bCs/>
                <w:color w:val="000000"/>
                <w:szCs w:val="16"/>
              </w:rPr>
              <w:t>2.F.4</w:t>
            </w:r>
          </w:p>
        </w:tc>
        <w:tc>
          <w:tcPr>
            <w:tcW w:w="1482" w:type="pct"/>
            <w:shd w:val="clear" w:color="auto" w:fill="auto"/>
            <w:noWrap/>
            <w:vAlign w:val="bottom"/>
          </w:tcPr>
          <w:p w14:paraId="28B64915" w14:textId="77777777" w:rsidR="00643D10" w:rsidRPr="00D9348B" w:rsidRDefault="00643D10" w:rsidP="00DB330E">
            <w:pPr>
              <w:pStyle w:val="TableText"/>
              <w:spacing w:before="50" w:after="50"/>
              <w:rPr>
                <w:rFonts w:cs="Arial"/>
                <w:szCs w:val="16"/>
              </w:rPr>
            </w:pPr>
            <w:r w:rsidRPr="00D9348B">
              <w:rPr>
                <w:rFonts w:cs="Arial"/>
                <w:bCs/>
                <w:color w:val="000000"/>
                <w:szCs w:val="16"/>
              </w:rPr>
              <w:t>Product Uses as Substitutes for ODS – Aerosols</w:t>
            </w:r>
          </w:p>
        </w:tc>
        <w:tc>
          <w:tcPr>
            <w:tcW w:w="345" w:type="pct"/>
            <w:shd w:val="clear" w:color="auto" w:fill="auto"/>
            <w:noWrap/>
            <w:vAlign w:val="bottom"/>
          </w:tcPr>
          <w:p w14:paraId="741E8344" w14:textId="77777777" w:rsidR="00643D10" w:rsidRPr="00D9348B" w:rsidRDefault="00643D10" w:rsidP="00DB330E">
            <w:pPr>
              <w:pStyle w:val="TableText"/>
              <w:spacing w:before="50" w:after="50"/>
              <w:jc w:val="center"/>
              <w:rPr>
                <w:rFonts w:cs="Arial"/>
                <w:szCs w:val="16"/>
              </w:rPr>
            </w:pPr>
            <w:r w:rsidRPr="00D9348B">
              <w:rPr>
                <w:rFonts w:cs="Arial"/>
                <w:bCs/>
                <w:color w:val="000000"/>
                <w:szCs w:val="16"/>
              </w:rPr>
              <w:t>HFCs</w:t>
            </w:r>
          </w:p>
        </w:tc>
        <w:tc>
          <w:tcPr>
            <w:tcW w:w="517" w:type="pct"/>
            <w:shd w:val="clear" w:color="auto" w:fill="auto"/>
            <w:noWrap/>
            <w:vAlign w:val="bottom"/>
          </w:tcPr>
          <w:p w14:paraId="519EC356"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0.0</w:t>
            </w:r>
          </w:p>
        </w:tc>
        <w:tc>
          <w:tcPr>
            <w:tcW w:w="517" w:type="pct"/>
            <w:shd w:val="clear" w:color="auto" w:fill="auto"/>
            <w:noWrap/>
            <w:vAlign w:val="bottom"/>
          </w:tcPr>
          <w:p w14:paraId="52B888FE"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95.6</w:t>
            </w:r>
          </w:p>
        </w:tc>
        <w:tc>
          <w:tcPr>
            <w:tcW w:w="517" w:type="pct"/>
            <w:shd w:val="clear" w:color="auto" w:fill="auto"/>
            <w:noWrap/>
            <w:vAlign w:val="bottom"/>
          </w:tcPr>
          <w:p w14:paraId="0C6C4E72"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0.001</w:t>
            </w:r>
          </w:p>
        </w:tc>
        <w:tc>
          <w:tcPr>
            <w:tcW w:w="517" w:type="pct"/>
            <w:shd w:val="clear" w:color="auto" w:fill="auto"/>
            <w:noWrap/>
            <w:vAlign w:val="bottom"/>
          </w:tcPr>
          <w:p w14:paraId="320A1A8C"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0.2</w:t>
            </w:r>
          </w:p>
        </w:tc>
        <w:tc>
          <w:tcPr>
            <w:tcW w:w="517" w:type="pct"/>
            <w:shd w:val="clear" w:color="auto" w:fill="auto"/>
            <w:noWrap/>
            <w:vAlign w:val="bottom"/>
          </w:tcPr>
          <w:p w14:paraId="48A92A00"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94.9</w:t>
            </w:r>
          </w:p>
        </w:tc>
      </w:tr>
      <w:tr w:rsidR="0011242D" w:rsidRPr="00D9348B" w14:paraId="21A309E8" w14:textId="77777777" w:rsidTr="002851BB">
        <w:tc>
          <w:tcPr>
            <w:tcW w:w="586" w:type="pct"/>
            <w:vAlign w:val="bottom"/>
          </w:tcPr>
          <w:p w14:paraId="1F23CA4C" w14:textId="77777777" w:rsidR="00643D10" w:rsidRPr="00D9348B" w:rsidRDefault="00643D10" w:rsidP="00DB330E">
            <w:pPr>
              <w:pStyle w:val="TableText"/>
              <w:spacing w:before="50" w:after="50"/>
              <w:rPr>
                <w:rFonts w:cs="Arial"/>
                <w:szCs w:val="16"/>
              </w:rPr>
            </w:pPr>
            <w:r w:rsidRPr="00D9348B">
              <w:rPr>
                <w:rFonts w:cs="Arial"/>
                <w:bCs/>
                <w:color w:val="000000"/>
                <w:szCs w:val="16"/>
              </w:rPr>
              <w:t>1.B.2.d</w:t>
            </w:r>
          </w:p>
        </w:tc>
        <w:tc>
          <w:tcPr>
            <w:tcW w:w="1482" w:type="pct"/>
            <w:shd w:val="clear" w:color="auto" w:fill="auto"/>
            <w:noWrap/>
            <w:vAlign w:val="bottom"/>
          </w:tcPr>
          <w:p w14:paraId="3B147770" w14:textId="77777777" w:rsidR="00643D10" w:rsidRPr="00D9348B" w:rsidRDefault="00643D10" w:rsidP="00DB330E">
            <w:pPr>
              <w:pStyle w:val="TableText"/>
              <w:spacing w:before="50" w:after="50"/>
              <w:rPr>
                <w:rFonts w:cs="Arial"/>
                <w:szCs w:val="16"/>
              </w:rPr>
            </w:pPr>
            <w:r w:rsidRPr="00D9348B">
              <w:rPr>
                <w:rFonts w:cs="Arial"/>
                <w:bCs/>
                <w:color w:val="000000"/>
                <w:szCs w:val="16"/>
              </w:rPr>
              <w:t>Other (please specify) – Geothermal</w:t>
            </w:r>
          </w:p>
        </w:tc>
        <w:tc>
          <w:tcPr>
            <w:tcW w:w="345" w:type="pct"/>
            <w:shd w:val="clear" w:color="auto" w:fill="auto"/>
            <w:noWrap/>
            <w:vAlign w:val="bottom"/>
          </w:tcPr>
          <w:p w14:paraId="1B36D583" w14:textId="77777777" w:rsidR="00643D10" w:rsidRPr="00D9348B" w:rsidRDefault="00643D10" w:rsidP="00DB330E">
            <w:pPr>
              <w:pStyle w:val="TableText"/>
              <w:spacing w:before="50" w:after="50"/>
              <w:jc w:val="center"/>
              <w:rPr>
                <w:rFonts w:cs="Arial"/>
                <w:szCs w:val="16"/>
              </w:rPr>
            </w:pPr>
            <w:r w:rsidRPr="00D9348B">
              <w:rPr>
                <w:rFonts w:cs="Arial"/>
                <w:color w:val="000000"/>
                <w:szCs w:val="16"/>
              </w:rPr>
              <w:t>CH</w:t>
            </w:r>
            <w:r w:rsidRPr="00D9348B">
              <w:rPr>
                <w:rFonts w:cs="Arial"/>
                <w:color w:val="000000"/>
                <w:szCs w:val="16"/>
                <w:vertAlign w:val="subscript"/>
              </w:rPr>
              <w:t>4</w:t>
            </w:r>
          </w:p>
        </w:tc>
        <w:tc>
          <w:tcPr>
            <w:tcW w:w="517" w:type="pct"/>
            <w:shd w:val="clear" w:color="auto" w:fill="auto"/>
            <w:noWrap/>
            <w:vAlign w:val="bottom"/>
          </w:tcPr>
          <w:p w14:paraId="21A9C38E"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54.8</w:t>
            </w:r>
          </w:p>
        </w:tc>
        <w:tc>
          <w:tcPr>
            <w:tcW w:w="517" w:type="pct"/>
            <w:shd w:val="clear" w:color="auto" w:fill="auto"/>
            <w:noWrap/>
            <w:vAlign w:val="bottom"/>
          </w:tcPr>
          <w:p w14:paraId="08BFE493"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153.4</w:t>
            </w:r>
          </w:p>
        </w:tc>
        <w:tc>
          <w:tcPr>
            <w:tcW w:w="517" w:type="pct"/>
            <w:shd w:val="clear" w:color="auto" w:fill="auto"/>
            <w:noWrap/>
            <w:vAlign w:val="bottom"/>
          </w:tcPr>
          <w:p w14:paraId="44B0818A"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0.001</w:t>
            </w:r>
          </w:p>
        </w:tc>
        <w:tc>
          <w:tcPr>
            <w:tcW w:w="517" w:type="pct"/>
            <w:shd w:val="clear" w:color="auto" w:fill="auto"/>
            <w:noWrap/>
            <w:vAlign w:val="bottom"/>
          </w:tcPr>
          <w:p w14:paraId="4266766E"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0.2</w:t>
            </w:r>
          </w:p>
        </w:tc>
        <w:tc>
          <w:tcPr>
            <w:tcW w:w="517" w:type="pct"/>
            <w:shd w:val="clear" w:color="auto" w:fill="auto"/>
            <w:noWrap/>
            <w:vAlign w:val="bottom"/>
          </w:tcPr>
          <w:p w14:paraId="6FDA37FE" w14:textId="77777777" w:rsidR="00643D10" w:rsidRPr="00D9348B" w:rsidRDefault="00643D10" w:rsidP="00DB330E">
            <w:pPr>
              <w:pStyle w:val="TableText"/>
              <w:spacing w:before="50" w:after="50"/>
              <w:jc w:val="right"/>
              <w:rPr>
                <w:rFonts w:cs="Arial"/>
                <w:szCs w:val="16"/>
              </w:rPr>
            </w:pPr>
            <w:r w:rsidRPr="00D9348B">
              <w:rPr>
                <w:rFonts w:cs="Arial"/>
                <w:bCs/>
                <w:color w:val="000000"/>
                <w:szCs w:val="16"/>
              </w:rPr>
              <w:t>95.1</w:t>
            </w:r>
          </w:p>
        </w:tc>
      </w:tr>
    </w:tbl>
    <w:p w14:paraId="06BFBBDD" w14:textId="77777777" w:rsidR="00643D10" w:rsidRPr="00D9348B" w:rsidRDefault="00643D10" w:rsidP="00643D10">
      <w:pPr>
        <w:pStyle w:val="Noteundertable"/>
      </w:pPr>
      <w:r w:rsidRPr="00D9348B">
        <w:rPr>
          <w:b/>
        </w:rPr>
        <w:t>Note</w:t>
      </w:r>
      <w:r w:rsidRPr="00D9348B">
        <w:t xml:space="preserve">: </w:t>
      </w:r>
      <w:r w:rsidRPr="00D9348B">
        <w:tab/>
        <w:t>Removals from the LULUCF sector are shown as negatives in this table. The absolute values for those removals were used for the calculations.</w:t>
      </w:r>
    </w:p>
    <w:p w14:paraId="0496B1B4" w14:textId="77777777" w:rsidR="00643D10" w:rsidRPr="00D9348B" w:rsidRDefault="00643D10" w:rsidP="00643D10">
      <w:pPr>
        <w:pStyle w:val="Heading3"/>
      </w:pPr>
      <w:r w:rsidRPr="00D9348B">
        <w:t xml:space="preserve">1.5.2 </w:t>
      </w:r>
      <w:r w:rsidRPr="00D9348B">
        <w:tab/>
        <w:t>LULUCF activities under the Kyoto Protocol</w:t>
      </w:r>
    </w:p>
    <w:p w14:paraId="242C0482" w14:textId="77777777" w:rsidR="00643D10" w:rsidRPr="00D9348B" w:rsidRDefault="00643D10" w:rsidP="00643D10">
      <w:pPr>
        <w:pStyle w:val="BodyText"/>
        <w:keepLines/>
      </w:pPr>
      <w:r w:rsidRPr="00D9348B">
        <w:t xml:space="preserve">Key categories under the Kyoto Protocol are identified by looking at the assessment of similar categories within the LULUCF sector as reported under the Convention. In 2018, </w:t>
      </w:r>
      <w:r w:rsidRPr="00D9348B">
        <w:rPr>
          <w:i/>
        </w:rPr>
        <w:t>Afforestation and reforestation</w:t>
      </w:r>
      <w:r w:rsidRPr="00D9348B">
        <w:t xml:space="preserve">, </w:t>
      </w:r>
      <w:r w:rsidRPr="00D9348B">
        <w:rPr>
          <w:i/>
        </w:rPr>
        <w:t>Deforestation</w:t>
      </w:r>
      <w:r w:rsidRPr="00D9348B">
        <w:t xml:space="preserve"> and </w:t>
      </w:r>
      <w:r w:rsidRPr="00D9348B">
        <w:rPr>
          <w:i/>
        </w:rPr>
        <w:t>Forest management</w:t>
      </w:r>
      <w:r w:rsidRPr="00D9348B">
        <w:t xml:space="preserve"> were all identified as key categories in both the level and trend assessment.</w:t>
      </w:r>
    </w:p>
    <w:p w14:paraId="47B5B8F5" w14:textId="77777777" w:rsidR="00643D10" w:rsidRPr="00D9348B" w:rsidRDefault="00643D10" w:rsidP="00643D10">
      <w:pPr>
        <w:pStyle w:val="Table"/>
      </w:pPr>
      <w:bookmarkStart w:id="181" w:name="_Toc5269439"/>
      <w:bookmarkStart w:id="182" w:name="_Toc36224517"/>
      <w:r w:rsidRPr="00D9348B">
        <w:t xml:space="preserve">Table 1.5.4 </w:t>
      </w:r>
      <w:r w:rsidRPr="00D9348B">
        <w:tab/>
        <w:t>Key categories under the Kyoto Protocol and corresponding categories under the Convention</w:t>
      </w:r>
      <w:bookmarkEnd w:id="181"/>
      <w:bookmarkEnd w:id="182"/>
      <w:r w:rsidRPr="00D9348B">
        <w:t xml:space="preserve"> </w:t>
      </w:r>
    </w:p>
    <w:tbl>
      <w:tblPr>
        <w:tblW w:w="8562" w:type="dxa"/>
        <w:tblInd w:w="108" w:type="dxa"/>
        <w:tblBorders>
          <w:bottom w:val="single" w:sz="8" w:space="0" w:color="365F91"/>
          <w:insideH w:val="single" w:sz="8" w:space="0" w:color="365F91"/>
        </w:tblBorders>
        <w:tblLook w:val="04A0" w:firstRow="1" w:lastRow="0" w:firstColumn="1" w:lastColumn="0" w:noHBand="0" w:noVBand="1"/>
      </w:tblPr>
      <w:tblGrid>
        <w:gridCol w:w="3974"/>
        <w:gridCol w:w="4588"/>
      </w:tblGrid>
      <w:tr w:rsidR="00643D10" w:rsidRPr="00D9348B" w14:paraId="01BB1557" w14:textId="77777777" w:rsidTr="00DB330E">
        <w:trPr>
          <w:tblHeader/>
        </w:trPr>
        <w:tc>
          <w:tcPr>
            <w:tcW w:w="3737" w:type="dxa"/>
            <w:tcBorders>
              <w:top w:val="single" w:sz="4" w:space="0" w:color="365F91"/>
              <w:left w:val="nil"/>
              <w:bottom w:val="single" w:sz="4" w:space="0" w:color="365F91"/>
              <w:right w:val="nil"/>
              <w:tl2br w:val="nil"/>
              <w:tr2bl w:val="nil"/>
            </w:tcBorders>
            <w:shd w:val="clear" w:color="365F91" w:fill="365F91"/>
          </w:tcPr>
          <w:p w14:paraId="21855EA8" w14:textId="77777777" w:rsidR="00643D10" w:rsidRPr="00D9348B" w:rsidRDefault="00643D10" w:rsidP="00DB330E">
            <w:pPr>
              <w:pStyle w:val="TableTextBold"/>
              <w:keepNext/>
              <w:rPr>
                <w:noProof w:val="0"/>
                <w:color w:val="FFFFFF"/>
              </w:rPr>
            </w:pPr>
            <w:r w:rsidRPr="00D9348B">
              <w:rPr>
                <w:noProof w:val="0"/>
                <w:color w:val="FFFFFF"/>
              </w:rPr>
              <w:t>Category as reported under the Convention</w:t>
            </w:r>
          </w:p>
        </w:tc>
        <w:tc>
          <w:tcPr>
            <w:tcW w:w="4314" w:type="dxa"/>
            <w:tcBorders>
              <w:top w:val="single" w:sz="4" w:space="0" w:color="365F91"/>
              <w:left w:val="nil"/>
              <w:bottom w:val="single" w:sz="4" w:space="0" w:color="365F91"/>
              <w:right w:val="nil"/>
              <w:tl2br w:val="nil"/>
              <w:tr2bl w:val="nil"/>
            </w:tcBorders>
            <w:shd w:val="clear" w:color="365F91" w:fill="365F91"/>
          </w:tcPr>
          <w:p w14:paraId="148D09BB" w14:textId="77777777" w:rsidR="00643D10" w:rsidRPr="00D9348B" w:rsidRDefault="00643D10" w:rsidP="00DB330E">
            <w:pPr>
              <w:pStyle w:val="TableTextBold"/>
              <w:keepNext/>
              <w:rPr>
                <w:noProof w:val="0"/>
                <w:color w:val="FFFFFF"/>
              </w:rPr>
            </w:pPr>
            <w:r w:rsidRPr="00D9348B">
              <w:rPr>
                <w:noProof w:val="0"/>
                <w:color w:val="FFFFFF"/>
              </w:rPr>
              <w:t>Article 3.3 and 3.4 activities under the Kyoto Protocol</w:t>
            </w:r>
          </w:p>
        </w:tc>
      </w:tr>
      <w:tr w:rsidR="00643D10" w:rsidRPr="00D9348B" w14:paraId="035930B3" w14:textId="77777777" w:rsidTr="00DB330E">
        <w:tc>
          <w:tcPr>
            <w:tcW w:w="3737" w:type="dxa"/>
            <w:tcBorders>
              <w:top w:val="single" w:sz="4" w:space="0" w:color="365F91"/>
              <w:bottom w:val="single" w:sz="4" w:space="0" w:color="365F91"/>
            </w:tcBorders>
            <w:shd w:val="clear" w:color="auto" w:fill="auto"/>
          </w:tcPr>
          <w:p w14:paraId="012E6C3F" w14:textId="77777777" w:rsidR="00643D10" w:rsidRPr="00D9348B" w:rsidRDefault="00643D10" w:rsidP="00DB330E">
            <w:pPr>
              <w:pStyle w:val="TableText"/>
            </w:pPr>
            <w:r w:rsidRPr="00D9348B">
              <w:t>Land Converted to Forest Land</w:t>
            </w:r>
          </w:p>
        </w:tc>
        <w:tc>
          <w:tcPr>
            <w:tcW w:w="4314" w:type="dxa"/>
            <w:tcBorders>
              <w:top w:val="single" w:sz="4" w:space="0" w:color="365F91"/>
              <w:bottom w:val="single" w:sz="4" w:space="0" w:color="365F91"/>
            </w:tcBorders>
            <w:shd w:val="clear" w:color="auto" w:fill="auto"/>
          </w:tcPr>
          <w:p w14:paraId="6CFB64DC" w14:textId="77777777" w:rsidR="00643D10" w:rsidRPr="00D9348B" w:rsidRDefault="00643D10" w:rsidP="00DB330E">
            <w:pPr>
              <w:pStyle w:val="TableText"/>
            </w:pPr>
            <w:r w:rsidRPr="00D9348B">
              <w:t>Afforestation and reforestation</w:t>
            </w:r>
          </w:p>
        </w:tc>
      </w:tr>
      <w:tr w:rsidR="00643D10" w:rsidRPr="00D9348B" w14:paraId="4CB2CBE0" w14:textId="77777777" w:rsidTr="00DB330E">
        <w:tc>
          <w:tcPr>
            <w:tcW w:w="3737" w:type="dxa"/>
            <w:tcBorders>
              <w:top w:val="single" w:sz="4" w:space="0" w:color="365F91"/>
              <w:bottom w:val="single" w:sz="4" w:space="0" w:color="365F91"/>
            </w:tcBorders>
            <w:shd w:val="clear" w:color="auto" w:fill="auto"/>
          </w:tcPr>
          <w:p w14:paraId="0FADEF2A" w14:textId="77777777" w:rsidR="00643D10" w:rsidRPr="00D9348B" w:rsidRDefault="00643D10" w:rsidP="00DB330E">
            <w:pPr>
              <w:pStyle w:val="TableText"/>
            </w:pPr>
            <w:r w:rsidRPr="00D9348B">
              <w:t xml:space="preserve">Land Converted to Grassland </w:t>
            </w:r>
          </w:p>
        </w:tc>
        <w:tc>
          <w:tcPr>
            <w:tcW w:w="4314" w:type="dxa"/>
            <w:tcBorders>
              <w:top w:val="single" w:sz="4" w:space="0" w:color="365F91"/>
              <w:bottom w:val="single" w:sz="4" w:space="0" w:color="365F91"/>
            </w:tcBorders>
            <w:shd w:val="clear" w:color="auto" w:fill="auto"/>
          </w:tcPr>
          <w:p w14:paraId="1EBCD136" w14:textId="77777777" w:rsidR="00643D10" w:rsidRPr="00D9348B" w:rsidRDefault="00643D10" w:rsidP="00DB330E">
            <w:pPr>
              <w:pStyle w:val="TableText"/>
            </w:pPr>
            <w:r w:rsidRPr="00D9348B">
              <w:t>Deforestation</w:t>
            </w:r>
          </w:p>
        </w:tc>
      </w:tr>
      <w:tr w:rsidR="00643D10" w:rsidRPr="00D9348B" w14:paraId="37F8499A" w14:textId="77777777" w:rsidTr="00DB330E">
        <w:tc>
          <w:tcPr>
            <w:tcW w:w="3737" w:type="dxa"/>
            <w:tcBorders>
              <w:top w:val="single" w:sz="4" w:space="0" w:color="365F91"/>
              <w:bottom w:val="single" w:sz="4" w:space="0" w:color="365F91"/>
            </w:tcBorders>
            <w:shd w:val="clear" w:color="auto" w:fill="auto"/>
          </w:tcPr>
          <w:p w14:paraId="02442041" w14:textId="77777777" w:rsidR="00643D10" w:rsidRPr="00D9348B" w:rsidRDefault="00643D10" w:rsidP="00DB330E">
            <w:pPr>
              <w:pStyle w:val="TableText"/>
            </w:pPr>
            <w:r w:rsidRPr="00D9348B">
              <w:t>Forest Land Remaining Forest Land</w:t>
            </w:r>
          </w:p>
        </w:tc>
        <w:tc>
          <w:tcPr>
            <w:tcW w:w="4314" w:type="dxa"/>
            <w:tcBorders>
              <w:top w:val="single" w:sz="4" w:space="0" w:color="365F91"/>
              <w:bottom w:val="single" w:sz="4" w:space="0" w:color="365F91"/>
            </w:tcBorders>
            <w:shd w:val="clear" w:color="auto" w:fill="auto"/>
          </w:tcPr>
          <w:p w14:paraId="0A9602DB" w14:textId="77777777" w:rsidR="00643D10" w:rsidRPr="00D9348B" w:rsidRDefault="00643D10" w:rsidP="00DB330E">
            <w:pPr>
              <w:pStyle w:val="TableText"/>
            </w:pPr>
            <w:r w:rsidRPr="00D9348B">
              <w:t>Forest management</w:t>
            </w:r>
          </w:p>
        </w:tc>
      </w:tr>
    </w:tbl>
    <w:p w14:paraId="4B2C72B3" w14:textId="77777777" w:rsidR="00643D10" w:rsidRPr="00D9348B" w:rsidRDefault="00643D10" w:rsidP="00643D10">
      <w:pPr>
        <w:pStyle w:val="Heading2"/>
        <w:spacing w:before="480"/>
      </w:pPr>
      <w:bookmarkStart w:id="183" w:name="_Toc352504826"/>
      <w:bookmarkStart w:id="184" w:name="_Toc414531273"/>
      <w:bookmarkStart w:id="185" w:name="_Toc448321494"/>
      <w:bookmarkStart w:id="186" w:name="_Toc511116571"/>
      <w:bookmarkStart w:id="187" w:name="_Toc5269333"/>
      <w:bookmarkStart w:id="188" w:name="_Toc36224373"/>
      <w:r w:rsidRPr="00D9348B">
        <w:t>1.6</w:t>
      </w:r>
      <w:r w:rsidRPr="00D9348B">
        <w:tab/>
        <w:t>Inventory uncertainty</w:t>
      </w:r>
      <w:bookmarkEnd w:id="183"/>
      <w:bookmarkEnd w:id="184"/>
      <w:bookmarkEnd w:id="185"/>
      <w:bookmarkEnd w:id="186"/>
      <w:bookmarkEnd w:id="187"/>
      <w:bookmarkEnd w:id="188"/>
    </w:p>
    <w:p w14:paraId="03391ED0" w14:textId="77777777" w:rsidR="00643D10" w:rsidRPr="00D9348B" w:rsidRDefault="00643D10" w:rsidP="00846CDB">
      <w:pPr>
        <w:pStyle w:val="Heading3"/>
        <w:spacing w:before="160"/>
      </w:pPr>
      <w:r w:rsidRPr="00D9348B">
        <w:t>1.6.1</w:t>
      </w:r>
      <w:r w:rsidRPr="00D9348B">
        <w:tab/>
        <w:t xml:space="preserve">Reporting under the Convention </w:t>
      </w:r>
    </w:p>
    <w:p w14:paraId="415FC69D" w14:textId="77777777" w:rsidR="00643D10" w:rsidRPr="00D9348B" w:rsidRDefault="00643D10" w:rsidP="00643D10">
      <w:pPr>
        <w:pStyle w:val="BodyText"/>
        <w:spacing w:before="100"/>
      </w:pPr>
      <w:r w:rsidRPr="00D9348B">
        <w:t>Uncertainty estimates are an essential element of a complete inventory. The purpose of uncertainty information is not to dispute the validity of the inventory estimates but to help prioritise efforts to improve the accuracy of inventories and guide decisions on methodological choice (IPCC, 2006b). Inventories prepared in accordance with the 2006 IPCC Guidelines will typically contain a wide range of emission estimates, varying from carefully measured and demonstrably complete data on emissions, to order-of-magnitude estimates for highly variable emissions such as N</w:t>
      </w:r>
      <w:r w:rsidRPr="00D9348B">
        <w:rPr>
          <w:vertAlign w:val="subscript"/>
        </w:rPr>
        <w:t>2</w:t>
      </w:r>
      <w:r w:rsidRPr="00D9348B">
        <w:t xml:space="preserve">O fluxes from soils and waterways (IPCC, 2006b). </w:t>
      </w:r>
    </w:p>
    <w:p w14:paraId="12533F98" w14:textId="77777777" w:rsidR="00643D10" w:rsidRPr="00D9348B" w:rsidRDefault="00643D10" w:rsidP="00643D10">
      <w:pPr>
        <w:pStyle w:val="BodyText"/>
        <w:spacing w:before="100"/>
      </w:pPr>
      <w:r w:rsidRPr="00D9348B">
        <w:lastRenderedPageBreak/>
        <w:t xml:space="preserve">In this inventory submission, New Zealand included a Tier 1 uncertainty analysis of the aggregated figures, as required by the Convention inventory reporting guidelines (UNFCCC, 2013a) and 2006 IPCC Guidelines (IPCC, 2006b). </w:t>
      </w:r>
    </w:p>
    <w:p w14:paraId="1EBB6A6F" w14:textId="702E0DD9" w:rsidR="00643D10" w:rsidRPr="00D9348B" w:rsidRDefault="00643D10" w:rsidP="00643D10">
      <w:pPr>
        <w:pStyle w:val="BodyText"/>
        <w:spacing w:before="100"/>
      </w:pPr>
      <w:r w:rsidRPr="00D9348B">
        <w:t xml:space="preserve">Uncertainties in the categories are combined to provide uncertainty estimates for all emissions </w:t>
      </w:r>
      <w:r w:rsidRPr="00D9348B">
        <w:rPr>
          <w:spacing w:val="-2"/>
        </w:rPr>
        <w:t>for the latest reporting year and the uncertainty in the trend over time. Uncertainties for net</w:t>
      </w:r>
      <w:r w:rsidR="002851BB" w:rsidRPr="00D9348B">
        <w:rPr>
          <w:spacing w:val="-2"/>
        </w:rPr>
        <w:t xml:space="preserve"> </w:t>
      </w:r>
      <w:r w:rsidRPr="00D9348B">
        <w:rPr>
          <w:spacing w:val="-2"/>
        </w:rPr>
        <w:t>emissions, where removals under LULUCF categories have been included as an absolute value, are included in annex 2 (table A2.1.1), and gross emissions excluding LULUCF are in annex 2 (table A2.1.2).</w:t>
      </w:r>
      <w:r w:rsidRPr="00D9348B">
        <w:t xml:space="preserve"> </w:t>
      </w:r>
    </w:p>
    <w:p w14:paraId="16EEF15A" w14:textId="0070386D" w:rsidR="00643D10" w:rsidRPr="00D9348B" w:rsidRDefault="00643D10" w:rsidP="00643D10">
      <w:pPr>
        <w:pStyle w:val="BodyText"/>
        <w:spacing w:before="100"/>
        <w:rPr>
          <w:spacing w:val="-2"/>
        </w:rPr>
      </w:pPr>
      <w:r w:rsidRPr="00D9348B">
        <w:rPr>
          <w:spacing w:val="-2"/>
        </w:rPr>
        <w:t>In most instances, the uncertainty values are determined by analysis of emission factors or activity data using expert judgement from sectoral or industry experts, or by referring to uncertainty ranges provided in the 2006 IPCC Guidelines (IPCC, 2006b). Uncertainties for the</w:t>
      </w:r>
      <w:r w:rsidR="002851BB" w:rsidRPr="00D9348B">
        <w:rPr>
          <w:spacing w:val="-2"/>
        </w:rPr>
        <w:t> </w:t>
      </w:r>
      <w:r w:rsidRPr="00D9348B">
        <w:rPr>
          <w:spacing w:val="-2"/>
        </w:rPr>
        <w:t>source categories were originally determined at the lowest level where information and</w:t>
      </w:r>
      <w:r w:rsidR="002851BB" w:rsidRPr="00D9348B">
        <w:rPr>
          <w:spacing w:val="-2"/>
        </w:rPr>
        <w:t> </w:t>
      </w:r>
      <w:r w:rsidRPr="00D9348B">
        <w:rPr>
          <w:spacing w:val="-2"/>
        </w:rPr>
        <w:t>data</w:t>
      </w:r>
      <w:r w:rsidR="002851BB" w:rsidRPr="00D9348B">
        <w:rPr>
          <w:spacing w:val="-2"/>
        </w:rPr>
        <w:t> </w:t>
      </w:r>
      <w:r w:rsidRPr="00D9348B">
        <w:rPr>
          <w:spacing w:val="-2"/>
        </w:rPr>
        <w:t>were available. The uncertainty estimates within each sector were made by the personnel</w:t>
      </w:r>
      <w:r w:rsidR="002851BB" w:rsidRPr="00D9348B">
        <w:rPr>
          <w:spacing w:val="-2"/>
        </w:rPr>
        <w:t> </w:t>
      </w:r>
      <w:r w:rsidRPr="00D9348B">
        <w:rPr>
          <w:spacing w:val="-2"/>
        </w:rPr>
        <w:t xml:space="preserve">at the agencies responsible for the sector, which is a part of New Zealand’s national system arrangements. </w:t>
      </w:r>
    </w:p>
    <w:p w14:paraId="67ADD90B" w14:textId="77777777" w:rsidR="00643D10" w:rsidRPr="00D9348B" w:rsidRDefault="00643D10" w:rsidP="00643D10">
      <w:pPr>
        <w:pStyle w:val="BodyText"/>
        <w:spacing w:before="100"/>
      </w:pPr>
      <w:r w:rsidRPr="00D9348B">
        <w:t>The low level uncertainties have then been aggregated by the sector compiling agencies up to the second level category for each of CO</w:t>
      </w:r>
      <w:r w:rsidRPr="00D9348B">
        <w:rPr>
          <w:vertAlign w:val="subscript"/>
        </w:rPr>
        <w:t>2</w:t>
      </w:r>
      <w:r w:rsidRPr="00D9348B">
        <w:t>, CH</w:t>
      </w:r>
      <w:r w:rsidRPr="00D9348B">
        <w:rPr>
          <w:vertAlign w:val="subscript"/>
        </w:rPr>
        <w:t>4</w:t>
      </w:r>
      <w:r w:rsidRPr="00D9348B">
        <w:t>, N</w:t>
      </w:r>
      <w:r w:rsidRPr="00D9348B">
        <w:rPr>
          <w:vertAlign w:val="subscript"/>
        </w:rPr>
        <w:t>2</w:t>
      </w:r>
      <w:r w:rsidRPr="00D9348B">
        <w:t>O and SF</w:t>
      </w:r>
      <w:r w:rsidRPr="00D9348B">
        <w:rPr>
          <w:vertAlign w:val="subscript"/>
        </w:rPr>
        <w:t xml:space="preserve">6 </w:t>
      </w:r>
      <w:r w:rsidRPr="00D9348B">
        <w:t xml:space="preserve">separately, and HFCs and PFCs as groups. These aggregated category level data have been submitted to the National Inventory Compiler for performing overall uncertainty calculations for level and trend uncertainties for gross and net emissions (excluding and including LULUCF). </w:t>
      </w:r>
    </w:p>
    <w:p w14:paraId="136C628D" w14:textId="77777777" w:rsidR="00643D10" w:rsidRPr="00D9348B" w:rsidRDefault="00643D10" w:rsidP="00643D10">
      <w:pPr>
        <w:pStyle w:val="BodyText"/>
        <w:spacing w:before="100"/>
      </w:pPr>
      <w:r w:rsidRPr="00D9348B">
        <w:t xml:space="preserve">In most cases, to aggregate uncertainties from subcategories, sectoral compilers used the approach 1 recommended in the 2006 IPCC Guidelines (equation 3.2, page 3.28). </w:t>
      </w:r>
    </w:p>
    <w:p w14:paraId="400D6FBF" w14:textId="6D330DAF" w:rsidR="00643D10" w:rsidRPr="00D9348B" w:rsidRDefault="00643D10" w:rsidP="00643D10">
      <w:pPr>
        <w:pStyle w:val="BodyText"/>
        <w:spacing w:before="100"/>
      </w:pPr>
      <w:r w:rsidRPr="00D9348B">
        <w:t>In the IPPU sector (for the ODS category only), the emissions are estimated using a mass balance approach as indicated in chapter 4. This approach uses the data on imports of each gas</w:t>
      </w:r>
      <w:r w:rsidR="00846CDB" w:rsidRPr="00D9348B">
        <w:t> </w:t>
      </w:r>
      <w:r w:rsidRPr="00D9348B">
        <w:t>as the total for all applications for an input. In this calculation, it would not be appropriate to combine the uncertainties for subcategories using the propagation method because they are not independent variables and, therefore, an expert judgement on the bulk value of HFCs</w:t>
      </w:r>
      <w:r w:rsidR="00846CDB" w:rsidRPr="00D9348B">
        <w:t> </w:t>
      </w:r>
      <w:r w:rsidRPr="00D9348B">
        <w:t xml:space="preserve">was used. </w:t>
      </w:r>
    </w:p>
    <w:p w14:paraId="5E84D8E3" w14:textId="2842D33B" w:rsidR="00643D10" w:rsidRPr="00D9348B" w:rsidRDefault="00643D10" w:rsidP="00643D10">
      <w:pPr>
        <w:pStyle w:val="BodyText"/>
        <w:spacing w:before="100"/>
      </w:pPr>
      <w:r w:rsidRPr="00D9348B">
        <w:t>The uncertainty for CH</w:t>
      </w:r>
      <w:r w:rsidRPr="00D9348B">
        <w:rPr>
          <w:vertAlign w:val="subscript"/>
        </w:rPr>
        <w:t>4</w:t>
      </w:r>
      <w:r w:rsidRPr="00D9348B">
        <w:t xml:space="preserve"> emissions from enteric fermentation was calculated by expressing the</w:t>
      </w:r>
      <w:r w:rsidR="00846CDB" w:rsidRPr="00D9348B">
        <w:t> </w:t>
      </w:r>
      <w:r w:rsidRPr="00D9348B">
        <w:t>coefficient of variation according to the standard error of the CH</w:t>
      </w:r>
      <w:r w:rsidRPr="00D9348B">
        <w:rPr>
          <w:vertAlign w:val="subscript"/>
        </w:rPr>
        <w:t>4</w:t>
      </w:r>
      <w:r w:rsidRPr="00D9348B">
        <w:t xml:space="preserve"> yield. A </w:t>
      </w:r>
      <w:r w:rsidRPr="00D9348B">
        <w:rPr>
          <w:color w:val="000000"/>
        </w:rPr>
        <w:t>Monte Carlo simulation has been used to determine uncertainty for N</w:t>
      </w:r>
      <w:r w:rsidRPr="00D9348B">
        <w:rPr>
          <w:color w:val="000000"/>
          <w:vertAlign w:val="subscript"/>
        </w:rPr>
        <w:t>2</w:t>
      </w:r>
      <w:r w:rsidRPr="00D9348B">
        <w:rPr>
          <w:color w:val="000000"/>
        </w:rPr>
        <w:t>O from agricultural soils</w:t>
      </w:r>
      <w:r w:rsidRPr="00D9348B">
        <w:t>. For the 2016 data, the uncertainty in the annual estimate was calculated using the 95 per cent confidence interval determined from the Monte Carlo simulation as a percentage of the mean</w:t>
      </w:r>
      <w:r w:rsidR="00846CDB" w:rsidRPr="00D9348B">
        <w:t> </w:t>
      </w:r>
      <w:r w:rsidRPr="00D9348B">
        <w:t xml:space="preserve">value. </w:t>
      </w:r>
    </w:p>
    <w:p w14:paraId="298168E3" w14:textId="2384821D" w:rsidR="00643D10" w:rsidRPr="00D9348B" w:rsidRDefault="00643D10" w:rsidP="00643D10">
      <w:pPr>
        <w:pStyle w:val="BodyText"/>
        <w:spacing w:before="100"/>
      </w:pPr>
      <w:r w:rsidRPr="00D9348B">
        <w:t>In the LULUCF sector, uncertainties were combined and aggregated using the error propagation procedure outlined in approach 1 for the 2006 IPCC Guidelines (equation 3.1 and</w:t>
      </w:r>
      <w:r w:rsidR="00846CDB" w:rsidRPr="00D9348B">
        <w:t> </w:t>
      </w:r>
      <w:r w:rsidRPr="00D9348B">
        <w:t>equation 3.2, page 3.28). These uncertainties take into account natural variability, measurement error, and model prediction error. Further details on the emission factor and activity data uncertainties for specific land uses and non-carbon emissions are given within the</w:t>
      </w:r>
      <w:r w:rsidR="00846CDB" w:rsidRPr="00D9348B">
        <w:t> </w:t>
      </w:r>
      <w:r w:rsidRPr="00D9348B">
        <w:t xml:space="preserve">relevant sections of chapter 6. Further detailed analysis of LULUCF uncertainties is presented in annex 3.2.3. </w:t>
      </w:r>
    </w:p>
    <w:p w14:paraId="64A19FEF" w14:textId="77777777" w:rsidR="00643D10" w:rsidRPr="00D9348B" w:rsidRDefault="00643D10" w:rsidP="00865BDB">
      <w:pPr>
        <w:pStyle w:val="Heading4"/>
      </w:pPr>
      <w:r w:rsidRPr="00D9348B">
        <w:lastRenderedPageBreak/>
        <w:t>Gross emissions</w:t>
      </w:r>
    </w:p>
    <w:p w14:paraId="27817B01" w14:textId="77777777" w:rsidR="00643D10" w:rsidRPr="00D9348B" w:rsidRDefault="00643D10" w:rsidP="00643D10">
      <w:pPr>
        <w:pStyle w:val="Heading5"/>
        <w:spacing w:before="160"/>
      </w:pPr>
      <w:r w:rsidRPr="00D9348B">
        <w:t>Uncertainty in 2018</w:t>
      </w:r>
    </w:p>
    <w:p w14:paraId="2D588D69" w14:textId="77777777" w:rsidR="00643D10" w:rsidRPr="00D9348B" w:rsidRDefault="00643D10" w:rsidP="00643D10">
      <w:pPr>
        <w:pStyle w:val="BodyText"/>
      </w:pPr>
      <w:r w:rsidRPr="00D9348B">
        <w:t>The uncertainty in gross emissions (excluding emissions and removals from the LULUCF sector) is ±9.0 per cent. This is a decrease of 0.3 percentage points from 2017. Emissions of CH</w:t>
      </w:r>
      <w:r w:rsidRPr="00D9348B">
        <w:rPr>
          <w:vertAlign w:val="subscript"/>
        </w:rPr>
        <w:t>4</w:t>
      </w:r>
      <w:r w:rsidRPr="00D9348B">
        <w:t xml:space="preserve"> from </w:t>
      </w:r>
      <w:r w:rsidRPr="00D9348B">
        <w:rPr>
          <w:i/>
        </w:rPr>
        <w:t>Enteric fermentation</w:t>
      </w:r>
      <w:r w:rsidRPr="00D9348B">
        <w:t xml:space="preserve"> (±16.0 per cent), N</w:t>
      </w:r>
      <w:r w:rsidRPr="00D9348B">
        <w:rPr>
          <w:vertAlign w:val="subscript"/>
        </w:rPr>
        <w:t>2</w:t>
      </w:r>
      <w:r w:rsidRPr="00D9348B">
        <w:t xml:space="preserve">O from </w:t>
      </w:r>
      <w:r w:rsidRPr="00D9348B">
        <w:rPr>
          <w:i/>
        </w:rPr>
        <w:t xml:space="preserve">Agricultural soils </w:t>
      </w:r>
      <w:r w:rsidRPr="00D9348B">
        <w:t>(± 56.4 per cent)</w:t>
      </w:r>
      <w:r w:rsidRPr="00D9348B">
        <w:rPr>
          <w:vertAlign w:val="subscript"/>
        </w:rPr>
        <w:t xml:space="preserve"> </w:t>
      </w:r>
      <w:r w:rsidRPr="00D9348B">
        <w:t>and CH</w:t>
      </w:r>
      <w:r w:rsidRPr="00D9348B">
        <w:rPr>
          <w:vertAlign w:val="subscript"/>
        </w:rPr>
        <w:t>4</w:t>
      </w:r>
      <w:r w:rsidRPr="00D9348B">
        <w:t xml:space="preserve"> from </w:t>
      </w:r>
      <w:r w:rsidRPr="00D9348B">
        <w:rPr>
          <w:i/>
        </w:rPr>
        <w:t>Solid waste disposal</w:t>
      </w:r>
      <w:r w:rsidRPr="00D9348B">
        <w:t xml:space="preserve"> (±100.3 per cent) categories had the highest levels of emissions uncertainty, contributing 5.7 per cent, 5.0 per cent and 4.6 per cent to the overall uncertainty of gross emissions in 2018. The uncertainty in these categories reflects the inherent variability when estimating emissions from natural systems.</w:t>
      </w:r>
    </w:p>
    <w:p w14:paraId="3935C9E4" w14:textId="77777777" w:rsidR="00643D10" w:rsidRPr="00D9348B" w:rsidRDefault="00643D10" w:rsidP="00643D10">
      <w:pPr>
        <w:pStyle w:val="Heading5"/>
        <w:spacing w:before="160"/>
      </w:pPr>
      <w:r w:rsidRPr="00D9348B">
        <w:t>Uncertainty in 1990</w:t>
      </w:r>
    </w:p>
    <w:p w14:paraId="5F8EF403" w14:textId="2E04C783" w:rsidR="00643D10" w:rsidRPr="00D9348B" w:rsidRDefault="00643D10" w:rsidP="00643D10">
      <w:pPr>
        <w:pStyle w:val="BodyText"/>
      </w:pPr>
      <w:r w:rsidRPr="00D9348B">
        <w:t>In 1990, the uncertainty in gross emissions was 9.8 per cent. Emissions of CH</w:t>
      </w:r>
      <w:r w:rsidRPr="00D9348B">
        <w:rPr>
          <w:vertAlign w:val="subscript"/>
        </w:rPr>
        <w:t>4</w:t>
      </w:r>
      <w:r w:rsidRPr="00D9348B">
        <w:t xml:space="preserve"> from </w:t>
      </w:r>
      <w:r w:rsidRPr="00D9348B">
        <w:rPr>
          <w:i/>
        </w:rPr>
        <w:t>Enteric fermentation</w:t>
      </w:r>
      <w:r w:rsidRPr="00D9348B">
        <w:t xml:space="preserve"> and </w:t>
      </w:r>
      <w:r w:rsidRPr="00D9348B">
        <w:rPr>
          <w:i/>
        </w:rPr>
        <w:t>Solid waste disposal</w:t>
      </w:r>
      <w:r w:rsidRPr="00D9348B">
        <w:t>,</w:t>
      </w:r>
      <w:r w:rsidRPr="00D9348B">
        <w:rPr>
          <w:i/>
        </w:rPr>
        <w:t xml:space="preserve"> </w:t>
      </w:r>
      <w:r w:rsidRPr="00D9348B">
        <w:t>and</w:t>
      </w:r>
      <w:r w:rsidRPr="00D9348B">
        <w:rPr>
          <w:i/>
        </w:rPr>
        <w:t xml:space="preserve"> </w:t>
      </w:r>
      <w:r w:rsidRPr="00D9348B">
        <w:t>N</w:t>
      </w:r>
      <w:r w:rsidRPr="00D9348B">
        <w:rPr>
          <w:vertAlign w:val="subscript"/>
        </w:rPr>
        <w:t>2</w:t>
      </w:r>
      <w:r w:rsidRPr="00D9348B">
        <w:t xml:space="preserve">O from </w:t>
      </w:r>
      <w:r w:rsidRPr="00D9348B">
        <w:rPr>
          <w:i/>
        </w:rPr>
        <w:t>Agricultural soils</w:t>
      </w:r>
      <w:r w:rsidRPr="00D9348B">
        <w:t xml:space="preserve"> contributed with 6.7 per</w:t>
      </w:r>
      <w:r w:rsidR="00846CDB" w:rsidRPr="00D9348B">
        <w:t> </w:t>
      </w:r>
      <w:r w:rsidRPr="00D9348B">
        <w:t>cent, 5.9 per cent and 4.0 per cent respectively to the overall uncertainty of gross emissions in 1990.</w:t>
      </w:r>
    </w:p>
    <w:p w14:paraId="0A33FC2C" w14:textId="77777777" w:rsidR="00643D10" w:rsidRPr="00D9348B" w:rsidRDefault="00643D10" w:rsidP="00643D10">
      <w:pPr>
        <w:pStyle w:val="Heading5"/>
      </w:pPr>
      <w:r w:rsidRPr="00D9348B">
        <w:t>Uncertainty in the trend</w:t>
      </w:r>
    </w:p>
    <w:p w14:paraId="075DD8BD" w14:textId="29E49CF7" w:rsidR="00643D10" w:rsidRPr="00D9348B" w:rsidRDefault="00643D10" w:rsidP="00643D10">
      <w:pPr>
        <w:pStyle w:val="BodyText"/>
      </w:pPr>
      <w:r w:rsidRPr="00D9348B">
        <w:t>The trend uncertainty in gross emissions (excluding emissions and removals from the LULUCF</w:t>
      </w:r>
      <w:r w:rsidR="00846CDB" w:rsidRPr="00D9348B">
        <w:t> </w:t>
      </w:r>
      <w:r w:rsidRPr="00D9348B">
        <w:t>sector) from 1990 to 2018 is ±8.5 per cent. This is an increase of 0.3 percentage points</w:t>
      </w:r>
      <w:r w:rsidR="00846CDB" w:rsidRPr="00D9348B">
        <w:t> </w:t>
      </w:r>
      <w:r w:rsidRPr="00D9348B">
        <w:t>from 2017. The increase in trend uncertainty is a result of a net increase in activity data</w:t>
      </w:r>
      <w:r w:rsidR="00846CDB" w:rsidRPr="00D9348B">
        <w:t> </w:t>
      </w:r>
      <w:r w:rsidRPr="00D9348B">
        <w:t xml:space="preserve">uncertainties for the Energy sector. </w:t>
      </w:r>
    </w:p>
    <w:p w14:paraId="36507957" w14:textId="77777777" w:rsidR="00643D10" w:rsidRPr="00D9348B" w:rsidRDefault="00643D10" w:rsidP="00865BDB">
      <w:pPr>
        <w:pStyle w:val="Heading4"/>
      </w:pPr>
      <w:r w:rsidRPr="00D9348B">
        <w:t>Net emissions</w:t>
      </w:r>
    </w:p>
    <w:p w14:paraId="484BDEAA" w14:textId="77777777" w:rsidR="00643D10" w:rsidRPr="00D9348B" w:rsidRDefault="00643D10" w:rsidP="00643D10">
      <w:pPr>
        <w:pStyle w:val="Heading5"/>
        <w:spacing w:before="160"/>
      </w:pPr>
      <w:r w:rsidRPr="00D9348B">
        <w:t>Uncertainty in 2018</w:t>
      </w:r>
    </w:p>
    <w:p w14:paraId="21A9F45B" w14:textId="6E68A95F" w:rsidR="00643D10" w:rsidRPr="00D9348B" w:rsidRDefault="00643D10" w:rsidP="00643D10">
      <w:pPr>
        <w:pStyle w:val="BodyText"/>
      </w:pPr>
      <w:r w:rsidRPr="00D9348B">
        <w:t>The uncertainty for New Zealand’s inventory, including emissions and removals from the LULUCF sector, in 2018 is ±12.1 per cent, an increase of 1.5 percentage points from 2017. This</w:t>
      </w:r>
      <w:r w:rsidR="00846CDB" w:rsidRPr="00D9348B">
        <w:t> </w:t>
      </w:r>
      <w:r w:rsidRPr="00D9348B">
        <w:t xml:space="preserve">increase is mainly due to the correction of an error in the uncertainties for </w:t>
      </w:r>
      <w:r w:rsidRPr="00D9348B">
        <w:rPr>
          <w:i/>
        </w:rPr>
        <w:t>Forest land</w:t>
      </w:r>
      <w:r w:rsidRPr="00D9348B">
        <w:rPr>
          <w:iCs/>
        </w:rPr>
        <w:t xml:space="preserve">. </w:t>
      </w:r>
      <w:r w:rsidRPr="00D9348B">
        <w:t>Emissions of CO</w:t>
      </w:r>
      <w:r w:rsidRPr="00D9348B">
        <w:rPr>
          <w:vertAlign w:val="subscript"/>
        </w:rPr>
        <w:t>2</w:t>
      </w:r>
      <w:r w:rsidRPr="00D9348B">
        <w:t xml:space="preserve"> from </w:t>
      </w:r>
      <w:r w:rsidRPr="00D9348B">
        <w:rPr>
          <w:i/>
        </w:rPr>
        <w:t>Forest land</w:t>
      </w:r>
      <w:r w:rsidRPr="00D9348B">
        <w:t xml:space="preserve"> (±50.8 per cent), CO</w:t>
      </w:r>
      <w:r w:rsidRPr="00D9348B">
        <w:rPr>
          <w:vertAlign w:val="subscript"/>
        </w:rPr>
        <w:t>2</w:t>
      </w:r>
      <w:r w:rsidRPr="00D9348B">
        <w:t xml:space="preserve"> from </w:t>
      </w:r>
      <w:r w:rsidRPr="00D9348B">
        <w:rPr>
          <w:i/>
        </w:rPr>
        <w:t>Harvested wood products</w:t>
      </w:r>
      <w:r w:rsidRPr="00D9348B">
        <w:t xml:space="preserve"> (±69.0 per cent) and CH</w:t>
      </w:r>
      <w:r w:rsidRPr="00D9348B">
        <w:rPr>
          <w:vertAlign w:val="subscript"/>
        </w:rPr>
        <w:t>4</w:t>
      </w:r>
      <w:r w:rsidRPr="00D9348B">
        <w:t xml:space="preserve"> from </w:t>
      </w:r>
      <w:r w:rsidRPr="00D9348B">
        <w:rPr>
          <w:i/>
        </w:rPr>
        <w:t>Enteric fermentation</w:t>
      </w:r>
      <w:r w:rsidRPr="00D9348B">
        <w:t xml:space="preserve"> (±16.0 per cent) categories had the highest levels of net uncertainty for 2018, at 7.8 per cent, 6.7 per cent and 4.0 per cent of the overall uncertainty in the net emissions. </w:t>
      </w:r>
    </w:p>
    <w:p w14:paraId="100FFD4F" w14:textId="77777777" w:rsidR="00643D10" w:rsidRPr="00D9348B" w:rsidRDefault="00643D10" w:rsidP="00643D10">
      <w:pPr>
        <w:pStyle w:val="Heading5"/>
        <w:spacing w:before="160"/>
      </w:pPr>
      <w:r w:rsidRPr="00D9348B">
        <w:t>Uncertainty in 1990</w:t>
      </w:r>
    </w:p>
    <w:p w14:paraId="507586A8" w14:textId="77777777" w:rsidR="00643D10" w:rsidRPr="00D9348B" w:rsidRDefault="00643D10" w:rsidP="00643D10">
      <w:pPr>
        <w:pStyle w:val="BodyText"/>
      </w:pPr>
      <w:r w:rsidRPr="00D9348B">
        <w:t>In 1990, the uncertainty in net emissions was 16.2 per cent. Emissions of CO</w:t>
      </w:r>
      <w:r w:rsidRPr="00D9348B">
        <w:rPr>
          <w:vertAlign w:val="subscript"/>
        </w:rPr>
        <w:t>2</w:t>
      </w:r>
      <w:r w:rsidRPr="00D9348B">
        <w:t xml:space="preserve"> from </w:t>
      </w:r>
      <w:r w:rsidRPr="00D9348B">
        <w:rPr>
          <w:i/>
        </w:rPr>
        <w:t>Forest Land</w:t>
      </w:r>
      <w:r w:rsidRPr="00D9348B">
        <w:t xml:space="preserve"> and CH</w:t>
      </w:r>
      <w:r w:rsidRPr="00D9348B">
        <w:rPr>
          <w:vertAlign w:val="subscript"/>
        </w:rPr>
        <w:t>4</w:t>
      </w:r>
      <w:r w:rsidRPr="00D9348B">
        <w:t xml:space="preserve"> from </w:t>
      </w:r>
      <w:r w:rsidRPr="00D9348B">
        <w:rPr>
          <w:i/>
        </w:rPr>
        <w:t xml:space="preserve">Enteric Fermentation </w:t>
      </w:r>
      <w:r w:rsidRPr="00D9348B">
        <w:t>and</w:t>
      </w:r>
      <w:r w:rsidRPr="00D9348B">
        <w:rPr>
          <w:i/>
        </w:rPr>
        <w:t xml:space="preserve"> Solid waste disposal </w:t>
      </w:r>
      <w:r w:rsidRPr="00D9348B">
        <w:t>contributed with 14.7 per cent, 4.5 per cent and 4.0 per cent respectively to the overall uncertainty of net emissions in 1990.</w:t>
      </w:r>
    </w:p>
    <w:p w14:paraId="47BBB565" w14:textId="77777777" w:rsidR="00643D10" w:rsidRPr="00D9348B" w:rsidRDefault="00643D10" w:rsidP="00643D10">
      <w:pPr>
        <w:pStyle w:val="Heading5"/>
      </w:pPr>
      <w:r w:rsidRPr="00D9348B">
        <w:t>Uncertainty in the trend</w:t>
      </w:r>
    </w:p>
    <w:p w14:paraId="072ABFC8" w14:textId="77777777" w:rsidR="00643D10" w:rsidRPr="00D9348B" w:rsidRDefault="00643D10" w:rsidP="00643D10">
      <w:pPr>
        <w:pStyle w:val="BodyText"/>
      </w:pPr>
      <w:r w:rsidRPr="00D9348B">
        <w:t xml:space="preserve">When emissions and removals from the LULUCF sector are included, the overall uncertainty in the trend from 1990 to 2018 is ±12.0 per cent. This is an increase of 3.7 percentage points from 2017. Updated uncertainty estimates for activity data in the Energy and LULUCF sectors and emission factors in the LULUCF sector have contributed to this change. </w:t>
      </w:r>
    </w:p>
    <w:p w14:paraId="0E0C1834" w14:textId="77777777" w:rsidR="00643D10" w:rsidRPr="00D9348B" w:rsidRDefault="00643D10" w:rsidP="00643D10">
      <w:pPr>
        <w:pStyle w:val="Heading3"/>
      </w:pPr>
      <w:bookmarkStart w:id="189" w:name="_Toc352504827"/>
      <w:r w:rsidRPr="00D9348B">
        <w:lastRenderedPageBreak/>
        <w:t>1.6.2</w:t>
      </w:r>
      <w:r w:rsidRPr="00D9348B">
        <w:tab/>
        <w:t>LULUCF activities under the Kyoto Protocol</w:t>
      </w:r>
    </w:p>
    <w:p w14:paraId="01092D61" w14:textId="77777777" w:rsidR="00643D10" w:rsidRPr="00D9348B" w:rsidRDefault="00643D10" w:rsidP="00643D10">
      <w:pPr>
        <w:pStyle w:val="BodyText"/>
      </w:pPr>
      <w:bookmarkStart w:id="190" w:name="_Toc414531274"/>
      <w:bookmarkStart w:id="191" w:name="_Toc448321495"/>
      <w:r w:rsidRPr="00D9348B">
        <w:t xml:space="preserve">The combined uncertainty for net emissions from </w:t>
      </w:r>
      <w:r w:rsidRPr="00D9348B">
        <w:rPr>
          <w:i/>
        </w:rPr>
        <w:t>Afforestation and reforestation</w:t>
      </w:r>
      <w:r w:rsidRPr="00D9348B">
        <w:t xml:space="preserve"> category activities in 2018 is ±15.2 per cent. The uncertainty for net emissions from the </w:t>
      </w:r>
      <w:r w:rsidRPr="00D9348B">
        <w:rPr>
          <w:i/>
        </w:rPr>
        <w:t>Deforestation</w:t>
      </w:r>
      <w:r w:rsidRPr="00D9348B">
        <w:t xml:space="preserve"> category in 2018 is ±2.3 per cent. The uncertainty for net emissions from the </w:t>
      </w:r>
      <w:r w:rsidRPr="00D9348B">
        <w:rPr>
          <w:i/>
        </w:rPr>
        <w:t>Forest management</w:t>
      </w:r>
      <w:r w:rsidRPr="00D9348B">
        <w:t xml:space="preserve"> category in 2018 is ±53.9 per cent. The uncertainty introduced into net emissions from </w:t>
      </w:r>
      <w:r w:rsidRPr="00D9348B">
        <w:rPr>
          <w:i/>
        </w:rPr>
        <w:t>Forest management</w:t>
      </w:r>
      <w:r w:rsidRPr="00D9348B">
        <w:t xml:space="preserve"> is high because this category has large emissions from harvesting and large removals from forest growth leaving relatively small net change. Because the uncertainty is calculated on emissions and removals relative to net change, this results in a large uncertainty figure. Combining these uncertainties gives a total uncertainty estimate for LULUCF activities under the Kyoto Protocol of ±56.0 per cent. </w:t>
      </w:r>
    </w:p>
    <w:p w14:paraId="581E9557" w14:textId="77777777" w:rsidR="00643D10" w:rsidRPr="00D9348B" w:rsidRDefault="00643D10" w:rsidP="00643D10">
      <w:pPr>
        <w:pStyle w:val="BodyText"/>
      </w:pPr>
      <w:r w:rsidRPr="00D9348B">
        <w:t xml:space="preserve">Please refer to chapter 11, section 11.4.1, for further information on the uncertainty analysis for activities under the Kyoto Protocol and how this uncertainty analysis relates to the LULUCF sector. </w:t>
      </w:r>
    </w:p>
    <w:p w14:paraId="2853FFCD" w14:textId="77777777" w:rsidR="00643D10" w:rsidRPr="00D9348B" w:rsidRDefault="00643D10" w:rsidP="00643D10">
      <w:pPr>
        <w:pStyle w:val="Heading2"/>
      </w:pPr>
      <w:bookmarkStart w:id="192" w:name="_Toc511116572"/>
      <w:bookmarkStart w:id="193" w:name="_Toc5269334"/>
      <w:bookmarkStart w:id="194" w:name="_Toc36224374"/>
      <w:r w:rsidRPr="00D9348B">
        <w:t>1.7</w:t>
      </w:r>
      <w:r w:rsidRPr="00D9348B">
        <w:tab/>
        <w:t>Inventory completeness</w:t>
      </w:r>
      <w:bookmarkEnd w:id="189"/>
      <w:bookmarkEnd w:id="190"/>
      <w:bookmarkEnd w:id="191"/>
      <w:bookmarkEnd w:id="192"/>
      <w:bookmarkEnd w:id="193"/>
      <w:bookmarkEnd w:id="194"/>
    </w:p>
    <w:p w14:paraId="39892E92" w14:textId="77777777" w:rsidR="00643D10" w:rsidRPr="00D9348B" w:rsidRDefault="00643D10" w:rsidP="002851BB">
      <w:pPr>
        <w:pStyle w:val="Heading3"/>
        <w:spacing w:before="160"/>
      </w:pPr>
      <w:r w:rsidRPr="00D9348B">
        <w:t>1.7.1</w:t>
      </w:r>
      <w:r w:rsidRPr="00D9348B">
        <w:tab/>
        <w:t xml:space="preserve">Reporting under the Convention </w:t>
      </w:r>
    </w:p>
    <w:p w14:paraId="5ECC5B5F" w14:textId="0685ADAB" w:rsidR="00643D10" w:rsidRPr="00D9348B" w:rsidRDefault="00643D10" w:rsidP="00643D10">
      <w:pPr>
        <w:pStyle w:val="BodyText"/>
      </w:pPr>
      <w:r w:rsidRPr="00D9348B">
        <w:t>The inventory for the period 1990 to 2018 is complete. In accordance with the 2006 IPCC Guidelines, New Zealand has focused its resources for inventory development in the key categories and non-key categories that are mandatory (IPCC, 2006b). Additional information regarding the use of the notation key ‘NE’ (not estimated) in the context of paragraph 37(b) of</w:t>
      </w:r>
      <w:r w:rsidR="00846CDB" w:rsidRPr="00D9348B">
        <w:t> </w:t>
      </w:r>
      <w:r w:rsidRPr="00D9348B">
        <w:t>the UNFCCC reporting guidelines (UNFCCC, 2013b) is presented in annex 6.2.</w:t>
      </w:r>
    </w:p>
    <w:p w14:paraId="60DA3E86" w14:textId="77777777" w:rsidR="00643D10" w:rsidRPr="00D9348B" w:rsidRDefault="00643D10" w:rsidP="00846CDB">
      <w:pPr>
        <w:pStyle w:val="Heading3"/>
        <w:spacing w:before="240"/>
      </w:pPr>
      <w:r w:rsidRPr="00D9348B">
        <w:t>1.7.2</w:t>
      </w:r>
      <w:r w:rsidRPr="00D9348B">
        <w:tab/>
        <w:t>LULUCF activities under the Kyoto Protocol</w:t>
      </w:r>
    </w:p>
    <w:p w14:paraId="2F9D93EA" w14:textId="77777777" w:rsidR="00643D10" w:rsidRPr="00D9348B" w:rsidRDefault="00643D10" w:rsidP="00643D10">
      <w:pPr>
        <w:pStyle w:val="BodyText"/>
      </w:pPr>
      <w:r w:rsidRPr="00D9348B">
        <w:t xml:space="preserve">New Zealand has included all carbon pools in reporting for Article 3.3 activities and Article 3.4 </w:t>
      </w:r>
      <w:r w:rsidRPr="00D9348B">
        <w:rPr>
          <w:i/>
        </w:rPr>
        <w:t xml:space="preserve">Forest management </w:t>
      </w:r>
      <w:r w:rsidRPr="00D9348B">
        <w:t>activities under the Kyoto Protocol.</w:t>
      </w:r>
    </w:p>
    <w:p w14:paraId="4B404DCD" w14:textId="77777777" w:rsidR="00643D10" w:rsidRPr="00D9348B" w:rsidRDefault="00643D10" w:rsidP="00846CDB">
      <w:pPr>
        <w:pStyle w:val="Heading2"/>
        <w:spacing w:before="280"/>
      </w:pPr>
      <w:bookmarkStart w:id="195" w:name="_Toc352504828"/>
      <w:bookmarkStart w:id="196" w:name="_Toc414531275"/>
      <w:bookmarkStart w:id="197" w:name="_Toc448321496"/>
      <w:bookmarkStart w:id="198" w:name="_Toc511116573"/>
      <w:bookmarkStart w:id="199" w:name="_Toc5269335"/>
      <w:bookmarkStart w:id="200" w:name="_Toc36224375"/>
      <w:r w:rsidRPr="00D9348B">
        <w:t>1.8</w:t>
      </w:r>
      <w:r w:rsidRPr="00D9348B">
        <w:tab/>
        <w:t>National registry</w:t>
      </w:r>
      <w:bookmarkEnd w:id="195"/>
      <w:bookmarkEnd w:id="196"/>
      <w:bookmarkEnd w:id="197"/>
      <w:bookmarkEnd w:id="198"/>
      <w:bookmarkEnd w:id="199"/>
      <w:bookmarkEnd w:id="200"/>
    </w:p>
    <w:p w14:paraId="7CF58A7C" w14:textId="77777777" w:rsidR="00643D10" w:rsidRPr="00D9348B" w:rsidRDefault="00643D10" w:rsidP="00643D10">
      <w:pPr>
        <w:pStyle w:val="BodyText"/>
      </w:pPr>
      <w:r w:rsidRPr="00D9348B">
        <w:t>The national registry (the New Zealand Emissions Trading Register or the Register) is New Zealand’s online facility to manage the accounting, reporting and reconciliation of emissions, unit holdings and transactions as part of the NZ ETS.</w:t>
      </w:r>
      <w:r w:rsidRPr="00D9348B">
        <w:rPr>
          <w:color w:val="FF0000"/>
        </w:rPr>
        <w:t xml:space="preserve"> </w:t>
      </w:r>
      <w:r w:rsidRPr="00D9348B">
        <w:t>The EPA is designated as the agency responsible for the implementation and operation of New Zealand’s national registry under the Kyoto Protocol. The Register is electronic and accessible via the internet (</w:t>
      </w:r>
      <w:hyperlink r:id="rId46" w:history="1">
        <w:r w:rsidRPr="00D9348B">
          <w:t>www.emissionsregister.govt.nz</w:t>
        </w:r>
      </w:hyperlink>
      <w:r w:rsidRPr="00D9348B">
        <w:t xml:space="preserve">). </w:t>
      </w:r>
    </w:p>
    <w:p w14:paraId="72CEAF27" w14:textId="0AEAF949" w:rsidR="00643D10" w:rsidRPr="00D9348B" w:rsidRDefault="00643D10" w:rsidP="00643D10">
      <w:pPr>
        <w:pStyle w:val="BodyText"/>
      </w:pPr>
      <w:r w:rsidRPr="00D9348B">
        <w:t>In January 2008, New Zealand’s national registry was issued with New Zealand’s assigned amount of 309,564,733 metric tonnes CO</w:t>
      </w:r>
      <w:r w:rsidRPr="00D9348B">
        <w:rPr>
          <w:vertAlign w:val="subscript"/>
        </w:rPr>
        <w:t>2</w:t>
      </w:r>
      <w:r w:rsidRPr="00D9348B">
        <w:t>-e for CP1 (covering the five-year period 2008</w:t>
      </w:r>
      <w:r w:rsidR="00846CDB" w:rsidRPr="00D9348B">
        <w:t> </w:t>
      </w:r>
      <w:r w:rsidRPr="00D9348B">
        <w:t>to</w:t>
      </w:r>
      <w:r w:rsidR="00846CDB" w:rsidRPr="00D9348B">
        <w:t> </w:t>
      </w:r>
      <w:r w:rsidRPr="00D9348B">
        <w:t xml:space="preserve">2012). </w:t>
      </w:r>
    </w:p>
    <w:p w14:paraId="7E2271F6" w14:textId="77777777" w:rsidR="00643D10" w:rsidRPr="00D9348B" w:rsidRDefault="00643D10" w:rsidP="00643D10">
      <w:pPr>
        <w:pStyle w:val="BodyText"/>
      </w:pPr>
      <w:r w:rsidRPr="00D9348B">
        <w:t>The commitment period reserve for CP1 of 278,608,260 metric tonnes CO</w:t>
      </w:r>
      <w:r w:rsidRPr="00D9348B">
        <w:rPr>
          <w:vertAlign w:val="subscript"/>
        </w:rPr>
        <w:t>2</w:t>
      </w:r>
      <w:r w:rsidRPr="00D9348B">
        <w:t xml:space="preserve">-e is 90 per cent of the assigned amount. The value of the commitment reserve for CP1 was fixed after the initial review in 2007. The number of units held in the national registry during CP1 could not fall below this amount. </w:t>
      </w:r>
    </w:p>
    <w:p w14:paraId="0A7AE1E2" w14:textId="77777777" w:rsidR="00643D10" w:rsidRPr="00D9348B" w:rsidRDefault="00643D10" w:rsidP="00643D10">
      <w:pPr>
        <w:pStyle w:val="BodyText"/>
      </w:pPr>
      <w:r w:rsidRPr="00D9348B">
        <w:t xml:space="preserve">At the end of the CP1 of the Kyoto Protocol, New Zealand retired Kyoto Protocol units in its registry equal to its reported emissions and submitted its true-up report (available on both the MfE and UNFCCC websites) to meet CP1 Kyoto Protocol obligations. New Zealand does not </w:t>
      </w:r>
      <w:r w:rsidRPr="00D9348B">
        <w:lastRenderedPageBreak/>
        <w:t xml:space="preserve">have a target under the second commitment period (CP2) of the Kyoto Protocol. Instead, New Zealand joins countries that have made international pledges under the Convention. As such, New Zealand has no assigned amount for CP2; however, New Zealand has chosen to maintain a registry connected to the International Transaction Log. This is required because the Register continues to hold Kyoto Protocol units, and these are required to be able to be reconciled via the International Transaction Log. New Zealand has also committed to apply the Kyoto Protocol accounting approach for the period 2013 to 2020 (the period covered by CP2). </w:t>
      </w:r>
    </w:p>
    <w:p w14:paraId="273843CA" w14:textId="77777777" w:rsidR="00643D10" w:rsidRPr="00D9348B" w:rsidRDefault="00643D10" w:rsidP="00643D10">
      <w:pPr>
        <w:pStyle w:val="BodyText"/>
      </w:pPr>
      <w:r w:rsidRPr="00D9348B">
        <w:t xml:space="preserve">Although most international unit transfers of Kyoto Protocol units are no longer possible from or to the Register, it is still possible for direct issuance of certified emission reduction units (CERs) from the Clean Development Mechanism and voluntary unit cancellation transactions to occur. Details of these transactions are included in the Standard Electronic Format (SEF) tables submitted to the UNFCCC as part of New Zealand’s national inventory reporting. Also, changes to international trading may occur after CP2 ends and new arrangements for international trading under the Paris Agreement come into effect. </w:t>
      </w:r>
    </w:p>
    <w:p w14:paraId="348D6810" w14:textId="77777777" w:rsidR="00643D10" w:rsidRPr="00D9348B" w:rsidRDefault="00643D10" w:rsidP="00643D10">
      <w:pPr>
        <w:pStyle w:val="BodyText"/>
      </w:pPr>
      <w:bookmarkStart w:id="201" w:name="_Toc352504829"/>
      <w:bookmarkStart w:id="202" w:name="_Toc414531276"/>
      <w:bookmarkStart w:id="203" w:name="_Toc448321497"/>
      <w:bookmarkStart w:id="204" w:name="_Toc511116574"/>
      <w:bookmarkStart w:id="205" w:name="_Toc5269336"/>
      <w:r w:rsidRPr="00D9348B">
        <w:t xml:space="preserve">New Zealand replaced its registry system in August 2016. The new Register was tested and reviewed by the UNFCCC secretariat prior to it going live. </w:t>
      </w:r>
    </w:p>
    <w:p w14:paraId="2FDDF2D3" w14:textId="77777777" w:rsidR="00643D10" w:rsidRPr="00D9348B" w:rsidRDefault="00643D10" w:rsidP="00643D10">
      <w:pPr>
        <w:pStyle w:val="BodyText"/>
      </w:pPr>
      <w:r w:rsidRPr="00D9348B">
        <w:t xml:space="preserve">At the beginning of the 2019 calendar year, New Zealand’s national registry held 308,343,858 CP1 assigned amount units, 110,744,560 CP1 emissions reduction units, 21,685,909 CP1 certified emission reduction units and 100,845,399 CP1 removal units. The number and mix of units held at the end of 2019 were the same as at the beginning of 2019, because no international transactions occurred during this period and this value includes the units retired to meet CP1 obligations. No CP2 units were held by New Zealand in 2019. </w:t>
      </w:r>
    </w:p>
    <w:p w14:paraId="70B9474A" w14:textId="77777777" w:rsidR="00643D10" w:rsidRPr="00D9348B" w:rsidRDefault="00643D10" w:rsidP="00643D10">
      <w:pPr>
        <w:pStyle w:val="BodyText"/>
      </w:pPr>
      <w:r w:rsidRPr="00D9348B">
        <w:t xml:space="preserve">New Zealand’s national registry did not hold any temporary certified emission reduction units or long-term certified emission reduction units during </w:t>
      </w:r>
      <w:r w:rsidRPr="00D9348B">
        <w:rPr>
          <w:color w:val="000000"/>
        </w:rPr>
        <w:t>2019</w:t>
      </w:r>
      <w:r w:rsidRPr="00D9348B">
        <w:t>.</w:t>
      </w:r>
    </w:p>
    <w:p w14:paraId="0EF0DC65" w14:textId="77777777" w:rsidR="00643D10" w:rsidRPr="00D9348B" w:rsidRDefault="00643D10" w:rsidP="00643D10">
      <w:pPr>
        <w:pStyle w:val="BodyText"/>
      </w:pPr>
      <w:r w:rsidRPr="00D9348B">
        <w:t>For further information, please refer to chapters 12 and 14 and the standard electronic format tables on New Zealand Emissions Trading Register holdings and transactions that were submitted to the UNFCCC with this inventory. </w:t>
      </w:r>
    </w:p>
    <w:p w14:paraId="4943C191" w14:textId="77777777" w:rsidR="00643D10" w:rsidRPr="00D9348B" w:rsidRDefault="00643D10" w:rsidP="00846CDB">
      <w:pPr>
        <w:pStyle w:val="Heading2"/>
        <w:spacing w:before="280"/>
      </w:pPr>
      <w:bookmarkStart w:id="206" w:name="_Toc36224376"/>
      <w:r w:rsidRPr="00D9348B">
        <w:t xml:space="preserve">1.9 </w:t>
      </w:r>
      <w:r w:rsidRPr="00D9348B">
        <w:tab/>
        <w:t>New Zealand’s Emissions Trading Scheme</w:t>
      </w:r>
      <w:bookmarkEnd w:id="201"/>
      <w:bookmarkEnd w:id="202"/>
      <w:bookmarkEnd w:id="203"/>
      <w:bookmarkEnd w:id="204"/>
      <w:bookmarkEnd w:id="205"/>
      <w:bookmarkEnd w:id="206"/>
    </w:p>
    <w:p w14:paraId="4765BE54" w14:textId="77777777" w:rsidR="00643D10" w:rsidRPr="00D9348B" w:rsidRDefault="00643D10" w:rsidP="00643D10">
      <w:pPr>
        <w:pStyle w:val="BodyText"/>
      </w:pPr>
      <w:r w:rsidRPr="00D9348B">
        <w:t>The NZ ETS is the Government’s main tool for reducing greenhouse gas emissions. The following sections explain the background of the NZ ETS and how the data collected for the NZ ETS have been used to verify CO</w:t>
      </w:r>
      <w:r w:rsidRPr="00D9348B">
        <w:rPr>
          <w:vertAlign w:val="subscript"/>
        </w:rPr>
        <w:t>2</w:t>
      </w:r>
      <w:r w:rsidRPr="00D9348B">
        <w:t xml:space="preserve"> emissions in the Energy and IPPU sectors.</w:t>
      </w:r>
    </w:p>
    <w:p w14:paraId="25437083" w14:textId="77777777" w:rsidR="00643D10" w:rsidRPr="00D9348B" w:rsidRDefault="00643D10" w:rsidP="00846CDB">
      <w:pPr>
        <w:pStyle w:val="Heading3"/>
        <w:spacing w:before="240"/>
      </w:pPr>
      <w:r w:rsidRPr="00D9348B">
        <w:t>1.9.1</w:t>
      </w:r>
      <w:r w:rsidRPr="00D9348B">
        <w:tab/>
        <w:t xml:space="preserve">New Zealand Units </w:t>
      </w:r>
    </w:p>
    <w:p w14:paraId="27401CD2" w14:textId="77777777" w:rsidR="00643D10" w:rsidRPr="00D9348B" w:rsidRDefault="00643D10" w:rsidP="00643D10">
      <w:pPr>
        <w:pStyle w:val="BodyText"/>
      </w:pPr>
      <w:r w:rsidRPr="00D9348B">
        <w:t>The NZ ETS is based on trading units that represent 1 tonne of CO</w:t>
      </w:r>
      <w:r w:rsidRPr="00D9348B">
        <w:rPr>
          <w:vertAlign w:val="subscript"/>
        </w:rPr>
        <w:t>2</w:t>
      </w:r>
      <w:r w:rsidRPr="00D9348B">
        <w:t>-e, called a New Zealand Unit (NZU), which is created and distributed by the New Zealand Government. The scheme was established through the Climate Change Response Act 2002 and came into effect progressively from 2008, with coverage since 2010 of all emissions except agricultural methane and nitrous oxide. Sectors under the scheme are required to report on their emissions and surrender units to the Government to cover their emissions. The Government supplies units for emissions removals through forestry and exports of emitting products from New Zealand. The emissions price is then determined by the market, based on supply and demand of units, and this price creates a financial incentive for businesses that emit greenhouse gases to invest in technologies and practices that reduce emissions.</w:t>
      </w:r>
    </w:p>
    <w:p w14:paraId="619E65D9" w14:textId="77777777" w:rsidR="00643D10" w:rsidRPr="00D9348B" w:rsidRDefault="00643D10" w:rsidP="00846CDB">
      <w:pPr>
        <w:pStyle w:val="Heading3"/>
        <w:spacing w:before="240"/>
      </w:pPr>
      <w:r w:rsidRPr="00D9348B">
        <w:lastRenderedPageBreak/>
        <w:t>1.9.2</w:t>
      </w:r>
      <w:r w:rsidRPr="00D9348B">
        <w:tab/>
        <w:t>Verification</w:t>
      </w:r>
    </w:p>
    <w:p w14:paraId="14B63391" w14:textId="77777777" w:rsidR="00643D10" w:rsidRPr="00D9348B" w:rsidRDefault="00643D10" w:rsidP="00643D10">
      <w:pPr>
        <w:pStyle w:val="BodyText"/>
        <w:spacing w:before="100" w:after="100"/>
      </w:pPr>
      <w:bookmarkStart w:id="207" w:name="_Toc352504941"/>
      <w:bookmarkStart w:id="208" w:name="_Toc414531394"/>
      <w:bookmarkStart w:id="209" w:name="_Toc451176057"/>
      <w:bookmarkStart w:id="210" w:name="_Toc511116706"/>
      <w:bookmarkStart w:id="211" w:name="_Toc5269440"/>
      <w:r w:rsidRPr="00D9348B">
        <w:t>NZ ETS participants are required to record and report the GHG emissions for which they have obligations or the removals for which they can claim NZUs. Participants with obligations are also required to surrender NZUs to cover their emissions annually. How participants estimate their emissions is set out in the regulations prescribed under the Climate Change Response Act 2002. The schedule for sectors entering the NZ ETS is detailed in table 1.9.1.</w:t>
      </w:r>
    </w:p>
    <w:p w14:paraId="2CE4ED36" w14:textId="77777777" w:rsidR="00643D10" w:rsidRPr="00D9348B" w:rsidRDefault="00643D10" w:rsidP="00643D10">
      <w:pPr>
        <w:pStyle w:val="BodyText"/>
        <w:spacing w:before="100" w:after="100"/>
      </w:pPr>
      <w:r w:rsidRPr="00D9348B">
        <w:t>For this submission, data collected for the NZ ETS were used to verify the inventory estimates for CO</w:t>
      </w:r>
      <w:r w:rsidRPr="00D9348B">
        <w:rPr>
          <w:vertAlign w:val="subscript"/>
        </w:rPr>
        <w:t xml:space="preserve">2 </w:t>
      </w:r>
      <w:r w:rsidRPr="00D9348B">
        <w:t xml:space="preserve">emissions in the Energy and IPPU sectors (see chapters 3 and 4 for further detail of the verification). Data from the NZ ETS were used as a primary source in the IPPU sector for the cement and lime industries, and in the Waste sector for activity data on municipal waste disposal. Data reported under the Waste Minimisation Act 2008 have been used for verification and as primary data for smaller landfill sites (see chapter 7 for details). </w:t>
      </w:r>
    </w:p>
    <w:p w14:paraId="656CF88C" w14:textId="77777777" w:rsidR="00643D10" w:rsidRPr="00D9348B" w:rsidRDefault="00643D10" w:rsidP="00643D10">
      <w:pPr>
        <w:pStyle w:val="BodyText"/>
        <w:spacing w:before="100" w:after="100"/>
      </w:pPr>
      <w:r w:rsidRPr="00D9348B">
        <w:t>The NZ ETS data are also used for LULUCF and Kyoto Protocol reporting. Forest age, area and deforestation as reported under the NZ ETS are used for verifying the areas of pre-1990 planted forest, post-1989 forest and deforestation.</w:t>
      </w:r>
    </w:p>
    <w:p w14:paraId="2087FB16" w14:textId="77777777" w:rsidR="00643D10" w:rsidRPr="00D9348B" w:rsidRDefault="00643D10" w:rsidP="00643D10">
      <w:pPr>
        <w:pStyle w:val="Table"/>
      </w:pPr>
      <w:bookmarkStart w:id="212" w:name="_Toc36224518"/>
      <w:r w:rsidRPr="00D9348B">
        <w:t xml:space="preserve">Table 1.9.1 </w:t>
      </w:r>
      <w:r w:rsidRPr="00D9348B">
        <w:tab/>
        <w:t>Dates for sector entry into the New Zealand Emissions Trading Scheme</w:t>
      </w:r>
      <w:bookmarkEnd w:id="212"/>
      <w:r w:rsidRPr="00D9348B">
        <w:t xml:space="preserve"> </w:t>
      </w:r>
    </w:p>
    <w:tbl>
      <w:tblPr>
        <w:tblW w:w="8505" w:type="dxa"/>
        <w:tblInd w:w="108" w:type="dxa"/>
        <w:tblBorders>
          <w:bottom w:val="single" w:sz="8" w:space="0" w:color="365F91"/>
          <w:insideH w:val="single" w:sz="8" w:space="0" w:color="365F91"/>
        </w:tblBorders>
        <w:tblLook w:val="04A0" w:firstRow="1" w:lastRow="0" w:firstColumn="1" w:lastColumn="0" w:noHBand="0" w:noVBand="1"/>
      </w:tblPr>
      <w:tblGrid>
        <w:gridCol w:w="2135"/>
        <w:gridCol w:w="2123"/>
        <w:gridCol w:w="2276"/>
        <w:gridCol w:w="1971"/>
      </w:tblGrid>
      <w:tr w:rsidR="00643D10" w:rsidRPr="00D9348B" w14:paraId="6E61B8C1" w14:textId="77777777" w:rsidTr="00DB330E">
        <w:tc>
          <w:tcPr>
            <w:tcW w:w="1995" w:type="dxa"/>
            <w:tcBorders>
              <w:top w:val="single" w:sz="4" w:space="0" w:color="365F91"/>
              <w:left w:val="nil"/>
              <w:bottom w:val="single" w:sz="4" w:space="0" w:color="365F91"/>
              <w:right w:val="nil"/>
              <w:tl2br w:val="nil"/>
              <w:tr2bl w:val="nil"/>
            </w:tcBorders>
            <w:shd w:val="clear" w:color="365F91" w:fill="365F91"/>
          </w:tcPr>
          <w:p w14:paraId="1BB847DF" w14:textId="77777777" w:rsidR="00643D10" w:rsidRPr="00D9348B" w:rsidRDefault="00643D10" w:rsidP="002851BB">
            <w:pPr>
              <w:pStyle w:val="TableTextBold"/>
              <w:keepNext/>
              <w:spacing w:before="50" w:after="50"/>
              <w:rPr>
                <w:noProof w:val="0"/>
                <w:color w:val="FFFFFF"/>
              </w:rPr>
            </w:pPr>
            <w:r w:rsidRPr="00D9348B">
              <w:rPr>
                <w:noProof w:val="0"/>
                <w:color w:val="FFFFFF"/>
              </w:rPr>
              <w:t xml:space="preserve">Sector </w:t>
            </w:r>
          </w:p>
        </w:tc>
        <w:tc>
          <w:tcPr>
            <w:tcW w:w="1984" w:type="dxa"/>
            <w:tcBorders>
              <w:top w:val="single" w:sz="4" w:space="0" w:color="365F91"/>
              <w:left w:val="nil"/>
              <w:bottom w:val="single" w:sz="4" w:space="0" w:color="365F91"/>
              <w:right w:val="nil"/>
              <w:tl2br w:val="nil"/>
              <w:tr2bl w:val="nil"/>
            </w:tcBorders>
            <w:shd w:val="clear" w:color="365F91" w:fill="365F91"/>
          </w:tcPr>
          <w:p w14:paraId="07A9F76E" w14:textId="77777777" w:rsidR="00643D10" w:rsidRPr="00D9348B" w:rsidRDefault="00643D10" w:rsidP="002851BB">
            <w:pPr>
              <w:pStyle w:val="TableTextBold"/>
              <w:keepNext/>
              <w:spacing w:before="50" w:after="50"/>
              <w:rPr>
                <w:noProof w:val="0"/>
                <w:color w:val="FFFFFF"/>
              </w:rPr>
            </w:pPr>
            <w:r w:rsidRPr="00D9348B">
              <w:rPr>
                <w:noProof w:val="0"/>
                <w:color w:val="FFFFFF"/>
              </w:rPr>
              <w:t>Voluntary reporting</w:t>
            </w:r>
          </w:p>
        </w:tc>
        <w:tc>
          <w:tcPr>
            <w:tcW w:w="2127" w:type="dxa"/>
            <w:tcBorders>
              <w:top w:val="single" w:sz="4" w:space="0" w:color="365F91"/>
              <w:left w:val="nil"/>
              <w:bottom w:val="single" w:sz="4" w:space="0" w:color="365F91"/>
              <w:right w:val="nil"/>
              <w:tl2br w:val="nil"/>
              <w:tr2bl w:val="nil"/>
            </w:tcBorders>
            <w:shd w:val="clear" w:color="365F91" w:fill="365F91"/>
          </w:tcPr>
          <w:p w14:paraId="1E85DA08" w14:textId="77777777" w:rsidR="00643D10" w:rsidRPr="00D9348B" w:rsidRDefault="00643D10" w:rsidP="002851BB">
            <w:pPr>
              <w:pStyle w:val="TableTextBold"/>
              <w:keepNext/>
              <w:spacing w:before="50" w:after="50"/>
              <w:rPr>
                <w:noProof w:val="0"/>
                <w:color w:val="FFFFFF"/>
              </w:rPr>
            </w:pPr>
            <w:r w:rsidRPr="00D9348B">
              <w:rPr>
                <w:noProof w:val="0"/>
                <w:color w:val="FFFFFF"/>
              </w:rPr>
              <w:t>Mandatory reporting</w:t>
            </w:r>
          </w:p>
        </w:tc>
        <w:tc>
          <w:tcPr>
            <w:tcW w:w="1842" w:type="dxa"/>
            <w:tcBorders>
              <w:top w:val="single" w:sz="4" w:space="0" w:color="365F91"/>
              <w:left w:val="nil"/>
              <w:bottom w:val="single" w:sz="4" w:space="0" w:color="365F91"/>
              <w:right w:val="nil"/>
              <w:tl2br w:val="nil"/>
              <w:tr2bl w:val="nil"/>
            </w:tcBorders>
            <w:shd w:val="clear" w:color="365F91" w:fill="365F91"/>
          </w:tcPr>
          <w:p w14:paraId="100A18AF" w14:textId="77777777" w:rsidR="00643D10" w:rsidRPr="00D9348B" w:rsidRDefault="00643D10" w:rsidP="002851BB">
            <w:pPr>
              <w:pStyle w:val="TableTextBold"/>
              <w:keepNext/>
              <w:spacing w:before="50" w:after="50"/>
              <w:rPr>
                <w:noProof w:val="0"/>
                <w:color w:val="FFFFFF"/>
              </w:rPr>
            </w:pPr>
            <w:r w:rsidRPr="00D9348B">
              <w:rPr>
                <w:noProof w:val="0"/>
                <w:color w:val="FFFFFF"/>
              </w:rPr>
              <w:t>Obligations</w:t>
            </w:r>
          </w:p>
        </w:tc>
      </w:tr>
      <w:tr w:rsidR="00643D10" w:rsidRPr="00D9348B" w14:paraId="23285AA3" w14:textId="77777777" w:rsidTr="00DB330E">
        <w:tc>
          <w:tcPr>
            <w:tcW w:w="1995" w:type="dxa"/>
            <w:tcBorders>
              <w:top w:val="single" w:sz="4" w:space="0" w:color="365F91"/>
              <w:bottom w:val="single" w:sz="4" w:space="0" w:color="365F91"/>
            </w:tcBorders>
            <w:shd w:val="clear" w:color="auto" w:fill="auto"/>
          </w:tcPr>
          <w:p w14:paraId="35F9B362" w14:textId="77777777" w:rsidR="00643D10" w:rsidRPr="00D9348B" w:rsidRDefault="00643D10" w:rsidP="002851BB">
            <w:pPr>
              <w:pStyle w:val="TableText"/>
              <w:keepNext/>
              <w:spacing w:before="50" w:after="50"/>
            </w:pPr>
            <w:r w:rsidRPr="00D9348B">
              <w:t xml:space="preserve">Forestry </w:t>
            </w:r>
          </w:p>
        </w:tc>
        <w:tc>
          <w:tcPr>
            <w:tcW w:w="1984" w:type="dxa"/>
            <w:tcBorders>
              <w:top w:val="single" w:sz="4" w:space="0" w:color="365F91"/>
              <w:bottom w:val="single" w:sz="4" w:space="0" w:color="365F91"/>
            </w:tcBorders>
            <w:shd w:val="clear" w:color="auto" w:fill="auto"/>
          </w:tcPr>
          <w:p w14:paraId="47638666" w14:textId="77777777" w:rsidR="00643D10" w:rsidRPr="00D9348B" w:rsidRDefault="00643D10" w:rsidP="002851BB">
            <w:pPr>
              <w:pStyle w:val="TableText"/>
              <w:keepNext/>
              <w:spacing w:before="50" w:after="50"/>
            </w:pPr>
            <w:r w:rsidRPr="00D9348B">
              <w:t>–</w:t>
            </w:r>
          </w:p>
        </w:tc>
        <w:tc>
          <w:tcPr>
            <w:tcW w:w="2127" w:type="dxa"/>
            <w:tcBorders>
              <w:top w:val="single" w:sz="4" w:space="0" w:color="365F91"/>
              <w:bottom w:val="single" w:sz="4" w:space="0" w:color="365F91"/>
            </w:tcBorders>
            <w:shd w:val="clear" w:color="auto" w:fill="auto"/>
          </w:tcPr>
          <w:p w14:paraId="5027E20D" w14:textId="77777777" w:rsidR="00643D10" w:rsidRPr="00D9348B" w:rsidRDefault="00643D10" w:rsidP="002851BB">
            <w:pPr>
              <w:pStyle w:val="TableText"/>
              <w:keepNext/>
              <w:spacing w:before="50" w:after="50"/>
            </w:pPr>
            <w:r w:rsidRPr="00D9348B">
              <w:t>–</w:t>
            </w:r>
          </w:p>
        </w:tc>
        <w:tc>
          <w:tcPr>
            <w:tcW w:w="1842" w:type="dxa"/>
            <w:tcBorders>
              <w:top w:val="single" w:sz="4" w:space="0" w:color="365F91"/>
              <w:bottom w:val="single" w:sz="4" w:space="0" w:color="365F91"/>
            </w:tcBorders>
            <w:shd w:val="clear" w:color="auto" w:fill="auto"/>
          </w:tcPr>
          <w:p w14:paraId="2517F540" w14:textId="77777777" w:rsidR="00643D10" w:rsidRPr="00D9348B" w:rsidRDefault="00643D10" w:rsidP="002851BB">
            <w:pPr>
              <w:pStyle w:val="TableText"/>
              <w:keepNext/>
              <w:spacing w:before="50" w:after="50"/>
            </w:pPr>
            <w:r w:rsidRPr="00D9348B">
              <w:t>1 January 2008</w:t>
            </w:r>
          </w:p>
        </w:tc>
      </w:tr>
      <w:tr w:rsidR="00643D10" w:rsidRPr="00D9348B" w14:paraId="7B30AA94" w14:textId="77777777" w:rsidTr="00DB330E">
        <w:tc>
          <w:tcPr>
            <w:tcW w:w="1995" w:type="dxa"/>
            <w:tcBorders>
              <w:top w:val="single" w:sz="4" w:space="0" w:color="365F91"/>
              <w:bottom w:val="single" w:sz="4" w:space="0" w:color="365F91"/>
            </w:tcBorders>
            <w:shd w:val="clear" w:color="auto" w:fill="auto"/>
          </w:tcPr>
          <w:p w14:paraId="5E29F681" w14:textId="77777777" w:rsidR="00643D10" w:rsidRPr="00D9348B" w:rsidRDefault="00643D10" w:rsidP="002851BB">
            <w:pPr>
              <w:pStyle w:val="TableText"/>
              <w:keepNext/>
              <w:spacing w:before="50" w:after="50"/>
            </w:pPr>
            <w:r w:rsidRPr="00D9348B">
              <w:t xml:space="preserve">Transport fuels </w:t>
            </w:r>
          </w:p>
        </w:tc>
        <w:tc>
          <w:tcPr>
            <w:tcW w:w="1984" w:type="dxa"/>
            <w:tcBorders>
              <w:top w:val="single" w:sz="4" w:space="0" w:color="365F91"/>
              <w:bottom w:val="single" w:sz="4" w:space="0" w:color="365F91"/>
            </w:tcBorders>
            <w:shd w:val="clear" w:color="auto" w:fill="auto"/>
          </w:tcPr>
          <w:p w14:paraId="0AE2A429" w14:textId="77777777" w:rsidR="00643D10" w:rsidRPr="00D9348B" w:rsidRDefault="00643D10" w:rsidP="002851BB">
            <w:pPr>
              <w:pStyle w:val="TableText"/>
              <w:keepNext/>
              <w:spacing w:before="50" w:after="50"/>
            </w:pPr>
            <w:r w:rsidRPr="00D9348B">
              <w:t>–</w:t>
            </w:r>
          </w:p>
        </w:tc>
        <w:tc>
          <w:tcPr>
            <w:tcW w:w="2127" w:type="dxa"/>
            <w:tcBorders>
              <w:top w:val="single" w:sz="4" w:space="0" w:color="365F91"/>
              <w:bottom w:val="single" w:sz="4" w:space="0" w:color="365F91"/>
            </w:tcBorders>
            <w:shd w:val="clear" w:color="auto" w:fill="auto"/>
          </w:tcPr>
          <w:p w14:paraId="33C05E96" w14:textId="77777777" w:rsidR="00643D10" w:rsidRPr="00D9348B" w:rsidRDefault="00643D10" w:rsidP="002851BB">
            <w:pPr>
              <w:pStyle w:val="TableText"/>
              <w:keepNext/>
              <w:spacing w:before="50" w:after="50"/>
            </w:pPr>
            <w:r w:rsidRPr="00D9348B">
              <w:t>1 January 2010</w:t>
            </w:r>
          </w:p>
        </w:tc>
        <w:tc>
          <w:tcPr>
            <w:tcW w:w="1842" w:type="dxa"/>
            <w:tcBorders>
              <w:top w:val="single" w:sz="4" w:space="0" w:color="365F91"/>
              <w:bottom w:val="single" w:sz="4" w:space="0" w:color="365F91"/>
            </w:tcBorders>
            <w:shd w:val="clear" w:color="auto" w:fill="auto"/>
          </w:tcPr>
          <w:p w14:paraId="75F961FA" w14:textId="77777777" w:rsidR="00643D10" w:rsidRPr="00D9348B" w:rsidRDefault="00643D10" w:rsidP="002851BB">
            <w:pPr>
              <w:pStyle w:val="TableText"/>
              <w:keepNext/>
              <w:spacing w:before="50" w:after="50"/>
            </w:pPr>
            <w:r w:rsidRPr="00D9348B">
              <w:t>1 July 2010</w:t>
            </w:r>
          </w:p>
        </w:tc>
      </w:tr>
      <w:tr w:rsidR="00643D10" w:rsidRPr="00D9348B" w14:paraId="77533FEB" w14:textId="77777777" w:rsidTr="00DB330E">
        <w:tc>
          <w:tcPr>
            <w:tcW w:w="1995" w:type="dxa"/>
            <w:tcBorders>
              <w:top w:val="single" w:sz="4" w:space="0" w:color="365F91"/>
              <w:bottom w:val="single" w:sz="4" w:space="0" w:color="365F91"/>
            </w:tcBorders>
            <w:shd w:val="clear" w:color="auto" w:fill="auto"/>
          </w:tcPr>
          <w:p w14:paraId="150CEC39" w14:textId="77777777" w:rsidR="00643D10" w:rsidRPr="00D9348B" w:rsidRDefault="00643D10" w:rsidP="002851BB">
            <w:pPr>
              <w:pStyle w:val="TableText"/>
              <w:keepNext/>
              <w:spacing w:before="50" w:after="50"/>
            </w:pPr>
            <w:r w:rsidRPr="00D9348B">
              <w:t xml:space="preserve">Electricity production </w:t>
            </w:r>
          </w:p>
        </w:tc>
        <w:tc>
          <w:tcPr>
            <w:tcW w:w="1984" w:type="dxa"/>
            <w:tcBorders>
              <w:top w:val="single" w:sz="4" w:space="0" w:color="365F91"/>
              <w:bottom w:val="single" w:sz="4" w:space="0" w:color="365F91"/>
            </w:tcBorders>
            <w:shd w:val="clear" w:color="auto" w:fill="auto"/>
          </w:tcPr>
          <w:p w14:paraId="2BCF154F" w14:textId="77777777" w:rsidR="00643D10" w:rsidRPr="00D9348B" w:rsidRDefault="00643D10" w:rsidP="002851BB">
            <w:pPr>
              <w:pStyle w:val="TableText"/>
              <w:keepNext/>
              <w:spacing w:before="50" w:after="50"/>
            </w:pPr>
            <w:r w:rsidRPr="00D9348B">
              <w:t>–</w:t>
            </w:r>
          </w:p>
        </w:tc>
        <w:tc>
          <w:tcPr>
            <w:tcW w:w="2127" w:type="dxa"/>
            <w:tcBorders>
              <w:top w:val="single" w:sz="4" w:space="0" w:color="365F91"/>
              <w:bottom w:val="single" w:sz="4" w:space="0" w:color="365F91"/>
            </w:tcBorders>
            <w:shd w:val="clear" w:color="auto" w:fill="auto"/>
          </w:tcPr>
          <w:p w14:paraId="42713FEE" w14:textId="77777777" w:rsidR="00643D10" w:rsidRPr="00D9348B" w:rsidRDefault="00643D10" w:rsidP="002851BB">
            <w:pPr>
              <w:pStyle w:val="TableText"/>
              <w:keepNext/>
              <w:spacing w:before="50" w:after="50"/>
            </w:pPr>
            <w:r w:rsidRPr="00D9348B">
              <w:t>1 January 2010</w:t>
            </w:r>
          </w:p>
        </w:tc>
        <w:tc>
          <w:tcPr>
            <w:tcW w:w="1842" w:type="dxa"/>
            <w:tcBorders>
              <w:top w:val="single" w:sz="4" w:space="0" w:color="365F91"/>
              <w:bottom w:val="single" w:sz="4" w:space="0" w:color="365F91"/>
            </w:tcBorders>
            <w:shd w:val="clear" w:color="auto" w:fill="auto"/>
          </w:tcPr>
          <w:p w14:paraId="0DAE6B33" w14:textId="77777777" w:rsidR="00643D10" w:rsidRPr="00D9348B" w:rsidRDefault="00643D10" w:rsidP="002851BB">
            <w:pPr>
              <w:pStyle w:val="TableText"/>
              <w:keepNext/>
              <w:spacing w:before="50" w:after="50"/>
            </w:pPr>
            <w:r w:rsidRPr="00D9348B">
              <w:t>1 July 2010</w:t>
            </w:r>
          </w:p>
        </w:tc>
      </w:tr>
      <w:tr w:rsidR="00643D10" w:rsidRPr="00D9348B" w14:paraId="404E0700" w14:textId="77777777" w:rsidTr="00DB330E">
        <w:tc>
          <w:tcPr>
            <w:tcW w:w="1995" w:type="dxa"/>
            <w:tcBorders>
              <w:top w:val="single" w:sz="4" w:space="0" w:color="365F91"/>
              <w:bottom w:val="single" w:sz="4" w:space="0" w:color="365F91"/>
            </w:tcBorders>
            <w:shd w:val="clear" w:color="auto" w:fill="auto"/>
          </w:tcPr>
          <w:p w14:paraId="4FC803A5" w14:textId="77777777" w:rsidR="00643D10" w:rsidRPr="00D9348B" w:rsidRDefault="00643D10" w:rsidP="002851BB">
            <w:pPr>
              <w:pStyle w:val="TableText"/>
              <w:keepNext/>
              <w:spacing w:before="50" w:after="50"/>
            </w:pPr>
            <w:r w:rsidRPr="00D9348B">
              <w:t>IPPU</w:t>
            </w:r>
          </w:p>
        </w:tc>
        <w:tc>
          <w:tcPr>
            <w:tcW w:w="1984" w:type="dxa"/>
            <w:tcBorders>
              <w:top w:val="single" w:sz="4" w:space="0" w:color="365F91"/>
              <w:bottom w:val="single" w:sz="4" w:space="0" w:color="365F91"/>
            </w:tcBorders>
            <w:shd w:val="clear" w:color="auto" w:fill="auto"/>
          </w:tcPr>
          <w:p w14:paraId="4740B2B9" w14:textId="77777777" w:rsidR="00643D10" w:rsidRPr="00D9348B" w:rsidRDefault="00643D10" w:rsidP="002851BB">
            <w:pPr>
              <w:pStyle w:val="TableText"/>
              <w:keepNext/>
              <w:spacing w:before="50" w:after="50"/>
            </w:pPr>
            <w:r w:rsidRPr="00D9348B">
              <w:t>–</w:t>
            </w:r>
          </w:p>
        </w:tc>
        <w:tc>
          <w:tcPr>
            <w:tcW w:w="2127" w:type="dxa"/>
            <w:tcBorders>
              <w:top w:val="single" w:sz="4" w:space="0" w:color="365F91"/>
              <w:bottom w:val="single" w:sz="4" w:space="0" w:color="365F91"/>
            </w:tcBorders>
            <w:shd w:val="clear" w:color="auto" w:fill="auto"/>
          </w:tcPr>
          <w:p w14:paraId="18153E9F" w14:textId="77777777" w:rsidR="00643D10" w:rsidRPr="00D9348B" w:rsidRDefault="00643D10" w:rsidP="002851BB">
            <w:pPr>
              <w:pStyle w:val="TableText"/>
              <w:keepNext/>
              <w:spacing w:before="50" w:after="50"/>
            </w:pPr>
            <w:r w:rsidRPr="00D9348B">
              <w:t>1 January 2010</w:t>
            </w:r>
          </w:p>
        </w:tc>
        <w:tc>
          <w:tcPr>
            <w:tcW w:w="1842" w:type="dxa"/>
            <w:tcBorders>
              <w:top w:val="single" w:sz="4" w:space="0" w:color="365F91"/>
              <w:bottom w:val="single" w:sz="4" w:space="0" w:color="365F91"/>
            </w:tcBorders>
            <w:shd w:val="clear" w:color="auto" w:fill="auto"/>
          </w:tcPr>
          <w:p w14:paraId="02102452" w14:textId="77777777" w:rsidR="00643D10" w:rsidRPr="00D9348B" w:rsidRDefault="00643D10" w:rsidP="002851BB">
            <w:pPr>
              <w:pStyle w:val="TableText"/>
              <w:keepNext/>
              <w:spacing w:before="50" w:after="50"/>
            </w:pPr>
            <w:r w:rsidRPr="00D9348B">
              <w:t>1 July 2010</w:t>
            </w:r>
          </w:p>
        </w:tc>
      </w:tr>
      <w:tr w:rsidR="00643D10" w:rsidRPr="00D9348B" w14:paraId="70524106" w14:textId="77777777" w:rsidTr="00DB330E">
        <w:tc>
          <w:tcPr>
            <w:tcW w:w="1995" w:type="dxa"/>
            <w:tcBorders>
              <w:top w:val="single" w:sz="4" w:space="0" w:color="365F91"/>
              <w:bottom w:val="single" w:sz="4" w:space="0" w:color="365F91"/>
            </w:tcBorders>
            <w:shd w:val="clear" w:color="auto" w:fill="auto"/>
          </w:tcPr>
          <w:p w14:paraId="0C6F6119" w14:textId="77777777" w:rsidR="00643D10" w:rsidRPr="00D9348B" w:rsidRDefault="00643D10" w:rsidP="002851BB">
            <w:pPr>
              <w:pStyle w:val="TableText"/>
              <w:spacing w:before="50" w:after="50"/>
            </w:pPr>
            <w:r w:rsidRPr="00D9348B">
              <w:t>Synthetic gases</w:t>
            </w:r>
          </w:p>
        </w:tc>
        <w:tc>
          <w:tcPr>
            <w:tcW w:w="1984" w:type="dxa"/>
            <w:tcBorders>
              <w:top w:val="single" w:sz="4" w:space="0" w:color="365F91"/>
              <w:bottom w:val="single" w:sz="4" w:space="0" w:color="365F91"/>
            </w:tcBorders>
            <w:shd w:val="clear" w:color="auto" w:fill="auto"/>
          </w:tcPr>
          <w:p w14:paraId="27ECBB40" w14:textId="77777777" w:rsidR="00643D10" w:rsidRPr="00D9348B" w:rsidRDefault="00643D10" w:rsidP="002851BB">
            <w:pPr>
              <w:pStyle w:val="TableText"/>
              <w:spacing w:before="50" w:after="50"/>
            </w:pPr>
            <w:r w:rsidRPr="00D9348B">
              <w:t>1 January 2011</w:t>
            </w:r>
          </w:p>
        </w:tc>
        <w:tc>
          <w:tcPr>
            <w:tcW w:w="2127" w:type="dxa"/>
            <w:tcBorders>
              <w:top w:val="single" w:sz="4" w:space="0" w:color="365F91"/>
              <w:bottom w:val="single" w:sz="4" w:space="0" w:color="365F91"/>
            </w:tcBorders>
            <w:shd w:val="clear" w:color="auto" w:fill="auto"/>
          </w:tcPr>
          <w:p w14:paraId="3FD83E72" w14:textId="77777777" w:rsidR="00643D10" w:rsidRPr="00D9348B" w:rsidRDefault="00643D10" w:rsidP="002851BB">
            <w:pPr>
              <w:pStyle w:val="TableText"/>
              <w:spacing w:before="50" w:after="50"/>
            </w:pPr>
            <w:r w:rsidRPr="00D9348B">
              <w:t>1 January 2012</w:t>
            </w:r>
          </w:p>
        </w:tc>
        <w:tc>
          <w:tcPr>
            <w:tcW w:w="1842" w:type="dxa"/>
            <w:tcBorders>
              <w:top w:val="single" w:sz="4" w:space="0" w:color="365F91"/>
              <w:bottom w:val="single" w:sz="4" w:space="0" w:color="365F91"/>
            </w:tcBorders>
            <w:shd w:val="clear" w:color="auto" w:fill="auto"/>
          </w:tcPr>
          <w:p w14:paraId="65E07E18" w14:textId="77777777" w:rsidR="00643D10" w:rsidRPr="00D9348B" w:rsidRDefault="00643D10" w:rsidP="002851BB">
            <w:pPr>
              <w:pStyle w:val="TableText"/>
              <w:spacing w:before="50" w:after="50"/>
            </w:pPr>
            <w:r w:rsidRPr="00D9348B">
              <w:t>1 January 2013</w:t>
            </w:r>
          </w:p>
        </w:tc>
      </w:tr>
      <w:tr w:rsidR="00643D10" w:rsidRPr="00D9348B" w14:paraId="73A52E05" w14:textId="77777777" w:rsidTr="00DB330E">
        <w:tc>
          <w:tcPr>
            <w:tcW w:w="1995" w:type="dxa"/>
            <w:tcBorders>
              <w:top w:val="single" w:sz="4" w:space="0" w:color="365F91"/>
              <w:bottom w:val="single" w:sz="4" w:space="0" w:color="365F91"/>
            </w:tcBorders>
            <w:shd w:val="clear" w:color="auto" w:fill="auto"/>
          </w:tcPr>
          <w:p w14:paraId="1E956902" w14:textId="77777777" w:rsidR="00643D10" w:rsidRPr="00D9348B" w:rsidRDefault="00643D10" w:rsidP="002851BB">
            <w:pPr>
              <w:pStyle w:val="TableText"/>
              <w:spacing w:before="50" w:after="50"/>
            </w:pPr>
            <w:r w:rsidRPr="00D9348B">
              <w:t>Waste</w:t>
            </w:r>
          </w:p>
        </w:tc>
        <w:tc>
          <w:tcPr>
            <w:tcW w:w="1984" w:type="dxa"/>
            <w:tcBorders>
              <w:top w:val="single" w:sz="4" w:space="0" w:color="365F91"/>
              <w:bottom w:val="single" w:sz="4" w:space="0" w:color="365F91"/>
            </w:tcBorders>
            <w:shd w:val="clear" w:color="auto" w:fill="auto"/>
          </w:tcPr>
          <w:p w14:paraId="64EA45DE" w14:textId="77777777" w:rsidR="00643D10" w:rsidRPr="00D9348B" w:rsidRDefault="00643D10" w:rsidP="002851BB">
            <w:pPr>
              <w:pStyle w:val="TableText"/>
              <w:spacing w:before="50" w:after="50"/>
            </w:pPr>
            <w:r w:rsidRPr="00D9348B">
              <w:t>1 January 2011</w:t>
            </w:r>
          </w:p>
        </w:tc>
        <w:tc>
          <w:tcPr>
            <w:tcW w:w="2127" w:type="dxa"/>
            <w:tcBorders>
              <w:top w:val="single" w:sz="4" w:space="0" w:color="365F91"/>
              <w:bottom w:val="single" w:sz="4" w:space="0" w:color="365F91"/>
            </w:tcBorders>
            <w:shd w:val="clear" w:color="auto" w:fill="auto"/>
          </w:tcPr>
          <w:p w14:paraId="0A87552E" w14:textId="77777777" w:rsidR="00643D10" w:rsidRPr="00D9348B" w:rsidRDefault="00643D10" w:rsidP="002851BB">
            <w:pPr>
              <w:pStyle w:val="TableText"/>
              <w:spacing w:before="50" w:after="50"/>
            </w:pPr>
            <w:r w:rsidRPr="00D9348B">
              <w:t>1 January 2012</w:t>
            </w:r>
          </w:p>
        </w:tc>
        <w:tc>
          <w:tcPr>
            <w:tcW w:w="1842" w:type="dxa"/>
            <w:tcBorders>
              <w:top w:val="single" w:sz="4" w:space="0" w:color="365F91"/>
              <w:bottom w:val="single" w:sz="4" w:space="0" w:color="365F91"/>
            </w:tcBorders>
            <w:shd w:val="clear" w:color="auto" w:fill="auto"/>
          </w:tcPr>
          <w:p w14:paraId="04DB7F09" w14:textId="77777777" w:rsidR="00643D10" w:rsidRPr="00D9348B" w:rsidRDefault="00643D10" w:rsidP="002851BB">
            <w:pPr>
              <w:pStyle w:val="TableText"/>
              <w:spacing w:before="50" w:after="50"/>
            </w:pPr>
            <w:r w:rsidRPr="00D9348B">
              <w:t>1 January 2013</w:t>
            </w:r>
          </w:p>
        </w:tc>
      </w:tr>
      <w:tr w:rsidR="00643D10" w:rsidRPr="00D9348B" w14:paraId="3147BA2F" w14:textId="77777777" w:rsidTr="00DB330E">
        <w:tc>
          <w:tcPr>
            <w:tcW w:w="1995" w:type="dxa"/>
            <w:tcBorders>
              <w:top w:val="single" w:sz="4" w:space="0" w:color="365F91"/>
              <w:bottom w:val="single" w:sz="4" w:space="0" w:color="365F91"/>
            </w:tcBorders>
            <w:shd w:val="clear" w:color="auto" w:fill="auto"/>
          </w:tcPr>
          <w:p w14:paraId="22E36709" w14:textId="77777777" w:rsidR="00643D10" w:rsidRPr="00D9348B" w:rsidRDefault="00643D10" w:rsidP="002851BB">
            <w:pPr>
              <w:pStyle w:val="TableText"/>
              <w:spacing w:before="50" w:after="50"/>
            </w:pPr>
            <w:r w:rsidRPr="00D9348B">
              <w:t>Agriculture</w:t>
            </w:r>
          </w:p>
        </w:tc>
        <w:tc>
          <w:tcPr>
            <w:tcW w:w="1984" w:type="dxa"/>
            <w:tcBorders>
              <w:top w:val="single" w:sz="4" w:space="0" w:color="365F91"/>
              <w:bottom w:val="single" w:sz="4" w:space="0" w:color="365F91"/>
            </w:tcBorders>
            <w:shd w:val="clear" w:color="auto" w:fill="auto"/>
          </w:tcPr>
          <w:p w14:paraId="08F4896F" w14:textId="77777777" w:rsidR="00643D10" w:rsidRPr="00D9348B" w:rsidRDefault="00643D10" w:rsidP="002851BB">
            <w:pPr>
              <w:pStyle w:val="TableText"/>
              <w:spacing w:before="50" w:after="50"/>
            </w:pPr>
            <w:r w:rsidRPr="00D9348B">
              <w:t>1 January 2011</w:t>
            </w:r>
          </w:p>
        </w:tc>
        <w:tc>
          <w:tcPr>
            <w:tcW w:w="2127" w:type="dxa"/>
            <w:tcBorders>
              <w:top w:val="single" w:sz="4" w:space="0" w:color="365F91"/>
              <w:bottom w:val="single" w:sz="4" w:space="0" w:color="365F91"/>
            </w:tcBorders>
            <w:shd w:val="clear" w:color="auto" w:fill="auto"/>
          </w:tcPr>
          <w:p w14:paraId="28490D8A" w14:textId="77777777" w:rsidR="00643D10" w:rsidRPr="00D9348B" w:rsidRDefault="00643D10" w:rsidP="002851BB">
            <w:pPr>
              <w:pStyle w:val="TableText"/>
              <w:spacing w:before="50" w:after="50"/>
            </w:pPr>
            <w:r w:rsidRPr="00D9348B">
              <w:t>1 January 2012</w:t>
            </w:r>
          </w:p>
        </w:tc>
        <w:tc>
          <w:tcPr>
            <w:tcW w:w="1842" w:type="dxa"/>
            <w:tcBorders>
              <w:top w:val="single" w:sz="4" w:space="0" w:color="365F91"/>
              <w:bottom w:val="single" w:sz="4" w:space="0" w:color="365F91"/>
            </w:tcBorders>
            <w:shd w:val="clear" w:color="auto" w:fill="auto"/>
          </w:tcPr>
          <w:p w14:paraId="1599330A" w14:textId="77777777" w:rsidR="00643D10" w:rsidRPr="00D9348B" w:rsidRDefault="00643D10" w:rsidP="002851BB">
            <w:pPr>
              <w:pStyle w:val="TableText"/>
              <w:spacing w:before="50" w:after="50"/>
            </w:pPr>
            <w:r w:rsidRPr="00D9348B">
              <w:t>–</w:t>
            </w:r>
          </w:p>
        </w:tc>
      </w:tr>
    </w:tbl>
    <w:p w14:paraId="50B6C2C0" w14:textId="77777777" w:rsidR="00643D10" w:rsidRPr="00D9348B" w:rsidRDefault="00643D10" w:rsidP="00846CDB">
      <w:pPr>
        <w:pStyle w:val="Heading2"/>
        <w:spacing w:before="440"/>
      </w:pPr>
      <w:bookmarkStart w:id="213" w:name="_Toc352504830"/>
      <w:bookmarkStart w:id="214" w:name="_Toc414531277"/>
      <w:bookmarkStart w:id="215" w:name="_Toc448321498"/>
      <w:bookmarkStart w:id="216" w:name="_Toc511116575"/>
      <w:bookmarkStart w:id="217" w:name="_Toc5269337"/>
      <w:bookmarkStart w:id="218" w:name="_Toc36224377"/>
      <w:bookmarkEnd w:id="207"/>
      <w:bookmarkEnd w:id="208"/>
      <w:bookmarkEnd w:id="209"/>
      <w:bookmarkEnd w:id="210"/>
      <w:bookmarkEnd w:id="211"/>
      <w:r w:rsidRPr="00D9348B">
        <w:t xml:space="preserve">1.10 </w:t>
      </w:r>
      <w:r w:rsidRPr="00D9348B">
        <w:tab/>
        <w:t>Improvements introduced</w:t>
      </w:r>
      <w:bookmarkEnd w:id="213"/>
      <w:bookmarkEnd w:id="214"/>
      <w:bookmarkEnd w:id="215"/>
      <w:bookmarkEnd w:id="216"/>
      <w:bookmarkEnd w:id="217"/>
      <w:bookmarkEnd w:id="218"/>
      <w:r w:rsidRPr="00D9348B">
        <w:t xml:space="preserve"> </w:t>
      </w:r>
    </w:p>
    <w:p w14:paraId="0E5A0E5A" w14:textId="77777777" w:rsidR="00643D10" w:rsidRPr="00D9348B" w:rsidRDefault="00643D10" w:rsidP="002851BB">
      <w:pPr>
        <w:pStyle w:val="BodyText"/>
        <w:spacing w:before="100" w:after="100"/>
      </w:pPr>
      <w:bookmarkStart w:id="219" w:name="_Toc414531278"/>
      <w:bookmarkStart w:id="220" w:name="_Toc448321499"/>
      <w:bookmarkStart w:id="221" w:name="_Toc511116576"/>
      <w:bookmarkStart w:id="222" w:name="_Toc5269338"/>
      <w:bookmarkStart w:id="223" w:name="_Toc321398802"/>
      <w:r w:rsidRPr="00D9348B">
        <w:t>An important part of producing the inventory is improving the accuracy of estimates for emissions and removals. In this inventory, a number of recalculations have been made to the estimates due to improvements in:</w:t>
      </w:r>
    </w:p>
    <w:p w14:paraId="2FE55AED" w14:textId="77777777" w:rsidR="00643D10" w:rsidRPr="00D9348B" w:rsidRDefault="00643D10" w:rsidP="00771A8F">
      <w:pPr>
        <w:pStyle w:val="Bullet"/>
        <w:numPr>
          <w:ilvl w:val="0"/>
          <w:numId w:val="20"/>
        </w:numPr>
      </w:pPr>
      <w:r w:rsidRPr="00D9348B">
        <w:t xml:space="preserve">activity data </w:t>
      </w:r>
    </w:p>
    <w:p w14:paraId="0CDE13D6" w14:textId="77777777" w:rsidR="00643D10" w:rsidRPr="00D9348B" w:rsidRDefault="00643D10" w:rsidP="00771A8F">
      <w:pPr>
        <w:pStyle w:val="Bullet"/>
        <w:numPr>
          <w:ilvl w:val="0"/>
          <w:numId w:val="20"/>
        </w:numPr>
      </w:pPr>
      <w:r w:rsidRPr="00D9348B">
        <w:t>emission factors and/or other parameters</w:t>
      </w:r>
    </w:p>
    <w:p w14:paraId="3EABB523" w14:textId="77777777" w:rsidR="00643D10" w:rsidRPr="00D9348B" w:rsidRDefault="00643D10" w:rsidP="00771A8F">
      <w:pPr>
        <w:pStyle w:val="Bullet"/>
        <w:numPr>
          <w:ilvl w:val="0"/>
          <w:numId w:val="20"/>
        </w:numPr>
      </w:pPr>
      <w:r w:rsidRPr="00D9348B">
        <w:t>methodologies</w:t>
      </w:r>
    </w:p>
    <w:p w14:paraId="5C50C2A0" w14:textId="77777777" w:rsidR="00643D10" w:rsidRPr="00D9348B" w:rsidRDefault="00643D10" w:rsidP="00771A8F">
      <w:pPr>
        <w:pStyle w:val="Bullet"/>
        <w:numPr>
          <w:ilvl w:val="0"/>
          <w:numId w:val="20"/>
        </w:numPr>
      </w:pPr>
      <w:proofErr w:type="gramStart"/>
      <w:r w:rsidRPr="00D9348B">
        <w:t>availability</w:t>
      </w:r>
      <w:proofErr w:type="gramEnd"/>
      <w:r w:rsidRPr="00D9348B">
        <w:t xml:space="preserve"> of activity data and emission factors for sources that were previously reported as ‘NE’ (not estimated) because of insufficient data. </w:t>
      </w:r>
    </w:p>
    <w:p w14:paraId="214755D5" w14:textId="777D5F16" w:rsidR="00643D10" w:rsidRPr="00D9348B" w:rsidRDefault="00643D10" w:rsidP="00643D10">
      <w:pPr>
        <w:pStyle w:val="BodyText"/>
      </w:pPr>
      <w:r w:rsidRPr="00D9348B">
        <w:t>It is good practice to recalculate the whole time series, from 1990 to the latest reported year in</w:t>
      </w:r>
      <w:r w:rsidR="00846CDB" w:rsidRPr="00D9348B">
        <w:t> </w:t>
      </w:r>
      <w:r w:rsidRPr="00D9348B">
        <w:t>the inventory, to ensure consistency across the time series. This means estimates of emissions in a given submission year may differ from emissions reported in previous submissions. There may be exceptions to recalculating the entire time series and, where this</w:t>
      </w:r>
      <w:r w:rsidR="00846CDB" w:rsidRPr="00D9348B">
        <w:t> </w:t>
      </w:r>
      <w:r w:rsidRPr="00D9348B">
        <w:t>has occurred, explanations are provided.</w:t>
      </w:r>
    </w:p>
    <w:p w14:paraId="48B4A0D3" w14:textId="77777777" w:rsidR="00643D10" w:rsidRPr="00D9348B" w:rsidRDefault="00643D10" w:rsidP="00643D10">
      <w:pPr>
        <w:pStyle w:val="BodyText"/>
      </w:pPr>
      <w:r w:rsidRPr="00D9348B">
        <w:t xml:space="preserve">Chapter 10 provides a summary of all recalculations made to estimates of emissions and removals. </w:t>
      </w:r>
    </w:p>
    <w:p w14:paraId="548A8D53" w14:textId="77777777" w:rsidR="00643D10" w:rsidRPr="00D9348B" w:rsidRDefault="00643D10" w:rsidP="00643D10">
      <w:pPr>
        <w:pStyle w:val="BodyText"/>
      </w:pPr>
      <w:r w:rsidRPr="00D9348B">
        <w:t xml:space="preserve">Improvements made to New Zealand’s national registry are included in chapter 14. </w:t>
      </w:r>
    </w:p>
    <w:p w14:paraId="625C9EB7" w14:textId="77777777" w:rsidR="00643D10" w:rsidRPr="00D9348B" w:rsidRDefault="00643D10" w:rsidP="00846CDB">
      <w:pPr>
        <w:pStyle w:val="Heading4"/>
        <w:spacing w:before="200"/>
        <w:rPr>
          <w:lang w:eastAsia="en-GB"/>
        </w:rPr>
      </w:pPr>
      <w:r w:rsidRPr="00D9348B">
        <w:lastRenderedPageBreak/>
        <w:t xml:space="preserve">Energy </w:t>
      </w:r>
    </w:p>
    <w:p w14:paraId="1641AC19" w14:textId="02281BAE" w:rsidR="00643D10" w:rsidRPr="00D9348B" w:rsidRDefault="00643D10" w:rsidP="00643D10">
      <w:pPr>
        <w:pStyle w:val="BodyText"/>
        <w:spacing w:after="100"/>
        <w:rPr>
          <w:lang w:eastAsia="en-GB"/>
        </w:rPr>
      </w:pPr>
      <w:r w:rsidRPr="00D9348B">
        <w:rPr>
          <w:lang w:eastAsia="en-GB"/>
        </w:rPr>
        <w:t xml:space="preserve">No significant improvements have been introduced for </w:t>
      </w:r>
      <w:r w:rsidRPr="00D9348B">
        <w:t>the 2020 inventory submission</w:t>
      </w:r>
      <w:r w:rsidRPr="00D9348B">
        <w:rPr>
          <w:lang w:eastAsia="en-GB"/>
        </w:rPr>
        <w:t>. Projects to implement improvements for the reference approach and sectoral approach are</w:t>
      </w:r>
      <w:r w:rsidR="002851BB" w:rsidRPr="00D9348B">
        <w:rPr>
          <w:lang w:eastAsia="en-GB"/>
        </w:rPr>
        <w:t> </w:t>
      </w:r>
      <w:r w:rsidRPr="00D9348B">
        <w:rPr>
          <w:lang w:eastAsia="en-GB"/>
        </w:rPr>
        <w:t xml:space="preserve">ongoing, and results will be reported in the 2021 submission. </w:t>
      </w:r>
    </w:p>
    <w:p w14:paraId="7073F7D9" w14:textId="77777777" w:rsidR="00643D10" w:rsidRPr="00D9348B" w:rsidRDefault="00643D10" w:rsidP="00643D10">
      <w:pPr>
        <w:pStyle w:val="BodyText"/>
      </w:pPr>
      <w:r w:rsidRPr="00D9348B">
        <w:t xml:space="preserve">All source-specific planned improvements are discussed in their corresponding sections in chapter 3. </w:t>
      </w:r>
    </w:p>
    <w:p w14:paraId="2BF82596" w14:textId="77777777" w:rsidR="00643D10" w:rsidRPr="00D9348B" w:rsidRDefault="00643D10" w:rsidP="00846CDB">
      <w:pPr>
        <w:pStyle w:val="Heading4"/>
        <w:spacing w:before="200"/>
      </w:pPr>
      <w:r w:rsidRPr="00D9348B">
        <w:t>IPPU</w:t>
      </w:r>
    </w:p>
    <w:p w14:paraId="69C6B8BE" w14:textId="77777777" w:rsidR="00643D10" w:rsidRPr="00D9348B" w:rsidRDefault="00643D10" w:rsidP="00643D10">
      <w:pPr>
        <w:pStyle w:val="BodyText"/>
        <w:spacing w:before="100" w:after="100"/>
      </w:pPr>
      <w:r w:rsidRPr="00D9348B">
        <w:t xml:space="preserve">In the </w:t>
      </w:r>
      <w:r w:rsidRPr="00D9348B">
        <w:rPr>
          <w:i/>
        </w:rPr>
        <w:t>Product uses as substitutes for ODS</w:t>
      </w:r>
      <w:r w:rsidRPr="00D9348B">
        <w:t xml:space="preserve"> source category, activity data and emissions for refrigeration and air conditioning are disaggregated by sub-application.</w:t>
      </w:r>
      <w:r w:rsidRPr="00D9348B" w:rsidDel="00E25334">
        <w:t xml:space="preserve"> </w:t>
      </w:r>
    </w:p>
    <w:p w14:paraId="07AA3548" w14:textId="77777777" w:rsidR="00643D10" w:rsidRPr="00D9348B" w:rsidRDefault="00643D10" w:rsidP="00643D10">
      <w:pPr>
        <w:pStyle w:val="BodyText"/>
        <w:spacing w:before="100" w:after="100"/>
      </w:pPr>
      <w:r w:rsidRPr="00D9348B">
        <w:t xml:space="preserve">For this submission, emissions from refrigeration and air conditioning for 2013 to 2017 have been recalculated to better account for fluctuations in import volumes and refrigerant stockpiled by importers. </w:t>
      </w:r>
    </w:p>
    <w:p w14:paraId="27CABFFC" w14:textId="77777777" w:rsidR="00643D10" w:rsidRPr="00D9348B" w:rsidRDefault="00643D10" w:rsidP="00643D10">
      <w:pPr>
        <w:pStyle w:val="BodyText"/>
        <w:spacing w:before="100" w:after="100"/>
      </w:pPr>
      <w:r w:rsidRPr="00D9348B">
        <w:t>Section 4.1.7 in chapter 4 contains more details about improvements and recalculations for the IPPU sector.</w:t>
      </w:r>
    </w:p>
    <w:p w14:paraId="2833DC33" w14:textId="77777777" w:rsidR="00643D10" w:rsidRPr="00D9348B" w:rsidRDefault="00643D10" w:rsidP="00846CDB">
      <w:pPr>
        <w:pStyle w:val="Heading4"/>
        <w:spacing w:before="200"/>
      </w:pPr>
      <w:r w:rsidRPr="00D9348B">
        <w:t>Agriculture</w:t>
      </w:r>
    </w:p>
    <w:p w14:paraId="74F52869" w14:textId="77777777" w:rsidR="00643D10" w:rsidRPr="00D9348B" w:rsidRDefault="00643D10" w:rsidP="00643D10">
      <w:pPr>
        <w:pStyle w:val="BodyText"/>
        <w:spacing w:before="100" w:after="100"/>
      </w:pPr>
      <w:r w:rsidRPr="00D9348B">
        <w:t xml:space="preserve">New Zealand has improved Agriculture sector emissions information in this submission through: </w:t>
      </w:r>
    </w:p>
    <w:p w14:paraId="7C1C4398" w14:textId="2B8078F3" w:rsidR="00643D10" w:rsidRPr="00D9348B" w:rsidRDefault="00643D10" w:rsidP="00771A8F">
      <w:pPr>
        <w:pStyle w:val="Bullet"/>
        <w:numPr>
          <w:ilvl w:val="0"/>
          <w:numId w:val="20"/>
        </w:numPr>
      </w:pPr>
      <w:r w:rsidRPr="00D9348B">
        <w:t>use of new N</w:t>
      </w:r>
      <w:r w:rsidRPr="00D9348B">
        <w:rPr>
          <w:vertAlign w:val="subscript"/>
        </w:rPr>
        <w:t>2</w:t>
      </w:r>
      <w:r w:rsidRPr="00D9348B">
        <w:t>O emission factors from animal excreta (EF</w:t>
      </w:r>
      <w:r w:rsidRPr="00D9348B">
        <w:rPr>
          <w:vertAlign w:val="subscript"/>
        </w:rPr>
        <w:t>3,PRP</w:t>
      </w:r>
      <w:r w:rsidRPr="00D9348B">
        <w:t>), which are now split by livestock type and hill slope, and are applied using a new model that calculates the amount of livestock excreta deposited onto different slopes (low, medium and steep). This</w:t>
      </w:r>
      <w:r w:rsidR="002851BB" w:rsidRPr="00D9348B">
        <w:t> </w:t>
      </w:r>
      <w:r w:rsidRPr="00D9348B">
        <w:t xml:space="preserve">improvement to emission calculation affected emissions from dairy cattle, non-dairy cattle, sheep and deer in the </w:t>
      </w:r>
      <w:r w:rsidRPr="00D9348B">
        <w:rPr>
          <w:i/>
          <w:iCs/>
        </w:rPr>
        <w:t xml:space="preserve">Agricultural soils </w:t>
      </w:r>
      <w:r w:rsidRPr="00D9348B">
        <w:t xml:space="preserve">category. The MPI Agricultural Advisory Panel has recommended this improvement as a result of extensive research conducted over the past decade. Further detail on this improvement can be found in chapter 5, section 5.5.5, chapter 10, </w:t>
      </w:r>
      <w:proofErr w:type="gramStart"/>
      <w:r w:rsidRPr="00D9348B">
        <w:t>section</w:t>
      </w:r>
      <w:proofErr w:type="gramEnd"/>
      <w:r w:rsidRPr="00D9348B">
        <w:t xml:space="preserve"> 10.1.3 and annex 3.</w:t>
      </w:r>
    </w:p>
    <w:p w14:paraId="635A1D5F" w14:textId="77777777" w:rsidR="00643D10" w:rsidRPr="00D9348B" w:rsidRDefault="00643D10" w:rsidP="00771A8F">
      <w:pPr>
        <w:pStyle w:val="Bullet"/>
        <w:numPr>
          <w:ilvl w:val="0"/>
          <w:numId w:val="20"/>
        </w:numPr>
      </w:pPr>
      <w:proofErr w:type="gramStart"/>
      <w:r w:rsidRPr="00D9348B">
        <w:t>use</w:t>
      </w:r>
      <w:proofErr w:type="gramEnd"/>
      <w:r w:rsidRPr="00D9348B">
        <w:t xml:space="preserve"> of revised activity data for the proportion of dairy goats in the overall farmed goat population, to reflect recent research. This improvement affected emissions from goats in the </w:t>
      </w:r>
      <w:r w:rsidRPr="00D9348B">
        <w:rPr>
          <w:i/>
          <w:iCs/>
        </w:rPr>
        <w:t>Enteric Fermentation</w:t>
      </w:r>
      <w:r w:rsidRPr="00D9348B">
        <w:t xml:space="preserve"> and </w:t>
      </w:r>
      <w:r w:rsidRPr="00D9348B">
        <w:rPr>
          <w:i/>
          <w:iCs/>
        </w:rPr>
        <w:t xml:space="preserve">Agricultural soils </w:t>
      </w:r>
      <w:r w:rsidRPr="00D9348B">
        <w:t>categories. Further detail on this improvement can be found in chapter 5, section 5.1.5 and chapter 10, section 10.1.3.</w:t>
      </w:r>
    </w:p>
    <w:p w14:paraId="1325A8CB" w14:textId="77777777" w:rsidR="00643D10" w:rsidRPr="00D9348B" w:rsidRDefault="00643D10" w:rsidP="00643D10">
      <w:pPr>
        <w:pStyle w:val="Bullet"/>
        <w:tabs>
          <w:tab w:val="clear" w:pos="567"/>
        </w:tabs>
      </w:pPr>
      <w:proofErr w:type="gramStart"/>
      <w:r w:rsidRPr="00D9348B">
        <w:t>minor</w:t>
      </w:r>
      <w:proofErr w:type="gramEnd"/>
      <w:r w:rsidRPr="00D9348B">
        <w:t xml:space="preserve"> improvements to the equations used to estimate energy efficiency for maintenance (k</w:t>
      </w:r>
      <w:r w:rsidRPr="00D9348B">
        <w:rPr>
          <w:vertAlign w:val="subscript"/>
        </w:rPr>
        <w:t>m</w:t>
      </w:r>
      <w:r w:rsidRPr="00D9348B">
        <w:t xml:space="preserve">) for beef cattle, sheep and deer, which is used to help calculate energy requirements, intake, and nitrogen excretion. These minor improvements included the specification of a constant to more significant figures and reverting to the IPCC default value for the gross energy content of feed of 18.45 megajoules per kilogram of dry matter (MJ/kg DM). The combined improvements had only a small effect on estimated emissions in the </w:t>
      </w:r>
      <w:proofErr w:type="gramStart"/>
      <w:r w:rsidRPr="00D9348B">
        <w:rPr>
          <w:i/>
          <w:iCs/>
        </w:rPr>
        <w:t>Enteric</w:t>
      </w:r>
      <w:proofErr w:type="gramEnd"/>
      <w:r w:rsidRPr="00D9348B">
        <w:rPr>
          <w:i/>
          <w:iCs/>
        </w:rPr>
        <w:t xml:space="preserve"> fermentation</w:t>
      </w:r>
      <w:r w:rsidRPr="00D9348B">
        <w:t xml:space="preserve">, </w:t>
      </w:r>
      <w:r w:rsidRPr="00D9348B">
        <w:rPr>
          <w:i/>
          <w:iCs/>
        </w:rPr>
        <w:t>Manure management</w:t>
      </w:r>
      <w:r w:rsidRPr="00D9348B">
        <w:t xml:space="preserve"> and </w:t>
      </w:r>
      <w:r w:rsidRPr="00D9348B">
        <w:rPr>
          <w:i/>
          <w:iCs/>
        </w:rPr>
        <w:t xml:space="preserve">Agricultural soils </w:t>
      </w:r>
      <w:r w:rsidRPr="00D9348B">
        <w:t>categories because of the insignificance of the change from the previous values of 18.40 MJ/kg DM for cattle and deer and 18.50 MJ/kg DM for sheep. Further detail on this improvement can be found in chapter 5, sections 5.1.5 and 5.3.5 and chapter 10, section 10.1.3.</w:t>
      </w:r>
    </w:p>
    <w:p w14:paraId="26C94113" w14:textId="3CBCDD98" w:rsidR="00643D10" w:rsidRPr="00D9348B" w:rsidRDefault="00643D10" w:rsidP="00643D10">
      <w:pPr>
        <w:pStyle w:val="BodyText"/>
        <w:spacing w:before="100" w:after="100"/>
      </w:pPr>
      <w:r w:rsidRPr="00D9348B">
        <w:t>The MPI Agriculture Inventory Advisory Panel met on 29 October 2019 and recommended that</w:t>
      </w:r>
      <w:r w:rsidR="001503D9" w:rsidRPr="00D9348B">
        <w:t> </w:t>
      </w:r>
      <w:r w:rsidRPr="00D9348B">
        <w:t>these proposed improvements be incorporated in the 2020 inventory submission. The Deputy Director-General, Policy and Trade at MPI approved these improvements for inclusion in the inventory.</w:t>
      </w:r>
    </w:p>
    <w:p w14:paraId="492521E8" w14:textId="77777777" w:rsidR="00643D10" w:rsidRPr="00D9348B" w:rsidRDefault="00643D10" w:rsidP="00865BDB">
      <w:pPr>
        <w:pStyle w:val="Heading4"/>
      </w:pPr>
      <w:r w:rsidRPr="00D9348B">
        <w:lastRenderedPageBreak/>
        <w:t>LULUCF</w:t>
      </w:r>
    </w:p>
    <w:p w14:paraId="30929DAB" w14:textId="77777777" w:rsidR="00643D10" w:rsidRPr="00D9348B" w:rsidRDefault="00643D10" w:rsidP="002851BB">
      <w:pPr>
        <w:pStyle w:val="BodyText"/>
        <w:spacing w:after="100"/>
      </w:pPr>
      <w:r w:rsidRPr="00D9348B">
        <w:t>The main differences between this submission and estimates of New Zealand’s LULUCF net removals reported in the previous inventory submission result from the following (in decreasing order of magnitude):</w:t>
      </w:r>
    </w:p>
    <w:p w14:paraId="03B7818A" w14:textId="583C6323" w:rsidR="00643D10" w:rsidRPr="00D9348B" w:rsidRDefault="00643D10" w:rsidP="002851BB">
      <w:pPr>
        <w:pStyle w:val="Bullet"/>
        <w:spacing w:after="100"/>
      </w:pPr>
      <w:proofErr w:type="gramStart"/>
      <w:r w:rsidRPr="00D9348B">
        <w:t>a</w:t>
      </w:r>
      <w:proofErr w:type="gramEnd"/>
      <w:r w:rsidRPr="00D9348B">
        <w:t xml:space="preserve"> revised analysis of the pre-1990 natural forest plot data, which was undertaken for the</w:t>
      </w:r>
      <w:r w:rsidR="001503D9" w:rsidRPr="00D9348B">
        <w:t> </w:t>
      </w:r>
      <w:r w:rsidRPr="00D9348B">
        <w:t>2020 submission (Paul and Kimberley, unpublished). This resulted in a significant reduction in the estimate for carbon stock change in the regenerating component of pre</w:t>
      </w:r>
      <w:r w:rsidR="001503D9" w:rsidRPr="00D9348B">
        <w:noBreakHyphen/>
      </w:r>
      <w:r w:rsidRPr="00D9348B">
        <w:t xml:space="preserve">1990 natural forest, compared with the previous submission. Details of the revised analysis and the drivers of this reduction can be found in chapter 6, section 6.4.5, under Forest land </w:t>
      </w:r>
    </w:p>
    <w:p w14:paraId="31F14B7F" w14:textId="77777777" w:rsidR="00643D10" w:rsidRPr="00D9348B" w:rsidRDefault="00643D10" w:rsidP="002851BB">
      <w:pPr>
        <w:pStyle w:val="Bullet"/>
        <w:spacing w:after="100"/>
      </w:pPr>
      <w:proofErr w:type="gramStart"/>
      <w:r w:rsidRPr="00D9348B">
        <w:t>revision</w:t>
      </w:r>
      <w:proofErr w:type="gramEnd"/>
      <w:r w:rsidRPr="00D9348B">
        <w:t xml:space="preserve"> of the post-1989 planted forest yield table for the 2020 submission. The revised yield table uses data from the annual national forest inventories of 2016, 2017 and 2018 and previous periodic national forest inventories between 2007 and 2015. The analysis of the data collected has provided a plot-based estimate of carbon stock and mean carbon density within this forest type, which leads to more accurate estimates.</w:t>
      </w:r>
    </w:p>
    <w:p w14:paraId="10EA221A" w14:textId="506C1FCD" w:rsidR="00643D10" w:rsidRPr="00D9348B" w:rsidRDefault="00643D10" w:rsidP="00643D10">
      <w:pPr>
        <w:pStyle w:val="BodyText"/>
      </w:pPr>
      <w:r w:rsidRPr="00D9348B">
        <w:t xml:space="preserve">Chapter 6, section 6.1.4, and the </w:t>
      </w:r>
      <w:r w:rsidR="00766DDA">
        <w:t>land-use</w:t>
      </w:r>
      <w:r w:rsidRPr="00D9348B">
        <w:t xml:space="preserve"> category-specific sections in chapter 6 contain more details about improvements and recalculations for the LULUCF sector.</w:t>
      </w:r>
    </w:p>
    <w:p w14:paraId="012B068E" w14:textId="77777777" w:rsidR="00643D10" w:rsidRPr="00D9348B" w:rsidRDefault="00643D10" w:rsidP="002851BB">
      <w:pPr>
        <w:pStyle w:val="Heading4"/>
        <w:spacing w:before="160"/>
      </w:pPr>
      <w:r w:rsidRPr="00D9348B">
        <w:t>Waste</w:t>
      </w:r>
    </w:p>
    <w:p w14:paraId="6AA73785" w14:textId="59D6CB7B" w:rsidR="00643D10" w:rsidRPr="00D9348B" w:rsidRDefault="00643D10" w:rsidP="00643D10">
      <w:pPr>
        <w:pStyle w:val="BodyText"/>
      </w:pPr>
      <w:r w:rsidRPr="00D9348B">
        <w:t>Minor changes and improvements have been made in the Waste sector resulting in recalculations for several categories. These improvements are a combination of planned improvements and responses to issues found during reviews of previous submissions. Due to</w:t>
      </w:r>
      <w:r w:rsidR="001503D9" w:rsidRPr="00D9348B">
        <w:t> </w:t>
      </w:r>
      <w:r w:rsidRPr="00D9348B">
        <w:t>these changes, emissions in the Waste sector have increased by 5.8 kt CO</w:t>
      </w:r>
      <w:r w:rsidRPr="00D9348B">
        <w:rPr>
          <w:vertAlign w:val="subscript"/>
        </w:rPr>
        <w:t>2</w:t>
      </w:r>
      <w:r w:rsidRPr="00D9348B">
        <w:t>-e (0.1 per cent) in 1990 and decreased by 32.1 kt CO</w:t>
      </w:r>
      <w:r w:rsidRPr="00D9348B">
        <w:rPr>
          <w:vertAlign w:val="subscript"/>
        </w:rPr>
        <w:t>2</w:t>
      </w:r>
      <w:r w:rsidRPr="00D9348B">
        <w:t>-e (0.8 per cent) in 2017.</w:t>
      </w:r>
    </w:p>
    <w:p w14:paraId="2C09E387" w14:textId="77777777" w:rsidR="00643D10" w:rsidRPr="00D9348B" w:rsidRDefault="00643D10" w:rsidP="00643D10">
      <w:pPr>
        <w:pStyle w:val="BodyText"/>
        <w:rPr>
          <w:spacing w:val="-2"/>
        </w:rPr>
      </w:pPr>
      <w:r w:rsidRPr="00D9348B">
        <w:rPr>
          <w:spacing w:val="-2"/>
        </w:rPr>
        <w:t xml:space="preserve">The most significant changes to emissions have been made to the </w:t>
      </w:r>
      <w:proofErr w:type="gramStart"/>
      <w:r w:rsidRPr="00D9348B">
        <w:rPr>
          <w:i/>
          <w:spacing w:val="-2"/>
        </w:rPr>
        <w:t>Unmanaged</w:t>
      </w:r>
      <w:proofErr w:type="gramEnd"/>
      <w:r w:rsidRPr="00D9348B">
        <w:rPr>
          <w:i/>
          <w:spacing w:val="-2"/>
        </w:rPr>
        <w:t xml:space="preserve"> waste disposal sites</w:t>
      </w:r>
      <w:r w:rsidRPr="00D9348B">
        <w:rPr>
          <w:spacing w:val="-2"/>
        </w:rPr>
        <w:t xml:space="preserve"> category and have resulted in the largest recalculation for the waste sector. This has decreased emissions from this category by 0.3 kt CO</w:t>
      </w:r>
      <w:r w:rsidRPr="00D9348B">
        <w:rPr>
          <w:spacing w:val="-2"/>
          <w:vertAlign w:val="subscript"/>
        </w:rPr>
        <w:t>2</w:t>
      </w:r>
      <w:r w:rsidRPr="00D9348B">
        <w:rPr>
          <w:spacing w:val="-2"/>
        </w:rPr>
        <w:t>-e (0.0 per cent) in 1990 and decreased emissions by 25.2 kt CO</w:t>
      </w:r>
      <w:r w:rsidRPr="00D9348B">
        <w:rPr>
          <w:spacing w:val="-2"/>
          <w:vertAlign w:val="subscript"/>
        </w:rPr>
        <w:t>2</w:t>
      </w:r>
      <w:r w:rsidRPr="00D9348B">
        <w:rPr>
          <w:spacing w:val="-2"/>
        </w:rPr>
        <w:noBreakHyphen/>
        <w:t>e (1.1 per cent) in 2017. This change is the result of corrections made to the calculations.</w:t>
      </w:r>
    </w:p>
    <w:p w14:paraId="126A7ACD" w14:textId="77777777" w:rsidR="00643D10" w:rsidRPr="00D9348B" w:rsidRDefault="00643D10" w:rsidP="00643D10">
      <w:pPr>
        <w:pStyle w:val="BodyText"/>
      </w:pPr>
      <w:r w:rsidRPr="00D9348B">
        <w:t>In addition, several other minor improvements and corrections have been made to this and other categories in the Waste sector. Further details can be found in chapter 7 (waste) and also in chapter 10 (improvements and recalculations) section 10.1.5.</w:t>
      </w:r>
    </w:p>
    <w:p w14:paraId="19F5CC43" w14:textId="77777777" w:rsidR="00643D10" w:rsidRPr="00D9348B" w:rsidRDefault="00643D10" w:rsidP="00865BDB">
      <w:pPr>
        <w:pStyle w:val="Heading4"/>
      </w:pPr>
      <w:r w:rsidRPr="00D9348B">
        <w:t>Other sector (Tokelau)</w:t>
      </w:r>
    </w:p>
    <w:p w14:paraId="05A9EC40" w14:textId="7D06C3CC" w:rsidR="00643D10" w:rsidRPr="00D9348B" w:rsidRDefault="00643D10" w:rsidP="00643D10">
      <w:pPr>
        <w:pStyle w:val="BodyText"/>
        <w:rPr>
          <w:rFonts w:eastAsia="Arial"/>
        </w:rPr>
      </w:pPr>
      <w:r w:rsidRPr="00D9348B">
        <w:rPr>
          <w:lang w:eastAsia="en-GB"/>
        </w:rPr>
        <w:t>Significant changes and improvements have been made in the Tokelau emission estimates since the 2019 submission. These improvements are a combination of refinements as a result of historic information coming to hand (for electricity in 2004 and for transport 1990–2014); improved fuel calculations (based on a full year rather than 9 months; estimated number of roundtrips Apia–Tokelau during 1990–2014; average fuel use per trip), and the correction of</w:t>
      </w:r>
      <w:r w:rsidR="001503D9" w:rsidRPr="00D9348B">
        <w:rPr>
          <w:lang w:eastAsia="en-GB"/>
        </w:rPr>
        <w:t> </w:t>
      </w:r>
      <w:r w:rsidRPr="00D9348B">
        <w:rPr>
          <w:lang w:eastAsia="en-GB"/>
        </w:rPr>
        <w:t xml:space="preserve">errors including to the number of pigs. </w:t>
      </w:r>
      <w:r w:rsidRPr="00D9348B">
        <w:rPr>
          <w:rFonts w:eastAsia="Arial"/>
        </w:rPr>
        <w:t>Improvements and recalculations made for the Tokelau</w:t>
      </w:r>
      <w:r w:rsidR="001503D9" w:rsidRPr="00D9348B">
        <w:rPr>
          <w:rFonts w:eastAsia="Arial"/>
        </w:rPr>
        <w:t> </w:t>
      </w:r>
      <w:r w:rsidRPr="00D9348B">
        <w:rPr>
          <w:rFonts w:eastAsia="Arial"/>
        </w:rPr>
        <w:t>sector have resulted in a 13 per cent (0.5 kt CO</w:t>
      </w:r>
      <w:r w:rsidRPr="00D9348B">
        <w:rPr>
          <w:rFonts w:eastAsia="Arial"/>
          <w:vertAlign w:val="subscript"/>
        </w:rPr>
        <w:t>2</w:t>
      </w:r>
      <w:r w:rsidRPr="00D9348B">
        <w:rPr>
          <w:rFonts w:eastAsia="Arial"/>
        </w:rPr>
        <w:t>-e) decrease in emissions in 1990 and</w:t>
      </w:r>
      <w:r w:rsidR="001503D9" w:rsidRPr="00D9348B">
        <w:rPr>
          <w:rFonts w:eastAsia="Arial"/>
        </w:rPr>
        <w:t> </w:t>
      </w:r>
      <w:r w:rsidRPr="00D9348B">
        <w:rPr>
          <w:rFonts w:eastAsia="Arial"/>
        </w:rPr>
        <w:t>a 22.9 per cent (0.7 kt CO</w:t>
      </w:r>
      <w:r w:rsidRPr="00D9348B">
        <w:rPr>
          <w:rFonts w:eastAsia="Arial"/>
          <w:vertAlign w:val="subscript"/>
        </w:rPr>
        <w:t>2</w:t>
      </w:r>
      <w:r w:rsidRPr="00D9348B">
        <w:rPr>
          <w:rFonts w:eastAsia="Arial"/>
        </w:rPr>
        <w:t xml:space="preserve">-e) increase in emissions in 2017. </w:t>
      </w:r>
    </w:p>
    <w:p w14:paraId="62D918C8" w14:textId="164F45D1" w:rsidR="00643D10" w:rsidRPr="00D9348B" w:rsidRDefault="00643D10" w:rsidP="00643D10">
      <w:pPr>
        <w:pStyle w:val="BodyText"/>
        <w:rPr>
          <w:lang w:eastAsia="en-GB"/>
        </w:rPr>
      </w:pPr>
      <w:r w:rsidRPr="00D9348B">
        <w:rPr>
          <w:lang w:eastAsia="en-GB"/>
        </w:rPr>
        <w:t>The previously reported decrease of on-island diesel use of 80 per cent in 2012 negated an increase of 400 per cent in 2004, when Tokelau households and public sector got access to electric power for 24 hours a day, 7 days a week. Until then, electricity had been available to</w:t>
      </w:r>
      <w:r w:rsidR="001503D9" w:rsidRPr="00D9348B">
        <w:rPr>
          <w:lang w:eastAsia="en-GB"/>
        </w:rPr>
        <w:t> </w:t>
      </w:r>
      <w:r w:rsidRPr="00D9348B">
        <w:rPr>
          <w:lang w:eastAsia="en-GB"/>
        </w:rPr>
        <w:t>households only between 6 pm and 10 pm, a major quality of life aspect.</w:t>
      </w:r>
    </w:p>
    <w:p w14:paraId="3D98A013" w14:textId="77777777" w:rsidR="00643D10" w:rsidRPr="00D9348B" w:rsidRDefault="00643D10" w:rsidP="00643D10">
      <w:pPr>
        <w:pStyle w:val="BodyText"/>
        <w:rPr>
          <w:lang w:eastAsia="en-GB"/>
        </w:rPr>
      </w:pPr>
      <w:r w:rsidRPr="00D9348B">
        <w:rPr>
          <w:lang w:eastAsia="en-GB"/>
        </w:rPr>
        <w:lastRenderedPageBreak/>
        <w:t xml:space="preserve">Several other improvements and minor corrections have been made to all categories, in the process of automating the calculation of Tokelau’s emissions using a model developed in an Excel spreadsheet, based on the IPPC reporting framework. It requires annual updates of input data such as fuel purchases, number of voyages (roundtrips Apia–Tokelau, inter-island trips) and five yearly Census data to be input into a single worksheet. </w:t>
      </w:r>
    </w:p>
    <w:p w14:paraId="2341D691" w14:textId="77777777" w:rsidR="00643D10" w:rsidRPr="00D9348B" w:rsidRDefault="00643D10" w:rsidP="00B24175">
      <w:pPr>
        <w:pStyle w:val="Heading2"/>
        <w:spacing w:before="0" w:after="240"/>
      </w:pPr>
      <w:r w:rsidRPr="00D9348B">
        <w:br w:type="page"/>
      </w:r>
      <w:bookmarkStart w:id="224" w:name="_Toc36224378"/>
      <w:r w:rsidRPr="00D9348B">
        <w:lastRenderedPageBreak/>
        <w:t>Chapter 1: References</w:t>
      </w:r>
      <w:bookmarkEnd w:id="219"/>
      <w:bookmarkEnd w:id="220"/>
      <w:bookmarkEnd w:id="221"/>
      <w:bookmarkEnd w:id="222"/>
      <w:bookmarkEnd w:id="224"/>
    </w:p>
    <w:p w14:paraId="2FD12E1A" w14:textId="77777777" w:rsidR="00643D10" w:rsidRPr="00D9348B" w:rsidRDefault="00643D10" w:rsidP="000E6DC7">
      <w:pPr>
        <w:pStyle w:val="References"/>
        <w:spacing w:after="110"/>
      </w:pPr>
      <w:r w:rsidRPr="00D9348B">
        <w:t xml:space="preserve">Beets PN, Kimberley MO, Paul TSH, Oliver GR, Pearce SH, Buswell JM. 2014. The Inventory of Carbon Stocks in New Zealand’s Post-1989 Natural Forest for Reporting under the Kyoto Protocol. </w:t>
      </w:r>
      <w:r w:rsidRPr="00D9348B">
        <w:rPr>
          <w:rFonts w:cs="Arial"/>
          <w:i/>
          <w:iCs/>
          <w:color w:val="222222"/>
        </w:rPr>
        <w:t>Forests</w:t>
      </w:r>
      <w:r w:rsidRPr="00D9348B">
        <w:rPr>
          <w:rFonts w:cs="Arial"/>
          <w:color w:val="222222"/>
        </w:rPr>
        <w:t xml:space="preserve"> </w:t>
      </w:r>
      <w:r w:rsidRPr="00D9348B">
        <w:rPr>
          <w:rFonts w:cs="Arial"/>
          <w:iCs/>
          <w:color w:val="222222"/>
        </w:rPr>
        <w:t>5</w:t>
      </w:r>
      <w:r w:rsidRPr="00D9348B">
        <w:rPr>
          <w:rFonts w:cs="Arial"/>
          <w:color w:val="222222"/>
        </w:rPr>
        <w:t>(9): 2230–2252</w:t>
      </w:r>
      <w:r w:rsidRPr="00D9348B">
        <w:rPr>
          <w:rFonts w:cs="Arial"/>
          <w:i/>
          <w:color w:val="222222"/>
        </w:rPr>
        <w:t>.</w:t>
      </w:r>
    </w:p>
    <w:p w14:paraId="06E2627B" w14:textId="77777777" w:rsidR="00643D10" w:rsidRPr="00D9348B" w:rsidRDefault="00643D10" w:rsidP="000E6DC7">
      <w:pPr>
        <w:pStyle w:val="References"/>
        <w:spacing w:after="110"/>
      </w:pPr>
      <w:r w:rsidRPr="00D9348B">
        <w:t xml:space="preserve">Climate Change Response Act 2002 (as at 1 January 2016) </w:t>
      </w:r>
      <w:hyperlink r:id="rId47" w:history="1">
        <w:r w:rsidRPr="00D9348B">
          <w:t>www.legislation.govt.nz/act/public/2002/0040/latest/DLM158584.html</w:t>
        </w:r>
      </w:hyperlink>
      <w:r w:rsidRPr="00D9348B">
        <w:t>.</w:t>
      </w:r>
    </w:p>
    <w:p w14:paraId="35E8C3A7" w14:textId="77777777" w:rsidR="00643D10" w:rsidRPr="00D9348B" w:rsidRDefault="00643D10" w:rsidP="000E6DC7">
      <w:pPr>
        <w:pStyle w:val="References"/>
        <w:spacing w:after="110"/>
      </w:pPr>
      <w:r w:rsidRPr="00D9348B">
        <w:t xml:space="preserve">CRL Energy Ltd. </w:t>
      </w:r>
      <w:proofErr w:type="gramStart"/>
      <w:r w:rsidRPr="00D9348B">
        <w:t>Unpublished(</w:t>
      </w:r>
      <w:proofErr w:type="gramEnd"/>
      <w:r w:rsidRPr="00D9348B">
        <w:t>a). Hennessy W, Maxwell D. Inventory of HFC, PFC and SF</w:t>
      </w:r>
      <w:r w:rsidRPr="00D9348B">
        <w:rPr>
          <w:vertAlign w:val="subscript"/>
        </w:rPr>
        <w:t>6</w:t>
      </w:r>
      <w:r w:rsidRPr="00D9348B">
        <w:t xml:space="preserve"> Emissions for New Zealand 2004–2005. A report by CRL Energy Ltd to the Ministry for the Environment in 2006.</w:t>
      </w:r>
    </w:p>
    <w:p w14:paraId="3DA6B5A2" w14:textId="77777777" w:rsidR="00643D10" w:rsidRPr="00D9348B" w:rsidRDefault="00643D10" w:rsidP="000E6DC7">
      <w:pPr>
        <w:pStyle w:val="References"/>
        <w:spacing w:after="110"/>
      </w:pPr>
      <w:r w:rsidRPr="00D9348B">
        <w:t xml:space="preserve">CRL Energy Ltd. </w:t>
      </w:r>
      <w:proofErr w:type="gramStart"/>
      <w:r w:rsidRPr="00D9348B">
        <w:t>Unpublished(</w:t>
      </w:r>
      <w:proofErr w:type="gramEnd"/>
      <w:r w:rsidRPr="00D9348B">
        <w:t>b). Hennessy W. Inventory of HFC, SF</w:t>
      </w:r>
      <w:r w:rsidRPr="00D9348B">
        <w:rPr>
          <w:vertAlign w:val="subscript"/>
        </w:rPr>
        <w:t>6</w:t>
      </w:r>
      <w:r w:rsidRPr="00D9348B">
        <w:t xml:space="preserve"> and Other Industrial Process Emissions for New Zealand 2018. A report by CRL Energy Ltd to the Ministry for the Environment in 2019.</w:t>
      </w:r>
    </w:p>
    <w:p w14:paraId="3F92EB22" w14:textId="77777777" w:rsidR="00643D10" w:rsidRPr="00D9348B" w:rsidRDefault="00643D10" w:rsidP="000E6DC7">
      <w:pPr>
        <w:pStyle w:val="References"/>
        <w:spacing w:after="110"/>
      </w:pPr>
      <w:r w:rsidRPr="00D9348B">
        <w:t>IPCC. 2006a. Eggleston HS, Buendia L, Miwa K, Ngara T, Tanabe K (</w:t>
      </w:r>
      <w:proofErr w:type="gramStart"/>
      <w:r w:rsidRPr="00D9348B">
        <w:t>eds</w:t>
      </w:r>
      <w:proofErr w:type="gramEnd"/>
      <w:r w:rsidRPr="00D9348B">
        <w:t xml:space="preserve">). </w:t>
      </w:r>
      <w:r w:rsidRPr="00D9348B">
        <w:rPr>
          <w:i/>
        </w:rPr>
        <w:t>2006 IPCC Guidelines for National Greenhouse Gas Inventories. Volume 4. Agriculture, Forestry and Other Land Use.</w:t>
      </w:r>
      <w:r w:rsidRPr="00D9348B">
        <w:t xml:space="preserve"> IPCC National Greenhouse Gas Inventories Programme. Japan: Published for the IPCC by the Institute for Global Environmental Strategies.</w:t>
      </w:r>
    </w:p>
    <w:p w14:paraId="025344AF" w14:textId="77777777" w:rsidR="00643D10" w:rsidRPr="00D9348B" w:rsidRDefault="00643D10" w:rsidP="000E6DC7">
      <w:pPr>
        <w:pStyle w:val="References"/>
        <w:spacing w:after="110"/>
      </w:pPr>
      <w:r w:rsidRPr="00D9348B">
        <w:t>IPCC. 2006b. Eggleston HS, Buendia L, Miwa K, Ngara T, Tanabe K (</w:t>
      </w:r>
      <w:proofErr w:type="gramStart"/>
      <w:r w:rsidRPr="00D9348B">
        <w:t>eds</w:t>
      </w:r>
      <w:proofErr w:type="gramEnd"/>
      <w:r w:rsidRPr="00D9348B">
        <w:t xml:space="preserve">). </w:t>
      </w:r>
      <w:r w:rsidRPr="00D9348B">
        <w:rPr>
          <w:i/>
        </w:rPr>
        <w:t xml:space="preserve">2006 IPCC Guidelines for National Greenhouse Gas Inventories. Volume 1. General Guidance and Reporting. </w:t>
      </w:r>
      <w:r w:rsidRPr="00D9348B">
        <w:t>IPCC National Greenhouse Gas Inventories Programme. Japan: Published for the IPCC by the Institute for Global Environmental Strategies.</w:t>
      </w:r>
    </w:p>
    <w:p w14:paraId="4F7E8C12" w14:textId="7F3F62F4" w:rsidR="00643D10" w:rsidRPr="00D9348B" w:rsidRDefault="00643D10" w:rsidP="000E6DC7">
      <w:pPr>
        <w:pStyle w:val="References"/>
        <w:spacing w:after="110"/>
      </w:pPr>
      <w:r w:rsidRPr="00D9348B">
        <w:t xml:space="preserve">IPCC. 2013. Stocker TF, Qin D, Plattner G-K, Tignor M, Allen SK, Boschung J, Nauels A, Xia Y, Bex V and Midgley PM (eds). </w:t>
      </w:r>
      <w:r w:rsidRPr="00D9348B">
        <w:rPr>
          <w:i/>
        </w:rPr>
        <w:t>Climate Change 2013: The Physical Science Basis. Contribution of Working Group I to</w:t>
      </w:r>
      <w:r w:rsidR="0005290A" w:rsidRPr="00D9348B">
        <w:rPr>
          <w:i/>
        </w:rPr>
        <w:t> </w:t>
      </w:r>
      <w:r w:rsidRPr="00D9348B">
        <w:rPr>
          <w:i/>
        </w:rPr>
        <w:t>the Fifth Assessment Report of the Intergovernmental Panel on Climate Change</w:t>
      </w:r>
      <w:r w:rsidRPr="00D9348B">
        <w:t xml:space="preserve">. Cambridge, United Kingdom and New York, United States of America: Cambridge University Press. </w:t>
      </w:r>
    </w:p>
    <w:p w14:paraId="44D0659C" w14:textId="77777777" w:rsidR="00643D10" w:rsidRPr="00D9348B" w:rsidRDefault="00643D10" w:rsidP="000E6DC7">
      <w:pPr>
        <w:pStyle w:val="References"/>
        <w:spacing w:after="110"/>
      </w:pPr>
      <w:r w:rsidRPr="00D9348B">
        <w:t xml:space="preserve">IPCC. 2014. Hiraishi T, Krug T, Tanabe K, Srivastava N, Baasansuren J, Fukuda M, and Troxler TG (eds). </w:t>
      </w:r>
      <w:r w:rsidRPr="00D9348B">
        <w:rPr>
          <w:i/>
        </w:rPr>
        <w:t>2013 Revised Supplementary Methods and Good Practice Guidance Arising from the Kyoto Protocol</w:t>
      </w:r>
      <w:r w:rsidRPr="00D9348B">
        <w:t>.</w:t>
      </w:r>
      <w:r w:rsidRPr="00D9348B">
        <w:rPr>
          <w:i/>
        </w:rPr>
        <w:t xml:space="preserve"> </w:t>
      </w:r>
      <w:r w:rsidRPr="00D9348B">
        <w:t>Geneva, Switzerland: IPCC.</w:t>
      </w:r>
    </w:p>
    <w:p w14:paraId="09D6DEB4" w14:textId="3AA694D1" w:rsidR="00643D10" w:rsidRPr="00D9348B" w:rsidRDefault="00643D10" w:rsidP="000E6DC7">
      <w:pPr>
        <w:pStyle w:val="References"/>
        <w:spacing w:after="110"/>
      </w:pPr>
      <w:r w:rsidRPr="00D9348B">
        <w:t>Jasperse JA. 2016.</w:t>
      </w:r>
      <w:r w:rsidRPr="00D9348B">
        <w:rPr>
          <w:i/>
          <w:lang w:eastAsia="en-GB"/>
        </w:rPr>
        <w:t xml:space="preserve"> Analysis of 2014 imports into Tokelau from Samoa, Part 2: Stores’ invoices reconciled</w:t>
      </w:r>
      <w:r w:rsidR="0005290A" w:rsidRPr="00D9348B">
        <w:rPr>
          <w:i/>
          <w:lang w:eastAsia="en-GB"/>
        </w:rPr>
        <w:t> </w:t>
      </w:r>
      <w:r w:rsidRPr="00D9348B">
        <w:rPr>
          <w:i/>
          <w:lang w:eastAsia="en-GB"/>
        </w:rPr>
        <w:t>with cargo manifests, and quality of life implications</w:t>
      </w:r>
      <w:r w:rsidRPr="00D9348B">
        <w:rPr>
          <w:lang w:eastAsia="en-GB"/>
        </w:rPr>
        <w:t xml:space="preserve">. Apia, Samoa: </w:t>
      </w:r>
      <w:r w:rsidRPr="00D9348B">
        <w:t>Tokelau National Statistics</w:t>
      </w:r>
      <w:r w:rsidR="0005290A" w:rsidRPr="00D9348B">
        <w:t> </w:t>
      </w:r>
      <w:r w:rsidRPr="00D9348B">
        <w:t xml:space="preserve">Office. Retrieved from </w:t>
      </w:r>
      <w:hyperlink r:id="rId48" w:history="1">
        <w:r w:rsidRPr="00D9348B">
          <w:t>www.tokelau.org.nz/Bulletin/September+2016/2014+imports +final.html</w:t>
        </w:r>
      </w:hyperlink>
      <w:r w:rsidRPr="00D9348B">
        <w:t xml:space="preserve"> (28 February 2019).</w:t>
      </w:r>
    </w:p>
    <w:p w14:paraId="132A4861" w14:textId="77777777" w:rsidR="00643D10" w:rsidRPr="00D9348B" w:rsidRDefault="00643D10" w:rsidP="000E6DC7">
      <w:pPr>
        <w:pStyle w:val="References"/>
        <w:spacing w:after="110"/>
      </w:pPr>
      <w:r w:rsidRPr="00D9348B">
        <w:rPr>
          <w:rFonts w:eastAsia="Calibri"/>
        </w:rPr>
        <w:t xml:space="preserve">Koroisamanunu I, Papao J, Ketewai M and Sokota A. 2014. </w:t>
      </w:r>
      <w:r w:rsidRPr="00D9348B">
        <w:rPr>
          <w:rFonts w:eastAsia="Calibri"/>
          <w:i/>
        </w:rPr>
        <w:t>Mission Preliminary Report (Fieldwork undertaken from 8 August – 2 September 2013). SOPAC technical note (PR193), May 2014</w:t>
      </w:r>
      <w:r w:rsidRPr="00D9348B">
        <w:rPr>
          <w:rFonts w:eastAsia="Calibri"/>
        </w:rPr>
        <w:t>. Suva, Fiji: Water and Sanitation Programme and Disaster Reduction Programme. Applied Geoscience and Technology Division (SOPAC).</w:t>
      </w:r>
    </w:p>
    <w:p w14:paraId="5827726D" w14:textId="77777777" w:rsidR="00643D10" w:rsidRPr="00D9348B" w:rsidRDefault="00643D10" w:rsidP="000E6DC7">
      <w:pPr>
        <w:pStyle w:val="References"/>
        <w:spacing w:after="110"/>
        <w:rPr>
          <w:lang w:eastAsia="en-GB"/>
        </w:rPr>
      </w:pPr>
      <w:r w:rsidRPr="00D9348B">
        <w:t>Ministry for the Environment. 2006</w:t>
      </w:r>
      <w:r w:rsidRPr="00D9348B">
        <w:rPr>
          <w:lang w:eastAsia="en-GB"/>
        </w:rPr>
        <w:t xml:space="preserve">. </w:t>
      </w:r>
      <w:r w:rsidRPr="00D9348B">
        <w:rPr>
          <w:i/>
          <w:lang w:eastAsia="en-GB"/>
        </w:rPr>
        <w:t>New Zealand’s Initial Report under the Kyoto Protocol:</w:t>
      </w:r>
      <w:r w:rsidRPr="00D9348B">
        <w:rPr>
          <w:i/>
        </w:rPr>
        <w:t xml:space="preserve"> </w:t>
      </w:r>
      <w:r w:rsidRPr="00D9348B">
        <w:rPr>
          <w:i/>
          <w:lang w:eastAsia="en-GB"/>
        </w:rPr>
        <w:t>Facilitating the calculation of New Zealand’s assigned amount and demonstrating New Zealand’s capacity to account for its emissions and assigned amount in accordance with Article 7 paragraph 4 of the Kyoto Protocol</w:t>
      </w:r>
      <w:r w:rsidRPr="00D9348B">
        <w:rPr>
          <w:lang w:eastAsia="en-GB"/>
        </w:rPr>
        <w:t>. Wellington: Ministry for the Environment.</w:t>
      </w:r>
    </w:p>
    <w:p w14:paraId="7C5D9A7B" w14:textId="77777777" w:rsidR="00643D10" w:rsidRPr="00D9348B" w:rsidRDefault="00643D10" w:rsidP="000E6DC7">
      <w:pPr>
        <w:pStyle w:val="References"/>
        <w:spacing w:after="110"/>
        <w:rPr>
          <w:lang w:eastAsia="en-GB"/>
        </w:rPr>
      </w:pPr>
      <w:r w:rsidRPr="00D9348B">
        <w:rPr>
          <w:lang w:eastAsia="en-GB"/>
        </w:rPr>
        <w:t xml:space="preserve">Ministry of Business, Innovation and Employment. 2019. </w:t>
      </w:r>
      <w:r w:rsidRPr="00D9348B">
        <w:rPr>
          <w:i/>
          <w:lang w:eastAsia="en-GB"/>
        </w:rPr>
        <w:t>Energy in New Zealand 2019</w:t>
      </w:r>
      <w:r w:rsidRPr="00D9348B">
        <w:rPr>
          <w:lang w:eastAsia="en-GB"/>
        </w:rPr>
        <w:t>. Wellington: Ministry of Business, Innovation and Employment.</w:t>
      </w:r>
    </w:p>
    <w:p w14:paraId="2DFC6D8D" w14:textId="77777777" w:rsidR="00643D10" w:rsidRPr="00D9348B" w:rsidRDefault="00643D10" w:rsidP="000E6DC7">
      <w:pPr>
        <w:pStyle w:val="References"/>
        <w:spacing w:after="110"/>
      </w:pPr>
      <w:r w:rsidRPr="00D9348B">
        <w:t>Paul TSH, Kimberley MO. Unpublished. The 2016 NFI plot analysis yield tables and carbon stocks at measurement. Contract report prepared for the Ministry for the Environment by Scion.</w:t>
      </w:r>
    </w:p>
    <w:p w14:paraId="48038048" w14:textId="77777777" w:rsidR="00643D10" w:rsidRPr="00D9348B" w:rsidRDefault="00643D10" w:rsidP="000E6DC7">
      <w:pPr>
        <w:pStyle w:val="References"/>
        <w:spacing w:after="110"/>
      </w:pPr>
      <w:r w:rsidRPr="00D9348B">
        <w:t xml:space="preserve">Paul TSH, Kimberley MO, Beets PN. </w:t>
      </w:r>
      <w:proofErr w:type="gramStart"/>
      <w:r w:rsidRPr="00D9348B">
        <w:t>Unpublished(</w:t>
      </w:r>
      <w:proofErr w:type="gramEnd"/>
      <w:r w:rsidRPr="00D9348B">
        <w:t>a). Carbon stocks and change in New Zealand’s natural forests: Estimates from the first two complete inventory cycles 2002–2007 and 2007–2014. Contract report prepared for the Ministry for the Environment by the New Zealand Forest Research Institute Ltd (trading as Scion) in 2019.</w:t>
      </w:r>
    </w:p>
    <w:p w14:paraId="495D1DA0" w14:textId="77777777" w:rsidR="00643D10" w:rsidRPr="00D9348B" w:rsidRDefault="00643D10" w:rsidP="00B24175">
      <w:pPr>
        <w:pStyle w:val="References"/>
      </w:pPr>
      <w:r w:rsidRPr="00D9348B">
        <w:t xml:space="preserve">Paul TSH, Wakelin SJ, Kimberley MO, Beets PN. </w:t>
      </w:r>
      <w:proofErr w:type="gramStart"/>
      <w:r w:rsidRPr="00D9348B">
        <w:t>Unpublished(</w:t>
      </w:r>
      <w:proofErr w:type="gramEnd"/>
      <w:r w:rsidRPr="00D9348B">
        <w:t>b). Stocked plantation area in mapped post-1989 and pre-1990 forests, and associated crop yield tables and CRA Simulation input data. Contract report prepared for the Ministry for the Environment by Scion in 2014.</w:t>
      </w:r>
    </w:p>
    <w:p w14:paraId="14466A4E" w14:textId="0CF78DC9" w:rsidR="00643D10" w:rsidRPr="00D9348B" w:rsidRDefault="00643D10" w:rsidP="000E6DC7">
      <w:pPr>
        <w:pStyle w:val="References"/>
        <w:spacing w:after="110"/>
      </w:pPr>
      <w:r w:rsidRPr="00D9348B">
        <w:lastRenderedPageBreak/>
        <w:t>UNFCCC. 1992. FCCC/INFORMAL/84</w:t>
      </w:r>
      <w:r w:rsidRPr="00D9348B">
        <w:rPr>
          <w:i/>
        </w:rPr>
        <w:t xml:space="preserve"> United Nations Framework Convention on Climate Change</w:t>
      </w:r>
      <w:r w:rsidRPr="00D9348B">
        <w:t xml:space="preserve">. unfccc.int/files/essential_background/background_publications_htmlpdf/application/pdf/conveng. </w:t>
      </w:r>
      <w:proofErr w:type="gramStart"/>
      <w:r w:rsidRPr="00D9348B">
        <w:t>pdf</w:t>
      </w:r>
      <w:proofErr w:type="gramEnd"/>
    </w:p>
    <w:p w14:paraId="6C68EA61" w14:textId="77777777" w:rsidR="00643D10" w:rsidRPr="00D9348B" w:rsidRDefault="00643D10" w:rsidP="000E6DC7">
      <w:pPr>
        <w:pStyle w:val="References"/>
        <w:spacing w:after="110"/>
      </w:pPr>
      <w:r w:rsidRPr="00D9348B">
        <w:t xml:space="preserve">UNFCCC. 2005a. FCCC/KP/CMP/2005/8/Add.3. </w:t>
      </w:r>
      <w:r w:rsidRPr="00D9348B">
        <w:rPr>
          <w:i/>
        </w:rPr>
        <w:t>Land use, land-use change and forestry</w:t>
      </w:r>
      <w:r w:rsidRPr="00D9348B">
        <w:t>.</w:t>
      </w:r>
    </w:p>
    <w:p w14:paraId="0FF48659" w14:textId="77777777" w:rsidR="00643D10" w:rsidRPr="00D9348B" w:rsidRDefault="00643D10" w:rsidP="000E6DC7">
      <w:pPr>
        <w:pStyle w:val="References"/>
        <w:spacing w:after="110"/>
      </w:pPr>
      <w:r w:rsidRPr="00D9348B">
        <w:t xml:space="preserve">UNFCCC. 2005b. FCCC/KP/CMP/2005/8/Add.2. </w:t>
      </w:r>
      <w:r w:rsidRPr="00D9348B">
        <w:rPr>
          <w:i/>
        </w:rPr>
        <w:t>Modalities for the accounting of assigned amounts under Article 7, paragraph 4 of the Kyoto Protocol</w:t>
      </w:r>
      <w:r w:rsidRPr="00D9348B">
        <w:t xml:space="preserve">. </w:t>
      </w:r>
    </w:p>
    <w:p w14:paraId="32D2C898" w14:textId="77777777" w:rsidR="00643D10" w:rsidRPr="00D9348B" w:rsidRDefault="00643D10" w:rsidP="000E6DC7">
      <w:pPr>
        <w:pStyle w:val="References"/>
        <w:spacing w:after="110"/>
      </w:pPr>
      <w:r w:rsidRPr="00D9348B">
        <w:t xml:space="preserve">UNFCCC. 2005c. FCCC/KP/CMP/2005/8/Add.2. </w:t>
      </w:r>
      <w:r w:rsidRPr="00D9348B">
        <w:rPr>
          <w:i/>
        </w:rPr>
        <w:t>Standard electronic format for reporting Kyoto Protocol units</w:t>
      </w:r>
      <w:r w:rsidRPr="00D9348B">
        <w:t>.</w:t>
      </w:r>
    </w:p>
    <w:p w14:paraId="5B6634E7" w14:textId="77777777" w:rsidR="00643D10" w:rsidRPr="00D9348B" w:rsidRDefault="00643D10" w:rsidP="000E6DC7">
      <w:pPr>
        <w:pStyle w:val="References"/>
        <w:spacing w:after="110"/>
      </w:pPr>
      <w:r w:rsidRPr="00D9348B">
        <w:t xml:space="preserve">UNFCCC. 2005d. FCCC/KP/CMP/2005/8/Add.2. </w:t>
      </w:r>
      <w:r w:rsidRPr="00D9348B">
        <w:rPr>
          <w:i/>
        </w:rPr>
        <w:t>Guidelines for the preparation of the information required under Article 7 of the Kyoto Protocol</w:t>
      </w:r>
      <w:r w:rsidRPr="00D9348B">
        <w:t>.</w:t>
      </w:r>
    </w:p>
    <w:p w14:paraId="7B0858E8" w14:textId="77777777" w:rsidR="00643D10" w:rsidRPr="00D9348B" w:rsidRDefault="00643D10" w:rsidP="000E6DC7">
      <w:pPr>
        <w:pStyle w:val="References"/>
        <w:spacing w:after="110"/>
      </w:pPr>
      <w:r w:rsidRPr="00D9348B">
        <w:t xml:space="preserve">UNFCCC. 2005e. FCCC/KP/CMP/2005/8/Add.3 </w:t>
      </w:r>
      <w:r w:rsidRPr="00D9348B">
        <w:rPr>
          <w:i/>
        </w:rPr>
        <w:t>Guidelines for national systems under Article 5, paragraph 1 of the Kyoto Protocol</w:t>
      </w:r>
      <w:r w:rsidRPr="00D9348B">
        <w:t>.</w:t>
      </w:r>
    </w:p>
    <w:p w14:paraId="0A47B811" w14:textId="77777777" w:rsidR="00643D10" w:rsidRPr="00D9348B" w:rsidRDefault="00643D10" w:rsidP="000E6DC7">
      <w:pPr>
        <w:pStyle w:val="References"/>
        <w:spacing w:after="110"/>
      </w:pPr>
      <w:r w:rsidRPr="00D9348B">
        <w:t xml:space="preserve">UNFCCC. 2005f. FCCC/KP/CMP/2005/8/Add.3 </w:t>
      </w:r>
      <w:r w:rsidRPr="00D9348B">
        <w:rPr>
          <w:i/>
        </w:rPr>
        <w:t>Good practice guidance and adjustments under Article 5, paragraph 2 of the Kyoto Protocol</w:t>
      </w:r>
      <w:r w:rsidRPr="00D9348B">
        <w:t>.</w:t>
      </w:r>
    </w:p>
    <w:p w14:paraId="7C6D1A58" w14:textId="77777777" w:rsidR="00643D10" w:rsidRPr="00D9348B" w:rsidRDefault="00643D10" w:rsidP="000E6DC7">
      <w:pPr>
        <w:pStyle w:val="References"/>
        <w:spacing w:after="110"/>
      </w:pPr>
      <w:r w:rsidRPr="00D9348B">
        <w:t xml:space="preserve">UNFCCC. 2005g. FCCC/KP/CMP/2005/8/Add.3 </w:t>
      </w:r>
      <w:r w:rsidRPr="00D9348B">
        <w:rPr>
          <w:i/>
        </w:rPr>
        <w:t>Issues relating to adjustments under Article 5, paragraph 2 of the Kyoto Protocol</w:t>
      </w:r>
      <w:r w:rsidRPr="00D9348B">
        <w:t>.</w:t>
      </w:r>
    </w:p>
    <w:p w14:paraId="0098AEB0" w14:textId="77777777" w:rsidR="00643D10" w:rsidRPr="00D9348B" w:rsidRDefault="00643D10" w:rsidP="000E6DC7">
      <w:pPr>
        <w:pStyle w:val="References"/>
        <w:spacing w:after="110"/>
      </w:pPr>
      <w:r w:rsidRPr="00D9348B">
        <w:t xml:space="preserve">UNFCCC. 2005h. FCCC/KP/CMP/2005/8/Add.3 </w:t>
      </w:r>
      <w:r w:rsidRPr="00D9348B">
        <w:rPr>
          <w:i/>
        </w:rPr>
        <w:t>Guidelines for review under Article 8 of the Kyoto Protocol</w:t>
      </w:r>
      <w:r w:rsidRPr="00D9348B">
        <w:t>.</w:t>
      </w:r>
    </w:p>
    <w:p w14:paraId="7C724E35" w14:textId="77777777" w:rsidR="00643D10" w:rsidRPr="00D9348B" w:rsidRDefault="00643D10" w:rsidP="000E6DC7">
      <w:pPr>
        <w:pStyle w:val="References"/>
        <w:spacing w:after="110"/>
      </w:pPr>
      <w:r w:rsidRPr="00D9348B">
        <w:t xml:space="preserve">UNFCCC. 2005i. FCCC/KP/CMP/2005/8/Add.3 </w:t>
      </w:r>
      <w:r w:rsidRPr="00D9348B">
        <w:rPr>
          <w:i/>
        </w:rPr>
        <w:t>Terms of service for lead reviewers</w:t>
      </w:r>
      <w:r w:rsidRPr="00D9348B">
        <w:t>.</w:t>
      </w:r>
    </w:p>
    <w:p w14:paraId="482F30E7" w14:textId="77777777" w:rsidR="00643D10" w:rsidRPr="00D9348B" w:rsidRDefault="00643D10" w:rsidP="000E6DC7">
      <w:pPr>
        <w:pStyle w:val="References"/>
        <w:spacing w:after="110"/>
      </w:pPr>
      <w:r w:rsidRPr="00D9348B">
        <w:t xml:space="preserve">UNFCCC. 2005j. FCCC/KP/CMP/2005/8/Add.3 </w:t>
      </w:r>
      <w:r w:rsidRPr="00D9348B">
        <w:rPr>
          <w:i/>
        </w:rPr>
        <w:t>Issues relating to the implementation of Article 8 of the Kyoto Protocol – 1 (Training programme for members of expert review teams)</w:t>
      </w:r>
      <w:r w:rsidRPr="00D9348B">
        <w:t>.</w:t>
      </w:r>
    </w:p>
    <w:p w14:paraId="5573F7A4" w14:textId="77777777" w:rsidR="00643D10" w:rsidRPr="00D9348B" w:rsidRDefault="00643D10" w:rsidP="000E6DC7">
      <w:pPr>
        <w:pStyle w:val="References"/>
        <w:spacing w:after="110"/>
      </w:pPr>
      <w:r w:rsidRPr="00D9348B">
        <w:t xml:space="preserve">UNFCCC. 2005k. FCCC/KP/CMP/2005/8/Add.3 </w:t>
      </w:r>
      <w:r w:rsidRPr="00D9348B">
        <w:rPr>
          <w:i/>
        </w:rPr>
        <w:t>Issues relating to the implementation of Article 8 of the Kyoto Protocol – 2 (Confidential information)</w:t>
      </w:r>
      <w:r w:rsidRPr="00D9348B">
        <w:t>.</w:t>
      </w:r>
    </w:p>
    <w:p w14:paraId="5CF033BB" w14:textId="77777777" w:rsidR="00643D10" w:rsidRPr="00D9348B" w:rsidRDefault="00643D10" w:rsidP="000E6DC7">
      <w:pPr>
        <w:pStyle w:val="References"/>
        <w:spacing w:after="110"/>
      </w:pPr>
      <w:r w:rsidRPr="00D9348B">
        <w:t xml:space="preserve">UNFCCC. 2006. FCCC/SBSTA/2006/9. </w:t>
      </w:r>
      <w:r w:rsidRPr="00D9348B">
        <w:rPr>
          <w:i/>
        </w:rPr>
        <w:t>Guidelines for the preparation of national communications by Parties included in Annex I to the Convention, Part I: UNFCCC reporting guidelines on annual inventories (following incorporation of the provisions of Decision 13/CP.9)</w:t>
      </w:r>
      <w:r w:rsidRPr="00D9348B">
        <w:t>.</w:t>
      </w:r>
    </w:p>
    <w:p w14:paraId="05FD6F05" w14:textId="77777777" w:rsidR="00643D10" w:rsidRPr="00D9348B" w:rsidRDefault="00643D10" w:rsidP="000E6DC7">
      <w:pPr>
        <w:pStyle w:val="References"/>
        <w:spacing w:after="110"/>
      </w:pPr>
      <w:r w:rsidRPr="00D9348B">
        <w:t xml:space="preserve">UNFCCC. 2012. FCCC/KP/CMP/2011/10/Add.1. </w:t>
      </w:r>
      <w:r w:rsidRPr="00D9348B">
        <w:rPr>
          <w:i/>
        </w:rPr>
        <w:t>Report of the Conference of the Parties serving as the meeting of the Parties to the Kyoto Protocol on its seventh session, held in Durban from 28 November to 11 December 2011; Decision 2/CMP.7, Land use, land-use change and forestry</w:t>
      </w:r>
      <w:r w:rsidRPr="00D9348B">
        <w:t xml:space="preserve">. </w:t>
      </w:r>
    </w:p>
    <w:p w14:paraId="6698BD60" w14:textId="77777777" w:rsidR="00643D10" w:rsidRPr="00D9348B" w:rsidRDefault="00643D10" w:rsidP="000E6DC7">
      <w:pPr>
        <w:pStyle w:val="References"/>
        <w:spacing w:after="110"/>
      </w:pPr>
      <w:r w:rsidRPr="00D9348B">
        <w:t>UNFCCC. 2013a. FCCC/ARR/2012/NZL.</w:t>
      </w:r>
      <w:r w:rsidRPr="00D9348B">
        <w:rPr>
          <w:color w:val="666666"/>
        </w:rPr>
        <w:t xml:space="preserve"> </w:t>
      </w:r>
      <w:r w:rsidRPr="00D9348B">
        <w:rPr>
          <w:i/>
        </w:rPr>
        <w:t>Report of the individual review of the annual submission of New Zealand submitted in 2012. Centralised Review</w:t>
      </w:r>
      <w:r w:rsidRPr="00D9348B">
        <w:t xml:space="preserve">. </w:t>
      </w:r>
    </w:p>
    <w:p w14:paraId="0CA5EC50" w14:textId="77777777" w:rsidR="00643D10" w:rsidRPr="00D9348B" w:rsidRDefault="00643D10" w:rsidP="000E6DC7">
      <w:pPr>
        <w:pStyle w:val="References"/>
        <w:spacing w:after="110"/>
      </w:pPr>
      <w:r w:rsidRPr="00D9348B">
        <w:t xml:space="preserve">UNFCCC. 2013b. FCCC/CP/2013/10/Add.3. </w:t>
      </w:r>
      <w:r w:rsidRPr="00D9348B">
        <w:rPr>
          <w:i/>
        </w:rPr>
        <w:t>Report of the Conference of the Parties on its nineteenth session, held in Warsaw from 11 to 23 November 2013, Addendum; Decision 24/CP.19 Revision of the UNFCCC reporting guidelines on annual inventories for Parties included in Annex I to the Convention</w:t>
      </w:r>
      <w:r w:rsidRPr="00D9348B">
        <w:t>.</w:t>
      </w:r>
    </w:p>
    <w:p w14:paraId="546763C5" w14:textId="77777777" w:rsidR="00643D10" w:rsidRPr="00D9348B" w:rsidRDefault="00643D10" w:rsidP="000E6DC7">
      <w:pPr>
        <w:pStyle w:val="References"/>
        <w:spacing w:after="110"/>
      </w:pPr>
      <w:r w:rsidRPr="00D9348B">
        <w:t xml:space="preserve">UNFCCC. 2013c. FCCC/KP/CMP/2012/13/Add.1. </w:t>
      </w:r>
      <w:r w:rsidRPr="00D9348B">
        <w:rPr>
          <w:i/>
        </w:rPr>
        <w:t>Decision 2/CMP.8 Implications of the implementation of decisions 2/CMP.7 to 5/CMP.7 on the previous decisions on methodological issues related to the Kyoto Protocol, including those relating to Articles 5, 7 and 8 of the Kyoto Protocol, Annex 2</w:t>
      </w:r>
      <w:r w:rsidRPr="00D9348B">
        <w:t>.</w:t>
      </w:r>
    </w:p>
    <w:p w14:paraId="1D6B6AF0" w14:textId="77777777" w:rsidR="00643D10" w:rsidRPr="00D9348B" w:rsidRDefault="00643D10" w:rsidP="000E6DC7">
      <w:pPr>
        <w:pStyle w:val="References"/>
        <w:spacing w:after="110"/>
      </w:pPr>
      <w:r w:rsidRPr="00D9348B">
        <w:t xml:space="preserve">UNFCCC. 2016a. FCCC/KP/CMP/2015/8/Add.1. </w:t>
      </w:r>
      <w:r w:rsidRPr="00D9348B">
        <w:rPr>
          <w:i/>
        </w:rPr>
        <w:t>Decision 3/CMP.11 Implications of the implementation of decisions 2/CMP.7 to 4/CMP.7 and 1/CMP.8 on the previous decisions on methodological issues related to the Kyoto Protocol, including those relating to Articles 5, 7 and 8 of the Kyoto Protocol, part I: implications related to accounting and reporting and other related issues</w:t>
      </w:r>
      <w:r w:rsidRPr="00D9348B">
        <w:t>.</w:t>
      </w:r>
    </w:p>
    <w:p w14:paraId="3CF24205" w14:textId="77777777" w:rsidR="00643D10" w:rsidRPr="00D9348B" w:rsidRDefault="00643D10" w:rsidP="000E6DC7">
      <w:pPr>
        <w:pStyle w:val="References"/>
        <w:spacing w:after="110"/>
      </w:pPr>
      <w:r w:rsidRPr="00D9348B">
        <w:t xml:space="preserve">UNFCCC. 2016b. FCCC/KP/CMP/2015/8/Add.1. </w:t>
      </w:r>
      <w:r w:rsidRPr="00D9348B">
        <w:rPr>
          <w:i/>
        </w:rPr>
        <w:t>Decision 4/CMP.11 Implications of the implementation of decisions 2/CMP.7 to 4/CMP.7 and 1/CMP.8 on the previous decisions on methodological issues related to the Kyoto Protocol, including those relating to Articles 5, 7 and 8 of the Kyoto Protocol, part II: implications related to review and adjustments and other related issues</w:t>
      </w:r>
      <w:r w:rsidRPr="00D9348B">
        <w:t>.</w:t>
      </w:r>
    </w:p>
    <w:p w14:paraId="34DB8293" w14:textId="77777777" w:rsidR="00643D10" w:rsidRPr="00D9348B" w:rsidRDefault="00643D10" w:rsidP="000E6DC7">
      <w:pPr>
        <w:pStyle w:val="References"/>
        <w:spacing w:after="110"/>
      </w:pPr>
      <w:r w:rsidRPr="00D9348B">
        <w:t>UN. 1945.</w:t>
      </w:r>
      <w:r w:rsidRPr="00D9348B">
        <w:rPr>
          <w:rFonts w:cs="Calibri"/>
          <w:color w:val="222222"/>
          <w:sz w:val="18"/>
          <w:szCs w:val="18"/>
          <w:shd w:val="clear" w:color="auto" w:fill="FFFFFF"/>
        </w:rPr>
        <w:t xml:space="preserve"> </w:t>
      </w:r>
      <w:r w:rsidRPr="00D9348B">
        <w:rPr>
          <w:bCs/>
          <w:i/>
        </w:rPr>
        <w:t xml:space="preserve">Charter of the United Nations, 1945. </w:t>
      </w:r>
      <w:r w:rsidRPr="00D9348B">
        <w:rPr>
          <w:bCs/>
        </w:rPr>
        <w:t xml:space="preserve">Retrieved from </w:t>
      </w:r>
      <w:hyperlink r:id="rId49" w:history="1">
        <w:r w:rsidRPr="00D9348B">
          <w:t>www.un.org/en/sections/un-charter/ chapter-xi</w:t>
        </w:r>
      </w:hyperlink>
      <w:r w:rsidRPr="00D9348B">
        <w:t xml:space="preserve"> </w:t>
      </w:r>
      <w:r w:rsidRPr="00D9348B">
        <w:rPr>
          <w:bCs/>
        </w:rPr>
        <w:t>(7 February 2019).</w:t>
      </w:r>
    </w:p>
    <w:p w14:paraId="15CD3490" w14:textId="3F187A64" w:rsidR="00A02252" w:rsidRPr="00D9348B" w:rsidRDefault="00643D10" w:rsidP="000E6DC7">
      <w:pPr>
        <w:spacing w:after="110"/>
      </w:pPr>
      <w:r w:rsidRPr="00D9348B">
        <w:rPr>
          <w:sz w:val="20"/>
        </w:rPr>
        <w:t>Waste Minimisation Act 2008 (as at l January 2016)</w:t>
      </w:r>
      <w:r w:rsidR="000E6DC7" w:rsidRPr="00D9348B">
        <w:rPr>
          <w:sz w:val="20"/>
        </w:rPr>
        <w:t xml:space="preserve"> </w:t>
      </w:r>
      <w:r w:rsidRPr="00D9348B">
        <w:rPr>
          <w:sz w:val="20"/>
        </w:rPr>
        <w:t>www.legislation.govt.nz/act/public/2008/0089/latest/DLM999802.html.</w:t>
      </w:r>
      <w:r w:rsidRPr="00D9348B" w:rsidDel="004A691D">
        <w:t xml:space="preserve"> </w:t>
      </w:r>
      <w:bookmarkEnd w:id="134"/>
      <w:bookmarkEnd w:id="223"/>
    </w:p>
    <w:p w14:paraId="2F0EB00F" w14:textId="77777777" w:rsidR="00C15758" w:rsidRPr="00D9348B" w:rsidRDefault="00C15758" w:rsidP="00A02252">
      <w:pPr>
        <w:pStyle w:val="Heading1"/>
        <w:sectPr w:rsidR="00C15758" w:rsidRPr="00D9348B" w:rsidSect="00177C9C">
          <w:footerReference w:type="even" r:id="rId50"/>
          <w:pgSz w:w="11907" w:h="16840" w:code="9"/>
          <w:pgMar w:top="1418" w:right="1701" w:bottom="1418" w:left="1701" w:header="567" w:footer="567" w:gutter="0"/>
          <w:cols w:space="720"/>
        </w:sectPr>
      </w:pPr>
    </w:p>
    <w:p w14:paraId="0E63BF65" w14:textId="77777777" w:rsidR="00B7613B" w:rsidRPr="00D9348B" w:rsidRDefault="00B7613B" w:rsidP="00B7613B">
      <w:pPr>
        <w:pStyle w:val="Heading1"/>
      </w:pPr>
      <w:bookmarkStart w:id="225" w:name="_Toc448321500"/>
      <w:bookmarkStart w:id="226" w:name="_Toc511116577"/>
      <w:bookmarkStart w:id="227" w:name="_Toc5269339"/>
      <w:bookmarkStart w:id="228" w:name="_Toc36224379"/>
      <w:r w:rsidRPr="00D9348B">
        <w:lastRenderedPageBreak/>
        <w:t>Chapter 2: Trends in greenhouse gas emissions</w:t>
      </w:r>
      <w:bookmarkEnd w:id="225"/>
      <w:bookmarkEnd w:id="226"/>
      <w:bookmarkEnd w:id="227"/>
      <w:bookmarkEnd w:id="228"/>
    </w:p>
    <w:p w14:paraId="23B2308D" w14:textId="77777777" w:rsidR="00B7613B" w:rsidRPr="00D9348B" w:rsidRDefault="00B7613B" w:rsidP="00B7613B">
      <w:pPr>
        <w:pStyle w:val="Heading2"/>
        <w:spacing w:before="240"/>
      </w:pPr>
      <w:bookmarkStart w:id="229" w:name="_Toc448321501"/>
      <w:bookmarkStart w:id="230" w:name="_Toc511116578"/>
      <w:bookmarkStart w:id="231" w:name="_Toc5269340"/>
      <w:bookmarkStart w:id="232" w:name="_Toc36224380"/>
      <w:r w:rsidRPr="00D9348B">
        <w:t>2.1</w:t>
      </w:r>
      <w:r w:rsidRPr="00D9348B">
        <w:tab/>
        <w:t>Emission trends for aggregated greenhouse gas emissions</w:t>
      </w:r>
      <w:bookmarkEnd w:id="229"/>
      <w:bookmarkEnd w:id="230"/>
      <w:bookmarkEnd w:id="231"/>
      <w:bookmarkEnd w:id="232"/>
    </w:p>
    <w:p w14:paraId="05FD672B" w14:textId="77777777" w:rsidR="00B7613B" w:rsidRPr="00D9348B" w:rsidRDefault="00B7613B" w:rsidP="00B7613B">
      <w:pPr>
        <w:pStyle w:val="BodyText"/>
        <w:spacing w:before="100" w:after="100"/>
      </w:pPr>
      <w:r w:rsidRPr="00D9348B">
        <w:t xml:space="preserve">This chapter describes emission trends by sector and greenhouse gas (GHG). </w:t>
      </w:r>
    </w:p>
    <w:p w14:paraId="656B9D35" w14:textId="77777777" w:rsidR="00B7613B" w:rsidRPr="00D9348B" w:rsidRDefault="00B7613B" w:rsidP="000B51B1">
      <w:pPr>
        <w:pStyle w:val="Heading3"/>
        <w:spacing w:before="280"/>
      </w:pPr>
      <w:r w:rsidRPr="00D9348B">
        <w:t>2.1.1</w:t>
      </w:r>
      <w:r w:rsidRPr="00D9348B">
        <w:tab/>
        <w:t>National trends in greenhouse gas emissions</w:t>
      </w:r>
    </w:p>
    <w:p w14:paraId="6C7AEA1F" w14:textId="77777777" w:rsidR="00B7613B" w:rsidRPr="00D9348B" w:rsidRDefault="00B7613B" w:rsidP="000B51B1">
      <w:pPr>
        <w:pStyle w:val="Heading4"/>
        <w:spacing w:before="160"/>
      </w:pPr>
      <w:r w:rsidRPr="00D9348B">
        <w:t>Gross emissions</w:t>
      </w:r>
    </w:p>
    <w:p w14:paraId="4274885E" w14:textId="77777777" w:rsidR="00B7613B" w:rsidRPr="00D9348B" w:rsidRDefault="00B7613B" w:rsidP="00B7613B">
      <w:pPr>
        <w:pStyle w:val="BodyText"/>
        <w:spacing w:before="100" w:after="100"/>
      </w:pPr>
      <w:r w:rsidRPr="00D9348B">
        <w:t>Gross emissions include those from the Energy, Industrial Processes and Product Use (IPPU), Agriculture, and Waste sectors but do not include net removals from the Land Use, Land-Use Change and Forestry (LULUCF) sector. Reporting of gross emissions excluding the LULUCF sector is consistent with the reporting under the United Nations Framework Convention on Climate Change (the Convention). Gross emissions include emissions from Tokelau.</w:t>
      </w:r>
    </w:p>
    <w:p w14:paraId="0BA06793" w14:textId="77777777" w:rsidR="00B7613B" w:rsidRPr="00D9348B" w:rsidRDefault="00B7613B" w:rsidP="000B51B1">
      <w:pPr>
        <w:pStyle w:val="Heading5"/>
        <w:spacing w:before="160"/>
      </w:pPr>
      <w:r w:rsidRPr="00D9348B">
        <w:t>1990–2018</w:t>
      </w:r>
    </w:p>
    <w:p w14:paraId="23B23BAF" w14:textId="41FA0A45" w:rsidR="00B7613B" w:rsidRPr="00D9348B" w:rsidRDefault="00B7613B" w:rsidP="00B7613B">
      <w:pPr>
        <w:pStyle w:val="BodyText"/>
        <w:spacing w:before="100" w:after="100"/>
        <w:rPr>
          <w:color w:val="000000"/>
        </w:rPr>
      </w:pPr>
      <w:r w:rsidRPr="00D9348B">
        <w:t>In 1990, New Zealand’s gross GHG emissions were 63,590.9 kilotonnes of carbon dioxide equivalent (kt CO</w:t>
      </w:r>
      <w:r w:rsidRPr="00D9348B">
        <w:rPr>
          <w:vertAlign w:val="subscript"/>
        </w:rPr>
        <w:t>2</w:t>
      </w:r>
      <w:r w:rsidRPr="00D9348B">
        <w:t>-e). Between 1990 and 2018, gross GHG emissions increased by 15,271.4</w:t>
      </w:r>
      <w:r w:rsidR="00B7123D">
        <w:t> </w:t>
      </w:r>
      <w:r w:rsidRPr="00D9348B">
        <w:t>kt CO</w:t>
      </w:r>
      <w:r w:rsidRPr="00D9348B">
        <w:rPr>
          <w:vertAlign w:val="subscript"/>
        </w:rPr>
        <w:t>2</w:t>
      </w:r>
      <w:r w:rsidRPr="00D9348B">
        <w:t>-e (24.0 per cent) to 78,862.3 kt CO</w:t>
      </w:r>
      <w:r w:rsidRPr="00D9348B">
        <w:rPr>
          <w:vertAlign w:val="subscript"/>
        </w:rPr>
        <w:t>2</w:t>
      </w:r>
      <w:r w:rsidRPr="00D9348B">
        <w:t xml:space="preserve">-e in 2018 (figure 2.1.1). From 1990 to 2018, the average annual growth in gross emissions was 0.7 per cent. </w:t>
      </w:r>
    </w:p>
    <w:p w14:paraId="07A874C8" w14:textId="77777777" w:rsidR="00B7613B" w:rsidRPr="00D9348B" w:rsidRDefault="00B7613B" w:rsidP="00B7613B">
      <w:pPr>
        <w:pStyle w:val="BodyText"/>
        <w:spacing w:before="100" w:after="100"/>
      </w:pPr>
      <w:r w:rsidRPr="00D9348B">
        <w:t>The emission categories that contributed the most to this increase in gross emissions were:</w:t>
      </w:r>
      <w:r w:rsidRPr="00D9348B">
        <w:rPr>
          <w:i/>
        </w:rPr>
        <w:t xml:space="preserve"> Enteric fermentation</w:t>
      </w:r>
      <w:r w:rsidRPr="00D9348B">
        <w:rPr>
          <w:vertAlign w:val="superscript"/>
        </w:rPr>
        <w:footnoteReference w:id="22"/>
      </w:r>
      <w:r w:rsidRPr="00D9348B">
        <w:rPr>
          <w:i/>
        </w:rPr>
        <w:t xml:space="preserve"> from dairy cattle</w:t>
      </w:r>
      <w:r w:rsidRPr="00D9348B">
        <w:t>,</w:t>
      </w:r>
      <w:r w:rsidRPr="00D9348B">
        <w:rPr>
          <w:i/>
        </w:rPr>
        <w:t xml:space="preserve"> Road transportation</w:t>
      </w:r>
      <w:r w:rsidRPr="00D9348B">
        <w:t>,</w:t>
      </w:r>
      <w:r w:rsidRPr="00D9348B">
        <w:rPr>
          <w:i/>
        </w:rPr>
        <w:t xml:space="preserve"> Agricultural soils</w:t>
      </w:r>
      <w:r w:rsidRPr="00D9348B">
        <w:t xml:space="preserve">, </w:t>
      </w:r>
      <w:r w:rsidRPr="00D9348B">
        <w:rPr>
          <w:rFonts w:eastAsia="+mn-ea"/>
          <w:i/>
          <w:spacing w:val="-2"/>
        </w:rPr>
        <w:t>Product uses as substitutes for ODS</w:t>
      </w:r>
      <w:r w:rsidRPr="00D9348B">
        <w:rPr>
          <w:rStyle w:val="FootnoteReference"/>
          <w:rFonts w:eastAsia="+mn-ea"/>
          <w:spacing w:val="-2"/>
        </w:rPr>
        <w:footnoteReference w:id="23"/>
      </w:r>
      <w:r w:rsidRPr="00D9348B">
        <w:rPr>
          <w:rFonts w:eastAsia="+mn-ea"/>
          <w:spacing w:val="-2"/>
        </w:rPr>
        <w:t xml:space="preserve"> and</w:t>
      </w:r>
      <w:r w:rsidRPr="00D9348B">
        <w:rPr>
          <w:i/>
        </w:rPr>
        <w:t xml:space="preserve"> Manufacturing industries and construction </w:t>
      </w:r>
      <w:r w:rsidRPr="00D9348B">
        <w:t>(especially the categories</w:t>
      </w:r>
      <w:r w:rsidRPr="00D9348B">
        <w:rPr>
          <w:i/>
        </w:rPr>
        <w:t xml:space="preserve"> Chemicals </w:t>
      </w:r>
      <w:r w:rsidRPr="00D9348B">
        <w:t xml:space="preserve">and </w:t>
      </w:r>
      <w:r w:rsidRPr="00D9348B">
        <w:rPr>
          <w:i/>
        </w:rPr>
        <w:t>Food processing, beverages and tobacco</w:t>
      </w:r>
      <w:r w:rsidRPr="00D9348B">
        <w:t>).</w:t>
      </w:r>
    </w:p>
    <w:p w14:paraId="6494C5B7" w14:textId="77777777" w:rsidR="00B7613B" w:rsidRPr="00D9348B" w:rsidRDefault="00B7613B" w:rsidP="000B51B1">
      <w:pPr>
        <w:pStyle w:val="Heading5"/>
        <w:spacing w:before="160"/>
      </w:pPr>
      <w:r w:rsidRPr="00D9348B">
        <w:t>2017–2018</w:t>
      </w:r>
    </w:p>
    <w:p w14:paraId="3A71EC00" w14:textId="0294737B" w:rsidR="00B7613B" w:rsidRPr="00D9348B" w:rsidRDefault="00B7613B" w:rsidP="00B7613B">
      <w:pPr>
        <w:pStyle w:val="BodyText"/>
        <w:spacing w:before="100" w:after="100"/>
        <w:rPr>
          <w:lang w:eastAsia="en-GB"/>
        </w:rPr>
      </w:pPr>
      <w:r w:rsidRPr="00D9348B">
        <w:t>New Zealand’s gross emissions between 2017 and 2018 decreased by 778.6</w:t>
      </w:r>
      <w:r w:rsidRPr="00D9348B" w:rsidDel="00221842">
        <w:t xml:space="preserve"> </w:t>
      </w:r>
      <w:r w:rsidRPr="00D9348B">
        <w:t>kt CO</w:t>
      </w:r>
      <w:r w:rsidRPr="00D9348B">
        <w:rPr>
          <w:vertAlign w:val="subscript"/>
        </w:rPr>
        <w:t>2</w:t>
      </w:r>
      <w:r w:rsidRPr="00D9348B">
        <w:t>-e (1.0 per</w:t>
      </w:r>
      <w:r w:rsidR="000B51B1" w:rsidRPr="00D9348B">
        <w:t> </w:t>
      </w:r>
      <w:r w:rsidRPr="00D9348B">
        <w:t>cent), which was mainly driven by a decrease in emissions from the Energy sector (1,058.4 kt CO</w:t>
      </w:r>
      <w:r w:rsidRPr="00D9348B">
        <w:rPr>
          <w:vertAlign w:val="subscript"/>
        </w:rPr>
        <w:t>2</w:t>
      </w:r>
      <w:r w:rsidRPr="00D9348B">
        <w:t>-e or 3.2 per cent). This was mainly</w:t>
      </w:r>
      <w:r w:rsidRPr="00D9348B">
        <w:rPr>
          <w:lang w:eastAsia="en-GB"/>
        </w:rPr>
        <w:t xml:space="preserve"> attributed to decreases in CO</w:t>
      </w:r>
      <w:r w:rsidRPr="00D9348B">
        <w:rPr>
          <w:vertAlign w:val="subscript"/>
          <w:lang w:eastAsia="en-GB"/>
        </w:rPr>
        <w:t>2</w:t>
      </w:r>
      <w:r w:rsidRPr="00D9348B">
        <w:rPr>
          <w:lang w:eastAsia="en-GB"/>
        </w:rPr>
        <w:t xml:space="preserve"> emissions from the </w:t>
      </w:r>
      <w:r w:rsidRPr="00D9348B">
        <w:rPr>
          <w:i/>
          <w:lang w:eastAsia="en-GB"/>
        </w:rPr>
        <w:t>Manufacturing industries and construction</w:t>
      </w:r>
      <w:r w:rsidRPr="00D9348B">
        <w:rPr>
          <w:lang w:eastAsia="en-GB"/>
        </w:rPr>
        <w:t xml:space="preserve"> category and the </w:t>
      </w:r>
      <w:r w:rsidRPr="00D9348B">
        <w:rPr>
          <w:i/>
          <w:lang w:eastAsia="en-GB"/>
        </w:rPr>
        <w:t>Public electricity and heat production</w:t>
      </w:r>
      <w:r w:rsidRPr="00D9348B">
        <w:rPr>
          <w:lang w:eastAsia="en-GB"/>
        </w:rPr>
        <w:t xml:space="preserve"> category. The decrease in emissions from </w:t>
      </w:r>
      <w:r w:rsidRPr="00D9348B">
        <w:rPr>
          <w:i/>
          <w:lang w:eastAsia="en-GB"/>
        </w:rPr>
        <w:t>Manufacturing industries and construction</w:t>
      </w:r>
      <w:r w:rsidRPr="00D9348B">
        <w:rPr>
          <w:lang w:eastAsia="en-GB"/>
        </w:rPr>
        <w:t xml:space="preserve"> was largely </w:t>
      </w:r>
      <w:r w:rsidRPr="00D9348B">
        <w:rPr>
          <w:iCs/>
          <w:lang w:eastAsia="en-GB"/>
        </w:rPr>
        <w:t xml:space="preserve">due to </w:t>
      </w:r>
      <w:r w:rsidRPr="00D9348B">
        <w:rPr>
          <w:lang w:eastAsia="en-GB"/>
        </w:rPr>
        <w:t>outages at the Pohokura natural gas field, which saw a 34</w:t>
      </w:r>
      <w:r w:rsidR="000B51B1" w:rsidRPr="00D9348B">
        <w:rPr>
          <w:lang w:eastAsia="en-GB"/>
        </w:rPr>
        <w:t> </w:t>
      </w:r>
      <w:r w:rsidRPr="00D9348B">
        <w:rPr>
          <w:lang w:eastAsia="en-GB"/>
        </w:rPr>
        <w:t>per</w:t>
      </w:r>
      <w:r w:rsidR="000B51B1" w:rsidRPr="00D9348B">
        <w:rPr>
          <w:lang w:eastAsia="en-GB"/>
        </w:rPr>
        <w:t> </w:t>
      </w:r>
      <w:r w:rsidRPr="00D9348B">
        <w:rPr>
          <w:lang w:eastAsia="en-GB"/>
        </w:rPr>
        <w:t>cent production drop between 2017 and 2018 levels.</w:t>
      </w:r>
      <w:r w:rsidRPr="00D9348B">
        <w:rPr>
          <w:rStyle w:val="FootnoteReference"/>
          <w:lang w:eastAsia="en-GB"/>
        </w:rPr>
        <w:footnoteReference w:id="24"/>
      </w:r>
      <w:r w:rsidRPr="00D9348B">
        <w:rPr>
          <w:lang w:eastAsia="en-GB"/>
        </w:rPr>
        <w:t xml:space="preserve"> The decrease in emissions from</w:t>
      </w:r>
      <w:r w:rsidR="00346E81" w:rsidRPr="00D9348B">
        <w:rPr>
          <w:lang w:eastAsia="en-GB"/>
        </w:rPr>
        <w:t> </w:t>
      </w:r>
      <w:r w:rsidRPr="00D9348B">
        <w:rPr>
          <w:lang w:eastAsia="en-GB"/>
        </w:rPr>
        <w:t xml:space="preserve">the </w:t>
      </w:r>
      <w:r w:rsidRPr="00D9348B">
        <w:rPr>
          <w:i/>
          <w:iCs/>
          <w:lang w:eastAsia="en-GB"/>
        </w:rPr>
        <w:t>Public electricity and heat production</w:t>
      </w:r>
      <w:r w:rsidRPr="00D9348B">
        <w:rPr>
          <w:lang w:eastAsia="en-GB"/>
        </w:rPr>
        <w:t xml:space="preserve"> category was primarily due to a decrease in natural gas-fired generation in response to higher levels of hydro generation</w:t>
      </w:r>
      <w:r w:rsidRPr="00D9348B">
        <w:rPr>
          <w:i/>
          <w:iCs/>
        </w:rPr>
        <w:t>.</w:t>
      </w:r>
    </w:p>
    <w:p w14:paraId="3F7792C4" w14:textId="77777777" w:rsidR="00B7613B" w:rsidRPr="00D9348B" w:rsidRDefault="00B7613B" w:rsidP="00B7613B">
      <w:pPr>
        <w:pStyle w:val="BodyText"/>
        <w:rPr>
          <w:lang w:eastAsia="en-GB"/>
        </w:rPr>
      </w:pPr>
      <w:r w:rsidRPr="00D9348B">
        <w:rPr>
          <w:lang w:eastAsia="en-GB"/>
        </w:rPr>
        <w:t>Emissions from the Agriculture, IPPU and Waste sectors did not show significant changes beyond small annual variations below 1 per cent.</w:t>
      </w:r>
    </w:p>
    <w:p w14:paraId="69465014" w14:textId="77777777" w:rsidR="00B7613B" w:rsidRPr="00D9348B" w:rsidRDefault="00B7613B" w:rsidP="00B7613B">
      <w:pPr>
        <w:pStyle w:val="BodyText"/>
      </w:pPr>
      <w:r w:rsidRPr="00D9348B">
        <w:t>Section 2.2 provides a more detailed summary of the sectoral emission trends.</w:t>
      </w:r>
    </w:p>
    <w:p w14:paraId="497AF82A" w14:textId="77777777" w:rsidR="00B7613B" w:rsidRPr="00D9348B" w:rsidRDefault="00B7613B" w:rsidP="00B7613B">
      <w:pPr>
        <w:pStyle w:val="Heading4"/>
      </w:pPr>
      <w:r w:rsidRPr="00D9348B">
        <w:lastRenderedPageBreak/>
        <w:t>Net emissions – reporting under the Convention</w:t>
      </w:r>
    </w:p>
    <w:p w14:paraId="0D8F487D" w14:textId="77777777" w:rsidR="00B7613B" w:rsidRPr="00D9348B" w:rsidRDefault="00B7613B" w:rsidP="00B7613B">
      <w:pPr>
        <w:pStyle w:val="BodyText"/>
      </w:pPr>
      <w:r w:rsidRPr="00D9348B">
        <w:t xml:space="preserve">Net emissions include emissions from the Energy, IPPU, Agriculture and Waste sectors (gross emissions), together with emissions and removals from the LULUCF sector. </w:t>
      </w:r>
    </w:p>
    <w:p w14:paraId="4CDCA619" w14:textId="77777777" w:rsidR="00B7613B" w:rsidRPr="00D9348B" w:rsidRDefault="00B7613B" w:rsidP="00B7613B">
      <w:pPr>
        <w:pStyle w:val="BodyText"/>
      </w:pPr>
      <w:r w:rsidRPr="00D9348B">
        <w:t>In 1990, New Zealand’s net GHG emissions were 35,293.9 kt CO</w:t>
      </w:r>
      <w:r w:rsidRPr="00D9348B">
        <w:rPr>
          <w:vertAlign w:val="subscript"/>
        </w:rPr>
        <w:t>2</w:t>
      </w:r>
      <w:r w:rsidRPr="00D9348B">
        <w:t>-e. Between 1990 and 2018, net GHG emissions increased by 20,174.3</w:t>
      </w:r>
      <w:r w:rsidRPr="00D9348B" w:rsidDel="00113096">
        <w:t xml:space="preserve"> </w:t>
      </w:r>
      <w:r w:rsidRPr="00D9348B">
        <w:t>kt CO</w:t>
      </w:r>
      <w:r w:rsidRPr="00D9348B">
        <w:rPr>
          <w:vertAlign w:val="subscript"/>
        </w:rPr>
        <w:t>2</w:t>
      </w:r>
      <w:r w:rsidRPr="00D9348B">
        <w:t>-e (57.2</w:t>
      </w:r>
      <w:r w:rsidRPr="00D9348B" w:rsidDel="00113096">
        <w:t xml:space="preserve"> </w:t>
      </w:r>
      <w:r w:rsidRPr="00D9348B">
        <w:t>per cent) to 55,468.2 kt CO</w:t>
      </w:r>
      <w:r w:rsidRPr="00D9348B">
        <w:rPr>
          <w:vertAlign w:val="subscript"/>
        </w:rPr>
        <w:t>2</w:t>
      </w:r>
      <w:r w:rsidRPr="00D9348B">
        <w:t xml:space="preserve">-e (figure 2.1.1). The four categories that contributed the most to the increase in net emissions between 1990 and 2018 were </w:t>
      </w:r>
      <w:proofErr w:type="gramStart"/>
      <w:r w:rsidRPr="00D9348B">
        <w:rPr>
          <w:i/>
        </w:rPr>
        <w:t>Enteric</w:t>
      </w:r>
      <w:proofErr w:type="gramEnd"/>
      <w:r w:rsidRPr="00D9348B">
        <w:rPr>
          <w:i/>
        </w:rPr>
        <w:t xml:space="preserve"> fermentation from dairy cattle</w:t>
      </w:r>
      <w:r w:rsidRPr="00D9348B">
        <w:t>,</w:t>
      </w:r>
      <w:r w:rsidRPr="00D9348B">
        <w:rPr>
          <w:i/>
        </w:rPr>
        <w:t xml:space="preserve"> Road transportation</w:t>
      </w:r>
      <w:r w:rsidRPr="00D9348B">
        <w:t>,</w:t>
      </w:r>
      <w:r w:rsidRPr="00D9348B">
        <w:rPr>
          <w:i/>
        </w:rPr>
        <w:t xml:space="preserve"> Land remaining forest land</w:t>
      </w:r>
      <w:r w:rsidRPr="00D9348B">
        <w:t xml:space="preserve"> and</w:t>
      </w:r>
      <w:r w:rsidRPr="00D9348B">
        <w:rPr>
          <w:i/>
        </w:rPr>
        <w:t xml:space="preserve"> Land converted to forest land</w:t>
      </w:r>
      <w:r w:rsidRPr="00D9348B">
        <w:t>.</w:t>
      </w:r>
    </w:p>
    <w:p w14:paraId="47DCD9E2" w14:textId="77777777" w:rsidR="00B7613B" w:rsidRPr="00D9348B" w:rsidRDefault="00B7613B" w:rsidP="00B7613B">
      <w:pPr>
        <w:pStyle w:val="Figure"/>
      </w:pPr>
      <w:bookmarkStart w:id="233" w:name="_Toc414531574"/>
      <w:bookmarkStart w:id="234" w:name="_Toc447275655"/>
      <w:bookmarkStart w:id="235" w:name="_Toc511116919"/>
      <w:bookmarkStart w:id="236" w:name="_Toc5269652"/>
      <w:bookmarkStart w:id="237" w:name="_Toc36292755"/>
      <w:r w:rsidRPr="00D9348B">
        <w:t>Figure 2.1.1</w:t>
      </w:r>
      <w:r w:rsidRPr="00D9348B">
        <w:tab/>
        <w:t>New Zealand’s gross and net emissions (under the Convention) from 1990 to</w:t>
      </w:r>
      <w:bookmarkEnd w:id="233"/>
      <w:r w:rsidRPr="00D9348B">
        <w:t> </w:t>
      </w:r>
      <w:bookmarkEnd w:id="234"/>
      <w:bookmarkEnd w:id="235"/>
      <w:r w:rsidRPr="00D9348B">
        <w:t>201</w:t>
      </w:r>
      <w:bookmarkEnd w:id="236"/>
      <w:r w:rsidRPr="00D9348B">
        <w:t>8</w:t>
      </w:r>
      <w:bookmarkEnd w:id="237"/>
      <w:r w:rsidRPr="00D9348B">
        <w:t xml:space="preserve"> </w:t>
      </w:r>
    </w:p>
    <w:p w14:paraId="7E9F93E8" w14:textId="3CC9BF5F" w:rsidR="00B7613B" w:rsidRPr="00D9348B" w:rsidRDefault="007165CF" w:rsidP="000B51B1">
      <w:pPr>
        <w:spacing w:after="60"/>
      </w:pPr>
      <w:r>
        <w:pict w14:anchorId="3D390C06">
          <v:shape id="_x0000_i1035" type="#_x0000_t75" style="width:418.85pt;height:208.5pt">
            <v:imagedata r:id="rId21" o:title="Figure 2" croptop="2749f" cropbottom="2720f" cropright="948f"/>
          </v:shape>
        </w:pict>
      </w:r>
    </w:p>
    <w:p w14:paraId="4AFA1F32" w14:textId="77777777" w:rsidR="00B7613B" w:rsidRPr="00D9348B" w:rsidRDefault="00B7613B" w:rsidP="00B7613B">
      <w:pPr>
        <w:pStyle w:val="Heading4"/>
      </w:pPr>
      <w:r w:rsidRPr="00D9348B">
        <w:t>Accounting for New Zealand’s 2020 target</w:t>
      </w:r>
    </w:p>
    <w:p w14:paraId="788B9B00" w14:textId="6AB1E6C7" w:rsidR="00B7613B" w:rsidRPr="00D9348B" w:rsidRDefault="00B7613B" w:rsidP="00B7613B">
      <w:pPr>
        <w:pStyle w:val="BodyText"/>
      </w:pPr>
      <w:r w:rsidRPr="00D9348B">
        <w:t>For the period 2013 to 2020, New Zealand has taken a quantified economy-wide emissions reduction target under the Convention to reduce emissions to 5 per cent below 1990 levels by</w:t>
      </w:r>
      <w:r w:rsidR="000B51B1" w:rsidRPr="00D9348B">
        <w:t> </w:t>
      </w:r>
      <w:r w:rsidRPr="00D9348B">
        <w:t>2020.</w:t>
      </w:r>
      <w:r w:rsidRPr="00D9348B">
        <w:rPr>
          <w:rStyle w:val="FootnoteReference"/>
        </w:rPr>
        <w:footnoteReference w:id="25"/>
      </w:r>
      <w:r w:rsidRPr="00D9348B">
        <w:t xml:space="preserve"> </w:t>
      </w:r>
    </w:p>
    <w:p w14:paraId="1EC6470A" w14:textId="6F7C4728" w:rsidR="00B7613B" w:rsidRPr="00D9348B" w:rsidRDefault="00B7613B" w:rsidP="00B7613B">
      <w:pPr>
        <w:pStyle w:val="BodyText"/>
      </w:pPr>
      <w:r w:rsidRPr="00D9348B">
        <w:t>New Zealand’s emissions budget for the period 2013 to 2020 is 509,774,982 tonnes CO</w:t>
      </w:r>
      <w:r w:rsidRPr="00D9348B">
        <w:rPr>
          <w:vertAlign w:val="subscript"/>
        </w:rPr>
        <w:t>2</w:t>
      </w:r>
      <w:r w:rsidRPr="00D9348B">
        <w:noBreakHyphen/>
        <w:t>e.</w:t>
      </w:r>
      <w:r w:rsidRPr="00D9348B">
        <w:rPr>
          <w:rStyle w:val="FootnoteReference"/>
        </w:rPr>
        <w:footnoteReference w:id="26"/>
      </w:r>
      <w:r w:rsidRPr="00D9348B">
        <w:t xml:space="preserve"> </w:t>
      </w:r>
      <w:r w:rsidRPr="00D9348B">
        <w:rPr>
          <w:spacing w:val="-2"/>
        </w:rPr>
        <w:t>This is based on the gross emissions data for 1990 included in New Zealand’s 2016 inventory submission (New Zealand’s Initial Report, Ministry for the Environment, 2016). It is calculated as the emissions New Zealand would have on a straight-line track from a 1990 level in 2010 (equal to gross emissions in 1990 from the Initial Report) to the target (i.e., the same amount multiplied</w:t>
      </w:r>
      <w:r w:rsidR="00346E81" w:rsidRPr="00D9348B">
        <w:rPr>
          <w:spacing w:val="-2"/>
        </w:rPr>
        <w:t> </w:t>
      </w:r>
      <w:r w:rsidRPr="00D9348B">
        <w:rPr>
          <w:spacing w:val="-2"/>
        </w:rPr>
        <w:t xml:space="preserve">by 0.95). </w:t>
      </w:r>
    </w:p>
    <w:p w14:paraId="379FFDCF" w14:textId="77777777" w:rsidR="00B7613B" w:rsidRPr="00D9348B" w:rsidRDefault="00B7613B" w:rsidP="00B7613B">
      <w:pPr>
        <w:pStyle w:val="BodyText"/>
      </w:pPr>
      <w:r w:rsidRPr="00D9348B">
        <w:t>To account for New Zealand’s 2020 target, annual gross emissions values from New Zealand’s final submission for the period (National Inventory Report submitted in 2022) will be summed for 2013 to 2020, and this will represent the quantity of gross emissions that New Zealand is responsible for.</w:t>
      </w:r>
    </w:p>
    <w:p w14:paraId="0FD8CA5D" w14:textId="77777777" w:rsidR="00B7613B" w:rsidRPr="00D9348B" w:rsidRDefault="00B7613B" w:rsidP="00B7613B">
      <w:pPr>
        <w:pStyle w:val="BodyText"/>
      </w:pPr>
      <w:r w:rsidRPr="00D9348B">
        <w:rPr>
          <w:spacing w:val="-2"/>
        </w:rPr>
        <w:lastRenderedPageBreak/>
        <w:t>For the period so far (2013 to 2018), New Zealand’s gross emissions sum to 473,874.9 kt CO</w:t>
      </w:r>
      <w:r w:rsidRPr="00D9348B">
        <w:rPr>
          <w:spacing w:val="-2"/>
          <w:vertAlign w:val="subscript"/>
        </w:rPr>
        <w:t>2</w:t>
      </w:r>
      <w:r w:rsidRPr="00D9348B">
        <w:rPr>
          <w:spacing w:val="-2"/>
        </w:rPr>
        <w:noBreakHyphen/>
        <w:t>e.</w:t>
      </w:r>
      <w:r w:rsidRPr="00D9348B">
        <w:t xml:space="preserve"> The contribution towards New Zealand’s target from LULUCF activities under the Kyoto Protocol is a net removal of 81,829.3 kt CO</w:t>
      </w:r>
      <w:r w:rsidRPr="00D9348B">
        <w:rPr>
          <w:vertAlign w:val="subscript"/>
        </w:rPr>
        <w:t>2</w:t>
      </w:r>
      <w:r w:rsidRPr="00D9348B">
        <w:t>-e. This comprises net removals of 107,090.2 kt CO</w:t>
      </w:r>
      <w:r w:rsidRPr="00D9348B">
        <w:rPr>
          <w:vertAlign w:val="subscript"/>
        </w:rPr>
        <w:t>2</w:t>
      </w:r>
      <w:r w:rsidRPr="00D9348B">
        <w:t xml:space="preserve">-e from </w:t>
      </w:r>
      <w:r w:rsidRPr="00D9348B">
        <w:rPr>
          <w:i/>
        </w:rPr>
        <w:t xml:space="preserve">Afforestation and reforestation </w:t>
      </w:r>
      <w:r w:rsidRPr="00D9348B">
        <w:t>less emissions of 24,607.0 kt CO</w:t>
      </w:r>
      <w:r w:rsidRPr="00D9348B">
        <w:rPr>
          <w:vertAlign w:val="subscript"/>
        </w:rPr>
        <w:t>2</w:t>
      </w:r>
      <w:r w:rsidRPr="00D9348B">
        <w:t xml:space="preserve">-e from </w:t>
      </w:r>
      <w:r w:rsidRPr="00D9348B">
        <w:rPr>
          <w:i/>
        </w:rPr>
        <w:t>Deforestation</w:t>
      </w:r>
      <w:r w:rsidRPr="00D9348B">
        <w:t xml:space="preserve"> (see section 2.3 for further detail). </w:t>
      </w:r>
    </w:p>
    <w:p w14:paraId="0AD8154D" w14:textId="77777777" w:rsidR="00B7613B" w:rsidRPr="00D9348B" w:rsidRDefault="00B7613B" w:rsidP="00B7613B">
      <w:pPr>
        <w:pStyle w:val="BodyText"/>
      </w:pPr>
      <w:r w:rsidRPr="00D9348B">
        <w:t xml:space="preserve">The accounting rules for the LULUCF activities reported under Article 3.3 and Article 3.4 of the Kyoto Protocol are explained in chapter 11. </w:t>
      </w:r>
      <w:bookmarkStart w:id="238" w:name="_Toc414531281"/>
      <w:bookmarkStart w:id="239" w:name="_Toc448321502"/>
    </w:p>
    <w:p w14:paraId="1EB5D157" w14:textId="77777777" w:rsidR="00B7613B" w:rsidRPr="00D9348B" w:rsidRDefault="00B7613B" w:rsidP="00B7613B">
      <w:pPr>
        <w:pStyle w:val="BodyText"/>
      </w:pPr>
      <w:r w:rsidRPr="00D9348B">
        <w:t>New Zealand tracks progress towards its 2020 target by regularly publishing a net position.</w:t>
      </w:r>
      <w:r w:rsidRPr="00D9348B">
        <w:rPr>
          <w:rStyle w:val="FootnoteReference"/>
        </w:rPr>
        <w:footnoteReference w:id="27"/>
      </w:r>
    </w:p>
    <w:p w14:paraId="402CAA15" w14:textId="77777777" w:rsidR="00B7613B" w:rsidRPr="00D9348B" w:rsidRDefault="00B7613B" w:rsidP="00B7613B">
      <w:pPr>
        <w:pStyle w:val="Heading2"/>
      </w:pPr>
      <w:bookmarkStart w:id="240" w:name="_Toc511116579"/>
      <w:bookmarkStart w:id="241" w:name="_Toc5269341"/>
      <w:bookmarkStart w:id="242" w:name="_Toc36224381"/>
      <w:r w:rsidRPr="00D9348B">
        <w:t>2.2</w:t>
      </w:r>
      <w:r w:rsidRPr="00D9348B">
        <w:tab/>
        <w:t xml:space="preserve">Emission trends by </w:t>
      </w:r>
      <w:bookmarkEnd w:id="238"/>
      <w:r w:rsidRPr="00D9348B">
        <w:t>sector</w:t>
      </w:r>
      <w:bookmarkEnd w:id="239"/>
      <w:bookmarkEnd w:id="240"/>
      <w:bookmarkEnd w:id="241"/>
      <w:bookmarkEnd w:id="242"/>
    </w:p>
    <w:p w14:paraId="0C85B94E" w14:textId="77777777" w:rsidR="00B7613B" w:rsidRPr="00D9348B" w:rsidRDefault="00B7613B" w:rsidP="00B7613B">
      <w:pPr>
        <w:pStyle w:val="BodyText"/>
      </w:pPr>
      <w:r w:rsidRPr="00D9348B">
        <w:t>As per the UNFCCC reporting guidelines, New Zealand reports emissions and removals for the following sectors: Energy, IPPU, Agriculture, LULUCF, and Waste. To this, New Zealand adds emissions from Tokelau, reported as New Zealand’s ‘Other’ sector.</w:t>
      </w:r>
    </w:p>
    <w:p w14:paraId="0122985E" w14:textId="77777777" w:rsidR="00B7613B" w:rsidRPr="00D9348B" w:rsidRDefault="00B7613B" w:rsidP="00B7613B">
      <w:pPr>
        <w:pStyle w:val="Heading3"/>
        <w:spacing w:before="240"/>
      </w:pPr>
      <w:r w:rsidRPr="00D9348B">
        <w:t>2.2.1</w:t>
      </w:r>
      <w:r w:rsidRPr="00D9348B">
        <w:tab/>
        <w:t>New Zealand’s emissions by sector and by gas in 2018</w:t>
      </w:r>
    </w:p>
    <w:p w14:paraId="273BF603" w14:textId="77777777" w:rsidR="00B7613B" w:rsidRPr="00D9348B" w:rsidRDefault="00B7613B" w:rsidP="00B7613B">
      <w:pPr>
        <w:pStyle w:val="BodyText"/>
      </w:pPr>
      <w:r w:rsidRPr="00D9348B">
        <w:t xml:space="preserve">New Zealand’s emissions by sector reflect the composition of the national economy. The Agriculture sector was the source of 47.8 per cent of New Zealand’s gross emissions in 2018. New Zealand’s Energy sector contributed 40.5 per cent to the national gross emissions, while the IPPU and Waste sectors contributed 6.5 per cent and 5.1 per cent respectively (figure 2.2.1). The Other sector (Tokelau) contributed 0.005 per cent to the national gross emissions. </w:t>
      </w:r>
      <w:r w:rsidRPr="00D9348B">
        <w:rPr>
          <w:spacing w:val="-2"/>
        </w:rPr>
        <w:t>The LULUCF sector currently represents a sink with a net removals value of –23,394.1 kt CO</w:t>
      </w:r>
      <w:r w:rsidRPr="00D9348B">
        <w:rPr>
          <w:spacing w:val="-2"/>
          <w:vertAlign w:val="subscript"/>
        </w:rPr>
        <w:t>2</w:t>
      </w:r>
      <w:r w:rsidRPr="00D9348B">
        <w:rPr>
          <w:spacing w:val="-2"/>
        </w:rPr>
        <w:noBreakHyphen/>
        <w:t>e</w:t>
      </w:r>
      <w:r w:rsidRPr="00D9348B">
        <w:t xml:space="preserve">. This offsets 29.7 per cent of New Zealand’s gross emissions. </w:t>
      </w:r>
    </w:p>
    <w:p w14:paraId="42599CD8" w14:textId="77777777" w:rsidR="00B7613B" w:rsidRPr="00D9348B" w:rsidRDefault="00B7613B" w:rsidP="00B7613B">
      <w:pPr>
        <w:pStyle w:val="Figure"/>
      </w:pPr>
      <w:bookmarkStart w:id="243" w:name="_Toc447275656"/>
      <w:bookmarkStart w:id="244" w:name="_Toc511116920"/>
      <w:bookmarkStart w:id="245" w:name="_Toc5269653"/>
      <w:bookmarkStart w:id="246" w:name="_Toc36292756"/>
      <w:r w:rsidRPr="00D9348B">
        <w:t>Figure 2.2.1</w:t>
      </w:r>
      <w:r w:rsidRPr="00D9348B">
        <w:tab/>
        <w:t xml:space="preserve">New Zealand’s emissions by sector in </w:t>
      </w:r>
      <w:bookmarkEnd w:id="243"/>
      <w:bookmarkEnd w:id="244"/>
      <w:r w:rsidRPr="00D9348B">
        <w:t>201</w:t>
      </w:r>
      <w:bookmarkEnd w:id="245"/>
      <w:r w:rsidRPr="00D9348B">
        <w:t>8</w:t>
      </w:r>
      <w:bookmarkEnd w:id="246"/>
    </w:p>
    <w:p w14:paraId="02E2E1F4" w14:textId="77777777" w:rsidR="00B7613B" w:rsidRPr="00D9348B" w:rsidRDefault="007165CF" w:rsidP="00B7613B">
      <w:r>
        <w:pict w14:anchorId="508F16EC">
          <v:shape id="_x0000_i1036" type="#_x0000_t75" style="width:424.5pt;height:174.05pt">
            <v:imagedata r:id="rId25" o:title="Figure 2"/>
          </v:shape>
        </w:pict>
      </w:r>
    </w:p>
    <w:p w14:paraId="5502F068" w14:textId="77777777" w:rsidR="00B7613B" w:rsidRPr="00D9348B" w:rsidRDefault="00B7613B" w:rsidP="00B7613B">
      <w:pPr>
        <w:pStyle w:val="Noteundertable"/>
      </w:pPr>
      <w:r w:rsidRPr="00D9348B">
        <w:rPr>
          <w:b/>
        </w:rPr>
        <w:t>Note:</w:t>
      </w:r>
      <w:r w:rsidRPr="00D9348B">
        <w:t xml:space="preserve"> </w:t>
      </w:r>
      <w:r w:rsidRPr="00D9348B">
        <w:tab/>
        <w:t>The percentages may not add up to 100 per cent due to rounding.</w:t>
      </w:r>
    </w:p>
    <w:p w14:paraId="6CCDAA69" w14:textId="77777777" w:rsidR="00B7613B" w:rsidRPr="00D9348B" w:rsidRDefault="00B7613B" w:rsidP="00B7613B">
      <w:pPr>
        <w:pStyle w:val="BodyText"/>
      </w:pPr>
      <w:r w:rsidRPr="00D9348B">
        <w:t xml:space="preserve">Each of the sectors is dominated by one or two GHGs. Figure 2.2.2 shows New Zealand’s gross emissions by gas. </w:t>
      </w:r>
    </w:p>
    <w:p w14:paraId="290F6CD1" w14:textId="77777777" w:rsidR="00B7613B" w:rsidRPr="00D9348B" w:rsidRDefault="00B7613B" w:rsidP="00800A33">
      <w:pPr>
        <w:pStyle w:val="Figure"/>
        <w:spacing w:after="80"/>
      </w:pPr>
      <w:bookmarkStart w:id="247" w:name="_Toc511116921"/>
      <w:bookmarkStart w:id="248" w:name="_Toc5269654"/>
      <w:bookmarkStart w:id="249" w:name="_Toc36292757"/>
      <w:r w:rsidRPr="00D9348B">
        <w:lastRenderedPageBreak/>
        <w:t>Figure 2.2.2</w:t>
      </w:r>
      <w:r w:rsidRPr="00D9348B">
        <w:tab/>
        <w:t xml:space="preserve">New Zealand’s gross emissions by gas in </w:t>
      </w:r>
      <w:bookmarkEnd w:id="247"/>
      <w:r w:rsidRPr="00D9348B">
        <w:t>2018</w:t>
      </w:r>
      <w:bookmarkEnd w:id="248"/>
      <w:bookmarkEnd w:id="249"/>
    </w:p>
    <w:p w14:paraId="4FCE4C57" w14:textId="21FE2DDE" w:rsidR="00B7613B" w:rsidRPr="00D9348B" w:rsidRDefault="007165CF" w:rsidP="00800A33">
      <w:pPr>
        <w:pStyle w:val="BodyText"/>
        <w:spacing w:before="0" w:after="80"/>
      </w:pPr>
      <w:r>
        <w:pict w14:anchorId="1C6F4649">
          <v:shape id="_x0000_i1037" type="#_x0000_t75" style="width:403.85pt;height:211.6pt">
            <v:imagedata r:id="rId22" o:title="Figure 2" croptop="2712f"/>
          </v:shape>
        </w:pict>
      </w:r>
    </w:p>
    <w:p w14:paraId="38538B36" w14:textId="77777777" w:rsidR="00B7613B" w:rsidRPr="00D9348B" w:rsidRDefault="00B7613B" w:rsidP="00800A33">
      <w:pPr>
        <w:pStyle w:val="Noteundertable"/>
        <w:spacing w:before="60"/>
      </w:pPr>
      <w:r w:rsidRPr="00D9348B">
        <w:rPr>
          <w:b/>
        </w:rPr>
        <w:t xml:space="preserve">Note: </w:t>
      </w:r>
      <w:r w:rsidRPr="00D9348B">
        <w:tab/>
        <w:t>CH</w:t>
      </w:r>
      <w:r w:rsidRPr="00D9348B">
        <w:rPr>
          <w:vertAlign w:val="subscript"/>
        </w:rPr>
        <w:t>4</w:t>
      </w:r>
      <w:r w:rsidRPr="00D9348B">
        <w:t xml:space="preserve"> = methane; CO</w:t>
      </w:r>
      <w:r w:rsidRPr="00D9348B">
        <w:rPr>
          <w:vertAlign w:val="subscript"/>
        </w:rPr>
        <w:t>2</w:t>
      </w:r>
      <w:r w:rsidRPr="00D9348B">
        <w:t xml:space="preserve"> = carbon dioxide; N</w:t>
      </w:r>
      <w:r w:rsidRPr="00D9348B">
        <w:rPr>
          <w:vertAlign w:val="subscript"/>
        </w:rPr>
        <w:t>2</w:t>
      </w:r>
      <w:r w:rsidRPr="00D9348B">
        <w:t>O = nitrous oxide. The percentages may not add up to 100 per cent due to rounding.</w:t>
      </w:r>
    </w:p>
    <w:p w14:paraId="781055C7" w14:textId="77777777" w:rsidR="00B7613B" w:rsidRPr="00D9348B" w:rsidRDefault="00B7613B" w:rsidP="00800A33">
      <w:pPr>
        <w:pStyle w:val="BodyText"/>
        <w:spacing w:before="80" w:after="100"/>
      </w:pPr>
      <w:r w:rsidRPr="00D9348B">
        <w:t>Carbon dioxide (CO</w:t>
      </w:r>
      <w:r w:rsidRPr="00D9348B">
        <w:rPr>
          <w:vertAlign w:val="subscript"/>
        </w:rPr>
        <w:t>2</w:t>
      </w:r>
      <w:r w:rsidRPr="00D9348B">
        <w:t>) contributes 44.5 per cent to New Zealand’s gross emissions (35,080.3 kt CO</w:t>
      </w:r>
      <w:r w:rsidRPr="00D9348B">
        <w:rPr>
          <w:vertAlign w:val="subscript"/>
        </w:rPr>
        <w:t>2</w:t>
      </w:r>
      <w:r w:rsidRPr="00D9348B">
        <w:t>) (figure 2.2.2). The Energy sector produces the largest amount of CO</w:t>
      </w:r>
      <w:r w:rsidRPr="00D9348B">
        <w:rPr>
          <w:vertAlign w:val="subscript"/>
        </w:rPr>
        <w:t>2</w:t>
      </w:r>
      <w:r w:rsidRPr="00D9348B">
        <w:t>, at 30,890.6 kt (88.1 per cent of New Zealand’s CO</w:t>
      </w:r>
      <w:r w:rsidRPr="00D9348B">
        <w:rPr>
          <w:vertAlign w:val="subscript"/>
        </w:rPr>
        <w:t xml:space="preserve">2 </w:t>
      </w:r>
      <w:r w:rsidRPr="00D9348B">
        <w:t>emissions in 2018). The categories contributing most to CO</w:t>
      </w:r>
      <w:r w:rsidRPr="00D9348B">
        <w:rPr>
          <w:vertAlign w:val="subscript"/>
        </w:rPr>
        <w:t>2</w:t>
      </w:r>
      <w:r w:rsidRPr="00D9348B">
        <w:t xml:space="preserve"> emissions in the Energy sector are </w:t>
      </w:r>
      <w:r w:rsidRPr="00D9348B">
        <w:rPr>
          <w:i/>
        </w:rPr>
        <w:t>Transport</w:t>
      </w:r>
      <w:r w:rsidRPr="00D9348B">
        <w:t xml:space="preserve"> (16,484.0 kt CO</w:t>
      </w:r>
      <w:r w:rsidRPr="00D9348B">
        <w:rPr>
          <w:vertAlign w:val="subscript"/>
        </w:rPr>
        <w:t>2</w:t>
      </w:r>
      <w:r w:rsidRPr="00D9348B">
        <w:t>, 47.0 per cent of New Zealand’s CO</w:t>
      </w:r>
      <w:r w:rsidRPr="00D9348B">
        <w:rPr>
          <w:vertAlign w:val="subscript"/>
        </w:rPr>
        <w:t xml:space="preserve">2 </w:t>
      </w:r>
      <w:r w:rsidRPr="00D9348B">
        <w:t xml:space="preserve">emissions) and </w:t>
      </w:r>
      <w:r w:rsidRPr="00D9348B">
        <w:rPr>
          <w:i/>
        </w:rPr>
        <w:t xml:space="preserve">Manufacturing industries and construction </w:t>
      </w:r>
      <w:r w:rsidRPr="00D9348B">
        <w:t>(6,280.0 kt CO</w:t>
      </w:r>
      <w:r w:rsidRPr="00D9348B">
        <w:rPr>
          <w:vertAlign w:val="subscript"/>
        </w:rPr>
        <w:t>2</w:t>
      </w:r>
      <w:r w:rsidRPr="00D9348B">
        <w:t>, 17.9 per cent of New Zealand’s CO</w:t>
      </w:r>
      <w:r w:rsidRPr="00D9348B">
        <w:rPr>
          <w:vertAlign w:val="subscript"/>
        </w:rPr>
        <w:t xml:space="preserve">2 </w:t>
      </w:r>
      <w:r w:rsidRPr="00D9348B">
        <w:t>emissions). In 2018, the LULUCF sector was a CO</w:t>
      </w:r>
      <w:r w:rsidRPr="00D9348B">
        <w:rPr>
          <w:vertAlign w:val="subscript"/>
        </w:rPr>
        <w:t>2</w:t>
      </w:r>
      <w:r w:rsidRPr="00D9348B">
        <w:t xml:space="preserve"> sink, sequestering 23,568.6 kt CO</w:t>
      </w:r>
      <w:r w:rsidRPr="00D9348B">
        <w:rPr>
          <w:vertAlign w:val="subscript"/>
        </w:rPr>
        <w:t>2</w:t>
      </w:r>
      <w:r w:rsidRPr="00D9348B">
        <w:t xml:space="preserve"> (67.2 per cent) of CO</w:t>
      </w:r>
      <w:r w:rsidRPr="00D9348B">
        <w:rPr>
          <w:vertAlign w:val="subscript"/>
        </w:rPr>
        <w:t>2</w:t>
      </w:r>
      <w:r w:rsidRPr="00D9348B">
        <w:t xml:space="preserve"> emissions. This resulted in net CO</w:t>
      </w:r>
      <w:r w:rsidRPr="00D9348B">
        <w:rPr>
          <w:vertAlign w:val="subscript"/>
        </w:rPr>
        <w:t>2</w:t>
      </w:r>
      <w:r w:rsidRPr="00D9348B">
        <w:t xml:space="preserve"> emissions of 11,511.7 kt in 2018.</w:t>
      </w:r>
    </w:p>
    <w:p w14:paraId="25B7B838" w14:textId="7A862A30" w:rsidR="00B7613B" w:rsidRPr="00D9348B" w:rsidRDefault="00B7613B" w:rsidP="00800A33">
      <w:pPr>
        <w:pStyle w:val="BodyText"/>
        <w:spacing w:before="100" w:after="100"/>
      </w:pPr>
      <w:r w:rsidRPr="00D9348B">
        <w:t>The amount of methane (CH</w:t>
      </w:r>
      <w:r w:rsidRPr="00D9348B">
        <w:rPr>
          <w:vertAlign w:val="subscript"/>
        </w:rPr>
        <w:t>4</w:t>
      </w:r>
      <w:r w:rsidRPr="00D9348B">
        <w:t>) emitted in New Zealand in 2018 (measured as CO</w:t>
      </w:r>
      <w:r w:rsidRPr="00D9348B">
        <w:rPr>
          <w:vertAlign w:val="subscript"/>
        </w:rPr>
        <w:t>2</w:t>
      </w:r>
      <w:r w:rsidRPr="00D9348B">
        <w:t>-e) is 43.5 per cent of gross emissions (34,286.2 kt CO</w:t>
      </w:r>
      <w:r w:rsidRPr="00D9348B">
        <w:rPr>
          <w:vertAlign w:val="subscript"/>
        </w:rPr>
        <w:t>2</w:t>
      </w:r>
      <w:r w:rsidRPr="00D9348B">
        <w:t>-e). Nitrous oxide (N</w:t>
      </w:r>
      <w:r w:rsidRPr="00D9348B">
        <w:rPr>
          <w:vertAlign w:val="subscript"/>
        </w:rPr>
        <w:t>2</w:t>
      </w:r>
      <w:r w:rsidRPr="00D9348B">
        <w:t>O), at 9.6 per cent (7,592.5 kt CO</w:t>
      </w:r>
      <w:r w:rsidRPr="00D9348B">
        <w:rPr>
          <w:vertAlign w:val="subscript"/>
        </w:rPr>
        <w:t>2</w:t>
      </w:r>
      <w:r w:rsidRPr="00D9348B">
        <w:noBreakHyphen/>
        <w:t>e), is the third-largest component of New Zealand’s gross emissions. The Agriculture sector produces the largest amounts of both CH</w:t>
      </w:r>
      <w:r w:rsidRPr="00D9348B">
        <w:rPr>
          <w:vertAlign w:val="subscript"/>
        </w:rPr>
        <w:t>4</w:t>
      </w:r>
      <w:r w:rsidRPr="00D9348B">
        <w:t xml:space="preserve"> and N</w:t>
      </w:r>
      <w:r w:rsidRPr="00D9348B">
        <w:rPr>
          <w:vertAlign w:val="subscript"/>
        </w:rPr>
        <w:t>2</w:t>
      </w:r>
      <w:r w:rsidRPr="00D9348B">
        <w:t>O. In 2018, the contributions of the Agriculture sector to national emissions of CH</w:t>
      </w:r>
      <w:r w:rsidRPr="00D9348B">
        <w:rPr>
          <w:vertAlign w:val="subscript"/>
        </w:rPr>
        <w:t>4</w:t>
      </w:r>
      <w:r w:rsidRPr="00D9348B">
        <w:t xml:space="preserve"> and N</w:t>
      </w:r>
      <w:r w:rsidRPr="00D9348B">
        <w:rPr>
          <w:vertAlign w:val="subscript"/>
        </w:rPr>
        <w:t>2</w:t>
      </w:r>
      <w:r w:rsidRPr="00D9348B">
        <w:t>O were 85.9 per cent and 94.2 per cent respectively. The major source of CH</w:t>
      </w:r>
      <w:r w:rsidRPr="00D9348B">
        <w:rPr>
          <w:vertAlign w:val="subscript"/>
        </w:rPr>
        <w:t>4</w:t>
      </w:r>
      <w:r w:rsidRPr="00D9348B">
        <w:t xml:space="preserve"> in the Agriculture sector is </w:t>
      </w:r>
      <w:proofErr w:type="gramStart"/>
      <w:r w:rsidRPr="00D9348B">
        <w:rPr>
          <w:i/>
        </w:rPr>
        <w:t>Enteric</w:t>
      </w:r>
      <w:proofErr w:type="gramEnd"/>
      <w:r w:rsidR="00800A33" w:rsidRPr="00D9348B">
        <w:rPr>
          <w:i/>
        </w:rPr>
        <w:t> </w:t>
      </w:r>
      <w:r w:rsidRPr="00D9348B">
        <w:rPr>
          <w:i/>
        </w:rPr>
        <w:t>fermentation</w:t>
      </w:r>
      <w:r w:rsidRPr="00D9348B">
        <w:t xml:space="preserve"> (27,939.0 kt CO</w:t>
      </w:r>
      <w:r w:rsidRPr="00D9348B">
        <w:rPr>
          <w:vertAlign w:val="subscript"/>
        </w:rPr>
        <w:t>2</w:t>
      </w:r>
      <w:r w:rsidRPr="00D9348B">
        <w:t>-e, 81.5 per cent of New Zealand’s gross CH</w:t>
      </w:r>
      <w:r w:rsidRPr="00D9348B">
        <w:rPr>
          <w:vertAlign w:val="subscript"/>
        </w:rPr>
        <w:t>4</w:t>
      </w:r>
      <w:r w:rsidRPr="00D9348B">
        <w:t xml:space="preserve"> emissions). Emissions from the </w:t>
      </w:r>
      <w:r w:rsidRPr="00D9348B">
        <w:rPr>
          <w:i/>
        </w:rPr>
        <w:t>Agricultural soils</w:t>
      </w:r>
      <w:r w:rsidRPr="00D9348B">
        <w:t xml:space="preserve"> category (from adding nitrogen to soil, for example, manure or fertiliser) are the largest source of gross N</w:t>
      </w:r>
      <w:r w:rsidRPr="00D9348B">
        <w:rPr>
          <w:vertAlign w:val="subscript"/>
        </w:rPr>
        <w:t>2</w:t>
      </w:r>
      <w:r w:rsidRPr="00D9348B">
        <w:t>O emissions (7,026.3 kt CO</w:t>
      </w:r>
      <w:r w:rsidRPr="00D9348B">
        <w:rPr>
          <w:vertAlign w:val="subscript"/>
        </w:rPr>
        <w:t>2</w:t>
      </w:r>
      <w:r w:rsidRPr="00D9348B">
        <w:noBreakHyphen/>
        <w:t>e, 92.5 per</w:t>
      </w:r>
      <w:r w:rsidR="00800A33" w:rsidRPr="00D9348B">
        <w:t> </w:t>
      </w:r>
      <w:r w:rsidRPr="00D9348B">
        <w:t>cent of national N</w:t>
      </w:r>
      <w:r w:rsidRPr="00D9348B">
        <w:rPr>
          <w:vertAlign w:val="subscript"/>
        </w:rPr>
        <w:t>2</w:t>
      </w:r>
      <w:r w:rsidRPr="00D9348B">
        <w:t xml:space="preserve">O emissions). </w:t>
      </w:r>
    </w:p>
    <w:p w14:paraId="1422F8D0" w14:textId="77777777" w:rsidR="00B7613B" w:rsidRPr="00D9348B" w:rsidRDefault="00B7613B" w:rsidP="00800A33">
      <w:pPr>
        <w:pStyle w:val="BodyText"/>
        <w:spacing w:before="100" w:after="100"/>
      </w:pPr>
      <w:r w:rsidRPr="00D9348B">
        <w:t>Methane is also the largest component of the Waste sector emissions, contributing 3,921.6 kt CO</w:t>
      </w:r>
      <w:r w:rsidRPr="00D9348B">
        <w:rPr>
          <w:vertAlign w:val="subscript"/>
        </w:rPr>
        <w:t>2</w:t>
      </w:r>
      <w:r w:rsidRPr="00D9348B">
        <w:noBreakHyphen/>
        <w:t>e, or 11.4 per cent, of gross CH</w:t>
      </w:r>
      <w:r w:rsidRPr="00D9348B">
        <w:rPr>
          <w:vertAlign w:val="subscript"/>
        </w:rPr>
        <w:t>4</w:t>
      </w:r>
      <w:r w:rsidRPr="00D9348B">
        <w:t xml:space="preserve"> emissions.</w:t>
      </w:r>
    </w:p>
    <w:p w14:paraId="1CB00D72" w14:textId="34BD6AE6" w:rsidR="00B7613B" w:rsidRPr="00D9348B" w:rsidRDefault="00B7613B" w:rsidP="00800A33">
      <w:pPr>
        <w:pStyle w:val="BodyText"/>
      </w:pPr>
      <w:r w:rsidRPr="00D9348B">
        <w:t>Fluorinated gases (hydrofluorocarbons (HFCs), perfluorocarbons (PFCs) and sulphur hexafluoride (SF</w:t>
      </w:r>
      <w:r w:rsidRPr="00D9348B">
        <w:rPr>
          <w:vertAlign w:val="subscript"/>
        </w:rPr>
        <w:t>6</w:t>
      </w:r>
      <w:r w:rsidRPr="00D9348B">
        <w:t>))</w:t>
      </w:r>
      <w:r w:rsidRPr="00D9348B">
        <w:rPr>
          <w:rStyle w:val="FootnoteReference"/>
        </w:rPr>
        <w:footnoteReference w:id="28"/>
      </w:r>
      <w:r w:rsidRPr="00D9348B">
        <w:t xml:space="preserve"> collectively contribute 2.4 per cent to New Zealand’s gross emissions. </w:t>
      </w:r>
      <w:r w:rsidRPr="00D9348B" w:rsidDel="009F0FCA">
        <w:t>The</w:t>
      </w:r>
      <w:r w:rsidR="00800A33" w:rsidRPr="00D9348B">
        <w:t> </w:t>
      </w:r>
      <w:r w:rsidRPr="00D9348B" w:rsidDel="009F0FCA">
        <w:t xml:space="preserve">IPPU sector is the only source of fluorinated gases in New Zealand. </w:t>
      </w:r>
      <w:r w:rsidRPr="00D9348B">
        <w:t>Taken together, the emissions of HFCs, PFCs and SF</w:t>
      </w:r>
      <w:r w:rsidRPr="00D9348B">
        <w:rPr>
          <w:vertAlign w:val="subscript"/>
        </w:rPr>
        <w:t xml:space="preserve">6 </w:t>
      </w:r>
      <w:r w:rsidRPr="00D9348B">
        <w:t>were 1,903.3 kt CO</w:t>
      </w:r>
      <w:r w:rsidRPr="00D9348B">
        <w:rPr>
          <w:vertAlign w:val="subscript"/>
        </w:rPr>
        <w:t>2</w:t>
      </w:r>
      <w:r w:rsidRPr="00D9348B">
        <w:t>-e in 2018. No manufacture of any of the</w:t>
      </w:r>
      <w:r w:rsidR="00800A33" w:rsidRPr="00D9348B">
        <w:t> </w:t>
      </w:r>
      <w:r w:rsidRPr="00D9348B">
        <w:t>fluorinated greenhouse gases occurs in New Zealand; they are all imported. Emissions of fluorinated gases are dominated by HFCs (95.4 per cent of all fluorinated gases). The PFCs and</w:t>
      </w:r>
      <w:r w:rsidR="00800A33" w:rsidRPr="00D9348B">
        <w:t> </w:t>
      </w:r>
      <w:r w:rsidRPr="00D9348B">
        <w:t>SF</w:t>
      </w:r>
      <w:r w:rsidRPr="00D9348B">
        <w:rPr>
          <w:vertAlign w:val="subscript"/>
        </w:rPr>
        <w:t>6</w:t>
      </w:r>
      <w:r w:rsidRPr="00D9348B">
        <w:t xml:space="preserve"> contribute 3.8 per cent and 0.8 per cent to total emissions of fluorinated gases respectively. Almost all PFCs (99.99 per cent) are released during aluminium production. </w:t>
      </w:r>
    </w:p>
    <w:p w14:paraId="290085A3" w14:textId="77777777" w:rsidR="00B7613B" w:rsidRPr="00D9348B" w:rsidRDefault="00B7613B" w:rsidP="00B7613B">
      <w:pPr>
        <w:pStyle w:val="Heading3"/>
        <w:spacing w:before="320"/>
      </w:pPr>
      <w:r w:rsidRPr="00D9348B">
        <w:lastRenderedPageBreak/>
        <w:t>2.2.2</w:t>
      </w:r>
      <w:r w:rsidRPr="00D9348B">
        <w:tab/>
        <w:t>Emission trends by sector from 1990 to 2018</w:t>
      </w:r>
    </w:p>
    <w:p w14:paraId="14139309" w14:textId="0FE83382" w:rsidR="00B7613B" w:rsidRPr="00D9348B" w:rsidRDefault="00B7613B" w:rsidP="00B7613B">
      <w:pPr>
        <w:pStyle w:val="BodyText"/>
      </w:pPr>
      <w:r w:rsidRPr="00D9348B">
        <w:t>Throughout the time series 1990 to 2018, the Agriculture and Energy sectors dominate New</w:t>
      </w:r>
      <w:r w:rsidR="00800A33" w:rsidRPr="00D9348B">
        <w:t> </w:t>
      </w:r>
      <w:r w:rsidRPr="00D9348B">
        <w:t>Zealand’s gross emissions, together producing almost 90 per cent of New Zealand’s gross</w:t>
      </w:r>
      <w:r w:rsidR="00800A33" w:rsidRPr="00D9348B">
        <w:t> </w:t>
      </w:r>
      <w:r w:rsidRPr="00D9348B">
        <w:t>GHG emissions from 1990 to 2018. The IPPU and Waste sectors show relatively small contributions of GHGs to total gross emissions from 1990 to 2018. The total amount of annual emissions from each of these sectors ranged between 4 per cent and 7 per cent for the entire time series. Figure 2.2.3 shows the proportion that each inventory sector contributed to New Zealand’s gross emissions as well as the proportion of the gross emissions offset by the LULUCF sector, which is a GHG sink, over the entire 1990</w:t>
      </w:r>
      <w:r w:rsidRPr="00D9348B">
        <w:rPr>
          <w:color w:val="000000"/>
        </w:rPr>
        <w:t xml:space="preserve"> to </w:t>
      </w:r>
      <w:r w:rsidRPr="00D9348B">
        <w:t>2018 period. Table 2.2.1 and figure 2.2.4 summarise the contribution of each sector to New Zealand’s emissions in 1990 and 2018 as well as the change in emissions by sector between those years.</w:t>
      </w:r>
    </w:p>
    <w:p w14:paraId="4DFC8B6C" w14:textId="77777777" w:rsidR="00B7613B" w:rsidRPr="00D9348B" w:rsidRDefault="00B7613B" w:rsidP="00B7613B">
      <w:pPr>
        <w:pStyle w:val="Figure"/>
      </w:pPr>
      <w:bookmarkStart w:id="250" w:name="_Toc447275658"/>
      <w:bookmarkStart w:id="251" w:name="_Toc511116922"/>
      <w:bookmarkStart w:id="252" w:name="_Toc5269655"/>
      <w:bookmarkStart w:id="253" w:name="_Toc36292758"/>
      <w:r w:rsidRPr="00D9348B">
        <w:t xml:space="preserve">Figure 2.2.3 </w:t>
      </w:r>
      <w:r w:rsidRPr="00D9348B">
        <w:tab/>
        <w:t>Percentage contribution by sector to New Zealand’s gross emissions from 1990 to </w:t>
      </w:r>
      <w:bookmarkEnd w:id="250"/>
      <w:bookmarkEnd w:id="251"/>
      <w:r w:rsidRPr="00D9348B">
        <w:t>201</w:t>
      </w:r>
      <w:bookmarkEnd w:id="252"/>
      <w:r w:rsidRPr="00D9348B">
        <w:t>8</w:t>
      </w:r>
      <w:bookmarkEnd w:id="253"/>
    </w:p>
    <w:p w14:paraId="6C7D8F30" w14:textId="26AAC2DA" w:rsidR="00B7613B" w:rsidRPr="00D9348B" w:rsidRDefault="007165CF" w:rsidP="00B7613B">
      <w:pPr>
        <w:spacing w:after="60"/>
      </w:pPr>
      <w:r>
        <w:pict w14:anchorId="73E81D3B">
          <v:shape id="_x0000_i1038" type="#_x0000_t75" style="width:418.85pt;height:261.7pt">
            <v:imagedata r:id="rId24" o:title="Figure 2"/>
          </v:shape>
        </w:pict>
      </w:r>
    </w:p>
    <w:p w14:paraId="27EB264A" w14:textId="77777777" w:rsidR="00B7613B" w:rsidRPr="00D9348B" w:rsidRDefault="00B7613B" w:rsidP="00B7613B">
      <w:pPr>
        <w:pStyle w:val="Noteundertable"/>
      </w:pPr>
      <w:r w:rsidRPr="00D9348B">
        <w:rPr>
          <w:b/>
        </w:rPr>
        <w:t>Note:</w:t>
      </w:r>
      <w:r w:rsidRPr="00D9348B">
        <w:t xml:space="preserve"> </w:t>
      </w:r>
      <w:r w:rsidRPr="00D9348B">
        <w:tab/>
        <w:t xml:space="preserve">Net removals from the LULUCF sector are as reported under the Convention (chapter 6). </w:t>
      </w:r>
    </w:p>
    <w:p w14:paraId="0328B67C" w14:textId="77777777" w:rsidR="00B7613B" w:rsidRPr="00D9348B" w:rsidRDefault="00B7613B" w:rsidP="00B7613B">
      <w:pPr>
        <w:pStyle w:val="Table"/>
      </w:pPr>
      <w:bookmarkStart w:id="254" w:name="_Toc511116707"/>
      <w:bookmarkStart w:id="255" w:name="_Toc5269442"/>
      <w:bookmarkStart w:id="256" w:name="_Toc36224519"/>
      <w:bookmarkStart w:id="257" w:name="_Toc447275659"/>
      <w:r w:rsidRPr="00D9348B">
        <w:t xml:space="preserve">Table 2.2.1 </w:t>
      </w:r>
      <w:r w:rsidRPr="00D9348B">
        <w:tab/>
        <w:t xml:space="preserve">New Zealand’s emissions by sector between 1990 and </w:t>
      </w:r>
      <w:bookmarkEnd w:id="254"/>
      <w:r w:rsidRPr="00D9348B">
        <w:t>201</w:t>
      </w:r>
      <w:bookmarkEnd w:id="255"/>
      <w:r w:rsidRPr="00D9348B">
        <w:t>8</w:t>
      </w:r>
      <w:bookmarkEnd w:id="256"/>
    </w:p>
    <w:tbl>
      <w:tblPr>
        <w:tblW w:w="8562" w:type="dxa"/>
        <w:tblInd w:w="108" w:type="dxa"/>
        <w:tblBorders>
          <w:bottom w:val="single" w:sz="8" w:space="0" w:color="365F91"/>
          <w:insideH w:val="single" w:sz="8" w:space="0" w:color="365F91"/>
        </w:tblBorders>
        <w:tblLayout w:type="fixed"/>
        <w:tblLook w:val="01E0" w:firstRow="1" w:lastRow="1" w:firstColumn="1" w:lastColumn="1" w:noHBand="0" w:noVBand="0"/>
      </w:tblPr>
      <w:tblGrid>
        <w:gridCol w:w="3995"/>
        <w:gridCol w:w="999"/>
        <w:gridCol w:w="999"/>
        <w:gridCol w:w="1285"/>
        <w:gridCol w:w="1284"/>
      </w:tblGrid>
      <w:tr w:rsidR="00B7613B" w:rsidRPr="00D9348B" w14:paraId="73657EDE" w14:textId="77777777" w:rsidTr="00DB330E">
        <w:trPr>
          <w:trHeight w:val="344"/>
        </w:trPr>
        <w:tc>
          <w:tcPr>
            <w:tcW w:w="3969" w:type="dxa"/>
            <w:vMerge w:val="restart"/>
            <w:tcBorders>
              <w:top w:val="single" w:sz="4" w:space="0" w:color="365F91"/>
              <w:left w:val="nil"/>
              <w:bottom w:val="nil"/>
              <w:right w:val="nil"/>
              <w:tl2br w:val="nil"/>
              <w:tr2bl w:val="nil"/>
            </w:tcBorders>
            <w:shd w:val="clear" w:color="auto" w:fill="365F91"/>
            <w:vAlign w:val="bottom"/>
          </w:tcPr>
          <w:p w14:paraId="4BED5F1B" w14:textId="77777777" w:rsidR="00B7613B" w:rsidRPr="00D9348B" w:rsidRDefault="00B7613B" w:rsidP="00DB330E">
            <w:pPr>
              <w:pStyle w:val="TableTextBold"/>
              <w:keepNext/>
              <w:spacing w:before="50" w:after="50"/>
              <w:rPr>
                <w:rFonts w:cs="Arial"/>
                <w:noProof w:val="0"/>
                <w:color w:val="FFFFFF"/>
              </w:rPr>
            </w:pPr>
            <w:r w:rsidRPr="00D9348B">
              <w:rPr>
                <w:rFonts w:cs="Arial"/>
                <w:noProof w:val="0"/>
                <w:color w:val="FFFFFF"/>
              </w:rPr>
              <w:t>Sector</w:t>
            </w:r>
          </w:p>
        </w:tc>
        <w:tc>
          <w:tcPr>
            <w:tcW w:w="1985" w:type="dxa"/>
            <w:gridSpan w:val="2"/>
            <w:tcBorders>
              <w:top w:val="single" w:sz="4" w:space="0" w:color="365F91"/>
              <w:left w:val="nil"/>
              <w:bottom w:val="nil"/>
              <w:right w:val="nil"/>
              <w:tl2br w:val="nil"/>
              <w:tr2bl w:val="nil"/>
            </w:tcBorders>
            <w:shd w:val="clear" w:color="auto" w:fill="365F91"/>
            <w:vAlign w:val="bottom"/>
          </w:tcPr>
          <w:p w14:paraId="6C666128" w14:textId="77777777" w:rsidR="00B7613B" w:rsidRPr="00D9348B" w:rsidRDefault="00B7613B" w:rsidP="00800A33">
            <w:pPr>
              <w:pStyle w:val="TableTextBold"/>
              <w:spacing w:before="50" w:after="0"/>
              <w:jc w:val="center"/>
              <w:rPr>
                <w:rFonts w:cs="Arial"/>
                <w:bCs/>
                <w:noProof w:val="0"/>
                <w:color w:val="FFFFFF"/>
              </w:rPr>
            </w:pPr>
            <w:r w:rsidRPr="00D9348B">
              <w:rPr>
                <w:rFonts w:cs="Arial"/>
                <w:bCs/>
                <w:noProof w:val="0"/>
                <w:color w:val="FFFFFF"/>
              </w:rPr>
              <w:t>kt CO</w:t>
            </w:r>
            <w:r w:rsidRPr="00D9348B">
              <w:rPr>
                <w:rFonts w:cs="Arial"/>
                <w:bCs/>
                <w:noProof w:val="0"/>
                <w:color w:val="FFFFFF"/>
                <w:vertAlign w:val="subscript"/>
              </w:rPr>
              <w:t>2</w:t>
            </w:r>
            <w:r w:rsidRPr="00D9348B">
              <w:rPr>
                <w:rFonts w:cs="Arial"/>
                <w:bCs/>
                <w:noProof w:val="0"/>
                <w:color w:val="FFFFFF"/>
              </w:rPr>
              <w:t>-equivalent</w:t>
            </w:r>
          </w:p>
        </w:tc>
        <w:tc>
          <w:tcPr>
            <w:tcW w:w="1276" w:type="dxa"/>
            <w:vMerge w:val="restart"/>
            <w:tcBorders>
              <w:top w:val="single" w:sz="4" w:space="0" w:color="365F91"/>
              <w:left w:val="nil"/>
              <w:bottom w:val="nil"/>
              <w:right w:val="nil"/>
              <w:tl2br w:val="nil"/>
              <w:tr2bl w:val="nil"/>
            </w:tcBorders>
            <w:shd w:val="clear" w:color="auto" w:fill="365F91"/>
            <w:vAlign w:val="bottom"/>
          </w:tcPr>
          <w:p w14:paraId="2EAA1DEA" w14:textId="77777777" w:rsidR="00B7613B" w:rsidRPr="00D9348B" w:rsidRDefault="00B7613B" w:rsidP="00DB330E">
            <w:pPr>
              <w:pStyle w:val="TableTextBold"/>
              <w:spacing w:before="50" w:after="50"/>
              <w:jc w:val="right"/>
              <w:rPr>
                <w:rFonts w:cs="Arial"/>
                <w:bCs/>
                <w:noProof w:val="0"/>
                <w:color w:val="FFFFFF"/>
              </w:rPr>
            </w:pPr>
            <w:r w:rsidRPr="00D9348B">
              <w:rPr>
                <w:rFonts w:cs="Arial"/>
                <w:bCs/>
                <w:noProof w:val="0"/>
                <w:color w:val="FFFFFF"/>
              </w:rPr>
              <w:t>Change from 1990 (kt CO</w:t>
            </w:r>
            <w:r w:rsidRPr="00D9348B">
              <w:rPr>
                <w:rFonts w:cs="Arial"/>
                <w:bCs/>
                <w:noProof w:val="0"/>
                <w:color w:val="FFFFFF"/>
                <w:vertAlign w:val="subscript"/>
              </w:rPr>
              <w:t>2</w:t>
            </w:r>
            <w:r w:rsidRPr="00D9348B">
              <w:rPr>
                <w:rFonts w:cs="Arial"/>
                <w:bCs/>
                <w:noProof w:val="0"/>
                <w:color w:val="FFFFFF"/>
              </w:rPr>
              <w:t>-equivalent)</w:t>
            </w:r>
          </w:p>
        </w:tc>
        <w:tc>
          <w:tcPr>
            <w:tcW w:w="1275" w:type="dxa"/>
            <w:vMerge w:val="restart"/>
            <w:tcBorders>
              <w:top w:val="single" w:sz="4" w:space="0" w:color="365F91"/>
              <w:left w:val="nil"/>
              <w:bottom w:val="nil"/>
              <w:right w:val="nil"/>
              <w:tl2br w:val="nil"/>
              <w:tr2bl w:val="nil"/>
            </w:tcBorders>
            <w:shd w:val="clear" w:color="auto" w:fill="365F91"/>
            <w:vAlign w:val="bottom"/>
          </w:tcPr>
          <w:p w14:paraId="4F4A6084" w14:textId="77777777" w:rsidR="00B7613B" w:rsidRPr="00D9348B" w:rsidRDefault="00B7613B" w:rsidP="00DB330E">
            <w:pPr>
              <w:pStyle w:val="TableTextBold"/>
              <w:spacing w:before="50" w:after="50"/>
              <w:jc w:val="right"/>
              <w:rPr>
                <w:rFonts w:cs="Arial"/>
                <w:bCs/>
                <w:noProof w:val="0"/>
                <w:color w:val="FFFFFF"/>
              </w:rPr>
            </w:pPr>
            <w:r w:rsidRPr="00D9348B">
              <w:rPr>
                <w:rFonts w:cs="Arial"/>
                <w:bCs/>
                <w:noProof w:val="0"/>
                <w:color w:val="FFFFFF"/>
              </w:rPr>
              <w:t>Change from 1990 (%)</w:t>
            </w:r>
          </w:p>
        </w:tc>
      </w:tr>
      <w:tr w:rsidR="00B7613B" w:rsidRPr="00D9348B" w14:paraId="6320366A" w14:textId="77777777" w:rsidTr="00DB330E">
        <w:tc>
          <w:tcPr>
            <w:tcW w:w="3969" w:type="dxa"/>
            <w:vMerge/>
            <w:tcBorders>
              <w:top w:val="nil"/>
              <w:bottom w:val="single" w:sz="4" w:space="0" w:color="365F91"/>
            </w:tcBorders>
            <w:shd w:val="clear" w:color="auto" w:fill="365F91"/>
            <w:vAlign w:val="bottom"/>
          </w:tcPr>
          <w:p w14:paraId="17C0FF77" w14:textId="77777777" w:rsidR="00B7613B" w:rsidRPr="00D9348B" w:rsidRDefault="00B7613B" w:rsidP="00DB330E">
            <w:pPr>
              <w:pStyle w:val="TableTextBold"/>
              <w:keepNext/>
              <w:spacing w:before="50" w:after="50"/>
              <w:jc w:val="center"/>
              <w:rPr>
                <w:noProof w:val="0"/>
                <w:color w:val="FFFFFF"/>
              </w:rPr>
            </w:pPr>
          </w:p>
        </w:tc>
        <w:tc>
          <w:tcPr>
            <w:tcW w:w="993" w:type="dxa"/>
            <w:tcBorders>
              <w:top w:val="nil"/>
              <w:bottom w:val="single" w:sz="4" w:space="0" w:color="365F91"/>
            </w:tcBorders>
            <w:shd w:val="clear" w:color="auto" w:fill="365F91"/>
            <w:vAlign w:val="bottom"/>
          </w:tcPr>
          <w:p w14:paraId="62153299" w14:textId="77777777" w:rsidR="00B7613B" w:rsidRPr="00D9348B" w:rsidRDefault="00B7613B" w:rsidP="00DB330E">
            <w:pPr>
              <w:pStyle w:val="TableTextBold"/>
              <w:spacing w:before="50" w:after="50"/>
              <w:jc w:val="right"/>
              <w:rPr>
                <w:noProof w:val="0"/>
                <w:color w:val="FFFFFF"/>
              </w:rPr>
            </w:pPr>
            <w:r w:rsidRPr="00D9348B">
              <w:rPr>
                <w:noProof w:val="0"/>
                <w:color w:val="FFFFFF"/>
              </w:rPr>
              <w:t>1990</w:t>
            </w:r>
          </w:p>
        </w:tc>
        <w:tc>
          <w:tcPr>
            <w:tcW w:w="992" w:type="dxa"/>
            <w:tcBorders>
              <w:top w:val="nil"/>
              <w:bottom w:val="single" w:sz="4" w:space="0" w:color="365F91"/>
            </w:tcBorders>
            <w:shd w:val="clear" w:color="auto" w:fill="365F91"/>
            <w:vAlign w:val="bottom"/>
          </w:tcPr>
          <w:p w14:paraId="62430487" w14:textId="77777777" w:rsidR="00B7613B" w:rsidRPr="00D9348B" w:rsidRDefault="00B7613B" w:rsidP="00DB330E">
            <w:pPr>
              <w:pStyle w:val="TableTextBold"/>
              <w:spacing w:before="50" w:after="50"/>
              <w:jc w:val="right"/>
              <w:rPr>
                <w:noProof w:val="0"/>
                <w:color w:val="FFFFFF"/>
              </w:rPr>
            </w:pPr>
            <w:r w:rsidRPr="00D9348B">
              <w:rPr>
                <w:noProof w:val="0"/>
                <w:color w:val="FFFFFF"/>
              </w:rPr>
              <w:t>2018</w:t>
            </w:r>
          </w:p>
        </w:tc>
        <w:tc>
          <w:tcPr>
            <w:tcW w:w="1276" w:type="dxa"/>
            <w:vMerge/>
            <w:tcBorders>
              <w:top w:val="nil"/>
              <w:bottom w:val="single" w:sz="4" w:space="0" w:color="365F91"/>
            </w:tcBorders>
            <w:shd w:val="clear" w:color="auto" w:fill="365F91"/>
            <w:vAlign w:val="bottom"/>
          </w:tcPr>
          <w:p w14:paraId="40118CEE" w14:textId="77777777" w:rsidR="00B7613B" w:rsidRPr="00D9348B" w:rsidRDefault="00B7613B" w:rsidP="00DB330E">
            <w:pPr>
              <w:pStyle w:val="TableTextBold"/>
              <w:spacing w:before="50" w:after="50"/>
              <w:jc w:val="right"/>
              <w:rPr>
                <w:noProof w:val="0"/>
                <w:color w:val="FFFFFF"/>
              </w:rPr>
            </w:pPr>
          </w:p>
        </w:tc>
        <w:tc>
          <w:tcPr>
            <w:tcW w:w="1275" w:type="dxa"/>
            <w:vMerge/>
            <w:tcBorders>
              <w:top w:val="nil"/>
              <w:bottom w:val="single" w:sz="4" w:space="0" w:color="365F91"/>
            </w:tcBorders>
            <w:shd w:val="clear" w:color="auto" w:fill="365F91"/>
            <w:vAlign w:val="bottom"/>
          </w:tcPr>
          <w:p w14:paraId="7C5850C9" w14:textId="77777777" w:rsidR="00B7613B" w:rsidRPr="00D9348B" w:rsidRDefault="00B7613B" w:rsidP="00DB330E">
            <w:pPr>
              <w:pStyle w:val="TableTextBold"/>
              <w:spacing w:before="50" w:after="50"/>
              <w:jc w:val="right"/>
              <w:rPr>
                <w:noProof w:val="0"/>
                <w:color w:val="FFFFFF"/>
              </w:rPr>
            </w:pPr>
          </w:p>
        </w:tc>
      </w:tr>
      <w:tr w:rsidR="00B7613B" w:rsidRPr="00D9348B" w14:paraId="6521468B" w14:textId="77777777" w:rsidTr="00DB330E">
        <w:tc>
          <w:tcPr>
            <w:tcW w:w="3969" w:type="dxa"/>
            <w:tcBorders>
              <w:top w:val="single" w:sz="4" w:space="0" w:color="365F91"/>
            </w:tcBorders>
            <w:shd w:val="clear" w:color="auto" w:fill="auto"/>
          </w:tcPr>
          <w:p w14:paraId="65D46309" w14:textId="77777777" w:rsidR="00B7613B" w:rsidRPr="00D9348B" w:rsidRDefault="00B7613B" w:rsidP="00DB330E">
            <w:pPr>
              <w:pStyle w:val="TableText"/>
              <w:keepNext/>
              <w:spacing w:before="50" w:after="50"/>
              <w:rPr>
                <w:b/>
                <w:color w:val="000000"/>
              </w:rPr>
            </w:pPr>
            <w:r w:rsidRPr="00D9348B">
              <w:rPr>
                <w:b/>
                <w:color w:val="000000"/>
              </w:rPr>
              <w:t>Energy</w:t>
            </w:r>
          </w:p>
        </w:tc>
        <w:tc>
          <w:tcPr>
            <w:tcW w:w="993" w:type="dxa"/>
            <w:tcBorders>
              <w:top w:val="single" w:sz="4" w:space="0" w:color="365F91"/>
            </w:tcBorders>
            <w:shd w:val="clear" w:color="auto" w:fill="auto"/>
          </w:tcPr>
          <w:p w14:paraId="1FE84B01" w14:textId="77777777" w:rsidR="00B7613B" w:rsidRPr="00D9348B" w:rsidRDefault="00B7613B" w:rsidP="00DB330E">
            <w:pPr>
              <w:pStyle w:val="TableText"/>
              <w:spacing w:before="50" w:after="50"/>
              <w:jc w:val="right"/>
              <w:rPr>
                <w:color w:val="000000"/>
              </w:rPr>
            </w:pPr>
            <w:r w:rsidRPr="00D9348B">
              <w:rPr>
                <w:color w:val="000000"/>
              </w:rPr>
              <w:t>23,778.3</w:t>
            </w:r>
          </w:p>
        </w:tc>
        <w:tc>
          <w:tcPr>
            <w:tcW w:w="992" w:type="dxa"/>
            <w:tcBorders>
              <w:top w:val="single" w:sz="4" w:space="0" w:color="365F91"/>
            </w:tcBorders>
            <w:shd w:val="clear" w:color="auto" w:fill="auto"/>
          </w:tcPr>
          <w:p w14:paraId="2D922D12" w14:textId="77777777" w:rsidR="00B7613B" w:rsidRPr="00D9348B" w:rsidRDefault="00B7613B" w:rsidP="00DB330E">
            <w:pPr>
              <w:pStyle w:val="TableText"/>
              <w:spacing w:before="50" w:after="50"/>
              <w:jc w:val="right"/>
              <w:rPr>
                <w:color w:val="000000"/>
              </w:rPr>
            </w:pPr>
            <w:r w:rsidRPr="00D9348B">
              <w:rPr>
                <w:color w:val="000000"/>
              </w:rPr>
              <w:t>31,946.2</w:t>
            </w:r>
          </w:p>
        </w:tc>
        <w:tc>
          <w:tcPr>
            <w:tcW w:w="1276" w:type="dxa"/>
            <w:tcBorders>
              <w:top w:val="single" w:sz="4" w:space="0" w:color="365F91"/>
            </w:tcBorders>
            <w:shd w:val="clear" w:color="auto" w:fill="auto"/>
          </w:tcPr>
          <w:p w14:paraId="5BD7DEDC" w14:textId="77777777" w:rsidR="00B7613B" w:rsidRPr="00D9348B" w:rsidRDefault="00B7613B" w:rsidP="00DB330E">
            <w:pPr>
              <w:pStyle w:val="TableText"/>
              <w:spacing w:before="50" w:after="50"/>
              <w:jc w:val="right"/>
              <w:rPr>
                <w:color w:val="000000"/>
              </w:rPr>
            </w:pPr>
            <w:r w:rsidRPr="00D9348B">
              <w:rPr>
                <w:color w:val="000000"/>
              </w:rPr>
              <w:t>8,167.8</w:t>
            </w:r>
          </w:p>
        </w:tc>
        <w:tc>
          <w:tcPr>
            <w:tcW w:w="1275" w:type="dxa"/>
            <w:tcBorders>
              <w:top w:val="single" w:sz="4" w:space="0" w:color="365F91"/>
            </w:tcBorders>
            <w:shd w:val="clear" w:color="auto" w:fill="auto"/>
          </w:tcPr>
          <w:p w14:paraId="038D772A" w14:textId="77777777" w:rsidR="00B7613B" w:rsidRPr="00D9348B" w:rsidRDefault="00B7613B" w:rsidP="00DB330E">
            <w:pPr>
              <w:pStyle w:val="TableText"/>
              <w:spacing w:before="50" w:after="50"/>
              <w:jc w:val="right"/>
              <w:rPr>
                <w:color w:val="000000"/>
              </w:rPr>
            </w:pPr>
            <w:r w:rsidRPr="00D9348B">
              <w:rPr>
                <w:color w:val="000000"/>
              </w:rPr>
              <w:t>34.3</w:t>
            </w:r>
          </w:p>
        </w:tc>
      </w:tr>
      <w:tr w:rsidR="00B7613B" w:rsidRPr="00D9348B" w14:paraId="1082C605" w14:textId="77777777" w:rsidTr="00DB330E">
        <w:tc>
          <w:tcPr>
            <w:tcW w:w="3969" w:type="dxa"/>
            <w:shd w:val="clear" w:color="auto" w:fill="auto"/>
          </w:tcPr>
          <w:p w14:paraId="489C3CDB" w14:textId="77777777" w:rsidR="00B7613B" w:rsidRPr="00D9348B" w:rsidRDefault="00B7613B" w:rsidP="00DB330E">
            <w:pPr>
              <w:pStyle w:val="TableText"/>
              <w:keepNext/>
              <w:spacing w:before="50" w:after="50"/>
              <w:rPr>
                <w:b/>
                <w:color w:val="000000"/>
              </w:rPr>
            </w:pPr>
            <w:r w:rsidRPr="00D9348B">
              <w:rPr>
                <w:b/>
                <w:color w:val="000000"/>
              </w:rPr>
              <w:t>Industrial processes and product use</w:t>
            </w:r>
          </w:p>
        </w:tc>
        <w:tc>
          <w:tcPr>
            <w:tcW w:w="993" w:type="dxa"/>
            <w:shd w:val="clear" w:color="auto" w:fill="auto"/>
            <w:vAlign w:val="bottom"/>
          </w:tcPr>
          <w:p w14:paraId="2CD768CA" w14:textId="77777777" w:rsidR="00B7613B" w:rsidRPr="00D9348B" w:rsidRDefault="00B7613B" w:rsidP="00DB330E">
            <w:pPr>
              <w:pStyle w:val="TableText"/>
              <w:spacing w:before="50" w:after="50"/>
              <w:jc w:val="right"/>
              <w:rPr>
                <w:color w:val="000000"/>
              </w:rPr>
            </w:pPr>
            <w:r w:rsidRPr="00D9348B">
              <w:rPr>
                <w:color w:val="000000"/>
              </w:rPr>
              <w:t>3,579.9</w:t>
            </w:r>
          </w:p>
        </w:tc>
        <w:tc>
          <w:tcPr>
            <w:tcW w:w="992" w:type="dxa"/>
            <w:shd w:val="clear" w:color="auto" w:fill="auto"/>
            <w:vAlign w:val="bottom"/>
          </w:tcPr>
          <w:p w14:paraId="5EDBCEF2" w14:textId="77777777" w:rsidR="00B7613B" w:rsidRPr="00D9348B" w:rsidRDefault="00B7613B" w:rsidP="00DB330E">
            <w:pPr>
              <w:pStyle w:val="TableText"/>
              <w:spacing w:before="50" w:after="50"/>
              <w:jc w:val="right"/>
              <w:rPr>
                <w:color w:val="000000"/>
              </w:rPr>
            </w:pPr>
            <w:r w:rsidRPr="00D9348B">
              <w:rPr>
                <w:color w:val="000000"/>
              </w:rPr>
              <w:t>5,158.1</w:t>
            </w:r>
          </w:p>
        </w:tc>
        <w:tc>
          <w:tcPr>
            <w:tcW w:w="1276" w:type="dxa"/>
            <w:shd w:val="clear" w:color="auto" w:fill="auto"/>
            <w:vAlign w:val="bottom"/>
          </w:tcPr>
          <w:p w14:paraId="319EF148" w14:textId="77777777" w:rsidR="00B7613B" w:rsidRPr="00D9348B" w:rsidRDefault="00B7613B" w:rsidP="00DB330E">
            <w:pPr>
              <w:pStyle w:val="TableText"/>
              <w:spacing w:before="50" w:after="50"/>
              <w:jc w:val="right"/>
              <w:rPr>
                <w:color w:val="000000"/>
              </w:rPr>
            </w:pPr>
            <w:r w:rsidRPr="00D9348B">
              <w:rPr>
                <w:color w:val="000000"/>
              </w:rPr>
              <w:t>1,578.3</w:t>
            </w:r>
          </w:p>
        </w:tc>
        <w:tc>
          <w:tcPr>
            <w:tcW w:w="1275" w:type="dxa"/>
            <w:shd w:val="clear" w:color="auto" w:fill="auto"/>
            <w:vAlign w:val="bottom"/>
          </w:tcPr>
          <w:p w14:paraId="399B290E" w14:textId="77777777" w:rsidR="00B7613B" w:rsidRPr="00D9348B" w:rsidRDefault="00B7613B" w:rsidP="00DB330E">
            <w:pPr>
              <w:pStyle w:val="TableText"/>
              <w:spacing w:before="50" w:after="50"/>
              <w:jc w:val="right"/>
              <w:rPr>
                <w:color w:val="000000"/>
              </w:rPr>
            </w:pPr>
            <w:r w:rsidRPr="00D9348B">
              <w:rPr>
                <w:color w:val="000000"/>
              </w:rPr>
              <w:t>44.1</w:t>
            </w:r>
          </w:p>
        </w:tc>
      </w:tr>
      <w:tr w:rsidR="00B7613B" w:rsidRPr="00D9348B" w14:paraId="39CC497A" w14:textId="77777777" w:rsidTr="00DB330E">
        <w:tc>
          <w:tcPr>
            <w:tcW w:w="3969" w:type="dxa"/>
            <w:shd w:val="clear" w:color="auto" w:fill="auto"/>
          </w:tcPr>
          <w:p w14:paraId="03F36FAF" w14:textId="77777777" w:rsidR="00B7613B" w:rsidRPr="00D9348B" w:rsidRDefault="00B7613B" w:rsidP="00DB330E">
            <w:pPr>
              <w:pStyle w:val="TableText"/>
              <w:keepNext/>
              <w:spacing w:before="50" w:after="50"/>
              <w:rPr>
                <w:b/>
                <w:color w:val="000000"/>
              </w:rPr>
            </w:pPr>
            <w:r w:rsidRPr="00D9348B">
              <w:rPr>
                <w:b/>
                <w:color w:val="000000"/>
              </w:rPr>
              <w:t>Agriculture</w:t>
            </w:r>
          </w:p>
        </w:tc>
        <w:tc>
          <w:tcPr>
            <w:tcW w:w="993" w:type="dxa"/>
            <w:shd w:val="clear" w:color="auto" w:fill="auto"/>
            <w:vAlign w:val="bottom"/>
          </w:tcPr>
          <w:p w14:paraId="2D103317" w14:textId="77777777" w:rsidR="00B7613B" w:rsidRPr="00D9348B" w:rsidRDefault="00B7613B" w:rsidP="00DB330E">
            <w:pPr>
              <w:pStyle w:val="TableText"/>
              <w:spacing w:before="50" w:after="50"/>
              <w:jc w:val="right"/>
              <w:rPr>
                <w:color w:val="000000"/>
              </w:rPr>
            </w:pPr>
            <w:r w:rsidRPr="00D9348B">
              <w:rPr>
                <w:color w:val="000000"/>
              </w:rPr>
              <w:t>32,182.0</w:t>
            </w:r>
          </w:p>
        </w:tc>
        <w:tc>
          <w:tcPr>
            <w:tcW w:w="992" w:type="dxa"/>
            <w:shd w:val="clear" w:color="auto" w:fill="auto"/>
            <w:vAlign w:val="bottom"/>
          </w:tcPr>
          <w:p w14:paraId="6184BAC4" w14:textId="77777777" w:rsidR="00B7613B" w:rsidRPr="00D9348B" w:rsidRDefault="00B7613B" w:rsidP="00DB330E">
            <w:pPr>
              <w:pStyle w:val="TableText"/>
              <w:spacing w:before="50" w:after="50"/>
              <w:jc w:val="right"/>
              <w:rPr>
                <w:color w:val="000000"/>
              </w:rPr>
            </w:pPr>
            <w:r w:rsidRPr="00D9348B">
              <w:rPr>
                <w:color w:val="000000"/>
              </w:rPr>
              <w:t>37,697.0</w:t>
            </w:r>
          </w:p>
        </w:tc>
        <w:tc>
          <w:tcPr>
            <w:tcW w:w="1276" w:type="dxa"/>
            <w:shd w:val="clear" w:color="auto" w:fill="auto"/>
            <w:vAlign w:val="bottom"/>
          </w:tcPr>
          <w:p w14:paraId="3BFDE0FF" w14:textId="77777777" w:rsidR="00B7613B" w:rsidRPr="00D9348B" w:rsidRDefault="00B7613B" w:rsidP="00DB330E">
            <w:pPr>
              <w:pStyle w:val="TableText"/>
              <w:spacing w:before="50" w:after="50"/>
              <w:jc w:val="right"/>
              <w:rPr>
                <w:color w:val="000000"/>
              </w:rPr>
            </w:pPr>
            <w:r w:rsidRPr="00D9348B">
              <w:rPr>
                <w:color w:val="000000"/>
              </w:rPr>
              <w:t>5,515.0</w:t>
            </w:r>
          </w:p>
        </w:tc>
        <w:tc>
          <w:tcPr>
            <w:tcW w:w="1275" w:type="dxa"/>
            <w:shd w:val="clear" w:color="auto" w:fill="auto"/>
            <w:vAlign w:val="bottom"/>
          </w:tcPr>
          <w:p w14:paraId="15AD70C7" w14:textId="77777777" w:rsidR="00B7613B" w:rsidRPr="00D9348B" w:rsidRDefault="00B7613B" w:rsidP="00DB330E">
            <w:pPr>
              <w:pStyle w:val="TableText"/>
              <w:spacing w:before="50" w:after="50"/>
              <w:jc w:val="right"/>
              <w:rPr>
                <w:color w:val="000000"/>
              </w:rPr>
            </w:pPr>
            <w:r w:rsidRPr="00D9348B">
              <w:rPr>
                <w:color w:val="000000"/>
              </w:rPr>
              <w:t>17.1</w:t>
            </w:r>
          </w:p>
        </w:tc>
      </w:tr>
      <w:tr w:rsidR="00B7613B" w:rsidRPr="00D9348B" w14:paraId="1A2480DA" w14:textId="77777777" w:rsidTr="00DB330E">
        <w:tc>
          <w:tcPr>
            <w:tcW w:w="3969" w:type="dxa"/>
            <w:shd w:val="clear" w:color="auto" w:fill="auto"/>
          </w:tcPr>
          <w:p w14:paraId="6D2B9639" w14:textId="77777777" w:rsidR="00B7613B" w:rsidRPr="00D9348B" w:rsidRDefault="00B7613B" w:rsidP="00DB330E">
            <w:pPr>
              <w:pStyle w:val="TableText"/>
              <w:spacing w:before="50" w:after="50"/>
              <w:rPr>
                <w:b/>
                <w:color w:val="000000"/>
              </w:rPr>
            </w:pPr>
            <w:r w:rsidRPr="00D9348B">
              <w:rPr>
                <w:b/>
                <w:color w:val="000000"/>
              </w:rPr>
              <w:t>Waste</w:t>
            </w:r>
          </w:p>
        </w:tc>
        <w:tc>
          <w:tcPr>
            <w:tcW w:w="993" w:type="dxa"/>
            <w:shd w:val="clear" w:color="auto" w:fill="auto"/>
            <w:vAlign w:val="bottom"/>
          </w:tcPr>
          <w:p w14:paraId="3C2EFECB" w14:textId="77777777" w:rsidR="00B7613B" w:rsidRPr="00D9348B" w:rsidRDefault="00B7613B" w:rsidP="00DB330E">
            <w:pPr>
              <w:pStyle w:val="TableText"/>
              <w:spacing w:before="50" w:after="50"/>
              <w:jc w:val="right"/>
              <w:rPr>
                <w:color w:val="000000"/>
              </w:rPr>
            </w:pPr>
            <w:r w:rsidRPr="00D9348B">
              <w:rPr>
                <w:color w:val="000000"/>
              </w:rPr>
              <w:t>4,047.6</w:t>
            </w:r>
          </w:p>
        </w:tc>
        <w:tc>
          <w:tcPr>
            <w:tcW w:w="992" w:type="dxa"/>
            <w:shd w:val="clear" w:color="auto" w:fill="auto"/>
            <w:vAlign w:val="bottom"/>
          </w:tcPr>
          <w:p w14:paraId="71F195C6" w14:textId="77777777" w:rsidR="00B7613B" w:rsidRPr="00D9348B" w:rsidRDefault="00B7613B" w:rsidP="00DB330E">
            <w:pPr>
              <w:pStyle w:val="TableText"/>
              <w:spacing w:before="50" w:after="50"/>
              <w:jc w:val="right"/>
              <w:rPr>
                <w:color w:val="000000"/>
              </w:rPr>
            </w:pPr>
            <w:r w:rsidRPr="00D9348B">
              <w:rPr>
                <w:color w:val="000000"/>
              </w:rPr>
              <w:t>4,057.4</w:t>
            </w:r>
          </w:p>
        </w:tc>
        <w:tc>
          <w:tcPr>
            <w:tcW w:w="1276" w:type="dxa"/>
            <w:shd w:val="clear" w:color="auto" w:fill="auto"/>
            <w:vAlign w:val="bottom"/>
          </w:tcPr>
          <w:p w14:paraId="5C0BB993" w14:textId="77777777" w:rsidR="00B7613B" w:rsidRPr="00D9348B" w:rsidRDefault="00B7613B" w:rsidP="00DB330E">
            <w:pPr>
              <w:pStyle w:val="TableText"/>
              <w:spacing w:before="50" w:after="50"/>
              <w:jc w:val="right"/>
              <w:rPr>
                <w:color w:val="000000"/>
              </w:rPr>
            </w:pPr>
            <w:r w:rsidRPr="00D9348B">
              <w:rPr>
                <w:color w:val="000000"/>
              </w:rPr>
              <w:t>9.8</w:t>
            </w:r>
          </w:p>
        </w:tc>
        <w:tc>
          <w:tcPr>
            <w:tcW w:w="1275" w:type="dxa"/>
            <w:shd w:val="clear" w:color="auto" w:fill="auto"/>
            <w:vAlign w:val="bottom"/>
          </w:tcPr>
          <w:p w14:paraId="48DB24ED" w14:textId="77777777" w:rsidR="00B7613B" w:rsidRPr="00D9348B" w:rsidRDefault="00B7613B" w:rsidP="00DB330E">
            <w:pPr>
              <w:pStyle w:val="TableText"/>
              <w:spacing w:before="50" w:after="50"/>
              <w:jc w:val="right"/>
              <w:rPr>
                <w:color w:val="000000"/>
              </w:rPr>
            </w:pPr>
            <w:r w:rsidRPr="00D9348B">
              <w:rPr>
                <w:color w:val="000000"/>
              </w:rPr>
              <w:t>0.2</w:t>
            </w:r>
          </w:p>
        </w:tc>
      </w:tr>
      <w:tr w:rsidR="00B7613B" w:rsidRPr="00D9348B" w14:paraId="74C6877E" w14:textId="77777777" w:rsidTr="00DB330E">
        <w:tc>
          <w:tcPr>
            <w:tcW w:w="3969" w:type="dxa"/>
            <w:shd w:val="clear" w:color="auto" w:fill="auto"/>
          </w:tcPr>
          <w:p w14:paraId="056FDC21" w14:textId="77777777" w:rsidR="00B7613B" w:rsidRPr="00D9348B" w:rsidRDefault="00B7613B" w:rsidP="00DB330E">
            <w:pPr>
              <w:pStyle w:val="TableText"/>
              <w:spacing w:before="50" w:after="50"/>
              <w:rPr>
                <w:b/>
                <w:color w:val="000000"/>
              </w:rPr>
            </w:pPr>
            <w:r w:rsidRPr="00D9348B">
              <w:rPr>
                <w:b/>
                <w:color w:val="000000"/>
              </w:rPr>
              <w:t>Other (Tokelau)</w:t>
            </w:r>
          </w:p>
        </w:tc>
        <w:tc>
          <w:tcPr>
            <w:tcW w:w="993" w:type="dxa"/>
            <w:shd w:val="clear" w:color="auto" w:fill="auto"/>
            <w:vAlign w:val="bottom"/>
          </w:tcPr>
          <w:p w14:paraId="2F5C828E" w14:textId="77777777" w:rsidR="00B7613B" w:rsidRPr="00D9348B" w:rsidRDefault="00B7613B" w:rsidP="00DB330E">
            <w:pPr>
              <w:pStyle w:val="TableText"/>
              <w:spacing w:before="50" w:after="50"/>
              <w:jc w:val="right"/>
              <w:rPr>
                <w:color w:val="000000"/>
              </w:rPr>
            </w:pPr>
            <w:r w:rsidRPr="00D9348B">
              <w:rPr>
                <w:color w:val="000000"/>
              </w:rPr>
              <w:t>3.17</w:t>
            </w:r>
          </w:p>
        </w:tc>
        <w:tc>
          <w:tcPr>
            <w:tcW w:w="992" w:type="dxa"/>
            <w:shd w:val="clear" w:color="auto" w:fill="auto"/>
            <w:vAlign w:val="bottom"/>
          </w:tcPr>
          <w:p w14:paraId="0B094DA4" w14:textId="77777777" w:rsidR="00B7613B" w:rsidRPr="00D9348B" w:rsidRDefault="00B7613B" w:rsidP="00DB330E">
            <w:pPr>
              <w:pStyle w:val="TableText"/>
              <w:spacing w:before="50" w:after="50"/>
              <w:jc w:val="right"/>
              <w:rPr>
                <w:color w:val="000000"/>
              </w:rPr>
            </w:pPr>
            <w:r w:rsidRPr="00D9348B">
              <w:rPr>
                <w:color w:val="000000"/>
              </w:rPr>
              <w:t>3.62</w:t>
            </w:r>
          </w:p>
        </w:tc>
        <w:tc>
          <w:tcPr>
            <w:tcW w:w="1276" w:type="dxa"/>
            <w:shd w:val="clear" w:color="auto" w:fill="auto"/>
            <w:vAlign w:val="bottom"/>
          </w:tcPr>
          <w:p w14:paraId="7EF44E10" w14:textId="77777777" w:rsidR="00B7613B" w:rsidRPr="00D9348B" w:rsidRDefault="00B7613B" w:rsidP="00DB330E">
            <w:pPr>
              <w:pStyle w:val="TableText"/>
              <w:spacing w:before="50" w:after="50"/>
              <w:jc w:val="right"/>
              <w:rPr>
                <w:color w:val="000000"/>
              </w:rPr>
            </w:pPr>
            <w:r w:rsidRPr="00D9348B">
              <w:rPr>
                <w:color w:val="000000"/>
              </w:rPr>
              <w:t>0.45</w:t>
            </w:r>
          </w:p>
        </w:tc>
        <w:tc>
          <w:tcPr>
            <w:tcW w:w="1275" w:type="dxa"/>
            <w:shd w:val="clear" w:color="auto" w:fill="auto"/>
            <w:vAlign w:val="bottom"/>
          </w:tcPr>
          <w:p w14:paraId="7D63B292" w14:textId="77777777" w:rsidR="00B7613B" w:rsidRPr="00D9348B" w:rsidRDefault="00B7613B" w:rsidP="00DB330E">
            <w:pPr>
              <w:pStyle w:val="TableText"/>
              <w:spacing w:before="50" w:after="50"/>
              <w:jc w:val="right"/>
              <w:rPr>
                <w:color w:val="000000"/>
              </w:rPr>
            </w:pPr>
            <w:r w:rsidRPr="00D9348B">
              <w:rPr>
                <w:color w:val="000000"/>
              </w:rPr>
              <w:t>14.2</w:t>
            </w:r>
          </w:p>
        </w:tc>
      </w:tr>
      <w:tr w:rsidR="00B7613B" w:rsidRPr="00D9348B" w14:paraId="6BD4E40E" w14:textId="77777777" w:rsidTr="00DB330E">
        <w:tc>
          <w:tcPr>
            <w:tcW w:w="3969" w:type="dxa"/>
            <w:shd w:val="clear" w:color="auto" w:fill="auto"/>
          </w:tcPr>
          <w:p w14:paraId="7F48E1BC" w14:textId="77777777" w:rsidR="00B7613B" w:rsidRPr="00D9348B" w:rsidRDefault="00B7613B" w:rsidP="00DB330E">
            <w:pPr>
              <w:pStyle w:val="TableText"/>
              <w:spacing w:before="50" w:after="50"/>
              <w:rPr>
                <w:b/>
                <w:color w:val="365F91"/>
              </w:rPr>
            </w:pPr>
            <w:r w:rsidRPr="00D9348B">
              <w:rPr>
                <w:b/>
                <w:color w:val="365F91"/>
              </w:rPr>
              <w:t>Gross (excluding LULUCF)</w:t>
            </w:r>
          </w:p>
        </w:tc>
        <w:tc>
          <w:tcPr>
            <w:tcW w:w="993" w:type="dxa"/>
            <w:shd w:val="clear" w:color="auto" w:fill="auto"/>
          </w:tcPr>
          <w:p w14:paraId="2A08D7F8" w14:textId="77777777" w:rsidR="00B7613B" w:rsidRPr="00D9348B" w:rsidRDefault="00B7613B" w:rsidP="00DB330E">
            <w:pPr>
              <w:pStyle w:val="TableText"/>
              <w:spacing w:before="50" w:after="50"/>
              <w:jc w:val="right"/>
              <w:rPr>
                <w:color w:val="000000"/>
              </w:rPr>
            </w:pPr>
            <w:r w:rsidRPr="00D9348B">
              <w:rPr>
                <w:b/>
                <w:color w:val="365F91"/>
              </w:rPr>
              <w:t>63,590.9</w:t>
            </w:r>
          </w:p>
        </w:tc>
        <w:tc>
          <w:tcPr>
            <w:tcW w:w="992" w:type="dxa"/>
            <w:shd w:val="clear" w:color="auto" w:fill="auto"/>
            <w:vAlign w:val="bottom"/>
          </w:tcPr>
          <w:p w14:paraId="30520383" w14:textId="77777777" w:rsidR="00B7613B" w:rsidRPr="00D9348B" w:rsidRDefault="00B7613B" w:rsidP="00DB330E">
            <w:pPr>
              <w:pStyle w:val="TableText"/>
              <w:spacing w:before="50" w:after="50"/>
              <w:jc w:val="right"/>
              <w:rPr>
                <w:b/>
                <w:color w:val="365F91"/>
              </w:rPr>
            </w:pPr>
            <w:r w:rsidRPr="00D9348B">
              <w:rPr>
                <w:b/>
                <w:color w:val="365F91"/>
              </w:rPr>
              <w:t>78,862.3</w:t>
            </w:r>
          </w:p>
        </w:tc>
        <w:tc>
          <w:tcPr>
            <w:tcW w:w="1276" w:type="dxa"/>
            <w:shd w:val="clear" w:color="auto" w:fill="auto"/>
            <w:vAlign w:val="bottom"/>
          </w:tcPr>
          <w:p w14:paraId="555D77D4" w14:textId="77777777" w:rsidR="00B7613B" w:rsidRPr="00D9348B" w:rsidRDefault="00B7613B" w:rsidP="00DB330E">
            <w:pPr>
              <w:pStyle w:val="TableText"/>
              <w:spacing w:before="50" w:after="50"/>
              <w:jc w:val="right"/>
              <w:rPr>
                <w:b/>
                <w:color w:val="365F91"/>
              </w:rPr>
            </w:pPr>
            <w:r w:rsidRPr="00D9348B">
              <w:rPr>
                <w:b/>
                <w:color w:val="365F91"/>
              </w:rPr>
              <w:t>15,271.4</w:t>
            </w:r>
          </w:p>
        </w:tc>
        <w:tc>
          <w:tcPr>
            <w:tcW w:w="1275" w:type="dxa"/>
            <w:shd w:val="clear" w:color="auto" w:fill="auto"/>
            <w:vAlign w:val="bottom"/>
          </w:tcPr>
          <w:p w14:paraId="7DCAE58A" w14:textId="77777777" w:rsidR="00B7613B" w:rsidRPr="00D9348B" w:rsidRDefault="00B7613B" w:rsidP="00DB330E">
            <w:pPr>
              <w:pStyle w:val="TableText"/>
              <w:spacing w:before="50" w:after="50"/>
              <w:jc w:val="right"/>
              <w:rPr>
                <w:b/>
                <w:color w:val="365F91"/>
              </w:rPr>
            </w:pPr>
            <w:r w:rsidRPr="00D9348B">
              <w:rPr>
                <w:b/>
                <w:color w:val="365F91"/>
              </w:rPr>
              <w:t>24.0</w:t>
            </w:r>
          </w:p>
        </w:tc>
      </w:tr>
      <w:tr w:rsidR="00B7613B" w:rsidRPr="00D9348B" w14:paraId="1A495E8F" w14:textId="77777777" w:rsidTr="00DB330E">
        <w:tc>
          <w:tcPr>
            <w:tcW w:w="3969" w:type="dxa"/>
            <w:shd w:val="clear" w:color="auto" w:fill="auto"/>
          </w:tcPr>
          <w:p w14:paraId="613DCFEA" w14:textId="77777777" w:rsidR="00B7613B" w:rsidRPr="00D9348B" w:rsidRDefault="00B7613B" w:rsidP="00DB330E">
            <w:pPr>
              <w:pStyle w:val="TableText"/>
              <w:spacing w:before="50" w:after="50"/>
              <w:rPr>
                <w:b/>
                <w:color w:val="000000"/>
              </w:rPr>
            </w:pPr>
            <w:r w:rsidRPr="00D9348B">
              <w:rPr>
                <w:b/>
                <w:color w:val="000000"/>
              </w:rPr>
              <w:t xml:space="preserve">LULUCF </w:t>
            </w:r>
          </w:p>
        </w:tc>
        <w:tc>
          <w:tcPr>
            <w:tcW w:w="993" w:type="dxa"/>
            <w:shd w:val="clear" w:color="auto" w:fill="auto"/>
          </w:tcPr>
          <w:p w14:paraId="1B5E3454" w14:textId="77777777" w:rsidR="00B7613B" w:rsidRPr="00D9348B" w:rsidRDefault="00B7613B" w:rsidP="00DB330E">
            <w:pPr>
              <w:pStyle w:val="TableText"/>
              <w:spacing w:before="50" w:after="50"/>
              <w:jc w:val="right"/>
              <w:rPr>
                <w:color w:val="000000"/>
              </w:rPr>
            </w:pPr>
            <w:r w:rsidRPr="00D9348B">
              <w:rPr>
                <w:color w:val="000000"/>
              </w:rPr>
              <w:t>–28,297.0</w:t>
            </w:r>
          </w:p>
        </w:tc>
        <w:tc>
          <w:tcPr>
            <w:tcW w:w="992" w:type="dxa"/>
            <w:shd w:val="clear" w:color="auto" w:fill="auto"/>
            <w:vAlign w:val="bottom"/>
          </w:tcPr>
          <w:p w14:paraId="080A38B6" w14:textId="77777777" w:rsidR="00B7613B" w:rsidRPr="00D9348B" w:rsidRDefault="00B7613B" w:rsidP="00DB330E">
            <w:pPr>
              <w:pStyle w:val="TableText"/>
              <w:spacing w:before="50" w:after="50"/>
              <w:jc w:val="right"/>
              <w:rPr>
                <w:color w:val="000000"/>
              </w:rPr>
            </w:pPr>
            <w:r w:rsidRPr="00D9348B">
              <w:rPr>
                <w:color w:val="000000"/>
              </w:rPr>
              <w:t>–23,394.1</w:t>
            </w:r>
          </w:p>
        </w:tc>
        <w:tc>
          <w:tcPr>
            <w:tcW w:w="1276" w:type="dxa"/>
            <w:shd w:val="clear" w:color="auto" w:fill="auto"/>
            <w:vAlign w:val="bottom"/>
          </w:tcPr>
          <w:p w14:paraId="0B2E4875" w14:textId="77777777" w:rsidR="00B7613B" w:rsidRPr="00D9348B" w:rsidRDefault="00B7613B" w:rsidP="00DB330E">
            <w:pPr>
              <w:pStyle w:val="TableText"/>
              <w:spacing w:before="50" w:after="50"/>
              <w:jc w:val="right"/>
              <w:rPr>
                <w:color w:val="000000"/>
              </w:rPr>
            </w:pPr>
            <w:r w:rsidRPr="00D9348B">
              <w:rPr>
                <w:color w:val="000000"/>
              </w:rPr>
              <w:t>4,903.0</w:t>
            </w:r>
          </w:p>
        </w:tc>
        <w:tc>
          <w:tcPr>
            <w:tcW w:w="1275" w:type="dxa"/>
            <w:shd w:val="clear" w:color="auto" w:fill="auto"/>
            <w:vAlign w:val="bottom"/>
          </w:tcPr>
          <w:p w14:paraId="099E55AC" w14:textId="77777777" w:rsidR="00B7613B" w:rsidRPr="00D9348B" w:rsidRDefault="00B7613B" w:rsidP="00DB330E">
            <w:pPr>
              <w:pStyle w:val="TableText"/>
              <w:spacing w:before="50" w:after="50"/>
              <w:jc w:val="right"/>
              <w:rPr>
                <w:color w:val="000000"/>
              </w:rPr>
            </w:pPr>
            <w:r w:rsidRPr="00D9348B">
              <w:rPr>
                <w:color w:val="000000"/>
              </w:rPr>
              <w:t>17.3</w:t>
            </w:r>
          </w:p>
        </w:tc>
      </w:tr>
      <w:tr w:rsidR="00B7613B" w:rsidRPr="00D9348B" w14:paraId="3496D1AF" w14:textId="77777777" w:rsidTr="00DB330E">
        <w:tc>
          <w:tcPr>
            <w:tcW w:w="3969" w:type="dxa"/>
            <w:shd w:val="clear" w:color="auto" w:fill="auto"/>
          </w:tcPr>
          <w:p w14:paraId="0BBD5AD6" w14:textId="77777777" w:rsidR="00B7613B" w:rsidRPr="00D9348B" w:rsidRDefault="00B7613B" w:rsidP="00DB330E">
            <w:pPr>
              <w:pStyle w:val="TableText"/>
              <w:spacing w:before="50" w:after="50"/>
              <w:rPr>
                <w:b/>
                <w:color w:val="365F91"/>
              </w:rPr>
            </w:pPr>
            <w:r w:rsidRPr="00D9348B">
              <w:rPr>
                <w:b/>
                <w:color w:val="365F91"/>
              </w:rPr>
              <w:t>Net (including LULUCF)</w:t>
            </w:r>
          </w:p>
        </w:tc>
        <w:tc>
          <w:tcPr>
            <w:tcW w:w="993" w:type="dxa"/>
            <w:shd w:val="clear" w:color="auto" w:fill="auto"/>
            <w:vAlign w:val="center"/>
          </w:tcPr>
          <w:p w14:paraId="7A5270C5" w14:textId="77777777" w:rsidR="00B7613B" w:rsidRPr="00D9348B" w:rsidRDefault="00B7613B" w:rsidP="00DB330E">
            <w:pPr>
              <w:pStyle w:val="TableText"/>
              <w:spacing w:before="50" w:after="50"/>
              <w:jc w:val="right"/>
              <w:rPr>
                <w:color w:val="000000"/>
              </w:rPr>
            </w:pPr>
            <w:r w:rsidRPr="00D9348B">
              <w:rPr>
                <w:b/>
                <w:color w:val="365F91"/>
              </w:rPr>
              <w:t>35,293.9</w:t>
            </w:r>
          </w:p>
        </w:tc>
        <w:tc>
          <w:tcPr>
            <w:tcW w:w="992" w:type="dxa"/>
            <w:shd w:val="clear" w:color="auto" w:fill="auto"/>
            <w:vAlign w:val="center"/>
          </w:tcPr>
          <w:p w14:paraId="47BD3C23" w14:textId="77777777" w:rsidR="00B7613B" w:rsidRPr="00D9348B" w:rsidRDefault="00B7613B" w:rsidP="00DB330E">
            <w:pPr>
              <w:pStyle w:val="TableText"/>
              <w:spacing w:before="50" w:after="50"/>
              <w:jc w:val="right"/>
              <w:rPr>
                <w:b/>
                <w:color w:val="365F91"/>
              </w:rPr>
            </w:pPr>
            <w:r w:rsidRPr="00D9348B">
              <w:rPr>
                <w:b/>
                <w:color w:val="365F91"/>
              </w:rPr>
              <w:t>55,468.2</w:t>
            </w:r>
          </w:p>
        </w:tc>
        <w:tc>
          <w:tcPr>
            <w:tcW w:w="1276" w:type="dxa"/>
            <w:shd w:val="clear" w:color="auto" w:fill="auto"/>
            <w:vAlign w:val="center"/>
          </w:tcPr>
          <w:p w14:paraId="41B8ED3F" w14:textId="77777777" w:rsidR="00B7613B" w:rsidRPr="00D9348B" w:rsidRDefault="00B7613B" w:rsidP="00DB330E">
            <w:pPr>
              <w:pStyle w:val="TableText"/>
              <w:spacing w:before="50" w:after="50"/>
              <w:jc w:val="right"/>
              <w:rPr>
                <w:b/>
                <w:color w:val="365F91"/>
              </w:rPr>
            </w:pPr>
            <w:r w:rsidRPr="00D9348B">
              <w:rPr>
                <w:b/>
                <w:color w:val="365F91"/>
              </w:rPr>
              <w:t>20,174.3</w:t>
            </w:r>
          </w:p>
        </w:tc>
        <w:tc>
          <w:tcPr>
            <w:tcW w:w="1275" w:type="dxa"/>
            <w:shd w:val="clear" w:color="auto" w:fill="auto"/>
            <w:vAlign w:val="center"/>
          </w:tcPr>
          <w:p w14:paraId="6E725E41" w14:textId="77777777" w:rsidR="00B7613B" w:rsidRPr="00D9348B" w:rsidRDefault="00B7613B" w:rsidP="00DB330E">
            <w:pPr>
              <w:pStyle w:val="TableText"/>
              <w:spacing w:before="50" w:after="50"/>
              <w:jc w:val="right"/>
              <w:rPr>
                <w:b/>
                <w:color w:val="365F91"/>
              </w:rPr>
            </w:pPr>
            <w:r w:rsidRPr="00D9348B">
              <w:rPr>
                <w:b/>
                <w:color w:val="365F91"/>
              </w:rPr>
              <w:t>57.2</w:t>
            </w:r>
          </w:p>
        </w:tc>
      </w:tr>
    </w:tbl>
    <w:p w14:paraId="18F6F9F9" w14:textId="77777777" w:rsidR="00B7613B" w:rsidRPr="00D9348B" w:rsidRDefault="00B7613B" w:rsidP="00B7613B">
      <w:pPr>
        <w:pStyle w:val="Noteundertable"/>
      </w:pPr>
      <w:r w:rsidRPr="00D9348B">
        <w:rPr>
          <w:b/>
        </w:rPr>
        <w:t>Note:</w:t>
      </w:r>
      <w:r w:rsidRPr="00D9348B">
        <w:t xml:space="preserve"> </w:t>
      </w:r>
      <w:r w:rsidRPr="00D9348B">
        <w:tab/>
        <w:t>Net emissions from the LULUCF sector are as reported under the Convention (chapter 6). Columns may not sum due to rounding. Percentages presented are calculated from unrounded values.</w:t>
      </w:r>
    </w:p>
    <w:p w14:paraId="55E07F4D" w14:textId="77777777" w:rsidR="00B7613B" w:rsidRPr="00D9348B" w:rsidRDefault="00B7613B" w:rsidP="00B7613B">
      <w:pPr>
        <w:pStyle w:val="Figure"/>
      </w:pPr>
      <w:bookmarkStart w:id="258" w:name="_Toc511116923"/>
      <w:bookmarkStart w:id="259" w:name="_Toc5269656"/>
      <w:bookmarkStart w:id="260" w:name="_Toc36292759"/>
      <w:r w:rsidRPr="00D9348B">
        <w:lastRenderedPageBreak/>
        <w:t>Figure 2.2.4</w:t>
      </w:r>
      <w:r w:rsidRPr="00D9348B">
        <w:tab/>
        <w:t>Change in New Zealand’s emissions by sector comparing 1990 and </w:t>
      </w:r>
      <w:bookmarkEnd w:id="257"/>
      <w:bookmarkEnd w:id="258"/>
      <w:r w:rsidRPr="00D9348B">
        <w:t>201</w:t>
      </w:r>
      <w:bookmarkEnd w:id="259"/>
      <w:r w:rsidRPr="00D9348B">
        <w:t>8</w:t>
      </w:r>
      <w:bookmarkEnd w:id="260"/>
    </w:p>
    <w:p w14:paraId="20808F81" w14:textId="77777777" w:rsidR="00B7613B" w:rsidRPr="00D9348B" w:rsidRDefault="007165CF" w:rsidP="00B7613B">
      <w:pPr>
        <w:spacing w:before="120" w:after="120"/>
      </w:pPr>
      <w:r>
        <w:pict w14:anchorId="2AB661E9">
          <v:shape id="_x0000_i1039" type="#_x0000_t75" style="width:424.5pt;height:293pt">
            <v:imagedata r:id="rId26" o:title="Figure 2"/>
          </v:shape>
        </w:pict>
      </w:r>
    </w:p>
    <w:p w14:paraId="7F0E1C3B" w14:textId="77777777" w:rsidR="00B7613B" w:rsidRPr="00D9348B" w:rsidRDefault="00B7613B" w:rsidP="00B7613B">
      <w:pPr>
        <w:pStyle w:val="BodyText"/>
        <w:spacing w:before="0"/>
      </w:pPr>
      <w:r w:rsidRPr="00D9348B">
        <w:t xml:space="preserve">Figure 2.2.5 presents the absolute change in gross emissions for each sector (LULUCF is excluded from the estimate of gross emissions). The figure shows that the absolute changes in New Zealand’s gross emissions were mostly influenced by changes in the Agriculture and Energy sectors. This is to be expected because they are the largest sectors of the New Zealand economy and show higher sensitivity to both changes in global economic conditions, extreme weather conditions and natural disasters. For example, during droughts, the level of inflow to hydro lakes is low resulting in electricity production from fossil fuels making a higher contribution to the national electricity grid resulting in increased emissions from the Energy sector. Droughts also affect the size of animal population and soil productivity, which usually result in reduced emissions from the Agriculture sector. </w:t>
      </w:r>
    </w:p>
    <w:p w14:paraId="5B5DF180" w14:textId="77777777" w:rsidR="00B7613B" w:rsidRPr="00D9348B" w:rsidRDefault="00B7613B" w:rsidP="00B7613B">
      <w:pPr>
        <w:pStyle w:val="BodyText"/>
      </w:pPr>
      <w:r w:rsidRPr="00D9348B">
        <w:t xml:space="preserve">The figure also shows an increase in emissions from Tokelau, which is mainly due to ongoing increases in emissions from </w:t>
      </w:r>
      <w:r w:rsidRPr="00D9348B">
        <w:rPr>
          <w:i/>
        </w:rPr>
        <w:t>Domestic navigation</w:t>
      </w:r>
      <w:r w:rsidRPr="00D9348B">
        <w:t xml:space="preserve">. </w:t>
      </w:r>
    </w:p>
    <w:p w14:paraId="3E06B542" w14:textId="77777777" w:rsidR="00B7613B" w:rsidRPr="00D9348B" w:rsidRDefault="00B7613B" w:rsidP="00B7613B">
      <w:pPr>
        <w:pStyle w:val="Figure"/>
        <w:spacing w:after="0"/>
      </w:pPr>
      <w:bookmarkStart w:id="261" w:name="_Toc447275660"/>
      <w:bookmarkStart w:id="262" w:name="_Toc511116924"/>
      <w:bookmarkStart w:id="263" w:name="_Toc5269657"/>
      <w:bookmarkStart w:id="264" w:name="_Toc36292760"/>
      <w:r w:rsidRPr="00D9348B">
        <w:lastRenderedPageBreak/>
        <w:t>Figure 2.2.5</w:t>
      </w:r>
      <w:r w:rsidRPr="00D9348B">
        <w:tab/>
        <w:t>Absolute change in New Zealand’s gross emissions by sector from 1990 to </w:t>
      </w:r>
      <w:bookmarkEnd w:id="261"/>
      <w:bookmarkEnd w:id="262"/>
      <w:r w:rsidRPr="00D9348B">
        <w:t>201</w:t>
      </w:r>
      <w:bookmarkEnd w:id="263"/>
      <w:r w:rsidRPr="00D9348B">
        <w:t>8</w:t>
      </w:r>
      <w:bookmarkEnd w:id="264"/>
    </w:p>
    <w:p w14:paraId="22648530" w14:textId="5FF572A0" w:rsidR="00B7613B" w:rsidRPr="00D9348B" w:rsidRDefault="007165CF" w:rsidP="00B7613B">
      <w:r>
        <w:pict w14:anchorId="31D6FCB0">
          <v:shape id="_x0000_i1040" type="#_x0000_t75" style="width:417.6pt;height:235.4pt">
            <v:imagedata r:id="rId51" o:title="Figure 2" cropbottom="1630f"/>
          </v:shape>
        </w:pict>
      </w:r>
    </w:p>
    <w:p w14:paraId="05563E9C" w14:textId="77777777" w:rsidR="00B7613B" w:rsidRPr="00D9348B" w:rsidRDefault="00B7613B" w:rsidP="00B7613B">
      <w:pPr>
        <w:pStyle w:val="Noteundertable"/>
        <w:widowControl w:val="0"/>
      </w:pPr>
      <w:r w:rsidRPr="00D9348B">
        <w:rPr>
          <w:b/>
        </w:rPr>
        <w:t>Note:</w:t>
      </w:r>
      <w:r w:rsidRPr="00D9348B">
        <w:t xml:space="preserve"> </w:t>
      </w:r>
      <w:r w:rsidRPr="00D9348B">
        <w:tab/>
        <w:t>Gross emissions exclude emissions from LULUCF.</w:t>
      </w:r>
    </w:p>
    <w:p w14:paraId="58AC94AD" w14:textId="77777777" w:rsidR="00B7613B" w:rsidRPr="00D9348B" w:rsidRDefault="00B7613B" w:rsidP="00800A33">
      <w:pPr>
        <w:pStyle w:val="BodyText"/>
        <w:spacing w:before="80" w:after="80"/>
      </w:pPr>
      <w:r w:rsidRPr="00D9348B">
        <w:t>Net removals from the LULUCF sector fluctuate significantly over the time series. The fluctuations in net removals from LULUCF (figure 2.2.6) are influenced by harvesting and deforestation rates (see LULUCF sector section below).</w:t>
      </w:r>
    </w:p>
    <w:p w14:paraId="6FD09EEA" w14:textId="77777777" w:rsidR="00B7613B" w:rsidRPr="00D9348B" w:rsidRDefault="00B7613B" w:rsidP="00800A33">
      <w:pPr>
        <w:pStyle w:val="Figure"/>
      </w:pPr>
      <w:bookmarkStart w:id="265" w:name="_Toc447275661"/>
      <w:bookmarkStart w:id="266" w:name="_Toc511116925"/>
      <w:bookmarkStart w:id="267" w:name="_Toc5269658"/>
      <w:bookmarkStart w:id="268" w:name="_Toc36292761"/>
      <w:r w:rsidRPr="00D9348B">
        <w:t>Figure 2.2.6</w:t>
      </w:r>
      <w:r w:rsidRPr="00D9348B">
        <w:tab/>
        <w:t>Absolute change in net emissions from the LULUCF sector from 1990 to </w:t>
      </w:r>
      <w:bookmarkEnd w:id="265"/>
      <w:bookmarkEnd w:id="266"/>
      <w:r w:rsidRPr="00D9348B">
        <w:t>201</w:t>
      </w:r>
      <w:bookmarkEnd w:id="267"/>
      <w:r w:rsidRPr="00D9348B">
        <w:t>8</w:t>
      </w:r>
      <w:bookmarkEnd w:id="268"/>
    </w:p>
    <w:p w14:paraId="316D70B1" w14:textId="2258ECAC" w:rsidR="00B7613B" w:rsidRPr="00D9348B" w:rsidRDefault="007165CF" w:rsidP="00B7613B">
      <w:pPr>
        <w:spacing w:after="60"/>
      </w:pPr>
      <w:r>
        <w:pict w14:anchorId="1FA8CBFF">
          <v:shape id="_x0000_i1041" type="#_x0000_t75" style="width:407.6pt;height:198.45pt">
            <v:imagedata r:id="rId52" o:title="Figure 2" croptop="2355f" cropbottom="4066f"/>
          </v:shape>
        </w:pict>
      </w:r>
    </w:p>
    <w:p w14:paraId="4E890F8A" w14:textId="19994623" w:rsidR="00B7613B" w:rsidRPr="00D9348B" w:rsidRDefault="00B7613B" w:rsidP="00800A33">
      <w:pPr>
        <w:pStyle w:val="Heading4"/>
        <w:tabs>
          <w:tab w:val="center" w:pos="4252"/>
        </w:tabs>
        <w:spacing w:before="160"/>
      </w:pPr>
      <w:r w:rsidRPr="00D9348B">
        <w:t>Energy sector</w:t>
      </w:r>
    </w:p>
    <w:p w14:paraId="7B2607C8" w14:textId="77777777" w:rsidR="00B7613B" w:rsidRPr="00D9348B" w:rsidRDefault="00B7613B" w:rsidP="00800A33">
      <w:pPr>
        <w:pStyle w:val="BodyText"/>
        <w:spacing w:before="80" w:after="100"/>
        <w:rPr>
          <w:bCs/>
          <w:i/>
          <w:iCs/>
        </w:rPr>
      </w:pPr>
      <w:r w:rsidRPr="00D9348B">
        <w:t>Emissions from the Energy sector are dominated by CO</w:t>
      </w:r>
      <w:r w:rsidRPr="00D9348B">
        <w:rPr>
          <w:vertAlign w:val="subscript"/>
        </w:rPr>
        <w:t>2</w:t>
      </w:r>
      <w:r w:rsidRPr="00D9348B">
        <w:t xml:space="preserve"> (96.7 per cent of all emissions from the sector) and smaller amounts of CH</w:t>
      </w:r>
      <w:r w:rsidRPr="00D9348B">
        <w:rPr>
          <w:vertAlign w:val="subscript"/>
        </w:rPr>
        <w:t>4</w:t>
      </w:r>
      <w:r w:rsidRPr="00D9348B">
        <w:t xml:space="preserve"> and N</w:t>
      </w:r>
      <w:r w:rsidRPr="00D9348B">
        <w:rPr>
          <w:vertAlign w:val="subscript"/>
        </w:rPr>
        <w:t>2</w:t>
      </w:r>
      <w:r w:rsidRPr="00D9348B">
        <w:t xml:space="preserve">O (2.6 per cent and 0.7 per cent respectively). The major source categories in the sector are </w:t>
      </w:r>
      <w:r w:rsidRPr="00D9348B">
        <w:rPr>
          <w:i/>
        </w:rPr>
        <w:t>Road transportation</w:t>
      </w:r>
      <w:r w:rsidRPr="00D9348B">
        <w:t xml:space="preserve"> and </w:t>
      </w:r>
      <w:r w:rsidRPr="00D9348B">
        <w:rPr>
          <w:i/>
        </w:rPr>
        <w:t>Public electricity and heat production</w:t>
      </w:r>
      <w:r w:rsidRPr="00D9348B">
        <w:t xml:space="preserve">. </w:t>
      </w:r>
    </w:p>
    <w:p w14:paraId="7D057E03" w14:textId="77777777" w:rsidR="00B7613B" w:rsidRPr="00D9348B" w:rsidRDefault="00B7613B" w:rsidP="00800A33">
      <w:pPr>
        <w:pStyle w:val="BodyText"/>
        <w:spacing w:before="0" w:after="100"/>
      </w:pPr>
      <w:r w:rsidRPr="00D9348B">
        <w:t>Emissions in the Energy sector are influenced not only by demand but also climatic conditions. A large proportion of New Zealand’s stationary energy needs are met by renewables, mainly hydro power and wind.</w:t>
      </w:r>
      <w:r w:rsidRPr="00D9348B">
        <w:rPr>
          <w:rStyle w:val="FootnoteReference"/>
        </w:rPr>
        <w:footnoteReference w:id="29"/>
      </w:r>
      <w:r w:rsidRPr="00D9348B">
        <w:t xml:space="preserve"> </w:t>
      </w:r>
    </w:p>
    <w:p w14:paraId="56C02AC1" w14:textId="77777777" w:rsidR="00B7613B" w:rsidRPr="00D9348B" w:rsidRDefault="00B7613B" w:rsidP="00B7613B">
      <w:pPr>
        <w:pStyle w:val="Heading5"/>
        <w:rPr>
          <w:lang w:eastAsia="en-GB"/>
        </w:rPr>
      </w:pPr>
      <w:r w:rsidRPr="00D9348B">
        <w:rPr>
          <w:lang w:eastAsia="en-GB"/>
        </w:rPr>
        <w:lastRenderedPageBreak/>
        <w:t>2018</w:t>
      </w:r>
    </w:p>
    <w:p w14:paraId="25351D16" w14:textId="77777777" w:rsidR="00B7613B" w:rsidRPr="00D9348B" w:rsidRDefault="00B7613B" w:rsidP="00B7613B">
      <w:pPr>
        <w:pStyle w:val="BodyText"/>
        <w:spacing w:before="100" w:after="100"/>
        <w:rPr>
          <w:bCs/>
          <w:i/>
          <w:iCs/>
        </w:rPr>
      </w:pPr>
      <w:r w:rsidRPr="00D9348B">
        <w:t>In 2018, the Energy sector produced 31,946.2 kt CO</w:t>
      </w:r>
      <w:r w:rsidRPr="00D9348B">
        <w:rPr>
          <w:vertAlign w:val="subscript"/>
        </w:rPr>
        <w:t>2</w:t>
      </w:r>
      <w:r w:rsidRPr="00D9348B">
        <w:t xml:space="preserve">-e, representing 40.5 per cent of </w:t>
      </w:r>
      <w:proofErr w:type="gramStart"/>
      <w:r w:rsidRPr="00D9348B">
        <w:t>New</w:t>
      </w:r>
      <w:proofErr w:type="gramEnd"/>
      <w:r w:rsidRPr="00D9348B">
        <w:t xml:space="preserve"> Zealand’s gross GHG emissions. The largest sources of emissions in the Energy sector were </w:t>
      </w:r>
      <w:r w:rsidRPr="00D9348B">
        <w:rPr>
          <w:i/>
        </w:rPr>
        <w:t>Road transportation</w:t>
      </w:r>
      <w:r w:rsidRPr="00D9348B">
        <w:t>, contributing 15,070.9 kt CO</w:t>
      </w:r>
      <w:r w:rsidRPr="00D9348B">
        <w:rPr>
          <w:vertAlign w:val="subscript"/>
        </w:rPr>
        <w:t>2</w:t>
      </w:r>
      <w:r w:rsidRPr="00D9348B">
        <w:t xml:space="preserve">-e (47.2 per cent), and </w:t>
      </w:r>
      <w:r w:rsidRPr="00D9348B">
        <w:rPr>
          <w:i/>
        </w:rPr>
        <w:t>Public electricity and heat production</w:t>
      </w:r>
      <w:r w:rsidRPr="00D9348B">
        <w:t>, contributing 3,310.8 kt CO</w:t>
      </w:r>
      <w:r w:rsidRPr="00D9348B">
        <w:rPr>
          <w:vertAlign w:val="subscript"/>
        </w:rPr>
        <w:t>2</w:t>
      </w:r>
      <w:r w:rsidRPr="00D9348B">
        <w:t>-e (10.4 per cent) to energy emissions.</w:t>
      </w:r>
    </w:p>
    <w:p w14:paraId="01A988D9" w14:textId="77777777" w:rsidR="00B7613B" w:rsidRPr="00D9348B" w:rsidRDefault="00B7613B" w:rsidP="00794F66">
      <w:pPr>
        <w:pStyle w:val="Heading5"/>
        <w:spacing w:before="160"/>
      </w:pPr>
      <w:r w:rsidRPr="00D9348B">
        <w:rPr>
          <w:lang w:eastAsia="en-GB"/>
        </w:rPr>
        <w:t>1990–</w:t>
      </w:r>
      <w:r w:rsidRPr="00D9348B">
        <w:t>2018</w:t>
      </w:r>
    </w:p>
    <w:p w14:paraId="5FF3949E" w14:textId="77777777" w:rsidR="00B7613B" w:rsidRPr="00D9348B" w:rsidRDefault="00B7613B" w:rsidP="00794F66">
      <w:pPr>
        <w:pStyle w:val="BodyText"/>
        <w:spacing w:before="100" w:after="100"/>
      </w:pPr>
      <w:r w:rsidRPr="00D9348B">
        <w:t>In 2018, emissions from the Energy sector were 34.3 per cent higher (8,167.8 kt) than the 1990 level of 23,778.3 kt CO</w:t>
      </w:r>
      <w:r w:rsidRPr="00D9348B">
        <w:rPr>
          <w:vertAlign w:val="subscript"/>
        </w:rPr>
        <w:t>2</w:t>
      </w:r>
      <w:r w:rsidRPr="00D9348B">
        <w:t xml:space="preserve">-e. This growth in emissions is primarily from </w:t>
      </w:r>
      <w:r w:rsidRPr="00D9348B">
        <w:rPr>
          <w:i/>
        </w:rPr>
        <w:t>Road transportation</w:t>
      </w:r>
      <w:r w:rsidRPr="00D9348B">
        <w:t>, which increased by 7,595.6 kt CO</w:t>
      </w:r>
      <w:r w:rsidRPr="00D9348B">
        <w:rPr>
          <w:vertAlign w:val="subscript"/>
        </w:rPr>
        <w:t>2</w:t>
      </w:r>
      <w:r w:rsidRPr="00D9348B">
        <w:t xml:space="preserve">-e (101.6 per cent), </w:t>
      </w:r>
      <w:r w:rsidRPr="00D9348B">
        <w:rPr>
          <w:i/>
        </w:rPr>
        <w:t>Chemicals</w:t>
      </w:r>
      <w:r w:rsidRPr="00D9348B">
        <w:t>, which increased by 708.6 kt CO</w:t>
      </w:r>
      <w:r w:rsidRPr="00D9348B">
        <w:rPr>
          <w:vertAlign w:val="subscript"/>
        </w:rPr>
        <w:t>2</w:t>
      </w:r>
      <w:r w:rsidRPr="00D9348B">
        <w:t xml:space="preserve">-e (129.0 per cent), and </w:t>
      </w:r>
      <w:r w:rsidRPr="00D9348B">
        <w:rPr>
          <w:i/>
        </w:rPr>
        <w:t>Food processing, beverages and tobacco</w:t>
      </w:r>
      <w:r w:rsidRPr="00D9348B">
        <w:t>, which increased by 1,249.7 kt CO</w:t>
      </w:r>
      <w:r w:rsidRPr="00D9348B">
        <w:rPr>
          <w:vertAlign w:val="subscript"/>
        </w:rPr>
        <w:t>2</w:t>
      </w:r>
      <w:r w:rsidRPr="00D9348B">
        <w:t xml:space="preserve">-e (75.4 per cent). In 2018, emissions from 1.A.1.c </w:t>
      </w:r>
      <w:r w:rsidRPr="00D9348B">
        <w:rPr>
          <w:i/>
        </w:rPr>
        <w:t>Manufacture of solid fuels and other energy industries</w:t>
      </w:r>
      <w:r w:rsidRPr="00D9348B">
        <w:t xml:space="preserve"> were much lower than the 1990 level, by 1,464.1 kt CO</w:t>
      </w:r>
      <w:r w:rsidRPr="00D9348B">
        <w:rPr>
          <w:vertAlign w:val="subscript"/>
        </w:rPr>
        <w:t>2</w:t>
      </w:r>
      <w:r w:rsidRPr="00D9348B">
        <w:t>-e (85.0 per cent). This decrease is primarily due to the cessation of synthetic gasoline production in 1997.</w:t>
      </w:r>
    </w:p>
    <w:p w14:paraId="1E995C8D" w14:textId="77777777" w:rsidR="00B7613B" w:rsidRPr="00D9348B" w:rsidRDefault="00B7613B" w:rsidP="00B7613B">
      <w:pPr>
        <w:pStyle w:val="BodyText"/>
      </w:pPr>
      <w:r w:rsidRPr="00D9348B">
        <w:t>Figure 2.2.7 shows the Energy sector emissions time series from 1990 to 2018. The trend shows emissions increasing up until 2008, after which there is a general decline.</w:t>
      </w:r>
    </w:p>
    <w:p w14:paraId="7C80426B" w14:textId="77777777" w:rsidR="00B7613B" w:rsidRPr="00D9348B" w:rsidRDefault="00B7613B" w:rsidP="00B7613B">
      <w:pPr>
        <w:pStyle w:val="Figure"/>
      </w:pPr>
      <w:bookmarkStart w:id="269" w:name="_Ref442370746"/>
      <w:bookmarkStart w:id="270" w:name="_Toc384582744"/>
      <w:bookmarkStart w:id="271" w:name="_Toc384582846"/>
      <w:bookmarkStart w:id="272" w:name="_Toc447275662"/>
      <w:bookmarkStart w:id="273" w:name="_Toc511116926"/>
      <w:bookmarkStart w:id="274" w:name="_Toc5269659"/>
      <w:bookmarkStart w:id="275" w:name="_Toc36292762"/>
      <w:r w:rsidRPr="00D9348B">
        <w:t xml:space="preserve">Figure </w:t>
      </w:r>
      <w:bookmarkEnd w:id="269"/>
      <w:r w:rsidRPr="00D9348B">
        <w:t>2.2.7</w:t>
      </w:r>
      <w:r w:rsidRPr="00D9348B">
        <w:tab/>
        <w:t>New Zealand’s Energy sector emissions from 1990 to</w:t>
      </w:r>
      <w:bookmarkEnd w:id="270"/>
      <w:bookmarkEnd w:id="271"/>
      <w:bookmarkEnd w:id="272"/>
      <w:r w:rsidRPr="00D9348B">
        <w:t> </w:t>
      </w:r>
      <w:bookmarkEnd w:id="273"/>
      <w:r w:rsidRPr="00D9348B">
        <w:t>201</w:t>
      </w:r>
      <w:bookmarkEnd w:id="274"/>
      <w:r w:rsidRPr="00D9348B">
        <w:t>8</w:t>
      </w:r>
      <w:bookmarkEnd w:id="275"/>
    </w:p>
    <w:p w14:paraId="5F8101B9" w14:textId="12084909" w:rsidR="00B7613B" w:rsidRPr="00D9348B" w:rsidRDefault="007165CF" w:rsidP="00794F66">
      <w:pPr>
        <w:spacing w:after="120"/>
      </w:pPr>
      <w:r>
        <w:pict w14:anchorId="29A6CA3C">
          <v:shape id="_x0000_i1042" type="#_x0000_t75" style="width:413.2pt;height:197.2pt">
            <v:imagedata r:id="rId53" o:title="Figure 2" croptop="2165f" cropbottom="4737f"/>
          </v:shape>
        </w:pict>
      </w:r>
    </w:p>
    <w:p w14:paraId="732C03F9" w14:textId="77777777" w:rsidR="00B7613B" w:rsidRPr="00D9348B" w:rsidRDefault="00B7613B" w:rsidP="00794F66">
      <w:pPr>
        <w:pStyle w:val="Heading5"/>
        <w:spacing w:before="160"/>
      </w:pPr>
      <w:r w:rsidRPr="00D9348B">
        <w:t>2017</w:t>
      </w:r>
      <w:r w:rsidRPr="00D9348B">
        <w:rPr>
          <w:lang w:eastAsia="en-GB"/>
        </w:rPr>
        <w:t>–</w:t>
      </w:r>
      <w:r w:rsidRPr="00D9348B">
        <w:t>2018</w:t>
      </w:r>
    </w:p>
    <w:p w14:paraId="7AA16BA1" w14:textId="77777777" w:rsidR="00B7613B" w:rsidRPr="00D9348B" w:rsidRDefault="00B7613B" w:rsidP="00794F66">
      <w:pPr>
        <w:pStyle w:val="BodyText"/>
        <w:spacing w:before="100" w:after="100"/>
        <w:rPr>
          <w:lang w:eastAsia="en-GB"/>
        </w:rPr>
      </w:pPr>
      <w:r w:rsidRPr="00D9348B">
        <w:rPr>
          <w:lang w:eastAsia="en-GB"/>
        </w:rPr>
        <w:t xml:space="preserve">Between </w:t>
      </w:r>
      <w:r w:rsidRPr="00D9348B">
        <w:t xml:space="preserve">2017 </w:t>
      </w:r>
      <w:r w:rsidRPr="00D9348B">
        <w:rPr>
          <w:lang w:eastAsia="en-GB"/>
        </w:rPr>
        <w:t xml:space="preserve">and </w:t>
      </w:r>
      <w:r w:rsidRPr="00D9348B">
        <w:t>2018</w:t>
      </w:r>
      <w:r w:rsidRPr="00D9348B">
        <w:rPr>
          <w:lang w:eastAsia="en-GB"/>
        </w:rPr>
        <w:t>, emissions from the Energy sector decreased by</w:t>
      </w:r>
      <w:r w:rsidRPr="00D9348B">
        <w:t xml:space="preserve"> 1,058.4 </w:t>
      </w:r>
      <w:r w:rsidRPr="00D9348B">
        <w:rPr>
          <w:lang w:eastAsia="en-GB"/>
        </w:rPr>
        <w:t>kt CO</w:t>
      </w:r>
      <w:r w:rsidRPr="00D9348B">
        <w:rPr>
          <w:vertAlign w:val="subscript"/>
          <w:lang w:eastAsia="en-GB"/>
        </w:rPr>
        <w:t>2</w:t>
      </w:r>
      <w:r w:rsidRPr="00D9348B">
        <w:rPr>
          <w:lang w:eastAsia="en-GB"/>
        </w:rPr>
        <w:t>-e (</w:t>
      </w:r>
      <w:r w:rsidRPr="00D9348B">
        <w:t>3.2 per cent</w:t>
      </w:r>
      <w:r w:rsidRPr="00D9348B">
        <w:rPr>
          <w:lang w:eastAsia="en-GB"/>
        </w:rPr>
        <w:t xml:space="preserve">). This is primarily due to emissions from category 1.A.2.c </w:t>
      </w:r>
      <w:r w:rsidRPr="00D9348B">
        <w:rPr>
          <w:i/>
          <w:lang w:eastAsia="en-GB"/>
        </w:rPr>
        <w:t>Chemicals</w:t>
      </w:r>
      <w:r w:rsidRPr="00D9348B">
        <w:rPr>
          <w:rFonts w:cs="Arial"/>
          <w:lang w:eastAsia="en-GB"/>
        </w:rPr>
        <w:t>,</w:t>
      </w:r>
      <w:r w:rsidRPr="00D9348B">
        <w:rPr>
          <w:lang w:eastAsia="en-GB"/>
        </w:rPr>
        <w:t xml:space="preserve"> which decreased by </w:t>
      </w:r>
      <w:r w:rsidRPr="00D9348B">
        <w:t xml:space="preserve">472.6 </w:t>
      </w:r>
      <w:r w:rsidRPr="00D9348B">
        <w:rPr>
          <w:lang w:eastAsia="en-GB"/>
        </w:rPr>
        <w:t>kt CO</w:t>
      </w:r>
      <w:r w:rsidRPr="00D9348B">
        <w:rPr>
          <w:vertAlign w:val="subscript"/>
          <w:lang w:eastAsia="en-GB"/>
        </w:rPr>
        <w:t>2</w:t>
      </w:r>
      <w:r w:rsidRPr="00D9348B">
        <w:rPr>
          <w:lang w:eastAsia="en-GB"/>
        </w:rPr>
        <w:t>-e (</w:t>
      </w:r>
      <w:r w:rsidRPr="00D9348B">
        <w:t>27.3 per cent</w:t>
      </w:r>
      <w:r w:rsidRPr="00D9348B">
        <w:rPr>
          <w:lang w:eastAsia="en-GB"/>
        </w:rPr>
        <w:t xml:space="preserve">). The decrease was partially offset by an increase from category </w:t>
      </w:r>
      <w:r w:rsidRPr="00D9348B">
        <w:rPr>
          <w:rFonts w:cs="Arial"/>
          <w:lang w:eastAsia="en-GB"/>
        </w:rPr>
        <w:t xml:space="preserve">1.A.3.b </w:t>
      </w:r>
      <w:r w:rsidRPr="00D9348B">
        <w:rPr>
          <w:rFonts w:cs="Arial"/>
          <w:i/>
          <w:lang w:eastAsia="en-GB"/>
        </w:rPr>
        <w:t>Road transport</w:t>
      </w:r>
      <w:r w:rsidRPr="00D9348B">
        <w:rPr>
          <w:lang w:eastAsia="en-GB"/>
        </w:rPr>
        <w:t xml:space="preserve">, which </w:t>
      </w:r>
      <w:r w:rsidRPr="00D9348B">
        <w:t>increased by 295.2 kt</w:t>
      </w:r>
      <w:r w:rsidRPr="00D9348B">
        <w:rPr>
          <w:lang w:eastAsia="en-GB"/>
        </w:rPr>
        <w:t xml:space="preserve"> CO</w:t>
      </w:r>
      <w:r w:rsidRPr="00D9348B">
        <w:rPr>
          <w:vertAlign w:val="subscript"/>
          <w:lang w:eastAsia="en-GB"/>
        </w:rPr>
        <w:t>2</w:t>
      </w:r>
      <w:r w:rsidRPr="00D9348B">
        <w:rPr>
          <w:lang w:eastAsia="en-GB"/>
        </w:rPr>
        <w:t>-e (</w:t>
      </w:r>
      <w:r w:rsidRPr="00D9348B">
        <w:t>2.0 per cent</w:t>
      </w:r>
      <w:r w:rsidRPr="00D9348B">
        <w:rPr>
          <w:lang w:eastAsia="en-GB"/>
        </w:rPr>
        <w:t>).</w:t>
      </w:r>
    </w:p>
    <w:p w14:paraId="1DAAE937" w14:textId="77777777" w:rsidR="00B7613B" w:rsidRPr="00D9348B" w:rsidRDefault="00B7613B" w:rsidP="00794F66">
      <w:pPr>
        <w:pStyle w:val="BodyText"/>
        <w:spacing w:before="100" w:after="100"/>
      </w:pPr>
      <w:r w:rsidRPr="00D9348B">
        <w:rPr>
          <w:lang w:eastAsia="en-GB"/>
        </w:rPr>
        <w:t>There was also a 305.4</w:t>
      </w:r>
      <w:r w:rsidRPr="00D9348B">
        <w:t xml:space="preserve"> </w:t>
      </w:r>
      <w:r w:rsidRPr="00D9348B">
        <w:rPr>
          <w:lang w:eastAsia="en-GB"/>
        </w:rPr>
        <w:t>kt CO</w:t>
      </w:r>
      <w:r w:rsidRPr="00D9348B">
        <w:rPr>
          <w:szCs w:val="14"/>
          <w:vertAlign w:val="subscript"/>
          <w:lang w:eastAsia="en-GB"/>
        </w:rPr>
        <w:t>2</w:t>
      </w:r>
      <w:r w:rsidRPr="00D9348B">
        <w:rPr>
          <w:lang w:eastAsia="en-GB"/>
        </w:rPr>
        <w:t>-e (</w:t>
      </w:r>
      <w:r w:rsidRPr="00D9348B">
        <w:t>8.4 per cent</w:t>
      </w:r>
      <w:r w:rsidRPr="00D9348B">
        <w:rPr>
          <w:lang w:eastAsia="en-GB"/>
        </w:rPr>
        <w:t xml:space="preserve">) decrease in emissions for category 1.A.1.a </w:t>
      </w:r>
      <w:r w:rsidRPr="00D9348B">
        <w:rPr>
          <w:i/>
          <w:lang w:eastAsia="en-GB"/>
        </w:rPr>
        <w:t>Public electricity and heat production</w:t>
      </w:r>
      <w:r w:rsidRPr="00D9348B">
        <w:rPr>
          <w:lang w:eastAsia="en-GB"/>
        </w:rPr>
        <w:t>. This was primarily due to a decrease in natural gas-fired generation in response to higher levels of hydro generation</w:t>
      </w:r>
      <w:r w:rsidRPr="00D9348B">
        <w:rPr>
          <w:i/>
        </w:rPr>
        <w:t>.</w:t>
      </w:r>
    </w:p>
    <w:p w14:paraId="40C1A1D8" w14:textId="77777777" w:rsidR="00B7613B" w:rsidRPr="00D9348B" w:rsidRDefault="00B7613B" w:rsidP="00800A33">
      <w:pPr>
        <w:pStyle w:val="Heading4"/>
        <w:spacing w:before="160"/>
      </w:pPr>
      <w:r w:rsidRPr="00D9348B">
        <w:t>IPPU sector</w:t>
      </w:r>
    </w:p>
    <w:p w14:paraId="5F6AC484" w14:textId="215E6D70" w:rsidR="00B7613B" w:rsidRPr="00D9348B" w:rsidRDefault="00B7613B" w:rsidP="00794F66">
      <w:pPr>
        <w:pStyle w:val="BodyText"/>
        <w:spacing w:before="80" w:after="100"/>
      </w:pPr>
      <w:bookmarkStart w:id="276" w:name="_Toc511116927"/>
      <w:bookmarkStart w:id="277" w:name="_Toc5269660"/>
      <w:r w:rsidRPr="00D9348B">
        <w:t>The IPPU sector in New Zealand produces CO</w:t>
      </w:r>
      <w:r w:rsidRPr="00D9348B">
        <w:rPr>
          <w:vertAlign w:val="subscript"/>
        </w:rPr>
        <w:t>2</w:t>
      </w:r>
      <w:r w:rsidRPr="00D9348B">
        <w:t xml:space="preserve"> (59.7 per cent of IPPU sectoral emissions), fluorinated gases (36.9 per cent of the sector) and smaller amounts of CH</w:t>
      </w:r>
      <w:r w:rsidRPr="00D9348B">
        <w:rPr>
          <w:vertAlign w:val="subscript"/>
        </w:rPr>
        <w:t>4</w:t>
      </w:r>
      <w:r w:rsidRPr="00D9348B">
        <w:t xml:space="preserve"> and N</w:t>
      </w:r>
      <w:r w:rsidRPr="00D9348B">
        <w:rPr>
          <w:vertAlign w:val="subscript"/>
        </w:rPr>
        <w:t>2</w:t>
      </w:r>
      <w:r w:rsidRPr="00D9348B">
        <w:t>O (1.8</w:t>
      </w:r>
      <w:r w:rsidR="00800A33" w:rsidRPr="00D9348B">
        <w:t> </w:t>
      </w:r>
      <w:r w:rsidRPr="00D9348B">
        <w:t>per</w:t>
      </w:r>
      <w:r w:rsidR="00800A33" w:rsidRPr="00D9348B">
        <w:t> </w:t>
      </w:r>
      <w:r w:rsidRPr="00D9348B">
        <w:t>cent and 1.6 per cent respectively). The major source categories in the IPPU sector</w:t>
      </w:r>
      <w:r w:rsidR="00794F66" w:rsidRPr="00D9348B">
        <w:t> </w:t>
      </w:r>
      <w:r w:rsidRPr="00D9348B">
        <w:t>are</w:t>
      </w:r>
      <w:r w:rsidR="00800A33" w:rsidRPr="00D9348B">
        <w:t> </w:t>
      </w:r>
      <w:r w:rsidRPr="00D9348B">
        <w:rPr>
          <w:i/>
        </w:rPr>
        <w:t>Iron and steel production</w:t>
      </w:r>
      <w:r w:rsidRPr="00D9348B">
        <w:t xml:space="preserve">, </w:t>
      </w:r>
      <w:r w:rsidRPr="00D9348B">
        <w:rPr>
          <w:i/>
        </w:rPr>
        <w:t>Refrigeration and air conditioning</w:t>
      </w:r>
      <w:r w:rsidRPr="00D9348B">
        <w:t xml:space="preserve">, </w:t>
      </w:r>
      <w:r w:rsidRPr="00D9348B">
        <w:rPr>
          <w:i/>
        </w:rPr>
        <w:t>Aluminium productio</w:t>
      </w:r>
      <w:r w:rsidRPr="00D9348B">
        <w:t>n</w:t>
      </w:r>
      <w:r w:rsidR="00794F66" w:rsidRPr="00D9348B">
        <w:t> </w:t>
      </w:r>
      <w:r w:rsidRPr="00D9348B">
        <w:t xml:space="preserve">and </w:t>
      </w:r>
      <w:r w:rsidRPr="00D9348B">
        <w:rPr>
          <w:i/>
        </w:rPr>
        <w:t>Cement production</w:t>
      </w:r>
      <w:r w:rsidRPr="00D9348B">
        <w:t>.</w:t>
      </w:r>
    </w:p>
    <w:p w14:paraId="1E01EF1F" w14:textId="77777777" w:rsidR="00B7613B" w:rsidRPr="00D9348B" w:rsidRDefault="00B7613B" w:rsidP="00B7613B">
      <w:pPr>
        <w:pStyle w:val="BodyText"/>
        <w:spacing w:before="100" w:after="100"/>
      </w:pPr>
      <w:r w:rsidRPr="00D9348B">
        <w:lastRenderedPageBreak/>
        <w:t xml:space="preserve">Coal and natural gas are used on a significant scale for energy in the </w:t>
      </w:r>
      <w:r w:rsidRPr="00D9348B">
        <w:rPr>
          <w:i/>
        </w:rPr>
        <w:t>Mineral industry</w:t>
      </w:r>
      <w:r w:rsidRPr="00D9348B">
        <w:t xml:space="preserve">, </w:t>
      </w:r>
      <w:r w:rsidRPr="00D9348B">
        <w:rPr>
          <w:i/>
        </w:rPr>
        <w:t>Chemical industry</w:t>
      </w:r>
      <w:r w:rsidRPr="00D9348B">
        <w:t xml:space="preserve"> and </w:t>
      </w:r>
      <w:r w:rsidRPr="00D9348B">
        <w:rPr>
          <w:i/>
        </w:rPr>
        <w:t>Metal industry</w:t>
      </w:r>
      <w:r w:rsidRPr="00D9348B">
        <w:t xml:space="preserve"> categories. Carbon dioxide and any other emissions from combustion of fuels in these industries are reported under the Energy sector. </w:t>
      </w:r>
    </w:p>
    <w:p w14:paraId="4B3F32B5" w14:textId="77777777" w:rsidR="00B7613B" w:rsidRPr="00D9348B" w:rsidRDefault="00B7613B" w:rsidP="00794F66">
      <w:pPr>
        <w:pStyle w:val="Heading5"/>
        <w:spacing w:before="160"/>
      </w:pPr>
      <w:r w:rsidRPr="00D9348B">
        <w:t>2018</w:t>
      </w:r>
    </w:p>
    <w:p w14:paraId="5289174E" w14:textId="1543161A" w:rsidR="00B7613B" w:rsidRPr="00D9348B" w:rsidRDefault="00B7613B" w:rsidP="00794F66">
      <w:pPr>
        <w:pStyle w:val="BodyText"/>
        <w:spacing w:before="100"/>
      </w:pPr>
      <w:r w:rsidRPr="00D9348B">
        <w:t>In 2018, emissions from the IPPU sector contributed 5,158.1 kt CO</w:t>
      </w:r>
      <w:r w:rsidRPr="00D9348B">
        <w:rPr>
          <w:vertAlign w:val="subscript"/>
        </w:rPr>
        <w:t>2</w:t>
      </w:r>
      <w:r w:rsidRPr="00D9348B">
        <w:t>-e or 6.5 per cent of New</w:t>
      </w:r>
      <w:r w:rsidR="00794F66" w:rsidRPr="00D9348B">
        <w:t> </w:t>
      </w:r>
      <w:r w:rsidRPr="00D9348B">
        <w:t xml:space="preserve">Zealand’s gross GHG emissions. </w:t>
      </w:r>
    </w:p>
    <w:p w14:paraId="704FE519" w14:textId="0921F3E0" w:rsidR="00B7613B" w:rsidRPr="00D9348B" w:rsidRDefault="00B7613B" w:rsidP="00B7613B">
      <w:pPr>
        <w:pStyle w:val="BodyText"/>
      </w:pPr>
      <w:r w:rsidRPr="00D9348B">
        <w:t xml:space="preserve">The largest category in the IPPU sector is the </w:t>
      </w:r>
      <w:r w:rsidRPr="00D9348B">
        <w:rPr>
          <w:i/>
        </w:rPr>
        <w:t>Metal industry</w:t>
      </w:r>
      <w:r w:rsidRPr="00D9348B">
        <w:t>, with substantial CO</w:t>
      </w:r>
      <w:r w:rsidRPr="00D9348B">
        <w:rPr>
          <w:vertAlign w:val="subscript"/>
        </w:rPr>
        <w:t>2</w:t>
      </w:r>
      <w:r w:rsidRPr="00D9348B">
        <w:t xml:space="preserve"> emissions from </w:t>
      </w:r>
      <w:r w:rsidRPr="00D9348B">
        <w:rPr>
          <w:i/>
        </w:rPr>
        <w:t>Iron and steel production</w:t>
      </w:r>
      <w:r w:rsidRPr="00D9348B">
        <w:t xml:space="preserve"> and </w:t>
      </w:r>
      <w:r w:rsidRPr="00D9348B">
        <w:rPr>
          <w:i/>
        </w:rPr>
        <w:t>Aluminium production</w:t>
      </w:r>
      <w:r w:rsidRPr="00D9348B">
        <w:t xml:space="preserve"> categories. The </w:t>
      </w:r>
      <w:r w:rsidRPr="00D9348B">
        <w:rPr>
          <w:i/>
        </w:rPr>
        <w:t xml:space="preserve">Mineral industry </w:t>
      </w:r>
      <w:r w:rsidRPr="00D9348B">
        <w:t>and</w:t>
      </w:r>
      <w:r w:rsidR="00794F66" w:rsidRPr="00D9348B">
        <w:t> </w:t>
      </w:r>
      <w:r w:rsidRPr="00D9348B">
        <w:rPr>
          <w:i/>
        </w:rPr>
        <w:t>Chemical industry</w:t>
      </w:r>
      <w:r w:rsidRPr="00D9348B">
        <w:t xml:space="preserve"> categories also contribute significant CO</w:t>
      </w:r>
      <w:r w:rsidRPr="00D9348B">
        <w:rPr>
          <w:vertAlign w:val="subscript"/>
        </w:rPr>
        <w:t>2</w:t>
      </w:r>
      <w:r w:rsidRPr="00D9348B">
        <w:t xml:space="preserve"> emissions, and most of the non-CO</w:t>
      </w:r>
      <w:r w:rsidRPr="00D9348B">
        <w:rPr>
          <w:vertAlign w:val="subscript"/>
        </w:rPr>
        <w:t>2</w:t>
      </w:r>
      <w:r w:rsidRPr="00D9348B">
        <w:t xml:space="preserve"> emissions (HFCs and PFCs) come from the </w:t>
      </w:r>
      <w:r w:rsidRPr="00D9348B">
        <w:rPr>
          <w:i/>
        </w:rPr>
        <w:t>Product uses as substitutes for ODS</w:t>
      </w:r>
      <w:r w:rsidRPr="00D9348B">
        <w:t xml:space="preserve"> category. The IPPU sector also produces smaller amounts of CH</w:t>
      </w:r>
      <w:r w:rsidRPr="00D9348B">
        <w:rPr>
          <w:vertAlign w:val="subscript"/>
        </w:rPr>
        <w:t>4</w:t>
      </w:r>
      <w:r w:rsidRPr="00D9348B">
        <w:t xml:space="preserve"> from methanol production and N</w:t>
      </w:r>
      <w:r w:rsidRPr="00D9348B">
        <w:rPr>
          <w:vertAlign w:val="subscript"/>
        </w:rPr>
        <w:t>2</w:t>
      </w:r>
      <w:r w:rsidRPr="00D9348B">
        <w:t xml:space="preserve">O used for medical applications in the </w:t>
      </w:r>
      <w:proofErr w:type="gramStart"/>
      <w:r w:rsidRPr="00D9348B">
        <w:rPr>
          <w:i/>
        </w:rPr>
        <w:t>Other</w:t>
      </w:r>
      <w:proofErr w:type="gramEnd"/>
      <w:r w:rsidRPr="00D9348B">
        <w:rPr>
          <w:i/>
        </w:rPr>
        <w:t xml:space="preserve"> product manufacture and use</w:t>
      </w:r>
      <w:r w:rsidRPr="00D9348B">
        <w:t xml:space="preserve"> category.</w:t>
      </w:r>
    </w:p>
    <w:p w14:paraId="4414E126" w14:textId="77777777" w:rsidR="00B7613B" w:rsidRPr="00D9348B" w:rsidRDefault="00B7613B" w:rsidP="00794F66">
      <w:pPr>
        <w:pStyle w:val="Heading5"/>
        <w:spacing w:before="160"/>
      </w:pPr>
      <w:r w:rsidRPr="00D9348B">
        <w:t>1990–2018</w:t>
      </w:r>
    </w:p>
    <w:p w14:paraId="700E4C63" w14:textId="57E8ABE8" w:rsidR="00B7613B" w:rsidRPr="00D9348B" w:rsidRDefault="00B7613B" w:rsidP="00794F66">
      <w:pPr>
        <w:pStyle w:val="BodyText"/>
        <w:spacing w:before="100"/>
        <w:rPr>
          <w:spacing w:val="-2"/>
        </w:rPr>
      </w:pPr>
      <w:r w:rsidRPr="00D9348B">
        <w:rPr>
          <w:spacing w:val="-2"/>
        </w:rPr>
        <w:t>IPPU sector emissions in 2018 were 1,578.3 kt CO</w:t>
      </w:r>
      <w:r w:rsidRPr="00D9348B">
        <w:rPr>
          <w:spacing w:val="-2"/>
          <w:vertAlign w:val="subscript"/>
        </w:rPr>
        <w:t>2</w:t>
      </w:r>
      <w:r w:rsidRPr="00D9348B">
        <w:rPr>
          <w:spacing w:val="-2"/>
        </w:rPr>
        <w:t>-e (44.1 per cent) higher than emissions in 1990 (3,579.9 kt CO</w:t>
      </w:r>
      <w:r w:rsidRPr="00D9348B">
        <w:rPr>
          <w:spacing w:val="-2"/>
          <w:vertAlign w:val="subscript"/>
        </w:rPr>
        <w:t>2</w:t>
      </w:r>
      <w:r w:rsidRPr="00D9348B">
        <w:rPr>
          <w:spacing w:val="-2"/>
        </w:rPr>
        <w:t xml:space="preserve">-e). This increase was mainly driven by increasing emissions from the </w:t>
      </w:r>
      <w:r w:rsidRPr="00D9348B">
        <w:rPr>
          <w:i/>
          <w:spacing w:val="-2"/>
        </w:rPr>
        <w:t>Product uses as substitutes for ODS</w:t>
      </w:r>
      <w:r w:rsidRPr="00D9348B">
        <w:rPr>
          <w:spacing w:val="-2"/>
        </w:rPr>
        <w:t xml:space="preserve"> category due to the introduction of HFCs to replace ozone-depleting substances in refrigeration and air conditioning, and to the increased use of household and commercial air conditioning. Carbon dioxide emissions have also increased due to growth in</w:t>
      </w:r>
      <w:r w:rsidR="00794F66" w:rsidRPr="00D9348B">
        <w:rPr>
          <w:spacing w:val="-2"/>
        </w:rPr>
        <w:t> </w:t>
      </w:r>
      <w:r w:rsidRPr="00D9348B">
        <w:rPr>
          <w:spacing w:val="-2"/>
        </w:rPr>
        <w:t xml:space="preserve">production of metals, lime and cement but at a slower rate. There has been a substantial reduction in emissions of PFCs, due to improved management of anode effects in the </w:t>
      </w:r>
      <w:r w:rsidRPr="00D9348B">
        <w:rPr>
          <w:i/>
          <w:spacing w:val="-2"/>
        </w:rPr>
        <w:t xml:space="preserve">Aluminium production </w:t>
      </w:r>
      <w:r w:rsidRPr="00D9348B">
        <w:rPr>
          <w:spacing w:val="-2"/>
        </w:rPr>
        <w:t>category, and some reduction in emissions of N</w:t>
      </w:r>
      <w:r w:rsidRPr="00D9348B">
        <w:rPr>
          <w:spacing w:val="-2"/>
          <w:vertAlign w:val="subscript"/>
        </w:rPr>
        <w:t>2</w:t>
      </w:r>
      <w:r w:rsidRPr="00D9348B">
        <w:rPr>
          <w:spacing w:val="-2"/>
        </w:rPr>
        <w:t xml:space="preserve">O used for medical applications in the </w:t>
      </w:r>
      <w:r w:rsidRPr="00D9348B">
        <w:rPr>
          <w:i/>
          <w:spacing w:val="-2"/>
        </w:rPr>
        <w:t>Other product manufacture and use</w:t>
      </w:r>
      <w:r w:rsidRPr="00D9348B">
        <w:rPr>
          <w:spacing w:val="-2"/>
        </w:rPr>
        <w:t xml:space="preserve"> category. The trends for the IPPU sector are shown in</w:t>
      </w:r>
      <w:r w:rsidR="00794F66" w:rsidRPr="00D9348B">
        <w:rPr>
          <w:spacing w:val="-2"/>
        </w:rPr>
        <w:t> </w:t>
      </w:r>
      <w:r w:rsidRPr="00D9348B">
        <w:rPr>
          <w:spacing w:val="-2"/>
        </w:rPr>
        <w:t xml:space="preserve">figure 2.2.8. </w:t>
      </w:r>
    </w:p>
    <w:p w14:paraId="6F956D25" w14:textId="77777777" w:rsidR="00B7613B" w:rsidRPr="00D9348B" w:rsidRDefault="00B7613B" w:rsidP="00B7613B">
      <w:pPr>
        <w:pStyle w:val="Figure"/>
      </w:pPr>
      <w:bookmarkStart w:id="278" w:name="_Toc36292763"/>
      <w:r w:rsidRPr="00D9348B">
        <w:t>Figure 2.2.8</w:t>
      </w:r>
      <w:r w:rsidRPr="00D9348B">
        <w:tab/>
        <w:t>New Zealand’s IPPU sector emissions from 1990 to </w:t>
      </w:r>
      <w:bookmarkEnd w:id="276"/>
      <w:r w:rsidRPr="00D9348B">
        <w:t>201</w:t>
      </w:r>
      <w:bookmarkEnd w:id="277"/>
      <w:r w:rsidRPr="00D9348B">
        <w:t>8</w:t>
      </w:r>
      <w:bookmarkEnd w:id="278"/>
    </w:p>
    <w:p w14:paraId="528915F5" w14:textId="420AA2B7" w:rsidR="00B7613B" w:rsidRPr="00D9348B" w:rsidRDefault="007165CF" w:rsidP="00B7613B">
      <w:pPr>
        <w:spacing w:before="60" w:after="120"/>
      </w:pPr>
      <w:r>
        <w:pict w14:anchorId="7EA9160B">
          <v:shape id="_x0000_i1043" type="#_x0000_t75" style="width:412.6pt;height:212.85pt">
            <v:imagedata r:id="rId54" o:title="Figure 2" croptop="2172f" cropbottom="4891f" cropright="2532f"/>
          </v:shape>
        </w:pict>
      </w:r>
    </w:p>
    <w:p w14:paraId="701C3909" w14:textId="77777777" w:rsidR="00B7613B" w:rsidRPr="00D9348B" w:rsidRDefault="00B7613B" w:rsidP="00794F66">
      <w:pPr>
        <w:pStyle w:val="Heading5"/>
        <w:spacing w:before="160"/>
      </w:pPr>
      <w:r w:rsidRPr="00D9348B">
        <w:t>2017–2018</w:t>
      </w:r>
    </w:p>
    <w:p w14:paraId="05C4F0BB" w14:textId="77777777" w:rsidR="00B7613B" w:rsidRPr="00D9348B" w:rsidRDefault="00B7613B" w:rsidP="00B7613B">
      <w:pPr>
        <w:pStyle w:val="BodyText"/>
        <w:rPr>
          <w:spacing w:val="-2"/>
        </w:rPr>
      </w:pPr>
      <w:r w:rsidRPr="00D9348B">
        <w:rPr>
          <w:spacing w:val="-2"/>
        </w:rPr>
        <w:t>IPPU sector emissions in 2018 were 36.8 kt CO</w:t>
      </w:r>
      <w:r w:rsidRPr="00D9348B">
        <w:rPr>
          <w:spacing w:val="-2"/>
          <w:vertAlign w:val="subscript"/>
        </w:rPr>
        <w:t>2</w:t>
      </w:r>
      <w:r w:rsidRPr="00D9348B">
        <w:rPr>
          <w:spacing w:val="-2"/>
        </w:rPr>
        <w:t xml:space="preserve">-e (0.7 per cent) higher than emissions in 2017. This change was </w:t>
      </w:r>
      <w:r w:rsidRPr="00D9348B">
        <w:t xml:space="preserve">the net result of an increase in emissions from the </w:t>
      </w:r>
      <w:r w:rsidRPr="00D9348B">
        <w:rPr>
          <w:i/>
        </w:rPr>
        <w:t>Product uses as substitutes for ODS</w:t>
      </w:r>
      <w:r w:rsidRPr="00D9348B" w:rsidDel="00AC41FF">
        <w:rPr>
          <w:i/>
        </w:rPr>
        <w:t xml:space="preserve"> </w:t>
      </w:r>
      <w:r w:rsidRPr="00D9348B">
        <w:t>category (157.5 kt CO</w:t>
      </w:r>
      <w:r w:rsidRPr="00D9348B">
        <w:rPr>
          <w:vertAlign w:val="subscript"/>
        </w:rPr>
        <w:t>2</w:t>
      </w:r>
      <w:r w:rsidRPr="00D9348B">
        <w:t>-e or 9.5 per cent) offset by small decreases in all other significant categories driven by varying production rates</w:t>
      </w:r>
      <w:r w:rsidRPr="00D9348B">
        <w:rPr>
          <w:spacing w:val="-2"/>
        </w:rPr>
        <w:t xml:space="preserve">. </w:t>
      </w:r>
    </w:p>
    <w:p w14:paraId="6F53DD1E" w14:textId="77777777" w:rsidR="00B7613B" w:rsidRPr="00D9348B" w:rsidRDefault="00B7613B" w:rsidP="00B7613B">
      <w:pPr>
        <w:pStyle w:val="Heading4"/>
      </w:pPr>
      <w:r w:rsidRPr="00D9348B">
        <w:lastRenderedPageBreak/>
        <w:t>Agriculture sector</w:t>
      </w:r>
    </w:p>
    <w:p w14:paraId="7F56C806" w14:textId="77777777" w:rsidR="00B7613B" w:rsidRPr="00D9348B" w:rsidRDefault="00B7613B" w:rsidP="00471DB7">
      <w:pPr>
        <w:pStyle w:val="BodyText"/>
        <w:spacing w:after="100"/>
      </w:pPr>
      <w:r w:rsidRPr="00D9348B">
        <w:t>The Agriculture sector in New Zealand produces three main greenhouse gases, CH</w:t>
      </w:r>
      <w:r w:rsidRPr="00D9348B">
        <w:rPr>
          <w:vertAlign w:val="subscript"/>
        </w:rPr>
        <w:t>4</w:t>
      </w:r>
      <w:r w:rsidRPr="00D9348B">
        <w:t>, N</w:t>
      </w:r>
      <w:r w:rsidRPr="00D9348B">
        <w:rPr>
          <w:vertAlign w:val="subscript"/>
        </w:rPr>
        <w:t>2</w:t>
      </w:r>
      <w:r w:rsidRPr="00D9348B">
        <w:t>O and CO</w:t>
      </w:r>
      <w:r w:rsidRPr="00D9348B">
        <w:rPr>
          <w:vertAlign w:val="subscript"/>
        </w:rPr>
        <w:t>2</w:t>
      </w:r>
      <w:r w:rsidRPr="00D9348B">
        <w:t>, which comprise 78.1 per cent, 19.0 per cent and 2.9 per cent of all Agriculture sector emissions respectively. Trends in Agriculture sector emissions are largely driven by the population of ruminant livestock categories (Dairy cattle, Non-dairy cattle, Sheep, and Deer).</w:t>
      </w:r>
    </w:p>
    <w:p w14:paraId="3F447F66" w14:textId="77777777" w:rsidR="00B7613B" w:rsidRPr="00D9348B" w:rsidRDefault="00B7613B" w:rsidP="00471DB7">
      <w:pPr>
        <w:pStyle w:val="BodyText"/>
        <w:spacing w:after="100"/>
      </w:pPr>
      <w:r w:rsidRPr="00D9348B">
        <w:t xml:space="preserve">The largest contributing categories in the Agriculture sector are </w:t>
      </w:r>
      <w:proofErr w:type="gramStart"/>
      <w:r w:rsidRPr="00D9348B">
        <w:rPr>
          <w:i/>
          <w:iCs/>
        </w:rPr>
        <w:t>Enteric</w:t>
      </w:r>
      <w:proofErr w:type="gramEnd"/>
      <w:r w:rsidRPr="00D9348B">
        <w:rPr>
          <w:i/>
          <w:iCs/>
        </w:rPr>
        <w:t xml:space="preserve"> fermentation </w:t>
      </w:r>
      <w:r w:rsidRPr="00D9348B">
        <w:t xml:space="preserve">and </w:t>
      </w:r>
      <w:r w:rsidRPr="00D9348B">
        <w:rPr>
          <w:i/>
          <w:iCs/>
        </w:rPr>
        <w:t>Agricultural soils</w:t>
      </w:r>
      <w:r w:rsidRPr="00D9348B">
        <w:t xml:space="preserve">. Emissions from the Agriculture sector reflect total livestock population, the type of livestock and farming systems, and the level of production. </w:t>
      </w:r>
    </w:p>
    <w:p w14:paraId="41D83137" w14:textId="77777777" w:rsidR="00B7613B" w:rsidRPr="00D9348B" w:rsidRDefault="00B7613B" w:rsidP="00471DB7">
      <w:pPr>
        <w:pStyle w:val="BodyText"/>
        <w:spacing w:after="100"/>
      </w:pPr>
      <w:r w:rsidRPr="00D9348B">
        <w:t>Several drivers affect the emission trends for both CH</w:t>
      </w:r>
      <w:r w:rsidRPr="00D9348B">
        <w:rPr>
          <w:vertAlign w:val="subscript"/>
        </w:rPr>
        <w:t>4</w:t>
      </w:r>
      <w:r w:rsidRPr="00D9348B">
        <w:t xml:space="preserve"> and N</w:t>
      </w:r>
      <w:r w:rsidRPr="00D9348B">
        <w:rPr>
          <w:vertAlign w:val="subscript"/>
        </w:rPr>
        <w:t>2</w:t>
      </w:r>
      <w:r w:rsidRPr="00D9348B">
        <w:t xml:space="preserve">O in the sector. These include: </w:t>
      </w:r>
    </w:p>
    <w:p w14:paraId="1DE4D78F" w14:textId="77777777" w:rsidR="00B7613B" w:rsidRPr="00D9348B" w:rsidRDefault="00B7613B" w:rsidP="00B7613B">
      <w:pPr>
        <w:pStyle w:val="Bullet"/>
        <w:tabs>
          <w:tab w:val="clear" w:pos="567"/>
        </w:tabs>
      </w:pPr>
      <w:proofErr w:type="gramStart"/>
      <w:r w:rsidRPr="00D9348B">
        <w:t>changes</w:t>
      </w:r>
      <w:proofErr w:type="gramEnd"/>
      <w:r w:rsidRPr="00D9348B">
        <w:t xml:space="preserve"> over time to the population of the main livestock types farmed in New Zealand. Since 1990, the dairy cattle population has increased, while sheep and beef cattle populations have decreased as the profitability of dairy products has risen relative to sheep and beef products (see figures 5.1.3a and 5.1.3b in chapter 5)</w:t>
      </w:r>
    </w:p>
    <w:p w14:paraId="6F2E54D9" w14:textId="28B34029" w:rsidR="00B7613B" w:rsidRPr="00D9348B" w:rsidRDefault="00B7613B" w:rsidP="00771A8F">
      <w:pPr>
        <w:pStyle w:val="Bullet"/>
        <w:numPr>
          <w:ilvl w:val="0"/>
          <w:numId w:val="20"/>
        </w:numPr>
      </w:pPr>
      <w:proofErr w:type="gramStart"/>
      <w:r w:rsidRPr="00D9348B">
        <w:t>significant</w:t>
      </w:r>
      <w:proofErr w:type="gramEnd"/>
      <w:r w:rsidRPr="00D9348B">
        <w:t xml:space="preserve"> increases to livestock productivity (for both milk and meat yield per head of</w:t>
      </w:r>
      <w:r w:rsidR="00213A7A">
        <w:t xml:space="preserve"> </w:t>
      </w:r>
      <w:r w:rsidR="00E418EE">
        <w:t>l</w:t>
      </w:r>
      <w:r w:rsidRPr="00D9348B">
        <w:t>ivestock, and lambing percentage) that have been achieved by New Zealand farmers since</w:t>
      </w:r>
      <w:r w:rsidR="00471DB7" w:rsidRPr="00D9348B">
        <w:t> </w:t>
      </w:r>
      <w:r w:rsidRPr="00D9348B">
        <w:t>1990. This has resulted in increased feed intake per animal to meet higher production energy demands. Increased feed intake results in increased CH</w:t>
      </w:r>
      <w:r w:rsidRPr="00D9348B">
        <w:rPr>
          <w:vertAlign w:val="subscript"/>
        </w:rPr>
        <w:t>4</w:t>
      </w:r>
      <w:r w:rsidRPr="00D9348B">
        <w:t xml:space="preserve"> (from increased enteric fermentation) and N</w:t>
      </w:r>
      <w:r w:rsidRPr="00D9348B">
        <w:rPr>
          <w:vertAlign w:val="subscript"/>
        </w:rPr>
        <w:t>2</w:t>
      </w:r>
      <w:r w:rsidRPr="00D9348B">
        <w:t>O emissions (from increased excreta deposited on pasture) per animal</w:t>
      </w:r>
    </w:p>
    <w:p w14:paraId="5F7A091C" w14:textId="77777777" w:rsidR="00B7613B" w:rsidRPr="00D9348B" w:rsidRDefault="00B7613B" w:rsidP="00B7613B">
      <w:pPr>
        <w:pStyle w:val="Bullet"/>
        <w:tabs>
          <w:tab w:val="clear" w:pos="567"/>
        </w:tabs>
      </w:pPr>
      <w:proofErr w:type="gramStart"/>
      <w:r w:rsidRPr="00D9348B">
        <w:t>the</w:t>
      </w:r>
      <w:proofErr w:type="gramEnd"/>
      <w:r w:rsidRPr="00D9348B">
        <w:t xml:space="preserve"> incidence of severe droughts, which forced many farmers to reduce their livestock populations, which in turn reduced livestock-related emissions. Noteworthy droughts that have affected the emission trend negatively, when compared with previous years, occurred in the summers of 2008, 2013, 2015 and 2016. The Ministry for Primary Industries produces quarterly reports that summarise the effects of these events at a sector level and provide short-term forecasts (for more information, see </w:t>
      </w:r>
      <w:hyperlink r:id="rId55" w:history="1">
        <w:r w:rsidRPr="00D9348B">
          <w:t>www.mpi.govt.nz/news-and-resources/economic-intelligence-unit/situation-and-outlook-for-primary-industries/</w:t>
        </w:r>
      </w:hyperlink>
      <w:r w:rsidRPr="00D9348B">
        <w:t>)</w:t>
      </w:r>
    </w:p>
    <w:p w14:paraId="67BC4FCF" w14:textId="77777777" w:rsidR="00B7613B" w:rsidRPr="00D9348B" w:rsidRDefault="00B7613B" w:rsidP="00771A8F">
      <w:pPr>
        <w:pStyle w:val="Bullet"/>
        <w:numPr>
          <w:ilvl w:val="0"/>
          <w:numId w:val="20"/>
        </w:numPr>
      </w:pPr>
      <w:proofErr w:type="gramStart"/>
      <w:r w:rsidRPr="00D9348B">
        <w:t>commodity</w:t>
      </w:r>
      <w:proofErr w:type="gramEnd"/>
      <w:r w:rsidRPr="00D9348B">
        <w:t xml:space="preserve"> price fluctuations that drive farmer investment decisions in livestock numbers and species as well as production inputs. The Ministry for Primary Industries produces quarterly reports that summarise these decisions at a sector level and provide short-term forecasts (for more information, see </w:t>
      </w:r>
      <w:hyperlink r:id="rId56" w:history="1">
        <w:r w:rsidRPr="00D9348B">
          <w:t>www.mpi.govt.nz/news-and-resources/economic-intelligence-unit/situation-and-outlook-for-primary-industries/</w:t>
        </w:r>
      </w:hyperlink>
      <w:r w:rsidRPr="00D9348B">
        <w:t>)</w:t>
      </w:r>
    </w:p>
    <w:p w14:paraId="3E4EB3D5" w14:textId="77777777" w:rsidR="00B7613B" w:rsidRPr="00D9348B" w:rsidRDefault="00B7613B" w:rsidP="00771A8F">
      <w:pPr>
        <w:pStyle w:val="Bullet"/>
        <w:numPr>
          <w:ilvl w:val="0"/>
          <w:numId w:val="20"/>
        </w:numPr>
      </w:pPr>
      <w:proofErr w:type="gramStart"/>
      <w:r w:rsidRPr="00D9348B">
        <w:t>shifting</w:t>
      </w:r>
      <w:proofErr w:type="gramEnd"/>
      <w:r w:rsidRPr="00D9348B">
        <w:t xml:space="preserve"> land use across different types of livestock farming and other agriculture. The Agriculture sector uses 45 per cent of New Zealand’s land area, mostly for grazing. Between 1990 and 2017, the area used for sheep, beef and deer grazing has decreased by 34.2 per cent (Beef + Lamb New Zealand Ltd, 2019), while the area used for dairy grazing has increased by 70.4 per cent (LIC and DairyNZ, 2019)</w:t>
      </w:r>
    </w:p>
    <w:p w14:paraId="6C55C0FA" w14:textId="77777777" w:rsidR="00B7613B" w:rsidRPr="00D9348B" w:rsidRDefault="00B7613B" w:rsidP="00771A8F">
      <w:pPr>
        <w:pStyle w:val="Bullet"/>
        <w:numPr>
          <w:ilvl w:val="0"/>
          <w:numId w:val="20"/>
        </w:numPr>
      </w:pPr>
      <w:proofErr w:type="gramStart"/>
      <w:r w:rsidRPr="00D9348B">
        <w:t>use</w:t>
      </w:r>
      <w:proofErr w:type="gramEnd"/>
      <w:r w:rsidRPr="00D9348B">
        <w:t xml:space="preserve"> of synthetic (not organic) nitrogen (N) fertiliser. The amount of synthetic N fertiliser applied to agricultural land has increased by 672.5 per cent since 1990. </w:t>
      </w:r>
    </w:p>
    <w:p w14:paraId="30D9256A" w14:textId="77777777" w:rsidR="00B7613B" w:rsidRPr="00D9348B" w:rsidRDefault="00B7613B" w:rsidP="00471DB7">
      <w:pPr>
        <w:pStyle w:val="Heading5"/>
        <w:spacing w:before="160"/>
      </w:pPr>
      <w:r w:rsidRPr="00D9348B">
        <w:t>2018</w:t>
      </w:r>
    </w:p>
    <w:p w14:paraId="157D313F" w14:textId="77777777" w:rsidR="00B7613B" w:rsidRPr="00D9348B" w:rsidRDefault="00B7613B" w:rsidP="00B7613B">
      <w:pPr>
        <w:pStyle w:val="BodyText"/>
      </w:pPr>
      <w:r w:rsidRPr="00D9348B">
        <w:t>In 2018, the Agriculture sector was responsible for 37,696.96 kt CO</w:t>
      </w:r>
      <w:r w:rsidRPr="00D9348B">
        <w:rPr>
          <w:vertAlign w:val="subscript"/>
        </w:rPr>
        <w:t>2</w:t>
      </w:r>
      <w:r w:rsidRPr="00D9348B">
        <w:t xml:space="preserve">-e (47.8 per cent of New Zealand’s gross emissions) (figure 2.2.9). </w:t>
      </w:r>
    </w:p>
    <w:p w14:paraId="7ED6FA47" w14:textId="24CB25AB" w:rsidR="00B7613B" w:rsidRPr="00D9348B" w:rsidRDefault="00B7613B" w:rsidP="00B7613B">
      <w:pPr>
        <w:pStyle w:val="BodyText"/>
      </w:pPr>
      <w:r w:rsidRPr="00D9348B">
        <w:t>The largest source of emissions from the Agriculture sector in 2018 was CH</w:t>
      </w:r>
      <w:r w:rsidRPr="00D9348B">
        <w:rPr>
          <w:vertAlign w:val="subscript"/>
        </w:rPr>
        <w:t>4</w:t>
      </w:r>
      <w:r w:rsidRPr="00D9348B">
        <w:t xml:space="preserve"> emissions from </w:t>
      </w:r>
      <w:proofErr w:type="gramStart"/>
      <w:r w:rsidRPr="00D9348B">
        <w:rPr>
          <w:i/>
          <w:iCs/>
        </w:rPr>
        <w:t>Enteric</w:t>
      </w:r>
      <w:proofErr w:type="gramEnd"/>
      <w:r w:rsidRPr="00D9348B">
        <w:rPr>
          <w:i/>
          <w:iCs/>
        </w:rPr>
        <w:t xml:space="preserve"> fermentation</w:t>
      </w:r>
      <w:r w:rsidRPr="00D9348B">
        <w:t xml:space="preserve"> (74.1 per cent of the total sector emissions) and N</w:t>
      </w:r>
      <w:r w:rsidRPr="00D9348B">
        <w:rPr>
          <w:vertAlign w:val="subscript"/>
        </w:rPr>
        <w:t>2</w:t>
      </w:r>
      <w:r w:rsidRPr="00D9348B">
        <w:t>O emissions from</w:t>
      </w:r>
      <w:r w:rsidR="00471DB7" w:rsidRPr="00D9348B">
        <w:t> </w:t>
      </w:r>
      <w:r w:rsidRPr="00D9348B">
        <w:rPr>
          <w:i/>
          <w:iCs/>
        </w:rPr>
        <w:t>Agricultural soils</w:t>
      </w:r>
      <w:r w:rsidRPr="00D9348B">
        <w:t xml:space="preserve"> (18.6 per cent of total sector emissions).</w:t>
      </w:r>
    </w:p>
    <w:p w14:paraId="184C5F12" w14:textId="77777777" w:rsidR="00B7613B" w:rsidRPr="00D9348B" w:rsidRDefault="00B7613B" w:rsidP="00471DB7">
      <w:pPr>
        <w:pStyle w:val="Figure"/>
        <w:spacing w:after="80"/>
      </w:pPr>
      <w:bookmarkStart w:id="279" w:name="_Toc481751981"/>
      <w:bookmarkStart w:id="280" w:name="_Toc511116928"/>
      <w:bookmarkStart w:id="281" w:name="_Toc5269661"/>
      <w:bookmarkStart w:id="282" w:name="_Toc36292764"/>
      <w:r w:rsidRPr="00D9348B">
        <w:lastRenderedPageBreak/>
        <w:t>Figure 2.2.9</w:t>
      </w:r>
      <w:r w:rsidRPr="00D9348B">
        <w:tab/>
        <w:t>New Zealand’s Agriculture sector emissions from 1990 to </w:t>
      </w:r>
      <w:bookmarkEnd w:id="279"/>
      <w:bookmarkEnd w:id="280"/>
      <w:bookmarkEnd w:id="281"/>
      <w:r w:rsidRPr="00D9348B">
        <w:t>2018</w:t>
      </w:r>
      <w:bookmarkEnd w:id="282"/>
    </w:p>
    <w:p w14:paraId="44E7F0F5" w14:textId="043D0509" w:rsidR="00B7613B" w:rsidRPr="00D9348B" w:rsidRDefault="007165CF" w:rsidP="00471DB7">
      <w:pPr>
        <w:spacing w:before="60" w:after="80"/>
      </w:pPr>
      <w:r>
        <w:pict w14:anchorId="37BF9151">
          <v:shape id="_x0000_i1044" type="#_x0000_t75" style="width:424.5pt;height:189.7pt">
            <v:imagedata r:id="rId57" o:title="Figure 2" croptop="2297f" cropbottom="3553f"/>
          </v:shape>
        </w:pict>
      </w:r>
    </w:p>
    <w:p w14:paraId="1113C26B" w14:textId="77777777" w:rsidR="00B7613B" w:rsidRPr="00D9348B" w:rsidRDefault="00B7613B" w:rsidP="00B7613B">
      <w:pPr>
        <w:pStyle w:val="Heading5"/>
      </w:pPr>
      <w:r w:rsidRPr="00D9348B">
        <w:t xml:space="preserve">1990–2018 </w:t>
      </w:r>
    </w:p>
    <w:p w14:paraId="3E164D6D" w14:textId="77777777" w:rsidR="00B7613B" w:rsidRPr="00D9348B" w:rsidRDefault="00B7613B" w:rsidP="00B7613B">
      <w:pPr>
        <w:pStyle w:val="BodyText"/>
      </w:pPr>
      <w:r w:rsidRPr="00D9348B">
        <w:t>In 2018, New Zealand’s Agriculture sector emissions were 17.1 per cent (5,515.0 kt CO</w:t>
      </w:r>
      <w:r w:rsidRPr="00D9348B">
        <w:rPr>
          <w:vertAlign w:val="subscript"/>
        </w:rPr>
        <w:t>2</w:t>
      </w:r>
      <w:r w:rsidRPr="00D9348B">
        <w:t>-e) above the 1990 level (32,181.96 kt CO</w:t>
      </w:r>
      <w:r w:rsidRPr="00D9348B">
        <w:rPr>
          <w:vertAlign w:val="subscript"/>
        </w:rPr>
        <w:t>2</w:t>
      </w:r>
      <w:r w:rsidRPr="00D9348B">
        <w:t>-e). This increase is primarily due to a 56.7 per cent (2,542.5 kt CO</w:t>
      </w:r>
      <w:r w:rsidRPr="00D9348B">
        <w:rPr>
          <w:vertAlign w:val="subscript"/>
        </w:rPr>
        <w:t>2</w:t>
      </w:r>
      <w:r w:rsidRPr="00D9348B">
        <w:t>-e) increase in N</w:t>
      </w:r>
      <w:r w:rsidRPr="00D9348B">
        <w:rPr>
          <w:vertAlign w:val="subscript"/>
        </w:rPr>
        <w:t>2</w:t>
      </w:r>
      <w:r w:rsidRPr="00D9348B">
        <w:t xml:space="preserve">O emissions in the </w:t>
      </w:r>
      <w:r w:rsidRPr="00D9348B">
        <w:rPr>
          <w:i/>
          <w:iCs/>
        </w:rPr>
        <w:t>Agricultural soils</w:t>
      </w:r>
      <w:r w:rsidRPr="00D9348B">
        <w:t xml:space="preserve"> category and a 5.2 per cent (1,390.0 kt CO</w:t>
      </w:r>
      <w:r w:rsidRPr="00D9348B">
        <w:rPr>
          <w:vertAlign w:val="subscript"/>
        </w:rPr>
        <w:t>2</w:t>
      </w:r>
      <w:r w:rsidRPr="00D9348B">
        <w:noBreakHyphen/>
        <w:t>e) increase in CH</w:t>
      </w:r>
      <w:r w:rsidRPr="00D9348B">
        <w:rPr>
          <w:vertAlign w:val="subscript"/>
        </w:rPr>
        <w:t>4</w:t>
      </w:r>
      <w:r w:rsidRPr="00D9348B">
        <w:t xml:space="preserve"> emissions in the </w:t>
      </w:r>
      <w:proofErr w:type="gramStart"/>
      <w:r w:rsidRPr="00D9348B">
        <w:rPr>
          <w:i/>
          <w:iCs/>
        </w:rPr>
        <w:t>Enteric</w:t>
      </w:r>
      <w:proofErr w:type="gramEnd"/>
      <w:r w:rsidRPr="00D9348B">
        <w:rPr>
          <w:i/>
          <w:iCs/>
        </w:rPr>
        <w:t xml:space="preserve"> fermentation</w:t>
      </w:r>
      <w:r w:rsidRPr="00D9348B">
        <w:t xml:space="preserve"> category. Emissions in 2018 were 1.1 per cent below their peak in 2014.</w:t>
      </w:r>
    </w:p>
    <w:p w14:paraId="78A51E2B" w14:textId="2523E5DD" w:rsidR="00B7613B" w:rsidRPr="00D9348B" w:rsidRDefault="00B7613B" w:rsidP="00B7613B">
      <w:pPr>
        <w:pStyle w:val="BodyText"/>
        <w:rPr>
          <w:u w:val="double"/>
        </w:rPr>
      </w:pPr>
      <w:r w:rsidRPr="00D9348B">
        <w:t>The main drivers for these changes were a 672.5 per cent increase in synthetic N fertiliser application and an 85.6 per cent increase in the size of the national dairy herd since 1990.</w:t>
      </w:r>
      <w:r w:rsidRPr="00D9348B">
        <w:rPr>
          <w:rStyle w:val="FootnoteReference"/>
        </w:rPr>
        <w:footnoteReference w:id="30"/>
      </w:r>
      <w:r w:rsidRPr="00D9348B">
        <w:t xml:space="preserve"> A</w:t>
      </w:r>
      <w:r w:rsidR="00471DB7" w:rsidRPr="00D9348B">
        <w:t> </w:t>
      </w:r>
      <w:r w:rsidRPr="00D9348B">
        <w:t xml:space="preserve">reduction of 52.9 per cent in the sheep population and 19.1 per cent in the non-dairy cattle population has partially offset these increases. </w:t>
      </w:r>
    </w:p>
    <w:p w14:paraId="71835413" w14:textId="77777777" w:rsidR="00B7613B" w:rsidRPr="00D9348B" w:rsidRDefault="00B7613B" w:rsidP="00B7613B">
      <w:pPr>
        <w:pStyle w:val="Heading5"/>
        <w:spacing w:before="200"/>
      </w:pPr>
      <w:r w:rsidRPr="00D9348B">
        <w:t xml:space="preserve">2017–2018 </w:t>
      </w:r>
    </w:p>
    <w:p w14:paraId="563D51DD" w14:textId="77777777" w:rsidR="00B7613B" w:rsidRPr="00D9348B" w:rsidRDefault="00B7613B" w:rsidP="00B7613B">
      <w:pPr>
        <w:pStyle w:val="BodyText"/>
        <w:spacing w:after="100"/>
      </w:pPr>
      <w:r w:rsidRPr="00D9348B">
        <w:t>Total agricultural emissions in 2018 were 0.7 per cent (278.2 kt CO</w:t>
      </w:r>
      <w:r w:rsidRPr="00D9348B">
        <w:rPr>
          <w:vertAlign w:val="subscript"/>
        </w:rPr>
        <w:t>2</w:t>
      </w:r>
      <w:r w:rsidRPr="00D9348B">
        <w:t xml:space="preserve">-e) higher than in 2017. This increase was due to an increase in emissions from non-dairy (beef) cattle, dairy cattle, sheep, and fertiliser use. </w:t>
      </w:r>
    </w:p>
    <w:p w14:paraId="097A79F5" w14:textId="77777777" w:rsidR="00B7613B" w:rsidRPr="00D9348B" w:rsidRDefault="00B7613B" w:rsidP="00B7613B">
      <w:pPr>
        <w:pStyle w:val="BodyText"/>
        <w:spacing w:after="100"/>
      </w:pPr>
      <w:r w:rsidRPr="00D9348B">
        <w:t>In 2018, non-dairy cattle emissions increased 1.3 per cent (82.0 kt CO</w:t>
      </w:r>
      <w:r w:rsidRPr="00D9348B">
        <w:rPr>
          <w:vertAlign w:val="subscript"/>
        </w:rPr>
        <w:t>2</w:t>
      </w:r>
      <w:r w:rsidRPr="00D9348B">
        <w:t>-e) as the population increased. Dairy cattle emissions increased 0.3 per cent (49.3 kt CO</w:t>
      </w:r>
      <w:r w:rsidRPr="00D9348B">
        <w:rPr>
          <w:vertAlign w:val="subscript"/>
        </w:rPr>
        <w:t>2</w:t>
      </w:r>
      <w:r w:rsidRPr="00D9348B">
        <w:t>-e), due to a reduction in the dairy population, which was partly offset by an increase in total milk production (LIC and DairyNZ, 2019). Sheep emissions increased 0.4 per cent (41.7 kt CO</w:t>
      </w:r>
      <w:r w:rsidRPr="00D9348B">
        <w:rPr>
          <w:vertAlign w:val="subscript"/>
        </w:rPr>
        <w:t>2</w:t>
      </w:r>
      <w:r w:rsidRPr="00D9348B">
        <w:t>-e), due to a small decrease in the sheep population, partially offset by an increase in average slaughter weights. The change between 2017 and 2018 is due to strong commodity prices (for dairy and meat products) as well as favourable climatic conditions supporting pasture growth.</w:t>
      </w:r>
    </w:p>
    <w:p w14:paraId="3AA56A58" w14:textId="0B25ED3F" w:rsidR="00B7613B" w:rsidRPr="00D9348B" w:rsidRDefault="00B7613B" w:rsidP="00B7613B">
      <w:pPr>
        <w:pStyle w:val="BodyText"/>
        <w:spacing w:before="100" w:after="100"/>
      </w:pPr>
      <w:r w:rsidRPr="00D9348B">
        <w:t>In 2018, emissions increased from synthetic N fertiliser, urea application and liming. These</w:t>
      </w:r>
      <w:r w:rsidR="00471DB7" w:rsidRPr="00D9348B">
        <w:t> </w:t>
      </w:r>
      <w:r w:rsidRPr="00D9348B">
        <w:t>increased 3.3 per cent (54.0 kt CO</w:t>
      </w:r>
      <w:r w:rsidRPr="00D9348B">
        <w:rPr>
          <w:vertAlign w:val="subscript"/>
        </w:rPr>
        <w:t>2</w:t>
      </w:r>
      <w:r w:rsidRPr="00D9348B">
        <w:t>-e) 3.4 per cent (19.9 kt CO</w:t>
      </w:r>
      <w:r w:rsidRPr="00D9348B">
        <w:rPr>
          <w:vertAlign w:val="subscript"/>
        </w:rPr>
        <w:t>2</w:t>
      </w:r>
      <w:r w:rsidRPr="00D9348B">
        <w:t>-e) and 7.7 per cent (35.3</w:t>
      </w:r>
      <w:r w:rsidR="00471DB7" w:rsidRPr="00D9348B">
        <w:t> </w:t>
      </w:r>
      <w:r w:rsidRPr="00D9348B">
        <w:t>kt</w:t>
      </w:r>
      <w:r w:rsidR="00471DB7" w:rsidRPr="00D9348B">
        <w:t> </w:t>
      </w:r>
      <w:r w:rsidRPr="00D9348B">
        <w:t>CO</w:t>
      </w:r>
      <w:r w:rsidRPr="00D9348B">
        <w:rPr>
          <w:vertAlign w:val="subscript"/>
        </w:rPr>
        <w:t>2</w:t>
      </w:r>
      <w:r w:rsidRPr="00D9348B">
        <w:t>-e) respectively.</w:t>
      </w:r>
    </w:p>
    <w:p w14:paraId="76ED909A" w14:textId="77777777" w:rsidR="00B7613B" w:rsidRPr="00D9348B" w:rsidRDefault="00B7613B" w:rsidP="00B7613B">
      <w:pPr>
        <w:pStyle w:val="Heading4"/>
      </w:pPr>
      <w:r w:rsidRPr="00D9348B">
        <w:t>LULUCF sector</w:t>
      </w:r>
    </w:p>
    <w:p w14:paraId="12D14D99" w14:textId="77777777" w:rsidR="00B7613B" w:rsidRPr="00D9348B" w:rsidRDefault="00B7613B" w:rsidP="00B7613B">
      <w:pPr>
        <w:pStyle w:val="BodyText"/>
      </w:pPr>
      <w:r w:rsidRPr="00D9348B">
        <w:t>The following information on LULUCF summarises reporting under the Convention. LULUCF activities under the Kyoto Protocol are covered in section 2.3.</w:t>
      </w:r>
    </w:p>
    <w:p w14:paraId="029A9E8F" w14:textId="77777777" w:rsidR="00B7613B" w:rsidRPr="00D9348B" w:rsidRDefault="00B7613B" w:rsidP="00471DB7">
      <w:pPr>
        <w:pStyle w:val="Heading5"/>
        <w:spacing w:before="160"/>
      </w:pPr>
      <w:r w:rsidRPr="00D9348B">
        <w:lastRenderedPageBreak/>
        <w:t>2018</w:t>
      </w:r>
    </w:p>
    <w:p w14:paraId="00C17B5E" w14:textId="77777777" w:rsidR="00B7613B" w:rsidRPr="00D9348B" w:rsidRDefault="00B7613B" w:rsidP="00B7613B">
      <w:pPr>
        <w:pStyle w:val="BodyText"/>
      </w:pPr>
      <w:r w:rsidRPr="00D9348B">
        <w:t xml:space="preserve">In 2018, the LULUCF sector under the Convention was a sink with a net emissions value of </w:t>
      </w:r>
      <w:r w:rsidRPr="00D9348B">
        <w:br/>
        <w:t>–23,394.1 kt CO</w:t>
      </w:r>
      <w:r w:rsidRPr="00D9348B">
        <w:rPr>
          <w:vertAlign w:val="subscript"/>
        </w:rPr>
        <w:t>2</w:t>
      </w:r>
      <w:r w:rsidRPr="00D9348B">
        <w:t xml:space="preserve">-e. This offset 29.7 per cent of New Zealand’s gross emissions. The category contributing the most to both removals and emissions is </w:t>
      </w:r>
      <w:r w:rsidRPr="00D9348B">
        <w:rPr>
          <w:i/>
        </w:rPr>
        <w:t>Forest land remaining forest land</w:t>
      </w:r>
      <w:r w:rsidRPr="00D9348B">
        <w:t>. This is because large removals of CO</w:t>
      </w:r>
      <w:r w:rsidRPr="00D9348B">
        <w:rPr>
          <w:vertAlign w:val="subscript"/>
        </w:rPr>
        <w:t xml:space="preserve">2 </w:t>
      </w:r>
      <w:r w:rsidRPr="00D9348B">
        <w:t>result from tree growth in this category and there are large emissions from the sustainable harvest of New Zealand’s plantation forests.</w:t>
      </w:r>
    </w:p>
    <w:p w14:paraId="19A66719" w14:textId="77777777" w:rsidR="00B7613B" w:rsidRPr="00D9348B" w:rsidRDefault="00B7613B" w:rsidP="00471DB7">
      <w:pPr>
        <w:pStyle w:val="Heading5"/>
        <w:spacing w:before="160"/>
      </w:pPr>
      <w:r w:rsidRPr="00D9348B">
        <w:t xml:space="preserve">1990–2018 </w:t>
      </w:r>
    </w:p>
    <w:p w14:paraId="1FCDD90F" w14:textId="77777777" w:rsidR="00B7613B" w:rsidRPr="00D9348B" w:rsidRDefault="00B7613B" w:rsidP="00B7613B">
      <w:pPr>
        <w:pStyle w:val="BodyText"/>
      </w:pPr>
      <w:r w:rsidRPr="00D9348B">
        <w:t xml:space="preserve">For the entire period 1990–2018, the LULUCF sector represented a net sink, that is, the total removals from the sector surpassed its total emissions. As a result, the total net emissions from the sector were negative for each reported year. </w:t>
      </w:r>
    </w:p>
    <w:p w14:paraId="370CD6E5" w14:textId="77777777" w:rsidR="00B7613B" w:rsidRPr="00D9348B" w:rsidRDefault="00B7613B" w:rsidP="00B7613B">
      <w:pPr>
        <w:pStyle w:val="BodyText"/>
      </w:pPr>
      <w:r w:rsidRPr="00D9348B">
        <w:t xml:space="preserve">From 1990 to 2018, net emissions from LULUCF increased by </w:t>
      </w:r>
      <w:r w:rsidRPr="00D9348B">
        <w:rPr>
          <w:spacing w:val="-2"/>
        </w:rPr>
        <w:t>4,903.0</w:t>
      </w:r>
      <w:r w:rsidRPr="00D9348B">
        <w:t xml:space="preserve"> kt CO</w:t>
      </w:r>
      <w:r w:rsidRPr="00D9348B">
        <w:rPr>
          <w:vertAlign w:val="subscript"/>
        </w:rPr>
        <w:t>2</w:t>
      </w:r>
      <w:r w:rsidRPr="00D9348B">
        <w:t>-e (17.3 per cent) from the 1990 level of –</w:t>
      </w:r>
      <w:r w:rsidRPr="00D9348B">
        <w:rPr>
          <w:spacing w:val="-2"/>
        </w:rPr>
        <w:t xml:space="preserve">28,297.0 </w:t>
      </w:r>
      <w:r w:rsidRPr="00D9348B">
        <w:t>kt CO</w:t>
      </w:r>
      <w:r w:rsidRPr="00D9348B">
        <w:rPr>
          <w:vertAlign w:val="subscript"/>
        </w:rPr>
        <w:t>2</w:t>
      </w:r>
      <w:r w:rsidRPr="00D9348B">
        <w:t xml:space="preserve">-e (see figure 2.2.10). The increase in net emissions in the </w:t>
      </w:r>
      <w:r w:rsidRPr="00D9348B">
        <w:rPr>
          <w:i/>
        </w:rPr>
        <w:t xml:space="preserve">Forest land </w:t>
      </w:r>
      <w:r w:rsidRPr="00D9348B">
        <w:t xml:space="preserve">category is due to higher levels of harvesting occurring in 2018, because a larger proportion of the production forest estate is at harvest age. The increase in net emissions in the </w:t>
      </w:r>
      <w:r w:rsidRPr="00D9348B">
        <w:rPr>
          <w:i/>
        </w:rPr>
        <w:t>Grassland</w:t>
      </w:r>
      <w:r w:rsidRPr="00D9348B">
        <w:t xml:space="preserve"> category is due to higher levels of deforestation occurring in 2018 than in 1990.</w:t>
      </w:r>
    </w:p>
    <w:p w14:paraId="029CCEF6" w14:textId="77777777" w:rsidR="00B7613B" w:rsidRPr="00D9348B" w:rsidRDefault="00B7613B" w:rsidP="00B7613B">
      <w:pPr>
        <w:pStyle w:val="BodyText"/>
      </w:pPr>
      <w:r w:rsidRPr="00D9348B">
        <w:t>The fluctuations in net emissions from the LULUCF sector (see figure 2.2.6) are influenced by harvesting and deforestation rates. Harvesting rates are driven by a number of factors, particularly forest age and log prices. Deforestation rates are driven largely by the relative profitability of forestry compared with alternative land uses. The increase in net emissions between 2004 and 2007 was largely due to the increase in planted forest deforestation that occurred leading up to 2008, immediately prior to the introduction of the New Zealand Emissions Trading Scheme.</w:t>
      </w:r>
      <w:r w:rsidRPr="00D9348B">
        <w:rPr>
          <w:vertAlign w:val="superscript"/>
        </w:rPr>
        <w:footnoteReference w:id="31"/>
      </w:r>
      <w:r w:rsidRPr="00D9348B">
        <w:t xml:space="preserve"> Emissions were subsequently markedly lower in 2008. The level of harvesting initially remained fairly flat but has been on an increasing trend since 2010.</w:t>
      </w:r>
    </w:p>
    <w:p w14:paraId="54BC5695" w14:textId="77777777" w:rsidR="00B7613B" w:rsidRPr="00D9348B" w:rsidRDefault="00B7613B" w:rsidP="00B7613B">
      <w:pPr>
        <w:pStyle w:val="Figure"/>
        <w:spacing w:after="0"/>
      </w:pPr>
      <w:bookmarkStart w:id="283" w:name="_Toc481751982"/>
      <w:bookmarkStart w:id="284" w:name="_Toc511116929"/>
      <w:bookmarkStart w:id="285" w:name="_Toc5269662"/>
      <w:bookmarkStart w:id="286" w:name="_Toc36292765"/>
      <w:r w:rsidRPr="00D9348B">
        <w:t>Figure 2.2.10</w:t>
      </w:r>
      <w:r w:rsidRPr="00D9348B">
        <w:tab/>
        <w:t>New Zealand’s LULUCF sector net emissions from 1990 to</w:t>
      </w:r>
      <w:bookmarkEnd w:id="283"/>
      <w:r w:rsidRPr="00D9348B">
        <w:t> </w:t>
      </w:r>
      <w:bookmarkEnd w:id="284"/>
      <w:r w:rsidRPr="00D9348B">
        <w:t>2018</w:t>
      </w:r>
      <w:bookmarkEnd w:id="285"/>
      <w:bookmarkEnd w:id="286"/>
    </w:p>
    <w:p w14:paraId="58527A35" w14:textId="71CEE4AB" w:rsidR="00B7613B" w:rsidRPr="00D9348B" w:rsidRDefault="007165CF" w:rsidP="00F07042">
      <w:pPr>
        <w:pStyle w:val="BodyText"/>
        <w:spacing w:before="60"/>
      </w:pPr>
      <w:r>
        <w:pict w14:anchorId="671B8A6B">
          <v:shape id="Picture 1" o:spid="_x0000_i1045" type="#_x0000_t75" style="width:409.45pt;height:194.7pt;visibility:visible;mso-wrap-style:square">
            <v:imagedata r:id="rId58" o:title="Figure 2" croptop="2788f" cropbottom="3596f"/>
          </v:shape>
        </w:pict>
      </w:r>
    </w:p>
    <w:p w14:paraId="6F271932" w14:textId="77777777" w:rsidR="00B7613B" w:rsidRPr="00D9348B" w:rsidRDefault="00B7613B" w:rsidP="00B7613B">
      <w:pPr>
        <w:pStyle w:val="Heading5"/>
      </w:pPr>
      <w:r w:rsidRPr="00D9348B">
        <w:lastRenderedPageBreak/>
        <w:t>2017–2018</w:t>
      </w:r>
    </w:p>
    <w:p w14:paraId="49FE7A1E" w14:textId="77777777" w:rsidR="00B7613B" w:rsidRPr="00D9348B" w:rsidRDefault="00B7613B" w:rsidP="00F07042">
      <w:pPr>
        <w:pStyle w:val="BodyText"/>
        <w:keepLines/>
      </w:pPr>
      <w:r w:rsidRPr="00D9348B">
        <w:t xml:space="preserve">Between 2017 and 2018, net emissions from the LULUCF sector decreased by </w:t>
      </w:r>
      <w:r w:rsidRPr="00D9348B">
        <w:rPr>
          <w:spacing w:val="-2"/>
        </w:rPr>
        <w:t>684.0 kt CO</w:t>
      </w:r>
      <w:r w:rsidRPr="00D9348B">
        <w:rPr>
          <w:spacing w:val="-2"/>
          <w:vertAlign w:val="subscript"/>
        </w:rPr>
        <w:t>2</w:t>
      </w:r>
      <w:r w:rsidRPr="00D9348B">
        <w:rPr>
          <w:spacing w:val="-2"/>
        </w:rPr>
        <w:t>-e (</w:t>
      </w:r>
      <w:r w:rsidRPr="00D9348B">
        <w:t xml:space="preserve">3.0 per cent). The largest change occurred within the </w:t>
      </w:r>
      <w:r w:rsidRPr="00D9348B">
        <w:rPr>
          <w:i/>
        </w:rPr>
        <w:t>Harvested wood products</w:t>
      </w:r>
      <w:r w:rsidRPr="00D9348B">
        <w:t xml:space="preserve"> category due to an increase in the production of harvested wood products, resulting in a decrease in emissions. The increased production of harvested wood products resulted from an increase in the rate of harvesting of planted forests between 2017 and 2018. This increase in harvesting also contributed to an increase in emissions from </w:t>
      </w:r>
      <w:r w:rsidRPr="00D9348B">
        <w:rPr>
          <w:i/>
        </w:rPr>
        <w:t>Forest land</w:t>
      </w:r>
      <w:r w:rsidRPr="00D9348B">
        <w:t xml:space="preserve"> by 2,150.9 kt </w:t>
      </w:r>
      <w:r w:rsidRPr="00D9348B">
        <w:rPr>
          <w:spacing w:val="-2"/>
        </w:rPr>
        <w:t>CO</w:t>
      </w:r>
      <w:r w:rsidRPr="00D9348B">
        <w:rPr>
          <w:spacing w:val="-2"/>
          <w:vertAlign w:val="subscript"/>
        </w:rPr>
        <w:t>2</w:t>
      </w:r>
      <w:r w:rsidRPr="00D9348B">
        <w:rPr>
          <w:spacing w:val="-2"/>
        </w:rPr>
        <w:t>-e over this period, the second-largest change in emissions for the LULUCF sector.</w:t>
      </w:r>
    </w:p>
    <w:p w14:paraId="429F9A8E" w14:textId="77777777" w:rsidR="00B7613B" w:rsidRPr="00D9348B" w:rsidRDefault="00B7613B" w:rsidP="00471DB7">
      <w:pPr>
        <w:pStyle w:val="Heading4"/>
        <w:spacing w:before="200"/>
      </w:pPr>
      <w:bookmarkStart w:id="287" w:name="_Toc448321503"/>
      <w:bookmarkStart w:id="288" w:name="_Toc511116580"/>
      <w:bookmarkStart w:id="289" w:name="_Toc5269342"/>
      <w:r w:rsidRPr="00D9348B">
        <w:t>Waste sector</w:t>
      </w:r>
    </w:p>
    <w:p w14:paraId="7FF90243" w14:textId="77777777" w:rsidR="00B7613B" w:rsidRPr="00D9348B" w:rsidRDefault="00B7613B" w:rsidP="00B7613B">
      <w:pPr>
        <w:pStyle w:val="BodyText"/>
        <w:rPr>
          <w:rFonts w:eastAsia="+mn-ea"/>
          <w:b/>
        </w:rPr>
      </w:pPr>
      <w:r w:rsidRPr="00D9348B">
        <w:rPr>
          <w:rFonts w:eastAsia="+mn-ea"/>
        </w:rPr>
        <w:t>The Waste sector in New Zealand produces mainly CH</w:t>
      </w:r>
      <w:r w:rsidRPr="00D9348B">
        <w:rPr>
          <w:rFonts w:eastAsia="+mn-ea"/>
          <w:vertAlign w:val="subscript"/>
        </w:rPr>
        <w:t>4</w:t>
      </w:r>
      <w:r w:rsidRPr="00D9348B">
        <w:rPr>
          <w:rFonts w:eastAsia="+mn-ea"/>
        </w:rPr>
        <w:t xml:space="preserve"> emissions (96.7 per cent) followed by N</w:t>
      </w:r>
      <w:r w:rsidRPr="00D9348B">
        <w:rPr>
          <w:rFonts w:eastAsia="+mn-ea"/>
          <w:vertAlign w:val="subscript"/>
        </w:rPr>
        <w:t>2</w:t>
      </w:r>
      <w:r w:rsidRPr="00D9348B">
        <w:rPr>
          <w:rFonts w:eastAsia="+mn-ea"/>
        </w:rPr>
        <w:t>O emissions (3.3 per cent) and CO</w:t>
      </w:r>
      <w:r w:rsidRPr="00D9348B">
        <w:rPr>
          <w:rFonts w:eastAsia="+mn-ea"/>
          <w:vertAlign w:val="subscript"/>
        </w:rPr>
        <w:t>2</w:t>
      </w:r>
      <w:r w:rsidRPr="00D9348B">
        <w:rPr>
          <w:rFonts w:eastAsia="+mn-ea"/>
        </w:rPr>
        <w:t xml:space="preserve"> emissions (0.1 per cent). There are additional CO</w:t>
      </w:r>
      <w:r w:rsidRPr="00D9348B">
        <w:rPr>
          <w:rFonts w:eastAsia="+mn-ea"/>
          <w:vertAlign w:val="subscript"/>
        </w:rPr>
        <w:t>2</w:t>
      </w:r>
      <w:r w:rsidRPr="00D9348B">
        <w:rPr>
          <w:rFonts w:eastAsia="+mn-ea"/>
        </w:rPr>
        <w:t xml:space="preserve"> emissions from the disposal of solid waste. These additional CO</w:t>
      </w:r>
      <w:r w:rsidRPr="00D9348B">
        <w:rPr>
          <w:rFonts w:eastAsia="+mn-ea"/>
          <w:vertAlign w:val="subscript"/>
        </w:rPr>
        <w:t>2</w:t>
      </w:r>
      <w:r w:rsidRPr="00D9348B">
        <w:rPr>
          <w:rFonts w:eastAsia="+mn-ea"/>
        </w:rPr>
        <w:t xml:space="preserve"> emissions are biogenic in origin and, therefore, are not reported in line with the 2006 </w:t>
      </w:r>
      <w:r w:rsidRPr="00D9348B">
        <w:t>Intergovernmental Panel on Climate Change</w:t>
      </w:r>
      <w:r w:rsidRPr="00D9348B">
        <w:rPr>
          <w:rFonts w:eastAsia="+mn-ea"/>
        </w:rPr>
        <w:t xml:space="preserve"> Guidelines (IPCC, 2006).</w:t>
      </w:r>
    </w:p>
    <w:p w14:paraId="0ED8CBE3" w14:textId="77777777" w:rsidR="00B7613B" w:rsidRPr="00D9348B" w:rsidRDefault="00B7613B" w:rsidP="00471DB7">
      <w:pPr>
        <w:pStyle w:val="Heading5"/>
        <w:spacing w:before="160"/>
      </w:pPr>
      <w:r w:rsidRPr="00D9348B">
        <w:t>2018</w:t>
      </w:r>
    </w:p>
    <w:p w14:paraId="2E128D92" w14:textId="77777777" w:rsidR="00B7613B" w:rsidRPr="00D9348B" w:rsidRDefault="00B7613B" w:rsidP="00B7613B">
      <w:pPr>
        <w:pStyle w:val="BodyText"/>
        <w:rPr>
          <w:spacing w:val="-2"/>
        </w:rPr>
      </w:pPr>
      <w:r w:rsidRPr="00D9348B">
        <w:rPr>
          <w:spacing w:val="-2"/>
        </w:rPr>
        <w:t>In 2018, emissions from the Waste sector contributed 4,057.4 kt CO</w:t>
      </w:r>
      <w:r w:rsidRPr="00D9348B">
        <w:rPr>
          <w:spacing w:val="-2"/>
          <w:vertAlign w:val="subscript"/>
        </w:rPr>
        <w:t>2</w:t>
      </w:r>
      <w:r w:rsidRPr="00D9348B">
        <w:rPr>
          <w:spacing w:val="-2"/>
        </w:rPr>
        <w:t xml:space="preserve">-e or 5.1 per cent of New Zealand’s gross GHG emissions. The largest source category is the </w:t>
      </w:r>
      <w:r w:rsidRPr="00D9348B">
        <w:rPr>
          <w:i/>
          <w:spacing w:val="-2"/>
        </w:rPr>
        <w:t>Solid waste disposal</w:t>
      </w:r>
      <w:r w:rsidRPr="00D9348B">
        <w:rPr>
          <w:spacing w:val="-2"/>
        </w:rPr>
        <w:t xml:space="preserve"> category.</w:t>
      </w:r>
    </w:p>
    <w:p w14:paraId="18CDE62B" w14:textId="77777777" w:rsidR="00B7613B" w:rsidRPr="00D9348B" w:rsidRDefault="00B7613B" w:rsidP="00471DB7">
      <w:pPr>
        <w:pStyle w:val="Heading5"/>
        <w:spacing w:before="160"/>
      </w:pPr>
      <w:r w:rsidRPr="00D9348B">
        <w:t>1990–2018</w:t>
      </w:r>
    </w:p>
    <w:p w14:paraId="2E03C814" w14:textId="77777777" w:rsidR="00B7613B" w:rsidRPr="00D9348B" w:rsidRDefault="00B7613B" w:rsidP="00B7613B">
      <w:pPr>
        <w:pStyle w:val="BodyText"/>
        <w:rPr>
          <w:rFonts w:eastAsia="+mn-ea"/>
        </w:rPr>
      </w:pPr>
      <w:r w:rsidRPr="00D9348B">
        <w:rPr>
          <w:rFonts w:eastAsia="+mn-ea"/>
        </w:rPr>
        <w:t>Total Waste sector emissions in 2018 were 9.8 kt CO</w:t>
      </w:r>
      <w:r w:rsidRPr="00D9348B">
        <w:rPr>
          <w:rFonts w:eastAsia="+mn-ea"/>
          <w:vertAlign w:val="subscript"/>
        </w:rPr>
        <w:t>2</w:t>
      </w:r>
      <w:r w:rsidRPr="00D9348B">
        <w:rPr>
          <w:rFonts w:eastAsia="+mn-ea"/>
        </w:rPr>
        <w:t>-e (0.2 per cent) above 1990 emissions of 4,047.6 kt CO</w:t>
      </w:r>
      <w:r w:rsidRPr="00D9348B">
        <w:rPr>
          <w:rFonts w:eastAsia="+mn-ea"/>
          <w:vertAlign w:val="subscript"/>
        </w:rPr>
        <w:t>2</w:t>
      </w:r>
      <w:r w:rsidRPr="00D9348B">
        <w:rPr>
          <w:rFonts w:eastAsia="+mn-ea"/>
        </w:rPr>
        <w:t>-e. Annual emissions increased between 1990 and 2002, peaking at 4,838.2 kt CO</w:t>
      </w:r>
      <w:r w:rsidRPr="00D9348B">
        <w:rPr>
          <w:rFonts w:eastAsia="+mn-ea"/>
          <w:vertAlign w:val="subscript"/>
        </w:rPr>
        <w:t>2</w:t>
      </w:r>
      <w:r w:rsidRPr="00D9348B">
        <w:rPr>
          <w:rFonts w:eastAsia="+mn-ea"/>
        </w:rPr>
        <w:noBreakHyphen/>
        <w:t>e in 2002, and have generally decreased since that time. The increase between 1990 and 2002 was the result of ongoing growth in population and economic activity. This resulted in increasing volumes of solid waste and wastewater for the whole of the time series. Waste sector emissions have been trending down since 2005, in spite of these increasing volumes.</w:t>
      </w:r>
      <w:r w:rsidRPr="00D9348B" w:rsidDel="001D789A">
        <w:rPr>
          <w:rFonts w:eastAsia="+mn-ea"/>
        </w:rPr>
        <w:t xml:space="preserve"> </w:t>
      </w:r>
      <w:r w:rsidRPr="00D9348B">
        <w:rPr>
          <w:rFonts w:eastAsia="+mn-ea"/>
        </w:rPr>
        <w:t xml:space="preserve">This is due to improvements in the management of solid waste disposal at municipal landfills, particularly increased </w:t>
      </w:r>
      <w:r w:rsidRPr="00D9348B">
        <w:t>CH</w:t>
      </w:r>
      <w:r w:rsidRPr="00D9348B">
        <w:rPr>
          <w:vertAlign w:val="subscript"/>
        </w:rPr>
        <w:t>4</w:t>
      </w:r>
      <w:r w:rsidRPr="00D9348B">
        <w:rPr>
          <w:rFonts w:eastAsia="+mn-ea"/>
        </w:rPr>
        <w:t xml:space="preserve"> recovery. </w:t>
      </w:r>
      <w:r w:rsidRPr="00D9348B">
        <w:t>The trends are shown in figure 2.2.11 and figures 7.1.1 and 7.1.2 in chapter 7.</w:t>
      </w:r>
    </w:p>
    <w:p w14:paraId="621F738A" w14:textId="77777777" w:rsidR="00B7613B" w:rsidRPr="00D9348B" w:rsidRDefault="00B7613B" w:rsidP="00B7613B">
      <w:pPr>
        <w:pStyle w:val="Figure"/>
      </w:pPr>
      <w:bookmarkStart w:id="290" w:name="_Toc511116930"/>
      <w:bookmarkStart w:id="291" w:name="_Toc5269663"/>
      <w:bookmarkStart w:id="292" w:name="_Toc36292766"/>
      <w:r w:rsidRPr="00D9348B">
        <w:t>Figure 2.2.11</w:t>
      </w:r>
      <w:r w:rsidRPr="00D9348B">
        <w:tab/>
        <w:t>New Zealand’s Waste sector emissions from 1990 to </w:t>
      </w:r>
      <w:bookmarkEnd w:id="290"/>
      <w:bookmarkEnd w:id="291"/>
      <w:r w:rsidRPr="00D9348B">
        <w:t>2018</w:t>
      </w:r>
      <w:bookmarkEnd w:id="292"/>
    </w:p>
    <w:p w14:paraId="6BA071E3" w14:textId="4AFFD59D" w:rsidR="00B7613B" w:rsidRPr="00D9348B" w:rsidRDefault="007165CF" w:rsidP="00F07042">
      <w:pPr>
        <w:pStyle w:val="BodyText"/>
        <w:spacing w:before="60"/>
      </w:pPr>
      <w:r>
        <w:pict w14:anchorId="4B36AADD">
          <v:shape id="_x0000_i1046" type="#_x0000_t75" style="width:405.1pt;height:213.5pt">
            <v:imagedata r:id="rId59" o:title="Figure 2" cropbottom="2686f"/>
          </v:shape>
        </w:pict>
      </w:r>
    </w:p>
    <w:p w14:paraId="053DFBDE" w14:textId="77777777" w:rsidR="00B7613B" w:rsidRPr="00D9348B" w:rsidRDefault="00B7613B" w:rsidP="00B7613B">
      <w:pPr>
        <w:pStyle w:val="Heading5"/>
      </w:pPr>
      <w:r w:rsidRPr="00D9348B">
        <w:lastRenderedPageBreak/>
        <w:t>2017–2018</w:t>
      </w:r>
    </w:p>
    <w:p w14:paraId="35F4246D" w14:textId="72C47248" w:rsidR="00B7613B" w:rsidRPr="00D9348B" w:rsidRDefault="00B7613B" w:rsidP="00B7613B">
      <w:pPr>
        <w:pStyle w:val="BodyText"/>
      </w:pPr>
      <w:r w:rsidRPr="00D9348B">
        <w:t>Total Waste sector emissions in 2018 were 35.2 kt CO</w:t>
      </w:r>
      <w:r w:rsidRPr="00D9348B">
        <w:rPr>
          <w:vertAlign w:val="subscript"/>
        </w:rPr>
        <w:t>2</w:t>
      </w:r>
      <w:r w:rsidRPr="00D9348B">
        <w:t>-e (0.9 per cent) lower than in 2017. This</w:t>
      </w:r>
      <w:r w:rsidR="00471DB7" w:rsidRPr="00D9348B">
        <w:t> </w:t>
      </w:r>
      <w:r w:rsidRPr="00D9348B">
        <w:t>decrease is largely the result of decreases in CH</w:t>
      </w:r>
      <w:r w:rsidRPr="00D9348B">
        <w:rPr>
          <w:vertAlign w:val="subscript"/>
        </w:rPr>
        <w:t>4</w:t>
      </w:r>
      <w:r w:rsidRPr="00D9348B">
        <w:t xml:space="preserve"> emissions in the</w:t>
      </w:r>
      <w:r w:rsidRPr="00D9348B">
        <w:rPr>
          <w:i/>
        </w:rPr>
        <w:t xml:space="preserve"> Solid waste disposal</w:t>
      </w:r>
      <w:r w:rsidRPr="00D9348B">
        <w:t xml:space="preserve"> category, due to an increase in CH</w:t>
      </w:r>
      <w:r w:rsidRPr="00D9348B">
        <w:rPr>
          <w:vertAlign w:val="subscript"/>
        </w:rPr>
        <w:t>4</w:t>
      </w:r>
      <w:r w:rsidRPr="00D9348B">
        <w:t xml:space="preserve"> recovery and a slight reduction in farm waste.</w:t>
      </w:r>
    </w:p>
    <w:p w14:paraId="72264CF3" w14:textId="77777777" w:rsidR="00B7613B" w:rsidRPr="00D9348B" w:rsidRDefault="00B7613B" w:rsidP="00B7613B">
      <w:pPr>
        <w:pStyle w:val="Heading4"/>
      </w:pPr>
      <w:r w:rsidRPr="00D9348B">
        <w:t>Other sector (Tokelau)</w:t>
      </w:r>
    </w:p>
    <w:p w14:paraId="426300EF" w14:textId="096E9AF3" w:rsidR="00B7613B" w:rsidRPr="00D9348B" w:rsidRDefault="00B7613B" w:rsidP="00B7613B">
      <w:pPr>
        <w:pStyle w:val="BodyText"/>
        <w:rPr>
          <w:spacing w:val="-2"/>
        </w:rPr>
      </w:pPr>
      <w:r w:rsidRPr="00D9348B">
        <w:rPr>
          <w:spacing w:val="-2"/>
        </w:rPr>
        <w:t>Beginning with the 2019 submission, New Zealand’s national inventory includes emissions from</w:t>
      </w:r>
      <w:r w:rsidR="00F07042" w:rsidRPr="00D9348B">
        <w:rPr>
          <w:spacing w:val="-2"/>
        </w:rPr>
        <w:t> </w:t>
      </w:r>
      <w:r w:rsidRPr="00D9348B">
        <w:rPr>
          <w:spacing w:val="-2"/>
        </w:rPr>
        <w:t>Tokelau, which is an overseas dependent territory of New Zealand. Table 2.2.2 shows the contribution of emissions from Tokelau. Generally in New Zealand’s inventory, net and gross emissions will be reported as a total of emissions from New Zealand’s mainland territory, plus emissions from Tokelau where applicable. Because emissions from Tokelau are small, and the methodology varies greatly between Tokelau and the rest of New Zealand’s inventory, emissions from Tokelau are reported in the Other sector, and methodological issues for Tokelau are detailed in chapter 8 of the National Inventory Report, separately from the sectoral chapters that focus on methods for New Zealand’s mainland territory only. A set of tables in annex 7 provides details on time series for emissions, activity data, and information on methods and emission factors for each sector and category contributing to the gross emissions from Tokelau.</w:t>
      </w:r>
    </w:p>
    <w:p w14:paraId="6B27B800" w14:textId="77777777" w:rsidR="00B7613B" w:rsidRPr="00D9348B" w:rsidRDefault="00B7613B" w:rsidP="00B7613B">
      <w:pPr>
        <w:pStyle w:val="Table"/>
      </w:pPr>
      <w:bookmarkStart w:id="293" w:name="_Toc36224520"/>
      <w:r w:rsidRPr="00D9348B">
        <w:t xml:space="preserve">Table 2.2.2 </w:t>
      </w:r>
      <w:r w:rsidRPr="00D9348B">
        <w:tab/>
        <w:t>Emissions from Tokelau</w:t>
      </w:r>
      <w:bookmarkEnd w:id="293"/>
    </w:p>
    <w:tbl>
      <w:tblPr>
        <w:tblW w:w="8562" w:type="dxa"/>
        <w:tblInd w:w="108" w:type="dxa"/>
        <w:tblBorders>
          <w:bottom w:val="single" w:sz="8" w:space="0" w:color="365F91"/>
          <w:insideH w:val="single" w:sz="8" w:space="0" w:color="365F91"/>
        </w:tblBorders>
        <w:tblLayout w:type="fixed"/>
        <w:tblLook w:val="01E0" w:firstRow="1" w:lastRow="1" w:firstColumn="1" w:lastColumn="1" w:noHBand="0" w:noVBand="0"/>
      </w:tblPr>
      <w:tblGrid>
        <w:gridCol w:w="2019"/>
        <w:gridCol w:w="850"/>
        <w:gridCol w:w="781"/>
        <w:gridCol w:w="1543"/>
        <w:gridCol w:w="844"/>
        <w:gridCol w:w="1262"/>
        <w:gridCol w:w="1263"/>
      </w:tblGrid>
      <w:tr w:rsidR="00B7613B" w:rsidRPr="00D9348B" w14:paraId="1768BE8C" w14:textId="77777777" w:rsidTr="00DB330E">
        <w:trPr>
          <w:trHeight w:val="528"/>
        </w:trPr>
        <w:tc>
          <w:tcPr>
            <w:tcW w:w="2019" w:type="dxa"/>
            <w:vMerge w:val="restart"/>
            <w:tcBorders>
              <w:top w:val="single" w:sz="4" w:space="0" w:color="365F91"/>
              <w:left w:val="nil"/>
              <w:bottom w:val="nil"/>
              <w:right w:val="nil"/>
              <w:tl2br w:val="nil"/>
              <w:tr2bl w:val="nil"/>
            </w:tcBorders>
            <w:shd w:val="clear" w:color="auto" w:fill="365F91"/>
            <w:vAlign w:val="bottom"/>
          </w:tcPr>
          <w:p w14:paraId="6DCAB668" w14:textId="77777777" w:rsidR="00B7613B" w:rsidRPr="00D9348B" w:rsidRDefault="00B7613B" w:rsidP="00DB330E">
            <w:pPr>
              <w:pStyle w:val="TableTextBold"/>
              <w:keepNext/>
              <w:rPr>
                <w:noProof w:val="0"/>
                <w:color w:val="FFFFFF"/>
              </w:rPr>
            </w:pPr>
            <w:r w:rsidRPr="00D9348B">
              <w:rPr>
                <w:noProof w:val="0"/>
                <w:color w:val="FFFFFF"/>
              </w:rPr>
              <w:t>Sector</w:t>
            </w:r>
          </w:p>
        </w:tc>
        <w:tc>
          <w:tcPr>
            <w:tcW w:w="1631" w:type="dxa"/>
            <w:gridSpan w:val="2"/>
            <w:tcBorders>
              <w:top w:val="single" w:sz="4" w:space="0" w:color="365F91"/>
              <w:left w:val="nil"/>
              <w:bottom w:val="nil"/>
              <w:right w:val="nil"/>
              <w:tl2br w:val="nil"/>
              <w:tr2bl w:val="nil"/>
            </w:tcBorders>
            <w:shd w:val="clear" w:color="auto" w:fill="365F91"/>
            <w:vAlign w:val="bottom"/>
          </w:tcPr>
          <w:p w14:paraId="14C4AEE4" w14:textId="77777777" w:rsidR="00B7613B" w:rsidRPr="00D9348B" w:rsidRDefault="00B7613B" w:rsidP="00DB330E">
            <w:pPr>
              <w:pStyle w:val="TableTextBold"/>
              <w:keepNext/>
              <w:spacing w:before="120" w:after="0"/>
              <w:jc w:val="center"/>
              <w:rPr>
                <w:noProof w:val="0"/>
                <w:color w:val="FFFFFF"/>
              </w:rPr>
            </w:pPr>
            <w:r w:rsidRPr="00D9348B">
              <w:rPr>
                <w:rFonts w:cs="Arial"/>
                <w:bCs/>
                <w:noProof w:val="0"/>
                <w:color w:val="FFFFFF"/>
              </w:rPr>
              <w:t>kt CO</w:t>
            </w:r>
            <w:r w:rsidRPr="00D9348B">
              <w:rPr>
                <w:rFonts w:cs="Arial"/>
                <w:bCs/>
                <w:noProof w:val="0"/>
                <w:color w:val="FFFFFF"/>
                <w:vertAlign w:val="subscript"/>
              </w:rPr>
              <w:t>2</w:t>
            </w:r>
            <w:r w:rsidRPr="00D9348B">
              <w:rPr>
                <w:rFonts w:cs="Arial"/>
                <w:bCs/>
                <w:noProof w:val="0"/>
                <w:color w:val="FFFFFF"/>
              </w:rPr>
              <w:t>-equivalent</w:t>
            </w:r>
          </w:p>
        </w:tc>
        <w:tc>
          <w:tcPr>
            <w:tcW w:w="2387" w:type="dxa"/>
            <w:gridSpan w:val="2"/>
            <w:tcBorders>
              <w:top w:val="single" w:sz="4" w:space="0" w:color="365F91"/>
              <w:left w:val="nil"/>
              <w:bottom w:val="nil"/>
              <w:right w:val="nil"/>
              <w:tl2br w:val="nil"/>
              <w:tr2bl w:val="nil"/>
            </w:tcBorders>
            <w:shd w:val="clear" w:color="auto" w:fill="365F91"/>
            <w:vAlign w:val="bottom"/>
          </w:tcPr>
          <w:p w14:paraId="58762516" w14:textId="77777777" w:rsidR="00B7613B" w:rsidRPr="00D9348B" w:rsidRDefault="00B7613B" w:rsidP="00DB330E">
            <w:pPr>
              <w:pStyle w:val="TableTextBold"/>
              <w:keepNext/>
              <w:spacing w:after="0"/>
              <w:jc w:val="center"/>
              <w:rPr>
                <w:noProof w:val="0"/>
                <w:color w:val="FFFFFF"/>
              </w:rPr>
            </w:pPr>
            <w:r w:rsidRPr="00D9348B">
              <w:rPr>
                <w:rFonts w:cs="Arial"/>
                <w:bCs/>
                <w:noProof w:val="0"/>
                <w:color w:val="FFFFFF"/>
              </w:rPr>
              <w:t xml:space="preserve">Change from 1990 </w:t>
            </w:r>
          </w:p>
        </w:tc>
        <w:tc>
          <w:tcPr>
            <w:tcW w:w="1262" w:type="dxa"/>
            <w:vMerge w:val="restart"/>
            <w:tcBorders>
              <w:top w:val="single" w:sz="4" w:space="0" w:color="365F91"/>
              <w:left w:val="nil"/>
              <w:bottom w:val="nil"/>
              <w:right w:val="nil"/>
              <w:tl2br w:val="nil"/>
              <w:tr2bl w:val="nil"/>
            </w:tcBorders>
            <w:shd w:val="clear" w:color="auto" w:fill="365F91"/>
            <w:vAlign w:val="bottom"/>
          </w:tcPr>
          <w:p w14:paraId="4779A90A" w14:textId="77777777" w:rsidR="00B7613B" w:rsidRPr="00D9348B" w:rsidRDefault="00B7613B" w:rsidP="00DB330E">
            <w:pPr>
              <w:pStyle w:val="TableTextBold"/>
              <w:keepNext/>
              <w:jc w:val="center"/>
              <w:rPr>
                <w:noProof w:val="0"/>
                <w:color w:val="FFFFFF"/>
              </w:rPr>
            </w:pPr>
            <w:r w:rsidRPr="00D9348B">
              <w:rPr>
                <w:noProof w:val="0"/>
                <w:color w:val="FFFFFF"/>
              </w:rPr>
              <w:t>Contribution to gross for Tokelau (%)</w:t>
            </w:r>
          </w:p>
        </w:tc>
        <w:tc>
          <w:tcPr>
            <w:tcW w:w="1263" w:type="dxa"/>
            <w:vMerge w:val="restart"/>
            <w:tcBorders>
              <w:top w:val="single" w:sz="4" w:space="0" w:color="365F91"/>
              <w:left w:val="nil"/>
              <w:bottom w:val="nil"/>
              <w:right w:val="nil"/>
              <w:tl2br w:val="nil"/>
              <w:tr2bl w:val="nil"/>
            </w:tcBorders>
            <w:shd w:val="clear" w:color="auto" w:fill="365F91"/>
            <w:vAlign w:val="bottom"/>
          </w:tcPr>
          <w:p w14:paraId="2156BBA0" w14:textId="77777777" w:rsidR="00B7613B" w:rsidRPr="00D9348B" w:rsidRDefault="00B7613B" w:rsidP="00DB330E">
            <w:pPr>
              <w:pStyle w:val="TableTextBold"/>
              <w:keepNext/>
              <w:jc w:val="center"/>
              <w:rPr>
                <w:noProof w:val="0"/>
                <w:color w:val="FFFFFF"/>
              </w:rPr>
            </w:pPr>
            <w:r w:rsidRPr="00D9348B">
              <w:rPr>
                <w:noProof w:val="0"/>
                <w:color w:val="FFFFFF"/>
              </w:rPr>
              <w:t>Contribution to gross NZ (incl Tokelau) (%)</w:t>
            </w:r>
          </w:p>
        </w:tc>
      </w:tr>
      <w:tr w:rsidR="00B7613B" w:rsidRPr="00D9348B" w14:paraId="2584AB10" w14:textId="77777777" w:rsidTr="00DB330E">
        <w:tc>
          <w:tcPr>
            <w:tcW w:w="2019" w:type="dxa"/>
            <w:vMerge/>
            <w:tcBorders>
              <w:top w:val="nil"/>
              <w:left w:val="nil"/>
              <w:bottom w:val="single" w:sz="4" w:space="0" w:color="365F91"/>
              <w:right w:val="nil"/>
              <w:tl2br w:val="nil"/>
              <w:tr2bl w:val="nil"/>
            </w:tcBorders>
            <w:shd w:val="clear" w:color="auto" w:fill="365F91"/>
            <w:vAlign w:val="bottom"/>
          </w:tcPr>
          <w:p w14:paraId="2862B709" w14:textId="77777777" w:rsidR="00B7613B" w:rsidRPr="00D9348B" w:rsidRDefault="00B7613B" w:rsidP="00DB330E">
            <w:pPr>
              <w:pStyle w:val="TableTextBold"/>
              <w:keepNext/>
              <w:rPr>
                <w:noProof w:val="0"/>
                <w:color w:val="FFFFFF"/>
              </w:rPr>
            </w:pPr>
          </w:p>
        </w:tc>
        <w:tc>
          <w:tcPr>
            <w:tcW w:w="850" w:type="dxa"/>
            <w:tcBorders>
              <w:top w:val="nil"/>
              <w:left w:val="nil"/>
              <w:bottom w:val="single" w:sz="4" w:space="0" w:color="365F91"/>
              <w:right w:val="nil"/>
              <w:tl2br w:val="nil"/>
              <w:tr2bl w:val="nil"/>
            </w:tcBorders>
            <w:shd w:val="clear" w:color="auto" w:fill="365F91"/>
            <w:vAlign w:val="bottom"/>
          </w:tcPr>
          <w:p w14:paraId="6E149441" w14:textId="77777777" w:rsidR="00B7613B" w:rsidRPr="00D9348B" w:rsidRDefault="00B7613B" w:rsidP="00DB330E">
            <w:pPr>
              <w:pStyle w:val="TableTextBold"/>
              <w:keepNext/>
              <w:spacing w:before="0"/>
              <w:jc w:val="center"/>
              <w:rPr>
                <w:noProof w:val="0"/>
                <w:color w:val="FFFFFF"/>
              </w:rPr>
            </w:pPr>
            <w:r w:rsidRPr="00D9348B">
              <w:rPr>
                <w:noProof w:val="0"/>
                <w:color w:val="FFFFFF"/>
              </w:rPr>
              <w:t>1990</w:t>
            </w:r>
          </w:p>
        </w:tc>
        <w:tc>
          <w:tcPr>
            <w:tcW w:w="781" w:type="dxa"/>
            <w:tcBorders>
              <w:top w:val="nil"/>
              <w:left w:val="nil"/>
              <w:bottom w:val="single" w:sz="4" w:space="0" w:color="365F91"/>
              <w:right w:val="nil"/>
              <w:tl2br w:val="nil"/>
              <w:tr2bl w:val="nil"/>
            </w:tcBorders>
            <w:shd w:val="clear" w:color="auto" w:fill="365F91"/>
            <w:vAlign w:val="bottom"/>
          </w:tcPr>
          <w:p w14:paraId="26888677" w14:textId="77777777" w:rsidR="00B7613B" w:rsidRPr="00D9348B" w:rsidRDefault="00B7613B" w:rsidP="00DB330E">
            <w:pPr>
              <w:pStyle w:val="TableTextBold"/>
              <w:keepNext/>
              <w:spacing w:before="0"/>
              <w:jc w:val="center"/>
              <w:rPr>
                <w:noProof w:val="0"/>
                <w:color w:val="FFFFFF"/>
              </w:rPr>
            </w:pPr>
            <w:r w:rsidRPr="00D9348B">
              <w:rPr>
                <w:noProof w:val="0"/>
                <w:color w:val="FFFFFF"/>
              </w:rPr>
              <w:t>2018</w:t>
            </w:r>
          </w:p>
        </w:tc>
        <w:tc>
          <w:tcPr>
            <w:tcW w:w="1543" w:type="dxa"/>
            <w:tcBorders>
              <w:top w:val="nil"/>
              <w:left w:val="nil"/>
              <w:bottom w:val="single" w:sz="4" w:space="0" w:color="365F91"/>
              <w:right w:val="nil"/>
              <w:tl2br w:val="nil"/>
              <w:tr2bl w:val="nil"/>
            </w:tcBorders>
            <w:shd w:val="clear" w:color="auto" w:fill="365F91"/>
            <w:vAlign w:val="bottom"/>
          </w:tcPr>
          <w:p w14:paraId="5E9B38A7" w14:textId="77777777" w:rsidR="00B7613B" w:rsidRPr="00D9348B" w:rsidRDefault="00B7613B" w:rsidP="00DB330E">
            <w:pPr>
              <w:pStyle w:val="TableTextBold"/>
              <w:keepNext/>
              <w:jc w:val="center"/>
              <w:rPr>
                <w:noProof w:val="0"/>
                <w:color w:val="FFFFFF"/>
              </w:rPr>
            </w:pPr>
            <w:r w:rsidRPr="00D9348B">
              <w:rPr>
                <w:rFonts w:cs="Arial"/>
                <w:bCs/>
                <w:noProof w:val="0"/>
                <w:color w:val="FFFFFF"/>
              </w:rPr>
              <w:t>kt CO</w:t>
            </w:r>
            <w:r w:rsidRPr="00D9348B">
              <w:rPr>
                <w:rFonts w:cs="Arial"/>
                <w:bCs/>
                <w:noProof w:val="0"/>
                <w:color w:val="FFFFFF"/>
                <w:vertAlign w:val="subscript"/>
              </w:rPr>
              <w:t>2</w:t>
            </w:r>
            <w:r w:rsidRPr="00D9348B">
              <w:rPr>
                <w:rFonts w:cs="Arial"/>
                <w:bCs/>
                <w:noProof w:val="0"/>
                <w:color w:val="FFFFFF"/>
              </w:rPr>
              <w:t>-equivalent</w:t>
            </w:r>
          </w:p>
        </w:tc>
        <w:tc>
          <w:tcPr>
            <w:tcW w:w="844" w:type="dxa"/>
            <w:tcBorders>
              <w:top w:val="nil"/>
              <w:left w:val="nil"/>
              <w:bottom w:val="single" w:sz="4" w:space="0" w:color="365F91"/>
              <w:right w:val="nil"/>
              <w:tl2br w:val="nil"/>
              <w:tr2bl w:val="nil"/>
            </w:tcBorders>
            <w:shd w:val="clear" w:color="auto" w:fill="365F91"/>
            <w:vAlign w:val="bottom"/>
          </w:tcPr>
          <w:p w14:paraId="03D94C11" w14:textId="77777777" w:rsidR="00B7613B" w:rsidRPr="00D9348B" w:rsidRDefault="00B7613B" w:rsidP="00DB330E">
            <w:pPr>
              <w:pStyle w:val="TableTextBold"/>
              <w:keepNext/>
              <w:jc w:val="center"/>
              <w:rPr>
                <w:noProof w:val="0"/>
                <w:color w:val="FFFFFF"/>
              </w:rPr>
            </w:pPr>
            <w:r w:rsidRPr="00D9348B">
              <w:rPr>
                <w:noProof w:val="0"/>
                <w:color w:val="FFFFFF"/>
              </w:rPr>
              <w:t>%</w:t>
            </w:r>
          </w:p>
        </w:tc>
        <w:tc>
          <w:tcPr>
            <w:tcW w:w="1262" w:type="dxa"/>
            <w:vMerge/>
            <w:tcBorders>
              <w:top w:val="nil"/>
              <w:left w:val="nil"/>
              <w:bottom w:val="single" w:sz="4" w:space="0" w:color="365F91"/>
              <w:right w:val="nil"/>
              <w:tl2br w:val="nil"/>
              <w:tr2bl w:val="nil"/>
            </w:tcBorders>
            <w:shd w:val="clear" w:color="auto" w:fill="365F91"/>
            <w:vAlign w:val="bottom"/>
          </w:tcPr>
          <w:p w14:paraId="4247E325" w14:textId="77777777" w:rsidR="00B7613B" w:rsidRPr="00D9348B" w:rsidRDefault="00B7613B" w:rsidP="00DB330E">
            <w:pPr>
              <w:pStyle w:val="TableTextBold"/>
              <w:keepNext/>
              <w:jc w:val="center"/>
              <w:rPr>
                <w:noProof w:val="0"/>
                <w:color w:val="FFFFFF"/>
              </w:rPr>
            </w:pPr>
          </w:p>
        </w:tc>
        <w:tc>
          <w:tcPr>
            <w:tcW w:w="1263" w:type="dxa"/>
            <w:vMerge/>
            <w:tcBorders>
              <w:top w:val="nil"/>
              <w:left w:val="nil"/>
              <w:bottom w:val="single" w:sz="4" w:space="0" w:color="365F91"/>
              <w:right w:val="nil"/>
              <w:tl2br w:val="nil"/>
              <w:tr2bl w:val="nil"/>
            </w:tcBorders>
            <w:shd w:val="clear" w:color="auto" w:fill="365F91"/>
            <w:vAlign w:val="bottom"/>
          </w:tcPr>
          <w:p w14:paraId="5AE1DA68" w14:textId="77777777" w:rsidR="00B7613B" w:rsidRPr="00D9348B" w:rsidRDefault="00B7613B" w:rsidP="00DB330E">
            <w:pPr>
              <w:pStyle w:val="TableTextBold"/>
              <w:keepNext/>
              <w:jc w:val="center"/>
              <w:rPr>
                <w:noProof w:val="0"/>
                <w:color w:val="FFFFFF"/>
              </w:rPr>
            </w:pPr>
          </w:p>
        </w:tc>
      </w:tr>
      <w:tr w:rsidR="00B7613B" w:rsidRPr="00D9348B" w14:paraId="2CD18F43" w14:textId="77777777" w:rsidTr="00DB330E">
        <w:tc>
          <w:tcPr>
            <w:tcW w:w="2019" w:type="dxa"/>
            <w:tcBorders>
              <w:top w:val="single" w:sz="4" w:space="0" w:color="365F91"/>
            </w:tcBorders>
            <w:shd w:val="clear" w:color="auto" w:fill="auto"/>
            <w:vAlign w:val="bottom"/>
          </w:tcPr>
          <w:p w14:paraId="6DA35223" w14:textId="77777777" w:rsidR="00B7613B" w:rsidRPr="00D9348B" w:rsidRDefault="00B7613B" w:rsidP="00DB330E">
            <w:pPr>
              <w:pStyle w:val="TableText"/>
              <w:keepNext/>
              <w:spacing w:before="50" w:after="50"/>
              <w:rPr>
                <w:color w:val="000000"/>
              </w:rPr>
            </w:pPr>
            <w:r w:rsidRPr="00D9348B">
              <w:rPr>
                <w:color w:val="000000"/>
              </w:rPr>
              <w:t>Energy for Tokelau</w:t>
            </w:r>
          </w:p>
        </w:tc>
        <w:tc>
          <w:tcPr>
            <w:tcW w:w="850" w:type="dxa"/>
            <w:tcBorders>
              <w:top w:val="single" w:sz="4" w:space="0" w:color="365F91"/>
            </w:tcBorders>
            <w:shd w:val="clear" w:color="auto" w:fill="auto"/>
            <w:vAlign w:val="bottom"/>
          </w:tcPr>
          <w:p w14:paraId="2D92F3F0" w14:textId="77777777" w:rsidR="00B7613B" w:rsidRPr="00D9348B" w:rsidRDefault="00B7613B" w:rsidP="00DB330E">
            <w:pPr>
              <w:pStyle w:val="TableText"/>
              <w:keepNext/>
              <w:spacing w:before="50" w:after="50"/>
              <w:jc w:val="right"/>
              <w:rPr>
                <w:rFonts w:cs="Arial"/>
                <w:color w:val="000000"/>
                <w:szCs w:val="16"/>
              </w:rPr>
            </w:pPr>
            <w:r w:rsidRPr="00D9348B">
              <w:rPr>
                <w:rFonts w:cs="Arial"/>
                <w:color w:val="000000"/>
                <w:szCs w:val="16"/>
              </w:rPr>
              <w:t>1.26</w:t>
            </w:r>
          </w:p>
        </w:tc>
        <w:tc>
          <w:tcPr>
            <w:tcW w:w="781" w:type="dxa"/>
            <w:tcBorders>
              <w:top w:val="single" w:sz="4" w:space="0" w:color="365F91"/>
            </w:tcBorders>
            <w:shd w:val="clear" w:color="auto" w:fill="auto"/>
            <w:vAlign w:val="bottom"/>
          </w:tcPr>
          <w:p w14:paraId="79A51553" w14:textId="77777777" w:rsidR="00B7613B" w:rsidRPr="00D9348B" w:rsidRDefault="00B7613B" w:rsidP="00DB330E">
            <w:pPr>
              <w:pStyle w:val="TableText"/>
              <w:keepNext/>
              <w:tabs>
                <w:tab w:val="left" w:pos="590"/>
              </w:tabs>
              <w:spacing w:before="50" w:after="50"/>
              <w:ind w:right="91"/>
              <w:jc w:val="right"/>
              <w:rPr>
                <w:rFonts w:cs="Arial"/>
                <w:color w:val="000000"/>
                <w:szCs w:val="16"/>
              </w:rPr>
            </w:pPr>
            <w:r w:rsidRPr="00D9348B">
              <w:rPr>
                <w:rFonts w:cs="Arial"/>
                <w:color w:val="000000"/>
                <w:szCs w:val="16"/>
              </w:rPr>
              <w:t>1.85</w:t>
            </w:r>
          </w:p>
        </w:tc>
        <w:tc>
          <w:tcPr>
            <w:tcW w:w="1543" w:type="dxa"/>
            <w:tcBorders>
              <w:top w:val="single" w:sz="4" w:space="0" w:color="365F91"/>
            </w:tcBorders>
            <w:vAlign w:val="bottom"/>
          </w:tcPr>
          <w:p w14:paraId="4D301ADF" w14:textId="77777777" w:rsidR="00B7613B" w:rsidRPr="00D9348B" w:rsidRDefault="00B7613B" w:rsidP="00DB330E">
            <w:pPr>
              <w:pStyle w:val="TableText"/>
              <w:keepNext/>
              <w:tabs>
                <w:tab w:val="left" w:pos="1309"/>
              </w:tabs>
              <w:spacing w:before="50" w:after="50"/>
              <w:ind w:right="55"/>
              <w:jc w:val="center"/>
              <w:rPr>
                <w:rFonts w:cs="Arial"/>
                <w:color w:val="000000"/>
                <w:szCs w:val="16"/>
              </w:rPr>
            </w:pPr>
            <w:r w:rsidRPr="00D9348B">
              <w:rPr>
                <w:rFonts w:cs="Arial"/>
                <w:color w:val="000000"/>
                <w:szCs w:val="16"/>
              </w:rPr>
              <w:t>0.59</w:t>
            </w:r>
          </w:p>
        </w:tc>
        <w:tc>
          <w:tcPr>
            <w:tcW w:w="844" w:type="dxa"/>
            <w:tcBorders>
              <w:top w:val="single" w:sz="4" w:space="0" w:color="365F91"/>
            </w:tcBorders>
            <w:vAlign w:val="bottom"/>
          </w:tcPr>
          <w:p w14:paraId="4983B175" w14:textId="77777777" w:rsidR="00B7613B" w:rsidRPr="00D9348B" w:rsidRDefault="00B7613B" w:rsidP="00DB330E">
            <w:pPr>
              <w:pStyle w:val="TableText"/>
              <w:keepNext/>
              <w:tabs>
                <w:tab w:val="left" w:pos="1309"/>
              </w:tabs>
              <w:spacing w:before="50" w:after="50"/>
              <w:ind w:right="73"/>
              <w:jc w:val="right"/>
              <w:rPr>
                <w:rFonts w:cs="Arial"/>
                <w:color w:val="000000"/>
                <w:szCs w:val="16"/>
              </w:rPr>
            </w:pPr>
            <w:r w:rsidRPr="00D9348B">
              <w:rPr>
                <w:color w:val="000000"/>
              </w:rPr>
              <w:t>46.5</w:t>
            </w:r>
          </w:p>
        </w:tc>
        <w:tc>
          <w:tcPr>
            <w:tcW w:w="1262" w:type="dxa"/>
            <w:tcBorders>
              <w:top w:val="single" w:sz="4" w:space="0" w:color="365F91"/>
            </w:tcBorders>
            <w:shd w:val="clear" w:color="auto" w:fill="auto"/>
            <w:vAlign w:val="bottom"/>
          </w:tcPr>
          <w:p w14:paraId="5C3BA42D" w14:textId="77777777" w:rsidR="00B7613B" w:rsidRPr="00D9348B" w:rsidRDefault="00B7613B" w:rsidP="00DB330E">
            <w:pPr>
              <w:pStyle w:val="TableText"/>
              <w:keepNext/>
              <w:tabs>
                <w:tab w:val="left" w:pos="1051"/>
              </w:tabs>
              <w:spacing w:before="50" w:after="50"/>
              <w:ind w:right="37"/>
              <w:jc w:val="center"/>
              <w:rPr>
                <w:rFonts w:cs="Arial"/>
                <w:color w:val="000000"/>
                <w:szCs w:val="16"/>
              </w:rPr>
            </w:pPr>
            <w:r w:rsidRPr="00D9348B">
              <w:rPr>
                <w:rFonts w:cs="Arial"/>
                <w:color w:val="000000"/>
                <w:szCs w:val="16"/>
              </w:rPr>
              <w:t>51.2</w:t>
            </w:r>
          </w:p>
        </w:tc>
        <w:tc>
          <w:tcPr>
            <w:tcW w:w="1263" w:type="dxa"/>
            <w:tcBorders>
              <w:top w:val="single" w:sz="4" w:space="0" w:color="365F91"/>
            </w:tcBorders>
            <w:vAlign w:val="bottom"/>
          </w:tcPr>
          <w:p w14:paraId="771647E8" w14:textId="77777777" w:rsidR="00B7613B" w:rsidRPr="00D9348B" w:rsidRDefault="00B7613B" w:rsidP="00DB330E">
            <w:pPr>
              <w:pStyle w:val="TableText"/>
              <w:keepNext/>
              <w:tabs>
                <w:tab w:val="left" w:pos="1309"/>
              </w:tabs>
              <w:spacing w:before="50" w:after="50"/>
              <w:ind w:right="35"/>
              <w:jc w:val="center"/>
              <w:rPr>
                <w:rFonts w:cs="Arial"/>
                <w:color w:val="000000"/>
                <w:szCs w:val="16"/>
              </w:rPr>
            </w:pPr>
            <w:r w:rsidRPr="00D9348B">
              <w:rPr>
                <w:rFonts w:cs="Arial"/>
                <w:color w:val="000000"/>
                <w:szCs w:val="16"/>
              </w:rPr>
              <w:t>0.0023</w:t>
            </w:r>
          </w:p>
        </w:tc>
      </w:tr>
      <w:tr w:rsidR="00B7613B" w:rsidRPr="00D9348B" w14:paraId="26A59D67" w14:textId="77777777" w:rsidTr="00DB330E">
        <w:tc>
          <w:tcPr>
            <w:tcW w:w="2019" w:type="dxa"/>
            <w:shd w:val="clear" w:color="auto" w:fill="auto"/>
            <w:vAlign w:val="bottom"/>
          </w:tcPr>
          <w:p w14:paraId="7E71BA1A" w14:textId="77777777" w:rsidR="00B7613B" w:rsidRPr="00D9348B" w:rsidRDefault="00B7613B" w:rsidP="00DB330E">
            <w:pPr>
              <w:pStyle w:val="TableText"/>
              <w:spacing w:before="50" w:after="50"/>
              <w:rPr>
                <w:color w:val="000000"/>
              </w:rPr>
            </w:pPr>
            <w:r w:rsidRPr="00D9348B">
              <w:rPr>
                <w:color w:val="000000"/>
              </w:rPr>
              <w:t>IPPU for Tokelau</w:t>
            </w:r>
          </w:p>
        </w:tc>
        <w:tc>
          <w:tcPr>
            <w:tcW w:w="850" w:type="dxa"/>
            <w:shd w:val="clear" w:color="auto" w:fill="auto"/>
            <w:vAlign w:val="bottom"/>
          </w:tcPr>
          <w:p w14:paraId="6BFD838F" w14:textId="77777777" w:rsidR="00B7613B" w:rsidRPr="00D9348B" w:rsidRDefault="00B7613B" w:rsidP="00DB330E">
            <w:pPr>
              <w:pStyle w:val="TableText"/>
              <w:keepNext/>
              <w:spacing w:before="50" w:after="50"/>
              <w:jc w:val="right"/>
              <w:rPr>
                <w:rFonts w:cs="Arial"/>
                <w:color w:val="000000"/>
                <w:szCs w:val="16"/>
              </w:rPr>
            </w:pPr>
            <w:r w:rsidRPr="00D9348B">
              <w:rPr>
                <w:rFonts w:cs="Arial"/>
                <w:color w:val="000000"/>
                <w:szCs w:val="16"/>
              </w:rPr>
              <w:t>0.05</w:t>
            </w:r>
          </w:p>
        </w:tc>
        <w:tc>
          <w:tcPr>
            <w:tcW w:w="781" w:type="dxa"/>
            <w:shd w:val="clear" w:color="auto" w:fill="auto"/>
            <w:vAlign w:val="bottom"/>
          </w:tcPr>
          <w:p w14:paraId="77ACF88F" w14:textId="77777777" w:rsidR="00B7613B" w:rsidRPr="00D9348B" w:rsidRDefault="00B7613B" w:rsidP="00DB330E">
            <w:pPr>
              <w:pStyle w:val="TableText"/>
              <w:keepNext/>
              <w:tabs>
                <w:tab w:val="left" w:pos="590"/>
              </w:tabs>
              <w:spacing w:before="50" w:after="50"/>
              <w:ind w:right="91"/>
              <w:jc w:val="right"/>
              <w:rPr>
                <w:rFonts w:cs="Arial"/>
                <w:color w:val="000000"/>
                <w:szCs w:val="16"/>
              </w:rPr>
            </w:pPr>
            <w:r w:rsidRPr="00D9348B">
              <w:rPr>
                <w:rFonts w:cs="Arial"/>
                <w:color w:val="000000"/>
                <w:szCs w:val="16"/>
              </w:rPr>
              <w:t>0.25</w:t>
            </w:r>
          </w:p>
        </w:tc>
        <w:tc>
          <w:tcPr>
            <w:tcW w:w="1543" w:type="dxa"/>
            <w:vAlign w:val="bottom"/>
          </w:tcPr>
          <w:p w14:paraId="41C890A4" w14:textId="77777777" w:rsidR="00B7613B" w:rsidRPr="00D9348B" w:rsidRDefault="00B7613B" w:rsidP="00DB330E">
            <w:pPr>
              <w:pStyle w:val="TableText"/>
              <w:keepNext/>
              <w:tabs>
                <w:tab w:val="left" w:pos="1309"/>
              </w:tabs>
              <w:spacing w:before="50" w:after="50"/>
              <w:ind w:right="55"/>
              <w:jc w:val="center"/>
              <w:rPr>
                <w:rFonts w:cs="Arial"/>
                <w:color w:val="000000"/>
                <w:szCs w:val="16"/>
              </w:rPr>
            </w:pPr>
            <w:r w:rsidRPr="00D9348B">
              <w:rPr>
                <w:rFonts w:cs="Arial"/>
                <w:color w:val="000000"/>
                <w:szCs w:val="16"/>
              </w:rPr>
              <w:t>0.20</w:t>
            </w:r>
          </w:p>
        </w:tc>
        <w:tc>
          <w:tcPr>
            <w:tcW w:w="844" w:type="dxa"/>
            <w:vAlign w:val="bottom"/>
          </w:tcPr>
          <w:p w14:paraId="4661C5CF" w14:textId="77777777" w:rsidR="00B7613B" w:rsidRPr="00D9348B" w:rsidRDefault="00B7613B" w:rsidP="00DB330E">
            <w:pPr>
              <w:pStyle w:val="TableText"/>
              <w:keepNext/>
              <w:tabs>
                <w:tab w:val="left" w:pos="1309"/>
              </w:tabs>
              <w:spacing w:before="50" w:after="50"/>
              <w:ind w:right="55"/>
              <w:jc w:val="right"/>
              <w:rPr>
                <w:rFonts w:cs="Arial"/>
                <w:color w:val="000000"/>
                <w:szCs w:val="16"/>
              </w:rPr>
            </w:pPr>
            <w:r w:rsidRPr="00D9348B">
              <w:rPr>
                <w:rFonts w:cs="Arial"/>
                <w:color w:val="000000"/>
                <w:szCs w:val="16"/>
              </w:rPr>
              <w:t>432.5</w:t>
            </w:r>
          </w:p>
        </w:tc>
        <w:tc>
          <w:tcPr>
            <w:tcW w:w="1262" w:type="dxa"/>
            <w:shd w:val="clear" w:color="auto" w:fill="auto"/>
            <w:vAlign w:val="bottom"/>
          </w:tcPr>
          <w:p w14:paraId="2FEE750F" w14:textId="77777777" w:rsidR="00B7613B" w:rsidRPr="00D9348B" w:rsidRDefault="00B7613B" w:rsidP="00DB330E">
            <w:pPr>
              <w:pStyle w:val="TableText"/>
              <w:tabs>
                <w:tab w:val="left" w:pos="1051"/>
              </w:tabs>
              <w:spacing w:before="50" w:after="50"/>
              <w:ind w:right="37"/>
              <w:jc w:val="center"/>
              <w:rPr>
                <w:rFonts w:cs="Arial"/>
                <w:color w:val="000000"/>
                <w:szCs w:val="16"/>
              </w:rPr>
            </w:pPr>
            <w:r w:rsidRPr="00D9348B">
              <w:rPr>
                <w:rFonts w:cs="Arial"/>
                <w:color w:val="000000"/>
                <w:szCs w:val="16"/>
              </w:rPr>
              <w:t>6.9</w:t>
            </w:r>
          </w:p>
        </w:tc>
        <w:tc>
          <w:tcPr>
            <w:tcW w:w="1263" w:type="dxa"/>
            <w:vAlign w:val="bottom"/>
          </w:tcPr>
          <w:p w14:paraId="6A0D98A3" w14:textId="77777777" w:rsidR="00B7613B" w:rsidRPr="00D9348B" w:rsidRDefault="00B7613B" w:rsidP="00DB330E">
            <w:pPr>
              <w:pStyle w:val="TableText"/>
              <w:keepNext/>
              <w:tabs>
                <w:tab w:val="left" w:pos="1309"/>
              </w:tabs>
              <w:spacing w:before="50" w:after="50"/>
              <w:ind w:right="35"/>
              <w:jc w:val="center"/>
              <w:rPr>
                <w:rFonts w:cs="Arial"/>
                <w:color w:val="000000"/>
                <w:szCs w:val="16"/>
              </w:rPr>
            </w:pPr>
            <w:r w:rsidRPr="00D9348B">
              <w:rPr>
                <w:rFonts w:cs="Arial"/>
                <w:color w:val="000000"/>
                <w:szCs w:val="16"/>
              </w:rPr>
              <w:t>0.0003</w:t>
            </w:r>
          </w:p>
        </w:tc>
      </w:tr>
      <w:tr w:rsidR="00B7613B" w:rsidRPr="00D9348B" w14:paraId="366F723E" w14:textId="77777777" w:rsidTr="00DB330E">
        <w:tc>
          <w:tcPr>
            <w:tcW w:w="2019" w:type="dxa"/>
            <w:shd w:val="clear" w:color="auto" w:fill="auto"/>
            <w:vAlign w:val="bottom"/>
          </w:tcPr>
          <w:p w14:paraId="3A943962" w14:textId="77777777" w:rsidR="00B7613B" w:rsidRPr="00D9348B" w:rsidRDefault="00B7613B" w:rsidP="00DB330E">
            <w:pPr>
              <w:pStyle w:val="TableText"/>
              <w:spacing w:before="50" w:after="50"/>
              <w:rPr>
                <w:color w:val="000000"/>
              </w:rPr>
            </w:pPr>
            <w:r w:rsidRPr="00D9348B">
              <w:rPr>
                <w:color w:val="000000"/>
              </w:rPr>
              <w:t>Agriculture for Tokelau</w:t>
            </w:r>
          </w:p>
        </w:tc>
        <w:tc>
          <w:tcPr>
            <w:tcW w:w="850" w:type="dxa"/>
            <w:shd w:val="clear" w:color="auto" w:fill="auto"/>
            <w:vAlign w:val="bottom"/>
          </w:tcPr>
          <w:p w14:paraId="636A2A95" w14:textId="77777777" w:rsidR="00B7613B" w:rsidRPr="00D9348B" w:rsidRDefault="00B7613B" w:rsidP="00DB330E">
            <w:pPr>
              <w:pStyle w:val="TableText"/>
              <w:keepNext/>
              <w:spacing w:before="50" w:after="50"/>
              <w:jc w:val="right"/>
              <w:rPr>
                <w:rFonts w:cs="Arial"/>
                <w:color w:val="000000"/>
                <w:szCs w:val="16"/>
              </w:rPr>
            </w:pPr>
            <w:r w:rsidRPr="00D9348B">
              <w:rPr>
                <w:color w:val="000000"/>
              </w:rPr>
              <w:t>1.15</w:t>
            </w:r>
          </w:p>
        </w:tc>
        <w:tc>
          <w:tcPr>
            <w:tcW w:w="781" w:type="dxa"/>
            <w:shd w:val="clear" w:color="auto" w:fill="auto"/>
            <w:vAlign w:val="bottom"/>
          </w:tcPr>
          <w:p w14:paraId="7AF088FE" w14:textId="77777777" w:rsidR="00B7613B" w:rsidRPr="00D9348B" w:rsidRDefault="00B7613B" w:rsidP="00DB330E">
            <w:pPr>
              <w:pStyle w:val="TableText"/>
              <w:keepNext/>
              <w:tabs>
                <w:tab w:val="left" w:pos="590"/>
              </w:tabs>
              <w:spacing w:before="50" w:after="50"/>
              <w:ind w:right="91"/>
              <w:jc w:val="right"/>
              <w:rPr>
                <w:rFonts w:cs="Arial"/>
                <w:color w:val="000000"/>
                <w:szCs w:val="16"/>
              </w:rPr>
            </w:pPr>
            <w:r w:rsidRPr="00D9348B">
              <w:rPr>
                <w:color w:val="000000"/>
              </w:rPr>
              <w:t>0.82</w:t>
            </w:r>
          </w:p>
        </w:tc>
        <w:tc>
          <w:tcPr>
            <w:tcW w:w="1543" w:type="dxa"/>
            <w:vAlign w:val="bottom"/>
          </w:tcPr>
          <w:p w14:paraId="78C46391" w14:textId="77777777" w:rsidR="00B7613B" w:rsidRPr="00D9348B" w:rsidRDefault="00B7613B" w:rsidP="00DB330E">
            <w:pPr>
              <w:pStyle w:val="TableText"/>
              <w:keepNext/>
              <w:tabs>
                <w:tab w:val="left" w:pos="1309"/>
              </w:tabs>
              <w:spacing w:before="50" w:after="50"/>
              <w:ind w:right="55"/>
              <w:jc w:val="center"/>
              <w:rPr>
                <w:rFonts w:cs="Arial"/>
                <w:color w:val="000000"/>
                <w:szCs w:val="16"/>
              </w:rPr>
            </w:pPr>
            <w:r w:rsidRPr="00D9348B">
              <w:rPr>
                <w:color w:val="000000"/>
              </w:rPr>
              <w:t>–0.33</w:t>
            </w:r>
          </w:p>
        </w:tc>
        <w:tc>
          <w:tcPr>
            <w:tcW w:w="844" w:type="dxa"/>
            <w:vAlign w:val="bottom"/>
          </w:tcPr>
          <w:p w14:paraId="212CB614" w14:textId="77777777" w:rsidR="00B7613B" w:rsidRPr="00D9348B" w:rsidRDefault="00B7613B" w:rsidP="00DB330E">
            <w:pPr>
              <w:pStyle w:val="TableText"/>
              <w:keepNext/>
              <w:tabs>
                <w:tab w:val="left" w:pos="1309"/>
              </w:tabs>
              <w:spacing w:before="50" w:after="50"/>
              <w:ind w:right="55"/>
              <w:jc w:val="right"/>
              <w:rPr>
                <w:rFonts w:cs="Arial"/>
                <w:color w:val="000000"/>
                <w:szCs w:val="16"/>
              </w:rPr>
            </w:pPr>
            <w:r w:rsidRPr="00D9348B">
              <w:rPr>
                <w:color w:val="000000"/>
              </w:rPr>
              <w:t>–28.3</w:t>
            </w:r>
          </w:p>
        </w:tc>
        <w:tc>
          <w:tcPr>
            <w:tcW w:w="1262" w:type="dxa"/>
            <w:shd w:val="clear" w:color="auto" w:fill="auto"/>
            <w:vAlign w:val="bottom"/>
          </w:tcPr>
          <w:p w14:paraId="4B51CF3E" w14:textId="77777777" w:rsidR="00B7613B" w:rsidRPr="00D9348B" w:rsidRDefault="00B7613B" w:rsidP="00DB330E">
            <w:pPr>
              <w:pStyle w:val="TableText"/>
              <w:tabs>
                <w:tab w:val="left" w:pos="1051"/>
              </w:tabs>
              <w:spacing w:before="50" w:after="50"/>
              <w:ind w:right="37"/>
              <w:jc w:val="center"/>
              <w:rPr>
                <w:rFonts w:cs="Arial"/>
                <w:color w:val="000000"/>
                <w:szCs w:val="16"/>
              </w:rPr>
            </w:pPr>
            <w:r w:rsidRPr="00D9348B">
              <w:rPr>
                <w:rFonts w:cs="Arial"/>
                <w:color w:val="000000"/>
                <w:szCs w:val="16"/>
              </w:rPr>
              <w:t>22.8</w:t>
            </w:r>
          </w:p>
        </w:tc>
        <w:tc>
          <w:tcPr>
            <w:tcW w:w="1263" w:type="dxa"/>
            <w:vAlign w:val="bottom"/>
          </w:tcPr>
          <w:p w14:paraId="1C885D49" w14:textId="77777777" w:rsidR="00B7613B" w:rsidRPr="00D9348B" w:rsidRDefault="00B7613B" w:rsidP="00DB330E">
            <w:pPr>
              <w:pStyle w:val="TableText"/>
              <w:keepNext/>
              <w:tabs>
                <w:tab w:val="left" w:pos="1309"/>
              </w:tabs>
              <w:spacing w:before="50" w:after="50"/>
              <w:ind w:right="35"/>
              <w:jc w:val="center"/>
              <w:rPr>
                <w:rFonts w:cs="Arial"/>
                <w:color w:val="000000"/>
                <w:szCs w:val="16"/>
              </w:rPr>
            </w:pPr>
            <w:r w:rsidRPr="00D9348B">
              <w:rPr>
                <w:rFonts w:cs="Arial"/>
                <w:color w:val="000000"/>
                <w:szCs w:val="16"/>
              </w:rPr>
              <w:t>0.0010</w:t>
            </w:r>
          </w:p>
        </w:tc>
      </w:tr>
      <w:tr w:rsidR="00B7613B" w:rsidRPr="00D9348B" w14:paraId="6589918C" w14:textId="77777777" w:rsidTr="00DB330E">
        <w:tc>
          <w:tcPr>
            <w:tcW w:w="2019" w:type="dxa"/>
            <w:shd w:val="clear" w:color="auto" w:fill="auto"/>
            <w:vAlign w:val="bottom"/>
          </w:tcPr>
          <w:p w14:paraId="6C7E7B41" w14:textId="77777777" w:rsidR="00B7613B" w:rsidRPr="00D9348B" w:rsidRDefault="00B7613B" w:rsidP="00DB330E">
            <w:pPr>
              <w:pStyle w:val="TableText"/>
              <w:spacing w:before="50" w:after="50"/>
              <w:rPr>
                <w:color w:val="000000"/>
              </w:rPr>
            </w:pPr>
            <w:r w:rsidRPr="00D9348B">
              <w:rPr>
                <w:color w:val="000000"/>
              </w:rPr>
              <w:t>Waste for Tokelau</w:t>
            </w:r>
          </w:p>
        </w:tc>
        <w:tc>
          <w:tcPr>
            <w:tcW w:w="850" w:type="dxa"/>
            <w:shd w:val="clear" w:color="auto" w:fill="auto"/>
            <w:vAlign w:val="bottom"/>
          </w:tcPr>
          <w:p w14:paraId="4B4B586F" w14:textId="77777777" w:rsidR="00B7613B" w:rsidRPr="00D9348B" w:rsidRDefault="00B7613B" w:rsidP="00DB330E">
            <w:pPr>
              <w:pStyle w:val="TableText"/>
              <w:keepNext/>
              <w:spacing w:before="50" w:after="50"/>
              <w:jc w:val="right"/>
              <w:rPr>
                <w:rFonts w:cs="Arial"/>
                <w:color w:val="000000"/>
                <w:szCs w:val="16"/>
              </w:rPr>
            </w:pPr>
            <w:r w:rsidRPr="00D9348B">
              <w:rPr>
                <w:rFonts w:cs="Arial"/>
                <w:color w:val="000000"/>
                <w:szCs w:val="16"/>
              </w:rPr>
              <w:t>0.71</w:t>
            </w:r>
          </w:p>
        </w:tc>
        <w:tc>
          <w:tcPr>
            <w:tcW w:w="781" w:type="dxa"/>
            <w:shd w:val="clear" w:color="auto" w:fill="auto"/>
            <w:vAlign w:val="bottom"/>
          </w:tcPr>
          <w:p w14:paraId="248C82DA" w14:textId="77777777" w:rsidR="00B7613B" w:rsidRPr="00D9348B" w:rsidRDefault="00B7613B" w:rsidP="00DB330E">
            <w:pPr>
              <w:pStyle w:val="TableText"/>
              <w:keepNext/>
              <w:tabs>
                <w:tab w:val="left" w:pos="590"/>
              </w:tabs>
              <w:spacing w:before="50" w:after="50"/>
              <w:ind w:right="91"/>
              <w:jc w:val="right"/>
              <w:rPr>
                <w:rFonts w:cs="Arial"/>
                <w:color w:val="000000"/>
                <w:szCs w:val="16"/>
              </w:rPr>
            </w:pPr>
            <w:r w:rsidRPr="00D9348B">
              <w:rPr>
                <w:rFonts w:cs="Arial"/>
                <w:color w:val="000000"/>
                <w:szCs w:val="16"/>
              </w:rPr>
              <w:t>0.69</w:t>
            </w:r>
          </w:p>
        </w:tc>
        <w:tc>
          <w:tcPr>
            <w:tcW w:w="1543" w:type="dxa"/>
            <w:vAlign w:val="bottom"/>
          </w:tcPr>
          <w:p w14:paraId="3D84A795" w14:textId="77777777" w:rsidR="00B7613B" w:rsidRPr="00D9348B" w:rsidRDefault="00B7613B" w:rsidP="00DB330E">
            <w:pPr>
              <w:pStyle w:val="TableText"/>
              <w:keepNext/>
              <w:tabs>
                <w:tab w:val="left" w:pos="1309"/>
              </w:tabs>
              <w:spacing w:before="50" w:after="50"/>
              <w:ind w:right="55"/>
              <w:jc w:val="center"/>
              <w:rPr>
                <w:rFonts w:cs="Arial"/>
                <w:color w:val="000000"/>
                <w:szCs w:val="16"/>
              </w:rPr>
            </w:pPr>
            <w:r w:rsidRPr="00D9348B">
              <w:rPr>
                <w:color w:val="000000"/>
              </w:rPr>
              <w:t>–</w:t>
            </w:r>
            <w:r w:rsidRPr="00D9348B">
              <w:rPr>
                <w:rFonts w:cs="Arial"/>
                <w:color w:val="000000"/>
                <w:szCs w:val="16"/>
              </w:rPr>
              <w:t>0.02</w:t>
            </w:r>
          </w:p>
        </w:tc>
        <w:tc>
          <w:tcPr>
            <w:tcW w:w="844" w:type="dxa"/>
            <w:vAlign w:val="bottom"/>
          </w:tcPr>
          <w:p w14:paraId="251DD66C" w14:textId="77777777" w:rsidR="00B7613B" w:rsidRPr="00D9348B" w:rsidRDefault="00B7613B" w:rsidP="00DB330E">
            <w:pPr>
              <w:pStyle w:val="TableText"/>
              <w:keepNext/>
              <w:tabs>
                <w:tab w:val="left" w:pos="1309"/>
              </w:tabs>
              <w:spacing w:before="50" w:after="50"/>
              <w:ind w:right="55"/>
              <w:jc w:val="right"/>
              <w:rPr>
                <w:rFonts w:cs="Arial"/>
                <w:color w:val="000000"/>
                <w:szCs w:val="16"/>
              </w:rPr>
            </w:pPr>
            <w:r w:rsidRPr="00D9348B">
              <w:rPr>
                <w:color w:val="000000"/>
              </w:rPr>
              <w:t>–</w:t>
            </w:r>
            <w:r w:rsidRPr="00D9348B">
              <w:rPr>
                <w:rFonts w:cs="Arial"/>
                <w:color w:val="000000"/>
                <w:szCs w:val="16"/>
              </w:rPr>
              <w:t>2.4</w:t>
            </w:r>
          </w:p>
        </w:tc>
        <w:tc>
          <w:tcPr>
            <w:tcW w:w="1262" w:type="dxa"/>
            <w:shd w:val="clear" w:color="auto" w:fill="auto"/>
            <w:vAlign w:val="bottom"/>
          </w:tcPr>
          <w:p w14:paraId="04B7B82B" w14:textId="77777777" w:rsidR="00B7613B" w:rsidRPr="00D9348B" w:rsidRDefault="00B7613B" w:rsidP="00DB330E">
            <w:pPr>
              <w:pStyle w:val="TableText"/>
              <w:tabs>
                <w:tab w:val="left" w:pos="1051"/>
                <w:tab w:val="left" w:pos="1451"/>
              </w:tabs>
              <w:spacing w:before="50" w:after="50"/>
              <w:ind w:right="37"/>
              <w:jc w:val="center"/>
              <w:rPr>
                <w:color w:val="000000"/>
              </w:rPr>
            </w:pPr>
            <w:r w:rsidRPr="00D9348B">
              <w:rPr>
                <w:color w:val="000000"/>
              </w:rPr>
              <w:t>19.1</w:t>
            </w:r>
          </w:p>
        </w:tc>
        <w:tc>
          <w:tcPr>
            <w:tcW w:w="1263" w:type="dxa"/>
            <w:vAlign w:val="bottom"/>
          </w:tcPr>
          <w:p w14:paraId="1720EF50" w14:textId="77777777" w:rsidR="00B7613B" w:rsidRPr="00D9348B" w:rsidRDefault="00B7613B" w:rsidP="00DB330E">
            <w:pPr>
              <w:pStyle w:val="TableText"/>
              <w:keepNext/>
              <w:tabs>
                <w:tab w:val="left" w:pos="1309"/>
              </w:tabs>
              <w:spacing w:before="50" w:after="50"/>
              <w:ind w:right="35"/>
              <w:jc w:val="center"/>
              <w:rPr>
                <w:rFonts w:cs="Arial"/>
                <w:color w:val="000000"/>
                <w:szCs w:val="16"/>
              </w:rPr>
            </w:pPr>
            <w:r w:rsidRPr="00D9348B">
              <w:rPr>
                <w:rFonts w:cs="Arial"/>
                <w:color w:val="000000"/>
                <w:szCs w:val="16"/>
              </w:rPr>
              <w:t>0.0009</w:t>
            </w:r>
          </w:p>
        </w:tc>
      </w:tr>
      <w:tr w:rsidR="00B7613B" w:rsidRPr="00D9348B" w14:paraId="13F9A1C8" w14:textId="77777777" w:rsidTr="00DB330E">
        <w:tc>
          <w:tcPr>
            <w:tcW w:w="2019" w:type="dxa"/>
            <w:shd w:val="clear" w:color="auto" w:fill="auto"/>
            <w:vAlign w:val="bottom"/>
          </w:tcPr>
          <w:p w14:paraId="69A19E9E" w14:textId="77777777" w:rsidR="00B7613B" w:rsidRPr="00D9348B" w:rsidRDefault="00B7613B" w:rsidP="00DB330E">
            <w:pPr>
              <w:pStyle w:val="Tableboldblue"/>
            </w:pPr>
            <w:r w:rsidRPr="00D9348B">
              <w:t>Gross emissions for Tokelau</w:t>
            </w:r>
          </w:p>
        </w:tc>
        <w:tc>
          <w:tcPr>
            <w:tcW w:w="850" w:type="dxa"/>
            <w:shd w:val="clear" w:color="auto" w:fill="auto"/>
            <w:vAlign w:val="bottom"/>
          </w:tcPr>
          <w:p w14:paraId="784F0FC7" w14:textId="77777777" w:rsidR="00B7613B" w:rsidRPr="00D9348B" w:rsidRDefault="00B7613B" w:rsidP="00DB330E">
            <w:pPr>
              <w:pStyle w:val="Tableboldblue"/>
              <w:tabs>
                <w:tab w:val="left" w:pos="600"/>
              </w:tabs>
              <w:ind w:right="90"/>
              <w:jc w:val="right"/>
            </w:pPr>
            <w:r w:rsidRPr="00D9348B">
              <w:t>3.17</w:t>
            </w:r>
          </w:p>
        </w:tc>
        <w:tc>
          <w:tcPr>
            <w:tcW w:w="781" w:type="dxa"/>
            <w:shd w:val="clear" w:color="auto" w:fill="auto"/>
            <w:vAlign w:val="bottom"/>
          </w:tcPr>
          <w:p w14:paraId="0C1D3337" w14:textId="77777777" w:rsidR="00B7613B" w:rsidRPr="00D9348B" w:rsidRDefault="00B7613B" w:rsidP="00DB330E">
            <w:pPr>
              <w:pStyle w:val="Tableboldblue"/>
              <w:ind w:right="90"/>
              <w:jc w:val="right"/>
            </w:pPr>
            <w:r w:rsidRPr="00D9348B">
              <w:t>3.62</w:t>
            </w:r>
          </w:p>
        </w:tc>
        <w:tc>
          <w:tcPr>
            <w:tcW w:w="1543" w:type="dxa"/>
            <w:vAlign w:val="bottom"/>
          </w:tcPr>
          <w:p w14:paraId="57428A70" w14:textId="77777777" w:rsidR="00B7613B" w:rsidRPr="00D9348B" w:rsidRDefault="00B7613B" w:rsidP="00DB330E">
            <w:pPr>
              <w:pStyle w:val="TableText"/>
              <w:keepNext/>
              <w:tabs>
                <w:tab w:val="left" w:pos="1309"/>
              </w:tabs>
              <w:spacing w:before="50" w:after="50"/>
              <w:ind w:right="55"/>
              <w:jc w:val="center"/>
              <w:rPr>
                <w:b/>
              </w:rPr>
            </w:pPr>
            <w:r w:rsidRPr="00D9348B">
              <w:rPr>
                <w:b/>
                <w:color w:val="1F4E79"/>
              </w:rPr>
              <w:t>0.45</w:t>
            </w:r>
          </w:p>
        </w:tc>
        <w:tc>
          <w:tcPr>
            <w:tcW w:w="844" w:type="dxa"/>
            <w:vAlign w:val="bottom"/>
          </w:tcPr>
          <w:p w14:paraId="2EC5D324" w14:textId="77777777" w:rsidR="00B7613B" w:rsidRPr="00D9348B" w:rsidRDefault="00B7613B" w:rsidP="00DB330E">
            <w:pPr>
              <w:pStyle w:val="Tableboldblue"/>
              <w:tabs>
                <w:tab w:val="left" w:pos="780"/>
                <w:tab w:val="left" w:pos="1451"/>
              </w:tabs>
              <w:ind w:right="90"/>
              <w:jc w:val="right"/>
            </w:pPr>
            <w:r w:rsidRPr="00D9348B">
              <w:rPr>
                <w:color w:val="1F4E79"/>
              </w:rPr>
              <w:t>14.2</w:t>
            </w:r>
          </w:p>
        </w:tc>
        <w:tc>
          <w:tcPr>
            <w:tcW w:w="1262" w:type="dxa"/>
            <w:shd w:val="clear" w:color="auto" w:fill="auto"/>
            <w:vAlign w:val="bottom"/>
          </w:tcPr>
          <w:p w14:paraId="7641C77E" w14:textId="77777777" w:rsidR="00B7613B" w:rsidRPr="00D9348B" w:rsidRDefault="00B7613B" w:rsidP="00DB330E">
            <w:pPr>
              <w:pStyle w:val="Tableboldblue"/>
              <w:tabs>
                <w:tab w:val="left" w:pos="600"/>
                <w:tab w:val="left" w:pos="1451"/>
              </w:tabs>
              <w:ind w:right="37"/>
              <w:jc w:val="center"/>
            </w:pPr>
            <w:r w:rsidRPr="00D9348B">
              <w:t>100.0</w:t>
            </w:r>
          </w:p>
        </w:tc>
        <w:tc>
          <w:tcPr>
            <w:tcW w:w="1263" w:type="dxa"/>
            <w:vAlign w:val="bottom"/>
          </w:tcPr>
          <w:p w14:paraId="548F2E8C" w14:textId="77777777" w:rsidR="00B7613B" w:rsidRPr="00D9348B" w:rsidRDefault="00B7613B" w:rsidP="00DB330E">
            <w:pPr>
              <w:pStyle w:val="Tableboldblue"/>
              <w:tabs>
                <w:tab w:val="left" w:pos="600"/>
                <w:tab w:val="left" w:pos="1451"/>
              </w:tabs>
              <w:ind w:right="90"/>
              <w:jc w:val="center"/>
            </w:pPr>
            <w:r w:rsidRPr="00D9348B">
              <w:t>0.0046</w:t>
            </w:r>
          </w:p>
        </w:tc>
      </w:tr>
    </w:tbl>
    <w:p w14:paraId="6AC01EDD" w14:textId="77777777" w:rsidR="00B7613B" w:rsidRPr="00D9348B" w:rsidRDefault="00B7613B" w:rsidP="00B7613B">
      <w:pPr>
        <w:pStyle w:val="Noteundertable"/>
      </w:pPr>
      <w:r w:rsidRPr="00D9348B">
        <w:rPr>
          <w:b/>
        </w:rPr>
        <w:t>Note:</w:t>
      </w:r>
      <w:r w:rsidRPr="00D9348B">
        <w:t xml:space="preserve"> </w:t>
      </w:r>
      <w:r w:rsidRPr="00D9348B">
        <w:tab/>
        <w:t>The 2020 submission includes emissions from Tokelau’s largest contributing sectors, which are the Energy, IPPU, Agriculture, and Waste sectors.</w:t>
      </w:r>
      <w:r w:rsidRPr="00D9348B">
        <w:rPr>
          <w:rFonts w:ascii="Times New Roman" w:hAnsi="Times New Roman"/>
        </w:rPr>
        <w:t xml:space="preserve"> </w:t>
      </w:r>
      <w:r w:rsidRPr="00D9348B">
        <w:t>The LULUCF sector is not estimated as it is expected to contribute a miniscule amount of emissions and removals, because there are no planted or managed forests in Tokelau. The percentages may not add up to 100 per cent due to rounding.</w:t>
      </w:r>
    </w:p>
    <w:p w14:paraId="5BC2478C" w14:textId="77777777" w:rsidR="00B7613B" w:rsidRPr="00D9348B" w:rsidRDefault="00B7613B" w:rsidP="00471DB7">
      <w:pPr>
        <w:pStyle w:val="BodyText"/>
      </w:pPr>
      <w:r w:rsidRPr="00D9348B">
        <w:t>Due to the small land area, small population and absence of industry, Tokelau has a very low impact on the environment and emits very small amounts of GHGs. Tokelau produces mainly CO</w:t>
      </w:r>
      <w:r w:rsidRPr="00D9348B">
        <w:rPr>
          <w:vertAlign w:val="subscript"/>
        </w:rPr>
        <w:t>2</w:t>
      </w:r>
      <w:r w:rsidRPr="00D9348B">
        <w:t xml:space="preserve"> emissions (51.7 per cent) and CH</w:t>
      </w:r>
      <w:r w:rsidRPr="00D9348B">
        <w:rPr>
          <w:vertAlign w:val="subscript"/>
        </w:rPr>
        <w:t>4</w:t>
      </w:r>
      <w:r w:rsidRPr="00D9348B">
        <w:t xml:space="preserve"> emissions (40.7 per cent) followed by HFCs (6.5 per cent) and N</w:t>
      </w:r>
      <w:r w:rsidRPr="00D9348B">
        <w:rPr>
          <w:vertAlign w:val="subscript"/>
        </w:rPr>
        <w:t>2</w:t>
      </w:r>
      <w:r w:rsidRPr="00D9348B">
        <w:t>O emissions (1.1 per cent). Emissions from HFCs are largely coming from the use of domestic fridges and freezers.</w:t>
      </w:r>
    </w:p>
    <w:p w14:paraId="473FAD7C" w14:textId="77777777" w:rsidR="00B7613B" w:rsidRPr="00D9348B" w:rsidRDefault="00B7613B" w:rsidP="00471DB7">
      <w:pPr>
        <w:pStyle w:val="Heading5"/>
        <w:spacing w:before="160"/>
      </w:pPr>
      <w:r w:rsidRPr="00D9348B">
        <w:t>2018</w:t>
      </w:r>
    </w:p>
    <w:p w14:paraId="70EF4FE7" w14:textId="77777777" w:rsidR="00B7613B" w:rsidRPr="00D9348B" w:rsidRDefault="00B7613B" w:rsidP="00471DB7">
      <w:pPr>
        <w:pStyle w:val="BodyText"/>
      </w:pPr>
      <w:r w:rsidRPr="00D9348B">
        <w:t>In 2018, emissions from Tokelau contributed 3.62 kt CO</w:t>
      </w:r>
      <w:r w:rsidRPr="00D9348B">
        <w:rPr>
          <w:vertAlign w:val="subscript"/>
        </w:rPr>
        <w:t>2</w:t>
      </w:r>
      <w:r w:rsidRPr="00D9348B">
        <w:t xml:space="preserve">-e or 0.005 per cent of New Zealand’s gross GHG emissions. The largest source category is the </w:t>
      </w:r>
      <w:r w:rsidRPr="00D9348B">
        <w:rPr>
          <w:i/>
        </w:rPr>
        <w:t>Domestic navigation</w:t>
      </w:r>
      <w:r w:rsidRPr="00D9348B">
        <w:t xml:space="preserve"> category. </w:t>
      </w:r>
    </w:p>
    <w:p w14:paraId="5291D77B" w14:textId="77777777" w:rsidR="00B7613B" w:rsidRPr="00D9348B" w:rsidRDefault="00B7613B" w:rsidP="00471DB7">
      <w:pPr>
        <w:pStyle w:val="Heading5"/>
        <w:spacing w:before="160"/>
      </w:pPr>
      <w:r w:rsidRPr="00D9348B">
        <w:t>1990–2018</w:t>
      </w:r>
    </w:p>
    <w:p w14:paraId="4004609A" w14:textId="77777777" w:rsidR="00B7613B" w:rsidRPr="00D9348B" w:rsidRDefault="00B7613B" w:rsidP="00471DB7">
      <w:pPr>
        <w:pStyle w:val="BodyText"/>
      </w:pPr>
      <w:r w:rsidRPr="00D9348B">
        <w:t>In 1990, gross emissions from Tokelau were 3.17 kt CO</w:t>
      </w:r>
      <w:r w:rsidRPr="00D9348B">
        <w:rPr>
          <w:vertAlign w:val="subscript"/>
        </w:rPr>
        <w:t>2</w:t>
      </w:r>
      <w:r w:rsidRPr="00D9348B">
        <w:t>-e. Between 1990 and 2018, gross emissions from Tokelau increased by 14.2 per cent (0.45 kt CO</w:t>
      </w:r>
      <w:r w:rsidRPr="00D9348B">
        <w:rPr>
          <w:vertAlign w:val="subscript"/>
        </w:rPr>
        <w:t>2</w:t>
      </w:r>
      <w:r w:rsidRPr="00D9348B">
        <w:t>-e) to 3.62 kt CO</w:t>
      </w:r>
      <w:r w:rsidRPr="00D9348B">
        <w:rPr>
          <w:vertAlign w:val="subscript"/>
        </w:rPr>
        <w:t>2</w:t>
      </w:r>
      <w:r w:rsidRPr="00D9348B">
        <w:t>-e in 2018.</w:t>
      </w:r>
    </w:p>
    <w:p w14:paraId="02FAC266" w14:textId="1536D528" w:rsidR="00B7613B" w:rsidRPr="00D9348B" w:rsidRDefault="00B7613B" w:rsidP="00BD39D9">
      <w:pPr>
        <w:pStyle w:val="BodyText"/>
      </w:pPr>
      <w:r w:rsidRPr="00D9348B">
        <w:t xml:space="preserve">The emission categories that contributed the most to this change were </w:t>
      </w:r>
      <w:r w:rsidRPr="00D9348B">
        <w:rPr>
          <w:i/>
          <w:iCs/>
        </w:rPr>
        <w:t xml:space="preserve">Domestic navigation </w:t>
      </w:r>
      <w:r w:rsidRPr="00D9348B">
        <w:t xml:space="preserve">and </w:t>
      </w:r>
      <w:r w:rsidRPr="00D9348B">
        <w:rPr>
          <w:i/>
          <w:iCs/>
        </w:rPr>
        <w:t>Refrigeration and air conditioning</w:t>
      </w:r>
      <w:r w:rsidRPr="00D9348B">
        <w:t xml:space="preserve">. The changes in </w:t>
      </w:r>
      <w:r w:rsidRPr="00D9348B">
        <w:rPr>
          <w:i/>
        </w:rPr>
        <w:t>Domestic navigation</w:t>
      </w:r>
      <w:r w:rsidRPr="00D9348B">
        <w:t xml:space="preserve"> are a result of </w:t>
      </w:r>
      <w:r w:rsidRPr="00D9348B">
        <w:lastRenderedPageBreak/>
        <w:t xml:space="preserve">Tokelau gaining ownership and use of the ferry </w:t>
      </w:r>
      <w:r w:rsidRPr="00D9348B">
        <w:rPr>
          <w:i/>
        </w:rPr>
        <w:t>Mataliki</w:t>
      </w:r>
      <w:r w:rsidRPr="00D9348B">
        <w:t xml:space="preserve"> in 2016 and cargo vessel </w:t>
      </w:r>
      <w:r w:rsidRPr="00D9348B">
        <w:rPr>
          <w:i/>
        </w:rPr>
        <w:t xml:space="preserve">Kalopaga </w:t>
      </w:r>
      <w:r w:rsidRPr="00D9348B">
        <w:t>in</w:t>
      </w:r>
      <w:r w:rsidR="00BD39D9" w:rsidRPr="00D9348B">
        <w:t> </w:t>
      </w:r>
      <w:r w:rsidRPr="00D9348B">
        <w:t>2018, leading to an increasing number of sea voyages between the atolls, which increased transport emissions. Emissions from Tokelau’s IPPU sector have also increased slightly as fridges and freezers have become more commonly used. Further changes in Tokelau’s Energy sector emissions are a significant rise, then drop (by approximately 400 per cent and 82.5 per cent, respectively) in consumption of imported petroleum products used for electricity production in Tokelau. Emissions from Tokelau’s Agriculture sector have decreased slightly as a</w:t>
      </w:r>
      <w:r w:rsidR="00BD39D9" w:rsidRPr="00D9348B">
        <w:t> </w:t>
      </w:r>
      <w:r w:rsidRPr="00D9348B">
        <w:t>result of a reduced population of pigs (figure 2.2.12). The trends are shown in figure 2.2.12 and in chapter 8.</w:t>
      </w:r>
    </w:p>
    <w:p w14:paraId="52D5A550" w14:textId="77777777" w:rsidR="00B7613B" w:rsidRPr="00D9348B" w:rsidRDefault="00B7613B" w:rsidP="00BD39D9">
      <w:pPr>
        <w:pStyle w:val="Figure"/>
      </w:pPr>
      <w:bookmarkStart w:id="294" w:name="_Toc36292767"/>
      <w:r w:rsidRPr="00D9348B">
        <w:t>Figure 2.2.12</w:t>
      </w:r>
      <w:r w:rsidRPr="00D9348B">
        <w:tab/>
        <w:t>Emissions by sector for Tokelau from 1990 to 2018</w:t>
      </w:r>
      <w:bookmarkEnd w:id="294"/>
    </w:p>
    <w:p w14:paraId="6933C0B5" w14:textId="20C12452" w:rsidR="00B7613B" w:rsidRPr="00D9348B" w:rsidRDefault="007165CF" w:rsidP="00F40230">
      <w:pPr>
        <w:pStyle w:val="BodyText"/>
        <w:spacing w:before="0"/>
      </w:pPr>
      <w:r>
        <w:pict w14:anchorId="0B45C358">
          <v:shape id="_x0000_i1047" type="#_x0000_t75" style="width:374.4pt;height:223.5pt">
            <v:imagedata r:id="rId60" o:title="Figure 2"/>
          </v:shape>
        </w:pict>
      </w:r>
    </w:p>
    <w:p w14:paraId="0174C702" w14:textId="77777777" w:rsidR="00B7613B" w:rsidRPr="00D9348B" w:rsidRDefault="00B7613B" w:rsidP="006C223B">
      <w:pPr>
        <w:pStyle w:val="Heading5"/>
        <w:spacing w:before="120"/>
      </w:pPr>
      <w:r w:rsidRPr="00D9348B">
        <w:t>2017–2018</w:t>
      </w:r>
    </w:p>
    <w:p w14:paraId="780356BD" w14:textId="77777777" w:rsidR="00B7613B" w:rsidRPr="00D9348B" w:rsidRDefault="00B7613B" w:rsidP="00F40230">
      <w:pPr>
        <w:pStyle w:val="BodyText"/>
        <w:spacing w:before="80"/>
      </w:pPr>
      <w:r w:rsidRPr="00D9348B">
        <w:t>Total Tokelau emissions in 2018 were 0.10 kt CO</w:t>
      </w:r>
      <w:r w:rsidRPr="00D9348B">
        <w:rPr>
          <w:vertAlign w:val="subscript"/>
        </w:rPr>
        <w:t>2</w:t>
      </w:r>
      <w:r w:rsidRPr="00D9348B">
        <w:t>-e (2.8 per cent) higher than emissions in 2017. This increase is largely the result of increases in CO</w:t>
      </w:r>
      <w:r w:rsidRPr="00D9348B">
        <w:rPr>
          <w:vertAlign w:val="subscript"/>
        </w:rPr>
        <w:t>2</w:t>
      </w:r>
      <w:r w:rsidRPr="00D9348B">
        <w:t xml:space="preserve"> emissions in the </w:t>
      </w:r>
      <w:r w:rsidRPr="00D9348B">
        <w:rPr>
          <w:i/>
        </w:rPr>
        <w:t>Domestic navigation</w:t>
      </w:r>
      <w:r w:rsidRPr="00D9348B">
        <w:t xml:space="preserve"> category, due to increasing shipping within Tokelau. </w:t>
      </w:r>
    </w:p>
    <w:p w14:paraId="332387A6" w14:textId="450411D4" w:rsidR="00B7613B" w:rsidRPr="00D9348B" w:rsidRDefault="00B7613B" w:rsidP="00F40230">
      <w:pPr>
        <w:pStyle w:val="Heading2"/>
        <w:spacing w:before="280"/>
      </w:pPr>
      <w:bookmarkStart w:id="295" w:name="_Toc36224382"/>
      <w:r w:rsidRPr="00D9348B">
        <w:t xml:space="preserve">2.3 </w:t>
      </w:r>
      <w:r w:rsidRPr="00D9348B">
        <w:tab/>
        <w:t>Activities under Article 3.3 and Article 3.4</w:t>
      </w:r>
      <w:r w:rsidR="00BD39D9" w:rsidRPr="00D9348B">
        <w:t xml:space="preserve"> </w:t>
      </w:r>
      <w:r w:rsidRPr="00D9348B">
        <w:t>of the Kyoto Protocol</w:t>
      </w:r>
      <w:bookmarkEnd w:id="287"/>
      <w:bookmarkEnd w:id="288"/>
      <w:bookmarkEnd w:id="289"/>
      <w:bookmarkEnd w:id="295"/>
      <w:r w:rsidRPr="00D9348B">
        <w:t xml:space="preserve"> </w:t>
      </w:r>
    </w:p>
    <w:p w14:paraId="7517BB66" w14:textId="77777777" w:rsidR="00B7613B" w:rsidRPr="00D9348B" w:rsidRDefault="00B7613B" w:rsidP="00F40230">
      <w:pPr>
        <w:pStyle w:val="BodyText"/>
        <w:spacing w:before="80" w:after="80"/>
      </w:pPr>
      <w:r w:rsidRPr="00D9348B">
        <w:t>In 2018, net emissions from land subject to Article 3.3 and Article 3.4 activities under the Kyoto Protocol were –29,346.0 kt CO</w:t>
      </w:r>
      <w:r w:rsidRPr="00D9348B">
        <w:rPr>
          <w:vertAlign w:val="subscript"/>
        </w:rPr>
        <w:t>2</w:t>
      </w:r>
      <w:r w:rsidRPr="00D9348B">
        <w:t>-e</w:t>
      </w:r>
      <w:r w:rsidRPr="00D9348B">
        <w:rPr>
          <w:rStyle w:val="FootnoteReference"/>
        </w:rPr>
        <w:footnoteReference w:id="32"/>
      </w:r>
      <w:r w:rsidRPr="00D9348B">
        <w:t xml:space="preserve"> (see table 2.3.1). This estimate includes net removals from the growth of all forest types and emissions from:</w:t>
      </w:r>
    </w:p>
    <w:p w14:paraId="2A7D3EED" w14:textId="77777777" w:rsidR="00B7613B" w:rsidRPr="00D9348B" w:rsidRDefault="00B7613B" w:rsidP="00F40230">
      <w:pPr>
        <w:pStyle w:val="Bullet"/>
        <w:numPr>
          <w:ilvl w:val="0"/>
          <w:numId w:val="20"/>
        </w:numPr>
        <w:spacing w:after="80"/>
      </w:pPr>
      <w:r w:rsidRPr="00D9348B">
        <w:t xml:space="preserve">decay of harvested wood products from </w:t>
      </w:r>
      <w:r w:rsidRPr="00D9348B">
        <w:rPr>
          <w:i/>
        </w:rPr>
        <w:t>Afforestation and reforestation</w:t>
      </w:r>
      <w:r w:rsidRPr="00D9348B">
        <w:t xml:space="preserve"> and </w:t>
      </w:r>
      <w:r w:rsidRPr="00D9348B">
        <w:rPr>
          <w:i/>
        </w:rPr>
        <w:t>Forest management</w:t>
      </w:r>
      <w:r w:rsidRPr="00D9348B">
        <w:t xml:space="preserve"> land</w:t>
      </w:r>
    </w:p>
    <w:p w14:paraId="21E3E224" w14:textId="77777777" w:rsidR="00B7613B" w:rsidRPr="00D9348B" w:rsidRDefault="00B7613B" w:rsidP="00F40230">
      <w:pPr>
        <w:pStyle w:val="Bullet"/>
        <w:numPr>
          <w:ilvl w:val="0"/>
          <w:numId w:val="20"/>
        </w:numPr>
        <w:spacing w:after="80"/>
      </w:pPr>
      <w:r w:rsidRPr="00D9348B">
        <w:rPr>
          <w:i/>
        </w:rPr>
        <w:t>Deforestation</w:t>
      </w:r>
      <w:r w:rsidRPr="00D9348B">
        <w:t xml:space="preserve"> of all forest types </w:t>
      </w:r>
    </w:p>
    <w:p w14:paraId="3E6742F7" w14:textId="77777777" w:rsidR="00B7613B" w:rsidRPr="00D9348B" w:rsidRDefault="00B7613B" w:rsidP="00F40230">
      <w:pPr>
        <w:pStyle w:val="Bullet"/>
        <w:numPr>
          <w:ilvl w:val="0"/>
          <w:numId w:val="20"/>
        </w:numPr>
        <w:spacing w:after="80"/>
      </w:pPr>
      <w:r w:rsidRPr="00D9348B">
        <w:t xml:space="preserve">conversion of land to post-1989 forest </w:t>
      </w:r>
    </w:p>
    <w:p w14:paraId="1A80C6F0" w14:textId="77777777" w:rsidR="00B7613B" w:rsidRPr="00D9348B" w:rsidRDefault="00B7613B" w:rsidP="00F40230">
      <w:pPr>
        <w:pStyle w:val="Bullet"/>
        <w:numPr>
          <w:ilvl w:val="0"/>
          <w:numId w:val="20"/>
        </w:numPr>
        <w:spacing w:after="80"/>
      </w:pPr>
      <w:r w:rsidRPr="00D9348B">
        <w:t>biomass burning</w:t>
      </w:r>
    </w:p>
    <w:p w14:paraId="595CAA6C" w14:textId="77777777" w:rsidR="00B7613B" w:rsidRPr="00D9348B" w:rsidRDefault="00B7613B" w:rsidP="00771A8F">
      <w:pPr>
        <w:pStyle w:val="Bullet"/>
        <w:numPr>
          <w:ilvl w:val="0"/>
          <w:numId w:val="20"/>
        </w:numPr>
      </w:pPr>
      <w:proofErr w:type="gramStart"/>
      <w:r w:rsidRPr="00D9348B">
        <w:t>soil</w:t>
      </w:r>
      <w:proofErr w:type="gramEnd"/>
      <w:r w:rsidRPr="00D9348B">
        <w:t xml:space="preserve"> disturbance associated with land-use conversion. </w:t>
      </w:r>
    </w:p>
    <w:p w14:paraId="5302C4C7" w14:textId="499BE638" w:rsidR="00B7613B" w:rsidRPr="00D9348B" w:rsidRDefault="00B7613B" w:rsidP="00B7613B">
      <w:pPr>
        <w:pStyle w:val="BodyText"/>
        <w:spacing w:after="100"/>
      </w:pPr>
      <w:r w:rsidRPr="00D9348B">
        <w:lastRenderedPageBreak/>
        <w:t>New Zealand’s estimates for emissions and removals from activities under Article 3.3 and Article 3.4 of the Kyoto Protocol do not include emissions associated with nitrogen-containing fertiliser use on afforested and reforested land, because these are reported and accounted for</w:t>
      </w:r>
      <w:r w:rsidR="00EF5F99" w:rsidRPr="00D9348B">
        <w:t> </w:t>
      </w:r>
      <w:r w:rsidRPr="00D9348B">
        <w:t>in the Agriculture</w:t>
      </w:r>
      <w:r w:rsidRPr="00D9348B">
        <w:rPr>
          <w:i/>
        </w:rPr>
        <w:t xml:space="preserve"> </w:t>
      </w:r>
      <w:r w:rsidRPr="00D9348B">
        <w:t>sector. The notation key IE (included elsewhere) is used for this in the common reporting format tables.</w:t>
      </w:r>
    </w:p>
    <w:p w14:paraId="2C43F470" w14:textId="16CD7D68" w:rsidR="00B7613B" w:rsidRPr="00D9348B" w:rsidRDefault="00B7613B" w:rsidP="00B7613B">
      <w:pPr>
        <w:pStyle w:val="BodyText"/>
        <w:spacing w:after="100"/>
      </w:pPr>
      <w:r w:rsidRPr="00D9348B">
        <w:t>Accounting rules apply to activities under the Kyoto Protocol. Application of one of these rules,</w:t>
      </w:r>
      <w:r w:rsidR="00EF5F99" w:rsidRPr="00D9348B">
        <w:t> </w:t>
      </w:r>
      <w:r w:rsidRPr="00D9348B">
        <w:t xml:space="preserve">called carbon equivalent forests, means that the area of new forest planting is different from the area of </w:t>
      </w:r>
      <w:r w:rsidRPr="00D9348B">
        <w:rPr>
          <w:i/>
        </w:rPr>
        <w:t>Afforestation</w:t>
      </w:r>
      <w:r w:rsidRPr="00D9348B">
        <w:t xml:space="preserve"> for some years, and the area of forest clearance and land conversion is different from the area of </w:t>
      </w:r>
      <w:r w:rsidRPr="00D9348B">
        <w:rPr>
          <w:i/>
        </w:rPr>
        <w:t>Deforestation</w:t>
      </w:r>
      <w:r w:rsidRPr="00D9348B">
        <w:t>. These accounting rules are explained further in chapter 11.</w:t>
      </w:r>
    </w:p>
    <w:p w14:paraId="460546FA" w14:textId="77777777" w:rsidR="00B7613B" w:rsidRPr="00D9348B" w:rsidRDefault="00B7613B" w:rsidP="00B7613B">
      <w:pPr>
        <w:pStyle w:val="Heading5"/>
        <w:spacing w:before="220"/>
      </w:pPr>
      <w:r w:rsidRPr="00D9348B">
        <w:t>Afforestation and reforestation</w:t>
      </w:r>
    </w:p>
    <w:p w14:paraId="5380B9F0" w14:textId="3AEF455E" w:rsidR="00B7613B" w:rsidRPr="00D9348B" w:rsidRDefault="00B7613B" w:rsidP="00B7613B">
      <w:pPr>
        <w:pStyle w:val="BodyText"/>
        <w:spacing w:after="100"/>
      </w:pPr>
      <w:r w:rsidRPr="00D9348B">
        <w:t>The net area of post-1989 forest as at the end of 2018 is 698,497</w:t>
      </w:r>
      <w:r w:rsidRPr="00D9348B">
        <w:rPr>
          <w:rFonts w:cs="Arial"/>
          <w:color w:val="000000"/>
          <w:szCs w:val="16"/>
        </w:rPr>
        <w:t xml:space="preserve"> </w:t>
      </w:r>
      <w:r w:rsidRPr="00D9348B">
        <w:t>hectares.</w:t>
      </w:r>
      <w:r w:rsidRPr="00D9348B">
        <w:rPr>
          <w:rStyle w:val="FootnoteReference"/>
        </w:rPr>
        <w:footnoteReference w:id="33"/>
      </w:r>
      <w:r w:rsidRPr="00D9348B">
        <w:t xml:space="preserve"> The net area is</w:t>
      </w:r>
      <w:r w:rsidR="00B15478" w:rsidRPr="00D9348B">
        <w:t xml:space="preserve"> </w:t>
      </w:r>
      <w:r w:rsidRPr="00D9348B">
        <w:t>the total area of new forest established since 1990 (729,769 hectares) minus the</w:t>
      </w:r>
      <w:r w:rsidR="00B15478" w:rsidRPr="00D9348B">
        <w:t xml:space="preserve"> </w:t>
      </w:r>
      <w:r w:rsidRPr="00D9348B">
        <w:rPr>
          <w:i/>
        </w:rPr>
        <w:t>Deforestation</w:t>
      </w:r>
      <w:r w:rsidRPr="00D9348B">
        <w:t xml:space="preserve"> of post-1989 forest that has occurred since 1 January 1990 (31,272 hectares). Net removals from land included under </w:t>
      </w:r>
      <w:r w:rsidRPr="00D9348B">
        <w:rPr>
          <w:i/>
        </w:rPr>
        <w:t>Afforestation and reforestation</w:t>
      </w:r>
      <w:r w:rsidRPr="00D9348B">
        <w:t xml:space="preserve"> in 2018 are 17,593.2 kt CO</w:t>
      </w:r>
      <w:r w:rsidRPr="00D9348B">
        <w:rPr>
          <w:vertAlign w:val="subscript"/>
        </w:rPr>
        <w:t>2</w:t>
      </w:r>
      <w:r w:rsidRPr="00D9348B">
        <w:t>-e, including 2,804.5 kt CO</w:t>
      </w:r>
      <w:r w:rsidRPr="00D9348B">
        <w:rPr>
          <w:vertAlign w:val="subscript"/>
        </w:rPr>
        <w:t>2</w:t>
      </w:r>
      <w:r w:rsidRPr="00D9348B">
        <w:t xml:space="preserve">-e from the </w:t>
      </w:r>
      <w:r w:rsidRPr="00D9348B">
        <w:rPr>
          <w:i/>
        </w:rPr>
        <w:t>Harvested wood products</w:t>
      </w:r>
      <w:r w:rsidRPr="00D9348B">
        <w:t xml:space="preserve"> category.</w:t>
      </w:r>
    </w:p>
    <w:p w14:paraId="0C6A1338" w14:textId="77777777" w:rsidR="00B7613B" w:rsidRPr="00D9348B" w:rsidRDefault="00B7613B" w:rsidP="00B7613B">
      <w:pPr>
        <w:pStyle w:val="Heading5"/>
        <w:spacing w:before="220"/>
      </w:pPr>
      <w:r w:rsidRPr="00D9348B">
        <w:t xml:space="preserve">Deforestation </w:t>
      </w:r>
    </w:p>
    <w:p w14:paraId="5C6FF574" w14:textId="77777777" w:rsidR="00B7613B" w:rsidRPr="00D9348B" w:rsidRDefault="00B7613B" w:rsidP="00B7613B">
      <w:pPr>
        <w:pStyle w:val="BodyText"/>
        <w:spacing w:after="100"/>
      </w:pPr>
      <w:r w:rsidRPr="00D9348B">
        <w:t xml:space="preserve">The area deforested between 1 January 1990 and 31 December 2018 is </w:t>
      </w:r>
      <w:r w:rsidRPr="00D9348B">
        <w:rPr>
          <w:rFonts w:cs="Arial"/>
          <w:color w:val="000000"/>
          <w:szCs w:val="16"/>
        </w:rPr>
        <w:t>201,206 </w:t>
      </w:r>
      <w:r w:rsidRPr="00D9348B">
        <w:t>hectares.</w:t>
      </w:r>
      <w:r w:rsidRPr="00D9348B">
        <w:rPr>
          <w:rStyle w:val="FootnoteReference"/>
        </w:rPr>
        <w:footnoteReference w:id="34"/>
      </w:r>
      <w:r w:rsidRPr="00D9348B">
        <w:t xml:space="preserve"> The area subject to </w:t>
      </w:r>
      <w:r w:rsidRPr="00D9348B">
        <w:rPr>
          <w:i/>
        </w:rPr>
        <w:t>Deforestation</w:t>
      </w:r>
      <w:r w:rsidRPr="00D9348B">
        <w:t xml:space="preserve"> in 2018 is estimated as 3,740 hectares.</w:t>
      </w:r>
      <w:r w:rsidRPr="00D9348B">
        <w:rPr>
          <w:rStyle w:val="FootnoteReference"/>
        </w:rPr>
        <w:t>8</w:t>
      </w:r>
      <w:r w:rsidRPr="00D9348B">
        <w:t xml:space="preserve"> In 2018, net emissions from </w:t>
      </w:r>
      <w:r w:rsidRPr="00D9348B">
        <w:rPr>
          <w:i/>
        </w:rPr>
        <w:t>Deforestation</w:t>
      </w:r>
      <w:r w:rsidRPr="00D9348B">
        <w:t xml:space="preserve"> were 2,146.2 kt CO</w:t>
      </w:r>
      <w:r w:rsidRPr="00D9348B">
        <w:rPr>
          <w:vertAlign w:val="subscript"/>
        </w:rPr>
        <w:t>2</w:t>
      </w:r>
      <w:r w:rsidRPr="00D9348B">
        <w:t>-e, compared with 1,977.1 kt CO</w:t>
      </w:r>
      <w:r w:rsidRPr="00D9348B">
        <w:rPr>
          <w:vertAlign w:val="subscript"/>
        </w:rPr>
        <w:t>2</w:t>
      </w:r>
      <w:r w:rsidRPr="00D9348B">
        <w:t>-e in 2017 (8.6 per cent increase).</w:t>
      </w:r>
    </w:p>
    <w:p w14:paraId="4E284020" w14:textId="77777777" w:rsidR="00B7613B" w:rsidRPr="00D9348B" w:rsidRDefault="00B7613B" w:rsidP="00B7613B">
      <w:pPr>
        <w:pStyle w:val="Heading5"/>
        <w:spacing w:before="220"/>
      </w:pPr>
      <w:r w:rsidRPr="00D9348B">
        <w:t>Forest management</w:t>
      </w:r>
    </w:p>
    <w:p w14:paraId="7930F56C" w14:textId="77777777" w:rsidR="00B7613B" w:rsidRPr="00D9348B" w:rsidRDefault="00B7613B" w:rsidP="00B7613B">
      <w:pPr>
        <w:pStyle w:val="BodyText"/>
        <w:spacing w:before="100" w:after="100"/>
      </w:pPr>
      <w:r w:rsidRPr="00D9348B">
        <w:t xml:space="preserve">The total area reported under </w:t>
      </w:r>
      <w:r w:rsidRPr="00D9348B">
        <w:rPr>
          <w:i/>
        </w:rPr>
        <w:t>Forest management</w:t>
      </w:r>
      <w:r w:rsidRPr="00D9348B">
        <w:t xml:space="preserve"> at the end of 2018 was </w:t>
      </w:r>
      <w:r w:rsidRPr="00D9348B">
        <w:rPr>
          <w:rFonts w:cs="Arial"/>
          <w:color w:val="000000"/>
          <w:szCs w:val="16"/>
        </w:rPr>
        <w:t xml:space="preserve">9,208,933 </w:t>
      </w:r>
      <w:r w:rsidRPr="00D9348B">
        <w:t>hectares, equivalent to 34.2 per cent of New Zealand’s total land area. This category includes all land that was forest at 1 January 1990 and has not been deforested since 1990. Net removals on this land in 2018 were 13,898.9 kt CO</w:t>
      </w:r>
      <w:r w:rsidRPr="00D9348B">
        <w:rPr>
          <w:vertAlign w:val="subscript"/>
        </w:rPr>
        <w:t>2</w:t>
      </w:r>
      <w:r w:rsidRPr="00D9348B">
        <w:t>-e, including net removals of 12,006.8 kt CO</w:t>
      </w:r>
      <w:r w:rsidRPr="00D9348B">
        <w:rPr>
          <w:vertAlign w:val="subscript"/>
        </w:rPr>
        <w:t>2</w:t>
      </w:r>
      <w:r w:rsidRPr="00D9348B">
        <w:t xml:space="preserve">-e from the </w:t>
      </w:r>
      <w:r w:rsidRPr="00D9348B">
        <w:rPr>
          <w:i/>
        </w:rPr>
        <w:t>Harvested wood products</w:t>
      </w:r>
      <w:r w:rsidRPr="00D9348B">
        <w:t xml:space="preserve"> category.</w:t>
      </w:r>
    </w:p>
    <w:p w14:paraId="66441C5B" w14:textId="77777777" w:rsidR="00B7613B" w:rsidRPr="00D9348B" w:rsidRDefault="00B7613B" w:rsidP="00B7613B">
      <w:pPr>
        <w:pStyle w:val="Heading5"/>
        <w:spacing w:before="220"/>
      </w:pPr>
      <w:r w:rsidRPr="00D9348B">
        <w:t>Accounting quantity</w:t>
      </w:r>
    </w:p>
    <w:p w14:paraId="5E00AD18" w14:textId="77777777" w:rsidR="00B7613B" w:rsidRPr="00D9348B" w:rsidRDefault="00B7613B" w:rsidP="00B7613B">
      <w:pPr>
        <w:pStyle w:val="BodyText"/>
        <w:spacing w:after="100"/>
      </w:pPr>
      <w:r w:rsidRPr="00D9348B">
        <w:t xml:space="preserve">For the second commitment period of the Kyoto Protocol, there are new rules for accounting under the Kyoto Protocol. These include: </w:t>
      </w:r>
    </w:p>
    <w:p w14:paraId="5AFD49FC" w14:textId="77777777" w:rsidR="00B7613B" w:rsidRPr="00D9348B" w:rsidRDefault="00B7613B" w:rsidP="00771A8F">
      <w:pPr>
        <w:pStyle w:val="Bullet"/>
        <w:numPr>
          <w:ilvl w:val="0"/>
          <w:numId w:val="20"/>
        </w:numPr>
        <w:spacing w:after="100"/>
      </w:pPr>
      <w:r w:rsidRPr="00D9348B">
        <w:t>the ability to account for changes in the Harvested wood products category for Afforestation and reforestation and Forest management land</w:t>
      </w:r>
    </w:p>
    <w:p w14:paraId="420C2156" w14:textId="77777777" w:rsidR="00B7613B" w:rsidRPr="00D9348B" w:rsidRDefault="00B7613B" w:rsidP="00771A8F">
      <w:pPr>
        <w:pStyle w:val="Bullet"/>
        <w:numPr>
          <w:ilvl w:val="0"/>
          <w:numId w:val="20"/>
        </w:numPr>
        <w:spacing w:after="100"/>
      </w:pPr>
      <w:r w:rsidRPr="00D9348B">
        <w:t xml:space="preserve">the ability to exclude from accounting emissions and removals due to natural disturbance </w:t>
      </w:r>
    </w:p>
    <w:p w14:paraId="6667C372" w14:textId="77777777" w:rsidR="00B7613B" w:rsidRPr="00D9348B" w:rsidRDefault="00B7613B" w:rsidP="00771A8F">
      <w:pPr>
        <w:pStyle w:val="Bullet"/>
        <w:numPr>
          <w:ilvl w:val="0"/>
          <w:numId w:val="20"/>
        </w:numPr>
        <w:spacing w:after="100"/>
      </w:pPr>
      <w:r w:rsidRPr="00D9348B">
        <w:t xml:space="preserve">the ability to account for emissions and removals on land that meets the criteria of carbon equivalent forests under </w:t>
      </w:r>
      <w:r w:rsidRPr="00D9348B">
        <w:rPr>
          <w:i/>
        </w:rPr>
        <w:t>Forest management</w:t>
      </w:r>
      <w:r w:rsidRPr="00D9348B">
        <w:t xml:space="preserve"> that would otherwise be accounted for under </w:t>
      </w:r>
      <w:r w:rsidRPr="00D9348B">
        <w:rPr>
          <w:i/>
        </w:rPr>
        <w:t>Afforestation and reforestation</w:t>
      </w:r>
      <w:r w:rsidRPr="00D9348B">
        <w:t xml:space="preserve"> and </w:t>
      </w:r>
      <w:r w:rsidRPr="00D9348B">
        <w:rPr>
          <w:i/>
        </w:rPr>
        <w:t>Deforestation</w:t>
      </w:r>
    </w:p>
    <w:p w14:paraId="35C1D923" w14:textId="77777777" w:rsidR="00B7613B" w:rsidRPr="00D9348B" w:rsidRDefault="00B7613B" w:rsidP="00771A8F">
      <w:pPr>
        <w:pStyle w:val="Bullet"/>
        <w:numPr>
          <w:ilvl w:val="0"/>
          <w:numId w:val="20"/>
        </w:numPr>
        <w:spacing w:after="100"/>
      </w:pPr>
      <w:r w:rsidRPr="00D9348B">
        <w:t xml:space="preserve">the ability to account for </w:t>
      </w:r>
      <w:r w:rsidRPr="00D9348B">
        <w:rPr>
          <w:i/>
        </w:rPr>
        <w:t>Forest management</w:t>
      </w:r>
      <w:r w:rsidRPr="00D9348B">
        <w:t xml:space="preserve"> against a forest management reference level</w:t>
      </w:r>
    </w:p>
    <w:p w14:paraId="68B3DCB1" w14:textId="77777777" w:rsidR="00B7613B" w:rsidRPr="00D9348B" w:rsidRDefault="00B7613B" w:rsidP="00771A8F">
      <w:pPr>
        <w:pStyle w:val="Bullet"/>
        <w:numPr>
          <w:ilvl w:val="0"/>
          <w:numId w:val="20"/>
        </w:numPr>
      </w:pPr>
      <w:r w:rsidRPr="00D9348B">
        <w:lastRenderedPageBreak/>
        <w:t xml:space="preserve">the ability to set the </w:t>
      </w:r>
      <w:r w:rsidRPr="00D9348B">
        <w:rPr>
          <w:i/>
        </w:rPr>
        <w:t>Forest management</w:t>
      </w:r>
      <w:r w:rsidRPr="00D9348B">
        <w:t xml:space="preserve"> cap at 3.5 per cent of a country’s base year emissions excluding LULUCF multiplied by the number of years in the commitment period.</w:t>
      </w:r>
    </w:p>
    <w:p w14:paraId="57266F5B" w14:textId="77777777" w:rsidR="00B7613B" w:rsidRPr="00D9348B" w:rsidRDefault="00B7613B" w:rsidP="00B7613B">
      <w:pPr>
        <w:pStyle w:val="BodyText"/>
      </w:pPr>
      <w:r w:rsidRPr="00D9348B">
        <w:t xml:space="preserve">New Zealand’s accounting quantity has been presented in table 2.3.1 as the sum of emissions and removals from </w:t>
      </w:r>
      <w:r w:rsidRPr="00D9348B">
        <w:rPr>
          <w:i/>
        </w:rPr>
        <w:t>Afforestation and reforestation</w:t>
      </w:r>
      <w:r w:rsidRPr="00D9348B">
        <w:t xml:space="preserve"> and </w:t>
      </w:r>
      <w:r w:rsidRPr="00D9348B">
        <w:rPr>
          <w:i/>
        </w:rPr>
        <w:t>Deforestation</w:t>
      </w:r>
      <w:r w:rsidRPr="00D9348B">
        <w:t xml:space="preserve">. This is because forest management accounting rules mean that emissions for </w:t>
      </w:r>
      <w:r w:rsidRPr="00D9348B">
        <w:rPr>
          <w:i/>
        </w:rPr>
        <w:t>Forest management</w:t>
      </w:r>
      <w:r w:rsidRPr="00D9348B">
        <w:t xml:space="preserve"> are expected to equal the reference level over the commitment period if business-as-usual levels of harvesting (based on estimates as at 2009) are maintained.</w:t>
      </w:r>
    </w:p>
    <w:p w14:paraId="788AD5F7" w14:textId="77777777" w:rsidR="00B7613B" w:rsidRPr="00D9348B" w:rsidRDefault="00B7613B" w:rsidP="00B7613B">
      <w:pPr>
        <w:pStyle w:val="Table"/>
      </w:pPr>
      <w:bookmarkStart w:id="296" w:name="_Toc5269443"/>
      <w:bookmarkStart w:id="297" w:name="_Toc36224521"/>
      <w:r w:rsidRPr="00D9348B">
        <w:t>Table 2.3.1</w:t>
      </w:r>
      <w:r w:rsidRPr="00D9348B">
        <w:tab/>
        <w:t>New Zealand’s net emissions and removals from land subject to activities</w:t>
      </w:r>
      <w:r w:rsidRPr="00D9348B">
        <w:br/>
        <w:t>under Article 3.3 and Forest management under Article 3.4 of the Kyoto Protocol</w:t>
      </w:r>
      <w:bookmarkEnd w:id="296"/>
      <w:bookmarkEnd w:id="297"/>
    </w:p>
    <w:tbl>
      <w:tblPr>
        <w:tblW w:w="8562" w:type="dxa"/>
        <w:tblInd w:w="90" w:type="dxa"/>
        <w:tblLayout w:type="fixed"/>
        <w:tblCellMar>
          <w:left w:w="85" w:type="dxa"/>
          <w:right w:w="85" w:type="dxa"/>
        </w:tblCellMar>
        <w:tblLook w:val="04A0" w:firstRow="1" w:lastRow="0" w:firstColumn="1" w:lastColumn="0" w:noHBand="0" w:noVBand="1"/>
      </w:tblPr>
      <w:tblGrid>
        <w:gridCol w:w="2935"/>
        <w:gridCol w:w="937"/>
        <w:gridCol w:w="938"/>
        <w:gridCol w:w="938"/>
        <w:gridCol w:w="938"/>
        <w:gridCol w:w="938"/>
        <w:gridCol w:w="938"/>
      </w:tblGrid>
      <w:tr w:rsidR="00B7613B" w:rsidRPr="00D9348B" w14:paraId="2AF298AE" w14:textId="77777777" w:rsidTr="00FD3CFA">
        <w:tc>
          <w:tcPr>
            <w:tcW w:w="2665" w:type="dxa"/>
            <w:tcBorders>
              <w:top w:val="single" w:sz="8" w:space="0" w:color="365F91"/>
              <w:left w:val="nil"/>
              <w:right w:val="nil"/>
            </w:tcBorders>
            <w:shd w:val="clear" w:color="000000" w:fill="365F91"/>
            <w:vAlign w:val="center"/>
            <w:hideMark/>
          </w:tcPr>
          <w:p w14:paraId="013F51C1" w14:textId="77777777" w:rsidR="00B7613B" w:rsidRPr="00D9348B" w:rsidRDefault="00B7613B" w:rsidP="00DB330E">
            <w:pPr>
              <w:pStyle w:val="TableTextBold"/>
              <w:spacing w:before="50" w:after="50"/>
              <w:jc w:val="right"/>
              <w:rPr>
                <w:noProof w:val="0"/>
                <w:color w:val="FFFFFF"/>
              </w:rPr>
            </w:pPr>
            <w:r w:rsidRPr="00D9348B">
              <w:rPr>
                <w:noProof w:val="0"/>
                <w:color w:val="FFFFFF"/>
              </w:rPr>
              <w:t> </w:t>
            </w:r>
          </w:p>
        </w:tc>
        <w:tc>
          <w:tcPr>
            <w:tcW w:w="851" w:type="dxa"/>
            <w:tcBorders>
              <w:top w:val="single" w:sz="8" w:space="0" w:color="365F91"/>
              <w:left w:val="nil"/>
              <w:right w:val="nil"/>
            </w:tcBorders>
            <w:shd w:val="clear" w:color="000000" w:fill="365F91"/>
            <w:vAlign w:val="center"/>
            <w:hideMark/>
          </w:tcPr>
          <w:p w14:paraId="753017AD" w14:textId="77777777" w:rsidR="00B7613B" w:rsidRPr="00D9348B" w:rsidRDefault="00B7613B" w:rsidP="00DB330E">
            <w:pPr>
              <w:pStyle w:val="TableTextBold"/>
              <w:spacing w:before="50" w:after="50"/>
              <w:jc w:val="right"/>
              <w:rPr>
                <w:noProof w:val="0"/>
                <w:color w:val="FFFFFF"/>
              </w:rPr>
            </w:pPr>
            <w:r w:rsidRPr="00D9348B">
              <w:rPr>
                <w:noProof w:val="0"/>
                <w:color w:val="FFFFFF"/>
              </w:rPr>
              <w:t>2013</w:t>
            </w:r>
          </w:p>
        </w:tc>
        <w:tc>
          <w:tcPr>
            <w:tcW w:w="851" w:type="dxa"/>
            <w:tcBorders>
              <w:top w:val="single" w:sz="8" w:space="0" w:color="365F91"/>
              <w:left w:val="nil"/>
              <w:right w:val="nil"/>
            </w:tcBorders>
            <w:shd w:val="clear" w:color="000000" w:fill="365F91"/>
            <w:vAlign w:val="center"/>
            <w:hideMark/>
          </w:tcPr>
          <w:p w14:paraId="51093B63" w14:textId="77777777" w:rsidR="00B7613B" w:rsidRPr="00D9348B" w:rsidRDefault="00B7613B" w:rsidP="00DB330E">
            <w:pPr>
              <w:pStyle w:val="TableTextBold"/>
              <w:spacing w:before="50" w:after="50"/>
              <w:jc w:val="right"/>
              <w:rPr>
                <w:noProof w:val="0"/>
                <w:color w:val="FFFFFF"/>
              </w:rPr>
            </w:pPr>
            <w:r w:rsidRPr="00D9348B">
              <w:rPr>
                <w:noProof w:val="0"/>
                <w:color w:val="FFFFFF"/>
              </w:rPr>
              <w:t>2014</w:t>
            </w:r>
          </w:p>
        </w:tc>
        <w:tc>
          <w:tcPr>
            <w:tcW w:w="851" w:type="dxa"/>
            <w:tcBorders>
              <w:top w:val="single" w:sz="8" w:space="0" w:color="365F91"/>
              <w:left w:val="nil"/>
              <w:right w:val="nil"/>
            </w:tcBorders>
            <w:shd w:val="clear" w:color="000000" w:fill="365F91"/>
            <w:vAlign w:val="center"/>
            <w:hideMark/>
          </w:tcPr>
          <w:p w14:paraId="6A382DCA" w14:textId="77777777" w:rsidR="00B7613B" w:rsidRPr="00D9348B" w:rsidRDefault="00B7613B" w:rsidP="00DB330E">
            <w:pPr>
              <w:pStyle w:val="TableTextBold"/>
              <w:spacing w:before="50" w:after="50"/>
              <w:jc w:val="right"/>
              <w:rPr>
                <w:noProof w:val="0"/>
                <w:color w:val="FFFFFF"/>
              </w:rPr>
            </w:pPr>
            <w:r w:rsidRPr="00D9348B">
              <w:rPr>
                <w:noProof w:val="0"/>
                <w:color w:val="FFFFFF"/>
              </w:rPr>
              <w:t>2015</w:t>
            </w:r>
          </w:p>
        </w:tc>
        <w:tc>
          <w:tcPr>
            <w:tcW w:w="851" w:type="dxa"/>
            <w:tcBorders>
              <w:top w:val="single" w:sz="8" w:space="0" w:color="365F91"/>
              <w:left w:val="nil"/>
              <w:right w:val="nil"/>
            </w:tcBorders>
            <w:shd w:val="clear" w:color="000000" w:fill="365F91"/>
            <w:vAlign w:val="center"/>
            <w:hideMark/>
          </w:tcPr>
          <w:p w14:paraId="08417CA5" w14:textId="77777777" w:rsidR="00B7613B" w:rsidRPr="00D9348B" w:rsidRDefault="00B7613B" w:rsidP="00DB330E">
            <w:pPr>
              <w:pStyle w:val="TableTextBold"/>
              <w:spacing w:before="50" w:after="50"/>
              <w:jc w:val="right"/>
              <w:rPr>
                <w:noProof w:val="0"/>
                <w:color w:val="FFFFFF"/>
              </w:rPr>
            </w:pPr>
            <w:r w:rsidRPr="00D9348B">
              <w:rPr>
                <w:noProof w:val="0"/>
                <w:color w:val="FFFFFF"/>
              </w:rPr>
              <w:t>2016</w:t>
            </w:r>
          </w:p>
        </w:tc>
        <w:tc>
          <w:tcPr>
            <w:tcW w:w="851" w:type="dxa"/>
            <w:tcBorders>
              <w:top w:val="single" w:sz="8" w:space="0" w:color="365F91"/>
              <w:left w:val="nil"/>
              <w:right w:val="nil"/>
            </w:tcBorders>
            <w:shd w:val="clear" w:color="000000" w:fill="365F91"/>
            <w:vAlign w:val="center"/>
          </w:tcPr>
          <w:p w14:paraId="53578CBF" w14:textId="77777777" w:rsidR="00B7613B" w:rsidRPr="00D9348B" w:rsidRDefault="00B7613B" w:rsidP="00DB330E">
            <w:pPr>
              <w:pStyle w:val="TableTextBold"/>
              <w:spacing w:before="50" w:after="50"/>
              <w:jc w:val="right"/>
              <w:rPr>
                <w:noProof w:val="0"/>
                <w:color w:val="FFFFFF"/>
              </w:rPr>
            </w:pPr>
            <w:r w:rsidRPr="00D9348B">
              <w:rPr>
                <w:noProof w:val="0"/>
                <w:color w:val="FFFFFF"/>
              </w:rPr>
              <w:t>2017</w:t>
            </w:r>
            <w:r w:rsidRPr="00D9348B">
              <w:rPr>
                <w:noProof w:val="0"/>
                <w:color w:val="FFFFFF"/>
                <w:vertAlign w:val="superscript"/>
              </w:rPr>
              <w:t>P</w:t>
            </w:r>
          </w:p>
        </w:tc>
        <w:tc>
          <w:tcPr>
            <w:tcW w:w="851" w:type="dxa"/>
            <w:tcBorders>
              <w:top w:val="single" w:sz="8" w:space="0" w:color="365F91"/>
              <w:left w:val="nil"/>
              <w:right w:val="nil"/>
            </w:tcBorders>
            <w:shd w:val="clear" w:color="000000" w:fill="365F91"/>
            <w:vAlign w:val="center"/>
          </w:tcPr>
          <w:p w14:paraId="60BF6E2D" w14:textId="77777777" w:rsidR="00B7613B" w:rsidRPr="00D9348B" w:rsidRDefault="00B7613B" w:rsidP="00DB330E">
            <w:pPr>
              <w:pStyle w:val="TableTextBold"/>
              <w:spacing w:before="50" w:after="50"/>
              <w:jc w:val="right"/>
              <w:rPr>
                <w:noProof w:val="0"/>
                <w:color w:val="FFFFFF"/>
              </w:rPr>
            </w:pPr>
            <w:r w:rsidRPr="00D9348B">
              <w:rPr>
                <w:noProof w:val="0"/>
                <w:color w:val="FFFFFF"/>
              </w:rPr>
              <w:t>2018</w:t>
            </w:r>
            <w:r w:rsidRPr="00D9348B">
              <w:rPr>
                <w:noProof w:val="0"/>
                <w:color w:val="FFFFFF"/>
                <w:vertAlign w:val="superscript"/>
              </w:rPr>
              <w:t>P</w:t>
            </w:r>
          </w:p>
        </w:tc>
      </w:tr>
      <w:tr w:rsidR="00B7613B" w:rsidRPr="00D9348B" w14:paraId="2D58AC83" w14:textId="77777777" w:rsidTr="00FD3CFA">
        <w:tc>
          <w:tcPr>
            <w:tcW w:w="2665" w:type="dxa"/>
            <w:tcBorders>
              <w:left w:val="nil"/>
              <w:bottom w:val="single" w:sz="4" w:space="0" w:color="auto"/>
              <w:right w:val="nil"/>
            </w:tcBorders>
            <w:shd w:val="clear" w:color="auto" w:fill="auto"/>
            <w:vAlign w:val="center"/>
            <w:hideMark/>
          </w:tcPr>
          <w:p w14:paraId="37D80701" w14:textId="77777777" w:rsidR="00B7613B" w:rsidRPr="00D9348B" w:rsidRDefault="00B7613B" w:rsidP="00DB330E">
            <w:pPr>
              <w:pStyle w:val="TableTextBold"/>
              <w:spacing w:before="50" w:after="40"/>
              <w:rPr>
                <w:noProof w:val="0"/>
              </w:rPr>
            </w:pPr>
            <w:r w:rsidRPr="00D9348B">
              <w:rPr>
                <w:noProof w:val="0"/>
              </w:rPr>
              <w:t>Afforestation and reforestation</w:t>
            </w:r>
          </w:p>
        </w:tc>
        <w:tc>
          <w:tcPr>
            <w:tcW w:w="851" w:type="dxa"/>
            <w:tcBorders>
              <w:left w:val="nil"/>
              <w:bottom w:val="single" w:sz="4" w:space="0" w:color="auto"/>
              <w:right w:val="nil"/>
            </w:tcBorders>
            <w:shd w:val="clear" w:color="auto" w:fill="auto"/>
            <w:noWrap/>
            <w:vAlign w:val="center"/>
            <w:hideMark/>
          </w:tcPr>
          <w:p w14:paraId="75918940" w14:textId="77777777" w:rsidR="00B7613B" w:rsidRPr="00D9348B" w:rsidRDefault="00B7613B" w:rsidP="00DB330E">
            <w:pPr>
              <w:pStyle w:val="TableTextBold"/>
              <w:spacing w:before="50" w:after="40"/>
              <w:rPr>
                <w:noProof w:val="0"/>
              </w:rPr>
            </w:pPr>
          </w:p>
        </w:tc>
        <w:tc>
          <w:tcPr>
            <w:tcW w:w="851" w:type="dxa"/>
            <w:tcBorders>
              <w:left w:val="nil"/>
              <w:bottom w:val="single" w:sz="4" w:space="0" w:color="auto"/>
              <w:right w:val="nil"/>
            </w:tcBorders>
            <w:shd w:val="clear" w:color="auto" w:fill="auto"/>
            <w:noWrap/>
            <w:vAlign w:val="center"/>
            <w:hideMark/>
          </w:tcPr>
          <w:p w14:paraId="6B4B5EEC" w14:textId="77777777" w:rsidR="00B7613B" w:rsidRPr="00D9348B" w:rsidRDefault="00B7613B" w:rsidP="00DB330E">
            <w:pPr>
              <w:pStyle w:val="TableTextBold"/>
              <w:spacing w:before="50" w:after="40"/>
              <w:rPr>
                <w:noProof w:val="0"/>
              </w:rPr>
            </w:pPr>
          </w:p>
        </w:tc>
        <w:tc>
          <w:tcPr>
            <w:tcW w:w="851" w:type="dxa"/>
            <w:tcBorders>
              <w:left w:val="nil"/>
              <w:bottom w:val="single" w:sz="4" w:space="0" w:color="auto"/>
              <w:right w:val="nil"/>
            </w:tcBorders>
            <w:shd w:val="clear" w:color="auto" w:fill="auto"/>
            <w:noWrap/>
            <w:vAlign w:val="center"/>
            <w:hideMark/>
          </w:tcPr>
          <w:p w14:paraId="45857B8B" w14:textId="77777777" w:rsidR="00B7613B" w:rsidRPr="00D9348B" w:rsidRDefault="00B7613B" w:rsidP="00DB330E">
            <w:pPr>
              <w:pStyle w:val="TableTextBold"/>
              <w:spacing w:before="50" w:after="40"/>
              <w:rPr>
                <w:noProof w:val="0"/>
              </w:rPr>
            </w:pPr>
          </w:p>
        </w:tc>
        <w:tc>
          <w:tcPr>
            <w:tcW w:w="851" w:type="dxa"/>
            <w:tcBorders>
              <w:left w:val="nil"/>
              <w:bottom w:val="single" w:sz="4" w:space="0" w:color="auto"/>
              <w:right w:val="nil"/>
            </w:tcBorders>
            <w:shd w:val="clear" w:color="auto" w:fill="auto"/>
            <w:noWrap/>
            <w:vAlign w:val="center"/>
            <w:hideMark/>
          </w:tcPr>
          <w:p w14:paraId="2CE16E6C" w14:textId="77777777" w:rsidR="00B7613B" w:rsidRPr="00D9348B" w:rsidRDefault="00B7613B" w:rsidP="00DB330E">
            <w:pPr>
              <w:pStyle w:val="TableTextBold"/>
              <w:spacing w:before="50" w:after="40"/>
              <w:rPr>
                <w:noProof w:val="0"/>
              </w:rPr>
            </w:pPr>
          </w:p>
        </w:tc>
        <w:tc>
          <w:tcPr>
            <w:tcW w:w="851" w:type="dxa"/>
            <w:tcBorders>
              <w:left w:val="nil"/>
              <w:bottom w:val="single" w:sz="4" w:space="0" w:color="auto"/>
              <w:right w:val="nil"/>
            </w:tcBorders>
            <w:vAlign w:val="center"/>
          </w:tcPr>
          <w:p w14:paraId="5F55E06D" w14:textId="77777777" w:rsidR="00B7613B" w:rsidRPr="00D9348B" w:rsidRDefault="00B7613B" w:rsidP="00DB330E">
            <w:pPr>
              <w:pStyle w:val="TableTextBold"/>
              <w:spacing w:before="50" w:after="40"/>
              <w:rPr>
                <w:noProof w:val="0"/>
              </w:rPr>
            </w:pPr>
          </w:p>
        </w:tc>
        <w:tc>
          <w:tcPr>
            <w:tcW w:w="851" w:type="dxa"/>
            <w:tcBorders>
              <w:left w:val="nil"/>
              <w:bottom w:val="single" w:sz="4" w:space="0" w:color="auto"/>
              <w:right w:val="nil"/>
            </w:tcBorders>
            <w:vAlign w:val="center"/>
          </w:tcPr>
          <w:p w14:paraId="7C8FA277" w14:textId="77777777" w:rsidR="00B7613B" w:rsidRPr="00D9348B" w:rsidRDefault="00B7613B" w:rsidP="00DB330E">
            <w:pPr>
              <w:pStyle w:val="TableTextBold"/>
              <w:spacing w:before="50" w:after="40"/>
              <w:rPr>
                <w:noProof w:val="0"/>
              </w:rPr>
            </w:pPr>
          </w:p>
        </w:tc>
      </w:tr>
      <w:tr w:rsidR="00B7613B" w:rsidRPr="00D9348B" w14:paraId="7F46BF1D" w14:textId="77777777" w:rsidTr="00FD3CFA">
        <w:tc>
          <w:tcPr>
            <w:tcW w:w="2665" w:type="dxa"/>
            <w:tcBorders>
              <w:top w:val="single" w:sz="4" w:space="0" w:color="auto"/>
              <w:left w:val="nil"/>
              <w:right w:val="nil"/>
            </w:tcBorders>
            <w:shd w:val="clear" w:color="auto" w:fill="auto"/>
            <w:vAlign w:val="center"/>
            <w:hideMark/>
          </w:tcPr>
          <w:p w14:paraId="3DDEEC0A" w14:textId="77777777" w:rsidR="00B7613B" w:rsidRPr="00D9348B" w:rsidRDefault="00B7613B" w:rsidP="00DB330E">
            <w:pPr>
              <w:pStyle w:val="TableText"/>
              <w:spacing w:before="50" w:after="50"/>
            </w:pPr>
            <w:r w:rsidRPr="00D9348B">
              <w:t>Net cumulative area since 1990 (ha)</w:t>
            </w:r>
          </w:p>
        </w:tc>
        <w:tc>
          <w:tcPr>
            <w:tcW w:w="851" w:type="dxa"/>
            <w:tcBorders>
              <w:top w:val="single" w:sz="4" w:space="0" w:color="auto"/>
              <w:left w:val="nil"/>
              <w:right w:val="nil"/>
            </w:tcBorders>
            <w:shd w:val="clear" w:color="auto" w:fill="auto"/>
            <w:vAlign w:val="center"/>
            <w:hideMark/>
          </w:tcPr>
          <w:p w14:paraId="2C121C4B" w14:textId="77777777" w:rsidR="00B7613B" w:rsidRPr="00D9348B" w:rsidRDefault="00B7613B" w:rsidP="00DB330E">
            <w:pPr>
              <w:pStyle w:val="TableText"/>
              <w:spacing w:before="50" w:after="50"/>
              <w:jc w:val="right"/>
              <w:rPr>
                <w:rFonts w:cs="Arial"/>
                <w:szCs w:val="16"/>
              </w:rPr>
            </w:pPr>
            <w:r w:rsidRPr="00D9348B">
              <w:t>677,229</w:t>
            </w:r>
          </w:p>
        </w:tc>
        <w:tc>
          <w:tcPr>
            <w:tcW w:w="851" w:type="dxa"/>
            <w:tcBorders>
              <w:top w:val="single" w:sz="4" w:space="0" w:color="auto"/>
              <w:left w:val="nil"/>
              <w:right w:val="nil"/>
            </w:tcBorders>
            <w:shd w:val="clear" w:color="auto" w:fill="auto"/>
            <w:vAlign w:val="center"/>
            <w:hideMark/>
          </w:tcPr>
          <w:p w14:paraId="4DD428DC" w14:textId="77777777" w:rsidR="00B7613B" w:rsidRPr="00D9348B" w:rsidRDefault="00B7613B" w:rsidP="00DB330E">
            <w:pPr>
              <w:pStyle w:val="TableText"/>
              <w:spacing w:before="50" w:after="50"/>
              <w:jc w:val="right"/>
              <w:rPr>
                <w:rFonts w:cs="Arial"/>
                <w:szCs w:val="16"/>
              </w:rPr>
            </w:pPr>
            <w:r w:rsidRPr="00D9348B">
              <w:t>679,128</w:t>
            </w:r>
          </w:p>
        </w:tc>
        <w:tc>
          <w:tcPr>
            <w:tcW w:w="851" w:type="dxa"/>
            <w:tcBorders>
              <w:top w:val="single" w:sz="4" w:space="0" w:color="auto"/>
              <w:left w:val="nil"/>
              <w:right w:val="nil"/>
            </w:tcBorders>
            <w:shd w:val="clear" w:color="auto" w:fill="auto"/>
            <w:vAlign w:val="center"/>
            <w:hideMark/>
          </w:tcPr>
          <w:p w14:paraId="5F3061ED" w14:textId="77777777" w:rsidR="00B7613B" w:rsidRPr="00D9348B" w:rsidRDefault="00B7613B" w:rsidP="00DB330E">
            <w:pPr>
              <w:pStyle w:val="TableText"/>
              <w:spacing w:before="50" w:after="50"/>
              <w:jc w:val="right"/>
              <w:rPr>
                <w:rFonts w:cs="Arial"/>
                <w:szCs w:val="16"/>
              </w:rPr>
            </w:pPr>
            <w:r w:rsidRPr="00D9348B">
              <w:t>680,963</w:t>
            </w:r>
          </w:p>
        </w:tc>
        <w:tc>
          <w:tcPr>
            <w:tcW w:w="851" w:type="dxa"/>
            <w:tcBorders>
              <w:top w:val="single" w:sz="4" w:space="0" w:color="auto"/>
              <w:left w:val="nil"/>
              <w:right w:val="nil"/>
            </w:tcBorders>
            <w:shd w:val="clear" w:color="auto" w:fill="auto"/>
            <w:vAlign w:val="center"/>
            <w:hideMark/>
          </w:tcPr>
          <w:p w14:paraId="5E29B16A" w14:textId="77777777" w:rsidR="00B7613B" w:rsidRPr="00D9348B" w:rsidRDefault="00B7613B" w:rsidP="00DB330E">
            <w:pPr>
              <w:pStyle w:val="TableText"/>
              <w:spacing w:before="50" w:after="50"/>
              <w:jc w:val="right"/>
              <w:rPr>
                <w:rFonts w:cs="Arial"/>
                <w:szCs w:val="16"/>
              </w:rPr>
            </w:pPr>
            <w:r w:rsidRPr="00D9348B">
              <w:t>683,921</w:t>
            </w:r>
          </w:p>
        </w:tc>
        <w:tc>
          <w:tcPr>
            <w:tcW w:w="851" w:type="dxa"/>
            <w:tcBorders>
              <w:top w:val="single" w:sz="4" w:space="0" w:color="auto"/>
              <w:left w:val="nil"/>
              <w:right w:val="nil"/>
            </w:tcBorders>
            <w:vAlign w:val="center"/>
          </w:tcPr>
          <w:p w14:paraId="00881411" w14:textId="77777777" w:rsidR="00B7613B" w:rsidRPr="00D9348B" w:rsidRDefault="00B7613B" w:rsidP="00DB330E">
            <w:pPr>
              <w:pStyle w:val="TableText"/>
              <w:spacing w:before="50" w:after="50"/>
              <w:jc w:val="right"/>
            </w:pPr>
            <w:r w:rsidRPr="00D9348B">
              <w:t>689,747</w:t>
            </w:r>
          </w:p>
        </w:tc>
        <w:tc>
          <w:tcPr>
            <w:tcW w:w="851" w:type="dxa"/>
            <w:tcBorders>
              <w:top w:val="single" w:sz="4" w:space="0" w:color="auto"/>
              <w:left w:val="nil"/>
              <w:right w:val="nil"/>
            </w:tcBorders>
            <w:vAlign w:val="center"/>
          </w:tcPr>
          <w:p w14:paraId="7F767A82" w14:textId="77777777" w:rsidR="00B7613B" w:rsidRPr="00D9348B" w:rsidRDefault="00B7613B" w:rsidP="00DB330E">
            <w:pPr>
              <w:pStyle w:val="TableText"/>
              <w:spacing w:before="50" w:after="50"/>
              <w:jc w:val="right"/>
            </w:pPr>
            <w:r w:rsidRPr="00D9348B">
              <w:t>698,497</w:t>
            </w:r>
          </w:p>
        </w:tc>
      </w:tr>
      <w:tr w:rsidR="00B7613B" w:rsidRPr="00D9348B" w14:paraId="6CA469BB" w14:textId="77777777" w:rsidTr="00FD3CFA">
        <w:tc>
          <w:tcPr>
            <w:tcW w:w="2665" w:type="dxa"/>
            <w:tcBorders>
              <w:left w:val="nil"/>
              <w:right w:val="nil"/>
            </w:tcBorders>
            <w:shd w:val="clear" w:color="auto" w:fill="auto"/>
            <w:vAlign w:val="center"/>
            <w:hideMark/>
          </w:tcPr>
          <w:p w14:paraId="581ECADF" w14:textId="77777777" w:rsidR="00B7613B" w:rsidRPr="00D9348B" w:rsidRDefault="00B7613B" w:rsidP="00DB330E">
            <w:pPr>
              <w:pStyle w:val="TableText"/>
              <w:spacing w:before="50" w:after="50"/>
            </w:pPr>
            <w:r w:rsidRPr="00D9348B">
              <w:t>Area in calendar year (ha)</w:t>
            </w:r>
          </w:p>
        </w:tc>
        <w:tc>
          <w:tcPr>
            <w:tcW w:w="851" w:type="dxa"/>
            <w:tcBorders>
              <w:left w:val="nil"/>
              <w:right w:val="nil"/>
            </w:tcBorders>
            <w:shd w:val="clear" w:color="auto" w:fill="auto"/>
            <w:vAlign w:val="center"/>
            <w:hideMark/>
          </w:tcPr>
          <w:p w14:paraId="3059B949" w14:textId="77777777" w:rsidR="00B7613B" w:rsidRPr="00D9348B" w:rsidRDefault="00B7613B" w:rsidP="00DB330E">
            <w:pPr>
              <w:pStyle w:val="TableText"/>
              <w:spacing w:before="50" w:after="50"/>
              <w:jc w:val="right"/>
              <w:rPr>
                <w:rFonts w:cs="Arial"/>
                <w:szCs w:val="16"/>
              </w:rPr>
            </w:pPr>
            <w:r w:rsidRPr="00D9348B">
              <w:t>4,530</w:t>
            </w:r>
          </w:p>
        </w:tc>
        <w:tc>
          <w:tcPr>
            <w:tcW w:w="851" w:type="dxa"/>
            <w:tcBorders>
              <w:left w:val="nil"/>
              <w:right w:val="nil"/>
            </w:tcBorders>
            <w:shd w:val="clear" w:color="auto" w:fill="auto"/>
            <w:vAlign w:val="center"/>
            <w:hideMark/>
          </w:tcPr>
          <w:p w14:paraId="7D25EB0D" w14:textId="77777777" w:rsidR="00B7613B" w:rsidRPr="00D9348B" w:rsidRDefault="00B7613B" w:rsidP="00DB330E">
            <w:pPr>
              <w:pStyle w:val="TableText"/>
              <w:spacing w:before="50" w:after="50"/>
              <w:jc w:val="right"/>
              <w:rPr>
                <w:rFonts w:cs="Arial"/>
                <w:szCs w:val="16"/>
              </w:rPr>
            </w:pPr>
            <w:r w:rsidRPr="00D9348B">
              <w:t>3,447</w:t>
            </w:r>
          </w:p>
        </w:tc>
        <w:tc>
          <w:tcPr>
            <w:tcW w:w="851" w:type="dxa"/>
            <w:tcBorders>
              <w:left w:val="nil"/>
              <w:right w:val="nil"/>
            </w:tcBorders>
            <w:shd w:val="clear" w:color="auto" w:fill="auto"/>
            <w:vAlign w:val="center"/>
            <w:hideMark/>
          </w:tcPr>
          <w:p w14:paraId="32B74124" w14:textId="77777777" w:rsidR="00B7613B" w:rsidRPr="00D9348B" w:rsidRDefault="00B7613B" w:rsidP="00DB330E">
            <w:pPr>
              <w:pStyle w:val="TableText"/>
              <w:spacing w:before="50" w:after="50"/>
              <w:jc w:val="right"/>
              <w:rPr>
                <w:rFonts w:cs="Arial"/>
                <w:szCs w:val="16"/>
                <w:vertAlign w:val="superscript"/>
              </w:rPr>
            </w:pPr>
            <w:r w:rsidRPr="00D9348B">
              <w:t>3,502</w:t>
            </w:r>
          </w:p>
        </w:tc>
        <w:tc>
          <w:tcPr>
            <w:tcW w:w="851" w:type="dxa"/>
            <w:tcBorders>
              <w:left w:val="nil"/>
              <w:right w:val="nil"/>
            </w:tcBorders>
            <w:shd w:val="clear" w:color="auto" w:fill="auto"/>
            <w:vAlign w:val="center"/>
            <w:hideMark/>
          </w:tcPr>
          <w:p w14:paraId="3B4ADFD0" w14:textId="77777777" w:rsidR="00B7613B" w:rsidRPr="00D9348B" w:rsidRDefault="00B7613B" w:rsidP="00DB330E">
            <w:pPr>
              <w:pStyle w:val="TableText"/>
              <w:spacing w:before="50" w:after="50"/>
              <w:jc w:val="right"/>
              <w:rPr>
                <w:rFonts w:cs="Arial"/>
                <w:szCs w:val="16"/>
                <w:vertAlign w:val="superscript"/>
              </w:rPr>
            </w:pPr>
            <w:r w:rsidRPr="00D9348B">
              <w:t>4,281</w:t>
            </w:r>
          </w:p>
        </w:tc>
        <w:tc>
          <w:tcPr>
            <w:tcW w:w="851" w:type="dxa"/>
            <w:tcBorders>
              <w:left w:val="nil"/>
              <w:right w:val="nil"/>
            </w:tcBorders>
            <w:vAlign w:val="center"/>
          </w:tcPr>
          <w:p w14:paraId="42791151" w14:textId="77777777" w:rsidR="00B7613B" w:rsidRPr="00D9348B" w:rsidRDefault="00B7613B" w:rsidP="00DB330E">
            <w:pPr>
              <w:pStyle w:val="TableText"/>
              <w:spacing w:before="50" w:after="50"/>
              <w:jc w:val="right"/>
            </w:pPr>
            <w:r w:rsidRPr="00D9348B">
              <w:t>6,461</w:t>
            </w:r>
          </w:p>
        </w:tc>
        <w:tc>
          <w:tcPr>
            <w:tcW w:w="851" w:type="dxa"/>
            <w:tcBorders>
              <w:left w:val="nil"/>
              <w:right w:val="nil"/>
            </w:tcBorders>
            <w:vAlign w:val="center"/>
          </w:tcPr>
          <w:p w14:paraId="399A39B3" w14:textId="77777777" w:rsidR="00B7613B" w:rsidRPr="00D9348B" w:rsidRDefault="00B7613B" w:rsidP="00DB330E">
            <w:pPr>
              <w:pStyle w:val="TableText"/>
              <w:spacing w:before="50" w:after="50"/>
              <w:jc w:val="right"/>
            </w:pPr>
            <w:r w:rsidRPr="00D9348B">
              <w:t>9,443</w:t>
            </w:r>
          </w:p>
        </w:tc>
      </w:tr>
      <w:tr w:rsidR="00B7613B" w:rsidRPr="00D9348B" w14:paraId="1DC2E4E0" w14:textId="77777777" w:rsidTr="00FD3CFA">
        <w:tc>
          <w:tcPr>
            <w:tcW w:w="2665" w:type="dxa"/>
            <w:tcBorders>
              <w:left w:val="nil"/>
              <w:bottom w:val="single" w:sz="8" w:space="0" w:color="44546A"/>
              <w:right w:val="nil"/>
            </w:tcBorders>
            <w:shd w:val="clear" w:color="auto" w:fill="auto"/>
            <w:vAlign w:val="center"/>
            <w:hideMark/>
          </w:tcPr>
          <w:p w14:paraId="7A7925BD" w14:textId="77777777" w:rsidR="00B7613B" w:rsidRPr="00D9348B" w:rsidRDefault="00B7613B" w:rsidP="00DB330E">
            <w:pPr>
              <w:pStyle w:val="TableText"/>
              <w:spacing w:before="50" w:after="50"/>
            </w:pPr>
            <w:r w:rsidRPr="00D9348B">
              <w:t>Net emissions in calendar year (kt CO</w:t>
            </w:r>
            <w:r w:rsidRPr="00D9348B">
              <w:rPr>
                <w:vertAlign w:val="subscript"/>
              </w:rPr>
              <w:t>2</w:t>
            </w:r>
            <w:r w:rsidRPr="00D9348B">
              <w:t>-e)</w:t>
            </w:r>
          </w:p>
        </w:tc>
        <w:tc>
          <w:tcPr>
            <w:tcW w:w="851" w:type="dxa"/>
            <w:tcBorders>
              <w:left w:val="nil"/>
              <w:bottom w:val="single" w:sz="8" w:space="0" w:color="44546A"/>
              <w:right w:val="nil"/>
            </w:tcBorders>
            <w:shd w:val="clear" w:color="auto" w:fill="auto"/>
            <w:vAlign w:val="center"/>
            <w:hideMark/>
          </w:tcPr>
          <w:p w14:paraId="14A9B8C7" w14:textId="77777777" w:rsidR="00B7613B" w:rsidRPr="00D9348B" w:rsidRDefault="00B7613B" w:rsidP="00DB330E">
            <w:pPr>
              <w:pStyle w:val="TableText"/>
              <w:spacing w:before="50" w:after="50"/>
              <w:jc w:val="right"/>
              <w:rPr>
                <w:rFonts w:cs="Arial"/>
                <w:szCs w:val="16"/>
              </w:rPr>
            </w:pPr>
            <w:r w:rsidRPr="00D9348B">
              <w:t xml:space="preserve">–17,542.2 </w:t>
            </w:r>
          </w:p>
        </w:tc>
        <w:tc>
          <w:tcPr>
            <w:tcW w:w="851" w:type="dxa"/>
            <w:tcBorders>
              <w:left w:val="nil"/>
              <w:bottom w:val="single" w:sz="8" w:space="0" w:color="44546A"/>
              <w:right w:val="nil"/>
            </w:tcBorders>
            <w:shd w:val="clear" w:color="auto" w:fill="auto"/>
            <w:vAlign w:val="center"/>
            <w:hideMark/>
          </w:tcPr>
          <w:p w14:paraId="4E225A2C" w14:textId="77777777" w:rsidR="00B7613B" w:rsidRPr="00D9348B" w:rsidRDefault="00B7613B" w:rsidP="00DB330E">
            <w:pPr>
              <w:pStyle w:val="TableText"/>
              <w:spacing w:before="50" w:after="50"/>
              <w:jc w:val="right"/>
              <w:rPr>
                <w:rFonts w:cs="Arial"/>
                <w:szCs w:val="16"/>
              </w:rPr>
            </w:pPr>
            <w:r w:rsidRPr="00D9348B">
              <w:t xml:space="preserve">–17,824.5 </w:t>
            </w:r>
          </w:p>
        </w:tc>
        <w:tc>
          <w:tcPr>
            <w:tcW w:w="851" w:type="dxa"/>
            <w:tcBorders>
              <w:left w:val="nil"/>
              <w:bottom w:val="single" w:sz="8" w:space="0" w:color="44546A"/>
              <w:right w:val="nil"/>
            </w:tcBorders>
            <w:shd w:val="clear" w:color="auto" w:fill="auto"/>
            <w:vAlign w:val="center"/>
            <w:hideMark/>
          </w:tcPr>
          <w:p w14:paraId="16EA2673" w14:textId="77777777" w:rsidR="00B7613B" w:rsidRPr="00D9348B" w:rsidRDefault="00B7613B" w:rsidP="00DB330E">
            <w:pPr>
              <w:pStyle w:val="TableText"/>
              <w:spacing w:before="50" w:after="50"/>
              <w:jc w:val="right"/>
              <w:rPr>
                <w:rFonts w:cs="Arial"/>
                <w:szCs w:val="16"/>
              </w:rPr>
            </w:pPr>
            <w:r w:rsidRPr="00D9348B">
              <w:t xml:space="preserve">–18,066.9 </w:t>
            </w:r>
          </w:p>
        </w:tc>
        <w:tc>
          <w:tcPr>
            <w:tcW w:w="851" w:type="dxa"/>
            <w:tcBorders>
              <w:left w:val="nil"/>
              <w:bottom w:val="single" w:sz="8" w:space="0" w:color="44546A"/>
              <w:right w:val="nil"/>
            </w:tcBorders>
            <w:shd w:val="clear" w:color="auto" w:fill="auto"/>
            <w:vAlign w:val="center"/>
            <w:hideMark/>
          </w:tcPr>
          <w:p w14:paraId="2FD1C2CD" w14:textId="77777777" w:rsidR="00B7613B" w:rsidRPr="00D9348B" w:rsidRDefault="00B7613B" w:rsidP="00DB330E">
            <w:pPr>
              <w:pStyle w:val="TableText"/>
              <w:spacing w:before="50" w:after="50"/>
              <w:jc w:val="right"/>
              <w:rPr>
                <w:rFonts w:cs="Arial"/>
                <w:szCs w:val="16"/>
              </w:rPr>
            </w:pPr>
            <w:r w:rsidRPr="00D9348B">
              <w:t xml:space="preserve">–17,790.2 </w:t>
            </w:r>
          </w:p>
        </w:tc>
        <w:tc>
          <w:tcPr>
            <w:tcW w:w="851" w:type="dxa"/>
            <w:tcBorders>
              <w:left w:val="nil"/>
              <w:bottom w:val="single" w:sz="8" w:space="0" w:color="44546A"/>
              <w:right w:val="nil"/>
            </w:tcBorders>
            <w:vAlign w:val="center"/>
          </w:tcPr>
          <w:p w14:paraId="1D2AEEB8" w14:textId="77777777" w:rsidR="00B7613B" w:rsidRPr="00D9348B" w:rsidRDefault="00B7613B" w:rsidP="00DB330E">
            <w:pPr>
              <w:pStyle w:val="TableText"/>
              <w:spacing w:before="50" w:after="50"/>
              <w:jc w:val="right"/>
            </w:pPr>
            <w:r w:rsidRPr="00D9348B">
              <w:t xml:space="preserve">–17,790.2 </w:t>
            </w:r>
          </w:p>
        </w:tc>
        <w:tc>
          <w:tcPr>
            <w:tcW w:w="851" w:type="dxa"/>
            <w:tcBorders>
              <w:left w:val="nil"/>
              <w:bottom w:val="single" w:sz="8" w:space="0" w:color="44546A"/>
              <w:right w:val="nil"/>
            </w:tcBorders>
            <w:vAlign w:val="center"/>
          </w:tcPr>
          <w:p w14:paraId="1314BDD2" w14:textId="77777777" w:rsidR="00B7613B" w:rsidRPr="00D9348B" w:rsidRDefault="00B7613B" w:rsidP="00DB330E">
            <w:pPr>
              <w:pStyle w:val="TableText"/>
              <w:spacing w:before="50" w:after="50"/>
              <w:jc w:val="right"/>
            </w:pPr>
            <w:r w:rsidRPr="00D9348B">
              <w:t xml:space="preserve">–17,593.2 </w:t>
            </w:r>
          </w:p>
        </w:tc>
      </w:tr>
      <w:tr w:rsidR="00B7613B" w:rsidRPr="00D9348B" w14:paraId="39D992B4" w14:textId="77777777" w:rsidTr="00FD3CFA">
        <w:tc>
          <w:tcPr>
            <w:tcW w:w="2665" w:type="dxa"/>
            <w:tcBorders>
              <w:top w:val="nil"/>
              <w:left w:val="nil"/>
              <w:bottom w:val="single" w:sz="4" w:space="0" w:color="auto"/>
              <w:right w:val="nil"/>
            </w:tcBorders>
            <w:shd w:val="clear" w:color="auto" w:fill="auto"/>
            <w:vAlign w:val="center"/>
            <w:hideMark/>
          </w:tcPr>
          <w:p w14:paraId="58D33912" w14:textId="77777777" w:rsidR="00B7613B" w:rsidRPr="00D9348B" w:rsidRDefault="00B7613B" w:rsidP="00DB330E">
            <w:pPr>
              <w:pStyle w:val="TableTextBold"/>
              <w:spacing w:before="50" w:after="50"/>
              <w:rPr>
                <w:noProof w:val="0"/>
              </w:rPr>
            </w:pPr>
            <w:r w:rsidRPr="00D9348B">
              <w:rPr>
                <w:noProof w:val="0"/>
              </w:rPr>
              <w:t>Deforestation</w:t>
            </w:r>
          </w:p>
        </w:tc>
        <w:tc>
          <w:tcPr>
            <w:tcW w:w="851" w:type="dxa"/>
            <w:tcBorders>
              <w:top w:val="nil"/>
              <w:left w:val="nil"/>
              <w:bottom w:val="single" w:sz="4" w:space="0" w:color="auto"/>
              <w:right w:val="nil"/>
            </w:tcBorders>
            <w:shd w:val="clear" w:color="auto" w:fill="auto"/>
            <w:vAlign w:val="center"/>
            <w:hideMark/>
          </w:tcPr>
          <w:p w14:paraId="3A413D42" w14:textId="77777777" w:rsidR="00B7613B" w:rsidRPr="00D9348B" w:rsidRDefault="00B7613B" w:rsidP="00DB330E">
            <w:pPr>
              <w:pStyle w:val="TableTextBold"/>
              <w:spacing w:before="50" w:after="50"/>
              <w:jc w:val="right"/>
              <w:rPr>
                <w:rFonts w:cs="Arial"/>
                <w:noProof w:val="0"/>
                <w:szCs w:val="16"/>
              </w:rPr>
            </w:pPr>
          </w:p>
        </w:tc>
        <w:tc>
          <w:tcPr>
            <w:tcW w:w="851" w:type="dxa"/>
            <w:tcBorders>
              <w:top w:val="nil"/>
              <w:left w:val="nil"/>
              <w:bottom w:val="single" w:sz="4" w:space="0" w:color="auto"/>
              <w:right w:val="nil"/>
            </w:tcBorders>
            <w:shd w:val="clear" w:color="auto" w:fill="auto"/>
            <w:vAlign w:val="center"/>
            <w:hideMark/>
          </w:tcPr>
          <w:p w14:paraId="73D7DF05" w14:textId="77777777" w:rsidR="00B7613B" w:rsidRPr="00D9348B" w:rsidRDefault="00B7613B" w:rsidP="00DB330E">
            <w:pPr>
              <w:pStyle w:val="TableTextBold"/>
              <w:spacing w:before="50" w:after="50"/>
              <w:jc w:val="right"/>
              <w:rPr>
                <w:rFonts w:cs="Arial"/>
                <w:noProof w:val="0"/>
                <w:szCs w:val="16"/>
              </w:rPr>
            </w:pPr>
          </w:p>
        </w:tc>
        <w:tc>
          <w:tcPr>
            <w:tcW w:w="851" w:type="dxa"/>
            <w:tcBorders>
              <w:top w:val="nil"/>
              <w:left w:val="nil"/>
              <w:bottom w:val="single" w:sz="4" w:space="0" w:color="auto"/>
              <w:right w:val="nil"/>
            </w:tcBorders>
            <w:shd w:val="clear" w:color="auto" w:fill="auto"/>
            <w:vAlign w:val="center"/>
            <w:hideMark/>
          </w:tcPr>
          <w:p w14:paraId="3B93BF0C" w14:textId="77777777" w:rsidR="00B7613B" w:rsidRPr="00D9348B" w:rsidRDefault="00B7613B" w:rsidP="00DB330E">
            <w:pPr>
              <w:pStyle w:val="TableTextBold"/>
              <w:spacing w:before="50" w:after="50"/>
              <w:jc w:val="right"/>
              <w:rPr>
                <w:rFonts w:cs="Arial"/>
                <w:noProof w:val="0"/>
                <w:szCs w:val="16"/>
              </w:rPr>
            </w:pPr>
          </w:p>
        </w:tc>
        <w:tc>
          <w:tcPr>
            <w:tcW w:w="851" w:type="dxa"/>
            <w:tcBorders>
              <w:top w:val="nil"/>
              <w:left w:val="nil"/>
              <w:bottom w:val="single" w:sz="4" w:space="0" w:color="auto"/>
              <w:right w:val="nil"/>
            </w:tcBorders>
            <w:shd w:val="clear" w:color="auto" w:fill="auto"/>
            <w:vAlign w:val="center"/>
            <w:hideMark/>
          </w:tcPr>
          <w:p w14:paraId="2E150F7E" w14:textId="77777777" w:rsidR="00B7613B" w:rsidRPr="00D9348B" w:rsidRDefault="00B7613B" w:rsidP="00DB330E">
            <w:pPr>
              <w:pStyle w:val="TableTextBold"/>
              <w:spacing w:before="50" w:after="50"/>
              <w:jc w:val="right"/>
              <w:rPr>
                <w:rFonts w:cs="Arial"/>
                <w:noProof w:val="0"/>
                <w:szCs w:val="16"/>
              </w:rPr>
            </w:pPr>
          </w:p>
        </w:tc>
        <w:tc>
          <w:tcPr>
            <w:tcW w:w="851" w:type="dxa"/>
            <w:tcBorders>
              <w:top w:val="nil"/>
              <w:left w:val="nil"/>
              <w:bottom w:val="single" w:sz="4" w:space="0" w:color="auto"/>
              <w:right w:val="nil"/>
            </w:tcBorders>
            <w:vAlign w:val="center"/>
          </w:tcPr>
          <w:p w14:paraId="79003055" w14:textId="77777777" w:rsidR="00B7613B" w:rsidRPr="00D9348B" w:rsidRDefault="00B7613B" w:rsidP="00DB330E">
            <w:pPr>
              <w:pStyle w:val="TableTextBold"/>
              <w:spacing w:before="50" w:after="50"/>
              <w:jc w:val="right"/>
              <w:rPr>
                <w:rFonts w:cs="Arial"/>
                <w:noProof w:val="0"/>
                <w:szCs w:val="16"/>
              </w:rPr>
            </w:pPr>
          </w:p>
        </w:tc>
        <w:tc>
          <w:tcPr>
            <w:tcW w:w="851" w:type="dxa"/>
            <w:tcBorders>
              <w:top w:val="nil"/>
              <w:left w:val="nil"/>
              <w:bottom w:val="single" w:sz="4" w:space="0" w:color="auto"/>
              <w:right w:val="nil"/>
            </w:tcBorders>
            <w:vAlign w:val="center"/>
          </w:tcPr>
          <w:p w14:paraId="174B2BBC" w14:textId="77777777" w:rsidR="00B7613B" w:rsidRPr="00D9348B" w:rsidRDefault="00B7613B" w:rsidP="00DB330E">
            <w:pPr>
              <w:pStyle w:val="TableTextBold"/>
              <w:spacing w:before="50" w:after="50"/>
              <w:jc w:val="right"/>
              <w:rPr>
                <w:rFonts w:cs="Arial"/>
                <w:noProof w:val="0"/>
                <w:szCs w:val="16"/>
              </w:rPr>
            </w:pPr>
          </w:p>
        </w:tc>
      </w:tr>
      <w:tr w:rsidR="00B7613B" w:rsidRPr="00D9348B" w14:paraId="788D9813" w14:textId="77777777" w:rsidTr="00FD3CFA">
        <w:tc>
          <w:tcPr>
            <w:tcW w:w="2665" w:type="dxa"/>
            <w:tcBorders>
              <w:top w:val="single" w:sz="4" w:space="0" w:color="auto"/>
              <w:left w:val="nil"/>
              <w:right w:val="nil"/>
            </w:tcBorders>
            <w:shd w:val="clear" w:color="auto" w:fill="auto"/>
            <w:vAlign w:val="center"/>
            <w:hideMark/>
          </w:tcPr>
          <w:p w14:paraId="6ADDE133" w14:textId="77777777" w:rsidR="00B7613B" w:rsidRPr="00D9348B" w:rsidRDefault="00B7613B" w:rsidP="00DB330E">
            <w:pPr>
              <w:pStyle w:val="TableText"/>
              <w:spacing w:before="50" w:after="50"/>
            </w:pPr>
            <w:r w:rsidRPr="00D9348B">
              <w:t>Net cumulative area since 1990 (ha)</w:t>
            </w:r>
          </w:p>
        </w:tc>
        <w:tc>
          <w:tcPr>
            <w:tcW w:w="851" w:type="dxa"/>
            <w:tcBorders>
              <w:top w:val="single" w:sz="4" w:space="0" w:color="auto"/>
              <w:left w:val="nil"/>
              <w:right w:val="nil"/>
            </w:tcBorders>
            <w:shd w:val="clear" w:color="auto" w:fill="auto"/>
            <w:vAlign w:val="center"/>
            <w:hideMark/>
          </w:tcPr>
          <w:p w14:paraId="5D154B40" w14:textId="77777777" w:rsidR="00B7613B" w:rsidRPr="00D9348B" w:rsidRDefault="00B7613B" w:rsidP="00DB330E">
            <w:pPr>
              <w:pStyle w:val="TableText"/>
              <w:spacing w:before="50" w:after="50"/>
              <w:jc w:val="right"/>
              <w:rPr>
                <w:rFonts w:cs="Arial"/>
                <w:szCs w:val="16"/>
              </w:rPr>
            </w:pPr>
            <w:r w:rsidRPr="00D9348B">
              <w:rPr>
                <w:rFonts w:cs="Arial"/>
                <w:color w:val="000000"/>
                <w:szCs w:val="16"/>
              </w:rPr>
              <w:t>176,101</w:t>
            </w:r>
          </w:p>
        </w:tc>
        <w:tc>
          <w:tcPr>
            <w:tcW w:w="851" w:type="dxa"/>
            <w:tcBorders>
              <w:top w:val="single" w:sz="4" w:space="0" w:color="auto"/>
              <w:left w:val="nil"/>
              <w:right w:val="nil"/>
            </w:tcBorders>
            <w:shd w:val="clear" w:color="auto" w:fill="auto"/>
            <w:vAlign w:val="center"/>
            <w:hideMark/>
          </w:tcPr>
          <w:p w14:paraId="14F4BB7B" w14:textId="77777777" w:rsidR="00B7613B" w:rsidRPr="00D9348B" w:rsidRDefault="00B7613B" w:rsidP="00DB330E">
            <w:pPr>
              <w:pStyle w:val="TableText"/>
              <w:spacing w:before="50" w:after="50"/>
              <w:jc w:val="right"/>
              <w:rPr>
                <w:rFonts w:cs="Arial"/>
                <w:szCs w:val="16"/>
              </w:rPr>
            </w:pPr>
            <w:r w:rsidRPr="00D9348B">
              <w:rPr>
                <w:rFonts w:cs="Arial"/>
                <w:color w:val="000000"/>
                <w:szCs w:val="16"/>
              </w:rPr>
              <w:t>184,637</w:t>
            </w:r>
          </w:p>
        </w:tc>
        <w:tc>
          <w:tcPr>
            <w:tcW w:w="851" w:type="dxa"/>
            <w:tcBorders>
              <w:top w:val="single" w:sz="4" w:space="0" w:color="auto"/>
              <w:left w:val="nil"/>
              <w:right w:val="nil"/>
            </w:tcBorders>
            <w:shd w:val="clear" w:color="auto" w:fill="auto"/>
            <w:vAlign w:val="center"/>
            <w:hideMark/>
          </w:tcPr>
          <w:p w14:paraId="0BC92060" w14:textId="77777777" w:rsidR="00B7613B" w:rsidRPr="00D9348B" w:rsidRDefault="00B7613B" w:rsidP="00DB330E">
            <w:pPr>
              <w:pStyle w:val="TableText"/>
              <w:spacing w:before="50" w:after="50"/>
              <w:jc w:val="right"/>
              <w:rPr>
                <w:rFonts w:cs="Arial"/>
                <w:szCs w:val="16"/>
              </w:rPr>
            </w:pPr>
            <w:r w:rsidRPr="00D9348B">
              <w:rPr>
                <w:rFonts w:cs="Arial"/>
                <w:color w:val="000000"/>
                <w:szCs w:val="16"/>
              </w:rPr>
              <w:t>190,560</w:t>
            </w:r>
          </w:p>
        </w:tc>
        <w:tc>
          <w:tcPr>
            <w:tcW w:w="851" w:type="dxa"/>
            <w:tcBorders>
              <w:top w:val="single" w:sz="4" w:space="0" w:color="auto"/>
              <w:left w:val="nil"/>
              <w:right w:val="nil"/>
            </w:tcBorders>
            <w:shd w:val="clear" w:color="auto" w:fill="auto"/>
            <w:vAlign w:val="center"/>
            <w:hideMark/>
          </w:tcPr>
          <w:p w14:paraId="3DEBA950" w14:textId="77777777" w:rsidR="00B7613B" w:rsidRPr="00D9348B" w:rsidRDefault="00B7613B" w:rsidP="00DB330E">
            <w:pPr>
              <w:pStyle w:val="TableText"/>
              <w:spacing w:before="50" w:after="50"/>
              <w:jc w:val="right"/>
              <w:rPr>
                <w:rFonts w:cs="Arial"/>
                <w:szCs w:val="16"/>
              </w:rPr>
            </w:pPr>
            <w:r w:rsidRPr="00D9348B">
              <w:rPr>
                <w:rFonts w:cs="Arial"/>
                <w:color w:val="000000"/>
                <w:szCs w:val="16"/>
              </w:rPr>
              <w:t>193,974</w:t>
            </w:r>
          </w:p>
        </w:tc>
        <w:tc>
          <w:tcPr>
            <w:tcW w:w="851" w:type="dxa"/>
            <w:tcBorders>
              <w:top w:val="single" w:sz="4" w:space="0" w:color="auto"/>
              <w:left w:val="nil"/>
              <w:right w:val="nil"/>
            </w:tcBorders>
            <w:vAlign w:val="center"/>
          </w:tcPr>
          <w:p w14:paraId="14CB42DF" w14:textId="77777777" w:rsidR="00B7613B" w:rsidRPr="00D9348B" w:rsidRDefault="00B7613B" w:rsidP="00DB330E">
            <w:pPr>
              <w:pStyle w:val="TableText"/>
              <w:spacing w:before="50" w:after="50"/>
              <w:jc w:val="right"/>
              <w:rPr>
                <w:rFonts w:cs="Arial"/>
                <w:szCs w:val="16"/>
              </w:rPr>
            </w:pPr>
            <w:r w:rsidRPr="00D9348B">
              <w:rPr>
                <w:rFonts w:cs="Arial"/>
                <w:color w:val="000000"/>
                <w:szCs w:val="16"/>
              </w:rPr>
              <w:t>197,466</w:t>
            </w:r>
          </w:p>
        </w:tc>
        <w:tc>
          <w:tcPr>
            <w:tcW w:w="851" w:type="dxa"/>
            <w:tcBorders>
              <w:top w:val="single" w:sz="4" w:space="0" w:color="auto"/>
              <w:left w:val="nil"/>
              <w:right w:val="nil"/>
            </w:tcBorders>
            <w:vAlign w:val="center"/>
          </w:tcPr>
          <w:p w14:paraId="54D13290" w14:textId="77777777" w:rsidR="00B7613B" w:rsidRPr="00D9348B" w:rsidRDefault="00B7613B" w:rsidP="00DB330E">
            <w:pPr>
              <w:pStyle w:val="TableText"/>
              <w:spacing w:before="50" w:after="50"/>
              <w:jc w:val="right"/>
            </w:pPr>
            <w:r w:rsidRPr="00D9348B">
              <w:rPr>
                <w:rFonts w:cs="Arial"/>
                <w:color w:val="000000"/>
                <w:szCs w:val="16"/>
              </w:rPr>
              <w:t>201,206</w:t>
            </w:r>
          </w:p>
        </w:tc>
      </w:tr>
      <w:tr w:rsidR="00B7613B" w:rsidRPr="00D9348B" w14:paraId="012B39F6" w14:textId="77777777" w:rsidTr="00FD3CFA">
        <w:tc>
          <w:tcPr>
            <w:tcW w:w="2665" w:type="dxa"/>
            <w:tcBorders>
              <w:left w:val="nil"/>
              <w:right w:val="nil"/>
            </w:tcBorders>
            <w:shd w:val="clear" w:color="auto" w:fill="auto"/>
            <w:vAlign w:val="center"/>
            <w:hideMark/>
          </w:tcPr>
          <w:p w14:paraId="6B1001F8" w14:textId="77777777" w:rsidR="00B7613B" w:rsidRPr="00D9348B" w:rsidRDefault="00B7613B" w:rsidP="00DB330E">
            <w:pPr>
              <w:pStyle w:val="TableText"/>
              <w:spacing w:before="50" w:after="50"/>
            </w:pPr>
            <w:r w:rsidRPr="00D9348B">
              <w:t>Area in calendar year (ha)</w:t>
            </w:r>
          </w:p>
        </w:tc>
        <w:tc>
          <w:tcPr>
            <w:tcW w:w="851" w:type="dxa"/>
            <w:tcBorders>
              <w:left w:val="nil"/>
              <w:right w:val="nil"/>
            </w:tcBorders>
            <w:shd w:val="clear" w:color="auto" w:fill="auto"/>
            <w:vAlign w:val="center"/>
            <w:hideMark/>
          </w:tcPr>
          <w:p w14:paraId="602864AD" w14:textId="77777777" w:rsidR="00B7613B" w:rsidRPr="00D9348B" w:rsidRDefault="00B7613B" w:rsidP="00DB330E">
            <w:pPr>
              <w:pStyle w:val="TableText"/>
              <w:spacing w:before="50" w:after="50"/>
              <w:jc w:val="right"/>
              <w:rPr>
                <w:rFonts w:cs="Arial"/>
                <w:color w:val="000000"/>
                <w:szCs w:val="16"/>
              </w:rPr>
            </w:pPr>
            <w:r w:rsidRPr="00D9348B">
              <w:rPr>
                <w:rFonts w:cs="Arial"/>
                <w:color w:val="000000"/>
                <w:szCs w:val="16"/>
              </w:rPr>
              <w:t xml:space="preserve"> 14,232 </w:t>
            </w:r>
          </w:p>
        </w:tc>
        <w:tc>
          <w:tcPr>
            <w:tcW w:w="851" w:type="dxa"/>
            <w:tcBorders>
              <w:left w:val="nil"/>
              <w:right w:val="nil"/>
            </w:tcBorders>
            <w:shd w:val="clear" w:color="auto" w:fill="auto"/>
            <w:vAlign w:val="center"/>
            <w:hideMark/>
          </w:tcPr>
          <w:p w14:paraId="08AB3C1C" w14:textId="77777777" w:rsidR="00B7613B" w:rsidRPr="00D9348B" w:rsidRDefault="00B7613B" w:rsidP="00DB330E">
            <w:pPr>
              <w:pStyle w:val="TableText"/>
              <w:spacing w:before="50" w:after="50"/>
              <w:jc w:val="right"/>
              <w:rPr>
                <w:rFonts w:cs="Arial"/>
                <w:color w:val="000000"/>
                <w:szCs w:val="16"/>
              </w:rPr>
            </w:pPr>
            <w:r w:rsidRPr="00D9348B">
              <w:rPr>
                <w:rFonts w:cs="Arial"/>
                <w:color w:val="000000"/>
                <w:szCs w:val="16"/>
              </w:rPr>
              <w:t xml:space="preserve"> 8,536 </w:t>
            </w:r>
          </w:p>
        </w:tc>
        <w:tc>
          <w:tcPr>
            <w:tcW w:w="851" w:type="dxa"/>
            <w:tcBorders>
              <w:left w:val="nil"/>
              <w:right w:val="nil"/>
            </w:tcBorders>
            <w:shd w:val="clear" w:color="auto" w:fill="auto"/>
            <w:vAlign w:val="center"/>
            <w:hideMark/>
          </w:tcPr>
          <w:p w14:paraId="2C2DA9EE" w14:textId="77777777" w:rsidR="00B7613B" w:rsidRPr="00D9348B" w:rsidRDefault="00B7613B" w:rsidP="00DB330E">
            <w:pPr>
              <w:pStyle w:val="TableText"/>
              <w:spacing w:before="50" w:after="50"/>
              <w:jc w:val="right"/>
              <w:rPr>
                <w:rFonts w:cs="Arial"/>
                <w:color w:val="000000"/>
                <w:szCs w:val="16"/>
              </w:rPr>
            </w:pPr>
            <w:r w:rsidRPr="00D9348B">
              <w:rPr>
                <w:rFonts w:cs="Arial"/>
                <w:color w:val="000000"/>
                <w:szCs w:val="16"/>
              </w:rPr>
              <w:t xml:space="preserve"> 5,923 </w:t>
            </w:r>
          </w:p>
        </w:tc>
        <w:tc>
          <w:tcPr>
            <w:tcW w:w="851" w:type="dxa"/>
            <w:tcBorders>
              <w:left w:val="nil"/>
              <w:right w:val="nil"/>
            </w:tcBorders>
            <w:shd w:val="clear" w:color="auto" w:fill="auto"/>
            <w:vAlign w:val="center"/>
            <w:hideMark/>
          </w:tcPr>
          <w:p w14:paraId="6EDCEC4B" w14:textId="77777777" w:rsidR="00B7613B" w:rsidRPr="00D9348B" w:rsidRDefault="00B7613B" w:rsidP="00DB330E">
            <w:pPr>
              <w:pStyle w:val="TableText"/>
              <w:spacing w:before="50" w:after="50"/>
              <w:jc w:val="right"/>
              <w:rPr>
                <w:rFonts w:cs="Arial"/>
                <w:color w:val="000000"/>
                <w:szCs w:val="16"/>
              </w:rPr>
            </w:pPr>
            <w:r w:rsidRPr="00D9348B">
              <w:rPr>
                <w:rFonts w:cs="Arial"/>
                <w:color w:val="000000"/>
                <w:szCs w:val="16"/>
              </w:rPr>
              <w:t xml:space="preserve"> 3,414 </w:t>
            </w:r>
          </w:p>
        </w:tc>
        <w:tc>
          <w:tcPr>
            <w:tcW w:w="851" w:type="dxa"/>
            <w:tcBorders>
              <w:left w:val="nil"/>
              <w:right w:val="nil"/>
            </w:tcBorders>
            <w:vAlign w:val="center"/>
          </w:tcPr>
          <w:p w14:paraId="2C61FB79" w14:textId="77777777" w:rsidR="00B7613B" w:rsidRPr="00D9348B" w:rsidRDefault="00B7613B" w:rsidP="00DB330E">
            <w:pPr>
              <w:pStyle w:val="TableText"/>
              <w:spacing w:before="50" w:after="50"/>
              <w:jc w:val="right"/>
              <w:rPr>
                <w:rFonts w:cs="Arial"/>
                <w:color w:val="000000"/>
                <w:szCs w:val="16"/>
              </w:rPr>
            </w:pPr>
            <w:r w:rsidRPr="00D9348B">
              <w:rPr>
                <w:rFonts w:cs="Arial"/>
                <w:color w:val="000000"/>
                <w:szCs w:val="16"/>
              </w:rPr>
              <w:t xml:space="preserve"> 3,493 </w:t>
            </w:r>
          </w:p>
        </w:tc>
        <w:tc>
          <w:tcPr>
            <w:tcW w:w="851" w:type="dxa"/>
            <w:tcBorders>
              <w:left w:val="nil"/>
              <w:right w:val="nil"/>
            </w:tcBorders>
            <w:vAlign w:val="bottom"/>
          </w:tcPr>
          <w:p w14:paraId="45F91F1B" w14:textId="77777777" w:rsidR="00B7613B" w:rsidRPr="00D9348B" w:rsidRDefault="00B7613B" w:rsidP="00DB330E">
            <w:pPr>
              <w:pStyle w:val="TableText"/>
              <w:spacing w:before="50" w:after="50"/>
              <w:jc w:val="right"/>
              <w:rPr>
                <w:rFonts w:cs="Arial"/>
                <w:color w:val="000000"/>
                <w:szCs w:val="16"/>
              </w:rPr>
            </w:pPr>
            <w:r w:rsidRPr="00D9348B">
              <w:rPr>
                <w:rFonts w:cs="Arial"/>
                <w:color w:val="000000"/>
                <w:szCs w:val="16"/>
              </w:rPr>
              <w:t xml:space="preserve"> 3,740</w:t>
            </w:r>
          </w:p>
        </w:tc>
      </w:tr>
      <w:tr w:rsidR="00B7613B" w:rsidRPr="00D9348B" w14:paraId="5988FFB6" w14:textId="77777777" w:rsidTr="00FD3CFA">
        <w:tc>
          <w:tcPr>
            <w:tcW w:w="2665" w:type="dxa"/>
            <w:tcBorders>
              <w:left w:val="nil"/>
              <w:bottom w:val="single" w:sz="8" w:space="0" w:color="44546A"/>
              <w:right w:val="nil"/>
            </w:tcBorders>
            <w:shd w:val="clear" w:color="auto" w:fill="auto"/>
            <w:vAlign w:val="center"/>
            <w:hideMark/>
          </w:tcPr>
          <w:p w14:paraId="725B3C19" w14:textId="77777777" w:rsidR="00B7613B" w:rsidRPr="00D9348B" w:rsidRDefault="00B7613B" w:rsidP="00DB330E">
            <w:pPr>
              <w:pStyle w:val="TableText"/>
              <w:spacing w:before="50" w:after="50"/>
            </w:pPr>
            <w:r w:rsidRPr="00D9348B">
              <w:t>Net emissions in calendar year (kt CO</w:t>
            </w:r>
            <w:r w:rsidRPr="00D9348B">
              <w:rPr>
                <w:vertAlign w:val="subscript"/>
              </w:rPr>
              <w:t>2</w:t>
            </w:r>
            <w:r w:rsidRPr="00D9348B">
              <w:t>-e)</w:t>
            </w:r>
          </w:p>
        </w:tc>
        <w:tc>
          <w:tcPr>
            <w:tcW w:w="851" w:type="dxa"/>
            <w:tcBorders>
              <w:left w:val="nil"/>
              <w:bottom w:val="single" w:sz="8" w:space="0" w:color="44546A"/>
              <w:right w:val="nil"/>
            </w:tcBorders>
            <w:shd w:val="clear" w:color="auto" w:fill="auto"/>
            <w:vAlign w:val="center"/>
            <w:hideMark/>
          </w:tcPr>
          <w:p w14:paraId="311D91F5" w14:textId="77777777" w:rsidR="00B7613B" w:rsidRPr="00D9348B" w:rsidRDefault="00B7613B" w:rsidP="00DB330E">
            <w:pPr>
              <w:pStyle w:val="TableText"/>
              <w:spacing w:before="50" w:after="50"/>
              <w:jc w:val="right"/>
              <w:rPr>
                <w:rFonts w:cs="Arial"/>
                <w:szCs w:val="16"/>
              </w:rPr>
            </w:pPr>
            <w:r w:rsidRPr="00D9348B">
              <w:rPr>
                <w:rFonts w:cs="Arial"/>
                <w:color w:val="000000"/>
                <w:szCs w:val="16"/>
              </w:rPr>
              <w:t>9,525.6</w:t>
            </w:r>
          </w:p>
        </w:tc>
        <w:tc>
          <w:tcPr>
            <w:tcW w:w="851" w:type="dxa"/>
            <w:tcBorders>
              <w:left w:val="nil"/>
              <w:bottom w:val="single" w:sz="8" w:space="0" w:color="44546A"/>
              <w:right w:val="nil"/>
            </w:tcBorders>
            <w:shd w:val="clear" w:color="auto" w:fill="auto"/>
            <w:vAlign w:val="center"/>
            <w:hideMark/>
          </w:tcPr>
          <w:p w14:paraId="56752138" w14:textId="77777777" w:rsidR="00B7613B" w:rsidRPr="00D9348B" w:rsidRDefault="00B7613B" w:rsidP="00DB330E">
            <w:pPr>
              <w:pStyle w:val="TableText"/>
              <w:spacing w:before="50" w:after="50"/>
              <w:jc w:val="right"/>
              <w:rPr>
                <w:rFonts w:cs="Arial"/>
                <w:szCs w:val="16"/>
              </w:rPr>
            </w:pPr>
            <w:r w:rsidRPr="00D9348B">
              <w:rPr>
                <w:rFonts w:cs="Arial"/>
                <w:color w:val="000000"/>
                <w:szCs w:val="16"/>
              </w:rPr>
              <w:t>5,667.4</w:t>
            </w:r>
          </w:p>
        </w:tc>
        <w:tc>
          <w:tcPr>
            <w:tcW w:w="851" w:type="dxa"/>
            <w:tcBorders>
              <w:left w:val="nil"/>
              <w:bottom w:val="single" w:sz="8" w:space="0" w:color="44546A"/>
              <w:right w:val="nil"/>
            </w:tcBorders>
            <w:shd w:val="clear" w:color="auto" w:fill="auto"/>
            <w:vAlign w:val="center"/>
            <w:hideMark/>
          </w:tcPr>
          <w:p w14:paraId="66884A8B" w14:textId="77777777" w:rsidR="00B7613B" w:rsidRPr="00D9348B" w:rsidRDefault="00B7613B" w:rsidP="00DB330E">
            <w:pPr>
              <w:pStyle w:val="TableText"/>
              <w:spacing w:before="50" w:after="50"/>
              <w:jc w:val="right"/>
              <w:rPr>
                <w:rFonts w:cs="Arial"/>
                <w:szCs w:val="16"/>
              </w:rPr>
            </w:pPr>
            <w:r w:rsidRPr="00D9348B">
              <w:rPr>
                <w:rFonts w:cs="Arial"/>
                <w:color w:val="000000"/>
                <w:szCs w:val="16"/>
              </w:rPr>
              <w:t>3,640.3</w:t>
            </w:r>
          </w:p>
        </w:tc>
        <w:tc>
          <w:tcPr>
            <w:tcW w:w="851" w:type="dxa"/>
            <w:tcBorders>
              <w:left w:val="nil"/>
              <w:bottom w:val="single" w:sz="8" w:space="0" w:color="44546A"/>
              <w:right w:val="nil"/>
            </w:tcBorders>
            <w:shd w:val="clear" w:color="auto" w:fill="auto"/>
            <w:vAlign w:val="center"/>
            <w:hideMark/>
          </w:tcPr>
          <w:p w14:paraId="15A0913D" w14:textId="77777777" w:rsidR="00B7613B" w:rsidRPr="00D9348B" w:rsidRDefault="00B7613B" w:rsidP="00DB330E">
            <w:pPr>
              <w:pStyle w:val="TableText"/>
              <w:spacing w:before="50" w:after="50"/>
              <w:jc w:val="right"/>
              <w:rPr>
                <w:rFonts w:cs="Arial"/>
                <w:szCs w:val="16"/>
              </w:rPr>
            </w:pPr>
            <w:r w:rsidRPr="00D9348B">
              <w:rPr>
                <w:rFonts w:cs="Arial"/>
                <w:color w:val="000000"/>
                <w:szCs w:val="16"/>
              </w:rPr>
              <w:t>1,821.5</w:t>
            </w:r>
          </w:p>
        </w:tc>
        <w:tc>
          <w:tcPr>
            <w:tcW w:w="851" w:type="dxa"/>
            <w:tcBorders>
              <w:left w:val="nil"/>
              <w:bottom w:val="single" w:sz="8" w:space="0" w:color="44546A"/>
              <w:right w:val="nil"/>
            </w:tcBorders>
            <w:vAlign w:val="center"/>
          </w:tcPr>
          <w:p w14:paraId="4BF0835D" w14:textId="77777777" w:rsidR="00B7613B" w:rsidRPr="00D9348B" w:rsidRDefault="00B7613B" w:rsidP="00DB330E">
            <w:pPr>
              <w:pStyle w:val="TableText"/>
              <w:spacing w:before="50" w:after="50"/>
              <w:jc w:val="right"/>
              <w:rPr>
                <w:rFonts w:cs="Arial"/>
                <w:szCs w:val="16"/>
              </w:rPr>
            </w:pPr>
            <w:r w:rsidRPr="00D9348B">
              <w:rPr>
                <w:rFonts w:cs="Arial"/>
                <w:color w:val="000000"/>
                <w:szCs w:val="16"/>
              </w:rPr>
              <w:t>1,977.1</w:t>
            </w:r>
          </w:p>
        </w:tc>
        <w:tc>
          <w:tcPr>
            <w:tcW w:w="851" w:type="dxa"/>
            <w:tcBorders>
              <w:left w:val="nil"/>
              <w:bottom w:val="single" w:sz="8" w:space="0" w:color="44546A"/>
              <w:right w:val="nil"/>
            </w:tcBorders>
            <w:vAlign w:val="center"/>
          </w:tcPr>
          <w:p w14:paraId="64EC5515" w14:textId="77777777" w:rsidR="00B7613B" w:rsidRPr="00D9348B" w:rsidRDefault="00B7613B" w:rsidP="00DB330E">
            <w:pPr>
              <w:pStyle w:val="TableText"/>
              <w:spacing w:before="50" w:after="50"/>
              <w:jc w:val="right"/>
            </w:pPr>
            <w:r w:rsidRPr="00D9348B">
              <w:rPr>
                <w:rFonts w:cs="Arial"/>
                <w:color w:val="000000"/>
                <w:szCs w:val="16"/>
              </w:rPr>
              <w:t>2,146.2</w:t>
            </w:r>
          </w:p>
        </w:tc>
      </w:tr>
      <w:tr w:rsidR="00B7613B" w:rsidRPr="00D9348B" w14:paraId="0C5C0767" w14:textId="77777777" w:rsidTr="00FD3CFA">
        <w:tc>
          <w:tcPr>
            <w:tcW w:w="2665" w:type="dxa"/>
            <w:tcBorders>
              <w:top w:val="nil"/>
              <w:left w:val="nil"/>
              <w:bottom w:val="single" w:sz="4" w:space="0" w:color="auto"/>
              <w:right w:val="nil"/>
            </w:tcBorders>
            <w:shd w:val="clear" w:color="auto" w:fill="auto"/>
            <w:vAlign w:val="center"/>
            <w:hideMark/>
          </w:tcPr>
          <w:p w14:paraId="77C6D755" w14:textId="77777777" w:rsidR="00B7613B" w:rsidRPr="00D9348B" w:rsidRDefault="00B7613B" w:rsidP="00DB330E">
            <w:pPr>
              <w:pStyle w:val="TableTextBold"/>
              <w:spacing w:before="50" w:after="50"/>
              <w:rPr>
                <w:noProof w:val="0"/>
              </w:rPr>
            </w:pPr>
            <w:r w:rsidRPr="00D9348B">
              <w:rPr>
                <w:noProof w:val="0"/>
              </w:rPr>
              <w:t>Forest management</w:t>
            </w:r>
          </w:p>
        </w:tc>
        <w:tc>
          <w:tcPr>
            <w:tcW w:w="851" w:type="dxa"/>
            <w:tcBorders>
              <w:top w:val="nil"/>
              <w:left w:val="nil"/>
              <w:bottom w:val="single" w:sz="4" w:space="0" w:color="auto"/>
              <w:right w:val="nil"/>
            </w:tcBorders>
            <w:shd w:val="clear" w:color="auto" w:fill="auto"/>
            <w:vAlign w:val="center"/>
            <w:hideMark/>
          </w:tcPr>
          <w:p w14:paraId="223FDF80" w14:textId="77777777" w:rsidR="00B7613B" w:rsidRPr="00D9348B" w:rsidRDefault="00B7613B" w:rsidP="00DB330E">
            <w:pPr>
              <w:pStyle w:val="TableTextBold"/>
              <w:spacing w:before="50" w:after="50"/>
              <w:jc w:val="right"/>
              <w:rPr>
                <w:rFonts w:cs="Arial"/>
                <w:noProof w:val="0"/>
                <w:szCs w:val="16"/>
              </w:rPr>
            </w:pPr>
          </w:p>
        </w:tc>
        <w:tc>
          <w:tcPr>
            <w:tcW w:w="851" w:type="dxa"/>
            <w:tcBorders>
              <w:top w:val="nil"/>
              <w:left w:val="nil"/>
              <w:bottom w:val="single" w:sz="4" w:space="0" w:color="auto"/>
              <w:right w:val="nil"/>
            </w:tcBorders>
            <w:shd w:val="clear" w:color="auto" w:fill="auto"/>
            <w:vAlign w:val="center"/>
            <w:hideMark/>
          </w:tcPr>
          <w:p w14:paraId="076E02A7" w14:textId="77777777" w:rsidR="00B7613B" w:rsidRPr="00D9348B" w:rsidRDefault="00B7613B" w:rsidP="00DB330E">
            <w:pPr>
              <w:pStyle w:val="TableTextBold"/>
              <w:spacing w:before="50" w:after="50"/>
              <w:jc w:val="right"/>
              <w:rPr>
                <w:rFonts w:cs="Arial"/>
                <w:noProof w:val="0"/>
                <w:szCs w:val="16"/>
              </w:rPr>
            </w:pPr>
          </w:p>
        </w:tc>
        <w:tc>
          <w:tcPr>
            <w:tcW w:w="851" w:type="dxa"/>
            <w:tcBorders>
              <w:top w:val="nil"/>
              <w:left w:val="nil"/>
              <w:bottom w:val="single" w:sz="4" w:space="0" w:color="auto"/>
              <w:right w:val="nil"/>
            </w:tcBorders>
            <w:shd w:val="clear" w:color="auto" w:fill="auto"/>
            <w:vAlign w:val="center"/>
            <w:hideMark/>
          </w:tcPr>
          <w:p w14:paraId="22686948" w14:textId="77777777" w:rsidR="00B7613B" w:rsidRPr="00D9348B" w:rsidRDefault="00B7613B" w:rsidP="00DB330E">
            <w:pPr>
              <w:pStyle w:val="TableTextBold"/>
              <w:spacing w:before="50" w:after="50"/>
              <w:jc w:val="right"/>
              <w:rPr>
                <w:rFonts w:cs="Arial"/>
                <w:noProof w:val="0"/>
                <w:szCs w:val="16"/>
              </w:rPr>
            </w:pPr>
          </w:p>
        </w:tc>
        <w:tc>
          <w:tcPr>
            <w:tcW w:w="851" w:type="dxa"/>
            <w:tcBorders>
              <w:top w:val="nil"/>
              <w:left w:val="nil"/>
              <w:bottom w:val="single" w:sz="4" w:space="0" w:color="auto"/>
              <w:right w:val="nil"/>
            </w:tcBorders>
            <w:shd w:val="clear" w:color="auto" w:fill="auto"/>
            <w:vAlign w:val="center"/>
            <w:hideMark/>
          </w:tcPr>
          <w:p w14:paraId="1A9BB3DE" w14:textId="77777777" w:rsidR="00B7613B" w:rsidRPr="00D9348B" w:rsidRDefault="00B7613B" w:rsidP="00DB330E">
            <w:pPr>
              <w:pStyle w:val="TableTextBold"/>
              <w:spacing w:before="50" w:after="50"/>
              <w:jc w:val="right"/>
              <w:rPr>
                <w:rFonts w:cs="Arial"/>
                <w:noProof w:val="0"/>
                <w:szCs w:val="16"/>
              </w:rPr>
            </w:pPr>
          </w:p>
        </w:tc>
        <w:tc>
          <w:tcPr>
            <w:tcW w:w="851" w:type="dxa"/>
            <w:tcBorders>
              <w:top w:val="nil"/>
              <w:left w:val="nil"/>
              <w:bottom w:val="single" w:sz="4" w:space="0" w:color="auto"/>
              <w:right w:val="nil"/>
            </w:tcBorders>
            <w:vAlign w:val="center"/>
          </w:tcPr>
          <w:p w14:paraId="625014C7" w14:textId="77777777" w:rsidR="00B7613B" w:rsidRPr="00D9348B" w:rsidRDefault="00B7613B" w:rsidP="00DB330E">
            <w:pPr>
              <w:pStyle w:val="TableTextBold"/>
              <w:spacing w:before="50" w:after="50"/>
              <w:jc w:val="right"/>
              <w:rPr>
                <w:rFonts w:cs="Arial"/>
                <w:noProof w:val="0"/>
                <w:szCs w:val="16"/>
              </w:rPr>
            </w:pPr>
          </w:p>
        </w:tc>
        <w:tc>
          <w:tcPr>
            <w:tcW w:w="851" w:type="dxa"/>
            <w:tcBorders>
              <w:top w:val="nil"/>
              <w:left w:val="nil"/>
              <w:bottom w:val="single" w:sz="4" w:space="0" w:color="auto"/>
              <w:right w:val="nil"/>
            </w:tcBorders>
            <w:vAlign w:val="center"/>
          </w:tcPr>
          <w:p w14:paraId="3539FAEC" w14:textId="77777777" w:rsidR="00B7613B" w:rsidRPr="00D9348B" w:rsidRDefault="00B7613B" w:rsidP="00DB330E">
            <w:pPr>
              <w:pStyle w:val="TableTextBold"/>
              <w:spacing w:before="50" w:after="50"/>
              <w:jc w:val="right"/>
              <w:rPr>
                <w:rFonts w:cs="Arial"/>
                <w:noProof w:val="0"/>
                <w:szCs w:val="16"/>
              </w:rPr>
            </w:pPr>
          </w:p>
        </w:tc>
      </w:tr>
      <w:tr w:rsidR="00B7613B" w:rsidRPr="00D9348B" w14:paraId="2F19F7FD" w14:textId="77777777" w:rsidTr="00FD3CFA">
        <w:tc>
          <w:tcPr>
            <w:tcW w:w="2665" w:type="dxa"/>
            <w:tcBorders>
              <w:top w:val="single" w:sz="4" w:space="0" w:color="auto"/>
              <w:left w:val="nil"/>
              <w:right w:val="nil"/>
            </w:tcBorders>
            <w:shd w:val="clear" w:color="auto" w:fill="auto"/>
            <w:vAlign w:val="center"/>
            <w:hideMark/>
          </w:tcPr>
          <w:p w14:paraId="4194C1D3" w14:textId="77777777" w:rsidR="00B7613B" w:rsidRPr="00D9348B" w:rsidRDefault="00B7613B" w:rsidP="00DB330E">
            <w:pPr>
              <w:pStyle w:val="TableText"/>
              <w:spacing w:before="50" w:after="50"/>
            </w:pPr>
            <w:r w:rsidRPr="00D9348B">
              <w:t>Area included (ha)</w:t>
            </w:r>
          </w:p>
        </w:tc>
        <w:tc>
          <w:tcPr>
            <w:tcW w:w="851" w:type="dxa"/>
            <w:tcBorders>
              <w:top w:val="single" w:sz="4" w:space="0" w:color="auto"/>
              <w:left w:val="nil"/>
              <w:right w:val="nil"/>
            </w:tcBorders>
            <w:shd w:val="clear" w:color="auto" w:fill="auto"/>
            <w:vAlign w:val="center"/>
            <w:hideMark/>
          </w:tcPr>
          <w:p w14:paraId="02DC9977" w14:textId="77777777" w:rsidR="00B7613B" w:rsidRPr="00D9348B" w:rsidRDefault="00B7613B" w:rsidP="00DB330E">
            <w:pPr>
              <w:pStyle w:val="TableText"/>
              <w:spacing w:before="50" w:after="50"/>
              <w:jc w:val="right"/>
              <w:rPr>
                <w:rFonts w:cs="Arial"/>
                <w:szCs w:val="16"/>
              </w:rPr>
            </w:pPr>
            <w:r w:rsidRPr="00D9348B">
              <w:rPr>
                <w:rFonts w:cs="Arial"/>
                <w:color w:val="000000"/>
                <w:szCs w:val="16"/>
              </w:rPr>
              <w:t>9,224,080</w:t>
            </w:r>
          </w:p>
        </w:tc>
        <w:tc>
          <w:tcPr>
            <w:tcW w:w="851" w:type="dxa"/>
            <w:tcBorders>
              <w:top w:val="single" w:sz="4" w:space="0" w:color="auto"/>
              <w:left w:val="nil"/>
              <w:right w:val="nil"/>
            </w:tcBorders>
            <w:shd w:val="clear" w:color="auto" w:fill="auto"/>
            <w:vAlign w:val="center"/>
            <w:hideMark/>
          </w:tcPr>
          <w:p w14:paraId="63F82D97" w14:textId="77777777" w:rsidR="00B7613B" w:rsidRPr="00D9348B" w:rsidRDefault="00B7613B" w:rsidP="00DB330E">
            <w:pPr>
              <w:pStyle w:val="TableText"/>
              <w:spacing w:before="50" w:after="50"/>
              <w:jc w:val="right"/>
              <w:rPr>
                <w:rFonts w:cs="Arial"/>
                <w:szCs w:val="16"/>
              </w:rPr>
            </w:pPr>
            <w:r w:rsidRPr="00D9348B">
              <w:rPr>
                <w:rFonts w:cs="Arial"/>
                <w:color w:val="000000"/>
                <w:szCs w:val="16"/>
              </w:rPr>
              <w:t>9,217,093</w:t>
            </w:r>
          </w:p>
        </w:tc>
        <w:tc>
          <w:tcPr>
            <w:tcW w:w="851" w:type="dxa"/>
            <w:tcBorders>
              <w:top w:val="single" w:sz="4" w:space="0" w:color="auto"/>
              <w:left w:val="nil"/>
              <w:right w:val="nil"/>
            </w:tcBorders>
            <w:shd w:val="clear" w:color="auto" w:fill="auto"/>
            <w:vAlign w:val="center"/>
            <w:hideMark/>
          </w:tcPr>
          <w:p w14:paraId="42F9DF03" w14:textId="77777777" w:rsidR="00B7613B" w:rsidRPr="00D9348B" w:rsidRDefault="00B7613B" w:rsidP="00DB330E">
            <w:pPr>
              <w:pStyle w:val="TableText"/>
              <w:spacing w:before="50" w:after="50"/>
              <w:jc w:val="right"/>
              <w:rPr>
                <w:rFonts w:cs="Arial"/>
                <w:szCs w:val="16"/>
              </w:rPr>
            </w:pPr>
            <w:r w:rsidRPr="00D9348B">
              <w:rPr>
                <w:rFonts w:cs="Arial"/>
                <w:color w:val="000000"/>
                <w:szCs w:val="16"/>
              </w:rPr>
              <w:t>9,212,837</w:t>
            </w:r>
          </w:p>
        </w:tc>
        <w:tc>
          <w:tcPr>
            <w:tcW w:w="851" w:type="dxa"/>
            <w:tcBorders>
              <w:top w:val="single" w:sz="4" w:space="0" w:color="auto"/>
              <w:left w:val="nil"/>
              <w:right w:val="nil"/>
            </w:tcBorders>
            <w:shd w:val="clear" w:color="auto" w:fill="auto"/>
            <w:vAlign w:val="center"/>
            <w:hideMark/>
          </w:tcPr>
          <w:p w14:paraId="06ED48D1" w14:textId="77777777" w:rsidR="00B7613B" w:rsidRPr="00D9348B" w:rsidRDefault="00B7613B" w:rsidP="00DB330E">
            <w:pPr>
              <w:pStyle w:val="TableText"/>
              <w:spacing w:before="50" w:after="50"/>
              <w:jc w:val="right"/>
              <w:rPr>
                <w:rFonts w:cs="Arial"/>
                <w:szCs w:val="16"/>
              </w:rPr>
            </w:pPr>
            <w:r w:rsidRPr="00D9348B">
              <w:rPr>
                <w:rFonts w:cs="Arial"/>
                <w:color w:val="000000"/>
                <w:szCs w:val="16"/>
              </w:rPr>
              <w:t>9,211,357</w:t>
            </w:r>
          </w:p>
        </w:tc>
        <w:tc>
          <w:tcPr>
            <w:tcW w:w="851" w:type="dxa"/>
            <w:tcBorders>
              <w:top w:val="single" w:sz="4" w:space="0" w:color="auto"/>
              <w:left w:val="nil"/>
              <w:right w:val="nil"/>
            </w:tcBorders>
            <w:vAlign w:val="center"/>
          </w:tcPr>
          <w:p w14:paraId="580F1B6B" w14:textId="77777777" w:rsidR="00B7613B" w:rsidRPr="00D9348B" w:rsidRDefault="00B7613B" w:rsidP="00DB330E">
            <w:pPr>
              <w:pStyle w:val="TableText"/>
              <w:spacing w:before="50" w:after="50"/>
              <w:jc w:val="right"/>
              <w:rPr>
                <w:rFonts w:cs="Arial"/>
                <w:szCs w:val="16"/>
              </w:rPr>
            </w:pPr>
            <w:r w:rsidRPr="00D9348B">
              <w:rPr>
                <w:rFonts w:cs="Arial"/>
                <w:color w:val="000000"/>
                <w:szCs w:val="16"/>
              </w:rPr>
              <w:t>9,210,186</w:t>
            </w:r>
          </w:p>
        </w:tc>
        <w:tc>
          <w:tcPr>
            <w:tcW w:w="851" w:type="dxa"/>
            <w:tcBorders>
              <w:top w:val="single" w:sz="4" w:space="0" w:color="auto"/>
              <w:left w:val="nil"/>
              <w:right w:val="nil"/>
            </w:tcBorders>
            <w:vAlign w:val="center"/>
          </w:tcPr>
          <w:p w14:paraId="569BB921" w14:textId="77777777" w:rsidR="00B7613B" w:rsidRPr="00D9348B" w:rsidRDefault="00B7613B" w:rsidP="00DB330E">
            <w:pPr>
              <w:pStyle w:val="TableText"/>
              <w:spacing w:before="50" w:after="50"/>
              <w:jc w:val="right"/>
            </w:pPr>
            <w:r w:rsidRPr="00D9348B">
              <w:rPr>
                <w:rFonts w:cs="Arial"/>
                <w:color w:val="000000"/>
                <w:szCs w:val="16"/>
              </w:rPr>
              <w:t>9,208,933</w:t>
            </w:r>
          </w:p>
        </w:tc>
      </w:tr>
      <w:tr w:rsidR="00B7613B" w:rsidRPr="00D9348B" w14:paraId="463BEC59" w14:textId="77777777" w:rsidTr="00FD3CFA">
        <w:tc>
          <w:tcPr>
            <w:tcW w:w="2665" w:type="dxa"/>
            <w:tcBorders>
              <w:left w:val="nil"/>
              <w:bottom w:val="single" w:sz="4" w:space="0" w:color="auto"/>
              <w:right w:val="nil"/>
            </w:tcBorders>
            <w:shd w:val="clear" w:color="auto" w:fill="auto"/>
            <w:vAlign w:val="center"/>
            <w:hideMark/>
          </w:tcPr>
          <w:p w14:paraId="124B65F3" w14:textId="77777777" w:rsidR="00B7613B" w:rsidRPr="00D9348B" w:rsidRDefault="00B7613B" w:rsidP="00DB330E">
            <w:pPr>
              <w:pStyle w:val="TableText"/>
              <w:spacing w:before="50" w:after="50"/>
            </w:pPr>
            <w:r w:rsidRPr="00D9348B">
              <w:t>Net emissions in calendar year (kt CO</w:t>
            </w:r>
            <w:r w:rsidRPr="00D9348B">
              <w:rPr>
                <w:vertAlign w:val="subscript"/>
              </w:rPr>
              <w:t>2</w:t>
            </w:r>
            <w:r w:rsidRPr="00D9348B">
              <w:t>-e)</w:t>
            </w:r>
          </w:p>
        </w:tc>
        <w:tc>
          <w:tcPr>
            <w:tcW w:w="851" w:type="dxa"/>
            <w:tcBorders>
              <w:left w:val="nil"/>
              <w:bottom w:val="single" w:sz="4" w:space="0" w:color="auto"/>
              <w:right w:val="nil"/>
            </w:tcBorders>
            <w:shd w:val="clear" w:color="auto" w:fill="auto"/>
            <w:vAlign w:val="center"/>
            <w:hideMark/>
          </w:tcPr>
          <w:p w14:paraId="7192E83A" w14:textId="77777777" w:rsidR="00B7613B" w:rsidRPr="00D9348B" w:rsidRDefault="00B7613B" w:rsidP="00DB330E">
            <w:pPr>
              <w:pStyle w:val="TableText"/>
              <w:spacing w:before="50" w:after="50"/>
              <w:jc w:val="right"/>
              <w:rPr>
                <w:rFonts w:cs="Arial"/>
                <w:szCs w:val="16"/>
              </w:rPr>
            </w:pPr>
            <w:r w:rsidRPr="00D9348B">
              <w:rPr>
                <w:rFonts w:cs="Arial"/>
                <w:color w:val="000000"/>
                <w:szCs w:val="16"/>
              </w:rPr>
              <w:t xml:space="preserve">–18,487.6 </w:t>
            </w:r>
          </w:p>
        </w:tc>
        <w:tc>
          <w:tcPr>
            <w:tcW w:w="851" w:type="dxa"/>
            <w:tcBorders>
              <w:left w:val="nil"/>
              <w:bottom w:val="single" w:sz="4" w:space="0" w:color="auto"/>
              <w:right w:val="nil"/>
            </w:tcBorders>
            <w:shd w:val="clear" w:color="auto" w:fill="auto"/>
            <w:vAlign w:val="center"/>
            <w:hideMark/>
          </w:tcPr>
          <w:p w14:paraId="2BE3E7D1" w14:textId="77777777" w:rsidR="00B7613B" w:rsidRPr="00D9348B" w:rsidRDefault="00B7613B" w:rsidP="00DB330E">
            <w:pPr>
              <w:pStyle w:val="TableText"/>
              <w:spacing w:before="50" w:after="50"/>
              <w:jc w:val="right"/>
              <w:rPr>
                <w:rFonts w:cs="Arial"/>
                <w:szCs w:val="16"/>
              </w:rPr>
            </w:pPr>
            <w:r w:rsidRPr="00D9348B">
              <w:rPr>
                <w:rFonts w:cs="Arial"/>
                <w:color w:val="000000"/>
                <w:szCs w:val="16"/>
              </w:rPr>
              <w:t xml:space="preserve">–16,962.0 </w:t>
            </w:r>
          </w:p>
        </w:tc>
        <w:tc>
          <w:tcPr>
            <w:tcW w:w="851" w:type="dxa"/>
            <w:tcBorders>
              <w:left w:val="nil"/>
              <w:bottom w:val="single" w:sz="4" w:space="0" w:color="auto"/>
              <w:right w:val="nil"/>
            </w:tcBorders>
            <w:shd w:val="clear" w:color="auto" w:fill="auto"/>
            <w:vAlign w:val="center"/>
            <w:hideMark/>
          </w:tcPr>
          <w:p w14:paraId="61410262" w14:textId="77777777" w:rsidR="00B7613B" w:rsidRPr="00D9348B" w:rsidRDefault="00B7613B" w:rsidP="00DB330E">
            <w:pPr>
              <w:pStyle w:val="TableText"/>
              <w:spacing w:before="50" w:after="50"/>
              <w:jc w:val="right"/>
              <w:rPr>
                <w:rFonts w:cs="Arial"/>
                <w:szCs w:val="16"/>
              </w:rPr>
            </w:pPr>
            <w:r w:rsidRPr="00D9348B">
              <w:rPr>
                <w:rFonts w:cs="Arial"/>
                <w:color w:val="000000"/>
                <w:szCs w:val="16"/>
              </w:rPr>
              <w:t xml:space="preserve">–15,470.4 </w:t>
            </w:r>
          </w:p>
        </w:tc>
        <w:tc>
          <w:tcPr>
            <w:tcW w:w="851" w:type="dxa"/>
            <w:tcBorders>
              <w:left w:val="nil"/>
              <w:bottom w:val="single" w:sz="4" w:space="0" w:color="auto"/>
              <w:right w:val="nil"/>
            </w:tcBorders>
            <w:shd w:val="clear" w:color="auto" w:fill="auto"/>
            <w:vAlign w:val="center"/>
            <w:hideMark/>
          </w:tcPr>
          <w:p w14:paraId="1605520E" w14:textId="77777777" w:rsidR="00B7613B" w:rsidRPr="00D9348B" w:rsidRDefault="00B7613B" w:rsidP="00DB330E">
            <w:pPr>
              <w:pStyle w:val="TableText"/>
              <w:spacing w:before="50" w:after="50"/>
              <w:jc w:val="right"/>
              <w:rPr>
                <w:rFonts w:cs="Arial"/>
                <w:szCs w:val="16"/>
              </w:rPr>
            </w:pPr>
            <w:r w:rsidRPr="00D9348B">
              <w:rPr>
                <w:rFonts w:cs="Arial"/>
                <w:color w:val="000000"/>
                <w:szCs w:val="16"/>
              </w:rPr>
              <w:t xml:space="preserve">–13,119.5 </w:t>
            </w:r>
          </w:p>
        </w:tc>
        <w:tc>
          <w:tcPr>
            <w:tcW w:w="851" w:type="dxa"/>
            <w:tcBorders>
              <w:left w:val="nil"/>
              <w:bottom w:val="single" w:sz="4" w:space="0" w:color="auto"/>
              <w:right w:val="nil"/>
            </w:tcBorders>
            <w:vAlign w:val="center"/>
          </w:tcPr>
          <w:p w14:paraId="65299E81" w14:textId="77777777" w:rsidR="00B7613B" w:rsidRPr="00D9348B" w:rsidRDefault="00B7613B" w:rsidP="00DB330E">
            <w:pPr>
              <w:pStyle w:val="TableText"/>
              <w:spacing w:before="50" w:after="50"/>
              <w:jc w:val="right"/>
              <w:rPr>
                <w:rFonts w:cs="Arial"/>
                <w:szCs w:val="16"/>
              </w:rPr>
            </w:pPr>
            <w:r w:rsidRPr="00D9348B">
              <w:rPr>
                <w:rFonts w:cs="Arial"/>
                <w:color w:val="000000"/>
                <w:szCs w:val="16"/>
              </w:rPr>
              <w:t xml:space="preserve">–13,136.0 </w:t>
            </w:r>
          </w:p>
        </w:tc>
        <w:tc>
          <w:tcPr>
            <w:tcW w:w="851" w:type="dxa"/>
            <w:tcBorders>
              <w:left w:val="nil"/>
              <w:bottom w:val="single" w:sz="4" w:space="0" w:color="auto"/>
              <w:right w:val="nil"/>
            </w:tcBorders>
            <w:vAlign w:val="center"/>
          </w:tcPr>
          <w:p w14:paraId="08B29648" w14:textId="77777777" w:rsidR="00B7613B" w:rsidRPr="00D9348B" w:rsidRDefault="00B7613B" w:rsidP="00DB330E">
            <w:pPr>
              <w:pStyle w:val="TableText"/>
              <w:spacing w:before="50" w:after="50"/>
              <w:jc w:val="right"/>
              <w:rPr>
                <w:rFonts w:cs="Arial"/>
                <w:szCs w:val="16"/>
              </w:rPr>
            </w:pPr>
            <w:r w:rsidRPr="00D9348B">
              <w:rPr>
                <w:rFonts w:cs="Arial"/>
                <w:color w:val="000000"/>
                <w:szCs w:val="16"/>
              </w:rPr>
              <w:t xml:space="preserve">–13,898.9 </w:t>
            </w:r>
          </w:p>
        </w:tc>
      </w:tr>
      <w:tr w:rsidR="00B7613B" w:rsidRPr="00D9348B" w14:paraId="68ABE6C1" w14:textId="77777777" w:rsidTr="00FD3CFA">
        <w:tc>
          <w:tcPr>
            <w:tcW w:w="2665" w:type="dxa"/>
            <w:tcBorders>
              <w:top w:val="single" w:sz="4" w:space="0" w:color="auto"/>
              <w:left w:val="nil"/>
              <w:bottom w:val="single" w:sz="8" w:space="0" w:color="44546A"/>
              <w:right w:val="nil"/>
            </w:tcBorders>
            <w:shd w:val="clear" w:color="auto" w:fill="auto"/>
            <w:vAlign w:val="center"/>
            <w:hideMark/>
          </w:tcPr>
          <w:p w14:paraId="03E6E1E9" w14:textId="77777777" w:rsidR="00B7613B" w:rsidRPr="00D9348B" w:rsidRDefault="00B7613B" w:rsidP="00DB330E">
            <w:pPr>
              <w:pStyle w:val="TableTextBold"/>
              <w:spacing w:before="50" w:after="50"/>
              <w:rPr>
                <w:noProof w:val="0"/>
              </w:rPr>
            </w:pPr>
            <w:r w:rsidRPr="00D9348B">
              <w:rPr>
                <w:noProof w:val="0"/>
              </w:rPr>
              <w:t>Total area included (ha)</w:t>
            </w:r>
          </w:p>
        </w:tc>
        <w:tc>
          <w:tcPr>
            <w:tcW w:w="851" w:type="dxa"/>
            <w:tcBorders>
              <w:top w:val="single" w:sz="4" w:space="0" w:color="auto"/>
              <w:left w:val="nil"/>
              <w:bottom w:val="single" w:sz="8" w:space="0" w:color="44546A"/>
              <w:right w:val="nil"/>
            </w:tcBorders>
            <w:shd w:val="clear" w:color="auto" w:fill="auto"/>
            <w:vAlign w:val="center"/>
            <w:hideMark/>
          </w:tcPr>
          <w:p w14:paraId="4B755760" w14:textId="77777777" w:rsidR="00B7613B" w:rsidRPr="00D9348B" w:rsidRDefault="00B7613B" w:rsidP="00DB330E">
            <w:pPr>
              <w:pStyle w:val="TableTextBold"/>
              <w:spacing w:before="50" w:after="50"/>
              <w:jc w:val="right"/>
              <w:rPr>
                <w:rFonts w:cs="Arial"/>
                <w:noProof w:val="0"/>
                <w:szCs w:val="16"/>
              </w:rPr>
            </w:pPr>
            <w:r w:rsidRPr="00D9348B">
              <w:rPr>
                <w:rFonts w:cs="Arial"/>
                <w:bCs/>
                <w:noProof w:val="0"/>
                <w:color w:val="000000"/>
                <w:szCs w:val="16"/>
              </w:rPr>
              <w:t>10,077,410</w:t>
            </w:r>
          </w:p>
        </w:tc>
        <w:tc>
          <w:tcPr>
            <w:tcW w:w="851" w:type="dxa"/>
            <w:tcBorders>
              <w:top w:val="single" w:sz="4" w:space="0" w:color="auto"/>
              <w:left w:val="nil"/>
              <w:bottom w:val="single" w:sz="8" w:space="0" w:color="44546A"/>
              <w:right w:val="nil"/>
            </w:tcBorders>
            <w:shd w:val="clear" w:color="auto" w:fill="auto"/>
            <w:vAlign w:val="center"/>
            <w:hideMark/>
          </w:tcPr>
          <w:p w14:paraId="6FA5CC66" w14:textId="77777777" w:rsidR="00B7613B" w:rsidRPr="00D9348B" w:rsidRDefault="00B7613B" w:rsidP="00DB330E">
            <w:pPr>
              <w:pStyle w:val="TableTextBold"/>
              <w:spacing w:before="50" w:after="50"/>
              <w:jc w:val="right"/>
              <w:rPr>
                <w:rFonts w:cs="Arial"/>
                <w:noProof w:val="0"/>
                <w:szCs w:val="16"/>
              </w:rPr>
            </w:pPr>
            <w:r w:rsidRPr="00D9348B">
              <w:rPr>
                <w:rFonts w:cs="Arial"/>
                <w:bCs/>
                <w:noProof w:val="0"/>
                <w:color w:val="000000"/>
                <w:szCs w:val="16"/>
              </w:rPr>
              <w:t>10,080,857</w:t>
            </w:r>
          </w:p>
        </w:tc>
        <w:tc>
          <w:tcPr>
            <w:tcW w:w="851" w:type="dxa"/>
            <w:tcBorders>
              <w:top w:val="single" w:sz="4" w:space="0" w:color="auto"/>
              <w:left w:val="nil"/>
              <w:bottom w:val="single" w:sz="8" w:space="0" w:color="44546A"/>
              <w:right w:val="nil"/>
            </w:tcBorders>
            <w:shd w:val="clear" w:color="auto" w:fill="auto"/>
            <w:vAlign w:val="center"/>
            <w:hideMark/>
          </w:tcPr>
          <w:p w14:paraId="469F4CAE" w14:textId="77777777" w:rsidR="00B7613B" w:rsidRPr="00D9348B" w:rsidRDefault="00B7613B" w:rsidP="00DB330E">
            <w:pPr>
              <w:pStyle w:val="TableTextBold"/>
              <w:spacing w:before="50" w:after="50"/>
              <w:jc w:val="right"/>
              <w:rPr>
                <w:rFonts w:cs="Arial"/>
                <w:noProof w:val="0"/>
                <w:szCs w:val="16"/>
              </w:rPr>
            </w:pPr>
            <w:r w:rsidRPr="00D9348B">
              <w:rPr>
                <w:rFonts w:cs="Arial"/>
                <w:bCs/>
                <w:noProof w:val="0"/>
                <w:color w:val="000000"/>
                <w:szCs w:val="16"/>
              </w:rPr>
              <w:t>10,084,359</w:t>
            </w:r>
          </w:p>
        </w:tc>
        <w:tc>
          <w:tcPr>
            <w:tcW w:w="851" w:type="dxa"/>
            <w:tcBorders>
              <w:top w:val="single" w:sz="4" w:space="0" w:color="auto"/>
              <w:left w:val="nil"/>
              <w:bottom w:val="single" w:sz="8" w:space="0" w:color="44546A"/>
              <w:right w:val="nil"/>
            </w:tcBorders>
            <w:shd w:val="clear" w:color="auto" w:fill="auto"/>
            <w:vAlign w:val="center"/>
            <w:hideMark/>
          </w:tcPr>
          <w:p w14:paraId="684D9124" w14:textId="77777777" w:rsidR="00B7613B" w:rsidRPr="00D9348B" w:rsidRDefault="00B7613B" w:rsidP="00DB330E">
            <w:pPr>
              <w:pStyle w:val="TableTextBold"/>
              <w:spacing w:before="50" w:after="50"/>
              <w:jc w:val="right"/>
              <w:rPr>
                <w:rFonts w:cs="Arial"/>
                <w:noProof w:val="0"/>
                <w:szCs w:val="16"/>
              </w:rPr>
            </w:pPr>
            <w:r w:rsidRPr="00D9348B">
              <w:rPr>
                <w:rFonts w:cs="Arial"/>
                <w:bCs/>
                <w:noProof w:val="0"/>
                <w:color w:val="000000"/>
                <w:szCs w:val="16"/>
              </w:rPr>
              <w:t>10,089,252</w:t>
            </w:r>
          </w:p>
        </w:tc>
        <w:tc>
          <w:tcPr>
            <w:tcW w:w="851" w:type="dxa"/>
            <w:tcBorders>
              <w:top w:val="single" w:sz="4" w:space="0" w:color="auto"/>
              <w:left w:val="nil"/>
              <w:bottom w:val="single" w:sz="8" w:space="0" w:color="44546A"/>
              <w:right w:val="nil"/>
            </w:tcBorders>
            <w:vAlign w:val="center"/>
          </w:tcPr>
          <w:p w14:paraId="02C5FB6E" w14:textId="77777777" w:rsidR="00B7613B" w:rsidRPr="00D9348B" w:rsidRDefault="00B7613B" w:rsidP="00DB330E">
            <w:pPr>
              <w:pStyle w:val="TableTextBold"/>
              <w:spacing w:before="50" w:after="50"/>
              <w:jc w:val="right"/>
              <w:rPr>
                <w:rFonts w:cs="Arial"/>
                <w:noProof w:val="0"/>
                <w:szCs w:val="16"/>
              </w:rPr>
            </w:pPr>
            <w:r w:rsidRPr="00D9348B">
              <w:rPr>
                <w:rFonts w:cs="Arial"/>
                <w:bCs/>
                <w:noProof w:val="0"/>
                <w:color w:val="000000"/>
                <w:szCs w:val="16"/>
              </w:rPr>
              <w:t>10,097,399</w:t>
            </w:r>
          </w:p>
        </w:tc>
        <w:tc>
          <w:tcPr>
            <w:tcW w:w="851" w:type="dxa"/>
            <w:tcBorders>
              <w:top w:val="single" w:sz="4" w:space="0" w:color="auto"/>
              <w:left w:val="nil"/>
              <w:bottom w:val="single" w:sz="8" w:space="0" w:color="44546A"/>
              <w:right w:val="nil"/>
            </w:tcBorders>
            <w:vAlign w:val="center"/>
          </w:tcPr>
          <w:p w14:paraId="004B6D47" w14:textId="77777777" w:rsidR="00B7613B" w:rsidRPr="00D9348B" w:rsidRDefault="00B7613B" w:rsidP="00DB330E">
            <w:pPr>
              <w:pStyle w:val="TableTextBold"/>
              <w:spacing w:before="50" w:after="50"/>
              <w:jc w:val="right"/>
              <w:rPr>
                <w:noProof w:val="0"/>
              </w:rPr>
            </w:pPr>
            <w:r w:rsidRPr="00D9348B">
              <w:rPr>
                <w:rFonts w:cs="Arial"/>
                <w:bCs/>
                <w:noProof w:val="0"/>
                <w:color w:val="000000"/>
                <w:szCs w:val="16"/>
              </w:rPr>
              <w:t>10,108,636</w:t>
            </w:r>
          </w:p>
        </w:tc>
      </w:tr>
      <w:tr w:rsidR="00B7613B" w:rsidRPr="00D9348B" w14:paraId="278351C1" w14:textId="77777777" w:rsidTr="00FD3CFA">
        <w:tc>
          <w:tcPr>
            <w:tcW w:w="2665" w:type="dxa"/>
            <w:tcBorders>
              <w:top w:val="nil"/>
              <w:left w:val="nil"/>
              <w:bottom w:val="single" w:sz="8" w:space="0" w:color="44546A"/>
              <w:right w:val="nil"/>
            </w:tcBorders>
            <w:shd w:val="clear" w:color="auto" w:fill="auto"/>
            <w:vAlign w:val="center"/>
            <w:hideMark/>
          </w:tcPr>
          <w:p w14:paraId="25C06029" w14:textId="77777777" w:rsidR="00B7613B" w:rsidRPr="00D9348B" w:rsidRDefault="00B7613B" w:rsidP="00DB330E">
            <w:pPr>
              <w:pStyle w:val="TableTextBold"/>
              <w:spacing w:before="50" w:after="50"/>
              <w:rPr>
                <w:noProof w:val="0"/>
              </w:rPr>
            </w:pPr>
            <w:r w:rsidRPr="00D9348B">
              <w:rPr>
                <w:noProof w:val="0"/>
              </w:rPr>
              <w:t>Net emissions in calendar year (kt CO</w:t>
            </w:r>
            <w:r w:rsidRPr="00D9348B">
              <w:rPr>
                <w:noProof w:val="0"/>
                <w:vertAlign w:val="subscript"/>
              </w:rPr>
              <w:t>2</w:t>
            </w:r>
            <w:r w:rsidRPr="00D9348B">
              <w:rPr>
                <w:noProof w:val="0"/>
              </w:rPr>
              <w:t>-e)</w:t>
            </w:r>
          </w:p>
        </w:tc>
        <w:tc>
          <w:tcPr>
            <w:tcW w:w="851" w:type="dxa"/>
            <w:tcBorders>
              <w:top w:val="nil"/>
              <w:left w:val="nil"/>
              <w:bottom w:val="single" w:sz="8" w:space="0" w:color="44546A"/>
              <w:right w:val="nil"/>
            </w:tcBorders>
            <w:shd w:val="clear" w:color="auto" w:fill="auto"/>
            <w:vAlign w:val="center"/>
            <w:hideMark/>
          </w:tcPr>
          <w:p w14:paraId="6035DD9C" w14:textId="77777777" w:rsidR="00B7613B" w:rsidRPr="00D9348B" w:rsidRDefault="00B7613B" w:rsidP="00DB330E">
            <w:pPr>
              <w:pStyle w:val="TableTextBold"/>
              <w:spacing w:before="50" w:after="50"/>
              <w:jc w:val="right"/>
              <w:rPr>
                <w:rFonts w:cs="Arial"/>
                <w:noProof w:val="0"/>
                <w:szCs w:val="16"/>
              </w:rPr>
            </w:pPr>
            <w:r w:rsidRPr="00D9348B">
              <w:rPr>
                <w:rFonts w:cs="Arial"/>
                <w:bCs/>
                <w:noProof w:val="0"/>
                <w:color w:val="000000"/>
                <w:szCs w:val="16"/>
              </w:rPr>
              <w:t xml:space="preserve">–26,504.2 </w:t>
            </w:r>
          </w:p>
        </w:tc>
        <w:tc>
          <w:tcPr>
            <w:tcW w:w="851" w:type="dxa"/>
            <w:tcBorders>
              <w:top w:val="nil"/>
              <w:left w:val="nil"/>
              <w:bottom w:val="single" w:sz="8" w:space="0" w:color="44546A"/>
              <w:right w:val="nil"/>
            </w:tcBorders>
            <w:shd w:val="clear" w:color="auto" w:fill="auto"/>
            <w:vAlign w:val="center"/>
            <w:hideMark/>
          </w:tcPr>
          <w:p w14:paraId="0D8385E9" w14:textId="77777777" w:rsidR="00B7613B" w:rsidRPr="00D9348B" w:rsidRDefault="00B7613B" w:rsidP="00DB330E">
            <w:pPr>
              <w:pStyle w:val="TableTextBold"/>
              <w:spacing w:before="50" w:after="50"/>
              <w:jc w:val="right"/>
              <w:rPr>
                <w:rFonts w:cs="Arial"/>
                <w:noProof w:val="0"/>
                <w:szCs w:val="16"/>
              </w:rPr>
            </w:pPr>
            <w:r w:rsidRPr="00D9348B">
              <w:rPr>
                <w:rFonts w:cs="Arial"/>
                <w:bCs/>
                <w:noProof w:val="0"/>
                <w:color w:val="000000"/>
                <w:szCs w:val="16"/>
              </w:rPr>
              <w:t xml:space="preserve">–29,119.1 </w:t>
            </w:r>
          </w:p>
        </w:tc>
        <w:tc>
          <w:tcPr>
            <w:tcW w:w="851" w:type="dxa"/>
            <w:tcBorders>
              <w:top w:val="nil"/>
              <w:left w:val="nil"/>
              <w:bottom w:val="single" w:sz="8" w:space="0" w:color="44546A"/>
              <w:right w:val="nil"/>
            </w:tcBorders>
            <w:shd w:val="clear" w:color="auto" w:fill="auto"/>
            <w:vAlign w:val="center"/>
            <w:hideMark/>
          </w:tcPr>
          <w:p w14:paraId="09B50620" w14:textId="77777777" w:rsidR="00B7613B" w:rsidRPr="00D9348B" w:rsidRDefault="00B7613B" w:rsidP="00DB330E">
            <w:pPr>
              <w:pStyle w:val="TableTextBold"/>
              <w:spacing w:before="50" w:after="50"/>
              <w:jc w:val="right"/>
              <w:rPr>
                <w:rFonts w:cs="Arial"/>
                <w:noProof w:val="0"/>
                <w:szCs w:val="16"/>
              </w:rPr>
            </w:pPr>
            <w:r w:rsidRPr="00D9348B">
              <w:rPr>
                <w:rFonts w:cs="Arial"/>
                <w:bCs/>
                <w:noProof w:val="0"/>
                <w:color w:val="000000"/>
                <w:szCs w:val="16"/>
              </w:rPr>
              <w:t xml:space="preserve">–29,897.0 </w:t>
            </w:r>
          </w:p>
        </w:tc>
        <w:tc>
          <w:tcPr>
            <w:tcW w:w="851" w:type="dxa"/>
            <w:tcBorders>
              <w:top w:val="nil"/>
              <w:left w:val="nil"/>
              <w:bottom w:val="single" w:sz="8" w:space="0" w:color="44546A"/>
              <w:right w:val="nil"/>
            </w:tcBorders>
            <w:shd w:val="clear" w:color="auto" w:fill="auto"/>
            <w:vAlign w:val="center"/>
            <w:hideMark/>
          </w:tcPr>
          <w:p w14:paraId="00B8C23C" w14:textId="77777777" w:rsidR="00B7613B" w:rsidRPr="00D9348B" w:rsidRDefault="00B7613B" w:rsidP="00DB330E">
            <w:pPr>
              <w:pStyle w:val="TableTextBold"/>
              <w:spacing w:before="50" w:after="50"/>
              <w:jc w:val="right"/>
              <w:rPr>
                <w:rFonts w:cs="Arial"/>
                <w:noProof w:val="0"/>
                <w:szCs w:val="16"/>
              </w:rPr>
            </w:pPr>
            <w:r w:rsidRPr="00D9348B">
              <w:rPr>
                <w:rFonts w:cs="Arial"/>
                <w:bCs/>
                <w:noProof w:val="0"/>
                <w:color w:val="000000"/>
                <w:szCs w:val="16"/>
              </w:rPr>
              <w:t xml:space="preserve">–29,088.2 </w:t>
            </w:r>
          </w:p>
        </w:tc>
        <w:tc>
          <w:tcPr>
            <w:tcW w:w="851" w:type="dxa"/>
            <w:tcBorders>
              <w:top w:val="nil"/>
              <w:left w:val="nil"/>
              <w:bottom w:val="single" w:sz="8" w:space="0" w:color="44546A"/>
              <w:right w:val="nil"/>
            </w:tcBorders>
            <w:vAlign w:val="center"/>
          </w:tcPr>
          <w:p w14:paraId="4B002BA6" w14:textId="77777777" w:rsidR="00B7613B" w:rsidRPr="00D9348B" w:rsidRDefault="00B7613B" w:rsidP="00DB330E">
            <w:pPr>
              <w:pStyle w:val="TableTextBold"/>
              <w:spacing w:before="50" w:after="50"/>
              <w:jc w:val="right"/>
              <w:rPr>
                <w:rFonts w:cs="Arial"/>
                <w:noProof w:val="0"/>
                <w:szCs w:val="16"/>
              </w:rPr>
            </w:pPr>
            <w:r w:rsidRPr="00D9348B">
              <w:rPr>
                <w:rFonts w:cs="Arial"/>
                <w:bCs/>
                <w:noProof w:val="0"/>
                <w:color w:val="000000"/>
                <w:szCs w:val="16"/>
              </w:rPr>
              <w:t xml:space="preserve">–28,949.2 </w:t>
            </w:r>
          </w:p>
        </w:tc>
        <w:tc>
          <w:tcPr>
            <w:tcW w:w="851" w:type="dxa"/>
            <w:tcBorders>
              <w:top w:val="nil"/>
              <w:left w:val="nil"/>
              <w:bottom w:val="single" w:sz="8" w:space="0" w:color="44546A"/>
              <w:right w:val="nil"/>
            </w:tcBorders>
            <w:vAlign w:val="center"/>
          </w:tcPr>
          <w:p w14:paraId="60974D74" w14:textId="77777777" w:rsidR="00B7613B" w:rsidRPr="00D9348B" w:rsidRDefault="00B7613B" w:rsidP="00DB330E">
            <w:pPr>
              <w:pStyle w:val="TableTextBold"/>
              <w:spacing w:before="50" w:after="50"/>
              <w:jc w:val="right"/>
              <w:rPr>
                <w:rFonts w:cs="Arial"/>
                <w:noProof w:val="0"/>
                <w:szCs w:val="16"/>
              </w:rPr>
            </w:pPr>
            <w:r w:rsidRPr="00D9348B">
              <w:rPr>
                <w:rFonts w:cs="Arial"/>
                <w:bCs/>
                <w:noProof w:val="0"/>
                <w:color w:val="000000"/>
                <w:szCs w:val="16"/>
              </w:rPr>
              <w:t xml:space="preserve">–29,346.0 </w:t>
            </w:r>
          </w:p>
        </w:tc>
      </w:tr>
      <w:tr w:rsidR="00B7613B" w:rsidRPr="00D9348B" w14:paraId="2044D38E" w14:textId="77777777" w:rsidTr="00FD3CFA">
        <w:tc>
          <w:tcPr>
            <w:tcW w:w="2665" w:type="dxa"/>
            <w:tcBorders>
              <w:top w:val="nil"/>
              <w:left w:val="nil"/>
              <w:bottom w:val="single" w:sz="8" w:space="0" w:color="44546A"/>
              <w:right w:val="nil"/>
            </w:tcBorders>
            <w:shd w:val="clear" w:color="auto" w:fill="auto"/>
            <w:vAlign w:val="center"/>
            <w:hideMark/>
          </w:tcPr>
          <w:p w14:paraId="73E42131" w14:textId="77777777" w:rsidR="00B7613B" w:rsidRPr="00D9348B" w:rsidRDefault="00B7613B" w:rsidP="00DB330E">
            <w:pPr>
              <w:pStyle w:val="Tableboldblue"/>
              <w:spacing w:before="50" w:after="50"/>
              <w:rPr>
                <w:lang w:eastAsia="en-NZ"/>
              </w:rPr>
            </w:pPr>
            <w:r w:rsidRPr="00D9348B">
              <w:rPr>
                <w:lang w:eastAsia="en-NZ"/>
              </w:rPr>
              <w:t>Accounting quantity (kt CO</w:t>
            </w:r>
            <w:r w:rsidRPr="00D9348B">
              <w:rPr>
                <w:vertAlign w:val="subscript"/>
                <w:lang w:eastAsia="en-NZ"/>
              </w:rPr>
              <w:t>2</w:t>
            </w:r>
            <w:r w:rsidRPr="00D9348B">
              <w:rPr>
                <w:lang w:eastAsia="en-NZ"/>
              </w:rPr>
              <w:t>-e)</w:t>
            </w:r>
          </w:p>
        </w:tc>
        <w:tc>
          <w:tcPr>
            <w:tcW w:w="851" w:type="dxa"/>
            <w:tcBorders>
              <w:top w:val="nil"/>
              <w:left w:val="nil"/>
              <w:bottom w:val="single" w:sz="8" w:space="0" w:color="44546A"/>
              <w:right w:val="nil"/>
            </w:tcBorders>
            <w:shd w:val="clear" w:color="auto" w:fill="auto"/>
            <w:vAlign w:val="center"/>
            <w:hideMark/>
          </w:tcPr>
          <w:p w14:paraId="11DA4AF7" w14:textId="77777777" w:rsidR="00B7613B" w:rsidRPr="00D9348B" w:rsidRDefault="00B7613B" w:rsidP="00DB330E">
            <w:pPr>
              <w:pStyle w:val="Tableboldblue"/>
              <w:spacing w:before="50" w:after="50"/>
              <w:jc w:val="right"/>
              <w:rPr>
                <w:rFonts w:cs="Arial"/>
                <w:szCs w:val="16"/>
                <w:lang w:eastAsia="en-NZ"/>
              </w:rPr>
            </w:pPr>
            <w:r w:rsidRPr="00D9348B">
              <w:rPr>
                <w:rFonts w:cs="Arial"/>
                <w:bCs/>
                <w:szCs w:val="16"/>
              </w:rPr>
              <w:t xml:space="preserve">–8,016.6 </w:t>
            </w:r>
          </w:p>
        </w:tc>
        <w:tc>
          <w:tcPr>
            <w:tcW w:w="851" w:type="dxa"/>
            <w:tcBorders>
              <w:top w:val="nil"/>
              <w:left w:val="nil"/>
              <w:bottom w:val="single" w:sz="8" w:space="0" w:color="44546A"/>
              <w:right w:val="nil"/>
            </w:tcBorders>
            <w:shd w:val="clear" w:color="auto" w:fill="auto"/>
            <w:vAlign w:val="center"/>
            <w:hideMark/>
          </w:tcPr>
          <w:p w14:paraId="7E7AAA70" w14:textId="77777777" w:rsidR="00B7613B" w:rsidRPr="00D9348B" w:rsidRDefault="00B7613B" w:rsidP="00DB330E">
            <w:pPr>
              <w:pStyle w:val="Tableboldblue"/>
              <w:spacing w:before="50" w:after="50"/>
              <w:jc w:val="right"/>
              <w:rPr>
                <w:rFonts w:cs="Arial"/>
                <w:szCs w:val="16"/>
                <w:lang w:eastAsia="en-NZ"/>
              </w:rPr>
            </w:pPr>
            <w:r w:rsidRPr="00D9348B">
              <w:rPr>
                <w:rFonts w:cs="Arial"/>
                <w:bCs/>
                <w:szCs w:val="16"/>
              </w:rPr>
              <w:t xml:space="preserve">–12,157.1 </w:t>
            </w:r>
          </w:p>
        </w:tc>
        <w:tc>
          <w:tcPr>
            <w:tcW w:w="851" w:type="dxa"/>
            <w:tcBorders>
              <w:top w:val="nil"/>
              <w:left w:val="nil"/>
              <w:bottom w:val="single" w:sz="8" w:space="0" w:color="44546A"/>
              <w:right w:val="nil"/>
            </w:tcBorders>
            <w:shd w:val="clear" w:color="auto" w:fill="auto"/>
            <w:vAlign w:val="center"/>
            <w:hideMark/>
          </w:tcPr>
          <w:p w14:paraId="42E97A2E" w14:textId="77777777" w:rsidR="00B7613B" w:rsidRPr="00D9348B" w:rsidRDefault="00B7613B" w:rsidP="00DB330E">
            <w:pPr>
              <w:pStyle w:val="Tableboldblue"/>
              <w:spacing w:before="50" w:after="50"/>
              <w:jc w:val="right"/>
              <w:rPr>
                <w:rFonts w:cs="Arial"/>
                <w:szCs w:val="16"/>
                <w:lang w:eastAsia="en-NZ"/>
              </w:rPr>
            </w:pPr>
            <w:r w:rsidRPr="00D9348B">
              <w:rPr>
                <w:rFonts w:cs="Arial"/>
                <w:bCs/>
                <w:szCs w:val="16"/>
              </w:rPr>
              <w:t xml:space="preserve">–14,426.6 </w:t>
            </w:r>
          </w:p>
        </w:tc>
        <w:tc>
          <w:tcPr>
            <w:tcW w:w="851" w:type="dxa"/>
            <w:tcBorders>
              <w:top w:val="nil"/>
              <w:left w:val="nil"/>
              <w:bottom w:val="single" w:sz="8" w:space="0" w:color="44546A"/>
              <w:right w:val="nil"/>
            </w:tcBorders>
            <w:shd w:val="clear" w:color="auto" w:fill="auto"/>
            <w:vAlign w:val="center"/>
            <w:hideMark/>
          </w:tcPr>
          <w:p w14:paraId="12011B58" w14:textId="77777777" w:rsidR="00B7613B" w:rsidRPr="00D9348B" w:rsidRDefault="00B7613B" w:rsidP="00DB330E">
            <w:pPr>
              <w:pStyle w:val="Tableboldblue"/>
              <w:spacing w:before="50" w:after="50"/>
              <w:jc w:val="right"/>
              <w:rPr>
                <w:rFonts w:cs="Arial"/>
                <w:szCs w:val="16"/>
                <w:lang w:eastAsia="en-NZ"/>
              </w:rPr>
            </w:pPr>
            <w:r w:rsidRPr="00D9348B">
              <w:rPr>
                <w:rFonts w:cs="Arial"/>
                <w:bCs/>
                <w:szCs w:val="16"/>
              </w:rPr>
              <w:t xml:space="preserve">–15,968.7 </w:t>
            </w:r>
          </w:p>
        </w:tc>
        <w:tc>
          <w:tcPr>
            <w:tcW w:w="851" w:type="dxa"/>
            <w:tcBorders>
              <w:top w:val="nil"/>
              <w:left w:val="nil"/>
              <w:bottom w:val="single" w:sz="8" w:space="0" w:color="44546A"/>
              <w:right w:val="nil"/>
            </w:tcBorders>
            <w:vAlign w:val="center"/>
          </w:tcPr>
          <w:p w14:paraId="4F82B045" w14:textId="77777777" w:rsidR="00B7613B" w:rsidRPr="00D9348B" w:rsidRDefault="00B7613B" w:rsidP="00DB330E">
            <w:pPr>
              <w:pStyle w:val="Tableboldblue"/>
              <w:spacing w:before="50" w:after="50"/>
              <w:jc w:val="right"/>
              <w:rPr>
                <w:rFonts w:cs="Arial"/>
                <w:szCs w:val="16"/>
              </w:rPr>
            </w:pPr>
            <w:r w:rsidRPr="00D9348B">
              <w:rPr>
                <w:rFonts w:cs="Arial"/>
                <w:bCs/>
                <w:szCs w:val="16"/>
              </w:rPr>
              <w:t xml:space="preserve">–15,813.2 </w:t>
            </w:r>
          </w:p>
        </w:tc>
        <w:tc>
          <w:tcPr>
            <w:tcW w:w="851" w:type="dxa"/>
            <w:tcBorders>
              <w:top w:val="nil"/>
              <w:left w:val="nil"/>
              <w:bottom w:val="single" w:sz="8" w:space="0" w:color="44546A"/>
              <w:right w:val="nil"/>
            </w:tcBorders>
            <w:vAlign w:val="center"/>
          </w:tcPr>
          <w:p w14:paraId="63B134D6" w14:textId="77777777" w:rsidR="00B7613B" w:rsidRPr="00D9348B" w:rsidRDefault="00B7613B" w:rsidP="00DB330E">
            <w:pPr>
              <w:pStyle w:val="Tableboldblue"/>
              <w:spacing w:before="50" w:after="50"/>
              <w:jc w:val="right"/>
              <w:rPr>
                <w:rFonts w:cs="Arial"/>
                <w:szCs w:val="16"/>
              </w:rPr>
            </w:pPr>
            <w:r w:rsidRPr="00D9348B">
              <w:rPr>
                <w:rFonts w:cs="Arial"/>
                <w:bCs/>
                <w:szCs w:val="16"/>
              </w:rPr>
              <w:t xml:space="preserve">–15,447.0 </w:t>
            </w:r>
          </w:p>
        </w:tc>
      </w:tr>
    </w:tbl>
    <w:p w14:paraId="0B74B1F3" w14:textId="77777777" w:rsidR="00B7613B" w:rsidRPr="00D9348B" w:rsidRDefault="00B7613B" w:rsidP="00B7613B">
      <w:pPr>
        <w:pStyle w:val="Noteundertable"/>
        <w:rPr>
          <w:szCs w:val="18"/>
        </w:rPr>
      </w:pPr>
      <w:r w:rsidRPr="00D9348B">
        <w:rPr>
          <w:b/>
          <w:szCs w:val="18"/>
        </w:rPr>
        <w:t>Note:</w:t>
      </w:r>
      <w:r w:rsidRPr="00D9348B">
        <w:rPr>
          <w:szCs w:val="18"/>
        </w:rPr>
        <w:t xml:space="preserve"> </w:t>
      </w:r>
      <w:r w:rsidRPr="00D9348B">
        <w:rPr>
          <w:szCs w:val="18"/>
        </w:rPr>
        <w:tab/>
      </w:r>
      <w:r w:rsidRPr="00D9348B">
        <w:t xml:space="preserve">ha = hectares; P = provisional figure (all figures for 2017 and 2018 are provisional). </w:t>
      </w:r>
      <w:r w:rsidRPr="00D9348B">
        <w:rPr>
          <w:szCs w:val="18"/>
        </w:rPr>
        <w:t xml:space="preserve">Where net emissions result in removals, they are expressed as a negative value as per section 2.2.3 of the IPCC Guidelines (IPCC, 2006). The accounting quantity excludes net emissions from forest management because these will be accounted for at the end of the commitment period against a forest management reference level and a cap will apply to limit credits. Columns may not total due to rounding. </w:t>
      </w:r>
      <w:r w:rsidRPr="00D9348B">
        <w:t>Afforestation and deforestation differs from that in chapter 6 due to carbon equivalent forests being reported separately.</w:t>
      </w:r>
    </w:p>
    <w:p w14:paraId="16DB7612" w14:textId="77777777" w:rsidR="00B7613B" w:rsidRPr="00D9348B" w:rsidRDefault="00B7613B" w:rsidP="00B7613B">
      <w:pPr>
        <w:pStyle w:val="Heading2"/>
        <w:spacing w:before="0" w:after="360"/>
      </w:pPr>
      <w:r w:rsidRPr="00D9348B">
        <w:br w:type="page"/>
      </w:r>
      <w:bookmarkStart w:id="298" w:name="_Toc448321504"/>
      <w:bookmarkStart w:id="299" w:name="_Toc511116581"/>
      <w:bookmarkStart w:id="300" w:name="_Toc5269343"/>
      <w:bookmarkStart w:id="301" w:name="_Toc36224383"/>
      <w:r w:rsidRPr="00D9348B">
        <w:lastRenderedPageBreak/>
        <w:t>Chapter 2: Reference</w:t>
      </w:r>
      <w:bookmarkEnd w:id="298"/>
      <w:bookmarkEnd w:id="299"/>
      <w:r w:rsidRPr="00D9348B">
        <w:t>s</w:t>
      </w:r>
      <w:bookmarkEnd w:id="300"/>
      <w:bookmarkEnd w:id="301"/>
    </w:p>
    <w:p w14:paraId="7C4D4C41" w14:textId="77777777" w:rsidR="00B7613B" w:rsidRPr="00D9348B" w:rsidRDefault="00B7613B" w:rsidP="00B7613B">
      <w:pPr>
        <w:pStyle w:val="References"/>
      </w:pPr>
      <w:r w:rsidRPr="00D9348B">
        <w:t>Beef + Lamb New Zealand Ltd. 2019. Mid-Season Update 2018–19. Report P19003. Wellington: Beef + Lamb New Zealand Ltd.</w:t>
      </w:r>
    </w:p>
    <w:p w14:paraId="3C7350E6" w14:textId="77777777" w:rsidR="00B7613B" w:rsidRPr="00D9348B" w:rsidRDefault="00B7613B" w:rsidP="00B7613B">
      <w:pPr>
        <w:pStyle w:val="References"/>
      </w:pPr>
      <w:r w:rsidRPr="00D9348B">
        <w:t xml:space="preserve">IPCC. 2006. Eggleston HS, Buendia L, Miwa K, Ngara T, Tanabe K (eds). </w:t>
      </w:r>
      <w:r w:rsidRPr="00D9348B">
        <w:rPr>
          <w:i/>
        </w:rPr>
        <w:t>2006 IPCC Guidelines for National Greenhouse Gas Inventories. Volume 5. Waste</w:t>
      </w:r>
      <w:r w:rsidRPr="00D9348B">
        <w:t xml:space="preserve">. IPCC National Greenhouse Gas Inventories Programme. Japan: Institute for Global Environmental Strategies for IPCC. </w:t>
      </w:r>
    </w:p>
    <w:p w14:paraId="2EF367FD" w14:textId="444C68E4" w:rsidR="00B7613B" w:rsidRPr="00D9348B" w:rsidRDefault="00B7613B" w:rsidP="00B7613B">
      <w:pPr>
        <w:pStyle w:val="References"/>
      </w:pPr>
      <w:r w:rsidRPr="00D9348B">
        <w:t xml:space="preserve">LIC (Livestock Improvement Corporation Limited) and DairyNZ. 2019. </w:t>
      </w:r>
      <w:r w:rsidRPr="00D9348B">
        <w:rPr>
          <w:i/>
          <w:iCs/>
        </w:rPr>
        <w:t xml:space="preserve">New Zealand Dairy Statistics </w:t>
      </w:r>
      <w:r w:rsidR="00BA11A9" w:rsidRPr="00D9348B">
        <w:rPr>
          <w:i/>
          <w:iCs/>
        </w:rPr>
        <w:br/>
      </w:r>
      <w:r w:rsidRPr="00D9348B">
        <w:rPr>
          <w:i/>
          <w:iCs/>
        </w:rPr>
        <w:t>2018–2019</w:t>
      </w:r>
      <w:r w:rsidRPr="00D9348B">
        <w:t>. Hamilton: DairyNZ. Retrieved from www.dairynz.co.nz/media/5792471/nz_dairy_statistics_2018-19_web_v2.pdf (7 January 2020).</w:t>
      </w:r>
    </w:p>
    <w:p w14:paraId="4AE925FB" w14:textId="77777777" w:rsidR="00B7613B" w:rsidRPr="00D9348B" w:rsidRDefault="00B7613B" w:rsidP="00B7613B">
      <w:pPr>
        <w:pStyle w:val="References"/>
      </w:pPr>
      <w:r w:rsidRPr="00D9348B">
        <w:t xml:space="preserve">Ministry for the Environment. 2016. </w:t>
      </w:r>
      <w:r w:rsidRPr="00D9348B">
        <w:rPr>
          <w:i/>
        </w:rPr>
        <w:t>New Zealand’s Initial Report to Facilitate the Calculation of its Emissions Budget for the Period 2013 to 2020</w:t>
      </w:r>
      <w:r w:rsidRPr="00D9348B">
        <w:t>. Wellington: Ministry for the Environment.</w:t>
      </w:r>
    </w:p>
    <w:p w14:paraId="6D62FC8D" w14:textId="77777777" w:rsidR="00B7613B" w:rsidRPr="00D9348B" w:rsidRDefault="00B7613B" w:rsidP="00B7613B">
      <w:pPr>
        <w:pStyle w:val="References"/>
      </w:pPr>
      <w:r w:rsidRPr="00D9348B">
        <w:rPr>
          <w:lang w:eastAsia="en-GB"/>
        </w:rPr>
        <w:t xml:space="preserve">Ministry of Business, Innovation and Employment. 2019. </w:t>
      </w:r>
      <w:r w:rsidRPr="00D9348B">
        <w:rPr>
          <w:i/>
          <w:iCs/>
          <w:lang w:eastAsia="en-GB"/>
        </w:rPr>
        <w:t>Energy in New Zealand</w:t>
      </w:r>
      <w:r w:rsidRPr="00D9348B">
        <w:rPr>
          <w:lang w:eastAsia="en-GB"/>
        </w:rPr>
        <w:t>. Wellington: Ministry of Business, Innovation and Employment.</w:t>
      </w:r>
    </w:p>
    <w:p w14:paraId="097F9C6B" w14:textId="77777777" w:rsidR="00B7613B" w:rsidRPr="00D9348B" w:rsidRDefault="00B7613B" w:rsidP="00B7613B">
      <w:pPr>
        <w:pStyle w:val="References"/>
      </w:pPr>
      <w:r w:rsidRPr="00D9348B">
        <w:t>Statistics New Zealand</w:t>
      </w:r>
      <w:r w:rsidRPr="00D9348B">
        <w:rPr>
          <w:i/>
        </w:rPr>
        <w:t xml:space="preserve">. </w:t>
      </w:r>
      <w:r w:rsidRPr="00D9348B">
        <w:t>2018</w:t>
      </w:r>
      <w:r w:rsidRPr="00D9348B">
        <w:rPr>
          <w:i/>
        </w:rPr>
        <w:t xml:space="preserve">. Agricultural Production Survey. </w:t>
      </w:r>
      <w:r w:rsidRPr="00D9348B">
        <w:t>Wellington: Statistics New Zealand.</w:t>
      </w:r>
    </w:p>
    <w:p w14:paraId="7FA07D9F" w14:textId="77777777" w:rsidR="00B7613B" w:rsidRPr="00D9348B" w:rsidRDefault="00B7613B" w:rsidP="00B7613B">
      <w:pPr>
        <w:pStyle w:val="References"/>
      </w:pPr>
    </w:p>
    <w:p w14:paraId="65B08FF4" w14:textId="418F6CC4" w:rsidR="00A02252" w:rsidRPr="00D9348B" w:rsidRDefault="00A02252" w:rsidP="00C4400C"/>
    <w:p w14:paraId="364C6EF9" w14:textId="2D4A2325" w:rsidR="00A02252" w:rsidRPr="00D9348B" w:rsidRDefault="00A02252" w:rsidP="00C4400C"/>
    <w:p w14:paraId="058B9A99" w14:textId="77777777" w:rsidR="00C15758" w:rsidRPr="00D9348B" w:rsidRDefault="00C15758" w:rsidP="00E20138">
      <w:pPr>
        <w:pStyle w:val="Heading1"/>
        <w:rPr>
          <w:rFonts w:cs="Calibri"/>
          <w:lang w:eastAsia="en-GB"/>
        </w:rPr>
        <w:sectPr w:rsidR="00C15758" w:rsidRPr="00D9348B" w:rsidSect="00156D4F">
          <w:footerReference w:type="even" r:id="rId61"/>
          <w:pgSz w:w="11907" w:h="16840" w:code="9"/>
          <w:pgMar w:top="1418" w:right="1701" w:bottom="1418" w:left="1701" w:header="567" w:footer="567" w:gutter="0"/>
          <w:cols w:space="720"/>
        </w:sectPr>
      </w:pPr>
      <w:bookmarkStart w:id="302" w:name="_Toc384581633"/>
      <w:bookmarkStart w:id="303" w:name="_Toc448321505"/>
      <w:bookmarkStart w:id="304" w:name="_Toc481751367"/>
    </w:p>
    <w:p w14:paraId="3732A9AE" w14:textId="460D4136" w:rsidR="00E20138" w:rsidRPr="00D9348B" w:rsidRDefault="00E20138" w:rsidP="00E20138">
      <w:pPr>
        <w:pStyle w:val="Heading1"/>
        <w:rPr>
          <w:rFonts w:cs="Calibri"/>
          <w:lang w:eastAsia="en-GB"/>
        </w:rPr>
      </w:pPr>
      <w:bookmarkStart w:id="305" w:name="_Toc36224384"/>
      <w:r w:rsidRPr="00D9348B">
        <w:rPr>
          <w:rFonts w:cs="Calibri"/>
          <w:lang w:eastAsia="en-GB"/>
        </w:rPr>
        <w:lastRenderedPageBreak/>
        <w:t>Chapter 3: Energy</w:t>
      </w:r>
      <w:bookmarkEnd w:id="302"/>
      <w:bookmarkEnd w:id="303"/>
      <w:bookmarkEnd w:id="304"/>
      <w:bookmarkEnd w:id="305"/>
    </w:p>
    <w:p w14:paraId="2DA45C9E" w14:textId="77777777" w:rsidR="00E20138" w:rsidRPr="00D9348B" w:rsidRDefault="00E20138" w:rsidP="00E20138">
      <w:pPr>
        <w:pStyle w:val="Heading2"/>
        <w:spacing w:before="240"/>
        <w:rPr>
          <w:rFonts w:cs="Calibri"/>
        </w:rPr>
      </w:pPr>
      <w:bookmarkStart w:id="306" w:name="_Toc321398808"/>
      <w:bookmarkStart w:id="307" w:name="_Toc384581634"/>
      <w:bookmarkStart w:id="308" w:name="_Toc448321506"/>
      <w:bookmarkStart w:id="309" w:name="_Toc481751368"/>
      <w:bookmarkStart w:id="310" w:name="_Toc36224385"/>
      <w:r w:rsidRPr="00D9348B">
        <w:rPr>
          <w:rFonts w:cs="Calibri"/>
        </w:rPr>
        <w:t>3.1</w:t>
      </w:r>
      <w:r w:rsidRPr="00D9348B">
        <w:rPr>
          <w:rFonts w:cs="Calibri"/>
        </w:rPr>
        <w:tab/>
        <w:t>Sector overview</w:t>
      </w:r>
      <w:bookmarkEnd w:id="306"/>
      <w:bookmarkEnd w:id="307"/>
      <w:bookmarkEnd w:id="308"/>
      <w:bookmarkEnd w:id="309"/>
      <w:bookmarkEnd w:id="310"/>
    </w:p>
    <w:p w14:paraId="1581DC2A" w14:textId="77777777" w:rsidR="00E20138" w:rsidRPr="00D9348B" w:rsidRDefault="00E20138" w:rsidP="00FD3CFA">
      <w:pPr>
        <w:pStyle w:val="Heading3"/>
        <w:spacing w:before="160"/>
        <w:rPr>
          <w:rFonts w:cs="Calibri"/>
        </w:rPr>
      </w:pPr>
      <w:r w:rsidRPr="00D9348B">
        <w:rPr>
          <w:rFonts w:cs="Calibri"/>
        </w:rPr>
        <w:t>3.1.1</w:t>
      </w:r>
      <w:r w:rsidRPr="00D9348B">
        <w:rPr>
          <w:rFonts w:cs="Calibri"/>
        </w:rPr>
        <w:tab/>
        <w:t>Introduction</w:t>
      </w:r>
    </w:p>
    <w:p w14:paraId="31E7E4AA" w14:textId="77777777" w:rsidR="00E20138" w:rsidRPr="00D9348B" w:rsidRDefault="00E20138" w:rsidP="00E20138">
      <w:pPr>
        <w:pStyle w:val="BodyText"/>
        <w:spacing w:after="100"/>
        <w:rPr>
          <w:rFonts w:cs="Calibri"/>
        </w:rPr>
      </w:pPr>
      <w:r w:rsidRPr="00D9348B">
        <w:rPr>
          <w:rFonts w:cs="Calibri"/>
        </w:rPr>
        <w:t xml:space="preserve">In New Zealand, the Energy sector covers both: </w:t>
      </w:r>
    </w:p>
    <w:p w14:paraId="283C2A72" w14:textId="77777777" w:rsidR="00E20138" w:rsidRPr="00D9348B" w:rsidRDefault="00E20138" w:rsidP="00E20138">
      <w:pPr>
        <w:pStyle w:val="Bullet"/>
        <w:tabs>
          <w:tab w:val="clear" w:pos="567"/>
        </w:tabs>
        <w:rPr>
          <w:rFonts w:cs="Calibri"/>
        </w:rPr>
      </w:pPr>
      <w:r w:rsidRPr="00D9348B">
        <w:rPr>
          <w:rFonts w:cs="Calibri"/>
        </w:rPr>
        <w:t xml:space="preserve">combustion emissions resulting from fuel being burned to produce useful energy </w:t>
      </w:r>
    </w:p>
    <w:p w14:paraId="27352557" w14:textId="77777777" w:rsidR="00E20138" w:rsidRPr="00D9348B" w:rsidRDefault="00E20138" w:rsidP="00E20138">
      <w:pPr>
        <w:pStyle w:val="Bullet"/>
        <w:tabs>
          <w:tab w:val="clear" w:pos="567"/>
        </w:tabs>
        <w:rPr>
          <w:rFonts w:cs="Calibri"/>
        </w:rPr>
      </w:pPr>
      <w:r w:rsidRPr="00D9348B">
        <w:rPr>
          <w:rFonts w:cs="Calibri"/>
        </w:rPr>
        <w:t>fugitive emissions, for example: </w:t>
      </w:r>
    </w:p>
    <w:p w14:paraId="3CE650D9" w14:textId="77777777" w:rsidR="00E20138" w:rsidRPr="00D9348B" w:rsidRDefault="00E20138" w:rsidP="00E20138">
      <w:pPr>
        <w:pStyle w:val="Sub-bullet"/>
        <w:spacing w:after="100"/>
        <w:rPr>
          <w:rFonts w:cs="Calibri"/>
        </w:rPr>
      </w:pPr>
      <w:r w:rsidRPr="00D9348B">
        <w:rPr>
          <w:rFonts w:cs="Calibri"/>
        </w:rPr>
        <w:t xml:space="preserve">production, transmission and storage of fuels </w:t>
      </w:r>
    </w:p>
    <w:p w14:paraId="6AB8714B" w14:textId="77777777" w:rsidR="00E20138" w:rsidRPr="00D9348B" w:rsidRDefault="00E20138" w:rsidP="00E20138">
      <w:pPr>
        <w:pStyle w:val="Sub-bullet"/>
        <w:spacing w:after="100"/>
        <w:rPr>
          <w:rFonts w:cs="Calibri"/>
        </w:rPr>
      </w:pPr>
      <w:r w:rsidRPr="00D9348B">
        <w:rPr>
          <w:rFonts w:cs="Calibri"/>
        </w:rPr>
        <w:t xml:space="preserve">non-productive combustion </w:t>
      </w:r>
    </w:p>
    <w:p w14:paraId="40DF29A1" w14:textId="77777777" w:rsidR="00E20138" w:rsidRPr="00D9348B" w:rsidRDefault="00E20138" w:rsidP="00E20138">
      <w:pPr>
        <w:pStyle w:val="Sub-bullet"/>
        <w:spacing w:after="100"/>
        <w:rPr>
          <w:rFonts w:cs="Calibri"/>
        </w:rPr>
      </w:pPr>
      <w:r w:rsidRPr="00D9348B">
        <w:rPr>
          <w:rFonts w:cs="Calibri"/>
        </w:rPr>
        <w:t>venting of carbon dioxide (CO</w:t>
      </w:r>
      <w:r w:rsidRPr="00D9348B">
        <w:rPr>
          <w:rFonts w:cs="Calibri"/>
          <w:vertAlign w:val="subscript"/>
        </w:rPr>
        <w:t>2</w:t>
      </w:r>
      <w:r w:rsidRPr="00D9348B">
        <w:rPr>
          <w:rFonts w:cs="Calibri"/>
        </w:rPr>
        <w:t>) at natural gas treatment plants</w:t>
      </w:r>
    </w:p>
    <w:p w14:paraId="4C4CE818" w14:textId="77777777" w:rsidR="00E20138" w:rsidRPr="00D9348B" w:rsidRDefault="00E20138" w:rsidP="00E20138">
      <w:pPr>
        <w:pStyle w:val="Sub-bullet"/>
        <w:rPr>
          <w:rFonts w:cs="Calibri"/>
        </w:rPr>
      </w:pPr>
      <w:proofErr w:type="gramStart"/>
      <w:r w:rsidRPr="00D9348B">
        <w:rPr>
          <w:rFonts w:cs="Calibri"/>
        </w:rPr>
        <w:t>emissions</w:t>
      </w:r>
      <w:proofErr w:type="gramEnd"/>
      <w:r w:rsidRPr="00D9348B">
        <w:rPr>
          <w:rFonts w:cs="Calibri"/>
        </w:rPr>
        <w:t xml:space="preserve"> from geothermal fields. </w:t>
      </w:r>
    </w:p>
    <w:p w14:paraId="3D70BC0F" w14:textId="77777777" w:rsidR="00E20138" w:rsidRPr="00D9348B" w:rsidRDefault="00E20138" w:rsidP="00E20138">
      <w:pPr>
        <w:pStyle w:val="BodyText"/>
        <w:spacing w:before="100" w:after="100"/>
        <w:rPr>
          <w:rFonts w:cs="Calibri"/>
        </w:rPr>
      </w:pPr>
      <w:r w:rsidRPr="00D9348B">
        <w:rPr>
          <w:rFonts w:cs="Calibri"/>
        </w:rPr>
        <w:t xml:space="preserve">Historically, combustion emissions from </w:t>
      </w:r>
      <w:r w:rsidRPr="00D9348B">
        <w:rPr>
          <w:rFonts w:cs="Calibri"/>
          <w:i/>
        </w:rPr>
        <w:t>Road transportation</w:t>
      </w:r>
      <w:r w:rsidRPr="00D9348B">
        <w:rPr>
          <w:rFonts w:cs="Calibri"/>
        </w:rPr>
        <w:t xml:space="preserve"> and </w:t>
      </w:r>
      <w:r w:rsidRPr="00D9348B">
        <w:rPr>
          <w:rFonts w:cs="Calibri"/>
          <w:i/>
        </w:rPr>
        <w:t>Public electricity and heat production</w:t>
      </w:r>
      <w:r w:rsidRPr="00D9348B">
        <w:rPr>
          <w:rFonts w:cs="Calibri"/>
        </w:rPr>
        <w:t xml:space="preserve"> constituted the largest share of domestic emissions from the Energy sector in New Zealand. New Zealand has one of the highest rates of car ownership among members of the Organisation for Economic Co-operation and Development (OECD) and a relatively old vehicle fleet (average age of light passenger fleet was approximately 14 years in 2017). Most freight is transported by trucks, with smaller quantities transported by rail and coastal shipping. </w:t>
      </w:r>
    </w:p>
    <w:p w14:paraId="28EB4F09" w14:textId="77777777" w:rsidR="00E20138" w:rsidRPr="00D9348B" w:rsidRDefault="00E20138" w:rsidP="00E20138">
      <w:pPr>
        <w:pStyle w:val="BodyText"/>
        <w:spacing w:before="100" w:after="100"/>
        <w:rPr>
          <w:rFonts w:cs="Calibri"/>
        </w:rPr>
      </w:pPr>
      <w:r w:rsidRPr="00D9348B">
        <w:rPr>
          <w:rFonts w:cs="Calibri"/>
        </w:rPr>
        <w:t>Due to its sparse population and rural-based economy, New Zealand’s domestic transport emissions per capita are high, when compared with many other Annex I countries.</w:t>
      </w:r>
    </w:p>
    <w:p w14:paraId="6643DFF6" w14:textId="6369E0AF" w:rsidR="00E20138" w:rsidRPr="00D9348B" w:rsidRDefault="00E20138" w:rsidP="00E20138">
      <w:pPr>
        <w:pStyle w:val="BodyText"/>
        <w:spacing w:before="100" w:after="100"/>
        <w:rPr>
          <w:rFonts w:cs="Calibri"/>
        </w:rPr>
      </w:pPr>
      <w:r w:rsidRPr="00D9348B">
        <w:rPr>
          <w:rFonts w:cs="Calibri"/>
        </w:rPr>
        <w:t>Electricity generation from the combustion of coal, oil and gas supports New Zealand’s highly renewable electricity system. In 2018, fossil fuel thermal plants provided 16 per cent of New</w:t>
      </w:r>
      <w:r w:rsidR="00DB5613" w:rsidRPr="00D9348B">
        <w:rPr>
          <w:rFonts w:cs="Calibri"/>
        </w:rPr>
        <w:t> </w:t>
      </w:r>
      <w:r w:rsidRPr="00D9348B">
        <w:rPr>
          <w:rFonts w:cs="Calibri"/>
        </w:rPr>
        <w:t>Zealand’s total electricity supply, which is very low by international standards. This is due to the high proportion of demand met by hydro generation, as well as other renewable sources such as geothermal and wind. While this provides a strong base in good hydro years, electricity emissions remain sensitive to rainfall in the key catchment areas. New Zealand has low levels of hydro lake storage, compared with other countries where hydro features prominently in their electricity supply.</w:t>
      </w:r>
    </w:p>
    <w:p w14:paraId="54F3DC73" w14:textId="77777777" w:rsidR="00E20138" w:rsidRPr="00D9348B" w:rsidRDefault="00E20138" w:rsidP="00E20138">
      <w:pPr>
        <w:pStyle w:val="BodyText"/>
        <w:spacing w:before="100" w:after="100"/>
        <w:rPr>
          <w:rFonts w:cs="Calibri"/>
        </w:rPr>
      </w:pPr>
      <w:r w:rsidRPr="00D9348B">
        <w:rPr>
          <w:rFonts w:cs="Calibri"/>
        </w:rPr>
        <w:t>Fugitive emissions present a relatively minor portion of New Zealand’s energy emissions profile. The main sources of New Zealand’s fugitive emissions include coal mining operations, production and processing of natural gas (largely venting and flaring) and geothermal operations (largely for electricity generation).</w:t>
      </w:r>
    </w:p>
    <w:p w14:paraId="2A5CF9D3" w14:textId="77777777" w:rsidR="00E20138" w:rsidRPr="00D9348B" w:rsidRDefault="00E20138" w:rsidP="00E20138">
      <w:pPr>
        <w:pStyle w:val="BodyText"/>
        <w:spacing w:before="100" w:after="100"/>
        <w:rPr>
          <w:rFonts w:cs="Calibri"/>
          <w:sz w:val="19"/>
          <w:szCs w:val="19"/>
        </w:rPr>
      </w:pPr>
      <w:r w:rsidRPr="00D9348B">
        <w:rPr>
          <w:rFonts w:cs="Calibri"/>
        </w:rPr>
        <w:t>New Zealand reports emissions from Tokelau, which is a dependent territory of New Zealand. Emissions from Tokelau for all activities are reported in chapter 8 and annex 7 of the National Inventory Report, and within the ‘Other’ sector in the common reporting format (CRF) tables. This is due to the significantly different methods applied and prohibitive complexity of integrating emissions within the main sectors. Therefore, all emissions reported in this sector are from New Zealand excluding Tokelau. Please refer to chapter 8 of the National Inventory Report for details of methods applied and the emissions for Tokelau.</w:t>
      </w:r>
    </w:p>
    <w:p w14:paraId="4BE8E985" w14:textId="77777777" w:rsidR="00E20138" w:rsidRPr="00D9348B" w:rsidRDefault="00E20138" w:rsidP="00E20138">
      <w:pPr>
        <w:pStyle w:val="Heading5"/>
        <w:rPr>
          <w:rFonts w:cs="Calibri"/>
        </w:rPr>
      </w:pPr>
      <w:r w:rsidRPr="00D9348B">
        <w:rPr>
          <w:rFonts w:cs="Calibri"/>
        </w:rPr>
        <w:lastRenderedPageBreak/>
        <w:t>2018</w:t>
      </w:r>
    </w:p>
    <w:p w14:paraId="4153734D" w14:textId="77777777" w:rsidR="00E20138" w:rsidRPr="00D9348B" w:rsidRDefault="00E20138" w:rsidP="00E20138">
      <w:pPr>
        <w:pStyle w:val="BodyText"/>
        <w:rPr>
          <w:rFonts w:cs="Calibri"/>
        </w:rPr>
      </w:pPr>
      <w:r w:rsidRPr="00D9348B">
        <w:rPr>
          <w:rFonts w:cs="Calibri"/>
        </w:rPr>
        <w:t>In 2018, the Energy sector produced 31,946.2 kilotonnes carbon dioxide equivalent (kt CO</w:t>
      </w:r>
      <w:r w:rsidRPr="00D9348B">
        <w:rPr>
          <w:rFonts w:cs="Calibri"/>
          <w:vertAlign w:val="subscript"/>
        </w:rPr>
        <w:t>2</w:t>
      </w:r>
      <w:r w:rsidRPr="00D9348B">
        <w:rPr>
          <w:rFonts w:cs="Calibri"/>
        </w:rPr>
        <w:t xml:space="preserve">-e) emissions, representing 40.5 per cent of New Zealand’s gross greenhouse gas emissions. The largest sources of emissions in the Energy sector were </w:t>
      </w:r>
      <w:r w:rsidRPr="00D9348B">
        <w:rPr>
          <w:rFonts w:cs="Calibri"/>
          <w:i/>
        </w:rPr>
        <w:t>Road transportation</w:t>
      </w:r>
      <w:r w:rsidRPr="00D9348B">
        <w:rPr>
          <w:rFonts w:cs="Calibri"/>
        </w:rPr>
        <w:t>, contributing 15,070.9 kt CO</w:t>
      </w:r>
      <w:r w:rsidRPr="00D9348B">
        <w:rPr>
          <w:rFonts w:cs="Calibri"/>
          <w:vertAlign w:val="subscript"/>
        </w:rPr>
        <w:t>2</w:t>
      </w:r>
      <w:r w:rsidRPr="00D9348B">
        <w:rPr>
          <w:rFonts w:cs="Calibri"/>
        </w:rPr>
        <w:t xml:space="preserve">-e (47.2 per cent), and </w:t>
      </w:r>
      <w:r w:rsidRPr="00D9348B">
        <w:rPr>
          <w:rFonts w:cs="Calibri"/>
          <w:i/>
        </w:rPr>
        <w:t>Public electricity and heat production</w:t>
      </w:r>
      <w:r w:rsidRPr="00D9348B">
        <w:rPr>
          <w:rFonts w:cs="Calibri"/>
        </w:rPr>
        <w:t>, contributing 3,310.8 kt CO</w:t>
      </w:r>
      <w:r w:rsidRPr="00D9348B">
        <w:rPr>
          <w:rFonts w:cs="Calibri"/>
          <w:vertAlign w:val="subscript"/>
        </w:rPr>
        <w:t>2</w:t>
      </w:r>
      <w:r w:rsidRPr="00D9348B">
        <w:rPr>
          <w:rFonts w:cs="Calibri"/>
        </w:rPr>
        <w:t>-e (10.4 per cent) to energy emissions.</w:t>
      </w:r>
    </w:p>
    <w:p w14:paraId="397B1E99" w14:textId="77777777" w:rsidR="00E20138" w:rsidRPr="00D9348B" w:rsidRDefault="00E20138" w:rsidP="00E20138">
      <w:pPr>
        <w:pStyle w:val="Heading5"/>
        <w:rPr>
          <w:rFonts w:cs="Calibri"/>
          <w:lang w:eastAsia="en-GB"/>
        </w:rPr>
      </w:pPr>
      <w:r w:rsidRPr="00D9348B">
        <w:rPr>
          <w:rFonts w:cs="Calibri"/>
          <w:lang w:eastAsia="en-GB"/>
        </w:rPr>
        <w:t>1990–</w:t>
      </w:r>
      <w:r w:rsidRPr="00D9348B">
        <w:rPr>
          <w:rFonts w:cs="Calibri"/>
        </w:rPr>
        <w:t>2018</w:t>
      </w:r>
    </w:p>
    <w:p w14:paraId="4351B451" w14:textId="3231ACF2" w:rsidR="00E20138" w:rsidRPr="00D9348B" w:rsidRDefault="00E20138" w:rsidP="00E20138">
      <w:pPr>
        <w:pStyle w:val="BodyText"/>
        <w:rPr>
          <w:rFonts w:cs="Calibri"/>
        </w:rPr>
      </w:pPr>
      <w:r w:rsidRPr="00D9348B">
        <w:rPr>
          <w:rFonts w:cs="Calibri"/>
        </w:rPr>
        <w:t>In 2018, emissions from the Energy sector were 34.3 per cent higher (8,167.8 kt) than the 1990 level of 23,778.3 kt CO</w:t>
      </w:r>
      <w:r w:rsidRPr="00D9348B">
        <w:rPr>
          <w:rFonts w:cs="Calibri"/>
          <w:vertAlign w:val="subscript"/>
        </w:rPr>
        <w:t>2</w:t>
      </w:r>
      <w:r w:rsidRPr="00D9348B">
        <w:rPr>
          <w:rFonts w:cs="Calibri"/>
        </w:rPr>
        <w:t xml:space="preserve">-e. This growth in emissions is primarily from </w:t>
      </w:r>
      <w:r w:rsidRPr="00D9348B">
        <w:rPr>
          <w:rFonts w:cs="Calibri"/>
          <w:i/>
        </w:rPr>
        <w:t>Road transportation</w:t>
      </w:r>
      <w:r w:rsidRPr="00D9348B">
        <w:rPr>
          <w:rFonts w:cs="Calibri"/>
        </w:rPr>
        <w:t>, which increased by 7,595.6 kt CO</w:t>
      </w:r>
      <w:r w:rsidRPr="00D9348B">
        <w:rPr>
          <w:rFonts w:cs="Calibri"/>
          <w:vertAlign w:val="subscript"/>
        </w:rPr>
        <w:t>2</w:t>
      </w:r>
      <w:r w:rsidRPr="00D9348B">
        <w:rPr>
          <w:rFonts w:cs="Calibri"/>
        </w:rPr>
        <w:t xml:space="preserve">-e (101.6 per cent), </w:t>
      </w:r>
      <w:r w:rsidRPr="00D9348B">
        <w:rPr>
          <w:rFonts w:cs="Calibri"/>
          <w:i/>
        </w:rPr>
        <w:t>Chemicals</w:t>
      </w:r>
      <w:r w:rsidRPr="00D9348B">
        <w:rPr>
          <w:rFonts w:cs="Calibri"/>
        </w:rPr>
        <w:t>, which increased by 708.6 kt</w:t>
      </w:r>
      <w:r w:rsidR="009A3AA4" w:rsidRPr="00D9348B">
        <w:rPr>
          <w:rFonts w:cs="Calibri"/>
        </w:rPr>
        <w:t xml:space="preserve"> </w:t>
      </w:r>
      <w:r w:rsidRPr="00D9348B">
        <w:rPr>
          <w:rFonts w:cs="Calibri"/>
        </w:rPr>
        <w:t>CO</w:t>
      </w:r>
      <w:r w:rsidRPr="00D9348B">
        <w:rPr>
          <w:rFonts w:cs="Calibri"/>
          <w:vertAlign w:val="subscript"/>
        </w:rPr>
        <w:t>2</w:t>
      </w:r>
      <w:r w:rsidRPr="00D9348B">
        <w:rPr>
          <w:rFonts w:cs="Calibri"/>
        </w:rPr>
        <w:t xml:space="preserve">-e (129.0 per cent), and </w:t>
      </w:r>
      <w:r w:rsidRPr="00D9348B">
        <w:rPr>
          <w:rFonts w:cs="Calibri"/>
          <w:i/>
        </w:rPr>
        <w:t>Food processing, beverages and tobacco</w:t>
      </w:r>
      <w:r w:rsidRPr="00D9348B">
        <w:rPr>
          <w:rFonts w:cs="Calibri"/>
        </w:rPr>
        <w:t>, which increased</w:t>
      </w:r>
      <w:r w:rsidR="009A3AA4" w:rsidRPr="00D9348B">
        <w:rPr>
          <w:rFonts w:cs="Calibri"/>
        </w:rPr>
        <w:t xml:space="preserve"> </w:t>
      </w:r>
      <w:r w:rsidRPr="00D9348B">
        <w:rPr>
          <w:rFonts w:cs="Calibri"/>
        </w:rPr>
        <w:t>by 1,249.7</w:t>
      </w:r>
      <w:r w:rsidR="009A3AA4" w:rsidRPr="00D9348B">
        <w:rPr>
          <w:rFonts w:cs="Calibri"/>
        </w:rPr>
        <w:t> </w:t>
      </w:r>
      <w:r w:rsidRPr="00D9348B">
        <w:rPr>
          <w:rFonts w:cs="Calibri"/>
        </w:rPr>
        <w:t>kt CO</w:t>
      </w:r>
      <w:r w:rsidRPr="00D9348B">
        <w:rPr>
          <w:rFonts w:cs="Calibri"/>
          <w:vertAlign w:val="subscript"/>
        </w:rPr>
        <w:t>2</w:t>
      </w:r>
      <w:r w:rsidRPr="00D9348B">
        <w:rPr>
          <w:rFonts w:cs="Calibri"/>
        </w:rPr>
        <w:t xml:space="preserve">-e (75.4 per cent). In 2018, emissions from 1.A.1.c </w:t>
      </w:r>
      <w:r w:rsidRPr="00D9348B">
        <w:rPr>
          <w:rFonts w:cs="Calibri"/>
          <w:i/>
        </w:rPr>
        <w:t>Manufacture of solid fuels and other energy industries</w:t>
      </w:r>
      <w:r w:rsidRPr="00D9348B">
        <w:rPr>
          <w:rFonts w:cs="Calibri"/>
        </w:rPr>
        <w:t xml:space="preserve"> were much lower than the 1990 level, by 1,464.1 kt CO</w:t>
      </w:r>
      <w:r w:rsidRPr="00D9348B">
        <w:rPr>
          <w:rFonts w:cs="Calibri"/>
          <w:vertAlign w:val="subscript"/>
        </w:rPr>
        <w:t>2</w:t>
      </w:r>
      <w:r w:rsidR="009A3AA4" w:rsidRPr="00D9348B">
        <w:rPr>
          <w:rFonts w:cs="Calibri"/>
        </w:rPr>
        <w:noBreakHyphen/>
      </w:r>
      <w:r w:rsidRPr="00D9348B">
        <w:rPr>
          <w:rFonts w:cs="Calibri"/>
        </w:rPr>
        <w:t>e (85.</w:t>
      </w:r>
      <w:r w:rsidR="009A3AA4" w:rsidRPr="00D9348B">
        <w:rPr>
          <w:rFonts w:cs="Calibri"/>
        </w:rPr>
        <w:t>0 </w:t>
      </w:r>
      <w:r w:rsidRPr="00D9348B">
        <w:rPr>
          <w:rFonts w:cs="Calibri"/>
        </w:rPr>
        <w:t>per cent). This decrease is primarily due to the cessation of synthetic gasoline production in 1997.</w:t>
      </w:r>
    </w:p>
    <w:p w14:paraId="307F4E02" w14:textId="77777777" w:rsidR="00E20138" w:rsidRPr="00D9348B" w:rsidRDefault="00E20138" w:rsidP="00E20138">
      <w:pPr>
        <w:pStyle w:val="BodyText"/>
        <w:rPr>
          <w:rFonts w:cs="Calibri"/>
        </w:rPr>
      </w:pPr>
      <w:r w:rsidRPr="00D9348B">
        <w:rPr>
          <w:rFonts w:cs="Calibri"/>
        </w:rPr>
        <w:t>Figure 3.1.1 shows the time series from 1990 to 2018. Emissions increased until around 2005, after which there has been a general decline.</w:t>
      </w:r>
    </w:p>
    <w:p w14:paraId="1EE0809D" w14:textId="77777777" w:rsidR="00E20138" w:rsidRPr="00D9348B" w:rsidRDefault="00E20138" w:rsidP="00E20138">
      <w:pPr>
        <w:pStyle w:val="Figure"/>
        <w:rPr>
          <w:rFonts w:cs="Calibri"/>
        </w:rPr>
      </w:pPr>
      <w:bookmarkStart w:id="311" w:name="_Toc443060810"/>
      <w:bookmarkStart w:id="312" w:name="_Toc447275667"/>
      <w:bookmarkStart w:id="313" w:name="_Toc481751984"/>
      <w:bookmarkStart w:id="314" w:name="_Toc36292768"/>
      <w:r w:rsidRPr="00D9348B">
        <w:rPr>
          <w:rFonts w:cs="Calibri"/>
        </w:rPr>
        <w:t>Figure 3.1.</w:t>
      </w:r>
      <w:r w:rsidRPr="00D9348B">
        <w:rPr>
          <w:rFonts w:cs="Calibri"/>
        </w:rPr>
        <w:fldChar w:fldCharType="begin"/>
      </w:r>
      <w:r w:rsidRPr="00D9348B">
        <w:rPr>
          <w:rFonts w:cs="Calibri"/>
        </w:rPr>
        <w:instrText xml:space="preserve"> SEQ Figure \* ARABIC \s 2 </w:instrText>
      </w:r>
      <w:r w:rsidRPr="00D9348B">
        <w:rPr>
          <w:rFonts w:cs="Calibri"/>
        </w:rPr>
        <w:fldChar w:fldCharType="separate"/>
      </w:r>
      <w:r w:rsidRPr="00D9348B">
        <w:rPr>
          <w:rFonts w:cs="Calibri"/>
        </w:rPr>
        <w:t>1</w:t>
      </w:r>
      <w:r w:rsidRPr="00D9348B">
        <w:rPr>
          <w:rFonts w:cs="Calibri"/>
        </w:rPr>
        <w:fldChar w:fldCharType="end"/>
      </w:r>
      <w:r w:rsidRPr="00D9348B">
        <w:rPr>
          <w:rFonts w:cs="Calibri"/>
        </w:rPr>
        <w:tab/>
        <w:t>New Zealand’s Energy sector emissions</w:t>
      </w:r>
      <w:bookmarkEnd w:id="311"/>
      <w:bookmarkEnd w:id="312"/>
      <w:bookmarkEnd w:id="313"/>
      <w:r w:rsidRPr="00D9348B">
        <w:rPr>
          <w:rFonts w:cs="Calibri"/>
        </w:rPr>
        <w:t xml:space="preserve"> (1990–2018)</w:t>
      </w:r>
      <w:bookmarkEnd w:id="314"/>
    </w:p>
    <w:p w14:paraId="25B2D15E" w14:textId="7D3E9F87" w:rsidR="00E20138" w:rsidRPr="00D9348B" w:rsidRDefault="007165CF" w:rsidP="00E20138">
      <w:pPr>
        <w:pStyle w:val="BodyText"/>
        <w:spacing w:before="0" w:after="0"/>
        <w:rPr>
          <w:rFonts w:cs="Calibri"/>
        </w:rPr>
      </w:pPr>
      <w:r>
        <w:rPr>
          <w:rFonts w:cs="Calibri"/>
        </w:rPr>
        <w:pict w14:anchorId="03DE2BB0">
          <v:shape id="_x0000_i1048" type="#_x0000_t75" style="width:390.7pt;height:198.45pt;visibility:visible;mso-wrap-style:square">
            <v:imagedata r:id="rId62" o:title="fig_3_1_1_energy_emissions" cropleft="1042f"/>
          </v:shape>
        </w:pict>
      </w:r>
    </w:p>
    <w:p w14:paraId="5816BDD1" w14:textId="77777777" w:rsidR="00E20138" w:rsidRPr="00D9348B" w:rsidRDefault="00E20138" w:rsidP="00E20138">
      <w:pPr>
        <w:pStyle w:val="Heading5"/>
        <w:spacing w:before="360"/>
        <w:rPr>
          <w:rFonts w:cs="Calibri"/>
        </w:rPr>
      </w:pPr>
      <w:r w:rsidRPr="00D9348B">
        <w:rPr>
          <w:rFonts w:cs="Calibri"/>
        </w:rPr>
        <w:t>2017–2018</w:t>
      </w:r>
    </w:p>
    <w:p w14:paraId="7B7CDD61" w14:textId="77777777" w:rsidR="00E20138" w:rsidRPr="00D9348B" w:rsidRDefault="00E20138" w:rsidP="00E20138">
      <w:pPr>
        <w:pStyle w:val="BodyText"/>
        <w:rPr>
          <w:rFonts w:cs="Calibri"/>
          <w:lang w:eastAsia="en-GB"/>
        </w:rPr>
      </w:pPr>
      <w:r w:rsidRPr="00D9348B">
        <w:rPr>
          <w:rFonts w:cs="Calibri"/>
          <w:lang w:eastAsia="en-GB"/>
        </w:rPr>
        <w:t xml:space="preserve">Between </w:t>
      </w:r>
      <w:r w:rsidRPr="00D9348B">
        <w:rPr>
          <w:rFonts w:cs="Calibri"/>
        </w:rPr>
        <w:t xml:space="preserve">2017 </w:t>
      </w:r>
      <w:r w:rsidRPr="00D9348B">
        <w:rPr>
          <w:rFonts w:cs="Calibri"/>
          <w:lang w:eastAsia="en-GB"/>
        </w:rPr>
        <w:t xml:space="preserve">and </w:t>
      </w:r>
      <w:r w:rsidRPr="00D9348B">
        <w:rPr>
          <w:rFonts w:cs="Calibri"/>
        </w:rPr>
        <w:t>2018</w:t>
      </w:r>
      <w:r w:rsidRPr="00D9348B">
        <w:rPr>
          <w:rFonts w:cs="Calibri"/>
          <w:lang w:eastAsia="en-GB"/>
        </w:rPr>
        <w:t>, emissions from the Energy sector decreased by</w:t>
      </w:r>
      <w:r w:rsidRPr="00D9348B">
        <w:rPr>
          <w:rFonts w:cs="Calibri"/>
        </w:rPr>
        <w:t xml:space="preserve"> 1,058.4 </w:t>
      </w:r>
      <w:r w:rsidRPr="00D9348B">
        <w:rPr>
          <w:rFonts w:cs="Calibri"/>
          <w:lang w:eastAsia="en-GB"/>
        </w:rPr>
        <w:t>kt CO</w:t>
      </w:r>
      <w:r w:rsidRPr="00D9348B">
        <w:rPr>
          <w:rFonts w:cs="Calibri"/>
          <w:vertAlign w:val="subscript"/>
          <w:lang w:eastAsia="en-GB"/>
        </w:rPr>
        <w:t>2</w:t>
      </w:r>
      <w:r w:rsidRPr="00D9348B">
        <w:rPr>
          <w:rFonts w:cs="Calibri"/>
          <w:lang w:eastAsia="en-GB"/>
        </w:rPr>
        <w:noBreakHyphen/>
        <w:t>e (</w:t>
      </w:r>
      <w:r w:rsidRPr="00D9348B">
        <w:rPr>
          <w:rFonts w:cs="Calibri"/>
        </w:rPr>
        <w:t>3.2 per cent</w:t>
      </w:r>
      <w:r w:rsidRPr="00D9348B">
        <w:rPr>
          <w:rFonts w:cs="Calibri"/>
          <w:lang w:eastAsia="en-GB"/>
        </w:rPr>
        <w:t xml:space="preserve">). This is primarily due to emissions from category 1.A.2.c </w:t>
      </w:r>
      <w:r w:rsidRPr="00D9348B">
        <w:rPr>
          <w:rFonts w:cs="Calibri"/>
          <w:i/>
          <w:lang w:eastAsia="en-GB"/>
        </w:rPr>
        <w:t>Chemicals</w:t>
      </w:r>
      <w:r w:rsidRPr="00D9348B">
        <w:rPr>
          <w:rFonts w:cs="Calibri"/>
          <w:lang w:eastAsia="en-GB"/>
        </w:rPr>
        <w:t xml:space="preserve">, which decreased by </w:t>
      </w:r>
      <w:r w:rsidRPr="00D9348B">
        <w:rPr>
          <w:rFonts w:cs="Calibri"/>
        </w:rPr>
        <w:t xml:space="preserve">472.6 </w:t>
      </w:r>
      <w:r w:rsidRPr="00D9348B">
        <w:rPr>
          <w:rFonts w:cs="Calibri"/>
          <w:lang w:eastAsia="en-GB"/>
        </w:rPr>
        <w:t>kt CO</w:t>
      </w:r>
      <w:r w:rsidRPr="00D9348B">
        <w:rPr>
          <w:rFonts w:cs="Calibri"/>
          <w:vertAlign w:val="subscript"/>
          <w:lang w:eastAsia="en-GB"/>
        </w:rPr>
        <w:t>2</w:t>
      </w:r>
      <w:r w:rsidRPr="00D9348B">
        <w:rPr>
          <w:rFonts w:cs="Calibri"/>
          <w:lang w:eastAsia="en-GB"/>
        </w:rPr>
        <w:t>-e (</w:t>
      </w:r>
      <w:r w:rsidRPr="00D9348B">
        <w:rPr>
          <w:rFonts w:cs="Calibri"/>
        </w:rPr>
        <w:t>27.3 per cent</w:t>
      </w:r>
      <w:r w:rsidRPr="00D9348B">
        <w:rPr>
          <w:rFonts w:cs="Calibri"/>
          <w:lang w:eastAsia="en-GB"/>
        </w:rPr>
        <w:t xml:space="preserve">). The decrease was partially offset by an increase from category 1.A.3.b </w:t>
      </w:r>
      <w:r w:rsidRPr="00D9348B">
        <w:rPr>
          <w:rFonts w:cs="Calibri"/>
          <w:i/>
          <w:lang w:eastAsia="en-GB"/>
        </w:rPr>
        <w:t>Road transport</w:t>
      </w:r>
      <w:r w:rsidRPr="00D9348B">
        <w:rPr>
          <w:rFonts w:cs="Calibri"/>
          <w:lang w:eastAsia="en-GB"/>
        </w:rPr>
        <w:t xml:space="preserve">, which </w:t>
      </w:r>
      <w:r w:rsidRPr="00D9348B">
        <w:rPr>
          <w:rFonts w:cs="Calibri"/>
        </w:rPr>
        <w:t>increased by 295.2 kt</w:t>
      </w:r>
      <w:r w:rsidRPr="00D9348B">
        <w:rPr>
          <w:rFonts w:cs="Calibri"/>
          <w:lang w:eastAsia="en-GB"/>
        </w:rPr>
        <w:t xml:space="preserve"> CO</w:t>
      </w:r>
      <w:r w:rsidRPr="00D9348B">
        <w:rPr>
          <w:rFonts w:cs="Calibri"/>
          <w:vertAlign w:val="subscript"/>
          <w:lang w:eastAsia="en-GB"/>
        </w:rPr>
        <w:t>2</w:t>
      </w:r>
      <w:r w:rsidRPr="00D9348B">
        <w:rPr>
          <w:rFonts w:cs="Calibri"/>
          <w:lang w:eastAsia="en-GB"/>
        </w:rPr>
        <w:t>-e (</w:t>
      </w:r>
      <w:r w:rsidRPr="00D9348B">
        <w:rPr>
          <w:rFonts w:cs="Calibri"/>
        </w:rPr>
        <w:t>2.0 per cent</w:t>
      </w:r>
      <w:r w:rsidRPr="00D9348B">
        <w:rPr>
          <w:rFonts w:cs="Calibri"/>
          <w:lang w:eastAsia="en-GB"/>
        </w:rPr>
        <w:t>).</w:t>
      </w:r>
    </w:p>
    <w:p w14:paraId="0045C602" w14:textId="77777777" w:rsidR="00E20138" w:rsidRPr="00D9348B" w:rsidRDefault="00E20138" w:rsidP="00E20138">
      <w:pPr>
        <w:pStyle w:val="BodyText"/>
        <w:rPr>
          <w:rFonts w:cs="Calibri"/>
        </w:rPr>
      </w:pPr>
      <w:r w:rsidRPr="00D9348B">
        <w:rPr>
          <w:rFonts w:cs="Calibri"/>
          <w:lang w:eastAsia="en-GB"/>
        </w:rPr>
        <w:t>There was also a 305.4</w:t>
      </w:r>
      <w:r w:rsidRPr="00D9348B">
        <w:rPr>
          <w:rFonts w:cs="Calibri"/>
        </w:rPr>
        <w:t xml:space="preserve"> </w:t>
      </w:r>
      <w:r w:rsidRPr="00D9348B">
        <w:rPr>
          <w:rFonts w:cs="Calibri"/>
          <w:lang w:eastAsia="en-GB"/>
        </w:rPr>
        <w:t>kt CO</w:t>
      </w:r>
      <w:r w:rsidRPr="00D9348B">
        <w:rPr>
          <w:rFonts w:cs="Calibri"/>
          <w:szCs w:val="14"/>
          <w:vertAlign w:val="subscript"/>
          <w:lang w:eastAsia="en-GB"/>
        </w:rPr>
        <w:t>2</w:t>
      </w:r>
      <w:r w:rsidRPr="00D9348B">
        <w:rPr>
          <w:rFonts w:cs="Calibri"/>
          <w:lang w:eastAsia="en-GB"/>
        </w:rPr>
        <w:t>-e (</w:t>
      </w:r>
      <w:r w:rsidRPr="00D9348B">
        <w:rPr>
          <w:rFonts w:cs="Calibri"/>
        </w:rPr>
        <w:t>8.4 per cent</w:t>
      </w:r>
      <w:r w:rsidRPr="00D9348B">
        <w:rPr>
          <w:rFonts w:cs="Calibri"/>
          <w:lang w:eastAsia="en-GB"/>
        </w:rPr>
        <w:t xml:space="preserve">) decrease in emissions for category 1.A.1.a </w:t>
      </w:r>
      <w:r w:rsidRPr="00D9348B">
        <w:rPr>
          <w:rFonts w:cs="Calibri"/>
          <w:i/>
          <w:lang w:eastAsia="en-GB"/>
        </w:rPr>
        <w:t>Public electricity and heat production</w:t>
      </w:r>
      <w:r w:rsidRPr="00D9348B">
        <w:rPr>
          <w:rFonts w:cs="Calibri"/>
          <w:lang w:eastAsia="en-GB"/>
        </w:rPr>
        <w:t>. This was primarily due to a decrease in natural gas-fired generation in response to higher levels of hydro generation</w:t>
      </w:r>
      <w:r w:rsidRPr="00D9348B">
        <w:rPr>
          <w:rFonts w:cs="Calibri"/>
          <w:i/>
        </w:rPr>
        <w:t>.</w:t>
      </w:r>
    </w:p>
    <w:p w14:paraId="0FC9E045" w14:textId="77777777" w:rsidR="00E20138" w:rsidRPr="00D9348B" w:rsidRDefault="00E20138" w:rsidP="00E20138">
      <w:pPr>
        <w:pStyle w:val="Heading3"/>
        <w:rPr>
          <w:rFonts w:cs="Calibri"/>
        </w:rPr>
      </w:pPr>
      <w:r w:rsidRPr="00D9348B">
        <w:rPr>
          <w:rFonts w:cs="Calibri"/>
        </w:rPr>
        <w:lastRenderedPageBreak/>
        <w:t>3.1.2</w:t>
      </w:r>
      <w:r w:rsidRPr="00D9348B">
        <w:rPr>
          <w:rFonts w:cs="Calibri"/>
        </w:rPr>
        <w:tab/>
        <w:t>Key categories for Energy sector emissions</w:t>
      </w:r>
    </w:p>
    <w:p w14:paraId="4EAD6A9E" w14:textId="77777777" w:rsidR="00E20138" w:rsidRPr="00D9348B" w:rsidRDefault="00E20138" w:rsidP="00E20138">
      <w:pPr>
        <w:pStyle w:val="BodyText"/>
        <w:rPr>
          <w:rFonts w:cs="Calibri"/>
        </w:rPr>
      </w:pPr>
      <w:r w:rsidRPr="00D9348B">
        <w:rPr>
          <w:rFonts w:cs="Calibri"/>
        </w:rPr>
        <w:t>Details of New Zealand’s key category analysis are in chapter 1, section 1.5. The key categories in the Energy sector are listed in table 3.1.1.</w:t>
      </w:r>
    </w:p>
    <w:p w14:paraId="6DE01667" w14:textId="77777777" w:rsidR="00E20138" w:rsidRPr="00D9348B" w:rsidRDefault="00E20138" w:rsidP="00E20138">
      <w:pPr>
        <w:pStyle w:val="Table"/>
        <w:rPr>
          <w:rFonts w:cs="Calibri"/>
        </w:rPr>
      </w:pPr>
      <w:bookmarkStart w:id="315" w:name="_Toc451176060"/>
      <w:bookmarkStart w:id="316" w:name="_Toc481751486"/>
      <w:bookmarkStart w:id="317" w:name="_Toc507496588"/>
      <w:bookmarkStart w:id="318" w:name="_Toc36224522"/>
      <w:bookmarkStart w:id="319" w:name="_Toc384582165"/>
      <w:bookmarkStart w:id="320" w:name="_Toc443060844"/>
      <w:r w:rsidRPr="00D9348B">
        <w:rPr>
          <w:rFonts w:cs="Calibri"/>
        </w:rPr>
        <w:t xml:space="preserve">Table 3.1.1 </w:t>
      </w:r>
      <w:r w:rsidRPr="00D9348B">
        <w:rPr>
          <w:rFonts w:cs="Calibri"/>
        </w:rPr>
        <w:tab/>
        <w:t>Key categories in the Energy sector</w:t>
      </w:r>
      <w:bookmarkEnd w:id="315"/>
      <w:bookmarkEnd w:id="316"/>
      <w:bookmarkEnd w:id="317"/>
      <w:bookmarkEnd w:id="318"/>
    </w:p>
    <w:tbl>
      <w:tblPr>
        <w:tblW w:w="8505" w:type="dxa"/>
        <w:tblInd w:w="113" w:type="dxa"/>
        <w:tblBorders>
          <w:top w:val="single" w:sz="4" w:space="0" w:color="365F91"/>
          <w:bottom w:val="single" w:sz="4" w:space="0" w:color="365F91"/>
          <w:insideH w:val="single" w:sz="4" w:space="0" w:color="365F91"/>
          <w:insideV w:val="single" w:sz="4" w:space="0" w:color="365F91"/>
        </w:tblBorders>
        <w:tblLayout w:type="fixed"/>
        <w:tblLook w:val="04A0" w:firstRow="1" w:lastRow="0" w:firstColumn="1" w:lastColumn="0" w:noHBand="0" w:noVBand="1"/>
      </w:tblPr>
      <w:tblGrid>
        <w:gridCol w:w="1093"/>
        <w:gridCol w:w="5589"/>
        <w:gridCol w:w="669"/>
        <w:gridCol w:w="1154"/>
      </w:tblGrid>
      <w:tr w:rsidR="00E20138" w:rsidRPr="00D9348B" w14:paraId="1A2C4355" w14:textId="77777777" w:rsidTr="00FD3CFA">
        <w:trPr>
          <w:tblHeader/>
        </w:trPr>
        <w:tc>
          <w:tcPr>
            <w:tcW w:w="1021" w:type="dxa"/>
            <w:shd w:val="clear" w:color="auto" w:fill="365F91"/>
            <w:noWrap/>
            <w:vAlign w:val="bottom"/>
            <w:hideMark/>
          </w:tcPr>
          <w:p w14:paraId="48C86C1F" w14:textId="77777777" w:rsidR="00E20138" w:rsidRPr="00D9348B" w:rsidRDefault="00E20138" w:rsidP="00DB330E">
            <w:pPr>
              <w:pStyle w:val="TableTextBold"/>
              <w:keepNext/>
              <w:spacing w:before="40"/>
              <w:rPr>
                <w:rFonts w:cs="Calibri"/>
                <w:noProof w:val="0"/>
                <w:color w:val="FFFFFF"/>
              </w:rPr>
            </w:pPr>
            <w:r w:rsidRPr="00D9348B">
              <w:rPr>
                <w:rFonts w:cs="Calibri"/>
                <w:noProof w:val="0"/>
                <w:color w:val="FFFFFF"/>
              </w:rPr>
              <w:t>CRF category code</w:t>
            </w:r>
          </w:p>
        </w:tc>
        <w:tc>
          <w:tcPr>
            <w:tcW w:w="5216" w:type="dxa"/>
            <w:shd w:val="clear" w:color="auto" w:fill="365F91"/>
            <w:noWrap/>
            <w:vAlign w:val="bottom"/>
            <w:hideMark/>
          </w:tcPr>
          <w:p w14:paraId="4BE8C118" w14:textId="77777777" w:rsidR="00E20138" w:rsidRPr="00D9348B" w:rsidRDefault="00E20138" w:rsidP="00DB330E">
            <w:pPr>
              <w:pStyle w:val="TableTextBold"/>
              <w:keepNext/>
              <w:spacing w:before="40"/>
              <w:rPr>
                <w:rFonts w:cs="Calibri"/>
                <w:noProof w:val="0"/>
                <w:color w:val="FFFFFF"/>
              </w:rPr>
            </w:pPr>
            <w:r w:rsidRPr="00D9348B">
              <w:rPr>
                <w:rFonts w:cs="Calibri"/>
                <w:noProof w:val="0"/>
                <w:color w:val="FFFFFF"/>
              </w:rPr>
              <w:t>IPCC categories</w:t>
            </w:r>
          </w:p>
        </w:tc>
        <w:tc>
          <w:tcPr>
            <w:tcW w:w="624" w:type="dxa"/>
            <w:shd w:val="clear" w:color="auto" w:fill="365F91"/>
            <w:noWrap/>
            <w:vAlign w:val="bottom"/>
            <w:hideMark/>
          </w:tcPr>
          <w:p w14:paraId="3B449BC6" w14:textId="77777777" w:rsidR="00E20138" w:rsidRPr="00D9348B" w:rsidRDefault="00E20138" w:rsidP="00DB330E">
            <w:pPr>
              <w:pStyle w:val="TableTextBold"/>
              <w:keepNext/>
              <w:spacing w:before="40"/>
              <w:jc w:val="center"/>
              <w:rPr>
                <w:rFonts w:cs="Calibri"/>
                <w:noProof w:val="0"/>
                <w:color w:val="FFFFFF"/>
              </w:rPr>
            </w:pPr>
            <w:r w:rsidRPr="00D9348B">
              <w:rPr>
                <w:rFonts w:cs="Calibri"/>
                <w:noProof w:val="0"/>
                <w:color w:val="FFFFFF"/>
              </w:rPr>
              <w:t>Gas</w:t>
            </w:r>
          </w:p>
        </w:tc>
        <w:tc>
          <w:tcPr>
            <w:tcW w:w="1077" w:type="dxa"/>
            <w:shd w:val="clear" w:color="auto" w:fill="365F91"/>
            <w:noWrap/>
            <w:vAlign w:val="bottom"/>
            <w:hideMark/>
          </w:tcPr>
          <w:p w14:paraId="5218BD8A" w14:textId="77777777" w:rsidR="00E20138" w:rsidRPr="00D9348B" w:rsidRDefault="00E20138" w:rsidP="00DB330E">
            <w:pPr>
              <w:pStyle w:val="TableTextBold"/>
              <w:keepNext/>
              <w:spacing w:before="40"/>
              <w:rPr>
                <w:rFonts w:cs="Calibri"/>
                <w:noProof w:val="0"/>
                <w:color w:val="FFFFFF"/>
              </w:rPr>
            </w:pPr>
            <w:r w:rsidRPr="00D9348B">
              <w:rPr>
                <w:rFonts w:cs="Calibri"/>
                <w:noProof w:val="0"/>
                <w:color w:val="FFFFFF"/>
              </w:rPr>
              <w:t>Criteria for identification</w:t>
            </w:r>
          </w:p>
        </w:tc>
      </w:tr>
      <w:tr w:rsidR="00E20138" w:rsidRPr="00D9348B" w14:paraId="585B0F79" w14:textId="77777777" w:rsidTr="00FD3CFA">
        <w:tc>
          <w:tcPr>
            <w:tcW w:w="1021" w:type="dxa"/>
            <w:shd w:val="clear" w:color="auto" w:fill="auto"/>
            <w:noWrap/>
            <w:hideMark/>
          </w:tcPr>
          <w:p w14:paraId="2F1FD272" w14:textId="77777777" w:rsidR="00E20138" w:rsidRPr="00D9348B" w:rsidRDefault="00E20138" w:rsidP="00DB330E">
            <w:pPr>
              <w:pStyle w:val="TableText"/>
              <w:keepNext/>
              <w:spacing w:before="40"/>
              <w:rPr>
                <w:rFonts w:cs="Calibri"/>
              </w:rPr>
            </w:pPr>
            <w:r w:rsidRPr="00D9348B">
              <w:rPr>
                <w:rFonts w:cs="Calibri"/>
                <w:color w:val="000000"/>
              </w:rPr>
              <w:t>1.A.1.a</w:t>
            </w:r>
          </w:p>
        </w:tc>
        <w:tc>
          <w:tcPr>
            <w:tcW w:w="5216" w:type="dxa"/>
            <w:shd w:val="clear" w:color="auto" w:fill="auto"/>
            <w:noWrap/>
            <w:hideMark/>
          </w:tcPr>
          <w:p w14:paraId="72D92C96" w14:textId="77777777" w:rsidR="00E20138" w:rsidRPr="00D9348B" w:rsidRDefault="00E20138" w:rsidP="00DB330E">
            <w:pPr>
              <w:pStyle w:val="TableText"/>
              <w:spacing w:before="40"/>
              <w:rPr>
                <w:rFonts w:cs="Calibri"/>
              </w:rPr>
            </w:pPr>
            <w:r w:rsidRPr="00D9348B">
              <w:rPr>
                <w:rFonts w:cs="Calibri"/>
                <w:color w:val="000000"/>
              </w:rPr>
              <w:t>Energy Industries – Public Electricity and Heat Production Gaseous Fuels</w:t>
            </w:r>
          </w:p>
        </w:tc>
        <w:tc>
          <w:tcPr>
            <w:tcW w:w="624" w:type="dxa"/>
            <w:shd w:val="clear" w:color="auto" w:fill="auto"/>
            <w:noWrap/>
            <w:hideMark/>
          </w:tcPr>
          <w:p w14:paraId="10907A25" w14:textId="77777777" w:rsidR="00E20138" w:rsidRPr="00D9348B" w:rsidRDefault="00E20138" w:rsidP="00DB330E">
            <w:pPr>
              <w:pStyle w:val="TableText"/>
              <w:spacing w:before="40"/>
              <w:jc w:val="center"/>
              <w:rPr>
                <w:rFonts w:cs="Calibri"/>
              </w:rPr>
            </w:pPr>
            <w:r w:rsidRPr="00D9348B">
              <w:rPr>
                <w:rFonts w:cs="Calibri"/>
                <w:color w:val="000000"/>
              </w:rPr>
              <w:t>CO</w:t>
            </w:r>
            <w:r w:rsidRPr="00D9348B">
              <w:rPr>
                <w:rFonts w:cs="Calibri"/>
                <w:color w:val="000000"/>
                <w:vertAlign w:val="subscript"/>
              </w:rPr>
              <w:t>2</w:t>
            </w:r>
          </w:p>
        </w:tc>
        <w:tc>
          <w:tcPr>
            <w:tcW w:w="1077" w:type="dxa"/>
            <w:shd w:val="clear" w:color="auto" w:fill="auto"/>
            <w:noWrap/>
            <w:hideMark/>
          </w:tcPr>
          <w:p w14:paraId="11AA9677" w14:textId="77777777" w:rsidR="00E20138" w:rsidRPr="00D9348B" w:rsidRDefault="00E20138" w:rsidP="00DB330E">
            <w:pPr>
              <w:pStyle w:val="TableText"/>
              <w:spacing w:before="40"/>
              <w:rPr>
                <w:rFonts w:cs="Calibri"/>
              </w:rPr>
            </w:pPr>
            <w:r w:rsidRPr="00D9348B">
              <w:rPr>
                <w:rFonts w:cs="Calibri"/>
                <w:color w:val="000000"/>
              </w:rPr>
              <w:t>L1, T1</w:t>
            </w:r>
          </w:p>
        </w:tc>
      </w:tr>
      <w:tr w:rsidR="00E20138" w:rsidRPr="00D9348B" w14:paraId="1D50AAA1" w14:textId="77777777" w:rsidTr="00FD3CFA">
        <w:tc>
          <w:tcPr>
            <w:tcW w:w="1021" w:type="dxa"/>
            <w:shd w:val="clear" w:color="auto" w:fill="auto"/>
            <w:noWrap/>
            <w:hideMark/>
          </w:tcPr>
          <w:p w14:paraId="386D704C" w14:textId="77777777" w:rsidR="00E20138" w:rsidRPr="00D9348B" w:rsidRDefault="00E20138" w:rsidP="00DB330E">
            <w:pPr>
              <w:pStyle w:val="TableText"/>
              <w:keepNext/>
              <w:spacing w:before="40"/>
              <w:rPr>
                <w:rFonts w:cs="Calibri"/>
              </w:rPr>
            </w:pPr>
            <w:r w:rsidRPr="00D9348B">
              <w:rPr>
                <w:rFonts w:cs="Calibri"/>
                <w:color w:val="000000"/>
              </w:rPr>
              <w:t>1.A.1.a</w:t>
            </w:r>
          </w:p>
        </w:tc>
        <w:tc>
          <w:tcPr>
            <w:tcW w:w="5216" w:type="dxa"/>
            <w:shd w:val="clear" w:color="auto" w:fill="auto"/>
            <w:noWrap/>
            <w:hideMark/>
          </w:tcPr>
          <w:p w14:paraId="5979D732" w14:textId="77777777" w:rsidR="00E20138" w:rsidRPr="00D9348B" w:rsidRDefault="00E20138" w:rsidP="00DB330E">
            <w:pPr>
              <w:pStyle w:val="TableText"/>
              <w:spacing w:before="40"/>
              <w:rPr>
                <w:rFonts w:cs="Calibri"/>
              </w:rPr>
            </w:pPr>
            <w:r w:rsidRPr="00D9348B">
              <w:rPr>
                <w:rFonts w:cs="Calibri"/>
                <w:color w:val="000000"/>
              </w:rPr>
              <w:t>Energy Industries – Public Electricity and Heat Production Solid Fuels</w:t>
            </w:r>
          </w:p>
        </w:tc>
        <w:tc>
          <w:tcPr>
            <w:tcW w:w="624" w:type="dxa"/>
            <w:shd w:val="clear" w:color="auto" w:fill="auto"/>
            <w:noWrap/>
            <w:hideMark/>
          </w:tcPr>
          <w:p w14:paraId="32416CDC" w14:textId="77777777" w:rsidR="00E20138" w:rsidRPr="00D9348B" w:rsidRDefault="00E20138" w:rsidP="00DB330E">
            <w:pPr>
              <w:pStyle w:val="TableText"/>
              <w:spacing w:before="40"/>
              <w:jc w:val="center"/>
              <w:rPr>
                <w:rFonts w:cs="Calibri"/>
              </w:rPr>
            </w:pPr>
            <w:r w:rsidRPr="00D9348B">
              <w:rPr>
                <w:rFonts w:cs="Calibri"/>
                <w:color w:val="000000"/>
              </w:rPr>
              <w:t>CO</w:t>
            </w:r>
            <w:r w:rsidRPr="00D9348B">
              <w:rPr>
                <w:rFonts w:cs="Calibri"/>
                <w:color w:val="000000"/>
                <w:vertAlign w:val="subscript"/>
              </w:rPr>
              <w:t>2</w:t>
            </w:r>
          </w:p>
        </w:tc>
        <w:tc>
          <w:tcPr>
            <w:tcW w:w="1077" w:type="dxa"/>
            <w:shd w:val="clear" w:color="auto" w:fill="auto"/>
            <w:noWrap/>
            <w:hideMark/>
          </w:tcPr>
          <w:p w14:paraId="12FA09A5" w14:textId="77777777" w:rsidR="00E20138" w:rsidRPr="00D9348B" w:rsidRDefault="00E20138" w:rsidP="00DB330E">
            <w:pPr>
              <w:pStyle w:val="TableText"/>
              <w:spacing w:before="40"/>
              <w:rPr>
                <w:rFonts w:cs="Calibri"/>
              </w:rPr>
            </w:pPr>
            <w:r w:rsidRPr="00D9348B">
              <w:rPr>
                <w:rFonts w:cs="Calibri"/>
                <w:color w:val="000000"/>
              </w:rPr>
              <w:t>L1, T1</w:t>
            </w:r>
          </w:p>
        </w:tc>
      </w:tr>
      <w:tr w:rsidR="00E20138" w:rsidRPr="00D9348B" w14:paraId="4A4687CB" w14:textId="77777777" w:rsidTr="00FD3CFA">
        <w:tc>
          <w:tcPr>
            <w:tcW w:w="1021" w:type="dxa"/>
            <w:shd w:val="clear" w:color="auto" w:fill="auto"/>
            <w:noWrap/>
            <w:hideMark/>
          </w:tcPr>
          <w:p w14:paraId="3AAE91FE" w14:textId="77777777" w:rsidR="00E20138" w:rsidRPr="00D9348B" w:rsidRDefault="00E20138" w:rsidP="00DB330E">
            <w:pPr>
              <w:pStyle w:val="TableText"/>
              <w:spacing w:before="40"/>
              <w:rPr>
                <w:rFonts w:cs="Calibri"/>
              </w:rPr>
            </w:pPr>
            <w:r w:rsidRPr="00D9348B">
              <w:rPr>
                <w:rFonts w:cs="Calibri"/>
                <w:color w:val="000000"/>
              </w:rPr>
              <w:t>1.A.1.b</w:t>
            </w:r>
          </w:p>
        </w:tc>
        <w:tc>
          <w:tcPr>
            <w:tcW w:w="5216" w:type="dxa"/>
            <w:shd w:val="clear" w:color="auto" w:fill="auto"/>
            <w:noWrap/>
            <w:hideMark/>
          </w:tcPr>
          <w:p w14:paraId="56239D41" w14:textId="77777777" w:rsidR="00E20138" w:rsidRPr="00D9348B" w:rsidRDefault="00E20138" w:rsidP="00DB330E">
            <w:pPr>
              <w:pStyle w:val="TableText"/>
              <w:spacing w:before="40"/>
              <w:rPr>
                <w:rFonts w:cs="Calibri"/>
              </w:rPr>
            </w:pPr>
            <w:r w:rsidRPr="00D9348B">
              <w:rPr>
                <w:rFonts w:cs="Calibri"/>
                <w:color w:val="000000"/>
              </w:rPr>
              <w:t>Energy Industries – Petroleum Refining Liquid Fuels</w:t>
            </w:r>
          </w:p>
        </w:tc>
        <w:tc>
          <w:tcPr>
            <w:tcW w:w="624" w:type="dxa"/>
            <w:shd w:val="clear" w:color="auto" w:fill="auto"/>
            <w:noWrap/>
            <w:hideMark/>
          </w:tcPr>
          <w:p w14:paraId="2F54BA9B" w14:textId="77777777" w:rsidR="00E20138" w:rsidRPr="00D9348B" w:rsidRDefault="00E20138" w:rsidP="00DB330E">
            <w:pPr>
              <w:pStyle w:val="TableText"/>
              <w:spacing w:before="40"/>
              <w:jc w:val="center"/>
              <w:rPr>
                <w:rFonts w:cs="Calibri"/>
              </w:rPr>
            </w:pPr>
            <w:r w:rsidRPr="00D9348B">
              <w:rPr>
                <w:rFonts w:cs="Calibri"/>
                <w:color w:val="000000"/>
              </w:rPr>
              <w:t>CO</w:t>
            </w:r>
            <w:r w:rsidRPr="00D9348B">
              <w:rPr>
                <w:rFonts w:cs="Calibri"/>
                <w:color w:val="000000"/>
                <w:vertAlign w:val="subscript"/>
              </w:rPr>
              <w:t>2</w:t>
            </w:r>
          </w:p>
        </w:tc>
        <w:tc>
          <w:tcPr>
            <w:tcW w:w="1077" w:type="dxa"/>
            <w:shd w:val="clear" w:color="auto" w:fill="auto"/>
            <w:noWrap/>
            <w:hideMark/>
          </w:tcPr>
          <w:p w14:paraId="608786AD" w14:textId="77777777" w:rsidR="00E20138" w:rsidRPr="00D9348B" w:rsidRDefault="00E20138" w:rsidP="00DB330E">
            <w:pPr>
              <w:pStyle w:val="TableText"/>
              <w:spacing w:before="40"/>
              <w:rPr>
                <w:rFonts w:cs="Calibri"/>
              </w:rPr>
            </w:pPr>
            <w:r w:rsidRPr="00D9348B">
              <w:rPr>
                <w:rFonts w:cs="Calibri"/>
                <w:color w:val="000000"/>
              </w:rPr>
              <w:t>L1, T1</w:t>
            </w:r>
          </w:p>
        </w:tc>
      </w:tr>
      <w:tr w:rsidR="00E20138" w:rsidRPr="00D9348B" w14:paraId="7BC3F813" w14:textId="77777777" w:rsidTr="00FD3CFA">
        <w:tc>
          <w:tcPr>
            <w:tcW w:w="1021" w:type="dxa"/>
            <w:shd w:val="clear" w:color="auto" w:fill="auto"/>
            <w:noWrap/>
            <w:hideMark/>
          </w:tcPr>
          <w:p w14:paraId="0ED454A2" w14:textId="77777777" w:rsidR="00E20138" w:rsidRPr="00D9348B" w:rsidRDefault="00E20138" w:rsidP="00DB330E">
            <w:pPr>
              <w:pStyle w:val="TableText"/>
              <w:spacing w:before="40"/>
              <w:rPr>
                <w:rFonts w:cs="Calibri"/>
              </w:rPr>
            </w:pPr>
            <w:r w:rsidRPr="00D9348B">
              <w:rPr>
                <w:rFonts w:cs="Calibri"/>
                <w:color w:val="000000"/>
              </w:rPr>
              <w:t>1.A.1.b</w:t>
            </w:r>
          </w:p>
        </w:tc>
        <w:tc>
          <w:tcPr>
            <w:tcW w:w="5216" w:type="dxa"/>
            <w:shd w:val="clear" w:color="auto" w:fill="auto"/>
            <w:noWrap/>
            <w:hideMark/>
          </w:tcPr>
          <w:p w14:paraId="02BF952F" w14:textId="77777777" w:rsidR="00E20138" w:rsidRPr="00D9348B" w:rsidRDefault="00E20138" w:rsidP="00DB330E">
            <w:pPr>
              <w:pStyle w:val="TableText"/>
              <w:spacing w:before="40"/>
              <w:rPr>
                <w:rFonts w:cs="Calibri"/>
              </w:rPr>
            </w:pPr>
            <w:r w:rsidRPr="00D9348B">
              <w:rPr>
                <w:rFonts w:cs="Calibri"/>
                <w:color w:val="000000"/>
              </w:rPr>
              <w:t>Energy Industries – Petroleum Refining Gaseous Fuels</w:t>
            </w:r>
          </w:p>
        </w:tc>
        <w:tc>
          <w:tcPr>
            <w:tcW w:w="624" w:type="dxa"/>
            <w:shd w:val="clear" w:color="auto" w:fill="auto"/>
            <w:noWrap/>
            <w:hideMark/>
          </w:tcPr>
          <w:p w14:paraId="0ACAE6BF" w14:textId="77777777" w:rsidR="00E20138" w:rsidRPr="00D9348B" w:rsidRDefault="00E20138" w:rsidP="00DB330E">
            <w:pPr>
              <w:pStyle w:val="TableText"/>
              <w:spacing w:before="40"/>
              <w:jc w:val="center"/>
              <w:rPr>
                <w:rFonts w:cs="Calibri"/>
              </w:rPr>
            </w:pPr>
            <w:r w:rsidRPr="00D9348B">
              <w:rPr>
                <w:rFonts w:cs="Calibri"/>
                <w:color w:val="000000"/>
              </w:rPr>
              <w:t>CO</w:t>
            </w:r>
            <w:r w:rsidRPr="00D9348B">
              <w:rPr>
                <w:rFonts w:cs="Calibri"/>
                <w:color w:val="000000"/>
                <w:vertAlign w:val="subscript"/>
              </w:rPr>
              <w:t>2</w:t>
            </w:r>
          </w:p>
        </w:tc>
        <w:tc>
          <w:tcPr>
            <w:tcW w:w="1077" w:type="dxa"/>
            <w:shd w:val="clear" w:color="auto" w:fill="auto"/>
            <w:noWrap/>
            <w:hideMark/>
          </w:tcPr>
          <w:p w14:paraId="2502E97C" w14:textId="77777777" w:rsidR="00E20138" w:rsidRPr="00D9348B" w:rsidRDefault="00E20138" w:rsidP="00DB330E">
            <w:pPr>
              <w:pStyle w:val="TableText"/>
              <w:spacing w:before="40"/>
              <w:rPr>
                <w:rFonts w:cs="Calibri"/>
              </w:rPr>
            </w:pPr>
            <w:r w:rsidRPr="00D9348B">
              <w:rPr>
                <w:rFonts w:cs="Calibri"/>
                <w:color w:val="000000"/>
              </w:rPr>
              <w:t>L1, T1</w:t>
            </w:r>
          </w:p>
        </w:tc>
      </w:tr>
      <w:tr w:rsidR="00E20138" w:rsidRPr="00D9348B" w14:paraId="2501969B" w14:textId="77777777" w:rsidTr="00FD3CFA">
        <w:tc>
          <w:tcPr>
            <w:tcW w:w="1021" w:type="dxa"/>
            <w:shd w:val="clear" w:color="auto" w:fill="auto"/>
            <w:noWrap/>
            <w:hideMark/>
          </w:tcPr>
          <w:p w14:paraId="2810F125" w14:textId="77777777" w:rsidR="00E20138" w:rsidRPr="00D9348B" w:rsidRDefault="00E20138" w:rsidP="00DB330E">
            <w:pPr>
              <w:pStyle w:val="TableText"/>
              <w:spacing w:before="40"/>
              <w:rPr>
                <w:rFonts w:cs="Calibri"/>
              </w:rPr>
            </w:pPr>
            <w:r w:rsidRPr="00D9348B">
              <w:rPr>
                <w:rFonts w:cs="Calibri"/>
                <w:color w:val="000000"/>
              </w:rPr>
              <w:t>1.A.1.c</w:t>
            </w:r>
          </w:p>
        </w:tc>
        <w:tc>
          <w:tcPr>
            <w:tcW w:w="5216" w:type="dxa"/>
            <w:shd w:val="clear" w:color="auto" w:fill="auto"/>
            <w:noWrap/>
            <w:hideMark/>
          </w:tcPr>
          <w:p w14:paraId="2CFFDA74" w14:textId="77777777" w:rsidR="00E20138" w:rsidRPr="00D9348B" w:rsidRDefault="00E20138" w:rsidP="00DB330E">
            <w:pPr>
              <w:pStyle w:val="TableText"/>
              <w:spacing w:before="40"/>
              <w:rPr>
                <w:rFonts w:cs="Calibri"/>
              </w:rPr>
            </w:pPr>
            <w:r w:rsidRPr="00D9348B">
              <w:rPr>
                <w:rFonts w:cs="Calibri"/>
                <w:color w:val="000000"/>
              </w:rPr>
              <w:t>Energy Industries – Manufacture of Solid Fuels and Other Energy Industries Gaseous Fuels</w:t>
            </w:r>
          </w:p>
        </w:tc>
        <w:tc>
          <w:tcPr>
            <w:tcW w:w="624" w:type="dxa"/>
            <w:shd w:val="clear" w:color="auto" w:fill="auto"/>
            <w:noWrap/>
            <w:hideMark/>
          </w:tcPr>
          <w:p w14:paraId="6E6C6EF4" w14:textId="77777777" w:rsidR="00E20138" w:rsidRPr="00D9348B" w:rsidRDefault="00E20138" w:rsidP="00DB330E">
            <w:pPr>
              <w:pStyle w:val="TableText"/>
              <w:spacing w:before="40"/>
              <w:jc w:val="center"/>
              <w:rPr>
                <w:rFonts w:cs="Calibri"/>
              </w:rPr>
            </w:pPr>
            <w:r w:rsidRPr="00D9348B">
              <w:rPr>
                <w:rFonts w:cs="Calibri"/>
                <w:color w:val="000000"/>
              </w:rPr>
              <w:t>CO</w:t>
            </w:r>
            <w:r w:rsidRPr="00D9348B">
              <w:rPr>
                <w:rFonts w:cs="Calibri"/>
                <w:color w:val="000000"/>
                <w:vertAlign w:val="subscript"/>
              </w:rPr>
              <w:t>2</w:t>
            </w:r>
          </w:p>
        </w:tc>
        <w:tc>
          <w:tcPr>
            <w:tcW w:w="1077" w:type="dxa"/>
            <w:shd w:val="clear" w:color="auto" w:fill="auto"/>
            <w:noWrap/>
            <w:hideMark/>
          </w:tcPr>
          <w:p w14:paraId="50E9662C" w14:textId="77777777" w:rsidR="00E20138" w:rsidRPr="00D9348B" w:rsidRDefault="00E20138" w:rsidP="00DB330E">
            <w:pPr>
              <w:pStyle w:val="TableText"/>
              <w:spacing w:before="40"/>
              <w:rPr>
                <w:rFonts w:cs="Calibri"/>
              </w:rPr>
            </w:pPr>
            <w:r w:rsidRPr="00D9348B">
              <w:rPr>
                <w:rFonts w:cs="Calibri"/>
                <w:color w:val="000000"/>
              </w:rPr>
              <w:t>L1, T1</w:t>
            </w:r>
          </w:p>
        </w:tc>
      </w:tr>
      <w:tr w:rsidR="00E20138" w:rsidRPr="00D9348B" w14:paraId="2777B2E8" w14:textId="77777777" w:rsidTr="00FD3CFA">
        <w:tc>
          <w:tcPr>
            <w:tcW w:w="1021" w:type="dxa"/>
            <w:shd w:val="clear" w:color="auto" w:fill="auto"/>
            <w:noWrap/>
            <w:hideMark/>
          </w:tcPr>
          <w:p w14:paraId="48FB6C02" w14:textId="77777777" w:rsidR="00E20138" w:rsidRPr="00D9348B" w:rsidRDefault="00E20138" w:rsidP="00DB330E">
            <w:pPr>
              <w:pStyle w:val="TableText"/>
              <w:spacing w:before="40"/>
              <w:rPr>
                <w:rFonts w:cs="Calibri"/>
              </w:rPr>
            </w:pPr>
            <w:r w:rsidRPr="00D9348B">
              <w:rPr>
                <w:rFonts w:cs="Calibri"/>
                <w:color w:val="000000"/>
              </w:rPr>
              <w:t>1.A.2.c</w:t>
            </w:r>
          </w:p>
        </w:tc>
        <w:tc>
          <w:tcPr>
            <w:tcW w:w="5216" w:type="dxa"/>
            <w:shd w:val="clear" w:color="auto" w:fill="auto"/>
            <w:noWrap/>
            <w:hideMark/>
          </w:tcPr>
          <w:p w14:paraId="706B6F4D" w14:textId="77777777" w:rsidR="00E20138" w:rsidRPr="00D9348B" w:rsidRDefault="00E20138" w:rsidP="00DB330E">
            <w:pPr>
              <w:pStyle w:val="TableText"/>
              <w:spacing w:before="40"/>
              <w:rPr>
                <w:rFonts w:cs="Calibri"/>
              </w:rPr>
            </w:pPr>
            <w:r w:rsidRPr="00D9348B">
              <w:rPr>
                <w:rFonts w:cs="Calibri"/>
                <w:color w:val="000000"/>
              </w:rPr>
              <w:t>Manufacturing Industries and Construction – Chemicals Gaseous Fuels</w:t>
            </w:r>
          </w:p>
        </w:tc>
        <w:tc>
          <w:tcPr>
            <w:tcW w:w="624" w:type="dxa"/>
            <w:shd w:val="clear" w:color="auto" w:fill="auto"/>
            <w:noWrap/>
            <w:hideMark/>
          </w:tcPr>
          <w:p w14:paraId="6499D05C" w14:textId="77777777" w:rsidR="00E20138" w:rsidRPr="00D9348B" w:rsidRDefault="00E20138" w:rsidP="00DB330E">
            <w:pPr>
              <w:pStyle w:val="TableText"/>
              <w:spacing w:before="40"/>
              <w:jc w:val="center"/>
              <w:rPr>
                <w:rFonts w:cs="Calibri"/>
              </w:rPr>
            </w:pPr>
            <w:r w:rsidRPr="00D9348B">
              <w:rPr>
                <w:rFonts w:cs="Calibri"/>
                <w:color w:val="000000"/>
              </w:rPr>
              <w:t>CO</w:t>
            </w:r>
            <w:r w:rsidRPr="00D9348B">
              <w:rPr>
                <w:rFonts w:cs="Calibri"/>
                <w:color w:val="000000"/>
                <w:vertAlign w:val="subscript"/>
              </w:rPr>
              <w:t>2</w:t>
            </w:r>
          </w:p>
        </w:tc>
        <w:tc>
          <w:tcPr>
            <w:tcW w:w="1077" w:type="dxa"/>
            <w:shd w:val="clear" w:color="auto" w:fill="auto"/>
            <w:noWrap/>
            <w:hideMark/>
          </w:tcPr>
          <w:p w14:paraId="7BDB4F22" w14:textId="77777777" w:rsidR="00E20138" w:rsidRPr="00D9348B" w:rsidRDefault="00E20138" w:rsidP="00DB330E">
            <w:pPr>
              <w:pStyle w:val="TableText"/>
              <w:spacing w:before="40"/>
              <w:rPr>
                <w:rFonts w:cs="Calibri"/>
              </w:rPr>
            </w:pPr>
            <w:r w:rsidRPr="00D9348B">
              <w:rPr>
                <w:rFonts w:cs="Calibri"/>
                <w:color w:val="000000"/>
              </w:rPr>
              <w:t>L1, T1</w:t>
            </w:r>
          </w:p>
        </w:tc>
      </w:tr>
      <w:tr w:rsidR="00E20138" w:rsidRPr="00D9348B" w14:paraId="4B1961FC" w14:textId="77777777" w:rsidTr="00FD3CFA">
        <w:tc>
          <w:tcPr>
            <w:tcW w:w="1021" w:type="dxa"/>
            <w:shd w:val="clear" w:color="auto" w:fill="auto"/>
            <w:noWrap/>
            <w:hideMark/>
          </w:tcPr>
          <w:p w14:paraId="361722F5" w14:textId="77777777" w:rsidR="00E20138" w:rsidRPr="00D9348B" w:rsidRDefault="00E20138" w:rsidP="00DB330E">
            <w:pPr>
              <w:pStyle w:val="TableText"/>
              <w:spacing w:before="40"/>
              <w:rPr>
                <w:rFonts w:cs="Calibri"/>
              </w:rPr>
            </w:pPr>
            <w:r w:rsidRPr="00D9348B">
              <w:rPr>
                <w:rFonts w:cs="Calibri"/>
                <w:color w:val="000000"/>
              </w:rPr>
              <w:t>1.A.2.d</w:t>
            </w:r>
          </w:p>
        </w:tc>
        <w:tc>
          <w:tcPr>
            <w:tcW w:w="5216" w:type="dxa"/>
            <w:shd w:val="clear" w:color="auto" w:fill="auto"/>
            <w:noWrap/>
            <w:hideMark/>
          </w:tcPr>
          <w:p w14:paraId="30A4DF15" w14:textId="77777777" w:rsidR="00E20138" w:rsidRPr="00D9348B" w:rsidRDefault="00E20138" w:rsidP="00DB330E">
            <w:pPr>
              <w:pStyle w:val="TableText"/>
              <w:spacing w:before="40"/>
              <w:rPr>
                <w:rFonts w:cs="Calibri"/>
              </w:rPr>
            </w:pPr>
            <w:r w:rsidRPr="00D9348B">
              <w:rPr>
                <w:rFonts w:cs="Calibri"/>
                <w:color w:val="000000"/>
              </w:rPr>
              <w:t>Manufacturing Industries and Construction – Pulp, Paper and Print Gaseous Fuels</w:t>
            </w:r>
          </w:p>
        </w:tc>
        <w:tc>
          <w:tcPr>
            <w:tcW w:w="624" w:type="dxa"/>
            <w:shd w:val="clear" w:color="auto" w:fill="auto"/>
            <w:noWrap/>
            <w:hideMark/>
          </w:tcPr>
          <w:p w14:paraId="400EE672" w14:textId="77777777" w:rsidR="00E20138" w:rsidRPr="00D9348B" w:rsidRDefault="00E20138" w:rsidP="00DB330E">
            <w:pPr>
              <w:pStyle w:val="TableText"/>
              <w:spacing w:before="40"/>
              <w:jc w:val="center"/>
              <w:rPr>
                <w:rFonts w:cs="Calibri"/>
              </w:rPr>
            </w:pPr>
            <w:r w:rsidRPr="00D9348B">
              <w:rPr>
                <w:rFonts w:cs="Calibri"/>
                <w:color w:val="000000"/>
              </w:rPr>
              <w:t>CO</w:t>
            </w:r>
            <w:r w:rsidRPr="00D9348B">
              <w:rPr>
                <w:rFonts w:cs="Calibri"/>
                <w:color w:val="000000"/>
                <w:vertAlign w:val="subscript"/>
              </w:rPr>
              <w:t>2</w:t>
            </w:r>
          </w:p>
        </w:tc>
        <w:tc>
          <w:tcPr>
            <w:tcW w:w="1077" w:type="dxa"/>
            <w:shd w:val="clear" w:color="auto" w:fill="auto"/>
            <w:noWrap/>
            <w:hideMark/>
          </w:tcPr>
          <w:p w14:paraId="16AB77A3" w14:textId="77777777" w:rsidR="00E20138" w:rsidRPr="00D9348B" w:rsidRDefault="00E20138" w:rsidP="00DB330E">
            <w:pPr>
              <w:pStyle w:val="TableText"/>
              <w:spacing w:before="40"/>
              <w:rPr>
                <w:rFonts w:cs="Calibri"/>
              </w:rPr>
            </w:pPr>
            <w:r w:rsidRPr="00D9348B">
              <w:rPr>
                <w:rFonts w:cs="Calibri"/>
                <w:color w:val="000000"/>
              </w:rPr>
              <w:t>L1, T1</w:t>
            </w:r>
          </w:p>
        </w:tc>
      </w:tr>
      <w:tr w:rsidR="00E20138" w:rsidRPr="00D9348B" w14:paraId="0807C803" w14:textId="77777777" w:rsidTr="00FD3CFA">
        <w:tc>
          <w:tcPr>
            <w:tcW w:w="1021" w:type="dxa"/>
            <w:shd w:val="clear" w:color="auto" w:fill="auto"/>
            <w:noWrap/>
          </w:tcPr>
          <w:p w14:paraId="27D0DC1C" w14:textId="77777777" w:rsidR="00E20138" w:rsidRPr="00D9348B" w:rsidRDefault="00E20138" w:rsidP="00DB330E">
            <w:pPr>
              <w:pStyle w:val="TableText"/>
              <w:spacing w:before="40"/>
              <w:rPr>
                <w:rFonts w:cs="Calibri"/>
                <w:color w:val="000000"/>
              </w:rPr>
            </w:pPr>
            <w:r w:rsidRPr="00D9348B">
              <w:rPr>
                <w:rFonts w:cs="Calibri"/>
                <w:color w:val="000000"/>
              </w:rPr>
              <w:t>1.A.2.d</w:t>
            </w:r>
          </w:p>
        </w:tc>
        <w:tc>
          <w:tcPr>
            <w:tcW w:w="5216" w:type="dxa"/>
            <w:shd w:val="clear" w:color="auto" w:fill="auto"/>
            <w:noWrap/>
          </w:tcPr>
          <w:p w14:paraId="1298F6AA" w14:textId="77777777" w:rsidR="00E20138" w:rsidRPr="00D9348B" w:rsidRDefault="00E20138" w:rsidP="00DB330E">
            <w:pPr>
              <w:pStyle w:val="TableText"/>
              <w:spacing w:before="40"/>
              <w:rPr>
                <w:rFonts w:cs="Calibri"/>
                <w:color w:val="000000"/>
              </w:rPr>
            </w:pPr>
            <w:r w:rsidRPr="00D9348B">
              <w:rPr>
                <w:rFonts w:cs="Calibri"/>
                <w:color w:val="000000"/>
              </w:rPr>
              <w:t>Manufacturing Industries and Construction – Pulp, Paper and Print Solid Fuels</w:t>
            </w:r>
          </w:p>
        </w:tc>
        <w:tc>
          <w:tcPr>
            <w:tcW w:w="624" w:type="dxa"/>
            <w:shd w:val="clear" w:color="auto" w:fill="auto"/>
            <w:noWrap/>
          </w:tcPr>
          <w:p w14:paraId="113B9F18" w14:textId="77777777" w:rsidR="00E20138" w:rsidRPr="00D9348B" w:rsidRDefault="00E20138" w:rsidP="00DB330E">
            <w:pPr>
              <w:pStyle w:val="TableText"/>
              <w:spacing w:before="40"/>
              <w:jc w:val="center"/>
              <w:rPr>
                <w:rFonts w:cs="Calibri"/>
                <w:color w:val="000000"/>
              </w:rPr>
            </w:pPr>
            <w:r w:rsidRPr="00D9348B">
              <w:rPr>
                <w:rFonts w:cs="Calibri"/>
                <w:color w:val="000000"/>
              </w:rPr>
              <w:t>CO</w:t>
            </w:r>
            <w:r w:rsidRPr="00D9348B">
              <w:rPr>
                <w:rFonts w:cs="Calibri"/>
                <w:color w:val="000000"/>
                <w:vertAlign w:val="subscript"/>
              </w:rPr>
              <w:t>2</w:t>
            </w:r>
          </w:p>
        </w:tc>
        <w:tc>
          <w:tcPr>
            <w:tcW w:w="1077" w:type="dxa"/>
            <w:shd w:val="clear" w:color="auto" w:fill="auto"/>
            <w:noWrap/>
          </w:tcPr>
          <w:p w14:paraId="37530C33" w14:textId="77777777" w:rsidR="00E20138" w:rsidRPr="00D9348B" w:rsidRDefault="00E20138" w:rsidP="00DB330E">
            <w:pPr>
              <w:pStyle w:val="TableText"/>
              <w:spacing w:before="40"/>
              <w:rPr>
                <w:rFonts w:cs="Calibri"/>
                <w:color w:val="000000"/>
              </w:rPr>
            </w:pPr>
            <w:r w:rsidRPr="00D9348B">
              <w:rPr>
                <w:rFonts w:cs="Calibri"/>
                <w:color w:val="000000"/>
              </w:rPr>
              <w:t>T1</w:t>
            </w:r>
          </w:p>
        </w:tc>
      </w:tr>
      <w:tr w:rsidR="00E20138" w:rsidRPr="00D9348B" w14:paraId="11041DF4" w14:textId="77777777" w:rsidTr="00FD3CFA">
        <w:tc>
          <w:tcPr>
            <w:tcW w:w="1021" w:type="dxa"/>
            <w:shd w:val="clear" w:color="auto" w:fill="auto"/>
            <w:noWrap/>
            <w:hideMark/>
          </w:tcPr>
          <w:p w14:paraId="2D90D982" w14:textId="77777777" w:rsidR="00E20138" w:rsidRPr="00D9348B" w:rsidRDefault="00E20138" w:rsidP="00DB330E">
            <w:pPr>
              <w:pStyle w:val="TableText"/>
              <w:spacing w:before="40"/>
              <w:rPr>
                <w:rFonts w:cs="Calibri"/>
              </w:rPr>
            </w:pPr>
            <w:r w:rsidRPr="00D9348B">
              <w:rPr>
                <w:rFonts w:cs="Calibri"/>
                <w:color w:val="000000"/>
              </w:rPr>
              <w:t>1.A.2.e</w:t>
            </w:r>
          </w:p>
        </w:tc>
        <w:tc>
          <w:tcPr>
            <w:tcW w:w="5216" w:type="dxa"/>
            <w:shd w:val="clear" w:color="auto" w:fill="auto"/>
            <w:noWrap/>
            <w:hideMark/>
          </w:tcPr>
          <w:p w14:paraId="28F50F78" w14:textId="77777777" w:rsidR="00E20138" w:rsidRPr="00D9348B" w:rsidRDefault="00E20138" w:rsidP="00DB330E">
            <w:pPr>
              <w:pStyle w:val="TableText"/>
              <w:spacing w:before="40"/>
              <w:rPr>
                <w:rFonts w:cs="Calibri"/>
              </w:rPr>
            </w:pPr>
            <w:r w:rsidRPr="00D9348B">
              <w:rPr>
                <w:rFonts w:cs="Calibri"/>
                <w:color w:val="000000"/>
              </w:rPr>
              <w:t>Manufacturing Industries and Construction – Food Processing, Beverages and Tobacco Solid Fuels</w:t>
            </w:r>
          </w:p>
        </w:tc>
        <w:tc>
          <w:tcPr>
            <w:tcW w:w="624" w:type="dxa"/>
            <w:shd w:val="clear" w:color="auto" w:fill="auto"/>
            <w:noWrap/>
            <w:hideMark/>
          </w:tcPr>
          <w:p w14:paraId="5C5F2DC2" w14:textId="77777777" w:rsidR="00E20138" w:rsidRPr="00D9348B" w:rsidRDefault="00E20138" w:rsidP="00DB330E">
            <w:pPr>
              <w:pStyle w:val="TableText"/>
              <w:spacing w:before="40"/>
              <w:jc w:val="center"/>
              <w:rPr>
                <w:rFonts w:cs="Calibri"/>
              </w:rPr>
            </w:pPr>
            <w:r w:rsidRPr="00D9348B">
              <w:rPr>
                <w:rFonts w:cs="Calibri"/>
                <w:color w:val="000000"/>
              </w:rPr>
              <w:t>CO</w:t>
            </w:r>
            <w:r w:rsidRPr="00D9348B">
              <w:rPr>
                <w:rFonts w:cs="Calibri"/>
                <w:color w:val="000000"/>
                <w:vertAlign w:val="subscript"/>
              </w:rPr>
              <w:t>2</w:t>
            </w:r>
          </w:p>
        </w:tc>
        <w:tc>
          <w:tcPr>
            <w:tcW w:w="1077" w:type="dxa"/>
            <w:shd w:val="clear" w:color="auto" w:fill="auto"/>
            <w:noWrap/>
            <w:hideMark/>
          </w:tcPr>
          <w:p w14:paraId="4A6B4A09" w14:textId="77777777" w:rsidR="00E20138" w:rsidRPr="00D9348B" w:rsidRDefault="00E20138" w:rsidP="00DB330E">
            <w:pPr>
              <w:pStyle w:val="TableText"/>
              <w:spacing w:before="40"/>
              <w:rPr>
                <w:rFonts w:cs="Calibri"/>
              </w:rPr>
            </w:pPr>
            <w:r w:rsidRPr="00D9348B">
              <w:rPr>
                <w:rFonts w:cs="Calibri"/>
                <w:color w:val="000000"/>
              </w:rPr>
              <w:t>L1, T1</w:t>
            </w:r>
          </w:p>
        </w:tc>
      </w:tr>
      <w:tr w:rsidR="00E20138" w:rsidRPr="00D9348B" w14:paraId="71CEE6E2" w14:textId="77777777" w:rsidTr="00FD3CFA">
        <w:tc>
          <w:tcPr>
            <w:tcW w:w="1021" w:type="dxa"/>
            <w:shd w:val="clear" w:color="auto" w:fill="auto"/>
            <w:noWrap/>
            <w:hideMark/>
          </w:tcPr>
          <w:p w14:paraId="65FDD595" w14:textId="77777777" w:rsidR="00E20138" w:rsidRPr="00D9348B" w:rsidRDefault="00E20138" w:rsidP="00DB330E">
            <w:pPr>
              <w:pStyle w:val="TableText"/>
              <w:spacing w:before="40"/>
              <w:rPr>
                <w:rFonts w:cs="Calibri"/>
              </w:rPr>
            </w:pPr>
            <w:r w:rsidRPr="00D9348B">
              <w:rPr>
                <w:rFonts w:cs="Calibri"/>
                <w:color w:val="000000"/>
              </w:rPr>
              <w:t>1.A.2.e</w:t>
            </w:r>
          </w:p>
        </w:tc>
        <w:tc>
          <w:tcPr>
            <w:tcW w:w="5216" w:type="dxa"/>
            <w:shd w:val="clear" w:color="auto" w:fill="auto"/>
            <w:noWrap/>
            <w:hideMark/>
          </w:tcPr>
          <w:p w14:paraId="55F79AF5" w14:textId="77777777" w:rsidR="00E20138" w:rsidRPr="00D9348B" w:rsidRDefault="00E20138" w:rsidP="00DB330E">
            <w:pPr>
              <w:pStyle w:val="TableText"/>
              <w:spacing w:before="40"/>
              <w:rPr>
                <w:rFonts w:cs="Calibri"/>
              </w:rPr>
            </w:pPr>
            <w:r w:rsidRPr="00D9348B">
              <w:rPr>
                <w:rFonts w:cs="Calibri"/>
                <w:color w:val="000000"/>
              </w:rPr>
              <w:t>Manufacturing Industries and Construction – Food Processing, Beverages and Tobacco Gaseous Fuels</w:t>
            </w:r>
          </w:p>
        </w:tc>
        <w:tc>
          <w:tcPr>
            <w:tcW w:w="624" w:type="dxa"/>
            <w:shd w:val="clear" w:color="auto" w:fill="auto"/>
            <w:noWrap/>
            <w:hideMark/>
          </w:tcPr>
          <w:p w14:paraId="17007D14" w14:textId="77777777" w:rsidR="00E20138" w:rsidRPr="00D9348B" w:rsidRDefault="00E20138" w:rsidP="00DB330E">
            <w:pPr>
              <w:pStyle w:val="TableText"/>
              <w:spacing w:before="40"/>
              <w:jc w:val="center"/>
              <w:rPr>
                <w:rFonts w:cs="Calibri"/>
              </w:rPr>
            </w:pPr>
            <w:r w:rsidRPr="00D9348B">
              <w:rPr>
                <w:rFonts w:cs="Calibri"/>
                <w:color w:val="000000"/>
              </w:rPr>
              <w:t>CO</w:t>
            </w:r>
            <w:r w:rsidRPr="00D9348B">
              <w:rPr>
                <w:rFonts w:cs="Calibri"/>
                <w:color w:val="000000"/>
                <w:vertAlign w:val="subscript"/>
              </w:rPr>
              <w:t>2</w:t>
            </w:r>
          </w:p>
        </w:tc>
        <w:tc>
          <w:tcPr>
            <w:tcW w:w="1077" w:type="dxa"/>
            <w:shd w:val="clear" w:color="auto" w:fill="auto"/>
            <w:noWrap/>
            <w:hideMark/>
          </w:tcPr>
          <w:p w14:paraId="08CB141A" w14:textId="77777777" w:rsidR="00E20138" w:rsidRPr="00D9348B" w:rsidRDefault="00E20138" w:rsidP="00DB330E">
            <w:pPr>
              <w:pStyle w:val="TableText"/>
              <w:spacing w:before="40"/>
              <w:rPr>
                <w:rFonts w:cs="Calibri"/>
              </w:rPr>
            </w:pPr>
            <w:r w:rsidRPr="00D9348B">
              <w:rPr>
                <w:rFonts w:cs="Calibri"/>
                <w:color w:val="000000"/>
              </w:rPr>
              <w:t>L1, T1</w:t>
            </w:r>
          </w:p>
        </w:tc>
      </w:tr>
      <w:tr w:rsidR="00E20138" w:rsidRPr="00D9348B" w14:paraId="58F0DE3F" w14:textId="77777777" w:rsidTr="00FD3CFA">
        <w:tc>
          <w:tcPr>
            <w:tcW w:w="1021" w:type="dxa"/>
            <w:shd w:val="clear" w:color="auto" w:fill="auto"/>
            <w:noWrap/>
            <w:hideMark/>
          </w:tcPr>
          <w:p w14:paraId="297C6A35" w14:textId="77777777" w:rsidR="00E20138" w:rsidRPr="00D9348B" w:rsidRDefault="00E20138" w:rsidP="00DB330E">
            <w:pPr>
              <w:pStyle w:val="TableText"/>
              <w:spacing w:before="40"/>
              <w:rPr>
                <w:rFonts w:cs="Calibri"/>
              </w:rPr>
            </w:pPr>
            <w:r w:rsidRPr="00D9348B">
              <w:rPr>
                <w:rFonts w:cs="Calibri"/>
                <w:color w:val="000000"/>
              </w:rPr>
              <w:t>1.A.2.e</w:t>
            </w:r>
          </w:p>
        </w:tc>
        <w:tc>
          <w:tcPr>
            <w:tcW w:w="5216" w:type="dxa"/>
            <w:shd w:val="clear" w:color="auto" w:fill="auto"/>
            <w:noWrap/>
            <w:hideMark/>
          </w:tcPr>
          <w:p w14:paraId="250341B5" w14:textId="77777777" w:rsidR="00E20138" w:rsidRPr="00D9348B" w:rsidRDefault="00E20138" w:rsidP="00DB330E">
            <w:pPr>
              <w:pStyle w:val="TableText"/>
              <w:spacing w:before="40"/>
              <w:rPr>
                <w:rFonts w:cs="Calibri"/>
              </w:rPr>
            </w:pPr>
            <w:r w:rsidRPr="00D9348B">
              <w:rPr>
                <w:rFonts w:cs="Calibri"/>
                <w:color w:val="000000"/>
              </w:rPr>
              <w:t>Manufacturing Industries and Construction – Food Processing, Beverages and Tobacco Liquid Fuels</w:t>
            </w:r>
          </w:p>
        </w:tc>
        <w:tc>
          <w:tcPr>
            <w:tcW w:w="624" w:type="dxa"/>
            <w:shd w:val="clear" w:color="auto" w:fill="auto"/>
            <w:noWrap/>
            <w:hideMark/>
          </w:tcPr>
          <w:p w14:paraId="08FC770D" w14:textId="77777777" w:rsidR="00E20138" w:rsidRPr="00D9348B" w:rsidRDefault="00E20138" w:rsidP="00DB330E">
            <w:pPr>
              <w:pStyle w:val="TableText"/>
              <w:spacing w:before="40"/>
              <w:jc w:val="center"/>
              <w:rPr>
                <w:rFonts w:cs="Calibri"/>
              </w:rPr>
            </w:pPr>
            <w:r w:rsidRPr="00D9348B">
              <w:rPr>
                <w:rFonts w:cs="Calibri"/>
                <w:color w:val="000000"/>
              </w:rPr>
              <w:t>CO</w:t>
            </w:r>
            <w:r w:rsidRPr="00D9348B">
              <w:rPr>
                <w:rFonts w:cs="Calibri"/>
                <w:color w:val="000000"/>
                <w:vertAlign w:val="subscript"/>
              </w:rPr>
              <w:t>2</w:t>
            </w:r>
          </w:p>
        </w:tc>
        <w:tc>
          <w:tcPr>
            <w:tcW w:w="1077" w:type="dxa"/>
            <w:shd w:val="clear" w:color="auto" w:fill="auto"/>
            <w:noWrap/>
            <w:hideMark/>
          </w:tcPr>
          <w:p w14:paraId="586FED56" w14:textId="77777777" w:rsidR="00E20138" w:rsidRPr="00D9348B" w:rsidRDefault="00E20138" w:rsidP="00DB330E">
            <w:pPr>
              <w:pStyle w:val="TableText"/>
              <w:spacing w:before="40"/>
              <w:rPr>
                <w:rFonts w:cs="Calibri"/>
              </w:rPr>
            </w:pPr>
            <w:r w:rsidRPr="00D9348B">
              <w:rPr>
                <w:rFonts w:cs="Calibri"/>
                <w:color w:val="000000"/>
              </w:rPr>
              <w:t>L1, T1</w:t>
            </w:r>
          </w:p>
        </w:tc>
      </w:tr>
      <w:tr w:rsidR="00E20138" w:rsidRPr="00D9348B" w14:paraId="3C5A0F40" w14:textId="77777777" w:rsidTr="00FD3CFA">
        <w:tc>
          <w:tcPr>
            <w:tcW w:w="1021" w:type="dxa"/>
            <w:shd w:val="clear" w:color="auto" w:fill="auto"/>
            <w:noWrap/>
            <w:hideMark/>
          </w:tcPr>
          <w:p w14:paraId="2B8B0735" w14:textId="77777777" w:rsidR="00E20138" w:rsidRPr="00D9348B" w:rsidRDefault="00E20138" w:rsidP="00DB330E">
            <w:pPr>
              <w:pStyle w:val="TableText"/>
              <w:spacing w:before="40"/>
              <w:rPr>
                <w:rFonts w:cs="Calibri"/>
              </w:rPr>
            </w:pPr>
            <w:r w:rsidRPr="00D9348B">
              <w:rPr>
                <w:rFonts w:cs="Calibri"/>
                <w:color w:val="000000"/>
              </w:rPr>
              <w:t>1.A.2.f</w:t>
            </w:r>
          </w:p>
        </w:tc>
        <w:tc>
          <w:tcPr>
            <w:tcW w:w="5216" w:type="dxa"/>
            <w:shd w:val="clear" w:color="auto" w:fill="auto"/>
            <w:noWrap/>
            <w:hideMark/>
          </w:tcPr>
          <w:p w14:paraId="0FA03A73" w14:textId="77777777" w:rsidR="00E20138" w:rsidRPr="00D9348B" w:rsidRDefault="00E20138" w:rsidP="00DB330E">
            <w:pPr>
              <w:pStyle w:val="TableText"/>
              <w:spacing w:before="40"/>
              <w:rPr>
                <w:rFonts w:cs="Calibri"/>
              </w:rPr>
            </w:pPr>
            <w:r w:rsidRPr="00D9348B">
              <w:rPr>
                <w:rFonts w:cs="Calibri"/>
                <w:color w:val="000000"/>
              </w:rPr>
              <w:t>Manufacturing Industries and Construction – Non-metallic Minerals Solid Fuels</w:t>
            </w:r>
          </w:p>
        </w:tc>
        <w:tc>
          <w:tcPr>
            <w:tcW w:w="624" w:type="dxa"/>
            <w:shd w:val="clear" w:color="auto" w:fill="auto"/>
            <w:noWrap/>
            <w:hideMark/>
          </w:tcPr>
          <w:p w14:paraId="10EEF81D" w14:textId="77777777" w:rsidR="00E20138" w:rsidRPr="00D9348B" w:rsidRDefault="00E20138" w:rsidP="00DB330E">
            <w:pPr>
              <w:pStyle w:val="TableText"/>
              <w:spacing w:before="40"/>
              <w:jc w:val="center"/>
              <w:rPr>
                <w:rFonts w:cs="Calibri"/>
              </w:rPr>
            </w:pPr>
            <w:r w:rsidRPr="00D9348B">
              <w:rPr>
                <w:rFonts w:cs="Calibri"/>
                <w:color w:val="000000"/>
              </w:rPr>
              <w:t>CO</w:t>
            </w:r>
            <w:r w:rsidRPr="00D9348B">
              <w:rPr>
                <w:rFonts w:cs="Calibri"/>
                <w:color w:val="000000"/>
                <w:vertAlign w:val="subscript"/>
              </w:rPr>
              <w:t>2</w:t>
            </w:r>
          </w:p>
        </w:tc>
        <w:tc>
          <w:tcPr>
            <w:tcW w:w="1077" w:type="dxa"/>
            <w:shd w:val="clear" w:color="auto" w:fill="auto"/>
            <w:noWrap/>
            <w:hideMark/>
          </w:tcPr>
          <w:p w14:paraId="3AB13C10" w14:textId="77777777" w:rsidR="00E20138" w:rsidRPr="00D9348B" w:rsidRDefault="00E20138" w:rsidP="00DB330E">
            <w:pPr>
              <w:pStyle w:val="TableText"/>
              <w:spacing w:before="40"/>
              <w:rPr>
                <w:rFonts w:cs="Calibri"/>
              </w:rPr>
            </w:pPr>
            <w:r w:rsidRPr="00D9348B">
              <w:rPr>
                <w:rFonts w:cs="Calibri"/>
                <w:color w:val="000000"/>
              </w:rPr>
              <w:t>L1, T1</w:t>
            </w:r>
          </w:p>
        </w:tc>
      </w:tr>
      <w:tr w:rsidR="00E20138" w:rsidRPr="00D9348B" w14:paraId="42F5EE1F" w14:textId="77777777" w:rsidTr="00FD3CFA">
        <w:tc>
          <w:tcPr>
            <w:tcW w:w="1021" w:type="dxa"/>
            <w:shd w:val="clear" w:color="auto" w:fill="auto"/>
            <w:noWrap/>
            <w:hideMark/>
          </w:tcPr>
          <w:p w14:paraId="6607D121" w14:textId="77777777" w:rsidR="00E20138" w:rsidRPr="00D9348B" w:rsidRDefault="00E20138" w:rsidP="00DB330E">
            <w:pPr>
              <w:pStyle w:val="TableText"/>
              <w:spacing w:before="40"/>
              <w:rPr>
                <w:rFonts w:cs="Calibri"/>
              </w:rPr>
            </w:pPr>
            <w:r w:rsidRPr="00D9348B">
              <w:rPr>
                <w:rFonts w:cs="Calibri"/>
                <w:color w:val="000000"/>
              </w:rPr>
              <w:t>1.A.2.g.iii</w:t>
            </w:r>
          </w:p>
        </w:tc>
        <w:tc>
          <w:tcPr>
            <w:tcW w:w="5216" w:type="dxa"/>
            <w:shd w:val="clear" w:color="auto" w:fill="auto"/>
            <w:noWrap/>
            <w:hideMark/>
          </w:tcPr>
          <w:p w14:paraId="54EED8BF" w14:textId="77777777" w:rsidR="00E20138" w:rsidRPr="00D9348B" w:rsidRDefault="00E20138" w:rsidP="00DB330E">
            <w:pPr>
              <w:pStyle w:val="TableText"/>
              <w:spacing w:before="40"/>
              <w:rPr>
                <w:rFonts w:cs="Calibri"/>
              </w:rPr>
            </w:pPr>
            <w:r w:rsidRPr="00D9348B">
              <w:rPr>
                <w:rFonts w:cs="Calibri"/>
                <w:color w:val="000000"/>
              </w:rPr>
              <w:t>Other (please specify) – Mining (excluding fuels) and Quarrying Liquid Fuels</w:t>
            </w:r>
          </w:p>
        </w:tc>
        <w:tc>
          <w:tcPr>
            <w:tcW w:w="624" w:type="dxa"/>
            <w:shd w:val="clear" w:color="auto" w:fill="auto"/>
            <w:noWrap/>
            <w:hideMark/>
          </w:tcPr>
          <w:p w14:paraId="69FDF798" w14:textId="77777777" w:rsidR="00E20138" w:rsidRPr="00D9348B" w:rsidRDefault="00E20138" w:rsidP="00DB330E">
            <w:pPr>
              <w:pStyle w:val="TableText"/>
              <w:spacing w:before="40"/>
              <w:jc w:val="center"/>
              <w:rPr>
                <w:rFonts w:cs="Calibri"/>
              </w:rPr>
            </w:pPr>
            <w:r w:rsidRPr="00D9348B">
              <w:rPr>
                <w:rFonts w:cs="Calibri"/>
                <w:color w:val="000000"/>
              </w:rPr>
              <w:t>CO</w:t>
            </w:r>
            <w:r w:rsidRPr="00D9348B">
              <w:rPr>
                <w:rFonts w:cs="Calibri"/>
                <w:color w:val="000000"/>
                <w:vertAlign w:val="subscript"/>
              </w:rPr>
              <w:t>2</w:t>
            </w:r>
          </w:p>
        </w:tc>
        <w:tc>
          <w:tcPr>
            <w:tcW w:w="1077" w:type="dxa"/>
            <w:shd w:val="clear" w:color="auto" w:fill="auto"/>
            <w:noWrap/>
            <w:hideMark/>
          </w:tcPr>
          <w:p w14:paraId="4F1064C0" w14:textId="77777777" w:rsidR="00E20138" w:rsidRPr="00D9348B" w:rsidRDefault="00E20138" w:rsidP="00DB330E">
            <w:pPr>
              <w:pStyle w:val="TableText"/>
              <w:spacing w:before="40"/>
              <w:rPr>
                <w:rFonts w:cs="Calibri"/>
              </w:rPr>
            </w:pPr>
            <w:r w:rsidRPr="00D9348B">
              <w:rPr>
                <w:rFonts w:cs="Calibri"/>
                <w:color w:val="000000"/>
              </w:rPr>
              <w:t>L1, T1</w:t>
            </w:r>
          </w:p>
        </w:tc>
      </w:tr>
      <w:tr w:rsidR="00E20138" w:rsidRPr="00D9348B" w14:paraId="3C6A47A1" w14:textId="77777777" w:rsidTr="00FD3CFA">
        <w:tc>
          <w:tcPr>
            <w:tcW w:w="1021" w:type="dxa"/>
            <w:shd w:val="clear" w:color="auto" w:fill="auto"/>
            <w:noWrap/>
            <w:hideMark/>
          </w:tcPr>
          <w:p w14:paraId="6FBCE2F7" w14:textId="77777777" w:rsidR="00E20138" w:rsidRPr="00D9348B" w:rsidRDefault="00E20138" w:rsidP="00DB330E">
            <w:pPr>
              <w:pStyle w:val="TableText"/>
              <w:spacing w:before="40"/>
              <w:rPr>
                <w:rFonts w:cs="Calibri"/>
              </w:rPr>
            </w:pPr>
            <w:r w:rsidRPr="00D9348B">
              <w:rPr>
                <w:rFonts w:cs="Calibri"/>
                <w:color w:val="000000"/>
              </w:rPr>
              <w:t>1.A.2.g.viii</w:t>
            </w:r>
          </w:p>
        </w:tc>
        <w:tc>
          <w:tcPr>
            <w:tcW w:w="5216" w:type="dxa"/>
            <w:shd w:val="clear" w:color="auto" w:fill="auto"/>
            <w:noWrap/>
            <w:hideMark/>
          </w:tcPr>
          <w:p w14:paraId="3C5C176A" w14:textId="77777777" w:rsidR="00E20138" w:rsidRPr="00D9348B" w:rsidRDefault="00E20138" w:rsidP="00DB330E">
            <w:pPr>
              <w:pStyle w:val="TableText"/>
              <w:spacing w:before="40"/>
              <w:rPr>
                <w:rFonts w:cs="Calibri"/>
              </w:rPr>
            </w:pPr>
            <w:r w:rsidRPr="00D9348B">
              <w:rPr>
                <w:rFonts w:cs="Calibri"/>
                <w:color w:val="000000"/>
              </w:rPr>
              <w:t>Other (please specify) – Other (please specify) Liquid Fuels</w:t>
            </w:r>
          </w:p>
        </w:tc>
        <w:tc>
          <w:tcPr>
            <w:tcW w:w="624" w:type="dxa"/>
            <w:shd w:val="clear" w:color="auto" w:fill="auto"/>
            <w:noWrap/>
            <w:hideMark/>
          </w:tcPr>
          <w:p w14:paraId="33FB16C0" w14:textId="77777777" w:rsidR="00E20138" w:rsidRPr="00D9348B" w:rsidRDefault="00E20138" w:rsidP="00DB330E">
            <w:pPr>
              <w:pStyle w:val="TableText"/>
              <w:spacing w:before="40"/>
              <w:jc w:val="center"/>
              <w:rPr>
                <w:rFonts w:cs="Calibri"/>
              </w:rPr>
            </w:pPr>
            <w:r w:rsidRPr="00D9348B">
              <w:rPr>
                <w:rFonts w:cs="Calibri"/>
                <w:color w:val="000000"/>
              </w:rPr>
              <w:t>CO</w:t>
            </w:r>
            <w:r w:rsidRPr="00D9348B">
              <w:rPr>
                <w:rFonts w:cs="Calibri"/>
                <w:color w:val="000000"/>
                <w:vertAlign w:val="subscript"/>
              </w:rPr>
              <w:t>2</w:t>
            </w:r>
          </w:p>
        </w:tc>
        <w:tc>
          <w:tcPr>
            <w:tcW w:w="1077" w:type="dxa"/>
            <w:shd w:val="clear" w:color="auto" w:fill="auto"/>
            <w:noWrap/>
            <w:hideMark/>
          </w:tcPr>
          <w:p w14:paraId="42A4840A" w14:textId="77777777" w:rsidR="00E20138" w:rsidRPr="00D9348B" w:rsidRDefault="00E20138" w:rsidP="00DB330E">
            <w:pPr>
              <w:pStyle w:val="TableText"/>
              <w:spacing w:before="40"/>
              <w:rPr>
                <w:rFonts w:cs="Calibri"/>
              </w:rPr>
            </w:pPr>
            <w:r w:rsidRPr="00D9348B">
              <w:rPr>
                <w:rFonts w:cs="Calibri"/>
                <w:color w:val="000000"/>
              </w:rPr>
              <w:t>L1, T1</w:t>
            </w:r>
          </w:p>
        </w:tc>
      </w:tr>
      <w:tr w:rsidR="00E20138" w:rsidRPr="00D9348B" w14:paraId="2EC02753" w14:textId="77777777" w:rsidTr="00FD3CFA">
        <w:tc>
          <w:tcPr>
            <w:tcW w:w="1021" w:type="dxa"/>
            <w:shd w:val="clear" w:color="auto" w:fill="auto"/>
            <w:noWrap/>
            <w:hideMark/>
          </w:tcPr>
          <w:p w14:paraId="544AB6B7" w14:textId="77777777" w:rsidR="00E20138" w:rsidRPr="00D9348B" w:rsidRDefault="00E20138" w:rsidP="00DB330E">
            <w:pPr>
              <w:pStyle w:val="TableText"/>
              <w:spacing w:before="40"/>
              <w:rPr>
                <w:rFonts w:cs="Calibri"/>
              </w:rPr>
            </w:pPr>
            <w:r w:rsidRPr="00D9348B">
              <w:rPr>
                <w:rFonts w:cs="Calibri"/>
                <w:color w:val="000000"/>
              </w:rPr>
              <w:t>1.A.2.g.viii</w:t>
            </w:r>
          </w:p>
        </w:tc>
        <w:tc>
          <w:tcPr>
            <w:tcW w:w="5216" w:type="dxa"/>
            <w:shd w:val="clear" w:color="auto" w:fill="auto"/>
            <w:noWrap/>
            <w:hideMark/>
          </w:tcPr>
          <w:p w14:paraId="51507268" w14:textId="77777777" w:rsidR="00E20138" w:rsidRPr="00D9348B" w:rsidRDefault="00E20138" w:rsidP="00DB330E">
            <w:pPr>
              <w:pStyle w:val="TableText"/>
              <w:spacing w:before="40"/>
              <w:rPr>
                <w:rFonts w:cs="Calibri"/>
              </w:rPr>
            </w:pPr>
            <w:r w:rsidRPr="00D9348B">
              <w:rPr>
                <w:rFonts w:cs="Calibri"/>
                <w:color w:val="000000"/>
              </w:rPr>
              <w:t>Other (please specify) – Other (please specify) Solid fuels</w:t>
            </w:r>
          </w:p>
        </w:tc>
        <w:tc>
          <w:tcPr>
            <w:tcW w:w="624" w:type="dxa"/>
            <w:shd w:val="clear" w:color="auto" w:fill="auto"/>
            <w:noWrap/>
            <w:hideMark/>
          </w:tcPr>
          <w:p w14:paraId="1641D727" w14:textId="77777777" w:rsidR="00E20138" w:rsidRPr="00D9348B" w:rsidRDefault="00E20138" w:rsidP="00DB330E">
            <w:pPr>
              <w:pStyle w:val="TableText"/>
              <w:spacing w:before="40"/>
              <w:jc w:val="center"/>
              <w:rPr>
                <w:rFonts w:cs="Calibri"/>
              </w:rPr>
            </w:pPr>
            <w:r w:rsidRPr="00D9348B">
              <w:rPr>
                <w:rFonts w:cs="Calibri"/>
                <w:color w:val="000000"/>
              </w:rPr>
              <w:t>CO</w:t>
            </w:r>
            <w:r w:rsidRPr="00D9348B">
              <w:rPr>
                <w:rFonts w:cs="Calibri"/>
                <w:color w:val="000000"/>
                <w:vertAlign w:val="subscript"/>
              </w:rPr>
              <w:t>2</w:t>
            </w:r>
          </w:p>
        </w:tc>
        <w:tc>
          <w:tcPr>
            <w:tcW w:w="1077" w:type="dxa"/>
            <w:shd w:val="clear" w:color="auto" w:fill="auto"/>
            <w:noWrap/>
            <w:hideMark/>
          </w:tcPr>
          <w:p w14:paraId="76E79EB3" w14:textId="77777777" w:rsidR="00E20138" w:rsidRPr="00D9348B" w:rsidRDefault="00E20138" w:rsidP="00DB330E">
            <w:pPr>
              <w:pStyle w:val="TableText"/>
              <w:spacing w:before="40"/>
              <w:rPr>
                <w:rFonts w:cs="Calibri"/>
              </w:rPr>
            </w:pPr>
            <w:r w:rsidRPr="00D9348B">
              <w:rPr>
                <w:rFonts w:cs="Calibri"/>
                <w:color w:val="000000"/>
              </w:rPr>
              <w:t>T1</w:t>
            </w:r>
          </w:p>
        </w:tc>
      </w:tr>
      <w:tr w:rsidR="00E20138" w:rsidRPr="00D9348B" w14:paraId="18F9CDFD" w14:textId="77777777" w:rsidTr="00FD3CFA">
        <w:tc>
          <w:tcPr>
            <w:tcW w:w="1021" w:type="dxa"/>
            <w:shd w:val="clear" w:color="auto" w:fill="auto"/>
            <w:noWrap/>
            <w:hideMark/>
          </w:tcPr>
          <w:p w14:paraId="1CB15D04" w14:textId="77777777" w:rsidR="00E20138" w:rsidRPr="00D9348B" w:rsidRDefault="00E20138" w:rsidP="00DB330E">
            <w:pPr>
              <w:pStyle w:val="TableText"/>
              <w:spacing w:before="40"/>
              <w:rPr>
                <w:rFonts w:cs="Calibri"/>
              </w:rPr>
            </w:pPr>
            <w:r w:rsidRPr="00D9348B">
              <w:rPr>
                <w:rFonts w:cs="Calibri"/>
                <w:color w:val="000000"/>
              </w:rPr>
              <w:t>1.A.3.a</w:t>
            </w:r>
          </w:p>
        </w:tc>
        <w:tc>
          <w:tcPr>
            <w:tcW w:w="5216" w:type="dxa"/>
            <w:shd w:val="clear" w:color="auto" w:fill="auto"/>
            <w:noWrap/>
            <w:hideMark/>
          </w:tcPr>
          <w:p w14:paraId="5B4A2F54" w14:textId="77777777" w:rsidR="00E20138" w:rsidRPr="00D9348B" w:rsidRDefault="00E20138" w:rsidP="00DB330E">
            <w:pPr>
              <w:pStyle w:val="TableText"/>
              <w:spacing w:before="40"/>
              <w:rPr>
                <w:rFonts w:cs="Calibri"/>
              </w:rPr>
            </w:pPr>
            <w:r w:rsidRPr="00D9348B">
              <w:rPr>
                <w:rFonts w:cs="Calibri"/>
                <w:color w:val="000000"/>
              </w:rPr>
              <w:t>Domestic Aviation – Jet Kerosene</w:t>
            </w:r>
          </w:p>
        </w:tc>
        <w:tc>
          <w:tcPr>
            <w:tcW w:w="624" w:type="dxa"/>
            <w:shd w:val="clear" w:color="auto" w:fill="auto"/>
            <w:noWrap/>
            <w:hideMark/>
          </w:tcPr>
          <w:p w14:paraId="4806914B" w14:textId="77777777" w:rsidR="00E20138" w:rsidRPr="00D9348B" w:rsidRDefault="00E20138" w:rsidP="00DB330E">
            <w:pPr>
              <w:pStyle w:val="TableText"/>
              <w:spacing w:before="40"/>
              <w:jc w:val="center"/>
              <w:rPr>
                <w:rFonts w:cs="Calibri"/>
              </w:rPr>
            </w:pPr>
            <w:r w:rsidRPr="00D9348B">
              <w:rPr>
                <w:rFonts w:cs="Calibri"/>
                <w:color w:val="000000"/>
              </w:rPr>
              <w:t>CO</w:t>
            </w:r>
            <w:r w:rsidRPr="00D9348B">
              <w:rPr>
                <w:rFonts w:cs="Calibri"/>
                <w:color w:val="000000"/>
                <w:vertAlign w:val="subscript"/>
              </w:rPr>
              <w:t>2</w:t>
            </w:r>
          </w:p>
        </w:tc>
        <w:tc>
          <w:tcPr>
            <w:tcW w:w="1077" w:type="dxa"/>
            <w:shd w:val="clear" w:color="auto" w:fill="auto"/>
            <w:noWrap/>
            <w:hideMark/>
          </w:tcPr>
          <w:p w14:paraId="3F00B3AD" w14:textId="77777777" w:rsidR="00E20138" w:rsidRPr="00D9348B" w:rsidRDefault="00E20138" w:rsidP="00DB330E">
            <w:pPr>
              <w:pStyle w:val="TableText"/>
              <w:spacing w:before="40"/>
              <w:rPr>
                <w:rFonts w:cs="Calibri"/>
              </w:rPr>
            </w:pPr>
            <w:r w:rsidRPr="00D9348B">
              <w:rPr>
                <w:rFonts w:cs="Calibri"/>
                <w:color w:val="000000"/>
              </w:rPr>
              <w:t>L1, T1</w:t>
            </w:r>
          </w:p>
        </w:tc>
      </w:tr>
      <w:tr w:rsidR="00E20138" w:rsidRPr="00D9348B" w14:paraId="0EE5AC92" w14:textId="77777777" w:rsidTr="00FD3CFA">
        <w:tc>
          <w:tcPr>
            <w:tcW w:w="1021" w:type="dxa"/>
            <w:shd w:val="clear" w:color="auto" w:fill="auto"/>
            <w:noWrap/>
            <w:hideMark/>
          </w:tcPr>
          <w:p w14:paraId="42602A18" w14:textId="77777777" w:rsidR="00E20138" w:rsidRPr="00D9348B" w:rsidRDefault="00E20138" w:rsidP="00DB330E">
            <w:pPr>
              <w:pStyle w:val="TableText"/>
              <w:spacing w:before="40"/>
              <w:rPr>
                <w:rFonts w:cs="Calibri"/>
              </w:rPr>
            </w:pPr>
            <w:r w:rsidRPr="00D9348B">
              <w:rPr>
                <w:rFonts w:cs="Calibri"/>
                <w:color w:val="000000"/>
              </w:rPr>
              <w:t>1.A.3.b</w:t>
            </w:r>
          </w:p>
        </w:tc>
        <w:tc>
          <w:tcPr>
            <w:tcW w:w="5216" w:type="dxa"/>
            <w:shd w:val="clear" w:color="auto" w:fill="auto"/>
            <w:noWrap/>
            <w:hideMark/>
          </w:tcPr>
          <w:p w14:paraId="7E3BA39F" w14:textId="77777777" w:rsidR="00E20138" w:rsidRPr="00D9348B" w:rsidRDefault="00E20138" w:rsidP="00DB330E">
            <w:pPr>
              <w:pStyle w:val="TableText"/>
              <w:spacing w:before="40"/>
              <w:rPr>
                <w:rFonts w:cs="Calibri"/>
              </w:rPr>
            </w:pPr>
            <w:r w:rsidRPr="00D9348B">
              <w:rPr>
                <w:rFonts w:cs="Calibri"/>
                <w:color w:val="000000"/>
              </w:rPr>
              <w:t>Transport – Road Transportation Liquid Fuels</w:t>
            </w:r>
          </w:p>
        </w:tc>
        <w:tc>
          <w:tcPr>
            <w:tcW w:w="624" w:type="dxa"/>
            <w:shd w:val="clear" w:color="auto" w:fill="auto"/>
            <w:noWrap/>
            <w:hideMark/>
          </w:tcPr>
          <w:p w14:paraId="510100D9" w14:textId="77777777" w:rsidR="00E20138" w:rsidRPr="00D9348B" w:rsidRDefault="00E20138" w:rsidP="00DB330E">
            <w:pPr>
              <w:pStyle w:val="TableText"/>
              <w:spacing w:before="40"/>
              <w:jc w:val="center"/>
              <w:rPr>
                <w:rFonts w:cs="Calibri"/>
              </w:rPr>
            </w:pPr>
            <w:r w:rsidRPr="00D9348B">
              <w:rPr>
                <w:rFonts w:cs="Calibri"/>
                <w:color w:val="000000"/>
              </w:rPr>
              <w:t>CO</w:t>
            </w:r>
            <w:r w:rsidRPr="00D9348B">
              <w:rPr>
                <w:rFonts w:cs="Calibri"/>
                <w:color w:val="000000"/>
                <w:vertAlign w:val="subscript"/>
              </w:rPr>
              <w:t>2</w:t>
            </w:r>
          </w:p>
        </w:tc>
        <w:tc>
          <w:tcPr>
            <w:tcW w:w="1077" w:type="dxa"/>
            <w:shd w:val="clear" w:color="auto" w:fill="auto"/>
            <w:noWrap/>
            <w:hideMark/>
          </w:tcPr>
          <w:p w14:paraId="2E8A68DD" w14:textId="77777777" w:rsidR="00E20138" w:rsidRPr="00D9348B" w:rsidRDefault="00E20138" w:rsidP="00DB330E">
            <w:pPr>
              <w:pStyle w:val="TableText"/>
              <w:spacing w:before="40"/>
              <w:rPr>
                <w:rFonts w:cs="Calibri"/>
              </w:rPr>
            </w:pPr>
            <w:r w:rsidRPr="00D9348B">
              <w:rPr>
                <w:rFonts w:cs="Calibri"/>
                <w:color w:val="000000"/>
              </w:rPr>
              <w:t>L1, T1</w:t>
            </w:r>
          </w:p>
        </w:tc>
      </w:tr>
      <w:tr w:rsidR="00E20138" w:rsidRPr="00D9348B" w14:paraId="46A41C0C" w14:textId="77777777" w:rsidTr="00FD3CFA">
        <w:tc>
          <w:tcPr>
            <w:tcW w:w="1021" w:type="dxa"/>
            <w:shd w:val="clear" w:color="auto" w:fill="auto"/>
            <w:noWrap/>
            <w:hideMark/>
          </w:tcPr>
          <w:p w14:paraId="1C1A1F0E" w14:textId="77777777" w:rsidR="00E20138" w:rsidRPr="00D9348B" w:rsidRDefault="00E20138" w:rsidP="00DB330E">
            <w:pPr>
              <w:pStyle w:val="TableText"/>
              <w:spacing w:before="40"/>
              <w:rPr>
                <w:rFonts w:cs="Calibri"/>
              </w:rPr>
            </w:pPr>
            <w:r w:rsidRPr="00D9348B">
              <w:rPr>
                <w:rFonts w:cs="Calibri"/>
                <w:color w:val="000000"/>
              </w:rPr>
              <w:t>1.A.3.b</w:t>
            </w:r>
          </w:p>
        </w:tc>
        <w:tc>
          <w:tcPr>
            <w:tcW w:w="5216" w:type="dxa"/>
            <w:shd w:val="clear" w:color="auto" w:fill="auto"/>
            <w:noWrap/>
            <w:hideMark/>
          </w:tcPr>
          <w:p w14:paraId="31261089" w14:textId="77777777" w:rsidR="00E20138" w:rsidRPr="00D9348B" w:rsidRDefault="00E20138" w:rsidP="00DB330E">
            <w:pPr>
              <w:pStyle w:val="TableText"/>
              <w:spacing w:before="40"/>
              <w:rPr>
                <w:rFonts w:cs="Calibri"/>
              </w:rPr>
            </w:pPr>
            <w:r w:rsidRPr="00D9348B">
              <w:rPr>
                <w:rFonts w:cs="Calibri"/>
                <w:color w:val="000000"/>
              </w:rPr>
              <w:t>Transport – Road Transportation Gaseous Fuels</w:t>
            </w:r>
          </w:p>
        </w:tc>
        <w:tc>
          <w:tcPr>
            <w:tcW w:w="624" w:type="dxa"/>
            <w:shd w:val="clear" w:color="auto" w:fill="auto"/>
            <w:noWrap/>
            <w:hideMark/>
          </w:tcPr>
          <w:p w14:paraId="1C55374E" w14:textId="77777777" w:rsidR="00E20138" w:rsidRPr="00D9348B" w:rsidRDefault="00E20138" w:rsidP="00DB330E">
            <w:pPr>
              <w:pStyle w:val="TableText"/>
              <w:spacing w:before="40"/>
              <w:jc w:val="center"/>
              <w:rPr>
                <w:rFonts w:cs="Calibri"/>
              </w:rPr>
            </w:pPr>
            <w:r w:rsidRPr="00D9348B">
              <w:rPr>
                <w:rFonts w:cs="Calibri"/>
                <w:color w:val="000000"/>
              </w:rPr>
              <w:t>CO</w:t>
            </w:r>
            <w:r w:rsidRPr="00D9348B">
              <w:rPr>
                <w:rFonts w:cs="Calibri"/>
                <w:color w:val="000000"/>
                <w:vertAlign w:val="subscript"/>
              </w:rPr>
              <w:t>2</w:t>
            </w:r>
          </w:p>
        </w:tc>
        <w:tc>
          <w:tcPr>
            <w:tcW w:w="1077" w:type="dxa"/>
            <w:shd w:val="clear" w:color="auto" w:fill="auto"/>
            <w:noWrap/>
            <w:hideMark/>
          </w:tcPr>
          <w:p w14:paraId="0C377585" w14:textId="77777777" w:rsidR="00E20138" w:rsidRPr="00D9348B" w:rsidRDefault="00E20138" w:rsidP="00DB330E">
            <w:pPr>
              <w:pStyle w:val="TableText"/>
              <w:spacing w:before="40"/>
              <w:rPr>
                <w:rFonts w:cs="Calibri"/>
              </w:rPr>
            </w:pPr>
            <w:r w:rsidRPr="00D9348B">
              <w:rPr>
                <w:rFonts w:cs="Calibri"/>
                <w:color w:val="000000"/>
              </w:rPr>
              <w:t>T1</w:t>
            </w:r>
          </w:p>
        </w:tc>
      </w:tr>
      <w:tr w:rsidR="00E20138" w:rsidRPr="00D9348B" w14:paraId="09E3B970" w14:textId="77777777" w:rsidTr="00FD3CFA">
        <w:tc>
          <w:tcPr>
            <w:tcW w:w="1021" w:type="dxa"/>
            <w:shd w:val="clear" w:color="auto" w:fill="auto"/>
            <w:noWrap/>
            <w:hideMark/>
          </w:tcPr>
          <w:p w14:paraId="20D4E30F" w14:textId="77777777" w:rsidR="00E20138" w:rsidRPr="00D9348B" w:rsidRDefault="00E20138" w:rsidP="00DB330E">
            <w:pPr>
              <w:pStyle w:val="TableText"/>
              <w:spacing w:before="40"/>
              <w:rPr>
                <w:rFonts w:cs="Calibri"/>
              </w:rPr>
            </w:pPr>
            <w:r w:rsidRPr="00D9348B">
              <w:rPr>
                <w:rFonts w:cs="Calibri"/>
                <w:color w:val="000000"/>
              </w:rPr>
              <w:t>1.A.3.d</w:t>
            </w:r>
          </w:p>
        </w:tc>
        <w:tc>
          <w:tcPr>
            <w:tcW w:w="5216" w:type="dxa"/>
            <w:shd w:val="clear" w:color="auto" w:fill="auto"/>
            <w:noWrap/>
            <w:hideMark/>
          </w:tcPr>
          <w:p w14:paraId="2217831A" w14:textId="77777777" w:rsidR="00E20138" w:rsidRPr="00D9348B" w:rsidRDefault="00E20138" w:rsidP="00DB330E">
            <w:pPr>
              <w:pStyle w:val="TableText"/>
              <w:spacing w:before="40"/>
              <w:rPr>
                <w:rFonts w:cs="Calibri"/>
              </w:rPr>
            </w:pPr>
            <w:r w:rsidRPr="00D9348B">
              <w:rPr>
                <w:rFonts w:cs="Calibri"/>
                <w:color w:val="000000"/>
              </w:rPr>
              <w:t>Domestic Navigation – Residual Fuel Oil</w:t>
            </w:r>
          </w:p>
        </w:tc>
        <w:tc>
          <w:tcPr>
            <w:tcW w:w="624" w:type="dxa"/>
            <w:shd w:val="clear" w:color="auto" w:fill="auto"/>
            <w:noWrap/>
            <w:hideMark/>
          </w:tcPr>
          <w:p w14:paraId="7B0D4F50" w14:textId="77777777" w:rsidR="00E20138" w:rsidRPr="00D9348B" w:rsidRDefault="00E20138" w:rsidP="00DB330E">
            <w:pPr>
              <w:pStyle w:val="TableText"/>
              <w:spacing w:before="40"/>
              <w:jc w:val="center"/>
              <w:rPr>
                <w:rFonts w:cs="Calibri"/>
              </w:rPr>
            </w:pPr>
            <w:r w:rsidRPr="00D9348B">
              <w:rPr>
                <w:rFonts w:cs="Calibri"/>
                <w:color w:val="000000"/>
              </w:rPr>
              <w:t>CO</w:t>
            </w:r>
            <w:r w:rsidRPr="00D9348B">
              <w:rPr>
                <w:rFonts w:cs="Calibri"/>
                <w:color w:val="000000"/>
                <w:vertAlign w:val="subscript"/>
              </w:rPr>
              <w:t>2</w:t>
            </w:r>
          </w:p>
        </w:tc>
        <w:tc>
          <w:tcPr>
            <w:tcW w:w="1077" w:type="dxa"/>
            <w:shd w:val="clear" w:color="auto" w:fill="auto"/>
            <w:noWrap/>
            <w:hideMark/>
          </w:tcPr>
          <w:p w14:paraId="48A8AC38" w14:textId="77777777" w:rsidR="00E20138" w:rsidRPr="00D9348B" w:rsidRDefault="00E20138" w:rsidP="00DB330E">
            <w:pPr>
              <w:pStyle w:val="TableText"/>
              <w:spacing w:before="40"/>
              <w:rPr>
                <w:rFonts w:cs="Calibri"/>
              </w:rPr>
            </w:pPr>
            <w:r w:rsidRPr="00D9348B">
              <w:rPr>
                <w:rFonts w:cs="Calibri"/>
                <w:color w:val="000000"/>
              </w:rPr>
              <w:t>L1</w:t>
            </w:r>
          </w:p>
        </w:tc>
      </w:tr>
      <w:tr w:rsidR="00E20138" w:rsidRPr="00D9348B" w14:paraId="6B0520B2" w14:textId="77777777" w:rsidTr="00FD3CFA">
        <w:tc>
          <w:tcPr>
            <w:tcW w:w="1021" w:type="dxa"/>
            <w:shd w:val="clear" w:color="auto" w:fill="auto"/>
            <w:noWrap/>
            <w:hideMark/>
          </w:tcPr>
          <w:p w14:paraId="004DB00B" w14:textId="77777777" w:rsidR="00E20138" w:rsidRPr="00D9348B" w:rsidRDefault="00E20138" w:rsidP="00DB330E">
            <w:pPr>
              <w:pStyle w:val="TableText"/>
              <w:spacing w:before="40"/>
              <w:rPr>
                <w:rFonts w:cs="Calibri"/>
              </w:rPr>
            </w:pPr>
            <w:r w:rsidRPr="00D9348B">
              <w:rPr>
                <w:rFonts w:cs="Calibri"/>
                <w:color w:val="000000"/>
              </w:rPr>
              <w:t>1.A.4.a</w:t>
            </w:r>
          </w:p>
        </w:tc>
        <w:tc>
          <w:tcPr>
            <w:tcW w:w="5216" w:type="dxa"/>
            <w:shd w:val="clear" w:color="auto" w:fill="auto"/>
            <w:noWrap/>
            <w:hideMark/>
          </w:tcPr>
          <w:p w14:paraId="3F674BDF" w14:textId="77777777" w:rsidR="00E20138" w:rsidRPr="00D9348B" w:rsidRDefault="00E20138" w:rsidP="00DB330E">
            <w:pPr>
              <w:pStyle w:val="TableText"/>
              <w:spacing w:before="40"/>
              <w:rPr>
                <w:rFonts w:cs="Calibri"/>
              </w:rPr>
            </w:pPr>
            <w:r w:rsidRPr="00D9348B">
              <w:rPr>
                <w:rFonts w:cs="Calibri"/>
                <w:color w:val="000000"/>
              </w:rPr>
              <w:t>Other Sectors – Commercial/Institutional Gaseous Fuels</w:t>
            </w:r>
          </w:p>
        </w:tc>
        <w:tc>
          <w:tcPr>
            <w:tcW w:w="624" w:type="dxa"/>
            <w:shd w:val="clear" w:color="auto" w:fill="auto"/>
            <w:noWrap/>
            <w:hideMark/>
          </w:tcPr>
          <w:p w14:paraId="78D6747D" w14:textId="77777777" w:rsidR="00E20138" w:rsidRPr="00D9348B" w:rsidRDefault="00E20138" w:rsidP="00DB330E">
            <w:pPr>
              <w:pStyle w:val="TableText"/>
              <w:spacing w:before="40"/>
              <w:jc w:val="center"/>
              <w:rPr>
                <w:rFonts w:cs="Calibri"/>
              </w:rPr>
            </w:pPr>
            <w:r w:rsidRPr="00D9348B">
              <w:rPr>
                <w:rFonts w:cs="Calibri"/>
                <w:color w:val="000000"/>
              </w:rPr>
              <w:t>CO</w:t>
            </w:r>
            <w:r w:rsidRPr="00D9348B">
              <w:rPr>
                <w:rFonts w:cs="Calibri"/>
                <w:color w:val="000000"/>
                <w:vertAlign w:val="subscript"/>
              </w:rPr>
              <w:t>2</w:t>
            </w:r>
          </w:p>
        </w:tc>
        <w:tc>
          <w:tcPr>
            <w:tcW w:w="1077" w:type="dxa"/>
            <w:shd w:val="clear" w:color="auto" w:fill="auto"/>
            <w:noWrap/>
            <w:hideMark/>
          </w:tcPr>
          <w:p w14:paraId="563FDCC4" w14:textId="77777777" w:rsidR="00E20138" w:rsidRPr="00D9348B" w:rsidRDefault="00E20138" w:rsidP="00DB330E">
            <w:pPr>
              <w:pStyle w:val="TableText"/>
              <w:spacing w:before="40"/>
              <w:rPr>
                <w:rFonts w:cs="Calibri"/>
              </w:rPr>
            </w:pPr>
            <w:r w:rsidRPr="00D9348B">
              <w:rPr>
                <w:rFonts w:cs="Calibri"/>
                <w:color w:val="000000"/>
              </w:rPr>
              <w:t>L1, T1</w:t>
            </w:r>
          </w:p>
        </w:tc>
      </w:tr>
      <w:tr w:rsidR="00E20138" w:rsidRPr="00D9348B" w14:paraId="49A22B9D" w14:textId="77777777" w:rsidTr="00FD3CFA">
        <w:tc>
          <w:tcPr>
            <w:tcW w:w="1021" w:type="dxa"/>
            <w:shd w:val="clear" w:color="auto" w:fill="auto"/>
            <w:noWrap/>
            <w:hideMark/>
          </w:tcPr>
          <w:p w14:paraId="3EC4302B" w14:textId="77777777" w:rsidR="00E20138" w:rsidRPr="00D9348B" w:rsidRDefault="00E20138" w:rsidP="00DB330E">
            <w:pPr>
              <w:pStyle w:val="TableText"/>
              <w:spacing w:before="40"/>
              <w:rPr>
                <w:rFonts w:cs="Calibri"/>
              </w:rPr>
            </w:pPr>
            <w:r w:rsidRPr="00D9348B">
              <w:rPr>
                <w:rFonts w:cs="Calibri"/>
                <w:color w:val="000000"/>
              </w:rPr>
              <w:t>1.A.4.a</w:t>
            </w:r>
          </w:p>
        </w:tc>
        <w:tc>
          <w:tcPr>
            <w:tcW w:w="5216" w:type="dxa"/>
            <w:shd w:val="clear" w:color="auto" w:fill="auto"/>
            <w:noWrap/>
            <w:hideMark/>
          </w:tcPr>
          <w:p w14:paraId="0778C3DB" w14:textId="77777777" w:rsidR="00E20138" w:rsidRPr="00D9348B" w:rsidRDefault="00E20138" w:rsidP="00DB330E">
            <w:pPr>
              <w:pStyle w:val="TableText"/>
              <w:spacing w:before="40"/>
              <w:rPr>
                <w:rFonts w:cs="Calibri"/>
              </w:rPr>
            </w:pPr>
            <w:r w:rsidRPr="00D9348B">
              <w:rPr>
                <w:rFonts w:cs="Calibri"/>
                <w:color w:val="000000"/>
              </w:rPr>
              <w:t>Other Sectors – Commercial/Institutional Liquid Fuels</w:t>
            </w:r>
          </w:p>
        </w:tc>
        <w:tc>
          <w:tcPr>
            <w:tcW w:w="624" w:type="dxa"/>
            <w:shd w:val="clear" w:color="auto" w:fill="auto"/>
            <w:noWrap/>
            <w:hideMark/>
          </w:tcPr>
          <w:p w14:paraId="3EFE610E" w14:textId="77777777" w:rsidR="00E20138" w:rsidRPr="00D9348B" w:rsidRDefault="00E20138" w:rsidP="00DB330E">
            <w:pPr>
              <w:pStyle w:val="TableText"/>
              <w:spacing w:before="40"/>
              <w:jc w:val="center"/>
              <w:rPr>
                <w:rFonts w:cs="Calibri"/>
              </w:rPr>
            </w:pPr>
            <w:r w:rsidRPr="00D9348B">
              <w:rPr>
                <w:rFonts w:cs="Calibri"/>
                <w:color w:val="000000"/>
              </w:rPr>
              <w:t>CO</w:t>
            </w:r>
            <w:r w:rsidRPr="00D9348B">
              <w:rPr>
                <w:rFonts w:cs="Calibri"/>
                <w:color w:val="000000"/>
                <w:vertAlign w:val="subscript"/>
              </w:rPr>
              <w:t>2</w:t>
            </w:r>
          </w:p>
        </w:tc>
        <w:tc>
          <w:tcPr>
            <w:tcW w:w="1077" w:type="dxa"/>
            <w:shd w:val="clear" w:color="auto" w:fill="auto"/>
            <w:noWrap/>
            <w:hideMark/>
          </w:tcPr>
          <w:p w14:paraId="3FDE2E47" w14:textId="77777777" w:rsidR="00E20138" w:rsidRPr="00D9348B" w:rsidRDefault="00E20138" w:rsidP="00DB330E">
            <w:pPr>
              <w:pStyle w:val="TableText"/>
              <w:spacing w:before="40"/>
              <w:rPr>
                <w:rFonts w:cs="Calibri"/>
              </w:rPr>
            </w:pPr>
            <w:r w:rsidRPr="00D9348B">
              <w:rPr>
                <w:rFonts w:cs="Calibri"/>
                <w:color w:val="000000"/>
              </w:rPr>
              <w:t>L1, T1</w:t>
            </w:r>
          </w:p>
        </w:tc>
      </w:tr>
      <w:tr w:rsidR="00E20138" w:rsidRPr="00D9348B" w14:paraId="7A5E76A4" w14:textId="77777777" w:rsidTr="00FD3CFA">
        <w:tc>
          <w:tcPr>
            <w:tcW w:w="1021" w:type="dxa"/>
            <w:shd w:val="clear" w:color="auto" w:fill="auto"/>
            <w:noWrap/>
          </w:tcPr>
          <w:p w14:paraId="6D700D5C" w14:textId="77777777" w:rsidR="00E20138" w:rsidRPr="00D9348B" w:rsidRDefault="00E20138" w:rsidP="00DB330E">
            <w:pPr>
              <w:pStyle w:val="TableText"/>
              <w:spacing w:before="40"/>
              <w:rPr>
                <w:rFonts w:cs="Calibri"/>
                <w:color w:val="000000"/>
              </w:rPr>
            </w:pPr>
            <w:r w:rsidRPr="00D9348B">
              <w:rPr>
                <w:rFonts w:cs="Calibri"/>
                <w:color w:val="000000"/>
              </w:rPr>
              <w:t>1.A.4.a</w:t>
            </w:r>
          </w:p>
        </w:tc>
        <w:tc>
          <w:tcPr>
            <w:tcW w:w="5216" w:type="dxa"/>
            <w:shd w:val="clear" w:color="auto" w:fill="auto"/>
            <w:noWrap/>
          </w:tcPr>
          <w:p w14:paraId="7EBD6EC4" w14:textId="77777777" w:rsidR="00E20138" w:rsidRPr="00D9348B" w:rsidRDefault="00E20138" w:rsidP="00DB330E">
            <w:pPr>
              <w:pStyle w:val="TableText"/>
              <w:spacing w:before="40"/>
              <w:rPr>
                <w:rFonts w:cs="Calibri"/>
                <w:color w:val="000000"/>
              </w:rPr>
            </w:pPr>
            <w:r w:rsidRPr="00D9348B">
              <w:rPr>
                <w:rFonts w:cs="Calibri"/>
                <w:color w:val="000000"/>
              </w:rPr>
              <w:t>Other Sectors – Commercial/Institutional Solid Fuels</w:t>
            </w:r>
          </w:p>
        </w:tc>
        <w:tc>
          <w:tcPr>
            <w:tcW w:w="624" w:type="dxa"/>
            <w:shd w:val="clear" w:color="auto" w:fill="auto"/>
            <w:noWrap/>
          </w:tcPr>
          <w:p w14:paraId="444F4838" w14:textId="77777777" w:rsidR="00E20138" w:rsidRPr="00D9348B" w:rsidRDefault="00E20138" w:rsidP="00DB330E">
            <w:pPr>
              <w:pStyle w:val="TableText"/>
              <w:spacing w:before="40"/>
              <w:jc w:val="center"/>
              <w:rPr>
                <w:rFonts w:cs="Calibri"/>
                <w:color w:val="000000"/>
              </w:rPr>
            </w:pPr>
            <w:r w:rsidRPr="00D9348B">
              <w:rPr>
                <w:rFonts w:cs="Calibri"/>
                <w:color w:val="000000"/>
              </w:rPr>
              <w:t>CO</w:t>
            </w:r>
            <w:r w:rsidRPr="00D9348B">
              <w:rPr>
                <w:rFonts w:cs="Calibri"/>
                <w:color w:val="000000"/>
                <w:vertAlign w:val="subscript"/>
              </w:rPr>
              <w:t>2</w:t>
            </w:r>
          </w:p>
        </w:tc>
        <w:tc>
          <w:tcPr>
            <w:tcW w:w="1077" w:type="dxa"/>
            <w:shd w:val="clear" w:color="auto" w:fill="auto"/>
            <w:noWrap/>
          </w:tcPr>
          <w:p w14:paraId="30925F4A" w14:textId="77777777" w:rsidR="00E20138" w:rsidRPr="00D9348B" w:rsidRDefault="00E20138" w:rsidP="00DB330E">
            <w:pPr>
              <w:pStyle w:val="TableText"/>
              <w:spacing w:before="40"/>
              <w:rPr>
                <w:rFonts w:cs="Calibri"/>
                <w:color w:val="000000"/>
              </w:rPr>
            </w:pPr>
            <w:r w:rsidRPr="00D9348B">
              <w:rPr>
                <w:rFonts w:cs="Calibri"/>
                <w:color w:val="000000"/>
              </w:rPr>
              <w:t>T1</w:t>
            </w:r>
          </w:p>
        </w:tc>
      </w:tr>
      <w:tr w:rsidR="00E20138" w:rsidRPr="00D9348B" w14:paraId="2F6774D4" w14:textId="77777777" w:rsidTr="00FD3CFA">
        <w:tc>
          <w:tcPr>
            <w:tcW w:w="1021" w:type="dxa"/>
            <w:shd w:val="clear" w:color="auto" w:fill="auto"/>
            <w:noWrap/>
            <w:hideMark/>
          </w:tcPr>
          <w:p w14:paraId="14FA6CD7" w14:textId="77777777" w:rsidR="00E20138" w:rsidRPr="00D9348B" w:rsidRDefault="00E20138" w:rsidP="00DB330E">
            <w:pPr>
              <w:pStyle w:val="TableText"/>
              <w:spacing w:before="40"/>
              <w:rPr>
                <w:rFonts w:cs="Calibri"/>
              </w:rPr>
            </w:pPr>
            <w:r w:rsidRPr="00D9348B">
              <w:rPr>
                <w:rFonts w:cs="Calibri"/>
                <w:color w:val="000000"/>
              </w:rPr>
              <w:t>1.A.4.b</w:t>
            </w:r>
          </w:p>
        </w:tc>
        <w:tc>
          <w:tcPr>
            <w:tcW w:w="5216" w:type="dxa"/>
            <w:shd w:val="clear" w:color="auto" w:fill="auto"/>
            <w:noWrap/>
            <w:hideMark/>
          </w:tcPr>
          <w:p w14:paraId="662E1FF0" w14:textId="77777777" w:rsidR="00E20138" w:rsidRPr="00D9348B" w:rsidRDefault="00E20138" w:rsidP="00DB330E">
            <w:pPr>
              <w:pStyle w:val="TableText"/>
              <w:spacing w:before="40"/>
              <w:rPr>
                <w:rFonts w:cs="Calibri"/>
              </w:rPr>
            </w:pPr>
            <w:r w:rsidRPr="00D9348B">
              <w:rPr>
                <w:rFonts w:cs="Calibri"/>
                <w:color w:val="000000"/>
              </w:rPr>
              <w:t>Other Sectors – Residential Gaseous Fuels</w:t>
            </w:r>
          </w:p>
        </w:tc>
        <w:tc>
          <w:tcPr>
            <w:tcW w:w="624" w:type="dxa"/>
            <w:shd w:val="clear" w:color="auto" w:fill="auto"/>
            <w:noWrap/>
            <w:hideMark/>
          </w:tcPr>
          <w:p w14:paraId="128C1DFF" w14:textId="77777777" w:rsidR="00E20138" w:rsidRPr="00D9348B" w:rsidRDefault="00E20138" w:rsidP="00DB330E">
            <w:pPr>
              <w:pStyle w:val="TableText"/>
              <w:spacing w:before="40"/>
              <w:jc w:val="center"/>
              <w:rPr>
                <w:rFonts w:cs="Calibri"/>
              </w:rPr>
            </w:pPr>
            <w:r w:rsidRPr="00D9348B">
              <w:rPr>
                <w:rFonts w:cs="Calibri"/>
                <w:color w:val="000000"/>
              </w:rPr>
              <w:t>CO</w:t>
            </w:r>
            <w:r w:rsidRPr="00D9348B">
              <w:rPr>
                <w:rFonts w:cs="Calibri"/>
                <w:color w:val="000000"/>
                <w:vertAlign w:val="subscript"/>
              </w:rPr>
              <w:t>2</w:t>
            </w:r>
          </w:p>
        </w:tc>
        <w:tc>
          <w:tcPr>
            <w:tcW w:w="1077" w:type="dxa"/>
            <w:shd w:val="clear" w:color="auto" w:fill="auto"/>
            <w:noWrap/>
            <w:hideMark/>
          </w:tcPr>
          <w:p w14:paraId="24677104" w14:textId="77777777" w:rsidR="00E20138" w:rsidRPr="00D9348B" w:rsidRDefault="00E20138" w:rsidP="00DB330E">
            <w:pPr>
              <w:pStyle w:val="TableText"/>
              <w:spacing w:before="40"/>
              <w:rPr>
                <w:rFonts w:cs="Calibri"/>
              </w:rPr>
            </w:pPr>
            <w:r w:rsidRPr="00D9348B">
              <w:rPr>
                <w:rFonts w:cs="Calibri"/>
                <w:color w:val="000000"/>
              </w:rPr>
              <w:t>L1, T1</w:t>
            </w:r>
          </w:p>
        </w:tc>
      </w:tr>
      <w:tr w:rsidR="00E20138" w:rsidRPr="00D9348B" w14:paraId="3B40D1C1" w14:textId="77777777" w:rsidTr="00FD3CFA">
        <w:tc>
          <w:tcPr>
            <w:tcW w:w="1021" w:type="dxa"/>
            <w:shd w:val="clear" w:color="auto" w:fill="auto"/>
            <w:noWrap/>
          </w:tcPr>
          <w:p w14:paraId="2EF9C2B5" w14:textId="77777777" w:rsidR="00E20138" w:rsidRPr="00D9348B" w:rsidRDefault="00E20138" w:rsidP="00DB330E">
            <w:pPr>
              <w:pStyle w:val="TableText"/>
              <w:spacing w:before="40"/>
              <w:rPr>
                <w:rFonts w:cs="Calibri"/>
                <w:color w:val="000000"/>
              </w:rPr>
            </w:pPr>
            <w:r w:rsidRPr="00D9348B">
              <w:rPr>
                <w:rFonts w:cs="Calibri"/>
                <w:color w:val="000000"/>
              </w:rPr>
              <w:t>1.A.4.b</w:t>
            </w:r>
          </w:p>
        </w:tc>
        <w:tc>
          <w:tcPr>
            <w:tcW w:w="5216" w:type="dxa"/>
            <w:shd w:val="clear" w:color="auto" w:fill="auto"/>
            <w:noWrap/>
          </w:tcPr>
          <w:p w14:paraId="3EAF5D7D" w14:textId="77777777" w:rsidR="00E20138" w:rsidRPr="00D9348B" w:rsidRDefault="00E20138" w:rsidP="00DB330E">
            <w:pPr>
              <w:pStyle w:val="TableText"/>
              <w:spacing w:before="40"/>
              <w:rPr>
                <w:rFonts w:cs="Calibri"/>
                <w:color w:val="000000"/>
              </w:rPr>
            </w:pPr>
            <w:r w:rsidRPr="00D9348B">
              <w:rPr>
                <w:rFonts w:cs="Calibri"/>
                <w:color w:val="000000"/>
              </w:rPr>
              <w:t>Other Sectors – Residential Liquid Fuels</w:t>
            </w:r>
          </w:p>
        </w:tc>
        <w:tc>
          <w:tcPr>
            <w:tcW w:w="624" w:type="dxa"/>
            <w:shd w:val="clear" w:color="auto" w:fill="auto"/>
            <w:noWrap/>
          </w:tcPr>
          <w:p w14:paraId="68A2660A" w14:textId="77777777" w:rsidR="00E20138" w:rsidRPr="00D9348B" w:rsidRDefault="00E20138" w:rsidP="00DB330E">
            <w:pPr>
              <w:pStyle w:val="TableText"/>
              <w:spacing w:before="40"/>
              <w:jc w:val="center"/>
              <w:rPr>
                <w:rFonts w:cs="Calibri"/>
                <w:color w:val="000000"/>
              </w:rPr>
            </w:pPr>
            <w:r w:rsidRPr="00D9348B">
              <w:rPr>
                <w:rFonts w:cs="Calibri"/>
                <w:color w:val="000000"/>
              </w:rPr>
              <w:t>CO</w:t>
            </w:r>
            <w:r w:rsidRPr="00D9348B">
              <w:rPr>
                <w:rFonts w:cs="Calibri"/>
                <w:color w:val="000000"/>
                <w:vertAlign w:val="subscript"/>
              </w:rPr>
              <w:t>2</w:t>
            </w:r>
          </w:p>
        </w:tc>
        <w:tc>
          <w:tcPr>
            <w:tcW w:w="1077" w:type="dxa"/>
            <w:shd w:val="clear" w:color="auto" w:fill="auto"/>
            <w:noWrap/>
          </w:tcPr>
          <w:p w14:paraId="39318179" w14:textId="77777777" w:rsidR="00E20138" w:rsidRPr="00D9348B" w:rsidRDefault="00E20138" w:rsidP="00DB330E">
            <w:pPr>
              <w:pStyle w:val="TableText"/>
              <w:spacing w:before="40"/>
              <w:rPr>
                <w:rFonts w:cs="Calibri"/>
                <w:color w:val="000000"/>
              </w:rPr>
            </w:pPr>
            <w:r w:rsidRPr="00D9348B">
              <w:rPr>
                <w:rFonts w:cs="Calibri"/>
                <w:color w:val="000000"/>
              </w:rPr>
              <w:t>L1</w:t>
            </w:r>
          </w:p>
        </w:tc>
      </w:tr>
      <w:tr w:rsidR="00E20138" w:rsidRPr="00D9348B" w14:paraId="68BBA866" w14:textId="77777777" w:rsidTr="00FD3CFA">
        <w:tc>
          <w:tcPr>
            <w:tcW w:w="1021" w:type="dxa"/>
            <w:shd w:val="clear" w:color="auto" w:fill="auto"/>
            <w:noWrap/>
            <w:hideMark/>
          </w:tcPr>
          <w:p w14:paraId="40BBA7F0" w14:textId="77777777" w:rsidR="00E20138" w:rsidRPr="00D9348B" w:rsidRDefault="00E20138" w:rsidP="00DB330E">
            <w:pPr>
              <w:pStyle w:val="TableText"/>
              <w:spacing w:before="40"/>
              <w:rPr>
                <w:rFonts w:cs="Calibri"/>
              </w:rPr>
            </w:pPr>
            <w:r w:rsidRPr="00D9348B">
              <w:rPr>
                <w:rFonts w:cs="Calibri"/>
                <w:color w:val="000000"/>
              </w:rPr>
              <w:t>1.A.4.b</w:t>
            </w:r>
          </w:p>
        </w:tc>
        <w:tc>
          <w:tcPr>
            <w:tcW w:w="5216" w:type="dxa"/>
            <w:shd w:val="clear" w:color="auto" w:fill="auto"/>
            <w:noWrap/>
            <w:hideMark/>
          </w:tcPr>
          <w:p w14:paraId="7A267F52" w14:textId="77777777" w:rsidR="00E20138" w:rsidRPr="00D9348B" w:rsidRDefault="00E20138" w:rsidP="00DB330E">
            <w:pPr>
              <w:pStyle w:val="TableText"/>
              <w:spacing w:before="40"/>
              <w:rPr>
                <w:rFonts w:cs="Calibri"/>
              </w:rPr>
            </w:pPr>
            <w:r w:rsidRPr="00D9348B">
              <w:rPr>
                <w:rFonts w:cs="Calibri"/>
                <w:color w:val="000000"/>
              </w:rPr>
              <w:t>Other Sectors – Residential Solid Fuels</w:t>
            </w:r>
          </w:p>
        </w:tc>
        <w:tc>
          <w:tcPr>
            <w:tcW w:w="624" w:type="dxa"/>
            <w:shd w:val="clear" w:color="auto" w:fill="auto"/>
            <w:noWrap/>
            <w:hideMark/>
          </w:tcPr>
          <w:p w14:paraId="31EF6487" w14:textId="77777777" w:rsidR="00E20138" w:rsidRPr="00D9348B" w:rsidRDefault="00E20138" w:rsidP="00DB330E">
            <w:pPr>
              <w:pStyle w:val="TableText"/>
              <w:spacing w:before="40"/>
              <w:jc w:val="center"/>
              <w:rPr>
                <w:rFonts w:cs="Calibri"/>
              </w:rPr>
            </w:pPr>
            <w:r w:rsidRPr="00D9348B">
              <w:rPr>
                <w:rFonts w:cs="Calibri"/>
                <w:color w:val="000000"/>
              </w:rPr>
              <w:t>CO</w:t>
            </w:r>
            <w:r w:rsidRPr="00D9348B">
              <w:rPr>
                <w:rFonts w:cs="Calibri"/>
                <w:color w:val="000000"/>
                <w:vertAlign w:val="subscript"/>
              </w:rPr>
              <w:t>2</w:t>
            </w:r>
          </w:p>
        </w:tc>
        <w:tc>
          <w:tcPr>
            <w:tcW w:w="1077" w:type="dxa"/>
            <w:shd w:val="clear" w:color="auto" w:fill="auto"/>
            <w:noWrap/>
            <w:hideMark/>
          </w:tcPr>
          <w:p w14:paraId="47F04CB5" w14:textId="77777777" w:rsidR="00E20138" w:rsidRPr="00D9348B" w:rsidRDefault="00E20138" w:rsidP="00DB330E">
            <w:pPr>
              <w:pStyle w:val="TableText"/>
              <w:spacing w:before="40"/>
              <w:rPr>
                <w:rFonts w:cs="Calibri"/>
              </w:rPr>
            </w:pPr>
            <w:r w:rsidRPr="00D9348B">
              <w:rPr>
                <w:rFonts w:cs="Calibri"/>
                <w:color w:val="000000"/>
              </w:rPr>
              <w:t>T1</w:t>
            </w:r>
          </w:p>
        </w:tc>
      </w:tr>
      <w:tr w:rsidR="00E20138" w:rsidRPr="00D9348B" w14:paraId="59E72489" w14:textId="77777777" w:rsidTr="00FD3CFA">
        <w:tc>
          <w:tcPr>
            <w:tcW w:w="1021" w:type="dxa"/>
            <w:shd w:val="clear" w:color="auto" w:fill="auto"/>
            <w:noWrap/>
            <w:hideMark/>
          </w:tcPr>
          <w:p w14:paraId="0238396F" w14:textId="77777777" w:rsidR="00E20138" w:rsidRPr="00D9348B" w:rsidRDefault="00E20138" w:rsidP="00DB330E">
            <w:pPr>
              <w:pStyle w:val="TableText"/>
              <w:spacing w:before="40"/>
              <w:rPr>
                <w:rFonts w:cs="Calibri"/>
              </w:rPr>
            </w:pPr>
            <w:r w:rsidRPr="00D9348B">
              <w:rPr>
                <w:rFonts w:cs="Calibri"/>
                <w:color w:val="000000"/>
              </w:rPr>
              <w:t>1.A.4.c</w:t>
            </w:r>
          </w:p>
        </w:tc>
        <w:tc>
          <w:tcPr>
            <w:tcW w:w="5216" w:type="dxa"/>
            <w:shd w:val="clear" w:color="auto" w:fill="auto"/>
            <w:noWrap/>
            <w:hideMark/>
          </w:tcPr>
          <w:p w14:paraId="42000BC6" w14:textId="77777777" w:rsidR="00E20138" w:rsidRPr="00D9348B" w:rsidRDefault="00E20138" w:rsidP="00DB330E">
            <w:pPr>
              <w:pStyle w:val="TableText"/>
              <w:spacing w:before="40"/>
              <w:rPr>
                <w:rFonts w:cs="Calibri"/>
              </w:rPr>
            </w:pPr>
            <w:r w:rsidRPr="00D9348B">
              <w:rPr>
                <w:rFonts w:cs="Calibri"/>
                <w:color w:val="000000"/>
              </w:rPr>
              <w:t>Other Sectors – Agriculture/Forestry/Fishing Liquid Fuels</w:t>
            </w:r>
          </w:p>
        </w:tc>
        <w:tc>
          <w:tcPr>
            <w:tcW w:w="624" w:type="dxa"/>
            <w:shd w:val="clear" w:color="auto" w:fill="auto"/>
            <w:noWrap/>
            <w:hideMark/>
          </w:tcPr>
          <w:p w14:paraId="16D08A78" w14:textId="77777777" w:rsidR="00E20138" w:rsidRPr="00D9348B" w:rsidRDefault="00E20138" w:rsidP="00DB330E">
            <w:pPr>
              <w:pStyle w:val="TableText"/>
              <w:spacing w:before="40"/>
              <w:jc w:val="center"/>
              <w:rPr>
                <w:rFonts w:cs="Calibri"/>
              </w:rPr>
            </w:pPr>
            <w:r w:rsidRPr="00D9348B">
              <w:rPr>
                <w:rFonts w:cs="Calibri"/>
                <w:color w:val="000000"/>
              </w:rPr>
              <w:t>CO</w:t>
            </w:r>
            <w:r w:rsidRPr="00D9348B">
              <w:rPr>
                <w:rFonts w:cs="Calibri"/>
                <w:color w:val="000000"/>
                <w:vertAlign w:val="subscript"/>
              </w:rPr>
              <w:t>2</w:t>
            </w:r>
          </w:p>
        </w:tc>
        <w:tc>
          <w:tcPr>
            <w:tcW w:w="1077" w:type="dxa"/>
            <w:shd w:val="clear" w:color="auto" w:fill="auto"/>
            <w:noWrap/>
            <w:hideMark/>
          </w:tcPr>
          <w:p w14:paraId="595CD869" w14:textId="77777777" w:rsidR="00E20138" w:rsidRPr="00D9348B" w:rsidRDefault="00E20138" w:rsidP="00DB330E">
            <w:pPr>
              <w:pStyle w:val="TableText"/>
              <w:spacing w:before="40"/>
              <w:rPr>
                <w:rFonts w:cs="Calibri"/>
              </w:rPr>
            </w:pPr>
            <w:r w:rsidRPr="00D9348B">
              <w:rPr>
                <w:rFonts w:cs="Calibri"/>
                <w:color w:val="000000"/>
              </w:rPr>
              <w:t>L1, T1</w:t>
            </w:r>
          </w:p>
        </w:tc>
      </w:tr>
      <w:tr w:rsidR="00E20138" w:rsidRPr="00D9348B" w14:paraId="640DA223" w14:textId="77777777" w:rsidTr="00FD3CFA">
        <w:tc>
          <w:tcPr>
            <w:tcW w:w="1021" w:type="dxa"/>
            <w:shd w:val="clear" w:color="auto" w:fill="auto"/>
            <w:noWrap/>
          </w:tcPr>
          <w:p w14:paraId="1371874B" w14:textId="77777777" w:rsidR="00E20138" w:rsidRPr="00D9348B" w:rsidRDefault="00E20138" w:rsidP="00DB330E">
            <w:pPr>
              <w:pStyle w:val="TableText"/>
              <w:spacing w:before="40"/>
              <w:rPr>
                <w:rFonts w:cs="Calibri"/>
                <w:color w:val="000000"/>
              </w:rPr>
            </w:pPr>
            <w:r w:rsidRPr="00D9348B">
              <w:rPr>
                <w:rFonts w:cs="Calibri"/>
                <w:color w:val="000000"/>
              </w:rPr>
              <w:t>1.A.4.c</w:t>
            </w:r>
          </w:p>
        </w:tc>
        <w:tc>
          <w:tcPr>
            <w:tcW w:w="5216" w:type="dxa"/>
            <w:shd w:val="clear" w:color="auto" w:fill="auto"/>
            <w:noWrap/>
          </w:tcPr>
          <w:p w14:paraId="056014D4" w14:textId="77777777" w:rsidR="00E20138" w:rsidRPr="00D9348B" w:rsidRDefault="00E20138" w:rsidP="00DB330E">
            <w:pPr>
              <w:pStyle w:val="TableText"/>
              <w:spacing w:before="40"/>
              <w:rPr>
                <w:rFonts w:cs="Calibri"/>
                <w:color w:val="000000"/>
              </w:rPr>
            </w:pPr>
            <w:r w:rsidRPr="00D9348B">
              <w:rPr>
                <w:rFonts w:cs="Calibri"/>
                <w:color w:val="000000"/>
              </w:rPr>
              <w:t>Other Sectors – Agriculture/Forestry/Fishing Solid Fuels</w:t>
            </w:r>
          </w:p>
        </w:tc>
        <w:tc>
          <w:tcPr>
            <w:tcW w:w="624" w:type="dxa"/>
            <w:shd w:val="clear" w:color="auto" w:fill="auto"/>
            <w:noWrap/>
          </w:tcPr>
          <w:p w14:paraId="520BAE8E" w14:textId="77777777" w:rsidR="00E20138" w:rsidRPr="00D9348B" w:rsidRDefault="00E20138" w:rsidP="00DB330E">
            <w:pPr>
              <w:pStyle w:val="TableText"/>
              <w:spacing w:before="40"/>
              <w:jc w:val="center"/>
              <w:rPr>
                <w:rFonts w:cs="Calibri"/>
                <w:color w:val="000000"/>
              </w:rPr>
            </w:pPr>
            <w:r w:rsidRPr="00D9348B">
              <w:rPr>
                <w:rFonts w:cs="Calibri"/>
                <w:color w:val="000000"/>
              </w:rPr>
              <w:t>CO</w:t>
            </w:r>
            <w:r w:rsidRPr="00D9348B">
              <w:rPr>
                <w:rFonts w:cs="Calibri"/>
                <w:color w:val="000000"/>
                <w:vertAlign w:val="subscript"/>
              </w:rPr>
              <w:t>2</w:t>
            </w:r>
          </w:p>
        </w:tc>
        <w:tc>
          <w:tcPr>
            <w:tcW w:w="1077" w:type="dxa"/>
            <w:shd w:val="clear" w:color="auto" w:fill="auto"/>
            <w:noWrap/>
          </w:tcPr>
          <w:p w14:paraId="25345780" w14:textId="77777777" w:rsidR="00E20138" w:rsidRPr="00D9348B" w:rsidRDefault="00E20138" w:rsidP="00DB330E">
            <w:pPr>
              <w:pStyle w:val="TableText"/>
              <w:spacing w:before="40"/>
              <w:rPr>
                <w:rFonts w:cs="Calibri"/>
                <w:color w:val="000000"/>
              </w:rPr>
            </w:pPr>
            <w:r w:rsidRPr="00D9348B">
              <w:rPr>
                <w:rFonts w:cs="Calibri"/>
                <w:color w:val="000000"/>
              </w:rPr>
              <w:t>T1</w:t>
            </w:r>
          </w:p>
        </w:tc>
      </w:tr>
      <w:tr w:rsidR="00E20138" w:rsidRPr="00D9348B" w14:paraId="05F44BF0" w14:textId="77777777" w:rsidTr="00FD3CFA">
        <w:tc>
          <w:tcPr>
            <w:tcW w:w="1021" w:type="dxa"/>
            <w:shd w:val="clear" w:color="auto" w:fill="auto"/>
            <w:noWrap/>
          </w:tcPr>
          <w:p w14:paraId="7A121458" w14:textId="77777777" w:rsidR="00E20138" w:rsidRPr="00D9348B" w:rsidRDefault="00E20138" w:rsidP="00DB330E">
            <w:pPr>
              <w:pStyle w:val="TableText"/>
              <w:spacing w:before="40"/>
              <w:rPr>
                <w:rFonts w:cs="Calibri"/>
              </w:rPr>
            </w:pPr>
            <w:r w:rsidRPr="00D9348B">
              <w:rPr>
                <w:rFonts w:cs="Calibri"/>
                <w:color w:val="000000"/>
              </w:rPr>
              <w:t>1.B.1.a.1</w:t>
            </w:r>
          </w:p>
        </w:tc>
        <w:tc>
          <w:tcPr>
            <w:tcW w:w="5216" w:type="dxa"/>
            <w:shd w:val="clear" w:color="auto" w:fill="auto"/>
            <w:noWrap/>
          </w:tcPr>
          <w:p w14:paraId="22A368EF" w14:textId="77777777" w:rsidR="00E20138" w:rsidRPr="00D9348B" w:rsidRDefault="00E20138" w:rsidP="00DB330E">
            <w:pPr>
              <w:pStyle w:val="TableText"/>
              <w:spacing w:before="40"/>
              <w:rPr>
                <w:rFonts w:cs="Calibri"/>
              </w:rPr>
            </w:pPr>
            <w:r w:rsidRPr="00D9348B">
              <w:rPr>
                <w:rFonts w:cs="Calibri"/>
                <w:color w:val="000000"/>
              </w:rPr>
              <w:t>Coal Mining and Handling – Underground Mines</w:t>
            </w:r>
          </w:p>
        </w:tc>
        <w:tc>
          <w:tcPr>
            <w:tcW w:w="624" w:type="dxa"/>
            <w:shd w:val="clear" w:color="auto" w:fill="auto"/>
            <w:noWrap/>
          </w:tcPr>
          <w:p w14:paraId="71FD6121" w14:textId="77777777" w:rsidR="00E20138" w:rsidRPr="00D9348B" w:rsidRDefault="00E20138" w:rsidP="00DB330E">
            <w:pPr>
              <w:pStyle w:val="TableText"/>
              <w:spacing w:before="40"/>
              <w:jc w:val="center"/>
              <w:rPr>
                <w:rFonts w:cs="Calibri"/>
              </w:rPr>
            </w:pPr>
            <w:r w:rsidRPr="00D9348B">
              <w:rPr>
                <w:rFonts w:cs="Calibri"/>
                <w:color w:val="000000"/>
              </w:rPr>
              <w:t>CH</w:t>
            </w:r>
            <w:r w:rsidRPr="00D9348B">
              <w:rPr>
                <w:rFonts w:cs="Calibri"/>
                <w:color w:val="000000"/>
                <w:vertAlign w:val="subscript"/>
              </w:rPr>
              <w:t>4</w:t>
            </w:r>
          </w:p>
        </w:tc>
        <w:tc>
          <w:tcPr>
            <w:tcW w:w="1077" w:type="dxa"/>
            <w:shd w:val="clear" w:color="auto" w:fill="auto"/>
            <w:noWrap/>
          </w:tcPr>
          <w:p w14:paraId="208413B2" w14:textId="77777777" w:rsidR="00E20138" w:rsidRPr="00D9348B" w:rsidRDefault="00E20138" w:rsidP="00DB330E">
            <w:pPr>
              <w:pStyle w:val="TableText"/>
              <w:spacing w:before="40"/>
              <w:rPr>
                <w:rFonts w:cs="Calibri"/>
              </w:rPr>
            </w:pPr>
            <w:r w:rsidRPr="00D9348B">
              <w:rPr>
                <w:rFonts w:cs="Calibri"/>
                <w:color w:val="000000"/>
              </w:rPr>
              <w:t>T1</w:t>
            </w:r>
          </w:p>
        </w:tc>
      </w:tr>
      <w:tr w:rsidR="00E20138" w:rsidRPr="00D9348B" w14:paraId="5CC8FB6B" w14:textId="77777777" w:rsidTr="00FD3CFA">
        <w:tc>
          <w:tcPr>
            <w:tcW w:w="1021" w:type="dxa"/>
            <w:shd w:val="clear" w:color="auto" w:fill="auto"/>
            <w:noWrap/>
          </w:tcPr>
          <w:p w14:paraId="0811F97A" w14:textId="77777777" w:rsidR="00E20138" w:rsidRPr="00D9348B" w:rsidRDefault="00E20138" w:rsidP="00DB330E">
            <w:pPr>
              <w:pStyle w:val="TableText"/>
              <w:spacing w:before="40"/>
              <w:rPr>
                <w:rFonts w:cs="Calibri"/>
              </w:rPr>
            </w:pPr>
            <w:r w:rsidRPr="00D9348B">
              <w:rPr>
                <w:rFonts w:cs="Calibri"/>
                <w:color w:val="000000"/>
              </w:rPr>
              <w:t>1.B.2.b.5</w:t>
            </w:r>
          </w:p>
        </w:tc>
        <w:tc>
          <w:tcPr>
            <w:tcW w:w="5216" w:type="dxa"/>
            <w:shd w:val="clear" w:color="auto" w:fill="auto"/>
            <w:noWrap/>
          </w:tcPr>
          <w:p w14:paraId="349C7525" w14:textId="77777777" w:rsidR="00E20138" w:rsidRPr="00D9348B" w:rsidRDefault="00E20138" w:rsidP="00DB330E">
            <w:pPr>
              <w:pStyle w:val="TableText"/>
              <w:spacing w:before="40"/>
              <w:rPr>
                <w:rFonts w:cs="Calibri"/>
              </w:rPr>
            </w:pPr>
            <w:r w:rsidRPr="00D9348B">
              <w:rPr>
                <w:rFonts w:cs="Calibri"/>
                <w:color w:val="000000"/>
              </w:rPr>
              <w:t>Natural Gas – Distribution</w:t>
            </w:r>
          </w:p>
        </w:tc>
        <w:tc>
          <w:tcPr>
            <w:tcW w:w="624" w:type="dxa"/>
            <w:shd w:val="clear" w:color="auto" w:fill="auto"/>
            <w:noWrap/>
          </w:tcPr>
          <w:p w14:paraId="7146CC47" w14:textId="77777777" w:rsidR="00E20138" w:rsidRPr="00D9348B" w:rsidRDefault="00E20138" w:rsidP="00DB330E">
            <w:pPr>
              <w:pStyle w:val="TableText"/>
              <w:spacing w:before="40"/>
              <w:jc w:val="center"/>
              <w:rPr>
                <w:rFonts w:cs="Calibri"/>
              </w:rPr>
            </w:pPr>
            <w:r w:rsidRPr="00D9348B">
              <w:rPr>
                <w:rFonts w:cs="Calibri"/>
                <w:color w:val="000000"/>
              </w:rPr>
              <w:t>CH</w:t>
            </w:r>
            <w:r w:rsidRPr="00D9348B">
              <w:rPr>
                <w:rFonts w:cs="Calibri"/>
                <w:color w:val="000000"/>
                <w:vertAlign w:val="subscript"/>
              </w:rPr>
              <w:t>4</w:t>
            </w:r>
          </w:p>
        </w:tc>
        <w:tc>
          <w:tcPr>
            <w:tcW w:w="1077" w:type="dxa"/>
            <w:shd w:val="clear" w:color="auto" w:fill="auto"/>
            <w:noWrap/>
          </w:tcPr>
          <w:p w14:paraId="4417B6B4" w14:textId="77777777" w:rsidR="00E20138" w:rsidRPr="00D9348B" w:rsidRDefault="00E20138" w:rsidP="00DB330E">
            <w:pPr>
              <w:pStyle w:val="TableText"/>
              <w:spacing w:before="40"/>
              <w:rPr>
                <w:rFonts w:cs="Calibri"/>
              </w:rPr>
            </w:pPr>
            <w:r w:rsidRPr="00D9348B">
              <w:rPr>
                <w:rFonts w:cs="Calibri"/>
                <w:color w:val="000000"/>
              </w:rPr>
              <w:t>T1</w:t>
            </w:r>
          </w:p>
        </w:tc>
      </w:tr>
      <w:tr w:rsidR="00E20138" w:rsidRPr="00D9348B" w14:paraId="3BF827FA" w14:textId="77777777" w:rsidTr="00FD3CFA">
        <w:tc>
          <w:tcPr>
            <w:tcW w:w="1021" w:type="dxa"/>
            <w:shd w:val="clear" w:color="auto" w:fill="auto"/>
            <w:noWrap/>
          </w:tcPr>
          <w:p w14:paraId="25622485" w14:textId="77777777" w:rsidR="00E20138" w:rsidRPr="00D9348B" w:rsidRDefault="00E20138" w:rsidP="00DB330E">
            <w:pPr>
              <w:pStyle w:val="TableText"/>
              <w:spacing w:before="40"/>
              <w:rPr>
                <w:rFonts w:cs="Calibri"/>
              </w:rPr>
            </w:pPr>
            <w:r w:rsidRPr="00D9348B">
              <w:rPr>
                <w:rFonts w:cs="Calibri"/>
                <w:color w:val="000000"/>
              </w:rPr>
              <w:t>1.B.2.c.1.ii</w:t>
            </w:r>
          </w:p>
        </w:tc>
        <w:tc>
          <w:tcPr>
            <w:tcW w:w="5216" w:type="dxa"/>
            <w:shd w:val="clear" w:color="auto" w:fill="auto"/>
            <w:noWrap/>
          </w:tcPr>
          <w:p w14:paraId="411FC454" w14:textId="77777777" w:rsidR="00E20138" w:rsidRPr="00D9348B" w:rsidRDefault="00E20138" w:rsidP="00DB330E">
            <w:pPr>
              <w:pStyle w:val="TableText"/>
              <w:spacing w:before="40"/>
              <w:rPr>
                <w:rFonts w:cs="Calibri"/>
              </w:rPr>
            </w:pPr>
            <w:r w:rsidRPr="00D9348B">
              <w:rPr>
                <w:rFonts w:cs="Calibri"/>
                <w:color w:val="000000"/>
              </w:rPr>
              <w:t>Venting – Gas</w:t>
            </w:r>
          </w:p>
        </w:tc>
        <w:tc>
          <w:tcPr>
            <w:tcW w:w="624" w:type="dxa"/>
            <w:shd w:val="clear" w:color="auto" w:fill="auto"/>
            <w:noWrap/>
          </w:tcPr>
          <w:p w14:paraId="7ABBA553" w14:textId="77777777" w:rsidR="00E20138" w:rsidRPr="00D9348B" w:rsidRDefault="00E20138" w:rsidP="00DB330E">
            <w:pPr>
              <w:pStyle w:val="TableText"/>
              <w:spacing w:before="40"/>
              <w:jc w:val="center"/>
              <w:rPr>
                <w:rFonts w:cs="Calibri"/>
              </w:rPr>
            </w:pPr>
            <w:r w:rsidRPr="00D9348B">
              <w:rPr>
                <w:rFonts w:cs="Calibri"/>
                <w:color w:val="000000"/>
              </w:rPr>
              <w:t>CO</w:t>
            </w:r>
            <w:r w:rsidRPr="00D9348B">
              <w:rPr>
                <w:rFonts w:cs="Calibri"/>
                <w:color w:val="000000"/>
                <w:vertAlign w:val="subscript"/>
              </w:rPr>
              <w:t>2</w:t>
            </w:r>
          </w:p>
        </w:tc>
        <w:tc>
          <w:tcPr>
            <w:tcW w:w="1077" w:type="dxa"/>
            <w:shd w:val="clear" w:color="auto" w:fill="auto"/>
            <w:noWrap/>
          </w:tcPr>
          <w:p w14:paraId="0BC2670D" w14:textId="77777777" w:rsidR="00E20138" w:rsidRPr="00D9348B" w:rsidRDefault="00E20138" w:rsidP="00DB330E">
            <w:pPr>
              <w:pStyle w:val="TableText"/>
              <w:spacing w:before="40"/>
              <w:rPr>
                <w:rFonts w:cs="Calibri"/>
              </w:rPr>
            </w:pPr>
            <w:r w:rsidRPr="00D9348B">
              <w:rPr>
                <w:rFonts w:cs="Calibri"/>
                <w:color w:val="000000"/>
              </w:rPr>
              <w:t>L1, T1</w:t>
            </w:r>
          </w:p>
        </w:tc>
      </w:tr>
      <w:tr w:rsidR="00E20138" w:rsidRPr="00D9348B" w14:paraId="2BBEC8C7" w14:textId="77777777" w:rsidTr="00FD3CFA">
        <w:tc>
          <w:tcPr>
            <w:tcW w:w="1021" w:type="dxa"/>
            <w:shd w:val="clear" w:color="auto" w:fill="auto"/>
            <w:noWrap/>
          </w:tcPr>
          <w:p w14:paraId="3A227BE3" w14:textId="77777777" w:rsidR="00E20138" w:rsidRPr="00D9348B" w:rsidRDefault="00E20138" w:rsidP="00DB330E">
            <w:pPr>
              <w:pStyle w:val="TableText"/>
              <w:spacing w:before="40"/>
              <w:rPr>
                <w:rFonts w:cs="Calibri"/>
              </w:rPr>
            </w:pPr>
            <w:r w:rsidRPr="00D9348B">
              <w:rPr>
                <w:rFonts w:cs="Calibri"/>
                <w:color w:val="000000"/>
              </w:rPr>
              <w:t>1.B.2.d</w:t>
            </w:r>
          </w:p>
        </w:tc>
        <w:tc>
          <w:tcPr>
            <w:tcW w:w="5216" w:type="dxa"/>
            <w:shd w:val="clear" w:color="auto" w:fill="auto"/>
            <w:noWrap/>
          </w:tcPr>
          <w:p w14:paraId="57F773AD" w14:textId="77777777" w:rsidR="00E20138" w:rsidRPr="00D9348B" w:rsidRDefault="00E20138" w:rsidP="00DB330E">
            <w:pPr>
              <w:pStyle w:val="TableText"/>
              <w:spacing w:before="40"/>
              <w:rPr>
                <w:rFonts w:cs="Calibri"/>
              </w:rPr>
            </w:pPr>
            <w:r w:rsidRPr="00D9348B">
              <w:rPr>
                <w:rFonts w:cs="Calibri"/>
                <w:color w:val="000000"/>
              </w:rPr>
              <w:t>Other (please specify) – Geothermal</w:t>
            </w:r>
          </w:p>
        </w:tc>
        <w:tc>
          <w:tcPr>
            <w:tcW w:w="624" w:type="dxa"/>
            <w:shd w:val="clear" w:color="auto" w:fill="auto"/>
            <w:noWrap/>
          </w:tcPr>
          <w:p w14:paraId="4B1DA73D" w14:textId="77777777" w:rsidR="00E20138" w:rsidRPr="00D9348B" w:rsidRDefault="00E20138" w:rsidP="00DB330E">
            <w:pPr>
              <w:pStyle w:val="TableText"/>
              <w:spacing w:before="40"/>
              <w:jc w:val="center"/>
              <w:rPr>
                <w:rFonts w:cs="Calibri"/>
              </w:rPr>
            </w:pPr>
            <w:r w:rsidRPr="00D9348B">
              <w:rPr>
                <w:rFonts w:cs="Calibri"/>
                <w:color w:val="000000"/>
              </w:rPr>
              <w:t>CO</w:t>
            </w:r>
            <w:r w:rsidRPr="00D9348B">
              <w:rPr>
                <w:rFonts w:cs="Calibri"/>
                <w:color w:val="000000"/>
                <w:vertAlign w:val="subscript"/>
              </w:rPr>
              <w:t>2</w:t>
            </w:r>
          </w:p>
        </w:tc>
        <w:tc>
          <w:tcPr>
            <w:tcW w:w="1077" w:type="dxa"/>
            <w:shd w:val="clear" w:color="auto" w:fill="auto"/>
            <w:noWrap/>
          </w:tcPr>
          <w:p w14:paraId="4BA59E82" w14:textId="77777777" w:rsidR="00E20138" w:rsidRPr="00D9348B" w:rsidRDefault="00E20138" w:rsidP="00DB330E">
            <w:pPr>
              <w:pStyle w:val="TableText"/>
              <w:spacing w:before="40"/>
              <w:rPr>
                <w:rFonts w:cs="Calibri"/>
              </w:rPr>
            </w:pPr>
            <w:r w:rsidRPr="00D9348B">
              <w:rPr>
                <w:rFonts w:cs="Calibri"/>
                <w:color w:val="000000"/>
              </w:rPr>
              <w:t>L1, T1</w:t>
            </w:r>
          </w:p>
        </w:tc>
      </w:tr>
      <w:tr w:rsidR="00E20138" w:rsidRPr="00D9348B" w14:paraId="25F773A0" w14:textId="77777777" w:rsidTr="00FD3CFA">
        <w:tc>
          <w:tcPr>
            <w:tcW w:w="1021" w:type="dxa"/>
            <w:shd w:val="clear" w:color="auto" w:fill="auto"/>
            <w:noWrap/>
          </w:tcPr>
          <w:p w14:paraId="5129552E" w14:textId="77777777" w:rsidR="00E20138" w:rsidRPr="00D9348B" w:rsidRDefault="00E20138" w:rsidP="00DB330E">
            <w:pPr>
              <w:pStyle w:val="TableText"/>
              <w:spacing w:before="40"/>
              <w:rPr>
                <w:rFonts w:cs="Calibri"/>
              </w:rPr>
            </w:pPr>
            <w:r w:rsidRPr="00D9348B">
              <w:rPr>
                <w:rFonts w:cs="Calibri"/>
                <w:color w:val="000000"/>
              </w:rPr>
              <w:t>1.B.2.d</w:t>
            </w:r>
          </w:p>
        </w:tc>
        <w:tc>
          <w:tcPr>
            <w:tcW w:w="5216" w:type="dxa"/>
            <w:shd w:val="clear" w:color="auto" w:fill="auto"/>
            <w:noWrap/>
          </w:tcPr>
          <w:p w14:paraId="39B5AC37" w14:textId="77777777" w:rsidR="00E20138" w:rsidRPr="00D9348B" w:rsidRDefault="00E20138" w:rsidP="00DB330E">
            <w:pPr>
              <w:pStyle w:val="TableText"/>
              <w:spacing w:before="40"/>
              <w:rPr>
                <w:rFonts w:cs="Calibri"/>
              </w:rPr>
            </w:pPr>
            <w:r w:rsidRPr="00D9348B">
              <w:rPr>
                <w:rFonts w:cs="Calibri"/>
                <w:color w:val="000000"/>
              </w:rPr>
              <w:t>Other (please specify) – Geothermal</w:t>
            </w:r>
          </w:p>
        </w:tc>
        <w:tc>
          <w:tcPr>
            <w:tcW w:w="624" w:type="dxa"/>
            <w:shd w:val="clear" w:color="auto" w:fill="auto"/>
            <w:noWrap/>
          </w:tcPr>
          <w:p w14:paraId="099C800B" w14:textId="77777777" w:rsidR="00E20138" w:rsidRPr="00D9348B" w:rsidRDefault="00E20138" w:rsidP="00DB330E">
            <w:pPr>
              <w:pStyle w:val="TableText"/>
              <w:spacing w:before="40"/>
              <w:jc w:val="center"/>
              <w:rPr>
                <w:rFonts w:cs="Calibri"/>
              </w:rPr>
            </w:pPr>
            <w:r w:rsidRPr="00D9348B">
              <w:rPr>
                <w:rFonts w:cs="Calibri"/>
                <w:color w:val="000000"/>
              </w:rPr>
              <w:t>CH</w:t>
            </w:r>
            <w:r w:rsidRPr="00D9348B">
              <w:rPr>
                <w:rFonts w:cs="Calibri"/>
                <w:color w:val="000000"/>
                <w:vertAlign w:val="subscript"/>
              </w:rPr>
              <w:t>4</w:t>
            </w:r>
          </w:p>
        </w:tc>
        <w:tc>
          <w:tcPr>
            <w:tcW w:w="1077" w:type="dxa"/>
            <w:shd w:val="clear" w:color="auto" w:fill="auto"/>
            <w:noWrap/>
          </w:tcPr>
          <w:p w14:paraId="53E8D31A" w14:textId="77777777" w:rsidR="00E20138" w:rsidRPr="00D9348B" w:rsidRDefault="00E20138" w:rsidP="00DB330E">
            <w:pPr>
              <w:pStyle w:val="TableText"/>
              <w:spacing w:before="40"/>
              <w:rPr>
                <w:rFonts w:cs="Calibri"/>
              </w:rPr>
            </w:pPr>
            <w:r w:rsidRPr="00D9348B">
              <w:rPr>
                <w:rFonts w:cs="Calibri"/>
                <w:color w:val="000000"/>
              </w:rPr>
              <w:t>T1</w:t>
            </w:r>
          </w:p>
        </w:tc>
      </w:tr>
    </w:tbl>
    <w:p w14:paraId="211B792C" w14:textId="77777777" w:rsidR="00E20138" w:rsidRPr="00D9348B" w:rsidRDefault="00E20138" w:rsidP="00E20138">
      <w:pPr>
        <w:pStyle w:val="Noteundertable"/>
        <w:rPr>
          <w:rFonts w:cs="Calibri"/>
        </w:rPr>
      </w:pPr>
      <w:r w:rsidRPr="00D9348B">
        <w:rPr>
          <w:rFonts w:cs="Calibri"/>
          <w:b/>
        </w:rPr>
        <w:t>Note</w:t>
      </w:r>
      <w:r w:rsidRPr="00D9348B">
        <w:rPr>
          <w:rFonts w:cs="Calibri"/>
        </w:rPr>
        <w:t xml:space="preserve">: </w:t>
      </w:r>
      <w:r w:rsidRPr="00D9348B">
        <w:rPr>
          <w:rFonts w:cs="Calibri"/>
        </w:rPr>
        <w:tab/>
        <w:t>L1 means a key category is identified under the level analysis – approach 1 and T1 is trend analysis</w:t>
      </w:r>
      <w:r w:rsidRPr="00D9348B">
        <w:rPr>
          <w:rFonts w:cs="Calibri"/>
        </w:rPr>
        <w:br/>
        <w:t xml:space="preserve"> – approach 1. See chapter 1 for more information.</w:t>
      </w:r>
      <w:bookmarkEnd w:id="319"/>
      <w:bookmarkEnd w:id="320"/>
    </w:p>
    <w:p w14:paraId="360461BB" w14:textId="77777777" w:rsidR="00E20138" w:rsidRPr="00D9348B" w:rsidRDefault="00E20138" w:rsidP="00E20138">
      <w:pPr>
        <w:pStyle w:val="Heading2"/>
        <w:rPr>
          <w:rFonts w:cs="Calibri"/>
        </w:rPr>
      </w:pPr>
      <w:bookmarkStart w:id="321" w:name="_Toc384581635"/>
      <w:bookmarkStart w:id="322" w:name="_Toc448321507"/>
      <w:bookmarkStart w:id="323" w:name="_Toc481751369"/>
      <w:bookmarkStart w:id="324" w:name="_Toc36224386"/>
      <w:r w:rsidRPr="00D9348B">
        <w:rPr>
          <w:rFonts w:cs="Calibri"/>
        </w:rPr>
        <w:lastRenderedPageBreak/>
        <w:t>3.2</w:t>
      </w:r>
      <w:r w:rsidRPr="00D9348B">
        <w:rPr>
          <w:rFonts w:cs="Calibri"/>
        </w:rPr>
        <w:tab/>
        <w:t>Background information</w:t>
      </w:r>
      <w:bookmarkEnd w:id="321"/>
      <w:bookmarkEnd w:id="322"/>
      <w:bookmarkEnd w:id="323"/>
      <w:bookmarkEnd w:id="324"/>
    </w:p>
    <w:p w14:paraId="6126071E" w14:textId="77777777" w:rsidR="00E20138" w:rsidRPr="00D9348B" w:rsidRDefault="00E20138" w:rsidP="00FD3CFA">
      <w:pPr>
        <w:pStyle w:val="Heading3"/>
        <w:spacing w:before="160"/>
        <w:rPr>
          <w:rFonts w:cs="Calibri"/>
        </w:rPr>
      </w:pPr>
      <w:r w:rsidRPr="00D9348B">
        <w:rPr>
          <w:rFonts w:cs="Calibri"/>
        </w:rPr>
        <w:t>3.2.1</w:t>
      </w:r>
      <w:r w:rsidRPr="00D9348B">
        <w:rPr>
          <w:rFonts w:cs="Calibri"/>
        </w:rPr>
        <w:tab/>
        <w:t>New Zealand sectoral methodology</w:t>
      </w:r>
    </w:p>
    <w:p w14:paraId="0AEBEEFB" w14:textId="77777777" w:rsidR="00E20138" w:rsidRPr="00D9348B" w:rsidRDefault="00E20138" w:rsidP="00E20138">
      <w:pPr>
        <w:pStyle w:val="BodyText"/>
        <w:rPr>
          <w:rFonts w:cs="Calibri"/>
          <w:lang w:eastAsia="en-GB"/>
        </w:rPr>
      </w:pPr>
      <w:r w:rsidRPr="00D9348B">
        <w:rPr>
          <w:rFonts w:cs="Calibri"/>
          <w:lang w:eastAsia="en-GB"/>
        </w:rPr>
        <w:t xml:space="preserve">Greenhouse gas emissions from the Energy sector are calculated using a detailed sectoral approach. This bottom-up approach is demand based; it involves processing energy data collected on a regular basis through various surveys. For verification, New Zealand also applies the </w:t>
      </w:r>
      <w:r w:rsidRPr="00D9348B">
        <w:rPr>
          <w:rFonts w:cs="Calibri"/>
        </w:rPr>
        <w:t>Intergovernmental Panel on Climate Change</w:t>
      </w:r>
      <w:r w:rsidRPr="00D9348B">
        <w:rPr>
          <w:rFonts w:cs="Calibri"/>
          <w:lang w:eastAsia="en-GB"/>
        </w:rPr>
        <w:t xml:space="preserve"> (IPCC) reference approach to estimate </w:t>
      </w:r>
      <w:r w:rsidRPr="00D9348B">
        <w:rPr>
          <w:rFonts w:cs="Calibri"/>
        </w:rPr>
        <w:t>CO</w:t>
      </w:r>
      <w:r w:rsidRPr="00D9348B">
        <w:rPr>
          <w:rFonts w:cs="Calibri"/>
          <w:vertAlign w:val="subscript"/>
        </w:rPr>
        <w:t>2</w:t>
      </w:r>
      <w:r w:rsidRPr="00D9348B">
        <w:rPr>
          <w:rFonts w:cs="Calibri"/>
          <w:lang w:eastAsia="en-GB"/>
        </w:rPr>
        <w:t xml:space="preserve"> emissions from fuel combustion for the time series 1990–</w:t>
      </w:r>
      <w:r w:rsidRPr="00D9348B">
        <w:rPr>
          <w:rFonts w:cs="Calibri"/>
        </w:rPr>
        <w:t xml:space="preserve">2018 </w:t>
      </w:r>
      <w:r w:rsidRPr="00D9348B">
        <w:rPr>
          <w:rFonts w:cs="Calibri"/>
          <w:lang w:eastAsia="en-GB"/>
        </w:rPr>
        <w:t xml:space="preserve">(see annex 4). </w:t>
      </w:r>
    </w:p>
    <w:p w14:paraId="183BC7F0" w14:textId="77777777" w:rsidR="00E20138" w:rsidRPr="00D9348B" w:rsidRDefault="00E20138" w:rsidP="00E20138">
      <w:pPr>
        <w:pStyle w:val="BodyText"/>
        <w:rPr>
          <w:rFonts w:cs="Calibri"/>
          <w:lang w:eastAsia="en-GB"/>
        </w:rPr>
      </w:pPr>
      <w:r w:rsidRPr="00D9348B">
        <w:rPr>
          <w:rFonts w:cs="Calibri"/>
          <w:lang w:eastAsia="en-GB"/>
        </w:rPr>
        <w:t xml:space="preserve">The activity data used for the sectoral approach are referred to as ‘observed’ energy-use figures. These are based on surveys and questionnaires administered by the Ministry of Business, Innovation and Employment (MBIE). The differences between ‘calculated’ and ‘observed’ figures are reported as statistical differences in the energy balance tables released along with </w:t>
      </w:r>
      <w:r w:rsidRPr="00D9348B">
        <w:rPr>
          <w:rFonts w:cs="Calibri"/>
          <w:i/>
          <w:iCs/>
          <w:lang w:eastAsia="en-GB"/>
        </w:rPr>
        <w:t xml:space="preserve">Energy in New Zealand </w:t>
      </w:r>
      <w:r w:rsidRPr="00D9348B">
        <w:rPr>
          <w:rFonts w:cs="Calibri"/>
          <w:lang w:eastAsia="en-GB"/>
        </w:rPr>
        <w:t xml:space="preserve">(MBIE, 2019). Note that, due to the intervening time between the publication of </w:t>
      </w:r>
      <w:r w:rsidRPr="00D9348B">
        <w:rPr>
          <w:rFonts w:cs="Calibri"/>
          <w:i/>
          <w:lang w:eastAsia="en-GB"/>
        </w:rPr>
        <w:t>Energy in New Zealand</w:t>
      </w:r>
      <w:r w:rsidRPr="00D9348B">
        <w:rPr>
          <w:rFonts w:cs="Calibri"/>
          <w:lang w:eastAsia="en-GB"/>
        </w:rPr>
        <w:t xml:space="preserve"> and the preparation of this submission, some data revisions may have occurred.</w:t>
      </w:r>
    </w:p>
    <w:p w14:paraId="4871F0DE" w14:textId="77777777" w:rsidR="00E20138" w:rsidRPr="00D9348B" w:rsidRDefault="00E20138" w:rsidP="00FD3CFA">
      <w:pPr>
        <w:pStyle w:val="Heading3"/>
        <w:spacing w:before="280"/>
        <w:rPr>
          <w:rFonts w:cs="Calibri"/>
        </w:rPr>
      </w:pPr>
      <w:bookmarkStart w:id="325" w:name="_Ref379915380"/>
      <w:r w:rsidRPr="00D9348B">
        <w:rPr>
          <w:rFonts w:cs="Calibri"/>
        </w:rPr>
        <w:t>3.2.2</w:t>
      </w:r>
      <w:r w:rsidRPr="00D9348B">
        <w:rPr>
          <w:rFonts w:cs="Calibri"/>
        </w:rPr>
        <w:tab/>
        <w:t>International bunker fuels</w:t>
      </w:r>
      <w:bookmarkEnd w:id="325"/>
    </w:p>
    <w:p w14:paraId="563254B5" w14:textId="77777777" w:rsidR="00E20138" w:rsidRPr="00D9348B" w:rsidRDefault="00E20138" w:rsidP="00E20138">
      <w:pPr>
        <w:pStyle w:val="BodyText"/>
        <w:rPr>
          <w:rFonts w:cs="Calibri"/>
          <w:lang w:eastAsia="en-GB"/>
        </w:rPr>
      </w:pPr>
      <w:r w:rsidRPr="00D9348B">
        <w:rPr>
          <w:rFonts w:cs="Calibri"/>
          <w:lang w:eastAsia="en-GB"/>
        </w:rPr>
        <w:t>The data on fuel use by international transportation are collected and published online by MBIE (2019). This data release uses information from oil company survey returns (</w:t>
      </w:r>
      <w:r w:rsidRPr="00D9348B">
        <w:rPr>
          <w:rFonts w:cs="Calibri"/>
          <w:i/>
          <w:iCs/>
          <w:lang w:eastAsia="en-GB"/>
        </w:rPr>
        <w:t xml:space="preserve">Delivery of Petroleum Fuels by Industry </w:t>
      </w:r>
      <w:r w:rsidRPr="00D9348B">
        <w:rPr>
          <w:rFonts w:cs="Calibri"/>
          <w:iCs/>
          <w:lang w:eastAsia="en-GB"/>
        </w:rPr>
        <w:t>(</w:t>
      </w:r>
      <w:r w:rsidRPr="00D9348B">
        <w:rPr>
          <w:rFonts w:cs="Calibri"/>
          <w:lang w:eastAsia="en-GB"/>
        </w:rPr>
        <w:t xml:space="preserve">DPFI) and </w:t>
      </w:r>
      <w:r w:rsidRPr="00D9348B">
        <w:rPr>
          <w:rFonts w:cs="Calibri"/>
          <w:i/>
        </w:rPr>
        <w:t>Monthly Oil Supply</w:t>
      </w:r>
      <w:r w:rsidRPr="00D9348B">
        <w:rPr>
          <w:rFonts w:cs="Calibri"/>
        </w:rPr>
        <w:t xml:space="preserve"> (</w:t>
      </w:r>
      <w:r w:rsidRPr="00D9348B">
        <w:rPr>
          <w:rFonts w:cs="Calibri"/>
          <w:lang w:eastAsia="en-GB"/>
        </w:rPr>
        <w:t>MOS) as explained below) provided to MBIE.</w:t>
      </w:r>
    </w:p>
    <w:p w14:paraId="63E87859" w14:textId="77777777" w:rsidR="00E20138" w:rsidRPr="00D9348B" w:rsidRDefault="00E20138" w:rsidP="00E20138">
      <w:pPr>
        <w:pStyle w:val="BodyText"/>
        <w:rPr>
          <w:rFonts w:cs="Calibri"/>
          <w:lang w:eastAsia="en-GB"/>
        </w:rPr>
      </w:pPr>
      <w:r w:rsidRPr="00D9348B">
        <w:rPr>
          <w:rFonts w:cs="Calibri"/>
          <w:lang w:eastAsia="en-GB"/>
        </w:rPr>
        <w:t xml:space="preserve">Data on fuel use by domestic transport are sourced from the quarterly </w:t>
      </w:r>
      <w:r w:rsidRPr="00D9348B">
        <w:rPr>
          <w:rFonts w:cs="Calibri"/>
          <w:iCs/>
          <w:lang w:eastAsia="en-GB"/>
        </w:rPr>
        <w:t>DPFI survey</w:t>
      </w:r>
      <w:r w:rsidRPr="00D9348B">
        <w:rPr>
          <w:rFonts w:cs="Calibri"/>
          <w:i/>
          <w:iCs/>
          <w:lang w:eastAsia="en-GB"/>
        </w:rPr>
        <w:t xml:space="preserve"> </w:t>
      </w:r>
      <w:r w:rsidRPr="00D9348B">
        <w:rPr>
          <w:rFonts w:cs="Calibri"/>
          <w:lang w:eastAsia="en-GB"/>
        </w:rPr>
        <w:t>conducted by MBIE.</w:t>
      </w:r>
    </w:p>
    <w:p w14:paraId="685DCAF1" w14:textId="77777777" w:rsidR="00E20138" w:rsidRPr="00D9348B" w:rsidRDefault="00E20138" w:rsidP="00E20138">
      <w:pPr>
        <w:pStyle w:val="BodyText"/>
        <w:rPr>
          <w:rFonts w:cs="Calibri"/>
          <w:spacing w:val="-2"/>
          <w:lang w:eastAsia="en-GB"/>
        </w:rPr>
      </w:pPr>
      <w:r w:rsidRPr="00D9348B">
        <w:rPr>
          <w:rFonts w:cs="Calibri"/>
        </w:rPr>
        <w:t xml:space="preserve">Some of the international bunkers data in CRF table 1.A.b are from the MOS survey, whereas the international bunkers data in CRF table 1.D are from the DPFI survey. The DPFI survey is a quarterly sectoral breakdown of observed demand (i.e., actual sales figures for different industries, one of which is international bunkers). The MOS survey is collected monthly and is a liquid fuels supply balance provided by companies selling fuels, of which one category is ‘international bunkers’. Companies that respond to the DPFI survey are asked to reconcile their figures with their figures in the MOS survey. Discrepancies between the surveys are usually very small, and the companies explain differences between the two data sets as the MOS survey following a top-down approach and the DPFI following a bottom-up approach. Furthermore, the MOS and DPFI surveys are usually completed by different sections from within the fuel companies. Also, note that the </w:t>
      </w:r>
      <w:proofErr w:type="gramStart"/>
      <w:r w:rsidRPr="00D9348B">
        <w:rPr>
          <w:rFonts w:cs="Calibri"/>
          <w:i/>
        </w:rPr>
        <w:t>Other</w:t>
      </w:r>
      <w:proofErr w:type="gramEnd"/>
      <w:r w:rsidRPr="00D9348B">
        <w:rPr>
          <w:rFonts w:cs="Calibri"/>
          <w:i/>
        </w:rPr>
        <w:t xml:space="preserve"> fuels</w:t>
      </w:r>
      <w:r w:rsidRPr="00D9348B">
        <w:rPr>
          <w:rFonts w:cs="Calibri"/>
        </w:rPr>
        <w:t xml:space="preserve"> category is not covered in the DPFI so data must come from the MOS.</w:t>
      </w:r>
    </w:p>
    <w:p w14:paraId="713F6CDE" w14:textId="77777777" w:rsidR="00E20138" w:rsidRPr="00D9348B" w:rsidRDefault="00E20138" w:rsidP="00E20138">
      <w:pPr>
        <w:pStyle w:val="BodyText"/>
        <w:rPr>
          <w:rFonts w:cs="Calibri"/>
          <w:lang w:eastAsia="en-GB"/>
        </w:rPr>
      </w:pPr>
      <w:r w:rsidRPr="00D9348B">
        <w:rPr>
          <w:rFonts w:cs="Calibri"/>
        </w:rPr>
        <w:t>International bunker fuel is not subject to goods and services tax (GST) in New Zealand, whereas fuel sold for fishing vessels, coastal shipping and so on is subject to GST. The liquid fuel retailers are able to accurately eliminate international bunker sales because GST is not charged on these sales.</w:t>
      </w:r>
    </w:p>
    <w:p w14:paraId="29408161" w14:textId="77777777" w:rsidR="00E20138" w:rsidRPr="00D9348B" w:rsidRDefault="00E20138" w:rsidP="00FD3CFA">
      <w:pPr>
        <w:pStyle w:val="Heading3"/>
        <w:spacing w:before="280"/>
        <w:rPr>
          <w:rFonts w:cs="Calibri"/>
        </w:rPr>
      </w:pPr>
      <w:r w:rsidRPr="00D9348B">
        <w:rPr>
          <w:rFonts w:cs="Calibri"/>
        </w:rPr>
        <w:t>3.2.3</w:t>
      </w:r>
      <w:r w:rsidRPr="00D9348B">
        <w:rPr>
          <w:rFonts w:cs="Calibri"/>
        </w:rPr>
        <w:tab/>
        <w:t>Feedstock and other non-energy use of fuels</w:t>
      </w:r>
    </w:p>
    <w:p w14:paraId="2AB01C1D" w14:textId="77777777" w:rsidR="00E20138" w:rsidRPr="00D9348B" w:rsidRDefault="00E20138" w:rsidP="00E20138">
      <w:pPr>
        <w:pStyle w:val="BodyText"/>
        <w:rPr>
          <w:rFonts w:cs="Calibri"/>
          <w:lang w:eastAsia="en-GB"/>
        </w:rPr>
      </w:pPr>
      <w:r w:rsidRPr="00D9348B">
        <w:rPr>
          <w:rFonts w:cs="Calibri"/>
          <w:lang w:eastAsia="en-GB"/>
        </w:rPr>
        <w:t xml:space="preserve">For some industrial companies, the fuels supplied are used both as fuels for combustion and as feedstocks. In these instances, process-related emissions are calculated by taking the fraction of carbon stored or sequestered in the final product (based on industry production and chemical composition of the product) and subtracting this from the fuel supplied as </w:t>
      </w:r>
      <w:r w:rsidRPr="00D9348B">
        <w:rPr>
          <w:rFonts w:cs="Calibri"/>
          <w:lang w:eastAsia="en-GB"/>
        </w:rPr>
        <w:lastRenderedPageBreak/>
        <w:t>feedstock. This difference is assumed to be the amount of carbon emitted as CO</w:t>
      </w:r>
      <w:r w:rsidRPr="00D9348B">
        <w:rPr>
          <w:rFonts w:cs="Calibri"/>
          <w:vertAlign w:val="subscript"/>
          <w:lang w:eastAsia="en-GB"/>
        </w:rPr>
        <w:t>2</w:t>
      </w:r>
      <w:r w:rsidRPr="00D9348B">
        <w:rPr>
          <w:rFonts w:cs="Calibri"/>
          <w:sz w:val="14"/>
          <w:szCs w:val="14"/>
          <w:lang w:eastAsia="en-GB"/>
        </w:rPr>
        <w:t xml:space="preserve"> </w:t>
      </w:r>
      <w:r w:rsidRPr="00D9348B">
        <w:rPr>
          <w:rFonts w:cs="Calibri"/>
          <w:lang w:eastAsia="en-GB"/>
        </w:rPr>
        <w:t>and is reported both in the Industrial Processes and Product Use (IPPU) sector and in CRF table 1.AD. Other fuel materials, such as bitumen, also contribute to emissions that are reported in the IPPU sector and (where appropriate) in table 1.AD.</w:t>
      </w:r>
    </w:p>
    <w:p w14:paraId="41334F04" w14:textId="77777777" w:rsidR="00E20138" w:rsidRPr="00D9348B" w:rsidRDefault="00E20138" w:rsidP="00E20138">
      <w:pPr>
        <w:pStyle w:val="BodyText"/>
        <w:rPr>
          <w:rFonts w:cs="Calibri"/>
        </w:rPr>
      </w:pPr>
      <w:r w:rsidRPr="00D9348B">
        <w:rPr>
          <w:rFonts w:cs="Calibri"/>
        </w:rPr>
        <w:t>In New Zealand, these non-energy fuels are as follows.</w:t>
      </w:r>
    </w:p>
    <w:p w14:paraId="686B150E" w14:textId="77777777" w:rsidR="00E20138" w:rsidRPr="00D9348B" w:rsidRDefault="00E20138" w:rsidP="00E20138">
      <w:pPr>
        <w:pStyle w:val="Bullet"/>
        <w:tabs>
          <w:tab w:val="clear" w:pos="567"/>
        </w:tabs>
        <w:rPr>
          <w:rFonts w:cs="Calibri"/>
        </w:rPr>
      </w:pPr>
      <w:r w:rsidRPr="00D9348B">
        <w:rPr>
          <w:rFonts w:cs="Calibri"/>
        </w:rPr>
        <w:t>The carbon in the natural gas used as feedstock to produce methanol is all considered to be stored in the product and therefore has no associated CO</w:t>
      </w:r>
      <w:r w:rsidRPr="00D9348B">
        <w:rPr>
          <w:rFonts w:cs="Calibri"/>
          <w:vertAlign w:val="subscript"/>
        </w:rPr>
        <w:t>2</w:t>
      </w:r>
      <w:r w:rsidRPr="00D9348B">
        <w:rPr>
          <w:rFonts w:cs="Calibri"/>
        </w:rPr>
        <w:t xml:space="preserve"> emissions. The balance of the carbon is oxidised and results in CO</w:t>
      </w:r>
      <w:r w:rsidRPr="00D9348B">
        <w:rPr>
          <w:rFonts w:cs="Calibri"/>
          <w:vertAlign w:val="subscript"/>
        </w:rPr>
        <w:t>2</w:t>
      </w:r>
      <w:r w:rsidRPr="00D9348B">
        <w:rPr>
          <w:rFonts w:cs="Calibri"/>
        </w:rPr>
        <w:t xml:space="preserve">. Emissions from fuel used for combustion are reported in 1.A.2.c. </w:t>
      </w:r>
    </w:p>
    <w:p w14:paraId="6F13BAA9" w14:textId="77777777" w:rsidR="00E20138" w:rsidRPr="00D9348B" w:rsidRDefault="00E20138" w:rsidP="00E20138">
      <w:pPr>
        <w:pStyle w:val="Bullet"/>
        <w:tabs>
          <w:tab w:val="clear" w:pos="567"/>
        </w:tabs>
        <w:rPr>
          <w:rFonts w:cs="Calibri"/>
        </w:rPr>
      </w:pPr>
      <w:r w:rsidRPr="00D9348B">
        <w:rPr>
          <w:rFonts w:cs="Calibri"/>
        </w:rPr>
        <w:t>All ammonia produced in New Zealand is processed into urea. Carbon dioxide emissions from the use of natural gas in ammonia production (feedstock) are reported under the IPPU sector and are included in CRF table 1.AD. Emissions from fuel used for combustion are reported in 1.A.2.c.</w:t>
      </w:r>
    </w:p>
    <w:p w14:paraId="62ECD9E8" w14:textId="77777777" w:rsidR="00E20138" w:rsidRPr="00D9348B" w:rsidRDefault="00E20138" w:rsidP="00E20138">
      <w:pPr>
        <w:pStyle w:val="Bullet"/>
        <w:tabs>
          <w:tab w:val="clear" w:pos="567"/>
        </w:tabs>
        <w:rPr>
          <w:rFonts w:cs="Calibri"/>
        </w:rPr>
      </w:pPr>
      <w:r w:rsidRPr="00D9348B">
        <w:rPr>
          <w:rFonts w:cs="Calibri"/>
        </w:rPr>
        <w:t>Bitumen produced in New Zealand is not used as a fuel but rather by the companies Fulton Hogan and Downer EDI as a road construction material (non-energy use). Bitumen therefore has no associated direct emissions. Indirect emissions are reported in the IPPU sector.</w:t>
      </w:r>
    </w:p>
    <w:p w14:paraId="33708481" w14:textId="77777777" w:rsidR="00E20138" w:rsidRPr="00D9348B" w:rsidRDefault="00E20138" w:rsidP="00E20138">
      <w:pPr>
        <w:pStyle w:val="Bullet"/>
        <w:tabs>
          <w:tab w:val="clear" w:pos="567"/>
        </w:tabs>
        <w:rPr>
          <w:rFonts w:cs="Calibri"/>
        </w:rPr>
      </w:pPr>
      <w:r w:rsidRPr="00D9348B">
        <w:rPr>
          <w:rFonts w:cs="Calibri"/>
        </w:rPr>
        <w:t xml:space="preserve">Coal used in steel production at New Zealand Steel Limited is used as a reductant, which is part of an industrial process. Therefore, all emissions from this coal are reported under the IPPU sector rather than the Energy sector. </w:t>
      </w:r>
    </w:p>
    <w:p w14:paraId="7E981FED" w14:textId="77777777" w:rsidR="00E20138" w:rsidRPr="00D9348B" w:rsidRDefault="00E20138" w:rsidP="00E20138">
      <w:pPr>
        <w:pStyle w:val="BodyText"/>
        <w:rPr>
          <w:rFonts w:cs="Calibri"/>
          <w:lang w:eastAsia="en-GB"/>
        </w:rPr>
      </w:pPr>
      <w:r w:rsidRPr="00D9348B">
        <w:rPr>
          <w:rFonts w:cs="Calibri"/>
          <w:lang w:eastAsia="en-GB"/>
        </w:rPr>
        <w:t>For the four industries using natural gas as feedstock, the fraction of carbon stored is given in table 3.2.1. Emissions for individual products are withheld because of confidentiality concerns.</w:t>
      </w:r>
    </w:p>
    <w:p w14:paraId="2D0DC9D9" w14:textId="77777777" w:rsidR="00E20138" w:rsidRPr="00D9348B" w:rsidRDefault="00E20138" w:rsidP="00E20138">
      <w:pPr>
        <w:pStyle w:val="Table"/>
        <w:rPr>
          <w:rFonts w:cs="Calibri"/>
        </w:rPr>
      </w:pPr>
      <w:bookmarkStart w:id="326" w:name="_Toc507496589"/>
      <w:bookmarkStart w:id="327" w:name="_Toc36224523"/>
      <w:r w:rsidRPr="00D9348B">
        <w:rPr>
          <w:rFonts w:cs="Calibri"/>
        </w:rPr>
        <w:t xml:space="preserve">Table 3.2.1 </w:t>
      </w:r>
      <w:r w:rsidRPr="00D9348B">
        <w:rPr>
          <w:rFonts w:cs="Calibri"/>
        </w:rPr>
        <w:tab/>
        <w:t>Use of natural gas as a feedstock in New Zealand</w:t>
      </w:r>
      <w:bookmarkEnd w:id="326"/>
      <w:bookmarkEnd w:id="327"/>
    </w:p>
    <w:tbl>
      <w:tblPr>
        <w:tblW w:w="8505" w:type="dxa"/>
        <w:tblInd w:w="113" w:type="dxa"/>
        <w:tblBorders>
          <w:top w:val="single" w:sz="4" w:space="0" w:color="365F91"/>
          <w:bottom w:val="single" w:sz="4" w:space="0" w:color="365F91"/>
          <w:insideH w:val="single" w:sz="4" w:space="0" w:color="365F91"/>
          <w:insideV w:val="single" w:sz="4" w:space="0" w:color="365F91"/>
        </w:tblBorders>
        <w:tblLayout w:type="fixed"/>
        <w:tblLook w:val="04A0" w:firstRow="1" w:lastRow="0" w:firstColumn="1" w:lastColumn="0" w:noHBand="0" w:noVBand="1"/>
      </w:tblPr>
      <w:tblGrid>
        <w:gridCol w:w="1240"/>
        <w:gridCol w:w="2421"/>
        <w:gridCol w:w="2253"/>
        <w:gridCol w:w="2591"/>
      </w:tblGrid>
      <w:tr w:rsidR="00E20138" w:rsidRPr="00D9348B" w14:paraId="5905BD7A" w14:textId="77777777" w:rsidTr="00DB330E">
        <w:trPr>
          <w:tblHeader/>
        </w:trPr>
        <w:tc>
          <w:tcPr>
            <w:tcW w:w="1129" w:type="dxa"/>
            <w:shd w:val="clear" w:color="auto" w:fill="365F91"/>
            <w:noWrap/>
            <w:hideMark/>
          </w:tcPr>
          <w:p w14:paraId="05056254" w14:textId="77777777" w:rsidR="00E20138" w:rsidRPr="00D9348B" w:rsidRDefault="00E20138" w:rsidP="00DB330E">
            <w:pPr>
              <w:pStyle w:val="TableTextBold"/>
              <w:keepNext/>
              <w:rPr>
                <w:rFonts w:cs="Calibri"/>
                <w:noProof w:val="0"/>
                <w:color w:val="FFFFFF"/>
              </w:rPr>
            </w:pPr>
            <w:r w:rsidRPr="00D9348B">
              <w:rPr>
                <w:rFonts w:cs="Calibri"/>
                <w:noProof w:val="0"/>
                <w:color w:val="FFFFFF"/>
              </w:rPr>
              <w:t>Product</w:t>
            </w:r>
          </w:p>
        </w:tc>
        <w:tc>
          <w:tcPr>
            <w:tcW w:w="2203" w:type="dxa"/>
            <w:shd w:val="clear" w:color="auto" w:fill="365F91"/>
            <w:noWrap/>
            <w:hideMark/>
          </w:tcPr>
          <w:p w14:paraId="3A99D17C" w14:textId="77777777" w:rsidR="00E20138" w:rsidRPr="00D9348B" w:rsidRDefault="00E20138" w:rsidP="00DB330E">
            <w:pPr>
              <w:pStyle w:val="TableTextBold"/>
              <w:keepNext/>
              <w:rPr>
                <w:rFonts w:cs="Calibri"/>
                <w:noProof w:val="0"/>
                <w:color w:val="FFFFFF"/>
              </w:rPr>
            </w:pPr>
            <w:r w:rsidRPr="00D9348B">
              <w:rPr>
                <w:rFonts w:cs="Calibri"/>
                <w:noProof w:val="0"/>
                <w:color w:val="FFFFFF"/>
              </w:rPr>
              <w:t>Percentage of carbon stored</w:t>
            </w:r>
          </w:p>
        </w:tc>
        <w:tc>
          <w:tcPr>
            <w:tcW w:w="2050" w:type="dxa"/>
            <w:shd w:val="clear" w:color="auto" w:fill="365F91"/>
            <w:noWrap/>
            <w:hideMark/>
          </w:tcPr>
          <w:p w14:paraId="3A0658E4" w14:textId="77777777" w:rsidR="00E20138" w:rsidRPr="00D9348B" w:rsidRDefault="00E20138" w:rsidP="00DB330E">
            <w:pPr>
              <w:pStyle w:val="TableTextBold"/>
              <w:keepNext/>
              <w:rPr>
                <w:rFonts w:cs="Calibri"/>
                <w:noProof w:val="0"/>
                <w:color w:val="FFFFFF"/>
              </w:rPr>
            </w:pPr>
            <w:r w:rsidRPr="00D9348B">
              <w:rPr>
                <w:rFonts w:cs="Calibri"/>
                <w:noProof w:val="0"/>
                <w:color w:val="FFFFFF"/>
              </w:rPr>
              <w:t>Energy use reported under</w:t>
            </w:r>
          </w:p>
        </w:tc>
        <w:tc>
          <w:tcPr>
            <w:tcW w:w="2358" w:type="dxa"/>
            <w:shd w:val="clear" w:color="auto" w:fill="365F91"/>
            <w:noWrap/>
            <w:hideMark/>
          </w:tcPr>
          <w:p w14:paraId="208CEA50" w14:textId="77777777" w:rsidR="00E20138" w:rsidRPr="00D9348B" w:rsidRDefault="00E20138" w:rsidP="00DB330E">
            <w:pPr>
              <w:pStyle w:val="TableTextBold"/>
              <w:keepNext/>
              <w:rPr>
                <w:rFonts w:cs="Calibri"/>
                <w:noProof w:val="0"/>
                <w:color w:val="FFFFFF"/>
              </w:rPr>
            </w:pPr>
            <w:r w:rsidRPr="00D9348B">
              <w:rPr>
                <w:rFonts w:cs="Calibri"/>
                <w:noProof w:val="0"/>
                <w:color w:val="FFFFFF"/>
              </w:rPr>
              <w:t>Non-energy use reported under</w:t>
            </w:r>
          </w:p>
        </w:tc>
      </w:tr>
      <w:tr w:rsidR="00E20138" w:rsidRPr="00D9348B" w14:paraId="24DDBF1B" w14:textId="77777777" w:rsidTr="00DB330E">
        <w:tc>
          <w:tcPr>
            <w:tcW w:w="1129" w:type="dxa"/>
            <w:shd w:val="clear" w:color="auto" w:fill="auto"/>
            <w:noWrap/>
            <w:hideMark/>
          </w:tcPr>
          <w:p w14:paraId="4C42D6EC" w14:textId="77777777" w:rsidR="00E20138" w:rsidRPr="00D9348B" w:rsidRDefault="00E20138" w:rsidP="005E77C4">
            <w:pPr>
              <w:pStyle w:val="TableText"/>
            </w:pPr>
            <w:r w:rsidRPr="00D9348B">
              <w:t>Methanol</w:t>
            </w:r>
          </w:p>
        </w:tc>
        <w:tc>
          <w:tcPr>
            <w:tcW w:w="2203" w:type="dxa"/>
            <w:shd w:val="clear" w:color="auto" w:fill="auto"/>
            <w:noWrap/>
            <w:hideMark/>
          </w:tcPr>
          <w:p w14:paraId="3B3C0143" w14:textId="77777777" w:rsidR="00E20138" w:rsidRPr="00D9348B" w:rsidRDefault="00E20138" w:rsidP="005E77C4">
            <w:pPr>
              <w:pStyle w:val="TableText"/>
            </w:pPr>
            <w:r w:rsidRPr="00D9348B">
              <w:t>100</w:t>
            </w:r>
          </w:p>
        </w:tc>
        <w:tc>
          <w:tcPr>
            <w:tcW w:w="2050" w:type="dxa"/>
            <w:shd w:val="clear" w:color="auto" w:fill="auto"/>
            <w:noWrap/>
            <w:hideMark/>
          </w:tcPr>
          <w:p w14:paraId="080945E7" w14:textId="77777777" w:rsidR="00E20138" w:rsidRPr="00D9348B" w:rsidRDefault="00E20138" w:rsidP="005E77C4">
            <w:pPr>
              <w:pStyle w:val="TableText"/>
            </w:pPr>
            <w:r w:rsidRPr="00D9348B">
              <w:t>1.A.2.c</w:t>
            </w:r>
          </w:p>
        </w:tc>
        <w:tc>
          <w:tcPr>
            <w:tcW w:w="2358" w:type="dxa"/>
            <w:shd w:val="clear" w:color="auto" w:fill="auto"/>
            <w:noWrap/>
            <w:hideMark/>
          </w:tcPr>
          <w:p w14:paraId="66CB6B3C" w14:textId="77777777" w:rsidR="00E20138" w:rsidRPr="00D9348B" w:rsidRDefault="00E20138" w:rsidP="005E77C4">
            <w:pPr>
              <w:pStyle w:val="TableText"/>
            </w:pPr>
            <w:r w:rsidRPr="00D9348B">
              <w:t>N/A</w:t>
            </w:r>
          </w:p>
        </w:tc>
      </w:tr>
      <w:tr w:rsidR="00E20138" w:rsidRPr="00D9348B" w14:paraId="4BAB4656" w14:textId="77777777" w:rsidTr="00DB330E">
        <w:tc>
          <w:tcPr>
            <w:tcW w:w="1129" w:type="dxa"/>
            <w:shd w:val="clear" w:color="auto" w:fill="auto"/>
            <w:noWrap/>
          </w:tcPr>
          <w:p w14:paraId="69F92E45" w14:textId="77777777" w:rsidR="00E20138" w:rsidRPr="00D9348B" w:rsidRDefault="00E20138" w:rsidP="005E77C4">
            <w:pPr>
              <w:pStyle w:val="TableText"/>
            </w:pPr>
            <w:r w:rsidRPr="00D9348B">
              <w:t>Urea</w:t>
            </w:r>
          </w:p>
        </w:tc>
        <w:tc>
          <w:tcPr>
            <w:tcW w:w="2203" w:type="dxa"/>
            <w:shd w:val="clear" w:color="auto" w:fill="auto"/>
            <w:noWrap/>
          </w:tcPr>
          <w:p w14:paraId="17710781" w14:textId="77777777" w:rsidR="00E20138" w:rsidRPr="00D9348B" w:rsidRDefault="00E20138" w:rsidP="005E77C4">
            <w:pPr>
              <w:pStyle w:val="TableText"/>
            </w:pPr>
            <w:r w:rsidRPr="00D9348B">
              <w:t>80–93</w:t>
            </w:r>
            <w:r w:rsidRPr="00D9348B">
              <w:rPr>
                <w:rStyle w:val="FootnoteReference"/>
                <w:sz w:val="16"/>
              </w:rPr>
              <w:footnoteReference w:id="35"/>
            </w:r>
          </w:p>
        </w:tc>
        <w:tc>
          <w:tcPr>
            <w:tcW w:w="2050" w:type="dxa"/>
            <w:shd w:val="clear" w:color="auto" w:fill="auto"/>
            <w:noWrap/>
          </w:tcPr>
          <w:p w14:paraId="66398BB2" w14:textId="77777777" w:rsidR="00E20138" w:rsidRPr="00D9348B" w:rsidRDefault="00E20138" w:rsidP="005E77C4">
            <w:pPr>
              <w:pStyle w:val="TableText"/>
            </w:pPr>
            <w:r w:rsidRPr="00D9348B">
              <w:t>1.A.2.c</w:t>
            </w:r>
          </w:p>
        </w:tc>
        <w:tc>
          <w:tcPr>
            <w:tcW w:w="2358" w:type="dxa"/>
            <w:shd w:val="clear" w:color="auto" w:fill="auto"/>
            <w:noWrap/>
          </w:tcPr>
          <w:p w14:paraId="48B10F78" w14:textId="77777777" w:rsidR="00E20138" w:rsidRPr="00D9348B" w:rsidRDefault="00E20138" w:rsidP="005E77C4">
            <w:pPr>
              <w:pStyle w:val="TableText"/>
            </w:pPr>
            <w:r w:rsidRPr="00D9348B">
              <w:t>2.B.1</w:t>
            </w:r>
          </w:p>
        </w:tc>
      </w:tr>
      <w:tr w:rsidR="00E20138" w:rsidRPr="00D9348B" w14:paraId="33623663" w14:textId="77777777" w:rsidTr="00DB330E">
        <w:tc>
          <w:tcPr>
            <w:tcW w:w="1129" w:type="dxa"/>
            <w:shd w:val="clear" w:color="auto" w:fill="auto"/>
            <w:noWrap/>
          </w:tcPr>
          <w:p w14:paraId="04B61F9F" w14:textId="77777777" w:rsidR="00E20138" w:rsidRPr="00D9348B" w:rsidRDefault="00E20138" w:rsidP="005E77C4">
            <w:pPr>
              <w:pStyle w:val="TableText"/>
            </w:pPr>
            <w:r w:rsidRPr="00D9348B">
              <w:t>Hydrogen</w:t>
            </w:r>
          </w:p>
        </w:tc>
        <w:tc>
          <w:tcPr>
            <w:tcW w:w="2203" w:type="dxa"/>
            <w:shd w:val="clear" w:color="auto" w:fill="auto"/>
            <w:noWrap/>
          </w:tcPr>
          <w:p w14:paraId="59E7CA16" w14:textId="77777777" w:rsidR="00E20138" w:rsidRPr="00D9348B" w:rsidRDefault="00E20138" w:rsidP="005E77C4">
            <w:pPr>
              <w:pStyle w:val="TableText"/>
            </w:pPr>
            <w:r w:rsidRPr="00D9348B">
              <w:t>0</w:t>
            </w:r>
          </w:p>
        </w:tc>
        <w:tc>
          <w:tcPr>
            <w:tcW w:w="2050" w:type="dxa"/>
            <w:shd w:val="clear" w:color="auto" w:fill="auto"/>
            <w:noWrap/>
          </w:tcPr>
          <w:p w14:paraId="2C409818" w14:textId="77777777" w:rsidR="00E20138" w:rsidRPr="00D9348B" w:rsidRDefault="00E20138" w:rsidP="005E77C4">
            <w:pPr>
              <w:pStyle w:val="TableText"/>
            </w:pPr>
            <w:r w:rsidRPr="00D9348B">
              <w:t>1.A.2.c</w:t>
            </w:r>
          </w:p>
        </w:tc>
        <w:tc>
          <w:tcPr>
            <w:tcW w:w="2358" w:type="dxa"/>
            <w:shd w:val="clear" w:color="auto" w:fill="auto"/>
            <w:noWrap/>
          </w:tcPr>
          <w:p w14:paraId="45178BFD" w14:textId="77777777" w:rsidR="00E20138" w:rsidRPr="00D9348B" w:rsidRDefault="00E20138" w:rsidP="005E77C4">
            <w:pPr>
              <w:pStyle w:val="TableText"/>
            </w:pPr>
            <w:r w:rsidRPr="00D9348B">
              <w:t>2.B.10</w:t>
            </w:r>
          </w:p>
        </w:tc>
      </w:tr>
      <w:tr w:rsidR="00E20138" w:rsidRPr="00D9348B" w14:paraId="0CEFA158" w14:textId="77777777" w:rsidTr="00DB330E">
        <w:tc>
          <w:tcPr>
            <w:tcW w:w="1129" w:type="dxa"/>
            <w:shd w:val="clear" w:color="auto" w:fill="auto"/>
            <w:noWrap/>
          </w:tcPr>
          <w:p w14:paraId="59CD46C2" w14:textId="77777777" w:rsidR="00E20138" w:rsidRPr="00D9348B" w:rsidRDefault="00E20138" w:rsidP="005E77C4">
            <w:pPr>
              <w:pStyle w:val="TableText"/>
            </w:pPr>
            <w:r w:rsidRPr="00D9348B">
              <w:t>Steel</w:t>
            </w:r>
          </w:p>
        </w:tc>
        <w:tc>
          <w:tcPr>
            <w:tcW w:w="2203" w:type="dxa"/>
            <w:shd w:val="clear" w:color="auto" w:fill="auto"/>
            <w:noWrap/>
          </w:tcPr>
          <w:p w14:paraId="332075AA" w14:textId="77777777" w:rsidR="00E20138" w:rsidRPr="00D9348B" w:rsidRDefault="00E20138" w:rsidP="005E77C4">
            <w:pPr>
              <w:pStyle w:val="TableText"/>
            </w:pPr>
            <w:r w:rsidRPr="00D9348B">
              <w:t>0</w:t>
            </w:r>
          </w:p>
        </w:tc>
        <w:tc>
          <w:tcPr>
            <w:tcW w:w="2050" w:type="dxa"/>
            <w:shd w:val="clear" w:color="auto" w:fill="auto"/>
            <w:noWrap/>
          </w:tcPr>
          <w:p w14:paraId="7F4ED7E4" w14:textId="77777777" w:rsidR="00E20138" w:rsidRPr="00D9348B" w:rsidRDefault="00E20138" w:rsidP="005E77C4">
            <w:pPr>
              <w:pStyle w:val="TableText"/>
            </w:pPr>
            <w:r w:rsidRPr="00D9348B">
              <w:t>1.A.2.a</w:t>
            </w:r>
          </w:p>
        </w:tc>
        <w:tc>
          <w:tcPr>
            <w:tcW w:w="2358" w:type="dxa"/>
            <w:shd w:val="clear" w:color="auto" w:fill="auto"/>
            <w:noWrap/>
          </w:tcPr>
          <w:p w14:paraId="0EBD3D91" w14:textId="77777777" w:rsidR="00E20138" w:rsidRPr="00D9348B" w:rsidRDefault="00E20138" w:rsidP="005E77C4">
            <w:pPr>
              <w:pStyle w:val="TableText"/>
            </w:pPr>
            <w:r w:rsidRPr="00D9348B">
              <w:t>2.C.1</w:t>
            </w:r>
          </w:p>
        </w:tc>
      </w:tr>
    </w:tbl>
    <w:p w14:paraId="600D7340" w14:textId="77777777" w:rsidR="00E20138" w:rsidRPr="00D9348B" w:rsidRDefault="00E20138" w:rsidP="00E20138">
      <w:pPr>
        <w:pStyle w:val="BodyText"/>
        <w:spacing w:before="240"/>
        <w:rPr>
          <w:rFonts w:cs="Calibri"/>
          <w:lang w:eastAsia="en-GB"/>
        </w:rPr>
      </w:pPr>
      <w:r w:rsidRPr="00D9348B">
        <w:rPr>
          <w:rFonts w:cs="Calibri"/>
          <w:lang w:eastAsia="en-GB"/>
        </w:rPr>
        <w:t xml:space="preserve">The available data on natural gas supplied for methanol production do not allow feedstock to be clearly distinguished from gas for combustion. The quantity of feedstock gas is therefore calculated using a carbon balance based on the quantity of methanol produced. Natural gas used for energy generation is then calculated as total gas consumed minus feedstock gas. These figures may differ slightly from those reported online by MBIE, which are based on natural gas energy use and non-energy use as reported by the plant operator. </w:t>
      </w:r>
    </w:p>
    <w:p w14:paraId="7F0B469F" w14:textId="77777777" w:rsidR="00E20138" w:rsidRPr="00D9348B" w:rsidRDefault="00E20138" w:rsidP="00E20138">
      <w:pPr>
        <w:pStyle w:val="BodyText"/>
        <w:rPr>
          <w:rFonts w:cs="Calibri"/>
          <w:lang w:eastAsia="en-GB"/>
        </w:rPr>
      </w:pPr>
      <w:r w:rsidRPr="00D9348B">
        <w:rPr>
          <w:rFonts w:cs="Calibri"/>
          <w:lang w:eastAsia="en-GB"/>
        </w:rPr>
        <w:t>Regarding urea, the split of feedstock gas and fuel gas is provided by the company. Although most of the carbon in feedstock gas used for urea production is stored in the product, this carbon is later emitted when the urea is used on farms as fertiliser. These emissions are reported in the Agriculture sector under urea application (all ammonia produced in New Zealand is processed into urea).</w:t>
      </w:r>
    </w:p>
    <w:p w14:paraId="6EA142F0" w14:textId="77777777" w:rsidR="00E20138" w:rsidRPr="00D9348B" w:rsidRDefault="00E20138" w:rsidP="00E20138">
      <w:pPr>
        <w:pStyle w:val="BodyText"/>
        <w:rPr>
          <w:rFonts w:cs="Calibri"/>
          <w:lang w:eastAsia="en-GB"/>
        </w:rPr>
      </w:pPr>
      <w:r w:rsidRPr="00D9348B">
        <w:rPr>
          <w:rFonts w:cs="Calibri"/>
          <w:lang w:eastAsia="en-GB"/>
        </w:rPr>
        <w:lastRenderedPageBreak/>
        <w:t xml:space="preserve">Emissions from synthetic gasoline production are reported under the </w:t>
      </w:r>
      <w:r w:rsidRPr="00D9348B">
        <w:rPr>
          <w:rFonts w:cs="Calibri"/>
          <w:i/>
          <w:lang w:eastAsia="en-GB"/>
        </w:rPr>
        <w:t>Manufacture of solid fuels and other energy industries</w:t>
      </w:r>
      <w:r w:rsidRPr="00D9348B">
        <w:rPr>
          <w:rFonts w:cs="Calibri"/>
          <w:lang w:eastAsia="en-GB"/>
        </w:rPr>
        <w:t xml:space="preserve"> category. Synthetic gasoline production in New Zealand ceased in 1997.</w:t>
      </w:r>
    </w:p>
    <w:p w14:paraId="3B91D0B9" w14:textId="77777777" w:rsidR="00E20138" w:rsidRPr="00D9348B" w:rsidRDefault="00E20138" w:rsidP="00E20138">
      <w:pPr>
        <w:pStyle w:val="BodyText"/>
        <w:rPr>
          <w:rFonts w:cs="Calibri"/>
          <w:lang w:eastAsia="en-GB"/>
        </w:rPr>
      </w:pPr>
      <w:r w:rsidRPr="00D9348B">
        <w:rPr>
          <w:rFonts w:cs="Calibri"/>
          <w:lang w:eastAsia="en-GB"/>
        </w:rPr>
        <w:t>The split of natural gas consumed for energy use versus non-energy use across the time series is shown in figure 3.2.1, and a table giving the energy versus non-energy use data for natural gas is included in annex 4, section A.4.4. Details of natural gas use for the various non-energy uses are covered under the IPPU sector (chapter 4).</w:t>
      </w:r>
    </w:p>
    <w:p w14:paraId="64011376" w14:textId="77777777" w:rsidR="00E20138" w:rsidRPr="00D9348B" w:rsidRDefault="00E20138" w:rsidP="00E20138">
      <w:pPr>
        <w:pStyle w:val="Figure"/>
        <w:rPr>
          <w:rFonts w:cs="Calibri"/>
        </w:rPr>
      </w:pPr>
      <w:bookmarkStart w:id="328" w:name="_Toc481751985"/>
      <w:bookmarkStart w:id="329" w:name="_Toc36292769"/>
      <w:r w:rsidRPr="00D9348B">
        <w:rPr>
          <w:rFonts w:cs="Calibri"/>
        </w:rPr>
        <w:t>Figure 3.2.</w:t>
      </w:r>
      <w:r w:rsidRPr="00D9348B">
        <w:rPr>
          <w:rFonts w:cs="Calibri"/>
        </w:rPr>
        <w:fldChar w:fldCharType="begin"/>
      </w:r>
      <w:r w:rsidRPr="00D9348B">
        <w:rPr>
          <w:rFonts w:cs="Calibri"/>
        </w:rPr>
        <w:instrText xml:space="preserve"> SEQ Figure \* ARABIC \s 2 </w:instrText>
      </w:r>
      <w:r w:rsidRPr="00D9348B">
        <w:rPr>
          <w:rFonts w:cs="Calibri"/>
        </w:rPr>
        <w:fldChar w:fldCharType="separate"/>
      </w:r>
      <w:r w:rsidRPr="00D9348B">
        <w:rPr>
          <w:rFonts w:cs="Calibri"/>
        </w:rPr>
        <w:t>1</w:t>
      </w:r>
      <w:r w:rsidRPr="00D9348B">
        <w:rPr>
          <w:rFonts w:cs="Calibri"/>
        </w:rPr>
        <w:fldChar w:fldCharType="end"/>
      </w:r>
      <w:r w:rsidRPr="00D9348B">
        <w:rPr>
          <w:rFonts w:cs="Calibri"/>
        </w:rPr>
        <w:tab/>
        <w:t>Natural gas consumption by end use type</w:t>
      </w:r>
      <w:bookmarkEnd w:id="328"/>
      <w:r w:rsidRPr="00D9348B">
        <w:rPr>
          <w:rFonts w:cs="Calibri"/>
        </w:rPr>
        <w:t xml:space="preserve"> (1990–2018)</w:t>
      </w:r>
      <w:bookmarkEnd w:id="329"/>
      <w:r w:rsidRPr="00D9348B">
        <w:rPr>
          <w:rFonts w:cs="Calibri"/>
        </w:rPr>
        <w:t xml:space="preserve"> </w:t>
      </w:r>
    </w:p>
    <w:p w14:paraId="18546FEF" w14:textId="75B52581" w:rsidR="00E20138" w:rsidRPr="00D9348B" w:rsidRDefault="007165CF" w:rsidP="00E20138">
      <w:pPr>
        <w:spacing w:before="60"/>
        <w:rPr>
          <w:rFonts w:cs="Calibri"/>
          <w:lang w:eastAsia="en-GB"/>
        </w:rPr>
      </w:pPr>
      <w:r>
        <w:rPr>
          <w:rFonts w:cs="Calibri"/>
        </w:rPr>
        <w:pict w14:anchorId="111F3807">
          <v:shape id="_x0000_i1049" type="#_x0000_t75" style="width:397.55pt;height:189.7pt;visibility:visible;mso-wrap-style:square">
            <v:imagedata r:id="rId63" o:title="" cropbottom="2810f"/>
          </v:shape>
        </w:pict>
      </w:r>
    </w:p>
    <w:p w14:paraId="7A56E409" w14:textId="77777777" w:rsidR="00E20138" w:rsidRPr="00D9348B" w:rsidRDefault="00E20138" w:rsidP="00E20138">
      <w:pPr>
        <w:pStyle w:val="Heading3"/>
        <w:rPr>
          <w:rFonts w:cs="Calibri"/>
        </w:rPr>
      </w:pPr>
      <w:r w:rsidRPr="00D9348B">
        <w:rPr>
          <w:rFonts w:cs="Calibri"/>
        </w:rPr>
        <w:t>3.2.4</w:t>
      </w:r>
      <w:r w:rsidRPr="00D9348B">
        <w:rPr>
          <w:rFonts w:cs="Calibri"/>
        </w:rPr>
        <w:tab/>
        <w:t>Carbon dioxide capture from flue gases and subsequent carbon dioxide</w:t>
      </w:r>
      <w:r w:rsidRPr="00D9348B">
        <w:rPr>
          <w:rFonts w:cs="Calibri"/>
          <w:sz w:val="18"/>
          <w:szCs w:val="18"/>
        </w:rPr>
        <w:t xml:space="preserve"> </w:t>
      </w:r>
      <w:r w:rsidRPr="00D9348B">
        <w:rPr>
          <w:rFonts w:cs="Calibri"/>
        </w:rPr>
        <w:t>storage</w:t>
      </w:r>
    </w:p>
    <w:p w14:paraId="727720A8" w14:textId="77777777" w:rsidR="00E20138" w:rsidRPr="00D9348B" w:rsidRDefault="00E20138" w:rsidP="00E20138">
      <w:pPr>
        <w:pStyle w:val="BodyText"/>
        <w:spacing w:before="100" w:after="100"/>
        <w:rPr>
          <w:rFonts w:cs="Calibri"/>
        </w:rPr>
      </w:pPr>
      <w:r w:rsidRPr="00D9348B">
        <w:rPr>
          <w:rFonts w:cs="Calibri"/>
          <w:lang w:eastAsia="en-GB"/>
        </w:rPr>
        <w:t>There was no CO</w:t>
      </w:r>
      <w:r w:rsidRPr="00D9348B">
        <w:rPr>
          <w:rFonts w:cs="Calibri"/>
          <w:vertAlign w:val="subscript"/>
          <w:lang w:eastAsia="en-GB"/>
        </w:rPr>
        <w:t>2</w:t>
      </w:r>
      <w:r w:rsidRPr="00D9348B">
        <w:rPr>
          <w:rFonts w:cs="Calibri"/>
          <w:sz w:val="14"/>
          <w:szCs w:val="14"/>
          <w:lang w:eastAsia="en-GB"/>
        </w:rPr>
        <w:t xml:space="preserve"> </w:t>
      </w:r>
      <w:r w:rsidRPr="00D9348B">
        <w:rPr>
          <w:rFonts w:cs="Calibri"/>
          <w:lang w:eastAsia="en-GB"/>
        </w:rPr>
        <w:t>capture from flue gases and subsequent CO</w:t>
      </w:r>
      <w:r w:rsidRPr="00D9348B">
        <w:rPr>
          <w:rFonts w:cs="Calibri"/>
          <w:vertAlign w:val="subscript"/>
          <w:lang w:eastAsia="en-GB"/>
        </w:rPr>
        <w:t>2</w:t>
      </w:r>
      <w:r w:rsidRPr="00D9348B">
        <w:rPr>
          <w:rFonts w:cs="Calibri"/>
          <w:sz w:val="14"/>
          <w:szCs w:val="14"/>
          <w:lang w:eastAsia="en-GB"/>
        </w:rPr>
        <w:t xml:space="preserve"> </w:t>
      </w:r>
      <w:r w:rsidRPr="00D9348B">
        <w:rPr>
          <w:rFonts w:cs="Calibri"/>
          <w:lang w:eastAsia="en-GB"/>
        </w:rPr>
        <w:t xml:space="preserve">storage occurring in New Zealand between 1990 and </w:t>
      </w:r>
      <w:r w:rsidRPr="00D9348B">
        <w:rPr>
          <w:rFonts w:cs="Calibri"/>
        </w:rPr>
        <w:t>2018</w:t>
      </w:r>
      <w:r w:rsidRPr="00D9348B">
        <w:rPr>
          <w:rFonts w:cs="Calibri"/>
          <w:lang w:eastAsia="en-GB"/>
        </w:rPr>
        <w:t>.</w:t>
      </w:r>
    </w:p>
    <w:p w14:paraId="5F2CC2BE" w14:textId="77777777" w:rsidR="00E20138" w:rsidRPr="00D9348B" w:rsidRDefault="00E20138" w:rsidP="00E20138">
      <w:pPr>
        <w:pStyle w:val="Heading3"/>
        <w:spacing w:before="280"/>
        <w:rPr>
          <w:rFonts w:cs="Calibri"/>
        </w:rPr>
      </w:pPr>
      <w:r w:rsidRPr="00D9348B">
        <w:rPr>
          <w:rFonts w:cs="Calibri"/>
        </w:rPr>
        <w:t>3.2.5</w:t>
      </w:r>
      <w:r w:rsidRPr="00D9348B">
        <w:rPr>
          <w:rFonts w:cs="Calibri"/>
        </w:rPr>
        <w:tab/>
        <w:t>Country-specific issues</w:t>
      </w:r>
    </w:p>
    <w:p w14:paraId="5337DAA6" w14:textId="77777777" w:rsidR="00E20138" w:rsidRPr="00D9348B" w:rsidRDefault="00E20138" w:rsidP="00E20138">
      <w:pPr>
        <w:pStyle w:val="BodyText"/>
        <w:spacing w:before="100" w:after="100"/>
        <w:rPr>
          <w:rFonts w:cs="Calibri"/>
        </w:rPr>
      </w:pPr>
      <w:r w:rsidRPr="00D9348B">
        <w:rPr>
          <w:rFonts w:cs="Calibri"/>
          <w:lang w:eastAsia="en-GB"/>
        </w:rPr>
        <w:t>Reporting for the Energy sector presents an issue related to the IPCC Guidelines (IPCC, 2006). The issue is described below.</w:t>
      </w:r>
    </w:p>
    <w:p w14:paraId="20CBF42A" w14:textId="77777777" w:rsidR="00E20138" w:rsidRPr="00D9348B" w:rsidRDefault="00E20138" w:rsidP="00865BDB">
      <w:pPr>
        <w:pStyle w:val="Heading4"/>
      </w:pPr>
      <w:r w:rsidRPr="00D9348B">
        <w:rPr>
          <w:lang w:eastAsia="en-GB"/>
        </w:rPr>
        <w:t>Sectoral approach – Methanol production</w:t>
      </w:r>
    </w:p>
    <w:p w14:paraId="4B62AB46" w14:textId="77777777" w:rsidR="00E20138" w:rsidRPr="00D9348B" w:rsidRDefault="00E20138" w:rsidP="00E20138">
      <w:pPr>
        <w:pStyle w:val="BodyText"/>
        <w:spacing w:before="100" w:after="100"/>
        <w:rPr>
          <w:rFonts w:cs="Calibri"/>
          <w:lang w:eastAsia="en-GB"/>
        </w:rPr>
      </w:pPr>
      <w:r w:rsidRPr="00D9348B">
        <w:rPr>
          <w:rFonts w:cs="Calibri"/>
        </w:rPr>
        <w:t xml:space="preserve">The sector activity data do not include non-energy use of fuels. As a result, subtraction of emissions is not needed to account for the sequestration of carbon in methanol. The emissions from the fuel portion are reported in the CRF category 1.A.2.c </w:t>
      </w:r>
      <w:r w:rsidRPr="00D9348B">
        <w:rPr>
          <w:rFonts w:cs="Calibri"/>
          <w:i/>
        </w:rPr>
        <w:t>Chemicals</w:t>
      </w:r>
      <w:r w:rsidRPr="00D9348B">
        <w:rPr>
          <w:rFonts w:cs="Calibri"/>
        </w:rPr>
        <w:t xml:space="preserve"> in the Energy sector, and the emissions from the feedstock portion are described in chapter 4 (IPPU sector), section 4.3.2. </w:t>
      </w:r>
    </w:p>
    <w:p w14:paraId="2351893A" w14:textId="77777777" w:rsidR="00E20138" w:rsidRPr="00D9348B" w:rsidRDefault="00E20138" w:rsidP="00E20138">
      <w:pPr>
        <w:pStyle w:val="Heading3"/>
        <w:spacing w:before="280"/>
        <w:rPr>
          <w:rFonts w:cs="Calibri"/>
        </w:rPr>
      </w:pPr>
      <w:r w:rsidRPr="00D9348B">
        <w:rPr>
          <w:rFonts w:cs="Calibri"/>
        </w:rPr>
        <w:t>3.2.6</w:t>
      </w:r>
      <w:r w:rsidRPr="00D9348B">
        <w:rPr>
          <w:rFonts w:cs="Calibri"/>
        </w:rPr>
        <w:tab/>
        <w:t>New Zealand energy balance</w:t>
      </w:r>
    </w:p>
    <w:p w14:paraId="0A0A4606" w14:textId="77777777" w:rsidR="00E20138" w:rsidRPr="00D9348B" w:rsidRDefault="00E20138" w:rsidP="00E20138">
      <w:pPr>
        <w:pStyle w:val="BodyText"/>
        <w:spacing w:before="100" w:after="100"/>
        <w:rPr>
          <w:rFonts w:cs="Calibri"/>
          <w:iCs/>
          <w:lang w:eastAsia="en-GB"/>
        </w:rPr>
      </w:pPr>
      <w:r w:rsidRPr="00D9348B">
        <w:rPr>
          <w:rFonts w:cs="Calibri"/>
        </w:rPr>
        <w:t xml:space="preserve">New Zealand’s energy balance, along with comprehensive information and analysis of energy supply and demand, is published annually in </w:t>
      </w:r>
      <w:r w:rsidRPr="00D9348B">
        <w:rPr>
          <w:rFonts w:cs="Calibri"/>
          <w:i/>
        </w:rPr>
        <w:t>Energy in New Zealand</w:t>
      </w:r>
      <w:r w:rsidRPr="00D9348B">
        <w:rPr>
          <w:rFonts w:cs="Calibri"/>
        </w:rPr>
        <w:t xml:space="preserve"> (MBIE, 2019). It covers energy statistics, including supply and demand by fuel types, energy balance tables, pricing information and international comparisons. An electronic copy of this report is available online at:</w:t>
      </w:r>
      <w:hyperlink w:history="1">
        <w:r w:rsidRPr="00D9348B">
          <w:rPr>
            <w:rStyle w:val="Hyperlink"/>
            <w:rFonts w:cs="Calibri"/>
          </w:rPr>
          <w:t xml:space="preserve"> </w:t>
        </w:r>
        <w:r w:rsidRPr="00D9348B">
          <w:rPr>
            <w:rFonts w:cs="Calibri"/>
          </w:rPr>
          <w:t>www.mbie.govt.nz/building-and-energy/energy-and-natural-resources/energy-statistics-and-modelling/energy-publications-and-technical-papers/energy-in-new-zealand/.</w:t>
        </w:r>
        <w:r w:rsidRPr="00D9348B">
          <w:rPr>
            <w:rStyle w:val="Hyperlink"/>
            <w:rFonts w:cs="Calibri"/>
          </w:rPr>
          <w:t xml:space="preserve"> </w:t>
        </w:r>
      </w:hyperlink>
    </w:p>
    <w:p w14:paraId="472D0063" w14:textId="77777777" w:rsidR="00E20138" w:rsidRPr="00D9348B" w:rsidRDefault="00E20138" w:rsidP="00E20138">
      <w:pPr>
        <w:pStyle w:val="Heading2"/>
        <w:rPr>
          <w:rFonts w:cs="Calibri"/>
        </w:rPr>
      </w:pPr>
      <w:bookmarkStart w:id="330" w:name="_Toc321398810"/>
      <w:bookmarkStart w:id="331" w:name="_Toc384581636"/>
      <w:bookmarkStart w:id="332" w:name="_Toc448321508"/>
      <w:bookmarkStart w:id="333" w:name="_Toc481751370"/>
      <w:bookmarkStart w:id="334" w:name="_Toc36224387"/>
      <w:r w:rsidRPr="00D9348B">
        <w:rPr>
          <w:rFonts w:cs="Calibri"/>
        </w:rPr>
        <w:lastRenderedPageBreak/>
        <w:t>3.3</w:t>
      </w:r>
      <w:r w:rsidRPr="00D9348B">
        <w:rPr>
          <w:rFonts w:cs="Calibri"/>
        </w:rPr>
        <w:tab/>
        <w:t>Fuel combustion (CRF 1.A)</w:t>
      </w:r>
      <w:bookmarkEnd w:id="330"/>
      <w:bookmarkEnd w:id="331"/>
      <w:bookmarkEnd w:id="332"/>
      <w:bookmarkEnd w:id="333"/>
      <w:bookmarkEnd w:id="334"/>
    </w:p>
    <w:p w14:paraId="2474B640" w14:textId="77777777" w:rsidR="00E20138" w:rsidRPr="00D9348B" w:rsidRDefault="00E20138" w:rsidP="005E77C4">
      <w:pPr>
        <w:pStyle w:val="Heading3"/>
        <w:spacing w:before="160"/>
        <w:rPr>
          <w:rFonts w:cs="Calibri"/>
        </w:rPr>
      </w:pPr>
      <w:bookmarkStart w:id="335" w:name="_Ref442177031"/>
      <w:r w:rsidRPr="00D9348B">
        <w:rPr>
          <w:rFonts w:cs="Calibri"/>
        </w:rPr>
        <w:t>3.3.1</w:t>
      </w:r>
      <w:r w:rsidRPr="00D9348B">
        <w:rPr>
          <w:rFonts w:cs="Calibri"/>
        </w:rPr>
        <w:tab/>
        <w:t>Sector-wide information</w:t>
      </w:r>
      <w:bookmarkEnd w:id="335"/>
    </w:p>
    <w:p w14:paraId="2C807863" w14:textId="77777777" w:rsidR="00E20138" w:rsidRPr="00D9348B" w:rsidRDefault="00E20138" w:rsidP="00BE52D4">
      <w:pPr>
        <w:pStyle w:val="Heading4"/>
        <w:spacing w:before="160"/>
      </w:pPr>
      <w:r w:rsidRPr="00D9348B">
        <w:rPr>
          <w:lang w:eastAsia="en-GB"/>
        </w:rPr>
        <w:t>Description</w:t>
      </w:r>
    </w:p>
    <w:p w14:paraId="57973E36" w14:textId="77777777" w:rsidR="00E20138" w:rsidRPr="00D9348B" w:rsidRDefault="00E20138" w:rsidP="00E20138">
      <w:pPr>
        <w:pStyle w:val="BodyText"/>
        <w:rPr>
          <w:rFonts w:cs="Calibri"/>
          <w:lang w:eastAsia="en-GB"/>
        </w:rPr>
      </w:pPr>
      <w:r w:rsidRPr="00D9348B">
        <w:rPr>
          <w:rFonts w:cs="Calibri"/>
          <w:lang w:eastAsia="en-GB"/>
        </w:rPr>
        <w:t xml:space="preserve">The </w:t>
      </w:r>
      <w:r w:rsidRPr="00D9348B">
        <w:rPr>
          <w:rFonts w:cs="Calibri"/>
          <w:i/>
          <w:lang w:eastAsia="en-GB"/>
        </w:rPr>
        <w:t>Fuel combustion</w:t>
      </w:r>
      <w:r w:rsidRPr="00D9348B">
        <w:rPr>
          <w:rFonts w:cs="Calibri"/>
          <w:lang w:eastAsia="en-GB"/>
        </w:rPr>
        <w:t xml:space="preserve"> category reports all fuel combustion activities from 1.A.1 </w:t>
      </w:r>
      <w:r w:rsidRPr="00D9348B">
        <w:rPr>
          <w:rFonts w:cs="Calibri"/>
          <w:i/>
          <w:lang w:eastAsia="en-GB"/>
        </w:rPr>
        <w:t>Energy industries</w:t>
      </w:r>
      <w:r w:rsidRPr="00D9348B">
        <w:rPr>
          <w:rFonts w:cs="Calibri"/>
          <w:lang w:eastAsia="en-GB"/>
        </w:rPr>
        <w:t xml:space="preserve">, 1.A.2 </w:t>
      </w:r>
      <w:r w:rsidRPr="00D9348B">
        <w:rPr>
          <w:rFonts w:cs="Calibri"/>
          <w:i/>
          <w:lang w:eastAsia="en-GB"/>
        </w:rPr>
        <w:t>Manufacturing industries and construction</w:t>
      </w:r>
      <w:r w:rsidRPr="00D9348B">
        <w:rPr>
          <w:rFonts w:cs="Calibri"/>
          <w:lang w:eastAsia="en-GB"/>
        </w:rPr>
        <w:t xml:space="preserve">, 1.A.3 </w:t>
      </w:r>
      <w:r w:rsidRPr="00D9348B">
        <w:rPr>
          <w:rFonts w:cs="Calibri"/>
          <w:i/>
          <w:lang w:eastAsia="en-GB"/>
        </w:rPr>
        <w:t>Transport</w:t>
      </w:r>
      <w:r w:rsidRPr="00D9348B">
        <w:rPr>
          <w:rFonts w:cs="Calibri"/>
          <w:lang w:eastAsia="en-GB"/>
        </w:rPr>
        <w:t xml:space="preserve"> and 1.A.4 </w:t>
      </w:r>
      <w:proofErr w:type="gramStart"/>
      <w:r w:rsidRPr="00D9348B">
        <w:rPr>
          <w:rFonts w:cs="Calibri"/>
          <w:i/>
          <w:lang w:eastAsia="en-GB"/>
        </w:rPr>
        <w:t>Other</w:t>
      </w:r>
      <w:proofErr w:type="gramEnd"/>
      <w:r w:rsidRPr="00D9348B">
        <w:rPr>
          <w:rFonts w:cs="Calibri"/>
          <w:i/>
          <w:lang w:eastAsia="en-GB"/>
        </w:rPr>
        <w:t> sectors</w:t>
      </w:r>
      <w:r w:rsidRPr="00D9348B">
        <w:rPr>
          <w:rFonts w:cs="Calibri"/>
          <w:lang w:eastAsia="en-GB"/>
        </w:rPr>
        <w:t xml:space="preserve"> categories (see figure 3.3.1). These categories use common activity data sources and emission factors. The CRF tables require energy emissions to be reported by category. Apportioning energy activity data across categories is not as accurate as apportioning activity data by fuel type because of difficulties in allocating liquid fuel to the appropriate categories.</w:t>
      </w:r>
    </w:p>
    <w:p w14:paraId="603A8C0F" w14:textId="77777777" w:rsidR="00E20138" w:rsidRPr="00D9348B" w:rsidRDefault="00E20138" w:rsidP="00E20138">
      <w:pPr>
        <w:pStyle w:val="BodyText"/>
        <w:rPr>
          <w:rFonts w:cs="Calibri"/>
          <w:lang w:eastAsia="en-GB"/>
        </w:rPr>
      </w:pPr>
      <w:r w:rsidRPr="00D9348B">
        <w:rPr>
          <w:rFonts w:cs="Calibri"/>
          <w:lang w:eastAsia="en-GB"/>
        </w:rPr>
        <w:t>Information about methodologies, emission factors, uncertainty, and quality control and assurance for each of the categories is discussed below.</w:t>
      </w:r>
    </w:p>
    <w:p w14:paraId="411C119D" w14:textId="77777777" w:rsidR="00E20138" w:rsidRPr="00D9348B" w:rsidRDefault="00E20138" w:rsidP="00E20138">
      <w:pPr>
        <w:pStyle w:val="Figure"/>
        <w:rPr>
          <w:rFonts w:cs="Calibri"/>
        </w:rPr>
      </w:pPr>
      <w:bookmarkStart w:id="336" w:name="_Toc321399324"/>
      <w:bookmarkStart w:id="337" w:name="_Toc384582850"/>
      <w:bookmarkStart w:id="338" w:name="_Toc443060811"/>
      <w:bookmarkStart w:id="339" w:name="_Toc447275668"/>
      <w:bookmarkStart w:id="340" w:name="_Toc481751986"/>
      <w:bookmarkStart w:id="341" w:name="_Toc36292770"/>
      <w:r w:rsidRPr="00D9348B">
        <w:rPr>
          <w:rFonts w:cs="Calibri"/>
        </w:rPr>
        <w:t>Figure 3.3.</w:t>
      </w:r>
      <w:r w:rsidRPr="00D9348B">
        <w:rPr>
          <w:rFonts w:cs="Calibri"/>
        </w:rPr>
        <w:fldChar w:fldCharType="begin"/>
      </w:r>
      <w:r w:rsidRPr="00D9348B">
        <w:rPr>
          <w:rFonts w:cs="Calibri"/>
        </w:rPr>
        <w:instrText xml:space="preserve"> SEQ Figure \* ARABIC \s 2 </w:instrText>
      </w:r>
      <w:r w:rsidRPr="00D9348B">
        <w:rPr>
          <w:rFonts w:cs="Calibri"/>
        </w:rPr>
        <w:fldChar w:fldCharType="separate"/>
      </w:r>
      <w:r w:rsidRPr="00D9348B">
        <w:rPr>
          <w:rFonts w:cs="Calibri"/>
        </w:rPr>
        <w:t>1</w:t>
      </w:r>
      <w:r w:rsidRPr="00D9348B">
        <w:rPr>
          <w:rFonts w:cs="Calibri"/>
        </w:rPr>
        <w:fldChar w:fldCharType="end"/>
      </w:r>
      <w:r w:rsidRPr="00D9348B">
        <w:rPr>
          <w:rFonts w:cs="Calibri"/>
        </w:rPr>
        <w:tab/>
        <w:t>Change in New Zealand’s emissions from the fuel combustion categories (1990–</w:t>
      </w:r>
      <w:bookmarkEnd w:id="336"/>
      <w:r w:rsidRPr="00D9348B">
        <w:rPr>
          <w:rFonts w:cs="Calibri"/>
        </w:rPr>
        <w:t>2018)</w:t>
      </w:r>
      <w:bookmarkEnd w:id="337"/>
      <w:bookmarkEnd w:id="338"/>
      <w:bookmarkEnd w:id="339"/>
      <w:bookmarkEnd w:id="340"/>
      <w:bookmarkEnd w:id="341"/>
    </w:p>
    <w:p w14:paraId="6CDC78AB" w14:textId="0FCBF0F3" w:rsidR="00E20138" w:rsidRPr="00D9348B" w:rsidRDefault="007165CF" w:rsidP="00E20138">
      <w:pPr>
        <w:rPr>
          <w:rFonts w:cs="Calibri"/>
        </w:rPr>
      </w:pPr>
      <w:r>
        <w:rPr>
          <w:rFonts w:cs="Calibri"/>
        </w:rPr>
        <w:pict w14:anchorId="10044B5D">
          <v:shape id="_x0000_i1050" type="#_x0000_t75" style="width:421.35pt;height:200.95pt;visibility:visible;mso-wrap-style:square">
            <v:imagedata r:id="rId64" o:title="fig_3_3_1_change_in_emissions" cropbottom="2973f"/>
          </v:shape>
        </w:pict>
      </w:r>
    </w:p>
    <w:p w14:paraId="610E20A5" w14:textId="77777777" w:rsidR="00E20138" w:rsidRPr="00D9348B" w:rsidRDefault="00E20138" w:rsidP="00865BDB">
      <w:pPr>
        <w:pStyle w:val="Heading4"/>
      </w:pPr>
      <w:r w:rsidRPr="00D9348B">
        <w:rPr>
          <w:lang w:eastAsia="en-GB"/>
        </w:rPr>
        <w:t>Methodological issues</w:t>
      </w:r>
    </w:p>
    <w:p w14:paraId="760742C3" w14:textId="28355E6E" w:rsidR="00E20138" w:rsidRPr="00D9348B" w:rsidRDefault="00E20138" w:rsidP="00E20138">
      <w:pPr>
        <w:pStyle w:val="BodyText"/>
        <w:rPr>
          <w:rFonts w:cs="Calibri"/>
          <w:lang w:eastAsia="en-GB"/>
        </w:rPr>
      </w:pPr>
      <w:r w:rsidRPr="00D9348B">
        <w:rPr>
          <w:rFonts w:cs="Calibri"/>
          <w:lang w:eastAsia="en-GB"/>
        </w:rPr>
        <w:t>Energy emissions are compiled using MBIE’s energy statistics, along with relevant New</w:t>
      </w:r>
      <w:r w:rsidR="005E77C4" w:rsidRPr="00D9348B">
        <w:rPr>
          <w:rFonts w:cs="Calibri"/>
          <w:lang w:eastAsia="en-GB"/>
        </w:rPr>
        <w:t> </w:t>
      </w:r>
      <w:r w:rsidRPr="00D9348B">
        <w:rPr>
          <w:rFonts w:cs="Calibri"/>
          <w:lang w:eastAsia="en-GB"/>
        </w:rPr>
        <w:t>Zealand-specific emission factors. Unless otherwise noted in the relevant section,</w:t>
      </w:r>
      <w:r w:rsidR="005E77C4" w:rsidRPr="00D9348B">
        <w:rPr>
          <w:rFonts w:cs="Calibri"/>
          <w:lang w:eastAsia="en-GB"/>
        </w:rPr>
        <w:t xml:space="preserve"> </w:t>
      </w:r>
      <w:r w:rsidRPr="00D9348B">
        <w:rPr>
          <w:rFonts w:cs="Calibri"/>
          <w:lang w:eastAsia="en-GB"/>
        </w:rPr>
        <w:t>CO</w:t>
      </w:r>
      <w:r w:rsidRPr="00D9348B">
        <w:rPr>
          <w:rFonts w:cs="Calibri"/>
          <w:vertAlign w:val="subscript"/>
          <w:lang w:eastAsia="en-GB"/>
        </w:rPr>
        <w:t>2</w:t>
      </w:r>
      <w:r w:rsidR="005E77C4" w:rsidRPr="00D9348B">
        <w:rPr>
          <w:rFonts w:cs="Calibri"/>
          <w:lang w:eastAsia="en-GB"/>
        </w:rPr>
        <w:t> </w:t>
      </w:r>
      <w:r w:rsidRPr="00D9348B">
        <w:rPr>
          <w:rFonts w:cs="Calibri"/>
          <w:lang w:eastAsia="en-GB"/>
        </w:rPr>
        <w:t>emissions are calculated by multiplying a country-specific emission factor for the given fuel by the relevant activity data using an IPCC 2006 Tier 2 method. Non-CO</w:t>
      </w:r>
      <w:r w:rsidRPr="00D9348B">
        <w:rPr>
          <w:rFonts w:cs="Calibri"/>
          <w:vertAlign w:val="subscript"/>
          <w:lang w:eastAsia="en-GB"/>
        </w:rPr>
        <w:t>2 </w:t>
      </w:r>
      <w:r w:rsidRPr="00D9348B">
        <w:rPr>
          <w:rFonts w:cs="Calibri"/>
          <w:lang w:eastAsia="en-GB"/>
        </w:rPr>
        <w:t>emissions are calculated using IPCC 2006 default emission factors, unless otherwise noted.</w:t>
      </w:r>
    </w:p>
    <w:p w14:paraId="0F993777" w14:textId="77777777" w:rsidR="00E20138" w:rsidRPr="00D9348B" w:rsidRDefault="00E20138" w:rsidP="00865BDB">
      <w:pPr>
        <w:pStyle w:val="Heading4"/>
      </w:pPr>
      <w:r w:rsidRPr="00D9348B">
        <w:rPr>
          <w:lang w:eastAsia="en-GB"/>
        </w:rPr>
        <w:t xml:space="preserve">Activity data </w:t>
      </w:r>
    </w:p>
    <w:p w14:paraId="03F19731" w14:textId="77777777" w:rsidR="00E20138" w:rsidRPr="00D9348B" w:rsidRDefault="00E20138" w:rsidP="00E20138">
      <w:pPr>
        <w:pStyle w:val="Heading5"/>
        <w:spacing w:before="120"/>
        <w:rPr>
          <w:rFonts w:cs="Calibri"/>
        </w:rPr>
      </w:pPr>
      <w:r w:rsidRPr="00D9348B">
        <w:rPr>
          <w:rFonts w:cs="Calibri"/>
          <w:lang w:eastAsia="en-GB"/>
        </w:rPr>
        <w:t>Liquid fuels</w:t>
      </w:r>
    </w:p>
    <w:p w14:paraId="6641E6CD" w14:textId="694B3E51" w:rsidR="00E20138" w:rsidRPr="00D9348B" w:rsidRDefault="00E20138" w:rsidP="00E20138">
      <w:pPr>
        <w:pStyle w:val="BodyText"/>
        <w:rPr>
          <w:rFonts w:cs="Calibri"/>
          <w:lang w:eastAsia="en-GB"/>
        </w:rPr>
      </w:pPr>
      <w:r w:rsidRPr="00D9348B">
        <w:rPr>
          <w:rFonts w:cs="Calibri"/>
          <w:lang w:eastAsia="en-GB"/>
        </w:rPr>
        <w:t xml:space="preserve">The primary source of liquid fuel consumption data is the </w:t>
      </w:r>
      <w:r w:rsidRPr="00D9348B">
        <w:rPr>
          <w:rFonts w:cs="Calibri"/>
          <w:iCs/>
          <w:lang w:eastAsia="en-GB"/>
        </w:rPr>
        <w:t>DPFI.</w:t>
      </w:r>
      <w:r w:rsidRPr="00D9348B">
        <w:rPr>
          <w:rFonts w:cs="Calibri"/>
          <w:lang w:eastAsia="en-GB"/>
        </w:rPr>
        <w:t xml:space="preserve"> MBIE</w:t>
      </w:r>
      <w:r w:rsidRPr="00D9348B" w:rsidDel="007D581E">
        <w:rPr>
          <w:rFonts w:cs="Calibri"/>
          <w:lang w:eastAsia="en-GB"/>
        </w:rPr>
        <w:t xml:space="preserve"> </w:t>
      </w:r>
      <w:r w:rsidRPr="00D9348B">
        <w:rPr>
          <w:rFonts w:cs="Calibri"/>
          <w:lang w:eastAsia="en-GB"/>
        </w:rPr>
        <w:t>began conducting the DPFI in 2009. Before this, the survey was conducted by Statistics New Zealand (Stats NZ). The</w:t>
      </w:r>
      <w:r w:rsidR="005E77C4" w:rsidRPr="00D9348B">
        <w:rPr>
          <w:rFonts w:cs="Calibri"/>
          <w:lang w:eastAsia="en-GB"/>
        </w:rPr>
        <w:t> </w:t>
      </w:r>
      <w:r w:rsidRPr="00D9348B">
        <w:rPr>
          <w:rFonts w:cs="Calibri"/>
          <w:lang w:eastAsia="en-GB"/>
        </w:rPr>
        <w:t xml:space="preserve">quarterly survey includes liquid fuel sales data collected from the four oil companies importing and selling fuel. The purpose of the survey is to provide data on the amount of fuel delivered by all oil companies to end users and other distribution outlets. Each oil company in New Zealand supplies MBIE with the volume of petroleum fuels delivered to resellers and the industrial, commercial and residential sectors. </w:t>
      </w:r>
    </w:p>
    <w:p w14:paraId="09402290" w14:textId="77777777" w:rsidR="00E20138" w:rsidRPr="00D9348B" w:rsidRDefault="00E20138" w:rsidP="00E20138">
      <w:pPr>
        <w:pStyle w:val="BodyText"/>
        <w:rPr>
          <w:rFonts w:cs="Calibri"/>
          <w:lang w:eastAsia="en-GB"/>
        </w:rPr>
      </w:pPr>
      <w:r w:rsidRPr="00D9348B">
        <w:rPr>
          <w:rFonts w:cs="Calibri"/>
          <w:lang w:eastAsia="en-GB"/>
        </w:rPr>
        <w:lastRenderedPageBreak/>
        <w:t>Petroleum fuels data are currently collected in volume units (thousand litres). Before 2009, data were collected in metric tonnes. Year-specific calorific values are used for all liquid fuels, reflecting changes in liquid fuel properties over time. Annual fuel property data are provided by New Zealand’s sole refinery.</w:t>
      </w:r>
    </w:p>
    <w:p w14:paraId="7C7AAADA" w14:textId="77777777" w:rsidR="00E20138" w:rsidRPr="00D9348B" w:rsidRDefault="00E20138" w:rsidP="00E20138">
      <w:pPr>
        <w:pStyle w:val="BodyText"/>
        <w:rPr>
          <w:rFonts w:cs="Calibri"/>
          <w:lang w:eastAsia="en-GB"/>
        </w:rPr>
      </w:pPr>
      <w:r w:rsidRPr="00D9348B">
        <w:rPr>
          <w:rFonts w:cs="Calibri"/>
          <w:lang w:eastAsia="en-GB"/>
        </w:rPr>
        <w:t>Emissions from fuel sold for use in international transport (e.g., international bunker fuels) are reported separately as a memo item, as required (IPCC, 2006).</w:t>
      </w:r>
    </w:p>
    <w:p w14:paraId="08F96469" w14:textId="77777777" w:rsidR="00E20138" w:rsidRPr="00D9348B" w:rsidRDefault="00E20138" w:rsidP="00E20138">
      <w:pPr>
        <w:pStyle w:val="BodyText"/>
        <w:rPr>
          <w:rFonts w:cs="Calibri"/>
        </w:rPr>
      </w:pPr>
      <w:r w:rsidRPr="00D9348B">
        <w:rPr>
          <w:rFonts w:cs="Calibri"/>
        </w:rPr>
        <w:t>An MBIE-commissioned survey in 2008 on liquid fuel use (MBIE</w:t>
      </w:r>
      <w:r w:rsidRPr="00D9348B">
        <w:rPr>
          <w:rFonts w:cs="Calibri"/>
          <w:lang w:eastAsia="en-GB"/>
        </w:rPr>
        <w:t>, 2008</w:t>
      </w:r>
      <w:r w:rsidRPr="00D9348B">
        <w:rPr>
          <w:rFonts w:cs="Calibri"/>
        </w:rPr>
        <w:t>) found that there were, at the time, 19 independent fuel distribution companies operating in New Zealand that resell fuel bought wholesale from the oil companies. Furthermore, it found that this on</w:t>
      </w:r>
      <w:r w:rsidRPr="00D9348B">
        <w:rPr>
          <w:rFonts w:cs="Calibri"/>
        </w:rPr>
        <w:noBreakHyphen/>
        <w:t xml:space="preserve">selling resulted in over-allocation of liquid fuel activity data to the </w:t>
      </w:r>
      <w:r w:rsidRPr="00D9348B">
        <w:rPr>
          <w:rFonts w:cs="Calibri"/>
          <w:i/>
        </w:rPr>
        <w:t>Transport</w:t>
      </w:r>
      <w:r w:rsidRPr="00D9348B">
        <w:rPr>
          <w:rFonts w:cs="Calibri"/>
        </w:rPr>
        <w:t xml:space="preserve"> category, because most fuel purchased from the distribution companies was used by the </w:t>
      </w:r>
      <w:r w:rsidRPr="00D9348B">
        <w:rPr>
          <w:rFonts w:cs="Calibri"/>
          <w:i/>
        </w:rPr>
        <w:t>Agriculture/Forestry/Fishing</w:t>
      </w:r>
      <w:r w:rsidRPr="00D9348B">
        <w:rPr>
          <w:rFonts w:cs="Calibri"/>
        </w:rPr>
        <w:t xml:space="preserve"> category. The study recommended starting an annual survey of deliveries of gasoline and diesel to each sector by independent distributors. These data were then used to correctly allocate sales of liquid fuels by small resellers to the appropriate sector.</w:t>
      </w:r>
    </w:p>
    <w:p w14:paraId="628DC352" w14:textId="77777777" w:rsidR="00E20138" w:rsidRPr="00D9348B" w:rsidRDefault="00E20138" w:rsidP="00E20138">
      <w:pPr>
        <w:pStyle w:val="BodyText"/>
        <w:rPr>
          <w:rFonts w:cs="Calibri"/>
        </w:rPr>
      </w:pPr>
      <w:r w:rsidRPr="00D9348B">
        <w:rPr>
          <w:rFonts w:cs="Calibri"/>
        </w:rPr>
        <w:t xml:space="preserve">The </w:t>
      </w:r>
      <w:r w:rsidRPr="00D9348B">
        <w:rPr>
          <w:rFonts w:cs="Calibri"/>
          <w:i/>
        </w:rPr>
        <w:t>Annual Liquid Fuel Survey</w:t>
      </w:r>
      <w:r w:rsidRPr="00D9348B">
        <w:rPr>
          <w:rFonts w:cs="Calibri"/>
        </w:rPr>
        <w:t xml:space="preserve"> was started in 2009 (for the 2008 calendar year) and found that the independent fuel distribution companies delivered 18 per cent of New Zealand’s total diesel consumption and 3 per cent of New Zealand’s total gasoline consumption. Using these data, each company’s deliveries between 1990 and 2006 were estimated, because no information was available for these years. The report </w:t>
      </w:r>
      <w:proofErr w:type="gramStart"/>
      <w:r w:rsidRPr="00D9348B">
        <w:rPr>
          <w:rFonts w:cs="Calibri"/>
          <w:i/>
        </w:rPr>
        <w:t>Delivering</w:t>
      </w:r>
      <w:proofErr w:type="gramEnd"/>
      <w:r w:rsidRPr="00D9348B">
        <w:rPr>
          <w:rFonts w:cs="Calibri"/>
          <w:i/>
        </w:rPr>
        <w:t xml:space="preserve"> the Diesel – Liquid Fuel Deliveries in New Zealand 1990–2008</w:t>
      </w:r>
      <w:r w:rsidRPr="00D9348B">
        <w:rPr>
          <w:rFonts w:cs="Calibri"/>
        </w:rPr>
        <w:t xml:space="preserve"> (MBIE, 2010) outlines in further detail the methodology employed to perform this calculation.</w:t>
      </w:r>
    </w:p>
    <w:p w14:paraId="738AFCF3" w14:textId="77777777" w:rsidR="00E20138" w:rsidRPr="00D9348B" w:rsidRDefault="00E20138" w:rsidP="00BE52D4">
      <w:pPr>
        <w:pStyle w:val="Heading5"/>
        <w:spacing w:before="160"/>
        <w:rPr>
          <w:rFonts w:cs="Calibri"/>
        </w:rPr>
      </w:pPr>
      <w:r w:rsidRPr="00D9348B">
        <w:rPr>
          <w:rFonts w:cs="Calibri"/>
          <w:lang w:eastAsia="en-GB"/>
        </w:rPr>
        <w:t>Solid fuels</w:t>
      </w:r>
    </w:p>
    <w:p w14:paraId="3616E027" w14:textId="5C91B688" w:rsidR="00E20138" w:rsidRPr="00D9348B" w:rsidRDefault="00E20138" w:rsidP="00E20138">
      <w:pPr>
        <w:pStyle w:val="BodyText"/>
        <w:rPr>
          <w:rFonts w:cs="Calibri"/>
          <w:lang w:eastAsia="en-GB"/>
        </w:rPr>
      </w:pPr>
      <w:r w:rsidRPr="00D9348B">
        <w:rPr>
          <w:rFonts w:cs="Calibri"/>
          <w:lang w:eastAsia="en-GB"/>
        </w:rPr>
        <w:t xml:space="preserve">Since 2009, MBIE has conducted the </w:t>
      </w:r>
      <w:r w:rsidRPr="00D9348B">
        <w:rPr>
          <w:rFonts w:cs="Calibri"/>
          <w:i/>
          <w:iCs/>
          <w:lang w:eastAsia="en-GB"/>
        </w:rPr>
        <w:t>New Zealand Quarterly Statistical Return of Coal Production and Sales</w:t>
      </w:r>
      <w:r w:rsidRPr="00D9348B">
        <w:rPr>
          <w:rFonts w:cs="Calibri"/>
          <w:lang w:eastAsia="en-GB"/>
        </w:rPr>
        <w:t xml:space="preserve">, previously conducted by </w:t>
      </w:r>
      <w:r w:rsidRPr="00D9348B">
        <w:rPr>
          <w:rFonts w:cs="Calibri"/>
        </w:rPr>
        <w:t>Stats NZ</w:t>
      </w:r>
      <w:r w:rsidRPr="00D9348B">
        <w:rPr>
          <w:rFonts w:cs="Calibri"/>
          <w:lang w:eastAsia="en-GB"/>
        </w:rPr>
        <w:t>. The survey covers coal produced and sold by coal producers in New Zealand. The three grades of coal surveyed are bituminous, sub</w:t>
      </w:r>
      <w:r w:rsidR="006A4209" w:rsidRPr="00D9348B">
        <w:rPr>
          <w:rFonts w:cs="Calibri"/>
          <w:lang w:eastAsia="en-GB"/>
        </w:rPr>
        <w:noBreakHyphen/>
      </w:r>
      <w:r w:rsidRPr="00D9348B">
        <w:rPr>
          <w:rFonts w:cs="Calibri"/>
          <w:lang w:eastAsia="en-GB"/>
        </w:rPr>
        <w:t>bituminous and lignite.</w:t>
      </w:r>
    </w:p>
    <w:p w14:paraId="26A204F9" w14:textId="77777777" w:rsidR="00E20138" w:rsidRPr="00D9348B" w:rsidRDefault="00E20138" w:rsidP="00E20138">
      <w:pPr>
        <w:pStyle w:val="BodyText"/>
        <w:rPr>
          <w:rFonts w:cs="Calibri"/>
          <w:lang w:eastAsia="en-GB"/>
        </w:rPr>
      </w:pPr>
      <w:r w:rsidRPr="00D9348B">
        <w:rPr>
          <w:rFonts w:cs="Calibri"/>
          <w:lang w:eastAsia="en-GB"/>
        </w:rPr>
        <w:t xml:space="preserve">The </w:t>
      </w:r>
      <w:r w:rsidRPr="00D9348B">
        <w:rPr>
          <w:rFonts w:cs="Calibri"/>
          <w:i/>
          <w:iCs/>
          <w:lang w:eastAsia="en-GB"/>
        </w:rPr>
        <w:t xml:space="preserve">Quarterly Statistical Return of Coal Production and Sales </w:t>
      </w:r>
      <w:r w:rsidRPr="00D9348B">
        <w:rPr>
          <w:rFonts w:cs="Calibri"/>
          <w:lang w:eastAsia="en-GB"/>
        </w:rPr>
        <w:t xml:space="preserve">splits coal sold into over 20 industries, using the Australian and New Zealand Standard Industrial Classification 2006 (Australian Bureau of Statistics and Statistics New Zealand, 2006). Before 2009, when </w:t>
      </w:r>
      <w:r w:rsidRPr="00D9348B">
        <w:rPr>
          <w:rFonts w:cs="Calibri"/>
        </w:rPr>
        <w:t>Stats NZ</w:t>
      </w:r>
      <w:r w:rsidRPr="00D9348B">
        <w:rPr>
          <w:rFonts w:cs="Calibri"/>
          <w:lang w:eastAsia="en-GB"/>
        </w:rPr>
        <w:t xml:space="preserve"> ran the survey, coal sales were surveyed for only seven higher level sectors. </w:t>
      </w:r>
    </w:p>
    <w:p w14:paraId="30A57EE7" w14:textId="77777777" w:rsidR="00E20138" w:rsidRPr="00D9348B" w:rsidRDefault="00E20138" w:rsidP="00E20138">
      <w:pPr>
        <w:pStyle w:val="BodyText"/>
        <w:rPr>
          <w:rFonts w:cs="Calibri"/>
          <w:lang w:eastAsia="en-GB"/>
        </w:rPr>
      </w:pPr>
      <w:r w:rsidRPr="00D9348B">
        <w:rPr>
          <w:rFonts w:cs="Calibri"/>
          <w:lang w:eastAsia="en-GB"/>
        </w:rPr>
        <w:t>All solid fuel used for iron and steel manufacture is reported under the IPPU sector, to avoid double counting.</w:t>
      </w:r>
    </w:p>
    <w:p w14:paraId="58023178" w14:textId="77777777" w:rsidR="00E20138" w:rsidRPr="00D9348B" w:rsidRDefault="00E20138" w:rsidP="00BE52D4">
      <w:pPr>
        <w:pStyle w:val="Heading5"/>
        <w:spacing w:before="160"/>
        <w:rPr>
          <w:rFonts w:cs="Calibri"/>
          <w:lang w:eastAsia="en-GB"/>
        </w:rPr>
      </w:pPr>
      <w:r w:rsidRPr="00D9348B">
        <w:rPr>
          <w:rFonts w:cs="Calibri"/>
          <w:lang w:eastAsia="en-GB"/>
        </w:rPr>
        <w:t>Gaseous fuels</w:t>
      </w:r>
    </w:p>
    <w:p w14:paraId="6730A25B" w14:textId="77777777" w:rsidR="00E20138" w:rsidRPr="00D9348B" w:rsidRDefault="00E20138" w:rsidP="00E20138">
      <w:pPr>
        <w:pStyle w:val="BodyText"/>
        <w:rPr>
          <w:rFonts w:cs="Calibri"/>
          <w:lang w:eastAsia="en-GB"/>
        </w:rPr>
      </w:pPr>
      <w:r w:rsidRPr="00D9348B">
        <w:rPr>
          <w:rFonts w:cs="Calibri"/>
          <w:lang w:eastAsia="en-GB"/>
        </w:rPr>
        <w:t xml:space="preserve">MBIE receives activity data on gaseous fuels from a variety of sources. Individual natural gas field operators provide information on the amount of gas extracted, vented, flared and for own use at each gas field. Information on processed gas, including the Kapuni gas field, and information on gas transmission and distribution throughout New Zealand, is provided by the operator of the Kapuni Gas Treatment Plant and gas distribution networks. </w:t>
      </w:r>
    </w:p>
    <w:p w14:paraId="4FD16E20" w14:textId="77777777" w:rsidR="00E20138" w:rsidRPr="00D9348B" w:rsidRDefault="00E20138" w:rsidP="00E20138">
      <w:pPr>
        <w:pStyle w:val="BodyText"/>
        <w:rPr>
          <w:rFonts w:cs="Calibri"/>
          <w:lang w:eastAsia="en-GB"/>
        </w:rPr>
      </w:pPr>
      <w:r w:rsidRPr="00D9348B">
        <w:rPr>
          <w:rFonts w:cs="Calibri"/>
          <w:lang w:eastAsia="en-GB"/>
        </w:rPr>
        <w:t>Large users of gas, including electricity generation companies, provide their activity data directly to MBIE. Finally, MBIE surveys retailers and wholesalers on a quarterly basis to obtain activity data from industrial, commercial and residential natural gas users.</w:t>
      </w:r>
    </w:p>
    <w:p w14:paraId="307A9F23" w14:textId="77777777" w:rsidR="00E20138" w:rsidRPr="00D9348B" w:rsidRDefault="00E20138" w:rsidP="00E20138">
      <w:pPr>
        <w:pStyle w:val="BodyText"/>
        <w:rPr>
          <w:rFonts w:cs="Calibri"/>
          <w:lang w:eastAsia="en-GB"/>
        </w:rPr>
      </w:pPr>
      <w:r w:rsidRPr="00D9348B">
        <w:rPr>
          <w:rFonts w:cs="Calibri"/>
          <w:lang w:eastAsia="en-GB"/>
        </w:rPr>
        <w:lastRenderedPageBreak/>
        <w:t xml:space="preserve">In response to expert review team (ERT) recommendations, all fuel combustion for electricity auto-production was disaggregated into the appropriate sector, rather than reported in 1.A.2.g </w:t>
      </w:r>
      <w:r w:rsidRPr="00D9348B">
        <w:rPr>
          <w:rFonts w:cs="Calibri"/>
          <w:i/>
          <w:lang w:eastAsia="en-GB"/>
        </w:rPr>
        <w:t>Manufacturing industries and construction – other</w:t>
      </w:r>
      <w:r w:rsidRPr="00D9348B">
        <w:rPr>
          <w:rFonts w:cs="Calibri"/>
          <w:lang w:eastAsia="en-GB"/>
        </w:rPr>
        <w:t>. This improvement was implemented in the 2013 submission and resulted in a reduction in unallocated industrial emissions and increases in various manufacturing and construction categories. For further information, see section 3.3.7.</w:t>
      </w:r>
    </w:p>
    <w:p w14:paraId="6B37CF90" w14:textId="77777777" w:rsidR="00E20138" w:rsidRPr="00D9348B" w:rsidRDefault="00E20138" w:rsidP="00BE52D4">
      <w:pPr>
        <w:pStyle w:val="Heading5"/>
        <w:spacing w:before="160"/>
        <w:rPr>
          <w:rFonts w:cs="Calibri"/>
          <w:lang w:eastAsia="en-GB"/>
        </w:rPr>
      </w:pPr>
      <w:r w:rsidRPr="00D9348B">
        <w:rPr>
          <w:rFonts w:cs="Calibri"/>
          <w:lang w:eastAsia="en-GB"/>
        </w:rPr>
        <w:t>Biomass</w:t>
      </w:r>
    </w:p>
    <w:p w14:paraId="5722BCF3" w14:textId="77777777" w:rsidR="00E20138" w:rsidRPr="00D9348B" w:rsidRDefault="00E20138" w:rsidP="00E20138">
      <w:pPr>
        <w:pStyle w:val="BodyText"/>
        <w:spacing w:after="100"/>
        <w:rPr>
          <w:rFonts w:cs="Calibri"/>
          <w:lang w:eastAsia="en-GB"/>
        </w:rPr>
      </w:pPr>
      <w:r w:rsidRPr="00D9348B">
        <w:rPr>
          <w:rFonts w:cs="Calibri"/>
          <w:lang w:eastAsia="en-GB"/>
        </w:rPr>
        <w:t xml:space="preserve">Activity data for the use of biomass come from a number of different sources. Electricity and co-generation data are received by MBIE from electricity generators. </w:t>
      </w:r>
    </w:p>
    <w:p w14:paraId="6AB79702" w14:textId="77777777" w:rsidR="00E20138" w:rsidRPr="00D9348B" w:rsidRDefault="00E20138" w:rsidP="00E20138">
      <w:pPr>
        <w:pStyle w:val="Bullet"/>
        <w:tabs>
          <w:tab w:val="clear" w:pos="567"/>
        </w:tabs>
        <w:spacing w:after="100"/>
        <w:rPr>
          <w:rFonts w:cs="Calibri"/>
        </w:rPr>
      </w:pPr>
      <w:r w:rsidRPr="00D9348B">
        <w:rPr>
          <w:rFonts w:cs="Calibri"/>
        </w:rPr>
        <w:t>New Zealand reports emissions from landfill gas, sewage waste gas, sludge gas (derived from cattle effluent at the Tirau dairy processing facility) and commercial biogas use. Before 2013, New Zealand only reported emissions from landfill gas, sewage waste gas and commercial biogas use.</w:t>
      </w:r>
    </w:p>
    <w:p w14:paraId="202914AD" w14:textId="77777777" w:rsidR="00E20138" w:rsidRPr="00D9348B" w:rsidRDefault="00E20138" w:rsidP="00E20138">
      <w:pPr>
        <w:pStyle w:val="Bullet"/>
        <w:tabs>
          <w:tab w:val="clear" w:pos="567"/>
        </w:tabs>
        <w:spacing w:after="100"/>
        <w:rPr>
          <w:rFonts w:cs="Calibri"/>
        </w:rPr>
      </w:pPr>
      <w:r w:rsidRPr="00D9348B">
        <w:rPr>
          <w:rFonts w:cs="Calibri"/>
        </w:rPr>
        <w:t>New Zealand’s gas biomass emissions are estimates based on electricity generation data (some of which are also estimated). No direct data are available on gas biomass emissions from landfills or sewage treatment facilities. See below for details of the estimation methodology of landfill gas and sewage waste gas.</w:t>
      </w:r>
    </w:p>
    <w:p w14:paraId="630AE85E" w14:textId="77777777" w:rsidR="00E20138" w:rsidRPr="00D9348B" w:rsidRDefault="00E20138" w:rsidP="00E20138">
      <w:pPr>
        <w:pStyle w:val="Bullet"/>
        <w:tabs>
          <w:tab w:val="clear" w:pos="567"/>
        </w:tabs>
        <w:spacing w:after="100"/>
        <w:rPr>
          <w:rFonts w:cs="Calibri"/>
        </w:rPr>
      </w:pPr>
      <w:r w:rsidRPr="00D9348B">
        <w:rPr>
          <w:rFonts w:cs="Calibri"/>
        </w:rPr>
        <w:t>Gas biomass is also thought to be used by some local government councils; however, MBIE has no information on this use. At some point, information was collected, but the small quantities and materially insignificant emissions mean that MBIE has not focused on collecting these data for many years. A standing estimate (unchanged) has been included since 2006, but the source of this number is unknown. Emissions continue to be reported under this category to ensure there is no under-reporting, given there is anecdotally some use outside of electricity generation and industry.</w:t>
      </w:r>
    </w:p>
    <w:p w14:paraId="34814ED7" w14:textId="77777777" w:rsidR="00E20138" w:rsidRPr="00D9348B" w:rsidRDefault="00E20138" w:rsidP="00E20138">
      <w:pPr>
        <w:pStyle w:val="Bullet"/>
        <w:tabs>
          <w:tab w:val="clear" w:pos="567"/>
        </w:tabs>
        <w:spacing w:after="100"/>
        <w:rPr>
          <w:rFonts w:cs="Calibri"/>
        </w:rPr>
      </w:pPr>
      <w:r w:rsidRPr="00D9348B">
        <w:rPr>
          <w:rFonts w:cs="Calibri"/>
        </w:rPr>
        <w:t>No information is collected on flared gas biomass.</w:t>
      </w:r>
    </w:p>
    <w:p w14:paraId="5FBA6F23" w14:textId="77777777" w:rsidR="00E20138" w:rsidRPr="00D9348B" w:rsidRDefault="00E20138" w:rsidP="00E20138">
      <w:pPr>
        <w:pStyle w:val="Bullet"/>
        <w:tabs>
          <w:tab w:val="clear" w:pos="567"/>
        </w:tabs>
        <w:rPr>
          <w:rFonts w:cs="Calibri"/>
        </w:rPr>
      </w:pPr>
      <w:r w:rsidRPr="00D9348B">
        <w:rPr>
          <w:rFonts w:cs="Calibri"/>
        </w:rPr>
        <w:t>The only gas biomass direct-use data that have been collected are for the Tirau dairy processing facility (and only one data point, which has been used for all years where it is believed the plant has emitted).</w:t>
      </w:r>
    </w:p>
    <w:p w14:paraId="0E46742D" w14:textId="77777777" w:rsidR="00E20138" w:rsidRPr="00D9348B" w:rsidRDefault="00E20138" w:rsidP="00BE52D4">
      <w:pPr>
        <w:pStyle w:val="Heading5"/>
        <w:spacing w:before="160"/>
        <w:rPr>
          <w:rFonts w:cs="Calibri"/>
        </w:rPr>
      </w:pPr>
      <w:r w:rsidRPr="00D9348B">
        <w:rPr>
          <w:rFonts w:cs="Calibri"/>
        </w:rPr>
        <w:t>Gas biomass emissions estimates are based on electricity generation data</w:t>
      </w:r>
    </w:p>
    <w:p w14:paraId="3FE38963" w14:textId="77777777" w:rsidR="00E20138" w:rsidRPr="00D9348B" w:rsidRDefault="00E20138" w:rsidP="00E20138">
      <w:pPr>
        <w:pStyle w:val="Bullet"/>
        <w:tabs>
          <w:tab w:val="clear" w:pos="567"/>
        </w:tabs>
        <w:spacing w:before="120"/>
        <w:rPr>
          <w:rFonts w:cs="Calibri"/>
        </w:rPr>
      </w:pPr>
      <w:r w:rsidRPr="00D9348B">
        <w:rPr>
          <w:rFonts w:cs="Calibri"/>
        </w:rPr>
        <w:t xml:space="preserve">Electricity generation data are collected for 15 individual plants. At 31 December 2012, New Zealand gas biomass generation was known to include the following: </w:t>
      </w:r>
    </w:p>
    <w:p w14:paraId="171A66CC" w14:textId="77777777" w:rsidR="00E20138" w:rsidRPr="00D9348B" w:rsidRDefault="00E20138" w:rsidP="00E20138">
      <w:pPr>
        <w:pStyle w:val="Sub-bullet"/>
        <w:rPr>
          <w:rFonts w:cs="Calibri"/>
        </w:rPr>
      </w:pPr>
      <w:r w:rsidRPr="00D9348B">
        <w:rPr>
          <w:rFonts w:cs="Calibri"/>
        </w:rPr>
        <w:t>11 landfill facilities, totalling 29.4 megawatts (MW). These facilities are electricity only (some landfill gas was used to heat a swimming pool in Christchurch before the Christchurch earthquake of February 2011, but that facility suffered major earthquake damage and has been removed. A new trigeneration facility has since been built)</w:t>
      </w:r>
    </w:p>
    <w:p w14:paraId="6AE64CB0" w14:textId="77777777" w:rsidR="00E20138" w:rsidRPr="00D9348B" w:rsidRDefault="00E20138" w:rsidP="00E20138">
      <w:pPr>
        <w:pStyle w:val="Sub-bullet"/>
        <w:rPr>
          <w:rFonts w:cs="Calibri"/>
        </w:rPr>
      </w:pPr>
      <w:proofErr w:type="gramStart"/>
      <w:r w:rsidRPr="00D9348B">
        <w:rPr>
          <w:rFonts w:cs="Calibri"/>
        </w:rPr>
        <w:t>four</w:t>
      </w:r>
      <w:proofErr w:type="gramEnd"/>
      <w:r w:rsidRPr="00D9348B">
        <w:rPr>
          <w:rFonts w:cs="Calibri"/>
        </w:rPr>
        <w:t xml:space="preserve"> wastewater treatment facilities, totalling 11.3 MW. These are all co</w:t>
      </w:r>
      <w:r w:rsidRPr="00D9348B">
        <w:rPr>
          <w:rFonts w:cs="Calibri"/>
        </w:rPr>
        <w:noBreakHyphen/>
        <w:t>generation facilities that provide heat and electricity for the processing of sewage.</w:t>
      </w:r>
    </w:p>
    <w:p w14:paraId="2018FF10" w14:textId="77777777" w:rsidR="00E20138" w:rsidRPr="00D9348B" w:rsidRDefault="00E20138" w:rsidP="00E20138">
      <w:pPr>
        <w:pStyle w:val="Sub-bullet"/>
        <w:numPr>
          <w:ilvl w:val="0"/>
          <w:numId w:val="0"/>
        </w:numPr>
        <w:ind w:left="397"/>
        <w:rPr>
          <w:rFonts w:cs="Calibri"/>
        </w:rPr>
      </w:pPr>
      <w:r w:rsidRPr="00D9348B">
        <w:rPr>
          <w:rFonts w:cs="Calibri"/>
        </w:rPr>
        <w:t>Note: Accurate information is not available on the exact type of generation plant used at these individual facilities, although it is known to be a combination of gas turbines, internal combustion engines and some steam turbine facilities.</w:t>
      </w:r>
    </w:p>
    <w:p w14:paraId="79FDDDDA" w14:textId="77777777" w:rsidR="00E20138" w:rsidRPr="00D9348B" w:rsidRDefault="00E20138" w:rsidP="00E20138">
      <w:pPr>
        <w:pStyle w:val="Bullet"/>
        <w:tabs>
          <w:tab w:val="clear" w:pos="567"/>
        </w:tabs>
        <w:spacing w:after="100"/>
        <w:rPr>
          <w:rFonts w:cs="Calibri"/>
        </w:rPr>
      </w:pPr>
      <w:r w:rsidRPr="00D9348B">
        <w:rPr>
          <w:rFonts w:cs="Calibri"/>
        </w:rPr>
        <w:t>Generation data are collected for each year ending 31 March, with generation assumed to be distributed equally across quarters to estimate December year-end generation.</w:t>
      </w:r>
    </w:p>
    <w:p w14:paraId="1B34FA9F" w14:textId="77777777" w:rsidR="00E20138" w:rsidRPr="00D9348B" w:rsidRDefault="00E20138" w:rsidP="00E20138">
      <w:pPr>
        <w:pStyle w:val="Sub-bullet"/>
        <w:rPr>
          <w:rFonts w:cs="Calibri"/>
        </w:rPr>
      </w:pPr>
      <w:r w:rsidRPr="00D9348B">
        <w:rPr>
          <w:rFonts w:cs="Calibri"/>
        </w:rPr>
        <w:t>Generation data are usually collected from all 15 plants. However, in some years, estimates are made based on the previous year’s generation.</w:t>
      </w:r>
    </w:p>
    <w:p w14:paraId="5A7F5424" w14:textId="77777777" w:rsidR="00E20138" w:rsidRPr="00D9348B" w:rsidRDefault="00E20138" w:rsidP="006D2536">
      <w:pPr>
        <w:pStyle w:val="Bullet"/>
        <w:tabs>
          <w:tab w:val="clear" w:pos="567"/>
        </w:tabs>
        <w:spacing w:after="100"/>
        <w:rPr>
          <w:rFonts w:cs="Calibri"/>
        </w:rPr>
      </w:pPr>
      <w:r w:rsidRPr="00D9348B">
        <w:rPr>
          <w:rFonts w:cs="Calibri"/>
        </w:rPr>
        <w:lastRenderedPageBreak/>
        <w:t xml:space="preserve">Fuel input information for generation is not collected for small generators (those less than 10 MW), to minimise the burden on respondents and ensure MBIE receives some information rather than nothing. Estimates of fuel input are made on the assumption of 30 per cent efficiency based on gross generation. </w:t>
      </w:r>
    </w:p>
    <w:p w14:paraId="61CBD3A0" w14:textId="77777777" w:rsidR="00E20138" w:rsidRPr="00D9348B" w:rsidRDefault="00E20138" w:rsidP="006D2536">
      <w:pPr>
        <w:pStyle w:val="Sub-bullet"/>
        <w:spacing w:after="100"/>
        <w:rPr>
          <w:rFonts w:cs="Calibri"/>
        </w:rPr>
      </w:pPr>
      <w:r w:rsidRPr="00D9348B">
        <w:rPr>
          <w:rFonts w:cs="Calibri"/>
        </w:rPr>
        <w:t>All generation data collected are assumed to be net generation – that is, parasitic load has already been excluded. They are then scaled up using default net to gross generation factors sourced from the International Energy Agency. For all thermal generation, the net to gross factor is assumed to be 1.07 (i.e., an additional 7 per cent of electricity is generated but used within the plant itself). Fuel input estimates are then calculated based on the gross generation using a default electrical efficiency factor of 30 per cent. This estimated quantity of biogas is used as total biogas for energy purposes. Biogas use estimates for landfill gas and sewage waste gas are calculated and reported in petajoules (PJ).</w:t>
      </w:r>
    </w:p>
    <w:p w14:paraId="63828634" w14:textId="77777777" w:rsidR="00E20138" w:rsidRPr="00D9348B" w:rsidRDefault="00E20138" w:rsidP="006D2536">
      <w:pPr>
        <w:pStyle w:val="Sub-bullet"/>
        <w:spacing w:after="100"/>
        <w:rPr>
          <w:rFonts w:cs="Calibri"/>
        </w:rPr>
      </w:pPr>
      <w:r w:rsidRPr="00D9348B">
        <w:rPr>
          <w:rFonts w:cs="Calibri"/>
        </w:rPr>
        <w:t>Energy quantities of gas biomass are then converted into greenhouse gas emissions using default IPCC emission factors. These factors are as follows:</w:t>
      </w:r>
    </w:p>
    <w:p w14:paraId="21635401" w14:textId="77777777" w:rsidR="00E20138" w:rsidRPr="00D9348B" w:rsidRDefault="00E20138" w:rsidP="00DE1FAA">
      <w:pPr>
        <w:pStyle w:val="Bullet"/>
        <w:numPr>
          <w:ilvl w:val="0"/>
          <w:numId w:val="19"/>
        </w:numPr>
        <w:spacing w:after="100"/>
        <w:ind w:left="1191"/>
        <w:rPr>
          <w:rFonts w:cs="Calibri"/>
        </w:rPr>
      </w:pPr>
      <w:r w:rsidRPr="00D9348B">
        <w:rPr>
          <w:rFonts w:cs="Calibri"/>
        </w:rPr>
        <w:t>CO</w:t>
      </w:r>
      <w:r w:rsidRPr="00D9348B">
        <w:rPr>
          <w:rFonts w:cs="Calibri"/>
          <w:vertAlign w:val="subscript"/>
        </w:rPr>
        <w:t>2</w:t>
      </w:r>
      <w:r w:rsidRPr="00D9348B">
        <w:rPr>
          <w:rFonts w:cs="Calibri"/>
        </w:rPr>
        <w:t xml:space="preserve"> – 13.4</w:t>
      </w:r>
      <w:r w:rsidRPr="00D9348B">
        <w:rPr>
          <w:rFonts w:cs="Calibri"/>
          <w:sz w:val="16"/>
        </w:rPr>
        <w:t xml:space="preserve"> </w:t>
      </w:r>
      <w:r w:rsidRPr="00D9348B">
        <w:rPr>
          <w:rFonts w:cs="Calibri"/>
        </w:rPr>
        <w:t>kt carbon/PJ or 49.17</w:t>
      </w:r>
      <w:r w:rsidRPr="00D9348B">
        <w:rPr>
          <w:rFonts w:cs="Calibri"/>
          <w:sz w:val="16"/>
        </w:rPr>
        <w:t xml:space="preserve"> </w:t>
      </w:r>
      <w:r w:rsidRPr="00D9348B">
        <w:rPr>
          <w:rFonts w:cs="Calibri"/>
        </w:rPr>
        <w:t>kt CO</w:t>
      </w:r>
      <w:r w:rsidRPr="00D9348B">
        <w:rPr>
          <w:rFonts w:cs="Calibri"/>
          <w:vertAlign w:val="subscript"/>
        </w:rPr>
        <w:t>2</w:t>
      </w:r>
      <w:r w:rsidRPr="00D9348B">
        <w:rPr>
          <w:rFonts w:cs="Calibri"/>
        </w:rPr>
        <w:t>/PJ. This is derived from the IPCC default net emission factor (it is assumed that the net emission factor is 10 per cent lower than the gross emission factor)</w:t>
      </w:r>
    </w:p>
    <w:p w14:paraId="7A9A7F67" w14:textId="77777777" w:rsidR="00E20138" w:rsidRPr="00D9348B" w:rsidRDefault="00E20138" w:rsidP="00DE1FAA">
      <w:pPr>
        <w:pStyle w:val="Bullet"/>
        <w:numPr>
          <w:ilvl w:val="0"/>
          <w:numId w:val="19"/>
        </w:numPr>
        <w:spacing w:after="100"/>
        <w:ind w:left="1191"/>
        <w:rPr>
          <w:rFonts w:cs="Calibri"/>
        </w:rPr>
      </w:pPr>
      <w:r w:rsidRPr="00D9348B">
        <w:rPr>
          <w:rFonts w:cs="Calibri"/>
        </w:rPr>
        <w:t>methane (CH</w:t>
      </w:r>
      <w:r w:rsidRPr="00D9348B">
        <w:rPr>
          <w:rFonts w:cs="Calibri"/>
          <w:vertAlign w:val="subscript"/>
        </w:rPr>
        <w:t>4</w:t>
      </w:r>
      <w:r w:rsidRPr="00D9348B">
        <w:rPr>
          <w:rFonts w:cs="Calibri"/>
        </w:rPr>
        <w:t>) – 0.9 t/PJ</w:t>
      </w:r>
    </w:p>
    <w:p w14:paraId="141698D8" w14:textId="77777777" w:rsidR="00E20138" w:rsidRPr="00D9348B" w:rsidRDefault="00E20138" w:rsidP="00DE1FAA">
      <w:pPr>
        <w:pStyle w:val="Bullet"/>
        <w:numPr>
          <w:ilvl w:val="0"/>
          <w:numId w:val="19"/>
        </w:numPr>
        <w:spacing w:after="100"/>
        <w:ind w:left="1191"/>
        <w:rPr>
          <w:rFonts w:cs="Calibri"/>
        </w:rPr>
      </w:pPr>
      <w:proofErr w:type="gramStart"/>
      <w:r w:rsidRPr="00D9348B">
        <w:rPr>
          <w:rFonts w:cs="Calibri"/>
        </w:rPr>
        <w:t>nitrous</w:t>
      </w:r>
      <w:proofErr w:type="gramEnd"/>
      <w:r w:rsidRPr="00D9348B">
        <w:rPr>
          <w:rFonts w:cs="Calibri"/>
        </w:rPr>
        <w:t xml:space="preserve"> oxide (N</w:t>
      </w:r>
      <w:r w:rsidRPr="00D9348B">
        <w:rPr>
          <w:rFonts w:cs="Calibri"/>
          <w:vertAlign w:val="subscript"/>
        </w:rPr>
        <w:t>2</w:t>
      </w:r>
      <w:r w:rsidRPr="00D9348B">
        <w:rPr>
          <w:rFonts w:cs="Calibri"/>
        </w:rPr>
        <w:t>O) – 0.09 t/PJ.</w:t>
      </w:r>
    </w:p>
    <w:p w14:paraId="41F244D9" w14:textId="77777777" w:rsidR="00E20138" w:rsidRPr="00D9348B" w:rsidRDefault="00E20138" w:rsidP="006D2536">
      <w:pPr>
        <w:pStyle w:val="Bullet"/>
        <w:tabs>
          <w:tab w:val="clear" w:pos="567"/>
        </w:tabs>
        <w:spacing w:after="100"/>
        <w:rPr>
          <w:rFonts w:cs="Calibri"/>
        </w:rPr>
      </w:pPr>
      <w:r w:rsidRPr="00D9348B">
        <w:rPr>
          <w:rFonts w:cs="Calibri"/>
        </w:rPr>
        <w:t>Emissions from gas biomass comprise a very small part of New Zealand’s emissions inventory. Given this situation, MBIE believes the current process is sufficient for estimating emissions from gas biomass. Efforts to improve emissions quality would be better focused on other areas.</w:t>
      </w:r>
    </w:p>
    <w:p w14:paraId="06482362" w14:textId="4AE39E9F" w:rsidR="00E20138" w:rsidRPr="00D9348B" w:rsidRDefault="00E20138" w:rsidP="006D2536">
      <w:pPr>
        <w:pStyle w:val="BodyText"/>
        <w:spacing w:before="100" w:after="100"/>
        <w:rPr>
          <w:rFonts w:cs="Calibri"/>
          <w:lang w:eastAsia="en-GB"/>
        </w:rPr>
      </w:pPr>
      <w:r w:rsidRPr="00D9348B">
        <w:rPr>
          <w:rFonts w:cs="Calibri"/>
          <w:lang w:eastAsia="en-GB"/>
        </w:rPr>
        <w:t xml:space="preserve">Residential and industrial solid biomass activity data are taken from the annual </w:t>
      </w:r>
      <w:r w:rsidRPr="00D9348B">
        <w:rPr>
          <w:rFonts w:cs="Calibri"/>
          <w:i/>
          <w:lang w:eastAsia="en-GB"/>
        </w:rPr>
        <w:t>Energy in New Zealand</w:t>
      </w:r>
      <w:r w:rsidRPr="00D9348B">
        <w:rPr>
          <w:rFonts w:cs="Calibri"/>
          <w:lang w:eastAsia="en-GB"/>
        </w:rPr>
        <w:t xml:space="preserve"> publication (MBIE, 2019). The residential values are estimated by MBIE based on information on the proportion of households with wood burning heaters (from census data)</w:t>
      </w:r>
      <w:r w:rsidR="00082902" w:rsidRPr="00D9348B">
        <w:rPr>
          <w:rFonts w:cs="Calibri"/>
          <w:lang w:eastAsia="en-GB"/>
        </w:rPr>
        <w:t> </w:t>
      </w:r>
      <w:r w:rsidRPr="00D9348B">
        <w:rPr>
          <w:rFonts w:cs="Calibri"/>
          <w:lang w:eastAsia="en-GB"/>
        </w:rPr>
        <w:t>and data from the Building Research Association of New Zealand (BRANZ, 2002) on the</w:t>
      </w:r>
      <w:r w:rsidR="00082902" w:rsidRPr="00D9348B">
        <w:rPr>
          <w:rFonts w:cs="Calibri"/>
          <w:lang w:eastAsia="en-GB"/>
        </w:rPr>
        <w:t> </w:t>
      </w:r>
      <w:r w:rsidRPr="00D9348B">
        <w:rPr>
          <w:rFonts w:cs="Calibri"/>
          <w:lang w:eastAsia="en-GB"/>
        </w:rPr>
        <w:t xml:space="preserve">average amount of energy used by households that use wood for heating. The industrial biomass estimation is based on the report </w:t>
      </w:r>
      <w:r w:rsidRPr="00D9348B">
        <w:rPr>
          <w:rFonts w:cs="Calibri"/>
          <w:i/>
          <w:lang w:eastAsia="en-GB"/>
        </w:rPr>
        <w:t xml:space="preserve">Heat Plant in New Zealand </w:t>
      </w:r>
      <w:r w:rsidRPr="00D9348B">
        <w:rPr>
          <w:rFonts w:cs="Calibri"/>
          <w:lang w:eastAsia="en-GB"/>
        </w:rPr>
        <w:t>(Bioenergy Association of New Zealand, 2011).</w:t>
      </w:r>
    </w:p>
    <w:p w14:paraId="18822552" w14:textId="77777777" w:rsidR="00E20138" w:rsidRPr="00D9348B" w:rsidRDefault="00E20138" w:rsidP="006D2536">
      <w:pPr>
        <w:pStyle w:val="BodyText"/>
        <w:spacing w:before="100" w:after="100"/>
        <w:rPr>
          <w:rFonts w:cs="Calibri"/>
          <w:lang w:eastAsia="en-GB"/>
        </w:rPr>
      </w:pPr>
      <w:r w:rsidRPr="00D9348B">
        <w:rPr>
          <w:rFonts w:cs="Calibri"/>
          <w:lang w:eastAsia="en-GB"/>
        </w:rPr>
        <w:t xml:space="preserve">Liquid biofuel activity data are based on information collected under the </w:t>
      </w:r>
      <w:r w:rsidRPr="00D9348B">
        <w:rPr>
          <w:rFonts w:cs="Calibri"/>
          <w:i/>
          <w:lang w:eastAsia="en-GB"/>
        </w:rPr>
        <w:t>Petroleum or Engine Fuel Monitoring Levy</w:t>
      </w:r>
      <w:r w:rsidRPr="00D9348B">
        <w:rPr>
          <w:rFonts w:cs="Calibri"/>
          <w:lang w:eastAsia="en-GB"/>
        </w:rPr>
        <w:t xml:space="preserve"> as reported in MBIE quarterly online data releases. </w:t>
      </w:r>
    </w:p>
    <w:p w14:paraId="53DE6F8A" w14:textId="77777777" w:rsidR="00E20138" w:rsidRPr="00D9348B" w:rsidRDefault="00E20138" w:rsidP="006D2536">
      <w:pPr>
        <w:pStyle w:val="Heading5"/>
        <w:spacing w:before="200"/>
        <w:rPr>
          <w:rFonts w:cs="Calibri"/>
        </w:rPr>
      </w:pPr>
      <w:r w:rsidRPr="00D9348B">
        <w:rPr>
          <w:rFonts w:cs="Calibri"/>
          <w:lang w:eastAsia="en-GB"/>
        </w:rPr>
        <w:t>Electricity auto-production</w:t>
      </w:r>
    </w:p>
    <w:p w14:paraId="1769D62E" w14:textId="77777777" w:rsidR="00E20138" w:rsidRPr="00D9348B" w:rsidRDefault="00E20138" w:rsidP="006D2536">
      <w:pPr>
        <w:pStyle w:val="BodyText"/>
        <w:spacing w:before="100"/>
        <w:rPr>
          <w:rFonts w:cs="Calibri"/>
          <w:lang w:eastAsia="en-GB"/>
        </w:rPr>
      </w:pPr>
      <w:r w:rsidRPr="00D9348B">
        <w:rPr>
          <w:rFonts w:cs="Calibri"/>
          <w:lang w:eastAsia="en-GB"/>
        </w:rPr>
        <w:t xml:space="preserve">All combustion activity for electricity auto-production is allocated into the appropriate manufacturing sub-sector. </w:t>
      </w:r>
    </w:p>
    <w:p w14:paraId="524A5C68" w14:textId="77777777" w:rsidR="00E20138" w:rsidRPr="00D9348B" w:rsidRDefault="00E20138" w:rsidP="00865BDB">
      <w:pPr>
        <w:pStyle w:val="Heading4"/>
      </w:pPr>
      <w:r w:rsidRPr="00D9348B">
        <w:rPr>
          <w:lang w:eastAsia="en-GB"/>
        </w:rPr>
        <w:t>Emission factors</w:t>
      </w:r>
    </w:p>
    <w:p w14:paraId="09C7D661" w14:textId="5C19E220" w:rsidR="00E20138" w:rsidRPr="00D9348B" w:rsidRDefault="00E20138" w:rsidP="006D2536">
      <w:pPr>
        <w:pStyle w:val="BodyText"/>
        <w:spacing w:before="100" w:after="100"/>
        <w:rPr>
          <w:rFonts w:cs="Calibri"/>
          <w:lang w:eastAsia="en-GB"/>
        </w:rPr>
      </w:pPr>
      <w:r w:rsidRPr="00D9348B">
        <w:rPr>
          <w:rFonts w:cs="Calibri"/>
          <w:lang w:eastAsia="en-GB"/>
        </w:rPr>
        <w:t>New Zealand emission factors are based on gross calorific values. A list of emission factors for</w:t>
      </w:r>
      <w:r w:rsidR="00457BC6">
        <w:rPr>
          <w:rFonts w:cs="Calibri"/>
          <w:lang w:eastAsia="en-GB"/>
        </w:rPr>
        <w:t> </w:t>
      </w:r>
      <w:r w:rsidRPr="00D9348B">
        <w:rPr>
          <w:rFonts w:cs="Calibri"/>
          <w:lang w:eastAsia="en-GB"/>
        </w:rPr>
        <w:t>CO</w:t>
      </w:r>
      <w:r w:rsidRPr="00D9348B">
        <w:rPr>
          <w:rFonts w:cs="Calibri"/>
          <w:vertAlign w:val="subscript"/>
          <w:lang w:eastAsia="en-GB"/>
        </w:rPr>
        <w:t>2</w:t>
      </w:r>
      <w:r w:rsidRPr="00D9348B">
        <w:rPr>
          <w:rFonts w:cs="Calibri"/>
          <w:lang w:eastAsia="en-GB"/>
        </w:rPr>
        <w:t xml:space="preserve">, </w:t>
      </w:r>
      <w:r w:rsidRPr="00D9348B">
        <w:rPr>
          <w:rFonts w:cs="Calibri"/>
        </w:rPr>
        <w:t>CH</w:t>
      </w:r>
      <w:r w:rsidRPr="00D9348B">
        <w:rPr>
          <w:rFonts w:cs="Calibri"/>
          <w:vertAlign w:val="subscript"/>
        </w:rPr>
        <w:t>4</w:t>
      </w:r>
      <w:r w:rsidRPr="00D9348B">
        <w:rPr>
          <w:rFonts w:cs="Calibri"/>
          <w:lang w:eastAsia="en-GB"/>
        </w:rPr>
        <w:t xml:space="preserve"> and </w:t>
      </w:r>
      <w:r w:rsidRPr="00D9348B">
        <w:rPr>
          <w:rFonts w:cs="Calibri"/>
        </w:rPr>
        <w:t>N</w:t>
      </w:r>
      <w:r w:rsidRPr="00D9348B">
        <w:rPr>
          <w:rFonts w:cs="Calibri"/>
          <w:vertAlign w:val="subscript"/>
        </w:rPr>
        <w:t>2</w:t>
      </w:r>
      <w:r w:rsidRPr="00D9348B">
        <w:rPr>
          <w:rFonts w:cs="Calibri"/>
        </w:rPr>
        <w:t>O</w:t>
      </w:r>
      <w:r w:rsidRPr="00D9348B">
        <w:rPr>
          <w:rFonts w:cs="Calibri"/>
          <w:lang w:eastAsia="en-GB"/>
        </w:rPr>
        <w:t xml:space="preserve"> for all fuel types is provided in annex 4, tables A4.1 to A4.4. The characteristics of liquid, solid and gaseous fuels and biomass used in New Zealand are described under each of the fuel sections below. Where a New Zealand-specific value is not available, New Zealand uses either the IPCC value that best reflects New Zealand conditions or the mid-point value from the IPCC range. All emission factors from the IPCC are converted from net calorific value to gross calorific value. New Zealand adopts the OECD and International Energy Agency assumptions to make these conversions.</w:t>
      </w:r>
    </w:p>
    <w:p w14:paraId="5277FD7C" w14:textId="77777777" w:rsidR="00E20138" w:rsidRPr="00D9348B" w:rsidRDefault="00E20138" w:rsidP="00E20138">
      <w:pPr>
        <w:pStyle w:val="Bullet"/>
        <w:tabs>
          <w:tab w:val="clear" w:pos="567"/>
          <w:tab w:val="left" w:pos="2835"/>
        </w:tabs>
        <w:rPr>
          <w:rFonts w:cs="Calibri"/>
        </w:rPr>
      </w:pPr>
      <w:r w:rsidRPr="00D9348B">
        <w:rPr>
          <w:rFonts w:cs="Calibri"/>
        </w:rPr>
        <w:lastRenderedPageBreak/>
        <w:t xml:space="preserve">Gaseous fuels: </w:t>
      </w:r>
      <w:r w:rsidRPr="00D9348B">
        <w:rPr>
          <w:rFonts w:cs="Calibri"/>
        </w:rPr>
        <w:tab/>
        <w:t>Gross Emission Factor = 0.90 x Net Emission Factor</w:t>
      </w:r>
    </w:p>
    <w:p w14:paraId="60446B5E" w14:textId="77777777" w:rsidR="00E20138" w:rsidRPr="00D9348B" w:rsidRDefault="00E20138" w:rsidP="00E20138">
      <w:pPr>
        <w:pStyle w:val="Bullet"/>
        <w:tabs>
          <w:tab w:val="clear" w:pos="567"/>
          <w:tab w:val="left" w:pos="2835"/>
        </w:tabs>
        <w:rPr>
          <w:rFonts w:cs="Calibri"/>
        </w:rPr>
      </w:pPr>
      <w:r w:rsidRPr="00D9348B">
        <w:rPr>
          <w:rFonts w:cs="Calibri"/>
        </w:rPr>
        <w:t>Liquid and solid fuels:</w:t>
      </w:r>
      <w:r w:rsidRPr="00D9348B">
        <w:rPr>
          <w:rFonts w:cs="Calibri"/>
        </w:rPr>
        <w:tab/>
        <w:t>Gross Emission Factor = 0.95 x Net Emission Factor</w:t>
      </w:r>
    </w:p>
    <w:p w14:paraId="3BD7CF83" w14:textId="77777777" w:rsidR="00E20138" w:rsidRPr="00D9348B" w:rsidRDefault="00E20138" w:rsidP="00E20138">
      <w:pPr>
        <w:pStyle w:val="Bullet"/>
        <w:tabs>
          <w:tab w:val="clear" w:pos="567"/>
          <w:tab w:val="left" w:pos="2835"/>
        </w:tabs>
        <w:rPr>
          <w:rFonts w:cs="Calibri"/>
        </w:rPr>
      </w:pPr>
      <w:r w:rsidRPr="00D9348B">
        <w:rPr>
          <w:rFonts w:cs="Calibri"/>
        </w:rPr>
        <w:t>Wood:</w:t>
      </w:r>
      <w:r w:rsidRPr="00D9348B">
        <w:rPr>
          <w:rFonts w:cs="Calibri"/>
        </w:rPr>
        <w:tab/>
        <w:t>Gross Emission Factor = 0.80 x Net Emission Factor</w:t>
      </w:r>
    </w:p>
    <w:p w14:paraId="6140B0AD" w14:textId="77777777" w:rsidR="00E20138" w:rsidRPr="00D9348B" w:rsidRDefault="00E20138" w:rsidP="00E20138">
      <w:pPr>
        <w:pStyle w:val="Heading5"/>
        <w:rPr>
          <w:rFonts w:cs="Calibri"/>
        </w:rPr>
      </w:pPr>
      <w:r w:rsidRPr="00D9348B">
        <w:rPr>
          <w:rFonts w:cs="Calibri"/>
          <w:lang w:eastAsia="en-GB"/>
        </w:rPr>
        <w:t>Liquid fuels</w:t>
      </w:r>
    </w:p>
    <w:p w14:paraId="09C6BFC2" w14:textId="77777777" w:rsidR="00E20138" w:rsidRPr="00D9348B" w:rsidRDefault="00E20138" w:rsidP="00E20138">
      <w:pPr>
        <w:pStyle w:val="BodyText"/>
        <w:spacing w:before="100" w:after="100"/>
        <w:rPr>
          <w:rFonts w:cs="Calibri"/>
          <w:lang w:eastAsia="en-GB"/>
        </w:rPr>
      </w:pPr>
      <w:r w:rsidRPr="00D9348B">
        <w:rPr>
          <w:rFonts w:cs="Calibri"/>
          <w:lang w:eastAsia="en-GB"/>
        </w:rPr>
        <w:t>Where possible, CO</w:t>
      </w:r>
      <w:r w:rsidRPr="00D9348B">
        <w:rPr>
          <w:rFonts w:cs="Calibri"/>
          <w:vertAlign w:val="subscript"/>
          <w:lang w:eastAsia="en-GB"/>
        </w:rPr>
        <w:t>2</w:t>
      </w:r>
      <w:r w:rsidRPr="00D9348B">
        <w:rPr>
          <w:rFonts w:cs="Calibri"/>
          <w:lang w:eastAsia="en-GB"/>
        </w:rPr>
        <w:t xml:space="preserve"> emission factors for liquid fuels are calculated on an annual basis. Carbon dioxide emission factors are calculated from Refining New Zealand data on the carbon content and calorific values of the fuels that they produce. For non-CO</w:t>
      </w:r>
      <w:r w:rsidRPr="00D9348B">
        <w:rPr>
          <w:rFonts w:cs="Calibri"/>
          <w:vertAlign w:val="subscript"/>
          <w:lang w:eastAsia="en-GB"/>
        </w:rPr>
        <w:t>2</w:t>
      </w:r>
      <w:r w:rsidRPr="00D9348B">
        <w:rPr>
          <w:rFonts w:cs="Calibri"/>
          <w:lang w:eastAsia="en-GB"/>
        </w:rPr>
        <w:t xml:space="preserve"> emissions, IPCC default values are used unless otherwise specified in the relevant section. Annex 4, section A4.1, includes further information on liquid fuel emission factors, including a time series of gross calorific values.</w:t>
      </w:r>
    </w:p>
    <w:p w14:paraId="28B71FF6" w14:textId="77777777" w:rsidR="00E20138" w:rsidRPr="00D9348B" w:rsidRDefault="00E20138" w:rsidP="00E20138">
      <w:pPr>
        <w:pStyle w:val="Heading5"/>
        <w:rPr>
          <w:rFonts w:cs="Calibri"/>
          <w:lang w:eastAsia="en-GB"/>
        </w:rPr>
      </w:pPr>
      <w:r w:rsidRPr="00D9348B">
        <w:rPr>
          <w:rFonts w:cs="Calibri"/>
          <w:lang w:eastAsia="en-GB"/>
        </w:rPr>
        <w:t>Solid fuels</w:t>
      </w:r>
    </w:p>
    <w:p w14:paraId="1451F9D6" w14:textId="77777777" w:rsidR="00E20138" w:rsidRPr="00D9348B" w:rsidRDefault="00E20138" w:rsidP="00E20138">
      <w:pPr>
        <w:pStyle w:val="BodyText"/>
        <w:spacing w:before="100" w:after="100"/>
        <w:rPr>
          <w:rFonts w:cs="Calibri"/>
          <w:lang w:eastAsia="en-GB"/>
        </w:rPr>
      </w:pPr>
      <w:r w:rsidRPr="00D9348B">
        <w:rPr>
          <w:rFonts w:cs="Calibri"/>
          <w:lang w:eastAsia="en-GB"/>
        </w:rPr>
        <w:t xml:space="preserve">Emission factors for solid fuels were updated for the 2016 submission across the time series from 1990 to 2008, in response to a 2013 ERT recommendation (FCCC/ARR/2013/NZL, paragraph 32) (UNFCCC, 2014). A comprehensive list of carbon content by coal mine is not currently available. A review of New Zealand’s coal emission factors in preparation for the </w:t>
      </w:r>
      <w:r w:rsidRPr="00D9348B">
        <w:rPr>
          <w:rFonts w:cs="Calibri"/>
        </w:rPr>
        <w:t>New Zealand Emissions Trading Scheme</w:t>
      </w:r>
      <w:r w:rsidRPr="00D9348B">
        <w:rPr>
          <w:rFonts w:cs="Calibri"/>
          <w:lang w:eastAsia="en-GB"/>
        </w:rPr>
        <w:t xml:space="preserve"> (NZ ETS) (CRL Energy Ltd, 2009) recommended re</w:t>
      </w:r>
      <w:r w:rsidRPr="00D9348B">
        <w:rPr>
          <w:rFonts w:cs="Calibri"/>
          <w:lang w:eastAsia="en-GB"/>
        </w:rPr>
        <w:noBreakHyphen/>
        <w:t xml:space="preserve">weighting the current default emission factors to 2007 production rather than continuing with those in the </w:t>
      </w:r>
      <w:r w:rsidRPr="00D9348B">
        <w:rPr>
          <w:rFonts w:cs="Calibri"/>
          <w:i/>
          <w:lang w:eastAsia="en-GB"/>
        </w:rPr>
        <w:t xml:space="preserve">New Zealand Energy Information Handbook </w:t>
      </w:r>
      <w:r w:rsidRPr="00D9348B">
        <w:rPr>
          <w:rFonts w:cs="Calibri"/>
          <w:lang w:eastAsia="en-GB"/>
        </w:rPr>
        <w:t xml:space="preserve">(Baines, 1993). However, following the recommendation of the ERT review (FCCC/ARR/2013/NZL, paragraph 32) (UNFCCC, 2014) of New Zealand’s 2013 submission, the emission factors between 1990 and 2008 have been interpolated. </w:t>
      </w:r>
    </w:p>
    <w:p w14:paraId="27EA3593" w14:textId="77777777" w:rsidR="00E20138" w:rsidRPr="00D9348B" w:rsidRDefault="00E20138" w:rsidP="00E20138">
      <w:pPr>
        <w:pStyle w:val="BodyText"/>
        <w:spacing w:before="100" w:after="100"/>
        <w:rPr>
          <w:rFonts w:cs="Calibri"/>
          <w:lang w:eastAsia="en-GB"/>
        </w:rPr>
      </w:pPr>
      <w:r w:rsidRPr="00D9348B">
        <w:rPr>
          <w:rFonts w:cs="Calibri"/>
          <w:lang w:eastAsia="en-GB"/>
        </w:rPr>
        <w:t>Also, the emission factor used to calculate emissions from coal use in the public electricity and heat production sector has been weighted to reflect the combustion of imported coal. A time series of the effect of this weighting is included in annex 4 (table A4.2).</w:t>
      </w:r>
    </w:p>
    <w:p w14:paraId="5F161008" w14:textId="77777777" w:rsidR="00E20138" w:rsidRPr="00D9348B" w:rsidRDefault="00E20138" w:rsidP="00E20138">
      <w:pPr>
        <w:pStyle w:val="Heading5"/>
        <w:rPr>
          <w:rFonts w:cs="Calibri"/>
          <w:lang w:eastAsia="en-GB"/>
        </w:rPr>
      </w:pPr>
      <w:r w:rsidRPr="00D9348B">
        <w:rPr>
          <w:rFonts w:cs="Calibri"/>
          <w:lang w:eastAsia="en-GB"/>
        </w:rPr>
        <w:t>Gaseous fuels</w:t>
      </w:r>
    </w:p>
    <w:p w14:paraId="6C71F59E" w14:textId="77777777" w:rsidR="00E20138" w:rsidRPr="00D9348B" w:rsidRDefault="00E20138" w:rsidP="00E20138">
      <w:pPr>
        <w:pStyle w:val="BodyText"/>
        <w:rPr>
          <w:rFonts w:cs="Calibri"/>
          <w:lang w:eastAsia="en-GB"/>
        </w:rPr>
      </w:pPr>
      <w:r w:rsidRPr="00D9348B">
        <w:rPr>
          <w:rFonts w:cs="Calibri"/>
          <w:lang w:eastAsia="en-GB"/>
        </w:rPr>
        <w:t>New Zealand’s gaseous fuel emission factors are above the IPCC 2006 default range, because New Zealand natural gas fields tend to have higher CO</w:t>
      </w:r>
      <w:r w:rsidRPr="00D9348B">
        <w:rPr>
          <w:rFonts w:cs="Calibri"/>
          <w:vertAlign w:val="subscript"/>
          <w:lang w:eastAsia="en-GB"/>
        </w:rPr>
        <w:t>2</w:t>
      </w:r>
      <w:r w:rsidRPr="00D9348B">
        <w:rPr>
          <w:rFonts w:cs="Calibri"/>
          <w:lang w:eastAsia="en-GB"/>
        </w:rPr>
        <w:t xml:space="preserve"> content than most international gas fields. This is verified by regular gas composition analysis. Emission factors for 2018 from all fields, along with the production weighted average, are included in annex 4.</w:t>
      </w:r>
    </w:p>
    <w:p w14:paraId="6AE8B21F" w14:textId="77777777" w:rsidR="00E20138" w:rsidRPr="00D9348B" w:rsidRDefault="00E20138" w:rsidP="00E20138">
      <w:pPr>
        <w:pStyle w:val="BodyText"/>
        <w:rPr>
          <w:rFonts w:cs="Calibri"/>
          <w:lang w:eastAsia="en-GB"/>
        </w:rPr>
      </w:pPr>
      <w:r w:rsidRPr="00D9348B">
        <w:rPr>
          <w:rFonts w:cs="Calibri"/>
          <w:lang w:eastAsia="en-GB"/>
        </w:rPr>
        <w:t>The annual gaseous fuel emission factor is the calculated weighted average for all of the natural gas production fields. The emission factor takes into account gas compositional data from all gas fields. This method provides increased accuracy because the decline in production from both the Maui and Kapuni gas fields has been replaced by other new gas fields (for example, Pohokura) coming on stream. This emission factor fluctuates slightly from year to year, mainly due to the relative production volume at different gas fields in a given year.</w:t>
      </w:r>
    </w:p>
    <w:p w14:paraId="7C0635AF" w14:textId="77777777" w:rsidR="00E20138" w:rsidRPr="00D9348B" w:rsidRDefault="00E20138" w:rsidP="00E20138">
      <w:pPr>
        <w:pStyle w:val="BodyText"/>
        <w:rPr>
          <w:rFonts w:cs="Calibri"/>
          <w:lang w:eastAsia="en-GB"/>
        </w:rPr>
      </w:pPr>
      <w:r w:rsidRPr="00D9348B">
        <w:rPr>
          <w:rFonts w:cs="Calibri"/>
          <w:lang w:eastAsia="en-GB"/>
        </w:rPr>
        <w:t>The Kapuni gas field has particularly high CO</w:t>
      </w:r>
      <w:r w:rsidRPr="00D9348B">
        <w:rPr>
          <w:rFonts w:cs="Calibri"/>
          <w:vertAlign w:val="subscript"/>
          <w:lang w:eastAsia="en-GB"/>
        </w:rPr>
        <w:t xml:space="preserve">2 </w:t>
      </w:r>
      <w:r w:rsidRPr="00D9348B">
        <w:rPr>
          <w:rFonts w:cs="Calibri"/>
          <w:lang w:eastAsia="en-GB"/>
        </w:rPr>
        <w:t>content. Historically, this field has been valued by the petrochemicals industry as a feedstock. However, most of the gas from this field is now treated, and the excess CO</w:t>
      </w:r>
      <w:r w:rsidRPr="00D9348B">
        <w:rPr>
          <w:rFonts w:cs="Calibri"/>
          <w:vertAlign w:val="subscript"/>
          <w:lang w:eastAsia="en-GB"/>
        </w:rPr>
        <w:t>2</w:t>
      </w:r>
      <w:r w:rsidRPr="00D9348B">
        <w:rPr>
          <w:rFonts w:cs="Calibri"/>
          <w:lang w:eastAsia="en-GB"/>
        </w:rPr>
        <w:t xml:space="preserve"> is removed at the Kapuni Gas Treatment Plant. Consequently, separate emission factors were used to calculate emissions from Kapuni treated and untreated gas, due to the difference in carbon content (see annex 4, table A4.1). Carbon dioxide removed from raw Kapuni gas then vented is reported under 1.B.2.c.</w:t>
      </w:r>
    </w:p>
    <w:p w14:paraId="15468678" w14:textId="77777777" w:rsidR="00E20138" w:rsidRPr="00D9348B" w:rsidRDefault="00E20138" w:rsidP="00E20138">
      <w:pPr>
        <w:pStyle w:val="Heading5"/>
        <w:rPr>
          <w:rFonts w:cs="Calibri"/>
          <w:lang w:eastAsia="en-GB"/>
        </w:rPr>
      </w:pPr>
      <w:r w:rsidRPr="00D9348B">
        <w:rPr>
          <w:rFonts w:cs="Calibri"/>
          <w:lang w:eastAsia="en-GB"/>
        </w:rPr>
        <w:lastRenderedPageBreak/>
        <w:t>Biomass</w:t>
      </w:r>
    </w:p>
    <w:p w14:paraId="4DA161DD" w14:textId="5254C52F" w:rsidR="00E20138" w:rsidRPr="00D9348B" w:rsidRDefault="00E20138" w:rsidP="00E20138">
      <w:pPr>
        <w:pStyle w:val="BodyText"/>
        <w:rPr>
          <w:rFonts w:cs="Calibri"/>
          <w:lang w:eastAsia="en-GB"/>
        </w:rPr>
      </w:pPr>
      <w:r w:rsidRPr="00D9348B">
        <w:rPr>
          <w:rFonts w:cs="Calibri"/>
          <w:lang w:eastAsia="en-GB"/>
        </w:rPr>
        <w:t>The emission factors for wood combustion are calculated from the IPCC 2006 default emission factors. This assumes that the net calorific value is 20 per cent lower than the gross calorific value (IPCC, 2006). Carbon dioxide emissions from wood used for energy production are reported as a memo item and are not included in the estimate of New Zealand’s total greenhouse gas emissions (IPCC, 2006). Carbon dioxide emission factors for liquid biofuels are</w:t>
      </w:r>
      <w:r w:rsidR="00AA0A87" w:rsidRPr="00D9348B">
        <w:rPr>
          <w:rFonts w:cs="Calibri"/>
          <w:lang w:eastAsia="en-GB"/>
        </w:rPr>
        <w:t> </w:t>
      </w:r>
      <w:r w:rsidRPr="00D9348B">
        <w:rPr>
          <w:rFonts w:cs="Calibri"/>
          <w:lang w:eastAsia="en-GB"/>
        </w:rPr>
        <w:t xml:space="preserve">sourced from the </w:t>
      </w:r>
      <w:r w:rsidRPr="00D9348B">
        <w:rPr>
          <w:rFonts w:cs="Calibri"/>
          <w:i/>
          <w:iCs/>
          <w:lang w:eastAsia="en-GB"/>
        </w:rPr>
        <w:t xml:space="preserve">New Zealand Energy Information Handbook </w:t>
      </w:r>
      <w:r w:rsidRPr="00D9348B">
        <w:rPr>
          <w:rFonts w:cs="Calibri"/>
          <w:lang w:eastAsia="en-GB"/>
        </w:rPr>
        <w:t xml:space="preserve">(Baines, 1993), while </w:t>
      </w:r>
      <w:r w:rsidRPr="00D9348B">
        <w:rPr>
          <w:rFonts w:cs="Calibri"/>
        </w:rPr>
        <w:t>CH</w:t>
      </w:r>
      <w:r w:rsidRPr="00D9348B">
        <w:rPr>
          <w:rFonts w:cs="Calibri"/>
          <w:vertAlign w:val="subscript"/>
        </w:rPr>
        <w:t>4</w:t>
      </w:r>
      <w:r w:rsidRPr="00D9348B">
        <w:rPr>
          <w:rFonts w:cs="Calibri"/>
          <w:lang w:eastAsia="en-GB"/>
        </w:rPr>
        <w:t xml:space="preserve"> and </w:t>
      </w:r>
      <w:r w:rsidRPr="00D9348B">
        <w:rPr>
          <w:rFonts w:cs="Calibri"/>
        </w:rPr>
        <w:t>N</w:t>
      </w:r>
      <w:r w:rsidRPr="00D9348B">
        <w:rPr>
          <w:rFonts w:cs="Calibri"/>
          <w:vertAlign w:val="subscript"/>
        </w:rPr>
        <w:t>2</w:t>
      </w:r>
      <w:r w:rsidRPr="00D9348B">
        <w:rPr>
          <w:rFonts w:cs="Calibri"/>
        </w:rPr>
        <w:t>O</w:t>
      </w:r>
      <w:r w:rsidRPr="00D9348B">
        <w:rPr>
          <w:rFonts w:cs="Calibri"/>
          <w:lang w:eastAsia="en-GB"/>
        </w:rPr>
        <w:t xml:space="preserve"> emission factors are IPCC 2006 default emission factors.</w:t>
      </w:r>
    </w:p>
    <w:p w14:paraId="433444EF" w14:textId="77777777" w:rsidR="00E20138" w:rsidRPr="00D9348B" w:rsidRDefault="00E20138" w:rsidP="00E20138">
      <w:pPr>
        <w:pStyle w:val="Heading3"/>
        <w:rPr>
          <w:rFonts w:cs="Calibri"/>
          <w:lang w:eastAsia="en-GB"/>
        </w:rPr>
      </w:pPr>
      <w:r w:rsidRPr="00D9348B">
        <w:rPr>
          <w:rFonts w:cs="Calibri"/>
          <w:lang w:eastAsia="en-GB"/>
        </w:rPr>
        <w:t xml:space="preserve">3.3.2 </w:t>
      </w:r>
      <w:r w:rsidRPr="00D9348B">
        <w:rPr>
          <w:rFonts w:cs="Calibri"/>
          <w:lang w:eastAsia="en-GB"/>
        </w:rPr>
        <w:tab/>
        <w:t>Sector-wide improvements</w:t>
      </w:r>
    </w:p>
    <w:p w14:paraId="47456302" w14:textId="22EC6840" w:rsidR="00E20138" w:rsidRPr="00D9348B" w:rsidRDefault="00E20138" w:rsidP="00E20138">
      <w:pPr>
        <w:pStyle w:val="BodyText"/>
        <w:rPr>
          <w:rFonts w:cs="Calibri"/>
          <w:lang w:eastAsia="en-GB"/>
        </w:rPr>
      </w:pPr>
      <w:r w:rsidRPr="00D9348B">
        <w:rPr>
          <w:rFonts w:cs="Calibri"/>
          <w:lang w:eastAsia="en-GB"/>
        </w:rPr>
        <w:t>The system for tracking and calculating emissions within the Energy sector was migrated to the</w:t>
      </w:r>
      <w:r w:rsidR="00AA0A87" w:rsidRPr="00D9348B">
        <w:rPr>
          <w:rFonts w:cs="Calibri"/>
          <w:lang w:eastAsia="en-GB"/>
        </w:rPr>
        <w:t> </w:t>
      </w:r>
      <w:r w:rsidRPr="00D9348B">
        <w:rPr>
          <w:rFonts w:cs="Calibri"/>
          <w:lang w:eastAsia="en-GB"/>
        </w:rPr>
        <w:t>R programming language. This migration allowed for improved checking and correction of</w:t>
      </w:r>
      <w:r w:rsidR="00AA0A87" w:rsidRPr="00D9348B">
        <w:rPr>
          <w:rFonts w:cs="Calibri"/>
          <w:lang w:eastAsia="en-GB"/>
        </w:rPr>
        <w:t> </w:t>
      </w:r>
      <w:r w:rsidRPr="00D9348B">
        <w:rPr>
          <w:rFonts w:cs="Calibri"/>
          <w:lang w:eastAsia="en-GB"/>
        </w:rPr>
        <w:t>existing calculations and records, especially for historical data.</w:t>
      </w:r>
    </w:p>
    <w:p w14:paraId="4BF429EE" w14:textId="77777777" w:rsidR="00E20138" w:rsidRPr="00D9348B" w:rsidRDefault="00E20138" w:rsidP="00E20138">
      <w:pPr>
        <w:pStyle w:val="BodyText"/>
        <w:rPr>
          <w:rFonts w:cs="Calibri"/>
          <w:lang w:eastAsia="en-GB"/>
        </w:rPr>
      </w:pPr>
      <w:r w:rsidRPr="00D9348B">
        <w:rPr>
          <w:rFonts w:cs="Calibri"/>
        </w:rPr>
        <w:t>All source-specific improvements are discussed in their corresponding sections.</w:t>
      </w:r>
    </w:p>
    <w:p w14:paraId="70F96002" w14:textId="77777777" w:rsidR="00E20138" w:rsidRPr="00D9348B" w:rsidRDefault="00E20138" w:rsidP="00E20138">
      <w:pPr>
        <w:pStyle w:val="Heading3"/>
        <w:rPr>
          <w:rFonts w:cs="Calibri"/>
        </w:rPr>
      </w:pPr>
      <w:r w:rsidRPr="00D9348B">
        <w:rPr>
          <w:rFonts w:cs="Calibri"/>
        </w:rPr>
        <w:t>3.3.3</w:t>
      </w:r>
      <w:r w:rsidRPr="00D9348B">
        <w:rPr>
          <w:rFonts w:cs="Calibri"/>
        </w:rPr>
        <w:tab/>
        <w:t>Sector-wide planned improvements</w:t>
      </w:r>
    </w:p>
    <w:p w14:paraId="29E510AF" w14:textId="77777777" w:rsidR="00E20138" w:rsidRPr="00D9348B" w:rsidRDefault="00E20138" w:rsidP="00E20138">
      <w:pPr>
        <w:pStyle w:val="BodyText"/>
        <w:rPr>
          <w:rFonts w:cs="Calibri"/>
        </w:rPr>
      </w:pPr>
      <w:r w:rsidRPr="00D9348B">
        <w:rPr>
          <w:rFonts w:cs="Calibri"/>
        </w:rPr>
        <w:t xml:space="preserve">All source-specific planned improvements are discussed in their corresponding sections. </w:t>
      </w:r>
    </w:p>
    <w:p w14:paraId="53BDC90A" w14:textId="77777777" w:rsidR="00E20138" w:rsidRPr="00D9348B" w:rsidRDefault="00E20138" w:rsidP="00E20138">
      <w:pPr>
        <w:pStyle w:val="BodyText"/>
        <w:rPr>
          <w:rFonts w:cs="Calibri"/>
          <w:lang w:eastAsia="en-GB"/>
        </w:rPr>
      </w:pPr>
      <w:r w:rsidRPr="00D9348B">
        <w:rPr>
          <w:rFonts w:cs="Calibri"/>
        </w:rPr>
        <w:t>MBIE will continue to examine the use</w:t>
      </w:r>
      <w:r w:rsidRPr="00D9348B">
        <w:rPr>
          <w:rFonts w:cs="Calibri"/>
          <w:lang w:eastAsia="en-GB"/>
        </w:rPr>
        <w:t xml:space="preserve"> of more specific solid fuel CO</w:t>
      </w:r>
      <w:r w:rsidRPr="00D9348B">
        <w:rPr>
          <w:rFonts w:cs="Calibri"/>
          <w:vertAlign w:val="subscript"/>
          <w:lang w:eastAsia="en-GB"/>
        </w:rPr>
        <w:t>2</w:t>
      </w:r>
      <w:r w:rsidRPr="00D9348B">
        <w:rPr>
          <w:rFonts w:cs="Calibri"/>
          <w:lang w:eastAsia="en-GB"/>
        </w:rPr>
        <w:t xml:space="preserve"> emission factors. </w:t>
      </w:r>
    </w:p>
    <w:p w14:paraId="32D658B4" w14:textId="77777777" w:rsidR="00E20138" w:rsidRPr="00D9348B" w:rsidRDefault="00E20138" w:rsidP="00E20138">
      <w:pPr>
        <w:pStyle w:val="Heading3"/>
        <w:rPr>
          <w:rFonts w:cs="Calibri"/>
        </w:rPr>
      </w:pPr>
      <w:r w:rsidRPr="00D9348B">
        <w:rPr>
          <w:rFonts w:cs="Calibri"/>
        </w:rPr>
        <w:t>3.3.4</w:t>
      </w:r>
      <w:r w:rsidRPr="00D9348B">
        <w:rPr>
          <w:rFonts w:cs="Calibri"/>
        </w:rPr>
        <w:tab/>
        <w:t>Sector-wide quality assurance/quality control (QA/QC)</w:t>
      </w:r>
    </w:p>
    <w:p w14:paraId="6415C396" w14:textId="77777777" w:rsidR="00E20138" w:rsidRPr="00D9348B" w:rsidRDefault="00E20138" w:rsidP="00E20138">
      <w:pPr>
        <w:pStyle w:val="BodyText"/>
        <w:rPr>
          <w:rFonts w:cs="Calibri"/>
        </w:rPr>
      </w:pPr>
      <w:r w:rsidRPr="00D9348B">
        <w:rPr>
          <w:rFonts w:cs="Calibri"/>
          <w:lang w:eastAsia="en-GB"/>
        </w:rPr>
        <w:t xml:space="preserve">In the preparation of this inventory, the </w:t>
      </w:r>
      <w:r w:rsidRPr="00D9348B">
        <w:rPr>
          <w:rFonts w:cs="Calibri"/>
          <w:i/>
          <w:lang w:eastAsia="en-GB"/>
        </w:rPr>
        <w:t>Fugitive</w:t>
      </w:r>
      <w:r w:rsidRPr="00D9348B">
        <w:rPr>
          <w:rFonts w:cs="Calibri"/>
          <w:lang w:eastAsia="en-GB"/>
        </w:rPr>
        <w:t xml:space="preserve"> category underwent Tier 1 quality-assurance and quality-control checks as recommended in the 2006 IPCC Guidelines. These include regular control sums throughout systems to verify system integrity, time-series consistency checks on activity data and consistency checks on implied emission factors at the industry–plant level, where possible. </w:t>
      </w:r>
      <w:r w:rsidRPr="00D9348B">
        <w:rPr>
          <w:rFonts w:cs="Calibri"/>
        </w:rPr>
        <w:t>Figure 3.3.2</w:t>
      </w:r>
      <w:r w:rsidRPr="00D9348B">
        <w:rPr>
          <w:rFonts w:cs="Calibri"/>
          <w:lang w:eastAsia="en-GB"/>
        </w:rPr>
        <w:t xml:space="preserve"> describes the quality control process map for the Energy sector.</w:t>
      </w:r>
    </w:p>
    <w:p w14:paraId="31FD354C" w14:textId="77777777" w:rsidR="00E20138" w:rsidRPr="00D9348B" w:rsidRDefault="00E20138" w:rsidP="00E20138">
      <w:pPr>
        <w:pStyle w:val="Figure"/>
        <w:rPr>
          <w:rFonts w:cs="Calibri"/>
        </w:rPr>
      </w:pPr>
      <w:bookmarkStart w:id="342" w:name="_Ref442370883"/>
      <w:bookmarkStart w:id="343" w:name="_Toc384582852"/>
      <w:bookmarkStart w:id="344" w:name="_Ref442370874"/>
      <w:bookmarkStart w:id="345" w:name="_Toc443060812"/>
      <w:bookmarkStart w:id="346" w:name="_Toc447275669"/>
      <w:bookmarkStart w:id="347" w:name="_Toc481751987"/>
      <w:bookmarkStart w:id="348" w:name="_Toc36292771"/>
      <w:r w:rsidRPr="00D9348B">
        <w:rPr>
          <w:rFonts w:cs="Calibri"/>
        </w:rPr>
        <w:lastRenderedPageBreak/>
        <w:t>Figure 3.3.</w:t>
      </w:r>
      <w:r w:rsidRPr="00D9348B">
        <w:rPr>
          <w:rFonts w:cs="Calibri"/>
        </w:rPr>
        <w:fldChar w:fldCharType="begin"/>
      </w:r>
      <w:r w:rsidRPr="00D9348B">
        <w:rPr>
          <w:rFonts w:cs="Calibri"/>
        </w:rPr>
        <w:instrText xml:space="preserve"> SEQ Figure \* ARABIC \s 2 </w:instrText>
      </w:r>
      <w:r w:rsidRPr="00D9348B">
        <w:rPr>
          <w:rFonts w:cs="Calibri"/>
        </w:rPr>
        <w:fldChar w:fldCharType="separate"/>
      </w:r>
      <w:r w:rsidRPr="00D9348B">
        <w:rPr>
          <w:rFonts w:cs="Calibri"/>
        </w:rPr>
        <w:t>2</w:t>
      </w:r>
      <w:r w:rsidRPr="00D9348B">
        <w:rPr>
          <w:rFonts w:cs="Calibri"/>
        </w:rPr>
        <w:fldChar w:fldCharType="end"/>
      </w:r>
      <w:bookmarkEnd w:id="342"/>
      <w:r w:rsidRPr="00D9348B">
        <w:rPr>
          <w:rFonts w:cs="Calibri"/>
        </w:rPr>
        <w:t xml:space="preserve"> </w:t>
      </w:r>
      <w:r w:rsidRPr="00D9348B">
        <w:rPr>
          <w:rFonts w:cs="Calibri"/>
        </w:rPr>
        <w:tab/>
        <w:t>Energy sector quality control process map</w:t>
      </w:r>
      <w:bookmarkEnd w:id="343"/>
      <w:bookmarkEnd w:id="344"/>
      <w:bookmarkEnd w:id="345"/>
      <w:bookmarkEnd w:id="346"/>
      <w:bookmarkEnd w:id="347"/>
      <w:bookmarkEnd w:id="348"/>
    </w:p>
    <w:bookmarkStart w:id="349" w:name="_GoBack"/>
    <w:p w14:paraId="59F27C59" w14:textId="48F3BE0B" w:rsidR="00E20138" w:rsidRPr="00D9348B" w:rsidRDefault="00C93D19" w:rsidP="00E20138">
      <w:pPr>
        <w:spacing w:after="120"/>
        <w:rPr>
          <w:rFonts w:cs="Calibri"/>
        </w:rPr>
      </w:pPr>
      <w:r w:rsidRPr="00D9348B">
        <w:rPr>
          <w:rFonts w:cs="Calibri"/>
        </w:rPr>
        <w:object w:dxaOrig="11534" w:dyaOrig="14474" w14:anchorId="397530D0">
          <v:shape id="_x0000_i1051" type="#_x0000_t75" style="width:420.1pt;height:537.8pt" o:ole="">
            <v:imagedata r:id="rId65" o:title="" croptop="854f" cropbottom="509f"/>
          </v:shape>
          <o:OLEObject Type="Embed" ProgID="Visio.Drawing.11" ShapeID="_x0000_i1051" DrawAspect="Content" ObjectID="_1647932311" r:id="rId66"/>
        </w:object>
      </w:r>
      <w:bookmarkEnd w:id="349"/>
    </w:p>
    <w:p w14:paraId="46995712" w14:textId="77777777" w:rsidR="00E20138" w:rsidRPr="00D9348B" w:rsidRDefault="00E20138" w:rsidP="00C93D19">
      <w:pPr>
        <w:pStyle w:val="BodyText"/>
        <w:spacing w:before="240"/>
        <w:rPr>
          <w:rFonts w:cs="Calibri"/>
        </w:rPr>
      </w:pPr>
      <w:r w:rsidRPr="00D9348B">
        <w:rPr>
          <w:rFonts w:cs="Calibri"/>
          <w:lang w:eastAsia="en-GB"/>
        </w:rPr>
        <w:t xml:space="preserve">As discussed in section 3.1, the reference approach provides a good, high-level quality check for activity data. A significant deviation (greater than 5 per cent) indicates a likely issue. </w:t>
      </w:r>
    </w:p>
    <w:p w14:paraId="03AE273B" w14:textId="77777777" w:rsidR="00E20138" w:rsidRPr="00D9348B" w:rsidRDefault="00E20138" w:rsidP="00E20138">
      <w:pPr>
        <w:pStyle w:val="BodyText"/>
        <w:rPr>
          <w:rFonts w:cs="Calibri"/>
          <w:lang w:eastAsia="en-GB"/>
        </w:rPr>
      </w:pPr>
      <w:r w:rsidRPr="00D9348B">
        <w:rPr>
          <w:rFonts w:cs="Calibri"/>
          <w:lang w:eastAsia="en-GB"/>
        </w:rPr>
        <w:t>Implied CO</w:t>
      </w:r>
      <w:r w:rsidRPr="00D9348B">
        <w:rPr>
          <w:rFonts w:cs="Calibri"/>
          <w:vertAlign w:val="subscript"/>
          <w:lang w:eastAsia="en-GB"/>
        </w:rPr>
        <w:t>2</w:t>
      </w:r>
      <w:r w:rsidRPr="00D9348B">
        <w:rPr>
          <w:rFonts w:cs="Calibri"/>
          <w:lang w:eastAsia="en-GB"/>
        </w:rPr>
        <w:t xml:space="preserve"> emission factors for combustion of liquid, solid and gaseous fuels from this inventory were compared with those in the IPCC Emission Factor Database, 2012, and converted to gross values for comparability with the New Zealand energy system. </w:t>
      </w:r>
    </w:p>
    <w:p w14:paraId="4B23C62B" w14:textId="77777777" w:rsidR="00E20138" w:rsidRPr="00D9348B" w:rsidRDefault="00E20138" w:rsidP="00E20138">
      <w:pPr>
        <w:pStyle w:val="BodyText"/>
        <w:rPr>
          <w:rFonts w:cs="Calibri"/>
          <w:lang w:eastAsia="en-GB"/>
        </w:rPr>
      </w:pPr>
      <w:r w:rsidRPr="00D9348B">
        <w:rPr>
          <w:rFonts w:cs="Calibri"/>
        </w:rPr>
        <w:t>Figure 3.3.3</w:t>
      </w:r>
      <w:r w:rsidRPr="00D9348B">
        <w:rPr>
          <w:rFonts w:cs="Calibri"/>
          <w:lang w:eastAsia="en-GB"/>
        </w:rPr>
        <w:t xml:space="preserve">, </w:t>
      </w:r>
      <w:r w:rsidRPr="00D9348B">
        <w:rPr>
          <w:rFonts w:cs="Calibri"/>
        </w:rPr>
        <w:t>figure 3.3.4</w:t>
      </w:r>
      <w:r w:rsidRPr="00D9348B">
        <w:rPr>
          <w:rFonts w:cs="Calibri"/>
          <w:lang w:eastAsia="en-GB"/>
        </w:rPr>
        <w:t xml:space="preserve"> and </w:t>
      </w:r>
      <w:r w:rsidRPr="00D9348B">
        <w:rPr>
          <w:rFonts w:cs="Calibri"/>
        </w:rPr>
        <w:t>figure 3.3.5</w:t>
      </w:r>
      <w:r w:rsidRPr="00D9348B">
        <w:rPr>
          <w:rFonts w:cs="Calibri"/>
          <w:lang w:eastAsia="en-GB"/>
        </w:rPr>
        <w:t xml:space="preserve"> weight the upper, lower and middle IPCC 2006 emission factor ranges according to observed fuel consumption in New Zealand for the given </w:t>
      </w:r>
      <w:r w:rsidRPr="00D9348B">
        <w:rPr>
          <w:rFonts w:cs="Calibri"/>
          <w:lang w:eastAsia="en-GB"/>
        </w:rPr>
        <w:lastRenderedPageBreak/>
        <w:t xml:space="preserve">year. For example, the top of the IPCC range for liquid fuels was calculated using the top of the IPCC 2006 emission factor range for each liquid fuel and observed New Zealand activity data for each liquid fuel. </w:t>
      </w:r>
    </w:p>
    <w:p w14:paraId="36764141" w14:textId="5AEA5E69" w:rsidR="00E20138" w:rsidRPr="00D9348B" w:rsidRDefault="00E20138" w:rsidP="00E20138">
      <w:pPr>
        <w:pStyle w:val="BodyText"/>
        <w:rPr>
          <w:rFonts w:cs="Calibri"/>
          <w:lang w:eastAsia="en-GB"/>
        </w:rPr>
      </w:pPr>
      <w:r w:rsidRPr="00D9348B">
        <w:rPr>
          <w:rFonts w:cs="Calibri"/>
          <w:lang w:eastAsia="en-GB"/>
        </w:rPr>
        <w:t>The sum of all these emissions was then divided by the total observed liquid fuel combustion to obtain an implied emission factor weighted by New Zealand liquid fuel use. This was repeated for all fuel groups and years for the high, low and mid-points of</w:t>
      </w:r>
      <w:r w:rsidR="00D34954" w:rsidRPr="00D9348B">
        <w:rPr>
          <w:rFonts w:cs="Calibri"/>
          <w:lang w:eastAsia="en-GB"/>
        </w:rPr>
        <w:t> </w:t>
      </w:r>
      <w:r w:rsidRPr="00D9348B">
        <w:rPr>
          <w:rFonts w:cs="Calibri"/>
          <w:lang w:eastAsia="en-GB"/>
        </w:rPr>
        <w:t xml:space="preserve">the IPCC 2006 ranges. </w:t>
      </w:r>
    </w:p>
    <w:p w14:paraId="71B22816" w14:textId="77777777" w:rsidR="00E20138" w:rsidRPr="00D9348B" w:rsidRDefault="00E20138" w:rsidP="00E20138">
      <w:pPr>
        <w:pStyle w:val="BodyText"/>
        <w:rPr>
          <w:rFonts w:cs="Calibri"/>
          <w:lang w:eastAsia="en-GB"/>
        </w:rPr>
      </w:pPr>
      <w:r w:rsidRPr="00D9348B">
        <w:rPr>
          <w:rFonts w:cs="Calibri"/>
          <w:lang w:eastAsia="en-GB"/>
        </w:rPr>
        <w:t>With the exception of gaseous fuels (as discussed in section 3.3.1), each fuel type falls within the IPCC default range.</w:t>
      </w:r>
    </w:p>
    <w:p w14:paraId="5AB8CD26" w14:textId="77777777" w:rsidR="00E20138" w:rsidRPr="00D9348B" w:rsidRDefault="00E20138" w:rsidP="006167DD">
      <w:pPr>
        <w:pStyle w:val="Figure"/>
        <w:spacing w:after="0"/>
        <w:rPr>
          <w:rFonts w:cs="Calibri"/>
        </w:rPr>
      </w:pPr>
      <w:bookmarkStart w:id="350" w:name="_Ref442369949"/>
      <w:bookmarkStart w:id="351" w:name="_Toc321399325"/>
      <w:bookmarkStart w:id="352" w:name="_Toc384582853"/>
      <w:bookmarkStart w:id="353" w:name="_Toc443060813"/>
      <w:bookmarkStart w:id="354" w:name="_Toc447275670"/>
      <w:bookmarkStart w:id="355" w:name="_Toc481751988"/>
      <w:bookmarkStart w:id="356" w:name="_Toc36292772"/>
      <w:r w:rsidRPr="00D9348B">
        <w:rPr>
          <w:rFonts w:cs="Calibri"/>
        </w:rPr>
        <w:t>Figure 3.3.</w:t>
      </w:r>
      <w:r w:rsidRPr="00D9348B">
        <w:rPr>
          <w:rFonts w:cs="Calibri"/>
        </w:rPr>
        <w:fldChar w:fldCharType="begin"/>
      </w:r>
      <w:r w:rsidRPr="00D9348B">
        <w:rPr>
          <w:rFonts w:cs="Calibri"/>
        </w:rPr>
        <w:instrText xml:space="preserve"> SEQ Figure \* ARABIC \s 2 </w:instrText>
      </w:r>
      <w:r w:rsidRPr="00D9348B">
        <w:rPr>
          <w:rFonts w:cs="Calibri"/>
        </w:rPr>
        <w:fldChar w:fldCharType="separate"/>
      </w:r>
      <w:r w:rsidRPr="00D9348B">
        <w:rPr>
          <w:rFonts w:cs="Calibri"/>
        </w:rPr>
        <w:t>3</w:t>
      </w:r>
      <w:r w:rsidRPr="00D9348B">
        <w:rPr>
          <w:rFonts w:cs="Calibri"/>
        </w:rPr>
        <w:fldChar w:fldCharType="end"/>
      </w:r>
      <w:bookmarkEnd w:id="350"/>
      <w:r w:rsidRPr="00D9348B">
        <w:rPr>
          <w:rFonts w:cs="Calibri"/>
        </w:rPr>
        <w:t xml:space="preserve"> </w:t>
      </w:r>
      <w:r w:rsidRPr="00D9348B">
        <w:rPr>
          <w:rFonts w:cs="Calibri"/>
        </w:rPr>
        <w:tab/>
        <w:t>Carbon dioxide implied emission factor (IEF) – Liquid fuel combustion</w:t>
      </w:r>
      <w:bookmarkEnd w:id="351"/>
      <w:bookmarkEnd w:id="352"/>
      <w:bookmarkEnd w:id="353"/>
      <w:bookmarkEnd w:id="354"/>
      <w:bookmarkEnd w:id="355"/>
      <w:r w:rsidRPr="00D9348B">
        <w:rPr>
          <w:rFonts w:cs="Calibri"/>
        </w:rPr>
        <w:t xml:space="preserve"> (1990–2018)</w:t>
      </w:r>
      <w:bookmarkEnd w:id="356"/>
    </w:p>
    <w:p w14:paraId="7EA32010" w14:textId="70080562" w:rsidR="00E20138" w:rsidRPr="00D9348B" w:rsidRDefault="007165CF" w:rsidP="008053BA">
      <w:pPr>
        <w:pStyle w:val="BodyText"/>
        <w:spacing w:after="0"/>
        <w:rPr>
          <w:rFonts w:cs="Calibri"/>
        </w:rPr>
      </w:pPr>
      <w:r>
        <w:rPr>
          <w:rFonts w:cs="Calibri"/>
        </w:rPr>
        <w:pict w14:anchorId="58F2D9FD">
          <v:shape id="_x0000_i1052" type="#_x0000_t75" style="width:397.55pt;height:189.7pt;visibility:visible;mso-wrap-style:square">
            <v:imagedata r:id="rId67" o:title="fig_3_3_3_liquid_fuels" cropbottom="2484f"/>
          </v:shape>
        </w:pict>
      </w:r>
    </w:p>
    <w:p w14:paraId="53121047" w14:textId="77777777" w:rsidR="00E20138" w:rsidRPr="00D9348B" w:rsidRDefault="00E20138" w:rsidP="00E20138">
      <w:pPr>
        <w:pStyle w:val="BodyText"/>
        <w:spacing w:before="0" w:after="0"/>
        <w:rPr>
          <w:rFonts w:cs="Calibri"/>
        </w:rPr>
      </w:pPr>
    </w:p>
    <w:p w14:paraId="77076767" w14:textId="77777777" w:rsidR="00E20138" w:rsidRPr="00D9348B" w:rsidRDefault="00E20138" w:rsidP="008053BA">
      <w:pPr>
        <w:pStyle w:val="Figure"/>
        <w:spacing w:after="0"/>
        <w:rPr>
          <w:rFonts w:cs="Calibri"/>
        </w:rPr>
      </w:pPr>
      <w:bookmarkStart w:id="357" w:name="_Ref442369961"/>
      <w:bookmarkStart w:id="358" w:name="_Toc321399326"/>
      <w:bookmarkStart w:id="359" w:name="_Toc384582854"/>
      <w:bookmarkStart w:id="360" w:name="_Toc443060814"/>
      <w:bookmarkStart w:id="361" w:name="_Toc447275671"/>
      <w:bookmarkStart w:id="362" w:name="_Toc481751989"/>
      <w:bookmarkStart w:id="363" w:name="_Toc36292773"/>
      <w:r w:rsidRPr="00D9348B">
        <w:rPr>
          <w:rFonts w:cs="Calibri"/>
        </w:rPr>
        <w:t>Figure 3.3.</w:t>
      </w:r>
      <w:r w:rsidRPr="00D9348B">
        <w:rPr>
          <w:rFonts w:cs="Calibri"/>
        </w:rPr>
        <w:fldChar w:fldCharType="begin"/>
      </w:r>
      <w:r w:rsidRPr="00D9348B">
        <w:rPr>
          <w:rFonts w:cs="Calibri"/>
        </w:rPr>
        <w:instrText xml:space="preserve"> SEQ Figure \* ARABIC \s 2 </w:instrText>
      </w:r>
      <w:r w:rsidRPr="00D9348B">
        <w:rPr>
          <w:rFonts w:cs="Calibri"/>
        </w:rPr>
        <w:fldChar w:fldCharType="separate"/>
      </w:r>
      <w:r w:rsidRPr="00D9348B">
        <w:rPr>
          <w:rFonts w:cs="Calibri"/>
        </w:rPr>
        <w:t>4</w:t>
      </w:r>
      <w:r w:rsidRPr="00D9348B">
        <w:rPr>
          <w:rFonts w:cs="Calibri"/>
        </w:rPr>
        <w:fldChar w:fldCharType="end"/>
      </w:r>
      <w:bookmarkEnd w:id="357"/>
      <w:r w:rsidRPr="00D9348B">
        <w:rPr>
          <w:rFonts w:cs="Calibri"/>
        </w:rPr>
        <w:t xml:space="preserve"> </w:t>
      </w:r>
      <w:r w:rsidRPr="00D9348B">
        <w:rPr>
          <w:rFonts w:cs="Calibri"/>
        </w:rPr>
        <w:tab/>
        <w:t>Carbon dioxide implied emission factor (IEF) – Solid fuel combustion</w:t>
      </w:r>
      <w:bookmarkEnd w:id="358"/>
      <w:bookmarkEnd w:id="359"/>
      <w:bookmarkEnd w:id="360"/>
      <w:bookmarkEnd w:id="361"/>
      <w:bookmarkEnd w:id="362"/>
      <w:r w:rsidRPr="00D9348B">
        <w:rPr>
          <w:rFonts w:cs="Calibri"/>
        </w:rPr>
        <w:t xml:space="preserve"> (1990–2018)</w:t>
      </w:r>
      <w:bookmarkEnd w:id="363"/>
    </w:p>
    <w:p w14:paraId="7216E508" w14:textId="2906C07D" w:rsidR="00E20138" w:rsidRPr="00D9348B" w:rsidRDefault="007165CF" w:rsidP="008053BA">
      <w:pPr>
        <w:pStyle w:val="BodyText"/>
        <w:spacing w:after="0"/>
        <w:rPr>
          <w:rFonts w:cs="Calibri"/>
          <w:lang w:eastAsia="en-GB"/>
        </w:rPr>
      </w:pPr>
      <w:r>
        <w:rPr>
          <w:rFonts w:cs="Calibri"/>
        </w:rPr>
        <w:pict w14:anchorId="3EBC695F">
          <v:shape id="_x0000_i1053" type="#_x0000_t75" style="width:397.55pt;height:192.2pt;visibility:visible;mso-wrap-style:square">
            <v:imagedata r:id="rId68" o:title="fig_3_3_4_solid_fuels" cropbottom="2070f"/>
          </v:shape>
        </w:pict>
      </w:r>
    </w:p>
    <w:p w14:paraId="735D659B" w14:textId="77777777" w:rsidR="00E20138" w:rsidRPr="00D9348B" w:rsidRDefault="00E20138" w:rsidP="00E20138">
      <w:pPr>
        <w:pStyle w:val="Figure"/>
        <w:spacing w:after="60"/>
        <w:rPr>
          <w:rFonts w:cs="Calibri"/>
          <w:lang w:eastAsia="en-GB"/>
        </w:rPr>
      </w:pPr>
      <w:bookmarkStart w:id="364" w:name="_Ref442369964"/>
      <w:bookmarkStart w:id="365" w:name="_Toc321399327"/>
      <w:bookmarkStart w:id="366" w:name="_Toc384582855"/>
      <w:bookmarkStart w:id="367" w:name="_Toc443060815"/>
      <w:bookmarkStart w:id="368" w:name="_Toc447275672"/>
      <w:bookmarkStart w:id="369" w:name="_Toc481751990"/>
      <w:bookmarkStart w:id="370" w:name="_Toc36292774"/>
      <w:r w:rsidRPr="00D9348B">
        <w:rPr>
          <w:rFonts w:cs="Calibri"/>
        </w:rPr>
        <w:lastRenderedPageBreak/>
        <w:t>Figure 3.3.</w:t>
      </w:r>
      <w:r w:rsidRPr="00D9348B">
        <w:rPr>
          <w:rFonts w:cs="Calibri"/>
        </w:rPr>
        <w:fldChar w:fldCharType="begin"/>
      </w:r>
      <w:r w:rsidRPr="00D9348B">
        <w:rPr>
          <w:rFonts w:cs="Calibri"/>
        </w:rPr>
        <w:instrText xml:space="preserve"> SEQ Figure \* ARABIC \s 2 </w:instrText>
      </w:r>
      <w:r w:rsidRPr="00D9348B">
        <w:rPr>
          <w:rFonts w:cs="Calibri"/>
        </w:rPr>
        <w:fldChar w:fldCharType="separate"/>
      </w:r>
      <w:r w:rsidRPr="00D9348B">
        <w:rPr>
          <w:rFonts w:cs="Calibri"/>
        </w:rPr>
        <w:t>5</w:t>
      </w:r>
      <w:r w:rsidRPr="00D9348B">
        <w:rPr>
          <w:rFonts w:cs="Calibri"/>
        </w:rPr>
        <w:fldChar w:fldCharType="end"/>
      </w:r>
      <w:bookmarkEnd w:id="364"/>
      <w:r w:rsidRPr="00D9348B">
        <w:rPr>
          <w:rFonts w:cs="Calibri"/>
          <w:lang w:eastAsia="en-GB"/>
        </w:rPr>
        <w:tab/>
        <w:t xml:space="preserve">Carbon dioxide implied emission factor </w:t>
      </w:r>
      <w:r w:rsidRPr="00D9348B">
        <w:rPr>
          <w:rFonts w:cs="Calibri"/>
        </w:rPr>
        <w:t>(IEF)</w:t>
      </w:r>
      <w:r w:rsidRPr="00D9348B">
        <w:rPr>
          <w:rFonts w:cs="Calibri"/>
          <w:lang w:eastAsia="en-GB"/>
        </w:rPr>
        <w:t xml:space="preserve"> – Gaseous fuel combustion</w:t>
      </w:r>
      <w:bookmarkEnd w:id="365"/>
      <w:bookmarkEnd w:id="366"/>
      <w:bookmarkEnd w:id="367"/>
      <w:bookmarkEnd w:id="368"/>
      <w:bookmarkEnd w:id="369"/>
      <w:r w:rsidRPr="00D9348B">
        <w:rPr>
          <w:rFonts w:cs="Calibri"/>
          <w:lang w:eastAsia="en-GB"/>
        </w:rPr>
        <w:t xml:space="preserve"> </w:t>
      </w:r>
      <w:r w:rsidRPr="00D9348B">
        <w:rPr>
          <w:rFonts w:cs="Calibri"/>
        </w:rPr>
        <w:t>(1990–2018)</w:t>
      </w:r>
      <w:bookmarkEnd w:id="370"/>
    </w:p>
    <w:p w14:paraId="610FD555" w14:textId="16D45445" w:rsidR="00E20138" w:rsidRPr="00D9348B" w:rsidRDefault="007165CF" w:rsidP="008053BA">
      <w:pPr>
        <w:pStyle w:val="BodyText"/>
        <w:spacing w:before="60" w:after="0"/>
        <w:rPr>
          <w:rFonts w:cs="Calibri"/>
          <w:lang w:eastAsia="en-GB"/>
        </w:rPr>
      </w:pPr>
      <w:r>
        <w:rPr>
          <w:rFonts w:cs="Calibri"/>
        </w:rPr>
        <w:pict w14:anchorId="6F809EE0">
          <v:shape id="_x0000_i1054" type="#_x0000_t75" style="width:397.55pt;height:189.7pt;visibility:visible;mso-wrap-style:square">
            <v:imagedata r:id="rId69" o:title="fig_3_3_5_gaseous_fuels" cropbottom="2484f"/>
          </v:shape>
        </w:pict>
      </w:r>
    </w:p>
    <w:p w14:paraId="3777F89E" w14:textId="77777777" w:rsidR="00E20138" w:rsidRPr="00D9348B" w:rsidRDefault="00E20138" w:rsidP="00E20138">
      <w:pPr>
        <w:pStyle w:val="Noteundertable"/>
        <w:rPr>
          <w:rFonts w:cs="Calibri"/>
        </w:rPr>
      </w:pPr>
      <w:r w:rsidRPr="00D9348B">
        <w:rPr>
          <w:rFonts w:cs="Calibri"/>
          <w:b/>
        </w:rPr>
        <w:t>Note:</w:t>
      </w:r>
      <w:r w:rsidRPr="00D9348B">
        <w:rPr>
          <w:rFonts w:cs="Calibri"/>
        </w:rPr>
        <w:t xml:space="preserve"> </w:t>
      </w:r>
      <w:r w:rsidRPr="00D9348B">
        <w:rPr>
          <w:rFonts w:cs="Calibri"/>
        </w:rPr>
        <w:tab/>
        <w:t>As discussed in section 3.3.1 under ‘Emission factors’, carbon dioxide emission factors for New Zealand natural gas fields are established through gas composition analysis and are known to be high by international standards.</w:t>
      </w:r>
    </w:p>
    <w:p w14:paraId="10899DF8" w14:textId="77777777" w:rsidR="00E20138" w:rsidRPr="00D9348B" w:rsidRDefault="00E20138" w:rsidP="00E20138">
      <w:pPr>
        <w:pStyle w:val="Heading3"/>
        <w:rPr>
          <w:rFonts w:cs="Calibri"/>
        </w:rPr>
      </w:pPr>
      <w:r w:rsidRPr="00D9348B">
        <w:rPr>
          <w:rFonts w:cs="Calibri"/>
        </w:rPr>
        <w:t>3.3.5</w:t>
      </w:r>
      <w:r w:rsidRPr="00D9348B">
        <w:rPr>
          <w:rFonts w:cs="Calibri"/>
        </w:rPr>
        <w:tab/>
        <w:t>Uncertainties and time-series consistency</w:t>
      </w:r>
    </w:p>
    <w:p w14:paraId="0A7DDB09" w14:textId="77777777" w:rsidR="00E20138" w:rsidRPr="00D9348B" w:rsidRDefault="00E20138" w:rsidP="00E20138">
      <w:pPr>
        <w:pStyle w:val="BodyText"/>
        <w:rPr>
          <w:rFonts w:cs="Calibri"/>
          <w:lang w:eastAsia="en-GB"/>
        </w:rPr>
      </w:pPr>
      <w:r w:rsidRPr="00D9348B">
        <w:rPr>
          <w:rFonts w:cs="Calibri"/>
          <w:lang w:eastAsia="en-GB"/>
        </w:rPr>
        <w:t>Uncertainty in greenhouse gas emissions from fuel combustion varies, depending on the type of greenhouse gas. The uncertainty in CO</w:t>
      </w:r>
      <w:r w:rsidRPr="00D9348B">
        <w:rPr>
          <w:rFonts w:cs="Calibri"/>
          <w:vertAlign w:val="subscript"/>
          <w:lang w:eastAsia="en-GB"/>
        </w:rPr>
        <w:t>2</w:t>
      </w:r>
      <w:r w:rsidRPr="00D9348B">
        <w:rPr>
          <w:rFonts w:cs="Calibri"/>
          <w:sz w:val="14"/>
          <w:szCs w:val="14"/>
          <w:lang w:eastAsia="en-GB"/>
        </w:rPr>
        <w:t xml:space="preserve"> </w:t>
      </w:r>
      <w:r w:rsidRPr="00D9348B">
        <w:rPr>
          <w:rFonts w:cs="Calibri"/>
          <w:lang w:eastAsia="en-GB"/>
        </w:rPr>
        <w:t>emissions is relatively low. This is important because CO</w:t>
      </w:r>
      <w:r w:rsidRPr="00D9348B">
        <w:rPr>
          <w:rFonts w:cs="Calibri"/>
          <w:vertAlign w:val="subscript"/>
          <w:lang w:eastAsia="en-GB"/>
        </w:rPr>
        <w:t>2</w:t>
      </w:r>
      <w:r w:rsidRPr="00D9348B">
        <w:rPr>
          <w:rFonts w:cs="Calibri"/>
          <w:lang w:eastAsia="en-GB"/>
        </w:rPr>
        <w:t xml:space="preserve"> emissions comprise around 96–97 per cent of </w:t>
      </w:r>
      <w:r w:rsidRPr="00D9348B">
        <w:rPr>
          <w:rFonts w:cs="Calibri"/>
        </w:rPr>
        <w:t>CO</w:t>
      </w:r>
      <w:r w:rsidRPr="00D9348B">
        <w:rPr>
          <w:rFonts w:cs="Calibri"/>
          <w:vertAlign w:val="subscript"/>
        </w:rPr>
        <w:t>2</w:t>
      </w:r>
      <w:r w:rsidRPr="00D9348B">
        <w:rPr>
          <w:rFonts w:cs="Calibri"/>
        </w:rPr>
        <w:t>-e</w:t>
      </w:r>
      <w:r w:rsidRPr="00D9348B">
        <w:rPr>
          <w:rFonts w:cs="Calibri"/>
          <w:lang w:eastAsia="en-GB"/>
        </w:rPr>
        <w:t xml:space="preserve"> emissions from fuel combustion in New Zealand. By comparison, emissions of the non-</w:t>
      </w:r>
      <w:r w:rsidRPr="00D9348B">
        <w:rPr>
          <w:rFonts w:cs="Calibri"/>
        </w:rPr>
        <w:t>CO</w:t>
      </w:r>
      <w:r w:rsidRPr="00D9348B">
        <w:rPr>
          <w:rFonts w:cs="Calibri"/>
          <w:vertAlign w:val="subscript"/>
        </w:rPr>
        <w:t>2</w:t>
      </w:r>
      <w:r w:rsidRPr="00D9348B">
        <w:rPr>
          <w:rFonts w:cs="Calibri"/>
          <w:sz w:val="14"/>
          <w:szCs w:val="14"/>
          <w:lang w:eastAsia="en-GB"/>
        </w:rPr>
        <w:t xml:space="preserve"> </w:t>
      </w:r>
      <w:r w:rsidRPr="00D9348B">
        <w:rPr>
          <w:rFonts w:cs="Calibri"/>
          <w:lang w:eastAsia="en-GB"/>
        </w:rPr>
        <w:t xml:space="preserve">gases are much less certain because emissions vary with combustion conditions. Uncertainties for </w:t>
      </w:r>
      <w:r w:rsidRPr="00D9348B">
        <w:rPr>
          <w:rFonts w:cs="Calibri"/>
        </w:rPr>
        <w:t>CO</w:t>
      </w:r>
      <w:r w:rsidRPr="00D9348B">
        <w:rPr>
          <w:rFonts w:cs="Calibri"/>
          <w:vertAlign w:val="subscript"/>
        </w:rPr>
        <w:t>2</w:t>
      </w:r>
      <w:r w:rsidRPr="00D9348B">
        <w:rPr>
          <w:rFonts w:cs="Calibri"/>
          <w:lang w:eastAsia="en-GB"/>
        </w:rPr>
        <w:t xml:space="preserve">, </w:t>
      </w:r>
      <w:r w:rsidRPr="00D9348B">
        <w:rPr>
          <w:rFonts w:cs="Calibri"/>
        </w:rPr>
        <w:t>CH</w:t>
      </w:r>
      <w:r w:rsidRPr="00D9348B">
        <w:rPr>
          <w:rFonts w:cs="Calibri"/>
          <w:vertAlign w:val="subscript"/>
        </w:rPr>
        <w:t>4</w:t>
      </w:r>
      <w:r w:rsidRPr="00D9348B">
        <w:rPr>
          <w:rFonts w:cs="Calibri"/>
          <w:lang w:eastAsia="en-GB"/>
        </w:rPr>
        <w:t xml:space="preserve"> and </w:t>
      </w:r>
      <w:r w:rsidRPr="00D9348B">
        <w:rPr>
          <w:rFonts w:cs="Calibri"/>
        </w:rPr>
        <w:t>N</w:t>
      </w:r>
      <w:r w:rsidRPr="00D9348B">
        <w:rPr>
          <w:rFonts w:cs="Calibri"/>
          <w:vertAlign w:val="subscript"/>
        </w:rPr>
        <w:t>2</w:t>
      </w:r>
      <w:r w:rsidRPr="00D9348B">
        <w:rPr>
          <w:rFonts w:cs="Calibri"/>
        </w:rPr>
        <w:t>O</w:t>
      </w:r>
      <w:r w:rsidRPr="00D9348B">
        <w:rPr>
          <w:rFonts w:cs="Calibri"/>
          <w:lang w:eastAsia="en-GB"/>
        </w:rPr>
        <w:t xml:space="preserve"> activity data and emission factors are supplied in table 3.3.1. Many of the non-</w:t>
      </w:r>
      <w:r w:rsidRPr="00D9348B">
        <w:rPr>
          <w:rFonts w:cs="Calibri"/>
        </w:rPr>
        <w:t>CO</w:t>
      </w:r>
      <w:r w:rsidRPr="00D9348B">
        <w:rPr>
          <w:rFonts w:cs="Calibri"/>
          <w:vertAlign w:val="subscript"/>
        </w:rPr>
        <w:t>2</w:t>
      </w:r>
      <w:r w:rsidRPr="00D9348B">
        <w:rPr>
          <w:rFonts w:cs="Calibri"/>
          <w:sz w:val="14"/>
          <w:szCs w:val="14"/>
          <w:lang w:eastAsia="en-GB"/>
        </w:rPr>
        <w:t xml:space="preserve"> </w:t>
      </w:r>
      <w:r w:rsidRPr="00D9348B">
        <w:rPr>
          <w:rFonts w:cs="Calibri"/>
          <w:lang w:eastAsia="en-GB"/>
        </w:rPr>
        <w:t>emission factors used by New Zealand are the IPCC default values. Further detailed information around uncertainties for each fuel type can be found in annex 4, sections A4.1, A4.2 and A4.3.</w:t>
      </w:r>
    </w:p>
    <w:p w14:paraId="194894A1" w14:textId="77777777" w:rsidR="00E20138" w:rsidRPr="00D9348B" w:rsidRDefault="00E20138" w:rsidP="00E20138">
      <w:pPr>
        <w:pStyle w:val="Table"/>
        <w:rPr>
          <w:rFonts w:cs="Calibri"/>
        </w:rPr>
      </w:pPr>
      <w:bookmarkStart w:id="371" w:name="_Toc384582169"/>
      <w:bookmarkStart w:id="372" w:name="_Toc443060845"/>
      <w:bookmarkStart w:id="373" w:name="_Toc451176061"/>
      <w:bookmarkStart w:id="374" w:name="_Toc481751487"/>
      <w:bookmarkStart w:id="375" w:name="_Toc507496590"/>
      <w:bookmarkStart w:id="376" w:name="_Toc36224524"/>
      <w:r w:rsidRPr="00D9348B">
        <w:rPr>
          <w:rFonts w:cs="Calibri"/>
        </w:rPr>
        <w:t>Table 3.3.1</w:t>
      </w:r>
      <w:r w:rsidRPr="00D9348B">
        <w:rPr>
          <w:rFonts w:cs="Calibri"/>
        </w:rPr>
        <w:tab/>
        <w:t>Uncertainty for New Zealand’s Energy sector emission estimates</w:t>
      </w:r>
      <w:bookmarkEnd w:id="371"/>
      <w:bookmarkEnd w:id="372"/>
      <w:bookmarkEnd w:id="373"/>
      <w:bookmarkEnd w:id="374"/>
      <w:bookmarkEnd w:id="375"/>
      <w:bookmarkEnd w:id="376"/>
    </w:p>
    <w:tbl>
      <w:tblPr>
        <w:tblW w:w="8505" w:type="dxa"/>
        <w:tblInd w:w="113" w:type="dxa"/>
        <w:tblBorders>
          <w:top w:val="single" w:sz="4" w:space="0" w:color="1F497D"/>
          <w:bottom w:val="single" w:sz="4" w:space="0" w:color="1F497D"/>
          <w:insideH w:val="single" w:sz="4" w:space="0" w:color="1F497D"/>
          <w:insideV w:val="single" w:sz="4" w:space="0" w:color="1F497D"/>
        </w:tblBorders>
        <w:tblLook w:val="0420" w:firstRow="1" w:lastRow="0" w:firstColumn="0" w:lastColumn="0" w:noHBand="0" w:noVBand="1"/>
      </w:tblPr>
      <w:tblGrid>
        <w:gridCol w:w="544"/>
        <w:gridCol w:w="4584"/>
        <w:gridCol w:w="1657"/>
        <w:gridCol w:w="1720"/>
      </w:tblGrid>
      <w:tr w:rsidR="00E20138" w:rsidRPr="00D9348B" w14:paraId="14D394B8" w14:textId="77777777" w:rsidTr="008936D4">
        <w:trPr>
          <w:tblHeader/>
        </w:trPr>
        <w:tc>
          <w:tcPr>
            <w:tcW w:w="320" w:type="pct"/>
            <w:tcBorders>
              <w:right w:val="single" w:sz="4" w:space="0" w:color="365F91"/>
            </w:tcBorders>
            <w:shd w:val="clear" w:color="auto" w:fill="365F91"/>
            <w:noWrap/>
            <w:vAlign w:val="bottom"/>
            <w:hideMark/>
          </w:tcPr>
          <w:p w14:paraId="107AAC59" w14:textId="77777777" w:rsidR="00E20138" w:rsidRPr="00D9348B" w:rsidRDefault="00E20138" w:rsidP="00DB330E">
            <w:pPr>
              <w:pStyle w:val="TableTextBold"/>
              <w:rPr>
                <w:rFonts w:cs="Calibri"/>
                <w:noProof w:val="0"/>
                <w:color w:val="FFFFFF"/>
              </w:rPr>
            </w:pPr>
          </w:p>
        </w:tc>
        <w:tc>
          <w:tcPr>
            <w:tcW w:w="2695" w:type="pct"/>
            <w:tcBorders>
              <w:top w:val="single" w:sz="4" w:space="0" w:color="365F91"/>
              <w:left w:val="single" w:sz="4" w:space="0" w:color="365F91"/>
              <w:bottom w:val="single" w:sz="4" w:space="0" w:color="365F91"/>
              <w:right w:val="single" w:sz="4" w:space="0" w:color="365F91"/>
            </w:tcBorders>
            <w:shd w:val="clear" w:color="auto" w:fill="365F91"/>
            <w:noWrap/>
            <w:vAlign w:val="bottom"/>
            <w:hideMark/>
          </w:tcPr>
          <w:p w14:paraId="4D328D3A" w14:textId="77777777" w:rsidR="00E20138" w:rsidRPr="00D9348B" w:rsidRDefault="00E20138" w:rsidP="00DB330E">
            <w:pPr>
              <w:pStyle w:val="TableTextBold"/>
              <w:rPr>
                <w:rFonts w:cs="Calibri"/>
                <w:noProof w:val="0"/>
                <w:color w:val="FFFFFF"/>
              </w:rPr>
            </w:pPr>
            <w:r w:rsidRPr="00D9348B">
              <w:rPr>
                <w:rFonts w:cs="Calibri"/>
                <w:noProof w:val="0"/>
                <w:color w:val="FFFFFF"/>
              </w:rPr>
              <w:t xml:space="preserve">Category </w:t>
            </w:r>
          </w:p>
        </w:tc>
        <w:tc>
          <w:tcPr>
            <w:tcW w:w="974" w:type="pct"/>
            <w:tcBorders>
              <w:top w:val="single" w:sz="4" w:space="0" w:color="365F91"/>
              <w:left w:val="single" w:sz="4" w:space="0" w:color="365F91"/>
              <w:bottom w:val="single" w:sz="4" w:space="0" w:color="365F91"/>
              <w:right w:val="single" w:sz="4" w:space="0" w:color="365F91"/>
            </w:tcBorders>
            <w:shd w:val="clear" w:color="auto" w:fill="365F91"/>
            <w:vAlign w:val="bottom"/>
            <w:hideMark/>
          </w:tcPr>
          <w:p w14:paraId="2760BB12" w14:textId="77777777" w:rsidR="00E20138" w:rsidRPr="00D9348B" w:rsidRDefault="00E20138" w:rsidP="00DB330E">
            <w:pPr>
              <w:pStyle w:val="TableTextBold"/>
              <w:jc w:val="center"/>
              <w:rPr>
                <w:rFonts w:cs="Calibri"/>
                <w:noProof w:val="0"/>
                <w:color w:val="FFFFFF"/>
              </w:rPr>
            </w:pPr>
            <w:r w:rsidRPr="00D9348B">
              <w:rPr>
                <w:rFonts w:cs="Calibri"/>
                <w:noProof w:val="0"/>
                <w:color w:val="FFFFFF"/>
              </w:rPr>
              <w:t>Activity data uncertainty (%)</w:t>
            </w:r>
          </w:p>
        </w:tc>
        <w:tc>
          <w:tcPr>
            <w:tcW w:w="1011" w:type="pct"/>
            <w:tcBorders>
              <w:left w:val="single" w:sz="4" w:space="0" w:color="365F91"/>
            </w:tcBorders>
            <w:shd w:val="clear" w:color="auto" w:fill="365F91"/>
            <w:vAlign w:val="bottom"/>
            <w:hideMark/>
          </w:tcPr>
          <w:p w14:paraId="44F56294" w14:textId="77777777" w:rsidR="00E20138" w:rsidRPr="00D9348B" w:rsidRDefault="00E20138" w:rsidP="00DB330E">
            <w:pPr>
              <w:pStyle w:val="TableTextBold"/>
              <w:jc w:val="center"/>
              <w:rPr>
                <w:rFonts w:cs="Calibri"/>
                <w:noProof w:val="0"/>
                <w:color w:val="FFFFFF"/>
              </w:rPr>
            </w:pPr>
            <w:r w:rsidRPr="00D9348B">
              <w:rPr>
                <w:rFonts w:cs="Calibri"/>
                <w:noProof w:val="0"/>
                <w:color w:val="FFFFFF"/>
              </w:rPr>
              <w:t>Emission factor uncertainty (%)</w:t>
            </w:r>
          </w:p>
        </w:tc>
      </w:tr>
      <w:tr w:rsidR="00E20138" w:rsidRPr="00D9348B" w14:paraId="1D9B7198" w14:textId="77777777" w:rsidTr="008936D4">
        <w:tc>
          <w:tcPr>
            <w:tcW w:w="320" w:type="pct"/>
            <w:tcBorders>
              <w:right w:val="single" w:sz="4" w:space="0" w:color="365F91"/>
            </w:tcBorders>
            <w:shd w:val="clear" w:color="auto" w:fill="auto"/>
            <w:noWrap/>
            <w:hideMark/>
          </w:tcPr>
          <w:p w14:paraId="13FD1F3A" w14:textId="77777777" w:rsidR="00E20138" w:rsidRPr="00D9348B" w:rsidRDefault="00E20138" w:rsidP="00DB330E">
            <w:pPr>
              <w:pStyle w:val="TableText"/>
              <w:spacing w:before="50" w:after="50"/>
              <w:rPr>
                <w:rFonts w:cs="Calibri"/>
              </w:rPr>
            </w:pPr>
            <w:r w:rsidRPr="00D9348B">
              <w:rPr>
                <w:rFonts w:cs="Calibri"/>
              </w:rPr>
              <w:t>CO</w:t>
            </w:r>
            <w:r w:rsidRPr="00D9348B">
              <w:rPr>
                <w:rFonts w:cs="Calibri"/>
                <w:vertAlign w:val="subscript"/>
              </w:rPr>
              <w:t>2</w:t>
            </w:r>
          </w:p>
        </w:tc>
        <w:tc>
          <w:tcPr>
            <w:tcW w:w="2695" w:type="pct"/>
            <w:tcBorders>
              <w:top w:val="single" w:sz="4" w:space="0" w:color="365F91"/>
              <w:left w:val="single" w:sz="4" w:space="0" w:color="365F91"/>
              <w:bottom w:val="single" w:sz="4" w:space="0" w:color="365F91"/>
              <w:right w:val="single" w:sz="4" w:space="0" w:color="365F91"/>
            </w:tcBorders>
            <w:shd w:val="clear" w:color="auto" w:fill="auto"/>
            <w:noWrap/>
            <w:hideMark/>
          </w:tcPr>
          <w:p w14:paraId="70A3B960" w14:textId="77777777" w:rsidR="00E20138" w:rsidRPr="00D9348B" w:rsidRDefault="00E20138" w:rsidP="00DB330E">
            <w:pPr>
              <w:pStyle w:val="TableText"/>
              <w:spacing w:before="50" w:after="50"/>
              <w:rPr>
                <w:rFonts w:cs="Calibri"/>
              </w:rPr>
            </w:pPr>
            <w:r w:rsidRPr="00D9348B">
              <w:rPr>
                <w:rFonts w:cs="Calibri"/>
              </w:rPr>
              <w:t>Liquid fuels</w:t>
            </w:r>
          </w:p>
        </w:tc>
        <w:tc>
          <w:tcPr>
            <w:tcW w:w="974" w:type="pct"/>
            <w:tcBorders>
              <w:top w:val="single" w:sz="4" w:space="0" w:color="365F91"/>
              <w:left w:val="single" w:sz="4" w:space="0" w:color="365F91"/>
              <w:bottom w:val="single" w:sz="4" w:space="0" w:color="365F91"/>
              <w:right w:val="single" w:sz="4" w:space="0" w:color="365F91"/>
            </w:tcBorders>
            <w:shd w:val="clear" w:color="auto" w:fill="auto"/>
            <w:noWrap/>
            <w:hideMark/>
          </w:tcPr>
          <w:p w14:paraId="540B98C0" w14:textId="77777777" w:rsidR="00E20138" w:rsidRPr="00D9348B" w:rsidRDefault="00E20138" w:rsidP="00DB330E">
            <w:pPr>
              <w:pStyle w:val="TableText"/>
              <w:spacing w:before="50" w:after="50"/>
              <w:jc w:val="center"/>
              <w:rPr>
                <w:rFonts w:cs="Calibri"/>
              </w:rPr>
            </w:pPr>
            <w:r w:rsidRPr="00D9348B">
              <w:rPr>
                <w:rFonts w:cs="Calibri"/>
              </w:rPr>
              <w:t>2.2</w:t>
            </w:r>
          </w:p>
        </w:tc>
        <w:tc>
          <w:tcPr>
            <w:tcW w:w="1011" w:type="pct"/>
            <w:tcBorders>
              <w:left w:val="single" w:sz="4" w:space="0" w:color="365F91"/>
            </w:tcBorders>
            <w:shd w:val="clear" w:color="auto" w:fill="auto"/>
            <w:noWrap/>
            <w:hideMark/>
          </w:tcPr>
          <w:p w14:paraId="5BEFE7C6" w14:textId="77777777" w:rsidR="00E20138" w:rsidRPr="00D9348B" w:rsidRDefault="00E20138" w:rsidP="00DB330E">
            <w:pPr>
              <w:pStyle w:val="TableText"/>
              <w:spacing w:before="50" w:after="50"/>
              <w:jc w:val="center"/>
              <w:rPr>
                <w:rFonts w:cs="Calibri"/>
              </w:rPr>
            </w:pPr>
            <w:r w:rsidRPr="00D9348B">
              <w:rPr>
                <w:rFonts w:cs="Calibri"/>
              </w:rPr>
              <w:t>±0.5</w:t>
            </w:r>
          </w:p>
        </w:tc>
      </w:tr>
      <w:tr w:rsidR="00E20138" w:rsidRPr="00D9348B" w14:paraId="345EE75B" w14:textId="77777777" w:rsidTr="008936D4">
        <w:tc>
          <w:tcPr>
            <w:tcW w:w="320" w:type="pct"/>
            <w:tcBorders>
              <w:right w:val="single" w:sz="4" w:space="0" w:color="365F91"/>
            </w:tcBorders>
            <w:shd w:val="clear" w:color="auto" w:fill="auto"/>
            <w:noWrap/>
            <w:hideMark/>
          </w:tcPr>
          <w:p w14:paraId="6F61A5D0" w14:textId="77777777" w:rsidR="00E20138" w:rsidRPr="00D9348B" w:rsidRDefault="00E20138" w:rsidP="00DB330E">
            <w:pPr>
              <w:pStyle w:val="TableText"/>
              <w:spacing w:before="50" w:after="50"/>
              <w:rPr>
                <w:rFonts w:cs="Calibri"/>
              </w:rPr>
            </w:pPr>
            <w:r w:rsidRPr="00D9348B">
              <w:rPr>
                <w:rFonts w:cs="Calibri"/>
              </w:rPr>
              <w:t> </w:t>
            </w:r>
          </w:p>
        </w:tc>
        <w:tc>
          <w:tcPr>
            <w:tcW w:w="2695" w:type="pct"/>
            <w:tcBorders>
              <w:top w:val="single" w:sz="4" w:space="0" w:color="365F91"/>
              <w:left w:val="single" w:sz="4" w:space="0" w:color="365F91"/>
              <w:bottom w:val="single" w:sz="4" w:space="0" w:color="365F91"/>
              <w:right w:val="single" w:sz="4" w:space="0" w:color="365F91"/>
            </w:tcBorders>
            <w:shd w:val="clear" w:color="auto" w:fill="auto"/>
            <w:noWrap/>
            <w:hideMark/>
          </w:tcPr>
          <w:p w14:paraId="1023155A" w14:textId="77777777" w:rsidR="00E20138" w:rsidRPr="00D9348B" w:rsidRDefault="00E20138" w:rsidP="00DB330E">
            <w:pPr>
              <w:pStyle w:val="TableText"/>
              <w:spacing w:before="50" w:after="50"/>
              <w:rPr>
                <w:rFonts w:cs="Calibri"/>
              </w:rPr>
            </w:pPr>
            <w:r w:rsidRPr="00D9348B">
              <w:rPr>
                <w:rFonts w:cs="Calibri"/>
              </w:rPr>
              <w:t>Solid fuels</w:t>
            </w:r>
          </w:p>
        </w:tc>
        <w:tc>
          <w:tcPr>
            <w:tcW w:w="974" w:type="pct"/>
            <w:tcBorders>
              <w:top w:val="single" w:sz="4" w:space="0" w:color="365F91"/>
              <w:left w:val="single" w:sz="4" w:space="0" w:color="365F91"/>
              <w:bottom w:val="single" w:sz="4" w:space="0" w:color="365F91"/>
              <w:right w:val="single" w:sz="4" w:space="0" w:color="365F91"/>
            </w:tcBorders>
            <w:shd w:val="clear" w:color="auto" w:fill="auto"/>
            <w:noWrap/>
            <w:hideMark/>
          </w:tcPr>
          <w:p w14:paraId="2CF6C9AE" w14:textId="77777777" w:rsidR="00E20138" w:rsidRPr="00D9348B" w:rsidRDefault="00E20138" w:rsidP="00DB330E">
            <w:pPr>
              <w:pStyle w:val="TableText"/>
              <w:spacing w:before="50" w:after="50"/>
              <w:jc w:val="center"/>
              <w:rPr>
                <w:rFonts w:cs="Calibri"/>
              </w:rPr>
            </w:pPr>
            <w:r w:rsidRPr="00D9348B">
              <w:rPr>
                <w:rFonts w:cs="Calibri"/>
              </w:rPr>
              <w:t>–3.0</w:t>
            </w:r>
          </w:p>
        </w:tc>
        <w:tc>
          <w:tcPr>
            <w:tcW w:w="1011" w:type="pct"/>
            <w:tcBorders>
              <w:left w:val="single" w:sz="4" w:space="0" w:color="365F91"/>
            </w:tcBorders>
            <w:shd w:val="clear" w:color="auto" w:fill="auto"/>
            <w:noWrap/>
            <w:hideMark/>
          </w:tcPr>
          <w:p w14:paraId="12A3E398" w14:textId="77777777" w:rsidR="00E20138" w:rsidRPr="00D9348B" w:rsidRDefault="00E20138" w:rsidP="00DB330E">
            <w:pPr>
              <w:pStyle w:val="TableText"/>
              <w:spacing w:before="50" w:after="50"/>
              <w:jc w:val="center"/>
              <w:rPr>
                <w:rFonts w:cs="Calibri"/>
              </w:rPr>
            </w:pPr>
            <w:r w:rsidRPr="00D9348B">
              <w:rPr>
                <w:rFonts w:cs="Calibri"/>
              </w:rPr>
              <w:t>±2.2</w:t>
            </w:r>
          </w:p>
        </w:tc>
      </w:tr>
      <w:tr w:rsidR="00E20138" w:rsidRPr="00D9348B" w14:paraId="049C5DB5" w14:textId="77777777" w:rsidTr="008936D4">
        <w:tc>
          <w:tcPr>
            <w:tcW w:w="320" w:type="pct"/>
            <w:tcBorders>
              <w:right w:val="single" w:sz="4" w:space="0" w:color="365F91"/>
            </w:tcBorders>
            <w:shd w:val="clear" w:color="auto" w:fill="auto"/>
            <w:noWrap/>
            <w:hideMark/>
          </w:tcPr>
          <w:p w14:paraId="37DE5D2F" w14:textId="77777777" w:rsidR="00E20138" w:rsidRPr="00D9348B" w:rsidRDefault="00E20138" w:rsidP="00DB330E">
            <w:pPr>
              <w:pStyle w:val="TableText"/>
              <w:spacing w:before="50" w:after="50"/>
              <w:rPr>
                <w:rFonts w:cs="Calibri"/>
              </w:rPr>
            </w:pPr>
            <w:r w:rsidRPr="00D9348B">
              <w:rPr>
                <w:rFonts w:cs="Calibri"/>
              </w:rPr>
              <w:t> </w:t>
            </w:r>
          </w:p>
        </w:tc>
        <w:tc>
          <w:tcPr>
            <w:tcW w:w="2695" w:type="pct"/>
            <w:tcBorders>
              <w:top w:val="single" w:sz="4" w:space="0" w:color="365F91"/>
              <w:left w:val="single" w:sz="4" w:space="0" w:color="365F91"/>
              <w:bottom w:val="single" w:sz="4" w:space="0" w:color="365F91"/>
              <w:right w:val="single" w:sz="4" w:space="0" w:color="365F91"/>
            </w:tcBorders>
            <w:shd w:val="clear" w:color="auto" w:fill="auto"/>
            <w:noWrap/>
            <w:hideMark/>
          </w:tcPr>
          <w:p w14:paraId="68A9A6B8" w14:textId="77777777" w:rsidR="00E20138" w:rsidRPr="00D9348B" w:rsidRDefault="00E20138" w:rsidP="00DB330E">
            <w:pPr>
              <w:pStyle w:val="TableText"/>
              <w:spacing w:before="50" w:after="50"/>
              <w:rPr>
                <w:rFonts w:cs="Calibri"/>
              </w:rPr>
            </w:pPr>
            <w:r w:rsidRPr="00D9348B">
              <w:rPr>
                <w:rFonts w:cs="Calibri"/>
              </w:rPr>
              <w:t>Gaseous fuels</w:t>
            </w:r>
          </w:p>
        </w:tc>
        <w:tc>
          <w:tcPr>
            <w:tcW w:w="974" w:type="pct"/>
            <w:tcBorders>
              <w:top w:val="single" w:sz="4" w:space="0" w:color="365F91"/>
              <w:left w:val="single" w:sz="4" w:space="0" w:color="365F91"/>
              <w:bottom w:val="single" w:sz="4" w:space="0" w:color="365F91"/>
              <w:right w:val="single" w:sz="4" w:space="0" w:color="365F91"/>
            </w:tcBorders>
            <w:shd w:val="clear" w:color="auto" w:fill="auto"/>
            <w:noWrap/>
            <w:hideMark/>
          </w:tcPr>
          <w:p w14:paraId="4F6DC818" w14:textId="77777777" w:rsidR="00E20138" w:rsidRPr="00D9348B" w:rsidRDefault="00E20138" w:rsidP="00DB330E">
            <w:pPr>
              <w:pStyle w:val="TableText"/>
              <w:spacing w:before="50" w:after="50"/>
              <w:jc w:val="center"/>
              <w:rPr>
                <w:rFonts w:cs="Calibri"/>
              </w:rPr>
            </w:pPr>
            <w:r w:rsidRPr="00D9348B">
              <w:rPr>
                <w:rFonts w:cs="Calibri"/>
              </w:rPr>
              <w:t>–0.1</w:t>
            </w:r>
          </w:p>
        </w:tc>
        <w:tc>
          <w:tcPr>
            <w:tcW w:w="1011" w:type="pct"/>
            <w:tcBorders>
              <w:left w:val="single" w:sz="4" w:space="0" w:color="365F91"/>
            </w:tcBorders>
            <w:shd w:val="clear" w:color="auto" w:fill="auto"/>
            <w:noWrap/>
            <w:hideMark/>
          </w:tcPr>
          <w:p w14:paraId="41A22619" w14:textId="7E495222" w:rsidR="00E20138" w:rsidRPr="00D9348B" w:rsidRDefault="00E20138" w:rsidP="00DB330E">
            <w:pPr>
              <w:pStyle w:val="TableText"/>
              <w:spacing w:before="50" w:after="50"/>
              <w:jc w:val="center"/>
              <w:rPr>
                <w:rFonts w:cs="Calibri"/>
              </w:rPr>
            </w:pPr>
            <w:r w:rsidRPr="00D9348B">
              <w:rPr>
                <w:rFonts w:cs="Calibri"/>
              </w:rPr>
              <w:t>±2.4</w:t>
            </w:r>
          </w:p>
        </w:tc>
      </w:tr>
      <w:tr w:rsidR="00E20138" w:rsidRPr="00D9348B" w14:paraId="718F3BED" w14:textId="77777777" w:rsidTr="008936D4">
        <w:tc>
          <w:tcPr>
            <w:tcW w:w="320" w:type="pct"/>
            <w:tcBorders>
              <w:right w:val="single" w:sz="4" w:space="0" w:color="365F91"/>
            </w:tcBorders>
            <w:shd w:val="clear" w:color="auto" w:fill="auto"/>
            <w:noWrap/>
            <w:hideMark/>
          </w:tcPr>
          <w:p w14:paraId="7DC3AD4F" w14:textId="77777777" w:rsidR="00E20138" w:rsidRPr="00D9348B" w:rsidRDefault="00E20138" w:rsidP="00DB330E">
            <w:pPr>
              <w:pStyle w:val="TableText"/>
              <w:spacing w:before="50" w:after="50"/>
              <w:rPr>
                <w:rFonts w:cs="Calibri"/>
              </w:rPr>
            </w:pPr>
            <w:r w:rsidRPr="00D9348B">
              <w:rPr>
                <w:rFonts w:cs="Calibri"/>
              </w:rPr>
              <w:t> </w:t>
            </w:r>
          </w:p>
        </w:tc>
        <w:tc>
          <w:tcPr>
            <w:tcW w:w="2695" w:type="pct"/>
            <w:tcBorders>
              <w:top w:val="single" w:sz="4" w:space="0" w:color="365F91"/>
              <w:left w:val="single" w:sz="4" w:space="0" w:color="365F91"/>
              <w:bottom w:val="single" w:sz="4" w:space="0" w:color="365F91"/>
              <w:right w:val="single" w:sz="4" w:space="0" w:color="365F91"/>
            </w:tcBorders>
            <w:shd w:val="clear" w:color="auto" w:fill="auto"/>
            <w:noWrap/>
            <w:hideMark/>
          </w:tcPr>
          <w:p w14:paraId="56DCB79E" w14:textId="77777777" w:rsidR="00E20138" w:rsidRPr="00D9348B" w:rsidRDefault="00E20138" w:rsidP="00DB330E">
            <w:pPr>
              <w:pStyle w:val="TableText"/>
              <w:spacing w:before="50" w:after="50"/>
              <w:rPr>
                <w:rFonts w:cs="Calibri"/>
              </w:rPr>
            </w:pPr>
            <w:r w:rsidRPr="00D9348B">
              <w:rPr>
                <w:rFonts w:cs="Calibri"/>
              </w:rPr>
              <w:t>Fugitive – geothermal</w:t>
            </w:r>
          </w:p>
        </w:tc>
        <w:tc>
          <w:tcPr>
            <w:tcW w:w="974" w:type="pct"/>
            <w:tcBorders>
              <w:top w:val="single" w:sz="4" w:space="0" w:color="365F91"/>
              <w:left w:val="single" w:sz="4" w:space="0" w:color="365F91"/>
              <w:bottom w:val="single" w:sz="4" w:space="0" w:color="365F91"/>
              <w:right w:val="single" w:sz="4" w:space="0" w:color="365F91"/>
            </w:tcBorders>
            <w:shd w:val="clear" w:color="auto" w:fill="auto"/>
            <w:noWrap/>
            <w:hideMark/>
          </w:tcPr>
          <w:p w14:paraId="6C7D156B" w14:textId="77777777" w:rsidR="00E20138" w:rsidRPr="00D9348B" w:rsidRDefault="00E20138" w:rsidP="00DB330E">
            <w:pPr>
              <w:pStyle w:val="TableText"/>
              <w:spacing w:before="50" w:after="50"/>
              <w:jc w:val="center"/>
              <w:rPr>
                <w:rFonts w:cs="Calibri"/>
              </w:rPr>
            </w:pPr>
            <w:r w:rsidRPr="00D9348B">
              <w:rPr>
                <w:rFonts w:cs="Calibri"/>
              </w:rPr>
              <w:t>5.0</w:t>
            </w:r>
          </w:p>
        </w:tc>
        <w:tc>
          <w:tcPr>
            <w:tcW w:w="1011" w:type="pct"/>
            <w:tcBorders>
              <w:left w:val="single" w:sz="4" w:space="0" w:color="365F91"/>
            </w:tcBorders>
            <w:shd w:val="clear" w:color="auto" w:fill="auto"/>
            <w:noWrap/>
            <w:hideMark/>
          </w:tcPr>
          <w:p w14:paraId="15AB8EBA" w14:textId="77777777" w:rsidR="00E20138" w:rsidRPr="00D9348B" w:rsidRDefault="00E20138" w:rsidP="00DB330E">
            <w:pPr>
              <w:pStyle w:val="TableText"/>
              <w:spacing w:before="50" w:after="50"/>
              <w:jc w:val="center"/>
              <w:rPr>
                <w:rFonts w:cs="Calibri"/>
              </w:rPr>
            </w:pPr>
            <w:r w:rsidRPr="00D9348B">
              <w:rPr>
                <w:rFonts w:cs="Calibri"/>
              </w:rPr>
              <w:t>±5.0</w:t>
            </w:r>
          </w:p>
        </w:tc>
      </w:tr>
      <w:tr w:rsidR="00E20138" w:rsidRPr="00D9348B" w14:paraId="5E7441F1" w14:textId="77777777" w:rsidTr="008936D4">
        <w:tc>
          <w:tcPr>
            <w:tcW w:w="320" w:type="pct"/>
            <w:tcBorders>
              <w:right w:val="single" w:sz="4" w:space="0" w:color="365F91"/>
            </w:tcBorders>
            <w:shd w:val="clear" w:color="auto" w:fill="auto"/>
            <w:noWrap/>
            <w:hideMark/>
          </w:tcPr>
          <w:p w14:paraId="1EFAE272" w14:textId="77777777" w:rsidR="00E20138" w:rsidRPr="00D9348B" w:rsidRDefault="00E20138" w:rsidP="00DB330E">
            <w:pPr>
              <w:pStyle w:val="TableText"/>
              <w:spacing w:before="50" w:after="50"/>
              <w:rPr>
                <w:rFonts w:cs="Calibri"/>
              </w:rPr>
            </w:pPr>
            <w:r w:rsidRPr="00D9348B">
              <w:rPr>
                <w:rFonts w:cs="Calibri"/>
              </w:rPr>
              <w:t> </w:t>
            </w:r>
          </w:p>
        </w:tc>
        <w:tc>
          <w:tcPr>
            <w:tcW w:w="2695" w:type="pct"/>
            <w:tcBorders>
              <w:top w:val="single" w:sz="4" w:space="0" w:color="365F91"/>
              <w:left w:val="single" w:sz="4" w:space="0" w:color="365F91"/>
              <w:bottom w:val="single" w:sz="4" w:space="0" w:color="365F91"/>
              <w:right w:val="single" w:sz="4" w:space="0" w:color="365F91"/>
            </w:tcBorders>
            <w:shd w:val="clear" w:color="auto" w:fill="auto"/>
            <w:noWrap/>
            <w:hideMark/>
          </w:tcPr>
          <w:p w14:paraId="19CDDFE5" w14:textId="77777777" w:rsidR="00E20138" w:rsidRPr="00D9348B" w:rsidRDefault="00E20138" w:rsidP="00DB330E">
            <w:pPr>
              <w:pStyle w:val="TableText"/>
              <w:spacing w:before="50" w:after="50"/>
              <w:rPr>
                <w:rFonts w:cs="Calibri"/>
              </w:rPr>
            </w:pPr>
            <w:r w:rsidRPr="00D9348B">
              <w:rPr>
                <w:rFonts w:cs="Calibri"/>
              </w:rPr>
              <w:t>Fugitive – venting/flaring</w:t>
            </w:r>
          </w:p>
        </w:tc>
        <w:tc>
          <w:tcPr>
            <w:tcW w:w="974" w:type="pct"/>
            <w:tcBorders>
              <w:top w:val="single" w:sz="4" w:space="0" w:color="365F91"/>
              <w:left w:val="single" w:sz="4" w:space="0" w:color="365F91"/>
              <w:bottom w:val="single" w:sz="4" w:space="0" w:color="365F91"/>
              <w:right w:val="single" w:sz="4" w:space="0" w:color="365F91"/>
            </w:tcBorders>
            <w:shd w:val="clear" w:color="auto" w:fill="auto"/>
            <w:noWrap/>
            <w:hideMark/>
          </w:tcPr>
          <w:p w14:paraId="0A131BAD" w14:textId="77777777" w:rsidR="00E20138" w:rsidRPr="00D9348B" w:rsidRDefault="00E20138" w:rsidP="00DB330E">
            <w:pPr>
              <w:pStyle w:val="TableText"/>
              <w:spacing w:before="50" w:after="50"/>
              <w:jc w:val="center"/>
              <w:rPr>
                <w:rFonts w:cs="Calibri"/>
              </w:rPr>
            </w:pPr>
            <w:r w:rsidRPr="00D9348B">
              <w:rPr>
                <w:rFonts w:cs="Calibri"/>
              </w:rPr>
              <w:t>–0.1</w:t>
            </w:r>
          </w:p>
        </w:tc>
        <w:tc>
          <w:tcPr>
            <w:tcW w:w="1011" w:type="pct"/>
            <w:tcBorders>
              <w:left w:val="single" w:sz="4" w:space="0" w:color="365F91"/>
            </w:tcBorders>
            <w:shd w:val="clear" w:color="auto" w:fill="auto"/>
            <w:noWrap/>
            <w:hideMark/>
          </w:tcPr>
          <w:p w14:paraId="1A197A44" w14:textId="297DB8F9" w:rsidR="00E20138" w:rsidRPr="00D9348B" w:rsidRDefault="00E20138" w:rsidP="00DB330E">
            <w:pPr>
              <w:pStyle w:val="TableText"/>
              <w:spacing w:before="50" w:after="50"/>
              <w:jc w:val="center"/>
              <w:rPr>
                <w:rFonts w:cs="Calibri"/>
              </w:rPr>
            </w:pPr>
            <w:r w:rsidRPr="00D9348B">
              <w:rPr>
                <w:rFonts w:cs="Calibri"/>
              </w:rPr>
              <w:t>±2.4</w:t>
            </w:r>
          </w:p>
        </w:tc>
      </w:tr>
      <w:tr w:rsidR="00E20138" w:rsidRPr="00D9348B" w14:paraId="0EB6EDE8" w14:textId="77777777" w:rsidTr="008936D4">
        <w:tc>
          <w:tcPr>
            <w:tcW w:w="320" w:type="pct"/>
            <w:tcBorders>
              <w:right w:val="single" w:sz="4" w:space="0" w:color="365F91"/>
            </w:tcBorders>
            <w:shd w:val="clear" w:color="auto" w:fill="auto"/>
            <w:noWrap/>
            <w:hideMark/>
          </w:tcPr>
          <w:p w14:paraId="2D12A015" w14:textId="77777777" w:rsidR="00E20138" w:rsidRPr="00D9348B" w:rsidRDefault="00E20138" w:rsidP="00DB330E">
            <w:pPr>
              <w:pStyle w:val="TableText"/>
              <w:spacing w:before="50" w:after="50"/>
              <w:rPr>
                <w:rFonts w:cs="Calibri"/>
              </w:rPr>
            </w:pPr>
            <w:r w:rsidRPr="00D9348B">
              <w:rPr>
                <w:rFonts w:cs="Calibri"/>
              </w:rPr>
              <w:t> </w:t>
            </w:r>
          </w:p>
        </w:tc>
        <w:tc>
          <w:tcPr>
            <w:tcW w:w="2695" w:type="pct"/>
            <w:tcBorders>
              <w:top w:val="single" w:sz="4" w:space="0" w:color="365F91"/>
              <w:left w:val="single" w:sz="4" w:space="0" w:color="365F91"/>
              <w:bottom w:val="single" w:sz="4" w:space="0" w:color="365F91"/>
              <w:right w:val="single" w:sz="4" w:space="0" w:color="365F91"/>
            </w:tcBorders>
            <w:shd w:val="clear" w:color="auto" w:fill="auto"/>
            <w:noWrap/>
            <w:hideMark/>
          </w:tcPr>
          <w:p w14:paraId="3E93FDD3" w14:textId="77777777" w:rsidR="00E20138" w:rsidRPr="00D9348B" w:rsidRDefault="00E20138" w:rsidP="00DB330E">
            <w:pPr>
              <w:pStyle w:val="TableText"/>
              <w:spacing w:before="50" w:after="50"/>
              <w:rPr>
                <w:rFonts w:cs="Calibri"/>
              </w:rPr>
            </w:pPr>
            <w:r w:rsidRPr="00D9348B">
              <w:rPr>
                <w:rFonts w:cs="Calibri"/>
              </w:rPr>
              <w:t>Fugitive – oil and gas production and transport</w:t>
            </w:r>
          </w:p>
        </w:tc>
        <w:tc>
          <w:tcPr>
            <w:tcW w:w="974" w:type="pct"/>
            <w:tcBorders>
              <w:top w:val="single" w:sz="4" w:space="0" w:color="365F91"/>
              <w:left w:val="single" w:sz="4" w:space="0" w:color="365F91"/>
              <w:bottom w:val="single" w:sz="4" w:space="0" w:color="365F91"/>
              <w:right w:val="single" w:sz="4" w:space="0" w:color="365F91"/>
            </w:tcBorders>
            <w:shd w:val="clear" w:color="auto" w:fill="auto"/>
            <w:noWrap/>
            <w:hideMark/>
          </w:tcPr>
          <w:p w14:paraId="4E7D6A55" w14:textId="77777777" w:rsidR="00E20138" w:rsidRPr="00D9348B" w:rsidRDefault="00E20138" w:rsidP="00DB330E">
            <w:pPr>
              <w:pStyle w:val="TableText"/>
              <w:spacing w:before="50" w:after="50"/>
              <w:jc w:val="center"/>
              <w:rPr>
                <w:rFonts w:cs="Calibri"/>
              </w:rPr>
            </w:pPr>
            <w:r w:rsidRPr="00D9348B">
              <w:rPr>
                <w:rFonts w:cs="Calibri"/>
              </w:rPr>
              <w:t>5.0</w:t>
            </w:r>
          </w:p>
        </w:tc>
        <w:tc>
          <w:tcPr>
            <w:tcW w:w="1011" w:type="pct"/>
            <w:tcBorders>
              <w:left w:val="single" w:sz="4" w:space="0" w:color="365F91"/>
            </w:tcBorders>
            <w:shd w:val="clear" w:color="auto" w:fill="auto"/>
            <w:noWrap/>
            <w:hideMark/>
          </w:tcPr>
          <w:p w14:paraId="3C65212F" w14:textId="77777777" w:rsidR="00E20138" w:rsidRPr="00D9348B" w:rsidRDefault="00E20138" w:rsidP="00DB330E">
            <w:pPr>
              <w:pStyle w:val="TableText"/>
              <w:spacing w:before="50" w:after="50"/>
              <w:jc w:val="center"/>
              <w:rPr>
                <w:rFonts w:cs="Calibri"/>
              </w:rPr>
            </w:pPr>
            <w:r w:rsidRPr="00D9348B">
              <w:rPr>
                <w:rFonts w:cs="Calibri"/>
              </w:rPr>
              <w:t>±100.0</w:t>
            </w:r>
          </w:p>
        </w:tc>
      </w:tr>
      <w:tr w:rsidR="00E20138" w:rsidRPr="00D9348B" w14:paraId="0188C3AC" w14:textId="77777777" w:rsidTr="008936D4">
        <w:tc>
          <w:tcPr>
            <w:tcW w:w="320" w:type="pct"/>
            <w:tcBorders>
              <w:right w:val="single" w:sz="4" w:space="0" w:color="365F91"/>
            </w:tcBorders>
            <w:shd w:val="clear" w:color="auto" w:fill="auto"/>
            <w:noWrap/>
            <w:hideMark/>
          </w:tcPr>
          <w:p w14:paraId="1AD18AFD" w14:textId="77777777" w:rsidR="00E20138" w:rsidRPr="00D9348B" w:rsidRDefault="00E20138" w:rsidP="00DB330E">
            <w:pPr>
              <w:pStyle w:val="TableText"/>
              <w:spacing w:before="50" w:after="50"/>
              <w:rPr>
                <w:rFonts w:cs="Calibri"/>
              </w:rPr>
            </w:pPr>
            <w:r w:rsidRPr="00D9348B">
              <w:rPr>
                <w:rFonts w:cs="Calibri"/>
              </w:rPr>
              <w:t> </w:t>
            </w:r>
          </w:p>
        </w:tc>
        <w:tc>
          <w:tcPr>
            <w:tcW w:w="2695" w:type="pct"/>
            <w:tcBorders>
              <w:top w:val="single" w:sz="4" w:space="0" w:color="365F91"/>
              <w:left w:val="single" w:sz="4" w:space="0" w:color="365F91"/>
              <w:bottom w:val="single" w:sz="4" w:space="0" w:color="365F91"/>
              <w:right w:val="single" w:sz="4" w:space="0" w:color="365F91"/>
            </w:tcBorders>
            <w:shd w:val="clear" w:color="auto" w:fill="auto"/>
            <w:noWrap/>
            <w:hideMark/>
          </w:tcPr>
          <w:p w14:paraId="73CDDE1B" w14:textId="77777777" w:rsidR="00E20138" w:rsidRPr="00D9348B" w:rsidRDefault="00E20138" w:rsidP="00DB330E">
            <w:pPr>
              <w:pStyle w:val="TableText"/>
              <w:spacing w:before="50" w:after="50"/>
              <w:rPr>
                <w:rFonts w:cs="Calibri"/>
              </w:rPr>
            </w:pPr>
            <w:r w:rsidRPr="00D9348B">
              <w:rPr>
                <w:rFonts w:cs="Calibri"/>
              </w:rPr>
              <w:t>Fugitive – transmission and distribution</w:t>
            </w:r>
          </w:p>
        </w:tc>
        <w:tc>
          <w:tcPr>
            <w:tcW w:w="974" w:type="pct"/>
            <w:tcBorders>
              <w:top w:val="single" w:sz="4" w:space="0" w:color="365F91"/>
              <w:left w:val="single" w:sz="4" w:space="0" w:color="365F91"/>
              <w:bottom w:val="single" w:sz="4" w:space="0" w:color="365F91"/>
              <w:right w:val="single" w:sz="4" w:space="0" w:color="365F91"/>
            </w:tcBorders>
            <w:shd w:val="clear" w:color="auto" w:fill="auto"/>
            <w:noWrap/>
            <w:hideMark/>
          </w:tcPr>
          <w:p w14:paraId="3BCE959D" w14:textId="77777777" w:rsidR="00E20138" w:rsidRPr="00D9348B" w:rsidRDefault="00E20138" w:rsidP="00DB330E">
            <w:pPr>
              <w:pStyle w:val="TableText"/>
              <w:spacing w:before="50" w:after="50"/>
              <w:jc w:val="center"/>
              <w:rPr>
                <w:rFonts w:cs="Calibri"/>
              </w:rPr>
            </w:pPr>
            <w:r w:rsidRPr="00D9348B">
              <w:rPr>
                <w:rFonts w:cs="Calibri"/>
              </w:rPr>
              <w:t>–0.1</w:t>
            </w:r>
          </w:p>
        </w:tc>
        <w:tc>
          <w:tcPr>
            <w:tcW w:w="1011" w:type="pct"/>
            <w:tcBorders>
              <w:left w:val="single" w:sz="4" w:space="0" w:color="365F91"/>
            </w:tcBorders>
            <w:shd w:val="clear" w:color="auto" w:fill="auto"/>
            <w:noWrap/>
            <w:hideMark/>
          </w:tcPr>
          <w:p w14:paraId="7F4E7FC6" w14:textId="77777777" w:rsidR="00E20138" w:rsidRPr="00D9348B" w:rsidRDefault="00E20138" w:rsidP="00DB330E">
            <w:pPr>
              <w:pStyle w:val="TableText"/>
              <w:spacing w:before="50" w:after="50"/>
              <w:jc w:val="center"/>
              <w:rPr>
                <w:rFonts w:cs="Calibri"/>
              </w:rPr>
            </w:pPr>
            <w:r w:rsidRPr="00D9348B">
              <w:rPr>
                <w:rFonts w:cs="Calibri"/>
              </w:rPr>
              <w:t>±100.0</w:t>
            </w:r>
          </w:p>
        </w:tc>
      </w:tr>
      <w:tr w:rsidR="00E20138" w:rsidRPr="00D9348B" w14:paraId="4ABC14D8" w14:textId="77777777" w:rsidTr="008936D4">
        <w:tc>
          <w:tcPr>
            <w:tcW w:w="320" w:type="pct"/>
            <w:tcBorders>
              <w:right w:val="single" w:sz="4" w:space="0" w:color="365F91"/>
            </w:tcBorders>
            <w:shd w:val="clear" w:color="auto" w:fill="auto"/>
            <w:noWrap/>
            <w:hideMark/>
          </w:tcPr>
          <w:p w14:paraId="76C750F5" w14:textId="77777777" w:rsidR="00E20138" w:rsidRPr="00D9348B" w:rsidRDefault="00E20138" w:rsidP="00DB330E">
            <w:pPr>
              <w:pStyle w:val="TableText"/>
              <w:spacing w:before="50" w:after="50"/>
              <w:rPr>
                <w:rFonts w:cs="Calibri"/>
              </w:rPr>
            </w:pPr>
            <w:r w:rsidRPr="00D9348B">
              <w:rPr>
                <w:rFonts w:cs="Calibri"/>
              </w:rPr>
              <w:t>CH</w:t>
            </w:r>
            <w:r w:rsidRPr="00D9348B">
              <w:rPr>
                <w:rFonts w:cs="Calibri"/>
                <w:vertAlign w:val="subscript"/>
              </w:rPr>
              <w:t>4</w:t>
            </w:r>
          </w:p>
        </w:tc>
        <w:tc>
          <w:tcPr>
            <w:tcW w:w="2695" w:type="pct"/>
            <w:tcBorders>
              <w:top w:val="single" w:sz="4" w:space="0" w:color="365F91"/>
              <w:left w:val="single" w:sz="4" w:space="0" w:color="365F91"/>
              <w:bottom w:val="single" w:sz="4" w:space="0" w:color="365F91"/>
              <w:right w:val="single" w:sz="4" w:space="0" w:color="365F91"/>
            </w:tcBorders>
            <w:shd w:val="clear" w:color="auto" w:fill="auto"/>
            <w:noWrap/>
            <w:hideMark/>
          </w:tcPr>
          <w:p w14:paraId="5779BF0A" w14:textId="77777777" w:rsidR="00E20138" w:rsidRPr="00D9348B" w:rsidRDefault="00E20138" w:rsidP="00DB330E">
            <w:pPr>
              <w:pStyle w:val="TableText"/>
              <w:spacing w:before="50" w:after="50"/>
              <w:rPr>
                <w:rFonts w:cs="Calibri"/>
              </w:rPr>
            </w:pPr>
            <w:r w:rsidRPr="00D9348B">
              <w:rPr>
                <w:rFonts w:cs="Calibri"/>
              </w:rPr>
              <w:t>Liquid fuels</w:t>
            </w:r>
          </w:p>
        </w:tc>
        <w:tc>
          <w:tcPr>
            <w:tcW w:w="974" w:type="pct"/>
            <w:tcBorders>
              <w:top w:val="single" w:sz="4" w:space="0" w:color="365F91"/>
              <w:left w:val="single" w:sz="4" w:space="0" w:color="365F91"/>
              <w:bottom w:val="single" w:sz="4" w:space="0" w:color="365F91"/>
              <w:right w:val="single" w:sz="4" w:space="0" w:color="365F91"/>
            </w:tcBorders>
            <w:shd w:val="clear" w:color="auto" w:fill="auto"/>
            <w:noWrap/>
            <w:hideMark/>
          </w:tcPr>
          <w:p w14:paraId="74A2C78F" w14:textId="77777777" w:rsidR="00E20138" w:rsidRPr="00D9348B" w:rsidRDefault="00E20138" w:rsidP="00DB330E">
            <w:pPr>
              <w:pStyle w:val="TableText"/>
              <w:spacing w:before="50" w:after="50"/>
              <w:jc w:val="center"/>
              <w:rPr>
                <w:rFonts w:cs="Calibri"/>
              </w:rPr>
            </w:pPr>
            <w:r w:rsidRPr="00D9348B">
              <w:rPr>
                <w:rFonts w:cs="Calibri"/>
              </w:rPr>
              <w:t>2.2</w:t>
            </w:r>
          </w:p>
        </w:tc>
        <w:tc>
          <w:tcPr>
            <w:tcW w:w="1011" w:type="pct"/>
            <w:tcBorders>
              <w:left w:val="single" w:sz="4" w:space="0" w:color="365F91"/>
            </w:tcBorders>
            <w:shd w:val="clear" w:color="auto" w:fill="auto"/>
            <w:noWrap/>
            <w:hideMark/>
          </w:tcPr>
          <w:p w14:paraId="23CEAC7E" w14:textId="77777777" w:rsidR="00E20138" w:rsidRPr="00D9348B" w:rsidRDefault="00E20138" w:rsidP="00DB330E">
            <w:pPr>
              <w:pStyle w:val="TableText"/>
              <w:spacing w:before="50" w:after="50"/>
              <w:jc w:val="center"/>
              <w:rPr>
                <w:rFonts w:cs="Calibri"/>
              </w:rPr>
            </w:pPr>
            <w:r w:rsidRPr="00D9348B">
              <w:rPr>
                <w:rFonts w:cs="Calibri"/>
              </w:rPr>
              <w:t>±50.0</w:t>
            </w:r>
          </w:p>
        </w:tc>
      </w:tr>
      <w:tr w:rsidR="00E20138" w:rsidRPr="00D9348B" w14:paraId="36CF78C4" w14:textId="77777777" w:rsidTr="008936D4">
        <w:tc>
          <w:tcPr>
            <w:tcW w:w="320" w:type="pct"/>
            <w:tcBorders>
              <w:right w:val="single" w:sz="4" w:space="0" w:color="365F91"/>
            </w:tcBorders>
            <w:shd w:val="clear" w:color="auto" w:fill="auto"/>
            <w:noWrap/>
            <w:hideMark/>
          </w:tcPr>
          <w:p w14:paraId="2C788FB7" w14:textId="77777777" w:rsidR="00E20138" w:rsidRPr="00D9348B" w:rsidRDefault="00E20138" w:rsidP="00DB330E">
            <w:pPr>
              <w:pStyle w:val="TableText"/>
              <w:spacing w:before="50" w:after="50"/>
              <w:rPr>
                <w:rFonts w:cs="Calibri"/>
              </w:rPr>
            </w:pPr>
            <w:r w:rsidRPr="00D9348B">
              <w:rPr>
                <w:rFonts w:cs="Calibri"/>
              </w:rPr>
              <w:t> </w:t>
            </w:r>
          </w:p>
        </w:tc>
        <w:tc>
          <w:tcPr>
            <w:tcW w:w="2695" w:type="pct"/>
            <w:tcBorders>
              <w:top w:val="single" w:sz="4" w:space="0" w:color="365F91"/>
              <w:left w:val="single" w:sz="4" w:space="0" w:color="365F91"/>
              <w:bottom w:val="single" w:sz="4" w:space="0" w:color="365F91"/>
              <w:right w:val="single" w:sz="4" w:space="0" w:color="365F91"/>
            </w:tcBorders>
            <w:shd w:val="clear" w:color="auto" w:fill="auto"/>
            <w:noWrap/>
            <w:hideMark/>
          </w:tcPr>
          <w:p w14:paraId="282E32E1" w14:textId="77777777" w:rsidR="00E20138" w:rsidRPr="00D9348B" w:rsidRDefault="00E20138" w:rsidP="00DB330E">
            <w:pPr>
              <w:pStyle w:val="TableText"/>
              <w:spacing w:before="50" w:after="50"/>
              <w:rPr>
                <w:rFonts w:cs="Calibri"/>
              </w:rPr>
            </w:pPr>
            <w:r w:rsidRPr="00D9348B">
              <w:rPr>
                <w:rFonts w:cs="Calibri"/>
              </w:rPr>
              <w:t>Solid fuels</w:t>
            </w:r>
          </w:p>
        </w:tc>
        <w:tc>
          <w:tcPr>
            <w:tcW w:w="974" w:type="pct"/>
            <w:tcBorders>
              <w:top w:val="single" w:sz="4" w:space="0" w:color="365F91"/>
              <w:left w:val="single" w:sz="4" w:space="0" w:color="365F91"/>
              <w:bottom w:val="single" w:sz="4" w:space="0" w:color="365F91"/>
              <w:right w:val="single" w:sz="4" w:space="0" w:color="365F91"/>
            </w:tcBorders>
            <w:shd w:val="clear" w:color="auto" w:fill="auto"/>
            <w:noWrap/>
            <w:hideMark/>
          </w:tcPr>
          <w:p w14:paraId="0F629B96" w14:textId="77777777" w:rsidR="00E20138" w:rsidRPr="00D9348B" w:rsidRDefault="00E20138" w:rsidP="00DB330E">
            <w:pPr>
              <w:pStyle w:val="TableText"/>
              <w:spacing w:before="50" w:after="50"/>
              <w:jc w:val="center"/>
              <w:rPr>
                <w:rFonts w:cs="Calibri"/>
              </w:rPr>
            </w:pPr>
            <w:r w:rsidRPr="00D9348B">
              <w:rPr>
                <w:rFonts w:cs="Calibri"/>
              </w:rPr>
              <w:t>–3.0</w:t>
            </w:r>
          </w:p>
        </w:tc>
        <w:tc>
          <w:tcPr>
            <w:tcW w:w="1011" w:type="pct"/>
            <w:tcBorders>
              <w:left w:val="single" w:sz="4" w:space="0" w:color="365F91"/>
            </w:tcBorders>
            <w:shd w:val="clear" w:color="auto" w:fill="auto"/>
            <w:noWrap/>
            <w:hideMark/>
          </w:tcPr>
          <w:p w14:paraId="54F785A9" w14:textId="77777777" w:rsidR="00E20138" w:rsidRPr="00D9348B" w:rsidRDefault="00E20138" w:rsidP="00DB330E">
            <w:pPr>
              <w:pStyle w:val="TableText"/>
              <w:spacing w:before="50" w:after="50"/>
              <w:jc w:val="center"/>
              <w:rPr>
                <w:rFonts w:cs="Calibri"/>
              </w:rPr>
            </w:pPr>
            <w:r w:rsidRPr="00D9348B">
              <w:rPr>
                <w:rFonts w:cs="Calibri"/>
              </w:rPr>
              <w:t>±50.0</w:t>
            </w:r>
          </w:p>
        </w:tc>
      </w:tr>
      <w:tr w:rsidR="00E20138" w:rsidRPr="00D9348B" w14:paraId="5FC9AE53" w14:textId="77777777" w:rsidTr="008936D4">
        <w:tc>
          <w:tcPr>
            <w:tcW w:w="320" w:type="pct"/>
            <w:tcBorders>
              <w:right w:val="single" w:sz="4" w:space="0" w:color="365F91"/>
            </w:tcBorders>
            <w:shd w:val="clear" w:color="auto" w:fill="auto"/>
            <w:noWrap/>
            <w:hideMark/>
          </w:tcPr>
          <w:p w14:paraId="5058BEE9" w14:textId="77777777" w:rsidR="00E20138" w:rsidRPr="00D9348B" w:rsidRDefault="00E20138" w:rsidP="00DB330E">
            <w:pPr>
              <w:pStyle w:val="TableText"/>
              <w:spacing w:before="50" w:after="50"/>
              <w:rPr>
                <w:rFonts w:cs="Calibri"/>
              </w:rPr>
            </w:pPr>
            <w:r w:rsidRPr="00D9348B">
              <w:rPr>
                <w:rFonts w:cs="Calibri"/>
              </w:rPr>
              <w:t> </w:t>
            </w:r>
          </w:p>
        </w:tc>
        <w:tc>
          <w:tcPr>
            <w:tcW w:w="2695" w:type="pct"/>
            <w:tcBorders>
              <w:top w:val="single" w:sz="4" w:space="0" w:color="365F91"/>
              <w:left w:val="single" w:sz="4" w:space="0" w:color="365F91"/>
              <w:bottom w:val="single" w:sz="4" w:space="0" w:color="365F91"/>
              <w:right w:val="single" w:sz="4" w:space="0" w:color="365F91"/>
            </w:tcBorders>
            <w:shd w:val="clear" w:color="auto" w:fill="auto"/>
            <w:noWrap/>
            <w:hideMark/>
          </w:tcPr>
          <w:p w14:paraId="77A0C3F6" w14:textId="77777777" w:rsidR="00E20138" w:rsidRPr="00D9348B" w:rsidRDefault="00E20138" w:rsidP="00DB330E">
            <w:pPr>
              <w:pStyle w:val="TableText"/>
              <w:spacing w:before="50" w:after="50"/>
              <w:rPr>
                <w:rFonts w:cs="Calibri"/>
              </w:rPr>
            </w:pPr>
            <w:r w:rsidRPr="00D9348B">
              <w:rPr>
                <w:rFonts w:cs="Calibri"/>
              </w:rPr>
              <w:t>Gaseous fuels</w:t>
            </w:r>
          </w:p>
        </w:tc>
        <w:tc>
          <w:tcPr>
            <w:tcW w:w="974" w:type="pct"/>
            <w:tcBorders>
              <w:top w:val="single" w:sz="4" w:space="0" w:color="365F91"/>
              <w:left w:val="single" w:sz="4" w:space="0" w:color="365F91"/>
              <w:bottom w:val="single" w:sz="4" w:space="0" w:color="365F91"/>
              <w:right w:val="single" w:sz="4" w:space="0" w:color="365F91"/>
            </w:tcBorders>
            <w:shd w:val="clear" w:color="auto" w:fill="auto"/>
            <w:noWrap/>
            <w:hideMark/>
          </w:tcPr>
          <w:p w14:paraId="6D8AB3F8" w14:textId="77777777" w:rsidR="00E20138" w:rsidRPr="00D9348B" w:rsidRDefault="00E20138" w:rsidP="00DB330E">
            <w:pPr>
              <w:pStyle w:val="TableText"/>
              <w:spacing w:before="50" w:after="50"/>
              <w:jc w:val="center"/>
              <w:rPr>
                <w:rFonts w:cs="Calibri"/>
              </w:rPr>
            </w:pPr>
            <w:r w:rsidRPr="00D9348B">
              <w:rPr>
                <w:rFonts w:cs="Calibri"/>
              </w:rPr>
              <w:t>–0.1</w:t>
            </w:r>
          </w:p>
        </w:tc>
        <w:tc>
          <w:tcPr>
            <w:tcW w:w="1011" w:type="pct"/>
            <w:tcBorders>
              <w:left w:val="single" w:sz="4" w:space="0" w:color="365F91"/>
            </w:tcBorders>
            <w:shd w:val="clear" w:color="auto" w:fill="auto"/>
            <w:noWrap/>
            <w:hideMark/>
          </w:tcPr>
          <w:p w14:paraId="7D2717D1" w14:textId="77777777" w:rsidR="00E20138" w:rsidRPr="00D9348B" w:rsidRDefault="00E20138" w:rsidP="00DB330E">
            <w:pPr>
              <w:pStyle w:val="TableText"/>
              <w:spacing w:before="50" w:after="50"/>
              <w:jc w:val="center"/>
              <w:rPr>
                <w:rFonts w:cs="Calibri"/>
              </w:rPr>
            </w:pPr>
            <w:r w:rsidRPr="00D9348B">
              <w:rPr>
                <w:rFonts w:cs="Calibri"/>
              </w:rPr>
              <w:t>±50.0</w:t>
            </w:r>
          </w:p>
        </w:tc>
      </w:tr>
      <w:tr w:rsidR="00E20138" w:rsidRPr="00D9348B" w14:paraId="40A87E6E" w14:textId="77777777" w:rsidTr="008936D4">
        <w:tc>
          <w:tcPr>
            <w:tcW w:w="320" w:type="pct"/>
            <w:tcBorders>
              <w:right w:val="single" w:sz="4" w:space="0" w:color="365F91"/>
            </w:tcBorders>
            <w:shd w:val="clear" w:color="auto" w:fill="auto"/>
            <w:noWrap/>
            <w:hideMark/>
          </w:tcPr>
          <w:p w14:paraId="57319AAA" w14:textId="77777777" w:rsidR="00E20138" w:rsidRPr="00D9348B" w:rsidRDefault="00E20138" w:rsidP="00DB330E">
            <w:pPr>
              <w:pStyle w:val="TableText"/>
              <w:spacing w:before="50" w:after="50"/>
              <w:rPr>
                <w:rFonts w:cs="Calibri"/>
              </w:rPr>
            </w:pPr>
            <w:r w:rsidRPr="00D9348B">
              <w:rPr>
                <w:rFonts w:cs="Calibri"/>
              </w:rPr>
              <w:t> </w:t>
            </w:r>
          </w:p>
        </w:tc>
        <w:tc>
          <w:tcPr>
            <w:tcW w:w="2695" w:type="pct"/>
            <w:tcBorders>
              <w:top w:val="single" w:sz="4" w:space="0" w:color="365F91"/>
              <w:left w:val="single" w:sz="4" w:space="0" w:color="365F91"/>
              <w:bottom w:val="single" w:sz="4" w:space="0" w:color="365F91"/>
              <w:right w:val="single" w:sz="4" w:space="0" w:color="365F91"/>
            </w:tcBorders>
            <w:shd w:val="clear" w:color="auto" w:fill="auto"/>
            <w:noWrap/>
            <w:hideMark/>
          </w:tcPr>
          <w:p w14:paraId="250756E8" w14:textId="77777777" w:rsidR="00E20138" w:rsidRPr="00D9348B" w:rsidRDefault="00E20138" w:rsidP="00DB330E">
            <w:pPr>
              <w:pStyle w:val="TableText"/>
              <w:spacing w:before="50" w:after="50"/>
              <w:rPr>
                <w:rFonts w:cs="Calibri"/>
              </w:rPr>
            </w:pPr>
            <w:r w:rsidRPr="00D9348B">
              <w:rPr>
                <w:rFonts w:cs="Calibri"/>
              </w:rPr>
              <w:t>Biomass</w:t>
            </w:r>
          </w:p>
        </w:tc>
        <w:tc>
          <w:tcPr>
            <w:tcW w:w="974" w:type="pct"/>
            <w:tcBorders>
              <w:top w:val="single" w:sz="4" w:space="0" w:color="365F91"/>
              <w:left w:val="single" w:sz="4" w:space="0" w:color="365F91"/>
              <w:bottom w:val="single" w:sz="4" w:space="0" w:color="365F91"/>
              <w:right w:val="single" w:sz="4" w:space="0" w:color="365F91"/>
            </w:tcBorders>
            <w:shd w:val="clear" w:color="auto" w:fill="auto"/>
            <w:noWrap/>
            <w:hideMark/>
          </w:tcPr>
          <w:p w14:paraId="259DD262" w14:textId="77777777" w:rsidR="00E20138" w:rsidRPr="00D9348B" w:rsidRDefault="00E20138" w:rsidP="00DB330E">
            <w:pPr>
              <w:pStyle w:val="TableText"/>
              <w:spacing w:before="50" w:after="50"/>
              <w:jc w:val="center"/>
              <w:rPr>
                <w:rFonts w:cs="Calibri"/>
              </w:rPr>
            </w:pPr>
            <w:r w:rsidRPr="00D9348B">
              <w:rPr>
                <w:rFonts w:cs="Calibri"/>
              </w:rPr>
              <w:t>50.0</w:t>
            </w:r>
          </w:p>
        </w:tc>
        <w:tc>
          <w:tcPr>
            <w:tcW w:w="1011" w:type="pct"/>
            <w:tcBorders>
              <w:left w:val="single" w:sz="4" w:space="0" w:color="365F91"/>
            </w:tcBorders>
            <w:shd w:val="clear" w:color="auto" w:fill="auto"/>
            <w:noWrap/>
            <w:hideMark/>
          </w:tcPr>
          <w:p w14:paraId="329CB3BF" w14:textId="77777777" w:rsidR="00E20138" w:rsidRPr="00D9348B" w:rsidRDefault="00E20138" w:rsidP="00DB330E">
            <w:pPr>
              <w:pStyle w:val="TableText"/>
              <w:spacing w:before="50" w:after="50"/>
              <w:jc w:val="center"/>
              <w:rPr>
                <w:rFonts w:cs="Calibri"/>
              </w:rPr>
            </w:pPr>
            <w:r w:rsidRPr="00D9348B">
              <w:rPr>
                <w:rFonts w:cs="Calibri"/>
              </w:rPr>
              <w:t>±50.0</w:t>
            </w:r>
          </w:p>
        </w:tc>
      </w:tr>
      <w:tr w:rsidR="00E20138" w:rsidRPr="00D9348B" w14:paraId="0F5AFCF3" w14:textId="77777777" w:rsidTr="008936D4">
        <w:tc>
          <w:tcPr>
            <w:tcW w:w="320" w:type="pct"/>
            <w:tcBorders>
              <w:right w:val="single" w:sz="4" w:space="0" w:color="365F91"/>
            </w:tcBorders>
            <w:shd w:val="clear" w:color="auto" w:fill="auto"/>
            <w:noWrap/>
            <w:hideMark/>
          </w:tcPr>
          <w:p w14:paraId="1B0705D9" w14:textId="77777777" w:rsidR="00E20138" w:rsidRPr="00D9348B" w:rsidRDefault="00E20138" w:rsidP="00DB330E">
            <w:pPr>
              <w:pStyle w:val="TableText"/>
              <w:spacing w:before="50" w:after="50"/>
              <w:rPr>
                <w:rFonts w:cs="Calibri"/>
              </w:rPr>
            </w:pPr>
            <w:r w:rsidRPr="00D9348B">
              <w:rPr>
                <w:rFonts w:cs="Calibri"/>
              </w:rPr>
              <w:t> </w:t>
            </w:r>
          </w:p>
        </w:tc>
        <w:tc>
          <w:tcPr>
            <w:tcW w:w="2695" w:type="pct"/>
            <w:tcBorders>
              <w:top w:val="single" w:sz="4" w:space="0" w:color="365F91"/>
              <w:left w:val="single" w:sz="4" w:space="0" w:color="365F91"/>
              <w:bottom w:val="single" w:sz="4" w:space="0" w:color="365F91"/>
              <w:right w:val="single" w:sz="4" w:space="0" w:color="365F91"/>
            </w:tcBorders>
            <w:shd w:val="clear" w:color="auto" w:fill="auto"/>
            <w:noWrap/>
            <w:hideMark/>
          </w:tcPr>
          <w:p w14:paraId="77781F09" w14:textId="77777777" w:rsidR="00E20138" w:rsidRPr="00D9348B" w:rsidRDefault="00E20138" w:rsidP="00DB330E">
            <w:pPr>
              <w:pStyle w:val="TableText"/>
              <w:spacing w:before="50" w:after="50"/>
              <w:rPr>
                <w:rFonts w:cs="Calibri"/>
              </w:rPr>
            </w:pPr>
            <w:r w:rsidRPr="00D9348B">
              <w:rPr>
                <w:rFonts w:cs="Calibri"/>
              </w:rPr>
              <w:t>Fugitive – geothermal</w:t>
            </w:r>
          </w:p>
        </w:tc>
        <w:tc>
          <w:tcPr>
            <w:tcW w:w="974" w:type="pct"/>
            <w:tcBorders>
              <w:top w:val="single" w:sz="4" w:space="0" w:color="365F91"/>
              <w:left w:val="single" w:sz="4" w:space="0" w:color="365F91"/>
              <w:bottom w:val="single" w:sz="4" w:space="0" w:color="365F91"/>
              <w:right w:val="single" w:sz="4" w:space="0" w:color="365F91"/>
            </w:tcBorders>
            <w:shd w:val="clear" w:color="auto" w:fill="auto"/>
            <w:noWrap/>
            <w:hideMark/>
          </w:tcPr>
          <w:p w14:paraId="564B87DE" w14:textId="77777777" w:rsidR="00E20138" w:rsidRPr="00D9348B" w:rsidRDefault="00E20138" w:rsidP="00DB330E">
            <w:pPr>
              <w:pStyle w:val="TableText"/>
              <w:spacing w:before="50" w:after="50"/>
              <w:jc w:val="center"/>
              <w:rPr>
                <w:rFonts w:cs="Calibri"/>
              </w:rPr>
            </w:pPr>
            <w:r w:rsidRPr="00D9348B">
              <w:rPr>
                <w:rFonts w:cs="Calibri"/>
              </w:rPr>
              <w:t>5.0</w:t>
            </w:r>
          </w:p>
        </w:tc>
        <w:tc>
          <w:tcPr>
            <w:tcW w:w="1011" w:type="pct"/>
            <w:tcBorders>
              <w:left w:val="single" w:sz="4" w:space="0" w:color="365F91"/>
            </w:tcBorders>
            <w:shd w:val="clear" w:color="auto" w:fill="auto"/>
            <w:noWrap/>
            <w:hideMark/>
          </w:tcPr>
          <w:p w14:paraId="2AA82332" w14:textId="77777777" w:rsidR="00E20138" w:rsidRPr="00D9348B" w:rsidRDefault="00E20138" w:rsidP="00DB330E">
            <w:pPr>
              <w:pStyle w:val="TableText"/>
              <w:spacing w:before="50" w:after="50"/>
              <w:jc w:val="center"/>
              <w:rPr>
                <w:rFonts w:cs="Calibri"/>
              </w:rPr>
            </w:pPr>
            <w:r w:rsidRPr="00D9348B">
              <w:rPr>
                <w:rFonts w:cs="Calibri"/>
              </w:rPr>
              <w:t>±5.0</w:t>
            </w:r>
          </w:p>
        </w:tc>
      </w:tr>
      <w:tr w:rsidR="00E20138" w:rsidRPr="00D9348B" w14:paraId="3F16987B" w14:textId="77777777" w:rsidTr="008936D4">
        <w:tc>
          <w:tcPr>
            <w:tcW w:w="320" w:type="pct"/>
            <w:tcBorders>
              <w:right w:val="single" w:sz="4" w:space="0" w:color="365F91"/>
            </w:tcBorders>
            <w:shd w:val="clear" w:color="auto" w:fill="auto"/>
            <w:noWrap/>
            <w:hideMark/>
          </w:tcPr>
          <w:p w14:paraId="30A6AA34" w14:textId="77777777" w:rsidR="00E20138" w:rsidRPr="00D9348B" w:rsidRDefault="00E20138" w:rsidP="00DB330E">
            <w:pPr>
              <w:pStyle w:val="TableText"/>
              <w:spacing w:before="50" w:after="50"/>
              <w:rPr>
                <w:rFonts w:cs="Calibri"/>
              </w:rPr>
            </w:pPr>
            <w:r w:rsidRPr="00D9348B">
              <w:rPr>
                <w:rFonts w:cs="Calibri"/>
              </w:rPr>
              <w:t> </w:t>
            </w:r>
          </w:p>
        </w:tc>
        <w:tc>
          <w:tcPr>
            <w:tcW w:w="2695" w:type="pct"/>
            <w:tcBorders>
              <w:top w:val="single" w:sz="4" w:space="0" w:color="365F91"/>
              <w:left w:val="single" w:sz="4" w:space="0" w:color="365F91"/>
              <w:bottom w:val="single" w:sz="4" w:space="0" w:color="365F91"/>
              <w:right w:val="single" w:sz="4" w:space="0" w:color="365F91"/>
            </w:tcBorders>
            <w:shd w:val="clear" w:color="auto" w:fill="auto"/>
            <w:noWrap/>
            <w:hideMark/>
          </w:tcPr>
          <w:p w14:paraId="04DC6203" w14:textId="77777777" w:rsidR="00E20138" w:rsidRPr="00D9348B" w:rsidRDefault="00E20138" w:rsidP="00DB330E">
            <w:pPr>
              <w:pStyle w:val="TableText"/>
              <w:spacing w:before="50" w:after="50"/>
              <w:rPr>
                <w:rFonts w:cs="Calibri"/>
              </w:rPr>
            </w:pPr>
            <w:r w:rsidRPr="00D9348B">
              <w:rPr>
                <w:rFonts w:cs="Calibri"/>
              </w:rPr>
              <w:t>Fugitive – venting/flaring</w:t>
            </w:r>
          </w:p>
        </w:tc>
        <w:tc>
          <w:tcPr>
            <w:tcW w:w="974" w:type="pct"/>
            <w:tcBorders>
              <w:top w:val="single" w:sz="4" w:space="0" w:color="365F91"/>
              <w:left w:val="single" w:sz="4" w:space="0" w:color="365F91"/>
              <w:bottom w:val="single" w:sz="4" w:space="0" w:color="365F91"/>
              <w:right w:val="single" w:sz="4" w:space="0" w:color="365F91"/>
            </w:tcBorders>
            <w:shd w:val="clear" w:color="auto" w:fill="auto"/>
            <w:noWrap/>
            <w:hideMark/>
          </w:tcPr>
          <w:p w14:paraId="15A8CDC2" w14:textId="77777777" w:rsidR="00E20138" w:rsidRPr="00D9348B" w:rsidRDefault="00E20138" w:rsidP="00DB330E">
            <w:pPr>
              <w:pStyle w:val="TableText"/>
              <w:spacing w:before="50" w:after="50"/>
              <w:jc w:val="center"/>
              <w:rPr>
                <w:rFonts w:cs="Calibri"/>
              </w:rPr>
            </w:pPr>
            <w:r w:rsidRPr="00D9348B">
              <w:rPr>
                <w:rFonts w:cs="Calibri"/>
              </w:rPr>
              <w:t>–0.1</w:t>
            </w:r>
          </w:p>
        </w:tc>
        <w:tc>
          <w:tcPr>
            <w:tcW w:w="1011" w:type="pct"/>
            <w:tcBorders>
              <w:left w:val="single" w:sz="4" w:space="0" w:color="365F91"/>
            </w:tcBorders>
            <w:shd w:val="clear" w:color="auto" w:fill="auto"/>
            <w:noWrap/>
            <w:hideMark/>
          </w:tcPr>
          <w:p w14:paraId="07EA3597" w14:textId="77777777" w:rsidR="00E20138" w:rsidRPr="00D9348B" w:rsidRDefault="00E20138" w:rsidP="00DB330E">
            <w:pPr>
              <w:pStyle w:val="TableText"/>
              <w:spacing w:before="50" w:after="50"/>
              <w:jc w:val="center"/>
              <w:rPr>
                <w:rFonts w:cs="Calibri"/>
              </w:rPr>
            </w:pPr>
            <w:r w:rsidRPr="00D9348B">
              <w:rPr>
                <w:rFonts w:cs="Calibri"/>
              </w:rPr>
              <w:t>±50.0</w:t>
            </w:r>
          </w:p>
        </w:tc>
      </w:tr>
      <w:tr w:rsidR="00E20138" w:rsidRPr="00D9348B" w14:paraId="507B9AC4" w14:textId="77777777" w:rsidTr="008936D4">
        <w:tc>
          <w:tcPr>
            <w:tcW w:w="320" w:type="pct"/>
            <w:tcBorders>
              <w:right w:val="single" w:sz="4" w:space="0" w:color="365F91"/>
            </w:tcBorders>
            <w:shd w:val="clear" w:color="auto" w:fill="auto"/>
            <w:noWrap/>
            <w:hideMark/>
          </w:tcPr>
          <w:p w14:paraId="60E46A1E" w14:textId="77777777" w:rsidR="00E20138" w:rsidRPr="00D9348B" w:rsidRDefault="00E20138" w:rsidP="00DB330E">
            <w:pPr>
              <w:pStyle w:val="TableText"/>
              <w:spacing w:before="50" w:after="50"/>
              <w:rPr>
                <w:rFonts w:cs="Calibri"/>
              </w:rPr>
            </w:pPr>
            <w:r w:rsidRPr="00D9348B">
              <w:rPr>
                <w:rFonts w:cs="Calibri"/>
              </w:rPr>
              <w:t> </w:t>
            </w:r>
          </w:p>
        </w:tc>
        <w:tc>
          <w:tcPr>
            <w:tcW w:w="2695" w:type="pct"/>
            <w:tcBorders>
              <w:top w:val="single" w:sz="4" w:space="0" w:color="365F91"/>
              <w:left w:val="single" w:sz="4" w:space="0" w:color="365F91"/>
              <w:bottom w:val="single" w:sz="4" w:space="0" w:color="365F91"/>
              <w:right w:val="single" w:sz="4" w:space="0" w:color="365F91"/>
            </w:tcBorders>
            <w:shd w:val="clear" w:color="auto" w:fill="auto"/>
            <w:noWrap/>
            <w:hideMark/>
          </w:tcPr>
          <w:p w14:paraId="35C7ED05" w14:textId="77777777" w:rsidR="00E20138" w:rsidRPr="00D9348B" w:rsidRDefault="00E20138" w:rsidP="00DB330E">
            <w:pPr>
              <w:pStyle w:val="TableText"/>
              <w:spacing w:before="50" w:after="50"/>
              <w:rPr>
                <w:rFonts w:cs="Calibri"/>
              </w:rPr>
            </w:pPr>
            <w:r w:rsidRPr="00D9348B">
              <w:rPr>
                <w:rFonts w:cs="Calibri"/>
              </w:rPr>
              <w:t>Fugitive – coal mining and handling</w:t>
            </w:r>
          </w:p>
        </w:tc>
        <w:tc>
          <w:tcPr>
            <w:tcW w:w="974" w:type="pct"/>
            <w:tcBorders>
              <w:top w:val="single" w:sz="4" w:space="0" w:color="365F91"/>
              <w:left w:val="single" w:sz="4" w:space="0" w:color="365F91"/>
              <w:bottom w:val="single" w:sz="4" w:space="0" w:color="365F91"/>
              <w:right w:val="single" w:sz="4" w:space="0" w:color="365F91"/>
            </w:tcBorders>
            <w:shd w:val="clear" w:color="auto" w:fill="auto"/>
            <w:noWrap/>
            <w:hideMark/>
          </w:tcPr>
          <w:p w14:paraId="51DCB6C7" w14:textId="77777777" w:rsidR="00E20138" w:rsidRPr="00D9348B" w:rsidRDefault="00E20138" w:rsidP="00DB330E">
            <w:pPr>
              <w:pStyle w:val="TableText"/>
              <w:spacing w:before="50" w:after="50"/>
              <w:jc w:val="center"/>
              <w:rPr>
                <w:rFonts w:cs="Calibri"/>
              </w:rPr>
            </w:pPr>
            <w:r w:rsidRPr="00D9348B">
              <w:rPr>
                <w:rFonts w:cs="Calibri"/>
              </w:rPr>
              <w:t>–3.0</w:t>
            </w:r>
          </w:p>
        </w:tc>
        <w:tc>
          <w:tcPr>
            <w:tcW w:w="1011" w:type="pct"/>
            <w:tcBorders>
              <w:left w:val="single" w:sz="4" w:space="0" w:color="365F91"/>
            </w:tcBorders>
            <w:shd w:val="clear" w:color="auto" w:fill="auto"/>
            <w:noWrap/>
            <w:hideMark/>
          </w:tcPr>
          <w:p w14:paraId="1B5CC198" w14:textId="77777777" w:rsidR="00E20138" w:rsidRPr="00D9348B" w:rsidRDefault="00E20138" w:rsidP="00DB330E">
            <w:pPr>
              <w:pStyle w:val="TableText"/>
              <w:spacing w:before="50" w:after="50"/>
              <w:jc w:val="center"/>
              <w:rPr>
                <w:rFonts w:cs="Calibri"/>
              </w:rPr>
            </w:pPr>
            <w:r w:rsidRPr="00D9348B">
              <w:rPr>
                <w:rFonts w:cs="Calibri"/>
              </w:rPr>
              <w:t>±50.0</w:t>
            </w:r>
          </w:p>
        </w:tc>
      </w:tr>
      <w:tr w:rsidR="00E20138" w:rsidRPr="00D9348B" w14:paraId="088AD3F6" w14:textId="77777777" w:rsidTr="008936D4">
        <w:tc>
          <w:tcPr>
            <w:tcW w:w="320" w:type="pct"/>
            <w:tcBorders>
              <w:right w:val="single" w:sz="4" w:space="0" w:color="365F91"/>
            </w:tcBorders>
            <w:shd w:val="clear" w:color="auto" w:fill="auto"/>
            <w:noWrap/>
            <w:hideMark/>
          </w:tcPr>
          <w:p w14:paraId="30ED3409" w14:textId="77777777" w:rsidR="00E20138" w:rsidRPr="00D9348B" w:rsidRDefault="00E20138" w:rsidP="00DB330E">
            <w:pPr>
              <w:pStyle w:val="TableText"/>
              <w:spacing w:before="50" w:after="50"/>
              <w:rPr>
                <w:rFonts w:cs="Calibri"/>
              </w:rPr>
            </w:pPr>
            <w:r w:rsidRPr="00D9348B">
              <w:rPr>
                <w:rFonts w:cs="Calibri"/>
              </w:rPr>
              <w:t> </w:t>
            </w:r>
          </w:p>
        </w:tc>
        <w:tc>
          <w:tcPr>
            <w:tcW w:w="2695" w:type="pct"/>
            <w:tcBorders>
              <w:top w:val="single" w:sz="4" w:space="0" w:color="365F91"/>
              <w:left w:val="single" w:sz="4" w:space="0" w:color="365F91"/>
              <w:bottom w:val="single" w:sz="4" w:space="0" w:color="365F91"/>
              <w:right w:val="single" w:sz="4" w:space="0" w:color="365F91"/>
            </w:tcBorders>
            <w:shd w:val="clear" w:color="auto" w:fill="auto"/>
            <w:noWrap/>
            <w:hideMark/>
          </w:tcPr>
          <w:p w14:paraId="16F20727" w14:textId="77777777" w:rsidR="00E20138" w:rsidRPr="00D9348B" w:rsidRDefault="00E20138" w:rsidP="00DB330E">
            <w:pPr>
              <w:pStyle w:val="TableText"/>
              <w:spacing w:before="50" w:after="50"/>
              <w:rPr>
                <w:rFonts w:cs="Calibri"/>
              </w:rPr>
            </w:pPr>
            <w:r w:rsidRPr="00D9348B">
              <w:rPr>
                <w:rFonts w:cs="Calibri"/>
              </w:rPr>
              <w:t>Fugitive – transmission and distribution</w:t>
            </w:r>
          </w:p>
        </w:tc>
        <w:tc>
          <w:tcPr>
            <w:tcW w:w="974" w:type="pct"/>
            <w:tcBorders>
              <w:top w:val="single" w:sz="4" w:space="0" w:color="365F91"/>
              <w:left w:val="single" w:sz="4" w:space="0" w:color="365F91"/>
              <w:bottom w:val="single" w:sz="4" w:space="0" w:color="365F91"/>
              <w:right w:val="single" w:sz="4" w:space="0" w:color="365F91"/>
            </w:tcBorders>
            <w:shd w:val="clear" w:color="auto" w:fill="auto"/>
            <w:noWrap/>
            <w:hideMark/>
          </w:tcPr>
          <w:p w14:paraId="5E091A63" w14:textId="77777777" w:rsidR="00E20138" w:rsidRPr="00D9348B" w:rsidRDefault="00E20138" w:rsidP="00DB330E">
            <w:pPr>
              <w:pStyle w:val="TableText"/>
              <w:spacing w:before="50" w:after="50"/>
              <w:jc w:val="center"/>
              <w:rPr>
                <w:rFonts w:cs="Calibri"/>
              </w:rPr>
            </w:pPr>
            <w:r w:rsidRPr="00D9348B">
              <w:rPr>
                <w:rFonts w:cs="Calibri"/>
              </w:rPr>
              <w:t>–0.1</w:t>
            </w:r>
          </w:p>
        </w:tc>
        <w:tc>
          <w:tcPr>
            <w:tcW w:w="1011" w:type="pct"/>
            <w:tcBorders>
              <w:left w:val="single" w:sz="4" w:space="0" w:color="365F91"/>
            </w:tcBorders>
            <w:shd w:val="clear" w:color="auto" w:fill="auto"/>
            <w:noWrap/>
            <w:hideMark/>
          </w:tcPr>
          <w:p w14:paraId="1E464326" w14:textId="77777777" w:rsidR="00E20138" w:rsidRPr="00D9348B" w:rsidRDefault="00E20138" w:rsidP="00DB330E">
            <w:pPr>
              <w:pStyle w:val="TableText"/>
              <w:spacing w:before="50" w:after="50"/>
              <w:jc w:val="center"/>
              <w:rPr>
                <w:rFonts w:cs="Calibri"/>
              </w:rPr>
            </w:pPr>
            <w:r w:rsidRPr="00D9348B">
              <w:rPr>
                <w:rFonts w:cs="Calibri"/>
              </w:rPr>
              <w:t>±100.0</w:t>
            </w:r>
          </w:p>
        </w:tc>
      </w:tr>
      <w:tr w:rsidR="00E20138" w:rsidRPr="00D9348B" w14:paraId="473BBA19" w14:textId="77777777" w:rsidTr="008936D4">
        <w:tc>
          <w:tcPr>
            <w:tcW w:w="320" w:type="pct"/>
            <w:tcBorders>
              <w:right w:val="single" w:sz="4" w:space="0" w:color="365F91"/>
            </w:tcBorders>
            <w:shd w:val="clear" w:color="auto" w:fill="auto"/>
            <w:noWrap/>
            <w:hideMark/>
          </w:tcPr>
          <w:p w14:paraId="50F23EF6" w14:textId="77777777" w:rsidR="00E20138" w:rsidRPr="00D9348B" w:rsidRDefault="00E20138" w:rsidP="00DB330E">
            <w:pPr>
              <w:pStyle w:val="TableText"/>
              <w:spacing w:before="50" w:after="50"/>
              <w:rPr>
                <w:rFonts w:cs="Calibri"/>
              </w:rPr>
            </w:pPr>
            <w:r w:rsidRPr="00D9348B">
              <w:rPr>
                <w:rFonts w:cs="Calibri"/>
              </w:rPr>
              <w:t> </w:t>
            </w:r>
          </w:p>
        </w:tc>
        <w:tc>
          <w:tcPr>
            <w:tcW w:w="2695" w:type="pct"/>
            <w:tcBorders>
              <w:top w:val="single" w:sz="4" w:space="0" w:color="365F91"/>
              <w:left w:val="single" w:sz="4" w:space="0" w:color="365F91"/>
              <w:bottom w:val="single" w:sz="4" w:space="0" w:color="365F91"/>
              <w:right w:val="single" w:sz="4" w:space="0" w:color="365F91"/>
            </w:tcBorders>
            <w:shd w:val="clear" w:color="auto" w:fill="auto"/>
            <w:noWrap/>
            <w:hideMark/>
          </w:tcPr>
          <w:p w14:paraId="78663EDA" w14:textId="77777777" w:rsidR="00E20138" w:rsidRPr="00D9348B" w:rsidRDefault="00E20138" w:rsidP="00DB330E">
            <w:pPr>
              <w:pStyle w:val="TableText"/>
              <w:spacing w:before="50" w:after="50"/>
              <w:rPr>
                <w:rFonts w:cs="Calibri"/>
              </w:rPr>
            </w:pPr>
            <w:r w:rsidRPr="00D9348B">
              <w:rPr>
                <w:rFonts w:cs="Calibri"/>
              </w:rPr>
              <w:t>Fugitive – oil and gas exploration and production</w:t>
            </w:r>
          </w:p>
        </w:tc>
        <w:tc>
          <w:tcPr>
            <w:tcW w:w="974" w:type="pct"/>
            <w:tcBorders>
              <w:top w:val="single" w:sz="4" w:space="0" w:color="365F91"/>
              <w:left w:val="single" w:sz="4" w:space="0" w:color="365F91"/>
              <w:bottom w:val="single" w:sz="4" w:space="0" w:color="365F91"/>
              <w:right w:val="single" w:sz="4" w:space="0" w:color="365F91"/>
            </w:tcBorders>
            <w:shd w:val="clear" w:color="auto" w:fill="auto"/>
            <w:noWrap/>
            <w:hideMark/>
          </w:tcPr>
          <w:p w14:paraId="05862916" w14:textId="77777777" w:rsidR="00E20138" w:rsidRPr="00D9348B" w:rsidRDefault="00E20138" w:rsidP="00DB330E">
            <w:pPr>
              <w:pStyle w:val="TableText"/>
              <w:spacing w:before="50" w:after="50"/>
              <w:jc w:val="center"/>
              <w:rPr>
                <w:rFonts w:cs="Calibri"/>
              </w:rPr>
            </w:pPr>
            <w:r w:rsidRPr="00D9348B">
              <w:rPr>
                <w:rFonts w:cs="Calibri"/>
              </w:rPr>
              <w:t>–0.1</w:t>
            </w:r>
          </w:p>
        </w:tc>
        <w:tc>
          <w:tcPr>
            <w:tcW w:w="1011" w:type="pct"/>
            <w:tcBorders>
              <w:left w:val="single" w:sz="4" w:space="0" w:color="365F91"/>
            </w:tcBorders>
            <w:shd w:val="clear" w:color="auto" w:fill="auto"/>
            <w:noWrap/>
            <w:hideMark/>
          </w:tcPr>
          <w:p w14:paraId="06E2D616" w14:textId="77777777" w:rsidR="00E20138" w:rsidRPr="00D9348B" w:rsidRDefault="00E20138" w:rsidP="00DB330E">
            <w:pPr>
              <w:pStyle w:val="TableText"/>
              <w:spacing w:before="50" w:after="50"/>
              <w:jc w:val="center"/>
              <w:rPr>
                <w:rFonts w:cs="Calibri"/>
              </w:rPr>
            </w:pPr>
            <w:r w:rsidRPr="00D9348B">
              <w:rPr>
                <w:rFonts w:cs="Calibri"/>
              </w:rPr>
              <w:t>±100.0</w:t>
            </w:r>
          </w:p>
        </w:tc>
      </w:tr>
      <w:tr w:rsidR="00E20138" w:rsidRPr="00D9348B" w14:paraId="3464BA4F" w14:textId="77777777" w:rsidTr="008936D4">
        <w:tc>
          <w:tcPr>
            <w:tcW w:w="320" w:type="pct"/>
            <w:tcBorders>
              <w:right w:val="single" w:sz="4" w:space="0" w:color="365F91"/>
            </w:tcBorders>
            <w:shd w:val="clear" w:color="auto" w:fill="auto"/>
            <w:noWrap/>
            <w:hideMark/>
          </w:tcPr>
          <w:p w14:paraId="595F1C16" w14:textId="77777777" w:rsidR="00E20138" w:rsidRPr="00D9348B" w:rsidRDefault="00E20138" w:rsidP="00DB330E">
            <w:pPr>
              <w:pStyle w:val="TableText"/>
              <w:spacing w:before="50" w:after="50"/>
              <w:rPr>
                <w:rFonts w:cs="Calibri"/>
              </w:rPr>
            </w:pPr>
            <w:r w:rsidRPr="00D9348B">
              <w:rPr>
                <w:rFonts w:cs="Calibri"/>
              </w:rPr>
              <w:lastRenderedPageBreak/>
              <w:t> </w:t>
            </w:r>
          </w:p>
        </w:tc>
        <w:tc>
          <w:tcPr>
            <w:tcW w:w="2695" w:type="pct"/>
            <w:tcBorders>
              <w:top w:val="single" w:sz="4" w:space="0" w:color="365F91"/>
              <w:left w:val="single" w:sz="4" w:space="0" w:color="365F91"/>
              <w:bottom w:val="single" w:sz="4" w:space="0" w:color="365F91"/>
              <w:right w:val="single" w:sz="4" w:space="0" w:color="365F91"/>
            </w:tcBorders>
            <w:shd w:val="clear" w:color="auto" w:fill="auto"/>
            <w:noWrap/>
            <w:hideMark/>
          </w:tcPr>
          <w:p w14:paraId="30C54B04" w14:textId="77777777" w:rsidR="00E20138" w:rsidRPr="00D9348B" w:rsidRDefault="00E20138" w:rsidP="00DB330E">
            <w:pPr>
              <w:pStyle w:val="TableText"/>
              <w:spacing w:before="50" w:after="50"/>
              <w:rPr>
                <w:rFonts w:cs="Calibri"/>
              </w:rPr>
            </w:pPr>
            <w:r w:rsidRPr="00D9348B">
              <w:rPr>
                <w:rFonts w:cs="Calibri"/>
              </w:rPr>
              <w:t>Fugitive – oil transportation</w:t>
            </w:r>
          </w:p>
        </w:tc>
        <w:tc>
          <w:tcPr>
            <w:tcW w:w="974" w:type="pct"/>
            <w:tcBorders>
              <w:top w:val="single" w:sz="4" w:space="0" w:color="365F91"/>
              <w:left w:val="single" w:sz="4" w:space="0" w:color="365F91"/>
              <w:bottom w:val="single" w:sz="4" w:space="0" w:color="365F91"/>
              <w:right w:val="single" w:sz="4" w:space="0" w:color="365F91"/>
            </w:tcBorders>
            <w:shd w:val="clear" w:color="auto" w:fill="auto"/>
            <w:noWrap/>
            <w:hideMark/>
          </w:tcPr>
          <w:p w14:paraId="1BDB95D2" w14:textId="77777777" w:rsidR="00E20138" w:rsidRPr="00D9348B" w:rsidRDefault="00E20138" w:rsidP="00DB330E">
            <w:pPr>
              <w:pStyle w:val="TableText"/>
              <w:spacing w:before="50" w:after="50"/>
              <w:jc w:val="center"/>
              <w:rPr>
                <w:rFonts w:cs="Calibri"/>
              </w:rPr>
            </w:pPr>
            <w:r w:rsidRPr="00D9348B">
              <w:rPr>
                <w:rFonts w:cs="Calibri"/>
              </w:rPr>
              <w:t>5.0</w:t>
            </w:r>
          </w:p>
        </w:tc>
        <w:tc>
          <w:tcPr>
            <w:tcW w:w="1011" w:type="pct"/>
            <w:tcBorders>
              <w:left w:val="single" w:sz="4" w:space="0" w:color="365F91"/>
            </w:tcBorders>
            <w:shd w:val="clear" w:color="auto" w:fill="auto"/>
            <w:noWrap/>
            <w:hideMark/>
          </w:tcPr>
          <w:p w14:paraId="520F6A10" w14:textId="77777777" w:rsidR="00E20138" w:rsidRPr="00D9348B" w:rsidRDefault="00E20138" w:rsidP="00DB330E">
            <w:pPr>
              <w:pStyle w:val="TableText"/>
              <w:spacing w:before="50" w:after="50"/>
              <w:jc w:val="center"/>
              <w:rPr>
                <w:rFonts w:cs="Calibri"/>
              </w:rPr>
            </w:pPr>
            <w:r w:rsidRPr="00D9348B">
              <w:rPr>
                <w:rFonts w:cs="Calibri"/>
              </w:rPr>
              <w:t>±50.0</w:t>
            </w:r>
          </w:p>
        </w:tc>
      </w:tr>
      <w:tr w:rsidR="00E20138" w:rsidRPr="00D9348B" w14:paraId="2C3643C8" w14:textId="77777777" w:rsidTr="008936D4">
        <w:tc>
          <w:tcPr>
            <w:tcW w:w="320" w:type="pct"/>
            <w:tcBorders>
              <w:right w:val="single" w:sz="4" w:space="0" w:color="365F91"/>
            </w:tcBorders>
            <w:shd w:val="clear" w:color="auto" w:fill="auto"/>
            <w:noWrap/>
            <w:hideMark/>
          </w:tcPr>
          <w:p w14:paraId="174C4204" w14:textId="77777777" w:rsidR="00E20138" w:rsidRPr="00D9348B" w:rsidRDefault="00E20138" w:rsidP="00DB330E">
            <w:pPr>
              <w:pStyle w:val="TableText"/>
              <w:spacing w:before="50" w:after="50"/>
              <w:rPr>
                <w:rFonts w:cs="Calibri"/>
              </w:rPr>
            </w:pPr>
            <w:r w:rsidRPr="00D9348B">
              <w:rPr>
                <w:rFonts w:cs="Calibri"/>
              </w:rPr>
              <w:t>N</w:t>
            </w:r>
            <w:r w:rsidRPr="00D9348B">
              <w:rPr>
                <w:rFonts w:cs="Calibri"/>
                <w:vertAlign w:val="subscript"/>
              </w:rPr>
              <w:t>2</w:t>
            </w:r>
            <w:r w:rsidRPr="00D9348B">
              <w:rPr>
                <w:rFonts w:cs="Calibri"/>
              </w:rPr>
              <w:t>O</w:t>
            </w:r>
          </w:p>
        </w:tc>
        <w:tc>
          <w:tcPr>
            <w:tcW w:w="2695" w:type="pct"/>
            <w:tcBorders>
              <w:top w:val="single" w:sz="4" w:space="0" w:color="365F91"/>
              <w:left w:val="single" w:sz="4" w:space="0" w:color="365F91"/>
              <w:bottom w:val="single" w:sz="4" w:space="0" w:color="365F91"/>
              <w:right w:val="single" w:sz="4" w:space="0" w:color="365F91"/>
            </w:tcBorders>
            <w:shd w:val="clear" w:color="auto" w:fill="auto"/>
            <w:noWrap/>
            <w:hideMark/>
          </w:tcPr>
          <w:p w14:paraId="638D5AB5" w14:textId="77777777" w:rsidR="00E20138" w:rsidRPr="00D9348B" w:rsidRDefault="00E20138" w:rsidP="00DB330E">
            <w:pPr>
              <w:pStyle w:val="TableText"/>
              <w:spacing w:before="50" w:after="50"/>
              <w:rPr>
                <w:rFonts w:cs="Calibri"/>
              </w:rPr>
            </w:pPr>
            <w:r w:rsidRPr="00D9348B">
              <w:rPr>
                <w:rFonts w:cs="Calibri"/>
              </w:rPr>
              <w:t>Liquid fuels</w:t>
            </w:r>
          </w:p>
        </w:tc>
        <w:tc>
          <w:tcPr>
            <w:tcW w:w="974" w:type="pct"/>
            <w:tcBorders>
              <w:top w:val="single" w:sz="4" w:space="0" w:color="365F91"/>
              <w:left w:val="single" w:sz="4" w:space="0" w:color="365F91"/>
              <w:bottom w:val="single" w:sz="4" w:space="0" w:color="365F91"/>
              <w:right w:val="single" w:sz="4" w:space="0" w:color="365F91"/>
            </w:tcBorders>
            <w:shd w:val="clear" w:color="auto" w:fill="auto"/>
            <w:noWrap/>
            <w:hideMark/>
          </w:tcPr>
          <w:p w14:paraId="40DDC7FE" w14:textId="77777777" w:rsidR="00E20138" w:rsidRPr="00D9348B" w:rsidRDefault="00E20138" w:rsidP="00DB330E">
            <w:pPr>
              <w:pStyle w:val="TableText"/>
              <w:spacing w:before="50" w:after="50"/>
              <w:jc w:val="center"/>
              <w:rPr>
                <w:rFonts w:cs="Calibri"/>
              </w:rPr>
            </w:pPr>
            <w:r w:rsidRPr="00D9348B">
              <w:rPr>
                <w:rFonts w:cs="Calibri"/>
              </w:rPr>
              <w:t>2.2</w:t>
            </w:r>
          </w:p>
        </w:tc>
        <w:tc>
          <w:tcPr>
            <w:tcW w:w="1011" w:type="pct"/>
            <w:tcBorders>
              <w:left w:val="single" w:sz="4" w:space="0" w:color="365F91"/>
            </w:tcBorders>
            <w:shd w:val="clear" w:color="auto" w:fill="auto"/>
            <w:noWrap/>
            <w:hideMark/>
          </w:tcPr>
          <w:p w14:paraId="174E26E1" w14:textId="77777777" w:rsidR="00E20138" w:rsidRPr="00D9348B" w:rsidRDefault="00E20138" w:rsidP="00DB330E">
            <w:pPr>
              <w:pStyle w:val="TableText"/>
              <w:spacing w:before="50" w:after="50"/>
              <w:jc w:val="center"/>
              <w:rPr>
                <w:rFonts w:cs="Calibri"/>
              </w:rPr>
            </w:pPr>
            <w:r w:rsidRPr="00D9348B">
              <w:rPr>
                <w:rFonts w:cs="Calibri"/>
              </w:rPr>
              <w:t>±50.0</w:t>
            </w:r>
          </w:p>
        </w:tc>
      </w:tr>
      <w:tr w:rsidR="00E20138" w:rsidRPr="00D9348B" w14:paraId="58482ABB" w14:textId="77777777" w:rsidTr="008936D4">
        <w:tc>
          <w:tcPr>
            <w:tcW w:w="320" w:type="pct"/>
            <w:tcBorders>
              <w:right w:val="single" w:sz="4" w:space="0" w:color="365F91"/>
            </w:tcBorders>
            <w:shd w:val="clear" w:color="auto" w:fill="auto"/>
            <w:noWrap/>
            <w:hideMark/>
          </w:tcPr>
          <w:p w14:paraId="38D3126B" w14:textId="77777777" w:rsidR="00E20138" w:rsidRPr="00D9348B" w:rsidRDefault="00E20138" w:rsidP="00DB330E">
            <w:pPr>
              <w:pStyle w:val="TableText"/>
              <w:spacing w:before="50" w:after="50"/>
              <w:rPr>
                <w:rFonts w:cs="Calibri"/>
              </w:rPr>
            </w:pPr>
            <w:r w:rsidRPr="00D9348B">
              <w:rPr>
                <w:rFonts w:cs="Calibri"/>
              </w:rPr>
              <w:t> </w:t>
            </w:r>
          </w:p>
        </w:tc>
        <w:tc>
          <w:tcPr>
            <w:tcW w:w="2695" w:type="pct"/>
            <w:tcBorders>
              <w:top w:val="single" w:sz="4" w:space="0" w:color="365F91"/>
              <w:left w:val="single" w:sz="4" w:space="0" w:color="365F91"/>
              <w:bottom w:val="single" w:sz="4" w:space="0" w:color="365F91"/>
              <w:right w:val="single" w:sz="4" w:space="0" w:color="365F91"/>
            </w:tcBorders>
            <w:shd w:val="clear" w:color="auto" w:fill="auto"/>
            <w:noWrap/>
            <w:hideMark/>
          </w:tcPr>
          <w:p w14:paraId="147666A5" w14:textId="77777777" w:rsidR="00E20138" w:rsidRPr="00D9348B" w:rsidRDefault="00E20138" w:rsidP="00DB330E">
            <w:pPr>
              <w:pStyle w:val="TableText"/>
              <w:spacing w:before="50" w:after="50"/>
              <w:rPr>
                <w:rFonts w:cs="Calibri"/>
              </w:rPr>
            </w:pPr>
            <w:r w:rsidRPr="00D9348B">
              <w:rPr>
                <w:rFonts w:cs="Calibri"/>
              </w:rPr>
              <w:t>Solid fuels</w:t>
            </w:r>
          </w:p>
        </w:tc>
        <w:tc>
          <w:tcPr>
            <w:tcW w:w="974" w:type="pct"/>
            <w:tcBorders>
              <w:top w:val="single" w:sz="4" w:space="0" w:color="365F91"/>
              <w:left w:val="single" w:sz="4" w:space="0" w:color="365F91"/>
              <w:bottom w:val="single" w:sz="4" w:space="0" w:color="365F91"/>
              <w:right w:val="single" w:sz="4" w:space="0" w:color="365F91"/>
            </w:tcBorders>
            <w:shd w:val="clear" w:color="auto" w:fill="auto"/>
            <w:noWrap/>
            <w:hideMark/>
          </w:tcPr>
          <w:p w14:paraId="1D4C7E44" w14:textId="77777777" w:rsidR="00E20138" w:rsidRPr="00D9348B" w:rsidRDefault="00E20138" w:rsidP="00DB330E">
            <w:pPr>
              <w:pStyle w:val="TableText"/>
              <w:spacing w:before="50" w:after="50"/>
              <w:jc w:val="center"/>
              <w:rPr>
                <w:rFonts w:cs="Calibri"/>
              </w:rPr>
            </w:pPr>
            <w:r w:rsidRPr="00D9348B">
              <w:rPr>
                <w:rFonts w:cs="Calibri"/>
              </w:rPr>
              <w:t>–3.0</w:t>
            </w:r>
          </w:p>
        </w:tc>
        <w:tc>
          <w:tcPr>
            <w:tcW w:w="1011" w:type="pct"/>
            <w:tcBorders>
              <w:left w:val="single" w:sz="4" w:space="0" w:color="365F91"/>
            </w:tcBorders>
            <w:shd w:val="clear" w:color="auto" w:fill="auto"/>
            <w:noWrap/>
            <w:hideMark/>
          </w:tcPr>
          <w:p w14:paraId="1A94C4A2" w14:textId="77777777" w:rsidR="00E20138" w:rsidRPr="00D9348B" w:rsidRDefault="00E20138" w:rsidP="00DB330E">
            <w:pPr>
              <w:pStyle w:val="TableText"/>
              <w:spacing w:before="50" w:after="50"/>
              <w:jc w:val="center"/>
              <w:rPr>
                <w:rFonts w:cs="Calibri"/>
              </w:rPr>
            </w:pPr>
            <w:r w:rsidRPr="00D9348B">
              <w:rPr>
                <w:rFonts w:cs="Calibri"/>
              </w:rPr>
              <w:t>±50.0</w:t>
            </w:r>
          </w:p>
        </w:tc>
      </w:tr>
      <w:tr w:rsidR="00E20138" w:rsidRPr="00D9348B" w14:paraId="581FFD56" w14:textId="77777777" w:rsidTr="008936D4">
        <w:tc>
          <w:tcPr>
            <w:tcW w:w="320" w:type="pct"/>
            <w:tcBorders>
              <w:right w:val="single" w:sz="4" w:space="0" w:color="365F91"/>
            </w:tcBorders>
            <w:shd w:val="clear" w:color="auto" w:fill="auto"/>
            <w:noWrap/>
            <w:hideMark/>
          </w:tcPr>
          <w:p w14:paraId="639C2465" w14:textId="77777777" w:rsidR="00E20138" w:rsidRPr="00D9348B" w:rsidRDefault="00E20138" w:rsidP="00DB330E">
            <w:pPr>
              <w:pStyle w:val="TableText"/>
              <w:spacing w:before="50" w:after="50"/>
              <w:rPr>
                <w:rFonts w:cs="Calibri"/>
              </w:rPr>
            </w:pPr>
            <w:r w:rsidRPr="00D9348B">
              <w:rPr>
                <w:rFonts w:cs="Calibri"/>
              </w:rPr>
              <w:t> </w:t>
            </w:r>
          </w:p>
        </w:tc>
        <w:tc>
          <w:tcPr>
            <w:tcW w:w="2695" w:type="pct"/>
            <w:tcBorders>
              <w:top w:val="single" w:sz="4" w:space="0" w:color="365F91"/>
              <w:left w:val="single" w:sz="4" w:space="0" w:color="365F91"/>
              <w:bottom w:val="single" w:sz="4" w:space="0" w:color="365F91"/>
              <w:right w:val="single" w:sz="4" w:space="0" w:color="365F91"/>
            </w:tcBorders>
            <w:shd w:val="clear" w:color="auto" w:fill="auto"/>
            <w:noWrap/>
            <w:hideMark/>
          </w:tcPr>
          <w:p w14:paraId="782D1612" w14:textId="77777777" w:rsidR="00E20138" w:rsidRPr="00D9348B" w:rsidRDefault="00E20138" w:rsidP="00DB330E">
            <w:pPr>
              <w:pStyle w:val="TableText"/>
              <w:spacing w:before="50" w:after="50"/>
              <w:rPr>
                <w:rFonts w:cs="Calibri"/>
              </w:rPr>
            </w:pPr>
            <w:r w:rsidRPr="00D9348B">
              <w:rPr>
                <w:rFonts w:cs="Calibri"/>
              </w:rPr>
              <w:t>Gaseous fuels</w:t>
            </w:r>
          </w:p>
        </w:tc>
        <w:tc>
          <w:tcPr>
            <w:tcW w:w="974" w:type="pct"/>
            <w:tcBorders>
              <w:top w:val="single" w:sz="4" w:space="0" w:color="365F91"/>
              <w:left w:val="single" w:sz="4" w:space="0" w:color="365F91"/>
              <w:bottom w:val="single" w:sz="4" w:space="0" w:color="365F91"/>
              <w:right w:val="single" w:sz="4" w:space="0" w:color="365F91"/>
            </w:tcBorders>
            <w:shd w:val="clear" w:color="auto" w:fill="auto"/>
            <w:noWrap/>
            <w:hideMark/>
          </w:tcPr>
          <w:p w14:paraId="74B4B981" w14:textId="77777777" w:rsidR="00E20138" w:rsidRPr="00D9348B" w:rsidRDefault="00E20138" w:rsidP="00DB330E">
            <w:pPr>
              <w:pStyle w:val="TableText"/>
              <w:spacing w:before="50" w:after="50"/>
              <w:jc w:val="center"/>
              <w:rPr>
                <w:rFonts w:cs="Calibri"/>
              </w:rPr>
            </w:pPr>
            <w:r w:rsidRPr="00D9348B">
              <w:rPr>
                <w:rFonts w:cs="Calibri"/>
              </w:rPr>
              <w:t>–0.1</w:t>
            </w:r>
          </w:p>
        </w:tc>
        <w:tc>
          <w:tcPr>
            <w:tcW w:w="1011" w:type="pct"/>
            <w:tcBorders>
              <w:left w:val="single" w:sz="4" w:space="0" w:color="365F91"/>
            </w:tcBorders>
            <w:shd w:val="clear" w:color="auto" w:fill="auto"/>
            <w:noWrap/>
            <w:hideMark/>
          </w:tcPr>
          <w:p w14:paraId="543D8B90" w14:textId="77777777" w:rsidR="00E20138" w:rsidRPr="00D9348B" w:rsidRDefault="00E20138" w:rsidP="00DB330E">
            <w:pPr>
              <w:pStyle w:val="TableText"/>
              <w:spacing w:before="50" w:after="50"/>
              <w:jc w:val="center"/>
              <w:rPr>
                <w:rFonts w:cs="Calibri"/>
              </w:rPr>
            </w:pPr>
            <w:r w:rsidRPr="00D9348B">
              <w:rPr>
                <w:rFonts w:cs="Calibri"/>
              </w:rPr>
              <w:t>±50.0</w:t>
            </w:r>
          </w:p>
        </w:tc>
      </w:tr>
      <w:tr w:rsidR="00E20138" w:rsidRPr="00D9348B" w14:paraId="12DD99E8" w14:textId="77777777" w:rsidTr="008936D4">
        <w:tc>
          <w:tcPr>
            <w:tcW w:w="320" w:type="pct"/>
            <w:tcBorders>
              <w:right w:val="single" w:sz="4" w:space="0" w:color="365F91"/>
            </w:tcBorders>
            <w:shd w:val="clear" w:color="auto" w:fill="auto"/>
            <w:noWrap/>
          </w:tcPr>
          <w:p w14:paraId="5E46A6E7" w14:textId="77777777" w:rsidR="00E20138" w:rsidRPr="00D9348B" w:rsidRDefault="00E20138" w:rsidP="00DB330E">
            <w:pPr>
              <w:pStyle w:val="TableText"/>
              <w:spacing w:before="50" w:after="50"/>
              <w:rPr>
                <w:rFonts w:cs="Calibri"/>
              </w:rPr>
            </w:pPr>
          </w:p>
        </w:tc>
        <w:tc>
          <w:tcPr>
            <w:tcW w:w="2695" w:type="pct"/>
            <w:tcBorders>
              <w:top w:val="single" w:sz="4" w:space="0" w:color="365F91"/>
              <w:left w:val="single" w:sz="4" w:space="0" w:color="365F91"/>
              <w:bottom w:val="single" w:sz="4" w:space="0" w:color="365F91"/>
              <w:right w:val="single" w:sz="4" w:space="0" w:color="365F91"/>
            </w:tcBorders>
            <w:shd w:val="clear" w:color="auto" w:fill="auto"/>
            <w:noWrap/>
          </w:tcPr>
          <w:p w14:paraId="577DE3E1" w14:textId="77777777" w:rsidR="00E20138" w:rsidRPr="00D9348B" w:rsidRDefault="00E20138" w:rsidP="00DB330E">
            <w:pPr>
              <w:pStyle w:val="TableText"/>
              <w:spacing w:before="50" w:after="50"/>
              <w:rPr>
                <w:rFonts w:cs="Calibri"/>
                <w:b/>
              </w:rPr>
            </w:pPr>
            <w:r w:rsidRPr="00D9348B">
              <w:rPr>
                <w:rFonts w:cs="Calibri"/>
              </w:rPr>
              <w:t>Biomass</w:t>
            </w:r>
          </w:p>
        </w:tc>
        <w:tc>
          <w:tcPr>
            <w:tcW w:w="974" w:type="pct"/>
            <w:tcBorders>
              <w:top w:val="single" w:sz="4" w:space="0" w:color="365F91"/>
              <w:left w:val="single" w:sz="4" w:space="0" w:color="365F91"/>
              <w:bottom w:val="single" w:sz="4" w:space="0" w:color="365F91"/>
              <w:right w:val="single" w:sz="4" w:space="0" w:color="365F91"/>
            </w:tcBorders>
            <w:shd w:val="clear" w:color="auto" w:fill="auto"/>
            <w:noWrap/>
          </w:tcPr>
          <w:p w14:paraId="139C012A" w14:textId="77777777" w:rsidR="00E20138" w:rsidRPr="00D9348B" w:rsidRDefault="00E20138" w:rsidP="00DB330E">
            <w:pPr>
              <w:pStyle w:val="TableText"/>
              <w:spacing w:before="50" w:after="50"/>
              <w:jc w:val="center"/>
              <w:rPr>
                <w:rFonts w:cs="Calibri"/>
              </w:rPr>
            </w:pPr>
            <w:r w:rsidRPr="00D9348B">
              <w:rPr>
                <w:rFonts w:cs="Calibri"/>
              </w:rPr>
              <w:t>50.0</w:t>
            </w:r>
          </w:p>
        </w:tc>
        <w:tc>
          <w:tcPr>
            <w:tcW w:w="1011" w:type="pct"/>
            <w:tcBorders>
              <w:left w:val="single" w:sz="4" w:space="0" w:color="365F91"/>
            </w:tcBorders>
            <w:shd w:val="clear" w:color="auto" w:fill="auto"/>
            <w:noWrap/>
          </w:tcPr>
          <w:p w14:paraId="62E5543D" w14:textId="77777777" w:rsidR="00E20138" w:rsidRPr="00D9348B" w:rsidRDefault="00E20138" w:rsidP="00DB330E">
            <w:pPr>
              <w:pStyle w:val="TableText"/>
              <w:spacing w:before="50" w:after="50"/>
              <w:jc w:val="center"/>
              <w:rPr>
                <w:rFonts w:cs="Calibri"/>
              </w:rPr>
            </w:pPr>
            <w:r w:rsidRPr="00D9348B">
              <w:rPr>
                <w:rFonts w:cs="Calibri"/>
              </w:rPr>
              <w:t>±50.0</w:t>
            </w:r>
          </w:p>
        </w:tc>
      </w:tr>
      <w:tr w:rsidR="00E20138" w:rsidRPr="00D9348B" w14:paraId="1352AE2A" w14:textId="77777777" w:rsidTr="008936D4">
        <w:tc>
          <w:tcPr>
            <w:tcW w:w="320" w:type="pct"/>
            <w:tcBorders>
              <w:right w:val="single" w:sz="4" w:space="0" w:color="365F91"/>
            </w:tcBorders>
            <w:shd w:val="clear" w:color="auto" w:fill="auto"/>
            <w:noWrap/>
          </w:tcPr>
          <w:p w14:paraId="5A66026A" w14:textId="77777777" w:rsidR="00E20138" w:rsidRPr="00D9348B" w:rsidRDefault="00E20138" w:rsidP="00DB330E">
            <w:pPr>
              <w:pStyle w:val="TableText"/>
              <w:spacing w:before="50" w:after="50"/>
              <w:rPr>
                <w:rFonts w:cs="Calibri"/>
              </w:rPr>
            </w:pPr>
          </w:p>
        </w:tc>
        <w:tc>
          <w:tcPr>
            <w:tcW w:w="2695" w:type="pct"/>
            <w:tcBorders>
              <w:top w:val="single" w:sz="4" w:space="0" w:color="365F91"/>
              <w:left w:val="single" w:sz="4" w:space="0" w:color="365F91"/>
              <w:bottom w:val="single" w:sz="4" w:space="0" w:color="365F91"/>
              <w:right w:val="single" w:sz="4" w:space="0" w:color="365F91"/>
            </w:tcBorders>
            <w:shd w:val="clear" w:color="auto" w:fill="auto"/>
            <w:noWrap/>
          </w:tcPr>
          <w:p w14:paraId="16779200" w14:textId="77777777" w:rsidR="00E20138" w:rsidRPr="00D9348B" w:rsidRDefault="00E20138" w:rsidP="00DB330E">
            <w:pPr>
              <w:pStyle w:val="TableText"/>
              <w:spacing w:before="50" w:after="50"/>
              <w:rPr>
                <w:rFonts w:cs="Calibri"/>
              </w:rPr>
            </w:pPr>
            <w:r w:rsidRPr="00D9348B">
              <w:rPr>
                <w:rFonts w:cs="Calibri"/>
              </w:rPr>
              <w:t>Fugitive – venting/flaring</w:t>
            </w:r>
          </w:p>
        </w:tc>
        <w:tc>
          <w:tcPr>
            <w:tcW w:w="974" w:type="pct"/>
            <w:tcBorders>
              <w:top w:val="single" w:sz="4" w:space="0" w:color="365F91"/>
              <w:left w:val="single" w:sz="4" w:space="0" w:color="365F91"/>
              <w:bottom w:val="single" w:sz="4" w:space="0" w:color="365F91"/>
              <w:right w:val="single" w:sz="4" w:space="0" w:color="365F91"/>
            </w:tcBorders>
            <w:shd w:val="clear" w:color="auto" w:fill="auto"/>
            <w:noWrap/>
          </w:tcPr>
          <w:p w14:paraId="0428B649" w14:textId="77777777" w:rsidR="00E20138" w:rsidRPr="00D9348B" w:rsidRDefault="00E20138" w:rsidP="00DB330E">
            <w:pPr>
              <w:pStyle w:val="TableText"/>
              <w:spacing w:before="50" w:after="50"/>
              <w:jc w:val="center"/>
              <w:rPr>
                <w:rFonts w:cs="Calibri"/>
              </w:rPr>
            </w:pPr>
            <w:r w:rsidRPr="00D9348B">
              <w:rPr>
                <w:rFonts w:cs="Calibri"/>
              </w:rPr>
              <w:t>5.0</w:t>
            </w:r>
          </w:p>
        </w:tc>
        <w:tc>
          <w:tcPr>
            <w:tcW w:w="1011" w:type="pct"/>
            <w:tcBorders>
              <w:left w:val="single" w:sz="4" w:space="0" w:color="365F91"/>
            </w:tcBorders>
            <w:shd w:val="clear" w:color="auto" w:fill="auto"/>
            <w:noWrap/>
          </w:tcPr>
          <w:p w14:paraId="28E5CF69" w14:textId="77777777" w:rsidR="00E20138" w:rsidRPr="00D9348B" w:rsidRDefault="00E20138" w:rsidP="00DB330E">
            <w:pPr>
              <w:pStyle w:val="TableText"/>
              <w:spacing w:before="50" w:after="50"/>
              <w:jc w:val="center"/>
              <w:rPr>
                <w:rFonts w:cs="Calibri"/>
              </w:rPr>
            </w:pPr>
            <w:r w:rsidRPr="00D9348B">
              <w:rPr>
                <w:rFonts w:cs="Calibri"/>
              </w:rPr>
              <w:t>±100.0</w:t>
            </w:r>
          </w:p>
        </w:tc>
      </w:tr>
    </w:tbl>
    <w:p w14:paraId="65F02B84" w14:textId="77777777" w:rsidR="00E20138" w:rsidRPr="00D9348B" w:rsidRDefault="00E20138" w:rsidP="00E20138">
      <w:pPr>
        <w:pStyle w:val="BodyText"/>
        <w:spacing w:before="240"/>
        <w:rPr>
          <w:rFonts w:cs="Calibri"/>
        </w:rPr>
      </w:pPr>
      <w:r w:rsidRPr="00D9348B">
        <w:rPr>
          <w:rFonts w:cs="Calibri"/>
          <w:lang w:eastAsia="en-GB"/>
        </w:rPr>
        <w:t>New Zealand uses the percentage difference between annual calculated consumer energy from supply-side surveys and annual observed consumer energy from demand-side surveys to estimate activity data uncertainty. As a result, activity data uncertainty can vary significantly from year to year.</w:t>
      </w:r>
    </w:p>
    <w:p w14:paraId="49C251E0" w14:textId="77777777" w:rsidR="00E20138" w:rsidRPr="00D9348B" w:rsidRDefault="00E20138" w:rsidP="00180C1C">
      <w:pPr>
        <w:pStyle w:val="Heading3"/>
        <w:spacing w:before="240"/>
        <w:rPr>
          <w:rFonts w:cs="Calibri"/>
        </w:rPr>
      </w:pPr>
      <w:r w:rsidRPr="00D9348B">
        <w:rPr>
          <w:rFonts w:cs="Calibri"/>
        </w:rPr>
        <w:t>3.3.6</w:t>
      </w:r>
      <w:r w:rsidRPr="00D9348B">
        <w:rPr>
          <w:rFonts w:cs="Calibri"/>
        </w:rPr>
        <w:tab/>
        <w:t>Fuel combustion: Energy industries (CRF 1.A.1)</w:t>
      </w:r>
    </w:p>
    <w:p w14:paraId="3ECBDFEF" w14:textId="77777777" w:rsidR="00E20138" w:rsidRPr="00D9348B" w:rsidRDefault="00E20138" w:rsidP="00865BDB">
      <w:pPr>
        <w:pStyle w:val="Heading4"/>
      </w:pPr>
      <w:r w:rsidRPr="00D9348B">
        <w:rPr>
          <w:lang w:eastAsia="en-GB"/>
        </w:rPr>
        <w:t>Description</w:t>
      </w:r>
    </w:p>
    <w:p w14:paraId="2E5A9A55" w14:textId="77777777" w:rsidR="00E20138" w:rsidRPr="00D9348B" w:rsidRDefault="00E20138" w:rsidP="00E20138">
      <w:pPr>
        <w:pStyle w:val="BodyText"/>
        <w:rPr>
          <w:rFonts w:cs="Calibri"/>
          <w:lang w:eastAsia="en-GB"/>
        </w:rPr>
      </w:pPr>
      <w:r w:rsidRPr="00D9348B">
        <w:rPr>
          <w:rFonts w:cs="Calibri"/>
          <w:lang w:eastAsia="en-GB"/>
        </w:rPr>
        <w:t xml:space="preserve">This category includes combustion for public electricity and heat production, petroleum refining and the manufacture of solid fuels and other energy industries. The latter category includes estimates for natural gas in oil and gas extraction and from natural gas in synthetic gasoline production. The excess </w:t>
      </w:r>
      <w:r w:rsidRPr="00D9348B">
        <w:rPr>
          <w:rFonts w:cs="Calibri"/>
        </w:rPr>
        <w:t>CO</w:t>
      </w:r>
      <w:r w:rsidRPr="00D9348B">
        <w:rPr>
          <w:rFonts w:cs="Calibri"/>
          <w:vertAlign w:val="subscript"/>
        </w:rPr>
        <w:t>2</w:t>
      </w:r>
      <w:r w:rsidRPr="00D9348B">
        <w:rPr>
          <w:rFonts w:cs="Calibri"/>
          <w:sz w:val="14"/>
          <w:szCs w:val="14"/>
          <w:lang w:eastAsia="en-GB"/>
        </w:rPr>
        <w:t xml:space="preserve"> </w:t>
      </w:r>
      <w:r w:rsidRPr="00D9348B">
        <w:rPr>
          <w:rFonts w:cs="Calibri"/>
          <w:lang w:eastAsia="en-GB"/>
        </w:rPr>
        <w:t xml:space="preserve">removed from Kapuni gas at the Kapuni Gas Treatment Plant has also been reported under the </w:t>
      </w:r>
      <w:r w:rsidRPr="00D9348B">
        <w:rPr>
          <w:rFonts w:cs="Calibri"/>
          <w:i/>
          <w:lang w:eastAsia="en-GB"/>
        </w:rPr>
        <w:t>Manufacture of solid fuels and other energy industries</w:t>
      </w:r>
      <w:r w:rsidRPr="00D9348B">
        <w:rPr>
          <w:rFonts w:cs="Calibri"/>
          <w:lang w:eastAsia="en-GB"/>
        </w:rPr>
        <w:t xml:space="preserve"> category because of confidentiality concerns.</w:t>
      </w:r>
    </w:p>
    <w:p w14:paraId="64DF85CB" w14:textId="77777777" w:rsidR="00E20138" w:rsidRPr="00D9348B" w:rsidRDefault="00E20138" w:rsidP="00E20138">
      <w:pPr>
        <w:pStyle w:val="BodyText"/>
        <w:rPr>
          <w:rFonts w:cs="Calibri"/>
          <w:lang w:eastAsia="en-GB"/>
        </w:rPr>
      </w:pPr>
      <w:r w:rsidRPr="00D9348B">
        <w:rPr>
          <w:rFonts w:cs="Calibri"/>
          <w:lang w:eastAsia="en-GB"/>
        </w:rPr>
        <w:t xml:space="preserve">In </w:t>
      </w:r>
      <w:r w:rsidRPr="00D9348B">
        <w:rPr>
          <w:rFonts w:cs="Calibri"/>
        </w:rPr>
        <w:t>2018</w:t>
      </w:r>
      <w:r w:rsidRPr="00D9348B">
        <w:rPr>
          <w:rFonts w:cs="Calibri"/>
          <w:lang w:eastAsia="en-GB"/>
        </w:rPr>
        <w:t xml:space="preserve">, emissions in category 1.A.1 </w:t>
      </w:r>
      <w:r w:rsidRPr="00D9348B">
        <w:rPr>
          <w:rFonts w:cs="Calibri"/>
          <w:i/>
          <w:lang w:eastAsia="en-GB"/>
        </w:rPr>
        <w:t>Energy industries</w:t>
      </w:r>
      <w:r w:rsidRPr="00D9348B">
        <w:rPr>
          <w:rFonts w:cs="Calibri"/>
          <w:lang w:eastAsia="en-GB"/>
        </w:rPr>
        <w:t xml:space="preserve"> totalled </w:t>
      </w:r>
      <w:r w:rsidRPr="00D9348B">
        <w:rPr>
          <w:rFonts w:cs="Calibri"/>
        </w:rPr>
        <w:t xml:space="preserve">4,355.4 </w:t>
      </w:r>
      <w:r w:rsidRPr="00D9348B">
        <w:rPr>
          <w:rFonts w:cs="Calibri"/>
          <w:lang w:eastAsia="en-GB"/>
        </w:rPr>
        <w:t>kt CO</w:t>
      </w:r>
      <w:r w:rsidRPr="00D9348B">
        <w:rPr>
          <w:rFonts w:cs="Calibri"/>
          <w:vertAlign w:val="subscript"/>
          <w:lang w:eastAsia="en-GB"/>
        </w:rPr>
        <w:t>2</w:t>
      </w:r>
      <w:r w:rsidRPr="00D9348B">
        <w:rPr>
          <w:rFonts w:cs="Calibri"/>
          <w:lang w:eastAsia="en-GB"/>
        </w:rPr>
        <w:t>-e (</w:t>
      </w:r>
      <w:r w:rsidRPr="00D9348B">
        <w:rPr>
          <w:rFonts w:cs="Calibri"/>
        </w:rPr>
        <w:t>13.6 per cent</w:t>
      </w:r>
      <w:r w:rsidRPr="00D9348B">
        <w:rPr>
          <w:rFonts w:cs="Calibri"/>
          <w:lang w:eastAsia="en-GB"/>
        </w:rPr>
        <w:t xml:space="preserve"> of the Energy sector emissions). Emissions from energy industries in 2018 were</w:t>
      </w:r>
      <w:r w:rsidRPr="00D9348B">
        <w:rPr>
          <w:rFonts w:cs="Calibri"/>
        </w:rPr>
        <w:t xml:space="preserve"> 1,648.5 </w:t>
      </w:r>
      <w:r w:rsidRPr="00D9348B">
        <w:rPr>
          <w:rFonts w:cs="Calibri"/>
          <w:lang w:eastAsia="en-GB"/>
        </w:rPr>
        <w:t>kt CO</w:t>
      </w:r>
      <w:r w:rsidRPr="00D9348B">
        <w:rPr>
          <w:rFonts w:cs="Calibri"/>
          <w:vertAlign w:val="subscript"/>
          <w:lang w:eastAsia="en-GB"/>
        </w:rPr>
        <w:t>2</w:t>
      </w:r>
      <w:r w:rsidRPr="00D9348B">
        <w:rPr>
          <w:rFonts w:cs="Calibri"/>
          <w:lang w:eastAsia="en-GB"/>
        </w:rPr>
        <w:noBreakHyphen/>
        <w:t>e (27.5</w:t>
      </w:r>
      <w:r w:rsidRPr="00D9348B">
        <w:rPr>
          <w:rFonts w:cs="Calibri"/>
        </w:rPr>
        <w:t xml:space="preserve"> per cent</w:t>
      </w:r>
      <w:r w:rsidRPr="00D9348B">
        <w:rPr>
          <w:rFonts w:cs="Calibri"/>
          <w:lang w:eastAsia="en-GB"/>
        </w:rPr>
        <w:t xml:space="preserve">) lower than the 1990 level of </w:t>
      </w:r>
      <w:r w:rsidRPr="00D9348B">
        <w:rPr>
          <w:rFonts w:cs="Calibri"/>
        </w:rPr>
        <w:t xml:space="preserve">6,003.9 </w:t>
      </w:r>
      <w:r w:rsidRPr="00D9348B">
        <w:rPr>
          <w:rFonts w:cs="Calibri"/>
          <w:lang w:eastAsia="en-GB"/>
        </w:rPr>
        <w:t>kt CO</w:t>
      </w:r>
      <w:r w:rsidRPr="00D9348B">
        <w:rPr>
          <w:rFonts w:cs="Calibri"/>
          <w:vertAlign w:val="subscript"/>
          <w:lang w:eastAsia="en-GB"/>
        </w:rPr>
        <w:t>2</w:t>
      </w:r>
      <w:r w:rsidRPr="00D9348B">
        <w:rPr>
          <w:rFonts w:cs="Calibri"/>
          <w:lang w:eastAsia="en-GB"/>
        </w:rPr>
        <w:t xml:space="preserve">-e. Category 1.A.1.a </w:t>
      </w:r>
      <w:r w:rsidRPr="00D9348B">
        <w:rPr>
          <w:rFonts w:cs="Calibri"/>
          <w:i/>
          <w:lang w:eastAsia="en-GB"/>
        </w:rPr>
        <w:t>Public electricity and heat production</w:t>
      </w:r>
      <w:r w:rsidRPr="00D9348B">
        <w:rPr>
          <w:rFonts w:cs="Calibri"/>
          <w:lang w:eastAsia="en-GB"/>
        </w:rPr>
        <w:t xml:space="preserve"> accounted for </w:t>
      </w:r>
      <w:r w:rsidRPr="00D9348B">
        <w:rPr>
          <w:rFonts w:cs="Calibri"/>
        </w:rPr>
        <w:t xml:space="preserve">3,310.8 </w:t>
      </w:r>
      <w:r w:rsidRPr="00D9348B">
        <w:rPr>
          <w:rFonts w:cs="Calibri"/>
          <w:lang w:eastAsia="en-GB"/>
        </w:rPr>
        <w:t>kt CO</w:t>
      </w:r>
      <w:r w:rsidRPr="00D9348B">
        <w:rPr>
          <w:rFonts w:cs="Calibri"/>
          <w:vertAlign w:val="subscript"/>
          <w:lang w:eastAsia="en-GB"/>
        </w:rPr>
        <w:t>2</w:t>
      </w:r>
      <w:r w:rsidRPr="00D9348B">
        <w:rPr>
          <w:rFonts w:cs="Calibri"/>
          <w:lang w:eastAsia="en-GB"/>
        </w:rPr>
        <w:t xml:space="preserve">-e of emissions from the </w:t>
      </w:r>
      <w:r w:rsidRPr="00D9348B">
        <w:rPr>
          <w:rFonts w:cs="Calibri"/>
          <w:i/>
          <w:lang w:eastAsia="en-GB"/>
        </w:rPr>
        <w:t>Energy industries</w:t>
      </w:r>
      <w:r w:rsidRPr="00D9348B">
        <w:rPr>
          <w:rFonts w:cs="Calibri"/>
          <w:lang w:eastAsia="en-GB"/>
        </w:rPr>
        <w:t xml:space="preserve"> category in </w:t>
      </w:r>
      <w:r w:rsidRPr="00D9348B">
        <w:rPr>
          <w:rFonts w:cs="Calibri"/>
        </w:rPr>
        <w:t>2018</w:t>
      </w:r>
      <w:r w:rsidRPr="00D9348B">
        <w:rPr>
          <w:rFonts w:cs="Calibri"/>
          <w:lang w:eastAsia="en-GB"/>
        </w:rPr>
        <w:t>. This is 191.4</w:t>
      </w:r>
      <w:r w:rsidRPr="00D9348B">
        <w:rPr>
          <w:rFonts w:cs="Calibri"/>
        </w:rPr>
        <w:t> </w:t>
      </w:r>
      <w:r w:rsidRPr="00D9348B">
        <w:rPr>
          <w:rFonts w:cs="Calibri"/>
          <w:lang w:eastAsia="en-GB"/>
        </w:rPr>
        <w:t>kt CO</w:t>
      </w:r>
      <w:r w:rsidRPr="00D9348B">
        <w:rPr>
          <w:rFonts w:cs="Calibri"/>
          <w:vertAlign w:val="subscript"/>
          <w:lang w:eastAsia="en-GB"/>
        </w:rPr>
        <w:t>2</w:t>
      </w:r>
      <w:r w:rsidRPr="00D9348B">
        <w:rPr>
          <w:rFonts w:cs="Calibri"/>
          <w:lang w:eastAsia="en-GB"/>
        </w:rPr>
        <w:noBreakHyphen/>
        <w:t>e (5.5</w:t>
      </w:r>
      <w:r w:rsidRPr="00D9348B">
        <w:rPr>
          <w:rFonts w:cs="Calibri"/>
        </w:rPr>
        <w:t> per cent</w:t>
      </w:r>
      <w:r w:rsidRPr="00D9348B">
        <w:rPr>
          <w:rFonts w:cs="Calibri"/>
          <w:lang w:eastAsia="en-GB"/>
        </w:rPr>
        <w:t xml:space="preserve">) lower than the 1990 level of </w:t>
      </w:r>
      <w:r w:rsidRPr="00D9348B">
        <w:rPr>
          <w:rFonts w:cs="Calibri"/>
        </w:rPr>
        <w:t xml:space="preserve">3,502.3 </w:t>
      </w:r>
      <w:r w:rsidRPr="00D9348B">
        <w:rPr>
          <w:rFonts w:cs="Calibri"/>
          <w:lang w:eastAsia="en-GB"/>
        </w:rPr>
        <w:t>kt CO</w:t>
      </w:r>
      <w:r w:rsidRPr="00D9348B">
        <w:rPr>
          <w:rFonts w:cs="Calibri"/>
          <w:vertAlign w:val="subscript"/>
          <w:lang w:eastAsia="en-GB"/>
        </w:rPr>
        <w:t>2</w:t>
      </w:r>
      <w:r w:rsidRPr="00D9348B">
        <w:rPr>
          <w:rFonts w:cs="Calibri"/>
          <w:lang w:eastAsia="en-GB"/>
        </w:rPr>
        <w:t>-e.</w:t>
      </w:r>
    </w:p>
    <w:p w14:paraId="6E1CB18F" w14:textId="77777777" w:rsidR="00E20138" w:rsidRPr="00D9348B" w:rsidRDefault="00E20138" w:rsidP="00865BDB">
      <w:pPr>
        <w:pStyle w:val="Heading4"/>
      </w:pPr>
      <w:r w:rsidRPr="00D9348B">
        <w:rPr>
          <w:lang w:eastAsia="en-GB"/>
        </w:rPr>
        <w:t xml:space="preserve">Changes in emissions between </w:t>
      </w:r>
      <w:r w:rsidRPr="00D9348B">
        <w:t xml:space="preserve">2017 </w:t>
      </w:r>
      <w:r w:rsidRPr="00D9348B">
        <w:rPr>
          <w:lang w:eastAsia="en-GB"/>
        </w:rPr>
        <w:t xml:space="preserve">and </w:t>
      </w:r>
      <w:r w:rsidRPr="00D9348B">
        <w:t>2018</w:t>
      </w:r>
    </w:p>
    <w:p w14:paraId="5DD49B9B" w14:textId="77777777" w:rsidR="00E20138" w:rsidRPr="00D9348B" w:rsidRDefault="00E20138" w:rsidP="00E20138">
      <w:pPr>
        <w:pStyle w:val="BodyText"/>
        <w:rPr>
          <w:rFonts w:cs="Calibri"/>
          <w:lang w:eastAsia="en-GB"/>
        </w:rPr>
      </w:pPr>
      <w:r w:rsidRPr="00D9348B">
        <w:rPr>
          <w:rFonts w:cs="Calibri"/>
          <w:lang w:eastAsia="en-GB"/>
        </w:rPr>
        <w:t xml:space="preserve">Between </w:t>
      </w:r>
      <w:r w:rsidRPr="00D9348B">
        <w:rPr>
          <w:rFonts w:cs="Calibri"/>
        </w:rPr>
        <w:t xml:space="preserve">2017 </w:t>
      </w:r>
      <w:r w:rsidRPr="00D9348B">
        <w:rPr>
          <w:rFonts w:cs="Calibri"/>
          <w:lang w:eastAsia="en-GB"/>
        </w:rPr>
        <w:t xml:space="preserve">and </w:t>
      </w:r>
      <w:r w:rsidRPr="00D9348B">
        <w:rPr>
          <w:rFonts w:cs="Calibri"/>
        </w:rPr>
        <w:t>2018</w:t>
      </w:r>
      <w:r w:rsidRPr="00D9348B">
        <w:rPr>
          <w:rFonts w:cs="Calibri"/>
          <w:lang w:eastAsia="en-GB"/>
        </w:rPr>
        <w:t xml:space="preserve">, there was a </w:t>
      </w:r>
      <w:r w:rsidRPr="00D9348B">
        <w:rPr>
          <w:rFonts w:cs="Calibri"/>
        </w:rPr>
        <w:t xml:space="preserve">decrease of 305.4 </w:t>
      </w:r>
      <w:r w:rsidRPr="00D9348B">
        <w:rPr>
          <w:rFonts w:cs="Calibri"/>
          <w:lang w:eastAsia="en-GB"/>
        </w:rPr>
        <w:t>kt CO</w:t>
      </w:r>
      <w:r w:rsidRPr="00D9348B">
        <w:rPr>
          <w:rFonts w:cs="Calibri"/>
          <w:vertAlign w:val="subscript"/>
          <w:lang w:eastAsia="en-GB"/>
        </w:rPr>
        <w:t>2</w:t>
      </w:r>
      <w:r w:rsidRPr="00D9348B">
        <w:rPr>
          <w:rFonts w:cs="Calibri"/>
          <w:lang w:eastAsia="en-GB"/>
        </w:rPr>
        <w:t>-e (8.4</w:t>
      </w:r>
      <w:r w:rsidRPr="00D9348B">
        <w:rPr>
          <w:rFonts w:cs="Calibri"/>
        </w:rPr>
        <w:t xml:space="preserve"> per cent</w:t>
      </w:r>
      <w:r w:rsidRPr="00D9348B">
        <w:rPr>
          <w:rFonts w:cs="Calibri"/>
          <w:lang w:eastAsia="en-GB"/>
        </w:rPr>
        <w:t xml:space="preserve">) in emissions from 1.A.1.a </w:t>
      </w:r>
      <w:r w:rsidRPr="00D9348B">
        <w:rPr>
          <w:rFonts w:cs="Calibri"/>
          <w:i/>
          <w:lang w:eastAsia="en-GB"/>
        </w:rPr>
        <w:t>Public electricity and heat production</w:t>
      </w:r>
      <w:r w:rsidRPr="00D9348B">
        <w:rPr>
          <w:rFonts w:cs="Calibri"/>
          <w:lang w:eastAsia="en-GB"/>
        </w:rPr>
        <w:t>. This was largely because the</w:t>
      </w:r>
      <w:r w:rsidRPr="00D9348B">
        <w:rPr>
          <w:rFonts w:cs="Calibri"/>
        </w:rPr>
        <w:t xml:space="preserve"> share of electricity generated from renewable energy sources was 84.0 per cent in 2018, up from 81.8 per cent in 2017. This resulted in decreased gas and coal-fired generation over the year, which together </w:t>
      </w:r>
      <w:r w:rsidRPr="00D9348B">
        <w:rPr>
          <w:rFonts w:cs="Calibri"/>
          <w:lang w:eastAsia="en-GB"/>
        </w:rPr>
        <w:t xml:space="preserve">decreased 11.8 per cent from </w:t>
      </w:r>
      <w:r w:rsidRPr="00D9348B">
        <w:rPr>
          <w:rFonts w:cs="Calibri"/>
        </w:rPr>
        <w:t>2017</w:t>
      </w:r>
      <w:r w:rsidRPr="00D9348B">
        <w:rPr>
          <w:rFonts w:cs="Calibri"/>
          <w:lang w:eastAsia="en-GB"/>
        </w:rPr>
        <w:t>.</w:t>
      </w:r>
    </w:p>
    <w:p w14:paraId="40626F70" w14:textId="77777777" w:rsidR="00E20138" w:rsidRPr="00D9348B" w:rsidRDefault="00E20138" w:rsidP="00E20138">
      <w:pPr>
        <w:pStyle w:val="BodyText"/>
        <w:rPr>
          <w:rFonts w:cs="Calibri"/>
        </w:rPr>
      </w:pPr>
      <w:r w:rsidRPr="00D9348B">
        <w:rPr>
          <w:rFonts w:cs="Calibri"/>
        </w:rPr>
        <w:t xml:space="preserve">Key categories identified in the 2018 level and trend assessment for the </w:t>
      </w:r>
      <w:r w:rsidRPr="00D9348B">
        <w:rPr>
          <w:rFonts w:cs="Calibri"/>
          <w:i/>
        </w:rPr>
        <w:t>Energy industries</w:t>
      </w:r>
      <w:r w:rsidRPr="00D9348B">
        <w:rPr>
          <w:rFonts w:cs="Calibri"/>
        </w:rPr>
        <w:t xml:space="preserve"> category are given in table 3.3.2.</w:t>
      </w:r>
    </w:p>
    <w:p w14:paraId="1B59E545" w14:textId="77777777" w:rsidR="00E20138" w:rsidRPr="00D9348B" w:rsidRDefault="00E20138" w:rsidP="005B1D32">
      <w:pPr>
        <w:pStyle w:val="Table"/>
      </w:pPr>
      <w:r w:rsidRPr="00D9348B">
        <w:t>Table 3.3.2</w:t>
      </w:r>
      <w:r w:rsidRPr="00D9348B">
        <w:tab/>
        <w:t>Key categories for 1.A.1 Energy industries</w:t>
      </w:r>
    </w:p>
    <w:tbl>
      <w:tblPr>
        <w:tblW w:w="8562" w:type="dxa"/>
        <w:tblInd w:w="108" w:type="dxa"/>
        <w:tblBorders>
          <w:top w:val="single" w:sz="4" w:space="0" w:color="1F497D"/>
          <w:bottom w:val="single" w:sz="4" w:space="0" w:color="1F497D"/>
          <w:insideH w:val="single" w:sz="4" w:space="0" w:color="1F497D"/>
          <w:insideV w:val="single" w:sz="4" w:space="0" w:color="1F497D"/>
        </w:tblBorders>
        <w:tblLayout w:type="fixed"/>
        <w:tblLook w:val="0420" w:firstRow="1" w:lastRow="0" w:firstColumn="0" w:lastColumn="0" w:noHBand="0" w:noVBand="1"/>
      </w:tblPr>
      <w:tblGrid>
        <w:gridCol w:w="4820"/>
        <w:gridCol w:w="1276"/>
        <w:gridCol w:w="1274"/>
        <w:gridCol w:w="1192"/>
      </w:tblGrid>
      <w:tr w:rsidR="00E20138" w:rsidRPr="00D9348B" w14:paraId="0A06B04B" w14:textId="77777777" w:rsidTr="00DB330E">
        <w:trPr>
          <w:tblHeader/>
        </w:trPr>
        <w:tc>
          <w:tcPr>
            <w:tcW w:w="2815" w:type="pct"/>
            <w:tcBorders>
              <w:right w:val="single" w:sz="4" w:space="0" w:color="365F91"/>
            </w:tcBorders>
            <w:shd w:val="clear" w:color="auto" w:fill="365F91"/>
            <w:noWrap/>
            <w:vAlign w:val="bottom"/>
            <w:hideMark/>
          </w:tcPr>
          <w:p w14:paraId="62BD49C7" w14:textId="77777777" w:rsidR="00E20138" w:rsidRPr="00D9348B" w:rsidRDefault="00E20138" w:rsidP="00DB330E">
            <w:pPr>
              <w:pStyle w:val="TableTextBold"/>
              <w:rPr>
                <w:rFonts w:cs="Calibri"/>
                <w:noProof w:val="0"/>
                <w:color w:val="FFFFFF"/>
              </w:rPr>
            </w:pPr>
          </w:p>
        </w:tc>
        <w:tc>
          <w:tcPr>
            <w:tcW w:w="745" w:type="pct"/>
            <w:tcBorders>
              <w:top w:val="single" w:sz="4" w:space="0" w:color="365F91"/>
              <w:left w:val="single" w:sz="4" w:space="0" w:color="365F91"/>
              <w:bottom w:val="single" w:sz="4" w:space="0" w:color="365F91"/>
              <w:right w:val="single" w:sz="4" w:space="0" w:color="365F91"/>
            </w:tcBorders>
            <w:shd w:val="clear" w:color="auto" w:fill="365F91"/>
            <w:noWrap/>
            <w:vAlign w:val="bottom"/>
            <w:hideMark/>
          </w:tcPr>
          <w:p w14:paraId="12C43C99" w14:textId="77777777" w:rsidR="00E20138" w:rsidRPr="00D9348B" w:rsidRDefault="00E20138" w:rsidP="00DB330E">
            <w:pPr>
              <w:pStyle w:val="TableTextBold"/>
              <w:rPr>
                <w:rFonts w:cs="Calibri"/>
                <w:noProof w:val="0"/>
                <w:color w:val="FFFFFF"/>
              </w:rPr>
            </w:pPr>
            <w:r w:rsidRPr="00D9348B">
              <w:rPr>
                <w:rFonts w:cs="Calibri"/>
                <w:noProof w:val="0"/>
                <w:color w:val="FFFFFF"/>
              </w:rPr>
              <w:t>Liquid fuels</w:t>
            </w:r>
          </w:p>
        </w:tc>
        <w:tc>
          <w:tcPr>
            <w:tcW w:w="744" w:type="pct"/>
            <w:tcBorders>
              <w:top w:val="single" w:sz="4" w:space="0" w:color="365F91"/>
              <w:left w:val="single" w:sz="4" w:space="0" w:color="365F91"/>
              <w:bottom w:val="single" w:sz="4" w:space="0" w:color="365F91"/>
              <w:right w:val="single" w:sz="4" w:space="0" w:color="365F91"/>
            </w:tcBorders>
            <w:shd w:val="clear" w:color="auto" w:fill="365F91"/>
            <w:vAlign w:val="bottom"/>
            <w:hideMark/>
          </w:tcPr>
          <w:p w14:paraId="0D55833D" w14:textId="77777777" w:rsidR="00E20138" w:rsidRPr="00D9348B" w:rsidRDefault="00E20138" w:rsidP="00DB330E">
            <w:pPr>
              <w:pStyle w:val="TableTextBold"/>
              <w:rPr>
                <w:rFonts w:cs="Calibri"/>
                <w:noProof w:val="0"/>
                <w:color w:val="FFFFFF"/>
              </w:rPr>
            </w:pPr>
            <w:r w:rsidRPr="00D9348B">
              <w:rPr>
                <w:rFonts w:cs="Calibri"/>
                <w:noProof w:val="0"/>
                <w:color w:val="FFFFFF"/>
              </w:rPr>
              <w:t>Solid fuels</w:t>
            </w:r>
          </w:p>
        </w:tc>
        <w:tc>
          <w:tcPr>
            <w:tcW w:w="696" w:type="pct"/>
            <w:tcBorders>
              <w:left w:val="single" w:sz="4" w:space="0" w:color="365F91"/>
            </w:tcBorders>
            <w:shd w:val="clear" w:color="auto" w:fill="365F91"/>
            <w:vAlign w:val="bottom"/>
            <w:hideMark/>
          </w:tcPr>
          <w:p w14:paraId="249883D8" w14:textId="77777777" w:rsidR="00E20138" w:rsidRPr="00D9348B" w:rsidRDefault="00E20138" w:rsidP="00DB330E">
            <w:pPr>
              <w:pStyle w:val="TableTextBold"/>
              <w:rPr>
                <w:rFonts w:cs="Calibri"/>
                <w:noProof w:val="0"/>
                <w:color w:val="FFFFFF"/>
              </w:rPr>
            </w:pPr>
            <w:r w:rsidRPr="00D9348B">
              <w:rPr>
                <w:rFonts w:cs="Calibri"/>
                <w:noProof w:val="0"/>
                <w:color w:val="FFFFFF"/>
              </w:rPr>
              <w:t>Gaseous fuels</w:t>
            </w:r>
          </w:p>
        </w:tc>
      </w:tr>
      <w:tr w:rsidR="00E20138" w:rsidRPr="00D9348B" w14:paraId="0739B1E1" w14:textId="77777777" w:rsidTr="00DB330E">
        <w:tc>
          <w:tcPr>
            <w:tcW w:w="2815" w:type="pct"/>
            <w:tcBorders>
              <w:right w:val="single" w:sz="4" w:space="0" w:color="365F91"/>
            </w:tcBorders>
            <w:shd w:val="clear" w:color="auto" w:fill="auto"/>
            <w:noWrap/>
            <w:hideMark/>
          </w:tcPr>
          <w:p w14:paraId="3DA5D0EA" w14:textId="77777777" w:rsidR="00E20138" w:rsidRPr="00D9348B" w:rsidRDefault="00E20138" w:rsidP="00DB330E">
            <w:pPr>
              <w:pStyle w:val="TableText"/>
              <w:spacing w:before="50" w:after="50"/>
              <w:rPr>
                <w:rFonts w:cs="Calibri"/>
              </w:rPr>
            </w:pPr>
            <w:r w:rsidRPr="00D9348B">
              <w:rPr>
                <w:rFonts w:cs="Calibri"/>
              </w:rPr>
              <w:t>Public electricity and heat production – CO</w:t>
            </w:r>
            <w:r w:rsidRPr="00D9348B">
              <w:rPr>
                <w:rFonts w:cs="Calibri"/>
                <w:vertAlign w:val="subscript"/>
              </w:rPr>
              <w:t>2</w:t>
            </w:r>
          </w:p>
        </w:tc>
        <w:tc>
          <w:tcPr>
            <w:tcW w:w="745" w:type="pct"/>
            <w:tcBorders>
              <w:top w:val="single" w:sz="4" w:space="0" w:color="365F91"/>
              <w:left w:val="single" w:sz="4" w:space="0" w:color="365F91"/>
              <w:bottom w:val="single" w:sz="4" w:space="0" w:color="365F91"/>
              <w:right w:val="single" w:sz="4" w:space="0" w:color="365F91"/>
            </w:tcBorders>
            <w:shd w:val="clear" w:color="auto" w:fill="auto"/>
            <w:noWrap/>
            <w:hideMark/>
          </w:tcPr>
          <w:p w14:paraId="1D4C662B" w14:textId="77777777" w:rsidR="00E20138" w:rsidRPr="00D9348B" w:rsidRDefault="00E20138" w:rsidP="00DB330E">
            <w:pPr>
              <w:pStyle w:val="TableText"/>
              <w:spacing w:before="50" w:after="50"/>
              <w:rPr>
                <w:rFonts w:cs="Calibri"/>
              </w:rPr>
            </w:pPr>
          </w:p>
        </w:tc>
        <w:tc>
          <w:tcPr>
            <w:tcW w:w="744" w:type="pct"/>
            <w:tcBorders>
              <w:top w:val="single" w:sz="4" w:space="0" w:color="365F91"/>
              <w:left w:val="single" w:sz="4" w:space="0" w:color="365F91"/>
              <w:bottom w:val="single" w:sz="4" w:space="0" w:color="365F91"/>
              <w:right w:val="single" w:sz="4" w:space="0" w:color="365F91"/>
            </w:tcBorders>
            <w:shd w:val="clear" w:color="auto" w:fill="auto"/>
            <w:noWrap/>
            <w:hideMark/>
          </w:tcPr>
          <w:p w14:paraId="16F84C33" w14:textId="77777777" w:rsidR="00E20138" w:rsidRPr="00D9348B" w:rsidRDefault="00E20138" w:rsidP="00DB330E">
            <w:pPr>
              <w:pStyle w:val="TableText"/>
              <w:spacing w:before="50" w:after="50"/>
              <w:rPr>
                <w:rFonts w:cs="Calibri"/>
              </w:rPr>
            </w:pPr>
            <w:r w:rsidRPr="00D9348B">
              <w:rPr>
                <w:rFonts w:cs="Calibri"/>
              </w:rPr>
              <w:t>Level, trend</w:t>
            </w:r>
          </w:p>
        </w:tc>
        <w:tc>
          <w:tcPr>
            <w:tcW w:w="696" w:type="pct"/>
            <w:tcBorders>
              <w:left w:val="single" w:sz="4" w:space="0" w:color="365F91"/>
            </w:tcBorders>
            <w:shd w:val="clear" w:color="auto" w:fill="auto"/>
            <w:noWrap/>
            <w:hideMark/>
          </w:tcPr>
          <w:p w14:paraId="4E900C6E" w14:textId="77777777" w:rsidR="00E20138" w:rsidRPr="00D9348B" w:rsidRDefault="00E20138" w:rsidP="00DB330E">
            <w:pPr>
              <w:pStyle w:val="TableText"/>
              <w:spacing w:before="50" w:after="50"/>
              <w:rPr>
                <w:rFonts w:cs="Calibri"/>
              </w:rPr>
            </w:pPr>
            <w:r w:rsidRPr="00D9348B">
              <w:rPr>
                <w:rFonts w:cs="Calibri"/>
              </w:rPr>
              <w:t>Level, trend</w:t>
            </w:r>
          </w:p>
        </w:tc>
      </w:tr>
      <w:tr w:rsidR="00E20138" w:rsidRPr="00D9348B" w14:paraId="1B145EB3" w14:textId="77777777" w:rsidTr="00DB330E">
        <w:tc>
          <w:tcPr>
            <w:tcW w:w="2815" w:type="pct"/>
            <w:tcBorders>
              <w:right w:val="single" w:sz="4" w:space="0" w:color="365F91"/>
            </w:tcBorders>
            <w:shd w:val="clear" w:color="auto" w:fill="auto"/>
            <w:noWrap/>
            <w:hideMark/>
          </w:tcPr>
          <w:p w14:paraId="4B69B704" w14:textId="77777777" w:rsidR="00E20138" w:rsidRPr="00D9348B" w:rsidRDefault="00E20138" w:rsidP="00DB330E">
            <w:pPr>
              <w:pStyle w:val="TableText"/>
              <w:spacing w:before="50" w:after="50"/>
              <w:rPr>
                <w:rFonts w:cs="Calibri"/>
              </w:rPr>
            </w:pPr>
            <w:r w:rsidRPr="00D9348B">
              <w:rPr>
                <w:rFonts w:cs="Calibri"/>
              </w:rPr>
              <w:t>Petroleum refining – CO</w:t>
            </w:r>
            <w:r w:rsidRPr="00D9348B">
              <w:rPr>
                <w:rFonts w:cs="Calibri"/>
                <w:vertAlign w:val="subscript"/>
              </w:rPr>
              <w:t>2</w:t>
            </w:r>
          </w:p>
        </w:tc>
        <w:tc>
          <w:tcPr>
            <w:tcW w:w="745" w:type="pct"/>
            <w:tcBorders>
              <w:top w:val="single" w:sz="4" w:space="0" w:color="365F91"/>
              <w:left w:val="single" w:sz="4" w:space="0" w:color="365F91"/>
              <w:bottom w:val="single" w:sz="4" w:space="0" w:color="365F91"/>
              <w:right w:val="single" w:sz="4" w:space="0" w:color="365F91"/>
            </w:tcBorders>
            <w:shd w:val="clear" w:color="auto" w:fill="auto"/>
            <w:noWrap/>
            <w:hideMark/>
          </w:tcPr>
          <w:p w14:paraId="319EE9B9" w14:textId="77777777" w:rsidR="00E20138" w:rsidRPr="00D9348B" w:rsidRDefault="00E20138" w:rsidP="00DB330E">
            <w:pPr>
              <w:pStyle w:val="TableText"/>
              <w:spacing w:before="50" w:after="50"/>
              <w:rPr>
                <w:rFonts w:cs="Calibri"/>
              </w:rPr>
            </w:pPr>
            <w:r w:rsidRPr="00D9348B">
              <w:rPr>
                <w:rFonts w:cs="Calibri"/>
              </w:rPr>
              <w:t>Level, trend</w:t>
            </w:r>
          </w:p>
        </w:tc>
        <w:tc>
          <w:tcPr>
            <w:tcW w:w="744" w:type="pct"/>
            <w:tcBorders>
              <w:top w:val="single" w:sz="4" w:space="0" w:color="365F91"/>
              <w:left w:val="single" w:sz="4" w:space="0" w:color="365F91"/>
              <w:bottom w:val="single" w:sz="4" w:space="0" w:color="365F91"/>
              <w:right w:val="single" w:sz="4" w:space="0" w:color="365F91"/>
            </w:tcBorders>
            <w:shd w:val="clear" w:color="auto" w:fill="auto"/>
            <w:noWrap/>
          </w:tcPr>
          <w:p w14:paraId="38792CCF" w14:textId="77777777" w:rsidR="00E20138" w:rsidRPr="00D9348B" w:rsidRDefault="00E20138" w:rsidP="00DB330E">
            <w:pPr>
              <w:pStyle w:val="TableText"/>
              <w:spacing w:before="50" w:after="50"/>
              <w:jc w:val="center"/>
              <w:rPr>
                <w:rFonts w:cs="Calibri"/>
              </w:rPr>
            </w:pPr>
          </w:p>
        </w:tc>
        <w:tc>
          <w:tcPr>
            <w:tcW w:w="696" w:type="pct"/>
            <w:tcBorders>
              <w:left w:val="single" w:sz="4" w:space="0" w:color="365F91"/>
            </w:tcBorders>
            <w:shd w:val="clear" w:color="auto" w:fill="auto"/>
            <w:noWrap/>
            <w:hideMark/>
          </w:tcPr>
          <w:p w14:paraId="1BB8C96F" w14:textId="77777777" w:rsidR="00E20138" w:rsidRPr="00D9348B" w:rsidRDefault="00E20138" w:rsidP="00DB330E">
            <w:pPr>
              <w:pStyle w:val="TableText"/>
              <w:spacing w:before="50" w:after="50"/>
              <w:rPr>
                <w:rFonts w:cs="Calibri"/>
              </w:rPr>
            </w:pPr>
            <w:r w:rsidRPr="00D9348B">
              <w:rPr>
                <w:rFonts w:cs="Calibri"/>
              </w:rPr>
              <w:t>Trend</w:t>
            </w:r>
          </w:p>
        </w:tc>
      </w:tr>
      <w:tr w:rsidR="00E20138" w:rsidRPr="00D9348B" w14:paraId="494491D1" w14:textId="77777777" w:rsidTr="00DB330E">
        <w:tc>
          <w:tcPr>
            <w:tcW w:w="2815" w:type="pct"/>
            <w:tcBorders>
              <w:right w:val="single" w:sz="4" w:space="0" w:color="365F91"/>
            </w:tcBorders>
            <w:shd w:val="clear" w:color="auto" w:fill="auto"/>
            <w:noWrap/>
          </w:tcPr>
          <w:p w14:paraId="7781B56B" w14:textId="77777777" w:rsidR="00E20138" w:rsidRPr="00D9348B" w:rsidRDefault="00E20138" w:rsidP="00DB330E">
            <w:pPr>
              <w:pStyle w:val="TableText"/>
              <w:spacing w:before="50" w:after="50"/>
              <w:rPr>
                <w:rFonts w:cs="Calibri"/>
              </w:rPr>
            </w:pPr>
            <w:r w:rsidRPr="00D9348B">
              <w:rPr>
                <w:rFonts w:cs="Calibri"/>
              </w:rPr>
              <w:t>Manufacture of solid fuels and other energy industries – CO</w:t>
            </w:r>
            <w:r w:rsidRPr="00D9348B">
              <w:rPr>
                <w:rFonts w:cs="Calibri"/>
                <w:vertAlign w:val="subscript"/>
              </w:rPr>
              <w:t>2</w:t>
            </w:r>
          </w:p>
        </w:tc>
        <w:tc>
          <w:tcPr>
            <w:tcW w:w="745" w:type="pct"/>
            <w:tcBorders>
              <w:top w:val="single" w:sz="4" w:space="0" w:color="365F91"/>
              <w:left w:val="single" w:sz="4" w:space="0" w:color="365F91"/>
              <w:bottom w:val="single" w:sz="4" w:space="0" w:color="365F91"/>
              <w:right w:val="single" w:sz="4" w:space="0" w:color="365F91"/>
            </w:tcBorders>
            <w:shd w:val="clear" w:color="auto" w:fill="auto"/>
            <w:noWrap/>
          </w:tcPr>
          <w:p w14:paraId="4619B325" w14:textId="77777777" w:rsidR="00E20138" w:rsidRPr="00D9348B" w:rsidRDefault="00E20138" w:rsidP="00DB330E">
            <w:pPr>
              <w:pStyle w:val="TableText"/>
              <w:spacing w:before="50" w:after="50"/>
              <w:rPr>
                <w:rFonts w:cs="Calibri"/>
              </w:rPr>
            </w:pPr>
          </w:p>
        </w:tc>
        <w:tc>
          <w:tcPr>
            <w:tcW w:w="744" w:type="pct"/>
            <w:tcBorders>
              <w:top w:val="single" w:sz="4" w:space="0" w:color="365F91"/>
              <w:left w:val="single" w:sz="4" w:space="0" w:color="365F91"/>
              <w:bottom w:val="single" w:sz="4" w:space="0" w:color="365F91"/>
              <w:right w:val="single" w:sz="4" w:space="0" w:color="365F91"/>
            </w:tcBorders>
            <w:shd w:val="clear" w:color="auto" w:fill="auto"/>
            <w:noWrap/>
          </w:tcPr>
          <w:p w14:paraId="62FA7439" w14:textId="77777777" w:rsidR="00E20138" w:rsidRPr="00D9348B" w:rsidRDefault="00E20138" w:rsidP="00DB330E">
            <w:pPr>
              <w:pStyle w:val="TableText"/>
              <w:spacing w:before="50" w:after="50"/>
              <w:jc w:val="center"/>
              <w:rPr>
                <w:rFonts w:cs="Calibri"/>
              </w:rPr>
            </w:pPr>
          </w:p>
        </w:tc>
        <w:tc>
          <w:tcPr>
            <w:tcW w:w="696" w:type="pct"/>
            <w:tcBorders>
              <w:left w:val="single" w:sz="4" w:space="0" w:color="365F91"/>
            </w:tcBorders>
            <w:shd w:val="clear" w:color="auto" w:fill="auto"/>
            <w:noWrap/>
          </w:tcPr>
          <w:p w14:paraId="3D498A1F" w14:textId="77777777" w:rsidR="00E20138" w:rsidRPr="00D9348B" w:rsidRDefault="00E20138" w:rsidP="00DB330E">
            <w:pPr>
              <w:pStyle w:val="TableText"/>
              <w:spacing w:before="50" w:after="50"/>
              <w:rPr>
                <w:rFonts w:cs="Calibri"/>
              </w:rPr>
            </w:pPr>
            <w:r w:rsidRPr="00D9348B">
              <w:rPr>
                <w:rFonts w:cs="Calibri"/>
              </w:rPr>
              <w:t>Level, trend</w:t>
            </w:r>
          </w:p>
        </w:tc>
      </w:tr>
    </w:tbl>
    <w:p w14:paraId="669ACE7F" w14:textId="77777777" w:rsidR="00E20138" w:rsidRPr="00D9348B" w:rsidRDefault="00E20138" w:rsidP="00A76984">
      <w:pPr>
        <w:pStyle w:val="BodyText"/>
        <w:keepLines/>
        <w:spacing w:before="240"/>
        <w:rPr>
          <w:rFonts w:cs="Calibri"/>
          <w:lang w:eastAsia="en-GB"/>
        </w:rPr>
      </w:pPr>
      <w:r w:rsidRPr="00D9348B">
        <w:rPr>
          <w:rFonts w:cs="Calibri"/>
          <w:lang w:eastAsia="en-GB"/>
        </w:rPr>
        <w:lastRenderedPageBreak/>
        <w:t xml:space="preserve">New Zealand’s electricity generation is dominated by hydroelectric generation. For the </w:t>
      </w:r>
      <w:r w:rsidRPr="00D9348B">
        <w:rPr>
          <w:rFonts w:cs="Calibri"/>
        </w:rPr>
        <w:t>2018</w:t>
      </w:r>
      <w:r w:rsidRPr="00D9348B">
        <w:rPr>
          <w:rFonts w:cs="Calibri"/>
          <w:lang w:eastAsia="en-GB"/>
        </w:rPr>
        <w:t xml:space="preserve"> calendar year, hydro generation provided 60.4 per cent of New Zealand’s electricity generation. A further 17.4 per cent came from geothermal, 4.7 per cent from wind, 1.3 per cent from biomass and 0.2 per cent from solar. The remaining 15.9 per cent was provided by fossil fuel thermal generation plants using gas, coal and oil (MBIE, </w:t>
      </w:r>
      <w:r w:rsidRPr="00D9348B">
        <w:rPr>
          <w:rFonts w:cs="Calibri"/>
        </w:rPr>
        <w:t>2019</w:t>
      </w:r>
      <w:r w:rsidRPr="00D9348B">
        <w:rPr>
          <w:rFonts w:cs="Calibri"/>
          <w:lang w:eastAsia="en-GB"/>
        </w:rPr>
        <w:t>).</w:t>
      </w:r>
    </w:p>
    <w:p w14:paraId="5BF0DA97" w14:textId="77777777" w:rsidR="00E20138" w:rsidRPr="00D9348B" w:rsidRDefault="00E20138" w:rsidP="00E20138">
      <w:pPr>
        <w:pStyle w:val="BodyText"/>
        <w:rPr>
          <w:rFonts w:cs="Calibri"/>
          <w:lang w:eastAsia="en-GB"/>
        </w:rPr>
      </w:pPr>
      <w:r w:rsidRPr="00D9348B">
        <w:rPr>
          <w:rFonts w:cs="Calibri"/>
          <w:lang w:eastAsia="en-GB"/>
        </w:rPr>
        <w:t xml:space="preserve">Greenhouse gas emissions from the </w:t>
      </w:r>
      <w:r w:rsidRPr="00D9348B">
        <w:rPr>
          <w:rFonts w:cs="Calibri"/>
          <w:i/>
          <w:lang w:eastAsia="en-GB"/>
        </w:rPr>
        <w:t>Public electricity and heat production</w:t>
      </w:r>
      <w:r w:rsidRPr="00D9348B">
        <w:rPr>
          <w:rFonts w:cs="Calibri"/>
          <w:lang w:eastAsia="en-GB"/>
        </w:rPr>
        <w:t xml:space="preserve"> category show large year-to-year fluctuations between 1990 and </w:t>
      </w:r>
      <w:r w:rsidRPr="00D9348B">
        <w:rPr>
          <w:rFonts w:cs="Calibri"/>
        </w:rPr>
        <w:t>2018</w:t>
      </w:r>
      <w:r w:rsidRPr="00D9348B">
        <w:rPr>
          <w:rFonts w:cs="Calibri"/>
          <w:lang w:eastAsia="en-GB"/>
        </w:rPr>
        <w:t xml:space="preserve">. These fluctuations can also be seen over the time series for New Zealand’s gross emissions. The fluctuations are influenced by the close inverse relationship between thermal and renewable generation (see </w:t>
      </w:r>
      <w:r w:rsidRPr="00D9348B">
        <w:rPr>
          <w:rFonts w:cs="Calibri"/>
        </w:rPr>
        <w:t>figure 3.3.6</w:t>
      </w:r>
      <w:r w:rsidRPr="00D9348B">
        <w:rPr>
          <w:rFonts w:cs="Calibri"/>
          <w:lang w:eastAsia="en-GB"/>
        </w:rPr>
        <w:t>). In a dry year, where low rainfall affects most of New Zealand’s hydroelectric lake levels, the shortfall is made up by thermal electricity generation. New Zealand’s hydro resources have limited storage capacity; total reservoir storage is only around 10 per cent of New Zealand’s annual demand. Hence, regular rainfall throughout the year is needed to sustain a high level of hydro generation. Electricity generation in a ‘normal’ hydro year does not require significant use of natural gas and coal, while a ‘dry’ hydro year necessitates higher utilisation of natural gas and coal.</w:t>
      </w:r>
    </w:p>
    <w:p w14:paraId="41FEC7BE" w14:textId="77777777" w:rsidR="00E20138" w:rsidRPr="00D9348B" w:rsidRDefault="00E20138" w:rsidP="00E20138">
      <w:pPr>
        <w:pStyle w:val="Figure"/>
        <w:rPr>
          <w:rFonts w:cs="Calibri"/>
          <w:lang w:eastAsia="en-GB"/>
        </w:rPr>
      </w:pPr>
      <w:bookmarkStart w:id="377" w:name="_Ref442370451"/>
      <w:bookmarkStart w:id="378" w:name="_Toc321399328"/>
      <w:bookmarkStart w:id="379" w:name="_Toc384582856"/>
      <w:bookmarkStart w:id="380" w:name="_Toc443060816"/>
      <w:bookmarkStart w:id="381" w:name="_Toc447275673"/>
      <w:bookmarkStart w:id="382" w:name="_Toc481751991"/>
      <w:bookmarkStart w:id="383" w:name="_Toc36292775"/>
      <w:r w:rsidRPr="00D9348B">
        <w:rPr>
          <w:rFonts w:cs="Calibri"/>
        </w:rPr>
        <w:t>Figure 3.3.</w:t>
      </w:r>
      <w:r w:rsidRPr="00D9348B">
        <w:rPr>
          <w:rFonts w:cs="Calibri"/>
        </w:rPr>
        <w:fldChar w:fldCharType="begin"/>
      </w:r>
      <w:r w:rsidRPr="00D9348B">
        <w:rPr>
          <w:rFonts w:cs="Calibri"/>
        </w:rPr>
        <w:instrText xml:space="preserve"> SEQ Figure \* ARABIC \s 2 </w:instrText>
      </w:r>
      <w:r w:rsidRPr="00D9348B">
        <w:rPr>
          <w:rFonts w:cs="Calibri"/>
        </w:rPr>
        <w:fldChar w:fldCharType="separate"/>
      </w:r>
      <w:r w:rsidRPr="00D9348B">
        <w:rPr>
          <w:rFonts w:cs="Calibri"/>
        </w:rPr>
        <w:t>6</w:t>
      </w:r>
      <w:r w:rsidRPr="00D9348B">
        <w:rPr>
          <w:rFonts w:cs="Calibri"/>
        </w:rPr>
        <w:fldChar w:fldCharType="end"/>
      </w:r>
      <w:bookmarkEnd w:id="377"/>
      <w:r w:rsidRPr="00D9348B">
        <w:rPr>
          <w:rFonts w:cs="Calibri"/>
          <w:lang w:eastAsia="en-GB"/>
        </w:rPr>
        <w:tab/>
        <w:t xml:space="preserve">New Zealand’s </w:t>
      </w:r>
      <w:r w:rsidRPr="00D9348B">
        <w:rPr>
          <w:rFonts w:cs="Calibri"/>
        </w:rPr>
        <w:t>electricity</w:t>
      </w:r>
      <w:r w:rsidRPr="00D9348B">
        <w:rPr>
          <w:rFonts w:cs="Calibri"/>
          <w:lang w:eastAsia="en-GB"/>
        </w:rPr>
        <w:t xml:space="preserve"> generation by source</w:t>
      </w:r>
      <w:bookmarkEnd w:id="378"/>
      <w:bookmarkEnd w:id="379"/>
      <w:bookmarkEnd w:id="380"/>
      <w:bookmarkEnd w:id="381"/>
      <w:bookmarkEnd w:id="382"/>
      <w:bookmarkEnd w:id="383"/>
    </w:p>
    <w:p w14:paraId="6641ABA6" w14:textId="70F1E2A7" w:rsidR="00E20138" w:rsidRPr="00D9348B" w:rsidRDefault="007165CF" w:rsidP="008F587A">
      <w:pPr>
        <w:pStyle w:val="BodyText"/>
        <w:spacing w:before="0" w:after="0"/>
        <w:rPr>
          <w:rFonts w:cs="Calibri"/>
          <w:lang w:eastAsia="en-GB"/>
        </w:rPr>
      </w:pPr>
      <w:r>
        <w:rPr>
          <w:rFonts w:cs="Calibri"/>
        </w:rPr>
        <w:pict w14:anchorId="22B972EA">
          <v:shape id="_x0000_i1055" type="#_x0000_t75" style="width:397.55pt;height:189.1pt;visibility:visible;mso-wrap-style:square">
            <v:imagedata r:id="rId70" o:title="fig_3_3_6_electricity_generation_by_source" cropbottom="3743f"/>
          </v:shape>
        </w:pict>
      </w:r>
    </w:p>
    <w:p w14:paraId="0062E12A" w14:textId="77777777" w:rsidR="00E20138" w:rsidRPr="00D9348B" w:rsidRDefault="00E20138" w:rsidP="00865BDB">
      <w:pPr>
        <w:pStyle w:val="Heading4"/>
      </w:pPr>
      <w:r w:rsidRPr="00D9348B">
        <w:rPr>
          <w:lang w:eastAsia="en-GB"/>
        </w:rPr>
        <w:t>Methodological issues</w:t>
      </w:r>
    </w:p>
    <w:p w14:paraId="6C64C446" w14:textId="77777777" w:rsidR="00E20138" w:rsidRPr="00D9348B" w:rsidRDefault="00E20138" w:rsidP="00E20138">
      <w:pPr>
        <w:pStyle w:val="Heading5"/>
        <w:spacing w:before="120"/>
        <w:rPr>
          <w:rFonts w:cs="Calibri"/>
        </w:rPr>
      </w:pPr>
      <w:proofErr w:type="gramStart"/>
      <w:r w:rsidRPr="00D9348B">
        <w:rPr>
          <w:rFonts w:cs="Calibri"/>
          <w:lang w:eastAsia="en-GB"/>
        </w:rPr>
        <w:t>1.A.1.c</w:t>
      </w:r>
      <w:proofErr w:type="gramEnd"/>
      <w:r w:rsidRPr="00D9348B">
        <w:rPr>
          <w:rFonts w:cs="Calibri"/>
          <w:lang w:eastAsia="en-GB"/>
        </w:rPr>
        <w:t xml:space="preserve"> Manufacture of solid fuels and other energy industries</w:t>
      </w:r>
    </w:p>
    <w:p w14:paraId="70CA9E39" w14:textId="77777777" w:rsidR="00E20138" w:rsidRPr="00D9348B" w:rsidRDefault="00E20138" w:rsidP="00E20138">
      <w:pPr>
        <w:pStyle w:val="BodyText"/>
        <w:rPr>
          <w:rFonts w:cs="Calibri"/>
          <w:lang w:eastAsia="en-GB"/>
        </w:rPr>
      </w:pPr>
      <w:r w:rsidRPr="00D9348B">
        <w:rPr>
          <w:rFonts w:cs="Calibri"/>
          <w:lang w:eastAsia="en-GB"/>
        </w:rPr>
        <w:t>Methanex New Zealand produced synthetic gasoline until 1997. A Tier 2 methodology was used to estimate CO</w:t>
      </w:r>
      <w:r w:rsidRPr="00D9348B">
        <w:rPr>
          <w:rFonts w:cs="Calibri"/>
          <w:vertAlign w:val="subscript"/>
          <w:lang w:eastAsia="en-GB"/>
        </w:rPr>
        <w:t>2</w:t>
      </w:r>
      <w:r w:rsidRPr="00D9348B">
        <w:rPr>
          <w:rFonts w:cs="Calibri"/>
          <w:lang w:eastAsia="en-GB"/>
        </w:rPr>
        <w:t xml:space="preserve"> emissions based on the annual weighted average gas emission factor. </w:t>
      </w:r>
    </w:p>
    <w:p w14:paraId="2824F568" w14:textId="77777777" w:rsidR="00E20138" w:rsidRPr="00D9348B" w:rsidRDefault="00E20138" w:rsidP="00865BDB">
      <w:pPr>
        <w:pStyle w:val="Heading4"/>
        <w:rPr>
          <w:lang w:eastAsia="en-GB"/>
        </w:rPr>
      </w:pPr>
      <w:r w:rsidRPr="00D9348B">
        <w:rPr>
          <w:lang w:eastAsia="en-GB"/>
        </w:rPr>
        <w:t>Activity data</w:t>
      </w:r>
    </w:p>
    <w:p w14:paraId="2CE764A2" w14:textId="77777777" w:rsidR="00E20138" w:rsidRPr="00D9348B" w:rsidRDefault="00E20138" w:rsidP="00E20138">
      <w:pPr>
        <w:pStyle w:val="Heading5"/>
        <w:spacing w:before="120"/>
        <w:rPr>
          <w:rFonts w:cs="Calibri"/>
        </w:rPr>
      </w:pPr>
      <w:proofErr w:type="gramStart"/>
      <w:r w:rsidRPr="00D9348B">
        <w:rPr>
          <w:rFonts w:cs="Calibri"/>
          <w:lang w:eastAsia="en-GB"/>
        </w:rPr>
        <w:t>1.A.1.a</w:t>
      </w:r>
      <w:proofErr w:type="gramEnd"/>
      <w:r w:rsidRPr="00D9348B">
        <w:rPr>
          <w:rFonts w:cs="Calibri"/>
          <w:lang w:eastAsia="en-GB"/>
        </w:rPr>
        <w:t xml:space="preserve"> Public electricity and heat production</w:t>
      </w:r>
    </w:p>
    <w:p w14:paraId="440C6A20" w14:textId="77777777" w:rsidR="00E20138" w:rsidRPr="00D9348B" w:rsidRDefault="00E20138" w:rsidP="00E20138">
      <w:pPr>
        <w:pStyle w:val="BodyText"/>
        <w:rPr>
          <w:rFonts w:cs="Calibri"/>
          <w:lang w:eastAsia="en-GB"/>
        </w:rPr>
      </w:pPr>
      <w:r w:rsidRPr="00D9348B">
        <w:rPr>
          <w:rFonts w:cs="Calibri"/>
          <w:lang w:eastAsia="en-GB"/>
        </w:rPr>
        <w:t>All thermal electricity generators provide figures to MBIE for the amount of coal, natural gas and oil used for electricity generation. Greenhouse gas emissions from geothermal electricity generation are reported under 1.B.2.d.</w:t>
      </w:r>
    </w:p>
    <w:p w14:paraId="2B502E36" w14:textId="77777777" w:rsidR="00E20138" w:rsidRPr="00D9348B" w:rsidRDefault="00E20138" w:rsidP="00E20138">
      <w:pPr>
        <w:pStyle w:val="BodyText"/>
        <w:rPr>
          <w:rFonts w:cs="Calibri"/>
          <w:lang w:eastAsia="en-GB"/>
        </w:rPr>
      </w:pPr>
      <w:r w:rsidRPr="00D9348B">
        <w:rPr>
          <w:rFonts w:cs="Calibri"/>
          <w:lang w:eastAsia="en-GB"/>
        </w:rPr>
        <w:t xml:space="preserve">Around 5 per cent of New Zealand’s electricity is supplied by co-generation (also known as combined heat and power) (MBIE, </w:t>
      </w:r>
      <w:r w:rsidRPr="00D9348B">
        <w:rPr>
          <w:rFonts w:cs="Calibri"/>
        </w:rPr>
        <w:t>2019</w:t>
      </w:r>
      <w:r w:rsidRPr="00D9348B">
        <w:rPr>
          <w:rFonts w:cs="Calibri"/>
          <w:lang w:eastAsia="en-GB"/>
        </w:rPr>
        <w:t xml:space="preserve">). Most of the major co-generation plants are attached to large industrial facilities that consume most of the generated electricity and heat. </w:t>
      </w:r>
    </w:p>
    <w:p w14:paraId="3E098643" w14:textId="77777777" w:rsidR="00E20138" w:rsidRPr="00D9348B" w:rsidRDefault="00E20138" w:rsidP="00E20138">
      <w:pPr>
        <w:pStyle w:val="BodyText"/>
        <w:rPr>
          <w:rFonts w:cs="Calibri"/>
          <w:lang w:eastAsia="en-GB"/>
        </w:rPr>
      </w:pPr>
      <w:r w:rsidRPr="00D9348B">
        <w:rPr>
          <w:rFonts w:cs="Calibri"/>
          <w:lang w:eastAsia="en-GB"/>
        </w:rPr>
        <w:lastRenderedPageBreak/>
        <w:t xml:space="preserve">Six co-generation plants that fit the IPCC 2006 definition of public electricity and heat production produce electricity as their primary purpose. The emissions from these plants are included under the </w:t>
      </w:r>
      <w:r w:rsidRPr="00D9348B">
        <w:rPr>
          <w:rFonts w:cs="Calibri"/>
          <w:i/>
          <w:lang w:eastAsia="en-GB"/>
        </w:rPr>
        <w:t>Public electricity and heat production</w:t>
      </w:r>
      <w:r w:rsidRPr="00D9348B">
        <w:rPr>
          <w:rFonts w:cs="Calibri"/>
          <w:lang w:eastAsia="en-GB"/>
        </w:rPr>
        <w:t xml:space="preserve"> category, while emissions from other co-generation plants are included within the </w:t>
      </w:r>
      <w:r w:rsidRPr="00D9348B">
        <w:rPr>
          <w:rFonts w:cs="Calibri"/>
          <w:i/>
          <w:lang w:eastAsia="en-GB"/>
        </w:rPr>
        <w:t>Manufacturing industries and construction</w:t>
      </w:r>
      <w:r w:rsidRPr="00D9348B">
        <w:rPr>
          <w:rFonts w:cs="Calibri"/>
          <w:lang w:eastAsia="en-GB"/>
        </w:rPr>
        <w:t xml:space="preserve"> category (section 3.3.7). </w:t>
      </w:r>
    </w:p>
    <w:p w14:paraId="0E709E78" w14:textId="77777777" w:rsidR="00E20138" w:rsidRPr="00D9348B" w:rsidRDefault="00E20138" w:rsidP="00E20138">
      <w:pPr>
        <w:pStyle w:val="BodyText"/>
        <w:rPr>
          <w:rFonts w:cs="Calibri"/>
          <w:lang w:eastAsia="en-GB"/>
        </w:rPr>
      </w:pPr>
      <w:r w:rsidRPr="00D9348B">
        <w:rPr>
          <w:rFonts w:cs="Calibri"/>
          <w:lang w:eastAsia="en-GB"/>
        </w:rPr>
        <w:t>To establish a consistent approach to on-site generation, MBIE developed a decision tree to guide the allocation of associated fuel consumption and identify whether the plant is a main activity electricity generator or an autoproducer (see figure</w:t>
      </w:r>
      <w:r w:rsidRPr="00D9348B">
        <w:rPr>
          <w:rFonts w:cs="Calibri"/>
        </w:rPr>
        <w:t xml:space="preserve"> 3.3.7</w:t>
      </w:r>
      <w:r w:rsidRPr="00D9348B">
        <w:rPr>
          <w:rFonts w:cs="Calibri"/>
          <w:lang w:eastAsia="en-GB"/>
        </w:rPr>
        <w:t>).</w:t>
      </w:r>
    </w:p>
    <w:p w14:paraId="117C2B2D" w14:textId="77777777" w:rsidR="00E20138" w:rsidRPr="00D9348B" w:rsidRDefault="00E20138" w:rsidP="00E20138">
      <w:pPr>
        <w:pStyle w:val="Figure"/>
        <w:rPr>
          <w:rFonts w:cs="Calibri"/>
        </w:rPr>
      </w:pPr>
      <w:bookmarkStart w:id="384" w:name="_Ref442370479"/>
      <w:bookmarkStart w:id="385" w:name="_Toc321399329"/>
      <w:bookmarkStart w:id="386" w:name="_Toc384582857"/>
      <w:bookmarkStart w:id="387" w:name="_Toc443060817"/>
      <w:bookmarkStart w:id="388" w:name="_Toc447275674"/>
      <w:bookmarkStart w:id="389" w:name="_Toc481751992"/>
      <w:bookmarkStart w:id="390" w:name="_Toc36292776"/>
      <w:r w:rsidRPr="00D9348B">
        <w:rPr>
          <w:rFonts w:cs="Calibri"/>
        </w:rPr>
        <w:t>Figure 3.3.</w:t>
      </w:r>
      <w:r w:rsidRPr="00D9348B">
        <w:rPr>
          <w:rFonts w:cs="Calibri"/>
        </w:rPr>
        <w:fldChar w:fldCharType="begin"/>
      </w:r>
      <w:r w:rsidRPr="00D9348B">
        <w:rPr>
          <w:rFonts w:cs="Calibri"/>
        </w:rPr>
        <w:instrText xml:space="preserve"> SEQ Figure \* ARABIC \s 2 </w:instrText>
      </w:r>
      <w:r w:rsidRPr="00D9348B">
        <w:rPr>
          <w:rFonts w:cs="Calibri"/>
        </w:rPr>
        <w:fldChar w:fldCharType="separate"/>
      </w:r>
      <w:r w:rsidRPr="00D9348B">
        <w:rPr>
          <w:rFonts w:cs="Calibri"/>
        </w:rPr>
        <w:t>7</w:t>
      </w:r>
      <w:r w:rsidRPr="00D9348B">
        <w:rPr>
          <w:rFonts w:cs="Calibri"/>
        </w:rPr>
        <w:fldChar w:fldCharType="end"/>
      </w:r>
      <w:bookmarkEnd w:id="384"/>
      <w:r w:rsidRPr="00D9348B">
        <w:rPr>
          <w:rFonts w:cs="Calibri"/>
          <w:lang w:eastAsia="en-GB"/>
        </w:rPr>
        <w:tab/>
        <w:t xml:space="preserve">Decision tree </w:t>
      </w:r>
      <w:bookmarkEnd w:id="385"/>
      <w:r w:rsidRPr="00D9348B">
        <w:rPr>
          <w:rFonts w:cs="Calibri"/>
          <w:lang w:eastAsia="en-GB"/>
        </w:rPr>
        <w:t>to identify a main activity electricity generator or an autoproducer</w:t>
      </w:r>
      <w:bookmarkEnd w:id="386"/>
      <w:bookmarkEnd w:id="387"/>
      <w:bookmarkEnd w:id="388"/>
      <w:bookmarkEnd w:id="389"/>
      <w:bookmarkEnd w:id="390"/>
    </w:p>
    <w:p w14:paraId="63911F0F" w14:textId="77777777" w:rsidR="00E20138" w:rsidRPr="00D9348B" w:rsidRDefault="00E20138" w:rsidP="00E20138">
      <w:pPr>
        <w:pStyle w:val="BodyText"/>
        <w:spacing w:before="0"/>
        <w:rPr>
          <w:rFonts w:cs="Calibri"/>
        </w:rPr>
      </w:pPr>
      <w:r w:rsidRPr="00D9348B">
        <w:rPr>
          <w:rFonts w:cs="Calibri"/>
        </w:rPr>
        <w:object w:dxaOrig="6684" w:dyaOrig="4591" w14:anchorId="5FDE6C55">
          <v:shape id="_x0000_i1056" type="#_x0000_t75" style="width:285.5pt;height:193.45pt" o:ole="">
            <v:imagedata r:id="rId71" o:title=""/>
          </v:shape>
          <o:OLEObject Type="Embed" ProgID="Visio.Drawing.11" ShapeID="_x0000_i1056" DrawAspect="Content" ObjectID="_1647932312" r:id="rId72"/>
        </w:object>
      </w:r>
    </w:p>
    <w:p w14:paraId="516167C0" w14:textId="77777777" w:rsidR="00E20138" w:rsidRPr="00D9348B" w:rsidRDefault="00E20138" w:rsidP="00E20138">
      <w:pPr>
        <w:pStyle w:val="Heading5"/>
        <w:spacing w:before="360"/>
        <w:rPr>
          <w:rFonts w:cs="Calibri"/>
        </w:rPr>
      </w:pPr>
      <w:proofErr w:type="gramStart"/>
      <w:r w:rsidRPr="00D9348B">
        <w:rPr>
          <w:rFonts w:cs="Calibri"/>
          <w:lang w:eastAsia="en-GB"/>
        </w:rPr>
        <w:t>1.A.1.b</w:t>
      </w:r>
      <w:proofErr w:type="gramEnd"/>
      <w:r w:rsidRPr="00D9348B">
        <w:rPr>
          <w:rFonts w:cs="Calibri"/>
          <w:lang w:eastAsia="en-GB"/>
        </w:rPr>
        <w:t xml:space="preserve"> </w:t>
      </w:r>
      <w:r w:rsidRPr="00D9348B">
        <w:rPr>
          <w:rFonts w:cs="Calibri"/>
        </w:rPr>
        <w:t>Petroleum</w:t>
      </w:r>
      <w:r w:rsidRPr="00D9348B">
        <w:rPr>
          <w:rFonts w:cs="Calibri"/>
          <w:lang w:eastAsia="en-GB"/>
        </w:rPr>
        <w:t xml:space="preserve"> refining</w:t>
      </w:r>
    </w:p>
    <w:p w14:paraId="20D620C5" w14:textId="77777777" w:rsidR="00E20138" w:rsidRPr="00D9348B" w:rsidRDefault="00E20138" w:rsidP="00E20138">
      <w:pPr>
        <w:pStyle w:val="BodyText"/>
        <w:keepLines/>
        <w:rPr>
          <w:rFonts w:cs="Calibri"/>
          <w:lang w:eastAsia="en-GB"/>
        </w:rPr>
      </w:pPr>
      <w:r w:rsidRPr="00D9348B">
        <w:rPr>
          <w:rFonts w:cs="Calibri"/>
          <w:lang w:eastAsia="en-GB"/>
        </w:rPr>
        <w:t xml:space="preserve">Refining New Zealand provides annual activity data and emission factors for each type of fuel being consumed at the site. The fuel-type specific emission factors were adopted under the Government’s Projects to Reduce Emissions in 2003 (Ministry for the Environment, 2009). </w:t>
      </w:r>
    </w:p>
    <w:p w14:paraId="51B3EE3F" w14:textId="77777777" w:rsidR="00E20138" w:rsidRPr="00D9348B" w:rsidRDefault="00E20138" w:rsidP="00E20138">
      <w:pPr>
        <w:pStyle w:val="BodyText"/>
        <w:rPr>
          <w:rFonts w:cs="Calibri"/>
          <w:lang w:eastAsia="en-GB"/>
        </w:rPr>
      </w:pPr>
      <w:r w:rsidRPr="00D9348B">
        <w:rPr>
          <w:rFonts w:cs="Calibri"/>
          <w:lang w:eastAsia="en-GB"/>
        </w:rPr>
        <w:t xml:space="preserve">Refinery gas is obtained during the distillation of crude oil and production of oil products. As a result, emissions from its combustion are implicitly included under liquid fuels in the reference approach. </w:t>
      </w:r>
    </w:p>
    <w:p w14:paraId="7EC7C811" w14:textId="77777777" w:rsidR="00E20138" w:rsidRPr="00D9348B" w:rsidRDefault="00E20138" w:rsidP="00E20138">
      <w:pPr>
        <w:pStyle w:val="Heading5"/>
        <w:rPr>
          <w:rFonts w:cs="Calibri"/>
          <w:lang w:eastAsia="en-GB"/>
        </w:rPr>
      </w:pPr>
      <w:proofErr w:type="gramStart"/>
      <w:r w:rsidRPr="00D9348B">
        <w:rPr>
          <w:rFonts w:cs="Calibri"/>
          <w:iCs w:val="0"/>
          <w:lang w:eastAsia="en-GB"/>
        </w:rPr>
        <w:t>1.A.1.c.ii</w:t>
      </w:r>
      <w:proofErr w:type="gramEnd"/>
      <w:r w:rsidRPr="00D9348B">
        <w:rPr>
          <w:rFonts w:cs="Calibri"/>
          <w:i w:val="0"/>
          <w:iCs w:val="0"/>
          <w:lang w:eastAsia="en-GB"/>
        </w:rPr>
        <w:t xml:space="preserve"> </w:t>
      </w:r>
      <w:r w:rsidRPr="00D9348B">
        <w:rPr>
          <w:rFonts w:cs="Calibri"/>
          <w:lang w:eastAsia="en-GB"/>
        </w:rPr>
        <w:t>Manufacture of solid fuels and other energy industries – Other energy industries</w:t>
      </w:r>
    </w:p>
    <w:p w14:paraId="51532491" w14:textId="77777777" w:rsidR="00E20138" w:rsidRPr="00D9348B" w:rsidRDefault="00E20138" w:rsidP="00E20138">
      <w:pPr>
        <w:pStyle w:val="BodyText"/>
        <w:rPr>
          <w:rFonts w:cs="Calibri"/>
          <w:lang w:eastAsia="en-GB"/>
        </w:rPr>
      </w:pPr>
      <w:r w:rsidRPr="00D9348B">
        <w:rPr>
          <w:rFonts w:cs="Calibri"/>
          <w:lang w:eastAsia="en-GB"/>
        </w:rPr>
        <w:t xml:space="preserve">Activity data for the useful combustion (own use) of natural gas during oil and gas extraction are provided to MBIE by each individual gas and/or oil field operator. Some crude oil is also combusted (own use) during oil and gas extraction. The quantity is reported directly by the oil and/or gas field operator to MBIE. </w:t>
      </w:r>
    </w:p>
    <w:p w14:paraId="7DAEBA32" w14:textId="77777777" w:rsidR="00E20138" w:rsidRPr="00D9348B" w:rsidRDefault="00E20138" w:rsidP="00E20138">
      <w:pPr>
        <w:pStyle w:val="BodyText"/>
        <w:rPr>
          <w:rFonts w:cs="Calibri"/>
          <w:lang w:eastAsia="en-GB"/>
        </w:rPr>
      </w:pPr>
      <w:r w:rsidRPr="00D9348B">
        <w:rPr>
          <w:rFonts w:cs="Calibri"/>
          <w:lang w:eastAsia="en-GB"/>
        </w:rPr>
        <w:t>Emissions from natural gas combustion (own use) for the purpose of natural gas transmission are reported directly by the transmission network operator to MBIE. Emissions from natural gas combustion (own use) for the purpose of natural gas processing are reported directly by the plant operator to MBIE.</w:t>
      </w:r>
    </w:p>
    <w:p w14:paraId="332A031B" w14:textId="77777777" w:rsidR="00E20138" w:rsidRPr="00D9348B" w:rsidRDefault="00E20138" w:rsidP="00E20138">
      <w:pPr>
        <w:pStyle w:val="BodyText"/>
        <w:rPr>
          <w:rFonts w:cs="Calibri"/>
          <w:lang w:eastAsia="en-GB"/>
        </w:rPr>
      </w:pPr>
      <w:r w:rsidRPr="00D9348B">
        <w:rPr>
          <w:rFonts w:cs="Calibri"/>
          <w:lang w:eastAsia="en-GB"/>
        </w:rPr>
        <w:t>Losses and own use of coal by coal mining entities are reported as a single item, so data on on</w:t>
      </w:r>
      <w:r w:rsidRPr="00D9348B">
        <w:rPr>
          <w:rFonts w:cs="Calibri"/>
          <w:lang w:eastAsia="en-GB"/>
        </w:rPr>
        <w:noBreakHyphen/>
        <w:t xml:space="preserve">site coal use are not available. Coal mines often provide a bathhouse for miners to bathe and unwind after a hard shift at the coalface. In the past, hot water was supplied by a </w:t>
      </w:r>
      <w:r w:rsidRPr="00D9348B">
        <w:rPr>
          <w:rFonts w:cs="Calibri"/>
          <w:lang w:eastAsia="en-GB"/>
        </w:rPr>
        <w:lastRenderedPageBreak/>
        <w:t>coal</w:t>
      </w:r>
      <w:r w:rsidRPr="00D9348B">
        <w:rPr>
          <w:rFonts w:cs="Calibri"/>
          <w:lang w:eastAsia="en-GB"/>
        </w:rPr>
        <w:noBreakHyphen/>
        <w:t>fired boiler; however, the last of these at the Stockton mine closed in the mid-1980s. The expert opinion of coal industry specialists is that on-site coal use does not occur because any water boilers on site are now fuelled by natural gas or electricity.</w:t>
      </w:r>
    </w:p>
    <w:p w14:paraId="6DC5EEDC" w14:textId="77777777" w:rsidR="00E20138" w:rsidRPr="00D9348B" w:rsidRDefault="00E20138" w:rsidP="0086672C">
      <w:pPr>
        <w:pStyle w:val="Heading4"/>
        <w:spacing w:before="200"/>
      </w:pPr>
      <w:r w:rsidRPr="00D9348B">
        <w:rPr>
          <w:lang w:eastAsia="en-GB"/>
        </w:rPr>
        <w:t>Emission factors</w:t>
      </w:r>
    </w:p>
    <w:p w14:paraId="5D6955C5" w14:textId="77777777" w:rsidR="00E20138" w:rsidRPr="00D9348B" w:rsidRDefault="00E20138" w:rsidP="00E20138">
      <w:pPr>
        <w:pStyle w:val="Heading5"/>
        <w:spacing w:before="120"/>
        <w:rPr>
          <w:rFonts w:cs="Calibri"/>
        </w:rPr>
      </w:pPr>
      <w:r w:rsidRPr="00D9348B">
        <w:rPr>
          <w:rFonts w:cs="Calibri"/>
          <w:lang w:eastAsia="en-GB"/>
        </w:rPr>
        <w:t>Gaseous fuels</w:t>
      </w:r>
    </w:p>
    <w:p w14:paraId="2D0C5D7B" w14:textId="77777777" w:rsidR="00E20138" w:rsidRPr="00D9348B" w:rsidRDefault="00E20138" w:rsidP="00E20138">
      <w:pPr>
        <w:pStyle w:val="BodyText"/>
        <w:rPr>
          <w:rFonts w:cs="Calibri"/>
          <w:sz w:val="16"/>
          <w:szCs w:val="16"/>
          <w:lang w:eastAsia="en-GB"/>
        </w:rPr>
      </w:pPr>
      <w:r w:rsidRPr="00D9348B">
        <w:rPr>
          <w:rFonts w:cs="Calibri"/>
          <w:lang w:eastAsia="en-GB"/>
        </w:rPr>
        <w:t>As mentioned in section 3.3.1, New Zealand’s natural gas emission factor fluctuates from year to year, mainly due to the different mixture of gas fields that produced gas in that year. New Zealand gas fields also have higher CO</w:t>
      </w:r>
      <w:r w:rsidRPr="00D9348B">
        <w:rPr>
          <w:rFonts w:cs="Calibri"/>
          <w:vertAlign w:val="subscript"/>
          <w:lang w:eastAsia="en-GB"/>
        </w:rPr>
        <w:t>2</w:t>
      </w:r>
      <w:r w:rsidRPr="00D9348B">
        <w:rPr>
          <w:rFonts w:cs="Calibri"/>
          <w:lang w:eastAsia="en-GB"/>
        </w:rPr>
        <w:t xml:space="preserve"> content than most international gas fields. This is particularly evident in the </w:t>
      </w:r>
      <w:r w:rsidRPr="00D9348B">
        <w:rPr>
          <w:rFonts w:cs="Calibri"/>
          <w:i/>
          <w:lang w:eastAsia="en-GB"/>
        </w:rPr>
        <w:t>Public electricity and heat production</w:t>
      </w:r>
      <w:r w:rsidRPr="00D9348B">
        <w:rPr>
          <w:rFonts w:cs="Calibri"/>
          <w:lang w:eastAsia="en-GB"/>
        </w:rPr>
        <w:t xml:space="preserve"> category.</w:t>
      </w:r>
      <w:r w:rsidRPr="00D9348B">
        <w:rPr>
          <w:rFonts w:cs="Calibri"/>
          <w:sz w:val="16"/>
          <w:szCs w:val="16"/>
          <w:lang w:eastAsia="en-GB"/>
        </w:rPr>
        <w:t xml:space="preserve"> </w:t>
      </w:r>
    </w:p>
    <w:p w14:paraId="4E6AF546" w14:textId="77777777" w:rsidR="00E20138" w:rsidRPr="00D9348B" w:rsidRDefault="00E20138" w:rsidP="0086672C">
      <w:pPr>
        <w:pStyle w:val="Heading4"/>
        <w:spacing w:before="200"/>
      </w:pPr>
      <w:r w:rsidRPr="00D9348B">
        <w:rPr>
          <w:lang w:eastAsia="en-GB"/>
        </w:rPr>
        <w:t>Uncertainties and time-series consistency</w:t>
      </w:r>
    </w:p>
    <w:p w14:paraId="7850641B" w14:textId="77777777" w:rsidR="00E20138" w:rsidRPr="00D9348B" w:rsidRDefault="00E20138" w:rsidP="00E20138">
      <w:pPr>
        <w:pStyle w:val="BodyText"/>
        <w:rPr>
          <w:rFonts w:cs="Calibri"/>
          <w:lang w:eastAsia="en-GB"/>
        </w:rPr>
      </w:pPr>
      <w:r w:rsidRPr="00D9348B">
        <w:rPr>
          <w:rFonts w:cs="Calibri"/>
          <w:lang w:eastAsia="en-GB"/>
        </w:rPr>
        <w:t>Uncertainties in emissions and activity data estimates for this category are relevant to the entire Fuel combustion sector (see table 3.3.1).</w:t>
      </w:r>
    </w:p>
    <w:p w14:paraId="3F1D4C4E" w14:textId="77777777" w:rsidR="00E20138" w:rsidRPr="00D9348B" w:rsidRDefault="00E20138" w:rsidP="0086672C">
      <w:pPr>
        <w:pStyle w:val="Heading4"/>
        <w:spacing w:before="200"/>
        <w:rPr>
          <w:lang w:eastAsia="en-GB"/>
        </w:rPr>
      </w:pPr>
      <w:r w:rsidRPr="00D9348B">
        <w:rPr>
          <w:lang w:eastAsia="en-GB"/>
        </w:rPr>
        <w:t>Source-specific QA/QC and verification</w:t>
      </w:r>
    </w:p>
    <w:p w14:paraId="620526C6" w14:textId="77777777" w:rsidR="00E20138" w:rsidRPr="00D9348B" w:rsidRDefault="00E20138" w:rsidP="00E20138">
      <w:pPr>
        <w:pStyle w:val="BodyText"/>
        <w:rPr>
          <w:rFonts w:cs="Calibri"/>
          <w:lang w:eastAsia="en-GB"/>
        </w:rPr>
      </w:pPr>
      <w:r w:rsidRPr="00D9348B">
        <w:rPr>
          <w:rFonts w:cs="Calibri"/>
          <w:lang w:eastAsia="en-GB"/>
        </w:rPr>
        <w:t xml:space="preserve">In the preparation of this inventory, the </w:t>
      </w:r>
      <w:r w:rsidRPr="00D9348B">
        <w:rPr>
          <w:rFonts w:cs="Calibri"/>
          <w:i/>
          <w:lang w:eastAsia="en-GB"/>
        </w:rPr>
        <w:t>Energy industries</w:t>
      </w:r>
      <w:r w:rsidRPr="00D9348B">
        <w:rPr>
          <w:rFonts w:cs="Calibri"/>
          <w:lang w:eastAsia="en-GB"/>
        </w:rPr>
        <w:t xml:space="preserve"> category underwent Tier 1 quality-assurance and quality-control checks as recommended in the 2006 IPCC Guidelines. These include regular control sums throughout systems, to verify system integrity, and consistency checks on implied emission factors.</w:t>
      </w:r>
    </w:p>
    <w:p w14:paraId="7AAD5CFB" w14:textId="77777777" w:rsidR="00E20138" w:rsidRPr="00D9348B" w:rsidRDefault="00E20138" w:rsidP="0086672C">
      <w:pPr>
        <w:pStyle w:val="Heading4"/>
        <w:spacing w:before="200"/>
        <w:rPr>
          <w:lang w:eastAsia="en-GB"/>
        </w:rPr>
      </w:pPr>
      <w:r w:rsidRPr="00D9348B">
        <w:rPr>
          <w:lang w:eastAsia="en-GB"/>
        </w:rPr>
        <w:t>Source-specific recalculations</w:t>
      </w:r>
    </w:p>
    <w:p w14:paraId="67D50E54" w14:textId="77777777" w:rsidR="00E20138" w:rsidRPr="00D9348B" w:rsidRDefault="00E20138" w:rsidP="00E20138">
      <w:pPr>
        <w:pStyle w:val="BodyText"/>
        <w:rPr>
          <w:rFonts w:cs="Calibri"/>
          <w:lang w:eastAsia="en-GB"/>
        </w:rPr>
      </w:pPr>
      <w:r w:rsidRPr="00D9348B">
        <w:rPr>
          <w:rFonts w:cs="Calibri"/>
          <w:lang w:eastAsia="en-GB"/>
        </w:rPr>
        <w:t>Updated activity data have been provided by some plant operators for the quantity of natural gas consumed for electricity generation. This has resulted in some recalculations for recent years.</w:t>
      </w:r>
    </w:p>
    <w:p w14:paraId="7393A42C" w14:textId="77777777" w:rsidR="00E20138" w:rsidRPr="00D9348B" w:rsidRDefault="00E20138" w:rsidP="00E20138">
      <w:pPr>
        <w:pStyle w:val="Heading3"/>
        <w:rPr>
          <w:rFonts w:cs="Calibri"/>
        </w:rPr>
      </w:pPr>
      <w:bookmarkStart w:id="391" w:name="_Ref442360713"/>
      <w:r w:rsidRPr="00D9348B">
        <w:rPr>
          <w:rFonts w:cs="Calibri"/>
        </w:rPr>
        <w:t>3.3.7</w:t>
      </w:r>
      <w:r w:rsidRPr="00D9348B">
        <w:rPr>
          <w:rFonts w:cs="Calibri"/>
        </w:rPr>
        <w:tab/>
        <w:t>Fuel combustion: Manufacturing industries and construction (CRF 1.A.2)</w:t>
      </w:r>
      <w:bookmarkEnd w:id="391"/>
    </w:p>
    <w:p w14:paraId="020E2F43" w14:textId="77777777" w:rsidR="00E20138" w:rsidRPr="00D9348B" w:rsidRDefault="00E20138" w:rsidP="0086672C">
      <w:pPr>
        <w:pStyle w:val="Heading4"/>
        <w:spacing w:before="160"/>
      </w:pPr>
      <w:r w:rsidRPr="00D9348B">
        <w:rPr>
          <w:lang w:eastAsia="en-GB"/>
        </w:rPr>
        <w:t>Description</w:t>
      </w:r>
    </w:p>
    <w:p w14:paraId="7537D9CE" w14:textId="77777777" w:rsidR="00E20138" w:rsidRPr="00D9348B" w:rsidRDefault="00E20138" w:rsidP="00E20138">
      <w:pPr>
        <w:pStyle w:val="BodyText"/>
        <w:rPr>
          <w:rFonts w:cs="Calibri"/>
          <w:lang w:eastAsia="en-GB"/>
        </w:rPr>
      </w:pPr>
      <w:r w:rsidRPr="00D9348B">
        <w:rPr>
          <w:rFonts w:cs="Calibri"/>
          <w:lang w:eastAsia="en-GB"/>
        </w:rPr>
        <w:t>This category comprises emissions from fossil fuels combusted in iron and steel, other non</w:t>
      </w:r>
      <w:r w:rsidRPr="00D9348B">
        <w:rPr>
          <w:rFonts w:cs="Calibri"/>
          <w:lang w:eastAsia="en-GB"/>
        </w:rPr>
        <w:noBreakHyphen/>
        <w:t>ferrous metals, chemicals, pulp, paper and print, food processing, beverages and tobacco, and other uses. Emissions from co-generation plants that do not meet the definition of co</w:t>
      </w:r>
      <w:r w:rsidRPr="00D9348B">
        <w:rPr>
          <w:rFonts w:cs="Calibri"/>
          <w:lang w:eastAsia="en-GB"/>
        </w:rPr>
        <w:noBreakHyphen/>
        <w:t>generation as provided in the IPCC Guidelines are included in this category.</w:t>
      </w:r>
    </w:p>
    <w:p w14:paraId="7AABA414" w14:textId="77777777" w:rsidR="00E20138" w:rsidRPr="00D9348B" w:rsidRDefault="00E20138" w:rsidP="00E20138">
      <w:pPr>
        <w:pStyle w:val="BodyText"/>
        <w:rPr>
          <w:rFonts w:cs="Calibri"/>
          <w:lang w:eastAsia="en-GB"/>
        </w:rPr>
      </w:pPr>
      <w:r w:rsidRPr="00D9348B">
        <w:rPr>
          <w:rFonts w:cs="Calibri"/>
          <w:lang w:eastAsia="en-GB"/>
        </w:rPr>
        <w:t xml:space="preserve">In </w:t>
      </w:r>
      <w:r w:rsidRPr="00D9348B">
        <w:rPr>
          <w:rFonts w:cs="Calibri"/>
        </w:rPr>
        <w:t>2018</w:t>
      </w:r>
      <w:r w:rsidRPr="00D9348B">
        <w:rPr>
          <w:rFonts w:cs="Calibri"/>
          <w:lang w:eastAsia="en-GB"/>
        </w:rPr>
        <w:t xml:space="preserve">, emissions from the 1.A.2 </w:t>
      </w:r>
      <w:r w:rsidRPr="00D9348B">
        <w:rPr>
          <w:rFonts w:cs="Calibri"/>
          <w:i/>
          <w:lang w:eastAsia="en-GB"/>
        </w:rPr>
        <w:t>Manufacturing industries and construction</w:t>
      </w:r>
      <w:r w:rsidRPr="00D9348B">
        <w:rPr>
          <w:rFonts w:cs="Calibri"/>
          <w:lang w:eastAsia="en-GB"/>
        </w:rPr>
        <w:t xml:space="preserve"> category accounted for </w:t>
      </w:r>
      <w:r w:rsidRPr="00D9348B">
        <w:rPr>
          <w:rFonts w:cs="Calibri"/>
        </w:rPr>
        <w:t xml:space="preserve">6,390.4 </w:t>
      </w:r>
      <w:r w:rsidRPr="00D9348B">
        <w:rPr>
          <w:rFonts w:cs="Calibri"/>
          <w:lang w:eastAsia="en-GB"/>
        </w:rPr>
        <w:t>kt CO</w:t>
      </w:r>
      <w:r w:rsidRPr="00D9348B">
        <w:rPr>
          <w:rFonts w:cs="Calibri"/>
          <w:vertAlign w:val="subscript"/>
          <w:lang w:eastAsia="en-GB"/>
        </w:rPr>
        <w:t>2</w:t>
      </w:r>
      <w:r w:rsidRPr="00D9348B">
        <w:rPr>
          <w:rFonts w:cs="Calibri"/>
          <w:lang w:eastAsia="en-GB"/>
        </w:rPr>
        <w:t>-e (</w:t>
      </w:r>
      <w:r w:rsidRPr="00D9348B">
        <w:rPr>
          <w:rFonts w:cs="Calibri"/>
        </w:rPr>
        <w:t>20.0 per cent</w:t>
      </w:r>
      <w:r w:rsidRPr="00D9348B">
        <w:rPr>
          <w:rFonts w:cs="Calibri"/>
          <w:lang w:eastAsia="en-GB"/>
        </w:rPr>
        <w:t xml:space="preserve">) of emissions from the Energy sector. Emissions from this category were </w:t>
      </w:r>
      <w:r w:rsidRPr="00D9348B">
        <w:rPr>
          <w:rFonts w:cs="Calibri"/>
        </w:rPr>
        <w:t xml:space="preserve">1,630.1 </w:t>
      </w:r>
      <w:r w:rsidRPr="00D9348B">
        <w:rPr>
          <w:rFonts w:cs="Calibri"/>
          <w:lang w:eastAsia="en-GB"/>
        </w:rPr>
        <w:t>kt CO</w:t>
      </w:r>
      <w:r w:rsidRPr="00D9348B">
        <w:rPr>
          <w:rFonts w:cs="Calibri"/>
          <w:vertAlign w:val="subscript"/>
          <w:lang w:eastAsia="en-GB"/>
        </w:rPr>
        <w:t>2</w:t>
      </w:r>
      <w:r w:rsidRPr="00D9348B">
        <w:rPr>
          <w:rFonts w:cs="Calibri"/>
          <w:lang w:eastAsia="en-GB"/>
        </w:rPr>
        <w:t>-e (</w:t>
      </w:r>
      <w:r w:rsidRPr="00D9348B">
        <w:rPr>
          <w:rFonts w:cs="Calibri"/>
        </w:rPr>
        <w:t>34.2 per cent</w:t>
      </w:r>
      <w:r w:rsidRPr="00D9348B">
        <w:rPr>
          <w:rFonts w:cs="Calibri"/>
          <w:lang w:eastAsia="en-GB"/>
        </w:rPr>
        <w:t xml:space="preserve">) higher than the 1990 level of </w:t>
      </w:r>
      <w:r w:rsidRPr="00D9348B">
        <w:rPr>
          <w:rFonts w:cs="Calibri"/>
        </w:rPr>
        <w:t>4,760.3 </w:t>
      </w:r>
      <w:r w:rsidRPr="00D9348B">
        <w:rPr>
          <w:rFonts w:cs="Calibri"/>
          <w:lang w:eastAsia="en-GB"/>
        </w:rPr>
        <w:t>kt CO</w:t>
      </w:r>
      <w:r w:rsidRPr="00D9348B">
        <w:rPr>
          <w:rFonts w:cs="Calibri"/>
          <w:vertAlign w:val="subscript"/>
          <w:lang w:eastAsia="en-GB"/>
        </w:rPr>
        <w:t>2</w:t>
      </w:r>
      <w:r w:rsidRPr="00D9348B">
        <w:rPr>
          <w:rFonts w:cs="Calibri"/>
          <w:lang w:eastAsia="en-GB"/>
        </w:rPr>
        <w:t xml:space="preserve">-e. A decline in methanol production in 2003–04 caused a significant reduction in emissions from this category. Methanol production is the largest source of emissions in category 1.A.2.c </w:t>
      </w:r>
      <w:r w:rsidRPr="00D9348B">
        <w:rPr>
          <w:rFonts w:cs="Calibri"/>
          <w:i/>
          <w:lang w:eastAsia="en-GB"/>
        </w:rPr>
        <w:t>Chemicals</w:t>
      </w:r>
      <w:r w:rsidRPr="00D9348B">
        <w:rPr>
          <w:rFonts w:cs="Calibri"/>
          <w:lang w:eastAsia="en-GB"/>
        </w:rPr>
        <w:t>. Methanex New Zealand restarted previously mothballed plants in 2012/13 and operated all three of its plants during 2018.</w:t>
      </w:r>
    </w:p>
    <w:p w14:paraId="25C287EE" w14:textId="77777777" w:rsidR="00E20138" w:rsidRPr="00D9348B" w:rsidRDefault="00E20138" w:rsidP="0086672C">
      <w:pPr>
        <w:pStyle w:val="Heading4"/>
        <w:spacing w:before="200"/>
        <w:rPr>
          <w:lang w:eastAsia="en-GB"/>
        </w:rPr>
      </w:pPr>
      <w:r w:rsidRPr="00D9348B">
        <w:rPr>
          <w:lang w:eastAsia="en-GB"/>
        </w:rPr>
        <w:t xml:space="preserve">Changes in emissions between </w:t>
      </w:r>
      <w:r w:rsidRPr="00D9348B">
        <w:t xml:space="preserve">2017 </w:t>
      </w:r>
      <w:r w:rsidRPr="00D9348B">
        <w:rPr>
          <w:lang w:eastAsia="en-GB"/>
        </w:rPr>
        <w:t xml:space="preserve">and </w:t>
      </w:r>
      <w:r w:rsidRPr="00D9348B">
        <w:t>2018</w:t>
      </w:r>
    </w:p>
    <w:p w14:paraId="32E58842" w14:textId="77777777" w:rsidR="00E20138" w:rsidRPr="00D9348B" w:rsidRDefault="00E20138" w:rsidP="0086672C">
      <w:pPr>
        <w:pStyle w:val="BodyText"/>
        <w:rPr>
          <w:lang w:eastAsia="en-GB"/>
        </w:rPr>
      </w:pPr>
      <w:r w:rsidRPr="00D9348B">
        <w:rPr>
          <w:lang w:eastAsia="en-GB"/>
        </w:rPr>
        <w:t xml:space="preserve">Between </w:t>
      </w:r>
      <w:r w:rsidRPr="00D9348B">
        <w:t>2017</w:t>
      </w:r>
      <w:r w:rsidRPr="00D9348B">
        <w:rPr>
          <w:lang w:eastAsia="en-GB"/>
        </w:rPr>
        <w:t xml:space="preserve"> and </w:t>
      </w:r>
      <w:r w:rsidRPr="00D9348B">
        <w:t>2018</w:t>
      </w:r>
      <w:r w:rsidRPr="00D9348B">
        <w:rPr>
          <w:lang w:eastAsia="en-GB"/>
        </w:rPr>
        <w:t xml:space="preserve">, </w:t>
      </w:r>
      <w:r w:rsidRPr="00D9348B">
        <w:t>emissions</w:t>
      </w:r>
      <w:r w:rsidRPr="00D9348B">
        <w:rPr>
          <w:lang w:eastAsia="en-GB"/>
        </w:rPr>
        <w:t xml:space="preserve"> from the </w:t>
      </w:r>
      <w:r w:rsidRPr="00D9348B">
        <w:rPr>
          <w:i/>
          <w:lang w:eastAsia="en-GB"/>
        </w:rPr>
        <w:t>Manufacturing industries and construction</w:t>
      </w:r>
      <w:r w:rsidRPr="00D9348B">
        <w:rPr>
          <w:lang w:eastAsia="en-GB"/>
        </w:rPr>
        <w:t xml:space="preserve"> category decreased by </w:t>
      </w:r>
      <w:r w:rsidRPr="00D9348B">
        <w:t xml:space="preserve">699.9 </w:t>
      </w:r>
      <w:r w:rsidRPr="00D9348B">
        <w:rPr>
          <w:lang w:eastAsia="en-GB"/>
        </w:rPr>
        <w:t>kt CO</w:t>
      </w:r>
      <w:r w:rsidRPr="00D9348B">
        <w:rPr>
          <w:vertAlign w:val="subscript"/>
          <w:lang w:eastAsia="en-GB"/>
        </w:rPr>
        <w:t>2</w:t>
      </w:r>
      <w:r w:rsidRPr="00D9348B">
        <w:rPr>
          <w:lang w:eastAsia="en-GB"/>
        </w:rPr>
        <w:t>-e (</w:t>
      </w:r>
      <w:r w:rsidRPr="00D9348B">
        <w:t>–9.9 per cent</w:t>
      </w:r>
      <w:r w:rsidRPr="00D9348B">
        <w:rPr>
          <w:lang w:eastAsia="en-GB"/>
        </w:rPr>
        <w:t xml:space="preserve">). This was driven chiefly by a decrease in emissions from the </w:t>
      </w:r>
      <w:r w:rsidRPr="00D9348B">
        <w:rPr>
          <w:i/>
          <w:lang w:eastAsia="en-GB"/>
        </w:rPr>
        <w:t>Chemicals</w:t>
      </w:r>
      <w:r w:rsidRPr="00D9348B">
        <w:rPr>
          <w:lang w:eastAsia="en-GB"/>
        </w:rPr>
        <w:t xml:space="preserve"> category, down </w:t>
      </w:r>
      <w:r w:rsidRPr="00D9348B">
        <w:t xml:space="preserve">472.6 </w:t>
      </w:r>
      <w:r w:rsidRPr="00D9348B">
        <w:rPr>
          <w:lang w:eastAsia="en-GB"/>
        </w:rPr>
        <w:t>kt CO</w:t>
      </w:r>
      <w:r w:rsidRPr="00D9348B">
        <w:rPr>
          <w:vertAlign w:val="subscript"/>
          <w:lang w:eastAsia="en-GB"/>
        </w:rPr>
        <w:t>2</w:t>
      </w:r>
      <w:r w:rsidRPr="00D9348B">
        <w:rPr>
          <w:lang w:eastAsia="en-GB"/>
        </w:rPr>
        <w:t>-e (</w:t>
      </w:r>
      <w:r w:rsidRPr="00D9348B">
        <w:t>27.3 per cent</w:t>
      </w:r>
      <w:r w:rsidRPr="00D9348B">
        <w:rPr>
          <w:lang w:eastAsia="en-GB"/>
        </w:rPr>
        <w:t xml:space="preserve">) from 2017. A </w:t>
      </w:r>
      <w:r w:rsidRPr="00D9348B">
        <w:rPr>
          <w:lang w:eastAsia="en-GB"/>
        </w:rPr>
        <w:lastRenderedPageBreak/>
        <w:t xml:space="preserve">significant driver behind the fall were outages at the Pohokura natural gas field, which saw 2018 production drop 34 per cent from 2017 levels – see </w:t>
      </w:r>
      <w:r w:rsidRPr="00D9348B">
        <w:rPr>
          <w:i/>
          <w:lang w:eastAsia="en-GB"/>
        </w:rPr>
        <w:t>Energy in New Zealand</w:t>
      </w:r>
      <w:r w:rsidRPr="00D9348B">
        <w:rPr>
          <w:lang w:eastAsia="en-GB"/>
        </w:rPr>
        <w:t xml:space="preserve"> (MBIE, 2019, page 54), for further information.</w:t>
      </w:r>
    </w:p>
    <w:p w14:paraId="2AA91ACE" w14:textId="77777777" w:rsidR="00E20138" w:rsidRPr="00D9348B" w:rsidRDefault="00E20138" w:rsidP="00E20138">
      <w:pPr>
        <w:pStyle w:val="BodyText"/>
        <w:rPr>
          <w:rFonts w:cs="Calibri"/>
        </w:rPr>
      </w:pPr>
      <w:r w:rsidRPr="00D9348B">
        <w:rPr>
          <w:rFonts w:cs="Calibri"/>
        </w:rPr>
        <w:t xml:space="preserve">Key categories identified in the 2018 level and trend assessment for the </w:t>
      </w:r>
      <w:r w:rsidRPr="00D9348B">
        <w:rPr>
          <w:rFonts w:cs="Calibri"/>
          <w:i/>
        </w:rPr>
        <w:t>Manufacturing industries and construction</w:t>
      </w:r>
      <w:r w:rsidRPr="00D9348B">
        <w:rPr>
          <w:rFonts w:cs="Calibri"/>
        </w:rPr>
        <w:t xml:space="preserve"> category are given in table 3.3.3.</w:t>
      </w:r>
    </w:p>
    <w:p w14:paraId="3476079C" w14:textId="77777777" w:rsidR="00E20138" w:rsidRPr="00D9348B" w:rsidRDefault="00E20138" w:rsidP="005B1D32">
      <w:pPr>
        <w:pStyle w:val="Table"/>
      </w:pPr>
      <w:r w:rsidRPr="00D9348B">
        <w:t>Table 3.3.3</w:t>
      </w:r>
      <w:r w:rsidRPr="00D9348B">
        <w:tab/>
        <w:t>Key categories for 1.A.2 Manufacturing industries and construction</w:t>
      </w:r>
    </w:p>
    <w:tbl>
      <w:tblPr>
        <w:tblW w:w="8562" w:type="dxa"/>
        <w:tblInd w:w="108" w:type="dxa"/>
        <w:tblBorders>
          <w:top w:val="single" w:sz="4" w:space="0" w:color="1F497D"/>
          <w:bottom w:val="single" w:sz="4" w:space="0" w:color="1F497D"/>
          <w:insideH w:val="single" w:sz="4" w:space="0" w:color="1F497D"/>
          <w:insideV w:val="single" w:sz="4" w:space="0" w:color="1F497D"/>
        </w:tblBorders>
        <w:tblLayout w:type="fixed"/>
        <w:tblLook w:val="0420" w:firstRow="1" w:lastRow="0" w:firstColumn="0" w:lastColumn="0" w:noHBand="0" w:noVBand="1"/>
      </w:tblPr>
      <w:tblGrid>
        <w:gridCol w:w="3795"/>
        <w:gridCol w:w="1671"/>
        <w:gridCol w:w="1519"/>
        <w:gridCol w:w="1577"/>
      </w:tblGrid>
      <w:tr w:rsidR="00E20138" w:rsidRPr="00D9348B" w14:paraId="49BC3306" w14:textId="77777777" w:rsidTr="00DB330E">
        <w:trPr>
          <w:tblHeader/>
        </w:trPr>
        <w:tc>
          <w:tcPr>
            <w:tcW w:w="2216" w:type="pct"/>
            <w:tcBorders>
              <w:right w:val="single" w:sz="4" w:space="0" w:color="365F91"/>
            </w:tcBorders>
            <w:shd w:val="clear" w:color="auto" w:fill="365F91"/>
            <w:noWrap/>
            <w:vAlign w:val="bottom"/>
            <w:hideMark/>
          </w:tcPr>
          <w:p w14:paraId="2F0EBD0C" w14:textId="77777777" w:rsidR="00E20138" w:rsidRPr="00D9348B" w:rsidRDefault="00E20138" w:rsidP="00DB330E">
            <w:pPr>
              <w:pStyle w:val="TableTextBold"/>
              <w:rPr>
                <w:rFonts w:cs="Calibri"/>
                <w:noProof w:val="0"/>
                <w:color w:val="FFFFFF"/>
              </w:rPr>
            </w:pPr>
            <w:r w:rsidRPr="00D9348B">
              <w:rPr>
                <w:rFonts w:cs="Calibri"/>
                <w:noProof w:val="0"/>
                <w:color w:val="FFFFFF"/>
              </w:rPr>
              <w:t xml:space="preserve">Category </w:t>
            </w:r>
          </w:p>
        </w:tc>
        <w:tc>
          <w:tcPr>
            <w:tcW w:w="976" w:type="pct"/>
            <w:tcBorders>
              <w:top w:val="single" w:sz="4" w:space="0" w:color="365F91"/>
              <w:left w:val="single" w:sz="4" w:space="0" w:color="365F91"/>
              <w:bottom w:val="single" w:sz="4" w:space="0" w:color="365F91"/>
              <w:right w:val="single" w:sz="4" w:space="0" w:color="365F91"/>
            </w:tcBorders>
            <w:shd w:val="clear" w:color="auto" w:fill="365F91"/>
            <w:noWrap/>
            <w:vAlign w:val="bottom"/>
            <w:hideMark/>
          </w:tcPr>
          <w:p w14:paraId="637732E0" w14:textId="77777777" w:rsidR="00E20138" w:rsidRPr="00D9348B" w:rsidRDefault="00E20138" w:rsidP="00DB330E">
            <w:pPr>
              <w:pStyle w:val="TableTextBold"/>
              <w:rPr>
                <w:rFonts w:cs="Calibri"/>
                <w:noProof w:val="0"/>
                <w:color w:val="FFFFFF"/>
              </w:rPr>
            </w:pPr>
            <w:r w:rsidRPr="00D9348B">
              <w:rPr>
                <w:rFonts w:cs="Calibri"/>
                <w:noProof w:val="0"/>
                <w:color w:val="FFFFFF"/>
              </w:rPr>
              <w:t>Liquid fuels</w:t>
            </w:r>
          </w:p>
        </w:tc>
        <w:tc>
          <w:tcPr>
            <w:tcW w:w="887" w:type="pct"/>
            <w:tcBorders>
              <w:top w:val="single" w:sz="4" w:space="0" w:color="365F91"/>
              <w:left w:val="single" w:sz="4" w:space="0" w:color="365F91"/>
              <w:bottom w:val="single" w:sz="4" w:space="0" w:color="365F91"/>
              <w:right w:val="single" w:sz="4" w:space="0" w:color="365F91"/>
            </w:tcBorders>
            <w:shd w:val="clear" w:color="auto" w:fill="365F91"/>
            <w:vAlign w:val="bottom"/>
            <w:hideMark/>
          </w:tcPr>
          <w:p w14:paraId="6EE79A15" w14:textId="77777777" w:rsidR="00E20138" w:rsidRPr="00D9348B" w:rsidRDefault="00E20138" w:rsidP="00DB330E">
            <w:pPr>
              <w:pStyle w:val="TableTextBold"/>
              <w:rPr>
                <w:rFonts w:cs="Calibri"/>
                <w:noProof w:val="0"/>
                <w:color w:val="FFFFFF"/>
              </w:rPr>
            </w:pPr>
            <w:r w:rsidRPr="00D9348B">
              <w:rPr>
                <w:rFonts w:cs="Calibri"/>
                <w:noProof w:val="0"/>
                <w:color w:val="FFFFFF"/>
              </w:rPr>
              <w:t>Solid fuels</w:t>
            </w:r>
          </w:p>
        </w:tc>
        <w:tc>
          <w:tcPr>
            <w:tcW w:w="921" w:type="pct"/>
            <w:tcBorders>
              <w:left w:val="single" w:sz="4" w:space="0" w:color="365F91"/>
            </w:tcBorders>
            <w:shd w:val="clear" w:color="auto" w:fill="365F91"/>
            <w:vAlign w:val="bottom"/>
            <w:hideMark/>
          </w:tcPr>
          <w:p w14:paraId="460F083F" w14:textId="77777777" w:rsidR="00E20138" w:rsidRPr="00D9348B" w:rsidRDefault="00E20138" w:rsidP="00DB330E">
            <w:pPr>
              <w:pStyle w:val="TableTextBold"/>
              <w:rPr>
                <w:rFonts w:cs="Calibri"/>
                <w:noProof w:val="0"/>
                <w:color w:val="FFFFFF"/>
              </w:rPr>
            </w:pPr>
            <w:r w:rsidRPr="00D9348B">
              <w:rPr>
                <w:rFonts w:cs="Calibri"/>
                <w:noProof w:val="0"/>
                <w:color w:val="FFFFFF"/>
              </w:rPr>
              <w:t>Gaseous fuels</w:t>
            </w:r>
          </w:p>
        </w:tc>
      </w:tr>
      <w:tr w:rsidR="00E20138" w:rsidRPr="00D9348B" w14:paraId="2BDC8ED4" w14:textId="77777777" w:rsidTr="00DB330E">
        <w:tc>
          <w:tcPr>
            <w:tcW w:w="2216" w:type="pct"/>
            <w:tcBorders>
              <w:right w:val="single" w:sz="4" w:space="0" w:color="365F91"/>
            </w:tcBorders>
            <w:shd w:val="clear" w:color="auto" w:fill="auto"/>
            <w:noWrap/>
            <w:hideMark/>
          </w:tcPr>
          <w:p w14:paraId="53FE5AB9" w14:textId="77777777" w:rsidR="00E20138" w:rsidRPr="00D9348B" w:rsidRDefault="00E20138" w:rsidP="00DB330E">
            <w:pPr>
              <w:pStyle w:val="TableText"/>
              <w:spacing w:before="50" w:after="50"/>
              <w:rPr>
                <w:rFonts w:cs="Calibri"/>
              </w:rPr>
            </w:pPr>
            <w:r w:rsidRPr="00D9348B">
              <w:rPr>
                <w:rFonts w:cs="Calibri"/>
              </w:rPr>
              <w:t>Chemicals – CO</w:t>
            </w:r>
            <w:r w:rsidRPr="00D9348B">
              <w:rPr>
                <w:rFonts w:cs="Calibri"/>
                <w:vertAlign w:val="subscript"/>
              </w:rPr>
              <w:t>2</w:t>
            </w:r>
          </w:p>
        </w:tc>
        <w:tc>
          <w:tcPr>
            <w:tcW w:w="976" w:type="pct"/>
            <w:tcBorders>
              <w:top w:val="single" w:sz="4" w:space="0" w:color="365F91"/>
              <w:left w:val="single" w:sz="4" w:space="0" w:color="365F91"/>
              <w:bottom w:val="single" w:sz="4" w:space="0" w:color="365F91"/>
              <w:right w:val="single" w:sz="4" w:space="0" w:color="365F91"/>
            </w:tcBorders>
            <w:shd w:val="clear" w:color="auto" w:fill="auto"/>
            <w:noWrap/>
            <w:hideMark/>
          </w:tcPr>
          <w:p w14:paraId="5FEB5A79" w14:textId="77777777" w:rsidR="00E20138" w:rsidRPr="00D9348B" w:rsidRDefault="00E20138" w:rsidP="00DB330E">
            <w:pPr>
              <w:pStyle w:val="TableText"/>
              <w:spacing w:before="50" w:after="50"/>
              <w:rPr>
                <w:rFonts w:cs="Calibri"/>
              </w:rPr>
            </w:pPr>
          </w:p>
        </w:tc>
        <w:tc>
          <w:tcPr>
            <w:tcW w:w="887" w:type="pct"/>
            <w:tcBorders>
              <w:top w:val="single" w:sz="4" w:space="0" w:color="365F91"/>
              <w:left w:val="single" w:sz="4" w:space="0" w:color="365F91"/>
              <w:bottom w:val="single" w:sz="4" w:space="0" w:color="365F91"/>
              <w:right w:val="single" w:sz="4" w:space="0" w:color="365F91"/>
            </w:tcBorders>
            <w:shd w:val="clear" w:color="auto" w:fill="auto"/>
            <w:noWrap/>
            <w:hideMark/>
          </w:tcPr>
          <w:p w14:paraId="62FACA0B" w14:textId="77777777" w:rsidR="00E20138" w:rsidRPr="00D9348B" w:rsidRDefault="00E20138" w:rsidP="00DB330E">
            <w:pPr>
              <w:pStyle w:val="TableText"/>
              <w:spacing w:before="50" w:after="50"/>
              <w:rPr>
                <w:rFonts w:cs="Calibri"/>
              </w:rPr>
            </w:pPr>
          </w:p>
        </w:tc>
        <w:tc>
          <w:tcPr>
            <w:tcW w:w="921" w:type="pct"/>
            <w:tcBorders>
              <w:left w:val="single" w:sz="4" w:space="0" w:color="365F91"/>
            </w:tcBorders>
            <w:shd w:val="clear" w:color="auto" w:fill="auto"/>
            <w:noWrap/>
            <w:hideMark/>
          </w:tcPr>
          <w:p w14:paraId="4A25EC06" w14:textId="77777777" w:rsidR="00E20138" w:rsidRPr="00D9348B" w:rsidRDefault="00E20138" w:rsidP="00DB330E">
            <w:pPr>
              <w:pStyle w:val="TableText"/>
              <w:spacing w:before="50" w:after="50"/>
              <w:rPr>
                <w:rFonts w:cs="Calibri"/>
              </w:rPr>
            </w:pPr>
            <w:r w:rsidRPr="00D9348B">
              <w:rPr>
                <w:rFonts w:cs="Calibri"/>
              </w:rPr>
              <w:t>Level, trend</w:t>
            </w:r>
          </w:p>
        </w:tc>
      </w:tr>
      <w:tr w:rsidR="00E20138" w:rsidRPr="00D9348B" w14:paraId="70380B26" w14:textId="77777777" w:rsidTr="00DB330E">
        <w:tc>
          <w:tcPr>
            <w:tcW w:w="2216" w:type="pct"/>
            <w:tcBorders>
              <w:right w:val="single" w:sz="4" w:space="0" w:color="365F91"/>
            </w:tcBorders>
            <w:shd w:val="clear" w:color="auto" w:fill="auto"/>
            <w:noWrap/>
            <w:hideMark/>
          </w:tcPr>
          <w:p w14:paraId="47601D07" w14:textId="77777777" w:rsidR="00E20138" w:rsidRPr="00D9348B" w:rsidRDefault="00E20138" w:rsidP="00DB330E">
            <w:pPr>
              <w:pStyle w:val="TableText"/>
              <w:spacing w:before="50" w:after="50"/>
              <w:rPr>
                <w:rFonts w:cs="Calibri"/>
              </w:rPr>
            </w:pPr>
            <w:r w:rsidRPr="00D9348B">
              <w:rPr>
                <w:rFonts w:cs="Calibri"/>
              </w:rPr>
              <w:t>Pulp, paper and print – CO</w:t>
            </w:r>
            <w:r w:rsidRPr="00D9348B">
              <w:rPr>
                <w:rFonts w:cs="Calibri"/>
                <w:vertAlign w:val="subscript"/>
              </w:rPr>
              <w:t>2</w:t>
            </w:r>
          </w:p>
        </w:tc>
        <w:tc>
          <w:tcPr>
            <w:tcW w:w="976" w:type="pct"/>
            <w:tcBorders>
              <w:top w:val="single" w:sz="4" w:space="0" w:color="365F91"/>
              <w:left w:val="single" w:sz="4" w:space="0" w:color="365F91"/>
              <w:bottom w:val="single" w:sz="4" w:space="0" w:color="365F91"/>
              <w:right w:val="single" w:sz="4" w:space="0" w:color="365F91"/>
            </w:tcBorders>
            <w:shd w:val="clear" w:color="auto" w:fill="auto"/>
            <w:noWrap/>
            <w:hideMark/>
          </w:tcPr>
          <w:p w14:paraId="4D46705B" w14:textId="77777777" w:rsidR="00E20138" w:rsidRPr="00D9348B" w:rsidRDefault="00E20138" w:rsidP="00DB330E">
            <w:pPr>
              <w:pStyle w:val="TableText"/>
              <w:spacing w:before="50" w:after="50"/>
              <w:rPr>
                <w:rFonts w:cs="Calibri"/>
              </w:rPr>
            </w:pPr>
          </w:p>
        </w:tc>
        <w:tc>
          <w:tcPr>
            <w:tcW w:w="887" w:type="pct"/>
            <w:tcBorders>
              <w:top w:val="single" w:sz="4" w:space="0" w:color="365F91"/>
              <w:left w:val="single" w:sz="4" w:space="0" w:color="365F91"/>
              <w:bottom w:val="single" w:sz="4" w:space="0" w:color="365F91"/>
              <w:right w:val="single" w:sz="4" w:space="0" w:color="365F91"/>
            </w:tcBorders>
            <w:shd w:val="clear" w:color="auto" w:fill="auto"/>
            <w:noWrap/>
          </w:tcPr>
          <w:p w14:paraId="22513298" w14:textId="77777777" w:rsidR="00E20138" w:rsidRPr="00D9348B" w:rsidRDefault="00E20138" w:rsidP="00DB330E">
            <w:pPr>
              <w:pStyle w:val="TableText"/>
              <w:spacing w:before="50" w:after="50"/>
              <w:jc w:val="center"/>
              <w:rPr>
                <w:rFonts w:cs="Calibri"/>
              </w:rPr>
            </w:pPr>
          </w:p>
        </w:tc>
        <w:tc>
          <w:tcPr>
            <w:tcW w:w="921" w:type="pct"/>
            <w:tcBorders>
              <w:left w:val="single" w:sz="4" w:space="0" w:color="365F91"/>
            </w:tcBorders>
            <w:shd w:val="clear" w:color="auto" w:fill="auto"/>
            <w:noWrap/>
            <w:hideMark/>
          </w:tcPr>
          <w:p w14:paraId="200EBB66" w14:textId="77777777" w:rsidR="00E20138" w:rsidRPr="00D9348B" w:rsidRDefault="00E20138" w:rsidP="00DB330E">
            <w:pPr>
              <w:pStyle w:val="TableText"/>
              <w:spacing w:before="50" w:after="50"/>
              <w:rPr>
                <w:rFonts w:cs="Calibri"/>
              </w:rPr>
            </w:pPr>
            <w:r w:rsidRPr="00D9348B">
              <w:rPr>
                <w:rFonts w:cs="Calibri"/>
              </w:rPr>
              <w:t>Level, trend</w:t>
            </w:r>
          </w:p>
        </w:tc>
      </w:tr>
      <w:tr w:rsidR="00E20138" w:rsidRPr="00D9348B" w14:paraId="491B2C6E" w14:textId="77777777" w:rsidTr="00DB330E">
        <w:tc>
          <w:tcPr>
            <w:tcW w:w="2216" w:type="pct"/>
            <w:tcBorders>
              <w:right w:val="single" w:sz="4" w:space="0" w:color="365F91"/>
            </w:tcBorders>
            <w:shd w:val="clear" w:color="auto" w:fill="auto"/>
            <w:noWrap/>
          </w:tcPr>
          <w:p w14:paraId="31109B81" w14:textId="77777777" w:rsidR="00E20138" w:rsidRPr="00D9348B" w:rsidRDefault="00E20138" w:rsidP="00DB330E">
            <w:pPr>
              <w:pStyle w:val="TableText"/>
              <w:spacing w:before="50" w:after="50"/>
              <w:rPr>
                <w:rFonts w:cs="Calibri"/>
              </w:rPr>
            </w:pPr>
            <w:r w:rsidRPr="00D9348B">
              <w:rPr>
                <w:rFonts w:cs="Calibri"/>
              </w:rPr>
              <w:t>Food processing, beverages and tobacco – CO</w:t>
            </w:r>
            <w:r w:rsidRPr="00D9348B">
              <w:rPr>
                <w:rFonts w:cs="Calibri"/>
                <w:vertAlign w:val="subscript"/>
              </w:rPr>
              <w:t>2</w:t>
            </w:r>
          </w:p>
        </w:tc>
        <w:tc>
          <w:tcPr>
            <w:tcW w:w="976" w:type="pct"/>
            <w:tcBorders>
              <w:top w:val="single" w:sz="4" w:space="0" w:color="365F91"/>
              <w:left w:val="single" w:sz="4" w:space="0" w:color="365F91"/>
              <w:bottom w:val="single" w:sz="4" w:space="0" w:color="365F91"/>
              <w:right w:val="single" w:sz="4" w:space="0" w:color="365F91"/>
            </w:tcBorders>
            <w:shd w:val="clear" w:color="auto" w:fill="auto"/>
            <w:noWrap/>
          </w:tcPr>
          <w:p w14:paraId="652A7083" w14:textId="77777777" w:rsidR="00E20138" w:rsidRPr="00D9348B" w:rsidRDefault="00E20138" w:rsidP="00DB330E">
            <w:pPr>
              <w:pStyle w:val="TableText"/>
              <w:spacing w:before="50" w:after="50"/>
              <w:rPr>
                <w:rFonts w:cs="Calibri"/>
              </w:rPr>
            </w:pPr>
            <w:r w:rsidRPr="00D9348B">
              <w:rPr>
                <w:rFonts w:cs="Calibri"/>
              </w:rPr>
              <w:t>Level, trend</w:t>
            </w:r>
          </w:p>
        </w:tc>
        <w:tc>
          <w:tcPr>
            <w:tcW w:w="887" w:type="pct"/>
            <w:tcBorders>
              <w:top w:val="single" w:sz="4" w:space="0" w:color="365F91"/>
              <w:left w:val="single" w:sz="4" w:space="0" w:color="365F91"/>
              <w:bottom w:val="single" w:sz="4" w:space="0" w:color="365F91"/>
              <w:right w:val="single" w:sz="4" w:space="0" w:color="365F91"/>
            </w:tcBorders>
            <w:shd w:val="clear" w:color="auto" w:fill="auto"/>
            <w:noWrap/>
          </w:tcPr>
          <w:p w14:paraId="282B4AD3" w14:textId="77777777" w:rsidR="00E20138" w:rsidRPr="00D9348B" w:rsidRDefault="00E20138" w:rsidP="00DB330E">
            <w:pPr>
              <w:pStyle w:val="TableText"/>
              <w:spacing w:before="50" w:after="50"/>
              <w:jc w:val="center"/>
              <w:rPr>
                <w:rFonts w:cs="Calibri"/>
              </w:rPr>
            </w:pPr>
            <w:r w:rsidRPr="00D9348B">
              <w:rPr>
                <w:rFonts w:cs="Calibri"/>
              </w:rPr>
              <w:t>Level, trend</w:t>
            </w:r>
          </w:p>
        </w:tc>
        <w:tc>
          <w:tcPr>
            <w:tcW w:w="921" w:type="pct"/>
            <w:tcBorders>
              <w:left w:val="single" w:sz="4" w:space="0" w:color="365F91"/>
            </w:tcBorders>
            <w:shd w:val="clear" w:color="auto" w:fill="auto"/>
            <w:noWrap/>
          </w:tcPr>
          <w:p w14:paraId="1FE25673" w14:textId="77777777" w:rsidR="00E20138" w:rsidRPr="00D9348B" w:rsidRDefault="00E20138" w:rsidP="00DB330E">
            <w:pPr>
              <w:pStyle w:val="TableText"/>
              <w:spacing w:before="50" w:after="50"/>
              <w:rPr>
                <w:rFonts w:cs="Calibri"/>
              </w:rPr>
            </w:pPr>
            <w:r w:rsidRPr="00D9348B">
              <w:rPr>
                <w:rFonts w:cs="Calibri"/>
              </w:rPr>
              <w:t>Level, trend</w:t>
            </w:r>
          </w:p>
        </w:tc>
      </w:tr>
      <w:tr w:rsidR="00E20138" w:rsidRPr="00D9348B" w14:paraId="2789B636" w14:textId="77777777" w:rsidTr="00DB330E">
        <w:tc>
          <w:tcPr>
            <w:tcW w:w="2216" w:type="pct"/>
            <w:tcBorders>
              <w:right w:val="single" w:sz="4" w:space="0" w:color="365F91"/>
            </w:tcBorders>
            <w:shd w:val="clear" w:color="auto" w:fill="auto"/>
            <w:noWrap/>
          </w:tcPr>
          <w:p w14:paraId="328449B5" w14:textId="77777777" w:rsidR="00E20138" w:rsidRPr="00D9348B" w:rsidRDefault="00E20138" w:rsidP="00DB330E">
            <w:pPr>
              <w:pStyle w:val="TableText"/>
              <w:spacing w:before="50" w:after="50"/>
              <w:rPr>
                <w:rFonts w:cs="Calibri"/>
              </w:rPr>
            </w:pPr>
            <w:r w:rsidRPr="00D9348B">
              <w:rPr>
                <w:rFonts w:cs="Calibri"/>
              </w:rPr>
              <w:t>Other – mining and construction – CO</w:t>
            </w:r>
            <w:r w:rsidRPr="00D9348B">
              <w:rPr>
                <w:rFonts w:cs="Calibri"/>
                <w:vertAlign w:val="subscript"/>
              </w:rPr>
              <w:t>2</w:t>
            </w:r>
          </w:p>
        </w:tc>
        <w:tc>
          <w:tcPr>
            <w:tcW w:w="976" w:type="pct"/>
            <w:tcBorders>
              <w:top w:val="single" w:sz="4" w:space="0" w:color="365F91"/>
              <w:left w:val="single" w:sz="4" w:space="0" w:color="365F91"/>
              <w:bottom w:val="single" w:sz="4" w:space="0" w:color="365F91"/>
              <w:right w:val="single" w:sz="4" w:space="0" w:color="365F91"/>
            </w:tcBorders>
            <w:shd w:val="clear" w:color="auto" w:fill="auto"/>
            <w:noWrap/>
          </w:tcPr>
          <w:p w14:paraId="180C851D" w14:textId="77777777" w:rsidR="00E20138" w:rsidRPr="00D9348B" w:rsidRDefault="00E20138" w:rsidP="00DB330E">
            <w:pPr>
              <w:pStyle w:val="TableText"/>
              <w:spacing w:before="50" w:after="50"/>
              <w:rPr>
                <w:rFonts w:cs="Calibri"/>
              </w:rPr>
            </w:pPr>
            <w:r w:rsidRPr="00D9348B">
              <w:rPr>
                <w:rFonts w:cs="Calibri"/>
              </w:rPr>
              <w:t>Level, trend</w:t>
            </w:r>
          </w:p>
        </w:tc>
        <w:tc>
          <w:tcPr>
            <w:tcW w:w="887" w:type="pct"/>
            <w:tcBorders>
              <w:top w:val="single" w:sz="4" w:space="0" w:color="365F91"/>
              <w:left w:val="single" w:sz="4" w:space="0" w:color="365F91"/>
              <w:bottom w:val="single" w:sz="4" w:space="0" w:color="365F91"/>
              <w:right w:val="single" w:sz="4" w:space="0" w:color="365F91"/>
            </w:tcBorders>
            <w:shd w:val="clear" w:color="auto" w:fill="auto"/>
            <w:noWrap/>
          </w:tcPr>
          <w:p w14:paraId="335B73A4" w14:textId="77777777" w:rsidR="00E20138" w:rsidRPr="00D9348B" w:rsidRDefault="00E20138" w:rsidP="00DB330E">
            <w:pPr>
              <w:pStyle w:val="TableText"/>
              <w:spacing w:before="50" w:after="50"/>
              <w:jc w:val="center"/>
              <w:rPr>
                <w:rFonts w:cs="Calibri"/>
              </w:rPr>
            </w:pPr>
          </w:p>
        </w:tc>
        <w:tc>
          <w:tcPr>
            <w:tcW w:w="921" w:type="pct"/>
            <w:tcBorders>
              <w:left w:val="single" w:sz="4" w:space="0" w:color="365F91"/>
            </w:tcBorders>
            <w:shd w:val="clear" w:color="auto" w:fill="auto"/>
            <w:noWrap/>
          </w:tcPr>
          <w:p w14:paraId="567026B4" w14:textId="77777777" w:rsidR="00E20138" w:rsidRPr="00D9348B" w:rsidRDefault="00E20138" w:rsidP="00DB330E">
            <w:pPr>
              <w:pStyle w:val="TableText"/>
              <w:spacing w:before="50" w:after="50"/>
              <w:rPr>
                <w:rFonts w:cs="Calibri"/>
              </w:rPr>
            </w:pPr>
          </w:p>
        </w:tc>
      </w:tr>
      <w:tr w:rsidR="00E20138" w:rsidRPr="00D9348B" w14:paraId="4B20BA6E" w14:textId="77777777" w:rsidTr="00DB330E">
        <w:tc>
          <w:tcPr>
            <w:tcW w:w="2216" w:type="pct"/>
            <w:tcBorders>
              <w:right w:val="single" w:sz="4" w:space="0" w:color="365F91"/>
            </w:tcBorders>
            <w:shd w:val="clear" w:color="auto" w:fill="auto"/>
            <w:noWrap/>
          </w:tcPr>
          <w:p w14:paraId="692001E4" w14:textId="77777777" w:rsidR="00E20138" w:rsidRPr="00D9348B" w:rsidRDefault="00E20138" w:rsidP="00DB330E">
            <w:pPr>
              <w:pStyle w:val="TableText"/>
              <w:spacing w:before="50" w:after="50"/>
              <w:rPr>
                <w:rFonts w:cs="Calibri"/>
              </w:rPr>
            </w:pPr>
            <w:r w:rsidRPr="00D9348B">
              <w:rPr>
                <w:rFonts w:cs="Calibri"/>
              </w:rPr>
              <w:t>Other – non-metallic minerals – CO</w:t>
            </w:r>
            <w:r w:rsidRPr="00D9348B">
              <w:rPr>
                <w:rFonts w:cs="Calibri"/>
                <w:vertAlign w:val="subscript"/>
              </w:rPr>
              <w:t>2</w:t>
            </w:r>
          </w:p>
        </w:tc>
        <w:tc>
          <w:tcPr>
            <w:tcW w:w="976" w:type="pct"/>
            <w:tcBorders>
              <w:top w:val="single" w:sz="4" w:space="0" w:color="365F91"/>
              <w:left w:val="single" w:sz="4" w:space="0" w:color="365F91"/>
              <w:bottom w:val="single" w:sz="4" w:space="0" w:color="365F91"/>
              <w:right w:val="single" w:sz="4" w:space="0" w:color="365F91"/>
            </w:tcBorders>
            <w:shd w:val="clear" w:color="auto" w:fill="auto"/>
            <w:noWrap/>
          </w:tcPr>
          <w:p w14:paraId="0BF58496" w14:textId="77777777" w:rsidR="00E20138" w:rsidRPr="00D9348B" w:rsidRDefault="00E20138" w:rsidP="00DB330E">
            <w:pPr>
              <w:pStyle w:val="TableText"/>
              <w:spacing w:before="50" w:after="50"/>
              <w:rPr>
                <w:rFonts w:cs="Calibri"/>
              </w:rPr>
            </w:pPr>
          </w:p>
        </w:tc>
        <w:tc>
          <w:tcPr>
            <w:tcW w:w="887" w:type="pct"/>
            <w:tcBorders>
              <w:top w:val="single" w:sz="4" w:space="0" w:color="365F91"/>
              <w:left w:val="single" w:sz="4" w:space="0" w:color="365F91"/>
              <w:bottom w:val="single" w:sz="4" w:space="0" w:color="365F91"/>
              <w:right w:val="single" w:sz="4" w:space="0" w:color="365F91"/>
            </w:tcBorders>
            <w:shd w:val="clear" w:color="auto" w:fill="auto"/>
            <w:noWrap/>
          </w:tcPr>
          <w:p w14:paraId="64EC3286" w14:textId="77777777" w:rsidR="00E20138" w:rsidRPr="00D9348B" w:rsidRDefault="00E20138" w:rsidP="00DB330E">
            <w:pPr>
              <w:pStyle w:val="TableText"/>
              <w:spacing w:before="50" w:after="50"/>
              <w:jc w:val="center"/>
              <w:rPr>
                <w:rFonts w:cs="Calibri"/>
              </w:rPr>
            </w:pPr>
            <w:r w:rsidRPr="00D9348B">
              <w:rPr>
                <w:rFonts w:cs="Calibri"/>
              </w:rPr>
              <w:t>Level, trend</w:t>
            </w:r>
          </w:p>
        </w:tc>
        <w:tc>
          <w:tcPr>
            <w:tcW w:w="921" w:type="pct"/>
            <w:tcBorders>
              <w:left w:val="single" w:sz="4" w:space="0" w:color="365F91"/>
            </w:tcBorders>
            <w:shd w:val="clear" w:color="auto" w:fill="auto"/>
            <w:noWrap/>
          </w:tcPr>
          <w:p w14:paraId="545B3C2F" w14:textId="77777777" w:rsidR="00E20138" w:rsidRPr="00D9348B" w:rsidRDefault="00E20138" w:rsidP="00DB330E">
            <w:pPr>
              <w:pStyle w:val="TableText"/>
              <w:spacing w:before="50" w:after="50"/>
              <w:rPr>
                <w:rFonts w:cs="Calibri"/>
              </w:rPr>
            </w:pPr>
          </w:p>
        </w:tc>
      </w:tr>
      <w:tr w:rsidR="00E20138" w:rsidRPr="00D9348B" w14:paraId="0052C6C2" w14:textId="77777777" w:rsidTr="00DB330E">
        <w:tc>
          <w:tcPr>
            <w:tcW w:w="2216" w:type="pct"/>
            <w:tcBorders>
              <w:right w:val="single" w:sz="4" w:space="0" w:color="365F91"/>
            </w:tcBorders>
            <w:shd w:val="clear" w:color="auto" w:fill="auto"/>
            <w:noWrap/>
          </w:tcPr>
          <w:p w14:paraId="419CE241" w14:textId="77777777" w:rsidR="00E20138" w:rsidRPr="00D9348B" w:rsidRDefault="00E20138" w:rsidP="00DB330E">
            <w:pPr>
              <w:pStyle w:val="TableText"/>
              <w:spacing w:before="50" w:after="50"/>
              <w:rPr>
                <w:rFonts w:cs="Calibri"/>
              </w:rPr>
            </w:pPr>
            <w:r w:rsidRPr="00D9348B">
              <w:rPr>
                <w:rFonts w:cs="Calibri"/>
              </w:rPr>
              <w:t>Other – other non-specified – CO</w:t>
            </w:r>
            <w:r w:rsidRPr="00D9348B">
              <w:rPr>
                <w:rFonts w:cs="Calibri"/>
                <w:vertAlign w:val="subscript"/>
              </w:rPr>
              <w:t>2</w:t>
            </w:r>
          </w:p>
        </w:tc>
        <w:tc>
          <w:tcPr>
            <w:tcW w:w="976" w:type="pct"/>
            <w:tcBorders>
              <w:top w:val="single" w:sz="4" w:space="0" w:color="365F91"/>
              <w:left w:val="single" w:sz="4" w:space="0" w:color="365F91"/>
              <w:bottom w:val="single" w:sz="4" w:space="0" w:color="365F91"/>
              <w:right w:val="single" w:sz="4" w:space="0" w:color="365F91"/>
            </w:tcBorders>
            <w:shd w:val="clear" w:color="auto" w:fill="auto"/>
            <w:noWrap/>
          </w:tcPr>
          <w:p w14:paraId="3AA0BEB7" w14:textId="77777777" w:rsidR="00E20138" w:rsidRPr="00D9348B" w:rsidRDefault="00E20138" w:rsidP="00DB330E">
            <w:pPr>
              <w:pStyle w:val="TableText"/>
              <w:spacing w:before="50" w:after="50"/>
              <w:rPr>
                <w:rFonts w:cs="Calibri"/>
              </w:rPr>
            </w:pPr>
            <w:r w:rsidRPr="00D9348B">
              <w:rPr>
                <w:rFonts w:cs="Calibri"/>
              </w:rPr>
              <w:t>Level, trend</w:t>
            </w:r>
          </w:p>
        </w:tc>
        <w:tc>
          <w:tcPr>
            <w:tcW w:w="887" w:type="pct"/>
            <w:tcBorders>
              <w:top w:val="single" w:sz="4" w:space="0" w:color="365F91"/>
              <w:left w:val="single" w:sz="4" w:space="0" w:color="365F91"/>
              <w:bottom w:val="single" w:sz="4" w:space="0" w:color="365F91"/>
              <w:right w:val="single" w:sz="4" w:space="0" w:color="365F91"/>
            </w:tcBorders>
            <w:shd w:val="clear" w:color="auto" w:fill="auto"/>
            <w:noWrap/>
          </w:tcPr>
          <w:p w14:paraId="43C149EC" w14:textId="77777777" w:rsidR="00E20138" w:rsidRPr="00D9348B" w:rsidRDefault="00E20138" w:rsidP="00DB330E">
            <w:pPr>
              <w:pStyle w:val="TableText"/>
              <w:spacing w:before="50" w:after="50"/>
              <w:jc w:val="center"/>
              <w:rPr>
                <w:rFonts w:cs="Calibri"/>
              </w:rPr>
            </w:pPr>
            <w:r w:rsidRPr="00D9348B">
              <w:rPr>
                <w:rFonts w:cs="Calibri"/>
              </w:rPr>
              <w:t>Trend</w:t>
            </w:r>
          </w:p>
        </w:tc>
        <w:tc>
          <w:tcPr>
            <w:tcW w:w="921" w:type="pct"/>
            <w:tcBorders>
              <w:left w:val="single" w:sz="4" w:space="0" w:color="365F91"/>
            </w:tcBorders>
            <w:shd w:val="clear" w:color="auto" w:fill="auto"/>
            <w:noWrap/>
          </w:tcPr>
          <w:p w14:paraId="693DBB99" w14:textId="77777777" w:rsidR="00E20138" w:rsidRPr="00D9348B" w:rsidRDefault="00E20138" w:rsidP="00DB330E">
            <w:pPr>
              <w:pStyle w:val="TableText"/>
              <w:spacing w:before="50" w:after="50"/>
              <w:rPr>
                <w:rFonts w:cs="Calibri"/>
              </w:rPr>
            </w:pPr>
          </w:p>
        </w:tc>
      </w:tr>
    </w:tbl>
    <w:p w14:paraId="029FC2B8" w14:textId="77777777" w:rsidR="00E20138" w:rsidRPr="00D9348B" w:rsidRDefault="00E20138" w:rsidP="0086672C">
      <w:pPr>
        <w:pStyle w:val="Heading4"/>
        <w:spacing w:before="360"/>
      </w:pPr>
      <w:r w:rsidRPr="00D9348B">
        <w:rPr>
          <w:lang w:eastAsia="en-GB"/>
        </w:rPr>
        <w:t>Methodological issues</w:t>
      </w:r>
    </w:p>
    <w:p w14:paraId="45FDAFD6" w14:textId="59DFD15C" w:rsidR="00E20138" w:rsidRPr="00D9348B" w:rsidRDefault="00E20138" w:rsidP="00E20138">
      <w:pPr>
        <w:pStyle w:val="BodyText"/>
        <w:rPr>
          <w:rFonts w:cs="Calibri"/>
          <w:lang w:eastAsia="en-GB"/>
        </w:rPr>
      </w:pPr>
      <w:r w:rsidRPr="00D9348B">
        <w:rPr>
          <w:rFonts w:cs="Calibri"/>
          <w:lang w:eastAsia="en-GB"/>
        </w:rPr>
        <w:t xml:space="preserve">To ensure there is no double counting of emissions, in some instances, emissions from the use of solid fuels and gaseous fuels are excluded from this category because they are accounted for under the IPPU sector. New Zealand Steel Limited uses coal as a reducing agent in the steel-making process. In accordance with 2006 IPCC Guidelines, the emissions from this are included in the IPPU sector rather than the Energy sector. In a number of instances, natural gas is excluded from the </w:t>
      </w:r>
      <w:r w:rsidRPr="00D9348B">
        <w:rPr>
          <w:rFonts w:cs="Calibri"/>
          <w:i/>
          <w:lang w:eastAsia="en-GB"/>
        </w:rPr>
        <w:t>Manufacturing industries and construction</w:t>
      </w:r>
      <w:r w:rsidRPr="00D9348B">
        <w:rPr>
          <w:rFonts w:cs="Calibri"/>
          <w:lang w:eastAsia="en-GB"/>
        </w:rPr>
        <w:t xml:space="preserve"> category because it is accounted for under the IPPU sector. This includes urea production, hydrogen production and</w:t>
      </w:r>
      <w:r w:rsidR="0086672C" w:rsidRPr="00D9348B">
        <w:rPr>
          <w:rFonts w:cs="Calibri"/>
          <w:lang w:eastAsia="en-GB"/>
        </w:rPr>
        <w:t> </w:t>
      </w:r>
      <w:r w:rsidRPr="00D9348B">
        <w:rPr>
          <w:rFonts w:cs="Calibri"/>
          <w:lang w:eastAsia="en-GB"/>
        </w:rPr>
        <w:t>some of the natural gas used by New Zealand Steel (New Zealand Steel separately reports its emissions from natural gas as part of the combustion process and natural gas as part of the</w:t>
      </w:r>
      <w:r w:rsidR="0086672C" w:rsidRPr="00D9348B">
        <w:rPr>
          <w:rFonts w:cs="Calibri"/>
          <w:lang w:eastAsia="en-GB"/>
        </w:rPr>
        <w:t> </w:t>
      </w:r>
      <w:r w:rsidRPr="00D9348B">
        <w:rPr>
          <w:rFonts w:cs="Calibri"/>
          <w:lang w:eastAsia="en-GB"/>
        </w:rPr>
        <w:t>chemical process).</w:t>
      </w:r>
    </w:p>
    <w:p w14:paraId="304F864A" w14:textId="77777777" w:rsidR="00E20138" w:rsidRPr="00D9348B" w:rsidRDefault="00E20138" w:rsidP="00865BDB">
      <w:pPr>
        <w:pStyle w:val="Heading4"/>
        <w:rPr>
          <w:lang w:eastAsia="en-GB"/>
        </w:rPr>
      </w:pPr>
      <w:r w:rsidRPr="00D9348B">
        <w:rPr>
          <w:lang w:eastAsia="en-GB"/>
        </w:rPr>
        <w:t>Activity data</w:t>
      </w:r>
    </w:p>
    <w:p w14:paraId="75DF8B76" w14:textId="77777777" w:rsidR="00E20138" w:rsidRPr="00D9348B" w:rsidRDefault="00E20138" w:rsidP="00E20138">
      <w:pPr>
        <w:pStyle w:val="BodyText"/>
        <w:spacing w:before="100"/>
        <w:rPr>
          <w:rFonts w:cs="Calibri"/>
        </w:rPr>
      </w:pPr>
      <w:r w:rsidRPr="00D9348B">
        <w:rPr>
          <w:rFonts w:cs="Calibri"/>
          <w:spacing w:val="-2"/>
        </w:rPr>
        <w:t xml:space="preserve">Energy balance tables released with </w:t>
      </w:r>
      <w:r w:rsidRPr="00D9348B">
        <w:rPr>
          <w:rFonts w:cs="Calibri"/>
          <w:i/>
          <w:spacing w:val="-2"/>
        </w:rPr>
        <w:t>Energy in</w:t>
      </w:r>
      <w:r w:rsidRPr="00D9348B">
        <w:rPr>
          <w:rFonts w:cs="Calibri"/>
          <w:spacing w:val="-2"/>
        </w:rPr>
        <w:t xml:space="preserve"> </w:t>
      </w:r>
      <w:r w:rsidRPr="00D9348B">
        <w:rPr>
          <w:rFonts w:cs="Calibri"/>
          <w:i/>
          <w:spacing w:val="-2"/>
        </w:rPr>
        <w:t xml:space="preserve">New Zealand </w:t>
      </w:r>
      <w:r w:rsidRPr="00D9348B">
        <w:rPr>
          <w:rFonts w:cs="Calibri"/>
          <w:spacing w:val="-2"/>
        </w:rPr>
        <w:t>(MBIE, 2019) split out industrial uses of energy using the Australian and New Zealand Standard Industrial Classification (ANZSIC) 2006. This was possible because of the collection of more detailed information from the various surveys used to compile the energy balance tables since 2009</w:t>
      </w:r>
      <w:r w:rsidRPr="00D9348B">
        <w:rPr>
          <w:rFonts w:cs="Calibri"/>
        </w:rPr>
        <w:t>.</w:t>
      </w:r>
    </w:p>
    <w:p w14:paraId="1BF6321E" w14:textId="77777777" w:rsidR="00E20138" w:rsidRPr="00D9348B" w:rsidRDefault="00E20138" w:rsidP="00E20138">
      <w:pPr>
        <w:pStyle w:val="BodyText"/>
        <w:spacing w:before="100"/>
        <w:rPr>
          <w:rFonts w:cs="Calibri"/>
          <w:spacing w:val="-2"/>
        </w:rPr>
      </w:pPr>
      <w:r w:rsidRPr="00D9348B">
        <w:rPr>
          <w:rFonts w:cs="Calibri"/>
          <w:spacing w:val="-2"/>
        </w:rPr>
        <w:t xml:space="preserve">This has allowed a further disaggregation of the </w:t>
      </w:r>
      <w:r w:rsidRPr="00D9348B">
        <w:rPr>
          <w:rFonts w:cs="Calibri"/>
          <w:i/>
          <w:spacing w:val="-2"/>
        </w:rPr>
        <w:t>Manufacturing industries and construction</w:t>
      </w:r>
      <w:r w:rsidRPr="00D9348B">
        <w:rPr>
          <w:rFonts w:cs="Calibri"/>
          <w:spacing w:val="-2"/>
        </w:rPr>
        <w:t xml:space="preserve"> category and, therefore, greater transparency. Where actual survey data are not available at the required level, estimates of the energy use across these categories have been made to ensure time-series consistency. These are described in further detail below.</w:t>
      </w:r>
    </w:p>
    <w:p w14:paraId="4EED734D" w14:textId="77777777" w:rsidR="00E20138" w:rsidRPr="00D9348B" w:rsidRDefault="00E20138" w:rsidP="00E20138">
      <w:pPr>
        <w:pStyle w:val="Heading5"/>
        <w:spacing w:before="200"/>
        <w:rPr>
          <w:rFonts w:cs="Calibri"/>
        </w:rPr>
      </w:pPr>
      <w:r w:rsidRPr="00D9348B">
        <w:rPr>
          <w:rFonts w:cs="Calibri"/>
        </w:rPr>
        <w:t>Solid fuels</w:t>
      </w:r>
    </w:p>
    <w:p w14:paraId="066D38FA" w14:textId="77777777" w:rsidR="00E20138" w:rsidRPr="00D9348B" w:rsidRDefault="00E20138" w:rsidP="00E20138">
      <w:pPr>
        <w:pStyle w:val="BodyText"/>
        <w:spacing w:after="100"/>
        <w:rPr>
          <w:rFonts w:cs="Calibri"/>
        </w:rPr>
      </w:pPr>
      <w:r w:rsidRPr="00D9348B">
        <w:rPr>
          <w:rFonts w:cs="Calibri"/>
        </w:rPr>
        <w:t xml:space="preserve">In 2010, the disaggregation of the </w:t>
      </w:r>
      <w:r w:rsidRPr="00D9348B">
        <w:rPr>
          <w:rFonts w:cs="Calibri"/>
          <w:i/>
        </w:rPr>
        <w:t>Manufacturing industries and construction</w:t>
      </w:r>
      <w:r w:rsidRPr="00D9348B">
        <w:rPr>
          <w:rFonts w:cs="Calibri"/>
        </w:rPr>
        <w:t xml:space="preserve"> category for coal was implemented within the energy greenhouse gas data system. This was the first time the category was disaggregated and it was applied from 2009. These percentage splits, based on 2009 data, were applied to activity data for the annual inventory submission across the whole time series (back to 1990). However, during 2014, the coal data system at MBIE was revised to internally disaggregate manufacturing industries based on a 2011 survey of major coal users. Therefore, applying the disaggregation procedure previously used within the greenhouse gas data system is no longer necessary. </w:t>
      </w:r>
    </w:p>
    <w:p w14:paraId="272F86CB" w14:textId="77777777" w:rsidR="00E20138" w:rsidRPr="00D9348B" w:rsidRDefault="00E20138" w:rsidP="00E20138">
      <w:pPr>
        <w:pStyle w:val="BodyText"/>
        <w:spacing w:after="100"/>
        <w:rPr>
          <w:rFonts w:cs="Calibri"/>
        </w:rPr>
      </w:pPr>
      <w:r w:rsidRPr="00D9348B">
        <w:rPr>
          <w:rFonts w:cs="Calibri"/>
        </w:rPr>
        <w:lastRenderedPageBreak/>
        <w:t xml:space="preserve">From 2009 onwards, the coal sales survey conducted by MBIE provides data at a more disaggregated level. </w:t>
      </w:r>
    </w:p>
    <w:p w14:paraId="6552E785" w14:textId="77777777" w:rsidR="00E20138" w:rsidRPr="00D9348B" w:rsidRDefault="00E20138" w:rsidP="0086672C">
      <w:pPr>
        <w:pStyle w:val="Heading5"/>
        <w:spacing w:before="160"/>
        <w:rPr>
          <w:rFonts w:cs="Calibri"/>
        </w:rPr>
      </w:pPr>
      <w:r w:rsidRPr="00D9348B">
        <w:rPr>
          <w:rFonts w:cs="Calibri"/>
        </w:rPr>
        <w:t>Solid biomass</w:t>
      </w:r>
    </w:p>
    <w:p w14:paraId="3888C7FC" w14:textId="77777777" w:rsidR="00E20138" w:rsidRPr="00D9348B" w:rsidRDefault="00E20138" w:rsidP="0086672C">
      <w:pPr>
        <w:pStyle w:val="BodyText"/>
        <w:spacing w:before="80"/>
        <w:rPr>
          <w:rFonts w:cs="Calibri"/>
        </w:rPr>
      </w:pPr>
      <w:r w:rsidRPr="00D9348B">
        <w:rPr>
          <w:rFonts w:cs="Calibri"/>
        </w:rPr>
        <w:t xml:space="preserve">The Bioenergy Association of New Zealand conducted a 2006 Heat Plant Survey of </w:t>
      </w:r>
      <w:r w:rsidRPr="00D9348B">
        <w:rPr>
          <w:rFonts w:cs="Calibri"/>
          <w:lang w:eastAsia="en-GB"/>
        </w:rPr>
        <w:t>New Zealand (</w:t>
      </w:r>
      <w:r w:rsidRPr="00D9348B">
        <w:rPr>
          <w:rFonts w:cs="Calibri"/>
        </w:rPr>
        <w:t>Bioenergy Association of New Zealand, 2011)</w:t>
      </w:r>
      <w:r w:rsidRPr="00D9348B">
        <w:rPr>
          <w:rFonts w:cs="Calibri"/>
          <w:lang w:eastAsia="en-GB"/>
        </w:rPr>
        <w:t xml:space="preserve"> to gain information on heat plant (boiler) capacity and use in New Zealand. One area this survey examined was solid biomass use in New Zealand industrial companies (see table 3.3.4). The survey shows that most solid biomass in New Zealand is used by the wood processing industry. The industrial splits from the survey were used to separate out solid biomass activity data for the inventory. These splits were applied across the whole time series (back to 1990) for activity data and </w:t>
      </w:r>
      <w:r w:rsidRPr="00D9348B">
        <w:rPr>
          <w:rFonts w:cs="Calibri"/>
        </w:rPr>
        <w:t>CO</w:t>
      </w:r>
      <w:r w:rsidRPr="00D9348B">
        <w:rPr>
          <w:rFonts w:cs="Calibri"/>
          <w:vertAlign w:val="subscript"/>
        </w:rPr>
        <w:t>2</w:t>
      </w:r>
      <w:r w:rsidRPr="00D9348B">
        <w:rPr>
          <w:rFonts w:cs="Calibri"/>
        </w:rPr>
        <w:t>, CH</w:t>
      </w:r>
      <w:r w:rsidRPr="00D9348B">
        <w:rPr>
          <w:rFonts w:cs="Calibri"/>
          <w:vertAlign w:val="subscript"/>
        </w:rPr>
        <w:t>4</w:t>
      </w:r>
      <w:r w:rsidRPr="00D9348B">
        <w:rPr>
          <w:rFonts w:cs="Calibri"/>
        </w:rPr>
        <w:t> and N</w:t>
      </w:r>
      <w:r w:rsidRPr="00D9348B">
        <w:rPr>
          <w:rFonts w:cs="Calibri"/>
          <w:vertAlign w:val="subscript"/>
        </w:rPr>
        <w:t>2</w:t>
      </w:r>
      <w:r w:rsidRPr="00D9348B">
        <w:rPr>
          <w:rFonts w:cs="Calibri"/>
        </w:rPr>
        <w:t>O emissions.</w:t>
      </w:r>
    </w:p>
    <w:p w14:paraId="726CF33F" w14:textId="27E2C05E" w:rsidR="00E20138" w:rsidRPr="00D9348B" w:rsidRDefault="00E20138" w:rsidP="00E20138">
      <w:pPr>
        <w:pStyle w:val="Table"/>
        <w:rPr>
          <w:rFonts w:cs="Calibri"/>
        </w:rPr>
      </w:pPr>
      <w:bookmarkStart w:id="392" w:name="_Toc321399159"/>
      <w:bookmarkStart w:id="393" w:name="_Toc384582171"/>
      <w:bookmarkStart w:id="394" w:name="_Toc443060846"/>
      <w:bookmarkStart w:id="395" w:name="_Toc451176062"/>
      <w:bookmarkStart w:id="396" w:name="_Toc481751488"/>
      <w:bookmarkStart w:id="397" w:name="_Toc507496591"/>
      <w:bookmarkStart w:id="398" w:name="_Toc36224525"/>
      <w:r w:rsidRPr="00D9348B">
        <w:rPr>
          <w:rFonts w:cs="Calibri"/>
        </w:rPr>
        <w:t xml:space="preserve">Table 3.3.4 </w:t>
      </w:r>
      <w:r w:rsidRPr="00D9348B">
        <w:rPr>
          <w:rFonts w:cs="Calibri"/>
        </w:rPr>
        <w:tab/>
        <w:t>Solid biomass splits for 2006 that were used to disaggregate the Manufacturing industries</w:t>
      </w:r>
      <w:r w:rsidR="002B3633" w:rsidRPr="00D9348B">
        <w:rPr>
          <w:rFonts w:cs="Calibri"/>
        </w:rPr>
        <w:br/>
      </w:r>
      <w:r w:rsidRPr="00D9348B">
        <w:rPr>
          <w:rFonts w:cs="Calibri"/>
        </w:rPr>
        <w:t>and</w:t>
      </w:r>
      <w:r w:rsidR="0052105D" w:rsidRPr="00D9348B">
        <w:rPr>
          <w:rFonts w:cs="Calibri"/>
        </w:rPr>
        <w:t xml:space="preserve"> </w:t>
      </w:r>
      <w:r w:rsidRPr="00D9348B">
        <w:rPr>
          <w:rFonts w:cs="Calibri"/>
        </w:rPr>
        <w:t xml:space="preserve">construction category between 1990 and </w:t>
      </w:r>
      <w:bookmarkEnd w:id="392"/>
      <w:bookmarkEnd w:id="393"/>
      <w:bookmarkEnd w:id="394"/>
      <w:bookmarkEnd w:id="395"/>
      <w:bookmarkEnd w:id="396"/>
      <w:bookmarkEnd w:id="397"/>
      <w:r w:rsidRPr="00D9348B">
        <w:rPr>
          <w:rFonts w:cs="Calibri"/>
        </w:rPr>
        <w:t>2018</w:t>
      </w:r>
      <w:bookmarkEnd w:id="398"/>
    </w:p>
    <w:tbl>
      <w:tblPr>
        <w:tblW w:w="8505" w:type="dxa"/>
        <w:tblInd w:w="108" w:type="dxa"/>
        <w:tblBorders>
          <w:top w:val="single" w:sz="4" w:space="0" w:color="365F91"/>
          <w:bottom w:val="single" w:sz="4" w:space="0" w:color="365F91"/>
          <w:insideH w:val="single" w:sz="4" w:space="0" w:color="365F91"/>
          <w:insideV w:val="single" w:sz="4" w:space="0" w:color="365F91"/>
        </w:tblBorders>
        <w:tblLook w:val="04A0" w:firstRow="1" w:lastRow="0" w:firstColumn="1" w:lastColumn="0" w:noHBand="0" w:noVBand="1"/>
      </w:tblPr>
      <w:tblGrid>
        <w:gridCol w:w="1850"/>
        <w:gridCol w:w="4825"/>
        <w:gridCol w:w="1830"/>
      </w:tblGrid>
      <w:tr w:rsidR="00E20138" w:rsidRPr="00D9348B" w14:paraId="11FE42EC" w14:textId="77777777" w:rsidTr="00840713">
        <w:trPr>
          <w:tblHeader/>
        </w:trPr>
        <w:tc>
          <w:tcPr>
            <w:tcW w:w="1752" w:type="dxa"/>
            <w:shd w:val="clear" w:color="auto" w:fill="365F91"/>
            <w:vAlign w:val="bottom"/>
          </w:tcPr>
          <w:p w14:paraId="58BCBCE2" w14:textId="77777777" w:rsidR="00E20138" w:rsidRPr="00D9348B" w:rsidRDefault="00E20138" w:rsidP="00DB330E">
            <w:pPr>
              <w:pStyle w:val="TableTextBold"/>
              <w:keepNext/>
              <w:spacing w:before="40" w:after="40"/>
              <w:rPr>
                <w:rFonts w:cs="Calibri"/>
                <w:bCs/>
                <w:noProof w:val="0"/>
                <w:color w:val="FFFFFF"/>
              </w:rPr>
            </w:pPr>
            <w:r w:rsidRPr="00D9348B">
              <w:rPr>
                <w:rFonts w:cs="Calibri"/>
                <w:bCs/>
                <w:noProof w:val="0"/>
                <w:color w:val="FFFFFF"/>
              </w:rPr>
              <w:t>CRF category code</w:t>
            </w:r>
          </w:p>
        </w:tc>
        <w:tc>
          <w:tcPr>
            <w:tcW w:w="4567" w:type="dxa"/>
            <w:shd w:val="clear" w:color="auto" w:fill="365F91"/>
            <w:vAlign w:val="bottom"/>
          </w:tcPr>
          <w:p w14:paraId="5BA713D3" w14:textId="77777777" w:rsidR="00E20138" w:rsidRPr="00D9348B" w:rsidRDefault="00E20138" w:rsidP="00DB330E">
            <w:pPr>
              <w:pStyle w:val="TableTextBold"/>
              <w:spacing w:before="40" w:after="40"/>
              <w:rPr>
                <w:rFonts w:cs="Calibri"/>
                <w:bCs/>
                <w:noProof w:val="0"/>
                <w:color w:val="FFFFFF"/>
              </w:rPr>
            </w:pPr>
            <w:r w:rsidRPr="00D9348B">
              <w:rPr>
                <w:rFonts w:cs="Calibri"/>
                <w:bCs/>
                <w:noProof w:val="0"/>
                <w:color w:val="FFFFFF"/>
              </w:rPr>
              <w:t>Manufacturing industries and construction category</w:t>
            </w:r>
          </w:p>
        </w:tc>
        <w:tc>
          <w:tcPr>
            <w:tcW w:w="1732" w:type="dxa"/>
            <w:shd w:val="clear" w:color="auto" w:fill="365F91"/>
            <w:vAlign w:val="bottom"/>
          </w:tcPr>
          <w:p w14:paraId="33B06ACE" w14:textId="77777777" w:rsidR="00E20138" w:rsidRPr="00D9348B" w:rsidRDefault="00E20138" w:rsidP="00DB330E">
            <w:pPr>
              <w:pStyle w:val="TableTextBold"/>
              <w:spacing w:before="40" w:after="40"/>
              <w:jc w:val="center"/>
              <w:rPr>
                <w:rFonts w:cs="Calibri"/>
                <w:noProof w:val="0"/>
                <w:color w:val="FFFFFF"/>
              </w:rPr>
            </w:pPr>
            <w:r w:rsidRPr="00D9348B">
              <w:rPr>
                <w:rFonts w:cs="Calibri"/>
                <w:noProof w:val="0"/>
                <w:color w:val="FFFFFF"/>
              </w:rPr>
              <w:t>Per cent</w:t>
            </w:r>
          </w:p>
        </w:tc>
      </w:tr>
      <w:tr w:rsidR="00E20138" w:rsidRPr="00D9348B" w14:paraId="57BA5B86" w14:textId="77777777" w:rsidTr="00840713">
        <w:tc>
          <w:tcPr>
            <w:tcW w:w="1752" w:type="dxa"/>
            <w:shd w:val="clear" w:color="auto" w:fill="auto"/>
            <w:vAlign w:val="center"/>
          </w:tcPr>
          <w:p w14:paraId="625A024B" w14:textId="77777777" w:rsidR="00E20138" w:rsidRPr="00D9348B" w:rsidRDefault="00E20138" w:rsidP="00DB330E">
            <w:pPr>
              <w:pStyle w:val="TableText"/>
              <w:keepNext/>
              <w:spacing w:before="40" w:after="40"/>
              <w:rPr>
                <w:rFonts w:cs="Calibri"/>
                <w:bCs/>
              </w:rPr>
            </w:pPr>
            <w:r w:rsidRPr="00D9348B">
              <w:rPr>
                <w:rFonts w:cs="Calibri"/>
                <w:bCs/>
              </w:rPr>
              <w:t>1.A.2.a</w:t>
            </w:r>
          </w:p>
        </w:tc>
        <w:tc>
          <w:tcPr>
            <w:tcW w:w="4567" w:type="dxa"/>
            <w:shd w:val="clear" w:color="auto" w:fill="auto"/>
            <w:vAlign w:val="center"/>
          </w:tcPr>
          <w:p w14:paraId="3216D7AE" w14:textId="77777777" w:rsidR="00E20138" w:rsidRPr="00D9348B" w:rsidRDefault="00E20138" w:rsidP="00DB330E">
            <w:pPr>
              <w:pStyle w:val="TableText"/>
              <w:spacing w:before="40" w:after="40"/>
              <w:rPr>
                <w:rFonts w:cs="Calibri"/>
                <w:lang w:eastAsia="en-GB"/>
              </w:rPr>
            </w:pPr>
            <w:r w:rsidRPr="00D9348B">
              <w:rPr>
                <w:rFonts w:cs="Calibri"/>
              </w:rPr>
              <w:t>Iron and steel</w:t>
            </w:r>
          </w:p>
        </w:tc>
        <w:tc>
          <w:tcPr>
            <w:tcW w:w="1732" w:type="dxa"/>
            <w:shd w:val="clear" w:color="auto" w:fill="auto"/>
            <w:vAlign w:val="center"/>
          </w:tcPr>
          <w:p w14:paraId="315CFF49" w14:textId="77777777" w:rsidR="00E20138" w:rsidRPr="00D9348B" w:rsidRDefault="00E20138" w:rsidP="00DB330E">
            <w:pPr>
              <w:pStyle w:val="TableText"/>
              <w:spacing w:before="40" w:after="40"/>
              <w:ind w:right="660"/>
              <w:jc w:val="right"/>
              <w:rPr>
                <w:rFonts w:cs="Calibri"/>
                <w:color w:val="000000"/>
              </w:rPr>
            </w:pPr>
            <w:r w:rsidRPr="00D9348B">
              <w:rPr>
                <w:rFonts w:cs="Calibri"/>
                <w:color w:val="000000"/>
              </w:rPr>
              <w:t>NO</w:t>
            </w:r>
          </w:p>
        </w:tc>
      </w:tr>
      <w:tr w:rsidR="00E20138" w:rsidRPr="00D9348B" w14:paraId="117F60FD" w14:textId="77777777" w:rsidTr="00840713">
        <w:tc>
          <w:tcPr>
            <w:tcW w:w="1752" w:type="dxa"/>
            <w:shd w:val="clear" w:color="auto" w:fill="auto"/>
            <w:vAlign w:val="center"/>
          </w:tcPr>
          <w:p w14:paraId="235612E0" w14:textId="77777777" w:rsidR="00E20138" w:rsidRPr="00D9348B" w:rsidRDefault="00E20138" w:rsidP="00DB330E">
            <w:pPr>
              <w:pStyle w:val="TableText"/>
              <w:keepNext/>
              <w:spacing w:before="40" w:after="40"/>
              <w:rPr>
                <w:rFonts w:cs="Calibri"/>
                <w:bCs/>
              </w:rPr>
            </w:pPr>
            <w:r w:rsidRPr="00D9348B">
              <w:rPr>
                <w:rFonts w:cs="Calibri"/>
                <w:bCs/>
              </w:rPr>
              <w:t>1.A.2.b</w:t>
            </w:r>
          </w:p>
        </w:tc>
        <w:tc>
          <w:tcPr>
            <w:tcW w:w="4567" w:type="dxa"/>
            <w:shd w:val="clear" w:color="auto" w:fill="auto"/>
            <w:vAlign w:val="center"/>
          </w:tcPr>
          <w:p w14:paraId="381EE422" w14:textId="77777777" w:rsidR="00E20138" w:rsidRPr="00D9348B" w:rsidRDefault="00E20138" w:rsidP="00DB330E">
            <w:pPr>
              <w:pStyle w:val="TableText"/>
              <w:spacing w:before="40" w:after="40"/>
              <w:rPr>
                <w:rFonts w:cs="Calibri"/>
              </w:rPr>
            </w:pPr>
            <w:r w:rsidRPr="00D9348B">
              <w:rPr>
                <w:rFonts w:cs="Calibri"/>
              </w:rPr>
              <w:t>Non-ferrous metals</w:t>
            </w:r>
          </w:p>
        </w:tc>
        <w:tc>
          <w:tcPr>
            <w:tcW w:w="1732" w:type="dxa"/>
            <w:shd w:val="clear" w:color="auto" w:fill="auto"/>
            <w:vAlign w:val="center"/>
          </w:tcPr>
          <w:p w14:paraId="1422AE24" w14:textId="77777777" w:rsidR="00E20138" w:rsidRPr="00D9348B" w:rsidRDefault="00E20138" w:rsidP="00DB330E">
            <w:pPr>
              <w:pStyle w:val="TableText"/>
              <w:spacing w:before="40" w:after="40"/>
              <w:ind w:right="660"/>
              <w:jc w:val="right"/>
              <w:rPr>
                <w:rFonts w:cs="Calibri"/>
                <w:color w:val="000000"/>
              </w:rPr>
            </w:pPr>
            <w:r w:rsidRPr="00D9348B">
              <w:rPr>
                <w:rFonts w:cs="Calibri"/>
                <w:color w:val="000000"/>
              </w:rPr>
              <w:t>NO</w:t>
            </w:r>
          </w:p>
        </w:tc>
      </w:tr>
      <w:tr w:rsidR="00E20138" w:rsidRPr="00D9348B" w14:paraId="692D8766" w14:textId="77777777" w:rsidTr="00840713">
        <w:tc>
          <w:tcPr>
            <w:tcW w:w="1752" w:type="dxa"/>
            <w:shd w:val="clear" w:color="auto" w:fill="auto"/>
            <w:vAlign w:val="center"/>
          </w:tcPr>
          <w:p w14:paraId="5EB88F71" w14:textId="77777777" w:rsidR="00E20138" w:rsidRPr="00D9348B" w:rsidRDefault="00E20138" w:rsidP="00DB330E">
            <w:pPr>
              <w:pStyle w:val="TableText"/>
              <w:spacing w:before="40" w:after="40"/>
              <w:rPr>
                <w:rFonts w:cs="Calibri"/>
                <w:bCs/>
              </w:rPr>
            </w:pPr>
            <w:r w:rsidRPr="00D9348B">
              <w:rPr>
                <w:rFonts w:cs="Calibri"/>
                <w:bCs/>
              </w:rPr>
              <w:t>1.A.2.c</w:t>
            </w:r>
          </w:p>
        </w:tc>
        <w:tc>
          <w:tcPr>
            <w:tcW w:w="4567" w:type="dxa"/>
            <w:shd w:val="clear" w:color="auto" w:fill="auto"/>
            <w:vAlign w:val="center"/>
          </w:tcPr>
          <w:p w14:paraId="6963D178" w14:textId="77777777" w:rsidR="00E20138" w:rsidRPr="00D9348B" w:rsidRDefault="00E20138" w:rsidP="00DB330E">
            <w:pPr>
              <w:pStyle w:val="TableText"/>
              <w:spacing w:before="40" w:after="40"/>
              <w:rPr>
                <w:rFonts w:cs="Calibri"/>
                <w:lang w:eastAsia="en-GB"/>
              </w:rPr>
            </w:pPr>
            <w:r w:rsidRPr="00D9348B">
              <w:rPr>
                <w:rFonts w:cs="Calibri"/>
              </w:rPr>
              <w:t>Chemicals</w:t>
            </w:r>
          </w:p>
        </w:tc>
        <w:tc>
          <w:tcPr>
            <w:tcW w:w="1732" w:type="dxa"/>
            <w:shd w:val="clear" w:color="auto" w:fill="auto"/>
            <w:vAlign w:val="center"/>
          </w:tcPr>
          <w:p w14:paraId="3567C641" w14:textId="77777777" w:rsidR="00E20138" w:rsidRPr="00D9348B" w:rsidRDefault="00E20138" w:rsidP="00DB330E">
            <w:pPr>
              <w:pStyle w:val="TableText"/>
              <w:spacing w:before="40" w:after="40"/>
              <w:ind w:right="660"/>
              <w:jc w:val="right"/>
              <w:rPr>
                <w:rFonts w:cs="Calibri"/>
                <w:color w:val="000000"/>
              </w:rPr>
            </w:pPr>
            <w:r w:rsidRPr="00D9348B">
              <w:rPr>
                <w:rFonts w:cs="Calibri"/>
                <w:color w:val="000000"/>
              </w:rPr>
              <w:t>NO</w:t>
            </w:r>
          </w:p>
        </w:tc>
      </w:tr>
      <w:tr w:rsidR="00E20138" w:rsidRPr="00D9348B" w14:paraId="4405CDFF" w14:textId="77777777" w:rsidTr="00840713">
        <w:tc>
          <w:tcPr>
            <w:tcW w:w="1752" w:type="dxa"/>
            <w:shd w:val="clear" w:color="auto" w:fill="auto"/>
            <w:vAlign w:val="center"/>
          </w:tcPr>
          <w:p w14:paraId="12B04174" w14:textId="77777777" w:rsidR="00E20138" w:rsidRPr="00D9348B" w:rsidRDefault="00E20138" w:rsidP="00DB330E">
            <w:pPr>
              <w:pStyle w:val="TableText"/>
              <w:spacing w:before="40" w:after="40"/>
              <w:rPr>
                <w:rFonts w:cs="Calibri"/>
                <w:bCs/>
              </w:rPr>
            </w:pPr>
            <w:r w:rsidRPr="00D9348B">
              <w:rPr>
                <w:rFonts w:cs="Calibri"/>
                <w:bCs/>
              </w:rPr>
              <w:t>1.A.2.d</w:t>
            </w:r>
          </w:p>
        </w:tc>
        <w:tc>
          <w:tcPr>
            <w:tcW w:w="4567" w:type="dxa"/>
            <w:shd w:val="clear" w:color="auto" w:fill="auto"/>
            <w:vAlign w:val="center"/>
          </w:tcPr>
          <w:p w14:paraId="0ECBBA1D" w14:textId="77777777" w:rsidR="00E20138" w:rsidRPr="00D9348B" w:rsidRDefault="00E20138" w:rsidP="00DB330E">
            <w:pPr>
              <w:pStyle w:val="TableText"/>
              <w:spacing w:before="40" w:after="40"/>
              <w:rPr>
                <w:rFonts w:cs="Calibri"/>
                <w:lang w:eastAsia="en-GB"/>
              </w:rPr>
            </w:pPr>
            <w:r w:rsidRPr="00D9348B">
              <w:rPr>
                <w:rFonts w:cs="Calibri"/>
              </w:rPr>
              <w:t>Pulp, paper and print</w:t>
            </w:r>
          </w:p>
        </w:tc>
        <w:tc>
          <w:tcPr>
            <w:tcW w:w="1732" w:type="dxa"/>
            <w:shd w:val="clear" w:color="auto" w:fill="auto"/>
            <w:vAlign w:val="center"/>
          </w:tcPr>
          <w:p w14:paraId="38AF9C23" w14:textId="77777777" w:rsidR="00E20138" w:rsidRPr="00D9348B" w:rsidRDefault="00E20138" w:rsidP="00DB330E">
            <w:pPr>
              <w:pStyle w:val="TableText"/>
              <w:spacing w:before="40" w:after="40"/>
              <w:ind w:right="660"/>
              <w:jc w:val="right"/>
              <w:rPr>
                <w:rFonts w:cs="Calibri"/>
                <w:color w:val="000000"/>
              </w:rPr>
            </w:pPr>
            <w:r w:rsidRPr="00D9348B">
              <w:rPr>
                <w:rFonts w:cs="Calibri"/>
                <w:color w:val="000000"/>
              </w:rPr>
              <w:t>99.94</w:t>
            </w:r>
          </w:p>
        </w:tc>
      </w:tr>
      <w:tr w:rsidR="00E20138" w:rsidRPr="00D9348B" w14:paraId="6708E91E" w14:textId="77777777" w:rsidTr="00840713">
        <w:tc>
          <w:tcPr>
            <w:tcW w:w="1752" w:type="dxa"/>
            <w:shd w:val="clear" w:color="auto" w:fill="auto"/>
            <w:vAlign w:val="center"/>
          </w:tcPr>
          <w:p w14:paraId="2DBC7CF7" w14:textId="77777777" w:rsidR="00E20138" w:rsidRPr="00D9348B" w:rsidRDefault="00E20138" w:rsidP="00DB330E">
            <w:pPr>
              <w:pStyle w:val="TableText"/>
              <w:spacing w:before="40" w:after="40"/>
              <w:rPr>
                <w:rFonts w:cs="Calibri"/>
                <w:bCs/>
              </w:rPr>
            </w:pPr>
            <w:r w:rsidRPr="00D9348B">
              <w:rPr>
                <w:rFonts w:cs="Calibri"/>
                <w:bCs/>
              </w:rPr>
              <w:t>1.A.2.e</w:t>
            </w:r>
          </w:p>
        </w:tc>
        <w:tc>
          <w:tcPr>
            <w:tcW w:w="4567" w:type="dxa"/>
            <w:shd w:val="clear" w:color="auto" w:fill="auto"/>
            <w:vAlign w:val="center"/>
          </w:tcPr>
          <w:p w14:paraId="3312D497" w14:textId="77777777" w:rsidR="00E20138" w:rsidRPr="00D9348B" w:rsidRDefault="00E20138" w:rsidP="00DB330E">
            <w:pPr>
              <w:pStyle w:val="TableText"/>
              <w:spacing w:before="40" w:after="40"/>
              <w:rPr>
                <w:rFonts w:cs="Calibri"/>
                <w:lang w:eastAsia="en-GB"/>
              </w:rPr>
            </w:pPr>
            <w:r w:rsidRPr="00D9348B">
              <w:rPr>
                <w:rFonts w:cs="Calibri"/>
              </w:rPr>
              <w:t>Food processing, beverages and tobacco</w:t>
            </w:r>
          </w:p>
        </w:tc>
        <w:tc>
          <w:tcPr>
            <w:tcW w:w="1732" w:type="dxa"/>
            <w:shd w:val="clear" w:color="auto" w:fill="auto"/>
            <w:vAlign w:val="center"/>
          </w:tcPr>
          <w:p w14:paraId="74727BEB" w14:textId="77777777" w:rsidR="00E20138" w:rsidRPr="00D9348B" w:rsidRDefault="00E20138" w:rsidP="00DB330E">
            <w:pPr>
              <w:pStyle w:val="TableText"/>
              <w:spacing w:before="40" w:after="40"/>
              <w:ind w:right="660"/>
              <w:jc w:val="right"/>
              <w:rPr>
                <w:rFonts w:cs="Calibri"/>
                <w:color w:val="000000"/>
              </w:rPr>
            </w:pPr>
            <w:r w:rsidRPr="00D9348B">
              <w:rPr>
                <w:rFonts w:cs="Calibri"/>
                <w:color w:val="000000"/>
              </w:rPr>
              <w:t>0.05</w:t>
            </w:r>
          </w:p>
        </w:tc>
      </w:tr>
      <w:tr w:rsidR="00E20138" w:rsidRPr="00D9348B" w14:paraId="1BE69C76" w14:textId="77777777" w:rsidTr="00840713">
        <w:tc>
          <w:tcPr>
            <w:tcW w:w="1752" w:type="dxa"/>
            <w:shd w:val="clear" w:color="auto" w:fill="auto"/>
            <w:vAlign w:val="center"/>
          </w:tcPr>
          <w:p w14:paraId="5BE422C0" w14:textId="77777777" w:rsidR="00E20138" w:rsidRPr="00D9348B" w:rsidRDefault="00E20138" w:rsidP="00DB330E">
            <w:pPr>
              <w:pStyle w:val="TableText"/>
              <w:spacing w:before="40" w:after="40"/>
              <w:rPr>
                <w:rFonts w:cs="Calibri"/>
                <w:bCs/>
              </w:rPr>
            </w:pPr>
            <w:r w:rsidRPr="00D9348B">
              <w:rPr>
                <w:rFonts w:cs="Calibri"/>
                <w:bCs/>
              </w:rPr>
              <w:t>1.A.2.g</w:t>
            </w:r>
          </w:p>
        </w:tc>
        <w:tc>
          <w:tcPr>
            <w:tcW w:w="4567" w:type="dxa"/>
            <w:shd w:val="clear" w:color="auto" w:fill="auto"/>
            <w:vAlign w:val="center"/>
          </w:tcPr>
          <w:p w14:paraId="5A160D72" w14:textId="77777777" w:rsidR="00E20138" w:rsidRPr="00D9348B" w:rsidRDefault="00E20138" w:rsidP="00DB330E">
            <w:pPr>
              <w:pStyle w:val="TableText"/>
              <w:spacing w:before="40" w:after="40"/>
              <w:rPr>
                <w:rFonts w:cs="Calibri"/>
                <w:lang w:eastAsia="en-GB"/>
              </w:rPr>
            </w:pPr>
            <w:r w:rsidRPr="00D9348B">
              <w:rPr>
                <w:rFonts w:cs="Calibri"/>
              </w:rPr>
              <w:t>Other – mining and construction</w:t>
            </w:r>
          </w:p>
        </w:tc>
        <w:tc>
          <w:tcPr>
            <w:tcW w:w="1732" w:type="dxa"/>
            <w:shd w:val="clear" w:color="auto" w:fill="auto"/>
            <w:vAlign w:val="center"/>
          </w:tcPr>
          <w:p w14:paraId="1B0EA542" w14:textId="77777777" w:rsidR="00E20138" w:rsidRPr="00D9348B" w:rsidRDefault="00E20138" w:rsidP="00DB330E">
            <w:pPr>
              <w:pStyle w:val="TableText"/>
              <w:spacing w:before="40" w:after="40"/>
              <w:ind w:right="660"/>
              <w:jc w:val="right"/>
              <w:rPr>
                <w:rFonts w:cs="Calibri"/>
                <w:color w:val="000000"/>
              </w:rPr>
            </w:pPr>
            <w:r w:rsidRPr="00D9348B">
              <w:rPr>
                <w:rFonts w:cs="Calibri"/>
                <w:color w:val="000000"/>
              </w:rPr>
              <w:t>NO</w:t>
            </w:r>
          </w:p>
        </w:tc>
      </w:tr>
      <w:tr w:rsidR="00E20138" w:rsidRPr="00D9348B" w14:paraId="3AB100EC" w14:textId="77777777" w:rsidTr="00840713">
        <w:tc>
          <w:tcPr>
            <w:tcW w:w="1752" w:type="dxa"/>
            <w:shd w:val="clear" w:color="auto" w:fill="auto"/>
            <w:vAlign w:val="center"/>
          </w:tcPr>
          <w:p w14:paraId="790D1948" w14:textId="77777777" w:rsidR="00E20138" w:rsidRPr="00D9348B" w:rsidRDefault="00E20138" w:rsidP="00DB330E">
            <w:pPr>
              <w:pStyle w:val="TableText"/>
              <w:spacing w:before="40" w:after="40"/>
              <w:rPr>
                <w:rFonts w:cs="Calibri"/>
                <w:bCs/>
              </w:rPr>
            </w:pPr>
            <w:r w:rsidRPr="00D9348B">
              <w:rPr>
                <w:rFonts w:cs="Calibri"/>
                <w:bCs/>
              </w:rPr>
              <w:t>1.A.2.g</w:t>
            </w:r>
          </w:p>
        </w:tc>
        <w:tc>
          <w:tcPr>
            <w:tcW w:w="4567" w:type="dxa"/>
            <w:shd w:val="clear" w:color="auto" w:fill="auto"/>
            <w:vAlign w:val="center"/>
          </w:tcPr>
          <w:p w14:paraId="068FC4C3" w14:textId="77777777" w:rsidR="00E20138" w:rsidRPr="00D9348B" w:rsidRDefault="00E20138" w:rsidP="00DB330E">
            <w:pPr>
              <w:pStyle w:val="TableText"/>
              <w:spacing w:before="40" w:after="40"/>
              <w:rPr>
                <w:rFonts w:cs="Calibri"/>
                <w:lang w:eastAsia="en-GB"/>
              </w:rPr>
            </w:pPr>
            <w:r w:rsidRPr="00D9348B">
              <w:rPr>
                <w:rFonts w:cs="Calibri"/>
              </w:rPr>
              <w:t>Other – textiles</w:t>
            </w:r>
          </w:p>
        </w:tc>
        <w:tc>
          <w:tcPr>
            <w:tcW w:w="1732" w:type="dxa"/>
            <w:shd w:val="clear" w:color="auto" w:fill="auto"/>
            <w:vAlign w:val="center"/>
          </w:tcPr>
          <w:p w14:paraId="547C2C01" w14:textId="77777777" w:rsidR="00E20138" w:rsidRPr="00D9348B" w:rsidRDefault="00E20138" w:rsidP="00DB330E">
            <w:pPr>
              <w:pStyle w:val="TableText"/>
              <w:spacing w:before="40" w:after="40"/>
              <w:ind w:right="660"/>
              <w:jc w:val="right"/>
              <w:rPr>
                <w:rFonts w:cs="Calibri"/>
                <w:color w:val="000000"/>
              </w:rPr>
            </w:pPr>
            <w:r w:rsidRPr="00D9348B">
              <w:rPr>
                <w:rFonts w:cs="Calibri"/>
                <w:color w:val="000000"/>
              </w:rPr>
              <w:t>NO</w:t>
            </w:r>
          </w:p>
        </w:tc>
      </w:tr>
      <w:tr w:rsidR="00E20138" w:rsidRPr="00D9348B" w14:paraId="62602165" w14:textId="77777777" w:rsidTr="00840713">
        <w:tc>
          <w:tcPr>
            <w:tcW w:w="1752" w:type="dxa"/>
            <w:shd w:val="clear" w:color="auto" w:fill="auto"/>
            <w:vAlign w:val="center"/>
          </w:tcPr>
          <w:p w14:paraId="337D406B" w14:textId="77777777" w:rsidR="00E20138" w:rsidRPr="00D9348B" w:rsidRDefault="00E20138" w:rsidP="00DB330E">
            <w:pPr>
              <w:pStyle w:val="TableText"/>
              <w:spacing w:before="40" w:after="40"/>
              <w:rPr>
                <w:rFonts w:cs="Calibri"/>
                <w:bCs/>
              </w:rPr>
            </w:pPr>
            <w:r w:rsidRPr="00D9348B">
              <w:rPr>
                <w:rFonts w:cs="Calibri"/>
                <w:bCs/>
              </w:rPr>
              <w:t>1.A.2.f</w:t>
            </w:r>
          </w:p>
        </w:tc>
        <w:tc>
          <w:tcPr>
            <w:tcW w:w="4567" w:type="dxa"/>
            <w:shd w:val="clear" w:color="auto" w:fill="auto"/>
            <w:vAlign w:val="center"/>
          </w:tcPr>
          <w:p w14:paraId="671D04D0" w14:textId="77777777" w:rsidR="00E20138" w:rsidRPr="00D9348B" w:rsidRDefault="00E20138" w:rsidP="00DB330E">
            <w:pPr>
              <w:pStyle w:val="TableText"/>
              <w:spacing w:before="40" w:after="40"/>
              <w:rPr>
                <w:rFonts w:cs="Calibri"/>
                <w:lang w:eastAsia="en-GB"/>
              </w:rPr>
            </w:pPr>
            <w:r w:rsidRPr="00D9348B">
              <w:rPr>
                <w:rFonts w:cs="Calibri"/>
              </w:rPr>
              <w:t>Other – non-metallic minerals</w:t>
            </w:r>
          </w:p>
        </w:tc>
        <w:tc>
          <w:tcPr>
            <w:tcW w:w="1732" w:type="dxa"/>
            <w:shd w:val="clear" w:color="auto" w:fill="auto"/>
            <w:vAlign w:val="center"/>
          </w:tcPr>
          <w:p w14:paraId="5F4E8563" w14:textId="77777777" w:rsidR="00E20138" w:rsidRPr="00D9348B" w:rsidRDefault="00E20138" w:rsidP="00DB330E">
            <w:pPr>
              <w:pStyle w:val="TableText"/>
              <w:spacing w:before="40" w:after="40"/>
              <w:ind w:right="660"/>
              <w:jc w:val="right"/>
              <w:rPr>
                <w:rFonts w:cs="Calibri"/>
                <w:color w:val="000000"/>
              </w:rPr>
            </w:pPr>
            <w:r w:rsidRPr="00D9348B">
              <w:rPr>
                <w:rFonts w:cs="Calibri"/>
                <w:color w:val="000000"/>
              </w:rPr>
              <w:t>NO</w:t>
            </w:r>
          </w:p>
        </w:tc>
      </w:tr>
      <w:tr w:rsidR="00E20138" w:rsidRPr="00D9348B" w14:paraId="2515CE78" w14:textId="77777777" w:rsidTr="00840713">
        <w:tc>
          <w:tcPr>
            <w:tcW w:w="1752" w:type="dxa"/>
            <w:shd w:val="clear" w:color="auto" w:fill="auto"/>
            <w:vAlign w:val="center"/>
          </w:tcPr>
          <w:p w14:paraId="1CEE1841" w14:textId="77777777" w:rsidR="00E20138" w:rsidRPr="00D9348B" w:rsidRDefault="00E20138" w:rsidP="00DB330E">
            <w:pPr>
              <w:pStyle w:val="TableText"/>
              <w:spacing w:before="40" w:after="40"/>
              <w:rPr>
                <w:rFonts w:cs="Calibri"/>
                <w:bCs/>
              </w:rPr>
            </w:pPr>
            <w:r w:rsidRPr="00D9348B">
              <w:rPr>
                <w:rFonts w:cs="Calibri"/>
                <w:bCs/>
              </w:rPr>
              <w:t>1.A.2.f</w:t>
            </w:r>
          </w:p>
        </w:tc>
        <w:tc>
          <w:tcPr>
            <w:tcW w:w="4567" w:type="dxa"/>
            <w:shd w:val="clear" w:color="auto" w:fill="auto"/>
            <w:vAlign w:val="center"/>
          </w:tcPr>
          <w:p w14:paraId="7525330D" w14:textId="77777777" w:rsidR="00E20138" w:rsidRPr="00D9348B" w:rsidRDefault="00E20138" w:rsidP="00DB330E">
            <w:pPr>
              <w:pStyle w:val="TableText"/>
              <w:spacing w:before="40" w:after="40"/>
              <w:rPr>
                <w:rFonts w:cs="Calibri"/>
                <w:lang w:eastAsia="en-GB"/>
              </w:rPr>
            </w:pPr>
            <w:r w:rsidRPr="00D9348B">
              <w:rPr>
                <w:rFonts w:cs="Calibri"/>
              </w:rPr>
              <w:t xml:space="preserve">Other – manufacturing of machinery </w:t>
            </w:r>
          </w:p>
        </w:tc>
        <w:tc>
          <w:tcPr>
            <w:tcW w:w="1732" w:type="dxa"/>
            <w:shd w:val="clear" w:color="auto" w:fill="auto"/>
            <w:vAlign w:val="center"/>
          </w:tcPr>
          <w:p w14:paraId="2F2477D4" w14:textId="77777777" w:rsidR="00E20138" w:rsidRPr="00D9348B" w:rsidRDefault="00E20138" w:rsidP="00DB330E">
            <w:pPr>
              <w:pStyle w:val="TableText"/>
              <w:spacing w:before="40" w:after="40"/>
              <w:ind w:right="660"/>
              <w:jc w:val="right"/>
              <w:rPr>
                <w:rFonts w:cs="Calibri"/>
                <w:color w:val="000000"/>
              </w:rPr>
            </w:pPr>
            <w:r w:rsidRPr="00D9348B">
              <w:rPr>
                <w:rFonts w:cs="Calibri"/>
                <w:color w:val="000000"/>
              </w:rPr>
              <w:t>NO</w:t>
            </w:r>
          </w:p>
        </w:tc>
      </w:tr>
      <w:tr w:rsidR="00E20138" w:rsidRPr="00D9348B" w14:paraId="73326767" w14:textId="77777777" w:rsidTr="00840713">
        <w:tc>
          <w:tcPr>
            <w:tcW w:w="1752" w:type="dxa"/>
            <w:shd w:val="clear" w:color="auto" w:fill="auto"/>
            <w:vAlign w:val="center"/>
          </w:tcPr>
          <w:p w14:paraId="509E8BE3" w14:textId="77777777" w:rsidR="00E20138" w:rsidRPr="00D9348B" w:rsidRDefault="00E20138" w:rsidP="00DB330E">
            <w:pPr>
              <w:pStyle w:val="TableText"/>
              <w:spacing w:before="40" w:after="40"/>
              <w:rPr>
                <w:rFonts w:cs="Calibri"/>
                <w:bCs/>
              </w:rPr>
            </w:pPr>
            <w:r w:rsidRPr="00D9348B">
              <w:rPr>
                <w:rFonts w:cs="Calibri"/>
                <w:bCs/>
              </w:rPr>
              <w:t>1.A.2.g</w:t>
            </w:r>
          </w:p>
        </w:tc>
        <w:tc>
          <w:tcPr>
            <w:tcW w:w="4567" w:type="dxa"/>
            <w:shd w:val="clear" w:color="auto" w:fill="auto"/>
            <w:vAlign w:val="center"/>
          </w:tcPr>
          <w:p w14:paraId="6D696971" w14:textId="77777777" w:rsidR="00E20138" w:rsidRPr="00D9348B" w:rsidRDefault="00E20138" w:rsidP="00DB330E">
            <w:pPr>
              <w:pStyle w:val="TableText"/>
              <w:spacing w:before="40" w:after="40"/>
              <w:rPr>
                <w:rFonts w:cs="Calibri"/>
                <w:lang w:eastAsia="en-GB"/>
              </w:rPr>
            </w:pPr>
            <w:r w:rsidRPr="00D9348B">
              <w:rPr>
                <w:rFonts w:cs="Calibri"/>
              </w:rPr>
              <w:t>Other – non-specified</w:t>
            </w:r>
          </w:p>
        </w:tc>
        <w:tc>
          <w:tcPr>
            <w:tcW w:w="1732" w:type="dxa"/>
            <w:shd w:val="clear" w:color="auto" w:fill="auto"/>
            <w:vAlign w:val="center"/>
          </w:tcPr>
          <w:p w14:paraId="7FFEF60E" w14:textId="77777777" w:rsidR="00E20138" w:rsidRPr="00D9348B" w:rsidRDefault="00E20138" w:rsidP="00DB330E">
            <w:pPr>
              <w:pStyle w:val="TableText"/>
              <w:spacing w:before="40" w:after="40"/>
              <w:ind w:right="660"/>
              <w:jc w:val="right"/>
              <w:rPr>
                <w:rFonts w:cs="Calibri"/>
                <w:color w:val="000000"/>
              </w:rPr>
            </w:pPr>
            <w:r w:rsidRPr="00D9348B">
              <w:rPr>
                <w:rFonts w:cs="Calibri"/>
                <w:color w:val="000000"/>
              </w:rPr>
              <w:t>0.01</w:t>
            </w:r>
          </w:p>
        </w:tc>
      </w:tr>
    </w:tbl>
    <w:p w14:paraId="6FB5BF0B" w14:textId="77777777" w:rsidR="00E20138" w:rsidRPr="00D9348B" w:rsidRDefault="00E20138" w:rsidP="00E20138">
      <w:pPr>
        <w:pStyle w:val="Noteundertable"/>
        <w:rPr>
          <w:rFonts w:cs="Calibri"/>
        </w:rPr>
      </w:pPr>
      <w:r w:rsidRPr="00D9348B">
        <w:rPr>
          <w:rFonts w:cs="Calibri"/>
          <w:b/>
        </w:rPr>
        <w:t>Note:</w:t>
      </w:r>
      <w:r w:rsidRPr="00D9348B">
        <w:rPr>
          <w:rFonts w:cs="Calibri"/>
        </w:rPr>
        <w:t xml:space="preserve"> </w:t>
      </w:r>
      <w:r w:rsidRPr="00D9348B">
        <w:rPr>
          <w:rFonts w:cs="Calibri"/>
        </w:rPr>
        <w:tab/>
        <w:t>NO = not occurring. Survey data indicate that solid biomass combustion does not occur in the sectors.</w:t>
      </w:r>
    </w:p>
    <w:p w14:paraId="2A6F071A" w14:textId="77777777" w:rsidR="00E20138" w:rsidRPr="00D9348B" w:rsidRDefault="00E20138" w:rsidP="00E20138">
      <w:pPr>
        <w:pStyle w:val="Heading5"/>
        <w:spacing w:before="200"/>
        <w:rPr>
          <w:rFonts w:cs="Calibri"/>
        </w:rPr>
      </w:pPr>
      <w:r w:rsidRPr="00D9348B">
        <w:rPr>
          <w:rFonts w:cs="Calibri"/>
        </w:rPr>
        <w:t>Gas biomass</w:t>
      </w:r>
    </w:p>
    <w:p w14:paraId="00703EE6" w14:textId="77777777" w:rsidR="00E20138" w:rsidRPr="00D9348B" w:rsidRDefault="00E20138" w:rsidP="0086672C">
      <w:pPr>
        <w:pStyle w:val="BodyText"/>
        <w:spacing w:before="80"/>
        <w:rPr>
          <w:rFonts w:cs="Calibri"/>
        </w:rPr>
      </w:pPr>
      <w:r w:rsidRPr="00D9348B">
        <w:rPr>
          <w:rFonts w:cs="Calibri"/>
        </w:rPr>
        <w:t>Sludge gas is produced at the Tirau dairy processing facility. Cattle effluent is used to produce sludge gas that is used to raise heat for the milk processing facility, which is open from September through to December each year. See section 3.3.1 (Biomass) for further information.</w:t>
      </w:r>
    </w:p>
    <w:p w14:paraId="6D29B7D9" w14:textId="77777777" w:rsidR="00E20138" w:rsidRPr="00D9348B" w:rsidRDefault="00E20138" w:rsidP="002B3633">
      <w:pPr>
        <w:pStyle w:val="BodyText"/>
        <w:spacing w:before="100"/>
        <w:rPr>
          <w:rFonts w:cs="Calibri"/>
        </w:rPr>
      </w:pPr>
      <w:r w:rsidRPr="00D9348B">
        <w:rPr>
          <w:rFonts w:cs="Calibri"/>
        </w:rPr>
        <w:t>Sludge gas is not metered or analysed at the site, but estimates of flow rate and CH</w:t>
      </w:r>
      <w:r w:rsidRPr="00D9348B">
        <w:rPr>
          <w:rFonts w:cs="Calibri"/>
          <w:vertAlign w:val="subscript"/>
        </w:rPr>
        <w:t>4</w:t>
      </w:r>
      <w:r w:rsidRPr="00D9348B">
        <w:rPr>
          <w:rFonts w:cs="Calibri"/>
        </w:rPr>
        <w:t xml:space="preserve"> content were obtained from the facility manager for the 2011 reporting year. MBIE then used these data to calculate an estimate of the total energy content, which was then confirmed by the facility manager. </w:t>
      </w:r>
    </w:p>
    <w:p w14:paraId="747EE5CF" w14:textId="77777777" w:rsidR="00E20138" w:rsidRPr="00D9348B" w:rsidRDefault="00E20138" w:rsidP="002B3633">
      <w:pPr>
        <w:pStyle w:val="BodyText"/>
        <w:spacing w:before="100"/>
        <w:rPr>
          <w:rFonts w:cs="Calibri"/>
        </w:rPr>
      </w:pPr>
      <w:r w:rsidRPr="00D9348B">
        <w:rPr>
          <w:rFonts w:cs="Calibri"/>
        </w:rPr>
        <w:t>The facility has operated in the same fashion since its construction in the late 1980s. Therefore this estimate was assumed to be valid across the time series.</w:t>
      </w:r>
    </w:p>
    <w:p w14:paraId="434323D2" w14:textId="77777777" w:rsidR="00E20138" w:rsidRPr="00D9348B" w:rsidRDefault="00E20138" w:rsidP="0086672C">
      <w:pPr>
        <w:pStyle w:val="Heading5"/>
        <w:spacing w:before="160"/>
        <w:rPr>
          <w:rFonts w:cs="Calibri"/>
        </w:rPr>
      </w:pPr>
      <w:r w:rsidRPr="00D9348B">
        <w:rPr>
          <w:rFonts w:cs="Calibri"/>
        </w:rPr>
        <w:t>Liquid fuels (diesel, gasoline and fuel oil)</w:t>
      </w:r>
    </w:p>
    <w:p w14:paraId="01C1FF3E" w14:textId="5E11BEEA" w:rsidR="00E20138" w:rsidRPr="00D9348B" w:rsidRDefault="00E20138" w:rsidP="0086672C">
      <w:pPr>
        <w:pStyle w:val="BodyText"/>
        <w:spacing w:before="80"/>
        <w:rPr>
          <w:rFonts w:cs="Calibri"/>
        </w:rPr>
      </w:pPr>
      <w:r w:rsidRPr="00D9348B">
        <w:rPr>
          <w:rFonts w:cs="Calibri"/>
        </w:rPr>
        <w:t xml:space="preserve">As mentioned in section 3.3.1 (Liquid fuels), New Zealand uses the </w:t>
      </w:r>
      <w:r w:rsidRPr="00D9348B">
        <w:rPr>
          <w:rFonts w:cs="Calibri"/>
          <w:i/>
        </w:rPr>
        <w:t>Annual Liquid Fuel Survey</w:t>
      </w:r>
      <w:r w:rsidR="00BB7F2F" w:rsidRPr="00D9348B">
        <w:rPr>
          <w:rFonts w:cs="Calibri"/>
          <w:i/>
        </w:rPr>
        <w:t> </w:t>
      </w:r>
      <w:r w:rsidRPr="00D9348B">
        <w:rPr>
          <w:rFonts w:cs="Calibri"/>
        </w:rPr>
        <w:t>to</w:t>
      </w:r>
      <w:r w:rsidR="00BB7F2F" w:rsidRPr="00D9348B">
        <w:rPr>
          <w:rFonts w:cs="Calibri"/>
        </w:rPr>
        <w:t> </w:t>
      </w:r>
      <w:r w:rsidRPr="00D9348B">
        <w:rPr>
          <w:rFonts w:cs="Calibri"/>
        </w:rPr>
        <w:t>capture sales by independent distributors. With this information, some liquid fuel demand</w:t>
      </w:r>
      <w:r w:rsidR="00BB7F2F" w:rsidRPr="00D9348B">
        <w:rPr>
          <w:rFonts w:cs="Calibri"/>
        </w:rPr>
        <w:t> </w:t>
      </w:r>
      <w:r w:rsidRPr="00D9348B">
        <w:rPr>
          <w:rFonts w:cs="Calibri"/>
        </w:rPr>
        <w:t>that</w:t>
      </w:r>
      <w:r w:rsidR="00455788" w:rsidRPr="00D9348B">
        <w:rPr>
          <w:rFonts w:cs="Calibri"/>
        </w:rPr>
        <w:t> </w:t>
      </w:r>
      <w:r w:rsidRPr="00D9348B">
        <w:rPr>
          <w:rFonts w:cs="Calibri"/>
        </w:rPr>
        <w:t>would otherwise be allocated to national transport is reallocated to the correct sector’s</w:t>
      </w:r>
      <w:r w:rsidR="00BB7F2F" w:rsidRPr="00D9348B">
        <w:rPr>
          <w:rFonts w:cs="Calibri"/>
        </w:rPr>
        <w:t> </w:t>
      </w:r>
      <w:r w:rsidRPr="00D9348B">
        <w:rPr>
          <w:rFonts w:cs="Calibri"/>
        </w:rPr>
        <w:t xml:space="preserve">demand. In terms of the Energy sector emission estimates, emissions attributed to category 1.A.3 </w:t>
      </w:r>
      <w:r w:rsidRPr="00D9348B">
        <w:rPr>
          <w:rFonts w:cs="Calibri"/>
          <w:i/>
        </w:rPr>
        <w:t>Transport</w:t>
      </w:r>
      <w:r w:rsidRPr="00D9348B">
        <w:rPr>
          <w:rFonts w:cs="Calibri"/>
        </w:rPr>
        <w:t xml:space="preserve"> decrease by around 20 per cent as a result of this reallocation, and</w:t>
      </w:r>
      <w:r w:rsidR="00BB7F2F" w:rsidRPr="00D9348B">
        <w:rPr>
          <w:rFonts w:cs="Calibri"/>
        </w:rPr>
        <w:t> </w:t>
      </w:r>
      <w:r w:rsidRPr="00D9348B">
        <w:rPr>
          <w:rFonts w:cs="Calibri"/>
        </w:rPr>
        <w:t xml:space="preserve">emissions attributed to other categories, such as 1.A.4.c </w:t>
      </w:r>
      <w:r w:rsidRPr="00D9348B">
        <w:rPr>
          <w:rFonts w:cs="Calibri"/>
          <w:i/>
        </w:rPr>
        <w:t>Agriculture/ forestry/fishing</w:t>
      </w:r>
      <w:r w:rsidRPr="00D9348B">
        <w:rPr>
          <w:rFonts w:cs="Calibri"/>
        </w:rPr>
        <w:t>, increase</w:t>
      </w:r>
      <w:r w:rsidR="007A5E1C" w:rsidRPr="00D9348B">
        <w:rPr>
          <w:rFonts w:cs="Calibri"/>
        </w:rPr>
        <w:t xml:space="preserve"> </w:t>
      </w:r>
      <w:r w:rsidRPr="00D9348B">
        <w:rPr>
          <w:rFonts w:cs="Calibri"/>
        </w:rPr>
        <w:t>significantly.</w:t>
      </w:r>
    </w:p>
    <w:p w14:paraId="0A6999BC" w14:textId="77777777" w:rsidR="00E20138" w:rsidRPr="00D9348B" w:rsidRDefault="00E20138" w:rsidP="00E20138">
      <w:pPr>
        <w:pStyle w:val="BodyText"/>
        <w:rPr>
          <w:rFonts w:cs="Calibri"/>
        </w:rPr>
      </w:pPr>
      <w:r w:rsidRPr="00D9348B">
        <w:rPr>
          <w:rFonts w:cs="Calibri"/>
        </w:rPr>
        <w:lastRenderedPageBreak/>
        <w:t xml:space="preserve">Following ERT recommendations (2007 in-country review), New Zealand began to disaggregate liquid fuel combustion in the 1.A.2 </w:t>
      </w:r>
      <w:r w:rsidRPr="00D9348B">
        <w:rPr>
          <w:rFonts w:cs="Calibri"/>
          <w:i/>
        </w:rPr>
        <w:t>Manufacturing industries and construction</w:t>
      </w:r>
      <w:r w:rsidRPr="00D9348B">
        <w:rPr>
          <w:rFonts w:cs="Calibri"/>
        </w:rPr>
        <w:t xml:space="preserve"> category for the 2011 inventory. Diesel and gasoline consumption were disaggregated for the 2012 submission, and the method was subsequently extended to include fuel oil.</w:t>
      </w:r>
    </w:p>
    <w:p w14:paraId="103B7B39" w14:textId="4EFB8CB6" w:rsidR="00E20138" w:rsidRPr="00D9348B" w:rsidRDefault="00E20138" w:rsidP="00E20138">
      <w:pPr>
        <w:pStyle w:val="BodyText"/>
        <w:rPr>
          <w:rFonts w:cs="Calibri"/>
        </w:rPr>
      </w:pPr>
      <w:r w:rsidRPr="00D9348B">
        <w:rPr>
          <w:rFonts w:cs="Calibri"/>
        </w:rPr>
        <w:t>While data are not collected at this level of detail in energy surveys for liquid fuels, New</w:t>
      </w:r>
      <w:r w:rsidR="00BB7F2F" w:rsidRPr="00D9348B">
        <w:rPr>
          <w:rFonts w:cs="Calibri"/>
        </w:rPr>
        <w:t xml:space="preserve"> </w:t>
      </w:r>
      <w:r w:rsidRPr="00D9348B">
        <w:rPr>
          <w:rFonts w:cs="Calibri"/>
        </w:rPr>
        <w:t xml:space="preserve">Zealand has produced estimates based on Stats NZ survey data. Stats NZ conducted an industrial and trade energy use survey (Stats NZ, 2018), which assessed energy consumption and end use across manufacturing industries for the 2016 calendar year. </w:t>
      </w:r>
    </w:p>
    <w:p w14:paraId="54F2ED79" w14:textId="77777777" w:rsidR="00E20138" w:rsidRPr="00D9348B" w:rsidRDefault="00E20138" w:rsidP="00E20138">
      <w:pPr>
        <w:pStyle w:val="BodyText"/>
        <w:rPr>
          <w:rFonts w:cs="Calibri"/>
        </w:rPr>
      </w:pPr>
      <w:r w:rsidRPr="00D9348B">
        <w:rPr>
          <w:rFonts w:cs="Calibri"/>
        </w:rPr>
        <w:t xml:space="preserve">These splits, along with category gross domestic product (GDP) data from Stats NZ for the period, were used to calculate implied energy intensities (PJ per unit of GDP) for each category for diesel, gasoline and fuel oil. These intensities were then applied to Stats NZ GDP data across the time series and scaled to match the fuel sales reported for all manufacturing industries and construction to estimate activity data for each category. </w:t>
      </w:r>
    </w:p>
    <w:p w14:paraId="068D1942" w14:textId="77777777" w:rsidR="00E20138" w:rsidRPr="00D9348B" w:rsidRDefault="00E20138" w:rsidP="00E20138">
      <w:pPr>
        <w:pStyle w:val="BodyText"/>
        <w:rPr>
          <w:rFonts w:cs="Calibri"/>
        </w:rPr>
      </w:pPr>
      <w:r w:rsidRPr="00D9348B">
        <w:rPr>
          <w:rFonts w:cs="Calibri"/>
        </w:rPr>
        <w:t>By disaggregating into categories, more accurate estimates of stationary versus mobile combustion for diesel were also able to be made, resulting in small changes to the emissions from manufacturing industries and construction.</w:t>
      </w:r>
    </w:p>
    <w:p w14:paraId="6E0EB01F" w14:textId="4647A4B3" w:rsidR="00E20138" w:rsidRPr="00D9348B" w:rsidRDefault="00E20138" w:rsidP="00E20138">
      <w:pPr>
        <w:pStyle w:val="BodyText"/>
        <w:rPr>
          <w:rFonts w:cs="Calibri"/>
        </w:rPr>
      </w:pPr>
      <w:r w:rsidRPr="00D9348B">
        <w:rPr>
          <w:rFonts w:cs="Calibri"/>
        </w:rPr>
        <w:t xml:space="preserve">Disaggregating the </w:t>
      </w:r>
      <w:r w:rsidRPr="00D9348B">
        <w:rPr>
          <w:rFonts w:cs="Calibri"/>
          <w:i/>
        </w:rPr>
        <w:t>Manufacturing industries and construction</w:t>
      </w:r>
      <w:r w:rsidRPr="00D9348B">
        <w:rPr>
          <w:rFonts w:cs="Calibri"/>
        </w:rPr>
        <w:t xml:space="preserve"> category for solid fuels, solid biomass, gasoline and diesel has led to a significant decrease in the </w:t>
      </w:r>
      <w:proofErr w:type="gramStart"/>
      <w:r w:rsidRPr="00D9348B">
        <w:rPr>
          <w:rFonts w:cs="Calibri"/>
          <w:i/>
        </w:rPr>
        <w:t>Other</w:t>
      </w:r>
      <w:proofErr w:type="gramEnd"/>
      <w:r w:rsidRPr="00D9348B">
        <w:rPr>
          <w:rFonts w:cs="Calibri"/>
          <w:i/>
        </w:rPr>
        <w:t xml:space="preserve"> – not specified</w:t>
      </w:r>
      <w:r w:rsidRPr="00D9348B">
        <w:rPr>
          <w:rFonts w:cs="Calibri"/>
        </w:rPr>
        <w:t xml:space="preserve"> category (1.A.2.g) under </w:t>
      </w:r>
      <w:r w:rsidRPr="00D9348B">
        <w:rPr>
          <w:rFonts w:cs="Calibri"/>
          <w:i/>
        </w:rPr>
        <w:t>Manufacturing industries and construction</w:t>
      </w:r>
      <w:r w:rsidRPr="00D9348B">
        <w:rPr>
          <w:rFonts w:cs="Calibri"/>
        </w:rPr>
        <w:t>. The splits are shown in</w:t>
      </w:r>
      <w:r w:rsidR="00DF1B90" w:rsidRPr="00D9348B">
        <w:rPr>
          <w:rFonts w:cs="Calibri"/>
        </w:rPr>
        <w:t> </w:t>
      </w:r>
      <w:r w:rsidRPr="00D9348B">
        <w:rPr>
          <w:rFonts w:cs="Calibri"/>
        </w:rPr>
        <w:fldChar w:fldCharType="begin"/>
      </w:r>
      <w:r w:rsidRPr="00D9348B">
        <w:rPr>
          <w:rFonts w:cs="Calibri"/>
        </w:rPr>
        <w:instrText xml:space="preserve"> REF _Ref445300349 \* lower \h  \* MERGEFORMAT </w:instrText>
      </w:r>
      <w:r w:rsidRPr="00D9348B">
        <w:rPr>
          <w:rFonts w:cs="Calibri"/>
        </w:rPr>
      </w:r>
      <w:r w:rsidRPr="00D9348B">
        <w:rPr>
          <w:rFonts w:cs="Calibri"/>
        </w:rPr>
        <w:fldChar w:fldCharType="separate"/>
      </w:r>
      <w:r w:rsidRPr="00D9348B">
        <w:rPr>
          <w:rFonts w:cs="Calibri"/>
        </w:rPr>
        <w:t>figure 3.3.8</w:t>
      </w:r>
      <w:r w:rsidRPr="00D9348B">
        <w:rPr>
          <w:rFonts w:cs="Calibri"/>
        </w:rPr>
        <w:fldChar w:fldCharType="end"/>
      </w:r>
      <w:r w:rsidRPr="00D9348B">
        <w:rPr>
          <w:rFonts w:cs="Calibri"/>
        </w:rPr>
        <w:t xml:space="preserve">, </w:t>
      </w:r>
      <w:r w:rsidRPr="00D9348B">
        <w:rPr>
          <w:rFonts w:cs="Calibri"/>
        </w:rPr>
        <w:fldChar w:fldCharType="begin"/>
      </w:r>
      <w:r w:rsidRPr="00D9348B">
        <w:rPr>
          <w:rFonts w:cs="Calibri"/>
        </w:rPr>
        <w:instrText xml:space="preserve"> REF _Ref445300362 \* lower \h  \* MERGEFORMAT </w:instrText>
      </w:r>
      <w:r w:rsidRPr="00D9348B">
        <w:rPr>
          <w:rFonts w:cs="Calibri"/>
        </w:rPr>
      </w:r>
      <w:r w:rsidRPr="00D9348B">
        <w:rPr>
          <w:rFonts w:cs="Calibri"/>
        </w:rPr>
        <w:fldChar w:fldCharType="separate"/>
      </w:r>
      <w:r w:rsidRPr="00D9348B">
        <w:rPr>
          <w:rFonts w:cs="Calibri"/>
        </w:rPr>
        <w:t>figure 3.3.9</w:t>
      </w:r>
      <w:r w:rsidRPr="00D9348B">
        <w:rPr>
          <w:rFonts w:cs="Calibri"/>
        </w:rPr>
        <w:fldChar w:fldCharType="end"/>
      </w:r>
      <w:r w:rsidRPr="00D9348B">
        <w:rPr>
          <w:rFonts w:cs="Calibri"/>
        </w:rPr>
        <w:t xml:space="preserve"> and </w:t>
      </w:r>
      <w:r w:rsidRPr="00D9348B">
        <w:rPr>
          <w:rFonts w:cs="Calibri"/>
        </w:rPr>
        <w:fldChar w:fldCharType="begin"/>
      </w:r>
      <w:r w:rsidRPr="00D9348B">
        <w:rPr>
          <w:rFonts w:cs="Calibri"/>
        </w:rPr>
        <w:instrText xml:space="preserve"> REF  _Ref445300369 \* Lower \h  \* MERGEFORMAT </w:instrText>
      </w:r>
      <w:r w:rsidRPr="00D9348B">
        <w:rPr>
          <w:rFonts w:cs="Calibri"/>
        </w:rPr>
      </w:r>
      <w:r w:rsidRPr="00D9348B">
        <w:rPr>
          <w:rFonts w:cs="Calibri"/>
        </w:rPr>
        <w:fldChar w:fldCharType="separate"/>
      </w:r>
      <w:r w:rsidRPr="00D9348B">
        <w:rPr>
          <w:rFonts w:cs="Calibri"/>
        </w:rPr>
        <w:t>figure 3.3.10</w:t>
      </w:r>
      <w:r w:rsidRPr="00D9348B">
        <w:rPr>
          <w:rFonts w:cs="Calibri"/>
        </w:rPr>
        <w:fldChar w:fldCharType="end"/>
      </w:r>
      <w:r w:rsidRPr="00D9348B">
        <w:rPr>
          <w:rFonts w:cs="Calibri"/>
        </w:rPr>
        <w:t>.</w:t>
      </w:r>
    </w:p>
    <w:p w14:paraId="4487897A" w14:textId="79402716" w:rsidR="00E20138" w:rsidRPr="00D9348B" w:rsidRDefault="00E20138" w:rsidP="00330809">
      <w:pPr>
        <w:pStyle w:val="Figure"/>
        <w:spacing w:after="60"/>
        <w:rPr>
          <w:rFonts w:cs="Calibri"/>
        </w:rPr>
      </w:pPr>
      <w:bookmarkStart w:id="399" w:name="_Ref445300349"/>
      <w:bookmarkStart w:id="400" w:name="_Toc36292777"/>
      <w:bookmarkStart w:id="401" w:name="_Toc321399330"/>
      <w:bookmarkStart w:id="402" w:name="_Toc384582858"/>
      <w:bookmarkStart w:id="403" w:name="_Toc443060818"/>
      <w:bookmarkStart w:id="404" w:name="_Toc447275675"/>
      <w:bookmarkStart w:id="405" w:name="_Toc481751993"/>
      <w:r w:rsidRPr="00D9348B">
        <w:rPr>
          <w:rFonts w:cs="Calibri"/>
        </w:rPr>
        <w:t>Figure 3.3.</w:t>
      </w:r>
      <w:r w:rsidRPr="00D9348B">
        <w:rPr>
          <w:rFonts w:cs="Calibri"/>
        </w:rPr>
        <w:fldChar w:fldCharType="begin"/>
      </w:r>
      <w:r w:rsidRPr="00D9348B">
        <w:rPr>
          <w:rFonts w:cs="Calibri"/>
        </w:rPr>
        <w:instrText xml:space="preserve"> SEQ Figure \* ARABIC \s 2 </w:instrText>
      </w:r>
      <w:r w:rsidRPr="00D9348B">
        <w:rPr>
          <w:rFonts w:cs="Calibri"/>
        </w:rPr>
        <w:fldChar w:fldCharType="separate"/>
      </w:r>
      <w:r w:rsidRPr="00D9348B">
        <w:rPr>
          <w:rFonts w:cs="Calibri"/>
        </w:rPr>
        <w:t>8</w:t>
      </w:r>
      <w:r w:rsidRPr="00D9348B">
        <w:rPr>
          <w:rFonts w:cs="Calibri"/>
        </w:rPr>
        <w:fldChar w:fldCharType="end"/>
      </w:r>
      <w:bookmarkEnd w:id="399"/>
      <w:r w:rsidRPr="00D9348B">
        <w:rPr>
          <w:rFonts w:cs="Calibri"/>
        </w:rPr>
        <w:t xml:space="preserve"> </w:t>
      </w:r>
      <w:r w:rsidRPr="00D9348B">
        <w:rPr>
          <w:rFonts w:cs="Calibri"/>
        </w:rPr>
        <w:tab/>
        <w:t>Splits used for Manufacturing industries and construction category – Gasoline (1990–2018)</w:t>
      </w:r>
      <w:bookmarkEnd w:id="400"/>
    </w:p>
    <w:bookmarkEnd w:id="401"/>
    <w:bookmarkEnd w:id="402"/>
    <w:bookmarkEnd w:id="403"/>
    <w:bookmarkEnd w:id="404"/>
    <w:bookmarkEnd w:id="405"/>
    <w:p w14:paraId="1EB1DCAC" w14:textId="305A63EA" w:rsidR="00E20138" w:rsidRPr="00D9348B" w:rsidRDefault="007165CF" w:rsidP="00E20138">
      <w:pPr>
        <w:pStyle w:val="BodyText"/>
        <w:spacing w:before="0" w:after="0"/>
        <w:rPr>
          <w:rFonts w:cs="Calibri"/>
        </w:rPr>
      </w:pPr>
      <w:r>
        <w:rPr>
          <w:rFonts w:cs="Calibri"/>
        </w:rPr>
        <w:pict w14:anchorId="4C0360EC">
          <v:shape id="_x0000_i1057" type="#_x0000_t75" style="width:416.95pt;height:200.35pt;visibility:visible;mso-wrap-style:square">
            <v:imagedata r:id="rId73" o:title="fig_3_3_8_manufacturing_splits_petrol" cropbottom="2758f"/>
          </v:shape>
        </w:pict>
      </w:r>
    </w:p>
    <w:p w14:paraId="286B73AC" w14:textId="77777777" w:rsidR="00E20138" w:rsidRPr="00D9348B" w:rsidRDefault="00E20138" w:rsidP="00E20138">
      <w:pPr>
        <w:pStyle w:val="BodyText"/>
        <w:spacing w:before="0" w:after="0"/>
        <w:rPr>
          <w:rFonts w:cs="Calibri"/>
        </w:rPr>
      </w:pPr>
    </w:p>
    <w:p w14:paraId="3D41685F" w14:textId="35CB2238" w:rsidR="00E20138" w:rsidRPr="00D9348B" w:rsidRDefault="00E20138" w:rsidP="00E20138">
      <w:pPr>
        <w:pStyle w:val="Figure"/>
        <w:spacing w:before="0" w:after="0"/>
        <w:rPr>
          <w:rFonts w:cs="Calibri"/>
        </w:rPr>
      </w:pPr>
      <w:bookmarkStart w:id="406" w:name="_Ref445300362"/>
      <w:bookmarkStart w:id="407" w:name="_Toc321399331"/>
      <w:bookmarkStart w:id="408" w:name="_Toc384582859"/>
      <w:bookmarkStart w:id="409" w:name="_Toc443060819"/>
      <w:bookmarkStart w:id="410" w:name="_Toc447275676"/>
      <w:bookmarkStart w:id="411" w:name="_Toc481751994"/>
      <w:bookmarkStart w:id="412" w:name="_Toc36292778"/>
      <w:r w:rsidRPr="00D9348B">
        <w:rPr>
          <w:rFonts w:cs="Calibri"/>
        </w:rPr>
        <w:lastRenderedPageBreak/>
        <w:t>Figure 3.3.</w:t>
      </w:r>
      <w:r w:rsidRPr="00D9348B">
        <w:rPr>
          <w:rFonts w:cs="Calibri"/>
        </w:rPr>
        <w:fldChar w:fldCharType="begin"/>
      </w:r>
      <w:r w:rsidRPr="00D9348B">
        <w:rPr>
          <w:rFonts w:cs="Calibri"/>
        </w:rPr>
        <w:instrText xml:space="preserve"> SEQ Figure \* ARABIC \s 2 </w:instrText>
      </w:r>
      <w:r w:rsidRPr="00D9348B">
        <w:rPr>
          <w:rFonts w:cs="Calibri"/>
        </w:rPr>
        <w:fldChar w:fldCharType="separate"/>
      </w:r>
      <w:r w:rsidRPr="00D9348B">
        <w:rPr>
          <w:rFonts w:cs="Calibri"/>
        </w:rPr>
        <w:t>9</w:t>
      </w:r>
      <w:r w:rsidRPr="00D9348B">
        <w:rPr>
          <w:rFonts w:cs="Calibri"/>
        </w:rPr>
        <w:fldChar w:fldCharType="end"/>
      </w:r>
      <w:bookmarkEnd w:id="406"/>
      <w:r w:rsidRPr="00D9348B">
        <w:rPr>
          <w:rFonts w:cs="Calibri"/>
        </w:rPr>
        <w:t xml:space="preserve"> </w:t>
      </w:r>
      <w:r w:rsidRPr="00D9348B">
        <w:rPr>
          <w:rFonts w:cs="Calibri"/>
        </w:rPr>
        <w:tab/>
        <w:t xml:space="preserve">Splits used for Manufacturing industries and construction category – Diesel </w:t>
      </w:r>
      <w:bookmarkEnd w:id="407"/>
      <w:bookmarkEnd w:id="408"/>
      <w:bookmarkEnd w:id="409"/>
      <w:bookmarkEnd w:id="410"/>
      <w:bookmarkEnd w:id="411"/>
      <w:r w:rsidRPr="00D9348B">
        <w:rPr>
          <w:rFonts w:cs="Calibri"/>
        </w:rPr>
        <w:t>(1990–2018)</w:t>
      </w:r>
      <w:bookmarkEnd w:id="412"/>
    </w:p>
    <w:p w14:paraId="114DEB04" w14:textId="0BD4CBDD" w:rsidR="00E20138" w:rsidRPr="00D9348B" w:rsidRDefault="007165CF" w:rsidP="00E20138">
      <w:pPr>
        <w:pStyle w:val="BodyText"/>
        <w:rPr>
          <w:rFonts w:cs="Calibri"/>
        </w:rPr>
      </w:pPr>
      <w:r>
        <w:rPr>
          <w:rFonts w:cs="Calibri"/>
        </w:rPr>
        <w:pict w14:anchorId="527A29B8">
          <v:shape id="_x0000_i1058" type="#_x0000_t75" style="width:397.55pt;height:189.7pt;visibility:visible;mso-wrap-style:square" o:allowoverlap="f">
            <v:imagedata r:id="rId74" o:title="fig_3_3_9_manufacturing_splits_diesel" cropbottom="3096f"/>
          </v:shape>
        </w:pict>
      </w:r>
    </w:p>
    <w:p w14:paraId="753DBE82" w14:textId="77777777" w:rsidR="00E20138" w:rsidRPr="00D9348B" w:rsidRDefault="00E20138" w:rsidP="00E20138">
      <w:pPr>
        <w:pStyle w:val="BodyText"/>
        <w:spacing w:before="0" w:after="0"/>
        <w:rPr>
          <w:rFonts w:cs="Calibri"/>
        </w:rPr>
      </w:pPr>
    </w:p>
    <w:p w14:paraId="5CC27B0F" w14:textId="4CEC9A94" w:rsidR="00E20138" w:rsidRPr="00D9348B" w:rsidRDefault="00E20138" w:rsidP="00E20138">
      <w:pPr>
        <w:pStyle w:val="Figure"/>
        <w:spacing w:before="0" w:after="0"/>
        <w:rPr>
          <w:rFonts w:cs="Calibri"/>
        </w:rPr>
      </w:pPr>
      <w:bookmarkStart w:id="413" w:name="_Ref445300369"/>
      <w:bookmarkStart w:id="414" w:name="_Toc384582860"/>
      <w:bookmarkStart w:id="415" w:name="_Toc443060820"/>
      <w:bookmarkStart w:id="416" w:name="_Toc447275677"/>
      <w:bookmarkStart w:id="417" w:name="_Toc481751995"/>
      <w:bookmarkStart w:id="418" w:name="_Toc36292779"/>
      <w:r w:rsidRPr="00D9348B">
        <w:rPr>
          <w:rFonts w:cs="Calibri"/>
        </w:rPr>
        <w:t>Figure 3.3.</w:t>
      </w:r>
      <w:r w:rsidRPr="00D9348B">
        <w:rPr>
          <w:rFonts w:cs="Calibri"/>
        </w:rPr>
        <w:fldChar w:fldCharType="begin"/>
      </w:r>
      <w:r w:rsidRPr="00D9348B">
        <w:rPr>
          <w:rFonts w:cs="Calibri"/>
        </w:rPr>
        <w:instrText xml:space="preserve"> SEQ Figure \* ARABIC \s 2 </w:instrText>
      </w:r>
      <w:r w:rsidRPr="00D9348B">
        <w:rPr>
          <w:rFonts w:cs="Calibri"/>
        </w:rPr>
        <w:fldChar w:fldCharType="separate"/>
      </w:r>
      <w:r w:rsidRPr="00D9348B">
        <w:rPr>
          <w:rFonts w:cs="Calibri"/>
        </w:rPr>
        <w:t>10</w:t>
      </w:r>
      <w:r w:rsidRPr="00D9348B">
        <w:rPr>
          <w:rFonts w:cs="Calibri"/>
        </w:rPr>
        <w:fldChar w:fldCharType="end"/>
      </w:r>
      <w:bookmarkEnd w:id="413"/>
      <w:r w:rsidRPr="00D9348B">
        <w:rPr>
          <w:rFonts w:cs="Calibri"/>
        </w:rPr>
        <w:t xml:space="preserve"> </w:t>
      </w:r>
      <w:r w:rsidRPr="00D9348B">
        <w:rPr>
          <w:rFonts w:cs="Calibri"/>
        </w:rPr>
        <w:tab/>
        <w:t xml:space="preserve">Splits used for Manufacturing industries and construction category – Fuel oil </w:t>
      </w:r>
      <w:bookmarkEnd w:id="414"/>
      <w:bookmarkEnd w:id="415"/>
      <w:bookmarkEnd w:id="416"/>
      <w:bookmarkEnd w:id="417"/>
      <w:r w:rsidRPr="00D9348B">
        <w:rPr>
          <w:rFonts w:cs="Calibri"/>
        </w:rPr>
        <w:t>(1990–2018)</w:t>
      </w:r>
      <w:bookmarkEnd w:id="418"/>
    </w:p>
    <w:p w14:paraId="2BF7D5C7" w14:textId="7F9E5B5D" w:rsidR="00E20138" w:rsidRPr="00D9348B" w:rsidRDefault="007165CF" w:rsidP="00E20138">
      <w:pPr>
        <w:pStyle w:val="BodyText"/>
        <w:spacing w:before="60"/>
        <w:rPr>
          <w:rFonts w:cs="Calibri"/>
        </w:rPr>
      </w:pPr>
      <w:r>
        <w:rPr>
          <w:rFonts w:cs="Calibri"/>
        </w:rPr>
        <w:pict w14:anchorId="3D01AEB0">
          <v:shape id="_x0000_i1059" type="#_x0000_t75" style="width:397.55pt;height:193.45pt;visibility:visible;mso-wrap-style:square">
            <v:imagedata r:id="rId75" o:title="" cropbottom="1553f"/>
          </v:shape>
        </w:pict>
      </w:r>
    </w:p>
    <w:p w14:paraId="5DD0F946" w14:textId="77777777" w:rsidR="00E20138" w:rsidRPr="00D9348B" w:rsidRDefault="00E20138" w:rsidP="00E20138">
      <w:pPr>
        <w:pStyle w:val="Heading5"/>
        <w:rPr>
          <w:rFonts w:cs="Calibri"/>
        </w:rPr>
      </w:pPr>
      <w:r w:rsidRPr="00D9348B">
        <w:rPr>
          <w:rFonts w:cs="Calibri"/>
        </w:rPr>
        <w:t>Gaseous fuels</w:t>
      </w:r>
    </w:p>
    <w:p w14:paraId="34F7E54C" w14:textId="77777777" w:rsidR="00E20138" w:rsidRPr="00D9348B" w:rsidRDefault="00E20138" w:rsidP="00E20138">
      <w:pPr>
        <w:pStyle w:val="BodyText"/>
        <w:rPr>
          <w:rFonts w:cs="Calibri"/>
        </w:rPr>
      </w:pPr>
      <w:r w:rsidRPr="00D9348B">
        <w:rPr>
          <w:rFonts w:cs="Calibri"/>
        </w:rPr>
        <w:t>Annual natural gas consumption statistics are published by MBIE. A review of the allocation of natural gas consumption data was undertaken in 2011 by MBIE. The purpose of this review was to address time-series discontinuities in the sectoral breakdown for some sectors prior to 2006. Several inconsistencies in sector reporting were found, along with a considerable amount of missing data for sectoral breakdowns. Inconsistencies from 2003–05 were due to changing surveys over time. Inconsistencies or missing data prior to 2003 were re</w:t>
      </w:r>
      <w:r w:rsidRPr="00D9348B">
        <w:rPr>
          <w:rFonts w:cs="Calibri"/>
        </w:rPr>
        <w:noBreakHyphen/>
        <w:t>worked and re-estimated. These missing data comprised around 40 per cent of total natural gas use (which was not altered at a total level but only reallocated by sector).</w:t>
      </w:r>
    </w:p>
    <w:p w14:paraId="2524598C" w14:textId="77777777" w:rsidR="00E20138" w:rsidRPr="00D9348B" w:rsidRDefault="00E20138" w:rsidP="00E20138">
      <w:pPr>
        <w:pStyle w:val="BodyText"/>
        <w:rPr>
          <w:rFonts w:cs="Calibri"/>
        </w:rPr>
      </w:pPr>
      <w:r w:rsidRPr="00D9348B">
        <w:rPr>
          <w:rFonts w:cs="Calibri"/>
        </w:rPr>
        <w:t>Where necessary, new estimates of gas consumption were made depending on data availability. The chosen data source in order of preference was as follows.</w:t>
      </w:r>
    </w:p>
    <w:p w14:paraId="7E8C0787" w14:textId="77777777" w:rsidR="00E20138" w:rsidRPr="00D9348B" w:rsidRDefault="00E20138" w:rsidP="00E20138">
      <w:pPr>
        <w:pStyle w:val="Bullet"/>
        <w:tabs>
          <w:tab w:val="clear" w:pos="567"/>
        </w:tabs>
        <w:rPr>
          <w:rFonts w:cs="Calibri"/>
        </w:rPr>
      </w:pPr>
      <w:r w:rsidRPr="00D9348B">
        <w:rPr>
          <w:rFonts w:cs="Calibri"/>
        </w:rPr>
        <w:t xml:space="preserve">Data from major consumers of natural gas were used if available because they are more reliable, accurate and easily classified by sector. </w:t>
      </w:r>
    </w:p>
    <w:p w14:paraId="5D09C4AC" w14:textId="77777777" w:rsidR="00E20138" w:rsidRPr="00D9348B" w:rsidRDefault="00E20138" w:rsidP="00E20138">
      <w:pPr>
        <w:pStyle w:val="Bullet"/>
        <w:tabs>
          <w:tab w:val="clear" w:pos="567"/>
        </w:tabs>
        <w:rPr>
          <w:rFonts w:cs="Calibri"/>
        </w:rPr>
      </w:pPr>
      <w:r w:rsidRPr="00D9348B">
        <w:rPr>
          <w:rFonts w:cs="Calibri"/>
        </w:rPr>
        <w:t xml:space="preserve">Where these data were not available, natural gas retailers’ reported sales by sector were used. </w:t>
      </w:r>
    </w:p>
    <w:p w14:paraId="5ACAD36C" w14:textId="77777777" w:rsidR="00E20138" w:rsidRPr="00D9348B" w:rsidRDefault="00E20138" w:rsidP="00E20138">
      <w:pPr>
        <w:pStyle w:val="Bullet"/>
        <w:tabs>
          <w:tab w:val="clear" w:pos="567"/>
        </w:tabs>
        <w:rPr>
          <w:rFonts w:cs="Calibri"/>
        </w:rPr>
      </w:pPr>
      <w:r w:rsidRPr="00D9348B">
        <w:rPr>
          <w:rFonts w:cs="Calibri"/>
        </w:rPr>
        <w:lastRenderedPageBreak/>
        <w:t xml:space="preserve">If these data were also not available, then estimates based on regressions using GDP data were used. GDP output/production data were used along with assumptions about energy intensity/consumption of categories (to as detailed a level as possible). </w:t>
      </w:r>
    </w:p>
    <w:p w14:paraId="321DC761" w14:textId="77777777" w:rsidR="00E20138" w:rsidRPr="00D9348B" w:rsidRDefault="00E20138" w:rsidP="00E20138">
      <w:pPr>
        <w:pStyle w:val="BodyText"/>
        <w:spacing w:before="100" w:after="100"/>
        <w:rPr>
          <w:rFonts w:cs="Calibri"/>
        </w:rPr>
      </w:pPr>
      <w:r w:rsidRPr="00D9348B">
        <w:rPr>
          <w:rFonts w:cs="Calibri"/>
        </w:rPr>
        <w:t xml:space="preserve">Because a number of sector classifications are represented by only one or two major natural gas consumers, data from major consumers were sometimes able to be used as the first preference, but not always. Where there are industries with many major natural gas consumers, gas retailers’ reported sales by sector were used, though these can, at times, exhibit data-quality issues. </w:t>
      </w:r>
    </w:p>
    <w:p w14:paraId="3B76925B" w14:textId="77777777" w:rsidR="00E20138" w:rsidRPr="00D9348B" w:rsidRDefault="00E20138" w:rsidP="00E20138">
      <w:pPr>
        <w:pStyle w:val="BodyText"/>
        <w:spacing w:before="100" w:after="100"/>
        <w:rPr>
          <w:rFonts w:cs="Calibri"/>
        </w:rPr>
      </w:pPr>
      <w:r w:rsidRPr="00D9348B">
        <w:rPr>
          <w:rFonts w:cs="Calibri"/>
        </w:rPr>
        <w:t>A review was also undertaken in 2014 by MBIE covering data going back to 1999. Several sales previously identified as wholesale sales (i.e., gas bought to be on-sold) were in fact sold to consumers, but at ‘wholesale’ (lower) prices. Work was done to correct the classifications of these sales, based on customer name, to their relevant sectors.</w:t>
      </w:r>
    </w:p>
    <w:p w14:paraId="4ED976CA" w14:textId="77777777" w:rsidR="00E20138" w:rsidRPr="00D9348B" w:rsidRDefault="00E20138" w:rsidP="00E20138">
      <w:pPr>
        <w:pStyle w:val="Heading5"/>
        <w:rPr>
          <w:rFonts w:cs="Calibri"/>
          <w:lang w:eastAsia="en-GB"/>
        </w:rPr>
      </w:pPr>
      <w:proofErr w:type="gramStart"/>
      <w:r w:rsidRPr="00D9348B">
        <w:rPr>
          <w:rFonts w:cs="Calibri"/>
          <w:lang w:eastAsia="en-GB"/>
        </w:rPr>
        <w:t>1.A.2.a</w:t>
      </w:r>
      <w:proofErr w:type="gramEnd"/>
      <w:r w:rsidRPr="00D9348B">
        <w:rPr>
          <w:rFonts w:cs="Calibri"/>
          <w:lang w:eastAsia="en-GB"/>
        </w:rPr>
        <w:t xml:space="preserve"> Iron and steel</w:t>
      </w:r>
    </w:p>
    <w:p w14:paraId="07AEF309" w14:textId="77777777" w:rsidR="00E20138" w:rsidRPr="00D9348B" w:rsidRDefault="00E20138" w:rsidP="00E20138">
      <w:pPr>
        <w:pStyle w:val="BodyText"/>
        <w:spacing w:before="100" w:after="100"/>
        <w:rPr>
          <w:rFonts w:cs="Calibri"/>
          <w:lang w:eastAsia="en-GB"/>
        </w:rPr>
      </w:pPr>
      <w:r w:rsidRPr="00D9348B">
        <w:rPr>
          <w:rFonts w:cs="Calibri"/>
          <w:lang w:eastAsia="en-GB"/>
        </w:rPr>
        <w:t xml:space="preserve">Activity data for coal used in iron and steel production are reported to MBIE by New Zealand Steel Limited. A considerable amount of coal is used in the production of iron. Most of the coal is used in the direct reduction process to remove oxygen from iron-sand. However, all emissions from the use of coal are included in the IPPU sector because the primary purpose of the coal is to produce iron (IPCC, 2006). A small amount of </w:t>
      </w:r>
      <w:r w:rsidRPr="00D9348B">
        <w:rPr>
          <w:rFonts w:cs="Calibri"/>
        </w:rPr>
        <w:t xml:space="preserve">natural </w:t>
      </w:r>
      <w:r w:rsidRPr="00D9348B">
        <w:rPr>
          <w:rFonts w:cs="Calibri"/>
          <w:lang w:eastAsia="en-GB"/>
        </w:rPr>
        <w:t xml:space="preserve">gas is used in the production of iron and steel to provide energy for the process and is reported under the Energy sector in 1.A.2.a </w:t>
      </w:r>
      <w:r w:rsidRPr="00D9348B">
        <w:rPr>
          <w:rFonts w:cs="Calibri"/>
          <w:i/>
          <w:lang w:eastAsia="en-GB"/>
        </w:rPr>
        <w:t>Iron and steel</w:t>
      </w:r>
      <w:r w:rsidRPr="00D9348B">
        <w:rPr>
          <w:rFonts w:cs="Calibri"/>
          <w:lang w:eastAsia="en-GB"/>
        </w:rPr>
        <w:t>.</w:t>
      </w:r>
    </w:p>
    <w:p w14:paraId="5DAE56F7" w14:textId="77777777" w:rsidR="00E20138" w:rsidRPr="00D9348B" w:rsidRDefault="00E20138" w:rsidP="00E20138">
      <w:pPr>
        <w:pStyle w:val="Heading5"/>
        <w:rPr>
          <w:rFonts w:cs="Calibri"/>
          <w:lang w:eastAsia="en-GB"/>
        </w:rPr>
      </w:pPr>
      <w:proofErr w:type="gramStart"/>
      <w:r w:rsidRPr="00D9348B">
        <w:rPr>
          <w:rFonts w:cs="Calibri"/>
          <w:lang w:eastAsia="en-GB"/>
        </w:rPr>
        <w:t>1.A.2.c</w:t>
      </w:r>
      <w:proofErr w:type="gramEnd"/>
      <w:r w:rsidRPr="00D9348B">
        <w:rPr>
          <w:rFonts w:cs="Calibri"/>
          <w:lang w:eastAsia="en-GB"/>
        </w:rPr>
        <w:t xml:space="preserve"> Chemicals</w:t>
      </w:r>
    </w:p>
    <w:p w14:paraId="044B3280" w14:textId="77777777" w:rsidR="00E20138" w:rsidRPr="00D9348B" w:rsidRDefault="00E20138" w:rsidP="00E20138">
      <w:pPr>
        <w:pStyle w:val="BodyText"/>
        <w:spacing w:before="100" w:after="100"/>
        <w:rPr>
          <w:rFonts w:cs="Calibri"/>
          <w:lang w:eastAsia="en-GB"/>
        </w:rPr>
      </w:pPr>
      <w:r w:rsidRPr="00D9348B">
        <w:rPr>
          <w:rFonts w:cs="Calibri"/>
          <w:lang w:eastAsia="en-GB"/>
        </w:rPr>
        <w:t xml:space="preserve">The </w:t>
      </w:r>
      <w:r w:rsidRPr="00D9348B">
        <w:rPr>
          <w:rFonts w:cs="Calibri"/>
          <w:i/>
          <w:lang w:eastAsia="en-GB"/>
        </w:rPr>
        <w:t>Chemicals</w:t>
      </w:r>
      <w:r w:rsidRPr="00D9348B">
        <w:rPr>
          <w:rFonts w:cs="Calibri"/>
          <w:lang w:eastAsia="en-GB"/>
        </w:rPr>
        <w:t xml:space="preserve"> category includes estimates from the following sub-industries:</w:t>
      </w:r>
    </w:p>
    <w:p w14:paraId="53DD1A23" w14:textId="77777777" w:rsidR="00E20138" w:rsidRPr="00D9348B" w:rsidRDefault="00E20138" w:rsidP="00E20138">
      <w:pPr>
        <w:pStyle w:val="Bullet"/>
        <w:tabs>
          <w:tab w:val="clear" w:pos="567"/>
        </w:tabs>
        <w:rPr>
          <w:rFonts w:cs="Calibri"/>
        </w:rPr>
      </w:pPr>
      <w:r w:rsidRPr="00D9348B">
        <w:rPr>
          <w:rFonts w:cs="Calibri"/>
        </w:rPr>
        <w:t>industrial gases and synthetic resin</w:t>
      </w:r>
    </w:p>
    <w:p w14:paraId="64408F0C" w14:textId="77777777" w:rsidR="00E20138" w:rsidRPr="00D9348B" w:rsidRDefault="00E20138" w:rsidP="00E20138">
      <w:pPr>
        <w:pStyle w:val="Bullet"/>
        <w:tabs>
          <w:tab w:val="clear" w:pos="567"/>
        </w:tabs>
        <w:rPr>
          <w:rFonts w:cs="Calibri"/>
        </w:rPr>
      </w:pPr>
      <w:r w:rsidRPr="00D9348B">
        <w:rPr>
          <w:rFonts w:cs="Calibri"/>
        </w:rPr>
        <w:t>organic industrial chemicals</w:t>
      </w:r>
    </w:p>
    <w:p w14:paraId="1BBCB380" w14:textId="77777777" w:rsidR="00E20138" w:rsidRPr="00D9348B" w:rsidRDefault="00E20138" w:rsidP="00E20138">
      <w:pPr>
        <w:pStyle w:val="Bullet"/>
        <w:tabs>
          <w:tab w:val="clear" w:pos="567"/>
        </w:tabs>
        <w:rPr>
          <w:rFonts w:cs="Calibri"/>
        </w:rPr>
      </w:pPr>
      <w:proofErr w:type="gramStart"/>
      <w:r w:rsidRPr="00D9348B">
        <w:rPr>
          <w:rFonts w:cs="Calibri"/>
        </w:rPr>
        <w:t>inorganic</w:t>
      </w:r>
      <w:proofErr w:type="gramEnd"/>
      <w:r w:rsidRPr="00D9348B">
        <w:rPr>
          <w:rFonts w:cs="Calibri"/>
        </w:rPr>
        <w:t xml:space="preserve"> industrial chemicals, other chemical production, rubber and plastic products.</w:t>
      </w:r>
    </w:p>
    <w:p w14:paraId="313EFDCF" w14:textId="77777777" w:rsidR="00E20138" w:rsidRPr="00D9348B" w:rsidRDefault="00E20138" w:rsidP="00E20138">
      <w:pPr>
        <w:pStyle w:val="BodyText"/>
        <w:spacing w:before="100"/>
        <w:rPr>
          <w:rFonts w:cs="Calibri"/>
        </w:rPr>
      </w:pPr>
      <w:r w:rsidRPr="00D9348B">
        <w:rPr>
          <w:rFonts w:cs="Calibri"/>
        </w:rPr>
        <w:t xml:space="preserve">The quantity of natural gas used for the production of methanol and ammonia (and, subsequently, urea) has been split into feedstock gas (which is included in 2.B.8.a and 2.B.1 respectively) and energy-use gas (which is included in 1.A.2.c </w:t>
      </w:r>
      <w:r w:rsidRPr="00D9348B">
        <w:rPr>
          <w:rFonts w:cs="Calibri"/>
          <w:i/>
        </w:rPr>
        <w:t>Chemicals</w:t>
      </w:r>
      <w:r w:rsidRPr="00D9348B">
        <w:rPr>
          <w:rFonts w:cs="Calibri"/>
        </w:rPr>
        <w:t>). Further details are included in chapter 4 (IPPU sector).</w:t>
      </w:r>
    </w:p>
    <w:p w14:paraId="589BAC8A" w14:textId="77777777" w:rsidR="00E20138" w:rsidRPr="00D9348B" w:rsidRDefault="00E20138" w:rsidP="00E20138">
      <w:pPr>
        <w:pStyle w:val="BodyText"/>
        <w:spacing w:before="100"/>
        <w:rPr>
          <w:rFonts w:cs="Calibri"/>
          <w:lang w:eastAsia="en-GB"/>
        </w:rPr>
      </w:pPr>
      <w:r w:rsidRPr="00D9348B">
        <w:rPr>
          <w:rFonts w:cs="Calibri"/>
          <w:lang w:eastAsia="en-GB"/>
        </w:rPr>
        <w:t>The activity data for methanol production are supplied directly by Methanex New Zealand. Until 2004, methanol was produced at two plants by Methanex New Zealand. In November 2004, production at the Motunui plant was halted and the plant re-opened in late 2008. Methanex New Zealand exports most of this methanol.</w:t>
      </w:r>
    </w:p>
    <w:p w14:paraId="673708C4" w14:textId="77777777" w:rsidR="00E20138" w:rsidRPr="00D9348B" w:rsidRDefault="00E20138" w:rsidP="00E20138">
      <w:pPr>
        <w:pStyle w:val="BodyText"/>
        <w:spacing w:before="100"/>
        <w:rPr>
          <w:rFonts w:cs="Calibri"/>
          <w:lang w:eastAsia="en-GB"/>
        </w:rPr>
      </w:pPr>
      <w:r w:rsidRPr="00D9348B">
        <w:rPr>
          <w:rFonts w:cs="Calibri"/>
          <w:lang w:eastAsia="en-GB"/>
        </w:rPr>
        <w:t xml:space="preserve">Methanex is the sole methanol producer in New Zealand and considers its </w:t>
      </w:r>
      <w:r w:rsidRPr="00D9348B">
        <w:rPr>
          <w:rFonts w:cs="Calibri"/>
        </w:rPr>
        <w:t xml:space="preserve">natural </w:t>
      </w:r>
      <w:r w:rsidRPr="00D9348B">
        <w:rPr>
          <w:rFonts w:cs="Calibri"/>
          <w:lang w:eastAsia="en-GB"/>
        </w:rPr>
        <w:t xml:space="preserve">gas consumption to be commercially sensitive information. New Zealand takes a Tier 2 (IPCC, 2006) approach to estimating emissions from methanol production that uses </w:t>
      </w:r>
      <w:r w:rsidRPr="00D9348B">
        <w:rPr>
          <w:rFonts w:cs="Calibri"/>
        </w:rPr>
        <w:t xml:space="preserve">natural </w:t>
      </w:r>
      <w:r w:rsidRPr="00D9348B">
        <w:rPr>
          <w:rFonts w:cs="Calibri"/>
          <w:lang w:eastAsia="en-GB"/>
        </w:rPr>
        <w:t xml:space="preserve">gas consumption at the plant along with country- and field-specific emission factors to calculate potential emissions before deducting the carbon sequestered in the end product. </w:t>
      </w:r>
    </w:p>
    <w:p w14:paraId="455830DA" w14:textId="77777777" w:rsidR="00E20138" w:rsidRPr="00D9348B" w:rsidRDefault="00E20138" w:rsidP="00E20138">
      <w:pPr>
        <w:pStyle w:val="BodyText"/>
        <w:spacing w:before="100"/>
        <w:rPr>
          <w:rFonts w:cs="Calibri"/>
          <w:lang w:eastAsia="en-GB"/>
        </w:rPr>
      </w:pPr>
      <w:r w:rsidRPr="00D9348B">
        <w:rPr>
          <w:rFonts w:cs="Calibri"/>
          <w:lang w:eastAsia="en-GB"/>
        </w:rPr>
        <w:t xml:space="preserve">The major non-fuel-related emissions from the methanol process are </w:t>
      </w:r>
      <w:r w:rsidRPr="00D9348B">
        <w:rPr>
          <w:rFonts w:cs="Calibri"/>
        </w:rPr>
        <w:t>CH</w:t>
      </w:r>
      <w:r w:rsidRPr="00D9348B">
        <w:rPr>
          <w:rFonts w:cs="Calibri"/>
          <w:vertAlign w:val="subscript"/>
        </w:rPr>
        <w:t>4</w:t>
      </w:r>
      <w:r w:rsidRPr="00D9348B">
        <w:rPr>
          <w:rFonts w:cs="Calibri"/>
          <w:sz w:val="14"/>
          <w:szCs w:val="14"/>
          <w:lang w:eastAsia="en-GB"/>
        </w:rPr>
        <w:t xml:space="preserve"> </w:t>
      </w:r>
      <w:r w:rsidRPr="00D9348B">
        <w:rPr>
          <w:rFonts w:cs="Calibri"/>
          <w:lang w:eastAsia="en-GB"/>
        </w:rPr>
        <w:t xml:space="preserve">and </w:t>
      </w:r>
      <w:r w:rsidRPr="00D9348B">
        <w:rPr>
          <w:rFonts w:cs="Calibri"/>
        </w:rPr>
        <w:t>non-methane volatile organic compounds</w:t>
      </w:r>
      <w:r w:rsidRPr="00D9348B">
        <w:rPr>
          <w:rFonts w:cs="Calibri"/>
          <w:lang w:eastAsia="en-GB"/>
        </w:rPr>
        <w:t>.</w:t>
      </w:r>
    </w:p>
    <w:p w14:paraId="6356F961" w14:textId="77777777" w:rsidR="00E20138" w:rsidRPr="00D9348B" w:rsidRDefault="00E20138" w:rsidP="00E20138">
      <w:pPr>
        <w:pStyle w:val="Heading5"/>
        <w:rPr>
          <w:rFonts w:cs="Calibri"/>
          <w:lang w:eastAsia="en-GB"/>
        </w:rPr>
      </w:pPr>
      <w:r w:rsidRPr="00D9348B">
        <w:rPr>
          <w:rFonts w:cs="Calibri"/>
          <w:lang w:eastAsia="en-GB"/>
        </w:rPr>
        <w:lastRenderedPageBreak/>
        <w:t>On-site electricity generation</w:t>
      </w:r>
    </w:p>
    <w:p w14:paraId="1AA9E471" w14:textId="77777777" w:rsidR="00E20138" w:rsidRPr="00D9348B" w:rsidRDefault="00E20138" w:rsidP="00E20138">
      <w:pPr>
        <w:pStyle w:val="BodyText"/>
        <w:rPr>
          <w:rFonts w:cs="Calibri"/>
          <w:lang w:eastAsia="en-GB"/>
        </w:rPr>
      </w:pPr>
      <w:r w:rsidRPr="00D9348B">
        <w:rPr>
          <w:rFonts w:cs="Calibri"/>
          <w:lang w:eastAsia="en-GB"/>
        </w:rPr>
        <w:t xml:space="preserve">As mentioned in section </w:t>
      </w:r>
      <w:r w:rsidRPr="00D9348B">
        <w:rPr>
          <w:rFonts w:cs="Calibri"/>
        </w:rPr>
        <w:t>3.3.1</w:t>
      </w:r>
      <w:r w:rsidRPr="00D9348B">
        <w:rPr>
          <w:rFonts w:cs="Calibri"/>
          <w:lang w:eastAsia="en-GB"/>
        </w:rPr>
        <w:t xml:space="preserve">, on-site electricity generation is allocated to either the </w:t>
      </w:r>
      <w:r w:rsidRPr="00D9348B">
        <w:rPr>
          <w:rFonts w:cs="Calibri"/>
          <w:i/>
          <w:lang w:eastAsia="en-GB"/>
        </w:rPr>
        <w:t>Public electricity and heat production</w:t>
      </w:r>
      <w:r w:rsidRPr="00D9348B">
        <w:rPr>
          <w:rFonts w:cs="Calibri"/>
          <w:lang w:eastAsia="en-GB"/>
        </w:rPr>
        <w:t xml:space="preserve"> category or the sector in which the associated plant operates, using the decision tree shown in figure</w:t>
      </w:r>
      <w:r w:rsidRPr="00D9348B">
        <w:rPr>
          <w:rFonts w:cs="Calibri"/>
        </w:rPr>
        <w:t xml:space="preserve"> 3.3.7</w:t>
      </w:r>
      <w:r w:rsidRPr="00D9348B">
        <w:rPr>
          <w:rFonts w:cs="Calibri"/>
          <w:lang w:eastAsia="en-GB"/>
        </w:rPr>
        <w:t xml:space="preserve">. </w:t>
      </w:r>
    </w:p>
    <w:p w14:paraId="02AD939A" w14:textId="77777777" w:rsidR="00E20138" w:rsidRPr="00D9348B" w:rsidRDefault="00E20138" w:rsidP="00865BDB">
      <w:pPr>
        <w:pStyle w:val="Heading4"/>
        <w:rPr>
          <w:lang w:eastAsia="en-GB"/>
        </w:rPr>
      </w:pPr>
      <w:r w:rsidRPr="00D9348B">
        <w:t>Uncertainties</w:t>
      </w:r>
      <w:r w:rsidRPr="00D9348B">
        <w:rPr>
          <w:lang w:eastAsia="en-GB"/>
        </w:rPr>
        <w:t xml:space="preserve"> and time-series consistency</w:t>
      </w:r>
    </w:p>
    <w:p w14:paraId="58043889" w14:textId="77777777" w:rsidR="00E20138" w:rsidRPr="00D9348B" w:rsidRDefault="00E20138" w:rsidP="00E20138">
      <w:pPr>
        <w:pStyle w:val="BodyText"/>
        <w:rPr>
          <w:rFonts w:cs="Calibri"/>
          <w:lang w:eastAsia="en-GB"/>
        </w:rPr>
      </w:pPr>
      <w:r w:rsidRPr="00D9348B">
        <w:rPr>
          <w:rFonts w:cs="Calibri"/>
          <w:lang w:eastAsia="en-GB"/>
        </w:rPr>
        <w:t>Uncertainties in emission and activity data estimates are those relevant to the entire Energy sector (annex 4, sections A4.1, A4.2 and A4.3).</w:t>
      </w:r>
    </w:p>
    <w:p w14:paraId="34F9C573" w14:textId="77777777" w:rsidR="00E20138" w:rsidRPr="00D9348B" w:rsidRDefault="00E20138" w:rsidP="00865BDB">
      <w:pPr>
        <w:pStyle w:val="Heading4"/>
        <w:rPr>
          <w:lang w:eastAsia="en-GB"/>
        </w:rPr>
      </w:pPr>
      <w:r w:rsidRPr="00D9348B">
        <w:rPr>
          <w:lang w:eastAsia="en-GB"/>
        </w:rPr>
        <w:t>Source-specific QA/QC and verification</w:t>
      </w:r>
    </w:p>
    <w:p w14:paraId="6D18A9E9" w14:textId="77777777" w:rsidR="00E20138" w:rsidRPr="00D9348B" w:rsidRDefault="00E20138" w:rsidP="00E20138">
      <w:pPr>
        <w:pStyle w:val="BodyText"/>
        <w:rPr>
          <w:rFonts w:cs="Calibri"/>
          <w:lang w:eastAsia="en-GB"/>
        </w:rPr>
      </w:pPr>
      <w:r w:rsidRPr="00D9348B">
        <w:rPr>
          <w:rFonts w:cs="Calibri"/>
          <w:lang w:eastAsia="en-GB"/>
        </w:rPr>
        <w:t xml:space="preserve">In the preparation of this inventory, the </w:t>
      </w:r>
      <w:r w:rsidRPr="00D9348B">
        <w:rPr>
          <w:rFonts w:cs="Calibri"/>
          <w:i/>
          <w:lang w:eastAsia="en-GB"/>
        </w:rPr>
        <w:t>Manufacturing industries and construction</w:t>
      </w:r>
      <w:r w:rsidRPr="00D9348B">
        <w:rPr>
          <w:rFonts w:cs="Calibri"/>
          <w:lang w:eastAsia="en-GB"/>
        </w:rPr>
        <w:t xml:space="preserve"> category underwent Tier 1 quality-assurance and quality-control checks as recommended in the 2006 IPCC Guidelines. These include regular control sums throughout systems, to verify system integrity, and time-series consistency checks.</w:t>
      </w:r>
    </w:p>
    <w:p w14:paraId="663B4761" w14:textId="77777777" w:rsidR="00E20138" w:rsidRPr="00D9348B" w:rsidRDefault="00E20138" w:rsidP="00865BDB">
      <w:pPr>
        <w:pStyle w:val="Heading4"/>
        <w:rPr>
          <w:lang w:eastAsia="en-GB"/>
        </w:rPr>
      </w:pPr>
      <w:r w:rsidRPr="00D9348B">
        <w:rPr>
          <w:lang w:eastAsia="en-GB"/>
        </w:rPr>
        <w:t>Source-specific recalculations</w:t>
      </w:r>
    </w:p>
    <w:p w14:paraId="0B2E3845" w14:textId="77777777" w:rsidR="00E20138" w:rsidRPr="00D9348B" w:rsidRDefault="00E20138" w:rsidP="00E20138">
      <w:pPr>
        <w:pStyle w:val="BodyText"/>
        <w:rPr>
          <w:rFonts w:cs="Calibri"/>
          <w:lang w:eastAsia="en-GB"/>
        </w:rPr>
      </w:pPr>
      <w:r w:rsidRPr="00D9348B">
        <w:rPr>
          <w:rFonts w:cs="Calibri"/>
          <w:lang w:eastAsia="en-GB"/>
        </w:rPr>
        <w:t>Some historical energy demand data may have been revised due to revisions in data provided by companies. This has resulted in minor revisions in activity data and corresponding emissions for some years.</w:t>
      </w:r>
    </w:p>
    <w:p w14:paraId="0731755A" w14:textId="77777777" w:rsidR="00E20138" w:rsidRPr="00D9348B" w:rsidRDefault="00E20138" w:rsidP="005B274A">
      <w:pPr>
        <w:pStyle w:val="Heading3"/>
        <w:spacing w:before="280"/>
        <w:rPr>
          <w:rFonts w:cs="Calibri"/>
        </w:rPr>
      </w:pPr>
      <w:r w:rsidRPr="00D9348B">
        <w:rPr>
          <w:rFonts w:cs="Calibri"/>
        </w:rPr>
        <w:t>3.3.8</w:t>
      </w:r>
      <w:r w:rsidRPr="00D9348B">
        <w:rPr>
          <w:rFonts w:cs="Calibri"/>
        </w:rPr>
        <w:tab/>
        <w:t>Fuel combustion: Transport (CRF 1.A.3)</w:t>
      </w:r>
    </w:p>
    <w:p w14:paraId="0F6FBFB6" w14:textId="77777777" w:rsidR="00E20138" w:rsidRPr="00D9348B" w:rsidRDefault="00E20138" w:rsidP="005B274A">
      <w:pPr>
        <w:pStyle w:val="Heading4"/>
        <w:spacing w:before="160"/>
      </w:pPr>
      <w:r w:rsidRPr="00D9348B">
        <w:rPr>
          <w:lang w:eastAsia="en-GB"/>
        </w:rPr>
        <w:t>Description</w:t>
      </w:r>
    </w:p>
    <w:p w14:paraId="4D1A5D91" w14:textId="77777777" w:rsidR="00E20138" w:rsidRPr="00D9348B" w:rsidRDefault="00E20138" w:rsidP="00E20138">
      <w:pPr>
        <w:pStyle w:val="BodyText"/>
        <w:rPr>
          <w:rFonts w:cs="Calibri"/>
          <w:lang w:eastAsia="en-GB"/>
        </w:rPr>
      </w:pPr>
      <w:r w:rsidRPr="00D9348B">
        <w:rPr>
          <w:rFonts w:cs="Calibri"/>
          <w:lang w:eastAsia="en-GB"/>
        </w:rPr>
        <w:t>This category includes emissions from fuels combusted during domestic transportation, such as civil aviation, road, rail and domestic marine transport. Emissions from international marine and aviation bunkers are reported as memo items and are not included in New Zealand’s total emissions.</w:t>
      </w:r>
    </w:p>
    <w:p w14:paraId="07846337" w14:textId="77777777" w:rsidR="00E20138" w:rsidRPr="00D9348B" w:rsidRDefault="00E20138" w:rsidP="00E20138">
      <w:pPr>
        <w:pStyle w:val="BodyText"/>
        <w:rPr>
          <w:rFonts w:cs="Calibri"/>
          <w:lang w:eastAsia="en-GB"/>
        </w:rPr>
      </w:pPr>
      <w:r w:rsidRPr="00D9348B">
        <w:rPr>
          <w:rFonts w:cs="Calibri"/>
          <w:lang w:eastAsia="en-GB"/>
        </w:rPr>
        <w:t xml:space="preserve">In </w:t>
      </w:r>
      <w:r w:rsidRPr="00D9348B">
        <w:rPr>
          <w:rFonts w:cs="Calibri"/>
        </w:rPr>
        <w:t>2018</w:t>
      </w:r>
      <w:r w:rsidRPr="00D9348B">
        <w:rPr>
          <w:rFonts w:cs="Calibri"/>
          <w:lang w:eastAsia="en-GB"/>
        </w:rPr>
        <w:t xml:space="preserve">, category 1.A.3 </w:t>
      </w:r>
      <w:r w:rsidRPr="00D9348B">
        <w:rPr>
          <w:rFonts w:cs="Calibri"/>
          <w:i/>
          <w:lang w:eastAsia="en-GB"/>
        </w:rPr>
        <w:t>Transport</w:t>
      </w:r>
      <w:r w:rsidRPr="00D9348B">
        <w:rPr>
          <w:rFonts w:cs="Calibri"/>
          <w:lang w:eastAsia="en-GB"/>
        </w:rPr>
        <w:t xml:space="preserve"> was responsible for </w:t>
      </w:r>
      <w:r w:rsidRPr="00D9348B">
        <w:rPr>
          <w:rFonts w:cs="Calibri"/>
        </w:rPr>
        <w:t xml:space="preserve">16,624.7 </w:t>
      </w:r>
      <w:r w:rsidRPr="00D9348B">
        <w:rPr>
          <w:rFonts w:cs="Calibri"/>
          <w:lang w:eastAsia="en-GB"/>
        </w:rPr>
        <w:t>kt CO</w:t>
      </w:r>
      <w:r w:rsidRPr="00D9348B">
        <w:rPr>
          <w:rFonts w:cs="Calibri"/>
          <w:vertAlign w:val="subscript"/>
          <w:lang w:eastAsia="en-GB"/>
        </w:rPr>
        <w:t>2</w:t>
      </w:r>
      <w:r w:rsidRPr="00D9348B">
        <w:rPr>
          <w:rFonts w:cs="Calibri"/>
          <w:lang w:eastAsia="en-GB"/>
        </w:rPr>
        <w:t>-e (</w:t>
      </w:r>
      <w:r w:rsidRPr="00D9348B">
        <w:rPr>
          <w:rFonts w:cs="Calibri"/>
        </w:rPr>
        <w:t>52.0 per cent</w:t>
      </w:r>
      <w:r w:rsidRPr="00D9348B">
        <w:rPr>
          <w:rFonts w:cs="Calibri"/>
          <w:lang w:eastAsia="en-GB"/>
        </w:rPr>
        <w:t xml:space="preserve"> of emissions from the Energy sector), or 21.1 per cent of gross national emissions. Emissions in 2018 were </w:t>
      </w:r>
      <w:r w:rsidRPr="00D9348B">
        <w:rPr>
          <w:rFonts w:cs="Calibri"/>
        </w:rPr>
        <w:t xml:space="preserve">7,859.8 </w:t>
      </w:r>
      <w:r w:rsidRPr="00D9348B">
        <w:rPr>
          <w:rFonts w:cs="Calibri"/>
          <w:lang w:eastAsia="en-GB"/>
        </w:rPr>
        <w:t>kt CO</w:t>
      </w:r>
      <w:r w:rsidRPr="00D9348B">
        <w:rPr>
          <w:rFonts w:cs="Calibri"/>
          <w:vertAlign w:val="subscript"/>
          <w:lang w:eastAsia="en-GB"/>
        </w:rPr>
        <w:t>2</w:t>
      </w:r>
      <w:r w:rsidRPr="00D9348B">
        <w:rPr>
          <w:rFonts w:cs="Calibri"/>
          <w:lang w:eastAsia="en-GB"/>
        </w:rPr>
        <w:t>-e (</w:t>
      </w:r>
      <w:r w:rsidRPr="00D9348B">
        <w:rPr>
          <w:rFonts w:cs="Calibri"/>
        </w:rPr>
        <w:t>89.7 per cent</w:t>
      </w:r>
      <w:r w:rsidRPr="00D9348B">
        <w:rPr>
          <w:rFonts w:cs="Calibri"/>
          <w:lang w:eastAsia="en-GB"/>
        </w:rPr>
        <w:t xml:space="preserve">) higher than the </w:t>
      </w:r>
      <w:r w:rsidRPr="00D9348B">
        <w:rPr>
          <w:rFonts w:cs="Calibri"/>
        </w:rPr>
        <w:t xml:space="preserve">8,764.9 </w:t>
      </w:r>
      <w:r w:rsidRPr="00D9348B">
        <w:rPr>
          <w:rFonts w:cs="Calibri"/>
          <w:lang w:eastAsia="en-GB"/>
        </w:rPr>
        <w:t>kt CO</w:t>
      </w:r>
      <w:r w:rsidRPr="00D9348B">
        <w:rPr>
          <w:rFonts w:cs="Calibri"/>
          <w:vertAlign w:val="subscript"/>
          <w:lang w:eastAsia="en-GB"/>
        </w:rPr>
        <w:t>2</w:t>
      </w:r>
      <w:r w:rsidRPr="00D9348B">
        <w:rPr>
          <w:rFonts w:cs="Calibri"/>
          <w:lang w:eastAsia="en-GB"/>
        </w:rPr>
        <w:t xml:space="preserve">-e emitted from the transport sector in 1990. The transport emissions profile in </w:t>
      </w:r>
      <w:r w:rsidRPr="00D9348B">
        <w:rPr>
          <w:rFonts w:cs="Calibri"/>
        </w:rPr>
        <w:t>2018</w:t>
      </w:r>
      <w:r w:rsidRPr="00D9348B">
        <w:rPr>
          <w:rFonts w:cs="Calibri"/>
          <w:lang w:eastAsia="en-GB"/>
        </w:rPr>
        <w:t xml:space="preserve"> was dominated by emissions from category 1.A.3.b </w:t>
      </w:r>
      <w:r w:rsidRPr="00D9348B">
        <w:rPr>
          <w:rFonts w:cs="Calibri"/>
          <w:i/>
          <w:lang w:eastAsia="en-GB"/>
        </w:rPr>
        <w:t>Road transportation</w:t>
      </w:r>
      <w:r w:rsidRPr="00D9348B">
        <w:rPr>
          <w:rFonts w:cs="Calibri"/>
          <w:lang w:eastAsia="en-GB"/>
        </w:rPr>
        <w:t xml:space="preserve">. In </w:t>
      </w:r>
      <w:r w:rsidRPr="00D9348B">
        <w:rPr>
          <w:rFonts w:cs="Calibri"/>
        </w:rPr>
        <w:t>2018</w:t>
      </w:r>
      <w:r w:rsidRPr="00D9348B">
        <w:rPr>
          <w:rFonts w:cs="Calibri"/>
          <w:lang w:eastAsia="en-GB"/>
        </w:rPr>
        <w:t xml:space="preserve">, road transport accounted for </w:t>
      </w:r>
      <w:r w:rsidRPr="00D9348B">
        <w:rPr>
          <w:rFonts w:cs="Calibri"/>
        </w:rPr>
        <w:t>15,070.9 </w:t>
      </w:r>
      <w:r w:rsidRPr="00D9348B">
        <w:rPr>
          <w:rFonts w:cs="Calibri"/>
          <w:lang w:eastAsia="en-GB"/>
        </w:rPr>
        <w:t>kt CO</w:t>
      </w:r>
      <w:r w:rsidRPr="00D9348B">
        <w:rPr>
          <w:rFonts w:cs="Calibri"/>
          <w:vertAlign w:val="subscript"/>
          <w:lang w:eastAsia="en-GB"/>
        </w:rPr>
        <w:t>2</w:t>
      </w:r>
      <w:r w:rsidRPr="00D9348B">
        <w:rPr>
          <w:rFonts w:cs="Calibri"/>
          <w:lang w:eastAsia="en-GB"/>
        </w:rPr>
        <w:t>-e (</w:t>
      </w:r>
      <w:r w:rsidRPr="00D9348B">
        <w:rPr>
          <w:rFonts w:cs="Calibri"/>
        </w:rPr>
        <w:t>90.7 per cent</w:t>
      </w:r>
      <w:r w:rsidRPr="00D9348B">
        <w:rPr>
          <w:rFonts w:cs="Calibri"/>
          <w:lang w:eastAsia="en-GB"/>
        </w:rPr>
        <w:t xml:space="preserve">) of total transport emissions. This is </w:t>
      </w:r>
      <w:r w:rsidRPr="00D9348B">
        <w:rPr>
          <w:rFonts w:cs="Calibri"/>
        </w:rPr>
        <w:t xml:space="preserve">7,595.6 </w:t>
      </w:r>
      <w:r w:rsidRPr="00D9348B">
        <w:rPr>
          <w:rFonts w:cs="Calibri"/>
          <w:lang w:eastAsia="en-GB"/>
        </w:rPr>
        <w:t>kt CO</w:t>
      </w:r>
      <w:r w:rsidRPr="00D9348B">
        <w:rPr>
          <w:rFonts w:cs="Calibri"/>
          <w:vertAlign w:val="subscript"/>
          <w:lang w:eastAsia="en-GB"/>
        </w:rPr>
        <w:t>2</w:t>
      </w:r>
      <w:r w:rsidRPr="00D9348B">
        <w:rPr>
          <w:rFonts w:cs="Calibri"/>
          <w:lang w:eastAsia="en-GB"/>
        </w:rPr>
        <w:t>-e (</w:t>
      </w:r>
      <w:r w:rsidRPr="00D9348B">
        <w:rPr>
          <w:rFonts w:cs="Calibri"/>
        </w:rPr>
        <w:t>101.6 per cent</w:t>
      </w:r>
      <w:r w:rsidRPr="00D9348B">
        <w:rPr>
          <w:rFonts w:cs="Calibri"/>
          <w:lang w:eastAsia="en-GB"/>
        </w:rPr>
        <w:t xml:space="preserve">) higher than the 1990 level of </w:t>
      </w:r>
      <w:r w:rsidRPr="00D9348B">
        <w:rPr>
          <w:rFonts w:cs="Calibri"/>
        </w:rPr>
        <w:t xml:space="preserve">7,475.3 </w:t>
      </w:r>
      <w:r w:rsidRPr="00D9348B">
        <w:rPr>
          <w:rFonts w:cs="Calibri"/>
          <w:lang w:eastAsia="en-GB"/>
        </w:rPr>
        <w:t>kt CO</w:t>
      </w:r>
      <w:r w:rsidRPr="00D9348B">
        <w:rPr>
          <w:rFonts w:cs="Calibri"/>
          <w:vertAlign w:val="subscript"/>
          <w:lang w:eastAsia="en-GB"/>
        </w:rPr>
        <w:t>2</w:t>
      </w:r>
      <w:r w:rsidRPr="00D9348B">
        <w:rPr>
          <w:rFonts w:cs="Calibri"/>
          <w:lang w:eastAsia="en-GB"/>
        </w:rPr>
        <w:t xml:space="preserve">-e. </w:t>
      </w:r>
    </w:p>
    <w:p w14:paraId="7CDED8CB" w14:textId="77777777" w:rsidR="00E20138" w:rsidRPr="00D9348B" w:rsidRDefault="00E20138" w:rsidP="005B274A">
      <w:pPr>
        <w:pStyle w:val="Heading4"/>
        <w:spacing w:before="160"/>
        <w:rPr>
          <w:lang w:eastAsia="en-GB"/>
        </w:rPr>
      </w:pPr>
      <w:r w:rsidRPr="00D9348B">
        <w:rPr>
          <w:lang w:eastAsia="en-GB"/>
        </w:rPr>
        <w:t xml:space="preserve">Changes in emissions between </w:t>
      </w:r>
      <w:r w:rsidRPr="00D9348B">
        <w:t>2017</w:t>
      </w:r>
      <w:r w:rsidRPr="00D9348B">
        <w:rPr>
          <w:lang w:eastAsia="en-GB"/>
        </w:rPr>
        <w:t xml:space="preserve"> and </w:t>
      </w:r>
      <w:r w:rsidRPr="00D9348B">
        <w:t>2018</w:t>
      </w:r>
    </w:p>
    <w:p w14:paraId="0C2FDD35" w14:textId="77777777" w:rsidR="00E20138" w:rsidRPr="00D9348B" w:rsidRDefault="00E20138" w:rsidP="00E20138">
      <w:pPr>
        <w:pStyle w:val="BodyText"/>
        <w:rPr>
          <w:rFonts w:cs="Calibri"/>
          <w:lang w:eastAsia="en-GB"/>
        </w:rPr>
      </w:pPr>
      <w:r w:rsidRPr="00D9348B">
        <w:rPr>
          <w:rFonts w:cs="Calibri"/>
          <w:lang w:eastAsia="en-GB"/>
        </w:rPr>
        <w:t xml:space="preserve">Between </w:t>
      </w:r>
      <w:r w:rsidRPr="00D9348B">
        <w:rPr>
          <w:rFonts w:cs="Calibri"/>
        </w:rPr>
        <w:t>2017</w:t>
      </w:r>
      <w:r w:rsidRPr="00D9348B">
        <w:rPr>
          <w:rFonts w:cs="Calibri"/>
          <w:lang w:eastAsia="en-GB"/>
        </w:rPr>
        <w:t xml:space="preserve"> and </w:t>
      </w:r>
      <w:r w:rsidRPr="00D9348B">
        <w:rPr>
          <w:rFonts w:cs="Calibri"/>
        </w:rPr>
        <w:t>2018</w:t>
      </w:r>
      <w:r w:rsidRPr="00D9348B">
        <w:rPr>
          <w:rFonts w:cs="Calibri"/>
          <w:lang w:eastAsia="en-GB"/>
        </w:rPr>
        <w:t xml:space="preserve">, emissions from transport increased by </w:t>
      </w:r>
      <w:r w:rsidRPr="00D9348B">
        <w:rPr>
          <w:rFonts w:cs="Calibri"/>
        </w:rPr>
        <w:t xml:space="preserve">370.1 </w:t>
      </w:r>
      <w:r w:rsidRPr="00D9348B">
        <w:rPr>
          <w:rFonts w:cs="Calibri"/>
          <w:lang w:eastAsia="en-GB"/>
        </w:rPr>
        <w:t>kt CO</w:t>
      </w:r>
      <w:r w:rsidRPr="00D9348B">
        <w:rPr>
          <w:rFonts w:cs="Calibri"/>
          <w:vertAlign w:val="subscript"/>
          <w:lang w:eastAsia="en-GB"/>
        </w:rPr>
        <w:t>2</w:t>
      </w:r>
      <w:r w:rsidRPr="00D9348B">
        <w:rPr>
          <w:rFonts w:cs="Calibri"/>
          <w:lang w:eastAsia="en-GB"/>
        </w:rPr>
        <w:t>-e (</w:t>
      </w:r>
      <w:r w:rsidRPr="00D9348B">
        <w:rPr>
          <w:rFonts w:cs="Calibri"/>
        </w:rPr>
        <w:t>2.3 per cent</w:t>
      </w:r>
      <w:r w:rsidRPr="00D9348B">
        <w:rPr>
          <w:rFonts w:cs="Calibri"/>
          <w:lang w:eastAsia="en-GB"/>
        </w:rPr>
        <w:t xml:space="preserve">). </w:t>
      </w:r>
    </w:p>
    <w:p w14:paraId="2345FEAA" w14:textId="77777777" w:rsidR="00E20138" w:rsidRPr="00D9348B" w:rsidRDefault="00E20138" w:rsidP="00E20138">
      <w:pPr>
        <w:pStyle w:val="BodyText"/>
        <w:rPr>
          <w:rFonts w:cs="Calibri"/>
        </w:rPr>
      </w:pPr>
      <w:r w:rsidRPr="00D9348B">
        <w:rPr>
          <w:rFonts w:cs="Calibri"/>
        </w:rPr>
        <w:t xml:space="preserve">Key categories identified in the 2018 level and trend assessment for the </w:t>
      </w:r>
      <w:r w:rsidRPr="00D9348B">
        <w:rPr>
          <w:rFonts w:cs="Calibri"/>
          <w:i/>
          <w:lang w:eastAsia="en-GB"/>
        </w:rPr>
        <w:t>Transport</w:t>
      </w:r>
      <w:r w:rsidRPr="00D9348B">
        <w:rPr>
          <w:rFonts w:cs="Calibri"/>
        </w:rPr>
        <w:t xml:space="preserve"> category are given in table 3.3.5.</w:t>
      </w:r>
    </w:p>
    <w:p w14:paraId="4F479361" w14:textId="77777777" w:rsidR="00E20138" w:rsidRPr="00D9348B" w:rsidRDefault="00E20138" w:rsidP="005B274A">
      <w:pPr>
        <w:pStyle w:val="Table"/>
      </w:pPr>
      <w:r w:rsidRPr="00D9348B">
        <w:t>Table 3.3.5</w:t>
      </w:r>
      <w:r w:rsidRPr="00D9348B">
        <w:tab/>
        <w:t>Key categories for 1.A.3 Transport</w:t>
      </w:r>
    </w:p>
    <w:tbl>
      <w:tblPr>
        <w:tblW w:w="8562" w:type="dxa"/>
        <w:tblInd w:w="108" w:type="dxa"/>
        <w:tblBorders>
          <w:top w:val="single" w:sz="4" w:space="0" w:color="1F497D"/>
          <w:bottom w:val="single" w:sz="4" w:space="0" w:color="1F497D"/>
          <w:insideH w:val="single" w:sz="4" w:space="0" w:color="1F497D"/>
          <w:insideV w:val="single" w:sz="4" w:space="0" w:color="1F497D"/>
        </w:tblBorders>
        <w:tblLayout w:type="fixed"/>
        <w:tblLook w:val="0420" w:firstRow="1" w:lastRow="0" w:firstColumn="0" w:lastColumn="0" w:noHBand="0" w:noVBand="1"/>
      </w:tblPr>
      <w:tblGrid>
        <w:gridCol w:w="3795"/>
        <w:gridCol w:w="1671"/>
        <w:gridCol w:w="1519"/>
        <w:gridCol w:w="1577"/>
      </w:tblGrid>
      <w:tr w:rsidR="00E20138" w:rsidRPr="00D9348B" w14:paraId="1D47D26B" w14:textId="77777777" w:rsidTr="00DB330E">
        <w:trPr>
          <w:cantSplit/>
          <w:tblHeader/>
        </w:trPr>
        <w:tc>
          <w:tcPr>
            <w:tcW w:w="2216" w:type="pct"/>
            <w:tcBorders>
              <w:right w:val="single" w:sz="4" w:space="0" w:color="365F91"/>
            </w:tcBorders>
            <w:shd w:val="clear" w:color="auto" w:fill="365F91"/>
            <w:noWrap/>
            <w:vAlign w:val="bottom"/>
            <w:hideMark/>
          </w:tcPr>
          <w:p w14:paraId="07EDBEFE" w14:textId="77777777" w:rsidR="00E20138" w:rsidRPr="00D9348B" w:rsidRDefault="00E20138" w:rsidP="00DB330E">
            <w:pPr>
              <w:pStyle w:val="TableTextBold"/>
              <w:rPr>
                <w:rFonts w:cs="Calibri"/>
                <w:noProof w:val="0"/>
                <w:color w:val="FFFFFF"/>
              </w:rPr>
            </w:pPr>
          </w:p>
        </w:tc>
        <w:tc>
          <w:tcPr>
            <w:tcW w:w="976" w:type="pct"/>
            <w:tcBorders>
              <w:top w:val="single" w:sz="4" w:space="0" w:color="365F91"/>
              <w:left w:val="single" w:sz="4" w:space="0" w:color="365F91"/>
              <w:bottom w:val="single" w:sz="4" w:space="0" w:color="365F91"/>
              <w:right w:val="single" w:sz="4" w:space="0" w:color="365F91"/>
            </w:tcBorders>
            <w:shd w:val="clear" w:color="auto" w:fill="365F91"/>
            <w:noWrap/>
            <w:vAlign w:val="bottom"/>
            <w:hideMark/>
          </w:tcPr>
          <w:p w14:paraId="46C4C614" w14:textId="77777777" w:rsidR="00E20138" w:rsidRPr="00D9348B" w:rsidRDefault="00E20138" w:rsidP="00DB330E">
            <w:pPr>
              <w:pStyle w:val="TableTextBold"/>
              <w:rPr>
                <w:rFonts w:cs="Calibri"/>
                <w:noProof w:val="0"/>
                <w:color w:val="FFFFFF"/>
              </w:rPr>
            </w:pPr>
            <w:r w:rsidRPr="00D9348B">
              <w:rPr>
                <w:rFonts w:cs="Calibri"/>
                <w:noProof w:val="0"/>
                <w:color w:val="FFFFFF"/>
              </w:rPr>
              <w:t>Liquid fuels</w:t>
            </w:r>
          </w:p>
        </w:tc>
        <w:tc>
          <w:tcPr>
            <w:tcW w:w="887" w:type="pct"/>
            <w:tcBorders>
              <w:top w:val="single" w:sz="4" w:space="0" w:color="365F91"/>
              <w:left w:val="single" w:sz="4" w:space="0" w:color="365F91"/>
              <w:bottom w:val="single" w:sz="4" w:space="0" w:color="365F91"/>
              <w:right w:val="single" w:sz="4" w:space="0" w:color="365F91"/>
            </w:tcBorders>
            <w:shd w:val="clear" w:color="auto" w:fill="365F91"/>
            <w:vAlign w:val="bottom"/>
            <w:hideMark/>
          </w:tcPr>
          <w:p w14:paraId="05EFC2C3" w14:textId="77777777" w:rsidR="00E20138" w:rsidRPr="00D9348B" w:rsidRDefault="00E20138" w:rsidP="00DB330E">
            <w:pPr>
              <w:pStyle w:val="TableTextBold"/>
              <w:rPr>
                <w:rFonts w:cs="Calibri"/>
                <w:noProof w:val="0"/>
                <w:color w:val="FFFFFF"/>
              </w:rPr>
            </w:pPr>
            <w:r w:rsidRPr="00D9348B">
              <w:rPr>
                <w:rFonts w:cs="Calibri"/>
                <w:noProof w:val="0"/>
                <w:color w:val="FFFFFF"/>
              </w:rPr>
              <w:t>Solid fuels</w:t>
            </w:r>
          </w:p>
        </w:tc>
        <w:tc>
          <w:tcPr>
            <w:tcW w:w="921" w:type="pct"/>
            <w:tcBorders>
              <w:left w:val="single" w:sz="4" w:space="0" w:color="365F91"/>
            </w:tcBorders>
            <w:shd w:val="clear" w:color="auto" w:fill="365F91"/>
            <w:vAlign w:val="bottom"/>
            <w:hideMark/>
          </w:tcPr>
          <w:p w14:paraId="5A0F6FFB" w14:textId="77777777" w:rsidR="00E20138" w:rsidRPr="00D9348B" w:rsidRDefault="00E20138" w:rsidP="00DB330E">
            <w:pPr>
              <w:pStyle w:val="TableTextBold"/>
              <w:rPr>
                <w:rFonts w:cs="Calibri"/>
                <w:noProof w:val="0"/>
                <w:color w:val="FFFFFF"/>
              </w:rPr>
            </w:pPr>
            <w:r w:rsidRPr="00D9348B">
              <w:rPr>
                <w:rFonts w:cs="Calibri"/>
                <w:noProof w:val="0"/>
                <w:color w:val="FFFFFF"/>
              </w:rPr>
              <w:t>Gaseous fuels</w:t>
            </w:r>
          </w:p>
        </w:tc>
      </w:tr>
      <w:tr w:rsidR="00E20138" w:rsidRPr="00D9348B" w14:paraId="33FFAA15" w14:textId="77777777" w:rsidTr="00DB330E">
        <w:trPr>
          <w:cantSplit/>
        </w:trPr>
        <w:tc>
          <w:tcPr>
            <w:tcW w:w="2216" w:type="pct"/>
            <w:tcBorders>
              <w:right w:val="single" w:sz="4" w:space="0" w:color="365F91"/>
            </w:tcBorders>
            <w:shd w:val="clear" w:color="auto" w:fill="auto"/>
            <w:noWrap/>
            <w:hideMark/>
          </w:tcPr>
          <w:p w14:paraId="67600B5D" w14:textId="77777777" w:rsidR="00E20138" w:rsidRPr="00D9348B" w:rsidRDefault="00E20138" w:rsidP="00DB330E">
            <w:pPr>
              <w:pStyle w:val="TableText"/>
              <w:spacing w:before="50" w:after="50"/>
              <w:rPr>
                <w:rFonts w:cs="Calibri"/>
              </w:rPr>
            </w:pPr>
            <w:r w:rsidRPr="00D9348B">
              <w:rPr>
                <w:rFonts w:cs="Calibri"/>
              </w:rPr>
              <w:t>Domestic Aviation – CO</w:t>
            </w:r>
            <w:r w:rsidRPr="00D9348B">
              <w:rPr>
                <w:rFonts w:cs="Calibri"/>
                <w:vertAlign w:val="subscript"/>
              </w:rPr>
              <w:t>2</w:t>
            </w:r>
          </w:p>
        </w:tc>
        <w:tc>
          <w:tcPr>
            <w:tcW w:w="976" w:type="pct"/>
            <w:tcBorders>
              <w:top w:val="single" w:sz="4" w:space="0" w:color="365F91"/>
              <w:left w:val="single" w:sz="4" w:space="0" w:color="365F91"/>
              <w:bottom w:val="single" w:sz="4" w:space="0" w:color="365F91"/>
              <w:right w:val="single" w:sz="4" w:space="0" w:color="365F91"/>
            </w:tcBorders>
            <w:shd w:val="clear" w:color="auto" w:fill="auto"/>
            <w:noWrap/>
            <w:hideMark/>
          </w:tcPr>
          <w:p w14:paraId="6AA0ED56" w14:textId="77777777" w:rsidR="00E20138" w:rsidRPr="00D9348B" w:rsidRDefault="00E20138" w:rsidP="00DB330E">
            <w:pPr>
              <w:pStyle w:val="TableText"/>
              <w:spacing w:before="50" w:after="50"/>
              <w:rPr>
                <w:rFonts w:cs="Calibri"/>
              </w:rPr>
            </w:pPr>
            <w:r w:rsidRPr="00D9348B">
              <w:rPr>
                <w:rFonts w:cs="Calibri"/>
              </w:rPr>
              <w:t>Level, trend</w:t>
            </w:r>
          </w:p>
        </w:tc>
        <w:tc>
          <w:tcPr>
            <w:tcW w:w="887" w:type="pct"/>
            <w:tcBorders>
              <w:top w:val="single" w:sz="4" w:space="0" w:color="365F91"/>
              <w:left w:val="single" w:sz="4" w:space="0" w:color="365F91"/>
              <w:bottom w:val="single" w:sz="4" w:space="0" w:color="365F91"/>
              <w:right w:val="single" w:sz="4" w:space="0" w:color="365F91"/>
            </w:tcBorders>
            <w:shd w:val="clear" w:color="auto" w:fill="auto"/>
            <w:noWrap/>
            <w:hideMark/>
          </w:tcPr>
          <w:p w14:paraId="3ABDF46E" w14:textId="77777777" w:rsidR="00E20138" w:rsidRPr="00D9348B" w:rsidRDefault="00E20138" w:rsidP="00DB330E">
            <w:pPr>
              <w:pStyle w:val="TableText"/>
              <w:spacing w:before="50" w:after="50"/>
              <w:rPr>
                <w:rFonts w:cs="Calibri"/>
              </w:rPr>
            </w:pPr>
          </w:p>
        </w:tc>
        <w:tc>
          <w:tcPr>
            <w:tcW w:w="921" w:type="pct"/>
            <w:tcBorders>
              <w:left w:val="single" w:sz="4" w:space="0" w:color="365F91"/>
            </w:tcBorders>
            <w:shd w:val="clear" w:color="auto" w:fill="auto"/>
            <w:noWrap/>
            <w:hideMark/>
          </w:tcPr>
          <w:p w14:paraId="2456E0ED" w14:textId="77777777" w:rsidR="00E20138" w:rsidRPr="00D9348B" w:rsidRDefault="00E20138" w:rsidP="00DB330E">
            <w:pPr>
              <w:pStyle w:val="TableText"/>
              <w:spacing w:before="50" w:after="50"/>
              <w:rPr>
                <w:rFonts w:cs="Calibri"/>
              </w:rPr>
            </w:pPr>
          </w:p>
        </w:tc>
      </w:tr>
      <w:tr w:rsidR="00E20138" w:rsidRPr="00D9348B" w14:paraId="67DFC9FC" w14:textId="77777777" w:rsidTr="00DB330E">
        <w:trPr>
          <w:cantSplit/>
        </w:trPr>
        <w:tc>
          <w:tcPr>
            <w:tcW w:w="2216" w:type="pct"/>
            <w:tcBorders>
              <w:right w:val="single" w:sz="4" w:space="0" w:color="365F91"/>
            </w:tcBorders>
            <w:shd w:val="clear" w:color="auto" w:fill="auto"/>
            <w:noWrap/>
            <w:hideMark/>
          </w:tcPr>
          <w:p w14:paraId="722CB421" w14:textId="77777777" w:rsidR="00E20138" w:rsidRPr="00D9348B" w:rsidRDefault="00E20138" w:rsidP="00DB330E">
            <w:pPr>
              <w:pStyle w:val="TableText"/>
              <w:spacing w:before="50" w:after="50"/>
              <w:rPr>
                <w:rFonts w:cs="Calibri"/>
              </w:rPr>
            </w:pPr>
            <w:r w:rsidRPr="00D9348B">
              <w:rPr>
                <w:rFonts w:cs="Calibri"/>
              </w:rPr>
              <w:t>Road Transportation – CO</w:t>
            </w:r>
            <w:r w:rsidRPr="00D9348B">
              <w:rPr>
                <w:rFonts w:cs="Calibri"/>
                <w:vertAlign w:val="subscript"/>
              </w:rPr>
              <w:t>2</w:t>
            </w:r>
          </w:p>
        </w:tc>
        <w:tc>
          <w:tcPr>
            <w:tcW w:w="976" w:type="pct"/>
            <w:tcBorders>
              <w:top w:val="single" w:sz="4" w:space="0" w:color="365F91"/>
              <w:left w:val="single" w:sz="4" w:space="0" w:color="365F91"/>
              <w:bottom w:val="single" w:sz="4" w:space="0" w:color="365F91"/>
              <w:right w:val="single" w:sz="4" w:space="0" w:color="365F91"/>
            </w:tcBorders>
            <w:shd w:val="clear" w:color="auto" w:fill="auto"/>
            <w:noWrap/>
            <w:hideMark/>
          </w:tcPr>
          <w:p w14:paraId="38074149" w14:textId="77777777" w:rsidR="00E20138" w:rsidRPr="00D9348B" w:rsidRDefault="00E20138" w:rsidP="00DB330E">
            <w:pPr>
              <w:pStyle w:val="TableText"/>
              <w:spacing w:before="50" w:after="50"/>
              <w:rPr>
                <w:rFonts w:cs="Calibri"/>
              </w:rPr>
            </w:pPr>
            <w:r w:rsidRPr="00D9348B">
              <w:rPr>
                <w:rFonts w:cs="Calibri"/>
              </w:rPr>
              <w:t>Level, trend</w:t>
            </w:r>
          </w:p>
        </w:tc>
        <w:tc>
          <w:tcPr>
            <w:tcW w:w="887" w:type="pct"/>
            <w:tcBorders>
              <w:top w:val="single" w:sz="4" w:space="0" w:color="365F91"/>
              <w:left w:val="single" w:sz="4" w:space="0" w:color="365F91"/>
              <w:bottom w:val="single" w:sz="4" w:space="0" w:color="365F91"/>
              <w:right w:val="single" w:sz="4" w:space="0" w:color="365F91"/>
            </w:tcBorders>
            <w:shd w:val="clear" w:color="auto" w:fill="auto"/>
            <w:noWrap/>
          </w:tcPr>
          <w:p w14:paraId="09606B8F" w14:textId="77777777" w:rsidR="00E20138" w:rsidRPr="00D9348B" w:rsidRDefault="00E20138" w:rsidP="00DB330E">
            <w:pPr>
              <w:pStyle w:val="TableText"/>
              <w:spacing w:before="50" w:after="50"/>
              <w:jc w:val="center"/>
              <w:rPr>
                <w:rFonts w:cs="Calibri"/>
              </w:rPr>
            </w:pPr>
          </w:p>
        </w:tc>
        <w:tc>
          <w:tcPr>
            <w:tcW w:w="921" w:type="pct"/>
            <w:tcBorders>
              <w:left w:val="single" w:sz="4" w:space="0" w:color="365F91"/>
            </w:tcBorders>
            <w:shd w:val="clear" w:color="auto" w:fill="auto"/>
            <w:noWrap/>
            <w:hideMark/>
          </w:tcPr>
          <w:p w14:paraId="530AFEDA" w14:textId="77777777" w:rsidR="00E20138" w:rsidRPr="00D9348B" w:rsidRDefault="00E20138" w:rsidP="00DB330E">
            <w:pPr>
              <w:pStyle w:val="TableText"/>
              <w:spacing w:before="50" w:after="50"/>
              <w:rPr>
                <w:rFonts w:cs="Calibri"/>
              </w:rPr>
            </w:pPr>
            <w:r w:rsidRPr="00D9348B">
              <w:rPr>
                <w:rFonts w:cs="Calibri"/>
              </w:rPr>
              <w:t>Trend</w:t>
            </w:r>
          </w:p>
        </w:tc>
      </w:tr>
      <w:tr w:rsidR="00E20138" w:rsidRPr="00D9348B" w14:paraId="342BDFA6" w14:textId="77777777" w:rsidTr="00DB330E">
        <w:trPr>
          <w:cantSplit/>
        </w:trPr>
        <w:tc>
          <w:tcPr>
            <w:tcW w:w="2216" w:type="pct"/>
            <w:tcBorders>
              <w:right w:val="single" w:sz="4" w:space="0" w:color="365F91"/>
            </w:tcBorders>
            <w:shd w:val="clear" w:color="auto" w:fill="auto"/>
            <w:noWrap/>
          </w:tcPr>
          <w:p w14:paraId="0F54ABC1" w14:textId="77777777" w:rsidR="00E20138" w:rsidRPr="00D9348B" w:rsidRDefault="00E20138" w:rsidP="00DB330E">
            <w:pPr>
              <w:pStyle w:val="TableText"/>
              <w:spacing w:before="50" w:after="50"/>
              <w:rPr>
                <w:rFonts w:cs="Calibri"/>
              </w:rPr>
            </w:pPr>
            <w:r w:rsidRPr="00D9348B">
              <w:rPr>
                <w:rFonts w:cs="Calibri"/>
              </w:rPr>
              <w:t>Domestic Navigation – CO</w:t>
            </w:r>
            <w:r w:rsidRPr="00D9348B">
              <w:rPr>
                <w:rFonts w:cs="Calibri"/>
                <w:vertAlign w:val="subscript"/>
              </w:rPr>
              <w:t>2</w:t>
            </w:r>
          </w:p>
        </w:tc>
        <w:tc>
          <w:tcPr>
            <w:tcW w:w="976" w:type="pct"/>
            <w:tcBorders>
              <w:top w:val="single" w:sz="4" w:space="0" w:color="365F91"/>
              <w:left w:val="single" w:sz="4" w:space="0" w:color="365F91"/>
              <w:bottom w:val="single" w:sz="4" w:space="0" w:color="365F91"/>
              <w:right w:val="single" w:sz="4" w:space="0" w:color="365F91"/>
            </w:tcBorders>
            <w:shd w:val="clear" w:color="auto" w:fill="auto"/>
            <w:noWrap/>
          </w:tcPr>
          <w:p w14:paraId="3E4DD179" w14:textId="77777777" w:rsidR="00E20138" w:rsidRPr="00D9348B" w:rsidRDefault="00E20138" w:rsidP="00DB330E">
            <w:pPr>
              <w:pStyle w:val="TableText"/>
              <w:spacing w:before="50" w:after="50"/>
              <w:rPr>
                <w:rFonts w:cs="Calibri"/>
              </w:rPr>
            </w:pPr>
            <w:r w:rsidRPr="00D9348B">
              <w:rPr>
                <w:rFonts w:cs="Calibri"/>
              </w:rPr>
              <w:t>Level</w:t>
            </w:r>
          </w:p>
        </w:tc>
        <w:tc>
          <w:tcPr>
            <w:tcW w:w="887" w:type="pct"/>
            <w:tcBorders>
              <w:top w:val="single" w:sz="4" w:space="0" w:color="365F91"/>
              <w:left w:val="single" w:sz="4" w:space="0" w:color="365F91"/>
              <w:bottom w:val="single" w:sz="4" w:space="0" w:color="365F91"/>
              <w:right w:val="single" w:sz="4" w:space="0" w:color="365F91"/>
            </w:tcBorders>
            <w:shd w:val="clear" w:color="auto" w:fill="auto"/>
            <w:noWrap/>
          </w:tcPr>
          <w:p w14:paraId="4A69D7F0" w14:textId="77777777" w:rsidR="00E20138" w:rsidRPr="00D9348B" w:rsidRDefault="00E20138" w:rsidP="00DB330E">
            <w:pPr>
              <w:pStyle w:val="TableText"/>
              <w:spacing w:before="50" w:after="50"/>
              <w:jc w:val="center"/>
              <w:rPr>
                <w:rFonts w:cs="Calibri"/>
              </w:rPr>
            </w:pPr>
          </w:p>
        </w:tc>
        <w:tc>
          <w:tcPr>
            <w:tcW w:w="921" w:type="pct"/>
            <w:tcBorders>
              <w:left w:val="single" w:sz="4" w:space="0" w:color="365F91"/>
            </w:tcBorders>
            <w:shd w:val="clear" w:color="auto" w:fill="auto"/>
            <w:noWrap/>
          </w:tcPr>
          <w:p w14:paraId="598DE8E1" w14:textId="77777777" w:rsidR="00E20138" w:rsidRPr="00D9348B" w:rsidRDefault="00E20138" w:rsidP="00DB330E">
            <w:pPr>
              <w:pStyle w:val="TableText"/>
              <w:spacing w:before="50" w:after="50"/>
              <w:rPr>
                <w:rFonts w:cs="Calibri"/>
              </w:rPr>
            </w:pPr>
          </w:p>
        </w:tc>
      </w:tr>
    </w:tbl>
    <w:p w14:paraId="122FA9F7" w14:textId="77777777" w:rsidR="00E20138" w:rsidRPr="00D9348B" w:rsidRDefault="00E20138" w:rsidP="00865BDB">
      <w:pPr>
        <w:pStyle w:val="Heading4"/>
        <w:rPr>
          <w:lang w:eastAsia="en-GB"/>
        </w:rPr>
      </w:pPr>
      <w:r w:rsidRPr="00D9348B">
        <w:rPr>
          <w:lang w:eastAsia="en-GB"/>
        </w:rPr>
        <w:lastRenderedPageBreak/>
        <w:t>Methodological issues</w:t>
      </w:r>
    </w:p>
    <w:p w14:paraId="49982738" w14:textId="77777777" w:rsidR="00E20138" w:rsidRPr="00D9348B" w:rsidRDefault="00E20138" w:rsidP="00E20138">
      <w:pPr>
        <w:pStyle w:val="Heading5"/>
        <w:spacing w:before="120"/>
        <w:rPr>
          <w:rFonts w:cs="Calibri"/>
        </w:rPr>
      </w:pPr>
      <w:proofErr w:type="gramStart"/>
      <w:r w:rsidRPr="00D9348B">
        <w:rPr>
          <w:rFonts w:cs="Calibri"/>
          <w:lang w:eastAsia="en-GB"/>
        </w:rPr>
        <w:t>1.A.3.a</w:t>
      </w:r>
      <w:proofErr w:type="gramEnd"/>
      <w:r w:rsidRPr="00D9348B">
        <w:rPr>
          <w:rFonts w:cs="Calibri"/>
          <w:lang w:eastAsia="en-GB"/>
        </w:rPr>
        <w:t xml:space="preserve"> </w:t>
      </w:r>
      <w:r w:rsidRPr="00D9348B">
        <w:rPr>
          <w:rFonts w:cs="Calibri"/>
        </w:rPr>
        <w:t>Civil</w:t>
      </w:r>
      <w:r w:rsidRPr="00D9348B">
        <w:rPr>
          <w:rFonts w:cs="Calibri"/>
          <w:lang w:eastAsia="en-GB"/>
        </w:rPr>
        <w:t xml:space="preserve"> aviation</w:t>
      </w:r>
    </w:p>
    <w:p w14:paraId="6D257BEA" w14:textId="77777777" w:rsidR="00E20138" w:rsidRPr="00D9348B" w:rsidRDefault="00E20138" w:rsidP="00E20138">
      <w:pPr>
        <w:pStyle w:val="BodyText"/>
        <w:spacing w:before="100" w:after="100"/>
        <w:rPr>
          <w:rFonts w:cs="Calibri"/>
          <w:lang w:eastAsia="en-GB"/>
        </w:rPr>
      </w:pPr>
      <w:r w:rsidRPr="00D9348B">
        <w:rPr>
          <w:rFonts w:cs="Calibri"/>
          <w:lang w:eastAsia="en-GB"/>
        </w:rPr>
        <w:t xml:space="preserve">A Tier 1 approach (IPCC, 2006) that does not use landing and take-off cycles has been taken to estimate emissions from the </w:t>
      </w:r>
      <w:proofErr w:type="gramStart"/>
      <w:r w:rsidRPr="00D9348B">
        <w:rPr>
          <w:rFonts w:cs="Calibri"/>
          <w:i/>
          <w:lang w:eastAsia="en-GB"/>
        </w:rPr>
        <w:t>Civil</w:t>
      </w:r>
      <w:proofErr w:type="gramEnd"/>
      <w:r w:rsidRPr="00D9348B">
        <w:rPr>
          <w:rFonts w:cs="Calibri"/>
          <w:i/>
          <w:lang w:eastAsia="en-GB"/>
        </w:rPr>
        <w:t xml:space="preserve"> aviation</w:t>
      </w:r>
      <w:r w:rsidRPr="00D9348B">
        <w:rPr>
          <w:rFonts w:cs="Calibri"/>
          <w:lang w:eastAsia="en-GB"/>
        </w:rPr>
        <w:t xml:space="preserve"> category. Given the uncertainty surrounding </w:t>
      </w:r>
      <w:r w:rsidRPr="00D9348B">
        <w:rPr>
          <w:rFonts w:cs="Calibri"/>
        </w:rPr>
        <w:t>CH</w:t>
      </w:r>
      <w:r w:rsidRPr="00D9348B">
        <w:rPr>
          <w:rFonts w:cs="Calibri"/>
          <w:vertAlign w:val="subscript"/>
        </w:rPr>
        <w:t>4</w:t>
      </w:r>
      <w:r w:rsidRPr="00D9348B">
        <w:rPr>
          <w:rFonts w:cs="Calibri"/>
          <w:lang w:eastAsia="en-GB"/>
        </w:rPr>
        <w:t xml:space="preserve"> and </w:t>
      </w:r>
      <w:r w:rsidRPr="00D9348B">
        <w:rPr>
          <w:rFonts w:cs="Calibri"/>
        </w:rPr>
        <w:t>N</w:t>
      </w:r>
      <w:r w:rsidRPr="00D9348B">
        <w:rPr>
          <w:rFonts w:cs="Calibri"/>
          <w:vertAlign w:val="subscript"/>
        </w:rPr>
        <w:t>2</w:t>
      </w:r>
      <w:r w:rsidRPr="00D9348B">
        <w:rPr>
          <w:rFonts w:cs="Calibri"/>
        </w:rPr>
        <w:t>O</w:t>
      </w:r>
      <w:r w:rsidRPr="00D9348B">
        <w:rPr>
          <w:rFonts w:cs="Calibri"/>
          <w:lang w:eastAsia="en-GB"/>
        </w:rPr>
        <w:t xml:space="preserve"> emission factors for landing and take-off cycles, a Tier 2 approach to estimating non-CO</w:t>
      </w:r>
      <w:r w:rsidRPr="00D9348B">
        <w:rPr>
          <w:rFonts w:cs="Calibri"/>
          <w:vertAlign w:val="subscript"/>
          <w:lang w:eastAsia="en-GB"/>
        </w:rPr>
        <w:t>2</w:t>
      </w:r>
      <w:r w:rsidRPr="00D9348B">
        <w:rPr>
          <w:rFonts w:cs="Calibri"/>
          <w:lang w:eastAsia="en-GB"/>
        </w:rPr>
        <w:t xml:space="preserve"> emissions would not necessarily reduce uncertainty (IPCC, 2006).</w:t>
      </w:r>
    </w:p>
    <w:p w14:paraId="520FA16A" w14:textId="77777777" w:rsidR="00E20138" w:rsidRPr="00D9348B" w:rsidRDefault="00E20138" w:rsidP="00E20138">
      <w:pPr>
        <w:pStyle w:val="Heading5"/>
        <w:rPr>
          <w:rFonts w:cs="Calibri"/>
          <w:lang w:eastAsia="en-GB"/>
        </w:rPr>
      </w:pPr>
      <w:proofErr w:type="gramStart"/>
      <w:r w:rsidRPr="00D9348B">
        <w:rPr>
          <w:rFonts w:cs="Calibri"/>
          <w:szCs w:val="22"/>
        </w:rPr>
        <w:t>1.A.3.b</w:t>
      </w:r>
      <w:proofErr w:type="gramEnd"/>
      <w:r w:rsidRPr="00D9348B">
        <w:rPr>
          <w:rFonts w:cs="Calibri"/>
          <w:szCs w:val="22"/>
        </w:rPr>
        <w:t xml:space="preserve"> </w:t>
      </w:r>
      <w:r w:rsidRPr="00D9348B">
        <w:rPr>
          <w:rFonts w:cs="Calibri"/>
          <w:lang w:eastAsia="en-GB"/>
        </w:rPr>
        <w:t xml:space="preserve">Road </w:t>
      </w:r>
      <w:r w:rsidRPr="00D9348B">
        <w:rPr>
          <w:rFonts w:cs="Calibri"/>
        </w:rPr>
        <w:t>transportation</w:t>
      </w:r>
    </w:p>
    <w:p w14:paraId="3CB03E71" w14:textId="77777777" w:rsidR="00E20138" w:rsidRPr="00D9348B" w:rsidRDefault="00E20138" w:rsidP="00E20138">
      <w:pPr>
        <w:pStyle w:val="BodyText"/>
        <w:spacing w:after="100"/>
        <w:rPr>
          <w:rFonts w:cs="Calibri"/>
          <w:lang w:eastAsia="en-GB"/>
        </w:rPr>
      </w:pPr>
      <w:r w:rsidRPr="00D9348B">
        <w:rPr>
          <w:rFonts w:cs="Calibri"/>
          <w:lang w:eastAsia="en-GB"/>
        </w:rPr>
        <w:t xml:space="preserve">The IPCC 2006 Tier 2 approach was used to calculate </w:t>
      </w:r>
      <w:r w:rsidRPr="00D9348B">
        <w:rPr>
          <w:rFonts w:cs="Calibri"/>
        </w:rPr>
        <w:t>CO</w:t>
      </w:r>
      <w:r w:rsidRPr="00D9348B">
        <w:rPr>
          <w:rFonts w:cs="Calibri"/>
          <w:vertAlign w:val="subscript"/>
        </w:rPr>
        <w:t>2</w:t>
      </w:r>
      <w:r w:rsidRPr="00D9348B">
        <w:rPr>
          <w:rFonts w:cs="Calibri"/>
          <w:sz w:val="14"/>
          <w:szCs w:val="14"/>
          <w:lang w:eastAsia="en-GB"/>
        </w:rPr>
        <w:t xml:space="preserve"> </w:t>
      </w:r>
      <w:r w:rsidRPr="00D9348B">
        <w:rPr>
          <w:rFonts w:cs="Calibri"/>
          <w:lang w:eastAsia="en-GB"/>
        </w:rPr>
        <w:t xml:space="preserve">emissions from </w:t>
      </w:r>
      <w:r w:rsidRPr="00D9348B">
        <w:rPr>
          <w:rFonts w:cs="Calibri"/>
          <w:i/>
          <w:lang w:eastAsia="en-GB"/>
        </w:rPr>
        <w:t>Road transportation</w:t>
      </w:r>
      <w:r w:rsidRPr="00D9348B">
        <w:rPr>
          <w:rFonts w:cs="Calibri"/>
          <w:lang w:eastAsia="en-GB"/>
        </w:rPr>
        <w:t xml:space="preserve"> using New Zealand-specific emission factors. The emission factors were calculated using data provided by New Zealand’s sole oil refinery for oil products and the weighted average emission factor of New Zealand </w:t>
      </w:r>
      <w:r w:rsidRPr="00D9348B">
        <w:rPr>
          <w:rFonts w:cs="Calibri"/>
        </w:rPr>
        <w:t xml:space="preserve">natural </w:t>
      </w:r>
      <w:r w:rsidRPr="00D9348B">
        <w:rPr>
          <w:rFonts w:cs="Calibri"/>
          <w:lang w:eastAsia="en-GB"/>
        </w:rPr>
        <w:t xml:space="preserve">gas fields for compressed natural gas (CNG). </w:t>
      </w:r>
    </w:p>
    <w:p w14:paraId="50585436" w14:textId="77777777" w:rsidR="00E20138" w:rsidRPr="00D9348B" w:rsidRDefault="00E20138" w:rsidP="00E20138">
      <w:pPr>
        <w:pStyle w:val="BodyText"/>
        <w:spacing w:after="100"/>
        <w:rPr>
          <w:rFonts w:cs="Calibri"/>
          <w:lang w:eastAsia="en-GB"/>
        </w:rPr>
      </w:pPr>
      <w:r w:rsidRPr="00D9348B">
        <w:rPr>
          <w:rFonts w:cs="Calibri"/>
          <w:lang w:eastAsia="en-GB"/>
        </w:rPr>
        <w:t xml:space="preserve">Since the 2012 submission, New Zealand has used a Tier 3 (IPCC, 2006) methodology to estimate </w:t>
      </w:r>
      <w:r w:rsidRPr="00D9348B">
        <w:rPr>
          <w:rFonts w:cs="Calibri"/>
        </w:rPr>
        <w:t>CH</w:t>
      </w:r>
      <w:r w:rsidRPr="00D9348B">
        <w:rPr>
          <w:rFonts w:cs="Calibri"/>
          <w:vertAlign w:val="subscript"/>
        </w:rPr>
        <w:t>4</w:t>
      </w:r>
      <w:r w:rsidRPr="00D9348B">
        <w:rPr>
          <w:rFonts w:cs="Calibri"/>
          <w:lang w:eastAsia="en-GB"/>
        </w:rPr>
        <w:t xml:space="preserve"> and </w:t>
      </w:r>
      <w:r w:rsidRPr="00D9348B">
        <w:rPr>
          <w:rFonts w:cs="Calibri"/>
        </w:rPr>
        <w:t>N</w:t>
      </w:r>
      <w:r w:rsidRPr="00D9348B">
        <w:rPr>
          <w:rFonts w:cs="Calibri"/>
          <w:vertAlign w:val="subscript"/>
        </w:rPr>
        <w:t>2</w:t>
      </w:r>
      <w:r w:rsidRPr="00D9348B">
        <w:rPr>
          <w:rFonts w:cs="Calibri"/>
        </w:rPr>
        <w:t>O</w:t>
      </w:r>
      <w:r w:rsidRPr="00D9348B">
        <w:rPr>
          <w:rFonts w:cs="Calibri"/>
          <w:lang w:eastAsia="en-GB"/>
        </w:rPr>
        <w:t xml:space="preserve"> emissions from road transport. Data collected by New Zealand’s Ministry of Transport provide comprehensive information on vehicle-kilometres-travelled by vehicle class and fuel type from 2001–</w:t>
      </w:r>
      <w:r w:rsidRPr="00D9348B">
        <w:rPr>
          <w:rFonts w:cs="Calibri"/>
        </w:rPr>
        <w:t>16</w:t>
      </w:r>
      <w:r w:rsidRPr="00D9348B">
        <w:rPr>
          <w:rFonts w:cs="Calibri"/>
          <w:lang w:eastAsia="en-GB"/>
        </w:rPr>
        <w:t>. Before 2001, insufficient data were available, so good practice guidance was used in choosing the splicing method to ensure time-series consistency.</w:t>
      </w:r>
    </w:p>
    <w:p w14:paraId="67A36951" w14:textId="77777777" w:rsidR="00E20138" w:rsidRPr="00D9348B" w:rsidRDefault="00E20138" w:rsidP="00E20138">
      <w:pPr>
        <w:pStyle w:val="BodyText"/>
        <w:spacing w:after="100"/>
        <w:rPr>
          <w:rFonts w:cs="Calibri"/>
        </w:rPr>
      </w:pPr>
      <w:r w:rsidRPr="00D9348B">
        <w:rPr>
          <w:rFonts w:cs="Calibri"/>
        </w:rPr>
        <w:t>The current New Zealand vehicle fleet is split evenly between vehicles:</w:t>
      </w:r>
    </w:p>
    <w:p w14:paraId="030C3021" w14:textId="77777777" w:rsidR="00E20138" w:rsidRPr="00D9348B" w:rsidRDefault="00E20138" w:rsidP="00E20138">
      <w:pPr>
        <w:pStyle w:val="Bullet"/>
        <w:tabs>
          <w:tab w:val="clear" w:pos="567"/>
        </w:tabs>
        <w:rPr>
          <w:rFonts w:cs="Calibri"/>
        </w:rPr>
      </w:pPr>
      <w:r w:rsidRPr="00D9348B">
        <w:rPr>
          <w:rFonts w:cs="Calibri"/>
        </w:rPr>
        <w:t>manufactured in New Zealand</w:t>
      </w:r>
      <w:r w:rsidRPr="00D9348B">
        <w:rPr>
          <w:rFonts w:cs="Calibri"/>
          <w:vertAlign w:val="superscript"/>
        </w:rPr>
        <w:footnoteReference w:id="36"/>
      </w:r>
      <w:r w:rsidRPr="00D9348B">
        <w:rPr>
          <w:rFonts w:cs="Calibri"/>
        </w:rPr>
        <w:t xml:space="preserve"> or imported for sale as new vehicles</w:t>
      </w:r>
    </w:p>
    <w:p w14:paraId="059F2474" w14:textId="77777777" w:rsidR="00E20138" w:rsidRPr="00D9348B" w:rsidRDefault="00E20138" w:rsidP="00E20138">
      <w:pPr>
        <w:pStyle w:val="Bullet"/>
        <w:tabs>
          <w:tab w:val="clear" w:pos="567"/>
        </w:tabs>
        <w:rPr>
          <w:rFonts w:cs="Calibri"/>
        </w:rPr>
      </w:pPr>
      <w:proofErr w:type="gramStart"/>
      <w:r w:rsidRPr="00D9348B">
        <w:rPr>
          <w:rFonts w:cs="Calibri"/>
        </w:rPr>
        <w:t>produced</w:t>
      </w:r>
      <w:proofErr w:type="gramEnd"/>
      <w:r w:rsidRPr="00D9348B">
        <w:rPr>
          <w:rFonts w:cs="Calibri"/>
        </w:rPr>
        <w:t xml:space="preserve"> and used in Japan and then imported into New Zealand.</w:t>
      </w:r>
    </w:p>
    <w:p w14:paraId="45462E0A" w14:textId="77777777" w:rsidR="00E20138" w:rsidRPr="00D9348B" w:rsidRDefault="00E20138" w:rsidP="00E20138">
      <w:pPr>
        <w:pStyle w:val="BodyText"/>
        <w:spacing w:after="100"/>
        <w:rPr>
          <w:rFonts w:cs="Calibri"/>
        </w:rPr>
      </w:pPr>
      <w:r w:rsidRPr="00D9348B">
        <w:rPr>
          <w:rFonts w:cs="Calibri"/>
        </w:rPr>
        <w:t>This split has been relatively constant for the past eight years.</w:t>
      </w:r>
    </w:p>
    <w:p w14:paraId="3061136F" w14:textId="77777777" w:rsidR="00E20138" w:rsidRPr="00D9348B" w:rsidRDefault="00E20138" w:rsidP="00E20138">
      <w:pPr>
        <w:pStyle w:val="BodyText"/>
        <w:spacing w:after="100"/>
        <w:rPr>
          <w:rFonts w:cs="Calibri"/>
        </w:rPr>
      </w:pPr>
      <w:r w:rsidRPr="00D9348B">
        <w:rPr>
          <w:rFonts w:cs="Calibri"/>
        </w:rPr>
        <w:t>For this reason, when estimating emissions from road transport, the New Zealand vehicle fleet (and associated CH</w:t>
      </w:r>
      <w:r w:rsidRPr="00D9348B">
        <w:rPr>
          <w:rFonts w:cs="Calibri"/>
          <w:vertAlign w:val="subscript"/>
        </w:rPr>
        <w:t>4</w:t>
      </w:r>
      <w:r w:rsidRPr="00D9348B">
        <w:rPr>
          <w:rFonts w:cs="Calibri"/>
        </w:rPr>
        <w:t xml:space="preserve"> and N</w:t>
      </w:r>
      <w:r w:rsidRPr="00D9348B">
        <w:rPr>
          <w:rFonts w:cs="Calibri"/>
          <w:vertAlign w:val="subscript"/>
        </w:rPr>
        <w:t>2</w:t>
      </w:r>
      <w:r w:rsidRPr="00D9348B">
        <w:rPr>
          <w:rFonts w:cs="Calibri"/>
        </w:rPr>
        <w:t xml:space="preserve">O emissions) is split into the ‘new vehicle fleet’ and ‘used vehicle fleet’ (based on a vehicle’s year of manufacture rather than when they are first added to the New Zealand fleet). </w:t>
      </w:r>
    </w:p>
    <w:p w14:paraId="173363C4" w14:textId="77777777" w:rsidR="00E20138" w:rsidRPr="00D9348B" w:rsidRDefault="00E20138" w:rsidP="00E20138">
      <w:pPr>
        <w:pStyle w:val="BodyText"/>
        <w:spacing w:after="100"/>
        <w:rPr>
          <w:rFonts w:cs="Calibri"/>
        </w:rPr>
      </w:pPr>
      <w:r w:rsidRPr="00D9348B">
        <w:rPr>
          <w:rFonts w:cs="Calibri"/>
        </w:rPr>
        <w:t>New vehicles were allocated an appropriate vehicle class from the COPERT 4 model (European Environment Agency, 2007), and used Japanese vehicles were allocated emission factors as per categories from the Japanese Ministry of the Environment. These emission factors are broken down by:</w:t>
      </w:r>
    </w:p>
    <w:p w14:paraId="298712E6" w14:textId="77777777" w:rsidR="00E20138" w:rsidRPr="00D9348B" w:rsidRDefault="00E20138" w:rsidP="00E20138">
      <w:pPr>
        <w:pStyle w:val="Bullet"/>
        <w:tabs>
          <w:tab w:val="clear" w:pos="567"/>
        </w:tabs>
        <w:rPr>
          <w:rFonts w:cs="Calibri"/>
        </w:rPr>
      </w:pPr>
      <w:r w:rsidRPr="00D9348B">
        <w:rPr>
          <w:rFonts w:cs="Calibri"/>
        </w:rPr>
        <w:t>vehicle type</w:t>
      </w:r>
    </w:p>
    <w:p w14:paraId="3DECB9FA" w14:textId="77777777" w:rsidR="00E20138" w:rsidRPr="00D9348B" w:rsidRDefault="00E20138" w:rsidP="00E20138">
      <w:pPr>
        <w:pStyle w:val="Bullet"/>
        <w:tabs>
          <w:tab w:val="clear" w:pos="567"/>
        </w:tabs>
        <w:rPr>
          <w:rFonts w:cs="Calibri"/>
        </w:rPr>
      </w:pPr>
      <w:r w:rsidRPr="00D9348B">
        <w:rPr>
          <w:rFonts w:cs="Calibri"/>
        </w:rPr>
        <w:t xml:space="preserve">fuel type </w:t>
      </w:r>
    </w:p>
    <w:p w14:paraId="3DA77D0B" w14:textId="77777777" w:rsidR="00E20138" w:rsidRPr="00D9348B" w:rsidRDefault="00E20138" w:rsidP="00E20138">
      <w:pPr>
        <w:pStyle w:val="Bullet"/>
        <w:tabs>
          <w:tab w:val="clear" w:pos="567"/>
        </w:tabs>
        <w:rPr>
          <w:rFonts w:cs="Calibri"/>
        </w:rPr>
      </w:pPr>
      <w:r w:rsidRPr="00D9348B">
        <w:rPr>
          <w:rFonts w:cs="Calibri"/>
        </w:rPr>
        <w:t xml:space="preserve">vehicle weight class </w:t>
      </w:r>
    </w:p>
    <w:p w14:paraId="5D74E4F0" w14:textId="77777777" w:rsidR="00E20138" w:rsidRPr="00D9348B" w:rsidRDefault="00E20138" w:rsidP="00E20138">
      <w:pPr>
        <w:pStyle w:val="Bullet"/>
        <w:tabs>
          <w:tab w:val="clear" w:pos="567"/>
        </w:tabs>
        <w:rPr>
          <w:rFonts w:cs="Calibri"/>
        </w:rPr>
      </w:pPr>
      <w:proofErr w:type="gramStart"/>
      <w:r w:rsidRPr="00D9348B">
        <w:rPr>
          <w:rFonts w:cs="Calibri"/>
        </w:rPr>
        <w:t>year</w:t>
      </w:r>
      <w:proofErr w:type="gramEnd"/>
      <w:r w:rsidRPr="00D9348B">
        <w:rPr>
          <w:rFonts w:cs="Calibri"/>
        </w:rPr>
        <w:t xml:space="preserve"> of manufacture.</w:t>
      </w:r>
    </w:p>
    <w:p w14:paraId="687FB223" w14:textId="77777777" w:rsidR="00E20138" w:rsidRPr="00D9348B" w:rsidRDefault="00E20138" w:rsidP="00E20138">
      <w:pPr>
        <w:pStyle w:val="BodyText"/>
        <w:rPr>
          <w:rFonts w:cs="Calibri"/>
        </w:rPr>
      </w:pPr>
      <w:r w:rsidRPr="00D9348B">
        <w:rPr>
          <w:rFonts w:cs="Calibri"/>
        </w:rPr>
        <w:t xml:space="preserve">Due to the presence of expensive catalysts, many used vehicles imported into New Zealand had their catalytic converters removed before being exported from Japan. The Ministry of Transport undertook several testing studies to determine the proportion of catalytic converters that are removed in Japan before export. </w:t>
      </w:r>
    </w:p>
    <w:p w14:paraId="05E1D896" w14:textId="77777777" w:rsidR="00E20138" w:rsidRPr="00D9348B" w:rsidRDefault="00E20138" w:rsidP="00E20138">
      <w:pPr>
        <w:pStyle w:val="BodyText"/>
        <w:rPr>
          <w:rFonts w:cs="Calibri"/>
        </w:rPr>
      </w:pPr>
      <w:r w:rsidRPr="00D9348B">
        <w:rPr>
          <w:rFonts w:cs="Calibri"/>
        </w:rPr>
        <w:t>Information on non-CO</w:t>
      </w:r>
      <w:r w:rsidRPr="00D9348B">
        <w:rPr>
          <w:rFonts w:cs="Calibri"/>
          <w:vertAlign w:val="subscript"/>
        </w:rPr>
        <w:t>2</w:t>
      </w:r>
      <w:r w:rsidRPr="00D9348B">
        <w:rPr>
          <w:rFonts w:cs="Calibri"/>
        </w:rPr>
        <w:t xml:space="preserve"> emission factors can be found in annex 4, table A4.7.</w:t>
      </w:r>
    </w:p>
    <w:p w14:paraId="443EAD3C" w14:textId="77777777" w:rsidR="00E20138" w:rsidRPr="00D9348B" w:rsidRDefault="00E20138" w:rsidP="00E20138">
      <w:pPr>
        <w:pStyle w:val="BodyText"/>
        <w:rPr>
          <w:rFonts w:cs="Calibri"/>
        </w:rPr>
      </w:pPr>
      <w:r w:rsidRPr="00D9348B">
        <w:rPr>
          <w:rFonts w:cs="Calibri"/>
        </w:rPr>
        <w:lastRenderedPageBreak/>
        <w:t xml:space="preserve">Vehicle-kilometres-travelled were sourced from national six-monthly warrant of fitness inspections. These were further split into travel type (urban, rural, highway, motorway) using New Zealand’s Road Assessment and Maintenance Management system. </w:t>
      </w:r>
    </w:p>
    <w:p w14:paraId="3388C039" w14:textId="77777777" w:rsidR="00E20138" w:rsidRPr="00D9348B" w:rsidRDefault="00E20138" w:rsidP="00E20138">
      <w:pPr>
        <w:pStyle w:val="BodyText"/>
        <w:rPr>
          <w:rFonts w:cs="Calibri"/>
        </w:rPr>
      </w:pPr>
      <w:r w:rsidRPr="00D9348B">
        <w:rPr>
          <w:rFonts w:cs="Calibri"/>
        </w:rPr>
        <w:t xml:space="preserve">The </w:t>
      </w:r>
      <w:r w:rsidRPr="00D9348B">
        <w:rPr>
          <w:rFonts w:cs="Calibri"/>
          <w:i/>
        </w:rPr>
        <w:t>New Zealand Travel Survey</w:t>
      </w:r>
      <w:r w:rsidRPr="00D9348B">
        <w:rPr>
          <w:rFonts w:cs="Calibri"/>
        </w:rPr>
        <w:t xml:space="preserve"> (Ministry of Transport, 2010) is used to further split the ‘urban’ travel type into cold and hot starts. This survey provides detailed trip-by-trip information on travel type. These data were used to establish the percentage of light-vehicle urban travel that was cold and hot starts.</w:t>
      </w:r>
    </w:p>
    <w:p w14:paraId="204313FD" w14:textId="77777777" w:rsidR="00E20138" w:rsidRPr="00D9348B" w:rsidRDefault="00E20138" w:rsidP="00E20138">
      <w:pPr>
        <w:pStyle w:val="BodyText"/>
        <w:rPr>
          <w:rFonts w:cs="Calibri"/>
        </w:rPr>
      </w:pPr>
      <w:r w:rsidRPr="00D9348B">
        <w:rPr>
          <w:rFonts w:cs="Calibri"/>
          <w:lang w:eastAsia="en-GB"/>
        </w:rPr>
        <w:t xml:space="preserve">MBIE </w:t>
      </w:r>
      <w:r w:rsidRPr="00D9348B">
        <w:rPr>
          <w:rFonts w:cs="Calibri"/>
        </w:rPr>
        <w:t>and the Ministry for the Environment met with the Australian inventory reporting team in July 2011 to conduct a review of proposed methodologies for calculating emissions of CH</w:t>
      </w:r>
      <w:r w:rsidRPr="00D9348B">
        <w:rPr>
          <w:rFonts w:cs="Calibri"/>
          <w:vertAlign w:val="subscript"/>
        </w:rPr>
        <w:t>4</w:t>
      </w:r>
      <w:r w:rsidRPr="00D9348B">
        <w:rPr>
          <w:rFonts w:cs="Calibri"/>
        </w:rPr>
        <w:t xml:space="preserve"> and N</w:t>
      </w:r>
      <w:r w:rsidRPr="00D9348B">
        <w:rPr>
          <w:rFonts w:cs="Calibri"/>
          <w:vertAlign w:val="subscript"/>
        </w:rPr>
        <w:t>2</w:t>
      </w:r>
      <w:r w:rsidRPr="00D9348B">
        <w:rPr>
          <w:rFonts w:cs="Calibri"/>
        </w:rPr>
        <w:t xml:space="preserve">O associated with road transport. New Zealand’s Tier 3 approach for road transport was presented, resulting in a recommendation from the Australian team that the new methodology be adopted for the 2012 submission, and that New Zealand attempt to use the IPCC-recommended approach to selecting splicing techniques to choose an appropriate splicing method. In this, New Zealand applied splicing techniques following the 2006 IPCC Guidelines on the method selection approach. </w:t>
      </w:r>
    </w:p>
    <w:p w14:paraId="48629D1D" w14:textId="77777777" w:rsidR="00E20138" w:rsidRPr="00D9348B" w:rsidRDefault="00E20138" w:rsidP="00E20138">
      <w:pPr>
        <w:pStyle w:val="Heading5"/>
        <w:rPr>
          <w:rFonts w:cs="Calibri"/>
        </w:rPr>
      </w:pPr>
      <w:r w:rsidRPr="00D9348B">
        <w:rPr>
          <w:rFonts w:cs="Calibri"/>
        </w:rPr>
        <w:t>Time-series consistency</w:t>
      </w:r>
    </w:p>
    <w:p w14:paraId="0A3230F6" w14:textId="77777777" w:rsidR="00E20138" w:rsidRPr="00D9348B" w:rsidRDefault="00E20138" w:rsidP="00E20138">
      <w:pPr>
        <w:pStyle w:val="BodyText"/>
        <w:rPr>
          <w:rFonts w:cs="Calibri"/>
          <w:lang w:eastAsia="en-GB"/>
        </w:rPr>
      </w:pPr>
      <w:bookmarkStart w:id="419" w:name="_Toc321399334"/>
      <w:r w:rsidRPr="00D9348B">
        <w:rPr>
          <w:rFonts w:cs="Calibri"/>
          <w:lang w:eastAsia="en-GB"/>
        </w:rPr>
        <w:t xml:space="preserve">The data available for applying the Tier 3 methodology between 1990 and 2000 were insufficient, so combining the methods to form a complete time series (splicing) was necessary. To establish the most appropriate splicing method, emissions were calculated using the Tier 1 methodology for the period 2001–16. These emissions were compared against those calculated using the Tier 3 methodology, to determine the relationship between the two series (see </w:t>
      </w:r>
      <w:r w:rsidRPr="00D9348B">
        <w:rPr>
          <w:rFonts w:cs="Calibri"/>
        </w:rPr>
        <w:t>figure 3.3.11</w:t>
      </w:r>
      <w:r w:rsidRPr="00D9348B">
        <w:rPr>
          <w:rFonts w:cs="Calibri"/>
          <w:lang w:eastAsia="en-GB"/>
        </w:rPr>
        <w:t xml:space="preserve">). The guidance for the method selection process is provided in table 5.1 (volume 2) of the 2006 IPCC Guidelines. </w:t>
      </w:r>
    </w:p>
    <w:p w14:paraId="428D1586" w14:textId="77777777" w:rsidR="00E20138" w:rsidRPr="00D9348B" w:rsidRDefault="00E20138" w:rsidP="00E20138">
      <w:pPr>
        <w:pStyle w:val="Figure"/>
        <w:rPr>
          <w:rFonts w:cs="Calibri"/>
        </w:rPr>
      </w:pPr>
      <w:bookmarkStart w:id="420" w:name="_Ref442370701"/>
      <w:bookmarkStart w:id="421" w:name="_Toc384582863"/>
      <w:bookmarkStart w:id="422" w:name="_Toc443060823"/>
      <w:bookmarkStart w:id="423" w:name="_Toc447275680"/>
      <w:bookmarkStart w:id="424" w:name="_Toc481751998"/>
      <w:bookmarkStart w:id="425" w:name="_Toc36292780"/>
      <w:r w:rsidRPr="00D9348B">
        <w:rPr>
          <w:rFonts w:cs="Calibri"/>
        </w:rPr>
        <w:lastRenderedPageBreak/>
        <w:t>Figure 3.3.</w:t>
      </w:r>
      <w:r w:rsidRPr="00D9348B">
        <w:rPr>
          <w:rFonts w:cs="Calibri"/>
        </w:rPr>
        <w:fldChar w:fldCharType="begin"/>
      </w:r>
      <w:r w:rsidRPr="00D9348B">
        <w:rPr>
          <w:rFonts w:cs="Calibri"/>
        </w:rPr>
        <w:instrText xml:space="preserve"> SEQ Figure \* ARABIC \s 2 </w:instrText>
      </w:r>
      <w:r w:rsidRPr="00D9348B">
        <w:rPr>
          <w:rFonts w:cs="Calibri"/>
        </w:rPr>
        <w:fldChar w:fldCharType="separate"/>
      </w:r>
      <w:r w:rsidRPr="00D9348B">
        <w:rPr>
          <w:rFonts w:cs="Calibri"/>
        </w:rPr>
        <w:t>11</w:t>
      </w:r>
      <w:r w:rsidRPr="00D9348B">
        <w:rPr>
          <w:rFonts w:cs="Calibri"/>
        </w:rPr>
        <w:fldChar w:fldCharType="end"/>
      </w:r>
      <w:bookmarkEnd w:id="420"/>
      <w:r w:rsidRPr="00D9348B">
        <w:rPr>
          <w:rFonts w:cs="Calibri"/>
          <w:lang w:eastAsia="en-GB"/>
        </w:rPr>
        <w:t xml:space="preserve"> </w:t>
      </w:r>
      <w:r w:rsidRPr="00D9348B">
        <w:rPr>
          <w:rFonts w:cs="Calibri"/>
          <w:lang w:eastAsia="en-GB"/>
        </w:rPr>
        <w:tab/>
        <w:t>Splicing method decision tree for gasoline emissions</w:t>
      </w:r>
      <w:bookmarkEnd w:id="419"/>
      <w:bookmarkEnd w:id="421"/>
      <w:bookmarkEnd w:id="422"/>
      <w:bookmarkEnd w:id="423"/>
      <w:bookmarkEnd w:id="424"/>
      <w:bookmarkEnd w:id="425"/>
    </w:p>
    <w:p w14:paraId="397F8C73" w14:textId="77777777" w:rsidR="00E20138" w:rsidRPr="00D9348B" w:rsidRDefault="00E20138" w:rsidP="00E20138">
      <w:pPr>
        <w:pStyle w:val="BodyText"/>
        <w:spacing w:before="0" w:after="240"/>
        <w:rPr>
          <w:rFonts w:cs="Calibri"/>
        </w:rPr>
      </w:pPr>
      <w:r w:rsidRPr="00D9348B">
        <w:rPr>
          <w:rFonts w:cs="Calibri"/>
        </w:rPr>
        <w:object w:dxaOrig="18690" w:dyaOrig="15625" w14:anchorId="72EEF1BC">
          <v:shape id="_x0000_i1060" type="#_x0000_t75" style="width:419.5pt;height:405.7pt" o:ole="">
            <v:imagedata r:id="rId76" o:title=""/>
          </v:shape>
          <o:OLEObject Type="Embed" ProgID="Visio.Drawing.11" ShapeID="_x0000_i1060" DrawAspect="Content" ObjectID="_1647932313" r:id="rId77"/>
        </w:object>
      </w:r>
    </w:p>
    <w:p w14:paraId="6D3BD84A" w14:textId="77777777" w:rsidR="00E20138" w:rsidRPr="00D9348B" w:rsidRDefault="00E20138" w:rsidP="00E20138">
      <w:pPr>
        <w:pStyle w:val="BodyText"/>
        <w:rPr>
          <w:rFonts w:cs="Calibri"/>
        </w:rPr>
      </w:pPr>
      <w:r w:rsidRPr="00D9348B">
        <w:rPr>
          <w:rFonts w:cs="Calibri"/>
          <w:lang w:eastAsia="en-GB"/>
        </w:rPr>
        <w:t>For all fuels, interpolation was considered inappropriate due to the size of the block of unavailable data and the lack of data from before the missing bloc</w:t>
      </w:r>
      <w:r w:rsidRPr="00D9348B">
        <w:rPr>
          <w:rFonts w:cs="Calibri"/>
        </w:rPr>
        <w:t xml:space="preserve">k (1990–2000). </w:t>
      </w:r>
    </w:p>
    <w:p w14:paraId="2BE577C9" w14:textId="77777777" w:rsidR="00E20138" w:rsidRPr="00D9348B" w:rsidRDefault="00E20138" w:rsidP="00E20138">
      <w:pPr>
        <w:pStyle w:val="BodyText"/>
        <w:rPr>
          <w:rFonts w:cs="Calibri"/>
        </w:rPr>
      </w:pPr>
      <w:r w:rsidRPr="00D9348B">
        <w:rPr>
          <w:rFonts w:cs="Calibri"/>
        </w:rPr>
        <w:t>For emission estimates from liquefied petroleu</w:t>
      </w:r>
      <w:r w:rsidRPr="00D9348B">
        <w:rPr>
          <w:rFonts w:cs="Calibri"/>
          <w:lang w:eastAsia="en-GB"/>
        </w:rPr>
        <w:t xml:space="preserve">m gas (LPG), the relationship between Tier 1 and Tier 3 appears nearly constant for both </w:t>
      </w:r>
      <w:r w:rsidRPr="00D9348B">
        <w:rPr>
          <w:rFonts w:cs="Calibri"/>
        </w:rPr>
        <w:t>N</w:t>
      </w:r>
      <w:r w:rsidRPr="00D9348B">
        <w:rPr>
          <w:rFonts w:cs="Calibri"/>
          <w:vertAlign w:val="subscript"/>
        </w:rPr>
        <w:t>2</w:t>
      </w:r>
      <w:r w:rsidRPr="00D9348B">
        <w:rPr>
          <w:rFonts w:cs="Calibri"/>
        </w:rPr>
        <w:t>O</w:t>
      </w:r>
      <w:r w:rsidRPr="00D9348B">
        <w:rPr>
          <w:rFonts w:cs="Calibri"/>
          <w:lang w:eastAsia="en-GB"/>
        </w:rPr>
        <w:t xml:space="preserve"> and </w:t>
      </w:r>
      <w:r w:rsidRPr="00D9348B">
        <w:rPr>
          <w:rFonts w:cs="Calibri"/>
        </w:rPr>
        <w:t>CH</w:t>
      </w:r>
      <w:r w:rsidRPr="00D9348B">
        <w:rPr>
          <w:rFonts w:cs="Calibri"/>
          <w:vertAlign w:val="subscript"/>
        </w:rPr>
        <w:t>4</w:t>
      </w:r>
      <w:r w:rsidRPr="00D9348B">
        <w:rPr>
          <w:rFonts w:cs="Calibri"/>
          <w:lang w:eastAsia="en-GB"/>
        </w:rPr>
        <w:t xml:space="preserve"> from 2001 until 2002. As a result, the overlap method was used (IPCC, 2006), with:</w:t>
      </w:r>
    </w:p>
    <w:p w14:paraId="1D3118E3" w14:textId="3EF66ECC" w:rsidR="00E20138" w:rsidRPr="00D9348B" w:rsidRDefault="00DA6C03" w:rsidP="00E20138">
      <w:pPr>
        <w:pStyle w:val="BodyText"/>
        <w:spacing w:before="0"/>
        <w:jc w:val="center"/>
        <w:rPr>
          <w:rFonts w:cs="Calibri"/>
          <w:lang w:eastAsia="en-GB"/>
        </w:rPr>
      </w:pPr>
      <w:r>
        <w:pict w14:anchorId="1C1DD162">
          <v:shape id="_x0000_i1061" type="#_x0000_t75" style="width:113.95pt;height:4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activeWritingStyle w:lang=&quot;EN-NZ&quot; w:vendorID=&quot;64&quot; w:dllVersion=&quot;6&quot; w:nlCheck=&quot;on&quot; w:optionSet=&quot;1&quot;/&gt;&lt;w:stylePaneFormatFilter w:val=&quot;5804&quot;/&gt;&lt;w:defaultTabStop w:val=&quot;397&quot;/&gt;&lt;w:evenAndOddHeaders/&gt;&lt;w:drawingGridHorizontalSpacing w:val=&quot;187&quot;/&gt;&lt;w:displayVerticalDrawingGridEvery w:val=&quot;2&quot;/&gt;&lt;w:characterSpacingControl w:val=&quot;DontCompress&quot;/&gt;&lt;w:optimizeForBrowser/&gt;&lt;w:validateAgainstSchema/&gt;&lt;w:saveInvalidXML w:val=&quot;off&quot;/&gt;&lt;w:ignoreMixedContent w:val=&quot;off&quot;/&gt;&lt;w:alwaysShowPlaceholderText w:val=&quot;off&quot;/&gt;&lt;w:compat&gt;&lt;w:suppressBottomSpacing/&gt;&lt;w:suppressTopSpacing/&gt;&lt;w:doNotUseHTMLParagraphAutoSpacing/&gt;&lt;w:breakWrappedTables/&gt;&lt;w:snapToGridInCell/&gt;&lt;w:wrapTextWithPunct/&gt;&lt;w:useAsianBreakRules/&gt;&lt;w:useWord2002TableStyleRules/&gt;&lt;/w:compat&gt;&lt;wsp:rsids&gt;&lt;wsp:rsidRoot wsp:val=&quot;007A30E8&quot;/&gt;&lt;wsp:rsid wsp:val=&quot;00001716&quot;/&gt;&lt;wsp:rsid wsp:val=&quot;00007ABB&quot;/&gt;&lt;wsp:rsid wsp:val=&quot;00021ACF&quot;/&gt;&lt;wsp:rsid wsp:val=&quot;00027E55&quot;/&gt;&lt;wsp:rsid wsp:val=&quot;00032A28&quot;/&gt;&lt;wsp:rsid wsp:val=&quot;00035185&quot;/&gt;&lt;wsp:rsid wsp:val=&quot;00050008&quot;/&gt;&lt;wsp:rsid wsp:val=&quot;000576EC&quot;/&gt;&lt;wsp:rsid wsp:val=&quot;000959CB&quot;/&gt;&lt;wsp:rsid wsp:val=&quot;000C20A6&quot;/&gt;&lt;wsp:rsid wsp:val=&quot;000F4DEF&quot;/&gt;&lt;wsp:rsid wsp:val=&quot;00103A70&quot;/&gt;&lt;wsp:rsid wsp:val=&quot;00116E1B&quot;/&gt;&lt;wsp:rsid wsp:val=&quot;001221C3&quot;/&gt;&lt;wsp:rsid wsp:val=&quot;00153F5A&quot;/&gt;&lt;wsp:rsid wsp:val=&quot;001970E1&quot;/&gt;&lt;wsp:rsid wsp:val=&quot;001A1997&quot;/&gt;&lt;wsp:rsid wsp:val=&quot;001B6FD2&quot;/&gt;&lt;wsp:rsid wsp:val=&quot;00207ABF&quot;/&gt;&lt;wsp:rsid wsp:val=&quot;002253F5&quot;/&gt;&lt;wsp:rsid wsp:val=&quot;00240B42&quot;/&gt;&lt;wsp:rsid wsp:val=&quot;00260B48&quot;/&gt;&lt;wsp:rsid wsp:val=&quot;0028581A&quot;/&gt;&lt;wsp:rsid wsp:val=&quot;002868D3&quot;/&gt;&lt;wsp:rsid wsp:val=&quot;00295B2A&quot;/&gt;&lt;wsp:rsid wsp:val=&quot;002A1361&quot;/&gt;&lt;wsp:rsid wsp:val=&quot;002A49D7&quot;/&gt;&lt;wsp:rsid wsp:val=&quot;002B1C5A&quot;/&gt;&lt;wsp:rsid wsp:val=&quot;002B3284&quot;/&gt;&lt;wsp:rsid wsp:val=&quot;002D60DB&quot;/&gt;&lt;wsp:rsid wsp:val=&quot;002D6A54&quot;/&gt;&lt;wsp:rsid wsp:val=&quot;002F134A&quot;/&gt;&lt;wsp:rsid wsp:val=&quot;00302D84&quot;/&gt;&lt;wsp:rsid wsp:val=&quot;00315760&quot;/&gt;&lt;wsp:rsid wsp:val=&quot;0032349D&quot;/&gt;&lt;wsp:rsid wsp:val=&quot;0037590E&quot;/&gt;&lt;wsp:rsid wsp:val=&quot;00377186&quot;/&gt;&lt;wsp:rsid wsp:val=&quot;00383207&quot;/&gt;&lt;wsp:rsid wsp:val=&quot;003972EF&quot;/&gt;&lt;wsp:rsid wsp:val=&quot;00397D2B&quot;/&gt;&lt;wsp:rsid wsp:val=&quot;003A5006&quot;/&gt;&lt;wsp:rsid wsp:val=&quot;003C2615&quot;/&gt;&lt;wsp:rsid wsp:val=&quot;003D0318&quot;/&gt;&lt;wsp:rsid wsp:val=&quot;003D5417&quot;/&gt;&lt;wsp:rsid wsp:val=&quot;00400F92&quot;/&gt;&lt;wsp:rsid wsp:val=&quot;004044F1&quot;/&gt;&lt;wsp:rsid wsp:val=&quot;0042424B&quot;/&gt;&lt;wsp:rsid wsp:val=&quot;00430D5D&quot;/&gt;&lt;wsp:rsid wsp:val=&quot;0045652C&quot;/&gt;&lt;wsp:rsid wsp:val=&quot;00462497&quot;/&gt;&lt;wsp:rsid wsp:val=&quot;004805A3&quot;/&gt;&lt;wsp:rsid wsp:val=&quot;00490EB0&quot;/&gt;&lt;wsp:rsid wsp:val=&quot;004A39F8&quot;/&gt;&lt;wsp:rsid wsp:val=&quot;004A618E&quot;/&gt;&lt;wsp:rsid wsp:val=&quot;004E4B2C&quot;/&gt;&lt;wsp:rsid wsp:val=&quot;004F1572&quot;/&gt;&lt;wsp:rsid wsp:val=&quot;005041E4&quot;/&gt;&lt;wsp:rsid wsp:val=&quot;00526270&quot;/&gt;&lt;wsp:rsid wsp:val=&quot;00534210&quot;/&gt;&lt;wsp:rsid wsp:val=&quot;00543478&quot;/&gt;&lt;wsp:rsid wsp:val=&quot;00545600&quot;/&gt;&lt;wsp:rsid wsp:val=&quot;00546A6A&quot;/&gt;&lt;wsp:rsid wsp:val=&quot;005630B0&quot;/&gt;&lt;wsp:rsid wsp:val=&quot;005660CD&quot;/&gt;&lt;wsp:rsid wsp:val=&quot;005720F2&quot;/&gt;&lt;wsp:rsid wsp:val=&quot;00596603&quot;/&gt;&lt;wsp:rsid wsp:val=&quot;005B76A4&quot;/&gt;&lt;wsp:rsid wsp:val=&quot;005C3384&quot;/&gt;&lt;wsp:rsid wsp:val=&quot;005C416E&quot;/&gt;&lt;wsp:rsid wsp:val=&quot;005D1C3A&quot;/&gt;&lt;wsp:rsid wsp:val=&quot;005E43DD&quot;/&gt;&lt;wsp:rsid wsp:val=&quot;00600179&quot;/&gt;&lt;wsp:rsid wsp:val=&quot;00603FC0&quot;/&gt;&lt;wsp:rsid wsp:val=&quot;00636BF0&quot;/&gt;&lt;wsp:rsid wsp:val=&quot;00646B6D&quot;/&gt;&lt;wsp:rsid wsp:val=&quot;00655908&quot;/&gt;&lt;wsp:rsid wsp:val=&quot;006654F8&quot;/&gt;&lt;wsp:rsid wsp:val=&quot;00665768&quot;/&gt;&lt;wsp:rsid wsp:val=&quot;00667291&quot;/&gt;&lt;wsp:rsid wsp:val=&quot;00686249&quot;/&gt;&lt;wsp:rsid wsp:val=&quot;00687504&quot;/&gt;&lt;wsp:rsid wsp:val=&quot;006A171F&quot;/&gt;&lt;wsp:rsid wsp:val=&quot;006A4E5F&quot;/&gt;&lt;wsp:rsid wsp:val=&quot;006D3FAE&quot;/&gt;&lt;wsp:rsid wsp:val=&quot;006D4600&quot;/&gt;&lt;wsp:rsid wsp:val=&quot;006E0A2C&quot;/&gt;&lt;wsp:rsid wsp:val=&quot;006E202B&quot;/&gt;&lt;wsp:rsid wsp:val=&quot;006E57B5&quot;/&gt;&lt;wsp:rsid wsp:val=&quot;00702FA0&quot;/&gt;&lt;wsp:rsid wsp:val=&quot;00715D39&quot;/&gt;&lt;wsp:rsid wsp:val=&quot;00724218&quot;/&gt;&lt;wsp:rsid wsp:val=&quot;00737E65&quot;/&gt;&lt;wsp:rsid wsp:val=&quot;0074030A&quot;/&gt;&lt;wsp:rsid wsp:val=&quot;007409A3&quot;/&gt;&lt;wsp:rsid wsp:val=&quot;007575A8&quot;/&gt;&lt;wsp:rsid wsp:val=&quot;00762043&quot;/&gt;&lt;wsp:rsid wsp:val=&quot;007633C2&quot;/&gt;&lt;wsp:rsid wsp:val=&quot;00765A47&quot;/&gt;&lt;wsp:rsid wsp:val=&quot;00770E82&quot;/&gt;&lt;wsp:rsid wsp:val=&quot;00772E94&quot;/&gt;&lt;wsp:rsid wsp:val=&quot;007A30E8&quot;/&gt;&lt;wsp:rsid wsp:val=&quot;007B028B&quot;/&gt;&lt;wsp:rsid wsp:val=&quot;007B1D71&quot;/&gt;&lt;wsp:rsid wsp:val=&quot;007C00D0&quot;/&gt;&lt;wsp:rsid wsp:val=&quot;007C2186&quot;/&gt;&lt;wsp:rsid wsp:val=&quot;007F2233&quot;/&gt;&lt;wsp:rsid wsp:val=&quot;0080694B&quot;/&gt;&lt;wsp:rsid wsp:val=&quot;0081779C&quot;/&gt;&lt;wsp:rsid wsp:val=&quot;00831D0D&quot;/&gt;&lt;wsp:rsid wsp:val=&quot;00832DEE&quot;/&gt;&lt;wsp:rsid wsp:val=&quot;00854B9D&quot;/&gt;&lt;wsp:rsid wsp:val=&quot;00855A8A&quot;/&gt;&lt;wsp:rsid wsp:val=&quot;00872795&quot;/&gt;&lt;wsp:rsid wsp:val=&quot;008A2EC5&quot;/&gt;&lt;wsp:rsid wsp:val=&quot;008B77F5&quot;/&gt;&lt;wsp:rsid wsp:val=&quot;008C0279&quot;/&gt;&lt;wsp:rsid wsp:val=&quot;008C7F68&quot;/&gt;&lt;wsp:rsid wsp:val=&quot;008E380C&quot;/&gt;&lt;wsp:rsid wsp:val=&quot;008E405A&quot;/&gt;&lt;wsp:rsid wsp:val=&quot;008F25D2&quot;/&gt;&lt;wsp:rsid wsp:val=&quot;008F50EC&quot;/&gt;&lt;wsp:rsid wsp:val=&quot;00914CC6&quot;/&gt;&lt;wsp:rsid wsp:val=&quot;0092751F&quot;/&gt;&lt;wsp:rsid wsp:val=&quot;00932067&quot;/&gt;&lt;wsp:rsid wsp:val=&quot;0093594A&quot;/&gt;&lt;wsp:rsid wsp:val=&quot;00955D73&quot;/&gt;&lt;wsp:rsid wsp:val=&quot;0096512C&quot;/&gt;&lt;wsp:rsid wsp:val=&quot;0096540A&quot;/&gt;&lt;wsp:rsid wsp:val=&quot;009C5D2A&quot;/&gt;&lt;wsp:rsid wsp:val=&quot;00A02252&quot;/&gt;&lt;wsp:rsid wsp:val=&quot;00A06700&quot;/&gt;&lt;wsp:rsid wsp:val=&quot;00A331E7&quot;/&gt;&lt;wsp:rsid wsp:val=&quot;00A34169&quot;/&gt;&lt;wsp:rsid wsp:val=&quot;00A41C3C&quot;/&gt;&lt;wsp:rsid wsp:val=&quot;00AB2710&quot;/&gt;&lt;wsp:rsid wsp:val=&quot;00AD184B&quot;/&gt;&lt;wsp:rsid wsp:val=&quot;00B0566D&quot;/&gt;&lt;wsp:rsid wsp:val=&quot;00B35BD9&quot;/&gt;&lt;wsp:rsid wsp:val=&quot;00B37DE8&quot;/&gt;&lt;wsp:rsid wsp:val=&quot;00B44BA5&quot;/&gt;&lt;wsp:rsid wsp:val=&quot;00B928E7&quot;/&gt;&lt;wsp:rsid wsp:val=&quot;00BA5F7E&quot;/&gt;&lt;wsp:rsid wsp:val=&quot;00BC7E76&quot;/&gt;&lt;wsp:rsid wsp:val=&quot;00BE5513&quot;/&gt;&lt;wsp:rsid wsp:val=&quot;00BF12F6&quot;/&gt;&lt;wsp:rsid wsp:val=&quot;00C00765&quot;/&gt;&lt;wsp:rsid wsp:val=&quot;00C10464&quot;/&gt;&lt;wsp:rsid wsp:val=&quot;00C119C2&quot;/&gt;&lt;wsp:rsid wsp:val=&quot;00C21B54&quot;/&gt;&lt;wsp:rsid wsp:val=&quot;00C40967&quot;/&gt;&lt;wsp:rsid wsp:val=&quot;00C42C64&quot;/&gt;&lt;wsp:rsid wsp:val=&quot;00C4400C&quot;/&gt;&lt;wsp:rsid wsp:val=&quot;00C600E2&quot;/&gt;&lt;wsp:rsid wsp:val=&quot;00C63D43&quot;/&gt;&lt;wsp:rsid wsp:val=&quot;00C74134&quot;/&gt;&lt;wsp:rsid wsp:val=&quot;00C823B1&quot;/&gt;&lt;wsp:rsid wsp:val=&quot;00CA271E&quot;/&gt;&lt;wsp:rsid wsp:val=&quot;00CB1488&quot;/&gt;&lt;wsp:rsid wsp:val=&quot;00CB7414&quot;/&gt;&lt;wsp:rsid wsp:val=&quot;00CE19C1&quot;/&gt;&lt;wsp:rsid wsp:val=&quot;00D01CFE&quot;/&gt;&lt;wsp:rsid wsp:val=&quot;00D07C4B&quot;/&gt;&lt;wsp:rsid wsp:val=&quot;00D225D8&quot;/&gt;&lt;wsp:rsid wsp:val=&quot;00D33A2E&quot;/&gt;&lt;wsp:rsid wsp:val=&quot;00D511A1&quot;/&gt;&lt;wsp:rsid wsp:val=&quot;00D651CA&quot;/&gt;&lt;wsp:rsid wsp:val=&quot;00D872BF&quot;/&gt;&lt;wsp:rsid wsp:val=&quot;00DE01F6&quot;/&gt;&lt;wsp:rsid wsp:val=&quot;00DE2998&quot;/&gt;&lt;wsp:rsid wsp:val=&quot;00DE4223&quot;/&gt;&lt;wsp:rsid wsp:val=&quot;00DE6B60&quot;/&gt;&lt;wsp:rsid wsp:val=&quot;00E06D10&quot;/&gt;&lt;wsp:rsid wsp:val=&quot;00E20138&quot;/&gt;&lt;wsp:rsid wsp:val=&quot;00E20458&quot;/&gt;&lt;wsp:rsid wsp:val=&quot;00E55420&quot;/&gt;&lt;wsp:rsid wsp:val=&quot;00E56487&quot;/&gt;&lt;wsp:rsid wsp:val=&quot;00E853F3&quot;/&gt;&lt;wsp:rsid wsp:val=&quot;00EC2491&quot;/&gt;&lt;wsp:rsid wsp:val=&quot;00ED2C42&quot;/&gt;&lt;wsp:rsid wsp:val=&quot;00EF3B2B&quot;/&gt;&lt;wsp:rsid wsp:val=&quot;00F00EE9&quot;/&gt;&lt;wsp:rsid wsp:val=&quot;00F379DD&quot;/&gt;&lt;wsp:rsid wsp:val=&quot;00F44640&quot;/&gt;&lt;wsp:rsid wsp:val=&quot;00F47244&quot;/&gt;&lt;wsp:rsid wsp:val=&quot;00F511A7&quot;/&gt;&lt;wsp:rsid wsp:val=&quot;00F660F9&quot;/&gt;&lt;wsp:rsid wsp:val=&quot;00FA5F45&quot;/&gt;&lt;wsp:rsid wsp:val=&quot;00FA7522&quot;/&gt;&lt;wsp:rsid wsp:val=&quot;00FB71DC&quot;/&gt;&lt;wsp:rsid wsp:val=&quot;00FC2C59&quot;/&gt;&lt;wsp:rsid wsp:val=&quot;00FD178C&quot;/&gt;&lt;/wsp:rsids&gt;&lt;/w:docPr&gt;&lt;w:body&gt;&lt;wx:sect&gt;&lt;w:p wsp:rsidR=&quot;00000000&quot; wsp:rsidRPr=&quot;005041E4&quot; wsp:rsidRDefault=&quot;005041E4&quot; wsp:rsidP=&quot;005041E4&quot;&gt;&lt;m:oMathPara&gt;&lt;m:oMath&gt;&lt;m:sSub&gt;&lt;m:sSubPr&gt;&lt;m:ctrlPr&gt;&lt;w:rPr&gt;&lt;w:rFonts w:ascii=&quot;Cambria Math&quot; w:h-ansi=&quot;Cambria Math&quot; w:cs=&quot;Calibri&quot;/&gt;&lt;wx:font wx:val=&quot;Cambria Math&quot;/&gt;&lt;w:i/&gt;&lt;w:i-cs/&gt;&lt;w:lang w:fareast=&quot;EN-GB&quot;/&gt;&lt;/w:rPr&gt;&lt;/m:ctrlPr&gt;&lt;/m:sSubPr&gt;&lt;m:e&gt;&lt;m:r&gt;&lt;w:rPr&gt;&lt;w:rFonts w:ascii=&quot;Cambria Math&quot; w:h-ansi=&quot;Cambria Math&quot; w:cs=&quot;Calibri&quot;/&gt;&lt;wx:font wx:val=&quot;Cambria Math&quot;/&gt;&lt;w:i/&gt;&lt;w:lang w:fareast=&quot;EN-GB&quot;/&gt;&lt;/w:rPr&gt;&lt;m:t&gt;y&lt;/m:t&gt;&lt;/m:r&gt;&lt;/m:e&gt;&lt;m:sub&gt;&lt;m:r&gt;&lt;w:rPr&gt;&lt;w:rFonts w:ascii=&quot;Cambria Math&quot; w:h-ansi=&quot;Cambria Math&quot; w:cs=&quot;Calibri&quot;/&gt;&lt;wx:font wx:val=&quot;Cambria Math&quot;/&gt;&lt;w:i/&gt;&lt;w:lang w:fareast=&quot;EN-GB&quot;/&gt;&lt;/w:rPr&gt;&lt;m:t&gt;t&lt;/m:t&gt;&lt;/m:r&gt;&lt;/m:sub&gt;&lt;/m:sSub&gt;&lt;m:r&gt;&lt;w:rPr&gt;&lt;w:rFonts w:ascii=&quot;Cambria Math&quot; w:h-ansi=&quot;Cambria Math&quot; w:cs=&quot;Calibri&quot;/&gt;&lt;wx:font wx:val=&quot;Cambria Math&quot;/&gt;&lt;w:i/&gt;&lt;w:lang w:fareast=&quot;EN-GB&quot;/&gt;&lt;/w:rPr&gt;&lt;m:t&gt;=&lt;/m:t&gt;&lt;/m:r&gt;&lt;m:sSub&gt;&lt;m:sSubPr&gt;&lt;m:ctrlPr&gt;&lt;w:rPr&gt;&lt;w:rFonts w:ascii=&quot;Cambria Math&quot; w:h-ansi=&quot;Cambria Math&quot; w:cs=&quot;Calibri&quot;/&gt;&lt;wx:font wx:val=&quot;Cambria Math&quot;/&gt;&lt;w:i/&gt;&lt;w:i-cs/&gt;&lt;w:lang w:fareast=&quot;EN-GB&quot;/&gt;&lt;/w:rPr&gt;&lt;/m:ctrlPr&gt;&lt;/m:sSubPr&gt;&lt;m:e&gt;&lt;m:r&gt;&lt;w:rPr&gt;&lt;w:rFonts w:ascii=&quot;Cambria Math&quot; w:h-ansi=&quot;Cambria Math&quot; w:cs=&quot;Calibri&quot;/&gt;&lt;wx:font wx:val=&quot;Cambria Math&quot;/&gt;&lt;w:i/&gt;&lt;w:lang w:fareast=&quot;EN-GB&quot;/&gt;&lt;/w:rPr&gt;&lt;m:t&gt;x&lt;/m:t&gt;&lt;/m:r&gt;&lt;/m:e&gt;&lt;m:sub&gt;&lt;m:r&gt;&lt;w:rPr&gt;&lt;w:rFonts w:ascii=&quot;Cambria Math&quot; w:h-ansi=&quot;Cambria Math&quot; w:cs=&quot;Calibri&quot;/&gt;&lt;wx:font wx:val=&quot;Cambria Math&quot;/&gt;&lt;w:i/&gt;&lt;w:lang w:fareast=&quot;EN-GB&quot;/&gt;&lt;/w:rPr&gt;&lt;m:t&gt;t&lt;/m:t&gt;&lt;/m:r&gt;&lt;/m:sub&gt;&lt;/m:sSub&gt;&lt;m:d&gt;&lt;m:dPr&gt;&lt;m:ctrlPr&gt;&lt;w:rPr&gt;&lt;w:rFonts w:ascii=&quot;Cambria Math&quot; w:h-ansi=&quot;Cambria Math&quot; w:cs=&quot;Calibri&quot;/&gt;&lt;wx:font wx:val=&quot;Cambria Math&quot;/&gt;&lt;w:i/&gt;&lt;w:i-cs/&gt;&lt;w:lang w:fareast=&quot;EN-GB&quot;/&gt;&lt;/w:rPr&gt;&lt;/m:ctrlPr&gt;&lt;/m:dPr&gt;&lt;m:e&gt;&lt;m:nary&gt;&lt;m:naryPr&gt;&lt;m:chr m:val=&quot;âˆ‘&quot;/&gt;&lt;m:limLoc m:val=&quot;undOvr&quot;/&gt;&lt;m:ctrlPr&gt;&lt;w:rPr&gt;&lt;w:rFonts w:ascii=&quot;Cambria Math&quot; w:h-ansi=&quot;Cambria Math&quot; w:cs=&quot;Calibri&quot;/&gt;&lt;wx:font wx:val=&quot;Cambria Math&quot;/&gt;&lt;w:i/&gt;&lt;w:i-cs/&gt;&lt;w:lang w:fareast=&quot;EN-GB&quot;/&gt;&lt;/w:rPr&gt;&lt;/m:ctrlPr&gt;&lt;/m:naryPr&gt;&lt;m:sub&gt;&lt;m:r&gt;&lt;w:rPr&gt;&lt;w:rFonts w:ascii=&quot;Cambria Math&quot; w:h-ansi=&quot;Cambria Math&quot; w:cs=&quot;Calibri&quot;/&gt;&lt;wx:font wx:val=&quot;Cambria Math&quot;/&gt;&lt;w:i/&gt;&lt;w:lang w:fareast=&quot;EN-GB&quot;/&gt;&lt;/w:rPr&gt;&lt;m:t&gt;i=m&lt;/m:t&gt;&lt;/m:r&gt;&lt;/m:sub&gt;&lt;m:sup&gt;&lt;m:r&gt;&lt;w:rPr&gt;&lt;w:rFonts w:ascii=&quot;Cambria Math&quot; w:h-ansi=&quot;Cambria Math&quot; w:cs=&quot;Calibri&quot;/&gt;&lt;wx:font wx:val=&quot;Cambria Math&quot;/&gt;&lt;w:i/&gt;&lt;w:lang w:fareast=&quot;EN-GB&quot;/&gt;&lt;/w:rPr&gt;&lt;m:t&gt;n&lt;/m:t&gt;&lt;/m:r&gt;&lt;/m:sup&gt;&lt;m:e&gt;&lt;m:sSub&gt;&lt;m:sSubPr&gt;&lt;m:ctrlPr&gt;&lt;w:rPr&gt;&lt;w:rFonts w:ascii=&quot;Cambria Math&quot; w:h-ansi=&quot;Cambria Math&quot; w:cs=&quot;Calibri&quot;/&gt;&lt;wx:font wx:val=&quot;Cambria Math&quot;/&gt;&lt;w:i/&gt;&lt;w:i-cs/&gt;&lt;w:lang w:fareast=&quot;EN-GB&quot;/&gt;&lt;/w:rPr&gt;&lt;/m:ctrlPr&gt;&lt;/m:sSubPr&gt;&lt;m:e&gt;&lt;m:r&gt;&lt;w:rPr&gt;&lt;w:rFonts w:ascii=&quot;Cambria Math&quot; w:h-ansi=&quot;Cambria Math&quot; w:cs=&quot;Calibri&quot;/&gt;&lt;wx:font wx:val=&quot;Cambria Math&quot;/&gt;&lt;w:i/&gt;&lt;w:lang w:fareast=&quot;EN-GB&quot;/&gt;&lt;/w:rPr&gt;&lt;m:t&gt;y&lt;/m:t&gt;&lt;/m:r&gt;&lt;/m:e&gt;&lt;m:sub&gt;&lt;m:r&gt;&lt;w:rPr&gt;&lt;w:rFonts w:ascii=&quot;Cambria Math&quot; w:h-ansi=&quot;Cambria Math&quot; w:cs=&quot;Calibri&quot;/&gt;&lt;wx:font wx:val=&quot;Cambria Math&quot;/&gt;&lt;w:i/&gt;&lt;w:lang w:fareast=&quot;EN-GB&quot;/&gt;&lt;/w:rPr&gt;&lt;m:t&gt;i&lt;/m:t&gt;&lt;/m:r&gt;&lt;/m:sub&gt;&lt;/m:sSub&gt;&lt;/m:e&gt;&lt;/m:nary&gt;&lt;m:r&gt;&lt;w:rPr&gt;&lt;w:rFonts w:ascii=&quot;Cambria Math&quot; w:h-ansi=&quot;Cambria Math&quot; w:cs=&quot;Calibri&quot;/&gt;&lt;wx:font wx:val=&quot;Cambria Math&quot;/&gt;&lt;w:i/&gt;&lt;w:lang w:fareast=&quot;EN-GB&quot;/&gt;&lt;/w:rPr&gt;&lt;m:t&gt;/&lt;/m:t&gt;&lt;/m:r&gt;&lt;m:nary&gt;&lt;m:naryPr&gt;&lt;m:chr m:val=&quot;âˆ‘&quot;/&gt;&lt;m:limLoc m:val=&quot;undOvr&quot;/&gt;&lt;m:ctrlPr&gt;&lt;w:rPr&gt;&lt;w:rFonts w:ascii=&quot;Cambria Math&quot; w:h-ansi=&quot;Cambria Math&quot; w:cs=&quot;Calibri&quot;/&gt;&lt;wx:font wx:val=&quot;Cambria Math&quot;/&gt;&lt;w:i/&gt;&lt;w:i-cs/&gt;&lt;w:lang w:fareast=&quot;EN-GB&quot;/&gt;&lt;/w:rPr&gt;&lt;/m:ctrlPr&gt;&lt;/m:naryPr&gt;&lt;m:sub&gt;&lt;m:r&gt;&lt;w:rPr&gt;&lt;w:rFonts w:ascii=&quot;Cambria Math&quot; w:h-ansi=&quot;Cambria Math&quot; w:cs=&quot;Calibri&quot;/&gt;&lt;wx:font wx:val=&quot;Cambria Math&quot;/&gt;&lt;w:i/&gt;&lt;w:lang w:fareast=&quot;EN-GB&quot;/&gt;&lt;/w:rPr&gt;&lt;m:t&gt;i=m&lt;/m:t&gt;&lt;/m:r&gt;&lt;/m:sub&gt;&lt;m:sup&gt;&lt;m:r&gt;&lt;w:rPr&gt;&lt;w:rFonts w:ascii=&quot;Cambria Math&quot; w:h-ansi=&quot;Cambria Math&quot; w:cs=&quot;Calibri&quot;/&gt;&lt;wx:font wx:val=&quot;Cambria Math&quot;/&gt;&lt;w:i/&gt;&lt;w:lang w:fareast=&quot;EN-GB&quot;/&gt;&lt;/w:rPr&gt;&lt;m:t&gt;n&lt;/m:t&gt;&lt;/m:r&gt;&lt;/m:sup&gt;&lt;m:e&gt;&lt;m:sSub&gt;&lt;m:sSubPr&gt;&lt;m:ctrlPr&gt;&lt;w:rPr&gt;&lt;w:rFonts w:ascii=&quot;Cambria Math&quot; w:h-ansi=&quot;Cambria Math&quot; w:cs=&quot;Calibri&quot;/&gt;&lt;wx:font wx:val=&quot;Cambria Math&quot;/&gt;&lt;w:i/&gt;&lt;w:i-cs/&gt;&lt;w:lang w:fareast=&quot;EN-GB&quot;/&gt;&lt;/w:rPr&gt;&lt;/m:ctrlPr&gt;&lt;/m:sSubPr&gt;&lt;m:e&gt;&lt;m:r&gt;&lt;w:rPr&gt;&lt;w:rFonts w:ascii=&quot;Cambria Math&quot; w:h-ansi=&quot;Cambria Math&quot; w:cs=&quot;Calibri&quot;/&gt;&lt;wx:font wx:val=&quot;Cambria Math&quot;/&gt;&lt;w:i/&gt;&lt;w:lang w:fareast=&quot;EN-GB&quot;/&gt;&lt;/w:rPr&gt;&lt;m:t&gt;x&lt;/m:t&gt;&lt;/m:r&gt;&lt;/m:e&gt;&lt;m:sub&gt;&lt;m:r&gt;&lt;w:rPr&gt;&lt;w:rFonts w:ascii=&quot;Cambria Math&quot; w:h-ansi=&quot;Cambria Math&quot; w:cs=&quot;Calibri&quot;/&gt;&lt;wx:font wx:val=&quot;Cambria Math&quot;/&gt;&lt;w:i/&gt;&lt;w:lang w:fareast=&quot;EN-GB&quot;/&gt;&lt;/w:rPr&gt;&lt;m:t&gt;i&lt;/m:t&gt;&lt;/m:r&gt;&lt;/m:sub&gt;&lt;/m:sSub&gt;&lt;/m:e&gt;&lt;/m:nary&gt;&lt;/m:e&gt;&lt;/m:d&gt;&lt;/m:oMath&gt;&lt;/m:oMathPara&gt;&lt;/w:p&gt;&lt;w:sectPr wsp:rsidR=&quot;00000000&quot; wsp:rsidRPr=&quot;005041E4&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 o:title="" chromakey="white"/>
          </v:shape>
        </w:pict>
      </w:r>
    </w:p>
    <w:p w14:paraId="7F947F26" w14:textId="77777777" w:rsidR="00E20138" w:rsidRPr="00D9348B" w:rsidRDefault="00E20138" w:rsidP="00E20138">
      <w:pPr>
        <w:pStyle w:val="BodyText"/>
        <w:spacing w:after="0"/>
        <w:ind w:left="964" w:hanging="964"/>
        <w:rPr>
          <w:rFonts w:cs="Calibri"/>
        </w:rPr>
      </w:pPr>
      <w:r w:rsidRPr="00D9348B">
        <w:rPr>
          <w:rFonts w:cs="Calibri"/>
          <w:lang w:eastAsia="en-GB"/>
        </w:rPr>
        <w:t xml:space="preserve">Where: </w:t>
      </w:r>
      <w:r w:rsidRPr="00D9348B">
        <w:rPr>
          <w:rFonts w:cs="Calibri"/>
          <w:lang w:eastAsia="en-GB"/>
        </w:rPr>
        <w:tab/>
      </w:r>
      <w:proofErr w:type="gramStart"/>
      <w:r w:rsidRPr="00D9348B">
        <w:rPr>
          <w:rFonts w:cs="Calibri"/>
          <w:i/>
        </w:rPr>
        <w:t>y</w:t>
      </w:r>
      <w:r w:rsidRPr="00D9348B">
        <w:rPr>
          <w:rFonts w:cs="Calibri"/>
          <w:vertAlign w:val="subscript"/>
        </w:rPr>
        <w:t>t</w:t>
      </w:r>
      <w:proofErr w:type="gramEnd"/>
      <w:r w:rsidRPr="00D9348B">
        <w:rPr>
          <w:rFonts w:cs="Calibri"/>
        </w:rPr>
        <w:t xml:space="preserve"> is the recalculated emission estimate computed using the overlap method</w:t>
      </w:r>
    </w:p>
    <w:p w14:paraId="7EDEC7F7" w14:textId="77777777" w:rsidR="00E20138" w:rsidRPr="00D9348B" w:rsidRDefault="00E20138" w:rsidP="00E20138">
      <w:pPr>
        <w:pStyle w:val="Sub-bullet"/>
        <w:numPr>
          <w:ilvl w:val="0"/>
          <w:numId w:val="0"/>
        </w:numPr>
        <w:tabs>
          <w:tab w:val="clear" w:pos="794"/>
        </w:tabs>
        <w:spacing w:before="120" w:after="0"/>
        <w:ind w:left="964" w:hanging="964"/>
        <w:rPr>
          <w:rFonts w:cs="Calibri"/>
        </w:rPr>
      </w:pPr>
      <w:r w:rsidRPr="00D9348B">
        <w:rPr>
          <w:rFonts w:cs="Calibri"/>
        </w:rPr>
        <w:tab/>
      </w:r>
      <w:proofErr w:type="gramStart"/>
      <w:r w:rsidRPr="00D9348B">
        <w:rPr>
          <w:rFonts w:cs="Calibri"/>
          <w:i/>
        </w:rPr>
        <w:t>x</w:t>
      </w:r>
      <w:r w:rsidRPr="00D9348B">
        <w:rPr>
          <w:rFonts w:cs="Calibri"/>
          <w:vertAlign w:val="subscript"/>
        </w:rPr>
        <w:t>t</w:t>
      </w:r>
      <w:proofErr w:type="gramEnd"/>
      <w:r w:rsidRPr="00D9348B">
        <w:rPr>
          <w:rFonts w:cs="Calibri"/>
        </w:rPr>
        <w:t xml:space="preserve"> is the estimate developed using the previous method</w:t>
      </w:r>
    </w:p>
    <w:p w14:paraId="43AA55FA" w14:textId="77777777" w:rsidR="00E20138" w:rsidRPr="00D9348B" w:rsidRDefault="00E20138" w:rsidP="00E20138">
      <w:pPr>
        <w:pStyle w:val="Sub-bullet"/>
        <w:numPr>
          <w:ilvl w:val="0"/>
          <w:numId w:val="0"/>
        </w:numPr>
        <w:tabs>
          <w:tab w:val="clear" w:pos="794"/>
        </w:tabs>
        <w:spacing w:before="120"/>
        <w:ind w:left="964" w:hanging="964"/>
        <w:rPr>
          <w:rFonts w:cs="Calibri"/>
        </w:rPr>
      </w:pPr>
      <w:r w:rsidRPr="00D9348B">
        <w:rPr>
          <w:rFonts w:cs="Calibri"/>
        </w:rPr>
        <w:tab/>
      </w:r>
      <w:proofErr w:type="gramStart"/>
      <w:r w:rsidRPr="00D9348B">
        <w:rPr>
          <w:rFonts w:cs="Calibri"/>
          <w:i/>
        </w:rPr>
        <w:t>y</w:t>
      </w:r>
      <w:r w:rsidRPr="00D9348B">
        <w:rPr>
          <w:rFonts w:cs="Calibri"/>
          <w:i/>
          <w:vertAlign w:val="subscript"/>
        </w:rPr>
        <w:t>i</w:t>
      </w:r>
      <w:proofErr w:type="gramEnd"/>
      <w:r w:rsidRPr="00D9348B">
        <w:rPr>
          <w:rFonts w:cs="Calibri"/>
        </w:rPr>
        <w:t xml:space="preserve"> and </w:t>
      </w:r>
      <w:r w:rsidRPr="00D9348B">
        <w:rPr>
          <w:rFonts w:cs="Calibri"/>
          <w:i/>
        </w:rPr>
        <w:t>x</w:t>
      </w:r>
      <w:r w:rsidRPr="00D9348B">
        <w:rPr>
          <w:rFonts w:cs="Calibri"/>
          <w:i/>
          <w:vertAlign w:val="subscript"/>
        </w:rPr>
        <w:t>i</w:t>
      </w:r>
      <w:r w:rsidRPr="00D9348B">
        <w:rPr>
          <w:rFonts w:cs="Calibri"/>
        </w:rPr>
        <w:t xml:space="preserve"> are the estimates prepared using the new and previously used methods during the period of overlap, as denoted by years </w:t>
      </w:r>
      <w:r w:rsidRPr="00D9348B">
        <w:rPr>
          <w:rFonts w:cs="Calibri"/>
          <w:i/>
        </w:rPr>
        <w:t>m</w:t>
      </w:r>
      <w:r w:rsidRPr="00D9348B">
        <w:rPr>
          <w:rFonts w:cs="Calibri"/>
        </w:rPr>
        <w:t xml:space="preserve"> through </w:t>
      </w:r>
      <w:r w:rsidRPr="00D9348B">
        <w:rPr>
          <w:rFonts w:cs="Calibri"/>
          <w:i/>
        </w:rPr>
        <w:t>n</w:t>
      </w:r>
      <w:r w:rsidRPr="00D9348B">
        <w:rPr>
          <w:rFonts w:cs="Calibri"/>
        </w:rPr>
        <w:t>.</w:t>
      </w:r>
    </w:p>
    <w:p w14:paraId="78B12C69" w14:textId="77777777" w:rsidR="00E20138" w:rsidRPr="00D9348B" w:rsidRDefault="00E20138" w:rsidP="009134CA">
      <w:pPr>
        <w:pStyle w:val="BodyText"/>
        <w:spacing w:after="0"/>
        <w:rPr>
          <w:rFonts w:cs="Calibri"/>
          <w:lang w:eastAsia="en-GB"/>
        </w:rPr>
      </w:pPr>
      <w:r w:rsidRPr="00D9348B">
        <w:rPr>
          <w:rFonts w:cs="Calibri"/>
          <w:lang w:eastAsia="en-GB"/>
        </w:rPr>
        <w:t>However, for gasoline and diesel vehicles, the ratio Tier 3</w:t>
      </w:r>
      <w:proofErr w:type="gramStart"/>
      <w:r w:rsidRPr="00D9348B">
        <w:rPr>
          <w:rFonts w:cs="Calibri"/>
          <w:lang w:eastAsia="en-GB"/>
        </w:rPr>
        <w:t>:Tier</w:t>
      </w:r>
      <w:proofErr w:type="gramEnd"/>
      <w:r w:rsidRPr="00D9348B">
        <w:rPr>
          <w:rFonts w:cs="Calibri"/>
          <w:lang w:eastAsia="en-GB"/>
        </w:rPr>
        <w:t xml:space="preserve"> 1 appears to change approximately linearly with time. While surrogates for Ministry of Transport data were available (fuel consumption), their use resulted in a step-change that is unlikely to be </w:t>
      </w:r>
      <w:r w:rsidRPr="00D9348B">
        <w:rPr>
          <w:rFonts w:cs="Calibri"/>
          <w:lang w:eastAsia="en-GB"/>
        </w:rPr>
        <w:lastRenderedPageBreak/>
        <w:t>representative of road transport emissions for the period. While the trend in emissions was not consistent over time, the trend of the Tier 3</w:t>
      </w:r>
      <w:proofErr w:type="gramStart"/>
      <w:r w:rsidRPr="00D9348B">
        <w:rPr>
          <w:rFonts w:cs="Calibri"/>
          <w:lang w:eastAsia="en-GB"/>
        </w:rPr>
        <w:t>:Tier</w:t>
      </w:r>
      <w:proofErr w:type="gramEnd"/>
      <w:r w:rsidRPr="00D9348B">
        <w:rPr>
          <w:rFonts w:cs="Calibri"/>
          <w:lang w:eastAsia="en-GB"/>
        </w:rPr>
        <w:t xml:space="preserve"> 1 ratio emission estimates showed a strong linear relationship with time. As a result, a hybrid method of overlap and trend extrapolation was chosen with:</w:t>
      </w:r>
    </w:p>
    <w:p w14:paraId="4001BB1F" w14:textId="049B9365" w:rsidR="00E20138" w:rsidRPr="00D9348B" w:rsidRDefault="00DA6C03" w:rsidP="00E20138">
      <w:pPr>
        <w:pStyle w:val="BodyText"/>
        <w:spacing w:before="0"/>
        <w:jc w:val="center"/>
        <w:rPr>
          <w:rFonts w:cs="Calibri"/>
        </w:rPr>
      </w:pPr>
      <w:r>
        <w:pict w14:anchorId="4B22797D">
          <v:shape id="_x0000_i1062" type="#_x0000_t75" style="width:73.25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activeWritingStyle w:lang=&quot;EN-NZ&quot; w:vendorID=&quot;64&quot; w:dllVersion=&quot;6&quot; w:nlCheck=&quot;on&quot; w:optionSet=&quot;1&quot;/&gt;&lt;w:stylePaneFormatFilter w:val=&quot;5804&quot;/&gt;&lt;w:defaultTabStop w:val=&quot;397&quot;/&gt;&lt;w:evenAndOddHeaders/&gt;&lt;w:drawingGridHorizontalSpacing w:val=&quot;187&quot;/&gt;&lt;w:displayVerticalDrawingGridEvery w:val=&quot;2&quot;/&gt;&lt;w:characterSpacingControl w:val=&quot;DontCompress&quot;/&gt;&lt;w:optimizeForBrowser/&gt;&lt;w:validateAgainstSchema/&gt;&lt;w:saveInvalidXML w:val=&quot;off&quot;/&gt;&lt;w:ignoreMixedContent w:val=&quot;off&quot;/&gt;&lt;w:alwaysShowPlaceholderText w:val=&quot;off&quot;/&gt;&lt;w:compat&gt;&lt;w:suppressBottomSpacing/&gt;&lt;w:suppressTopSpacing/&gt;&lt;w:doNotUseHTMLParagraphAutoSpacing/&gt;&lt;w:breakWrappedTables/&gt;&lt;w:snapToGridInCell/&gt;&lt;w:wrapTextWithPunct/&gt;&lt;w:useAsianBreakRules/&gt;&lt;w:useWord2002TableStyleRules/&gt;&lt;/w:compat&gt;&lt;wsp:rsids&gt;&lt;wsp:rsidRoot wsp:val=&quot;007A30E8&quot;/&gt;&lt;wsp:rsid wsp:val=&quot;00001716&quot;/&gt;&lt;wsp:rsid wsp:val=&quot;00007ABB&quot;/&gt;&lt;wsp:rsid wsp:val=&quot;00021ACF&quot;/&gt;&lt;wsp:rsid wsp:val=&quot;00027E55&quot;/&gt;&lt;wsp:rsid wsp:val=&quot;00032A28&quot;/&gt;&lt;wsp:rsid wsp:val=&quot;00035185&quot;/&gt;&lt;wsp:rsid wsp:val=&quot;00050008&quot;/&gt;&lt;wsp:rsid wsp:val=&quot;000576EC&quot;/&gt;&lt;wsp:rsid wsp:val=&quot;000959CB&quot;/&gt;&lt;wsp:rsid wsp:val=&quot;000C20A6&quot;/&gt;&lt;wsp:rsid wsp:val=&quot;000F4DEF&quot;/&gt;&lt;wsp:rsid wsp:val=&quot;00103A70&quot;/&gt;&lt;wsp:rsid wsp:val=&quot;00116E1B&quot;/&gt;&lt;wsp:rsid wsp:val=&quot;001221C3&quot;/&gt;&lt;wsp:rsid wsp:val=&quot;00153F5A&quot;/&gt;&lt;wsp:rsid wsp:val=&quot;001970E1&quot;/&gt;&lt;wsp:rsid wsp:val=&quot;001A1997&quot;/&gt;&lt;wsp:rsid wsp:val=&quot;001B6FD2&quot;/&gt;&lt;wsp:rsid wsp:val=&quot;00207ABF&quot;/&gt;&lt;wsp:rsid wsp:val=&quot;002110AB&quot;/&gt;&lt;wsp:rsid wsp:val=&quot;002253F5&quot;/&gt;&lt;wsp:rsid wsp:val=&quot;00240B42&quot;/&gt;&lt;wsp:rsid wsp:val=&quot;00260B48&quot;/&gt;&lt;wsp:rsid wsp:val=&quot;0028581A&quot;/&gt;&lt;wsp:rsid wsp:val=&quot;002868D3&quot;/&gt;&lt;wsp:rsid wsp:val=&quot;00295B2A&quot;/&gt;&lt;wsp:rsid wsp:val=&quot;002A1361&quot;/&gt;&lt;wsp:rsid wsp:val=&quot;002A49D7&quot;/&gt;&lt;wsp:rsid wsp:val=&quot;002B1C5A&quot;/&gt;&lt;wsp:rsid wsp:val=&quot;002B3284&quot;/&gt;&lt;wsp:rsid wsp:val=&quot;002D60DB&quot;/&gt;&lt;wsp:rsid wsp:val=&quot;002D6A54&quot;/&gt;&lt;wsp:rsid wsp:val=&quot;002F134A&quot;/&gt;&lt;wsp:rsid wsp:val=&quot;00302D84&quot;/&gt;&lt;wsp:rsid wsp:val=&quot;00315760&quot;/&gt;&lt;wsp:rsid wsp:val=&quot;0032349D&quot;/&gt;&lt;wsp:rsid wsp:val=&quot;0037590E&quot;/&gt;&lt;wsp:rsid wsp:val=&quot;00377186&quot;/&gt;&lt;wsp:rsid wsp:val=&quot;00383207&quot;/&gt;&lt;wsp:rsid wsp:val=&quot;003972EF&quot;/&gt;&lt;wsp:rsid wsp:val=&quot;00397D2B&quot;/&gt;&lt;wsp:rsid wsp:val=&quot;003A5006&quot;/&gt;&lt;wsp:rsid wsp:val=&quot;003C2615&quot;/&gt;&lt;wsp:rsid wsp:val=&quot;003D0318&quot;/&gt;&lt;wsp:rsid wsp:val=&quot;003D5417&quot;/&gt;&lt;wsp:rsid wsp:val=&quot;00400F92&quot;/&gt;&lt;wsp:rsid wsp:val=&quot;004044F1&quot;/&gt;&lt;wsp:rsid wsp:val=&quot;0042424B&quot;/&gt;&lt;wsp:rsid wsp:val=&quot;00430D5D&quot;/&gt;&lt;wsp:rsid wsp:val=&quot;0045652C&quot;/&gt;&lt;wsp:rsid wsp:val=&quot;00462497&quot;/&gt;&lt;wsp:rsid wsp:val=&quot;004805A3&quot;/&gt;&lt;wsp:rsid wsp:val=&quot;00490EB0&quot;/&gt;&lt;wsp:rsid wsp:val=&quot;004A39F8&quot;/&gt;&lt;wsp:rsid wsp:val=&quot;004A618E&quot;/&gt;&lt;wsp:rsid wsp:val=&quot;004E4B2C&quot;/&gt;&lt;wsp:rsid wsp:val=&quot;004F1572&quot;/&gt;&lt;wsp:rsid wsp:val=&quot;00526270&quot;/&gt;&lt;wsp:rsid wsp:val=&quot;00534210&quot;/&gt;&lt;wsp:rsid wsp:val=&quot;00543478&quot;/&gt;&lt;wsp:rsid wsp:val=&quot;00545600&quot;/&gt;&lt;wsp:rsid wsp:val=&quot;00546A6A&quot;/&gt;&lt;wsp:rsid wsp:val=&quot;005630B0&quot;/&gt;&lt;wsp:rsid wsp:val=&quot;005660CD&quot;/&gt;&lt;wsp:rsid wsp:val=&quot;005720F2&quot;/&gt;&lt;wsp:rsid wsp:val=&quot;00596603&quot;/&gt;&lt;wsp:rsid wsp:val=&quot;005B76A4&quot;/&gt;&lt;wsp:rsid wsp:val=&quot;005C3384&quot;/&gt;&lt;wsp:rsid wsp:val=&quot;005C416E&quot;/&gt;&lt;wsp:rsid wsp:val=&quot;005D1C3A&quot;/&gt;&lt;wsp:rsid wsp:val=&quot;005E43DD&quot;/&gt;&lt;wsp:rsid wsp:val=&quot;00600179&quot;/&gt;&lt;wsp:rsid wsp:val=&quot;00603FC0&quot;/&gt;&lt;wsp:rsid wsp:val=&quot;00636BF0&quot;/&gt;&lt;wsp:rsid wsp:val=&quot;00646B6D&quot;/&gt;&lt;wsp:rsid wsp:val=&quot;00655908&quot;/&gt;&lt;wsp:rsid wsp:val=&quot;006654F8&quot;/&gt;&lt;wsp:rsid wsp:val=&quot;00665768&quot;/&gt;&lt;wsp:rsid wsp:val=&quot;00667291&quot;/&gt;&lt;wsp:rsid wsp:val=&quot;00686249&quot;/&gt;&lt;wsp:rsid wsp:val=&quot;00687504&quot;/&gt;&lt;wsp:rsid wsp:val=&quot;006A171F&quot;/&gt;&lt;wsp:rsid wsp:val=&quot;006A4E5F&quot;/&gt;&lt;wsp:rsid wsp:val=&quot;006D3FAE&quot;/&gt;&lt;wsp:rsid wsp:val=&quot;006D4600&quot;/&gt;&lt;wsp:rsid wsp:val=&quot;006E0A2C&quot;/&gt;&lt;wsp:rsid wsp:val=&quot;006E202B&quot;/&gt;&lt;wsp:rsid wsp:val=&quot;006E57B5&quot;/&gt;&lt;wsp:rsid wsp:val=&quot;00702FA0&quot;/&gt;&lt;wsp:rsid wsp:val=&quot;00715D39&quot;/&gt;&lt;wsp:rsid wsp:val=&quot;00724218&quot;/&gt;&lt;wsp:rsid wsp:val=&quot;00737E65&quot;/&gt;&lt;wsp:rsid wsp:val=&quot;0074030A&quot;/&gt;&lt;wsp:rsid wsp:val=&quot;007409A3&quot;/&gt;&lt;wsp:rsid wsp:val=&quot;007575A8&quot;/&gt;&lt;wsp:rsid wsp:val=&quot;00762043&quot;/&gt;&lt;wsp:rsid wsp:val=&quot;007633C2&quot;/&gt;&lt;wsp:rsid wsp:val=&quot;00765A47&quot;/&gt;&lt;wsp:rsid wsp:val=&quot;00770E82&quot;/&gt;&lt;wsp:rsid wsp:val=&quot;00772E94&quot;/&gt;&lt;wsp:rsid wsp:val=&quot;007A30E8&quot;/&gt;&lt;wsp:rsid wsp:val=&quot;007B028B&quot;/&gt;&lt;wsp:rsid wsp:val=&quot;007B1D71&quot;/&gt;&lt;wsp:rsid wsp:val=&quot;007C00D0&quot;/&gt;&lt;wsp:rsid wsp:val=&quot;007C2186&quot;/&gt;&lt;wsp:rsid wsp:val=&quot;007F2233&quot;/&gt;&lt;wsp:rsid wsp:val=&quot;0080694B&quot;/&gt;&lt;wsp:rsid wsp:val=&quot;0081779C&quot;/&gt;&lt;wsp:rsid wsp:val=&quot;00831D0D&quot;/&gt;&lt;wsp:rsid wsp:val=&quot;00832DEE&quot;/&gt;&lt;wsp:rsid wsp:val=&quot;00854B9D&quot;/&gt;&lt;wsp:rsid wsp:val=&quot;00855A8A&quot;/&gt;&lt;wsp:rsid wsp:val=&quot;00872795&quot;/&gt;&lt;wsp:rsid wsp:val=&quot;008A2EC5&quot;/&gt;&lt;wsp:rsid wsp:val=&quot;008B77F5&quot;/&gt;&lt;wsp:rsid wsp:val=&quot;008C0279&quot;/&gt;&lt;wsp:rsid wsp:val=&quot;008C7F68&quot;/&gt;&lt;wsp:rsid wsp:val=&quot;008E380C&quot;/&gt;&lt;wsp:rsid wsp:val=&quot;008E405A&quot;/&gt;&lt;wsp:rsid wsp:val=&quot;008F25D2&quot;/&gt;&lt;wsp:rsid wsp:val=&quot;008F50EC&quot;/&gt;&lt;wsp:rsid wsp:val=&quot;00914CC6&quot;/&gt;&lt;wsp:rsid wsp:val=&quot;0092751F&quot;/&gt;&lt;wsp:rsid wsp:val=&quot;00932067&quot;/&gt;&lt;wsp:rsid wsp:val=&quot;0093594A&quot;/&gt;&lt;wsp:rsid wsp:val=&quot;00955D73&quot;/&gt;&lt;wsp:rsid wsp:val=&quot;0096512C&quot;/&gt;&lt;wsp:rsid wsp:val=&quot;0096540A&quot;/&gt;&lt;wsp:rsid wsp:val=&quot;009C5D2A&quot;/&gt;&lt;wsp:rsid wsp:val=&quot;00A02252&quot;/&gt;&lt;wsp:rsid wsp:val=&quot;00A06700&quot;/&gt;&lt;wsp:rsid wsp:val=&quot;00A331E7&quot;/&gt;&lt;wsp:rsid wsp:val=&quot;00A34169&quot;/&gt;&lt;wsp:rsid wsp:val=&quot;00A41C3C&quot;/&gt;&lt;wsp:rsid wsp:val=&quot;00AB2710&quot;/&gt;&lt;wsp:rsid wsp:val=&quot;00AD184B&quot;/&gt;&lt;wsp:rsid wsp:val=&quot;00B0566D&quot;/&gt;&lt;wsp:rsid wsp:val=&quot;00B35BD9&quot;/&gt;&lt;wsp:rsid wsp:val=&quot;00B37DE8&quot;/&gt;&lt;wsp:rsid wsp:val=&quot;00B44BA5&quot;/&gt;&lt;wsp:rsid wsp:val=&quot;00B928E7&quot;/&gt;&lt;wsp:rsid wsp:val=&quot;00BA5F7E&quot;/&gt;&lt;wsp:rsid wsp:val=&quot;00BC7E76&quot;/&gt;&lt;wsp:rsid wsp:val=&quot;00BE5513&quot;/&gt;&lt;wsp:rsid wsp:val=&quot;00BF12F6&quot;/&gt;&lt;wsp:rsid wsp:val=&quot;00C00765&quot;/&gt;&lt;wsp:rsid wsp:val=&quot;00C10464&quot;/&gt;&lt;wsp:rsid wsp:val=&quot;00C119C2&quot;/&gt;&lt;wsp:rsid wsp:val=&quot;00C21B54&quot;/&gt;&lt;wsp:rsid wsp:val=&quot;00C40967&quot;/&gt;&lt;wsp:rsid wsp:val=&quot;00C42C64&quot;/&gt;&lt;wsp:rsid wsp:val=&quot;00C4400C&quot;/&gt;&lt;wsp:rsid wsp:val=&quot;00C600E2&quot;/&gt;&lt;wsp:rsid wsp:val=&quot;00C63D43&quot;/&gt;&lt;wsp:rsid wsp:val=&quot;00C74134&quot;/&gt;&lt;wsp:rsid wsp:val=&quot;00C823B1&quot;/&gt;&lt;wsp:rsid wsp:val=&quot;00CA271E&quot;/&gt;&lt;wsp:rsid wsp:val=&quot;00CB1488&quot;/&gt;&lt;wsp:rsid wsp:val=&quot;00CB7414&quot;/&gt;&lt;wsp:rsid wsp:val=&quot;00CE19C1&quot;/&gt;&lt;wsp:rsid wsp:val=&quot;00D01CFE&quot;/&gt;&lt;wsp:rsid wsp:val=&quot;00D07C4B&quot;/&gt;&lt;wsp:rsid wsp:val=&quot;00D225D8&quot;/&gt;&lt;wsp:rsid wsp:val=&quot;00D33A2E&quot;/&gt;&lt;wsp:rsid wsp:val=&quot;00D511A1&quot;/&gt;&lt;wsp:rsid wsp:val=&quot;00D651CA&quot;/&gt;&lt;wsp:rsid wsp:val=&quot;00D872BF&quot;/&gt;&lt;wsp:rsid wsp:val=&quot;00DE01F6&quot;/&gt;&lt;wsp:rsid wsp:val=&quot;00DE2998&quot;/&gt;&lt;wsp:rsid wsp:val=&quot;00DE4223&quot;/&gt;&lt;wsp:rsid wsp:val=&quot;00DE6B60&quot;/&gt;&lt;wsp:rsid wsp:val=&quot;00E06D10&quot;/&gt;&lt;wsp:rsid wsp:val=&quot;00E20138&quot;/&gt;&lt;wsp:rsid wsp:val=&quot;00E20458&quot;/&gt;&lt;wsp:rsid wsp:val=&quot;00E55420&quot;/&gt;&lt;wsp:rsid wsp:val=&quot;00E56487&quot;/&gt;&lt;wsp:rsid wsp:val=&quot;00E853F3&quot;/&gt;&lt;wsp:rsid wsp:val=&quot;00EC2491&quot;/&gt;&lt;wsp:rsid wsp:val=&quot;00ED2C42&quot;/&gt;&lt;wsp:rsid wsp:val=&quot;00EF3B2B&quot;/&gt;&lt;wsp:rsid wsp:val=&quot;00F00EE9&quot;/&gt;&lt;wsp:rsid wsp:val=&quot;00F379DD&quot;/&gt;&lt;wsp:rsid wsp:val=&quot;00F44640&quot;/&gt;&lt;wsp:rsid wsp:val=&quot;00F47244&quot;/&gt;&lt;wsp:rsid wsp:val=&quot;00F511A7&quot;/&gt;&lt;wsp:rsid wsp:val=&quot;00F660F9&quot;/&gt;&lt;wsp:rsid wsp:val=&quot;00FA5F45&quot;/&gt;&lt;wsp:rsid wsp:val=&quot;00FA7522&quot;/&gt;&lt;wsp:rsid wsp:val=&quot;00FB71DC&quot;/&gt;&lt;wsp:rsid wsp:val=&quot;00FC2C59&quot;/&gt;&lt;wsp:rsid wsp:val=&quot;00FD178C&quot;/&gt;&lt;/wsp:rsids&gt;&lt;/w:docPr&gt;&lt;w:body&gt;&lt;wx:sect&gt;&lt;w:p wsp:rsidR=&quot;00000000&quot; wsp:rsidRPr=&quot;002110AB&quot; wsp:rsidRDefault=&quot;002110AB&quot; wsp:rsidP=&quot;002110AB&quot;&gt;&lt;m:oMathPara&gt;&lt;m:oMath&gt;&lt;m:sSub&gt;&lt;m:sSubPr&gt;&lt;m:ctrlPr&gt;&lt;w:rPr&gt;&lt;w:rFonts w:ascii=&quot;Cambria Math&quot; w:h-ansi=&quot;Cambria Math&quot; w:cs=&quot;Calibri&quot;/&gt;&lt;wx:font wx:val=&quot;Cambria Math&quot;/&gt;&lt;w:i/&gt;&lt;w:i-cs/&gt;&lt;w:lang w:fareast=&quot;EN-GB&quot;/&gt;&lt;/w:rPr&gt;&lt;/m:ctrlPr&gt;&lt;/m:sSubPr&gt;&lt;m:e&gt;&lt;m:r&gt;&lt;w:rPr&gt;&lt;w:rFonts w:ascii=&quot;Cambria Math&quot; w:h-ansi=&quot;Cambria Math&quot; w:cs=&quot;Calibri&quot;/&gt;&lt;wx:font wx:val=&quot;Cambria Math&quot;/&gt;&lt;w:i/&gt;&lt;w:lang w:fareast=&quot;EN-GB&quot;/&gt;&lt;/w:rPr&gt;&lt;m:t&gt;y&lt;/m:t&gt;&lt;/m:r&gt;&lt;/m:e&gt;&lt;m:sub&gt;&lt;m:r&gt;&lt;w:rPr&gt;&lt;w:rFonts w:ascii=&quot;Cambria Math&quot; w:h-ansi=&quot;Cambria Math&quot; w:cs=&quot;Calibri&quot;/&gt;&lt;wx:font wx:val=&quot;Cambria Math&quot;/&gt;&lt;w:i/&gt;&lt;w:lang w:fareast=&quot;EN-GB&quot;/&gt;&lt;/w:rPr&gt;&lt;m:t&gt;t&lt;/m:t&gt;&lt;/m:r&gt;&lt;/m:sub&gt;&lt;/m:sSub&gt;&lt;m:r&gt;&lt;w:rPr&gt;&lt;w:rFonts w:ascii=&quot;Cambria Math&quot; w:h-ansi=&quot;Cambria Math&quot; w:cs=&quot;Calibri&quot;/&gt;&lt;wx:font wx:val=&quot;Cambria Math&quot;/&gt;&lt;w:i/&gt;&lt;w:lang w:fareast=&quot;EN-GB&quot;/&gt;&lt;/w:rPr&gt;&lt;m:t&gt;=(at+b)&lt;/m:t&gt;&lt;/m:r&gt;&lt;m:sSub&gt;&lt;m:sSubPr&gt;&lt;m:ctrlPr&gt;&lt;w:rPr&gt;&lt;w:rFonts w:ascii=&quot;Cambria Math&quot; w:h-ansi=&quot;Cambria Math&quot; w:cs=&quot;Calibri&quot;/&gt;&lt;wx:font wx:val=&quot;Cambria Math&quot;/&gt;&lt;w:i/&gt;&lt;w:i-cs/&gt;&lt;w:lang w:fareast=&quot;EN-GB&quot;/&gt;&lt;/w:rPr&gt;&lt;/m:ctrlPr&gt;&lt;/m:sSubPr&gt;&lt;m:e&gt;&lt;m:r&gt;&lt;w:rPr&gt;&lt;w:rFonts w:ascii=&quot;Cambria Math&quot; w:h-ansi=&quot;Cambria Math&quot; w:cs=&quot;Calibri&quot;/&gt;&lt;wx:font wx:val=&quot;Cambria Math&quot;/&gt;&lt;w:i/&gt;&lt;w:lang w:fareast=&quot;EN-GB&quot;/&gt;&lt;/w:rPr&gt;&lt;m:t&gt;x&lt;/m:t&gt;&lt;/m:r&gt;&lt;/m:e&gt;&lt;m:sub&gt;&lt;m:r&gt;&lt;w:rPr&gt;&lt;w:rFonts w:ascii=&quot;Cambria Math&quot; w:h-ansi=&quot;Cambria Math&quot; w:cs=&quot;Calibri&quot;/&gt;&lt;wx:font wx:val=&quot;Cambria Math&quot;/&gt;&lt;w:i/&gt;&lt;w:lang w:fareast=&quot;EN-GB&quot;/&gt;&lt;/w:rPr&gt;&lt;m:t&gt;t&lt;/m:t&gt;&lt;/m:r&gt;&lt;/m:sub&gt;&lt;/m:sSub&gt;&lt;/m:oMath&gt;&lt;/m:oMathPara&gt;&lt;/w:p&gt;&lt;w:sectPr wsp:rsidR=&quot;00000000&quot; wsp:rsidRPr=&quot;002110AB&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 o:title="" chromakey="white"/>
          </v:shape>
        </w:pict>
      </w:r>
    </w:p>
    <w:p w14:paraId="1D745B39" w14:textId="77777777" w:rsidR="00E20138" w:rsidRPr="00D9348B" w:rsidRDefault="00E20138" w:rsidP="00E20138">
      <w:pPr>
        <w:pStyle w:val="BodyText"/>
        <w:spacing w:before="60" w:after="0"/>
        <w:ind w:left="964" w:hanging="964"/>
        <w:rPr>
          <w:rFonts w:cs="Calibri"/>
        </w:rPr>
      </w:pPr>
      <w:r w:rsidRPr="00D9348B">
        <w:rPr>
          <w:rFonts w:cs="Calibri"/>
          <w:lang w:eastAsia="en-GB"/>
        </w:rPr>
        <w:t xml:space="preserve">Where: </w:t>
      </w:r>
      <w:r w:rsidRPr="00D9348B">
        <w:rPr>
          <w:rFonts w:cs="Calibri"/>
          <w:lang w:eastAsia="en-GB"/>
        </w:rPr>
        <w:tab/>
      </w:r>
      <w:r w:rsidRPr="00D9348B">
        <w:rPr>
          <w:rFonts w:cs="Calibri"/>
          <w:i/>
        </w:rPr>
        <w:t>t</w:t>
      </w:r>
      <w:r w:rsidRPr="00D9348B">
        <w:rPr>
          <w:rFonts w:cs="Calibri"/>
        </w:rPr>
        <w:t xml:space="preserve"> is the year for which a new estimate is required</w:t>
      </w:r>
    </w:p>
    <w:p w14:paraId="13DC4DB6" w14:textId="77777777" w:rsidR="00E20138" w:rsidRPr="00D9348B" w:rsidRDefault="00E20138" w:rsidP="009134CA">
      <w:pPr>
        <w:spacing w:before="100"/>
        <w:ind w:left="964" w:hanging="964"/>
        <w:rPr>
          <w:rFonts w:cs="Calibri"/>
        </w:rPr>
      </w:pPr>
      <w:r w:rsidRPr="00D9348B">
        <w:rPr>
          <w:rFonts w:cs="Calibri"/>
          <w:i/>
        </w:rPr>
        <w:tab/>
      </w:r>
      <w:proofErr w:type="gramStart"/>
      <w:r w:rsidRPr="00D9348B">
        <w:rPr>
          <w:rFonts w:cs="Calibri"/>
          <w:i/>
        </w:rPr>
        <w:t>a</w:t>
      </w:r>
      <w:proofErr w:type="gramEnd"/>
      <w:r w:rsidRPr="00D9348B">
        <w:rPr>
          <w:rFonts w:cs="Calibri"/>
        </w:rPr>
        <w:t xml:space="preserve"> is the slope of the line achieved by regressing Tier 3:Tier 1 for the overlap period</w:t>
      </w:r>
    </w:p>
    <w:p w14:paraId="059DF4D8" w14:textId="77777777" w:rsidR="00E20138" w:rsidRPr="00D9348B" w:rsidRDefault="00E20138" w:rsidP="009134CA">
      <w:pPr>
        <w:spacing w:before="100"/>
        <w:ind w:left="964" w:hanging="964"/>
        <w:rPr>
          <w:rFonts w:cs="Calibri"/>
        </w:rPr>
      </w:pPr>
      <w:r w:rsidRPr="00D9348B">
        <w:rPr>
          <w:rFonts w:cs="Calibri"/>
          <w:i/>
        </w:rPr>
        <w:tab/>
      </w:r>
      <w:proofErr w:type="gramStart"/>
      <w:r w:rsidRPr="00D9348B">
        <w:rPr>
          <w:rFonts w:cs="Calibri"/>
          <w:i/>
        </w:rPr>
        <w:t>b</w:t>
      </w:r>
      <w:proofErr w:type="gramEnd"/>
      <w:r w:rsidRPr="00D9348B">
        <w:rPr>
          <w:rFonts w:cs="Calibri"/>
        </w:rPr>
        <w:t xml:space="preserve"> is the intercept of the line achieved by regressing Tier 3:Tier 1 for the overlap period</w:t>
      </w:r>
    </w:p>
    <w:p w14:paraId="17C6BF03" w14:textId="77777777" w:rsidR="00E20138" w:rsidRPr="00D9348B" w:rsidRDefault="00E20138" w:rsidP="009134CA">
      <w:pPr>
        <w:spacing w:before="100" w:after="120"/>
        <w:ind w:left="964" w:hanging="964"/>
        <w:rPr>
          <w:rFonts w:cs="Calibri"/>
        </w:rPr>
      </w:pPr>
      <w:r w:rsidRPr="00D9348B">
        <w:rPr>
          <w:rFonts w:cs="Calibri"/>
        </w:rPr>
        <w:tab/>
      </w:r>
      <w:proofErr w:type="gramStart"/>
      <w:r w:rsidRPr="00D9348B">
        <w:rPr>
          <w:rFonts w:cs="Calibri"/>
          <w:i/>
        </w:rPr>
        <w:t>x</w:t>
      </w:r>
      <w:r w:rsidRPr="00D9348B">
        <w:rPr>
          <w:rFonts w:cs="Calibri"/>
          <w:i/>
          <w:vertAlign w:val="subscript"/>
        </w:rPr>
        <w:t>t</w:t>
      </w:r>
      <w:proofErr w:type="gramEnd"/>
      <w:r w:rsidRPr="00D9348B">
        <w:rPr>
          <w:rFonts w:cs="Calibri"/>
        </w:rPr>
        <w:t xml:space="preserve"> is the estimate for year </w:t>
      </w:r>
      <w:r w:rsidRPr="00D9348B">
        <w:rPr>
          <w:rFonts w:cs="Calibri"/>
          <w:i/>
        </w:rPr>
        <w:t>t</w:t>
      </w:r>
      <w:r w:rsidRPr="00D9348B">
        <w:rPr>
          <w:rFonts w:cs="Calibri"/>
        </w:rPr>
        <w:t xml:space="preserve"> using the previous methodology.</w:t>
      </w:r>
    </w:p>
    <w:p w14:paraId="3E9AA6F0" w14:textId="77777777" w:rsidR="00E20138" w:rsidRPr="00D9348B" w:rsidRDefault="00E20138" w:rsidP="00E20138">
      <w:pPr>
        <w:pStyle w:val="BodyText"/>
        <w:rPr>
          <w:rFonts w:cs="Calibri"/>
          <w:lang w:eastAsia="en-GB"/>
        </w:rPr>
      </w:pPr>
      <w:r w:rsidRPr="00D9348B">
        <w:rPr>
          <w:rFonts w:cs="Calibri"/>
          <w:lang w:eastAsia="en-GB"/>
        </w:rPr>
        <w:t>The relationship between Tier 3 and Tier 1 emissions is linear from 2001 to 2005 (inclusive) for both CH</w:t>
      </w:r>
      <w:r w:rsidRPr="00D9348B">
        <w:rPr>
          <w:rFonts w:cs="Calibri"/>
          <w:vertAlign w:val="subscript"/>
          <w:lang w:eastAsia="en-GB"/>
        </w:rPr>
        <w:t>4</w:t>
      </w:r>
      <w:r w:rsidRPr="00D9348B">
        <w:rPr>
          <w:rFonts w:cs="Calibri"/>
          <w:lang w:eastAsia="en-GB"/>
        </w:rPr>
        <w:t xml:space="preserve"> and N</w:t>
      </w:r>
      <w:r w:rsidRPr="00D9348B">
        <w:rPr>
          <w:rFonts w:cs="Calibri"/>
          <w:vertAlign w:val="subscript"/>
          <w:lang w:eastAsia="en-GB"/>
        </w:rPr>
        <w:t>2</w:t>
      </w:r>
      <w:r w:rsidRPr="00D9348B">
        <w:rPr>
          <w:rFonts w:cs="Calibri"/>
          <w:lang w:eastAsia="en-GB"/>
        </w:rPr>
        <w:t>O. This relationship was extrapolated back to the beginning of the time series to derive a factor by which to multiply the Tier 1 estimate for a given year.</w:t>
      </w:r>
    </w:p>
    <w:p w14:paraId="4E031EA7" w14:textId="77777777" w:rsidR="00E20138" w:rsidRPr="00D9348B" w:rsidRDefault="00E20138" w:rsidP="00E20138">
      <w:pPr>
        <w:pStyle w:val="Heading6"/>
        <w:spacing w:before="120"/>
        <w:rPr>
          <w:rFonts w:cs="Calibri"/>
        </w:rPr>
      </w:pPr>
      <w:r w:rsidRPr="00D9348B">
        <w:rPr>
          <w:rFonts w:cs="Calibri"/>
          <w:lang w:eastAsia="en-GB"/>
        </w:rPr>
        <w:t xml:space="preserve">Dual-fuel </w:t>
      </w:r>
      <w:r w:rsidRPr="00D9348B">
        <w:rPr>
          <w:rFonts w:cs="Calibri"/>
        </w:rPr>
        <w:t>vehicles</w:t>
      </w:r>
    </w:p>
    <w:p w14:paraId="68BBC1DC" w14:textId="77777777" w:rsidR="00E20138" w:rsidRPr="00D9348B" w:rsidRDefault="00E20138" w:rsidP="00E20138">
      <w:pPr>
        <w:pStyle w:val="BodyText"/>
        <w:rPr>
          <w:rFonts w:cs="Calibri"/>
          <w:lang w:eastAsia="en-GB"/>
        </w:rPr>
      </w:pPr>
      <w:r w:rsidRPr="00D9348B">
        <w:rPr>
          <w:rFonts w:cs="Calibri"/>
          <w:lang w:eastAsia="en-GB"/>
        </w:rPr>
        <w:t xml:space="preserve">Vehicle-kilometres-travelled data collected by the Ministry of Transport allocate vehicles using dual fuels (LPG–gasoline and CNG–gasoline) to the </w:t>
      </w:r>
      <w:r w:rsidRPr="00D9348B">
        <w:rPr>
          <w:rFonts w:cs="Calibri"/>
          <w:i/>
          <w:lang w:eastAsia="en-GB"/>
        </w:rPr>
        <w:t>Gasoline</w:t>
      </w:r>
      <w:r w:rsidRPr="00D9348B">
        <w:rPr>
          <w:rFonts w:cs="Calibri"/>
          <w:lang w:eastAsia="en-GB"/>
        </w:rPr>
        <w:t xml:space="preserve"> category. Historically, non-CO</w:t>
      </w:r>
      <w:r w:rsidRPr="00D9348B">
        <w:rPr>
          <w:rFonts w:cs="Calibri"/>
          <w:vertAlign w:val="subscript"/>
          <w:lang w:eastAsia="en-GB"/>
        </w:rPr>
        <w:t>2</w:t>
      </w:r>
      <w:r w:rsidRPr="00D9348B">
        <w:rPr>
          <w:rFonts w:cs="Calibri"/>
          <w:lang w:eastAsia="en-GB"/>
        </w:rPr>
        <w:t xml:space="preserve"> emission factors have been lower for LPG than those for gasoline. Analysis undertaken to remove activity data from gasoline to be allocated to LPG resulted in a slight decrease in overall emissions. As a result, the reallocation was not made due to a desire to be conservative when applying methods that would lead to net emission reductions.</w:t>
      </w:r>
    </w:p>
    <w:p w14:paraId="060902EC" w14:textId="77777777" w:rsidR="00E20138" w:rsidRPr="00D9348B" w:rsidRDefault="00E20138" w:rsidP="00E20138">
      <w:pPr>
        <w:pStyle w:val="BodyText"/>
        <w:rPr>
          <w:rFonts w:cs="Calibri"/>
          <w:lang w:eastAsia="en-GB"/>
        </w:rPr>
      </w:pPr>
      <w:r w:rsidRPr="00D9348B">
        <w:rPr>
          <w:rFonts w:cs="Calibri"/>
          <w:lang w:eastAsia="en-GB"/>
        </w:rPr>
        <w:t xml:space="preserve">The amount of natural gas used in vehicles on New Zealand roads was significantly larger in 1990 than it was in </w:t>
      </w:r>
      <w:r w:rsidRPr="00D9348B">
        <w:rPr>
          <w:rFonts w:cs="Calibri"/>
        </w:rPr>
        <w:t>2018.</w:t>
      </w:r>
      <w:r w:rsidRPr="00D9348B">
        <w:rPr>
          <w:rFonts w:cs="Calibri"/>
          <w:lang w:eastAsia="en-GB"/>
        </w:rPr>
        <w:t xml:space="preserve"> In 2018, almost all natural gas in road transport was used in buses. For the purposes of time-series consistency, the new methodology was considered incomparable with the previous methodology due to fundamental differences in the type of activity that the two methods represent. The </w:t>
      </w:r>
      <w:r w:rsidRPr="00D9348B">
        <w:rPr>
          <w:rFonts w:cs="Calibri"/>
        </w:rPr>
        <w:t>CH</w:t>
      </w:r>
      <w:r w:rsidRPr="00D9348B">
        <w:rPr>
          <w:rFonts w:cs="Calibri"/>
          <w:vertAlign w:val="subscript"/>
        </w:rPr>
        <w:t>4</w:t>
      </w:r>
      <w:r w:rsidRPr="00D9348B">
        <w:rPr>
          <w:rFonts w:cs="Calibri"/>
          <w:lang w:eastAsia="en-GB"/>
        </w:rPr>
        <w:t xml:space="preserve"> emission factors (tonnes CH</w:t>
      </w:r>
      <w:r w:rsidRPr="00D9348B">
        <w:rPr>
          <w:rFonts w:cs="Calibri"/>
          <w:vertAlign w:val="subscript"/>
          <w:lang w:eastAsia="en-GB"/>
        </w:rPr>
        <w:t>4</w:t>
      </w:r>
      <w:r w:rsidRPr="00D9348B">
        <w:rPr>
          <w:rFonts w:cs="Calibri"/>
          <w:lang w:eastAsia="en-GB"/>
        </w:rPr>
        <w:t>/PJ) from a purpose-built natural gas (CNG) bus are known to be significantly lower than those from a light passenger vehicle built to run on gasoline then converted to use natural gas.</w:t>
      </w:r>
    </w:p>
    <w:p w14:paraId="22C1BDBA" w14:textId="77777777" w:rsidR="00E20138" w:rsidRPr="00D9348B" w:rsidRDefault="00E20138" w:rsidP="00E20138">
      <w:pPr>
        <w:pStyle w:val="BodyText"/>
        <w:rPr>
          <w:rFonts w:cs="Calibri"/>
          <w:lang w:eastAsia="en-GB"/>
        </w:rPr>
      </w:pPr>
      <w:r w:rsidRPr="00D9348B">
        <w:rPr>
          <w:rFonts w:cs="Calibri"/>
          <w:lang w:eastAsia="en-GB"/>
        </w:rPr>
        <w:t>To ensure that emissions were not underestimated, an estimate of the energy used in CNG buses was made. The remaining natural gas was then assumed to be combusted in converted light passenger vehicles, and an IPCC default emission factor was used to estimate the associated emissions.</w:t>
      </w:r>
    </w:p>
    <w:p w14:paraId="7D983F90" w14:textId="77777777" w:rsidR="00E20138" w:rsidRPr="00D9348B" w:rsidRDefault="00E20138" w:rsidP="009134CA">
      <w:pPr>
        <w:pStyle w:val="Heading6"/>
        <w:spacing w:before="160"/>
        <w:rPr>
          <w:rFonts w:cs="Calibri"/>
        </w:rPr>
      </w:pPr>
      <w:r w:rsidRPr="00D9348B">
        <w:rPr>
          <w:rFonts w:cs="Calibri"/>
          <w:lang w:eastAsia="en-GB"/>
        </w:rPr>
        <w:t>Blended biofuels</w:t>
      </w:r>
    </w:p>
    <w:p w14:paraId="54CB83F4" w14:textId="77777777" w:rsidR="00E20138" w:rsidRPr="00D9348B" w:rsidRDefault="00E20138" w:rsidP="00E20138">
      <w:pPr>
        <w:pStyle w:val="BodyText"/>
        <w:rPr>
          <w:rFonts w:cs="Calibri"/>
          <w:lang w:eastAsia="en-GB"/>
        </w:rPr>
      </w:pPr>
      <w:r w:rsidRPr="00D9348B">
        <w:rPr>
          <w:rFonts w:cs="Calibri"/>
          <w:lang w:eastAsia="en-GB"/>
        </w:rPr>
        <w:t xml:space="preserve">Small volumes of bio-gasoline and biodiesel are sold blended with mineral oil products and combusted in the </w:t>
      </w:r>
      <w:r w:rsidRPr="00D9348B">
        <w:rPr>
          <w:rFonts w:cs="Calibri"/>
          <w:i/>
          <w:lang w:eastAsia="en-GB"/>
        </w:rPr>
        <w:t>Road transportation</w:t>
      </w:r>
      <w:r w:rsidRPr="00D9348B">
        <w:rPr>
          <w:rFonts w:cs="Calibri"/>
          <w:lang w:eastAsia="en-GB"/>
        </w:rPr>
        <w:t xml:space="preserve"> category (data exists from 2007 onwards). To ensure that liquid biofuel combustion is considered in the inventory, the energy split was calculated (i.e., gasoline as a share of combined gasoline and bio-gasoline or mineral diesel as a share of mineral diesel and biodiesel). The new estimate was then multiplied by this factor to account for gasoline and diesel not combusted. The emissions from the combustion of biofuels were then estimated using a Tier 1 methodology, as in previous inventories. </w:t>
      </w:r>
    </w:p>
    <w:p w14:paraId="1E91FF3C" w14:textId="77777777" w:rsidR="00E20138" w:rsidRPr="00D9348B" w:rsidRDefault="00E20138" w:rsidP="00E20138">
      <w:pPr>
        <w:pStyle w:val="Heading5"/>
        <w:rPr>
          <w:rFonts w:cs="Calibri"/>
        </w:rPr>
      </w:pPr>
      <w:proofErr w:type="gramStart"/>
      <w:r w:rsidRPr="00D9348B">
        <w:rPr>
          <w:rFonts w:cs="Calibri"/>
          <w:lang w:eastAsia="en-GB"/>
        </w:rPr>
        <w:t>1.A.3.c</w:t>
      </w:r>
      <w:proofErr w:type="gramEnd"/>
      <w:r w:rsidRPr="00D9348B">
        <w:rPr>
          <w:rFonts w:cs="Calibri"/>
          <w:lang w:eastAsia="en-GB"/>
        </w:rPr>
        <w:t xml:space="preserve"> Railways</w:t>
      </w:r>
    </w:p>
    <w:p w14:paraId="61F9613C" w14:textId="77777777" w:rsidR="00E20138" w:rsidRPr="00D9348B" w:rsidRDefault="00E20138" w:rsidP="00E20138">
      <w:pPr>
        <w:pStyle w:val="BodyText"/>
        <w:rPr>
          <w:rFonts w:cs="Calibri"/>
          <w:lang w:eastAsia="en-GB"/>
        </w:rPr>
      </w:pPr>
      <w:r w:rsidRPr="00D9348B">
        <w:rPr>
          <w:rFonts w:cs="Calibri"/>
          <w:lang w:eastAsia="en-GB"/>
        </w:rPr>
        <w:t>Non-CO</w:t>
      </w:r>
      <w:r w:rsidRPr="00D9348B">
        <w:rPr>
          <w:rFonts w:cs="Calibri"/>
          <w:vertAlign w:val="subscript"/>
          <w:lang w:eastAsia="en-GB"/>
        </w:rPr>
        <w:t>2</w:t>
      </w:r>
      <w:r w:rsidRPr="00D9348B">
        <w:rPr>
          <w:rFonts w:cs="Calibri"/>
          <w:lang w:eastAsia="en-GB"/>
        </w:rPr>
        <w:t xml:space="preserve"> emissions from the </w:t>
      </w:r>
      <w:r w:rsidRPr="00D9348B">
        <w:rPr>
          <w:rFonts w:cs="Calibri"/>
          <w:i/>
          <w:lang w:eastAsia="en-GB"/>
        </w:rPr>
        <w:t>Railways</w:t>
      </w:r>
      <w:r w:rsidRPr="00D9348B">
        <w:rPr>
          <w:rFonts w:cs="Calibri"/>
          <w:lang w:eastAsia="en-GB"/>
        </w:rPr>
        <w:t xml:space="preserve"> category (including both liquid and solid fuels) were estimated using a Tier 1 approach (IPCC, 2006).</w:t>
      </w:r>
    </w:p>
    <w:p w14:paraId="37141CBB" w14:textId="77777777" w:rsidR="00E20138" w:rsidRPr="00D9348B" w:rsidRDefault="00E20138" w:rsidP="00E20138">
      <w:pPr>
        <w:pStyle w:val="Heading5"/>
        <w:rPr>
          <w:rFonts w:cs="Calibri"/>
          <w:lang w:eastAsia="en-GB"/>
        </w:rPr>
      </w:pPr>
      <w:proofErr w:type="gramStart"/>
      <w:r w:rsidRPr="00D9348B">
        <w:rPr>
          <w:rFonts w:cs="Calibri"/>
          <w:lang w:eastAsia="en-GB"/>
        </w:rPr>
        <w:lastRenderedPageBreak/>
        <w:t>1.A.3.d</w:t>
      </w:r>
      <w:proofErr w:type="gramEnd"/>
      <w:r w:rsidRPr="00D9348B">
        <w:rPr>
          <w:rFonts w:cs="Calibri"/>
          <w:lang w:eastAsia="en-GB"/>
        </w:rPr>
        <w:t xml:space="preserve"> Navigation (domestic marine transport)</w:t>
      </w:r>
    </w:p>
    <w:p w14:paraId="199EF4EC" w14:textId="77777777" w:rsidR="00E20138" w:rsidRPr="00D9348B" w:rsidRDefault="00E20138" w:rsidP="00E20138">
      <w:pPr>
        <w:pStyle w:val="BodyText"/>
        <w:rPr>
          <w:rFonts w:cs="Calibri"/>
          <w:lang w:eastAsia="en-GB"/>
        </w:rPr>
      </w:pPr>
      <w:r w:rsidRPr="00D9348B">
        <w:rPr>
          <w:rFonts w:cs="Calibri"/>
          <w:lang w:eastAsia="en-GB"/>
        </w:rPr>
        <w:t>Non-CO</w:t>
      </w:r>
      <w:r w:rsidRPr="00D9348B">
        <w:rPr>
          <w:rFonts w:cs="Calibri"/>
          <w:vertAlign w:val="subscript"/>
          <w:lang w:eastAsia="en-GB"/>
        </w:rPr>
        <w:t>2</w:t>
      </w:r>
      <w:r w:rsidRPr="00D9348B">
        <w:rPr>
          <w:rFonts w:cs="Calibri"/>
          <w:lang w:eastAsia="en-GB"/>
        </w:rPr>
        <w:t xml:space="preserve"> emissions from the </w:t>
      </w:r>
      <w:r w:rsidRPr="00D9348B">
        <w:rPr>
          <w:rFonts w:cs="Calibri"/>
          <w:i/>
          <w:lang w:eastAsia="en-GB"/>
        </w:rPr>
        <w:t>Navigation</w:t>
      </w:r>
      <w:r w:rsidRPr="00D9348B">
        <w:rPr>
          <w:rFonts w:cs="Calibri"/>
          <w:lang w:eastAsia="en-GB"/>
        </w:rPr>
        <w:t xml:space="preserve"> category in New Zealand were estimated using a Tier 1 approach (IPCC, 2006).</w:t>
      </w:r>
    </w:p>
    <w:p w14:paraId="0226C40D" w14:textId="77777777" w:rsidR="00E20138" w:rsidRPr="00D9348B" w:rsidRDefault="00E20138" w:rsidP="00E20138">
      <w:pPr>
        <w:pStyle w:val="Heading5"/>
        <w:rPr>
          <w:rFonts w:cs="Calibri"/>
          <w:lang w:eastAsia="en-GB"/>
        </w:rPr>
      </w:pPr>
      <w:proofErr w:type="gramStart"/>
      <w:r w:rsidRPr="00D9348B">
        <w:rPr>
          <w:rFonts w:cs="Calibri"/>
          <w:lang w:eastAsia="en-GB"/>
        </w:rPr>
        <w:t>1.A.3.e</w:t>
      </w:r>
      <w:proofErr w:type="gramEnd"/>
      <w:r w:rsidRPr="00D9348B">
        <w:rPr>
          <w:rFonts w:cs="Calibri"/>
          <w:lang w:eastAsia="en-GB"/>
        </w:rPr>
        <w:t xml:space="preserve"> Other transportation</w:t>
      </w:r>
    </w:p>
    <w:p w14:paraId="243BD0AF" w14:textId="77777777" w:rsidR="00E20138" w:rsidRPr="00D9348B" w:rsidRDefault="00E20138" w:rsidP="00E20138">
      <w:pPr>
        <w:pStyle w:val="BodyText"/>
        <w:rPr>
          <w:rFonts w:cs="Calibri"/>
          <w:lang w:eastAsia="en-GB"/>
        </w:rPr>
      </w:pPr>
      <w:r w:rsidRPr="00D9348B">
        <w:rPr>
          <w:rFonts w:cs="Calibri"/>
          <w:lang w:eastAsia="en-GB"/>
        </w:rPr>
        <w:t xml:space="preserve">Combustion related to pipeline transport has been recategorised from 1.A.1.c to 1.A.3.e.i </w:t>
      </w:r>
      <w:r w:rsidRPr="00D9348B">
        <w:rPr>
          <w:rFonts w:cs="Calibri"/>
          <w:i/>
          <w:lang w:eastAsia="en-GB"/>
        </w:rPr>
        <w:t>Pipeline transport</w:t>
      </w:r>
      <w:r w:rsidRPr="00D9348B">
        <w:rPr>
          <w:rFonts w:cs="Calibri"/>
          <w:iCs/>
          <w:lang w:eastAsia="en-GB"/>
        </w:rPr>
        <w:t>,</w:t>
      </w:r>
      <w:r w:rsidRPr="00D9348B">
        <w:rPr>
          <w:rFonts w:cs="Calibri"/>
          <w:lang w:eastAsia="en-GB"/>
        </w:rPr>
        <w:t xml:space="preserve"> in response to feedback received from the ERT during the 2018 centralised review.</w:t>
      </w:r>
    </w:p>
    <w:p w14:paraId="25C198A1" w14:textId="77777777" w:rsidR="00E20138" w:rsidRPr="00D9348B" w:rsidRDefault="00E20138" w:rsidP="00E20138">
      <w:pPr>
        <w:pStyle w:val="BodyText"/>
        <w:rPr>
          <w:rFonts w:cs="Calibri"/>
        </w:rPr>
      </w:pPr>
      <w:r w:rsidRPr="00D9348B">
        <w:rPr>
          <w:rFonts w:cs="Calibri"/>
        </w:rPr>
        <w:t xml:space="preserve">A recent development in New Zealand is the emergence of a nascent aerospace industry. In New Zealand, space-related activities (launches into outer space, launch facilities, high-altitude vehicles and payloads) are overseen by the New Zealand Space Agency, based within MBIE, as regulated in legislation by the Outer Space and High-altitude Activities Act 2017. Currently, one private company is actively launching rockets from a launch complex on the Māhia Peninsula (on the east coast of New Zealand's North Island) to put small satellites in orbit around Earth. The rockets use liquid oxygen and RP-1 as propellants. RP-1 is a form of highly refined kerosene. The specific categorisation within energy statistics is yet to be determined, although this type of kerosene is likely classified as jet kerosene under ANZSIC code </w:t>
      </w:r>
      <w:r w:rsidRPr="00D9348B">
        <w:rPr>
          <w:rFonts w:cs="Calibri"/>
          <w:i/>
        </w:rPr>
        <w:t>I49 Air and Space Transport</w:t>
      </w:r>
      <w:r w:rsidRPr="00D9348B">
        <w:rPr>
          <w:rFonts w:cs="Calibri"/>
        </w:rPr>
        <w:t xml:space="preserve">, and so would be included within </w:t>
      </w:r>
      <w:r w:rsidRPr="00D9348B">
        <w:rPr>
          <w:rFonts w:cs="Calibri"/>
          <w:i/>
        </w:rPr>
        <w:t>1.A.3.a Civil aviation</w:t>
      </w:r>
      <w:r w:rsidRPr="00D9348B">
        <w:rPr>
          <w:rFonts w:cs="Calibri"/>
        </w:rPr>
        <w:t xml:space="preserve">. While the combustion characteristics of rocket engines are likely to differ somewhat from other jet-fuelled activities, no specific emission factors are provided in the 2006 IPCC Guidelines. </w:t>
      </w:r>
    </w:p>
    <w:p w14:paraId="0F0914CF" w14:textId="77777777" w:rsidR="00E20138" w:rsidRPr="00D9348B" w:rsidRDefault="00E20138" w:rsidP="00E20138">
      <w:pPr>
        <w:pStyle w:val="BodyText"/>
        <w:rPr>
          <w:rFonts w:cs="Calibri"/>
        </w:rPr>
      </w:pPr>
      <w:r w:rsidRPr="00D9348B">
        <w:rPr>
          <w:rFonts w:cs="Calibri"/>
        </w:rPr>
        <w:t xml:space="preserve">The 2006 IPCC Guidelines cover emissions from civil aviation, but do not specifically refer to aeronautics or aerospace. Ballistic vehicles, such as rockets, are usually considered to be included under aeronautics but not aviation. Presumably aerospace activities should be considered as a type of off-road transport because the 2006 IPCC </w:t>
      </w:r>
      <w:r w:rsidRPr="00D9348B">
        <w:rPr>
          <w:rFonts w:cs="Calibri"/>
          <w:iCs/>
        </w:rPr>
        <w:t>Guidelines</w:t>
      </w:r>
      <w:r w:rsidRPr="00D9348B">
        <w:rPr>
          <w:rFonts w:cs="Calibri"/>
        </w:rPr>
        <w:t xml:space="preserve"> (in table 3.1.1) state that emissions from all remaining transport activities should be reported under </w:t>
      </w:r>
      <w:r w:rsidRPr="00D9348B">
        <w:rPr>
          <w:rFonts w:cs="Calibri"/>
          <w:i/>
        </w:rPr>
        <w:t xml:space="preserve">1.A.3.e </w:t>
      </w:r>
      <w:proofErr w:type="gramStart"/>
      <w:r w:rsidRPr="00D9348B">
        <w:rPr>
          <w:rFonts w:cs="Calibri"/>
          <w:i/>
        </w:rPr>
        <w:t>Other</w:t>
      </w:r>
      <w:proofErr w:type="gramEnd"/>
      <w:r w:rsidRPr="00D9348B">
        <w:rPr>
          <w:rFonts w:cs="Calibri"/>
          <w:i/>
        </w:rPr>
        <w:t xml:space="preserve"> transportation</w:t>
      </w:r>
      <w:r w:rsidRPr="00D9348B">
        <w:rPr>
          <w:rFonts w:cs="Calibri"/>
          <w:iCs/>
        </w:rPr>
        <w:t>,</w:t>
      </w:r>
      <w:r w:rsidRPr="00D9348B">
        <w:rPr>
          <w:rFonts w:cs="Calibri"/>
          <w:i/>
        </w:rPr>
        <w:t xml:space="preserve"> </w:t>
      </w:r>
      <w:r w:rsidRPr="00D9348B">
        <w:rPr>
          <w:rFonts w:cs="Calibri"/>
        </w:rPr>
        <w:t xml:space="preserve">and that </w:t>
      </w:r>
      <w:r w:rsidRPr="00D9348B">
        <w:rPr>
          <w:rFonts w:cs="Calibri"/>
          <w:i/>
        </w:rPr>
        <w:t>1.A.3.e.ii Off-road</w:t>
      </w:r>
      <w:r w:rsidRPr="00D9348B">
        <w:rPr>
          <w:rFonts w:cs="Calibri"/>
        </w:rPr>
        <w:t xml:space="preserve"> should include emissions from </w:t>
      </w:r>
      <w:r w:rsidRPr="00D9348B">
        <w:rPr>
          <w:rFonts w:cs="Calibri"/>
          <w:i/>
        </w:rPr>
        <w:t>Other transportation</w:t>
      </w:r>
      <w:r w:rsidRPr="00D9348B">
        <w:rPr>
          <w:rFonts w:cs="Calibri"/>
        </w:rPr>
        <w:t xml:space="preserve"> excluding </w:t>
      </w:r>
      <w:r w:rsidRPr="00D9348B">
        <w:rPr>
          <w:rFonts w:cs="Calibri"/>
          <w:i/>
        </w:rPr>
        <w:t>Pipeline transport</w:t>
      </w:r>
      <w:r w:rsidRPr="00D9348B">
        <w:rPr>
          <w:rFonts w:cs="Calibri"/>
        </w:rPr>
        <w:t xml:space="preserve">. However, as mentioned above, the aerospace fuel activity data are currently included in </w:t>
      </w:r>
      <w:r w:rsidRPr="00D9348B">
        <w:rPr>
          <w:rFonts w:cs="Calibri"/>
          <w:i/>
        </w:rPr>
        <w:t xml:space="preserve">1.A.3.a </w:t>
      </w:r>
      <w:proofErr w:type="gramStart"/>
      <w:r w:rsidRPr="00D9348B">
        <w:rPr>
          <w:rFonts w:cs="Calibri"/>
          <w:i/>
        </w:rPr>
        <w:t>Civil</w:t>
      </w:r>
      <w:proofErr w:type="gramEnd"/>
      <w:r w:rsidRPr="00D9348B">
        <w:rPr>
          <w:rFonts w:cs="Calibri"/>
          <w:i/>
        </w:rPr>
        <w:t xml:space="preserve"> aviation</w:t>
      </w:r>
      <w:r w:rsidRPr="00D9348B">
        <w:rPr>
          <w:rFonts w:cs="Calibri"/>
          <w:iCs/>
        </w:rPr>
        <w:t xml:space="preserve">. </w:t>
      </w:r>
      <w:r w:rsidRPr="00D9348B">
        <w:rPr>
          <w:rFonts w:cs="Calibri"/>
        </w:rPr>
        <w:t>Further justification for not disaggregating the category is commercial data confidentiality concerns due to the small number of companies operating in the sector.</w:t>
      </w:r>
    </w:p>
    <w:p w14:paraId="6A700524" w14:textId="77777777" w:rsidR="00E20138" w:rsidRPr="00D9348B" w:rsidRDefault="00E20138" w:rsidP="00E20138">
      <w:pPr>
        <w:pStyle w:val="BodyText"/>
        <w:rPr>
          <w:rFonts w:cs="Calibri"/>
        </w:rPr>
      </w:pPr>
      <w:r w:rsidRPr="00D9348B">
        <w:rPr>
          <w:rFonts w:cs="Calibri"/>
        </w:rPr>
        <w:t xml:space="preserve">An important methodological issue concerning water-borne navigation and civil aviation is to make a distinction between domestic and international transport. The 2006 IPCC </w:t>
      </w:r>
      <w:r w:rsidRPr="00D9348B">
        <w:rPr>
          <w:rFonts w:cs="Calibri"/>
          <w:iCs/>
        </w:rPr>
        <w:t>Guidelines</w:t>
      </w:r>
      <w:r w:rsidRPr="00D9348B">
        <w:rPr>
          <w:rFonts w:cs="Calibri"/>
        </w:rPr>
        <w:t xml:space="preserve"> clearly state that the international–domestic split should be determined on the basis of port of departure and port of arrival. By extension, that same principle should apply to aerospace transport. However, it is not clear in the 2006 IPCC </w:t>
      </w:r>
      <w:r w:rsidRPr="00D9348B">
        <w:rPr>
          <w:rFonts w:cs="Calibri"/>
          <w:iCs/>
        </w:rPr>
        <w:t>Guidelines</w:t>
      </w:r>
      <w:r w:rsidRPr="00D9348B">
        <w:rPr>
          <w:rFonts w:cs="Calibri"/>
        </w:rPr>
        <w:t xml:space="preserve"> whether a journey of a craft that departs from one country but does not arrive in any other country should be defined as domestic or international transport. It is also unclear whether emissions occurring outside Earth’s atmosphere should be included in either category. Furthermore, the classification of ground-based rocket testing as a form of either stationary or mobile combustion poses a methodological issue and activity data disaggregation challenge. </w:t>
      </w:r>
    </w:p>
    <w:p w14:paraId="66821BE7" w14:textId="77777777" w:rsidR="00E20138" w:rsidRPr="00D9348B" w:rsidRDefault="00E20138" w:rsidP="00865BDB">
      <w:pPr>
        <w:pStyle w:val="Heading4"/>
        <w:rPr>
          <w:lang w:eastAsia="en-GB"/>
        </w:rPr>
      </w:pPr>
      <w:r w:rsidRPr="00D9348B">
        <w:t>Activity</w:t>
      </w:r>
      <w:r w:rsidRPr="00D9348B">
        <w:rPr>
          <w:lang w:eastAsia="en-GB"/>
        </w:rPr>
        <w:t xml:space="preserve"> data</w:t>
      </w:r>
    </w:p>
    <w:p w14:paraId="2875675A" w14:textId="77777777" w:rsidR="00E20138" w:rsidRPr="00D9348B" w:rsidRDefault="00E20138" w:rsidP="00E20138">
      <w:pPr>
        <w:pStyle w:val="Heading5"/>
        <w:spacing w:before="120"/>
        <w:rPr>
          <w:rFonts w:cs="Calibri"/>
          <w:lang w:eastAsia="en-GB"/>
        </w:rPr>
      </w:pPr>
      <w:proofErr w:type="gramStart"/>
      <w:r w:rsidRPr="00D9348B">
        <w:rPr>
          <w:rFonts w:cs="Calibri"/>
          <w:lang w:eastAsia="en-GB"/>
        </w:rPr>
        <w:t>1.A.3.a</w:t>
      </w:r>
      <w:proofErr w:type="gramEnd"/>
      <w:r w:rsidRPr="00D9348B">
        <w:rPr>
          <w:rFonts w:cs="Calibri"/>
          <w:lang w:eastAsia="en-GB"/>
        </w:rPr>
        <w:t xml:space="preserve"> Civil aviation</w:t>
      </w:r>
    </w:p>
    <w:p w14:paraId="3B0AB9E4" w14:textId="77777777" w:rsidR="00E20138" w:rsidRPr="00D9348B" w:rsidRDefault="00E20138" w:rsidP="00E20138">
      <w:pPr>
        <w:pStyle w:val="BodyText"/>
        <w:rPr>
          <w:rFonts w:cs="Calibri"/>
        </w:rPr>
      </w:pPr>
      <w:r w:rsidRPr="00D9348B">
        <w:rPr>
          <w:rFonts w:cs="Calibri"/>
          <w:lang w:eastAsia="en-GB"/>
        </w:rPr>
        <w:t xml:space="preserve">MBIE </w:t>
      </w:r>
      <w:r w:rsidRPr="00D9348B">
        <w:rPr>
          <w:rFonts w:cs="Calibri"/>
        </w:rPr>
        <w:t xml:space="preserve">currently collects data on aviation fuels used for international and domestic aviation through the </w:t>
      </w:r>
      <w:r w:rsidRPr="00D9348B">
        <w:rPr>
          <w:rFonts w:cs="Calibri"/>
          <w:iCs/>
          <w:spacing w:val="-2"/>
          <w:lang w:eastAsia="en-GB"/>
        </w:rPr>
        <w:t>DPFI</w:t>
      </w:r>
      <w:r w:rsidRPr="00D9348B">
        <w:rPr>
          <w:rFonts w:cs="Calibri"/>
        </w:rPr>
        <w:t xml:space="preserve">. The respondents to this survey are New Zealand’s four main oil companies, namely: BP, Z Energy, ExxonMobil and Gull (Gull participates only in </w:t>
      </w:r>
      <w:r w:rsidRPr="00D9348B">
        <w:rPr>
          <w:rFonts w:cs="Calibri"/>
          <w:lang w:eastAsia="en-GB"/>
        </w:rPr>
        <w:t>gasoline</w:t>
      </w:r>
      <w:r w:rsidRPr="00D9348B">
        <w:rPr>
          <w:rFonts w:cs="Calibri"/>
        </w:rPr>
        <w:t xml:space="preserve"> and diesel sales). </w:t>
      </w:r>
    </w:p>
    <w:p w14:paraId="258A43A2" w14:textId="77777777" w:rsidR="00E20138" w:rsidRPr="00D9348B" w:rsidRDefault="00E20138" w:rsidP="00E20138">
      <w:pPr>
        <w:pStyle w:val="BodyText"/>
        <w:rPr>
          <w:rFonts w:cs="Calibri"/>
        </w:rPr>
      </w:pPr>
      <w:r w:rsidRPr="00D9348B">
        <w:rPr>
          <w:rFonts w:cs="Calibri"/>
          <w:lang w:eastAsia="en-GB"/>
        </w:rPr>
        <w:lastRenderedPageBreak/>
        <w:t xml:space="preserve">The distinction between domestic and international flights is based on refuelling at the domestic and international terminals of New Zealand airports. </w:t>
      </w:r>
      <w:r w:rsidRPr="00D9348B">
        <w:rPr>
          <w:rFonts w:cs="Calibri"/>
        </w:rPr>
        <w:t>The allocation of aviation fuels between domestic and international segments has previously been raised by the ERT. A previous centralised review stated (UNFCCC, 2009):</w:t>
      </w:r>
    </w:p>
    <w:p w14:paraId="44517598" w14:textId="77777777" w:rsidR="00E20138" w:rsidRPr="00D9348B" w:rsidRDefault="00E20138" w:rsidP="00E20138">
      <w:pPr>
        <w:pStyle w:val="Quote"/>
        <w:spacing w:before="60"/>
        <w:rPr>
          <w:rFonts w:cs="Calibri"/>
        </w:rPr>
      </w:pPr>
      <w:r w:rsidRPr="00D9348B">
        <w:rPr>
          <w:rFonts w:cs="Calibri"/>
        </w:rPr>
        <w:t>The National Inventory Report (NIR) reports that the allocation of fuel consumption between domestic and international air transport is based on refuelling at the domestic and international terminals of New Zealand’s airports. Currently splitting the domestic and international components of fuels used for international flights with a domestic segment was not considered; however, the number of international flights with a domestic segment is considered to be negligible. The Expert Review Team (ERT) notes that in 2006, New Zealand began consultations with the airlines to clarify the situation and improve the relevant Activity Data (AD), and is currently working on a methodology that will allow for better international and domestic fuel use allocation. New Zealand is encouraged to adopt the new approach and report the outcome in its 2010 submissions.</w:t>
      </w:r>
    </w:p>
    <w:p w14:paraId="04191699" w14:textId="77777777" w:rsidR="00E20138" w:rsidRPr="00D9348B" w:rsidRDefault="00E20138" w:rsidP="00E20138">
      <w:pPr>
        <w:pStyle w:val="BodyText"/>
        <w:rPr>
          <w:rFonts w:cs="Calibri"/>
        </w:rPr>
      </w:pPr>
      <w:r w:rsidRPr="00D9348B">
        <w:rPr>
          <w:rFonts w:cs="Calibri"/>
        </w:rPr>
        <w:t xml:space="preserve">In the </w:t>
      </w:r>
      <w:r w:rsidRPr="00D9348B">
        <w:rPr>
          <w:rFonts w:cs="Calibri"/>
          <w:iCs/>
          <w:spacing w:val="-2"/>
          <w:lang w:eastAsia="en-GB"/>
        </w:rPr>
        <w:t>DPFI</w:t>
      </w:r>
      <w:r w:rsidRPr="00D9348B">
        <w:rPr>
          <w:rFonts w:cs="Calibri"/>
        </w:rPr>
        <w:t xml:space="preserve">, the oil companies report quantities of different fuels (jet A1, aviation gasoline and kerosene, among others) used for the purposes of international and domestic transport. The companies allocate the fuel to international or domestic transport based on whether or not they charge GST on the fuel sold – GST is not charged when the destination of a flight is outside of New Zealand. </w:t>
      </w:r>
    </w:p>
    <w:p w14:paraId="51849EE8" w14:textId="77777777" w:rsidR="00E20138" w:rsidRPr="00D9348B" w:rsidRDefault="00E20138" w:rsidP="00E20138">
      <w:pPr>
        <w:pStyle w:val="BodyText"/>
        <w:rPr>
          <w:rFonts w:cs="Calibri"/>
        </w:rPr>
      </w:pPr>
      <w:r w:rsidRPr="00D9348B">
        <w:rPr>
          <w:rFonts w:cs="Calibri"/>
        </w:rPr>
        <w:t>Some international flights from New Zealand contain a domestic leg, for example, Christchurch–Auckland–Tokyo. Industry practice is to refuel at both points with sufficient fuel to reach the next destination so that the domestic leg will be coded appropriately. By this logic, fuel used for the domestic leg will attract GST and therefore be coded as domestic, and the international leg, which does not attract GST, will be coded as international.</w:t>
      </w:r>
    </w:p>
    <w:p w14:paraId="67D11461" w14:textId="77777777" w:rsidR="00E20138" w:rsidRPr="00D9348B" w:rsidRDefault="00E20138" w:rsidP="00E20138">
      <w:pPr>
        <w:pStyle w:val="BodyText"/>
        <w:rPr>
          <w:rFonts w:cs="Calibri"/>
        </w:rPr>
      </w:pPr>
      <w:r w:rsidRPr="00D9348B">
        <w:rPr>
          <w:rFonts w:cs="Calibri"/>
        </w:rPr>
        <w:t xml:space="preserve">Although this is a supply-side approach, MBIE believes the split of international and domestic transport to be accurate because BP, Z Energy and ExxonMobil supply 100 per cent of the aviation fuels market in New Zealand. Based on the above findings and consultation, MBIE believes that the current data collection methodology is sufficiently robust to ensure all the domestic aviation fuels are reported accordingly and to avoid missing or misallocation of domestic fuel use. </w:t>
      </w:r>
    </w:p>
    <w:p w14:paraId="5B07AEDE" w14:textId="77777777" w:rsidR="00E20138" w:rsidRPr="00D9348B" w:rsidRDefault="00E20138" w:rsidP="00E20138">
      <w:pPr>
        <w:pStyle w:val="Heading5"/>
        <w:rPr>
          <w:rFonts w:cs="Calibri"/>
          <w:lang w:eastAsia="en-GB"/>
        </w:rPr>
      </w:pPr>
      <w:proofErr w:type="gramStart"/>
      <w:r w:rsidRPr="00D9348B">
        <w:rPr>
          <w:rFonts w:cs="Calibri"/>
          <w:lang w:eastAsia="en-GB"/>
        </w:rPr>
        <w:t>1.A.3.b</w:t>
      </w:r>
      <w:proofErr w:type="gramEnd"/>
      <w:r w:rsidRPr="00D9348B">
        <w:rPr>
          <w:rFonts w:cs="Calibri"/>
          <w:lang w:eastAsia="en-GB"/>
        </w:rPr>
        <w:t xml:space="preserve"> Road transportation</w:t>
      </w:r>
    </w:p>
    <w:p w14:paraId="50CC6E7D" w14:textId="77777777" w:rsidR="00E20138" w:rsidRPr="00D9348B" w:rsidRDefault="00E20138" w:rsidP="00E20138">
      <w:pPr>
        <w:pStyle w:val="BodyText"/>
        <w:rPr>
          <w:rFonts w:cs="Calibri"/>
          <w:lang w:eastAsia="en-GB"/>
        </w:rPr>
      </w:pPr>
      <w:r w:rsidRPr="00D9348B">
        <w:rPr>
          <w:rFonts w:cs="Calibri"/>
          <w:lang w:eastAsia="en-GB"/>
        </w:rPr>
        <w:t xml:space="preserve">Activity data for the </w:t>
      </w:r>
      <w:r w:rsidRPr="00D9348B">
        <w:rPr>
          <w:rFonts w:cs="Calibri"/>
          <w:i/>
          <w:lang w:eastAsia="en-GB"/>
        </w:rPr>
        <w:t>Road transportation</w:t>
      </w:r>
      <w:r w:rsidRPr="00D9348B">
        <w:rPr>
          <w:rFonts w:cs="Calibri"/>
          <w:lang w:eastAsia="en-GB"/>
        </w:rPr>
        <w:t xml:space="preserve"> category are provided by the Ministry of Transport’s six-monthly fleet data and MBIE’s national energy statistics. For more information on the use of vehicle fleet data for estimating non-CO</w:t>
      </w:r>
      <w:r w:rsidRPr="00D9348B">
        <w:rPr>
          <w:rFonts w:cs="Calibri"/>
          <w:vertAlign w:val="subscript"/>
          <w:lang w:eastAsia="en-GB"/>
        </w:rPr>
        <w:t xml:space="preserve">2 </w:t>
      </w:r>
      <w:r w:rsidRPr="00D9348B">
        <w:rPr>
          <w:rFonts w:cs="Calibri"/>
          <w:lang w:eastAsia="en-GB"/>
        </w:rPr>
        <w:t>emissions, see methodological issues above.</w:t>
      </w:r>
    </w:p>
    <w:p w14:paraId="4DB78435" w14:textId="77777777" w:rsidR="00E20138" w:rsidRPr="00D9348B" w:rsidRDefault="00E20138" w:rsidP="00E20138">
      <w:pPr>
        <w:pStyle w:val="BodyText"/>
        <w:rPr>
          <w:rFonts w:cs="Calibri"/>
          <w:lang w:eastAsia="en-GB"/>
        </w:rPr>
      </w:pPr>
      <w:r w:rsidRPr="00D9348B">
        <w:rPr>
          <w:rFonts w:cs="Calibri"/>
          <w:lang w:eastAsia="en-GB"/>
        </w:rPr>
        <w:t xml:space="preserve">Activity data on the consumption of fuel by the </w:t>
      </w:r>
      <w:r w:rsidRPr="00D9348B">
        <w:rPr>
          <w:rFonts w:cs="Calibri"/>
          <w:i/>
          <w:lang w:eastAsia="en-GB"/>
        </w:rPr>
        <w:t>Transport</w:t>
      </w:r>
      <w:r w:rsidRPr="00D9348B">
        <w:rPr>
          <w:rFonts w:cs="Calibri"/>
          <w:lang w:eastAsia="en-GB"/>
        </w:rPr>
        <w:t xml:space="preserve"> category were sourced from the </w:t>
      </w:r>
      <w:r w:rsidRPr="00D9348B">
        <w:rPr>
          <w:rFonts w:cs="Calibri"/>
          <w:iCs/>
          <w:spacing w:val="-2"/>
          <w:lang w:eastAsia="en-GB"/>
        </w:rPr>
        <w:t>DPFI</w:t>
      </w:r>
      <w:r w:rsidRPr="00D9348B">
        <w:rPr>
          <w:rFonts w:cs="Calibri"/>
          <w:iCs/>
          <w:lang w:eastAsia="en-GB"/>
        </w:rPr>
        <w:t xml:space="preserve"> </w:t>
      </w:r>
      <w:r w:rsidRPr="00D9348B">
        <w:rPr>
          <w:rFonts w:cs="Calibri"/>
          <w:lang w:eastAsia="en-GB"/>
        </w:rPr>
        <w:t xml:space="preserve">conducted by MBIE. LPG and CNG consumption figures are reported </w:t>
      </w:r>
      <w:r w:rsidRPr="00D9348B">
        <w:rPr>
          <w:rFonts w:cs="Calibri"/>
          <w:iCs/>
          <w:lang w:eastAsia="en-GB"/>
        </w:rPr>
        <w:t>online by</w:t>
      </w:r>
      <w:r w:rsidRPr="00D9348B">
        <w:rPr>
          <w:rFonts w:cs="Calibri"/>
        </w:rPr>
        <w:t> </w:t>
      </w:r>
      <w:r w:rsidRPr="00D9348B">
        <w:rPr>
          <w:rFonts w:cs="Calibri"/>
          <w:lang w:eastAsia="en-GB"/>
        </w:rPr>
        <w:t>MBIE.</w:t>
      </w:r>
    </w:p>
    <w:p w14:paraId="1457B415" w14:textId="77777777" w:rsidR="00E20138" w:rsidRPr="00D9348B" w:rsidRDefault="00E20138" w:rsidP="00E20138">
      <w:pPr>
        <w:pStyle w:val="BodyText"/>
        <w:rPr>
          <w:rFonts w:cs="Calibri"/>
          <w:spacing w:val="-2"/>
        </w:rPr>
      </w:pPr>
      <w:r w:rsidRPr="00D9348B">
        <w:rPr>
          <w:rFonts w:cs="Calibri"/>
          <w:spacing w:val="-2"/>
        </w:rPr>
        <w:t xml:space="preserve">As mentioned in section 3.3.1, this inventory continues to use the results of the </w:t>
      </w:r>
      <w:r w:rsidRPr="00D9348B">
        <w:rPr>
          <w:rFonts w:cs="Calibri"/>
          <w:i/>
          <w:spacing w:val="-2"/>
        </w:rPr>
        <w:t>Annual Liquid Fuel Survey</w:t>
      </w:r>
      <w:r w:rsidRPr="00D9348B">
        <w:rPr>
          <w:rFonts w:cs="Calibri"/>
          <w:spacing w:val="-2"/>
        </w:rPr>
        <w:t xml:space="preserve"> that began in 2009. The purpose of this survey is to capture the allocation of fuel resold by small independent resellers. In recent years, these independent resellers have accounted for around 30 per cent of national diesel sales and around 8 per cent of national gasoline sales. </w:t>
      </w:r>
    </w:p>
    <w:p w14:paraId="03A44068" w14:textId="77777777" w:rsidR="00E20138" w:rsidRPr="00D9348B" w:rsidRDefault="00E20138" w:rsidP="00E20138">
      <w:pPr>
        <w:pStyle w:val="BodyText"/>
        <w:rPr>
          <w:rFonts w:cs="Calibri"/>
        </w:rPr>
      </w:pPr>
      <w:r w:rsidRPr="00D9348B">
        <w:rPr>
          <w:rFonts w:cs="Calibri"/>
        </w:rPr>
        <w:t xml:space="preserve">As a result of resale data captured by the </w:t>
      </w:r>
      <w:r w:rsidRPr="00D9348B">
        <w:rPr>
          <w:rFonts w:cs="Calibri"/>
          <w:i/>
        </w:rPr>
        <w:t>Annual Liquid Fuel Survey</w:t>
      </w:r>
      <w:r w:rsidRPr="00D9348B">
        <w:rPr>
          <w:rFonts w:cs="Calibri"/>
        </w:rPr>
        <w:t xml:space="preserve">, emissions that would otherwise be reported under category 1.A.3.b </w:t>
      </w:r>
      <w:r w:rsidRPr="00D9348B">
        <w:rPr>
          <w:rFonts w:cs="Calibri"/>
          <w:i/>
        </w:rPr>
        <w:t>Road transportation</w:t>
      </w:r>
      <w:r w:rsidRPr="00D9348B">
        <w:rPr>
          <w:rFonts w:cs="Calibri"/>
        </w:rPr>
        <w:t xml:space="preserve"> are allocated to the correct category.</w:t>
      </w:r>
    </w:p>
    <w:p w14:paraId="4F4780CA" w14:textId="77777777" w:rsidR="00E20138" w:rsidRPr="00D9348B" w:rsidRDefault="00E20138" w:rsidP="00E20138">
      <w:pPr>
        <w:pStyle w:val="BodyText"/>
        <w:rPr>
          <w:rFonts w:cs="Calibri"/>
        </w:rPr>
      </w:pPr>
      <w:r w:rsidRPr="00D9348B">
        <w:rPr>
          <w:rFonts w:cs="Calibri"/>
        </w:rPr>
        <w:lastRenderedPageBreak/>
        <w:t>For time-series consistency, these reallocations were also made from 1990–2008, before the collection of data on the resale of liquid fuel by independent distributors.</w:t>
      </w:r>
    </w:p>
    <w:p w14:paraId="0524A944" w14:textId="77777777" w:rsidR="00E20138" w:rsidRPr="00D9348B" w:rsidRDefault="00E20138" w:rsidP="00E20138">
      <w:pPr>
        <w:pStyle w:val="BodyText"/>
        <w:rPr>
          <w:rFonts w:cs="Calibri"/>
        </w:rPr>
      </w:pPr>
      <w:r w:rsidRPr="00D9348B">
        <w:rPr>
          <w:rFonts w:cs="Calibri"/>
        </w:rPr>
        <w:t xml:space="preserve">The diesel activity data for the </w:t>
      </w:r>
      <w:r w:rsidRPr="00D9348B">
        <w:rPr>
          <w:rFonts w:cs="Calibri"/>
          <w:i/>
        </w:rPr>
        <w:t>Road transport</w:t>
      </w:r>
      <w:r w:rsidRPr="00D9348B">
        <w:rPr>
          <w:rFonts w:cs="Calibri"/>
        </w:rPr>
        <w:t xml:space="preserve"> category are assumed to be the diesel reported for domestic transport, less that reported by KiwiRail in 1.A.3.c </w:t>
      </w:r>
      <w:r w:rsidRPr="00D9348B">
        <w:rPr>
          <w:rFonts w:cs="Calibri"/>
          <w:i/>
        </w:rPr>
        <w:t>Railways</w:t>
      </w:r>
      <w:r w:rsidRPr="00D9348B">
        <w:rPr>
          <w:rFonts w:cs="Calibri"/>
        </w:rPr>
        <w:t xml:space="preserve"> and 1.A.3.d </w:t>
      </w:r>
      <w:r w:rsidRPr="00D9348B">
        <w:rPr>
          <w:rFonts w:cs="Calibri"/>
          <w:i/>
        </w:rPr>
        <w:t>Domestic navigation</w:t>
      </w:r>
      <w:r w:rsidRPr="00D9348B">
        <w:rPr>
          <w:rFonts w:cs="Calibri"/>
        </w:rPr>
        <w:t xml:space="preserve">, discussed below. </w:t>
      </w:r>
    </w:p>
    <w:p w14:paraId="6A7E4E0C" w14:textId="4250DF3A" w:rsidR="00E20138" w:rsidRPr="00D9348B" w:rsidRDefault="00E20138" w:rsidP="00E20138">
      <w:pPr>
        <w:pStyle w:val="BodyText"/>
        <w:rPr>
          <w:rFonts w:cs="Calibri"/>
        </w:rPr>
      </w:pPr>
      <w:r w:rsidRPr="00D9348B">
        <w:rPr>
          <w:rFonts w:cs="Calibri"/>
        </w:rPr>
        <w:t>The fuel sold data have been validated by estimating fuel consumption based on vehicle kilometres using a vehicle fleet model. Over the past decade, the fuel quantity from the fuel use data has been larger than that estimated using kilometres travelled. A number of factors can contribute to differences between the two methods, for example, fuel sold by retailers that is then used for off-road purposes, and the real-world fuel efficiencies of vehicles differing from assumptions used in the vehicle fleet model. Across the time series (2001–15), the average difference is 1.5 per cent for petrol and 4.8 per cent for diesel, which shows that the methods align very closely. This level of agreement compares favourably with the fuel data of</w:t>
      </w:r>
      <w:r w:rsidR="009134CA" w:rsidRPr="00D9348B">
        <w:rPr>
          <w:rFonts w:cs="Calibri"/>
        </w:rPr>
        <w:t> </w:t>
      </w:r>
      <w:r w:rsidRPr="00D9348B">
        <w:rPr>
          <w:rFonts w:cs="Calibri"/>
        </w:rPr>
        <w:t>other countries.</w:t>
      </w:r>
    </w:p>
    <w:p w14:paraId="0A8512FB" w14:textId="77777777" w:rsidR="00E20138" w:rsidRPr="00D9348B" w:rsidRDefault="00E20138" w:rsidP="00E20138">
      <w:pPr>
        <w:pStyle w:val="Heading5"/>
        <w:rPr>
          <w:rFonts w:cs="Calibri"/>
          <w:lang w:eastAsia="en-GB"/>
        </w:rPr>
      </w:pPr>
      <w:proofErr w:type="gramStart"/>
      <w:r w:rsidRPr="00D9348B">
        <w:rPr>
          <w:rFonts w:cs="Calibri"/>
          <w:lang w:eastAsia="en-GB"/>
        </w:rPr>
        <w:t>1.A.3.c</w:t>
      </w:r>
      <w:proofErr w:type="gramEnd"/>
      <w:r w:rsidRPr="00D9348B">
        <w:rPr>
          <w:rFonts w:cs="Calibri"/>
          <w:lang w:eastAsia="en-GB"/>
        </w:rPr>
        <w:t xml:space="preserve"> Railways</w:t>
      </w:r>
    </w:p>
    <w:p w14:paraId="2E35DAE3" w14:textId="77777777" w:rsidR="00E20138" w:rsidRPr="00D9348B" w:rsidRDefault="00E20138" w:rsidP="00E20138">
      <w:pPr>
        <w:pStyle w:val="BodyText"/>
        <w:rPr>
          <w:rFonts w:cs="Calibri"/>
          <w:lang w:eastAsia="en-GB"/>
        </w:rPr>
      </w:pPr>
      <w:r w:rsidRPr="00D9348B">
        <w:rPr>
          <w:rFonts w:cs="Calibri"/>
          <w:lang w:eastAsia="en-GB"/>
        </w:rPr>
        <w:t xml:space="preserve">Activity data for fuel used in this category are obtained directly from KiwiRail, the operator of national rail services. This also includes diesel sold to the metropolitan service operated by Veolia in Auckland. </w:t>
      </w:r>
    </w:p>
    <w:p w14:paraId="631AF6AD" w14:textId="77777777" w:rsidR="00E20138" w:rsidRPr="00D9348B" w:rsidRDefault="00E20138" w:rsidP="00E20138">
      <w:pPr>
        <w:pStyle w:val="Heading5"/>
        <w:rPr>
          <w:rFonts w:cs="Calibri"/>
        </w:rPr>
      </w:pPr>
      <w:proofErr w:type="gramStart"/>
      <w:r w:rsidRPr="00D9348B">
        <w:rPr>
          <w:rFonts w:cs="Calibri"/>
          <w:lang w:eastAsia="en-GB"/>
        </w:rPr>
        <w:t>1.A.3.d</w:t>
      </w:r>
      <w:proofErr w:type="gramEnd"/>
      <w:r w:rsidRPr="00D9348B">
        <w:rPr>
          <w:rFonts w:cs="Calibri"/>
          <w:lang w:eastAsia="en-GB"/>
        </w:rPr>
        <w:t xml:space="preserve"> Domestic navigation </w:t>
      </w:r>
    </w:p>
    <w:p w14:paraId="1C763E3D" w14:textId="77777777" w:rsidR="00E20138" w:rsidRPr="00D9348B" w:rsidRDefault="00E20138" w:rsidP="00E20138">
      <w:pPr>
        <w:pStyle w:val="BodyText"/>
        <w:rPr>
          <w:rFonts w:cs="Calibri"/>
          <w:lang w:eastAsia="en-GB"/>
        </w:rPr>
      </w:pPr>
      <w:r w:rsidRPr="00D9348B">
        <w:rPr>
          <w:rFonts w:cs="Calibri"/>
          <w:lang w:eastAsia="en-GB"/>
        </w:rPr>
        <w:t xml:space="preserve">Fuel oil activity data on fuel use by domestic transport are sourced from the quarterly </w:t>
      </w:r>
      <w:r w:rsidRPr="00D9348B">
        <w:rPr>
          <w:rFonts w:cs="Calibri"/>
          <w:iCs/>
          <w:spacing w:val="-2"/>
          <w:lang w:eastAsia="en-GB"/>
        </w:rPr>
        <w:t>DPFI</w:t>
      </w:r>
      <w:r w:rsidRPr="00D9348B">
        <w:rPr>
          <w:rFonts w:cs="Calibri"/>
          <w:i/>
          <w:iCs/>
          <w:lang w:eastAsia="en-GB"/>
        </w:rPr>
        <w:t xml:space="preserve"> </w:t>
      </w:r>
      <w:r w:rsidRPr="00D9348B">
        <w:rPr>
          <w:rFonts w:cs="Calibri"/>
          <w:lang w:eastAsia="en-GB"/>
        </w:rPr>
        <w:t xml:space="preserve">conducted by MBIE. The DPFI provides monthly marine diesel supply figures that are added to diesel consumption data provided by KiwiRail (the operator of inter-island ferries) to obtain total diesel consumption in the </w:t>
      </w:r>
      <w:r w:rsidRPr="00D9348B">
        <w:rPr>
          <w:rFonts w:cs="Calibri"/>
          <w:i/>
          <w:lang w:eastAsia="en-GB"/>
        </w:rPr>
        <w:t>Domestic navigation</w:t>
      </w:r>
      <w:r w:rsidRPr="00D9348B">
        <w:rPr>
          <w:rFonts w:cs="Calibri"/>
          <w:lang w:eastAsia="en-GB"/>
        </w:rPr>
        <w:t xml:space="preserve"> sector. New Zealand-specific emission factors have been used to estimate </w:t>
      </w:r>
      <w:r w:rsidRPr="00D9348B">
        <w:rPr>
          <w:rFonts w:cs="Calibri"/>
        </w:rPr>
        <w:t>CO</w:t>
      </w:r>
      <w:r w:rsidRPr="00D9348B">
        <w:rPr>
          <w:rFonts w:cs="Calibri"/>
          <w:vertAlign w:val="subscript"/>
        </w:rPr>
        <w:t>2</w:t>
      </w:r>
      <w:r w:rsidRPr="00D9348B">
        <w:rPr>
          <w:rFonts w:cs="Calibri"/>
          <w:sz w:val="14"/>
          <w:szCs w:val="14"/>
          <w:lang w:eastAsia="en-GB"/>
        </w:rPr>
        <w:t xml:space="preserve"> </w:t>
      </w:r>
      <w:r w:rsidRPr="00D9348B">
        <w:rPr>
          <w:rFonts w:cs="Calibri"/>
          <w:lang w:eastAsia="en-GB"/>
        </w:rPr>
        <w:t xml:space="preserve">emissions and, because of insufficient data, the IPCC 2006 default emission factors have been used to estimate </w:t>
      </w:r>
      <w:r w:rsidRPr="00D9348B">
        <w:rPr>
          <w:rFonts w:cs="Calibri"/>
        </w:rPr>
        <w:t>CH</w:t>
      </w:r>
      <w:r w:rsidRPr="00D9348B">
        <w:rPr>
          <w:rFonts w:cs="Calibri"/>
          <w:vertAlign w:val="subscript"/>
        </w:rPr>
        <w:t>4</w:t>
      </w:r>
      <w:r w:rsidRPr="00D9348B">
        <w:rPr>
          <w:rFonts w:cs="Calibri"/>
          <w:sz w:val="14"/>
          <w:szCs w:val="14"/>
          <w:lang w:eastAsia="en-GB"/>
        </w:rPr>
        <w:t xml:space="preserve"> </w:t>
      </w:r>
      <w:r w:rsidRPr="00D9348B">
        <w:rPr>
          <w:rFonts w:cs="Calibri"/>
          <w:lang w:eastAsia="en-GB"/>
        </w:rPr>
        <w:t xml:space="preserve">and </w:t>
      </w:r>
      <w:r w:rsidRPr="00D9348B">
        <w:rPr>
          <w:rFonts w:cs="Calibri"/>
        </w:rPr>
        <w:t>N</w:t>
      </w:r>
      <w:r w:rsidRPr="00D9348B">
        <w:rPr>
          <w:rFonts w:cs="Calibri"/>
          <w:vertAlign w:val="subscript"/>
        </w:rPr>
        <w:t>2</w:t>
      </w:r>
      <w:r w:rsidRPr="00D9348B">
        <w:rPr>
          <w:rFonts w:cs="Calibri"/>
        </w:rPr>
        <w:t>O</w:t>
      </w:r>
      <w:r w:rsidRPr="00D9348B">
        <w:rPr>
          <w:rFonts w:cs="Calibri"/>
          <w:lang w:eastAsia="en-GB"/>
        </w:rPr>
        <w:t xml:space="preserve"> emissions.</w:t>
      </w:r>
    </w:p>
    <w:p w14:paraId="7F3E7981" w14:textId="77777777" w:rsidR="00E20138" w:rsidRPr="00D9348B" w:rsidRDefault="00E20138" w:rsidP="00E20138">
      <w:pPr>
        <w:pStyle w:val="BodyText"/>
        <w:rPr>
          <w:rFonts w:cs="Calibri"/>
        </w:rPr>
      </w:pPr>
      <w:r w:rsidRPr="00D9348B">
        <w:rPr>
          <w:rFonts w:cs="Calibri"/>
          <w:lang w:eastAsia="en-GB"/>
        </w:rPr>
        <w:t xml:space="preserve">Fuel sales to domestic navigation and international marine bunkers are reported separately in national energy data surveys. </w:t>
      </w:r>
      <w:r w:rsidRPr="00D9348B">
        <w:rPr>
          <w:rFonts w:cs="Calibri"/>
        </w:rPr>
        <w:t>The companies allocate the fuel to international or domestic transport based on whether or not they charge GST on the fuel sold – GST is not charged when the destination of a voyage is outside of New Zealand.</w:t>
      </w:r>
    </w:p>
    <w:p w14:paraId="1AC857C8" w14:textId="77777777" w:rsidR="00E20138" w:rsidRPr="00D9348B" w:rsidRDefault="00E20138" w:rsidP="00E20138">
      <w:pPr>
        <w:pStyle w:val="BodyText"/>
        <w:rPr>
          <w:rFonts w:cs="Calibri"/>
          <w:lang w:eastAsia="en-GB"/>
        </w:rPr>
      </w:pPr>
      <w:r w:rsidRPr="00D9348B">
        <w:rPr>
          <w:rFonts w:cs="Calibri"/>
        </w:rPr>
        <w:t>Historically, the Marsden Point oil refinery produced marine diesel oil (MDO). Production of MDO at the refinery stopped in late 2006. Data collected from the operators of the Interislander Ferry service (KiwiRail) have not included MDO use since 2006. The end to the collection of these data coincided with this operator ceasing a ‘fast ferry’ service between the North Island and South Island – this ferry ran on MDO – whereas the remainder of its fleet runs on fuel oil. There is no significant quantity of diesel used for commercial domestic navigation in New Zealand. There may be smaller quantities of diesel used in private and/or recreational vessels, but this is difficult to estimate. The DPFI would capture these sales as road transport.</w:t>
      </w:r>
    </w:p>
    <w:p w14:paraId="12DC4855" w14:textId="77777777" w:rsidR="00E20138" w:rsidRPr="00D9348B" w:rsidRDefault="00E20138" w:rsidP="00865BDB">
      <w:pPr>
        <w:pStyle w:val="Heading4"/>
      </w:pPr>
      <w:r w:rsidRPr="00D9348B">
        <w:rPr>
          <w:lang w:eastAsia="en-GB"/>
        </w:rPr>
        <w:t>Uncertainties and time-series consistency</w:t>
      </w:r>
    </w:p>
    <w:p w14:paraId="27CFB2F5" w14:textId="77777777" w:rsidR="00E20138" w:rsidRPr="00D9348B" w:rsidRDefault="00E20138" w:rsidP="00E20138">
      <w:pPr>
        <w:pStyle w:val="BodyText"/>
        <w:rPr>
          <w:rFonts w:cs="Calibri"/>
          <w:lang w:eastAsia="en-GB"/>
        </w:rPr>
      </w:pPr>
      <w:r w:rsidRPr="00D9348B">
        <w:rPr>
          <w:rFonts w:cs="Calibri"/>
          <w:lang w:eastAsia="en-GB"/>
        </w:rPr>
        <w:t xml:space="preserve">Uncertainties in emission estimates from the </w:t>
      </w:r>
      <w:r w:rsidRPr="00D9348B">
        <w:rPr>
          <w:rFonts w:cs="Calibri"/>
          <w:i/>
          <w:lang w:eastAsia="en-GB"/>
        </w:rPr>
        <w:t>Transport</w:t>
      </w:r>
      <w:r w:rsidRPr="00D9348B">
        <w:rPr>
          <w:rFonts w:cs="Calibri"/>
          <w:lang w:eastAsia="en-GB"/>
        </w:rPr>
        <w:t xml:space="preserve"> category are relevant to the entire </w:t>
      </w:r>
      <w:r w:rsidRPr="00D9348B">
        <w:rPr>
          <w:rFonts w:cs="Calibri"/>
          <w:i/>
          <w:lang w:eastAsia="en-GB"/>
        </w:rPr>
        <w:t>Fuel combustion</w:t>
      </w:r>
      <w:r w:rsidRPr="00D9348B">
        <w:rPr>
          <w:rFonts w:cs="Calibri"/>
          <w:lang w:eastAsia="en-GB"/>
        </w:rPr>
        <w:t xml:space="preserve"> sector (see table 3.3.1).</w:t>
      </w:r>
    </w:p>
    <w:p w14:paraId="66111ED1" w14:textId="77777777" w:rsidR="00E20138" w:rsidRPr="00D9348B" w:rsidRDefault="00E20138" w:rsidP="00865BDB">
      <w:pPr>
        <w:pStyle w:val="Heading4"/>
        <w:rPr>
          <w:lang w:eastAsia="en-GB"/>
        </w:rPr>
      </w:pPr>
      <w:r w:rsidRPr="00D9348B">
        <w:rPr>
          <w:lang w:eastAsia="en-GB"/>
        </w:rPr>
        <w:lastRenderedPageBreak/>
        <w:t>Source-specific QA/QC and verification</w:t>
      </w:r>
    </w:p>
    <w:p w14:paraId="39D83282" w14:textId="77777777" w:rsidR="00E20138" w:rsidRPr="00D9348B" w:rsidRDefault="00E20138" w:rsidP="00E20138">
      <w:pPr>
        <w:pStyle w:val="BodyText"/>
        <w:rPr>
          <w:rFonts w:cs="Calibri"/>
        </w:rPr>
      </w:pPr>
      <w:r w:rsidRPr="00D9348B">
        <w:rPr>
          <w:rFonts w:cs="Calibri"/>
          <w:lang w:eastAsia="en-GB"/>
        </w:rPr>
        <w:t xml:space="preserve">In the preparation of this inventory, the </w:t>
      </w:r>
      <w:r w:rsidRPr="00D9348B">
        <w:rPr>
          <w:rFonts w:cs="Calibri"/>
          <w:i/>
          <w:lang w:eastAsia="en-GB"/>
        </w:rPr>
        <w:t>Transport</w:t>
      </w:r>
      <w:r w:rsidRPr="00D9348B">
        <w:rPr>
          <w:rFonts w:cs="Calibri"/>
          <w:lang w:eastAsia="en-GB"/>
        </w:rPr>
        <w:t xml:space="preserve"> category underwent Tier 1 quality-assurance and quality-control checks as recommended in the 2006 IPCC Guidelines. These include regular control sums throughout systems, to verify system integrity, and time-series consistency checks.</w:t>
      </w:r>
    </w:p>
    <w:p w14:paraId="3616855C" w14:textId="77777777" w:rsidR="00E20138" w:rsidRPr="00D9348B" w:rsidRDefault="00E20138" w:rsidP="00E20138">
      <w:pPr>
        <w:pStyle w:val="BodyText"/>
        <w:rPr>
          <w:rFonts w:cs="Calibri"/>
          <w:lang w:eastAsia="en-GB"/>
        </w:rPr>
      </w:pPr>
      <w:r w:rsidRPr="00D9348B">
        <w:rPr>
          <w:rFonts w:cs="Calibri"/>
          <w:lang w:eastAsia="en-GB"/>
        </w:rPr>
        <w:t xml:space="preserve">Comparisons of international implied emission factors across the time series (1990–2012), and those resulting from the new Tier 3 methodology for </w:t>
      </w:r>
      <w:r w:rsidRPr="00D9348B">
        <w:rPr>
          <w:rFonts w:cs="Calibri"/>
        </w:rPr>
        <w:t>CH</w:t>
      </w:r>
      <w:r w:rsidRPr="00D9348B">
        <w:rPr>
          <w:rFonts w:cs="Calibri"/>
          <w:vertAlign w:val="subscript"/>
        </w:rPr>
        <w:t>4</w:t>
      </w:r>
      <w:r w:rsidRPr="00D9348B">
        <w:rPr>
          <w:rFonts w:cs="Calibri"/>
          <w:lang w:eastAsia="en-GB"/>
        </w:rPr>
        <w:t xml:space="preserve"> and </w:t>
      </w:r>
      <w:r w:rsidRPr="00D9348B">
        <w:rPr>
          <w:rFonts w:cs="Calibri"/>
        </w:rPr>
        <w:t>N</w:t>
      </w:r>
      <w:r w:rsidRPr="00D9348B">
        <w:rPr>
          <w:rFonts w:cs="Calibri"/>
          <w:vertAlign w:val="subscript"/>
        </w:rPr>
        <w:t>2</w:t>
      </w:r>
      <w:r w:rsidRPr="00D9348B">
        <w:rPr>
          <w:rFonts w:cs="Calibri"/>
        </w:rPr>
        <w:t>O</w:t>
      </w:r>
      <w:r w:rsidRPr="00D9348B">
        <w:rPr>
          <w:rFonts w:cs="Calibri"/>
          <w:lang w:eastAsia="en-GB"/>
        </w:rPr>
        <w:t xml:space="preserve"> emissions from road transport, were made using data from the UNFCCC website. </w:t>
      </w:r>
    </w:p>
    <w:p w14:paraId="1906F5FD" w14:textId="77777777" w:rsidR="00E20138" w:rsidRPr="00D9348B" w:rsidRDefault="00E20138" w:rsidP="00865BDB">
      <w:pPr>
        <w:pStyle w:val="Heading4"/>
        <w:rPr>
          <w:lang w:eastAsia="en-GB"/>
        </w:rPr>
      </w:pPr>
      <w:r w:rsidRPr="00D9348B">
        <w:rPr>
          <w:lang w:eastAsia="en-GB"/>
        </w:rPr>
        <w:t>Source-specific recalculations</w:t>
      </w:r>
    </w:p>
    <w:p w14:paraId="3B179D0A" w14:textId="77777777" w:rsidR="00E20138" w:rsidRPr="00D9348B" w:rsidRDefault="00E20138" w:rsidP="00E20138">
      <w:pPr>
        <w:pStyle w:val="BodyText"/>
        <w:rPr>
          <w:rFonts w:cs="Calibri"/>
          <w:lang w:eastAsia="en-GB"/>
        </w:rPr>
      </w:pPr>
      <w:r w:rsidRPr="00D9348B">
        <w:rPr>
          <w:rFonts w:cs="Calibri"/>
          <w:lang w:eastAsia="en-GB"/>
        </w:rPr>
        <w:t xml:space="preserve">Minor revisions to historical data have been made within the oil data system at MBIE. The method used to model emissions for the </w:t>
      </w:r>
      <w:r w:rsidRPr="00D9348B">
        <w:rPr>
          <w:rFonts w:cs="Calibri"/>
          <w:i/>
          <w:lang w:eastAsia="en-GB"/>
        </w:rPr>
        <w:t xml:space="preserve">Road transportation </w:t>
      </w:r>
      <w:r w:rsidRPr="00D9348B">
        <w:rPr>
          <w:rFonts w:cs="Calibri"/>
          <w:lang w:eastAsia="en-GB"/>
        </w:rPr>
        <w:t>category in the period</w:t>
      </w:r>
      <w:r w:rsidRPr="00D9348B">
        <w:rPr>
          <w:rFonts w:cs="Calibri"/>
          <w:lang w:eastAsia="en-GB"/>
        </w:rPr>
        <w:br/>
        <w:t>1990–2000 has been updated to improve consistency between fuels and vehicle types.</w:t>
      </w:r>
    </w:p>
    <w:p w14:paraId="13F04FF8" w14:textId="77777777" w:rsidR="00E20138" w:rsidRPr="00D9348B" w:rsidRDefault="00E20138" w:rsidP="00865BDB">
      <w:pPr>
        <w:pStyle w:val="Heading4"/>
        <w:rPr>
          <w:lang w:eastAsia="en-GB"/>
        </w:rPr>
      </w:pPr>
      <w:r w:rsidRPr="00D9348B">
        <w:rPr>
          <w:lang w:eastAsia="en-GB"/>
        </w:rPr>
        <w:t>Source-specific improvements</w:t>
      </w:r>
    </w:p>
    <w:p w14:paraId="05388D94" w14:textId="517E9717" w:rsidR="00E20138" w:rsidRPr="00D9348B" w:rsidRDefault="00E20138" w:rsidP="00E20138">
      <w:pPr>
        <w:pStyle w:val="BodyText"/>
        <w:rPr>
          <w:rFonts w:cs="Calibri"/>
          <w:lang w:eastAsia="en-GB"/>
        </w:rPr>
      </w:pPr>
      <w:r w:rsidRPr="00D9348B">
        <w:rPr>
          <w:rFonts w:cs="Calibri"/>
          <w:lang w:eastAsia="en-GB"/>
        </w:rPr>
        <w:t>For this submission, biodiesel has been disaggregated into the biogenic fraction and the fossil</w:t>
      </w:r>
      <w:r w:rsidR="00E5454D" w:rsidRPr="00D9348B">
        <w:rPr>
          <w:rFonts w:cs="Calibri"/>
          <w:lang w:eastAsia="en-GB"/>
        </w:rPr>
        <w:t> </w:t>
      </w:r>
      <w:r w:rsidRPr="00D9348B">
        <w:rPr>
          <w:rFonts w:cs="Calibri"/>
          <w:lang w:eastAsia="en-GB"/>
        </w:rPr>
        <w:t xml:space="preserve">fraction. The biodiesel biogenic fraction continues to be classified as </w:t>
      </w:r>
      <w:r w:rsidRPr="00D9348B">
        <w:rPr>
          <w:rFonts w:cs="Calibri"/>
          <w:i/>
          <w:lang w:eastAsia="en-GB"/>
        </w:rPr>
        <w:t>Biomass</w:t>
      </w:r>
      <w:r w:rsidRPr="00D9348B">
        <w:rPr>
          <w:rFonts w:cs="Calibri"/>
          <w:lang w:eastAsia="en-GB"/>
        </w:rPr>
        <w:t>, while the</w:t>
      </w:r>
      <w:r w:rsidR="00E5454D" w:rsidRPr="00D9348B">
        <w:rPr>
          <w:rFonts w:cs="Calibri"/>
          <w:lang w:eastAsia="en-GB"/>
        </w:rPr>
        <w:t> </w:t>
      </w:r>
      <w:r w:rsidRPr="00D9348B">
        <w:rPr>
          <w:rFonts w:cs="Calibri"/>
          <w:lang w:eastAsia="en-GB"/>
        </w:rPr>
        <w:t xml:space="preserve">biodiesel fossil fraction is classified as </w:t>
      </w:r>
      <w:proofErr w:type="gramStart"/>
      <w:r w:rsidRPr="00D9348B">
        <w:rPr>
          <w:rFonts w:cs="Calibri"/>
          <w:i/>
          <w:lang w:eastAsia="en-GB"/>
        </w:rPr>
        <w:t>Other</w:t>
      </w:r>
      <w:proofErr w:type="gramEnd"/>
      <w:r w:rsidRPr="00D9348B">
        <w:rPr>
          <w:rFonts w:cs="Calibri"/>
          <w:i/>
          <w:lang w:eastAsia="en-GB"/>
        </w:rPr>
        <w:t xml:space="preserve"> fossil fuels</w:t>
      </w:r>
      <w:r w:rsidRPr="00D9348B">
        <w:rPr>
          <w:rFonts w:cs="Calibri"/>
          <w:lang w:eastAsia="en-GB"/>
        </w:rPr>
        <w:t>. Biodiesel produced and consumed in New Zealand is generally fatty acid methyl ester (FAME). To produce FAME, vegetable oil</w:t>
      </w:r>
      <w:r w:rsidR="00E5454D" w:rsidRPr="00D9348B">
        <w:rPr>
          <w:rFonts w:cs="Calibri"/>
          <w:lang w:eastAsia="en-GB"/>
        </w:rPr>
        <w:t> </w:t>
      </w:r>
      <w:r w:rsidRPr="00D9348B">
        <w:rPr>
          <w:rFonts w:cs="Calibri"/>
          <w:lang w:eastAsia="en-GB"/>
        </w:rPr>
        <w:t>or animal fat is trans-esterified with methanol, which is assumed to be of fossil origin. Consequently, every single molecule of FAME contains one fossil carbon atom. While the exact fraction of fossil carbon in FAME depends on the nature of the feedstock oil, a value of 5.4 per cent is assumed based on measurements of a range of biodiesels from Reddy et al. (2008). As a result, part of the CO</w:t>
      </w:r>
      <w:r w:rsidRPr="00D9348B">
        <w:rPr>
          <w:rFonts w:cs="Calibri"/>
          <w:vertAlign w:val="subscript"/>
          <w:lang w:eastAsia="en-GB"/>
        </w:rPr>
        <w:t>2</w:t>
      </w:r>
      <w:r w:rsidRPr="00D9348B">
        <w:rPr>
          <w:rFonts w:cs="Calibri"/>
          <w:lang w:eastAsia="en-GB"/>
        </w:rPr>
        <w:t xml:space="preserve"> emissions previously reported as biomass memo items are now included in the national total emissions.</w:t>
      </w:r>
    </w:p>
    <w:p w14:paraId="659C07E2" w14:textId="77777777" w:rsidR="00E20138" w:rsidRPr="00D9348B" w:rsidRDefault="00E20138" w:rsidP="00E20138">
      <w:pPr>
        <w:pStyle w:val="BodyText"/>
        <w:rPr>
          <w:rFonts w:cs="Calibri"/>
          <w:lang w:eastAsia="en-GB"/>
        </w:rPr>
      </w:pPr>
      <w:r w:rsidRPr="00D9348B">
        <w:rPr>
          <w:rFonts w:cs="Calibri"/>
          <w:lang w:eastAsia="en-GB"/>
        </w:rPr>
        <w:t>For the 2019 submission, the Ministry of Transport has implemented several improvements for its estimates of non-CO</w:t>
      </w:r>
      <w:r w:rsidRPr="00D9348B">
        <w:rPr>
          <w:rFonts w:cs="Calibri"/>
          <w:vertAlign w:val="subscript"/>
          <w:lang w:eastAsia="en-GB"/>
        </w:rPr>
        <w:t>2</w:t>
      </w:r>
      <w:r w:rsidRPr="00D9348B">
        <w:rPr>
          <w:rFonts w:cs="Calibri"/>
          <w:lang w:eastAsia="en-GB"/>
        </w:rPr>
        <w:t xml:space="preserve"> emissions from road transport: First, new emission factors for Euro 5 and 6 vehicles have been used, where previously these vehicles were treated as Euro 4/IV. Second, t</w:t>
      </w:r>
      <w:r w:rsidRPr="00D9348B">
        <w:rPr>
          <w:rFonts w:cs="Calibri"/>
        </w:rPr>
        <w:t xml:space="preserve">he European Monitoring and Evaluation Programme/European Environment Agency emission inventory guidebook was updated in late 2016 (European Environment Agency, 2016). Some of the emission factors for Euro 4 and earlier vehicles were also updated in the latest version of the guidebook. Moreover, detailed emission factors were provided for heavy duty trucks in different gross vehicle mass bands. </w:t>
      </w:r>
    </w:p>
    <w:p w14:paraId="2DE74DE2" w14:textId="77777777" w:rsidR="00E20138" w:rsidRPr="00D9348B" w:rsidRDefault="00E20138" w:rsidP="00865BDB">
      <w:pPr>
        <w:pStyle w:val="Heading4"/>
      </w:pPr>
      <w:r w:rsidRPr="00D9348B">
        <w:rPr>
          <w:lang w:eastAsia="en-GB"/>
        </w:rPr>
        <w:t>Source-specific planned improvements</w:t>
      </w:r>
    </w:p>
    <w:p w14:paraId="1DA39658" w14:textId="77777777" w:rsidR="00E20138" w:rsidRPr="00D9348B" w:rsidRDefault="00E20138" w:rsidP="00E20138">
      <w:pPr>
        <w:pStyle w:val="BodyText"/>
        <w:rPr>
          <w:rFonts w:cs="Calibri"/>
        </w:rPr>
      </w:pPr>
      <w:r w:rsidRPr="00D9348B">
        <w:rPr>
          <w:rFonts w:cs="Calibri"/>
          <w:lang w:eastAsia="en-GB"/>
        </w:rPr>
        <w:t>MBIE is discussing with the Ministry of Transport the possibility of incorporating the results of a new aviation emissions model in the inventory estimates (for CH</w:t>
      </w:r>
      <w:r w:rsidRPr="00D9348B">
        <w:rPr>
          <w:rFonts w:cs="Calibri"/>
          <w:vertAlign w:val="subscript"/>
          <w:lang w:eastAsia="en-GB"/>
        </w:rPr>
        <w:t>4</w:t>
      </w:r>
      <w:r w:rsidRPr="00D9348B">
        <w:rPr>
          <w:rFonts w:cs="Calibri"/>
          <w:lang w:eastAsia="en-GB"/>
        </w:rPr>
        <w:t xml:space="preserve"> and N</w:t>
      </w:r>
      <w:r w:rsidRPr="00D9348B">
        <w:rPr>
          <w:rFonts w:cs="Calibri"/>
          <w:vertAlign w:val="subscript"/>
          <w:lang w:eastAsia="en-GB"/>
        </w:rPr>
        <w:t>2</w:t>
      </w:r>
      <w:r w:rsidRPr="00D9348B">
        <w:rPr>
          <w:rFonts w:cs="Calibri"/>
          <w:lang w:eastAsia="en-GB"/>
        </w:rPr>
        <w:t xml:space="preserve">O emissions). This will require time and resources to progress if it is deemed to be a worthwhile improvement. An update will be reported in the next annual submission. </w:t>
      </w:r>
    </w:p>
    <w:p w14:paraId="27CB6D23" w14:textId="77777777" w:rsidR="00E20138" w:rsidRPr="00D9348B" w:rsidRDefault="00E20138" w:rsidP="00E20138">
      <w:pPr>
        <w:pStyle w:val="Heading3"/>
        <w:rPr>
          <w:rFonts w:cs="Calibri"/>
        </w:rPr>
      </w:pPr>
      <w:r w:rsidRPr="00D9348B">
        <w:rPr>
          <w:rFonts w:cs="Calibri"/>
        </w:rPr>
        <w:t>3.3.9</w:t>
      </w:r>
      <w:r w:rsidRPr="00D9348B">
        <w:rPr>
          <w:rFonts w:cs="Calibri"/>
        </w:rPr>
        <w:tab/>
        <w:t>Fuel combustion: Other sectors (CRF 1.A.4)</w:t>
      </w:r>
    </w:p>
    <w:p w14:paraId="42268FE9" w14:textId="77777777" w:rsidR="00E20138" w:rsidRPr="00D9348B" w:rsidRDefault="00E20138" w:rsidP="00E5454D">
      <w:pPr>
        <w:pStyle w:val="Heading4"/>
        <w:spacing w:before="160"/>
      </w:pPr>
      <w:r w:rsidRPr="00D9348B">
        <w:rPr>
          <w:lang w:eastAsia="en-GB"/>
        </w:rPr>
        <w:t>Description</w:t>
      </w:r>
    </w:p>
    <w:p w14:paraId="5C6BC053" w14:textId="77777777" w:rsidR="00E20138" w:rsidRPr="00D9348B" w:rsidRDefault="00E20138" w:rsidP="00E20138">
      <w:pPr>
        <w:pStyle w:val="BodyText"/>
        <w:rPr>
          <w:rFonts w:cs="Calibri"/>
          <w:lang w:eastAsia="en-GB"/>
        </w:rPr>
      </w:pPr>
      <w:r w:rsidRPr="00D9348B">
        <w:rPr>
          <w:rFonts w:cs="Calibri"/>
          <w:lang w:eastAsia="en-GB"/>
        </w:rPr>
        <w:t xml:space="preserve">The category 1.A.4 </w:t>
      </w:r>
      <w:proofErr w:type="gramStart"/>
      <w:r w:rsidRPr="00D9348B">
        <w:rPr>
          <w:rFonts w:cs="Calibri"/>
          <w:i/>
          <w:lang w:eastAsia="en-GB"/>
        </w:rPr>
        <w:t>Other</w:t>
      </w:r>
      <w:proofErr w:type="gramEnd"/>
      <w:r w:rsidRPr="00D9348B">
        <w:rPr>
          <w:rFonts w:cs="Calibri"/>
          <w:i/>
          <w:lang w:eastAsia="en-GB"/>
        </w:rPr>
        <w:t xml:space="preserve"> sectors</w:t>
      </w:r>
      <w:r w:rsidRPr="00D9348B">
        <w:rPr>
          <w:rFonts w:cs="Calibri"/>
          <w:lang w:eastAsia="en-GB"/>
        </w:rPr>
        <w:t xml:space="preserve"> comprises emissions from fuels combusted in the </w:t>
      </w:r>
      <w:r w:rsidRPr="00D9348B">
        <w:rPr>
          <w:rFonts w:cs="Calibri"/>
          <w:i/>
          <w:lang w:eastAsia="en-GB"/>
        </w:rPr>
        <w:t>Commercial/institutional</w:t>
      </w:r>
      <w:r w:rsidRPr="00D9348B">
        <w:rPr>
          <w:rFonts w:cs="Calibri"/>
          <w:lang w:eastAsia="en-GB"/>
        </w:rPr>
        <w:t xml:space="preserve">, </w:t>
      </w:r>
      <w:r w:rsidRPr="00D9348B">
        <w:rPr>
          <w:rFonts w:cs="Calibri"/>
          <w:i/>
          <w:lang w:eastAsia="en-GB"/>
        </w:rPr>
        <w:t>Residential</w:t>
      </w:r>
      <w:r w:rsidRPr="00D9348B">
        <w:rPr>
          <w:rFonts w:cs="Calibri"/>
          <w:lang w:eastAsia="en-GB"/>
        </w:rPr>
        <w:t xml:space="preserve"> and </w:t>
      </w:r>
      <w:r w:rsidRPr="00D9348B">
        <w:rPr>
          <w:rFonts w:cs="Calibri"/>
          <w:i/>
          <w:lang w:eastAsia="en-GB"/>
        </w:rPr>
        <w:t>Agriculture/forestry/fishing</w:t>
      </w:r>
      <w:r w:rsidRPr="00D9348B">
        <w:rPr>
          <w:rFonts w:cs="Calibri"/>
          <w:lang w:eastAsia="en-GB"/>
        </w:rPr>
        <w:t xml:space="preserve"> categories.</w:t>
      </w:r>
    </w:p>
    <w:p w14:paraId="2CBE1276" w14:textId="77777777" w:rsidR="00E20138" w:rsidRPr="00D9348B" w:rsidRDefault="00E20138" w:rsidP="00E20138">
      <w:pPr>
        <w:pStyle w:val="BodyText"/>
        <w:rPr>
          <w:rFonts w:cs="Calibri"/>
        </w:rPr>
      </w:pPr>
      <w:r w:rsidRPr="00D9348B">
        <w:rPr>
          <w:rFonts w:cs="Calibri"/>
          <w:lang w:eastAsia="en-GB"/>
        </w:rPr>
        <w:lastRenderedPageBreak/>
        <w:t xml:space="preserve">In </w:t>
      </w:r>
      <w:r w:rsidRPr="00D9348B">
        <w:rPr>
          <w:rFonts w:cs="Calibri"/>
        </w:rPr>
        <w:t>2018</w:t>
      </w:r>
      <w:r w:rsidRPr="00D9348B">
        <w:rPr>
          <w:rFonts w:cs="Calibri"/>
          <w:lang w:eastAsia="en-GB"/>
        </w:rPr>
        <w:t xml:space="preserve">, the </w:t>
      </w:r>
      <w:r w:rsidRPr="00D9348B">
        <w:rPr>
          <w:rFonts w:cs="Calibri"/>
          <w:i/>
          <w:lang w:eastAsia="en-GB"/>
        </w:rPr>
        <w:t>Fuel combustion – other sectors</w:t>
      </w:r>
      <w:r w:rsidRPr="00D9348B">
        <w:rPr>
          <w:rFonts w:cs="Calibri"/>
          <w:lang w:eastAsia="en-GB"/>
        </w:rPr>
        <w:t xml:space="preserve"> category accounted for </w:t>
      </w:r>
      <w:r w:rsidRPr="00D9348B">
        <w:rPr>
          <w:rFonts w:cs="Calibri"/>
        </w:rPr>
        <w:t xml:space="preserve">2,796.1 </w:t>
      </w:r>
      <w:r w:rsidRPr="00D9348B">
        <w:rPr>
          <w:rFonts w:cs="Calibri"/>
          <w:lang w:eastAsia="en-GB"/>
        </w:rPr>
        <w:t>kt CO</w:t>
      </w:r>
      <w:r w:rsidRPr="00D9348B">
        <w:rPr>
          <w:rFonts w:cs="Calibri"/>
          <w:vertAlign w:val="subscript"/>
          <w:lang w:eastAsia="en-GB"/>
        </w:rPr>
        <w:t>2</w:t>
      </w:r>
      <w:r w:rsidRPr="00D9348B">
        <w:rPr>
          <w:rFonts w:cs="Calibri"/>
          <w:lang w:eastAsia="en-GB"/>
        </w:rPr>
        <w:t>-e (</w:t>
      </w:r>
      <w:r w:rsidRPr="00D9348B">
        <w:rPr>
          <w:rFonts w:cs="Calibri"/>
        </w:rPr>
        <w:t>8.8 per cent</w:t>
      </w:r>
      <w:r w:rsidRPr="00D9348B">
        <w:rPr>
          <w:rFonts w:cs="Calibri"/>
          <w:lang w:eastAsia="en-GB"/>
        </w:rPr>
        <w:t xml:space="preserve"> of the emissions from the Energy sector). This is </w:t>
      </w:r>
      <w:r w:rsidRPr="00D9348B">
        <w:rPr>
          <w:rFonts w:cs="Calibri"/>
        </w:rPr>
        <w:t xml:space="preserve">116.0 </w:t>
      </w:r>
      <w:r w:rsidRPr="00D9348B">
        <w:rPr>
          <w:rFonts w:cs="Calibri"/>
          <w:lang w:eastAsia="en-GB"/>
        </w:rPr>
        <w:t>kt CO</w:t>
      </w:r>
      <w:r w:rsidRPr="00D9348B">
        <w:rPr>
          <w:rFonts w:cs="Calibri"/>
          <w:vertAlign w:val="subscript"/>
          <w:lang w:eastAsia="en-GB"/>
        </w:rPr>
        <w:t>2</w:t>
      </w:r>
      <w:r w:rsidRPr="00D9348B">
        <w:rPr>
          <w:rFonts w:cs="Calibri"/>
          <w:lang w:eastAsia="en-GB"/>
        </w:rPr>
        <w:t>-e (</w:t>
      </w:r>
      <w:r w:rsidRPr="00D9348B">
        <w:rPr>
          <w:rFonts w:cs="Calibri"/>
        </w:rPr>
        <w:t>0.4 per cent</w:t>
      </w:r>
      <w:r w:rsidRPr="00D9348B">
        <w:rPr>
          <w:rFonts w:cs="Calibri"/>
          <w:lang w:eastAsia="en-GB"/>
        </w:rPr>
        <w:t xml:space="preserve">) lower than the 1990 value of </w:t>
      </w:r>
      <w:r w:rsidRPr="00D9348B">
        <w:rPr>
          <w:rFonts w:cs="Calibri"/>
        </w:rPr>
        <w:t xml:space="preserve">2,912.1 </w:t>
      </w:r>
      <w:r w:rsidRPr="00D9348B">
        <w:rPr>
          <w:rFonts w:cs="Calibri"/>
          <w:lang w:eastAsia="en-GB"/>
        </w:rPr>
        <w:t>kt CO</w:t>
      </w:r>
      <w:r w:rsidRPr="00D9348B">
        <w:rPr>
          <w:rFonts w:cs="Calibri"/>
          <w:vertAlign w:val="subscript"/>
          <w:lang w:eastAsia="en-GB"/>
        </w:rPr>
        <w:t>2</w:t>
      </w:r>
      <w:r w:rsidRPr="00D9348B">
        <w:rPr>
          <w:rFonts w:cs="Calibri"/>
          <w:lang w:eastAsia="en-GB"/>
        </w:rPr>
        <w:t>-e.</w:t>
      </w:r>
    </w:p>
    <w:p w14:paraId="12D6F856" w14:textId="77777777" w:rsidR="00E20138" w:rsidRPr="00D9348B" w:rsidRDefault="00E20138" w:rsidP="00865BDB">
      <w:pPr>
        <w:pStyle w:val="Heading4"/>
        <w:rPr>
          <w:lang w:eastAsia="en-GB"/>
        </w:rPr>
      </w:pPr>
      <w:r w:rsidRPr="00D9348B">
        <w:rPr>
          <w:lang w:eastAsia="en-GB"/>
        </w:rPr>
        <w:t xml:space="preserve">Changes in emissions between </w:t>
      </w:r>
      <w:r w:rsidRPr="00D9348B">
        <w:t>2017</w:t>
      </w:r>
      <w:r w:rsidRPr="00D9348B">
        <w:rPr>
          <w:lang w:eastAsia="en-GB"/>
        </w:rPr>
        <w:t xml:space="preserve"> and </w:t>
      </w:r>
      <w:r w:rsidRPr="00D9348B">
        <w:t>2018</w:t>
      </w:r>
    </w:p>
    <w:p w14:paraId="5C01A8F2" w14:textId="77777777" w:rsidR="00E20138" w:rsidRPr="00D9348B" w:rsidRDefault="00E20138" w:rsidP="00E20138">
      <w:pPr>
        <w:pStyle w:val="BodyText"/>
        <w:rPr>
          <w:rFonts w:cs="Calibri"/>
          <w:lang w:eastAsia="en-GB"/>
        </w:rPr>
      </w:pPr>
      <w:r w:rsidRPr="00D9348B">
        <w:rPr>
          <w:rFonts w:cs="Calibri"/>
          <w:lang w:eastAsia="en-GB"/>
        </w:rPr>
        <w:t xml:space="preserve">Between </w:t>
      </w:r>
      <w:r w:rsidRPr="00D9348B">
        <w:rPr>
          <w:rFonts w:cs="Calibri"/>
        </w:rPr>
        <w:t xml:space="preserve">2017 </w:t>
      </w:r>
      <w:r w:rsidRPr="00D9348B">
        <w:rPr>
          <w:rFonts w:cs="Calibri"/>
          <w:lang w:eastAsia="en-GB"/>
        </w:rPr>
        <w:t xml:space="preserve">and </w:t>
      </w:r>
      <w:r w:rsidRPr="00D9348B">
        <w:rPr>
          <w:rFonts w:cs="Calibri"/>
        </w:rPr>
        <w:t>2018</w:t>
      </w:r>
      <w:r w:rsidRPr="00D9348B">
        <w:rPr>
          <w:rFonts w:cs="Calibri"/>
          <w:lang w:eastAsia="en-GB"/>
        </w:rPr>
        <w:t xml:space="preserve">, emissions from 1.A.4 </w:t>
      </w:r>
      <w:proofErr w:type="gramStart"/>
      <w:r w:rsidRPr="00D9348B">
        <w:rPr>
          <w:rFonts w:cs="Calibri"/>
          <w:i/>
          <w:lang w:eastAsia="en-GB"/>
        </w:rPr>
        <w:t>Other</w:t>
      </w:r>
      <w:proofErr w:type="gramEnd"/>
      <w:r w:rsidRPr="00D9348B">
        <w:rPr>
          <w:rFonts w:cs="Calibri"/>
          <w:i/>
          <w:lang w:eastAsia="en-GB"/>
        </w:rPr>
        <w:t xml:space="preserve"> sectors</w:t>
      </w:r>
      <w:r w:rsidRPr="00D9348B">
        <w:rPr>
          <w:rFonts w:cs="Calibri"/>
          <w:lang w:eastAsia="en-GB"/>
        </w:rPr>
        <w:t xml:space="preserve"> </w:t>
      </w:r>
      <w:r w:rsidRPr="00D9348B">
        <w:rPr>
          <w:rFonts w:cs="Calibri"/>
        </w:rPr>
        <w:t>decreased by 155.8 </w:t>
      </w:r>
      <w:r w:rsidRPr="00D9348B">
        <w:rPr>
          <w:rFonts w:cs="Calibri"/>
          <w:lang w:eastAsia="en-GB"/>
        </w:rPr>
        <w:t>kt CO</w:t>
      </w:r>
      <w:r w:rsidRPr="00D9348B">
        <w:rPr>
          <w:rFonts w:cs="Calibri"/>
          <w:vertAlign w:val="subscript"/>
          <w:lang w:eastAsia="en-GB"/>
        </w:rPr>
        <w:t>2</w:t>
      </w:r>
      <w:r w:rsidRPr="00D9348B">
        <w:rPr>
          <w:rFonts w:cs="Calibri"/>
          <w:lang w:eastAsia="en-GB"/>
        </w:rPr>
        <w:noBreakHyphen/>
        <w:t>e (5.3</w:t>
      </w:r>
      <w:r w:rsidRPr="00D9348B">
        <w:rPr>
          <w:rFonts w:cs="Calibri"/>
        </w:rPr>
        <w:t> per cent</w:t>
      </w:r>
      <w:r w:rsidRPr="00D9348B">
        <w:rPr>
          <w:rFonts w:cs="Calibri"/>
          <w:lang w:eastAsia="en-GB"/>
        </w:rPr>
        <w:t xml:space="preserve">). </w:t>
      </w:r>
    </w:p>
    <w:p w14:paraId="46BB4479" w14:textId="77777777" w:rsidR="00E20138" w:rsidRPr="00D9348B" w:rsidRDefault="00E20138" w:rsidP="00E20138">
      <w:pPr>
        <w:pStyle w:val="BodyText"/>
        <w:rPr>
          <w:rFonts w:cs="Calibri"/>
        </w:rPr>
      </w:pPr>
      <w:r w:rsidRPr="00D9348B">
        <w:rPr>
          <w:rFonts w:cs="Calibri"/>
        </w:rPr>
        <w:t xml:space="preserve">Key categories identified in the 2018 level and trend assessment for the </w:t>
      </w:r>
      <w:proofErr w:type="gramStart"/>
      <w:r w:rsidRPr="00D9348B">
        <w:rPr>
          <w:rFonts w:cs="Calibri"/>
          <w:i/>
        </w:rPr>
        <w:t>Other</w:t>
      </w:r>
      <w:proofErr w:type="gramEnd"/>
      <w:r w:rsidRPr="00D9348B">
        <w:rPr>
          <w:rFonts w:cs="Calibri"/>
          <w:i/>
        </w:rPr>
        <w:t xml:space="preserve"> sectors</w:t>
      </w:r>
      <w:r w:rsidRPr="00D9348B">
        <w:rPr>
          <w:rFonts w:cs="Calibri"/>
        </w:rPr>
        <w:t xml:space="preserve"> category are given in table 3.3.6.</w:t>
      </w:r>
    </w:p>
    <w:p w14:paraId="193EB9C4" w14:textId="77777777" w:rsidR="00E20138" w:rsidRPr="00D9348B" w:rsidRDefault="00E20138" w:rsidP="005B274A">
      <w:pPr>
        <w:pStyle w:val="Table"/>
      </w:pPr>
      <w:r w:rsidRPr="00D9348B">
        <w:t>Table 3.3.6</w:t>
      </w:r>
      <w:r w:rsidRPr="00D9348B">
        <w:tab/>
        <w:t xml:space="preserve">Key categories for 1.A.4 </w:t>
      </w:r>
      <w:proofErr w:type="gramStart"/>
      <w:r w:rsidRPr="00D9348B">
        <w:rPr>
          <w:lang w:eastAsia="en-GB"/>
        </w:rPr>
        <w:t>Other</w:t>
      </w:r>
      <w:proofErr w:type="gramEnd"/>
      <w:r w:rsidRPr="00D9348B">
        <w:rPr>
          <w:lang w:eastAsia="en-GB"/>
        </w:rPr>
        <w:t xml:space="preserve"> sectors</w:t>
      </w:r>
    </w:p>
    <w:tbl>
      <w:tblPr>
        <w:tblW w:w="8562" w:type="dxa"/>
        <w:tblInd w:w="108" w:type="dxa"/>
        <w:tblBorders>
          <w:top w:val="single" w:sz="4" w:space="0" w:color="1F497D"/>
          <w:bottom w:val="single" w:sz="4" w:space="0" w:color="1F497D"/>
          <w:insideH w:val="single" w:sz="4" w:space="0" w:color="1F497D"/>
          <w:insideV w:val="single" w:sz="4" w:space="0" w:color="1F497D"/>
        </w:tblBorders>
        <w:tblLayout w:type="fixed"/>
        <w:tblLook w:val="0420" w:firstRow="1" w:lastRow="0" w:firstColumn="0" w:lastColumn="0" w:noHBand="0" w:noVBand="1"/>
      </w:tblPr>
      <w:tblGrid>
        <w:gridCol w:w="3795"/>
        <w:gridCol w:w="1671"/>
        <w:gridCol w:w="1519"/>
        <w:gridCol w:w="1577"/>
      </w:tblGrid>
      <w:tr w:rsidR="00E20138" w:rsidRPr="00D9348B" w14:paraId="2B47476C" w14:textId="77777777" w:rsidTr="00DB330E">
        <w:trPr>
          <w:tblHeader/>
        </w:trPr>
        <w:tc>
          <w:tcPr>
            <w:tcW w:w="2216" w:type="pct"/>
            <w:tcBorders>
              <w:right w:val="single" w:sz="4" w:space="0" w:color="365F91"/>
            </w:tcBorders>
            <w:shd w:val="clear" w:color="auto" w:fill="365F91"/>
            <w:noWrap/>
            <w:vAlign w:val="bottom"/>
            <w:hideMark/>
          </w:tcPr>
          <w:p w14:paraId="16694595" w14:textId="77777777" w:rsidR="00E20138" w:rsidRPr="00D9348B" w:rsidRDefault="00E20138" w:rsidP="00DB330E">
            <w:pPr>
              <w:pStyle w:val="TableTextBold"/>
              <w:rPr>
                <w:rFonts w:cs="Calibri"/>
                <w:noProof w:val="0"/>
                <w:color w:val="FFFFFF"/>
              </w:rPr>
            </w:pPr>
          </w:p>
        </w:tc>
        <w:tc>
          <w:tcPr>
            <w:tcW w:w="976" w:type="pct"/>
            <w:tcBorders>
              <w:top w:val="single" w:sz="4" w:space="0" w:color="365F91"/>
              <w:left w:val="single" w:sz="4" w:space="0" w:color="365F91"/>
              <w:bottom w:val="single" w:sz="4" w:space="0" w:color="365F91"/>
              <w:right w:val="single" w:sz="4" w:space="0" w:color="365F91"/>
            </w:tcBorders>
            <w:shd w:val="clear" w:color="auto" w:fill="365F91"/>
            <w:noWrap/>
            <w:vAlign w:val="bottom"/>
            <w:hideMark/>
          </w:tcPr>
          <w:p w14:paraId="5F9F3381" w14:textId="77777777" w:rsidR="00E20138" w:rsidRPr="00D9348B" w:rsidRDefault="00E20138" w:rsidP="00DB330E">
            <w:pPr>
              <w:pStyle w:val="TableTextBold"/>
              <w:rPr>
                <w:rFonts w:cs="Calibri"/>
                <w:noProof w:val="0"/>
                <w:color w:val="FFFFFF"/>
              </w:rPr>
            </w:pPr>
            <w:r w:rsidRPr="00D9348B">
              <w:rPr>
                <w:rFonts w:cs="Calibri"/>
                <w:noProof w:val="0"/>
                <w:color w:val="FFFFFF"/>
              </w:rPr>
              <w:t>Liquid fuels</w:t>
            </w:r>
          </w:p>
        </w:tc>
        <w:tc>
          <w:tcPr>
            <w:tcW w:w="887" w:type="pct"/>
            <w:tcBorders>
              <w:top w:val="single" w:sz="4" w:space="0" w:color="365F91"/>
              <w:left w:val="single" w:sz="4" w:space="0" w:color="365F91"/>
              <w:bottom w:val="single" w:sz="4" w:space="0" w:color="365F91"/>
              <w:right w:val="single" w:sz="4" w:space="0" w:color="365F91"/>
            </w:tcBorders>
            <w:shd w:val="clear" w:color="auto" w:fill="365F91"/>
            <w:vAlign w:val="bottom"/>
            <w:hideMark/>
          </w:tcPr>
          <w:p w14:paraId="7987B58D" w14:textId="77777777" w:rsidR="00E20138" w:rsidRPr="00D9348B" w:rsidRDefault="00E20138" w:rsidP="00DB330E">
            <w:pPr>
              <w:pStyle w:val="TableTextBold"/>
              <w:rPr>
                <w:rFonts w:cs="Calibri"/>
                <w:noProof w:val="0"/>
                <w:color w:val="FFFFFF"/>
              </w:rPr>
            </w:pPr>
            <w:r w:rsidRPr="00D9348B">
              <w:rPr>
                <w:rFonts w:cs="Calibri"/>
                <w:noProof w:val="0"/>
                <w:color w:val="FFFFFF"/>
              </w:rPr>
              <w:t>Solid fuels</w:t>
            </w:r>
          </w:p>
        </w:tc>
        <w:tc>
          <w:tcPr>
            <w:tcW w:w="921" w:type="pct"/>
            <w:tcBorders>
              <w:left w:val="single" w:sz="4" w:space="0" w:color="365F91"/>
            </w:tcBorders>
            <w:shd w:val="clear" w:color="auto" w:fill="365F91"/>
            <w:vAlign w:val="bottom"/>
            <w:hideMark/>
          </w:tcPr>
          <w:p w14:paraId="664CCC52" w14:textId="77777777" w:rsidR="00E20138" w:rsidRPr="00D9348B" w:rsidRDefault="00E20138" w:rsidP="00DB330E">
            <w:pPr>
              <w:pStyle w:val="TableTextBold"/>
              <w:rPr>
                <w:rFonts w:cs="Calibri"/>
                <w:noProof w:val="0"/>
                <w:color w:val="FFFFFF"/>
              </w:rPr>
            </w:pPr>
            <w:r w:rsidRPr="00D9348B">
              <w:rPr>
                <w:rFonts w:cs="Calibri"/>
                <w:noProof w:val="0"/>
                <w:color w:val="FFFFFF"/>
              </w:rPr>
              <w:t>Gaseous fuels</w:t>
            </w:r>
          </w:p>
        </w:tc>
      </w:tr>
      <w:tr w:rsidR="00E20138" w:rsidRPr="00D9348B" w14:paraId="4B054753" w14:textId="77777777" w:rsidTr="00DB330E">
        <w:tc>
          <w:tcPr>
            <w:tcW w:w="2216" w:type="pct"/>
            <w:tcBorders>
              <w:right w:val="single" w:sz="4" w:space="0" w:color="365F91"/>
            </w:tcBorders>
            <w:shd w:val="clear" w:color="auto" w:fill="auto"/>
            <w:noWrap/>
            <w:hideMark/>
          </w:tcPr>
          <w:p w14:paraId="688BC7B5" w14:textId="77777777" w:rsidR="00E20138" w:rsidRPr="00D9348B" w:rsidRDefault="00E20138" w:rsidP="00DB330E">
            <w:pPr>
              <w:pStyle w:val="TableText"/>
              <w:spacing w:before="50" w:after="50"/>
              <w:rPr>
                <w:rFonts w:cs="Calibri"/>
              </w:rPr>
            </w:pPr>
            <w:r w:rsidRPr="00D9348B">
              <w:rPr>
                <w:rFonts w:cs="Calibri"/>
              </w:rPr>
              <w:t>Commercial/institutional – CO</w:t>
            </w:r>
            <w:r w:rsidRPr="00D9348B">
              <w:rPr>
                <w:rFonts w:cs="Calibri"/>
                <w:vertAlign w:val="subscript"/>
              </w:rPr>
              <w:t>2</w:t>
            </w:r>
          </w:p>
        </w:tc>
        <w:tc>
          <w:tcPr>
            <w:tcW w:w="976" w:type="pct"/>
            <w:tcBorders>
              <w:top w:val="single" w:sz="4" w:space="0" w:color="365F91"/>
              <w:left w:val="single" w:sz="4" w:space="0" w:color="365F91"/>
              <w:bottom w:val="single" w:sz="4" w:space="0" w:color="365F91"/>
              <w:right w:val="single" w:sz="4" w:space="0" w:color="365F91"/>
            </w:tcBorders>
            <w:shd w:val="clear" w:color="auto" w:fill="auto"/>
            <w:noWrap/>
            <w:hideMark/>
          </w:tcPr>
          <w:p w14:paraId="557963E9" w14:textId="77777777" w:rsidR="00E20138" w:rsidRPr="00D9348B" w:rsidRDefault="00E20138" w:rsidP="00DB330E">
            <w:pPr>
              <w:pStyle w:val="TableText"/>
              <w:spacing w:before="50" w:after="50"/>
              <w:rPr>
                <w:rFonts w:cs="Calibri"/>
              </w:rPr>
            </w:pPr>
            <w:r w:rsidRPr="00D9348B">
              <w:rPr>
                <w:rFonts w:cs="Calibri"/>
              </w:rPr>
              <w:t>Level, trend</w:t>
            </w:r>
          </w:p>
        </w:tc>
        <w:tc>
          <w:tcPr>
            <w:tcW w:w="887" w:type="pct"/>
            <w:tcBorders>
              <w:top w:val="single" w:sz="4" w:space="0" w:color="365F91"/>
              <w:left w:val="single" w:sz="4" w:space="0" w:color="365F91"/>
              <w:bottom w:val="single" w:sz="4" w:space="0" w:color="365F91"/>
              <w:right w:val="single" w:sz="4" w:space="0" w:color="365F91"/>
            </w:tcBorders>
            <w:shd w:val="clear" w:color="auto" w:fill="auto"/>
            <w:noWrap/>
            <w:hideMark/>
          </w:tcPr>
          <w:p w14:paraId="2CFAD6D5" w14:textId="77777777" w:rsidR="00E20138" w:rsidRPr="00D9348B" w:rsidRDefault="00E20138" w:rsidP="00DB330E">
            <w:pPr>
              <w:pStyle w:val="TableText"/>
              <w:spacing w:before="50" w:after="50"/>
              <w:rPr>
                <w:rFonts w:cs="Calibri"/>
              </w:rPr>
            </w:pPr>
          </w:p>
        </w:tc>
        <w:tc>
          <w:tcPr>
            <w:tcW w:w="921" w:type="pct"/>
            <w:tcBorders>
              <w:left w:val="single" w:sz="4" w:space="0" w:color="365F91"/>
            </w:tcBorders>
            <w:shd w:val="clear" w:color="auto" w:fill="auto"/>
            <w:noWrap/>
            <w:hideMark/>
          </w:tcPr>
          <w:p w14:paraId="2E108684" w14:textId="77777777" w:rsidR="00E20138" w:rsidRPr="00D9348B" w:rsidRDefault="00E20138" w:rsidP="00DB330E">
            <w:pPr>
              <w:pStyle w:val="TableText"/>
              <w:spacing w:before="50" w:after="50"/>
              <w:rPr>
                <w:rFonts w:cs="Calibri"/>
              </w:rPr>
            </w:pPr>
            <w:r w:rsidRPr="00D9348B">
              <w:rPr>
                <w:rFonts w:cs="Calibri"/>
              </w:rPr>
              <w:t>Level, trend</w:t>
            </w:r>
          </w:p>
        </w:tc>
      </w:tr>
      <w:tr w:rsidR="00E20138" w:rsidRPr="00D9348B" w14:paraId="09B93F62" w14:textId="77777777" w:rsidTr="00DB330E">
        <w:tc>
          <w:tcPr>
            <w:tcW w:w="2216" w:type="pct"/>
            <w:tcBorders>
              <w:right w:val="single" w:sz="4" w:space="0" w:color="365F91"/>
            </w:tcBorders>
            <w:shd w:val="clear" w:color="auto" w:fill="auto"/>
            <w:noWrap/>
            <w:hideMark/>
          </w:tcPr>
          <w:p w14:paraId="248E1F09" w14:textId="77777777" w:rsidR="00E20138" w:rsidRPr="00D9348B" w:rsidRDefault="00E20138" w:rsidP="00DB330E">
            <w:pPr>
              <w:pStyle w:val="TableText"/>
              <w:spacing w:before="50" w:after="50"/>
              <w:rPr>
                <w:rFonts w:cs="Calibri"/>
              </w:rPr>
            </w:pPr>
            <w:r w:rsidRPr="00D9348B">
              <w:rPr>
                <w:rFonts w:cs="Calibri"/>
              </w:rPr>
              <w:t>Residential – CO</w:t>
            </w:r>
            <w:r w:rsidRPr="00D9348B">
              <w:rPr>
                <w:rFonts w:cs="Calibri"/>
                <w:vertAlign w:val="subscript"/>
              </w:rPr>
              <w:t>2</w:t>
            </w:r>
          </w:p>
        </w:tc>
        <w:tc>
          <w:tcPr>
            <w:tcW w:w="976" w:type="pct"/>
            <w:tcBorders>
              <w:top w:val="single" w:sz="4" w:space="0" w:color="365F91"/>
              <w:left w:val="single" w:sz="4" w:space="0" w:color="365F91"/>
              <w:bottom w:val="single" w:sz="4" w:space="0" w:color="365F91"/>
              <w:right w:val="single" w:sz="4" w:space="0" w:color="365F91"/>
            </w:tcBorders>
            <w:shd w:val="clear" w:color="auto" w:fill="auto"/>
            <w:noWrap/>
            <w:hideMark/>
          </w:tcPr>
          <w:p w14:paraId="7B49549D" w14:textId="77777777" w:rsidR="00E20138" w:rsidRPr="00D9348B" w:rsidRDefault="00E20138" w:rsidP="00DB330E">
            <w:pPr>
              <w:pStyle w:val="TableText"/>
              <w:spacing w:before="50" w:after="50"/>
              <w:rPr>
                <w:rFonts w:cs="Calibri"/>
              </w:rPr>
            </w:pPr>
            <w:r w:rsidRPr="00D9348B">
              <w:rPr>
                <w:rFonts w:cs="Calibri"/>
              </w:rPr>
              <w:t>Level</w:t>
            </w:r>
          </w:p>
        </w:tc>
        <w:tc>
          <w:tcPr>
            <w:tcW w:w="887" w:type="pct"/>
            <w:tcBorders>
              <w:top w:val="single" w:sz="4" w:space="0" w:color="365F91"/>
              <w:left w:val="single" w:sz="4" w:space="0" w:color="365F91"/>
              <w:bottom w:val="single" w:sz="4" w:space="0" w:color="365F91"/>
              <w:right w:val="single" w:sz="4" w:space="0" w:color="365F91"/>
            </w:tcBorders>
            <w:shd w:val="clear" w:color="auto" w:fill="auto"/>
            <w:noWrap/>
          </w:tcPr>
          <w:p w14:paraId="473FFBA7" w14:textId="77777777" w:rsidR="00E20138" w:rsidRPr="00D9348B" w:rsidRDefault="00E20138" w:rsidP="00DB330E">
            <w:pPr>
              <w:pStyle w:val="TableText"/>
              <w:spacing w:before="50" w:after="50"/>
              <w:rPr>
                <w:rFonts w:cs="Calibri"/>
              </w:rPr>
            </w:pPr>
            <w:r w:rsidRPr="00D9348B">
              <w:rPr>
                <w:rFonts w:cs="Calibri"/>
              </w:rPr>
              <w:t>Trend</w:t>
            </w:r>
          </w:p>
        </w:tc>
        <w:tc>
          <w:tcPr>
            <w:tcW w:w="921" w:type="pct"/>
            <w:tcBorders>
              <w:left w:val="single" w:sz="4" w:space="0" w:color="365F91"/>
            </w:tcBorders>
            <w:shd w:val="clear" w:color="auto" w:fill="auto"/>
            <w:noWrap/>
            <w:hideMark/>
          </w:tcPr>
          <w:p w14:paraId="7CA60FCE" w14:textId="77777777" w:rsidR="00E20138" w:rsidRPr="00D9348B" w:rsidRDefault="00E20138" w:rsidP="00DB330E">
            <w:pPr>
              <w:pStyle w:val="TableText"/>
              <w:spacing w:before="50" w:after="50"/>
              <w:rPr>
                <w:rFonts w:cs="Calibri"/>
              </w:rPr>
            </w:pPr>
            <w:r w:rsidRPr="00D9348B">
              <w:rPr>
                <w:rFonts w:cs="Calibri"/>
              </w:rPr>
              <w:t>Level, trend</w:t>
            </w:r>
          </w:p>
        </w:tc>
      </w:tr>
      <w:tr w:rsidR="00E20138" w:rsidRPr="00D9348B" w14:paraId="64C5BB2A" w14:textId="77777777" w:rsidTr="00DB330E">
        <w:tc>
          <w:tcPr>
            <w:tcW w:w="2216" w:type="pct"/>
            <w:tcBorders>
              <w:right w:val="single" w:sz="4" w:space="0" w:color="365F91"/>
            </w:tcBorders>
            <w:shd w:val="clear" w:color="auto" w:fill="auto"/>
            <w:noWrap/>
          </w:tcPr>
          <w:p w14:paraId="22C15BA9" w14:textId="77777777" w:rsidR="00E20138" w:rsidRPr="00D9348B" w:rsidRDefault="00E20138" w:rsidP="00DB330E">
            <w:pPr>
              <w:pStyle w:val="TableText"/>
              <w:spacing w:before="50" w:after="50"/>
              <w:rPr>
                <w:rFonts w:cs="Calibri"/>
              </w:rPr>
            </w:pPr>
            <w:r w:rsidRPr="00D9348B">
              <w:rPr>
                <w:rFonts w:cs="Calibri"/>
              </w:rPr>
              <w:t>Agriculture/forestry/fishing – CO</w:t>
            </w:r>
            <w:r w:rsidRPr="00D9348B">
              <w:rPr>
                <w:rFonts w:cs="Calibri"/>
                <w:vertAlign w:val="subscript"/>
              </w:rPr>
              <w:t>2</w:t>
            </w:r>
          </w:p>
        </w:tc>
        <w:tc>
          <w:tcPr>
            <w:tcW w:w="976" w:type="pct"/>
            <w:tcBorders>
              <w:top w:val="single" w:sz="4" w:space="0" w:color="365F91"/>
              <w:left w:val="single" w:sz="4" w:space="0" w:color="365F91"/>
              <w:bottom w:val="single" w:sz="4" w:space="0" w:color="365F91"/>
              <w:right w:val="single" w:sz="4" w:space="0" w:color="365F91"/>
            </w:tcBorders>
            <w:shd w:val="clear" w:color="auto" w:fill="auto"/>
            <w:noWrap/>
          </w:tcPr>
          <w:p w14:paraId="6EE619B0" w14:textId="77777777" w:rsidR="00E20138" w:rsidRPr="00D9348B" w:rsidRDefault="00E20138" w:rsidP="00DB330E">
            <w:pPr>
              <w:pStyle w:val="TableText"/>
              <w:spacing w:before="50" w:after="50"/>
              <w:rPr>
                <w:rFonts w:cs="Calibri"/>
              </w:rPr>
            </w:pPr>
            <w:r w:rsidRPr="00D9348B">
              <w:rPr>
                <w:rFonts w:cs="Calibri"/>
              </w:rPr>
              <w:t>Level, trend</w:t>
            </w:r>
          </w:p>
        </w:tc>
        <w:tc>
          <w:tcPr>
            <w:tcW w:w="887" w:type="pct"/>
            <w:tcBorders>
              <w:top w:val="single" w:sz="4" w:space="0" w:color="365F91"/>
              <w:left w:val="single" w:sz="4" w:space="0" w:color="365F91"/>
              <w:bottom w:val="single" w:sz="4" w:space="0" w:color="365F91"/>
              <w:right w:val="single" w:sz="4" w:space="0" w:color="365F91"/>
            </w:tcBorders>
            <w:shd w:val="clear" w:color="auto" w:fill="auto"/>
            <w:noWrap/>
          </w:tcPr>
          <w:p w14:paraId="0C747717" w14:textId="77777777" w:rsidR="00E20138" w:rsidRPr="00D9348B" w:rsidRDefault="00E20138" w:rsidP="00DB330E">
            <w:pPr>
              <w:pStyle w:val="TableText"/>
              <w:spacing w:before="50" w:after="50"/>
              <w:rPr>
                <w:rFonts w:cs="Calibri"/>
              </w:rPr>
            </w:pPr>
          </w:p>
        </w:tc>
        <w:tc>
          <w:tcPr>
            <w:tcW w:w="921" w:type="pct"/>
            <w:tcBorders>
              <w:left w:val="single" w:sz="4" w:space="0" w:color="365F91"/>
            </w:tcBorders>
            <w:shd w:val="clear" w:color="auto" w:fill="auto"/>
            <w:noWrap/>
          </w:tcPr>
          <w:p w14:paraId="6B097476" w14:textId="77777777" w:rsidR="00E20138" w:rsidRPr="00D9348B" w:rsidRDefault="00E20138" w:rsidP="00DB330E">
            <w:pPr>
              <w:pStyle w:val="TableText"/>
              <w:spacing w:before="50" w:after="50"/>
              <w:rPr>
                <w:rFonts w:cs="Calibri"/>
              </w:rPr>
            </w:pPr>
          </w:p>
        </w:tc>
      </w:tr>
    </w:tbl>
    <w:p w14:paraId="10AA3478" w14:textId="77777777" w:rsidR="00E20138" w:rsidRPr="00D9348B" w:rsidRDefault="00E20138" w:rsidP="00E5454D">
      <w:pPr>
        <w:pStyle w:val="Heading4"/>
        <w:spacing w:before="360"/>
      </w:pPr>
      <w:r w:rsidRPr="00D9348B">
        <w:rPr>
          <w:lang w:eastAsia="en-GB"/>
        </w:rPr>
        <w:t>Methodological issues</w:t>
      </w:r>
    </w:p>
    <w:p w14:paraId="6CAB9CE2" w14:textId="77777777" w:rsidR="00E20138" w:rsidRPr="00D9348B" w:rsidRDefault="00E20138" w:rsidP="00E20138">
      <w:pPr>
        <w:pStyle w:val="BodyText"/>
        <w:rPr>
          <w:rFonts w:cs="Calibri"/>
          <w:lang w:eastAsia="en-GB"/>
        </w:rPr>
      </w:pPr>
      <w:r w:rsidRPr="00D9348B">
        <w:rPr>
          <w:rFonts w:cs="Calibri"/>
          <w:lang w:eastAsia="en-GB"/>
        </w:rPr>
        <w:t>There are no notable methodological issues in this category.</w:t>
      </w:r>
    </w:p>
    <w:p w14:paraId="0EAE7A46" w14:textId="77777777" w:rsidR="00E20138" w:rsidRPr="00D9348B" w:rsidRDefault="00E20138" w:rsidP="00865BDB">
      <w:pPr>
        <w:pStyle w:val="Heading4"/>
        <w:rPr>
          <w:lang w:eastAsia="en-GB"/>
        </w:rPr>
      </w:pPr>
      <w:r w:rsidRPr="00D9348B">
        <w:rPr>
          <w:lang w:eastAsia="en-GB"/>
        </w:rPr>
        <w:t>Activity data</w:t>
      </w:r>
    </w:p>
    <w:p w14:paraId="56957FC2" w14:textId="77777777" w:rsidR="00E20138" w:rsidRPr="00D9348B" w:rsidRDefault="00E20138" w:rsidP="00E20138">
      <w:pPr>
        <w:pStyle w:val="Heading5"/>
        <w:spacing w:before="120"/>
        <w:rPr>
          <w:rFonts w:cs="Calibri"/>
        </w:rPr>
      </w:pPr>
      <w:r w:rsidRPr="00D9348B">
        <w:rPr>
          <w:rFonts w:cs="Calibri"/>
        </w:rPr>
        <w:t>Liquid fuels</w:t>
      </w:r>
    </w:p>
    <w:p w14:paraId="40531563" w14:textId="77777777" w:rsidR="00E20138" w:rsidRPr="00D9348B" w:rsidRDefault="00E20138" w:rsidP="00E20138">
      <w:pPr>
        <w:pStyle w:val="BodyText"/>
        <w:rPr>
          <w:rFonts w:cs="Calibri"/>
        </w:rPr>
      </w:pPr>
      <w:r w:rsidRPr="00D9348B">
        <w:rPr>
          <w:rFonts w:cs="Calibri"/>
        </w:rPr>
        <w:t xml:space="preserve">As mentioned in section 3.3.1, this inventory continues to use the results of the </w:t>
      </w:r>
      <w:r w:rsidRPr="00D9348B">
        <w:rPr>
          <w:rFonts w:cs="Calibri"/>
          <w:i/>
        </w:rPr>
        <w:t>Annual Liquid Fuel Survey</w:t>
      </w:r>
      <w:r w:rsidRPr="00D9348B">
        <w:rPr>
          <w:rFonts w:cs="Calibri"/>
        </w:rPr>
        <w:t xml:space="preserve"> that began in 2009. The purpose of this survey is to capture the allocation of fuel resold by small independent resellers. In recent years, these independent resellers accounted for around 30 per cent of national diesel deliveries and around 8 per cent of national gasoline deliveries. </w:t>
      </w:r>
    </w:p>
    <w:p w14:paraId="4E683D9F" w14:textId="77777777" w:rsidR="00E20138" w:rsidRPr="00D9348B" w:rsidRDefault="00E20138" w:rsidP="00E20138">
      <w:pPr>
        <w:pStyle w:val="BodyText"/>
        <w:rPr>
          <w:rFonts w:cs="Calibri"/>
        </w:rPr>
      </w:pPr>
      <w:r w:rsidRPr="00D9348B">
        <w:rPr>
          <w:rFonts w:cs="Calibri"/>
        </w:rPr>
        <w:t xml:space="preserve">As the result of resale data captured by the </w:t>
      </w:r>
      <w:r w:rsidRPr="00D9348B">
        <w:rPr>
          <w:rFonts w:cs="Calibri"/>
          <w:i/>
        </w:rPr>
        <w:t>Annual Liquid Fuel Survey</w:t>
      </w:r>
      <w:r w:rsidRPr="00D9348B">
        <w:rPr>
          <w:rFonts w:cs="Calibri"/>
        </w:rPr>
        <w:t xml:space="preserve">, emissions that would otherwise be reported under category 1.A.3.b </w:t>
      </w:r>
      <w:r w:rsidRPr="00D9348B">
        <w:rPr>
          <w:rFonts w:cs="Calibri"/>
          <w:i/>
        </w:rPr>
        <w:t>Road transportation</w:t>
      </w:r>
      <w:r w:rsidRPr="00D9348B">
        <w:rPr>
          <w:rFonts w:cs="Calibri"/>
        </w:rPr>
        <w:t xml:space="preserve"> are allocated to the correct category.</w:t>
      </w:r>
    </w:p>
    <w:p w14:paraId="1010E19E" w14:textId="77777777" w:rsidR="00E20138" w:rsidRPr="00D9348B" w:rsidRDefault="00E20138" w:rsidP="00E20138">
      <w:pPr>
        <w:pStyle w:val="BodyText"/>
        <w:rPr>
          <w:rFonts w:cs="Calibri"/>
        </w:rPr>
      </w:pPr>
      <w:r w:rsidRPr="00D9348B">
        <w:rPr>
          <w:rFonts w:cs="Calibri"/>
        </w:rPr>
        <w:t>For time-series consistency, these reallocations are also made from 1990 to 2008, before the collection of data on the resale of liquid fuel by small, independent distributors began.</w:t>
      </w:r>
    </w:p>
    <w:p w14:paraId="72AC309A" w14:textId="77777777" w:rsidR="00E20138" w:rsidRPr="00D9348B" w:rsidRDefault="00E20138" w:rsidP="00E20138">
      <w:pPr>
        <w:pStyle w:val="BodyText"/>
        <w:rPr>
          <w:rFonts w:cs="Calibri"/>
        </w:rPr>
      </w:pPr>
      <w:r w:rsidRPr="00D9348B">
        <w:rPr>
          <w:rFonts w:cs="Calibri"/>
        </w:rPr>
        <w:t xml:space="preserve">As mentioned in section 3.3.7 (Activity data, Liquid fuels), historical national energy sales surveys captured fuel use by mining operations under ‘other primary industry’. For consistency with the 2006 IPCC Guidelines, this inventory uses data provided by Stats NZ’s </w:t>
      </w:r>
      <w:r w:rsidRPr="00D9348B">
        <w:rPr>
          <w:rFonts w:cs="Calibri"/>
          <w:i/>
        </w:rPr>
        <w:t>Energy Use Survey</w:t>
      </w:r>
      <w:r w:rsidRPr="00D9348B">
        <w:rPr>
          <w:rFonts w:cs="Calibri"/>
        </w:rPr>
        <w:t xml:space="preserve"> (</w:t>
      </w:r>
      <w:r w:rsidRPr="00D9348B">
        <w:rPr>
          <w:rFonts w:cs="Calibri"/>
          <w:lang w:eastAsia="en-GB"/>
        </w:rPr>
        <w:t xml:space="preserve">Stats NZ, 2018) </w:t>
      </w:r>
      <w:r w:rsidRPr="00D9348B">
        <w:rPr>
          <w:rFonts w:cs="Calibri"/>
        </w:rPr>
        <w:t>to estimate the split of historical ‘other primary industry’ activity for fuel oil between forestry and logging, and mining (see table 3.3.7). There is insufficient historical data to extrapolate a historical trend for this split: instead, activity splits are interpolated between the two surveys and assumed to be constant for the period 1990–2008.</w:t>
      </w:r>
    </w:p>
    <w:p w14:paraId="52D18BB7" w14:textId="77777777" w:rsidR="00E20138" w:rsidRPr="00D9348B" w:rsidRDefault="00E20138" w:rsidP="005B274A">
      <w:pPr>
        <w:pStyle w:val="Table"/>
      </w:pPr>
      <w:bookmarkStart w:id="426" w:name="_Toc321399160"/>
      <w:bookmarkStart w:id="427" w:name="_Toc384582867"/>
      <w:bookmarkStart w:id="428" w:name="_Toc443060847"/>
      <w:bookmarkStart w:id="429" w:name="_Toc451176063"/>
      <w:bookmarkStart w:id="430" w:name="_Toc481751489"/>
      <w:bookmarkStart w:id="431" w:name="_Toc507496592"/>
      <w:bookmarkStart w:id="432" w:name="_Toc36224526"/>
      <w:r w:rsidRPr="00D9348B">
        <w:t xml:space="preserve">Table 3.3.7 </w:t>
      </w:r>
      <w:r w:rsidRPr="00D9348B">
        <w:tab/>
        <w:t>Split of fuel oil activity for ‘other primary industry’</w:t>
      </w:r>
      <w:bookmarkEnd w:id="426"/>
      <w:bookmarkEnd w:id="427"/>
      <w:bookmarkEnd w:id="428"/>
      <w:bookmarkEnd w:id="429"/>
      <w:bookmarkEnd w:id="430"/>
      <w:bookmarkEnd w:id="431"/>
      <w:bookmarkEnd w:id="432"/>
      <w:r w:rsidRPr="00D9348B">
        <w:rPr>
          <w:color w:val="FFFFFF"/>
        </w:rPr>
        <w:t xml:space="preserve"> </w:t>
      </w:r>
    </w:p>
    <w:tbl>
      <w:tblPr>
        <w:tblW w:w="8505" w:type="dxa"/>
        <w:tblInd w:w="108" w:type="dxa"/>
        <w:tblBorders>
          <w:top w:val="single" w:sz="4" w:space="0" w:color="365F91"/>
          <w:bottom w:val="single" w:sz="4" w:space="0" w:color="365F91"/>
          <w:insideH w:val="single" w:sz="4" w:space="0" w:color="365F91"/>
        </w:tblBorders>
        <w:tblLayout w:type="fixed"/>
        <w:tblLook w:val="04A0" w:firstRow="1" w:lastRow="0" w:firstColumn="1" w:lastColumn="0" w:noHBand="0" w:noVBand="1"/>
      </w:tblPr>
      <w:tblGrid>
        <w:gridCol w:w="2296"/>
        <w:gridCol w:w="3086"/>
        <w:gridCol w:w="3123"/>
      </w:tblGrid>
      <w:tr w:rsidR="00E20138" w:rsidRPr="00D9348B" w14:paraId="4EC173FD" w14:textId="77777777" w:rsidTr="00DB330E">
        <w:trPr>
          <w:cantSplit/>
        </w:trPr>
        <w:tc>
          <w:tcPr>
            <w:tcW w:w="1350" w:type="pct"/>
            <w:shd w:val="clear" w:color="auto" w:fill="365F91"/>
            <w:vAlign w:val="bottom"/>
          </w:tcPr>
          <w:p w14:paraId="4BE9CA6A" w14:textId="77777777" w:rsidR="00E20138" w:rsidRPr="00D9348B" w:rsidRDefault="00E20138" w:rsidP="00DB330E">
            <w:pPr>
              <w:pStyle w:val="TableTextBold"/>
              <w:keepNext/>
              <w:rPr>
                <w:rFonts w:cs="Calibri"/>
                <w:noProof w:val="0"/>
                <w:color w:val="FFFFFF"/>
              </w:rPr>
            </w:pPr>
            <w:r w:rsidRPr="00D9348B">
              <w:rPr>
                <w:rFonts w:cs="Calibri"/>
                <w:noProof w:val="0"/>
                <w:color w:val="FFFFFF"/>
              </w:rPr>
              <w:t>Activity</w:t>
            </w:r>
          </w:p>
        </w:tc>
        <w:tc>
          <w:tcPr>
            <w:tcW w:w="1814" w:type="pct"/>
            <w:shd w:val="clear" w:color="auto" w:fill="365F91"/>
            <w:vAlign w:val="bottom"/>
          </w:tcPr>
          <w:p w14:paraId="630723AA" w14:textId="77777777" w:rsidR="00E20138" w:rsidRPr="00D9348B" w:rsidRDefault="00E20138" w:rsidP="00DB330E">
            <w:pPr>
              <w:pStyle w:val="TableTextBold"/>
              <w:keepNext/>
              <w:jc w:val="center"/>
              <w:rPr>
                <w:rFonts w:cs="Calibri"/>
                <w:noProof w:val="0"/>
                <w:color w:val="FFFFFF"/>
              </w:rPr>
            </w:pPr>
            <w:r w:rsidRPr="00D9348B">
              <w:rPr>
                <w:rFonts w:cs="Calibri"/>
                <w:noProof w:val="0"/>
                <w:color w:val="FFFFFF"/>
              </w:rPr>
              <w:t>Energy Use Survey 2008 (%)</w:t>
            </w:r>
          </w:p>
        </w:tc>
        <w:tc>
          <w:tcPr>
            <w:tcW w:w="1836" w:type="pct"/>
            <w:shd w:val="clear" w:color="auto" w:fill="365F91"/>
            <w:vAlign w:val="bottom"/>
          </w:tcPr>
          <w:p w14:paraId="23F024D3" w14:textId="77777777" w:rsidR="00E20138" w:rsidRPr="00D9348B" w:rsidRDefault="00E20138" w:rsidP="00DB330E">
            <w:pPr>
              <w:pStyle w:val="TableTextBold"/>
              <w:keepNext/>
              <w:jc w:val="center"/>
              <w:rPr>
                <w:rFonts w:cs="Calibri"/>
                <w:noProof w:val="0"/>
                <w:color w:val="FFFFFF"/>
              </w:rPr>
            </w:pPr>
            <w:r w:rsidRPr="00D9348B">
              <w:rPr>
                <w:rFonts w:cs="Calibri"/>
                <w:noProof w:val="0"/>
                <w:color w:val="FFFFFF"/>
              </w:rPr>
              <w:t>Energy Use Survey 2016 (%)</w:t>
            </w:r>
          </w:p>
        </w:tc>
      </w:tr>
      <w:tr w:rsidR="00E20138" w:rsidRPr="00D9348B" w14:paraId="733159B8" w14:textId="77777777" w:rsidTr="00DB330E">
        <w:trPr>
          <w:cantSplit/>
          <w:trHeight w:val="250"/>
        </w:trPr>
        <w:tc>
          <w:tcPr>
            <w:tcW w:w="1350" w:type="pct"/>
          </w:tcPr>
          <w:p w14:paraId="6E8B99BB" w14:textId="77777777" w:rsidR="00E20138" w:rsidRPr="00D9348B" w:rsidRDefault="00E20138" w:rsidP="00DB330E">
            <w:pPr>
              <w:pStyle w:val="TableText"/>
              <w:rPr>
                <w:rFonts w:cs="Calibri"/>
              </w:rPr>
            </w:pPr>
            <w:r w:rsidRPr="00D9348B">
              <w:rPr>
                <w:rFonts w:cs="Calibri"/>
              </w:rPr>
              <w:t>Forestry and logging</w:t>
            </w:r>
          </w:p>
        </w:tc>
        <w:tc>
          <w:tcPr>
            <w:tcW w:w="1814" w:type="pct"/>
            <w:vAlign w:val="center"/>
          </w:tcPr>
          <w:p w14:paraId="7C959F8E" w14:textId="77777777" w:rsidR="00E20138" w:rsidRPr="00D9348B" w:rsidRDefault="00E20138" w:rsidP="00DB330E">
            <w:pPr>
              <w:pStyle w:val="TableText"/>
              <w:jc w:val="center"/>
              <w:rPr>
                <w:rFonts w:cs="Calibri"/>
              </w:rPr>
            </w:pPr>
            <w:r w:rsidRPr="00D9348B">
              <w:rPr>
                <w:rFonts w:cs="Calibri"/>
              </w:rPr>
              <w:t>51.3</w:t>
            </w:r>
          </w:p>
        </w:tc>
        <w:tc>
          <w:tcPr>
            <w:tcW w:w="1836" w:type="pct"/>
            <w:vAlign w:val="center"/>
          </w:tcPr>
          <w:p w14:paraId="1316F7E9" w14:textId="77777777" w:rsidR="00E20138" w:rsidRPr="00D9348B" w:rsidRDefault="00E20138" w:rsidP="00DB330E">
            <w:pPr>
              <w:pStyle w:val="TableText"/>
              <w:jc w:val="center"/>
              <w:rPr>
                <w:rFonts w:cs="Calibri"/>
              </w:rPr>
            </w:pPr>
            <w:r w:rsidRPr="00D9348B">
              <w:rPr>
                <w:rFonts w:cs="Calibri"/>
              </w:rPr>
              <w:t>9.1</w:t>
            </w:r>
          </w:p>
        </w:tc>
      </w:tr>
      <w:tr w:rsidR="00E20138" w:rsidRPr="00D9348B" w14:paraId="336D18BE" w14:textId="77777777" w:rsidTr="00DB330E">
        <w:trPr>
          <w:cantSplit/>
        </w:trPr>
        <w:tc>
          <w:tcPr>
            <w:tcW w:w="1350" w:type="pct"/>
          </w:tcPr>
          <w:p w14:paraId="474BCAE6" w14:textId="77777777" w:rsidR="00E20138" w:rsidRPr="00D9348B" w:rsidRDefault="00E20138" w:rsidP="00DB330E">
            <w:pPr>
              <w:pStyle w:val="TableText"/>
              <w:rPr>
                <w:rFonts w:cs="Calibri"/>
              </w:rPr>
            </w:pPr>
            <w:r w:rsidRPr="00D9348B">
              <w:rPr>
                <w:rFonts w:cs="Calibri"/>
              </w:rPr>
              <w:t>Mining</w:t>
            </w:r>
          </w:p>
        </w:tc>
        <w:tc>
          <w:tcPr>
            <w:tcW w:w="1814" w:type="pct"/>
            <w:vAlign w:val="center"/>
          </w:tcPr>
          <w:p w14:paraId="41B3B87D" w14:textId="77777777" w:rsidR="00E20138" w:rsidRPr="00D9348B" w:rsidRDefault="00E20138" w:rsidP="00DB330E">
            <w:pPr>
              <w:pStyle w:val="TableText"/>
              <w:jc w:val="center"/>
              <w:rPr>
                <w:rFonts w:cs="Calibri"/>
              </w:rPr>
            </w:pPr>
            <w:r w:rsidRPr="00D9348B">
              <w:rPr>
                <w:rFonts w:cs="Calibri"/>
              </w:rPr>
              <w:t>48.7</w:t>
            </w:r>
          </w:p>
        </w:tc>
        <w:tc>
          <w:tcPr>
            <w:tcW w:w="1836" w:type="pct"/>
            <w:vAlign w:val="center"/>
          </w:tcPr>
          <w:p w14:paraId="26B97292" w14:textId="77777777" w:rsidR="00E20138" w:rsidRPr="00D9348B" w:rsidRDefault="00E20138" w:rsidP="00DB330E">
            <w:pPr>
              <w:pStyle w:val="TableText"/>
              <w:jc w:val="center"/>
              <w:rPr>
                <w:rFonts w:cs="Calibri"/>
              </w:rPr>
            </w:pPr>
            <w:r w:rsidRPr="00D9348B">
              <w:rPr>
                <w:rFonts w:cs="Calibri"/>
              </w:rPr>
              <w:t>90.9</w:t>
            </w:r>
          </w:p>
        </w:tc>
      </w:tr>
    </w:tbl>
    <w:p w14:paraId="7B5AF25C" w14:textId="77777777" w:rsidR="00E20138" w:rsidRPr="00D9348B" w:rsidRDefault="00E20138" w:rsidP="00E20138">
      <w:pPr>
        <w:pStyle w:val="Heading5"/>
        <w:rPr>
          <w:rFonts w:cs="Calibri"/>
        </w:rPr>
      </w:pPr>
      <w:r w:rsidRPr="00D9348B">
        <w:rPr>
          <w:rFonts w:cs="Calibri"/>
        </w:rPr>
        <w:lastRenderedPageBreak/>
        <w:t>Solid fuels</w:t>
      </w:r>
    </w:p>
    <w:p w14:paraId="6B109C3F" w14:textId="77777777" w:rsidR="00E20138" w:rsidRPr="00D9348B" w:rsidRDefault="00E20138" w:rsidP="009C0F3A">
      <w:pPr>
        <w:pStyle w:val="BodyText"/>
        <w:spacing w:before="100" w:after="100"/>
        <w:rPr>
          <w:rFonts w:cs="Calibri"/>
        </w:rPr>
      </w:pPr>
      <w:r w:rsidRPr="00D9348B">
        <w:rPr>
          <w:rFonts w:cs="Calibri"/>
        </w:rPr>
        <w:t xml:space="preserve">In 2010, it was discovered that some coal reported as sold to the commercial sector was in fact being on-sold to re-sellers rather than directly to end-users. As a result, some activity previously reported under the </w:t>
      </w:r>
      <w:r w:rsidRPr="00D9348B">
        <w:rPr>
          <w:rFonts w:cs="Calibri"/>
          <w:i/>
        </w:rPr>
        <w:t xml:space="preserve">Commercial </w:t>
      </w:r>
      <w:r w:rsidRPr="00D9348B">
        <w:rPr>
          <w:rFonts w:cs="Calibri"/>
        </w:rPr>
        <w:t>category has been reallocated to the Agriculture sector. This on-selling is assumed to continue across the time series 1990–2018.</w:t>
      </w:r>
    </w:p>
    <w:p w14:paraId="7746FB38" w14:textId="77777777" w:rsidR="00E20138" w:rsidRPr="00D9348B" w:rsidRDefault="00E20138" w:rsidP="009C0F3A">
      <w:pPr>
        <w:pStyle w:val="BodyText"/>
        <w:spacing w:before="100" w:after="100"/>
        <w:rPr>
          <w:rFonts w:cs="Calibri"/>
        </w:rPr>
      </w:pPr>
      <w:r w:rsidRPr="00D9348B">
        <w:rPr>
          <w:rFonts w:cs="Calibri"/>
        </w:rPr>
        <w:t>A number of synthetic solid fuels are used as lightweight cooking fuels by hikers and the military. Examples include hexamethylenetetramine, metaldehyde and trioxane, which are derived from chemical feedstocks such as aldehydes and ammonia, and hence contain fossil carbon. These fuels are not covered by the national energy balance and the emissions associated with their combustion have not been estimated.</w:t>
      </w:r>
    </w:p>
    <w:p w14:paraId="7920878E" w14:textId="77777777" w:rsidR="00E20138" w:rsidRPr="00D9348B" w:rsidRDefault="00E20138" w:rsidP="009C0F3A">
      <w:pPr>
        <w:pStyle w:val="BodyText"/>
        <w:spacing w:before="100" w:after="100"/>
        <w:rPr>
          <w:rFonts w:cs="Calibri"/>
        </w:rPr>
      </w:pPr>
      <w:r w:rsidRPr="00D9348B">
        <w:rPr>
          <w:rFonts w:cs="Calibri"/>
        </w:rPr>
        <w:t>Mixtures of solid fuels are combined with a wide range of metal, organic and non-organic compounds in the formulation of low explosive pyrotechnic devices that are used for entertainment purposes (fireworks). In New Zealand, most towns and cities hold public fireworks displays for the folkloric festival known as Guy Fawkes Night (5 November) and increasingly on other days to celebrate religious and cultural festivals, such as Diwali, Matariki and Lunar New Year, as well as at major sporting events. Consumer fireworks are also available for sale to the general public during the four-day period between 2 and 5 November; however, there is no restriction on the days of use. Fireworks are imported from overseas, generally China. The solid fuel in fireworks is combusted as a propellant for aerial fireworks and used to provide heat, light and sparks. Common fossil</w:t>
      </w:r>
      <w:r w:rsidRPr="00D9348B">
        <w:rPr>
          <w:rFonts w:cs="Calibri"/>
        </w:rPr>
        <w:softHyphen/>
        <w:t xml:space="preserve">–carbon based fuels include carbon black and </w:t>
      </w:r>
      <w:proofErr w:type="gramStart"/>
      <w:r w:rsidRPr="00D9348B">
        <w:rPr>
          <w:rFonts w:cs="Calibri"/>
        </w:rPr>
        <w:t>gilsonite</w:t>
      </w:r>
      <w:proofErr w:type="gramEnd"/>
      <w:r w:rsidRPr="00D9348B">
        <w:rPr>
          <w:rFonts w:cs="Calibri"/>
        </w:rPr>
        <w:t>. In addition to CO</w:t>
      </w:r>
      <w:r w:rsidRPr="00D9348B">
        <w:rPr>
          <w:rFonts w:cs="Calibri"/>
          <w:vertAlign w:val="subscript"/>
        </w:rPr>
        <w:t>2</w:t>
      </w:r>
      <w:r w:rsidRPr="00D9348B">
        <w:rPr>
          <w:rFonts w:cs="Calibri"/>
        </w:rPr>
        <w:t>, greenhouse gas emissions also potentially include CH</w:t>
      </w:r>
      <w:r w:rsidRPr="00D9348B">
        <w:rPr>
          <w:rFonts w:cs="Calibri"/>
          <w:vertAlign w:val="subscript"/>
        </w:rPr>
        <w:t>4</w:t>
      </w:r>
      <w:r w:rsidRPr="00D9348B">
        <w:rPr>
          <w:rFonts w:cs="Calibri"/>
        </w:rPr>
        <w:t xml:space="preserve"> and N</w:t>
      </w:r>
      <w:r w:rsidRPr="00D9348B">
        <w:rPr>
          <w:rFonts w:cs="Calibri"/>
          <w:vertAlign w:val="subscript"/>
        </w:rPr>
        <w:t>2</w:t>
      </w:r>
      <w:r w:rsidRPr="00D9348B">
        <w:rPr>
          <w:rFonts w:cs="Calibri"/>
        </w:rPr>
        <w:t>O, although emission factors for these gases have not been sighted in the literature. Due to the wide range of chemical formulations, the precise quantity of solid fuel in fireworks is not known. In the absence of specific fuel data, any estimate of emissions will be highly uncertain. Nevertheless, a number of international reports have attempted to estimate CO</w:t>
      </w:r>
      <w:r w:rsidRPr="00D9348B">
        <w:rPr>
          <w:rFonts w:cs="Calibri"/>
          <w:vertAlign w:val="subscript"/>
        </w:rPr>
        <w:t>2</w:t>
      </w:r>
      <w:r w:rsidRPr="00D9348B">
        <w:rPr>
          <w:rFonts w:cs="Calibri"/>
        </w:rPr>
        <w:t xml:space="preserve"> emissions and have suggested the level could be significant. Due to the current lack of an established methodology, an estimate of emissions for New Zealand has not been undertaken.</w:t>
      </w:r>
    </w:p>
    <w:p w14:paraId="6FFD484C" w14:textId="77777777" w:rsidR="00E20138" w:rsidRPr="00D9348B" w:rsidRDefault="00E20138" w:rsidP="009C0F3A">
      <w:pPr>
        <w:pStyle w:val="Heading5"/>
        <w:spacing w:before="120"/>
        <w:rPr>
          <w:rFonts w:cs="Calibri"/>
        </w:rPr>
      </w:pPr>
      <w:r w:rsidRPr="00D9348B">
        <w:rPr>
          <w:rFonts w:cs="Calibri"/>
        </w:rPr>
        <w:t>Solid biomass</w:t>
      </w:r>
    </w:p>
    <w:p w14:paraId="62CB733C" w14:textId="77777777" w:rsidR="00E20138" w:rsidRPr="00D9348B" w:rsidRDefault="00E20138" w:rsidP="009C0F3A">
      <w:pPr>
        <w:pStyle w:val="BodyText"/>
        <w:spacing w:before="100" w:after="100"/>
        <w:rPr>
          <w:rFonts w:cs="Calibri"/>
        </w:rPr>
      </w:pPr>
      <w:r w:rsidRPr="00D9348B">
        <w:rPr>
          <w:rFonts w:cs="Calibri"/>
        </w:rPr>
        <w:t xml:space="preserve">Residential combustion of biomass is estimated using household number estimates from Stats NZ, along with five-yearly census figures estimating the percentage of households using biomass for heating. Interpolation is used to estimate shares for intermediate years. The census data indicate that the popularity of woodburners is decreasing slowly over time. The energy content of biomass burned in each household was estimated by the study </w:t>
      </w:r>
      <w:r w:rsidRPr="00D9348B">
        <w:rPr>
          <w:rFonts w:cs="Calibri"/>
          <w:i/>
        </w:rPr>
        <w:t>Energy Use in New Zealand Households</w:t>
      </w:r>
      <w:r w:rsidRPr="00D9348B">
        <w:rPr>
          <w:rFonts w:cs="Calibri"/>
        </w:rPr>
        <w:t xml:space="preserve"> (BRANZ, 2002).</w:t>
      </w:r>
    </w:p>
    <w:p w14:paraId="3210A6BB" w14:textId="77777777" w:rsidR="00E20138" w:rsidRPr="00D9348B" w:rsidRDefault="00E20138" w:rsidP="009C0F3A">
      <w:pPr>
        <w:pStyle w:val="BodyText"/>
        <w:spacing w:before="100" w:after="100"/>
        <w:rPr>
          <w:rFonts w:cs="Calibri"/>
        </w:rPr>
      </w:pPr>
      <w:r w:rsidRPr="00D9348B">
        <w:rPr>
          <w:rFonts w:cs="Calibri"/>
        </w:rPr>
        <w:t>The controlled outdoor combustion of biomass is a common pastime activity across New Zealand backyards, beaches and other public spaces as part of a celebration or to provide heat for warmth or cooking. Examples include bonfires, campfires, pizza ovens, braziers, fire pits and chimeneas. Traditional methods of cooking food using heated rocks buried in a pit oven include hāngī, umu and lovo. These activities are distinct from open-burning of unwanted biomass that is not used for energy purposes, which would be reported under the Waste sector. While activity data are not available, expert opinion indicates that the likely level of activity is relatively minor compared with the indoor residential combustion of biomass; therefore, emissions associated with these outdoor activities have not been estimated.</w:t>
      </w:r>
    </w:p>
    <w:p w14:paraId="43D916EB" w14:textId="77777777" w:rsidR="00E20138" w:rsidRPr="00D9348B" w:rsidRDefault="00E20138" w:rsidP="009C0F3A">
      <w:pPr>
        <w:pStyle w:val="Heading5"/>
        <w:spacing w:before="120"/>
        <w:rPr>
          <w:rFonts w:cs="Calibri"/>
        </w:rPr>
      </w:pPr>
      <w:r w:rsidRPr="00D9348B">
        <w:rPr>
          <w:rFonts w:cs="Calibri"/>
        </w:rPr>
        <w:t>Gaseous fuels</w:t>
      </w:r>
    </w:p>
    <w:p w14:paraId="7A511E0B" w14:textId="77777777" w:rsidR="00E20138" w:rsidRPr="00D9348B" w:rsidRDefault="00E20138" w:rsidP="009C0F3A">
      <w:pPr>
        <w:pStyle w:val="BodyText"/>
        <w:spacing w:before="100" w:after="100"/>
        <w:rPr>
          <w:rFonts w:cs="Calibri"/>
        </w:rPr>
      </w:pPr>
      <w:r w:rsidRPr="00D9348B">
        <w:rPr>
          <w:rFonts w:cs="Calibri"/>
        </w:rPr>
        <w:t>Annual natural gas consumption statistics are published by MBIE. Reviews of all natural gas consumption data were undertaken in 2011 and 2014 by MBIE. For further information, see section 3.3.7 (Activity data, Gaseous fuels).</w:t>
      </w:r>
    </w:p>
    <w:p w14:paraId="14FA82AF" w14:textId="77777777" w:rsidR="00E20138" w:rsidRPr="00D9348B" w:rsidRDefault="00E20138" w:rsidP="00865BDB">
      <w:pPr>
        <w:pStyle w:val="Heading4"/>
      </w:pPr>
      <w:r w:rsidRPr="00D9348B">
        <w:rPr>
          <w:lang w:eastAsia="en-GB"/>
        </w:rPr>
        <w:lastRenderedPageBreak/>
        <w:t>Uncertainties and time-series consistency</w:t>
      </w:r>
    </w:p>
    <w:p w14:paraId="6974429F" w14:textId="77777777" w:rsidR="00E20138" w:rsidRPr="00D9348B" w:rsidRDefault="00E20138" w:rsidP="00E20138">
      <w:pPr>
        <w:pStyle w:val="BodyText"/>
        <w:rPr>
          <w:rFonts w:cs="Calibri"/>
          <w:lang w:eastAsia="en-GB"/>
        </w:rPr>
      </w:pPr>
      <w:r w:rsidRPr="00D9348B">
        <w:rPr>
          <w:rFonts w:cs="Calibri"/>
          <w:lang w:eastAsia="en-GB"/>
        </w:rPr>
        <w:t>Uncertainties in emission estimates for data from other sectors are relevant to the entire Energy sector (see table 3.3.1).</w:t>
      </w:r>
    </w:p>
    <w:p w14:paraId="2C2CBFCE" w14:textId="77777777" w:rsidR="00E20138" w:rsidRPr="00D9348B" w:rsidRDefault="00E20138" w:rsidP="00865BDB">
      <w:pPr>
        <w:pStyle w:val="Heading4"/>
      </w:pPr>
      <w:r w:rsidRPr="00D9348B">
        <w:rPr>
          <w:lang w:eastAsia="en-GB"/>
        </w:rPr>
        <w:t>Source-specific QA/QC and verification</w:t>
      </w:r>
    </w:p>
    <w:p w14:paraId="4BC706D8" w14:textId="77777777" w:rsidR="00E20138" w:rsidRPr="00D9348B" w:rsidRDefault="00E20138" w:rsidP="00E20138">
      <w:pPr>
        <w:pStyle w:val="BodyText"/>
        <w:rPr>
          <w:rFonts w:cs="Calibri"/>
          <w:lang w:eastAsia="en-GB"/>
        </w:rPr>
      </w:pPr>
      <w:r w:rsidRPr="00D9348B">
        <w:rPr>
          <w:rFonts w:cs="Calibri"/>
          <w:lang w:eastAsia="en-GB"/>
        </w:rPr>
        <w:t xml:space="preserve">In the preparation of this inventory, the </w:t>
      </w:r>
      <w:proofErr w:type="gramStart"/>
      <w:r w:rsidRPr="00D9348B">
        <w:rPr>
          <w:rFonts w:cs="Calibri"/>
          <w:i/>
          <w:lang w:eastAsia="en-GB"/>
        </w:rPr>
        <w:t>Other</w:t>
      </w:r>
      <w:proofErr w:type="gramEnd"/>
      <w:r w:rsidRPr="00D9348B">
        <w:rPr>
          <w:rFonts w:cs="Calibri"/>
          <w:i/>
          <w:lang w:eastAsia="en-GB"/>
        </w:rPr>
        <w:t xml:space="preserve"> sectors</w:t>
      </w:r>
      <w:r w:rsidRPr="00D9348B">
        <w:rPr>
          <w:rFonts w:cs="Calibri"/>
          <w:lang w:eastAsia="en-GB"/>
        </w:rPr>
        <w:t xml:space="preserve"> category underwent Tier 1 quality-assurance and quality-control checks as recommended in the 2006 IPCC Guidelines. These include regular control sums throughout systems, to verify system integrity, and consistency checks of implied emission factors.</w:t>
      </w:r>
    </w:p>
    <w:p w14:paraId="2D5E7179" w14:textId="77777777" w:rsidR="00E20138" w:rsidRPr="00D9348B" w:rsidRDefault="00E20138" w:rsidP="00865BDB">
      <w:pPr>
        <w:pStyle w:val="Heading4"/>
        <w:rPr>
          <w:lang w:eastAsia="en-GB"/>
        </w:rPr>
      </w:pPr>
      <w:r w:rsidRPr="00D9348B">
        <w:rPr>
          <w:lang w:eastAsia="en-GB"/>
        </w:rPr>
        <w:t>Source-specific recalculations</w:t>
      </w:r>
    </w:p>
    <w:p w14:paraId="1B34031B" w14:textId="77777777" w:rsidR="00E20138" w:rsidRPr="00D9348B" w:rsidRDefault="00E20138" w:rsidP="00E20138">
      <w:pPr>
        <w:pStyle w:val="BodyText"/>
        <w:rPr>
          <w:rFonts w:cs="Calibri"/>
          <w:lang w:eastAsia="en-GB"/>
        </w:rPr>
      </w:pPr>
      <w:r w:rsidRPr="00D9348B">
        <w:rPr>
          <w:rFonts w:cs="Calibri"/>
          <w:lang w:eastAsia="en-GB"/>
        </w:rPr>
        <w:t>Some minor recalculations may have occurred across the time series due to revisions of activity data provided by the energy data team at MBIE.</w:t>
      </w:r>
    </w:p>
    <w:p w14:paraId="3567D59C" w14:textId="77777777" w:rsidR="00E20138" w:rsidRPr="00D9348B" w:rsidRDefault="00E20138" w:rsidP="00865BDB">
      <w:pPr>
        <w:pStyle w:val="Heading4"/>
        <w:rPr>
          <w:lang w:eastAsia="en-GB"/>
        </w:rPr>
      </w:pPr>
      <w:r w:rsidRPr="00D9348B">
        <w:rPr>
          <w:lang w:eastAsia="en-GB"/>
        </w:rPr>
        <w:t>Source-specific improvements</w:t>
      </w:r>
    </w:p>
    <w:p w14:paraId="6B7AA15A" w14:textId="77777777" w:rsidR="00E20138" w:rsidRPr="00D9348B" w:rsidRDefault="00E20138" w:rsidP="00E20138">
      <w:pPr>
        <w:pStyle w:val="BodyText"/>
        <w:rPr>
          <w:rFonts w:cs="Calibri"/>
          <w:lang w:eastAsia="en-GB"/>
        </w:rPr>
      </w:pPr>
      <w:r w:rsidRPr="00D9348B">
        <w:rPr>
          <w:rFonts w:cs="Calibri"/>
          <w:lang w:eastAsia="en-GB"/>
        </w:rPr>
        <w:t xml:space="preserve">Activity and emissions data for the </w:t>
      </w:r>
      <w:r w:rsidRPr="00D9348B">
        <w:rPr>
          <w:rFonts w:cs="Calibri"/>
          <w:i/>
          <w:lang w:eastAsia="en-GB"/>
        </w:rPr>
        <w:t xml:space="preserve">Agriculture/forestry/fishing </w:t>
      </w:r>
      <w:r w:rsidRPr="00D9348B">
        <w:rPr>
          <w:rFonts w:cs="Calibri"/>
          <w:lang w:eastAsia="en-GB"/>
        </w:rPr>
        <w:t>category are now reported separately by activity type (stationary combustion, mobile use, and fishing).</w:t>
      </w:r>
    </w:p>
    <w:p w14:paraId="5A8CF82C" w14:textId="77777777" w:rsidR="00E20138" w:rsidRPr="00D9348B" w:rsidRDefault="00E20138" w:rsidP="00865BDB">
      <w:pPr>
        <w:pStyle w:val="Heading4"/>
        <w:rPr>
          <w:lang w:eastAsia="en-GB"/>
        </w:rPr>
      </w:pPr>
      <w:r w:rsidRPr="00D9348B">
        <w:rPr>
          <w:lang w:eastAsia="en-GB"/>
        </w:rPr>
        <w:t>Source-specific planned improvements</w:t>
      </w:r>
    </w:p>
    <w:p w14:paraId="6D19A133" w14:textId="77777777" w:rsidR="00E20138" w:rsidRPr="00D9348B" w:rsidRDefault="00E20138" w:rsidP="00E20138">
      <w:pPr>
        <w:pStyle w:val="BodyText"/>
        <w:rPr>
          <w:rFonts w:cs="Calibri"/>
          <w:b/>
          <w:bCs/>
          <w:szCs w:val="24"/>
          <w:lang w:eastAsia="en-GB"/>
        </w:rPr>
      </w:pPr>
      <w:r w:rsidRPr="00D9348B">
        <w:rPr>
          <w:rFonts w:cs="Calibri"/>
          <w:lang w:eastAsia="en-GB"/>
        </w:rPr>
        <w:t xml:space="preserve">There are no planned improvements for this category. </w:t>
      </w:r>
    </w:p>
    <w:p w14:paraId="0B4A0CFA" w14:textId="77777777" w:rsidR="00E20138" w:rsidRPr="00D9348B" w:rsidRDefault="00E20138" w:rsidP="00E20138">
      <w:pPr>
        <w:pStyle w:val="Heading2"/>
        <w:rPr>
          <w:rFonts w:cs="Calibri"/>
        </w:rPr>
      </w:pPr>
      <w:bookmarkStart w:id="433" w:name="_Toc321398811"/>
      <w:bookmarkStart w:id="434" w:name="_Toc384581637"/>
      <w:bookmarkStart w:id="435" w:name="_Toc448321509"/>
      <w:bookmarkStart w:id="436" w:name="_Toc481751371"/>
      <w:bookmarkStart w:id="437" w:name="_Toc36224388"/>
      <w:r w:rsidRPr="00D9348B">
        <w:rPr>
          <w:rFonts w:cs="Calibri"/>
        </w:rPr>
        <w:t>3.4</w:t>
      </w:r>
      <w:r w:rsidRPr="00D9348B">
        <w:rPr>
          <w:rFonts w:cs="Calibri"/>
        </w:rPr>
        <w:tab/>
        <w:t>Fugitive emissions from fuels (CRF 1.B)</w:t>
      </w:r>
      <w:bookmarkEnd w:id="433"/>
      <w:bookmarkEnd w:id="434"/>
      <w:bookmarkEnd w:id="435"/>
      <w:bookmarkEnd w:id="436"/>
      <w:bookmarkEnd w:id="437"/>
    </w:p>
    <w:p w14:paraId="32E09894" w14:textId="77777777" w:rsidR="00E20138" w:rsidRPr="00D9348B" w:rsidRDefault="00E20138" w:rsidP="00E20138">
      <w:pPr>
        <w:pStyle w:val="BodyText"/>
        <w:rPr>
          <w:rFonts w:cs="Calibri"/>
          <w:lang w:eastAsia="en-GB"/>
        </w:rPr>
      </w:pPr>
      <w:r w:rsidRPr="00D9348B">
        <w:rPr>
          <w:rFonts w:cs="Calibri"/>
          <w:lang w:eastAsia="en-GB"/>
        </w:rPr>
        <w:t xml:space="preserve">Fugitive emissions arise from the production, processing, transmission, storage and use of fossil fuels, and from non-productive combustion. This category comprises two subcategories: </w:t>
      </w:r>
      <w:r w:rsidRPr="00D9348B">
        <w:rPr>
          <w:rFonts w:cs="Calibri"/>
          <w:i/>
          <w:lang w:eastAsia="en-GB"/>
        </w:rPr>
        <w:t>Solid fuels</w:t>
      </w:r>
      <w:r w:rsidRPr="00D9348B">
        <w:rPr>
          <w:rFonts w:cs="Calibri"/>
          <w:lang w:eastAsia="en-GB"/>
        </w:rPr>
        <w:t xml:space="preserve"> and </w:t>
      </w:r>
      <w:r w:rsidRPr="00D9348B">
        <w:rPr>
          <w:rFonts w:cs="Calibri"/>
          <w:i/>
          <w:lang w:eastAsia="en-GB"/>
        </w:rPr>
        <w:t>Oil and natural gas</w:t>
      </w:r>
      <w:r w:rsidRPr="00D9348B">
        <w:rPr>
          <w:rFonts w:cs="Calibri"/>
          <w:lang w:eastAsia="en-GB"/>
        </w:rPr>
        <w:t>.</w:t>
      </w:r>
    </w:p>
    <w:p w14:paraId="6D4A43B9" w14:textId="77777777" w:rsidR="00E20138" w:rsidRPr="00D9348B" w:rsidRDefault="00E20138" w:rsidP="00E20138">
      <w:pPr>
        <w:pStyle w:val="BodyText"/>
        <w:rPr>
          <w:rFonts w:cs="Calibri"/>
          <w:lang w:eastAsia="en-GB"/>
        </w:rPr>
      </w:pPr>
      <w:r w:rsidRPr="00D9348B">
        <w:rPr>
          <w:rFonts w:cs="Calibri"/>
          <w:lang w:eastAsia="en-GB"/>
        </w:rPr>
        <w:t xml:space="preserve">In </w:t>
      </w:r>
      <w:r w:rsidRPr="00D9348B">
        <w:rPr>
          <w:rFonts w:cs="Calibri"/>
        </w:rPr>
        <w:t>2018</w:t>
      </w:r>
      <w:r w:rsidRPr="00D9348B">
        <w:rPr>
          <w:rFonts w:cs="Calibri"/>
          <w:lang w:eastAsia="en-GB"/>
        </w:rPr>
        <w:t xml:space="preserve">, fugitive emissions from fuels accounted for </w:t>
      </w:r>
      <w:r w:rsidRPr="00D9348B">
        <w:rPr>
          <w:rFonts w:cs="Calibri"/>
        </w:rPr>
        <w:t xml:space="preserve">1,779.6 </w:t>
      </w:r>
      <w:r w:rsidRPr="00D9348B">
        <w:rPr>
          <w:rFonts w:cs="Calibri"/>
          <w:lang w:eastAsia="en-GB"/>
        </w:rPr>
        <w:t>kt CO</w:t>
      </w:r>
      <w:r w:rsidRPr="00D9348B">
        <w:rPr>
          <w:rFonts w:cs="Calibri"/>
          <w:vertAlign w:val="subscript"/>
          <w:lang w:eastAsia="en-GB"/>
        </w:rPr>
        <w:t>2</w:t>
      </w:r>
      <w:r w:rsidRPr="00D9348B">
        <w:rPr>
          <w:rFonts w:cs="Calibri"/>
          <w:lang w:eastAsia="en-GB"/>
        </w:rPr>
        <w:t>-e (</w:t>
      </w:r>
      <w:r w:rsidRPr="00D9348B">
        <w:rPr>
          <w:rFonts w:cs="Calibri"/>
        </w:rPr>
        <w:t>5.6 per cent</w:t>
      </w:r>
      <w:r w:rsidRPr="00D9348B">
        <w:rPr>
          <w:rFonts w:cs="Calibri"/>
          <w:lang w:eastAsia="en-GB"/>
        </w:rPr>
        <w:t xml:space="preserve">) of emissions from the Energy sector. This is </w:t>
      </w:r>
      <w:r w:rsidRPr="00D9348B">
        <w:rPr>
          <w:rFonts w:cs="Calibri"/>
        </w:rPr>
        <w:t xml:space="preserve">442.5 </w:t>
      </w:r>
      <w:r w:rsidRPr="00D9348B">
        <w:rPr>
          <w:rFonts w:cs="Calibri"/>
          <w:lang w:eastAsia="en-GB"/>
        </w:rPr>
        <w:t>kt CO</w:t>
      </w:r>
      <w:r w:rsidRPr="00D9348B">
        <w:rPr>
          <w:rFonts w:cs="Calibri"/>
          <w:vertAlign w:val="subscript"/>
          <w:lang w:eastAsia="en-GB"/>
        </w:rPr>
        <w:t>2</w:t>
      </w:r>
      <w:r w:rsidRPr="00D9348B">
        <w:rPr>
          <w:rFonts w:cs="Calibri"/>
          <w:lang w:eastAsia="en-GB"/>
        </w:rPr>
        <w:t>-e (</w:t>
      </w:r>
      <w:r w:rsidRPr="00D9348B">
        <w:rPr>
          <w:rFonts w:cs="Calibri"/>
        </w:rPr>
        <w:t>33.1 per cent</w:t>
      </w:r>
      <w:r w:rsidRPr="00D9348B">
        <w:rPr>
          <w:rFonts w:cs="Calibri"/>
          <w:lang w:eastAsia="en-GB"/>
        </w:rPr>
        <w:t xml:space="preserve">) higher than the 1990 level of </w:t>
      </w:r>
      <w:r w:rsidRPr="00D9348B">
        <w:rPr>
          <w:rFonts w:cs="Calibri"/>
        </w:rPr>
        <w:t xml:space="preserve">1,337.1 </w:t>
      </w:r>
      <w:r w:rsidRPr="00D9348B">
        <w:rPr>
          <w:rFonts w:cs="Calibri"/>
          <w:lang w:eastAsia="en-GB"/>
        </w:rPr>
        <w:t>kt CO</w:t>
      </w:r>
      <w:r w:rsidRPr="00D9348B">
        <w:rPr>
          <w:rFonts w:cs="Calibri"/>
          <w:vertAlign w:val="subscript"/>
          <w:lang w:eastAsia="en-GB"/>
        </w:rPr>
        <w:t>2</w:t>
      </w:r>
      <w:r w:rsidRPr="00D9348B">
        <w:rPr>
          <w:rFonts w:cs="Calibri"/>
          <w:lang w:eastAsia="en-GB"/>
        </w:rPr>
        <w:t>-e.</w:t>
      </w:r>
    </w:p>
    <w:p w14:paraId="551507DE" w14:textId="77777777" w:rsidR="00E20138" w:rsidRPr="00D9348B" w:rsidRDefault="00E20138" w:rsidP="00865BDB">
      <w:pPr>
        <w:pStyle w:val="Heading4"/>
        <w:rPr>
          <w:lang w:eastAsia="en-GB"/>
        </w:rPr>
      </w:pPr>
      <w:r w:rsidRPr="00D9348B">
        <w:rPr>
          <w:lang w:eastAsia="en-GB"/>
        </w:rPr>
        <w:t xml:space="preserve">Changes in emissions </w:t>
      </w:r>
      <w:r w:rsidRPr="00D9348B">
        <w:t>between</w:t>
      </w:r>
      <w:r w:rsidRPr="00D9348B">
        <w:rPr>
          <w:lang w:eastAsia="en-GB"/>
        </w:rPr>
        <w:t xml:space="preserve"> </w:t>
      </w:r>
      <w:r w:rsidRPr="00D9348B">
        <w:t xml:space="preserve">2017 </w:t>
      </w:r>
      <w:r w:rsidRPr="00D9348B">
        <w:rPr>
          <w:lang w:eastAsia="en-GB"/>
        </w:rPr>
        <w:t xml:space="preserve">and </w:t>
      </w:r>
      <w:r w:rsidRPr="00D9348B">
        <w:t>2018</w:t>
      </w:r>
    </w:p>
    <w:p w14:paraId="22DBACA3" w14:textId="77777777" w:rsidR="00E20138" w:rsidRPr="00D9348B" w:rsidRDefault="00E20138" w:rsidP="00E20138">
      <w:pPr>
        <w:pStyle w:val="BodyText"/>
        <w:rPr>
          <w:rFonts w:cs="Calibri"/>
        </w:rPr>
      </w:pPr>
      <w:r w:rsidRPr="00D9348B">
        <w:rPr>
          <w:rFonts w:cs="Calibri"/>
          <w:lang w:eastAsia="en-GB"/>
        </w:rPr>
        <w:t xml:space="preserve">Between </w:t>
      </w:r>
      <w:r w:rsidRPr="00D9348B">
        <w:rPr>
          <w:rFonts w:cs="Calibri"/>
        </w:rPr>
        <w:t>2017</w:t>
      </w:r>
      <w:r w:rsidRPr="00D9348B">
        <w:rPr>
          <w:rFonts w:cs="Calibri"/>
          <w:lang w:eastAsia="en-GB"/>
        </w:rPr>
        <w:t xml:space="preserve"> and </w:t>
      </w:r>
      <w:r w:rsidRPr="00D9348B">
        <w:rPr>
          <w:rFonts w:cs="Calibri"/>
        </w:rPr>
        <w:t>2018</w:t>
      </w:r>
      <w:r w:rsidRPr="00D9348B">
        <w:rPr>
          <w:rFonts w:cs="Calibri"/>
          <w:lang w:eastAsia="en-GB"/>
        </w:rPr>
        <w:t>, fugitive emissions from fuels</w:t>
      </w:r>
      <w:r w:rsidRPr="00D9348B">
        <w:rPr>
          <w:rFonts w:cs="Calibri"/>
        </w:rPr>
        <w:t xml:space="preserve"> decreased by 160.5 </w:t>
      </w:r>
      <w:r w:rsidRPr="00D9348B">
        <w:rPr>
          <w:rFonts w:cs="Calibri"/>
          <w:lang w:eastAsia="en-GB"/>
        </w:rPr>
        <w:t>kt CO</w:t>
      </w:r>
      <w:r w:rsidRPr="00D9348B">
        <w:rPr>
          <w:rFonts w:cs="Calibri"/>
          <w:szCs w:val="14"/>
          <w:vertAlign w:val="subscript"/>
          <w:lang w:eastAsia="en-GB"/>
        </w:rPr>
        <w:t>2</w:t>
      </w:r>
      <w:r w:rsidRPr="00D9348B">
        <w:rPr>
          <w:rFonts w:cs="Calibri"/>
          <w:lang w:eastAsia="en-GB"/>
        </w:rPr>
        <w:t>-e (</w:t>
      </w:r>
      <w:r w:rsidRPr="00D9348B">
        <w:rPr>
          <w:rFonts w:cs="Calibri"/>
        </w:rPr>
        <w:t>8.3 per cent</w:t>
      </w:r>
      <w:r w:rsidRPr="00D9348B">
        <w:rPr>
          <w:rFonts w:cs="Calibri"/>
          <w:lang w:eastAsia="en-GB"/>
        </w:rPr>
        <w:t xml:space="preserve">). This was primarily the result of decreased activity in category 1.B.2.c.1 </w:t>
      </w:r>
      <w:r w:rsidRPr="00D9348B">
        <w:rPr>
          <w:rFonts w:cs="Calibri"/>
          <w:i/>
          <w:lang w:eastAsia="en-GB"/>
        </w:rPr>
        <w:t>Venting</w:t>
      </w:r>
      <w:r w:rsidRPr="00D9348B">
        <w:rPr>
          <w:rFonts w:cs="Calibri"/>
          <w:i/>
        </w:rPr>
        <w:t>.</w:t>
      </w:r>
    </w:p>
    <w:p w14:paraId="607AACA6" w14:textId="77777777" w:rsidR="00E20138" w:rsidRPr="00D9348B" w:rsidRDefault="00E20138" w:rsidP="00E20138">
      <w:pPr>
        <w:pStyle w:val="BodyText"/>
        <w:rPr>
          <w:rFonts w:cs="Calibri"/>
        </w:rPr>
      </w:pPr>
      <w:r w:rsidRPr="00D9348B">
        <w:rPr>
          <w:rFonts w:cs="Calibri"/>
        </w:rPr>
        <w:t xml:space="preserve">Key categories identified in the 2018 level and trend assessment for the </w:t>
      </w:r>
      <w:r w:rsidRPr="00D9348B">
        <w:rPr>
          <w:rFonts w:cs="Calibri"/>
          <w:i/>
          <w:lang w:eastAsia="en-GB"/>
        </w:rPr>
        <w:t>Fugitive emissions</w:t>
      </w:r>
      <w:r w:rsidRPr="00D9348B">
        <w:rPr>
          <w:rFonts w:cs="Calibri"/>
        </w:rPr>
        <w:t xml:space="preserve"> category are given in table 3.4.1.</w:t>
      </w:r>
    </w:p>
    <w:p w14:paraId="5D3E486D" w14:textId="77777777" w:rsidR="00E20138" w:rsidRPr="00D9348B" w:rsidRDefault="00E20138" w:rsidP="005B274A">
      <w:pPr>
        <w:pStyle w:val="Table"/>
      </w:pPr>
      <w:r w:rsidRPr="00D9348B">
        <w:t>Table 3.4.1</w:t>
      </w:r>
      <w:r w:rsidRPr="00D9348B">
        <w:tab/>
        <w:t>Key categories for 1.B Fugitive emissions</w:t>
      </w:r>
    </w:p>
    <w:tbl>
      <w:tblPr>
        <w:tblW w:w="8505" w:type="dxa"/>
        <w:tblInd w:w="108" w:type="dxa"/>
        <w:tblBorders>
          <w:top w:val="single" w:sz="4" w:space="0" w:color="1F497D"/>
          <w:bottom w:val="single" w:sz="4" w:space="0" w:color="1F497D"/>
          <w:insideH w:val="single" w:sz="4" w:space="0" w:color="1F497D"/>
          <w:insideV w:val="single" w:sz="4" w:space="0" w:color="1F497D"/>
        </w:tblBorders>
        <w:tblLayout w:type="fixed"/>
        <w:tblLook w:val="0420" w:firstRow="1" w:lastRow="0" w:firstColumn="0" w:lastColumn="0" w:noHBand="0" w:noVBand="1"/>
      </w:tblPr>
      <w:tblGrid>
        <w:gridCol w:w="4620"/>
        <w:gridCol w:w="2036"/>
        <w:gridCol w:w="1849"/>
      </w:tblGrid>
      <w:tr w:rsidR="00E20138" w:rsidRPr="00D9348B" w14:paraId="6854ABF0" w14:textId="77777777" w:rsidTr="00DB330E">
        <w:trPr>
          <w:cantSplit/>
          <w:tblHeader/>
        </w:trPr>
        <w:tc>
          <w:tcPr>
            <w:tcW w:w="2716" w:type="pct"/>
            <w:tcBorders>
              <w:right w:val="single" w:sz="4" w:space="0" w:color="365F91"/>
            </w:tcBorders>
            <w:shd w:val="clear" w:color="auto" w:fill="365F91"/>
            <w:noWrap/>
            <w:vAlign w:val="bottom"/>
            <w:hideMark/>
          </w:tcPr>
          <w:p w14:paraId="396D5B8F" w14:textId="77777777" w:rsidR="00E20138" w:rsidRPr="00D9348B" w:rsidRDefault="00E20138" w:rsidP="00DB330E">
            <w:pPr>
              <w:pStyle w:val="TableTextBold"/>
              <w:keepNext/>
              <w:rPr>
                <w:rFonts w:cs="Calibri"/>
                <w:noProof w:val="0"/>
                <w:color w:val="FFFFFF"/>
              </w:rPr>
            </w:pPr>
            <w:r w:rsidRPr="00D9348B">
              <w:rPr>
                <w:rFonts w:cs="Calibri"/>
                <w:noProof w:val="0"/>
                <w:color w:val="FFFFFF"/>
              </w:rPr>
              <w:t>Category</w:t>
            </w:r>
          </w:p>
        </w:tc>
        <w:tc>
          <w:tcPr>
            <w:tcW w:w="1197" w:type="pct"/>
            <w:tcBorders>
              <w:top w:val="single" w:sz="4" w:space="0" w:color="365F91"/>
              <w:left w:val="single" w:sz="4" w:space="0" w:color="365F91"/>
              <w:bottom w:val="single" w:sz="4" w:space="0" w:color="365F91"/>
              <w:right w:val="single" w:sz="4" w:space="0" w:color="365F91"/>
            </w:tcBorders>
            <w:shd w:val="clear" w:color="auto" w:fill="365F91"/>
            <w:noWrap/>
            <w:vAlign w:val="bottom"/>
            <w:hideMark/>
          </w:tcPr>
          <w:p w14:paraId="335E4E3F" w14:textId="77777777" w:rsidR="00E20138" w:rsidRPr="00D9348B" w:rsidRDefault="00E20138" w:rsidP="00DB330E">
            <w:pPr>
              <w:pStyle w:val="TableTextBold"/>
              <w:keepNext/>
              <w:rPr>
                <w:rFonts w:cs="Calibri"/>
                <w:noProof w:val="0"/>
                <w:color w:val="FFFFFF"/>
              </w:rPr>
            </w:pPr>
            <w:r w:rsidRPr="00D9348B">
              <w:rPr>
                <w:rFonts w:cs="Calibri"/>
                <w:noProof w:val="0"/>
                <w:color w:val="FFFFFF"/>
              </w:rPr>
              <w:t>CO</w:t>
            </w:r>
            <w:r w:rsidRPr="00D9348B">
              <w:rPr>
                <w:rFonts w:cs="Calibri"/>
                <w:noProof w:val="0"/>
                <w:color w:val="FFFFFF"/>
                <w:vertAlign w:val="subscript"/>
              </w:rPr>
              <w:t>2</w:t>
            </w:r>
          </w:p>
        </w:tc>
        <w:tc>
          <w:tcPr>
            <w:tcW w:w="1087" w:type="pct"/>
            <w:tcBorders>
              <w:top w:val="single" w:sz="4" w:space="0" w:color="365F91"/>
              <w:left w:val="single" w:sz="4" w:space="0" w:color="365F91"/>
              <w:bottom w:val="single" w:sz="4" w:space="0" w:color="365F91"/>
              <w:right w:val="nil"/>
            </w:tcBorders>
            <w:shd w:val="clear" w:color="auto" w:fill="365F91"/>
            <w:vAlign w:val="bottom"/>
            <w:hideMark/>
          </w:tcPr>
          <w:p w14:paraId="43ECA3CC" w14:textId="77777777" w:rsidR="00E20138" w:rsidRPr="00D9348B" w:rsidRDefault="00E20138" w:rsidP="00DB330E">
            <w:pPr>
              <w:pStyle w:val="TableTextBold"/>
              <w:keepNext/>
              <w:rPr>
                <w:rFonts w:cs="Calibri"/>
                <w:noProof w:val="0"/>
                <w:color w:val="FFFFFF"/>
              </w:rPr>
            </w:pPr>
            <w:r w:rsidRPr="00D9348B">
              <w:rPr>
                <w:rFonts w:cs="Calibri"/>
                <w:noProof w:val="0"/>
                <w:color w:val="FFFFFF"/>
              </w:rPr>
              <w:t>CH</w:t>
            </w:r>
            <w:r w:rsidRPr="00D9348B">
              <w:rPr>
                <w:rFonts w:cs="Calibri"/>
                <w:noProof w:val="0"/>
                <w:color w:val="FFFFFF"/>
                <w:vertAlign w:val="subscript"/>
              </w:rPr>
              <w:t>4</w:t>
            </w:r>
          </w:p>
        </w:tc>
      </w:tr>
      <w:tr w:rsidR="00E20138" w:rsidRPr="00D9348B" w14:paraId="1642105E" w14:textId="77777777" w:rsidTr="00DB330E">
        <w:trPr>
          <w:cantSplit/>
        </w:trPr>
        <w:tc>
          <w:tcPr>
            <w:tcW w:w="2716" w:type="pct"/>
            <w:tcBorders>
              <w:right w:val="single" w:sz="4" w:space="0" w:color="365F91"/>
            </w:tcBorders>
            <w:shd w:val="clear" w:color="auto" w:fill="auto"/>
            <w:noWrap/>
            <w:hideMark/>
          </w:tcPr>
          <w:p w14:paraId="1355066F" w14:textId="77777777" w:rsidR="00E20138" w:rsidRPr="00D9348B" w:rsidRDefault="00E20138" w:rsidP="00DB330E">
            <w:pPr>
              <w:pStyle w:val="TableText"/>
              <w:spacing w:before="50" w:after="50"/>
              <w:rPr>
                <w:rFonts w:cs="Calibri"/>
              </w:rPr>
            </w:pPr>
            <w:r w:rsidRPr="00D9348B">
              <w:rPr>
                <w:rFonts w:cs="Calibri"/>
              </w:rPr>
              <w:t>Coal mining and handling – underground</w:t>
            </w:r>
          </w:p>
        </w:tc>
        <w:tc>
          <w:tcPr>
            <w:tcW w:w="1197" w:type="pct"/>
            <w:tcBorders>
              <w:top w:val="single" w:sz="4" w:space="0" w:color="365F91"/>
              <w:left w:val="single" w:sz="4" w:space="0" w:color="365F91"/>
              <w:bottom w:val="single" w:sz="4" w:space="0" w:color="365F91"/>
              <w:right w:val="single" w:sz="4" w:space="0" w:color="365F91"/>
            </w:tcBorders>
            <w:shd w:val="clear" w:color="auto" w:fill="auto"/>
            <w:noWrap/>
            <w:hideMark/>
          </w:tcPr>
          <w:p w14:paraId="3FE4878C" w14:textId="77777777" w:rsidR="00E20138" w:rsidRPr="00D9348B" w:rsidRDefault="00E20138" w:rsidP="00DB330E">
            <w:pPr>
              <w:pStyle w:val="TableText"/>
              <w:spacing w:before="50" w:after="50"/>
              <w:rPr>
                <w:rFonts w:cs="Calibri"/>
              </w:rPr>
            </w:pPr>
          </w:p>
        </w:tc>
        <w:tc>
          <w:tcPr>
            <w:tcW w:w="1087" w:type="pct"/>
            <w:tcBorders>
              <w:top w:val="single" w:sz="4" w:space="0" w:color="365F91"/>
              <w:left w:val="single" w:sz="4" w:space="0" w:color="365F91"/>
              <w:bottom w:val="single" w:sz="4" w:space="0" w:color="365F91"/>
              <w:right w:val="nil"/>
            </w:tcBorders>
            <w:shd w:val="clear" w:color="auto" w:fill="auto"/>
            <w:noWrap/>
            <w:hideMark/>
          </w:tcPr>
          <w:p w14:paraId="3D30DAAE" w14:textId="77777777" w:rsidR="00E20138" w:rsidRPr="00D9348B" w:rsidRDefault="00E20138" w:rsidP="00DB330E">
            <w:pPr>
              <w:pStyle w:val="TableText"/>
              <w:spacing w:before="50" w:after="50"/>
              <w:rPr>
                <w:rFonts w:cs="Calibri"/>
              </w:rPr>
            </w:pPr>
            <w:r w:rsidRPr="00D9348B">
              <w:rPr>
                <w:rFonts w:cs="Calibri"/>
              </w:rPr>
              <w:t>Trend</w:t>
            </w:r>
          </w:p>
        </w:tc>
      </w:tr>
      <w:tr w:rsidR="00E20138" w:rsidRPr="00D9348B" w14:paraId="73CBDEDB" w14:textId="77777777" w:rsidTr="00DB330E">
        <w:trPr>
          <w:cantSplit/>
        </w:trPr>
        <w:tc>
          <w:tcPr>
            <w:tcW w:w="2716" w:type="pct"/>
            <w:tcBorders>
              <w:right w:val="single" w:sz="4" w:space="0" w:color="365F91"/>
            </w:tcBorders>
            <w:shd w:val="clear" w:color="auto" w:fill="auto"/>
            <w:noWrap/>
            <w:hideMark/>
          </w:tcPr>
          <w:p w14:paraId="7F7AA0BD" w14:textId="77777777" w:rsidR="00E20138" w:rsidRPr="00D9348B" w:rsidRDefault="00E20138" w:rsidP="00DB330E">
            <w:pPr>
              <w:pStyle w:val="TableText"/>
              <w:spacing w:before="50" w:after="50"/>
              <w:rPr>
                <w:rFonts w:cs="Calibri"/>
              </w:rPr>
            </w:pPr>
            <w:r w:rsidRPr="00D9348B">
              <w:rPr>
                <w:rFonts w:cs="Calibri"/>
              </w:rPr>
              <w:t>Natural gas – distribution</w:t>
            </w:r>
          </w:p>
        </w:tc>
        <w:tc>
          <w:tcPr>
            <w:tcW w:w="1197" w:type="pct"/>
            <w:tcBorders>
              <w:top w:val="single" w:sz="4" w:space="0" w:color="365F91"/>
              <w:left w:val="single" w:sz="4" w:space="0" w:color="365F91"/>
              <w:bottom w:val="single" w:sz="4" w:space="0" w:color="365F91"/>
              <w:right w:val="single" w:sz="4" w:space="0" w:color="365F91"/>
            </w:tcBorders>
            <w:shd w:val="clear" w:color="auto" w:fill="auto"/>
            <w:noWrap/>
            <w:hideMark/>
          </w:tcPr>
          <w:p w14:paraId="1E757483" w14:textId="77777777" w:rsidR="00E20138" w:rsidRPr="00D9348B" w:rsidRDefault="00E20138" w:rsidP="00DB330E">
            <w:pPr>
              <w:pStyle w:val="TableText"/>
              <w:spacing w:before="50" w:after="50"/>
              <w:rPr>
                <w:rFonts w:cs="Calibri"/>
              </w:rPr>
            </w:pPr>
          </w:p>
        </w:tc>
        <w:tc>
          <w:tcPr>
            <w:tcW w:w="1087" w:type="pct"/>
            <w:tcBorders>
              <w:top w:val="single" w:sz="4" w:space="0" w:color="365F91"/>
              <w:left w:val="single" w:sz="4" w:space="0" w:color="365F91"/>
              <w:bottom w:val="single" w:sz="4" w:space="0" w:color="365F91"/>
              <w:right w:val="nil"/>
            </w:tcBorders>
            <w:shd w:val="clear" w:color="auto" w:fill="auto"/>
            <w:noWrap/>
          </w:tcPr>
          <w:p w14:paraId="1B039730" w14:textId="77777777" w:rsidR="00E20138" w:rsidRPr="00D9348B" w:rsidRDefault="00E20138" w:rsidP="00DB330E">
            <w:pPr>
              <w:pStyle w:val="TableText"/>
              <w:spacing w:before="50" w:after="50"/>
              <w:rPr>
                <w:rFonts w:cs="Calibri"/>
              </w:rPr>
            </w:pPr>
            <w:r w:rsidRPr="00D9348B">
              <w:rPr>
                <w:rFonts w:cs="Calibri"/>
              </w:rPr>
              <w:t>Trend</w:t>
            </w:r>
          </w:p>
        </w:tc>
      </w:tr>
      <w:tr w:rsidR="00E20138" w:rsidRPr="00D9348B" w14:paraId="25E7DFE5" w14:textId="77777777" w:rsidTr="00DB330E">
        <w:trPr>
          <w:cantSplit/>
        </w:trPr>
        <w:tc>
          <w:tcPr>
            <w:tcW w:w="2716" w:type="pct"/>
            <w:tcBorders>
              <w:right w:val="single" w:sz="4" w:space="0" w:color="365F91"/>
            </w:tcBorders>
            <w:shd w:val="clear" w:color="auto" w:fill="auto"/>
            <w:noWrap/>
          </w:tcPr>
          <w:p w14:paraId="6F317044" w14:textId="77777777" w:rsidR="00E20138" w:rsidRPr="00D9348B" w:rsidRDefault="00E20138" w:rsidP="00DB330E">
            <w:pPr>
              <w:pStyle w:val="TableText"/>
              <w:spacing w:before="50" w:after="50"/>
              <w:rPr>
                <w:rFonts w:cs="Calibri"/>
              </w:rPr>
            </w:pPr>
            <w:r w:rsidRPr="00D9348B">
              <w:rPr>
                <w:rFonts w:cs="Calibri"/>
              </w:rPr>
              <w:t>Venting – gas</w:t>
            </w:r>
          </w:p>
        </w:tc>
        <w:tc>
          <w:tcPr>
            <w:tcW w:w="1197" w:type="pct"/>
            <w:tcBorders>
              <w:top w:val="single" w:sz="4" w:space="0" w:color="365F91"/>
              <w:left w:val="single" w:sz="4" w:space="0" w:color="365F91"/>
              <w:bottom w:val="single" w:sz="4" w:space="0" w:color="365F91"/>
              <w:right w:val="single" w:sz="4" w:space="0" w:color="365F91"/>
            </w:tcBorders>
            <w:shd w:val="clear" w:color="auto" w:fill="auto"/>
            <w:noWrap/>
          </w:tcPr>
          <w:p w14:paraId="56ACD285" w14:textId="77777777" w:rsidR="00E20138" w:rsidRPr="00D9348B" w:rsidRDefault="00E20138" w:rsidP="00DB330E">
            <w:pPr>
              <w:pStyle w:val="TableText"/>
              <w:spacing w:before="50" w:after="50"/>
              <w:rPr>
                <w:rFonts w:cs="Calibri"/>
              </w:rPr>
            </w:pPr>
            <w:r w:rsidRPr="00D9348B">
              <w:rPr>
                <w:rFonts w:cs="Calibri"/>
              </w:rPr>
              <w:t>Level, trend</w:t>
            </w:r>
          </w:p>
        </w:tc>
        <w:tc>
          <w:tcPr>
            <w:tcW w:w="1087" w:type="pct"/>
            <w:tcBorders>
              <w:top w:val="single" w:sz="4" w:space="0" w:color="365F91"/>
              <w:left w:val="single" w:sz="4" w:space="0" w:color="365F91"/>
              <w:bottom w:val="single" w:sz="4" w:space="0" w:color="365F91"/>
              <w:right w:val="nil"/>
            </w:tcBorders>
            <w:shd w:val="clear" w:color="auto" w:fill="auto"/>
            <w:noWrap/>
          </w:tcPr>
          <w:p w14:paraId="3F150EDC" w14:textId="77777777" w:rsidR="00E20138" w:rsidRPr="00D9348B" w:rsidRDefault="00E20138" w:rsidP="00DB330E">
            <w:pPr>
              <w:pStyle w:val="TableText"/>
              <w:spacing w:before="50" w:after="50"/>
              <w:rPr>
                <w:rFonts w:cs="Calibri"/>
              </w:rPr>
            </w:pPr>
          </w:p>
        </w:tc>
      </w:tr>
      <w:tr w:rsidR="00E20138" w:rsidRPr="00D9348B" w14:paraId="4ACFA427" w14:textId="77777777" w:rsidTr="00DB330E">
        <w:trPr>
          <w:cantSplit/>
        </w:trPr>
        <w:tc>
          <w:tcPr>
            <w:tcW w:w="2716" w:type="pct"/>
            <w:tcBorders>
              <w:right w:val="single" w:sz="4" w:space="0" w:color="365F91"/>
            </w:tcBorders>
            <w:shd w:val="clear" w:color="auto" w:fill="auto"/>
            <w:noWrap/>
          </w:tcPr>
          <w:p w14:paraId="4B852317" w14:textId="77777777" w:rsidR="00E20138" w:rsidRPr="00D9348B" w:rsidRDefault="00E20138" w:rsidP="00DB330E">
            <w:pPr>
              <w:pStyle w:val="TableText"/>
              <w:spacing w:before="50" w:after="50"/>
              <w:rPr>
                <w:rFonts w:cs="Calibri"/>
              </w:rPr>
            </w:pPr>
            <w:r w:rsidRPr="00D9348B">
              <w:rPr>
                <w:rFonts w:cs="Calibri"/>
              </w:rPr>
              <w:t>Other – geothermal</w:t>
            </w:r>
          </w:p>
        </w:tc>
        <w:tc>
          <w:tcPr>
            <w:tcW w:w="1197" w:type="pct"/>
            <w:tcBorders>
              <w:top w:val="single" w:sz="4" w:space="0" w:color="365F91"/>
              <w:left w:val="single" w:sz="4" w:space="0" w:color="365F91"/>
              <w:bottom w:val="single" w:sz="4" w:space="0" w:color="365F91"/>
              <w:right w:val="single" w:sz="4" w:space="0" w:color="365F91"/>
            </w:tcBorders>
            <w:shd w:val="clear" w:color="auto" w:fill="auto"/>
            <w:noWrap/>
          </w:tcPr>
          <w:p w14:paraId="4DA00D76" w14:textId="77777777" w:rsidR="00E20138" w:rsidRPr="00D9348B" w:rsidRDefault="00E20138" w:rsidP="00DB330E">
            <w:pPr>
              <w:pStyle w:val="TableText"/>
              <w:spacing w:before="50" w:after="50"/>
              <w:rPr>
                <w:rFonts w:cs="Calibri"/>
              </w:rPr>
            </w:pPr>
            <w:r w:rsidRPr="00D9348B">
              <w:rPr>
                <w:rFonts w:cs="Calibri"/>
              </w:rPr>
              <w:t>Level, trend</w:t>
            </w:r>
          </w:p>
        </w:tc>
        <w:tc>
          <w:tcPr>
            <w:tcW w:w="1087" w:type="pct"/>
            <w:tcBorders>
              <w:top w:val="single" w:sz="4" w:space="0" w:color="365F91"/>
              <w:left w:val="single" w:sz="4" w:space="0" w:color="365F91"/>
              <w:bottom w:val="single" w:sz="4" w:space="0" w:color="365F91"/>
              <w:right w:val="nil"/>
            </w:tcBorders>
            <w:shd w:val="clear" w:color="auto" w:fill="auto"/>
            <w:noWrap/>
          </w:tcPr>
          <w:p w14:paraId="1031351F" w14:textId="77777777" w:rsidR="00E20138" w:rsidRPr="00D9348B" w:rsidRDefault="00E20138" w:rsidP="00DB330E">
            <w:pPr>
              <w:pStyle w:val="TableText"/>
              <w:spacing w:before="50" w:after="50"/>
              <w:rPr>
                <w:rFonts w:cs="Calibri"/>
              </w:rPr>
            </w:pPr>
            <w:r w:rsidRPr="00D9348B">
              <w:rPr>
                <w:rFonts w:cs="Calibri"/>
              </w:rPr>
              <w:t>Trend</w:t>
            </w:r>
          </w:p>
        </w:tc>
      </w:tr>
    </w:tbl>
    <w:p w14:paraId="1AD9475C" w14:textId="77777777" w:rsidR="00E20138" w:rsidRPr="00D9348B" w:rsidRDefault="00E20138" w:rsidP="00E20138">
      <w:pPr>
        <w:pStyle w:val="Heading3"/>
        <w:spacing w:before="480"/>
        <w:rPr>
          <w:rFonts w:cs="Calibri"/>
        </w:rPr>
      </w:pPr>
      <w:r w:rsidRPr="00D9348B">
        <w:rPr>
          <w:rFonts w:cs="Calibri"/>
        </w:rPr>
        <w:lastRenderedPageBreak/>
        <w:t>3.4.1</w:t>
      </w:r>
      <w:r w:rsidRPr="00D9348B">
        <w:rPr>
          <w:rFonts w:cs="Calibri"/>
        </w:rPr>
        <w:tab/>
        <w:t>Fugitive emissions from fuels: Solid fuels (CRF 1.B.1)</w:t>
      </w:r>
    </w:p>
    <w:p w14:paraId="1C934A13" w14:textId="77777777" w:rsidR="00E20138" w:rsidRPr="00D9348B" w:rsidRDefault="00E20138" w:rsidP="005B274A">
      <w:pPr>
        <w:pStyle w:val="Heading4"/>
        <w:spacing w:before="160"/>
      </w:pPr>
      <w:r w:rsidRPr="00D9348B">
        <w:rPr>
          <w:lang w:eastAsia="en-GB"/>
        </w:rPr>
        <w:t>Description</w:t>
      </w:r>
    </w:p>
    <w:p w14:paraId="598D707A" w14:textId="77777777" w:rsidR="00E20138" w:rsidRPr="00D9348B" w:rsidRDefault="00E20138" w:rsidP="009C0F3A">
      <w:pPr>
        <w:pStyle w:val="BodyText"/>
        <w:spacing w:before="100"/>
        <w:rPr>
          <w:rFonts w:cs="Calibri"/>
          <w:lang w:eastAsia="en-GB"/>
        </w:rPr>
      </w:pPr>
      <w:r w:rsidRPr="00D9348B">
        <w:rPr>
          <w:rFonts w:cs="Calibri"/>
          <w:lang w:eastAsia="en-GB"/>
        </w:rPr>
        <w:t xml:space="preserve">In </w:t>
      </w:r>
      <w:r w:rsidRPr="00D9348B">
        <w:rPr>
          <w:rFonts w:cs="Calibri"/>
        </w:rPr>
        <w:t>2018</w:t>
      </w:r>
      <w:r w:rsidRPr="00D9348B">
        <w:rPr>
          <w:rFonts w:cs="Calibri"/>
          <w:lang w:eastAsia="en-GB"/>
        </w:rPr>
        <w:t xml:space="preserve">, fugitive emissions from the </w:t>
      </w:r>
      <w:r w:rsidRPr="00D9348B">
        <w:rPr>
          <w:rFonts w:cs="Calibri"/>
          <w:i/>
          <w:lang w:eastAsia="en-GB"/>
        </w:rPr>
        <w:t>Solid fuels</w:t>
      </w:r>
      <w:r w:rsidRPr="00D9348B">
        <w:rPr>
          <w:rFonts w:cs="Calibri"/>
          <w:lang w:eastAsia="en-GB"/>
        </w:rPr>
        <w:t xml:space="preserve"> category accounted for </w:t>
      </w:r>
      <w:r w:rsidRPr="00D9348B">
        <w:rPr>
          <w:rFonts w:cs="Calibri"/>
        </w:rPr>
        <w:t xml:space="preserve">127.4 </w:t>
      </w:r>
      <w:r w:rsidRPr="00D9348B">
        <w:rPr>
          <w:rFonts w:cs="Calibri"/>
          <w:lang w:eastAsia="en-GB"/>
        </w:rPr>
        <w:t>kt CO</w:t>
      </w:r>
      <w:r w:rsidRPr="00D9348B">
        <w:rPr>
          <w:rFonts w:cs="Calibri"/>
          <w:vertAlign w:val="subscript"/>
          <w:lang w:eastAsia="en-GB"/>
        </w:rPr>
        <w:t>2</w:t>
      </w:r>
      <w:r w:rsidRPr="00D9348B">
        <w:rPr>
          <w:rFonts w:cs="Calibri"/>
          <w:lang w:eastAsia="en-GB"/>
        </w:rPr>
        <w:t>-e (</w:t>
      </w:r>
      <w:r w:rsidRPr="00D9348B">
        <w:rPr>
          <w:rFonts w:cs="Calibri"/>
        </w:rPr>
        <w:t>7.2 per cent</w:t>
      </w:r>
      <w:r w:rsidRPr="00D9348B">
        <w:rPr>
          <w:rFonts w:cs="Calibri"/>
          <w:lang w:eastAsia="en-GB"/>
        </w:rPr>
        <w:t xml:space="preserve">) of emissions from the </w:t>
      </w:r>
      <w:r w:rsidRPr="00D9348B">
        <w:rPr>
          <w:rFonts w:cs="Calibri"/>
          <w:i/>
          <w:lang w:eastAsia="en-GB"/>
        </w:rPr>
        <w:t>Fugitive emissions</w:t>
      </w:r>
      <w:r w:rsidRPr="00D9348B">
        <w:rPr>
          <w:rFonts w:cs="Calibri"/>
          <w:lang w:eastAsia="en-GB"/>
        </w:rPr>
        <w:t xml:space="preserve"> category. This is </w:t>
      </w:r>
      <w:r w:rsidRPr="00D9348B">
        <w:rPr>
          <w:rFonts w:cs="Calibri"/>
        </w:rPr>
        <w:t>200.8 </w:t>
      </w:r>
      <w:r w:rsidRPr="00D9348B">
        <w:rPr>
          <w:rFonts w:cs="Calibri"/>
          <w:lang w:eastAsia="en-GB"/>
        </w:rPr>
        <w:t>kt CO</w:t>
      </w:r>
      <w:r w:rsidRPr="00D9348B">
        <w:rPr>
          <w:rFonts w:cs="Calibri"/>
          <w:vertAlign w:val="subscript"/>
          <w:lang w:eastAsia="en-GB"/>
        </w:rPr>
        <w:t>2</w:t>
      </w:r>
      <w:r w:rsidRPr="00D9348B">
        <w:rPr>
          <w:rFonts w:cs="Calibri"/>
          <w:lang w:eastAsia="en-GB"/>
        </w:rPr>
        <w:t>-e (</w:t>
      </w:r>
      <w:r w:rsidRPr="00D9348B">
        <w:rPr>
          <w:rFonts w:cs="Calibri"/>
        </w:rPr>
        <w:t>61.2 per cent</w:t>
      </w:r>
      <w:r w:rsidRPr="00D9348B">
        <w:rPr>
          <w:rFonts w:cs="Calibri"/>
          <w:lang w:eastAsia="en-GB"/>
        </w:rPr>
        <w:t xml:space="preserve">) lower than the </w:t>
      </w:r>
      <w:r w:rsidRPr="00D9348B">
        <w:rPr>
          <w:rFonts w:cs="Calibri"/>
        </w:rPr>
        <w:t xml:space="preserve">328.2 </w:t>
      </w:r>
      <w:r w:rsidRPr="00D9348B">
        <w:rPr>
          <w:rFonts w:cs="Calibri"/>
          <w:lang w:eastAsia="en-GB"/>
        </w:rPr>
        <w:t>kt CO</w:t>
      </w:r>
      <w:r w:rsidRPr="00D9348B">
        <w:rPr>
          <w:rFonts w:cs="Calibri"/>
          <w:vertAlign w:val="subscript"/>
          <w:lang w:eastAsia="en-GB"/>
        </w:rPr>
        <w:t>2</w:t>
      </w:r>
      <w:r w:rsidRPr="00D9348B">
        <w:rPr>
          <w:rFonts w:cs="Calibri"/>
          <w:lang w:eastAsia="en-GB"/>
        </w:rPr>
        <w:t>-e reported for 1990.</w:t>
      </w:r>
    </w:p>
    <w:p w14:paraId="2220CD4B" w14:textId="77777777" w:rsidR="00E20138" w:rsidRPr="00D9348B" w:rsidRDefault="00E20138" w:rsidP="009C0F3A">
      <w:pPr>
        <w:pStyle w:val="BodyText"/>
        <w:spacing w:before="100"/>
        <w:rPr>
          <w:rFonts w:cs="Calibri"/>
          <w:lang w:eastAsia="en-GB"/>
        </w:rPr>
      </w:pPr>
      <w:r w:rsidRPr="00D9348B">
        <w:rPr>
          <w:rFonts w:cs="Calibri"/>
          <w:lang w:eastAsia="en-GB"/>
        </w:rPr>
        <w:t xml:space="preserve">Between </w:t>
      </w:r>
      <w:r w:rsidRPr="00D9348B">
        <w:rPr>
          <w:rFonts w:cs="Calibri"/>
        </w:rPr>
        <w:t xml:space="preserve">2017 </w:t>
      </w:r>
      <w:r w:rsidRPr="00D9348B">
        <w:rPr>
          <w:rFonts w:cs="Calibri"/>
          <w:lang w:eastAsia="en-GB"/>
        </w:rPr>
        <w:t xml:space="preserve">and </w:t>
      </w:r>
      <w:r w:rsidRPr="00D9348B">
        <w:rPr>
          <w:rFonts w:cs="Calibri"/>
        </w:rPr>
        <w:t>2018</w:t>
      </w:r>
      <w:r w:rsidRPr="00D9348B">
        <w:rPr>
          <w:rFonts w:cs="Calibri"/>
          <w:lang w:eastAsia="en-GB"/>
        </w:rPr>
        <w:t xml:space="preserve">, fugitive emissions from the </w:t>
      </w:r>
      <w:r w:rsidRPr="00D9348B">
        <w:rPr>
          <w:rFonts w:cs="Calibri"/>
          <w:i/>
          <w:lang w:eastAsia="en-GB"/>
        </w:rPr>
        <w:t>Solid fuels</w:t>
      </w:r>
      <w:r w:rsidRPr="00D9348B">
        <w:rPr>
          <w:rFonts w:cs="Calibri"/>
          <w:lang w:eastAsia="en-GB"/>
        </w:rPr>
        <w:t xml:space="preserve"> category </w:t>
      </w:r>
      <w:r w:rsidRPr="00D9348B">
        <w:rPr>
          <w:rFonts w:cs="Calibri"/>
        </w:rPr>
        <w:t>decreased by 4.6 </w:t>
      </w:r>
      <w:r w:rsidRPr="00D9348B">
        <w:rPr>
          <w:rFonts w:cs="Calibri"/>
          <w:lang w:eastAsia="en-GB"/>
        </w:rPr>
        <w:t>kt CO</w:t>
      </w:r>
      <w:r w:rsidRPr="00D9348B">
        <w:rPr>
          <w:rFonts w:cs="Calibri"/>
          <w:vertAlign w:val="subscript"/>
          <w:lang w:eastAsia="en-GB"/>
        </w:rPr>
        <w:t>2</w:t>
      </w:r>
      <w:r w:rsidRPr="00D9348B">
        <w:rPr>
          <w:rFonts w:cs="Calibri"/>
          <w:lang w:eastAsia="en-GB"/>
        </w:rPr>
        <w:t xml:space="preserve">-e (3.5 </w:t>
      </w:r>
      <w:r w:rsidRPr="00D9348B">
        <w:rPr>
          <w:rFonts w:cs="Calibri"/>
        </w:rPr>
        <w:t>per cent</w:t>
      </w:r>
      <w:r w:rsidRPr="00D9348B">
        <w:rPr>
          <w:rFonts w:cs="Calibri"/>
          <w:lang w:eastAsia="en-GB"/>
        </w:rPr>
        <w:t>) as a result of decreased production from both underground and surface mines.</w:t>
      </w:r>
    </w:p>
    <w:p w14:paraId="5F7068F9" w14:textId="77777777" w:rsidR="00E20138" w:rsidRPr="00D9348B" w:rsidRDefault="00E20138" w:rsidP="009C0F3A">
      <w:pPr>
        <w:pStyle w:val="BodyText"/>
        <w:spacing w:before="100"/>
        <w:rPr>
          <w:rFonts w:cs="Calibri"/>
          <w:lang w:eastAsia="en-GB"/>
        </w:rPr>
      </w:pPr>
      <w:r w:rsidRPr="00D9348B">
        <w:rPr>
          <w:rFonts w:cs="Calibri"/>
          <w:lang w:eastAsia="en-GB"/>
        </w:rPr>
        <w:t xml:space="preserve">New Zealand’s fugitive emissions from the </w:t>
      </w:r>
      <w:r w:rsidRPr="00D9348B">
        <w:rPr>
          <w:rFonts w:cs="Calibri"/>
          <w:i/>
          <w:lang w:eastAsia="en-GB"/>
        </w:rPr>
        <w:t>Solid fuels</w:t>
      </w:r>
      <w:r w:rsidRPr="00D9348B">
        <w:rPr>
          <w:rFonts w:cs="Calibri"/>
          <w:lang w:eastAsia="en-GB"/>
        </w:rPr>
        <w:t xml:space="preserve"> category are a by-product of coal-mining operations. Methane is created during coal formation. The amount of </w:t>
      </w:r>
      <w:r w:rsidRPr="00D9348B">
        <w:rPr>
          <w:rFonts w:cs="Calibri"/>
        </w:rPr>
        <w:t>CH</w:t>
      </w:r>
      <w:r w:rsidRPr="00D9348B">
        <w:rPr>
          <w:rFonts w:cs="Calibri"/>
          <w:vertAlign w:val="subscript"/>
        </w:rPr>
        <w:t>4</w:t>
      </w:r>
      <w:r w:rsidRPr="00D9348B">
        <w:rPr>
          <w:rFonts w:cs="Calibri"/>
          <w:lang w:eastAsia="en-GB"/>
        </w:rPr>
        <w:t xml:space="preserve"> released during coal mining is dependent on the coal grade and the depth of the coal seam. This includes the emissions from post-underground mining activities such as coal processing, transportation and use. In </w:t>
      </w:r>
      <w:r w:rsidRPr="00D9348B">
        <w:rPr>
          <w:rFonts w:cs="Calibri"/>
        </w:rPr>
        <w:t>2018</w:t>
      </w:r>
      <w:r w:rsidRPr="00D9348B">
        <w:rPr>
          <w:rFonts w:cs="Calibri"/>
          <w:lang w:eastAsia="en-GB"/>
        </w:rPr>
        <w:t xml:space="preserve">, New Zealand coal production was 3.2 million tonnes, similar to the </w:t>
      </w:r>
      <w:r w:rsidRPr="00D9348B">
        <w:rPr>
          <w:rFonts w:cs="Calibri"/>
        </w:rPr>
        <w:t>2015</w:t>
      </w:r>
      <w:r w:rsidRPr="00D9348B">
        <w:rPr>
          <w:rFonts w:cs="Calibri"/>
          <w:lang w:eastAsia="en-GB"/>
        </w:rPr>
        <w:t xml:space="preserve"> production level. T</w:t>
      </w:r>
      <w:r w:rsidRPr="00D9348B">
        <w:rPr>
          <w:rFonts w:cs="Calibri"/>
        </w:rPr>
        <w:t xml:space="preserve">here are less than 20 active coal mines operating New Zealand; as of 2019, none are underground. The two largest open-cast operations, at Stockton and Rotowaro, account for the majority of national production. For further information and data on the coal mining industry refer to </w:t>
      </w:r>
      <w:r w:rsidRPr="00D9348B">
        <w:rPr>
          <w:rFonts w:cs="Calibri"/>
          <w:i/>
        </w:rPr>
        <w:t>Energy in New Zealand</w:t>
      </w:r>
      <w:r w:rsidRPr="00D9348B">
        <w:rPr>
          <w:rFonts w:cs="Calibri"/>
        </w:rPr>
        <w:t xml:space="preserve"> (MBIE, 2019).</w:t>
      </w:r>
    </w:p>
    <w:p w14:paraId="7677F12B" w14:textId="77777777" w:rsidR="00E20138" w:rsidRPr="00D9348B" w:rsidRDefault="00E20138" w:rsidP="009C0F3A">
      <w:pPr>
        <w:pStyle w:val="BodyText"/>
        <w:spacing w:before="100"/>
        <w:rPr>
          <w:rFonts w:cs="Calibri"/>
          <w:lang w:eastAsia="en-GB"/>
        </w:rPr>
      </w:pPr>
      <w:r w:rsidRPr="00D9348B">
        <w:rPr>
          <w:rFonts w:cs="Calibri"/>
          <w:lang w:eastAsia="en-GB"/>
        </w:rPr>
        <w:t xml:space="preserve">At the end of </w:t>
      </w:r>
      <w:r w:rsidRPr="00D9348B">
        <w:rPr>
          <w:rFonts w:cs="Calibri"/>
        </w:rPr>
        <w:t>2018</w:t>
      </w:r>
      <w:r w:rsidRPr="00D9348B">
        <w:rPr>
          <w:rFonts w:cs="Calibri"/>
          <w:lang w:eastAsia="en-GB"/>
        </w:rPr>
        <w:t xml:space="preserve">, there was no known flaring or capture of </w:t>
      </w:r>
      <w:r w:rsidRPr="00D9348B">
        <w:rPr>
          <w:rFonts w:cs="Calibri"/>
        </w:rPr>
        <w:t>CH</w:t>
      </w:r>
      <w:r w:rsidRPr="00D9348B">
        <w:rPr>
          <w:rFonts w:cs="Calibri"/>
          <w:vertAlign w:val="subscript"/>
        </w:rPr>
        <w:t>4</w:t>
      </w:r>
      <w:r w:rsidRPr="00D9348B">
        <w:rPr>
          <w:rFonts w:cs="Calibri"/>
        </w:rPr>
        <w:t xml:space="preserve"> </w:t>
      </w:r>
      <w:r w:rsidRPr="00D9348B">
        <w:rPr>
          <w:rFonts w:cs="Calibri"/>
          <w:lang w:eastAsia="en-GB"/>
        </w:rPr>
        <w:t>at coal mines in New Zealand. Pilot schemes of both coal seam gas and underground coal gasification began in 2012, but these projects have not progressed.</w:t>
      </w:r>
    </w:p>
    <w:p w14:paraId="726C0138" w14:textId="77777777" w:rsidR="00E20138" w:rsidRPr="00D9348B" w:rsidRDefault="00E20138" w:rsidP="00865BDB">
      <w:pPr>
        <w:pStyle w:val="Heading4"/>
        <w:rPr>
          <w:lang w:eastAsia="en-GB"/>
        </w:rPr>
      </w:pPr>
      <w:r w:rsidRPr="00D9348B">
        <w:rPr>
          <w:lang w:eastAsia="en-GB"/>
        </w:rPr>
        <w:t>Methodological issues</w:t>
      </w:r>
    </w:p>
    <w:p w14:paraId="3477B243" w14:textId="77777777" w:rsidR="00E20138" w:rsidRPr="00D9348B" w:rsidRDefault="00E20138" w:rsidP="00E20138">
      <w:pPr>
        <w:pStyle w:val="BodyText"/>
        <w:rPr>
          <w:rFonts w:cs="Calibri"/>
          <w:lang w:eastAsia="ko-KR"/>
        </w:rPr>
      </w:pPr>
      <w:r w:rsidRPr="00D9348B">
        <w:rPr>
          <w:rFonts w:cs="Calibri"/>
          <w:lang w:eastAsia="en-GB"/>
        </w:rPr>
        <w:t xml:space="preserve">The New Zealand-specific emission factor for underground mining of sub-bituminous coal is used to calculate </w:t>
      </w:r>
      <w:r w:rsidRPr="00D9348B">
        <w:rPr>
          <w:rFonts w:cs="Calibri"/>
        </w:rPr>
        <w:t>CH</w:t>
      </w:r>
      <w:r w:rsidRPr="00D9348B">
        <w:rPr>
          <w:rFonts w:cs="Calibri"/>
          <w:vertAlign w:val="subscript"/>
        </w:rPr>
        <w:t>4</w:t>
      </w:r>
      <w:r w:rsidRPr="00D9348B">
        <w:rPr>
          <w:rFonts w:cs="Calibri"/>
          <w:sz w:val="14"/>
          <w:szCs w:val="14"/>
          <w:lang w:eastAsia="en-GB"/>
        </w:rPr>
        <w:t xml:space="preserve"> </w:t>
      </w:r>
      <w:r w:rsidRPr="00D9348B">
        <w:rPr>
          <w:rFonts w:cs="Calibri"/>
          <w:lang w:eastAsia="en-GB"/>
        </w:rPr>
        <w:t>emissions (Beamish and Vance, 1992). T</w:t>
      </w:r>
      <w:r w:rsidRPr="00D9348B">
        <w:rPr>
          <w:rFonts w:cs="Calibri"/>
          <w:lang w:eastAsia="ko-KR"/>
        </w:rPr>
        <w:t>he sub-bituminous emission factor (EF) derived from Beamish and Vance is considered to be reliable because the EF (12.1 t/kt) is:</w:t>
      </w:r>
    </w:p>
    <w:p w14:paraId="6EFE83FC" w14:textId="77777777" w:rsidR="00E20138" w:rsidRPr="00D9348B" w:rsidRDefault="00E20138" w:rsidP="00030F27">
      <w:pPr>
        <w:pStyle w:val="Sub-lista"/>
      </w:pPr>
      <w:r w:rsidRPr="00D9348B">
        <w:t>well within the 2006 IPCC default range of 6.7–16.75 t/kt</w:t>
      </w:r>
    </w:p>
    <w:p w14:paraId="351A5DF9" w14:textId="77777777" w:rsidR="00E20138" w:rsidRPr="00D9348B" w:rsidRDefault="00E20138" w:rsidP="00030F27">
      <w:pPr>
        <w:pStyle w:val="Sub-lista"/>
      </w:pPr>
      <w:proofErr w:type="gramStart"/>
      <w:r w:rsidRPr="00D9348B">
        <w:t>largely</w:t>
      </w:r>
      <w:proofErr w:type="gramEnd"/>
      <w:r w:rsidRPr="00D9348B">
        <w:t xml:space="preserve"> based on data for the most significant sub-bituminous coal mine in New Zealand (Huntly East mine), which has continued production since 1988 and has remained the most significant producing mine.</w:t>
      </w:r>
    </w:p>
    <w:p w14:paraId="4F93E403" w14:textId="77777777" w:rsidR="00E20138" w:rsidRPr="00D9348B" w:rsidRDefault="00E20138" w:rsidP="00E20138">
      <w:pPr>
        <w:pStyle w:val="BodyText"/>
        <w:rPr>
          <w:rFonts w:cs="Calibri"/>
          <w:lang w:eastAsia="ko-KR"/>
        </w:rPr>
      </w:pPr>
      <w:r w:rsidRPr="00D9348B">
        <w:rPr>
          <w:rFonts w:cs="Calibri"/>
          <w:lang w:eastAsia="ko-KR"/>
        </w:rPr>
        <w:t>The EF for underground mining of bituminous coal is taken from the 2006 IPCC Guidelines. It is noted that any bituminous EF derived from Beamish and Vance (1992) would not be reliable, and should not be used, for the following reasons.</w:t>
      </w:r>
    </w:p>
    <w:p w14:paraId="779F16A9" w14:textId="77777777" w:rsidR="00E20138" w:rsidRPr="00D9348B" w:rsidRDefault="00E20138" w:rsidP="00771A8F">
      <w:pPr>
        <w:pStyle w:val="Sub-lista"/>
        <w:numPr>
          <w:ilvl w:val="0"/>
          <w:numId w:val="33"/>
        </w:numPr>
      </w:pPr>
      <w:r w:rsidRPr="00D9348B">
        <w:t>The derived EF (35.28 t CH</w:t>
      </w:r>
      <w:r w:rsidRPr="00D9348B">
        <w:rPr>
          <w:vertAlign w:val="subscript"/>
        </w:rPr>
        <w:t>4</w:t>
      </w:r>
      <w:r w:rsidRPr="00D9348B">
        <w:t>/kt) is more than double the high default 2006 IPCC value. Using such an EF that is so far out of line with the default values would require a strong justification.</w:t>
      </w:r>
    </w:p>
    <w:p w14:paraId="2D354DDA" w14:textId="77777777" w:rsidR="00E20138" w:rsidRPr="00D9348B" w:rsidRDefault="00E20138" w:rsidP="00030F27">
      <w:pPr>
        <w:pStyle w:val="Sub-lista"/>
      </w:pPr>
      <w:r w:rsidRPr="00D9348B">
        <w:t>New Zealand already has the highest implied EF for underground mining among Annex I Parties. Dramatically increasing the EF further still would not be in the interests of comparability.</w:t>
      </w:r>
    </w:p>
    <w:p w14:paraId="70F872CB" w14:textId="77777777" w:rsidR="00E20138" w:rsidRPr="00D9348B" w:rsidRDefault="00E20138" w:rsidP="00030F27">
      <w:pPr>
        <w:pStyle w:val="Sub-lista"/>
      </w:pPr>
      <w:r w:rsidRPr="00D9348B">
        <w:t>The bituminous data are based on production (in 1988) of only 125 kt and so represent a very small sample size (compared with the sub-bituminous mines, where the data are based on production of 655 kt). The small sample size significantly increases the uncertainty.</w:t>
      </w:r>
    </w:p>
    <w:p w14:paraId="0658C458" w14:textId="77777777" w:rsidR="00E20138" w:rsidRPr="00D9348B" w:rsidRDefault="00E20138" w:rsidP="00030F27">
      <w:pPr>
        <w:pStyle w:val="Sub-lista"/>
      </w:pPr>
      <w:r w:rsidRPr="00D9348B">
        <w:lastRenderedPageBreak/>
        <w:t>Beamish and Vance’s study is based on data from 1988, for just eight bituminous coal mines. These data are out of date, because all of these mines are no longer producing, and bituminous coal production comes from entirely different underground mines, to which the suggested EFs may not be applicable.</w:t>
      </w:r>
    </w:p>
    <w:p w14:paraId="16711B58" w14:textId="77777777" w:rsidR="00E20138" w:rsidRPr="00D9348B" w:rsidRDefault="00E20138" w:rsidP="00E20138">
      <w:pPr>
        <w:pStyle w:val="BodyText"/>
        <w:rPr>
          <w:rFonts w:cs="Calibri"/>
          <w:lang w:eastAsia="en-GB"/>
        </w:rPr>
      </w:pPr>
      <w:r w:rsidRPr="00D9348B">
        <w:rPr>
          <w:rFonts w:cs="Calibri"/>
          <w:lang w:eastAsia="en-GB"/>
        </w:rPr>
        <w:t>Emission factors for the other subcategories, for example, surface mining, are sourced from the 2006 IPCC Guidelines.</w:t>
      </w:r>
    </w:p>
    <w:p w14:paraId="0C32BB5D" w14:textId="77777777" w:rsidR="00E20138" w:rsidRPr="00D9348B" w:rsidRDefault="00E20138" w:rsidP="00E20138">
      <w:pPr>
        <w:pStyle w:val="Heading5"/>
        <w:rPr>
          <w:rFonts w:cs="Calibri"/>
          <w:lang w:eastAsia="en-GB"/>
        </w:rPr>
      </w:pPr>
      <w:r w:rsidRPr="00D9348B">
        <w:rPr>
          <w:rFonts w:cs="Calibri"/>
          <w:lang w:eastAsia="en-GB"/>
        </w:rPr>
        <w:t>Activity data</w:t>
      </w:r>
    </w:p>
    <w:p w14:paraId="114AA1B3" w14:textId="77777777" w:rsidR="00E20138" w:rsidRPr="00D9348B" w:rsidRDefault="00E20138" w:rsidP="00E20138">
      <w:pPr>
        <w:pStyle w:val="BodyText"/>
        <w:rPr>
          <w:rFonts w:cs="Calibri"/>
          <w:lang w:eastAsia="en-GB"/>
        </w:rPr>
      </w:pPr>
      <w:r w:rsidRPr="00D9348B">
        <w:rPr>
          <w:rFonts w:cs="Calibri"/>
          <w:lang w:eastAsia="en-GB"/>
        </w:rPr>
        <w:t>Activity data for this category are collected from MBIE’s coal production survey. This survey gathers quarterly data on coal production by mine type (underground and/or surface) and rank (coking, bituminous, sub-bituminous, lignite).</w:t>
      </w:r>
    </w:p>
    <w:p w14:paraId="772A0B5E" w14:textId="77777777" w:rsidR="00E20138" w:rsidRPr="00D9348B" w:rsidRDefault="00E20138" w:rsidP="00E20138">
      <w:pPr>
        <w:pStyle w:val="Heading5"/>
        <w:rPr>
          <w:rFonts w:cs="Calibri"/>
          <w:lang w:eastAsia="en-GB"/>
        </w:rPr>
      </w:pPr>
      <w:r w:rsidRPr="00D9348B">
        <w:rPr>
          <w:rFonts w:cs="Calibri"/>
          <w:lang w:eastAsia="en-GB"/>
        </w:rPr>
        <w:t>Abandoned underground mines (1.B.1.a.1.iii)</w:t>
      </w:r>
    </w:p>
    <w:p w14:paraId="23030FF5" w14:textId="77777777" w:rsidR="00E20138" w:rsidRPr="00D9348B" w:rsidRDefault="00E20138" w:rsidP="00E20138">
      <w:pPr>
        <w:pStyle w:val="BodyText"/>
        <w:rPr>
          <w:rFonts w:cs="Calibri"/>
        </w:rPr>
      </w:pPr>
      <w:r w:rsidRPr="00D9348B">
        <w:rPr>
          <w:rFonts w:cs="Calibri"/>
          <w:lang w:eastAsia="en-GB"/>
        </w:rPr>
        <w:t>MBIE has been conducting an investigation (including seeking expert advice) to ascertain whether or not activity in this category is occurring. According to the 2006 IPCC Guidelines, mines of only a few acres in size should be disregarded, and, additionally, non-gassy mines and flooded mines are presumed to have negligible emissions. Most New Zealand mines are small by European standards and can be disregarded. The first stage of the project was completed in 2016 and concluded that the activity is not occurring (NO) in the North Island: details are given in table 3.4.2. The second stage of the project, focusing on collating and digitising mine data for the South Island, commenced in December 2019 and is ongoing. Results will be reported in the 2021 submission. A mine plans database has been made available online (</w:t>
      </w:r>
      <w:hyperlink r:id="rId80" w:history="1">
        <w:r w:rsidRPr="00D9348B">
          <w:rPr>
            <w:rStyle w:val="Hyperlink"/>
            <w:rFonts w:cs="Calibri"/>
            <w:color w:val="auto"/>
          </w:rPr>
          <w:t>www.nzpam.govt.nz/maps-geoscience/nz-mine-plans)</w:t>
        </w:r>
      </w:hyperlink>
      <w:r w:rsidRPr="00D9348B">
        <w:rPr>
          <w:rFonts w:cs="Calibri"/>
        </w:rPr>
        <w:t>, although this is still a work in progress.</w:t>
      </w:r>
    </w:p>
    <w:p w14:paraId="4787F8C1" w14:textId="77777777" w:rsidR="00E20138" w:rsidRPr="00D9348B" w:rsidRDefault="00E20138" w:rsidP="00E20138">
      <w:pPr>
        <w:pStyle w:val="BodyText"/>
        <w:rPr>
          <w:rFonts w:cs="Calibri"/>
          <w:lang w:eastAsia="en-GB"/>
        </w:rPr>
      </w:pPr>
      <w:r w:rsidRPr="00D9348B">
        <w:rPr>
          <w:rFonts w:cs="Calibri"/>
          <w:lang w:eastAsia="en-GB"/>
        </w:rPr>
        <w:t>Activity data in the form of CH</w:t>
      </w:r>
      <w:r w:rsidRPr="00D9348B">
        <w:rPr>
          <w:rFonts w:cs="Calibri"/>
          <w:vertAlign w:val="subscript"/>
          <w:lang w:eastAsia="en-GB"/>
        </w:rPr>
        <w:t>4</w:t>
      </w:r>
      <w:r w:rsidRPr="00D9348B">
        <w:rPr>
          <w:rFonts w:cs="Calibri"/>
          <w:lang w:eastAsia="en-GB"/>
        </w:rPr>
        <w:t xml:space="preserve"> output derived from mine ventilation measurements have been obtained from mine operators for those mines where data exist. Those mines have now closed and are flooded. Source-specific details are not provided so as to maintain confidentiality. Recovery and/or flaring of CH</w:t>
      </w:r>
      <w:r w:rsidRPr="00D9348B">
        <w:rPr>
          <w:rFonts w:cs="Calibri"/>
          <w:vertAlign w:val="subscript"/>
          <w:lang w:eastAsia="en-GB"/>
        </w:rPr>
        <w:t>4</w:t>
      </w:r>
      <w:r w:rsidRPr="00D9348B">
        <w:rPr>
          <w:rFonts w:cs="Calibri"/>
          <w:lang w:eastAsia="en-GB"/>
        </w:rPr>
        <w:t xml:space="preserve"> from abandoned mines does not occur.</w:t>
      </w:r>
    </w:p>
    <w:p w14:paraId="465EDA48" w14:textId="77777777" w:rsidR="00E20138" w:rsidRPr="00D9348B" w:rsidRDefault="00E20138" w:rsidP="00E20138">
      <w:pPr>
        <w:pStyle w:val="Table"/>
        <w:rPr>
          <w:rFonts w:cs="Calibri"/>
          <w:iCs/>
          <w:lang w:eastAsia="en-GB"/>
        </w:rPr>
      </w:pPr>
      <w:bookmarkStart w:id="438" w:name="_Toc443060848"/>
      <w:bookmarkStart w:id="439" w:name="_Toc451176064"/>
      <w:bookmarkStart w:id="440" w:name="_Toc481751490"/>
      <w:bookmarkStart w:id="441" w:name="_Toc507496593"/>
      <w:bookmarkStart w:id="442" w:name="_Toc36224527"/>
      <w:r w:rsidRPr="00D9348B">
        <w:rPr>
          <w:rFonts w:cs="Calibri"/>
        </w:rPr>
        <w:t xml:space="preserve">Table 3.4.2 </w:t>
      </w:r>
      <w:r w:rsidRPr="00D9348B">
        <w:rPr>
          <w:rFonts w:cs="Calibri"/>
        </w:rPr>
        <w:tab/>
        <w:t>Details of abandoned underground mines in the North Island</w:t>
      </w:r>
      <w:bookmarkEnd w:id="438"/>
      <w:bookmarkEnd w:id="439"/>
      <w:bookmarkEnd w:id="440"/>
      <w:bookmarkEnd w:id="441"/>
      <w:bookmarkEnd w:id="442"/>
      <w:r w:rsidRPr="00D9348B">
        <w:rPr>
          <w:rFonts w:cs="Calibri"/>
          <w:iCs/>
          <w:lang w:eastAsia="en-GB"/>
        </w:rPr>
        <w:t xml:space="preserve"> </w:t>
      </w:r>
    </w:p>
    <w:tbl>
      <w:tblPr>
        <w:tblW w:w="8562" w:type="dxa"/>
        <w:tblInd w:w="108" w:type="dxa"/>
        <w:tblBorders>
          <w:top w:val="single" w:sz="4" w:space="0" w:color="365F91"/>
          <w:bottom w:val="single" w:sz="4" w:space="0" w:color="365F91"/>
          <w:insideH w:val="single" w:sz="4" w:space="0" w:color="365F91"/>
        </w:tblBorders>
        <w:tblLayout w:type="fixed"/>
        <w:tblCellMar>
          <w:right w:w="85" w:type="dxa"/>
        </w:tblCellMar>
        <w:tblLook w:val="04A0" w:firstRow="1" w:lastRow="0" w:firstColumn="1" w:lastColumn="0" w:noHBand="0" w:noVBand="1"/>
      </w:tblPr>
      <w:tblGrid>
        <w:gridCol w:w="1568"/>
        <w:gridCol w:w="1656"/>
        <w:gridCol w:w="5338"/>
      </w:tblGrid>
      <w:tr w:rsidR="00E20138" w:rsidRPr="00D9348B" w14:paraId="12CB75D3" w14:textId="77777777" w:rsidTr="00DB330E">
        <w:trPr>
          <w:cantSplit/>
        </w:trPr>
        <w:tc>
          <w:tcPr>
            <w:tcW w:w="1474" w:type="dxa"/>
            <w:shd w:val="clear" w:color="auto" w:fill="365F91"/>
            <w:vAlign w:val="bottom"/>
          </w:tcPr>
          <w:p w14:paraId="3FE8D1A6" w14:textId="77777777" w:rsidR="00E20138" w:rsidRPr="00D9348B" w:rsidRDefault="00E20138" w:rsidP="00DB330E">
            <w:pPr>
              <w:pStyle w:val="TableTextBold"/>
              <w:keepNext/>
              <w:spacing w:before="40" w:after="40"/>
              <w:rPr>
                <w:rFonts w:cs="Calibri"/>
                <w:noProof w:val="0"/>
                <w:color w:val="FFFFFF"/>
              </w:rPr>
            </w:pPr>
            <w:r w:rsidRPr="00D9348B">
              <w:rPr>
                <w:rFonts w:cs="Calibri"/>
                <w:noProof w:val="0"/>
                <w:color w:val="FFFFFF"/>
              </w:rPr>
              <w:t>Region/coalfield</w:t>
            </w:r>
          </w:p>
        </w:tc>
        <w:tc>
          <w:tcPr>
            <w:tcW w:w="1557" w:type="dxa"/>
            <w:shd w:val="clear" w:color="auto" w:fill="365F91"/>
            <w:vAlign w:val="bottom"/>
          </w:tcPr>
          <w:p w14:paraId="61BFB0CF" w14:textId="77777777" w:rsidR="00E20138" w:rsidRPr="00D9348B" w:rsidRDefault="00E20138" w:rsidP="00DB330E">
            <w:pPr>
              <w:pStyle w:val="TableTextBold"/>
              <w:spacing w:before="40" w:after="40"/>
              <w:rPr>
                <w:rFonts w:cs="Calibri"/>
                <w:noProof w:val="0"/>
                <w:color w:val="FFFFFF"/>
              </w:rPr>
            </w:pPr>
            <w:r w:rsidRPr="00D9348B">
              <w:rPr>
                <w:rFonts w:cs="Calibri"/>
                <w:noProof w:val="0"/>
                <w:color w:val="FFFFFF"/>
              </w:rPr>
              <w:t>Significant mine</w:t>
            </w:r>
          </w:p>
        </w:tc>
        <w:tc>
          <w:tcPr>
            <w:tcW w:w="5019" w:type="dxa"/>
            <w:shd w:val="clear" w:color="auto" w:fill="365F91"/>
            <w:vAlign w:val="bottom"/>
          </w:tcPr>
          <w:p w14:paraId="11EED76F" w14:textId="77777777" w:rsidR="00E20138" w:rsidRPr="00D9348B" w:rsidRDefault="00E20138" w:rsidP="00DB330E">
            <w:pPr>
              <w:pStyle w:val="TableTextBold"/>
              <w:spacing w:before="40" w:after="40"/>
              <w:rPr>
                <w:rFonts w:cs="Calibri"/>
                <w:noProof w:val="0"/>
                <w:color w:val="FFFFFF"/>
              </w:rPr>
            </w:pPr>
            <w:r w:rsidRPr="00D9348B">
              <w:rPr>
                <w:rFonts w:cs="Calibri"/>
                <w:noProof w:val="0"/>
                <w:color w:val="FFFFFF"/>
              </w:rPr>
              <w:t>Status</w:t>
            </w:r>
          </w:p>
        </w:tc>
      </w:tr>
      <w:tr w:rsidR="00E20138" w:rsidRPr="00D9348B" w14:paraId="47063EC9" w14:textId="77777777" w:rsidTr="00DB330E">
        <w:trPr>
          <w:cantSplit/>
          <w:trHeight w:val="250"/>
        </w:trPr>
        <w:tc>
          <w:tcPr>
            <w:tcW w:w="1474" w:type="dxa"/>
            <w:tcBorders>
              <w:bottom w:val="single" w:sz="4" w:space="0" w:color="365F91"/>
            </w:tcBorders>
          </w:tcPr>
          <w:p w14:paraId="2273D17B" w14:textId="77777777" w:rsidR="00E20138" w:rsidRPr="00D9348B" w:rsidRDefault="00E20138" w:rsidP="00DB330E">
            <w:pPr>
              <w:pStyle w:val="TableText"/>
              <w:keepNext/>
              <w:spacing w:before="40" w:after="40"/>
              <w:rPr>
                <w:rFonts w:cs="Calibri"/>
              </w:rPr>
            </w:pPr>
            <w:r w:rsidRPr="00D9348B">
              <w:rPr>
                <w:rFonts w:cs="Calibri"/>
              </w:rPr>
              <w:t>Northland</w:t>
            </w:r>
          </w:p>
        </w:tc>
        <w:tc>
          <w:tcPr>
            <w:tcW w:w="1557" w:type="dxa"/>
          </w:tcPr>
          <w:p w14:paraId="50382D81" w14:textId="77777777" w:rsidR="00E20138" w:rsidRPr="00D9348B" w:rsidRDefault="00E20138" w:rsidP="00DB330E">
            <w:pPr>
              <w:pStyle w:val="TableText"/>
              <w:spacing w:before="40" w:after="40"/>
              <w:rPr>
                <w:rFonts w:cs="Calibri"/>
              </w:rPr>
            </w:pPr>
            <w:r w:rsidRPr="00D9348B">
              <w:rPr>
                <w:rFonts w:cs="Calibri"/>
              </w:rPr>
              <w:t>Kamo</w:t>
            </w:r>
          </w:p>
        </w:tc>
        <w:tc>
          <w:tcPr>
            <w:tcW w:w="5019" w:type="dxa"/>
          </w:tcPr>
          <w:p w14:paraId="16369531" w14:textId="77777777" w:rsidR="00E20138" w:rsidRPr="00D9348B" w:rsidRDefault="00E20138" w:rsidP="00DB330E">
            <w:pPr>
              <w:pStyle w:val="TableText"/>
              <w:spacing w:before="40" w:after="40"/>
              <w:rPr>
                <w:rFonts w:cs="Calibri"/>
              </w:rPr>
            </w:pPr>
            <w:r w:rsidRPr="00D9348B">
              <w:rPr>
                <w:rFonts w:cs="Calibri"/>
              </w:rPr>
              <w:t>Only one significant mine; flooded</w:t>
            </w:r>
          </w:p>
        </w:tc>
      </w:tr>
      <w:tr w:rsidR="00E20138" w:rsidRPr="00D9348B" w14:paraId="51BED1E1" w14:textId="77777777" w:rsidTr="00DB330E">
        <w:trPr>
          <w:cantSplit/>
        </w:trPr>
        <w:tc>
          <w:tcPr>
            <w:tcW w:w="1474" w:type="dxa"/>
            <w:tcBorders>
              <w:bottom w:val="nil"/>
            </w:tcBorders>
          </w:tcPr>
          <w:p w14:paraId="55A37185" w14:textId="77777777" w:rsidR="00E20138" w:rsidRPr="00D9348B" w:rsidRDefault="00E20138" w:rsidP="00DB330E">
            <w:pPr>
              <w:pStyle w:val="TableText"/>
              <w:spacing w:before="40" w:after="40"/>
              <w:rPr>
                <w:rFonts w:cs="Calibri"/>
              </w:rPr>
            </w:pPr>
            <w:r w:rsidRPr="00D9348B">
              <w:rPr>
                <w:rFonts w:cs="Calibri"/>
              </w:rPr>
              <w:t>Waikato</w:t>
            </w:r>
          </w:p>
        </w:tc>
        <w:tc>
          <w:tcPr>
            <w:tcW w:w="1557" w:type="dxa"/>
          </w:tcPr>
          <w:p w14:paraId="7A46E69C" w14:textId="77777777" w:rsidR="00E20138" w:rsidRPr="00D9348B" w:rsidRDefault="00E20138" w:rsidP="00DB330E">
            <w:pPr>
              <w:pStyle w:val="TableText"/>
              <w:spacing w:before="40" w:after="40"/>
              <w:rPr>
                <w:rFonts w:cs="Calibri"/>
              </w:rPr>
            </w:pPr>
            <w:r w:rsidRPr="00D9348B">
              <w:rPr>
                <w:rFonts w:cs="Calibri"/>
              </w:rPr>
              <w:t>Rotowaro mines</w:t>
            </w:r>
          </w:p>
        </w:tc>
        <w:tc>
          <w:tcPr>
            <w:tcW w:w="5019" w:type="dxa"/>
          </w:tcPr>
          <w:p w14:paraId="0D09F313" w14:textId="77777777" w:rsidR="00E20138" w:rsidRPr="00D9348B" w:rsidRDefault="00E20138" w:rsidP="00DB330E">
            <w:pPr>
              <w:pStyle w:val="TableText"/>
              <w:spacing w:before="40" w:after="40"/>
              <w:rPr>
                <w:rFonts w:cs="Calibri"/>
              </w:rPr>
            </w:pPr>
            <w:r w:rsidRPr="00D9348B">
              <w:rPr>
                <w:rFonts w:cs="Calibri"/>
              </w:rPr>
              <w:t>Underground mines either flooded or subsequently opencast mined</w:t>
            </w:r>
          </w:p>
        </w:tc>
      </w:tr>
      <w:tr w:rsidR="00E20138" w:rsidRPr="00D9348B" w14:paraId="543A1482" w14:textId="77777777" w:rsidTr="00DB330E">
        <w:trPr>
          <w:cantSplit/>
        </w:trPr>
        <w:tc>
          <w:tcPr>
            <w:tcW w:w="1474" w:type="dxa"/>
            <w:tcBorders>
              <w:top w:val="nil"/>
              <w:bottom w:val="nil"/>
            </w:tcBorders>
          </w:tcPr>
          <w:p w14:paraId="20868480" w14:textId="77777777" w:rsidR="00E20138" w:rsidRPr="00D9348B" w:rsidRDefault="00E20138" w:rsidP="00DB330E">
            <w:pPr>
              <w:pStyle w:val="TableText"/>
              <w:spacing w:before="40" w:after="40"/>
              <w:rPr>
                <w:rFonts w:cs="Calibri"/>
              </w:rPr>
            </w:pPr>
          </w:p>
        </w:tc>
        <w:tc>
          <w:tcPr>
            <w:tcW w:w="1557" w:type="dxa"/>
          </w:tcPr>
          <w:p w14:paraId="6395DB38" w14:textId="77777777" w:rsidR="00E20138" w:rsidRPr="00D9348B" w:rsidRDefault="00E20138" w:rsidP="00DB330E">
            <w:pPr>
              <w:pStyle w:val="TableText"/>
              <w:spacing w:before="40" w:after="40"/>
              <w:rPr>
                <w:rFonts w:cs="Calibri"/>
              </w:rPr>
            </w:pPr>
            <w:r w:rsidRPr="00D9348B">
              <w:rPr>
                <w:rFonts w:cs="Calibri"/>
              </w:rPr>
              <w:t>Huntly West</w:t>
            </w:r>
          </w:p>
        </w:tc>
        <w:tc>
          <w:tcPr>
            <w:tcW w:w="5019" w:type="dxa"/>
          </w:tcPr>
          <w:p w14:paraId="0707E071" w14:textId="77777777" w:rsidR="00E20138" w:rsidRPr="00D9348B" w:rsidRDefault="00E20138" w:rsidP="00DB330E">
            <w:pPr>
              <w:pStyle w:val="TableText"/>
              <w:spacing w:before="40" w:after="40"/>
              <w:rPr>
                <w:rFonts w:cs="Calibri"/>
              </w:rPr>
            </w:pPr>
            <w:r w:rsidRPr="00D9348B">
              <w:rPr>
                <w:rFonts w:cs="Calibri"/>
              </w:rPr>
              <w:t>Flooded</w:t>
            </w:r>
          </w:p>
        </w:tc>
      </w:tr>
      <w:tr w:rsidR="00E20138" w:rsidRPr="00D9348B" w14:paraId="2DDE9879" w14:textId="77777777" w:rsidTr="00DB330E">
        <w:trPr>
          <w:cantSplit/>
        </w:trPr>
        <w:tc>
          <w:tcPr>
            <w:tcW w:w="1474" w:type="dxa"/>
            <w:tcBorders>
              <w:top w:val="nil"/>
            </w:tcBorders>
          </w:tcPr>
          <w:p w14:paraId="5331A7AD" w14:textId="77777777" w:rsidR="00E20138" w:rsidRPr="00D9348B" w:rsidRDefault="00E20138" w:rsidP="00DB330E">
            <w:pPr>
              <w:pStyle w:val="TableText"/>
              <w:spacing w:before="40" w:after="40"/>
              <w:rPr>
                <w:rFonts w:cs="Calibri"/>
              </w:rPr>
            </w:pPr>
          </w:p>
        </w:tc>
        <w:tc>
          <w:tcPr>
            <w:tcW w:w="1557" w:type="dxa"/>
          </w:tcPr>
          <w:p w14:paraId="32FA79A1" w14:textId="77777777" w:rsidR="00E20138" w:rsidRPr="00D9348B" w:rsidRDefault="00E20138" w:rsidP="00DB330E">
            <w:pPr>
              <w:pStyle w:val="TableText"/>
              <w:spacing w:before="40" w:after="40"/>
              <w:rPr>
                <w:rFonts w:cs="Calibri"/>
              </w:rPr>
            </w:pPr>
            <w:r w:rsidRPr="00D9348B">
              <w:rPr>
                <w:rFonts w:cs="Calibri"/>
              </w:rPr>
              <w:t>Taupiri/Ralphs</w:t>
            </w:r>
          </w:p>
        </w:tc>
        <w:tc>
          <w:tcPr>
            <w:tcW w:w="5019" w:type="dxa"/>
          </w:tcPr>
          <w:p w14:paraId="4E18F0E6" w14:textId="77777777" w:rsidR="00E20138" w:rsidRPr="00D9348B" w:rsidRDefault="00E20138" w:rsidP="00DB330E">
            <w:pPr>
              <w:pStyle w:val="TableText"/>
              <w:spacing w:before="40" w:after="40"/>
              <w:rPr>
                <w:rFonts w:cs="Calibri"/>
              </w:rPr>
            </w:pPr>
            <w:r w:rsidRPr="00D9348B">
              <w:rPr>
                <w:rFonts w:cs="Calibri"/>
              </w:rPr>
              <w:t>Mines under Huntly township; flooded</w:t>
            </w:r>
          </w:p>
        </w:tc>
      </w:tr>
      <w:tr w:rsidR="00E20138" w:rsidRPr="00D9348B" w14:paraId="69AEB2CE" w14:textId="77777777" w:rsidTr="00DB330E">
        <w:trPr>
          <w:cantSplit/>
        </w:trPr>
        <w:tc>
          <w:tcPr>
            <w:tcW w:w="1474" w:type="dxa"/>
          </w:tcPr>
          <w:p w14:paraId="4F8C2988" w14:textId="77777777" w:rsidR="00E20138" w:rsidRPr="00D9348B" w:rsidRDefault="00E20138" w:rsidP="00DB330E">
            <w:pPr>
              <w:pStyle w:val="TableText"/>
              <w:spacing w:before="40" w:after="40"/>
              <w:rPr>
                <w:rFonts w:cs="Calibri"/>
              </w:rPr>
            </w:pPr>
            <w:r w:rsidRPr="00D9348B">
              <w:rPr>
                <w:rFonts w:cs="Calibri"/>
              </w:rPr>
              <w:t>Taranaki</w:t>
            </w:r>
          </w:p>
        </w:tc>
        <w:tc>
          <w:tcPr>
            <w:tcW w:w="1557" w:type="dxa"/>
          </w:tcPr>
          <w:p w14:paraId="4F221C80" w14:textId="77777777" w:rsidR="00E20138" w:rsidRPr="00D9348B" w:rsidRDefault="00E20138" w:rsidP="00DB330E">
            <w:pPr>
              <w:pStyle w:val="TableText"/>
              <w:spacing w:before="40" w:after="40"/>
              <w:rPr>
                <w:rFonts w:cs="Calibri"/>
              </w:rPr>
            </w:pPr>
            <w:r w:rsidRPr="00D9348B">
              <w:rPr>
                <w:rFonts w:cs="Calibri"/>
              </w:rPr>
              <w:t>Tatu</w:t>
            </w:r>
          </w:p>
        </w:tc>
        <w:tc>
          <w:tcPr>
            <w:tcW w:w="5019" w:type="dxa"/>
          </w:tcPr>
          <w:p w14:paraId="6AAC2906" w14:textId="77777777" w:rsidR="00E20138" w:rsidRPr="00D9348B" w:rsidRDefault="00E20138" w:rsidP="00DB330E">
            <w:pPr>
              <w:pStyle w:val="TableText"/>
              <w:spacing w:before="40" w:after="40"/>
              <w:rPr>
                <w:rFonts w:cs="Calibri"/>
              </w:rPr>
            </w:pPr>
            <w:r w:rsidRPr="00D9348B">
              <w:rPr>
                <w:rFonts w:cs="Calibri"/>
              </w:rPr>
              <w:t>Only one significant mine; flooded</w:t>
            </w:r>
          </w:p>
        </w:tc>
      </w:tr>
    </w:tbl>
    <w:p w14:paraId="6E0E6AB1" w14:textId="77777777" w:rsidR="00E20138" w:rsidRPr="00D9348B" w:rsidRDefault="00E20138" w:rsidP="00657997">
      <w:pPr>
        <w:pStyle w:val="Heading4"/>
        <w:spacing w:before="360"/>
        <w:rPr>
          <w:lang w:eastAsia="en-GB"/>
        </w:rPr>
      </w:pPr>
      <w:r w:rsidRPr="00D9348B">
        <w:rPr>
          <w:lang w:eastAsia="en-GB"/>
        </w:rPr>
        <w:t>Uncertainties and time-series consistency</w:t>
      </w:r>
    </w:p>
    <w:p w14:paraId="3A1FEAAF" w14:textId="77777777" w:rsidR="00E20138" w:rsidRPr="00D9348B" w:rsidRDefault="00E20138" w:rsidP="00E20138">
      <w:pPr>
        <w:pStyle w:val="BodyText"/>
        <w:rPr>
          <w:rFonts w:cs="Calibri"/>
          <w:spacing w:val="-2"/>
          <w:lang w:eastAsia="en-GB"/>
        </w:rPr>
      </w:pPr>
      <w:r w:rsidRPr="00D9348B">
        <w:rPr>
          <w:rFonts w:cs="Calibri"/>
          <w:spacing w:val="-2"/>
          <w:lang w:eastAsia="en-GB"/>
        </w:rPr>
        <w:t>Uncertainties in fugitive emissions are relevant to the entire Energy sector (see table 3.3.1).</w:t>
      </w:r>
    </w:p>
    <w:p w14:paraId="757B0214" w14:textId="77777777" w:rsidR="00E20138" w:rsidRPr="00D9348B" w:rsidRDefault="00E20138" w:rsidP="00865BDB">
      <w:pPr>
        <w:pStyle w:val="Heading4"/>
        <w:rPr>
          <w:lang w:eastAsia="en-GB"/>
        </w:rPr>
      </w:pPr>
      <w:r w:rsidRPr="00D9348B">
        <w:rPr>
          <w:lang w:eastAsia="en-GB"/>
        </w:rPr>
        <w:t>Source-specific QA/QC and verification</w:t>
      </w:r>
    </w:p>
    <w:p w14:paraId="0B0BB68D" w14:textId="77777777" w:rsidR="00E20138" w:rsidRPr="00D9348B" w:rsidRDefault="00E20138" w:rsidP="00E20138">
      <w:pPr>
        <w:pStyle w:val="BodyText"/>
        <w:rPr>
          <w:rFonts w:cs="Calibri"/>
          <w:lang w:eastAsia="en-GB"/>
        </w:rPr>
      </w:pPr>
      <w:r w:rsidRPr="00D9348B">
        <w:rPr>
          <w:rFonts w:cs="Calibri"/>
          <w:lang w:eastAsia="en-GB"/>
        </w:rPr>
        <w:t xml:space="preserve">In the preparation of this inventory, the </w:t>
      </w:r>
      <w:r w:rsidRPr="00D9348B">
        <w:rPr>
          <w:rFonts w:cs="Calibri"/>
          <w:i/>
          <w:lang w:eastAsia="en-GB"/>
        </w:rPr>
        <w:t>Fugitive emissions</w:t>
      </w:r>
      <w:r w:rsidRPr="00D9348B">
        <w:rPr>
          <w:rFonts w:cs="Calibri"/>
          <w:lang w:eastAsia="en-GB"/>
        </w:rPr>
        <w:t xml:space="preserve"> category underwent Tier 1 quality-assurance and quality-control checks, as recommended in the 2006 IPCC Guidelines. These include regular control sums throughout systems, to verify system integrity, and consistency checks of implied emission factors.</w:t>
      </w:r>
    </w:p>
    <w:p w14:paraId="5B66E74F" w14:textId="77777777" w:rsidR="00E20138" w:rsidRPr="00D9348B" w:rsidRDefault="00E20138" w:rsidP="00865BDB">
      <w:pPr>
        <w:pStyle w:val="Heading4"/>
        <w:rPr>
          <w:lang w:eastAsia="en-GB"/>
        </w:rPr>
      </w:pPr>
      <w:r w:rsidRPr="00D9348B">
        <w:rPr>
          <w:lang w:eastAsia="en-GB"/>
        </w:rPr>
        <w:lastRenderedPageBreak/>
        <w:t>Source-specific recalculations</w:t>
      </w:r>
    </w:p>
    <w:p w14:paraId="15C4A25C" w14:textId="77777777" w:rsidR="00E20138" w:rsidRPr="00D9348B" w:rsidRDefault="00E20138" w:rsidP="00E20138">
      <w:pPr>
        <w:pStyle w:val="BodyText"/>
        <w:rPr>
          <w:rFonts w:cs="Calibri"/>
          <w:lang w:eastAsia="en-GB"/>
        </w:rPr>
      </w:pPr>
      <w:r w:rsidRPr="00D9348B">
        <w:rPr>
          <w:rFonts w:cs="Calibri"/>
          <w:lang w:eastAsia="en-GB"/>
        </w:rPr>
        <w:t>Historical coal production data have been revised due to revisions in data provided by companies. This has resulted in minor revisions in activity data and corresponding emissions for some years.</w:t>
      </w:r>
    </w:p>
    <w:p w14:paraId="33956309" w14:textId="77777777" w:rsidR="00E20138" w:rsidRPr="00D9348B" w:rsidRDefault="00E20138" w:rsidP="00865BDB">
      <w:pPr>
        <w:pStyle w:val="Heading4"/>
        <w:rPr>
          <w:lang w:eastAsia="en-GB"/>
        </w:rPr>
      </w:pPr>
      <w:r w:rsidRPr="00D9348B">
        <w:rPr>
          <w:lang w:eastAsia="en-GB"/>
        </w:rPr>
        <w:t>Source-specific planned improvements</w:t>
      </w:r>
    </w:p>
    <w:p w14:paraId="05053248" w14:textId="77777777" w:rsidR="00E20138" w:rsidRPr="00D9348B" w:rsidRDefault="00E20138" w:rsidP="00E20138">
      <w:pPr>
        <w:pStyle w:val="BodyText"/>
        <w:rPr>
          <w:rFonts w:cs="Calibri"/>
          <w:b/>
          <w:bCs/>
          <w:szCs w:val="24"/>
          <w:lang w:eastAsia="en-GB"/>
        </w:rPr>
      </w:pPr>
      <w:r w:rsidRPr="00D9348B">
        <w:rPr>
          <w:rFonts w:cs="Calibri"/>
          <w:lang w:eastAsia="en-GB"/>
        </w:rPr>
        <w:t xml:space="preserve">As described above, the project to enable the more accurate estimation of emissions associated with abandoned coal mines is under way, and results will be included in the next annual submission. </w:t>
      </w:r>
    </w:p>
    <w:p w14:paraId="336697C0" w14:textId="77777777" w:rsidR="00E20138" w:rsidRPr="00D9348B" w:rsidRDefault="00E20138" w:rsidP="00E20138">
      <w:pPr>
        <w:pStyle w:val="Heading3"/>
        <w:rPr>
          <w:rFonts w:cs="Calibri"/>
        </w:rPr>
      </w:pPr>
      <w:r w:rsidRPr="00D9348B">
        <w:rPr>
          <w:rFonts w:cs="Calibri"/>
        </w:rPr>
        <w:t>3.4.2</w:t>
      </w:r>
      <w:r w:rsidRPr="00D9348B">
        <w:rPr>
          <w:rFonts w:cs="Calibri"/>
        </w:rPr>
        <w:tab/>
        <w:t>Fugitive emissions from fuels: Oil and natural gas and other emissions from energy production (CRF 1.B.2)</w:t>
      </w:r>
    </w:p>
    <w:p w14:paraId="01D85EF2" w14:textId="77777777" w:rsidR="00E20138" w:rsidRPr="00D9348B" w:rsidRDefault="00E20138" w:rsidP="005B78E1">
      <w:pPr>
        <w:pStyle w:val="Heading4"/>
        <w:spacing w:before="160"/>
      </w:pPr>
      <w:r w:rsidRPr="00D9348B">
        <w:rPr>
          <w:lang w:eastAsia="en-GB"/>
        </w:rPr>
        <w:t>Description</w:t>
      </w:r>
    </w:p>
    <w:p w14:paraId="64BF143F" w14:textId="0D544FB6" w:rsidR="00E20138" w:rsidRPr="00D9348B" w:rsidRDefault="00E20138" w:rsidP="00E20138">
      <w:pPr>
        <w:pStyle w:val="BodyText"/>
        <w:rPr>
          <w:rFonts w:cs="Calibri"/>
        </w:rPr>
      </w:pPr>
      <w:r w:rsidRPr="00D9348B">
        <w:rPr>
          <w:rFonts w:cs="Calibri"/>
          <w:lang w:eastAsia="en-GB"/>
        </w:rPr>
        <w:t xml:space="preserve">In </w:t>
      </w:r>
      <w:r w:rsidRPr="00D9348B">
        <w:rPr>
          <w:rFonts w:cs="Calibri"/>
        </w:rPr>
        <w:t>2018</w:t>
      </w:r>
      <w:r w:rsidRPr="00D9348B">
        <w:rPr>
          <w:rFonts w:cs="Calibri"/>
          <w:lang w:eastAsia="en-GB"/>
        </w:rPr>
        <w:t xml:space="preserve">, fugitive emissions from the </w:t>
      </w:r>
      <w:r w:rsidRPr="00D9348B">
        <w:rPr>
          <w:rFonts w:cs="Calibri"/>
          <w:i/>
          <w:lang w:eastAsia="en-GB"/>
        </w:rPr>
        <w:t>Oil and natural gas</w:t>
      </w:r>
      <w:r w:rsidRPr="00D9348B">
        <w:rPr>
          <w:rFonts w:cs="Calibri"/>
          <w:lang w:eastAsia="en-GB"/>
        </w:rPr>
        <w:t xml:space="preserve"> category contributed 1,652.2</w:t>
      </w:r>
      <w:r w:rsidRPr="00D9348B">
        <w:rPr>
          <w:rFonts w:cs="Calibri"/>
        </w:rPr>
        <w:t> </w:t>
      </w:r>
      <w:r w:rsidRPr="00D9348B">
        <w:rPr>
          <w:rFonts w:cs="Calibri"/>
          <w:lang w:eastAsia="en-GB"/>
        </w:rPr>
        <w:t>kt CO</w:t>
      </w:r>
      <w:r w:rsidRPr="00D9348B">
        <w:rPr>
          <w:rFonts w:cs="Calibri"/>
          <w:vertAlign w:val="subscript"/>
          <w:lang w:eastAsia="en-GB"/>
        </w:rPr>
        <w:t>2</w:t>
      </w:r>
      <w:r w:rsidRPr="00D9348B">
        <w:rPr>
          <w:rFonts w:cs="Calibri"/>
          <w:lang w:eastAsia="en-GB"/>
        </w:rPr>
        <w:t>-e (</w:t>
      </w:r>
      <w:r w:rsidRPr="00D9348B">
        <w:rPr>
          <w:rFonts w:cs="Calibri"/>
        </w:rPr>
        <w:t>92.8 per cent</w:t>
      </w:r>
      <w:r w:rsidRPr="00D9348B">
        <w:rPr>
          <w:rFonts w:cs="Calibri"/>
          <w:lang w:eastAsia="en-GB"/>
        </w:rPr>
        <w:t xml:space="preserve">) to emissions from the </w:t>
      </w:r>
      <w:r w:rsidRPr="00D9348B">
        <w:rPr>
          <w:rFonts w:cs="Calibri"/>
          <w:i/>
          <w:lang w:eastAsia="en-GB"/>
        </w:rPr>
        <w:t>Fugitive emissions</w:t>
      </w:r>
      <w:r w:rsidRPr="00D9348B">
        <w:rPr>
          <w:rFonts w:cs="Calibri"/>
          <w:lang w:eastAsia="en-GB"/>
        </w:rPr>
        <w:t xml:space="preserve"> category. This is </w:t>
      </w:r>
      <w:r w:rsidRPr="00D9348B">
        <w:rPr>
          <w:rFonts w:cs="Calibri"/>
        </w:rPr>
        <w:t xml:space="preserve">643.3 </w:t>
      </w:r>
      <w:r w:rsidRPr="00D9348B">
        <w:rPr>
          <w:rFonts w:cs="Calibri"/>
          <w:lang w:eastAsia="en-GB"/>
        </w:rPr>
        <w:t>kt CO</w:t>
      </w:r>
      <w:r w:rsidRPr="00D9348B">
        <w:rPr>
          <w:rFonts w:cs="Calibri"/>
          <w:vertAlign w:val="subscript"/>
          <w:lang w:eastAsia="en-GB"/>
        </w:rPr>
        <w:t>2</w:t>
      </w:r>
      <w:r w:rsidRPr="00D9348B">
        <w:rPr>
          <w:rFonts w:cs="Calibri"/>
          <w:lang w:eastAsia="en-GB"/>
        </w:rPr>
        <w:t>-e (63.8</w:t>
      </w:r>
      <w:r w:rsidR="009C0F3A" w:rsidRPr="00D9348B">
        <w:rPr>
          <w:rFonts w:cs="Calibri"/>
        </w:rPr>
        <w:t> </w:t>
      </w:r>
      <w:r w:rsidRPr="00D9348B">
        <w:rPr>
          <w:rFonts w:cs="Calibri"/>
        </w:rPr>
        <w:t>per cent</w:t>
      </w:r>
      <w:r w:rsidRPr="00D9348B">
        <w:rPr>
          <w:rFonts w:cs="Calibri"/>
          <w:lang w:eastAsia="en-GB"/>
        </w:rPr>
        <w:t xml:space="preserve">) higher than the 1990 level of </w:t>
      </w:r>
      <w:r w:rsidRPr="00D9348B">
        <w:rPr>
          <w:rFonts w:cs="Calibri"/>
        </w:rPr>
        <w:t xml:space="preserve">1,008.9 </w:t>
      </w:r>
      <w:r w:rsidRPr="00D9348B">
        <w:rPr>
          <w:rFonts w:cs="Calibri"/>
          <w:lang w:eastAsia="en-GB"/>
        </w:rPr>
        <w:t>kt CO</w:t>
      </w:r>
      <w:r w:rsidRPr="00D9348B">
        <w:rPr>
          <w:rFonts w:cs="Calibri"/>
          <w:vertAlign w:val="subscript"/>
          <w:lang w:eastAsia="en-GB"/>
        </w:rPr>
        <w:t>2</w:t>
      </w:r>
      <w:r w:rsidRPr="00D9348B">
        <w:rPr>
          <w:rFonts w:cs="Calibri"/>
          <w:lang w:eastAsia="en-GB"/>
        </w:rPr>
        <w:t xml:space="preserve">-e. </w:t>
      </w:r>
    </w:p>
    <w:p w14:paraId="1178A6C9" w14:textId="77777777" w:rsidR="00E20138" w:rsidRPr="00D9348B" w:rsidRDefault="00E20138" w:rsidP="00E20138">
      <w:pPr>
        <w:pStyle w:val="BodyText"/>
        <w:rPr>
          <w:rFonts w:cs="Calibri"/>
          <w:lang w:eastAsia="en-GB"/>
        </w:rPr>
      </w:pPr>
      <w:r w:rsidRPr="00D9348B">
        <w:rPr>
          <w:rFonts w:cs="Calibri"/>
          <w:lang w:eastAsia="en-GB"/>
        </w:rPr>
        <w:t xml:space="preserve">A source of emissions from the production and processing of natural gas is the Kapuni Gas Treatment Plant. The plant removes </w:t>
      </w:r>
      <w:r w:rsidRPr="00D9348B">
        <w:rPr>
          <w:rFonts w:cs="Calibri"/>
        </w:rPr>
        <w:t>CO</w:t>
      </w:r>
      <w:r w:rsidRPr="00D9348B">
        <w:rPr>
          <w:rFonts w:cs="Calibri"/>
          <w:vertAlign w:val="subscript"/>
        </w:rPr>
        <w:t>2</w:t>
      </w:r>
      <w:r w:rsidRPr="00D9348B">
        <w:rPr>
          <w:rFonts w:cs="Calibri"/>
          <w:sz w:val="14"/>
          <w:szCs w:val="14"/>
          <w:lang w:eastAsia="en-GB"/>
        </w:rPr>
        <w:t xml:space="preserve"> </w:t>
      </w:r>
      <w:r w:rsidRPr="00D9348B">
        <w:rPr>
          <w:rFonts w:cs="Calibri"/>
          <w:lang w:eastAsia="en-GB"/>
        </w:rPr>
        <w:t xml:space="preserve">from a portion of the Kapuni gas (a high </w:t>
      </w:r>
      <w:r w:rsidRPr="00D9348B">
        <w:rPr>
          <w:rFonts w:cs="Calibri"/>
        </w:rPr>
        <w:t>CO</w:t>
      </w:r>
      <w:r w:rsidRPr="00D9348B">
        <w:rPr>
          <w:rFonts w:cs="Calibri"/>
          <w:vertAlign w:val="subscript"/>
        </w:rPr>
        <w:t>2</w:t>
      </w:r>
      <w:r w:rsidRPr="00D9348B">
        <w:rPr>
          <w:rFonts w:cs="Calibri"/>
          <w:sz w:val="14"/>
          <w:szCs w:val="14"/>
          <w:lang w:eastAsia="en-GB"/>
        </w:rPr>
        <w:t xml:space="preserve"> </w:t>
      </w:r>
      <w:r w:rsidRPr="00D9348B">
        <w:rPr>
          <w:rFonts w:cs="Calibri"/>
          <w:lang w:eastAsia="en-GB"/>
        </w:rPr>
        <w:t>gas when untreated) before it enters the national transmission network. This is reported in CRF table 1.B.2.c.2.</w:t>
      </w:r>
    </w:p>
    <w:p w14:paraId="5CA314BB" w14:textId="77777777" w:rsidR="00E20138" w:rsidRPr="00D9348B" w:rsidRDefault="00E20138" w:rsidP="00E20138">
      <w:pPr>
        <w:pStyle w:val="BodyText"/>
        <w:rPr>
          <w:rFonts w:cs="Calibri"/>
          <w:lang w:eastAsia="en-GB"/>
        </w:rPr>
      </w:pPr>
      <w:r w:rsidRPr="00D9348B">
        <w:rPr>
          <w:rFonts w:cs="Calibri"/>
          <w:lang w:eastAsia="en-GB"/>
        </w:rPr>
        <w:t xml:space="preserve">The large increase in </w:t>
      </w:r>
      <w:r w:rsidRPr="00D9348B">
        <w:rPr>
          <w:rFonts w:cs="Calibri"/>
        </w:rPr>
        <w:t>CO</w:t>
      </w:r>
      <w:r w:rsidRPr="00D9348B">
        <w:rPr>
          <w:rFonts w:cs="Calibri"/>
          <w:vertAlign w:val="subscript"/>
        </w:rPr>
        <w:t>2</w:t>
      </w:r>
      <w:r w:rsidRPr="00D9348B">
        <w:rPr>
          <w:rFonts w:cs="Calibri"/>
          <w:sz w:val="14"/>
          <w:szCs w:val="14"/>
          <w:lang w:eastAsia="en-GB"/>
        </w:rPr>
        <w:t xml:space="preserve"> </w:t>
      </w:r>
      <w:r w:rsidRPr="00D9348B">
        <w:rPr>
          <w:rFonts w:cs="Calibri"/>
          <w:lang w:eastAsia="en-GB"/>
        </w:rPr>
        <w:t>emissions from the Kapuni</w:t>
      </w:r>
      <w:r w:rsidRPr="00D9348B" w:rsidDel="00F31629">
        <w:rPr>
          <w:rFonts w:cs="Calibri"/>
          <w:lang w:eastAsia="en-GB"/>
        </w:rPr>
        <w:t xml:space="preserve"> </w:t>
      </w:r>
      <w:r w:rsidRPr="00D9348B">
        <w:rPr>
          <w:rFonts w:cs="Calibri"/>
          <w:lang w:eastAsia="en-GB"/>
        </w:rPr>
        <w:t>plant between 2003 and 2004 and between 2004 and 2005 is related to the drop in methanol production. Carbon dioxide previously sequestered during this separation process is now released as fugitive emissions from venting at the plant.</w:t>
      </w:r>
    </w:p>
    <w:p w14:paraId="775F2E1C" w14:textId="0D637D8F" w:rsidR="00E20138" w:rsidRPr="00D9348B" w:rsidRDefault="00E20138" w:rsidP="00E20138">
      <w:pPr>
        <w:pStyle w:val="BodyText"/>
        <w:rPr>
          <w:rFonts w:cs="Calibri"/>
          <w:lang w:eastAsia="en-GB"/>
        </w:rPr>
      </w:pPr>
      <w:r w:rsidRPr="00D9348B">
        <w:rPr>
          <w:rFonts w:cs="Calibri"/>
          <w:lang w:eastAsia="en-GB"/>
        </w:rPr>
        <w:t>While emissions from the Kapuni</w:t>
      </w:r>
      <w:r w:rsidRPr="00D9348B" w:rsidDel="00F31629">
        <w:rPr>
          <w:rFonts w:cs="Calibri"/>
          <w:lang w:eastAsia="en-GB"/>
        </w:rPr>
        <w:t xml:space="preserve"> </w:t>
      </w:r>
      <w:r w:rsidRPr="00D9348B">
        <w:rPr>
          <w:rFonts w:cs="Calibri"/>
          <w:lang w:eastAsia="en-GB"/>
        </w:rPr>
        <w:t>plant may include traces of CH</w:t>
      </w:r>
      <w:r w:rsidRPr="00D9348B">
        <w:rPr>
          <w:rFonts w:cs="Calibri"/>
          <w:vertAlign w:val="subscript"/>
          <w:lang w:eastAsia="en-GB"/>
        </w:rPr>
        <w:t>4</w:t>
      </w:r>
      <w:r w:rsidRPr="00D9348B">
        <w:rPr>
          <w:rFonts w:cs="Calibri"/>
          <w:lang w:eastAsia="en-GB"/>
        </w:rPr>
        <w:t>, the level of these emissions has been determined to be insignificant in comparison with national emissions: a conservative estimate (using default emission factors from the 2006 IPCC guidelines) gives approximately 1.5</w:t>
      </w:r>
      <w:r w:rsidR="009C0F3A" w:rsidRPr="00D9348B">
        <w:rPr>
          <w:rFonts w:cs="Calibri"/>
          <w:lang w:eastAsia="en-GB"/>
        </w:rPr>
        <w:t> </w:t>
      </w:r>
      <w:r w:rsidRPr="00D9348B">
        <w:rPr>
          <w:rFonts w:cs="Calibri"/>
          <w:lang w:eastAsia="en-GB"/>
        </w:rPr>
        <w:t>kt CO</w:t>
      </w:r>
      <w:r w:rsidRPr="00D9348B">
        <w:rPr>
          <w:rFonts w:cs="Calibri"/>
          <w:vertAlign w:val="subscript"/>
          <w:lang w:eastAsia="en-GB"/>
        </w:rPr>
        <w:t>2</w:t>
      </w:r>
      <w:r w:rsidRPr="00D9348B">
        <w:rPr>
          <w:rFonts w:cs="Calibri"/>
          <w:lang w:eastAsia="en-GB"/>
        </w:rPr>
        <w:t>-e per year.</w:t>
      </w:r>
    </w:p>
    <w:p w14:paraId="1978E2C2" w14:textId="77777777" w:rsidR="00E20138" w:rsidRPr="00D9348B" w:rsidRDefault="00E20138" w:rsidP="00E20138">
      <w:pPr>
        <w:pStyle w:val="BodyText"/>
        <w:rPr>
          <w:rFonts w:cs="Calibri"/>
          <w:lang w:eastAsia="en-GB"/>
        </w:rPr>
      </w:pPr>
      <w:r w:rsidRPr="00D9348B">
        <w:rPr>
          <w:rFonts w:cs="Calibri"/>
          <w:lang w:eastAsia="en-GB"/>
        </w:rPr>
        <w:t xml:space="preserve">Carbon dioxide is also produced when natural gas is flared at the wellheads of other fields. The combustion efficiency of flaring is 95 per cent to 99 per cent, leaving some fugitive </w:t>
      </w:r>
      <w:r w:rsidRPr="00D9348B">
        <w:rPr>
          <w:rFonts w:cs="Calibri"/>
        </w:rPr>
        <w:t>CH</w:t>
      </w:r>
      <w:r w:rsidRPr="00D9348B">
        <w:rPr>
          <w:rFonts w:cs="Calibri"/>
          <w:vertAlign w:val="subscript"/>
        </w:rPr>
        <w:t>4</w:t>
      </w:r>
      <w:r w:rsidRPr="00D9348B">
        <w:rPr>
          <w:rFonts w:cs="Calibri"/>
          <w:lang w:eastAsia="en-GB"/>
        </w:rPr>
        <w:t xml:space="preserve"> emissions as a result of incomplete combustion. </w:t>
      </w:r>
    </w:p>
    <w:p w14:paraId="4D9FE63F" w14:textId="77777777" w:rsidR="00E20138" w:rsidRPr="00D9348B" w:rsidRDefault="00E20138" w:rsidP="00E20138">
      <w:pPr>
        <w:pStyle w:val="BodyText"/>
        <w:rPr>
          <w:rFonts w:cs="Calibri"/>
          <w:lang w:eastAsia="en-GB"/>
        </w:rPr>
      </w:pPr>
      <w:r w:rsidRPr="00D9348B">
        <w:rPr>
          <w:rFonts w:cs="Calibri"/>
          <w:lang w:eastAsia="en-GB"/>
        </w:rPr>
        <w:t xml:space="preserve">Fugitive emissions also occur in transmission and distribution within the </w:t>
      </w:r>
      <w:r w:rsidRPr="00D9348B">
        <w:rPr>
          <w:rFonts w:cs="Calibri"/>
        </w:rPr>
        <w:t xml:space="preserve">natural </w:t>
      </w:r>
      <w:r w:rsidRPr="00D9348B">
        <w:rPr>
          <w:rFonts w:cs="Calibri"/>
          <w:lang w:eastAsia="en-GB"/>
        </w:rPr>
        <w:t>gas transmission pipeline system. However, these emissions are relatively minor in comparison with those from venting and flaring.</w:t>
      </w:r>
    </w:p>
    <w:p w14:paraId="0A50DA74" w14:textId="77777777" w:rsidR="00E20138" w:rsidRPr="00D9348B" w:rsidRDefault="00E20138" w:rsidP="00E20138">
      <w:pPr>
        <w:pStyle w:val="BodyText"/>
        <w:rPr>
          <w:rFonts w:cs="Calibri"/>
          <w:lang w:eastAsia="en-GB"/>
        </w:rPr>
      </w:pPr>
      <w:r w:rsidRPr="00D9348B">
        <w:rPr>
          <w:rFonts w:cs="Calibri"/>
          <w:lang w:eastAsia="en-GB"/>
        </w:rPr>
        <w:t xml:space="preserve">The </w:t>
      </w:r>
      <w:r w:rsidRPr="00D9348B">
        <w:rPr>
          <w:rFonts w:cs="Calibri"/>
          <w:i/>
          <w:lang w:eastAsia="en-GB"/>
        </w:rPr>
        <w:t>Oil and natural gas</w:t>
      </w:r>
      <w:r w:rsidRPr="00D9348B">
        <w:rPr>
          <w:rFonts w:cs="Calibri"/>
          <w:lang w:eastAsia="en-GB"/>
        </w:rPr>
        <w:t xml:space="preserve"> category also includes estimates for emissions from geothermal operations. While some of the energy from geothermal fields is transformed into electricity, emissions from geothermal electricity generation are reported under the </w:t>
      </w:r>
      <w:r w:rsidRPr="00D9348B">
        <w:rPr>
          <w:rFonts w:cs="Calibri"/>
          <w:i/>
          <w:lang w:eastAsia="en-GB"/>
        </w:rPr>
        <w:t>Fugitive emissions</w:t>
      </w:r>
      <w:r w:rsidRPr="00D9348B">
        <w:rPr>
          <w:rFonts w:cs="Calibri"/>
          <w:lang w:eastAsia="en-GB"/>
        </w:rPr>
        <w:t xml:space="preserve"> category because they are not the result of fuel combustion, unlike the emissions reported under the </w:t>
      </w:r>
      <w:r w:rsidRPr="00D9348B">
        <w:rPr>
          <w:rFonts w:cs="Calibri"/>
          <w:i/>
          <w:lang w:eastAsia="en-GB"/>
        </w:rPr>
        <w:t>Energy industries</w:t>
      </w:r>
      <w:r w:rsidRPr="00D9348B">
        <w:rPr>
          <w:rFonts w:cs="Calibri"/>
          <w:lang w:eastAsia="en-GB"/>
        </w:rPr>
        <w:t xml:space="preserve"> category. Geothermal facilities supplying geothermal fluid for generating electricity or industrial heat are subject to the Climate Change (Stationary Energy and Industrial Processes) Regulations 2009, and are required to participate in the NZ ETS. Geothermal sites, where there is no use of geothermal steam for energy production, have been excluded from the inventory. Operations falling outside the scope of the regulations are </w:t>
      </w:r>
      <w:r w:rsidRPr="00D9348B">
        <w:rPr>
          <w:rFonts w:cs="Calibri"/>
          <w:lang w:eastAsia="en-GB"/>
        </w:rPr>
        <w:lastRenderedPageBreak/>
        <w:t>not included in the inventory due to a lack of data, methodology and emission factors. Besides this, such sites – rather than using high temperature geothermal steam – use low temperature hot water, which does not carry high levels of dissolved gases, and any emissions are not significant. Naturally occurring sites do not contribute any anthropogenic emissions.</w:t>
      </w:r>
    </w:p>
    <w:p w14:paraId="5AD94644" w14:textId="77777777" w:rsidR="00E20138" w:rsidRPr="00D9348B" w:rsidRDefault="00E20138" w:rsidP="00E20138">
      <w:pPr>
        <w:pStyle w:val="BodyText"/>
        <w:rPr>
          <w:rFonts w:cs="Calibri"/>
          <w:lang w:eastAsia="en-GB"/>
        </w:rPr>
      </w:pPr>
      <w:r w:rsidRPr="00D9348B">
        <w:rPr>
          <w:rFonts w:cs="Calibri"/>
          <w:lang w:eastAsia="en-GB"/>
        </w:rPr>
        <w:t xml:space="preserve">In </w:t>
      </w:r>
      <w:r w:rsidRPr="00D9348B">
        <w:rPr>
          <w:rFonts w:cs="Calibri"/>
        </w:rPr>
        <w:t>2018</w:t>
      </w:r>
      <w:r w:rsidRPr="00D9348B">
        <w:rPr>
          <w:rFonts w:cs="Calibri"/>
          <w:lang w:eastAsia="en-GB"/>
        </w:rPr>
        <w:t xml:space="preserve">, emissions from geothermal operations were </w:t>
      </w:r>
      <w:r w:rsidRPr="00D9348B">
        <w:rPr>
          <w:rFonts w:cs="Calibri"/>
        </w:rPr>
        <w:t xml:space="preserve">736.9 </w:t>
      </w:r>
      <w:r w:rsidRPr="00D9348B">
        <w:rPr>
          <w:rFonts w:cs="Calibri"/>
          <w:lang w:eastAsia="en-GB"/>
        </w:rPr>
        <w:t>kt CO</w:t>
      </w:r>
      <w:r w:rsidRPr="00D9348B">
        <w:rPr>
          <w:rFonts w:cs="Calibri"/>
          <w:vertAlign w:val="subscript"/>
          <w:lang w:eastAsia="en-GB"/>
        </w:rPr>
        <w:t>2</w:t>
      </w:r>
      <w:r w:rsidRPr="00D9348B">
        <w:rPr>
          <w:rFonts w:cs="Calibri"/>
          <w:lang w:eastAsia="en-GB"/>
        </w:rPr>
        <w:t xml:space="preserve">-e, which is </w:t>
      </w:r>
      <w:r w:rsidRPr="00D9348B">
        <w:rPr>
          <w:rFonts w:cs="Calibri"/>
        </w:rPr>
        <w:t>453.5 </w:t>
      </w:r>
      <w:r w:rsidRPr="00D9348B">
        <w:rPr>
          <w:rFonts w:cs="Calibri"/>
          <w:lang w:eastAsia="en-GB"/>
        </w:rPr>
        <w:t>kt CO</w:t>
      </w:r>
      <w:r w:rsidRPr="00D9348B">
        <w:rPr>
          <w:rFonts w:cs="Calibri"/>
          <w:vertAlign w:val="subscript"/>
          <w:lang w:eastAsia="en-GB"/>
        </w:rPr>
        <w:t>2</w:t>
      </w:r>
      <w:r w:rsidRPr="00D9348B">
        <w:rPr>
          <w:rFonts w:cs="Calibri"/>
          <w:lang w:eastAsia="en-GB"/>
        </w:rPr>
        <w:t>-e (160.0</w:t>
      </w:r>
      <w:r w:rsidRPr="00D9348B">
        <w:rPr>
          <w:rFonts w:cs="Calibri"/>
        </w:rPr>
        <w:t xml:space="preserve"> per cent</w:t>
      </w:r>
      <w:r w:rsidRPr="00D9348B">
        <w:rPr>
          <w:rFonts w:cs="Calibri"/>
          <w:lang w:eastAsia="en-GB"/>
        </w:rPr>
        <w:t xml:space="preserve">) higher than the 1990 level of </w:t>
      </w:r>
      <w:r w:rsidRPr="00D9348B">
        <w:rPr>
          <w:rFonts w:cs="Calibri"/>
        </w:rPr>
        <w:t xml:space="preserve">283.4 </w:t>
      </w:r>
      <w:r w:rsidRPr="00D9348B">
        <w:rPr>
          <w:rFonts w:cs="Calibri"/>
          <w:lang w:eastAsia="en-GB"/>
        </w:rPr>
        <w:t>kt CO</w:t>
      </w:r>
      <w:r w:rsidRPr="00D9348B">
        <w:rPr>
          <w:rFonts w:cs="Calibri"/>
          <w:vertAlign w:val="subscript"/>
          <w:lang w:eastAsia="en-GB"/>
        </w:rPr>
        <w:t>2</w:t>
      </w:r>
      <w:r w:rsidRPr="00D9348B">
        <w:rPr>
          <w:rFonts w:cs="Calibri"/>
          <w:lang w:eastAsia="en-GB"/>
        </w:rPr>
        <w:t>-e.</w:t>
      </w:r>
    </w:p>
    <w:p w14:paraId="5C698C66" w14:textId="77777777" w:rsidR="00E20138" w:rsidRPr="00D9348B" w:rsidRDefault="00E20138" w:rsidP="00E20138">
      <w:pPr>
        <w:pStyle w:val="BodyText"/>
        <w:rPr>
          <w:rFonts w:cs="Calibri"/>
        </w:rPr>
      </w:pPr>
      <w:r w:rsidRPr="00D9348B">
        <w:rPr>
          <w:rFonts w:cs="Calibri"/>
        </w:rPr>
        <w:t xml:space="preserve">Between 2017 and 2018, emissions from geothermal sources decreased by 9.6 per cent. </w:t>
      </w:r>
    </w:p>
    <w:p w14:paraId="583BFBE5" w14:textId="77777777" w:rsidR="00E20138" w:rsidRPr="00D9348B" w:rsidRDefault="00E20138" w:rsidP="00865BDB">
      <w:pPr>
        <w:pStyle w:val="Heading4"/>
      </w:pPr>
      <w:r w:rsidRPr="00D9348B">
        <w:rPr>
          <w:lang w:eastAsia="en-GB"/>
        </w:rPr>
        <w:t>Methodological issues</w:t>
      </w:r>
    </w:p>
    <w:p w14:paraId="103B6E0A" w14:textId="77777777" w:rsidR="00E20138" w:rsidRPr="00D9348B" w:rsidRDefault="00E20138" w:rsidP="00E20138">
      <w:pPr>
        <w:pStyle w:val="BodyText"/>
        <w:rPr>
          <w:rFonts w:cs="Calibri"/>
          <w:lang w:eastAsia="en-GB"/>
        </w:rPr>
      </w:pPr>
      <w:r w:rsidRPr="00D9348B">
        <w:rPr>
          <w:rFonts w:cs="Calibri"/>
          <w:lang w:eastAsia="en-GB"/>
        </w:rPr>
        <w:t>Unless noted otherwise, CO</w:t>
      </w:r>
      <w:r w:rsidRPr="00D9348B">
        <w:rPr>
          <w:rFonts w:cs="Calibri"/>
          <w:vertAlign w:val="subscript"/>
          <w:lang w:eastAsia="en-GB"/>
        </w:rPr>
        <w:t>2</w:t>
      </w:r>
      <w:r w:rsidRPr="00D9348B">
        <w:rPr>
          <w:rFonts w:cs="Calibri"/>
          <w:lang w:eastAsia="en-GB"/>
        </w:rPr>
        <w:t xml:space="preserve"> and CH</w:t>
      </w:r>
      <w:r w:rsidRPr="00D9348B">
        <w:rPr>
          <w:rFonts w:cs="Calibri"/>
          <w:vertAlign w:val="subscript"/>
          <w:lang w:eastAsia="en-GB"/>
        </w:rPr>
        <w:t>4</w:t>
      </w:r>
      <w:r w:rsidRPr="00D9348B">
        <w:rPr>
          <w:rFonts w:cs="Calibri"/>
          <w:lang w:eastAsia="en-GB"/>
        </w:rPr>
        <w:t xml:space="preserve"> emissions from sources within this category have been calculated using the IPCC Tier 2 approach, and N</w:t>
      </w:r>
      <w:r w:rsidRPr="00D9348B">
        <w:rPr>
          <w:rFonts w:cs="Calibri"/>
          <w:vertAlign w:val="subscript"/>
          <w:lang w:eastAsia="en-GB"/>
        </w:rPr>
        <w:t>2</w:t>
      </w:r>
      <w:r w:rsidRPr="00D9348B">
        <w:rPr>
          <w:rFonts w:cs="Calibri"/>
          <w:lang w:eastAsia="en-GB"/>
        </w:rPr>
        <w:t>O emissions were calculated using the default Tier 1 approach (IPCC, 2006).</w:t>
      </w:r>
    </w:p>
    <w:p w14:paraId="52F9340C" w14:textId="77777777" w:rsidR="00E20138" w:rsidRPr="00D9348B" w:rsidRDefault="00E20138" w:rsidP="00E20138">
      <w:pPr>
        <w:pStyle w:val="Heading5"/>
        <w:rPr>
          <w:rFonts w:cs="Calibri"/>
          <w:lang w:eastAsia="en-GB"/>
        </w:rPr>
      </w:pPr>
      <w:r w:rsidRPr="00D9348B">
        <w:rPr>
          <w:rFonts w:cs="Calibri"/>
          <w:lang w:eastAsia="en-GB"/>
        </w:rPr>
        <w:t>Ozone precursors and sulphur dioxide from oil refining</w:t>
      </w:r>
    </w:p>
    <w:p w14:paraId="3D4E95F6" w14:textId="77777777" w:rsidR="00E20138" w:rsidRPr="00D9348B" w:rsidRDefault="00E20138" w:rsidP="00E20138">
      <w:pPr>
        <w:pStyle w:val="BodyText"/>
        <w:spacing w:after="80"/>
        <w:rPr>
          <w:rFonts w:cs="Calibri"/>
          <w:lang w:eastAsia="en-GB"/>
        </w:rPr>
      </w:pPr>
      <w:r w:rsidRPr="00D9348B">
        <w:rPr>
          <w:rFonts w:cs="Calibri"/>
          <w:lang w:eastAsia="en-GB"/>
        </w:rPr>
        <w:t>New Zealand has only one oil refinery that has a hydro cracker rather than a catalytic cracker. Therefore, no emissions come from fluid catalytic cracking but they do come from sulphur recovery plants and storage and handling.</w:t>
      </w:r>
    </w:p>
    <w:p w14:paraId="0ADBE3E6" w14:textId="77777777" w:rsidR="00E20138" w:rsidRPr="00D9348B" w:rsidRDefault="00E20138" w:rsidP="00E20138">
      <w:pPr>
        <w:pStyle w:val="Heading5"/>
        <w:rPr>
          <w:rFonts w:cs="Calibri"/>
        </w:rPr>
      </w:pPr>
      <w:proofErr w:type="gramStart"/>
      <w:r w:rsidRPr="00D9348B">
        <w:rPr>
          <w:rFonts w:cs="Calibri"/>
        </w:rPr>
        <w:t>1.B.2.c</w:t>
      </w:r>
      <w:proofErr w:type="gramEnd"/>
      <w:r w:rsidRPr="00D9348B">
        <w:rPr>
          <w:rFonts w:cs="Calibri"/>
        </w:rPr>
        <w:t xml:space="preserve"> Venting and flaring</w:t>
      </w:r>
    </w:p>
    <w:p w14:paraId="30C2A6C1" w14:textId="77777777" w:rsidR="00E20138" w:rsidRPr="00D9348B" w:rsidRDefault="00E20138" w:rsidP="00E20138">
      <w:pPr>
        <w:pStyle w:val="BodyText"/>
        <w:spacing w:after="80"/>
        <w:rPr>
          <w:rFonts w:cs="Calibri"/>
        </w:rPr>
      </w:pPr>
      <w:r w:rsidRPr="00D9348B">
        <w:rPr>
          <w:rFonts w:cs="Calibri"/>
        </w:rPr>
        <w:t xml:space="preserve">Oil and natural gas fields in New Zealand produce a mixture consisting of variable ratios of natural gas, crude oil, </w:t>
      </w:r>
      <w:proofErr w:type="gramStart"/>
      <w:r w:rsidRPr="00D9348B">
        <w:rPr>
          <w:rFonts w:cs="Calibri"/>
        </w:rPr>
        <w:t>condensate</w:t>
      </w:r>
      <w:proofErr w:type="gramEnd"/>
      <w:r w:rsidRPr="00D9348B">
        <w:rPr>
          <w:rFonts w:cs="Calibri"/>
        </w:rPr>
        <w:t xml:space="preserve"> and natural gas liquids. Hence emissions for this category are reported under ‘combined’. The activity data are directly reported by field operators.</w:t>
      </w:r>
    </w:p>
    <w:p w14:paraId="3683F66E" w14:textId="77777777" w:rsidR="00E20138" w:rsidRPr="00D9348B" w:rsidRDefault="00E20138" w:rsidP="00E20138">
      <w:pPr>
        <w:pStyle w:val="BodyText"/>
        <w:spacing w:after="80"/>
        <w:rPr>
          <w:rFonts w:cs="Calibri"/>
        </w:rPr>
      </w:pPr>
      <w:r w:rsidRPr="00D9348B">
        <w:rPr>
          <w:rFonts w:cs="Calibri"/>
        </w:rPr>
        <w:t>Venting of CO</w:t>
      </w:r>
      <w:r w:rsidRPr="00D9348B">
        <w:rPr>
          <w:rFonts w:cs="Calibri"/>
          <w:vertAlign w:val="subscript"/>
        </w:rPr>
        <w:t>2</w:t>
      </w:r>
      <w:r w:rsidRPr="00D9348B">
        <w:rPr>
          <w:rFonts w:cs="Calibri"/>
        </w:rPr>
        <w:t xml:space="preserve"> resulting from hydrogen production at oil refineries is included in the IPPU sector so as to protect the confidentiality of individual companies (see chapter 4, for further information).</w:t>
      </w:r>
    </w:p>
    <w:p w14:paraId="7F91BC43" w14:textId="77777777" w:rsidR="00E20138" w:rsidRPr="00D9348B" w:rsidRDefault="00E20138" w:rsidP="00E20138">
      <w:pPr>
        <w:pStyle w:val="Heading5"/>
        <w:rPr>
          <w:rFonts w:cs="Calibri"/>
        </w:rPr>
      </w:pPr>
      <w:proofErr w:type="gramStart"/>
      <w:r w:rsidRPr="00D9348B">
        <w:rPr>
          <w:rFonts w:cs="Calibri"/>
        </w:rPr>
        <w:t>1.B.2.d</w:t>
      </w:r>
      <w:proofErr w:type="gramEnd"/>
      <w:r w:rsidRPr="00D9348B">
        <w:rPr>
          <w:rFonts w:cs="Calibri"/>
        </w:rPr>
        <w:t xml:space="preserve"> </w:t>
      </w:r>
      <w:r w:rsidRPr="00D9348B">
        <w:rPr>
          <w:rFonts w:cs="Calibri"/>
          <w:lang w:eastAsia="en-GB"/>
        </w:rPr>
        <w:t>Geothermal</w:t>
      </w:r>
    </w:p>
    <w:p w14:paraId="14F06289" w14:textId="77777777" w:rsidR="00E20138" w:rsidRPr="00D9348B" w:rsidRDefault="00E20138" w:rsidP="00E20138">
      <w:pPr>
        <w:pStyle w:val="BodyText"/>
        <w:rPr>
          <w:rFonts w:cs="Calibri"/>
        </w:rPr>
      </w:pPr>
      <w:r w:rsidRPr="00D9348B">
        <w:rPr>
          <w:rFonts w:cs="Calibri"/>
        </w:rPr>
        <w:t>When geothermal fluid is discharged, some CO</w:t>
      </w:r>
      <w:r w:rsidRPr="00D9348B">
        <w:rPr>
          <w:rFonts w:cs="Calibri"/>
          <w:vertAlign w:val="subscript"/>
        </w:rPr>
        <w:t>2</w:t>
      </w:r>
      <w:r w:rsidRPr="00D9348B">
        <w:rPr>
          <w:rFonts w:cs="Calibri"/>
        </w:rPr>
        <w:t xml:space="preserve"> and small amounts of CH</w:t>
      </w:r>
      <w:r w:rsidRPr="00D9348B">
        <w:rPr>
          <w:rFonts w:cs="Calibri"/>
          <w:vertAlign w:val="subscript"/>
        </w:rPr>
        <w:t>4</w:t>
      </w:r>
      <w:r w:rsidRPr="00D9348B">
        <w:rPr>
          <w:rFonts w:cs="Calibri"/>
        </w:rPr>
        <w:t xml:space="preserve"> are also released. The emissions released during electricity generation using geothermal fluid are reported in this inventory. Figure 3.4.1 shows a schematic diagram of a typical New Zealand geothermal flash power station. </w:t>
      </w:r>
    </w:p>
    <w:p w14:paraId="6500CF8C" w14:textId="77777777" w:rsidR="00E20138" w:rsidRPr="00D9348B" w:rsidRDefault="00E20138" w:rsidP="00E20138">
      <w:pPr>
        <w:pStyle w:val="BodyText"/>
        <w:rPr>
          <w:rFonts w:cs="Calibri"/>
        </w:rPr>
      </w:pPr>
      <w:r w:rsidRPr="00D9348B">
        <w:rPr>
          <w:rFonts w:cs="Calibri"/>
        </w:rPr>
        <w:t>Estimates of CO</w:t>
      </w:r>
      <w:r w:rsidRPr="00D9348B">
        <w:rPr>
          <w:rFonts w:cs="Calibri"/>
          <w:vertAlign w:val="subscript"/>
        </w:rPr>
        <w:t>2</w:t>
      </w:r>
      <w:r w:rsidRPr="00D9348B">
        <w:rPr>
          <w:rFonts w:cs="Calibri"/>
        </w:rPr>
        <w:t xml:space="preserve"> and CH</w:t>
      </w:r>
      <w:r w:rsidRPr="00D9348B">
        <w:rPr>
          <w:rFonts w:cs="Calibri"/>
          <w:vertAlign w:val="subscript"/>
        </w:rPr>
        <w:t>4</w:t>
      </w:r>
      <w:r w:rsidRPr="00D9348B">
        <w:rPr>
          <w:rFonts w:cs="Calibri"/>
        </w:rPr>
        <w:t xml:space="preserve"> emissions for the </w:t>
      </w:r>
      <w:proofErr w:type="gramStart"/>
      <w:r w:rsidRPr="00D9348B">
        <w:rPr>
          <w:rFonts w:cs="Calibri"/>
          <w:i/>
        </w:rPr>
        <w:t>Geothermal</w:t>
      </w:r>
      <w:proofErr w:type="gramEnd"/>
      <w:r w:rsidRPr="00D9348B">
        <w:rPr>
          <w:rFonts w:cs="Calibri"/>
        </w:rPr>
        <w:t xml:space="preserve"> category are obtained directly from the geothermal power companies. There are around 15 geothermal power stations in New Zealand – most of these are owned (or partly owned) by two major power companies. Two examples of methodologies used to estimate emissions by these companies are explained below.</w:t>
      </w:r>
    </w:p>
    <w:p w14:paraId="6B272D63" w14:textId="430D736F" w:rsidR="00E20138" w:rsidRPr="00D9348B" w:rsidRDefault="00E20138" w:rsidP="00E20138">
      <w:pPr>
        <w:pStyle w:val="Figure"/>
        <w:spacing w:after="60"/>
        <w:rPr>
          <w:rFonts w:cs="Calibri"/>
        </w:rPr>
      </w:pPr>
      <w:bookmarkStart w:id="443" w:name="_Ref442370730"/>
      <w:bookmarkStart w:id="444" w:name="_Toc321399339"/>
      <w:bookmarkStart w:id="445" w:name="_Toc384582868"/>
      <w:bookmarkStart w:id="446" w:name="_Toc443060827"/>
      <w:bookmarkStart w:id="447" w:name="_Toc447275684"/>
      <w:bookmarkStart w:id="448" w:name="_Toc481752001"/>
      <w:bookmarkStart w:id="449" w:name="_Toc36292781"/>
      <w:r w:rsidRPr="00D9348B">
        <w:rPr>
          <w:rFonts w:cs="Calibri"/>
        </w:rPr>
        <w:lastRenderedPageBreak/>
        <w:t>Figure 3.4.</w:t>
      </w:r>
      <w:r w:rsidRPr="00D9348B">
        <w:rPr>
          <w:rFonts w:cs="Calibri"/>
        </w:rPr>
        <w:fldChar w:fldCharType="begin"/>
      </w:r>
      <w:r w:rsidRPr="00D9348B">
        <w:rPr>
          <w:rFonts w:cs="Calibri"/>
        </w:rPr>
        <w:instrText xml:space="preserve"> SEQ Figure \* ARABIC \s 2 </w:instrText>
      </w:r>
      <w:r w:rsidRPr="00D9348B">
        <w:rPr>
          <w:rFonts w:cs="Calibri"/>
        </w:rPr>
        <w:fldChar w:fldCharType="separate"/>
      </w:r>
      <w:r w:rsidRPr="00D9348B">
        <w:rPr>
          <w:rFonts w:cs="Calibri"/>
        </w:rPr>
        <w:t>1</w:t>
      </w:r>
      <w:r w:rsidRPr="00D9348B">
        <w:rPr>
          <w:rFonts w:cs="Calibri"/>
        </w:rPr>
        <w:fldChar w:fldCharType="end"/>
      </w:r>
      <w:bookmarkEnd w:id="443"/>
      <w:r w:rsidRPr="00D9348B">
        <w:rPr>
          <w:rFonts w:cs="Calibri"/>
        </w:rPr>
        <w:t xml:space="preserve"> </w:t>
      </w:r>
      <w:r w:rsidRPr="00D9348B">
        <w:rPr>
          <w:rFonts w:cs="Calibri"/>
        </w:rPr>
        <w:tab/>
        <w:t>Schematic diagram of the use of geothermal fluid for electricity generation – as</w:t>
      </w:r>
      <w:r w:rsidR="00DF21C4" w:rsidRPr="00D9348B">
        <w:rPr>
          <w:rFonts w:cs="Calibri"/>
        </w:rPr>
        <w:t> </w:t>
      </w:r>
      <w:r w:rsidRPr="00D9348B">
        <w:rPr>
          <w:rFonts w:cs="Calibri"/>
        </w:rPr>
        <w:t>at</w:t>
      </w:r>
      <w:r w:rsidR="00DF21C4" w:rsidRPr="00D9348B">
        <w:rPr>
          <w:rFonts w:cs="Calibri"/>
        </w:rPr>
        <w:t> </w:t>
      </w:r>
      <w:r w:rsidRPr="00D9348B">
        <w:rPr>
          <w:rFonts w:cs="Calibri"/>
        </w:rPr>
        <w:t>Wairakei and Ohaaki geothermal stations (New Zealand Institute of Chemistry, 1998)</w:t>
      </w:r>
      <w:bookmarkEnd w:id="444"/>
      <w:bookmarkEnd w:id="445"/>
      <w:bookmarkEnd w:id="446"/>
      <w:bookmarkEnd w:id="447"/>
      <w:bookmarkEnd w:id="448"/>
      <w:bookmarkEnd w:id="449"/>
    </w:p>
    <w:p w14:paraId="59050EA6" w14:textId="77777777" w:rsidR="00E20138" w:rsidRPr="00D9348B" w:rsidRDefault="00E20138" w:rsidP="00E20138">
      <w:pPr>
        <w:pStyle w:val="BodyText"/>
        <w:jc w:val="center"/>
        <w:rPr>
          <w:rFonts w:cs="Calibri"/>
        </w:rPr>
      </w:pPr>
      <w:r w:rsidRPr="00D9348B">
        <w:rPr>
          <w:rFonts w:cs="Calibri"/>
        </w:rPr>
        <w:object w:dxaOrig="8557" w:dyaOrig="8011" w14:anchorId="53BCB8F9">
          <v:shape id="_x0000_i1063" type="#_x0000_t75" style="width:335.6pt;height:310.55pt" o:ole="">
            <v:imagedata r:id="rId81" o:title=""/>
          </v:shape>
          <o:OLEObject Type="Embed" ProgID="Visio.Drawing.11" ShapeID="_x0000_i1063" DrawAspect="Content" ObjectID="_1647932314" r:id="rId82"/>
        </w:object>
      </w:r>
    </w:p>
    <w:p w14:paraId="320FCE7F" w14:textId="77777777" w:rsidR="00E20138" w:rsidRPr="00D9348B" w:rsidRDefault="00E20138" w:rsidP="00E20138">
      <w:pPr>
        <w:pStyle w:val="BodyText"/>
        <w:rPr>
          <w:rFonts w:cs="Calibri"/>
        </w:rPr>
      </w:pPr>
      <w:r w:rsidRPr="00D9348B">
        <w:rPr>
          <w:rFonts w:cs="Calibri"/>
        </w:rPr>
        <w:t>Emissions from geothermal activities have stepped up incrementally over time. These increases are driven by an increase in geothermal emissions related to electricity generation, particularly with the additions of the 100 MW Kawerau geothermal plant since late 2008, Nga Awa Purua and Te Huka since 2010, Ngatamariki since 2013 and Te Mihi since 2014.</w:t>
      </w:r>
    </w:p>
    <w:p w14:paraId="2371AFF6" w14:textId="77777777" w:rsidR="00E20138" w:rsidRPr="00D9348B" w:rsidRDefault="00E20138" w:rsidP="00E20138">
      <w:pPr>
        <w:pStyle w:val="BodyText"/>
        <w:rPr>
          <w:rFonts w:cs="Calibri"/>
          <w:lang w:eastAsia="en-GB"/>
        </w:rPr>
      </w:pPr>
      <w:r w:rsidRPr="00D9348B">
        <w:rPr>
          <w:rFonts w:cs="Calibri"/>
          <w:lang w:eastAsia="en-GB"/>
        </w:rPr>
        <w:t xml:space="preserve">The schedules to the Climate Change Response Act 2002 create obligations for people carrying out certain activities to report greenhouse gas emissions as part of the NZ ETS. The Climate Change (Stationary Energy and Industrial Processes) Regulations 2009 and Climate Change (Liquid Fossil Fuels) Amendment Regulations 2009 set out the data collection requirements and methods for participants in those sectors to calculate their emissions, including prescribed default emission factors (DEFs). </w:t>
      </w:r>
    </w:p>
    <w:p w14:paraId="5B783154" w14:textId="77777777" w:rsidR="00E20138" w:rsidRPr="00D9348B" w:rsidRDefault="00E20138" w:rsidP="00E20138">
      <w:pPr>
        <w:pStyle w:val="BodyText"/>
        <w:spacing w:after="100"/>
        <w:rPr>
          <w:rFonts w:cs="Calibri"/>
          <w:lang w:eastAsia="en-GB"/>
        </w:rPr>
      </w:pPr>
      <w:r w:rsidRPr="00D9348B">
        <w:rPr>
          <w:rFonts w:cs="Calibri"/>
          <w:lang w:eastAsia="en-GB"/>
        </w:rPr>
        <w:t>The Climate Change (Unique Emissions Factors) Regulations 2009 outline requirements for participants in certain sectors to calculate a unique emissions factor (UEF) and apply for approval to use it in place of a DEF to calculate and report on emissions. Sectors that are eligible to apply for a UEF are a class of:</w:t>
      </w:r>
    </w:p>
    <w:p w14:paraId="2D094FDD" w14:textId="77777777" w:rsidR="00E20138" w:rsidRPr="00D9348B" w:rsidRDefault="00E20138" w:rsidP="00E20138">
      <w:pPr>
        <w:pStyle w:val="Bullet"/>
        <w:tabs>
          <w:tab w:val="clear" w:pos="567"/>
        </w:tabs>
        <w:rPr>
          <w:rFonts w:cs="Calibri"/>
        </w:rPr>
      </w:pPr>
      <w:r w:rsidRPr="00D9348B">
        <w:rPr>
          <w:rFonts w:cs="Calibri"/>
        </w:rPr>
        <w:t>liquid fossil fuel</w:t>
      </w:r>
    </w:p>
    <w:p w14:paraId="59499DC9" w14:textId="77777777" w:rsidR="00E20138" w:rsidRPr="00D9348B" w:rsidRDefault="00E20138" w:rsidP="00E20138">
      <w:pPr>
        <w:pStyle w:val="Bullet"/>
        <w:tabs>
          <w:tab w:val="clear" w:pos="567"/>
        </w:tabs>
        <w:rPr>
          <w:rFonts w:cs="Calibri"/>
        </w:rPr>
      </w:pPr>
      <w:r w:rsidRPr="00D9348B">
        <w:rPr>
          <w:rFonts w:cs="Calibri"/>
        </w:rPr>
        <w:t>coal</w:t>
      </w:r>
    </w:p>
    <w:p w14:paraId="78371350" w14:textId="77777777" w:rsidR="00E20138" w:rsidRPr="00D9348B" w:rsidRDefault="00E20138" w:rsidP="00E20138">
      <w:pPr>
        <w:pStyle w:val="Bullet"/>
        <w:tabs>
          <w:tab w:val="clear" w:pos="567"/>
        </w:tabs>
        <w:rPr>
          <w:rFonts w:cs="Calibri"/>
        </w:rPr>
      </w:pPr>
      <w:r w:rsidRPr="00D9348B">
        <w:rPr>
          <w:rFonts w:cs="Calibri"/>
        </w:rPr>
        <w:t>natural gas – CH</w:t>
      </w:r>
      <w:r w:rsidRPr="00D9348B">
        <w:rPr>
          <w:rFonts w:cs="Calibri"/>
          <w:vertAlign w:val="subscript"/>
        </w:rPr>
        <w:t>4</w:t>
      </w:r>
      <w:r w:rsidRPr="00D9348B">
        <w:rPr>
          <w:rFonts w:cs="Calibri"/>
        </w:rPr>
        <w:t xml:space="preserve"> and N</w:t>
      </w:r>
      <w:r w:rsidRPr="00D9348B">
        <w:rPr>
          <w:rFonts w:cs="Calibri"/>
          <w:vertAlign w:val="subscript"/>
        </w:rPr>
        <w:t>2</w:t>
      </w:r>
      <w:r w:rsidRPr="00D9348B">
        <w:rPr>
          <w:rFonts w:cs="Calibri"/>
        </w:rPr>
        <w:t>O</w:t>
      </w:r>
    </w:p>
    <w:p w14:paraId="73ECE875" w14:textId="77777777" w:rsidR="00E20138" w:rsidRPr="00D9348B" w:rsidRDefault="00E20138" w:rsidP="00E20138">
      <w:pPr>
        <w:pStyle w:val="Bullet"/>
        <w:tabs>
          <w:tab w:val="clear" w:pos="567"/>
        </w:tabs>
        <w:rPr>
          <w:rFonts w:cs="Calibri"/>
        </w:rPr>
      </w:pPr>
      <w:r w:rsidRPr="00D9348B">
        <w:rPr>
          <w:rFonts w:cs="Calibri"/>
        </w:rPr>
        <w:t>geothermal fluid</w:t>
      </w:r>
    </w:p>
    <w:p w14:paraId="629ECF35" w14:textId="77777777" w:rsidR="00E20138" w:rsidRPr="00D9348B" w:rsidRDefault="00E20138" w:rsidP="00E20138">
      <w:pPr>
        <w:pStyle w:val="Bullet"/>
        <w:tabs>
          <w:tab w:val="clear" w:pos="567"/>
        </w:tabs>
        <w:rPr>
          <w:rFonts w:cs="Calibri"/>
        </w:rPr>
      </w:pPr>
      <w:proofErr w:type="gramStart"/>
      <w:r w:rsidRPr="00D9348B">
        <w:rPr>
          <w:rFonts w:cs="Calibri"/>
        </w:rPr>
        <w:t>used</w:t>
      </w:r>
      <w:proofErr w:type="gramEnd"/>
      <w:r w:rsidRPr="00D9348B">
        <w:rPr>
          <w:rFonts w:cs="Calibri"/>
        </w:rPr>
        <w:t xml:space="preserve"> oil, waste oil, used tyres or waste.</w:t>
      </w:r>
    </w:p>
    <w:p w14:paraId="01800417" w14:textId="77777777" w:rsidR="00E20138" w:rsidRPr="00D9348B" w:rsidRDefault="00E20138" w:rsidP="00E20138">
      <w:pPr>
        <w:pStyle w:val="BodyText"/>
        <w:rPr>
          <w:rFonts w:cs="Calibri"/>
          <w:lang w:eastAsia="en-GB"/>
        </w:rPr>
      </w:pPr>
      <w:r w:rsidRPr="00D9348B">
        <w:rPr>
          <w:rFonts w:cs="Calibri"/>
          <w:lang w:eastAsia="en-GB"/>
        </w:rPr>
        <w:lastRenderedPageBreak/>
        <w:t xml:space="preserve">The 2010 year was the first calendar year in which operators could apply for UEFs. MBIE received five applications relating to the use of UEFs of geothermal fluid for that calendar year. These five approved UEFs were then adopted for the inventory after careful assessment of the materiality impact and time-series consistency. </w:t>
      </w:r>
    </w:p>
    <w:p w14:paraId="2729A60C" w14:textId="77777777" w:rsidR="00E20138" w:rsidRPr="00D9348B" w:rsidRDefault="00E20138" w:rsidP="00E20138">
      <w:pPr>
        <w:pStyle w:val="BodyText"/>
        <w:rPr>
          <w:rFonts w:cs="Calibri"/>
          <w:lang w:eastAsia="en-GB"/>
        </w:rPr>
      </w:pPr>
      <w:r w:rsidRPr="00D9348B">
        <w:rPr>
          <w:rFonts w:cs="Calibri"/>
          <w:lang w:eastAsia="en-GB"/>
        </w:rPr>
        <w:t>Because 2010 was the introduction year, MBIE made a judgement that the UEF would apply only to years for which sufficient data are available, that is, from 2010 onward. This submission continues with this approach. From 1990 to 2009, emissions are calculated using field-specific DEFs. Emissions from 2010 onwards are calculated using UEFs where available and field-specific DEFs otherwise.</w:t>
      </w:r>
    </w:p>
    <w:p w14:paraId="03D3DCFA" w14:textId="77777777" w:rsidR="00E20138" w:rsidRPr="00D9348B" w:rsidRDefault="00E20138" w:rsidP="00E20138">
      <w:pPr>
        <w:pStyle w:val="BodyText"/>
        <w:spacing w:after="240"/>
        <w:rPr>
          <w:rFonts w:cs="Calibri"/>
          <w:lang w:eastAsia="en-GB"/>
        </w:rPr>
      </w:pPr>
      <w:r w:rsidRPr="00D9348B">
        <w:rPr>
          <w:rFonts w:cs="Calibri"/>
          <w:lang w:eastAsia="en-GB"/>
        </w:rPr>
        <w:t>When several years of UEF data are available for comparison, the 1990–2009 emission factors for each affected field will be reviewed.</w:t>
      </w:r>
    </w:p>
    <w:tbl>
      <w:tblPr>
        <w:tblW w:w="850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4" w:type="dxa"/>
          <w:left w:w="284" w:type="dxa"/>
          <w:bottom w:w="284" w:type="dxa"/>
          <w:right w:w="284" w:type="dxa"/>
        </w:tblCellMar>
        <w:tblLook w:val="04A0" w:firstRow="1" w:lastRow="0" w:firstColumn="1" w:lastColumn="0" w:noHBand="0" w:noVBand="1"/>
      </w:tblPr>
      <w:tblGrid>
        <w:gridCol w:w="8505"/>
      </w:tblGrid>
      <w:tr w:rsidR="00E20138" w:rsidRPr="00D9348B" w14:paraId="07654823" w14:textId="77777777" w:rsidTr="00DB330E">
        <w:tc>
          <w:tcPr>
            <w:tcW w:w="7938" w:type="dxa"/>
            <w:shd w:val="clear" w:color="auto" w:fill="auto"/>
          </w:tcPr>
          <w:p w14:paraId="71D10DCA" w14:textId="77777777" w:rsidR="00E20138" w:rsidRPr="00D9348B" w:rsidRDefault="00E20138" w:rsidP="00DB330E">
            <w:pPr>
              <w:pStyle w:val="Heading6"/>
              <w:keepNext w:val="0"/>
              <w:spacing w:before="0"/>
              <w:rPr>
                <w:rFonts w:eastAsia="Calibri" w:cs="Calibri"/>
                <w:szCs w:val="20"/>
              </w:rPr>
            </w:pPr>
            <w:r w:rsidRPr="00D9348B">
              <w:rPr>
                <w:rFonts w:eastAsia="Calibri" w:cs="Calibri"/>
                <w:szCs w:val="20"/>
              </w:rPr>
              <w:t>Geothermal methodology for Company A</w:t>
            </w:r>
          </w:p>
          <w:p w14:paraId="7C0AF1F5" w14:textId="77777777" w:rsidR="00E20138" w:rsidRPr="00D9348B" w:rsidRDefault="00E20138" w:rsidP="00DB330E">
            <w:pPr>
              <w:pStyle w:val="BodyText"/>
              <w:rPr>
                <w:rFonts w:eastAsia="Calibri" w:cs="Calibri"/>
                <w:sz w:val="20"/>
              </w:rPr>
            </w:pPr>
            <w:r w:rsidRPr="00D9348B">
              <w:rPr>
                <w:rFonts w:eastAsia="Calibri" w:cs="Calibri"/>
                <w:sz w:val="20"/>
              </w:rPr>
              <w:t xml:space="preserve">At Company A, quarterly gas sampling analysis is conducted to measure the amount of </w:t>
            </w:r>
            <w:r w:rsidRPr="00D9348B">
              <w:rPr>
                <w:rFonts w:cs="Calibri"/>
                <w:sz w:val="20"/>
              </w:rPr>
              <w:t>CO</w:t>
            </w:r>
            <w:r w:rsidRPr="00D9348B">
              <w:rPr>
                <w:rFonts w:cs="Calibri"/>
                <w:sz w:val="20"/>
                <w:vertAlign w:val="subscript"/>
              </w:rPr>
              <w:t>2</w:t>
            </w:r>
            <w:r w:rsidRPr="00D9348B">
              <w:rPr>
                <w:rFonts w:eastAsia="Calibri" w:cs="Calibri"/>
                <w:sz w:val="20"/>
              </w:rPr>
              <w:t xml:space="preserve"> and </w:t>
            </w:r>
            <w:r w:rsidRPr="00D9348B">
              <w:rPr>
                <w:rFonts w:cs="Calibri"/>
                <w:sz w:val="20"/>
              </w:rPr>
              <w:t>CH</w:t>
            </w:r>
            <w:r w:rsidRPr="00D9348B">
              <w:rPr>
                <w:rFonts w:cs="Calibri"/>
                <w:sz w:val="20"/>
                <w:vertAlign w:val="subscript"/>
              </w:rPr>
              <w:t>4</w:t>
            </w:r>
            <w:r w:rsidRPr="00D9348B">
              <w:rPr>
                <w:rFonts w:eastAsia="Calibri" w:cs="Calibri"/>
                <w:sz w:val="20"/>
              </w:rPr>
              <w:t xml:space="preserve"> in the steam. Gas samples are collected at the inlet to the electricity generation station and at the extraction process when gas is dissolved in the condensate (wastewater).</w:t>
            </w:r>
          </w:p>
          <w:p w14:paraId="4AF13811" w14:textId="77777777" w:rsidR="00E20138" w:rsidRPr="00D9348B" w:rsidRDefault="00E20138" w:rsidP="00DB330E">
            <w:pPr>
              <w:pStyle w:val="BodyText"/>
              <w:rPr>
                <w:rFonts w:eastAsia="Calibri" w:cs="Calibri"/>
                <w:sz w:val="20"/>
              </w:rPr>
            </w:pPr>
            <w:r w:rsidRPr="00D9348B">
              <w:rPr>
                <w:rFonts w:eastAsia="Calibri" w:cs="Calibri"/>
                <w:sz w:val="20"/>
              </w:rPr>
              <w:t xml:space="preserve">The concentration of </w:t>
            </w:r>
            <w:r w:rsidRPr="00D9348B">
              <w:rPr>
                <w:rFonts w:cs="Calibri"/>
                <w:sz w:val="20"/>
              </w:rPr>
              <w:t>CO</w:t>
            </w:r>
            <w:r w:rsidRPr="00D9348B">
              <w:rPr>
                <w:rFonts w:cs="Calibri"/>
                <w:sz w:val="20"/>
                <w:vertAlign w:val="subscript"/>
              </w:rPr>
              <w:t>2</w:t>
            </w:r>
            <w:r w:rsidRPr="00D9348B">
              <w:rPr>
                <w:rFonts w:eastAsia="Calibri" w:cs="Calibri"/>
                <w:sz w:val="20"/>
              </w:rPr>
              <w:t xml:space="preserve"> (e.g., 0.612 per cent) and </w:t>
            </w:r>
            <w:r w:rsidRPr="00D9348B">
              <w:rPr>
                <w:rFonts w:cs="Calibri"/>
                <w:sz w:val="20"/>
              </w:rPr>
              <w:t>CH</w:t>
            </w:r>
            <w:r w:rsidRPr="00D9348B">
              <w:rPr>
                <w:rFonts w:cs="Calibri"/>
                <w:sz w:val="20"/>
                <w:vertAlign w:val="subscript"/>
              </w:rPr>
              <w:t>4</w:t>
            </w:r>
            <w:r w:rsidRPr="00D9348B">
              <w:rPr>
                <w:rFonts w:eastAsia="Calibri" w:cs="Calibri"/>
                <w:sz w:val="20"/>
              </w:rPr>
              <w:t xml:space="preserve"> (e.g., 0.0029 per cent) by weight of discharged steam is then calculated by carrying out a mass balance.</w:t>
            </w:r>
          </w:p>
          <w:p w14:paraId="2300CBF4" w14:textId="77777777" w:rsidR="00E20138" w:rsidRPr="00D9348B" w:rsidRDefault="00E20138" w:rsidP="00DB330E">
            <w:pPr>
              <w:spacing w:before="60"/>
              <w:rPr>
                <w:rFonts w:eastAsia="Calibri" w:cs="Calibri"/>
                <w:i/>
                <w:sz w:val="20"/>
              </w:rPr>
            </w:pPr>
            <w:r w:rsidRPr="00D9348B">
              <w:rPr>
                <w:rFonts w:eastAsia="Calibri" w:cs="Calibri"/>
                <w:i/>
                <w:sz w:val="20"/>
              </w:rPr>
              <w:t xml:space="preserve">‘Gas discharged to atmosphere’ = ‘Gas to electricity generation station’ </w:t>
            </w:r>
            <w:r w:rsidRPr="00D9348B">
              <w:rPr>
                <w:rFonts w:cs="Calibri"/>
                <w:sz w:val="20"/>
              </w:rPr>
              <w:t>–</w:t>
            </w:r>
            <w:r w:rsidRPr="00D9348B">
              <w:rPr>
                <w:rFonts w:eastAsia="Calibri" w:cs="Calibri"/>
                <w:i/>
                <w:sz w:val="20"/>
              </w:rPr>
              <w:t xml:space="preserve"> ‘Gas dissolved in condensate’</w:t>
            </w:r>
          </w:p>
          <w:p w14:paraId="709D1911" w14:textId="77777777" w:rsidR="00E20138" w:rsidRPr="00D9348B" w:rsidRDefault="00E20138" w:rsidP="00DB330E">
            <w:pPr>
              <w:pStyle w:val="BodyText"/>
              <w:rPr>
                <w:rFonts w:eastAsia="Calibri" w:cs="Calibri"/>
                <w:sz w:val="20"/>
              </w:rPr>
            </w:pPr>
            <w:r w:rsidRPr="00D9348B">
              <w:rPr>
                <w:rFonts w:eastAsia="Calibri" w:cs="Calibri"/>
                <w:sz w:val="20"/>
              </w:rPr>
              <w:t xml:space="preserve">Company A also collects information on the average steam flow (tonnes of steam per hour) to the electricity generation station. This average steam flow is based on an annual average (e.g., 582.3 tonnes of steam per hour). </w:t>
            </w:r>
          </w:p>
          <w:p w14:paraId="55D7A1AD" w14:textId="77777777" w:rsidR="00E20138" w:rsidRPr="00D9348B" w:rsidRDefault="00E20138" w:rsidP="00DB330E">
            <w:pPr>
              <w:pStyle w:val="BodyText"/>
              <w:spacing w:before="80" w:after="80"/>
              <w:rPr>
                <w:rFonts w:eastAsia="Calibri" w:cs="Calibri"/>
                <w:sz w:val="20"/>
              </w:rPr>
            </w:pPr>
            <w:r w:rsidRPr="00D9348B">
              <w:rPr>
                <w:rFonts w:eastAsia="Calibri" w:cs="Calibri"/>
                <w:sz w:val="20"/>
              </w:rPr>
              <w:t xml:space="preserve">Therefore, working out </w:t>
            </w:r>
            <w:r w:rsidRPr="00D9348B">
              <w:rPr>
                <w:rFonts w:cs="Calibri"/>
                <w:sz w:val="20"/>
              </w:rPr>
              <w:t>CO</w:t>
            </w:r>
            <w:r w:rsidRPr="00D9348B">
              <w:rPr>
                <w:rFonts w:cs="Calibri"/>
                <w:sz w:val="20"/>
                <w:vertAlign w:val="subscript"/>
              </w:rPr>
              <w:t>2</w:t>
            </w:r>
            <w:r w:rsidRPr="00D9348B">
              <w:rPr>
                <w:rFonts w:eastAsia="Calibri" w:cs="Calibri"/>
                <w:sz w:val="20"/>
              </w:rPr>
              <w:t xml:space="preserve"> emissions discharged to atmosphere involves the following calculations.</w:t>
            </w:r>
          </w:p>
          <w:p w14:paraId="4C625778" w14:textId="77777777" w:rsidR="00E20138" w:rsidRPr="00D9348B" w:rsidRDefault="00E20138" w:rsidP="00DB330E">
            <w:pPr>
              <w:pStyle w:val="BodyText"/>
              <w:spacing w:before="80" w:after="80"/>
              <w:rPr>
                <w:rFonts w:eastAsia="Calibri" w:cs="Calibri"/>
                <w:sz w:val="20"/>
              </w:rPr>
            </w:pPr>
            <w:r w:rsidRPr="00D9348B">
              <w:rPr>
                <w:rFonts w:eastAsia="Calibri" w:cs="Calibri"/>
                <w:sz w:val="20"/>
              </w:rPr>
              <w:t xml:space="preserve">Average discharge per hour is calculated as: </w:t>
            </w:r>
          </w:p>
          <w:p w14:paraId="73C26677" w14:textId="77777777" w:rsidR="00E20138" w:rsidRPr="00D9348B" w:rsidRDefault="00E20138" w:rsidP="000A018F">
            <w:pPr>
              <w:ind w:left="284"/>
              <w:rPr>
                <w:rFonts w:eastAsia="Calibri" w:cs="Calibri"/>
                <w:sz w:val="20"/>
              </w:rPr>
            </w:pPr>
            <w:r w:rsidRPr="00D9348B">
              <w:rPr>
                <w:rFonts w:eastAsia="Calibri" w:cs="Calibri"/>
                <w:position w:val="-28"/>
                <w:sz w:val="20"/>
              </w:rPr>
              <w:object w:dxaOrig="6380" w:dyaOrig="660" w14:anchorId="0A111615">
                <v:shape id="_x0000_i1064" type="#_x0000_t75" style="width:336.85pt;height:38.2pt" o:ole="">
                  <v:imagedata r:id="rId83" o:title="" cropright="9261f"/>
                </v:shape>
                <o:OLEObject Type="Embed" ProgID="Equation.3" ShapeID="_x0000_i1064" DrawAspect="Content" ObjectID="_1647932315" r:id="rId84"/>
              </w:object>
            </w:r>
          </w:p>
          <w:p w14:paraId="03E1D533" w14:textId="77777777" w:rsidR="00E20138" w:rsidRPr="00D9348B" w:rsidRDefault="00E20138" w:rsidP="00DB330E">
            <w:pPr>
              <w:spacing w:before="120" w:after="120"/>
              <w:rPr>
                <w:rFonts w:eastAsia="Calibri" w:cs="Calibri"/>
                <w:sz w:val="20"/>
              </w:rPr>
            </w:pPr>
            <w:r w:rsidRPr="00D9348B">
              <w:rPr>
                <w:rFonts w:eastAsia="Calibri" w:cs="Calibri"/>
                <w:sz w:val="20"/>
              </w:rPr>
              <w:t>And the total discharge per year is:</w:t>
            </w:r>
          </w:p>
          <w:p w14:paraId="29AA5AAC" w14:textId="645D3422" w:rsidR="00E20138" w:rsidRPr="00D9348B" w:rsidRDefault="007165CF" w:rsidP="000A018F">
            <w:pPr>
              <w:rPr>
                <w:rFonts w:eastAsia="Calibri" w:cs="Calibri"/>
                <w:sz w:val="20"/>
                <w:highlight w:val="yellow"/>
              </w:rPr>
            </w:pPr>
            <w:r>
              <w:rPr>
                <w:rFonts w:eastAsia="Calibri" w:cs="Calibri"/>
                <w:sz w:val="20"/>
              </w:rPr>
              <w:pict w14:anchorId="148E3808">
                <v:shape id="_x0000_i1065" type="#_x0000_t75" style="width:261.7pt;height:41.3pt">
                  <v:imagedata r:id="rId85" o:title="Snip of Figure ES 3"/>
                </v:shape>
              </w:pict>
            </w:r>
            <w:r w:rsidR="000A018F">
              <w:rPr>
                <w:rFonts w:eastAsia="Calibri" w:cs="Calibri"/>
                <w:sz w:val="20"/>
              </w:rPr>
              <w:br/>
            </w:r>
            <w:r w:rsidR="00E20138" w:rsidRPr="00D9348B">
              <w:rPr>
                <w:rFonts w:eastAsia="Calibri" w:cs="Calibri"/>
                <w:sz w:val="20"/>
              </w:rPr>
              <w:t xml:space="preserve">Using the same methodology above will yield 149 tonnes of </w:t>
            </w:r>
            <w:r w:rsidR="00E20138" w:rsidRPr="00D9348B">
              <w:rPr>
                <w:rFonts w:cs="Calibri"/>
                <w:sz w:val="20"/>
              </w:rPr>
              <w:t>CH</w:t>
            </w:r>
            <w:r w:rsidR="00E20138" w:rsidRPr="00D9348B">
              <w:rPr>
                <w:rFonts w:cs="Calibri"/>
                <w:sz w:val="20"/>
                <w:vertAlign w:val="subscript"/>
              </w:rPr>
              <w:t>4</w:t>
            </w:r>
            <w:r w:rsidR="00E20138" w:rsidRPr="00D9348B">
              <w:rPr>
                <w:rFonts w:eastAsia="Calibri" w:cs="Calibri"/>
                <w:sz w:val="20"/>
              </w:rPr>
              <w:t xml:space="preserve">. The overall emission for Company A is therefore 34,359 tonnes of </w:t>
            </w:r>
            <w:r w:rsidR="00E20138" w:rsidRPr="00D9348B">
              <w:rPr>
                <w:rFonts w:cs="Calibri"/>
                <w:sz w:val="20"/>
              </w:rPr>
              <w:t>CO</w:t>
            </w:r>
            <w:r w:rsidR="00E20138" w:rsidRPr="00D9348B">
              <w:rPr>
                <w:rFonts w:cs="Calibri"/>
                <w:sz w:val="20"/>
                <w:vertAlign w:val="subscript"/>
              </w:rPr>
              <w:t>2</w:t>
            </w:r>
            <w:r w:rsidR="00E20138" w:rsidRPr="00D9348B">
              <w:rPr>
                <w:rFonts w:eastAsia="Calibri" w:cs="Calibri"/>
                <w:sz w:val="20"/>
              </w:rPr>
              <w:t xml:space="preserve">-e emissions. </w:t>
            </w:r>
          </w:p>
        </w:tc>
      </w:tr>
    </w:tbl>
    <w:p w14:paraId="538D1D69" w14:textId="77777777" w:rsidR="00E20138" w:rsidRPr="00D9348B" w:rsidRDefault="00E20138" w:rsidP="00E20138">
      <w:pPr>
        <w:pStyle w:val="BodyText"/>
        <w:spacing w:before="40" w:after="60"/>
        <w:rPr>
          <w:rFonts w:cs="Calibri"/>
        </w:rPr>
      </w:pPr>
    </w:p>
    <w:tbl>
      <w:tblPr>
        <w:tblW w:w="850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4" w:type="dxa"/>
          <w:left w:w="284" w:type="dxa"/>
          <w:bottom w:w="284" w:type="dxa"/>
          <w:right w:w="284" w:type="dxa"/>
        </w:tblCellMar>
        <w:tblLook w:val="04A0" w:firstRow="1" w:lastRow="0" w:firstColumn="1" w:lastColumn="0" w:noHBand="0" w:noVBand="1"/>
      </w:tblPr>
      <w:tblGrid>
        <w:gridCol w:w="8505"/>
      </w:tblGrid>
      <w:tr w:rsidR="00E20138" w:rsidRPr="00D9348B" w14:paraId="24997F47" w14:textId="77777777" w:rsidTr="00DB330E">
        <w:tc>
          <w:tcPr>
            <w:tcW w:w="7938" w:type="dxa"/>
            <w:shd w:val="clear" w:color="auto" w:fill="auto"/>
          </w:tcPr>
          <w:p w14:paraId="67AE35E9" w14:textId="77777777" w:rsidR="00E20138" w:rsidRPr="00D9348B" w:rsidRDefault="00E20138" w:rsidP="00DB330E">
            <w:pPr>
              <w:pStyle w:val="Heading6"/>
              <w:keepNext w:val="0"/>
              <w:spacing w:before="0"/>
              <w:rPr>
                <w:rFonts w:eastAsia="Calibri" w:cs="Calibri"/>
              </w:rPr>
            </w:pPr>
            <w:r w:rsidRPr="00D9348B">
              <w:rPr>
                <w:rFonts w:eastAsia="Calibri" w:cs="Calibri"/>
              </w:rPr>
              <w:t>Geothermal methodology for Company B</w:t>
            </w:r>
          </w:p>
          <w:p w14:paraId="215713A6" w14:textId="77777777" w:rsidR="00E20138" w:rsidRPr="00D9348B" w:rsidRDefault="00E20138" w:rsidP="00DB330E">
            <w:pPr>
              <w:pStyle w:val="BodyText"/>
              <w:spacing w:after="0"/>
              <w:rPr>
                <w:rFonts w:eastAsia="Calibri" w:cs="Calibri"/>
                <w:sz w:val="20"/>
              </w:rPr>
            </w:pPr>
            <w:r w:rsidRPr="00D9348B">
              <w:rPr>
                <w:rFonts w:eastAsia="Calibri" w:cs="Calibri"/>
                <w:sz w:val="20"/>
              </w:rPr>
              <w:t xml:space="preserve">At Company B, spot measurements of both </w:t>
            </w:r>
            <w:r w:rsidRPr="00D9348B">
              <w:rPr>
                <w:rFonts w:cs="Calibri"/>
                <w:sz w:val="20"/>
              </w:rPr>
              <w:t>CO</w:t>
            </w:r>
            <w:r w:rsidRPr="00D9348B">
              <w:rPr>
                <w:rFonts w:cs="Calibri"/>
                <w:sz w:val="20"/>
                <w:vertAlign w:val="subscript"/>
              </w:rPr>
              <w:t>2</w:t>
            </w:r>
            <w:r w:rsidRPr="00D9348B">
              <w:rPr>
                <w:rFonts w:eastAsia="Calibri" w:cs="Calibri"/>
                <w:sz w:val="20"/>
              </w:rPr>
              <w:t xml:space="preserve"> and </w:t>
            </w:r>
            <w:r w:rsidRPr="00D9348B">
              <w:rPr>
                <w:rFonts w:cs="Calibri"/>
                <w:sz w:val="20"/>
              </w:rPr>
              <w:t>CH</w:t>
            </w:r>
            <w:r w:rsidRPr="00D9348B">
              <w:rPr>
                <w:rFonts w:cs="Calibri"/>
                <w:sz w:val="20"/>
                <w:vertAlign w:val="subscript"/>
              </w:rPr>
              <w:t>4</w:t>
            </w:r>
            <w:r w:rsidRPr="00D9348B">
              <w:rPr>
                <w:rFonts w:eastAsia="Calibri" w:cs="Calibri"/>
                <w:sz w:val="20"/>
              </w:rPr>
              <w:t xml:space="preserve"> concentrations are taken at the inlet steam when the power stations are operating normally. The net megawatt-hours of electricity generated that day are then used to calculate the emission factor. This implied emission factor is then multiplied by the annual amount of electricity generated to work out the annual emissions for each power station.</w:t>
            </w:r>
          </w:p>
        </w:tc>
      </w:tr>
    </w:tbl>
    <w:p w14:paraId="2FB49492" w14:textId="77777777" w:rsidR="00E20138" w:rsidRPr="00D9348B" w:rsidRDefault="00E20138" w:rsidP="00865BDB">
      <w:pPr>
        <w:pStyle w:val="Heading4"/>
      </w:pPr>
      <w:r w:rsidRPr="00D9348B">
        <w:rPr>
          <w:lang w:eastAsia="en-GB"/>
        </w:rPr>
        <w:lastRenderedPageBreak/>
        <w:t>Activity data</w:t>
      </w:r>
    </w:p>
    <w:p w14:paraId="3DB46D58" w14:textId="77777777" w:rsidR="00E20138" w:rsidRPr="00D9348B" w:rsidRDefault="00E20138" w:rsidP="009C0F3A">
      <w:pPr>
        <w:pStyle w:val="Heading5"/>
        <w:spacing w:before="160"/>
        <w:rPr>
          <w:rFonts w:cs="Calibri"/>
          <w:lang w:eastAsia="en-GB"/>
        </w:rPr>
      </w:pPr>
      <w:proofErr w:type="gramStart"/>
      <w:r w:rsidRPr="00D9348B">
        <w:rPr>
          <w:rFonts w:cs="Calibri"/>
          <w:lang w:eastAsia="en-GB"/>
        </w:rPr>
        <w:t>1.B.2.a.1</w:t>
      </w:r>
      <w:proofErr w:type="gramEnd"/>
      <w:r w:rsidRPr="00D9348B">
        <w:rPr>
          <w:rFonts w:cs="Calibri"/>
          <w:lang w:eastAsia="en-GB"/>
        </w:rPr>
        <w:t xml:space="preserve"> Exploration</w:t>
      </w:r>
    </w:p>
    <w:p w14:paraId="4DD3ADAC" w14:textId="77777777" w:rsidR="00E20138" w:rsidRPr="00D9348B" w:rsidRDefault="00E20138" w:rsidP="00E20138">
      <w:pPr>
        <w:pStyle w:val="BodyText"/>
        <w:rPr>
          <w:rFonts w:cs="Calibri"/>
          <w:lang w:eastAsia="en-GB"/>
        </w:rPr>
      </w:pPr>
      <w:r w:rsidRPr="00D9348B">
        <w:rPr>
          <w:rFonts w:cs="Calibri"/>
          <w:lang w:eastAsia="en-GB"/>
        </w:rPr>
        <w:t>Activity data are the number of wells drilled in each year as reported by New Zealand Petroleum and Minerals (MBIE, 2019). Data were only available for the years from 2001 onwards, so estimates were made by extrapolation for the years preceding 2001.</w:t>
      </w:r>
    </w:p>
    <w:p w14:paraId="4CBA7E1E" w14:textId="77777777" w:rsidR="00E20138" w:rsidRPr="00D9348B" w:rsidRDefault="00E20138" w:rsidP="00E20138">
      <w:pPr>
        <w:pStyle w:val="Heading5"/>
        <w:rPr>
          <w:rFonts w:cs="Calibri"/>
          <w:lang w:eastAsia="en-GB"/>
        </w:rPr>
      </w:pPr>
      <w:proofErr w:type="gramStart"/>
      <w:r w:rsidRPr="00D9348B">
        <w:rPr>
          <w:rFonts w:cs="Calibri"/>
          <w:lang w:eastAsia="en-GB"/>
        </w:rPr>
        <w:t>1.B.2.a.3</w:t>
      </w:r>
      <w:proofErr w:type="gramEnd"/>
      <w:r w:rsidRPr="00D9348B">
        <w:rPr>
          <w:rFonts w:cs="Calibri"/>
          <w:lang w:eastAsia="en-GB"/>
        </w:rPr>
        <w:t xml:space="preserve"> Transport</w:t>
      </w:r>
    </w:p>
    <w:p w14:paraId="29852E8D" w14:textId="77777777" w:rsidR="00E20138" w:rsidRPr="00D9348B" w:rsidRDefault="00E20138" w:rsidP="00E20138">
      <w:pPr>
        <w:pStyle w:val="BodyText"/>
        <w:rPr>
          <w:rFonts w:cs="Calibri"/>
        </w:rPr>
      </w:pPr>
      <w:r w:rsidRPr="00D9348B">
        <w:rPr>
          <w:rFonts w:cs="Calibri"/>
          <w:lang w:eastAsia="en-GB"/>
        </w:rPr>
        <w:t xml:space="preserve">The activity data are New Zealand’s total production of crude oil (MBIE, 2019). </w:t>
      </w:r>
    </w:p>
    <w:p w14:paraId="75578F0B" w14:textId="77777777" w:rsidR="00E20138" w:rsidRPr="00D9348B" w:rsidRDefault="00E20138" w:rsidP="00E20138">
      <w:pPr>
        <w:pStyle w:val="Heading5"/>
        <w:rPr>
          <w:rFonts w:cs="Calibri"/>
          <w:lang w:eastAsia="en-GB"/>
        </w:rPr>
      </w:pPr>
      <w:proofErr w:type="gramStart"/>
      <w:r w:rsidRPr="00D9348B">
        <w:rPr>
          <w:rFonts w:cs="Calibri"/>
          <w:lang w:eastAsia="en-GB"/>
        </w:rPr>
        <w:t>1.B.2.a.4</w:t>
      </w:r>
      <w:proofErr w:type="gramEnd"/>
      <w:r w:rsidRPr="00D9348B">
        <w:rPr>
          <w:rFonts w:cs="Calibri"/>
          <w:lang w:eastAsia="en-GB"/>
        </w:rPr>
        <w:t xml:space="preserve"> Refining</w:t>
      </w:r>
    </w:p>
    <w:p w14:paraId="3B177F33" w14:textId="77777777" w:rsidR="00E20138" w:rsidRPr="00D9348B" w:rsidRDefault="00E20138" w:rsidP="00E20138">
      <w:pPr>
        <w:pStyle w:val="BodyText"/>
        <w:rPr>
          <w:rFonts w:cs="Calibri"/>
          <w:lang w:eastAsia="en-GB"/>
        </w:rPr>
      </w:pPr>
      <w:r w:rsidRPr="00D9348B">
        <w:rPr>
          <w:rFonts w:cs="Calibri"/>
          <w:lang w:eastAsia="en-GB"/>
        </w:rPr>
        <w:t xml:space="preserve">Activity data are total intake at New Zealand’s sole oil refinery (MBIE, 2019). </w:t>
      </w:r>
    </w:p>
    <w:p w14:paraId="0F779814" w14:textId="77777777" w:rsidR="00E20138" w:rsidRPr="00D9348B" w:rsidRDefault="00E20138" w:rsidP="00E20138">
      <w:pPr>
        <w:pStyle w:val="Heading5"/>
        <w:rPr>
          <w:rFonts w:cs="Calibri"/>
          <w:lang w:eastAsia="en-GB"/>
        </w:rPr>
      </w:pPr>
      <w:proofErr w:type="gramStart"/>
      <w:r w:rsidRPr="00D9348B">
        <w:rPr>
          <w:rFonts w:cs="Calibri"/>
          <w:lang w:eastAsia="en-GB"/>
        </w:rPr>
        <w:t>1.B.2.a.5</w:t>
      </w:r>
      <w:proofErr w:type="gramEnd"/>
      <w:r w:rsidRPr="00D9348B">
        <w:rPr>
          <w:rFonts w:cs="Calibri"/>
          <w:lang w:eastAsia="en-GB"/>
        </w:rPr>
        <w:t xml:space="preserve"> Distribution of oil products</w:t>
      </w:r>
    </w:p>
    <w:p w14:paraId="7A11F4DA" w14:textId="77777777" w:rsidR="00E20138" w:rsidRPr="00D9348B" w:rsidRDefault="00E20138" w:rsidP="00E20138">
      <w:pPr>
        <w:pStyle w:val="BodyText"/>
        <w:rPr>
          <w:rFonts w:cs="Calibri"/>
          <w:lang w:eastAsia="en-GB"/>
        </w:rPr>
      </w:pPr>
      <w:r w:rsidRPr="00D9348B">
        <w:rPr>
          <w:rFonts w:cs="Calibri"/>
          <w:lang w:eastAsia="en-GB"/>
        </w:rPr>
        <w:t>Activity data are New Zealand’s total consumption of gasoline (MBIE, 2019).</w:t>
      </w:r>
    </w:p>
    <w:p w14:paraId="1DEB5B3D" w14:textId="77777777" w:rsidR="00E20138" w:rsidRPr="00D9348B" w:rsidRDefault="00E20138" w:rsidP="00E20138">
      <w:pPr>
        <w:pStyle w:val="Heading5"/>
        <w:rPr>
          <w:rFonts w:cs="Calibri"/>
          <w:lang w:eastAsia="en-GB"/>
        </w:rPr>
      </w:pPr>
      <w:proofErr w:type="gramStart"/>
      <w:r w:rsidRPr="00D9348B">
        <w:rPr>
          <w:rFonts w:cs="Calibri"/>
          <w:lang w:eastAsia="en-GB"/>
        </w:rPr>
        <w:t>1.B.2.b.3</w:t>
      </w:r>
      <w:proofErr w:type="gramEnd"/>
      <w:r w:rsidRPr="00D9348B">
        <w:rPr>
          <w:rFonts w:cs="Calibri"/>
          <w:lang w:eastAsia="en-GB"/>
        </w:rPr>
        <w:t xml:space="preserve"> Processing</w:t>
      </w:r>
    </w:p>
    <w:p w14:paraId="6917F95E" w14:textId="77777777" w:rsidR="00E20138" w:rsidRPr="00D9348B" w:rsidRDefault="00E20138" w:rsidP="00E20138">
      <w:pPr>
        <w:pStyle w:val="BodyText"/>
        <w:rPr>
          <w:rFonts w:cs="Calibri"/>
          <w:lang w:eastAsia="en-GB"/>
        </w:rPr>
      </w:pPr>
      <w:r w:rsidRPr="00D9348B">
        <w:rPr>
          <w:rFonts w:cs="Calibri"/>
          <w:lang w:eastAsia="en-GB"/>
        </w:rPr>
        <w:t>Venting of CO</w:t>
      </w:r>
      <w:r w:rsidRPr="00D9348B">
        <w:rPr>
          <w:rFonts w:cs="Calibri"/>
          <w:vertAlign w:val="subscript"/>
          <w:lang w:eastAsia="en-GB"/>
        </w:rPr>
        <w:t>2</w:t>
      </w:r>
      <w:r w:rsidRPr="00D9348B">
        <w:rPr>
          <w:rFonts w:cs="Calibri"/>
          <w:lang w:eastAsia="en-GB"/>
        </w:rPr>
        <w:t xml:space="preserve"> is reported under 1.B.2.c.2 in accordance with a previous ERT recommendation. No activity data are available.</w:t>
      </w:r>
    </w:p>
    <w:p w14:paraId="57C66C8E" w14:textId="77777777" w:rsidR="00E20138" w:rsidRPr="00D9348B" w:rsidRDefault="00E20138" w:rsidP="00E20138">
      <w:pPr>
        <w:pStyle w:val="Heading5"/>
        <w:rPr>
          <w:rFonts w:cs="Calibri"/>
          <w:lang w:eastAsia="en-GB"/>
        </w:rPr>
      </w:pPr>
      <w:proofErr w:type="gramStart"/>
      <w:r w:rsidRPr="00D9348B">
        <w:rPr>
          <w:rFonts w:cs="Calibri"/>
          <w:lang w:eastAsia="en-GB"/>
        </w:rPr>
        <w:t>1.B.2.b.4</w:t>
      </w:r>
      <w:proofErr w:type="gramEnd"/>
      <w:r w:rsidRPr="00D9348B">
        <w:rPr>
          <w:rFonts w:cs="Calibri"/>
          <w:lang w:eastAsia="en-GB"/>
        </w:rPr>
        <w:t xml:space="preserve"> Transmission and 1.B.2.b.5 Distribution</w:t>
      </w:r>
    </w:p>
    <w:p w14:paraId="723F6284" w14:textId="77777777" w:rsidR="00E20138" w:rsidRPr="00D9348B" w:rsidRDefault="00E20138" w:rsidP="00E20138">
      <w:pPr>
        <w:pStyle w:val="BodyText"/>
        <w:rPr>
          <w:rFonts w:cs="Calibri"/>
          <w:lang w:eastAsia="en-GB"/>
        </w:rPr>
      </w:pPr>
      <w:r w:rsidRPr="00D9348B">
        <w:rPr>
          <w:rFonts w:cs="Calibri"/>
          <w:lang w:eastAsia="en-GB"/>
        </w:rPr>
        <w:t xml:space="preserve">Carbon dioxide and </w:t>
      </w:r>
      <w:r w:rsidRPr="00D9348B">
        <w:rPr>
          <w:rFonts w:cs="Calibri"/>
        </w:rPr>
        <w:t>CH</w:t>
      </w:r>
      <w:r w:rsidRPr="00D9348B">
        <w:rPr>
          <w:rFonts w:cs="Calibri"/>
          <w:vertAlign w:val="subscript"/>
        </w:rPr>
        <w:t>4</w:t>
      </w:r>
      <w:r w:rsidRPr="00D9348B">
        <w:rPr>
          <w:rFonts w:cs="Calibri"/>
          <w:sz w:val="14"/>
          <w:szCs w:val="14"/>
          <w:lang w:eastAsia="en-GB"/>
        </w:rPr>
        <w:t xml:space="preserve"> </w:t>
      </w:r>
      <w:r w:rsidRPr="00D9348B">
        <w:rPr>
          <w:rFonts w:cs="Calibri"/>
          <w:lang w:eastAsia="en-GB"/>
        </w:rPr>
        <w:t xml:space="preserve">emissions from gas leakage mainly occur from low-pressure distribution pipelines rather than from high-pressure transmission pipelines. Emissions from transmission and distribution are reported separately. </w:t>
      </w:r>
    </w:p>
    <w:p w14:paraId="04B3677B" w14:textId="41E33CDB" w:rsidR="00E20138" w:rsidRPr="00D9348B" w:rsidRDefault="00E20138" w:rsidP="00E20138">
      <w:pPr>
        <w:pStyle w:val="BodyText"/>
        <w:rPr>
          <w:rFonts w:cs="Calibri"/>
        </w:rPr>
      </w:pPr>
      <w:r w:rsidRPr="00D9348B">
        <w:rPr>
          <w:rFonts w:cs="Calibri"/>
          <w:lang w:eastAsia="en-GB"/>
        </w:rPr>
        <w:t>Emissions from the high-pressure transmission system were provided by the system operator. N</w:t>
      </w:r>
      <w:r w:rsidRPr="00D9348B">
        <w:rPr>
          <w:rFonts w:cs="Calibri"/>
        </w:rPr>
        <w:t>atural gas transmission losses included both direct leakage of CH</w:t>
      </w:r>
      <w:r w:rsidRPr="00D9348B">
        <w:rPr>
          <w:rFonts w:cs="Calibri"/>
          <w:vertAlign w:val="subscript"/>
        </w:rPr>
        <w:t>4</w:t>
      </w:r>
      <w:r w:rsidRPr="00D9348B">
        <w:rPr>
          <w:rFonts w:cs="Calibri"/>
        </w:rPr>
        <w:t xml:space="preserve"> and CO</w:t>
      </w:r>
      <w:r w:rsidRPr="00D9348B">
        <w:rPr>
          <w:rFonts w:cs="Calibri"/>
          <w:vertAlign w:val="subscript"/>
        </w:rPr>
        <w:t>2</w:t>
      </w:r>
      <w:r w:rsidRPr="00D9348B">
        <w:rPr>
          <w:rFonts w:cs="Calibri"/>
        </w:rPr>
        <w:t xml:space="preserve"> and gas lost and/or used when starting lines compressors. Data are provided for gigajoules (GJ) of CH</w:t>
      </w:r>
      <w:r w:rsidRPr="00D9348B">
        <w:rPr>
          <w:rFonts w:cs="Calibri"/>
          <w:vertAlign w:val="subscript"/>
        </w:rPr>
        <w:t>4</w:t>
      </w:r>
      <w:r w:rsidRPr="00D9348B">
        <w:rPr>
          <w:rFonts w:cs="Calibri"/>
        </w:rPr>
        <w:t xml:space="preserve"> and tonnes of CO</w:t>
      </w:r>
      <w:r w:rsidRPr="00D9348B">
        <w:rPr>
          <w:rFonts w:cs="Calibri"/>
          <w:vertAlign w:val="subscript"/>
        </w:rPr>
        <w:t>2</w:t>
      </w:r>
      <w:r w:rsidRPr="00D9348B">
        <w:rPr>
          <w:rFonts w:cs="Calibri"/>
        </w:rPr>
        <w:t>. Gigajoules of CH</w:t>
      </w:r>
      <w:r w:rsidRPr="00D9348B">
        <w:rPr>
          <w:rFonts w:cs="Calibri"/>
          <w:vertAlign w:val="subscript"/>
        </w:rPr>
        <w:t>4</w:t>
      </w:r>
      <w:r w:rsidRPr="00D9348B">
        <w:rPr>
          <w:rFonts w:cs="Calibri"/>
        </w:rPr>
        <w:t xml:space="preserve"> are converted to tonnes of CH</w:t>
      </w:r>
      <w:r w:rsidRPr="00D9348B">
        <w:rPr>
          <w:rFonts w:cs="Calibri"/>
          <w:vertAlign w:val="subscript"/>
        </w:rPr>
        <w:t>4</w:t>
      </w:r>
      <w:r w:rsidRPr="00D9348B">
        <w:rPr>
          <w:rFonts w:cs="Calibri"/>
        </w:rPr>
        <w:t xml:space="preserve"> using the conversion factor of 55.6 GJ/t. New Zealand has a high-pressure transmission network nearly 3,500 kilometres in length. It joins most North Island cities (natural gas is available only in New Zealand’s North Island). No time series of the total length of the transmission lines is available; however, expert</w:t>
      </w:r>
      <w:r w:rsidR="009C0F3A" w:rsidRPr="00D9348B">
        <w:rPr>
          <w:rFonts w:cs="Calibri"/>
        </w:rPr>
        <w:t> </w:t>
      </w:r>
      <w:r w:rsidRPr="00D9348B">
        <w:rPr>
          <w:rFonts w:cs="Calibri"/>
        </w:rPr>
        <w:t>opinion is that it would have been nearly constant since 1990.</w:t>
      </w:r>
    </w:p>
    <w:p w14:paraId="7195812B" w14:textId="77777777" w:rsidR="00E20138" w:rsidRPr="00D9348B" w:rsidRDefault="00E20138" w:rsidP="00E20138">
      <w:pPr>
        <w:pStyle w:val="BodyText"/>
        <w:rPr>
          <w:rFonts w:cs="Calibri"/>
        </w:rPr>
      </w:pPr>
      <w:r w:rsidRPr="00D9348B">
        <w:rPr>
          <w:rFonts w:cs="Calibri"/>
        </w:rPr>
        <w:t>New Zealand bases distribution loss emissions on information about gas entering the distribution network, which is administrative data collected at the ‘gas gate’ by the gas industry regulator (the Gas Industry Company). It does not follow the alternative approach of using survey information collected from gas retailers on the amount of gas sold and metered at the individual customer (household, small business) level.</w:t>
      </w:r>
    </w:p>
    <w:p w14:paraId="0F894443" w14:textId="77777777" w:rsidR="00E20138" w:rsidRPr="00D9348B" w:rsidRDefault="00E20138" w:rsidP="00E20138">
      <w:pPr>
        <w:pStyle w:val="BodyText"/>
        <w:rPr>
          <w:rFonts w:cs="Calibri"/>
          <w:lang w:eastAsia="en-GB"/>
        </w:rPr>
      </w:pPr>
      <w:r w:rsidRPr="00D9348B">
        <w:rPr>
          <w:rFonts w:cs="Calibri"/>
          <w:lang w:eastAsia="en-GB"/>
        </w:rPr>
        <w:t>Of the gas entering the low-pressure distribution system, 1.75 per cent (</w:t>
      </w:r>
      <w:r w:rsidRPr="00D9348B">
        <w:rPr>
          <w:rFonts w:cs="Calibri"/>
        </w:rPr>
        <w:t>which is based on consultation between the Government and the Gas Association of New Zealand, an industry group</w:t>
      </w:r>
      <w:r w:rsidRPr="00D9348B">
        <w:rPr>
          <w:rFonts w:cs="Calibri"/>
          <w:lang w:eastAsia="en-GB"/>
        </w:rPr>
        <w:t xml:space="preserve">) is assumed to be lost through leakage. Consequently, the amount of natural gas leaked from the low-pressure distribution system is assumed to be 1.75 per cent of the gas entering the distribution system, and </w:t>
      </w:r>
      <w:r w:rsidRPr="00D9348B">
        <w:rPr>
          <w:rFonts w:cs="Calibri"/>
        </w:rPr>
        <w:t>CO</w:t>
      </w:r>
      <w:r w:rsidRPr="00D9348B">
        <w:rPr>
          <w:rFonts w:cs="Calibri"/>
          <w:vertAlign w:val="subscript"/>
        </w:rPr>
        <w:t>2</w:t>
      </w:r>
      <w:r w:rsidRPr="00D9348B">
        <w:rPr>
          <w:rFonts w:cs="Calibri"/>
          <w:sz w:val="14"/>
          <w:szCs w:val="14"/>
          <w:lang w:eastAsia="en-GB"/>
        </w:rPr>
        <w:t xml:space="preserve"> </w:t>
      </w:r>
      <w:r w:rsidRPr="00D9348B">
        <w:rPr>
          <w:rFonts w:cs="Calibri"/>
          <w:lang w:eastAsia="en-GB"/>
        </w:rPr>
        <w:t xml:space="preserve">and </w:t>
      </w:r>
      <w:r w:rsidRPr="00D9348B">
        <w:rPr>
          <w:rFonts w:cs="Calibri"/>
        </w:rPr>
        <w:t>CH</w:t>
      </w:r>
      <w:r w:rsidRPr="00D9348B">
        <w:rPr>
          <w:rFonts w:cs="Calibri"/>
          <w:vertAlign w:val="subscript"/>
        </w:rPr>
        <w:t>4</w:t>
      </w:r>
      <w:r w:rsidRPr="00D9348B">
        <w:rPr>
          <w:rFonts w:cs="Calibri"/>
          <w:sz w:val="14"/>
          <w:szCs w:val="14"/>
          <w:lang w:eastAsia="en-GB"/>
        </w:rPr>
        <w:t xml:space="preserve"> </w:t>
      </w:r>
      <w:r w:rsidRPr="00D9348B">
        <w:rPr>
          <w:rFonts w:cs="Calibri"/>
          <w:lang w:eastAsia="en-GB"/>
        </w:rPr>
        <w:t>emissions are calculated based on the natural gas composition data provided by the system operator.</w:t>
      </w:r>
    </w:p>
    <w:p w14:paraId="200C78B6" w14:textId="77777777" w:rsidR="00E20138" w:rsidRPr="00D9348B" w:rsidRDefault="00E20138" w:rsidP="00E20138">
      <w:pPr>
        <w:pStyle w:val="Heading5"/>
        <w:rPr>
          <w:rFonts w:cs="Calibri"/>
          <w:lang w:eastAsia="en-GB"/>
        </w:rPr>
      </w:pPr>
      <w:proofErr w:type="gramStart"/>
      <w:r w:rsidRPr="00D9348B">
        <w:rPr>
          <w:rFonts w:cs="Calibri"/>
          <w:lang w:eastAsia="en-GB"/>
        </w:rPr>
        <w:lastRenderedPageBreak/>
        <w:t>1.B.2.b.4</w:t>
      </w:r>
      <w:proofErr w:type="gramEnd"/>
      <w:r w:rsidRPr="00D9348B">
        <w:rPr>
          <w:rFonts w:cs="Calibri"/>
          <w:lang w:eastAsia="en-GB"/>
        </w:rPr>
        <w:t xml:space="preserve"> Natural gas storage </w:t>
      </w:r>
    </w:p>
    <w:p w14:paraId="197FA4B4" w14:textId="77777777" w:rsidR="00E20138" w:rsidRPr="00D9348B" w:rsidRDefault="00E20138" w:rsidP="00E20138">
      <w:pPr>
        <w:pStyle w:val="BodyText"/>
        <w:rPr>
          <w:rFonts w:cs="Calibri"/>
        </w:rPr>
      </w:pPr>
      <w:r w:rsidRPr="00D9348B">
        <w:rPr>
          <w:rFonts w:cs="Calibri"/>
        </w:rPr>
        <w:t xml:space="preserve">Natural gas storage occurs at the Ahuroa gas storage facility. Ahuroa is a depleted gas field that can hold 5–10 PJ of natural gas at any one point. A significant portion of this gas is used to run Contact Energy’s Stratford gas peaking plant, which consists of two 100 MW open cycle gas turbine units. </w:t>
      </w:r>
    </w:p>
    <w:p w14:paraId="50DE44E9" w14:textId="77777777" w:rsidR="00E20138" w:rsidRPr="00D9348B" w:rsidRDefault="00E20138" w:rsidP="00E20138">
      <w:pPr>
        <w:pStyle w:val="Heading5"/>
        <w:rPr>
          <w:rFonts w:cs="Calibri"/>
          <w:lang w:eastAsia="en-GB"/>
        </w:rPr>
      </w:pPr>
      <w:proofErr w:type="gramStart"/>
      <w:r w:rsidRPr="00D9348B">
        <w:rPr>
          <w:rFonts w:cs="Calibri"/>
          <w:lang w:eastAsia="en-GB"/>
        </w:rPr>
        <w:t>1.B.2.c</w:t>
      </w:r>
      <w:proofErr w:type="gramEnd"/>
      <w:r w:rsidRPr="00D9348B">
        <w:rPr>
          <w:rFonts w:cs="Calibri"/>
          <w:lang w:eastAsia="en-GB"/>
        </w:rPr>
        <w:t xml:space="preserve"> Venting and fla</w:t>
      </w:r>
      <w:r w:rsidRPr="00D9348B">
        <w:rPr>
          <w:rFonts w:cs="Calibri"/>
        </w:rPr>
        <w:t>r</w:t>
      </w:r>
      <w:r w:rsidRPr="00D9348B">
        <w:rPr>
          <w:rFonts w:cs="Calibri"/>
          <w:lang w:eastAsia="en-GB"/>
        </w:rPr>
        <w:t>ing</w:t>
      </w:r>
    </w:p>
    <w:p w14:paraId="7A068F55" w14:textId="77777777" w:rsidR="00E20138" w:rsidRPr="00D9348B" w:rsidRDefault="00E20138" w:rsidP="00E20138">
      <w:pPr>
        <w:pStyle w:val="BodyText"/>
        <w:rPr>
          <w:rFonts w:cs="Calibri"/>
          <w:lang w:eastAsia="en-GB"/>
        </w:rPr>
      </w:pPr>
      <w:r w:rsidRPr="00D9348B">
        <w:rPr>
          <w:rFonts w:cs="Calibri"/>
          <w:lang w:eastAsia="en-GB"/>
        </w:rPr>
        <w:t xml:space="preserve">Data on the amount of </w:t>
      </w:r>
      <w:r w:rsidRPr="00D9348B">
        <w:rPr>
          <w:rFonts w:cs="Calibri"/>
        </w:rPr>
        <w:t xml:space="preserve">natural </w:t>
      </w:r>
      <w:r w:rsidRPr="00D9348B">
        <w:rPr>
          <w:rFonts w:cs="Calibri"/>
          <w:lang w:eastAsia="en-GB"/>
        </w:rPr>
        <w:t xml:space="preserve">gas flared or vented are reported directly by the gas field operator. </w:t>
      </w:r>
    </w:p>
    <w:p w14:paraId="68B5B746" w14:textId="77777777" w:rsidR="00E20138" w:rsidRPr="00D9348B" w:rsidRDefault="00E20138" w:rsidP="00E20138">
      <w:pPr>
        <w:pStyle w:val="BodyText"/>
        <w:rPr>
          <w:rFonts w:cs="Calibri"/>
          <w:lang w:eastAsia="en-GB"/>
        </w:rPr>
      </w:pPr>
      <w:r w:rsidRPr="00D9348B">
        <w:rPr>
          <w:rFonts w:cs="Calibri"/>
          <w:lang w:eastAsia="en-GB"/>
        </w:rPr>
        <w:t xml:space="preserve">The operator of the Kapuni Gas Treatment Plant, supplies estimates of </w:t>
      </w:r>
      <w:r w:rsidRPr="00D9348B">
        <w:rPr>
          <w:rFonts w:cs="Calibri"/>
        </w:rPr>
        <w:t>CO</w:t>
      </w:r>
      <w:r w:rsidRPr="00D9348B">
        <w:rPr>
          <w:rFonts w:cs="Calibri"/>
          <w:vertAlign w:val="subscript"/>
        </w:rPr>
        <w:t>2</w:t>
      </w:r>
      <w:r w:rsidRPr="00D9348B">
        <w:rPr>
          <w:rFonts w:cs="Calibri"/>
          <w:sz w:val="14"/>
          <w:szCs w:val="14"/>
          <w:lang w:eastAsia="en-GB"/>
        </w:rPr>
        <w:t xml:space="preserve"> </w:t>
      </w:r>
      <w:r w:rsidRPr="00D9348B">
        <w:rPr>
          <w:rFonts w:cs="Calibri"/>
          <w:lang w:eastAsia="en-GB"/>
        </w:rPr>
        <w:t>vented during the processing of natural gas.</w:t>
      </w:r>
    </w:p>
    <w:p w14:paraId="1E44DAF6" w14:textId="77777777" w:rsidR="00E20138" w:rsidRPr="00D9348B" w:rsidRDefault="00E20138" w:rsidP="00865BDB">
      <w:pPr>
        <w:pStyle w:val="Heading4"/>
        <w:rPr>
          <w:lang w:eastAsia="en-GB"/>
        </w:rPr>
      </w:pPr>
      <w:r w:rsidRPr="00D9348B">
        <w:rPr>
          <w:lang w:eastAsia="en-GB"/>
        </w:rPr>
        <w:t>Emission factors</w:t>
      </w:r>
    </w:p>
    <w:p w14:paraId="5290E3BC" w14:textId="77777777" w:rsidR="00E20138" w:rsidRPr="00D9348B" w:rsidRDefault="00E20138" w:rsidP="00E20138">
      <w:pPr>
        <w:pStyle w:val="BodyText"/>
        <w:rPr>
          <w:rFonts w:cs="Calibri"/>
          <w:lang w:eastAsia="en-GB"/>
        </w:rPr>
      </w:pPr>
      <w:r w:rsidRPr="00D9348B">
        <w:rPr>
          <w:rFonts w:cs="Calibri"/>
          <w:lang w:eastAsia="en-GB"/>
        </w:rPr>
        <w:t>Unless noted otherwise, default IPCC emission factors have been used.</w:t>
      </w:r>
    </w:p>
    <w:p w14:paraId="1B7D915E" w14:textId="77777777" w:rsidR="00E20138" w:rsidRPr="00D9348B" w:rsidRDefault="00E20138" w:rsidP="00865BDB">
      <w:pPr>
        <w:pStyle w:val="Heading4"/>
        <w:rPr>
          <w:lang w:eastAsia="en-GB"/>
        </w:rPr>
      </w:pPr>
      <w:r w:rsidRPr="00D9348B">
        <w:rPr>
          <w:lang w:eastAsia="en-GB"/>
        </w:rPr>
        <w:t>Uncertainties and time-series consistency</w:t>
      </w:r>
    </w:p>
    <w:p w14:paraId="3B3E9678" w14:textId="77777777" w:rsidR="00E20138" w:rsidRPr="00D9348B" w:rsidRDefault="00E20138" w:rsidP="00E20138">
      <w:pPr>
        <w:pStyle w:val="BodyText"/>
        <w:rPr>
          <w:rFonts w:cs="Calibri"/>
          <w:lang w:eastAsia="en-GB"/>
        </w:rPr>
      </w:pPr>
      <w:r w:rsidRPr="00D9348B">
        <w:rPr>
          <w:rFonts w:cs="Calibri"/>
          <w:lang w:eastAsia="en-GB"/>
        </w:rPr>
        <w:t>The time series of data from the various geothermal fields varies in completeness – some historical data are not available. The individual geothermal fields each produce varying levels of output and emissions so the overall implied emission factors display a certain amount of natural variation.</w:t>
      </w:r>
    </w:p>
    <w:p w14:paraId="6B1F52D5" w14:textId="77777777" w:rsidR="00E20138" w:rsidRPr="00D9348B" w:rsidRDefault="00E20138" w:rsidP="00865BDB">
      <w:pPr>
        <w:pStyle w:val="Heading4"/>
        <w:rPr>
          <w:lang w:eastAsia="en-GB"/>
        </w:rPr>
      </w:pPr>
      <w:r w:rsidRPr="00D9348B">
        <w:rPr>
          <w:lang w:eastAsia="en-GB"/>
        </w:rPr>
        <w:t>Source-specific QA/QC and verification</w:t>
      </w:r>
    </w:p>
    <w:p w14:paraId="2BB99C08" w14:textId="77777777" w:rsidR="00E20138" w:rsidRPr="00D9348B" w:rsidRDefault="00E20138" w:rsidP="00E20138">
      <w:pPr>
        <w:pStyle w:val="BodyText"/>
        <w:rPr>
          <w:rFonts w:cs="Calibri"/>
          <w:lang w:eastAsia="en-GB"/>
        </w:rPr>
      </w:pPr>
      <w:r w:rsidRPr="00D9348B">
        <w:rPr>
          <w:rFonts w:cs="Calibri"/>
          <w:lang w:eastAsia="en-GB"/>
        </w:rPr>
        <w:t xml:space="preserve">In the preparation of this inventory, the </w:t>
      </w:r>
      <w:r w:rsidRPr="00D9348B">
        <w:rPr>
          <w:rFonts w:cs="Calibri"/>
          <w:i/>
          <w:lang w:eastAsia="en-GB"/>
        </w:rPr>
        <w:t>Fugitive emissions</w:t>
      </w:r>
      <w:r w:rsidRPr="00D9348B">
        <w:rPr>
          <w:rFonts w:cs="Calibri"/>
          <w:lang w:eastAsia="en-GB"/>
        </w:rPr>
        <w:t xml:space="preserve"> category underwent Tier 1 quality</w:t>
      </w:r>
      <w:r w:rsidRPr="00D9348B">
        <w:rPr>
          <w:rFonts w:cs="Calibri"/>
          <w:lang w:eastAsia="en-GB"/>
        </w:rPr>
        <w:noBreakHyphen/>
        <w:t>assurance and quality-control checks as recommended in the 2006 IPCC Guidelines. These include regular control sums throughout systems, to verify system integrity, and consistency checks of implied emission factors.</w:t>
      </w:r>
    </w:p>
    <w:p w14:paraId="0AA3B30E" w14:textId="77777777" w:rsidR="00E20138" w:rsidRPr="00D9348B" w:rsidRDefault="00E20138" w:rsidP="00865BDB">
      <w:pPr>
        <w:pStyle w:val="Heading4"/>
        <w:rPr>
          <w:lang w:eastAsia="en-GB"/>
        </w:rPr>
      </w:pPr>
      <w:r w:rsidRPr="00D9348B">
        <w:rPr>
          <w:lang w:eastAsia="en-GB"/>
        </w:rPr>
        <w:t>Source-specific planned improvements</w:t>
      </w:r>
    </w:p>
    <w:p w14:paraId="4518D2E3" w14:textId="77777777" w:rsidR="00E20138" w:rsidRPr="00D9348B" w:rsidRDefault="00E20138" w:rsidP="00E20138">
      <w:pPr>
        <w:pStyle w:val="BodyText"/>
        <w:rPr>
          <w:rFonts w:cs="Calibri"/>
          <w:lang w:eastAsia="en-GB"/>
        </w:rPr>
      </w:pPr>
      <w:r w:rsidRPr="00D9348B">
        <w:rPr>
          <w:rFonts w:cs="Calibri"/>
          <w:lang w:eastAsia="en-GB"/>
        </w:rPr>
        <w:t>As the data set of verified unique emission factors for individual geothermal fields and coal mines obtained from the NZ ETS grows, New Zealand will consider methods of incorporating these data to improve the accuracy of estimates.</w:t>
      </w:r>
    </w:p>
    <w:p w14:paraId="645F2E25" w14:textId="77777777" w:rsidR="00E20138" w:rsidRPr="00D9348B" w:rsidRDefault="00E20138" w:rsidP="00E20138">
      <w:pPr>
        <w:pStyle w:val="Heading2"/>
        <w:spacing w:before="0" w:after="240"/>
        <w:rPr>
          <w:rFonts w:cs="Calibri"/>
        </w:rPr>
      </w:pPr>
      <w:r w:rsidRPr="00D9348B">
        <w:rPr>
          <w:rFonts w:cs="Calibri"/>
        </w:rPr>
        <w:br w:type="page"/>
      </w:r>
      <w:bookmarkStart w:id="450" w:name="_Toc384581638"/>
      <w:bookmarkStart w:id="451" w:name="_Toc448321510"/>
      <w:bookmarkStart w:id="452" w:name="_Toc481751372"/>
      <w:bookmarkStart w:id="453" w:name="_Toc36224389"/>
      <w:r w:rsidRPr="00D9348B">
        <w:rPr>
          <w:rFonts w:cs="Calibri"/>
        </w:rPr>
        <w:lastRenderedPageBreak/>
        <w:t>Chapter 3: References</w:t>
      </w:r>
      <w:bookmarkEnd w:id="450"/>
      <w:bookmarkEnd w:id="451"/>
      <w:bookmarkEnd w:id="452"/>
      <w:bookmarkEnd w:id="453"/>
    </w:p>
    <w:p w14:paraId="327A3FEC" w14:textId="77777777" w:rsidR="00E20138" w:rsidRPr="00D9348B" w:rsidRDefault="00E20138" w:rsidP="00E20138">
      <w:pPr>
        <w:pStyle w:val="References"/>
        <w:rPr>
          <w:rFonts w:cs="Calibri"/>
          <w:lang w:eastAsia="en-GB"/>
        </w:rPr>
      </w:pPr>
      <w:r w:rsidRPr="00D9348B">
        <w:rPr>
          <w:rFonts w:cs="Calibri"/>
          <w:lang w:eastAsia="en-GB"/>
        </w:rPr>
        <w:t xml:space="preserve">Australian Bureau of Statistics and Statistics New Zealand. 2006. </w:t>
      </w:r>
      <w:r w:rsidRPr="00D9348B">
        <w:rPr>
          <w:rFonts w:cs="Calibri"/>
          <w:i/>
          <w:iCs/>
          <w:lang w:eastAsia="en-GB"/>
        </w:rPr>
        <w:t xml:space="preserve">Australian and New Zealand Standard Industrial Classification Revision 1.0. </w:t>
      </w:r>
      <w:r w:rsidRPr="00D9348B">
        <w:rPr>
          <w:rFonts w:cs="Calibri"/>
          <w:lang w:eastAsia="en-GB"/>
        </w:rPr>
        <w:t>Canberra: Australian Bureau of Statistics.</w:t>
      </w:r>
    </w:p>
    <w:p w14:paraId="16F30B97" w14:textId="77777777" w:rsidR="00E20138" w:rsidRPr="00D9348B" w:rsidRDefault="00E20138" w:rsidP="00E20138">
      <w:pPr>
        <w:pStyle w:val="References"/>
        <w:rPr>
          <w:rFonts w:cs="Calibri"/>
          <w:lang w:eastAsia="en-GB"/>
        </w:rPr>
      </w:pPr>
      <w:r w:rsidRPr="00D9348B">
        <w:rPr>
          <w:rFonts w:cs="Calibri"/>
          <w:lang w:eastAsia="en-GB"/>
        </w:rPr>
        <w:t xml:space="preserve">Baines JT. 1993. </w:t>
      </w:r>
      <w:r w:rsidRPr="00D9348B">
        <w:rPr>
          <w:rFonts w:cs="Calibri"/>
          <w:i/>
          <w:iCs/>
          <w:lang w:eastAsia="en-GB"/>
        </w:rPr>
        <w:t>New Zealand Energy Information Handbook</w:t>
      </w:r>
      <w:r w:rsidRPr="00D9348B">
        <w:rPr>
          <w:rFonts w:cs="Calibri"/>
          <w:lang w:eastAsia="en-GB"/>
        </w:rPr>
        <w:t>. Christchurch: Taylor Baines and Associates.</w:t>
      </w:r>
    </w:p>
    <w:p w14:paraId="051064F1" w14:textId="77777777" w:rsidR="00E20138" w:rsidRPr="00D9348B" w:rsidRDefault="00E20138" w:rsidP="00E20138">
      <w:pPr>
        <w:pStyle w:val="References"/>
        <w:rPr>
          <w:rFonts w:cs="Calibri"/>
          <w:lang w:eastAsia="en-GB"/>
        </w:rPr>
      </w:pPr>
      <w:r w:rsidRPr="00D9348B">
        <w:rPr>
          <w:rFonts w:cs="Calibri"/>
          <w:lang w:eastAsia="en-GB"/>
        </w:rPr>
        <w:t xml:space="preserve">Beamish BB, Vance WE. 1992. Greenhouse Gas Contributions from Coal Mining in Australia and New Zealand. </w:t>
      </w:r>
      <w:r w:rsidRPr="00D9348B">
        <w:rPr>
          <w:rFonts w:cs="Calibri"/>
          <w:i/>
          <w:iCs/>
          <w:lang w:eastAsia="en-GB"/>
        </w:rPr>
        <w:t xml:space="preserve">Journal of the Royal Society of New Zealand </w:t>
      </w:r>
      <w:r w:rsidRPr="00D9348B">
        <w:rPr>
          <w:rFonts w:cs="Calibri"/>
          <w:lang w:eastAsia="en-GB"/>
        </w:rPr>
        <w:t>22(2).</w:t>
      </w:r>
    </w:p>
    <w:p w14:paraId="60FD3728" w14:textId="77777777" w:rsidR="00E20138" w:rsidRPr="00D9348B" w:rsidRDefault="00E20138" w:rsidP="00E20138">
      <w:pPr>
        <w:pStyle w:val="References"/>
        <w:rPr>
          <w:rFonts w:cs="Calibri"/>
          <w:lang w:eastAsia="en-GB"/>
        </w:rPr>
      </w:pPr>
      <w:r w:rsidRPr="00D9348B">
        <w:rPr>
          <w:rFonts w:cs="Calibri"/>
          <w:lang w:eastAsia="en-GB"/>
        </w:rPr>
        <w:t xml:space="preserve">Bioenergy Association of New Zealand. 2011. </w:t>
      </w:r>
      <w:r w:rsidRPr="00D9348B">
        <w:rPr>
          <w:rFonts w:cs="Calibri"/>
          <w:i/>
          <w:lang w:eastAsia="en-GB"/>
        </w:rPr>
        <w:t>Heat Plant in New Zealand</w:t>
      </w:r>
      <w:r w:rsidRPr="00D9348B">
        <w:rPr>
          <w:rFonts w:cs="Calibri"/>
          <w:lang w:eastAsia="en-GB"/>
        </w:rPr>
        <w:t>. Retrieved from</w:t>
      </w:r>
      <w:r w:rsidRPr="00D9348B">
        <w:rPr>
          <w:rFonts w:cs="Calibri"/>
        </w:rPr>
        <w:t> www.bioenergy.org.nz/documents/resource/heat-plant-database-report-august-2011.pdf (March 2018).</w:t>
      </w:r>
    </w:p>
    <w:p w14:paraId="6D39EFEA" w14:textId="77777777" w:rsidR="00E20138" w:rsidRPr="00D9348B" w:rsidRDefault="00E20138" w:rsidP="00E20138">
      <w:pPr>
        <w:pStyle w:val="References"/>
        <w:rPr>
          <w:rFonts w:cs="Calibri"/>
          <w:lang w:eastAsia="en-GB"/>
        </w:rPr>
      </w:pPr>
      <w:r w:rsidRPr="00D9348B">
        <w:rPr>
          <w:rFonts w:cs="Calibri"/>
          <w:lang w:eastAsia="en-GB"/>
        </w:rPr>
        <w:t xml:space="preserve">BRANZ. 2002. </w:t>
      </w:r>
      <w:r w:rsidRPr="00D9348B">
        <w:rPr>
          <w:rFonts w:cs="Calibri"/>
          <w:i/>
          <w:iCs/>
          <w:lang w:eastAsia="en-GB"/>
        </w:rPr>
        <w:t>Energy Use in New Zealand Households</w:t>
      </w:r>
      <w:r w:rsidRPr="00D9348B">
        <w:rPr>
          <w:rFonts w:cs="Calibri"/>
          <w:lang w:eastAsia="en-GB"/>
        </w:rPr>
        <w:t>. Porirua, Wellington: Building Research Association of New Zealand.</w:t>
      </w:r>
    </w:p>
    <w:p w14:paraId="62B5E3E9" w14:textId="77777777" w:rsidR="00E20138" w:rsidRPr="00D9348B" w:rsidRDefault="00E20138" w:rsidP="00E20138">
      <w:pPr>
        <w:pStyle w:val="References"/>
        <w:rPr>
          <w:rFonts w:cs="Calibri"/>
          <w:lang w:eastAsia="en-GB"/>
        </w:rPr>
      </w:pPr>
      <w:r w:rsidRPr="00D9348B">
        <w:rPr>
          <w:rFonts w:cs="Calibri"/>
          <w:lang w:eastAsia="en-GB"/>
        </w:rPr>
        <w:t xml:space="preserve">CRL Energy Ltd. 2009. </w:t>
      </w:r>
      <w:r w:rsidRPr="00D9348B">
        <w:rPr>
          <w:rFonts w:cs="Calibri"/>
          <w:i/>
          <w:iCs/>
          <w:lang w:eastAsia="en-GB"/>
        </w:rPr>
        <w:t>Reviewing Default Emission Factors in Draft Stationary Energy and Industrial Processes.</w:t>
      </w:r>
      <w:r w:rsidRPr="00D9348B">
        <w:rPr>
          <w:rFonts w:cs="Calibri"/>
          <w:lang w:eastAsia="en-GB"/>
        </w:rPr>
        <w:t xml:space="preserve"> Contract report prepared for the Ministry for the Environment. Wellington: Ministry for the Environment. Retrieved from</w:t>
      </w:r>
      <w:r w:rsidRPr="00D9348B">
        <w:rPr>
          <w:rFonts w:cs="Calibri"/>
        </w:rPr>
        <w:t xml:space="preserve"> </w:t>
      </w:r>
      <w:hyperlink r:id="rId86" w:history="1">
        <w:r w:rsidRPr="00D9348B">
          <w:rPr>
            <w:rFonts w:cs="Calibri"/>
          </w:rPr>
          <w:t>www.climatechange.govt.nz/consultation /energy/review-default-emissions-factors.pdf</w:t>
        </w:r>
      </w:hyperlink>
      <w:r w:rsidRPr="00D9348B">
        <w:rPr>
          <w:rFonts w:cs="Calibri"/>
        </w:rPr>
        <w:t xml:space="preserve"> (Ma</w:t>
      </w:r>
      <w:r w:rsidRPr="00D9348B">
        <w:rPr>
          <w:rFonts w:cs="Calibri"/>
          <w:lang w:eastAsia="en-GB"/>
        </w:rPr>
        <w:t>rch 2018).</w:t>
      </w:r>
    </w:p>
    <w:p w14:paraId="76F53DE1" w14:textId="77777777" w:rsidR="00E20138" w:rsidRPr="00D9348B" w:rsidRDefault="00E20138" w:rsidP="00E20138">
      <w:pPr>
        <w:pStyle w:val="References"/>
        <w:rPr>
          <w:rFonts w:cs="Calibri"/>
        </w:rPr>
      </w:pPr>
      <w:r w:rsidRPr="00D9348B">
        <w:rPr>
          <w:rFonts w:cs="Calibri"/>
        </w:rPr>
        <w:t xml:space="preserve">Climate Change (Stationary Energy and Industrial Processes) Regulations 2009 (as at 1 January 2018) </w:t>
      </w:r>
      <w:hyperlink r:id="rId87" w:history="1">
        <w:r w:rsidRPr="00D9348B">
          <w:rPr>
            <w:rFonts w:cs="Calibri"/>
          </w:rPr>
          <w:t>www.legislation.govt.nz/regulation/public/2009/0285/latest/DLM2394207.html</w:t>
        </w:r>
      </w:hyperlink>
    </w:p>
    <w:p w14:paraId="3953D195" w14:textId="77777777" w:rsidR="00E20138" w:rsidRPr="00D9348B" w:rsidRDefault="00E20138" w:rsidP="00E20138">
      <w:pPr>
        <w:pStyle w:val="References"/>
        <w:rPr>
          <w:rFonts w:cs="Calibri"/>
        </w:rPr>
      </w:pPr>
      <w:r w:rsidRPr="00D9348B">
        <w:rPr>
          <w:rFonts w:cs="Calibri"/>
        </w:rPr>
        <w:t>Climate Change (Liquid Fossil Fuels) Amendment Regulations 2009 (as at 29 December 2015) www.legislation.govt.nz/regulation/public/2008/0356/latest/DLM1635638.html</w:t>
      </w:r>
    </w:p>
    <w:p w14:paraId="5F9C09E2" w14:textId="77777777" w:rsidR="00E20138" w:rsidRPr="00D9348B" w:rsidRDefault="00E20138" w:rsidP="00E20138">
      <w:pPr>
        <w:pStyle w:val="References"/>
        <w:rPr>
          <w:rFonts w:cs="Calibri"/>
        </w:rPr>
      </w:pPr>
      <w:r w:rsidRPr="00D9348B">
        <w:rPr>
          <w:rFonts w:cs="Calibri"/>
        </w:rPr>
        <w:t>Climate Change (Unique Emissions Factors) Regulations 2009 (as at 1 January 2018) www.legislation.govt.nz/regulation/public/2009/0286/latest/DLM2378401.html</w:t>
      </w:r>
    </w:p>
    <w:p w14:paraId="00340B42" w14:textId="77777777" w:rsidR="00E20138" w:rsidRPr="00D9348B" w:rsidRDefault="00E20138" w:rsidP="00E20138">
      <w:pPr>
        <w:pStyle w:val="References"/>
        <w:rPr>
          <w:rFonts w:cs="Calibri"/>
          <w:lang w:eastAsia="en-GB"/>
        </w:rPr>
      </w:pPr>
      <w:r w:rsidRPr="00D9348B">
        <w:rPr>
          <w:rFonts w:cs="Calibri"/>
          <w:lang w:eastAsia="en-GB"/>
        </w:rPr>
        <w:t xml:space="preserve">European Environment Agency. 2007. </w:t>
      </w:r>
      <w:r w:rsidRPr="00D9348B">
        <w:rPr>
          <w:rFonts w:cs="Calibri"/>
          <w:i/>
          <w:iCs/>
          <w:lang w:eastAsia="en-GB"/>
        </w:rPr>
        <w:t>EMEP/CORINAIR Emission Inventory Guidebook – 2007</w:t>
      </w:r>
      <w:r w:rsidRPr="00D9348B">
        <w:rPr>
          <w:rFonts w:cs="Calibri"/>
          <w:iCs/>
          <w:lang w:eastAsia="en-GB"/>
        </w:rPr>
        <w:t>. Copenhagen:</w:t>
      </w:r>
      <w:r w:rsidRPr="00D9348B">
        <w:rPr>
          <w:rFonts w:cs="Calibri"/>
          <w:lang w:eastAsia="en-GB"/>
        </w:rPr>
        <w:t xml:space="preserve"> European Environment Agency.</w:t>
      </w:r>
    </w:p>
    <w:p w14:paraId="67A08285" w14:textId="77777777" w:rsidR="00E20138" w:rsidRPr="00D9348B" w:rsidRDefault="00E20138" w:rsidP="00E20138">
      <w:pPr>
        <w:pStyle w:val="References"/>
        <w:rPr>
          <w:rFonts w:cs="Calibri"/>
          <w:lang w:eastAsia="en-GB"/>
        </w:rPr>
      </w:pPr>
      <w:r w:rsidRPr="00D9348B">
        <w:rPr>
          <w:rFonts w:cs="Calibri"/>
          <w:lang w:eastAsia="en-GB"/>
        </w:rPr>
        <w:t xml:space="preserve">European Environment Agency. 2016. </w:t>
      </w:r>
      <w:r w:rsidRPr="00D9348B">
        <w:rPr>
          <w:rFonts w:cs="Calibri"/>
          <w:i/>
          <w:lang w:eastAsia="en-GB"/>
        </w:rPr>
        <w:t>EMEP/EEA Air Pollutant Emission Inventory Guidebook 2016: Technical guidance to prepare national emission inventories</w:t>
      </w:r>
      <w:r w:rsidRPr="00D9348B">
        <w:rPr>
          <w:rFonts w:cs="Calibri"/>
          <w:lang w:eastAsia="en-GB"/>
        </w:rPr>
        <w:t xml:space="preserve">. </w:t>
      </w:r>
      <w:r w:rsidRPr="00D9348B">
        <w:rPr>
          <w:rFonts w:cs="Calibri"/>
          <w:iCs/>
          <w:lang w:eastAsia="en-GB"/>
        </w:rPr>
        <w:t>Copenhagen</w:t>
      </w:r>
      <w:r w:rsidRPr="00D9348B">
        <w:rPr>
          <w:rFonts w:cs="Calibri"/>
          <w:lang w:eastAsia="en-GB"/>
        </w:rPr>
        <w:t>: European Environment Agency.</w:t>
      </w:r>
    </w:p>
    <w:p w14:paraId="13BC1438" w14:textId="77777777" w:rsidR="00E20138" w:rsidRPr="00D9348B" w:rsidRDefault="00E20138" w:rsidP="00E20138">
      <w:pPr>
        <w:pStyle w:val="References"/>
        <w:rPr>
          <w:rFonts w:cs="Calibri"/>
        </w:rPr>
      </w:pPr>
      <w:r w:rsidRPr="00D9348B">
        <w:rPr>
          <w:rFonts w:cs="Calibri"/>
        </w:rPr>
        <w:t xml:space="preserve">IPCC. 2006. Eggleston HS, Buendia L, Miwa K, Ngara T, Tanabe K (eds). </w:t>
      </w:r>
      <w:r w:rsidRPr="00D9348B">
        <w:rPr>
          <w:rFonts w:cs="Calibri"/>
          <w:i/>
        </w:rPr>
        <w:t>2006 IPCC Guidelines for National Greenhouse Gas Inventories. Volume 2. Energy</w:t>
      </w:r>
      <w:r w:rsidRPr="00D9348B">
        <w:rPr>
          <w:rFonts w:cs="Calibri"/>
        </w:rPr>
        <w:t>. IPCC National Greenhouse Gas Inventories Programme. Japan: Institute for Global Environmental Strategies for IPCC.</w:t>
      </w:r>
    </w:p>
    <w:p w14:paraId="3160596C" w14:textId="77777777" w:rsidR="00E20138" w:rsidRPr="00D9348B" w:rsidRDefault="00E20138" w:rsidP="00E20138">
      <w:pPr>
        <w:pStyle w:val="References"/>
        <w:rPr>
          <w:rFonts w:cs="Calibri"/>
        </w:rPr>
      </w:pPr>
      <w:r w:rsidRPr="00D9348B">
        <w:rPr>
          <w:rFonts w:cs="Calibri"/>
        </w:rPr>
        <w:t xml:space="preserve">MBIE. 2008. </w:t>
      </w:r>
      <w:r w:rsidRPr="00D9348B">
        <w:rPr>
          <w:rFonts w:cs="Calibri"/>
          <w:i/>
          <w:iCs/>
        </w:rPr>
        <w:t>Liquid Fuel Use in New Zealand</w:t>
      </w:r>
      <w:r w:rsidRPr="00D9348B">
        <w:rPr>
          <w:rFonts w:cs="Calibri"/>
        </w:rPr>
        <w:t xml:space="preserve">. </w:t>
      </w:r>
      <w:r w:rsidRPr="00D9348B">
        <w:rPr>
          <w:rFonts w:cs="Calibri"/>
          <w:lang w:eastAsia="en-GB"/>
        </w:rPr>
        <w:t xml:space="preserve">Wellington: </w:t>
      </w:r>
      <w:r w:rsidRPr="00D9348B">
        <w:rPr>
          <w:rFonts w:cs="Calibri"/>
        </w:rPr>
        <w:t>Ministry of Business, Innovation and Employment</w:t>
      </w:r>
      <w:r w:rsidRPr="00D9348B">
        <w:rPr>
          <w:rFonts w:cs="Calibri"/>
          <w:lang w:eastAsia="en-GB"/>
        </w:rPr>
        <w:t xml:space="preserve">. </w:t>
      </w:r>
      <w:r w:rsidRPr="00D9348B">
        <w:rPr>
          <w:rFonts w:cs="Calibri"/>
        </w:rPr>
        <w:t xml:space="preserve">Retrieved from </w:t>
      </w:r>
      <w:hyperlink r:id="rId88" w:history="1">
        <w:r w:rsidRPr="00D9348B">
          <w:rPr>
            <w:rFonts w:cs="Calibri"/>
          </w:rPr>
          <w:t>www.med.govt.nz/sectors-industries/energy/energy-modelling/technical-papers/liquid-fuels-use-in-new-zealand</w:t>
        </w:r>
      </w:hyperlink>
      <w:r w:rsidRPr="00D9348B">
        <w:rPr>
          <w:rFonts w:cs="Calibri"/>
        </w:rPr>
        <w:t xml:space="preserve"> (March 2013).</w:t>
      </w:r>
    </w:p>
    <w:p w14:paraId="58535D19" w14:textId="77777777" w:rsidR="00E20138" w:rsidRPr="00D9348B" w:rsidRDefault="00E20138" w:rsidP="00E20138">
      <w:pPr>
        <w:pStyle w:val="References"/>
        <w:rPr>
          <w:rFonts w:cs="Calibri"/>
        </w:rPr>
      </w:pPr>
      <w:r w:rsidRPr="00D9348B">
        <w:rPr>
          <w:rFonts w:cs="Calibri"/>
        </w:rPr>
        <w:t xml:space="preserve">MBIE. 2010. </w:t>
      </w:r>
      <w:r w:rsidRPr="00D9348B">
        <w:rPr>
          <w:rFonts w:cs="Calibri"/>
          <w:i/>
        </w:rPr>
        <w:t>Delivering the Diesel – Liquid Fuel Deliveries in New Zealand 1990–2008</w:t>
      </w:r>
      <w:r w:rsidRPr="00D9348B">
        <w:rPr>
          <w:rFonts w:cs="Calibri"/>
        </w:rPr>
        <w:t xml:space="preserve">. </w:t>
      </w:r>
      <w:r w:rsidRPr="00D9348B">
        <w:rPr>
          <w:rFonts w:cs="Calibri"/>
          <w:lang w:eastAsia="en-GB"/>
        </w:rPr>
        <w:t xml:space="preserve">Wellington: </w:t>
      </w:r>
      <w:r w:rsidRPr="00D9348B">
        <w:rPr>
          <w:rFonts w:cs="Calibri"/>
        </w:rPr>
        <w:t>Ministry of Business, Innovation and Employment</w:t>
      </w:r>
      <w:r w:rsidRPr="00D9348B">
        <w:rPr>
          <w:rFonts w:cs="Calibri"/>
          <w:lang w:eastAsia="en-GB"/>
        </w:rPr>
        <w:t xml:space="preserve">. </w:t>
      </w:r>
      <w:r w:rsidRPr="00D9348B">
        <w:rPr>
          <w:rFonts w:cs="Calibri"/>
        </w:rPr>
        <w:t xml:space="preserve">Retrieved from </w:t>
      </w:r>
      <w:hyperlink r:id="rId89" w:history="1">
        <w:r w:rsidRPr="00D9348B">
          <w:rPr>
            <w:rStyle w:val="Hyperlink"/>
            <w:rFonts w:cs="Calibri"/>
            <w:color w:val="auto"/>
          </w:rPr>
          <w:t>www.med.govt.nz/sectors-industries/energy/energy-modelling/technical-papers/delivering-the-diesel-liquid-fuel-deliveries-in-new-zealand-1990-2008</w:t>
        </w:r>
      </w:hyperlink>
      <w:r w:rsidRPr="00D9348B">
        <w:rPr>
          <w:rFonts w:cs="Calibri"/>
        </w:rPr>
        <w:t xml:space="preserve"> (March 2013).</w:t>
      </w:r>
    </w:p>
    <w:p w14:paraId="11277242" w14:textId="77777777" w:rsidR="00E20138" w:rsidRPr="00D9348B" w:rsidRDefault="00E20138" w:rsidP="00E20138">
      <w:pPr>
        <w:pStyle w:val="References"/>
        <w:rPr>
          <w:rFonts w:cs="Calibri"/>
          <w:lang w:eastAsia="en-GB"/>
        </w:rPr>
      </w:pPr>
      <w:r w:rsidRPr="00D9348B">
        <w:rPr>
          <w:rFonts w:cs="Calibri"/>
          <w:lang w:eastAsia="en-GB"/>
        </w:rPr>
        <w:t>M</w:t>
      </w:r>
      <w:r w:rsidRPr="00D9348B">
        <w:rPr>
          <w:rFonts w:cs="Calibri"/>
        </w:rPr>
        <w:t>BIE</w:t>
      </w:r>
      <w:r w:rsidRPr="00D9348B">
        <w:rPr>
          <w:rFonts w:cs="Calibri"/>
          <w:lang w:eastAsia="en-GB"/>
        </w:rPr>
        <w:t xml:space="preserve">. 2019. </w:t>
      </w:r>
      <w:r w:rsidRPr="00D9348B">
        <w:rPr>
          <w:rFonts w:cs="Calibri"/>
          <w:i/>
          <w:iCs/>
          <w:lang w:eastAsia="en-GB"/>
        </w:rPr>
        <w:t>Energy in New Zealand</w:t>
      </w:r>
      <w:r w:rsidRPr="00D9348B">
        <w:rPr>
          <w:rFonts w:cs="Calibri"/>
          <w:lang w:eastAsia="en-GB"/>
        </w:rPr>
        <w:t xml:space="preserve">. Wellington: </w:t>
      </w:r>
      <w:r w:rsidRPr="00D9348B">
        <w:rPr>
          <w:rFonts w:cs="Calibri"/>
        </w:rPr>
        <w:t>Ministry of Business, Innovation and Employment</w:t>
      </w:r>
      <w:r w:rsidRPr="00D9348B">
        <w:rPr>
          <w:rFonts w:cs="Calibri"/>
          <w:lang w:eastAsia="en-GB"/>
        </w:rPr>
        <w:t xml:space="preserve">. </w:t>
      </w:r>
      <w:r w:rsidRPr="00D9348B">
        <w:rPr>
          <w:rFonts w:cs="Calibri"/>
        </w:rPr>
        <w:t xml:space="preserve">Retrieved from </w:t>
      </w:r>
      <w:r w:rsidRPr="00D9348B">
        <w:rPr>
          <w:rStyle w:val="Hyperlink"/>
          <w:rFonts w:cs="Calibri"/>
          <w:color w:val="auto"/>
        </w:rPr>
        <w:t xml:space="preserve">www.mbie.govt.nz/building-and-energy/energy-and-natural-resources/energy-statistics-and-modelling/energy-publications-and-technical-papers/energy-in-new-zealand/ </w:t>
      </w:r>
      <w:r w:rsidRPr="00D9348B">
        <w:rPr>
          <w:rFonts w:cs="Calibri"/>
        </w:rPr>
        <w:t>(September 2019).</w:t>
      </w:r>
    </w:p>
    <w:p w14:paraId="31571037" w14:textId="77777777" w:rsidR="00E20138" w:rsidRPr="00D9348B" w:rsidRDefault="00E20138" w:rsidP="00E20138">
      <w:pPr>
        <w:pStyle w:val="References"/>
        <w:rPr>
          <w:rFonts w:cs="Calibri"/>
        </w:rPr>
      </w:pPr>
      <w:r w:rsidRPr="00D9348B">
        <w:rPr>
          <w:rFonts w:cs="Calibri"/>
          <w:lang w:eastAsia="en-GB"/>
        </w:rPr>
        <w:t xml:space="preserve">Ministry for the Environment. 2009. </w:t>
      </w:r>
      <w:r w:rsidRPr="00D9348B">
        <w:rPr>
          <w:rFonts w:cs="Calibri"/>
          <w:i/>
          <w:iCs/>
          <w:lang w:eastAsia="en-GB"/>
        </w:rPr>
        <w:t>Projects to Reduce Emissions (PRE)</w:t>
      </w:r>
      <w:r w:rsidRPr="00D9348B">
        <w:rPr>
          <w:rFonts w:cs="Calibri"/>
          <w:iCs/>
          <w:lang w:eastAsia="en-GB"/>
        </w:rPr>
        <w:t xml:space="preserve">. </w:t>
      </w:r>
      <w:r w:rsidRPr="00D9348B">
        <w:rPr>
          <w:rFonts w:cs="Calibri"/>
          <w:lang w:eastAsia="en-GB"/>
        </w:rPr>
        <w:t xml:space="preserve">Wellington: </w:t>
      </w:r>
      <w:r w:rsidRPr="00D9348B">
        <w:rPr>
          <w:rFonts w:cs="Calibri"/>
        </w:rPr>
        <w:t>Ministry for the Environment</w:t>
      </w:r>
      <w:r w:rsidRPr="00D9348B">
        <w:rPr>
          <w:rFonts w:cs="Calibri"/>
          <w:lang w:eastAsia="en-GB"/>
        </w:rPr>
        <w:t xml:space="preserve">. </w:t>
      </w:r>
      <w:r w:rsidRPr="00D9348B">
        <w:rPr>
          <w:rFonts w:cs="Calibri"/>
          <w:iCs/>
          <w:lang w:eastAsia="en-GB"/>
        </w:rPr>
        <w:t>Retrieved from</w:t>
      </w:r>
      <w:r w:rsidRPr="00D9348B">
        <w:rPr>
          <w:rFonts w:cs="Calibri"/>
          <w:i/>
          <w:iCs/>
          <w:lang w:eastAsia="en-GB"/>
        </w:rPr>
        <w:t xml:space="preserve"> </w:t>
      </w:r>
      <w:hyperlink r:id="rId90" w:history="1">
        <w:r w:rsidRPr="00D9348B">
          <w:rPr>
            <w:rFonts w:cs="Calibri"/>
          </w:rPr>
          <w:t>www.mfe.govt.nz/issues/climate/policies-initiatives/projects</w:t>
        </w:r>
      </w:hyperlink>
      <w:r w:rsidRPr="00D9348B">
        <w:rPr>
          <w:rFonts w:cs="Calibri"/>
        </w:rPr>
        <w:t xml:space="preserve"> (March 2012)</w:t>
      </w:r>
      <w:r w:rsidRPr="00D9348B">
        <w:rPr>
          <w:rFonts w:cs="Calibri"/>
          <w:lang w:eastAsia="en-GB"/>
        </w:rPr>
        <w:t xml:space="preserve">. </w:t>
      </w:r>
    </w:p>
    <w:p w14:paraId="7415D755" w14:textId="77777777" w:rsidR="00E20138" w:rsidRPr="00D9348B" w:rsidRDefault="00E20138" w:rsidP="00E20138">
      <w:pPr>
        <w:pStyle w:val="References"/>
        <w:rPr>
          <w:rFonts w:cs="Calibri"/>
        </w:rPr>
      </w:pPr>
      <w:r w:rsidRPr="00D9348B">
        <w:rPr>
          <w:rFonts w:cs="Calibri"/>
        </w:rPr>
        <w:t xml:space="preserve">Ministry of Transport. 2010. </w:t>
      </w:r>
      <w:r w:rsidRPr="00D9348B">
        <w:rPr>
          <w:rFonts w:cs="Calibri"/>
          <w:i/>
        </w:rPr>
        <w:t xml:space="preserve">New Zealand Travel Survey. </w:t>
      </w:r>
      <w:r w:rsidRPr="00D9348B">
        <w:rPr>
          <w:rFonts w:cs="Calibri"/>
          <w:lang w:eastAsia="en-GB"/>
        </w:rPr>
        <w:t xml:space="preserve">Wellington: </w:t>
      </w:r>
      <w:r w:rsidRPr="00D9348B">
        <w:rPr>
          <w:rFonts w:cs="Calibri"/>
        </w:rPr>
        <w:t xml:space="preserve">Ministry of Transport. Retrieved from </w:t>
      </w:r>
      <w:hyperlink r:id="rId91" w:history="1">
        <w:r w:rsidRPr="00D9348B">
          <w:rPr>
            <w:rFonts w:cs="Calibri"/>
          </w:rPr>
          <w:t>www.transport.govt.nz/research/Pages/TravelSurvey.aspx</w:t>
        </w:r>
      </w:hyperlink>
      <w:r w:rsidRPr="00D9348B">
        <w:rPr>
          <w:rFonts w:cs="Calibri"/>
        </w:rPr>
        <w:t xml:space="preserve"> (March 2012).</w:t>
      </w:r>
    </w:p>
    <w:p w14:paraId="04F2D16B" w14:textId="77777777" w:rsidR="00E20138" w:rsidRPr="00D9348B" w:rsidRDefault="00E20138" w:rsidP="00E20138">
      <w:pPr>
        <w:pStyle w:val="References"/>
        <w:rPr>
          <w:rFonts w:cs="Calibri"/>
        </w:rPr>
      </w:pPr>
      <w:r w:rsidRPr="00D9348B">
        <w:rPr>
          <w:rFonts w:cs="Calibri"/>
        </w:rPr>
        <w:t xml:space="preserve">New Zealand Institute of Chemistry. 1998. </w:t>
      </w:r>
      <w:r w:rsidRPr="00D9348B">
        <w:rPr>
          <w:rFonts w:cs="Calibri"/>
          <w:i/>
        </w:rPr>
        <w:t>Chemical Processes in New Zealand Auckland</w:t>
      </w:r>
      <w:r w:rsidRPr="00D9348B">
        <w:rPr>
          <w:rFonts w:cs="Calibri"/>
        </w:rPr>
        <w:t>. Christchurch: New Zealand Institute of Chemistry.</w:t>
      </w:r>
    </w:p>
    <w:p w14:paraId="72589AF5" w14:textId="77777777" w:rsidR="00E20138" w:rsidRPr="00D9348B" w:rsidRDefault="00E20138" w:rsidP="00E20138">
      <w:pPr>
        <w:pStyle w:val="References"/>
        <w:rPr>
          <w:rFonts w:cs="Calibri"/>
        </w:rPr>
      </w:pPr>
      <w:r w:rsidRPr="00D9348B">
        <w:rPr>
          <w:rFonts w:cs="Calibri"/>
        </w:rPr>
        <w:lastRenderedPageBreak/>
        <w:t xml:space="preserve">Outer Space and High-altitude Activities Act 2017 (as at 19 February 2020) </w:t>
      </w:r>
      <w:hyperlink r:id="rId92" w:history="1">
        <w:r w:rsidRPr="00D9348B">
          <w:rPr>
            <w:rStyle w:val="Hyperlink"/>
            <w:rFonts w:cs="Calibri"/>
            <w:color w:val="auto"/>
          </w:rPr>
          <w:t>www.legislation.govt.nz/act/public/2017/0029/latest/whole.html</w:t>
        </w:r>
      </w:hyperlink>
    </w:p>
    <w:p w14:paraId="4C3DA5D6" w14:textId="77777777" w:rsidR="00E20138" w:rsidRPr="00D9348B" w:rsidRDefault="00E20138" w:rsidP="00E20138">
      <w:pPr>
        <w:pStyle w:val="References"/>
        <w:rPr>
          <w:rFonts w:cs="Calibri"/>
        </w:rPr>
      </w:pPr>
      <w:r w:rsidRPr="00D9348B">
        <w:rPr>
          <w:rFonts w:cs="Calibri"/>
        </w:rPr>
        <w:t xml:space="preserve">Reddy CM, DeMello JA, Carmichael CA, Peacock EE, Xu L, Arey JS. 2008. Determination of biodiesel blending percentages using natural abundance radiocarbon analysis: Testing the accuracy of retail biodiesel blends. </w:t>
      </w:r>
      <w:r w:rsidRPr="00D9348B">
        <w:rPr>
          <w:rFonts w:cs="Calibri"/>
          <w:i/>
        </w:rPr>
        <w:t>Environmental Science Technology</w:t>
      </w:r>
      <w:r w:rsidRPr="00D9348B">
        <w:rPr>
          <w:rFonts w:cs="Calibri"/>
        </w:rPr>
        <w:t xml:space="preserve"> 42(7): 2476–2482.</w:t>
      </w:r>
    </w:p>
    <w:p w14:paraId="740FCDE4" w14:textId="77777777" w:rsidR="00E20138" w:rsidRPr="00D9348B" w:rsidRDefault="00E20138" w:rsidP="00E20138">
      <w:pPr>
        <w:pStyle w:val="References"/>
        <w:rPr>
          <w:rFonts w:cs="Calibri"/>
          <w:lang w:eastAsia="en-GB"/>
        </w:rPr>
      </w:pPr>
      <w:r w:rsidRPr="00D9348B">
        <w:rPr>
          <w:rFonts w:cs="Calibri"/>
          <w:lang w:eastAsia="en-GB"/>
        </w:rPr>
        <w:t xml:space="preserve">Stats NZ. 2018. </w:t>
      </w:r>
      <w:r w:rsidRPr="00D9348B">
        <w:rPr>
          <w:rFonts w:cs="Calibri"/>
          <w:i/>
          <w:lang w:eastAsia="en-GB"/>
        </w:rPr>
        <w:t>Energy Use Survey</w:t>
      </w:r>
      <w:r w:rsidRPr="00D9348B">
        <w:rPr>
          <w:rFonts w:cs="Calibri"/>
          <w:lang w:eastAsia="en-GB"/>
        </w:rPr>
        <w:t xml:space="preserve">. </w:t>
      </w:r>
      <w:r w:rsidRPr="00D9348B">
        <w:rPr>
          <w:rFonts w:cs="Calibri"/>
        </w:rPr>
        <w:t xml:space="preserve">Wellington: Stats NZ. </w:t>
      </w:r>
      <w:r w:rsidRPr="00D9348B">
        <w:rPr>
          <w:rFonts w:cs="Calibri"/>
          <w:lang w:eastAsia="en-GB"/>
        </w:rPr>
        <w:t>Retrieved from www.stats.govt.nz/information-releases/new-zealand-energy-use-2018 (February 2020).</w:t>
      </w:r>
    </w:p>
    <w:p w14:paraId="1D5AAB27" w14:textId="77777777" w:rsidR="00E20138" w:rsidRPr="00D9348B" w:rsidRDefault="00E20138" w:rsidP="00E20138">
      <w:pPr>
        <w:pStyle w:val="References"/>
        <w:rPr>
          <w:rFonts w:cs="Calibri"/>
        </w:rPr>
      </w:pPr>
      <w:r w:rsidRPr="00D9348B">
        <w:rPr>
          <w:rFonts w:cs="Calibri"/>
        </w:rPr>
        <w:t xml:space="preserve">UNFCCC. 2009. FCCC/ARR/2008/NZL. </w:t>
      </w:r>
      <w:r w:rsidRPr="00D9348B">
        <w:rPr>
          <w:rFonts w:cs="Calibri"/>
          <w:i/>
        </w:rPr>
        <w:t>Report of the Individual Review of the Greenhouse Gas Inventories of New Zealand Submitted in 2007 and 2008</w:t>
      </w:r>
      <w:r w:rsidRPr="00D9348B">
        <w:rPr>
          <w:rFonts w:cs="Calibri"/>
        </w:rPr>
        <w:t>. Centralised Review.</w:t>
      </w:r>
    </w:p>
    <w:p w14:paraId="3A64AC71" w14:textId="77777777" w:rsidR="00E20138" w:rsidRPr="00D9348B" w:rsidRDefault="00E20138" w:rsidP="00E20138">
      <w:pPr>
        <w:pStyle w:val="References"/>
        <w:rPr>
          <w:rFonts w:cs="Calibri"/>
        </w:rPr>
      </w:pPr>
      <w:r w:rsidRPr="00D9348B">
        <w:rPr>
          <w:rFonts w:cs="Calibri"/>
        </w:rPr>
        <w:t xml:space="preserve">UNFCCC. 2014. FCCC/ARR/2013/NZL. </w:t>
      </w:r>
      <w:r w:rsidRPr="00D9348B">
        <w:rPr>
          <w:rFonts w:cs="Calibri"/>
          <w:i/>
          <w:iCs/>
        </w:rPr>
        <w:t>Report of the individual review of the annual submission of New Zealand submitted in 2013</w:t>
      </w:r>
      <w:r w:rsidRPr="00D9348B">
        <w:rPr>
          <w:rFonts w:cs="Calibri"/>
        </w:rPr>
        <w:t>. Centralised Review.</w:t>
      </w:r>
    </w:p>
    <w:p w14:paraId="43384A82" w14:textId="77777777" w:rsidR="00E20138" w:rsidRPr="00D9348B" w:rsidRDefault="00E20138" w:rsidP="00E20138">
      <w:pPr>
        <w:rPr>
          <w:rFonts w:cs="Calibri"/>
        </w:rPr>
      </w:pPr>
    </w:p>
    <w:p w14:paraId="408DD506" w14:textId="77777777" w:rsidR="00156D4F" w:rsidRPr="00D9348B" w:rsidRDefault="00156D4F" w:rsidP="00D30983">
      <w:pPr>
        <w:pStyle w:val="Heading1"/>
        <w:sectPr w:rsidR="00156D4F" w:rsidRPr="00D9348B" w:rsidSect="00156D4F">
          <w:footerReference w:type="even" r:id="rId93"/>
          <w:pgSz w:w="11907" w:h="16840" w:code="9"/>
          <w:pgMar w:top="1418" w:right="1701" w:bottom="1418" w:left="1701" w:header="567" w:footer="567" w:gutter="0"/>
          <w:cols w:space="720"/>
        </w:sectPr>
      </w:pPr>
      <w:bookmarkStart w:id="454" w:name="_Toc5269350"/>
    </w:p>
    <w:p w14:paraId="2B78FE0D" w14:textId="6BB2AC6D" w:rsidR="00D30983" w:rsidRPr="00D9348B" w:rsidRDefault="00D30983" w:rsidP="00D30983">
      <w:pPr>
        <w:pStyle w:val="Heading1"/>
      </w:pPr>
      <w:bookmarkStart w:id="455" w:name="_Toc36224390"/>
      <w:r w:rsidRPr="00D9348B">
        <w:lastRenderedPageBreak/>
        <w:t>Chapter 4: Industrial Processes and Product Use (IPPU)</w:t>
      </w:r>
      <w:bookmarkEnd w:id="454"/>
      <w:bookmarkEnd w:id="455"/>
    </w:p>
    <w:p w14:paraId="5BB6F0FE" w14:textId="77777777" w:rsidR="00D30983" w:rsidRPr="00D9348B" w:rsidRDefault="00D30983" w:rsidP="00D30983">
      <w:pPr>
        <w:pStyle w:val="Heading2"/>
        <w:spacing w:before="240"/>
      </w:pPr>
      <w:bookmarkStart w:id="456" w:name="_Toc448321512"/>
      <w:bookmarkStart w:id="457" w:name="_Toc5269351"/>
      <w:bookmarkStart w:id="458" w:name="_Toc36224391"/>
      <w:r w:rsidRPr="00D9348B">
        <w:t xml:space="preserve">4.1 </w:t>
      </w:r>
      <w:r w:rsidRPr="00D9348B">
        <w:tab/>
        <w:t>Sector overview</w:t>
      </w:r>
      <w:bookmarkEnd w:id="456"/>
      <w:bookmarkEnd w:id="457"/>
      <w:bookmarkEnd w:id="458"/>
    </w:p>
    <w:p w14:paraId="144829ED" w14:textId="77777777" w:rsidR="00D30983" w:rsidRPr="00D9348B" w:rsidRDefault="00D30983" w:rsidP="00D56CF9">
      <w:pPr>
        <w:pStyle w:val="Heading3"/>
        <w:spacing w:before="160"/>
      </w:pPr>
      <w:r w:rsidRPr="00D9348B">
        <w:t xml:space="preserve">4.1.1 </w:t>
      </w:r>
      <w:r w:rsidRPr="00D9348B">
        <w:tab/>
        <w:t>IPPU sector in New Zealand</w:t>
      </w:r>
    </w:p>
    <w:p w14:paraId="2F7D20EC" w14:textId="77777777" w:rsidR="00D30983" w:rsidRPr="00D9348B" w:rsidRDefault="00D30983" w:rsidP="00D30983">
      <w:pPr>
        <w:pStyle w:val="BodyText"/>
      </w:pPr>
      <w:r w:rsidRPr="00D9348B">
        <w:t>New Zealand has a relatively small number of industrial processing plants emitting non-energy related greenhouse gases. Carbon dioxide (CO</w:t>
      </w:r>
      <w:r w:rsidRPr="00D9348B">
        <w:rPr>
          <w:vertAlign w:val="subscript"/>
        </w:rPr>
        <w:t>2</w:t>
      </w:r>
      <w:r w:rsidRPr="00D9348B">
        <w:t>), methane (CH</w:t>
      </w:r>
      <w:r w:rsidRPr="00D9348B">
        <w:rPr>
          <w:vertAlign w:val="subscript"/>
        </w:rPr>
        <w:t>4</w:t>
      </w:r>
      <w:r w:rsidRPr="00D9348B">
        <w:t>) and nitrous oxide (N</w:t>
      </w:r>
      <w:r w:rsidRPr="00D9348B">
        <w:rPr>
          <w:vertAlign w:val="subscript"/>
        </w:rPr>
        <w:t>2</w:t>
      </w:r>
      <w:r w:rsidRPr="00D9348B">
        <w:t xml:space="preserve">O) emissions from eight distinct industrial processes in New Zealand are reported in the IPPU sector. These are: </w:t>
      </w:r>
    </w:p>
    <w:p w14:paraId="6E64BD92" w14:textId="77777777" w:rsidR="00D30983" w:rsidRPr="00D9348B" w:rsidRDefault="00D30983" w:rsidP="00D30983">
      <w:pPr>
        <w:pStyle w:val="Bullet"/>
      </w:pPr>
      <w:r w:rsidRPr="00D9348B">
        <w:t xml:space="preserve">calcination of limestone in cement production </w:t>
      </w:r>
    </w:p>
    <w:p w14:paraId="29C980F4" w14:textId="77777777" w:rsidR="00D30983" w:rsidRPr="00D9348B" w:rsidRDefault="00D30983" w:rsidP="00D30983">
      <w:pPr>
        <w:pStyle w:val="Bullet"/>
      </w:pPr>
      <w:r w:rsidRPr="00D9348B">
        <w:t xml:space="preserve">calcination of limestone in burnt and slaked lime production </w:t>
      </w:r>
    </w:p>
    <w:p w14:paraId="3264CE4F" w14:textId="77777777" w:rsidR="00D30983" w:rsidRPr="00D9348B" w:rsidRDefault="00D30983" w:rsidP="00D30983">
      <w:pPr>
        <w:pStyle w:val="Bullet"/>
      </w:pPr>
      <w:r w:rsidRPr="00D9348B">
        <w:t xml:space="preserve">production of ammonia, which is further processed into urea </w:t>
      </w:r>
    </w:p>
    <w:p w14:paraId="604B72FB" w14:textId="77777777" w:rsidR="00D30983" w:rsidRPr="00D9348B" w:rsidRDefault="00D30983" w:rsidP="00D30983">
      <w:pPr>
        <w:pStyle w:val="Bullet"/>
      </w:pPr>
      <w:r w:rsidRPr="00D9348B">
        <w:t xml:space="preserve">production of methanol </w:t>
      </w:r>
    </w:p>
    <w:p w14:paraId="4986EF8F" w14:textId="77777777" w:rsidR="00D30983" w:rsidRPr="00D9348B" w:rsidRDefault="00D30983" w:rsidP="00D30983">
      <w:pPr>
        <w:pStyle w:val="Bullet"/>
      </w:pPr>
      <w:r w:rsidRPr="00D9348B">
        <w:t xml:space="preserve">production of hydrogen in oil refining and for making hydrogen peroxide </w:t>
      </w:r>
    </w:p>
    <w:p w14:paraId="58A11BC3" w14:textId="77777777" w:rsidR="00D30983" w:rsidRPr="00D9348B" w:rsidRDefault="00D30983" w:rsidP="00D30983">
      <w:pPr>
        <w:pStyle w:val="Bullet"/>
      </w:pPr>
      <w:r w:rsidRPr="00D9348B">
        <w:t xml:space="preserve">production of steel, from iron sand and from scrap steel </w:t>
      </w:r>
    </w:p>
    <w:p w14:paraId="37B2E760" w14:textId="77777777" w:rsidR="00D30983" w:rsidRPr="00D9348B" w:rsidRDefault="00D30983" w:rsidP="00D30983">
      <w:pPr>
        <w:pStyle w:val="Bullet"/>
      </w:pPr>
      <w:r w:rsidRPr="00D9348B">
        <w:t xml:space="preserve">oxidation of anodes in aluminium smelting </w:t>
      </w:r>
    </w:p>
    <w:p w14:paraId="6563180D" w14:textId="77777777" w:rsidR="00D30983" w:rsidRPr="00D9348B" w:rsidRDefault="00D30983" w:rsidP="00D30983">
      <w:pPr>
        <w:pStyle w:val="Bullet"/>
      </w:pPr>
      <w:proofErr w:type="gramStart"/>
      <w:r w:rsidRPr="00D9348B">
        <w:t>use</w:t>
      </w:r>
      <w:proofErr w:type="gramEnd"/>
      <w:r w:rsidRPr="00D9348B">
        <w:t xml:space="preserve"> of soda ash and limestone in glass making. </w:t>
      </w:r>
    </w:p>
    <w:p w14:paraId="259EA42F" w14:textId="77777777" w:rsidR="00D30983" w:rsidRPr="00D9348B" w:rsidRDefault="00D30983" w:rsidP="00D30983">
      <w:pPr>
        <w:pStyle w:val="BodyText"/>
      </w:pPr>
      <w:r w:rsidRPr="00D9348B">
        <w:t>Hydrofluorocarbons (HFCs) and perfluorocarbons (PFCs) are used in a large number of products including refrigeration and air conditioning equipment. Some recovered HFCs are exported for destruction. Perfluorocarbons are also emitted as a result of anode effects in aluminium smelting. Sulphur hexafluoride (SF</w:t>
      </w:r>
      <w:r w:rsidRPr="00D9348B">
        <w:rPr>
          <w:vertAlign w:val="subscript"/>
        </w:rPr>
        <w:t>6</w:t>
      </w:r>
      <w:r w:rsidRPr="00D9348B">
        <w:t>) is used in the electricity distribution sector and for small-scale medical and scientific applications. Historically, a very small amount of SF</w:t>
      </w:r>
      <w:r w:rsidRPr="00D9348B">
        <w:rPr>
          <w:vertAlign w:val="subscript"/>
        </w:rPr>
        <w:t>6</w:t>
      </w:r>
      <w:r w:rsidRPr="00D9348B">
        <w:t xml:space="preserve"> has been used for magnesium casting. There is no production of any fluorinated chemicals in New Zealand; they are all imported. </w:t>
      </w:r>
    </w:p>
    <w:p w14:paraId="520D6368" w14:textId="77777777" w:rsidR="00D30983" w:rsidRPr="00D9348B" w:rsidRDefault="00D30983" w:rsidP="00D30983">
      <w:pPr>
        <w:pStyle w:val="BodyText"/>
      </w:pPr>
      <w:r w:rsidRPr="00D9348B">
        <w:t>Small amounts of CO</w:t>
      </w:r>
      <w:r w:rsidRPr="00D9348B">
        <w:rPr>
          <w:vertAlign w:val="subscript"/>
        </w:rPr>
        <w:t>2</w:t>
      </w:r>
      <w:r w:rsidRPr="00D9348B">
        <w:t xml:space="preserve"> are reported from the use of lubricants and paraffin wax, imported calcium carbide, carbonates in kaolin clay used for ceramics production, and secondary lead production (recycling of lead-acid batteries). No other emission sources for direct greenhouse gases are applicable to New Zealand and no other activity data are available. Some indirect greenhouse gas emissions are reported from fertiliser, formaldehyde and other industries. </w:t>
      </w:r>
    </w:p>
    <w:p w14:paraId="66AB7FCB" w14:textId="77777777" w:rsidR="00D30983" w:rsidRPr="00D9348B" w:rsidRDefault="00D30983" w:rsidP="00D30983">
      <w:pPr>
        <w:pStyle w:val="BodyText"/>
      </w:pPr>
      <w:r w:rsidRPr="00D9348B">
        <w:t>New Zealand reports emissions from Tokelau, which is a dependent territory of New Zealand. Emissions from Tokelau for all activities are reported in annex 7 of the National Inventory Report and within the ‘Other’ sector in the common reporting format (CRF) tables. This is due to the significantly different methods applied and the prohibitive complexity of integrating emissions within the main sectors. Therefore, all emissions reported in this sector are from New Zealand excluding Tokelau. Please refer to chapter 8 and annex 7 for details of methods applied and the emissions for Tokelau.</w:t>
      </w:r>
    </w:p>
    <w:p w14:paraId="5C5287FB" w14:textId="77777777" w:rsidR="00D30983" w:rsidRPr="00D9348B" w:rsidRDefault="00D30983" w:rsidP="00D30983">
      <w:pPr>
        <w:pStyle w:val="Heading3"/>
      </w:pPr>
      <w:r w:rsidRPr="00D9348B">
        <w:lastRenderedPageBreak/>
        <w:t xml:space="preserve">4.1.2 </w:t>
      </w:r>
      <w:r w:rsidRPr="00D9348B">
        <w:tab/>
        <w:t>Emissions summary</w:t>
      </w:r>
    </w:p>
    <w:p w14:paraId="65377DF9" w14:textId="77777777" w:rsidR="00D30983" w:rsidRPr="00D9348B" w:rsidRDefault="00D30983" w:rsidP="00D30983">
      <w:pPr>
        <w:pStyle w:val="BodyText"/>
      </w:pPr>
      <w:r w:rsidRPr="00D9348B">
        <w:t>The IPPU sector in New Zealand produces CO</w:t>
      </w:r>
      <w:r w:rsidRPr="00D9348B">
        <w:rPr>
          <w:vertAlign w:val="subscript"/>
        </w:rPr>
        <w:t>2</w:t>
      </w:r>
      <w:r w:rsidRPr="00D9348B">
        <w:t xml:space="preserve"> emissions (59.7 per cent), fluorinated gases (36.9 per cent) and smaller amounts of CH</w:t>
      </w:r>
      <w:r w:rsidRPr="00D9348B">
        <w:rPr>
          <w:vertAlign w:val="subscript"/>
        </w:rPr>
        <w:t>4</w:t>
      </w:r>
      <w:r w:rsidRPr="00D9348B">
        <w:t xml:space="preserve"> and N</w:t>
      </w:r>
      <w:r w:rsidRPr="00D9348B">
        <w:rPr>
          <w:vertAlign w:val="subscript"/>
        </w:rPr>
        <w:t>2</w:t>
      </w:r>
      <w:r w:rsidRPr="00D9348B">
        <w:t xml:space="preserve">O. Coal and natural gas are also used on a significant scale for energy in the </w:t>
      </w:r>
      <w:r w:rsidRPr="00D9348B">
        <w:rPr>
          <w:i/>
        </w:rPr>
        <w:t>Mineral industry</w:t>
      </w:r>
      <w:r w:rsidRPr="00D9348B">
        <w:t xml:space="preserve">, </w:t>
      </w:r>
      <w:r w:rsidRPr="00D9348B">
        <w:rPr>
          <w:i/>
        </w:rPr>
        <w:t>Chemical industry</w:t>
      </w:r>
      <w:r w:rsidRPr="00D9348B">
        <w:t xml:space="preserve"> and </w:t>
      </w:r>
      <w:r w:rsidRPr="00D9348B">
        <w:rPr>
          <w:i/>
        </w:rPr>
        <w:t>Metal industry</w:t>
      </w:r>
      <w:r w:rsidRPr="00D9348B">
        <w:t xml:space="preserve"> source categories. Carbon dioxide and any other emissions from combustion of fuels in these industries are reported under the Energy sector. </w:t>
      </w:r>
    </w:p>
    <w:p w14:paraId="1CE8B8D6" w14:textId="77777777" w:rsidR="00D30983" w:rsidRPr="00D9348B" w:rsidRDefault="00D30983" w:rsidP="00D30983">
      <w:pPr>
        <w:pStyle w:val="Heading5"/>
        <w:spacing w:before="120"/>
      </w:pPr>
      <w:r w:rsidRPr="00D9348B">
        <w:t>2018</w:t>
      </w:r>
    </w:p>
    <w:p w14:paraId="2707BB7E" w14:textId="77777777" w:rsidR="00D30983" w:rsidRPr="00D9348B" w:rsidRDefault="00D30983" w:rsidP="00D30983">
      <w:pPr>
        <w:pStyle w:val="BodyText"/>
      </w:pPr>
      <w:r w:rsidRPr="00D9348B">
        <w:t>In 2018, emissions in the IPPU sector contributed 5,158.1 kilotonnes carbon dioxide equivalent (kt CO</w:t>
      </w:r>
      <w:r w:rsidRPr="00D9348B">
        <w:rPr>
          <w:vertAlign w:val="subscript"/>
        </w:rPr>
        <w:t>2</w:t>
      </w:r>
      <w:r w:rsidRPr="00D9348B">
        <w:t xml:space="preserve">-e), or 6.5 per cent, of New Zealand’s gross greenhouse gas emissions. </w:t>
      </w:r>
    </w:p>
    <w:p w14:paraId="6EB08AC4" w14:textId="77777777" w:rsidR="00D30983" w:rsidRPr="00D9348B" w:rsidRDefault="00D30983" w:rsidP="00D30983">
      <w:pPr>
        <w:pStyle w:val="BodyText"/>
      </w:pPr>
      <w:r w:rsidRPr="00D9348B">
        <w:t xml:space="preserve">The emissions by source category are shown in table 4.1.1. The largest source category is the </w:t>
      </w:r>
      <w:r w:rsidRPr="00D9348B">
        <w:rPr>
          <w:i/>
        </w:rPr>
        <w:t>Metal industry</w:t>
      </w:r>
      <w:r w:rsidRPr="00D9348B">
        <w:t xml:space="preserve"> category, with substantial CO</w:t>
      </w:r>
      <w:r w:rsidRPr="00D9348B">
        <w:rPr>
          <w:vertAlign w:val="subscript"/>
        </w:rPr>
        <w:t>2</w:t>
      </w:r>
      <w:r w:rsidRPr="00D9348B">
        <w:t xml:space="preserve"> emissions from the </w:t>
      </w:r>
      <w:r w:rsidRPr="00D9348B">
        <w:rPr>
          <w:i/>
        </w:rPr>
        <w:t>Iron and steel production</w:t>
      </w:r>
      <w:r w:rsidRPr="00D9348B">
        <w:t xml:space="preserve"> and </w:t>
      </w:r>
      <w:r w:rsidRPr="00D9348B">
        <w:rPr>
          <w:i/>
        </w:rPr>
        <w:t>Aluminium production</w:t>
      </w:r>
      <w:r w:rsidRPr="00D9348B">
        <w:t xml:space="preserve"> categories, as well as PFCs from the </w:t>
      </w:r>
      <w:r w:rsidRPr="00D9348B">
        <w:rPr>
          <w:i/>
        </w:rPr>
        <w:t>Aluminium production</w:t>
      </w:r>
      <w:r w:rsidRPr="00D9348B">
        <w:t xml:space="preserve"> category in earlier years. The </w:t>
      </w:r>
      <w:r w:rsidRPr="00D9348B">
        <w:rPr>
          <w:i/>
        </w:rPr>
        <w:t xml:space="preserve">Mineral industry </w:t>
      </w:r>
      <w:r w:rsidRPr="00D9348B">
        <w:t xml:space="preserve">and </w:t>
      </w:r>
      <w:r w:rsidRPr="00D9348B">
        <w:rPr>
          <w:i/>
        </w:rPr>
        <w:t>Chemical industry</w:t>
      </w:r>
      <w:r w:rsidRPr="00D9348B">
        <w:t xml:space="preserve"> categories also contribute significant CO</w:t>
      </w:r>
      <w:r w:rsidRPr="00D9348B">
        <w:rPr>
          <w:vertAlign w:val="subscript"/>
        </w:rPr>
        <w:t>2</w:t>
      </w:r>
      <w:r w:rsidRPr="00D9348B">
        <w:t xml:space="preserve"> emissions, and most of the non-CO</w:t>
      </w:r>
      <w:r w:rsidRPr="00D9348B">
        <w:rPr>
          <w:vertAlign w:val="subscript"/>
        </w:rPr>
        <w:t>2</w:t>
      </w:r>
      <w:r w:rsidRPr="00D9348B">
        <w:t xml:space="preserve"> emissions come from the </w:t>
      </w:r>
      <w:r w:rsidRPr="00D9348B">
        <w:rPr>
          <w:i/>
        </w:rPr>
        <w:t>Product uses as substitutes for ODS</w:t>
      </w:r>
      <w:r w:rsidRPr="00D9348B">
        <w:t xml:space="preserve"> category. </w:t>
      </w:r>
    </w:p>
    <w:p w14:paraId="05C871AD" w14:textId="77777777" w:rsidR="00D30983" w:rsidRPr="00D9348B" w:rsidRDefault="00D30983" w:rsidP="00D30983">
      <w:pPr>
        <w:pStyle w:val="Heading5"/>
        <w:spacing w:before="120"/>
      </w:pPr>
      <w:r w:rsidRPr="00D9348B">
        <w:t>1990–2018</w:t>
      </w:r>
    </w:p>
    <w:p w14:paraId="75BD9FAF" w14:textId="77777777" w:rsidR="00D30983" w:rsidRPr="00D9348B" w:rsidRDefault="00D30983" w:rsidP="00D30983">
      <w:pPr>
        <w:pStyle w:val="BodyText"/>
      </w:pPr>
      <w:r w:rsidRPr="00D9348B">
        <w:t>IPPU sector emissions in 2018 were 1,578.3 kt CO</w:t>
      </w:r>
      <w:r w:rsidRPr="00D9348B">
        <w:rPr>
          <w:vertAlign w:val="subscript"/>
        </w:rPr>
        <w:t>2</w:t>
      </w:r>
      <w:r w:rsidRPr="00D9348B">
        <w:t>-e (44.1 per cent) higher than emissions in 1990 (3,579.9 kt CO</w:t>
      </w:r>
      <w:r w:rsidRPr="00D9348B">
        <w:rPr>
          <w:vertAlign w:val="subscript"/>
        </w:rPr>
        <w:t>2</w:t>
      </w:r>
      <w:r w:rsidRPr="00D9348B">
        <w:t xml:space="preserve">-e). This increase was mainly driven by increasing emissions from the </w:t>
      </w:r>
      <w:r w:rsidRPr="00D9348B">
        <w:rPr>
          <w:i/>
        </w:rPr>
        <w:t xml:space="preserve">Product uses as substitutes for ODS </w:t>
      </w:r>
      <w:r w:rsidRPr="00D9348B">
        <w:t xml:space="preserve">category, due to the introduction of HFCs to replace ozone-depleting substances (ODS) in refrigeration and air conditioning and the increased use of household and commercial air conditioning. Carbon dioxide emissions have also increased due to increased production of metals, lime and cement, but at a slower rate. There has been a substantial reduction in emissions of PFCs due to improved management of anode effects in the </w:t>
      </w:r>
      <w:r w:rsidRPr="00D9348B">
        <w:rPr>
          <w:i/>
        </w:rPr>
        <w:t>Aluminium production</w:t>
      </w:r>
      <w:r w:rsidRPr="00D9348B">
        <w:t xml:space="preserve"> category and some reduction in emissions of N</w:t>
      </w:r>
      <w:r w:rsidRPr="00D9348B">
        <w:rPr>
          <w:vertAlign w:val="subscript"/>
        </w:rPr>
        <w:t>2</w:t>
      </w:r>
      <w:r w:rsidRPr="00D9348B">
        <w:t xml:space="preserve">O used for medical applications in the </w:t>
      </w:r>
      <w:r w:rsidRPr="00D9348B">
        <w:rPr>
          <w:i/>
        </w:rPr>
        <w:t>Other product manufacture and use</w:t>
      </w:r>
      <w:r w:rsidRPr="00D9348B">
        <w:t xml:space="preserve"> category. The trends are shown in figures 4.1.1 and 4.1.2. </w:t>
      </w:r>
    </w:p>
    <w:p w14:paraId="06A3F25E" w14:textId="77777777" w:rsidR="00D30983" w:rsidRPr="00D9348B" w:rsidRDefault="00D30983" w:rsidP="00D30983">
      <w:pPr>
        <w:pStyle w:val="Heading5"/>
        <w:spacing w:before="120"/>
      </w:pPr>
      <w:r w:rsidRPr="00D9348B">
        <w:t>2017–2018</w:t>
      </w:r>
    </w:p>
    <w:p w14:paraId="5A95A1F1" w14:textId="77777777" w:rsidR="00D30983" w:rsidRPr="00D9348B" w:rsidRDefault="00D30983" w:rsidP="00D30983">
      <w:pPr>
        <w:pStyle w:val="BodyText"/>
      </w:pPr>
      <w:r w:rsidRPr="00D9348B">
        <w:t>IPPU sector emissions in 2018 were 36.8 kt CO</w:t>
      </w:r>
      <w:r w:rsidRPr="00D9348B">
        <w:rPr>
          <w:vertAlign w:val="subscript"/>
        </w:rPr>
        <w:t>2</w:t>
      </w:r>
      <w:r w:rsidRPr="00D9348B">
        <w:t xml:space="preserve">-e (0.7 per cent) higher than emissions in 2017. This change was the net result of an increase in emissions from the </w:t>
      </w:r>
      <w:r w:rsidRPr="00D9348B">
        <w:rPr>
          <w:i/>
        </w:rPr>
        <w:t>Product uses as substitutes for ODS</w:t>
      </w:r>
      <w:r w:rsidRPr="00D9348B" w:rsidDel="00AC41FF">
        <w:rPr>
          <w:i/>
        </w:rPr>
        <w:t xml:space="preserve"> </w:t>
      </w:r>
      <w:r w:rsidRPr="00D9348B">
        <w:t>category (157.5 kt CO</w:t>
      </w:r>
      <w:r w:rsidRPr="00D9348B">
        <w:rPr>
          <w:vertAlign w:val="subscript"/>
        </w:rPr>
        <w:t>2</w:t>
      </w:r>
      <w:r w:rsidRPr="00D9348B">
        <w:t xml:space="preserve">-e or 9.5 per cent) offset by small decreases in all other significant categories driven by varying production rates. </w:t>
      </w:r>
    </w:p>
    <w:p w14:paraId="39727152" w14:textId="77777777" w:rsidR="00D30983" w:rsidRPr="00D9348B" w:rsidRDefault="00D30983" w:rsidP="00D30983">
      <w:pPr>
        <w:pStyle w:val="Table"/>
        <w:ind w:left="1134" w:hanging="1134"/>
      </w:pPr>
      <w:bookmarkStart w:id="459" w:name="_Toc414531402"/>
      <w:bookmarkStart w:id="460" w:name="_Toc451176065"/>
      <w:bookmarkStart w:id="461" w:name="_Toc5269455"/>
      <w:bookmarkStart w:id="462" w:name="_Toc36224528"/>
      <w:r w:rsidRPr="00D9348B">
        <w:t xml:space="preserve">Table 4.1.1 </w:t>
      </w:r>
      <w:r w:rsidRPr="00D9348B">
        <w:tab/>
        <w:t>New Zealand’s greenhouse gas emissions for the IPPU sector by source category</w:t>
      </w:r>
      <w:bookmarkEnd w:id="459"/>
      <w:r w:rsidRPr="00D9348B">
        <w:t xml:space="preserve"> in 1990 and </w:t>
      </w:r>
      <w:bookmarkEnd w:id="460"/>
      <w:bookmarkEnd w:id="461"/>
      <w:r w:rsidRPr="00D9348B">
        <w:t>2018</w:t>
      </w:r>
      <w:bookmarkEnd w:id="462"/>
    </w:p>
    <w:tbl>
      <w:tblPr>
        <w:tblW w:w="8562" w:type="dxa"/>
        <w:tblInd w:w="108" w:type="dxa"/>
        <w:tblBorders>
          <w:top w:val="single" w:sz="4" w:space="0" w:color="365F91"/>
          <w:bottom w:val="single" w:sz="4" w:space="0" w:color="365F91"/>
          <w:insideH w:val="single" w:sz="4" w:space="0" w:color="365F91"/>
        </w:tblBorders>
        <w:tblLayout w:type="fixed"/>
        <w:tblLook w:val="04A0" w:firstRow="1" w:lastRow="0" w:firstColumn="1" w:lastColumn="0" w:noHBand="0" w:noVBand="1"/>
      </w:tblPr>
      <w:tblGrid>
        <w:gridCol w:w="3011"/>
        <w:gridCol w:w="849"/>
        <w:gridCol w:w="853"/>
        <w:gridCol w:w="991"/>
        <w:gridCol w:w="1134"/>
        <w:gridCol w:w="851"/>
        <w:gridCol w:w="873"/>
      </w:tblGrid>
      <w:tr w:rsidR="00D30983" w:rsidRPr="00D9348B" w14:paraId="38389F6C" w14:textId="77777777" w:rsidTr="00D56CF9">
        <w:tc>
          <w:tcPr>
            <w:tcW w:w="1758" w:type="pct"/>
            <w:tcBorders>
              <w:top w:val="single" w:sz="4" w:space="0" w:color="365F91"/>
              <w:left w:val="nil"/>
              <w:bottom w:val="single" w:sz="4" w:space="0" w:color="365F91"/>
              <w:right w:val="nil"/>
            </w:tcBorders>
            <w:shd w:val="clear" w:color="auto" w:fill="365F91"/>
            <w:vAlign w:val="bottom"/>
          </w:tcPr>
          <w:p w14:paraId="7672174D" w14:textId="77777777" w:rsidR="00D30983" w:rsidRPr="00D9348B" w:rsidRDefault="00D30983" w:rsidP="00DB330E">
            <w:pPr>
              <w:pStyle w:val="TableTextBold"/>
              <w:spacing w:after="0"/>
              <w:jc w:val="center"/>
              <w:rPr>
                <w:noProof w:val="0"/>
                <w:color w:val="FFFFFF"/>
              </w:rPr>
            </w:pPr>
          </w:p>
        </w:tc>
        <w:tc>
          <w:tcPr>
            <w:tcW w:w="994" w:type="pct"/>
            <w:gridSpan w:val="2"/>
            <w:tcBorders>
              <w:top w:val="single" w:sz="4" w:space="0" w:color="365F91"/>
              <w:left w:val="nil"/>
              <w:bottom w:val="single" w:sz="4" w:space="0" w:color="365F91"/>
              <w:right w:val="nil"/>
            </w:tcBorders>
            <w:shd w:val="clear" w:color="auto" w:fill="365F91"/>
            <w:vAlign w:val="bottom"/>
            <w:hideMark/>
          </w:tcPr>
          <w:p w14:paraId="11F4CDE0" w14:textId="77777777" w:rsidR="00D30983" w:rsidRPr="00D9348B" w:rsidRDefault="00D30983" w:rsidP="00DB330E">
            <w:pPr>
              <w:pStyle w:val="TableTextBold"/>
              <w:spacing w:after="0"/>
              <w:jc w:val="center"/>
              <w:rPr>
                <w:noProof w:val="0"/>
                <w:color w:val="FFFFFF"/>
              </w:rPr>
            </w:pPr>
            <w:r w:rsidRPr="00D9348B">
              <w:rPr>
                <w:noProof w:val="0"/>
                <w:color w:val="FFFFFF"/>
              </w:rPr>
              <w:t xml:space="preserve">Emissions </w:t>
            </w:r>
            <w:r w:rsidRPr="00D9348B">
              <w:rPr>
                <w:noProof w:val="0"/>
                <w:color w:val="FFFFFF"/>
              </w:rPr>
              <w:br/>
              <w:t>(kt CO</w:t>
            </w:r>
            <w:r w:rsidRPr="00D9348B">
              <w:rPr>
                <w:noProof w:val="0"/>
                <w:color w:val="FFFFFF"/>
                <w:vertAlign w:val="subscript"/>
              </w:rPr>
              <w:t>2</w:t>
            </w:r>
            <w:r w:rsidRPr="00D9348B">
              <w:rPr>
                <w:noProof w:val="0"/>
                <w:color w:val="FFFFFF"/>
              </w:rPr>
              <w:t>-e)</w:t>
            </w:r>
          </w:p>
        </w:tc>
        <w:tc>
          <w:tcPr>
            <w:tcW w:w="579" w:type="pct"/>
            <w:tcBorders>
              <w:top w:val="single" w:sz="4" w:space="0" w:color="365F91"/>
              <w:left w:val="nil"/>
              <w:bottom w:val="single" w:sz="4" w:space="0" w:color="365F91"/>
              <w:right w:val="nil"/>
            </w:tcBorders>
            <w:shd w:val="clear" w:color="auto" w:fill="365F91"/>
            <w:vAlign w:val="bottom"/>
            <w:hideMark/>
          </w:tcPr>
          <w:p w14:paraId="778AC93D" w14:textId="77777777" w:rsidR="00D30983" w:rsidRPr="00D9348B" w:rsidRDefault="00D30983" w:rsidP="00DB330E">
            <w:pPr>
              <w:pStyle w:val="TableTextBold"/>
              <w:spacing w:after="0"/>
              <w:jc w:val="right"/>
              <w:rPr>
                <w:noProof w:val="0"/>
                <w:color w:val="FFFFFF"/>
              </w:rPr>
            </w:pPr>
            <w:r w:rsidRPr="00D9348B">
              <w:rPr>
                <w:noProof w:val="0"/>
                <w:color w:val="FFFFFF"/>
              </w:rPr>
              <w:t>Difference (kt CO</w:t>
            </w:r>
            <w:r w:rsidRPr="00D9348B">
              <w:rPr>
                <w:noProof w:val="0"/>
                <w:color w:val="FFFFFF"/>
                <w:vertAlign w:val="subscript"/>
              </w:rPr>
              <w:t>2</w:t>
            </w:r>
            <w:r w:rsidRPr="00D9348B">
              <w:rPr>
                <w:noProof w:val="0"/>
                <w:color w:val="FFFFFF"/>
              </w:rPr>
              <w:noBreakHyphen/>
              <w:t>e)</w:t>
            </w:r>
          </w:p>
        </w:tc>
        <w:tc>
          <w:tcPr>
            <w:tcW w:w="662" w:type="pct"/>
            <w:tcBorders>
              <w:top w:val="single" w:sz="4" w:space="0" w:color="365F91"/>
              <w:left w:val="nil"/>
              <w:bottom w:val="single" w:sz="4" w:space="0" w:color="365F91"/>
              <w:right w:val="nil"/>
            </w:tcBorders>
            <w:shd w:val="clear" w:color="auto" w:fill="365F91"/>
            <w:vAlign w:val="bottom"/>
            <w:hideMark/>
          </w:tcPr>
          <w:p w14:paraId="22571236" w14:textId="77777777" w:rsidR="00D30983" w:rsidRPr="00D9348B" w:rsidRDefault="00D30983" w:rsidP="00DB330E">
            <w:pPr>
              <w:pStyle w:val="TableTextBold"/>
              <w:spacing w:after="0"/>
              <w:jc w:val="center"/>
              <w:rPr>
                <w:noProof w:val="0"/>
                <w:color w:val="FFFFFF"/>
              </w:rPr>
            </w:pPr>
            <w:r w:rsidRPr="00D9348B">
              <w:rPr>
                <w:noProof w:val="0"/>
                <w:color w:val="FFFFFF"/>
              </w:rPr>
              <w:t>Change (percentage)</w:t>
            </w:r>
          </w:p>
        </w:tc>
        <w:tc>
          <w:tcPr>
            <w:tcW w:w="1007" w:type="pct"/>
            <w:gridSpan w:val="2"/>
            <w:tcBorders>
              <w:top w:val="single" w:sz="4" w:space="0" w:color="365F91"/>
              <w:left w:val="nil"/>
              <w:bottom w:val="single" w:sz="4" w:space="0" w:color="365F91"/>
              <w:right w:val="nil"/>
            </w:tcBorders>
            <w:shd w:val="clear" w:color="auto" w:fill="365F91"/>
            <w:vAlign w:val="bottom"/>
            <w:hideMark/>
          </w:tcPr>
          <w:p w14:paraId="01626E93" w14:textId="77777777" w:rsidR="00D30983" w:rsidRPr="00D9348B" w:rsidRDefault="00D30983" w:rsidP="00DB330E">
            <w:pPr>
              <w:pStyle w:val="TableTextBold"/>
              <w:spacing w:after="0"/>
              <w:jc w:val="center"/>
              <w:rPr>
                <w:noProof w:val="0"/>
                <w:color w:val="FFFFFF"/>
              </w:rPr>
            </w:pPr>
            <w:r w:rsidRPr="00D9348B">
              <w:rPr>
                <w:noProof w:val="0"/>
                <w:color w:val="FFFFFF"/>
              </w:rPr>
              <w:t>Share (percentage)</w:t>
            </w:r>
          </w:p>
        </w:tc>
      </w:tr>
      <w:tr w:rsidR="00D30983" w:rsidRPr="00D9348B" w14:paraId="0768CD94" w14:textId="77777777" w:rsidTr="00D56CF9">
        <w:tc>
          <w:tcPr>
            <w:tcW w:w="1758" w:type="pct"/>
            <w:tcBorders>
              <w:top w:val="single" w:sz="4" w:space="0" w:color="365F91"/>
              <w:left w:val="nil"/>
              <w:bottom w:val="single" w:sz="4" w:space="0" w:color="365F91"/>
              <w:right w:val="nil"/>
            </w:tcBorders>
            <w:shd w:val="clear" w:color="auto" w:fill="365F91"/>
            <w:vAlign w:val="bottom"/>
            <w:hideMark/>
          </w:tcPr>
          <w:p w14:paraId="6F48B78B" w14:textId="77777777" w:rsidR="00D30983" w:rsidRPr="00D9348B" w:rsidRDefault="00D30983" w:rsidP="00DB330E">
            <w:pPr>
              <w:pStyle w:val="TableTextBold"/>
              <w:rPr>
                <w:noProof w:val="0"/>
                <w:color w:val="FFFFFF"/>
              </w:rPr>
            </w:pPr>
            <w:r w:rsidRPr="00D9348B">
              <w:rPr>
                <w:noProof w:val="0"/>
                <w:color w:val="FFFFFF"/>
              </w:rPr>
              <w:t>Source category</w:t>
            </w:r>
          </w:p>
        </w:tc>
        <w:tc>
          <w:tcPr>
            <w:tcW w:w="496" w:type="pct"/>
            <w:tcBorders>
              <w:top w:val="single" w:sz="4" w:space="0" w:color="365F91"/>
              <w:left w:val="nil"/>
              <w:bottom w:val="single" w:sz="4" w:space="0" w:color="365F91"/>
              <w:right w:val="nil"/>
            </w:tcBorders>
            <w:shd w:val="clear" w:color="auto" w:fill="365F91"/>
            <w:vAlign w:val="bottom"/>
            <w:hideMark/>
          </w:tcPr>
          <w:p w14:paraId="53B63579" w14:textId="77777777" w:rsidR="00D30983" w:rsidRPr="00D9348B" w:rsidRDefault="00D30983" w:rsidP="00DB330E">
            <w:pPr>
              <w:pStyle w:val="TableTextBold"/>
              <w:jc w:val="right"/>
              <w:rPr>
                <w:noProof w:val="0"/>
                <w:color w:val="FFFFFF"/>
              </w:rPr>
            </w:pPr>
            <w:r w:rsidRPr="00D9348B">
              <w:rPr>
                <w:noProof w:val="0"/>
                <w:color w:val="FFFFFF"/>
              </w:rPr>
              <w:t>1990</w:t>
            </w:r>
          </w:p>
        </w:tc>
        <w:tc>
          <w:tcPr>
            <w:tcW w:w="498" w:type="pct"/>
            <w:tcBorders>
              <w:top w:val="single" w:sz="4" w:space="0" w:color="365F91"/>
              <w:left w:val="nil"/>
              <w:bottom w:val="single" w:sz="4" w:space="0" w:color="365F91"/>
              <w:right w:val="nil"/>
            </w:tcBorders>
            <w:shd w:val="clear" w:color="auto" w:fill="365F91"/>
            <w:vAlign w:val="bottom"/>
            <w:hideMark/>
          </w:tcPr>
          <w:p w14:paraId="102E450B" w14:textId="77777777" w:rsidR="00D30983" w:rsidRPr="00D9348B" w:rsidRDefault="00D30983" w:rsidP="00DB330E">
            <w:pPr>
              <w:pStyle w:val="TableTextBold"/>
              <w:jc w:val="right"/>
              <w:rPr>
                <w:noProof w:val="0"/>
                <w:color w:val="FFFFFF"/>
              </w:rPr>
            </w:pPr>
            <w:r w:rsidRPr="00D9348B">
              <w:rPr>
                <w:noProof w:val="0"/>
                <w:color w:val="FFFFFF"/>
              </w:rPr>
              <w:t>2018</w:t>
            </w:r>
          </w:p>
        </w:tc>
        <w:tc>
          <w:tcPr>
            <w:tcW w:w="579" w:type="pct"/>
            <w:tcBorders>
              <w:top w:val="single" w:sz="4" w:space="0" w:color="365F91"/>
              <w:left w:val="nil"/>
              <w:bottom w:val="single" w:sz="4" w:space="0" w:color="365F91"/>
              <w:right w:val="nil"/>
            </w:tcBorders>
            <w:shd w:val="clear" w:color="auto" w:fill="365F91"/>
            <w:vAlign w:val="bottom"/>
            <w:hideMark/>
          </w:tcPr>
          <w:p w14:paraId="5A1B618E" w14:textId="77777777" w:rsidR="00D30983" w:rsidRPr="00D9348B" w:rsidRDefault="00D30983" w:rsidP="00DB330E">
            <w:pPr>
              <w:pStyle w:val="TableTextBold"/>
              <w:jc w:val="right"/>
              <w:rPr>
                <w:noProof w:val="0"/>
                <w:color w:val="FFFFFF"/>
              </w:rPr>
            </w:pPr>
            <w:r w:rsidRPr="00D9348B">
              <w:rPr>
                <w:noProof w:val="0"/>
                <w:color w:val="FFFFFF"/>
              </w:rPr>
              <w:t>1990–2018</w:t>
            </w:r>
          </w:p>
        </w:tc>
        <w:tc>
          <w:tcPr>
            <w:tcW w:w="662" w:type="pct"/>
            <w:tcBorders>
              <w:top w:val="single" w:sz="4" w:space="0" w:color="365F91"/>
              <w:left w:val="nil"/>
              <w:bottom w:val="single" w:sz="4" w:space="0" w:color="365F91"/>
              <w:right w:val="nil"/>
            </w:tcBorders>
            <w:shd w:val="clear" w:color="auto" w:fill="365F91"/>
            <w:vAlign w:val="bottom"/>
            <w:hideMark/>
          </w:tcPr>
          <w:p w14:paraId="677A6504" w14:textId="77777777" w:rsidR="00D30983" w:rsidRPr="00D9348B" w:rsidRDefault="00D30983" w:rsidP="00DB330E">
            <w:pPr>
              <w:pStyle w:val="TableTextBold"/>
              <w:jc w:val="right"/>
              <w:rPr>
                <w:noProof w:val="0"/>
                <w:color w:val="FFFFFF"/>
              </w:rPr>
            </w:pPr>
            <w:r w:rsidRPr="00D9348B">
              <w:rPr>
                <w:noProof w:val="0"/>
                <w:color w:val="FFFFFF"/>
              </w:rPr>
              <w:t>1990–2018</w:t>
            </w:r>
          </w:p>
        </w:tc>
        <w:tc>
          <w:tcPr>
            <w:tcW w:w="497" w:type="pct"/>
            <w:tcBorders>
              <w:top w:val="single" w:sz="4" w:space="0" w:color="365F91"/>
              <w:left w:val="nil"/>
              <w:bottom w:val="single" w:sz="4" w:space="0" w:color="365F91"/>
              <w:right w:val="nil"/>
            </w:tcBorders>
            <w:shd w:val="clear" w:color="auto" w:fill="365F91"/>
            <w:vAlign w:val="bottom"/>
            <w:hideMark/>
          </w:tcPr>
          <w:p w14:paraId="5D8241E3" w14:textId="77777777" w:rsidR="00D30983" w:rsidRPr="00D9348B" w:rsidRDefault="00D30983" w:rsidP="00DB330E">
            <w:pPr>
              <w:pStyle w:val="TableTextBold"/>
              <w:jc w:val="right"/>
              <w:rPr>
                <w:noProof w:val="0"/>
                <w:color w:val="FFFFFF"/>
              </w:rPr>
            </w:pPr>
            <w:r w:rsidRPr="00D9348B">
              <w:rPr>
                <w:noProof w:val="0"/>
                <w:color w:val="FFFFFF"/>
              </w:rPr>
              <w:t>1990</w:t>
            </w:r>
          </w:p>
        </w:tc>
        <w:tc>
          <w:tcPr>
            <w:tcW w:w="510" w:type="pct"/>
            <w:tcBorders>
              <w:top w:val="single" w:sz="4" w:space="0" w:color="365F91"/>
              <w:left w:val="nil"/>
              <w:bottom w:val="single" w:sz="4" w:space="0" w:color="365F91"/>
              <w:right w:val="nil"/>
            </w:tcBorders>
            <w:shd w:val="clear" w:color="auto" w:fill="365F91"/>
            <w:vAlign w:val="bottom"/>
            <w:hideMark/>
          </w:tcPr>
          <w:p w14:paraId="69268FD5" w14:textId="77777777" w:rsidR="00D30983" w:rsidRPr="00D9348B" w:rsidRDefault="00D30983" w:rsidP="00DB330E">
            <w:pPr>
              <w:pStyle w:val="TableTextBold"/>
              <w:jc w:val="right"/>
              <w:rPr>
                <w:noProof w:val="0"/>
                <w:color w:val="FFFFFF"/>
              </w:rPr>
            </w:pPr>
            <w:r w:rsidRPr="00D9348B">
              <w:rPr>
                <w:noProof w:val="0"/>
                <w:color w:val="FFFFFF"/>
              </w:rPr>
              <w:t>2018</w:t>
            </w:r>
          </w:p>
        </w:tc>
      </w:tr>
      <w:tr w:rsidR="00D30983" w:rsidRPr="00D9348B" w14:paraId="6539B406" w14:textId="77777777" w:rsidTr="00D56CF9">
        <w:trPr>
          <w:trHeight w:val="250"/>
        </w:trPr>
        <w:tc>
          <w:tcPr>
            <w:tcW w:w="1758" w:type="pct"/>
            <w:tcBorders>
              <w:top w:val="single" w:sz="4" w:space="0" w:color="365F91"/>
              <w:left w:val="nil"/>
              <w:bottom w:val="single" w:sz="4" w:space="0" w:color="365F91"/>
              <w:right w:val="nil"/>
            </w:tcBorders>
            <w:hideMark/>
          </w:tcPr>
          <w:p w14:paraId="5AA34928" w14:textId="77777777" w:rsidR="00D30983" w:rsidRPr="00D9348B" w:rsidRDefault="00D30983" w:rsidP="00DB330E">
            <w:pPr>
              <w:pStyle w:val="TableText"/>
            </w:pPr>
            <w:r w:rsidRPr="00D9348B">
              <w:t>Mineral industry (2.A)</w:t>
            </w:r>
          </w:p>
        </w:tc>
        <w:tc>
          <w:tcPr>
            <w:tcW w:w="496" w:type="pct"/>
            <w:tcBorders>
              <w:top w:val="single" w:sz="4" w:space="0" w:color="365F91"/>
              <w:left w:val="nil"/>
              <w:bottom w:val="single" w:sz="4" w:space="0" w:color="365F91"/>
              <w:right w:val="nil"/>
            </w:tcBorders>
            <w:hideMark/>
          </w:tcPr>
          <w:p w14:paraId="453A6BAE" w14:textId="77777777" w:rsidR="00D30983" w:rsidRPr="00D9348B" w:rsidRDefault="00D30983" w:rsidP="00DB330E">
            <w:pPr>
              <w:pStyle w:val="TableText"/>
              <w:jc w:val="right"/>
            </w:pPr>
            <w:r w:rsidRPr="00D9348B">
              <w:t>561.9</w:t>
            </w:r>
          </w:p>
        </w:tc>
        <w:tc>
          <w:tcPr>
            <w:tcW w:w="498" w:type="pct"/>
            <w:tcBorders>
              <w:top w:val="single" w:sz="4" w:space="0" w:color="365F91"/>
              <w:left w:val="nil"/>
              <w:bottom w:val="single" w:sz="4" w:space="0" w:color="365F91"/>
              <w:right w:val="nil"/>
            </w:tcBorders>
            <w:hideMark/>
          </w:tcPr>
          <w:p w14:paraId="6D41DE7B" w14:textId="77777777" w:rsidR="00D30983" w:rsidRPr="00D9348B" w:rsidRDefault="00D30983" w:rsidP="00DB330E">
            <w:pPr>
              <w:pStyle w:val="TableText"/>
              <w:jc w:val="right"/>
            </w:pPr>
            <w:r w:rsidRPr="00D9348B">
              <w:t>615.1</w:t>
            </w:r>
          </w:p>
        </w:tc>
        <w:tc>
          <w:tcPr>
            <w:tcW w:w="579" w:type="pct"/>
            <w:tcBorders>
              <w:top w:val="single" w:sz="4" w:space="0" w:color="365F91"/>
              <w:left w:val="nil"/>
              <w:bottom w:val="single" w:sz="4" w:space="0" w:color="365F91"/>
              <w:right w:val="nil"/>
            </w:tcBorders>
            <w:hideMark/>
          </w:tcPr>
          <w:p w14:paraId="13010095" w14:textId="77777777" w:rsidR="00D30983" w:rsidRPr="00D9348B" w:rsidRDefault="00D30983" w:rsidP="00DB330E">
            <w:pPr>
              <w:pStyle w:val="TableText"/>
              <w:jc w:val="right"/>
            </w:pPr>
            <w:r w:rsidRPr="00D9348B">
              <w:t>53.3</w:t>
            </w:r>
          </w:p>
        </w:tc>
        <w:tc>
          <w:tcPr>
            <w:tcW w:w="662" w:type="pct"/>
            <w:tcBorders>
              <w:top w:val="single" w:sz="4" w:space="0" w:color="365F91"/>
              <w:left w:val="nil"/>
              <w:bottom w:val="single" w:sz="4" w:space="0" w:color="365F91"/>
              <w:right w:val="nil"/>
            </w:tcBorders>
            <w:hideMark/>
          </w:tcPr>
          <w:p w14:paraId="28801D30" w14:textId="77777777" w:rsidR="00D30983" w:rsidRPr="00D9348B" w:rsidRDefault="00D30983" w:rsidP="00DB330E">
            <w:pPr>
              <w:pStyle w:val="TableText"/>
              <w:jc w:val="right"/>
            </w:pPr>
            <w:r w:rsidRPr="00D9348B">
              <w:t>9.5</w:t>
            </w:r>
          </w:p>
        </w:tc>
        <w:tc>
          <w:tcPr>
            <w:tcW w:w="497" w:type="pct"/>
            <w:tcBorders>
              <w:top w:val="single" w:sz="4" w:space="0" w:color="365F91"/>
              <w:left w:val="nil"/>
              <w:bottom w:val="single" w:sz="4" w:space="0" w:color="365F91"/>
              <w:right w:val="nil"/>
            </w:tcBorders>
            <w:hideMark/>
          </w:tcPr>
          <w:p w14:paraId="55EC71BC" w14:textId="77777777" w:rsidR="00D30983" w:rsidRPr="00D9348B" w:rsidRDefault="00D30983" w:rsidP="00DB330E">
            <w:pPr>
              <w:pStyle w:val="TableText"/>
              <w:jc w:val="right"/>
            </w:pPr>
            <w:r w:rsidRPr="00D9348B">
              <w:t>15.7</w:t>
            </w:r>
          </w:p>
        </w:tc>
        <w:tc>
          <w:tcPr>
            <w:tcW w:w="510" w:type="pct"/>
            <w:tcBorders>
              <w:top w:val="single" w:sz="4" w:space="0" w:color="365F91"/>
              <w:left w:val="nil"/>
              <w:bottom w:val="single" w:sz="4" w:space="0" w:color="365F91"/>
              <w:right w:val="nil"/>
            </w:tcBorders>
            <w:hideMark/>
          </w:tcPr>
          <w:p w14:paraId="6AD41515" w14:textId="77777777" w:rsidR="00D30983" w:rsidRPr="00D9348B" w:rsidRDefault="00D30983" w:rsidP="00DB330E">
            <w:pPr>
              <w:pStyle w:val="TableText"/>
              <w:jc w:val="right"/>
            </w:pPr>
            <w:r w:rsidRPr="00D9348B">
              <w:t>11.9</w:t>
            </w:r>
          </w:p>
        </w:tc>
      </w:tr>
      <w:tr w:rsidR="00D30983" w:rsidRPr="00D9348B" w14:paraId="6FE8BEF0" w14:textId="77777777" w:rsidTr="00D56CF9">
        <w:tc>
          <w:tcPr>
            <w:tcW w:w="1758" w:type="pct"/>
            <w:tcBorders>
              <w:top w:val="single" w:sz="4" w:space="0" w:color="365F91"/>
              <w:left w:val="nil"/>
              <w:bottom w:val="single" w:sz="4" w:space="0" w:color="365F91"/>
              <w:right w:val="nil"/>
            </w:tcBorders>
            <w:hideMark/>
          </w:tcPr>
          <w:p w14:paraId="71BC2B82" w14:textId="77777777" w:rsidR="00D30983" w:rsidRPr="00D9348B" w:rsidRDefault="00D30983" w:rsidP="00DB330E">
            <w:pPr>
              <w:pStyle w:val="TableText"/>
            </w:pPr>
            <w:r w:rsidRPr="00D9348B">
              <w:t>Chemical industry (2.B)</w:t>
            </w:r>
          </w:p>
        </w:tc>
        <w:tc>
          <w:tcPr>
            <w:tcW w:w="496" w:type="pct"/>
            <w:tcBorders>
              <w:top w:val="single" w:sz="4" w:space="0" w:color="365F91"/>
              <w:left w:val="nil"/>
              <w:bottom w:val="single" w:sz="4" w:space="0" w:color="365F91"/>
              <w:right w:val="nil"/>
            </w:tcBorders>
            <w:hideMark/>
          </w:tcPr>
          <w:p w14:paraId="5ADE188E" w14:textId="77777777" w:rsidR="00D30983" w:rsidRPr="00D9348B" w:rsidRDefault="00D30983" w:rsidP="00DB330E">
            <w:pPr>
              <w:pStyle w:val="TableText"/>
              <w:jc w:val="right"/>
            </w:pPr>
            <w:r w:rsidRPr="00D9348B">
              <w:t>203.0</w:t>
            </w:r>
          </w:p>
        </w:tc>
        <w:tc>
          <w:tcPr>
            <w:tcW w:w="498" w:type="pct"/>
            <w:tcBorders>
              <w:top w:val="single" w:sz="4" w:space="0" w:color="365F91"/>
              <w:left w:val="nil"/>
              <w:bottom w:val="single" w:sz="4" w:space="0" w:color="365F91"/>
              <w:right w:val="nil"/>
            </w:tcBorders>
            <w:hideMark/>
          </w:tcPr>
          <w:p w14:paraId="1560E305" w14:textId="77777777" w:rsidR="00D30983" w:rsidRPr="00D9348B" w:rsidRDefault="00D30983" w:rsidP="00DB330E">
            <w:pPr>
              <w:pStyle w:val="TableText"/>
              <w:jc w:val="right"/>
            </w:pPr>
            <w:r w:rsidRPr="00D9348B">
              <w:t>260.0</w:t>
            </w:r>
          </w:p>
        </w:tc>
        <w:tc>
          <w:tcPr>
            <w:tcW w:w="579" w:type="pct"/>
            <w:tcBorders>
              <w:top w:val="single" w:sz="4" w:space="0" w:color="365F91"/>
              <w:left w:val="nil"/>
              <w:bottom w:val="single" w:sz="4" w:space="0" w:color="365F91"/>
              <w:right w:val="nil"/>
            </w:tcBorders>
            <w:hideMark/>
          </w:tcPr>
          <w:p w14:paraId="40F1EBB7" w14:textId="77777777" w:rsidR="00D30983" w:rsidRPr="00D9348B" w:rsidRDefault="00D30983" w:rsidP="00DB330E">
            <w:pPr>
              <w:pStyle w:val="TableText"/>
              <w:jc w:val="right"/>
            </w:pPr>
            <w:r w:rsidRPr="00D9348B">
              <w:t>57.0</w:t>
            </w:r>
          </w:p>
        </w:tc>
        <w:tc>
          <w:tcPr>
            <w:tcW w:w="662" w:type="pct"/>
            <w:tcBorders>
              <w:top w:val="single" w:sz="4" w:space="0" w:color="365F91"/>
              <w:left w:val="nil"/>
              <w:bottom w:val="single" w:sz="4" w:space="0" w:color="365F91"/>
              <w:right w:val="nil"/>
            </w:tcBorders>
            <w:hideMark/>
          </w:tcPr>
          <w:p w14:paraId="1BECAE77" w14:textId="77777777" w:rsidR="00D30983" w:rsidRPr="00D9348B" w:rsidRDefault="00D30983" w:rsidP="00DB330E">
            <w:pPr>
              <w:pStyle w:val="TableText"/>
              <w:jc w:val="right"/>
            </w:pPr>
            <w:r w:rsidRPr="00D9348B">
              <w:t>28.1</w:t>
            </w:r>
          </w:p>
        </w:tc>
        <w:tc>
          <w:tcPr>
            <w:tcW w:w="497" w:type="pct"/>
            <w:tcBorders>
              <w:top w:val="single" w:sz="4" w:space="0" w:color="365F91"/>
              <w:left w:val="nil"/>
              <w:bottom w:val="single" w:sz="4" w:space="0" w:color="365F91"/>
              <w:right w:val="nil"/>
            </w:tcBorders>
            <w:hideMark/>
          </w:tcPr>
          <w:p w14:paraId="61EDBCAE" w14:textId="77777777" w:rsidR="00D30983" w:rsidRPr="00D9348B" w:rsidRDefault="00D30983" w:rsidP="00DB330E">
            <w:pPr>
              <w:pStyle w:val="TableText"/>
              <w:jc w:val="right"/>
            </w:pPr>
            <w:r w:rsidRPr="00D9348B">
              <w:t>5.7</w:t>
            </w:r>
          </w:p>
        </w:tc>
        <w:tc>
          <w:tcPr>
            <w:tcW w:w="510" w:type="pct"/>
            <w:tcBorders>
              <w:top w:val="single" w:sz="4" w:space="0" w:color="365F91"/>
              <w:left w:val="nil"/>
              <w:bottom w:val="single" w:sz="4" w:space="0" w:color="365F91"/>
              <w:right w:val="nil"/>
            </w:tcBorders>
            <w:hideMark/>
          </w:tcPr>
          <w:p w14:paraId="786C5AEA" w14:textId="77777777" w:rsidR="00D30983" w:rsidRPr="00D9348B" w:rsidRDefault="00D30983" w:rsidP="00DB330E">
            <w:pPr>
              <w:pStyle w:val="TableText"/>
              <w:jc w:val="right"/>
            </w:pPr>
            <w:r w:rsidRPr="00D9348B">
              <w:t>5.0</w:t>
            </w:r>
          </w:p>
        </w:tc>
      </w:tr>
      <w:tr w:rsidR="00D30983" w:rsidRPr="00D9348B" w14:paraId="43BA591D" w14:textId="77777777" w:rsidTr="00D56CF9">
        <w:tc>
          <w:tcPr>
            <w:tcW w:w="1758" w:type="pct"/>
            <w:tcBorders>
              <w:top w:val="single" w:sz="4" w:space="0" w:color="365F91"/>
              <w:left w:val="nil"/>
              <w:bottom w:val="single" w:sz="4" w:space="0" w:color="365F91"/>
              <w:right w:val="nil"/>
            </w:tcBorders>
            <w:hideMark/>
          </w:tcPr>
          <w:p w14:paraId="4EF1E7CF" w14:textId="77777777" w:rsidR="00D30983" w:rsidRPr="00D9348B" w:rsidRDefault="00D30983" w:rsidP="00DB330E">
            <w:pPr>
              <w:pStyle w:val="TableText"/>
            </w:pPr>
            <w:r w:rsidRPr="00D9348B">
              <w:t>Metal industry (2.C)</w:t>
            </w:r>
          </w:p>
        </w:tc>
        <w:tc>
          <w:tcPr>
            <w:tcW w:w="496" w:type="pct"/>
            <w:tcBorders>
              <w:top w:val="single" w:sz="4" w:space="0" w:color="365F91"/>
              <w:left w:val="nil"/>
              <w:bottom w:val="single" w:sz="4" w:space="0" w:color="365F91"/>
              <w:right w:val="nil"/>
            </w:tcBorders>
            <w:hideMark/>
          </w:tcPr>
          <w:p w14:paraId="3156DC52" w14:textId="77777777" w:rsidR="00D30983" w:rsidRPr="00D9348B" w:rsidRDefault="00D30983" w:rsidP="00DB330E">
            <w:pPr>
              <w:pStyle w:val="TableText"/>
              <w:jc w:val="right"/>
            </w:pPr>
            <w:r w:rsidRPr="00D9348B">
              <w:t>2,670.2</w:t>
            </w:r>
          </w:p>
        </w:tc>
        <w:tc>
          <w:tcPr>
            <w:tcW w:w="498" w:type="pct"/>
            <w:tcBorders>
              <w:top w:val="single" w:sz="4" w:space="0" w:color="365F91"/>
              <w:left w:val="nil"/>
              <w:bottom w:val="single" w:sz="4" w:space="0" w:color="365F91"/>
              <w:right w:val="nil"/>
            </w:tcBorders>
            <w:hideMark/>
          </w:tcPr>
          <w:p w14:paraId="6C4F13BF" w14:textId="77777777" w:rsidR="00D30983" w:rsidRPr="00D9348B" w:rsidRDefault="00D30983" w:rsidP="00DB330E">
            <w:pPr>
              <w:pStyle w:val="TableText"/>
              <w:jc w:val="right"/>
            </w:pPr>
            <w:r w:rsidRPr="00D9348B">
              <w:t>2,321.7</w:t>
            </w:r>
          </w:p>
        </w:tc>
        <w:tc>
          <w:tcPr>
            <w:tcW w:w="579" w:type="pct"/>
            <w:tcBorders>
              <w:top w:val="single" w:sz="4" w:space="0" w:color="365F91"/>
              <w:left w:val="nil"/>
              <w:bottom w:val="single" w:sz="4" w:space="0" w:color="365F91"/>
              <w:right w:val="nil"/>
            </w:tcBorders>
            <w:hideMark/>
          </w:tcPr>
          <w:p w14:paraId="30B57E0C" w14:textId="77777777" w:rsidR="00D30983" w:rsidRPr="00D9348B" w:rsidRDefault="00D30983" w:rsidP="00DB330E">
            <w:pPr>
              <w:pStyle w:val="TableText"/>
              <w:jc w:val="right"/>
            </w:pPr>
            <w:r w:rsidRPr="00D9348B">
              <w:t>–348.5</w:t>
            </w:r>
          </w:p>
        </w:tc>
        <w:tc>
          <w:tcPr>
            <w:tcW w:w="662" w:type="pct"/>
            <w:tcBorders>
              <w:top w:val="single" w:sz="4" w:space="0" w:color="365F91"/>
              <w:left w:val="nil"/>
              <w:bottom w:val="single" w:sz="4" w:space="0" w:color="365F91"/>
              <w:right w:val="nil"/>
            </w:tcBorders>
            <w:hideMark/>
          </w:tcPr>
          <w:p w14:paraId="3DB16F59" w14:textId="77777777" w:rsidR="00D30983" w:rsidRPr="00D9348B" w:rsidRDefault="00D30983" w:rsidP="00DB330E">
            <w:pPr>
              <w:pStyle w:val="TableText"/>
              <w:jc w:val="right"/>
            </w:pPr>
            <w:r w:rsidRPr="00D9348B">
              <w:t>–13.1</w:t>
            </w:r>
          </w:p>
        </w:tc>
        <w:tc>
          <w:tcPr>
            <w:tcW w:w="497" w:type="pct"/>
            <w:tcBorders>
              <w:top w:val="single" w:sz="4" w:space="0" w:color="365F91"/>
              <w:left w:val="nil"/>
              <w:bottom w:val="single" w:sz="4" w:space="0" w:color="365F91"/>
              <w:right w:val="nil"/>
            </w:tcBorders>
            <w:hideMark/>
          </w:tcPr>
          <w:p w14:paraId="5B096CC4" w14:textId="77777777" w:rsidR="00D30983" w:rsidRPr="00D9348B" w:rsidRDefault="00D30983" w:rsidP="00DB330E">
            <w:pPr>
              <w:pStyle w:val="TableText"/>
              <w:jc w:val="right"/>
            </w:pPr>
            <w:r w:rsidRPr="00D9348B">
              <w:t>74.6</w:t>
            </w:r>
          </w:p>
        </w:tc>
        <w:tc>
          <w:tcPr>
            <w:tcW w:w="510" w:type="pct"/>
            <w:tcBorders>
              <w:top w:val="single" w:sz="4" w:space="0" w:color="365F91"/>
              <w:left w:val="nil"/>
              <w:bottom w:val="single" w:sz="4" w:space="0" w:color="365F91"/>
              <w:right w:val="nil"/>
            </w:tcBorders>
            <w:hideMark/>
          </w:tcPr>
          <w:p w14:paraId="139E8754" w14:textId="77777777" w:rsidR="00D30983" w:rsidRPr="00D9348B" w:rsidRDefault="00D30983" w:rsidP="00DB330E">
            <w:pPr>
              <w:pStyle w:val="TableText"/>
              <w:jc w:val="right"/>
            </w:pPr>
            <w:r w:rsidRPr="00D9348B">
              <w:t>45.0</w:t>
            </w:r>
          </w:p>
        </w:tc>
      </w:tr>
      <w:tr w:rsidR="00D30983" w:rsidRPr="00D9348B" w14:paraId="4833E70C" w14:textId="77777777" w:rsidTr="00D56CF9">
        <w:tc>
          <w:tcPr>
            <w:tcW w:w="1758" w:type="pct"/>
            <w:tcBorders>
              <w:top w:val="single" w:sz="4" w:space="0" w:color="365F91"/>
              <w:left w:val="nil"/>
              <w:bottom w:val="single" w:sz="4" w:space="0" w:color="365F91"/>
              <w:right w:val="nil"/>
            </w:tcBorders>
            <w:hideMark/>
          </w:tcPr>
          <w:p w14:paraId="5EF97ED5" w14:textId="77777777" w:rsidR="00D30983" w:rsidRPr="00D9348B" w:rsidRDefault="00D30983" w:rsidP="00DB330E">
            <w:pPr>
              <w:pStyle w:val="TableText"/>
            </w:pPr>
            <w:r w:rsidRPr="00D9348B">
              <w:t>Non-energy products from fuels and solvent use (2.D)</w:t>
            </w:r>
          </w:p>
        </w:tc>
        <w:tc>
          <w:tcPr>
            <w:tcW w:w="496" w:type="pct"/>
            <w:tcBorders>
              <w:top w:val="single" w:sz="4" w:space="0" w:color="365F91"/>
              <w:left w:val="nil"/>
              <w:bottom w:val="single" w:sz="4" w:space="0" w:color="365F91"/>
              <w:right w:val="nil"/>
            </w:tcBorders>
            <w:hideMark/>
          </w:tcPr>
          <w:p w14:paraId="24838E4B" w14:textId="77777777" w:rsidR="00D30983" w:rsidRPr="00D9348B" w:rsidRDefault="00D30983" w:rsidP="00DB330E">
            <w:pPr>
              <w:pStyle w:val="TableText"/>
              <w:jc w:val="right"/>
            </w:pPr>
            <w:r w:rsidRPr="00D9348B">
              <w:t>25.1</w:t>
            </w:r>
          </w:p>
        </w:tc>
        <w:tc>
          <w:tcPr>
            <w:tcW w:w="498" w:type="pct"/>
            <w:tcBorders>
              <w:top w:val="single" w:sz="4" w:space="0" w:color="365F91"/>
              <w:left w:val="nil"/>
              <w:bottom w:val="single" w:sz="4" w:space="0" w:color="365F91"/>
              <w:right w:val="nil"/>
            </w:tcBorders>
            <w:hideMark/>
          </w:tcPr>
          <w:p w14:paraId="65F68FB6" w14:textId="77777777" w:rsidR="00D30983" w:rsidRPr="00D9348B" w:rsidRDefault="00D30983" w:rsidP="00DB330E">
            <w:pPr>
              <w:pStyle w:val="TableText"/>
              <w:jc w:val="right"/>
            </w:pPr>
            <w:r w:rsidRPr="00D9348B">
              <w:t>48.9</w:t>
            </w:r>
          </w:p>
        </w:tc>
        <w:tc>
          <w:tcPr>
            <w:tcW w:w="579" w:type="pct"/>
            <w:tcBorders>
              <w:top w:val="single" w:sz="4" w:space="0" w:color="365F91"/>
              <w:left w:val="nil"/>
              <w:bottom w:val="single" w:sz="4" w:space="0" w:color="365F91"/>
              <w:right w:val="nil"/>
            </w:tcBorders>
            <w:hideMark/>
          </w:tcPr>
          <w:p w14:paraId="3EF4295C" w14:textId="77777777" w:rsidR="00D30983" w:rsidRPr="00D9348B" w:rsidRDefault="00D30983" w:rsidP="00DB330E">
            <w:pPr>
              <w:pStyle w:val="TableText"/>
              <w:jc w:val="right"/>
            </w:pPr>
            <w:r w:rsidRPr="00D9348B">
              <w:t>23.8</w:t>
            </w:r>
          </w:p>
        </w:tc>
        <w:tc>
          <w:tcPr>
            <w:tcW w:w="662" w:type="pct"/>
            <w:tcBorders>
              <w:top w:val="single" w:sz="4" w:space="0" w:color="365F91"/>
              <w:left w:val="nil"/>
              <w:bottom w:val="single" w:sz="4" w:space="0" w:color="365F91"/>
              <w:right w:val="nil"/>
            </w:tcBorders>
            <w:hideMark/>
          </w:tcPr>
          <w:p w14:paraId="37E38C02" w14:textId="22483B3C" w:rsidR="00D30983" w:rsidRPr="00D9348B" w:rsidRDefault="00D30983" w:rsidP="00DB330E">
            <w:pPr>
              <w:pStyle w:val="TableText"/>
              <w:jc w:val="right"/>
            </w:pPr>
            <w:r w:rsidRPr="00D9348B">
              <w:t>94.</w:t>
            </w:r>
            <w:r w:rsidR="00F6348A" w:rsidRPr="00D9348B">
              <w:t>7</w:t>
            </w:r>
          </w:p>
        </w:tc>
        <w:tc>
          <w:tcPr>
            <w:tcW w:w="497" w:type="pct"/>
            <w:tcBorders>
              <w:top w:val="single" w:sz="4" w:space="0" w:color="365F91"/>
              <w:left w:val="nil"/>
              <w:bottom w:val="single" w:sz="4" w:space="0" w:color="365F91"/>
              <w:right w:val="nil"/>
            </w:tcBorders>
            <w:hideMark/>
          </w:tcPr>
          <w:p w14:paraId="2F7EFD8C" w14:textId="77777777" w:rsidR="00D30983" w:rsidRPr="00D9348B" w:rsidRDefault="00D30983" w:rsidP="00DB330E">
            <w:pPr>
              <w:pStyle w:val="TableText"/>
              <w:jc w:val="right"/>
            </w:pPr>
            <w:r w:rsidRPr="00D9348B">
              <w:t>0.7</w:t>
            </w:r>
          </w:p>
        </w:tc>
        <w:tc>
          <w:tcPr>
            <w:tcW w:w="510" w:type="pct"/>
            <w:tcBorders>
              <w:top w:val="single" w:sz="4" w:space="0" w:color="365F91"/>
              <w:left w:val="nil"/>
              <w:bottom w:val="single" w:sz="4" w:space="0" w:color="365F91"/>
              <w:right w:val="nil"/>
            </w:tcBorders>
            <w:hideMark/>
          </w:tcPr>
          <w:p w14:paraId="35D1AF03" w14:textId="77777777" w:rsidR="00D30983" w:rsidRPr="00D9348B" w:rsidRDefault="00D30983" w:rsidP="00DB330E">
            <w:pPr>
              <w:pStyle w:val="TableText"/>
              <w:jc w:val="right"/>
            </w:pPr>
            <w:r w:rsidRPr="00D9348B">
              <w:t>0.9</w:t>
            </w:r>
          </w:p>
        </w:tc>
      </w:tr>
      <w:tr w:rsidR="00D30983" w:rsidRPr="00D9348B" w14:paraId="58738744" w14:textId="77777777" w:rsidTr="00D56CF9">
        <w:tc>
          <w:tcPr>
            <w:tcW w:w="1758" w:type="pct"/>
            <w:tcBorders>
              <w:top w:val="single" w:sz="4" w:space="0" w:color="365F91"/>
              <w:left w:val="nil"/>
              <w:bottom w:val="single" w:sz="4" w:space="0" w:color="365F91"/>
              <w:right w:val="nil"/>
            </w:tcBorders>
            <w:hideMark/>
          </w:tcPr>
          <w:p w14:paraId="0A3392DA" w14:textId="77777777" w:rsidR="00D30983" w:rsidRPr="00D9348B" w:rsidRDefault="00D30983" w:rsidP="00DB330E">
            <w:pPr>
              <w:pStyle w:val="TableText"/>
            </w:pPr>
            <w:r w:rsidRPr="00D9348B">
              <w:t>Product uses as substitutes for ODS (2.F)</w:t>
            </w:r>
          </w:p>
        </w:tc>
        <w:tc>
          <w:tcPr>
            <w:tcW w:w="496" w:type="pct"/>
            <w:tcBorders>
              <w:top w:val="single" w:sz="4" w:space="0" w:color="365F91"/>
              <w:left w:val="nil"/>
              <w:bottom w:val="single" w:sz="4" w:space="0" w:color="365F91"/>
              <w:right w:val="nil"/>
            </w:tcBorders>
            <w:hideMark/>
          </w:tcPr>
          <w:p w14:paraId="7795605A" w14:textId="77777777" w:rsidR="00D30983" w:rsidRPr="00D9348B" w:rsidRDefault="00D30983" w:rsidP="00DB330E">
            <w:pPr>
              <w:pStyle w:val="TableText"/>
              <w:jc w:val="right"/>
            </w:pPr>
            <w:r w:rsidRPr="00D9348B">
              <w:t>–</w:t>
            </w:r>
          </w:p>
        </w:tc>
        <w:tc>
          <w:tcPr>
            <w:tcW w:w="498" w:type="pct"/>
            <w:tcBorders>
              <w:top w:val="single" w:sz="4" w:space="0" w:color="365F91"/>
              <w:left w:val="nil"/>
              <w:bottom w:val="single" w:sz="4" w:space="0" w:color="365F91"/>
              <w:right w:val="nil"/>
            </w:tcBorders>
            <w:hideMark/>
          </w:tcPr>
          <w:p w14:paraId="389E4E83" w14:textId="77777777" w:rsidR="00D30983" w:rsidRPr="00D9348B" w:rsidRDefault="00D30983" w:rsidP="00DB330E">
            <w:pPr>
              <w:pStyle w:val="TableText"/>
              <w:jc w:val="right"/>
            </w:pPr>
            <w:r w:rsidRPr="00D9348B">
              <w:t>1,815.9</w:t>
            </w:r>
          </w:p>
        </w:tc>
        <w:tc>
          <w:tcPr>
            <w:tcW w:w="579" w:type="pct"/>
            <w:tcBorders>
              <w:top w:val="single" w:sz="4" w:space="0" w:color="365F91"/>
              <w:left w:val="nil"/>
              <w:bottom w:val="single" w:sz="4" w:space="0" w:color="365F91"/>
              <w:right w:val="nil"/>
            </w:tcBorders>
            <w:hideMark/>
          </w:tcPr>
          <w:p w14:paraId="2C36CE22" w14:textId="77777777" w:rsidR="00D30983" w:rsidRPr="00D9348B" w:rsidRDefault="00D30983" w:rsidP="00DB330E">
            <w:pPr>
              <w:pStyle w:val="TableText"/>
              <w:jc w:val="right"/>
            </w:pPr>
            <w:r w:rsidRPr="00D9348B">
              <w:t>1,815.9</w:t>
            </w:r>
          </w:p>
        </w:tc>
        <w:tc>
          <w:tcPr>
            <w:tcW w:w="662" w:type="pct"/>
            <w:tcBorders>
              <w:top w:val="single" w:sz="4" w:space="0" w:color="365F91"/>
              <w:left w:val="nil"/>
              <w:bottom w:val="single" w:sz="4" w:space="0" w:color="365F91"/>
              <w:right w:val="nil"/>
            </w:tcBorders>
            <w:hideMark/>
          </w:tcPr>
          <w:p w14:paraId="4D8EC053" w14:textId="77777777" w:rsidR="00D30983" w:rsidRPr="00D9348B" w:rsidRDefault="00D30983" w:rsidP="00DB330E">
            <w:pPr>
              <w:pStyle w:val="TableText"/>
              <w:jc w:val="right"/>
            </w:pPr>
            <w:r w:rsidRPr="00D9348B">
              <w:t>–</w:t>
            </w:r>
          </w:p>
        </w:tc>
        <w:tc>
          <w:tcPr>
            <w:tcW w:w="497" w:type="pct"/>
            <w:tcBorders>
              <w:top w:val="single" w:sz="4" w:space="0" w:color="365F91"/>
              <w:left w:val="nil"/>
              <w:bottom w:val="single" w:sz="4" w:space="0" w:color="365F91"/>
              <w:right w:val="nil"/>
            </w:tcBorders>
            <w:hideMark/>
          </w:tcPr>
          <w:p w14:paraId="7874FF0C" w14:textId="77777777" w:rsidR="00D30983" w:rsidRPr="00D9348B" w:rsidRDefault="00D30983" w:rsidP="00DB330E">
            <w:pPr>
              <w:pStyle w:val="TableText"/>
              <w:jc w:val="right"/>
            </w:pPr>
            <w:r w:rsidRPr="00D9348B">
              <w:t>–</w:t>
            </w:r>
          </w:p>
        </w:tc>
        <w:tc>
          <w:tcPr>
            <w:tcW w:w="510" w:type="pct"/>
            <w:tcBorders>
              <w:top w:val="single" w:sz="4" w:space="0" w:color="365F91"/>
              <w:left w:val="nil"/>
              <w:bottom w:val="single" w:sz="4" w:space="0" w:color="365F91"/>
              <w:right w:val="nil"/>
            </w:tcBorders>
            <w:hideMark/>
          </w:tcPr>
          <w:p w14:paraId="3B6979D4" w14:textId="77777777" w:rsidR="00D30983" w:rsidRPr="00D9348B" w:rsidRDefault="00D30983" w:rsidP="00DB330E">
            <w:pPr>
              <w:pStyle w:val="TableText"/>
              <w:jc w:val="right"/>
            </w:pPr>
            <w:r w:rsidRPr="00D9348B">
              <w:t>35.2</w:t>
            </w:r>
          </w:p>
        </w:tc>
      </w:tr>
      <w:tr w:rsidR="00D30983" w:rsidRPr="00D9348B" w14:paraId="5F348EE6" w14:textId="77777777" w:rsidTr="00D56CF9">
        <w:tc>
          <w:tcPr>
            <w:tcW w:w="1758" w:type="pct"/>
            <w:tcBorders>
              <w:top w:val="single" w:sz="4" w:space="0" w:color="365F91"/>
              <w:left w:val="nil"/>
              <w:bottom w:val="single" w:sz="4" w:space="0" w:color="365F91"/>
              <w:right w:val="nil"/>
            </w:tcBorders>
            <w:hideMark/>
          </w:tcPr>
          <w:p w14:paraId="63191FF5" w14:textId="77777777" w:rsidR="00D30983" w:rsidRPr="00D9348B" w:rsidRDefault="00D30983" w:rsidP="00DB330E">
            <w:pPr>
              <w:pStyle w:val="TableText"/>
            </w:pPr>
            <w:r w:rsidRPr="00D9348B">
              <w:t>Other product manufacture and use (2.G)</w:t>
            </w:r>
          </w:p>
        </w:tc>
        <w:tc>
          <w:tcPr>
            <w:tcW w:w="496" w:type="pct"/>
            <w:tcBorders>
              <w:top w:val="single" w:sz="4" w:space="0" w:color="365F91"/>
              <w:left w:val="nil"/>
              <w:bottom w:val="single" w:sz="4" w:space="0" w:color="365F91"/>
              <w:right w:val="nil"/>
            </w:tcBorders>
            <w:hideMark/>
          </w:tcPr>
          <w:p w14:paraId="55EBD531" w14:textId="77777777" w:rsidR="00D30983" w:rsidRPr="00D9348B" w:rsidRDefault="00D30983" w:rsidP="00DB330E">
            <w:pPr>
              <w:pStyle w:val="TableText"/>
              <w:jc w:val="right"/>
            </w:pPr>
            <w:r w:rsidRPr="00D9348B">
              <w:t>119.7</w:t>
            </w:r>
          </w:p>
        </w:tc>
        <w:tc>
          <w:tcPr>
            <w:tcW w:w="498" w:type="pct"/>
            <w:tcBorders>
              <w:top w:val="single" w:sz="4" w:space="0" w:color="365F91"/>
              <w:left w:val="nil"/>
              <w:bottom w:val="single" w:sz="4" w:space="0" w:color="365F91"/>
              <w:right w:val="nil"/>
            </w:tcBorders>
            <w:hideMark/>
          </w:tcPr>
          <w:p w14:paraId="535E94D0" w14:textId="77777777" w:rsidR="00D30983" w:rsidRPr="00D9348B" w:rsidRDefault="00D30983" w:rsidP="00DB330E">
            <w:pPr>
              <w:pStyle w:val="TableText"/>
              <w:jc w:val="right"/>
            </w:pPr>
            <w:r w:rsidRPr="00D9348B">
              <w:t>96.4</w:t>
            </w:r>
          </w:p>
        </w:tc>
        <w:tc>
          <w:tcPr>
            <w:tcW w:w="579" w:type="pct"/>
            <w:tcBorders>
              <w:top w:val="single" w:sz="4" w:space="0" w:color="365F91"/>
              <w:left w:val="nil"/>
              <w:bottom w:val="single" w:sz="4" w:space="0" w:color="365F91"/>
              <w:right w:val="nil"/>
            </w:tcBorders>
            <w:hideMark/>
          </w:tcPr>
          <w:p w14:paraId="6E7FCB7F" w14:textId="77777777" w:rsidR="00D30983" w:rsidRPr="00D9348B" w:rsidRDefault="00D30983" w:rsidP="00DB330E">
            <w:pPr>
              <w:pStyle w:val="TableText"/>
              <w:jc w:val="right"/>
            </w:pPr>
            <w:r w:rsidRPr="00D9348B">
              <w:t>–23.3</w:t>
            </w:r>
          </w:p>
        </w:tc>
        <w:tc>
          <w:tcPr>
            <w:tcW w:w="662" w:type="pct"/>
            <w:tcBorders>
              <w:top w:val="single" w:sz="4" w:space="0" w:color="365F91"/>
              <w:left w:val="nil"/>
              <w:bottom w:val="single" w:sz="4" w:space="0" w:color="365F91"/>
              <w:right w:val="nil"/>
            </w:tcBorders>
            <w:hideMark/>
          </w:tcPr>
          <w:p w14:paraId="37AEC278" w14:textId="77777777" w:rsidR="00D30983" w:rsidRPr="00D9348B" w:rsidRDefault="00D30983" w:rsidP="00DB330E">
            <w:pPr>
              <w:pStyle w:val="TableText"/>
              <w:jc w:val="right"/>
            </w:pPr>
            <w:r w:rsidRPr="00D9348B">
              <w:t>–19.5</w:t>
            </w:r>
          </w:p>
        </w:tc>
        <w:tc>
          <w:tcPr>
            <w:tcW w:w="497" w:type="pct"/>
            <w:tcBorders>
              <w:top w:val="single" w:sz="4" w:space="0" w:color="365F91"/>
              <w:left w:val="nil"/>
              <w:bottom w:val="single" w:sz="4" w:space="0" w:color="365F91"/>
              <w:right w:val="nil"/>
            </w:tcBorders>
            <w:hideMark/>
          </w:tcPr>
          <w:p w14:paraId="46674ED5" w14:textId="77777777" w:rsidR="00D30983" w:rsidRPr="00D9348B" w:rsidRDefault="00D30983" w:rsidP="00DB330E">
            <w:pPr>
              <w:pStyle w:val="TableText"/>
              <w:jc w:val="right"/>
            </w:pPr>
            <w:r w:rsidRPr="00D9348B">
              <w:t>3.3</w:t>
            </w:r>
          </w:p>
        </w:tc>
        <w:tc>
          <w:tcPr>
            <w:tcW w:w="510" w:type="pct"/>
            <w:tcBorders>
              <w:top w:val="single" w:sz="4" w:space="0" w:color="365F91"/>
              <w:left w:val="nil"/>
              <w:bottom w:val="single" w:sz="4" w:space="0" w:color="365F91"/>
              <w:right w:val="nil"/>
            </w:tcBorders>
            <w:hideMark/>
          </w:tcPr>
          <w:p w14:paraId="04482809" w14:textId="77777777" w:rsidR="00D30983" w:rsidRPr="00D9348B" w:rsidRDefault="00D30983" w:rsidP="00DB330E">
            <w:pPr>
              <w:pStyle w:val="TableText"/>
              <w:jc w:val="right"/>
            </w:pPr>
            <w:r w:rsidRPr="00D9348B">
              <w:t>1.9</w:t>
            </w:r>
          </w:p>
        </w:tc>
      </w:tr>
      <w:tr w:rsidR="00D30983" w:rsidRPr="00D9348B" w14:paraId="5F1CB738" w14:textId="77777777" w:rsidTr="00D56CF9">
        <w:tc>
          <w:tcPr>
            <w:tcW w:w="1758" w:type="pct"/>
            <w:tcBorders>
              <w:top w:val="single" w:sz="4" w:space="0" w:color="365F91"/>
              <w:left w:val="nil"/>
              <w:bottom w:val="single" w:sz="4" w:space="0" w:color="365F91"/>
              <w:right w:val="nil"/>
            </w:tcBorders>
            <w:hideMark/>
          </w:tcPr>
          <w:p w14:paraId="7E5AFF24" w14:textId="77777777" w:rsidR="00D30983" w:rsidRPr="00D9348B" w:rsidRDefault="00D30983" w:rsidP="00DB330E">
            <w:pPr>
              <w:pStyle w:val="Tableboldblue"/>
            </w:pPr>
            <w:r w:rsidRPr="00D9348B">
              <w:t>Total</w:t>
            </w:r>
          </w:p>
        </w:tc>
        <w:tc>
          <w:tcPr>
            <w:tcW w:w="496" w:type="pct"/>
            <w:tcBorders>
              <w:top w:val="single" w:sz="4" w:space="0" w:color="365F91"/>
              <w:left w:val="nil"/>
              <w:bottom w:val="single" w:sz="4" w:space="0" w:color="365F91"/>
              <w:right w:val="nil"/>
            </w:tcBorders>
            <w:hideMark/>
          </w:tcPr>
          <w:p w14:paraId="03FB165F" w14:textId="77777777" w:rsidR="00D30983" w:rsidRPr="00D9348B" w:rsidRDefault="00D30983" w:rsidP="00DB330E">
            <w:pPr>
              <w:pStyle w:val="Tableboldblue"/>
              <w:jc w:val="right"/>
            </w:pPr>
            <w:r w:rsidRPr="00D9348B">
              <w:t>3,579.9</w:t>
            </w:r>
          </w:p>
        </w:tc>
        <w:tc>
          <w:tcPr>
            <w:tcW w:w="498" w:type="pct"/>
            <w:tcBorders>
              <w:top w:val="single" w:sz="4" w:space="0" w:color="365F91"/>
              <w:left w:val="nil"/>
              <w:bottom w:val="single" w:sz="4" w:space="0" w:color="365F91"/>
              <w:right w:val="nil"/>
            </w:tcBorders>
            <w:hideMark/>
          </w:tcPr>
          <w:p w14:paraId="5295EB97" w14:textId="77777777" w:rsidR="00D30983" w:rsidRPr="00D9348B" w:rsidRDefault="00D30983" w:rsidP="00DB330E">
            <w:pPr>
              <w:pStyle w:val="Tableboldblue"/>
              <w:jc w:val="right"/>
            </w:pPr>
            <w:r w:rsidRPr="00D9348B">
              <w:t>5,158.1</w:t>
            </w:r>
          </w:p>
        </w:tc>
        <w:tc>
          <w:tcPr>
            <w:tcW w:w="579" w:type="pct"/>
            <w:tcBorders>
              <w:top w:val="single" w:sz="4" w:space="0" w:color="365F91"/>
              <w:left w:val="nil"/>
              <w:bottom w:val="single" w:sz="4" w:space="0" w:color="365F91"/>
              <w:right w:val="nil"/>
            </w:tcBorders>
            <w:hideMark/>
          </w:tcPr>
          <w:p w14:paraId="5C7BD8B8" w14:textId="77777777" w:rsidR="00D30983" w:rsidRPr="00D9348B" w:rsidRDefault="00D30983" w:rsidP="00DB330E">
            <w:pPr>
              <w:pStyle w:val="Tableboldblue"/>
              <w:jc w:val="right"/>
            </w:pPr>
            <w:r w:rsidRPr="00D9348B">
              <w:t>1,578.3</w:t>
            </w:r>
          </w:p>
        </w:tc>
        <w:tc>
          <w:tcPr>
            <w:tcW w:w="662" w:type="pct"/>
            <w:tcBorders>
              <w:top w:val="single" w:sz="4" w:space="0" w:color="365F91"/>
              <w:left w:val="nil"/>
              <w:bottom w:val="single" w:sz="4" w:space="0" w:color="365F91"/>
              <w:right w:val="nil"/>
            </w:tcBorders>
            <w:hideMark/>
          </w:tcPr>
          <w:p w14:paraId="1635F505" w14:textId="77777777" w:rsidR="00D30983" w:rsidRPr="00D9348B" w:rsidRDefault="00D30983" w:rsidP="00DB330E">
            <w:pPr>
              <w:pStyle w:val="Tableboldblue"/>
              <w:jc w:val="right"/>
            </w:pPr>
            <w:r w:rsidRPr="00D9348B">
              <w:t>44.1</w:t>
            </w:r>
          </w:p>
        </w:tc>
        <w:tc>
          <w:tcPr>
            <w:tcW w:w="497" w:type="pct"/>
            <w:tcBorders>
              <w:top w:val="single" w:sz="4" w:space="0" w:color="365F91"/>
              <w:left w:val="nil"/>
              <w:bottom w:val="single" w:sz="4" w:space="0" w:color="365F91"/>
              <w:right w:val="nil"/>
            </w:tcBorders>
            <w:hideMark/>
          </w:tcPr>
          <w:p w14:paraId="2F05830E" w14:textId="77777777" w:rsidR="00D30983" w:rsidRPr="00D9348B" w:rsidRDefault="00D30983" w:rsidP="00DB330E">
            <w:pPr>
              <w:pStyle w:val="Tableboldblue"/>
              <w:jc w:val="right"/>
            </w:pPr>
            <w:r w:rsidRPr="00D9348B">
              <w:t>–</w:t>
            </w:r>
          </w:p>
        </w:tc>
        <w:tc>
          <w:tcPr>
            <w:tcW w:w="510" w:type="pct"/>
            <w:tcBorders>
              <w:top w:val="single" w:sz="4" w:space="0" w:color="365F91"/>
              <w:left w:val="nil"/>
              <w:bottom w:val="single" w:sz="4" w:space="0" w:color="365F91"/>
              <w:right w:val="nil"/>
            </w:tcBorders>
            <w:hideMark/>
          </w:tcPr>
          <w:p w14:paraId="01817972" w14:textId="77777777" w:rsidR="00D30983" w:rsidRPr="00D9348B" w:rsidRDefault="00D30983" w:rsidP="00DB330E">
            <w:pPr>
              <w:pStyle w:val="Tableboldblue"/>
              <w:jc w:val="right"/>
            </w:pPr>
            <w:r w:rsidRPr="00D9348B">
              <w:t>–</w:t>
            </w:r>
          </w:p>
        </w:tc>
      </w:tr>
    </w:tbl>
    <w:p w14:paraId="6BADD102" w14:textId="77777777" w:rsidR="00D30983" w:rsidRPr="00D9348B" w:rsidRDefault="00D30983" w:rsidP="00D30983">
      <w:pPr>
        <w:pStyle w:val="Noteundertable"/>
      </w:pPr>
      <w:r w:rsidRPr="00D9348B">
        <w:rPr>
          <w:b/>
        </w:rPr>
        <w:t>Note:</w:t>
      </w:r>
      <w:r w:rsidRPr="00D9348B">
        <w:tab/>
        <w:t>Columns may not sum due to rounding.</w:t>
      </w:r>
    </w:p>
    <w:p w14:paraId="06383417" w14:textId="77777777" w:rsidR="00D30983" w:rsidRPr="00D9348B" w:rsidRDefault="00D30983" w:rsidP="00D30983">
      <w:pPr>
        <w:pStyle w:val="Figure"/>
        <w:spacing w:after="0"/>
      </w:pPr>
      <w:bookmarkStart w:id="463" w:name="_Toc447275685"/>
      <w:bookmarkStart w:id="464" w:name="_Toc414531599"/>
      <w:bookmarkStart w:id="465" w:name="_Toc378853331"/>
      <w:bookmarkStart w:id="466" w:name="_Toc5269679"/>
      <w:bookmarkStart w:id="467" w:name="_Toc36292782"/>
      <w:r w:rsidRPr="00D9348B">
        <w:lastRenderedPageBreak/>
        <w:t>Figure 4.1.1</w:t>
      </w:r>
      <w:r w:rsidRPr="00D9348B">
        <w:tab/>
        <w:t>New Zealand’s annual emissions from the IPPU sector from 1990 to </w:t>
      </w:r>
      <w:bookmarkEnd w:id="463"/>
      <w:bookmarkEnd w:id="464"/>
      <w:bookmarkEnd w:id="465"/>
      <w:r w:rsidRPr="00D9348B">
        <w:t>2018</w:t>
      </w:r>
      <w:bookmarkEnd w:id="466"/>
      <w:bookmarkEnd w:id="467"/>
    </w:p>
    <w:p w14:paraId="3532FB4C" w14:textId="1247CCD0" w:rsidR="00D30983" w:rsidRPr="00D9348B" w:rsidRDefault="007165CF" w:rsidP="00D30983">
      <w:pPr>
        <w:pStyle w:val="BodyText"/>
        <w:spacing w:before="60"/>
      </w:pPr>
      <w:bookmarkStart w:id="468" w:name="_Toc447275686"/>
      <w:bookmarkStart w:id="469" w:name="_Toc414531600"/>
      <w:bookmarkStart w:id="470" w:name="_Toc378853332"/>
      <w:r>
        <w:pict w14:anchorId="06D77247">
          <v:shape id="_x0000_i1066" type="#_x0000_t75" style="width:383.8pt;height:189.7pt;visibility:visible;mso-wrap-style:square">
            <v:imagedata r:id="rId94" o:title="" cropbottom="3912f"/>
          </v:shape>
        </w:pict>
      </w:r>
    </w:p>
    <w:p w14:paraId="7FDF5B23" w14:textId="77777777" w:rsidR="00D30983" w:rsidRPr="00D9348B" w:rsidRDefault="00D30983" w:rsidP="00D30983">
      <w:pPr>
        <w:pStyle w:val="Figure"/>
        <w:spacing w:after="0"/>
      </w:pPr>
      <w:bookmarkStart w:id="471" w:name="_Toc5269680"/>
      <w:bookmarkStart w:id="472" w:name="_Toc36292783"/>
      <w:r w:rsidRPr="00D9348B">
        <w:t>Figure 4.1.2</w:t>
      </w:r>
      <w:r w:rsidRPr="00D9348B">
        <w:tab/>
        <w:t xml:space="preserve">Change in New Zealand’s emissions from the IPPU sector from 1990 to </w:t>
      </w:r>
      <w:bookmarkEnd w:id="468"/>
      <w:bookmarkEnd w:id="469"/>
      <w:bookmarkEnd w:id="470"/>
      <w:r w:rsidRPr="00D9348B">
        <w:t>2018</w:t>
      </w:r>
      <w:bookmarkEnd w:id="471"/>
      <w:bookmarkEnd w:id="472"/>
    </w:p>
    <w:p w14:paraId="36B84753" w14:textId="3476319D" w:rsidR="00D30983" w:rsidRPr="00D9348B" w:rsidRDefault="007165CF" w:rsidP="00D30983">
      <w:pPr>
        <w:pStyle w:val="BodyText"/>
        <w:spacing w:before="60" w:after="0"/>
      </w:pPr>
      <w:r>
        <w:pict w14:anchorId="69E294DF">
          <v:shape id="_x0000_i1067" type="#_x0000_t75" style="width:376.3pt;height:221.65pt;visibility:visible;mso-wrap-style:square">
            <v:imagedata r:id="rId95" o:title="" croptop="7687f"/>
          </v:shape>
        </w:pict>
      </w:r>
    </w:p>
    <w:p w14:paraId="56950D7F" w14:textId="77777777" w:rsidR="00D30983" w:rsidRPr="00D9348B" w:rsidRDefault="00D30983" w:rsidP="00D30983">
      <w:pPr>
        <w:pStyle w:val="Noteundertable"/>
        <w:spacing w:before="60" w:after="0"/>
        <w:rPr>
          <w:rFonts w:cs="Arial"/>
        </w:rPr>
      </w:pPr>
      <w:r w:rsidRPr="00D9348B">
        <w:rPr>
          <w:rFonts w:cs="Arial"/>
          <w:b/>
        </w:rPr>
        <w:t>Note:</w:t>
      </w:r>
      <w:r w:rsidRPr="00D9348B">
        <w:rPr>
          <w:rFonts w:cs="Arial"/>
        </w:rPr>
        <w:tab/>
      </w:r>
      <w:r w:rsidRPr="00D9348B">
        <w:t xml:space="preserve">Emissions from the </w:t>
      </w:r>
      <w:r w:rsidRPr="00D9348B">
        <w:rPr>
          <w:i/>
        </w:rPr>
        <w:t>Electronics industry</w:t>
      </w:r>
      <w:r w:rsidRPr="00D9348B">
        <w:t xml:space="preserve"> are not occurring (NO).</w:t>
      </w:r>
    </w:p>
    <w:p w14:paraId="2F33B2E1" w14:textId="77777777" w:rsidR="00D30983" w:rsidRPr="00D9348B" w:rsidRDefault="00D30983" w:rsidP="00D30983">
      <w:pPr>
        <w:pStyle w:val="Heading3"/>
        <w:spacing w:before="240"/>
      </w:pPr>
      <w:r w:rsidRPr="00D9348B">
        <w:t>4.1.3</w:t>
      </w:r>
      <w:r w:rsidRPr="00D9348B">
        <w:tab/>
        <w:t>Key categories for IPPU sector emissions</w:t>
      </w:r>
    </w:p>
    <w:p w14:paraId="6D62313C" w14:textId="77777777" w:rsidR="00D30983" w:rsidRPr="00D9348B" w:rsidRDefault="00D30983" w:rsidP="00D30983">
      <w:pPr>
        <w:pStyle w:val="BodyText"/>
        <w:keepNext/>
      </w:pPr>
      <w:r w:rsidRPr="00D9348B">
        <w:t xml:space="preserve">Details of New Zealand’s key category analysis are in chapter 1, section 1.5. The key categories in the IPPU sector are listed in table 4.1.2. </w:t>
      </w:r>
    </w:p>
    <w:p w14:paraId="6B07C048" w14:textId="77777777" w:rsidR="00D30983" w:rsidRPr="00D9348B" w:rsidRDefault="00D30983" w:rsidP="00D30983">
      <w:pPr>
        <w:pStyle w:val="Table"/>
        <w:spacing w:before="100"/>
      </w:pPr>
      <w:bookmarkStart w:id="473" w:name="_Toc451176066"/>
      <w:bookmarkStart w:id="474" w:name="_Toc5269456"/>
      <w:bookmarkStart w:id="475" w:name="_Toc36224529"/>
      <w:r w:rsidRPr="00D9348B">
        <w:t xml:space="preserve">Table 4.1.2 </w:t>
      </w:r>
      <w:r w:rsidRPr="00D9348B">
        <w:tab/>
        <w:t>Key categories in the IPPU sector</w:t>
      </w:r>
      <w:bookmarkEnd w:id="473"/>
      <w:bookmarkEnd w:id="474"/>
      <w:bookmarkEnd w:id="475"/>
      <w:r w:rsidRPr="00D9348B">
        <w:t xml:space="preserve"> </w:t>
      </w:r>
    </w:p>
    <w:tbl>
      <w:tblPr>
        <w:tblW w:w="8562" w:type="dxa"/>
        <w:tblInd w:w="108" w:type="dxa"/>
        <w:tblBorders>
          <w:top w:val="single" w:sz="4" w:space="0" w:color="365F91"/>
          <w:bottom w:val="single" w:sz="4" w:space="0" w:color="365F91"/>
          <w:insideH w:val="single" w:sz="4" w:space="0" w:color="365F91"/>
        </w:tblBorders>
        <w:tblLook w:val="04A0" w:firstRow="1" w:lastRow="0" w:firstColumn="1" w:lastColumn="0" w:noHBand="0" w:noVBand="1"/>
      </w:tblPr>
      <w:tblGrid>
        <w:gridCol w:w="1276"/>
        <w:gridCol w:w="5103"/>
        <w:gridCol w:w="851"/>
        <w:gridCol w:w="1332"/>
      </w:tblGrid>
      <w:tr w:rsidR="00D30983" w:rsidRPr="00D9348B" w14:paraId="38D99467" w14:textId="77777777" w:rsidTr="005812D6">
        <w:trPr>
          <w:trHeight w:val="462"/>
          <w:tblHeader/>
        </w:trPr>
        <w:tc>
          <w:tcPr>
            <w:tcW w:w="745" w:type="pct"/>
            <w:tcBorders>
              <w:top w:val="single" w:sz="4" w:space="0" w:color="365F91"/>
              <w:left w:val="nil"/>
              <w:bottom w:val="single" w:sz="4" w:space="0" w:color="365F91"/>
              <w:right w:val="nil"/>
            </w:tcBorders>
            <w:shd w:val="clear" w:color="auto" w:fill="365F91"/>
            <w:vAlign w:val="bottom"/>
            <w:hideMark/>
          </w:tcPr>
          <w:p w14:paraId="2368832B" w14:textId="77777777" w:rsidR="00D30983" w:rsidRPr="00D9348B" w:rsidRDefault="00D30983" w:rsidP="00DB330E">
            <w:pPr>
              <w:pStyle w:val="TableTextBold"/>
              <w:spacing w:before="40" w:after="40"/>
              <w:rPr>
                <w:noProof w:val="0"/>
                <w:color w:val="FFFFFF"/>
              </w:rPr>
            </w:pPr>
            <w:r w:rsidRPr="00D9348B">
              <w:rPr>
                <w:noProof w:val="0"/>
                <w:color w:val="FFFFFF"/>
              </w:rPr>
              <w:t>CRF category code</w:t>
            </w:r>
          </w:p>
        </w:tc>
        <w:tc>
          <w:tcPr>
            <w:tcW w:w="2980" w:type="pct"/>
            <w:tcBorders>
              <w:top w:val="single" w:sz="4" w:space="0" w:color="365F91"/>
              <w:left w:val="nil"/>
              <w:bottom w:val="single" w:sz="4" w:space="0" w:color="365F91"/>
              <w:right w:val="nil"/>
            </w:tcBorders>
            <w:shd w:val="clear" w:color="auto" w:fill="365F91"/>
            <w:vAlign w:val="bottom"/>
            <w:hideMark/>
          </w:tcPr>
          <w:p w14:paraId="7B7CC995" w14:textId="77777777" w:rsidR="00D30983" w:rsidRPr="00D9348B" w:rsidRDefault="00D30983" w:rsidP="00DB330E">
            <w:pPr>
              <w:pStyle w:val="TableTextBold"/>
              <w:spacing w:before="40" w:after="40"/>
              <w:rPr>
                <w:noProof w:val="0"/>
                <w:color w:val="FFFFFF"/>
              </w:rPr>
            </w:pPr>
            <w:r w:rsidRPr="00D9348B">
              <w:rPr>
                <w:noProof w:val="0"/>
                <w:color w:val="FFFFFF"/>
              </w:rPr>
              <w:t>IPCC categories</w:t>
            </w:r>
          </w:p>
        </w:tc>
        <w:tc>
          <w:tcPr>
            <w:tcW w:w="497" w:type="pct"/>
            <w:tcBorders>
              <w:top w:val="single" w:sz="4" w:space="0" w:color="365F91"/>
              <w:left w:val="nil"/>
              <w:bottom w:val="single" w:sz="4" w:space="0" w:color="365F91"/>
              <w:right w:val="nil"/>
            </w:tcBorders>
            <w:shd w:val="clear" w:color="auto" w:fill="365F91"/>
            <w:vAlign w:val="bottom"/>
            <w:hideMark/>
          </w:tcPr>
          <w:p w14:paraId="7D4E4579" w14:textId="77777777" w:rsidR="00D30983" w:rsidRPr="00D9348B" w:rsidRDefault="00D30983" w:rsidP="00DB330E">
            <w:pPr>
              <w:pStyle w:val="TableTextBold"/>
              <w:spacing w:before="40" w:after="40"/>
              <w:jc w:val="center"/>
              <w:rPr>
                <w:noProof w:val="0"/>
                <w:color w:val="FFFFFF"/>
              </w:rPr>
            </w:pPr>
            <w:r w:rsidRPr="00D9348B">
              <w:rPr>
                <w:noProof w:val="0"/>
                <w:color w:val="FFFFFF"/>
              </w:rPr>
              <w:t>Gas</w:t>
            </w:r>
          </w:p>
        </w:tc>
        <w:tc>
          <w:tcPr>
            <w:tcW w:w="778" w:type="pct"/>
            <w:tcBorders>
              <w:top w:val="single" w:sz="4" w:space="0" w:color="365F91"/>
              <w:left w:val="nil"/>
              <w:bottom w:val="single" w:sz="4" w:space="0" w:color="365F91"/>
              <w:right w:val="nil"/>
            </w:tcBorders>
            <w:shd w:val="clear" w:color="auto" w:fill="365F91"/>
            <w:vAlign w:val="bottom"/>
            <w:hideMark/>
          </w:tcPr>
          <w:p w14:paraId="3ECC25F9" w14:textId="77777777" w:rsidR="00D30983" w:rsidRPr="00D9348B" w:rsidRDefault="00D30983" w:rsidP="00DB330E">
            <w:pPr>
              <w:pStyle w:val="TableTextBold"/>
              <w:spacing w:before="40" w:after="40"/>
              <w:rPr>
                <w:noProof w:val="0"/>
                <w:color w:val="FFFFFF"/>
              </w:rPr>
            </w:pPr>
            <w:r w:rsidRPr="00D9348B">
              <w:rPr>
                <w:noProof w:val="0"/>
                <w:color w:val="FFFFFF"/>
              </w:rPr>
              <w:t>Criteria for identification</w:t>
            </w:r>
          </w:p>
        </w:tc>
      </w:tr>
      <w:tr w:rsidR="00D30983" w:rsidRPr="00D9348B" w14:paraId="21C47EF9" w14:textId="77777777" w:rsidTr="005812D6">
        <w:trPr>
          <w:trHeight w:val="250"/>
        </w:trPr>
        <w:tc>
          <w:tcPr>
            <w:tcW w:w="745" w:type="pct"/>
            <w:tcBorders>
              <w:top w:val="single" w:sz="4" w:space="0" w:color="365F91"/>
              <w:left w:val="nil"/>
              <w:bottom w:val="single" w:sz="4" w:space="0" w:color="365F91"/>
              <w:right w:val="nil"/>
            </w:tcBorders>
            <w:shd w:val="clear" w:color="auto" w:fill="FFFFFF"/>
            <w:hideMark/>
          </w:tcPr>
          <w:p w14:paraId="0E1F102F" w14:textId="77777777" w:rsidR="00D30983" w:rsidRPr="00D9348B" w:rsidRDefault="00D30983" w:rsidP="00DB330E">
            <w:pPr>
              <w:pStyle w:val="TableText"/>
              <w:spacing w:before="40" w:after="40"/>
            </w:pPr>
            <w:r w:rsidRPr="00D9348B">
              <w:t>2.A.1</w:t>
            </w:r>
          </w:p>
        </w:tc>
        <w:tc>
          <w:tcPr>
            <w:tcW w:w="2980" w:type="pct"/>
            <w:tcBorders>
              <w:top w:val="single" w:sz="4" w:space="0" w:color="365F91"/>
              <w:left w:val="nil"/>
              <w:bottom w:val="single" w:sz="4" w:space="0" w:color="365F91"/>
              <w:right w:val="nil"/>
            </w:tcBorders>
            <w:shd w:val="clear" w:color="auto" w:fill="FFFFFF"/>
            <w:vAlign w:val="center"/>
            <w:hideMark/>
          </w:tcPr>
          <w:p w14:paraId="58BC899A" w14:textId="77777777" w:rsidR="00D30983" w:rsidRPr="00D9348B" w:rsidRDefault="00D30983" w:rsidP="00DB330E">
            <w:pPr>
              <w:pStyle w:val="TableText"/>
              <w:spacing w:before="40" w:after="40"/>
              <w:rPr>
                <w:color w:val="000000"/>
                <w:szCs w:val="16"/>
              </w:rPr>
            </w:pPr>
            <w:r w:rsidRPr="00D9348B">
              <w:rPr>
                <w:color w:val="000000"/>
                <w:szCs w:val="16"/>
              </w:rPr>
              <w:t>Mineral Industry – Cement Production</w:t>
            </w:r>
          </w:p>
        </w:tc>
        <w:tc>
          <w:tcPr>
            <w:tcW w:w="497" w:type="pct"/>
            <w:tcBorders>
              <w:top w:val="single" w:sz="4" w:space="0" w:color="365F91"/>
              <w:left w:val="nil"/>
              <w:bottom w:val="single" w:sz="4" w:space="0" w:color="365F91"/>
              <w:right w:val="nil"/>
            </w:tcBorders>
            <w:shd w:val="clear" w:color="auto" w:fill="FFFFFF"/>
            <w:vAlign w:val="center"/>
            <w:hideMark/>
          </w:tcPr>
          <w:p w14:paraId="53F7D16E" w14:textId="77777777" w:rsidR="00D30983" w:rsidRPr="00D9348B" w:rsidRDefault="00D30983" w:rsidP="00DB330E">
            <w:pPr>
              <w:pStyle w:val="TableText"/>
              <w:spacing w:before="40" w:after="40"/>
              <w:jc w:val="center"/>
              <w:rPr>
                <w:color w:val="000000"/>
                <w:szCs w:val="16"/>
              </w:rPr>
            </w:pPr>
            <w:r w:rsidRPr="00D9348B">
              <w:rPr>
                <w:color w:val="000000"/>
                <w:szCs w:val="16"/>
              </w:rPr>
              <w:t>CO</w:t>
            </w:r>
            <w:r w:rsidRPr="00D9348B">
              <w:rPr>
                <w:color w:val="000000"/>
                <w:szCs w:val="16"/>
                <w:vertAlign w:val="subscript"/>
              </w:rPr>
              <w:t>2</w:t>
            </w:r>
          </w:p>
        </w:tc>
        <w:tc>
          <w:tcPr>
            <w:tcW w:w="778" w:type="pct"/>
            <w:tcBorders>
              <w:top w:val="single" w:sz="4" w:space="0" w:color="365F91"/>
              <w:left w:val="nil"/>
              <w:bottom w:val="single" w:sz="4" w:space="0" w:color="365F91"/>
              <w:right w:val="nil"/>
            </w:tcBorders>
            <w:shd w:val="clear" w:color="auto" w:fill="FFFFFF"/>
            <w:vAlign w:val="center"/>
            <w:hideMark/>
          </w:tcPr>
          <w:p w14:paraId="652A45CC" w14:textId="77777777" w:rsidR="00D30983" w:rsidRPr="00D9348B" w:rsidRDefault="00D30983" w:rsidP="00DB330E">
            <w:pPr>
              <w:pStyle w:val="TableText"/>
              <w:spacing w:before="40" w:after="40"/>
              <w:rPr>
                <w:color w:val="000000"/>
                <w:szCs w:val="16"/>
              </w:rPr>
            </w:pPr>
            <w:r w:rsidRPr="00D9348B">
              <w:rPr>
                <w:color w:val="000000"/>
                <w:szCs w:val="16"/>
              </w:rPr>
              <w:t>L1, T1</w:t>
            </w:r>
          </w:p>
        </w:tc>
      </w:tr>
      <w:tr w:rsidR="00D30983" w:rsidRPr="00D9348B" w14:paraId="2EF93B73" w14:textId="77777777" w:rsidTr="005812D6">
        <w:trPr>
          <w:trHeight w:val="305"/>
        </w:trPr>
        <w:tc>
          <w:tcPr>
            <w:tcW w:w="745" w:type="pct"/>
            <w:tcBorders>
              <w:top w:val="single" w:sz="4" w:space="0" w:color="365F91"/>
              <w:left w:val="nil"/>
              <w:bottom w:val="single" w:sz="4" w:space="0" w:color="365F91"/>
              <w:right w:val="nil"/>
            </w:tcBorders>
            <w:shd w:val="clear" w:color="auto" w:fill="FFFFFF"/>
            <w:hideMark/>
          </w:tcPr>
          <w:p w14:paraId="0A47E476" w14:textId="77777777" w:rsidR="00D30983" w:rsidRPr="00D9348B" w:rsidRDefault="00D30983" w:rsidP="00DB330E">
            <w:pPr>
              <w:pStyle w:val="TableText"/>
              <w:spacing w:before="40" w:after="40"/>
            </w:pPr>
            <w:r w:rsidRPr="00D9348B">
              <w:t>2.C.1</w:t>
            </w:r>
          </w:p>
        </w:tc>
        <w:tc>
          <w:tcPr>
            <w:tcW w:w="2980" w:type="pct"/>
            <w:tcBorders>
              <w:top w:val="single" w:sz="4" w:space="0" w:color="365F91"/>
              <w:left w:val="nil"/>
              <w:bottom w:val="single" w:sz="4" w:space="0" w:color="365F91"/>
              <w:right w:val="nil"/>
            </w:tcBorders>
            <w:shd w:val="clear" w:color="auto" w:fill="FFFFFF"/>
            <w:vAlign w:val="center"/>
            <w:hideMark/>
          </w:tcPr>
          <w:p w14:paraId="031439B8" w14:textId="77777777" w:rsidR="00D30983" w:rsidRPr="00D9348B" w:rsidRDefault="00D30983" w:rsidP="00DB330E">
            <w:pPr>
              <w:pStyle w:val="TableText"/>
              <w:spacing w:before="40" w:after="40"/>
              <w:rPr>
                <w:color w:val="000000"/>
                <w:szCs w:val="16"/>
              </w:rPr>
            </w:pPr>
            <w:r w:rsidRPr="00D9348B">
              <w:rPr>
                <w:color w:val="000000"/>
                <w:szCs w:val="16"/>
              </w:rPr>
              <w:t>Metal Industry – Iron and Steel Production</w:t>
            </w:r>
          </w:p>
        </w:tc>
        <w:tc>
          <w:tcPr>
            <w:tcW w:w="497" w:type="pct"/>
            <w:tcBorders>
              <w:top w:val="single" w:sz="4" w:space="0" w:color="365F91"/>
              <w:left w:val="nil"/>
              <w:bottom w:val="single" w:sz="4" w:space="0" w:color="365F91"/>
              <w:right w:val="nil"/>
            </w:tcBorders>
            <w:shd w:val="clear" w:color="auto" w:fill="FFFFFF"/>
            <w:vAlign w:val="center"/>
            <w:hideMark/>
          </w:tcPr>
          <w:p w14:paraId="39F6F9D2" w14:textId="77777777" w:rsidR="00D30983" w:rsidRPr="00D9348B" w:rsidRDefault="00D30983" w:rsidP="00DB330E">
            <w:pPr>
              <w:pStyle w:val="TableText"/>
              <w:spacing w:before="40" w:after="40"/>
              <w:jc w:val="center"/>
              <w:rPr>
                <w:color w:val="000000"/>
                <w:szCs w:val="16"/>
              </w:rPr>
            </w:pPr>
            <w:r w:rsidRPr="00D9348B">
              <w:rPr>
                <w:color w:val="000000"/>
                <w:szCs w:val="16"/>
              </w:rPr>
              <w:t>CO</w:t>
            </w:r>
            <w:r w:rsidRPr="00D9348B">
              <w:rPr>
                <w:color w:val="000000"/>
                <w:szCs w:val="16"/>
                <w:vertAlign w:val="subscript"/>
              </w:rPr>
              <w:t>2</w:t>
            </w:r>
          </w:p>
        </w:tc>
        <w:tc>
          <w:tcPr>
            <w:tcW w:w="778" w:type="pct"/>
            <w:tcBorders>
              <w:top w:val="single" w:sz="4" w:space="0" w:color="365F91"/>
              <w:left w:val="nil"/>
              <w:bottom w:val="single" w:sz="4" w:space="0" w:color="365F91"/>
              <w:right w:val="nil"/>
            </w:tcBorders>
            <w:shd w:val="clear" w:color="auto" w:fill="FFFFFF"/>
            <w:vAlign w:val="center"/>
            <w:hideMark/>
          </w:tcPr>
          <w:p w14:paraId="52DACD0D" w14:textId="77777777" w:rsidR="00D30983" w:rsidRPr="00D9348B" w:rsidRDefault="00D30983" w:rsidP="00DB330E">
            <w:pPr>
              <w:pStyle w:val="TableText"/>
              <w:spacing w:before="40" w:after="40"/>
              <w:rPr>
                <w:color w:val="000000"/>
                <w:szCs w:val="16"/>
              </w:rPr>
            </w:pPr>
            <w:r w:rsidRPr="00D9348B">
              <w:rPr>
                <w:color w:val="000000"/>
                <w:szCs w:val="16"/>
              </w:rPr>
              <w:t>L1, T1</w:t>
            </w:r>
          </w:p>
        </w:tc>
      </w:tr>
      <w:tr w:rsidR="00D30983" w:rsidRPr="00D9348B" w14:paraId="1329D2F3" w14:textId="77777777" w:rsidTr="005812D6">
        <w:trPr>
          <w:trHeight w:val="305"/>
        </w:trPr>
        <w:tc>
          <w:tcPr>
            <w:tcW w:w="745" w:type="pct"/>
            <w:tcBorders>
              <w:top w:val="single" w:sz="4" w:space="0" w:color="365F91"/>
              <w:left w:val="nil"/>
              <w:bottom w:val="single" w:sz="4" w:space="0" w:color="365F91"/>
              <w:right w:val="nil"/>
            </w:tcBorders>
            <w:shd w:val="clear" w:color="auto" w:fill="FFFFFF"/>
            <w:hideMark/>
          </w:tcPr>
          <w:p w14:paraId="2A6A6872" w14:textId="77777777" w:rsidR="00D30983" w:rsidRPr="00D9348B" w:rsidRDefault="00D30983" w:rsidP="00DB330E">
            <w:pPr>
              <w:pStyle w:val="TableText"/>
              <w:spacing w:before="40" w:after="40"/>
            </w:pPr>
            <w:r w:rsidRPr="00D9348B">
              <w:t>2.C.3</w:t>
            </w:r>
          </w:p>
        </w:tc>
        <w:tc>
          <w:tcPr>
            <w:tcW w:w="2980" w:type="pct"/>
            <w:tcBorders>
              <w:top w:val="single" w:sz="4" w:space="0" w:color="365F91"/>
              <w:left w:val="nil"/>
              <w:bottom w:val="single" w:sz="4" w:space="0" w:color="365F91"/>
              <w:right w:val="nil"/>
            </w:tcBorders>
            <w:shd w:val="clear" w:color="auto" w:fill="FFFFFF"/>
            <w:vAlign w:val="center"/>
            <w:hideMark/>
          </w:tcPr>
          <w:p w14:paraId="4F35A3B2" w14:textId="77777777" w:rsidR="00D30983" w:rsidRPr="00D9348B" w:rsidRDefault="00D30983" w:rsidP="00DB330E">
            <w:pPr>
              <w:pStyle w:val="TableText"/>
              <w:spacing w:before="40" w:after="40"/>
              <w:rPr>
                <w:color w:val="000000"/>
                <w:szCs w:val="16"/>
              </w:rPr>
            </w:pPr>
            <w:r w:rsidRPr="00D9348B">
              <w:rPr>
                <w:color w:val="000000"/>
                <w:szCs w:val="16"/>
              </w:rPr>
              <w:t>Metal Industry – Aluminium Production</w:t>
            </w:r>
          </w:p>
        </w:tc>
        <w:tc>
          <w:tcPr>
            <w:tcW w:w="497" w:type="pct"/>
            <w:tcBorders>
              <w:top w:val="single" w:sz="4" w:space="0" w:color="365F91"/>
              <w:left w:val="nil"/>
              <w:bottom w:val="single" w:sz="4" w:space="0" w:color="365F91"/>
              <w:right w:val="nil"/>
            </w:tcBorders>
            <w:shd w:val="clear" w:color="auto" w:fill="FFFFFF"/>
            <w:vAlign w:val="center"/>
            <w:hideMark/>
          </w:tcPr>
          <w:p w14:paraId="57D5CC0A" w14:textId="77777777" w:rsidR="00D30983" w:rsidRPr="00D9348B" w:rsidRDefault="00D30983" w:rsidP="00DB330E">
            <w:pPr>
              <w:pStyle w:val="TableText"/>
              <w:spacing w:before="40" w:after="40"/>
              <w:jc w:val="center"/>
              <w:rPr>
                <w:color w:val="000000"/>
                <w:szCs w:val="16"/>
              </w:rPr>
            </w:pPr>
            <w:r w:rsidRPr="00D9348B">
              <w:rPr>
                <w:color w:val="000000"/>
                <w:szCs w:val="16"/>
              </w:rPr>
              <w:t>CO</w:t>
            </w:r>
            <w:r w:rsidRPr="00D9348B">
              <w:rPr>
                <w:color w:val="000000"/>
                <w:szCs w:val="16"/>
                <w:vertAlign w:val="subscript"/>
              </w:rPr>
              <w:t>2</w:t>
            </w:r>
          </w:p>
        </w:tc>
        <w:tc>
          <w:tcPr>
            <w:tcW w:w="778" w:type="pct"/>
            <w:tcBorders>
              <w:top w:val="single" w:sz="4" w:space="0" w:color="365F91"/>
              <w:left w:val="nil"/>
              <w:bottom w:val="single" w:sz="4" w:space="0" w:color="365F91"/>
              <w:right w:val="nil"/>
            </w:tcBorders>
            <w:shd w:val="clear" w:color="auto" w:fill="FFFFFF"/>
            <w:vAlign w:val="center"/>
            <w:hideMark/>
          </w:tcPr>
          <w:p w14:paraId="40017672" w14:textId="77777777" w:rsidR="00D30983" w:rsidRPr="00D9348B" w:rsidRDefault="00D30983" w:rsidP="00DB330E">
            <w:pPr>
              <w:pStyle w:val="TableText"/>
              <w:spacing w:before="40" w:after="40"/>
              <w:rPr>
                <w:color w:val="000000"/>
                <w:szCs w:val="16"/>
              </w:rPr>
            </w:pPr>
            <w:r w:rsidRPr="00D9348B">
              <w:rPr>
                <w:color w:val="000000"/>
                <w:szCs w:val="16"/>
              </w:rPr>
              <w:t>L1, T1</w:t>
            </w:r>
          </w:p>
        </w:tc>
      </w:tr>
      <w:tr w:rsidR="00D30983" w:rsidRPr="00D9348B" w14:paraId="4F549312" w14:textId="77777777" w:rsidTr="005812D6">
        <w:trPr>
          <w:trHeight w:val="305"/>
        </w:trPr>
        <w:tc>
          <w:tcPr>
            <w:tcW w:w="745" w:type="pct"/>
            <w:tcBorders>
              <w:top w:val="single" w:sz="4" w:space="0" w:color="365F91"/>
              <w:left w:val="nil"/>
              <w:bottom w:val="single" w:sz="4" w:space="0" w:color="365F91"/>
              <w:right w:val="nil"/>
            </w:tcBorders>
            <w:shd w:val="clear" w:color="auto" w:fill="FFFFFF"/>
            <w:hideMark/>
          </w:tcPr>
          <w:p w14:paraId="468E7E75" w14:textId="77777777" w:rsidR="00D30983" w:rsidRPr="00D9348B" w:rsidRDefault="00D30983" w:rsidP="00DB330E">
            <w:pPr>
              <w:pStyle w:val="TableText"/>
              <w:spacing w:before="40" w:after="40"/>
            </w:pPr>
            <w:r w:rsidRPr="00D9348B">
              <w:t>2.C.3</w:t>
            </w:r>
          </w:p>
        </w:tc>
        <w:tc>
          <w:tcPr>
            <w:tcW w:w="2980" w:type="pct"/>
            <w:tcBorders>
              <w:top w:val="single" w:sz="4" w:space="0" w:color="365F91"/>
              <w:left w:val="nil"/>
              <w:bottom w:val="single" w:sz="4" w:space="0" w:color="365F91"/>
              <w:right w:val="nil"/>
            </w:tcBorders>
            <w:shd w:val="clear" w:color="auto" w:fill="FFFFFF"/>
            <w:vAlign w:val="center"/>
            <w:hideMark/>
          </w:tcPr>
          <w:p w14:paraId="63962199" w14:textId="77777777" w:rsidR="00D30983" w:rsidRPr="00D9348B" w:rsidRDefault="00D30983" w:rsidP="00DB330E">
            <w:pPr>
              <w:pStyle w:val="TableText"/>
              <w:spacing w:before="40" w:after="40"/>
              <w:rPr>
                <w:color w:val="000000"/>
                <w:szCs w:val="16"/>
              </w:rPr>
            </w:pPr>
            <w:r w:rsidRPr="00D9348B">
              <w:rPr>
                <w:color w:val="000000"/>
                <w:szCs w:val="16"/>
              </w:rPr>
              <w:t>Metal Industry – Aluminium Production</w:t>
            </w:r>
          </w:p>
        </w:tc>
        <w:tc>
          <w:tcPr>
            <w:tcW w:w="497" w:type="pct"/>
            <w:tcBorders>
              <w:top w:val="single" w:sz="4" w:space="0" w:color="365F91"/>
              <w:left w:val="nil"/>
              <w:bottom w:val="single" w:sz="4" w:space="0" w:color="365F91"/>
              <w:right w:val="nil"/>
            </w:tcBorders>
            <w:shd w:val="clear" w:color="auto" w:fill="FFFFFF"/>
            <w:vAlign w:val="center"/>
            <w:hideMark/>
          </w:tcPr>
          <w:p w14:paraId="1193D548" w14:textId="77777777" w:rsidR="00D30983" w:rsidRPr="00D9348B" w:rsidRDefault="00D30983" w:rsidP="00DB330E">
            <w:pPr>
              <w:pStyle w:val="TableText"/>
              <w:spacing w:before="40" w:after="40"/>
              <w:jc w:val="center"/>
              <w:rPr>
                <w:color w:val="000000"/>
                <w:szCs w:val="16"/>
              </w:rPr>
            </w:pPr>
            <w:r w:rsidRPr="00D9348B">
              <w:rPr>
                <w:color w:val="000000"/>
                <w:szCs w:val="16"/>
              </w:rPr>
              <w:t>PFCs</w:t>
            </w:r>
          </w:p>
        </w:tc>
        <w:tc>
          <w:tcPr>
            <w:tcW w:w="778" w:type="pct"/>
            <w:tcBorders>
              <w:top w:val="single" w:sz="4" w:space="0" w:color="365F91"/>
              <w:left w:val="nil"/>
              <w:bottom w:val="single" w:sz="4" w:space="0" w:color="365F91"/>
              <w:right w:val="nil"/>
            </w:tcBorders>
            <w:shd w:val="clear" w:color="auto" w:fill="FFFFFF"/>
            <w:vAlign w:val="center"/>
            <w:hideMark/>
          </w:tcPr>
          <w:p w14:paraId="6F69F7CE" w14:textId="77777777" w:rsidR="00D30983" w:rsidRPr="00D9348B" w:rsidRDefault="00D30983" w:rsidP="00DB330E">
            <w:pPr>
              <w:pStyle w:val="TableText"/>
              <w:spacing w:before="40" w:after="40"/>
              <w:rPr>
                <w:color w:val="000000"/>
                <w:szCs w:val="16"/>
              </w:rPr>
            </w:pPr>
            <w:r w:rsidRPr="00D9348B">
              <w:rPr>
                <w:color w:val="000000"/>
                <w:szCs w:val="16"/>
              </w:rPr>
              <w:t>T1</w:t>
            </w:r>
          </w:p>
        </w:tc>
      </w:tr>
      <w:tr w:rsidR="00D30983" w:rsidRPr="00D9348B" w14:paraId="49421C7C" w14:textId="77777777" w:rsidTr="005812D6">
        <w:trPr>
          <w:trHeight w:val="305"/>
        </w:trPr>
        <w:tc>
          <w:tcPr>
            <w:tcW w:w="745" w:type="pct"/>
            <w:tcBorders>
              <w:top w:val="single" w:sz="4" w:space="0" w:color="365F91"/>
              <w:left w:val="nil"/>
              <w:bottom w:val="single" w:sz="4" w:space="0" w:color="365F91"/>
              <w:right w:val="nil"/>
            </w:tcBorders>
            <w:shd w:val="clear" w:color="auto" w:fill="FFFFFF"/>
            <w:hideMark/>
          </w:tcPr>
          <w:p w14:paraId="7A9AEF7B" w14:textId="77777777" w:rsidR="00D30983" w:rsidRPr="00D9348B" w:rsidRDefault="00D30983" w:rsidP="00DB330E">
            <w:pPr>
              <w:pStyle w:val="TableText"/>
              <w:spacing w:before="40" w:after="40"/>
            </w:pPr>
            <w:r w:rsidRPr="00D9348B">
              <w:t>2.F.1</w:t>
            </w:r>
          </w:p>
        </w:tc>
        <w:tc>
          <w:tcPr>
            <w:tcW w:w="2980" w:type="pct"/>
            <w:tcBorders>
              <w:top w:val="single" w:sz="4" w:space="0" w:color="365F91"/>
              <w:left w:val="nil"/>
              <w:bottom w:val="single" w:sz="4" w:space="0" w:color="365F91"/>
              <w:right w:val="nil"/>
            </w:tcBorders>
            <w:shd w:val="clear" w:color="auto" w:fill="FFFFFF"/>
            <w:vAlign w:val="center"/>
            <w:hideMark/>
          </w:tcPr>
          <w:p w14:paraId="24E228A3" w14:textId="77777777" w:rsidR="00D30983" w:rsidRPr="00D9348B" w:rsidRDefault="00D30983" w:rsidP="00DB330E">
            <w:pPr>
              <w:pStyle w:val="TableText"/>
              <w:spacing w:before="40" w:after="40"/>
              <w:rPr>
                <w:color w:val="000000"/>
                <w:szCs w:val="16"/>
              </w:rPr>
            </w:pPr>
            <w:r w:rsidRPr="00D9348B">
              <w:rPr>
                <w:color w:val="000000"/>
                <w:szCs w:val="16"/>
              </w:rPr>
              <w:t>Product Uses as Substitutes for ODS – Refrigeration and Air Conditioning</w:t>
            </w:r>
          </w:p>
        </w:tc>
        <w:tc>
          <w:tcPr>
            <w:tcW w:w="497" w:type="pct"/>
            <w:tcBorders>
              <w:top w:val="single" w:sz="4" w:space="0" w:color="365F91"/>
              <w:left w:val="nil"/>
              <w:bottom w:val="single" w:sz="4" w:space="0" w:color="365F91"/>
              <w:right w:val="nil"/>
            </w:tcBorders>
            <w:shd w:val="clear" w:color="auto" w:fill="FFFFFF"/>
            <w:vAlign w:val="center"/>
            <w:hideMark/>
          </w:tcPr>
          <w:p w14:paraId="133DBEDF" w14:textId="77777777" w:rsidR="00D30983" w:rsidRPr="00D9348B" w:rsidRDefault="00D30983" w:rsidP="00DB330E">
            <w:pPr>
              <w:pStyle w:val="TableText"/>
              <w:spacing w:before="40" w:after="40"/>
              <w:jc w:val="center"/>
              <w:rPr>
                <w:color w:val="000000"/>
                <w:szCs w:val="16"/>
              </w:rPr>
            </w:pPr>
            <w:r w:rsidRPr="00D9348B">
              <w:rPr>
                <w:color w:val="000000"/>
                <w:szCs w:val="16"/>
              </w:rPr>
              <w:t>HFCs</w:t>
            </w:r>
          </w:p>
        </w:tc>
        <w:tc>
          <w:tcPr>
            <w:tcW w:w="778" w:type="pct"/>
            <w:tcBorders>
              <w:top w:val="single" w:sz="4" w:space="0" w:color="365F91"/>
              <w:left w:val="nil"/>
              <w:bottom w:val="single" w:sz="4" w:space="0" w:color="365F91"/>
              <w:right w:val="nil"/>
            </w:tcBorders>
            <w:shd w:val="clear" w:color="auto" w:fill="FFFFFF"/>
            <w:vAlign w:val="center"/>
            <w:hideMark/>
          </w:tcPr>
          <w:p w14:paraId="42D039B1" w14:textId="77777777" w:rsidR="00D30983" w:rsidRPr="00D9348B" w:rsidRDefault="00D30983" w:rsidP="00DB330E">
            <w:pPr>
              <w:pStyle w:val="TableText"/>
              <w:spacing w:before="40" w:after="40"/>
              <w:rPr>
                <w:color w:val="000000"/>
                <w:szCs w:val="16"/>
              </w:rPr>
            </w:pPr>
            <w:r w:rsidRPr="00D9348B">
              <w:rPr>
                <w:color w:val="000000"/>
                <w:szCs w:val="16"/>
              </w:rPr>
              <w:t>L1, T1</w:t>
            </w:r>
          </w:p>
        </w:tc>
      </w:tr>
      <w:tr w:rsidR="00D30983" w:rsidRPr="00D9348B" w14:paraId="70AD9429" w14:textId="77777777" w:rsidTr="005812D6">
        <w:trPr>
          <w:trHeight w:val="305"/>
        </w:trPr>
        <w:tc>
          <w:tcPr>
            <w:tcW w:w="745" w:type="pct"/>
            <w:tcBorders>
              <w:top w:val="single" w:sz="4" w:space="0" w:color="365F91"/>
              <w:left w:val="nil"/>
              <w:bottom w:val="single" w:sz="4" w:space="0" w:color="365F91"/>
              <w:right w:val="nil"/>
            </w:tcBorders>
            <w:shd w:val="clear" w:color="auto" w:fill="FFFFFF"/>
            <w:hideMark/>
          </w:tcPr>
          <w:p w14:paraId="084B8B14" w14:textId="77777777" w:rsidR="00D30983" w:rsidRPr="00D9348B" w:rsidRDefault="00D30983" w:rsidP="00DB330E">
            <w:pPr>
              <w:pStyle w:val="TableText"/>
              <w:spacing w:before="40" w:after="40"/>
            </w:pPr>
            <w:r w:rsidRPr="00D9348B">
              <w:t>2.F.4</w:t>
            </w:r>
          </w:p>
        </w:tc>
        <w:tc>
          <w:tcPr>
            <w:tcW w:w="2980" w:type="pct"/>
            <w:tcBorders>
              <w:top w:val="single" w:sz="4" w:space="0" w:color="365F91"/>
              <w:left w:val="nil"/>
              <w:bottom w:val="single" w:sz="4" w:space="0" w:color="365F91"/>
              <w:right w:val="nil"/>
            </w:tcBorders>
            <w:shd w:val="clear" w:color="auto" w:fill="FFFFFF"/>
            <w:vAlign w:val="center"/>
            <w:hideMark/>
          </w:tcPr>
          <w:p w14:paraId="5523436C" w14:textId="77777777" w:rsidR="00D30983" w:rsidRPr="00D9348B" w:rsidRDefault="00D30983" w:rsidP="00DB330E">
            <w:pPr>
              <w:pStyle w:val="TableText"/>
              <w:spacing w:before="40" w:after="40"/>
              <w:rPr>
                <w:color w:val="000000"/>
                <w:szCs w:val="16"/>
              </w:rPr>
            </w:pPr>
            <w:r w:rsidRPr="00D9348B">
              <w:rPr>
                <w:color w:val="000000"/>
                <w:szCs w:val="16"/>
              </w:rPr>
              <w:t>Product Uses as Substitutes for ODS – Aerosols</w:t>
            </w:r>
          </w:p>
        </w:tc>
        <w:tc>
          <w:tcPr>
            <w:tcW w:w="497" w:type="pct"/>
            <w:tcBorders>
              <w:top w:val="single" w:sz="4" w:space="0" w:color="365F91"/>
              <w:left w:val="nil"/>
              <w:bottom w:val="single" w:sz="4" w:space="0" w:color="365F91"/>
              <w:right w:val="nil"/>
            </w:tcBorders>
            <w:shd w:val="clear" w:color="auto" w:fill="FFFFFF"/>
            <w:vAlign w:val="center"/>
            <w:hideMark/>
          </w:tcPr>
          <w:p w14:paraId="44DE792D" w14:textId="77777777" w:rsidR="00D30983" w:rsidRPr="00D9348B" w:rsidRDefault="00D30983" w:rsidP="00DB330E">
            <w:pPr>
              <w:pStyle w:val="TableText"/>
              <w:spacing w:before="40" w:after="40"/>
              <w:jc w:val="center"/>
              <w:rPr>
                <w:color w:val="000000"/>
                <w:szCs w:val="16"/>
              </w:rPr>
            </w:pPr>
            <w:r w:rsidRPr="00D9348B">
              <w:rPr>
                <w:color w:val="000000"/>
                <w:szCs w:val="16"/>
              </w:rPr>
              <w:t>HFCs</w:t>
            </w:r>
          </w:p>
        </w:tc>
        <w:tc>
          <w:tcPr>
            <w:tcW w:w="778" w:type="pct"/>
            <w:tcBorders>
              <w:top w:val="single" w:sz="4" w:space="0" w:color="365F91"/>
              <w:left w:val="nil"/>
              <w:bottom w:val="single" w:sz="4" w:space="0" w:color="365F91"/>
              <w:right w:val="nil"/>
            </w:tcBorders>
            <w:shd w:val="clear" w:color="auto" w:fill="FFFFFF"/>
            <w:vAlign w:val="center"/>
            <w:hideMark/>
          </w:tcPr>
          <w:p w14:paraId="25DB7F40" w14:textId="77777777" w:rsidR="00D30983" w:rsidRPr="00D9348B" w:rsidRDefault="00D30983" w:rsidP="00DB330E">
            <w:pPr>
              <w:pStyle w:val="TableText"/>
              <w:spacing w:before="40" w:after="40"/>
              <w:rPr>
                <w:color w:val="000000"/>
                <w:szCs w:val="16"/>
              </w:rPr>
            </w:pPr>
            <w:r w:rsidRPr="00D9348B">
              <w:rPr>
                <w:color w:val="000000"/>
                <w:szCs w:val="16"/>
              </w:rPr>
              <w:t>T1</w:t>
            </w:r>
          </w:p>
        </w:tc>
      </w:tr>
    </w:tbl>
    <w:p w14:paraId="4E19E7E6" w14:textId="77777777" w:rsidR="00D30983" w:rsidRPr="00D9348B" w:rsidRDefault="00D30983" w:rsidP="00D30983">
      <w:pPr>
        <w:pStyle w:val="Noteundertable"/>
      </w:pPr>
      <w:r w:rsidRPr="00D9348B">
        <w:rPr>
          <w:rFonts w:cs="Arial"/>
          <w:b/>
        </w:rPr>
        <w:t>Note:</w:t>
      </w:r>
      <w:r w:rsidRPr="00D9348B">
        <w:rPr>
          <w:rFonts w:cs="Arial"/>
        </w:rPr>
        <w:tab/>
      </w:r>
      <w:r w:rsidRPr="00D9348B">
        <w:t>L1 means a key category is identified under the level analysis – approach 1 and T1 is trend analysis – approach 1. Refer to chapter 1 for more information.</w:t>
      </w:r>
    </w:p>
    <w:p w14:paraId="52E237E6" w14:textId="77777777" w:rsidR="00D30983" w:rsidRPr="00D9348B" w:rsidRDefault="00D30983" w:rsidP="00D30983">
      <w:pPr>
        <w:pStyle w:val="Heading3"/>
      </w:pPr>
      <w:r w:rsidRPr="00D9348B">
        <w:lastRenderedPageBreak/>
        <w:t>4.1.4</w:t>
      </w:r>
      <w:r w:rsidRPr="00D9348B">
        <w:tab/>
        <w:t>Methodological issues for the IPPU sector</w:t>
      </w:r>
    </w:p>
    <w:p w14:paraId="4B87481F" w14:textId="77777777" w:rsidR="00D30983" w:rsidRPr="00D9348B" w:rsidRDefault="00D30983" w:rsidP="00D30983">
      <w:pPr>
        <w:pStyle w:val="BodyText"/>
        <w:spacing w:before="100"/>
        <w:rPr>
          <w:rFonts w:eastAsia="+mn-ea"/>
        </w:rPr>
      </w:pPr>
      <w:r w:rsidRPr="00D9348B">
        <w:rPr>
          <w:rFonts w:eastAsia="+mn-ea"/>
        </w:rPr>
        <w:t xml:space="preserve">Activity data in the IPPU sector have been derived from a variety of sources. In the </w:t>
      </w:r>
      <w:r w:rsidRPr="00D9348B">
        <w:rPr>
          <w:rFonts w:eastAsia="+mn-ea"/>
          <w:i/>
        </w:rPr>
        <w:t>Mineral industry</w:t>
      </w:r>
      <w:r w:rsidRPr="00D9348B">
        <w:rPr>
          <w:rFonts w:eastAsia="+mn-ea"/>
        </w:rPr>
        <w:t xml:space="preserve"> category, the primary data source is emissions data reported under the New Zealand Emissions Trading Scheme (NZ ETS). For the </w:t>
      </w:r>
      <w:r w:rsidRPr="00D9348B">
        <w:rPr>
          <w:rFonts w:eastAsia="+mn-ea"/>
          <w:i/>
        </w:rPr>
        <w:t>Chemical industry</w:t>
      </w:r>
      <w:r w:rsidRPr="00D9348B">
        <w:rPr>
          <w:rFonts w:eastAsia="+mn-ea"/>
        </w:rPr>
        <w:t xml:space="preserve"> and </w:t>
      </w:r>
      <w:r w:rsidRPr="00D9348B">
        <w:rPr>
          <w:rFonts w:eastAsia="+mn-ea"/>
          <w:i/>
        </w:rPr>
        <w:t>Metal industry</w:t>
      </w:r>
      <w:r w:rsidRPr="00D9348B">
        <w:rPr>
          <w:rFonts w:eastAsia="+mn-ea"/>
        </w:rPr>
        <w:t xml:space="preserve"> categories, data (including activity data) are provided to the Ministry of Business, Innovation and Employment (MBIE) in response to an annual survey. </w:t>
      </w:r>
    </w:p>
    <w:p w14:paraId="1FE6B7BD" w14:textId="77777777" w:rsidR="00D30983" w:rsidRPr="00D9348B" w:rsidRDefault="00D30983" w:rsidP="00D30983">
      <w:pPr>
        <w:pStyle w:val="BodyText"/>
        <w:spacing w:before="100"/>
        <w:rPr>
          <w:rFonts w:eastAsia="+mn-ea"/>
        </w:rPr>
      </w:pPr>
      <w:r w:rsidRPr="00D9348B">
        <w:rPr>
          <w:rFonts w:eastAsia="+mn-ea"/>
        </w:rPr>
        <w:t xml:space="preserve">For some large-scale activities in the </w:t>
      </w:r>
      <w:r w:rsidRPr="00D9348B">
        <w:rPr>
          <w:rFonts w:eastAsia="+mn-ea"/>
          <w:i/>
        </w:rPr>
        <w:t>Mineral industry</w:t>
      </w:r>
      <w:r w:rsidRPr="00D9348B">
        <w:rPr>
          <w:rFonts w:eastAsia="+mn-ea"/>
        </w:rPr>
        <w:t xml:space="preserve">, </w:t>
      </w:r>
      <w:r w:rsidRPr="00D9348B">
        <w:rPr>
          <w:rFonts w:eastAsia="+mn-ea"/>
          <w:i/>
        </w:rPr>
        <w:t>Chemical industry</w:t>
      </w:r>
      <w:r w:rsidRPr="00D9348B">
        <w:rPr>
          <w:rFonts w:eastAsia="+mn-ea"/>
        </w:rPr>
        <w:t xml:space="preserve"> and </w:t>
      </w:r>
      <w:r w:rsidRPr="00D9348B">
        <w:rPr>
          <w:rFonts w:eastAsia="+mn-ea"/>
          <w:i/>
        </w:rPr>
        <w:t>Metal industry</w:t>
      </w:r>
      <w:r w:rsidRPr="00D9348B">
        <w:rPr>
          <w:rFonts w:eastAsia="+mn-ea"/>
        </w:rPr>
        <w:t xml:space="preserve"> categories, which are carried out by only one or two companies in New Zealand, activity data are reported as confidential in the CRF tables. </w:t>
      </w:r>
    </w:p>
    <w:p w14:paraId="71238567" w14:textId="77777777" w:rsidR="00D30983" w:rsidRPr="00D9348B" w:rsidRDefault="00D30983" w:rsidP="00D30983">
      <w:pPr>
        <w:pStyle w:val="BodyText"/>
        <w:spacing w:before="100"/>
        <w:rPr>
          <w:rFonts w:eastAsia="+mn-ea"/>
        </w:rPr>
      </w:pPr>
      <w:r w:rsidRPr="00D9348B">
        <w:rPr>
          <w:rFonts w:eastAsia="+mn-ea"/>
        </w:rPr>
        <w:t xml:space="preserve">Emissions data for glass production (2.A.3) are reported in 2.A.4 to aggregate the data with other sources and preserve confidentiality. Also, data on emissions from hydrogen making at the Marsden Point oil refinery are reported in the </w:t>
      </w:r>
      <w:r w:rsidRPr="00D9348B">
        <w:rPr>
          <w:rFonts w:eastAsia="+mn-ea"/>
          <w:i/>
        </w:rPr>
        <w:t>Chemical industry</w:t>
      </w:r>
      <w:r w:rsidRPr="00D9348B">
        <w:rPr>
          <w:rFonts w:eastAsia="+mn-ea"/>
        </w:rPr>
        <w:t xml:space="preserve"> source category. This allows data from New Zealand’s only industrial hydrogen making process, which is smaller in scale than refining, to be aggregated and kept confidential. </w:t>
      </w:r>
    </w:p>
    <w:p w14:paraId="7AC1C603" w14:textId="77777777" w:rsidR="00D30983" w:rsidRPr="00D9348B" w:rsidRDefault="00D30983" w:rsidP="00D30983">
      <w:pPr>
        <w:pStyle w:val="BodyText"/>
        <w:spacing w:before="100"/>
        <w:rPr>
          <w:rFonts w:eastAsia="+mn-ea"/>
        </w:rPr>
      </w:pPr>
      <w:r w:rsidRPr="00D9348B">
        <w:rPr>
          <w:rFonts w:eastAsia="+mn-ea"/>
        </w:rPr>
        <w:t xml:space="preserve">For the </w:t>
      </w:r>
      <w:r w:rsidRPr="00D9348B">
        <w:rPr>
          <w:rFonts w:eastAsia="+mn-ea"/>
          <w:i/>
        </w:rPr>
        <w:t>Product uses as substitutes for ODS</w:t>
      </w:r>
      <w:r w:rsidRPr="00D9348B">
        <w:rPr>
          <w:rFonts w:eastAsia="+mn-ea"/>
        </w:rPr>
        <w:t xml:space="preserve"> source category, updated activity data have been obtained by a detailed annual survey covering the electrical, refrigeration and other industry participants (CRL Energy, unpublished(c)) as well as importers of HFCs and other substances in this source category. </w:t>
      </w:r>
    </w:p>
    <w:p w14:paraId="76D65C32" w14:textId="77777777" w:rsidR="00D30983" w:rsidRPr="00D9348B" w:rsidRDefault="00D30983" w:rsidP="00D30983">
      <w:pPr>
        <w:pStyle w:val="BodyText"/>
        <w:spacing w:before="100"/>
      </w:pPr>
      <w:r w:rsidRPr="00D9348B">
        <w:t>New Zealand uses a combination of Tier 1 and Tier 2 methodologies for the IPPU sector. Tier 2 methods are used for all key categories with the exception of CH</w:t>
      </w:r>
      <w:r w:rsidRPr="00D9348B">
        <w:rPr>
          <w:vertAlign w:val="subscript"/>
        </w:rPr>
        <w:t>4</w:t>
      </w:r>
      <w:r w:rsidRPr="00D9348B">
        <w:t xml:space="preserve"> emissions from methanol production (CRF 2.B.8) for which no Tier 2 method is available. </w:t>
      </w:r>
    </w:p>
    <w:p w14:paraId="189BD4CA" w14:textId="77777777" w:rsidR="00D30983" w:rsidRPr="00D9348B" w:rsidRDefault="00D30983" w:rsidP="00D30983">
      <w:pPr>
        <w:pStyle w:val="BodyText"/>
        <w:spacing w:before="100"/>
        <w:rPr>
          <w:rFonts w:eastAsia="+mn-ea"/>
        </w:rPr>
      </w:pPr>
      <w:r w:rsidRPr="00D9348B">
        <w:rPr>
          <w:rFonts w:eastAsia="+mn-ea"/>
        </w:rPr>
        <w:t xml:space="preserve">For small amounts of indirect greenhouse gas emissions reported in the </w:t>
      </w:r>
      <w:r w:rsidRPr="00D9348B">
        <w:rPr>
          <w:rFonts w:eastAsia="+mn-ea"/>
          <w:i/>
        </w:rPr>
        <w:t>Chemical industry</w:t>
      </w:r>
      <w:r w:rsidRPr="00D9348B">
        <w:rPr>
          <w:rFonts w:eastAsia="+mn-ea"/>
        </w:rPr>
        <w:t xml:space="preserve"> category and the </w:t>
      </w:r>
      <w:r w:rsidRPr="00D9348B">
        <w:rPr>
          <w:rFonts w:eastAsia="+mn-ea"/>
          <w:i/>
        </w:rPr>
        <w:t>Other product manufacture and use</w:t>
      </w:r>
      <w:r w:rsidRPr="00D9348B">
        <w:rPr>
          <w:rFonts w:eastAsia="+mn-ea"/>
        </w:rPr>
        <w:t xml:space="preserve"> category, data were obtained by a detailed industry survey and analysis (CRL Energy, unpublished(a)). Emissions and activity data have been extrapolated for the years since 2006. </w:t>
      </w:r>
    </w:p>
    <w:p w14:paraId="2D3F0F24" w14:textId="77777777" w:rsidR="00D30983" w:rsidRPr="00D9348B" w:rsidRDefault="00D30983" w:rsidP="00D30983">
      <w:pPr>
        <w:pStyle w:val="BodyText"/>
        <w:spacing w:before="100"/>
      </w:pPr>
      <w:r w:rsidRPr="00D9348B">
        <w:t xml:space="preserve">Country-specific emission factors have been used where available, including for emissions of indirect greenhouse gases. </w:t>
      </w:r>
    </w:p>
    <w:p w14:paraId="6734B609" w14:textId="77777777" w:rsidR="00D30983" w:rsidRPr="00D9348B" w:rsidRDefault="00D30983" w:rsidP="00D30983">
      <w:pPr>
        <w:pStyle w:val="Heading3"/>
        <w:spacing w:before="280"/>
      </w:pPr>
      <w:r w:rsidRPr="00D9348B">
        <w:t>4.1.5</w:t>
      </w:r>
      <w:r w:rsidRPr="00D9348B">
        <w:tab/>
        <w:t>Uncertainties</w:t>
      </w:r>
    </w:p>
    <w:p w14:paraId="6C386EED" w14:textId="77777777" w:rsidR="00D30983" w:rsidRPr="00D9348B" w:rsidRDefault="00D30983" w:rsidP="00D30983">
      <w:pPr>
        <w:pStyle w:val="BodyText"/>
        <w:spacing w:before="100"/>
      </w:pPr>
      <w:r w:rsidRPr="00D9348B">
        <w:t>The uncertainties are discussed under each category. Intergovernmental Panel on Climate Change (IPCC) default uncertainties have been used in nearly all cases.</w:t>
      </w:r>
    </w:p>
    <w:p w14:paraId="4C047D5F" w14:textId="77777777" w:rsidR="00D30983" w:rsidRPr="00D9348B" w:rsidRDefault="00D30983" w:rsidP="00D30983">
      <w:pPr>
        <w:pStyle w:val="BodyText"/>
        <w:spacing w:before="100" w:after="100"/>
      </w:pPr>
      <w:r w:rsidRPr="00D9348B">
        <w:t xml:space="preserve">Country-specific estimates of uncertainty have been made in the </w:t>
      </w:r>
      <w:r w:rsidRPr="00D9348B">
        <w:rPr>
          <w:rFonts w:eastAsia="+mn-ea"/>
          <w:i/>
        </w:rPr>
        <w:t>Product uses as substitutes for ODS</w:t>
      </w:r>
      <w:r w:rsidRPr="00D9348B">
        <w:rPr>
          <w:rFonts w:eastAsia="+mn-ea"/>
        </w:rPr>
        <w:t xml:space="preserve"> source category, reflecting the variable quality of data provided by a large number of survey respondents, and have been updated for this submission</w:t>
      </w:r>
      <w:r w:rsidRPr="00D9348B">
        <w:t xml:space="preserve">. </w:t>
      </w:r>
    </w:p>
    <w:p w14:paraId="634A8857" w14:textId="77777777" w:rsidR="00D30983" w:rsidRPr="00D9348B" w:rsidRDefault="00D30983" w:rsidP="00D30983">
      <w:pPr>
        <w:pStyle w:val="Heading3"/>
        <w:spacing w:before="280"/>
      </w:pPr>
      <w:r w:rsidRPr="00D9348B">
        <w:t>4.1.6</w:t>
      </w:r>
      <w:r w:rsidRPr="00D9348B">
        <w:tab/>
        <w:t>Verification</w:t>
      </w:r>
    </w:p>
    <w:p w14:paraId="3D5D61D9" w14:textId="77777777" w:rsidR="00D30983" w:rsidRPr="00D9348B" w:rsidRDefault="00D30983" w:rsidP="00D30983">
      <w:pPr>
        <w:pStyle w:val="BodyText"/>
        <w:spacing w:before="100"/>
      </w:pPr>
      <w:r w:rsidRPr="00D9348B">
        <w:t>The inventory agency (the Ministry for the Environment) verified information on CO</w:t>
      </w:r>
      <w:r w:rsidRPr="00D9348B">
        <w:rPr>
          <w:vertAlign w:val="subscript"/>
        </w:rPr>
        <w:t>2</w:t>
      </w:r>
      <w:r w:rsidRPr="00D9348B">
        <w:t xml:space="preserve"> emissions reported in the </w:t>
      </w:r>
      <w:r w:rsidRPr="00D9348B">
        <w:rPr>
          <w:i/>
        </w:rPr>
        <w:t>Iron and steel production</w:t>
      </w:r>
      <w:r w:rsidRPr="00D9348B">
        <w:t xml:space="preserve"> category against information provided by these industries as participants in the NZ ETS. </w:t>
      </w:r>
    </w:p>
    <w:p w14:paraId="427F9F6B" w14:textId="77777777" w:rsidR="00D30983" w:rsidRPr="00D9348B" w:rsidRDefault="00D30983" w:rsidP="00D30983">
      <w:pPr>
        <w:pStyle w:val="BodyText"/>
        <w:spacing w:before="100" w:after="100"/>
      </w:pPr>
      <w:r w:rsidRPr="00D9348B">
        <w:t xml:space="preserve">For PFCs in the </w:t>
      </w:r>
      <w:r w:rsidRPr="00D9348B">
        <w:rPr>
          <w:i/>
        </w:rPr>
        <w:t>Aluminium production</w:t>
      </w:r>
      <w:r w:rsidRPr="00D9348B">
        <w:t xml:space="preserve"> category and for CO</w:t>
      </w:r>
      <w:r w:rsidRPr="00D9348B">
        <w:rPr>
          <w:vertAlign w:val="subscript"/>
        </w:rPr>
        <w:t>2</w:t>
      </w:r>
      <w:r w:rsidRPr="00D9348B">
        <w:t xml:space="preserve"> in the </w:t>
      </w:r>
      <w:r w:rsidRPr="00D9348B">
        <w:rPr>
          <w:i/>
        </w:rPr>
        <w:t>Mineral industry</w:t>
      </w:r>
      <w:r w:rsidRPr="00D9348B">
        <w:t xml:space="preserve"> category, the NZ ETS is used as a primary data source. Verification will be done over time as ETS returns are verified by the agency that administers the NZ ETS, but no specific verification has been possible for this submission. </w:t>
      </w:r>
    </w:p>
    <w:p w14:paraId="3513A0B1" w14:textId="77777777" w:rsidR="00D30983" w:rsidRPr="00D9348B" w:rsidRDefault="00D30983" w:rsidP="00D30983">
      <w:pPr>
        <w:pStyle w:val="BodyText"/>
        <w:spacing w:before="100" w:after="100"/>
      </w:pPr>
      <w:r w:rsidRPr="00D9348B">
        <w:lastRenderedPageBreak/>
        <w:t xml:space="preserve">All data supplied in response to annual surveys (for the </w:t>
      </w:r>
      <w:r w:rsidRPr="00D9348B">
        <w:rPr>
          <w:i/>
        </w:rPr>
        <w:t>Chemical industry</w:t>
      </w:r>
      <w:r w:rsidRPr="00D9348B">
        <w:t xml:space="preserve">, </w:t>
      </w:r>
      <w:r w:rsidRPr="00D9348B">
        <w:rPr>
          <w:i/>
        </w:rPr>
        <w:t>Metal industry</w:t>
      </w:r>
      <w:r w:rsidRPr="00D9348B">
        <w:t xml:space="preserve"> and </w:t>
      </w:r>
      <w:r w:rsidRPr="00D9348B">
        <w:rPr>
          <w:i/>
        </w:rPr>
        <w:t>Product uses as substitutes for ODS</w:t>
      </w:r>
      <w:r w:rsidRPr="00D9348B">
        <w:t xml:space="preserve"> categories) were verified against national totals where possible and anomalous data followed up and checked. </w:t>
      </w:r>
    </w:p>
    <w:p w14:paraId="4D087174" w14:textId="77777777" w:rsidR="00D30983" w:rsidRPr="00D9348B" w:rsidRDefault="00D30983" w:rsidP="00D30983">
      <w:pPr>
        <w:pStyle w:val="Heading3"/>
      </w:pPr>
      <w:r w:rsidRPr="00D9348B">
        <w:t>4.1.7</w:t>
      </w:r>
      <w:r w:rsidRPr="00D9348B">
        <w:tab/>
        <w:t>Recalculations and improvements</w:t>
      </w:r>
    </w:p>
    <w:p w14:paraId="57F55019" w14:textId="77777777" w:rsidR="00D30983" w:rsidRPr="00D9348B" w:rsidRDefault="00D30983" w:rsidP="00D30983">
      <w:pPr>
        <w:pStyle w:val="BodyText"/>
        <w:spacing w:before="100" w:after="100"/>
      </w:pPr>
      <w:r w:rsidRPr="00D9348B">
        <w:t xml:space="preserve">In the </w:t>
      </w:r>
      <w:r w:rsidRPr="00D9348B">
        <w:rPr>
          <w:i/>
        </w:rPr>
        <w:t>Product uses as substitutes for ODS</w:t>
      </w:r>
      <w:r w:rsidRPr="00D9348B">
        <w:t xml:space="preserve"> source category, activity data and emissions for refrigeration and air conditioning are disaggregated by sub-application. </w:t>
      </w:r>
    </w:p>
    <w:p w14:paraId="790EAA91" w14:textId="77777777" w:rsidR="00D30983" w:rsidRPr="00D9348B" w:rsidRDefault="00D30983" w:rsidP="00D30983">
      <w:pPr>
        <w:pStyle w:val="BodyText"/>
        <w:spacing w:before="100" w:after="100"/>
      </w:pPr>
      <w:r w:rsidRPr="00D9348B">
        <w:t xml:space="preserve">For this submission, emissions from refrigeration and air conditioning for all years have been recalculated to better account for import volumes and refrigerant stockpiled by importers. </w:t>
      </w:r>
    </w:p>
    <w:p w14:paraId="42B27490" w14:textId="77777777" w:rsidR="00D30983" w:rsidRPr="00D9348B" w:rsidRDefault="00D30983" w:rsidP="00865BDB">
      <w:pPr>
        <w:pStyle w:val="Heading4"/>
      </w:pPr>
      <w:r w:rsidRPr="00D9348B">
        <w:t>Expert review team comments</w:t>
      </w:r>
    </w:p>
    <w:p w14:paraId="532E83C4" w14:textId="77777777" w:rsidR="00D30983" w:rsidRPr="00D9348B" w:rsidRDefault="00D30983" w:rsidP="00D30983">
      <w:pPr>
        <w:pStyle w:val="BodyText"/>
        <w:spacing w:before="100" w:after="100"/>
      </w:pPr>
      <w:r w:rsidRPr="00D9348B">
        <w:t xml:space="preserve">Expert review teams (ERTs) have recommended that New Zealand continue efforts to address the transparency of activity data in the </w:t>
      </w:r>
      <w:r w:rsidRPr="00D9348B">
        <w:rPr>
          <w:i/>
        </w:rPr>
        <w:t>Mineral industry</w:t>
      </w:r>
      <w:r w:rsidRPr="00D9348B">
        <w:t xml:space="preserve">, </w:t>
      </w:r>
      <w:r w:rsidRPr="00D9348B">
        <w:rPr>
          <w:i/>
        </w:rPr>
        <w:t>Chemical industry</w:t>
      </w:r>
      <w:r w:rsidRPr="00D9348B">
        <w:t xml:space="preserve"> and </w:t>
      </w:r>
      <w:r w:rsidRPr="00D9348B">
        <w:rPr>
          <w:i/>
        </w:rPr>
        <w:t>Metal industry</w:t>
      </w:r>
      <w:r w:rsidRPr="00D9348B">
        <w:t xml:space="preserve"> categories. This relates to activity data that are reported as confidential. Commercial confidentiality remains an issue for this and future submissions. </w:t>
      </w:r>
    </w:p>
    <w:p w14:paraId="3A81CCAC" w14:textId="77777777" w:rsidR="00D30983" w:rsidRPr="00D9348B" w:rsidRDefault="00D30983" w:rsidP="00D30983">
      <w:pPr>
        <w:pStyle w:val="BodyText"/>
        <w:spacing w:before="100" w:after="100"/>
      </w:pPr>
      <w:r w:rsidRPr="00D9348B">
        <w:t xml:space="preserve">The ERT recommended that New Zealand improves the documentation of reporting in the </w:t>
      </w:r>
      <w:r w:rsidRPr="00D9348B">
        <w:rPr>
          <w:i/>
        </w:rPr>
        <w:t>Product uses as substitutes for ODS</w:t>
      </w:r>
      <w:r w:rsidRPr="00D9348B">
        <w:t xml:space="preserve"> and </w:t>
      </w:r>
      <w:proofErr w:type="gramStart"/>
      <w:r w:rsidRPr="00D9348B">
        <w:rPr>
          <w:i/>
        </w:rPr>
        <w:t>Other</w:t>
      </w:r>
      <w:proofErr w:type="gramEnd"/>
      <w:r w:rsidRPr="00D9348B">
        <w:rPr>
          <w:i/>
        </w:rPr>
        <w:t xml:space="preserve"> product manufacture and use</w:t>
      </w:r>
      <w:r w:rsidRPr="00D9348B">
        <w:t xml:space="preserve"> categories. The descriptions in these categories in the inventory continue to be updated in each submission, and the source material can be made available for review teams. </w:t>
      </w:r>
    </w:p>
    <w:p w14:paraId="2095AD7D" w14:textId="77777777" w:rsidR="00D30983" w:rsidRPr="00D9348B" w:rsidRDefault="00D30983" w:rsidP="00D30983">
      <w:pPr>
        <w:pStyle w:val="Heading3"/>
      </w:pPr>
      <w:r w:rsidRPr="00D9348B">
        <w:t>4.1.8</w:t>
      </w:r>
      <w:r w:rsidRPr="00D9348B">
        <w:tab/>
        <w:t>Quality assurance and quality control (QA/QC) processes</w:t>
      </w:r>
    </w:p>
    <w:p w14:paraId="292D676F" w14:textId="77777777" w:rsidR="00D30983" w:rsidRPr="00D9348B" w:rsidRDefault="00D30983" w:rsidP="00D30983">
      <w:pPr>
        <w:pStyle w:val="BodyText"/>
      </w:pPr>
      <w:bookmarkStart w:id="476" w:name="_Toc447275687"/>
      <w:bookmarkStart w:id="477" w:name="_Toc414531601"/>
      <w:r w:rsidRPr="00D9348B">
        <w:t xml:space="preserve">Tier 1 quality checks were carried out on all data collected for this sector, with minor exceptions where data do not require updating. Figure 4.1.3 describes the quality control process map for the IPPU sector. Verification against independent data sources was possible only in specific cases, such as comparison of NZ ETS returns against data submitted in response to surveys. </w:t>
      </w:r>
    </w:p>
    <w:p w14:paraId="4DE5CAB1" w14:textId="77777777" w:rsidR="00D30983" w:rsidRPr="00D9348B" w:rsidRDefault="00D30983" w:rsidP="00D30983">
      <w:pPr>
        <w:pStyle w:val="Figure"/>
      </w:pPr>
      <w:bookmarkStart w:id="478" w:name="_Toc5269681"/>
      <w:bookmarkStart w:id="479" w:name="_Toc36292784"/>
      <w:r w:rsidRPr="00D9348B">
        <w:t xml:space="preserve">Figure 4.1.3 </w:t>
      </w:r>
      <w:r w:rsidRPr="00D9348B">
        <w:tab/>
        <w:t>Example: Tier 1 quality checks for the IPPU sector</w:t>
      </w:r>
      <w:bookmarkEnd w:id="476"/>
      <w:bookmarkEnd w:id="477"/>
      <w:bookmarkEnd w:id="478"/>
      <w:bookmarkEnd w:id="479"/>
    </w:p>
    <w:p w14:paraId="039DB914" w14:textId="77777777" w:rsidR="00D30983" w:rsidRPr="00D9348B" w:rsidRDefault="00D30983" w:rsidP="00D30983">
      <w:pPr>
        <w:spacing w:before="80" w:after="120"/>
      </w:pPr>
      <w:r w:rsidRPr="00D9348B">
        <w:object w:dxaOrig="8070" w:dyaOrig="4950" w14:anchorId="57AD3938">
          <v:shape id="_x0000_i1068" type="#_x0000_t75" style="width:402.55pt;height:245.45pt" o:ole="">
            <v:imagedata r:id="rId96" o:title="" cropbottom="4344f"/>
          </v:shape>
          <o:OLEObject Type="Embed" ProgID="Visio.Drawing.11" ShapeID="_x0000_i1068" DrawAspect="Content" ObjectID="_1647932316" r:id="rId97"/>
        </w:object>
      </w:r>
    </w:p>
    <w:p w14:paraId="54D1E066" w14:textId="77777777" w:rsidR="00D30983" w:rsidRPr="00D9348B" w:rsidRDefault="00D30983" w:rsidP="00D30983">
      <w:pPr>
        <w:pStyle w:val="Heading2"/>
      </w:pPr>
      <w:bookmarkStart w:id="480" w:name="_Toc448321513"/>
      <w:bookmarkStart w:id="481" w:name="_Toc414531293"/>
      <w:bookmarkStart w:id="482" w:name="_Toc5269352"/>
      <w:bookmarkStart w:id="483" w:name="_Toc36224392"/>
      <w:r w:rsidRPr="00D9348B">
        <w:lastRenderedPageBreak/>
        <w:t>4.2</w:t>
      </w:r>
      <w:r w:rsidRPr="00D9348B">
        <w:tab/>
        <w:t>Mineral industry (2.A)</w:t>
      </w:r>
      <w:bookmarkEnd w:id="480"/>
      <w:bookmarkEnd w:id="481"/>
      <w:bookmarkEnd w:id="482"/>
      <w:bookmarkEnd w:id="483"/>
    </w:p>
    <w:p w14:paraId="129A825F" w14:textId="77777777" w:rsidR="00D30983" w:rsidRPr="00D9348B" w:rsidRDefault="00D30983" w:rsidP="00E81646">
      <w:pPr>
        <w:pStyle w:val="Heading3"/>
        <w:spacing w:before="160"/>
      </w:pPr>
      <w:r w:rsidRPr="00D9348B">
        <w:t>4.2.1</w:t>
      </w:r>
      <w:r w:rsidRPr="00D9348B">
        <w:tab/>
        <w:t>Description</w:t>
      </w:r>
    </w:p>
    <w:p w14:paraId="4C883DC5" w14:textId="77777777" w:rsidR="00D30983" w:rsidRPr="00D9348B" w:rsidRDefault="00D30983" w:rsidP="00C27E02">
      <w:pPr>
        <w:pStyle w:val="BodyText"/>
        <w:spacing w:before="90" w:after="100"/>
      </w:pPr>
      <w:r w:rsidRPr="00D9348B">
        <w:t xml:space="preserve">Emissions from the </w:t>
      </w:r>
      <w:r w:rsidRPr="00D9348B">
        <w:rPr>
          <w:i/>
        </w:rPr>
        <w:t>Mineral industry</w:t>
      </w:r>
      <w:r w:rsidRPr="00D9348B">
        <w:t xml:space="preserve"> source category include CO</w:t>
      </w:r>
      <w:r w:rsidRPr="00D9348B">
        <w:rPr>
          <w:vertAlign w:val="subscript"/>
        </w:rPr>
        <w:t>2</w:t>
      </w:r>
      <w:r w:rsidRPr="00D9348B">
        <w:t xml:space="preserve"> from the calcination of limestone for cement and lime, and from the use of soda ash and limestone in the production of glass, aluminium, and iron and steel. Only CO</w:t>
      </w:r>
      <w:r w:rsidRPr="00D9348B">
        <w:rPr>
          <w:vertAlign w:val="subscript"/>
        </w:rPr>
        <w:t>2</w:t>
      </w:r>
      <w:r w:rsidRPr="00D9348B">
        <w:t xml:space="preserve"> from calcination is reported here. Any emissions from the combustion of fuel to provide heat for these activities are reported in the </w:t>
      </w:r>
      <w:r w:rsidRPr="00D9348B">
        <w:rPr>
          <w:i/>
        </w:rPr>
        <w:t>Energy</w:t>
      </w:r>
      <w:r w:rsidRPr="00D9348B">
        <w:t xml:space="preserve"> sector. </w:t>
      </w:r>
    </w:p>
    <w:p w14:paraId="21B67E71" w14:textId="77777777" w:rsidR="00D30983" w:rsidRPr="00D9348B" w:rsidRDefault="00D30983" w:rsidP="00C27E02">
      <w:pPr>
        <w:pStyle w:val="BodyText"/>
        <w:spacing w:before="90" w:after="100"/>
      </w:pPr>
      <w:r w:rsidRPr="00D9348B">
        <w:t>Only one cement production facility is now operating in New Zealand, a dry-process plant operated by Golden Bay Cement Ltd near Whangarei. Holcim New Zealand Ltd operated a wet</w:t>
      </w:r>
      <w:r w:rsidRPr="00D9348B">
        <w:noBreakHyphen/>
        <w:t xml:space="preserve">process cement plant at Cape Foulwind, on the west coast of the South Island, but this plant was closed at the end of June 2016 and Holcim is now marketing cement made from imported clinker. Another, smaller cement company (Lee Cement Ltd) operated only from 1995 to 1998. These facilities produce clinker from the calcination of limestone and process it into Portland cement and general purpose cement. </w:t>
      </w:r>
    </w:p>
    <w:p w14:paraId="711D80A7" w14:textId="77777777" w:rsidR="00D30983" w:rsidRPr="00D9348B" w:rsidRDefault="00D30983" w:rsidP="00C27E02">
      <w:pPr>
        <w:pStyle w:val="BodyText"/>
        <w:spacing w:before="90" w:after="100"/>
      </w:pPr>
      <w:r w:rsidRPr="00D9348B">
        <w:t xml:space="preserve">Three companies (McDonald’s Lime Ltd, Websters Hydrated Lime Company and Perry Resources Ltd) have a history of making burnt and slaked lime at five different facilities in New Zealand. The industry has been consolidated over time and two companies (Graymont New Zealand and Websters Hydrated Lime Company) now produce all of New Zealand’s burnt and slaked lime. </w:t>
      </w:r>
    </w:p>
    <w:p w14:paraId="13DD6B13" w14:textId="77777777" w:rsidR="00D30983" w:rsidRPr="00D9348B" w:rsidRDefault="00D30983" w:rsidP="00C27E02">
      <w:pPr>
        <w:pStyle w:val="BodyText"/>
        <w:spacing w:before="90" w:after="100"/>
      </w:pPr>
      <w:r w:rsidRPr="00D9348B">
        <w:t>Small amounts of indirect emissions (sulphur dioxide (SO</w:t>
      </w:r>
      <w:r w:rsidRPr="00D9348B">
        <w:rPr>
          <w:vertAlign w:val="subscript"/>
        </w:rPr>
        <w:t>2</w:t>
      </w:r>
      <w:r w:rsidRPr="00D9348B">
        <w:t xml:space="preserve">) only) from the </w:t>
      </w:r>
      <w:r w:rsidRPr="00D9348B">
        <w:rPr>
          <w:i/>
        </w:rPr>
        <w:t>Cement production</w:t>
      </w:r>
      <w:r w:rsidRPr="00D9348B">
        <w:t xml:space="preserve"> category are also reported. Some emissions of SO</w:t>
      </w:r>
      <w:r w:rsidRPr="00D9348B">
        <w:rPr>
          <w:vertAlign w:val="subscript"/>
        </w:rPr>
        <w:t>2</w:t>
      </w:r>
      <w:r w:rsidRPr="00D9348B">
        <w:t xml:space="preserve"> from the </w:t>
      </w:r>
      <w:r w:rsidRPr="00D9348B">
        <w:rPr>
          <w:i/>
        </w:rPr>
        <w:t>Lime production</w:t>
      </w:r>
      <w:r w:rsidRPr="00D9348B">
        <w:t xml:space="preserve"> category were estimated in 2006 (CRL Energy, </w:t>
      </w:r>
      <w:proofErr w:type="gramStart"/>
      <w:r w:rsidRPr="00D9348B">
        <w:rPr>
          <w:rFonts w:eastAsia="+mn-ea"/>
        </w:rPr>
        <w:t>unpublished(</w:t>
      </w:r>
      <w:proofErr w:type="gramEnd"/>
      <w:r w:rsidRPr="00D9348B">
        <w:rPr>
          <w:rFonts w:eastAsia="+mn-ea"/>
        </w:rPr>
        <w:t>a)</w:t>
      </w:r>
      <w:r w:rsidRPr="00D9348B">
        <w:t>), but there is currently no provision in the CRF to report this. Some additional SO</w:t>
      </w:r>
      <w:r w:rsidRPr="00D9348B">
        <w:rPr>
          <w:vertAlign w:val="subscript"/>
        </w:rPr>
        <w:t>2</w:t>
      </w:r>
      <w:r w:rsidRPr="00D9348B">
        <w:t xml:space="preserve"> is derived from sulphur in coal or waste oil used as fuel in cement and lime kilns, and this is reported in the </w:t>
      </w:r>
      <w:r w:rsidRPr="00D9348B">
        <w:rPr>
          <w:i/>
        </w:rPr>
        <w:t>Energy</w:t>
      </w:r>
      <w:r w:rsidRPr="00D9348B">
        <w:t xml:space="preserve"> sector. </w:t>
      </w:r>
    </w:p>
    <w:p w14:paraId="30617AAA" w14:textId="77777777" w:rsidR="00D30983" w:rsidRPr="00D9348B" w:rsidRDefault="00D30983" w:rsidP="00C27E02">
      <w:pPr>
        <w:pStyle w:val="BodyText"/>
        <w:spacing w:before="90" w:after="100"/>
      </w:pPr>
      <w:r w:rsidRPr="00D9348B">
        <w:t xml:space="preserve">Two companies are making glass in New Zealand, with emissions from the use of soda ash and limestone in the process. O-I New Zealand makes container glass and Tasman Insulation New Zealand Ltd makes smaller amounts of glass for building insulation products. </w:t>
      </w:r>
    </w:p>
    <w:p w14:paraId="26AB9F88" w14:textId="77777777" w:rsidR="00D30983" w:rsidRPr="00D9348B" w:rsidRDefault="00D30983" w:rsidP="00C27E02">
      <w:pPr>
        <w:pStyle w:val="BodyText"/>
        <w:spacing w:before="90" w:after="100"/>
      </w:pPr>
      <w:r w:rsidRPr="00D9348B">
        <w:t xml:space="preserve">Limestone and soda ash are also used in the steel and aluminium industries and would normally be reported in the </w:t>
      </w:r>
      <w:r w:rsidRPr="00D9348B">
        <w:rPr>
          <w:i/>
        </w:rPr>
        <w:t>Metal industry</w:t>
      </w:r>
      <w:r w:rsidRPr="00D9348B">
        <w:t xml:space="preserve"> source category. Emissions from this use of mineral inputs are reported in the </w:t>
      </w:r>
      <w:r w:rsidRPr="00D9348B">
        <w:rPr>
          <w:i/>
        </w:rPr>
        <w:t xml:space="preserve">Mineral industry </w:t>
      </w:r>
      <w:r w:rsidRPr="00D9348B">
        <w:t>source</w:t>
      </w:r>
      <w:r w:rsidRPr="00D9348B">
        <w:rPr>
          <w:i/>
        </w:rPr>
        <w:t xml:space="preserve"> </w:t>
      </w:r>
      <w:r w:rsidRPr="00D9348B">
        <w:t xml:space="preserve">category (see 4.2.2), to protect the confidentiality of data provided by the two glass companies. </w:t>
      </w:r>
    </w:p>
    <w:p w14:paraId="2113DABB" w14:textId="77777777" w:rsidR="00D30983" w:rsidRPr="00D9348B" w:rsidRDefault="00D30983" w:rsidP="00C27E02">
      <w:pPr>
        <w:pStyle w:val="BodyText"/>
        <w:spacing w:before="90" w:after="100"/>
      </w:pPr>
      <w:r w:rsidRPr="00D9348B">
        <w:t>A very small amount of CO</w:t>
      </w:r>
      <w:r w:rsidRPr="00D9348B">
        <w:rPr>
          <w:vertAlign w:val="subscript"/>
        </w:rPr>
        <w:t>2</w:t>
      </w:r>
      <w:r w:rsidRPr="00D9348B">
        <w:t xml:space="preserve"> is reported from the use of kaolin clays in ceramics production. </w:t>
      </w:r>
    </w:p>
    <w:p w14:paraId="11BB05DD" w14:textId="77777777" w:rsidR="00D30983" w:rsidRPr="00D9348B" w:rsidRDefault="00D30983" w:rsidP="00C27E02">
      <w:pPr>
        <w:pStyle w:val="BodyText"/>
        <w:spacing w:before="90" w:after="100"/>
      </w:pPr>
      <w:r w:rsidRPr="00D9348B">
        <w:t>The only key category is CO</w:t>
      </w:r>
      <w:r w:rsidRPr="00D9348B">
        <w:rPr>
          <w:vertAlign w:val="subscript"/>
        </w:rPr>
        <w:t>2</w:t>
      </w:r>
      <w:r w:rsidRPr="00D9348B">
        <w:t xml:space="preserve"> emissions from the </w:t>
      </w:r>
      <w:r w:rsidRPr="00D9348B">
        <w:rPr>
          <w:i/>
        </w:rPr>
        <w:t>Cement production</w:t>
      </w:r>
      <w:r w:rsidRPr="00D9348B">
        <w:t xml:space="preserve"> category (level assessment). No sources were identified as key categories in the trend assessment. </w:t>
      </w:r>
    </w:p>
    <w:p w14:paraId="4EDC9F2A" w14:textId="77777777" w:rsidR="00D30983" w:rsidRPr="00D9348B" w:rsidRDefault="00D30983" w:rsidP="00C27E02">
      <w:pPr>
        <w:pStyle w:val="BodyText"/>
        <w:spacing w:before="90" w:after="100"/>
      </w:pPr>
      <w:r w:rsidRPr="00D9348B">
        <w:t xml:space="preserve">In 2018, the </w:t>
      </w:r>
      <w:r w:rsidRPr="00D9348B">
        <w:rPr>
          <w:i/>
        </w:rPr>
        <w:t>Mineral industry</w:t>
      </w:r>
      <w:r w:rsidRPr="00D9348B">
        <w:t xml:space="preserve"> source category accounted for 615.1 kt CO</w:t>
      </w:r>
      <w:r w:rsidRPr="00D9348B">
        <w:rPr>
          <w:vertAlign w:val="subscript"/>
        </w:rPr>
        <w:t>2</w:t>
      </w:r>
      <w:r w:rsidRPr="00D9348B">
        <w:t>-e (11.9 per cent) of emissions from the IPPU sector. This is 53.3 kt (9.5 per cent) above the 1990 emissions, driven by increasing production of cement, lime and glass containers. However, emissions in 2015 were 876.3 kt CO</w:t>
      </w:r>
      <w:r w:rsidRPr="00D9348B">
        <w:rPr>
          <w:vertAlign w:val="subscript"/>
        </w:rPr>
        <w:t>2</w:t>
      </w:r>
      <w:r w:rsidRPr="00D9348B">
        <w:t xml:space="preserve">-e. Emissions have decreased since 2015 due to the closure of the Holcim cement plant. </w:t>
      </w:r>
    </w:p>
    <w:p w14:paraId="00D2EAB9" w14:textId="77777777" w:rsidR="00D30983" w:rsidRPr="00D9348B" w:rsidRDefault="00D30983" w:rsidP="00C27E02">
      <w:pPr>
        <w:pStyle w:val="BodyText"/>
        <w:spacing w:before="90"/>
      </w:pPr>
      <w:r w:rsidRPr="00D9348B">
        <w:t xml:space="preserve">Changes in the national standards for cement, in 1995 and 2010, allowed increasing amounts of other minerals to be added to clinker in formulating cement. Various cement products sold in New Zealand contain limestone and fly ash as mineral additions. This allowed a reduction in emissions per tonne of cement produced (Cement and Concrete Association of New Zealand, 1995). These improvements have been continued over time. </w:t>
      </w:r>
    </w:p>
    <w:p w14:paraId="3683743A" w14:textId="77777777" w:rsidR="00D30983" w:rsidRPr="00D9348B" w:rsidRDefault="00D30983" w:rsidP="00D30983">
      <w:pPr>
        <w:pStyle w:val="Heading3"/>
      </w:pPr>
      <w:r w:rsidRPr="00D9348B">
        <w:lastRenderedPageBreak/>
        <w:t xml:space="preserve">4.2.2 </w:t>
      </w:r>
      <w:r w:rsidRPr="00D9348B">
        <w:tab/>
        <w:t>Methodological issues</w:t>
      </w:r>
    </w:p>
    <w:p w14:paraId="6C0EB7AD" w14:textId="77777777" w:rsidR="00D30983" w:rsidRPr="00D9348B" w:rsidRDefault="00D30983" w:rsidP="00FF38BD">
      <w:pPr>
        <w:pStyle w:val="Heading4"/>
        <w:spacing w:before="160"/>
        <w:rPr>
          <w:bCs/>
          <w:iCs/>
        </w:rPr>
      </w:pPr>
      <w:r w:rsidRPr="00D9348B">
        <w:t>Choice of activity data</w:t>
      </w:r>
    </w:p>
    <w:p w14:paraId="0BA94EA7" w14:textId="77777777" w:rsidR="00D30983" w:rsidRPr="00D9348B" w:rsidRDefault="00D30983" w:rsidP="00C27E02">
      <w:pPr>
        <w:pStyle w:val="Heading5"/>
        <w:spacing w:before="160"/>
      </w:pPr>
      <w:r w:rsidRPr="00D9348B">
        <w:t>Use of NZ ETS data</w:t>
      </w:r>
    </w:p>
    <w:p w14:paraId="793B183C" w14:textId="77777777" w:rsidR="00D30983" w:rsidRPr="00D9348B" w:rsidRDefault="00D30983" w:rsidP="00D30983">
      <w:pPr>
        <w:pStyle w:val="BodyText"/>
      </w:pPr>
      <w:r w:rsidRPr="00D9348B">
        <w:t>Firms that use limestone or soda ash in the production of clinker (for cement), burnt or slaked lime, or glass have had emission reporting obligations under the NZ ETS since 2010. The emission returns submitted by participants in the NZ ETS are the primary source of data for CO</w:t>
      </w:r>
      <w:r w:rsidRPr="00D9348B">
        <w:rPr>
          <w:vertAlign w:val="subscript"/>
        </w:rPr>
        <w:t>2</w:t>
      </w:r>
      <w:r w:rsidRPr="00D9348B">
        <w:t xml:space="preserve"> emissions from these categories. </w:t>
      </w:r>
    </w:p>
    <w:p w14:paraId="6B1D9F25" w14:textId="77777777" w:rsidR="00D30983" w:rsidRPr="00D9348B" w:rsidRDefault="00D30983" w:rsidP="00D30983">
      <w:pPr>
        <w:pStyle w:val="BodyText"/>
      </w:pPr>
      <w:r w:rsidRPr="00D9348B">
        <w:t xml:space="preserve">The Environmental Protection Authority (EPA) administers and audits the emission returns submitted by participants. Data submitted by NZ ETS participants are protected by stringent provisions relating to commercial confidentiality. However, under section 149 of the Climate Change Response Act 2002, the inventory agency may request information from the EPA for the purpose of compiling New Zealand’s annual national inventory report. </w:t>
      </w:r>
    </w:p>
    <w:p w14:paraId="6A6F3744" w14:textId="77777777" w:rsidR="00D30983" w:rsidRPr="00D9348B" w:rsidRDefault="00D30983" w:rsidP="00D30983">
      <w:pPr>
        <w:pStyle w:val="BodyText"/>
      </w:pPr>
      <w:r w:rsidRPr="00D9348B">
        <w:t xml:space="preserve">Those NZ ETS participants who apply for an allocation of emission units in any year also report the amount of product that they make in the calendar year. This includes production of clinker, container glass and burnt lime, including any burnt lime that is subsequently made into slaked lime (calcium hydroxide). </w:t>
      </w:r>
    </w:p>
    <w:p w14:paraId="47A80A0A" w14:textId="77777777" w:rsidR="00D30983" w:rsidRPr="00D9348B" w:rsidRDefault="00D30983" w:rsidP="00FF38BD">
      <w:pPr>
        <w:pStyle w:val="Heading5"/>
        <w:spacing w:before="160"/>
      </w:pPr>
      <w:r w:rsidRPr="00D9348B">
        <w:t>Cement production (2.A.1)</w:t>
      </w:r>
    </w:p>
    <w:p w14:paraId="1495EF69" w14:textId="77777777" w:rsidR="00D30983" w:rsidRPr="00D9348B" w:rsidRDefault="00D30983" w:rsidP="00D30983">
      <w:pPr>
        <w:pStyle w:val="BodyText"/>
      </w:pPr>
      <w:r w:rsidRPr="00D9348B">
        <w:t xml:space="preserve">In 2018, the </w:t>
      </w:r>
      <w:r w:rsidRPr="00D9348B">
        <w:rPr>
          <w:i/>
        </w:rPr>
        <w:t>Cement production</w:t>
      </w:r>
      <w:r w:rsidRPr="00D9348B">
        <w:t xml:space="preserve"> category accounted for 418.0 kt CO</w:t>
      </w:r>
      <w:r w:rsidRPr="00D9348B">
        <w:rPr>
          <w:vertAlign w:val="subscript"/>
        </w:rPr>
        <w:t>2</w:t>
      </w:r>
      <w:r w:rsidRPr="00D9348B">
        <w:t xml:space="preserve">-e (67.9 per cent) of emissions from the </w:t>
      </w:r>
      <w:r w:rsidRPr="00D9348B">
        <w:rPr>
          <w:i/>
        </w:rPr>
        <w:t>Mineral industry</w:t>
      </w:r>
      <w:r w:rsidRPr="00D9348B">
        <w:t xml:space="preserve"> category. The activity data used are the amounts of clinker produced by the cement plants. Calculation of emissions from clinker production is done on a plant-specific basis by the companies in preparing their ETS returns. Because historically there have been only two companies in the cement sector in New Zealand, and now there is only one, the activity data for the </w:t>
      </w:r>
      <w:r w:rsidRPr="00D9348B">
        <w:rPr>
          <w:i/>
        </w:rPr>
        <w:t>Cement production</w:t>
      </w:r>
      <w:r w:rsidRPr="00D9348B">
        <w:t xml:space="preserve"> category are not reported and have been shown as confidential in the CRF tables. For the years up to 2009, activity and emissions data were supplied by the cement companies to MBIE. From 2010, the companies’ ETS returns have been used as the data source.</w:t>
      </w:r>
    </w:p>
    <w:p w14:paraId="570E5773" w14:textId="77777777" w:rsidR="00D30983" w:rsidRPr="00D9348B" w:rsidRDefault="00D30983" w:rsidP="00FF38BD">
      <w:pPr>
        <w:pStyle w:val="Heading5"/>
        <w:spacing w:before="160"/>
      </w:pPr>
      <w:r w:rsidRPr="00D9348B">
        <w:t>Lime production (2.A.2)</w:t>
      </w:r>
    </w:p>
    <w:p w14:paraId="5C3DBB7B" w14:textId="77777777" w:rsidR="00D30983" w:rsidRPr="00D9348B" w:rsidRDefault="00D30983" w:rsidP="00D30983">
      <w:pPr>
        <w:pStyle w:val="BodyText"/>
      </w:pPr>
      <w:r w:rsidRPr="00D9348B">
        <w:t xml:space="preserve">In 2018, the </w:t>
      </w:r>
      <w:r w:rsidRPr="00D9348B">
        <w:rPr>
          <w:i/>
        </w:rPr>
        <w:t>Lime production</w:t>
      </w:r>
      <w:r w:rsidRPr="00D9348B">
        <w:t xml:space="preserve"> category accounted for 109.6 kt CO</w:t>
      </w:r>
      <w:r w:rsidRPr="00D9348B">
        <w:rPr>
          <w:vertAlign w:val="subscript"/>
        </w:rPr>
        <w:t>2</w:t>
      </w:r>
      <w:r w:rsidRPr="00D9348B">
        <w:t xml:space="preserve">-e (17.8 per cent) of emissions from the </w:t>
      </w:r>
      <w:r w:rsidRPr="00D9348B">
        <w:rPr>
          <w:i/>
        </w:rPr>
        <w:t>Mineral industry</w:t>
      </w:r>
      <w:r w:rsidRPr="00D9348B">
        <w:t xml:space="preserve"> category. The activity data used are the amounts of burnt lime or calcium oxide (CaO) produced, regardless of whether it is subsequently made into calcium hydroxide (</w:t>
      </w:r>
      <w:proofErr w:type="gramStart"/>
      <w:r w:rsidRPr="00D9348B">
        <w:t>Ca(</w:t>
      </w:r>
      <w:proofErr w:type="gramEnd"/>
      <w:r w:rsidRPr="00D9348B">
        <w:t>OH)</w:t>
      </w:r>
      <w:r w:rsidRPr="00D9348B">
        <w:rPr>
          <w:vertAlign w:val="subscript"/>
        </w:rPr>
        <w:t>2</w:t>
      </w:r>
      <w:r w:rsidRPr="00D9348B">
        <w:t xml:space="preserve">). </w:t>
      </w:r>
    </w:p>
    <w:p w14:paraId="474E3C51" w14:textId="77777777" w:rsidR="00D30983" w:rsidRPr="00D9348B" w:rsidRDefault="00D30983" w:rsidP="00D30983">
      <w:pPr>
        <w:pStyle w:val="BodyText"/>
      </w:pPr>
      <w:r w:rsidRPr="00D9348B">
        <w:t>Activity data and emissions data were supplied annually by the lime companies to MBIE until 2009. This included the amount of burnt lime produced each year. From 2010, lime companies have reported CO</w:t>
      </w:r>
      <w:r w:rsidRPr="00D9348B">
        <w:rPr>
          <w:vertAlign w:val="subscript"/>
        </w:rPr>
        <w:t>2</w:t>
      </w:r>
      <w:r w:rsidRPr="00D9348B">
        <w:t xml:space="preserve"> emissions and the amounts of pure CaO in the lime that they produce in their reporting to the NZ ETS regulator. </w:t>
      </w:r>
    </w:p>
    <w:p w14:paraId="1F6CD914" w14:textId="77777777" w:rsidR="00D30983" w:rsidRPr="00D9348B" w:rsidRDefault="00D30983" w:rsidP="00FF38BD">
      <w:pPr>
        <w:pStyle w:val="Heading5"/>
        <w:spacing w:before="160"/>
      </w:pPr>
      <w:r w:rsidRPr="00D9348B">
        <w:t xml:space="preserve">Glass production (2.A.3) </w:t>
      </w:r>
    </w:p>
    <w:p w14:paraId="2DD08C17" w14:textId="5718ACFD" w:rsidR="00D30983" w:rsidRPr="00D9348B" w:rsidRDefault="00D30983" w:rsidP="00D30983">
      <w:pPr>
        <w:pStyle w:val="BodyText"/>
      </w:pPr>
      <w:r w:rsidRPr="00D9348B">
        <w:t xml:space="preserve">Activity and emissions data for the </w:t>
      </w:r>
      <w:r w:rsidRPr="00D9348B">
        <w:rPr>
          <w:i/>
        </w:rPr>
        <w:t>Glass production</w:t>
      </w:r>
      <w:r w:rsidRPr="00D9348B">
        <w:t xml:space="preserve"> category are provided on a confidential basis by the two companies that produce glass in New Zealand and are not reported in the CRF tables (2.A.3). Emissions from the use of soda ash and limestone in glass making are reported in the </w:t>
      </w:r>
      <w:proofErr w:type="gramStart"/>
      <w:r w:rsidRPr="00D9348B">
        <w:rPr>
          <w:i/>
        </w:rPr>
        <w:t>Other</w:t>
      </w:r>
      <w:proofErr w:type="gramEnd"/>
      <w:r w:rsidRPr="00D9348B">
        <w:rPr>
          <w:i/>
        </w:rPr>
        <w:t xml:space="preserve"> process uses of carbonates</w:t>
      </w:r>
      <w:r w:rsidRPr="00D9348B">
        <w:t xml:space="preserve"> (CRF 2.A.4) category and are aggregated with</w:t>
      </w:r>
      <w:r w:rsidR="00FF38BD" w:rsidRPr="00D9348B">
        <w:t> </w:t>
      </w:r>
      <w:r w:rsidRPr="00D9348B">
        <w:t>other relatively small amounts of CO</w:t>
      </w:r>
      <w:r w:rsidRPr="00D9348B">
        <w:rPr>
          <w:vertAlign w:val="subscript"/>
        </w:rPr>
        <w:t>2</w:t>
      </w:r>
      <w:r w:rsidRPr="00D9348B">
        <w:t xml:space="preserve"> emissions that derive from the calcination of limestone and soda ash. </w:t>
      </w:r>
    </w:p>
    <w:p w14:paraId="349B0E32" w14:textId="77777777" w:rsidR="00D30983" w:rsidRPr="00D9348B" w:rsidRDefault="00D30983" w:rsidP="00D30983">
      <w:pPr>
        <w:pStyle w:val="Heading5"/>
      </w:pPr>
      <w:r w:rsidRPr="00D9348B">
        <w:lastRenderedPageBreak/>
        <w:t>Other process uses of carbonates (2.A.4)</w:t>
      </w:r>
    </w:p>
    <w:p w14:paraId="3B7C64B6" w14:textId="77777777" w:rsidR="00D30983" w:rsidRPr="00D9348B" w:rsidRDefault="00D30983" w:rsidP="00C27E02">
      <w:pPr>
        <w:pStyle w:val="BodyText"/>
        <w:spacing w:after="80"/>
      </w:pPr>
      <w:r w:rsidRPr="00D9348B">
        <w:t>To preserve the confid</w:t>
      </w:r>
      <w:r w:rsidRPr="00D9348B">
        <w:rPr>
          <w:rStyle w:val="BodyTextChar"/>
        </w:rPr>
        <w:t>e</w:t>
      </w:r>
      <w:r w:rsidRPr="00D9348B">
        <w:t xml:space="preserve">ntiality of data provided by the two glass companies (above), the data reported in the </w:t>
      </w:r>
      <w:r w:rsidRPr="00D9348B">
        <w:rPr>
          <w:i/>
        </w:rPr>
        <w:t>Glass production</w:t>
      </w:r>
      <w:r w:rsidRPr="00D9348B">
        <w:t xml:space="preserve"> category have been aggregated as follows and reported in the </w:t>
      </w:r>
      <w:proofErr w:type="gramStart"/>
      <w:r w:rsidRPr="00D9348B">
        <w:rPr>
          <w:i/>
        </w:rPr>
        <w:t>Other</w:t>
      </w:r>
      <w:proofErr w:type="gramEnd"/>
      <w:r w:rsidRPr="00D9348B">
        <w:rPr>
          <w:i/>
        </w:rPr>
        <w:t xml:space="preserve"> process uses of carbonates</w:t>
      </w:r>
      <w:r w:rsidRPr="00D9348B">
        <w:t xml:space="preserve"> category: </w:t>
      </w:r>
    </w:p>
    <w:p w14:paraId="2E307E13" w14:textId="77777777" w:rsidR="00D30983" w:rsidRPr="00D9348B" w:rsidRDefault="00D30983" w:rsidP="00771A8F">
      <w:pPr>
        <w:pStyle w:val="Bullet"/>
        <w:numPr>
          <w:ilvl w:val="0"/>
          <w:numId w:val="20"/>
        </w:numPr>
        <w:spacing w:after="80"/>
      </w:pPr>
      <w:r w:rsidRPr="00D9348B">
        <w:t>emissions from a relatively small amount of soda ash used by New Zealand Aluminium Smelters Ltd at the Tiwai Point smelter are reported in CRF 2.A.4.b (</w:t>
      </w:r>
      <w:r w:rsidRPr="00D9348B">
        <w:rPr>
          <w:i/>
        </w:rPr>
        <w:t>Other uses of soda ash</w:t>
      </w:r>
      <w:r w:rsidRPr="00D9348B">
        <w:t>) and aggregated with the CO</w:t>
      </w:r>
      <w:r w:rsidRPr="00D9348B">
        <w:rPr>
          <w:vertAlign w:val="subscript"/>
        </w:rPr>
        <w:t>2</w:t>
      </w:r>
      <w:r w:rsidRPr="00D9348B">
        <w:t xml:space="preserve"> emissions from soda ash used in glass making </w:t>
      </w:r>
    </w:p>
    <w:p w14:paraId="15615E38" w14:textId="76D58D28" w:rsidR="00D30983" w:rsidRPr="00D9348B" w:rsidRDefault="00D30983" w:rsidP="00771A8F">
      <w:pPr>
        <w:pStyle w:val="Bullet"/>
        <w:numPr>
          <w:ilvl w:val="0"/>
          <w:numId w:val="20"/>
        </w:numPr>
      </w:pPr>
      <w:proofErr w:type="gramStart"/>
      <w:r w:rsidRPr="00D9348B">
        <w:t>emissions</w:t>
      </w:r>
      <w:proofErr w:type="gramEnd"/>
      <w:r w:rsidRPr="00D9348B">
        <w:t xml:space="preserve"> from a relatively small amount of limestone used by New Zealand Steel Limited are reported in CRF 2.A.4.d (</w:t>
      </w:r>
      <w:r w:rsidRPr="00D9348B">
        <w:rPr>
          <w:i/>
        </w:rPr>
        <w:t>Other</w:t>
      </w:r>
      <w:r w:rsidRPr="00D9348B">
        <w:t>) and aggregated with emissions from limestone used in</w:t>
      </w:r>
      <w:r w:rsidR="00FF38BD" w:rsidRPr="00D9348B">
        <w:t> </w:t>
      </w:r>
      <w:r w:rsidRPr="00D9348B">
        <w:t xml:space="preserve">glass making. </w:t>
      </w:r>
    </w:p>
    <w:p w14:paraId="5368507A" w14:textId="77777777" w:rsidR="00D30983" w:rsidRPr="00D9348B" w:rsidRDefault="00D30983" w:rsidP="00C27E02">
      <w:pPr>
        <w:pStyle w:val="BodyText"/>
        <w:spacing w:before="100" w:after="100"/>
      </w:pPr>
      <w:r w:rsidRPr="00D9348B">
        <w:t>The amounts of soda ash and limestone used are reported as activity data in these two tables. Also, because the limestone emissions cannot be fully disaggregated in the data provided by New Zealand Steel, an extremely small amount of CO</w:t>
      </w:r>
      <w:r w:rsidRPr="00D9348B">
        <w:rPr>
          <w:vertAlign w:val="subscript"/>
        </w:rPr>
        <w:t>2</w:t>
      </w:r>
      <w:r w:rsidRPr="00D9348B">
        <w:t xml:space="preserve"> from coke and electrode use at the steel plant is also included (see section 4.4.2). </w:t>
      </w:r>
    </w:p>
    <w:p w14:paraId="63E432C2" w14:textId="77777777" w:rsidR="00D30983" w:rsidRPr="00D9348B" w:rsidRDefault="00D30983" w:rsidP="00C27E02">
      <w:pPr>
        <w:pStyle w:val="BodyText"/>
        <w:spacing w:before="100" w:after="100"/>
      </w:pPr>
      <w:r w:rsidRPr="00D9348B">
        <w:t xml:space="preserve">Data on glass making for the years up to 2006 were provided by the companies (CRL Energy, </w:t>
      </w:r>
      <w:r w:rsidRPr="00D9348B">
        <w:rPr>
          <w:rFonts w:eastAsia="+mn-ea"/>
        </w:rPr>
        <w:t>unpublished(c)</w:t>
      </w:r>
      <w:r w:rsidRPr="00D9348B">
        <w:t xml:space="preserve">) and updated for the years 2007–09 by survey requests from MBIE. Data on limestone and soda ash use were based on the companies’ records where available. In the case of one glass-making facility, some historical emissions data had to be estimated based only on glass production rates, because actual limestone and soda ash use was not recorded before 2006. </w:t>
      </w:r>
    </w:p>
    <w:p w14:paraId="447C1F88" w14:textId="77777777" w:rsidR="00D30983" w:rsidRPr="00D9348B" w:rsidRDefault="00D30983" w:rsidP="00C27E02">
      <w:pPr>
        <w:pStyle w:val="BodyText"/>
        <w:spacing w:before="100" w:after="100"/>
      </w:pPr>
      <w:r w:rsidRPr="00D9348B">
        <w:t xml:space="preserve">For 2010–18, the glass companies’ NZ ETS returns are used. </w:t>
      </w:r>
    </w:p>
    <w:p w14:paraId="68D28330" w14:textId="77777777" w:rsidR="00D30983" w:rsidRPr="00D9348B" w:rsidRDefault="00D30983" w:rsidP="00C27E02">
      <w:pPr>
        <w:pStyle w:val="BodyText"/>
        <w:spacing w:before="100" w:after="100"/>
      </w:pPr>
      <w:r w:rsidRPr="00D9348B">
        <w:t>A very small amount of CO</w:t>
      </w:r>
      <w:r w:rsidRPr="00D9348B">
        <w:rPr>
          <w:vertAlign w:val="subscript"/>
        </w:rPr>
        <w:t>2</w:t>
      </w:r>
      <w:r w:rsidRPr="00D9348B">
        <w:t xml:space="preserve"> is reported from the use of kaolin clays in ceramics production (2.A.4.a). The activity data used are the approximate amount of kaolin clay produced for this purpose (Christie et al., 1999). In the absence of better data, the rate of production is assumed constant for the whole time series. Emissions from ground limestone used in liming agricultural soils are reported in the Agriculture sector. </w:t>
      </w:r>
    </w:p>
    <w:p w14:paraId="6EFFC005" w14:textId="77777777" w:rsidR="00D30983" w:rsidRPr="00D9348B" w:rsidRDefault="00D30983" w:rsidP="00FF38BD">
      <w:pPr>
        <w:pStyle w:val="Heading4"/>
        <w:spacing w:before="160"/>
        <w:rPr>
          <w:bCs/>
          <w:iCs/>
        </w:rPr>
      </w:pPr>
      <w:r w:rsidRPr="00D9348B">
        <w:t>Choice of methods</w:t>
      </w:r>
    </w:p>
    <w:p w14:paraId="64767C1F" w14:textId="37890EFA" w:rsidR="00D30983" w:rsidRPr="00D9348B" w:rsidRDefault="00D30983" w:rsidP="00C27E02">
      <w:pPr>
        <w:pStyle w:val="BodyText"/>
        <w:spacing w:before="100" w:after="100"/>
      </w:pPr>
      <w:r w:rsidRPr="00D9348B">
        <w:t xml:space="preserve">For the years up to 2009, cement emissions were calculated using the methodology specified in the </w:t>
      </w:r>
      <w:r w:rsidRPr="00D9348B">
        <w:rPr>
          <w:i/>
        </w:rPr>
        <w:t>Cement CO</w:t>
      </w:r>
      <w:r w:rsidRPr="00D9348B">
        <w:rPr>
          <w:i/>
          <w:vertAlign w:val="subscript"/>
        </w:rPr>
        <w:t>2</w:t>
      </w:r>
      <w:r w:rsidRPr="00D9348B">
        <w:rPr>
          <w:i/>
        </w:rPr>
        <w:t xml:space="preserve"> Protocol</w:t>
      </w:r>
      <w:r w:rsidRPr="00D9348B">
        <w:t xml:space="preserve"> (World Business Council for Sustainable Development, 2005), which uses plant-specific emission factors based on the CaO and magnesium oxide (MgO) content of clinker produced. This also includes an adjustment for emissions due to cement kiln</w:t>
      </w:r>
      <w:r w:rsidR="00C27E02" w:rsidRPr="00D9348B">
        <w:t> </w:t>
      </w:r>
      <w:r w:rsidRPr="00D9348B">
        <w:t xml:space="preserve">dust. This calculation is consistent with the IPCC Tier 2 method (IPCC, 2006a). </w:t>
      </w:r>
    </w:p>
    <w:p w14:paraId="3084984A" w14:textId="77777777" w:rsidR="00D30983" w:rsidRPr="00D9348B" w:rsidRDefault="00D30983" w:rsidP="00C27E02">
      <w:pPr>
        <w:pStyle w:val="BodyText"/>
        <w:spacing w:before="100" w:after="100"/>
      </w:pPr>
      <w:r w:rsidRPr="00D9348B">
        <w:t>Emissions for lime up to 2009 were calculated using the IPCC Tier 1 method and the default emission factor of 0.75 tonnes CO</w:t>
      </w:r>
      <w:r w:rsidRPr="00D9348B">
        <w:rPr>
          <w:vertAlign w:val="subscript"/>
        </w:rPr>
        <w:t>2</w:t>
      </w:r>
      <w:r w:rsidRPr="00D9348B">
        <w:t xml:space="preserve"> per tonne of burnt lime produced. For glass making, the IPCC Tier 1 method and default emission factors were also used for the years up to 2009. </w:t>
      </w:r>
    </w:p>
    <w:p w14:paraId="69D31F5B" w14:textId="77777777" w:rsidR="00D30983" w:rsidRPr="00D9348B" w:rsidRDefault="00D30983" w:rsidP="00C27E02">
      <w:pPr>
        <w:pStyle w:val="BodyText"/>
        <w:spacing w:before="100" w:after="100"/>
      </w:pPr>
      <w:r w:rsidRPr="00D9348B">
        <w:t xml:space="preserve">For NZ ETS reporting in the </w:t>
      </w:r>
      <w:r w:rsidRPr="00D9348B">
        <w:rPr>
          <w:i/>
        </w:rPr>
        <w:t>Mineral industry</w:t>
      </w:r>
      <w:r w:rsidRPr="00D9348B">
        <w:t xml:space="preserve"> source category (from 2010), the methodologies used are specified in the Climate Change (Stationary Energy and Industrial Processes) Regulations 2009 (New Zealand Government, 2018). These methods require firms making clinker or burnt lime to report CO</w:t>
      </w:r>
      <w:r w:rsidRPr="00D9348B">
        <w:rPr>
          <w:vertAlign w:val="subscript"/>
        </w:rPr>
        <w:t>2</w:t>
      </w:r>
      <w:r w:rsidRPr="00D9348B">
        <w:t xml:space="preserve"> emissions calculated from the amount of pure product made from calcination. In calculating their emissions, NZ ETS participants who make clinker or lime are required to determine and report the amounts of pure CaO and MgO in the clinker or burnt lime produced, and in kiln dust if relevant. The emissions are calculated from this chemical composition. The calculation of total emissions can be summarised as: </w:t>
      </w:r>
    </w:p>
    <w:p w14:paraId="6366C30B" w14:textId="77777777" w:rsidR="00D30983" w:rsidRPr="00D9348B" w:rsidRDefault="00D30983" w:rsidP="00C27E02">
      <w:pPr>
        <w:pStyle w:val="BodyText"/>
        <w:spacing w:before="80"/>
        <w:jc w:val="center"/>
        <w:rPr>
          <w:rFonts w:ascii="Cambria Math" w:hAnsi="Cambria Math"/>
          <w:i/>
          <w:sz w:val="24"/>
        </w:rPr>
      </w:pPr>
      <w:r w:rsidRPr="00D9348B">
        <w:rPr>
          <w:rFonts w:ascii="Cambria Math" w:hAnsi="Cambria Math"/>
          <w:i/>
          <w:sz w:val="24"/>
        </w:rPr>
        <w:t>TE = 0.7848 × A + 1.0919 × B + 0.7848 × C</w:t>
      </w:r>
    </w:p>
    <w:p w14:paraId="785566CB" w14:textId="77777777" w:rsidR="00D30983" w:rsidRPr="00D9348B" w:rsidRDefault="00D30983" w:rsidP="00D30983">
      <w:pPr>
        <w:pStyle w:val="BodyText"/>
        <w:keepNext/>
        <w:spacing w:after="0"/>
        <w:ind w:left="992" w:hanging="992"/>
      </w:pPr>
      <w:r w:rsidRPr="00D9348B">
        <w:lastRenderedPageBreak/>
        <w:t>Where: A is the amount of CaO produced</w:t>
      </w:r>
    </w:p>
    <w:p w14:paraId="7F5565DD" w14:textId="77777777" w:rsidR="00D30983" w:rsidRPr="00D9348B" w:rsidRDefault="00D30983" w:rsidP="00AA7B1E">
      <w:pPr>
        <w:pStyle w:val="BodyText"/>
        <w:spacing w:before="80" w:after="0"/>
        <w:ind w:left="992" w:hanging="272"/>
      </w:pPr>
      <w:r w:rsidRPr="00D9348B">
        <w:t>B is the amount of MgO produced</w:t>
      </w:r>
    </w:p>
    <w:p w14:paraId="0A31D3B0" w14:textId="77777777" w:rsidR="00D30983" w:rsidRPr="00D9348B" w:rsidRDefault="00D30983" w:rsidP="00AA7B1E">
      <w:pPr>
        <w:pStyle w:val="BodyText"/>
        <w:spacing w:before="80"/>
        <w:ind w:left="992" w:hanging="272"/>
      </w:pPr>
      <w:r w:rsidRPr="00D9348B">
        <w:t>C is the amount of kiln dust produced.</w:t>
      </w:r>
    </w:p>
    <w:p w14:paraId="3492B8EA" w14:textId="77777777" w:rsidR="00D30983" w:rsidRPr="00D9348B" w:rsidRDefault="00D30983" w:rsidP="00691AFF">
      <w:pPr>
        <w:pStyle w:val="BodyText"/>
        <w:spacing w:before="100" w:after="100"/>
        <w:rPr>
          <w:spacing w:val="-2"/>
        </w:rPr>
      </w:pPr>
      <w:r w:rsidRPr="00D9348B">
        <w:rPr>
          <w:spacing w:val="-2"/>
        </w:rPr>
        <w:t xml:space="preserve">Similarly, based on NZ ETS regulations (New Zealand Government, 2017), NZ ETS participants who make glass report the amounts of pure limestone, dolomite and soda ash that they use in the process. This is consistent with the Tier 3 methods in volume 3, Industrial Processes and Product Use, of the IPCC Guidelines (IPCC, 2006a) but is described as country specific in the CRF. </w:t>
      </w:r>
    </w:p>
    <w:p w14:paraId="7BCCC8C3" w14:textId="77777777" w:rsidR="00D30983" w:rsidRPr="00D9348B" w:rsidRDefault="00D30983" w:rsidP="00691AFF">
      <w:pPr>
        <w:pStyle w:val="BodyText"/>
        <w:spacing w:before="100" w:after="100"/>
      </w:pPr>
      <w:r w:rsidRPr="00D9348B">
        <w:t xml:space="preserve">NZ ETS participants in this category are not required to report annually on the specific methods that they have used to determine the amounts of pure CaO, MgO, and other compounds that they report in their NZ ETS returns. They are required to keep this information available and it is verified periodically by the NZ ETS regulator. </w:t>
      </w:r>
    </w:p>
    <w:p w14:paraId="7A3EE649" w14:textId="77777777" w:rsidR="00D30983" w:rsidRPr="00D9348B" w:rsidRDefault="00D30983" w:rsidP="00691AFF">
      <w:pPr>
        <w:pStyle w:val="BodyText"/>
        <w:spacing w:before="100" w:after="100"/>
      </w:pPr>
      <w:r w:rsidRPr="00D9348B">
        <w:t>All other emissions use Tier 1 methods. This includes the small amount of SO</w:t>
      </w:r>
      <w:r w:rsidRPr="00D9348B">
        <w:rPr>
          <w:vertAlign w:val="subscript"/>
        </w:rPr>
        <w:t>2</w:t>
      </w:r>
      <w:r w:rsidRPr="00D9348B">
        <w:t xml:space="preserve"> emissions reported for cement production. Emissions of SO</w:t>
      </w:r>
      <w:r w:rsidRPr="00D9348B">
        <w:rPr>
          <w:vertAlign w:val="subscript"/>
        </w:rPr>
        <w:t>2</w:t>
      </w:r>
      <w:r w:rsidRPr="00D9348B">
        <w:t xml:space="preserve"> from lime production were also estimated in 2006 (CRL Energy, </w:t>
      </w:r>
      <w:proofErr w:type="gramStart"/>
      <w:r w:rsidRPr="00D9348B">
        <w:rPr>
          <w:rFonts w:eastAsia="+mn-ea"/>
        </w:rPr>
        <w:t>unpublished(</w:t>
      </w:r>
      <w:proofErr w:type="gramEnd"/>
      <w:r w:rsidRPr="00D9348B">
        <w:rPr>
          <w:rFonts w:eastAsia="+mn-ea"/>
        </w:rPr>
        <w:t>a)</w:t>
      </w:r>
      <w:r w:rsidRPr="00D9348B">
        <w:t>). These used a country-specific emission factor of 0.5 kilograms SO</w:t>
      </w:r>
      <w:r w:rsidRPr="00D9348B">
        <w:rPr>
          <w:vertAlign w:val="subscript"/>
        </w:rPr>
        <w:t>2</w:t>
      </w:r>
      <w:r w:rsidRPr="00D9348B">
        <w:t xml:space="preserve"> per tonne of burnt lime produced, derived from plant measurements carried out in earlier years. There is no provision in the CRF to report these emissions, however. </w:t>
      </w:r>
    </w:p>
    <w:p w14:paraId="5A156BB0" w14:textId="77777777" w:rsidR="00D30983" w:rsidRPr="00D9348B" w:rsidRDefault="00D30983" w:rsidP="00865BDB">
      <w:pPr>
        <w:pStyle w:val="Heading4"/>
        <w:rPr>
          <w:bCs/>
          <w:iCs/>
        </w:rPr>
      </w:pPr>
      <w:r w:rsidRPr="00D9348B">
        <w:t>Choice of emission factors</w:t>
      </w:r>
    </w:p>
    <w:p w14:paraId="02D131CE" w14:textId="77777777" w:rsidR="00D30983" w:rsidRPr="00D9348B" w:rsidRDefault="00D30983" w:rsidP="00691AFF">
      <w:pPr>
        <w:pStyle w:val="BodyText"/>
        <w:spacing w:before="100"/>
      </w:pPr>
      <w:r w:rsidRPr="00D9348B">
        <w:t xml:space="preserve">All calculations made for NZ ETS reporting and used in the </w:t>
      </w:r>
      <w:r w:rsidRPr="00D9348B">
        <w:rPr>
          <w:i/>
        </w:rPr>
        <w:t>Mineral industry</w:t>
      </w:r>
      <w:r w:rsidRPr="00D9348B">
        <w:t xml:space="preserve"> source category are based on plant-specific analysis. </w:t>
      </w:r>
    </w:p>
    <w:p w14:paraId="2E7070C5" w14:textId="77777777" w:rsidR="00D30983" w:rsidRPr="00D9348B" w:rsidRDefault="00D30983" w:rsidP="00691AFF">
      <w:pPr>
        <w:pStyle w:val="BodyText"/>
        <w:spacing w:before="100"/>
      </w:pPr>
      <w:r w:rsidRPr="00D9348B">
        <w:t>The small amounts of SO</w:t>
      </w:r>
      <w:r w:rsidRPr="00D9348B">
        <w:rPr>
          <w:vertAlign w:val="subscript"/>
        </w:rPr>
        <w:t>2</w:t>
      </w:r>
      <w:r w:rsidRPr="00D9348B">
        <w:t xml:space="preserve"> emitted in the </w:t>
      </w:r>
      <w:r w:rsidRPr="00D9348B">
        <w:rPr>
          <w:i/>
        </w:rPr>
        <w:t>Cement production</w:t>
      </w:r>
      <w:r w:rsidRPr="00D9348B">
        <w:t xml:space="preserve"> category are estimated using plant-specific emission factors taken from mass balance data derived for the two cement plants in 2002 and 2005 (CRL Energy, </w:t>
      </w:r>
      <w:r w:rsidRPr="00D9348B">
        <w:rPr>
          <w:rFonts w:eastAsia="+mn-ea"/>
        </w:rPr>
        <w:t>unpublished(a)</w:t>
      </w:r>
      <w:r w:rsidRPr="00D9348B">
        <w:t xml:space="preserve">). </w:t>
      </w:r>
    </w:p>
    <w:p w14:paraId="2AA3139B" w14:textId="77777777" w:rsidR="00D30983" w:rsidRPr="00D9348B" w:rsidRDefault="00D30983" w:rsidP="00691AFF">
      <w:pPr>
        <w:pStyle w:val="BodyText"/>
        <w:spacing w:before="100"/>
      </w:pPr>
      <w:r w:rsidRPr="00D9348B">
        <w:t>For the very small emissions of CO</w:t>
      </w:r>
      <w:r w:rsidRPr="00D9348B">
        <w:rPr>
          <w:vertAlign w:val="subscript"/>
        </w:rPr>
        <w:t>2</w:t>
      </w:r>
      <w:r w:rsidRPr="00D9348B">
        <w:t xml:space="preserve"> from the </w:t>
      </w:r>
      <w:r w:rsidRPr="00D9348B">
        <w:rPr>
          <w:i/>
        </w:rPr>
        <w:t>Ceramics</w:t>
      </w:r>
      <w:r w:rsidRPr="00D9348B">
        <w:t xml:space="preserve"> (2.A.4.a) category a country-specific emission factor of 0.1 per cent of carbonates (as equivalent calcium carbonate) in local kaolin clay is used. </w:t>
      </w:r>
    </w:p>
    <w:p w14:paraId="4D33EA37" w14:textId="77777777" w:rsidR="00D30983" w:rsidRPr="00D9348B" w:rsidRDefault="00D30983" w:rsidP="00691AFF">
      <w:pPr>
        <w:pStyle w:val="BodyText"/>
        <w:spacing w:before="100"/>
      </w:pPr>
      <w:r w:rsidRPr="00D9348B">
        <w:t xml:space="preserve">Other emission factors used are IPCC defaults. </w:t>
      </w:r>
    </w:p>
    <w:p w14:paraId="5BAD0FB4" w14:textId="77777777" w:rsidR="00D30983" w:rsidRPr="00D9348B" w:rsidRDefault="00D30983" w:rsidP="00C27E02">
      <w:pPr>
        <w:pStyle w:val="Heading3"/>
        <w:spacing w:before="240"/>
      </w:pPr>
      <w:r w:rsidRPr="00D9348B">
        <w:t xml:space="preserve">4.2.3 </w:t>
      </w:r>
      <w:r w:rsidRPr="00D9348B">
        <w:tab/>
        <w:t>Uncertainties and time-series consistency</w:t>
      </w:r>
    </w:p>
    <w:p w14:paraId="1940506C" w14:textId="77777777" w:rsidR="00D30983" w:rsidRPr="00D9348B" w:rsidRDefault="00D30983" w:rsidP="00865BDB">
      <w:pPr>
        <w:pStyle w:val="Heading4"/>
        <w:rPr>
          <w:bCs/>
          <w:iCs/>
        </w:rPr>
      </w:pPr>
      <w:r w:rsidRPr="00D9348B">
        <w:t>Uncertainties</w:t>
      </w:r>
    </w:p>
    <w:p w14:paraId="535A0584" w14:textId="77777777" w:rsidR="00D30983" w:rsidRPr="00D9348B" w:rsidRDefault="00D30983" w:rsidP="00D30983">
      <w:pPr>
        <w:pStyle w:val="BodyText"/>
        <w:spacing w:before="100"/>
      </w:pPr>
      <w:r w:rsidRPr="00D9348B">
        <w:t>IPCC default uncertainties have been used for all CO</w:t>
      </w:r>
      <w:r w:rsidRPr="00D9348B">
        <w:rPr>
          <w:vertAlign w:val="subscript"/>
        </w:rPr>
        <w:t>2</w:t>
      </w:r>
      <w:r w:rsidRPr="00D9348B">
        <w:t xml:space="preserve"> emissions from the </w:t>
      </w:r>
      <w:r w:rsidRPr="00D9348B">
        <w:rPr>
          <w:i/>
        </w:rPr>
        <w:t>Mineral industry</w:t>
      </w:r>
      <w:r w:rsidRPr="00D9348B">
        <w:t xml:space="preserve"> category (see table 4.2.1). For SO</w:t>
      </w:r>
      <w:r w:rsidRPr="00D9348B">
        <w:rPr>
          <w:vertAlign w:val="subscript"/>
        </w:rPr>
        <w:t>2</w:t>
      </w:r>
      <w:r w:rsidRPr="00D9348B">
        <w:t xml:space="preserve"> emissions in the </w:t>
      </w:r>
      <w:r w:rsidRPr="00D9348B">
        <w:rPr>
          <w:i/>
        </w:rPr>
        <w:t>Cement production</w:t>
      </w:r>
      <w:r w:rsidRPr="00D9348B">
        <w:t xml:space="preserve"> category, an uncertainty of ±40 per cent was estimated based on the variance between surveys when these emissions were determined (CRL Energy, </w:t>
      </w:r>
      <w:proofErr w:type="gramStart"/>
      <w:r w:rsidRPr="00D9348B">
        <w:rPr>
          <w:rFonts w:eastAsia="+mn-ea"/>
        </w:rPr>
        <w:t>unpublished(</w:t>
      </w:r>
      <w:proofErr w:type="gramEnd"/>
      <w:r w:rsidRPr="00D9348B">
        <w:rPr>
          <w:rFonts w:eastAsia="+mn-ea"/>
        </w:rPr>
        <w:t>a)</w:t>
      </w:r>
      <w:r w:rsidRPr="00D9348B">
        <w:t xml:space="preserve">). </w:t>
      </w:r>
    </w:p>
    <w:p w14:paraId="3F928154" w14:textId="77777777" w:rsidR="00D30983" w:rsidRPr="00D9348B" w:rsidRDefault="00D30983" w:rsidP="00D30983">
      <w:pPr>
        <w:pStyle w:val="Table"/>
      </w:pPr>
      <w:bookmarkStart w:id="484" w:name="_Toc451176067"/>
      <w:bookmarkStart w:id="485" w:name="_Toc414531404"/>
      <w:bookmarkStart w:id="486" w:name="_Toc5269457"/>
      <w:bookmarkStart w:id="487" w:name="_Toc36224530"/>
      <w:r w:rsidRPr="00D9348B">
        <w:t>Table 4.2.1</w:t>
      </w:r>
      <w:r w:rsidRPr="00D9348B">
        <w:tab/>
        <w:t>Uncertainty in emissions from mineral products</w:t>
      </w:r>
      <w:bookmarkEnd w:id="484"/>
      <w:bookmarkEnd w:id="485"/>
      <w:bookmarkEnd w:id="486"/>
      <w:bookmarkEnd w:id="487"/>
    </w:p>
    <w:tbl>
      <w:tblPr>
        <w:tblW w:w="8562" w:type="dxa"/>
        <w:tblInd w:w="108" w:type="dxa"/>
        <w:tblBorders>
          <w:top w:val="single" w:sz="6" w:space="0" w:color="365F91"/>
          <w:bottom w:val="single" w:sz="6" w:space="0" w:color="365F91"/>
          <w:insideH w:val="single" w:sz="6" w:space="0" w:color="365F91"/>
        </w:tblBorders>
        <w:tblLook w:val="04A0" w:firstRow="1" w:lastRow="0" w:firstColumn="1" w:lastColumn="0" w:noHBand="0" w:noVBand="1"/>
      </w:tblPr>
      <w:tblGrid>
        <w:gridCol w:w="2694"/>
        <w:gridCol w:w="2835"/>
        <w:gridCol w:w="3033"/>
      </w:tblGrid>
      <w:tr w:rsidR="00D30983" w:rsidRPr="00D9348B" w14:paraId="3FD9C8E2" w14:textId="77777777" w:rsidTr="00C27E02">
        <w:trPr>
          <w:tblHeader/>
        </w:trPr>
        <w:tc>
          <w:tcPr>
            <w:tcW w:w="2694" w:type="dxa"/>
            <w:tcBorders>
              <w:top w:val="single" w:sz="4" w:space="0" w:color="365F91"/>
              <w:left w:val="nil"/>
              <w:bottom w:val="single" w:sz="4" w:space="0" w:color="365F91"/>
              <w:right w:val="nil"/>
            </w:tcBorders>
            <w:shd w:val="clear" w:color="auto" w:fill="365F91"/>
            <w:hideMark/>
          </w:tcPr>
          <w:p w14:paraId="72784E53" w14:textId="77777777" w:rsidR="00D30983" w:rsidRPr="00D9348B" w:rsidRDefault="00D30983" w:rsidP="00C27E02">
            <w:pPr>
              <w:pStyle w:val="TableTextBold"/>
              <w:keepNext/>
              <w:spacing w:before="50" w:after="50"/>
              <w:rPr>
                <w:noProof w:val="0"/>
                <w:color w:val="FFFFFF"/>
              </w:rPr>
            </w:pPr>
            <w:r w:rsidRPr="00D9348B">
              <w:rPr>
                <w:noProof w:val="0"/>
                <w:color w:val="FFFFFF"/>
              </w:rPr>
              <w:t>Mineral product</w:t>
            </w:r>
          </w:p>
        </w:tc>
        <w:tc>
          <w:tcPr>
            <w:tcW w:w="2835" w:type="dxa"/>
            <w:tcBorders>
              <w:top w:val="single" w:sz="4" w:space="0" w:color="365F91"/>
              <w:left w:val="nil"/>
              <w:bottom w:val="single" w:sz="4" w:space="0" w:color="365F91"/>
              <w:right w:val="nil"/>
            </w:tcBorders>
            <w:shd w:val="clear" w:color="auto" w:fill="365F91"/>
            <w:hideMark/>
          </w:tcPr>
          <w:p w14:paraId="0C61CC0D" w14:textId="77777777" w:rsidR="00D30983" w:rsidRPr="00D9348B" w:rsidRDefault="00D30983" w:rsidP="00C27E02">
            <w:pPr>
              <w:pStyle w:val="TableTextBold"/>
              <w:spacing w:before="50" w:after="50"/>
              <w:rPr>
                <w:noProof w:val="0"/>
                <w:color w:val="FFFFFF"/>
              </w:rPr>
            </w:pPr>
            <w:r w:rsidRPr="00D9348B">
              <w:rPr>
                <w:noProof w:val="0"/>
                <w:color w:val="FFFFFF"/>
              </w:rPr>
              <w:t>Uncertainty in activity data (%)</w:t>
            </w:r>
          </w:p>
        </w:tc>
        <w:tc>
          <w:tcPr>
            <w:tcW w:w="3033" w:type="dxa"/>
            <w:tcBorders>
              <w:top w:val="single" w:sz="4" w:space="0" w:color="365F91"/>
              <w:left w:val="nil"/>
              <w:bottom w:val="single" w:sz="4" w:space="0" w:color="365F91"/>
              <w:right w:val="nil"/>
            </w:tcBorders>
            <w:shd w:val="clear" w:color="auto" w:fill="365F91"/>
            <w:hideMark/>
          </w:tcPr>
          <w:p w14:paraId="1EDDD8FB" w14:textId="77777777" w:rsidR="00D30983" w:rsidRPr="00D9348B" w:rsidRDefault="00D30983" w:rsidP="00C27E02">
            <w:pPr>
              <w:pStyle w:val="TableTextBold"/>
              <w:spacing w:before="50" w:after="50"/>
              <w:rPr>
                <w:noProof w:val="0"/>
                <w:color w:val="FFFFFF"/>
              </w:rPr>
            </w:pPr>
            <w:r w:rsidRPr="00D9348B">
              <w:rPr>
                <w:noProof w:val="0"/>
                <w:color w:val="FFFFFF"/>
              </w:rPr>
              <w:t>Uncertainty in emission factors (%)</w:t>
            </w:r>
          </w:p>
        </w:tc>
      </w:tr>
      <w:tr w:rsidR="00D30983" w:rsidRPr="00D9348B" w14:paraId="365FA5C7" w14:textId="77777777" w:rsidTr="00C27E02">
        <w:tc>
          <w:tcPr>
            <w:tcW w:w="2694" w:type="dxa"/>
            <w:tcBorders>
              <w:top w:val="single" w:sz="4" w:space="0" w:color="365F91"/>
              <w:left w:val="nil"/>
              <w:bottom w:val="single" w:sz="6" w:space="0" w:color="365F91"/>
              <w:right w:val="nil"/>
            </w:tcBorders>
            <w:shd w:val="clear" w:color="auto" w:fill="FFFFFF"/>
            <w:hideMark/>
          </w:tcPr>
          <w:p w14:paraId="20FC6CAE" w14:textId="77777777" w:rsidR="00D30983" w:rsidRPr="00D9348B" w:rsidRDefault="00D30983" w:rsidP="00C27E02">
            <w:pPr>
              <w:pStyle w:val="TableText"/>
              <w:keepNext/>
              <w:spacing w:before="50" w:after="50"/>
            </w:pPr>
            <w:r w:rsidRPr="00D9348B">
              <w:t>Cement: CaO content of clinker</w:t>
            </w:r>
          </w:p>
        </w:tc>
        <w:tc>
          <w:tcPr>
            <w:tcW w:w="2835" w:type="dxa"/>
            <w:tcBorders>
              <w:top w:val="single" w:sz="4" w:space="0" w:color="365F91"/>
              <w:left w:val="nil"/>
              <w:bottom w:val="single" w:sz="6" w:space="0" w:color="365F91"/>
              <w:right w:val="nil"/>
            </w:tcBorders>
            <w:shd w:val="clear" w:color="auto" w:fill="FFFFFF"/>
            <w:hideMark/>
          </w:tcPr>
          <w:p w14:paraId="0EE21C3E" w14:textId="77777777" w:rsidR="00D30983" w:rsidRPr="00D9348B" w:rsidRDefault="00D30983" w:rsidP="00C27E02">
            <w:pPr>
              <w:pStyle w:val="TableText"/>
              <w:spacing w:before="50" w:after="50"/>
            </w:pPr>
            <w:r w:rsidRPr="00D9348B">
              <w:t>±1</w:t>
            </w:r>
          </w:p>
        </w:tc>
        <w:tc>
          <w:tcPr>
            <w:tcW w:w="3033" w:type="dxa"/>
            <w:tcBorders>
              <w:top w:val="single" w:sz="4" w:space="0" w:color="365F91"/>
              <w:left w:val="nil"/>
              <w:bottom w:val="single" w:sz="6" w:space="0" w:color="365F91"/>
              <w:right w:val="nil"/>
            </w:tcBorders>
            <w:shd w:val="clear" w:color="auto" w:fill="FFFFFF"/>
            <w:hideMark/>
          </w:tcPr>
          <w:p w14:paraId="13621F83" w14:textId="77777777" w:rsidR="00D30983" w:rsidRPr="00D9348B" w:rsidRDefault="00D30983" w:rsidP="00C27E02">
            <w:pPr>
              <w:pStyle w:val="TableText"/>
              <w:spacing w:before="50" w:after="50"/>
            </w:pPr>
            <w:r w:rsidRPr="00D9348B">
              <w:t>±1</w:t>
            </w:r>
          </w:p>
        </w:tc>
      </w:tr>
      <w:tr w:rsidR="00D30983" w:rsidRPr="00D9348B" w14:paraId="5A28401A" w14:textId="77777777" w:rsidTr="00C27E02">
        <w:tc>
          <w:tcPr>
            <w:tcW w:w="2694" w:type="dxa"/>
            <w:tcBorders>
              <w:top w:val="single" w:sz="6" w:space="0" w:color="365F91"/>
              <w:left w:val="nil"/>
              <w:bottom w:val="single" w:sz="6" w:space="0" w:color="365F91"/>
              <w:right w:val="nil"/>
            </w:tcBorders>
            <w:shd w:val="clear" w:color="auto" w:fill="FFFFFF"/>
            <w:hideMark/>
          </w:tcPr>
          <w:p w14:paraId="0E679E2F" w14:textId="77777777" w:rsidR="00D30983" w:rsidRPr="00D9348B" w:rsidRDefault="00D30983" w:rsidP="00C27E02">
            <w:pPr>
              <w:pStyle w:val="TableText"/>
              <w:spacing w:before="50" w:after="50"/>
            </w:pPr>
            <w:r w:rsidRPr="00D9348B">
              <w:t>Cement: kiln dust</w:t>
            </w:r>
          </w:p>
        </w:tc>
        <w:tc>
          <w:tcPr>
            <w:tcW w:w="2835" w:type="dxa"/>
            <w:tcBorders>
              <w:top w:val="single" w:sz="6" w:space="0" w:color="365F91"/>
              <w:left w:val="nil"/>
              <w:bottom w:val="single" w:sz="6" w:space="0" w:color="365F91"/>
              <w:right w:val="nil"/>
            </w:tcBorders>
            <w:shd w:val="clear" w:color="auto" w:fill="FFFFFF"/>
            <w:hideMark/>
          </w:tcPr>
          <w:p w14:paraId="382C3137" w14:textId="77777777" w:rsidR="00D30983" w:rsidRPr="00D9348B" w:rsidRDefault="00D30983" w:rsidP="00C27E02">
            <w:pPr>
              <w:pStyle w:val="TableText"/>
              <w:spacing w:before="50" w:after="50"/>
            </w:pPr>
            <w:r w:rsidRPr="00D9348B">
              <w:t>±1</w:t>
            </w:r>
          </w:p>
        </w:tc>
        <w:tc>
          <w:tcPr>
            <w:tcW w:w="3033" w:type="dxa"/>
            <w:tcBorders>
              <w:top w:val="single" w:sz="6" w:space="0" w:color="365F91"/>
              <w:left w:val="nil"/>
              <w:bottom w:val="single" w:sz="6" w:space="0" w:color="365F91"/>
              <w:right w:val="nil"/>
            </w:tcBorders>
            <w:shd w:val="clear" w:color="auto" w:fill="FFFFFF"/>
            <w:hideMark/>
          </w:tcPr>
          <w:p w14:paraId="1268D10B" w14:textId="77777777" w:rsidR="00D30983" w:rsidRPr="00D9348B" w:rsidRDefault="00D30983" w:rsidP="00C27E02">
            <w:pPr>
              <w:pStyle w:val="TableText"/>
              <w:spacing w:before="50" w:after="50"/>
            </w:pPr>
            <w:r w:rsidRPr="00D9348B">
              <w:t>±5</w:t>
            </w:r>
          </w:p>
        </w:tc>
      </w:tr>
      <w:tr w:rsidR="00D30983" w:rsidRPr="00D9348B" w14:paraId="1FC9041F" w14:textId="77777777" w:rsidTr="00C27E02">
        <w:tc>
          <w:tcPr>
            <w:tcW w:w="2694" w:type="dxa"/>
            <w:tcBorders>
              <w:top w:val="single" w:sz="6" w:space="0" w:color="365F91"/>
              <w:left w:val="nil"/>
              <w:bottom w:val="single" w:sz="6" w:space="0" w:color="365F91"/>
              <w:right w:val="nil"/>
            </w:tcBorders>
            <w:shd w:val="clear" w:color="auto" w:fill="FFFFFF"/>
            <w:hideMark/>
          </w:tcPr>
          <w:p w14:paraId="55300C9F" w14:textId="77777777" w:rsidR="00D30983" w:rsidRPr="00D9348B" w:rsidRDefault="00D30983" w:rsidP="00C27E02">
            <w:pPr>
              <w:pStyle w:val="TableText"/>
              <w:spacing w:before="50" w:after="50"/>
            </w:pPr>
            <w:r w:rsidRPr="00D9348B">
              <w:t>Cement (SO</w:t>
            </w:r>
            <w:r w:rsidRPr="00D9348B">
              <w:rPr>
                <w:vertAlign w:val="subscript"/>
              </w:rPr>
              <w:t>2</w:t>
            </w:r>
            <w:r w:rsidRPr="00D9348B">
              <w:t>)</w:t>
            </w:r>
          </w:p>
        </w:tc>
        <w:tc>
          <w:tcPr>
            <w:tcW w:w="2835" w:type="dxa"/>
            <w:tcBorders>
              <w:top w:val="single" w:sz="6" w:space="0" w:color="365F91"/>
              <w:left w:val="nil"/>
              <w:bottom w:val="single" w:sz="6" w:space="0" w:color="365F91"/>
              <w:right w:val="nil"/>
            </w:tcBorders>
            <w:shd w:val="clear" w:color="auto" w:fill="FFFFFF"/>
            <w:hideMark/>
          </w:tcPr>
          <w:p w14:paraId="2F610E2C" w14:textId="77777777" w:rsidR="00D30983" w:rsidRPr="00D9348B" w:rsidRDefault="00D30983" w:rsidP="00C27E02">
            <w:pPr>
              <w:pStyle w:val="TableText"/>
              <w:spacing w:before="50" w:after="50"/>
            </w:pPr>
            <w:r w:rsidRPr="00D9348B">
              <w:t>±1</w:t>
            </w:r>
          </w:p>
        </w:tc>
        <w:tc>
          <w:tcPr>
            <w:tcW w:w="3033" w:type="dxa"/>
            <w:tcBorders>
              <w:top w:val="single" w:sz="6" w:space="0" w:color="365F91"/>
              <w:left w:val="nil"/>
              <w:bottom w:val="single" w:sz="6" w:space="0" w:color="365F91"/>
              <w:right w:val="nil"/>
            </w:tcBorders>
            <w:shd w:val="clear" w:color="auto" w:fill="FFFFFF"/>
            <w:hideMark/>
          </w:tcPr>
          <w:p w14:paraId="396982BB" w14:textId="77777777" w:rsidR="00D30983" w:rsidRPr="00D9348B" w:rsidRDefault="00D30983" w:rsidP="00C27E02">
            <w:pPr>
              <w:pStyle w:val="TableText"/>
              <w:spacing w:before="50" w:after="50"/>
            </w:pPr>
            <w:r w:rsidRPr="00D9348B">
              <w:t>±40</w:t>
            </w:r>
          </w:p>
        </w:tc>
      </w:tr>
      <w:tr w:rsidR="00D30983" w:rsidRPr="00D9348B" w14:paraId="2D0DE1B5" w14:textId="77777777" w:rsidTr="00C27E02">
        <w:tc>
          <w:tcPr>
            <w:tcW w:w="2694" w:type="dxa"/>
            <w:tcBorders>
              <w:top w:val="single" w:sz="6" w:space="0" w:color="365F91"/>
              <w:left w:val="nil"/>
              <w:bottom w:val="single" w:sz="6" w:space="0" w:color="365F91"/>
              <w:right w:val="nil"/>
            </w:tcBorders>
            <w:shd w:val="clear" w:color="auto" w:fill="FFFFFF"/>
            <w:hideMark/>
          </w:tcPr>
          <w:p w14:paraId="7DAFD7F9" w14:textId="77777777" w:rsidR="00D30983" w:rsidRPr="00D9348B" w:rsidRDefault="00D30983" w:rsidP="00C27E02">
            <w:pPr>
              <w:pStyle w:val="TableText"/>
              <w:spacing w:before="50" w:after="50"/>
            </w:pPr>
            <w:r w:rsidRPr="00D9348B">
              <w:t>Lime (CO</w:t>
            </w:r>
            <w:r w:rsidRPr="00D9348B">
              <w:rPr>
                <w:vertAlign w:val="subscript"/>
              </w:rPr>
              <w:t>2</w:t>
            </w:r>
            <w:r w:rsidRPr="00D9348B">
              <w:t>)</w:t>
            </w:r>
          </w:p>
        </w:tc>
        <w:tc>
          <w:tcPr>
            <w:tcW w:w="2835" w:type="dxa"/>
            <w:tcBorders>
              <w:top w:val="single" w:sz="6" w:space="0" w:color="365F91"/>
              <w:left w:val="nil"/>
              <w:bottom w:val="single" w:sz="6" w:space="0" w:color="365F91"/>
              <w:right w:val="nil"/>
            </w:tcBorders>
            <w:shd w:val="clear" w:color="auto" w:fill="FFFFFF"/>
            <w:hideMark/>
          </w:tcPr>
          <w:p w14:paraId="5DFD6CEE" w14:textId="77777777" w:rsidR="00D30983" w:rsidRPr="00D9348B" w:rsidRDefault="00D30983" w:rsidP="00C27E02">
            <w:pPr>
              <w:pStyle w:val="TableText"/>
              <w:spacing w:before="50" w:after="50"/>
            </w:pPr>
            <w:r w:rsidRPr="00D9348B">
              <w:t>±2</w:t>
            </w:r>
          </w:p>
        </w:tc>
        <w:tc>
          <w:tcPr>
            <w:tcW w:w="3033" w:type="dxa"/>
            <w:tcBorders>
              <w:top w:val="single" w:sz="6" w:space="0" w:color="365F91"/>
              <w:left w:val="nil"/>
              <w:bottom w:val="single" w:sz="6" w:space="0" w:color="365F91"/>
              <w:right w:val="nil"/>
            </w:tcBorders>
            <w:shd w:val="clear" w:color="auto" w:fill="FFFFFF"/>
            <w:hideMark/>
          </w:tcPr>
          <w:p w14:paraId="5E48E1DE" w14:textId="77777777" w:rsidR="00D30983" w:rsidRPr="00D9348B" w:rsidRDefault="00D30983" w:rsidP="00C27E02">
            <w:pPr>
              <w:pStyle w:val="TableText"/>
              <w:spacing w:before="50" w:after="50"/>
            </w:pPr>
            <w:r w:rsidRPr="00D9348B">
              <w:t>±2</w:t>
            </w:r>
          </w:p>
        </w:tc>
      </w:tr>
      <w:tr w:rsidR="00D30983" w:rsidRPr="00D9348B" w14:paraId="08399E61" w14:textId="77777777" w:rsidTr="00C27E02">
        <w:tc>
          <w:tcPr>
            <w:tcW w:w="2694" w:type="dxa"/>
            <w:tcBorders>
              <w:top w:val="single" w:sz="6" w:space="0" w:color="365F91"/>
              <w:left w:val="nil"/>
              <w:bottom w:val="single" w:sz="6" w:space="0" w:color="365F91"/>
              <w:right w:val="nil"/>
            </w:tcBorders>
            <w:shd w:val="clear" w:color="auto" w:fill="FFFFFF"/>
            <w:hideMark/>
          </w:tcPr>
          <w:p w14:paraId="0898B15A" w14:textId="77777777" w:rsidR="00D30983" w:rsidRPr="00D9348B" w:rsidRDefault="00D30983" w:rsidP="00C27E02">
            <w:pPr>
              <w:pStyle w:val="TableText"/>
              <w:spacing w:before="50" w:after="50"/>
            </w:pPr>
            <w:r w:rsidRPr="00D9348B">
              <w:t>Glass (SO</w:t>
            </w:r>
            <w:r w:rsidRPr="00D9348B">
              <w:rPr>
                <w:vertAlign w:val="subscript"/>
              </w:rPr>
              <w:t>2</w:t>
            </w:r>
            <w:r w:rsidRPr="00D9348B">
              <w:t>)</w:t>
            </w:r>
          </w:p>
        </w:tc>
        <w:tc>
          <w:tcPr>
            <w:tcW w:w="2835" w:type="dxa"/>
            <w:tcBorders>
              <w:top w:val="single" w:sz="6" w:space="0" w:color="365F91"/>
              <w:left w:val="nil"/>
              <w:bottom w:val="single" w:sz="6" w:space="0" w:color="365F91"/>
              <w:right w:val="nil"/>
            </w:tcBorders>
            <w:shd w:val="clear" w:color="auto" w:fill="FFFFFF"/>
            <w:hideMark/>
          </w:tcPr>
          <w:p w14:paraId="64D87FF1" w14:textId="77777777" w:rsidR="00D30983" w:rsidRPr="00D9348B" w:rsidRDefault="00D30983" w:rsidP="00C27E02">
            <w:pPr>
              <w:pStyle w:val="TableText"/>
              <w:spacing w:before="50" w:after="50"/>
            </w:pPr>
            <w:r w:rsidRPr="00D9348B">
              <w:t>±5</w:t>
            </w:r>
          </w:p>
        </w:tc>
        <w:tc>
          <w:tcPr>
            <w:tcW w:w="3033" w:type="dxa"/>
            <w:tcBorders>
              <w:top w:val="single" w:sz="6" w:space="0" w:color="365F91"/>
              <w:left w:val="nil"/>
              <w:bottom w:val="single" w:sz="6" w:space="0" w:color="365F91"/>
              <w:right w:val="nil"/>
            </w:tcBorders>
            <w:shd w:val="clear" w:color="auto" w:fill="FFFFFF"/>
            <w:hideMark/>
          </w:tcPr>
          <w:p w14:paraId="60B12DDF" w14:textId="77777777" w:rsidR="00D30983" w:rsidRPr="00D9348B" w:rsidRDefault="00D30983" w:rsidP="00C27E02">
            <w:pPr>
              <w:pStyle w:val="TableText"/>
              <w:spacing w:before="50" w:after="50"/>
            </w:pPr>
            <w:r w:rsidRPr="00D9348B">
              <w:t>±10</w:t>
            </w:r>
          </w:p>
        </w:tc>
      </w:tr>
      <w:tr w:rsidR="00D30983" w:rsidRPr="00D9348B" w14:paraId="4C86C742" w14:textId="77777777" w:rsidTr="00C27E02">
        <w:tc>
          <w:tcPr>
            <w:tcW w:w="2694" w:type="dxa"/>
            <w:tcBorders>
              <w:top w:val="single" w:sz="6" w:space="0" w:color="365F91"/>
              <w:left w:val="nil"/>
              <w:bottom w:val="single" w:sz="6" w:space="0" w:color="365F91"/>
              <w:right w:val="nil"/>
            </w:tcBorders>
            <w:shd w:val="clear" w:color="auto" w:fill="FFFFFF"/>
            <w:hideMark/>
          </w:tcPr>
          <w:p w14:paraId="257DA4F7" w14:textId="77777777" w:rsidR="00D30983" w:rsidRPr="00D9348B" w:rsidRDefault="00D30983" w:rsidP="00C27E02">
            <w:pPr>
              <w:pStyle w:val="TableText"/>
              <w:spacing w:before="50" w:after="50"/>
            </w:pPr>
            <w:r w:rsidRPr="00D9348B">
              <w:t>Glass (NMVOC)</w:t>
            </w:r>
          </w:p>
        </w:tc>
        <w:tc>
          <w:tcPr>
            <w:tcW w:w="2835" w:type="dxa"/>
            <w:tcBorders>
              <w:top w:val="single" w:sz="6" w:space="0" w:color="365F91"/>
              <w:left w:val="nil"/>
              <w:bottom w:val="single" w:sz="6" w:space="0" w:color="365F91"/>
              <w:right w:val="nil"/>
            </w:tcBorders>
            <w:shd w:val="clear" w:color="auto" w:fill="FFFFFF"/>
            <w:hideMark/>
          </w:tcPr>
          <w:p w14:paraId="602E5445" w14:textId="77777777" w:rsidR="00D30983" w:rsidRPr="00D9348B" w:rsidRDefault="00D30983" w:rsidP="00C27E02">
            <w:pPr>
              <w:pStyle w:val="TableText"/>
              <w:spacing w:before="50" w:after="50"/>
            </w:pPr>
            <w:r w:rsidRPr="00D9348B">
              <w:t>±5</w:t>
            </w:r>
          </w:p>
        </w:tc>
        <w:tc>
          <w:tcPr>
            <w:tcW w:w="3033" w:type="dxa"/>
            <w:tcBorders>
              <w:top w:val="single" w:sz="6" w:space="0" w:color="365F91"/>
              <w:left w:val="nil"/>
              <w:bottom w:val="single" w:sz="6" w:space="0" w:color="365F91"/>
              <w:right w:val="nil"/>
            </w:tcBorders>
            <w:shd w:val="clear" w:color="auto" w:fill="FFFFFF"/>
            <w:hideMark/>
          </w:tcPr>
          <w:p w14:paraId="6C63D246" w14:textId="77777777" w:rsidR="00D30983" w:rsidRPr="00D9348B" w:rsidRDefault="00D30983" w:rsidP="00C27E02">
            <w:pPr>
              <w:pStyle w:val="TableText"/>
              <w:spacing w:before="50" w:after="50"/>
            </w:pPr>
            <w:r w:rsidRPr="00D9348B">
              <w:t>±50</w:t>
            </w:r>
          </w:p>
        </w:tc>
      </w:tr>
    </w:tbl>
    <w:p w14:paraId="69970451" w14:textId="77777777" w:rsidR="00D30983" w:rsidRPr="00D9348B" w:rsidRDefault="00D30983" w:rsidP="00865BDB">
      <w:pPr>
        <w:pStyle w:val="Heading4"/>
        <w:rPr>
          <w:bCs/>
          <w:iCs/>
        </w:rPr>
      </w:pPr>
      <w:r w:rsidRPr="00D9348B">
        <w:lastRenderedPageBreak/>
        <w:t>Time-series consistency</w:t>
      </w:r>
    </w:p>
    <w:p w14:paraId="618D935B" w14:textId="77777777" w:rsidR="00D30983" w:rsidRPr="00D9348B" w:rsidRDefault="00D30983" w:rsidP="00D30983">
      <w:pPr>
        <w:pStyle w:val="BodyText"/>
        <w:spacing w:before="100" w:after="100"/>
      </w:pPr>
      <w:r w:rsidRPr="00D9348B">
        <w:t xml:space="preserve">Because of the change to using NZ ETS data for cement and lime, and the use of slightly different calculation methods for these emissions, the reported activity data for lime production is not fully consistent through the time series. For the years up to 2013, a default emission factor was used, based on the amount of burnt lime produced. For 2014–18, NZ ETS returns are the data source. The companies carry out analysis and report the net amount of pure CaO as well as gross amounts made to the NZ ETS regulator, and consequently the implied emission factor reflects small year-to-year changes in composition. </w:t>
      </w:r>
    </w:p>
    <w:p w14:paraId="0F5AF489" w14:textId="77777777" w:rsidR="00D30983" w:rsidRPr="00D9348B" w:rsidRDefault="00D30983" w:rsidP="00D30983">
      <w:pPr>
        <w:pStyle w:val="Heading3"/>
        <w:spacing w:before="240"/>
      </w:pPr>
      <w:r w:rsidRPr="00D9348B">
        <w:t>4.2.4</w:t>
      </w:r>
      <w:r w:rsidRPr="00D9348B">
        <w:tab/>
        <w:t>Source-specific QA/QC and verification</w:t>
      </w:r>
    </w:p>
    <w:p w14:paraId="2F63E384" w14:textId="77777777" w:rsidR="00D30983" w:rsidRPr="00D9348B" w:rsidRDefault="00D30983" w:rsidP="00D30983">
      <w:pPr>
        <w:pStyle w:val="BodyText"/>
        <w:spacing w:before="100" w:after="100"/>
      </w:pPr>
      <w:r w:rsidRPr="00D9348B">
        <w:t>For this submission, data for all CO</w:t>
      </w:r>
      <w:r w:rsidRPr="00D9348B">
        <w:rPr>
          <w:vertAlign w:val="subscript"/>
        </w:rPr>
        <w:t>2</w:t>
      </w:r>
      <w:r w:rsidRPr="00D9348B">
        <w:t xml:space="preserve"> emissions in the </w:t>
      </w:r>
      <w:r w:rsidRPr="00D9348B">
        <w:rPr>
          <w:i/>
        </w:rPr>
        <w:t>Mineral industry</w:t>
      </w:r>
      <w:r w:rsidRPr="00D9348B">
        <w:t xml:space="preserve"> source category underwent Tier 1 quality checks in the preparation of this inventory. The only key category is CO</w:t>
      </w:r>
      <w:r w:rsidRPr="00D9348B">
        <w:rPr>
          <w:vertAlign w:val="subscript"/>
        </w:rPr>
        <w:t>2</w:t>
      </w:r>
      <w:r w:rsidRPr="00D9348B">
        <w:t xml:space="preserve"> emissions from </w:t>
      </w:r>
      <w:r w:rsidRPr="00D9348B">
        <w:rPr>
          <w:i/>
        </w:rPr>
        <w:t>Cement production</w:t>
      </w:r>
      <w:r w:rsidRPr="00D9348B">
        <w:t xml:space="preserve">. </w:t>
      </w:r>
    </w:p>
    <w:p w14:paraId="261C1E30" w14:textId="77777777" w:rsidR="00D30983" w:rsidRPr="00D9348B" w:rsidRDefault="00D30983" w:rsidP="00D30983">
      <w:pPr>
        <w:pStyle w:val="BodyText"/>
        <w:spacing w:before="100" w:after="100"/>
      </w:pPr>
      <w:r w:rsidRPr="00D9348B">
        <w:t xml:space="preserve">Verification of activity data from independent sources is not currently possible. The EPA carries out verification of NZ ETS participants’ submitted data on a rotating basis, and, as these verifications occur, the inventory agency will make use of the resulting information to verify the emissions data where possible. </w:t>
      </w:r>
    </w:p>
    <w:p w14:paraId="1FBEEC1C" w14:textId="77777777" w:rsidR="00D30983" w:rsidRPr="00D9348B" w:rsidRDefault="00D30983" w:rsidP="00D30983">
      <w:pPr>
        <w:pStyle w:val="Heading3"/>
        <w:spacing w:before="240"/>
      </w:pPr>
      <w:r w:rsidRPr="00D9348B">
        <w:t>4.2.5</w:t>
      </w:r>
      <w:r w:rsidRPr="00D9348B">
        <w:tab/>
        <w:t>Source-specific recalculations</w:t>
      </w:r>
    </w:p>
    <w:p w14:paraId="7A74AB63" w14:textId="77777777" w:rsidR="00D30983" w:rsidRPr="00D9348B" w:rsidRDefault="00D30983" w:rsidP="00D30983">
      <w:pPr>
        <w:pStyle w:val="BodyText"/>
        <w:spacing w:before="100"/>
      </w:pPr>
      <w:r w:rsidRPr="00D9348B">
        <w:t xml:space="preserve">There are no recalculations for the </w:t>
      </w:r>
      <w:r w:rsidRPr="00D9348B">
        <w:rPr>
          <w:i/>
        </w:rPr>
        <w:t>Mineral industry</w:t>
      </w:r>
      <w:r w:rsidRPr="00D9348B">
        <w:t xml:space="preserve"> source category in this submission. </w:t>
      </w:r>
    </w:p>
    <w:p w14:paraId="68DFDE29" w14:textId="77777777" w:rsidR="00D30983" w:rsidRPr="00D9348B" w:rsidRDefault="00D30983" w:rsidP="00D30983">
      <w:pPr>
        <w:pStyle w:val="Heading3"/>
        <w:spacing w:before="240"/>
      </w:pPr>
      <w:r w:rsidRPr="00D9348B">
        <w:t>4.2.6</w:t>
      </w:r>
      <w:r w:rsidRPr="00D9348B">
        <w:tab/>
        <w:t>Source-specific planned improvements</w:t>
      </w:r>
    </w:p>
    <w:p w14:paraId="6F5ACBFE" w14:textId="77777777" w:rsidR="00D30983" w:rsidRPr="00D9348B" w:rsidRDefault="00D30983" w:rsidP="00D30983">
      <w:pPr>
        <w:pStyle w:val="BodyText"/>
        <w:spacing w:before="100" w:after="100"/>
      </w:pPr>
      <w:r w:rsidRPr="00D9348B">
        <w:t xml:space="preserve">The inventory agency has worked with the companies in the </w:t>
      </w:r>
      <w:r w:rsidRPr="00D9348B">
        <w:rPr>
          <w:i/>
        </w:rPr>
        <w:t>Mineral industry</w:t>
      </w:r>
      <w:r w:rsidRPr="00D9348B">
        <w:t xml:space="preserve"> source category to improve transparency and confidence in the data provided. However, concerns about the confidentiality of data provided by the cement and glass companies, including data submitted as part of their compliance with NZ ETS obligations, remain a barrier to further improvements in transparency for this source category. The consistent reporting of activity data for 2.A.2 </w:t>
      </w:r>
      <w:r w:rsidRPr="00D9348B">
        <w:rPr>
          <w:i/>
        </w:rPr>
        <w:t xml:space="preserve">Lime production </w:t>
      </w:r>
      <w:r w:rsidRPr="00D9348B">
        <w:t xml:space="preserve">is also an ongoing issue, due to different methods being applied at different times, and will be reviewed for the 2021 submission. </w:t>
      </w:r>
    </w:p>
    <w:p w14:paraId="0950CE35" w14:textId="77777777" w:rsidR="00D30983" w:rsidRPr="00D9348B" w:rsidRDefault="00D30983" w:rsidP="00D30983">
      <w:pPr>
        <w:pStyle w:val="Heading2"/>
      </w:pPr>
      <w:bookmarkStart w:id="488" w:name="_Toc448321514"/>
      <w:bookmarkStart w:id="489" w:name="_Toc5269353"/>
      <w:bookmarkStart w:id="490" w:name="_Toc36224393"/>
      <w:r w:rsidRPr="00D9348B">
        <w:t>4.3</w:t>
      </w:r>
      <w:r w:rsidRPr="00D9348B">
        <w:tab/>
        <w:t>Chemical industry (2.B)</w:t>
      </w:r>
      <w:bookmarkEnd w:id="488"/>
      <w:bookmarkEnd w:id="489"/>
      <w:bookmarkEnd w:id="490"/>
    </w:p>
    <w:p w14:paraId="7C036F56" w14:textId="77777777" w:rsidR="00D30983" w:rsidRPr="00D9348B" w:rsidRDefault="00D30983" w:rsidP="00D30983">
      <w:pPr>
        <w:pStyle w:val="Heading3"/>
        <w:spacing w:before="120"/>
      </w:pPr>
      <w:r w:rsidRPr="00D9348B">
        <w:t>4.3.1</w:t>
      </w:r>
      <w:r w:rsidRPr="00D9348B">
        <w:tab/>
        <w:t>Description</w:t>
      </w:r>
    </w:p>
    <w:p w14:paraId="2AD33D44" w14:textId="77777777" w:rsidR="00D30983" w:rsidRPr="00D9348B" w:rsidRDefault="00D30983" w:rsidP="00D30983">
      <w:pPr>
        <w:pStyle w:val="BodyText"/>
      </w:pPr>
      <w:r w:rsidRPr="00D9348B">
        <w:t>The significant chemical processes occurring in New Zealand are the production of urea, methanol, superphosphate fertiliser, hydrogen peroxide, formaldehyde and ethanol. In addition, a substantial amount of hydrogen is made at the Marsden Point oil refinery, and CO</w:t>
      </w:r>
      <w:r w:rsidRPr="00D9348B">
        <w:rPr>
          <w:vertAlign w:val="subscript"/>
        </w:rPr>
        <w:t>2</w:t>
      </w:r>
      <w:r w:rsidRPr="00D9348B">
        <w:t xml:space="preserve"> emissions from this process are reported in the </w:t>
      </w:r>
      <w:r w:rsidRPr="00D9348B">
        <w:rPr>
          <w:i/>
        </w:rPr>
        <w:t>Chemical industry</w:t>
      </w:r>
      <w:r w:rsidRPr="00D9348B">
        <w:t xml:space="preserve"> category. No other relevant chemical products (such as nitric acid, adipic acid or ethylene) are produced in New Zealand. </w:t>
      </w:r>
    </w:p>
    <w:p w14:paraId="04E21979" w14:textId="77777777" w:rsidR="00D30983" w:rsidRPr="00D9348B" w:rsidRDefault="00D30983" w:rsidP="00D30983">
      <w:pPr>
        <w:pStyle w:val="BodyText"/>
      </w:pPr>
      <w:r w:rsidRPr="00D9348B">
        <w:t>Ammonia is made at one site in Taranaki by the catalytic steam reforming of natural gas. The ammonia produced is further processed into urea. Emissions of CO</w:t>
      </w:r>
      <w:r w:rsidRPr="00D9348B">
        <w:rPr>
          <w:vertAlign w:val="subscript"/>
        </w:rPr>
        <w:t>2</w:t>
      </w:r>
      <w:r w:rsidRPr="00D9348B">
        <w:t xml:space="preserve"> arise from the fraction of process CO</w:t>
      </w:r>
      <w:r w:rsidRPr="00D9348B">
        <w:rPr>
          <w:vertAlign w:val="subscript"/>
        </w:rPr>
        <w:t>2</w:t>
      </w:r>
      <w:r w:rsidRPr="00D9348B">
        <w:t xml:space="preserve"> that is not recovered for urea production. Essentially, all of the urea product is used as a fertiliser in New Zealand. The emissions associated with agricultural use of urea (both manufactured in New Zealand and imported) are reported in the Agriculture sector (CRF 3.H). A small amount of urea is also used for catalytic reduction of diesel exhaust emissions. The emissions of CO</w:t>
      </w:r>
      <w:r w:rsidRPr="00D9348B">
        <w:rPr>
          <w:vertAlign w:val="subscript"/>
        </w:rPr>
        <w:t>2</w:t>
      </w:r>
      <w:r w:rsidRPr="00D9348B">
        <w:t xml:space="preserve"> from this use of urea are considered to be insignificant. </w:t>
      </w:r>
    </w:p>
    <w:p w14:paraId="70F7DA2C" w14:textId="77777777" w:rsidR="00D30983" w:rsidRPr="00D9348B" w:rsidRDefault="00D30983" w:rsidP="00D30983">
      <w:pPr>
        <w:pStyle w:val="BodyText"/>
        <w:spacing w:before="100" w:after="100"/>
      </w:pPr>
      <w:r w:rsidRPr="00D9348B">
        <w:lastRenderedPageBreak/>
        <w:t xml:space="preserve">Methane emissions are reported from the production of methanol, which is made from natural gas feedstock at two sites in Taranaki. From 1990 to 1997, a large proportion of the methanol made in New Zealand was processed into synthetic gasoline for transport use. All emissions associated with the production of gasoline, including the synthetic gasoline produced from 1990 to 1997, are reported in the Energy sector (chapter 3, sections 3.2 and 3.3). From 1998 on, all methanol made in New Zealand has been chemical methanol for export, and therefore all process emissions from the methanol plants have been reported in the IPPU sector. </w:t>
      </w:r>
    </w:p>
    <w:p w14:paraId="6F79B20F" w14:textId="77777777" w:rsidR="00D30983" w:rsidRPr="00D9348B" w:rsidRDefault="00D30983" w:rsidP="00D30983">
      <w:pPr>
        <w:pStyle w:val="BodyText"/>
        <w:spacing w:before="100" w:after="100"/>
      </w:pPr>
      <w:r w:rsidRPr="00D9348B">
        <w:t>A small amount of CO</w:t>
      </w:r>
      <w:r w:rsidRPr="00D9348B">
        <w:rPr>
          <w:vertAlign w:val="subscript"/>
        </w:rPr>
        <w:t>2</w:t>
      </w:r>
      <w:r w:rsidRPr="00D9348B">
        <w:t xml:space="preserve"> is reported from the use of imported calcium carbide, which is used to produce acetylene for welding. No carbides are manufactured in New Zealand. </w:t>
      </w:r>
    </w:p>
    <w:p w14:paraId="2AB0CED4" w14:textId="77777777" w:rsidR="00D30983" w:rsidRPr="00D9348B" w:rsidRDefault="00D30983" w:rsidP="00D30983">
      <w:pPr>
        <w:pStyle w:val="BodyText"/>
        <w:spacing w:before="100" w:after="100"/>
      </w:pPr>
      <w:r w:rsidRPr="00D9348B">
        <w:t>Some indirect emissions (oxides of nitrogen (NO</w:t>
      </w:r>
      <w:r w:rsidRPr="00D9348B">
        <w:rPr>
          <w:vertAlign w:val="subscript"/>
        </w:rPr>
        <w:t>x</w:t>
      </w:r>
      <w:r w:rsidRPr="00D9348B">
        <w:t>), carbon monoxide (CO), non-methane volatile organic compounds (NMVOCs) and SO</w:t>
      </w:r>
      <w:r w:rsidRPr="00D9348B">
        <w:rPr>
          <w:vertAlign w:val="subscript"/>
        </w:rPr>
        <w:t>2</w:t>
      </w:r>
      <w:r w:rsidRPr="00D9348B">
        <w:t xml:space="preserve">) are reported from methanol, formaldehyde, ethanol, and superphosphate fertiliser production. </w:t>
      </w:r>
    </w:p>
    <w:p w14:paraId="5BFB6BB6" w14:textId="77777777" w:rsidR="00D30983" w:rsidRPr="00D9348B" w:rsidRDefault="00D30983" w:rsidP="00D30983">
      <w:pPr>
        <w:pStyle w:val="BodyText"/>
        <w:spacing w:before="100" w:after="100"/>
      </w:pPr>
      <w:r w:rsidRPr="00D9348B">
        <w:t xml:space="preserve">Emissions from the </w:t>
      </w:r>
      <w:r w:rsidRPr="00D9348B">
        <w:rPr>
          <w:i/>
        </w:rPr>
        <w:t>Chemical industry</w:t>
      </w:r>
      <w:r w:rsidRPr="00D9348B">
        <w:t xml:space="preserve"> source category in 2018 were 260.0 kt CO</w:t>
      </w:r>
      <w:r w:rsidRPr="00D9348B">
        <w:rPr>
          <w:vertAlign w:val="subscript"/>
        </w:rPr>
        <w:t>2</w:t>
      </w:r>
      <w:r w:rsidRPr="00D9348B">
        <w:t>-e (5.0 per cent) of emissions from the IPPU sector. This is 57.0 kt CO</w:t>
      </w:r>
      <w:r w:rsidRPr="00D9348B">
        <w:rPr>
          <w:vertAlign w:val="subscript"/>
        </w:rPr>
        <w:t>2</w:t>
      </w:r>
      <w:r w:rsidRPr="00D9348B">
        <w:t>-e (28.1 per cent) above the 1990 level. The increase has been driven by increasing production of ammonia and methanol, and increasing demand for transport fuels, which has increased the demand for hydrogen as an intermediate in oil refining. However, emissions in 2015 were 389.0 kt CO</w:t>
      </w:r>
      <w:r w:rsidRPr="00D9348B">
        <w:rPr>
          <w:vertAlign w:val="subscript"/>
        </w:rPr>
        <w:t>2</w:t>
      </w:r>
      <w:r w:rsidRPr="00D9348B">
        <w:t xml:space="preserve">-e. Emissions have decreased in 2016 and 2017 due to lower rates of production for hydrogen and urea. </w:t>
      </w:r>
    </w:p>
    <w:p w14:paraId="57601702" w14:textId="77777777" w:rsidR="00D30983" w:rsidRPr="00D9348B" w:rsidRDefault="00D30983" w:rsidP="00D30983">
      <w:pPr>
        <w:pStyle w:val="BodyText"/>
      </w:pPr>
      <w:r w:rsidRPr="00D9348B">
        <w:t xml:space="preserve">The only key category in the </w:t>
      </w:r>
      <w:r w:rsidRPr="00D9348B">
        <w:rPr>
          <w:i/>
        </w:rPr>
        <w:t>Chemical industry</w:t>
      </w:r>
      <w:r w:rsidRPr="00D9348B">
        <w:t xml:space="preserve"> source category is </w:t>
      </w:r>
      <w:r w:rsidRPr="00D9348B">
        <w:rPr>
          <w:i/>
        </w:rPr>
        <w:t>Methanol</w:t>
      </w:r>
      <w:r w:rsidRPr="00D9348B">
        <w:t xml:space="preserve"> (trend assessment). </w:t>
      </w:r>
    </w:p>
    <w:p w14:paraId="1C5F852A" w14:textId="77777777" w:rsidR="00D30983" w:rsidRPr="00D9348B" w:rsidRDefault="00D30983" w:rsidP="00D30983">
      <w:pPr>
        <w:pStyle w:val="Heading3"/>
        <w:spacing w:before="280"/>
      </w:pPr>
      <w:r w:rsidRPr="00D9348B">
        <w:t xml:space="preserve">4.3.2 </w:t>
      </w:r>
      <w:r w:rsidRPr="00D9348B">
        <w:tab/>
        <w:t>Methodological issues</w:t>
      </w:r>
    </w:p>
    <w:p w14:paraId="17846325" w14:textId="77777777" w:rsidR="00D30983" w:rsidRPr="00D9348B" w:rsidRDefault="00D30983" w:rsidP="003C5CB5">
      <w:pPr>
        <w:pStyle w:val="Heading4"/>
        <w:spacing w:before="160"/>
        <w:rPr>
          <w:bCs/>
          <w:iCs/>
        </w:rPr>
      </w:pPr>
      <w:r w:rsidRPr="00D9348B">
        <w:t>Choice of activity data</w:t>
      </w:r>
    </w:p>
    <w:p w14:paraId="4CDC2F79" w14:textId="77777777" w:rsidR="00D30983" w:rsidRPr="00D9348B" w:rsidRDefault="00D30983" w:rsidP="00D30983">
      <w:pPr>
        <w:pStyle w:val="Heading5"/>
        <w:spacing w:before="160"/>
      </w:pPr>
      <w:r w:rsidRPr="00D9348B">
        <w:t>Ammonia and urea (2.B.1)</w:t>
      </w:r>
    </w:p>
    <w:p w14:paraId="3616152A" w14:textId="77777777" w:rsidR="00D30983" w:rsidRPr="00D9348B" w:rsidRDefault="00D30983" w:rsidP="00DA4C87">
      <w:pPr>
        <w:pStyle w:val="BodyText"/>
        <w:spacing w:before="100"/>
      </w:pPr>
      <w:r w:rsidRPr="00D9348B">
        <w:t xml:space="preserve">Data on the production of urea are supplied to MBIE by Ballance Agri-Nutrients Limited, which operates the ammonia–urea production plant. The activity data reported are the production of ammonia, which is back-estimated from the amount of urea produced on the basis of a site-specific conversion factor that reflects the actual rate of conversion of ammonia to urea achieved in this plant. </w:t>
      </w:r>
    </w:p>
    <w:p w14:paraId="0836CECB" w14:textId="77777777" w:rsidR="00D30983" w:rsidRPr="00D9348B" w:rsidRDefault="00D30983" w:rsidP="00DA4C87">
      <w:pPr>
        <w:pStyle w:val="Heading5"/>
        <w:spacing w:before="200"/>
      </w:pPr>
      <w:r w:rsidRPr="00D9348B">
        <w:t>Calcium carbide (2.B.5.b)</w:t>
      </w:r>
    </w:p>
    <w:p w14:paraId="39A7EFC1" w14:textId="77777777" w:rsidR="00D30983" w:rsidRPr="00D9348B" w:rsidRDefault="00D30983" w:rsidP="00D30983">
      <w:pPr>
        <w:pStyle w:val="BodyText"/>
      </w:pPr>
      <w:r w:rsidRPr="00D9348B">
        <w:t xml:space="preserve">A small amount of calcium carbide is imported to New Zealand and used to produce acetylene gas for welding. The approximate amount of calcium carbide imported is used as activity data. </w:t>
      </w:r>
    </w:p>
    <w:p w14:paraId="7AA586D1" w14:textId="77777777" w:rsidR="00D30983" w:rsidRPr="00D9348B" w:rsidRDefault="00D30983" w:rsidP="00DA4C87">
      <w:pPr>
        <w:pStyle w:val="Heading5"/>
        <w:spacing w:before="200"/>
      </w:pPr>
      <w:r w:rsidRPr="00D9348B">
        <w:t>Methanol (2.B.8.a)</w:t>
      </w:r>
    </w:p>
    <w:p w14:paraId="3B31F99C" w14:textId="77777777" w:rsidR="00D30983" w:rsidRPr="00D9348B" w:rsidRDefault="00D30983" w:rsidP="00D30983">
      <w:pPr>
        <w:pStyle w:val="BodyText"/>
      </w:pPr>
      <w:r w:rsidRPr="00D9348B">
        <w:t xml:space="preserve">Data on methanol production (chemical methanol produced for export) are supplied to MBIE by Methanex, which operates the two methanol plants. </w:t>
      </w:r>
    </w:p>
    <w:p w14:paraId="0741AEEA" w14:textId="77777777" w:rsidR="00D30983" w:rsidRPr="00D9348B" w:rsidRDefault="00D30983" w:rsidP="00DA4C87">
      <w:pPr>
        <w:pStyle w:val="Heading5"/>
        <w:spacing w:before="200"/>
      </w:pPr>
      <w:r w:rsidRPr="00D9348B">
        <w:t>Hydrogen (2.B.10)</w:t>
      </w:r>
    </w:p>
    <w:p w14:paraId="7DE0074B" w14:textId="77777777" w:rsidR="00D30983" w:rsidRPr="00D9348B" w:rsidRDefault="00D30983" w:rsidP="00D30983">
      <w:pPr>
        <w:pStyle w:val="BodyText"/>
      </w:pPr>
      <w:r w:rsidRPr="00D9348B">
        <w:t>Most of the hydrogen produced in New Zealand is made by Refining New Zealand Ltd at the Marsden Point oil refinery. Another company, Evonik Limited, produces a small amount of hydrogen, which is converted to hydrogen peroxide. In both cases, the hydrogen is produced from CH</w:t>
      </w:r>
      <w:r w:rsidRPr="00D9348B">
        <w:rPr>
          <w:vertAlign w:val="subscript"/>
        </w:rPr>
        <w:t>4</w:t>
      </w:r>
      <w:r w:rsidRPr="00D9348B">
        <w:t xml:space="preserve"> (from refinery gas and natural gas) and steam. Carbon dioxide is a by-product of the reaction and is vented to the atmosphere. </w:t>
      </w:r>
    </w:p>
    <w:p w14:paraId="1684C29B" w14:textId="77777777" w:rsidR="00D30983" w:rsidRPr="00D9348B" w:rsidRDefault="00D30983" w:rsidP="00DA4C87">
      <w:pPr>
        <w:pStyle w:val="BodyText"/>
      </w:pPr>
      <w:r w:rsidRPr="00D9348B">
        <w:lastRenderedPageBreak/>
        <w:t xml:space="preserve">The activity data reported are the amount of hydrogen produced, as reported to MBIE by the plant operators. </w:t>
      </w:r>
    </w:p>
    <w:p w14:paraId="7E2A7F9C" w14:textId="77777777" w:rsidR="00D30983" w:rsidRPr="00D9348B" w:rsidRDefault="00D30983" w:rsidP="003C5CB5">
      <w:pPr>
        <w:pStyle w:val="Heading5"/>
        <w:spacing w:before="160"/>
      </w:pPr>
      <w:r w:rsidRPr="00D9348B">
        <w:t xml:space="preserve">Fertiliser, formaldehyde and ethanol (2.B.10) </w:t>
      </w:r>
    </w:p>
    <w:p w14:paraId="3F6E7291" w14:textId="77777777" w:rsidR="00D30983" w:rsidRPr="00D9348B" w:rsidRDefault="00D30983" w:rsidP="006B7E05">
      <w:pPr>
        <w:pStyle w:val="BodyText"/>
        <w:spacing w:before="80" w:after="100"/>
      </w:pPr>
      <w:r w:rsidRPr="00D9348B">
        <w:t>Some indirect emissions (SO</w:t>
      </w:r>
      <w:r w:rsidRPr="00D9348B">
        <w:rPr>
          <w:vertAlign w:val="subscript"/>
        </w:rPr>
        <w:t>2</w:t>
      </w:r>
      <w:r w:rsidRPr="00D9348B">
        <w:t xml:space="preserve"> and NMVOCs) are also reported from the production of ethanol for purposes other than food and drink, superphosphate fertiliser, and formaldehyde. </w:t>
      </w:r>
    </w:p>
    <w:p w14:paraId="0B2DF7ED" w14:textId="77777777" w:rsidR="00D30983" w:rsidRPr="00D9348B" w:rsidRDefault="00D30983" w:rsidP="00865BDB">
      <w:pPr>
        <w:pStyle w:val="Heading4"/>
        <w:rPr>
          <w:bCs/>
          <w:iCs/>
        </w:rPr>
      </w:pPr>
      <w:r w:rsidRPr="00D9348B">
        <w:t>Choice of methods</w:t>
      </w:r>
    </w:p>
    <w:p w14:paraId="7D8CEB01" w14:textId="77777777" w:rsidR="00D30983" w:rsidRPr="00D9348B" w:rsidRDefault="00D30983" w:rsidP="006B7E05">
      <w:pPr>
        <w:pStyle w:val="Heading5"/>
        <w:spacing w:before="120"/>
      </w:pPr>
      <w:r w:rsidRPr="00D9348B">
        <w:t>Ammonia and urea (2.B.1)</w:t>
      </w:r>
    </w:p>
    <w:p w14:paraId="22207023" w14:textId="77777777" w:rsidR="00D30983" w:rsidRPr="00D9348B" w:rsidRDefault="00D30983" w:rsidP="003C5CB5">
      <w:pPr>
        <w:pStyle w:val="BodyText"/>
        <w:spacing w:before="100" w:after="100"/>
      </w:pPr>
      <w:r w:rsidRPr="00D9348B">
        <w:t>The CO</w:t>
      </w:r>
      <w:r w:rsidRPr="00D9348B">
        <w:rPr>
          <w:vertAlign w:val="subscript"/>
        </w:rPr>
        <w:t>2</w:t>
      </w:r>
      <w:r w:rsidRPr="00D9348B">
        <w:t xml:space="preserve"> emissions are estimated from a Tier 2 carbon balance, based on the feedstock gas used. The emissions are derived from all carbon in the feedstock gas used, less carbon recovered for urea production and remaining in the urea product (IPCC, 2006a). Note that only gas used as feedstock is included in this calculation. Gas used for combustion is reported in the Energy sector under the </w:t>
      </w:r>
      <w:r w:rsidRPr="00D9348B">
        <w:rPr>
          <w:i/>
        </w:rPr>
        <w:t>Manufacturing industries and construction</w:t>
      </w:r>
      <w:r w:rsidRPr="00D9348B">
        <w:t xml:space="preserve"> source category (CRF 1.A.2). </w:t>
      </w:r>
    </w:p>
    <w:p w14:paraId="517AC269" w14:textId="77777777" w:rsidR="00D30983" w:rsidRPr="00D9348B" w:rsidRDefault="00D30983" w:rsidP="003C5CB5">
      <w:pPr>
        <w:pStyle w:val="Heading5"/>
        <w:spacing w:before="160"/>
      </w:pPr>
      <w:r w:rsidRPr="00D9348B">
        <w:t>Calcium carbide (2.B.5.b)</w:t>
      </w:r>
    </w:p>
    <w:p w14:paraId="6D810BDC" w14:textId="77777777" w:rsidR="00D30983" w:rsidRPr="00D9348B" w:rsidRDefault="00D30983" w:rsidP="00D30983">
      <w:pPr>
        <w:pStyle w:val="BodyText"/>
      </w:pPr>
      <w:r w:rsidRPr="00D9348B">
        <w:t xml:space="preserve">The Tier 1 method is used. </w:t>
      </w:r>
    </w:p>
    <w:p w14:paraId="0AB0EF56" w14:textId="77777777" w:rsidR="00D30983" w:rsidRPr="00D9348B" w:rsidRDefault="00D30983" w:rsidP="003C5CB5">
      <w:pPr>
        <w:pStyle w:val="Heading5"/>
        <w:spacing w:before="160"/>
      </w:pPr>
      <w:r w:rsidRPr="00D9348B">
        <w:t>Methanol (2.B.8 and 2.B.8.a)</w:t>
      </w:r>
    </w:p>
    <w:p w14:paraId="40DA65D2" w14:textId="77777777" w:rsidR="00D30983" w:rsidRPr="00D9348B" w:rsidRDefault="00D30983" w:rsidP="006B7E05">
      <w:pPr>
        <w:pStyle w:val="BodyText"/>
        <w:spacing w:before="100" w:after="100"/>
      </w:pPr>
      <w:r w:rsidRPr="00D9348B">
        <w:t>Data on the natural gas used for methanol production are also supplied to MBIE by the plant operators. However, the available data on gas supplied to the methanol plants do not allow for feedstock to be clearly distinguished from gas used for combustion. Also, close to 100 per cent of the carbon in feedstock gas is converted to methanol. Therefore, no significant CO</w:t>
      </w:r>
      <w:r w:rsidRPr="00D9348B">
        <w:rPr>
          <w:vertAlign w:val="subscript"/>
        </w:rPr>
        <w:t>2</w:t>
      </w:r>
      <w:r w:rsidRPr="00D9348B">
        <w:t xml:space="preserve"> emissions can be clearly related to the process. The IPCC Guidelines do not provide a method for estimation of any CO</w:t>
      </w:r>
      <w:r w:rsidRPr="00D9348B">
        <w:rPr>
          <w:vertAlign w:val="subscript"/>
        </w:rPr>
        <w:t>2</w:t>
      </w:r>
      <w:r w:rsidRPr="00D9348B">
        <w:t xml:space="preserve"> emissions from this process (IPCC, 2006a). Any small amount of process CO</w:t>
      </w:r>
      <w:r w:rsidRPr="00D9348B">
        <w:rPr>
          <w:vertAlign w:val="subscript"/>
        </w:rPr>
        <w:t>2</w:t>
      </w:r>
      <w:r w:rsidRPr="00D9348B">
        <w:t xml:space="preserve"> emissions from the methanol production process is included in the Energy sector (1.A.2), along with the much larger amount of combustion-related emissions from the methanol plants. </w:t>
      </w:r>
    </w:p>
    <w:p w14:paraId="1581103E" w14:textId="77777777" w:rsidR="00D30983" w:rsidRPr="00D9348B" w:rsidRDefault="00D30983" w:rsidP="006B7E05">
      <w:pPr>
        <w:pStyle w:val="BodyText"/>
        <w:spacing w:before="100" w:after="100"/>
      </w:pPr>
      <w:r w:rsidRPr="00D9348B">
        <w:t>Fugitive CH</w:t>
      </w:r>
      <w:r w:rsidRPr="00D9348B">
        <w:rPr>
          <w:vertAlign w:val="subscript"/>
        </w:rPr>
        <w:t>4</w:t>
      </w:r>
      <w:r w:rsidRPr="00D9348B">
        <w:t xml:space="preserve"> from the methanol manufacturing process is estimated using the Tier 1 method. Emissions of NO</w:t>
      </w:r>
      <w:r w:rsidRPr="00D9348B">
        <w:rPr>
          <w:vertAlign w:val="subscript"/>
        </w:rPr>
        <w:t>x</w:t>
      </w:r>
      <w:r w:rsidRPr="00D9348B">
        <w:t xml:space="preserve">, CO and NMVOC are also reported. </w:t>
      </w:r>
    </w:p>
    <w:p w14:paraId="1358E408" w14:textId="77777777" w:rsidR="00D30983" w:rsidRPr="00D9348B" w:rsidRDefault="00D30983" w:rsidP="003C5CB5">
      <w:pPr>
        <w:pStyle w:val="Heading5"/>
        <w:spacing w:before="160"/>
      </w:pPr>
      <w:r w:rsidRPr="00D9348B">
        <w:t>Hydrogen (2.B.10)</w:t>
      </w:r>
    </w:p>
    <w:p w14:paraId="5430C1A6" w14:textId="77777777" w:rsidR="00D30983" w:rsidRPr="00D9348B" w:rsidRDefault="00D30983" w:rsidP="006B7E05">
      <w:pPr>
        <w:pStyle w:val="BodyText"/>
        <w:spacing w:before="100" w:after="100"/>
      </w:pPr>
      <w:r w:rsidRPr="00D9348B">
        <w:t>Emissions of CO</w:t>
      </w:r>
      <w:r w:rsidRPr="00D9348B">
        <w:rPr>
          <w:vertAlign w:val="subscript"/>
        </w:rPr>
        <w:t>2</w:t>
      </w:r>
      <w:r w:rsidRPr="00D9348B">
        <w:t xml:space="preserve"> from hydrogen production are calculated using the Tier 2 methodology, based on feedstock composition (IPCC, 2006a). The required data are supplied directly to MBIE by the two production companies. </w:t>
      </w:r>
    </w:p>
    <w:p w14:paraId="6D81E6BA" w14:textId="77777777" w:rsidR="00D30983" w:rsidRPr="00D9348B" w:rsidRDefault="00D30983" w:rsidP="00865BDB">
      <w:pPr>
        <w:pStyle w:val="Heading4"/>
      </w:pPr>
      <w:r w:rsidRPr="00D9348B">
        <w:t>Choice of emission factors</w:t>
      </w:r>
    </w:p>
    <w:p w14:paraId="2B7D5D37" w14:textId="77777777" w:rsidR="00D30983" w:rsidRPr="00D9348B" w:rsidRDefault="00D30983" w:rsidP="006B7E05">
      <w:pPr>
        <w:pStyle w:val="Heading5"/>
        <w:spacing w:before="120"/>
      </w:pPr>
      <w:r w:rsidRPr="00D9348B">
        <w:t>Carbon dioxide and methane</w:t>
      </w:r>
    </w:p>
    <w:p w14:paraId="036DD356" w14:textId="77777777" w:rsidR="00D30983" w:rsidRPr="00D9348B" w:rsidRDefault="00D30983" w:rsidP="006B7E05">
      <w:pPr>
        <w:pStyle w:val="BodyText"/>
        <w:spacing w:before="80" w:after="100"/>
      </w:pPr>
      <w:r w:rsidRPr="00D9348B">
        <w:t>For ammonia production, the carbon content of each type of natural gas (up to three types taken from different natural gas fields, and mixed pipeline gas) used as feedstock determines country-specific CO</w:t>
      </w:r>
      <w:r w:rsidRPr="00D9348B">
        <w:rPr>
          <w:vertAlign w:val="subscript"/>
        </w:rPr>
        <w:t>2</w:t>
      </w:r>
      <w:r w:rsidRPr="00D9348B">
        <w:t xml:space="preserve"> emission factors. </w:t>
      </w:r>
    </w:p>
    <w:p w14:paraId="2751413E" w14:textId="77777777" w:rsidR="00D30983" w:rsidRPr="00D9348B" w:rsidRDefault="00D30983" w:rsidP="006B7E05">
      <w:pPr>
        <w:pStyle w:val="BodyText"/>
        <w:spacing w:before="100" w:after="100"/>
        <w:rPr>
          <w:spacing w:val="-2"/>
        </w:rPr>
      </w:pPr>
      <w:r w:rsidRPr="00D9348B">
        <w:rPr>
          <w:spacing w:val="-2"/>
        </w:rPr>
        <w:t>In some years, these emission factors are higher than Tier 1 default emission factors, due to the use of untreated high-CO</w:t>
      </w:r>
      <w:r w:rsidRPr="00D9348B">
        <w:rPr>
          <w:spacing w:val="-2"/>
          <w:vertAlign w:val="subscript"/>
        </w:rPr>
        <w:t>2</w:t>
      </w:r>
      <w:r w:rsidRPr="00D9348B">
        <w:rPr>
          <w:spacing w:val="-2"/>
        </w:rPr>
        <w:t xml:space="preserve"> gas from the Kapuni field as part of the feedstock at this plant. This gas has a carbon content factor (CCF</w:t>
      </w:r>
      <w:r w:rsidRPr="00D9348B">
        <w:rPr>
          <w:spacing w:val="-2"/>
          <w:vertAlign w:val="subscript"/>
        </w:rPr>
        <w:t>i</w:t>
      </w:r>
      <w:r w:rsidRPr="00D9348B">
        <w:rPr>
          <w:spacing w:val="-2"/>
        </w:rPr>
        <w:t xml:space="preserve">) of approximately 22.5 kilograms per gigajoule in comparison with the default of 15.3 kilograms per gigajoule. Kapuni gas has, however, not been used in the years 2015 to 2018. </w:t>
      </w:r>
    </w:p>
    <w:p w14:paraId="7340A76F" w14:textId="7383CA07" w:rsidR="00D30983" w:rsidRPr="00D9348B" w:rsidRDefault="00D30983" w:rsidP="00D30983">
      <w:pPr>
        <w:pStyle w:val="BodyText"/>
      </w:pPr>
      <w:r w:rsidRPr="00D9348B">
        <w:lastRenderedPageBreak/>
        <w:t>For hydrogen production, site-specific (for refinery gas) and field-specific (for natural gas) emission factors are used to determine the CO</w:t>
      </w:r>
      <w:r w:rsidRPr="00D9348B">
        <w:rPr>
          <w:vertAlign w:val="subscript"/>
        </w:rPr>
        <w:t>2</w:t>
      </w:r>
      <w:r w:rsidRPr="00D9348B">
        <w:t xml:space="preserve"> emissions from the feedstock gas streams</w:t>
      </w:r>
      <w:r w:rsidR="003C5CB5" w:rsidRPr="00D9348B">
        <w:t> </w:t>
      </w:r>
      <w:r w:rsidRPr="00D9348B">
        <w:t xml:space="preserve">used. </w:t>
      </w:r>
    </w:p>
    <w:p w14:paraId="12644B35" w14:textId="77777777" w:rsidR="00D30983" w:rsidRPr="00D9348B" w:rsidRDefault="00D30983" w:rsidP="00D30983">
      <w:pPr>
        <w:pStyle w:val="BodyText"/>
      </w:pPr>
      <w:r w:rsidRPr="00D9348B">
        <w:t>IPCC default emission factors are used to estimate emissions of CH</w:t>
      </w:r>
      <w:r w:rsidRPr="00D9348B">
        <w:rPr>
          <w:vertAlign w:val="subscript"/>
        </w:rPr>
        <w:t>4</w:t>
      </w:r>
      <w:r w:rsidRPr="00D9348B">
        <w:t xml:space="preserve"> from methanol manufacture and CO</w:t>
      </w:r>
      <w:r w:rsidRPr="00D9348B">
        <w:rPr>
          <w:vertAlign w:val="subscript"/>
        </w:rPr>
        <w:t>2</w:t>
      </w:r>
      <w:r w:rsidRPr="00D9348B">
        <w:t xml:space="preserve"> from calcium carbide use (IPCC, 2006a). No other information on these emission sources is available. </w:t>
      </w:r>
    </w:p>
    <w:p w14:paraId="2CA5E9BA" w14:textId="77777777" w:rsidR="00D30983" w:rsidRPr="00D9348B" w:rsidRDefault="00D30983" w:rsidP="00D30983">
      <w:pPr>
        <w:pStyle w:val="Heading5"/>
        <w:spacing w:before="200"/>
      </w:pPr>
      <w:r w:rsidRPr="00D9348B">
        <w:t>Indirect emissions</w:t>
      </w:r>
    </w:p>
    <w:p w14:paraId="74044442" w14:textId="77777777" w:rsidR="00D30983" w:rsidRPr="00D9348B" w:rsidRDefault="00D30983" w:rsidP="00D30983">
      <w:pPr>
        <w:pStyle w:val="BodyText"/>
        <w:spacing w:before="100" w:after="100"/>
      </w:pPr>
      <w:r w:rsidRPr="00D9348B">
        <w:t>Indirect emissions of NO</w:t>
      </w:r>
      <w:r w:rsidRPr="00D9348B">
        <w:rPr>
          <w:vertAlign w:val="subscript"/>
        </w:rPr>
        <w:t>x</w:t>
      </w:r>
      <w:r w:rsidRPr="00D9348B">
        <w:t xml:space="preserve">, CO and NMVOC from methanol production are reported (2.B.8) with emission factors estimated by Methanex (CRL Energy, </w:t>
      </w:r>
      <w:proofErr w:type="gramStart"/>
      <w:r w:rsidRPr="00D9348B">
        <w:rPr>
          <w:rFonts w:eastAsia="+mn-ea"/>
        </w:rPr>
        <w:t>unpublished(</w:t>
      </w:r>
      <w:proofErr w:type="gramEnd"/>
      <w:r w:rsidRPr="00D9348B">
        <w:rPr>
          <w:rFonts w:eastAsia="+mn-ea"/>
        </w:rPr>
        <w:t>a)</w:t>
      </w:r>
      <w:r w:rsidRPr="00D9348B">
        <w:t>). The emission factors for NO</w:t>
      </w:r>
      <w:r w:rsidRPr="00D9348B">
        <w:rPr>
          <w:vertAlign w:val="subscript"/>
        </w:rPr>
        <w:t>x</w:t>
      </w:r>
      <w:r w:rsidRPr="00D9348B">
        <w:t xml:space="preserve"> and CO were derived from site measurements, and the emission factor for NMVOC is based on American Petroleum Institute methods for estimating vapour emissions from storage tanks. </w:t>
      </w:r>
    </w:p>
    <w:p w14:paraId="62BB80F3" w14:textId="77777777" w:rsidR="00D30983" w:rsidRPr="00D9348B" w:rsidRDefault="00D30983" w:rsidP="00D30983">
      <w:pPr>
        <w:pStyle w:val="BodyText"/>
        <w:spacing w:before="100" w:after="100"/>
      </w:pPr>
      <w:r w:rsidRPr="00D9348B">
        <w:t xml:space="preserve">Some indirect greenhouse gas emissions are also reported for superphosphate fertiliser, formaldehyde and ethanol production (2.B.10). The emission factors used are country-specific (CRL Energy </w:t>
      </w:r>
      <w:proofErr w:type="gramStart"/>
      <w:r w:rsidRPr="00D9348B">
        <w:rPr>
          <w:rFonts w:eastAsia="+mn-ea"/>
        </w:rPr>
        <w:t>unpublished(</w:t>
      </w:r>
      <w:proofErr w:type="gramEnd"/>
      <w:r w:rsidRPr="00D9348B">
        <w:rPr>
          <w:rFonts w:eastAsia="+mn-ea"/>
        </w:rPr>
        <w:t>a)</w:t>
      </w:r>
      <w:r w:rsidRPr="00D9348B">
        <w:t xml:space="preserve">) and are as shown in table 4.3.1. </w:t>
      </w:r>
    </w:p>
    <w:p w14:paraId="4E4ED68C" w14:textId="77777777" w:rsidR="00D30983" w:rsidRPr="00D9348B" w:rsidRDefault="00D30983" w:rsidP="00D30983">
      <w:pPr>
        <w:pStyle w:val="Table"/>
      </w:pPr>
      <w:bookmarkStart w:id="491" w:name="_Toc451176068"/>
      <w:bookmarkStart w:id="492" w:name="_Toc5269458"/>
      <w:bookmarkStart w:id="493" w:name="_Toc36224531"/>
      <w:r w:rsidRPr="00D9348B">
        <w:t>Table 4.3.1</w:t>
      </w:r>
      <w:r w:rsidRPr="00D9348B">
        <w:tab/>
        <w:t>Country-specific emission factors for indirect emissions</w:t>
      </w:r>
      <w:bookmarkEnd w:id="491"/>
      <w:bookmarkEnd w:id="492"/>
      <w:bookmarkEnd w:id="493"/>
    </w:p>
    <w:tbl>
      <w:tblPr>
        <w:tblW w:w="8562" w:type="dxa"/>
        <w:tblInd w:w="108" w:type="dxa"/>
        <w:tblBorders>
          <w:top w:val="single" w:sz="6" w:space="0" w:color="365F91"/>
          <w:bottom w:val="single" w:sz="6" w:space="0" w:color="365F91"/>
          <w:insideH w:val="single" w:sz="6" w:space="0" w:color="365F91"/>
        </w:tblBorders>
        <w:tblLook w:val="04A0" w:firstRow="1" w:lastRow="0" w:firstColumn="1" w:lastColumn="0" w:noHBand="0" w:noVBand="1"/>
      </w:tblPr>
      <w:tblGrid>
        <w:gridCol w:w="2977"/>
        <w:gridCol w:w="2239"/>
        <w:gridCol w:w="3346"/>
      </w:tblGrid>
      <w:tr w:rsidR="00D30983" w:rsidRPr="00D9348B" w14:paraId="00D971F8" w14:textId="77777777" w:rsidTr="00DA4C87">
        <w:tc>
          <w:tcPr>
            <w:tcW w:w="2977" w:type="dxa"/>
            <w:tcBorders>
              <w:top w:val="single" w:sz="4" w:space="0" w:color="365F91"/>
              <w:left w:val="nil"/>
              <w:bottom w:val="single" w:sz="4" w:space="0" w:color="365F91"/>
              <w:right w:val="nil"/>
            </w:tcBorders>
            <w:shd w:val="clear" w:color="auto" w:fill="365F91"/>
            <w:hideMark/>
          </w:tcPr>
          <w:p w14:paraId="4189A4C2" w14:textId="77777777" w:rsidR="00D30983" w:rsidRPr="00D9348B" w:rsidRDefault="00D30983" w:rsidP="00DB330E">
            <w:pPr>
              <w:pStyle w:val="TableTextBold"/>
              <w:spacing w:before="50" w:after="50"/>
              <w:rPr>
                <w:noProof w:val="0"/>
                <w:color w:val="FFFFFF"/>
              </w:rPr>
            </w:pPr>
            <w:r w:rsidRPr="00D9348B">
              <w:rPr>
                <w:noProof w:val="0"/>
                <w:color w:val="FFFFFF"/>
              </w:rPr>
              <w:t>Activity</w:t>
            </w:r>
          </w:p>
        </w:tc>
        <w:tc>
          <w:tcPr>
            <w:tcW w:w="2239" w:type="dxa"/>
            <w:tcBorders>
              <w:top w:val="single" w:sz="4" w:space="0" w:color="365F91"/>
              <w:left w:val="nil"/>
              <w:bottom w:val="single" w:sz="4" w:space="0" w:color="365F91"/>
              <w:right w:val="nil"/>
            </w:tcBorders>
            <w:shd w:val="clear" w:color="auto" w:fill="365F91"/>
            <w:hideMark/>
          </w:tcPr>
          <w:p w14:paraId="58826F88" w14:textId="77777777" w:rsidR="00D30983" w:rsidRPr="00D9348B" w:rsidRDefault="00D30983" w:rsidP="00DB330E">
            <w:pPr>
              <w:pStyle w:val="TableTextBold"/>
              <w:spacing w:before="50" w:after="50"/>
              <w:rPr>
                <w:noProof w:val="0"/>
                <w:color w:val="FFFFFF"/>
              </w:rPr>
            </w:pPr>
            <w:r w:rsidRPr="00D9348B">
              <w:rPr>
                <w:noProof w:val="0"/>
                <w:color w:val="FFFFFF"/>
              </w:rPr>
              <w:t>Emissions of</w:t>
            </w:r>
          </w:p>
        </w:tc>
        <w:tc>
          <w:tcPr>
            <w:tcW w:w="3346" w:type="dxa"/>
            <w:tcBorders>
              <w:top w:val="single" w:sz="4" w:space="0" w:color="365F91"/>
              <w:left w:val="nil"/>
              <w:bottom w:val="single" w:sz="4" w:space="0" w:color="365F91"/>
              <w:right w:val="nil"/>
            </w:tcBorders>
            <w:shd w:val="clear" w:color="auto" w:fill="365F91"/>
            <w:hideMark/>
          </w:tcPr>
          <w:p w14:paraId="1EFD9212" w14:textId="77777777" w:rsidR="00D30983" w:rsidRPr="00D9348B" w:rsidRDefault="00D30983" w:rsidP="00DB330E">
            <w:pPr>
              <w:pStyle w:val="TableTextBold"/>
              <w:spacing w:before="50" w:after="50"/>
              <w:rPr>
                <w:noProof w:val="0"/>
                <w:color w:val="FFFFFF"/>
              </w:rPr>
            </w:pPr>
            <w:r w:rsidRPr="00D9348B">
              <w:rPr>
                <w:noProof w:val="0"/>
                <w:color w:val="FFFFFF"/>
              </w:rPr>
              <w:t>Emission factor</w:t>
            </w:r>
          </w:p>
        </w:tc>
      </w:tr>
      <w:tr w:rsidR="00D30983" w:rsidRPr="00D9348B" w14:paraId="5E7979AB" w14:textId="77777777" w:rsidTr="00DA4C87">
        <w:tc>
          <w:tcPr>
            <w:tcW w:w="2977" w:type="dxa"/>
            <w:tcBorders>
              <w:top w:val="single" w:sz="4" w:space="0" w:color="365F91"/>
              <w:left w:val="nil"/>
              <w:bottom w:val="single" w:sz="6" w:space="0" w:color="365F91"/>
              <w:right w:val="nil"/>
            </w:tcBorders>
            <w:shd w:val="clear" w:color="auto" w:fill="FFFFFF"/>
            <w:hideMark/>
          </w:tcPr>
          <w:p w14:paraId="30F5D7C4" w14:textId="77777777" w:rsidR="00D30983" w:rsidRPr="00D9348B" w:rsidRDefault="00D30983" w:rsidP="00DB330E">
            <w:pPr>
              <w:pStyle w:val="TableText"/>
              <w:spacing w:before="50" w:after="50"/>
            </w:pPr>
            <w:r w:rsidRPr="00D9348B">
              <w:t>Superphosphate fertiliser production</w:t>
            </w:r>
          </w:p>
        </w:tc>
        <w:tc>
          <w:tcPr>
            <w:tcW w:w="2239" w:type="dxa"/>
            <w:tcBorders>
              <w:top w:val="single" w:sz="4" w:space="0" w:color="365F91"/>
              <w:left w:val="nil"/>
              <w:bottom w:val="single" w:sz="6" w:space="0" w:color="365F91"/>
              <w:right w:val="nil"/>
            </w:tcBorders>
            <w:shd w:val="clear" w:color="auto" w:fill="FFFFFF"/>
            <w:hideMark/>
          </w:tcPr>
          <w:p w14:paraId="6263352C" w14:textId="77777777" w:rsidR="00D30983" w:rsidRPr="00D9348B" w:rsidRDefault="00D30983" w:rsidP="00DB330E">
            <w:pPr>
              <w:pStyle w:val="TableText"/>
              <w:spacing w:before="50" w:after="50"/>
            </w:pPr>
            <w:r w:rsidRPr="00D9348B">
              <w:t>SO</w:t>
            </w:r>
            <w:r w:rsidRPr="00D9348B">
              <w:rPr>
                <w:vertAlign w:val="subscript"/>
              </w:rPr>
              <w:t>2</w:t>
            </w:r>
          </w:p>
        </w:tc>
        <w:tc>
          <w:tcPr>
            <w:tcW w:w="3346" w:type="dxa"/>
            <w:tcBorders>
              <w:top w:val="single" w:sz="4" w:space="0" w:color="365F91"/>
              <w:left w:val="nil"/>
              <w:bottom w:val="single" w:sz="6" w:space="0" w:color="365F91"/>
              <w:right w:val="nil"/>
            </w:tcBorders>
            <w:shd w:val="clear" w:color="auto" w:fill="FFFFFF"/>
            <w:hideMark/>
          </w:tcPr>
          <w:p w14:paraId="12FBBC74" w14:textId="77777777" w:rsidR="00D30983" w:rsidRPr="00D9348B" w:rsidRDefault="00D30983" w:rsidP="00DB330E">
            <w:pPr>
              <w:pStyle w:val="TableText"/>
              <w:spacing w:before="50" w:after="50"/>
            </w:pPr>
            <w:r w:rsidRPr="00D9348B">
              <w:t>1.5 kg per tonne of H2SO4</w:t>
            </w:r>
          </w:p>
        </w:tc>
      </w:tr>
      <w:tr w:rsidR="00D30983" w:rsidRPr="00D9348B" w14:paraId="3A275FE1" w14:textId="77777777" w:rsidTr="00DA4C87">
        <w:tc>
          <w:tcPr>
            <w:tcW w:w="2977" w:type="dxa"/>
            <w:tcBorders>
              <w:top w:val="single" w:sz="6" w:space="0" w:color="365F91"/>
              <w:left w:val="nil"/>
              <w:bottom w:val="single" w:sz="6" w:space="0" w:color="365F91"/>
              <w:right w:val="nil"/>
            </w:tcBorders>
            <w:shd w:val="clear" w:color="auto" w:fill="FFFFFF"/>
            <w:hideMark/>
          </w:tcPr>
          <w:p w14:paraId="753D728E" w14:textId="77777777" w:rsidR="00D30983" w:rsidRPr="00D9348B" w:rsidRDefault="00D30983" w:rsidP="00DB330E">
            <w:pPr>
              <w:pStyle w:val="TableText"/>
              <w:spacing w:before="50" w:after="50"/>
            </w:pPr>
            <w:r w:rsidRPr="00D9348B">
              <w:t xml:space="preserve">Formaldehyde production </w:t>
            </w:r>
          </w:p>
        </w:tc>
        <w:tc>
          <w:tcPr>
            <w:tcW w:w="2239" w:type="dxa"/>
            <w:tcBorders>
              <w:top w:val="single" w:sz="6" w:space="0" w:color="365F91"/>
              <w:left w:val="nil"/>
              <w:bottom w:val="single" w:sz="6" w:space="0" w:color="365F91"/>
              <w:right w:val="nil"/>
            </w:tcBorders>
            <w:shd w:val="clear" w:color="auto" w:fill="FFFFFF"/>
            <w:hideMark/>
          </w:tcPr>
          <w:p w14:paraId="51609ED5" w14:textId="77777777" w:rsidR="00D30983" w:rsidRPr="00D9348B" w:rsidRDefault="00D30983" w:rsidP="00DB330E">
            <w:pPr>
              <w:pStyle w:val="TableText"/>
              <w:spacing w:before="50" w:after="50"/>
            </w:pPr>
            <w:r w:rsidRPr="00D9348B">
              <w:t>NMVOCs</w:t>
            </w:r>
          </w:p>
        </w:tc>
        <w:tc>
          <w:tcPr>
            <w:tcW w:w="3346" w:type="dxa"/>
            <w:tcBorders>
              <w:top w:val="single" w:sz="6" w:space="0" w:color="365F91"/>
              <w:left w:val="nil"/>
              <w:bottom w:val="single" w:sz="6" w:space="0" w:color="365F91"/>
              <w:right w:val="nil"/>
            </w:tcBorders>
            <w:shd w:val="clear" w:color="auto" w:fill="FFFFFF"/>
            <w:hideMark/>
          </w:tcPr>
          <w:p w14:paraId="02BA24EE" w14:textId="77777777" w:rsidR="00D30983" w:rsidRPr="00D9348B" w:rsidRDefault="00D30983" w:rsidP="00DB330E">
            <w:pPr>
              <w:pStyle w:val="TableText"/>
              <w:spacing w:before="50" w:after="50"/>
            </w:pPr>
            <w:r w:rsidRPr="00D9348B">
              <w:t>1.5 kg per tonne of formaldehyde</w:t>
            </w:r>
          </w:p>
        </w:tc>
      </w:tr>
      <w:tr w:rsidR="00D30983" w:rsidRPr="00D9348B" w14:paraId="3066204B" w14:textId="77777777" w:rsidTr="00DA4C87">
        <w:tc>
          <w:tcPr>
            <w:tcW w:w="2977" w:type="dxa"/>
            <w:tcBorders>
              <w:top w:val="single" w:sz="6" w:space="0" w:color="365F91"/>
              <w:left w:val="nil"/>
              <w:bottom w:val="single" w:sz="6" w:space="0" w:color="365F91"/>
              <w:right w:val="nil"/>
            </w:tcBorders>
            <w:shd w:val="clear" w:color="auto" w:fill="FFFFFF"/>
            <w:hideMark/>
          </w:tcPr>
          <w:p w14:paraId="13961508" w14:textId="77777777" w:rsidR="00D30983" w:rsidRPr="00D9348B" w:rsidRDefault="00D30983" w:rsidP="00DB330E">
            <w:pPr>
              <w:pStyle w:val="TableText"/>
              <w:spacing w:before="50" w:after="50"/>
            </w:pPr>
            <w:r w:rsidRPr="00D9348B">
              <w:t>Ethanol production</w:t>
            </w:r>
          </w:p>
        </w:tc>
        <w:tc>
          <w:tcPr>
            <w:tcW w:w="2239" w:type="dxa"/>
            <w:tcBorders>
              <w:top w:val="single" w:sz="6" w:space="0" w:color="365F91"/>
              <w:left w:val="nil"/>
              <w:bottom w:val="single" w:sz="6" w:space="0" w:color="365F91"/>
              <w:right w:val="nil"/>
            </w:tcBorders>
            <w:shd w:val="clear" w:color="auto" w:fill="FFFFFF"/>
            <w:hideMark/>
          </w:tcPr>
          <w:p w14:paraId="7FB199A9" w14:textId="77777777" w:rsidR="00D30983" w:rsidRPr="00D9348B" w:rsidRDefault="00D30983" w:rsidP="00DB330E">
            <w:pPr>
              <w:pStyle w:val="TableText"/>
              <w:spacing w:before="50" w:after="50"/>
            </w:pPr>
            <w:r w:rsidRPr="00D9348B">
              <w:t>NMVOCs</w:t>
            </w:r>
          </w:p>
        </w:tc>
        <w:tc>
          <w:tcPr>
            <w:tcW w:w="3346" w:type="dxa"/>
            <w:tcBorders>
              <w:top w:val="single" w:sz="6" w:space="0" w:color="365F91"/>
              <w:left w:val="nil"/>
              <w:bottom w:val="single" w:sz="6" w:space="0" w:color="365F91"/>
              <w:right w:val="nil"/>
            </w:tcBorders>
            <w:shd w:val="clear" w:color="auto" w:fill="FFFFFF"/>
            <w:hideMark/>
          </w:tcPr>
          <w:p w14:paraId="5B60ECB7" w14:textId="77777777" w:rsidR="00D30983" w:rsidRPr="00D9348B" w:rsidRDefault="00D30983" w:rsidP="00DB330E">
            <w:pPr>
              <w:pStyle w:val="TableText"/>
              <w:spacing w:before="50" w:after="50"/>
            </w:pPr>
            <w:r w:rsidRPr="00D9348B">
              <w:t>6 g NMVOC per litre of ethanol</w:t>
            </w:r>
          </w:p>
        </w:tc>
      </w:tr>
    </w:tbl>
    <w:p w14:paraId="58F1A1BB" w14:textId="77777777" w:rsidR="00D30983" w:rsidRPr="00D9348B" w:rsidRDefault="00D30983" w:rsidP="00D30983">
      <w:pPr>
        <w:pStyle w:val="Heading3"/>
      </w:pPr>
      <w:r w:rsidRPr="00D9348B">
        <w:t xml:space="preserve">4.3.3 </w:t>
      </w:r>
      <w:r w:rsidRPr="00D9348B">
        <w:tab/>
        <w:t>Uncertainties and time-series consistency</w:t>
      </w:r>
    </w:p>
    <w:p w14:paraId="48D65D86" w14:textId="77777777" w:rsidR="00D30983" w:rsidRPr="00D9348B" w:rsidRDefault="00D30983" w:rsidP="00865BDB">
      <w:pPr>
        <w:pStyle w:val="Heading4"/>
        <w:rPr>
          <w:bCs/>
          <w:iCs/>
        </w:rPr>
      </w:pPr>
      <w:r w:rsidRPr="00D9348B">
        <w:t>Uncertainties</w:t>
      </w:r>
    </w:p>
    <w:p w14:paraId="62CEA84E" w14:textId="77777777" w:rsidR="00D30983" w:rsidRPr="00D9348B" w:rsidRDefault="00D30983" w:rsidP="00D30983">
      <w:pPr>
        <w:pStyle w:val="BodyText"/>
      </w:pPr>
      <w:r w:rsidRPr="00D9348B">
        <w:t>The IPCC default uncertainties have been used for CO</w:t>
      </w:r>
      <w:r w:rsidRPr="00D9348B">
        <w:rPr>
          <w:vertAlign w:val="subscript"/>
        </w:rPr>
        <w:t>2</w:t>
      </w:r>
      <w:r w:rsidRPr="00D9348B">
        <w:t xml:space="preserve"> and most non-CO</w:t>
      </w:r>
      <w:r w:rsidRPr="00D9348B">
        <w:rPr>
          <w:vertAlign w:val="subscript"/>
        </w:rPr>
        <w:t>2</w:t>
      </w:r>
      <w:r w:rsidRPr="00D9348B">
        <w:t xml:space="preserve"> emissions from this source category, as shown in table 4.3.2. </w:t>
      </w:r>
    </w:p>
    <w:p w14:paraId="2D1BB53E" w14:textId="77777777" w:rsidR="00D30983" w:rsidRPr="00D9348B" w:rsidRDefault="00D30983" w:rsidP="00D30983">
      <w:pPr>
        <w:pStyle w:val="Table"/>
      </w:pPr>
      <w:bookmarkStart w:id="494" w:name="_Toc451176069"/>
      <w:bookmarkStart w:id="495" w:name="_Toc5269459"/>
      <w:bookmarkStart w:id="496" w:name="_Toc36224532"/>
      <w:r w:rsidRPr="00D9348B">
        <w:t>Table 4.3.2</w:t>
      </w:r>
      <w:r w:rsidRPr="00D9348B">
        <w:tab/>
        <w:t xml:space="preserve">Uncertainty in emissions from the </w:t>
      </w:r>
      <w:r w:rsidRPr="00D9348B">
        <w:rPr>
          <w:i/>
        </w:rPr>
        <w:t>Chemical industry</w:t>
      </w:r>
      <w:r w:rsidRPr="00D9348B">
        <w:t xml:space="preserve"> source category</w:t>
      </w:r>
      <w:bookmarkEnd w:id="494"/>
      <w:bookmarkEnd w:id="495"/>
      <w:bookmarkEnd w:id="496"/>
    </w:p>
    <w:tbl>
      <w:tblPr>
        <w:tblW w:w="8562" w:type="dxa"/>
        <w:tblInd w:w="108" w:type="dxa"/>
        <w:tblBorders>
          <w:top w:val="single" w:sz="6" w:space="0" w:color="365F91"/>
          <w:bottom w:val="single" w:sz="6" w:space="0" w:color="365F91"/>
          <w:insideH w:val="single" w:sz="6" w:space="0" w:color="365F91"/>
        </w:tblBorders>
        <w:tblLook w:val="04A0" w:firstRow="1" w:lastRow="0" w:firstColumn="1" w:lastColumn="0" w:noHBand="0" w:noVBand="1"/>
      </w:tblPr>
      <w:tblGrid>
        <w:gridCol w:w="2491"/>
        <w:gridCol w:w="2949"/>
        <w:gridCol w:w="3122"/>
      </w:tblGrid>
      <w:tr w:rsidR="00D30983" w:rsidRPr="00D9348B" w14:paraId="3DD07920" w14:textId="77777777" w:rsidTr="00DA4C87">
        <w:tc>
          <w:tcPr>
            <w:tcW w:w="2036" w:type="dxa"/>
            <w:tcBorders>
              <w:top w:val="single" w:sz="4" w:space="0" w:color="365F91"/>
              <w:left w:val="nil"/>
              <w:bottom w:val="single" w:sz="4" w:space="0" w:color="365F91"/>
              <w:right w:val="nil"/>
            </w:tcBorders>
            <w:shd w:val="clear" w:color="auto" w:fill="365F91"/>
            <w:hideMark/>
          </w:tcPr>
          <w:p w14:paraId="1B04DD7F" w14:textId="77777777" w:rsidR="00D30983" w:rsidRPr="00D9348B" w:rsidRDefault="00D30983" w:rsidP="00DB330E">
            <w:pPr>
              <w:pStyle w:val="TableTextBold"/>
              <w:keepNext/>
              <w:spacing w:before="50" w:after="50"/>
              <w:rPr>
                <w:noProof w:val="0"/>
                <w:color w:val="FFFFFF"/>
              </w:rPr>
            </w:pPr>
            <w:r w:rsidRPr="00D9348B">
              <w:rPr>
                <w:noProof w:val="0"/>
                <w:color w:val="FFFFFF"/>
              </w:rPr>
              <w:t>Product</w:t>
            </w:r>
          </w:p>
        </w:tc>
        <w:tc>
          <w:tcPr>
            <w:tcW w:w="2410" w:type="dxa"/>
            <w:tcBorders>
              <w:top w:val="single" w:sz="4" w:space="0" w:color="365F91"/>
              <w:left w:val="nil"/>
              <w:bottom w:val="single" w:sz="4" w:space="0" w:color="365F91"/>
              <w:right w:val="nil"/>
            </w:tcBorders>
            <w:shd w:val="clear" w:color="auto" w:fill="365F91"/>
            <w:hideMark/>
          </w:tcPr>
          <w:p w14:paraId="24B2200A" w14:textId="77777777" w:rsidR="00D30983" w:rsidRPr="00D9348B" w:rsidRDefault="00D30983" w:rsidP="00DB330E">
            <w:pPr>
              <w:pStyle w:val="TableTextBold"/>
              <w:keepNext/>
              <w:spacing w:before="50" w:after="50"/>
              <w:rPr>
                <w:noProof w:val="0"/>
                <w:color w:val="FFFFFF"/>
              </w:rPr>
            </w:pPr>
            <w:r w:rsidRPr="00D9348B">
              <w:rPr>
                <w:noProof w:val="0"/>
                <w:color w:val="FFFFFF"/>
              </w:rPr>
              <w:t>Uncertainty in activity data (%)</w:t>
            </w:r>
          </w:p>
        </w:tc>
        <w:tc>
          <w:tcPr>
            <w:tcW w:w="2551" w:type="dxa"/>
            <w:tcBorders>
              <w:top w:val="single" w:sz="4" w:space="0" w:color="365F91"/>
              <w:left w:val="nil"/>
              <w:bottom w:val="single" w:sz="4" w:space="0" w:color="365F91"/>
              <w:right w:val="nil"/>
            </w:tcBorders>
            <w:shd w:val="clear" w:color="auto" w:fill="365F91"/>
            <w:hideMark/>
          </w:tcPr>
          <w:p w14:paraId="6083DD5F" w14:textId="77777777" w:rsidR="00D30983" w:rsidRPr="00D9348B" w:rsidRDefault="00D30983" w:rsidP="00DB330E">
            <w:pPr>
              <w:pStyle w:val="TableTextBold"/>
              <w:keepNext/>
              <w:spacing w:before="50" w:after="50"/>
              <w:rPr>
                <w:noProof w:val="0"/>
                <w:color w:val="FFFFFF"/>
              </w:rPr>
            </w:pPr>
            <w:r w:rsidRPr="00D9348B">
              <w:rPr>
                <w:noProof w:val="0"/>
                <w:color w:val="FFFFFF"/>
              </w:rPr>
              <w:t>Uncertainty in emission factors (%)</w:t>
            </w:r>
          </w:p>
        </w:tc>
      </w:tr>
      <w:tr w:rsidR="00D30983" w:rsidRPr="00D9348B" w14:paraId="5E30DB1C" w14:textId="77777777" w:rsidTr="00DA4C87">
        <w:tc>
          <w:tcPr>
            <w:tcW w:w="2036" w:type="dxa"/>
            <w:tcBorders>
              <w:top w:val="single" w:sz="4" w:space="0" w:color="365F91"/>
              <w:left w:val="nil"/>
              <w:bottom w:val="single" w:sz="6" w:space="0" w:color="365F91"/>
              <w:right w:val="nil"/>
            </w:tcBorders>
            <w:shd w:val="clear" w:color="auto" w:fill="FFFFFF"/>
            <w:hideMark/>
          </w:tcPr>
          <w:p w14:paraId="01C3A4E2" w14:textId="77777777" w:rsidR="00D30983" w:rsidRPr="00D9348B" w:rsidRDefault="00D30983" w:rsidP="00DB330E">
            <w:pPr>
              <w:pStyle w:val="TableText"/>
              <w:keepNext/>
              <w:spacing w:before="50" w:after="50"/>
            </w:pPr>
            <w:r w:rsidRPr="00D9348B">
              <w:t>Ammonia</w:t>
            </w:r>
          </w:p>
        </w:tc>
        <w:tc>
          <w:tcPr>
            <w:tcW w:w="2410" w:type="dxa"/>
            <w:tcBorders>
              <w:top w:val="single" w:sz="4" w:space="0" w:color="365F91"/>
              <w:left w:val="nil"/>
              <w:bottom w:val="single" w:sz="6" w:space="0" w:color="365F91"/>
              <w:right w:val="nil"/>
            </w:tcBorders>
            <w:shd w:val="clear" w:color="auto" w:fill="FFFFFF"/>
            <w:hideMark/>
          </w:tcPr>
          <w:p w14:paraId="499926ED" w14:textId="77777777" w:rsidR="00D30983" w:rsidRPr="00D9348B" w:rsidRDefault="00D30983" w:rsidP="00DB330E">
            <w:pPr>
              <w:pStyle w:val="TableText"/>
              <w:keepNext/>
              <w:spacing w:before="50" w:after="50"/>
            </w:pPr>
            <w:r w:rsidRPr="00D9348B">
              <w:t>±2</w:t>
            </w:r>
          </w:p>
        </w:tc>
        <w:tc>
          <w:tcPr>
            <w:tcW w:w="2551" w:type="dxa"/>
            <w:tcBorders>
              <w:top w:val="single" w:sz="4" w:space="0" w:color="365F91"/>
              <w:left w:val="nil"/>
              <w:bottom w:val="single" w:sz="6" w:space="0" w:color="365F91"/>
              <w:right w:val="nil"/>
            </w:tcBorders>
            <w:shd w:val="clear" w:color="auto" w:fill="FFFFFF"/>
            <w:hideMark/>
          </w:tcPr>
          <w:p w14:paraId="13772E1D" w14:textId="77777777" w:rsidR="00D30983" w:rsidRPr="00D9348B" w:rsidRDefault="00D30983" w:rsidP="00DB330E">
            <w:pPr>
              <w:pStyle w:val="TableText"/>
              <w:keepNext/>
              <w:spacing w:before="50" w:after="50"/>
            </w:pPr>
            <w:r w:rsidRPr="00D9348B">
              <w:t>±6 (CO</w:t>
            </w:r>
            <w:r w:rsidRPr="00D9348B">
              <w:rPr>
                <w:vertAlign w:val="subscript"/>
              </w:rPr>
              <w:t>2</w:t>
            </w:r>
            <w:r w:rsidRPr="00D9348B">
              <w:t>)</w:t>
            </w:r>
          </w:p>
        </w:tc>
      </w:tr>
      <w:tr w:rsidR="00D30983" w:rsidRPr="00D9348B" w14:paraId="5A8BBCC2" w14:textId="77777777" w:rsidTr="00DA4C87">
        <w:tc>
          <w:tcPr>
            <w:tcW w:w="2036" w:type="dxa"/>
            <w:tcBorders>
              <w:top w:val="single" w:sz="6" w:space="0" w:color="365F91"/>
              <w:left w:val="nil"/>
              <w:bottom w:val="single" w:sz="6" w:space="0" w:color="365F91"/>
              <w:right w:val="nil"/>
            </w:tcBorders>
            <w:shd w:val="clear" w:color="auto" w:fill="FFFFFF"/>
            <w:hideMark/>
          </w:tcPr>
          <w:p w14:paraId="1352B371" w14:textId="77777777" w:rsidR="00D30983" w:rsidRPr="00D9348B" w:rsidRDefault="00D30983" w:rsidP="00DB330E">
            <w:pPr>
              <w:pStyle w:val="TableText"/>
              <w:keepNext/>
              <w:spacing w:before="50" w:after="50"/>
            </w:pPr>
            <w:r w:rsidRPr="00D9348B">
              <w:t>Calcium carbide</w:t>
            </w:r>
          </w:p>
        </w:tc>
        <w:tc>
          <w:tcPr>
            <w:tcW w:w="2410" w:type="dxa"/>
            <w:tcBorders>
              <w:top w:val="single" w:sz="6" w:space="0" w:color="365F91"/>
              <w:left w:val="nil"/>
              <w:bottom w:val="single" w:sz="6" w:space="0" w:color="365F91"/>
              <w:right w:val="nil"/>
            </w:tcBorders>
            <w:shd w:val="clear" w:color="auto" w:fill="FFFFFF"/>
            <w:hideMark/>
          </w:tcPr>
          <w:p w14:paraId="66BAA999" w14:textId="77777777" w:rsidR="00D30983" w:rsidRPr="00D9348B" w:rsidRDefault="00D30983" w:rsidP="00DB330E">
            <w:pPr>
              <w:pStyle w:val="TableText"/>
              <w:keepNext/>
              <w:spacing w:before="50" w:after="50"/>
            </w:pPr>
            <w:r w:rsidRPr="00D9348B">
              <w:t>±50</w:t>
            </w:r>
          </w:p>
        </w:tc>
        <w:tc>
          <w:tcPr>
            <w:tcW w:w="2551" w:type="dxa"/>
            <w:tcBorders>
              <w:top w:val="single" w:sz="6" w:space="0" w:color="365F91"/>
              <w:left w:val="nil"/>
              <w:bottom w:val="single" w:sz="6" w:space="0" w:color="365F91"/>
              <w:right w:val="nil"/>
            </w:tcBorders>
            <w:shd w:val="clear" w:color="auto" w:fill="FFFFFF"/>
            <w:hideMark/>
          </w:tcPr>
          <w:p w14:paraId="22095196" w14:textId="77777777" w:rsidR="00D30983" w:rsidRPr="00D9348B" w:rsidRDefault="00D30983" w:rsidP="00DB330E">
            <w:pPr>
              <w:pStyle w:val="TableText"/>
              <w:keepNext/>
              <w:spacing w:before="50" w:after="50"/>
            </w:pPr>
            <w:r w:rsidRPr="00D9348B">
              <w:t>±50</w:t>
            </w:r>
          </w:p>
        </w:tc>
      </w:tr>
      <w:tr w:rsidR="00D30983" w:rsidRPr="00D9348B" w14:paraId="00030696" w14:textId="77777777" w:rsidTr="00DA4C87">
        <w:tc>
          <w:tcPr>
            <w:tcW w:w="2036" w:type="dxa"/>
            <w:tcBorders>
              <w:top w:val="single" w:sz="6" w:space="0" w:color="365F91"/>
              <w:left w:val="nil"/>
              <w:bottom w:val="single" w:sz="6" w:space="0" w:color="365F91"/>
              <w:right w:val="nil"/>
            </w:tcBorders>
            <w:shd w:val="clear" w:color="auto" w:fill="FFFFFF"/>
            <w:hideMark/>
          </w:tcPr>
          <w:p w14:paraId="3DD55371" w14:textId="77777777" w:rsidR="00D30983" w:rsidRPr="00D9348B" w:rsidRDefault="00D30983" w:rsidP="00DB330E">
            <w:pPr>
              <w:pStyle w:val="TableText"/>
              <w:keepNext/>
              <w:spacing w:before="50" w:after="50"/>
            </w:pPr>
            <w:r w:rsidRPr="00D9348B">
              <w:t>Formaldehyde</w:t>
            </w:r>
          </w:p>
        </w:tc>
        <w:tc>
          <w:tcPr>
            <w:tcW w:w="2410" w:type="dxa"/>
            <w:tcBorders>
              <w:top w:val="single" w:sz="6" w:space="0" w:color="365F91"/>
              <w:left w:val="nil"/>
              <w:bottom w:val="single" w:sz="6" w:space="0" w:color="365F91"/>
              <w:right w:val="nil"/>
            </w:tcBorders>
            <w:shd w:val="clear" w:color="auto" w:fill="FFFFFF"/>
            <w:hideMark/>
          </w:tcPr>
          <w:p w14:paraId="3BEEDE48" w14:textId="77777777" w:rsidR="00D30983" w:rsidRPr="00D9348B" w:rsidRDefault="00D30983" w:rsidP="00DB330E">
            <w:pPr>
              <w:pStyle w:val="TableText"/>
              <w:keepNext/>
              <w:spacing w:before="50" w:after="50"/>
            </w:pPr>
            <w:r w:rsidRPr="00D9348B">
              <w:t>±2</w:t>
            </w:r>
          </w:p>
        </w:tc>
        <w:tc>
          <w:tcPr>
            <w:tcW w:w="2551" w:type="dxa"/>
            <w:tcBorders>
              <w:top w:val="single" w:sz="6" w:space="0" w:color="365F91"/>
              <w:left w:val="nil"/>
              <w:bottom w:val="single" w:sz="6" w:space="0" w:color="365F91"/>
              <w:right w:val="nil"/>
            </w:tcBorders>
            <w:shd w:val="clear" w:color="auto" w:fill="FFFFFF"/>
            <w:hideMark/>
          </w:tcPr>
          <w:p w14:paraId="55D24DE4" w14:textId="77777777" w:rsidR="00D30983" w:rsidRPr="00D9348B" w:rsidRDefault="00D30983" w:rsidP="00DB330E">
            <w:pPr>
              <w:pStyle w:val="TableText"/>
              <w:keepNext/>
              <w:spacing w:before="50" w:after="50"/>
            </w:pPr>
            <w:r w:rsidRPr="00D9348B">
              <w:t>±50 (NMVOCs)</w:t>
            </w:r>
          </w:p>
        </w:tc>
      </w:tr>
      <w:tr w:rsidR="00D30983" w:rsidRPr="00D9348B" w14:paraId="008BA952" w14:textId="77777777" w:rsidTr="00DA4C87">
        <w:tc>
          <w:tcPr>
            <w:tcW w:w="2036" w:type="dxa"/>
            <w:tcBorders>
              <w:top w:val="single" w:sz="6" w:space="0" w:color="365F91"/>
              <w:left w:val="nil"/>
              <w:bottom w:val="single" w:sz="6" w:space="0" w:color="365F91"/>
              <w:right w:val="nil"/>
            </w:tcBorders>
            <w:shd w:val="clear" w:color="auto" w:fill="FFFFFF"/>
            <w:hideMark/>
          </w:tcPr>
          <w:p w14:paraId="0F206B68" w14:textId="77777777" w:rsidR="00D30983" w:rsidRPr="00D9348B" w:rsidRDefault="00D30983" w:rsidP="00DB330E">
            <w:pPr>
              <w:pStyle w:val="TableText"/>
              <w:keepNext/>
              <w:spacing w:before="50" w:after="50"/>
            </w:pPr>
            <w:r w:rsidRPr="00D9348B">
              <w:t>Hydrogen</w:t>
            </w:r>
          </w:p>
        </w:tc>
        <w:tc>
          <w:tcPr>
            <w:tcW w:w="2410" w:type="dxa"/>
            <w:tcBorders>
              <w:top w:val="single" w:sz="6" w:space="0" w:color="365F91"/>
              <w:left w:val="nil"/>
              <w:bottom w:val="single" w:sz="6" w:space="0" w:color="365F91"/>
              <w:right w:val="nil"/>
            </w:tcBorders>
            <w:shd w:val="clear" w:color="auto" w:fill="FFFFFF"/>
            <w:hideMark/>
          </w:tcPr>
          <w:p w14:paraId="69C53020" w14:textId="77777777" w:rsidR="00D30983" w:rsidRPr="00D9348B" w:rsidRDefault="00D30983" w:rsidP="00DB330E">
            <w:pPr>
              <w:pStyle w:val="TableText"/>
              <w:keepNext/>
              <w:spacing w:before="50" w:after="50"/>
            </w:pPr>
            <w:r w:rsidRPr="00D9348B">
              <w:t>±2</w:t>
            </w:r>
          </w:p>
        </w:tc>
        <w:tc>
          <w:tcPr>
            <w:tcW w:w="2551" w:type="dxa"/>
            <w:tcBorders>
              <w:top w:val="single" w:sz="6" w:space="0" w:color="365F91"/>
              <w:left w:val="nil"/>
              <w:bottom w:val="single" w:sz="6" w:space="0" w:color="365F91"/>
              <w:right w:val="nil"/>
            </w:tcBorders>
            <w:shd w:val="clear" w:color="auto" w:fill="FFFFFF"/>
            <w:hideMark/>
          </w:tcPr>
          <w:p w14:paraId="4CD41DE5" w14:textId="77777777" w:rsidR="00D30983" w:rsidRPr="00D9348B" w:rsidRDefault="00D30983" w:rsidP="00DB330E">
            <w:pPr>
              <w:pStyle w:val="TableText"/>
              <w:keepNext/>
              <w:spacing w:before="50" w:after="50"/>
            </w:pPr>
            <w:r w:rsidRPr="00D9348B">
              <w:t>±6</w:t>
            </w:r>
          </w:p>
        </w:tc>
      </w:tr>
      <w:tr w:rsidR="00D30983" w:rsidRPr="00D9348B" w14:paraId="5AB26FA6" w14:textId="77777777" w:rsidTr="00DA4C87">
        <w:tc>
          <w:tcPr>
            <w:tcW w:w="2036" w:type="dxa"/>
            <w:tcBorders>
              <w:top w:val="single" w:sz="6" w:space="0" w:color="365F91"/>
              <w:left w:val="nil"/>
              <w:bottom w:val="single" w:sz="6" w:space="0" w:color="365F91"/>
              <w:right w:val="nil"/>
            </w:tcBorders>
            <w:shd w:val="clear" w:color="auto" w:fill="FFFFFF"/>
            <w:hideMark/>
          </w:tcPr>
          <w:p w14:paraId="08EB5B13" w14:textId="77777777" w:rsidR="00D30983" w:rsidRPr="00D9348B" w:rsidRDefault="00D30983" w:rsidP="00DB330E">
            <w:pPr>
              <w:pStyle w:val="TableText"/>
              <w:keepNext/>
              <w:spacing w:before="50" w:after="50"/>
            </w:pPr>
            <w:r w:rsidRPr="00D9348B">
              <w:t>Methanol</w:t>
            </w:r>
          </w:p>
        </w:tc>
        <w:tc>
          <w:tcPr>
            <w:tcW w:w="2410" w:type="dxa"/>
            <w:tcBorders>
              <w:top w:val="single" w:sz="6" w:space="0" w:color="365F91"/>
              <w:left w:val="nil"/>
              <w:bottom w:val="single" w:sz="6" w:space="0" w:color="365F91"/>
              <w:right w:val="nil"/>
            </w:tcBorders>
            <w:shd w:val="clear" w:color="auto" w:fill="FFFFFF"/>
            <w:hideMark/>
          </w:tcPr>
          <w:p w14:paraId="4811A8CB" w14:textId="77777777" w:rsidR="00D30983" w:rsidRPr="00D9348B" w:rsidRDefault="00D30983" w:rsidP="00DB330E">
            <w:pPr>
              <w:pStyle w:val="TableText"/>
              <w:spacing w:before="50" w:after="50"/>
            </w:pPr>
            <w:r w:rsidRPr="00D9348B">
              <w:t>±2</w:t>
            </w:r>
          </w:p>
        </w:tc>
        <w:tc>
          <w:tcPr>
            <w:tcW w:w="2551" w:type="dxa"/>
            <w:tcBorders>
              <w:top w:val="single" w:sz="6" w:space="0" w:color="365F91"/>
              <w:left w:val="nil"/>
              <w:bottom w:val="single" w:sz="6" w:space="0" w:color="365F91"/>
              <w:right w:val="nil"/>
            </w:tcBorders>
            <w:shd w:val="clear" w:color="auto" w:fill="FFFFFF"/>
            <w:hideMark/>
          </w:tcPr>
          <w:p w14:paraId="68853E43" w14:textId="77777777" w:rsidR="00D30983" w:rsidRPr="00D9348B" w:rsidRDefault="00D30983" w:rsidP="00DB330E">
            <w:pPr>
              <w:pStyle w:val="TableText"/>
              <w:spacing w:before="50" w:after="50"/>
            </w:pPr>
            <w:r w:rsidRPr="00D9348B">
              <w:t>±50 (NOx and CO)</w:t>
            </w:r>
            <w:r w:rsidRPr="00D9348B">
              <w:br/>
              <w:t>±30 (NMVOCs)</w:t>
            </w:r>
            <w:r w:rsidRPr="00D9348B">
              <w:br/>
              <w:t>±80 (CH</w:t>
            </w:r>
            <w:r w:rsidRPr="00D9348B">
              <w:rPr>
                <w:vertAlign w:val="subscript"/>
              </w:rPr>
              <w:t>4</w:t>
            </w:r>
            <w:r w:rsidRPr="00D9348B">
              <w:t>)</w:t>
            </w:r>
          </w:p>
        </w:tc>
      </w:tr>
      <w:tr w:rsidR="00D30983" w:rsidRPr="00D9348B" w14:paraId="0552EA31" w14:textId="77777777" w:rsidTr="00DA4C87">
        <w:tc>
          <w:tcPr>
            <w:tcW w:w="2036" w:type="dxa"/>
            <w:tcBorders>
              <w:top w:val="single" w:sz="6" w:space="0" w:color="365F91"/>
              <w:left w:val="nil"/>
              <w:bottom w:val="single" w:sz="6" w:space="0" w:color="365F91"/>
              <w:right w:val="nil"/>
            </w:tcBorders>
            <w:shd w:val="clear" w:color="auto" w:fill="FFFFFF"/>
            <w:hideMark/>
          </w:tcPr>
          <w:p w14:paraId="0A720EF2" w14:textId="77777777" w:rsidR="00D30983" w:rsidRPr="00D9348B" w:rsidRDefault="00D30983" w:rsidP="00DB330E">
            <w:pPr>
              <w:pStyle w:val="TableText"/>
              <w:spacing w:before="50" w:after="50"/>
            </w:pPr>
            <w:r w:rsidRPr="00D9348B">
              <w:t>Superphosphate</w:t>
            </w:r>
          </w:p>
        </w:tc>
        <w:tc>
          <w:tcPr>
            <w:tcW w:w="2410" w:type="dxa"/>
            <w:tcBorders>
              <w:top w:val="single" w:sz="6" w:space="0" w:color="365F91"/>
              <w:left w:val="nil"/>
              <w:bottom w:val="single" w:sz="6" w:space="0" w:color="365F91"/>
              <w:right w:val="nil"/>
            </w:tcBorders>
            <w:shd w:val="clear" w:color="auto" w:fill="FFFFFF"/>
            <w:hideMark/>
          </w:tcPr>
          <w:p w14:paraId="54B41302" w14:textId="77777777" w:rsidR="00D30983" w:rsidRPr="00D9348B" w:rsidRDefault="00D30983" w:rsidP="00DB330E">
            <w:pPr>
              <w:pStyle w:val="TableText"/>
              <w:spacing w:before="50" w:after="50"/>
            </w:pPr>
            <w:r w:rsidRPr="00D9348B">
              <w:t>±10</w:t>
            </w:r>
          </w:p>
        </w:tc>
        <w:tc>
          <w:tcPr>
            <w:tcW w:w="2551" w:type="dxa"/>
            <w:tcBorders>
              <w:top w:val="single" w:sz="6" w:space="0" w:color="365F91"/>
              <w:left w:val="nil"/>
              <w:bottom w:val="single" w:sz="6" w:space="0" w:color="365F91"/>
              <w:right w:val="nil"/>
            </w:tcBorders>
            <w:shd w:val="clear" w:color="auto" w:fill="FFFFFF"/>
            <w:hideMark/>
          </w:tcPr>
          <w:p w14:paraId="1B4A1D4E" w14:textId="77777777" w:rsidR="00D30983" w:rsidRPr="00D9348B" w:rsidRDefault="00D30983" w:rsidP="00DB330E">
            <w:pPr>
              <w:pStyle w:val="TableText"/>
              <w:spacing w:before="50" w:after="50"/>
            </w:pPr>
            <w:r w:rsidRPr="00D9348B">
              <w:t>±25–60 (varies by site)</w:t>
            </w:r>
          </w:p>
        </w:tc>
      </w:tr>
      <w:tr w:rsidR="00D30983" w:rsidRPr="00D9348B" w14:paraId="7051E298" w14:textId="77777777" w:rsidTr="00DA4C87">
        <w:tc>
          <w:tcPr>
            <w:tcW w:w="2036" w:type="dxa"/>
            <w:tcBorders>
              <w:top w:val="single" w:sz="6" w:space="0" w:color="365F91"/>
              <w:left w:val="nil"/>
              <w:bottom w:val="single" w:sz="6" w:space="0" w:color="365F91"/>
              <w:right w:val="nil"/>
            </w:tcBorders>
            <w:shd w:val="clear" w:color="auto" w:fill="FFFFFF"/>
            <w:hideMark/>
          </w:tcPr>
          <w:p w14:paraId="58EF1DC2" w14:textId="77777777" w:rsidR="00D30983" w:rsidRPr="00D9348B" w:rsidRDefault="00D30983" w:rsidP="00DB330E">
            <w:pPr>
              <w:pStyle w:val="TableText"/>
              <w:spacing w:before="50" w:after="50"/>
            </w:pPr>
            <w:r w:rsidRPr="00D9348B">
              <w:t>Sulphuric acid</w:t>
            </w:r>
          </w:p>
        </w:tc>
        <w:tc>
          <w:tcPr>
            <w:tcW w:w="2410" w:type="dxa"/>
            <w:tcBorders>
              <w:top w:val="single" w:sz="6" w:space="0" w:color="365F91"/>
              <w:left w:val="nil"/>
              <w:bottom w:val="single" w:sz="6" w:space="0" w:color="365F91"/>
              <w:right w:val="nil"/>
            </w:tcBorders>
            <w:shd w:val="clear" w:color="auto" w:fill="FFFFFF"/>
            <w:hideMark/>
          </w:tcPr>
          <w:p w14:paraId="68559203" w14:textId="77777777" w:rsidR="00D30983" w:rsidRPr="00D9348B" w:rsidRDefault="00D30983" w:rsidP="00DB330E">
            <w:pPr>
              <w:pStyle w:val="TableText"/>
              <w:spacing w:before="50" w:after="50"/>
            </w:pPr>
            <w:r w:rsidRPr="00D9348B">
              <w:t>±10</w:t>
            </w:r>
          </w:p>
        </w:tc>
        <w:tc>
          <w:tcPr>
            <w:tcW w:w="2551" w:type="dxa"/>
            <w:tcBorders>
              <w:top w:val="single" w:sz="6" w:space="0" w:color="365F91"/>
              <w:left w:val="nil"/>
              <w:bottom w:val="single" w:sz="6" w:space="0" w:color="365F91"/>
              <w:right w:val="nil"/>
            </w:tcBorders>
            <w:shd w:val="clear" w:color="auto" w:fill="FFFFFF"/>
            <w:hideMark/>
          </w:tcPr>
          <w:p w14:paraId="35CF6491" w14:textId="77777777" w:rsidR="00D30983" w:rsidRPr="00D9348B" w:rsidRDefault="00D30983" w:rsidP="00DB330E">
            <w:pPr>
              <w:pStyle w:val="TableText"/>
              <w:spacing w:before="50" w:after="50"/>
            </w:pPr>
            <w:r w:rsidRPr="00D9348B">
              <w:t>±15</w:t>
            </w:r>
          </w:p>
        </w:tc>
      </w:tr>
    </w:tbl>
    <w:p w14:paraId="106ECBD8" w14:textId="77777777" w:rsidR="00D30983" w:rsidRPr="00D9348B" w:rsidRDefault="00D30983" w:rsidP="006B7E05">
      <w:pPr>
        <w:pStyle w:val="Heading4"/>
        <w:spacing w:before="280"/>
      </w:pPr>
      <w:r w:rsidRPr="00D9348B">
        <w:t>Time-series consistency</w:t>
      </w:r>
    </w:p>
    <w:p w14:paraId="058EE33B" w14:textId="77777777" w:rsidR="00D30983" w:rsidRPr="00D9348B" w:rsidRDefault="00D30983" w:rsidP="006B7E05">
      <w:pPr>
        <w:pStyle w:val="BodyText"/>
        <w:spacing w:before="80"/>
      </w:pPr>
      <w:r w:rsidRPr="00D9348B">
        <w:t>The implied emission factor for CO</w:t>
      </w:r>
      <w:r w:rsidRPr="00D9348B">
        <w:rPr>
          <w:vertAlign w:val="subscript"/>
        </w:rPr>
        <w:t>2</w:t>
      </w:r>
      <w:r w:rsidRPr="00D9348B">
        <w:t xml:space="preserve"> in ammonia production has reduced by about 5.0 per cent through the time series, reflecting higher plant utilisation and some improvements in plant efficiency. Because ammonia is made at a single site in New Zealand, the implied emission factor may also vary from year to year as a result of maintenance shutdowns and other events that affect plant performance. </w:t>
      </w:r>
    </w:p>
    <w:p w14:paraId="55B00608" w14:textId="77777777" w:rsidR="00D30983" w:rsidRPr="00D9348B" w:rsidRDefault="00D30983" w:rsidP="00D30983">
      <w:pPr>
        <w:pStyle w:val="BodyText"/>
        <w:spacing w:before="100" w:after="100"/>
      </w:pPr>
      <w:r w:rsidRPr="00D9348B">
        <w:lastRenderedPageBreak/>
        <w:t xml:space="preserve">The implied emission factor for hydrogen production (2.B.10) also varies from year to year due mainly to changes in refinery gas composition. Other implied emission factors in this source category only reflect the default emission factors used. </w:t>
      </w:r>
    </w:p>
    <w:p w14:paraId="5CE43234" w14:textId="77777777" w:rsidR="00D30983" w:rsidRPr="00D9348B" w:rsidRDefault="00D30983" w:rsidP="00D30983">
      <w:pPr>
        <w:pStyle w:val="Heading3"/>
        <w:spacing w:before="240"/>
      </w:pPr>
      <w:r w:rsidRPr="00D9348B">
        <w:t>4.3.4</w:t>
      </w:r>
      <w:r w:rsidRPr="00D9348B">
        <w:tab/>
        <w:t>Source-specific QA/QC and verification</w:t>
      </w:r>
    </w:p>
    <w:p w14:paraId="3966D1CD" w14:textId="77777777" w:rsidR="00D30983" w:rsidRPr="00D9348B" w:rsidRDefault="00D30983" w:rsidP="00D30983">
      <w:pPr>
        <w:pStyle w:val="BodyText"/>
      </w:pPr>
      <w:r w:rsidRPr="00D9348B">
        <w:t xml:space="preserve">The </w:t>
      </w:r>
      <w:r w:rsidRPr="00D9348B">
        <w:rPr>
          <w:i/>
        </w:rPr>
        <w:t xml:space="preserve">Chemical industry </w:t>
      </w:r>
      <w:r w:rsidRPr="00D9348B">
        <w:t xml:space="preserve">source category contains one key category: </w:t>
      </w:r>
      <w:r w:rsidRPr="00D9348B">
        <w:rPr>
          <w:i/>
        </w:rPr>
        <w:t>Petrochemical and carbon black</w:t>
      </w:r>
      <w:r w:rsidRPr="00D9348B">
        <w:t xml:space="preserve"> (for CH</w:t>
      </w:r>
      <w:r w:rsidRPr="00D9348B">
        <w:rPr>
          <w:vertAlign w:val="subscript"/>
        </w:rPr>
        <w:t>4</w:t>
      </w:r>
      <w:r w:rsidRPr="00D9348B">
        <w:t xml:space="preserve"> emissions in methanol production). The data for these emissions underwent Tier 1 quality checks in the preparation of this inventory. Submission of data under the NZ ETS allows some verification of activity data.</w:t>
      </w:r>
    </w:p>
    <w:p w14:paraId="388B884E" w14:textId="77777777" w:rsidR="00D30983" w:rsidRPr="00D9348B" w:rsidRDefault="00D30983" w:rsidP="00D30983">
      <w:pPr>
        <w:pStyle w:val="Heading3"/>
        <w:spacing w:before="240"/>
      </w:pPr>
      <w:r w:rsidRPr="00D9348B">
        <w:t>4.3.5</w:t>
      </w:r>
      <w:r w:rsidRPr="00D9348B">
        <w:tab/>
        <w:t>Source-specific recalculations</w:t>
      </w:r>
    </w:p>
    <w:p w14:paraId="5BF8E237" w14:textId="77777777" w:rsidR="00D30983" w:rsidRPr="00D9348B" w:rsidRDefault="00D30983" w:rsidP="00D30983">
      <w:pPr>
        <w:pStyle w:val="BodyText"/>
      </w:pPr>
      <w:r w:rsidRPr="00D9348B">
        <w:t xml:space="preserve">There are no recalculations for this source category. </w:t>
      </w:r>
    </w:p>
    <w:p w14:paraId="760B3590" w14:textId="77777777" w:rsidR="00D30983" w:rsidRPr="00D9348B" w:rsidRDefault="00D30983" w:rsidP="00D30983">
      <w:pPr>
        <w:pStyle w:val="Heading3"/>
        <w:spacing w:before="240"/>
      </w:pPr>
      <w:r w:rsidRPr="00D9348B">
        <w:t>4.3.6</w:t>
      </w:r>
      <w:r w:rsidRPr="00D9348B">
        <w:tab/>
        <w:t>Source-specific planned improvements</w:t>
      </w:r>
    </w:p>
    <w:p w14:paraId="2712D07F" w14:textId="77777777" w:rsidR="00D30983" w:rsidRPr="00D9348B" w:rsidRDefault="00D30983" w:rsidP="00D30983">
      <w:pPr>
        <w:pStyle w:val="BodyText"/>
      </w:pPr>
      <w:r w:rsidRPr="00D9348B">
        <w:t>There are no planned improvements for this source category.</w:t>
      </w:r>
    </w:p>
    <w:p w14:paraId="17D5634B" w14:textId="77777777" w:rsidR="00D30983" w:rsidRPr="00D9348B" w:rsidRDefault="00D30983" w:rsidP="00D30983">
      <w:pPr>
        <w:pStyle w:val="Heading2"/>
      </w:pPr>
      <w:bookmarkStart w:id="497" w:name="_Toc448321515"/>
      <w:bookmarkStart w:id="498" w:name="_Toc5269354"/>
      <w:bookmarkStart w:id="499" w:name="_Toc36224394"/>
      <w:r w:rsidRPr="00D9348B">
        <w:t>4.4</w:t>
      </w:r>
      <w:r w:rsidRPr="00D9348B">
        <w:tab/>
        <w:t>Metal industry (2.C)</w:t>
      </w:r>
      <w:bookmarkEnd w:id="497"/>
      <w:bookmarkEnd w:id="498"/>
      <w:bookmarkEnd w:id="499"/>
    </w:p>
    <w:p w14:paraId="704EEED6" w14:textId="77777777" w:rsidR="00D30983" w:rsidRPr="00D9348B" w:rsidRDefault="00D30983" w:rsidP="00D30983">
      <w:pPr>
        <w:pStyle w:val="Heading3"/>
        <w:spacing w:before="120"/>
      </w:pPr>
      <w:r w:rsidRPr="00D9348B">
        <w:t>4.4.1</w:t>
      </w:r>
      <w:r w:rsidRPr="00D9348B">
        <w:tab/>
        <w:t>Description</w:t>
      </w:r>
    </w:p>
    <w:p w14:paraId="1F2D8998" w14:textId="77777777" w:rsidR="00D30983" w:rsidRPr="00D9348B" w:rsidRDefault="00D30983" w:rsidP="00D30983">
      <w:pPr>
        <w:pStyle w:val="BodyText"/>
        <w:spacing w:before="100" w:after="100"/>
      </w:pPr>
      <w:r w:rsidRPr="00D9348B">
        <w:t xml:space="preserve">The main emissions in the </w:t>
      </w:r>
      <w:r w:rsidRPr="00D9348B">
        <w:rPr>
          <w:i/>
        </w:rPr>
        <w:t>Metal industry</w:t>
      </w:r>
      <w:r w:rsidRPr="00D9348B">
        <w:t xml:space="preserve"> source category in New Zealand are from iron and steel production (from iron sand and from recycled scrap steel) and from aluminium production. New Zealand has no production of coke, sinter or ferroalloys. </w:t>
      </w:r>
    </w:p>
    <w:p w14:paraId="31045DD1" w14:textId="77777777" w:rsidR="00D30983" w:rsidRPr="00D9348B" w:rsidRDefault="00D30983" w:rsidP="00D30983">
      <w:pPr>
        <w:pStyle w:val="BodyText"/>
        <w:spacing w:before="100" w:after="100"/>
      </w:pPr>
      <w:r w:rsidRPr="00D9348B">
        <w:t>New Zealand has two steel producing sites. New Zealand Steel Limited produces iron using an ‘alternative iron-making process’, from titanomagnetite iron sand (Ure, 2000). This iron</w:t>
      </w:r>
      <w:r w:rsidRPr="00D9348B">
        <w:noBreakHyphen/>
        <w:t xml:space="preserve">making process involves the direct reduction of iron oxide contained in the sand, with sub-bituminous coal (which forms a reactive char) as the reductant. There is no coke production and no use of blast furnaces. The iron produced is then processed into steel. </w:t>
      </w:r>
    </w:p>
    <w:p w14:paraId="0F8FED5A" w14:textId="77777777" w:rsidR="00D30983" w:rsidRPr="00D9348B" w:rsidRDefault="00D30983" w:rsidP="00D30983">
      <w:pPr>
        <w:pStyle w:val="BodyText"/>
        <w:spacing w:before="100" w:after="100"/>
      </w:pPr>
      <w:r w:rsidRPr="00D9348B">
        <w:t xml:space="preserve">Pacific Steel Limited has, until recently, operated an electric arc furnace at a separate site to process recycled scrap steel. The owners of New Zealand Steel Limited bought the Pacific Steel Limited production assets in 2015, and all of New Zealand’s steel-making capacity is now integrated at the New Zealand Steel site. Steel billet production at the Pacific Steel plant, using recycled scrap, stopped in October 2015. As a result, all production in New Zealand is now based on newly produced iron – there is no domestic production using recycled steel scrap. </w:t>
      </w:r>
    </w:p>
    <w:p w14:paraId="1F9141AE" w14:textId="77777777" w:rsidR="00D30983" w:rsidRPr="00D9348B" w:rsidRDefault="00D30983" w:rsidP="00D30983">
      <w:pPr>
        <w:pStyle w:val="BodyText"/>
        <w:spacing w:before="100" w:after="100"/>
      </w:pPr>
      <w:r w:rsidRPr="00D9348B">
        <w:t xml:space="preserve">There is one aluminium smelter in New Zealand, operated by New Zealand Aluminium Smelters Limited (NZAS). The plant produces aluminium by smelting imported bauxite using centre-work prebake technology. Carbon dioxide and PFC emissions from aluminium production are reported. </w:t>
      </w:r>
    </w:p>
    <w:p w14:paraId="22917B97" w14:textId="77777777" w:rsidR="00D30983" w:rsidRPr="00D9348B" w:rsidRDefault="00D30983" w:rsidP="00D30983">
      <w:pPr>
        <w:pStyle w:val="BodyText"/>
        <w:spacing w:before="100" w:after="100"/>
      </w:pPr>
      <w:r w:rsidRPr="00D9348B">
        <w:t>Very small amounts of emissions are also reported from secondary lead production (from the recycling of lead-acid batteries) from 1990 to 2015 and from use of SF</w:t>
      </w:r>
      <w:r w:rsidRPr="00D9348B">
        <w:rPr>
          <w:vertAlign w:val="subscript"/>
        </w:rPr>
        <w:t>6</w:t>
      </w:r>
      <w:r w:rsidRPr="00D9348B">
        <w:t xml:space="preserve"> in a magnesium foundry from 1990 to 1999. </w:t>
      </w:r>
    </w:p>
    <w:p w14:paraId="423F1F5B" w14:textId="77777777" w:rsidR="00D30983" w:rsidRPr="00D9348B" w:rsidRDefault="00D30983" w:rsidP="00D30983">
      <w:pPr>
        <w:pStyle w:val="BodyText"/>
        <w:spacing w:before="100" w:after="100"/>
      </w:pPr>
      <w:r w:rsidRPr="00D9348B">
        <w:t xml:space="preserve">Key categories in the </w:t>
      </w:r>
      <w:r w:rsidRPr="00D9348B">
        <w:rPr>
          <w:i/>
        </w:rPr>
        <w:t>Metal industry</w:t>
      </w:r>
      <w:r w:rsidRPr="00D9348B">
        <w:t xml:space="preserve"> source category are CO</w:t>
      </w:r>
      <w:r w:rsidRPr="00D9348B">
        <w:rPr>
          <w:vertAlign w:val="subscript"/>
        </w:rPr>
        <w:t>2</w:t>
      </w:r>
      <w:r w:rsidRPr="00D9348B">
        <w:t xml:space="preserve"> emissions from </w:t>
      </w:r>
      <w:r w:rsidRPr="00D9348B">
        <w:rPr>
          <w:i/>
        </w:rPr>
        <w:t xml:space="preserve">Iron and steel production </w:t>
      </w:r>
      <w:r w:rsidRPr="00D9348B">
        <w:t xml:space="preserve">and from </w:t>
      </w:r>
      <w:r w:rsidRPr="00D9348B">
        <w:rPr>
          <w:i/>
        </w:rPr>
        <w:t>Aluminium production</w:t>
      </w:r>
      <w:r w:rsidRPr="00D9348B">
        <w:t xml:space="preserve">, and PFCs from </w:t>
      </w:r>
      <w:r w:rsidRPr="00D9348B">
        <w:rPr>
          <w:i/>
        </w:rPr>
        <w:t>Aluminium production</w:t>
      </w:r>
      <w:r w:rsidRPr="00D9348B">
        <w:t xml:space="preserve">. </w:t>
      </w:r>
    </w:p>
    <w:p w14:paraId="0AA2B530" w14:textId="77777777" w:rsidR="00D30983" w:rsidRPr="00D9348B" w:rsidRDefault="00D30983" w:rsidP="00D30983">
      <w:pPr>
        <w:pStyle w:val="BodyText"/>
        <w:spacing w:before="100" w:after="100"/>
      </w:pPr>
      <w:r w:rsidRPr="00D9348B">
        <w:lastRenderedPageBreak/>
        <w:t xml:space="preserve">Emissions from the </w:t>
      </w:r>
      <w:r w:rsidRPr="00D9348B">
        <w:rPr>
          <w:i/>
        </w:rPr>
        <w:t>Metal industry</w:t>
      </w:r>
      <w:r w:rsidRPr="00D9348B">
        <w:t xml:space="preserve"> source category in 2018 were 2,321.7 kt CO</w:t>
      </w:r>
      <w:r w:rsidRPr="00D9348B">
        <w:rPr>
          <w:vertAlign w:val="subscript"/>
        </w:rPr>
        <w:t>2</w:t>
      </w:r>
      <w:r w:rsidRPr="00D9348B">
        <w:t>-e (45.0 per cent) of emissions from the IPPU sector. This is 348.5 kt CO</w:t>
      </w:r>
      <w:r w:rsidRPr="00D9348B">
        <w:rPr>
          <w:vertAlign w:val="subscript"/>
        </w:rPr>
        <w:t>2</w:t>
      </w:r>
      <w:r w:rsidRPr="00D9348B">
        <w:t>-e (13.1 per cent) below the 1990 level. The decrease was driven by a reduction in emissions of PFCs in aluminium smelting, which has been partly offset by increasing CO</w:t>
      </w:r>
      <w:r w:rsidRPr="00D9348B">
        <w:rPr>
          <w:vertAlign w:val="subscript"/>
        </w:rPr>
        <w:t>2</w:t>
      </w:r>
      <w:r w:rsidRPr="00D9348B">
        <w:t xml:space="preserve"> emissions due to increasing production of steel and aluminium. A small decrease in emissions occurred in 2016 due to the closure of the Pacific Steel plant and the cessation of lead battery recycling. </w:t>
      </w:r>
    </w:p>
    <w:p w14:paraId="1F0D9EB9" w14:textId="77777777" w:rsidR="00D30983" w:rsidRPr="00D9348B" w:rsidRDefault="00D30983" w:rsidP="00D30983">
      <w:pPr>
        <w:pStyle w:val="Heading3"/>
      </w:pPr>
      <w:r w:rsidRPr="00D9348B">
        <w:t xml:space="preserve">4.4.2 </w:t>
      </w:r>
      <w:r w:rsidRPr="00D9348B">
        <w:tab/>
        <w:t>Methodological issues</w:t>
      </w:r>
    </w:p>
    <w:p w14:paraId="688EE018" w14:textId="77777777" w:rsidR="00D30983" w:rsidRPr="00D9348B" w:rsidRDefault="00D30983" w:rsidP="006B7E05">
      <w:pPr>
        <w:pStyle w:val="Heading4"/>
        <w:spacing w:before="160"/>
        <w:rPr>
          <w:bCs/>
          <w:iCs/>
        </w:rPr>
      </w:pPr>
      <w:r w:rsidRPr="00D9348B">
        <w:t>Choice of activity data</w:t>
      </w:r>
    </w:p>
    <w:p w14:paraId="4C37DE19" w14:textId="77777777" w:rsidR="00D30983" w:rsidRPr="00D9348B" w:rsidRDefault="00D30983" w:rsidP="00D30983">
      <w:pPr>
        <w:pStyle w:val="Heading5"/>
        <w:spacing w:before="120"/>
      </w:pPr>
      <w:r w:rsidRPr="00D9348B">
        <w:t>Iron and steel production (2.C.1 and 2.C.1.a)</w:t>
      </w:r>
    </w:p>
    <w:p w14:paraId="165035B5" w14:textId="5CE7A2C4" w:rsidR="00D30983" w:rsidRPr="00D9348B" w:rsidRDefault="00D30983" w:rsidP="00D30983">
      <w:pPr>
        <w:pStyle w:val="BodyText"/>
      </w:pPr>
      <w:r w:rsidRPr="00D9348B">
        <w:t xml:space="preserve">In 2018, the </w:t>
      </w:r>
      <w:r w:rsidRPr="00D9348B">
        <w:rPr>
          <w:i/>
        </w:rPr>
        <w:t>Iron and steel production</w:t>
      </w:r>
      <w:r w:rsidRPr="00D9348B">
        <w:t xml:space="preserve"> category accounted for 1,694.4 kt CO</w:t>
      </w:r>
      <w:r w:rsidRPr="00D9348B">
        <w:rPr>
          <w:vertAlign w:val="subscript"/>
        </w:rPr>
        <w:t>2</w:t>
      </w:r>
      <w:r w:rsidRPr="00D9348B">
        <w:t xml:space="preserve">-e (73.0 per cent) of emissions from the </w:t>
      </w:r>
      <w:r w:rsidRPr="00D9348B">
        <w:rPr>
          <w:i/>
        </w:rPr>
        <w:t>Metal industry</w:t>
      </w:r>
      <w:r w:rsidRPr="00D9348B">
        <w:t xml:space="preserve"> source category. The activity data (tonnes of steel produced) are provided to MBIE, by two steel producers up to 2015 and now by one; they are</w:t>
      </w:r>
      <w:r w:rsidR="006B7E05" w:rsidRPr="00D9348B">
        <w:t> </w:t>
      </w:r>
      <w:r w:rsidRPr="00D9348B">
        <w:t xml:space="preserve">regarded as commercially confidential and are reported as confidential in the CRF. </w:t>
      </w:r>
    </w:p>
    <w:p w14:paraId="1E292551" w14:textId="77777777" w:rsidR="00D30983" w:rsidRPr="00D9348B" w:rsidRDefault="00D30983" w:rsidP="00D30983">
      <w:pPr>
        <w:pStyle w:val="BodyText"/>
      </w:pPr>
      <w:r w:rsidRPr="00D9348B">
        <w:t>Most of the CO</w:t>
      </w:r>
      <w:r w:rsidRPr="00D9348B">
        <w:rPr>
          <w:vertAlign w:val="subscript"/>
        </w:rPr>
        <w:t>2</w:t>
      </w:r>
      <w:r w:rsidRPr="00D9348B">
        <w:t xml:space="preserve"> emissions from the </w:t>
      </w:r>
      <w:r w:rsidRPr="00D9348B">
        <w:rPr>
          <w:i/>
        </w:rPr>
        <w:t>Iron and steel production</w:t>
      </w:r>
      <w:r w:rsidRPr="00D9348B">
        <w:t xml:space="preserve"> category are produced through the production of iron from titanomagnetite iron sand. Nearly all of the emissions in this process come from the use of sub-bituminous coal as a reducing agent. There is no carbon in the iron sand used by New Zealand Steel Limited (table 4.4.1). </w:t>
      </w:r>
    </w:p>
    <w:p w14:paraId="2B894F9F" w14:textId="77777777" w:rsidR="00D30983" w:rsidRPr="00D9348B" w:rsidRDefault="00D30983" w:rsidP="00D30983">
      <w:pPr>
        <w:pStyle w:val="Table"/>
      </w:pPr>
      <w:bookmarkStart w:id="500" w:name="_Toc451176070"/>
      <w:bookmarkStart w:id="501" w:name="_Toc352504954"/>
      <w:bookmarkStart w:id="502" w:name="_Toc5269460"/>
      <w:bookmarkStart w:id="503" w:name="_Toc36224533"/>
      <w:r w:rsidRPr="00D9348B">
        <w:t>Table 4.4.1</w:t>
      </w:r>
      <w:r w:rsidRPr="00D9348B">
        <w:tab/>
        <w:t xml:space="preserve">Typical analysis from New Zealand Steel Limited of the primary </w:t>
      </w:r>
      <w:proofErr w:type="gramStart"/>
      <w:r w:rsidRPr="00D9348B">
        <w:t>concentrate</w:t>
      </w:r>
      <w:proofErr w:type="gramEnd"/>
      <w:r w:rsidRPr="00D9348B">
        <w:br/>
        <w:t>(provided by New Zealand Steel Limited)</w:t>
      </w:r>
      <w:bookmarkEnd w:id="500"/>
      <w:bookmarkEnd w:id="501"/>
      <w:bookmarkEnd w:id="502"/>
      <w:bookmarkEnd w:id="503"/>
    </w:p>
    <w:tbl>
      <w:tblPr>
        <w:tblW w:w="0" w:type="auto"/>
        <w:jc w:val="center"/>
        <w:tblBorders>
          <w:bottom w:val="single" w:sz="4" w:space="0" w:color="auto"/>
        </w:tblBorders>
        <w:tblLayout w:type="fixed"/>
        <w:tblLook w:val="04A0" w:firstRow="1" w:lastRow="0" w:firstColumn="1" w:lastColumn="0" w:noHBand="0" w:noVBand="1"/>
      </w:tblPr>
      <w:tblGrid>
        <w:gridCol w:w="1242"/>
        <w:gridCol w:w="1448"/>
      </w:tblGrid>
      <w:tr w:rsidR="00D30983" w:rsidRPr="00D9348B" w14:paraId="5B215FFF" w14:textId="77777777" w:rsidTr="00DB330E">
        <w:trPr>
          <w:tblHeader/>
          <w:jc w:val="center"/>
        </w:trPr>
        <w:tc>
          <w:tcPr>
            <w:tcW w:w="1242" w:type="dxa"/>
            <w:tcBorders>
              <w:top w:val="single" w:sz="4" w:space="0" w:color="365F91"/>
              <w:left w:val="nil"/>
              <w:bottom w:val="single" w:sz="4" w:space="0" w:color="365F91"/>
              <w:right w:val="nil"/>
            </w:tcBorders>
            <w:shd w:val="clear" w:color="auto" w:fill="365F91"/>
            <w:hideMark/>
          </w:tcPr>
          <w:p w14:paraId="4DC04D45" w14:textId="77777777" w:rsidR="00D30983" w:rsidRPr="00D9348B" w:rsidRDefault="00D30983" w:rsidP="00DB330E">
            <w:pPr>
              <w:pStyle w:val="TableTextBold"/>
              <w:spacing w:before="40" w:after="40"/>
              <w:jc w:val="center"/>
              <w:rPr>
                <w:noProof w:val="0"/>
                <w:color w:val="FFFFFF"/>
              </w:rPr>
            </w:pPr>
            <w:r w:rsidRPr="00D9348B">
              <w:rPr>
                <w:noProof w:val="0"/>
                <w:color w:val="FFFFFF"/>
              </w:rPr>
              <w:t>Element</w:t>
            </w:r>
          </w:p>
        </w:tc>
        <w:tc>
          <w:tcPr>
            <w:tcW w:w="1448" w:type="dxa"/>
            <w:tcBorders>
              <w:top w:val="single" w:sz="4" w:space="0" w:color="365F91"/>
              <w:left w:val="nil"/>
              <w:bottom w:val="single" w:sz="4" w:space="0" w:color="365F91"/>
              <w:right w:val="nil"/>
            </w:tcBorders>
            <w:shd w:val="clear" w:color="auto" w:fill="365F91"/>
            <w:hideMark/>
          </w:tcPr>
          <w:p w14:paraId="656126FB" w14:textId="77777777" w:rsidR="00D30983" w:rsidRPr="00D9348B" w:rsidRDefault="00D30983" w:rsidP="00DB330E">
            <w:pPr>
              <w:pStyle w:val="TableTextBold"/>
              <w:spacing w:before="40" w:after="40"/>
              <w:jc w:val="center"/>
              <w:rPr>
                <w:noProof w:val="0"/>
                <w:color w:val="FFFFFF"/>
              </w:rPr>
            </w:pPr>
            <w:r w:rsidRPr="00D9348B">
              <w:rPr>
                <w:noProof w:val="0"/>
                <w:color w:val="FFFFFF"/>
              </w:rPr>
              <w:t>Result (%)</w:t>
            </w:r>
          </w:p>
        </w:tc>
      </w:tr>
      <w:tr w:rsidR="00D30983" w:rsidRPr="00D9348B" w14:paraId="6B030DB6" w14:textId="77777777" w:rsidTr="00DB330E">
        <w:trPr>
          <w:jc w:val="center"/>
        </w:trPr>
        <w:tc>
          <w:tcPr>
            <w:tcW w:w="1242" w:type="dxa"/>
            <w:tcBorders>
              <w:top w:val="single" w:sz="4" w:space="0" w:color="365F91"/>
              <w:left w:val="nil"/>
              <w:bottom w:val="single" w:sz="4" w:space="0" w:color="365F91"/>
              <w:right w:val="single" w:sz="4" w:space="0" w:color="365F91"/>
            </w:tcBorders>
            <w:vAlign w:val="center"/>
            <w:hideMark/>
          </w:tcPr>
          <w:p w14:paraId="2A6C9A4C" w14:textId="77777777" w:rsidR="00D30983" w:rsidRPr="00D9348B" w:rsidRDefault="00D30983" w:rsidP="00DB330E">
            <w:pPr>
              <w:pStyle w:val="TableText"/>
              <w:spacing w:before="40" w:after="40"/>
              <w:jc w:val="center"/>
              <w:rPr>
                <w:i/>
                <w:vertAlign w:val="subscript"/>
              </w:rPr>
            </w:pPr>
            <w:r w:rsidRPr="00D9348B">
              <w:t>Fe</w:t>
            </w:r>
            <w:r w:rsidRPr="00D9348B">
              <w:rPr>
                <w:vertAlign w:val="subscript"/>
              </w:rPr>
              <w:t>3</w:t>
            </w:r>
            <w:r w:rsidRPr="00D9348B">
              <w:t>O</w:t>
            </w:r>
            <w:r w:rsidRPr="00D9348B">
              <w:rPr>
                <w:vertAlign w:val="subscript"/>
              </w:rPr>
              <w:t>4</w:t>
            </w:r>
          </w:p>
        </w:tc>
        <w:tc>
          <w:tcPr>
            <w:tcW w:w="1448" w:type="dxa"/>
            <w:tcBorders>
              <w:top w:val="single" w:sz="4" w:space="0" w:color="365F91"/>
              <w:left w:val="single" w:sz="4" w:space="0" w:color="365F91"/>
              <w:bottom w:val="single" w:sz="4" w:space="0" w:color="365F91"/>
              <w:right w:val="nil"/>
            </w:tcBorders>
            <w:vAlign w:val="center"/>
            <w:hideMark/>
          </w:tcPr>
          <w:p w14:paraId="2368153A" w14:textId="77777777" w:rsidR="00D30983" w:rsidRPr="00D9348B" w:rsidRDefault="00D30983" w:rsidP="00DB330E">
            <w:pPr>
              <w:pStyle w:val="TableText"/>
              <w:spacing w:before="40" w:after="40"/>
              <w:ind w:right="454"/>
              <w:jc w:val="right"/>
              <w:rPr>
                <w:i/>
              </w:rPr>
            </w:pPr>
            <w:r w:rsidRPr="00D9348B">
              <w:t>81.4</w:t>
            </w:r>
          </w:p>
        </w:tc>
      </w:tr>
      <w:tr w:rsidR="00D30983" w:rsidRPr="00D9348B" w14:paraId="5376BD61" w14:textId="77777777" w:rsidTr="00DB330E">
        <w:trPr>
          <w:jc w:val="center"/>
        </w:trPr>
        <w:tc>
          <w:tcPr>
            <w:tcW w:w="1242" w:type="dxa"/>
            <w:tcBorders>
              <w:top w:val="single" w:sz="4" w:space="0" w:color="365F91"/>
              <w:left w:val="nil"/>
              <w:bottom w:val="single" w:sz="4" w:space="0" w:color="365F91"/>
              <w:right w:val="single" w:sz="4" w:space="0" w:color="365F91"/>
            </w:tcBorders>
            <w:vAlign w:val="center"/>
            <w:hideMark/>
          </w:tcPr>
          <w:p w14:paraId="6F31EF6F" w14:textId="77777777" w:rsidR="00D30983" w:rsidRPr="00D9348B" w:rsidRDefault="00D30983" w:rsidP="00DB330E">
            <w:pPr>
              <w:pStyle w:val="TableText"/>
              <w:spacing w:before="40" w:after="40"/>
              <w:jc w:val="center"/>
              <w:rPr>
                <w:i/>
                <w:vertAlign w:val="subscript"/>
              </w:rPr>
            </w:pPr>
            <w:r w:rsidRPr="00D9348B">
              <w:t>TiO</w:t>
            </w:r>
            <w:r w:rsidRPr="00D9348B">
              <w:rPr>
                <w:vertAlign w:val="subscript"/>
              </w:rPr>
              <w:t>2</w:t>
            </w:r>
          </w:p>
        </w:tc>
        <w:tc>
          <w:tcPr>
            <w:tcW w:w="1448" w:type="dxa"/>
            <w:tcBorders>
              <w:top w:val="single" w:sz="4" w:space="0" w:color="365F91"/>
              <w:left w:val="single" w:sz="4" w:space="0" w:color="365F91"/>
              <w:bottom w:val="single" w:sz="4" w:space="0" w:color="365F91"/>
              <w:right w:val="nil"/>
            </w:tcBorders>
            <w:vAlign w:val="center"/>
            <w:hideMark/>
          </w:tcPr>
          <w:p w14:paraId="69BB59F3" w14:textId="77777777" w:rsidR="00D30983" w:rsidRPr="00D9348B" w:rsidRDefault="00D30983" w:rsidP="00DB330E">
            <w:pPr>
              <w:pStyle w:val="TableText"/>
              <w:spacing w:before="40" w:after="40"/>
              <w:ind w:right="454"/>
              <w:jc w:val="right"/>
              <w:rPr>
                <w:i/>
              </w:rPr>
            </w:pPr>
            <w:r w:rsidRPr="00D9348B">
              <w:t>7.9</w:t>
            </w:r>
          </w:p>
        </w:tc>
      </w:tr>
      <w:tr w:rsidR="00D30983" w:rsidRPr="00D9348B" w14:paraId="771F4B52" w14:textId="77777777" w:rsidTr="00DB330E">
        <w:trPr>
          <w:jc w:val="center"/>
        </w:trPr>
        <w:tc>
          <w:tcPr>
            <w:tcW w:w="1242" w:type="dxa"/>
            <w:tcBorders>
              <w:top w:val="single" w:sz="4" w:space="0" w:color="365F91"/>
              <w:left w:val="nil"/>
              <w:bottom w:val="single" w:sz="4" w:space="0" w:color="365F91"/>
              <w:right w:val="single" w:sz="4" w:space="0" w:color="365F91"/>
            </w:tcBorders>
            <w:vAlign w:val="center"/>
            <w:hideMark/>
          </w:tcPr>
          <w:p w14:paraId="0D4C26FB" w14:textId="77777777" w:rsidR="00D30983" w:rsidRPr="00D9348B" w:rsidRDefault="00D30983" w:rsidP="00DB330E">
            <w:pPr>
              <w:pStyle w:val="TableText"/>
              <w:spacing w:before="40" w:after="40"/>
              <w:jc w:val="center"/>
              <w:rPr>
                <w:i/>
                <w:vertAlign w:val="subscript"/>
              </w:rPr>
            </w:pPr>
            <w:r w:rsidRPr="00D9348B">
              <w:t>Al</w:t>
            </w:r>
            <w:r w:rsidRPr="00D9348B">
              <w:rPr>
                <w:vertAlign w:val="subscript"/>
              </w:rPr>
              <w:t>2</w:t>
            </w:r>
            <w:r w:rsidRPr="00D9348B">
              <w:t>O</w:t>
            </w:r>
            <w:r w:rsidRPr="00D9348B">
              <w:rPr>
                <w:vertAlign w:val="subscript"/>
              </w:rPr>
              <w:t>3</w:t>
            </w:r>
          </w:p>
        </w:tc>
        <w:tc>
          <w:tcPr>
            <w:tcW w:w="1448" w:type="dxa"/>
            <w:tcBorders>
              <w:top w:val="single" w:sz="4" w:space="0" w:color="365F91"/>
              <w:left w:val="single" w:sz="4" w:space="0" w:color="365F91"/>
              <w:bottom w:val="single" w:sz="4" w:space="0" w:color="365F91"/>
              <w:right w:val="nil"/>
            </w:tcBorders>
            <w:vAlign w:val="center"/>
            <w:hideMark/>
          </w:tcPr>
          <w:p w14:paraId="3D801E83" w14:textId="77777777" w:rsidR="00D30983" w:rsidRPr="00D9348B" w:rsidRDefault="00D30983" w:rsidP="00DB330E">
            <w:pPr>
              <w:pStyle w:val="TableText"/>
              <w:spacing w:before="40" w:after="40"/>
              <w:ind w:right="454"/>
              <w:jc w:val="right"/>
              <w:rPr>
                <w:i/>
              </w:rPr>
            </w:pPr>
            <w:r w:rsidRPr="00D9348B">
              <w:t>3.7</w:t>
            </w:r>
          </w:p>
        </w:tc>
      </w:tr>
      <w:tr w:rsidR="00D30983" w:rsidRPr="00D9348B" w14:paraId="56A486CD" w14:textId="77777777" w:rsidTr="00DB330E">
        <w:trPr>
          <w:jc w:val="center"/>
        </w:trPr>
        <w:tc>
          <w:tcPr>
            <w:tcW w:w="1242" w:type="dxa"/>
            <w:tcBorders>
              <w:top w:val="single" w:sz="4" w:space="0" w:color="365F91"/>
              <w:left w:val="nil"/>
              <w:bottom w:val="single" w:sz="4" w:space="0" w:color="365F91"/>
              <w:right w:val="single" w:sz="4" w:space="0" w:color="365F91"/>
            </w:tcBorders>
            <w:vAlign w:val="center"/>
            <w:hideMark/>
          </w:tcPr>
          <w:p w14:paraId="069990CA" w14:textId="77777777" w:rsidR="00D30983" w:rsidRPr="00D9348B" w:rsidRDefault="00D30983" w:rsidP="00DB330E">
            <w:pPr>
              <w:pStyle w:val="TableText"/>
              <w:spacing w:before="40" w:after="40"/>
              <w:jc w:val="center"/>
              <w:rPr>
                <w:i/>
              </w:rPr>
            </w:pPr>
            <w:r w:rsidRPr="00D9348B">
              <w:t>MgO</w:t>
            </w:r>
          </w:p>
        </w:tc>
        <w:tc>
          <w:tcPr>
            <w:tcW w:w="1448" w:type="dxa"/>
            <w:tcBorders>
              <w:top w:val="single" w:sz="4" w:space="0" w:color="365F91"/>
              <w:left w:val="single" w:sz="4" w:space="0" w:color="365F91"/>
              <w:bottom w:val="single" w:sz="4" w:space="0" w:color="365F91"/>
              <w:right w:val="nil"/>
            </w:tcBorders>
            <w:vAlign w:val="center"/>
            <w:hideMark/>
          </w:tcPr>
          <w:p w14:paraId="4C543C92" w14:textId="77777777" w:rsidR="00D30983" w:rsidRPr="00D9348B" w:rsidRDefault="00D30983" w:rsidP="00DB330E">
            <w:pPr>
              <w:pStyle w:val="TableText"/>
              <w:spacing w:before="40" w:after="40"/>
              <w:ind w:right="454"/>
              <w:jc w:val="right"/>
              <w:rPr>
                <w:i/>
              </w:rPr>
            </w:pPr>
            <w:r w:rsidRPr="00D9348B">
              <w:t>2.9</w:t>
            </w:r>
          </w:p>
        </w:tc>
      </w:tr>
      <w:tr w:rsidR="00D30983" w:rsidRPr="00D9348B" w14:paraId="44EA55CB" w14:textId="77777777" w:rsidTr="00DB330E">
        <w:trPr>
          <w:jc w:val="center"/>
        </w:trPr>
        <w:tc>
          <w:tcPr>
            <w:tcW w:w="1242" w:type="dxa"/>
            <w:tcBorders>
              <w:top w:val="single" w:sz="4" w:space="0" w:color="365F91"/>
              <w:left w:val="nil"/>
              <w:bottom w:val="single" w:sz="4" w:space="0" w:color="365F91"/>
              <w:right w:val="single" w:sz="4" w:space="0" w:color="365F91"/>
            </w:tcBorders>
            <w:vAlign w:val="center"/>
            <w:hideMark/>
          </w:tcPr>
          <w:p w14:paraId="00D4578B" w14:textId="77777777" w:rsidR="00D30983" w:rsidRPr="00D9348B" w:rsidRDefault="00D30983" w:rsidP="00DB330E">
            <w:pPr>
              <w:pStyle w:val="TableText"/>
              <w:spacing w:before="40" w:after="40"/>
              <w:jc w:val="center"/>
              <w:rPr>
                <w:i/>
                <w:vertAlign w:val="subscript"/>
              </w:rPr>
            </w:pPr>
            <w:r w:rsidRPr="00D9348B">
              <w:t>SiO</w:t>
            </w:r>
            <w:r w:rsidRPr="00D9348B">
              <w:rPr>
                <w:vertAlign w:val="subscript"/>
              </w:rPr>
              <w:t>2</w:t>
            </w:r>
          </w:p>
        </w:tc>
        <w:tc>
          <w:tcPr>
            <w:tcW w:w="1448" w:type="dxa"/>
            <w:tcBorders>
              <w:top w:val="single" w:sz="4" w:space="0" w:color="365F91"/>
              <w:left w:val="single" w:sz="4" w:space="0" w:color="365F91"/>
              <w:bottom w:val="single" w:sz="4" w:space="0" w:color="365F91"/>
              <w:right w:val="nil"/>
            </w:tcBorders>
            <w:vAlign w:val="center"/>
            <w:hideMark/>
          </w:tcPr>
          <w:p w14:paraId="6D2F26A4" w14:textId="77777777" w:rsidR="00D30983" w:rsidRPr="00D9348B" w:rsidRDefault="00D30983" w:rsidP="00DB330E">
            <w:pPr>
              <w:pStyle w:val="TableText"/>
              <w:spacing w:before="40" w:after="40"/>
              <w:ind w:right="454"/>
              <w:jc w:val="right"/>
              <w:rPr>
                <w:i/>
              </w:rPr>
            </w:pPr>
            <w:r w:rsidRPr="00D9348B">
              <w:t>2.3</w:t>
            </w:r>
          </w:p>
        </w:tc>
      </w:tr>
      <w:tr w:rsidR="00D30983" w:rsidRPr="00D9348B" w14:paraId="77ED611D" w14:textId="77777777" w:rsidTr="00DB330E">
        <w:trPr>
          <w:jc w:val="center"/>
        </w:trPr>
        <w:tc>
          <w:tcPr>
            <w:tcW w:w="1242" w:type="dxa"/>
            <w:tcBorders>
              <w:top w:val="single" w:sz="4" w:space="0" w:color="365F91"/>
              <w:left w:val="nil"/>
              <w:bottom w:val="single" w:sz="4" w:space="0" w:color="365F91"/>
              <w:right w:val="single" w:sz="4" w:space="0" w:color="365F91"/>
            </w:tcBorders>
            <w:vAlign w:val="center"/>
            <w:hideMark/>
          </w:tcPr>
          <w:p w14:paraId="6CEA27A2" w14:textId="77777777" w:rsidR="00D30983" w:rsidRPr="00D9348B" w:rsidRDefault="00D30983" w:rsidP="00DB330E">
            <w:pPr>
              <w:pStyle w:val="TableText"/>
              <w:spacing w:before="40" w:after="40"/>
              <w:jc w:val="center"/>
              <w:rPr>
                <w:i/>
              </w:rPr>
            </w:pPr>
            <w:r w:rsidRPr="00D9348B">
              <w:t>MnO</w:t>
            </w:r>
          </w:p>
        </w:tc>
        <w:tc>
          <w:tcPr>
            <w:tcW w:w="1448" w:type="dxa"/>
            <w:tcBorders>
              <w:top w:val="single" w:sz="4" w:space="0" w:color="365F91"/>
              <w:left w:val="single" w:sz="4" w:space="0" w:color="365F91"/>
              <w:bottom w:val="single" w:sz="4" w:space="0" w:color="365F91"/>
              <w:right w:val="nil"/>
            </w:tcBorders>
            <w:vAlign w:val="center"/>
            <w:hideMark/>
          </w:tcPr>
          <w:p w14:paraId="6DFF585A" w14:textId="77777777" w:rsidR="00D30983" w:rsidRPr="00D9348B" w:rsidRDefault="00D30983" w:rsidP="00DB330E">
            <w:pPr>
              <w:pStyle w:val="TableText"/>
              <w:spacing w:before="40" w:after="40"/>
              <w:ind w:right="454"/>
              <w:jc w:val="right"/>
              <w:rPr>
                <w:i/>
              </w:rPr>
            </w:pPr>
            <w:r w:rsidRPr="00D9348B">
              <w:t>0.6</w:t>
            </w:r>
          </w:p>
        </w:tc>
      </w:tr>
      <w:tr w:rsidR="00D30983" w:rsidRPr="00D9348B" w14:paraId="5A4CC852" w14:textId="77777777" w:rsidTr="00DB330E">
        <w:trPr>
          <w:jc w:val="center"/>
        </w:trPr>
        <w:tc>
          <w:tcPr>
            <w:tcW w:w="1242" w:type="dxa"/>
            <w:tcBorders>
              <w:top w:val="single" w:sz="4" w:space="0" w:color="365F91"/>
              <w:left w:val="nil"/>
              <w:bottom w:val="single" w:sz="4" w:space="0" w:color="365F91"/>
              <w:right w:val="single" w:sz="4" w:space="0" w:color="365F91"/>
            </w:tcBorders>
            <w:vAlign w:val="center"/>
            <w:hideMark/>
          </w:tcPr>
          <w:p w14:paraId="68B38F71" w14:textId="77777777" w:rsidR="00D30983" w:rsidRPr="00D9348B" w:rsidRDefault="00D30983" w:rsidP="00DB330E">
            <w:pPr>
              <w:pStyle w:val="TableText"/>
              <w:spacing w:before="40" w:after="40"/>
              <w:jc w:val="center"/>
              <w:rPr>
                <w:i/>
              </w:rPr>
            </w:pPr>
            <w:r w:rsidRPr="00D9348B">
              <w:t>CaO</w:t>
            </w:r>
          </w:p>
        </w:tc>
        <w:tc>
          <w:tcPr>
            <w:tcW w:w="1448" w:type="dxa"/>
            <w:tcBorders>
              <w:top w:val="single" w:sz="4" w:space="0" w:color="365F91"/>
              <w:left w:val="single" w:sz="4" w:space="0" w:color="365F91"/>
              <w:bottom w:val="single" w:sz="4" w:space="0" w:color="365F91"/>
              <w:right w:val="nil"/>
            </w:tcBorders>
            <w:vAlign w:val="center"/>
            <w:hideMark/>
          </w:tcPr>
          <w:p w14:paraId="4B92D045" w14:textId="77777777" w:rsidR="00D30983" w:rsidRPr="00D9348B" w:rsidRDefault="00D30983" w:rsidP="00DB330E">
            <w:pPr>
              <w:pStyle w:val="TableText"/>
              <w:spacing w:before="40" w:after="40"/>
              <w:ind w:right="454"/>
              <w:jc w:val="right"/>
              <w:rPr>
                <w:i/>
              </w:rPr>
            </w:pPr>
            <w:r w:rsidRPr="00D9348B">
              <w:t>0.5</w:t>
            </w:r>
          </w:p>
        </w:tc>
      </w:tr>
      <w:tr w:rsidR="00D30983" w:rsidRPr="00D9348B" w14:paraId="361D4435" w14:textId="77777777" w:rsidTr="00DB330E">
        <w:trPr>
          <w:jc w:val="center"/>
        </w:trPr>
        <w:tc>
          <w:tcPr>
            <w:tcW w:w="1242" w:type="dxa"/>
            <w:tcBorders>
              <w:top w:val="single" w:sz="4" w:space="0" w:color="365F91"/>
              <w:left w:val="nil"/>
              <w:bottom w:val="single" w:sz="4" w:space="0" w:color="365F91"/>
              <w:right w:val="single" w:sz="4" w:space="0" w:color="365F91"/>
            </w:tcBorders>
            <w:vAlign w:val="center"/>
            <w:hideMark/>
          </w:tcPr>
          <w:p w14:paraId="4EADE926" w14:textId="77777777" w:rsidR="00D30983" w:rsidRPr="00D9348B" w:rsidRDefault="00D30983" w:rsidP="00DB330E">
            <w:pPr>
              <w:pStyle w:val="TableText"/>
              <w:spacing w:before="40" w:after="40"/>
              <w:jc w:val="center"/>
              <w:rPr>
                <w:i/>
                <w:vertAlign w:val="subscript"/>
              </w:rPr>
            </w:pPr>
            <w:r w:rsidRPr="00D9348B">
              <w:t>V</w:t>
            </w:r>
            <w:r w:rsidRPr="00D9348B">
              <w:rPr>
                <w:vertAlign w:val="subscript"/>
              </w:rPr>
              <w:t>2</w:t>
            </w:r>
            <w:r w:rsidRPr="00D9348B">
              <w:t>O</w:t>
            </w:r>
            <w:r w:rsidRPr="00D9348B">
              <w:rPr>
                <w:vertAlign w:val="subscript"/>
              </w:rPr>
              <w:t>3</w:t>
            </w:r>
          </w:p>
        </w:tc>
        <w:tc>
          <w:tcPr>
            <w:tcW w:w="1448" w:type="dxa"/>
            <w:tcBorders>
              <w:top w:val="single" w:sz="4" w:space="0" w:color="365F91"/>
              <w:left w:val="single" w:sz="4" w:space="0" w:color="365F91"/>
              <w:bottom w:val="single" w:sz="4" w:space="0" w:color="365F91"/>
              <w:right w:val="nil"/>
            </w:tcBorders>
            <w:vAlign w:val="center"/>
            <w:hideMark/>
          </w:tcPr>
          <w:p w14:paraId="00D63E36" w14:textId="77777777" w:rsidR="00D30983" w:rsidRPr="00D9348B" w:rsidRDefault="00D30983" w:rsidP="00DB330E">
            <w:pPr>
              <w:pStyle w:val="TableText"/>
              <w:spacing w:before="40" w:after="40"/>
              <w:ind w:right="454"/>
              <w:jc w:val="right"/>
              <w:rPr>
                <w:i/>
              </w:rPr>
            </w:pPr>
            <w:r w:rsidRPr="00D9348B">
              <w:t>0.5</w:t>
            </w:r>
          </w:p>
        </w:tc>
      </w:tr>
      <w:tr w:rsidR="00D30983" w:rsidRPr="00D9348B" w14:paraId="0D547A69" w14:textId="77777777" w:rsidTr="00DB330E">
        <w:trPr>
          <w:jc w:val="center"/>
        </w:trPr>
        <w:tc>
          <w:tcPr>
            <w:tcW w:w="1242" w:type="dxa"/>
            <w:tcBorders>
              <w:top w:val="single" w:sz="4" w:space="0" w:color="365F91"/>
              <w:left w:val="nil"/>
              <w:bottom w:val="single" w:sz="4" w:space="0" w:color="365F91"/>
              <w:right w:val="single" w:sz="4" w:space="0" w:color="365F91"/>
            </w:tcBorders>
            <w:vAlign w:val="center"/>
            <w:hideMark/>
          </w:tcPr>
          <w:p w14:paraId="1BCE6DA3" w14:textId="77777777" w:rsidR="00D30983" w:rsidRPr="00D9348B" w:rsidRDefault="00D30983" w:rsidP="00DB330E">
            <w:pPr>
              <w:pStyle w:val="TableText"/>
              <w:spacing w:before="40" w:after="40"/>
              <w:jc w:val="center"/>
              <w:rPr>
                <w:i/>
              </w:rPr>
            </w:pPr>
            <w:r w:rsidRPr="00D9348B">
              <w:t>Zn</w:t>
            </w:r>
          </w:p>
        </w:tc>
        <w:tc>
          <w:tcPr>
            <w:tcW w:w="1448" w:type="dxa"/>
            <w:tcBorders>
              <w:top w:val="single" w:sz="4" w:space="0" w:color="365F91"/>
              <w:left w:val="single" w:sz="4" w:space="0" w:color="365F91"/>
              <w:bottom w:val="single" w:sz="4" w:space="0" w:color="365F91"/>
              <w:right w:val="nil"/>
            </w:tcBorders>
            <w:vAlign w:val="center"/>
            <w:hideMark/>
          </w:tcPr>
          <w:p w14:paraId="5950D6FC" w14:textId="77777777" w:rsidR="00D30983" w:rsidRPr="00D9348B" w:rsidRDefault="00D30983" w:rsidP="00DB330E">
            <w:pPr>
              <w:pStyle w:val="TableText"/>
              <w:spacing w:before="40" w:after="40"/>
              <w:ind w:right="454"/>
              <w:jc w:val="right"/>
              <w:rPr>
                <w:i/>
              </w:rPr>
            </w:pPr>
            <w:r w:rsidRPr="00D9348B">
              <w:t>0.1</w:t>
            </w:r>
          </w:p>
        </w:tc>
      </w:tr>
      <w:tr w:rsidR="00D30983" w:rsidRPr="00D9348B" w14:paraId="4C3B108E" w14:textId="77777777" w:rsidTr="00DB330E">
        <w:trPr>
          <w:jc w:val="center"/>
        </w:trPr>
        <w:tc>
          <w:tcPr>
            <w:tcW w:w="1242" w:type="dxa"/>
            <w:tcBorders>
              <w:top w:val="single" w:sz="4" w:space="0" w:color="365F91"/>
              <w:left w:val="nil"/>
              <w:bottom w:val="single" w:sz="4" w:space="0" w:color="365F91"/>
              <w:right w:val="single" w:sz="4" w:space="0" w:color="365F91"/>
            </w:tcBorders>
            <w:vAlign w:val="center"/>
            <w:hideMark/>
          </w:tcPr>
          <w:p w14:paraId="7CE8C118" w14:textId="77777777" w:rsidR="00D30983" w:rsidRPr="00D9348B" w:rsidRDefault="00D30983" w:rsidP="00DB330E">
            <w:pPr>
              <w:pStyle w:val="TableText"/>
              <w:spacing w:before="40" w:after="40"/>
              <w:jc w:val="center"/>
              <w:rPr>
                <w:i/>
              </w:rPr>
            </w:pPr>
            <w:r w:rsidRPr="00D9348B">
              <w:t>Na</w:t>
            </w:r>
            <w:r w:rsidRPr="00D9348B">
              <w:rPr>
                <w:vertAlign w:val="subscript"/>
              </w:rPr>
              <w:t>2</w:t>
            </w:r>
            <w:r w:rsidRPr="00D9348B">
              <w:t>O</w:t>
            </w:r>
          </w:p>
        </w:tc>
        <w:tc>
          <w:tcPr>
            <w:tcW w:w="1448" w:type="dxa"/>
            <w:tcBorders>
              <w:top w:val="single" w:sz="4" w:space="0" w:color="365F91"/>
              <w:left w:val="single" w:sz="4" w:space="0" w:color="365F91"/>
              <w:bottom w:val="single" w:sz="4" w:space="0" w:color="365F91"/>
              <w:right w:val="nil"/>
            </w:tcBorders>
            <w:vAlign w:val="center"/>
            <w:hideMark/>
          </w:tcPr>
          <w:p w14:paraId="0844A358" w14:textId="77777777" w:rsidR="00D30983" w:rsidRPr="00D9348B" w:rsidRDefault="00D30983" w:rsidP="00DB330E">
            <w:pPr>
              <w:pStyle w:val="TableText"/>
              <w:spacing w:before="40" w:after="40"/>
              <w:ind w:right="454"/>
              <w:jc w:val="right"/>
              <w:rPr>
                <w:i/>
              </w:rPr>
            </w:pPr>
            <w:r w:rsidRPr="00D9348B">
              <w:t>0.1</w:t>
            </w:r>
          </w:p>
        </w:tc>
      </w:tr>
      <w:tr w:rsidR="00D30983" w:rsidRPr="00D9348B" w14:paraId="709A750F" w14:textId="77777777" w:rsidTr="00DB330E">
        <w:trPr>
          <w:jc w:val="center"/>
        </w:trPr>
        <w:tc>
          <w:tcPr>
            <w:tcW w:w="1242" w:type="dxa"/>
            <w:tcBorders>
              <w:top w:val="single" w:sz="4" w:space="0" w:color="365F91"/>
              <w:left w:val="nil"/>
              <w:bottom w:val="single" w:sz="4" w:space="0" w:color="365F91"/>
              <w:right w:val="single" w:sz="4" w:space="0" w:color="365F91"/>
            </w:tcBorders>
            <w:vAlign w:val="center"/>
            <w:hideMark/>
          </w:tcPr>
          <w:p w14:paraId="10F6EA29" w14:textId="77777777" w:rsidR="00D30983" w:rsidRPr="00D9348B" w:rsidRDefault="00D30983" w:rsidP="00DB330E">
            <w:pPr>
              <w:pStyle w:val="TableText"/>
              <w:spacing w:before="40" w:after="40"/>
              <w:jc w:val="center"/>
              <w:rPr>
                <w:i/>
              </w:rPr>
            </w:pPr>
            <w:r w:rsidRPr="00D9348B">
              <w:t>Cr</w:t>
            </w:r>
          </w:p>
        </w:tc>
        <w:tc>
          <w:tcPr>
            <w:tcW w:w="1448" w:type="dxa"/>
            <w:tcBorders>
              <w:top w:val="single" w:sz="4" w:space="0" w:color="365F91"/>
              <w:left w:val="single" w:sz="4" w:space="0" w:color="365F91"/>
              <w:bottom w:val="single" w:sz="4" w:space="0" w:color="365F91"/>
              <w:right w:val="nil"/>
            </w:tcBorders>
            <w:vAlign w:val="center"/>
            <w:hideMark/>
          </w:tcPr>
          <w:p w14:paraId="6B81E0D0" w14:textId="77777777" w:rsidR="00D30983" w:rsidRPr="00D9348B" w:rsidRDefault="00D30983" w:rsidP="00DB330E">
            <w:pPr>
              <w:pStyle w:val="TableText"/>
              <w:spacing w:before="40" w:after="40"/>
              <w:ind w:right="454"/>
              <w:jc w:val="right"/>
              <w:rPr>
                <w:i/>
              </w:rPr>
            </w:pPr>
            <w:r w:rsidRPr="00D9348B">
              <w:t>0.0</w:t>
            </w:r>
          </w:p>
        </w:tc>
      </w:tr>
      <w:tr w:rsidR="00D30983" w:rsidRPr="00D9348B" w14:paraId="419F08F0" w14:textId="77777777" w:rsidTr="00DB330E">
        <w:trPr>
          <w:jc w:val="center"/>
        </w:trPr>
        <w:tc>
          <w:tcPr>
            <w:tcW w:w="1242" w:type="dxa"/>
            <w:tcBorders>
              <w:top w:val="single" w:sz="4" w:space="0" w:color="365F91"/>
              <w:left w:val="nil"/>
              <w:bottom w:val="single" w:sz="4" w:space="0" w:color="365F91"/>
              <w:right w:val="single" w:sz="4" w:space="0" w:color="365F91"/>
            </w:tcBorders>
            <w:vAlign w:val="center"/>
            <w:hideMark/>
          </w:tcPr>
          <w:p w14:paraId="7089B70F" w14:textId="77777777" w:rsidR="00D30983" w:rsidRPr="00D9348B" w:rsidRDefault="00D30983" w:rsidP="00DB330E">
            <w:pPr>
              <w:pStyle w:val="TableText"/>
              <w:spacing w:before="40" w:after="40"/>
              <w:jc w:val="center"/>
              <w:rPr>
                <w:i/>
              </w:rPr>
            </w:pPr>
            <w:r w:rsidRPr="00D9348B">
              <w:t>P</w:t>
            </w:r>
          </w:p>
        </w:tc>
        <w:tc>
          <w:tcPr>
            <w:tcW w:w="1448" w:type="dxa"/>
            <w:tcBorders>
              <w:top w:val="single" w:sz="4" w:space="0" w:color="365F91"/>
              <w:left w:val="single" w:sz="4" w:space="0" w:color="365F91"/>
              <w:bottom w:val="single" w:sz="4" w:space="0" w:color="365F91"/>
              <w:right w:val="nil"/>
            </w:tcBorders>
            <w:vAlign w:val="center"/>
            <w:hideMark/>
          </w:tcPr>
          <w:p w14:paraId="6E40A8F7" w14:textId="77777777" w:rsidR="00D30983" w:rsidRPr="00D9348B" w:rsidRDefault="00D30983" w:rsidP="00DB330E">
            <w:pPr>
              <w:pStyle w:val="TableText"/>
              <w:spacing w:before="40" w:after="40"/>
              <w:ind w:right="454"/>
              <w:jc w:val="right"/>
              <w:rPr>
                <w:i/>
              </w:rPr>
            </w:pPr>
            <w:r w:rsidRPr="00D9348B">
              <w:t>0.0</w:t>
            </w:r>
          </w:p>
        </w:tc>
      </w:tr>
      <w:tr w:rsidR="00D30983" w:rsidRPr="00D9348B" w14:paraId="53F2110C" w14:textId="77777777" w:rsidTr="00DB330E">
        <w:trPr>
          <w:jc w:val="center"/>
        </w:trPr>
        <w:tc>
          <w:tcPr>
            <w:tcW w:w="1242" w:type="dxa"/>
            <w:tcBorders>
              <w:top w:val="single" w:sz="4" w:space="0" w:color="365F91"/>
              <w:left w:val="nil"/>
              <w:bottom w:val="single" w:sz="4" w:space="0" w:color="365F91"/>
              <w:right w:val="single" w:sz="4" w:space="0" w:color="365F91"/>
            </w:tcBorders>
            <w:vAlign w:val="center"/>
            <w:hideMark/>
          </w:tcPr>
          <w:p w14:paraId="0D26A6BF" w14:textId="77777777" w:rsidR="00D30983" w:rsidRPr="00D9348B" w:rsidRDefault="00D30983" w:rsidP="00DB330E">
            <w:pPr>
              <w:pStyle w:val="TableText"/>
              <w:spacing w:before="40" w:after="40"/>
              <w:jc w:val="center"/>
              <w:rPr>
                <w:i/>
              </w:rPr>
            </w:pPr>
            <w:r w:rsidRPr="00D9348B">
              <w:t>K</w:t>
            </w:r>
            <w:r w:rsidRPr="00D9348B">
              <w:rPr>
                <w:vertAlign w:val="subscript"/>
              </w:rPr>
              <w:t>2</w:t>
            </w:r>
            <w:r w:rsidRPr="00D9348B">
              <w:t>O</w:t>
            </w:r>
          </w:p>
        </w:tc>
        <w:tc>
          <w:tcPr>
            <w:tcW w:w="1448" w:type="dxa"/>
            <w:tcBorders>
              <w:top w:val="single" w:sz="4" w:space="0" w:color="365F91"/>
              <w:left w:val="single" w:sz="4" w:space="0" w:color="365F91"/>
              <w:bottom w:val="single" w:sz="4" w:space="0" w:color="365F91"/>
              <w:right w:val="nil"/>
            </w:tcBorders>
            <w:vAlign w:val="center"/>
            <w:hideMark/>
          </w:tcPr>
          <w:p w14:paraId="1ED7B2C6" w14:textId="77777777" w:rsidR="00D30983" w:rsidRPr="00D9348B" w:rsidRDefault="00D30983" w:rsidP="00DB330E">
            <w:pPr>
              <w:pStyle w:val="TableText"/>
              <w:spacing w:before="40" w:after="40"/>
              <w:ind w:right="454"/>
              <w:jc w:val="right"/>
              <w:rPr>
                <w:i/>
              </w:rPr>
            </w:pPr>
            <w:r w:rsidRPr="00D9348B">
              <w:t>0.0</w:t>
            </w:r>
          </w:p>
        </w:tc>
      </w:tr>
      <w:tr w:rsidR="00D30983" w:rsidRPr="00D9348B" w14:paraId="02609F51" w14:textId="77777777" w:rsidTr="00DB330E">
        <w:trPr>
          <w:jc w:val="center"/>
        </w:trPr>
        <w:tc>
          <w:tcPr>
            <w:tcW w:w="1242" w:type="dxa"/>
            <w:tcBorders>
              <w:top w:val="single" w:sz="4" w:space="0" w:color="365F91"/>
              <w:left w:val="nil"/>
              <w:bottom w:val="single" w:sz="4" w:space="0" w:color="365F91"/>
              <w:right w:val="single" w:sz="4" w:space="0" w:color="365F91"/>
            </w:tcBorders>
            <w:vAlign w:val="center"/>
            <w:hideMark/>
          </w:tcPr>
          <w:p w14:paraId="0884DF44" w14:textId="77777777" w:rsidR="00D30983" w:rsidRPr="00D9348B" w:rsidRDefault="00D30983" w:rsidP="00DB330E">
            <w:pPr>
              <w:pStyle w:val="TableText"/>
              <w:spacing w:before="40" w:after="40"/>
              <w:jc w:val="center"/>
              <w:rPr>
                <w:i/>
              </w:rPr>
            </w:pPr>
            <w:r w:rsidRPr="00D9348B">
              <w:t>Cu</w:t>
            </w:r>
          </w:p>
        </w:tc>
        <w:tc>
          <w:tcPr>
            <w:tcW w:w="1448" w:type="dxa"/>
            <w:tcBorders>
              <w:top w:val="single" w:sz="4" w:space="0" w:color="365F91"/>
              <w:left w:val="single" w:sz="4" w:space="0" w:color="365F91"/>
              <w:bottom w:val="single" w:sz="4" w:space="0" w:color="365F91"/>
              <w:right w:val="nil"/>
            </w:tcBorders>
            <w:vAlign w:val="center"/>
            <w:hideMark/>
          </w:tcPr>
          <w:p w14:paraId="6C75E860" w14:textId="77777777" w:rsidR="00D30983" w:rsidRPr="00D9348B" w:rsidRDefault="00D30983" w:rsidP="00DB330E">
            <w:pPr>
              <w:pStyle w:val="TableText"/>
              <w:spacing w:before="40" w:after="40"/>
              <w:ind w:right="454"/>
              <w:jc w:val="right"/>
              <w:rPr>
                <w:i/>
              </w:rPr>
            </w:pPr>
            <w:r w:rsidRPr="00D9348B">
              <w:t>0.0</w:t>
            </w:r>
          </w:p>
        </w:tc>
      </w:tr>
      <w:tr w:rsidR="00D30983" w:rsidRPr="00D9348B" w14:paraId="2FF3EDF1" w14:textId="77777777" w:rsidTr="00DB330E">
        <w:trPr>
          <w:jc w:val="center"/>
        </w:trPr>
        <w:tc>
          <w:tcPr>
            <w:tcW w:w="1242" w:type="dxa"/>
            <w:tcBorders>
              <w:top w:val="single" w:sz="4" w:space="0" w:color="365F91"/>
              <w:left w:val="nil"/>
              <w:bottom w:val="single" w:sz="4" w:space="0" w:color="365F91"/>
              <w:right w:val="single" w:sz="4" w:space="0" w:color="365F91"/>
            </w:tcBorders>
            <w:vAlign w:val="center"/>
            <w:hideMark/>
          </w:tcPr>
          <w:p w14:paraId="4FCCA464" w14:textId="77777777" w:rsidR="00D30983" w:rsidRPr="00D9348B" w:rsidRDefault="00D30983" w:rsidP="00DB330E">
            <w:pPr>
              <w:pStyle w:val="TableText"/>
              <w:spacing w:before="40" w:after="40"/>
              <w:jc w:val="center"/>
              <w:rPr>
                <w:i/>
              </w:rPr>
            </w:pPr>
            <w:r w:rsidRPr="00D9348B">
              <w:t>Sum</w:t>
            </w:r>
          </w:p>
        </w:tc>
        <w:tc>
          <w:tcPr>
            <w:tcW w:w="1448" w:type="dxa"/>
            <w:tcBorders>
              <w:top w:val="single" w:sz="4" w:space="0" w:color="365F91"/>
              <w:left w:val="single" w:sz="4" w:space="0" w:color="365F91"/>
              <w:bottom w:val="single" w:sz="4" w:space="0" w:color="365F91"/>
              <w:right w:val="nil"/>
            </w:tcBorders>
            <w:vAlign w:val="center"/>
            <w:hideMark/>
          </w:tcPr>
          <w:p w14:paraId="78CB727C" w14:textId="77777777" w:rsidR="00D30983" w:rsidRPr="00D9348B" w:rsidRDefault="00D30983" w:rsidP="00DB330E">
            <w:pPr>
              <w:pStyle w:val="TableText"/>
              <w:spacing w:before="40" w:after="40"/>
              <w:ind w:right="454"/>
              <w:jc w:val="right"/>
              <w:rPr>
                <w:i/>
              </w:rPr>
            </w:pPr>
            <w:r w:rsidRPr="00D9348B">
              <w:t>100.0</w:t>
            </w:r>
          </w:p>
        </w:tc>
      </w:tr>
    </w:tbl>
    <w:p w14:paraId="3BFC09CC" w14:textId="77777777" w:rsidR="00D30983" w:rsidRPr="00D9348B" w:rsidRDefault="00D30983" w:rsidP="00D30983">
      <w:pPr>
        <w:pStyle w:val="BodyText"/>
        <w:keepNext/>
        <w:spacing w:before="360"/>
      </w:pPr>
      <w:r w:rsidRPr="00D9348B">
        <w:lastRenderedPageBreak/>
        <w:t>Figure 4.4.1 shows a simplified illustration of steel production in New Zealand.</w:t>
      </w:r>
    </w:p>
    <w:p w14:paraId="4F10A961" w14:textId="77777777" w:rsidR="00D30983" w:rsidRPr="00D9348B" w:rsidRDefault="00D30983" w:rsidP="00D30983">
      <w:pPr>
        <w:pStyle w:val="Figure"/>
        <w:spacing w:after="0"/>
      </w:pPr>
      <w:bookmarkStart w:id="504" w:name="_Toc5269682"/>
      <w:bookmarkStart w:id="505" w:name="_Toc36292785"/>
      <w:r w:rsidRPr="00D9348B">
        <w:t xml:space="preserve">Figure 4.4.1 </w:t>
      </w:r>
      <w:r w:rsidRPr="00D9348B">
        <w:tab/>
        <w:t>Simplified schematic of iron and steel production in New Zealand</w:t>
      </w:r>
      <w:bookmarkEnd w:id="504"/>
      <w:bookmarkEnd w:id="505"/>
    </w:p>
    <w:p w14:paraId="4D3ED903" w14:textId="76037F62" w:rsidR="00D30983" w:rsidRPr="00D9348B" w:rsidRDefault="007165CF" w:rsidP="00D30983">
      <w:pPr>
        <w:pStyle w:val="BodyText"/>
      </w:pPr>
      <w:r>
        <w:pict w14:anchorId="52432C33">
          <v:shape id="_x0000_i1069" type="#_x0000_t75" style="width:415.7pt;height:252.3pt;visibility:visible;mso-wrap-style:square">
            <v:imagedata r:id="rId98" o:title="" croptop="17447f" cropbottom="9401f" cropleft="13869f" cropright="17542f"/>
          </v:shape>
        </w:pict>
      </w:r>
    </w:p>
    <w:p w14:paraId="7F181BB5" w14:textId="77777777" w:rsidR="00D30983" w:rsidRPr="00D9348B" w:rsidRDefault="00D30983" w:rsidP="00D30983">
      <w:pPr>
        <w:pStyle w:val="BodyText"/>
      </w:pPr>
      <w:r w:rsidRPr="00D9348B">
        <w:t>Nearly all of the carbon entering the process is from coal used as a reductant in the iron-making process, and nearly all of this is emitted as CO</w:t>
      </w:r>
      <w:r w:rsidRPr="00D9348B">
        <w:rPr>
          <w:vertAlign w:val="subscript"/>
        </w:rPr>
        <w:t>2</w:t>
      </w:r>
      <w:r w:rsidRPr="00D9348B">
        <w:t xml:space="preserve"> in two waste gas streams: </w:t>
      </w:r>
    </w:p>
    <w:p w14:paraId="5AEBE3DE" w14:textId="77777777" w:rsidR="00D30983" w:rsidRPr="00D9348B" w:rsidRDefault="00D30983" w:rsidP="00D30983">
      <w:pPr>
        <w:pStyle w:val="Bullet"/>
      </w:pPr>
      <w:r w:rsidRPr="00D9348B">
        <w:t>gas generated in multihearth furnaces used to heat and dry concentrated iron sand and coal – this gas contains excess volatiles from the coal</w:t>
      </w:r>
    </w:p>
    <w:p w14:paraId="269191E5" w14:textId="77777777" w:rsidR="00D30983" w:rsidRPr="00D9348B" w:rsidRDefault="00D30983" w:rsidP="00771A8F">
      <w:pPr>
        <w:pStyle w:val="Bullet"/>
        <w:numPr>
          <w:ilvl w:val="0"/>
          <w:numId w:val="20"/>
        </w:numPr>
      </w:pPr>
      <w:proofErr w:type="gramStart"/>
      <w:r w:rsidRPr="00D9348B">
        <w:t>gas</w:t>
      </w:r>
      <w:proofErr w:type="gramEnd"/>
      <w:r w:rsidRPr="00D9348B">
        <w:t xml:space="preserve"> generated in rotary reduction kilns used to convert oxide in the iron sand to iron – this gas is rich in CO. </w:t>
      </w:r>
    </w:p>
    <w:p w14:paraId="3996B44A" w14:textId="77777777" w:rsidR="00D30983" w:rsidRPr="00D9348B" w:rsidRDefault="00D30983" w:rsidP="00D30983">
      <w:pPr>
        <w:pStyle w:val="BodyText"/>
        <w:spacing w:before="100" w:after="100"/>
      </w:pPr>
      <w:r w:rsidRPr="00D9348B">
        <w:t xml:space="preserve">All of this waste gas is combusted in ‘afterburners’ and used for electricity production. It would not be acceptable for gas containing coal volatiles or CO to be emitted without this combustion stage. There is no other flaring or disposal mode for the waste gases. </w:t>
      </w:r>
    </w:p>
    <w:p w14:paraId="658F5A44" w14:textId="77777777" w:rsidR="00D30983" w:rsidRPr="00D9348B" w:rsidRDefault="00D30983" w:rsidP="00D30983">
      <w:pPr>
        <w:pStyle w:val="BodyText"/>
        <w:spacing w:before="100" w:after="100"/>
      </w:pPr>
      <w:r w:rsidRPr="00D9348B">
        <w:t>Much smaller amounts of CO</w:t>
      </w:r>
      <w:r w:rsidRPr="00D9348B">
        <w:rPr>
          <w:vertAlign w:val="subscript"/>
        </w:rPr>
        <w:t>2</w:t>
      </w:r>
      <w:r w:rsidRPr="00D9348B">
        <w:t xml:space="preserve"> are derived from limestone added to the multihearth furnaces, and from additives and natural gas used in melters and steel making. </w:t>
      </w:r>
    </w:p>
    <w:p w14:paraId="4786C54F" w14:textId="77777777" w:rsidR="00D30983" w:rsidRPr="00D9348B" w:rsidRDefault="00D30983" w:rsidP="00D30983">
      <w:pPr>
        <w:pStyle w:val="Heading5"/>
        <w:spacing w:before="120"/>
      </w:pPr>
      <w:r w:rsidRPr="00D9348B">
        <w:t>Aluminium production (2.C.3)</w:t>
      </w:r>
    </w:p>
    <w:p w14:paraId="184C430A" w14:textId="77777777" w:rsidR="00D30983" w:rsidRPr="00D9348B" w:rsidRDefault="00D30983" w:rsidP="00D30983">
      <w:pPr>
        <w:pStyle w:val="BodyText"/>
        <w:spacing w:before="100" w:after="100"/>
      </w:pPr>
      <w:r w:rsidRPr="00D9348B">
        <w:t>Carbon dioxide is emitted during the oxidation of carbon anodes. The two PFCs perfluoromethane (CF</w:t>
      </w:r>
      <w:r w:rsidRPr="00D9348B">
        <w:rPr>
          <w:vertAlign w:val="subscript"/>
        </w:rPr>
        <w:t>4</w:t>
      </w:r>
      <w:r w:rsidRPr="00D9348B">
        <w:t>) and perfluoroethane (C</w:t>
      </w:r>
      <w:r w:rsidRPr="00D9348B">
        <w:rPr>
          <w:vertAlign w:val="subscript"/>
        </w:rPr>
        <w:t>2</w:t>
      </w:r>
      <w:r w:rsidRPr="00D9348B">
        <w:t>F</w:t>
      </w:r>
      <w:r w:rsidRPr="00D9348B">
        <w:rPr>
          <w:vertAlign w:val="subscript"/>
        </w:rPr>
        <w:t>6</w:t>
      </w:r>
      <w:r w:rsidRPr="00D9348B">
        <w:t xml:space="preserve">) are emitted from the reduction cells used for smelting during anode effects. An anode effect occurs when the aluminium oxide concentration in the cell is low. The emissions from combustion of various fuels used in aluminium production (heavy fuel oil, liquefied petroleum gas, petrol and diesel) are reported in the Energy sector. </w:t>
      </w:r>
    </w:p>
    <w:p w14:paraId="40B49A38" w14:textId="77777777" w:rsidR="00D30983" w:rsidRPr="00D9348B" w:rsidRDefault="00D30983" w:rsidP="00D30983">
      <w:pPr>
        <w:pStyle w:val="BodyText"/>
        <w:spacing w:before="100" w:after="100"/>
      </w:pPr>
      <w:r w:rsidRPr="00D9348B">
        <w:t xml:space="preserve">In 2018, the </w:t>
      </w:r>
      <w:r w:rsidRPr="00D9348B">
        <w:rPr>
          <w:i/>
        </w:rPr>
        <w:t>Aluminium production</w:t>
      </w:r>
      <w:r w:rsidRPr="00D9348B">
        <w:t xml:space="preserve"> category accounted for 627.3 kt CO</w:t>
      </w:r>
      <w:r w:rsidRPr="00D9348B">
        <w:rPr>
          <w:vertAlign w:val="subscript"/>
        </w:rPr>
        <w:t>2</w:t>
      </w:r>
      <w:r w:rsidRPr="00D9348B">
        <w:t xml:space="preserve">-e (27.0 per cent) of emissions from the </w:t>
      </w:r>
      <w:r w:rsidRPr="00D9348B">
        <w:rPr>
          <w:i/>
        </w:rPr>
        <w:t>Metal industry</w:t>
      </w:r>
      <w:r w:rsidRPr="00D9348B">
        <w:t xml:space="preserve"> category. Activity data (production of hot metal aluminium from the smelter) and estimates of CO</w:t>
      </w:r>
      <w:r w:rsidRPr="00D9348B">
        <w:rPr>
          <w:vertAlign w:val="subscript"/>
        </w:rPr>
        <w:t xml:space="preserve">2 </w:t>
      </w:r>
      <w:r w:rsidRPr="00D9348B">
        <w:t>and PFC emissions were supplied by NZAS to MBIE until 2010. From 2011 to 2018, the CO</w:t>
      </w:r>
      <w:r w:rsidRPr="00D9348B">
        <w:rPr>
          <w:vertAlign w:val="subscript"/>
        </w:rPr>
        <w:t>2</w:t>
      </w:r>
      <w:r w:rsidRPr="00D9348B">
        <w:t xml:space="preserve"> and PFC emissions data and activity data have been sourced from the company’s NZ ETS reporting. </w:t>
      </w:r>
    </w:p>
    <w:p w14:paraId="6B8D2A09" w14:textId="77777777" w:rsidR="00D30983" w:rsidRPr="00D9348B" w:rsidRDefault="00D30983" w:rsidP="00D30983">
      <w:pPr>
        <w:pStyle w:val="Heading5"/>
        <w:spacing w:before="120"/>
      </w:pPr>
      <w:r w:rsidRPr="00D9348B">
        <w:lastRenderedPageBreak/>
        <w:t>Magnesium and other metal production</w:t>
      </w:r>
    </w:p>
    <w:p w14:paraId="2192975A" w14:textId="77777777" w:rsidR="00D30983" w:rsidRPr="00D9348B" w:rsidRDefault="00D30983" w:rsidP="00D30983">
      <w:pPr>
        <w:pStyle w:val="BodyText"/>
        <w:spacing w:before="100" w:after="100"/>
      </w:pPr>
      <w:r w:rsidRPr="00D9348B">
        <w:t>From 1990 to 1999 a very small amount of SF</w:t>
      </w:r>
      <w:r w:rsidRPr="00D9348B">
        <w:rPr>
          <w:vertAlign w:val="subscript"/>
        </w:rPr>
        <w:t>6</w:t>
      </w:r>
      <w:r w:rsidRPr="00D9348B">
        <w:t xml:space="preserve"> was used as a cover gas in a magnesium foundry. Emissions are estimated based on an approximate estimate of the amount of SF</w:t>
      </w:r>
      <w:r w:rsidRPr="00D9348B">
        <w:rPr>
          <w:vertAlign w:val="subscript"/>
        </w:rPr>
        <w:t>6</w:t>
      </w:r>
      <w:r w:rsidRPr="00D9348B">
        <w:t xml:space="preserve"> that was used (2.C.4). No other activity data are available (CRL Energy, </w:t>
      </w:r>
      <w:proofErr w:type="gramStart"/>
      <w:r w:rsidRPr="00D9348B">
        <w:rPr>
          <w:rFonts w:eastAsia="+mn-ea"/>
        </w:rPr>
        <w:t>unpublished(</w:t>
      </w:r>
      <w:proofErr w:type="gramEnd"/>
      <w:r w:rsidRPr="00D9348B">
        <w:rPr>
          <w:rFonts w:eastAsia="+mn-ea"/>
        </w:rPr>
        <w:t>b)</w:t>
      </w:r>
      <w:r w:rsidRPr="00D9348B">
        <w:t xml:space="preserve">). </w:t>
      </w:r>
    </w:p>
    <w:p w14:paraId="0FC529BF" w14:textId="77777777" w:rsidR="00D30983" w:rsidRPr="00D9348B" w:rsidRDefault="00D30983" w:rsidP="00D30983">
      <w:pPr>
        <w:pStyle w:val="BodyText"/>
        <w:spacing w:before="100" w:after="100"/>
      </w:pPr>
      <w:r w:rsidRPr="00D9348B">
        <w:t>A very small amount of CO</w:t>
      </w:r>
      <w:r w:rsidRPr="00D9348B">
        <w:rPr>
          <w:vertAlign w:val="subscript"/>
        </w:rPr>
        <w:t>2</w:t>
      </w:r>
      <w:r w:rsidRPr="00D9348B">
        <w:t xml:space="preserve"> emissions was also reported from secondary lead production between 1990 and 2015, with the approximate recycled lead output as the activity data. This production has now stopped. The only other metal production that occurs in New Zealand is gold and silver mining. No emissions are reported from these activities. </w:t>
      </w:r>
    </w:p>
    <w:p w14:paraId="19DF33E5" w14:textId="77777777" w:rsidR="00D30983" w:rsidRPr="00D9348B" w:rsidRDefault="00D30983" w:rsidP="00865BDB">
      <w:pPr>
        <w:pStyle w:val="Heading4"/>
      </w:pPr>
      <w:r w:rsidRPr="00D9348B">
        <w:t>Choice of methods</w:t>
      </w:r>
    </w:p>
    <w:p w14:paraId="22D691D0" w14:textId="77777777" w:rsidR="00D30983" w:rsidRPr="00D9348B" w:rsidRDefault="00D30983" w:rsidP="00D30983">
      <w:pPr>
        <w:pStyle w:val="Heading5"/>
        <w:spacing w:before="120"/>
      </w:pPr>
      <w:r w:rsidRPr="00D9348B">
        <w:t>Iron and steel production (2.C.1 and 2.C.1.a)</w:t>
      </w:r>
    </w:p>
    <w:p w14:paraId="1CA4A631" w14:textId="77777777" w:rsidR="00D30983" w:rsidRPr="00D9348B" w:rsidRDefault="00D30983" w:rsidP="00D30983">
      <w:pPr>
        <w:pStyle w:val="BodyText"/>
        <w:spacing w:before="100" w:after="100"/>
      </w:pPr>
      <w:r w:rsidRPr="00D9348B">
        <w:t>The IPCC Tier 2 approach is used for calculating CO</w:t>
      </w:r>
      <w:r w:rsidRPr="00D9348B">
        <w:rPr>
          <w:vertAlign w:val="subscript"/>
        </w:rPr>
        <w:t>2</w:t>
      </w:r>
      <w:r w:rsidRPr="00D9348B">
        <w:t xml:space="preserve"> emissions from the iron and steel plant operated by New Zealand Steel Limited. Emissions from pig iron and steel production are not estimated separately because all of the iron made is processed into steel. This is a mass balance approach in which all carbon in inputs is assumed to be emitted, except the small amount sequestered in the steel produced. </w:t>
      </w:r>
    </w:p>
    <w:p w14:paraId="7388602B" w14:textId="77777777" w:rsidR="00D30983" w:rsidRPr="00D9348B" w:rsidRDefault="00D30983" w:rsidP="00D30983">
      <w:pPr>
        <w:pStyle w:val="BodyText"/>
        <w:spacing w:before="100" w:after="100"/>
      </w:pPr>
      <w:r w:rsidRPr="00D9348B">
        <w:t>Most of the input carbon comes from the coal used as a reductant. There are also some CO</w:t>
      </w:r>
      <w:r w:rsidRPr="00D9348B">
        <w:rPr>
          <w:vertAlign w:val="subscript"/>
        </w:rPr>
        <w:t>2</w:t>
      </w:r>
      <w:r w:rsidRPr="00D9348B">
        <w:t xml:space="preserve"> emissions from the use of limestone in iron and steel production. These emissions are reported in the </w:t>
      </w:r>
      <w:r w:rsidRPr="00D9348B">
        <w:rPr>
          <w:i/>
        </w:rPr>
        <w:t>Mineral industry</w:t>
      </w:r>
      <w:r w:rsidRPr="00D9348B">
        <w:t xml:space="preserve"> source category (2.A.4.d), to preserve the confidentiality of data on limestone use supplied by companies in the </w:t>
      </w:r>
      <w:r w:rsidRPr="00D9348B">
        <w:rPr>
          <w:i/>
        </w:rPr>
        <w:t>Glass production</w:t>
      </w:r>
      <w:r w:rsidRPr="00D9348B">
        <w:t xml:space="preserve"> category. A very small amount of CO</w:t>
      </w:r>
      <w:r w:rsidRPr="00D9348B">
        <w:rPr>
          <w:vertAlign w:val="subscript"/>
        </w:rPr>
        <w:t>2</w:t>
      </w:r>
      <w:r w:rsidRPr="00D9348B">
        <w:t xml:space="preserve"> from other carbon-containing inputs (coke and electrodes) is also included. </w:t>
      </w:r>
    </w:p>
    <w:p w14:paraId="51DE3E91" w14:textId="77777777" w:rsidR="00D30983" w:rsidRPr="00D9348B" w:rsidRDefault="00D30983" w:rsidP="00D30983">
      <w:pPr>
        <w:pStyle w:val="BodyText"/>
        <w:spacing w:before="100" w:after="100"/>
      </w:pPr>
      <w:r w:rsidRPr="00D9348B">
        <w:t xml:space="preserve">Emissions from the production of steel by Pacific Steel have also been estimated using the Tier 2 mass balance approach. The average carbon content (0.2 per cent by mass) in the finished product is subtracted from the total carbon in inputs to obtain the amount of carbon emitted. Due to limited process data collected and retained by Pacific Steel in the past, emissions for the years 1990 to 1999 were calculated using the average of the implied emission factors for 2000–08 based on production volume. </w:t>
      </w:r>
    </w:p>
    <w:p w14:paraId="56131EB6" w14:textId="77777777" w:rsidR="00D30983" w:rsidRPr="00D9348B" w:rsidRDefault="00D30983" w:rsidP="00276A11">
      <w:pPr>
        <w:pStyle w:val="Heading5"/>
        <w:spacing w:before="120"/>
      </w:pPr>
      <w:r w:rsidRPr="00D9348B">
        <w:t>Aluminium production (2.C.3)</w:t>
      </w:r>
    </w:p>
    <w:p w14:paraId="368E0462" w14:textId="77777777" w:rsidR="00D30983" w:rsidRPr="00D9348B" w:rsidRDefault="00D30983" w:rsidP="00D30983">
      <w:pPr>
        <w:pStyle w:val="BodyText"/>
        <w:spacing w:before="100"/>
      </w:pPr>
      <w:r w:rsidRPr="00D9348B">
        <w:t>NZAS calculates the process CO</w:t>
      </w:r>
      <w:r w:rsidRPr="00D9348B">
        <w:rPr>
          <w:vertAlign w:val="subscript"/>
        </w:rPr>
        <w:t>2</w:t>
      </w:r>
      <w:r w:rsidRPr="00D9348B">
        <w:t xml:space="preserve"> emissions using the International Aluminium Institute’s Tier 3 method (International Aluminium Institute, 2006, equations 1–3), which is compliant with the IPCC 2006a Tier 2 method. The same method is used in NZ ETS reporting for aluminium smelting. This method breaks the prebake anode process into three stages: baked anode consumption, pitch volatiles consumption and packing coke consumption. </w:t>
      </w:r>
    </w:p>
    <w:p w14:paraId="014AFC65" w14:textId="77777777" w:rsidR="00D30983" w:rsidRPr="00D9348B" w:rsidRDefault="00D30983" w:rsidP="00D30983">
      <w:pPr>
        <w:pStyle w:val="BodyText"/>
        <w:spacing w:after="100"/>
      </w:pPr>
      <w:r w:rsidRPr="00D9348B">
        <w:t>Also, NZAS adds soda ash to the reduction cells to maintain the electrolyte chemical composition. This results in CO</w:t>
      </w:r>
      <w:r w:rsidRPr="00D9348B">
        <w:rPr>
          <w:vertAlign w:val="subscript"/>
        </w:rPr>
        <w:t>2</w:t>
      </w:r>
      <w:r w:rsidRPr="00D9348B">
        <w:t xml:space="preserve"> emissions as a by-product. These emissions are reported in the </w:t>
      </w:r>
      <w:r w:rsidRPr="00D9348B">
        <w:rPr>
          <w:i/>
        </w:rPr>
        <w:t>Mineral industry</w:t>
      </w:r>
      <w:r w:rsidRPr="00D9348B">
        <w:t xml:space="preserve"> source category (2.A.4.b), to preserve the confidentiality of data on soda ash use supplied by companies in the </w:t>
      </w:r>
      <w:r w:rsidRPr="00D9348B">
        <w:rPr>
          <w:i/>
        </w:rPr>
        <w:t>Glass production</w:t>
      </w:r>
      <w:r w:rsidRPr="00D9348B">
        <w:t xml:space="preserve"> category. </w:t>
      </w:r>
    </w:p>
    <w:p w14:paraId="34C16B89" w14:textId="77777777" w:rsidR="00D30983" w:rsidRPr="00D9348B" w:rsidRDefault="00D30983" w:rsidP="00D30983">
      <w:pPr>
        <w:pStyle w:val="BodyText"/>
        <w:spacing w:after="100"/>
      </w:pPr>
      <w:r w:rsidRPr="00D9348B">
        <w:t>Data on the duration of anode effects at the smelter are available for 1993 and later years. Perfluorocarbon (CF</w:t>
      </w:r>
      <w:r w:rsidRPr="00D9348B">
        <w:rPr>
          <w:vertAlign w:val="subscript"/>
        </w:rPr>
        <w:t>4</w:t>
      </w:r>
      <w:r w:rsidRPr="00D9348B">
        <w:t xml:space="preserve"> and C</w:t>
      </w:r>
      <w:r w:rsidRPr="00D9348B">
        <w:rPr>
          <w:vertAlign w:val="subscript"/>
        </w:rPr>
        <w:t>2</w:t>
      </w:r>
      <w:r w:rsidRPr="00D9348B">
        <w:t>F</w:t>
      </w:r>
      <w:r w:rsidRPr="00D9348B">
        <w:rPr>
          <w:vertAlign w:val="subscript"/>
        </w:rPr>
        <w:t>6</w:t>
      </w:r>
      <w:r w:rsidRPr="00D9348B">
        <w:t xml:space="preserve">) emissions from aluminium production are estimated using: </w:t>
      </w:r>
    </w:p>
    <w:p w14:paraId="7B472D20" w14:textId="77777777" w:rsidR="00D30983" w:rsidRPr="00D9348B" w:rsidRDefault="00D30983" w:rsidP="00771A8F">
      <w:pPr>
        <w:pStyle w:val="Bullet"/>
        <w:numPr>
          <w:ilvl w:val="0"/>
          <w:numId w:val="20"/>
        </w:numPr>
        <w:spacing w:after="100"/>
      </w:pPr>
      <w:proofErr w:type="gramStart"/>
      <w:r w:rsidRPr="00D9348B">
        <w:t>the</w:t>
      </w:r>
      <w:proofErr w:type="gramEnd"/>
      <w:r w:rsidRPr="00D9348B">
        <w:t xml:space="preserve"> IPCC Tier 1 method for the years 1990 and 1991. The data needed to apply a Tier 2 method are not available </w:t>
      </w:r>
    </w:p>
    <w:p w14:paraId="749B1F78" w14:textId="77777777" w:rsidR="00D30983" w:rsidRPr="00D9348B" w:rsidRDefault="00D30983" w:rsidP="00771A8F">
      <w:pPr>
        <w:pStyle w:val="Bullet"/>
        <w:numPr>
          <w:ilvl w:val="0"/>
          <w:numId w:val="20"/>
        </w:numPr>
        <w:spacing w:after="100"/>
      </w:pPr>
      <w:r w:rsidRPr="00D9348B">
        <w:t xml:space="preserve">interpolation for 1992; at this time, there was still no recording of anode effect duration </w:t>
      </w:r>
    </w:p>
    <w:p w14:paraId="7E1323F8" w14:textId="77777777" w:rsidR="00D30983" w:rsidRPr="00D9348B" w:rsidRDefault="00D30983" w:rsidP="00771A8F">
      <w:pPr>
        <w:pStyle w:val="Bullet"/>
        <w:numPr>
          <w:ilvl w:val="0"/>
          <w:numId w:val="20"/>
        </w:numPr>
      </w:pPr>
      <w:proofErr w:type="gramStart"/>
      <w:r w:rsidRPr="00D9348B">
        <w:t>the</w:t>
      </w:r>
      <w:proofErr w:type="gramEnd"/>
      <w:r w:rsidRPr="00D9348B">
        <w:t xml:space="preserve"> IPCC Tier 2 method (using slope coefficients) from 1993 to 2018. This methodology is replicated in the reporting requirements the company now uses in its NZ ETS returns. </w:t>
      </w:r>
    </w:p>
    <w:p w14:paraId="3F57D828" w14:textId="77777777" w:rsidR="00D30983" w:rsidRPr="00D9348B" w:rsidRDefault="00D30983" w:rsidP="00D30983">
      <w:pPr>
        <w:pStyle w:val="BodyText"/>
        <w:rPr>
          <w:spacing w:val="-2"/>
        </w:rPr>
      </w:pPr>
      <w:r w:rsidRPr="00D9348B">
        <w:rPr>
          <w:spacing w:val="-2"/>
        </w:rPr>
        <w:lastRenderedPageBreak/>
        <w:t xml:space="preserve">There are no current plans to directly measure PFC emissions at the smelter, so it is not likely that site-specific slope coefficients (required for the use of Tier 3) will be available for some time. </w:t>
      </w:r>
    </w:p>
    <w:p w14:paraId="280C4223" w14:textId="77777777" w:rsidR="00D30983" w:rsidRPr="00D9348B" w:rsidRDefault="00D30983" w:rsidP="00D30983">
      <w:pPr>
        <w:pStyle w:val="Heading5"/>
        <w:spacing w:before="120"/>
      </w:pPr>
      <w:r w:rsidRPr="00D9348B">
        <w:t>Magnesium production (2.C.4)</w:t>
      </w:r>
    </w:p>
    <w:p w14:paraId="7951F6C1" w14:textId="77777777" w:rsidR="00D30983" w:rsidRPr="00D9348B" w:rsidRDefault="00D30983" w:rsidP="00D30983">
      <w:pPr>
        <w:pStyle w:val="BodyText"/>
      </w:pPr>
      <w:r w:rsidRPr="00D9348B">
        <w:t>Emissions are estimated based on an approximate estimate of the amount of SF</w:t>
      </w:r>
      <w:r w:rsidRPr="00D9348B">
        <w:rPr>
          <w:vertAlign w:val="subscript"/>
        </w:rPr>
        <w:t>6</w:t>
      </w:r>
      <w:r w:rsidRPr="00D9348B">
        <w:t xml:space="preserve"> that was used as cover gas and on the basis that all SF</w:t>
      </w:r>
      <w:r w:rsidRPr="00D9348B">
        <w:rPr>
          <w:vertAlign w:val="subscript"/>
        </w:rPr>
        <w:t>6</w:t>
      </w:r>
      <w:r w:rsidRPr="00D9348B">
        <w:t xml:space="preserve"> used is emitted. The method is Tier 1. </w:t>
      </w:r>
    </w:p>
    <w:p w14:paraId="5874333D" w14:textId="77777777" w:rsidR="00D30983" w:rsidRPr="00D9348B" w:rsidRDefault="00D30983" w:rsidP="00D30983">
      <w:pPr>
        <w:pStyle w:val="Heading5"/>
        <w:spacing w:before="120"/>
      </w:pPr>
      <w:r w:rsidRPr="00D9348B">
        <w:t>Lead production (2.C.5)</w:t>
      </w:r>
    </w:p>
    <w:p w14:paraId="7CDE7F00" w14:textId="77777777" w:rsidR="00D30983" w:rsidRPr="00D9348B" w:rsidRDefault="00D30983" w:rsidP="00D30983">
      <w:pPr>
        <w:pStyle w:val="BodyText"/>
      </w:pPr>
      <w:r w:rsidRPr="00D9348B">
        <w:t xml:space="preserve">The Tier 1 methodology is used. </w:t>
      </w:r>
    </w:p>
    <w:p w14:paraId="7EBB2D04" w14:textId="77777777" w:rsidR="00D30983" w:rsidRPr="00D9348B" w:rsidRDefault="00D30983" w:rsidP="00865BDB">
      <w:pPr>
        <w:pStyle w:val="Heading4"/>
        <w:rPr>
          <w:bCs/>
          <w:iCs/>
        </w:rPr>
      </w:pPr>
      <w:r w:rsidRPr="00D9348B">
        <w:t>Choice of emission factors</w:t>
      </w:r>
    </w:p>
    <w:p w14:paraId="6DBAE2C5" w14:textId="77777777" w:rsidR="00D30983" w:rsidRPr="00D9348B" w:rsidRDefault="00D30983" w:rsidP="00D30983">
      <w:pPr>
        <w:pStyle w:val="Heading5"/>
        <w:spacing w:before="120"/>
      </w:pPr>
      <w:r w:rsidRPr="00D9348B">
        <w:t>Carbon dioxide</w:t>
      </w:r>
    </w:p>
    <w:p w14:paraId="359A8432" w14:textId="77777777" w:rsidR="00D30983" w:rsidRPr="00D9348B" w:rsidRDefault="00D30983" w:rsidP="00D30983">
      <w:pPr>
        <w:pStyle w:val="BodyText"/>
      </w:pPr>
      <w:r w:rsidRPr="00D9348B">
        <w:t>Plant-specific emission factors are applied for the sub-bituminous coal used as a reducing agent in iron and steel production. For the early years, the coal emission factor was 0.0937 tonnes of CO</w:t>
      </w:r>
      <w:r w:rsidRPr="00D9348B">
        <w:rPr>
          <w:vertAlign w:val="subscript"/>
        </w:rPr>
        <w:t>2</w:t>
      </w:r>
      <w:r w:rsidRPr="00D9348B">
        <w:t xml:space="preserve"> per gigajoule. Plant-specific emission factors are also used for other carbon-containing inputs in both the </w:t>
      </w:r>
      <w:r w:rsidRPr="00D9348B">
        <w:rPr>
          <w:i/>
        </w:rPr>
        <w:t>Iron and steel production</w:t>
      </w:r>
      <w:r w:rsidRPr="00D9348B">
        <w:t xml:space="preserve"> and </w:t>
      </w:r>
      <w:r w:rsidRPr="00D9348B">
        <w:rPr>
          <w:i/>
        </w:rPr>
        <w:t>Aluminium production</w:t>
      </w:r>
      <w:r w:rsidRPr="00D9348B">
        <w:t xml:space="preserve"> categories. </w:t>
      </w:r>
    </w:p>
    <w:p w14:paraId="03CE49E9" w14:textId="77777777" w:rsidR="00D30983" w:rsidRPr="00D9348B" w:rsidRDefault="00D30983" w:rsidP="00D30983">
      <w:pPr>
        <w:pStyle w:val="BodyText"/>
      </w:pPr>
      <w:r w:rsidRPr="00D9348B">
        <w:t>For secondary lead production, the IPCC default emission factor (0.2 tonnes of CO</w:t>
      </w:r>
      <w:r w:rsidRPr="00D9348B">
        <w:rPr>
          <w:vertAlign w:val="subscript"/>
        </w:rPr>
        <w:t>2</w:t>
      </w:r>
      <w:r w:rsidRPr="00D9348B">
        <w:t xml:space="preserve"> per tonne of lead recycled) is used. </w:t>
      </w:r>
    </w:p>
    <w:p w14:paraId="1BF617A9" w14:textId="77777777" w:rsidR="00D30983" w:rsidRPr="00D9348B" w:rsidRDefault="00D30983" w:rsidP="00D30983">
      <w:pPr>
        <w:pStyle w:val="Heading5"/>
        <w:spacing w:before="120"/>
      </w:pPr>
      <w:r w:rsidRPr="00D9348B">
        <w:t>Perfluorocarbons and SF</w:t>
      </w:r>
      <w:r w:rsidRPr="00D9348B">
        <w:rPr>
          <w:vertAlign w:val="subscript"/>
        </w:rPr>
        <w:t>6</w:t>
      </w:r>
      <w:r w:rsidRPr="00D9348B">
        <w:t xml:space="preserve"> </w:t>
      </w:r>
    </w:p>
    <w:p w14:paraId="4AF661B8" w14:textId="77777777" w:rsidR="00D30983" w:rsidRPr="00D9348B" w:rsidRDefault="00D30983" w:rsidP="00D30983">
      <w:pPr>
        <w:pStyle w:val="BodyText"/>
      </w:pPr>
      <w:r w:rsidRPr="00D9348B">
        <w:t>Default emission factors (slope coefficients) are used for emissions of CF</w:t>
      </w:r>
      <w:r w:rsidRPr="00D9348B">
        <w:rPr>
          <w:vertAlign w:val="subscript"/>
        </w:rPr>
        <w:t>4</w:t>
      </w:r>
      <w:r w:rsidRPr="00D9348B">
        <w:t xml:space="preserve"> and C</w:t>
      </w:r>
      <w:r w:rsidRPr="00D9348B">
        <w:rPr>
          <w:vertAlign w:val="subscript"/>
        </w:rPr>
        <w:t>2</w:t>
      </w:r>
      <w:r w:rsidRPr="00D9348B">
        <w:t>F</w:t>
      </w:r>
      <w:r w:rsidRPr="00D9348B">
        <w:rPr>
          <w:vertAlign w:val="subscript"/>
        </w:rPr>
        <w:t>6</w:t>
      </w:r>
      <w:r w:rsidRPr="00D9348B">
        <w:t xml:space="preserve"> from aluminium production. For the emissions in 1990 to 1992, when data on the duration of anode effects are not available and a Tier 1 method is used, the default emission factors of 0.4 kilograms CF</w:t>
      </w:r>
      <w:r w:rsidRPr="00D9348B">
        <w:rPr>
          <w:vertAlign w:val="subscript"/>
        </w:rPr>
        <w:t>4</w:t>
      </w:r>
      <w:r w:rsidRPr="00D9348B">
        <w:t xml:space="preserve"> and 0.04 kilograms C</w:t>
      </w:r>
      <w:r w:rsidRPr="00D9348B">
        <w:rPr>
          <w:vertAlign w:val="subscript"/>
        </w:rPr>
        <w:t>2</w:t>
      </w:r>
      <w:r w:rsidRPr="00D9348B">
        <w:t>F</w:t>
      </w:r>
      <w:r w:rsidRPr="00D9348B">
        <w:rPr>
          <w:vertAlign w:val="subscript"/>
        </w:rPr>
        <w:t>6</w:t>
      </w:r>
      <w:r w:rsidRPr="00D9348B">
        <w:t xml:space="preserve"> per tonne of aluminium are used. </w:t>
      </w:r>
    </w:p>
    <w:p w14:paraId="690FB9F1" w14:textId="77777777" w:rsidR="00D30983" w:rsidRPr="00D9348B" w:rsidRDefault="00D30983" w:rsidP="00D30983">
      <w:pPr>
        <w:pStyle w:val="BodyText"/>
      </w:pPr>
      <w:r w:rsidRPr="00D9348B">
        <w:t>Emissions of SF</w:t>
      </w:r>
      <w:r w:rsidRPr="00D9348B">
        <w:rPr>
          <w:vertAlign w:val="subscript"/>
        </w:rPr>
        <w:t>6</w:t>
      </w:r>
      <w:r w:rsidRPr="00D9348B">
        <w:t xml:space="preserve"> used in magnesium casting are considered to be immediate. </w:t>
      </w:r>
    </w:p>
    <w:p w14:paraId="1B5D342F" w14:textId="77777777" w:rsidR="00D30983" w:rsidRPr="00D9348B" w:rsidRDefault="00D30983" w:rsidP="00276A11">
      <w:pPr>
        <w:pStyle w:val="Heading5"/>
        <w:spacing w:before="120"/>
      </w:pPr>
      <w:r w:rsidRPr="00D9348B">
        <w:t>Indirect emissions</w:t>
      </w:r>
    </w:p>
    <w:p w14:paraId="61A7BC8C" w14:textId="77777777" w:rsidR="00D30983" w:rsidRPr="00D9348B" w:rsidRDefault="00D30983" w:rsidP="00D30983">
      <w:pPr>
        <w:pStyle w:val="BodyText"/>
      </w:pPr>
      <w:r w:rsidRPr="00D9348B">
        <w:t>Emissions of indirect greenhouse gases (CO, SO</w:t>
      </w:r>
      <w:r w:rsidRPr="00D9348B">
        <w:rPr>
          <w:vertAlign w:val="subscript"/>
        </w:rPr>
        <w:t>2</w:t>
      </w:r>
      <w:r w:rsidRPr="00D9348B">
        <w:t xml:space="preserve"> and NO</w:t>
      </w:r>
      <w:r w:rsidRPr="00D9348B">
        <w:rPr>
          <w:vertAlign w:val="subscript"/>
        </w:rPr>
        <w:t>x</w:t>
      </w:r>
      <w:r w:rsidRPr="00D9348B">
        <w:t xml:space="preserve">) are reported for the </w:t>
      </w:r>
      <w:r w:rsidRPr="00D9348B">
        <w:rPr>
          <w:i/>
        </w:rPr>
        <w:t>Iron and steel</w:t>
      </w:r>
      <w:r w:rsidRPr="00D9348B">
        <w:t xml:space="preserve"> </w:t>
      </w:r>
      <w:r w:rsidRPr="00D9348B">
        <w:rPr>
          <w:i/>
        </w:rPr>
        <w:t>production</w:t>
      </w:r>
      <w:r w:rsidRPr="00D9348B">
        <w:t xml:space="preserve"> and </w:t>
      </w:r>
      <w:r w:rsidRPr="00D9348B">
        <w:rPr>
          <w:i/>
        </w:rPr>
        <w:t>Aluminium production</w:t>
      </w:r>
      <w:r w:rsidRPr="00D9348B">
        <w:t xml:space="preserve"> categories. These are based on a mass balance calculation (for SO</w:t>
      </w:r>
      <w:r w:rsidRPr="00D9348B">
        <w:rPr>
          <w:vertAlign w:val="subscript"/>
        </w:rPr>
        <w:t>2</w:t>
      </w:r>
      <w:r w:rsidRPr="00D9348B">
        <w:t xml:space="preserve">) and a mix of plant-specific emission factors and IPCC defaults for other gases (CRL Energy, </w:t>
      </w:r>
      <w:proofErr w:type="gramStart"/>
      <w:r w:rsidRPr="00D9348B">
        <w:rPr>
          <w:rFonts w:eastAsia="+mn-ea"/>
        </w:rPr>
        <w:t>unpublished(</w:t>
      </w:r>
      <w:proofErr w:type="gramEnd"/>
      <w:r w:rsidRPr="00D9348B">
        <w:rPr>
          <w:rFonts w:eastAsia="+mn-ea"/>
        </w:rPr>
        <w:t>a)</w:t>
      </w:r>
      <w:r w:rsidRPr="00D9348B">
        <w:t xml:space="preserve">). </w:t>
      </w:r>
    </w:p>
    <w:p w14:paraId="7AF94004" w14:textId="77777777" w:rsidR="00D30983" w:rsidRPr="00D9348B" w:rsidRDefault="00D30983" w:rsidP="00D30983">
      <w:pPr>
        <w:pStyle w:val="Heading3"/>
      </w:pPr>
      <w:r w:rsidRPr="00D9348B">
        <w:t xml:space="preserve">4.4.3 </w:t>
      </w:r>
      <w:r w:rsidRPr="00D9348B">
        <w:tab/>
        <w:t>Uncertainties and time-series consistency</w:t>
      </w:r>
    </w:p>
    <w:p w14:paraId="4719CEA4" w14:textId="77777777" w:rsidR="00D30983" w:rsidRPr="00D9348B" w:rsidRDefault="00D30983" w:rsidP="006B7E05">
      <w:pPr>
        <w:pStyle w:val="Heading4"/>
        <w:spacing w:before="160"/>
        <w:rPr>
          <w:bCs/>
          <w:iCs/>
        </w:rPr>
      </w:pPr>
      <w:r w:rsidRPr="00D9348B">
        <w:t>Uncertainties</w:t>
      </w:r>
    </w:p>
    <w:p w14:paraId="441946B7" w14:textId="77777777" w:rsidR="00D30983" w:rsidRPr="00D9348B" w:rsidRDefault="00D30983" w:rsidP="00D30983">
      <w:pPr>
        <w:pStyle w:val="BodyText"/>
      </w:pPr>
      <w:r w:rsidRPr="00D9348B">
        <w:t>IPCC default uncertainties have been used for activity data (see table 4.4.2). For the CO</w:t>
      </w:r>
      <w:r w:rsidRPr="00D9348B">
        <w:rPr>
          <w:vertAlign w:val="subscript"/>
        </w:rPr>
        <w:t>2</w:t>
      </w:r>
      <w:r w:rsidRPr="00D9348B">
        <w:t xml:space="preserve"> emission factors in the </w:t>
      </w:r>
      <w:r w:rsidRPr="00D9348B">
        <w:rPr>
          <w:i/>
        </w:rPr>
        <w:t>Iron and steel production</w:t>
      </w:r>
      <w:r w:rsidRPr="00D9348B">
        <w:t xml:space="preserve"> category, an uncertainty of ±7 per cent was assessed to reflect some uncertainty in the carbon content of the product. An uncertainty of ±30 per cent was assessed for PFCs reflecting the use of Tier 1 methods for the first three years. The uncertainties for indirect gases were assessed on a site-specific basis at the time the data were collected (CRL Energy, </w:t>
      </w:r>
      <w:proofErr w:type="gramStart"/>
      <w:r w:rsidRPr="00D9348B">
        <w:rPr>
          <w:rFonts w:eastAsia="+mn-ea"/>
        </w:rPr>
        <w:t>unpublished(</w:t>
      </w:r>
      <w:proofErr w:type="gramEnd"/>
      <w:r w:rsidRPr="00D9348B">
        <w:rPr>
          <w:rFonts w:eastAsia="+mn-ea"/>
        </w:rPr>
        <w:t>a)</w:t>
      </w:r>
      <w:r w:rsidRPr="00D9348B">
        <w:t xml:space="preserve">). </w:t>
      </w:r>
    </w:p>
    <w:p w14:paraId="18BAABDB" w14:textId="77777777" w:rsidR="00D30983" w:rsidRPr="00D9348B" w:rsidRDefault="00D30983" w:rsidP="00D30983">
      <w:pPr>
        <w:pStyle w:val="Table"/>
      </w:pPr>
      <w:bookmarkStart w:id="506" w:name="_Toc451176071"/>
      <w:bookmarkStart w:id="507" w:name="_Toc5269461"/>
      <w:bookmarkStart w:id="508" w:name="_Toc36224534"/>
      <w:r w:rsidRPr="00D9348B">
        <w:lastRenderedPageBreak/>
        <w:t>Table 4.4.2</w:t>
      </w:r>
      <w:r w:rsidRPr="00D9348B">
        <w:tab/>
        <w:t>Uncertainty in emissions from the metal industry</w:t>
      </w:r>
      <w:bookmarkEnd w:id="506"/>
      <w:bookmarkEnd w:id="507"/>
      <w:bookmarkEnd w:id="508"/>
    </w:p>
    <w:tbl>
      <w:tblPr>
        <w:tblW w:w="8562" w:type="dxa"/>
        <w:tblInd w:w="108" w:type="dxa"/>
        <w:tblBorders>
          <w:top w:val="single" w:sz="6" w:space="0" w:color="365F91"/>
          <w:bottom w:val="single" w:sz="6" w:space="0" w:color="365F91"/>
          <w:insideH w:val="single" w:sz="6" w:space="0" w:color="365F91"/>
        </w:tblBorders>
        <w:tblLook w:val="04A0" w:firstRow="1" w:lastRow="0" w:firstColumn="1" w:lastColumn="0" w:noHBand="0" w:noVBand="1"/>
      </w:tblPr>
      <w:tblGrid>
        <w:gridCol w:w="2435"/>
        <w:gridCol w:w="2976"/>
        <w:gridCol w:w="3151"/>
      </w:tblGrid>
      <w:tr w:rsidR="00D30983" w:rsidRPr="00D9348B" w14:paraId="658F72F2" w14:textId="77777777" w:rsidTr="00276A11">
        <w:tc>
          <w:tcPr>
            <w:tcW w:w="2435" w:type="dxa"/>
            <w:tcBorders>
              <w:top w:val="single" w:sz="4" w:space="0" w:color="365F91"/>
              <w:left w:val="nil"/>
              <w:bottom w:val="single" w:sz="4" w:space="0" w:color="365F91"/>
              <w:right w:val="nil"/>
            </w:tcBorders>
            <w:shd w:val="clear" w:color="auto" w:fill="365F91"/>
            <w:hideMark/>
          </w:tcPr>
          <w:p w14:paraId="4C5FAE13" w14:textId="77777777" w:rsidR="00D30983" w:rsidRPr="00D9348B" w:rsidRDefault="00D30983" w:rsidP="00DB330E">
            <w:pPr>
              <w:pStyle w:val="TableTextBold"/>
              <w:keepNext/>
              <w:spacing w:before="50" w:after="50"/>
              <w:rPr>
                <w:noProof w:val="0"/>
                <w:color w:val="FFFFFF"/>
              </w:rPr>
            </w:pPr>
            <w:r w:rsidRPr="00D9348B">
              <w:rPr>
                <w:noProof w:val="0"/>
                <w:color w:val="FFFFFF"/>
              </w:rPr>
              <w:t>Category</w:t>
            </w:r>
          </w:p>
        </w:tc>
        <w:tc>
          <w:tcPr>
            <w:tcW w:w="2976" w:type="dxa"/>
            <w:tcBorders>
              <w:top w:val="single" w:sz="4" w:space="0" w:color="365F91"/>
              <w:left w:val="nil"/>
              <w:bottom w:val="single" w:sz="4" w:space="0" w:color="365F91"/>
              <w:right w:val="nil"/>
            </w:tcBorders>
            <w:shd w:val="clear" w:color="auto" w:fill="365F91"/>
            <w:hideMark/>
          </w:tcPr>
          <w:p w14:paraId="0DA5ED9D" w14:textId="77777777" w:rsidR="00D30983" w:rsidRPr="00D9348B" w:rsidRDefault="00D30983" w:rsidP="00DB330E">
            <w:pPr>
              <w:pStyle w:val="TableTextBold"/>
              <w:keepNext/>
              <w:spacing w:before="50" w:after="50"/>
              <w:jc w:val="center"/>
              <w:rPr>
                <w:noProof w:val="0"/>
                <w:color w:val="FFFFFF"/>
              </w:rPr>
            </w:pPr>
            <w:r w:rsidRPr="00D9348B">
              <w:rPr>
                <w:noProof w:val="0"/>
                <w:color w:val="FFFFFF"/>
              </w:rPr>
              <w:t>Uncertainty in activity data (%)</w:t>
            </w:r>
          </w:p>
        </w:tc>
        <w:tc>
          <w:tcPr>
            <w:tcW w:w="3151" w:type="dxa"/>
            <w:tcBorders>
              <w:top w:val="single" w:sz="4" w:space="0" w:color="365F91"/>
              <w:left w:val="nil"/>
              <w:bottom w:val="single" w:sz="4" w:space="0" w:color="365F91"/>
              <w:right w:val="nil"/>
            </w:tcBorders>
            <w:shd w:val="clear" w:color="auto" w:fill="365F91"/>
            <w:hideMark/>
          </w:tcPr>
          <w:p w14:paraId="31996A4A" w14:textId="77777777" w:rsidR="00D30983" w:rsidRPr="00D9348B" w:rsidRDefault="00D30983" w:rsidP="00DB330E">
            <w:pPr>
              <w:pStyle w:val="TableTextBold"/>
              <w:keepNext/>
              <w:spacing w:before="50" w:after="50"/>
              <w:jc w:val="center"/>
              <w:rPr>
                <w:noProof w:val="0"/>
                <w:color w:val="FFFFFF"/>
              </w:rPr>
            </w:pPr>
            <w:r w:rsidRPr="00D9348B">
              <w:rPr>
                <w:noProof w:val="0"/>
                <w:color w:val="FFFFFF"/>
              </w:rPr>
              <w:t>Uncertainty in emission factors (%)</w:t>
            </w:r>
          </w:p>
        </w:tc>
      </w:tr>
      <w:tr w:rsidR="00D30983" w:rsidRPr="00D9348B" w14:paraId="611BECEA" w14:textId="77777777" w:rsidTr="00276A11">
        <w:tc>
          <w:tcPr>
            <w:tcW w:w="2435" w:type="dxa"/>
            <w:tcBorders>
              <w:top w:val="single" w:sz="4" w:space="0" w:color="365F91"/>
              <w:left w:val="nil"/>
              <w:bottom w:val="single" w:sz="6" w:space="0" w:color="365F91"/>
              <w:right w:val="nil"/>
            </w:tcBorders>
            <w:shd w:val="clear" w:color="auto" w:fill="FFFFFF"/>
            <w:hideMark/>
          </w:tcPr>
          <w:p w14:paraId="4B39947E" w14:textId="77777777" w:rsidR="00D30983" w:rsidRPr="00D9348B" w:rsidRDefault="00D30983" w:rsidP="00DB330E">
            <w:pPr>
              <w:pStyle w:val="TableText"/>
              <w:keepNext/>
              <w:spacing w:before="50" w:after="50"/>
            </w:pPr>
            <w:r w:rsidRPr="00D9348B">
              <w:t>Iron and steel (CO</w:t>
            </w:r>
            <w:r w:rsidRPr="00D9348B">
              <w:rPr>
                <w:vertAlign w:val="subscript"/>
              </w:rPr>
              <w:t>2</w:t>
            </w:r>
            <w:r w:rsidRPr="00D9348B">
              <w:t>)</w:t>
            </w:r>
          </w:p>
        </w:tc>
        <w:tc>
          <w:tcPr>
            <w:tcW w:w="2976" w:type="dxa"/>
            <w:tcBorders>
              <w:top w:val="single" w:sz="4" w:space="0" w:color="365F91"/>
              <w:left w:val="nil"/>
              <w:bottom w:val="single" w:sz="6" w:space="0" w:color="365F91"/>
              <w:right w:val="nil"/>
            </w:tcBorders>
            <w:shd w:val="clear" w:color="auto" w:fill="FFFFFF"/>
            <w:hideMark/>
          </w:tcPr>
          <w:p w14:paraId="7B0272CC" w14:textId="77777777" w:rsidR="00D30983" w:rsidRPr="00D9348B" w:rsidRDefault="00D30983" w:rsidP="00DB330E">
            <w:pPr>
              <w:pStyle w:val="TableText"/>
              <w:keepNext/>
              <w:spacing w:before="50" w:after="50"/>
              <w:ind w:right="964"/>
              <w:jc w:val="right"/>
            </w:pPr>
            <w:r w:rsidRPr="00D9348B">
              <w:t>±5</w:t>
            </w:r>
          </w:p>
        </w:tc>
        <w:tc>
          <w:tcPr>
            <w:tcW w:w="3151" w:type="dxa"/>
            <w:tcBorders>
              <w:top w:val="single" w:sz="4" w:space="0" w:color="365F91"/>
              <w:left w:val="nil"/>
              <w:bottom w:val="single" w:sz="6" w:space="0" w:color="365F91"/>
              <w:right w:val="nil"/>
            </w:tcBorders>
            <w:shd w:val="clear" w:color="auto" w:fill="FFFFFF"/>
            <w:hideMark/>
          </w:tcPr>
          <w:p w14:paraId="27FAF1D3" w14:textId="77777777" w:rsidR="00D30983" w:rsidRPr="00D9348B" w:rsidRDefault="00D30983" w:rsidP="00DB330E">
            <w:pPr>
              <w:pStyle w:val="TableText"/>
              <w:keepNext/>
              <w:spacing w:before="50" w:after="50"/>
              <w:ind w:right="964"/>
              <w:jc w:val="right"/>
            </w:pPr>
            <w:r w:rsidRPr="00D9348B">
              <w:t>±7</w:t>
            </w:r>
          </w:p>
        </w:tc>
      </w:tr>
      <w:tr w:rsidR="00D30983" w:rsidRPr="00D9348B" w14:paraId="6F168B88" w14:textId="77777777" w:rsidTr="00276A11">
        <w:tc>
          <w:tcPr>
            <w:tcW w:w="2435" w:type="dxa"/>
            <w:tcBorders>
              <w:top w:val="single" w:sz="6" w:space="0" w:color="365F91"/>
              <w:left w:val="nil"/>
              <w:bottom w:val="single" w:sz="6" w:space="0" w:color="365F91"/>
              <w:right w:val="nil"/>
            </w:tcBorders>
            <w:shd w:val="clear" w:color="auto" w:fill="FFFFFF"/>
            <w:hideMark/>
          </w:tcPr>
          <w:p w14:paraId="075CAEDE" w14:textId="77777777" w:rsidR="00D30983" w:rsidRPr="00D9348B" w:rsidRDefault="00D30983" w:rsidP="00DB330E">
            <w:pPr>
              <w:pStyle w:val="TableText"/>
              <w:keepNext/>
              <w:spacing w:before="50" w:after="50"/>
            </w:pPr>
            <w:r w:rsidRPr="00D9348B">
              <w:t>Iron and steel (CO)</w:t>
            </w:r>
          </w:p>
        </w:tc>
        <w:tc>
          <w:tcPr>
            <w:tcW w:w="2976" w:type="dxa"/>
            <w:tcBorders>
              <w:top w:val="single" w:sz="6" w:space="0" w:color="365F91"/>
              <w:left w:val="nil"/>
              <w:bottom w:val="single" w:sz="6" w:space="0" w:color="365F91"/>
              <w:right w:val="nil"/>
            </w:tcBorders>
            <w:shd w:val="clear" w:color="auto" w:fill="FFFFFF"/>
            <w:hideMark/>
          </w:tcPr>
          <w:p w14:paraId="09AD36AB" w14:textId="77777777" w:rsidR="00D30983" w:rsidRPr="00D9348B" w:rsidRDefault="00D30983" w:rsidP="00DB330E">
            <w:pPr>
              <w:pStyle w:val="TableText"/>
              <w:keepNext/>
              <w:spacing w:before="50" w:after="50"/>
              <w:ind w:right="964"/>
              <w:jc w:val="right"/>
            </w:pPr>
            <w:r w:rsidRPr="00D9348B">
              <w:t>±5</w:t>
            </w:r>
          </w:p>
        </w:tc>
        <w:tc>
          <w:tcPr>
            <w:tcW w:w="3151" w:type="dxa"/>
            <w:tcBorders>
              <w:top w:val="single" w:sz="6" w:space="0" w:color="365F91"/>
              <w:left w:val="nil"/>
              <w:bottom w:val="single" w:sz="6" w:space="0" w:color="365F91"/>
              <w:right w:val="nil"/>
            </w:tcBorders>
            <w:shd w:val="clear" w:color="auto" w:fill="FFFFFF"/>
            <w:hideMark/>
          </w:tcPr>
          <w:p w14:paraId="5517048D" w14:textId="77777777" w:rsidR="00D30983" w:rsidRPr="00D9348B" w:rsidRDefault="00D30983" w:rsidP="00DB330E">
            <w:pPr>
              <w:pStyle w:val="TableText"/>
              <w:keepNext/>
              <w:spacing w:before="50" w:after="50"/>
              <w:ind w:right="964"/>
              <w:jc w:val="right"/>
            </w:pPr>
            <w:r w:rsidRPr="00D9348B">
              <w:t>±30</w:t>
            </w:r>
          </w:p>
        </w:tc>
      </w:tr>
      <w:tr w:rsidR="00D30983" w:rsidRPr="00D9348B" w14:paraId="75A0EEE8" w14:textId="77777777" w:rsidTr="00276A11">
        <w:tc>
          <w:tcPr>
            <w:tcW w:w="2435" w:type="dxa"/>
            <w:tcBorders>
              <w:top w:val="single" w:sz="6" w:space="0" w:color="365F91"/>
              <w:left w:val="nil"/>
              <w:bottom w:val="single" w:sz="6" w:space="0" w:color="365F91"/>
              <w:right w:val="nil"/>
            </w:tcBorders>
            <w:shd w:val="clear" w:color="auto" w:fill="FFFFFF"/>
            <w:hideMark/>
          </w:tcPr>
          <w:p w14:paraId="4EF3D957" w14:textId="77777777" w:rsidR="00D30983" w:rsidRPr="00D9348B" w:rsidRDefault="00D30983" w:rsidP="00DB330E">
            <w:pPr>
              <w:pStyle w:val="TableText"/>
              <w:spacing w:before="50" w:after="50"/>
            </w:pPr>
            <w:r w:rsidRPr="00D9348B">
              <w:t>Iron and steel (NO</w:t>
            </w:r>
            <w:r w:rsidRPr="00D9348B">
              <w:rPr>
                <w:vertAlign w:val="subscript"/>
              </w:rPr>
              <w:t>x</w:t>
            </w:r>
            <w:r w:rsidRPr="00D9348B">
              <w:t>)</w:t>
            </w:r>
          </w:p>
        </w:tc>
        <w:tc>
          <w:tcPr>
            <w:tcW w:w="2976" w:type="dxa"/>
            <w:tcBorders>
              <w:top w:val="single" w:sz="6" w:space="0" w:color="365F91"/>
              <w:left w:val="nil"/>
              <w:bottom w:val="single" w:sz="6" w:space="0" w:color="365F91"/>
              <w:right w:val="nil"/>
            </w:tcBorders>
            <w:shd w:val="clear" w:color="auto" w:fill="FFFFFF"/>
            <w:hideMark/>
          </w:tcPr>
          <w:p w14:paraId="7BE5BF09" w14:textId="77777777" w:rsidR="00D30983" w:rsidRPr="00D9348B" w:rsidRDefault="00D30983" w:rsidP="00DB330E">
            <w:pPr>
              <w:pStyle w:val="TableText"/>
              <w:spacing w:before="50" w:after="50"/>
              <w:ind w:right="964"/>
              <w:jc w:val="right"/>
            </w:pPr>
            <w:r w:rsidRPr="00D9348B">
              <w:t>±5</w:t>
            </w:r>
          </w:p>
        </w:tc>
        <w:tc>
          <w:tcPr>
            <w:tcW w:w="3151" w:type="dxa"/>
            <w:tcBorders>
              <w:top w:val="single" w:sz="6" w:space="0" w:color="365F91"/>
              <w:left w:val="nil"/>
              <w:bottom w:val="single" w:sz="6" w:space="0" w:color="365F91"/>
              <w:right w:val="nil"/>
            </w:tcBorders>
            <w:shd w:val="clear" w:color="auto" w:fill="FFFFFF"/>
            <w:hideMark/>
          </w:tcPr>
          <w:p w14:paraId="37DEB3B5" w14:textId="77777777" w:rsidR="00D30983" w:rsidRPr="00D9348B" w:rsidRDefault="00D30983" w:rsidP="00DB330E">
            <w:pPr>
              <w:pStyle w:val="TableText"/>
              <w:spacing w:before="50" w:after="50"/>
              <w:ind w:right="964"/>
              <w:jc w:val="right"/>
            </w:pPr>
            <w:r w:rsidRPr="00D9348B">
              <w:t>±70</w:t>
            </w:r>
          </w:p>
        </w:tc>
      </w:tr>
      <w:tr w:rsidR="00D30983" w:rsidRPr="00D9348B" w14:paraId="4F493B7D" w14:textId="77777777" w:rsidTr="00276A11">
        <w:tc>
          <w:tcPr>
            <w:tcW w:w="2435" w:type="dxa"/>
            <w:tcBorders>
              <w:top w:val="single" w:sz="6" w:space="0" w:color="365F91"/>
              <w:left w:val="nil"/>
              <w:bottom w:val="single" w:sz="6" w:space="0" w:color="365F91"/>
              <w:right w:val="nil"/>
            </w:tcBorders>
            <w:shd w:val="clear" w:color="auto" w:fill="FFFFFF"/>
            <w:hideMark/>
          </w:tcPr>
          <w:p w14:paraId="39FA376A" w14:textId="77777777" w:rsidR="00D30983" w:rsidRPr="00D9348B" w:rsidRDefault="00D30983" w:rsidP="00DB330E">
            <w:pPr>
              <w:pStyle w:val="TableText"/>
              <w:spacing w:before="50" w:after="50"/>
            </w:pPr>
            <w:r w:rsidRPr="00D9348B">
              <w:t>Aluminium (CO</w:t>
            </w:r>
            <w:r w:rsidRPr="00D9348B">
              <w:rPr>
                <w:vertAlign w:val="subscript"/>
              </w:rPr>
              <w:t>2</w:t>
            </w:r>
            <w:r w:rsidRPr="00D9348B">
              <w:t>)</w:t>
            </w:r>
          </w:p>
        </w:tc>
        <w:tc>
          <w:tcPr>
            <w:tcW w:w="2976" w:type="dxa"/>
            <w:tcBorders>
              <w:top w:val="single" w:sz="6" w:space="0" w:color="365F91"/>
              <w:left w:val="nil"/>
              <w:bottom w:val="single" w:sz="6" w:space="0" w:color="365F91"/>
              <w:right w:val="nil"/>
            </w:tcBorders>
            <w:shd w:val="clear" w:color="auto" w:fill="FFFFFF"/>
            <w:hideMark/>
          </w:tcPr>
          <w:p w14:paraId="4F2C9E2C" w14:textId="77777777" w:rsidR="00D30983" w:rsidRPr="00D9348B" w:rsidRDefault="00D30983" w:rsidP="00DB330E">
            <w:pPr>
              <w:pStyle w:val="TableText"/>
              <w:spacing w:before="50" w:after="50"/>
              <w:ind w:right="964"/>
              <w:jc w:val="right"/>
            </w:pPr>
            <w:r w:rsidRPr="00D9348B">
              <w:t>±5</w:t>
            </w:r>
          </w:p>
        </w:tc>
        <w:tc>
          <w:tcPr>
            <w:tcW w:w="3151" w:type="dxa"/>
            <w:tcBorders>
              <w:top w:val="single" w:sz="6" w:space="0" w:color="365F91"/>
              <w:left w:val="nil"/>
              <w:bottom w:val="single" w:sz="6" w:space="0" w:color="365F91"/>
              <w:right w:val="nil"/>
            </w:tcBorders>
            <w:shd w:val="clear" w:color="auto" w:fill="FFFFFF"/>
            <w:hideMark/>
          </w:tcPr>
          <w:p w14:paraId="7DBCCE74" w14:textId="77777777" w:rsidR="00D30983" w:rsidRPr="00D9348B" w:rsidRDefault="00D30983" w:rsidP="00DB330E">
            <w:pPr>
              <w:pStyle w:val="TableText"/>
              <w:spacing w:before="50" w:after="50"/>
              <w:ind w:right="964"/>
              <w:jc w:val="right"/>
            </w:pPr>
            <w:r w:rsidRPr="00D9348B">
              <w:t>±2</w:t>
            </w:r>
          </w:p>
        </w:tc>
      </w:tr>
      <w:tr w:rsidR="00D30983" w:rsidRPr="00D9348B" w14:paraId="61765C51" w14:textId="77777777" w:rsidTr="00276A11">
        <w:tc>
          <w:tcPr>
            <w:tcW w:w="2435" w:type="dxa"/>
            <w:tcBorders>
              <w:top w:val="single" w:sz="6" w:space="0" w:color="365F91"/>
              <w:left w:val="nil"/>
              <w:bottom w:val="single" w:sz="6" w:space="0" w:color="365F91"/>
              <w:right w:val="nil"/>
            </w:tcBorders>
            <w:shd w:val="clear" w:color="auto" w:fill="FFFFFF"/>
            <w:hideMark/>
          </w:tcPr>
          <w:p w14:paraId="477C1449" w14:textId="77777777" w:rsidR="00D30983" w:rsidRPr="00D9348B" w:rsidRDefault="00D30983" w:rsidP="00DB330E">
            <w:pPr>
              <w:pStyle w:val="TableText"/>
              <w:spacing w:before="50" w:after="50"/>
            </w:pPr>
            <w:r w:rsidRPr="00D9348B">
              <w:t>Aluminium (PFCs)</w:t>
            </w:r>
          </w:p>
        </w:tc>
        <w:tc>
          <w:tcPr>
            <w:tcW w:w="2976" w:type="dxa"/>
            <w:tcBorders>
              <w:top w:val="single" w:sz="6" w:space="0" w:color="365F91"/>
              <w:left w:val="nil"/>
              <w:bottom w:val="single" w:sz="6" w:space="0" w:color="365F91"/>
              <w:right w:val="nil"/>
            </w:tcBorders>
            <w:shd w:val="clear" w:color="auto" w:fill="FFFFFF"/>
            <w:hideMark/>
          </w:tcPr>
          <w:p w14:paraId="7E23013E" w14:textId="77777777" w:rsidR="00D30983" w:rsidRPr="00D9348B" w:rsidRDefault="00D30983" w:rsidP="00DB330E">
            <w:pPr>
              <w:pStyle w:val="TableText"/>
              <w:spacing w:before="50" w:after="50"/>
              <w:ind w:right="964"/>
              <w:jc w:val="right"/>
            </w:pPr>
            <w:r w:rsidRPr="00D9348B">
              <w:t>±5</w:t>
            </w:r>
          </w:p>
        </w:tc>
        <w:tc>
          <w:tcPr>
            <w:tcW w:w="3151" w:type="dxa"/>
            <w:tcBorders>
              <w:top w:val="single" w:sz="6" w:space="0" w:color="365F91"/>
              <w:left w:val="nil"/>
              <w:bottom w:val="single" w:sz="6" w:space="0" w:color="365F91"/>
              <w:right w:val="nil"/>
            </w:tcBorders>
            <w:shd w:val="clear" w:color="auto" w:fill="FFFFFF"/>
            <w:hideMark/>
          </w:tcPr>
          <w:p w14:paraId="1FF3A7BA" w14:textId="77777777" w:rsidR="00D30983" w:rsidRPr="00D9348B" w:rsidRDefault="00D30983" w:rsidP="00DB330E">
            <w:pPr>
              <w:pStyle w:val="TableText"/>
              <w:spacing w:before="50" w:after="50"/>
              <w:ind w:right="964"/>
              <w:jc w:val="right"/>
            </w:pPr>
            <w:r w:rsidRPr="00D9348B">
              <w:t>±30</w:t>
            </w:r>
          </w:p>
        </w:tc>
      </w:tr>
      <w:tr w:rsidR="00D30983" w:rsidRPr="00D9348B" w14:paraId="2227AB92" w14:textId="77777777" w:rsidTr="00276A11">
        <w:tc>
          <w:tcPr>
            <w:tcW w:w="2435" w:type="dxa"/>
            <w:tcBorders>
              <w:top w:val="single" w:sz="6" w:space="0" w:color="365F91"/>
              <w:left w:val="nil"/>
              <w:bottom w:val="single" w:sz="6" w:space="0" w:color="365F91"/>
              <w:right w:val="nil"/>
            </w:tcBorders>
            <w:shd w:val="clear" w:color="auto" w:fill="FFFFFF"/>
            <w:hideMark/>
          </w:tcPr>
          <w:p w14:paraId="14C06FC9" w14:textId="77777777" w:rsidR="00D30983" w:rsidRPr="00D9348B" w:rsidRDefault="00D30983" w:rsidP="00DB330E">
            <w:pPr>
              <w:pStyle w:val="TableText"/>
              <w:spacing w:before="50" w:after="50"/>
            </w:pPr>
            <w:r w:rsidRPr="00D9348B">
              <w:t>Aluminium (SO</w:t>
            </w:r>
            <w:r w:rsidRPr="00D9348B">
              <w:rPr>
                <w:vertAlign w:val="subscript"/>
              </w:rPr>
              <w:t>2</w:t>
            </w:r>
            <w:r w:rsidRPr="00D9348B">
              <w:t>)</w:t>
            </w:r>
          </w:p>
        </w:tc>
        <w:tc>
          <w:tcPr>
            <w:tcW w:w="2976" w:type="dxa"/>
            <w:tcBorders>
              <w:top w:val="single" w:sz="6" w:space="0" w:color="365F91"/>
              <w:left w:val="nil"/>
              <w:bottom w:val="single" w:sz="6" w:space="0" w:color="365F91"/>
              <w:right w:val="nil"/>
            </w:tcBorders>
            <w:shd w:val="clear" w:color="auto" w:fill="FFFFFF"/>
            <w:hideMark/>
          </w:tcPr>
          <w:p w14:paraId="358D3C20" w14:textId="77777777" w:rsidR="00D30983" w:rsidRPr="00D9348B" w:rsidRDefault="00D30983" w:rsidP="00DB330E">
            <w:pPr>
              <w:pStyle w:val="TableText"/>
              <w:spacing w:before="50" w:after="50"/>
              <w:ind w:right="964"/>
              <w:jc w:val="right"/>
            </w:pPr>
            <w:r w:rsidRPr="00D9348B">
              <w:t>±5</w:t>
            </w:r>
          </w:p>
        </w:tc>
        <w:tc>
          <w:tcPr>
            <w:tcW w:w="3151" w:type="dxa"/>
            <w:tcBorders>
              <w:top w:val="single" w:sz="6" w:space="0" w:color="365F91"/>
              <w:left w:val="nil"/>
              <w:bottom w:val="single" w:sz="6" w:space="0" w:color="365F91"/>
              <w:right w:val="nil"/>
            </w:tcBorders>
            <w:shd w:val="clear" w:color="auto" w:fill="FFFFFF"/>
            <w:hideMark/>
          </w:tcPr>
          <w:p w14:paraId="064863C2" w14:textId="77777777" w:rsidR="00D30983" w:rsidRPr="00D9348B" w:rsidRDefault="00D30983" w:rsidP="00DB330E">
            <w:pPr>
              <w:pStyle w:val="TableText"/>
              <w:spacing w:before="50" w:after="50"/>
              <w:ind w:right="964"/>
              <w:jc w:val="right"/>
            </w:pPr>
            <w:r w:rsidRPr="00D9348B">
              <w:t>±5</w:t>
            </w:r>
          </w:p>
        </w:tc>
      </w:tr>
      <w:tr w:rsidR="00D30983" w:rsidRPr="00D9348B" w14:paraId="7688904A" w14:textId="77777777" w:rsidTr="00276A11">
        <w:tc>
          <w:tcPr>
            <w:tcW w:w="2435" w:type="dxa"/>
            <w:tcBorders>
              <w:top w:val="single" w:sz="6" w:space="0" w:color="365F91"/>
              <w:left w:val="nil"/>
              <w:bottom w:val="single" w:sz="6" w:space="0" w:color="365F91"/>
              <w:right w:val="nil"/>
            </w:tcBorders>
            <w:shd w:val="clear" w:color="auto" w:fill="FFFFFF"/>
            <w:hideMark/>
          </w:tcPr>
          <w:p w14:paraId="66EDCC50" w14:textId="77777777" w:rsidR="00D30983" w:rsidRPr="00D9348B" w:rsidRDefault="00D30983" w:rsidP="00DB330E">
            <w:pPr>
              <w:pStyle w:val="TableText"/>
              <w:spacing w:before="50" w:after="50"/>
            </w:pPr>
            <w:r w:rsidRPr="00D9348B">
              <w:t>Aluminium (CO)</w:t>
            </w:r>
          </w:p>
        </w:tc>
        <w:tc>
          <w:tcPr>
            <w:tcW w:w="2976" w:type="dxa"/>
            <w:tcBorders>
              <w:top w:val="single" w:sz="6" w:space="0" w:color="365F91"/>
              <w:left w:val="nil"/>
              <w:bottom w:val="single" w:sz="6" w:space="0" w:color="365F91"/>
              <w:right w:val="nil"/>
            </w:tcBorders>
            <w:shd w:val="clear" w:color="auto" w:fill="FFFFFF"/>
            <w:hideMark/>
          </w:tcPr>
          <w:p w14:paraId="4BC415D1" w14:textId="77777777" w:rsidR="00D30983" w:rsidRPr="00D9348B" w:rsidRDefault="00D30983" w:rsidP="00DB330E">
            <w:pPr>
              <w:pStyle w:val="TableText"/>
              <w:spacing w:before="50" w:after="50"/>
              <w:ind w:right="964"/>
              <w:jc w:val="right"/>
            </w:pPr>
            <w:r w:rsidRPr="00D9348B">
              <w:t>±5</w:t>
            </w:r>
          </w:p>
        </w:tc>
        <w:tc>
          <w:tcPr>
            <w:tcW w:w="3151" w:type="dxa"/>
            <w:tcBorders>
              <w:top w:val="single" w:sz="6" w:space="0" w:color="365F91"/>
              <w:left w:val="nil"/>
              <w:bottom w:val="single" w:sz="6" w:space="0" w:color="365F91"/>
              <w:right w:val="nil"/>
            </w:tcBorders>
            <w:shd w:val="clear" w:color="auto" w:fill="FFFFFF"/>
            <w:hideMark/>
          </w:tcPr>
          <w:p w14:paraId="3C85DD53" w14:textId="77777777" w:rsidR="00D30983" w:rsidRPr="00D9348B" w:rsidRDefault="00D30983" w:rsidP="00DB330E">
            <w:pPr>
              <w:pStyle w:val="TableText"/>
              <w:spacing w:before="50" w:after="50"/>
              <w:ind w:right="964"/>
              <w:jc w:val="right"/>
            </w:pPr>
            <w:r w:rsidRPr="00D9348B">
              <w:t>±40</w:t>
            </w:r>
          </w:p>
        </w:tc>
      </w:tr>
      <w:tr w:rsidR="00D30983" w:rsidRPr="00D9348B" w14:paraId="75A9EC6E" w14:textId="77777777" w:rsidTr="00276A11">
        <w:tc>
          <w:tcPr>
            <w:tcW w:w="2435" w:type="dxa"/>
            <w:tcBorders>
              <w:top w:val="single" w:sz="6" w:space="0" w:color="365F91"/>
              <w:left w:val="nil"/>
              <w:bottom w:val="single" w:sz="6" w:space="0" w:color="365F91"/>
              <w:right w:val="nil"/>
            </w:tcBorders>
            <w:shd w:val="clear" w:color="auto" w:fill="FFFFFF"/>
            <w:hideMark/>
          </w:tcPr>
          <w:p w14:paraId="70147099" w14:textId="77777777" w:rsidR="00D30983" w:rsidRPr="00D9348B" w:rsidRDefault="00D30983" w:rsidP="00DB330E">
            <w:pPr>
              <w:pStyle w:val="TableText"/>
              <w:spacing w:before="50" w:after="50"/>
            </w:pPr>
            <w:r w:rsidRPr="00D9348B">
              <w:t>Aluminium (NO</w:t>
            </w:r>
            <w:r w:rsidRPr="00D9348B">
              <w:rPr>
                <w:vertAlign w:val="subscript"/>
              </w:rPr>
              <w:t>x</w:t>
            </w:r>
            <w:r w:rsidRPr="00D9348B">
              <w:t>)</w:t>
            </w:r>
          </w:p>
        </w:tc>
        <w:tc>
          <w:tcPr>
            <w:tcW w:w="2976" w:type="dxa"/>
            <w:tcBorders>
              <w:top w:val="single" w:sz="6" w:space="0" w:color="365F91"/>
              <w:left w:val="nil"/>
              <w:bottom w:val="single" w:sz="6" w:space="0" w:color="365F91"/>
              <w:right w:val="nil"/>
            </w:tcBorders>
            <w:shd w:val="clear" w:color="auto" w:fill="FFFFFF"/>
            <w:hideMark/>
          </w:tcPr>
          <w:p w14:paraId="5B309863" w14:textId="77777777" w:rsidR="00D30983" w:rsidRPr="00D9348B" w:rsidRDefault="00D30983" w:rsidP="00DB330E">
            <w:pPr>
              <w:pStyle w:val="TableText"/>
              <w:spacing w:before="50" w:after="50"/>
              <w:ind w:right="964"/>
              <w:jc w:val="right"/>
            </w:pPr>
            <w:r w:rsidRPr="00D9348B">
              <w:t>±5</w:t>
            </w:r>
          </w:p>
        </w:tc>
        <w:tc>
          <w:tcPr>
            <w:tcW w:w="3151" w:type="dxa"/>
            <w:tcBorders>
              <w:top w:val="single" w:sz="6" w:space="0" w:color="365F91"/>
              <w:left w:val="nil"/>
              <w:bottom w:val="single" w:sz="6" w:space="0" w:color="365F91"/>
              <w:right w:val="nil"/>
            </w:tcBorders>
            <w:shd w:val="clear" w:color="auto" w:fill="FFFFFF"/>
            <w:hideMark/>
          </w:tcPr>
          <w:p w14:paraId="72530313" w14:textId="77777777" w:rsidR="00D30983" w:rsidRPr="00D9348B" w:rsidRDefault="00D30983" w:rsidP="00DB330E">
            <w:pPr>
              <w:pStyle w:val="TableText"/>
              <w:spacing w:before="50" w:after="50"/>
              <w:ind w:right="964"/>
              <w:jc w:val="right"/>
            </w:pPr>
            <w:r w:rsidRPr="00D9348B">
              <w:t>±50</w:t>
            </w:r>
          </w:p>
        </w:tc>
      </w:tr>
      <w:tr w:rsidR="00D30983" w:rsidRPr="00D9348B" w14:paraId="58A202F4" w14:textId="77777777" w:rsidTr="00276A11">
        <w:tc>
          <w:tcPr>
            <w:tcW w:w="2435" w:type="dxa"/>
            <w:tcBorders>
              <w:top w:val="single" w:sz="6" w:space="0" w:color="365F91"/>
              <w:left w:val="nil"/>
              <w:bottom w:val="single" w:sz="6" w:space="0" w:color="365F91"/>
              <w:right w:val="nil"/>
            </w:tcBorders>
            <w:shd w:val="clear" w:color="auto" w:fill="FFFFFF"/>
            <w:hideMark/>
          </w:tcPr>
          <w:p w14:paraId="12E033F8" w14:textId="77777777" w:rsidR="00D30983" w:rsidRPr="00D9348B" w:rsidRDefault="00D30983" w:rsidP="00DB330E">
            <w:pPr>
              <w:pStyle w:val="TableText"/>
              <w:spacing w:before="50" w:after="50"/>
            </w:pPr>
            <w:r w:rsidRPr="00D9348B">
              <w:t>Magnesium (SF</w:t>
            </w:r>
            <w:r w:rsidRPr="00D9348B">
              <w:rPr>
                <w:vertAlign w:val="subscript"/>
              </w:rPr>
              <w:t>6</w:t>
            </w:r>
            <w:r w:rsidRPr="00D9348B">
              <w:t>)</w:t>
            </w:r>
          </w:p>
        </w:tc>
        <w:tc>
          <w:tcPr>
            <w:tcW w:w="2976" w:type="dxa"/>
            <w:tcBorders>
              <w:top w:val="single" w:sz="6" w:space="0" w:color="365F91"/>
              <w:left w:val="nil"/>
              <w:bottom w:val="single" w:sz="6" w:space="0" w:color="365F91"/>
              <w:right w:val="nil"/>
            </w:tcBorders>
            <w:shd w:val="clear" w:color="auto" w:fill="FFFFFF"/>
            <w:hideMark/>
          </w:tcPr>
          <w:p w14:paraId="3E367C3F" w14:textId="77777777" w:rsidR="00D30983" w:rsidRPr="00D9348B" w:rsidRDefault="00D30983" w:rsidP="00DB330E">
            <w:pPr>
              <w:pStyle w:val="TableText"/>
              <w:spacing w:before="50" w:after="50"/>
              <w:ind w:right="964"/>
              <w:jc w:val="right"/>
            </w:pPr>
            <w:r w:rsidRPr="00D9348B">
              <w:t>±100</w:t>
            </w:r>
          </w:p>
        </w:tc>
        <w:tc>
          <w:tcPr>
            <w:tcW w:w="3151" w:type="dxa"/>
            <w:tcBorders>
              <w:top w:val="single" w:sz="6" w:space="0" w:color="365F91"/>
              <w:left w:val="nil"/>
              <w:bottom w:val="single" w:sz="6" w:space="0" w:color="365F91"/>
              <w:right w:val="nil"/>
            </w:tcBorders>
            <w:shd w:val="clear" w:color="auto" w:fill="FFFFFF"/>
            <w:hideMark/>
          </w:tcPr>
          <w:p w14:paraId="4B495DD8" w14:textId="77777777" w:rsidR="00D30983" w:rsidRPr="00D9348B" w:rsidRDefault="00D30983" w:rsidP="00DB330E">
            <w:pPr>
              <w:pStyle w:val="TableText"/>
              <w:spacing w:before="50" w:after="50"/>
              <w:ind w:right="964"/>
              <w:jc w:val="right"/>
            </w:pPr>
            <w:r w:rsidRPr="00D9348B">
              <w:t>–</w:t>
            </w:r>
          </w:p>
        </w:tc>
      </w:tr>
      <w:tr w:rsidR="00D30983" w:rsidRPr="00D9348B" w14:paraId="7650AB4F" w14:textId="77777777" w:rsidTr="00276A11">
        <w:tc>
          <w:tcPr>
            <w:tcW w:w="2435" w:type="dxa"/>
            <w:tcBorders>
              <w:top w:val="single" w:sz="6" w:space="0" w:color="365F91"/>
              <w:left w:val="nil"/>
              <w:bottom w:val="single" w:sz="6" w:space="0" w:color="365F91"/>
              <w:right w:val="nil"/>
            </w:tcBorders>
            <w:shd w:val="clear" w:color="auto" w:fill="FFFFFF"/>
            <w:hideMark/>
          </w:tcPr>
          <w:p w14:paraId="5A584286" w14:textId="77777777" w:rsidR="00D30983" w:rsidRPr="00D9348B" w:rsidRDefault="00D30983" w:rsidP="00DB330E">
            <w:pPr>
              <w:pStyle w:val="TableText"/>
              <w:spacing w:before="50" w:after="50"/>
            </w:pPr>
            <w:r w:rsidRPr="00D9348B">
              <w:t>Lead (CO</w:t>
            </w:r>
            <w:r w:rsidRPr="00D9348B">
              <w:rPr>
                <w:vertAlign w:val="subscript"/>
              </w:rPr>
              <w:t>2</w:t>
            </w:r>
            <w:r w:rsidRPr="00D9348B">
              <w:t>)</w:t>
            </w:r>
          </w:p>
        </w:tc>
        <w:tc>
          <w:tcPr>
            <w:tcW w:w="2976" w:type="dxa"/>
            <w:tcBorders>
              <w:top w:val="single" w:sz="6" w:space="0" w:color="365F91"/>
              <w:left w:val="nil"/>
              <w:bottom w:val="single" w:sz="6" w:space="0" w:color="365F91"/>
              <w:right w:val="nil"/>
            </w:tcBorders>
            <w:shd w:val="clear" w:color="auto" w:fill="FFFFFF"/>
            <w:hideMark/>
          </w:tcPr>
          <w:p w14:paraId="06FD0080" w14:textId="77777777" w:rsidR="00D30983" w:rsidRPr="00D9348B" w:rsidRDefault="00D30983" w:rsidP="00DB330E">
            <w:pPr>
              <w:pStyle w:val="TableText"/>
              <w:spacing w:before="50" w:after="50"/>
              <w:ind w:right="964"/>
              <w:jc w:val="right"/>
            </w:pPr>
            <w:r w:rsidRPr="00D9348B">
              <w:t>±50</w:t>
            </w:r>
          </w:p>
        </w:tc>
        <w:tc>
          <w:tcPr>
            <w:tcW w:w="3151" w:type="dxa"/>
            <w:tcBorders>
              <w:top w:val="single" w:sz="6" w:space="0" w:color="365F91"/>
              <w:left w:val="nil"/>
              <w:bottom w:val="single" w:sz="6" w:space="0" w:color="365F91"/>
              <w:right w:val="nil"/>
            </w:tcBorders>
            <w:shd w:val="clear" w:color="auto" w:fill="FFFFFF"/>
            <w:hideMark/>
          </w:tcPr>
          <w:p w14:paraId="3308DE9B" w14:textId="77777777" w:rsidR="00D30983" w:rsidRPr="00D9348B" w:rsidRDefault="00D30983" w:rsidP="00DB330E">
            <w:pPr>
              <w:pStyle w:val="TableText"/>
              <w:spacing w:before="50" w:after="50"/>
              <w:ind w:right="964"/>
              <w:jc w:val="right"/>
            </w:pPr>
            <w:r w:rsidRPr="00D9348B">
              <w:t>±50</w:t>
            </w:r>
          </w:p>
        </w:tc>
      </w:tr>
    </w:tbl>
    <w:p w14:paraId="0FC8EF16" w14:textId="77777777" w:rsidR="00D30983" w:rsidRPr="00D9348B" w:rsidRDefault="00D30983" w:rsidP="00865BDB">
      <w:pPr>
        <w:pStyle w:val="Heading4"/>
        <w:rPr>
          <w:bCs/>
          <w:iCs/>
        </w:rPr>
      </w:pPr>
      <w:r w:rsidRPr="00D9348B">
        <w:t>Time-series consistency</w:t>
      </w:r>
    </w:p>
    <w:p w14:paraId="2A88DC5C" w14:textId="77777777" w:rsidR="00D30983" w:rsidRPr="00D9348B" w:rsidRDefault="00D30983" w:rsidP="001D4675">
      <w:pPr>
        <w:pStyle w:val="BodyText"/>
        <w:spacing w:before="100" w:after="100"/>
      </w:pPr>
      <w:r w:rsidRPr="00D9348B">
        <w:t>The implied emission factors for PFC emissions from aluminium production fluctuated over the time series between 1990 and 1998. The introduction of monitoring at the aluminium smelter in 1993 contributed to process and management improvements that reduced the frequency and duration of anode effects. This improvement process continued. Since 1998, emissions have been lower and relatively stable, due to the much better control of anode effects (see table 4.4.3).</w:t>
      </w:r>
    </w:p>
    <w:p w14:paraId="5F7A8631" w14:textId="77777777" w:rsidR="00D30983" w:rsidRPr="00D9348B" w:rsidRDefault="00D30983" w:rsidP="00D30983">
      <w:pPr>
        <w:pStyle w:val="Table"/>
      </w:pPr>
      <w:bookmarkStart w:id="509" w:name="_Toc451176072"/>
      <w:bookmarkStart w:id="510" w:name="_Toc5269462"/>
      <w:bookmarkStart w:id="511" w:name="_Toc36224535"/>
      <w:r w:rsidRPr="00D9348B">
        <w:t>Table 4.4.3</w:t>
      </w:r>
      <w:r w:rsidRPr="00D9348B">
        <w:tab/>
        <w:t>Explanation of variations in New Zealand’s aluminium emissions</w:t>
      </w:r>
      <w:bookmarkEnd w:id="509"/>
      <w:bookmarkEnd w:id="510"/>
      <w:bookmarkEnd w:id="511"/>
      <w:r w:rsidRPr="00D9348B">
        <w:t xml:space="preserve"> </w:t>
      </w:r>
    </w:p>
    <w:tbl>
      <w:tblPr>
        <w:tblW w:w="8562" w:type="dxa"/>
        <w:tblInd w:w="108" w:type="dxa"/>
        <w:tblLayout w:type="fixed"/>
        <w:tblLook w:val="04A0" w:firstRow="1" w:lastRow="0" w:firstColumn="1" w:lastColumn="0" w:noHBand="0" w:noVBand="1"/>
      </w:tblPr>
      <w:tblGrid>
        <w:gridCol w:w="3261"/>
        <w:gridCol w:w="5301"/>
      </w:tblGrid>
      <w:tr w:rsidR="00D30983" w:rsidRPr="00D9348B" w14:paraId="1CA57760" w14:textId="77777777" w:rsidTr="001D4675">
        <w:trPr>
          <w:tblHeader/>
        </w:trPr>
        <w:tc>
          <w:tcPr>
            <w:tcW w:w="3261" w:type="dxa"/>
            <w:tcBorders>
              <w:top w:val="single" w:sz="4" w:space="0" w:color="365F91"/>
              <w:left w:val="nil"/>
              <w:bottom w:val="single" w:sz="4" w:space="0" w:color="365F91"/>
              <w:right w:val="nil"/>
            </w:tcBorders>
            <w:shd w:val="clear" w:color="auto" w:fill="365F91"/>
            <w:hideMark/>
          </w:tcPr>
          <w:p w14:paraId="7A7AFEA8" w14:textId="77777777" w:rsidR="00D30983" w:rsidRPr="00D9348B" w:rsidRDefault="00D30983" w:rsidP="00DB330E">
            <w:pPr>
              <w:pStyle w:val="TableTextBold"/>
              <w:keepNext/>
              <w:spacing w:before="50" w:after="50"/>
              <w:rPr>
                <w:noProof w:val="0"/>
                <w:color w:val="FFFFFF"/>
                <w:szCs w:val="16"/>
              </w:rPr>
            </w:pPr>
            <w:r w:rsidRPr="00D9348B">
              <w:rPr>
                <w:noProof w:val="0"/>
                <w:color w:val="FFFFFF"/>
                <w:szCs w:val="16"/>
              </w:rPr>
              <w:t>Variation in emissions</w:t>
            </w:r>
          </w:p>
        </w:tc>
        <w:tc>
          <w:tcPr>
            <w:tcW w:w="5301" w:type="dxa"/>
            <w:tcBorders>
              <w:top w:val="single" w:sz="4" w:space="0" w:color="365F91"/>
              <w:left w:val="nil"/>
              <w:bottom w:val="single" w:sz="4" w:space="0" w:color="365F91"/>
              <w:right w:val="nil"/>
            </w:tcBorders>
            <w:shd w:val="clear" w:color="auto" w:fill="365F91"/>
            <w:hideMark/>
          </w:tcPr>
          <w:p w14:paraId="5B8872B5" w14:textId="77777777" w:rsidR="00D30983" w:rsidRPr="00D9348B" w:rsidRDefault="00D30983" w:rsidP="00DB330E">
            <w:pPr>
              <w:pStyle w:val="TableTextBold"/>
              <w:spacing w:before="50" w:after="50"/>
              <w:rPr>
                <w:noProof w:val="0"/>
                <w:color w:val="FFFFFF"/>
                <w:szCs w:val="16"/>
              </w:rPr>
            </w:pPr>
            <w:r w:rsidRPr="00D9348B">
              <w:rPr>
                <w:noProof w:val="0"/>
                <w:color w:val="FFFFFF"/>
                <w:szCs w:val="16"/>
              </w:rPr>
              <w:t>Reason for variation</w:t>
            </w:r>
          </w:p>
        </w:tc>
      </w:tr>
      <w:tr w:rsidR="00D30983" w:rsidRPr="00D9348B" w14:paraId="3831A31A" w14:textId="77777777" w:rsidTr="001D4675">
        <w:tc>
          <w:tcPr>
            <w:tcW w:w="3261" w:type="dxa"/>
            <w:tcBorders>
              <w:top w:val="single" w:sz="4" w:space="0" w:color="365F91"/>
              <w:left w:val="nil"/>
              <w:bottom w:val="single" w:sz="4" w:space="0" w:color="365F91"/>
              <w:right w:val="nil"/>
            </w:tcBorders>
            <w:hideMark/>
          </w:tcPr>
          <w:p w14:paraId="12E16DC0" w14:textId="77777777" w:rsidR="00D30983" w:rsidRPr="00D9348B" w:rsidRDefault="00D30983" w:rsidP="00DB330E">
            <w:pPr>
              <w:pStyle w:val="TableText"/>
              <w:spacing w:before="50" w:after="50"/>
              <w:rPr>
                <w:i/>
                <w:szCs w:val="16"/>
              </w:rPr>
            </w:pPr>
            <w:r w:rsidRPr="00D9348B">
              <w:rPr>
                <w:szCs w:val="16"/>
              </w:rPr>
              <w:t>Increase in CO</w:t>
            </w:r>
            <w:r w:rsidRPr="00D9348B">
              <w:rPr>
                <w:szCs w:val="16"/>
                <w:vertAlign w:val="subscript"/>
              </w:rPr>
              <w:t>2</w:t>
            </w:r>
            <w:r w:rsidRPr="00D9348B">
              <w:rPr>
                <w:szCs w:val="16"/>
              </w:rPr>
              <w:t xml:space="preserve"> and PFC emissions in 1996</w:t>
            </w:r>
          </w:p>
        </w:tc>
        <w:tc>
          <w:tcPr>
            <w:tcW w:w="5301" w:type="dxa"/>
            <w:tcBorders>
              <w:top w:val="single" w:sz="4" w:space="0" w:color="365F91"/>
              <w:left w:val="nil"/>
              <w:bottom w:val="single" w:sz="4" w:space="0" w:color="365F91"/>
              <w:right w:val="nil"/>
            </w:tcBorders>
            <w:hideMark/>
          </w:tcPr>
          <w:p w14:paraId="6D3C2A5A" w14:textId="77777777" w:rsidR="00D30983" w:rsidRPr="00D9348B" w:rsidRDefault="00D30983" w:rsidP="00DB330E">
            <w:pPr>
              <w:pStyle w:val="TableText"/>
              <w:spacing w:before="50" w:after="50"/>
              <w:rPr>
                <w:i/>
                <w:szCs w:val="16"/>
              </w:rPr>
            </w:pPr>
            <w:r w:rsidRPr="00D9348B">
              <w:rPr>
                <w:szCs w:val="16"/>
              </w:rPr>
              <w:t>Commissioning of Line 4 cells</w:t>
            </w:r>
          </w:p>
        </w:tc>
      </w:tr>
      <w:tr w:rsidR="00D30983" w:rsidRPr="00D9348B" w14:paraId="24436ADE" w14:textId="77777777" w:rsidTr="001D4675">
        <w:tc>
          <w:tcPr>
            <w:tcW w:w="3261" w:type="dxa"/>
            <w:tcBorders>
              <w:top w:val="single" w:sz="4" w:space="0" w:color="365F91"/>
              <w:left w:val="nil"/>
              <w:bottom w:val="nil"/>
              <w:right w:val="nil"/>
            </w:tcBorders>
            <w:hideMark/>
          </w:tcPr>
          <w:p w14:paraId="634ADF34" w14:textId="77777777" w:rsidR="00D30983" w:rsidRPr="00D9348B" w:rsidRDefault="00D30983" w:rsidP="00DB330E">
            <w:pPr>
              <w:pStyle w:val="TableText"/>
              <w:spacing w:before="50" w:after="50"/>
              <w:rPr>
                <w:i/>
                <w:szCs w:val="16"/>
              </w:rPr>
            </w:pPr>
            <w:r w:rsidRPr="00D9348B">
              <w:rPr>
                <w:szCs w:val="16"/>
              </w:rPr>
              <w:t>Decrease in CO</w:t>
            </w:r>
            <w:r w:rsidRPr="00D9348B">
              <w:rPr>
                <w:szCs w:val="16"/>
                <w:vertAlign w:val="subscript"/>
              </w:rPr>
              <w:t xml:space="preserve">2 </w:t>
            </w:r>
            <w:r w:rsidRPr="00D9348B">
              <w:rPr>
                <w:szCs w:val="16"/>
              </w:rPr>
              <w:t>emissions in 1995</w:t>
            </w:r>
          </w:p>
        </w:tc>
        <w:tc>
          <w:tcPr>
            <w:tcW w:w="5301" w:type="dxa"/>
            <w:tcBorders>
              <w:top w:val="single" w:sz="4" w:space="0" w:color="365F91"/>
              <w:left w:val="nil"/>
              <w:bottom w:val="nil"/>
              <w:right w:val="nil"/>
            </w:tcBorders>
            <w:hideMark/>
          </w:tcPr>
          <w:p w14:paraId="4A61C806" w14:textId="77777777" w:rsidR="00D30983" w:rsidRPr="00D9348B" w:rsidRDefault="00D30983" w:rsidP="00DB330E">
            <w:pPr>
              <w:pStyle w:val="TableText"/>
              <w:spacing w:before="50" w:after="50"/>
              <w:rPr>
                <w:i/>
                <w:szCs w:val="16"/>
              </w:rPr>
            </w:pPr>
            <w:r w:rsidRPr="00D9348B">
              <w:rPr>
                <w:szCs w:val="16"/>
              </w:rPr>
              <w:t>Good anode performance, compared with 1994 and 1996</w:t>
            </w:r>
          </w:p>
        </w:tc>
      </w:tr>
      <w:tr w:rsidR="00D30983" w:rsidRPr="00D9348B" w14:paraId="2A351368" w14:textId="77777777" w:rsidTr="001D4675">
        <w:tc>
          <w:tcPr>
            <w:tcW w:w="3261" w:type="dxa"/>
            <w:hideMark/>
          </w:tcPr>
          <w:p w14:paraId="49679493" w14:textId="77777777" w:rsidR="00D30983" w:rsidRPr="00D9348B" w:rsidRDefault="00D30983" w:rsidP="00DB330E">
            <w:pPr>
              <w:pStyle w:val="TableText"/>
              <w:spacing w:before="50" w:after="50"/>
              <w:rPr>
                <w:i/>
                <w:szCs w:val="16"/>
              </w:rPr>
            </w:pPr>
            <w:r w:rsidRPr="00D9348B">
              <w:rPr>
                <w:szCs w:val="16"/>
              </w:rPr>
              <w:t>Decrease in CO</w:t>
            </w:r>
            <w:r w:rsidRPr="00D9348B">
              <w:rPr>
                <w:szCs w:val="16"/>
                <w:vertAlign w:val="subscript"/>
              </w:rPr>
              <w:t xml:space="preserve">2 </w:t>
            </w:r>
            <w:r w:rsidRPr="00D9348B">
              <w:rPr>
                <w:szCs w:val="16"/>
              </w:rPr>
              <w:t>emissions in 1998</w:t>
            </w:r>
          </w:p>
        </w:tc>
        <w:tc>
          <w:tcPr>
            <w:tcW w:w="5301" w:type="dxa"/>
            <w:hideMark/>
          </w:tcPr>
          <w:p w14:paraId="25BBA1A6" w14:textId="77777777" w:rsidR="00D30983" w:rsidRPr="00D9348B" w:rsidRDefault="00D30983" w:rsidP="00DB330E">
            <w:pPr>
              <w:pStyle w:val="TableText"/>
              <w:spacing w:before="50" w:after="50"/>
              <w:rPr>
                <w:i/>
                <w:szCs w:val="16"/>
              </w:rPr>
            </w:pPr>
            <w:r w:rsidRPr="00D9348B">
              <w:rPr>
                <w:szCs w:val="16"/>
              </w:rPr>
              <w:t>Good anode performance</w:t>
            </w:r>
          </w:p>
        </w:tc>
      </w:tr>
      <w:tr w:rsidR="00D30983" w:rsidRPr="00D9348B" w14:paraId="4699C69A" w14:textId="77777777" w:rsidTr="001D4675">
        <w:tc>
          <w:tcPr>
            <w:tcW w:w="3261" w:type="dxa"/>
            <w:hideMark/>
          </w:tcPr>
          <w:p w14:paraId="513635CD" w14:textId="77777777" w:rsidR="00D30983" w:rsidRPr="00D9348B" w:rsidRDefault="00D30983" w:rsidP="00DB330E">
            <w:pPr>
              <w:pStyle w:val="TableText"/>
              <w:spacing w:before="50" w:after="50"/>
              <w:rPr>
                <w:i/>
                <w:szCs w:val="16"/>
              </w:rPr>
            </w:pPr>
            <w:r w:rsidRPr="00D9348B">
              <w:rPr>
                <w:szCs w:val="16"/>
              </w:rPr>
              <w:t>Decrease in CO</w:t>
            </w:r>
            <w:r w:rsidRPr="00D9348B">
              <w:rPr>
                <w:szCs w:val="16"/>
                <w:vertAlign w:val="subscript"/>
              </w:rPr>
              <w:t>2</w:t>
            </w:r>
            <w:r w:rsidRPr="00D9348B">
              <w:rPr>
                <w:szCs w:val="16"/>
              </w:rPr>
              <w:t xml:space="preserve"> emissions in 2001, 2003 and 2006</w:t>
            </w:r>
          </w:p>
        </w:tc>
        <w:tc>
          <w:tcPr>
            <w:tcW w:w="5301" w:type="dxa"/>
            <w:hideMark/>
          </w:tcPr>
          <w:p w14:paraId="27BADC15" w14:textId="77777777" w:rsidR="00D30983" w:rsidRPr="00D9348B" w:rsidRDefault="00D30983" w:rsidP="00DB330E">
            <w:pPr>
              <w:pStyle w:val="TableText"/>
              <w:spacing w:before="50" w:after="50"/>
              <w:rPr>
                <w:i/>
                <w:szCs w:val="16"/>
              </w:rPr>
            </w:pPr>
            <w:r w:rsidRPr="00D9348B">
              <w:rPr>
                <w:szCs w:val="16"/>
              </w:rPr>
              <w:t>Fewer cells operating from reduced aluminium production due to reduced electricity supply</w:t>
            </w:r>
          </w:p>
        </w:tc>
      </w:tr>
      <w:tr w:rsidR="00D30983" w:rsidRPr="00D9348B" w14:paraId="5462712F" w14:textId="77777777" w:rsidTr="001D4675">
        <w:tc>
          <w:tcPr>
            <w:tcW w:w="3261" w:type="dxa"/>
          </w:tcPr>
          <w:p w14:paraId="1464EBE6" w14:textId="77777777" w:rsidR="00D30983" w:rsidRPr="00D9348B" w:rsidRDefault="00D30983" w:rsidP="00DB330E">
            <w:pPr>
              <w:pStyle w:val="TableText"/>
              <w:spacing w:before="50" w:after="50"/>
              <w:rPr>
                <w:i/>
                <w:szCs w:val="16"/>
              </w:rPr>
            </w:pPr>
          </w:p>
        </w:tc>
        <w:tc>
          <w:tcPr>
            <w:tcW w:w="5301" w:type="dxa"/>
            <w:hideMark/>
          </w:tcPr>
          <w:p w14:paraId="7EBA83E2" w14:textId="77777777" w:rsidR="00D30983" w:rsidRPr="00D9348B" w:rsidRDefault="00D30983" w:rsidP="00DB330E">
            <w:pPr>
              <w:pStyle w:val="TableText"/>
              <w:spacing w:before="50" w:after="50"/>
              <w:rPr>
                <w:i/>
                <w:szCs w:val="16"/>
              </w:rPr>
            </w:pPr>
            <w:r w:rsidRPr="00D9348B">
              <w:rPr>
                <w:szCs w:val="16"/>
              </w:rPr>
              <w:t>Good anode performance contributed in 2001</w:t>
            </w:r>
          </w:p>
        </w:tc>
      </w:tr>
      <w:tr w:rsidR="00D30983" w:rsidRPr="00D9348B" w14:paraId="09A33AFA" w14:textId="77777777" w:rsidTr="001D4675">
        <w:tc>
          <w:tcPr>
            <w:tcW w:w="3261" w:type="dxa"/>
            <w:hideMark/>
          </w:tcPr>
          <w:p w14:paraId="5F9CEA1E" w14:textId="77777777" w:rsidR="00D30983" w:rsidRPr="00D9348B" w:rsidRDefault="00D30983" w:rsidP="00DB330E">
            <w:pPr>
              <w:pStyle w:val="TableText"/>
              <w:spacing w:before="50" w:after="50"/>
              <w:rPr>
                <w:i/>
                <w:szCs w:val="16"/>
              </w:rPr>
            </w:pPr>
            <w:r w:rsidRPr="00D9348B">
              <w:rPr>
                <w:szCs w:val="16"/>
              </w:rPr>
              <w:t>Increase in CO</w:t>
            </w:r>
            <w:r w:rsidRPr="00D9348B">
              <w:rPr>
                <w:szCs w:val="16"/>
                <w:vertAlign w:val="subscript"/>
              </w:rPr>
              <w:t xml:space="preserve">2 </w:t>
            </w:r>
            <w:r w:rsidRPr="00D9348B">
              <w:rPr>
                <w:szCs w:val="16"/>
              </w:rPr>
              <w:t>emissions in 1996</w:t>
            </w:r>
          </w:p>
        </w:tc>
        <w:tc>
          <w:tcPr>
            <w:tcW w:w="5301" w:type="dxa"/>
            <w:hideMark/>
          </w:tcPr>
          <w:p w14:paraId="21CE7D22" w14:textId="77777777" w:rsidR="00D30983" w:rsidRPr="00D9348B" w:rsidRDefault="00D30983" w:rsidP="00DB330E">
            <w:pPr>
              <w:pStyle w:val="TableText"/>
              <w:spacing w:before="50" w:after="50"/>
              <w:rPr>
                <w:i/>
                <w:szCs w:val="16"/>
              </w:rPr>
            </w:pPr>
            <w:r w:rsidRPr="00D9348B">
              <w:rPr>
                <w:szCs w:val="16"/>
              </w:rPr>
              <w:t>All cells operating, including introduction of additional cells</w:t>
            </w:r>
          </w:p>
        </w:tc>
      </w:tr>
      <w:tr w:rsidR="00D30983" w:rsidRPr="00D9348B" w14:paraId="10D0945F" w14:textId="77777777" w:rsidTr="001D4675">
        <w:tc>
          <w:tcPr>
            <w:tcW w:w="3261" w:type="dxa"/>
            <w:tcBorders>
              <w:top w:val="nil"/>
              <w:left w:val="nil"/>
              <w:bottom w:val="single" w:sz="4" w:space="0" w:color="365F91"/>
              <w:right w:val="nil"/>
            </w:tcBorders>
          </w:tcPr>
          <w:p w14:paraId="561A3015" w14:textId="77777777" w:rsidR="00D30983" w:rsidRPr="00D9348B" w:rsidRDefault="00D30983" w:rsidP="00DB330E">
            <w:pPr>
              <w:pStyle w:val="TableText"/>
              <w:spacing w:before="50" w:after="50"/>
              <w:rPr>
                <w:i/>
                <w:szCs w:val="16"/>
              </w:rPr>
            </w:pPr>
          </w:p>
        </w:tc>
        <w:tc>
          <w:tcPr>
            <w:tcW w:w="5301" w:type="dxa"/>
            <w:tcBorders>
              <w:top w:val="nil"/>
              <w:left w:val="nil"/>
              <w:bottom w:val="single" w:sz="4" w:space="0" w:color="365F91"/>
              <w:right w:val="nil"/>
            </w:tcBorders>
            <w:hideMark/>
          </w:tcPr>
          <w:p w14:paraId="45B3765C" w14:textId="77777777" w:rsidR="00D30983" w:rsidRPr="00D9348B" w:rsidRDefault="00D30983" w:rsidP="00DB330E">
            <w:pPr>
              <w:pStyle w:val="TableText"/>
              <w:spacing w:before="50" w:after="50"/>
              <w:rPr>
                <w:i/>
                <w:szCs w:val="16"/>
              </w:rPr>
            </w:pPr>
            <w:r w:rsidRPr="00D9348B">
              <w:rPr>
                <w:szCs w:val="16"/>
              </w:rPr>
              <w:t>Increasing aluminium production rate from the cells</w:t>
            </w:r>
          </w:p>
        </w:tc>
      </w:tr>
      <w:tr w:rsidR="00D30983" w:rsidRPr="00D9348B" w14:paraId="0678FD9E" w14:textId="77777777" w:rsidTr="001D4675">
        <w:tc>
          <w:tcPr>
            <w:tcW w:w="3261" w:type="dxa"/>
            <w:tcBorders>
              <w:top w:val="single" w:sz="4" w:space="0" w:color="365F91"/>
              <w:left w:val="nil"/>
              <w:bottom w:val="nil"/>
              <w:right w:val="nil"/>
            </w:tcBorders>
            <w:hideMark/>
          </w:tcPr>
          <w:p w14:paraId="2CD8B809" w14:textId="77777777" w:rsidR="00D30983" w:rsidRPr="00D9348B" w:rsidRDefault="00D30983" w:rsidP="00DB330E">
            <w:pPr>
              <w:pStyle w:val="TableText"/>
              <w:rPr>
                <w:i/>
                <w:szCs w:val="16"/>
              </w:rPr>
            </w:pPr>
            <w:r w:rsidRPr="00D9348B">
              <w:rPr>
                <w:szCs w:val="16"/>
              </w:rPr>
              <w:t>Decrease in PFC emissions in 1995</w:t>
            </w:r>
          </w:p>
        </w:tc>
        <w:tc>
          <w:tcPr>
            <w:tcW w:w="5301" w:type="dxa"/>
            <w:tcBorders>
              <w:top w:val="single" w:sz="4" w:space="0" w:color="365F91"/>
              <w:left w:val="nil"/>
              <w:bottom w:val="nil"/>
              <w:right w:val="nil"/>
            </w:tcBorders>
            <w:hideMark/>
          </w:tcPr>
          <w:p w14:paraId="1118FB9A" w14:textId="77777777" w:rsidR="00D30983" w:rsidRPr="00D9348B" w:rsidRDefault="00D30983" w:rsidP="00DB330E">
            <w:pPr>
              <w:pStyle w:val="TableText"/>
              <w:rPr>
                <w:i/>
                <w:szCs w:val="16"/>
              </w:rPr>
            </w:pPr>
            <w:r w:rsidRPr="00D9348B">
              <w:rPr>
                <w:szCs w:val="16"/>
              </w:rPr>
              <w:t xml:space="preserve">Reduced anode frequencies </w:t>
            </w:r>
          </w:p>
        </w:tc>
      </w:tr>
      <w:tr w:rsidR="00D30983" w:rsidRPr="00D9348B" w14:paraId="5EB07F2C" w14:textId="77777777" w:rsidTr="001D4675">
        <w:tc>
          <w:tcPr>
            <w:tcW w:w="3261" w:type="dxa"/>
          </w:tcPr>
          <w:p w14:paraId="6AA6527D" w14:textId="77777777" w:rsidR="00D30983" w:rsidRPr="00D9348B" w:rsidRDefault="00D30983" w:rsidP="00DB330E">
            <w:pPr>
              <w:pStyle w:val="TableText"/>
              <w:rPr>
                <w:i/>
                <w:szCs w:val="16"/>
              </w:rPr>
            </w:pPr>
          </w:p>
        </w:tc>
        <w:tc>
          <w:tcPr>
            <w:tcW w:w="5301" w:type="dxa"/>
            <w:hideMark/>
          </w:tcPr>
          <w:p w14:paraId="09B7792E" w14:textId="77777777" w:rsidR="00D30983" w:rsidRPr="00D9348B" w:rsidRDefault="00D30983" w:rsidP="00DB330E">
            <w:pPr>
              <w:pStyle w:val="TableText"/>
              <w:rPr>
                <w:i/>
                <w:szCs w:val="16"/>
              </w:rPr>
            </w:pPr>
            <w:r w:rsidRPr="00D9348B">
              <w:rPr>
                <w:szCs w:val="16"/>
              </w:rPr>
              <w:t>The implementation of the change control strategy to all reduction cells</w:t>
            </w:r>
          </w:p>
        </w:tc>
      </w:tr>
      <w:tr w:rsidR="00D30983" w:rsidRPr="00D9348B" w14:paraId="53BEE79F" w14:textId="77777777" w:rsidTr="001D4675">
        <w:tc>
          <w:tcPr>
            <w:tcW w:w="3261" w:type="dxa"/>
          </w:tcPr>
          <w:p w14:paraId="340BB44B" w14:textId="77777777" w:rsidR="00D30983" w:rsidRPr="00D9348B" w:rsidRDefault="00D30983" w:rsidP="00DB330E">
            <w:pPr>
              <w:pStyle w:val="TableText"/>
              <w:rPr>
                <w:i/>
                <w:szCs w:val="16"/>
              </w:rPr>
            </w:pPr>
          </w:p>
        </w:tc>
        <w:tc>
          <w:tcPr>
            <w:tcW w:w="5301" w:type="dxa"/>
            <w:hideMark/>
          </w:tcPr>
          <w:p w14:paraId="40107E02" w14:textId="77777777" w:rsidR="00D30983" w:rsidRPr="00D9348B" w:rsidRDefault="00D30983" w:rsidP="00DB330E">
            <w:pPr>
              <w:pStyle w:val="TableText"/>
              <w:rPr>
                <w:i/>
                <w:szCs w:val="16"/>
              </w:rPr>
            </w:pPr>
            <w:r w:rsidRPr="00D9348B">
              <w:rPr>
                <w:szCs w:val="16"/>
              </w:rPr>
              <w:t>Repairs made to cells exerting higher frequencies</w:t>
            </w:r>
          </w:p>
        </w:tc>
      </w:tr>
      <w:tr w:rsidR="00D30983" w:rsidRPr="00D9348B" w14:paraId="0F8F750E" w14:textId="77777777" w:rsidTr="001D4675">
        <w:tc>
          <w:tcPr>
            <w:tcW w:w="3261" w:type="dxa"/>
            <w:hideMark/>
          </w:tcPr>
          <w:p w14:paraId="5DC890E2" w14:textId="77777777" w:rsidR="00D30983" w:rsidRPr="00D9348B" w:rsidRDefault="00D30983" w:rsidP="00DB330E">
            <w:pPr>
              <w:pStyle w:val="TableText"/>
              <w:rPr>
                <w:i/>
                <w:szCs w:val="16"/>
              </w:rPr>
            </w:pPr>
            <w:r w:rsidRPr="00D9348B">
              <w:rPr>
                <w:szCs w:val="16"/>
              </w:rPr>
              <w:t>PFC emissions remained high in 1997</w:t>
            </w:r>
          </w:p>
        </w:tc>
        <w:tc>
          <w:tcPr>
            <w:tcW w:w="5301" w:type="dxa"/>
            <w:hideMark/>
          </w:tcPr>
          <w:p w14:paraId="726B0AEF" w14:textId="77777777" w:rsidR="00D30983" w:rsidRPr="00D9348B" w:rsidRDefault="00D30983" w:rsidP="00DB330E">
            <w:pPr>
              <w:pStyle w:val="TableText"/>
              <w:rPr>
                <w:i/>
                <w:szCs w:val="16"/>
              </w:rPr>
            </w:pPr>
            <w:r w:rsidRPr="00D9348B">
              <w:rPr>
                <w:szCs w:val="16"/>
              </w:rPr>
              <w:t>Instability over the whole plant as the operating parameters were tuned for the material coming from the newly commissioned dry scrubbing equipment (removes the fluoride and particulate from the main stack discharge)</w:t>
            </w:r>
          </w:p>
        </w:tc>
      </w:tr>
      <w:tr w:rsidR="00D30983" w:rsidRPr="00D9348B" w14:paraId="0E363BFF" w14:textId="77777777" w:rsidTr="001D4675">
        <w:tc>
          <w:tcPr>
            <w:tcW w:w="3261" w:type="dxa"/>
            <w:hideMark/>
          </w:tcPr>
          <w:p w14:paraId="0D8A41E0" w14:textId="77777777" w:rsidR="00D30983" w:rsidRPr="00D9348B" w:rsidRDefault="00D30983" w:rsidP="00DB330E">
            <w:pPr>
              <w:pStyle w:val="TableText"/>
              <w:rPr>
                <w:i/>
                <w:szCs w:val="16"/>
              </w:rPr>
            </w:pPr>
            <w:r w:rsidRPr="00D9348B">
              <w:rPr>
                <w:szCs w:val="16"/>
              </w:rPr>
              <w:t>Decrease in PFC emissions in 1998</w:t>
            </w:r>
          </w:p>
        </w:tc>
        <w:tc>
          <w:tcPr>
            <w:tcW w:w="5301" w:type="dxa"/>
            <w:hideMark/>
          </w:tcPr>
          <w:p w14:paraId="0C0DF32A" w14:textId="77777777" w:rsidR="00D30983" w:rsidRPr="00D9348B" w:rsidRDefault="00D30983" w:rsidP="00DB330E">
            <w:pPr>
              <w:pStyle w:val="TableText"/>
              <w:rPr>
                <w:i/>
                <w:szCs w:val="16"/>
              </w:rPr>
            </w:pPr>
            <w:r w:rsidRPr="00D9348B">
              <w:rPr>
                <w:szCs w:val="16"/>
              </w:rPr>
              <w:t xml:space="preserve">Cell operating parameter control from the introduction of modified software. This software has improved the detection of an anode-effect onset and will initiate actions to prevent the anode effect from occurring </w:t>
            </w:r>
          </w:p>
        </w:tc>
      </w:tr>
      <w:tr w:rsidR="00D30983" w:rsidRPr="00D9348B" w14:paraId="20EABDEA" w14:textId="77777777" w:rsidTr="001D4675">
        <w:tc>
          <w:tcPr>
            <w:tcW w:w="3261" w:type="dxa"/>
            <w:tcBorders>
              <w:top w:val="nil"/>
              <w:left w:val="nil"/>
              <w:bottom w:val="single" w:sz="4" w:space="0" w:color="365F91"/>
              <w:right w:val="nil"/>
            </w:tcBorders>
            <w:hideMark/>
          </w:tcPr>
          <w:p w14:paraId="51A85FC8" w14:textId="77777777" w:rsidR="00D30983" w:rsidRPr="00D9348B" w:rsidRDefault="00D30983" w:rsidP="00DB330E">
            <w:pPr>
              <w:pStyle w:val="TableText"/>
              <w:rPr>
                <w:i/>
                <w:szCs w:val="16"/>
              </w:rPr>
            </w:pPr>
            <w:r w:rsidRPr="00D9348B">
              <w:rPr>
                <w:szCs w:val="16"/>
              </w:rPr>
              <w:t>PFCs remain relatively static in 2001, 2003 and 2006</w:t>
            </w:r>
          </w:p>
        </w:tc>
        <w:tc>
          <w:tcPr>
            <w:tcW w:w="5301" w:type="dxa"/>
            <w:tcBorders>
              <w:top w:val="nil"/>
              <w:left w:val="nil"/>
              <w:bottom w:val="single" w:sz="4" w:space="0" w:color="365F91"/>
              <w:right w:val="nil"/>
            </w:tcBorders>
            <w:hideMark/>
          </w:tcPr>
          <w:p w14:paraId="436F53B2" w14:textId="77777777" w:rsidR="00D30983" w:rsidRPr="00D9348B" w:rsidRDefault="00D30983" w:rsidP="00DB330E">
            <w:pPr>
              <w:pStyle w:val="TableText"/>
              <w:rPr>
                <w:i/>
                <w:szCs w:val="16"/>
              </w:rPr>
            </w:pPr>
            <w:r w:rsidRPr="00D9348B">
              <w:rPr>
                <w:szCs w:val="16"/>
              </w:rPr>
              <w:t>Increased emissions from restarting the cells</w:t>
            </w:r>
          </w:p>
        </w:tc>
      </w:tr>
    </w:tbl>
    <w:p w14:paraId="68848336" w14:textId="77777777" w:rsidR="00D30983" w:rsidRPr="00D9348B" w:rsidRDefault="00D30983" w:rsidP="00D30983">
      <w:pPr>
        <w:pStyle w:val="Heading3"/>
        <w:spacing w:before="400"/>
      </w:pPr>
      <w:r w:rsidRPr="00D9348B">
        <w:t>4.4.4</w:t>
      </w:r>
      <w:r w:rsidRPr="00D9348B">
        <w:tab/>
        <w:t>Source-specific QA/QC and verification</w:t>
      </w:r>
    </w:p>
    <w:p w14:paraId="3EAA9A37" w14:textId="77777777" w:rsidR="00D30983" w:rsidRPr="00D9348B" w:rsidRDefault="00D30983" w:rsidP="001D4675">
      <w:pPr>
        <w:pStyle w:val="BodyText"/>
        <w:spacing w:before="100" w:after="100"/>
      </w:pPr>
      <w:r w:rsidRPr="00D9348B">
        <w:t xml:space="preserve">The two key categories in the </w:t>
      </w:r>
      <w:r w:rsidRPr="00D9348B">
        <w:rPr>
          <w:i/>
        </w:rPr>
        <w:t>Metal industry</w:t>
      </w:r>
      <w:r w:rsidRPr="00D9348B">
        <w:t xml:space="preserve"> source category are CO</w:t>
      </w:r>
      <w:r w:rsidRPr="00D9348B">
        <w:rPr>
          <w:vertAlign w:val="subscript"/>
        </w:rPr>
        <w:t>2</w:t>
      </w:r>
      <w:r w:rsidRPr="00D9348B">
        <w:t xml:space="preserve"> emissions from </w:t>
      </w:r>
      <w:r w:rsidRPr="00D9348B">
        <w:rPr>
          <w:i/>
        </w:rPr>
        <w:t>Iron and steel production</w:t>
      </w:r>
      <w:r w:rsidRPr="00D9348B">
        <w:t xml:space="preserve"> and </w:t>
      </w:r>
      <w:r w:rsidRPr="00D9348B">
        <w:rPr>
          <w:i/>
        </w:rPr>
        <w:t>Aluminium production</w:t>
      </w:r>
      <w:r w:rsidRPr="00D9348B">
        <w:t xml:space="preserve">, and PFCs from </w:t>
      </w:r>
      <w:r w:rsidRPr="00D9348B">
        <w:rPr>
          <w:i/>
        </w:rPr>
        <w:t>Aluminium production</w:t>
      </w:r>
      <w:r w:rsidRPr="00D9348B">
        <w:t xml:space="preserve">. The data for all direct emissions in this source category underwent Tier 1 quality checks in the preparation of this inventory. </w:t>
      </w:r>
    </w:p>
    <w:p w14:paraId="31EB0387" w14:textId="77777777" w:rsidR="00D30983" w:rsidRPr="00D9348B" w:rsidRDefault="00D30983" w:rsidP="00D30983">
      <w:pPr>
        <w:pStyle w:val="Heading3"/>
        <w:spacing w:before="280"/>
      </w:pPr>
      <w:r w:rsidRPr="00D9348B">
        <w:lastRenderedPageBreak/>
        <w:t>4.4.5</w:t>
      </w:r>
      <w:r w:rsidRPr="00D9348B">
        <w:tab/>
        <w:t>Source-specific recalculations</w:t>
      </w:r>
    </w:p>
    <w:p w14:paraId="1FF319D4" w14:textId="77777777" w:rsidR="00D30983" w:rsidRPr="00D9348B" w:rsidRDefault="00D30983" w:rsidP="00D30983">
      <w:pPr>
        <w:pStyle w:val="BodyText"/>
      </w:pPr>
      <w:r w:rsidRPr="00D9348B">
        <w:t xml:space="preserve">There are no recalculations for this source category. </w:t>
      </w:r>
    </w:p>
    <w:p w14:paraId="4C328DF1" w14:textId="77777777" w:rsidR="00D30983" w:rsidRPr="00D9348B" w:rsidRDefault="00D30983" w:rsidP="00D30983">
      <w:pPr>
        <w:pStyle w:val="Heading3"/>
        <w:spacing w:before="280"/>
      </w:pPr>
      <w:r w:rsidRPr="00D9348B">
        <w:t>4.4.6</w:t>
      </w:r>
      <w:r w:rsidRPr="00D9348B">
        <w:tab/>
        <w:t>Source-specific planned improvements</w:t>
      </w:r>
    </w:p>
    <w:p w14:paraId="4A7C2BAB" w14:textId="77777777" w:rsidR="00D30983" w:rsidRPr="00D9348B" w:rsidRDefault="00D30983" w:rsidP="00D30983">
      <w:pPr>
        <w:pStyle w:val="BodyText"/>
      </w:pPr>
      <w:r w:rsidRPr="00D9348B">
        <w:t xml:space="preserve">There are no planned improvements for this source category. </w:t>
      </w:r>
    </w:p>
    <w:p w14:paraId="18A42626" w14:textId="77777777" w:rsidR="00D30983" w:rsidRPr="00D9348B" w:rsidRDefault="00D30983" w:rsidP="00D30983">
      <w:pPr>
        <w:pStyle w:val="Heading2"/>
        <w:spacing w:before="320"/>
      </w:pPr>
      <w:bookmarkStart w:id="512" w:name="_Toc448321516"/>
      <w:bookmarkStart w:id="513" w:name="_Toc5269355"/>
      <w:bookmarkStart w:id="514" w:name="_Toc36224395"/>
      <w:r w:rsidRPr="00D9348B">
        <w:t>4.5</w:t>
      </w:r>
      <w:r w:rsidRPr="00D9348B">
        <w:tab/>
        <w:t>Non-energy products from fuels and solvent use (2.D)</w:t>
      </w:r>
      <w:bookmarkEnd w:id="512"/>
      <w:bookmarkEnd w:id="513"/>
      <w:bookmarkEnd w:id="514"/>
    </w:p>
    <w:p w14:paraId="6C585046" w14:textId="77777777" w:rsidR="00D30983" w:rsidRPr="00D9348B" w:rsidRDefault="00D30983" w:rsidP="00D30983">
      <w:pPr>
        <w:pStyle w:val="Heading3"/>
        <w:spacing w:before="120"/>
      </w:pPr>
      <w:r w:rsidRPr="00D9348B">
        <w:t>4.5.1</w:t>
      </w:r>
      <w:r w:rsidRPr="00D9348B">
        <w:tab/>
        <w:t>Description</w:t>
      </w:r>
    </w:p>
    <w:p w14:paraId="130C90C8" w14:textId="77777777" w:rsidR="00D30983" w:rsidRPr="00D9348B" w:rsidRDefault="00D30983" w:rsidP="00D30983">
      <w:pPr>
        <w:pStyle w:val="BodyText"/>
        <w:spacing w:before="100" w:after="100"/>
      </w:pPr>
      <w:r w:rsidRPr="00D9348B">
        <w:t xml:space="preserve">The emissions reported in the </w:t>
      </w:r>
      <w:r w:rsidRPr="00D9348B">
        <w:rPr>
          <w:i/>
        </w:rPr>
        <w:t>Non-energy products from fuels and solvent use</w:t>
      </w:r>
      <w:r w:rsidRPr="00D9348B">
        <w:t xml:space="preserve"> source category include CO</w:t>
      </w:r>
      <w:r w:rsidRPr="00D9348B">
        <w:rPr>
          <w:vertAlign w:val="subscript"/>
        </w:rPr>
        <w:t>2</w:t>
      </w:r>
      <w:r w:rsidRPr="00D9348B">
        <w:t xml:space="preserve"> from the use of lubricants and a very small amount from the use of paraffin wax, some of which is likely to be used for candles. </w:t>
      </w:r>
    </w:p>
    <w:p w14:paraId="641B0C2A" w14:textId="77777777" w:rsidR="00D30983" w:rsidRPr="00D9348B" w:rsidRDefault="00D30983" w:rsidP="00D30983">
      <w:pPr>
        <w:pStyle w:val="BodyText"/>
        <w:spacing w:before="100" w:after="100"/>
      </w:pPr>
      <w:r w:rsidRPr="00D9348B">
        <w:t>In addition, a small amount of CO</w:t>
      </w:r>
      <w:r w:rsidRPr="00D9348B">
        <w:rPr>
          <w:vertAlign w:val="subscript"/>
        </w:rPr>
        <w:t>2</w:t>
      </w:r>
      <w:r w:rsidRPr="00D9348B">
        <w:t xml:space="preserve"> is reported from the use of urea-based catalysts in diesel exhaust fluid (DEF) for control of NO</w:t>
      </w:r>
      <w:r w:rsidRPr="00D9348B">
        <w:rPr>
          <w:vertAlign w:val="subscript"/>
        </w:rPr>
        <w:t>x</w:t>
      </w:r>
      <w:r w:rsidRPr="00D9348B">
        <w:t xml:space="preserve"> emissions in diesel engine exhaust gas. These emissions are associated with transport, and the method used is given in volume 2, Energy, of the 2006 IPCC Guidelines (IPCC, 2006b); however, the CRF does not appear to allow for them to be reported in the Energy sector, so they are placed in 2.D.3. </w:t>
      </w:r>
    </w:p>
    <w:p w14:paraId="7CAE9A58" w14:textId="77777777" w:rsidR="00D30983" w:rsidRPr="00D9348B" w:rsidRDefault="00D30983" w:rsidP="00D30983">
      <w:pPr>
        <w:pStyle w:val="BodyText"/>
        <w:spacing w:after="100"/>
      </w:pPr>
      <w:r w:rsidRPr="00D9348B">
        <w:t xml:space="preserve">Some emissions of indirect greenhouse gases (mainly NMVOCs) are estimated and reported from: </w:t>
      </w:r>
    </w:p>
    <w:p w14:paraId="5164222C" w14:textId="77777777" w:rsidR="00D30983" w:rsidRPr="00D9348B" w:rsidRDefault="00D30983" w:rsidP="00D30983">
      <w:pPr>
        <w:pStyle w:val="Bullet"/>
        <w:spacing w:after="100"/>
      </w:pPr>
      <w:r w:rsidRPr="00D9348B">
        <w:t xml:space="preserve">the use of asphalt in road paving and roofing applications </w:t>
      </w:r>
    </w:p>
    <w:p w14:paraId="097FC3BC" w14:textId="77777777" w:rsidR="00D30983" w:rsidRPr="00D9348B" w:rsidRDefault="00D30983" w:rsidP="00D30983">
      <w:pPr>
        <w:pStyle w:val="Bullet"/>
        <w:spacing w:after="100"/>
      </w:pPr>
      <w:r w:rsidRPr="00D9348B">
        <w:t xml:space="preserve">painting </w:t>
      </w:r>
    </w:p>
    <w:p w14:paraId="0584BD4C" w14:textId="77777777" w:rsidR="00D30983" w:rsidRPr="00D9348B" w:rsidRDefault="00D30983" w:rsidP="00D30983">
      <w:pPr>
        <w:pStyle w:val="Bullet"/>
        <w:spacing w:after="100"/>
      </w:pPr>
      <w:r w:rsidRPr="00D9348B">
        <w:t>degreasing and dry cleaning</w:t>
      </w:r>
    </w:p>
    <w:p w14:paraId="505EB059" w14:textId="77777777" w:rsidR="00D30983" w:rsidRPr="00D9348B" w:rsidRDefault="00D30983" w:rsidP="00D30983">
      <w:pPr>
        <w:pStyle w:val="Bullet"/>
        <w:spacing w:after="100"/>
      </w:pPr>
      <w:r w:rsidRPr="00D9348B">
        <w:t>use of solvents in printing</w:t>
      </w:r>
    </w:p>
    <w:p w14:paraId="5BA038D2" w14:textId="77777777" w:rsidR="00D30983" w:rsidRPr="00D9348B" w:rsidRDefault="00D30983" w:rsidP="00D30983">
      <w:pPr>
        <w:pStyle w:val="Bullet"/>
      </w:pPr>
      <w:proofErr w:type="gramStart"/>
      <w:r w:rsidRPr="00D9348B">
        <w:t>general</w:t>
      </w:r>
      <w:proofErr w:type="gramEnd"/>
      <w:r w:rsidRPr="00D9348B">
        <w:t xml:space="preserve"> domestic and commercial use of solvents. </w:t>
      </w:r>
    </w:p>
    <w:p w14:paraId="2CB0BF1C" w14:textId="77777777" w:rsidR="00D30983" w:rsidRPr="00D9348B" w:rsidRDefault="00D30983" w:rsidP="00D30983">
      <w:pPr>
        <w:pStyle w:val="BodyText"/>
      </w:pPr>
      <w:r w:rsidRPr="00D9348B">
        <w:t xml:space="preserve">Emissions from the </w:t>
      </w:r>
      <w:r w:rsidRPr="00D9348B">
        <w:rPr>
          <w:i/>
        </w:rPr>
        <w:t>Non-energy products from fuels and solvent use</w:t>
      </w:r>
      <w:r w:rsidRPr="00D9348B">
        <w:t xml:space="preserve"> source category in 2018 were 48.9 kt CO</w:t>
      </w:r>
      <w:r w:rsidRPr="00D9348B">
        <w:rPr>
          <w:vertAlign w:val="subscript"/>
        </w:rPr>
        <w:t>2</w:t>
      </w:r>
      <w:r w:rsidRPr="00D9348B">
        <w:t xml:space="preserve">-e (0.9 per cent) of emissions from the IPPU sector. </w:t>
      </w:r>
    </w:p>
    <w:p w14:paraId="13A06174" w14:textId="77777777" w:rsidR="00D30983" w:rsidRPr="00D9348B" w:rsidRDefault="00D30983" w:rsidP="00D30983">
      <w:pPr>
        <w:pStyle w:val="BodyText"/>
      </w:pPr>
      <w:r w:rsidRPr="00D9348B">
        <w:t xml:space="preserve">There are no key categories. </w:t>
      </w:r>
    </w:p>
    <w:p w14:paraId="0AC74F2C" w14:textId="77777777" w:rsidR="00D30983" w:rsidRPr="00D9348B" w:rsidRDefault="00D30983" w:rsidP="00D30983">
      <w:pPr>
        <w:pStyle w:val="Heading3"/>
      </w:pPr>
      <w:r w:rsidRPr="00D9348B">
        <w:t xml:space="preserve">4.5.2 </w:t>
      </w:r>
      <w:r w:rsidRPr="00D9348B">
        <w:tab/>
        <w:t>Methodological issues</w:t>
      </w:r>
    </w:p>
    <w:p w14:paraId="1B350F06" w14:textId="77777777" w:rsidR="00D30983" w:rsidRPr="00D9348B" w:rsidRDefault="00D30983" w:rsidP="00865BDB">
      <w:pPr>
        <w:pStyle w:val="Heading4"/>
        <w:rPr>
          <w:bCs/>
          <w:iCs/>
        </w:rPr>
      </w:pPr>
      <w:r w:rsidRPr="00D9348B">
        <w:t>Choice of activity data</w:t>
      </w:r>
    </w:p>
    <w:p w14:paraId="5D8E09F5" w14:textId="77777777" w:rsidR="00D30983" w:rsidRPr="00D9348B" w:rsidRDefault="00D30983" w:rsidP="00D30983">
      <w:pPr>
        <w:pStyle w:val="Heading5"/>
        <w:spacing w:before="120"/>
      </w:pPr>
      <w:r w:rsidRPr="00D9348B">
        <w:t>Lubricant use (2.D.1)</w:t>
      </w:r>
    </w:p>
    <w:p w14:paraId="2D20DF5C" w14:textId="77777777" w:rsidR="00D30983" w:rsidRPr="00D9348B" w:rsidRDefault="00D30983" w:rsidP="00D30983">
      <w:pPr>
        <w:pStyle w:val="BodyText"/>
      </w:pPr>
      <w:r w:rsidRPr="00D9348B">
        <w:t xml:space="preserve">Data reported to MBIE by the industry provide estimates of the amount of lubricants imported into New Zealand in each calendar year and the amounts in stock at the start and end of the year. This allows the amount of lubricants used in the year to be estimated. </w:t>
      </w:r>
    </w:p>
    <w:p w14:paraId="6125A0B7" w14:textId="77777777" w:rsidR="00D30983" w:rsidRPr="00D9348B" w:rsidRDefault="00D30983" w:rsidP="00D30983">
      <w:pPr>
        <w:pStyle w:val="BodyText"/>
      </w:pPr>
      <w:r w:rsidRPr="00D9348B">
        <w:t>However, this information is only available from the years 2011 on, and is considered to be unreliable for 2011 to 2014 due to under-reporting of imports. For earlier years, the activity data have been estimated by assuming that the amount of lubricant used was proportional to the amount of transport fuel used in New Zealand in the year. Also, because apparent use fluctuates from year to year, and it is unlikely such variations are reflected in actual lubricant use and emissions, averaging is used to estimate emissions for 2015–18.</w:t>
      </w:r>
    </w:p>
    <w:p w14:paraId="7B937394" w14:textId="77777777" w:rsidR="00D30983" w:rsidRPr="00D9348B" w:rsidRDefault="00D30983" w:rsidP="00D30983">
      <w:pPr>
        <w:pStyle w:val="Heading5"/>
      </w:pPr>
      <w:r w:rsidRPr="00D9348B">
        <w:lastRenderedPageBreak/>
        <w:t>Paraffin wax use (2.D.2)</w:t>
      </w:r>
    </w:p>
    <w:p w14:paraId="62C5F292" w14:textId="076D6AC1" w:rsidR="00D30983" w:rsidRPr="00D9348B" w:rsidRDefault="00D30983" w:rsidP="00D30983">
      <w:pPr>
        <w:pStyle w:val="BodyText"/>
      </w:pPr>
      <w:r w:rsidRPr="00D9348B">
        <w:t>A small amount of paraffin wax is imported into New Zealand. There is no reliable data on import volumes, so the activity data have been estimated from an estimate of the value of imports. This is only available for 2005 to 2011, and the activity data for other years have been</w:t>
      </w:r>
      <w:r w:rsidR="008C7C6D" w:rsidRPr="00D9348B">
        <w:t> </w:t>
      </w:r>
      <w:r w:rsidRPr="00D9348B">
        <w:t xml:space="preserve">assumed to be the same. </w:t>
      </w:r>
    </w:p>
    <w:p w14:paraId="5EF7A3FA" w14:textId="77777777" w:rsidR="00D30983" w:rsidRPr="00D9348B" w:rsidRDefault="00D30983" w:rsidP="00D30983">
      <w:pPr>
        <w:pStyle w:val="Heading5"/>
      </w:pPr>
      <w:r w:rsidRPr="00D9348B">
        <w:t>Use of urea-based catalysts in transport (2.D.3)</w:t>
      </w:r>
    </w:p>
    <w:p w14:paraId="5D5A9EF6" w14:textId="77777777" w:rsidR="00D30983" w:rsidRPr="00D9348B" w:rsidRDefault="00D30983" w:rsidP="00D30983">
      <w:pPr>
        <w:pStyle w:val="BodyText"/>
      </w:pPr>
      <w:r w:rsidRPr="00D9348B">
        <w:t xml:space="preserve">The activity data (quantity of DEF used) are estimated from total sales of diesel, with the assessment that 33 per cent of fuel is used in heavy vehicles and 51 per cent of the heavy vehicle fleet currently uses DEF. The amounts for years up to 2016 are estimated by back-casting the uptake of vehicles that require DEF over time. </w:t>
      </w:r>
    </w:p>
    <w:p w14:paraId="789127D8" w14:textId="77777777" w:rsidR="00D30983" w:rsidRPr="00D9348B" w:rsidRDefault="00D30983" w:rsidP="00D30983">
      <w:pPr>
        <w:pStyle w:val="Heading5"/>
      </w:pPr>
      <w:r w:rsidRPr="00D9348B">
        <w:t>Asphalt paving and roofing and solvent use (2.D.3)</w:t>
      </w:r>
    </w:p>
    <w:p w14:paraId="73B2798F" w14:textId="77777777" w:rsidR="00D30983" w:rsidRPr="00D9348B" w:rsidRDefault="00D30983" w:rsidP="00D30983">
      <w:pPr>
        <w:pStyle w:val="BodyText"/>
      </w:pPr>
      <w:r w:rsidRPr="00D9348B">
        <w:t xml:space="preserve">Three main bitumen production companies are operating in New Zealand that provide materials for road paving. Data on bitumen production and emission rates were provided by these companies (CRL Energy, </w:t>
      </w:r>
      <w:proofErr w:type="gramStart"/>
      <w:r w:rsidRPr="00D9348B">
        <w:rPr>
          <w:rFonts w:eastAsia="+mn-ea"/>
        </w:rPr>
        <w:t>unpublished(</w:t>
      </w:r>
      <w:proofErr w:type="gramEnd"/>
      <w:r w:rsidRPr="00D9348B">
        <w:rPr>
          <w:rFonts w:eastAsia="+mn-ea"/>
        </w:rPr>
        <w:t>a)</w:t>
      </w:r>
      <w:r w:rsidRPr="00D9348B">
        <w:t xml:space="preserve">). One company is also manufacturing asphalt roofing in New Zealand. </w:t>
      </w:r>
    </w:p>
    <w:p w14:paraId="20EE58F7" w14:textId="77777777" w:rsidR="00D30983" w:rsidRPr="00D9348B" w:rsidRDefault="00D30983" w:rsidP="00D30983">
      <w:pPr>
        <w:pStyle w:val="BodyText"/>
      </w:pPr>
      <w:r w:rsidRPr="00D9348B">
        <w:t xml:space="preserve">Solvent use was estimated in 2006 (CRL Energy, </w:t>
      </w:r>
      <w:r w:rsidRPr="00D9348B">
        <w:rPr>
          <w:rFonts w:eastAsia="+mn-ea"/>
        </w:rPr>
        <w:t>unpublished(a)</w:t>
      </w:r>
      <w:r w:rsidRPr="00D9348B">
        <w:t xml:space="preserve">) and, for all of these sources, activity data for the years up to 2005 have been extrapolated for 2006–18 in the absence of any updated information. </w:t>
      </w:r>
    </w:p>
    <w:p w14:paraId="72D7B280" w14:textId="77777777" w:rsidR="00D30983" w:rsidRPr="00D9348B" w:rsidRDefault="00D30983" w:rsidP="00865BDB">
      <w:pPr>
        <w:pStyle w:val="Heading4"/>
      </w:pPr>
      <w:r w:rsidRPr="00D9348B">
        <w:t>Choice of methods</w:t>
      </w:r>
    </w:p>
    <w:p w14:paraId="57E7D03C" w14:textId="77777777" w:rsidR="00D30983" w:rsidRPr="00D9348B" w:rsidRDefault="00D30983" w:rsidP="00D30983">
      <w:pPr>
        <w:pStyle w:val="BodyText"/>
      </w:pPr>
      <w:r w:rsidRPr="00D9348B">
        <w:t xml:space="preserve">Tier 1 methods (IPCC, 2006a and 2006b) are used to estimate all emissions in this category. Only approximate activity data are available, with no country-specific information on the amounts of lubricant and paraffin wax used for specific applications. For this reason, the IPCC Tier 1 approach is used (IPCC, 2006a). </w:t>
      </w:r>
    </w:p>
    <w:p w14:paraId="732C71D3" w14:textId="77777777" w:rsidR="00D30983" w:rsidRPr="00D9348B" w:rsidRDefault="00D30983" w:rsidP="00865BDB">
      <w:pPr>
        <w:pStyle w:val="Heading4"/>
        <w:rPr>
          <w:bCs/>
          <w:iCs/>
        </w:rPr>
      </w:pPr>
      <w:r w:rsidRPr="00D9348B">
        <w:t>Choice of emission factors</w:t>
      </w:r>
    </w:p>
    <w:p w14:paraId="0B17984D" w14:textId="77777777" w:rsidR="00D30983" w:rsidRPr="00D9348B" w:rsidRDefault="00D30983" w:rsidP="00D30983">
      <w:pPr>
        <w:pStyle w:val="Heading5"/>
        <w:spacing w:before="120"/>
      </w:pPr>
      <w:r w:rsidRPr="00D9348B">
        <w:t>Lubricant use (2.D.1) and paraffin wax use (2.D.2)</w:t>
      </w:r>
    </w:p>
    <w:p w14:paraId="233A8423" w14:textId="77777777" w:rsidR="00D30983" w:rsidRPr="00D9348B" w:rsidRDefault="00D30983" w:rsidP="00D30983">
      <w:pPr>
        <w:pStyle w:val="BodyText"/>
      </w:pPr>
      <w:r w:rsidRPr="00D9348B">
        <w:t xml:space="preserve">Default emission factors (carbon content and ‘oxidised during use’ factor) are used. </w:t>
      </w:r>
    </w:p>
    <w:p w14:paraId="16EBF51B" w14:textId="77777777" w:rsidR="00D30983" w:rsidRPr="00D9348B" w:rsidRDefault="00D30983" w:rsidP="00D30983">
      <w:pPr>
        <w:pStyle w:val="Heading5"/>
      </w:pPr>
      <w:r w:rsidRPr="00D9348B">
        <w:t>Use of urea-based catalysts in transport (2.D.3)</w:t>
      </w:r>
    </w:p>
    <w:p w14:paraId="7526BDBC" w14:textId="77777777" w:rsidR="00D30983" w:rsidRPr="00D9348B" w:rsidRDefault="00D30983" w:rsidP="00D30983">
      <w:pPr>
        <w:pStyle w:val="BodyText"/>
      </w:pPr>
      <w:r w:rsidRPr="00D9348B">
        <w:t xml:space="preserve">Default emission factors are used. DEF sold in New Zealand conforms </w:t>
      </w:r>
      <w:proofErr w:type="gramStart"/>
      <w:r w:rsidRPr="00D9348B">
        <w:t>with</w:t>
      </w:r>
      <w:proofErr w:type="gramEnd"/>
      <w:r w:rsidRPr="00D9348B">
        <w:t xml:space="preserve"> international norms and contains 32.5 per cent urea, which is the default value. </w:t>
      </w:r>
    </w:p>
    <w:p w14:paraId="6A49C696" w14:textId="77777777" w:rsidR="00D30983" w:rsidRPr="00D9348B" w:rsidRDefault="00D30983" w:rsidP="00D30983">
      <w:pPr>
        <w:pStyle w:val="Heading5"/>
      </w:pPr>
      <w:r w:rsidRPr="00D9348B">
        <w:t>Asphalt paving and roofing and solvent use (2.D.3)</w:t>
      </w:r>
    </w:p>
    <w:p w14:paraId="2B545AE9" w14:textId="77777777" w:rsidR="00D30983" w:rsidRPr="00D9348B" w:rsidRDefault="00D30983" w:rsidP="00D30983">
      <w:pPr>
        <w:pStyle w:val="BodyText"/>
      </w:pPr>
      <w:r w:rsidRPr="00D9348B">
        <w:t xml:space="preserve">The bitumen content of road paving used in New Zealand is about 6 per cent, which is lower than commonly used in most countries. The NMVOC emissions from road paving are calculated using a country-specific method based on the fraction of bitumen in asphalt used in road paving material, the fraction of solvent added to bitumen and an assessment that 75 per cent of the solvent added will be emitted (see table 4.5.1). </w:t>
      </w:r>
    </w:p>
    <w:p w14:paraId="5E305E21" w14:textId="77777777" w:rsidR="00D30983" w:rsidRPr="00D9348B" w:rsidRDefault="00D30983" w:rsidP="00D30983">
      <w:pPr>
        <w:pStyle w:val="Table"/>
      </w:pPr>
      <w:bookmarkStart w:id="515" w:name="_Toc451176073"/>
      <w:bookmarkStart w:id="516" w:name="_Toc5269463"/>
      <w:bookmarkStart w:id="517" w:name="_Toc36224536"/>
      <w:r w:rsidRPr="00D9348B">
        <w:lastRenderedPageBreak/>
        <w:t xml:space="preserve">Table 4.5.1 </w:t>
      </w:r>
      <w:r w:rsidRPr="00D9348B">
        <w:tab/>
        <w:t>Calculation of NMVOC emissions from road paving</w:t>
      </w:r>
      <w:bookmarkEnd w:id="515"/>
      <w:bookmarkEnd w:id="516"/>
      <w:bookmarkEnd w:id="517"/>
    </w:p>
    <w:tbl>
      <w:tblPr>
        <w:tblW w:w="8562" w:type="dxa"/>
        <w:tblInd w:w="108" w:type="dxa"/>
        <w:tblLook w:val="04A0" w:firstRow="1" w:lastRow="0" w:firstColumn="1" w:lastColumn="0" w:noHBand="0" w:noVBand="1"/>
      </w:tblPr>
      <w:tblGrid>
        <w:gridCol w:w="8562"/>
      </w:tblGrid>
      <w:tr w:rsidR="00D30983" w:rsidRPr="00D9348B" w14:paraId="647AB1C4" w14:textId="77777777" w:rsidTr="008C7C6D">
        <w:tc>
          <w:tcPr>
            <w:tcW w:w="4565" w:type="dxa"/>
            <w:tcBorders>
              <w:top w:val="single" w:sz="4" w:space="0" w:color="365F91"/>
              <w:left w:val="nil"/>
              <w:bottom w:val="single" w:sz="4" w:space="0" w:color="365F91"/>
              <w:right w:val="nil"/>
            </w:tcBorders>
            <w:shd w:val="clear" w:color="auto" w:fill="365F91"/>
            <w:hideMark/>
          </w:tcPr>
          <w:p w14:paraId="00980EC1" w14:textId="77777777" w:rsidR="00D30983" w:rsidRPr="00D9348B" w:rsidRDefault="00D30983" w:rsidP="008C7C6D">
            <w:pPr>
              <w:pStyle w:val="TableTextBold"/>
              <w:keepNext/>
              <w:rPr>
                <w:noProof w:val="0"/>
                <w:color w:val="FFFFFF"/>
                <w:sz w:val="18"/>
                <w:szCs w:val="18"/>
              </w:rPr>
            </w:pPr>
            <w:r w:rsidRPr="00D9348B">
              <w:rPr>
                <w:noProof w:val="0"/>
                <w:color w:val="FFFFFF"/>
              </w:rPr>
              <w:t>Calculation of NMVOC emissions from road paving</w:t>
            </w:r>
          </w:p>
        </w:tc>
      </w:tr>
      <w:tr w:rsidR="00D30983" w:rsidRPr="00D9348B" w14:paraId="41893566" w14:textId="77777777" w:rsidTr="008C7C6D">
        <w:tc>
          <w:tcPr>
            <w:tcW w:w="4565" w:type="dxa"/>
            <w:tcBorders>
              <w:top w:val="single" w:sz="4" w:space="0" w:color="365F91"/>
              <w:left w:val="nil"/>
              <w:bottom w:val="single" w:sz="4" w:space="0" w:color="365F91"/>
              <w:right w:val="nil"/>
            </w:tcBorders>
            <w:hideMark/>
          </w:tcPr>
          <w:p w14:paraId="52029A20" w14:textId="77777777" w:rsidR="00D30983" w:rsidRPr="00D9348B" w:rsidRDefault="00D30983" w:rsidP="006B7E05">
            <w:pPr>
              <w:pStyle w:val="TableText"/>
              <w:keepNext/>
              <w:spacing w:before="50" w:after="50"/>
            </w:pPr>
            <w:r w:rsidRPr="00D9348B">
              <w:t xml:space="preserve">NMVOC emitted = A × B × C × D </w:t>
            </w:r>
          </w:p>
          <w:p w14:paraId="48DF8E79" w14:textId="77777777" w:rsidR="00D30983" w:rsidRPr="00D9348B" w:rsidRDefault="00D30983" w:rsidP="006B7E05">
            <w:pPr>
              <w:pStyle w:val="TableText"/>
              <w:keepNext/>
              <w:spacing w:before="50" w:after="50"/>
            </w:pPr>
            <w:r w:rsidRPr="00D9348B">
              <w:t xml:space="preserve">Where: </w:t>
            </w:r>
          </w:p>
          <w:p w14:paraId="4369916C" w14:textId="77777777" w:rsidR="00D30983" w:rsidRPr="00D9348B" w:rsidRDefault="00D30983" w:rsidP="006B7E05">
            <w:pPr>
              <w:pStyle w:val="TableText"/>
              <w:keepNext/>
              <w:spacing w:before="50" w:after="50"/>
              <w:rPr>
                <w:rFonts w:cs="Calibri"/>
              </w:rPr>
            </w:pPr>
            <w:r w:rsidRPr="00D9348B">
              <w:t>A = road paving material used (kt)</w:t>
            </w:r>
          </w:p>
          <w:p w14:paraId="43FCB16E" w14:textId="77777777" w:rsidR="00D30983" w:rsidRPr="00D9348B" w:rsidRDefault="00D30983" w:rsidP="006B7E05">
            <w:pPr>
              <w:pStyle w:val="TableText"/>
              <w:keepNext/>
              <w:spacing w:before="50" w:after="50"/>
            </w:pPr>
            <w:r w:rsidRPr="00D9348B">
              <w:t>B = fraction by weight of bitumen in asphalt</w:t>
            </w:r>
          </w:p>
          <w:p w14:paraId="502F9097" w14:textId="77777777" w:rsidR="00D30983" w:rsidRPr="00D9348B" w:rsidRDefault="00D30983" w:rsidP="006B7E05">
            <w:pPr>
              <w:pStyle w:val="TableText"/>
              <w:keepNext/>
              <w:spacing w:before="50" w:after="50"/>
            </w:pPr>
            <w:r w:rsidRPr="00D9348B">
              <w:t>C = fraction of solvent added to bitumen (0.04)</w:t>
            </w:r>
          </w:p>
          <w:p w14:paraId="4BCAE392" w14:textId="77777777" w:rsidR="00D30983" w:rsidRPr="00D9348B" w:rsidRDefault="00D30983" w:rsidP="006B7E05">
            <w:pPr>
              <w:pStyle w:val="TableText"/>
              <w:keepNext/>
              <w:spacing w:before="50" w:after="50"/>
            </w:pPr>
            <w:r w:rsidRPr="00D9348B">
              <w:t>D = fraction of solvent emitted (0.75)</w:t>
            </w:r>
          </w:p>
        </w:tc>
      </w:tr>
    </w:tbl>
    <w:p w14:paraId="47D27055" w14:textId="77777777" w:rsidR="00D30983" w:rsidRPr="00D9348B" w:rsidRDefault="00D30983" w:rsidP="00D30983">
      <w:pPr>
        <w:pStyle w:val="BodyText"/>
        <w:spacing w:before="240"/>
      </w:pPr>
      <w:r w:rsidRPr="00D9348B">
        <w:t xml:space="preserve">The fraction of bitumen in asphalt used in road paving materials was reduced over time as methods of laying roading improved (see table 4.5.2). </w:t>
      </w:r>
    </w:p>
    <w:p w14:paraId="6F2C4465" w14:textId="77777777" w:rsidR="00D30983" w:rsidRPr="00D9348B" w:rsidRDefault="00D30983" w:rsidP="00D30983">
      <w:pPr>
        <w:pStyle w:val="Table"/>
      </w:pPr>
      <w:bookmarkStart w:id="518" w:name="_Toc451176074"/>
      <w:bookmarkStart w:id="519" w:name="_Toc5269464"/>
      <w:bookmarkStart w:id="520" w:name="_Toc36224537"/>
      <w:r w:rsidRPr="00D9348B">
        <w:t xml:space="preserve">Table 4.5.2 </w:t>
      </w:r>
      <w:r w:rsidRPr="00D9348B">
        <w:tab/>
        <w:t>Fraction of bitumen in road paving material</w:t>
      </w:r>
      <w:bookmarkEnd w:id="518"/>
      <w:bookmarkEnd w:id="519"/>
      <w:bookmarkEnd w:id="520"/>
    </w:p>
    <w:tbl>
      <w:tblPr>
        <w:tblW w:w="8562" w:type="dxa"/>
        <w:tblInd w:w="108" w:type="dxa"/>
        <w:tblLook w:val="04A0" w:firstRow="1" w:lastRow="0" w:firstColumn="1" w:lastColumn="0" w:noHBand="0" w:noVBand="1"/>
      </w:tblPr>
      <w:tblGrid>
        <w:gridCol w:w="3417"/>
        <w:gridCol w:w="5145"/>
      </w:tblGrid>
      <w:tr w:rsidR="00D30983" w:rsidRPr="00D9348B" w14:paraId="1CB786C8" w14:textId="77777777" w:rsidTr="008C7C6D">
        <w:tc>
          <w:tcPr>
            <w:tcW w:w="2263" w:type="dxa"/>
            <w:tcBorders>
              <w:top w:val="single" w:sz="4" w:space="0" w:color="365F91"/>
              <w:left w:val="nil"/>
              <w:bottom w:val="single" w:sz="4" w:space="0" w:color="365F91"/>
              <w:right w:val="nil"/>
            </w:tcBorders>
            <w:shd w:val="clear" w:color="auto" w:fill="365F91"/>
            <w:hideMark/>
          </w:tcPr>
          <w:p w14:paraId="1048B687" w14:textId="77777777" w:rsidR="00D30983" w:rsidRPr="00D9348B" w:rsidRDefault="00D30983" w:rsidP="00DB330E">
            <w:pPr>
              <w:pStyle w:val="TableTextBold"/>
              <w:spacing w:before="50"/>
              <w:rPr>
                <w:bCs/>
                <w:noProof w:val="0"/>
                <w:color w:val="FFFFFF"/>
              </w:rPr>
            </w:pPr>
            <w:r w:rsidRPr="00D9348B">
              <w:rPr>
                <w:noProof w:val="0"/>
                <w:color w:val="FFFFFF"/>
              </w:rPr>
              <w:t>Reporting years</w:t>
            </w:r>
          </w:p>
        </w:tc>
        <w:tc>
          <w:tcPr>
            <w:tcW w:w="3407" w:type="dxa"/>
            <w:tcBorders>
              <w:top w:val="single" w:sz="4" w:space="0" w:color="365F91"/>
              <w:left w:val="nil"/>
              <w:bottom w:val="single" w:sz="4" w:space="0" w:color="365F91"/>
              <w:right w:val="nil"/>
            </w:tcBorders>
            <w:shd w:val="clear" w:color="auto" w:fill="365F91"/>
            <w:hideMark/>
          </w:tcPr>
          <w:p w14:paraId="508F18CE" w14:textId="77777777" w:rsidR="00D30983" w:rsidRPr="00D9348B" w:rsidRDefault="00D30983" w:rsidP="00DB330E">
            <w:pPr>
              <w:pStyle w:val="TableTextBold"/>
              <w:spacing w:before="50"/>
              <w:rPr>
                <w:bCs/>
                <w:noProof w:val="0"/>
                <w:color w:val="FFFFFF"/>
              </w:rPr>
            </w:pPr>
            <w:r w:rsidRPr="00D9348B">
              <w:rPr>
                <w:noProof w:val="0"/>
                <w:color w:val="FFFFFF"/>
              </w:rPr>
              <w:t>Fraction by weight of bitumen in asphalt (B above)</w:t>
            </w:r>
          </w:p>
        </w:tc>
      </w:tr>
      <w:tr w:rsidR="00D30983" w:rsidRPr="00D9348B" w14:paraId="7D5102CB" w14:textId="77777777" w:rsidTr="008C7C6D">
        <w:tc>
          <w:tcPr>
            <w:tcW w:w="2263" w:type="dxa"/>
            <w:tcBorders>
              <w:top w:val="single" w:sz="4" w:space="0" w:color="365F91"/>
              <w:left w:val="nil"/>
              <w:bottom w:val="nil"/>
              <w:right w:val="nil"/>
            </w:tcBorders>
            <w:hideMark/>
          </w:tcPr>
          <w:p w14:paraId="47BA685E" w14:textId="77777777" w:rsidR="00D30983" w:rsidRPr="00D9348B" w:rsidRDefault="00D30983" w:rsidP="00DB330E">
            <w:pPr>
              <w:pStyle w:val="TableText"/>
              <w:spacing w:before="50"/>
            </w:pPr>
            <w:r w:rsidRPr="00D9348B">
              <w:t xml:space="preserve">1990–2001 </w:t>
            </w:r>
          </w:p>
        </w:tc>
        <w:tc>
          <w:tcPr>
            <w:tcW w:w="3407" w:type="dxa"/>
            <w:tcBorders>
              <w:top w:val="single" w:sz="4" w:space="0" w:color="365F91"/>
              <w:left w:val="nil"/>
              <w:bottom w:val="nil"/>
              <w:right w:val="nil"/>
            </w:tcBorders>
            <w:hideMark/>
          </w:tcPr>
          <w:p w14:paraId="5542C373" w14:textId="77777777" w:rsidR="00D30983" w:rsidRPr="00D9348B" w:rsidRDefault="00D30983" w:rsidP="00DB330E">
            <w:pPr>
              <w:pStyle w:val="TableText"/>
              <w:spacing w:before="50"/>
            </w:pPr>
            <w:r w:rsidRPr="00D9348B">
              <w:t>0.80</w:t>
            </w:r>
          </w:p>
        </w:tc>
      </w:tr>
      <w:tr w:rsidR="00D30983" w:rsidRPr="00D9348B" w14:paraId="4019C672" w14:textId="77777777" w:rsidTr="008C7C6D">
        <w:tc>
          <w:tcPr>
            <w:tcW w:w="2263" w:type="dxa"/>
            <w:hideMark/>
          </w:tcPr>
          <w:p w14:paraId="27E514CB" w14:textId="77777777" w:rsidR="00D30983" w:rsidRPr="00D9348B" w:rsidRDefault="00D30983" w:rsidP="00DB330E">
            <w:pPr>
              <w:pStyle w:val="TableText"/>
              <w:spacing w:before="50"/>
            </w:pPr>
            <w:r w:rsidRPr="00D9348B">
              <w:t>2002–2003</w:t>
            </w:r>
          </w:p>
        </w:tc>
        <w:tc>
          <w:tcPr>
            <w:tcW w:w="3407" w:type="dxa"/>
            <w:hideMark/>
          </w:tcPr>
          <w:p w14:paraId="1A5B6AB8" w14:textId="77777777" w:rsidR="00D30983" w:rsidRPr="00D9348B" w:rsidRDefault="00D30983" w:rsidP="00DB330E">
            <w:pPr>
              <w:pStyle w:val="TableText"/>
              <w:spacing w:before="50"/>
            </w:pPr>
            <w:r w:rsidRPr="00D9348B">
              <w:t>0.65</w:t>
            </w:r>
          </w:p>
        </w:tc>
      </w:tr>
      <w:tr w:rsidR="00D30983" w:rsidRPr="00D9348B" w14:paraId="5C506022" w14:textId="77777777" w:rsidTr="008C7C6D">
        <w:tc>
          <w:tcPr>
            <w:tcW w:w="2263" w:type="dxa"/>
            <w:tcBorders>
              <w:top w:val="nil"/>
              <w:left w:val="nil"/>
              <w:bottom w:val="single" w:sz="4" w:space="0" w:color="365F91"/>
              <w:right w:val="nil"/>
            </w:tcBorders>
            <w:hideMark/>
          </w:tcPr>
          <w:p w14:paraId="37DEE6B2" w14:textId="77777777" w:rsidR="00D30983" w:rsidRPr="00D9348B" w:rsidRDefault="00D30983" w:rsidP="00DB330E">
            <w:pPr>
              <w:pStyle w:val="TableText"/>
              <w:spacing w:before="50"/>
            </w:pPr>
            <w:r w:rsidRPr="00D9348B">
              <w:t>2004–2018</w:t>
            </w:r>
          </w:p>
        </w:tc>
        <w:tc>
          <w:tcPr>
            <w:tcW w:w="3407" w:type="dxa"/>
            <w:tcBorders>
              <w:top w:val="nil"/>
              <w:left w:val="nil"/>
              <w:bottom w:val="single" w:sz="4" w:space="0" w:color="365F91"/>
              <w:right w:val="nil"/>
            </w:tcBorders>
            <w:hideMark/>
          </w:tcPr>
          <w:p w14:paraId="7D4507FD" w14:textId="77777777" w:rsidR="00D30983" w:rsidRPr="00D9348B" w:rsidRDefault="00D30983" w:rsidP="00DB330E">
            <w:pPr>
              <w:pStyle w:val="TableText"/>
              <w:spacing w:before="50"/>
            </w:pPr>
            <w:r w:rsidRPr="00D9348B">
              <w:t>0.60</w:t>
            </w:r>
          </w:p>
        </w:tc>
      </w:tr>
    </w:tbl>
    <w:p w14:paraId="1284CF7F" w14:textId="77777777" w:rsidR="00D30983" w:rsidRPr="00D9348B" w:rsidRDefault="00D30983" w:rsidP="00D30983">
      <w:pPr>
        <w:pStyle w:val="BodyText"/>
        <w:spacing w:before="240"/>
      </w:pPr>
      <w:r w:rsidRPr="00D9348B">
        <w:t xml:space="preserve">For asphalt used as roofing material, IPCC default emission factors of 0.05 kilograms NMVOC and 0.0095 kilograms CO per tonne of product have been used. </w:t>
      </w:r>
    </w:p>
    <w:p w14:paraId="0C18F822" w14:textId="77777777" w:rsidR="00D30983" w:rsidRPr="00D9348B" w:rsidRDefault="00D30983" w:rsidP="00D30983">
      <w:pPr>
        <w:pStyle w:val="Heading3"/>
        <w:spacing w:before="240"/>
      </w:pPr>
      <w:r w:rsidRPr="00D9348B">
        <w:t xml:space="preserve">4.5.3 </w:t>
      </w:r>
      <w:r w:rsidRPr="00D9348B">
        <w:tab/>
        <w:t>Uncertainties and time-series consistency</w:t>
      </w:r>
    </w:p>
    <w:p w14:paraId="34F3DE49" w14:textId="77777777" w:rsidR="00D30983" w:rsidRPr="00D9348B" w:rsidRDefault="00D30983" w:rsidP="006B7E05">
      <w:pPr>
        <w:pStyle w:val="Heading4"/>
        <w:spacing w:before="160"/>
        <w:rPr>
          <w:bCs/>
          <w:iCs/>
        </w:rPr>
      </w:pPr>
      <w:r w:rsidRPr="00D9348B">
        <w:t>Uncertainties</w:t>
      </w:r>
    </w:p>
    <w:p w14:paraId="0AA35743" w14:textId="77777777" w:rsidR="00D30983" w:rsidRPr="00D9348B" w:rsidRDefault="00D30983" w:rsidP="00D30983">
      <w:pPr>
        <w:pStyle w:val="BodyText"/>
      </w:pPr>
      <w:r w:rsidRPr="00D9348B">
        <w:t>IPCC default uncertainty is estimated for CO</w:t>
      </w:r>
      <w:r w:rsidRPr="00D9348B">
        <w:rPr>
          <w:vertAlign w:val="subscript"/>
        </w:rPr>
        <w:t>2</w:t>
      </w:r>
      <w:r w:rsidRPr="00D9348B">
        <w:t xml:space="preserve"> from lubricant use. The uncertainties used for indirect emissions in this source category are a mix of defaults and country specific. These uncertainties are shown in table 4.5.3. </w:t>
      </w:r>
    </w:p>
    <w:p w14:paraId="3757566B" w14:textId="77777777" w:rsidR="00D30983" w:rsidRPr="00D9348B" w:rsidRDefault="00D30983" w:rsidP="00D30983">
      <w:pPr>
        <w:pStyle w:val="Table"/>
      </w:pPr>
      <w:bookmarkStart w:id="521" w:name="_Toc451176075"/>
      <w:bookmarkStart w:id="522" w:name="_Toc5269465"/>
      <w:bookmarkStart w:id="523" w:name="_Toc36224538"/>
      <w:r w:rsidRPr="00D9348B">
        <w:t>Table 4.5.3</w:t>
      </w:r>
      <w:r w:rsidRPr="00D9348B">
        <w:tab/>
        <w:t>Uncertainty in emissions in non-energy products from fuels and solvent use</w:t>
      </w:r>
      <w:bookmarkEnd w:id="521"/>
      <w:bookmarkEnd w:id="522"/>
      <w:bookmarkEnd w:id="523"/>
    </w:p>
    <w:tbl>
      <w:tblPr>
        <w:tblW w:w="8562" w:type="dxa"/>
        <w:tblInd w:w="108" w:type="dxa"/>
        <w:tblBorders>
          <w:top w:val="single" w:sz="6" w:space="0" w:color="365F91"/>
          <w:bottom w:val="single" w:sz="6" w:space="0" w:color="365F91"/>
          <w:insideH w:val="single" w:sz="6" w:space="0" w:color="365F91"/>
        </w:tblBorders>
        <w:tblCellMar>
          <w:left w:w="85" w:type="dxa"/>
          <w:right w:w="85" w:type="dxa"/>
        </w:tblCellMar>
        <w:tblLook w:val="04A0" w:firstRow="1" w:lastRow="0" w:firstColumn="1" w:lastColumn="0" w:noHBand="0" w:noVBand="1"/>
      </w:tblPr>
      <w:tblGrid>
        <w:gridCol w:w="3014"/>
        <w:gridCol w:w="2714"/>
        <w:gridCol w:w="2834"/>
      </w:tblGrid>
      <w:tr w:rsidR="00D30983" w:rsidRPr="00D9348B" w14:paraId="39E4FC85" w14:textId="77777777" w:rsidTr="008C7C6D">
        <w:trPr>
          <w:tblHeader/>
        </w:trPr>
        <w:tc>
          <w:tcPr>
            <w:tcW w:w="2835" w:type="dxa"/>
            <w:tcBorders>
              <w:top w:val="single" w:sz="4" w:space="0" w:color="365F91"/>
              <w:left w:val="nil"/>
              <w:bottom w:val="single" w:sz="4" w:space="0" w:color="365F91"/>
              <w:right w:val="nil"/>
            </w:tcBorders>
            <w:shd w:val="clear" w:color="auto" w:fill="365F91"/>
            <w:hideMark/>
          </w:tcPr>
          <w:p w14:paraId="2C9B1FBD" w14:textId="77777777" w:rsidR="00D30983" w:rsidRPr="00D9348B" w:rsidRDefault="00D30983" w:rsidP="00DB330E">
            <w:pPr>
              <w:pStyle w:val="TableTextBold"/>
              <w:keepNext/>
              <w:spacing w:before="40" w:after="40"/>
              <w:rPr>
                <w:noProof w:val="0"/>
                <w:color w:val="FFFFFF"/>
              </w:rPr>
            </w:pPr>
            <w:r w:rsidRPr="00D9348B">
              <w:rPr>
                <w:noProof w:val="0"/>
                <w:color w:val="FFFFFF"/>
              </w:rPr>
              <w:t>Category</w:t>
            </w:r>
          </w:p>
        </w:tc>
        <w:tc>
          <w:tcPr>
            <w:tcW w:w="2552" w:type="dxa"/>
            <w:tcBorders>
              <w:top w:val="single" w:sz="4" w:space="0" w:color="365F91"/>
              <w:left w:val="nil"/>
              <w:bottom w:val="single" w:sz="4" w:space="0" w:color="365F91"/>
              <w:right w:val="nil"/>
            </w:tcBorders>
            <w:shd w:val="clear" w:color="auto" w:fill="365F91"/>
            <w:hideMark/>
          </w:tcPr>
          <w:p w14:paraId="561D5978" w14:textId="77777777" w:rsidR="00D30983" w:rsidRPr="00D9348B" w:rsidRDefault="00D30983" w:rsidP="00DB330E">
            <w:pPr>
              <w:pStyle w:val="TableTextBold"/>
              <w:keepNext/>
              <w:spacing w:before="40" w:after="40"/>
              <w:rPr>
                <w:noProof w:val="0"/>
                <w:color w:val="FFFFFF"/>
              </w:rPr>
            </w:pPr>
            <w:r w:rsidRPr="00D9348B">
              <w:rPr>
                <w:noProof w:val="0"/>
                <w:color w:val="FFFFFF"/>
              </w:rPr>
              <w:t>Uncertainty in activity data (%)</w:t>
            </w:r>
          </w:p>
        </w:tc>
        <w:tc>
          <w:tcPr>
            <w:tcW w:w="2665" w:type="dxa"/>
            <w:tcBorders>
              <w:top w:val="single" w:sz="4" w:space="0" w:color="365F91"/>
              <w:left w:val="nil"/>
              <w:bottom w:val="single" w:sz="4" w:space="0" w:color="365F91"/>
              <w:right w:val="nil"/>
            </w:tcBorders>
            <w:shd w:val="clear" w:color="auto" w:fill="365F91"/>
            <w:tcMar>
              <w:right w:w="57" w:type="dxa"/>
            </w:tcMar>
            <w:hideMark/>
          </w:tcPr>
          <w:p w14:paraId="3EFE3932" w14:textId="77777777" w:rsidR="00D30983" w:rsidRPr="00D9348B" w:rsidRDefault="00D30983" w:rsidP="00DB330E">
            <w:pPr>
              <w:pStyle w:val="TableTextBold"/>
              <w:keepNext/>
              <w:spacing w:before="40" w:after="40"/>
              <w:rPr>
                <w:noProof w:val="0"/>
                <w:color w:val="FFFFFF"/>
              </w:rPr>
            </w:pPr>
            <w:r w:rsidRPr="00D9348B">
              <w:rPr>
                <w:noProof w:val="0"/>
                <w:color w:val="FFFFFF"/>
              </w:rPr>
              <w:t>Uncertainty in emission factors (%)</w:t>
            </w:r>
          </w:p>
        </w:tc>
      </w:tr>
      <w:tr w:rsidR="00D30983" w:rsidRPr="00D9348B" w14:paraId="12F63E57" w14:textId="77777777" w:rsidTr="008C7C6D">
        <w:tc>
          <w:tcPr>
            <w:tcW w:w="2835" w:type="dxa"/>
            <w:tcBorders>
              <w:top w:val="single" w:sz="4" w:space="0" w:color="365F91"/>
              <w:left w:val="nil"/>
              <w:bottom w:val="single" w:sz="6" w:space="0" w:color="365F91"/>
              <w:right w:val="nil"/>
            </w:tcBorders>
            <w:shd w:val="clear" w:color="auto" w:fill="FFFFFF"/>
            <w:hideMark/>
          </w:tcPr>
          <w:p w14:paraId="20B84D7D" w14:textId="77777777" w:rsidR="00D30983" w:rsidRPr="00D9348B" w:rsidRDefault="00D30983" w:rsidP="00DB330E">
            <w:pPr>
              <w:pStyle w:val="TableText"/>
              <w:keepNext/>
              <w:spacing w:before="40" w:after="40"/>
            </w:pPr>
            <w:r w:rsidRPr="00D9348B">
              <w:t>Lubricant use</w:t>
            </w:r>
          </w:p>
        </w:tc>
        <w:tc>
          <w:tcPr>
            <w:tcW w:w="2552" w:type="dxa"/>
            <w:tcBorders>
              <w:top w:val="single" w:sz="4" w:space="0" w:color="365F91"/>
              <w:left w:val="nil"/>
              <w:bottom w:val="single" w:sz="6" w:space="0" w:color="365F91"/>
              <w:right w:val="nil"/>
            </w:tcBorders>
            <w:shd w:val="clear" w:color="auto" w:fill="FFFFFF"/>
            <w:hideMark/>
          </w:tcPr>
          <w:p w14:paraId="59817FB6" w14:textId="77777777" w:rsidR="00D30983" w:rsidRPr="00D9348B" w:rsidRDefault="00D30983" w:rsidP="00DB330E">
            <w:pPr>
              <w:pStyle w:val="TableText"/>
              <w:keepNext/>
              <w:spacing w:before="40" w:after="40"/>
              <w:jc w:val="center"/>
            </w:pPr>
            <w:r w:rsidRPr="00D9348B">
              <w:t>±20</w:t>
            </w:r>
          </w:p>
        </w:tc>
        <w:tc>
          <w:tcPr>
            <w:tcW w:w="2665" w:type="dxa"/>
            <w:tcBorders>
              <w:top w:val="single" w:sz="4" w:space="0" w:color="365F91"/>
              <w:left w:val="nil"/>
              <w:bottom w:val="single" w:sz="6" w:space="0" w:color="365F91"/>
              <w:right w:val="nil"/>
            </w:tcBorders>
            <w:shd w:val="clear" w:color="auto" w:fill="FFFFFF"/>
            <w:tcMar>
              <w:right w:w="57" w:type="dxa"/>
            </w:tcMar>
            <w:hideMark/>
          </w:tcPr>
          <w:p w14:paraId="580D5803" w14:textId="77777777" w:rsidR="00D30983" w:rsidRPr="00D9348B" w:rsidRDefault="00D30983" w:rsidP="00DB330E">
            <w:pPr>
              <w:pStyle w:val="TableText"/>
              <w:keepNext/>
              <w:spacing w:before="40" w:after="40"/>
              <w:ind w:right="964"/>
              <w:jc w:val="right"/>
            </w:pPr>
            <w:r w:rsidRPr="00D9348B">
              <w:t>±50</w:t>
            </w:r>
          </w:p>
        </w:tc>
      </w:tr>
      <w:tr w:rsidR="00D30983" w:rsidRPr="00D9348B" w14:paraId="4E944E88" w14:textId="77777777" w:rsidTr="008C7C6D">
        <w:tc>
          <w:tcPr>
            <w:tcW w:w="2835" w:type="dxa"/>
            <w:tcBorders>
              <w:top w:val="single" w:sz="6" w:space="0" w:color="365F91"/>
              <w:left w:val="nil"/>
              <w:bottom w:val="single" w:sz="6" w:space="0" w:color="365F91"/>
              <w:right w:val="nil"/>
            </w:tcBorders>
            <w:shd w:val="clear" w:color="auto" w:fill="FFFFFF"/>
            <w:hideMark/>
          </w:tcPr>
          <w:p w14:paraId="0BC23B84" w14:textId="77777777" w:rsidR="00D30983" w:rsidRPr="00D9348B" w:rsidRDefault="00D30983" w:rsidP="00DB330E">
            <w:pPr>
              <w:pStyle w:val="TableText"/>
              <w:keepNext/>
              <w:spacing w:before="40" w:after="40"/>
            </w:pPr>
            <w:r w:rsidRPr="00D9348B">
              <w:t>Paraffin wax use</w:t>
            </w:r>
          </w:p>
        </w:tc>
        <w:tc>
          <w:tcPr>
            <w:tcW w:w="2552" w:type="dxa"/>
            <w:tcBorders>
              <w:top w:val="single" w:sz="6" w:space="0" w:color="365F91"/>
              <w:left w:val="nil"/>
              <w:bottom w:val="single" w:sz="6" w:space="0" w:color="365F91"/>
              <w:right w:val="nil"/>
            </w:tcBorders>
            <w:shd w:val="clear" w:color="auto" w:fill="FFFFFF"/>
            <w:hideMark/>
          </w:tcPr>
          <w:p w14:paraId="3571FB5D" w14:textId="77777777" w:rsidR="00D30983" w:rsidRPr="00D9348B" w:rsidRDefault="00D30983" w:rsidP="00DB330E">
            <w:pPr>
              <w:pStyle w:val="TableText"/>
              <w:keepNext/>
              <w:spacing w:before="40" w:after="40"/>
              <w:jc w:val="center"/>
            </w:pPr>
            <w:r w:rsidRPr="00D9348B">
              <w:t>±20</w:t>
            </w:r>
          </w:p>
        </w:tc>
        <w:tc>
          <w:tcPr>
            <w:tcW w:w="2665" w:type="dxa"/>
            <w:tcBorders>
              <w:top w:val="single" w:sz="6" w:space="0" w:color="365F91"/>
              <w:left w:val="nil"/>
              <w:bottom w:val="single" w:sz="6" w:space="0" w:color="365F91"/>
              <w:right w:val="nil"/>
            </w:tcBorders>
            <w:shd w:val="clear" w:color="auto" w:fill="FFFFFF"/>
            <w:tcMar>
              <w:right w:w="57" w:type="dxa"/>
            </w:tcMar>
            <w:hideMark/>
          </w:tcPr>
          <w:p w14:paraId="70C4F267" w14:textId="77777777" w:rsidR="00D30983" w:rsidRPr="00D9348B" w:rsidRDefault="00D30983" w:rsidP="00DB330E">
            <w:pPr>
              <w:pStyle w:val="TableText"/>
              <w:keepNext/>
              <w:spacing w:before="40" w:after="40"/>
              <w:ind w:right="964"/>
              <w:jc w:val="right"/>
            </w:pPr>
            <w:r w:rsidRPr="00D9348B">
              <w:t>±100</w:t>
            </w:r>
          </w:p>
        </w:tc>
      </w:tr>
      <w:tr w:rsidR="00D30983" w:rsidRPr="00D9348B" w14:paraId="1130401A" w14:textId="77777777" w:rsidTr="008C7C6D">
        <w:tc>
          <w:tcPr>
            <w:tcW w:w="2835" w:type="dxa"/>
            <w:tcBorders>
              <w:top w:val="single" w:sz="6" w:space="0" w:color="365F91"/>
              <w:left w:val="nil"/>
              <w:bottom w:val="single" w:sz="6" w:space="0" w:color="365F91"/>
              <w:right w:val="nil"/>
            </w:tcBorders>
            <w:shd w:val="clear" w:color="auto" w:fill="FFFFFF"/>
            <w:hideMark/>
          </w:tcPr>
          <w:p w14:paraId="2A958DA6" w14:textId="77777777" w:rsidR="00D30983" w:rsidRPr="00D9348B" w:rsidRDefault="00D30983" w:rsidP="00DB330E">
            <w:pPr>
              <w:pStyle w:val="TableText"/>
              <w:keepNext/>
              <w:spacing w:before="40" w:after="40"/>
            </w:pPr>
            <w:r w:rsidRPr="00D9348B">
              <w:t>Asphalt road paving</w:t>
            </w:r>
          </w:p>
        </w:tc>
        <w:tc>
          <w:tcPr>
            <w:tcW w:w="2552" w:type="dxa"/>
            <w:tcBorders>
              <w:top w:val="single" w:sz="6" w:space="0" w:color="365F91"/>
              <w:left w:val="nil"/>
              <w:bottom w:val="single" w:sz="6" w:space="0" w:color="365F91"/>
              <w:right w:val="nil"/>
            </w:tcBorders>
            <w:shd w:val="clear" w:color="auto" w:fill="FFFFFF"/>
            <w:hideMark/>
          </w:tcPr>
          <w:p w14:paraId="4667F5C4" w14:textId="77777777" w:rsidR="00D30983" w:rsidRPr="00D9348B" w:rsidRDefault="00D30983" w:rsidP="00DB330E">
            <w:pPr>
              <w:pStyle w:val="TableText"/>
              <w:keepNext/>
              <w:spacing w:before="40" w:after="40"/>
              <w:jc w:val="center"/>
            </w:pPr>
            <w:r w:rsidRPr="00D9348B">
              <w:t>±40</w:t>
            </w:r>
          </w:p>
        </w:tc>
        <w:tc>
          <w:tcPr>
            <w:tcW w:w="2665" w:type="dxa"/>
            <w:tcBorders>
              <w:top w:val="single" w:sz="6" w:space="0" w:color="365F91"/>
              <w:left w:val="nil"/>
              <w:bottom w:val="single" w:sz="6" w:space="0" w:color="365F91"/>
              <w:right w:val="nil"/>
            </w:tcBorders>
            <w:shd w:val="clear" w:color="auto" w:fill="FFFFFF"/>
            <w:tcMar>
              <w:right w:w="57" w:type="dxa"/>
            </w:tcMar>
            <w:hideMark/>
          </w:tcPr>
          <w:p w14:paraId="1D4C3F97" w14:textId="77777777" w:rsidR="00D30983" w:rsidRPr="00D9348B" w:rsidRDefault="00D30983" w:rsidP="00DB330E">
            <w:pPr>
              <w:pStyle w:val="TableText"/>
              <w:keepNext/>
              <w:spacing w:before="40" w:after="40"/>
              <w:ind w:right="964"/>
              <w:jc w:val="right"/>
            </w:pPr>
            <w:r w:rsidRPr="00D9348B">
              <w:t>±40</w:t>
            </w:r>
          </w:p>
        </w:tc>
      </w:tr>
      <w:tr w:rsidR="00D30983" w:rsidRPr="00D9348B" w14:paraId="23973345" w14:textId="77777777" w:rsidTr="008C7C6D">
        <w:tc>
          <w:tcPr>
            <w:tcW w:w="2835" w:type="dxa"/>
            <w:tcBorders>
              <w:top w:val="single" w:sz="6" w:space="0" w:color="365F91"/>
              <w:left w:val="nil"/>
              <w:bottom w:val="single" w:sz="6" w:space="0" w:color="365F91"/>
              <w:right w:val="nil"/>
            </w:tcBorders>
            <w:shd w:val="clear" w:color="auto" w:fill="FFFFFF"/>
            <w:hideMark/>
          </w:tcPr>
          <w:p w14:paraId="0317DA6C" w14:textId="77777777" w:rsidR="00D30983" w:rsidRPr="00D9348B" w:rsidRDefault="00D30983" w:rsidP="00DB330E">
            <w:pPr>
              <w:pStyle w:val="TableText"/>
              <w:keepNext/>
              <w:spacing w:before="40" w:after="40"/>
            </w:pPr>
            <w:r w:rsidRPr="00D9348B">
              <w:t>Asphalt roofing</w:t>
            </w:r>
          </w:p>
        </w:tc>
        <w:tc>
          <w:tcPr>
            <w:tcW w:w="2552" w:type="dxa"/>
            <w:tcBorders>
              <w:top w:val="single" w:sz="6" w:space="0" w:color="365F91"/>
              <w:left w:val="nil"/>
              <w:bottom w:val="single" w:sz="6" w:space="0" w:color="365F91"/>
              <w:right w:val="nil"/>
            </w:tcBorders>
            <w:shd w:val="clear" w:color="auto" w:fill="FFFFFF"/>
            <w:hideMark/>
          </w:tcPr>
          <w:p w14:paraId="452324D2" w14:textId="77777777" w:rsidR="00D30983" w:rsidRPr="00D9348B" w:rsidRDefault="00D30983" w:rsidP="00DB330E">
            <w:pPr>
              <w:pStyle w:val="TableText"/>
              <w:keepNext/>
              <w:spacing w:before="40" w:after="40"/>
              <w:jc w:val="center"/>
            </w:pPr>
            <w:r w:rsidRPr="00D9348B">
              <w:t>±50</w:t>
            </w:r>
          </w:p>
        </w:tc>
        <w:tc>
          <w:tcPr>
            <w:tcW w:w="2665" w:type="dxa"/>
            <w:tcBorders>
              <w:top w:val="single" w:sz="6" w:space="0" w:color="365F91"/>
              <w:left w:val="nil"/>
              <w:bottom w:val="single" w:sz="6" w:space="0" w:color="365F91"/>
              <w:right w:val="nil"/>
            </w:tcBorders>
            <w:shd w:val="clear" w:color="auto" w:fill="FFFFFF"/>
            <w:tcMar>
              <w:right w:w="57" w:type="dxa"/>
            </w:tcMar>
            <w:hideMark/>
          </w:tcPr>
          <w:p w14:paraId="70485FFC" w14:textId="77777777" w:rsidR="00D30983" w:rsidRPr="00D9348B" w:rsidRDefault="00D30983" w:rsidP="00DB330E">
            <w:pPr>
              <w:pStyle w:val="TableText"/>
              <w:keepNext/>
              <w:spacing w:before="40" w:after="40"/>
              <w:ind w:right="964"/>
              <w:jc w:val="right"/>
            </w:pPr>
            <w:r w:rsidRPr="00D9348B">
              <w:t>±40</w:t>
            </w:r>
          </w:p>
        </w:tc>
      </w:tr>
      <w:tr w:rsidR="00D30983" w:rsidRPr="00D9348B" w14:paraId="0C43A575" w14:textId="77777777" w:rsidTr="008C7C6D">
        <w:tc>
          <w:tcPr>
            <w:tcW w:w="2835" w:type="dxa"/>
            <w:tcBorders>
              <w:top w:val="single" w:sz="6" w:space="0" w:color="365F91"/>
              <w:left w:val="nil"/>
              <w:bottom w:val="single" w:sz="6" w:space="0" w:color="365F91"/>
              <w:right w:val="nil"/>
            </w:tcBorders>
            <w:shd w:val="clear" w:color="auto" w:fill="FFFFFF"/>
            <w:hideMark/>
          </w:tcPr>
          <w:p w14:paraId="7A96A71E" w14:textId="77777777" w:rsidR="00D30983" w:rsidRPr="00D9348B" w:rsidRDefault="00D30983" w:rsidP="00DB330E">
            <w:pPr>
              <w:pStyle w:val="TableText"/>
              <w:keepNext/>
              <w:spacing w:before="40" w:after="40"/>
            </w:pPr>
            <w:r w:rsidRPr="00D9348B">
              <w:t>Paint application</w:t>
            </w:r>
          </w:p>
        </w:tc>
        <w:tc>
          <w:tcPr>
            <w:tcW w:w="2552" w:type="dxa"/>
            <w:tcBorders>
              <w:top w:val="single" w:sz="6" w:space="0" w:color="365F91"/>
              <w:left w:val="nil"/>
              <w:bottom w:val="single" w:sz="6" w:space="0" w:color="365F91"/>
              <w:right w:val="nil"/>
            </w:tcBorders>
            <w:shd w:val="clear" w:color="auto" w:fill="FFFFFF"/>
            <w:hideMark/>
          </w:tcPr>
          <w:p w14:paraId="00962DED" w14:textId="77777777" w:rsidR="00D30983" w:rsidRPr="00D9348B" w:rsidRDefault="00D30983" w:rsidP="00DB330E">
            <w:pPr>
              <w:pStyle w:val="TableText"/>
              <w:keepNext/>
              <w:spacing w:before="40" w:after="40"/>
              <w:jc w:val="center"/>
            </w:pPr>
            <w:r w:rsidRPr="00D9348B">
              <w:t>±40</w:t>
            </w:r>
          </w:p>
        </w:tc>
        <w:tc>
          <w:tcPr>
            <w:tcW w:w="2665" w:type="dxa"/>
            <w:tcBorders>
              <w:top w:val="single" w:sz="6" w:space="0" w:color="365F91"/>
              <w:left w:val="nil"/>
              <w:bottom w:val="single" w:sz="6" w:space="0" w:color="365F91"/>
              <w:right w:val="nil"/>
            </w:tcBorders>
            <w:shd w:val="clear" w:color="auto" w:fill="FFFFFF"/>
            <w:tcMar>
              <w:right w:w="57" w:type="dxa"/>
            </w:tcMar>
            <w:hideMark/>
          </w:tcPr>
          <w:p w14:paraId="1C6C92AD" w14:textId="77777777" w:rsidR="00D30983" w:rsidRPr="00D9348B" w:rsidRDefault="00D30983" w:rsidP="00DB330E">
            <w:pPr>
              <w:pStyle w:val="TableText"/>
              <w:keepNext/>
              <w:spacing w:before="40" w:after="40"/>
              <w:ind w:right="964"/>
              <w:jc w:val="right"/>
            </w:pPr>
            <w:r w:rsidRPr="00D9348B">
              <w:t>±50</w:t>
            </w:r>
          </w:p>
        </w:tc>
      </w:tr>
      <w:tr w:rsidR="00D30983" w:rsidRPr="00D9348B" w14:paraId="2465299A" w14:textId="77777777" w:rsidTr="008C7C6D">
        <w:tc>
          <w:tcPr>
            <w:tcW w:w="2835" w:type="dxa"/>
            <w:tcBorders>
              <w:top w:val="single" w:sz="6" w:space="0" w:color="365F91"/>
              <w:left w:val="nil"/>
              <w:bottom w:val="single" w:sz="6" w:space="0" w:color="365F91"/>
              <w:right w:val="nil"/>
            </w:tcBorders>
            <w:shd w:val="clear" w:color="auto" w:fill="FFFFFF"/>
            <w:hideMark/>
          </w:tcPr>
          <w:p w14:paraId="1A2F37BC" w14:textId="77777777" w:rsidR="00D30983" w:rsidRPr="00D9348B" w:rsidRDefault="00D30983" w:rsidP="00DB330E">
            <w:pPr>
              <w:pStyle w:val="TableText"/>
              <w:keepNext/>
              <w:spacing w:before="40" w:after="40"/>
            </w:pPr>
            <w:r w:rsidRPr="00D9348B">
              <w:t>Degreasing and dry cleaning</w:t>
            </w:r>
          </w:p>
        </w:tc>
        <w:tc>
          <w:tcPr>
            <w:tcW w:w="2552" w:type="dxa"/>
            <w:tcBorders>
              <w:top w:val="single" w:sz="6" w:space="0" w:color="365F91"/>
              <w:left w:val="nil"/>
              <w:bottom w:val="single" w:sz="6" w:space="0" w:color="365F91"/>
              <w:right w:val="nil"/>
            </w:tcBorders>
            <w:shd w:val="clear" w:color="auto" w:fill="FFFFFF"/>
            <w:hideMark/>
          </w:tcPr>
          <w:p w14:paraId="2079E84D" w14:textId="77777777" w:rsidR="00D30983" w:rsidRPr="00D9348B" w:rsidRDefault="00D30983" w:rsidP="00DB330E">
            <w:pPr>
              <w:pStyle w:val="TableText"/>
              <w:keepNext/>
              <w:spacing w:before="40" w:after="40"/>
              <w:jc w:val="center"/>
            </w:pPr>
            <w:r w:rsidRPr="00D9348B">
              <w:t>±40</w:t>
            </w:r>
          </w:p>
        </w:tc>
        <w:tc>
          <w:tcPr>
            <w:tcW w:w="2665" w:type="dxa"/>
            <w:tcBorders>
              <w:top w:val="single" w:sz="6" w:space="0" w:color="365F91"/>
              <w:left w:val="nil"/>
              <w:bottom w:val="single" w:sz="6" w:space="0" w:color="365F91"/>
              <w:right w:val="nil"/>
            </w:tcBorders>
            <w:shd w:val="clear" w:color="auto" w:fill="FFFFFF"/>
            <w:tcMar>
              <w:right w:w="57" w:type="dxa"/>
            </w:tcMar>
            <w:hideMark/>
          </w:tcPr>
          <w:p w14:paraId="7FD18841" w14:textId="77777777" w:rsidR="00D30983" w:rsidRPr="00D9348B" w:rsidRDefault="00D30983" w:rsidP="00DB330E">
            <w:pPr>
              <w:pStyle w:val="TableText"/>
              <w:keepNext/>
              <w:spacing w:before="40" w:after="40"/>
              <w:ind w:right="964"/>
              <w:jc w:val="right"/>
            </w:pPr>
            <w:r w:rsidRPr="00D9348B">
              <w:t>±60</w:t>
            </w:r>
          </w:p>
        </w:tc>
      </w:tr>
      <w:tr w:rsidR="00D30983" w:rsidRPr="00D9348B" w14:paraId="541FE990" w14:textId="77777777" w:rsidTr="008C7C6D">
        <w:tc>
          <w:tcPr>
            <w:tcW w:w="2835" w:type="dxa"/>
            <w:tcBorders>
              <w:top w:val="single" w:sz="6" w:space="0" w:color="365F91"/>
              <w:left w:val="nil"/>
              <w:bottom w:val="single" w:sz="6" w:space="0" w:color="365F91"/>
              <w:right w:val="nil"/>
            </w:tcBorders>
            <w:shd w:val="clear" w:color="auto" w:fill="FFFFFF"/>
            <w:hideMark/>
          </w:tcPr>
          <w:p w14:paraId="57F9BE1A" w14:textId="77777777" w:rsidR="00D30983" w:rsidRPr="00D9348B" w:rsidRDefault="00D30983" w:rsidP="00DB330E">
            <w:pPr>
              <w:pStyle w:val="TableText"/>
              <w:keepNext/>
              <w:spacing w:before="40" w:after="40"/>
            </w:pPr>
            <w:r w:rsidRPr="00D9348B">
              <w:t>Printing</w:t>
            </w:r>
          </w:p>
        </w:tc>
        <w:tc>
          <w:tcPr>
            <w:tcW w:w="2552" w:type="dxa"/>
            <w:tcBorders>
              <w:top w:val="single" w:sz="6" w:space="0" w:color="365F91"/>
              <w:left w:val="nil"/>
              <w:bottom w:val="single" w:sz="6" w:space="0" w:color="365F91"/>
              <w:right w:val="nil"/>
            </w:tcBorders>
            <w:shd w:val="clear" w:color="auto" w:fill="FFFFFF"/>
            <w:hideMark/>
          </w:tcPr>
          <w:p w14:paraId="22FEDE63" w14:textId="77777777" w:rsidR="00D30983" w:rsidRPr="00D9348B" w:rsidRDefault="00D30983" w:rsidP="00DB330E">
            <w:pPr>
              <w:pStyle w:val="TableText"/>
              <w:keepNext/>
              <w:spacing w:before="40" w:after="40"/>
              <w:jc w:val="center"/>
            </w:pPr>
            <w:r w:rsidRPr="00D9348B">
              <w:t>±50</w:t>
            </w:r>
          </w:p>
        </w:tc>
        <w:tc>
          <w:tcPr>
            <w:tcW w:w="2665" w:type="dxa"/>
            <w:tcBorders>
              <w:top w:val="single" w:sz="6" w:space="0" w:color="365F91"/>
              <w:left w:val="nil"/>
              <w:bottom w:val="single" w:sz="6" w:space="0" w:color="365F91"/>
              <w:right w:val="nil"/>
            </w:tcBorders>
            <w:shd w:val="clear" w:color="auto" w:fill="FFFFFF"/>
            <w:tcMar>
              <w:right w:w="57" w:type="dxa"/>
            </w:tcMar>
            <w:hideMark/>
          </w:tcPr>
          <w:p w14:paraId="26A647DE" w14:textId="77777777" w:rsidR="00D30983" w:rsidRPr="00D9348B" w:rsidRDefault="00D30983" w:rsidP="00DB330E">
            <w:pPr>
              <w:pStyle w:val="TableText"/>
              <w:keepNext/>
              <w:spacing w:before="40" w:after="40"/>
              <w:ind w:right="964"/>
              <w:jc w:val="right"/>
            </w:pPr>
            <w:r w:rsidRPr="00D9348B">
              <w:t>±50</w:t>
            </w:r>
          </w:p>
        </w:tc>
      </w:tr>
      <w:tr w:rsidR="00D30983" w:rsidRPr="00D9348B" w14:paraId="5214101E" w14:textId="77777777" w:rsidTr="008C7C6D">
        <w:tc>
          <w:tcPr>
            <w:tcW w:w="2835" w:type="dxa"/>
            <w:tcBorders>
              <w:top w:val="single" w:sz="6" w:space="0" w:color="365F91"/>
              <w:left w:val="nil"/>
              <w:bottom w:val="single" w:sz="6" w:space="0" w:color="365F91"/>
              <w:right w:val="nil"/>
            </w:tcBorders>
            <w:shd w:val="clear" w:color="auto" w:fill="FFFFFF"/>
            <w:hideMark/>
          </w:tcPr>
          <w:p w14:paraId="675011F3" w14:textId="77777777" w:rsidR="00D30983" w:rsidRPr="00D9348B" w:rsidRDefault="00D30983" w:rsidP="00DB330E">
            <w:pPr>
              <w:pStyle w:val="TableText"/>
              <w:keepNext/>
              <w:spacing w:before="40" w:after="40"/>
            </w:pPr>
            <w:r w:rsidRPr="00D9348B">
              <w:t>Domestic and commercial solvent use</w:t>
            </w:r>
          </w:p>
        </w:tc>
        <w:tc>
          <w:tcPr>
            <w:tcW w:w="2552" w:type="dxa"/>
            <w:tcBorders>
              <w:top w:val="single" w:sz="6" w:space="0" w:color="365F91"/>
              <w:left w:val="nil"/>
              <w:bottom w:val="single" w:sz="6" w:space="0" w:color="365F91"/>
              <w:right w:val="nil"/>
            </w:tcBorders>
            <w:shd w:val="clear" w:color="auto" w:fill="FFFFFF"/>
            <w:hideMark/>
          </w:tcPr>
          <w:p w14:paraId="05CD92EA" w14:textId="77777777" w:rsidR="00D30983" w:rsidRPr="00D9348B" w:rsidRDefault="00D30983" w:rsidP="00DB330E">
            <w:pPr>
              <w:pStyle w:val="TableText"/>
              <w:keepNext/>
              <w:spacing w:before="40" w:after="40"/>
              <w:jc w:val="center"/>
            </w:pPr>
            <w:r w:rsidRPr="00D9348B">
              <w:t>±50</w:t>
            </w:r>
          </w:p>
        </w:tc>
        <w:tc>
          <w:tcPr>
            <w:tcW w:w="2665" w:type="dxa"/>
            <w:tcBorders>
              <w:top w:val="single" w:sz="6" w:space="0" w:color="365F91"/>
              <w:left w:val="nil"/>
              <w:bottom w:val="single" w:sz="6" w:space="0" w:color="365F91"/>
              <w:right w:val="nil"/>
            </w:tcBorders>
            <w:shd w:val="clear" w:color="auto" w:fill="FFFFFF"/>
            <w:tcMar>
              <w:right w:w="57" w:type="dxa"/>
            </w:tcMar>
            <w:hideMark/>
          </w:tcPr>
          <w:p w14:paraId="3A89C33F" w14:textId="77777777" w:rsidR="00D30983" w:rsidRPr="00D9348B" w:rsidRDefault="00D30983" w:rsidP="00DB330E">
            <w:pPr>
              <w:pStyle w:val="TableText"/>
              <w:keepNext/>
              <w:spacing w:before="40" w:after="40"/>
              <w:ind w:right="964"/>
              <w:jc w:val="right"/>
            </w:pPr>
            <w:r w:rsidRPr="00D9348B">
              <w:t>±60</w:t>
            </w:r>
          </w:p>
        </w:tc>
      </w:tr>
    </w:tbl>
    <w:p w14:paraId="66BB2CA2" w14:textId="77777777" w:rsidR="00D30983" w:rsidRPr="00D9348B" w:rsidRDefault="00D30983" w:rsidP="006B7E05">
      <w:pPr>
        <w:pStyle w:val="Heading4"/>
        <w:spacing w:before="280"/>
        <w:rPr>
          <w:bCs/>
          <w:iCs/>
        </w:rPr>
      </w:pPr>
      <w:r w:rsidRPr="00D9348B">
        <w:t>Time-series consistency</w:t>
      </w:r>
    </w:p>
    <w:p w14:paraId="35AC259C" w14:textId="77777777" w:rsidR="00D30983" w:rsidRPr="00D9348B" w:rsidRDefault="00D30983" w:rsidP="006B7E05">
      <w:pPr>
        <w:pStyle w:val="BodyText"/>
        <w:spacing w:before="80" w:after="100"/>
      </w:pPr>
      <w:r w:rsidRPr="00D9348B">
        <w:t>For CO</w:t>
      </w:r>
      <w:r w:rsidRPr="00D9348B">
        <w:rPr>
          <w:vertAlign w:val="subscript"/>
        </w:rPr>
        <w:t>2</w:t>
      </w:r>
      <w:r w:rsidRPr="00D9348B">
        <w:t xml:space="preserve"> emissions in this source category, the activity data have been extrapolated and emission factors are defaults. The implied emissions factors and time-series consistency reflect this. </w:t>
      </w:r>
    </w:p>
    <w:p w14:paraId="282B9496" w14:textId="77777777" w:rsidR="00D30983" w:rsidRPr="00D9348B" w:rsidRDefault="00D30983" w:rsidP="00D30983">
      <w:pPr>
        <w:pStyle w:val="Heading3"/>
        <w:spacing w:before="240"/>
      </w:pPr>
      <w:r w:rsidRPr="00D9348B">
        <w:t>4.5.4</w:t>
      </w:r>
      <w:r w:rsidRPr="00D9348B">
        <w:tab/>
        <w:t>Source-specific QA/QC and verification</w:t>
      </w:r>
    </w:p>
    <w:p w14:paraId="2AEFF9D6" w14:textId="77777777" w:rsidR="00D30983" w:rsidRPr="00D9348B" w:rsidRDefault="00D30983" w:rsidP="00D30983">
      <w:pPr>
        <w:pStyle w:val="BodyText"/>
        <w:spacing w:before="100" w:after="100"/>
      </w:pPr>
      <w:r w:rsidRPr="00D9348B">
        <w:rPr>
          <w:i/>
        </w:rPr>
        <w:t>Non-energy products from fuels and solvent use</w:t>
      </w:r>
      <w:r w:rsidRPr="00D9348B">
        <w:t xml:space="preserve"> is a non-key category. Verification of the data from independent sources was not feasible.</w:t>
      </w:r>
    </w:p>
    <w:p w14:paraId="53505B2F" w14:textId="77777777" w:rsidR="00D30983" w:rsidRPr="00D9348B" w:rsidRDefault="00D30983" w:rsidP="00D30983">
      <w:pPr>
        <w:pStyle w:val="Heading3"/>
        <w:spacing w:before="240"/>
      </w:pPr>
      <w:r w:rsidRPr="00D9348B">
        <w:lastRenderedPageBreak/>
        <w:t>4.5.5</w:t>
      </w:r>
      <w:r w:rsidRPr="00D9348B">
        <w:tab/>
        <w:t>Source-specific recalculations</w:t>
      </w:r>
    </w:p>
    <w:p w14:paraId="4CC70F1D" w14:textId="77777777" w:rsidR="00D30983" w:rsidRPr="00D9348B" w:rsidRDefault="00D30983" w:rsidP="00D30983">
      <w:pPr>
        <w:pStyle w:val="BodyText"/>
        <w:spacing w:before="100" w:after="100"/>
      </w:pPr>
      <w:r w:rsidRPr="00D9348B">
        <w:t>Import quantities for lubricants were reassessed for the 2019 submission resulting in small changes to the entire time series. There are no recalculations for the 2020 submission.</w:t>
      </w:r>
    </w:p>
    <w:p w14:paraId="0B9B9ABD" w14:textId="77777777" w:rsidR="00D30983" w:rsidRPr="00D9348B" w:rsidRDefault="00D30983" w:rsidP="00D30983">
      <w:pPr>
        <w:pStyle w:val="Heading3"/>
        <w:spacing w:before="240"/>
      </w:pPr>
      <w:r w:rsidRPr="00D9348B">
        <w:t>4.5.6</w:t>
      </w:r>
      <w:r w:rsidRPr="00D9348B">
        <w:tab/>
        <w:t>Source-specific planned improvements</w:t>
      </w:r>
    </w:p>
    <w:p w14:paraId="6B8BF7E9" w14:textId="77777777" w:rsidR="00D30983" w:rsidRPr="00D9348B" w:rsidRDefault="00D30983" w:rsidP="00D30983">
      <w:pPr>
        <w:pStyle w:val="BodyText"/>
        <w:spacing w:before="100" w:after="100"/>
      </w:pPr>
      <w:r w:rsidRPr="00D9348B">
        <w:t xml:space="preserve">This source category is not a priority for improvement, due to the small scale of emissions. The inventory agency will make use of improved activity data where possible, particularly for lubricants and urea-based catalysts. </w:t>
      </w:r>
    </w:p>
    <w:p w14:paraId="73B288C6" w14:textId="77777777" w:rsidR="00D30983" w:rsidRPr="00D9348B" w:rsidRDefault="00D30983" w:rsidP="00D30983">
      <w:pPr>
        <w:pStyle w:val="Heading2"/>
        <w:spacing w:before="280"/>
      </w:pPr>
      <w:bookmarkStart w:id="524" w:name="_Toc448321517"/>
      <w:bookmarkStart w:id="525" w:name="_Toc5269356"/>
      <w:bookmarkStart w:id="526" w:name="_Toc36224396"/>
      <w:r w:rsidRPr="00D9348B">
        <w:t>4.6</w:t>
      </w:r>
      <w:r w:rsidRPr="00D9348B">
        <w:tab/>
        <w:t>Electronics industry (2.E)</w:t>
      </w:r>
      <w:bookmarkEnd w:id="524"/>
      <w:bookmarkEnd w:id="525"/>
      <w:bookmarkEnd w:id="526"/>
    </w:p>
    <w:p w14:paraId="2335F9C2" w14:textId="77777777" w:rsidR="00D30983" w:rsidRPr="00D9348B" w:rsidRDefault="00D30983" w:rsidP="00D30983">
      <w:pPr>
        <w:pStyle w:val="BodyText"/>
        <w:spacing w:before="100" w:after="100"/>
      </w:pPr>
      <w:r w:rsidRPr="00D9348B">
        <w:t xml:space="preserve">New Zealand has no significant industry engaged in the manufacture of electronic products, and no emissions are reported in this source category. </w:t>
      </w:r>
    </w:p>
    <w:p w14:paraId="68BB5B9E" w14:textId="77777777" w:rsidR="00D30983" w:rsidRPr="00D9348B" w:rsidRDefault="00D30983" w:rsidP="00D30983">
      <w:pPr>
        <w:pStyle w:val="Heading2"/>
        <w:spacing w:before="280"/>
      </w:pPr>
      <w:bookmarkStart w:id="527" w:name="_Toc448321518"/>
      <w:bookmarkStart w:id="528" w:name="_Toc5269357"/>
      <w:bookmarkStart w:id="529" w:name="_Toc36224397"/>
      <w:r w:rsidRPr="00D9348B">
        <w:t>4.7</w:t>
      </w:r>
      <w:r w:rsidRPr="00D9348B">
        <w:tab/>
        <w:t>Product uses as substitutes for ODS (2.F)</w:t>
      </w:r>
      <w:bookmarkEnd w:id="527"/>
      <w:bookmarkEnd w:id="528"/>
      <w:bookmarkEnd w:id="529"/>
    </w:p>
    <w:p w14:paraId="76B6BBEC" w14:textId="77777777" w:rsidR="00D30983" w:rsidRPr="00D9348B" w:rsidRDefault="00D30983" w:rsidP="00D30983">
      <w:pPr>
        <w:pStyle w:val="Heading3"/>
        <w:spacing w:before="120"/>
      </w:pPr>
      <w:r w:rsidRPr="00D9348B">
        <w:t>4.7.1</w:t>
      </w:r>
      <w:r w:rsidRPr="00D9348B">
        <w:tab/>
        <w:t>Description</w:t>
      </w:r>
    </w:p>
    <w:p w14:paraId="5B5452C8" w14:textId="77777777" w:rsidR="00D30983" w:rsidRPr="00D9348B" w:rsidRDefault="00D30983" w:rsidP="00D30983">
      <w:pPr>
        <w:pStyle w:val="BodyText"/>
        <w:spacing w:before="100" w:after="100"/>
      </w:pPr>
      <w:r w:rsidRPr="00D9348B">
        <w:t xml:space="preserve">HFCs and small amounts of PFCs are used in a wide range of equipment and products, including refrigeration and air conditioning systems and aerosols. No HFCs or PFCs are manufactured in New Zealand; they are all imported. PFCs are also emitted from the aluminium-smelting process and these emissions are reported in the </w:t>
      </w:r>
      <w:r w:rsidRPr="00D9348B">
        <w:rPr>
          <w:i/>
        </w:rPr>
        <w:t>Metal industry</w:t>
      </w:r>
      <w:r w:rsidRPr="00D9348B">
        <w:t xml:space="preserve"> source category (2.C.3.b). </w:t>
      </w:r>
    </w:p>
    <w:p w14:paraId="4CF89AD9" w14:textId="77777777" w:rsidR="00D30983" w:rsidRPr="00D9348B" w:rsidRDefault="00D30983" w:rsidP="00D30983">
      <w:pPr>
        <w:pStyle w:val="BodyText"/>
      </w:pPr>
      <w:r w:rsidRPr="00D9348B">
        <w:t xml:space="preserve">The use of these gases, almost entirely HFCs, has increased since the mid-1990s when chlorofluorocarbons (CFCs) and hydrochlorofluorocarbons (HCFCs) began to be phased out under the Montreal Protocol. In New Zealand, the Ozone Layer Protection Act 1996 sets out a programme for phasing out the use of ODS. </w:t>
      </w:r>
    </w:p>
    <w:p w14:paraId="785948A7" w14:textId="2138DE83" w:rsidR="00D30983" w:rsidRPr="00D9348B" w:rsidRDefault="00D30983" w:rsidP="00D30983">
      <w:pPr>
        <w:pStyle w:val="BodyText"/>
      </w:pPr>
      <w:r w:rsidRPr="00D9348B">
        <w:t xml:space="preserve">In 2018, emissions in the </w:t>
      </w:r>
      <w:r w:rsidRPr="00D9348B">
        <w:rPr>
          <w:i/>
        </w:rPr>
        <w:t>Product uses as substitutes for ODS</w:t>
      </w:r>
      <w:r w:rsidRPr="00D9348B">
        <w:t xml:space="preserve"> category were 1,815.9 kt CO</w:t>
      </w:r>
      <w:r w:rsidRPr="00D9348B">
        <w:rPr>
          <w:vertAlign w:val="subscript"/>
        </w:rPr>
        <w:t>2</w:t>
      </w:r>
      <w:r w:rsidRPr="00D9348B">
        <w:t>-e or</w:t>
      </w:r>
      <w:r w:rsidR="008C7C6D" w:rsidRPr="00D9348B">
        <w:t> </w:t>
      </w:r>
      <w:r w:rsidRPr="00D9348B">
        <w:t>35.2 per cent of emissions from the IPPU sector. This was an increase of 157.5 kt CO</w:t>
      </w:r>
      <w:r w:rsidRPr="00D9348B">
        <w:rPr>
          <w:vertAlign w:val="subscript"/>
        </w:rPr>
        <w:t>2</w:t>
      </w:r>
      <w:r w:rsidRPr="00D9348B">
        <w:t>-e (9.5 per cent) from the 2017 level of 1,658.4 kt CO</w:t>
      </w:r>
      <w:r w:rsidRPr="00D9348B">
        <w:rPr>
          <w:vertAlign w:val="subscript"/>
        </w:rPr>
        <w:t>2</w:t>
      </w:r>
      <w:r w:rsidRPr="00D9348B">
        <w:t>-e. No HFCs or PFCs were used in 1990. The</w:t>
      </w:r>
      <w:r w:rsidR="008C7C6D" w:rsidRPr="00D9348B">
        <w:t> </w:t>
      </w:r>
      <w:r w:rsidRPr="00D9348B">
        <w:t xml:space="preserve">first consumption of HFCs in New Zealand was reported in 1992 and the first consumption of PFCs in 1995. </w:t>
      </w:r>
    </w:p>
    <w:p w14:paraId="144515FF" w14:textId="77777777" w:rsidR="00D30983" w:rsidRPr="00D9348B" w:rsidRDefault="00D30983" w:rsidP="00D30983">
      <w:pPr>
        <w:pStyle w:val="BodyText"/>
        <w:spacing w:before="100" w:after="100"/>
      </w:pPr>
      <w:r w:rsidRPr="00D9348B">
        <w:t xml:space="preserve">Most of these emissions come from the use of HFCs in the </w:t>
      </w:r>
      <w:r w:rsidRPr="00D9348B">
        <w:rPr>
          <w:i/>
        </w:rPr>
        <w:t>Refrigeration and air conditioning</w:t>
      </w:r>
      <w:r w:rsidRPr="00D9348B">
        <w:t xml:space="preserve"> category. Emissions from the use of HFCs in </w:t>
      </w:r>
      <w:r w:rsidRPr="00D9348B">
        <w:rPr>
          <w:i/>
        </w:rPr>
        <w:t>Refrigeration and air conditioning</w:t>
      </w:r>
      <w:r w:rsidRPr="00D9348B">
        <w:t xml:space="preserve"> (level assessment and trend assessment) and HFCs in the </w:t>
      </w:r>
      <w:r w:rsidRPr="00D9348B">
        <w:rPr>
          <w:i/>
        </w:rPr>
        <w:t>Aerosols</w:t>
      </w:r>
      <w:r w:rsidRPr="00D9348B">
        <w:t xml:space="preserve"> category (trend assessment) were identified as key categories.</w:t>
      </w:r>
    </w:p>
    <w:p w14:paraId="39699DB2" w14:textId="77777777" w:rsidR="00D30983" w:rsidRPr="00D9348B" w:rsidRDefault="00D30983" w:rsidP="00D30983">
      <w:pPr>
        <w:pStyle w:val="Heading3"/>
      </w:pPr>
      <w:r w:rsidRPr="00D9348B">
        <w:t xml:space="preserve">4.7.2 </w:t>
      </w:r>
      <w:r w:rsidRPr="00D9348B">
        <w:tab/>
        <w:t>Methodological issues</w:t>
      </w:r>
    </w:p>
    <w:p w14:paraId="23D38923" w14:textId="77777777" w:rsidR="00D30983" w:rsidRPr="00D9348B" w:rsidRDefault="00D30983" w:rsidP="006B7E05">
      <w:pPr>
        <w:pStyle w:val="Heading4"/>
        <w:spacing w:before="160"/>
        <w:rPr>
          <w:bCs/>
          <w:iCs/>
        </w:rPr>
      </w:pPr>
      <w:r w:rsidRPr="00D9348B">
        <w:t>Choice of activity data</w:t>
      </w:r>
    </w:p>
    <w:p w14:paraId="0540C488" w14:textId="774BBD96" w:rsidR="00D30983" w:rsidRPr="00D9348B" w:rsidRDefault="00D30983" w:rsidP="00D30983">
      <w:pPr>
        <w:pStyle w:val="BodyText"/>
      </w:pPr>
      <w:r w:rsidRPr="00D9348B">
        <w:t xml:space="preserve">Most of the activity data for the </w:t>
      </w:r>
      <w:r w:rsidRPr="00D9348B">
        <w:rPr>
          <w:i/>
        </w:rPr>
        <w:t>Product uses as substitutes for ODS</w:t>
      </w:r>
      <w:r w:rsidRPr="00D9348B">
        <w:t xml:space="preserve"> source category are collected using annual surveys of companies that import, distribute and export refrigerants and other synthetic gases, manufacture or import products containing them or use them on a</w:t>
      </w:r>
      <w:r w:rsidR="008C7C6D" w:rsidRPr="00D9348B">
        <w:t> </w:t>
      </w:r>
      <w:r w:rsidRPr="00D9348B">
        <w:t xml:space="preserve">significant scale (CRL Energy, </w:t>
      </w:r>
      <w:r w:rsidRPr="00D9348B">
        <w:rPr>
          <w:rFonts w:eastAsia="+mn-ea"/>
        </w:rPr>
        <w:t>unpublished(c)</w:t>
      </w:r>
      <w:r w:rsidRPr="00D9348B">
        <w:t xml:space="preserve">). </w:t>
      </w:r>
    </w:p>
    <w:p w14:paraId="20C04D74" w14:textId="77777777" w:rsidR="00D30983" w:rsidRPr="00D9348B" w:rsidRDefault="00D30983" w:rsidP="00D30983">
      <w:pPr>
        <w:pStyle w:val="Heading5"/>
        <w:spacing w:before="120"/>
      </w:pPr>
      <w:r w:rsidRPr="00D9348B">
        <w:lastRenderedPageBreak/>
        <w:t>Refrigeration and air conditioning (2.F.1)</w:t>
      </w:r>
    </w:p>
    <w:p w14:paraId="0C682FE3" w14:textId="77777777" w:rsidR="00D30983" w:rsidRPr="00D9348B" w:rsidRDefault="00D30983" w:rsidP="00D30983">
      <w:pPr>
        <w:pStyle w:val="BodyText"/>
      </w:pPr>
      <w:r w:rsidRPr="00D9348B">
        <w:t xml:space="preserve">New Zealand imports substantial amounts of new refrigerant both in bulk and in factory-charged equipment. Both bulk chemical and equipment charged in New Zealand are exported but on a smaller scale. Data on bulk imports and exports of refrigerant, and factory-charged imported and exported equipment, were obtained using a survey questionnaire and follow up for completeness. </w:t>
      </w:r>
    </w:p>
    <w:p w14:paraId="1401DBA7" w14:textId="77777777" w:rsidR="00D30983" w:rsidRPr="00D9348B" w:rsidRDefault="00D30983" w:rsidP="00D30983">
      <w:pPr>
        <w:pStyle w:val="BodyText"/>
      </w:pPr>
      <w:r w:rsidRPr="00D9348B">
        <w:t xml:space="preserve">These items of activity data are used to estimate the annual sales of new refrigerant and the total charge of new equipment, for input into the mass balance equation used to estimate emissions of each compound for each sub-application. </w:t>
      </w:r>
    </w:p>
    <w:p w14:paraId="26545463" w14:textId="77777777" w:rsidR="00D30983" w:rsidRPr="00D9348B" w:rsidRDefault="00D30983" w:rsidP="00D30983">
      <w:pPr>
        <w:pStyle w:val="BodyText"/>
      </w:pPr>
      <w:r w:rsidRPr="00D9348B">
        <w:t xml:space="preserve">Annual sales and the charge in new equipment are calculated as shown in box 7.3 in the IPCC Guidelines (2006a) (see box 4.1). </w:t>
      </w:r>
    </w:p>
    <w:p w14:paraId="0C360EB8" w14:textId="77777777" w:rsidR="00D30983" w:rsidRPr="00D9348B" w:rsidRDefault="00D30983" w:rsidP="00D30983">
      <w:pPr>
        <w:pStyle w:val="BodyText"/>
        <w:rPr>
          <w:b/>
          <w:sz w:val="20"/>
        </w:rPr>
      </w:pPr>
      <w:r w:rsidRPr="00D9348B">
        <w:rPr>
          <w:rFonts w:cs="Arial"/>
          <w:b/>
          <w:i/>
          <w:sz w:val="18"/>
        </w:rPr>
        <w:t>Box 4.1</w:t>
      </w:r>
    </w:p>
    <w:p w14:paraId="10DF5787" w14:textId="77777777" w:rsidR="00D30983" w:rsidRPr="00D9348B" w:rsidRDefault="00D30983" w:rsidP="00D30983">
      <w:pPr>
        <w:pStyle w:val="BoxHeading"/>
        <w:pBdr>
          <w:top w:val="single" w:sz="6" w:space="14" w:color="auto"/>
          <w:left w:val="single" w:sz="6" w:space="12" w:color="auto"/>
          <w:bottom w:val="single" w:sz="6" w:space="14" w:color="auto"/>
          <w:right w:val="single" w:sz="6" w:space="12" w:color="auto"/>
        </w:pBdr>
        <w:ind w:left="284"/>
        <w:jc w:val="center"/>
        <w:rPr>
          <w:sz w:val="18"/>
          <w:lang w:eastAsia="en-GB"/>
        </w:rPr>
      </w:pPr>
      <w:r w:rsidRPr="00D9348B">
        <w:rPr>
          <w:sz w:val="18"/>
          <w:lang w:eastAsia="en-GB"/>
        </w:rPr>
        <w:t>IPCC (2006a) first equation in box 7.3</w:t>
      </w:r>
    </w:p>
    <w:p w14:paraId="632D8FBC" w14:textId="77777777" w:rsidR="00D30983" w:rsidRPr="00D9348B" w:rsidRDefault="00D30983" w:rsidP="00D30983">
      <w:pPr>
        <w:pStyle w:val="Box"/>
        <w:pBdr>
          <w:top w:val="single" w:sz="6" w:space="14" w:color="auto"/>
          <w:left w:val="single" w:sz="6" w:space="12" w:color="auto"/>
          <w:bottom w:val="single" w:sz="6" w:space="14" w:color="auto"/>
          <w:right w:val="single" w:sz="6" w:space="12" w:color="auto"/>
        </w:pBdr>
        <w:spacing w:after="120"/>
        <w:ind w:left="284"/>
        <w:rPr>
          <w:b/>
          <w:sz w:val="16"/>
          <w:szCs w:val="18"/>
          <w:lang w:eastAsia="en-GB"/>
        </w:rPr>
      </w:pPr>
      <w:r w:rsidRPr="00D9348B">
        <w:rPr>
          <w:b/>
          <w:sz w:val="16"/>
          <w:szCs w:val="18"/>
          <w:lang w:eastAsia="en-GB"/>
        </w:rPr>
        <w:t xml:space="preserve">Annual Sales of New Refrigerant </w:t>
      </w:r>
    </w:p>
    <w:p w14:paraId="65F01A41" w14:textId="77777777" w:rsidR="00D30983" w:rsidRPr="00D9348B" w:rsidRDefault="00D30983" w:rsidP="00D30983">
      <w:pPr>
        <w:pStyle w:val="Box"/>
        <w:pBdr>
          <w:top w:val="single" w:sz="6" w:space="14" w:color="auto"/>
          <w:left w:val="single" w:sz="6" w:space="12" w:color="auto"/>
          <w:bottom w:val="single" w:sz="6" w:space="14" w:color="auto"/>
          <w:right w:val="single" w:sz="6" w:space="12" w:color="auto"/>
        </w:pBdr>
        <w:spacing w:after="120"/>
        <w:ind w:left="284"/>
        <w:rPr>
          <w:sz w:val="16"/>
          <w:szCs w:val="18"/>
          <w:lang w:eastAsia="en-GB"/>
        </w:rPr>
      </w:pPr>
      <w:r w:rsidRPr="00D9348B">
        <w:rPr>
          <w:sz w:val="16"/>
          <w:szCs w:val="18"/>
          <w:lang w:eastAsia="en-GB"/>
        </w:rPr>
        <w:t>= Domestically Manufactured Chemical</w:t>
      </w:r>
    </w:p>
    <w:p w14:paraId="472C0C39" w14:textId="77777777" w:rsidR="00D30983" w:rsidRPr="00D9348B" w:rsidRDefault="00D30983" w:rsidP="00D30983">
      <w:pPr>
        <w:pStyle w:val="Box"/>
        <w:pBdr>
          <w:top w:val="single" w:sz="6" w:space="14" w:color="auto"/>
          <w:left w:val="single" w:sz="6" w:space="12" w:color="auto"/>
          <w:bottom w:val="single" w:sz="6" w:space="14" w:color="auto"/>
          <w:right w:val="single" w:sz="6" w:space="12" w:color="auto"/>
        </w:pBdr>
        <w:spacing w:after="120"/>
        <w:ind w:left="284"/>
        <w:rPr>
          <w:sz w:val="16"/>
          <w:szCs w:val="18"/>
          <w:lang w:eastAsia="en-GB"/>
        </w:rPr>
      </w:pPr>
      <w:r w:rsidRPr="00D9348B">
        <w:rPr>
          <w:sz w:val="16"/>
          <w:szCs w:val="18"/>
          <w:lang w:eastAsia="en-GB"/>
        </w:rPr>
        <w:t>+ Imported Bulk Chemical ― Exported Bulk Chemical</w:t>
      </w:r>
    </w:p>
    <w:p w14:paraId="7FDDD406" w14:textId="77777777" w:rsidR="00D30983" w:rsidRPr="00D9348B" w:rsidRDefault="00D30983" w:rsidP="00D30983">
      <w:pPr>
        <w:pStyle w:val="Box"/>
        <w:pBdr>
          <w:top w:val="single" w:sz="6" w:space="14" w:color="auto"/>
          <w:left w:val="single" w:sz="6" w:space="12" w:color="auto"/>
          <w:bottom w:val="single" w:sz="6" w:space="14" w:color="auto"/>
          <w:right w:val="single" w:sz="6" w:space="12" w:color="auto"/>
        </w:pBdr>
        <w:spacing w:after="120"/>
        <w:ind w:left="284"/>
        <w:rPr>
          <w:sz w:val="16"/>
          <w:szCs w:val="18"/>
          <w:lang w:eastAsia="en-GB"/>
        </w:rPr>
      </w:pPr>
      <w:r w:rsidRPr="00D9348B">
        <w:rPr>
          <w:sz w:val="16"/>
          <w:szCs w:val="18"/>
          <w:lang w:eastAsia="en-GB"/>
        </w:rPr>
        <w:t>+ Chemical Contained in Factory Charged Imported Equipment</w:t>
      </w:r>
    </w:p>
    <w:p w14:paraId="7C1BEAE7" w14:textId="77777777" w:rsidR="00D30983" w:rsidRPr="00D9348B" w:rsidRDefault="00D30983" w:rsidP="00D30983">
      <w:pPr>
        <w:pStyle w:val="Box"/>
        <w:pBdr>
          <w:top w:val="single" w:sz="6" w:space="14" w:color="auto"/>
          <w:left w:val="single" w:sz="6" w:space="12" w:color="auto"/>
          <w:bottom w:val="single" w:sz="6" w:space="14" w:color="auto"/>
          <w:right w:val="single" w:sz="6" w:space="12" w:color="auto"/>
        </w:pBdr>
        <w:spacing w:after="120"/>
        <w:ind w:left="284"/>
        <w:rPr>
          <w:sz w:val="16"/>
          <w:szCs w:val="18"/>
          <w:lang w:eastAsia="en-GB"/>
        </w:rPr>
      </w:pPr>
      <w:r w:rsidRPr="00D9348B">
        <w:rPr>
          <w:sz w:val="16"/>
          <w:szCs w:val="18"/>
        </w:rPr>
        <w:t>–</w:t>
      </w:r>
      <w:r w:rsidRPr="00D9348B">
        <w:rPr>
          <w:sz w:val="16"/>
          <w:szCs w:val="18"/>
          <w:lang w:eastAsia="en-GB"/>
        </w:rPr>
        <w:t xml:space="preserve"> Chemical Contained in Factory Charged Exported Equipment.</w:t>
      </w:r>
    </w:p>
    <w:p w14:paraId="560FA284" w14:textId="77777777" w:rsidR="00D30983" w:rsidRPr="00D9348B" w:rsidRDefault="00D30983" w:rsidP="00D30983">
      <w:pPr>
        <w:pStyle w:val="Box"/>
        <w:pBdr>
          <w:top w:val="single" w:sz="6" w:space="14" w:color="auto"/>
          <w:left w:val="single" w:sz="6" w:space="12" w:color="auto"/>
          <w:bottom w:val="single" w:sz="6" w:space="14" w:color="auto"/>
          <w:right w:val="single" w:sz="6" w:space="12" w:color="auto"/>
        </w:pBdr>
        <w:spacing w:before="120" w:after="120"/>
        <w:ind w:left="284"/>
        <w:rPr>
          <w:b/>
          <w:sz w:val="16"/>
          <w:szCs w:val="18"/>
          <w:lang w:eastAsia="en-GB"/>
        </w:rPr>
      </w:pPr>
      <w:r w:rsidRPr="00D9348B">
        <w:rPr>
          <w:b/>
          <w:sz w:val="16"/>
          <w:szCs w:val="18"/>
          <w:lang w:eastAsia="en-GB"/>
        </w:rPr>
        <w:t xml:space="preserve">Total Charge of New Equipment </w:t>
      </w:r>
    </w:p>
    <w:p w14:paraId="30DA92DF" w14:textId="77777777" w:rsidR="00D30983" w:rsidRPr="00D9348B" w:rsidRDefault="00D30983" w:rsidP="00D30983">
      <w:pPr>
        <w:pStyle w:val="Box"/>
        <w:pBdr>
          <w:top w:val="single" w:sz="6" w:space="14" w:color="auto"/>
          <w:left w:val="single" w:sz="6" w:space="12" w:color="auto"/>
          <w:bottom w:val="single" w:sz="6" w:space="14" w:color="auto"/>
          <w:right w:val="single" w:sz="6" w:space="12" w:color="auto"/>
        </w:pBdr>
        <w:spacing w:after="120"/>
        <w:ind w:left="284"/>
        <w:rPr>
          <w:sz w:val="16"/>
          <w:szCs w:val="18"/>
          <w:lang w:eastAsia="en-GB"/>
        </w:rPr>
      </w:pPr>
      <w:r w:rsidRPr="00D9348B">
        <w:rPr>
          <w:sz w:val="16"/>
          <w:szCs w:val="18"/>
          <w:lang w:eastAsia="en-GB"/>
        </w:rPr>
        <w:t>= Chemical to Charge Domestically Manufactured Equipment that is not Factory Charged</w:t>
      </w:r>
    </w:p>
    <w:p w14:paraId="4C414496" w14:textId="77777777" w:rsidR="00D30983" w:rsidRPr="00D9348B" w:rsidRDefault="00D30983" w:rsidP="00D30983">
      <w:pPr>
        <w:pStyle w:val="Box"/>
        <w:pBdr>
          <w:top w:val="single" w:sz="6" w:space="14" w:color="auto"/>
          <w:left w:val="single" w:sz="6" w:space="12" w:color="auto"/>
          <w:bottom w:val="single" w:sz="6" w:space="14" w:color="auto"/>
          <w:right w:val="single" w:sz="6" w:space="12" w:color="auto"/>
        </w:pBdr>
        <w:spacing w:after="120"/>
        <w:ind w:left="284"/>
        <w:rPr>
          <w:sz w:val="16"/>
          <w:szCs w:val="18"/>
          <w:lang w:eastAsia="en-GB"/>
        </w:rPr>
      </w:pPr>
      <w:r w:rsidRPr="00D9348B">
        <w:rPr>
          <w:sz w:val="16"/>
          <w:szCs w:val="18"/>
          <w:lang w:eastAsia="en-GB"/>
        </w:rPr>
        <w:t xml:space="preserve">+ Chemical to Charge Domestically Manufactured Equipment that is Factory Charged </w:t>
      </w:r>
    </w:p>
    <w:p w14:paraId="7EF10495" w14:textId="77777777" w:rsidR="00D30983" w:rsidRPr="00D9348B" w:rsidRDefault="00D30983" w:rsidP="00D30983">
      <w:pPr>
        <w:pStyle w:val="Box"/>
        <w:pBdr>
          <w:top w:val="single" w:sz="6" w:space="14" w:color="auto"/>
          <w:left w:val="single" w:sz="6" w:space="12" w:color="auto"/>
          <w:bottom w:val="single" w:sz="6" w:space="14" w:color="auto"/>
          <w:right w:val="single" w:sz="6" w:space="12" w:color="auto"/>
        </w:pBdr>
        <w:spacing w:after="120"/>
        <w:ind w:left="284"/>
        <w:rPr>
          <w:sz w:val="16"/>
          <w:szCs w:val="18"/>
          <w:lang w:eastAsia="en-GB"/>
        </w:rPr>
      </w:pPr>
      <w:r w:rsidRPr="00D9348B">
        <w:rPr>
          <w:sz w:val="16"/>
          <w:szCs w:val="18"/>
          <w:lang w:eastAsia="en-GB"/>
        </w:rPr>
        <w:t>+ Chemical to Charge Imported Equipment that is not Factory Charged</w:t>
      </w:r>
    </w:p>
    <w:p w14:paraId="7F49BD03" w14:textId="77777777" w:rsidR="00D30983" w:rsidRPr="00D9348B" w:rsidRDefault="00D30983" w:rsidP="00D30983">
      <w:pPr>
        <w:pStyle w:val="Box"/>
        <w:pBdr>
          <w:top w:val="single" w:sz="6" w:space="14" w:color="auto"/>
          <w:left w:val="single" w:sz="6" w:space="12" w:color="auto"/>
          <w:bottom w:val="single" w:sz="6" w:space="14" w:color="auto"/>
          <w:right w:val="single" w:sz="6" w:space="12" w:color="auto"/>
        </w:pBdr>
        <w:spacing w:after="120"/>
        <w:ind w:left="284"/>
        <w:rPr>
          <w:sz w:val="16"/>
          <w:szCs w:val="18"/>
          <w:lang w:eastAsia="en-GB"/>
        </w:rPr>
      </w:pPr>
      <w:r w:rsidRPr="00D9348B">
        <w:rPr>
          <w:sz w:val="16"/>
          <w:szCs w:val="18"/>
          <w:lang w:eastAsia="en-GB"/>
        </w:rPr>
        <w:t xml:space="preserve">+ Chemical Contained in Factory Charged Imported Equipment </w:t>
      </w:r>
    </w:p>
    <w:p w14:paraId="4AE52A14" w14:textId="77777777" w:rsidR="00D30983" w:rsidRPr="00D9348B" w:rsidRDefault="00D30983" w:rsidP="00D30983">
      <w:pPr>
        <w:pStyle w:val="Box"/>
        <w:pBdr>
          <w:top w:val="single" w:sz="6" w:space="14" w:color="auto"/>
          <w:left w:val="single" w:sz="6" w:space="12" w:color="auto"/>
          <w:bottom w:val="single" w:sz="6" w:space="14" w:color="auto"/>
          <w:right w:val="single" w:sz="6" w:space="12" w:color="auto"/>
        </w:pBdr>
        <w:spacing w:after="120"/>
        <w:ind w:left="284"/>
        <w:rPr>
          <w:sz w:val="16"/>
          <w:szCs w:val="18"/>
          <w:lang w:eastAsia="en-GB"/>
        </w:rPr>
      </w:pPr>
      <w:r w:rsidRPr="00D9348B">
        <w:rPr>
          <w:sz w:val="16"/>
          <w:szCs w:val="18"/>
          <w:lang w:eastAsia="en-GB"/>
        </w:rPr>
        <w:t>– Chemical Contained in Factory Charged Exported Equipment.</w:t>
      </w:r>
    </w:p>
    <w:p w14:paraId="548C2332" w14:textId="77777777" w:rsidR="00D30983" w:rsidRPr="00D9348B" w:rsidRDefault="00D30983" w:rsidP="00D30983">
      <w:pPr>
        <w:pStyle w:val="BodyText"/>
        <w:spacing w:before="240"/>
      </w:pPr>
      <w:r w:rsidRPr="00D9348B">
        <w:t xml:space="preserve">There are no refrigerant chemicals manufactured domestically in New Zealand. </w:t>
      </w:r>
    </w:p>
    <w:p w14:paraId="1F2F1E84" w14:textId="6FD3F611" w:rsidR="00D30983" w:rsidRPr="00D9348B" w:rsidRDefault="00D30983" w:rsidP="00D30983">
      <w:pPr>
        <w:pStyle w:val="BodyText"/>
        <w:spacing w:after="100"/>
      </w:pPr>
      <w:r w:rsidRPr="00D9348B">
        <w:t>Detailed, but not complete, information on the supplies and banks of chemical in each sub</w:t>
      </w:r>
      <w:r w:rsidR="006B7E05" w:rsidRPr="00D9348B">
        <w:noBreakHyphen/>
      </w:r>
      <w:r w:rsidRPr="00D9348B">
        <w:t xml:space="preserve">application was obtained from surveys and follow-up calls to request specific data. </w:t>
      </w:r>
    </w:p>
    <w:p w14:paraId="6DB27043" w14:textId="77777777" w:rsidR="00D30983" w:rsidRPr="00D9348B" w:rsidRDefault="00D30983" w:rsidP="00D30983">
      <w:pPr>
        <w:pStyle w:val="BodyText"/>
        <w:spacing w:after="100"/>
      </w:pPr>
      <w:r w:rsidRPr="00D9348B">
        <w:t xml:space="preserve">This information has been used to assess the mass balance for each sub-application. However, the attribution of bulk chemical to individual sub-applications is not as accurate as the data on total amounts of each chemical imported. It is consistently difficult to attribute bulk chemical accurately to a specific sub-application. </w:t>
      </w:r>
    </w:p>
    <w:p w14:paraId="7189B106" w14:textId="77777777" w:rsidR="00D30983" w:rsidRPr="00D9348B" w:rsidRDefault="00D30983" w:rsidP="00D30983">
      <w:pPr>
        <w:pStyle w:val="BodyText"/>
        <w:spacing w:after="100"/>
      </w:pPr>
      <w:r w:rsidRPr="00D9348B">
        <w:t xml:space="preserve">The accurate attribution of bulk chemical to a specific year of use is also challenging, due to large year-to-year variations in the amounts imported. Imports to New Zealand are variable at any time, due to the small amounts of some refrigerants that are used. In addition, import volumes have fluctuated at various times due to price changes. </w:t>
      </w:r>
    </w:p>
    <w:p w14:paraId="4A592898" w14:textId="77777777" w:rsidR="00D30983" w:rsidRPr="00D9348B" w:rsidRDefault="00D30983" w:rsidP="00D30983">
      <w:pPr>
        <w:pStyle w:val="BodyText"/>
        <w:spacing w:after="100"/>
      </w:pPr>
      <w:r w:rsidRPr="00D9348B">
        <w:t xml:space="preserve">For the </w:t>
      </w:r>
      <w:r w:rsidRPr="00D9348B">
        <w:rPr>
          <w:i/>
        </w:rPr>
        <w:t>Mobile air conditioning</w:t>
      </w:r>
      <w:r w:rsidRPr="00D9348B">
        <w:t xml:space="preserve"> sub-application, only HFC-134a is used in New Zealand, and has been since 1994. Data on vehicle registrations and fleet numbers were provided by the New Zealand Transport Agency and inform a model of the fleet. Estimates of the annual amount added to the bank, and first-fill emissions, are based on a good understanding of the number </w:t>
      </w:r>
      <w:r w:rsidRPr="00D9348B">
        <w:lastRenderedPageBreak/>
        <w:t>of new cars, trucks and buses with air conditioning added to the fleet each year. The results of the survey of bulk importers and distributors were also used to help determine the amount of HFC</w:t>
      </w:r>
      <w:r w:rsidRPr="00D9348B">
        <w:noBreakHyphen/>
        <w:t xml:space="preserve">134a sold for mobile air conditioning. </w:t>
      </w:r>
    </w:p>
    <w:p w14:paraId="59771AF8" w14:textId="77777777" w:rsidR="00D30983" w:rsidRPr="00D9348B" w:rsidRDefault="00D30983" w:rsidP="00D30983">
      <w:pPr>
        <w:pStyle w:val="BodyText"/>
        <w:spacing w:after="100"/>
      </w:pPr>
      <w:r w:rsidRPr="00D9348B">
        <w:t>In 2009,</w:t>
      </w:r>
      <w:r w:rsidRPr="00D9348B">
        <w:rPr>
          <w:spacing w:val="-2"/>
        </w:rPr>
        <w:t xml:space="preserve"> the average charge of HFC-134a in vehicle air conditioning systems added to the bank at that time was estimated to be as</w:t>
      </w:r>
      <w:r w:rsidRPr="00D9348B">
        <w:t xml:space="preserve"> shown in table 4.7.1, based on IPCC defaults and information from the industry. </w:t>
      </w:r>
    </w:p>
    <w:p w14:paraId="49528E6F" w14:textId="77777777" w:rsidR="00D30983" w:rsidRPr="00D9348B" w:rsidRDefault="00D30983" w:rsidP="00D30983">
      <w:pPr>
        <w:pStyle w:val="Table"/>
      </w:pPr>
      <w:bookmarkStart w:id="530" w:name="_Toc451176076"/>
      <w:bookmarkStart w:id="531" w:name="_Toc5269466"/>
      <w:bookmarkStart w:id="532" w:name="_Toc36224539"/>
      <w:r w:rsidRPr="00D9348B">
        <w:t>Table 4.7.1</w:t>
      </w:r>
      <w:r w:rsidRPr="00D9348B">
        <w:tab/>
        <w:t>Average charge of HFC-134a in mobile air conditioners, 2009</w:t>
      </w:r>
      <w:bookmarkEnd w:id="530"/>
      <w:bookmarkEnd w:id="531"/>
      <w:bookmarkEnd w:id="532"/>
    </w:p>
    <w:tbl>
      <w:tblPr>
        <w:tblW w:w="8562" w:type="dxa"/>
        <w:tblInd w:w="108" w:type="dxa"/>
        <w:tblBorders>
          <w:top w:val="single" w:sz="6" w:space="0" w:color="365F91"/>
          <w:bottom w:val="single" w:sz="6" w:space="0" w:color="365F91"/>
          <w:insideH w:val="single" w:sz="6" w:space="0" w:color="365F91"/>
        </w:tblBorders>
        <w:tblLook w:val="04A0" w:firstRow="1" w:lastRow="0" w:firstColumn="1" w:lastColumn="0" w:noHBand="0" w:noVBand="1"/>
      </w:tblPr>
      <w:tblGrid>
        <w:gridCol w:w="2740"/>
        <w:gridCol w:w="2911"/>
        <w:gridCol w:w="2911"/>
      </w:tblGrid>
      <w:tr w:rsidR="00D30983" w:rsidRPr="00D9348B" w14:paraId="3EECD97B" w14:textId="77777777" w:rsidTr="008C7C6D">
        <w:tc>
          <w:tcPr>
            <w:tcW w:w="2540" w:type="dxa"/>
            <w:tcBorders>
              <w:top w:val="single" w:sz="4" w:space="0" w:color="365F91"/>
              <w:left w:val="nil"/>
              <w:bottom w:val="single" w:sz="4" w:space="0" w:color="365F91"/>
              <w:right w:val="nil"/>
            </w:tcBorders>
            <w:shd w:val="clear" w:color="auto" w:fill="365F91"/>
            <w:hideMark/>
          </w:tcPr>
          <w:p w14:paraId="7F2F1934" w14:textId="77777777" w:rsidR="00D30983" w:rsidRPr="00D9348B" w:rsidRDefault="00D30983" w:rsidP="00DB330E">
            <w:pPr>
              <w:pStyle w:val="TableTextBold"/>
              <w:rPr>
                <w:noProof w:val="0"/>
                <w:color w:val="FFFFFF"/>
              </w:rPr>
            </w:pPr>
            <w:r w:rsidRPr="00D9348B">
              <w:rPr>
                <w:noProof w:val="0"/>
                <w:color w:val="FFFFFF"/>
              </w:rPr>
              <w:t>Charge for cars and vans (g)</w:t>
            </w:r>
          </w:p>
        </w:tc>
        <w:tc>
          <w:tcPr>
            <w:tcW w:w="2699" w:type="dxa"/>
            <w:tcBorders>
              <w:top w:val="single" w:sz="4" w:space="0" w:color="365F91"/>
              <w:left w:val="nil"/>
              <w:bottom w:val="single" w:sz="4" w:space="0" w:color="365F91"/>
              <w:right w:val="nil"/>
            </w:tcBorders>
            <w:shd w:val="clear" w:color="auto" w:fill="365F91"/>
            <w:hideMark/>
          </w:tcPr>
          <w:p w14:paraId="4CE6DAC6" w14:textId="77777777" w:rsidR="00D30983" w:rsidRPr="00D9348B" w:rsidRDefault="00D30983" w:rsidP="00DB330E">
            <w:pPr>
              <w:pStyle w:val="TableTextBold"/>
              <w:rPr>
                <w:noProof w:val="0"/>
                <w:color w:val="FFFFFF"/>
              </w:rPr>
            </w:pPr>
            <w:r w:rsidRPr="00D9348B">
              <w:rPr>
                <w:noProof w:val="0"/>
                <w:color w:val="FFFFFF"/>
              </w:rPr>
              <w:t>Charge for heavy trucks (g)</w:t>
            </w:r>
          </w:p>
        </w:tc>
        <w:tc>
          <w:tcPr>
            <w:tcW w:w="2699" w:type="dxa"/>
            <w:tcBorders>
              <w:top w:val="single" w:sz="4" w:space="0" w:color="365F91"/>
              <w:left w:val="nil"/>
              <w:bottom w:val="single" w:sz="4" w:space="0" w:color="365F91"/>
              <w:right w:val="nil"/>
            </w:tcBorders>
            <w:shd w:val="clear" w:color="auto" w:fill="365F91"/>
            <w:hideMark/>
          </w:tcPr>
          <w:p w14:paraId="4F63B392" w14:textId="77777777" w:rsidR="00D30983" w:rsidRPr="00D9348B" w:rsidRDefault="00D30983" w:rsidP="00DB330E">
            <w:pPr>
              <w:pStyle w:val="TableTextBold"/>
              <w:rPr>
                <w:noProof w:val="0"/>
                <w:color w:val="FFFFFF"/>
              </w:rPr>
            </w:pPr>
            <w:r w:rsidRPr="00D9348B">
              <w:rPr>
                <w:noProof w:val="0"/>
                <w:color w:val="FFFFFF"/>
              </w:rPr>
              <w:t>Charge for buses (g)</w:t>
            </w:r>
          </w:p>
        </w:tc>
      </w:tr>
      <w:tr w:rsidR="00D30983" w:rsidRPr="00D9348B" w14:paraId="2E291FA0" w14:textId="77777777" w:rsidTr="008C7C6D">
        <w:tc>
          <w:tcPr>
            <w:tcW w:w="2540" w:type="dxa"/>
            <w:tcBorders>
              <w:top w:val="single" w:sz="4" w:space="0" w:color="365F91"/>
              <w:left w:val="nil"/>
              <w:bottom w:val="single" w:sz="6" w:space="0" w:color="365F91"/>
              <w:right w:val="nil"/>
            </w:tcBorders>
            <w:shd w:val="clear" w:color="auto" w:fill="FFFFFF"/>
            <w:hideMark/>
          </w:tcPr>
          <w:p w14:paraId="1F601DAD" w14:textId="77777777" w:rsidR="00D30983" w:rsidRPr="00D9348B" w:rsidRDefault="00D30983" w:rsidP="00DB330E">
            <w:pPr>
              <w:pStyle w:val="TableText"/>
            </w:pPr>
            <w:r w:rsidRPr="00D9348B">
              <w:t>600</w:t>
            </w:r>
          </w:p>
        </w:tc>
        <w:tc>
          <w:tcPr>
            <w:tcW w:w="2699" w:type="dxa"/>
            <w:tcBorders>
              <w:top w:val="single" w:sz="4" w:space="0" w:color="365F91"/>
              <w:left w:val="nil"/>
              <w:bottom w:val="single" w:sz="6" w:space="0" w:color="365F91"/>
              <w:right w:val="nil"/>
            </w:tcBorders>
            <w:shd w:val="clear" w:color="auto" w:fill="FFFFFF"/>
            <w:hideMark/>
          </w:tcPr>
          <w:p w14:paraId="455F2F18" w14:textId="77777777" w:rsidR="00D30983" w:rsidRPr="00D9348B" w:rsidRDefault="00D30983" w:rsidP="00DB330E">
            <w:pPr>
              <w:pStyle w:val="TableText"/>
            </w:pPr>
            <w:r w:rsidRPr="00D9348B">
              <w:t>800</w:t>
            </w:r>
          </w:p>
        </w:tc>
        <w:tc>
          <w:tcPr>
            <w:tcW w:w="2699" w:type="dxa"/>
            <w:tcBorders>
              <w:top w:val="single" w:sz="4" w:space="0" w:color="365F91"/>
              <w:left w:val="nil"/>
              <w:bottom w:val="single" w:sz="6" w:space="0" w:color="365F91"/>
              <w:right w:val="nil"/>
            </w:tcBorders>
            <w:shd w:val="clear" w:color="auto" w:fill="FFFFFF"/>
            <w:hideMark/>
          </w:tcPr>
          <w:p w14:paraId="6F9E7CDD" w14:textId="77777777" w:rsidR="00D30983" w:rsidRPr="00D9348B" w:rsidRDefault="00D30983" w:rsidP="00DB330E">
            <w:pPr>
              <w:pStyle w:val="TableText"/>
            </w:pPr>
            <w:r w:rsidRPr="00D9348B">
              <w:t>4,000</w:t>
            </w:r>
          </w:p>
        </w:tc>
      </w:tr>
    </w:tbl>
    <w:p w14:paraId="7AAF01FB" w14:textId="77777777" w:rsidR="00D30983" w:rsidRPr="00D9348B" w:rsidRDefault="00D30983" w:rsidP="00D30983">
      <w:pPr>
        <w:pStyle w:val="BodyText"/>
        <w:spacing w:before="240"/>
      </w:pPr>
      <w:r w:rsidRPr="00D9348B">
        <w:t xml:space="preserve">These amounts were higher in earlier years, with the charge in a car air conditioner at approximately 700 grams in 2000. New Zealand imports a large variety of vehicles, many of them used cars, and it is not feasible to obtain accurate and up-to-date statistics on the refrigerant charge in these vehicles. Based on this earlier trend, the average charges in vehicles added to the fleet are assessed to reduce by 2.0 per cent per year for 2010–18. Limited information on some of the models imported indicates that the ongoing trend to reduce these charges has continued after 2009 (CRL Energy Ltd, unpublished(c)). </w:t>
      </w:r>
    </w:p>
    <w:p w14:paraId="26EBF79E" w14:textId="77777777" w:rsidR="00D30983" w:rsidRPr="00D9348B" w:rsidRDefault="00D30983" w:rsidP="00D30983">
      <w:pPr>
        <w:pStyle w:val="Heading5"/>
        <w:spacing w:before="200"/>
      </w:pPr>
      <w:r w:rsidRPr="00D9348B">
        <w:t>Foam blowing agents (2.F.2)</w:t>
      </w:r>
    </w:p>
    <w:p w14:paraId="45871E92" w14:textId="77777777" w:rsidR="00D30983" w:rsidRPr="00D9348B" w:rsidRDefault="00D30983" w:rsidP="00D30983">
      <w:pPr>
        <w:pStyle w:val="BodyText"/>
        <w:rPr>
          <w:spacing w:val="-2"/>
        </w:rPr>
      </w:pPr>
      <w:r w:rsidRPr="00D9348B">
        <w:rPr>
          <w:spacing w:val="-2"/>
        </w:rPr>
        <w:t xml:space="preserve">Only closed-cell foams are produced in New Zealand. Companies importing and using HFCs for foam blowing have provided data on the gas imported and used in response to an annual survey. Small quantities of HFC-245fa are estimated to be contained in insulating foam in refrigerators and freezers that are imported from Mexico and the United States of America. Imported items from other source countries are unlikely to contain HFCs. </w:t>
      </w:r>
    </w:p>
    <w:p w14:paraId="6BACAD64" w14:textId="77777777" w:rsidR="00D30983" w:rsidRPr="00D9348B" w:rsidRDefault="00D30983" w:rsidP="00D30983">
      <w:pPr>
        <w:pStyle w:val="Heading5"/>
        <w:spacing w:before="200"/>
      </w:pPr>
      <w:r w:rsidRPr="00D9348B">
        <w:t>Fire protection (2.F.3)</w:t>
      </w:r>
    </w:p>
    <w:p w14:paraId="5A84B3D0" w14:textId="77777777" w:rsidR="00D30983" w:rsidRPr="00D9348B" w:rsidRDefault="00D30983" w:rsidP="00D30983">
      <w:pPr>
        <w:pStyle w:val="BodyText"/>
        <w:rPr>
          <w:spacing w:val="-2"/>
        </w:rPr>
      </w:pPr>
      <w:r w:rsidRPr="00D9348B">
        <w:rPr>
          <w:spacing w:val="-2"/>
        </w:rPr>
        <w:t>Three companies in New Zealand import and supply fire protection equipment that contains HFC</w:t>
      </w:r>
      <w:r w:rsidRPr="00D9348B">
        <w:rPr>
          <w:spacing w:val="-2"/>
        </w:rPr>
        <w:noBreakHyphen/>
        <w:t xml:space="preserve">227ea, with two other firms installing small amounts in marine fire protection systems. This gas has been used since 1994 as a substitute for ODS. No other HFCs or PFCs are used. The companies provide data on the amount imported in equipment in response to an annual survey. </w:t>
      </w:r>
    </w:p>
    <w:p w14:paraId="2FF30E5A" w14:textId="77777777" w:rsidR="00D30983" w:rsidRPr="00D9348B" w:rsidRDefault="00D30983" w:rsidP="00D30983">
      <w:pPr>
        <w:pStyle w:val="Heading5"/>
      </w:pPr>
      <w:r w:rsidRPr="00D9348B">
        <w:t>Aerosols (2.F.4)</w:t>
      </w:r>
    </w:p>
    <w:p w14:paraId="1A7A59BB" w14:textId="77777777" w:rsidR="00D30983" w:rsidRPr="00D9348B" w:rsidRDefault="00D30983" w:rsidP="00D30983">
      <w:pPr>
        <w:pStyle w:val="BodyText"/>
      </w:pPr>
      <w:r w:rsidRPr="00D9348B">
        <w:t xml:space="preserve">Most of the HFC use and emissions in this category are for medical use in metered dose inhalers (MDIs). MDIs that use HFC-134a were introduced in 1995, and all MDIs sold in New Zealand from 2012 have used HFCs as the propellant. Nearly all of the propellant in MDIs is HFC-134a, but a small amount of HFC-227ea is also used. Also, approximately 12.0 per cent of MDIs now sold do not use a propellant at all. </w:t>
      </w:r>
    </w:p>
    <w:p w14:paraId="62D115E6" w14:textId="77777777" w:rsidR="00D30983" w:rsidRPr="00D9348B" w:rsidRDefault="00D30983" w:rsidP="00D30983">
      <w:pPr>
        <w:pStyle w:val="BodyText"/>
      </w:pPr>
      <w:r w:rsidRPr="00D9348B">
        <w:t xml:space="preserve">All MDIs used in New Zealand are imported. The government pharmaceutical purchasing agency (Pharmac) supplies annual data on the sales of MDIs. </w:t>
      </w:r>
    </w:p>
    <w:p w14:paraId="0A4216E3" w14:textId="77777777" w:rsidR="00D30983" w:rsidRPr="00D9348B" w:rsidRDefault="00D30983" w:rsidP="00D30983">
      <w:pPr>
        <w:pStyle w:val="BodyText"/>
      </w:pPr>
      <w:r w:rsidRPr="00D9348B">
        <w:t xml:space="preserve">Most of the MDIs imported and sold in New Zealand contain </w:t>
      </w:r>
      <w:proofErr w:type="gramStart"/>
      <w:r w:rsidRPr="00D9348B">
        <w:t>either 200 or 120 doses and</w:t>
      </w:r>
      <w:proofErr w:type="gramEnd"/>
      <w:r w:rsidRPr="00D9348B">
        <w:t xml:space="preserve"> either 15 grams or 9.5 grams of HFC-134a propellant per inhaler. An approximate weighted average is used to estimate emissions for each propellant, per dose: </w:t>
      </w:r>
    </w:p>
    <w:p w14:paraId="2474BF62" w14:textId="77777777" w:rsidR="00D30983" w:rsidRPr="00D9348B" w:rsidRDefault="00D30983" w:rsidP="00D30983">
      <w:pPr>
        <w:pStyle w:val="Bullet"/>
      </w:pPr>
      <w:r w:rsidRPr="00D9348B">
        <w:t>81.4 milligrams of HFC-134a; or</w:t>
      </w:r>
    </w:p>
    <w:p w14:paraId="2DDEDFEE" w14:textId="77777777" w:rsidR="00D30983" w:rsidRPr="00D9348B" w:rsidRDefault="00D30983" w:rsidP="00DE1FAA">
      <w:pPr>
        <w:pStyle w:val="Bullet"/>
      </w:pPr>
      <w:r w:rsidRPr="00D9348B">
        <w:t xml:space="preserve">66.9 milligrams of HFC-227ea. </w:t>
      </w:r>
    </w:p>
    <w:p w14:paraId="5A417252" w14:textId="77777777" w:rsidR="00D30983" w:rsidRPr="00D9348B" w:rsidRDefault="00D30983" w:rsidP="00D30983">
      <w:pPr>
        <w:pStyle w:val="BodyText"/>
      </w:pPr>
      <w:r w:rsidRPr="00D9348B">
        <w:lastRenderedPageBreak/>
        <w:t xml:space="preserve">HFC-134a is the only HFC propellant used in non-medical aerosols in New Zealand. </w:t>
      </w:r>
    </w:p>
    <w:p w14:paraId="1BCB8ADC" w14:textId="77777777" w:rsidR="00D30983" w:rsidRPr="00D9348B" w:rsidRDefault="00D30983" w:rsidP="00D30983">
      <w:pPr>
        <w:pStyle w:val="BodyText"/>
      </w:pPr>
      <w:r w:rsidRPr="00D9348B">
        <w:t xml:space="preserve">All non-MDI aerosols used in New Zealand now are imported, with the propellant charge already in place. Up until 2014, one company loaded specialised aerosols in New Zealand with HFC-134a as the propellant. This activity is no longer carried out. </w:t>
      </w:r>
    </w:p>
    <w:p w14:paraId="6A9ACFF1" w14:textId="77777777" w:rsidR="00D30983" w:rsidRPr="00D9348B" w:rsidRDefault="00D30983" w:rsidP="00D30983">
      <w:pPr>
        <w:pStyle w:val="BodyText"/>
      </w:pPr>
      <w:r w:rsidRPr="00D9348B">
        <w:t xml:space="preserve">Nearly all of the aerosol cans that are imported and sold in New Zealand use hydrocarbon propellants, with only a few specialised applications using HFCs. </w:t>
      </w:r>
    </w:p>
    <w:p w14:paraId="50284F54" w14:textId="77777777" w:rsidR="00D30983" w:rsidRPr="00D9348B" w:rsidRDefault="00D30983" w:rsidP="00D30983">
      <w:pPr>
        <w:pStyle w:val="BodyText"/>
      </w:pPr>
      <w:r w:rsidRPr="00D9348B">
        <w:t>Information on the imports, manufacture and use of non-MDI aerosol products has been sourced from the Aerosol Association of Australia/New Zealand, from survey data supplied by importers and by the one New Zealand aerosol manufacturer that previously used HFC</w:t>
      </w:r>
      <w:r w:rsidRPr="00D9348B">
        <w:noBreakHyphen/>
        <w:t xml:space="preserve">134a. </w:t>
      </w:r>
    </w:p>
    <w:p w14:paraId="3578303E" w14:textId="77777777" w:rsidR="00D30983" w:rsidRPr="00D9348B" w:rsidRDefault="00D30983" w:rsidP="00D30983">
      <w:pPr>
        <w:pStyle w:val="BodyText"/>
      </w:pPr>
      <w:r w:rsidRPr="00D9348B">
        <w:t xml:space="preserve">Import data – regardless of the source – are not complete or reliable because the aerosol market is diffuse and the available data do not clearly distinguish aerosols that contain HFCs from the much greater number containing hydrocarbons. </w:t>
      </w:r>
    </w:p>
    <w:p w14:paraId="5EDF957C" w14:textId="77777777" w:rsidR="00D30983" w:rsidRPr="00D9348B" w:rsidRDefault="00D30983" w:rsidP="00D30983">
      <w:pPr>
        <w:pStyle w:val="BodyText"/>
      </w:pPr>
      <w:r w:rsidRPr="00D9348B">
        <w:t xml:space="preserve">Survey data have provided some incomplete estimates of imports containing HFCs, accounting, for example, for 6.6 tonnes of HFC-134a in 2006. By combining this information with data from the New Zealand manufacturer, an assessment has been made of the proportion of HFC-134a in aerosol products sold in New Zealand: </w:t>
      </w:r>
    </w:p>
    <w:p w14:paraId="4276A384" w14:textId="77777777" w:rsidR="00D30983" w:rsidRPr="00D9348B" w:rsidRDefault="00D30983" w:rsidP="00D30983">
      <w:pPr>
        <w:pStyle w:val="Bullet"/>
      </w:pPr>
      <w:r w:rsidRPr="00D9348B">
        <w:t xml:space="preserve">zero from 1990 to 1995, when HFC propellant had not yet been introduced </w:t>
      </w:r>
    </w:p>
    <w:p w14:paraId="5C6BE740" w14:textId="77777777" w:rsidR="00D30983" w:rsidRPr="00D9348B" w:rsidRDefault="00D30983" w:rsidP="00D30983">
      <w:pPr>
        <w:pStyle w:val="Bullet"/>
      </w:pPr>
      <w:r w:rsidRPr="00D9348B">
        <w:t xml:space="preserve">phased in from 1996 to 2000 reaching 1 per cent in 2000 </w:t>
      </w:r>
    </w:p>
    <w:p w14:paraId="32937C76" w14:textId="77777777" w:rsidR="00D30983" w:rsidRPr="00D9348B" w:rsidRDefault="00D30983" w:rsidP="00D30983">
      <w:pPr>
        <w:pStyle w:val="Bullet"/>
      </w:pPr>
      <w:r w:rsidRPr="00D9348B">
        <w:t xml:space="preserve">1 per cent (approximately 17 tonnes of HFC-134a annually) for all later years. </w:t>
      </w:r>
    </w:p>
    <w:p w14:paraId="5F1A7828" w14:textId="77777777" w:rsidR="00D30983" w:rsidRPr="00D9348B" w:rsidRDefault="00D30983" w:rsidP="00D30983">
      <w:pPr>
        <w:pStyle w:val="BodyText"/>
      </w:pPr>
      <w:r w:rsidRPr="00D9348B">
        <w:t>For all non-MDI aerosol products using HFC propellant, the average propellant charge is assessed to be 84 grams of HFC-134a.</w:t>
      </w:r>
    </w:p>
    <w:p w14:paraId="158086B4" w14:textId="77777777" w:rsidR="00D30983" w:rsidRPr="00D9348B" w:rsidRDefault="00D30983" w:rsidP="00865BDB">
      <w:pPr>
        <w:pStyle w:val="Heading4"/>
      </w:pPr>
      <w:r w:rsidRPr="00D9348B">
        <w:t>Choice of methods</w:t>
      </w:r>
    </w:p>
    <w:p w14:paraId="7EBC57A4" w14:textId="77777777" w:rsidR="00D30983" w:rsidRPr="00D9348B" w:rsidRDefault="00D30983" w:rsidP="00D30983">
      <w:pPr>
        <w:pStyle w:val="Heading5"/>
        <w:spacing w:before="120"/>
      </w:pPr>
      <w:r w:rsidRPr="00D9348B">
        <w:t>Refrigeration and air conditioning (2.F.1)</w:t>
      </w:r>
    </w:p>
    <w:p w14:paraId="1A7B2DE2" w14:textId="77777777" w:rsidR="00D30983" w:rsidRPr="00D9348B" w:rsidRDefault="00D30983" w:rsidP="00D30983">
      <w:pPr>
        <w:pStyle w:val="BodyText"/>
      </w:pPr>
      <w:r w:rsidRPr="00D9348B">
        <w:t xml:space="preserve">The Tier 2b mass balance approach is used to estimate emissions from the </w:t>
      </w:r>
      <w:r w:rsidRPr="00D9348B">
        <w:rPr>
          <w:i/>
        </w:rPr>
        <w:t>Refrigeration and air conditioning</w:t>
      </w:r>
      <w:r w:rsidRPr="00D9348B">
        <w:t xml:space="preserve"> source category. This method is used because quite complete and accurate data are available on bulk imports of the refrigerants used for these applications. The alternative Tier 2a approach would require bottom-up data on the charges, leakage rates and population of a great variety of equipment items. This information is not available. </w:t>
      </w:r>
    </w:p>
    <w:p w14:paraId="029C01F6" w14:textId="77777777" w:rsidR="00D30983" w:rsidRPr="00D9348B" w:rsidRDefault="00D30983" w:rsidP="00D30983">
      <w:pPr>
        <w:pStyle w:val="BodyText"/>
      </w:pPr>
      <w:r w:rsidRPr="00D9348B">
        <w:t xml:space="preserve">The mass balance approach uses equation 7.9 in the IPCC Guidelines (2006a) (box 4.2). </w:t>
      </w:r>
    </w:p>
    <w:p w14:paraId="3603D917" w14:textId="77777777" w:rsidR="00D30983" w:rsidRPr="00D9348B" w:rsidRDefault="00D30983" w:rsidP="00D30983">
      <w:pPr>
        <w:pStyle w:val="BodyText"/>
        <w:keepNext/>
        <w:rPr>
          <w:rFonts w:cs="Calibri"/>
          <w:i/>
          <w:sz w:val="20"/>
        </w:rPr>
      </w:pPr>
      <w:r w:rsidRPr="00D9348B">
        <w:rPr>
          <w:rFonts w:cs="Calibri"/>
          <w:b/>
          <w:i/>
          <w:sz w:val="18"/>
          <w:szCs w:val="18"/>
        </w:rPr>
        <w:t>Box 4.2</w:t>
      </w:r>
    </w:p>
    <w:p w14:paraId="4CAC0CF7" w14:textId="77777777" w:rsidR="00D30983" w:rsidRPr="00D9348B" w:rsidRDefault="00D30983" w:rsidP="00D30983">
      <w:pPr>
        <w:pStyle w:val="BoxHeading"/>
        <w:keepNext/>
        <w:ind w:left="284"/>
        <w:jc w:val="center"/>
        <w:rPr>
          <w:sz w:val="18"/>
          <w:lang w:eastAsia="en-GB"/>
        </w:rPr>
      </w:pPr>
      <w:r w:rsidRPr="00D9348B">
        <w:rPr>
          <w:sz w:val="18"/>
          <w:lang w:eastAsia="en-GB"/>
        </w:rPr>
        <w:t>IPCC (2006a) equation 7.9</w:t>
      </w:r>
    </w:p>
    <w:p w14:paraId="7F7A46C1" w14:textId="77777777" w:rsidR="00D30983" w:rsidRPr="00D9348B" w:rsidRDefault="00D30983" w:rsidP="00D30983">
      <w:pPr>
        <w:pStyle w:val="Box"/>
        <w:ind w:left="284"/>
        <w:jc w:val="center"/>
        <w:rPr>
          <w:sz w:val="16"/>
          <w:lang w:eastAsia="en-GB"/>
        </w:rPr>
      </w:pPr>
      <w:r w:rsidRPr="00D9348B">
        <w:rPr>
          <w:b/>
          <w:sz w:val="16"/>
          <w:lang w:eastAsia="en-GB"/>
        </w:rPr>
        <w:t xml:space="preserve">Emissions </w:t>
      </w:r>
      <w:r w:rsidRPr="00D9348B">
        <w:rPr>
          <w:sz w:val="16"/>
          <w:lang w:eastAsia="en-GB"/>
        </w:rPr>
        <w:t>= Annual Sales of New Refrigerant ― Total Charge of New Equipment + Original Total Charge of Retiring Equipment ― Amount of Intentional Destruction</w:t>
      </w:r>
    </w:p>
    <w:p w14:paraId="10F950F4" w14:textId="77777777" w:rsidR="00D30983" w:rsidRPr="00D9348B" w:rsidRDefault="00D30983" w:rsidP="00D30983">
      <w:pPr>
        <w:pStyle w:val="BodyText"/>
        <w:spacing w:before="240"/>
      </w:pPr>
      <w:r w:rsidRPr="00D9348B">
        <w:t xml:space="preserve">Spreadsheet models have been used to represent the refrigerant consumption and banks. Estimates have been made for the six sub-applications: household refrigeration, commercial refrigeration, industrial refrigeration, transport refrigeration, stationary air conditioning and mobile air conditioning. </w:t>
      </w:r>
    </w:p>
    <w:p w14:paraId="47A3576A" w14:textId="77777777" w:rsidR="00D30983" w:rsidRPr="00D9348B" w:rsidRDefault="00D30983" w:rsidP="00D608D5">
      <w:pPr>
        <w:pStyle w:val="BodyText"/>
        <w:spacing w:before="100" w:after="100"/>
      </w:pPr>
      <w:r w:rsidRPr="00D9348B">
        <w:lastRenderedPageBreak/>
        <w:t xml:space="preserve">There is no facility for the intentional destruction of HFCs or PFCs from this application in New Zealand. Some HFCs are exported for destruction in Australia, and the amounts recovered for destruction are reported. </w:t>
      </w:r>
    </w:p>
    <w:p w14:paraId="605D4EE1" w14:textId="77777777" w:rsidR="00D30983" w:rsidRPr="00D9348B" w:rsidRDefault="00D30983" w:rsidP="00D608D5">
      <w:pPr>
        <w:pStyle w:val="BodyText"/>
        <w:spacing w:before="100" w:after="100"/>
      </w:pPr>
      <w:r w:rsidRPr="00D9348B">
        <w:t xml:space="preserve">Table 4.7.2 summarises the methodological tiers that are used for each sub-application. </w:t>
      </w:r>
    </w:p>
    <w:p w14:paraId="76A7F19D" w14:textId="77777777" w:rsidR="00D30983" w:rsidRPr="00D9348B" w:rsidRDefault="00D30983" w:rsidP="00D30983">
      <w:pPr>
        <w:pStyle w:val="Table"/>
      </w:pPr>
      <w:bookmarkStart w:id="533" w:name="_Toc36224540"/>
      <w:r w:rsidRPr="00D9348B">
        <w:t>Table 4.7.2</w:t>
      </w:r>
      <w:r w:rsidRPr="00D9348B">
        <w:tab/>
        <w:t>Summary of methodological tiers by sub-application</w:t>
      </w:r>
      <w:bookmarkEnd w:id="533"/>
    </w:p>
    <w:tbl>
      <w:tblPr>
        <w:tblW w:w="8562" w:type="dxa"/>
        <w:tblInd w:w="108" w:type="dxa"/>
        <w:tblBorders>
          <w:top w:val="single" w:sz="6" w:space="0" w:color="365F91"/>
          <w:bottom w:val="single" w:sz="6" w:space="0" w:color="365F91"/>
          <w:insideH w:val="single" w:sz="6" w:space="0" w:color="365F91"/>
        </w:tblBorders>
        <w:tblLook w:val="04A0" w:firstRow="1" w:lastRow="0" w:firstColumn="1" w:lastColumn="0" w:noHBand="0" w:noVBand="1"/>
      </w:tblPr>
      <w:tblGrid>
        <w:gridCol w:w="3261"/>
        <w:gridCol w:w="2390"/>
        <w:gridCol w:w="2911"/>
      </w:tblGrid>
      <w:tr w:rsidR="00D30983" w:rsidRPr="00D9348B" w14:paraId="2245A5F9" w14:textId="77777777" w:rsidTr="008C7C6D">
        <w:tc>
          <w:tcPr>
            <w:tcW w:w="3261" w:type="dxa"/>
            <w:tcBorders>
              <w:top w:val="single" w:sz="4" w:space="0" w:color="365F91"/>
              <w:left w:val="nil"/>
              <w:bottom w:val="single" w:sz="4" w:space="0" w:color="365F91"/>
              <w:right w:val="nil"/>
            </w:tcBorders>
            <w:shd w:val="clear" w:color="auto" w:fill="365F91"/>
            <w:hideMark/>
          </w:tcPr>
          <w:p w14:paraId="23ED191C" w14:textId="77777777" w:rsidR="00D30983" w:rsidRPr="00D9348B" w:rsidRDefault="00D30983" w:rsidP="00D608D5">
            <w:pPr>
              <w:pStyle w:val="TableTextBold"/>
              <w:spacing w:before="50"/>
              <w:rPr>
                <w:noProof w:val="0"/>
                <w:color w:val="FFFFFF"/>
              </w:rPr>
            </w:pPr>
            <w:r w:rsidRPr="00D9348B">
              <w:rPr>
                <w:noProof w:val="0"/>
                <w:color w:val="FFFFFF"/>
              </w:rPr>
              <w:t>Sub-application</w:t>
            </w:r>
          </w:p>
        </w:tc>
        <w:tc>
          <w:tcPr>
            <w:tcW w:w="2390" w:type="dxa"/>
            <w:tcBorders>
              <w:top w:val="single" w:sz="4" w:space="0" w:color="365F91"/>
              <w:left w:val="nil"/>
              <w:bottom w:val="single" w:sz="4" w:space="0" w:color="365F91"/>
              <w:right w:val="nil"/>
            </w:tcBorders>
            <w:shd w:val="clear" w:color="auto" w:fill="365F91"/>
            <w:hideMark/>
          </w:tcPr>
          <w:p w14:paraId="59E9116D" w14:textId="77777777" w:rsidR="00D30983" w:rsidRPr="00D9348B" w:rsidRDefault="00D30983" w:rsidP="00D608D5">
            <w:pPr>
              <w:pStyle w:val="TableTextBold"/>
              <w:spacing w:before="50"/>
              <w:rPr>
                <w:noProof w:val="0"/>
                <w:color w:val="FFFFFF"/>
              </w:rPr>
            </w:pPr>
            <w:r w:rsidRPr="00D9348B">
              <w:rPr>
                <w:noProof w:val="0"/>
                <w:color w:val="FFFFFF"/>
              </w:rPr>
              <w:t>Chemical</w:t>
            </w:r>
          </w:p>
        </w:tc>
        <w:tc>
          <w:tcPr>
            <w:tcW w:w="2911" w:type="dxa"/>
            <w:tcBorders>
              <w:top w:val="single" w:sz="4" w:space="0" w:color="365F91"/>
              <w:left w:val="nil"/>
              <w:bottom w:val="single" w:sz="4" w:space="0" w:color="365F91"/>
              <w:right w:val="nil"/>
            </w:tcBorders>
            <w:shd w:val="clear" w:color="auto" w:fill="365F91"/>
            <w:hideMark/>
          </w:tcPr>
          <w:p w14:paraId="5D4E5CA9" w14:textId="77777777" w:rsidR="00D30983" w:rsidRPr="00D9348B" w:rsidRDefault="00D30983" w:rsidP="00D608D5">
            <w:pPr>
              <w:pStyle w:val="TableTextBold"/>
              <w:spacing w:before="50"/>
              <w:rPr>
                <w:noProof w:val="0"/>
                <w:color w:val="FFFFFF"/>
              </w:rPr>
            </w:pPr>
            <w:r w:rsidRPr="00D9348B">
              <w:rPr>
                <w:noProof w:val="0"/>
                <w:color w:val="FFFFFF"/>
              </w:rPr>
              <w:t>Method used (Tier)</w:t>
            </w:r>
          </w:p>
        </w:tc>
      </w:tr>
      <w:tr w:rsidR="00D30983" w:rsidRPr="00D9348B" w14:paraId="681C9169" w14:textId="77777777" w:rsidTr="008C7C6D">
        <w:tc>
          <w:tcPr>
            <w:tcW w:w="3261" w:type="dxa"/>
            <w:tcBorders>
              <w:top w:val="single" w:sz="4" w:space="0" w:color="365F91"/>
              <w:left w:val="nil"/>
              <w:bottom w:val="single" w:sz="4" w:space="0" w:color="365F91"/>
              <w:right w:val="nil"/>
            </w:tcBorders>
            <w:shd w:val="clear" w:color="auto" w:fill="FFFFFF"/>
            <w:hideMark/>
          </w:tcPr>
          <w:p w14:paraId="64FD0E7B" w14:textId="77777777" w:rsidR="00D30983" w:rsidRPr="00D9348B" w:rsidRDefault="00D30983" w:rsidP="00D608D5">
            <w:pPr>
              <w:pStyle w:val="TableText"/>
              <w:spacing w:before="50"/>
            </w:pPr>
            <w:r w:rsidRPr="00D9348B">
              <w:t>Household refrigeration</w:t>
            </w:r>
          </w:p>
        </w:tc>
        <w:tc>
          <w:tcPr>
            <w:tcW w:w="2390" w:type="dxa"/>
            <w:tcBorders>
              <w:top w:val="single" w:sz="4" w:space="0" w:color="365F91"/>
              <w:left w:val="nil"/>
              <w:bottom w:val="single" w:sz="4" w:space="0" w:color="365F91"/>
              <w:right w:val="nil"/>
            </w:tcBorders>
            <w:shd w:val="clear" w:color="auto" w:fill="FFFFFF"/>
            <w:hideMark/>
          </w:tcPr>
          <w:p w14:paraId="5B217A65" w14:textId="77777777" w:rsidR="00D30983" w:rsidRPr="00D9348B" w:rsidRDefault="00D30983" w:rsidP="00D608D5">
            <w:pPr>
              <w:pStyle w:val="TableText"/>
              <w:spacing w:before="50"/>
            </w:pPr>
            <w:r w:rsidRPr="00D9348B">
              <w:t>HFC-134a</w:t>
            </w:r>
          </w:p>
        </w:tc>
        <w:tc>
          <w:tcPr>
            <w:tcW w:w="2911" w:type="dxa"/>
            <w:tcBorders>
              <w:top w:val="single" w:sz="4" w:space="0" w:color="365F91"/>
              <w:left w:val="nil"/>
              <w:bottom w:val="single" w:sz="4" w:space="0" w:color="365F91"/>
              <w:right w:val="nil"/>
            </w:tcBorders>
            <w:shd w:val="clear" w:color="auto" w:fill="FFFFFF"/>
            <w:hideMark/>
          </w:tcPr>
          <w:p w14:paraId="2E615C3E" w14:textId="77777777" w:rsidR="00D30983" w:rsidRPr="00D9348B" w:rsidRDefault="00D30983" w:rsidP="00D608D5">
            <w:pPr>
              <w:pStyle w:val="TableText"/>
              <w:spacing w:before="50"/>
            </w:pPr>
            <w:r w:rsidRPr="00D9348B">
              <w:t>2a</w:t>
            </w:r>
          </w:p>
        </w:tc>
      </w:tr>
      <w:tr w:rsidR="00D30983" w:rsidRPr="00D9348B" w14:paraId="6CA75CCA" w14:textId="77777777" w:rsidTr="008C7C6D">
        <w:tc>
          <w:tcPr>
            <w:tcW w:w="3261" w:type="dxa"/>
            <w:vMerge w:val="restart"/>
            <w:tcBorders>
              <w:top w:val="single" w:sz="4" w:space="0" w:color="365F91"/>
              <w:left w:val="nil"/>
              <w:right w:val="nil"/>
            </w:tcBorders>
            <w:shd w:val="clear" w:color="auto" w:fill="FFFFFF"/>
          </w:tcPr>
          <w:p w14:paraId="2B034FA6" w14:textId="77777777" w:rsidR="00D30983" w:rsidRPr="00D9348B" w:rsidRDefault="00D30983" w:rsidP="00D608D5">
            <w:pPr>
              <w:pStyle w:val="TableText"/>
              <w:spacing w:before="50"/>
            </w:pPr>
            <w:r w:rsidRPr="00D9348B">
              <w:t>Commercial refrigeration</w:t>
            </w:r>
          </w:p>
        </w:tc>
        <w:tc>
          <w:tcPr>
            <w:tcW w:w="2390" w:type="dxa"/>
            <w:tcBorders>
              <w:top w:val="single" w:sz="4" w:space="0" w:color="365F91"/>
              <w:left w:val="nil"/>
              <w:bottom w:val="single" w:sz="4" w:space="0" w:color="365F91"/>
              <w:right w:val="nil"/>
            </w:tcBorders>
            <w:shd w:val="clear" w:color="auto" w:fill="FFFFFF"/>
          </w:tcPr>
          <w:p w14:paraId="3913595D" w14:textId="77777777" w:rsidR="00D30983" w:rsidRPr="00D9348B" w:rsidRDefault="00D30983" w:rsidP="00D608D5">
            <w:pPr>
              <w:pStyle w:val="TableText"/>
              <w:spacing w:before="50"/>
            </w:pPr>
            <w:r w:rsidRPr="00D9348B">
              <w:t>HFC-32</w:t>
            </w:r>
          </w:p>
        </w:tc>
        <w:tc>
          <w:tcPr>
            <w:tcW w:w="2911" w:type="dxa"/>
            <w:tcBorders>
              <w:top w:val="single" w:sz="4" w:space="0" w:color="365F91"/>
              <w:left w:val="nil"/>
              <w:bottom w:val="single" w:sz="4" w:space="0" w:color="365F91"/>
              <w:right w:val="nil"/>
            </w:tcBorders>
            <w:shd w:val="clear" w:color="auto" w:fill="FFFFFF"/>
          </w:tcPr>
          <w:p w14:paraId="36581842" w14:textId="77777777" w:rsidR="00D30983" w:rsidRPr="00D9348B" w:rsidRDefault="00D30983" w:rsidP="00D608D5">
            <w:pPr>
              <w:pStyle w:val="TableText"/>
              <w:spacing w:before="50"/>
            </w:pPr>
            <w:r w:rsidRPr="00D9348B">
              <w:t>2a</w:t>
            </w:r>
          </w:p>
        </w:tc>
      </w:tr>
      <w:tr w:rsidR="00D30983" w:rsidRPr="00D9348B" w14:paraId="4A3C77F4" w14:textId="77777777" w:rsidTr="008C7C6D">
        <w:tc>
          <w:tcPr>
            <w:tcW w:w="3261" w:type="dxa"/>
            <w:vMerge/>
            <w:tcBorders>
              <w:left w:val="nil"/>
              <w:right w:val="nil"/>
            </w:tcBorders>
            <w:shd w:val="clear" w:color="auto" w:fill="FFFFFF"/>
          </w:tcPr>
          <w:p w14:paraId="6B9F8FCA" w14:textId="77777777" w:rsidR="00D30983" w:rsidRPr="00D9348B" w:rsidRDefault="00D30983" w:rsidP="00D608D5">
            <w:pPr>
              <w:pStyle w:val="TableText"/>
              <w:spacing w:before="50"/>
            </w:pPr>
          </w:p>
        </w:tc>
        <w:tc>
          <w:tcPr>
            <w:tcW w:w="2390" w:type="dxa"/>
            <w:tcBorders>
              <w:top w:val="single" w:sz="4" w:space="0" w:color="365F91"/>
              <w:left w:val="nil"/>
              <w:bottom w:val="single" w:sz="4" w:space="0" w:color="365F91"/>
              <w:right w:val="nil"/>
            </w:tcBorders>
            <w:shd w:val="clear" w:color="auto" w:fill="FFFFFF"/>
          </w:tcPr>
          <w:p w14:paraId="635C337D" w14:textId="77777777" w:rsidR="00D30983" w:rsidRPr="00D9348B" w:rsidRDefault="00D30983" w:rsidP="00D608D5">
            <w:pPr>
              <w:pStyle w:val="TableText"/>
              <w:spacing w:before="50"/>
            </w:pPr>
            <w:r w:rsidRPr="00D9348B">
              <w:t>HFC-125</w:t>
            </w:r>
          </w:p>
        </w:tc>
        <w:tc>
          <w:tcPr>
            <w:tcW w:w="2911" w:type="dxa"/>
            <w:tcBorders>
              <w:top w:val="single" w:sz="4" w:space="0" w:color="365F91"/>
              <w:left w:val="nil"/>
              <w:bottom w:val="single" w:sz="4" w:space="0" w:color="365F91"/>
              <w:right w:val="nil"/>
            </w:tcBorders>
            <w:shd w:val="clear" w:color="auto" w:fill="FFFFFF"/>
          </w:tcPr>
          <w:p w14:paraId="63302D08" w14:textId="77777777" w:rsidR="00D30983" w:rsidRPr="00D9348B" w:rsidRDefault="00D30983" w:rsidP="00D608D5">
            <w:pPr>
              <w:pStyle w:val="TableText"/>
              <w:spacing w:before="50"/>
            </w:pPr>
            <w:r w:rsidRPr="00D9348B">
              <w:t xml:space="preserve">2b to 2006, 2a for 2007–18 </w:t>
            </w:r>
          </w:p>
        </w:tc>
      </w:tr>
      <w:tr w:rsidR="00D30983" w:rsidRPr="00D9348B" w14:paraId="529FA74C" w14:textId="77777777" w:rsidTr="008C7C6D">
        <w:tc>
          <w:tcPr>
            <w:tcW w:w="3261" w:type="dxa"/>
            <w:vMerge/>
            <w:tcBorders>
              <w:left w:val="nil"/>
              <w:right w:val="nil"/>
            </w:tcBorders>
            <w:shd w:val="clear" w:color="auto" w:fill="FFFFFF"/>
          </w:tcPr>
          <w:p w14:paraId="0CD2A2A3" w14:textId="77777777" w:rsidR="00D30983" w:rsidRPr="00D9348B" w:rsidRDefault="00D30983" w:rsidP="00D608D5">
            <w:pPr>
              <w:pStyle w:val="TableText"/>
              <w:spacing w:before="50"/>
            </w:pPr>
          </w:p>
        </w:tc>
        <w:tc>
          <w:tcPr>
            <w:tcW w:w="2390" w:type="dxa"/>
            <w:tcBorders>
              <w:top w:val="single" w:sz="4" w:space="0" w:color="365F91"/>
              <w:left w:val="nil"/>
              <w:bottom w:val="single" w:sz="4" w:space="0" w:color="365F91"/>
              <w:right w:val="nil"/>
            </w:tcBorders>
            <w:shd w:val="clear" w:color="auto" w:fill="FFFFFF"/>
          </w:tcPr>
          <w:p w14:paraId="07B5F646" w14:textId="77777777" w:rsidR="00D30983" w:rsidRPr="00D9348B" w:rsidRDefault="00D30983" w:rsidP="00D608D5">
            <w:pPr>
              <w:pStyle w:val="TableText"/>
              <w:spacing w:before="50"/>
            </w:pPr>
            <w:r w:rsidRPr="00D9348B">
              <w:t>HFC-134a</w:t>
            </w:r>
          </w:p>
        </w:tc>
        <w:tc>
          <w:tcPr>
            <w:tcW w:w="2911" w:type="dxa"/>
            <w:tcBorders>
              <w:top w:val="single" w:sz="4" w:space="0" w:color="365F91"/>
              <w:left w:val="nil"/>
              <w:bottom w:val="single" w:sz="4" w:space="0" w:color="365F91"/>
              <w:right w:val="nil"/>
            </w:tcBorders>
            <w:shd w:val="clear" w:color="auto" w:fill="FFFFFF"/>
          </w:tcPr>
          <w:p w14:paraId="6AB5919A" w14:textId="77777777" w:rsidR="00D30983" w:rsidRPr="00D9348B" w:rsidRDefault="00D30983" w:rsidP="00D608D5">
            <w:pPr>
              <w:pStyle w:val="TableText"/>
              <w:spacing w:before="50"/>
            </w:pPr>
            <w:r w:rsidRPr="00D9348B">
              <w:t>2a</w:t>
            </w:r>
          </w:p>
        </w:tc>
      </w:tr>
      <w:tr w:rsidR="00D30983" w:rsidRPr="00D9348B" w14:paraId="34750A6B" w14:textId="77777777" w:rsidTr="008C7C6D">
        <w:tc>
          <w:tcPr>
            <w:tcW w:w="3261" w:type="dxa"/>
            <w:vMerge/>
            <w:tcBorders>
              <w:left w:val="nil"/>
              <w:bottom w:val="single" w:sz="4" w:space="0" w:color="365F91"/>
              <w:right w:val="nil"/>
            </w:tcBorders>
            <w:shd w:val="clear" w:color="auto" w:fill="FFFFFF"/>
          </w:tcPr>
          <w:p w14:paraId="51E1ED18" w14:textId="77777777" w:rsidR="00D30983" w:rsidRPr="00D9348B" w:rsidRDefault="00D30983" w:rsidP="00D608D5">
            <w:pPr>
              <w:pStyle w:val="TableText"/>
              <w:spacing w:before="50"/>
            </w:pPr>
          </w:p>
        </w:tc>
        <w:tc>
          <w:tcPr>
            <w:tcW w:w="2390" w:type="dxa"/>
            <w:tcBorders>
              <w:top w:val="single" w:sz="4" w:space="0" w:color="365F91"/>
              <w:left w:val="nil"/>
              <w:bottom w:val="single" w:sz="4" w:space="0" w:color="365F91"/>
              <w:right w:val="nil"/>
            </w:tcBorders>
            <w:shd w:val="clear" w:color="auto" w:fill="FFFFFF"/>
          </w:tcPr>
          <w:p w14:paraId="63518D6E" w14:textId="77777777" w:rsidR="00D30983" w:rsidRPr="00D9348B" w:rsidRDefault="00D30983" w:rsidP="00D608D5">
            <w:pPr>
              <w:pStyle w:val="TableText"/>
              <w:spacing w:before="50"/>
            </w:pPr>
            <w:r w:rsidRPr="00D9348B">
              <w:t>HFC-143a</w:t>
            </w:r>
          </w:p>
        </w:tc>
        <w:tc>
          <w:tcPr>
            <w:tcW w:w="2911" w:type="dxa"/>
            <w:tcBorders>
              <w:top w:val="single" w:sz="4" w:space="0" w:color="365F91"/>
              <w:left w:val="nil"/>
              <w:bottom w:val="single" w:sz="4" w:space="0" w:color="365F91"/>
              <w:right w:val="nil"/>
            </w:tcBorders>
            <w:shd w:val="clear" w:color="auto" w:fill="FFFFFF"/>
          </w:tcPr>
          <w:p w14:paraId="4AAB9B63" w14:textId="77777777" w:rsidR="00D30983" w:rsidRPr="00D9348B" w:rsidRDefault="00D30983" w:rsidP="00D608D5">
            <w:pPr>
              <w:pStyle w:val="TableText"/>
              <w:spacing w:before="50"/>
            </w:pPr>
            <w:r w:rsidRPr="00D9348B">
              <w:t>2b</w:t>
            </w:r>
          </w:p>
        </w:tc>
      </w:tr>
      <w:tr w:rsidR="00D30983" w:rsidRPr="00D9348B" w14:paraId="1A7F9D13" w14:textId="77777777" w:rsidTr="008C7C6D">
        <w:tc>
          <w:tcPr>
            <w:tcW w:w="3261" w:type="dxa"/>
            <w:vMerge w:val="restart"/>
            <w:tcBorders>
              <w:top w:val="single" w:sz="4" w:space="0" w:color="365F91"/>
              <w:left w:val="nil"/>
              <w:right w:val="nil"/>
            </w:tcBorders>
            <w:shd w:val="clear" w:color="auto" w:fill="FFFFFF"/>
          </w:tcPr>
          <w:p w14:paraId="091D8277" w14:textId="77777777" w:rsidR="00D30983" w:rsidRPr="00D9348B" w:rsidRDefault="00D30983" w:rsidP="00D608D5">
            <w:pPr>
              <w:pStyle w:val="TableText"/>
              <w:spacing w:before="50"/>
            </w:pPr>
            <w:r w:rsidRPr="00D9348B">
              <w:t>Industrial refrigeration</w:t>
            </w:r>
          </w:p>
        </w:tc>
        <w:tc>
          <w:tcPr>
            <w:tcW w:w="2390" w:type="dxa"/>
            <w:tcBorders>
              <w:top w:val="single" w:sz="4" w:space="0" w:color="365F91"/>
              <w:left w:val="nil"/>
              <w:bottom w:val="single" w:sz="4" w:space="0" w:color="365F91"/>
              <w:right w:val="nil"/>
            </w:tcBorders>
            <w:shd w:val="clear" w:color="auto" w:fill="FFFFFF"/>
          </w:tcPr>
          <w:p w14:paraId="4C22CFAB" w14:textId="77777777" w:rsidR="00D30983" w:rsidRPr="00D9348B" w:rsidRDefault="00D30983" w:rsidP="00D608D5">
            <w:pPr>
              <w:pStyle w:val="TableText"/>
              <w:spacing w:before="50"/>
            </w:pPr>
            <w:r w:rsidRPr="00D9348B">
              <w:t>HFC-32</w:t>
            </w:r>
          </w:p>
        </w:tc>
        <w:tc>
          <w:tcPr>
            <w:tcW w:w="2911" w:type="dxa"/>
            <w:tcBorders>
              <w:top w:val="single" w:sz="4" w:space="0" w:color="365F91"/>
              <w:left w:val="nil"/>
              <w:bottom w:val="single" w:sz="4" w:space="0" w:color="365F91"/>
              <w:right w:val="nil"/>
            </w:tcBorders>
            <w:shd w:val="clear" w:color="auto" w:fill="FFFFFF"/>
          </w:tcPr>
          <w:p w14:paraId="6E85B50D" w14:textId="77777777" w:rsidR="00D30983" w:rsidRPr="00D9348B" w:rsidRDefault="00D30983" w:rsidP="00D608D5">
            <w:pPr>
              <w:pStyle w:val="TableText"/>
              <w:spacing w:before="50"/>
            </w:pPr>
            <w:r w:rsidRPr="00D9348B">
              <w:t>2a</w:t>
            </w:r>
          </w:p>
        </w:tc>
      </w:tr>
      <w:tr w:rsidR="00D30983" w:rsidRPr="00D9348B" w14:paraId="7112970C" w14:textId="77777777" w:rsidTr="008C7C6D">
        <w:tc>
          <w:tcPr>
            <w:tcW w:w="3261" w:type="dxa"/>
            <w:vMerge/>
            <w:tcBorders>
              <w:left w:val="nil"/>
              <w:right w:val="nil"/>
            </w:tcBorders>
            <w:shd w:val="clear" w:color="auto" w:fill="FFFFFF"/>
          </w:tcPr>
          <w:p w14:paraId="2CB9A45E" w14:textId="77777777" w:rsidR="00D30983" w:rsidRPr="00D9348B" w:rsidRDefault="00D30983" w:rsidP="00D608D5">
            <w:pPr>
              <w:pStyle w:val="TableText"/>
              <w:spacing w:before="50"/>
            </w:pPr>
          </w:p>
        </w:tc>
        <w:tc>
          <w:tcPr>
            <w:tcW w:w="2390" w:type="dxa"/>
            <w:tcBorders>
              <w:top w:val="single" w:sz="4" w:space="0" w:color="365F91"/>
              <w:left w:val="nil"/>
              <w:bottom w:val="single" w:sz="4" w:space="0" w:color="365F91"/>
              <w:right w:val="nil"/>
            </w:tcBorders>
            <w:shd w:val="clear" w:color="auto" w:fill="FFFFFF"/>
          </w:tcPr>
          <w:p w14:paraId="68E3620B" w14:textId="77777777" w:rsidR="00D30983" w:rsidRPr="00D9348B" w:rsidRDefault="00D30983" w:rsidP="00D608D5">
            <w:pPr>
              <w:pStyle w:val="TableText"/>
              <w:spacing w:before="50"/>
            </w:pPr>
            <w:r w:rsidRPr="00D9348B">
              <w:t>HFC-125</w:t>
            </w:r>
          </w:p>
        </w:tc>
        <w:tc>
          <w:tcPr>
            <w:tcW w:w="2911" w:type="dxa"/>
            <w:tcBorders>
              <w:top w:val="single" w:sz="4" w:space="0" w:color="365F91"/>
              <w:left w:val="nil"/>
              <w:bottom w:val="single" w:sz="4" w:space="0" w:color="365F91"/>
              <w:right w:val="nil"/>
            </w:tcBorders>
            <w:shd w:val="clear" w:color="auto" w:fill="FFFFFF"/>
          </w:tcPr>
          <w:p w14:paraId="76352D2A" w14:textId="77777777" w:rsidR="00D30983" w:rsidRPr="00D9348B" w:rsidRDefault="00D30983" w:rsidP="00D608D5">
            <w:pPr>
              <w:pStyle w:val="TableText"/>
              <w:spacing w:before="50"/>
            </w:pPr>
            <w:r w:rsidRPr="00D9348B">
              <w:t>2a</w:t>
            </w:r>
          </w:p>
        </w:tc>
      </w:tr>
      <w:tr w:rsidR="00D30983" w:rsidRPr="00D9348B" w14:paraId="164ABFBF" w14:textId="77777777" w:rsidTr="008C7C6D">
        <w:tc>
          <w:tcPr>
            <w:tcW w:w="3261" w:type="dxa"/>
            <w:vMerge/>
            <w:tcBorders>
              <w:left w:val="nil"/>
              <w:right w:val="nil"/>
            </w:tcBorders>
            <w:shd w:val="clear" w:color="auto" w:fill="FFFFFF"/>
          </w:tcPr>
          <w:p w14:paraId="71398BB0" w14:textId="77777777" w:rsidR="00D30983" w:rsidRPr="00D9348B" w:rsidRDefault="00D30983" w:rsidP="00D608D5">
            <w:pPr>
              <w:pStyle w:val="TableText"/>
              <w:spacing w:before="50"/>
            </w:pPr>
          </w:p>
        </w:tc>
        <w:tc>
          <w:tcPr>
            <w:tcW w:w="2390" w:type="dxa"/>
            <w:tcBorders>
              <w:top w:val="single" w:sz="4" w:space="0" w:color="365F91"/>
              <w:left w:val="nil"/>
              <w:bottom w:val="single" w:sz="4" w:space="0" w:color="365F91"/>
              <w:right w:val="nil"/>
            </w:tcBorders>
            <w:shd w:val="clear" w:color="auto" w:fill="FFFFFF"/>
          </w:tcPr>
          <w:p w14:paraId="47B0C12B" w14:textId="77777777" w:rsidR="00D30983" w:rsidRPr="00D9348B" w:rsidRDefault="00D30983" w:rsidP="00D608D5">
            <w:pPr>
              <w:pStyle w:val="TableText"/>
              <w:spacing w:before="50"/>
            </w:pPr>
            <w:r w:rsidRPr="00D9348B">
              <w:t>HFC-134a</w:t>
            </w:r>
          </w:p>
        </w:tc>
        <w:tc>
          <w:tcPr>
            <w:tcW w:w="2911" w:type="dxa"/>
            <w:tcBorders>
              <w:top w:val="single" w:sz="4" w:space="0" w:color="365F91"/>
              <w:left w:val="nil"/>
              <w:bottom w:val="single" w:sz="4" w:space="0" w:color="365F91"/>
              <w:right w:val="nil"/>
            </w:tcBorders>
            <w:shd w:val="clear" w:color="auto" w:fill="FFFFFF"/>
          </w:tcPr>
          <w:p w14:paraId="62EF6D8E" w14:textId="77777777" w:rsidR="00D30983" w:rsidRPr="00D9348B" w:rsidRDefault="00D30983" w:rsidP="00D608D5">
            <w:pPr>
              <w:pStyle w:val="TableText"/>
              <w:spacing w:before="50"/>
            </w:pPr>
            <w:r w:rsidRPr="00D9348B">
              <w:t>2b</w:t>
            </w:r>
          </w:p>
        </w:tc>
      </w:tr>
      <w:tr w:rsidR="00D30983" w:rsidRPr="00D9348B" w14:paraId="771417E2" w14:textId="77777777" w:rsidTr="008C7C6D">
        <w:tc>
          <w:tcPr>
            <w:tcW w:w="3261" w:type="dxa"/>
            <w:vMerge/>
            <w:tcBorders>
              <w:left w:val="nil"/>
              <w:bottom w:val="single" w:sz="4" w:space="0" w:color="365F91"/>
              <w:right w:val="nil"/>
            </w:tcBorders>
            <w:shd w:val="clear" w:color="auto" w:fill="FFFFFF"/>
          </w:tcPr>
          <w:p w14:paraId="4CAAD016" w14:textId="77777777" w:rsidR="00D30983" w:rsidRPr="00D9348B" w:rsidRDefault="00D30983" w:rsidP="00D608D5">
            <w:pPr>
              <w:pStyle w:val="TableText"/>
              <w:spacing w:before="50"/>
            </w:pPr>
          </w:p>
        </w:tc>
        <w:tc>
          <w:tcPr>
            <w:tcW w:w="2390" w:type="dxa"/>
            <w:tcBorders>
              <w:top w:val="single" w:sz="4" w:space="0" w:color="365F91"/>
              <w:left w:val="nil"/>
              <w:bottom w:val="single" w:sz="4" w:space="0" w:color="365F91"/>
              <w:right w:val="nil"/>
            </w:tcBorders>
            <w:shd w:val="clear" w:color="auto" w:fill="FFFFFF"/>
          </w:tcPr>
          <w:p w14:paraId="4FFDC3B1" w14:textId="77777777" w:rsidR="00D30983" w:rsidRPr="00D9348B" w:rsidRDefault="00D30983" w:rsidP="00D608D5">
            <w:pPr>
              <w:pStyle w:val="TableText"/>
              <w:spacing w:before="50"/>
            </w:pPr>
            <w:r w:rsidRPr="00D9348B">
              <w:t>HFC-143a</w:t>
            </w:r>
          </w:p>
        </w:tc>
        <w:tc>
          <w:tcPr>
            <w:tcW w:w="2911" w:type="dxa"/>
            <w:tcBorders>
              <w:top w:val="single" w:sz="4" w:space="0" w:color="365F91"/>
              <w:left w:val="nil"/>
              <w:bottom w:val="single" w:sz="4" w:space="0" w:color="365F91"/>
              <w:right w:val="nil"/>
            </w:tcBorders>
            <w:shd w:val="clear" w:color="auto" w:fill="FFFFFF"/>
          </w:tcPr>
          <w:p w14:paraId="55494620" w14:textId="77777777" w:rsidR="00D30983" w:rsidRPr="00D9348B" w:rsidRDefault="00D30983" w:rsidP="00D608D5">
            <w:pPr>
              <w:pStyle w:val="TableText"/>
              <w:spacing w:before="50"/>
            </w:pPr>
            <w:r w:rsidRPr="00D9348B">
              <w:t>2a</w:t>
            </w:r>
          </w:p>
        </w:tc>
      </w:tr>
      <w:tr w:rsidR="00D30983" w:rsidRPr="00D9348B" w14:paraId="33452083" w14:textId="77777777" w:rsidTr="008C7C6D">
        <w:tc>
          <w:tcPr>
            <w:tcW w:w="3261" w:type="dxa"/>
            <w:vMerge w:val="restart"/>
            <w:tcBorders>
              <w:top w:val="single" w:sz="4" w:space="0" w:color="365F91"/>
              <w:left w:val="nil"/>
              <w:right w:val="nil"/>
            </w:tcBorders>
            <w:shd w:val="clear" w:color="auto" w:fill="FFFFFF"/>
          </w:tcPr>
          <w:p w14:paraId="58E52645" w14:textId="77777777" w:rsidR="00D30983" w:rsidRPr="00D9348B" w:rsidRDefault="00D30983" w:rsidP="00D608D5">
            <w:pPr>
              <w:pStyle w:val="TableText"/>
              <w:spacing w:before="50"/>
            </w:pPr>
            <w:r w:rsidRPr="00D9348B">
              <w:t>Transport refrigeration</w:t>
            </w:r>
          </w:p>
        </w:tc>
        <w:tc>
          <w:tcPr>
            <w:tcW w:w="2390" w:type="dxa"/>
            <w:tcBorders>
              <w:top w:val="single" w:sz="4" w:space="0" w:color="365F91"/>
              <w:left w:val="nil"/>
              <w:bottom w:val="single" w:sz="4" w:space="0" w:color="365F91"/>
              <w:right w:val="nil"/>
            </w:tcBorders>
            <w:shd w:val="clear" w:color="auto" w:fill="FFFFFF"/>
          </w:tcPr>
          <w:p w14:paraId="69FA17EE" w14:textId="77777777" w:rsidR="00D30983" w:rsidRPr="00D9348B" w:rsidRDefault="00D30983" w:rsidP="00D608D5">
            <w:pPr>
              <w:pStyle w:val="TableText"/>
              <w:spacing w:before="50"/>
            </w:pPr>
            <w:r w:rsidRPr="00D9348B">
              <w:t>HFC-32</w:t>
            </w:r>
          </w:p>
        </w:tc>
        <w:tc>
          <w:tcPr>
            <w:tcW w:w="2911" w:type="dxa"/>
            <w:tcBorders>
              <w:top w:val="single" w:sz="4" w:space="0" w:color="365F91"/>
              <w:left w:val="nil"/>
              <w:bottom w:val="single" w:sz="4" w:space="0" w:color="365F91"/>
              <w:right w:val="nil"/>
            </w:tcBorders>
            <w:shd w:val="clear" w:color="auto" w:fill="FFFFFF"/>
          </w:tcPr>
          <w:p w14:paraId="3A74F0C2" w14:textId="77777777" w:rsidR="00D30983" w:rsidRPr="00D9348B" w:rsidRDefault="00D30983" w:rsidP="00D608D5">
            <w:pPr>
              <w:pStyle w:val="TableText"/>
              <w:spacing w:before="50"/>
            </w:pPr>
            <w:r w:rsidRPr="00D9348B">
              <w:t>2a</w:t>
            </w:r>
          </w:p>
        </w:tc>
      </w:tr>
      <w:tr w:rsidR="00D30983" w:rsidRPr="00D9348B" w14:paraId="07F70071" w14:textId="77777777" w:rsidTr="008C7C6D">
        <w:tc>
          <w:tcPr>
            <w:tcW w:w="3261" w:type="dxa"/>
            <w:vMerge/>
            <w:tcBorders>
              <w:left w:val="nil"/>
              <w:right w:val="nil"/>
            </w:tcBorders>
            <w:shd w:val="clear" w:color="auto" w:fill="FFFFFF"/>
          </w:tcPr>
          <w:p w14:paraId="7DFD19DA" w14:textId="77777777" w:rsidR="00D30983" w:rsidRPr="00D9348B" w:rsidRDefault="00D30983" w:rsidP="00D608D5">
            <w:pPr>
              <w:pStyle w:val="TableText"/>
              <w:spacing w:before="50"/>
            </w:pPr>
          </w:p>
        </w:tc>
        <w:tc>
          <w:tcPr>
            <w:tcW w:w="2390" w:type="dxa"/>
            <w:tcBorders>
              <w:top w:val="single" w:sz="4" w:space="0" w:color="365F91"/>
              <w:left w:val="nil"/>
              <w:bottom w:val="single" w:sz="4" w:space="0" w:color="365F91"/>
              <w:right w:val="nil"/>
            </w:tcBorders>
            <w:shd w:val="clear" w:color="auto" w:fill="FFFFFF"/>
          </w:tcPr>
          <w:p w14:paraId="71D5BF59" w14:textId="77777777" w:rsidR="00D30983" w:rsidRPr="00D9348B" w:rsidRDefault="00D30983" w:rsidP="00D608D5">
            <w:pPr>
              <w:pStyle w:val="TableText"/>
              <w:spacing w:before="50"/>
            </w:pPr>
            <w:r w:rsidRPr="00D9348B">
              <w:t>HFC-125</w:t>
            </w:r>
          </w:p>
        </w:tc>
        <w:tc>
          <w:tcPr>
            <w:tcW w:w="2911" w:type="dxa"/>
            <w:tcBorders>
              <w:top w:val="single" w:sz="4" w:space="0" w:color="365F91"/>
              <w:left w:val="nil"/>
              <w:bottom w:val="single" w:sz="4" w:space="0" w:color="365F91"/>
              <w:right w:val="nil"/>
            </w:tcBorders>
            <w:shd w:val="clear" w:color="auto" w:fill="FFFFFF"/>
          </w:tcPr>
          <w:p w14:paraId="301A9C9D" w14:textId="77777777" w:rsidR="00D30983" w:rsidRPr="00D9348B" w:rsidRDefault="00D30983" w:rsidP="00D608D5">
            <w:pPr>
              <w:pStyle w:val="TableText"/>
              <w:spacing w:before="50"/>
            </w:pPr>
            <w:r w:rsidRPr="00D9348B">
              <w:t>2a</w:t>
            </w:r>
          </w:p>
        </w:tc>
      </w:tr>
      <w:tr w:rsidR="00D30983" w:rsidRPr="00D9348B" w14:paraId="46E84A78" w14:textId="77777777" w:rsidTr="008C7C6D">
        <w:tc>
          <w:tcPr>
            <w:tcW w:w="3261" w:type="dxa"/>
            <w:vMerge/>
            <w:tcBorders>
              <w:left w:val="nil"/>
              <w:right w:val="nil"/>
            </w:tcBorders>
            <w:shd w:val="clear" w:color="auto" w:fill="FFFFFF"/>
          </w:tcPr>
          <w:p w14:paraId="29D89484" w14:textId="77777777" w:rsidR="00D30983" w:rsidRPr="00D9348B" w:rsidRDefault="00D30983" w:rsidP="00D608D5">
            <w:pPr>
              <w:pStyle w:val="TableText"/>
              <w:spacing w:before="50"/>
            </w:pPr>
          </w:p>
        </w:tc>
        <w:tc>
          <w:tcPr>
            <w:tcW w:w="2390" w:type="dxa"/>
            <w:tcBorders>
              <w:top w:val="single" w:sz="4" w:space="0" w:color="365F91"/>
              <w:left w:val="nil"/>
              <w:bottom w:val="single" w:sz="4" w:space="0" w:color="365F91"/>
              <w:right w:val="nil"/>
            </w:tcBorders>
            <w:shd w:val="clear" w:color="auto" w:fill="FFFFFF"/>
          </w:tcPr>
          <w:p w14:paraId="74C65EE5" w14:textId="77777777" w:rsidR="00D30983" w:rsidRPr="00D9348B" w:rsidRDefault="00D30983" w:rsidP="00D608D5">
            <w:pPr>
              <w:pStyle w:val="TableText"/>
              <w:spacing w:before="50"/>
            </w:pPr>
            <w:r w:rsidRPr="00D9348B">
              <w:t>HFC-134a</w:t>
            </w:r>
          </w:p>
        </w:tc>
        <w:tc>
          <w:tcPr>
            <w:tcW w:w="2911" w:type="dxa"/>
            <w:tcBorders>
              <w:top w:val="single" w:sz="4" w:space="0" w:color="365F91"/>
              <w:left w:val="nil"/>
              <w:bottom w:val="single" w:sz="4" w:space="0" w:color="365F91"/>
              <w:right w:val="nil"/>
            </w:tcBorders>
            <w:shd w:val="clear" w:color="auto" w:fill="FFFFFF"/>
          </w:tcPr>
          <w:p w14:paraId="79337A50" w14:textId="77777777" w:rsidR="00D30983" w:rsidRPr="00D9348B" w:rsidRDefault="00D30983" w:rsidP="00D608D5">
            <w:pPr>
              <w:pStyle w:val="TableText"/>
              <w:spacing w:before="50"/>
            </w:pPr>
            <w:r w:rsidRPr="00D9348B">
              <w:t>2a</w:t>
            </w:r>
          </w:p>
        </w:tc>
      </w:tr>
      <w:tr w:rsidR="00D30983" w:rsidRPr="00D9348B" w14:paraId="4177D9E0" w14:textId="77777777" w:rsidTr="008C7C6D">
        <w:tc>
          <w:tcPr>
            <w:tcW w:w="3261" w:type="dxa"/>
            <w:vMerge/>
            <w:tcBorders>
              <w:left w:val="nil"/>
              <w:bottom w:val="single" w:sz="4" w:space="0" w:color="365F91"/>
              <w:right w:val="nil"/>
            </w:tcBorders>
            <w:shd w:val="clear" w:color="auto" w:fill="FFFFFF"/>
          </w:tcPr>
          <w:p w14:paraId="587DBDBA" w14:textId="77777777" w:rsidR="00D30983" w:rsidRPr="00D9348B" w:rsidRDefault="00D30983" w:rsidP="00D608D5">
            <w:pPr>
              <w:pStyle w:val="TableText"/>
              <w:spacing w:before="50"/>
            </w:pPr>
          </w:p>
        </w:tc>
        <w:tc>
          <w:tcPr>
            <w:tcW w:w="2390" w:type="dxa"/>
            <w:tcBorders>
              <w:top w:val="single" w:sz="4" w:space="0" w:color="365F91"/>
              <w:left w:val="nil"/>
              <w:bottom w:val="single" w:sz="4" w:space="0" w:color="365F91"/>
              <w:right w:val="nil"/>
            </w:tcBorders>
            <w:shd w:val="clear" w:color="auto" w:fill="FFFFFF"/>
          </w:tcPr>
          <w:p w14:paraId="6AE46421" w14:textId="77777777" w:rsidR="00D30983" w:rsidRPr="00D9348B" w:rsidRDefault="00D30983" w:rsidP="00D608D5">
            <w:pPr>
              <w:pStyle w:val="TableText"/>
              <w:spacing w:before="50"/>
            </w:pPr>
            <w:r w:rsidRPr="00D9348B">
              <w:t>HFC-143a</w:t>
            </w:r>
          </w:p>
        </w:tc>
        <w:tc>
          <w:tcPr>
            <w:tcW w:w="2911" w:type="dxa"/>
            <w:tcBorders>
              <w:top w:val="single" w:sz="4" w:space="0" w:color="365F91"/>
              <w:left w:val="nil"/>
              <w:bottom w:val="single" w:sz="4" w:space="0" w:color="365F91"/>
              <w:right w:val="nil"/>
            </w:tcBorders>
            <w:shd w:val="clear" w:color="auto" w:fill="FFFFFF"/>
          </w:tcPr>
          <w:p w14:paraId="56E244D7" w14:textId="77777777" w:rsidR="00D30983" w:rsidRPr="00D9348B" w:rsidRDefault="00D30983" w:rsidP="00D608D5">
            <w:pPr>
              <w:pStyle w:val="TableText"/>
              <w:spacing w:before="50"/>
            </w:pPr>
            <w:r w:rsidRPr="00D9348B">
              <w:t>2a</w:t>
            </w:r>
          </w:p>
        </w:tc>
      </w:tr>
      <w:tr w:rsidR="00D30983" w:rsidRPr="00D9348B" w14:paraId="0E210F6D" w14:textId="77777777" w:rsidTr="008C7C6D">
        <w:tc>
          <w:tcPr>
            <w:tcW w:w="3261" w:type="dxa"/>
            <w:vMerge w:val="restart"/>
            <w:tcBorders>
              <w:top w:val="single" w:sz="4" w:space="0" w:color="365F91"/>
              <w:left w:val="nil"/>
              <w:right w:val="nil"/>
            </w:tcBorders>
            <w:shd w:val="clear" w:color="auto" w:fill="FFFFFF"/>
          </w:tcPr>
          <w:p w14:paraId="2DEE4430" w14:textId="77777777" w:rsidR="00D30983" w:rsidRPr="00D9348B" w:rsidRDefault="00D30983" w:rsidP="00D608D5">
            <w:pPr>
              <w:pStyle w:val="TableText"/>
              <w:spacing w:before="50"/>
            </w:pPr>
            <w:r w:rsidRPr="00D9348B">
              <w:t>Stationary air conditioning</w:t>
            </w:r>
          </w:p>
        </w:tc>
        <w:tc>
          <w:tcPr>
            <w:tcW w:w="2390" w:type="dxa"/>
            <w:tcBorders>
              <w:top w:val="single" w:sz="4" w:space="0" w:color="365F91"/>
              <w:left w:val="nil"/>
              <w:bottom w:val="single" w:sz="4" w:space="0" w:color="365F91"/>
              <w:right w:val="nil"/>
            </w:tcBorders>
            <w:shd w:val="clear" w:color="auto" w:fill="FFFFFF"/>
          </w:tcPr>
          <w:p w14:paraId="28BAA8CD" w14:textId="77777777" w:rsidR="00D30983" w:rsidRPr="00D9348B" w:rsidRDefault="00D30983" w:rsidP="00D608D5">
            <w:pPr>
              <w:pStyle w:val="TableText"/>
              <w:spacing w:before="50"/>
            </w:pPr>
            <w:r w:rsidRPr="00D9348B">
              <w:t>HFC-32</w:t>
            </w:r>
          </w:p>
        </w:tc>
        <w:tc>
          <w:tcPr>
            <w:tcW w:w="2911" w:type="dxa"/>
            <w:tcBorders>
              <w:top w:val="single" w:sz="4" w:space="0" w:color="365F91"/>
              <w:left w:val="nil"/>
              <w:bottom w:val="single" w:sz="4" w:space="0" w:color="365F91"/>
              <w:right w:val="nil"/>
            </w:tcBorders>
            <w:shd w:val="clear" w:color="auto" w:fill="FFFFFF"/>
          </w:tcPr>
          <w:p w14:paraId="1BEA7F44" w14:textId="77777777" w:rsidR="00D30983" w:rsidRPr="00D9348B" w:rsidRDefault="00D30983" w:rsidP="00D608D5">
            <w:pPr>
              <w:pStyle w:val="TableText"/>
              <w:spacing w:before="50"/>
            </w:pPr>
            <w:r w:rsidRPr="00D9348B">
              <w:t>2b</w:t>
            </w:r>
          </w:p>
        </w:tc>
      </w:tr>
      <w:tr w:rsidR="00D30983" w:rsidRPr="00D9348B" w14:paraId="190B37FF" w14:textId="77777777" w:rsidTr="008C7C6D">
        <w:tc>
          <w:tcPr>
            <w:tcW w:w="3261" w:type="dxa"/>
            <w:vMerge/>
            <w:tcBorders>
              <w:left w:val="nil"/>
              <w:right w:val="nil"/>
            </w:tcBorders>
            <w:shd w:val="clear" w:color="auto" w:fill="FFFFFF"/>
          </w:tcPr>
          <w:p w14:paraId="25597329" w14:textId="77777777" w:rsidR="00D30983" w:rsidRPr="00D9348B" w:rsidRDefault="00D30983" w:rsidP="00D608D5">
            <w:pPr>
              <w:pStyle w:val="TableText"/>
              <w:spacing w:before="50"/>
            </w:pPr>
          </w:p>
        </w:tc>
        <w:tc>
          <w:tcPr>
            <w:tcW w:w="2390" w:type="dxa"/>
            <w:tcBorders>
              <w:top w:val="single" w:sz="4" w:space="0" w:color="365F91"/>
              <w:left w:val="nil"/>
              <w:bottom w:val="single" w:sz="4" w:space="0" w:color="365F91"/>
              <w:right w:val="nil"/>
            </w:tcBorders>
            <w:shd w:val="clear" w:color="auto" w:fill="FFFFFF"/>
          </w:tcPr>
          <w:p w14:paraId="73A3A5F6" w14:textId="77777777" w:rsidR="00D30983" w:rsidRPr="00D9348B" w:rsidRDefault="00D30983" w:rsidP="00D608D5">
            <w:pPr>
              <w:pStyle w:val="TableText"/>
              <w:spacing w:before="50"/>
            </w:pPr>
            <w:r w:rsidRPr="00D9348B">
              <w:t>HFC-125</w:t>
            </w:r>
          </w:p>
        </w:tc>
        <w:tc>
          <w:tcPr>
            <w:tcW w:w="2911" w:type="dxa"/>
            <w:tcBorders>
              <w:top w:val="single" w:sz="4" w:space="0" w:color="365F91"/>
              <w:left w:val="nil"/>
              <w:bottom w:val="single" w:sz="4" w:space="0" w:color="365F91"/>
              <w:right w:val="nil"/>
            </w:tcBorders>
            <w:shd w:val="clear" w:color="auto" w:fill="FFFFFF"/>
          </w:tcPr>
          <w:p w14:paraId="6822C5CD" w14:textId="77777777" w:rsidR="00D30983" w:rsidRPr="00D9348B" w:rsidRDefault="00D30983" w:rsidP="00D608D5">
            <w:pPr>
              <w:pStyle w:val="TableText"/>
              <w:spacing w:before="50"/>
            </w:pPr>
            <w:r w:rsidRPr="00D9348B">
              <w:t xml:space="preserve">2a to 2006, 2b for 2007–18 </w:t>
            </w:r>
          </w:p>
        </w:tc>
      </w:tr>
      <w:tr w:rsidR="00D30983" w:rsidRPr="00D9348B" w14:paraId="450984DA" w14:textId="77777777" w:rsidTr="008C7C6D">
        <w:tc>
          <w:tcPr>
            <w:tcW w:w="3261" w:type="dxa"/>
            <w:vMerge/>
            <w:tcBorders>
              <w:left w:val="nil"/>
              <w:bottom w:val="single" w:sz="4" w:space="0" w:color="365F91"/>
              <w:right w:val="nil"/>
            </w:tcBorders>
            <w:shd w:val="clear" w:color="auto" w:fill="FFFFFF"/>
          </w:tcPr>
          <w:p w14:paraId="5E6FE20A" w14:textId="77777777" w:rsidR="00D30983" w:rsidRPr="00D9348B" w:rsidRDefault="00D30983" w:rsidP="00D608D5">
            <w:pPr>
              <w:pStyle w:val="TableText"/>
              <w:spacing w:before="50"/>
            </w:pPr>
          </w:p>
        </w:tc>
        <w:tc>
          <w:tcPr>
            <w:tcW w:w="2390" w:type="dxa"/>
            <w:tcBorders>
              <w:top w:val="single" w:sz="4" w:space="0" w:color="365F91"/>
              <w:left w:val="nil"/>
              <w:bottom w:val="single" w:sz="4" w:space="0" w:color="365F91"/>
              <w:right w:val="nil"/>
            </w:tcBorders>
            <w:shd w:val="clear" w:color="auto" w:fill="FFFFFF"/>
          </w:tcPr>
          <w:p w14:paraId="053F8083" w14:textId="77777777" w:rsidR="00D30983" w:rsidRPr="00D9348B" w:rsidRDefault="00D30983" w:rsidP="00D608D5">
            <w:pPr>
              <w:pStyle w:val="TableText"/>
              <w:spacing w:before="50"/>
            </w:pPr>
            <w:r w:rsidRPr="00D9348B">
              <w:t>HFC 134a</w:t>
            </w:r>
          </w:p>
        </w:tc>
        <w:tc>
          <w:tcPr>
            <w:tcW w:w="2911" w:type="dxa"/>
            <w:tcBorders>
              <w:top w:val="single" w:sz="4" w:space="0" w:color="365F91"/>
              <w:left w:val="nil"/>
              <w:bottom w:val="single" w:sz="4" w:space="0" w:color="365F91"/>
              <w:right w:val="nil"/>
            </w:tcBorders>
            <w:shd w:val="clear" w:color="auto" w:fill="FFFFFF"/>
          </w:tcPr>
          <w:p w14:paraId="7031E420" w14:textId="77777777" w:rsidR="00D30983" w:rsidRPr="00D9348B" w:rsidRDefault="00D30983" w:rsidP="00D608D5">
            <w:pPr>
              <w:pStyle w:val="TableText"/>
              <w:spacing w:before="50"/>
            </w:pPr>
            <w:r w:rsidRPr="00D9348B">
              <w:t>2a</w:t>
            </w:r>
          </w:p>
        </w:tc>
      </w:tr>
      <w:tr w:rsidR="00D30983" w:rsidRPr="00D9348B" w14:paraId="521B8A37" w14:textId="77777777" w:rsidTr="008C7C6D">
        <w:tc>
          <w:tcPr>
            <w:tcW w:w="3261" w:type="dxa"/>
            <w:tcBorders>
              <w:top w:val="single" w:sz="4" w:space="0" w:color="365F91"/>
              <w:left w:val="nil"/>
              <w:bottom w:val="single" w:sz="6" w:space="0" w:color="365F91"/>
              <w:right w:val="nil"/>
            </w:tcBorders>
            <w:shd w:val="clear" w:color="auto" w:fill="FFFFFF"/>
          </w:tcPr>
          <w:p w14:paraId="193A8853" w14:textId="77777777" w:rsidR="00D30983" w:rsidRPr="00D9348B" w:rsidRDefault="00D30983" w:rsidP="00D608D5">
            <w:pPr>
              <w:pStyle w:val="TableText"/>
              <w:spacing w:before="50"/>
            </w:pPr>
            <w:r w:rsidRPr="00D9348B">
              <w:t>Mobile air conditioning</w:t>
            </w:r>
          </w:p>
        </w:tc>
        <w:tc>
          <w:tcPr>
            <w:tcW w:w="2390" w:type="dxa"/>
            <w:tcBorders>
              <w:top w:val="single" w:sz="4" w:space="0" w:color="365F91"/>
              <w:left w:val="nil"/>
              <w:bottom w:val="single" w:sz="6" w:space="0" w:color="365F91"/>
              <w:right w:val="nil"/>
            </w:tcBorders>
            <w:shd w:val="clear" w:color="auto" w:fill="FFFFFF"/>
          </w:tcPr>
          <w:p w14:paraId="758C858E" w14:textId="77777777" w:rsidR="00D30983" w:rsidRPr="00D9348B" w:rsidRDefault="00D30983" w:rsidP="00D608D5">
            <w:pPr>
              <w:pStyle w:val="TableText"/>
              <w:spacing w:before="50"/>
            </w:pPr>
            <w:r w:rsidRPr="00D9348B">
              <w:t>HFC-134a</w:t>
            </w:r>
          </w:p>
        </w:tc>
        <w:tc>
          <w:tcPr>
            <w:tcW w:w="2911" w:type="dxa"/>
            <w:tcBorders>
              <w:top w:val="single" w:sz="4" w:space="0" w:color="365F91"/>
              <w:left w:val="nil"/>
              <w:bottom w:val="single" w:sz="6" w:space="0" w:color="365F91"/>
              <w:right w:val="nil"/>
            </w:tcBorders>
            <w:shd w:val="clear" w:color="auto" w:fill="FFFFFF"/>
          </w:tcPr>
          <w:p w14:paraId="2AEC9BA3" w14:textId="77777777" w:rsidR="00D30983" w:rsidRPr="00D9348B" w:rsidRDefault="00D30983" w:rsidP="00D608D5">
            <w:pPr>
              <w:pStyle w:val="TableText"/>
              <w:spacing w:before="50"/>
            </w:pPr>
            <w:r w:rsidRPr="00D9348B">
              <w:t>2b</w:t>
            </w:r>
          </w:p>
        </w:tc>
      </w:tr>
    </w:tbl>
    <w:p w14:paraId="05923D32" w14:textId="77777777" w:rsidR="00D30983" w:rsidRPr="00D9348B" w:rsidRDefault="00D30983" w:rsidP="00D30983">
      <w:pPr>
        <w:pStyle w:val="Heading5"/>
        <w:spacing w:before="360"/>
      </w:pPr>
      <w:r w:rsidRPr="00D9348B">
        <w:t>Other (2.F.2, 2.F.3 and 2.F.4)</w:t>
      </w:r>
    </w:p>
    <w:p w14:paraId="56425924" w14:textId="77777777" w:rsidR="00D30983" w:rsidRPr="00D9348B" w:rsidRDefault="00D30983" w:rsidP="008C7C6D">
      <w:pPr>
        <w:pStyle w:val="BodyText"/>
        <w:keepNext/>
        <w:spacing w:before="100" w:after="100"/>
      </w:pPr>
      <w:r w:rsidRPr="00D9348B">
        <w:t xml:space="preserve">The IPCC Tier 1a method is used for foam blowing agents and fire protection equipment. </w:t>
      </w:r>
    </w:p>
    <w:p w14:paraId="4A6299D6" w14:textId="77777777" w:rsidR="00D30983" w:rsidRPr="00D9348B" w:rsidRDefault="00D30983" w:rsidP="008C7C6D">
      <w:pPr>
        <w:pStyle w:val="BodyText"/>
        <w:spacing w:before="100" w:after="100"/>
      </w:pPr>
      <w:r w:rsidRPr="00D9348B">
        <w:t xml:space="preserve">Aerosol emissions are calculated using the IPCC Tier 1a/2a method (IPCC, 2006a, equation 7.6). Tier 2a requires subdividing these emissions by sub-application. In this submission, emissions from MDIs are reported separately as a sub-application (2.F.4.a), but insufficient data are available to further subdivide aerosol products by sub-application. All other aerosol products are reported together (2.F.4.b). </w:t>
      </w:r>
    </w:p>
    <w:p w14:paraId="43B485D4" w14:textId="77777777" w:rsidR="00D30983" w:rsidRPr="00D9348B" w:rsidRDefault="00D30983" w:rsidP="00865BDB">
      <w:pPr>
        <w:pStyle w:val="Heading4"/>
        <w:rPr>
          <w:bCs/>
          <w:iCs/>
        </w:rPr>
      </w:pPr>
      <w:r w:rsidRPr="00D9348B">
        <w:t>Choice of emission factors</w:t>
      </w:r>
    </w:p>
    <w:p w14:paraId="7F7EDCBF" w14:textId="77777777" w:rsidR="00D30983" w:rsidRPr="00D9348B" w:rsidRDefault="00D30983" w:rsidP="00D30983">
      <w:pPr>
        <w:pStyle w:val="Heading5"/>
        <w:spacing w:before="120"/>
      </w:pPr>
      <w:r w:rsidRPr="00D9348B">
        <w:t>Refrigeration and air conditioning (2.F.1)</w:t>
      </w:r>
    </w:p>
    <w:p w14:paraId="40E77735" w14:textId="77777777" w:rsidR="00D30983" w:rsidRPr="00D9348B" w:rsidRDefault="00D30983" w:rsidP="008C7C6D">
      <w:pPr>
        <w:pStyle w:val="BodyText"/>
        <w:spacing w:before="100" w:after="100"/>
      </w:pPr>
      <w:r w:rsidRPr="00D9348B">
        <w:t xml:space="preserve">The emission factors used in each sub-application (other than mobile air conditioning) were assessed using a combination of IPCC defaults, information from the New Zealand industry and expert judgement. </w:t>
      </w:r>
    </w:p>
    <w:p w14:paraId="0AD514C8" w14:textId="77777777" w:rsidR="00D30983" w:rsidRPr="00D9348B" w:rsidRDefault="00D30983" w:rsidP="008C7C6D">
      <w:pPr>
        <w:pStyle w:val="BodyText"/>
        <w:spacing w:before="100" w:after="100"/>
      </w:pPr>
      <w:r w:rsidRPr="00D9348B">
        <w:t xml:space="preserve">In addition, the annual leakage rates were adjusted in some cases, to ensure that the total results for all sub-applications were consistent with the much more complete and accurate data available to estimate the total mass balance (for all five sub-applications) for each chemical (CRL Energy, </w:t>
      </w:r>
      <w:r w:rsidRPr="00D9348B">
        <w:rPr>
          <w:rFonts w:eastAsia="+mn-ea"/>
        </w:rPr>
        <w:t>unpublished(c)</w:t>
      </w:r>
      <w:r w:rsidRPr="00D9348B">
        <w:t>). For each chemical, this has meant that one of the sub</w:t>
      </w:r>
      <w:r w:rsidRPr="00D9348B">
        <w:noBreakHyphen/>
        <w:t>applications is treated as a residual and is, consequently, subject to greater year</w:t>
      </w:r>
      <w:r w:rsidRPr="00D9348B">
        <w:noBreakHyphen/>
        <w:t>to</w:t>
      </w:r>
      <w:r w:rsidRPr="00D9348B">
        <w:noBreakHyphen/>
        <w:t xml:space="preserve">year variation. </w:t>
      </w:r>
    </w:p>
    <w:p w14:paraId="2B8AFF0B" w14:textId="77777777" w:rsidR="00D30983" w:rsidRPr="00D9348B" w:rsidRDefault="00D30983" w:rsidP="00D30983">
      <w:pPr>
        <w:pStyle w:val="BodyText"/>
      </w:pPr>
      <w:r w:rsidRPr="00D9348B">
        <w:lastRenderedPageBreak/>
        <w:t>These emission factors are detailed in the report by CRL Energy (</w:t>
      </w:r>
      <w:r w:rsidRPr="00D9348B">
        <w:rPr>
          <w:rFonts w:eastAsia="+mn-ea"/>
        </w:rPr>
        <w:t>unpublished(c)</w:t>
      </w:r>
      <w:r w:rsidRPr="00D9348B">
        <w:t xml:space="preserve">). </w:t>
      </w:r>
    </w:p>
    <w:p w14:paraId="0E67204A" w14:textId="77777777" w:rsidR="00D30983" w:rsidRPr="00D9348B" w:rsidRDefault="00D30983" w:rsidP="00D30983">
      <w:pPr>
        <w:pStyle w:val="BodyText"/>
      </w:pPr>
      <w:r w:rsidRPr="00D9348B">
        <w:t xml:space="preserve">For mobile air conditioning, the emission factors used are shown in table 4.7.3. </w:t>
      </w:r>
    </w:p>
    <w:p w14:paraId="254E81D0" w14:textId="77777777" w:rsidR="00D30983" w:rsidRPr="00D9348B" w:rsidRDefault="00D30983" w:rsidP="00D30983">
      <w:pPr>
        <w:pStyle w:val="Table"/>
      </w:pPr>
      <w:bookmarkStart w:id="534" w:name="_Toc451176077"/>
      <w:bookmarkStart w:id="535" w:name="_Toc5269467"/>
      <w:bookmarkStart w:id="536" w:name="_Toc36224541"/>
      <w:r w:rsidRPr="00D9348B">
        <w:t>Table 4.7.3</w:t>
      </w:r>
      <w:r w:rsidRPr="00D9348B">
        <w:tab/>
        <w:t>Emission factors for mobile air conditioning</w:t>
      </w:r>
      <w:bookmarkEnd w:id="534"/>
      <w:bookmarkEnd w:id="535"/>
      <w:bookmarkEnd w:id="536"/>
    </w:p>
    <w:tbl>
      <w:tblPr>
        <w:tblW w:w="8562" w:type="dxa"/>
        <w:tblInd w:w="108" w:type="dxa"/>
        <w:tblBorders>
          <w:top w:val="single" w:sz="6" w:space="0" w:color="365F91"/>
          <w:bottom w:val="single" w:sz="6" w:space="0" w:color="365F91"/>
          <w:insideH w:val="single" w:sz="6" w:space="0" w:color="365F91"/>
        </w:tblBorders>
        <w:tblLook w:val="04A0" w:firstRow="1" w:lastRow="0" w:firstColumn="1" w:lastColumn="0" w:noHBand="0" w:noVBand="1"/>
      </w:tblPr>
      <w:tblGrid>
        <w:gridCol w:w="2740"/>
        <w:gridCol w:w="2911"/>
        <w:gridCol w:w="2911"/>
      </w:tblGrid>
      <w:tr w:rsidR="00D30983" w:rsidRPr="00D9348B" w14:paraId="564B7A60" w14:textId="77777777" w:rsidTr="00810AB6">
        <w:tc>
          <w:tcPr>
            <w:tcW w:w="2268" w:type="dxa"/>
            <w:tcBorders>
              <w:top w:val="single" w:sz="4" w:space="0" w:color="365F91"/>
              <w:left w:val="nil"/>
              <w:bottom w:val="single" w:sz="4" w:space="0" w:color="365F91"/>
              <w:right w:val="nil"/>
            </w:tcBorders>
            <w:shd w:val="clear" w:color="auto" w:fill="365F91"/>
            <w:hideMark/>
          </w:tcPr>
          <w:p w14:paraId="4FD6D49D" w14:textId="77777777" w:rsidR="00D30983" w:rsidRPr="00D9348B" w:rsidRDefault="00D30983" w:rsidP="00DB330E">
            <w:pPr>
              <w:pStyle w:val="TableTextBold"/>
              <w:rPr>
                <w:noProof w:val="0"/>
                <w:color w:val="FFFFFF"/>
              </w:rPr>
            </w:pPr>
            <w:r w:rsidRPr="00D9348B">
              <w:rPr>
                <w:noProof w:val="0"/>
                <w:color w:val="FFFFFF"/>
              </w:rPr>
              <w:t>First fill (%)</w:t>
            </w:r>
          </w:p>
        </w:tc>
        <w:tc>
          <w:tcPr>
            <w:tcW w:w="2409" w:type="dxa"/>
            <w:tcBorders>
              <w:top w:val="single" w:sz="4" w:space="0" w:color="365F91"/>
              <w:left w:val="nil"/>
              <w:bottom w:val="single" w:sz="4" w:space="0" w:color="365F91"/>
              <w:right w:val="nil"/>
            </w:tcBorders>
            <w:shd w:val="clear" w:color="auto" w:fill="365F91"/>
            <w:hideMark/>
          </w:tcPr>
          <w:p w14:paraId="7FA772E2" w14:textId="77777777" w:rsidR="00D30983" w:rsidRPr="00D9348B" w:rsidRDefault="00D30983" w:rsidP="00DB330E">
            <w:pPr>
              <w:pStyle w:val="TableTextBold"/>
              <w:rPr>
                <w:noProof w:val="0"/>
                <w:color w:val="FFFFFF"/>
              </w:rPr>
            </w:pPr>
            <w:r w:rsidRPr="00D9348B">
              <w:rPr>
                <w:noProof w:val="0"/>
                <w:color w:val="FFFFFF"/>
              </w:rPr>
              <w:t>Operation (%)</w:t>
            </w:r>
          </w:p>
        </w:tc>
        <w:tc>
          <w:tcPr>
            <w:tcW w:w="2409" w:type="dxa"/>
            <w:tcBorders>
              <w:top w:val="single" w:sz="4" w:space="0" w:color="365F91"/>
              <w:left w:val="nil"/>
              <w:bottom w:val="single" w:sz="4" w:space="0" w:color="365F91"/>
              <w:right w:val="nil"/>
            </w:tcBorders>
            <w:shd w:val="clear" w:color="auto" w:fill="365F91"/>
            <w:hideMark/>
          </w:tcPr>
          <w:p w14:paraId="55EF3EDD" w14:textId="77777777" w:rsidR="00D30983" w:rsidRPr="00D9348B" w:rsidRDefault="00D30983" w:rsidP="00DB330E">
            <w:pPr>
              <w:pStyle w:val="TableTextBold"/>
              <w:rPr>
                <w:noProof w:val="0"/>
                <w:color w:val="FFFFFF"/>
              </w:rPr>
            </w:pPr>
            <w:r w:rsidRPr="00D9348B">
              <w:rPr>
                <w:noProof w:val="0"/>
                <w:color w:val="FFFFFF"/>
              </w:rPr>
              <w:t>End of life (%)</w:t>
            </w:r>
          </w:p>
        </w:tc>
      </w:tr>
      <w:tr w:rsidR="00D30983" w:rsidRPr="00D9348B" w14:paraId="7C4B165F" w14:textId="77777777" w:rsidTr="00810AB6">
        <w:tc>
          <w:tcPr>
            <w:tcW w:w="2268" w:type="dxa"/>
            <w:tcBorders>
              <w:top w:val="single" w:sz="4" w:space="0" w:color="365F91"/>
              <w:left w:val="nil"/>
              <w:bottom w:val="single" w:sz="6" w:space="0" w:color="365F91"/>
              <w:right w:val="nil"/>
            </w:tcBorders>
            <w:shd w:val="clear" w:color="auto" w:fill="FFFFFF"/>
            <w:hideMark/>
          </w:tcPr>
          <w:p w14:paraId="28A2A9C4" w14:textId="77777777" w:rsidR="00D30983" w:rsidRPr="00D9348B" w:rsidRDefault="00D30983" w:rsidP="00DB330E">
            <w:pPr>
              <w:pStyle w:val="TableText"/>
            </w:pPr>
            <w:r w:rsidRPr="00D9348B">
              <w:t>0.5</w:t>
            </w:r>
          </w:p>
        </w:tc>
        <w:tc>
          <w:tcPr>
            <w:tcW w:w="2409" w:type="dxa"/>
            <w:tcBorders>
              <w:top w:val="single" w:sz="4" w:space="0" w:color="365F91"/>
              <w:left w:val="nil"/>
              <w:bottom w:val="single" w:sz="6" w:space="0" w:color="365F91"/>
              <w:right w:val="nil"/>
            </w:tcBorders>
            <w:shd w:val="clear" w:color="auto" w:fill="FFFFFF"/>
            <w:hideMark/>
          </w:tcPr>
          <w:p w14:paraId="03578578" w14:textId="77777777" w:rsidR="00D30983" w:rsidRPr="00D9348B" w:rsidRDefault="00D30983" w:rsidP="00DB330E">
            <w:pPr>
              <w:pStyle w:val="TableText"/>
            </w:pPr>
            <w:r w:rsidRPr="00D9348B">
              <w:t>10.0</w:t>
            </w:r>
          </w:p>
        </w:tc>
        <w:tc>
          <w:tcPr>
            <w:tcW w:w="2409" w:type="dxa"/>
            <w:tcBorders>
              <w:top w:val="single" w:sz="4" w:space="0" w:color="365F91"/>
              <w:left w:val="nil"/>
              <w:bottom w:val="single" w:sz="6" w:space="0" w:color="365F91"/>
              <w:right w:val="nil"/>
            </w:tcBorders>
            <w:shd w:val="clear" w:color="auto" w:fill="FFFFFF"/>
            <w:hideMark/>
          </w:tcPr>
          <w:p w14:paraId="4FA80816" w14:textId="77777777" w:rsidR="00D30983" w:rsidRPr="00D9348B" w:rsidRDefault="00D30983" w:rsidP="00DB330E">
            <w:pPr>
              <w:pStyle w:val="TableText"/>
            </w:pPr>
            <w:r w:rsidRPr="00D9348B">
              <w:t>50.0</w:t>
            </w:r>
          </w:p>
        </w:tc>
      </w:tr>
    </w:tbl>
    <w:p w14:paraId="67A6274E" w14:textId="77777777" w:rsidR="00D30983" w:rsidRPr="00D9348B" w:rsidRDefault="00D30983" w:rsidP="00D30983">
      <w:pPr>
        <w:pStyle w:val="Heading5"/>
        <w:spacing w:before="360"/>
      </w:pPr>
      <w:r w:rsidRPr="00D9348B">
        <w:t>Foam blowing agents (2.F.2)</w:t>
      </w:r>
    </w:p>
    <w:p w14:paraId="6C3ED1A5" w14:textId="77777777" w:rsidR="00D30983" w:rsidRPr="00D9348B" w:rsidRDefault="00D30983" w:rsidP="00D30983">
      <w:pPr>
        <w:pStyle w:val="BodyText"/>
      </w:pPr>
      <w:r w:rsidRPr="00D9348B">
        <w:t xml:space="preserve">The IPCC default emission factors for closed-cell foam are used, that is, assuming 10.0 per cent loss in the first year of use and 4.5 per cent in each of the following 20 years. </w:t>
      </w:r>
    </w:p>
    <w:p w14:paraId="40FD9FE0" w14:textId="77777777" w:rsidR="00D30983" w:rsidRPr="00D9348B" w:rsidRDefault="00D30983" w:rsidP="006B7E05">
      <w:pPr>
        <w:pStyle w:val="Heading5"/>
        <w:spacing w:before="160"/>
      </w:pPr>
      <w:r w:rsidRPr="00D9348B">
        <w:t>Fire protection (2.F.3)</w:t>
      </w:r>
    </w:p>
    <w:p w14:paraId="5CEB34CE" w14:textId="77777777" w:rsidR="00D30983" w:rsidRPr="00D9348B" w:rsidRDefault="00D30983" w:rsidP="00D30983">
      <w:pPr>
        <w:pStyle w:val="BodyText"/>
      </w:pPr>
      <w:r w:rsidRPr="00D9348B">
        <w:t xml:space="preserve">For fire protection equipment, a country-specific emission factor of 0.015 (1.5 per cent of the charge lost in leakage each year) is used. This estimate is based on information from one major supplier of these systems, which was able to supply records of the amount of HFC-227ea it used to replace leakage and accidental discharges. </w:t>
      </w:r>
    </w:p>
    <w:p w14:paraId="4655BA46" w14:textId="77777777" w:rsidR="00D30983" w:rsidRPr="00D9348B" w:rsidRDefault="00D30983" w:rsidP="006B7E05">
      <w:pPr>
        <w:pStyle w:val="Heading5"/>
        <w:spacing w:before="160"/>
      </w:pPr>
      <w:r w:rsidRPr="00D9348B">
        <w:t>Aerosols (2.F.4)</w:t>
      </w:r>
    </w:p>
    <w:p w14:paraId="61D7D76F" w14:textId="77777777" w:rsidR="00D30983" w:rsidRPr="00D9348B" w:rsidRDefault="00D30983" w:rsidP="00D30983">
      <w:pPr>
        <w:pStyle w:val="BodyText"/>
      </w:pPr>
      <w:r w:rsidRPr="00D9348B">
        <w:t xml:space="preserve">Aerosol emissions are considered to be prompt (emitted in the first year or two after manufacture or import) and so the default emission factor of 50.0 per cent of the initial charge emitted per year is applied. </w:t>
      </w:r>
    </w:p>
    <w:p w14:paraId="3070AC85" w14:textId="77777777" w:rsidR="00D30983" w:rsidRPr="00D9348B" w:rsidRDefault="00D30983" w:rsidP="00D30983">
      <w:pPr>
        <w:pStyle w:val="Heading3"/>
      </w:pPr>
      <w:r w:rsidRPr="00D9348B">
        <w:t xml:space="preserve">4.7.3 </w:t>
      </w:r>
      <w:r w:rsidRPr="00D9348B">
        <w:tab/>
        <w:t>Uncertainties and time-series consistency</w:t>
      </w:r>
    </w:p>
    <w:p w14:paraId="6D973312" w14:textId="77777777" w:rsidR="00D30983" w:rsidRPr="00D9348B" w:rsidRDefault="00D30983" w:rsidP="006B7E05">
      <w:pPr>
        <w:pStyle w:val="Heading4"/>
        <w:spacing w:before="160"/>
        <w:rPr>
          <w:bCs/>
          <w:iCs/>
        </w:rPr>
      </w:pPr>
      <w:r w:rsidRPr="00D9348B">
        <w:t>Uncertainties</w:t>
      </w:r>
    </w:p>
    <w:p w14:paraId="5C8F21B0" w14:textId="77777777" w:rsidR="00D30983" w:rsidRPr="00D9348B" w:rsidRDefault="00D30983" w:rsidP="00D30983">
      <w:pPr>
        <w:pStyle w:val="BodyText"/>
        <w:spacing w:before="100"/>
      </w:pPr>
      <w:r w:rsidRPr="00D9348B">
        <w:t xml:space="preserve">Data on bulk imports of refrigerant gases in the </w:t>
      </w:r>
      <w:r w:rsidRPr="00D9348B">
        <w:rPr>
          <w:i/>
        </w:rPr>
        <w:t>Refrigeration and air conditioning</w:t>
      </w:r>
      <w:r w:rsidRPr="00D9348B">
        <w:t xml:space="preserve"> category are complete and accurate with uncertainty of ±5 per cent. Data on the amount imported in factory-charged equipment, and the amount in retired equipment, are much less accurate, and uncertainties are estimated for each sub-application based on expert judgement. </w:t>
      </w:r>
    </w:p>
    <w:p w14:paraId="7A0C495B" w14:textId="77777777" w:rsidR="00D30983" w:rsidRPr="00D9348B" w:rsidRDefault="00D30983" w:rsidP="00D30983">
      <w:pPr>
        <w:pStyle w:val="BodyText"/>
        <w:spacing w:before="100"/>
      </w:pPr>
      <w:r w:rsidRPr="00D9348B">
        <w:t xml:space="preserve">Uncertainties in this source category have been estimated for each sub-application, and table 4.7.4 summarises the uncertainties for each category. For the </w:t>
      </w:r>
      <w:r w:rsidRPr="00D9348B">
        <w:rPr>
          <w:i/>
        </w:rPr>
        <w:t>Refrigeration and air conditioning</w:t>
      </w:r>
      <w:r w:rsidRPr="00D9348B">
        <w:t xml:space="preserve"> category, uncertainty is attributed only to the activity data. </w:t>
      </w:r>
    </w:p>
    <w:p w14:paraId="446721E4" w14:textId="77777777" w:rsidR="00D30983" w:rsidRPr="00D9348B" w:rsidRDefault="00D30983" w:rsidP="00D30983">
      <w:pPr>
        <w:pStyle w:val="Table"/>
      </w:pPr>
      <w:bookmarkStart w:id="537" w:name="_Toc451176078"/>
      <w:bookmarkStart w:id="538" w:name="_Toc5269468"/>
      <w:bookmarkStart w:id="539" w:name="_Toc36224542"/>
      <w:r w:rsidRPr="00D9348B">
        <w:t xml:space="preserve">Table 4.7.4 </w:t>
      </w:r>
      <w:r w:rsidRPr="00D9348B">
        <w:tab/>
        <w:t>New Zealand’s uncertainties in product uses as substitutes for ODS</w:t>
      </w:r>
      <w:bookmarkEnd w:id="537"/>
      <w:bookmarkEnd w:id="538"/>
      <w:bookmarkEnd w:id="539"/>
      <w:r w:rsidRPr="00D9348B">
        <w:t xml:space="preserve"> </w:t>
      </w:r>
    </w:p>
    <w:tbl>
      <w:tblPr>
        <w:tblW w:w="8562" w:type="dxa"/>
        <w:tblInd w:w="108" w:type="dxa"/>
        <w:tblLook w:val="04A0" w:firstRow="1" w:lastRow="0" w:firstColumn="1" w:lastColumn="0" w:noHBand="0" w:noVBand="1"/>
      </w:tblPr>
      <w:tblGrid>
        <w:gridCol w:w="2892"/>
        <w:gridCol w:w="2678"/>
        <w:gridCol w:w="2992"/>
      </w:tblGrid>
      <w:tr w:rsidR="00D30983" w:rsidRPr="00D9348B" w14:paraId="3ED04083" w14:textId="77777777" w:rsidTr="00810AB6">
        <w:trPr>
          <w:trHeight w:val="309"/>
        </w:trPr>
        <w:tc>
          <w:tcPr>
            <w:tcW w:w="2603" w:type="dxa"/>
            <w:tcBorders>
              <w:top w:val="single" w:sz="4" w:space="0" w:color="365F91"/>
              <w:left w:val="nil"/>
              <w:bottom w:val="single" w:sz="4" w:space="0" w:color="365F91"/>
              <w:right w:val="nil"/>
            </w:tcBorders>
            <w:shd w:val="clear" w:color="auto" w:fill="365F91"/>
            <w:hideMark/>
          </w:tcPr>
          <w:p w14:paraId="438C0F28" w14:textId="77777777" w:rsidR="00D30983" w:rsidRPr="00D9348B" w:rsidRDefault="00D30983" w:rsidP="00DB330E">
            <w:pPr>
              <w:pStyle w:val="TableTextBold"/>
              <w:spacing w:before="50" w:after="50"/>
              <w:rPr>
                <w:bCs/>
                <w:noProof w:val="0"/>
                <w:color w:val="FFFFFF"/>
              </w:rPr>
            </w:pPr>
            <w:r w:rsidRPr="00D9348B">
              <w:rPr>
                <w:noProof w:val="0"/>
                <w:color w:val="FFFFFF"/>
              </w:rPr>
              <w:t>Source category</w:t>
            </w:r>
          </w:p>
        </w:tc>
        <w:tc>
          <w:tcPr>
            <w:tcW w:w="2410" w:type="dxa"/>
            <w:tcBorders>
              <w:top w:val="single" w:sz="4" w:space="0" w:color="365F91"/>
              <w:left w:val="nil"/>
              <w:bottom w:val="single" w:sz="4" w:space="0" w:color="365F91"/>
              <w:right w:val="nil"/>
            </w:tcBorders>
            <w:shd w:val="clear" w:color="auto" w:fill="365F91"/>
            <w:hideMark/>
          </w:tcPr>
          <w:p w14:paraId="6F2E3783" w14:textId="77777777" w:rsidR="00D30983" w:rsidRPr="00D9348B" w:rsidRDefault="00D30983" w:rsidP="00DB330E">
            <w:pPr>
              <w:pStyle w:val="TableTextBold"/>
              <w:spacing w:before="50" w:after="50"/>
              <w:rPr>
                <w:bCs/>
                <w:noProof w:val="0"/>
                <w:color w:val="FFFFFF"/>
              </w:rPr>
            </w:pPr>
            <w:r w:rsidRPr="00D9348B">
              <w:rPr>
                <w:noProof w:val="0"/>
                <w:color w:val="FFFFFF"/>
              </w:rPr>
              <w:t>Uncertainty in activity data (%)</w:t>
            </w:r>
          </w:p>
        </w:tc>
        <w:tc>
          <w:tcPr>
            <w:tcW w:w="2693" w:type="dxa"/>
            <w:tcBorders>
              <w:top w:val="single" w:sz="4" w:space="0" w:color="365F91"/>
              <w:left w:val="nil"/>
              <w:bottom w:val="single" w:sz="4" w:space="0" w:color="365F91"/>
              <w:right w:val="nil"/>
            </w:tcBorders>
            <w:shd w:val="clear" w:color="auto" w:fill="365F91"/>
            <w:hideMark/>
          </w:tcPr>
          <w:p w14:paraId="5B148F74" w14:textId="77777777" w:rsidR="00D30983" w:rsidRPr="00D9348B" w:rsidRDefault="00D30983" w:rsidP="00DB330E">
            <w:pPr>
              <w:pStyle w:val="TableTextBold"/>
              <w:spacing w:before="50" w:after="50"/>
              <w:rPr>
                <w:noProof w:val="0"/>
                <w:color w:val="FFFFFF"/>
              </w:rPr>
            </w:pPr>
            <w:r w:rsidRPr="00D9348B">
              <w:rPr>
                <w:noProof w:val="0"/>
                <w:color w:val="FFFFFF"/>
              </w:rPr>
              <w:t>Uncertainty in emission factors (%)</w:t>
            </w:r>
          </w:p>
        </w:tc>
      </w:tr>
      <w:tr w:rsidR="00D30983" w:rsidRPr="00D9348B" w14:paraId="1F1682F7" w14:textId="77777777" w:rsidTr="00810AB6">
        <w:tc>
          <w:tcPr>
            <w:tcW w:w="2603" w:type="dxa"/>
            <w:tcBorders>
              <w:top w:val="single" w:sz="4" w:space="0" w:color="365F91"/>
              <w:left w:val="nil"/>
              <w:bottom w:val="nil"/>
              <w:right w:val="nil"/>
            </w:tcBorders>
            <w:hideMark/>
          </w:tcPr>
          <w:p w14:paraId="5647C698" w14:textId="77777777" w:rsidR="00D30983" w:rsidRPr="00D9348B" w:rsidRDefault="00D30983" w:rsidP="00DB330E">
            <w:pPr>
              <w:pStyle w:val="TableText"/>
              <w:spacing w:before="50" w:after="50"/>
            </w:pPr>
            <w:r w:rsidRPr="00D9348B">
              <w:t>Refrigeration and air conditioning</w:t>
            </w:r>
          </w:p>
        </w:tc>
        <w:tc>
          <w:tcPr>
            <w:tcW w:w="2410" w:type="dxa"/>
            <w:tcBorders>
              <w:top w:val="single" w:sz="4" w:space="0" w:color="365F91"/>
              <w:left w:val="nil"/>
              <w:bottom w:val="nil"/>
              <w:right w:val="nil"/>
            </w:tcBorders>
            <w:hideMark/>
          </w:tcPr>
          <w:p w14:paraId="1A9A895E" w14:textId="77777777" w:rsidR="00D30983" w:rsidRPr="00D9348B" w:rsidRDefault="00D30983" w:rsidP="00DB330E">
            <w:pPr>
              <w:pStyle w:val="TableText"/>
              <w:spacing w:before="50" w:after="50"/>
            </w:pPr>
            <w:r w:rsidRPr="00D9348B">
              <w:t>±32</w:t>
            </w:r>
          </w:p>
        </w:tc>
        <w:tc>
          <w:tcPr>
            <w:tcW w:w="2693" w:type="dxa"/>
            <w:tcBorders>
              <w:top w:val="single" w:sz="4" w:space="0" w:color="365F91"/>
              <w:left w:val="nil"/>
              <w:bottom w:val="nil"/>
              <w:right w:val="nil"/>
            </w:tcBorders>
            <w:hideMark/>
          </w:tcPr>
          <w:p w14:paraId="35948DF3" w14:textId="77777777" w:rsidR="00D30983" w:rsidRPr="00D9348B" w:rsidRDefault="00D30983" w:rsidP="00DB330E">
            <w:pPr>
              <w:pStyle w:val="TableText"/>
              <w:spacing w:before="50" w:after="50"/>
            </w:pPr>
            <w:r w:rsidRPr="00D9348B">
              <w:t>N/A</w:t>
            </w:r>
          </w:p>
        </w:tc>
      </w:tr>
      <w:tr w:rsidR="00D30983" w:rsidRPr="00D9348B" w14:paraId="15C924F9" w14:textId="77777777" w:rsidTr="00810AB6">
        <w:tc>
          <w:tcPr>
            <w:tcW w:w="2603" w:type="dxa"/>
            <w:hideMark/>
          </w:tcPr>
          <w:p w14:paraId="3DAAEF7C" w14:textId="77777777" w:rsidR="00D30983" w:rsidRPr="00D9348B" w:rsidRDefault="00D30983" w:rsidP="00DB330E">
            <w:pPr>
              <w:pStyle w:val="TableText"/>
              <w:spacing w:before="50" w:after="50"/>
            </w:pPr>
            <w:r w:rsidRPr="00D9348B">
              <w:t>Foam blowing agents</w:t>
            </w:r>
          </w:p>
        </w:tc>
        <w:tc>
          <w:tcPr>
            <w:tcW w:w="2410" w:type="dxa"/>
            <w:hideMark/>
          </w:tcPr>
          <w:p w14:paraId="61B232E6" w14:textId="77777777" w:rsidR="00D30983" w:rsidRPr="00D9348B" w:rsidRDefault="00D30983" w:rsidP="00DB330E">
            <w:pPr>
              <w:pStyle w:val="TableText"/>
              <w:spacing w:before="50" w:after="50"/>
            </w:pPr>
            <w:r w:rsidRPr="00D9348B">
              <w:t>±12</w:t>
            </w:r>
          </w:p>
        </w:tc>
        <w:tc>
          <w:tcPr>
            <w:tcW w:w="2693" w:type="dxa"/>
            <w:hideMark/>
          </w:tcPr>
          <w:p w14:paraId="0C578D01" w14:textId="77777777" w:rsidR="00D30983" w:rsidRPr="00D9348B" w:rsidRDefault="00D30983" w:rsidP="00DB330E">
            <w:pPr>
              <w:pStyle w:val="TableText"/>
              <w:spacing w:before="50" w:after="50"/>
            </w:pPr>
            <w:r w:rsidRPr="00D9348B">
              <w:t>±50</w:t>
            </w:r>
          </w:p>
        </w:tc>
      </w:tr>
      <w:tr w:rsidR="00D30983" w:rsidRPr="00D9348B" w14:paraId="027CC887" w14:textId="77777777" w:rsidTr="00810AB6">
        <w:tc>
          <w:tcPr>
            <w:tcW w:w="2603" w:type="dxa"/>
            <w:hideMark/>
          </w:tcPr>
          <w:p w14:paraId="609C347B" w14:textId="77777777" w:rsidR="00D30983" w:rsidRPr="00D9348B" w:rsidRDefault="00D30983" w:rsidP="00DB330E">
            <w:pPr>
              <w:pStyle w:val="TableText"/>
              <w:spacing w:before="50" w:after="50"/>
            </w:pPr>
            <w:r w:rsidRPr="00D9348B">
              <w:t>Aerosols</w:t>
            </w:r>
          </w:p>
        </w:tc>
        <w:tc>
          <w:tcPr>
            <w:tcW w:w="2410" w:type="dxa"/>
            <w:hideMark/>
          </w:tcPr>
          <w:p w14:paraId="63962C39" w14:textId="77777777" w:rsidR="00D30983" w:rsidRPr="00D9348B" w:rsidRDefault="00D30983" w:rsidP="00DB330E">
            <w:pPr>
              <w:pStyle w:val="TableText"/>
              <w:spacing w:before="50" w:after="50"/>
            </w:pPr>
            <w:r w:rsidRPr="00D9348B">
              <w:t>±25</w:t>
            </w:r>
          </w:p>
        </w:tc>
        <w:tc>
          <w:tcPr>
            <w:tcW w:w="2693" w:type="dxa"/>
            <w:hideMark/>
          </w:tcPr>
          <w:p w14:paraId="132B62DF" w14:textId="77777777" w:rsidR="00D30983" w:rsidRPr="00D9348B" w:rsidRDefault="00D30983" w:rsidP="00DB330E">
            <w:pPr>
              <w:pStyle w:val="TableText"/>
              <w:spacing w:before="50" w:after="50"/>
            </w:pPr>
            <w:r w:rsidRPr="00D9348B">
              <w:t>±10</w:t>
            </w:r>
          </w:p>
        </w:tc>
      </w:tr>
      <w:tr w:rsidR="00D30983" w:rsidRPr="00D9348B" w14:paraId="6A675D09" w14:textId="77777777" w:rsidTr="00810AB6">
        <w:tc>
          <w:tcPr>
            <w:tcW w:w="2603" w:type="dxa"/>
            <w:tcBorders>
              <w:top w:val="nil"/>
              <w:left w:val="nil"/>
              <w:bottom w:val="single" w:sz="4" w:space="0" w:color="365F91"/>
              <w:right w:val="nil"/>
            </w:tcBorders>
            <w:hideMark/>
          </w:tcPr>
          <w:p w14:paraId="08258969" w14:textId="77777777" w:rsidR="00D30983" w:rsidRPr="00D9348B" w:rsidRDefault="00D30983" w:rsidP="00DB330E">
            <w:pPr>
              <w:pStyle w:val="TableText"/>
              <w:spacing w:before="50" w:after="50"/>
            </w:pPr>
            <w:r w:rsidRPr="00D9348B">
              <w:t>Fire protection</w:t>
            </w:r>
          </w:p>
        </w:tc>
        <w:tc>
          <w:tcPr>
            <w:tcW w:w="2410" w:type="dxa"/>
            <w:tcBorders>
              <w:top w:val="nil"/>
              <w:left w:val="nil"/>
              <w:bottom w:val="single" w:sz="4" w:space="0" w:color="365F91"/>
              <w:right w:val="nil"/>
            </w:tcBorders>
            <w:hideMark/>
          </w:tcPr>
          <w:p w14:paraId="231534A0" w14:textId="77777777" w:rsidR="00D30983" w:rsidRPr="00D9348B" w:rsidRDefault="00D30983" w:rsidP="00DB330E">
            <w:pPr>
              <w:pStyle w:val="TableText"/>
              <w:spacing w:before="50" w:after="50"/>
            </w:pPr>
            <w:r w:rsidRPr="00D9348B">
              <w:t>±10</w:t>
            </w:r>
          </w:p>
        </w:tc>
        <w:tc>
          <w:tcPr>
            <w:tcW w:w="2693" w:type="dxa"/>
            <w:tcBorders>
              <w:top w:val="nil"/>
              <w:left w:val="nil"/>
              <w:bottom w:val="single" w:sz="4" w:space="0" w:color="365F91"/>
              <w:right w:val="nil"/>
            </w:tcBorders>
            <w:hideMark/>
          </w:tcPr>
          <w:p w14:paraId="7F90A06C" w14:textId="77777777" w:rsidR="00D30983" w:rsidRPr="00D9348B" w:rsidRDefault="00D30983" w:rsidP="00DB330E">
            <w:pPr>
              <w:pStyle w:val="TableText"/>
              <w:spacing w:before="50" w:after="50"/>
            </w:pPr>
            <w:r w:rsidRPr="00D9348B">
              <w:t>±41</w:t>
            </w:r>
          </w:p>
        </w:tc>
      </w:tr>
    </w:tbl>
    <w:p w14:paraId="1A690600" w14:textId="77777777" w:rsidR="00D30983" w:rsidRPr="00D9348B" w:rsidRDefault="00D30983" w:rsidP="00D30983">
      <w:pPr>
        <w:pStyle w:val="Noteundertable"/>
        <w:spacing w:after="0"/>
      </w:pPr>
      <w:r w:rsidRPr="00D9348B">
        <w:rPr>
          <w:b/>
        </w:rPr>
        <w:t>Note:</w:t>
      </w:r>
      <w:r w:rsidRPr="00D9348B">
        <w:t xml:space="preserve"> NA = not applicable. </w:t>
      </w:r>
    </w:p>
    <w:p w14:paraId="4A17FEC6" w14:textId="77777777" w:rsidR="00D30983" w:rsidRPr="00D9348B" w:rsidRDefault="00D30983" w:rsidP="00865BDB">
      <w:pPr>
        <w:pStyle w:val="Heading4"/>
      </w:pPr>
      <w:r w:rsidRPr="00D9348B">
        <w:t>Time-series consistency</w:t>
      </w:r>
    </w:p>
    <w:p w14:paraId="1595C46E" w14:textId="77777777" w:rsidR="00D30983" w:rsidRPr="00D9348B" w:rsidRDefault="00D30983" w:rsidP="00D30983">
      <w:pPr>
        <w:pStyle w:val="BodyText"/>
        <w:spacing w:before="100" w:after="100"/>
      </w:pPr>
      <w:r w:rsidRPr="00D9348B">
        <w:t xml:space="preserve">Significant stockpiling of refrigerant gases occurred in anticipation of NZ ETS obligations in 2013, and some stockpiling appears to have occurred in other years in response to low NZ ETS unit prices. This has meant that stockpiling needed to be taken into account in applying the </w:t>
      </w:r>
      <w:r w:rsidRPr="00D9348B">
        <w:lastRenderedPageBreak/>
        <w:t xml:space="preserve">mass balance approach to calculate emissions. Some year-to-year variation in the emissions from refrigeration and air conditioning may indicate that there are also random changes in stocks from year to year that cannot be accurately assessed from available data. </w:t>
      </w:r>
    </w:p>
    <w:p w14:paraId="2D9D62EA" w14:textId="77777777" w:rsidR="00D30983" w:rsidRPr="00D9348B" w:rsidRDefault="00D30983" w:rsidP="00562240">
      <w:pPr>
        <w:pStyle w:val="Heading3"/>
        <w:spacing w:before="280"/>
      </w:pPr>
      <w:r w:rsidRPr="00D9348B">
        <w:t>4.7.4</w:t>
      </w:r>
      <w:r w:rsidRPr="00D9348B">
        <w:tab/>
        <w:t>Source-specific QA/QC and verification</w:t>
      </w:r>
    </w:p>
    <w:p w14:paraId="09E87245" w14:textId="77777777" w:rsidR="00D30983" w:rsidRPr="00D9348B" w:rsidRDefault="00D30983" w:rsidP="006B7E05">
      <w:pPr>
        <w:pStyle w:val="Heading4"/>
        <w:spacing w:before="160"/>
      </w:pPr>
      <w:r w:rsidRPr="00D9348B">
        <w:t>Refrigeration and air conditioning (2.F.1)</w:t>
      </w:r>
    </w:p>
    <w:p w14:paraId="35746A94" w14:textId="77777777" w:rsidR="00D30983" w:rsidRPr="00D9348B" w:rsidRDefault="00D30983" w:rsidP="00D30983">
      <w:pPr>
        <w:pStyle w:val="BodyText"/>
        <w:spacing w:before="100" w:after="100"/>
      </w:pPr>
      <w:r w:rsidRPr="00D9348B">
        <w:t xml:space="preserve">Use of HFCs in </w:t>
      </w:r>
      <w:r w:rsidRPr="00D9348B">
        <w:rPr>
          <w:i/>
        </w:rPr>
        <w:t>Refrigeration and air conditioning</w:t>
      </w:r>
      <w:r w:rsidRPr="00D9348B">
        <w:t xml:space="preserve"> was a key category. In the preparation of this inventory, the data on HFCs underwent Tier 1 quality checks. During data collection and calculation, activity data provided by industry were verified against national totals where possible, and unreturned questionnaires and anomalous data were followed up and verified to ensure a complete and accurate record of activity data. </w:t>
      </w:r>
    </w:p>
    <w:p w14:paraId="4E297B5E" w14:textId="77777777" w:rsidR="00D30983" w:rsidRPr="00D9348B" w:rsidRDefault="00D30983" w:rsidP="00D30983">
      <w:pPr>
        <w:pStyle w:val="BodyText"/>
        <w:spacing w:before="100" w:after="100"/>
      </w:pPr>
      <w:r w:rsidRPr="00D9348B">
        <w:t xml:space="preserve">For the years up to 2001, the survey data supplied by importers on bulk HFC imports were verified by comparison with import data supplied by Statistics New Zealand. The Ministry of Economic Development compiled a detailed breakdown of bulk HFCs using this data and information from import licences for a range of mixtures, such as HFCs and HCFCs. This analysis has not been carried out since 2001, due to restricted access to commercially sensitive import data. Consequently, this independent check on the total imports reported by bulk chemical suppliers is no longer available. </w:t>
      </w:r>
    </w:p>
    <w:p w14:paraId="286EA98E" w14:textId="77777777" w:rsidR="00D30983" w:rsidRPr="00D9348B" w:rsidRDefault="00D30983" w:rsidP="00D30983">
      <w:pPr>
        <w:pStyle w:val="BodyText"/>
        <w:spacing w:before="100" w:after="100"/>
      </w:pPr>
      <w:r w:rsidRPr="00D9348B">
        <w:t xml:space="preserve">Survey data provided by Fisher and Paykel Limited (the largest importer and manufacturer) were used to compare with total import data where possible. In addition, bulk importers now submit NZ ETS returns, which are used to verify survey information on import volumes where possible. </w:t>
      </w:r>
    </w:p>
    <w:p w14:paraId="386B6F59" w14:textId="77777777" w:rsidR="00D30983" w:rsidRPr="00D9348B" w:rsidRDefault="00D30983" w:rsidP="00D30983">
      <w:pPr>
        <w:pStyle w:val="BodyText"/>
        <w:spacing w:before="100" w:after="0"/>
      </w:pPr>
      <w:r w:rsidRPr="00D9348B">
        <w:t xml:space="preserve">There are no other key categories. Data underwent Tier 1 quality checks. </w:t>
      </w:r>
    </w:p>
    <w:p w14:paraId="0C9B7D1B" w14:textId="77777777" w:rsidR="00D30983" w:rsidRPr="00D9348B" w:rsidRDefault="00D30983" w:rsidP="00562240">
      <w:pPr>
        <w:pStyle w:val="Heading3"/>
        <w:spacing w:before="280"/>
      </w:pPr>
      <w:r w:rsidRPr="00D9348B">
        <w:t>4.7.5</w:t>
      </w:r>
      <w:r w:rsidRPr="00D9348B">
        <w:tab/>
        <w:t>Source-specific recalculations</w:t>
      </w:r>
    </w:p>
    <w:p w14:paraId="441B2B22" w14:textId="77777777" w:rsidR="00D30983" w:rsidRPr="00D9348B" w:rsidRDefault="00D30983" w:rsidP="00562240">
      <w:pPr>
        <w:pStyle w:val="BodyText"/>
        <w:spacing w:before="100" w:after="100"/>
      </w:pPr>
      <w:r w:rsidRPr="00D9348B">
        <w:t xml:space="preserve">In the 2018 and 2019 inventory submissions, emissions from the </w:t>
      </w:r>
      <w:r w:rsidRPr="00D9348B">
        <w:rPr>
          <w:i/>
        </w:rPr>
        <w:t>Refrigeration and air conditioning</w:t>
      </w:r>
      <w:r w:rsidRPr="00D9348B">
        <w:t xml:space="preserve"> source category were recalculated as a result of small changes to the amounts of chemical in banks, following stockpiling by importers, and to ensure the reported emissions are not unduly affected by stockpiling. Also, as in the 2018 submission, HFCs exported for destruction are reported as intentional destruction. In earlier submissions, this was excluded from the CRF tables because the destruction does not take place in New Zealand.</w:t>
      </w:r>
    </w:p>
    <w:p w14:paraId="61528546" w14:textId="77777777" w:rsidR="00D30983" w:rsidRPr="00D9348B" w:rsidRDefault="00D30983" w:rsidP="00562240">
      <w:pPr>
        <w:pStyle w:val="BodyText"/>
        <w:spacing w:before="100" w:after="100"/>
      </w:pPr>
      <w:r w:rsidRPr="00D9348B">
        <w:t xml:space="preserve">For this submission, stock levels of R125a, R134a and R1434a, held between 2013 and 2017, have been further reassessed on the basis of survey responses. This removed some implausible discontinuities in use and emissions. Such assessments are needed from time to time because data on imports and stockpiling are sometimes incomplete. </w:t>
      </w:r>
    </w:p>
    <w:p w14:paraId="35CFCB09" w14:textId="77777777" w:rsidR="00D30983" w:rsidRPr="00D9348B" w:rsidRDefault="00D30983" w:rsidP="00562240">
      <w:pPr>
        <w:pStyle w:val="BodyText"/>
        <w:spacing w:before="100" w:after="100"/>
      </w:pPr>
      <w:r w:rsidRPr="00D9348B">
        <w:t>The impact of this recalculation is to increase the 2017 emissions by 156.6 kt CO</w:t>
      </w:r>
      <w:r w:rsidRPr="00D9348B">
        <w:rPr>
          <w:vertAlign w:val="subscript"/>
        </w:rPr>
        <w:t>2</w:t>
      </w:r>
      <w:r w:rsidRPr="00D9348B">
        <w:t xml:space="preserve">-e. All recalculations of this type are changes to the timing of emissions, attributing them to a different year, and would not be likely to affect total emissions if they are averaged over a longer period. </w:t>
      </w:r>
    </w:p>
    <w:p w14:paraId="7FACF4BA" w14:textId="77777777" w:rsidR="00D30983" w:rsidRPr="00D9348B" w:rsidRDefault="00D30983" w:rsidP="00562240">
      <w:pPr>
        <w:pStyle w:val="Heading3"/>
        <w:spacing w:before="280"/>
      </w:pPr>
      <w:r w:rsidRPr="00D9348B">
        <w:t>4.7.6</w:t>
      </w:r>
      <w:r w:rsidRPr="00D9348B">
        <w:tab/>
        <w:t>Source-specific planned improvements</w:t>
      </w:r>
    </w:p>
    <w:p w14:paraId="29358952" w14:textId="77777777" w:rsidR="00D30983" w:rsidRPr="00D9348B" w:rsidRDefault="00D30983" w:rsidP="00D30983">
      <w:pPr>
        <w:pStyle w:val="BodyText"/>
      </w:pPr>
      <w:r w:rsidRPr="00D9348B">
        <w:t xml:space="preserve">No specific improvements are planned for this source category. There are still some year-to-year variations in emissions from the </w:t>
      </w:r>
      <w:r w:rsidRPr="00D9348B">
        <w:rPr>
          <w:i/>
        </w:rPr>
        <w:t xml:space="preserve">Refrigeration and air conditioning </w:t>
      </w:r>
      <w:r w:rsidRPr="00D9348B">
        <w:t xml:space="preserve">source category, which may be an indication that improvements can be made by better accounting for stockpiling of bulk chemical. This will be investigated for future submissions. </w:t>
      </w:r>
    </w:p>
    <w:p w14:paraId="05E1CB1C" w14:textId="77777777" w:rsidR="00D30983" w:rsidRPr="00D9348B" w:rsidRDefault="00D30983" w:rsidP="00D30983">
      <w:pPr>
        <w:pStyle w:val="Heading2"/>
      </w:pPr>
      <w:bookmarkStart w:id="540" w:name="_Toc448321519"/>
      <w:bookmarkStart w:id="541" w:name="_Toc5269358"/>
      <w:bookmarkStart w:id="542" w:name="_Toc36224398"/>
      <w:r w:rsidRPr="00D9348B">
        <w:lastRenderedPageBreak/>
        <w:t>4.8</w:t>
      </w:r>
      <w:r w:rsidRPr="00D9348B">
        <w:tab/>
        <w:t>Other product manufacture and use (2.G)</w:t>
      </w:r>
      <w:bookmarkEnd w:id="540"/>
      <w:bookmarkEnd w:id="541"/>
      <w:bookmarkEnd w:id="542"/>
    </w:p>
    <w:p w14:paraId="4239AD1D" w14:textId="77777777" w:rsidR="00D30983" w:rsidRPr="00D9348B" w:rsidRDefault="00D30983" w:rsidP="006B7E05">
      <w:pPr>
        <w:pStyle w:val="Heading3"/>
        <w:spacing w:before="160"/>
      </w:pPr>
      <w:r w:rsidRPr="00D9348B">
        <w:t>4.8.1</w:t>
      </w:r>
      <w:r w:rsidRPr="00D9348B">
        <w:tab/>
        <w:t>Description</w:t>
      </w:r>
    </w:p>
    <w:p w14:paraId="39B3175D" w14:textId="77777777" w:rsidR="00D30983" w:rsidRPr="00D9348B" w:rsidRDefault="00D30983" w:rsidP="00D30983">
      <w:pPr>
        <w:pStyle w:val="BodyText"/>
      </w:pPr>
      <w:r w:rsidRPr="00D9348B">
        <w:t xml:space="preserve">This source category in New Zealand comprises emissions from: </w:t>
      </w:r>
    </w:p>
    <w:p w14:paraId="26941EDB" w14:textId="77777777" w:rsidR="00D30983" w:rsidRPr="00D9348B" w:rsidRDefault="00D30983" w:rsidP="00DE1FAA">
      <w:pPr>
        <w:pStyle w:val="Bullet"/>
      </w:pPr>
      <w:r w:rsidRPr="00D9348B">
        <w:t>use of SF</w:t>
      </w:r>
      <w:r w:rsidRPr="00D9348B">
        <w:rPr>
          <w:vertAlign w:val="subscript"/>
        </w:rPr>
        <w:t>6</w:t>
      </w:r>
      <w:r w:rsidRPr="00D9348B">
        <w:t xml:space="preserve"> as an insulant and as an arc-extinguishing agent in electrical switchgear </w:t>
      </w:r>
    </w:p>
    <w:p w14:paraId="1B7089C2" w14:textId="77777777" w:rsidR="00D30983" w:rsidRPr="00D9348B" w:rsidRDefault="00D30983" w:rsidP="00DE1FAA">
      <w:pPr>
        <w:pStyle w:val="Bullet"/>
      </w:pPr>
      <w:r w:rsidRPr="00D9348B">
        <w:t>use of SF</w:t>
      </w:r>
      <w:r w:rsidRPr="00D9348B">
        <w:rPr>
          <w:vertAlign w:val="subscript"/>
        </w:rPr>
        <w:t>6</w:t>
      </w:r>
      <w:r w:rsidRPr="00D9348B">
        <w:t xml:space="preserve"> in eye surgery </w:t>
      </w:r>
    </w:p>
    <w:p w14:paraId="476194EB" w14:textId="77777777" w:rsidR="00D30983" w:rsidRPr="00D9348B" w:rsidRDefault="00D30983" w:rsidP="00DE1FAA">
      <w:pPr>
        <w:pStyle w:val="Bullet"/>
      </w:pPr>
      <w:r w:rsidRPr="00D9348B">
        <w:t>use of PFCs (C</w:t>
      </w:r>
      <w:r w:rsidRPr="00D9348B">
        <w:rPr>
          <w:vertAlign w:val="subscript"/>
        </w:rPr>
        <w:t>2</w:t>
      </w:r>
      <w:r w:rsidRPr="00D9348B">
        <w:t>F</w:t>
      </w:r>
      <w:r w:rsidRPr="00D9348B">
        <w:rPr>
          <w:vertAlign w:val="subscript"/>
        </w:rPr>
        <w:t>6</w:t>
      </w:r>
      <w:r w:rsidRPr="00D9348B">
        <w:t xml:space="preserve"> and perfluoropropane (C</w:t>
      </w:r>
      <w:r w:rsidRPr="00D9348B">
        <w:rPr>
          <w:vertAlign w:val="subscript"/>
        </w:rPr>
        <w:t>3</w:t>
      </w:r>
      <w:r w:rsidRPr="00D9348B">
        <w:t>F</w:t>
      </w:r>
      <w:r w:rsidRPr="00D9348B">
        <w:rPr>
          <w:vertAlign w:val="subscript"/>
        </w:rPr>
        <w:t>8</w:t>
      </w:r>
      <w:r w:rsidRPr="00D9348B">
        <w:t xml:space="preserve">)) in eye surgery </w:t>
      </w:r>
    </w:p>
    <w:p w14:paraId="059AD31E" w14:textId="77777777" w:rsidR="00D30983" w:rsidRPr="00D9348B" w:rsidRDefault="00D30983" w:rsidP="00DE1FAA">
      <w:pPr>
        <w:pStyle w:val="Bullet"/>
      </w:pPr>
      <w:r w:rsidRPr="00D9348B">
        <w:t>use of SF</w:t>
      </w:r>
      <w:r w:rsidRPr="00D9348B">
        <w:rPr>
          <w:vertAlign w:val="subscript"/>
        </w:rPr>
        <w:t>6</w:t>
      </w:r>
      <w:r w:rsidRPr="00D9348B">
        <w:t xml:space="preserve"> as a tracer gas in scientific experiments </w:t>
      </w:r>
    </w:p>
    <w:p w14:paraId="1FA1CDEA" w14:textId="77777777" w:rsidR="00D30983" w:rsidRPr="00D9348B" w:rsidRDefault="00D30983" w:rsidP="00DE1FAA">
      <w:pPr>
        <w:pStyle w:val="Bullet"/>
      </w:pPr>
      <w:r w:rsidRPr="00D9348B">
        <w:t>possible other uses of SF</w:t>
      </w:r>
      <w:r w:rsidRPr="00D9348B">
        <w:rPr>
          <w:vertAlign w:val="subscript"/>
        </w:rPr>
        <w:t>6</w:t>
      </w:r>
      <w:r w:rsidRPr="00D9348B">
        <w:t>, such as in vehicle tyres and industrial equipment</w:t>
      </w:r>
    </w:p>
    <w:p w14:paraId="1D653D56" w14:textId="77777777" w:rsidR="00D30983" w:rsidRPr="00D9348B" w:rsidRDefault="00D30983" w:rsidP="00DE1FAA">
      <w:pPr>
        <w:pStyle w:val="Bullet"/>
      </w:pPr>
      <w:proofErr w:type="gramStart"/>
      <w:r w:rsidRPr="00D9348B">
        <w:t>medical</w:t>
      </w:r>
      <w:proofErr w:type="gramEnd"/>
      <w:r w:rsidRPr="00D9348B">
        <w:t xml:space="preserve"> uses of N</w:t>
      </w:r>
      <w:r w:rsidRPr="00D9348B">
        <w:rPr>
          <w:vertAlign w:val="subscript"/>
        </w:rPr>
        <w:t>2</w:t>
      </w:r>
      <w:r w:rsidRPr="00D9348B">
        <w:t xml:space="preserve">O. </w:t>
      </w:r>
    </w:p>
    <w:p w14:paraId="4FEECFFA" w14:textId="77777777" w:rsidR="00D30983" w:rsidRPr="00D9348B" w:rsidRDefault="00D30983" w:rsidP="00D30983">
      <w:pPr>
        <w:pStyle w:val="BodyText"/>
      </w:pPr>
      <w:r w:rsidRPr="00D9348B">
        <w:t>There are no emissions of nitrogen trifluoride (NF</w:t>
      </w:r>
      <w:r w:rsidRPr="00D9348B">
        <w:rPr>
          <w:vertAlign w:val="subscript"/>
        </w:rPr>
        <w:t>3</w:t>
      </w:r>
      <w:r w:rsidRPr="00D9348B">
        <w:t>) in New Zealand. Small amounts of indirect emissions (NMVOC and SO</w:t>
      </w:r>
      <w:r w:rsidRPr="00D9348B">
        <w:rPr>
          <w:vertAlign w:val="subscript"/>
        </w:rPr>
        <w:t>2</w:t>
      </w:r>
      <w:r w:rsidRPr="00D9348B">
        <w:t xml:space="preserve">) are reported from the manufacture of food and drink, pulp and paper, and board products (fibreboard and particleboard). </w:t>
      </w:r>
    </w:p>
    <w:p w14:paraId="17AD8B74" w14:textId="77777777" w:rsidR="00D30983" w:rsidRPr="00D9348B" w:rsidRDefault="00D30983" w:rsidP="00D30983">
      <w:pPr>
        <w:pStyle w:val="BodyText"/>
      </w:pPr>
      <w:r w:rsidRPr="00D9348B">
        <w:t xml:space="preserve">There are no key categories in this source category. </w:t>
      </w:r>
    </w:p>
    <w:p w14:paraId="77CBAE9D" w14:textId="77777777" w:rsidR="00D30983" w:rsidRPr="00D9348B" w:rsidRDefault="00D30983" w:rsidP="00D30983">
      <w:pPr>
        <w:pStyle w:val="BodyText"/>
        <w:spacing w:before="100" w:after="100"/>
      </w:pPr>
      <w:r w:rsidRPr="00D9348B">
        <w:t>In 2018, net emissions of SF</w:t>
      </w:r>
      <w:r w:rsidRPr="00D9348B">
        <w:rPr>
          <w:vertAlign w:val="subscript"/>
        </w:rPr>
        <w:t>6</w:t>
      </w:r>
      <w:r w:rsidRPr="00D9348B">
        <w:t xml:space="preserve"> and N</w:t>
      </w:r>
      <w:r w:rsidRPr="00D9348B">
        <w:rPr>
          <w:vertAlign w:val="subscript"/>
        </w:rPr>
        <w:t>2</w:t>
      </w:r>
      <w:r w:rsidRPr="00D9348B">
        <w:t xml:space="preserve">O from the </w:t>
      </w:r>
      <w:proofErr w:type="gramStart"/>
      <w:r w:rsidRPr="00D9348B">
        <w:rPr>
          <w:i/>
        </w:rPr>
        <w:t>Other</w:t>
      </w:r>
      <w:proofErr w:type="gramEnd"/>
      <w:r w:rsidRPr="00D9348B">
        <w:rPr>
          <w:i/>
        </w:rPr>
        <w:t xml:space="preserve"> product manufacture and use</w:t>
      </w:r>
      <w:r w:rsidRPr="00D9348B">
        <w:t xml:space="preserve"> category totalled 96.4 kt CO</w:t>
      </w:r>
      <w:r w:rsidRPr="00D9348B">
        <w:rPr>
          <w:vertAlign w:val="subscript"/>
        </w:rPr>
        <w:t>2</w:t>
      </w:r>
      <w:r w:rsidRPr="00D9348B">
        <w:t>-e or 1.9 per cent of emissions from the IPPU sector. This is a decrease of 23.3 kt (19.5 per cent) from the emissions in 1990, driven by a reduction in the importation and use of N</w:t>
      </w:r>
      <w:r w:rsidRPr="00D9348B">
        <w:rPr>
          <w:vertAlign w:val="subscript"/>
        </w:rPr>
        <w:t>2</w:t>
      </w:r>
      <w:r w:rsidRPr="00D9348B">
        <w:t xml:space="preserve">O over time. </w:t>
      </w:r>
    </w:p>
    <w:p w14:paraId="5BF6B631" w14:textId="77777777" w:rsidR="00D30983" w:rsidRPr="00D9348B" w:rsidRDefault="00D30983" w:rsidP="00D30983">
      <w:pPr>
        <w:pStyle w:val="Heading3"/>
        <w:spacing w:before="320"/>
      </w:pPr>
      <w:r w:rsidRPr="00D9348B">
        <w:t xml:space="preserve">4.8.2 </w:t>
      </w:r>
      <w:r w:rsidRPr="00D9348B">
        <w:tab/>
        <w:t>Methodological issues</w:t>
      </w:r>
    </w:p>
    <w:p w14:paraId="22B86B11" w14:textId="77777777" w:rsidR="00D30983" w:rsidRPr="00D9348B" w:rsidRDefault="00D30983" w:rsidP="006B7E05">
      <w:pPr>
        <w:pStyle w:val="Heading4"/>
        <w:spacing w:before="160"/>
      </w:pPr>
      <w:r w:rsidRPr="00D9348B">
        <w:t>Choice of activity data</w:t>
      </w:r>
    </w:p>
    <w:p w14:paraId="17F028EB" w14:textId="77777777" w:rsidR="00D30983" w:rsidRPr="00D9348B" w:rsidRDefault="00D30983" w:rsidP="00D30983">
      <w:pPr>
        <w:pStyle w:val="BodyText"/>
        <w:spacing w:before="100" w:after="100"/>
      </w:pPr>
      <w:r w:rsidRPr="00D9348B">
        <w:t>Companies importing or using SF</w:t>
      </w:r>
      <w:r w:rsidRPr="00D9348B">
        <w:rPr>
          <w:vertAlign w:val="subscript"/>
        </w:rPr>
        <w:t>6</w:t>
      </w:r>
      <w:r w:rsidRPr="00D9348B">
        <w:t xml:space="preserve"> and N</w:t>
      </w:r>
      <w:r w:rsidRPr="00D9348B">
        <w:rPr>
          <w:vertAlign w:val="subscript"/>
        </w:rPr>
        <w:t>2</w:t>
      </w:r>
      <w:r w:rsidRPr="00D9348B">
        <w:t>O provided data on their imports and holdings in response to an annual survey. In addition, companies that use SF</w:t>
      </w:r>
      <w:r w:rsidRPr="00D9348B">
        <w:rPr>
          <w:vertAlign w:val="subscript"/>
        </w:rPr>
        <w:t>6</w:t>
      </w:r>
      <w:r w:rsidRPr="00D9348B">
        <w:t xml:space="preserve"> in electrical equipment, and have more than 1 tonne of the gas in operating equipment, report their holdings and emissions in NZ ETS returns. </w:t>
      </w:r>
    </w:p>
    <w:p w14:paraId="735E8C9F" w14:textId="77777777" w:rsidR="00D30983" w:rsidRPr="00D9348B" w:rsidRDefault="00D30983" w:rsidP="00D30983">
      <w:pPr>
        <w:pStyle w:val="Heading5"/>
      </w:pPr>
      <w:r w:rsidRPr="00D9348B">
        <w:t>Electrical equipment (2.G.1)</w:t>
      </w:r>
    </w:p>
    <w:p w14:paraId="0D459405" w14:textId="77777777" w:rsidR="00D30983" w:rsidRPr="00D9348B" w:rsidRDefault="00D30983" w:rsidP="00D30983">
      <w:pPr>
        <w:pStyle w:val="BodyText"/>
        <w:spacing w:after="100"/>
      </w:pPr>
      <w:r w:rsidRPr="00D9348B">
        <w:t>Data on bulk imports of SF</w:t>
      </w:r>
      <w:r w:rsidRPr="00D9348B">
        <w:rPr>
          <w:vertAlign w:val="subscript"/>
        </w:rPr>
        <w:t>6</w:t>
      </w:r>
      <w:r w:rsidRPr="00D9348B">
        <w:t xml:space="preserve"> and the charge in installed equipment were supplied by New Zealand’s only manufacturer of relevant electrical equipment (ABB Limited) and by the electricity transmission and generation companies. The transmission and generation companies import SF</w:t>
      </w:r>
      <w:r w:rsidRPr="00D9348B">
        <w:rPr>
          <w:vertAlign w:val="subscript"/>
        </w:rPr>
        <w:t>6</w:t>
      </w:r>
      <w:r w:rsidRPr="00D9348B">
        <w:t xml:space="preserve"> for their own use. </w:t>
      </w:r>
    </w:p>
    <w:p w14:paraId="414C38CA" w14:textId="77777777" w:rsidR="00D30983" w:rsidRPr="00D9348B" w:rsidRDefault="00D30983" w:rsidP="00D30983">
      <w:pPr>
        <w:pStyle w:val="Heading5"/>
      </w:pPr>
      <w:r w:rsidRPr="00D9348B">
        <w:t>Sulphur hexafluoride and PFCs from other product use (2.G.2)</w:t>
      </w:r>
    </w:p>
    <w:p w14:paraId="242B8755" w14:textId="77777777" w:rsidR="00D30983" w:rsidRPr="00D9348B" w:rsidRDefault="00D30983" w:rsidP="00D30983">
      <w:pPr>
        <w:pStyle w:val="BodyText"/>
        <w:spacing w:before="100" w:after="100"/>
      </w:pPr>
      <w:r w:rsidRPr="00D9348B">
        <w:t>One company (BOC Limited) imported SF</w:t>
      </w:r>
      <w:r w:rsidRPr="00D9348B">
        <w:rPr>
          <w:vertAlign w:val="subscript"/>
        </w:rPr>
        <w:t>6</w:t>
      </w:r>
      <w:r w:rsidRPr="00D9348B">
        <w:t xml:space="preserve"> into New Zealand (for uses other than electrical switchgear) until 2012. There is no other known importer, and some users appear to have been using previously imported supplies since that time. The current usage rate is assessed (from earlier importation rates) to be approximately 120 kilograms per year. This is made up of 30 kilograms for medical use, 50 kilograms for scientific use and 40 kilograms for other uses. </w:t>
      </w:r>
    </w:p>
    <w:p w14:paraId="34F39B93" w14:textId="77777777" w:rsidR="00D30983" w:rsidRPr="00D9348B" w:rsidRDefault="00D30983" w:rsidP="00D30983">
      <w:pPr>
        <w:pStyle w:val="BodyText"/>
        <w:spacing w:before="100" w:after="100"/>
      </w:pPr>
      <w:r w:rsidRPr="00D9348B">
        <w:t>Extremely small amounts of C</w:t>
      </w:r>
      <w:r w:rsidRPr="00D9348B">
        <w:rPr>
          <w:vertAlign w:val="subscript"/>
        </w:rPr>
        <w:t>2</w:t>
      </w:r>
      <w:r w:rsidRPr="00D9348B">
        <w:t>F</w:t>
      </w:r>
      <w:r w:rsidRPr="00D9348B">
        <w:rPr>
          <w:vertAlign w:val="subscript"/>
        </w:rPr>
        <w:t>6</w:t>
      </w:r>
      <w:r w:rsidRPr="00D9348B">
        <w:t xml:space="preserve"> and C</w:t>
      </w:r>
      <w:r w:rsidRPr="00D9348B">
        <w:rPr>
          <w:vertAlign w:val="subscript"/>
        </w:rPr>
        <w:t>3</w:t>
      </w:r>
      <w:r w:rsidRPr="00D9348B">
        <w:t>F</w:t>
      </w:r>
      <w:r w:rsidRPr="00D9348B">
        <w:rPr>
          <w:vertAlign w:val="subscript"/>
        </w:rPr>
        <w:t>8</w:t>
      </w:r>
      <w:r w:rsidRPr="00D9348B">
        <w:t xml:space="preserve"> are imported into New Zealand for use in a specialised type of eye surgery. The importer provided information on the amount imported: between 0.1 kilogram and 0.3 kilograms per year. </w:t>
      </w:r>
    </w:p>
    <w:p w14:paraId="00A42C20" w14:textId="77777777" w:rsidR="00D30983" w:rsidRPr="00D9348B" w:rsidRDefault="00D30983" w:rsidP="00D30983">
      <w:pPr>
        <w:pStyle w:val="BodyText"/>
        <w:spacing w:before="100" w:after="100"/>
      </w:pPr>
      <w:r w:rsidRPr="00D9348B">
        <w:lastRenderedPageBreak/>
        <w:t>Enquiries to importers and the tyre industry indicate that there is no use of SF</w:t>
      </w:r>
      <w:r w:rsidRPr="00D9348B">
        <w:rPr>
          <w:vertAlign w:val="subscript"/>
        </w:rPr>
        <w:t>6</w:t>
      </w:r>
      <w:r w:rsidRPr="00D9348B">
        <w:t xml:space="preserve"> in New Zealand for other applications such as tyres and shoes. </w:t>
      </w:r>
    </w:p>
    <w:p w14:paraId="353D734F" w14:textId="77777777" w:rsidR="00D30983" w:rsidRPr="00D9348B" w:rsidRDefault="00D30983" w:rsidP="00D30983">
      <w:pPr>
        <w:pStyle w:val="Heading5"/>
      </w:pPr>
      <w:r w:rsidRPr="00D9348B">
        <w:t>Nitrous oxide from product uses (2.G.3)</w:t>
      </w:r>
    </w:p>
    <w:p w14:paraId="117D7392" w14:textId="77777777" w:rsidR="00D30983" w:rsidRPr="00D9348B" w:rsidRDefault="00D30983" w:rsidP="00D30983">
      <w:pPr>
        <w:pStyle w:val="BodyText"/>
        <w:spacing w:before="100" w:after="100"/>
      </w:pPr>
      <w:r w:rsidRPr="00D9348B">
        <w:t>Data on the import quantities of N</w:t>
      </w:r>
      <w:r w:rsidRPr="00D9348B">
        <w:rPr>
          <w:vertAlign w:val="subscript"/>
        </w:rPr>
        <w:t>2</w:t>
      </w:r>
      <w:r w:rsidRPr="00D9348B">
        <w:t>O were available from the New Zealand Customs Service and Statistics New Zealand from 2005, but some of these are considered unreliable due to classification errors by importers. Survey responses from companies that sell N</w:t>
      </w:r>
      <w:r w:rsidRPr="00D9348B">
        <w:rPr>
          <w:vertAlign w:val="subscript"/>
        </w:rPr>
        <w:t>2</w:t>
      </w:r>
      <w:r w:rsidRPr="00D9348B">
        <w:t xml:space="preserve">O and import data have been assessed together to estimate the total imports, which vary between 181 tonnes and 205 tonnes per year (CRL Energy, </w:t>
      </w:r>
      <w:r w:rsidRPr="00D9348B">
        <w:rPr>
          <w:rFonts w:eastAsia="+mn-ea"/>
        </w:rPr>
        <w:t>unpublished(c)</w:t>
      </w:r>
      <w:r w:rsidRPr="00D9348B">
        <w:t xml:space="preserve">). </w:t>
      </w:r>
    </w:p>
    <w:p w14:paraId="14C76D2A" w14:textId="77777777" w:rsidR="00D30983" w:rsidRPr="00D9348B" w:rsidRDefault="00D30983" w:rsidP="00865BDB">
      <w:pPr>
        <w:pStyle w:val="Heading4"/>
        <w:rPr>
          <w:bCs/>
          <w:iCs/>
        </w:rPr>
      </w:pPr>
      <w:r w:rsidRPr="00D9348B">
        <w:t>Choice of methods</w:t>
      </w:r>
    </w:p>
    <w:p w14:paraId="41B39A2B" w14:textId="77777777" w:rsidR="00D30983" w:rsidRPr="00D9348B" w:rsidRDefault="00D30983" w:rsidP="00D30983">
      <w:pPr>
        <w:pStyle w:val="Heading5"/>
        <w:spacing w:before="120"/>
      </w:pPr>
      <w:r w:rsidRPr="00D9348B">
        <w:t>Electrical equipment (2.G.1)</w:t>
      </w:r>
    </w:p>
    <w:p w14:paraId="222E44C5" w14:textId="77777777" w:rsidR="00D30983" w:rsidRPr="00D9348B" w:rsidRDefault="00D30983" w:rsidP="00D30983">
      <w:pPr>
        <w:pStyle w:val="BodyText"/>
      </w:pPr>
      <w:r w:rsidRPr="00D9348B">
        <w:t xml:space="preserve">The national grid company, Transpower, and several of the larger electricity generation companies have supplied stocks and usage data that are detailed enough to allow the use of a Tier 3 approach for the years 2003 to 2018. This uses a mass balance calculation for closed pressure equipment and an emission factor calculation for sealed pressure equipment. </w:t>
      </w:r>
    </w:p>
    <w:p w14:paraId="6410ECF7" w14:textId="77777777" w:rsidR="00D30983" w:rsidRPr="00D9348B" w:rsidRDefault="00D30983" w:rsidP="00D30983">
      <w:pPr>
        <w:pStyle w:val="BodyText"/>
      </w:pPr>
      <w:r w:rsidRPr="00D9348B">
        <w:t xml:space="preserve">For all data prior to 2003, and for the other distribution companies that do not have ETS reporting obligations and have not provided detailed data, a Tier 1 approach is used. </w:t>
      </w:r>
    </w:p>
    <w:p w14:paraId="785FB0CB" w14:textId="77777777" w:rsidR="00D30983" w:rsidRPr="00D9348B" w:rsidRDefault="00D30983" w:rsidP="00D30983">
      <w:pPr>
        <w:pStyle w:val="BodyText"/>
        <w:spacing w:before="100" w:after="100"/>
      </w:pPr>
      <w:r w:rsidRPr="00D9348B">
        <w:t xml:space="preserve">Both approaches account for emissions from the operation and disposal of equipment. </w:t>
      </w:r>
    </w:p>
    <w:p w14:paraId="0A0E5FA0" w14:textId="77777777" w:rsidR="00D30983" w:rsidRPr="00D9348B" w:rsidRDefault="00D30983" w:rsidP="00D30983">
      <w:pPr>
        <w:pStyle w:val="Heading5"/>
      </w:pPr>
      <w:r w:rsidRPr="00D9348B">
        <w:t xml:space="preserve">Other </w:t>
      </w:r>
    </w:p>
    <w:p w14:paraId="6477249C" w14:textId="77777777" w:rsidR="00D30983" w:rsidRPr="00D9348B" w:rsidRDefault="00D30983" w:rsidP="00D30983">
      <w:pPr>
        <w:pStyle w:val="BodyText"/>
      </w:pPr>
      <w:r w:rsidRPr="00D9348B">
        <w:t>Because the quantities are small and the emissions are all considered to be prompt, Tier 1 methods are used for all other emissions in this source category. All SF</w:t>
      </w:r>
      <w:r w:rsidRPr="00D9348B">
        <w:rPr>
          <w:vertAlign w:val="subscript"/>
        </w:rPr>
        <w:t>6</w:t>
      </w:r>
      <w:r w:rsidRPr="00D9348B">
        <w:t xml:space="preserve"> or N</w:t>
      </w:r>
      <w:r w:rsidRPr="00D9348B">
        <w:rPr>
          <w:vertAlign w:val="subscript"/>
        </w:rPr>
        <w:t>2</w:t>
      </w:r>
      <w:r w:rsidRPr="00D9348B">
        <w:t xml:space="preserve">O that is imported is assumed to be sold and emitted. </w:t>
      </w:r>
    </w:p>
    <w:p w14:paraId="49C46A4F" w14:textId="77777777" w:rsidR="00D30983" w:rsidRPr="00D9348B" w:rsidRDefault="00D30983" w:rsidP="00865BDB">
      <w:pPr>
        <w:pStyle w:val="Heading4"/>
        <w:rPr>
          <w:bCs/>
          <w:iCs/>
        </w:rPr>
      </w:pPr>
      <w:r w:rsidRPr="00D9348B">
        <w:t>Choice of emission factors</w:t>
      </w:r>
    </w:p>
    <w:p w14:paraId="0F2F3949" w14:textId="77777777" w:rsidR="00D30983" w:rsidRPr="00D9348B" w:rsidRDefault="00D30983" w:rsidP="00D30983">
      <w:pPr>
        <w:pStyle w:val="Heading5"/>
        <w:spacing w:before="120"/>
      </w:pPr>
      <w:r w:rsidRPr="00D9348B">
        <w:t>Electrical equipment (2.G.1)</w:t>
      </w:r>
    </w:p>
    <w:p w14:paraId="21B55E2B" w14:textId="77777777" w:rsidR="00D30983" w:rsidRPr="00D9348B" w:rsidRDefault="00D30983" w:rsidP="00D30983">
      <w:pPr>
        <w:pStyle w:val="BodyText"/>
      </w:pPr>
      <w:r w:rsidRPr="00D9348B">
        <w:t xml:space="preserve">Default emission factors (loss rates and disposal emissions) have been used, where an emission factor is required, for sealed pressure equipment and where a Tier 1 method has had to be used. Factors based on Europe have been used, because these are based on a study that distinguished between sealed and closed equipment types (IPCC, 2006a). </w:t>
      </w:r>
    </w:p>
    <w:p w14:paraId="45EA5763" w14:textId="77777777" w:rsidR="00D30983" w:rsidRPr="00D9348B" w:rsidRDefault="00D30983" w:rsidP="00D30983">
      <w:pPr>
        <w:pStyle w:val="BodyText"/>
      </w:pPr>
      <w:r w:rsidRPr="00D9348B">
        <w:t xml:space="preserve">Improved information from surveys has allowed the use of these two different equipment types in New Zealand to be better disaggregated over time, and the choice of emission factors is now more accurate than in previous submissions (CRL Energy, </w:t>
      </w:r>
      <w:r w:rsidRPr="00D9348B">
        <w:rPr>
          <w:rFonts w:eastAsia="+mn-ea"/>
        </w:rPr>
        <w:t>unpublished(c)</w:t>
      </w:r>
      <w:r w:rsidRPr="00D9348B">
        <w:t>). However, this distinction is not always clear and remains a source of uncertainty. Units that are described as sealed can sometimes be topped up with SF</w:t>
      </w:r>
      <w:r w:rsidRPr="00D9348B">
        <w:rPr>
          <w:vertAlign w:val="subscript"/>
        </w:rPr>
        <w:t>6</w:t>
      </w:r>
      <w:r w:rsidRPr="00D9348B">
        <w:t xml:space="preserve"> in service. </w:t>
      </w:r>
    </w:p>
    <w:p w14:paraId="4A273A8B" w14:textId="77777777" w:rsidR="00D30983" w:rsidRPr="00D9348B" w:rsidRDefault="00D30983" w:rsidP="00D30983">
      <w:pPr>
        <w:pStyle w:val="Heading5"/>
      </w:pPr>
      <w:r w:rsidRPr="00D9348B">
        <w:t xml:space="preserve">Other </w:t>
      </w:r>
    </w:p>
    <w:p w14:paraId="5DFDCE92" w14:textId="77777777" w:rsidR="00D30983" w:rsidRPr="00D9348B" w:rsidRDefault="00D30983" w:rsidP="00D30983">
      <w:pPr>
        <w:pStyle w:val="BodyText"/>
      </w:pPr>
      <w:r w:rsidRPr="00D9348B">
        <w:t>Emissions of SF</w:t>
      </w:r>
      <w:r w:rsidRPr="00D9348B">
        <w:rPr>
          <w:vertAlign w:val="subscript"/>
        </w:rPr>
        <w:t>6</w:t>
      </w:r>
      <w:r w:rsidRPr="00D9348B">
        <w:t xml:space="preserve"> and other gases for all other applications are assumed to be prompt, and an emission factor of 50 per cent or 100 per cent is used, as appropriate. </w:t>
      </w:r>
    </w:p>
    <w:p w14:paraId="6CEA9C57" w14:textId="77777777" w:rsidR="00D30983" w:rsidRPr="00D9348B" w:rsidRDefault="00D30983" w:rsidP="00D30983">
      <w:pPr>
        <w:pStyle w:val="Heading3"/>
      </w:pPr>
      <w:r w:rsidRPr="00D9348B">
        <w:lastRenderedPageBreak/>
        <w:t xml:space="preserve">4.8.3 </w:t>
      </w:r>
      <w:r w:rsidRPr="00D9348B">
        <w:tab/>
        <w:t>Uncertainties and time-series consistency</w:t>
      </w:r>
    </w:p>
    <w:p w14:paraId="7F7CA59F" w14:textId="77777777" w:rsidR="00D30983" w:rsidRPr="00D9348B" w:rsidRDefault="00D30983" w:rsidP="006B7E05">
      <w:pPr>
        <w:pStyle w:val="Heading4"/>
        <w:spacing w:before="160"/>
        <w:rPr>
          <w:bCs/>
          <w:iCs/>
        </w:rPr>
      </w:pPr>
      <w:r w:rsidRPr="00D9348B">
        <w:t>Uncertainties</w:t>
      </w:r>
    </w:p>
    <w:p w14:paraId="6BEAB3E1" w14:textId="77777777" w:rsidR="00D30983" w:rsidRPr="00D9348B" w:rsidRDefault="00D30983" w:rsidP="00D30983">
      <w:pPr>
        <w:pStyle w:val="BodyText"/>
      </w:pPr>
      <w:r w:rsidRPr="00D9348B">
        <w:t>A mix of expert judgement and IPCC default uncertainties has been used for emissions in this source category (see table 4.8.1). IPCC (2006a) recommends the use of expert judgement for sources such as N</w:t>
      </w:r>
      <w:r w:rsidRPr="00D9348B">
        <w:rPr>
          <w:vertAlign w:val="subscript"/>
        </w:rPr>
        <w:t>2</w:t>
      </w:r>
      <w:r w:rsidRPr="00D9348B">
        <w:t xml:space="preserve">O from product uses, because the uncertainties vary from country to country. For categories other than </w:t>
      </w:r>
      <w:r w:rsidRPr="00D9348B">
        <w:rPr>
          <w:i/>
        </w:rPr>
        <w:t>Electrical equipment</w:t>
      </w:r>
      <w:r w:rsidRPr="00D9348B">
        <w:t xml:space="preserve">, there is no uncertainty in emission factors because emissions are considered to be immediate. </w:t>
      </w:r>
    </w:p>
    <w:p w14:paraId="2603A6F7" w14:textId="77777777" w:rsidR="00D30983" w:rsidRPr="00D9348B" w:rsidRDefault="00D30983" w:rsidP="00D30983">
      <w:pPr>
        <w:pStyle w:val="Table"/>
      </w:pPr>
      <w:bookmarkStart w:id="543" w:name="_Toc451176079"/>
      <w:bookmarkStart w:id="544" w:name="_Toc5269469"/>
      <w:bookmarkStart w:id="545" w:name="_Toc36224543"/>
      <w:r w:rsidRPr="00D9348B">
        <w:t>Table 4.8.1</w:t>
      </w:r>
      <w:r w:rsidRPr="00D9348B">
        <w:tab/>
        <w:t>Uncertainty in emissions from other product manufacture and use</w:t>
      </w:r>
      <w:bookmarkEnd w:id="543"/>
      <w:bookmarkEnd w:id="544"/>
      <w:bookmarkEnd w:id="545"/>
    </w:p>
    <w:tbl>
      <w:tblPr>
        <w:tblW w:w="8562" w:type="dxa"/>
        <w:tblInd w:w="108" w:type="dxa"/>
        <w:tblBorders>
          <w:top w:val="single" w:sz="6" w:space="0" w:color="365F91"/>
          <w:bottom w:val="single" w:sz="6" w:space="0" w:color="365F91"/>
          <w:insideH w:val="single" w:sz="6" w:space="0" w:color="365F91"/>
        </w:tblBorders>
        <w:tblLook w:val="04A0" w:firstRow="1" w:lastRow="0" w:firstColumn="1" w:lastColumn="0" w:noHBand="0" w:noVBand="1"/>
      </w:tblPr>
      <w:tblGrid>
        <w:gridCol w:w="3002"/>
        <w:gridCol w:w="2551"/>
        <w:gridCol w:w="3009"/>
      </w:tblGrid>
      <w:tr w:rsidR="00D30983" w:rsidRPr="00D9348B" w14:paraId="541B0251" w14:textId="77777777" w:rsidTr="00BE472F">
        <w:tc>
          <w:tcPr>
            <w:tcW w:w="3002" w:type="dxa"/>
            <w:tcBorders>
              <w:top w:val="single" w:sz="4" w:space="0" w:color="365F91"/>
              <w:left w:val="nil"/>
              <w:bottom w:val="single" w:sz="4" w:space="0" w:color="365F91"/>
              <w:right w:val="nil"/>
            </w:tcBorders>
            <w:shd w:val="clear" w:color="auto" w:fill="365F91"/>
            <w:hideMark/>
          </w:tcPr>
          <w:p w14:paraId="75291EAE" w14:textId="77777777" w:rsidR="00D30983" w:rsidRPr="00D9348B" w:rsidRDefault="00D30983" w:rsidP="00DB330E">
            <w:pPr>
              <w:pStyle w:val="TableTextBold"/>
              <w:keepNext/>
              <w:rPr>
                <w:noProof w:val="0"/>
                <w:color w:val="FFFFFF"/>
              </w:rPr>
            </w:pPr>
            <w:r w:rsidRPr="00D9348B">
              <w:rPr>
                <w:noProof w:val="0"/>
                <w:color w:val="FFFFFF"/>
              </w:rPr>
              <w:t>Category</w:t>
            </w:r>
          </w:p>
        </w:tc>
        <w:tc>
          <w:tcPr>
            <w:tcW w:w="2551" w:type="dxa"/>
            <w:tcBorders>
              <w:top w:val="single" w:sz="4" w:space="0" w:color="365F91"/>
              <w:left w:val="nil"/>
              <w:bottom w:val="single" w:sz="4" w:space="0" w:color="365F91"/>
              <w:right w:val="nil"/>
            </w:tcBorders>
            <w:shd w:val="clear" w:color="auto" w:fill="365F91"/>
            <w:hideMark/>
          </w:tcPr>
          <w:p w14:paraId="458AE7F4" w14:textId="77777777" w:rsidR="00D30983" w:rsidRPr="00D9348B" w:rsidRDefault="00D30983" w:rsidP="00DB330E">
            <w:pPr>
              <w:pStyle w:val="TableTextBold"/>
              <w:keepNext/>
              <w:rPr>
                <w:noProof w:val="0"/>
                <w:color w:val="FFFFFF"/>
              </w:rPr>
            </w:pPr>
            <w:r w:rsidRPr="00D9348B">
              <w:rPr>
                <w:noProof w:val="0"/>
                <w:color w:val="FFFFFF"/>
              </w:rPr>
              <w:t>Uncertainty in activity data (%)</w:t>
            </w:r>
          </w:p>
        </w:tc>
        <w:tc>
          <w:tcPr>
            <w:tcW w:w="3009" w:type="dxa"/>
            <w:tcBorders>
              <w:top w:val="single" w:sz="4" w:space="0" w:color="365F91"/>
              <w:left w:val="nil"/>
              <w:bottom w:val="single" w:sz="4" w:space="0" w:color="365F91"/>
              <w:right w:val="nil"/>
            </w:tcBorders>
            <w:shd w:val="clear" w:color="auto" w:fill="365F91"/>
            <w:hideMark/>
          </w:tcPr>
          <w:p w14:paraId="7CF16776" w14:textId="77777777" w:rsidR="00D30983" w:rsidRPr="00D9348B" w:rsidRDefault="00D30983" w:rsidP="00DB330E">
            <w:pPr>
              <w:pStyle w:val="TableTextBold"/>
              <w:keepNext/>
              <w:rPr>
                <w:noProof w:val="0"/>
                <w:color w:val="FFFFFF"/>
              </w:rPr>
            </w:pPr>
            <w:r w:rsidRPr="00D9348B">
              <w:rPr>
                <w:noProof w:val="0"/>
                <w:color w:val="FFFFFF"/>
              </w:rPr>
              <w:t>Uncertainty in emission factors (%)</w:t>
            </w:r>
          </w:p>
        </w:tc>
      </w:tr>
      <w:tr w:rsidR="00D30983" w:rsidRPr="00D9348B" w14:paraId="7E9FC5D3" w14:textId="77777777" w:rsidTr="00BE472F">
        <w:tc>
          <w:tcPr>
            <w:tcW w:w="3002" w:type="dxa"/>
            <w:tcBorders>
              <w:top w:val="single" w:sz="4" w:space="0" w:color="365F91"/>
              <w:left w:val="nil"/>
              <w:bottom w:val="single" w:sz="6" w:space="0" w:color="365F91"/>
              <w:right w:val="nil"/>
            </w:tcBorders>
            <w:shd w:val="clear" w:color="auto" w:fill="FFFFFF"/>
            <w:hideMark/>
          </w:tcPr>
          <w:p w14:paraId="2B34BF5C" w14:textId="77777777" w:rsidR="00D30983" w:rsidRPr="00D9348B" w:rsidRDefault="00D30983" w:rsidP="00DB330E">
            <w:pPr>
              <w:pStyle w:val="TableText"/>
              <w:keepNext/>
            </w:pPr>
            <w:r w:rsidRPr="00D9348B">
              <w:t>Electrical equipment</w:t>
            </w:r>
          </w:p>
        </w:tc>
        <w:tc>
          <w:tcPr>
            <w:tcW w:w="2551" w:type="dxa"/>
            <w:tcBorders>
              <w:top w:val="single" w:sz="4" w:space="0" w:color="365F91"/>
              <w:left w:val="nil"/>
              <w:bottom w:val="single" w:sz="6" w:space="0" w:color="365F91"/>
              <w:right w:val="nil"/>
            </w:tcBorders>
            <w:shd w:val="clear" w:color="auto" w:fill="FFFFFF"/>
            <w:hideMark/>
          </w:tcPr>
          <w:p w14:paraId="219DEF69" w14:textId="77777777" w:rsidR="00D30983" w:rsidRPr="00D9348B" w:rsidRDefault="00D30983" w:rsidP="00DB330E">
            <w:pPr>
              <w:pStyle w:val="TableText"/>
              <w:keepNext/>
            </w:pPr>
            <w:r w:rsidRPr="00D9348B">
              <w:t>±36</w:t>
            </w:r>
          </w:p>
        </w:tc>
        <w:tc>
          <w:tcPr>
            <w:tcW w:w="3009" w:type="dxa"/>
            <w:tcBorders>
              <w:top w:val="single" w:sz="4" w:space="0" w:color="365F91"/>
              <w:left w:val="nil"/>
              <w:bottom w:val="single" w:sz="6" w:space="0" w:color="365F91"/>
              <w:right w:val="nil"/>
            </w:tcBorders>
            <w:shd w:val="clear" w:color="auto" w:fill="FFFFFF"/>
            <w:hideMark/>
          </w:tcPr>
          <w:p w14:paraId="42F65175" w14:textId="77777777" w:rsidR="00D30983" w:rsidRPr="00D9348B" w:rsidRDefault="00D30983" w:rsidP="00DB330E">
            <w:pPr>
              <w:pStyle w:val="TableText"/>
              <w:keepNext/>
            </w:pPr>
            <w:r w:rsidRPr="00D9348B">
              <w:t xml:space="preserve">±30–60 </w:t>
            </w:r>
          </w:p>
        </w:tc>
      </w:tr>
      <w:tr w:rsidR="00D30983" w:rsidRPr="00D9348B" w14:paraId="51FA684C" w14:textId="77777777" w:rsidTr="00BE472F">
        <w:tc>
          <w:tcPr>
            <w:tcW w:w="3002" w:type="dxa"/>
            <w:tcBorders>
              <w:top w:val="single" w:sz="6" w:space="0" w:color="365F91"/>
              <w:left w:val="nil"/>
              <w:bottom w:val="single" w:sz="6" w:space="0" w:color="365F91"/>
              <w:right w:val="nil"/>
            </w:tcBorders>
            <w:shd w:val="clear" w:color="auto" w:fill="FFFFFF"/>
            <w:hideMark/>
          </w:tcPr>
          <w:p w14:paraId="52752510" w14:textId="77777777" w:rsidR="00D30983" w:rsidRPr="00D9348B" w:rsidRDefault="00D30983" w:rsidP="00DB330E">
            <w:pPr>
              <w:pStyle w:val="TableText"/>
              <w:keepNext/>
            </w:pPr>
            <w:r w:rsidRPr="00D9348B">
              <w:t>Medical and other product use (SF</w:t>
            </w:r>
            <w:r w:rsidRPr="00D9348B">
              <w:rPr>
                <w:vertAlign w:val="subscript"/>
              </w:rPr>
              <w:t>6</w:t>
            </w:r>
            <w:r w:rsidRPr="00D9348B">
              <w:t>)</w:t>
            </w:r>
          </w:p>
        </w:tc>
        <w:tc>
          <w:tcPr>
            <w:tcW w:w="2551" w:type="dxa"/>
            <w:tcBorders>
              <w:top w:val="single" w:sz="6" w:space="0" w:color="365F91"/>
              <w:left w:val="nil"/>
              <w:bottom w:val="single" w:sz="6" w:space="0" w:color="365F91"/>
              <w:right w:val="nil"/>
            </w:tcBorders>
            <w:shd w:val="clear" w:color="auto" w:fill="FFFFFF"/>
            <w:hideMark/>
          </w:tcPr>
          <w:p w14:paraId="731BC8ED" w14:textId="77777777" w:rsidR="00D30983" w:rsidRPr="00D9348B" w:rsidRDefault="00D30983" w:rsidP="00DB330E">
            <w:pPr>
              <w:pStyle w:val="TableText"/>
              <w:keepNext/>
              <w:spacing w:after="0"/>
            </w:pPr>
            <w:r w:rsidRPr="00D9348B">
              <w:t>±60 (2005–18</w:t>
            </w:r>
          </w:p>
          <w:p w14:paraId="0BF81E71" w14:textId="77777777" w:rsidR="00D30983" w:rsidRPr="00D9348B" w:rsidRDefault="00D30983" w:rsidP="00DB330E">
            <w:pPr>
              <w:pStyle w:val="TableText"/>
              <w:keepNext/>
              <w:spacing w:before="20"/>
            </w:pPr>
            <w:r w:rsidRPr="00D9348B">
              <w:t>±80 (2000–04)</w:t>
            </w:r>
          </w:p>
        </w:tc>
        <w:tc>
          <w:tcPr>
            <w:tcW w:w="3009" w:type="dxa"/>
            <w:tcBorders>
              <w:top w:val="single" w:sz="6" w:space="0" w:color="365F91"/>
              <w:left w:val="nil"/>
              <w:bottom w:val="single" w:sz="6" w:space="0" w:color="365F91"/>
              <w:right w:val="nil"/>
            </w:tcBorders>
            <w:shd w:val="clear" w:color="auto" w:fill="FFFFFF"/>
            <w:hideMark/>
          </w:tcPr>
          <w:p w14:paraId="48B48FB8" w14:textId="77777777" w:rsidR="00D30983" w:rsidRPr="00D9348B" w:rsidRDefault="00D30983" w:rsidP="00DB330E">
            <w:pPr>
              <w:pStyle w:val="TableText"/>
              <w:keepNext/>
            </w:pPr>
            <w:r w:rsidRPr="00D9348B">
              <w:t>–</w:t>
            </w:r>
          </w:p>
        </w:tc>
      </w:tr>
      <w:tr w:rsidR="00D30983" w:rsidRPr="00D9348B" w14:paraId="79DC9500" w14:textId="77777777" w:rsidTr="00BE472F">
        <w:tc>
          <w:tcPr>
            <w:tcW w:w="3002" w:type="dxa"/>
            <w:tcBorders>
              <w:top w:val="single" w:sz="6" w:space="0" w:color="365F91"/>
              <w:left w:val="nil"/>
              <w:bottom w:val="single" w:sz="6" w:space="0" w:color="365F91"/>
              <w:right w:val="nil"/>
            </w:tcBorders>
            <w:shd w:val="clear" w:color="auto" w:fill="FFFFFF"/>
            <w:hideMark/>
          </w:tcPr>
          <w:p w14:paraId="0E801F60" w14:textId="77777777" w:rsidR="00D30983" w:rsidRPr="00D9348B" w:rsidRDefault="00D30983" w:rsidP="00DB330E">
            <w:pPr>
              <w:pStyle w:val="TableText"/>
            </w:pPr>
            <w:r w:rsidRPr="00D9348B">
              <w:t>Medical and other product use (PFCs)</w:t>
            </w:r>
          </w:p>
        </w:tc>
        <w:tc>
          <w:tcPr>
            <w:tcW w:w="2551" w:type="dxa"/>
            <w:tcBorders>
              <w:top w:val="single" w:sz="6" w:space="0" w:color="365F91"/>
              <w:left w:val="nil"/>
              <w:bottom w:val="single" w:sz="6" w:space="0" w:color="365F91"/>
              <w:right w:val="nil"/>
            </w:tcBorders>
            <w:shd w:val="clear" w:color="auto" w:fill="FFFFFF"/>
            <w:hideMark/>
          </w:tcPr>
          <w:p w14:paraId="644071B3" w14:textId="77777777" w:rsidR="00D30983" w:rsidRPr="00D9348B" w:rsidRDefault="00D30983" w:rsidP="00DB330E">
            <w:pPr>
              <w:pStyle w:val="TableText"/>
            </w:pPr>
            <w:r w:rsidRPr="00D9348B">
              <w:t>±80</w:t>
            </w:r>
          </w:p>
        </w:tc>
        <w:tc>
          <w:tcPr>
            <w:tcW w:w="3009" w:type="dxa"/>
            <w:tcBorders>
              <w:top w:val="single" w:sz="6" w:space="0" w:color="365F91"/>
              <w:left w:val="nil"/>
              <w:bottom w:val="single" w:sz="6" w:space="0" w:color="365F91"/>
              <w:right w:val="nil"/>
            </w:tcBorders>
            <w:shd w:val="clear" w:color="auto" w:fill="FFFFFF"/>
            <w:hideMark/>
          </w:tcPr>
          <w:p w14:paraId="1756D957" w14:textId="77777777" w:rsidR="00D30983" w:rsidRPr="00D9348B" w:rsidRDefault="00D30983" w:rsidP="00DB330E">
            <w:pPr>
              <w:pStyle w:val="TableText"/>
            </w:pPr>
            <w:r w:rsidRPr="00D9348B">
              <w:t>–</w:t>
            </w:r>
          </w:p>
        </w:tc>
      </w:tr>
      <w:tr w:rsidR="00D30983" w:rsidRPr="00D9348B" w14:paraId="53FD2013" w14:textId="77777777" w:rsidTr="00BE472F">
        <w:tc>
          <w:tcPr>
            <w:tcW w:w="3002" w:type="dxa"/>
            <w:tcBorders>
              <w:top w:val="single" w:sz="6" w:space="0" w:color="365F91"/>
              <w:left w:val="nil"/>
              <w:bottom w:val="single" w:sz="6" w:space="0" w:color="365F91"/>
              <w:right w:val="nil"/>
            </w:tcBorders>
            <w:shd w:val="clear" w:color="auto" w:fill="FFFFFF"/>
            <w:hideMark/>
          </w:tcPr>
          <w:p w14:paraId="1E4D1C42" w14:textId="77777777" w:rsidR="00D30983" w:rsidRPr="00D9348B" w:rsidRDefault="00D30983" w:rsidP="00DB330E">
            <w:pPr>
              <w:pStyle w:val="TableText"/>
            </w:pPr>
            <w:r w:rsidRPr="00D9348B">
              <w:t>N</w:t>
            </w:r>
            <w:r w:rsidRPr="00D9348B">
              <w:rPr>
                <w:vertAlign w:val="subscript"/>
              </w:rPr>
              <w:t>2</w:t>
            </w:r>
            <w:r w:rsidRPr="00D9348B">
              <w:t>O from other product uses</w:t>
            </w:r>
          </w:p>
        </w:tc>
        <w:tc>
          <w:tcPr>
            <w:tcW w:w="2551" w:type="dxa"/>
            <w:tcBorders>
              <w:top w:val="single" w:sz="6" w:space="0" w:color="365F91"/>
              <w:left w:val="nil"/>
              <w:bottom w:val="single" w:sz="6" w:space="0" w:color="365F91"/>
              <w:right w:val="nil"/>
            </w:tcBorders>
            <w:shd w:val="clear" w:color="auto" w:fill="FFFFFF"/>
            <w:hideMark/>
          </w:tcPr>
          <w:p w14:paraId="0F41E22D" w14:textId="77777777" w:rsidR="00D30983" w:rsidRPr="00D9348B" w:rsidRDefault="00D30983" w:rsidP="00DB330E">
            <w:pPr>
              <w:pStyle w:val="TableText"/>
              <w:spacing w:after="0"/>
            </w:pPr>
            <w:r w:rsidRPr="00D9348B">
              <w:t>±30 (2002–12)</w:t>
            </w:r>
          </w:p>
          <w:p w14:paraId="6D8E95C9" w14:textId="77777777" w:rsidR="00D30983" w:rsidRPr="00D9348B" w:rsidRDefault="00D30983" w:rsidP="00DB330E">
            <w:pPr>
              <w:pStyle w:val="TableText"/>
              <w:spacing w:before="20"/>
            </w:pPr>
            <w:r w:rsidRPr="00D9348B">
              <w:t>±5 (2013–18)</w:t>
            </w:r>
          </w:p>
        </w:tc>
        <w:tc>
          <w:tcPr>
            <w:tcW w:w="3009" w:type="dxa"/>
            <w:tcBorders>
              <w:top w:val="single" w:sz="6" w:space="0" w:color="365F91"/>
              <w:left w:val="nil"/>
              <w:bottom w:val="single" w:sz="6" w:space="0" w:color="365F91"/>
              <w:right w:val="nil"/>
            </w:tcBorders>
            <w:shd w:val="clear" w:color="auto" w:fill="FFFFFF"/>
            <w:hideMark/>
          </w:tcPr>
          <w:p w14:paraId="12153E21" w14:textId="77777777" w:rsidR="00D30983" w:rsidRPr="00D9348B" w:rsidRDefault="00D30983" w:rsidP="00DB330E">
            <w:pPr>
              <w:pStyle w:val="TableText"/>
            </w:pPr>
            <w:r w:rsidRPr="00D9348B">
              <w:t>–</w:t>
            </w:r>
          </w:p>
        </w:tc>
      </w:tr>
    </w:tbl>
    <w:p w14:paraId="30C45990" w14:textId="77777777" w:rsidR="00D30983" w:rsidRPr="00D9348B" w:rsidRDefault="00D30983" w:rsidP="006B7E05">
      <w:pPr>
        <w:pStyle w:val="Heading4"/>
        <w:spacing w:before="280"/>
        <w:rPr>
          <w:bCs/>
          <w:iCs/>
        </w:rPr>
      </w:pPr>
      <w:r w:rsidRPr="00D9348B">
        <w:t>Time-series consistency</w:t>
      </w:r>
    </w:p>
    <w:p w14:paraId="77ACA8EC" w14:textId="77777777" w:rsidR="00D30983" w:rsidRPr="00D9348B" w:rsidRDefault="00D30983" w:rsidP="006B7E05">
      <w:pPr>
        <w:pStyle w:val="BodyText"/>
        <w:spacing w:before="80"/>
      </w:pPr>
      <w:r w:rsidRPr="00D9348B">
        <w:t xml:space="preserve">The implied emissions factors for the </w:t>
      </w:r>
      <w:r w:rsidRPr="00D9348B">
        <w:rPr>
          <w:i/>
        </w:rPr>
        <w:t>Electrical equipment</w:t>
      </w:r>
      <w:r w:rsidRPr="00D9348B">
        <w:t xml:space="preserve"> category have declined, due to improvements both in data quality and the actual management of SF</w:t>
      </w:r>
      <w:r w:rsidRPr="00D9348B">
        <w:rPr>
          <w:vertAlign w:val="subscript"/>
        </w:rPr>
        <w:t>6</w:t>
      </w:r>
      <w:r w:rsidRPr="00D9348B">
        <w:t xml:space="preserve"> emissions by Transpower and other users over time.</w:t>
      </w:r>
    </w:p>
    <w:p w14:paraId="35D96E1B" w14:textId="77777777" w:rsidR="00D30983" w:rsidRPr="00D9348B" w:rsidRDefault="00D30983" w:rsidP="00D30983">
      <w:pPr>
        <w:pStyle w:val="Heading3"/>
      </w:pPr>
      <w:r w:rsidRPr="00D9348B">
        <w:t>4.8.4</w:t>
      </w:r>
      <w:r w:rsidRPr="00D9348B">
        <w:tab/>
        <w:t>Source-specific QA/QC and verification</w:t>
      </w:r>
    </w:p>
    <w:p w14:paraId="7161CBC3" w14:textId="77777777" w:rsidR="00D30983" w:rsidRPr="00D9348B" w:rsidRDefault="00D30983" w:rsidP="00D30983">
      <w:pPr>
        <w:pStyle w:val="BodyText"/>
      </w:pPr>
      <w:r w:rsidRPr="00D9348B">
        <w:rPr>
          <w:i/>
        </w:rPr>
        <w:t xml:space="preserve">Other product manufacture and use </w:t>
      </w:r>
      <w:r w:rsidRPr="00D9348B">
        <w:t xml:space="preserve">was a non-key category. </w:t>
      </w:r>
    </w:p>
    <w:p w14:paraId="4FD2DC65" w14:textId="77777777" w:rsidR="00D30983" w:rsidRPr="00D9348B" w:rsidRDefault="00D30983" w:rsidP="00D30983">
      <w:pPr>
        <w:pStyle w:val="Heading3"/>
      </w:pPr>
      <w:r w:rsidRPr="00D9348B">
        <w:t>4.8.5</w:t>
      </w:r>
      <w:r w:rsidRPr="00D9348B">
        <w:tab/>
        <w:t>Source-specific recalculations</w:t>
      </w:r>
    </w:p>
    <w:p w14:paraId="675DDF89" w14:textId="77777777" w:rsidR="00D30983" w:rsidRPr="00D9348B" w:rsidRDefault="00D30983" w:rsidP="00D30983">
      <w:pPr>
        <w:pStyle w:val="BodyText"/>
      </w:pPr>
      <w:r w:rsidRPr="00D9348B">
        <w:t>For the 2019 submission, one of the electricity network companies reported on a reassessment of its equipment and SF</w:t>
      </w:r>
      <w:r w:rsidRPr="00D9348B">
        <w:rPr>
          <w:vertAlign w:val="subscript"/>
        </w:rPr>
        <w:t>6</w:t>
      </w:r>
      <w:r w:rsidRPr="00D9348B">
        <w:t xml:space="preserve"> stocks, which resulted in a small recalculation. For the 2020 submission, several users reported more detailed information, which allowed a small revision of their emissions for 2011 to 2017. This has reduced 2017 emissions by 2.1 kt CO</w:t>
      </w:r>
      <w:r w:rsidRPr="00D9348B">
        <w:rPr>
          <w:vertAlign w:val="subscript"/>
        </w:rPr>
        <w:t>2</w:t>
      </w:r>
      <w:r w:rsidRPr="00D9348B">
        <w:t xml:space="preserve">-e. </w:t>
      </w:r>
    </w:p>
    <w:p w14:paraId="17558A9A" w14:textId="77777777" w:rsidR="00D30983" w:rsidRPr="00D9348B" w:rsidRDefault="00D30983" w:rsidP="00D30983">
      <w:pPr>
        <w:pStyle w:val="Heading3"/>
      </w:pPr>
      <w:r w:rsidRPr="00D9348B">
        <w:t>4.8.6</w:t>
      </w:r>
      <w:r w:rsidRPr="00D9348B">
        <w:tab/>
        <w:t>Source-specific planned improvements</w:t>
      </w:r>
    </w:p>
    <w:p w14:paraId="47B2E4C6" w14:textId="77777777" w:rsidR="00D30983" w:rsidRPr="00D9348B" w:rsidRDefault="00D30983" w:rsidP="00D30983">
      <w:pPr>
        <w:pStyle w:val="BodyText"/>
      </w:pPr>
      <w:r w:rsidRPr="00D9348B">
        <w:t xml:space="preserve">For the </w:t>
      </w:r>
      <w:r w:rsidRPr="00D9348B">
        <w:rPr>
          <w:i/>
        </w:rPr>
        <w:t>Electrical equipment</w:t>
      </w:r>
      <w:r w:rsidRPr="00D9348B">
        <w:t xml:space="preserve"> category, it is expected that further improved activity data and more detailed reporting on stocks of SF</w:t>
      </w:r>
      <w:r w:rsidRPr="00D9348B">
        <w:rPr>
          <w:vertAlign w:val="subscript"/>
        </w:rPr>
        <w:t>6</w:t>
      </w:r>
      <w:r w:rsidRPr="00D9348B">
        <w:t xml:space="preserve"> will become available over time from NZ ETS reporting and from surveys, as SF</w:t>
      </w:r>
      <w:r w:rsidRPr="00D9348B">
        <w:rPr>
          <w:vertAlign w:val="subscript"/>
        </w:rPr>
        <w:t>6</w:t>
      </w:r>
      <w:r w:rsidRPr="00D9348B">
        <w:t xml:space="preserve"> handling practices in the industry improve. Better information should enable the consistent use of Tier 2 or Tier 3 methods for this category in future submissions. </w:t>
      </w:r>
    </w:p>
    <w:p w14:paraId="34FF6DED" w14:textId="77777777" w:rsidR="00D30983" w:rsidRPr="00D9348B" w:rsidRDefault="00D30983" w:rsidP="00D30983">
      <w:pPr>
        <w:pStyle w:val="Heading2"/>
        <w:spacing w:before="0" w:after="360"/>
      </w:pPr>
      <w:r w:rsidRPr="00D9348B">
        <w:br w:type="page"/>
      </w:r>
      <w:bookmarkStart w:id="546" w:name="_Toc448321520"/>
      <w:bookmarkStart w:id="547" w:name="_Toc5269359"/>
      <w:bookmarkStart w:id="548" w:name="_Toc36224399"/>
      <w:r w:rsidRPr="00D9348B">
        <w:lastRenderedPageBreak/>
        <w:t>Chapter 4: References</w:t>
      </w:r>
      <w:bookmarkEnd w:id="546"/>
      <w:bookmarkEnd w:id="547"/>
      <w:bookmarkEnd w:id="548"/>
    </w:p>
    <w:p w14:paraId="4628E973" w14:textId="77777777" w:rsidR="00D30983" w:rsidRPr="00D9348B" w:rsidRDefault="00D30983" w:rsidP="00D30983">
      <w:pPr>
        <w:pStyle w:val="References"/>
      </w:pPr>
      <w:r w:rsidRPr="00D9348B">
        <w:t xml:space="preserve">Cement and Concrete Association of New Zealand. 1995. The State of the Standards. </w:t>
      </w:r>
      <w:r w:rsidRPr="00D9348B">
        <w:rPr>
          <w:i/>
        </w:rPr>
        <w:t>New Zealand Concrete Construction October/November 1995</w:t>
      </w:r>
      <w:r w:rsidRPr="00D9348B">
        <w:t xml:space="preserve">. p 40. </w:t>
      </w:r>
    </w:p>
    <w:p w14:paraId="2A90BE24" w14:textId="77777777" w:rsidR="00D30983" w:rsidRPr="00D9348B" w:rsidRDefault="00D30983" w:rsidP="00D30983">
      <w:pPr>
        <w:pStyle w:val="References"/>
      </w:pPr>
      <w:r w:rsidRPr="00D9348B">
        <w:t xml:space="preserve">Christie T, Thompson B, Brathwaite B. 1999. </w:t>
      </w:r>
      <w:r w:rsidRPr="00D9348B">
        <w:rPr>
          <w:i/>
        </w:rPr>
        <w:t>Mineral Commodity Report 20 – Clays</w:t>
      </w:r>
      <w:r w:rsidRPr="00D9348B">
        <w:t>.</w:t>
      </w:r>
      <w:r w:rsidRPr="00D9348B">
        <w:rPr>
          <w:i/>
        </w:rPr>
        <w:t xml:space="preserve"> </w:t>
      </w:r>
      <w:r w:rsidRPr="00D9348B">
        <w:t xml:space="preserve">Wellington: Institute of Geological and Nuclear Sciences. </w:t>
      </w:r>
    </w:p>
    <w:p w14:paraId="0DDB2AFF" w14:textId="77777777" w:rsidR="00D30983" w:rsidRPr="00D9348B" w:rsidRDefault="00D30983" w:rsidP="00D30983">
      <w:pPr>
        <w:pStyle w:val="References"/>
      </w:pPr>
      <w:r w:rsidRPr="00D9348B">
        <w:t xml:space="preserve">CRL Energy Ltd. </w:t>
      </w:r>
      <w:proofErr w:type="gramStart"/>
      <w:r w:rsidRPr="00D9348B">
        <w:t>Unpublished(</w:t>
      </w:r>
      <w:proofErr w:type="gramEnd"/>
      <w:r w:rsidRPr="00D9348B">
        <w:t>a). Hennessy W, Maxwell D. Inventory of HFC, PFC and SF</w:t>
      </w:r>
      <w:r w:rsidRPr="00D9348B">
        <w:rPr>
          <w:vertAlign w:val="subscript"/>
        </w:rPr>
        <w:t>6</w:t>
      </w:r>
      <w:r w:rsidRPr="00D9348B">
        <w:t xml:space="preserve"> Emissions for New Zealand 2004–2005. A report by CRL Energy Ltd to the Ministry for the Environment in 2006.</w:t>
      </w:r>
    </w:p>
    <w:p w14:paraId="2C0D29CB" w14:textId="77777777" w:rsidR="00D30983" w:rsidRPr="00D9348B" w:rsidRDefault="00D30983" w:rsidP="00D30983">
      <w:pPr>
        <w:pStyle w:val="References"/>
      </w:pPr>
      <w:r w:rsidRPr="00D9348B">
        <w:t xml:space="preserve">CRL Energy Ltd. </w:t>
      </w:r>
      <w:proofErr w:type="gramStart"/>
      <w:r w:rsidRPr="00D9348B">
        <w:t>Unpublished(</w:t>
      </w:r>
      <w:proofErr w:type="gramEnd"/>
      <w:r w:rsidRPr="00D9348B">
        <w:t>b). Hennessy W, Maxwell D. Inventory of Non-CO</w:t>
      </w:r>
      <w:r w:rsidRPr="00D9348B">
        <w:rPr>
          <w:vertAlign w:val="subscript"/>
        </w:rPr>
        <w:t>2</w:t>
      </w:r>
      <w:r w:rsidRPr="00D9348B">
        <w:t xml:space="preserve"> Greenhouse Gas Emissions from Industrial Sources and Solvents for New Zealand 2004–2005. A report by CRL Energy Ltd to the Ministry for the Environment in 2006.</w:t>
      </w:r>
    </w:p>
    <w:p w14:paraId="10090A38" w14:textId="77777777" w:rsidR="00D30983" w:rsidRPr="00D9348B" w:rsidRDefault="00D30983" w:rsidP="00D30983">
      <w:pPr>
        <w:pStyle w:val="References"/>
        <w:ind w:right="141"/>
      </w:pPr>
      <w:r w:rsidRPr="00D9348B">
        <w:t>CRL Energy Ltd. Unpublished(c). Hennessy W. Inventory of HFC, SF</w:t>
      </w:r>
      <w:r w:rsidRPr="00D9348B">
        <w:rPr>
          <w:vertAlign w:val="subscript"/>
        </w:rPr>
        <w:t>6</w:t>
      </w:r>
      <w:r w:rsidRPr="00D9348B">
        <w:t xml:space="preserve"> and Other Industrial Process Emissions for New Zealand 2018. A report by CRL Energy Ltd to the Ministry for the Environment in 2019.</w:t>
      </w:r>
    </w:p>
    <w:p w14:paraId="45D9C608" w14:textId="77777777" w:rsidR="00D30983" w:rsidRPr="00D9348B" w:rsidRDefault="00D30983" w:rsidP="00D30983">
      <w:pPr>
        <w:pStyle w:val="References"/>
      </w:pPr>
      <w:r w:rsidRPr="00D9348B">
        <w:t xml:space="preserve">International Aluminium Institute. 2006. </w:t>
      </w:r>
      <w:r w:rsidRPr="00D9348B">
        <w:rPr>
          <w:i/>
        </w:rPr>
        <w:t>The Aluminium Sector Greenhouse Gas Protocol</w:t>
      </w:r>
      <w:r w:rsidRPr="00D9348B">
        <w:t xml:space="preserve">. London: International Aluminium Institute. </w:t>
      </w:r>
    </w:p>
    <w:p w14:paraId="4E8F09E1" w14:textId="77777777" w:rsidR="00D30983" w:rsidRPr="00D9348B" w:rsidRDefault="00D30983" w:rsidP="00D30983">
      <w:pPr>
        <w:pStyle w:val="References"/>
      </w:pPr>
      <w:r w:rsidRPr="00D9348B">
        <w:t>IPCC. 2006a. Eggleston HS, Buendia L, Miwa K, Ngara T, Tanabe K (</w:t>
      </w:r>
      <w:proofErr w:type="gramStart"/>
      <w:r w:rsidRPr="00D9348B">
        <w:t>eds</w:t>
      </w:r>
      <w:proofErr w:type="gramEnd"/>
      <w:r w:rsidRPr="00D9348B">
        <w:t xml:space="preserve">). </w:t>
      </w:r>
      <w:r w:rsidRPr="00D9348B">
        <w:rPr>
          <w:i/>
        </w:rPr>
        <w:t>2006 IPCC</w:t>
      </w:r>
      <w:r w:rsidRPr="00D9348B">
        <w:t xml:space="preserve"> </w:t>
      </w:r>
      <w:r w:rsidRPr="00D9348B">
        <w:rPr>
          <w:i/>
        </w:rPr>
        <w:t>Guidelines for National Greenhouse Gas Inventories. Volume 3. Industrial Processes and Product Use</w:t>
      </w:r>
      <w:r w:rsidRPr="00D9348B">
        <w:t>. IPCC National Greenhouse Gas Inventories Programme. Published for the IPCC by the Institute for Global Environmental Strategies: Japan.</w:t>
      </w:r>
    </w:p>
    <w:p w14:paraId="607AE8EF" w14:textId="77777777" w:rsidR="00D30983" w:rsidRPr="00D9348B" w:rsidRDefault="00D30983" w:rsidP="00D30983">
      <w:pPr>
        <w:pStyle w:val="References"/>
      </w:pPr>
      <w:r w:rsidRPr="00D9348B">
        <w:t>IPCC 2006b. Eggleston HS, Buendia L, Miwa K, Ngara T, Tanabe K (</w:t>
      </w:r>
      <w:proofErr w:type="gramStart"/>
      <w:r w:rsidRPr="00D9348B">
        <w:t>eds</w:t>
      </w:r>
      <w:proofErr w:type="gramEnd"/>
      <w:r w:rsidRPr="00D9348B">
        <w:t xml:space="preserve">). </w:t>
      </w:r>
      <w:r w:rsidRPr="00D9348B">
        <w:rPr>
          <w:i/>
          <w:iCs/>
        </w:rPr>
        <w:t>2006 IPCC Guidelines for National Greenhouse Gas Inventories. Volume 2. Energy</w:t>
      </w:r>
      <w:r w:rsidRPr="00D9348B">
        <w:t>. IPCC National Greenhouse Gas Inventories Programme. Japan: Institute for Global Environmental Strategies for IPCC.</w:t>
      </w:r>
    </w:p>
    <w:p w14:paraId="6646FDC0" w14:textId="77777777" w:rsidR="00D30983" w:rsidRPr="00D9348B" w:rsidRDefault="00D30983" w:rsidP="00D30983">
      <w:pPr>
        <w:pStyle w:val="References"/>
      </w:pPr>
      <w:r w:rsidRPr="00D9348B">
        <w:t xml:space="preserve">New Zealand Government. 2018. Climate Change (Stationary Energy and Industrial Processes) Regulations 2009. Retrieved from </w:t>
      </w:r>
      <w:hyperlink r:id="rId99" w:history="1">
        <w:r w:rsidRPr="00D9348B">
          <w:t>www.legislation.govt.nz/regulation/public/2009/0285/latest/ DLM2394207.html</w:t>
        </w:r>
      </w:hyperlink>
      <w:r w:rsidRPr="00D9348B">
        <w:t xml:space="preserve"> (20 February 2019).</w:t>
      </w:r>
    </w:p>
    <w:p w14:paraId="4C81A24A" w14:textId="77777777" w:rsidR="00D30983" w:rsidRPr="00D9348B" w:rsidRDefault="00D30983" w:rsidP="00D30983">
      <w:pPr>
        <w:pStyle w:val="References"/>
      </w:pPr>
      <w:r w:rsidRPr="00D9348B">
        <w:t xml:space="preserve">Ure CR. 2000. </w:t>
      </w:r>
      <w:r w:rsidRPr="00D9348B">
        <w:rPr>
          <w:i/>
        </w:rPr>
        <w:t>Alternative Iron-making at BHP New Zealand Steel.</w:t>
      </w:r>
      <w:r w:rsidRPr="00D9348B">
        <w:t xml:space="preserve"> In: 58th Electric Furnace Conference and 17th Process Technology Conference Proceedings. Orlando, FL, United States of America: Iron and Steel Society. 12–15 November 2000. pp 535–546.</w:t>
      </w:r>
    </w:p>
    <w:p w14:paraId="243BCE2C" w14:textId="77777777" w:rsidR="00D30983" w:rsidRPr="00D9348B" w:rsidRDefault="00D30983" w:rsidP="00D30983">
      <w:pPr>
        <w:pStyle w:val="References"/>
      </w:pPr>
      <w:r w:rsidRPr="00D9348B">
        <w:t xml:space="preserve">World Business Council for Sustainable Development. 2005. </w:t>
      </w:r>
      <w:r w:rsidRPr="00D9348B">
        <w:rPr>
          <w:i/>
        </w:rPr>
        <w:t>The Cement CO</w:t>
      </w:r>
      <w:r w:rsidRPr="00D9348B">
        <w:rPr>
          <w:i/>
          <w:vertAlign w:val="subscript"/>
        </w:rPr>
        <w:t>2</w:t>
      </w:r>
      <w:r w:rsidRPr="00D9348B">
        <w:rPr>
          <w:i/>
        </w:rPr>
        <w:t xml:space="preserve"> Protocol: CO</w:t>
      </w:r>
      <w:r w:rsidRPr="00D9348B">
        <w:rPr>
          <w:i/>
          <w:vertAlign w:val="subscript"/>
        </w:rPr>
        <w:t>2</w:t>
      </w:r>
      <w:r w:rsidRPr="00D9348B">
        <w:rPr>
          <w:i/>
        </w:rPr>
        <w:t xml:space="preserve"> Accounting and Reporting Standard for the Cement Industry</w:t>
      </w:r>
      <w:r w:rsidRPr="00D9348B">
        <w:t xml:space="preserve">. Switzerland: World Business Council for Sustainable Development. </w:t>
      </w:r>
    </w:p>
    <w:p w14:paraId="256126EF" w14:textId="77777777" w:rsidR="00D30983" w:rsidRPr="00D9348B" w:rsidRDefault="00D30983" w:rsidP="00D30983">
      <w:pPr>
        <w:pStyle w:val="References"/>
      </w:pPr>
    </w:p>
    <w:p w14:paraId="0334B288" w14:textId="77777777" w:rsidR="00156D4F" w:rsidRPr="00D9348B" w:rsidRDefault="00156D4F" w:rsidP="00F849A7">
      <w:pPr>
        <w:pStyle w:val="Heading1"/>
        <w:rPr>
          <w:rFonts w:cs="Calibri"/>
        </w:rPr>
        <w:sectPr w:rsidR="00156D4F" w:rsidRPr="00D9348B" w:rsidSect="00156D4F">
          <w:footerReference w:type="even" r:id="rId100"/>
          <w:pgSz w:w="11907" w:h="16840" w:code="9"/>
          <w:pgMar w:top="1418" w:right="1701" w:bottom="1418" w:left="1701" w:header="567" w:footer="567" w:gutter="0"/>
          <w:cols w:space="720"/>
        </w:sectPr>
      </w:pPr>
      <w:bookmarkStart w:id="549" w:name="_Toc5269360"/>
    </w:p>
    <w:p w14:paraId="65EF1863" w14:textId="3F60E4C2" w:rsidR="00F849A7" w:rsidRPr="00D9348B" w:rsidRDefault="00F849A7" w:rsidP="00F849A7">
      <w:pPr>
        <w:pStyle w:val="Heading1"/>
        <w:rPr>
          <w:rFonts w:cs="Calibri"/>
        </w:rPr>
      </w:pPr>
      <w:bookmarkStart w:id="550" w:name="_Toc36224400"/>
      <w:r w:rsidRPr="00D9348B">
        <w:rPr>
          <w:rFonts w:cs="Calibri"/>
        </w:rPr>
        <w:lastRenderedPageBreak/>
        <w:t>Chapter 5: Agriculture</w:t>
      </w:r>
      <w:bookmarkEnd w:id="549"/>
      <w:bookmarkEnd w:id="550"/>
    </w:p>
    <w:p w14:paraId="208768C8" w14:textId="77777777" w:rsidR="00F849A7" w:rsidRPr="00D9348B" w:rsidRDefault="00F849A7" w:rsidP="00F849A7">
      <w:pPr>
        <w:pStyle w:val="Heading2"/>
        <w:spacing w:before="240"/>
        <w:rPr>
          <w:rFonts w:cs="Calibri"/>
          <w:b w:val="0"/>
        </w:rPr>
      </w:pPr>
      <w:bookmarkStart w:id="551" w:name="_Toc481751384"/>
      <w:bookmarkStart w:id="552" w:name="_Toc511116599"/>
      <w:bookmarkStart w:id="553" w:name="_Toc5269361"/>
      <w:bookmarkStart w:id="554" w:name="_Toc32570642"/>
      <w:bookmarkStart w:id="555" w:name="_Toc36224401"/>
      <w:r w:rsidRPr="00D9348B">
        <w:rPr>
          <w:rFonts w:cs="Calibri"/>
        </w:rPr>
        <w:t xml:space="preserve">5.1 </w:t>
      </w:r>
      <w:r w:rsidRPr="00D9348B">
        <w:rPr>
          <w:rFonts w:cs="Calibri"/>
        </w:rPr>
        <w:tab/>
        <w:t>Sector overview</w:t>
      </w:r>
      <w:bookmarkEnd w:id="551"/>
      <w:bookmarkEnd w:id="552"/>
      <w:bookmarkEnd w:id="553"/>
      <w:bookmarkEnd w:id="554"/>
      <w:bookmarkEnd w:id="555"/>
    </w:p>
    <w:p w14:paraId="05CB79D5" w14:textId="77777777" w:rsidR="00F849A7" w:rsidRPr="00D9348B" w:rsidRDefault="00F849A7" w:rsidP="00F849A7">
      <w:pPr>
        <w:pStyle w:val="BodyText"/>
        <w:rPr>
          <w:rFonts w:cs="Calibri"/>
        </w:rPr>
      </w:pPr>
      <w:r w:rsidRPr="00D9348B">
        <w:rPr>
          <w:rFonts w:cs="Calibri"/>
        </w:rPr>
        <w:t>The Agriculture sector produced an estimated 37,697.0 kilotonnes carbon dioxide equivalent (kt CO</w:t>
      </w:r>
      <w:r w:rsidRPr="00D9348B">
        <w:rPr>
          <w:rFonts w:cs="Calibri"/>
          <w:vertAlign w:val="subscript"/>
        </w:rPr>
        <w:t>2</w:t>
      </w:r>
      <w:r w:rsidRPr="00D9348B">
        <w:rPr>
          <w:rFonts w:cs="Calibri"/>
        </w:rPr>
        <w:t>-e) emissions, representing 47.8 per cent of New Zealand’s gross emissions in 2018.</w:t>
      </w:r>
    </w:p>
    <w:p w14:paraId="6A0D8431" w14:textId="77777777" w:rsidR="00F849A7" w:rsidRPr="00D9348B" w:rsidRDefault="00F849A7" w:rsidP="00F849A7">
      <w:pPr>
        <w:pStyle w:val="BodyText"/>
        <w:rPr>
          <w:rFonts w:cs="Calibri"/>
        </w:rPr>
      </w:pPr>
      <w:r w:rsidRPr="00D9348B">
        <w:rPr>
          <w:rFonts w:cs="Calibri"/>
          <w:i/>
          <w:iCs/>
        </w:rPr>
        <w:t>Enteric fermentation</w:t>
      </w:r>
      <w:r w:rsidRPr="00D9348B">
        <w:rPr>
          <w:rFonts w:cs="Calibri"/>
        </w:rPr>
        <w:t xml:space="preserve"> was the main source of agriculture emissions, contributing 74.1 per cent (27,939.0 kt CO</w:t>
      </w:r>
      <w:r w:rsidRPr="00D9348B">
        <w:rPr>
          <w:rFonts w:cs="Calibri"/>
          <w:vertAlign w:val="subscript"/>
        </w:rPr>
        <w:t>2</w:t>
      </w:r>
      <w:r w:rsidRPr="00D9348B">
        <w:rPr>
          <w:rFonts w:cs="Calibri"/>
        </w:rPr>
        <w:t xml:space="preserve">-e) of the sector’s emissions. </w:t>
      </w:r>
      <w:r w:rsidRPr="00D9348B">
        <w:rPr>
          <w:rFonts w:cs="Calibri"/>
          <w:i/>
          <w:iCs/>
        </w:rPr>
        <w:t xml:space="preserve">Agricultural soils </w:t>
      </w:r>
      <w:r w:rsidRPr="00D9348B">
        <w:rPr>
          <w:rFonts w:cs="Calibri"/>
        </w:rPr>
        <w:t xml:space="preserve">(18.6 per cent) was the second largest source followed by </w:t>
      </w:r>
      <w:r w:rsidRPr="00D9348B">
        <w:rPr>
          <w:rFonts w:cs="Calibri"/>
          <w:i/>
          <w:iCs/>
        </w:rPr>
        <w:t xml:space="preserve">manure management </w:t>
      </w:r>
      <w:r w:rsidRPr="00D9348B">
        <w:rPr>
          <w:rFonts w:cs="Calibri"/>
        </w:rPr>
        <w:t xml:space="preserve">(4.3 per cent). </w:t>
      </w:r>
      <w:r w:rsidRPr="00D9348B">
        <w:rPr>
          <w:rFonts w:cs="Calibri"/>
          <w:i/>
          <w:iCs/>
        </w:rPr>
        <w:t xml:space="preserve">Urea application </w:t>
      </w:r>
      <w:r w:rsidRPr="00D9348B">
        <w:rPr>
          <w:rFonts w:cs="Calibri"/>
        </w:rPr>
        <w:t xml:space="preserve">and </w:t>
      </w:r>
      <w:r w:rsidRPr="00D9348B">
        <w:rPr>
          <w:rFonts w:cs="Calibri"/>
          <w:i/>
          <w:iCs/>
        </w:rPr>
        <w:t>liming</w:t>
      </w:r>
      <w:r w:rsidRPr="00D9348B">
        <w:rPr>
          <w:rFonts w:cs="Calibri"/>
        </w:rPr>
        <w:t xml:space="preserve"> contributed 1.6 and 1.3 per cent respectively. </w:t>
      </w:r>
      <w:r w:rsidRPr="00D9348B">
        <w:rPr>
          <w:rFonts w:cs="Calibri"/>
          <w:i/>
          <w:iCs/>
        </w:rPr>
        <w:t>Field burning of agricultural residues</w:t>
      </w:r>
      <w:r w:rsidRPr="00D9348B">
        <w:rPr>
          <w:rFonts w:cs="Calibri"/>
        </w:rPr>
        <w:t xml:space="preserve"> contributed the remaining 0.1 per cent.</w:t>
      </w:r>
    </w:p>
    <w:p w14:paraId="23954543" w14:textId="77777777" w:rsidR="00F849A7" w:rsidRPr="00D9348B" w:rsidRDefault="00F849A7" w:rsidP="00F849A7">
      <w:pPr>
        <w:pStyle w:val="BodyText"/>
        <w:rPr>
          <w:rFonts w:cs="Calibri"/>
        </w:rPr>
      </w:pPr>
      <w:r w:rsidRPr="00D9348B">
        <w:rPr>
          <w:rFonts w:cs="Calibri"/>
        </w:rPr>
        <w:t>Methane (CH</w:t>
      </w:r>
      <w:r w:rsidRPr="00D9348B">
        <w:rPr>
          <w:rFonts w:cs="Calibri"/>
          <w:vertAlign w:val="subscript"/>
        </w:rPr>
        <w:t>4</w:t>
      </w:r>
      <w:r w:rsidRPr="00D9348B">
        <w:rPr>
          <w:rFonts w:cs="Calibri"/>
        </w:rPr>
        <w:t xml:space="preserve">) emissions from </w:t>
      </w:r>
      <w:proofErr w:type="gramStart"/>
      <w:r w:rsidRPr="00D9348B">
        <w:rPr>
          <w:rFonts w:cs="Calibri"/>
          <w:i/>
          <w:iCs/>
        </w:rPr>
        <w:t>Enteric</w:t>
      </w:r>
      <w:proofErr w:type="gramEnd"/>
      <w:r w:rsidRPr="00D9348B">
        <w:rPr>
          <w:rFonts w:cs="Calibri"/>
          <w:i/>
          <w:iCs/>
        </w:rPr>
        <w:t xml:space="preserve"> fermentation</w:t>
      </w:r>
      <w:r w:rsidRPr="00D9348B">
        <w:rPr>
          <w:rFonts w:cs="Calibri"/>
        </w:rPr>
        <w:t xml:space="preserve"> were 35.4 per cent of New Zealand’s gross emissions, and nitrous oxide (N</w:t>
      </w:r>
      <w:r w:rsidRPr="00D9348B">
        <w:rPr>
          <w:rFonts w:cs="Calibri"/>
          <w:vertAlign w:val="subscript"/>
        </w:rPr>
        <w:t>2</w:t>
      </w:r>
      <w:r w:rsidRPr="00D9348B">
        <w:rPr>
          <w:rFonts w:cs="Calibri"/>
        </w:rPr>
        <w:t xml:space="preserve">O) emissions from the </w:t>
      </w:r>
      <w:r w:rsidRPr="00D9348B">
        <w:rPr>
          <w:rFonts w:cs="Calibri"/>
          <w:i/>
          <w:iCs/>
        </w:rPr>
        <w:t>Agricultural soils</w:t>
      </w:r>
      <w:r w:rsidRPr="00D9348B">
        <w:rPr>
          <w:rFonts w:cs="Calibri"/>
        </w:rPr>
        <w:t xml:space="preserve"> category were 8.9 per cent of New Zealand’s gross emissions. </w:t>
      </w:r>
    </w:p>
    <w:p w14:paraId="308EDFAD" w14:textId="77777777" w:rsidR="00F849A7" w:rsidRPr="00D9348B" w:rsidRDefault="00F849A7" w:rsidP="00F849A7">
      <w:pPr>
        <w:pStyle w:val="BodyText"/>
        <w:rPr>
          <w:rFonts w:cs="Calibri"/>
        </w:rPr>
      </w:pPr>
      <w:r w:rsidRPr="00D9348B">
        <w:rPr>
          <w:rFonts w:cs="Calibri"/>
        </w:rPr>
        <w:t>New Zealand reports emissions from Tokelau, which is a dependent territory of New Zealand. These are reported for all activities in annex 7 of the National Inventory Report and within the ‘Other’ sector in the common reporting format (CRF) tables. Therefore, all emissions reported in this sector are from New Zealand excluding Tokelau. Please refer to chapter 8 and annex 7 for details of methods applied and the emissions for Tokelau.</w:t>
      </w:r>
    </w:p>
    <w:p w14:paraId="7427BC7F" w14:textId="77777777" w:rsidR="00F849A7" w:rsidRPr="00D9348B" w:rsidRDefault="00F849A7" w:rsidP="00F849A7">
      <w:pPr>
        <w:pStyle w:val="Heading5"/>
        <w:rPr>
          <w:rFonts w:cs="Calibri"/>
        </w:rPr>
      </w:pPr>
      <w:r w:rsidRPr="00D9348B">
        <w:rPr>
          <w:rFonts w:cs="Calibri"/>
        </w:rPr>
        <w:t>Trends</w:t>
      </w:r>
    </w:p>
    <w:p w14:paraId="33774D5F" w14:textId="77777777" w:rsidR="00F849A7" w:rsidRPr="00D9348B" w:rsidRDefault="00F849A7" w:rsidP="00F849A7">
      <w:pPr>
        <w:pStyle w:val="BodyText"/>
        <w:rPr>
          <w:rFonts w:cs="Calibri"/>
          <w:spacing w:val="-2"/>
        </w:rPr>
      </w:pPr>
      <w:r w:rsidRPr="00D9348B">
        <w:rPr>
          <w:rFonts w:cs="Calibri"/>
        </w:rPr>
        <w:t>Emissions from agriculture</w:t>
      </w:r>
      <w:r w:rsidRPr="00D9348B">
        <w:rPr>
          <w:rFonts w:cs="Calibri"/>
          <w:i/>
          <w:iCs/>
        </w:rPr>
        <w:t xml:space="preserve"> </w:t>
      </w:r>
      <w:r w:rsidRPr="00D9348B">
        <w:rPr>
          <w:rFonts w:cs="Calibri"/>
        </w:rPr>
        <w:t xml:space="preserve">increased by 17.1 per cent (5,515.0 kt </w:t>
      </w:r>
      <w:r w:rsidRPr="00D9348B">
        <w:rPr>
          <w:rFonts w:cs="Calibri"/>
          <w:spacing w:val="-2"/>
        </w:rPr>
        <w:t>CO</w:t>
      </w:r>
      <w:r w:rsidRPr="00D9348B">
        <w:rPr>
          <w:rFonts w:cs="Calibri"/>
          <w:spacing w:val="-2"/>
          <w:vertAlign w:val="subscript"/>
        </w:rPr>
        <w:t>2</w:t>
      </w:r>
      <w:r w:rsidRPr="00D9348B">
        <w:rPr>
          <w:rFonts w:cs="Calibri"/>
          <w:spacing w:val="-2"/>
        </w:rPr>
        <w:t>-e) between 1990 and 2018 and increased by 0.7 per cent between 2017 and 2018.</w:t>
      </w:r>
      <w:r w:rsidRPr="00D9348B">
        <w:rPr>
          <w:rFonts w:cs="Calibri"/>
        </w:rPr>
        <w:t xml:space="preserve"> </w:t>
      </w:r>
    </w:p>
    <w:p w14:paraId="02E00B75" w14:textId="77777777" w:rsidR="00F849A7" w:rsidRPr="00D9348B" w:rsidRDefault="00F849A7" w:rsidP="00F849A7">
      <w:pPr>
        <w:pStyle w:val="Table"/>
        <w:rPr>
          <w:rFonts w:cs="Calibri"/>
        </w:rPr>
      </w:pPr>
      <w:bookmarkStart w:id="556" w:name="_Toc32570909"/>
      <w:bookmarkStart w:id="557" w:name="_Toc36224544"/>
      <w:r w:rsidRPr="00D9348B">
        <w:rPr>
          <w:rFonts w:cs="Calibri"/>
        </w:rPr>
        <w:t xml:space="preserve">Table 5.1.1 </w:t>
      </w:r>
      <w:r w:rsidRPr="00D9348B">
        <w:rPr>
          <w:rFonts w:cs="Calibri"/>
        </w:rPr>
        <w:tab/>
        <w:t>Trends and relative contribution of New Zealand’s agricultural greenhouse gas emissions by category between 1990 and 2018</w:t>
      </w:r>
      <w:bookmarkEnd w:id="556"/>
      <w:bookmarkEnd w:id="557"/>
    </w:p>
    <w:tbl>
      <w:tblPr>
        <w:tblW w:w="8562" w:type="dxa"/>
        <w:tblInd w:w="108" w:type="dxa"/>
        <w:tblBorders>
          <w:top w:val="single" w:sz="4" w:space="0" w:color="365F91"/>
          <w:left w:val="single" w:sz="4" w:space="0" w:color="365F91"/>
          <w:bottom w:val="single" w:sz="4" w:space="0" w:color="365F91"/>
          <w:right w:val="single" w:sz="4" w:space="0" w:color="365F91"/>
          <w:insideH w:val="single" w:sz="4" w:space="0" w:color="365F91"/>
        </w:tblBorders>
        <w:tblLayout w:type="fixed"/>
        <w:tblLook w:val="04A0" w:firstRow="1" w:lastRow="0" w:firstColumn="1" w:lastColumn="0" w:noHBand="0" w:noVBand="1"/>
      </w:tblPr>
      <w:tblGrid>
        <w:gridCol w:w="2919"/>
        <w:gridCol w:w="845"/>
        <w:gridCol w:w="843"/>
        <w:gridCol w:w="1124"/>
        <w:gridCol w:w="1132"/>
        <w:gridCol w:w="833"/>
        <w:gridCol w:w="17"/>
        <w:gridCol w:w="849"/>
      </w:tblGrid>
      <w:tr w:rsidR="00F849A7" w:rsidRPr="00D9348B" w14:paraId="263CCE41" w14:textId="77777777" w:rsidTr="002F6369">
        <w:tc>
          <w:tcPr>
            <w:tcW w:w="2948" w:type="dxa"/>
            <w:vMerge w:val="restart"/>
            <w:tcBorders>
              <w:left w:val="nil"/>
            </w:tcBorders>
            <w:shd w:val="clear" w:color="auto" w:fill="365F91"/>
            <w:vAlign w:val="bottom"/>
          </w:tcPr>
          <w:p w14:paraId="68244817" w14:textId="77777777" w:rsidR="00F849A7" w:rsidRPr="00D9348B" w:rsidRDefault="00F849A7" w:rsidP="00DB330E">
            <w:pPr>
              <w:pStyle w:val="TableTextBold"/>
              <w:rPr>
                <w:rFonts w:cs="Calibri"/>
                <w:noProof w:val="0"/>
                <w:color w:val="FFFFFF"/>
              </w:rPr>
            </w:pPr>
            <w:r w:rsidRPr="00D9348B">
              <w:rPr>
                <w:rFonts w:cs="Calibri"/>
                <w:noProof w:val="0"/>
                <w:color w:val="FFFFFF"/>
              </w:rPr>
              <w:t>Category</w:t>
            </w:r>
          </w:p>
        </w:tc>
        <w:tc>
          <w:tcPr>
            <w:tcW w:w="1701" w:type="dxa"/>
            <w:gridSpan w:val="2"/>
            <w:shd w:val="clear" w:color="auto" w:fill="365F91"/>
            <w:vAlign w:val="bottom"/>
          </w:tcPr>
          <w:p w14:paraId="52EE8A3A" w14:textId="77777777" w:rsidR="00F849A7" w:rsidRPr="00D9348B" w:rsidRDefault="00F849A7" w:rsidP="00DB330E">
            <w:pPr>
              <w:pStyle w:val="TableTextBold"/>
              <w:spacing w:after="0"/>
              <w:jc w:val="center"/>
              <w:rPr>
                <w:rFonts w:cs="Calibri"/>
                <w:noProof w:val="0"/>
                <w:color w:val="FFFFFF"/>
              </w:rPr>
            </w:pPr>
            <w:r w:rsidRPr="00D9348B">
              <w:rPr>
                <w:rFonts w:cs="Calibri"/>
                <w:noProof w:val="0"/>
                <w:color w:val="FFFFFF"/>
              </w:rPr>
              <w:t>Emissions</w:t>
            </w:r>
            <w:r w:rsidRPr="00D9348B">
              <w:rPr>
                <w:rFonts w:cs="Calibri"/>
                <w:noProof w:val="0"/>
                <w:color w:val="FFFFFF"/>
              </w:rPr>
              <w:br/>
              <w:t>(kt CO</w:t>
            </w:r>
            <w:r w:rsidRPr="00D9348B">
              <w:rPr>
                <w:rFonts w:cs="Calibri"/>
                <w:noProof w:val="0"/>
                <w:color w:val="FFFFFF"/>
                <w:vertAlign w:val="subscript"/>
              </w:rPr>
              <w:t>2</w:t>
            </w:r>
            <w:r w:rsidRPr="00D9348B">
              <w:rPr>
                <w:rFonts w:cs="Calibri"/>
                <w:noProof w:val="0"/>
                <w:color w:val="FFFFFF"/>
              </w:rPr>
              <w:t>-e)</w:t>
            </w:r>
          </w:p>
        </w:tc>
        <w:tc>
          <w:tcPr>
            <w:tcW w:w="1134" w:type="dxa"/>
            <w:shd w:val="clear" w:color="auto" w:fill="365F91"/>
            <w:vAlign w:val="bottom"/>
          </w:tcPr>
          <w:p w14:paraId="2439A4D2" w14:textId="77777777" w:rsidR="00F849A7" w:rsidRPr="00D9348B" w:rsidRDefault="00F849A7" w:rsidP="00DB330E">
            <w:pPr>
              <w:pStyle w:val="TableTextBold"/>
              <w:spacing w:after="0"/>
              <w:jc w:val="center"/>
              <w:rPr>
                <w:rFonts w:cs="Calibri"/>
                <w:noProof w:val="0"/>
                <w:color w:val="FFFFFF"/>
              </w:rPr>
            </w:pPr>
            <w:r w:rsidRPr="00D9348B">
              <w:rPr>
                <w:rFonts w:cs="Calibri"/>
                <w:noProof w:val="0"/>
                <w:color w:val="FFFFFF"/>
              </w:rPr>
              <w:t>Change</w:t>
            </w:r>
            <w:r w:rsidRPr="00D9348B">
              <w:rPr>
                <w:rFonts w:cs="Calibri"/>
                <w:noProof w:val="0"/>
                <w:color w:val="FFFFFF"/>
              </w:rPr>
              <w:br/>
              <w:t>(percentage)</w:t>
            </w:r>
          </w:p>
        </w:tc>
        <w:tc>
          <w:tcPr>
            <w:tcW w:w="1142" w:type="dxa"/>
            <w:shd w:val="clear" w:color="auto" w:fill="365F91"/>
            <w:vAlign w:val="bottom"/>
          </w:tcPr>
          <w:p w14:paraId="5274C648" w14:textId="77777777" w:rsidR="00F849A7" w:rsidRPr="00D9348B" w:rsidRDefault="00F849A7" w:rsidP="00DB330E">
            <w:pPr>
              <w:pStyle w:val="TableTextBold"/>
              <w:spacing w:after="0"/>
              <w:jc w:val="center"/>
              <w:rPr>
                <w:rFonts w:cs="Calibri"/>
                <w:noProof w:val="0"/>
                <w:color w:val="FFFFFF"/>
              </w:rPr>
            </w:pPr>
            <w:r w:rsidRPr="00D9348B">
              <w:rPr>
                <w:rFonts w:cs="Calibri"/>
                <w:noProof w:val="0"/>
                <w:color w:val="FFFFFF"/>
              </w:rPr>
              <w:t>Difference</w:t>
            </w:r>
            <w:r w:rsidRPr="00D9348B">
              <w:rPr>
                <w:rFonts w:cs="Calibri"/>
                <w:noProof w:val="0"/>
                <w:color w:val="FFFFFF"/>
              </w:rPr>
              <w:br/>
              <w:t>(kt CO</w:t>
            </w:r>
            <w:r w:rsidRPr="00D9348B">
              <w:rPr>
                <w:rFonts w:cs="Calibri"/>
                <w:noProof w:val="0"/>
                <w:color w:val="FFFFFF"/>
                <w:vertAlign w:val="subscript"/>
              </w:rPr>
              <w:t>2</w:t>
            </w:r>
            <w:r w:rsidRPr="00D9348B">
              <w:rPr>
                <w:rFonts w:cs="Calibri"/>
                <w:noProof w:val="0"/>
                <w:color w:val="FFFFFF"/>
              </w:rPr>
              <w:t>-e)</w:t>
            </w:r>
          </w:p>
        </w:tc>
        <w:tc>
          <w:tcPr>
            <w:tcW w:w="1713" w:type="dxa"/>
            <w:gridSpan w:val="3"/>
            <w:tcBorders>
              <w:right w:val="nil"/>
            </w:tcBorders>
            <w:shd w:val="clear" w:color="auto" w:fill="365F91"/>
            <w:vAlign w:val="bottom"/>
          </w:tcPr>
          <w:p w14:paraId="64E7A89F" w14:textId="77777777" w:rsidR="00F849A7" w:rsidRPr="00D9348B" w:rsidRDefault="00F849A7" w:rsidP="00DB330E">
            <w:pPr>
              <w:pStyle w:val="TableTextBold"/>
              <w:spacing w:after="0"/>
              <w:jc w:val="center"/>
              <w:rPr>
                <w:rFonts w:cs="Calibri"/>
                <w:noProof w:val="0"/>
                <w:color w:val="FFFFFF"/>
              </w:rPr>
            </w:pPr>
            <w:r w:rsidRPr="00D9348B">
              <w:rPr>
                <w:rFonts w:cs="Calibri"/>
                <w:noProof w:val="0"/>
                <w:color w:val="FFFFFF"/>
              </w:rPr>
              <w:t>Share (percentage) of sector</w:t>
            </w:r>
          </w:p>
        </w:tc>
      </w:tr>
      <w:tr w:rsidR="002F6369" w:rsidRPr="00D9348B" w14:paraId="4B65FD94" w14:textId="77777777" w:rsidTr="002F6369">
        <w:tc>
          <w:tcPr>
            <w:tcW w:w="2948" w:type="dxa"/>
            <w:vMerge/>
            <w:tcBorders>
              <w:left w:val="nil"/>
            </w:tcBorders>
            <w:shd w:val="clear" w:color="auto" w:fill="365F91"/>
          </w:tcPr>
          <w:p w14:paraId="05C15C13" w14:textId="77777777" w:rsidR="00F849A7" w:rsidRPr="00D9348B" w:rsidRDefault="00F849A7" w:rsidP="00DB330E">
            <w:pPr>
              <w:spacing w:before="60" w:after="60"/>
              <w:rPr>
                <w:rFonts w:cs="Calibri"/>
                <w:b/>
                <w:i/>
                <w:color w:val="FFFFFF"/>
                <w:sz w:val="16"/>
                <w:szCs w:val="16"/>
              </w:rPr>
            </w:pPr>
          </w:p>
        </w:tc>
        <w:tc>
          <w:tcPr>
            <w:tcW w:w="851" w:type="dxa"/>
            <w:shd w:val="clear" w:color="auto" w:fill="365F91"/>
            <w:vAlign w:val="bottom"/>
          </w:tcPr>
          <w:p w14:paraId="65F5EAD0" w14:textId="77777777" w:rsidR="00F849A7" w:rsidRPr="00D9348B" w:rsidRDefault="00F849A7" w:rsidP="00DB330E">
            <w:pPr>
              <w:pStyle w:val="TableTextBold"/>
              <w:spacing w:before="0"/>
              <w:jc w:val="center"/>
              <w:rPr>
                <w:rFonts w:cs="Calibri"/>
                <w:noProof w:val="0"/>
                <w:color w:val="FFFFFF"/>
              </w:rPr>
            </w:pPr>
            <w:r w:rsidRPr="00D9348B">
              <w:rPr>
                <w:rFonts w:cs="Calibri"/>
                <w:noProof w:val="0"/>
                <w:color w:val="FFFFFF"/>
              </w:rPr>
              <w:t>1990</w:t>
            </w:r>
          </w:p>
        </w:tc>
        <w:tc>
          <w:tcPr>
            <w:tcW w:w="850" w:type="dxa"/>
            <w:shd w:val="clear" w:color="auto" w:fill="365F91"/>
            <w:vAlign w:val="bottom"/>
          </w:tcPr>
          <w:p w14:paraId="263E2A52" w14:textId="77777777" w:rsidR="00F849A7" w:rsidRPr="00D9348B" w:rsidRDefault="00F849A7" w:rsidP="00DB330E">
            <w:pPr>
              <w:pStyle w:val="TableTextBold"/>
              <w:spacing w:before="0"/>
              <w:jc w:val="center"/>
              <w:rPr>
                <w:rFonts w:cs="Calibri"/>
                <w:noProof w:val="0"/>
                <w:color w:val="FFFFFF"/>
              </w:rPr>
            </w:pPr>
            <w:r w:rsidRPr="00D9348B">
              <w:rPr>
                <w:rFonts w:cs="Calibri"/>
                <w:noProof w:val="0"/>
                <w:color w:val="FFFFFF"/>
              </w:rPr>
              <w:t>2018</w:t>
            </w:r>
          </w:p>
        </w:tc>
        <w:tc>
          <w:tcPr>
            <w:tcW w:w="1134" w:type="dxa"/>
            <w:shd w:val="clear" w:color="auto" w:fill="365F91"/>
            <w:vAlign w:val="bottom"/>
          </w:tcPr>
          <w:p w14:paraId="39EA4FD3" w14:textId="77777777" w:rsidR="00F849A7" w:rsidRPr="00D9348B" w:rsidRDefault="00F849A7" w:rsidP="00DB330E">
            <w:pPr>
              <w:pStyle w:val="TableTextBold"/>
              <w:jc w:val="center"/>
              <w:rPr>
                <w:rFonts w:cs="Calibri"/>
                <w:noProof w:val="0"/>
                <w:color w:val="FFFFFF"/>
              </w:rPr>
            </w:pPr>
            <w:r w:rsidRPr="00D9348B">
              <w:rPr>
                <w:rFonts w:cs="Calibri"/>
                <w:noProof w:val="0"/>
                <w:color w:val="FFFFFF"/>
              </w:rPr>
              <w:t>1990–2018</w:t>
            </w:r>
          </w:p>
        </w:tc>
        <w:tc>
          <w:tcPr>
            <w:tcW w:w="1142" w:type="dxa"/>
            <w:shd w:val="clear" w:color="auto" w:fill="365F91"/>
            <w:vAlign w:val="bottom"/>
          </w:tcPr>
          <w:p w14:paraId="6D0528CB" w14:textId="77777777" w:rsidR="00F849A7" w:rsidRPr="00D9348B" w:rsidRDefault="00F849A7" w:rsidP="00DB330E">
            <w:pPr>
              <w:pStyle w:val="TableTextBold"/>
              <w:jc w:val="center"/>
              <w:rPr>
                <w:rFonts w:cs="Calibri"/>
                <w:noProof w:val="0"/>
                <w:color w:val="FFFFFF"/>
              </w:rPr>
            </w:pPr>
            <w:r w:rsidRPr="00D9348B">
              <w:rPr>
                <w:rFonts w:cs="Calibri"/>
                <w:noProof w:val="0"/>
                <w:color w:val="FFFFFF"/>
              </w:rPr>
              <w:t>1990–2018</w:t>
            </w:r>
          </w:p>
        </w:tc>
        <w:tc>
          <w:tcPr>
            <w:tcW w:w="857" w:type="dxa"/>
            <w:gridSpan w:val="2"/>
            <w:shd w:val="clear" w:color="auto" w:fill="365F91"/>
            <w:tcMar>
              <w:right w:w="85" w:type="dxa"/>
            </w:tcMar>
          </w:tcPr>
          <w:p w14:paraId="79FAD719" w14:textId="77777777" w:rsidR="00F849A7" w:rsidRPr="00D9348B" w:rsidRDefault="00F849A7" w:rsidP="00DB330E">
            <w:pPr>
              <w:pStyle w:val="TableTextBold"/>
              <w:jc w:val="center"/>
              <w:rPr>
                <w:rFonts w:cs="Calibri"/>
                <w:noProof w:val="0"/>
                <w:color w:val="FFFFFF"/>
              </w:rPr>
            </w:pPr>
            <w:r w:rsidRPr="00D9348B">
              <w:rPr>
                <w:rFonts w:cs="Calibri"/>
                <w:noProof w:val="0"/>
                <w:color w:val="FFFFFF"/>
              </w:rPr>
              <w:t xml:space="preserve">1990 </w:t>
            </w:r>
          </w:p>
        </w:tc>
        <w:tc>
          <w:tcPr>
            <w:tcW w:w="856" w:type="dxa"/>
            <w:tcBorders>
              <w:right w:val="nil"/>
            </w:tcBorders>
            <w:shd w:val="clear" w:color="auto" w:fill="365F91"/>
            <w:tcMar>
              <w:right w:w="85" w:type="dxa"/>
            </w:tcMar>
          </w:tcPr>
          <w:p w14:paraId="271AD4E4" w14:textId="77777777" w:rsidR="00F849A7" w:rsidRPr="00D9348B" w:rsidRDefault="00F849A7" w:rsidP="00DB330E">
            <w:pPr>
              <w:pStyle w:val="TableTextBold"/>
              <w:jc w:val="center"/>
              <w:rPr>
                <w:rFonts w:cs="Calibri"/>
                <w:noProof w:val="0"/>
                <w:color w:val="FFFFFF"/>
              </w:rPr>
            </w:pPr>
            <w:r w:rsidRPr="00D9348B">
              <w:rPr>
                <w:rFonts w:cs="Calibri"/>
                <w:noProof w:val="0"/>
                <w:color w:val="FFFFFF"/>
              </w:rPr>
              <w:t>2018</w:t>
            </w:r>
          </w:p>
        </w:tc>
      </w:tr>
      <w:tr w:rsidR="00F849A7" w:rsidRPr="00D9348B" w14:paraId="1344A5E4" w14:textId="77777777" w:rsidTr="002F6369">
        <w:tc>
          <w:tcPr>
            <w:tcW w:w="2948" w:type="dxa"/>
            <w:tcBorders>
              <w:left w:val="nil"/>
            </w:tcBorders>
            <w:shd w:val="clear" w:color="auto" w:fill="auto"/>
            <w:vAlign w:val="bottom"/>
          </w:tcPr>
          <w:p w14:paraId="22BDECEF" w14:textId="77777777" w:rsidR="00F849A7" w:rsidRPr="00D9348B" w:rsidRDefault="00F849A7" w:rsidP="00DB330E">
            <w:pPr>
              <w:pStyle w:val="TableText"/>
              <w:rPr>
                <w:rFonts w:cs="Calibri"/>
              </w:rPr>
            </w:pPr>
            <w:r w:rsidRPr="00D9348B">
              <w:rPr>
                <w:rFonts w:cs="Calibri"/>
              </w:rPr>
              <w:t>Enteric fermentation (CRF 3.A)</w:t>
            </w:r>
          </w:p>
        </w:tc>
        <w:tc>
          <w:tcPr>
            <w:tcW w:w="851" w:type="dxa"/>
            <w:shd w:val="clear" w:color="auto" w:fill="auto"/>
            <w:vAlign w:val="bottom"/>
          </w:tcPr>
          <w:p w14:paraId="6B376251" w14:textId="77777777" w:rsidR="00F849A7" w:rsidRPr="00D9348B" w:rsidRDefault="00F849A7" w:rsidP="00DB330E">
            <w:pPr>
              <w:pStyle w:val="TableText"/>
              <w:jc w:val="right"/>
              <w:rPr>
                <w:rFonts w:cs="Calibri"/>
              </w:rPr>
            </w:pPr>
            <w:r w:rsidRPr="00D9348B">
              <w:rPr>
                <w:rFonts w:cs="Calibri"/>
              </w:rPr>
              <w:t>26,548.9</w:t>
            </w:r>
          </w:p>
        </w:tc>
        <w:tc>
          <w:tcPr>
            <w:tcW w:w="850" w:type="dxa"/>
            <w:shd w:val="clear" w:color="auto" w:fill="auto"/>
            <w:vAlign w:val="bottom"/>
          </w:tcPr>
          <w:p w14:paraId="46C3A0EE" w14:textId="77777777" w:rsidR="00F849A7" w:rsidRPr="00D9348B" w:rsidRDefault="00F849A7" w:rsidP="00DB330E">
            <w:pPr>
              <w:pStyle w:val="TableText"/>
              <w:jc w:val="right"/>
              <w:rPr>
                <w:rFonts w:cs="Calibri"/>
              </w:rPr>
            </w:pPr>
            <w:r w:rsidRPr="00D9348B">
              <w:rPr>
                <w:rFonts w:cs="Calibri"/>
              </w:rPr>
              <w:t>27,939.0</w:t>
            </w:r>
          </w:p>
        </w:tc>
        <w:tc>
          <w:tcPr>
            <w:tcW w:w="1134" w:type="dxa"/>
            <w:shd w:val="clear" w:color="auto" w:fill="auto"/>
            <w:vAlign w:val="bottom"/>
          </w:tcPr>
          <w:p w14:paraId="5A01ACB1" w14:textId="77777777" w:rsidR="00F849A7" w:rsidRPr="00D9348B" w:rsidRDefault="00F849A7" w:rsidP="00DB330E">
            <w:pPr>
              <w:pStyle w:val="TableText"/>
              <w:jc w:val="right"/>
              <w:rPr>
                <w:rFonts w:cs="Calibri"/>
              </w:rPr>
            </w:pPr>
            <w:r w:rsidRPr="00D9348B">
              <w:rPr>
                <w:rFonts w:cs="Calibri"/>
              </w:rPr>
              <w:t>5.2</w:t>
            </w:r>
          </w:p>
        </w:tc>
        <w:tc>
          <w:tcPr>
            <w:tcW w:w="1142" w:type="dxa"/>
            <w:shd w:val="clear" w:color="auto" w:fill="auto"/>
            <w:vAlign w:val="bottom"/>
          </w:tcPr>
          <w:p w14:paraId="0D4AE12A" w14:textId="77777777" w:rsidR="00F849A7" w:rsidRPr="00D9348B" w:rsidRDefault="00F849A7" w:rsidP="00DB330E">
            <w:pPr>
              <w:pStyle w:val="TableText"/>
              <w:jc w:val="right"/>
              <w:rPr>
                <w:rFonts w:cs="Calibri"/>
              </w:rPr>
            </w:pPr>
            <w:r w:rsidRPr="00D9348B">
              <w:rPr>
                <w:rFonts w:cs="Calibri"/>
              </w:rPr>
              <w:t>1,390.0</w:t>
            </w:r>
          </w:p>
        </w:tc>
        <w:tc>
          <w:tcPr>
            <w:tcW w:w="857" w:type="dxa"/>
            <w:gridSpan w:val="2"/>
            <w:shd w:val="clear" w:color="auto" w:fill="auto"/>
            <w:vAlign w:val="bottom"/>
          </w:tcPr>
          <w:p w14:paraId="0CACBA17" w14:textId="77777777" w:rsidR="00F849A7" w:rsidRPr="00D9348B" w:rsidRDefault="00F849A7" w:rsidP="00DB330E">
            <w:pPr>
              <w:pStyle w:val="TableText"/>
              <w:jc w:val="right"/>
              <w:rPr>
                <w:rFonts w:cs="Calibri"/>
              </w:rPr>
            </w:pPr>
            <w:r w:rsidRPr="00D9348B">
              <w:rPr>
                <w:rFonts w:cs="Calibri"/>
              </w:rPr>
              <w:t>82.5</w:t>
            </w:r>
          </w:p>
        </w:tc>
        <w:tc>
          <w:tcPr>
            <w:tcW w:w="856" w:type="dxa"/>
            <w:tcBorders>
              <w:right w:val="nil"/>
            </w:tcBorders>
            <w:shd w:val="clear" w:color="auto" w:fill="auto"/>
            <w:vAlign w:val="bottom"/>
          </w:tcPr>
          <w:p w14:paraId="596BAFD0" w14:textId="77777777" w:rsidR="00F849A7" w:rsidRPr="00D9348B" w:rsidRDefault="00F849A7" w:rsidP="00DB330E">
            <w:pPr>
              <w:pStyle w:val="TableText"/>
              <w:jc w:val="right"/>
              <w:rPr>
                <w:rFonts w:cs="Calibri"/>
              </w:rPr>
            </w:pPr>
            <w:r w:rsidRPr="00D9348B">
              <w:rPr>
                <w:rFonts w:cs="Calibri"/>
              </w:rPr>
              <w:t>74.1</w:t>
            </w:r>
          </w:p>
        </w:tc>
      </w:tr>
      <w:tr w:rsidR="00F849A7" w:rsidRPr="00D9348B" w14:paraId="02E618D1" w14:textId="77777777" w:rsidTr="002F6369">
        <w:tc>
          <w:tcPr>
            <w:tcW w:w="2948" w:type="dxa"/>
            <w:tcBorders>
              <w:left w:val="nil"/>
            </w:tcBorders>
            <w:shd w:val="clear" w:color="auto" w:fill="auto"/>
            <w:vAlign w:val="bottom"/>
          </w:tcPr>
          <w:p w14:paraId="4B9CE1D0" w14:textId="77777777" w:rsidR="00F849A7" w:rsidRPr="00D9348B" w:rsidRDefault="00F849A7" w:rsidP="00DB330E">
            <w:pPr>
              <w:pStyle w:val="TableText"/>
              <w:rPr>
                <w:rFonts w:cs="Calibri"/>
              </w:rPr>
            </w:pPr>
            <w:r w:rsidRPr="00D9348B">
              <w:rPr>
                <w:rFonts w:cs="Calibri"/>
              </w:rPr>
              <w:t>Manure management (CRF 3.B)</w:t>
            </w:r>
          </w:p>
        </w:tc>
        <w:tc>
          <w:tcPr>
            <w:tcW w:w="851" w:type="dxa"/>
            <w:shd w:val="clear" w:color="auto" w:fill="auto"/>
            <w:vAlign w:val="bottom"/>
          </w:tcPr>
          <w:p w14:paraId="5C8FB510" w14:textId="77777777" w:rsidR="00F849A7" w:rsidRPr="00D9348B" w:rsidRDefault="00F849A7" w:rsidP="00DB330E">
            <w:pPr>
              <w:pStyle w:val="TableText"/>
              <w:jc w:val="right"/>
              <w:rPr>
                <w:rFonts w:cs="Calibri"/>
              </w:rPr>
            </w:pPr>
            <w:r w:rsidRPr="00D9348B">
              <w:rPr>
                <w:rFonts w:cs="Calibri"/>
              </w:rPr>
              <w:t>722.6</w:t>
            </w:r>
          </w:p>
        </w:tc>
        <w:tc>
          <w:tcPr>
            <w:tcW w:w="850" w:type="dxa"/>
            <w:shd w:val="clear" w:color="auto" w:fill="auto"/>
            <w:vAlign w:val="bottom"/>
          </w:tcPr>
          <w:p w14:paraId="1022121D" w14:textId="77777777" w:rsidR="00F849A7" w:rsidRPr="00D9348B" w:rsidRDefault="00F849A7" w:rsidP="00DB330E">
            <w:pPr>
              <w:pStyle w:val="TableText"/>
              <w:jc w:val="right"/>
              <w:rPr>
                <w:rFonts w:cs="Calibri"/>
              </w:rPr>
            </w:pPr>
            <w:r w:rsidRPr="00D9348B">
              <w:rPr>
                <w:rFonts w:cs="Calibri"/>
              </w:rPr>
              <w:t>1,609.7</w:t>
            </w:r>
          </w:p>
        </w:tc>
        <w:tc>
          <w:tcPr>
            <w:tcW w:w="1134" w:type="dxa"/>
            <w:shd w:val="clear" w:color="auto" w:fill="auto"/>
            <w:vAlign w:val="bottom"/>
          </w:tcPr>
          <w:p w14:paraId="061D9A36" w14:textId="77777777" w:rsidR="00F849A7" w:rsidRPr="00D9348B" w:rsidRDefault="00F849A7" w:rsidP="00DB330E">
            <w:pPr>
              <w:pStyle w:val="TableText"/>
              <w:jc w:val="right"/>
              <w:rPr>
                <w:rFonts w:cs="Calibri"/>
              </w:rPr>
            </w:pPr>
            <w:r w:rsidRPr="00D9348B">
              <w:rPr>
                <w:rFonts w:cs="Calibri"/>
              </w:rPr>
              <w:t>122.7</w:t>
            </w:r>
          </w:p>
        </w:tc>
        <w:tc>
          <w:tcPr>
            <w:tcW w:w="1142" w:type="dxa"/>
            <w:shd w:val="clear" w:color="auto" w:fill="auto"/>
            <w:vAlign w:val="bottom"/>
          </w:tcPr>
          <w:p w14:paraId="38B1BB85" w14:textId="77777777" w:rsidR="00F849A7" w:rsidRPr="00D9348B" w:rsidRDefault="00F849A7" w:rsidP="00DB330E">
            <w:pPr>
              <w:pStyle w:val="TableText"/>
              <w:jc w:val="right"/>
              <w:rPr>
                <w:rFonts w:cs="Calibri"/>
              </w:rPr>
            </w:pPr>
            <w:r w:rsidRPr="00D9348B">
              <w:rPr>
                <w:rFonts w:cs="Calibri"/>
              </w:rPr>
              <w:t>887.0</w:t>
            </w:r>
          </w:p>
        </w:tc>
        <w:tc>
          <w:tcPr>
            <w:tcW w:w="840" w:type="dxa"/>
            <w:shd w:val="clear" w:color="auto" w:fill="auto"/>
            <w:vAlign w:val="bottom"/>
          </w:tcPr>
          <w:p w14:paraId="1573B61C" w14:textId="77777777" w:rsidR="00F849A7" w:rsidRPr="00D9348B" w:rsidRDefault="00F849A7" w:rsidP="00DB330E">
            <w:pPr>
              <w:pStyle w:val="TableText"/>
              <w:jc w:val="right"/>
              <w:rPr>
                <w:rFonts w:cs="Calibri"/>
              </w:rPr>
            </w:pPr>
            <w:r w:rsidRPr="00D9348B">
              <w:rPr>
                <w:rFonts w:cs="Calibri"/>
              </w:rPr>
              <w:t>2.2</w:t>
            </w:r>
          </w:p>
        </w:tc>
        <w:tc>
          <w:tcPr>
            <w:tcW w:w="873" w:type="dxa"/>
            <w:gridSpan w:val="2"/>
            <w:tcBorders>
              <w:right w:val="nil"/>
            </w:tcBorders>
            <w:shd w:val="clear" w:color="auto" w:fill="auto"/>
            <w:vAlign w:val="bottom"/>
          </w:tcPr>
          <w:p w14:paraId="131E0D04" w14:textId="77777777" w:rsidR="00F849A7" w:rsidRPr="00D9348B" w:rsidRDefault="00F849A7" w:rsidP="00DB330E">
            <w:pPr>
              <w:pStyle w:val="TableText"/>
              <w:jc w:val="right"/>
              <w:rPr>
                <w:rFonts w:cs="Calibri"/>
              </w:rPr>
            </w:pPr>
            <w:r w:rsidRPr="00D9348B">
              <w:rPr>
                <w:rFonts w:cs="Calibri"/>
              </w:rPr>
              <w:t>4.3</w:t>
            </w:r>
          </w:p>
        </w:tc>
      </w:tr>
      <w:tr w:rsidR="00F849A7" w:rsidRPr="00D9348B" w14:paraId="0587C070" w14:textId="77777777" w:rsidTr="002F6369">
        <w:tc>
          <w:tcPr>
            <w:tcW w:w="2948" w:type="dxa"/>
            <w:tcBorders>
              <w:left w:val="nil"/>
            </w:tcBorders>
            <w:shd w:val="clear" w:color="auto" w:fill="auto"/>
            <w:vAlign w:val="bottom"/>
          </w:tcPr>
          <w:p w14:paraId="5052AC8B" w14:textId="77777777" w:rsidR="00F849A7" w:rsidRPr="00D9348B" w:rsidRDefault="00F849A7" w:rsidP="00DB330E">
            <w:pPr>
              <w:pStyle w:val="TableText"/>
              <w:rPr>
                <w:rFonts w:cs="Calibri"/>
              </w:rPr>
            </w:pPr>
            <w:r w:rsidRPr="00D9348B">
              <w:rPr>
                <w:rFonts w:cs="Calibri"/>
              </w:rPr>
              <w:t>Rice cultivation (CRF 3.C)</w:t>
            </w:r>
          </w:p>
        </w:tc>
        <w:tc>
          <w:tcPr>
            <w:tcW w:w="851" w:type="dxa"/>
            <w:shd w:val="clear" w:color="auto" w:fill="auto"/>
            <w:vAlign w:val="bottom"/>
          </w:tcPr>
          <w:p w14:paraId="0EB22732" w14:textId="77777777" w:rsidR="00F849A7" w:rsidRPr="00D9348B" w:rsidRDefault="00F849A7" w:rsidP="00DB330E">
            <w:pPr>
              <w:pStyle w:val="TableText"/>
              <w:jc w:val="right"/>
              <w:rPr>
                <w:rFonts w:cs="Calibri"/>
              </w:rPr>
            </w:pPr>
            <w:r w:rsidRPr="00D9348B">
              <w:rPr>
                <w:rFonts w:cs="Calibri"/>
              </w:rPr>
              <w:t>NO</w:t>
            </w:r>
          </w:p>
        </w:tc>
        <w:tc>
          <w:tcPr>
            <w:tcW w:w="850" w:type="dxa"/>
            <w:shd w:val="clear" w:color="auto" w:fill="auto"/>
            <w:vAlign w:val="bottom"/>
          </w:tcPr>
          <w:p w14:paraId="63965359" w14:textId="77777777" w:rsidR="00F849A7" w:rsidRPr="00D9348B" w:rsidRDefault="00F849A7" w:rsidP="00DB330E">
            <w:pPr>
              <w:pStyle w:val="TableText"/>
              <w:jc w:val="right"/>
              <w:rPr>
                <w:rFonts w:cs="Calibri"/>
              </w:rPr>
            </w:pPr>
            <w:r w:rsidRPr="00D9348B">
              <w:rPr>
                <w:rFonts w:cs="Calibri"/>
              </w:rPr>
              <w:t>NO</w:t>
            </w:r>
          </w:p>
        </w:tc>
        <w:tc>
          <w:tcPr>
            <w:tcW w:w="1134" w:type="dxa"/>
            <w:shd w:val="clear" w:color="auto" w:fill="auto"/>
            <w:vAlign w:val="bottom"/>
          </w:tcPr>
          <w:p w14:paraId="1908614A" w14:textId="77777777" w:rsidR="00F849A7" w:rsidRPr="00D9348B" w:rsidRDefault="00F849A7" w:rsidP="00DB330E">
            <w:pPr>
              <w:pStyle w:val="TableText"/>
              <w:jc w:val="right"/>
              <w:rPr>
                <w:rFonts w:cs="Calibri"/>
              </w:rPr>
            </w:pPr>
            <w:r w:rsidRPr="00D9348B">
              <w:rPr>
                <w:rFonts w:cs="Calibri"/>
              </w:rPr>
              <w:t>–</w:t>
            </w:r>
          </w:p>
        </w:tc>
        <w:tc>
          <w:tcPr>
            <w:tcW w:w="1142" w:type="dxa"/>
            <w:shd w:val="clear" w:color="auto" w:fill="auto"/>
            <w:vAlign w:val="bottom"/>
          </w:tcPr>
          <w:p w14:paraId="71891332" w14:textId="77777777" w:rsidR="00F849A7" w:rsidRPr="00D9348B" w:rsidRDefault="00F849A7" w:rsidP="00DB330E">
            <w:pPr>
              <w:pStyle w:val="TableText"/>
              <w:jc w:val="right"/>
              <w:rPr>
                <w:rFonts w:cs="Calibri"/>
              </w:rPr>
            </w:pPr>
            <w:r w:rsidRPr="00D9348B">
              <w:rPr>
                <w:rFonts w:cs="Calibri"/>
              </w:rPr>
              <w:t>–</w:t>
            </w:r>
          </w:p>
        </w:tc>
        <w:tc>
          <w:tcPr>
            <w:tcW w:w="840" w:type="dxa"/>
            <w:shd w:val="clear" w:color="auto" w:fill="auto"/>
            <w:vAlign w:val="bottom"/>
          </w:tcPr>
          <w:p w14:paraId="32B251A9" w14:textId="77777777" w:rsidR="00F849A7" w:rsidRPr="00D9348B" w:rsidRDefault="00F849A7" w:rsidP="00DB330E">
            <w:pPr>
              <w:pStyle w:val="TableText"/>
              <w:jc w:val="right"/>
              <w:rPr>
                <w:rFonts w:cs="Calibri"/>
              </w:rPr>
            </w:pPr>
            <w:r w:rsidRPr="00D9348B">
              <w:rPr>
                <w:rFonts w:cs="Calibri"/>
              </w:rPr>
              <w:t>–</w:t>
            </w:r>
          </w:p>
        </w:tc>
        <w:tc>
          <w:tcPr>
            <w:tcW w:w="873" w:type="dxa"/>
            <w:gridSpan w:val="2"/>
            <w:tcBorders>
              <w:right w:val="nil"/>
            </w:tcBorders>
            <w:shd w:val="clear" w:color="auto" w:fill="auto"/>
            <w:vAlign w:val="bottom"/>
          </w:tcPr>
          <w:p w14:paraId="7DF39AD4" w14:textId="77777777" w:rsidR="00F849A7" w:rsidRPr="00D9348B" w:rsidRDefault="00F849A7" w:rsidP="00DB330E">
            <w:pPr>
              <w:pStyle w:val="TableText"/>
              <w:jc w:val="right"/>
              <w:rPr>
                <w:rFonts w:cs="Calibri"/>
              </w:rPr>
            </w:pPr>
            <w:r w:rsidRPr="00D9348B">
              <w:rPr>
                <w:rFonts w:cs="Calibri"/>
              </w:rPr>
              <w:t>–</w:t>
            </w:r>
          </w:p>
        </w:tc>
      </w:tr>
      <w:tr w:rsidR="00F849A7" w:rsidRPr="00D9348B" w14:paraId="303601B3" w14:textId="77777777" w:rsidTr="002F6369">
        <w:tc>
          <w:tcPr>
            <w:tcW w:w="2948" w:type="dxa"/>
            <w:tcBorders>
              <w:left w:val="nil"/>
            </w:tcBorders>
            <w:shd w:val="clear" w:color="auto" w:fill="auto"/>
            <w:vAlign w:val="bottom"/>
          </w:tcPr>
          <w:p w14:paraId="43EE4142" w14:textId="77777777" w:rsidR="00F849A7" w:rsidRPr="00D9348B" w:rsidRDefault="00F849A7" w:rsidP="00DB330E">
            <w:pPr>
              <w:pStyle w:val="TableText"/>
              <w:rPr>
                <w:rFonts w:cs="Calibri"/>
              </w:rPr>
            </w:pPr>
            <w:r w:rsidRPr="00D9348B">
              <w:rPr>
                <w:rFonts w:cs="Calibri"/>
              </w:rPr>
              <w:t>Agricultural soils (CRF 3.D)</w:t>
            </w:r>
          </w:p>
        </w:tc>
        <w:tc>
          <w:tcPr>
            <w:tcW w:w="851" w:type="dxa"/>
            <w:shd w:val="clear" w:color="auto" w:fill="auto"/>
            <w:vAlign w:val="bottom"/>
          </w:tcPr>
          <w:p w14:paraId="264A6023" w14:textId="77777777" w:rsidR="00F849A7" w:rsidRPr="00D9348B" w:rsidRDefault="00F849A7" w:rsidP="00DB330E">
            <w:pPr>
              <w:pStyle w:val="TableText"/>
              <w:jc w:val="right"/>
              <w:rPr>
                <w:rFonts w:cs="Calibri"/>
              </w:rPr>
            </w:pPr>
            <w:r w:rsidRPr="00D9348B">
              <w:rPr>
                <w:rFonts w:cs="Calibri"/>
              </w:rPr>
              <w:t>4,483.8</w:t>
            </w:r>
          </w:p>
        </w:tc>
        <w:tc>
          <w:tcPr>
            <w:tcW w:w="850" w:type="dxa"/>
            <w:shd w:val="clear" w:color="auto" w:fill="auto"/>
            <w:vAlign w:val="bottom"/>
          </w:tcPr>
          <w:p w14:paraId="0E56EC6B" w14:textId="77777777" w:rsidR="00F849A7" w:rsidRPr="00D9348B" w:rsidRDefault="00F849A7" w:rsidP="00DB330E">
            <w:pPr>
              <w:pStyle w:val="TableText"/>
              <w:jc w:val="right"/>
              <w:rPr>
                <w:rFonts w:cs="Calibri"/>
              </w:rPr>
            </w:pPr>
            <w:r w:rsidRPr="00D9348B">
              <w:rPr>
                <w:rFonts w:cs="Calibri"/>
              </w:rPr>
              <w:t>7,026.3</w:t>
            </w:r>
          </w:p>
        </w:tc>
        <w:tc>
          <w:tcPr>
            <w:tcW w:w="1134" w:type="dxa"/>
            <w:shd w:val="clear" w:color="auto" w:fill="auto"/>
            <w:vAlign w:val="bottom"/>
          </w:tcPr>
          <w:p w14:paraId="37B88636" w14:textId="77777777" w:rsidR="00F849A7" w:rsidRPr="00D9348B" w:rsidRDefault="00F849A7" w:rsidP="00DB330E">
            <w:pPr>
              <w:pStyle w:val="TableText"/>
              <w:jc w:val="right"/>
              <w:rPr>
                <w:rFonts w:cs="Calibri"/>
              </w:rPr>
            </w:pPr>
            <w:r w:rsidRPr="00D9348B">
              <w:rPr>
                <w:rFonts w:cs="Calibri"/>
              </w:rPr>
              <w:t>56.7</w:t>
            </w:r>
          </w:p>
        </w:tc>
        <w:tc>
          <w:tcPr>
            <w:tcW w:w="1142" w:type="dxa"/>
            <w:shd w:val="clear" w:color="auto" w:fill="auto"/>
            <w:vAlign w:val="bottom"/>
          </w:tcPr>
          <w:p w14:paraId="3D018814" w14:textId="77777777" w:rsidR="00F849A7" w:rsidRPr="00D9348B" w:rsidRDefault="00F849A7" w:rsidP="00DB330E">
            <w:pPr>
              <w:pStyle w:val="TableText"/>
              <w:jc w:val="right"/>
              <w:rPr>
                <w:rFonts w:cs="Calibri"/>
              </w:rPr>
            </w:pPr>
            <w:r w:rsidRPr="00D9348B">
              <w:rPr>
                <w:rFonts w:cs="Calibri"/>
              </w:rPr>
              <w:t>2,542.5</w:t>
            </w:r>
          </w:p>
        </w:tc>
        <w:tc>
          <w:tcPr>
            <w:tcW w:w="840" w:type="dxa"/>
            <w:shd w:val="clear" w:color="auto" w:fill="auto"/>
            <w:vAlign w:val="bottom"/>
          </w:tcPr>
          <w:p w14:paraId="7ECE4586" w14:textId="77777777" w:rsidR="00F849A7" w:rsidRPr="00D9348B" w:rsidRDefault="00F849A7" w:rsidP="00DB330E">
            <w:pPr>
              <w:pStyle w:val="TableText"/>
              <w:jc w:val="right"/>
              <w:rPr>
                <w:rFonts w:cs="Calibri"/>
              </w:rPr>
            </w:pPr>
            <w:r w:rsidRPr="00D9348B">
              <w:rPr>
                <w:rFonts w:cs="Calibri"/>
              </w:rPr>
              <w:t>13.9</w:t>
            </w:r>
          </w:p>
        </w:tc>
        <w:tc>
          <w:tcPr>
            <w:tcW w:w="873" w:type="dxa"/>
            <w:gridSpan w:val="2"/>
            <w:tcBorders>
              <w:right w:val="nil"/>
            </w:tcBorders>
            <w:shd w:val="clear" w:color="auto" w:fill="auto"/>
            <w:vAlign w:val="bottom"/>
          </w:tcPr>
          <w:p w14:paraId="4A4E12DA" w14:textId="77777777" w:rsidR="00F849A7" w:rsidRPr="00D9348B" w:rsidRDefault="00F849A7" w:rsidP="00DB330E">
            <w:pPr>
              <w:pStyle w:val="TableText"/>
              <w:jc w:val="right"/>
              <w:rPr>
                <w:rFonts w:cs="Calibri"/>
              </w:rPr>
            </w:pPr>
            <w:r w:rsidRPr="00D9348B">
              <w:rPr>
                <w:rFonts w:cs="Calibri"/>
              </w:rPr>
              <w:t>18.6</w:t>
            </w:r>
          </w:p>
        </w:tc>
      </w:tr>
      <w:tr w:rsidR="00F849A7" w:rsidRPr="00D9348B" w14:paraId="3D430912" w14:textId="77777777" w:rsidTr="002F6369">
        <w:tc>
          <w:tcPr>
            <w:tcW w:w="2948" w:type="dxa"/>
            <w:tcBorders>
              <w:left w:val="nil"/>
            </w:tcBorders>
            <w:shd w:val="clear" w:color="auto" w:fill="auto"/>
            <w:vAlign w:val="bottom"/>
          </w:tcPr>
          <w:p w14:paraId="22EBF4F7" w14:textId="77777777" w:rsidR="00F849A7" w:rsidRPr="00D9348B" w:rsidRDefault="00F849A7" w:rsidP="00DB330E">
            <w:pPr>
              <w:pStyle w:val="TableText"/>
              <w:rPr>
                <w:rFonts w:cs="Calibri"/>
              </w:rPr>
            </w:pPr>
            <w:r w:rsidRPr="00D9348B">
              <w:rPr>
                <w:rFonts w:cs="Calibri"/>
              </w:rPr>
              <w:t>Field burning of agricultural residues (CRF 3.F)</w:t>
            </w:r>
          </w:p>
        </w:tc>
        <w:tc>
          <w:tcPr>
            <w:tcW w:w="851" w:type="dxa"/>
            <w:shd w:val="clear" w:color="auto" w:fill="auto"/>
            <w:vAlign w:val="bottom"/>
          </w:tcPr>
          <w:p w14:paraId="51215F67" w14:textId="77777777" w:rsidR="00F849A7" w:rsidRPr="00D9348B" w:rsidRDefault="00F849A7" w:rsidP="00DB330E">
            <w:pPr>
              <w:pStyle w:val="TableText"/>
              <w:jc w:val="right"/>
              <w:rPr>
                <w:rFonts w:cs="Calibri"/>
              </w:rPr>
            </w:pPr>
            <w:r w:rsidRPr="00D9348B">
              <w:rPr>
                <w:rFonts w:cs="Calibri"/>
              </w:rPr>
              <w:t>27.4</w:t>
            </w:r>
          </w:p>
        </w:tc>
        <w:tc>
          <w:tcPr>
            <w:tcW w:w="850" w:type="dxa"/>
            <w:shd w:val="clear" w:color="auto" w:fill="auto"/>
            <w:vAlign w:val="bottom"/>
          </w:tcPr>
          <w:p w14:paraId="0855CAB0" w14:textId="77777777" w:rsidR="00F849A7" w:rsidRPr="00D9348B" w:rsidRDefault="00F849A7" w:rsidP="00DB330E">
            <w:pPr>
              <w:pStyle w:val="TableText"/>
              <w:jc w:val="right"/>
              <w:rPr>
                <w:rFonts w:cs="Calibri"/>
              </w:rPr>
            </w:pPr>
            <w:r w:rsidRPr="00D9348B">
              <w:rPr>
                <w:rFonts w:cs="Calibri"/>
              </w:rPr>
              <w:t>19.0</w:t>
            </w:r>
          </w:p>
        </w:tc>
        <w:tc>
          <w:tcPr>
            <w:tcW w:w="1134" w:type="dxa"/>
            <w:shd w:val="clear" w:color="auto" w:fill="auto"/>
            <w:vAlign w:val="bottom"/>
          </w:tcPr>
          <w:p w14:paraId="5E4D745D" w14:textId="77777777" w:rsidR="00F849A7" w:rsidRPr="00D9348B" w:rsidRDefault="00F849A7" w:rsidP="00DB330E">
            <w:pPr>
              <w:pStyle w:val="TableText"/>
              <w:jc w:val="right"/>
              <w:rPr>
                <w:rFonts w:cs="Calibri"/>
              </w:rPr>
            </w:pPr>
            <w:r w:rsidRPr="00D9348B">
              <w:rPr>
                <w:rFonts w:cs="Calibri"/>
              </w:rPr>
              <w:t>–30.7</w:t>
            </w:r>
          </w:p>
        </w:tc>
        <w:tc>
          <w:tcPr>
            <w:tcW w:w="1142" w:type="dxa"/>
            <w:shd w:val="clear" w:color="auto" w:fill="auto"/>
            <w:vAlign w:val="bottom"/>
          </w:tcPr>
          <w:p w14:paraId="5C75F6FD" w14:textId="77777777" w:rsidR="00F849A7" w:rsidRPr="00D9348B" w:rsidRDefault="00F849A7" w:rsidP="00DB330E">
            <w:pPr>
              <w:pStyle w:val="TableText"/>
              <w:jc w:val="right"/>
              <w:rPr>
                <w:rFonts w:cs="Calibri"/>
              </w:rPr>
            </w:pPr>
            <w:r w:rsidRPr="00D9348B">
              <w:rPr>
                <w:rFonts w:cs="Calibri"/>
              </w:rPr>
              <w:t>–8.4</w:t>
            </w:r>
          </w:p>
        </w:tc>
        <w:tc>
          <w:tcPr>
            <w:tcW w:w="840" w:type="dxa"/>
            <w:shd w:val="clear" w:color="auto" w:fill="auto"/>
            <w:vAlign w:val="bottom"/>
          </w:tcPr>
          <w:p w14:paraId="349134A2" w14:textId="77777777" w:rsidR="00F849A7" w:rsidRPr="00D9348B" w:rsidRDefault="00F849A7" w:rsidP="00DB330E">
            <w:pPr>
              <w:pStyle w:val="TableText"/>
              <w:jc w:val="right"/>
              <w:rPr>
                <w:rFonts w:cs="Calibri"/>
              </w:rPr>
            </w:pPr>
            <w:r w:rsidRPr="00D9348B">
              <w:rPr>
                <w:rFonts w:cs="Calibri"/>
              </w:rPr>
              <w:t>0.1</w:t>
            </w:r>
          </w:p>
        </w:tc>
        <w:tc>
          <w:tcPr>
            <w:tcW w:w="873" w:type="dxa"/>
            <w:gridSpan w:val="2"/>
            <w:tcBorders>
              <w:right w:val="nil"/>
            </w:tcBorders>
            <w:shd w:val="clear" w:color="auto" w:fill="auto"/>
            <w:vAlign w:val="bottom"/>
          </w:tcPr>
          <w:p w14:paraId="419CF3D5" w14:textId="77777777" w:rsidR="00F849A7" w:rsidRPr="00D9348B" w:rsidRDefault="00F849A7" w:rsidP="00DB330E">
            <w:pPr>
              <w:pStyle w:val="TableText"/>
              <w:jc w:val="right"/>
              <w:rPr>
                <w:rFonts w:cs="Calibri"/>
              </w:rPr>
            </w:pPr>
            <w:r w:rsidRPr="00D9348B">
              <w:rPr>
                <w:rFonts w:cs="Calibri"/>
              </w:rPr>
              <w:t>0.1</w:t>
            </w:r>
          </w:p>
        </w:tc>
      </w:tr>
      <w:tr w:rsidR="00F849A7" w:rsidRPr="00D9348B" w14:paraId="0FC1E002" w14:textId="77777777" w:rsidTr="002F6369">
        <w:tc>
          <w:tcPr>
            <w:tcW w:w="2948" w:type="dxa"/>
            <w:tcBorders>
              <w:left w:val="nil"/>
            </w:tcBorders>
            <w:shd w:val="clear" w:color="auto" w:fill="auto"/>
            <w:vAlign w:val="bottom"/>
          </w:tcPr>
          <w:p w14:paraId="4FBFD772" w14:textId="77777777" w:rsidR="00F849A7" w:rsidRPr="00D9348B" w:rsidRDefault="00F849A7" w:rsidP="00DB330E">
            <w:pPr>
              <w:pStyle w:val="TableText"/>
              <w:rPr>
                <w:rFonts w:cs="Calibri"/>
              </w:rPr>
            </w:pPr>
            <w:r w:rsidRPr="00D9348B">
              <w:rPr>
                <w:rFonts w:cs="Calibri"/>
              </w:rPr>
              <w:t>Liming CO</w:t>
            </w:r>
            <w:r w:rsidRPr="00D9348B">
              <w:rPr>
                <w:rFonts w:cs="Calibri"/>
                <w:vertAlign w:val="subscript"/>
              </w:rPr>
              <w:t>2</w:t>
            </w:r>
            <w:r w:rsidRPr="00D9348B">
              <w:rPr>
                <w:rFonts w:cs="Calibri"/>
              </w:rPr>
              <w:t xml:space="preserve"> emissions (CRF 3.G)</w:t>
            </w:r>
          </w:p>
        </w:tc>
        <w:tc>
          <w:tcPr>
            <w:tcW w:w="851" w:type="dxa"/>
            <w:shd w:val="clear" w:color="auto" w:fill="auto"/>
            <w:vAlign w:val="bottom"/>
          </w:tcPr>
          <w:p w14:paraId="0DB91D70" w14:textId="77777777" w:rsidR="00F849A7" w:rsidRPr="00D9348B" w:rsidRDefault="00F849A7" w:rsidP="00DB330E">
            <w:pPr>
              <w:pStyle w:val="TableText"/>
              <w:jc w:val="right"/>
              <w:rPr>
                <w:rFonts w:cs="Calibri"/>
              </w:rPr>
            </w:pPr>
            <w:r w:rsidRPr="00D9348B">
              <w:rPr>
                <w:rFonts w:cs="Calibri"/>
              </w:rPr>
              <w:t>360.1</w:t>
            </w:r>
          </w:p>
        </w:tc>
        <w:tc>
          <w:tcPr>
            <w:tcW w:w="850" w:type="dxa"/>
            <w:shd w:val="clear" w:color="auto" w:fill="auto"/>
            <w:vAlign w:val="bottom"/>
          </w:tcPr>
          <w:p w14:paraId="11AB102E" w14:textId="77777777" w:rsidR="00F849A7" w:rsidRPr="00D9348B" w:rsidRDefault="00F849A7" w:rsidP="00DB330E">
            <w:pPr>
              <w:pStyle w:val="TableText"/>
              <w:jc w:val="right"/>
              <w:rPr>
                <w:rFonts w:cs="Calibri"/>
              </w:rPr>
            </w:pPr>
            <w:r w:rsidRPr="00D9348B">
              <w:rPr>
                <w:rFonts w:cs="Calibri"/>
              </w:rPr>
              <w:t>494.9</w:t>
            </w:r>
          </w:p>
        </w:tc>
        <w:tc>
          <w:tcPr>
            <w:tcW w:w="1134" w:type="dxa"/>
            <w:shd w:val="clear" w:color="auto" w:fill="auto"/>
            <w:vAlign w:val="bottom"/>
          </w:tcPr>
          <w:p w14:paraId="6A987AEB" w14:textId="77777777" w:rsidR="00F849A7" w:rsidRPr="00D9348B" w:rsidRDefault="00F849A7" w:rsidP="00DB330E">
            <w:pPr>
              <w:pStyle w:val="TableText"/>
              <w:jc w:val="right"/>
              <w:rPr>
                <w:rFonts w:cs="Calibri"/>
              </w:rPr>
            </w:pPr>
            <w:r w:rsidRPr="00D9348B">
              <w:rPr>
                <w:rFonts w:cs="Calibri"/>
              </w:rPr>
              <w:t>37.4</w:t>
            </w:r>
          </w:p>
        </w:tc>
        <w:tc>
          <w:tcPr>
            <w:tcW w:w="1142" w:type="dxa"/>
            <w:shd w:val="clear" w:color="auto" w:fill="auto"/>
            <w:vAlign w:val="bottom"/>
          </w:tcPr>
          <w:p w14:paraId="76B06AC6" w14:textId="77777777" w:rsidR="00F849A7" w:rsidRPr="00D9348B" w:rsidRDefault="00F849A7" w:rsidP="00DB330E">
            <w:pPr>
              <w:pStyle w:val="TableText"/>
              <w:jc w:val="right"/>
              <w:rPr>
                <w:rFonts w:cs="Calibri"/>
              </w:rPr>
            </w:pPr>
            <w:r w:rsidRPr="00D9348B">
              <w:rPr>
                <w:rFonts w:cs="Calibri"/>
              </w:rPr>
              <w:t>134.8</w:t>
            </w:r>
          </w:p>
        </w:tc>
        <w:tc>
          <w:tcPr>
            <w:tcW w:w="840" w:type="dxa"/>
            <w:shd w:val="clear" w:color="auto" w:fill="auto"/>
            <w:vAlign w:val="bottom"/>
          </w:tcPr>
          <w:p w14:paraId="68FD333A" w14:textId="77777777" w:rsidR="00F849A7" w:rsidRPr="00D9348B" w:rsidRDefault="00F849A7" w:rsidP="00DB330E">
            <w:pPr>
              <w:pStyle w:val="TableText"/>
              <w:jc w:val="right"/>
              <w:rPr>
                <w:rFonts w:cs="Calibri"/>
              </w:rPr>
            </w:pPr>
            <w:r w:rsidRPr="00D9348B">
              <w:rPr>
                <w:rFonts w:cs="Calibri"/>
              </w:rPr>
              <w:t>1.1</w:t>
            </w:r>
          </w:p>
        </w:tc>
        <w:tc>
          <w:tcPr>
            <w:tcW w:w="873" w:type="dxa"/>
            <w:gridSpan w:val="2"/>
            <w:tcBorders>
              <w:right w:val="nil"/>
            </w:tcBorders>
            <w:shd w:val="clear" w:color="auto" w:fill="auto"/>
            <w:vAlign w:val="bottom"/>
          </w:tcPr>
          <w:p w14:paraId="54A3174E" w14:textId="77777777" w:rsidR="00F849A7" w:rsidRPr="00D9348B" w:rsidRDefault="00F849A7" w:rsidP="00DB330E">
            <w:pPr>
              <w:pStyle w:val="TableText"/>
              <w:jc w:val="right"/>
              <w:rPr>
                <w:rFonts w:cs="Calibri"/>
              </w:rPr>
            </w:pPr>
            <w:r w:rsidRPr="00D9348B">
              <w:rPr>
                <w:rFonts w:cs="Calibri"/>
              </w:rPr>
              <w:t>1.3</w:t>
            </w:r>
          </w:p>
        </w:tc>
      </w:tr>
      <w:tr w:rsidR="00F849A7" w:rsidRPr="00D9348B" w14:paraId="0595C50C" w14:textId="77777777" w:rsidTr="002F6369">
        <w:tc>
          <w:tcPr>
            <w:tcW w:w="2948" w:type="dxa"/>
            <w:tcBorders>
              <w:left w:val="nil"/>
            </w:tcBorders>
            <w:shd w:val="clear" w:color="auto" w:fill="auto"/>
            <w:vAlign w:val="bottom"/>
          </w:tcPr>
          <w:p w14:paraId="1BBB69F2" w14:textId="77777777" w:rsidR="00F849A7" w:rsidRPr="00D9348B" w:rsidRDefault="00F849A7" w:rsidP="00DB330E">
            <w:pPr>
              <w:pStyle w:val="TableText"/>
              <w:rPr>
                <w:rFonts w:cs="Calibri"/>
              </w:rPr>
            </w:pPr>
            <w:r w:rsidRPr="00D9348B">
              <w:rPr>
                <w:rFonts w:cs="Calibri"/>
              </w:rPr>
              <w:t>Urea application CO</w:t>
            </w:r>
            <w:r w:rsidRPr="00D9348B">
              <w:rPr>
                <w:rFonts w:cs="Calibri"/>
                <w:vertAlign w:val="subscript"/>
              </w:rPr>
              <w:t>2</w:t>
            </w:r>
            <w:r w:rsidRPr="00D9348B">
              <w:rPr>
                <w:rFonts w:cs="Calibri"/>
              </w:rPr>
              <w:t xml:space="preserve"> emissions (CRF 3.H)</w:t>
            </w:r>
          </w:p>
        </w:tc>
        <w:tc>
          <w:tcPr>
            <w:tcW w:w="851" w:type="dxa"/>
            <w:shd w:val="clear" w:color="auto" w:fill="auto"/>
            <w:vAlign w:val="bottom"/>
          </w:tcPr>
          <w:p w14:paraId="7FDC2BBF" w14:textId="77777777" w:rsidR="00F849A7" w:rsidRPr="00D9348B" w:rsidRDefault="00F849A7" w:rsidP="00DB330E">
            <w:pPr>
              <w:pStyle w:val="TableText"/>
              <w:jc w:val="right"/>
              <w:rPr>
                <w:rFonts w:cs="Calibri"/>
              </w:rPr>
            </w:pPr>
            <w:r w:rsidRPr="00D9348B">
              <w:rPr>
                <w:rFonts w:cs="Calibri"/>
              </w:rPr>
              <w:t>39.2</w:t>
            </w:r>
          </w:p>
        </w:tc>
        <w:tc>
          <w:tcPr>
            <w:tcW w:w="850" w:type="dxa"/>
            <w:shd w:val="clear" w:color="auto" w:fill="auto"/>
            <w:vAlign w:val="bottom"/>
          </w:tcPr>
          <w:p w14:paraId="3C873F7D" w14:textId="77777777" w:rsidR="00F849A7" w:rsidRPr="00D9348B" w:rsidRDefault="00F849A7" w:rsidP="00DB330E">
            <w:pPr>
              <w:pStyle w:val="TableText"/>
              <w:jc w:val="right"/>
              <w:rPr>
                <w:rFonts w:cs="Calibri"/>
              </w:rPr>
            </w:pPr>
            <w:r w:rsidRPr="00D9348B">
              <w:rPr>
                <w:rFonts w:cs="Calibri"/>
              </w:rPr>
              <w:t>608.2</w:t>
            </w:r>
          </w:p>
        </w:tc>
        <w:tc>
          <w:tcPr>
            <w:tcW w:w="1134" w:type="dxa"/>
            <w:shd w:val="clear" w:color="auto" w:fill="auto"/>
            <w:vAlign w:val="bottom"/>
          </w:tcPr>
          <w:p w14:paraId="2B9B770D" w14:textId="77777777" w:rsidR="00F849A7" w:rsidRPr="00D9348B" w:rsidRDefault="00F849A7" w:rsidP="00DB330E">
            <w:pPr>
              <w:pStyle w:val="TableText"/>
              <w:jc w:val="right"/>
              <w:rPr>
                <w:rFonts w:cs="Calibri"/>
              </w:rPr>
            </w:pPr>
            <w:r w:rsidRPr="00D9348B">
              <w:rPr>
                <w:rFonts w:cs="Calibri"/>
              </w:rPr>
              <w:t>1,451.7</w:t>
            </w:r>
          </w:p>
        </w:tc>
        <w:tc>
          <w:tcPr>
            <w:tcW w:w="1142" w:type="dxa"/>
            <w:shd w:val="clear" w:color="auto" w:fill="auto"/>
            <w:vAlign w:val="bottom"/>
          </w:tcPr>
          <w:p w14:paraId="063302FF" w14:textId="77777777" w:rsidR="00F849A7" w:rsidRPr="00D9348B" w:rsidRDefault="00F849A7" w:rsidP="00DB330E">
            <w:pPr>
              <w:pStyle w:val="TableText"/>
              <w:jc w:val="right"/>
              <w:rPr>
                <w:rFonts w:cs="Calibri"/>
              </w:rPr>
            </w:pPr>
            <w:r w:rsidRPr="00D9348B">
              <w:rPr>
                <w:rFonts w:cs="Calibri"/>
              </w:rPr>
              <w:t>569.0</w:t>
            </w:r>
          </w:p>
        </w:tc>
        <w:tc>
          <w:tcPr>
            <w:tcW w:w="840" w:type="dxa"/>
            <w:shd w:val="clear" w:color="auto" w:fill="auto"/>
            <w:vAlign w:val="bottom"/>
          </w:tcPr>
          <w:p w14:paraId="6E0698DF" w14:textId="77777777" w:rsidR="00F849A7" w:rsidRPr="00D9348B" w:rsidRDefault="00F849A7" w:rsidP="00DB330E">
            <w:pPr>
              <w:pStyle w:val="TableText"/>
              <w:jc w:val="right"/>
              <w:rPr>
                <w:rFonts w:cs="Calibri"/>
              </w:rPr>
            </w:pPr>
            <w:r w:rsidRPr="00D9348B">
              <w:rPr>
                <w:rFonts w:cs="Calibri"/>
              </w:rPr>
              <w:t>0.1</w:t>
            </w:r>
          </w:p>
        </w:tc>
        <w:tc>
          <w:tcPr>
            <w:tcW w:w="873" w:type="dxa"/>
            <w:gridSpan w:val="2"/>
            <w:tcBorders>
              <w:right w:val="nil"/>
            </w:tcBorders>
            <w:shd w:val="clear" w:color="auto" w:fill="auto"/>
            <w:vAlign w:val="bottom"/>
          </w:tcPr>
          <w:p w14:paraId="0E23919C" w14:textId="77777777" w:rsidR="00F849A7" w:rsidRPr="00D9348B" w:rsidRDefault="00F849A7" w:rsidP="00DB330E">
            <w:pPr>
              <w:pStyle w:val="TableText"/>
              <w:jc w:val="right"/>
              <w:rPr>
                <w:rFonts w:cs="Calibri"/>
              </w:rPr>
            </w:pPr>
            <w:r w:rsidRPr="00D9348B">
              <w:rPr>
                <w:rFonts w:cs="Calibri"/>
              </w:rPr>
              <w:t>1.6</w:t>
            </w:r>
          </w:p>
        </w:tc>
      </w:tr>
      <w:tr w:rsidR="00F849A7" w:rsidRPr="00D9348B" w14:paraId="7F45FACE" w14:textId="77777777" w:rsidTr="002F6369">
        <w:tc>
          <w:tcPr>
            <w:tcW w:w="2948" w:type="dxa"/>
            <w:tcBorders>
              <w:left w:val="nil"/>
            </w:tcBorders>
            <w:shd w:val="clear" w:color="auto" w:fill="auto"/>
            <w:vAlign w:val="bottom"/>
          </w:tcPr>
          <w:p w14:paraId="5DB519C0" w14:textId="77777777" w:rsidR="00F849A7" w:rsidRPr="00D9348B" w:rsidRDefault="00F849A7" w:rsidP="00DB330E">
            <w:pPr>
              <w:pStyle w:val="TableText"/>
              <w:rPr>
                <w:rFonts w:cs="Calibri"/>
              </w:rPr>
            </w:pPr>
            <w:r w:rsidRPr="00D9348B">
              <w:rPr>
                <w:rFonts w:cs="Calibri"/>
              </w:rPr>
              <w:t>Other carbon-containing fertilisers (CRF 3.i)</w:t>
            </w:r>
          </w:p>
        </w:tc>
        <w:tc>
          <w:tcPr>
            <w:tcW w:w="851" w:type="dxa"/>
            <w:shd w:val="clear" w:color="auto" w:fill="auto"/>
            <w:vAlign w:val="bottom"/>
          </w:tcPr>
          <w:p w14:paraId="07A9C407" w14:textId="77777777" w:rsidR="00F849A7" w:rsidRPr="00D9348B" w:rsidRDefault="00F849A7" w:rsidP="00DB330E">
            <w:pPr>
              <w:pStyle w:val="TableText"/>
              <w:jc w:val="right"/>
              <w:rPr>
                <w:rFonts w:cs="Calibri"/>
              </w:rPr>
            </w:pPr>
            <w:r w:rsidRPr="00D9348B">
              <w:rPr>
                <w:rFonts w:cs="Calibri"/>
              </w:rPr>
              <w:t>NE</w:t>
            </w:r>
          </w:p>
        </w:tc>
        <w:tc>
          <w:tcPr>
            <w:tcW w:w="850" w:type="dxa"/>
            <w:shd w:val="clear" w:color="auto" w:fill="auto"/>
            <w:vAlign w:val="bottom"/>
          </w:tcPr>
          <w:p w14:paraId="16D1FBE4" w14:textId="77777777" w:rsidR="00F849A7" w:rsidRPr="00D9348B" w:rsidRDefault="00F849A7" w:rsidP="00DB330E">
            <w:pPr>
              <w:pStyle w:val="TableText"/>
              <w:jc w:val="right"/>
              <w:rPr>
                <w:rFonts w:cs="Calibri"/>
              </w:rPr>
            </w:pPr>
            <w:r w:rsidRPr="00D9348B">
              <w:rPr>
                <w:rFonts w:cs="Calibri"/>
              </w:rPr>
              <w:t>NE</w:t>
            </w:r>
          </w:p>
        </w:tc>
        <w:tc>
          <w:tcPr>
            <w:tcW w:w="1134" w:type="dxa"/>
            <w:shd w:val="clear" w:color="auto" w:fill="auto"/>
            <w:vAlign w:val="bottom"/>
          </w:tcPr>
          <w:p w14:paraId="10B907EA" w14:textId="77777777" w:rsidR="00F849A7" w:rsidRPr="00D9348B" w:rsidRDefault="00F849A7" w:rsidP="00DB330E">
            <w:pPr>
              <w:pStyle w:val="TableText"/>
              <w:jc w:val="right"/>
              <w:rPr>
                <w:rFonts w:cs="Calibri"/>
              </w:rPr>
            </w:pPr>
            <w:r w:rsidRPr="00D9348B">
              <w:rPr>
                <w:rFonts w:cs="Calibri"/>
              </w:rPr>
              <w:t>–</w:t>
            </w:r>
          </w:p>
        </w:tc>
        <w:tc>
          <w:tcPr>
            <w:tcW w:w="1142" w:type="dxa"/>
            <w:shd w:val="clear" w:color="auto" w:fill="auto"/>
            <w:vAlign w:val="bottom"/>
          </w:tcPr>
          <w:p w14:paraId="25714452" w14:textId="77777777" w:rsidR="00F849A7" w:rsidRPr="00D9348B" w:rsidRDefault="00F849A7" w:rsidP="00DB330E">
            <w:pPr>
              <w:pStyle w:val="TableText"/>
              <w:jc w:val="right"/>
              <w:rPr>
                <w:rFonts w:cs="Calibri"/>
              </w:rPr>
            </w:pPr>
            <w:r w:rsidRPr="00D9348B">
              <w:rPr>
                <w:rFonts w:cs="Calibri"/>
              </w:rPr>
              <w:t>–</w:t>
            </w:r>
          </w:p>
        </w:tc>
        <w:tc>
          <w:tcPr>
            <w:tcW w:w="840" w:type="dxa"/>
            <w:shd w:val="clear" w:color="auto" w:fill="auto"/>
            <w:vAlign w:val="bottom"/>
          </w:tcPr>
          <w:p w14:paraId="0556CCFE" w14:textId="77777777" w:rsidR="00F849A7" w:rsidRPr="00D9348B" w:rsidRDefault="00F849A7" w:rsidP="00DB330E">
            <w:pPr>
              <w:pStyle w:val="TableText"/>
              <w:jc w:val="right"/>
              <w:rPr>
                <w:rFonts w:cs="Calibri"/>
              </w:rPr>
            </w:pPr>
            <w:r w:rsidRPr="00D9348B">
              <w:rPr>
                <w:rFonts w:cs="Calibri"/>
              </w:rPr>
              <w:t>–</w:t>
            </w:r>
          </w:p>
        </w:tc>
        <w:tc>
          <w:tcPr>
            <w:tcW w:w="873" w:type="dxa"/>
            <w:gridSpan w:val="2"/>
            <w:tcBorders>
              <w:right w:val="nil"/>
            </w:tcBorders>
            <w:shd w:val="clear" w:color="auto" w:fill="auto"/>
            <w:vAlign w:val="bottom"/>
          </w:tcPr>
          <w:p w14:paraId="6E02DF86" w14:textId="77777777" w:rsidR="00F849A7" w:rsidRPr="00D9348B" w:rsidRDefault="00F849A7" w:rsidP="00DB330E">
            <w:pPr>
              <w:pStyle w:val="TableText"/>
              <w:jc w:val="right"/>
              <w:rPr>
                <w:rFonts w:cs="Calibri"/>
              </w:rPr>
            </w:pPr>
            <w:r w:rsidRPr="00D9348B">
              <w:rPr>
                <w:rFonts w:cs="Calibri"/>
              </w:rPr>
              <w:t>–</w:t>
            </w:r>
          </w:p>
        </w:tc>
      </w:tr>
    </w:tbl>
    <w:p w14:paraId="3AB3BD07" w14:textId="77777777" w:rsidR="00F849A7" w:rsidRPr="00D9348B" w:rsidRDefault="00F849A7" w:rsidP="00F849A7">
      <w:pPr>
        <w:pStyle w:val="Noteundertable"/>
        <w:rPr>
          <w:rFonts w:cs="Calibri"/>
        </w:rPr>
      </w:pPr>
      <w:r w:rsidRPr="00D9348B">
        <w:rPr>
          <w:rFonts w:cs="Calibri"/>
          <w:b/>
          <w:bCs/>
        </w:rPr>
        <w:t>Note:</w:t>
      </w:r>
      <w:r w:rsidRPr="00D9348B">
        <w:rPr>
          <w:rFonts w:cs="Calibri"/>
        </w:rPr>
        <w:t xml:space="preserve"> </w:t>
      </w:r>
      <w:r w:rsidRPr="00D9348B">
        <w:rPr>
          <w:rFonts w:cs="Calibri"/>
        </w:rPr>
        <w:tab/>
        <w:t>NO = not occurring, NE = not estimated. Percentages presented are calculated from unrounded values.</w:t>
      </w:r>
    </w:p>
    <w:p w14:paraId="1C6789B1" w14:textId="77777777" w:rsidR="00F849A7" w:rsidRPr="00D9348B" w:rsidRDefault="00F849A7" w:rsidP="00F849A7">
      <w:pPr>
        <w:pStyle w:val="BodyText"/>
        <w:rPr>
          <w:rFonts w:cs="Calibri"/>
          <w:spacing w:val="-2"/>
        </w:rPr>
      </w:pPr>
      <w:r w:rsidRPr="00D9348B">
        <w:rPr>
          <w:rFonts w:cs="Calibri"/>
        </w:rPr>
        <w:t xml:space="preserve">The greatest contributions to the increase since 1990 are a 56.7 per cent (2,542.5 kt </w:t>
      </w:r>
      <w:r w:rsidRPr="00D9348B">
        <w:rPr>
          <w:rFonts w:cs="Calibri"/>
          <w:spacing w:val="-2"/>
        </w:rPr>
        <w:t>CO</w:t>
      </w:r>
      <w:r w:rsidRPr="00D9348B">
        <w:rPr>
          <w:rFonts w:cs="Calibri"/>
          <w:spacing w:val="-2"/>
          <w:vertAlign w:val="subscript"/>
        </w:rPr>
        <w:t>2</w:t>
      </w:r>
      <w:r w:rsidRPr="00D9348B">
        <w:rPr>
          <w:rFonts w:cs="Calibri"/>
          <w:spacing w:val="-2"/>
        </w:rPr>
        <w:t>-e) increase in N</w:t>
      </w:r>
      <w:r w:rsidRPr="00D9348B">
        <w:rPr>
          <w:rFonts w:cs="Calibri"/>
          <w:spacing w:val="-2"/>
          <w:vertAlign w:val="subscript"/>
        </w:rPr>
        <w:t>2</w:t>
      </w:r>
      <w:r w:rsidRPr="00D9348B">
        <w:rPr>
          <w:rFonts w:cs="Calibri"/>
          <w:spacing w:val="-2"/>
        </w:rPr>
        <w:t xml:space="preserve">O emissions from </w:t>
      </w:r>
      <w:r w:rsidRPr="00D9348B">
        <w:rPr>
          <w:rFonts w:cs="Calibri"/>
          <w:i/>
          <w:iCs/>
          <w:spacing w:val="-2"/>
        </w:rPr>
        <w:t>Agricultural soils</w:t>
      </w:r>
      <w:r w:rsidRPr="00D9348B">
        <w:rPr>
          <w:rFonts w:cs="Calibri"/>
        </w:rPr>
        <w:t xml:space="preserve"> </w:t>
      </w:r>
      <w:r w:rsidRPr="00D9348B">
        <w:rPr>
          <w:rFonts w:cs="Calibri"/>
          <w:spacing w:val="-2"/>
        </w:rPr>
        <w:t>and a 5.2 per cent (1,390.0 kt CO</w:t>
      </w:r>
      <w:r w:rsidRPr="00D9348B">
        <w:rPr>
          <w:rFonts w:cs="Calibri"/>
          <w:spacing w:val="-2"/>
          <w:vertAlign w:val="subscript"/>
        </w:rPr>
        <w:t>2</w:t>
      </w:r>
      <w:r w:rsidRPr="00D9348B">
        <w:rPr>
          <w:rFonts w:cs="Calibri"/>
          <w:spacing w:val="-2"/>
        </w:rPr>
        <w:noBreakHyphen/>
        <w:t>e</w:t>
      </w:r>
      <w:r w:rsidRPr="00D9348B">
        <w:rPr>
          <w:rFonts w:cs="Calibri"/>
        </w:rPr>
        <w:t>)</w:t>
      </w:r>
      <w:r w:rsidRPr="00D9348B">
        <w:rPr>
          <w:rFonts w:cs="Calibri"/>
          <w:spacing w:val="-2"/>
        </w:rPr>
        <w:t xml:space="preserve"> increase in CH</w:t>
      </w:r>
      <w:r w:rsidRPr="00D9348B">
        <w:rPr>
          <w:rFonts w:cs="Calibri"/>
          <w:spacing w:val="-2"/>
          <w:vertAlign w:val="subscript"/>
        </w:rPr>
        <w:t>4</w:t>
      </w:r>
      <w:r w:rsidRPr="00D9348B">
        <w:rPr>
          <w:rFonts w:cs="Calibri"/>
          <w:spacing w:val="-2"/>
        </w:rPr>
        <w:t xml:space="preserve"> emissions from </w:t>
      </w:r>
      <w:proofErr w:type="gramStart"/>
      <w:r w:rsidRPr="00D9348B">
        <w:rPr>
          <w:rFonts w:cs="Calibri"/>
          <w:i/>
          <w:iCs/>
          <w:spacing w:val="-2"/>
        </w:rPr>
        <w:t>Enteric</w:t>
      </w:r>
      <w:proofErr w:type="gramEnd"/>
      <w:r w:rsidRPr="00D9348B">
        <w:rPr>
          <w:rFonts w:cs="Calibri"/>
          <w:i/>
          <w:iCs/>
          <w:spacing w:val="-2"/>
        </w:rPr>
        <w:t xml:space="preserve"> fermentation</w:t>
      </w:r>
      <w:r w:rsidRPr="00D9348B">
        <w:rPr>
          <w:rFonts w:cs="Calibri"/>
        </w:rPr>
        <w:t xml:space="preserve">. </w:t>
      </w:r>
    </w:p>
    <w:p w14:paraId="4B19FE1A" w14:textId="77777777" w:rsidR="00F849A7" w:rsidRPr="00D9348B" w:rsidRDefault="00F849A7" w:rsidP="00F849A7">
      <w:pPr>
        <w:pStyle w:val="BodyText"/>
        <w:rPr>
          <w:rFonts w:cs="Calibri"/>
        </w:rPr>
      </w:pPr>
      <w:r w:rsidRPr="00D9348B">
        <w:rPr>
          <w:rFonts w:cs="Calibri"/>
        </w:rPr>
        <w:lastRenderedPageBreak/>
        <w:t>The application of synthetic nitrogen fertiliser has increased by about 672 per cent since 1990 driving the increase in N</w:t>
      </w:r>
      <w:r w:rsidRPr="00D9348B">
        <w:rPr>
          <w:rFonts w:cs="Calibri"/>
          <w:vertAlign w:val="subscript"/>
        </w:rPr>
        <w:t>2</w:t>
      </w:r>
      <w:r w:rsidRPr="00D9348B">
        <w:rPr>
          <w:rFonts w:cs="Calibri"/>
        </w:rPr>
        <w:t xml:space="preserve">O emissions from </w:t>
      </w:r>
      <w:r w:rsidRPr="00D9348B">
        <w:rPr>
          <w:rFonts w:cs="Calibri"/>
          <w:i/>
          <w:iCs/>
        </w:rPr>
        <w:t>Agricultural soils</w:t>
      </w:r>
      <w:r w:rsidRPr="00D9348B">
        <w:rPr>
          <w:rFonts w:cs="Calibri"/>
        </w:rPr>
        <w:t xml:space="preserve">. The increase in emissions from </w:t>
      </w:r>
      <w:proofErr w:type="gramStart"/>
      <w:r w:rsidRPr="00D9348B">
        <w:rPr>
          <w:rFonts w:cs="Calibri"/>
          <w:i/>
          <w:iCs/>
        </w:rPr>
        <w:t>Enteric</w:t>
      </w:r>
      <w:proofErr w:type="gramEnd"/>
      <w:r w:rsidRPr="00D9348B">
        <w:rPr>
          <w:rFonts w:cs="Calibri"/>
          <w:i/>
          <w:iCs/>
        </w:rPr>
        <w:t xml:space="preserve"> fermentation</w:t>
      </w:r>
      <w:r w:rsidRPr="00D9348B">
        <w:rPr>
          <w:rFonts w:cs="Calibri"/>
        </w:rPr>
        <w:t xml:space="preserve"> is driven by increases in dairy cattle numbers, which have been partially offset by a decrease in non-dairy cattle and sheep. The change in animal populations since 1990 reflects relative financial returns to each industry (it has been more profitable to farm dairy cattle than beef cattle or sheep in New Zealand over the reporting period). </w:t>
      </w:r>
    </w:p>
    <w:p w14:paraId="3F360B21" w14:textId="77777777" w:rsidR="00F849A7" w:rsidRPr="00D9348B" w:rsidRDefault="00F849A7" w:rsidP="00F849A7">
      <w:pPr>
        <w:pStyle w:val="Figure"/>
        <w:rPr>
          <w:rFonts w:cs="Calibri"/>
        </w:rPr>
      </w:pPr>
      <w:bookmarkStart w:id="558" w:name="_Toc32570956"/>
      <w:bookmarkStart w:id="559" w:name="_Toc36292786"/>
      <w:r w:rsidRPr="00D9348B">
        <w:rPr>
          <w:rFonts w:cs="Calibri"/>
        </w:rPr>
        <w:t>Figure 5.1.1</w:t>
      </w:r>
      <w:r w:rsidRPr="00D9348B">
        <w:rPr>
          <w:rFonts w:cs="Calibri"/>
        </w:rPr>
        <w:tab/>
        <w:t>Change in New Zealand’s emissions from the Agriculture sector from 1990 to 2018</w:t>
      </w:r>
      <w:bookmarkEnd w:id="558"/>
      <w:bookmarkEnd w:id="559"/>
    </w:p>
    <w:p w14:paraId="1755C91B" w14:textId="30BFC96B" w:rsidR="00F849A7" w:rsidRPr="00D9348B" w:rsidRDefault="007165CF" w:rsidP="00F849A7">
      <w:pPr>
        <w:pStyle w:val="BodyText"/>
        <w:spacing w:before="0"/>
        <w:rPr>
          <w:rFonts w:cs="Calibri"/>
        </w:rPr>
      </w:pPr>
      <w:r>
        <w:rPr>
          <w:rFonts w:cs="Calibri"/>
        </w:rPr>
        <w:pict w14:anchorId="2FE6AB66">
          <v:shape id="_x0000_i1070" type="#_x0000_t75" style="width:416.35pt;height:242.3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y8NkCAEAAC8CAAAOAAAAZHJzL2Uyb0RvYy54bWyckc9q&#10;wzAMxu+DvYPRfXWSwighTi9hsNMu2wNotpwYEtvI7rK9/by0jO406EXoD/z06VN3/Fxm8UGcXPAK&#10;6l0FgrwOxvlRwdvr08MBRMroDc7Bk4IvSnDs7++6NbbUhCnMhlgUiE/tGhVMOcdWyqQnWjDtQiRf&#10;hjbwgrmUPErDuBb6Msumqh7lGthEDppSKt3hPIR+41tLOr9YmyiLWUHRlrfICvaHGsS7gqbaNyD7&#10;DtuRMU5OX7TgDVIWdL5s/kUNmFGc2N2A0hNyLizdbtlFlL6ZdAGUw/83OFjrNA1Bnxby+ewy04y5&#10;vDhNLiYQ3DqjgJ9N/eOd/HPxdV3y6z/33wAAAP//AwBQSwMEFAAGAAgAAAAhAGPaHHATDwAAvlIA&#10;ABUAAABkcnMvY2hhcnRzL2NoYXJ0MS54bWzsXNuO2zYavg+Qd/C6AXrRyiOSoiQa9RS2JLfBTg7I&#10;oQt0sReyLHu0I0uuJE9mWhTYZ9hH3CfZjxTlU+yJZ+I02a0nyIxEkRQP/5nfr+++v5mlreu4KJM8&#10;67VJx2y34izKx0k27bXfvhkabrtVVmE2DtM8i3vt27hsf3/++NF3UTe6DIvq9TyM4hY6ycpu1Gtf&#10;VtW8e3ZWRpfxLCw7+TzO8GySF7Owwm0xPRsX4Tt0PkvPqGnaZ6qTtu4gfEAHszDJmvbFIe3zySSJ&#10;Yj+PFrM4q+pRFHEaVliB8jKZl01vEbEL+l6PsyQq8jKfVJ0on53VnTWTQmeEny1ndY5FGodVTIRp&#10;ta7DtNc222eyMA2zaV0QZ8bb13VhkS+ycTz28iLDdqzVn0XdflrFRYauvDyrMGq9XrODVnwWFleL&#10;uYHhzjHJUZIm1a2advv8O/TtXeZYj9ar+JdFUsRlrx0Ra7UE1n0XwHTO3DOq9xWTJVa3rG7TuJ4Q&#10;Mamc7dnyvWoIwzBNR2F0JddmrfKy6uq5bLi9GLJVlBbPwvmL66I1mpJeO61Iu1Xd4Gp8havRFPuY&#10;VlSW4Wp8haswirCQqKEvmhI8r0uWdVhTwpo6WJS6DhaqvuBNCW9K7KbEbrcu0yS7wkLKP+3WJE9/&#10;rAuaq5oAFCvIyYSLKn+TVGnsx2lcxWO9dHWteZpX/SIOZcU0vM0XlbyahdkiTC+W9/WTN2Exjau6&#10;eZKBrOoubp7lY70f8Xga14W3uwpvNBl2CLFMSjhnpkMsm3CmG9XPWcchjNg2NanrONyhJDDU5kXd&#10;d00PrmNSW1iEMcFwQXQPl81zxyUutx2LOxalFqeufMPZ9sxQsJr0KCw8KYPkAuDaT4q6syhP6+FN&#10;wVNzCBtdnC5KsFE8rh9eh8Wtl6f5Bq+B/uJC9peMm7nXtfNiHOvuNRNXN7JeWRWv4om8mpx/DWYP&#10;W5NkuijiFu+QDv2mCkcgfXlNvv7LE/8Jk1NS1dHQCyEmZdN55YH59UaR+oXzqoUxSJEha1yfEyHM&#10;VjxLSimpS9nNtVqfOaaPm1V39Y0aFC71KOcvMauwW+ZpMh4maapuiunIS/WkmGOboma4rWppJitn&#10;uWwmtyTs1iXxZBJH1UVZ1ftUqldg4TJok+rp5Hk8hbS51nSm12x8MUpLOZ+xoux6X9SEMdTlwyhU&#10;W3qvpR08sbpPBk8I+fACK8qSi765wAEka5FErcePJnEhVYPSCJsLvWpF9LY8A+Nhtx8/AgeG01i2&#10;29eE6iavpLh9/ChapFifO1/CdIv+FAND9UURpmhZ5km6RQGrgVm6zTCJ03FrtCgyyQCPH+WTVrjZ&#10;DYR9Ml7Ee3viuqeLZIYu9s3K1rXeQibhNeF8nibYQBDpvhaObvGiugRLRWExyjMD6wHVBl1ejxZb&#10;UEFRgRm3hncHqWuygaKVFJYtZvdhTFCPv049aL5kz9p88SA0z3+IIUXDVE5trXSbhfdQGLW55XYE&#10;cbgpTOLYtti3RA11OZR2bMtyueMIYjIh+L4W0FarAfXaX3371VcmjLladpj7WjUEhldAhnOTMdeF&#10;6KWWu69FQ17U6aCuadmuZZpo6Vr7WjRkxGwMyKZoYDnCJZSxfS0akmKiQ4QlLJMIZnPXZoq5V2Jv&#10;RfTOPWaPrVttbn3TCEtNOvGNFGty6XDVWhRJr/2bh6UxPc8yuG8HhmUKzxgEjBqBQ30qHMaZ5/2+&#10;Mpug/bdM4Q/ZjdaayWR3F1nyyyJ+qlX/b6b+MfyhPzSw6IEhqO8aPreFDarC0pi/S72B+WDMzV81&#10;CxRpnbat2rSmWVNtuuQBqi34CNUGq9n9hKpt4PtOEKjV+UNUG3ScpJ1tC2Jlt2wba9rSMEjHFSbj&#10;gtjgQCJswZdm1G1jJnFiOw7hFP9hh5FDzKR6N6FBLqUiH+Xj25dFq8graVu0ynk0TIqyugjL6mVY&#10;hPAB29IfrF7g1yTN3/XacZrCK0rgF8lyEHZe/NpuvSvCea9d/rIIi7jdSp9m8ByYS0z0WakbeD0c&#10;N8X6k9H6kzCL0BX8jaqA0axuvAr3Uvhho+Z9mMHDRJkXzbDlg7SsXkuHAtQedufqV23cjOPJK8ys&#10;/LXXduUwRmouYF5cL3rtDP6r9GWL5Ap+bJa/Vlft1hU8K9SEN4omYRnDNMdzKTq3qKW8LZfmElzY&#10;cf7uDXgNc8fS4QHaqJ+dhAaFmLWq23k8gbvca/eLJEzbrXmY5aV8GTUHpm3CxF7+g2cxT6rochjO&#10;kvQWS4sC6SCUsdo3NXko3FWX38wyIw7ly8NuVK49OMa7YPTVq6vsP21MTmBfJGPIRp95wnKCgTHo&#10;u8KwLOIZrtfnxsCngecRb8C4Bdkox9pre8HFxav+8x8CtcAFNkx6w6CyxhPGpt6xn1LGLWtU539f&#10;dvcPWS4lX9jFwOQqxNlYUrSkieUrnv+stweEA8FYMwUu7jKTZSwjXu48/MudO3w/K7m6qed44sYT&#10;N96b83dy4y5qr0NLkl8UtddEVztaL3MdYkIAIci0S1xe5u8u4im6+mvcaBxJ7LAg8OQnOB+wkKRs&#10;XJZ5YfU8nG06ebLu67jYWf4yLmTY5b1+BosRHOXXya+bXe20xAKbM6dPDN8eeoY1sbkhfEEM2MqW&#10;B2uRu4PBmiXG722JrQeveHecjlLlS72RrrycOOFqOXw4+xfhKE7LVxBgety1bNBG2BdnP2LNHmQ/&#10;Ss9cUkHzd2naaHvxENOGUUY5sYjj2II5Aka0jhBpQjPMDnGZTSzYPRZMHCqErQTtnSGgXbYN9miX&#10;lbBUV57ruz7nptFnom9YJAiM/sBnhjUwh8FwMKAu9++prtQrj62N5Gqf2HRvoP3/l03psdlUc9oh&#10;bOqYZINTd7ApJS4VLkcw2HGo6ZgHRGofwqYUxqQz8IghHM8xLM93DNfyA2Pow1TvD13Ls9mJTU/a&#10;9LNFY9ix2VQfiRyFTVmHI2pmMccVriAWI0JzMpydzfgDClZvfAijDpmMgQ2IMXAG2AzEKQ0RuJYh&#10;XNt1LcYHJOAnRj0x6mdjVOvYjGrVDtCKbTY5Kuo2ET3RsThxBHctxJcE1Ca4cPPoFGYvJYiIO+BQ&#10;nA5wJrhzVLO3kNbwdphFWcifJCb1KUJPGL0ccHX+n3/9m3VwbNAEelTxAY7vVpjnZFjfiWBpDGvl&#10;5H9hJyD82KzMD2VlnI+5AD+4jNk4LAOGYRcnI3wLgINDBMWhFaf1efrRFS5B9J/0PdsgQ+obsIkt&#10;nEX5vuE6PnV83wpcTk4K96RwP5vCtY/NpSoStG6n7lG4OjK5CinBVbRc1wVoyeGMcfqJQkqu4P3A&#10;xbmH4zvgyKEYwPodDg3aFwGzncAk1D5x5IkjPxtHOsfmSGWkHsCRONQmzJLQQdNEbF76pJ8vpCTw&#10;fuhw+KeMDQyLBxQ60wSMYji0KfM9z2PBiU1PbPrZ2FSS4kMAPs3BTA3CXENrNmDNg+Gbp4PpE0zk&#10;wZCUox5MJ9kAaJzaPfviDqbrAYXAhF8ALrSeraEOfd+HD/6xh9ZyePvPp5sT7It41wQQD94BIZQS&#10;RiG3T+BsjRtvsLMncLYCl3wgD+EjwNmBhPYHB4CzNehZArtWWGiJW9jIr9gHznYEAzjbRoaLRU2X&#10;cGcfPLkBZxNkTHRs23KozdDG4nsh0A3y/4M4bJkj06HC5oLaVPZr7xtEg8MmGDNybkzggBl3mbMf&#10;Vd3gsAGR6eD0Vp7OEIc5nO57RQPDtk0X0AzgvLkjHIK41r4GDbB/a5rYjgcArk3qc+QEAdxDArjU&#10;LBoB8uxRg3Kgzl1qBn5/HXD90TAfoHnSFZqnhvkckNIzlMQ5rIkTwCCZ2oM/EjSkUEHLHIJDSJB8&#10;ywQw8vuWt6E7hDP2V2pI7fmLfd00cot+yy3a2buZDYEZbmcvXTckBQ+vszdjoCEjQNX3D7shnefB&#10;5rDPdq1mXbi9YY3e+uJQV+KBRr2G6y8174FGkMZkydqfFJ2H9V4ObRrO/5aMK53MJ/QRV3jTJDAg&#10;OxCnXKxOMEOC4+YDYS6hXuspfVAZfZVjt1V91U8ZhUBrT6WIz4ukSdmqwYXIWXoW3uijtLWK65ln&#10;OlwY3ixhVqPa3oS8Gs6qjYwanfkDBHm+AIYRZt9VDPCzXu1Z+M+8eJNEV8+QbFsPQOHN1RkKhrL/&#10;YYVG60CvDMbXm1ybvRoJvfTepDvXAiQfJwASrh5JCP4Eqcu4nM0xmjKbAkqfTgFol6h6eWq2mfL3&#10;cAi7Sk/GdGDj35n/dwwHcjO3YH+egILdHZIPoFYL+QBYs1M+wBFyDz7W0ZMp9GVfn5Ir4dDIAKRy&#10;y2eNSyVToX+OC80P8q5mrgZ4Okr7oPa6TFK84jco3xeTCTIldF2wiirXrPb6Kplv9JLlz2Qu5sV1&#10;Ckasn6gWkHBLGQTg805htBr3mow5kjDSWcxKtvxQJGOZmaJ8sCbMUwsDGH4PkgXr6b8+INS+kMuE&#10;rd0QGYfxPZbq/WFWModdCuddqKI6A8ngSB/Ez9ESkY4gLITKBDoJi2MlKu0UFu/DUpCao3K35PIr&#10;wV6dX1UtD3bsBtzj7oZrGVzwFCRh6a7g5dyjG93IkN/EAOerpO615uhqZ/7QHYCgXV9XuOuTC6Ij&#10;YDGZcNKAh3cBSX8POWR2kHRqWwQ5gxSQehyy1Px7J9wgRwofRrkm5JDbscvKkKbD0uzAfO+t80+c&#10;/SdNCzwAj1XbiNAZSw2xw+BW0Zxtc1tr8s9ibh/Pmn4QP9lKUX5ZqvJkV1dHzekFYbyfZ3swQ2nb&#10;ecOuXjnLd9jV6tEgrt7FsbalR/WNMgjxpZnG+P1YVQGW3/h+kco1lBZiqq623fAj6lNoS3w+w6UI&#10;kDqIrLq0BudF3UYXdoBMoC4S76nJZRTY1C7G8gNGzLWJjH8CVI8wnaUxwDrkwfH1DJdAG2O9kcJv&#10;8+YLSMowXv82EwpW0/rj1PHJwv6zpecfLDYkRS4ZUbLnT0n5Iks1Y2g2GCflfIA0+quyr087EfOT&#10;4qHODfbhOZfykxGIua0Zl+h6+VWzRnZseJfqQ4EHJNfLoJfgFF9XOyTmtTRcgXyXX9XDMO+ncpX9&#10;/4HA0vHMAVjX/zNY/I9STwhtys8YpvJoulXgCym9dvF0XJ80yNjO2/kY3zjcpJ/1NuqgURGU+uzk&#10;+X8BAAD//wMAUEsDBBQABgAIAAAAIQDVLRgx7AQAAMIlAAAVAAAAZHJzL2NoYXJ0cy9zdHlsZTEu&#10;eG1s7FrbbuM2EP0VgR8Q2U6dOEYUIE2wQAGnG2wX2Gdaomx2KVIl6XWcr++QkmhR8i31ZeNs36Kx&#10;Q3HOmTkzHPo2VsN4iqX+Sy8YCV4yxsGgIjTVOh+GoYqnJMPqIqOxFEqk+iIWWSjSlMYkTCSeUz4J&#10;e51uL1yugsplcGsVkRMOr0iFzLBWF0JOqjUyBqt0rsIMU44CmkQIFkV3t7A9/ELVV6oZsU+MfyEp&#10;fOElQh0UWlNKGWsZSZqSWLfMqeBLY0a5kPASPLRukgcmgx+YRUi/mHfjIZtlTyIpbFf9Tse+0Zo/&#10;p2lhvqzMYW2Vu9sQNl6+y+4xIemXZxmo1wh1zTrBdyI5/A1OGy/M130/Y6zJRMjFPXh/zo6r/Fla&#10;KHkwj9BNv9dHQYzzCKUMa/gzy4FrxScowGwCiMS6ZEQwmnwCZnekp1vx4NMzqMwNeoCs+gukmPHE&#10;8AD/zQs6io0DLzXqblYz1+LK5sK9JDjIRALJhBkT8z+FcefzDyIlTQi4a20jykllK+L9ZBFexl09&#10;TCu2PHAayTGedG3INiBkH4HgdbnpCC2SGWs8wmMCsQnxcTK+mop0XcW2H/K9ytwI+fWKtCasE89N&#10;9/RgInemT+d78v3QarxLmDO9JsytINXFo5Efq7brOPGpcgw2qPJS6+2aBEyPRbKAeiOFNnUyUHn8&#10;iUqlR1jpZyyhMndRAEqkjfSkIEQgvIzmKJgK+dq0me9BKYdPUDCXRrvVPzMsCQrYHxzU7fKqf32F&#10;Am0fuoPeYIACWf9kXP8E8xiWKoQ+KB4eNDwXHKv8fqZBKHUpToUfhSKvjEBjfBaU7xaPZUuhTLPj&#10;qj2GN1ZFuOwlbHDv3UI0BdZUeX+/7unycad8ekf7L3fsPDCFrO2DtayH22qn/Y7XxNnMA7AOzgCs&#10;WeV+Ua96g/511ZFInhTN4IbkzqcQNqvK39oOwiPdgeRge8ISWsHDAbcF8KPGdwtd2+5t08s1kLZk&#10;zwOyBlsDyhFeQHUK1CIbC2jlYypjBlKl6CuJUN9QV8/Cb1SSVOLsDEO31kufIHJ9oAzmX/H4vM9k&#10;lRJw25hDYJjm/+OeUnzOEjHnv+MVwlMkiCfH1UF7Lzk2bVGzINYEY9OJY1VH9cbjuNdReTxvk6cD&#10;zAK8l6/WtRobiRS5qxMnO1xsoObYSeFGKH5z7Bje1Bzj4ebCW8cSDt5CnjTmTez8RGAdgj6wDu89&#10;gPWwhAOEOKGSbEHVk3OT3c6wMvWWm5/AXIZBF/uE/35H7hw7+440ODPdWhtQZzGT13bTe6zasyVi&#10;jg1xNZDx0/CmMu+Rhm08p3Qkfqnq4WYoPrpu4rIHuj6WBCdE/lLQukLhQ+vKyh7QsgaaZEJ4clpB&#10;sP3+MS541oxT2dLHnAl9dtcDRtGrjVumqofLx7O65qj7UQ6xFJGUqHO/att+UdXws3j8X9IidAhJ&#10;a6CpP9KV9W/m4nNsrxJqF9fmWsHaxlgR0zmXd/Imw5buawnSbj5ty7u1vHk6fJBxxE4tYfem0wfH&#10;7X31XjO2HO5eHrGaFr8ZUAv1KHQ5Rfbvmy10HmAOvndw4+jSxG8IXJ/QaAggDOqXy9v1aYWvs/yk&#10;J/Y9plRrLwzdSPG/jJr2OZ4BHe3oWgIKP3WZkY9f9Hw353B73Rain3TwdJOJgqhto4pi70Yilj+2&#10;uvsXAAD//wMAUEsDBBQABgAIAAAAIQAcFKeoAgEAAG4DAAAWAAAAZHJzL2NoYXJ0cy9jb2xvcnMx&#10;LnhtbJyTQW6DMBBFr4J8AAwkoRUK2WRdddETjAY7WLI9ke2mze1rSKGFqkjg3czXf39mJB/RV0ia&#10;3Fu4a5F8Gm1jw9esDeFace6xFQZ8ahQ68iRDimQ4SalQ8MbBh7IXXmR5wbEFF3oK+8bAHwpdhY0R&#10;kpyB4FNyl4FhdKRkJTegLEuMCG3N8I5asEQ1NcszdjpC1U8jztolN9A1A0RhQ874v1qxoO0WtP2C&#10;dljQyk6LJ72BUxAU2VnZDarfzQs1jw3KLL7Ow3+bpoi553nw9KhXKR+oeL7tqBXx48jT+P2G+MMG&#10;z9PgmcbvhvaKTUbUCs848jR+bM9QXfnzvU5fAAAA//8DAFBLAwQUAAYACAAAACEAal+84vYFAAAl&#10;GQAAHAAAAGRycy90aGVtZS90aGVtZU92ZXJyaWRlMS54bWzsWc+PGzUUviPxP4zmDkl286NZNVvt&#10;5kcXuttWTVrUo5NxZtx4xiPb2W1uqD0iISEK4kAlbhwQUKmVuJS/ZqEIitR/gWfPZMZOHLZdFWmF&#10;mkirjOd7z5/fe/6eZ/bylfsx9Y4xF4QlHb/2YdX3cDJhAUnCjn97NPjgku8JiZIAUZbgjr/Awr+y&#10;+/57l9GOjHCMb4AtJwH2wE8idlDHj6RMdyoVMYHbSHzIUpzAvSnjMZJwycNKwNEJ+I9pZatabVZi&#10;RBJ/FxxOKB8qK+wlKIa5bkynZIL1rWBWUwixEF3KvWNEOz64CNjJCN+XvkeRkHCj41f1x6/sXq6g&#10;ndyIyg22ht1Af3K73CCYbek5eTguJq3XG/XmXuFfA6hcx/Vb/Wa/WfjTADSZ4CTnYvps7Lf3e40c&#10;a4Cynw7fvVZvu2bhDf/ba5z3Gupr4TUo819fww8GXYiihdegDN9Yw9frra1u3cJrUIZvruFb1b1e&#10;vWXhNSiiJJmtoauN5nZ3udoCMmX0wAlvN+qD1lbuvERBNRTVpaaYskRuqrUY3WN8AAAFpEiSxJOL&#10;FE/RBGqyiygZc+IdkjCCwktRwgQMV7eqg+o2/FXfuv6lI4J2MDKsFS9gItaGFB9PTDhJZcf/GLz6&#10;BuTV8x9fPX/qnT54dvrgl9OHD08f/Jw5sqwOUBKaVi+//+Lvx596fz397uWjr9x4YeJ//+mz3379&#10;0g2ElZYhePH1kz+ePXnxzed//vDIAd/jaGzCRyTGwruOT7xbLIaF6RDYzPGYv5nFKELEtNhLQoES&#10;pGZx+O/LyEJfXyCKHLh9bEfwDgeJcQGvzu9ZhIcRn0vi8Hgtii3gEWN0n3FnFK6puYwwj+ZJ6J6c&#10;z03cLYSOXXN3UWLltz9PQVuJy2U3whbNmxQlEoU4wdJT99gMY8fq7hJixfWITDgTbCq9u8TbR8QZ&#10;khEZW9VUGh2QGPKycBGEfFuxObrj7TPqWnUPH9tI2BWIOsiPMLXCeBXNJYpdLkcopmbAD5GMXCSH&#10;Cz4xcX0hIdMhpszrB1gIl80NDus1kn4N5MWd9iO6iG0kl2Tm8nmIGDORPTbrRihOXdghSSIT+5GY&#10;QYki7yaTLvgRs3eIuoY8oGRjuu8QbKX7bDW4DcpqUioLRN2Zc0cur2Jm1e9wQacIa6kB4bf0PCbJ&#10;meK+IuuN/1bWQUhffPvYsaqLKuh7nDh31MGKjG/CrYp3l/GAXHzt7qF5chPDdllvYO+k+510+/97&#10;6d60n9++YJcaDfKtjorZUV0f3OON5/YpoXQoFxQfCn10F9CZggEMKjv9OIqL57g0gp9qJ8MEFi7k&#10;SNt4nMlPiIyGEUrhfF/zlZNQ5K5D4aVMwLFfDzt9Kzydx0csyB5XazX1aJqJh0CyHK82inF41JAZ&#10;utkqH8EK95ptKDImGQFl+yYkjMlsEtsOEq3loAqSfjCHoDlI6JW9FRZtB4tLyv0yVWssgFqRFTg6&#10;eXDg6viNOpiAETxRIYoDlacs1cvs6hC+zUxvCqZVAXCOWFZAmem24rpxeWp1r51pi4RRbjYJHRnd&#10;w0SE4MWNfpmSpzDfEGtRLmm8aa7bZUoteioUy91Q0mhd+rdgnDfXYLeqDTQxlYIm3knHb243oGQm&#10;KO34U3jsh59xCrUj1JEX0RBej00kzzb8eZQl5UL2kIiygGvRydQgJhJzj5K446vlF9VAE60hmltt&#10;CwThwpJrg6xcNHKQdDvJeDrFE2mm3RhRkc4uQeGzXeC8q83PD1aWbA7pHkbBiTemc34LQYk1WjUV&#10;wIAIePtTy6IZEHidWQhZWX8rjSmXXfN9oq6hbBzRNEJ5RzHFPINrKS/o6KsiBsZVvmYIqBGSvBGO&#10;Q9VgzaBa3bToGhmHjV33bCMVOUM0y55pqYrqmm4xtWZYtoGVWJ6vyRusliGGdml2+KxJr0pue6l1&#10;K+eEoktAwIv4Obrua7R+g1o5mUVNMV6XYaXZ+ajdO5YLPIPa6zQJo/k0l25X4lb0COd0MHiuzg92&#10;q1ULQ9PluVJH2vrXxu4/AAAA//8DAFBLAwQUAAYACAAAACEA80fM+N0AAAAFAQAADwAAAGRycy9k&#10;b3ducmV2LnhtbEyPwU7DMBBE70j8g7VI3KgdpJYqxKkAAeoBWrUN6nUbb5NAvI5itw1/j+kFLiuN&#10;ZjTzNpsNthVH6n3jWEMyUiCIS2carjQUm5ebKQgfkA22jknDN3mY5ZcXGabGnXhFx3WoRCxhn6KG&#10;OoQuldKXNVn0I9cRR2/veoshyr6SpsdTLLetvFVqIi02HBdq7OippvJrfbAanhcS5912WTy+f7wl&#10;88/CvNo7o/X11fBwDyLQEP7C8Isf0SGPTDt3YONFqyE+Es43etOxmoDYaRirJAGZZ/I/ff4DAAD/&#10;/wMAUEsDBBQABgAIAAAAIQCrFs1GuQAAACIBAAAZAAAAZHJzL19yZWxzL2Uyb0RvYy54bWwucmVs&#10;c4SPzQrCMBCE74LvEPZu03oQkSa9iNCr1AdY0u0PtknIRrFvb9CLguBxdphvdsrqMU/iToFHZxUU&#10;WQ6CrHHtaHsFl+a02YPgiLbFyVlSsBBDpder8kwTxhTiYfQsEsWygiFGf5CSzUAzcuY82eR0LswY&#10;kwy99Giu2JPc5vlOhk8G6C+mqFsFoW4LEM3iU/N/tuu60dDRmdtMNv6okGbAEBMQQ09RwUvy+1pk&#10;6VOQupRfy/QTAAD//wMAUEsDBBQABgAIAAAAIQCQqT37aQEAADUDAAAgAAAAZHJzL2NoYXJ0cy9f&#10;cmVscy9jaGFydDEueG1sLnJlbHOskltLAzEQhd8F/8MS8NFkt4qIuBWpFwpqxctzGbPT3Wg2WWam&#10;0vrrTS2i1aovPiaTnPMl5xwezVqfPSOxi6FUhc5VhsHGyoW6VPd3Z9v7KmOBUIGPAUs1R1ZH/c2N&#10;wxv0IOkSN67jLKkELlUj0h0Yw7bBFljHDkOaTCK1IGlJtenAPkGNppfne4Y+a6j+imY2rEpFw2pH&#10;ZXfzLjn/rR0nE2fxJNppi0HWWBhJXDhKzyVXYRIGqlFKpfVysjovdGJXZj1W7wes1lmKHCeibWzN&#10;kiiRFMXqY41tgGQQfaRbmftPLHaxx796F//h/cWWFxS/uu7+4Lom5L+DiB5HD49o5SOERb6cytM5&#10;cgKNSx/Y4KKWOqDo8GJunSCb69GFuboxg4E5rsnZqZcpgT8HHobnlHqkefruXr7Vy79tEHI6zuMK&#10;BMYCDx55XBN0DeuZ59k7ymWsUt1OZ4IU4K0AZqXs/VcAAAD//wMAUEsBAi0AFAAGAAgAAAAhAIBF&#10;9F5MAQAArgMAABMAAAAAAAAAAAAAAAAAAAAAAFtDb250ZW50X1R5cGVzXS54bWxQSwECLQAUAAYA&#10;CAAAACEAOP0h/9YAAACUAQAACwAAAAAAAAAAAAAAAAB9AQAAX3JlbHMvLnJlbHNQSwECLQAUAAYA&#10;CAAAACEALMvDZAgBAAAvAgAADgAAAAAAAAAAAAAAAAB8AgAAZHJzL2Uyb0RvYy54bWxQSwECLQAU&#10;AAYACAAAACEAY9occBMPAAC+UgAAFQAAAAAAAAAAAAAAAACwAwAAZHJzL2NoYXJ0cy9jaGFydDEu&#10;eG1sUEsBAi0AFAAGAAgAAAAhANUtGDHsBAAAwiUAABUAAAAAAAAAAAAAAAAA9hIAAGRycy9jaGFy&#10;dHMvc3R5bGUxLnhtbFBLAQItABQABgAIAAAAIQAcFKeoAgEAAG4DAAAWAAAAAAAAAAAAAAAAABUY&#10;AABkcnMvY2hhcnRzL2NvbG9yczEueG1sUEsBAi0AFAAGAAgAAAAhAGpfvOL2BQAAJRkAABwAAAAA&#10;AAAAAAAAAAAASxkAAGRycy90aGVtZS90aGVtZU92ZXJyaWRlMS54bWxQSwECLQAUAAYACAAAACEA&#10;80fM+N0AAAAFAQAADwAAAAAAAAAAAAAAAAB7HwAAZHJzL2Rvd25yZXYueG1sUEsBAi0AFAAGAAgA&#10;AAAhAKsWzUa5AAAAIgEAABkAAAAAAAAAAAAAAAAAhSAAAGRycy9fcmVscy9lMm9Eb2MueG1sLnJl&#10;bHNQSwECLQAUAAYACAAAACEAkKk9+2kBAAA1AwAAIAAAAAAAAAAAAAAAAAB1IQAAZHJzL2NoYXJ0&#10;cy9fcmVscy9jaGFydDEueG1sLnJlbHNQSwUGAAAAAAoACgCcAgAAHCMAAAAA&#10;">
            <v:imagedata r:id="rId101" o:title=""/>
            <o:lock v:ext="edit" aspectratio="f"/>
          </v:shape>
        </w:pict>
      </w:r>
    </w:p>
    <w:p w14:paraId="5110DBA9" w14:textId="77777777" w:rsidR="00F849A7" w:rsidRPr="00D9348B" w:rsidRDefault="00F849A7" w:rsidP="006A36A8">
      <w:pPr>
        <w:pStyle w:val="Noteundertable"/>
        <w:spacing w:before="0"/>
        <w:rPr>
          <w:rFonts w:cs="Calibri"/>
        </w:rPr>
      </w:pPr>
      <w:r w:rsidRPr="00D9348B">
        <w:rPr>
          <w:rFonts w:cs="Calibri"/>
          <w:b/>
          <w:bCs/>
        </w:rPr>
        <w:t>Note:</w:t>
      </w:r>
      <w:r w:rsidRPr="00D9348B">
        <w:rPr>
          <w:rFonts w:cs="Calibri"/>
        </w:rPr>
        <w:t xml:space="preserve"> </w:t>
      </w:r>
      <w:r w:rsidRPr="00D9348B">
        <w:rPr>
          <w:rFonts w:cs="Calibri"/>
        </w:rPr>
        <w:tab/>
        <w:t xml:space="preserve">Rice cultivation does not occur (NO) in New Zealand. Emissions from other carbon-containing fertilisers are not estimated (NE). </w:t>
      </w:r>
    </w:p>
    <w:p w14:paraId="0EC7CDD8" w14:textId="6A9F8527" w:rsidR="00F849A7" w:rsidRPr="00D9348B" w:rsidRDefault="00F849A7" w:rsidP="006A36A8">
      <w:pPr>
        <w:pStyle w:val="BodyText"/>
        <w:spacing w:before="100" w:after="100"/>
        <w:rPr>
          <w:rFonts w:cs="Calibri"/>
        </w:rPr>
      </w:pPr>
      <w:r w:rsidRPr="00D9348B">
        <w:rPr>
          <w:rFonts w:cs="Calibri"/>
          <w:iCs/>
        </w:rPr>
        <w:t xml:space="preserve">Agriculture </w:t>
      </w:r>
      <w:r w:rsidRPr="00D9348B">
        <w:rPr>
          <w:rFonts w:cs="Calibri"/>
        </w:rPr>
        <w:t xml:space="preserve">emissions peaked at 38,131.6 kt </w:t>
      </w:r>
      <w:r w:rsidRPr="00D9348B">
        <w:rPr>
          <w:rFonts w:cs="Calibri"/>
          <w:spacing w:val="-2"/>
        </w:rPr>
        <w:t>CO</w:t>
      </w:r>
      <w:r w:rsidRPr="00D9348B">
        <w:rPr>
          <w:rFonts w:cs="Calibri"/>
          <w:spacing w:val="-2"/>
          <w:vertAlign w:val="subscript"/>
        </w:rPr>
        <w:t>2</w:t>
      </w:r>
      <w:r w:rsidRPr="00D9348B">
        <w:rPr>
          <w:rFonts w:cs="Calibri"/>
          <w:spacing w:val="-2"/>
        </w:rPr>
        <w:t xml:space="preserve">-e in 2014, corresponding to a peak in dairy cattle (and total cattle overall). </w:t>
      </w:r>
      <w:r w:rsidRPr="00D9348B">
        <w:rPr>
          <w:rFonts w:cs="Calibri"/>
          <w:iCs/>
          <w:spacing w:val="-2"/>
        </w:rPr>
        <w:t>Agriculture</w:t>
      </w:r>
      <w:r w:rsidRPr="00D9348B">
        <w:rPr>
          <w:rFonts w:cs="Calibri"/>
          <w:i/>
          <w:spacing w:val="-2"/>
        </w:rPr>
        <w:t xml:space="preserve"> </w:t>
      </w:r>
      <w:r w:rsidRPr="00D9348B">
        <w:rPr>
          <w:rFonts w:cs="Calibri"/>
          <w:spacing w:val="-2"/>
        </w:rPr>
        <w:t xml:space="preserve">emissions previously peaked in 2005 but dropped significantly during the Global Financial Crisis (2007 to 2008). </w:t>
      </w:r>
      <w:r w:rsidRPr="00D9348B">
        <w:rPr>
          <w:rFonts w:cs="Calibri"/>
          <w:iCs/>
          <w:spacing w:val="-2"/>
        </w:rPr>
        <w:t>Agriculture</w:t>
      </w:r>
      <w:r w:rsidRPr="00D9348B">
        <w:rPr>
          <w:rFonts w:cs="Calibri"/>
          <w:i/>
          <w:spacing w:val="-2"/>
        </w:rPr>
        <w:t xml:space="preserve"> </w:t>
      </w:r>
      <w:r w:rsidRPr="00D9348B">
        <w:rPr>
          <w:rFonts w:cs="Calibri"/>
          <w:spacing w:val="-2"/>
        </w:rPr>
        <w:t>emissions have remained slightly below the 2014 peak in the years 2015 to 2018, this is due to a drop in the</w:t>
      </w:r>
      <w:r w:rsidR="003A643C" w:rsidRPr="00D9348B">
        <w:rPr>
          <w:rFonts w:cs="Calibri"/>
          <w:spacing w:val="-2"/>
        </w:rPr>
        <w:t> </w:t>
      </w:r>
      <w:r w:rsidRPr="00D9348B">
        <w:rPr>
          <w:rFonts w:cs="Calibri"/>
          <w:spacing w:val="-2"/>
        </w:rPr>
        <w:t>profitability of dairy (relative to other primary exports) in 2015 (figure 5.1.2).</w:t>
      </w:r>
    </w:p>
    <w:p w14:paraId="22309D14" w14:textId="77777777" w:rsidR="00F849A7" w:rsidRPr="00D9348B" w:rsidRDefault="00F849A7" w:rsidP="006A36A8">
      <w:pPr>
        <w:pStyle w:val="Figure"/>
        <w:rPr>
          <w:rFonts w:cs="Calibri"/>
        </w:rPr>
      </w:pPr>
      <w:bookmarkStart w:id="560" w:name="_Toc32570957"/>
      <w:bookmarkStart w:id="561" w:name="_Toc36292787"/>
      <w:r w:rsidRPr="00D9348B">
        <w:rPr>
          <w:rFonts w:cs="Calibri"/>
        </w:rPr>
        <w:t>Figure 5.1.2</w:t>
      </w:r>
      <w:r w:rsidRPr="00D9348B">
        <w:rPr>
          <w:rFonts w:cs="Calibri"/>
        </w:rPr>
        <w:tab/>
        <w:t>New Zealand’s Agriculture sector emissions from 1990 to 2018</w:t>
      </w:r>
      <w:bookmarkEnd w:id="560"/>
      <w:bookmarkEnd w:id="561"/>
    </w:p>
    <w:p w14:paraId="3E06D84A" w14:textId="4346A0C0" w:rsidR="00F849A7" w:rsidRPr="00D9348B" w:rsidRDefault="007165CF" w:rsidP="00F849A7">
      <w:pPr>
        <w:pStyle w:val="BodyText"/>
        <w:spacing w:before="0" w:after="0"/>
        <w:rPr>
          <w:rFonts w:cs="Calibri"/>
        </w:rPr>
      </w:pPr>
      <w:r>
        <w:rPr>
          <w:rFonts w:cs="Calibri"/>
        </w:rPr>
        <w:pict w14:anchorId="65550F39">
          <v:shape id="_x0000_i1071" type="#_x0000_t75" style="width:423.85pt;height:212.25pt;visibility:visible">
            <v:imagedata r:id="rId102" o:title="" croptop="2535f" cropbottom="2684f"/>
            <o:lock v:ext="edit" aspectratio="f"/>
          </v:shape>
        </w:pict>
      </w:r>
    </w:p>
    <w:p w14:paraId="27A4686D" w14:textId="77777777" w:rsidR="00F849A7" w:rsidRPr="00D9348B" w:rsidRDefault="00F849A7" w:rsidP="00F849A7">
      <w:pPr>
        <w:pStyle w:val="Heading5"/>
        <w:rPr>
          <w:rFonts w:cs="Calibri"/>
        </w:rPr>
      </w:pPr>
      <w:r w:rsidRPr="00D9348B">
        <w:rPr>
          <w:rFonts w:cs="Calibri"/>
        </w:rPr>
        <w:lastRenderedPageBreak/>
        <w:t xml:space="preserve">Changes in emissions between 2017 and 2018 </w:t>
      </w:r>
    </w:p>
    <w:p w14:paraId="6946D365" w14:textId="77777777" w:rsidR="00F849A7" w:rsidRPr="00D9348B" w:rsidRDefault="00F849A7" w:rsidP="004E4BF6">
      <w:pPr>
        <w:pStyle w:val="BodyText"/>
        <w:rPr>
          <w:rFonts w:cs="Calibri"/>
        </w:rPr>
      </w:pPr>
      <w:r w:rsidRPr="00D9348B">
        <w:rPr>
          <w:rFonts w:cs="Calibri"/>
        </w:rPr>
        <w:t>Total agricultural emissions in 2018 were 0.7 per cent (278.2 kt CO</w:t>
      </w:r>
      <w:r w:rsidRPr="00D9348B">
        <w:rPr>
          <w:rFonts w:cs="Calibri"/>
          <w:vertAlign w:val="subscript"/>
        </w:rPr>
        <w:t>2</w:t>
      </w:r>
      <w:r w:rsidRPr="00D9348B">
        <w:rPr>
          <w:rFonts w:cs="Calibri"/>
        </w:rPr>
        <w:t xml:space="preserve">-e) higher than 2017 emissions, because emissions from non-dairy (beef) cattle, dairy cattle, sheep, and fertiliser use all increased. This included: </w:t>
      </w:r>
    </w:p>
    <w:p w14:paraId="5D28B390" w14:textId="77777777" w:rsidR="00F849A7" w:rsidRPr="00D9348B" w:rsidRDefault="00F849A7" w:rsidP="004E4BF6">
      <w:pPr>
        <w:pStyle w:val="Bullet"/>
        <w:rPr>
          <w:rFonts w:cs="Calibri"/>
        </w:rPr>
      </w:pPr>
      <w:r w:rsidRPr="00D9348B">
        <w:rPr>
          <w:rFonts w:cs="Calibri"/>
          <w:i/>
        </w:rPr>
        <w:t>Non-dairy cattle</w:t>
      </w:r>
      <w:r w:rsidRPr="00D9348B">
        <w:rPr>
          <w:rFonts w:cs="Calibri"/>
        </w:rPr>
        <w:t xml:space="preserve"> emissions, which increased 1.3 per cent (82.0 kt CO</w:t>
      </w:r>
      <w:r w:rsidRPr="00D9348B">
        <w:rPr>
          <w:rFonts w:cs="Calibri"/>
          <w:vertAlign w:val="subscript"/>
        </w:rPr>
        <w:t>2</w:t>
      </w:r>
      <w:r w:rsidRPr="00D9348B">
        <w:rPr>
          <w:rFonts w:cs="Calibri"/>
        </w:rPr>
        <w:t>-e) due to an increase in the non-dairy cattle population</w:t>
      </w:r>
    </w:p>
    <w:p w14:paraId="7D7D8E66" w14:textId="77777777" w:rsidR="00F849A7" w:rsidRPr="00D9348B" w:rsidRDefault="00F849A7" w:rsidP="004E4BF6">
      <w:pPr>
        <w:pStyle w:val="Bullet"/>
        <w:rPr>
          <w:rFonts w:cs="Calibri"/>
        </w:rPr>
      </w:pPr>
      <w:r w:rsidRPr="00D9348B">
        <w:rPr>
          <w:rFonts w:cs="Calibri"/>
          <w:i/>
        </w:rPr>
        <w:t>Dairy cattle</w:t>
      </w:r>
      <w:r w:rsidRPr="00D9348B">
        <w:rPr>
          <w:rFonts w:cs="Calibri"/>
        </w:rPr>
        <w:t xml:space="preserve"> emissions, which increased 0.3 per cent (49.3 kt CO</w:t>
      </w:r>
      <w:r w:rsidRPr="00D9348B">
        <w:rPr>
          <w:rFonts w:cs="Calibri"/>
          <w:vertAlign w:val="subscript"/>
        </w:rPr>
        <w:t>2</w:t>
      </w:r>
      <w:r w:rsidRPr="00D9348B">
        <w:rPr>
          <w:rFonts w:cs="Calibri"/>
        </w:rPr>
        <w:t>-e), as a small fall in the national dairy herd population was offset by a small increase in total milk production (LIC and DairyNZ, 2019)</w:t>
      </w:r>
    </w:p>
    <w:p w14:paraId="54CCDF42" w14:textId="77777777" w:rsidR="00F849A7" w:rsidRPr="00D9348B" w:rsidRDefault="00F849A7" w:rsidP="004E4BF6">
      <w:pPr>
        <w:pStyle w:val="Bullet"/>
        <w:rPr>
          <w:rFonts w:cs="Calibri"/>
        </w:rPr>
      </w:pPr>
      <w:r w:rsidRPr="00D9348B">
        <w:rPr>
          <w:rFonts w:cs="Calibri"/>
          <w:i/>
        </w:rPr>
        <w:t>Sheep</w:t>
      </w:r>
      <w:r w:rsidRPr="00D9348B">
        <w:rPr>
          <w:rFonts w:cs="Calibri"/>
        </w:rPr>
        <w:t xml:space="preserve"> emissions, which increased 0.4 per cent (41.7 kt CO</w:t>
      </w:r>
      <w:r w:rsidRPr="00D9348B">
        <w:rPr>
          <w:rFonts w:cs="Calibri"/>
          <w:vertAlign w:val="subscript"/>
        </w:rPr>
        <w:t>2</w:t>
      </w:r>
      <w:r w:rsidRPr="00D9348B">
        <w:rPr>
          <w:rFonts w:cs="Calibri"/>
        </w:rPr>
        <w:t>-e), as average slaughter weights for sheep increased</w:t>
      </w:r>
    </w:p>
    <w:p w14:paraId="529DB8B9" w14:textId="77777777" w:rsidR="00F849A7" w:rsidRPr="00D9348B" w:rsidRDefault="00F849A7" w:rsidP="004E4BF6">
      <w:pPr>
        <w:pStyle w:val="Bullet"/>
        <w:rPr>
          <w:rFonts w:cs="Calibri"/>
        </w:rPr>
      </w:pPr>
      <w:r w:rsidRPr="00D9348B">
        <w:rPr>
          <w:rFonts w:cs="Calibri"/>
          <w:i/>
        </w:rPr>
        <w:t>Synthetic nitrogen fertiliser</w:t>
      </w:r>
      <w:r w:rsidRPr="00D9348B">
        <w:rPr>
          <w:rFonts w:cs="Calibri"/>
        </w:rPr>
        <w:t xml:space="preserve"> emissions (N</w:t>
      </w:r>
      <w:r w:rsidRPr="00D9348B">
        <w:rPr>
          <w:rFonts w:cs="Calibri"/>
          <w:vertAlign w:val="subscript"/>
        </w:rPr>
        <w:t>2</w:t>
      </w:r>
      <w:r w:rsidRPr="00D9348B">
        <w:rPr>
          <w:rFonts w:cs="Calibri"/>
        </w:rPr>
        <w:t>O), which increased 3.3 per cent (54.0 kt CO</w:t>
      </w:r>
      <w:r w:rsidRPr="00D9348B">
        <w:rPr>
          <w:rFonts w:cs="Calibri"/>
          <w:vertAlign w:val="subscript"/>
        </w:rPr>
        <w:t>2</w:t>
      </w:r>
      <w:r w:rsidRPr="00D9348B">
        <w:rPr>
          <w:rFonts w:cs="Calibri"/>
        </w:rPr>
        <w:noBreakHyphen/>
        <w:t>e)</w:t>
      </w:r>
    </w:p>
    <w:p w14:paraId="07C47192" w14:textId="77777777" w:rsidR="00F849A7" w:rsidRPr="00D9348B" w:rsidRDefault="00F849A7" w:rsidP="004E4BF6">
      <w:pPr>
        <w:pStyle w:val="Bullet"/>
        <w:rPr>
          <w:rFonts w:cs="Calibri"/>
        </w:rPr>
      </w:pPr>
      <w:r w:rsidRPr="00D9348B">
        <w:rPr>
          <w:rFonts w:cs="Calibri"/>
          <w:i/>
        </w:rPr>
        <w:t>Urea</w:t>
      </w:r>
      <w:r w:rsidRPr="00D9348B">
        <w:rPr>
          <w:rFonts w:cs="Calibri"/>
        </w:rPr>
        <w:t xml:space="preserve"> application CO</w:t>
      </w:r>
      <w:r w:rsidRPr="00D9348B">
        <w:rPr>
          <w:rFonts w:cs="Calibri"/>
          <w:vertAlign w:val="subscript"/>
        </w:rPr>
        <w:t>2</w:t>
      </w:r>
      <w:r w:rsidRPr="00D9348B">
        <w:rPr>
          <w:rFonts w:cs="Calibri"/>
        </w:rPr>
        <w:t xml:space="preserve"> emissions, which increased 3.4 per cent (19.9 kt CO</w:t>
      </w:r>
      <w:r w:rsidRPr="00D9348B">
        <w:rPr>
          <w:rFonts w:cs="Calibri"/>
          <w:vertAlign w:val="subscript"/>
        </w:rPr>
        <w:t>2</w:t>
      </w:r>
      <w:r w:rsidRPr="00D9348B">
        <w:rPr>
          <w:rFonts w:cs="Calibri"/>
        </w:rPr>
        <w:t>-e)</w:t>
      </w:r>
    </w:p>
    <w:p w14:paraId="164591C8" w14:textId="77777777" w:rsidR="00F849A7" w:rsidRPr="00D9348B" w:rsidRDefault="00F849A7" w:rsidP="00F849A7">
      <w:pPr>
        <w:pStyle w:val="Bullet"/>
        <w:rPr>
          <w:rFonts w:cs="Calibri"/>
        </w:rPr>
      </w:pPr>
      <w:r w:rsidRPr="00D9348B">
        <w:rPr>
          <w:rFonts w:cs="Calibri"/>
          <w:i/>
        </w:rPr>
        <w:t>Liming</w:t>
      </w:r>
      <w:r w:rsidRPr="00D9348B">
        <w:rPr>
          <w:rFonts w:cs="Calibri"/>
        </w:rPr>
        <w:t xml:space="preserve"> CO</w:t>
      </w:r>
      <w:r w:rsidRPr="00D9348B">
        <w:rPr>
          <w:rFonts w:cs="Calibri"/>
          <w:vertAlign w:val="subscript"/>
        </w:rPr>
        <w:t>2</w:t>
      </w:r>
      <w:r w:rsidRPr="00D9348B">
        <w:rPr>
          <w:rFonts w:cs="Calibri"/>
        </w:rPr>
        <w:t xml:space="preserve"> emissions, which rose by 7.7 per cent (35.3 kt CO</w:t>
      </w:r>
      <w:r w:rsidRPr="00D9348B">
        <w:rPr>
          <w:rFonts w:cs="Calibri"/>
          <w:vertAlign w:val="subscript"/>
        </w:rPr>
        <w:t>2</w:t>
      </w:r>
      <w:r w:rsidRPr="00D9348B">
        <w:rPr>
          <w:rFonts w:cs="Calibri"/>
        </w:rPr>
        <w:t>-e).</w:t>
      </w:r>
    </w:p>
    <w:p w14:paraId="05F671CA" w14:textId="77777777" w:rsidR="00F849A7" w:rsidRPr="00D9348B" w:rsidRDefault="00F849A7" w:rsidP="006A36A8">
      <w:pPr>
        <w:pStyle w:val="Heading3"/>
        <w:spacing w:before="240"/>
        <w:rPr>
          <w:rFonts w:cs="Calibri"/>
          <w:b w:val="0"/>
        </w:rPr>
      </w:pPr>
      <w:bookmarkStart w:id="562" w:name="_Toc32570643"/>
      <w:r w:rsidRPr="00D9348B">
        <w:rPr>
          <w:rFonts w:cs="Calibri"/>
        </w:rPr>
        <w:t>5.1.1</w:t>
      </w:r>
      <w:r w:rsidRPr="00D9348B">
        <w:rPr>
          <w:rFonts w:cs="Calibri"/>
        </w:rPr>
        <w:tab/>
        <w:t>New Zealand farming practices and trends</w:t>
      </w:r>
      <w:bookmarkEnd w:id="562"/>
      <w:r w:rsidRPr="00D9348B">
        <w:rPr>
          <w:rFonts w:cs="Calibri"/>
        </w:rPr>
        <w:t xml:space="preserve"> </w:t>
      </w:r>
    </w:p>
    <w:p w14:paraId="5A77F479" w14:textId="77777777" w:rsidR="00F849A7" w:rsidRPr="00D9348B" w:rsidRDefault="00F849A7" w:rsidP="00F849A7">
      <w:pPr>
        <w:pStyle w:val="BodyText"/>
        <w:rPr>
          <w:rFonts w:cs="Calibri"/>
        </w:rPr>
      </w:pPr>
      <w:r w:rsidRPr="00D9348B">
        <w:rPr>
          <w:rFonts w:cs="Calibri"/>
        </w:rPr>
        <w:t xml:space="preserve">Agriculture is a major component of the New Zealand economy, and exports from agricultural products (excluding fisheries and forestry) comprise 60.2 per cent of the total free on board value of merchandise exports (Statistics New Zealand, 2019).The production of land-based agricultural products in New Zealand is helped by the favourable temperate climate, access to natural water resources, and the pastoral farming practices used in New Zealand. These practices include the use of year-round extensive outdoor pastoral grazing systems, nitrogen fixation by legumes, complemented by synthetic nitrogen fertiliser use. The common use of outdoor pastoral grazing systems means that New Zealand’s agricultural production is more sensitive to climatic events than countries that use intensive and indoor feedlots. </w:t>
      </w:r>
    </w:p>
    <w:p w14:paraId="46EAB899" w14:textId="77777777" w:rsidR="00F849A7" w:rsidRPr="00D9348B" w:rsidRDefault="00F849A7" w:rsidP="00F849A7">
      <w:pPr>
        <w:pStyle w:val="BodyText"/>
        <w:rPr>
          <w:rFonts w:cs="Calibri"/>
        </w:rPr>
      </w:pPr>
      <w:r w:rsidRPr="00D9348B">
        <w:rPr>
          <w:rFonts w:cs="Calibri"/>
        </w:rPr>
        <w:t xml:space="preserve">Dairy cattle, non-dairy cattle (beef), sheep and deer are grazed outdoors all year round, and intensive housing of major ruminant livestock species is not practised widely in New Zealand. As part of normal day-to-day management, dairy farmers may temporarily take animals off regular grazing areas in an effort to prevent damage to soils and any subsequent loss in pasture growth, although these off-paddock sites are also mainly outside. This means that New Zealand has a much lower proportion of agricultural emissions from manure management, compared with other Annex I Parties. For further information about New Zealand’s agricultural growing conditions, see section 2.9 (National circumstances, Agriculture) of New Zealand’s Seventh National Communication (Ministry for the Environment, 2017). </w:t>
      </w:r>
    </w:p>
    <w:p w14:paraId="35B89BFA" w14:textId="0E1E2E8E" w:rsidR="00F849A7" w:rsidRPr="00D9348B" w:rsidRDefault="00F849A7" w:rsidP="00F849A7">
      <w:pPr>
        <w:pStyle w:val="BodyText"/>
        <w:rPr>
          <w:rFonts w:cs="Calibri"/>
        </w:rPr>
      </w:pPr>
      <w:r w:rsidRPr="00D9348B">
        <w:rPr>
          <w:rFonts w:cs="Calibri"/>
        </w:rPr>
        <w:t>Trends in Agriculture sector emissions are largely driven by the populations of the ruminant livestock categories (dairy cattle, non-dairy cattle, sheep and deer). In 1990 and 2018 respectively, 95.7 per cent and 91.2 per cent of agricultural emissions originated from these</w:t>
      </w:r>
      <w:r w:rsidR="00584CC8" w:rsidRPr="00D9348B">
        <w:rPr>
          <w:rFonts w:cs="Calibri"/>
        </w:rPr>
        <w:t> </w:t>
      </w:r>
      <w:r w:rsidRPr="00D9348B">
        <w:rPr>
          <w:rFonts w:cs="Calibri"/>
        </w:rPr>
        <w:t xml:space="preserve">ruminant livestock categories. </w:t>
      </w:r>
    </w:p>
    <w:p w14:paraId="064489DC" w14:textId="77777777" w:rsidR="00F849A7" w:rsidRPr="00D9348B" w:rsidRDefault="00F849A7" w:rsidP="00900565">
      <w:pPr>
        <w:pStyle w:val="BodyText"/>
        <w:spacing w:before="100" w:after="100"/>
        <w:rPr>
          <w:rFonts w:cs="Calibri"/>
        </w:rPr>
      </w:pPr>
      <w:r w:rsidRPr="00D9348B">
        <w:rPr>
          <w:rFonts w:cs="Calibri"/>
        </w:rPr>
        <w:t>Agriculture and horticulture activities (excluding forestry) use approximately 45 per cent of New Zealand’s land area, and approximately 38 per cent (of New Zealand’s land area) is used for grazing livestock. Since 1990, there have been changes in the proportions of the main livestock categories farmed in New Zealand (see figures 5.1.3a and 5.1.3b). The number of dairy cattle has increased while the population of sheep and beef cattle has decreased, reflecting the relative profitability of these farming enterprises.</w:t>
      </w:r>
      <w:r w:rsidRPr="00D9348B">
        <w:rPr>
          <w:rFonts w:cs="Calibri"/>
          <w:color w:val="FF0000"/>
        </w:rPr>
        <w:t xml:space="preserve"> </w:t>
      </w:r>
      <w:r w:rsidRPr="00D9348B">
        <w:rPr>
          <w:rFonts w:cs="Calibri"/>
        </w:rPr>
        <w:t xml:space="preserve">The land area used for sheep, beef and deer grazing has decreased by 34.2 per cent (4,257,525 hectares) (Beef + Lamb </w:t>
      </w:r>
      <w:r w:rsidRPr="00D9348B">
        <w:rPr>
          <w:rFonts w:cs="Calibri"/>
        </w:rPr>
        <w:lastRenderedPageBreak/>
        <w:t>New Zealand Ltd, 2019), while the area used for dairy grazing has increased by 70.4 per cent (720,128 hectares) (LIC and Dairy NZ, 2019) between 1990 and 2018.</w:t>
      </w:r>
      <w:r w:rsidRPr="00D9348B" w:rsidDel="00103073">
        <w:rPr>
          <w:rFonts w:cs="Calibri"/>
        </w:rPr>
        <w:t xml:space="preserve"> </w:t>
      </w:r>
    </w:p>
    <w:p w14:paraId="0E696DB4" w14:textId="77777777" w:rsidR="00F849A7" w:rsidRPr="00D9348B" w:rsidRDefault="00F849A7" w:rsidP="00900565">
      <w:pPr>
        <w:pStyle w:val="BodyText"/>
        <w:spacing w:before="100" w:after="100"/>
        <w:rPr>
          <w:rFonts w:cs="Calibri"/>
        </w:rPr>
      </w:pPr>
      <w:r w:rsidRPr="00D9348B">
        <w:rPr>
          <w:rFonts w:cs="Calibri"/>
        </w:rPr>
        <w:t>The use of synthetic nitrogen fertiliser in the Agriculture sector increased by 672.5 per cent since 1990. Total emissions from synthetic nitrogen fertiliser (including CO</w:t>
      </w:r>
      <w:r w:rsidRPr="00D9348B">
        <w:rPr>
          <w:rFonts w:cs="Calibri"/>
          <w:vertAlign w:val="subscript"/>
        </w:rPr>
        <w:t>2</w:t>
      </w:r>
      <w:r w:rsidRPr="00D9348B">
        <w:rPr>
          <w:rFonts w:cs="Calibri"/>
        </w:rPr>
        <w:t xml:space="preserve"> from urea) have increased from 1.0 per cent (1990) to 6.2 per cent (2018) of agricultural emissions. Increases in New Zealand’s agricultural productivity and changes in farming practices (shift from sheep and beef to dairy) over this period are responsible for this increase.</w:t>
      </w:r>
    </w:p>
    <w:p w14:paraId="7DA24F61" w14:textId="77777777" w:rsidR="00F849A7" w:rsidRPr="00D9348B" w:rsidRDefault="00F849A7" w:rsidP="00F849A7">
      <w:pPr>
        <w:pStyle w:val="Figure"/>
        <w:spacing w:after="0"/>
        <w:rPr>
          <w:rFonts w:cs="Calibri"/>
        </w:rPr>
      </w:pPr>
      <w:bookmarkStart w:id="563" w:name="_Toc507158462"/>
      <w:bookmarkStart w:id="564" w:name="_Toc511116955"/>
      <w:bookmarkStart w:id="565" w:name="_Toc5269685"/>
      <w:bookmarkStart w:id="566" w:name="_Toc32570958"/>
      <w:bookmarkStart w:id="567" w:name="_Toc36292788"/>
      <w:r w:rsidRPr="00D9348B">
        <w:rPr>
          <w:rFonts w:cs="Calibri"/>
        </w:rPr>
        <w:t xml:space="preserve">Figure 5.1.3a </w:t>
      </w:r>
      <w:r w:rsidRPr="00D9348B">
        <w:rPr>
          <w:rFonts w:cs="Calibri"/>
        </w:rPr>
        <w:tab/>
        <w:t>Populations of New Zealand’s dairy cattle, non-dairy cattle and deer from 1990 to 2018 (June year ending)</w:t>
      </w:r>
      <w:bookmarkEnd w:id="563"/>
      <w:bookmarkEnd w:id="564"/>
      <w:bookmarkEnd w:id="565"/>
      <w:bookmarkEnd w:id="566"/>
      <w:bookmarkEnd w:id="567"/>
      <w:r w:rsidRPr="00D9348B">
        <w:rPr>
          <w:rFonts w:cs="Calibri"/>
        </w:rPr>
        <w:t xml:space="preserve"> </w:t>
      </w:r>
    </w:p>
    <w:p w14:paraId="56CC36E5" w14:textId="7FEED15F" w:rsidR="00F849A7" w:rsidRPr="00D9348B" w:rsidRDefault="007165CF" w:rsidP="00900565">
      <w:pPr>
        <w:pStyle w:val="BodyText"/>
        <w:spacing w:after="80"/>
      </w:pPr>
      <w:r>
        <w:pict w14:anchorId="5EDA0C52">
          <v:shape id="_x0000_i1072" type="#_x0000_t75" style="width:405.1pt;height:273.6pt;visibility:visible">
            <v:imagedata r:id="rId103" o:title="" croptop="2719f" cropbottom="1454f"/>
            <o:lock v:ext="edit" aspectratio="f"/>
          </v:shape>
        </w:pict>
      </w:r>
    </w:p>
    <w:p w14:paraId="7362D65D" w14:textId="77777777" w:rsidR="00F849A7" w:rsidRPr="00D9348B" w:rsidRDefault="00F849A7" w:rsidP="006A36A8">
      <w:pPr>
        <w:pStyle w:val="Source"/>
        <w:spacing w:before="0" w:after="120"/>
        <w:rPr>
          <w:rFonts w:cs="Calibri"/>
        </w:rPr>
      </w:pPr>
      <w:r w:rsidRPr="00D9348B">
        <w:rPr>
          <w:rFonts w:cs="Calibri"/>
          <w:b/>
          <w:bCs/>
        </w:rPr>
        <w:t xml:space="preserve">Source: </w:t>
      </w:r>
      <w:r w:rsidRPr="00D9348B">
        <w:rPr>
          <w:rFonts w:cs="Calibri"/>
        </w:rPr>
        <w:t>Statistics New Zealand</w:t>
      </w:r>
    </w:p>
    <w:p w14:paraId="31C6B28F" w14:textId="77777777" w:rsidR="00F849A7" w:rsidRPr="00D9348B" w:rsidRDefault="00F849A7" w:rsidP="00900565">
      <w:pPr>
        <w:pStyle w:val="Figure"/>
        <w:spacing w:after="100"/>
        <w:rPr>
          <w:rFonts w:cs="Calibri"/>
        </w:rPr>
      </w:pPr>
      <w:bookmarkStart w:id="568" w:name="_Toc507158463"/>
      <w:bookmarkStart w:id="569" w:name="_Toc511116956"/>
      <w:bookmarkStart w:id="570" w:name="_Toc5269686"/>
      <w:bookmarkStart w:id="571" w:name="_Toc32570959"/>
      <w:bookmarkStart w:id="572" w:name="_Toc36292789"/>
      <w:r w:rsidRPr="00D9348B">
        <w:rPr>
          <w:rFonts w:cs="Calibri"/>
        </w:rPr>
        <w:t xml:space="preserve">Figure 5.1.3b </w:t>
      </w:r>
      <w:r w:rsidRPr="00D9348B">
        <w:rPr>
          <w:rFonts w:cs="Calibri"/>
        </w:rPr>
        <w:tab/>
        <w:t>Population of New Zealand’s sheep from 1990 to 2018 (June year ending)</w:t>
      </w:r>
      <w:bookmarkEnd w:id="568"/>
      <w:bookmarkEnd w:id="569"/>
      <w:bookmarkEnd w:id="570"/>
      <w:bookmarkEnd w:id="571"/>
      <w:bookmarkEnd w:id="572"/>
    </w:p>
    <w:p w14:paraId="2EBCECB2" w14:textId="32A444A2" w:rsidR="00F849A7" w:rsidRPr="00D9348B" w:rsidRDefault="007165CF" w:rsidP="00F849A7">
      <w:pPr>
        <w:pStyle w:val="BodyText"/>
        <w:spacing w:after="0"/>
        <w:rPr>
          <w:rFonts w:cs="Calibri"/>
        </w:rPr>
      </w:pPr>
      <w:bookmarkStart w:id="573" w:name="_Toc507158464"/>
      <w:bookmarkEnd w:id="573"/>
      <w:r>
        <w:rPr>
          <w:rFonts w:cs="Calibri"/>
        </w:rPr>
        <w:pict w14:anchorId="2F2552DC">
          <v:shape id="_x0000_i1073" type="#_x0000_t75" style="width:406.35pt;height:217.25pt;visibility:visible">
            <v:imagedata r:id="rId104" o:title=""/>
            <o:lock v:ext="edit" aspectratio="f"/>
          </v:shape>
        </w:pict>
      </w:r>
      <w:bookmarkStart w:id="574" w:name="_MON_1606658001"/>
      <w:bookmarkEnd w:id="574"/>
    </w:p>
    <w:p w14:paraId="20D12CDA" w14:textId="77777777" w:rsidR="00F849A7" w:rsidRPr="00D9348B" w:rsidRDefault="00F849A7" w:rsidP="00900565">
      <w:pPr>
        <w:pStyle w:val="Source"/>
        <w:spacing w:before="80"/>
        <w:rPr>
          <w:rFonts w:cs="Calibri"/>
        </w:rPr>
      </w:pPr>
      <w:bookmarkStart w:id="575" w:name="_Toc507158465"/>
      <w:r w:rsidRPr="00D9348B">
        <w:rPr>
          <w:rFonts w:cs="Calibri"/>
          <w:b/>
          <w:bCs/>
        </w:rPr>
        <w:t>Source:</w:t>
      </w:r>
      <w:r w:rsidRPr="00D9348B">
        <w:rPr>
          <w:rFonts w:cs="Calibri"/>
        </w:rPr>
        <w:t xml:space="preserve"> Statistics New Zealand</w:t>
      </w:r>
      <w:bookmarkEnd w:id="575"/>
      <w:r w:rsidRPr="00D9348B">
        <w:rPr>
          <w:rFonts w:cs="Calibri"/>
        </w:rPr>
        <w:t xml:space="preserve"> </w:t>
      </w:r>
    </w:p>
    <w:p w14:paraId="13B265EA" w14:textId="77777777" w:rsidR="00F849A7" w:rsidRPr="00D9348B" w:rsidRDefault="00F849A7" w:rsidP="00F849A7">
      <w:pPr>
        <w:pStyle w:val="Heading5"/>
        <w:spacing w:before="360"/>
        <w:rPr>
          <w:rFonts w:cs="Calibri"/>
          <w:b/>
        </w:rPr>
      </w:pPr>
      <w:r w:rsidRPr="00D9348B">
        <w:rPr>
          <w:rFonts w:cs="Calibri"/>
        </w:rPr>
        <w:lastRenderedPageBreak/>
        <w:t>Effect of productivity improvements and climatic events on implied emission factors</w:t>
      </w:r>
    </w:p>
    <w:p w14:paraId="3DFC76C2" w14:textId="77777777" w:rsidR="00F849A7" w:rsidRPr="00D9348B" w:rsidRDefault="00F849A7" w:rsidP="00F849A7">
      <w:pPr>
        <w:pStyle w:val="BodyText"/>
        <w:rPr>
          <w:rFonts w:cs="Calibri"/>
        </w:rPr>
      </w:pPr>
      <w:r w:rsidRPr="00D9348B">
        <w:rPr>
          <w:rFonts w:cs="Calibri"/>
        </w:rPr>
        <w:t>There has been a gradual increase in the implied CH</w:t>
      </w:r>
      <w:r w:rsidRPr="00D9348B">
        <w:rPr>
          <w:rFonts w:cs="Calibri"/>
          <w:vertAlign w:val="subscript"/>
        </w:rPr>
        <w:t>4</w:t>
      </w:r>
      <w:r w:rsidRPr="00D9348B">
        <w:rPr>
          <w:rFonts w:cs="Calibri"/>
        </w:rPr>
        <w:t xml:space="preserve"> and N</w:t>
      </w:r>
      <w:r w:rsidRPr="00D9348B">
        <w:rPr>
          <w:rFonts w:cs="Calibri"/>
          <w:vertAlign w:val="subscript"/>
        </w:rPr>
        <w:t>2</w:t>
      </w:r>
      <w:r w:rsidRPr="00D9348B">
        <w:rPr>
          <w:rFonts w:cs="Calibri"/>
        </w:rPr>
        <w:t>O emission factors</w:t>
      </w:r>
      <w:r w:rsidRPr="00D9348B">
        <w:rPr>
          <w:rStyle w:val="FootnoteReference"/>
          <w:rFonts w:cs="Calibri"/>
        </w:rPr>
        <w:footnoteReference w:id="37"/>
      </w:r>
      <w:r w:rsidRPr="00D9348B">
        <w:rPr>
          <w:rFonts w:cs="Calibri"/>
        </w:rPr>
        <w:t xml:space="preserve"> per head of the major livestock species farmed in New Zealand. This trend reflects the increased levels of productivity (milk and meat yield per head and lambing percentage) achieved by New Zealand farmers between 1990 and 2018. Increases in animal liveweight and milk yield per animal require increased feed intake per animal to meet higher energy demands, which results in higher CH</w:t>
      </w:r>
      <w:r w:rsidRPr="00D9348B">
        <w:rPr>
          <w:rFonts w:cs="Calibri"/>
          <w:vertAlign w:val="subscript"/>
        </w:rPr>
        <w:t>4</w:t>
      </w:r>
      <w:r w:rsidRPr="00D9348B">
        <w:rPr>
          <w:rFonts w:cs="Calibri"/>
        </w:rPr>
        <w:t xml:space="preserve"> and N</w:t>
      </w:r>
      <w:r w:rsidRPr="00D9348B">
        <w:rPr>
          <w:rFonts w:cs="Calibri"/>
          <w:vertAlign w:val="subscript"/>
        </w:rPr>
        <w:t>2</w:t>
      </w:r>
      <w:r w:rsidRPr="00D9348B">
        <w:rPr>
          <w:rFonts w:cs="Calibri"/>
        </w:rPr>
        <w:t>O emissions per animal (i.e., higher implied emission factors (IEFs)). Since 1990, emissions per unit of product (i.e., milk and meat emissions intensity) have decreased.</w:t>
      </w:r>
    </w:p>
    <w:p w14:paraId="1964C586" w14:textId="77777777" w:rsidR="00F849A7" w:rsidRPr="00D9348B" w:rsidRDefault="00F849A7" w:rsidP="00F849A7">
      <w:pPr>
        <w:pStyle w:val="BodyText"/>
        <w:rPr>
          <w:rFonts w:cs="Calibri"/>
        </w:rPr>
      </w:pPr>
      <w:r w:rsidRPr="00D9348B">
        <w:rPr>
          <w:rFonts w:cs="Calibri"/>
        </w:rPr>
        <w:t xml:space="preserve">The use of year-round extensive outdoor pastoral grazing systems means New Zealand production is dependent on the quantity and quality of pasture that can be grown on land managed by farmers. Pasture growth is strongly influenced by weather and climatic events, such as droughts and floods. These factors can cause changes in per-animal productivity and mean that IEFs can be noticeably different in adjacent years. In 2008, a major nationwide drought affected both livestock numbers and animal performance, resulting in lower livestock emissions, which are reflected in overall agricultural emissions (see figure 5.1.1). The livestock population and IEFs started to increase after the drought, once seasonal growing conditions improved. </w:t>
      </w:r>
    </w:p>
    <w:p w14:paraId="49FA5F60" w14:textId="77777777" w:rsidR="00F849A7" w:rsidRPr="00D9348B" w:rsidRDefault="00F849A7" w:rsidP="00F849A7">
      <w:pPr>
        <w:pStyle w:val="BodyText"/>
        <w:rPr>
          <w:rFonts w:cs="Calibri"/>
        </w:rPr>
      </w:pPr>
      <w:r w:rsidRPr="00D9348B">
        <w:rPr>
          <w:rFonts w:cs="Calibri"/>
        </w:rPr>
        <w:t>An example of this is included in figure 5.1.4, which overlays milk production per dairy cow with the IEFs (enteric fermentation) for dairy cattle from 1990 to 2018. The figure shows that, while per cow productivity has trended upward, there is a significant amount of inter-annual variability (influenced by climatic conditions). It also shows that the IEFs are affected by these changes in productivity.</w:t>
      </w:r>
    </w:p>
    <w:p w14:paraId="2529BA79" w14:textId="77777777" w:rsidR="00F849A7" w:rsidRPr="00D9348B" w:rsidRDefault="00F849A7" w:rsidP="00F849A7">
      <w:pPr>
        <w:pStyle w:val="Figure"/>
        <w:spacing w:after="0"/>
        <w:rPr>
          <w:rFonts w:cs="Calibri"/>
        </w:rPr>
      </w:pPr>
      <w:bookmarkStart w:id="576" w:name="_Toc507158466"/>
      <w:bookmarkStart w:id="577" w:name="_Toc511116957"/>
      <w:bookmarkStart w:id="578" w:name="_Toc5269687"/>
      <w:bookmarkStart w:id="579" w:name="_Toc32570960"/>
      <w:bookmarkStart w:id="580" w:name="_Toc36292790"/>
      <w:r w:rsidRPr="00D9348B">
        <w:rPr>
          <w:rFonts w:cs="Calibri"/>
        </w:rPr>
        <w:t>Figure 5.1.4</w:t>
      </w:r>
      <w:r w:rsidRPr="00D9348B">
        <w:rPr>
          <w:rFonts w:cs="Calibri"/>
        </w:rPr>
        <w:tab/>
        <w:t>Dairy milk productivity and implied enteric fermentation methane emission factors for dairy cows from 1990 to 201</w:t>
      </w:r>
      <w:bookmarkEnd w:id="576"/>
      <w:bookmarkEnd w:id="577"/>
      <w:bookmarkEnd w:id="578"/>
      <w:r w:rsidRPr="00D9348B">
        <w:rPr>
          <w:rFonts w:cs="Calibri"/>
        </w:rPr>
        <w:t>8</w:t>
      </w:r>
      <w:bookmarkEnd w:id="579"/>
      <w:bookmarkEnd w:id="580"/>
    </w:p>
    <w:p w14:paraId="4CE36A34" w14:textId="35598C8A" w:rsidR="00F849A7" w:rsidRPr="00D9348B" w:rsidRDefault="007165CF" w:rsidP="00F849A7">
      <w:pPr>
        <w:pStyle w:val="BodyText"/>
        <w:spacing w:before="0" w:after="0"/>
        <w:rPr>
          <w:rFonts w:cs="Calibri"/>
        </w:rPr>
      </w:pPr>
      <w:r>
        <w:rPr>
          <w:rFonts w:cs="Calibri"/>
        </w:rPr>
        <w:pict w14:anchorId="14EF248A">
          <v:shape id="_x0000_i1074" type="#_x0000_t75" style="width:420.75pt;height:257.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0hmy0E&#10;AQAALQIAAA4AAABkcnMvZTJvRG9jLnhtbJyRz2rDMAzG74O9g9F9dZpDKSFOL6Gw0y7bA2i23BgS&#10;28jusr39vDSM7jTIRegP/PTpU3v6nEbxQZxc8Ar2uwoEeR2M8xcFb6/npyOIlNEbHIMnBV+U4NQ9&#10;PrRzbKgOQxgNsSgQn5o5Khhyjo2USQ80YdqFSL4MbeAJcyn5Ig3jXOjTKOuqOsg5sIkcNKVUuv1t&#10;CN3Ct5Z0frE2URajgqItL5GX+K6gro8HkF2LzYUxDk6vSnCDkAmdL3t/UT1mFFd2G1B6QM6FpZsl&#10;W0XpzaQVUM7+395grdPUB32dyOebx0wj5vLgNLiYQHDjjAJ+Nvsf7+Sfi+/rkt9/ufsGAAD//wMA&#10;UEsDBBQABgAIAAAAIQDAtcFsqw4AAK49AAAVAAAAZHJzL2NoYXJ0cy9jaGFydDEueG1s7Ftrc9s2&#10;Fv2+M/sfuGpm2s5UNAGQIKip0knkuM1u0qZ59EO/0RRtc02RKkklVjv973sAECAlC66dx3bSJp5p&#10;+bjE49yLi3surr7+5mpVeq/zpi3qaj4hfjDx8iqrl0V1Pp+8enkyFROv7dJqmZZ1lc8n27ydfHP/&#10;n//4OptlF2nTvVinWe6hkaqdZfPJRdetZ0dHbXaRr9LWr9d5hXdndbNKO9w250fLJn2DxlflEQ0C&#10;fqQamfQNpG/RwCotKvN9c5vv67OzIsuP62yzyqtOj6LJy7QDAu1FsW5NaxnhDb3W4qrImrqtzzo/&#10;q1dHujEzKTRGoiM7q/sAaZl2OUmC0HudlvNJMDmSD8u0OtcP8mr66oV+2NSbapkvF3VTQR0j+VU2&#10;e1B2eVOhqUVddRh1j9fqVoiv0uZys55iuGtM8rQoi26rpj25/zXaXlzUwMN7nv+yKZq8nU8yEg4Q&#10;hHcFIIiPxBHt9YrJknDWdtsy1xMiAZWzPbL9qiGcpGV5mmaXEpuRsBUd3ssP98GQX2Vl8zRd//C6&#10;8U7PyXxSdmTidVe4Wl7i6vQceiw7Kp/hanmJqzTLACQk+gvzBO/1EyvDzBNmZACKlgFQ+iIyTyLz&#10;hJsnfOJdlEV1CSDl/ybeWV1+px+YK20AainIyaSbrn5ZdGV+nJd5ly9HtpDN1mXdPWjyVAqW6bbe&#10;dPJqlVabtHxi7/Wbl2lznnf686KCWemOrp7Wy14f+fI81w+3hx5e9V37hHAW8igJBCdhGAmlmmy2&#10;1e8jPwppGAVBFAjBwySij6a9xBvTQhxGjCWcBIzyUMRE93oxvA5DEtMIIlEMmVC+P9qfGB4Mc26z&#10;tMOyWEg3JDHo718M1gaU86ewfjPx12mzXdRlvbO88GHeyO+LpZmuHlvdLPOmH59+0l2pfrrmeX4m&#10;r87uf96lp2XeepFPffaVd1ac45L44ef/uvfiXhTKGSjJtmsWKZyi/GrdLbDUe7X0OKw7D91LByEl&#10;Xt9/WpSX3rqpl5tM+iVvjZFk9RuvqLzuIve2eQpLz8+hVPhS+fTfmyqXvb1WqK0BCG6GXvWNGjYu&#10;+3msn2He6aysvDfzCY3CQPaeztq6LJYnRVmqm+b8dFH2MDAenSRqxEc7YrgrK92jalOqTaKu0Nqu&#10;TmtsMdL9VdhCrF6NwNVPKXrKZtVmdRtYf7wX8dm9H+8JZsHFlxZcvdUsYOD3v81h8WmpxNQGpJ7u&#10;K4AKrdt9DZAkCXYBlZrTWiK9liBDXDJ0kKEuGTbIqNkMyhv6CgcZZU6HZKJBJnL1xQcZ7pKJB5nY&#10;JSMGGeGSSQaZxCVDjKkjDHADbZCGkBNpYqCGkBNqYrCGkBNrbHx6+UHICTYxaEPIiTYxcEPICTcx&#10;eEPIiTcxgEPICTgxiEPIiTgdECdOxOmAOHEiTgfEiRNxOiBOnIjDzxvEiRNxOiBOnIjTAXHiRJwO&#10;iJM9xOEWBz+ib4y7NB5qezdPhQ0gnmEbEMM2MPSAfWHwSe/mqWhMAz+J4IuSJOKEUaferG4Txn1B&#10;Q44tl9GAunVotJOQCF1wJqKEJpy5jcwonZE48WH7LAqwp8dx7DRLawGYgA85ERDCEoG5uFyHMQcW&#10;RJEfh5CloZw8d/ZhbIMxwv0YrZMgSSgJiPMLYyiMBTGgIiSinFBBtDIPOWGzThkhsR/GIQG8ccJj&#10;9woxi5aFIvR5JAShQUSSMHLO3DpNxkXsB1EYUhImLE6I2zUYpbM4CP0AMZwQIU8iEe4tgGHLsQ6V&#10;cZL4IgmIiAIWE0RwLpVY9wox7keI5GBXMUbH3MZoFM9CaY0xD6AYiZgbMOt6WcSFTwEYzAsIEO5c&#10;8dYRI3aJfWnwEeFxEjPhnr7VfcSEz0QAw4KlEKZDjkO6t06aQdSnHLOnMp4liVsvVvtRDAsLoBKs&#10;RQDuBMz6b6VJESBiI0LA4QunvVhvjiWIxcVoJEgSixhLzKVJ69tZzBMf1gUdBlj+EXP3YhZ9SCgw&#10;jghYQBQTQqjTXqzfD0nAfUIBFQGHiMLI7YvMsg8J7IXwhELzcBaxe4O1ewKmn/gUFhkIxqUzcq57&#10;u0OEGD4QA8RxRNHX/lxu2C/MPtGu6rozDEdHmflV96RVbAVX3qYp5pPfFgw2tliE0+iYP5qGQbKY&#10;PnzE6PRRTI8pLDVii8XvAyMHsdzLsvxRSiIcsXE+21TFL5v8cc8qf0P0pf5NoYiTKagdm4pHD5Op&#10;XFxw9LBlnvzeB+0Ys4ryzSyAQc+dlk9Oy1aF+xf1myf5eV4t/5P37LBPerR4gw10h1DJZ4u0+z5d&#10;9Xx0JPsibw4+f5Y3krlfa+fh5hRU7EXx67gpjNAOLb0yk4ZXoliaou9t/0UoFCeQsztMMd8/5exp&#10;4Ihy9k/uRDmf39Nbx5nSxB0p5+PVuiyQbMhXRSuzgd5ZmnV1g3RF4y3Totl6Eowy33UcEiTbkb4x&#10;YdPbskwkEDioqOT/n1gmCP0nljlOawxhitlAgY/TnduACcTIyXmICZEg5NwXbVAEIeceZcMgCDn3&#10;vk8sc2LjEiTMnYjbSARCTsT/9iwTPh/5sOe3yIcFvloBI95521wYAsFABkGxTO6CBd1g2z1hjKmP&#10;uJTQBOQSQSpSxrvbxrCKTSoBX4DCJkghJ+BlPHYGzibYjJkvSQwiNBAAgbjeGdAbooEuCMJyBIw0&#10;5hQZbecSNaEmgmbBWCwQB9EELMNphoZgxqGPWJYHSYxsKogcc35hSEYc+QEYEGgfB/sLkQJ3IWUI&#10;JqaRJBhRCDKH/+4HpgO0xkFiUGGShKEg6IUCYCdS1l3GHBqPEjmegAcMYbNrVNZ5gsUEIIxgCgAX&#10;jNYdlltXil5AFmggcGQQcZATZydW6YkPhYPDURwSgM3d4Pmt1gW0Lo0QKgxoAqSdvVi1C5+D/giK&#10;Qw8GBnRDMtAqXvhgP9AID0HMpEKdvVjNI00A6gtd4g+5RHfaytJLAIagPIw4B4EFMblBLVb54NYc&#10;pkiUyQgsYdfALL+MhR9z0GXKohhGI5w2bN042BWIVYgDnoAiGwM34ezErvfEjym4BTJWSEYgteQe&#10;l1G+AIXFsiVIEiBJguSS+xOjfHyCvBBMH2jBZojbxGySEbkYeWDLIpxyMfgX5p6LUb6gPgWHE4Rj&#10;wbCQunMLll4Khk+QX0hC/CFdsNcJIukhV6hvTFj9MbJL8rdjl0ga9AdLe+wS+4LmNtfZJc7IHqgT&#10;xr1PBqYKPoozzXNJ7+qmAAtWVQuaCq+K6ml6pdMMq7Q/ykToFPePcEiIDlDjgU225/Oj5pbqqHmH&#10;VKdXz+q+DuHUNPvfuvm2KZbyYFXT/Z0zRJntRQCww9pwMz5CPE7kn+p/T2zdtN1x2vb5kiWueqmd&#10;o0WshVW6PwpM/W3GtW3tySZKUpb1m4lXpm2Hh/PJifqnJlNuVjgb19AgETpQU/X9PktNZzdOJJ3l&#10;Z2d5JrNA+oC7VQjKaV2bBDzAyaqTBBzVM/Lwcj7pTwpQk1NvkAZ5goKCfAmdjvTzssgu5aG3HjDq&#10;A/p3snnHuw6fIIFj1V0CCowOFrqjXrnpHtLvNRxfIkE0wlLll25F6LsrfSR9Wi+3zxqvqbv5ZCoP&#10;piXqskwJ9xd186scHc6c204d9qubtXzSD3eZnz3H5+2v84kcsXcqD9Y95Nrw301/DI2qpqa4BKRV&#10;/UJdQSxtc2nZ+hh+zzx3rNg1I4wJKxJn9Nt1jvQJWnrQFGk58dZpVbeyYRo8RECFGMH+oYZkXXTZ&#10;xUm6KsrtfMLwQJaCtDkmq1CDzaSjJhfwAadNoTHI2tGb99EZci4aPmXYPaBI5z1Lm1SCKmuX5hNb&#10;twRxIA/z1apDJQ6qo9oHvfvRibY+n9a/Q7WE8kOyyuXnvKm1panPHubdmzzv/dSqWCI1qN+qJf+q&#10;KvqsX19bolbM8FQXJiBXYNyovdj3p3ZAIwd4sz81zpOazJTy3sYX3+w8y9EcPozz3K+/OOgkO1lR&#10;JBe1zss1RXYhl4xeardeTzg4Q0HTpwVl1u8fr96DC6qR0Dfj5fT9z3DqcFgiif8C+H4ItwS4JGqd&#10;szjqC1Q2ooJRFUvJCqkvZQJZnlgAau3NlKfSlq9cllwOQ0HZfhHdnevkJKEDZ2DgTBxn3iIRj6ZM&#10;r35zFuITxiIQfYHQH0edEQgB1p5asOMKPjwYxlVj48PdTnBmduaqlpVaevn2dVw4gFZxi311wD1Y&#10;Z3Agxvjsq88+w0a5G2GojaiPvRxRhHLHu+9MwReczl6IUSFEeNn7fjMXXYj250QZmPDbhhfSKD/M&#10;tv8hVtH73tztKZrawe++ucPS7T5tL/Y2bMOZdjbd223YPOrX12irv3m7bvSCtSvkbbfLj90sDm5R&#10;H9ek7I5x09kmWHSOLcE7yxv5gwDNqL8Yn3h+6R3YSFTcu8c4Pi50rnuCv5LKv7g89xbf7ShOhQEH&#10;wq6B902RHe8p7sfj0a2VI4c4inccs/24bNTOTQV1aVWsUEEii+HTCpHL/z3AQ52lPATDAQdIvDwZ&#10;insq2gdnSB2j8ClGzRSOG1A7xUn/Q4i7BniQtxvQgRANR3n7AdrbpYBuF6DtpmVuzRVNtujjWUrX&#10;XeI7ZT6GJPBOcITsrI4xbkp63CYuGtofRTc3xEVocyQ4DoN667me8j1gfO81B3k7A1RA7SSVhpBw&#10;B9rbJ5XG+BoCsvvLF/kbxtxmiPG7MhVJ7qQFJaAmf7vzwyxVAafYpbqymdU+kT5wu3fmnIGPlAwN&#10;cfKG0lmGCmVURGCF2t9mBT5cUYzzRVmLGzPkr7h+P/wyC4W0ONxHISmqmwnOevV7U7iI9kWIuu+A&#10;Q4xFqAVWOEgueCfG+pZOBCNXbPZv4URgT6U1HWlQPxXtD1XZ7y79Il0W7foh0rCX7YM+lXqerrXO&#10;ZD3lsSzF/AFkFqdBo5QBmrY/MDT2rgm3tJqbEwYmu3vnbOGfnczaSZXfMok++gbh1DvtCMhxyJ/t&#10;lsdpl3oNfmA4nzSPl/oEXHqqV2v58+BdJY2/UYkhpTX1M+v7/wMAAP//AwBQSwMEFAAGAAgAAAAh&#10;AGmxIWJsBgAAVxsAABwAAABkcnMvdGhlbWUvdGhlbWVPdmVycmlkZTEueG1s7FlPjxs1FL8j8R2s&#10;ubdJdpN0s2q22mSTLrTbrjZpUY/OxJlx4xmPbGe3uaH2iISEKIgLEjcOCKjUSlzKp1kogiL1K/Bs&#10;z0zGmwm7265AlOaQzNg/v//v+dm5eu1BxNAhEZLyuO3VLlc9RGKfj2kctL07w/6lDQ9JheMxZjwm&#10;bW9OpHdt6/33ruJNFZKI3Ia1go4JAjqx3MRtL1Qq2axUpA/TWF7mCYlhbsJFhBW8iqAyFvgI6Ees&#10;slatNisRprG3BQR9JgZ6FUExjoDX7cmE+sRMjac1jZBz2WUCHWLW9oDEmB8NyQPlIYalgom2VzUf&#10;r7J1tYI300VMrVhbWNc3n3RdumA8XTM8RTDKmdb69daVnZy+ATC1jOv1et1eLadnANj3SZzKUqRZ&#10;72/UOhnNAsg+LtPuVhvVuosv0F9fkrnV6XQarVQWS9SA7GN9Cb9Rbda31xy8AVl8Ywlf72x3u00H&#10;b0AW31zC96+0mnUXb0Aho/F0Ca0d2u+n1HPIhLPdUvgGwDeqKXyBgmjIo0uzmPBYrYq1CN/nog8A&#10;DWRY0RipeUIm2IeY7OJoJCjWDPAmwYUZO+TLpSHNC0lf0ES1vQ8THHsFyKvn3796/hS9ev7k+OGz&#10;44c/HT96dPzwR0vLWbiL46C48OW3n/359cfoj6ffvHz8RTleFvG//vDJLz9/Xg6EDFpo+OLLJ789&#10;e/Liq09//+5xCXxb4FERPqQRkegWOUIHPALdjGFcyclInG/FMMTUWYFDoF1CuqdCB3hrjlkZrkNc&#10;490VUDzKgNdn9x1ZB6GYKVrC+UYYOcA9zlmHi1ID3NC8ChYezuKgnLmYFXEHGB+W8e7i2HFtb5ZA&#10;1cyC0rF9NySOmPsMxwoHJCYK6Tk+JaREu3uUOnbdo77gkk8UukdRB9NSkwzpyAmkxaJdGoFf5mU6&#10;g6sd2+zdRR3OyrTeIYcuEhICsxLhh4Q5ZryOZwpHZSSHOGJFg9/EKiwTcjAXfhHXkwo8HRDGUW9M&#10;pCxbc1uAvgWn38BQr0rdvsfmkYsUik7LaN7EnBeRO3zaDXGUlGEHNA6L2A/kFEIUo32uyuB73M0Q&#10;/Q5+wPFKd9+lxHH36YXgDg0ckRYBomdmosSX1wl34ncwZxNMTJWBku5U6ojGf1e2GYW6bTm8K9tt&#10;bxs2sbLk2T1RrFfh/oMlegfP4n0CWbG8Rb2r0O8qtPfWV+hVuXzxdXlRiqFK64bE9tqm845WNt4T&#10;ythAzRm5KU3vLWEDGvdhUK8z50mSH8SSEB51JgMDBxcIbNYgwdVHVIWDECfQt9c8TSSQKelAooRL&#10;OC+a4VLaGg+9v7KnzYY+h9jKIbHa42M7vK6Hs+NGTsZIFUjL0TJa1wTOymz9SkoUdHsdZjUt1Jm5&#10;1Yxopig63HKVtYnNuRxMnqsGg7k1obNB0A+BlZtwotes4byDGRlru1sfZW4xNrlIF8kQw+2DuRFo&#10;aL2XfVQzTspiZUkRrYf1kT47nmK1AreWJvsG3M7ipCK7+gp2mffexEtZBC+8BNROpiOLi8nJYnTU&#10;9lqNtYaHfJy0vQkcleExSsDrUjeTmAVwpeQrYcP+1GTWoVFUOFPMTYIa3H5Yuy8p7NSBREi1g2Vo&#10;Q8NMpSHAYs3Jyr/WALNelAIl1ehsUqxvQDD8a1KAHV3XksmE+Kro7MKItp19TUspnykiBuH4CI3Y&#10;TBxgcL8OVdBnTCXceJiKoF/gek5b20y5xTlNuuKlmMHZccySEKflVqdolskWbgpSLoN5K4gHupXK&#10;bpQ7vyom5S9IlWIY/89U0fsJXEGsj7UHfLjrFRjpTGl7XKiQQxVKQur3BTQOpnZAtMAVL0xDUME1&#10;tPkV5FD/2pyzNExaw0lSHdAACQr7kQoFIftQlkz0nUKslu5dliRLCZmIKogrEyv2iBwSNtQ1sKn3&#10;dg+FEOqmmqRlwOBOxp/7nmbQKNBNTjHfnEqW7702B/7pzscmMyjl1mHT0GT2z0XM24PFrmrXm+XZ&#10;3ltURE8s2qx6lhXuVtBK0/41RTjnVmsr1pLGa41MOPDissYwmDdECVwkIf0F+x8VPrN/YugNdcgP&#10;oLYi+P9CE4Owgai+ZBsPpAukHRxB42QHbTBpUta0aeukrZZt1hfc6eZ8TxhbS3YWf5/T2Hlz5rJz&#10;cvEijZ1a2LG1HVtpavDsyRSFoUl2kDGOcf4M2/oLAAD//wMAUEsDBBQABgAIAAAAIQDyZ+aD3AAA&#10;AAUBAAAPAAAAZHJzL2Rvd25yZXYueG1sTI/NTsMwEITvSLyDtUjcqJNQShSyqSp+LlxQCweOrr3E&#10;UeN1iN0mvD2GC1xWGs1o5tt6PbtenGgMnWeEfJGBINbedNwivL0+XZUgQlRsVO+ZEL4owLo5P6tV&#10;ZfzEWzrtYitSCYdKIdgYh0rKoC05FRZ+IE7ehx+dikmOrTSjmlK562WRZSvpVMdpwaqB7i3pw+7o&#10;EB51sNvnz2v3Mkz0sOlWuji8l4iXF/PmDkSkOf6F4Qc/oUOTmPb+yCaIHiE9En9v8splkYPYI9zk&#10;y1uQTS3/0zffAA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Y1GWMjYBAABDAgAAIAAA&#10;AGRycy9jaGFydHMvX3JlbHMvY2hhcnQxLnhtbC5yZWxzrJFPSwMxEMXvgt9hCXg02e5BRLotUv9Q&#10;UCttPZdpdrobzSYhMy1bP72ppWCx4MVLIHnJ773M6w+71mYbjGS8K0VP5iJDp31lXF2Kt/nD5bXI&#10;iMFVYL3DUmyRxHBwftafogVOj6gxgbJEcVSKhjncKEW6wRZI+oAuKSsfW+C0jbUKoD+gRlXk+ZWK&#10;PxlicMTMxlUp4rgqRDbfhuT8N9uvVkbjndfrFh2fsFDe4mT5jpoTFGKNvMdSyhxMNAyNkdo3uJuG&#10;dMjSfaqZYST1OnlSL1M1GqnbOhq9tryOYB+Bxm6TzHzcJr8ivyjyXwcRKV2nRQUMC4alRVrUEUJD&#10;srPUHaI8+yr98r5jjA6sUKfH0fvPcXCqCSep/WgqPOQohZTqW9mvB70nU5W7WOqo+sEXAAAA//8D&#10;AFBLAQItABQABgAIAAAAIQBAH/RBMAEAAOACAAATAAAAAAAAAAAAAAAAAAAAAABbQ29udGVudF9U&#10;eXBlc10ueG1sUEsBAi0AFAAGAAgAAAAhADj9If/WAAAAlAEAAAsAAAAAAAAAAAAAAAAAYQEAAF9y&#10;ZWxzLy5yZWxzUEsBAi0AFAAGAAgAAAAhAC0hmy0EAQAALQIAAA4AAAAAAAAAAAAAAAAAYAIAAGRy&#10;cy9lMm9Eb2MueG1sUEsBAi0AFAAGAAgAAAAhAMC1wWyrDgAArj0AABUAAAAAAAAAAAAAAAAAkAMA&#10;AGRycy9jaGFydHMvY2hhcnQxLnhtbFBLAQItABQABgAIAAAAIQBpsSFibAYAAFcbAAAcAAAAAAAA&#10;AAAAAAAAAG4SAABkcnMvdGhlbWUvdGhlbWVPdmVycmlkZTEueG1sUEsBAi0AFAAGAAgAAAAhAPJn&#10;5oPcAAAABQEAAA8AAAAAAAAAAAAAAAAAFBkAAGRycy9kb3ducmV2LnhtbFBLAQItABQABgAIAAAA&#10;IQCrFs1GuQAAACIBAAAZAAAAAAAAAAAAAAAAAB0aAABkcnMvX3JlbHMvZTJvRG9jLnhtbC5yZWxz&#10;UEsBAi0AFAAGAAgAAAAhAGNRljI2AQAAQwIAACAAAAAAAAAAAAAAAAAADRsAAGRycy9jaGFydHMv&#10;X3JlbHMvY2hhcnQxLnhtbC5yZWxzUEsFBgAAAAAIAAgAFQIAAIEcAAAAAA==&#10;">
            <v:imagedata r:id="rId105" o:title="" cropright="-8f"/>
            <o:lock v:ext="edit" aspectratio="f"/>
          </v:shape>
        </w:pict>
      </w:r>
      <w:r w:rsidR="00F849A7" w:rsidRPr="00D9348B" w:rsidDel="003545A0">
        <w:rPr>
          <w:rFonts w:cs="Calibri"/>
        </w:rPr>
        <w:t xml:space="preserve"> </w:t>
      </w:r>
    </w:p>
    <w:p w14:paraId="4B6E3A36" w14:textId="77777777" w:rsidR="00F849A7" w:rsidRPr="00D9348B" w:rsidRDefault="00F849A7" w:rsidP="00F849A7">
      <w:pPr>
        <w:pStyle w:val="Noteundertable"/>
        <w:rPr>
          <w:rFonts w:cs="Calibri"/>
        </w:rPr>
      </w:pPr>
      <w:r w:rsidRPr="00D9348B">
        <w:rPr>
          <w:rFonts w:cs="Calibri"/>
          <w:b/>
          <w:bCs/>
        </w:rPr>
        <w:t>Note:</w:t>
      </w:r>
      <w:r w:rsidRPr="00D9348B">
        <w:rPr>
          <w:rFonts w:cs="Calibri"/>
        </w:rPr>
        <w:t xml:space="preserve"> </w:t>
      </w:r>
      <w:r w:rsidRPr="00D9348B">
        <w:rPr>
          <w:rFonts w:cs="Calibri"/>
        </w:rPr>
        <w:tab/>
        <w:t>Milk production per cow is calculated by dividing total milk production by the milking dairy cattle population (i.e., excluding replacements and breeding bulls).</w:t>
      </w:r>
    </w:p>
    <w:p w14:paraId="5EBC03FB" w14:textId="77777777" w:rsidR="00F849A7" w:rsidRPr="00D9348B" w:rsidRDefault="00F849A7" w:rsidP="00F849A7">
      <w:pPr>
        <w:pStyle w:val="Heading3"/>
        <w:rPr>
          <w:rFonts w:cs="Calibri"/>
          <w:b w:val="0"/>
        </w:rPr>
      </w:pPr>
      <w:bookmarkStart w:id="581" w:name="_Toc32570644"/>
      <w:r w:rsidRPr="00D9348B">
        <w:rPr>
          <w:rFonts w:cs="Calibri"/>
        </w:rPr>
        <w:lastRenderedPageBreak/>
        <w:t xml:space="preserve">5.1.2 </w:t>
      </w:r>
      <w:r w:rsidRPr="00D9348B">
        <w:rPr>
          <w:rFonts w:cs="Calibri"/>
        </w:rPr>
        <w:tab/>
        <w:t>Key categories for Agriculture sector emissions</w:t>
      </w:r>
      <w:bookmarkEnd w:id="581"/>
      <w:r w:rsidRPr="00D9348B">
        <w:rPr>
          <w:rFonts w:cs="Calibri"/>
        </w:rPr>
        <w:t xml:space="preserve"> </w:t>
      </w:r>
    </w:p>
    <w:p w14:paraId="6DF19045" w14:textId="77777777" w:rsidR="00F849A7" w:rsidRPr="00D9348B" w:rsidRDefault="00F849A7" w:rsidP="00F849A7">
      <w:pPr>
        <w:pStyle w:val="BodyText"/>
        <w:rPr>
          <w:rFonts w:cs="Calibri"/>
        </w:rPr>
      </w:pPr>
      <w:r w:rsidRPr="00D9348B">
        <w:rPr>
          <w:rFonts w:cs="Calibri"/>
        </w:rPr>
        <w:t xml:space="preserve">Details of New Zealand’s analysis of key categories are in chapter 1, section 1.5. The key categories in the Agriculture sector are listed in table 5.1.2. </w:t>
      </w:r>
    </w:p>
    <w:p w14:paraId="673889F8" w14:textId="77777777" w:rsidR="00F849A7" w:rsidRPr="00D9348B" w:rsidRDefault="00F849A7" w:rsidP="00F849A7">
      <w:pPr>
        <w:pStyle w:val="Table"/>
        <w:rPr>
          <w:rFonts w:cs="Calibri"/>
        </w:rPr>
      </w:pPr>
      <w:bookmarkStart w:id="582" w:name="_Toc481751507"/>
      <w:bookmarkStart w:id="583" w:name="_Toc507158597"/>
      <w:bookmarkStart w:id="584" w:name="_Toc511116731"/>
      <w:bookmarkStart w:id="585" w:name="_Toc5269471"/>
      <w:bookmarkStart w:id="586" w:name="_Toc32570910"/>
      <w:bookmarkStart w:id="587" w:name="_Toc36224545"/>
      <w:r w:rsidRPr="00D9348B">
        <w:rPr>
          <w:rFonts w:cs="Calibri"/>
        </w:rPr>
        <w:t xml:space="preserve">Table 5.1.2 </w:t>
      </w:r>
      <w:r w:rsidRPr="00D9348B">
        <w:rPr>
          <w:rFonts w:cs="Calibri"/>
        </w:rPr>
        <w:tab/>
        <w:t>Key categories in the Agriculture sector</w:t>
      </w:r>
      <w:bookmarkEnd w:id="582"/>
      <w:bookmarkEnd w:id="583"/>
      <w:bookmarkEnd w:id="584"/>
      <w:bookmarkEnd w:id="585"/>
      <w:bookmarkEnd w:id="586"/>
      <w:bookmarkEnd w:id="587"/>
    </w:p>
    <w:tbl>
      <w:tblPr>
        <w:tblW w:w="8562" w:type="dxa"/>
        <w:tblInd w:w="108" w:type="dxa"/>
        <w:tblBorders>
          <w:top w:val="single" w:sz="4" w:space="0" w:color="365F91"/>
          <w:bottom w:val="single" w:sz="4" w:space="0" w:color="365F91"/>
          <w:insideH w:val="single" w:sz="4" w:space="0" w:color="365F91"/>
        </w:tblBorders>
        <w:tblLook w:val="04A0" w:firstRow="1" w:lastRow="0" w:firstColumn="1" w:lastColumn="0" w:noHBand="0" w:noVBand="1"/>
      </w:tblPr>
      <w:tblGrid>
        <w:gridCol w:w="1284"/>
        <w:gridCol w:w="5137"/>
        <w:gridCol w:w="858"/>
        <w:gridCol w:w="1283"/>
      </w:tblGrid>
      <w:tr w:rsidR="00F849A7" w:rsidRPr="00D9348B" w14:paraId="05EAFF1F" w14:textId="77777777" w:rsidTr="00AE02E6">
        <w:trPr>
          <w:trHeight w:val="462"/>
          <w:tblHeader/>
        </w:trPr>
        <w:tc>
          <w:tcPr>
            <w:tcW w:w="750" w:type="pct"/>
            <w:tcBorders>
              <w:top w:val="single" w:sz="4" w:space="0" w:color="365F91"/>
              <w:left w:val="nil"/>
              <w:bottom w:val="single" w:sz="4" w:space="0" w:color="365F91"/>
              <w:right w:val="nil"/>
            </w:tcBorders>
            <w:shd w:val="clear" w:color="auto" w:fill="365F91"/>
            <w:vAlign w:val="bottom"/>
          </w:tcPr>
          <w:p w14:paraId="7F11E64D" w14:textId="77777777" w:rsidR="00F849A7" w:rsidRPr="00D9348B" w:rsidRDefault="00F849A7" w:rsidP="00DB330E">
            <w:pPr>
              <w:pStyle w:val="TableTextBold"/>
              <w:keepNext/>
              <w:rPr>
                <w:rFonts w:cs="Calibri"/>
                <w:noProof w:val="0"/>
                <w:color w:val="FFFFFF"/>
              </w:rPr>
            </w:pPr>
            <w:r w:rsidRPr="00D9348B">
              <w:rPr>
                <w:rFonts w:cs="Calibri"/>
                <w:noProof w:val="0"/>
                <w:color w:val="FFFFFF"/>
              </w:rPr>
              <w:t>CRF category code</w:t>
            </w:r>
          </w:p>
        </w:tc>
        <w:tc>
          <w:tcPr>
            <w:tcW w:w="3000" w:type="pct"/>
            <w:tcBorders>
              <w:top w:val="single" w:sz="4" w:space="0" w:color="365F91"/>
              <w:left w:val="nil"/>
              <w:bottom w:val="single" w:sz="4" w:space="0" w:color="365F91"/>
              <w:right w:val="nil"/>
            </w:tcBorders>
            <w:shd w:val="clear" w:color="auto" w:fill="365F91"/>
            <w:vAlign w:val="bottom"/>
          </w:tcPr>
          <w:p w14:paraId="6CBD17CC" w14:textId="77777777" w:rsidR="00F849A7" w:rsidRPr="00D9348B" w:rsidRDefault="00F849A7" w:rsidP="00DB330E">
            <w:pPr>
              <w:pStyle w:val="TableTextBold"/>
              <w:rPr>
                <w:rFonts w:cs="Calibri"/>
                <w:noProof w:val="0"/>
                <w:color w:val="FFFFFF"/>
              </w:rPr>
            </w:pPr>
            <w:r w:rsidRPr="00D9348B">
              <w:rPr>
                <w:rFonts w:cs="Calibri"/>
                <w:noProof w:val="0"/>
                <w:color w:val="FFFFFF"/>
              </w:rPr>
              <w:t>IPCC categories</w:t>
            </w:r>
          </w:p>
        </w:tc>
        <w:tc>
          <w:tcPr>
            <w:tcW w:w="501" w:type="pct"/>
            <w:tcBorders>
              <w:top w:val="single" w:sz="4" w:space="0" w:color="365F91"/>
              <w:left w:val="nil"/>
              <w:bottom w:val="single" w:sz="4" w:space="0" w:color="365F91"/>
              <w:right w:val="nil"/>
            </w:tcBorders>
            <w:shd w:val="clear" w:color="auto" w:fill="365F91"/>
            <w:vAlign w:val="bottom"/>
          </w:tcPr>
          <w:p w14:paraId="2D46E8D1" w14:textId="77777777" w:rsidR="00F849A7" w:rsidRPr="00D9348B" w:rsidRDefault="00F849A7" w:rsidP="00DB330E">
            <w:pPr>
              <w:pStyle w:val="TableTextBold"/>
              <w:jc w:val="center"/>
              <w:rPr>
                <w:rFonts w:cs="Calibri"/>
                <w:noProof w:val="0"/>
                <w:color w:val="FFFFFF"/>
              </w:rPr>
            </w:pPr>
            <w:r w:rsidRPr="00D9348B">
              <w:rPr>
                <w:rFonts w:cs="Calibri"/>
                <w:noProof w:val="0"/>
                <w:color w:val="FFFFFF"/>
              </w:rPr>
              <w:t>Gas</w:t>
            </w:r>
          </w:p>
        </w:tc>
        <w:tc>
          <w:tcPr>
            <w:tcW w:w="749" w:type="pct"/>
            <w:tcBorders>
              <w:top w:val="single" w:sz="4" w:space="0" w:color="365F91"/>
              <w:left w:val="nil"/>
              <w:bottom w:val="single" w:sz="4" w:space="0" w:color="365F91"/>
              <w:right w:val="nil"/>
            </w:tcBorders>
            <w:shd w:val="clear" w:color="auto" w:fill="365F91"/>
            <w:vAlign w:val="bottom"/>
          </w:tcPr>
          <w:p w14:paraId="145E6F92" w14:textId="77777777" w:rsidR="00F849A7" w:rsidRPr="00D9348B" w:rsidRDefault="00F849A7" w:rsidP="00DB330E">
            <w:pPr>
              <w:pStyle w:val="TableTextBold"/>
              <w:rPr>
                <w:rFonts w:cs="Calibri"/>
                <w:noProof w:val="0"/>
                <w:color w:val="FFFFFF"/>
              </w:rPr>
            </w:pPr>
            <w:r w:rsidRPr="00D9348B">
              <w:rPr>
                <w:rFonts w:cs="Calibri"/>
                <w:noProof w:val="0"/>
                <w:color w:val="FFFFFF"/>
              </w:rPr>
              <w:t>Criteria for identification</w:t>
            </w:r>
          </w:p>
        </w:tc>
      </w:tr>
      <w:tr w:rsidR="00F849A7" w:rsidRPr="00D9348B" w14:paraId="4F658DBC" w14:textId="77777777" w:rsidTr="00AE02E6">
        <w:trPr>
          <w:trHeight w:val="250"/>
        </w:trPr>
        <w:tc>
          <w:tcPr>
            <w:tcW w:w="750" w:type="pct"/>
            <w:tcBorders>
              <w:top w:val="single" w:sz="4" w:space="0" w:color="365F91"/>
            </w:tcBorders>
            <w:shd w:val="clear" w:color="auto" w:fill="FFFFFF"/>
          </w:tcPr>
          <w:p w14:paraId="2349FBE4" w14:textId="77777777" w:rsidR="00F849A7" w:rsidRPr="00D9348B" w:rsidRDefault="00F849A7" w:rsidP="00DB330E">
            <w:pPr>
              <w:pStyle w:val="TableText"/>
              <w:spacing w:before="50" w:after="50"/>
              <w:rPr>
                <w:rFonts w:cs="Calibri"/>
              </w:rPr>
            </w:pPr>
            <w:r w:rsidRPr="00D9348B">
              <w:rPr>
                <w:rFonts w:cs="Calibri"/>
                <w:color w:val="000000"/>
              </w:rPr>
              <w:t>3.A.1</w:t>
            </w:r>
          </w:p>
        </w:tc>
        <w:tc>
          <w:tcPr>
            <w:tcW w:w="3000" w:type="pct"/>
            <w:tcBorders>
              <w:top w:val="single" w:sz="4" w:space="0" w:color="365F91"/>
            </w:tcBorders>
            <w:shd w:val="clear" w:color="auto" w:fill="FFFFFF"/>
          </w:tcPr>
          <w:p w14:paraId="68511312" w14:textId="77777777" w:rsidR="00F849A7" w:rsidRPr="00D9348B" w:rsidRDefault="00F849A7" w:rsidP="00DB330E">
            <w:pPr>
              <w:pStyle w:val="TableText"/>
              <w:spacing w:before="50" w:after="50"/>
              <w:rPr>
                <w:rFonts w:cs="Calibri"/>
              </w:rPr>
            </w:pPr>
            <w:r w:rsidRPr="00D9348B">
              <w:rPr>
                <w:rFonts w:cs="Calibri"/>
                <w:color w:val="000000"/>
              </w:rPr>
              <w:t>Option A – Dairy Cattle</w:t>
            </w:r>
          </w:p>
        </w:tc>
        <w:tc>
          <w:tcPr>
            <w:tcW w:w="501" w:type="pct"/>
            <w:tcBorders>
              <w:top w:val="single" w:sz="4" w:space="0" w:color="365F91"/>
            </w:tcBorders>
            <w:shd w:val="clear" w:color="auto" w:fill="FFFFFF"/>
          </w:tcPr>
          <w:p w14:paraId="0955910E" w14:textId="77777777" w:rsidR="00F849A7" w:rsidRPr="00D9348B" w:rsidRDefault="00F849A7" w:rsidP="00DB330E">
            <w:pPr>
              <w:pStyle w:val="TableText"/>
              <w:spacing w:before="50" w:after="50"/>
              <w:jc w:val="center"/>
              <w:rPr>
                <w:rFonts w:cs="Calibri"/>
              </w:rPr>
            </w:pPr>
            <w:r w:rsidRPr="00D9348B">
              <w:rPr>
                <w:rFonts w:cs="Calibri"/>
                <w:color w:val="000000"/>
              </w:rPr>
              <w:t>CH</w:t>
            </w:r>
            <w:r w:rsidRPr="00D9348B">
              <w:rPr>
                <w:rFonts w:cs="Calibri"/>
                <w:color w:val="000000"/>
                <w:vertAlign w:val="subscript"/>
              </w:rPr>
              <w:t>4</w:t>
            </w:r>
          </w:p>
        </w:tc>
        <w:tc>
          <w:tcPr>
            <w:tcW w:w="749" w:type="pct"/>
            <w:tcBorders>
              <w:top w:val="single" w:sz="4" w:space="0" w:color="365F91"/>
            </w:tcBorders>
            <w:shd w:val="clear" w:color="auto" w:fill="FFFFFF"/>
          </w:tcPr>
          <w:p w14:paraId="32AA6EB3" w14:textId="77777777" w:rsidR="00F849A7" w:rsidRPr="00D9348B" w:rsidRDefault="00F849A7" w:rsidP="00DB330E">
            <w:pPr>
              <w:pStyle w:val="TableText"/>
              <w:spacing w:before="50" w:after="50"/>
              <w:rPr>
                <w:rFonts w:cs="Calibri"/>
              </w:rPr>
            </w:pPr>
            <w:r w:rsidRPr="00D9348B">
              <w:rPr>
                <w:rFonts w:cs="Calibri"/>
                <w:color w:val="000000"/>
              </w:rPr>
              <w:t>L1, T1</w:t>
            </w:r>
          </w:p>
        </w:tc>
      </w:tr>
      <w:tr w:rsidR="00F849A7" w:rsidRPr="00D9348B" w14:paraId="524D10E9" w14:textId="77777777" w:rsidTr="00AE02E6">
        <w:tc>
          <w:tcPr>
            <w:tcW w:w="750" w:type="pct"/>
            <w:shd w:val="clear" w:color="auto" w:fill="FFFFFF"/>
          </w:tcPr>
          <w:p w14:paraId="05FB54CB" w14:textId="77777777" w:rsidR="00F849A7" w:rsidRPr="00D9348B" w:rsidRDefault="00F849A7" w:rsidP="00DB330E">
            <w:pPr>
              <w:pStyle w:val="TableText"/>
              <w:spacing w:before="50" w:after="50"/>
              <w:rPr>
                <w:rFonts w:cs="Calibri"/>
              </w:rPr>
            </w:pPr>
            <w:r w:rsidRPr="00D9348B">
              <w:rPr>
                <w:rFonts w:cs="Calibri"/>
                <w:color w:val="000000"/>
              </w:rPr>
              <w:t>3.A.1</w:t>
            </w:r>
          </w:p>
        </w:tc>
        <w:tc>
          <w:tcPr>
            <w:tcW w:w="3000" w:type="pct"/>
            <w:shd w:val="clear" w:color="auto" w:fill="FFFFFF"/>
          </w:tcPr>
          <w:p w14:paraId="15F0AE04" w14:textId="77777777" w:rsidR="00F849A7" w:rsidRPr="00D9348B" w:rsidRDefault="00F849A7" w:rsidP="00DB330E">
            <w:pPr>
              <w:pStyle w:val="TableText"/>
              <w:spacing w:before="50" w:after="50"/>
              <w:rPr>
                <w:rFonts w:cs="Calibri"/>
              </w:rPr>
            </w:pPr>
            <w:r w:rsidRPr="00D9348B">
              <w:rPr>
                <w:rFonts w:cs="Calibri"/>
                <w:color w:val="000000"/>
              </w:rPr>
              <w:t>Option A – Non-dairy Cattle</w:t>
            </w:r>
          </w:p>
        </w:tc>
        <w:tc>
          <w:tcPr>
            <w:tcW w:w="501" w:type="pct"/>
            <w:shd w:val="clear" w:color="auto" w:fill="FFFFFF"/>
          </w:tcPr>
          <w:p w14:paraId="4D5080C1" w14:textId="77777777" w:rsidR="00F849A7" w:rsidRPr="00D9348B" w:rsidRDefault="00F849A7" w:rsidP="00DB330E">
            <w:pPr>
              <w:pStyle w:val="TableText"/>
              <w:spacing w:before="50" w:after="50"/>
              <w:jc w:val="center"/>
              <w:rPr>
                <w:rFonts w:cs="Calibri"/>
              </w:rPr>
            </w:pPr>
            <w:r w:rsidRPr="00D9348B">
              <w:rPr>
                <w:rFonts w:cs="Calibri"/>
                <w:color w:val="000000"/>
              </w:rPr>
              <w:t>CH</w:t>
            </w:r>
            <w:r w:rsidRPr="00D9348B">
              <w:rPr>
                <w:rFonts w:cs="Calibri"/>
                <w:color w:val="000000"/>
                <w:vertAlign w:val="subscript"/>
              </w:rPr>
              <w:t>4</w:t>
            </w:r>
          </w:p>
        </w:tc>
        <w:tc>
          <w:tcPr>
            <w:tcW w:w="749" w:type="pct"/>
            <w:shd w:val="clear" w:color="auto" w:fill="FFFFFF"/>
          </w:tcPr>
          <w:p w14:paraId="246859E3" w14:textId="77777777" w:rsidR="00F849A7" w:rsidRPr="00D9348B" w:rsidRDefault="00F849A7" w:rsidP="00DB330E">
            <w:pPr>
              <w:pStyle w:val="TableText"/>
              <w:spacing w:before="50" w:after="50"/>
              <w:rPr>
                <w:rFonts w:cs="Calibri"/>
              </w:rPr>
            </w:pPr>
            <w:r w:rsidRPr="00D9348B">
              <w:rPr>
                <w:rFonts w:cs="Calibri"/>
                <w:color w:val="000000"/>
              </w:rPr>
              <w:t>L1, T1</w:t>
            </w:r>
          </w:p>
        </w:tc>
      </w:tr>
      <w:tr w:rsidR="00F849A7" w:rsidRPr="00D9348B" w14:paraId="7AB899F0" w14:textId="77777777" w:rsidTr="00AE02E6">
        <w:tc>
          <w:tcPr>
            <w:tcW w:w="750" w:type="pct"/>
            <w:shd w:val="clear" w:color="auto" w:fill="FFFFFF"/>
          </w:tcPr>
          <w:p w14:paraId="718EA45E" w14:textId="77777777" w:rsidR="00F849A7" w:rsidRPr="00D9348B" w:rsidRDefault="00F849A7" w:rsidP="00DB330E">
            <w:pPr>
              <w:pStyle w:val="TableText"/>
              <w:spacing w:before="50" w:after="50"/>
              <w:rPr>
                <w:rFonts w:cs="Calibri"/>
              </w:rPr>
            </w:pPr>
            <w:r w:rsidRPr="00D9348B">
              <w:rPr>
                <w:rFonts w:cs="Calibri"/>
                <w:color w:val="000000"/>
              </w:rPr>
              <w:t>3.A.2</w:t>
            </w:r>
          </w:p>
        </w:tc>
        <w:tc>
          <w:tcPr>
            <w:tcW w:w="3000" w:type="pct"/>
            <w:shd w:val="clear" w:color="auto" w:fill="FFFFFF"/>
          </w:tcPr>
          <w:p w14:paraId="08448F4E" w14:textId="77777777" w:rsidR="00F849A7" w:rsidRPr="00D9348B" w:rsidRDefault="00F849A7" w:rsidP="00DB330E">
            <w:pPr>
              <w:pStyle w:val="TableText"/>
              <w:spacing w:before="50" w:after="50"/>
              <w:rPr>
                <w:rFonts w:cs="Calibri"/>
              </w:rPr>
            </w:pPr>
            <w:r w:rsidRPr="00D9348B">
              <w:rPr>
                <w:rFonts w:cs="Calibri"/>
              </w:rPr>
              <w:t>Other (please specify) – Sheep</w:t>
            </w:r>
          </w:p>
        </w:tc>
        <w:tc>
          <w:tcPr>
            <w:tcW w:w="501" w:type="pct"/>
            <w:shd w:val="clear" w:color="auto" w:fill="FFFFFF"/>
          </w:tcPr>
          <w:p w14:paraId="493A5F34" w14:textId="77777777" w:rsidR="00F849A7" w:rsidRPr="00D9348B" w:rsidRDefault="00F849A7" w:rsidP="00DB330E">
            <w:pPr>
              <w:pStyle w:val="TableText"/>
              <w:spacing w:before="50" w:after="50"/>
              <w:jc w:val="center"/>
              <w:rPr>
                <w:rFonts w:cs="Calibri"/>
              </w:rPr>
            </w:pPr>
            <w:r w:rsidRPr="00D9348B">
              <w:rPr>
                <w:rFonts w:cs="Calibri"/>
                <w:color w:val="000000"/>
              </w:rPr>
              <w:t>CH</w:t>
            </w:r>
            <w:r w:rsidRPr="00D9348B">
              <w:rPr>
                <w:rFonts w:cs="Calibri"/>
                <w:color w:val="000000"/>
                <w:vertAlign w:val="subscript"/>
              </w:rPr>
              <w:t>4</w:t>
            </w:r>
          </w:p>
        </w:tc>
        <w:tc>
          <w:tcPr>
            <w:tcW w:w="749" w:type="pct"/>
            <w:shd w:val="clear" w:color="auto" w:fill="FFFFFF"/>
          </w:tcPr>
          <w:p w14:paraId="5F632CC0" w14:textId="77777777" w:rsidR="00F849A7" w:rsidRPr="00D9348B" w:rsidRDefault="00F849A7" w:rsidP="00DB330E">
            <w:pPr>
              <w:pStyle w:val="TableText"/>
              <w:spacing w:before="50" w:after="50"/>
              <w:rPr>
                <w:rFonts w:cs="Calibri"/>
              </w:rPr>
            </w:pPr>
            <w:r w:rsidRPr="00D9348B">
              <w:rPr>
                <w:rFonts w:cs="Calibri"/>
                <w:color w:val="000000"/>
              </w:rPr>
              <w:t>L1, T1</w:t>
            </w:r>
          </w:p>
        </w:tc>
      </w:tr>
      <w:tr w:rsidR="00F849A7" w:rsidRPr="00D9348B" w14:paraId="6B5F23EE" w14:textId="77777777" w:rsidTr="00AE02E6">
        <w:tc>
          <w:tcPr>
            <w:tcW w:w="750" w:type="pct"/>
            <w:shd w:val="clear" w:color="auto" w:fill="FFFFFF"/>
          </w:tcPr>
          <w:p w14:paraId="16F68460" w14:textId="77777777" w:rsidR="00F849A7" w:rsidRPr="00D9348B" w:rsidRDefault="00F849A7" w:rsidP="00DB330E">
            <w:pPr>
              <w:pStyle w:val="TableText"/>
              <w:spacing w:before="50" w:after="50"/>
              <w:rPr>
                <w:rFonts w:cs="Calibri"/>
              </w:rPr>
            </w:pPr>
            <w:r w:rsidRPr="00D9348B">
              <w:rPr>
                <w:rFonts w:cs="Calibri"/>
                <w:color w:val="000000"/>
              </w:rPr>
              <w:t>3.A.4</w:t>
            </w:r>
          </w:p>
        </w:tc>
        <w:tc>
          <w:tcPr>
            <w:tcW w:w="3000" w:type="pct"/>
            <w:shd w:val="clear" w:color="auto" w:fill="FFFFFF"/>
          </w:tcPr>
          <w:p w14:paraId="0A4117D7" w14:textId="77777777" w:rsidR="00F849A7" w:rsidRPr="00D9348B" w:rsidRDefault="00F849A7" w:rsidP="00DB330E">
            <w:pPr>
              <w:pStyle w:val="TableText"/>
              <w:spacing w:before="50" w:after="50"/>
              <w:rPr>
                <w:rFonts w:cs="Calibri"/>
              </w:rPr>
            </w:pPr>
            <w:r w:rsidRPr="00D9348B">
              <w:rPr>
                <w:rFonts w:cs="Calibri"/>
                <w:color w:val="000000"/>
              </w:rPr>
              <w:t>Other Livestock – Deer</w:t>
            </w:r>
          </w:p>
        </w:tc>
        <w:tc>
          <w:tcPr>
            <w:tcW w:w="501" w:type="pct"/>
            <w:shd w:val="clear" w:color="auto" w:fill="FFFFFF"/>
          </w:tcPr>
          <w:p w14:paraId="7E3C5916" w14:textId="77777777" w:rsidR="00F849A7" w:rsidRPr="00D9348B" w:rsidRDefault="00F849A7" w:rsidP="00DB330E">
            <w:pPr>
              <w:pStyle w:val="TableText"/>
              <w:spacing w:before="50" w:after="50"/>
              <w:jc w:val="center"/>
              <w:rPr>
                <w:rFonts w:cs="Calibri"/>
              </w:rPr>
            </w:pPr>
            <w:r w:rsidRPr="00D9348B">
              <w:rPr>
                <w:rFonts w:cs="Calibri"/>
                <w:color w:val="000000"/>
              </w:rPr>
              <w:t>CH</w:t>
            </w:r>
            <w:r w:rsidRPr="00D9348B">
              <w:rPr>
                <w:rFonts w:cs="Calibri"/>
                <w:color w:val="000000"/>
                <w:vertAlign w:val="subscript"/>
              </w:rPr>
              <w:t>4</w:t>
            </w:r>
          </w:p>
        </w:tc>
        <w:tc>
          <w:tcPr>
            <w:tcW w:w="749" w:type="pct"/>
            <w:shd w:val="clear" w:color="auto" w:fill="FFFFFF"/>
          </w:tcPr>
          <w:p w14:paraId="6C3293DB" w14:textId="77777777" w:rsidR="00F849A7" w:rsidRPr="00D9348B" w:rsidRDefault="00F849A7" w:rsidP="00DB330E">
            <w:pPr>
              <w:pStyle w:val="TableText"/>
              <w:spacing w:before="50" w:after="50"/>
              <w:rPr>
                <w:rFonts w:cs="Calibri"/>
              </w:rPr>
            </w:pPr>
            <w:r w:rsidRPr="00D9348B">
              <w:rPr>
                <w:rFonts w:cs="Calibri"/>
                <w:color w:val="000000"/>
              </w:rPr>
              <w:t>L1, T1</w:t>
            </w:r>
          </w:p>
        </w:tc>
      </w:tr>
      <w:tr w:rsidR="00F849A7" w:rsidRPr="00D9348B" w14:paraId="349D351D" w14:textId="77777777" w:rsidTr="00AE02E6">
        <w:tc>
          <w:tcPr>
            <w:tcW w:w="750" w:type="pct"/>
            <w:shd w:val="clear" w:color="auto" w:fill="FFFFFF"/>
          </w:tcPr>
          <w:p w14:paraId="3BF2468A" w14:textId="77777777" w:rsidR="00F849A7" w:rsidRPr="00D9348B" w:rsidRDefault="00F849A7" w:rsidP="00DB330E">
            <w:pPr>
              <w:pStyle w:val="TableText"/>
              <w:spacing w:before="50" w:after="50"/>
              <w:rPr>
                <w:rFonts w:cs="Calibri"/>
              </w:rPr>
            </w:pPr>
            <w:r w:rsidRPr="00D9348B">
              <w:rPr>
                <w:rFonts w:cs="Calibri"/>
                <w:color w:val="000000"/>
              </w:rPr>
              <w:t>3.A.4</w:t>
            </w:r>
          </w:p>
        </w:tc>
        <w:tc>
          <w:tcPr>
            <w:tcW w:w="3000" w:type="pct"/>
            <w:shd w:val="clear" w:color="auto" w:fill="FFFFFF"/>
          </w:tcPr>
          <w:p w14:paraId="5888F752" w14:textId="77777777" w:rsidR="00F849A7" w:rsidRPr="00D9348B" w:rsidRDefault="00F849A7" w:rsidP="00DB330E">
            <w:pPr>
              <w:pStyle w:val="TableText"/>
              <w:spacing w:before="50" w:after="50"/>
              <w:rPr>
                <w:rFonts w:cs="Calibri"/>
              </w:rPr>
            </w:pPr>
            <w:r w:rsidRPr="00D9348B">
              <w:rPr>
                <w:rFonts w:cs="Calibri"/>
                <w:color w:val="000000"/>
              </w:rPr>
              <w:t>Other Livestock – Goats</w:t>
            </w:r>
          </w:p>
        </w:tc>
        <w:tc>
          <w:tcPr>
            <w:tcW w:w="501" w:type="pct"/>
            <w:shd w:val="clear" w:color="auto" w:fill="FFFFFF"/>
          </w:tcPr>
          <w:p w14:paraId="1984E0CE" w14:textId="77777777" w:rsidR="00F849A7" w:rsidRPr="00D9348B" w:rsidRDefault="00F849A7" w:rsidP="00DB330E">
            <w:pPr>
              <w:pStyle w:val="TableText"/>
              <w:spacing w:before="50" w:after="50"/>
              <w:jc w:val="center"/>
              <w:rPr>
                <w:rFonts w:cs="Calibri"/>
              </w:rPr>
            </w:pPr>
            <w:r w:rsidRPr="00D9348B">
              <w:rPr>
                <w:rFonts w:cs="Calibri"/>
                <w:color w:val="000000"/>
              </w:rPr>
              <w:t>CH</w:t>
            </w:r>
            <w:r w:rsidRPr="00D9348B">
              <w:rPr>
                <w:rFonts w:cs="Calibri"/>
                <w:color w:val="000000"/>
                <w:vertAlign w:val="subscript"/>
              </w:rPr>
              <w:t>4</w:t>
            </w:r>
          </w:p>
        </w:tc>
        <w:tc>
          <w:tcPr>
            <w:tcW w:w="749" w:type="pct"/>
            <w:shd w:val="clear" w:color="auto" w:fill="FFFFFF"/>
          </w:tcPr>
          <w:p w14:paraId="19B0F46A" w14:textId="77777777" w:rsidR="00F849A7" w:rsidRPr="00D9348B" w:rsidRDefault="00F849A7" w:rsidP="00DB330E">
            <w:pPr>
              <w:pStyle w:val="TableText"/>
              <w:spacing w:before="50" w:after="50"/>
              <w:rPr>
                <w:rFonts w:cs="Calibri"/>
              </w:rPr>
            </w:pPr>
            <w:r w:rsidRPr="00D9348B">
              <w:rPr>
                <w:rFonts w:cs="Calibri"/>
                <w:color w:val="000000"/>
              </w:rPr>
              <w:t>T1</w:t>
            </w:r>
          </w:p>
        </w:tc>
      </w:tr>
      <w:tr w:rsidR="00F849A7" w:rsidRPr="00D9348B" w14:paraId="0CD0B689" w14:textId="77777777" w:rsidTr="00AE02E6">
        <w:tc>
          <w:tcPr>
            <w:tcW w:w="750" w:type="pct"/>
            <w:shd w:val="clear" w:color="auto" w:fill="FFFFFF"/>
          </w:tcPr>
          <w:p w14:paraId="0E0B72A1" w14:textId="77777777" w:rsidR="00F849A7" w:rsidRPr="00D9348B" w:rsidRDefault="00F849A7" w:rsidP="00DB330E">
            <w:pPr>
              <w:pStyle w:val="TableText"/>
              <w:spacing w:before="50" w:after="50"/>
              <w:rPr>
                <w:rFonts w:cs="Calibri"/>
              </w:rPr>
            </w:pPr>
            <w:r w:rsidRPr="00D9348B">
              <w:rPr>
                <w:rFonts w:cs="Calibri"/>
                <w:color w:val="000000"/>
              </w:rPr>
              <w:t>3.B.1.1</w:t>
            </w:r>
          </w:p>
        </w:tc>
        <w:tc>
          <w:tcPr>
            <w:tcW w:w="3000" w:type="pct"/>
            <w:shd w:val="clear" w:color="auto" w:fill="FFFFFF"/>
          </w:tcPr>
          <w:p w14:paraId="68393CD7" w14:textId="77777777" w:rsidR="00F849A7" w:rsidRPr="00D9348B" w:rsidRDefault="00F849A7" w:rsidP="00DB330E">
            <w:pPr>
              <w:pStyle w:val="TableText"/>
              <w:spacing w:before="50" w:after="50"/>
              <w:rPr>
                <w:rFonts w:cs="Calibri"/>
              </w:rPr>
            </w:pPr>
            <w:r w:rsidRPr="00D9348B">
              <w:rPr>
                <w:rFonts w:cs="Calibri"/>
                <w:color w:val="000000"/>
              </w:rPr>
              <w:t>Option A – Dairy Cattle</w:t>
            </w:r>
          </w:p>
        </w:tc>
        <w:tc>
          <w:tcPr>
            <w:tcW w:w="501" w:type="pct"/>
            <w:shd w:val="clear" w:color="auto" w:fill="FFFFFF"/>
          </w:tcPr>
          <w:p w14:paraId="76DFE057" w14:textId="77777777" w:rsidR="00F849A7" w:rsidRPr="00D9348B" w:rsidRDefault="00F849A7" w:rsidP="00DB330E">
            <w:pPr>
              <w:pStyle w:val="TableText"/>
              <w:spacing w:before="50" w:after="50"/>
              <w:jc w:val="center"/>
              <w:rPr>
                <w:rFonts w:cs="Calibri"/>
              </w:rPr>
            </w:pPr>
            <w:r w:rsidRPr="00D9348B">
              <w:rPr>
                <w:rFonts w:cs="Calibri"/>
                <w:color w:val="000000"/>
              </w:rPr>
              <w:t>CH</w:t>
            </w:r>
            <w:r w:rsidRPr="00D9348B">
              <w:rPr>
                <w:rFonts w:cs="Calibri"/>
                <w:color w:val="000000"/>
                <w:vertAlign w:val="subscript"/>
              </w:rPr>
              <w:t>4</w:t>
            </w:r>
          </w:p>
        </w:tc>
        <w:tc>
          <w:tcPr>
            <w:tcW w:w="749" w:type="pct"/>
            <w:shd w:val="clear" w:color="auto" w:fill="FFFFFF"/>
          </w:tcPr>
          <w:p w14:paraId="05AE5A74" w14:textId="77777777" w:rsidR="00F849A7" w:rsidRPr="00D9348B" w:rsidRDefault="00F849A7" w:rsidP="00DB330E">
            <w:pPr>
              <w:pStyle w:val="TableText"/>
              <w:spacing w:before="50" w:after="50"/>
              <w:rPr>
                <w:rFonts w:cs="Calibri"/>
              </w:rPr>
            </w:pPr>
            <w:r w:rsidRPr="00D9348B">
              <w:rPr>
                <w:rFonts w:cs="Calibri"/>
                <w:color w:val="000000"/>
              </w:rPr>
              <w:t>L1, T1</w:t>
            </w:r>
          </w:p>
        </w:tc>
      </w:tr>
      <w:tr w:rsidR="00F849A7" w:rsidRPr="00D9348B" w14:paraId="5D8D339C" w14:textId="77777777" w:rsidTr="00AE02E6">
        <w:tc>
          <w:tcPr>
            <w:tcW w:w="750" w:type="pct"/>
            <w:shd w:val="clear" w:color="auto" w:fill="FFFFFF"/>
          </w:tcPr>
          <w:p w14:paraId="3DF7678F" w14:textId="77777777" w:rsidR="00F849A7" w:rsidRPr="00D9348B" w:rsidRDefault="00F849A7" w:rsidP="00DB330E">
            <w:pPr>
              <w:pStyle w:val="TableText"/>
              <w:spacing w:before="50" w:after="50"/>
              <w:rPr>
                <w:rFonts w:cs="Calibri"/>
              </w:rPr>
            </w:pPr>
            <w:r w:rsidRPr="00D9348B">
              <w:rPr>
                <w:rFonts w:cs="Calibri"/>
                <w:color w:val="000000"/>
              </w:rPr>
              <w:t>3.D.1.1</w:t>
            </w:r>
          </w:p>
        </w:tc>
        <w:tc>
          <w:tcPr>
            <w:tcW w:w="3000" w:type="pct"/>
            <w:shd w:val="clear" w:color="auto" w:fill="FFFFFF"/>
          </w:tcPr>
          <w:p w14:paraId="574C9EDB" w14:textId="77777777" w:rsidR="00F849A7" w:rsidRPr="00D9348B" w:rsidRDefault="00F849A7" w:rsidP="00DB330E">
            <w:pPr>
              <w:pStyle w:val="TableText"/>
              <w:spacing w:before="50" w:after="50"/>
              <w:rPr>
                <w:rFonts w:cs="Calibri"/>
              </w:rPr>
            </w:pPr>
            <w:r w:rsidRPr="00D9348B">
              <w:rPr>
                <w:rFonts w:cs="Calibri"/>
                <w:color w:val="000000"/>
              </w:rPr>
              <w:t>Direct N</w:t>
            </w:r>
            <w:r w:rsidRPr="00D9348B">
              <w:rPr>
                <w:rFonts w:cs="Calibri"/>
                <w:color w:val="000000"/>
                <w:vertAlign w:val="subscript"/>
              </w:rPr>
              <w:t>2</w:t>
            </w:r>
            <w:r w:rsidRPr="00D9348B">
              <w:rPr>
                <w:rFonts w:cs="Calibri"/>
                <w:color w:val="000000"/>
              </w:rPr>
              <w:t>O Emissions from Managed Soils – Inorganic N Fertilisers</w:t>
            </w:r>
          </w:p>
        </w:tc>
        <w:tc>
          <w:tcPr>
            <w:tcW w:w="501" w:type="pct"/>
            <w:shd w:val="clear" w:color="auto" w:fill="FFFFFF"/>
          </w:tcPr>
          <w:p w14:paraId="31772375" w14:textId="77777777" w:rsidR="00F849A7" w:rsidRPr="00D9348B" w:rsidRDefault="00F849A7" w:rsidP="00DB330E">
            <w:pPr>
              <w:pStyle w:val="TableText"/>
              <w:spacing w:before="50" w:after="50"/>
              <w:jc w:val="center"/>
              <w:rPr>
                <w:rFonts w:cs="Calibri"/>
              </w:rPr>
            </w:pPr>
            <w:r w:rsidRPr="00D9348B">
              <w:rPr>
                <w:rFonts w:cs="Calibri"/>
                <w:color w:val="000000"/>
              </w:rPr>
              <w:t>N</w:t>
            </w:r>
            <w:r w:rsidRPr="00D9348B">
              <w:rPr>
                <w:rFonts w:cs="Calibri"/>
                <w:color w:val="000000"/>
                <w:vertAlign w:val="subscript"/>
              </w:rPr>
              <w:t>2</w:t>
            </w:r>
            <w:r w:rsidRPr="00D9348B">
              <w:rPr>
                <w:rFonts w:cs="Calibri"/>
                <w:color w:val="000000"/>
              </w:rPr>
              <w:t>O</w:t>
            </w:r>
          </w:p>
        </w:tc>
        <w:tc>
          <w:tcPr>
            <w:tcW w:w="749" w:type="pct"/>
            <w:shd w:val="clear" w:color="auto" w:fill="FFFFFF"/>
          </w:tcPr>
          <w:p w14:paraId="4298088F" w14:textId="77777777" w:rsidR="00F849A7" w:rsidRPr="00D9348B" w:rsidRDefault="00F849A7" w:rsidP="00DB330E">
            <w:pPr>
              <w:pStyle w:val="TableText"/>
              <w:spacing w:before="50" w:after="50"/>
              <w:rPr>
                <w:rFonts w:cs="Calibri"/>
              </w:rPr>
            </w:pPr>
            <w:r w:rsidRPr="00D9348B">
              <w:rPr>
                <w:rFonts w:cs="Calibri"/>
                <w:color w:val="000000"/>
              </w:rPr>
              <w:t>L1, T1</w:t>
            </w:r>
          </w:p>
        </w:tc>
      </w:tr>
      <w:tr w:rsidR="00F849A7" w:rsidRPr="00D9348B" w14:paraId="59D4DF64" w14:textId="77777777" w:rsidTr="00AE02E6">
        <w:tc>
          <w:tcPr>
            <w:tcW w:w="750" w:type="pct"/>
            <w:shd w:val="clear" w:color="auto" w:fill="FFFFFF"/>
          </w:tcPr>
          <w:p w14:paraId="0D01C376" w14:textId="77777777" w:rsidR="00F849A7" w:rsidRPr="00D9348B" w:rsidRDefault="00F849A7" w:rsidP="00DB330E">
            <w:pPr>
              <w:pStyle w:val="TableText"/>
              <w:spacing w:before="50" w:after="50"/>
              <w:rPr>
                <w:rFonts w:cs="Calibri"/>
              </w:rPr>
            </w:pPr>
            <w:r w:rsidRPr="00D9348B">
              <w:rPr>
                <w:rFonts w:cs="Calibri"/>
                <w:color w:val="000000"/>
              </w:rPr>
              <w:t>3.D.1.3</w:t>
            </w:r>
          </w:p>
        </w:tc>
        <w:tc>
          <w:tcPr>
            <w:tcW w:w="3000" w:type="pct"/>
            <w:shd w:val="clear" w:color="auto" w:fill="FFFFFF"/>
          </w:tcPr>
          <w:p w14:paraId="17B44CE7" w14:textId="77777777" w:rsidR="00F849A7" w:rsidRPr="00D9348B" w:rsidRDefault="00F849A7" w:rsidP="00DB330E">
            <w:pPr>
              <w:pStyle w:val="TableText"/>
              <w:spacing w:before="50" w:after="50"/>
              <w:rPr>
                <w:rFonts w:cs="Calibri"/>
              </w:rPr>
            </w:pPr>
            <w:r w:rsidRPr="00D9348B">
              <w:rPr>
                <w:rFonts w:cs="Calibri"/>
                <w:color w:val="000000"/>
              </w:rPr>
              <w:t>Direct N</w:t>
            </w:r>
            <w:r w:rsidRPr="00D9348B">
              <w:rPr>
                <w:rFonts w:cs="Calibri"/>
                <w:color w:val="000000"/>
                <w:vertAlign w:val="subscript"/>
              </w:rPr>
              <w:t>2</w:t>
            </w:r>
            <w:r w:rsidRPr="00D9348B">
              <w:rPr>
                <w:rFonts w:cs="Calibri"/>
                <w:color w:val="000000"/>
              </w:rPr>
              <w:t>O Emissions from Managed Soils – Urine and Dung Deposited by Grazing Animals</w:t>
            </w:r>
          </w:p>
        </w:tc>
        <w:tc>
          <w:tcPr>
            <w:tcW w:w="501" w:type="pct"/>
            <w:shd w:val="clear" w:color="auto" w:fill="FFFFFF"/>
          </w:tcPr>
          <w:p w14:paraId="7AF6F4E2" w14:textId="77777777" w:rsidR="00F849A7" w:rsidRPr="00D9348B" w:rsidRDefault="00F849A7" w:rsidP="00DB330E">
            <w:pPr>
              <w:pStyle w:val="TableText"/>
              <w:spacing w:before="50" w:after="50"/>
              <w:jc w:val="center"/>
              <w:rPr>
                <w:rFonts w:cs="Calibri"/>
              </w:rPr>
            </w:pPr>
            <w:r w:rsidRPr="00D9348B">
              <w:rPr>
                <w:rFonts w:cs="Calibri"/>
                <w:color w:val="000000"/>
              </w:rPr>
              <w:t>N</w:t>
            </w:r>
            <w:r w:rsidRPr="00D9348B">
              <w:rPr>
                <w:rFonts w:cs="Calibri"/>
                <w:color w:val="000000"/>
                <w:vertAlign w:val="subscript"/>
              </w:rPr>
              <w:t>2</w:t>
            </w:r>
            <w:r w:rsidRPr="00D9348B">
              <w:rPr>
                <w:rFonts w:cs="Calibri"/>
                <w:color w:val="000000"/>
              </w:rPr>
              <w:t>O</w:t>
            </w:r>
          </w:p>
        </w:tc>
        <w:tc>
          <w:tcPr>
            <w:tcW w:w="749" w:type="pct"/>
            <w:shd w:val="clear" w:color="auto" w:fill="FFFFFF"/>
          </w:tcPr>
          <w:p w14:paraId="6F1D806E" w14:textId="77777777" w:rsidR="00F849A7" w:rsidRPr="00D9348B" w:rsidRDefault="00F849A7" w:rsidP="00DB330E">
            <w:pPr>
              <w:pStyle w:val="TableText"/>
              <w:spacing w:before="50" w:after="50"/>
              <w:rPr>
                <w:rFonts w:cs="Calibri"/>
              </w:rPr>
            </w:pPr>
            <w:r w:rsidRPr="00D9348B">
              <w:rPr>
                <w:rFonts w:cs="Calibri"/>
                <w:color w:val="000000"/>
              </w:rPr>
              <w:t>L1, T1</w:t>
            </w:r>
          </w:p>
        </w:tc>
      </w:tr>
      <w:tr w:rsidR="00F849A7" w:rsidRPr="00D9348B" w14:paraId="6C80BB2E" w14:textId="77777777" w:rsidTr="00AE02E6">
        <w:tc>
          <w:tcPr>
            <w:tcW w:w="750" w:type="pct"/>
            <w:shd w:val="clear" w:color="auto" w:fill="FFFFFF"/>
          </w:tcPr>
          <w:p w14:paraId="568ADAAA" w14:textId="77777777" w:rsidR="00F849A7" w:rsidRPr="00D9348B" w:rsidRDefault="00F849A7" w:rsidP="00DB330E">
            <w:pPr>
              <w:pStyle w:val="TableText"/>
              <w:spacing w:before="50" w:after="50"/>
              <w:rPr>
                <w:rFonts w:cs="Calibri"/>
              </w:rPr>
            </w:pPr>
            <w:r w:rsidRPr="00D9348B">
              <w:rPr>
                <w:rFonts w:cs="Calibri"/>
                <w:color w:val="000000"/>
              </w:rPr>
              <w:t>3.D.1.4</w:t>
            </w:r>
          </w:p>
        </w:tc>
        <w:tc>
          <w:tcPr>
            <w:tcW w:w="3000" w:type="pct"/>
            <w:shd w:val="clear" w:color="auto" w:fill="FFFFFF"/>
          </w:tcPr>
          <w:p w14:paraId="27F395B5" w14:textId="77777777" w:rsidR="00F849A7" w:rsidRPr="00D9348B" w:rsidRDefault="00F849A7" w:rsidP="00DB330E">
            <w:pPr>
              <w:pStyle w:val="TableText"/>
              <w:spacing w:before="50" w:after="50"/>
              <w:rPr>
                <w:rFonts w:cs="Calibri"/>
              </w:rPr>
            </w:pPr>
            <w:r w:rsidRPr="00D9348B">
              <w:rPr>
                <w:rFonts w:cs="Calibri"/>
                <w:color w:val="000000"/>
              </w:rPr>
              <w:t>Direct N</w:t>
            </w:r>
            <w:r w:rsidRPr="00D9348B">
              <w:rPr>
                <w:rFonts w:cs="Calibri"/>
                <w:color w:val="000000"/>
                <w:vertAlign w:val="subscript"/>
              </w:rPr>
              <w:t>2</w:t>
            </w:r>
            <w:r w:rsidRPr="00D9348B">
              <w:rPr>
                <w:rFonts w:cs="Calibri"/>
                <w:color w:val="000000"/>
              </w:rPr>
              <w:t>O Emissions from Managed Soils – Crop Residues</w:t>
            </w:r>
          </w:p>
        </w:tc>
        <w:tc>
          <w:tcPr>
            <w:tcW w:w="501" w:type="pct"/>
            <w:shd w:val="clear" w:color="auto" w:fill="FFFFFF"/>
          </w:tcPr>
          <w:p w14:paraId="46C31473" w14:textId="77777777" w:rsidR="00F849A7" w:rsidRPr="00D9348B" w:rsidRDefault="00F849A7" w:rsidP="00DB330E">
            <w:pPr>
              <w:pStyle w:val="TableText"/>
              <w:spacing w:before="50" w:after="50"/>
              <w:jc w:val="center"/>
              <w:rPr>
                <w:rFonts w:cs="Calibri"/>
              </w:rPr>
            </w:pPr>
            <w:r w:rsidRPr="00D9348B">
              <w:rPr>
                <w:rFonts w:cs="Calibri"/>
                <w:color w:val="000000"/>
              </w:rPr>
              <w:t>N</w:t>
            </w:r>
            <w:r w:rsidRPr="00D9348B">
              <w:rPr>
                <w:rFonts w:cs="Calibri"/>
                <w:color w:val="000000"/>
                <w:vertAlign w:val="subscript"/>
              </w:rPr>
              <w:t>2</w:t>
            </w:r>
            <w:r w:rsidRPr="00D9348B">
              <w:rPr>
                <w:rFonts w:cs="Calibri"/>
                <w:color w:val="000000"/>
              </w:rPr>
              <w:t>O</w:t>
            </w:r>
          </w:p>
        </w:tc>
        <w:tc>
          <w:tcPr>
            <w:tcW w:w="749" w:type="pct"/>
            <w:shd w:val="clear" w:color="auto" w:fill="FFFFFF"/>
          </w:tcPr>
          <w:p w14:paraId="44F4557F" w14:textId="77777777" w:rsidR="00F849A7" w:rsidRPr="00D9348B" w:rsidRDefault="00F849A7" w:rsidP="00DB330E">
            <w:pPr>
              <w:pStyle w:val="TableText"/>
              <w:spacing w:before="50" w:after="50"/>
              <w:rPr>
                <w:rFonts w:cs="Calibri"/>
              </w:rPr>
            </w:pPr>
            <w:r w:rsidRPr="00D9348B">
              <w:rPr>
                <w:rFonts w:cs="Calibri"/>
                <w:color w:val="000000"/>
              </w:rPr>
              <w:t>L1</w:t>
            </w:r>
          </w:p>
        </w:tc>
      </w:tr>
      <w:tr w:rsidR="00F849A7" w:rsidRPr="00D9348B" w14:paraId="7CB98095" w14:textId="77777777" w:rsidTr="00AE02E6">
        <w:tc>
          <w:tcPr>
            <w:tcW w:w="750" w:type="pct"/>
            <w:shd w:val="clear" w:color="auto" w:fill="FFFFFF"/>
          </w:tcPr>
          <w:p w14:paraId="2199CFF2" w14:textId="77777777" w:rsidR="00F849A7" w:rsidRPr="00D9348B" w:rsidRDefault="00F849A7" w:rsidP="00DB330E">
            <w:pPr>
              <w:pStyle w:val="TableText"/>
              <w:spacing w:before="50" w:after="50"/>
              <w:rPr>
                <w:rFonts w:cs="Calibri"/>
              </w:rPr>
            </w:pPr>
            <w:r w:rsidRPr="00D9348B">
              <w:rPr>
                <w:rFonts w:cs="Calibri"/>
                <w:color w:val="000000"/>
              </w:rPr>
              <w:t>3.D.2.1</w:t>
            </w:r>
          </w:p>
        </w:tc>
        <w:tc>
          <w:tcPr>
            <w:tcW w:w="3000" w:type="pct"/>
            <w:shd w:val="clear" w:color="auto" w:fill="FFFFFF"/>
          </w:tcPr>
          <w:p w14:paraId="24CB30B0" w14:textId="77777777" w:rsidR="00F849A7" w:rsidRPr="00D9348B" w:rsidRDefault="00F849A7" w:rsidP="00DB330E">
            <w:pPr>
              <w:pStyle w:val="TableText"/>
              <w:spacing w:before="50" w:after="50"/>
              <w:rPr>
                <w:rFonts w:cs="Calibri"/>
              </w:rPr>
            </w:pPr>
            <w:r w:rsidRPr="00D9348B">
              <w:rPr>
                <w:rFonts w:cs="Calibri"/>
                <w:color w:val="000000"/>
              </w:rPr>
              <w:t>Indirect N</w:t>
            </w:r>
            <w:r w:rsidRPr="00D9348B">
              <w:rPr>
                <w:rFonts w:cs="Calibri"/>
                <w:color w:val="000000"/>
                <w:vertAlign w:val="subscript"/>
              </w:rPr>
              <w:t>2</w:t>
            </w:r>
            <w:r w:rsidRPr="00D9348B">
              <w:rPr>
                <w:rFonts w:cs="Calibri"/>
                <w:color w:val="000000"/>
              </w:rPr>
              <w:t>O Emissions from Managed Soils – Atmospheric Deposition</w:t>
            </w:r>
          </w:p>
        </w:tc>
        <w:tc>
          <w:tcPr>
            <w:tcW w:w="501" w:type="pct"/>
            <w:shd w:val="clear" w:color="auto" w:fill="FFFFFF"/>
          </w:tcPr>
          <w:p w14:paraId="22178524" w14:textId="77777777" w:rsidR="00F849A7" w:rsidRPr="00D9348B" w:rsidRDefault="00F849A7" w:rsidP="00DB330E">
            <w:pPr>
              <w:pStyle w:val="TableText"/>
              <w:spacing w:before="50" w:after="50"/>
              <w:jc w:val="center"/>
              <w:rPr>
                <w:rFonts w:cs="Calibri"/>
              </w:rPr>
            </w:pPr>
            <w:r w:rsidRPr="00D9348B">
              <w:rPr>
                <w:rFonts w:cs="Calibri"/>
                <w:color w:val="000000"/>
              </w:rPr>
              <w:t>N</w:t>
            </w:r>
            <w:r w:rsidRPr="00D9348B">
              <w:rPr>
                <w:rFonts w:cs="Calibri"/>
                <w:color w:val="000000"/>
                <w:vertAlign w:val="subscript"/>
              </w:rPr>
              <w:t>2</w:t>
            </w:r>
            <w:r w:rsidRPr="00D9348B">
              <w:rPr>
                <w:rFonts w:cs="Calibri"/>
                <w:color w:val="000000"/>
              </w:rPr>
              <w:t>O</w:t>
            </w:r>
          </w:p>
        </w:tc>
        <w:tc>
          <w:tcPr>
            <w:tcW w:w="749" w:type="pct"/>
            <w:shd w:val="clear" w:color="auto" w:fill="FFFFFF"/>
          </w:tcPr>
          <w:p w14:paraId="7B5B6834" w14:textId="77777777" w:rsidR="00F849A7" w:rsidRPr="00D9348B" w:rsidRDefault="00F849A7" w:rsidP="00DB330E">
            <w:pPr>
              <w:pStyle w:val="TableText"/>
              <w:spacing w:before="50" w:after="50"/>
              <w:rPr>
                <w:rFonts w:cs="Calibri"/>
              </w:rPr>
            </w:pPr>
            <w:r w:rsidRPr="00D9348B">
              <w:rPr>
                <w:rFonts w:cs="Calibri"/>
                <w:color w:val="000000"/>
              </w:rPr>
              <w:t>L1, T1</w:t>
            </w:r>
          </w:p>
        </w:tc>
      </w:tr>
      <w:tr w:rsidR="00F849A7" w:rsidRPr="00D9348B" w14:paraId="4666EE93" w14:textId="77777777" w:rsidTr="00AE02E6">
        <w:tc>
          <w:tcPr>
            <w:tcW w:w="750" w:type="pct"/>
            <w:shd w:val="clear" w:color="auto" w:fill="FFFFFF"/>
          </w:tcPr>
          <w:p w14:paraId="7386D155" w14:textId="77777777" w:rsidR="00F849A7" w:rsidRPr="00D9348B" w:rsidRDefault="00F849A7" w:rsidP="00DB330E">
            <w:pPr>
              <w:pStyle w:val="TableText"/>
              <w:spacing w:before="50" w:after="50"/>
              <w:rPr>
                <w:rFonts w:cs="Calibri"/>
              </w:rPr>
            </w:pPr>
            <w:r w:rsidRPr="00D9348B">
              <w:rPr>
                <w:rFonts w:cs="Calibri"/>
                <w:color w:val="000000"/>
              </w:rPr>
              <w:t>3.D.2.2</w:t>
            </w:r>
          </w:p>
        </w:tc>
        <w:tc>
          <w:tcPr>
            <w:tcW w:w="3000" w:type="pct"/>
            <w:shd w:val="clear" w:color="auto" w:fill="FFFFFF"/>
          </w:tcPr>
          <w:p w14:paraId="161997CD" w14:textId="77777777" w:rsidR="00F849A7" w:rsidRPr="00D9348B" w:rsidRDefault="00F849A7" w:rsidP="00DB330E">
            <w:pPr>
              <w:pStyle w:val="TableText"/>
              <w:spacing w:before="50" w:after="50"/>
              <w:rPr>
                <w:rFonts w:cs="Calibri"/>
              </w:rPr>
            </w:pPr>
            <w:r w:rsidRPr="00D9348B">
              <w:rPr>
                <w:rFonts w:cs="Calibri"/>
                <w:color w:val="000000"/>
              </w:rPr>
              <w:t>Indirect N</w:t>
            </w:r>
            <w:r w:rsidRPr="00D9348B">
              <w:rPr>
                <w:rFonts w:cs="Calibri"/>
                <w:color w:val="000000"/>
                <w:vertAlign w:val="subscript"/>
              </w:rPr>
              <w:t>2</w:t>
            </w:r>
            <w:r w:rsidRPr="00D9348B">
              <w:rPr>
                <w:rFonts w:cs="Calibri"/>
                <w:color w:val="000000"/>
              </w:rPr>
              <w:t>O Emissions from Managed Soils – Nitrogen Leaching and Runoff</w:t>
            </w:r>
          </w:p>
        </w:tc>
        <w:tc>
          <w:tcPr>
            <w:tcW w:w="501" w:type="pct"/>
            <w:shd w:val="clear" w:color="auto" w:fill="FFFFFF"/>
          </w:tcPr>
          <w:p w14:paraId="6EE158EE" w14:textId="77777777" w:rsidR="00F849A7" w:rsidRPr="00D9348B" w:rsidRDefault="00F849A7" w:rsidP="00DB330E">
            <w:pPr>
              <w:pStyle w:val="TableText"/>
              <w:spacing w:before="50" w:after="50"/>
              <w:jc w:val="center"/>
              <w:rPr>
                <w:rFonts w:cs="Calibri"/>
              </w:rPr>
            </w:pPr>
            <w:r w:rsidRPr="00D9348B">
              <w:rPr>
                <w:rFonts w:cs="Calibri"/>
                <w:color w:val="000000"/>
              </w:rPr>
              <w:t>N</w:t>
            </w:r>
            <w:r w:rsidRPr="00D9348B">
              <w:rPr>
                <w:rFonts w:cs="Calibri"/>
                <w:color w:val="000000"/>
                <w:vertAlign w:val="subscript"/>
              </w:rPr>
              <w:t>2</w:t>
            </w:r>
            <w:r w:rsidRPr="00D9348B">
              <w:rPr>
                <w:rFonts w:cs="Calibri"/>
                <w:color w:val="000000"/>
              </w:rPr>
              <w:t>O</w:t>
            </w:r>
          </w:p>
        </w:tc>
        <w:tc>
          <w:tcPr>
            <w:tcW w:w="749" w:type="pct"/>
            <w:shd w:val="clear" w:color="auto" w:fill="FFFFFF"/>
          </w:tcPr>
          <w:p w14:paraId="561D8AE9" w14:textId="77777777" w:rsidR="00F849A7" w:rsidRPr="00D9348B" w:rsidRDefault="00F849A7" w:rsidP="00DB330E">
            <w:pPr>
              <w:pStyle w:val="TableText"/>
              <w:spacing w:before="50" w:after="50"/>
              <w:rPr>
                <w:rFonts w:cs="Calibri"/>
              </w:rPr>
            </w:pPr>
            <w:r w:rsidRPr="00D9348B">
              <w:rPr>
                <w:rFonts w:cs="Calibri"/>
                <w:color w:val="000000"/>
              </w:rPr>
              <w:t>L1</w:t>
            </w:r>
          </w:p>
        </w:tc>
      </w:tr>
      <w:tr w:rsidR="00F849A7" w:rsidRPr="00D9348B" w14:paraId="3997E976" w14:textId="77777777" w:rsidTr="00AE02E6">
        <w:tc>
          <w:tcPr>
            <w:tcW w:w="750" w:type="pct"/>
            <w:shd w:val="clear" w:color="auto" w:fill="FFFFFF"/>
          </w:tcPr>
          <w:p w14:paraId="75DB66C0" w14:textId="77777777" w:rsidR="00F849A7" w:rsidRPr="00D9348B" w:rsidRDefault="00F849A7" w:rsidP="00DB330E">
            <w:pPr>
              <w:pStyle w:val="TableText"/>
              <w:spacing w:before="50" w:after="50"/>
              <w:rPr>
                <w:rFonts w:cs="Calibri"/>
              </w:rPr>
            </w:pPr>
            <w:r w:rsidRPr="00D9348B">
              <w:rPr>
                <w:rFonts w:cs="Calibri"/>
                <w:color w:val="000000"/>
              </w:rPr>
              <w:t>3.G</w:t>
            </w:r>
          </w:p>
        </w:tc>
        <w:tc>
          <w:tcPr>
            <w:tcW w:w="3000" w:type="pct"/>
            <w:shd w:val="clear" w:color="auto" w:fill="FFFFFF"/>
          </w:tcPr>
          <w:p w14:paraId="7D01BC6C" w14:textId="77777777" w:rsidR="00F849A7" w:rsidRPr="00D9348B" w:rsidRDefault="00F849A7" w:rsidP="00DB330E">
            <w:pPr>
              <w:pStyle w:val="TableText"/>
              <w:spacing w:before="50" w:after="50"/>
              <w:rPr>
                <w:rFonts w:cs="Calibri"/>
              </w:rPr>
            </w:pPr>
            <w:r w:rsidRPr="00D9348B">
              <w:rPr>
                <w:rFonts w:cs="Calibri"/>
                <w:color w:val="000000"/>
              </w:rPr>
              <w:t>Agriculture – Liming</w:t>
            </w:r>
          </w:p>
        </w:tc>
        <w:tc>
          <w:tcPr>
            <w:tcW w:w="501" w:type="pct"/>
            <w:shd w:val="clear" w:color="auto" w:fill="FFFFFF"/>
          </w:tcPr>
          <w:p w14:paraId="46A671FF" w14:textId="77777777" w:rsidR="00F849A7" w:rsidRPr="00D9348B" w:rsidRDefault="00F849A7" w:rsidP="00DB330E">
            <w:pPr>
              <w:pStyle w:val="TableText"/>
              <w:spacing w:before="50" w:after="50"/>
              <w:jc w:val="center"/>
              <w:rPr>
                <w:rFonts w:cs="Calibri"/>
              </w:rPr>
            </w:pPr>
            <w:r w:rsidRPr="00D9348B">
              <w:rPr>
                <w:rFonts w:cs="Calibri"/>
                <w:color w:val="000000"/>
              </w:rPr>
              <w:t>CO</w:t>
            </w:r>
            <w:r w:rsidRPr="00D9348B">
              <w:rPr>
                <w:rFonts w:cs="Calibri"/>
                <w:color w:val="000000"/>
                <w:vertAlign w:val="subscript"/>
              </w:rPr>
              <w:t>2</w:t>
            </w:r>
          </w:p>
        </w:tc>
        <w:tc>
          <w:tcPr>
            <w:tcW w:w="749" w:type="pct"/>
            <w:shd w:val="clear" w:color="auto" w:fill="FFFFFF"/>
          </w:tcPr>
          <w:p w14:paraId="7A7019BA" w14:textId="77777777" w:rsidR="00F849A7" w:rsidRPr="00D9348B" w:rsidRDefault="00F849A7" w:rsidP="00DB330E">
            <w:pPr>
              <w:pStyle w:val="TableText"/>
              <w:spacing w:before="50" w:after="50"/>
              <w:rPr>
                <w:rFonts w:cs="Calibri"/>
              </w:rPr>
            </w:pPr>
            <w:r w:rsidRPr="00D9348B">
              <w:rPr>
                <w:rFonts w:cs="Calibri"/>
                <w:color w:val="000000"/>
              </w:rPr>
              <w:t>L1</w:t>
            </w:r>
          </w:p>
        </w:tc>
      </w:tr>
      <w:tr w:rsidR="00F849A7" w:rsidRPr="00D9348B" w14:paraId="370D8170" w14:textId="77777777" w:rsidTr="00AE02E6">
        <w:tc>
          <w:tcPr>
            <w:tcW w:w="750" w:type="pct"/>
            <w:shd w:val="clear" w:color="auto" w:fill="FFFFFF"/>
          </w:tcPr>
          <w:p w14:paraId="13E41522" w14:textId="77777777" w:rsidR="00F849A7" w:rsidRPr="00D9348B" w:rsidRDefault="00F849A7" w:rsidP="00DB330E">
            <w:pPr>
              <w:pStyle w:val="TableText"/>
              <w:spacing w:before="50" w:after="50"/>
              <w:rPr>
                <w:rFonts w:cs="Calibri"/>
              </w:rPr>
            </w:pPr>
            <w:r w:rsidRPr="00D9348B">
              <w:rPr>
                <w:rFonts w:cs="Calibri"/>
                <w:color w:val="000000"/>
              </w:rPr>
              <w:t>3.H</w:t>
            </w:r>
          </w:p>
        </w:tc>
        <w:tc>
          <w:tcPr>
            <w:tcW w:w="3000" w:type="pct"/>
            <w:shd w:val="clear" w:color="auto" w:fill="FFFFFF"/>
          </w:tcPr>
          <w:p w14:paraId="300B74D9" w14:textId="77777777" w:rsidR="00F849A7" w:rsidRPr="00D9348B" w:rsidRDefault="00F849A7" w:rsidP="00DB330E">
            <w:pPr>
              <w:pStyle w:val="TableText"/>
              <w:spacing w:before="50" w:after="50"/>
              <w:rPr>
                <w:rFonts w:cs="Calibri"/>
              </w:rPr>
            </w:pPr>
            <w:r w:rsidRPr="00D9348B">
              <w:rPr>
                <w:rFonts w:cs="Calibri"/>
                <w:color w:val="000000"/>
              </w:rPr>
              <w:t>Agriculture – Urea Application</w:t>
            </w:r>
          </w:p>
        </w:tc>
        <w:tc>
          <w:tcPr>
            <w:tcW w:w="501" w:type="pct"/>
            <w:shd w:val="clear" w:color="auto" w:fill="FFFFFF"/>
          </w:tcPr>
          <w:p w14:paraId="428E64DA" w14:textId="77777777" w:rsidR="00F849A7" w:rsidRPr="00D9348B" w:rsidRDefault="00F849A7" w:rsidP="00DB330E">
            <w:pPr>
              <w:pStyle w:val="TableText"/>
              <w:spacing w:before="50" w:after="50"/>
              <w:jc w:val="center"/>
              <w:rPr>
                <w:rFonts w:cs="Calibri"/>
              </w:rPr>
            </w:pPr>
            <w:r w:rsidRPr="00D9348B">
              <w:rPr>
                <w:rFonts w:cs="Calibri"/>
                <w:color w:val="000000"/>
              </w:rPr>
              <w:t>CO</w:t>
            </w:r>
            <w:r w:rsidRPr="00D9348B">
              <w:rPr>
                <w:rFonts w:cs="Calibri"/>
                <w:color w:val="000000"/>
                <w:vertAlign w:val="subscript"/>
              </w:rPr>
              <w:t>2</w:t>
            </w:r>
          </w:p>
        </w:tc>
        <w:tc>
          <w:tcPr>
            <w:tcW w:w="749" w:type="pct"/>
            <w:shd w:val="clear" w:color="auto" w:fill="FFFFFF"/>
          </w:tcPr>
          <w:p w14:paraId="6BBFC5A0" w14:textId="77777777" w:rsidR="00F849A7" w:rsidRPr="00D9348B" w:rsidRDefault="00F849A7" w:rsidP="00DB330E">
            <w:pPr>
              <w:pStyle w:val="TableText"/>
              <w:spacing w:before="50" w:after="50"/>
              <w:rPr>
                <w:rFonts w:cs="Calibri"/>
              </w:rPr>
            </w:pPr>
            <w:r w:rsidRPr="00D9348B">
              <w:rPr>
                <w:rFonts w:cs="Calibri"/>
                <w:color w:val="000000"/>
              </w:rPr>
              <w:t>L1, T1</w:t>
            </w:r>
          </w:p>
        </w:tc>
      </w:tr>
    </w:tbl>
    <w:p w14:paraId="1C2B7856" w14:textId="77777777" w:rsidR="00F849A7" w:rsidRPr="00D9348B" w:rsidRDefault="00F849A7" w:rsidP="00F849A7">
      <w:pPr>
        <w:pStyle w:val="Noteundertable"/>
        <w:rPr>
          <w:rFonts w:cs="Calibri"/>
        </w:rPr>
      </w:pPr>
      <w:r w:rsidRPr="00D9348B">
        <w:rPr>
          <w:rFonts w:cs="Calibri"/>
          <w:b/>
          <w:bCs/>
        </w:rPr>
        <w:t>Note</w:t>
      </w:r>
      <w:r w:rsidRPr="00D9348B">
        <w:rPr>
          <w:rFonts w:cs="Calibri"/>
        </w:rPr>
        <w:t xml:space="preserve">: </w:t>
      </w:r>
      <w:r w:rsidRPr="00D9348B">
        <w:rPr>
          <w:rFonts w:cs="Calibri"/>
        </w:rPr>
        <w:tab/>
        <w:t>L1 means a key category is identified under the level analysis – approach 1 and T1 is trend analysis – approach 1. See chapter 1 for more information.</w:t>
      </w:r>
    </w:p>
    <w:p w14:paraId="4AB43C21" w14:textId="77777777" w:rsidR="00F849A7" w:rsidRPr="00D9348B" w:rsidRDefault="00F849A7" w:rsidP="00F849A7">
      <w:pPr>
        <w:pStyle w:val="Heading3"/>
        <w:spacing w:before="240"/>
        <w:rPr>
          <w:rFonts w:cs="Calibri"/>
          <w:b w:val="0"/>
        </w:rPr>
      </w:pPr>
      <w:bookmarkStart w:id="588" w:name="_Toc32570645"/>
      <w:r w:rsidRPr="00D9348B">
        <w:rPr>
          <w:rFonts w:cs="Calibri"/>
        </w:rPr>
        <w:t xml:space="preserve">5.1.3 </w:t>
      </w:r>
      <w:r w:rsidRPr="00D9348B">
        <w:rPr>
          <w:rFonts w:cs="Calibri"/>
        </w:rPr>
        <w:tab/>
        <w:t>Methodological issues for the Agriculture sector</w:t>
      </w:r>
      <w:bookmarkEnd w:id="588"/>
      <w:r w:rsidRPr="00D9348B">
        <w:rPr>
          <w:rFonts w:cs="Calibri"/>
        </w:rPr>
        <w:t xml:space="preserve"> </w:t>
      </w:r>
    </w:p>
    <w:p w14:paraId="7F73A35D" w14:textId="77777777" w:rsidR="00F849A7" w:rsidRPr="00D9348B" w:rsidRDefault="00F849A7" w:rsidP="00F849A7">
      <w:pPr>
        <w:pStyle w:val="BodyText"/>
        <w:rPr>
          <w:rFonts w:cs="Calibri"/>
        </w:rPr>
      </w:pPr>
      <w:r w:rsidRPr="00D9348B">
        <w:rPr>
          <w:rFonts w:cs="Calibri"/>
        </w:rPr>
        <w:t>The Agriculture</w:t>
      </w:r>
      <w:r w:rsidRPr="00D9348B">
        <w:rPr>
          <w:rFonts w:cs="Calibri"/>
          <w:i/>
          <w:iCs/>
        </w:rPr>
        <w:t xml:space="preserve"> </w:t>
      </w:r>
      <w:r w:rsidRPr="00D9348B">
        <w:rPr>
          <w:rFonts w:cs="Calibri"/>
        </w:rPr>
        <w:t>sector includes emissions of CH</w:t>
      </w:r>
      <w:r w:rsidRPr="00D9348B">
        <w:rPr>
          <w:rFonts w:cs="Calibri"/>
          <w:vertAlign w:val="subscript"/>
        </w:rPr>
        <w:t>4</w:t>
      </w:r>
      <w:r w:rsidRPr="00D9348B">
        <w:rPr>
          <w:rFonts w:cs="Calibri"/>
        </w:rPr>
        <w:t xml:space="preserve"> and N</w:t>
      </w:r>
      <w:r w:rsidRPr="00D9348B">
        <w:rPr>
          <w:rFonts w:cs="Calibri"/>
          <w:vertAlign w:val="subscript"/>
        </w:rPr>
        <w:t>2</w:t>
      </w:r>
      <w:r w:rsidRPr="00D9348B">
        <w:rPr>
          <w:rFonts w:cs="Calibri"/>
        </w:rPr>
        <w:t xml:space="preserve">O from livestock industries (estimated in </w:t>
      </w:r>
      <w:proofErr w:type="gramStart"/>
      <w:r w:rsidRPr="00D9348B">
        <w:rPr>
          <w:rFonts w:cs="Calibri"/>
          <w:i/>
          <w:iCs/>
        </w:rPr>
        <w:t>Enteric</w:t>
      </w:r>
      <w:proofErr w:type="gramEnd"/>
      <w:r w:rsidRPr="00D9348B">
        <w:rPr>
          <w:rFonts w:cs="Calibri"/>
          <w:i/>
          <w:iCs/>
        </w:rPr>
        <w:t xml:space="preserve"> fermentation</w:t>
      </w:r>
      <w:r w:rsidRPr="00D9348B">
        <w:rPr>
          <w:rFonts w:cs="Calibri"/>
        </w:rPr>
        <w:t xml:space="preserve"> and </w:t>
      </w:r>
      <w:r w:rsidRPr="00D9348B">
        <w:rPr>
          <w:rFonts w:cs="Calibri"/>
          <w:i/>
          <w:iCs/>
        </w:rPr>
        <w:t>Manure management</w:t>
      </w:r>
      <w:r w:rsidRPr="00D9348B">
        <w:rPr>
          <w:rFonts w:cs="Calibri"/>
        </w:rPr>
        <w:t>).</w:t>
      </w:r>
      <w:r w:rsidRPr="00D9348B">
        <w:rPr>
          <w:rFonts w:cs="Calibri"/>
          <w:i/>
          <w:iCs/>
        </w:rPr>
        <w:t xml:space="preserve"> </w:t>
      </w:r>
      <w:r w:rsidRPr="00D9348B">
        <w:rPr>
          <w:rFonts w:cs="Calibri"/>
        </w:rPr>
        <w:t xml:space="preserve">In New Zealand, the predominant species (in terms of population) are sheep, followed by dairy cattle, non-dairy cattle and deer. New Zealand breeds are selected to operate under outdoor pastoral farming systems. </w:t>
      </w:r>
    </w:p>
    <w:p w14:paraId="124F1DC6" w14:textId="77777777" w:rsidR="00F849A7" w:rsidRPr="00D9348B" w:rsidRDefault="00F849A7" w:rsidP="00F849A7">
      <w:pPr>
        <w:pStyle w:val="BodyText"/>
        <w:rPr>
          <w:rFonts w:cs="Calibri"/>
          <w:i/>
          <w:iCs/>
        </w:rPr>
      </w:pPr>
      <w:r w:rsidRPr="00D9348B">
        <w:rPr>
          <w:rFonts w:cs="Calibri"/>
        </w:rPr>
        <w:t>Other agricultural emission sources include N</w:t>
      </w:r>
      <w:r w:rsidRPr="00D9348B">
        <w:rPr>
          <w:rFonts w:cs="Calibri"/>
          <w:vertAlign w:val="subscript"/>
        </w:rPr>
        <w:t>2</w:t>
      </w:r>
      <w:r w:rsidRPr="00D9348B">
        <w:rPr>
          <w:rFonts w:cs="Calibri"/>
        </w:rPr>
        <w:t xml:space="preserve">O from </w:t>
      </w:r>
      <w:r w:rsidRPr="00D9348B">
        <w:rPr>
          <w:rFonts w:cs="Calibri"/>
          <w:i/>
          <w:iCs/>
        </w:rPr>
        <w:t>Agricultural soils</w:t>
      </w:r>
      <w:r w:rsidRPr="00D9348B">
        <w:rPr>
          <w:rFonts w:cs="Calibri"/>
        </w:rPr>
        <w:t>, CH</w:t>
      </w:r>
      <w:r w:rsidRPr="00D9348B">
        <w:rPr>
          <w:rFonts w:cs="Calibri"/>
          <w:vertAlign w:val="subscript"/>
        </w:rPr>
        <w:t>4</w:t>
      </w:r>
      <w:r w:rsidRPr="00D9348B">
        <w:rPr>
          <w:rFonts w:cs="Calibri"/>
        </w:rPr>
        <w:t xml:space="preserve"> and N</w:t>
      </w:r>
      <w:r w:rsidRPr="00D9348B">
        <w:rPr>
          <w:rFonts w:cs="Calibri"/>
          <w:vertAlign w:val="subscript"/>
        </w:rPr>
        <w:t>2</w:t>
      </w:r>
      <w:r w:rsidRPr="00D9348B">
        <w:rPr>
          <w:rFonts w:cs="Calibri"/>
        </w:rPr>
        <w:t xml:space="preserve">O from </w:t>
      </w:r>
      <w:r w:rsidRPr="00D9348B">
        <w:rPr>
          <w:rFonts w:cs="Calibri"/>
          <w:i/>
          <w:iCs/>
        </w:rPr>
        <w:t>Field burning of agricultural residues</w:t>
      </w:r>
      <w:r w:rsidRPr="00D9348B">
        <w:rPr>
          <w:rFonts w:cs="Calibri"/>
        </w:rPr>
        <w:t xml:space="preserve"> and CO</w:t>
      </w:r>
      <w:r w:rsidRPr="00D9348B">
        <w:rPr>
          <w:rFonts w:cs="Calibri"/>
          <w:vertAlign w:val="subscript"/>
        </w:rPr>
        <w:t>2</w:t>
      </w:r>
      <w:r w:rsidRPr="00D9348B">
        <w:rPr>
          <w:rFonts w:cs="Calibri"/>
        </w:rPr>
        <w:t xml:space="preserve"> from </w:t>
      </w:r>
      <w:r w:rsidRPr="00D9348B">
        <w:rPr>
          <w:rFonts w:cs="Calibri"/>
          <w:i/>
          <w:iCs/>
        </w:rPr>
        <w:t>Liming</w:t>
      </w:r>
      <w:r w:rsidRPr="00D9348B">
        <w:rPr>
          <w:rFonts w:cs="Calibri"/>
        </w:rPr>
        <w:t xml:space="preserve"> and </w:t>
      </w:r>
      <w:r w:rsidRPr="00D9348B">
        <w:rPr>
          <w:rFonts w:cs="Calibri"/>
          <w:i/>
          <w:iCs/>
        </w:rPr>
        <w:t>Urea application.</w:t>
      </w:r>
    </w:p>
    <w:p w14:paraId="0035F97E" w14:textId="77777777" w:rsidR="00F849A7" w:rsidRPr="00D9348B" w:rsidRDefault="00F849A7" w:rsidP="00F849A7">
      <w:pPr>
        <w:pStyle w:val="BodyText"/>
        <w:rPr>
          <w:rFonts w:cs="Calibri"/>
        </w:rPr>
      </w:pPr>
      <w:r w:rsidRPr="00D9348B">
        <w:rPr>
          <w:rFonts w:cs="Calibri"/>
        </w:rPr>
        <w:t xml:space="preserve">New Zealand uses a range of models and tiers appropriate to the size of the different emission categories. For example, 91.2 per cent of New Zealand’s livestock emissions come from </w:t>
      </w:r>
      <w:r w:rsidRPr="00D9348B">
        <w:rPr>
          <w:rFonts w:cs="Calibri"/>
          <w:i/>
          <w:iCs/>
        </w:rPr>
        <w:t>Dairy cattle</w:t>
      </w:r>
      <w:r w:rsidRPr="00D9348B">
        <w:rPr>
          <w:rFonts w:cs="Calibri"/>
        </w:rPr>
        <w:t xml:space="preserve">, </w:t>
      </w:r>
      <w:r w:rsidRPr="00D9348B">
        <w:rPr>
          <w:rFonts w:cs="Calibri"/>
          <w:i/>
          <w:iCs/>
        </w:rPr>
        <w:t>Non-dairy cattle</w:t>
      </w:r>
      <w:r w:rsidRPr="00D9348B">
        <w:rPr>
          <w:rFonts w:cs="Calibri"/>
        </w:rPr>
        <w:t>,</w:t>
      </w:r>
      <w:r w:rsidRPr="00D9348B">
        <w:rPr>
          <w:rFonts w:cs="Calibri"/>
          <w:i/>
          <w:iCs/>
        </w:rPr>
        <w:t xml:space="preserve"> Deer</w:t>
      </w:r>
      <w:r w:rsidRPr="00D9348B">
        <w:rPr>
          <w:rFonts w:cs="Calibri"/>
        </w:rPr>
        <w:t xml:space="preserve"> and </w:t>
      </w:r>
      <w:r w:rsidRPr="00D9348B">
        <w:rPr>
          <w:rFonts w:cs="Calibri"/>
          <w:i/>
          <w:iCs/>
        </w:rPr>
        <w:t>Sheep</w:t>
      </w:r>
      <w:r w:rsidRPr="00D9348B">
        <w:rPr>
          <w:rFonts w:cs="Calibri"/>
        </w:rPr>
        <w:t xml:space="preserve"> (‘major’ livestock categories). Emissions from major livestock categories are estimated using Tier 2 methodologies. Other livestock species, including </w:t>
      </w:r>
      <w:r w:rsidRPr="00D9348B">
        <w:rPr>
          <w:rFonts w:cs="Calibri"/>
          <w:i/>
          <w:iCs/>
        </w:rPr>
        <w:t>Swine</w:t>
      </w:r>
      <w:r w:rsidRPr="00D9348B">
        <w:rPr>
          <w:rFonts w:cs="Calibri"/>
        </w:rPr>
        <w:t>,</w:t>
      </w:r>
      <w:r w:rsidRPr="00D9348B">
        <w:rPr>
          <w:rFonts w:cs="Calibri"/>
          <w:i/>
          <w:iCs/>
        </w:rPr>
        <w:t xml:space="preserve"> Goats</w:t>
      </w:r>
      <w:r w:rsidRPr="00D9348B">
        <w:rPr>
          <w:rFonts w:cs="Calibri"/>
        </w:rPr>
        <w:t>,</w:t>
      </w:r>
      <w:r w:rsidRPr="00D9348B">
        <w:rPr>
          <w:rFonts w:cs="Calibri"/>
          <w:i/>
          <w:iCs/>
        </w:rPr>
        <w:t xml:space="preserve"> Horses</w:t>
      </w:r>
      <w:r w:rsidRPr="00D9348B">
        <w:rPr>
          <w:rFonts w:cs="Calibri"/>
        </w:rPr>
        <w:t>,</w:t>
      </w:r>
      <w:r w:rsidRPr="00D9348B">
        <w:rPr>
          <w:rFonts w:cs="Calibri"/>
          <w:i/>
          <w:iCs/>
        </w:rPr>
        <w:t xml:space="preserve"> </w:t>
      </w:r>
      <w:r w:rsidRPr="00D9348B">
        <w:rPr>
          <w:rFonts w:cs="Calibri"/>
          <w:i/>
        </w:rPr>
        <w:t>Llamas</w:t>
      </w:r>
      <w:r w:rsidRPr="00D9348B">
        <w:rPr>
          <w:rFonts w:cs="Calibri"/>
          <w:i/>
          <w:iCs/>
        </w:rPr>
        <w:t xml:space="preserve"> and alpacas</w:t>
      </w:r>
      <w:r w:rsidRPr="00D9348B">
        <w:rPr>
          <w:rFonts w:cs="Calibri"/>
        </w:rPr>
        <w:t>,</w:t>
      </w:r>
      <w:r w:rsidRPr="00D9348B">
        <w:rPr>
          <w:rFonts w:cs="Calibri"/>
          <w:i/>
          <w:iCs/>
        </w:rPr>
        <w:t xml:space="preserve"> Mules and asses</w:t>
      </w:r>
      <w:r w:rsidRPr="00D9348B">
        <w:rPr>
          <w:rFonts w:cs="Calibri"/>
        </w:rPr>
        <w:t xml:space="preserve"> and </w:t>
      </w:r>
      <w:r w:rsidRPr="00D9348B">
        <w:rPr>
          <w:rFonts w:cs="Calibri"/>
          <w:i/>
          <w:iCs/>
        </w:rPr>
        <w:t xml:space="preserve">Poultry </w:t>
      </w:r>
      <w:r w:rsidRPr="00D9348B">
        <w:rPr>
          <w:rFonts w:cs="Calibri"/>
        </w:rPr>
        <w:t>(‘minor’ livestock categories) account for only 0.5 per cent of agriculture emissions, and are estimated using Tier 1 methodologies.</w:t>
      </w:r>
    </w:p>
    <w:p w14:paraId="31B111F8" w14:textId="77777777" w:rsidR="00F849A7" w:rsidRPr="00D9348B" w:rsidRDefault="00F849A7" w:rsidP="00224522">
      <w:pPr>
        <w:pStyle w:val="BodyText"/>
        <w:keepNext/>
        <w:rPr>
          <w:rFonts w:cs="Calibri"/>
        </w:rPr>
      </w:pPr>
      <w:r w:rsidRPr="00D9348B">
        <w:rPr>
          <w:rFonts w:cs="Calibri"/>
        </w:rPr>
        <w:lastRenderedPageBreak/>
        <w:t>Table 5.1.3 summarises methods and emission factors for agriculture categories.</w:t>
      </w:r>
    </w:p>
    <w:p w14:paraId="710B1D9A" w14:textId="77777777" w:rsidR="00F849A7" w:rsidRPr="00D9348B" w:rsidRDefault="00F849A7" w:rsidP="00F849A7">
      <w:pPr>
        <w:pStyle w:val="Table"/>
        <w:rPr>
          <w:rFonts w:cs="Calibri"/>
        </w:rPr>
      </w:pPr>
      <w:bookmarkStart w:id="589" w:name="_Toc32570911"/>
      <w:bookmarkStart w:id="590" w:name="_Toc36224546"/>
      <w:r w:rsidRPr="00D9348B">
        <w:rPr>
          <w:rFonts w:cs="Calibri"/>
        </w:rPr>
        <w:t xml:space="preserve">Table 5.1.3 </w:t>
      </w:r>
      <w:r w:rsidRPr="00D9348B">
        <w:rPr>
          <w:rFonts w:cs="Calibri"/>
        </w:rPr>
        <w:tab/>
        <w:t>Methods and emission factors in the Agriculture sector</w:t>
      </w:r>
      <w:bookmarkEnd w:id="589"/>
      <w:bookmarkEnd w:id="590"/>
    </w:p>
    <w:tbl>
      <w:tblPr>
        <w:tblW w:w="8514" w:type="dxa"/>
        <w:tblInd w:w="108" w:type="dxa"/>
        <w:tblLayout w:type="fixed"/>
        <w:tblLook w:val="04A0" w:firstRow="1" w:lastRow="0" w:firstColumn="1" w:lastColumn="0" w:noHBand="0" w:noVBand="1"/>
      </w:tblPr>
      <w:tblGrid>
        <w:gridCol w:w="287"/>
        <w:gridCol w:w="2832"/>
        <w:gridCol w:w="850"/>
        <w:gridCol w:w="851"/>
        <w:gridCol w:w="867"/>
        <w:gridCol w:w="942"/>
        <w:gridCol w:w="942"/>
        <w:gridCol w:w="943"/>
      </w:tblGrid>
      <w:tr w:rsidR="00F849A7" w:rsidRPr="00D9348B" w14:paraId="2FABDF41" w14:textId="77777777" w:rsidTr="00A628DC">
        <w:trPr>
          <w:trHeight w:val="159"/>
        </w:trPr>
        <w:tc>
          <w:tcPr>
            <w:tcW w:w="3119" w:type="dxa"/>
            <w:gridSpan w:val="2"/>
            <w:vMerge w:val="restart"/>
            <w:tcBorders>
              <w:top w:val="single" w:sz="4" w:space="0" w:color="365F91"/>
              <w:left w:val="nil"/>
              <w:right w:val="nil"/>
            </w:tcBorders>
            <w:shd w:val="clear" w:color="auto" w:fill="365F91"/>
            <w:vAlign w:val="bottom"/>
            <w:hideMark/>
          </w:tcPr>
          <w:p w14:paraId="527B823F" w14:textId="77777777" w:rsidR="00F849A7" w:rsidRPr="00D9348B" w:rsidRDefault="00F849A7" w:rsidP="00DB330E">
            <w:pPr>
              <w:pStyle w:val="TableTextBold"/>
              <w:keepNext/>
              <w:rPr>
                <w:rFonts w:cs="Calibri"/>
                <w:noProof w:val="0"/>
                <w:color w:val="FFFFFF"/>
                <w:szCs w:val="16"/>
              </w:rPr>
            </w:pPr>
            <w:r w:rsidRPr="00D9348B">
              <w:rPr>
                <w:rFonts w:cs="Calibri"/>
                <w:noProof w:val="0"/>
                <w:color w:val="FFFFFF"/>
                <w:szCs w:val="16"/>
              </w:rPr>
              <w:t>Source category</w:t>
            </w:r>
          </w:p>
        </w:tc>
        <w:tc>
          <w:tcPr>
            <w:tcW w:w="1701" w:type="dxa"/>
            <w:gridSpan w:val="2"/>
            <w:tcBorders>
              <w:top w:val="single" w:sz="4" w:space="0" w:color="365F91"/>
              <w:left w:val="nil"/>
              <w:bottom w:val="single" w:sz="8" w:space="0" w:color="365F91"/>
              <w:right w:val="nil"/>
            </w:tcBorders>
            <w:shd w:val="clear" w:color="auto" w:fill="365F91"/>
            <w:vAlign w:val="center"/>
            <w:hideMark/>
          </w:tcPr>
          <w:p w14:paraId="67409AE7" w14:textId="77777777" w:rsidR="00F849A7" w:rsidRPr="00D9348B" w:rsidRDefault="00F849A7" w:rsidP="00A628DC">
            <w:pPr>
              <w:pStyle w:val="TableTextBold"/>
              <w:keepNext/>
              <w:spacing w:after="0"/>
              <w:jc w:val="center"/>
              <w:rPr>
                <w:rFonts w:cs="Calibri"/>
                <w:noProof w:val="0"/>
                <w:color w:val="FFFFFF"/>
                <w:szCs w:val="16"/>
              </w:rPr>
            </w:pPr>
            <w:r w:rsidRPr="00D9348B">
              <w:rPr>
                <w:rFonts w:cs="Calibri"/>
                <w:noProof w:val="0"/>
                <w:color w:val="FFFFFF"/>
                <w:szCs w:val="16"/>
              </w:rPr>
              <w:t>CH</w:t>
            </w:r>
            <w:r w:rsidRPr="00D9348B">
              <w:rPr>
                <w:rFonts w:cs="Calibri"/>
                <w:noProof w:val="0"/>
                <w:color w:val="FFFFFF"/>
                <w:szCs w:val="16"/>
                <w:vertAlign w:val="subscript"/>
              </w:rPr>
              <w:t>4</w:t>
            </w:r>
          </w:p>
        </w:tc>
        <w:tc>
          <w:tcPr>
            <w:tcW w:w="1809" w:type="dxa"/>
            <w:gridSpan w:val="2"/>
            <w:tcBorders>
              <w:top w:val="single" w:sz="4" w:space="0" w:color="365F91"/>
              <w:left w:val="nil"/>
              <w:bottom w:val="single" w:sz="8" w:space="0" w:color="365F91"/>
              <w:right w:val="nil"/>
            </w:tcBorders>
            <w:shd w:val="clear" w:color="auto" w:fill="365F91"/>
            <w:vAlign w:val="center"/>
            <w:hideMark/>
          </w:tcPr>
          <w:p w14:paraId="34837EF6" w14:textId="77777777" w:rsidR="00F849A7" w:rsidRPr="00D9348B" w:rsidRDefault="00F849A7" w:rsidP="00A628DC">
            <w:pPr>
              <w:pStyle w:val="TableTextBold"/>
              <w:keepNext/>
              <w:spacing w:after="0"/>
              <w:jc w:val="center"/>
              <w:rPr>
                <w:rFonts w:cs="Calibri"/>
                <w:noProof w:val="0"/>
                <w:color w:val="FFFFFF"/>
                <w:szCs w:val="16"/>
              </w:rPr>
            </w:pPr>
            <w:r w:rsidRPr="00D9348B">
              <w:rPr>
                <w:rFonts w:cs="Calibri"/>
                <w:noProof w:val="0"/>
                <w:color w:val="FFFFFF"/>
                <w:szCs w:val="16"/>
              </w:rPr>
              <w:t>N</w:t>
            </w:r>
            <w:r w:rsidRPr="00D9348B">
              <w:rPr>
                <w:rFonts w:cs="Calibri"/>
                <w:noProof w:val="0"/>
                <w:color w:val="FFFFFF"/>
                <w:szCs w:val="16"/>
                <w:vertAlign w:val="subscript"/>
              </w:rPr>
              <w:t>2</w:t>
            </w:r>
            <w:r w:rsidRPr="00D9348B">
              <w:rPr>
                <w:rFonts w:cs="Calibri"/>
                <w:noProof w:val="0"/>
                <w:color w:val="FFFFFF"/>
                <w:szCs w:val="16"/>
              </w:rPr>
              <w:t>O</w:t>
            </w:r>
          </w:p>
        </w:tc>
        <w:tc>
          <w:tcPr>
            <w:tcW w:w="1885" w:type="dxa"/>
            <w:gridSpan w:val="2"/>
            <w:tcBorders>
              <w:top w:val="single" w:sz="4" w:space="0" w:color="365F91"/>
              <w:left w:val="nil"/>
              <w:bottom w:val="single" w:sz="8" w:space="0" w:color="365F91"/>
              <w:right w:val="nil"/>
            </w:tcBorders>
            <w:shd w:val="clear" w:color="auto" w:fill="365F91"/>
            <w:vAlign w:val="center"/>
            <w:hideMark/>
          </w:tcPr>
          <w:p w14:paraId="33AA848D" w14:textId="77777777" w:rsidR="00F849A7" w:rsidRPr="00D9348B" w:rsidRDefault="00F849A7" w:rsidP="00A628DC">
            <w:pPr>
              <w:pStyle w:val="TableTextBold"/>
              <w:keepNext/>
              <w:spacing w:after="0"/>
              <w:jc w:val="center"/>
              <w:rPr>
                <w:rFonts w:cs="Calibri"/>
                <w:noProof w:val="0"/>
                <w:color w:val="FFFFFF"/>
                <w:szCs w:val="16"/>
              </w:rPr>
            </w:pPr>
            <w:r w:rsidRPr="00D9348B">
              <w:rPr>
                <w:rFonts w:cs="Calibri"/>
                <w:noProof w:val="0"/>
                <w:color w:val="FFFFFF"/>
                <w:szCs w:val="16"/>
              </w:rPr>
              <w:t>CO</w:t>
            </w:r>
            <w:r w:rsidRPr="00D9348B">
              <w:rPr>
                <w:rFonts w:cs="Calibri"/>
                <w:noProof w:val="0"/>
                <w:color w:val="FFFFFF"/>
                <w:szCs w:val="16"/>
                <w:vertAlign w:val="subscript"/>
              </w:rPr>
              <w:t>2</w:t>
            </w:r>
          </w:p>
        </w:tc>
      </w:tr>
      <w:tr w:rsidR="00F849A7" w:rsidRPr="00D9348B" w14:paraId="0A4DA1B7" w14:textId="77777777" w:rsidTr="00A628DC">
        <w:trPr>
          <w:trHeight w:val="237"/>
        </w:trPr>
        <w:tc>
          <w:tcPr>
            <w:tcW w:w="3119" w:type="dxa"/>
            <w:gridSpan w:val="2"/>
            <w:vMerge/>
            <w:tcBorders>
              <w:left w:val="nil"/>
              <w:bottom w:val="single" w:sz="8" w:space="0" w:color="365F91"/>
              <w:right w:val="nil"/>
            </w:tcBorders>
            <w:shd w:val="clear" w:color="000000" w:fill="365F91"/>
            <w:vAlign w:val="center"/>
            <w:hideMark/>
          </w:tcPr>
          <w:p w14:paraId="6FA085C5" w14:textId="77777777" w:rsidR="00F849A7" w:rsidRPr="00D9348B" w:rsidRDefault="00F849A7" w:rsidP="00DB330E">
            <w:pPr>
              <w:pStyle w:val="TableTextBold"/>
              <w:keepNext/>
              <w:jc w:val="center"/>
              <w:rPr>
                <w:rFonts w:cs="Calibri"/>
                <w:noProof w:val="0"/>
                <w:color w:val="FFFFFF"/>
                <w:szCs w:val="16"/>
              </w:rPr>
            </w:pPr>
          </w:p>
        </w:tc>
        <w:tc>
          <w:tcPr>
            <w:tcW w:w="850" w:type="dxa"/>
            <w:tcBorders>
              <w:top w:val="nil"/>
              <w:left w:val="nil"/>
              <w:bottom w:val="single" w:sz="8" w:space="0" w:color="365F91"/>
              <w:right w:val="nil"/>
            </w:tcBorders>
            <w:shd w:val="clear" w:color="auto" w:fill="365F91"/>
            <w:vAlign w:val="center"/>
            <w:hideMark/>
          </w:tcPr>
          <w:p w14:paraId="7C38C981" w14:textId="77777777" w:rsidR="00F849A7" w:rsidRPr="00D9348B" w:rsidRDefault="00F849A7" w:rsidP="00A628DC">
            <w:pPr>
              <w:pStyle w:val="TableTextBold"/>
              <w:keepNext/>
              <w:spacing w:before="40"/>
              <w:jc w:val="center"/>
              <w:rPr>
                <w:rFonts w:cs="Calibri"/>
                <w:noProof w:val="0"/>
                <w:color w:val="FFFFFF"/>
                <w:szCs w:val="16"/>
              </w:rPr>
            </w:pPr>
            <w:r w:rsidRPr="00D9348B">
              <w:rPr>
                <w:rFonts w:cs="Calibri"/>
                <w:noProof w:val="0"/>
                <w:color w:val="FFFFFF"/>
                <w:szCs w:val="16"/>
              </w:rPr>
              <w:t>Method applied</w:t>
            </w:r>
          </w:p>
        </w:tc>
        <w:tc>
          <w:tcPr>
            <w:tcW w:w="851" w:type="dxa"/>
            <w:tcBorders>
              <w:top w:val="nil"/>
              <w:left w:val="nil"/>
              <w:bottom w:val="single" w:sz="8" w:space="0" w:color="365F91"/>
              <w:right w:val="nil"/>
            </w:tcBorders>
            <w:shd w:val="clear" w:color="auto" w:fill="365F91"/>
            <w:vAlign w:val="center"/>
            <w:hideMark/>
          </w:tcPr>
          <w:p w14:paraId="29974C48" w14:textId="77777777" w:rsidR="00F849A7" w:rsidRPr="00D9348B" w:rsidRDefault="00F849A7" w:rsidP="00A628DC">
            <w:pPr>
              <w:pStyle w:val="TableTextBold"/>
              <w:keepNext/>
              <w:spacing w:before="40"/>
              <w:jc w:val="center"/>
              <w:rPr>
                <w:rFonts w:cs="Calibri"/>
                <w:noProof w:val="0"/>
                <w:color w:val="FFFFFF"/>
                <w:szCs w:val="16"/>
              </w:rPr>
            </w:pPr>
            <w:r w:rsidRPr="00D9348B">
              <w:rPr>
                <w:rFonts w:cs="Calibri"/>
                <w:noProof w:val="0"/>
                <w:color w:val="FFFFFF"/>
                <w:szCs w:val="16"/>
              </w:rPr>
              <w:t>Emission factor</w:t>
            </w:r>
          </w:p>
        </w:tc>
        <w:tc>
          <w:tcPr>
            <w:tcW w:w="867" w:type="dxa"/>
            <w:tcBorders>
              <w:top w:val="nil"/>
              <w:left w:val="nil"/>
              <w:bottom w:val="single" w:sz="8" w:space="0" w:color="365F91"/>
              <w:right w:val="nil"/>
            </w:tcBorders>
            <w:shd w:val="clear" w:color="auto" w:fill="365F91"/>
            <w:vAlign w:val="center"/>
            <w:hideMark/>
          </w:tcPr>
          <w:p w14:paraId="2C5627B8" w14:textId="77777777" w:rsidR="00F849A7" w:rsidRPr="00D9348B" w:rsidRDefault="00F849A7" w:rsidP="00A628DC">
            <w:pPr>
              <w:pStyle w:val="TableTextBold"/>
              <w:keepNext/>
              <w:spacing w:before="40"/>
              <w:jc w:val="center"/>
              <w:rPr>
                <w:rFonts w:cs="Calibri"/>
                <w:noProof w:val="0"/>
                <w:color w:val="FFFFFF"/>
                <w:szCs w:val="16"/>
              </w:rPr>
            </w:pPr>
            <w:r w:rsidRPr="00D9348B">
              <w:rPr>
                <w:rFonts w:cs="Calibri"/>
                <w:noProof w:val="0"/>
                <w:color w:val="FFFFFF"/>
                <w:szCs w:val="16"/>
              </w:rPr>
              <w:t>Method applied</w:t>
            </w:r>
          </w:p>
        </w:tc>
        <w:tc>
          <w:tcPr>
            <w:tcW w:w="942" w:type="dxa"/>
            <w:tcBorders>
              <w:top w:val="nil"/>
              <w:left w:val="nil"/>
              <w:bottom w:val="single" w:sz="8" w:space="0" w:color="365F91"/>
              <w:right w:val="nil"/>
            </w:tcBorders>
            <w:shd w:val="clear" w:color="auto" w:fill="365F91"/>
            <w:vAlign w:val="center"/>
            <w:hideMark/>
          </w:tcPr>
          <w:p w14:paraId="003E9537" w14:textId="77777777" w:rsidR="00F849A7" w:rsidRPr="00D9348B" w:rsidRDefault="00F849A7" w:rsidP="00A628DC">
            <w:pPr>
              <w:pStyle w:val="TableTextBold"/>
              <w:keepNext/>
              <w:spacing w:before="40"/>
              <w:jc w:val="center"/>
              <w:rPr>
                <w:rFonts w:cs="Calibri"/>
                <w:noProof w:val="0"/>
                <w:color w:val="FFFFFF"/>
                <w:szCs w:val="16"/>
              </w:rPr>
            </w:pPr>
            <w:r w:rsidRPr="00D9348B">
              <w:rPr>
                <w:rFonts w:cs="Calibri"/>
                <w:noProof w:val="0"/>
                <w:color w:val="FFFFFF"/>
                <w:szCs w:val="16"/>
              </w:rPr>
              <w:t>Emission factor</w:t>
            </w:r>
          </w:p>
        </w:tc>
        <w:tc>
          <w:tcPr>
            <w:tcW w:w="942" w:type="dxa"/>
            <w:tcBorders>
              <w:top w:val="nil"/>
              <w:left w:val="nil"/>
              <w:bottom w:val="single" w:sz="8" w:space="0" w:color="365F91"/>
              <w:right w:val="nil"/>
            </w:tcBorders>
            <w:shd w:val="clear" w:color="auto" w:fill="365F91"/>
            <w:vAlign w:val="center"/>
            <w:hideMark/>
          </w:tcPr>
          <w:p w14:paraId="7BEF0A83" w14:textId="77777777" w:rsidR="00F849A7" w:rsidRPr="00D9348B" w:rsidRDefault="00F849A7" w:rsidP="00A628DC">
            <w:pPr>
              <w:pStyle w:val="TableTextBold"/>
              <w:keepNext/>
              <w:spacing w:before="40"/>
              <w:jc w:val="center"/>
              <w:rPr>
                <w:rFonts w:cs="Calibri"/>
                <w:noProof w:val="0"/>
                <w:color w:val="FFFFFF"/>
                <w:szCs w:val="16"/>
              </w:rPr>
            </w:pPr>
            <w:r w:rsidRPr="00D9348B">
              <w:rPr>
                <w:rFonts w:cs="Calibri"/>
                <w:noProof w:val="0"/>
                <w:color w:val="FFFFFF"/>
                <w:szCs w:val="16"/>
              </w:rPr>
              <w:t>Method applied</w:t>
            </w:r>
          </w:p>
        </w:tc>
        <w:tc>
          <w:tcPr>
            <w:tcW w:w="943" w:type="dxa"/>
            <w:tcBorders>
              <w:top w:val="nil"/>
              <w:left w:val="nil"/>
              <w:bottom w:val="single" w:sz="8" w:space="0" w:color="365F91"/>
              <w:right w:val="nil"/>
            </w:tcBorders>
            <w:shd w:val="clear" w:color="auto" w:fill="365F91"/>
            <w:vAlign w:val="center"/>
            <w:hideMark/>
          </w:tcPr>
          <w:p w14:paraId="1C7331E3" w14:textId="77777777" w:rsidR="00F849A7" w:rsidRPr="00D9348B" w:rsidRDefault="00F849A7" w:rsidP="00A628DC">
            <w:pPr>
              <w:pStyle w:val="TableTextBold"/>
              <w:keepNext/>
              <w:spacing w:before="40"/>
              <w:jc w:val="center"/>
              <w:rPr>
                <w:rFonts w:cs="Calibri"/>
                <w:noProof w:val="0"/>
                <w:color w:val="FFFFFF"/>
                <w:szCs w:val="16"/>
              </w:rPr>
            </w:pPr>
            <w:r w:rsidRPr="00D9348B">
              <w:rPr>
                <w:rFonts w:cs="Calibri"/>
                <w:noProof w:val="0"/>
                <w:color w:val="FFFFFF"/>
                <w:szCs w:val="16"/>
              </w:rPr>
              <w:t>Emission factor</w:t>
            </w:r>
          </w:p>
        </w:tc>
      </w:tr>
      <w:tr w:rsidR="00F849A7" w:rsidRPr="00D9348B" w14:paraId="08FB76CE" w14:textId="77777777" w:rsidTr="00A628DC">
        <w:trPr>
          <w:trHeight w:val="204"/>
        </w:trPr>
        <w:tc>
          <w:tcPr>
            <w:tcW w:w="287" w:type="dxa"/>
            <w:tcBorders>
              <w:top w:val="nil"/>
              <w:left w:val="nil"/>
              <w:bottom w:val="single" w:sz="4" w:space="0" w:color="365F91"/>
              <w:right w:val="nil"/>
            </w:tcBorders>
            <w:shd w:val="clear" w:color="auto" w:fill="auto"/>
            <w:noWrap/>
            <w:vAlign w:val="center"/>
            <w:hideMark/>
          </w:tcPr>
          <w:p w14:paraId="5F41B18F" w14:textId="77777777" w:rsidR="00F849A7" w:rsidRPr="00D9348B" w:rsidRDefault="00F849A7" w:rsidP="00E3344E">
            <w:pPr>
              <w:pStyle w:val="TableTextBold"/>
              <w:keepNext/>
              <w:spacing w:before="50" w:after="50"/>
              <w:rPr>
                <w:rFonts w:cs="Calibri"/>
                <w:noProof w:val="0"/>
                <w:szCs w:val="16"/>
              </w:rPr>
            </w:pPr>
            <w:r w:rsidRPr="00D9348B">
              <w:rPr>
                <w:rFonts w:cs="Calibri"/>
                <w:noProof w:val="0"/>
                <w:szCs w:val="16"/>
              </w:rPr>
              <w:t>A</w:t>
            </w:r>
          </w:p>
        </w:tc>
        <w:tc>
          <w:tcPr>
            <w:tcW w:w="2832" w:type="dxa"/>
            <w:tcBorders>
              <w:top w:val="nil"/>
              <w:left w:val="nil"/>
              <w:bottom w:val="single" w:sz="4" w:space="0" w:color="365F91"/>
              <w:right w:val="nil"/>
            </w:tcBorders>
            <w:shd w:val="clear" w:color="auto" w:fill="auto"/>
            <w:vAlign w:val="center"/>
            <w:hideMark/>
          </w:tcPr>
          <w:p w14:paraId="7645B11C" w14:textId="77777777" w:rsidR="00F849A7" w:rsidRPr="00D9348B" w:rsidRDefault="00F849A7" w:rsidP="00E3344E">
            <w:pPr>
              <w:pStyle w:val="TableTextBold"/>
              <w:keepNext/>
              <w:spacing w:before="50" w:after="50"/>
              <w:rPr>
                <w:rFonts w:cs="Calibri"/>
                <w:noProof w:val="0"/>
                <w:szCs w:val="16"/>
              </w:rPr>
            </w:pPr>
            <w:r w:rsidRPr="00D9348B">
              <w:rPr>
                <w:rFonts w:cs="Calibri"/>
                <w:noProof w:val="0"/>
                <w:szCs w:val="16"/>
              </w:rPr>
              <w:t>Enteric Fermentation</w:t>
            </w:r>
          </w:p>
        </w:tc>
        <w:tc>
          <w:tcPr>
            <w:tcW w:w="850" w:type="dxa"/>
            <w:tcBorders>
              <w:top w:val="nil"/>
              <w:left w:val="nil"/>
              <w:bottom w:val="single" w:sz="4" w:space="0" w:color="365F91"/>
              <w:right w:val="nil"/>
            </w:tcBorders>
            <w:shd w:val="clear" w:color="auto" w:fill="auto"/>
            <w:noWrap/>
            <w:vAlign w:val="center"/>
            <w:hideMark/>
          </w:tcPr>
          <w:p w14:paraId="6AA86A2B" w14:textId="77777777" w:rsidR="00F849A7" w:rsidRPr="00D9348B" w:rsidRDefault="00F849A7" w:rsidP="00E3344E">
            <w:pPr>
              <w:pStyle w:val="TableTextBold"/>
              <w:keepNext/>
              <w:spacing w:before="50" w:after="50"/>
              <w:jc w:val="center"/>
              <w:rPr>
                <w:rFonts w:cs="Calibri"/>
                <w:noProof w:val="0"/>
                <w:szCs w:val="16"/>
              </w:rPr>
            </w:pPr>
            <w:r w:rsidRPr="00D9348B">
              <w:rPr>
                <w:rFonts w:cs="Calibri"/>
                <w:noProof w:val="0"/>
                <w:szCs w:val="16"/>
              </w:rPr>
              <w:t>–</w:t>
            </w:r>
          </w:p>
        </w:tc>
        <w:tc>
          <w:tcPr>
            <w:tcW w:w="851" w:type="dxa"/>
            <w:tcBorders>
              <w:top w:val="nil"/>
              <w:left w:val="nil"/>
              <w:bottom w:val="single" w:sz="4" w:space="0" w:color="365F91"/>
              <w:right w:val="nil"/>
            </w:tcBorders>
            <w:shd w:val="clear" w:color="auto" w:fill="auto"/>
            <w:noWrap/>
            <w:vAlign w:val="center"/>
            <w:hideMark/>
          </w:tcPr>
          <w:p w14:paraId="59FDDC25" w14:textId="77777777" w:rsidR="00F849A7" w:rsidRPr="00D9348B" w:rsidRDefault="00F849A7" w:rsidP="00E3344E">
            <w:pPr>
              <w:pStyle w:val="TableTextBold"/>
              <w:keepNext/>
              <w:spacing w:before="50" w:after="50"/>
              <w:jc w:val="center"/>
              <w:rPr>
                <w:rFonts w:cs="Calibri"/>
                <w:noProof w:val="0"/>
                <w:szCs w:val="16"/>
              </w:rPr>
            </w:pPr>
            <w:r w:rsidRPr="00D9348B">
              <w:rPr>
                <w:rFonts w:cs="Calibri"/>
                <w:noProof w:val="0"/>
                <w:szCs w:val="16"/>
              </w:rPr>
              <w:t>–</w:t>
            </w:r>
          </w:p>
        </w:tc>
        <w:tc>
          <w:tcPr>
            <w:tcW w:w="867" w:type="dxa"/>
            <w:tcBorders>
              <w:top w:val="nil"/>
              <w:left w:val="nil"/>
              <w:bottom w:val="single" w:sz="4" w:space="0" w:color="365F91"/>
              <w:right w:val="nil"/>
            </w:tcBorders>
            <w:shd w:val="clear" w:color="auto" w:fill="auto"/>
            <w:noWrap/>
            <w:vAlign w:val="center"/>
            <w:hideMark/>
          </w:tcPr>
          <w:p w14:paraId="7AF36030" w14:textId="77777777" w:rsidR="00F849A7" w:rsidRPr="00D9348B" w:rsidRDefault="00F849A7" w:rsidP="00E3344E">
            <w:pPr>
              <w:pStyle w:val="TableTextBold"/>
              <w:keepNext/>
              <w:spacing w:before="50" w:after="50"/>
              <w:jc w:val="center"/>
              <w:rPr>
                <w:rFonts w:cs="Calibri"/>
                <w:noProof w:val="0"/>
                <w:szCs w:val="16"/>
              </w:rPr>
            </w:pPr>
            <w:r w:rsidRPr="00D9348B">
              <w:rPr>
                <w:rFonts w:cs="Calibri"/>
                <w:noProof w:val="0"/>
                <w:szCs w:val="16"/>
              </w:rPr>
              <w:t>–</w:t>
            </w:r>
          </w:p>
        </w:tc>
        <w:tc>
          <w:tcPr>
            <w:tcW w:w="942" w:type="dxa"/>
            <w:tcBorders>
              <w:top w:val="nil"/>
              <w:left w:val="nil"/>
              <w:bottom w:val="single" w:sz="4" w:space="0" w:color="365F91"/>
              <w:right w:val="nil"/>
            </w:tcBorders>
            <w:shd w:val="clear" w:color="auto" w:fill="auto"/>
            <w:noWrap/>
            <w:vAlign w:val="center"/>
            <w:hideMark/>
          </w:tcPr>
          <w:p w14:paraId="65BE0F17" w14:textId="77777777" w:rsidR="00F849A7" w:rsidRPr="00D9348B" w:rsidRDefault="00F849A7" w:rsidP="00E3344E">
            <w:pPr>
              <w:pStyle w:val="TableTextBold"/>
              <w:keepNext/>
              <w:spacing w:before="50" w:after="50"/>
              <w:jc w:val="center"/>
              <w:rPr>
                <w:rFonts w:cs="Calibri"/>
                <w:noProof w:val="0"/>
                <w:szCs w:val="16"/>
              </w:rPr>
            </w:pPr>
            <w:r w:rsidRPr="00D9348B">
              <w:rPr>
                <w:rFonts w:cs="Calibri"/>
                <w:noProof w:val="0"/>
                <w:szCs w:val="16"/>
              </w:rPr>
              <w:t>–</w:t>
            </w:r>
          </w:p>
        </w:tc>
        <w:tc>
          <w:tcPr>
            <w:tcW w:w="942" w:type="dxa"/>
            <w:tcBorders>
              <w:top w:val="nil"/>
              <w:left w:val="nil"/>
              <w:bottom w:val="single" w:sz="4" w:space="0" w:color="365F91"/>
              <w:right w:val="nil"/>
            </w:tcBorders>
            <w:shd w:val="clear" w:color="auto" w:fill="auto"/>
            <w:noWrap/>
            <w:vAlign w:val="center"/>
            <w:hideMark/>
          </w:tcPr>
          <w:p w14:paraId="4755D6B9" w14:textId="77777777" w:rsidR="00F849A7" w:rsidRPr="00D9348B" w:rsidRDefault="00F849A7" w:rsidP="00E3344E">
            <w:pPr>
              <w:pStyle w:val="TableTextBold"/>
              <w:keepNext/>
              <w:spacing w:before="50" w:after="50"/>
              <w:jc w:val="center"/>
              <w:rPr>
                <w:rFonts w:cs="Calibri"/>
                <w:noProof w:val="0"/>
                <w:szCs w:val="16"/>
              </w:rPr>
            </w:pPr>
            <w:r w:rsidRPr="00D9348B">
              <w:rPr>
                <w:rFonts w:cs="Calibri"/>
                <w:noProof w:val="0"/>
                <w:szCs w:val="16"/>
              </w:rPr>
              <w:t>–</w:t>
            </w:r>
          </w:p>
        </w:tc>
        <w:tc>
          <w:tcPr>
            <w:tcW w:w="943" w:type="dxa"/>
            <w:tcBorders>
              <w:top w:val="nil"/>
              <w:left w:val="nil"/>
              <w:bottom w:val="single" w:sz="4" w:space="0" w:color="365F91"/>
              <w:right w:val="nil"/>
            </w:tcBorders>
            <w:shd w:val="clear" w:color="auto" w:fill="auto"/>
            <w:noWrap/>
            <w:vAlign w:val="center"/>
            <w:hideMark/>
          </w:tcPr>
          <w:p w14:paraId="431B4A3A" w14:textId="77777777" w:rsidR="00F849A7" w:rsidRPr="00D9348B" w:rsidRDefault="00F849A7" w:rsidP="00E3344E">
            <w:pPr>
              <w:pStyle w:val="TableTextBold"/>
              <w:keepNext/>
              <w:spacing w:before="50" w:after="50"/>
              <w:jc w:val="center"/>
              <w:rPr>
                <w:rFonts w:cs="Calibri"/>
                <w:noProof w:val="0"/>
                <w:szCs w:val="16"/>
              </w:rPr>
            </w:pPr>
            <w:r w:rsidRPr="00D9348B">
              <w:rPr>
                <w:rFonts w:cs="Calibri"/>
                <w:noProof w:val="0"/>
                <w:szCs w:val="16"/>
              </w:rPr>
              <w:t>–</w:t>
            </w:r>
          </w:p>
        </w:tc>
      </w:tr>
      <w:tr w:rsidR="00F849A7" w:rsidRPr="00D9348B" w14:paraId="1B3DE99C" w14:textId="77777777" w:rsidTr="00A628DC">
        <w:trPr>
          <w:trHeight w:val="204"/>
        </w:trPr>
        <w:tc>
          <w:tcPr>
            <w:tcW w:w="287" w:type="dxa"/>
            <w:vMerge w:val="restart"/>
            <w:tcBorders>
              <w:top w:val="single" w:sz="4" w:space="0" w:color="365F91"/>
              <w:left w:val="nil"/>
              <w:bottom w:val="single" w:sz="8" w:space="0" w:color="365F91"/>
              <w:right w:val="nil"/>
            </w:tcBorders>
            <w:shd w:val="clear" w:color="auto" w:fill="auto"/>
            <w:noWrap/>
            <w:vAlign w:val="center"/>
            <w:hideMark/>
          </w:tcPr>
          <w:p w14:paraId="3209673F" w14:textId="77777777" w:rsidR="00F849A7" w:rsidRPr="00D9348B" w:rsidRDefault="00F849A7" w:rsidP="00E3344E">
            <w:pPr>
              <w:pStyle w:val="TableText"/>
              <w:spacing w:before="50" w:after="50"/>
              <w:rPr>
                <w:rFonts w:cs="Calibri"/>
                <w:szCs w:val="16"/>
              </w:rPr>
            </w:pPr>
            <w:r w:rsidRPr="00D9348B">
              <w:rPr>
                <w:rFonts w:cs="Calibri"/>
                <w:szCs w:val="16"/>
              </w:rPr>
              <w:t>1</w:t>
            </w:r>
          </w:p>
        </w:tc>
        <w:tc>
          <w:tcPr>
            <w:tcW w:w="2832" w:type="dxa"/>
            <w:tcBorders>
              <w:top w:val="single" w:sz="4" w:space="0" w:color="365F91"/>
              <w:left w:val="nil"/>
              <w:bottom w:val="nil"/>
              <w:right w:val="nil"/>
            </w:tcBorders>
            <w:shd w:val="clear" w:color="auto" w:fill="auto"/>
            <w:vAlign w:val="center"/>
            <w:hideMark/>
          </w:tcPr>
          <w:p w14:paraId="2DCAAE62" w14:textId="77777777" w:rsidR="00F849A7" w:rsidRPr="00D9348B" w:rsidRDefault="00F849A7" w:rsidP="00E3344E">
            <w:pPr>
              <w:pStyle w:val="TableText"/>
              <w:spacing w:before="50" w:after="50"/>
              <w:rPr>
                <w:rFonts w:cs="Calibri"/>
                <w:szCs w:val="16"/>
              </w:rPr>
            </w:pPr>
            <w:r w:rsidRPr="00D9348B">
              <w:rPr>
                <w:rFonts w:cs="Calibri"/>
                <w:szCs w:val="16"/>
              </w:rPr>
              <w:t>Cattle</w:t>
            </w:r>
          </w:p>
        </w:tc>
        <w:tc>
          <w:tcPr>
            <w:tcW w:w="850" w:type="dxa"/>
            <w:tcBorders>
              <w:top w:val="single" w:sz="4" w:space="0" w:color="365F91"/>
              <w:left w:val="nil"/>
              <w:bottom w:val="nil"/>
              <w:right w:val="nil"/>
            </w:tcBorders>
            <w:shd w:val="clear" w:color="auto" w:fill="auto"/>
            <w:noWrap/>
            <w:vAlign w:val="center"/>
            <w:hideMark/>
          </w:tcPr>
          <w:p w14:paraId="5390BEEA"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851" w:type="dxa"/>
            <w:tcBorders>
              <w:top w:val="single" w:sz="4" w:space="0" w:color="365F91"/>
              <w:left w:val="nil"/>
              <w:bottom w:val="nil"/>
              <w:right w:val="nil"/>
            </w:tcBorders>
            <w:shd w:val="clear" w:color="auto" w:fill="auto"/>
            <w:noWrap/>
            <w:vAlign w:val="center"/>
            <w:hideMark/>
          </w:tcPr>
          <w:p w14:paraId="72F904A0"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867" w:type="dxa"/>
            <w:tcBorders>
              <w:top w:val="single" w:sz="4" w:space="0" w:color="365F91"/>
              <w:left w:val="nil"/>
              <w:bottom w:val="nil"/>
              <w:right w:val="nil"/>
            </w:tcBorders>
            <w:shd w:val="clear" w:color="auto" w:fill="auto"/>
            <w:vAlign w:val="center"/>
            <w:hideMark/>
          </w:tcPr>
          <w:p w14:paraId="5633645C"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2" w:type="dxa"/>
            <w:tcBorders>
              <w:top w:val="single" w:sz="4" w:space="0" w:color="365F91"/>
              <w:left w:val="nil"/>
              <w:bottom w:val="nil"/>
              <w:right w:val="nil"/>
            </w:tcBorders>
            <w:shd w:val="clear" w:color="auto" w:fill="auto"/>
            <w:noWrap/>
            <w:vAlign w:val="center"/>
            <w:hideMark/>
          </w:tcPr>
          <w:p w14:paraId="0C9E0F8B"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2" w:type="dxa"/>
            <w:tcBorders>
              <w:top w:val="single" w:sz="4" w:space="0" w:color="365F91"/>
              <w:left w:val="nil"/>
              <w:bottom w:val="nil"/>
              <w:right w:val="nil"/>
            </w:tcBorders>
            <w:shd w:val="clear" w:color="auto" w:fill="auto"/>
            <w:noWrap/>
            <w:vAlign w:val="center"/>
            <w:hideMark/>
          </w:tcPr>
          <w:p w14:paraId="26C6ED1D"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3" w:type="dxa"/>
            <w:tcBorders>
              <w:top w:val="single" w:sz="4" w:space="0" w:color="365F91"/>
              <w:left w:val="nil"/>
              <w:bottom w:val="nil"/>
              <w:right w:val="nil"/>
            </w:tcBorders>
            <w:shd w:val="clear" w:color="auto" w:fill="auto"/>
            <w:vAlign w:val="center"/>
            <w:hideMark/>
          </w:tcPr>
          <w:p w14:paraId="38832C0E"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r>
      <w:tr w:rsidR="00F849A7" w:rsidRPr="00D9348B" w14:paraId="0D7E5C51" w14:textId="77777777" w:rsidTr="00A628DC">
        <w:trPr>
          <w:trHeight w:val="204"/>
        </w:trPr>
        <w:tc>
          <w:tcPr>
            <w:tcW w:w="287" w:type="dxa"/>
            <w:vMerge/>
            <w:tcBorders>
              <w:top w:val="nil"/>
              <w:left w:val="nil"/>
              <w:bottom w:val="single" w:sz="8" w:space="0" w:color="365F91"/>
              <w:right w:val="nil"/>
            </w:tcBorders>
            <w:vAlign w:val="center"/>
            <w:hideMark/>
          </w:tcPr>
          <w:p w14:paraId="3137B4F4" w14:textId="77777777" w:rsidR="00F849A7" w:rsidRPr="00D9348B" w:rsidRDefault="00F849A7" w:rsidP="00E3344E">
            <w:pPr>
              <w:pStyle w:val="TableText"/>
              <w:spacing w:before="50" w:after="50"/>
              <w:rPr>
                <w:rFonts w:cs="Calibri"/>
                <w:szCs w:val="16"/>
              </w:rPr>
            </w:pPr>
          </w:p>
        </w:tc>
        <w:tc>
          <w:tcPr>
            <w:tcW w:w="2832" w:type="dxa"/>
            <w:tcBorders>
              <w:top w:val="nil"/>
              <w:left w:val="nil"/>
              <w:bottom w:val="nil"/>
              <w:right w:val="nil"/>
            </w:tcBorders>
            <w:shd w:val="clear" w:color="auto" w:fill="auto"/>
            <w:vAlign w:val="center"/>
            <w:hideMark/>
          </w:tcPr>
          <w:p w14:paraId="4125BFB8" w14:textId="77777777" w:rsidR="00F849A7" w:rsidRPr="00D9348B" w:rsidRDefault="00F849A7" w:rsidP="00E3344E">
            <w:pPr>
              <w:pStyle w:val="TableText"/>
              <w:spacing w:before="50" w:after="50"/>
              <w:rPr>
                <w:rFonts w:cs="Calibri"/>
                <w:szCs w:val="16"/>
              </w:rPr>
            </w:pPr>
            <w:r w:rsidRPr="00D9348B">
              <w:rPr>
                <w:rFonts w:cs="Calibri"/>
                <w:szCs w:val="16"/>
              </w:rPr>
              <w:t>Dairy Cattle</w:t>
            </w:r>
          </w:p>
        </w:tc>
        <w:tc>
          <w:tcPr>
            <w:tcW w:w="850" w:type="dxa"/>
            <w:tcBorders>
              <w:top w:val="nil"/>
              <w:left w:val="nil"/>
              <w:bottom w:val="nil"/>
              <w:right w:val="nil"/>
            </w:tcBorders>
            <w:shd w:val="clear" w:color="auto" w:fill="auto"/>
            <w:noWrap/>
            <w:vAlign w:val="center"/>
            <w:hideMark/>
          </w:tcPr>
          <w:p w14:paraId="6038CFD5" w14:textId="77777777" w:rsidR="00F849A7" w:rsidRPr="00D9348B" w:rsidRDefault="00F849A7" w:rsidP="00E3344E">
            <w:pPr>
              <w:pStyle w:val="TableText"/>
              <w:spacing w:before="50" w:after="50"/>
              <w:jc w:val="center"/>
              <w:rPr>
                <w:rFonts w:cs="Calibri"/>
                <w:szCs w:val="16"/>
              </w:rPr>
            </w:pPr>
            <w:r w:rsidRPr="00D9348B">
              <w:rPr>
                <w:rFonts w:cs="Calibri"/>
                <w:szCs w:val="16"/>
              </w:rPr>
              <w:t>T2</w:t>
            </w:r>
          </w:p>
        </w:tc>
        <w:tc>
          <w:tcPr>
            <w:tcW w:w="851" w:type="dxa"/>
            <w:tcBorders>
              <w:top w:val="nil"/>
              <w:left w:val="nil"/>
              <w:bottom w:val="nil"/>
              <w:right w:val="nil"/>
            </w:tcBorders>
            <w:shd w:val="clear" w:color="auto" w:fill="auto"/>
            <w:noWrap/>
            <w:vAlign w:val="center"/>
            <w:hideMark/>
          </w:tcPr>
          <w:p w14:paraId="7E89FDFC" w14:textId="77777777" w:rsidR="00F849A7" w:rsidRPr="00D9348B" w:rsidRDefault="00F849A7" w:rsidP="00E3344E">
            <w:pPr>
              <w:pStyle w:val="TableText"/>
              <w:spacing w:before="50" w:after="50"/>
              <w:jc w:val="center"/>
              <w:rPr>
                <w:rFonts w:cs="Calibri"/>
                <w:szCs w:val="16"/>
              </w:rPr>
            </w:pPr>
            <w:r w:rsidRPr="00D9348B">
              <w:rPr>
                <w:rFonts w:cs="Calibri"/>
                <w:szCs w:val="16"/>
              </w:rPr>
              <w:t>CS</w:t>
            </w:r>
          </w:p>
        </w:tc>
        <w:tc>
          <w:tcPr>
            <w:tcW w:w="867" w:type="dxa"/>
            <w:tcBorders>
              <w:top w:val="nil"/>
              <w:left w:val="nil"/>
              <w:bottom w:val="nil"/>
              <w:right w:val="nil"/>
            </w:tcBorders>
            <w:shd w:val="clear" w:color="auto" w:fill="auto"/>
            <w:vAlign w:val="center"/>
            <w:hideMark/>
          </w:tcPr>
          <w:p w14:paraId="0EE1A410"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2" w:type="dxa"/>
            <w:tcBorders>
              <w:top w:val="nil"/>
              <w:left w:val="nil"/>
              <w:bottom w:val="nil"/>
              <w:right w:val="nil"/>
            </w:tcBorders>
            <w:shd w:val="clear" w:color="auto" w:fill="auto"/>
            <w:noWrap/>
            <w:vAlign w:val="center"/>
            <w:hideMark/>
          </w:tcPr>
          <w:p w14:paraId="015FA281"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2" w:type="dxa"/>
            <w:tcBorders>
              <w:top w:val="nil"/>
              <w:left w:val="nil"/>
              <w:bottom w:val="nil"/>
              <w:right w:val="nil"/>
            </w:tcBorders>
            <w:shd w:val="clear" w:color="auto" w:fill="auto"/>
            <w:noWrap/>
            <w:vAlign w:val="center"/>
            <w:hideMark/>
          </w:tcPr>
          <w:p w14:paraId="4CE9D42D"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3" w:type="dxa"/>
            <w:tcBorders>
              <w:top w:val="nil"/>
              <w:left w:val="nil"/>
              <w:bottom w:val="nil"/>
              <w:right w:val="nil"/>
            </w:tcBorders>
            <w:shd w:val="clear" w:color="auto" w:fill="auto"/>
            <w:vAlign w:val="center"/>
            <w:hideMark/>
          </w:tcPr>
          <w:p w14:paraId="417DADB9"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r>
      <w:tr w:rsidR="00F849A7" w:rsidRPr="00D9348B" w14:paraId="443C3A71" w14:textId="77777777" w:rsidTr="00A628DC">
        <w:trPr>
          <w:trHeight w:val="204"/>
        </w:trPr>
        <w:tc>
          <w:tcPr>
            <w:tcW w:w="287" w:type="dxa"/>
            <w:vMerge/>
            <w:tcBorders>
              <w:top w:val="nil"/>
              <w:left w:val="nil"/>
              <w:bottom w:val="single" w:sz="4" w:space="0" w:color="365F91"/>
              <w:right w:val="nil"/>
            </w:tcBorders>
            <w:vAlign w:val="center"/>
            <w:hideMark/>
          </w:tcPr>
          <w:p w14:paraId="43A83531" w14:textId="77777777" w:rsidR="00F849A7" w:rsidRPr="00D9348B" w:rsidRDefault="00F849A7" w:rsidP="00E3344E">
            <w:pPr>
              <w:pStyle w:val="TableText"/>
              <w:spacing w:before="50" w:after="50"/>
              <w:rPr>
                <w:rFonts w:cs="Calibri"/>
                <w:szCs w:val="16"/>
              </w:rPr>
            </w:pPr>
          </w:p>
        </w:tc>
        <w:tc>
          <w:tcPr>
            <w:tcW w:w="2832" w:type="dxa"/>
            <w:tcBorders>
              <w:top w:val="nil"/>
              <w:left w:val="nil"/>
              <w:bottom w:val="single" w:sz="4" w:space="0" w:color="365F91"/>
              <w:right w:val="nil"/>
            </w:tcBorders>
            <w:shd w:val="clear" w:color="auto" w:fill="auto"/>
            <w:vAlign w:val="center"/>
            <w:hideMark/>
          </w:tcPr>
          <w:p w14:paraId="270D6142" w14:textId="77777777" w:rsidR="00F849A7" w:rsidRPr="00D9348B" w:rsidRDefault="00F849A7" w:rsidP="00E3344E">
            <w:pPr>
              <w:pStyle w:val="TableText"/>
              <w:spacing w:before="50" w:after="50"/>
              <w:rPr>
                <w:rFonts w:cs="Calibri"/>
                <w:szCs w:val="16"/>
              </w:rPr>
            </w:pPr>
            <w:r w:rsidRPr="00D9348B">
              <w:rPr>
                <w:rFonts w:cs="Calibri"/>
                <w:szCs w:val="16"/>
              </w:rPr>
              <w:t>Non-dairy Cattle</w:t>
            </w:r>
          </w:p>
        </w:tc>
        <w:tc>
          <w:tcPr>
            <w:tcW w:w="850" w:type="dxa"/>
            <w:tcBorders>
              <w:top w:val="nil"/>
              <w:left w:val="nil"/>
              <w:bottom w:val="single" w:sz="4" w:space="0" w:color="365F91"/>
              <w:right w:val="nil"/>
            </w:tcBorders>
            <w:shd w:val="clear" w:color="auto" w:fill="auto"/>
            <w:noWrap/>
            <w:vAlign w:val="center"/>
            <w:hideMark/>
          </w:tcPr>
          <w:p w14:paraId="4758ED41" w14:textId="77777777" w:rsidR="00F849A7" w:rsidRPr="00D9348B" w:rsidRDefault="00F849A7" w:rsidP="00E3344E">
            <w:pPr>
              <w:pStyle w:val="TableText"/>
              <w:spacing w:before="50" w:after="50"/>
              <w:jc w:val="center"/>
              <w:rPr>
                <w:rFonts w:cs="Calibri"/>
                <w:szCs w:val="16"/>
              </w:rPr>
            </w:pPr>
            <w:r w:rsidRPr="00D9348B">
              <w:rPr>
                <w:rFonts w:cs="Calibri"/>
                <w:szCs w:val="16"/>
              </w:rPr>
              <w:t>T2</w:t>
            </w:r>
          </w:p>
        </w:tc>
        <w:tc>
          <w:tcPr>
            <w:tcW w:w="851" w:type="dxa"/>
            <w:tcBorders>
              <w:top w:val="nil"/>
              <w:left w:val="nil"/>
              <w:bottom w:val="single" w:sz="4" w:space="0" w:color="365F91"/>
              <w:right w:val="nil"/>
            </w:tcBorders>
            <w:shd w:val="clear" w:color="auto" w:fill="auto"/>
            <w:noWrap/>
            <w:vAlign w:val="center"/>
            <w:hideMark/>
          </w:tcPr>
          <w:p w14:paraId="3992AD02" w14:textId="77777777" w:rsidR="00F849A7" w:rsidRPr="00D9348B" w:rsidRDefault="00F849A7" w:rsidP="00E3344E">
            <w:pPr>
              <w:pStyle w:val="TableText"/>
              <w:spacing w:before="50" w:after="50"/>
              <w:jc w:val="center"/>
              <w:rPr>
                <w:rFonts w:cs="Calibri"/>
                <w:szCs w:val="16"/>
              </w:rPr>
            </w:pPr>
            <w:r w:rsidRPr="00D9348B">
              <w:rPr>
                <w:rFonts w:cs="Calibri"/>
                <w:szCs w:val="16"/>
              </w:rPr>
              <w:t>CS</w:t>
            </w:r>
          </w:p>
        </w:tc>
        <w:tc>
          <w:tcPr>
            <w:tcW w:w="867" w:type="dxa"/>
            <w:tcBorders>
              <w:top w:val="nil"/>
              <w:left w:val="nil"/>
              <w:bottom w:val="single" w:sz="4" w:space="0" w:color="365F91"/>
              <w:right w:val="nil"/>
            </w:tcBorders>
            <w:shd w:val="clear" w:color="auto" w:fill="auto"/>
            <w:vAlign w:val="center"/>
            <w:hideMark/>
          </w:tcPr>
          <w:p w14:paraId="4B03E9C3"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2" w:type="dxa"/>
            <w:tcBorders>
              <w:top w:val="nil"/>
              <w:left w:val="nil"/>
              <w:bottom w:val="single" w:sz="4" w:space="0" w:color="365F91"/>
              <w:right w:val="nil"/>
            </w:tcBorders>
            <w:shd w:val="clear" w:color="auto" w:fill="auto"/>
            <w:noWrap/>
            <w:vAlign w:val="center"/>
            <w:hideMark/>
          </w:tcPr>
          <w:p w14:paraId="702BB4FB"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2" w:type="dxa"/>
            <w:tcBorders>
              <w:top w:val="nil"/>
              <w:left w:val="nil"/>
              <w:bottom w:val="single" w:sz="4" w:space="0" w:color="365F91"/>
              <w:right w:val="nil"/>
            </w:tcBorders>
            <w:shd w:val="clear" w:color="auto" w:fill="auto"/>
            <w:noWrap/>
            <w:vAlign w:val="center"/>
            <w:hideMark/>
          </w:tcPr>
          <w:p w14:paraId="57CAE48A"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3" w:type="dxa"/>
            <w:tcBorders>
              <w:top w:val="nil"/>
              <w:left w:val="nil"/>
              <w:bottom w:val="single" w:sz="4" w:space="0" w:color="365F91"/>
              <w:right w:val="nil"/>
            </w:tcBorders>
            <w:shd w:val="clear" w:color="auto" w:fill="auto"/>
            <w:vAlign w:val="center"/>
            <w:hideMark/>
          </w:tcPr>
          <w:p w14:paraId="1DAE5694"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r>
      <w:tr w:rsidR="00F849A7" w:rsidRPr="00D9348B" w14:paraId="2C1D0543" w14:textId="77777777" w:rsidTr="00A628DC">
        <w:trPr>
          <w:trHeight w:val="204"/>
        </w:trPr>
        <w:tc>
          <w:tcPr>
            <w:tcW w:w="287" w:type="dxa"/>
            <w:tcBorders>
              <w:top w:val="single" w:sz="4" w:space="0" w:color="365F91"/>
              <w:left w:val="nil"/>
              <w:bottom w:val="single" w:sz="4" w:space="0" w:color="365F91"/>
              <w:right w:val="nil"/>
            </w:tcBorders>
            <w:shd w:val="clear" w:color="auto" w:fill="auto"/>
            <w:noWrap/>
            <w:vAlign w:val="center"/>
            <w:hideMark/>
          </w:tcPr>
          <w:p w14:paraId="559AD040" w14:textId="77777777" w:rsidR="00F849A7" w:rsidRPr="00D9348B" w:rsidRDefault="00F849A7" w:rsidP="00E3344E">
            <w:pPr>
              <w:pStyle w:val="TableText"/>
              <w:spacing w:before="50" w:after="50"/>
              <w:rPr>
                <w:rFonts w:cs="Calibri"/>
                <w:szCs w:val="16"/>
              </w:rPr>
            </w:pPr>
            <w:r w:rsidRPr="00D9348B">
              <w:rPr>
                <w:rFonts w:cs="Calibri"/>
                <w:szCs w:val="16"/>
              </w:rPr>
              <w:t>2</w:t>
            </w:r>
          </w:p>
        </w:tc>
        <w:tc>
          <w:tcPr>
            <w:tcW w:w="2832" w:type="dxa"/>
            <w:tcBorders>
              <w:top w:val="single" w:sz="4" w:space="0" w:color="365F91"/>
              <w:left w:val="nil"/>
              <w:bottom w:val="single" w:sz="4" w:space="0" w:color="365F91"/>
              <w:right w:val="nil"/>
            </w:tcBorders>
            <w:shd w:val="clear" w:color="auto" w:fill="auto"/>
            <w:vAlign w:val="center"/>
            <w:hideMark/>
          </w:tcPr>
          <w:p w14:paraId="2F3400DE" w14:textId="77777777" w:rsidR="00F849A7" w:rsidRPr="00D9348B" w:rsidRDefault="00F849A7" w:rsidP="00E3344E">
            <w:pPr>
              <w:pStyle w:val="TableText"/>
              <w:spacing w:before="50" w:after="50"/>
              <w:rPr>
                <w:rFonts w:cs="Calibri"/>
                <w:szCs w:val="16"/>
              </w:rPr>
            </w:pPr>
            <w:r w:rsidRPr="00D9348B">
              <w:rPr>
                <w:rFonts w:cs="Calibri"/>
                <w:szCs w:val="16"/>
              </w:rPr>
              <w:t xml:space="preserve">Sheep </w:t>
            </w:r>
          </w:p>
        </w:tc>
        <w:tc>
          <w:tcPr>
            <w:tcW w:w="850" w:type="dxa"/>
            <w:tcBorders>
              <w:top w:val="single" w:sz="4" w:space="0" w:color="365F91"/>
              <w:left w:val="nil"/>
              <w:bottom w:val="single" w:sz="4" w:space="0" w:color="365F91"/>
              <w:right w:val="nil"/>
            </w:tcBorders>
            <w:shd w:val="clear" w:color="auto" w:fill="auto"/>
            <w:noWrap/>
            <w:vAlign w:val="center"/>
            <w:hideMark/>
          </w:tcPr>
          <w:p w14:paraId="7912016A" w14:textId="77777777" w:rsidR="00F849A7" w:rsidRPr="00D9348B" w:rsidRDefault="00DA6C03" w:rsidP="00E3344E">
            <w:pPr>
              <w:pStyle w:val="TableText"/>
              <w:spacing w:before="50" w:after="50"/>
              <w:jc w:val="center"/>
              <w:rPr>
                <w:rFonts w:cs="Calibri"/>
                <w:szCs w:val="16"/>
              </w:rPr>
            </w:pPr>
            <w:hyperlink r:id="rId106" w:history="1">
              <w:r w:rsidR="00F849A7" w:rsidRPr="00D9348B">
                <w:rPr>
                  <w:rFonts w:cs="Calibri"/>
                  <w:szCs w:val="16"/>
                </w:rPr>
                <w:t>T2</w:t>
              </w:r>
            </w:hyperlink>
          </w:p>
        </w:tc>
        <w:tc>
          <w:tcPr>
            <w:tcW w:w="851" w:type="dxa"/>
            <w:tcBorders>
              <w:top w:val="single" w:sz="4" w:space="0" w:color="365F91"/>
              <w:left w:val="nil"/>
              <w:bottom w:val="single" w:sz="4" w:space="0" w:color="365F91"/>
              <w:right w:val="nil"/>
            </w:tcBorders>
            <w:shd w:val="clear" w:color="auto" w:fill="auto"/>
            <w:noWrap/>
            <w:vAlign w:val="center"/>
            <w:hideMark/>
          </w:tcPr>
          <w:p w14:paraId="42CD2543" w14:textId="77777777" w:rsidR="00F849A7" w:rsidRPr="00D9348B" w:rsidRDefault="00F849A7" w:rsidP="00E3344E">
            <w:pPr>
              <w:pStyle w:val="TableText"/>
              <w:spacing w:before="50" w:after="50"/>
              <w:jc w:val="center"/>
              <w:rPr>
                <w:rFonts w:cs="Calibri"/>
                <w:szCs w:val="16"/>
              </w:rPr>
            </w:pPr>
            <w:r w:rsidRPr="00D9348B">
              <w:rPr>
                <w:rFonts w:cs="Calibri"/>
                <w:szCs w:val="16"/>
              </w:rPr>
              <w:t>CS</w:t>
            </w:r>
          </w:p>
        </w:tc>
        <w:tc>
          <w:tcPr>
            <w:tcW w:w="867" w:type="dxa"/>
            <w:tcBorders>
              <w:top w:val="single" w:sz="4" w:space="0" w:color="365F91"/>
              <w:left w:val="nil"/>
              <w:bottom w:val="single" w:sz="4" w:space="0" w:color="365F91"/>
              <w:right w:val="nil"/>
            </w:tcBorders>
            <w:shd w:val="clear" w:color="auto" w:fill="auto"/>
            <w:noWrap/>
            <w:vAlign w:val="center"/>
            <w:hideMark/>
          </w:tcPr>
          <w:p w14:paraId="531B4897"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2" w:type="dxa"/>
            <w:tcBorders>
              <w:top w:val="single" w:sz="4" w:space="0" w:color="365F91"/>
              <w:left w:val="nil"/>
              <w:bottom w:val="single" w:sz="4" w:space="0" w:color="365F91"/>
              <w:right w:val="nil"/>
            </w:tcBorders>
            <w:shd w:val="clear" w:color="auto" w:fill="auto"/>
            <w:noWrap/>
            <w:vAlign w:val="center"/>
            <w:hideMark/>
          </w:tcPr>
          <w:p w14:paraId="58BCAD1C"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2" w:type="dxa"/>
            <w:tcBorders>
              <w:top w:val="single" w:sz="4" w:space="0" w:color="365F91"/>
              <w:left w:val="nil"/>
              <w:bottom w:val="single" w:sz="4" w:space="0" w:color="365F91"/>
              <w:right w:val="nil"/>
            </w:tcBorders>
            <w:shd w:val="clear" w:color="auto" w:fill="auto"/>
            <w:noWrap/>
            <w:vAlign w:val="center"/>
            <w:hideMark/>
          </w:tcPr>
          <w:p w14:paraId="5949E65C"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3" w:type="dxa"/>
            <w:tcBorders>
              <w:top w:val="single" w:sz="4" w:space="0" w:color="365F91"/>
              <w:left w:val="nil"/>
              <w:bottom w:val="single" w:sz="4" w:space="0" w:color="365F91"/>
              <w:right w:val="nil"/>
            </w:tcBorders>
            <w:shd w:val="clear" w:color="auto" w:fill="auto"/>
            <w:noWrap/>
            <w:vAlign w:val="center"/>
            <w:hideMark/>
          </w:tcPr>
          <w:p w14:paraId="03173370"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r>
      <w:tr w:rsidR="00F849A7" w:rsidRPr="00D9348B" w14:paraId="3E4E8CE3" w14:textId="77777777" w:rsidTr="00A628DC">
        <w:trPr>
          <w:trHeight w:val="204"/>
        </w:trPr>
        <w:tc>
          <w:tcPr>
            <w:tcW w:w="287" w:type="dxa"/>
            <w:tcBorders>
              <w:top w:val="single" w:sz="4" w:space="0" w:color="365F91"/>
              <w:left w:val="nil"/>
              <w:bottom w:val="single" w:sz="4" w:space="0" w:color="365F91"/>
              <w:right w:val="nil"/>
            </w:tcBorders>
            <w:shd w:val="clear" w:color="auto" w:fill="auto"/>
            <w:noWrap/>
            <w:vAlign w:val="center"/>
            <w:hideMark/>
          </w:tcPr>
          <w:p w14:paraId="705FB04F" w14:textId="77777777" w:rsidR="00F849A7" w:rsidRPr="00D9348B" w:rsidRDefault="00F849A7" w:rsidP="00E3344E">
            <w:pPr>
              <w:pStyle w:val="TableText"/>
              <w:spacing w:before="50" w:after="50"/>
              <w:rPr>
                <w:rFonts w:cs="Calibri"/>
                <w:szCs w:val="16"/>
              </w:rPr>
            </w:pPr>
            <w:r w:rsidRPr="00D9348B">
              <w:rPr>
                <w:rFonts w:cs="Calibri"/>
                <w:szCs w:val="16"/>
              </w:rPr>
              <w:t>3</w:t>
            </w:r>
          </w:p>
        </w:tc>
        <w:tc>
          <w:tcPr>
            <w:tcW w:w="2832" w:type="dxa"/>
            <w:tcBorders>
              <w:top w:val="single" w:sz="4" w:space="0" w:color="365F91"/>
              <w:left w:val="nil"/>
              <w:bottom w:val="single" w:sz="4" w:space="0" w:color="365F91"/>
              <w:right w:val="nil"/>
            </w:tcBorders>
            <w:shd w:val="clear" w:color="auto" w:fill="auto"/>
            <w:vAlign w:val="center"/>
            <w:hideMark/>
          </w:tcPr>
          <w:p w14:paraId="21FBB6CB" w14:textId="77777777" w:rsidR="00F849A7" w:rsidRPr="00D9348B" w:rsidRDefault="00F849A7" w:rsidP="00E3344E">
            <w:pPr>
              <w:pStyle w:val="TableText"/>
              <w:spacing w:before="50" w:after="50"/>
              <w:rPr>
                <w:rFonts w:cs="Calibri"/>
                <w:szCs w:val="16"/>
              </w:rPr>
            </w:pPr>
            <w:r w:rsidRPr="00D9348B">
              <w:rPr>
                <w:rFonts w:cs="Calibri"/>
                <w:szCs w:val="16"/>
              </w:rPr>
              <w:t>Swine</w:t>
            </w:r>
          </w:p>
        </w:tc>
        <w:tc>
          <w:tcPr>
            <w:tcW w:w="850" w:type="dxa"/>
            <w:tcBorders>
              <w:top w:val="single" w:sz="4" w:space="0" w:color="365F91"/>
              <w:left w:val="nil"/>
              <w:bottom w:val="single" w:sz="4" w:space="0" w:color="365F91"/>
              <w:right w:val="nil"/>
            </w:tcBorders>
            <w:shd w:val="clear" w:color="auto" w:fill="auto"/>
            <w:noWrap/>
            <w:vAlign w:val="center"/>
            <w:hideMark/>
          </w:tcPr>
          <w:p w14:paraId="50A05965" w14:textId="77777777" w:rsidR="00F849A7" w:rsidRPr="00D9348B" w:rsidRDefault="00F849A7" w:rsidP="00E3344E">
            <w:pPr>
              <w:pStyle w:val="TableText"/>
              <w:spacing w:before="50" w:after="50"/>
              <w:jc w:val="center"/>
              <w:rPr>
                <w:rFonts w:cs="Calibri"/>
                <w:szCs w:val="16"/>
              </w:rPr>
            </w:pPr>
            <w:r w:rsidRPr="00D9348B">
              <w:rPr>
                <w:rFonts w:cs="Calibri"/>
                <w:szCs w:val="16"/>
              </w:rPr>
              <w:t>T1</w:t>
            </w:r>
          </w:p>
        </w:tc>
        <w:tc>
          <w:tcPr>
            <w:tcW w:w="851" w:type="dxa"/>
            <w:tcBorders>
              <w:top w:val="single" w:sz="4" w:space="0" w:color="365F91"/>
              <w:left w:val="nil"/>
              <w:bottom w:val="single" w:sz="4" w:space="0" w:color="365F91"/>
              <w:right w:val="nil"/>
            </w:tcBorders>
            <w:shd w:val="clear" w:color="auto" w:fill="auto"/>
            <w:noWrap/>
            <w:vAlign w:val="center"/>
            <w:hideMark/>
          </w:tcPr>
          <w:p w14:paraId="329254C1" w14:textId="77777777" w:rsidR="00F849A7" w:rsidRPr="00D9348B" w:rsidRDefault="00F849A7" w:rsidP="00E3344E">
            <w:pPr>
              <w:pStyle w:val="TableText"/>
              <w:spacing w:before="50" w:after="50"/>
              <w:jc w:val="center"/>
              <w:rPr>
                <w:rFonts w:cs="Calibri"/>
                <w:szCs w:val="16"/>
              </w:rPr>
            </w:pPr>
            <w:r w:rsidRPr="00D9348B">
              <w:rPr>
                <w:rFonts w:cs="Calibri"/>
                <w:szCs w:val="16"/>
              </w:rPr>
              <w:t>CS</w:t>
            </w:r>
          </w:p>
        </w:tc>
        <w:tc>
          <w:tcPr>
            <w:tcW w:w="867" w:type="dxa"/>
            <w:tcBorders>
              <w:top w:val="single" w:sz="4" w:space="0" w:color="365F91"/>
              <w:left w:val="nil"/>
              <w:bottom w:val="single" w:sz="4" w:space="0" w:color="365F91"/>
              <w:right w:val="nil"/>
            </w:tcBorders>
            <w:shd w:val="clear" w:color="auto" w:fill="auto"/>
            <w:noWrap/>
            <w:vAlign w:val="center"/>
            <w:hideMark/>
          </w:tcPr>
          <w:p w14:paraId="32CA3A85"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2" w:type="dxa"/>
            <w:tcBorders>
              <w:top w:val="single" w:sz="4" w:space="0" w:color="365F91"/>
              <w:left w:val="nil"/>
              <w:bottom w:val="single" w:sz="4" w:space="0" w:color="365F91"/>
              <w:right w:val="nil"/>
            </w:tcBorders>
            <w:shd w:val="clear" w:color="auto" w:fill="auto"/>
            <w:noWrap/>
            <w:vAlign w:val="center"/>
            <w:hideMark/>
          </w:tcPr>
          <w:p w14:paraId="1333C1F5"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2" w:type="dxa"/>
            <w:tcBorders>
              <w:top w:val="single" w:sz="4" w:space="0" w:color="365F91"/>
              <w:left w:val="nil"/>
              <w:bottom w:val="single" w:sz="4" w:space="0" w:color="365F91"/>
              <w:right w:val="nil"/>
            </w:tcBorders>
            <w:shd w:val="clear" w:color="auto" w:fill="auto"/>
            <w:noWrap/>
            <w:vAlign w:val="center"/>
            <w:hideMark/>
          </w:tcPr>
          <w:p w14:paraId="43A48BFA"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3" w:type="dxa"/>
            <w:tcBorders>
              <w:top w:val="single" w:sz="4" w:space="0" w:color="365F91"/>
              <w:left w:val="nil"/>
              <w:bottom w:val="single" w:sz="4" w:space="0" w:color="365F91"/>
              <w:right w:val="nil"/>
            </w:tcBorders>
            <w:shd w:val="clear" w:color="auto" w:fill="auto"/>
            <w:noWrap/>
            <w:vAlign w:val="center"/>
            <w:hideMark/>
          </w:tcPr>
          <w:p w14:paraId="1A9AC399"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r>
      <w:tr w:rsidR="00F849A7" w:rsidRPr="00D9348B" w14:paraId="2D52A7E8" w14:textId="77777777" w:rsidTr="00A628DC">
        <w:trPr>
          <w:trHeight w:val="204"/>
        </w:trPr>
        <w:tc>
          <w:tcPr>
            <w:tcW w:w="287" w:type="dxa"/>
            <w:tcBorders>
              <w:top w:val="single" w:sz="4" w:space="0" w:color="365F91"/>
              <w:left w:val="nil"/>
              <w:bottom w:val="single" w:sz="4" w:space="0" w:color="365F91"/>
              <w:right w:val="nil"/>
            </w:tcBorders>
            <w:shd w:val="clear" w:color="auto" w:fill="auto"/>
            <w:noWrap/>
            <w:vAlign w:val="center"/>
            <w:hideMark/>
          </w:tcPr>
          <w:p w14:paraId="667FC52B" w14:textId="77777777" w:rsidR="00F849A7" w:rsidRPr="00D9348B" w:rsidRDefault="00F849A7" w:rsidP="00E3344E">
            <w:pPr>
              <w:pStyle w:val="TableText"/>
              <w:spacing w:before="50" w:after="50"/>
              <w:rPr>
                <w:rFonts w:cs="Calibri"/>
                <w:szCs w:val="16"/>
              </w:rPr>
            </w:pPr>
            <w:r w:rsidRPr="00D9348B">
              <w:rPr>
                <w:rFonts w:cs="Calibri"/>
                <w:szCs w:val="16"/>
              </w:rPr>
              <w:t>4</w:t>
            </w:r>
          </w:p>
        </w:tc>
        <w:tc>
          <w:tcPr>
            <w:tcW w:w="2832" w:type="dxa"/>
            <w:tcBorders>
              <w:top w:val="single" w:sz="4" w:space="0" w:color="365F91"/>
              <w:left w:val="nil"/>
              <w:bottom w:val="single" w:sz="4" w:space="0" w:color="365F91"/>
              <w:right w:val="nil"/>
            </w:tcBorders>
            <w:shd w:val="clear" w:color="auto" w:fill="auto"/>
            <w:vAlign w:val="center"/>
            <w:hideMark/>
          </w:tcPr>
          <w:p w14:paraId="4EBBE141" w14:textId="77777777" w:rsidR="00F849A7" w:rsidRPr="00D9348B" w:rsidRDefault="00F849A7" w:rsidP="00E3344E">
            <w:pPr>
              <w:pStyle w:val="TableText"/>
              <w:spacing w:before="50" w:after="50"/>
              <w:rPr>
                <w:rFonts w:cs="Calibri"/>
                <w:szCs w:val="16"/>
              </w:rPr>
            </w:pPr>
            <w:r w:rsidRPr="00D9348B">
              <w:rPr>
                <w:rFonts w:cs="Calibri"/>
                <w:szCs w:val="16"/>
              </w:rPr>
              <w:t>Other Livestock (Buffalo, Camels, Deer, Goats, Horses, Mules and Asses, Poultry)</w:t>
            </w:r>
          </w:p>
        </w:tc>
        <w:tc>
          <w:tcPr>
            <w:tcW w:w="850" w:type="dxa"/>
            <w:tcBorders>
              <w:top w:val="single" w:sz="4" w:space="0" w:color="365F91"/>
              <w:left w:val="nil"/>
              <w:bottom w:val="single" w:sz="4" w:space="0" w:color="365F91"/>
              <w:right w:val="nil"/>
            </w:tcBorders>
            <w:shd w:val="clear" w:color="auto" w:fill="auto"/>
            <w:noWrap/>
            <w:vAlign w:val="center"/>
            <w:hideMark/>
          </w:tcPr>
          <w:p w14:paraId="18BD6444" w14:textId="77777777" w:rsidR="00F849A7" w:rsidRPr="00D9348B" w:rsidRDefault="00F849A7" w:rsidP="00E3344E">
            <w:pPr>
              <w:pStyle w:val="TableText"/>
              <w:spacing w:before="50" w:after="50"/>
              <w:jc w:val="center"/>
              <w:rPr>
                <w:rFonts w:cs="Calibri"/>
                <w:szCs w:val="16"/>
              </w:rPr>
            </w:pPr>
            <w:r w:rsidRPr="00D9348B">
              <w:rPr>
                <w:rFonts w:cs="Calibri"/>
                <w:szCs w:val="16"/>
              </w:rPr>
              <w:t>T1, T2</w:t>
            </w:r>
          </w:p>
        </w:tc>
        <w:tc>
          <w:tcPr>
            <w:tcW w:w="851" w:type="dxa"/>
            <w:tcBorders>
              <w:top w:val="single" w:sz="4" w:space="0" w:color="365F91"/>
              <w:left w:val="nil"/>
              <w:bottom w:val="single" w:sz="4" w:space="0" w:color="365F91"/>
              <w:right w:val="nil"/>
            </w:tcBorders>
            <w:shd w:val="clear" w:color="auto" w:fill="auto"/>
            <w:noWrap/>
            <w:vAlign w:val="center"/>
            <w:hideMark/>
          </w:tcPr>
          <w:p w14:paraId="34BC3C87" w14:textId="77777777" w:rsidR="00F849A7" w:rsidRPr="00D9348B" w:rsidRDefault="00F849A7" w:rsidP="00E3344E">
            <w:pPr>
              <w:pStyle w:val="TableText"/>
              <w:spacing w:before="50" w:after="50"/>
              <w:jc w:val="center"/>
              <w:rPr>
                <w:rFonts w:cs="Calibri"/>
                <w:szCs w:val="16"/>
              </w:rPr>
            </w:pPr>
            <w:r w:rsidRPr="00D9348B">
              <w:rPr>
                <w:rFonts w:cs="Calibri"/>
                <w:szCs w:val="16"/>
              </w:rPr>
              <w:t>CS, D</w:t>
            </w:r>
          </w:p>
        </w:tc>
        <w:tc>
          <w:tcPr>
            <w:tcW w:w="867" w:type="dxa"/>
            <w:tcBorders>
              <w:top w:val="single" w:sz="4" w:space="0" w:color="365F91"/>
              <w:left w:val="nil"/>
              <w:bottom w:val="single" w:sz="4" w:space="0" w:color="365F91"/>
              <w:right w:val="nil"/>
            </w:tcBorders>
            <w:shd w:val="clear" w:color="auto" w:fill="auto"/>
            <w:noWrap/>
            <w:vAlign w:val="center"/>
            <w:hideMark/>
          </w:tcPr>
          <w:p w14:paraId="346AC6E2"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2" w:type="dxa"/>
            <w:tcBorders>
              <w:top w:val="single" w:sz="4" w:space="0" w:color="365F91"/>
              <w:left w:val="nil"/>
              <w:bottom w:val="single" w:sz="4" w:space="0" w:color="365F91"/>
              <w:right w:val="nil"/>
            </w:tcBorders>
            <w:shd w:val="clear" w:color="auto" w:fill="auto"/>
            <w:noWrap/>
            <w:vAlign w:val="center"/>
            <w:hideMark/>
          </w:tcPr>
          <w:p w14:paraId="7F5C9CA5"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2" w:type="dxa"/>
            <w:tcBorders>
              <w:top w:val="single" w:sz="4" w:space="0" w:color="365F91"/>
              <w:left w:val="nil"/>
              <w:bottom w:val="single" w:sz="4" w:space="0" w:color="365F91"/>
              <w:right w:val="nil"/>
            </w:tcBorders>
            <w:shd w:val="clear" w:color="auto" w:fill="auto"/>
            <w:noWrap/>
            <w:vAlign w:val="center"/>
            <w:hideMark/>
          </w:tcPr>
          <w:p w14:paraId="1EF27043"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3" w:type="dxa"/>
            <w:tcBorders>
              <w:top w:val="single" w:sz="4" w:space="0" w:color="365F91"/>
              <w:left w:val="nil"/>
              <w:bottom w:val="single" w:sz="4" w:space="0" w:color="365F91"/>
              <w:right w:val="nil"/>
            </w:tcBorders>
            <w:shd w:val="clear" w:color="auto" w:fill="auto"/>
            <w:noWrap/>
            <w:vAlign w:val="center"/>
            <w:hideMark/>
          </w:tcPr>
          <w:p w14:paraId="55C979CE"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r>
      <w:tr w:rsidR="00F849A7" w:rsidRPr="00D9348B" w14:paraId="5AAE598A" w14:textId="77777777" w:rsidTr="00A628DC">
        <w:trPr>
          <w:trHeight w:val="204"/>
        </w:trPr>
        <w:tc>
          <w:tcPr>
            <w:tcW w:w="287" w:type="dxa"/>
            <w:tcBorders>
              <w:top w:val="single" w:sz="4" w:space="0" w:color="365F91"/>
              <w:left w:val="nil"/>
              <w:bottom w:val="single" w:sz="4" w:space="0" w:color="365F91"/>
              <w:right w:val="nil"/>
            </w:tcBorders>
            <w:shd w:val="clear" w:color="auto" w:fill="auto"/>
            <w:noWrap/>
            <w:vAlign w:val="center"/>
            <w:hideMark/>
          </w:tcPr>
          <w:p w14:paraId="5700417A" w14:textId="77777777" w:rsidR="00F849A7" w:rsidRPr="00D9348B" w:rsidRDefault="00F849A7" w:rsidP="00E3344E">
            <w:pPr>
              <w:pStyle w:val="TableText"/>
              <w:spacing w:before="50" w:after="50"/>
              <w:rPr>
                <w:rFonts w:cs="Calibri"/>
                <w:b/>
                <w:bCs/>
                <w:szCs w:val="16"/>
              </w:rPr>
            </w:pPr>
            <w:r w:rsidRPr="00D9348B">
              <w:rPr>
                <w:rFonts w:cs="Calibri"/>
                <w:b/>
                <w:bCs/>
                <w:szCs w:val="16"/>
              </w:rPr>
              <w:t>B</w:t>
            </w:r>
          </w:p>
        </w:tc>
        <w:tc>
          <w:tcPr>
            <w:tcW w:w="2832" w:type="dxa"/>
            <w:tcBorders>
              <w:top w:val="single" w:sz="4" w:space="0" w:color="365F91"/>
              <w:left w:val="nil"/>
              <w:bottom w:val="single" w:sz="4" w:space="0" w:color="365F91"/>
              <w:right w:val="nil"/>
            </w:tcBorders>
            <w:shd w:val="clear" w:color="auto" w:fill="auto"/>
            <w:vAlign w:val="center"/>
            <w:hideMark/>
          </w:tcPr>
          <w:p w14:paraId="3FDCC920" w14:textId="77777777" w:rsidR="00F849A7" w:rsidRPr="00D9348B" w:rsidRDefault="00F849A7" w:rsidP="00E3344E">
            <w:pPr>
              <w:pStyle w:val="TableText"/>
              <w:spacing w:before="50" w:after="50"/>
              <w:rPr>
                <w:rFonts w:cs="Calibri"/>
                <w:b/>
                <w:bCs/>
                <w:szCs w:val="16"/>
              </w:rPr>
            </w:pPr>
            <w:r w:rsidRPr="00D9348B">
              <w:rPr>
                <w:rFonts w:cs="Calibri"/>
                <w:b/>
                <w:bCs/>
                <w:szCs w:val="16"/>
              </w:rPr>
              <w:t>Manure Management</w:t>
            </w:r>
          </w:p>
        </w:tc>
        <w:tc>
          <w:tcPr>
            <w:tcW w:w="850" w:type="dxa"/>
            <w:tcBorders>
              <w:top w:val="single" w:sz="4" w:space="0" w:color="365F91"/>
              <w:left w:val="nil"/>
              <w:bottom w:val="single" w:sz="4" w:space="0" w:color="365F91"/>
              <w:right w:val="nil"/>
            </w:tcBorders>
            <w:shd w:val="clear" w:color="auto" w:fill="auto"/>
            <w:noWrap/>
            <w:vAlign w:val="center"/>
            <w:hideMark/>
          </w:tcPr>
          <w:p w14:paraId="141CA85E"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851" w:type="dxa"/>
            <w:tcBorders>
              <w:top w:val="single" w:sz="4" w:space="0" w:color="365F91"/>
              <w:left w:val="nil"/>
              <w:bottom w:val="single" w:sz="4" w:space="0" w:color="365F91"/>
              <w:right w:val="nil"/>
            </w:tcBorders>
            <w:shd w:val="clear" w:color="auto" w:fill="auto"/>
            <w:noWrap/>
            <w:vAlign w:val="center"/>
            <w:hideMark/>
          </w:tcPr>
          <w:p w14:paraId="2A73EC86"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867" w:type="dxa"/>
            <w:tcBorders>
              <w:top w:val="single" w:sz="4" w:space="0" w:color="365F91"/>
              <w:left w:val="nil"/>
              <w:bottom w:val="single" w:sz="4" w:space="0" w:color="365F91"/>
              <w:right w:val="nil"/>
            </w:tcBorders>
            <w:shd w:val="clear" w:color="auto" w:fill="auto"/>
            <w:noWrap/>
            <w:vAlign w:val="center"/>
            <w:hideMark/>
          </w:tcPr>
          <w:p w14:paraId="3C45AA5F"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2" w:type="dxa"/>
            <w:tcBorders>
              <w:top w:val="single" w:sz="4" w:space="0" w:color="365F91"/>
              <w:left w:val="nil"/>
              <w:bottom w:val="single" w:sz="4" w:space="0" w:color="365F91"/>
              <w:right w:val="nil"/>
            </w:tcBorders>
            <w:shd w:val="clear" w:color="auto" w:fill="auto"/>
            <w:noWrap/>
            <w:vAlign w:val="center"/>
            <w:hideMark/>
          </w:tcPr>
          <w:p w14:paraId="57A5C23F"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2" w:type="dxa"/>
            <w:tcBorders>
              <w:top w:val="single" w:sz="4" w:space="0" w:color="365F91"/>
              <w:left w:val="nil"/>
              <w:bottom w:val="single" w:sz="4" w:space="0" w:color="365F91"/>
              <w:right w:val="nil"/>
            </w:tcBorders>
            <w:shd w:val="clear" w:color="auto" w:fill="auto"/>
            <w:noWrap/>
            <w:vAlign w:val="center"/>
            <w:hideMark/>
          </w:tcPr>
          <w:p w14:paraId="0D19CC86"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3" w:type="dxa"/>
            <w:tcBorders>
              <w:top w:val="single" w:sz="4" w:space="0" w:color="365F91"/>
              <w:left w:val="nil"/>
              <w:bottom w:val="single" w:sz="4" w:space="0" w:color="365F91"/>
              <w:right w:val="nil"/>
            </w:tcBorders>
            <w:shd w:val="clear" w:color="auto" w:fill="auto"/>
            <w:noWrap/>
            <w:vAlign w:val="center"/>
            <w:hideMark/>
          </w:tcPr>
          <w:p w14:paraId="31C7D7CB"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r>
      <w:tr w:rsidR="00F849A7" w:rsidRPr="00D9348B" w14:paraId="4BEE3962" w14:textId="77777777" w:rsidTr="00A628DC">
        <w:trPr>
          <w:trHeight w:val="204"/>
        </w:trPr>
        <w:tc>
          <w:tcPr>
            <w:tcW w:w="287" w:type="dxa"/>
            <w:vMerge w:val="restart"/>
            <w:tcBorders>
              <w:top w:val="single" w:sz="4" w:space="0" w:color="365F91"/>
              <w:left w:val="nil"/>
              <w:bottom w:val="single" w:sz="8" w:space="0" w:color="365F91"/>
              <w:right w:val="nil"/>
            </w:tcBorders>
            <w:shd w:val="clear" w:color="auto" w:fill="auto"/>
            <w:noWrap/>
            <w:vAlign w:val="center"/>
            <w:hideMark/>
          </w:tcPr>
          <w:p w14:paraId="6DADF851" w14:textId="77777777" w:rsidR="00F849A7" w:rsidRPr="00D9348B" w:rsidRDefault="00F849A7" w:rsidP="00E3344E">
            <w:pPr>
              <w:pStyle w:val="TableText"/>
              <w:spacing w:before="50" w:after="50"/>
              <w:rPr>
                <w:rFonts w:cs="Calibri"/>
                <w:szCs w:val="16"/>
              </w:rPr>
            </w:pPr>
            <w:r w:rsidRPr="00D9348B">
              <w:rPr>
                <w:rFonts w:cs="Calibri"/>
                <w:szCs w:val="16"/>
              </w:rPr>
              <w:t>1</w:t>
            </w:r>
          </w:p>
        </w:tc>
        <w:tc>
          <w:tcPr>
            <w:tcW w:w="2832" w:type="dxa"/>
            <w:tcBorders>
              <w:top w:val="single" w:sz="4" w:space="0" w:color="365F91"/>
              <w:left w:val="nil"/>
              <w:bottom w:val="nil"/>
              <w:right w:val="nil"/>
            </w:tcBorders>
            <w:shd w:val="clear" w:color="auto" w:fill="auto"/>
            <w:vAlign w:val="center"/>
            <w:hideMark/>
          </w:tcPr>
          <w:p w14:paraId="461C3EED" w14:textId="77777777" w:rsidR="00F849A7" w:rsidRPr="00D9348B" w:rsidRDefault="00F849A7" w:rsidP="00E3344E">
            <w:pPr>
              <w:pStyle w:val="TableText"/>
              <w:spacing w:before="50" w:after="50"/>
              <w:rPr>
                <w:rFonts w:cs="Calibri"/>
                <w:szCs w:val="16"/>
              </w:rPr>
            </w:pPr>
            <w:r w:rsidRPr="00D9348B">
              <w:rPr>
                <w:rFonts w:cs="Calibri"/>
                <w:szCs w:val="16"/>
              </w:rPr>
              <w:t>Cattle</w:t>
            </w:r>
          </w:p>
        </w:tc>
        <w:tc>
          <w:tcPr>
            <w:tcW w:w="850" w:type="dxa"/>
            <w:tcBorders>
              <w:top w:val="single" w:sz="4" w:space="0" w:color="365F91"/>
              <w:left w:val="nil"/>
              <w:bottom w:val="nil"/>
              <w:right w:val="nil"/>
            </w:tcBorders>
            <w:shd w:val="clear" w:color="auto" w:fill="auto"/>
            <w:noWrap/>
            <w:vAlign w:val="center"/>
            <w:hideMark/>
          </w:tcPr>
          <w:p w14:paraId="44A6DB8B"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851" w:type="dxa"/>
            <w:tcBorders>
              <w:top w:val="single" w:sz="4" w:space="0" w:color="365F91"/>
              <w:left w:val="nil"/>
              <w:bottom w:val="nil"/>
              <w:right w:val="nil"/>
            </w:tcBorders>
            <w:shd w:val="clear" w:color="auto" w:fill="auto"/>
            <w:noWrap/>
            <w:vAlign w:val="center"/>
            <w:hideMark/>
          </w:tcPr>
          <w:p w14:paraId="50414E58"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867" w:type="dxa"/>
            <w:tcBorders>
              <w:top w:val="single" w:sz="4" w:space="0" w:color="365F91"/>
              <w:left w:val="nil"/>
              <w:bottom w:val="nil"/>
              <w:right w:val="nil"/>
            </w:tcBorders>
            <w:shd w:val="clear" w:color="auto" w:fill="auto"/>
            <w:noWrap/>
            <w:vAlign w:val="center"/>
            <w:hideMark/>
          </w:tcPr>
          <w:p w14:paraId="7467608E"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2" w:type="dxa"/>
            <w:tcBorders>
              <w:top w:val="single" w:sz="4" w:space="0" w:color="365F91"/>
              <w:left w:val="nil"/>
              <w:bottom w:val="nil"/>
              <w:right w:val="nil"/>
            </w:tcBorders>
            <w:shd w:val="clear" w:color="auto" w:fill="auto"/>
            <w:noWrap/>
            <w:vAlign w:val="center"/>
            <w:hideMark/>
          </w:tcPr>
          <w:p w14:paraId="3CF01894"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2" w:type="dxa"/>
            <w:tcBorders>
              <w:top w:val="single" w:sz="4" w:space="0" w:color="365F91"/>
              <w:left w:val="nil"/>
              <w:bottom w:val="nil"/>
              <w:right w:val="nil"/>
            </w:tcBorders>
            <w:shd w:val="clear" w:color="auto" w:fill="auto"/>
            <w:noWrap/>
            <w:vAlign w:val="center"/>
            <w:hideMark/>
          </w:tcPr>
          <w:p w14:paraId="61EBBC4E"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3" w:type="dxa"/>
            <w:tcBorders>
              <w:top w:val="single" w:sz="4" w:space="0" w:color="365F91"/>
              <w:left w:val="nil"/>
              <w:bottom w:val="nil"/>
              <w:right w:val="nil"/>
            </w:tcBorders>
            <w:shd w:val="clear" w:color="auto" w:fill="auto"/>
            <w:noWrap/>
            <w:vAlign w:val="center"/>
            <w:hideMark/>
          </w:tcPr>
          <w:p w14:paraId="2BA3F4AC"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r>
      <w:tr w:rsidR="00F849A7" w:rsidRPr="00D9348B" w14:paraId="6F7D5BCA" w14:textId="77777777" w:rsidTr="00A628DC">
        <w:trPr>
          <w:trHeight w:val="204"/>
        </w:trPr>
        <w:tc>
          <w:tcPr>
            <w:tcW w:w="287" w:type="dxa"/>
            <w:vMerge/>
            <w:tcBorders>
              <w:top w:val="nil"/>
              <w:left w:val="nil"/>
              <w:bottom w:val="single" w:sz="8" w:space="0" w:color="365F91"/>
              <w:right w:val="nil"/>
            </w:tcBorders>
            <w:vAlign w:val="center"/>
            <w:hideMark/>
          </w:tcPr>
          <w:p w14:paraId="0D1C48B6" w14:textId="77777777" w:rsidR="00F849A7" w:rsidRPr="00D9348B" w:rsidRDefault="00F849A7" w:rsidP="00E3344E">
            <w:pPr>
              <w:pStyle w:val="TableText"/>
              <w:spacing w:before="50" w:after="50"/>
              <w:rPr>
                <w:rFonts w:cs="Calibri"/>
                <w:szCs w:val="16"/>
              </w:rPr>
            </w:pPr>
          </w:p>
        </w:tc>
        <w:tc>
          <w:tcPr>
            <w:tcW w:w="2832" w:type="dxa"/>
            <w:tcBorders>
              <w:top w:val="nil"/>
              <w:left w:val="nil"/>
              <w:bottom w:val="nil"/>
              <w:right w:val="nil"/>
            </w:tcBorders>
            <w:shd w:val="clear" w:color="auto" w:fill="auto"/>
            <w:vAlign w:val="center"/>
            <w:hideMark/>
          </w:tcPr>
          <w:p w14:paraId="111E1502" w14:textId="77777777" w:rsidR="00F849A7" w:rsidRPr="00D9348B" w:rsidRDefault="00F849A7" w:rsidP="00E3344E">
            <w:pPr>
              <w:pStyle w:val="TableText"/>
              <w:spacing w:before="50" w:after="50"/>
              <w:rPr>
                <w:rFonts w:cs="Calibri"/>
                <w:szCs w:val="16"/>
              </w:rPr>
            </w:pPr>
            <w:r w:rsidRPr="00D9348B">
              <w:rPr>
                <w:rFonts w:cs="Calibri"/>
                <w:szCs w:val="16"/>
              </w:rPr>
              <w:t>Dairy Cattle</w:t>
            </w:r>
          </w:p>
        </w:tc>
        <w:tc>
          <w:tcPr>
            <w:tcW w:w="850" w:type="dxa"/>
            <w:tcBorders>
              <w:top w:val="nil"/>
              <w:left w:val="nil"/>
              <w:bottom w:val="nil"/>
              <w:right w:val="nil"/>
            </w:tcBorders>
            <w:shd w:val="clear" w:color="auto" w:fill="auto"/>
            <w:noWrap/>
            <w:vAlign w:val="center"/>
            <w:hideMark/>
          </w:tcPr>
          <w:p w14:paraId="4A18AB9E" w14:textId="77777777" w:rsidR="00F849A7" w:rsidRPr="00D9348B" w:rsidRDefault="00F849A7" w:rsidP="00E3344E">
            <w:pPr>
              <w:pStyle w:val="TableText"/>
              <w:spacing w:before="50" w:after="50"/>
              <w:jc w:val="center"/>
              <w:rPr>
                <w:rFonts w:cs="Calibri"/>
                <w:szCs w:val="16"/>
              </w:rPr>
            </w:pPr>
            <w:r w:rsidRPr="00D9348B">
              <w:rPr>
                <w:rFonts w:cs="Calibri"/>
                <w:szCs w:val="16"/>
              </w:rPr>
              <w:t>T2</w:t>
            </w:r>
          </w:p>
        </w:tc>
        <w:tc>
          <w:tcPr>
            <w:tcW w:w="851" w:type="dxa"/>
            <w:tcBorders>
              <w:top w:val="nil"/>
              <w:left w:val="nil"/>
              <w:bottom w:val="nil"/>
              <w:right w:val="nil"/>
            </w:tcBorders>
            <w:shd w:val="clear" w:color="auto" w:fill="auto"/>
            <w:noWrap/>
            <w:vAlign w:val="center"/>
            <w:hideMark/>
          </w:tcPr>
          <w:p w14:paraId="2F7CA796" w14:textId="77777777" w:rsidR="00F849A7" w:rsidRPr="00D9348B" w:rsidRDefault="00F849A7" w:rsidP="00E3344E">
            <w:pPr>
              <w:pStyle w:val="TableText"/>
              <w:spacing w:before="50" w:after="50"/>
              <w:jc w:val="center"/>
              <w:rPr>
                <w:rFonts w:cs="Calibri"/>
                <w:szCs w:val="16"/>
              </w:rPr>
            </w:pPr>
            <w:r w:rsidRPr="00D9348B">
              <w:rPr>
                <w:rFonts w:cs="Calibri"/>
                <w:szCs w:val="16"/>
              </w:rPr>
              <w:t>CS</w:t>
            </w:r>
          </w:p>
        </w:tc>
        <w:tc>
          <w:tcPr>
            <w:tcW w:w="867" w:type="dxa"/>
            <w:tcBorders>
              <w:top w:val="nil"/>
              <w:left w:val="nil"/>
              <w:bottom w:val="nil"/>
              <w:right w:val="nil"/>
            </w:tcBorders>
            <w:shd w:val="clear" w:color="auto" w:fill="auto"/>
            <w:noWrap/>
            <w:vAlign w:val="center"/>
            <w:hideMark/>
          </w:tcPr>
          <w:p w14:paraId="5C360181" w14:textId="77777777" w:rsidR="00F849A7" w:rsidRPr="00D9348B" w:rsidRDefault="00F849A7" w:rsidP="00E3344E">
            <w:pPr>
              <w:pStyle w:val="TableText"/>
              <w:spacing w:before="50" w:after="50"/>
              <w:jc w:val="center"/>
              <w:rPr>
                <w:rFonts w:cs="Calibri"/>
                <w:szCs w:val="16"/>
              </w:rPr>
            </w:pPr>
            <w:r w:rsidRPr="00D9348B">
              <w:rPr>
                <w:rFonts w:cs="Calibri"/>
                <w:szCs w:val="16"/>
              </w:rPr>
              <w:t>T2</w:t>
            </w:r>
          </w:p>
        </w:tc>
        <w:tc>
          <w:tcPr>
            <w:tcW w:w="942" w:type="dxa"/>
            <w:tcBorders>
              <w:top w:val="nil"/>
              <w:left w:val="nil"/>
              <w:bottom w:val="nil"/>
              <w:right w:val="nil"/>
            </w:tcBorders>
            <w:shd w:val="clear" w:color="auto" w:fill="auto"/>
            <w:noWrap/>
            <w:vAlign w:val="center"/>
            <w:hideMark/>
          </w:tcPr>
          <w:p w14:paraId="1EE48DCD" w14:textId="77777777" w:rsidR="00F849A7" w:rsidRPr="00D9348B" w:rsidRDefault="00F849A7" w:rsidP="00E3344E">
            <w:pPr>
              <w:pStyle w:val="TableText"/>
              <w:spacing w:before="50" w:after="50"/>
              <w:jc w:val="center"/>
              <w:rPr>
                <w:rFonts w:cs="Calibri"/>
                <w:szCs w:val="16"/>
              </w:rPr>
            </w:pPr>
            <w:r w:rsidRPr="00D9348B">
              <w:rPr>
                <w:rFonts w:cs="Calibri"/>
                <w:szCs w:val="16"/>
              </w:rPr>
              <w:t>D</w:t>
            </w:r>
          </w:p>
        </w:tc>
        <w:tc>
          <w:tcPr>
            <w:tcW w:w="942" w:type="dxa"/>
            <w:tcBorders>
              <w:top w:val="nil"/>
              <w:left w:val="nil"/>
              <w:bottom w:val="nil"/>
              <w:right w:val="nil"/>
            </w:tcBorders>
            <w:shd w:val="clear" w:color="auto" w:fill="auto"/>
            <w:noWrap/>
            <w:vAlign w:val="center"/>
            <w:hideMark/>
          </w:tcPr>
          <w:p w14:paraId="4120C671"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3" w:type="dxa"/>
            <w:tcBorders>
              <w:top w:val="nil"/>
              <w:left w:val="nil"/>
              <w:bottom w:val="nil"/>
              <w:right w:val="nil"/>
            </w:tcBorders>
            <w:shd w:val="clear" w:color="auto" w:fill="auto"/>
            <w:noWrap/>
            <w:vAlign w:val="center"/>
            <w:hideMark/>
          </w:tcPr>
          <w:p w14:paraId="2169B625"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r>
      <w:tr w:rsidR="00F849A7" w:rsidRPr="00D9348B" w14:paraId="4007ED37" w14:textId="77777777" w:rsidTr="00A628DC">
        <w:trPr>
          <w:trHeight w:val="204"/>
        </w:trPr>
        <w:tc>
          <w:tcPr>
            <w:tcW w:w="287" w:type="dxa"/>
            <w:vMerge/>
            <w:tcBorders>
              <w:top w:val="nil"/>
              <w:left w:val="nil"/>
              <w:bottom w:val="single" w:sz="4" w:space="0" w:color="365F91"/>
              <w:right w:val="nil"/>
            </w:tcBorders>
            <w:vAlign w:val="center"/>
            <w:hideMark/>
          </w:tcPr>
          <w:p w14:paraId="373756FC" w14:textId="77777777" w:rsidR="00F849A7" w:rsidRPr="00D9348B" w:rsidRDefault="00F849A7" w:rsidP="00E3344E">
            <w:pPr>
              <w:pStyle w:val="TableText"/>
              <w:spacing w:before="50" w:after="50"/>
              <w:rPr>
                <w:rFonts w:cs="Calibri"/>
                <w:szCs w:val="16"/>
              </w:rPr>
            </w:pPr>
          </w:p>
        </w:tc>
        <w:tc>
          <w:tcPr>
            <w:tcW w:w="2832" w:type="dxa"/>
            <w:tcBorders>
              <w:top w:val="nil"/>
              <w:left w:val="nil"/>
              <w:bottom w:val="single" w:sz="4" w:space="0" w:color="365F91"/>
              <w:right w:val="nil"/>
            </w:tcBorders>
            <w:shd w:val="clear" w:color="auto" w:fill="auto"/>
            <w:vAlign w:val="center"/>
            <w:hideMark/>
          </w:tcPr>
          <w:p w14:paraId="6110CC19" w14:textId="77777777" w:rsidR="00F849A7" w:rsidRPr="00D9348B" w:rsidRDefault="00F849A7" w:rsidP="00E3344E">
            <w:pPr>
              <w:pStyle w:val="TableText"/>
              <w:spacing w:before="50" w:after="50"/>
              <w:rPr>
                <w:rFonts w:cs="Calibri"/>
                <w:szCs w:val="16"/>
              </w:rPr>
            </w:pPr>
            <w:r w:rsidRPr="00D9348B">
              <w:rPr>
                <w:rFonts w:cs="Calibri"/>
                <w:szCs w:val="16"/>
              </w:rPr>
              <w:t>Non-dairy Cattle</w:t>
            </w:r>
          </w:p>
        </w:tc>
        <w:tc>
          <w:tcPr>
            <w:tcW w:w="850" w:type="dxa"/>
            <w:tcBorders>
              <w:top w:val="nil"/>
              <w:left w:val="nil"/>
              <w:bottom w:val="single" w:sz="4" w:space="0" w:color="365F91"/>
              <w:right w:val="nil"/>
            </w:tcBorders>
            <w:shd w:val="clear" w:color="auto" w:fill="auto"/>
            <w:noWrap/>
            <w:vAlign w:val="center"/>
            <w:hideMark/>
          </w:tcPr>
          <w:p w14:paraId="5C72D105" w14:textId="77777777" w:rsidR="00F849A7" w:rsidRPr="00D9348B" w:rsidRDefault="00F849A7" w:rsidP="00E3344E">
            <w:pPr>
              <w:pStyle w:val="TableText"/>
              <w:spacing w:before="50" w:after="50"/>
              <w:jc w:val="center"/>
              <w:rPr>
                <w:rFonts w:cs="Calibri"/>
                <w:szCs w:val="16"/>
              </w:rPr>
            </w:pPr>
            <w:r w:rsidRPr="00D9348B">
              <w:rPr>
                <w:rFonts w:cs="Calibri"/>
                <w:szCs w:val="16"/>
              </w:rPr>
              <w:t>T2</w:t>
            </w:r>
          </w:p>
        </w:tc>
        <w:tc>
          <w:tcPr>
            <w:tcW w:w="851" w:type="dxa"/>
            <w:tcBorders>
              <w:top w:val="nil"/>
              <w:left w:val="nil"/>
              <w:bottom w:val="single" w:sz="4" w:space="0" w:color="365F91"/>
              <w:right w:val="nil"/>
            </w:tcBorders>
            <w:shd w:val="clear" w:color="auto" w:fill="auto"/>
            <w:noWrap/>
            <w:vAlign w:val="center"/>
            <w:hideMark/>
          </w:tcPr>
          <w:p w14:paraId="3BC982E9" w14:textId="77777777" w:rsidR="00F849A7" w:rsidRPr="00D9348B" w:rsidRDefault="00F849A7" w:rsidP="00E3344E">
            <w:pPr>
              <w:pStyle w:val="TableText"/>
              <w:spacing w:before="50" w:after="50"/>
              <w:jc w:val="center"/>
              <w:rPr>
                <w:rFonts w:cs="Calibri"/>
                <w:szCs w:val="16"/>
              </w:rPr>
            </w:pPr>
            <w:r w:rsidRPr="00D9348B">
              <w:rPr>
                <w:rFonts w:cs="Calibri"/>
                <w:szCs w:val="16"/>
              </w:rPr>
              <w:t>CS</w:t>
            </w:r>
          </w:p>
        </w:tc>
        <w:tc>
          <w:tcPr>
            <w:tcW w:w="867" w:type="dxa"/>
            <w:tcBorders>
              <w:top w:val="nil"/>
              <w:left w:val="nil"/>
              <w:bottom w:val="single" w:sz="4" w:space="0" w:color="365F91"/>
              <w:right w:val="nil"/>
            </w:tcBorders>
            <w:shd w:val="clear" w:color="auto" w:fill="auto"/>
            <w:noWrap/>
            <w:vAlign w:val="center"/>
            <w:hideMark/>
          </w:tcPr>
          <w:p w14:paraId="3CAFF32B" w14:textId="77777777" w:rsidR="00F849A7" w:rsidRPr="00D9348B" w:rsidRDefault="00F849A7" w:rsidP="00E3344E">
            <w:pPr>
              <w:pStyle w:val="TableText"/>
              <w:spacing w:before="50" w:after="50"/>
              <w:jc w:val="center"/>
              <w:rPr>
                <w:rFonts w:cs="Calibri"/>
                <w:szCs w:val="16"/>
              </w:rPr>
            </w:pPr>
            <w:r w:rsidRPr="00D9348B">
              <w:rPr>
                <w:rFonts w:cs="Calibri"/>
                <w:szCs w:val="16"/>
              </w:rPr>
              <w:t>NA</w:t>
            </w:r>
          </w:p>
        </w:tc>
        <w:tc>
          <w:tcPr>
            <w:tcW w:w="942" w:type="dxa"/>
            <w:tcBorders>
              <w:top w:val="nil"/>
              <w:left w:val="nil"/>
              <w:bottom w:val="single" w:sz="4" w:space="0" w:color="365F91"/>
              <w:right w:val="nil"/>
            </w:tcBorders>
            <w:shd w:val="clear" w:color="auto" w:fill="auto"/>
            <w:noWrap/>
            <w:vAlign w:val="center"/>
            <w:hideMark/>
          </w:tcPr>
          <w:p w14:paraId="4510A03F" w14:textId="77777777" w:rsidR="00F849A7" w:rsidRPr="00D9348B" w:rsidRDefault="00F849A7" w:rsidP="00E3344E">
            <w:pPr>
              <w:pStyle w:val="TableText"/>
              <w:spacing w:before="50" w:after="50"/>
              <w:jc w:val="center"/>
              <w:rPr>
                <w:rFonts w:cs="Calibri"/>
                <w:szCs w:val="16"/>
              </w:rPr>
            </w:pPr>
            <w:r w:rsidRPr="00D9348B">
              <w:rPr>
                <w:rFonts w:cs="Calibri"/>
                <w:szCs w:val="16"/>
              </w:rPr>
              <w:t>NA</w:t>
            </w:r>
          </w:p>
        </w:tc>
        <w:tc>
          <w:tcPr>
            <w:tcW w:w="942" w:type="dxa"/>
            <w:tcBorders>
              <w:top w:val="nil"/>
              <w:left w:val="nil"/>
              <w:bottom w:val="single" w:sz="4" w:space="0" w:color="365F91"/>
              <w:right w:val="nil"/>
            </w:tcBorders>
            <w:shd w:val="clear" w:color="auto" w:fill="auto"/>
            <w:noWrap/>
            <w:vAlign w:val="center"/>
            <w:hideMark/>
          </w:tcPr>
          <w:p w14:paraId="29E072BF"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3" w:type="dxa"/>
            <w:tcBorders>
              <w:top w:val="nil"/>
              <w:left w:val="nil"/>
              <w:bottom w:val="single" w:sz="4" w:space="0" w:color="365F91"/>
              <w:right w:val="nil"/>
            </w:tcBorders>
            <w:shd w:val="clear" w:color="auto" w:fill="auto"/>
            <w:noWrap/>
            <w:vAlign w:val="center"/>
            <w:hideMark/>
          </w:tcPr>
          <w:p w14:paraId="229EC568"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r>
      <w:tr w:rsidR="00F849A7" w:rsidRPr="00D9348B" w14:paraId="501D0B0D" w14:textId="77777777" w:rsidTr="00A628DC">
        <w:trPr>
          <w:trHeight w:val="204"/>
        </w:trPr>
        <w:tc>
          <w:tcPr>
            <w:tcW w:w="287" w:type="dxa"/>
            <w:tcBorders>
              <w:top w:val="single" w:sz="4" w:space="0" w:color="365F91"/>
              <w:left w:val="nil"/>
              <w:bottom w:val="single" w:sz="4" w:space="0" w:color="365F91"/>
              <w:right w:val="nil"/>
            </w:tcBorders>
            <w:shd w:val="clear" w:color="auto" w:fill="auto"/>
            <w:noWrap/>
            <w:vAlign w:val="center"/>
            <w:hideMark/>
          </w:tcPr>
          <w:p w14:paraId="0B2426EF" w14:textId="77777777" w:rsidR="00F849A7" w:rsidRPr="00D9348B" w:rsidRDefault="00F849A7" w:rsidP="00E3344E">
            <w:pPr>
              <w:pStyle w:val="TableText"/>
              <w:spacing w:before="50" w:after="50"/>
              <w:rPr>
                <w:rFonts w:cs="Calibri"/>
                <w:szCs w:val="16"/>
              </w:rPr>
            </w:pPr>
            <w:r w:rsidRPr="00D9348B">
              <w:rPr>
                <w:rFonts w:cs="Calibri"/>
                <w:szCs w:val="16"/>
              </w:rPr>
              <w:t>2</w:t>
            </w:r>
          </w:p>
        </w:tc>
        <w:tc>
          <w:tcPr>
            <w:tcW w:w="2832" w:type="dxa"/>
            <w:tcBorders>
              <w:top w:val="single" w:sz="4" w:space="0" w:color="365F91"/>
              <w:left w:val="nil"/>
              <w:bottom w:val="single" w:sz="4" w:space="0" w:color="365F91"/>
              <w:right w:val="nil"/>
            </w:tcBorders>
            <w:shd w:val="clear" w:color="auto" w:fill="auto"/>
            <w:vAlign w:val="center"/>
            <w:hideMark/>
          </w:tcPr>
          <w:p w14:paraId="04F64B09" w14:textId="77777777" w:rsidR="00F849A7" w:rsidRPr="00D9348B" w:rsidRDefault="00F849A7" w:rsidP="00E3344E">
            <w:pPr>
              <w:pStyle w:val="TableText"/>
              <w:spacing w:before="50" w:after="50"/>
              <w:rPr>
                <w:rFonts w:cs="Calibri"/>
                <w:szCs w:val="16"/>
              </w:rPr>
            </w:pPr>
            <w:r w:rsidRPr="00D9348B">
              <w:rPr>
                <w:rFonts w:cs="Calibri"/>
                <w:szCs w:val="16"/>
              </w:rPr>
              <w:t xml:space="preserve">Sheep </w:t>
            </w:r>
          </w:p>
        </w:tc>
        <w:tc>
          <w:tcPr>
            <w:tcW w:w="850" w:type="dxa"/>
            <w:tcBorders>
              <w:top w:val="single" w:sz="4" w:space="0" w:color="365F91"/>
              <w:left w:val="nil"/>
              <w:bottom w:val="single" w:sz="4" w:space="0" w:color="365F91"/>
              <w:right w:val="nil"/>
            </w:tcBorders>
            <w:shd w:val="clear" w:color="auto" w:fill="auto"/>
            <w:noWrap/>
            <w:vAlign w:val="center"/>
            <w:hideMark/>
          </w:tcPr>
          <w:p w14:paraId="77A95230" w14:textId="77777777" w:rsidR="00F849A7" w:rsidRPr="00D9348B" w:rsidRDefault="00F849A7" w:rsidP="00E3344E">
            <w:pPr>
              <w:pStyle w:val="TableText"/>
              <w:spacing w:before="50" w:after="50"/>
              <w:jc w:val="center"/>
              <w:rPr>
                <w:rFonts w:cs="Calibri"/>
                <w:szCs w:val="16"/>
              </w:rPr>
            </w:pPr>
            <w:r w:rsidRPr="00D9348B">
              <w:rPr>
                <w:rFonts w:cs="Calibri"/>
                <w:szCs w:val="16"/>
              </w:rPr>
              <w:t>T2</w:t>
            </w:r>
          </w:p>
        </w:tc>
        <w:tc>
          <w:tcPr>
            <w:tcW w:w="851" w:type="dxa"/>
            <w:tcBorders>
              <w:top w:val="single" w:sz="4" w:space="0" w:color="365F91"/>
              <w:left w:val="nil"/>
              <w:bottom w:val="single" w:sz="4" w:space="0" w:color="365F91"/>
              <w:right w:val="nil"/>
            </w:tcBorders>
            <w:shd w:val="clear" w:color="auto" w:fill="auto"/>
            <w:noWrap/>
            <w:vAlign w:val="center"/>
            <w:hideMark/>
          </w:tcPr>
          <w:p w14:paraId="35C2E4F0" w14:textId="77777777" w:rsidR="00F849A7" w:rsidRPr="00D9348B" w:rsidRDefault="00F849A7" w:rsidP="00E3344E">
            <w:pPr>
              <w:pStyle w:val="TableText"/>
              <w:spacing w:before="50" w:after="50"/>
              <w:jc w:val="center"/>
              <w:rPr>
                <w:rFonts w:cs="Calibri"/>
                <w:szCs w:val="16"/>
              </w:rPr>
            </w:pPr>
            <w:r w:rsidRPr="00D9348B">
              <w:rPr>
                <w:rFonts w:cs="Calibri"/>
                <w:szCs w:val="16"/>
              </w:rPr>
              <w:t>CS</w:t>
            </w:r>
          </w:p>
        </w:tc>
        <w:tc>
          <w:tcPr>
            <w:tcW w:w="867" w:type="dxa"/>
            <w:tcBorders>
              <w:top w:val="single" w:sz="4" w:space="0" w:color="365F91"/>
              <w:left w:val="nil"/>
              <w:bottom w:val="single" w:sz="4" w:space="0" w:color="365F91"/>
              <w:right w:val="nil"/>
            </w:tcBorders>
            <w:shd w:val="clear" w:color="auto" w:fill="auto"/>
            <w:noWrap/>
            <w:vAlign w:val="center"/>
            <w:hideMark/>
          </w:tcPr>
          <w:p w14:paraId="10D59B70" w14:textId="77777777" w:rsidR="00F849A7" w:rsidRPr="00D9348B" w:rsidRDefault="00F849A7" w:rsidP="00E3344E">
            <w:pPr>
              <w:pStyle w:val="TableText"/>
              <w:spacing w:before="50" w:after="50"/>
              <w:jc w:val="center"/>
              <w:rPr>
                <w:rFonts w:cs="Calibri"/>
                <w:szCs w:val="16"/>
              </w:rPr>
            </w:pPr>
            <w:r w:rsidRPr="00D9348B">
              <w:rPr>
                <w:rFonts w:cs="Calibri"/>
                <w:szCs w:val="16"/>
              </w:rPr>
              <w:t>NA</w:t>
            </w:r>
          </w:p>
        </w:tc>
        <w:tc>
          <w:tcPr>
            <w:tcW w:w="942" w:type="dxa"/>
            <w:tcBorders>
              <w:top w:val="single" w:sz="4" w:space="0" w:color="365F91"/>
              <w:left w:val="nil"/>
              <w:bottom w:val="single" w:sz="4" w:space="0" w:color="365F91"/>
              <w:right w:val="nil"/>
            </w:tcBorders>
            <w:shd w:val="clear" w:color="auto" w:fill="auto"/>
            <w:noWrap/>
            <w:vAlign w:val="center"/>
            <w:hideMark/>
          </w:tcPr>
          <w:p w14:paraId="6DB8DFC4" w14:textId="77777777" w:rsidR="00F849A7" w:rsidRPr="00D9348B" w:rsidRDefault="00F849A7" w:rsidP="00E3344E">
            <w:pPr>
              <w:pStyle w:val="TableText"/>
              <w:spacing w:before="50" w:after="50"/>
              <w:jc w:val="center"/>
              <w:rPr>
                <w:rFonts w:cs="Calibri"/>
                <w:szCs w:val="16"/>
              </w:rPr>
            </w:pPr>
            <w:r w:rsidRPr="00D9348B">
              <w:rPr>
                <w:rFonts w:cs="Calibri"/>
                <w:szCs w:val="16"/>
              </w:rPr>
              <w:t>NA</w:t>
            </w:r>
          </w:p>
        </w:tc>
        <w:tc>
          <w:tcPr>
            <w:tcW w:w="942" w:type="dxa"/>
            <w:tcBorders>
              <w:top w:val="single" w:sz="4" w:space="0" w:color="365F91"/>
              <w:left w:val="nil"/>
              <w:bottom w:val="single" w:sz="4" w:space="0" w:color="365F91"/>
              <w:right w:val="nil"/>
            </w:tcBorders>
            <w:shd w:val="clear" w:color="auto" w:fill="auto"/>
            <w:noWrap/>
            <w:vAlign w:val="center"/>
            <w:hideMark/>
          </w:tcPr>
          <w:p w14:paraId="686D585D"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3" w:type="dxa"/>
            <w:tcBorders>
              <w:top w:val="single" w:sz="4" w:space="0" w:color="365F91"/>
              <w:left w:val="nil"/>
              <w:bottom w:val="single" w:sz="4" w:space="0" w:color="365F91"/>
              <w:right w:val="nil"/>
            </w:tcBorders>
            <w:shd w:val="clear" w:color="auto" w:fill="auto"/>
            <w:noWrap/>
            <w:vAlign w:val="center"/>
            <w:hideMark/>
          </w:tcPr>
          <w:p w14:paraId="45E3D2DC"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r>
      <w:tr w:rsidR="00F849A7" w:rsidRPr="00D9348B" w14:paraId="46FA8CE0" w14:textId="77777777" w:rsidTr="00A628DC">
        <w:trPr>
          <w:trHeight w:val="204"/>
        </w:trPr>
        <w:tc>
          <w:tcPr>
            <w:tcW w:w="287" w:type="dxa"/>
            <w:tcBorders>
              <w:top w:val="single" w:sz="4" w:space="0" w:color="365F91"/>
              <w:left w:val="nil"/>
              <w:bottom w:val="single" w:sz="4" w:space="0" w:color="365F91"/>
              <w:right w:val="nil"/>
            </w:tcBorders>
            <w:shd w:val="clear" w:color="auto" w:fill="auto"/>
            <w:noWrap/>
            <w:vAlign w:val="center"/>
            <w:hideMark/>
          </w:tcPr>
          <w:p w14:paraId="053DD65B" w14:textId="77777777" w:rsidR="00F849A7" w:rsidRPr="00D9348B" w:rsidRDefault="00F849A7" w:rsidP="00E3344E">
            <w:pPr>
              <w:pStyle w:val="TableText"/>
              <w:spacing w:before="50" w:after="50"/>
              <w:rPr>
                <w:rFonts w:cs="Calibri"/>
                <w:szCs w:val="16"/>
              </w:rPr>
            </w:pPr>
            <w:r w:rsidRPr="00D9348B">
              <w:rPr>
                <w:rFonts w:cs="Calibri"/>
                <w:szCs w:val="16"/>
              </w:rPr>
              <w:t>3</w:t>
            </w:r>
          </w:p>
        </w:tc>
        <w:tc>
          <w:tcPr>
            <w:tcW w:w="2832" w:type="dxa"/>
            <w:tcBorders>
              <w:top w:val="single" w:sz="4" w:space="0" w:color="365F91"/>
              <w:left w:val="nil"/>
              <w:bottom w:val="single" w:sz="4" w:space="0" w:color="365F91"/>
              <w:right w:val="nil"/>
            </w:tcBorders>
            <w:shd w:val="clear" w:color="auto" w:fill="auto"/>
            <w:vAlign w:val="center"/>
            <w:hideMark/>
          </w:tcPr>
          <w:p w14:paraId="3055125D" w14:textId="77777777" w:rsidR="00F849A7" w:rsidRPr="00D9348B" w:rsidRDefault="00F849A7" w:rsidP="00E3344E">
            <w:pPr>
              <w:pStyle w:val="TableText"/>
              <w:spacing w:before="50" w:after="50"/>
              <w:rPr>
                <w:rFonts w:cs="Calibri"/>
                <w:szCs w:val="16"/>
              </w:rPr>
            </w:pPr>
            <w:r w:rsidRPr="00D9348B">
              <w:rPr>
                <w:rFonts w:cs="Calibri"/>
                <w:szCs w:val="16"/>
              </w:rPr>
              <w:t>Swine</w:t>
            </w:r>
          </w:p>
        </w:tc>
        <w:tc>
          <w:tcPr>
            <w:tcW w:w="850" w:type="dxa"/>
            <w:tcBorders>
              <w:top w:val="single" w:sz="4" w:space="0" w:color="365F91"/>
              <w:left w:val="nil"/>
              <w:bottom w:val="single" w:sz="4" w:space="0" w:color="365F91"/>
              <w:right w:val="nil"/>
            </w:tcBorders>
            <w:shd w:val="clear" w:color="auto" w:fill="auto"/>
            <w:noWrap/>
            <w:vAlign w:val="center"/>
            <w:hideMark/>
          </w:tcPr>
          <w:p w14:paraId="4AAE4131" w14:textId="77777777" w:rsidR="00F849A7" w:rsidRPr="00D9348B" w:rsidRDefault="00F849A7" w:rsidP="00E3344E">
            <w:pPr>
              <w:pStyle w:val="TableText"/>
              <w:spacing w:before="50" w:after="50"/>
              <w:jc w:val="center"/>
              <w:rPr>
                <w:rFonts w:cs="Calibri"/>
                <w:szCs w:val="16"/>
              </w:rPr>
            </w:pPr>
            <w:r w:rsidRPr="00D9348B">
              <w:rPr>
                <w:rFonts w:cs="Calibri"/>
                <w:szCs w:val="16"/>
              </w:rPr>
              <w:t>T1</w:t>
            </w:r>
          </w:p>
        </w:tc>
        <w:tc>
          <w:tcPr>
            <w:tcW w:w="851" w:type="dxa"/>
            <w:tcBorders>
              <w:top w:val="single" w:sz="4" w:space="0" w:color="365F91"/>
              <w:left w:val="nil"/>
              <w:bottom w:val="single" w:sz="4" w:space="0" w:color="365F91"/>
              <w:right w:val="nil"/>
            </w:tcBorders>
            <w:shd w:val="clear" w:color="auto" w:fill="auto"/>
            <w:noWrap/>
            <w:vAlign w:val="center"/>
            <w:hideMark/>
          </w:tcPr>
          <w:p w14:paraId="1A07D29D" w14:textId="77777777" w:rsidR="00F849A7" w:rsidRPr="00D9348B" w:rsidRDefault="00F849A7" w:rsidP="00E3344E">
            <w:pPr>
              <w:pStyle w:val="TableText"/>
              <w:spacing w:before="50" w:after="50"/>
              <w:jc w:val="center"/>
              <w:rPr>
                <w:rFonts w:cs="Calibri"/>
                <w:szCs w:val="16"/>
              </w:rPr>
            </w:pPr>
            <w:r w:rsidRPr="00D9348B">
              <w:rPr>
                <w:rFonts w:cs="Calibri"/>
                <w:szCs w:val="16"/>
              </w:rPr>
              <w:t>CS</w:t>
            </w:r>
          </w:p>
        </w:tc>
        <w:tc>
          <w:tcPr>
            <w:tcW w:w="867" w:type="dxa"/>
            <w:tcBorders>
              <w:top w:val="single" w:sz="4" w:space="0" w:color="365F91"/>
              <w:left w:val="nil"/>
              <w:bottom w:val="single" w:sz="4" w:space="0" w:color="365F91"/>
              <w:right w:val="nil"/>
            </w:tcBorders>
            <w:shd w:val="clear" w:color="auto" w:fill="auto"/>
            <w:noWrap/>
            <w:vAlign w:val="center"/>
            <w:hideMark/>
          </w:tcPr>
          <w:p w14:paraId="39279465" w14:textId="77777777" w:rsidR="00F849A7" w:rsidRPr="00D9348B" w:rsidRDefault="00F849A7" w:rsidP="00E3344E">
            <w:pPr>
              <w:pStyle w:val="TableText"/>
              <w:spacing w:before="50" w:after="50"/>
              <w:jc w:val="center"/>
              <w:rPr>
                <w:rFonts w:cs="Calibri"/>
                <w:szCs w:val="16"/>
              </w:rPr>
            </w:pPr>
            <w:r w:rsidRPr="00D9348B">
              <w:rPr>
                <w:rFonts w:cs="Calibri"/>
                <w:szCs w:val="16"/>
              </w:rPr>
              <w:t>T1</w:t>
            </w:r>
          </w:p>
        </w:tc>
        <w:tc>
          <w:tcPr>
            <w:tcW w:w="942" w:type="dxa"/>
            <w:tcBorders>
              <w:top w:val="single" w:sz="4" w:space="0" w:color="365F91"/>
              <w:left w:val="nil"/>
              <w:bottom w:val="single" w:sz="4" w:space="0" w:color="365F91"/>
              <w:right w:val="nil"/>
            </w:tcBorders>
            <w:shd w:val="clear" w:color="auto" w:fill="auto"/>
            <w:noWrap/>
            <w:vAlign w:val="center"/>
            <w:hideMark/>
          </w:tcPr>
          <w:p w14:paraId="3E74CBD8" w14:textId="77777777" w:rsidR="00F849A7" w:rsidRPr="00D9348B" w:rsidRDefault="00F849A7" w:rsidP="00E3344E">
            <w:pPr>
              <w:pStyle w:val="TableText"/>
              <w:spacing w:before="50" w:after="50"/>
              <w:jc w:val="center"/>
              <w:rPr>
                <w:rFonts w:cs="Calibri"/>
                <w:szCs w:val="16"/>
              </w:rPr>
            </w:pPr>
            <w:r w:rsidRPr="00D9348B">
              <w:rPr>
                <w:rFonts w:cs="Calibri"/>
                <w:szCs w:val="16"/>
              </w:rPr>
              <w:t>CS</w:t>
            </w:r>
          </w:p>
        </w:tc>
        <w:tc>
          <w:tcPr>
            <w:tcW w:w="942" w:type="dxa"/>
            <w:tcBorders>
              <w:top w:val="single" w:sz="4" w:space="0" w:color="365F91"/>
              <w:left w:val="nil"/>
              <w:bottom w:val="single" w:sz="4" w:space="0" w:color="365F91"/>
              <w:right w:val="nil"/>
            </w:tcBorders>
            <w:shd w:val="clear" w:color="auto" w:fill="auto"/>
            <w:noWrap/>
            <w:vAlign w:val="center"/>
            <w:hideMark/>
          </w:tcPr>
          <w:p w14:paraId="21BCFF8D"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3" w:type="dxa"/>
            <w:tcBorders>
              <w:top w:val="single" w:sz="4" w:space="0" w:color="365F91"/>
              <w:left w:val="nil"/>
              <w:bottom w:val="single" w:sz="4" w:space="0" w:color="365F91"/>
              <w:right w:val="nil"/>
            </w:tcBorders>
            <w:shd w:val="clear" w:color="auto" w:fill="auto"/>
            <w:noWrap/>
            <w:vAlign w:val="center"/>
            <w:hideMark/>
          </w:tcPr>
          <w:p w14:paraId="6AA49525"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r>
      <w:tr w:rsidR="00F849A7" w:rsidRPr="00D9348B" w14:paraId="5B19598F" w14:textId="77777777" w:rsidTr="00A628DC">
        <w:trPr>
          <w:trHeight w:val="204"/>
        </w:trPr>
        <w:tc>
          <w:tcPr>
            <w:tcW w:w="287" w:type="dxa"/>
            <w:vMerge w:val="restart"/>
            <w:tcBorders>
              <w:top w:val="single" w:sz="4" w:space="0" w:color="365F91"/>
              <w:left w:val="nil"/>
              <w:bottom w:val="single" w:sz="8" w:space="0" w:color="365F91"/>
              <w:right w:val="nil"/>
            </w:tcBorders>
            <w:shd w:val="clear" w:color="auto" w:fill="auto"/>
            <w:noWrap/>
            <w:vAlign w:val="center"/>
            <w:hideMark/>
          </w:tcPr>
          <w:p w14:paraId="14FB3E73" w14:textId="77777777" w:rsidR="00F849A7" w:rsidRPr="00D9348B" w:rsidRDefault="00F849A7" w:rsidP="00E3344E">
            <w:pPr>
              <w:pStyle w:val="TableText"/>
              <w:spacing w:before="50" w:after="50"/>
              <w:rPr>
                <w:rFonts w:cs="Calibri"/>
                <w:szCs w:val="16"/>
              </w:rPr>
            </w:pPr>
            <w:r w:rsidRPr="00D9348B">
              <w:rPr>
                <w:rFonts w:cs="Calibri"/>
                <w:szCs w:val="16"/>
              </w:rPr>
              <w:t>4</w:t>
            </w:r>
          </w:p>
        </w:tc>
        <w:tc>
          <w:tcPr>
            <w:tcW w:w="2832" w:type="dxa"/>
            <w:tcBorders>
              <w:top w:val="single" w:sz="4" w:space="0" w:color="365F91"/>
              <w:left w:val="nil"/>
              <w:bottom w:val="nil"/>
              <w:right w:val="nil"/>
            </w:tcBorders>
            <w:shd w:val="clear" w:color="auto" w:fill="auto"/>
            <w:vAlign w:val="center"/>
            <w:hideMark/>
          </w:tcPr>
          <w:p w14:paraId="059789CA" w14:textId="77777777" w:rsidR="00F849A7" w:rsidRPr="00D9348B" w:rsidRDefault="00F849A7" w:rsidP="00E3344E">
            <w:pPr>
              <w:pStyle w:val="TableText"/>
              <w:spacing w:before="50" w:after="50"/>
              <w:rPr>
                <w:rFonts w:cs="Calibri"/>
                <w:szCs w:val="16"/>
              </w:rPr>
            </w:pPr>
            <w:r w:rsidRPr="00D9348B">
              <w:rPr>
                <w:rFonts w:cs="Calibri"/>
                <w:szCs w:val="16"/>
              </w:rPr>
              <w:t>Poultry</w:t>
            </w:r>
          </w:p>
        </w:tc>
        <w:tc>
          <w:tcPr>
            <w:tcW w:w="850" w:type="dxa"/>
            <w:tcBorders>
              <w:top w:val="single" w:sz="4" w:space="0" w:color="365F91"/>
              <w:left w:val="nil"/>
              <w:bottom w:val="nil"/>
              <w:right w:val="nil"/>
            </w:tcBorders>
            <w:shd w:val="clear" w:color="auto" w:fill="auto"/>
            <w:noWrap/>
            <w:vAlign w:val="center"/>
            <w:hideMark/>
          </w:tcPr>
          <w:p w14:paraId="218DACDA" w14:textId="77777777" w:rsidR="00F849A7" w:rsidRPr="00D9348B" w:rsidRDefault="00F849A7" w:rsidP="00E3344E">
            <w:pPr>
              <w:pStyle w:val="TableText"/>
              <w:spacing w:before="50" w:after="50"/>
              <w:jc w:val="center"/>
              <w:rPr>
                <w:rFonts w:cs="Calibri"/>
                <w:szCs w:val="16"/>
              </w:rPr>
            </w:pPr>
            <w:r w:rsidRPr="00D9348B">
              <w:rPr>
                <w:rFonts w:cs="Calibri"/>
                <w:szCs w:val="16"/>
              </w:rPr>
              <w:t>T1</w:t>
            </w:r>
          </w:p>
        </w:tc>
        <w:tc>
          <w:tcPr>
            <w:tcW w:w="851" w:type="dxa"/>
            <w:tcBorders>
              <w:top w:val="single" w:sz="4" w:space="0" w:color="365F91"/>
              <w:left w:val="nil"/>
              <w:bottom w:val="nil"/>
              <w:right w:val="nil"/>
            </w:tcBorders>
            <w:shd w:val="clear" w:color="auto" w:fill="auto"/>
            <w:noWrap/>
            <w:vAlign w:val="center"/>
            <w:hideMark/>
          </w:tcPr>
          <w:p w14:paraId="532CEFF3" w14:textId="77777777" w:rsidR="00F849A7" w:rsidRPr="00D9348B" w:rsidRDefault="00F849A7" w:rsidP="00E3344E">
            <w:pPr>
              <w:pStyle w:val="TableText"/>
              <w:spacing w:before="50" w:after="50"/>
              <w:jc w:val="center"/>
              <w:rPr>
                <w:rFonts w:cs="Calibri"/>
                <w:szCs w:val="16"/>
              </w:rPr>
            </w:pPr>
            <w:r w:rsidRPr="00D9348B">
              <w:rPr>
                <w:rFonts w:cs="Calibri"/>
                <w:szCs w:val="16"/>
              </w:rPr>
              <w:t>D</w:t>
            </w:r>
          </w:p>
        </w:tc>
        <w:tc>
          <w:tcPr>
            <w:tcW w:w="867" w:type="dxa"/>
            <w:tcBorders>
              <w:top w:val="single" w:sz="4" w:space="0" w:color="365F91"/>
              <w:left w:val="nil"/>
              <w:bottom w:val="nil"/>
              <w:right w:val="nil"/>
            </w:tcBorders>
            <w:shd w:val="clear" w:color="auto" w:fill="auto"/>
            <w:noWrap/>
            <w:vAlign w:val="center"/>
            <w:hideMark/>
          </w:tcPr>
          <w:p w14:paraId="7DFE256D" w14:textId="77777777" w:rsidR="00F849A7" w:rsidRPr="00D9348B" w:rsidRDefault="00F849A7" w:rsidP="00E3344E">
            <w:pPr>
              <w:pStyle w:val="TableText"/>
              <w:spacing w:before="50" w:after="50"/>
              <w:jc w:val="center"/>
              <w:rPr>
                <w:rFonts w:cs="Calibri"/>
                <w:szCs w:val="16"/>
              </w:rPr>
            </w:pPr>
            <w:r w:rsidRPr="00D9348B">
              <w:rPr>
                <w:rFonts w:cs="Calibri"/>
                <w:szCs w:val="16"/>
              </w:rPr>
              <w:t>T1</w:t>
            </w:r>
          </w:p>
        </w:tc>
        <w:tc>
          <w:tcPr>
            <w:tcW w:w="942" w:type="dxa"/>
            <w:tcBorders>
              <w:top w:val="single" w:sz="4" w:space="0" w:color="365F91"/>
              <w:left w:val="nil"/>
              <w:bottom w:val="nil"/>
              <w:right w:val="nil"/>
            </w:tcBorders>
            <w:shd w:val="clear" w:color="auto" w:fill="auto"/>
            <w:noWrap/>
            <w:vAlign w:val="center"/>
            <w:hideMark/>
          </w:tcPr>
          <w:p w14:paraId="19EEB2DF" w14:textId="77777777" w:rsidR="00F849A7" w:rsidRPr="00D9348B" w:rsidRDefault="00F849A7" w:rsidP="00E3344E">
            <w:pPr>
              <w:pStyle w:val="TableText"/>
              <w:spacing w:before="50" w:after="50"/>
              <w:jc w:val="center"/>
              <w:rPr>
                <w:rFonts w:cs="Calibri"/>
                <w:szCs w:val="16"/>
              </w:rPr>
            </w:pPr>
            <w:r w:rsidRPr="00D9348B">
              <w:rPr>
                <w:rFonts w:cs="Calibri"/>
                <w:szCs w:val="16"/>
              </w:rPr>
              <w:t>CS</w:t>
            </w:r>
          </w:p>
        </w:tc>
        <w:tc>
          <w:tcPr>
            <w:tcW w:w="942" w:type="dxa"/>
            <w:tcBorders>
              <w:top w:val="single" w:sz="4" w:space="0" w:color="365F91"/>
              <w:left w:val="nil"/>
              <w:bottom w:val="nil"/>
              <w:right w:val="nil"/>
            </w:tcBorders>
            <w:shd w:val="clear" w:color="auto" w:fill="auto"/>
            <w:noWrap/>
            <w:vAlign w:val="center"/>
            <w:hideMark/>
          </w:tcPr>
          <w:p w14:paraId="7550DA9E"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3" w:type="dxa"/>
            <w:tcBorders>
              <w:top w:val="single" w:sz="4" w:space="0" w:color="365F91"/>
              <w:left w:val="nil"/>
              <w:bottom w:val="nil"/>
              <w:right w:val="nil"/>
            </w:tcBorders>
            <w:shd w:val="clear" w:color="auto" w:fill="auto"/>
            <w:noWrap/>
            <w:vAlign w:val="center"/>
            <w:hideMark/>
          </w:tcPr>
          <w:p w14:paraId="39DFD5C9"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r>
      <w:tr w:rsidR="00F849A7" w:rsidRPr="00D9348B" w14:paraId="5FF36359" w14:textId="77777777" w:rsidTr="00A628DC">
        <w:trPr>
          <w:trHeight w:val="204"/>
        </w:trPr>
        <w:tc>
          <w:tcPr>
            <w:tcW w:w="287" w:type="dxa"/>
            <w:vMerge/>
            <w:tcBorders>
              <w:top w:val="nil"/>
              <w:left w:val="nil"/>
              <w:bottom w:val="single" w:sz="4" w:space="0" w:color="365F91"/>
              <w:right w:val="nil"/>
            </w:tcBorders>
            <w:vAlign w:val="center"/>
            <w:hideMark/>
          </w:tcPr>
          <w:p w14:paraId="768D9F1C" w14:textId="77777777" w:rsidR="00F849A7" w:rsidRPr="00D9348B" w:rsidRDefault="00F849A7" w:rsidP="00E3344E">
            <w:pPr>
              <w:pStyle w:val="TableText"/>
              <w:spacing w:before="50" w:after="50"/>
              <w:rPr>
                <w:rFonts w:cs="Calibri"/>
                <w:szCs w:val="16"/>
              </w:rPr>
            </w:pPr>
          </w:p>
        </w:tc>
        <w:tc>
          <w:tcPr>
            <w:tcW w:w="2832" w:type="dxa"/>
            <w:tcBorders>
              <w:top w:val="nil"/>
              <w:left w:val="nil"/>
              <w:bottom w:val="single" w:sz="4" w:space="0" w:color="365F91"/>
              <w:right w:val="nil"/>
            </w:tcBorders>
            <w:shd w:val="clear" w:color="auto" w:fill="auto"/>
            <w:vAlign w:val="center"/>
            <w:hideMark/>
          </w:tcPr>
          <w:p w14:paraId="321DDF0C" w14:textId="77777777" w:rsidR="00F849A7" w:rsidRPr="00D9348B" w:rsidRDefault="00F849A7" w:rsidP="00E3344E">
            <w:pPr>
              <w:pStyle w:val="TableText"/>
              <w:spacing w:before="50" w:after="50"/>
              <w:rPr>
                <w:rFonts w:cs="Calibri"/>
                <w:szCs w:val="16"/>
              </w:rPr>
            </w:pPr>
            <w:r w:rsidRPr="00D9348B">
              <w:rPr>
                <w:rFonts w:cs="Calibri"/>
                <w:szCs w:val="16"/>
              </w:rPr>
              <w:t>Other Livestock (Buffalo, Camels, Deer, Goats, Horses, Mules and Asses)</w:t>
            </w:r>
          </w:p>
        </w:tc>
        <w:tc>
          <w:tcPr>
            <w:tcW w:w="850" w:type="dxa"/>
            <w:tcBorders>
              <w:top w:val="nil"/>
              <w:left w:val="nil"/>
              <w:bottom w:val="single" w:sz="4" w:space="0" w:color="365F91"/>
              <w:right w:val="nil"/>
            </w:tcBorders>
            <w:shd w:val="clear" w:color="auto" w:fill="auto"/>
            <w:noWrap/>
            <w:vAlign w:val="center"/>
            <w:hideMark/>
          </w:tcPr>
          <w:p w14:paraId="3F029C29" w14:textId="77777777" w:rsidR="00F849A7" w:rsidRPr="00D9348B" w:rsidRDefault="00F849A7" w:rsidP="00E3344E">
            <w:pPr>
              <w:pStyle w:val="TableText"/>
              <w:spacing w:before="50" w:after="50"/>
              <w:jc w:val="center"/>
              <w:rPr>
                <w:rFonts w:cs="Calibri"/>
                <w:szCs w:val="16"/>
              </w:rPr>
            </w:pPr>
            <w:r w:rsidRPr="00D9348B">
              <w:rPr>
                <w:rFonts w:cs="Calibri"/>
                <w:szCs w:val="16"/>
              </w:rPr>
              <w:t>T1, T2</w:t>
            </w:r>
          </w:p>
        </w:tc>
        <w:tc>
          <w:tcPr>
            <w:tcW w:w="851" w:type="dxa"/>
            <w:tcBorders>
              <w:top w:val="nil"/>
              <w:left w:val="nil"/>
              <w:bottom w:val="single" w:sz="4" w:space="0" w:color="365F91"/>
              <w:right w:val="nil"/>
            </w:tcBorders>
            <w:shd w:val="clear" w:color="auto" w:fill="auto"/>
            <w:noWrap/>
            <w:vAlign w:val="center"/>
            <w:hideMark/>
          </w:tcPr>
          <w:p w14:paraId="622DB1B3" w14:textId="77777777" w:rsidR="00F849A7" w:rsidRPr="00D9348B" w:rsidRDefault="00F849A7" w:rsidP="00E3344E">
            <w:pPr>
              <w:pStyle w:val="TableText"/>
              <w:spacing w:before="50" w:after="50"/>
              <w:jc w:val="center"/>
              <w:rPr>
                <w:rFonts w:cs="Calibri"/>
                <w:szCs w:val="16"/>
              </w:rPr>
            </w:pPr>
            <w:r w:rsidRPr="00D9348B">
              <w:rPr>
                <w:rFonts w:cs="Calibri"/>
                <w:szCs w:val="16"/>
              </w:rPr>
              <w:t>CS,D</w:t>
            </w:r>
          </w:p>
        </w:tc>
        <w:tc>
          <w:tcPr>
            <w:tcW w:w="867" w:type="dxa"/>
            <w:tcBorders>
              <w:top w:val="nil"/>
              <w:left w:val="nil"/>
              <w:bottom w:val="single" w:sz="4" w:space="0" w:color="365F91"/>
              <w:right w:val="nil"/>
            </w:tcBorders>
            <w:shd w:val="clear" w:color="auto" w:fill="auto"/>
            <w:noWrap/>
            <w:vAlign w:val="center"/>
            <w:hideMark/>
          </w:tcPr>
          <w:p w14:paraId="0E0713F2" w14:textId="77777777" w:rsidR="00F849A7" w:rsidRPr="00D9348B" w:rsidRDefault="00F849A7" w:rsidP="00E3344E">
            <w:pPr>
              <w:pStyle w:val="TableText"/>
              <w:spacing w:before="50" w:after="50"/>
              <w:jc w:val="center"/>
              <w:rPr>
                <w:rFonts w:cs="Calibri"/>
                <w:szCs w:val="16"/>
              </w:rPr>
            </w:pPr>
            <w:r w:rsidRPr="00D9348B">
              <w:rPr>
                <w:rFonts w:cs="Calibri"/>
                <w:szCs w:val="16"/>
              </w:rPr>
              <w:t>NA</w:t>
            </w:r>
          </w:p>
        </w:tc>
        <w:tc>
          <w:tcPr>
            <w:tcW w:w="942" w:type="dxa"/>
            <w:tcBorders>
              <w:top w:val="nil"/>
              <w:left w:val="nil"/>
              <w:bottom w:val="single" w:sz="4" w:space="0" w:color="365F91"/>
              <w:right w:val="nil"/>
            </w:tcBorders>
            <w:shd w:val="clear" w:color="auto" w:fill="auto"/>
            <w:noWrap/>
            <w:vAlign w:val="center"/>
            <w:hideMark/>
          </w:tcPr>
          <w:p w14:paraId="4094DE51" w14:textId="77777777" w:rsidR="00F849A7" w:rsidRPr="00D9348B" w:rsidRDefault="00F849A7" w:rsidP="00E3344E">
            <w:pPr>
              <w:pStyle w:val="TableText"/>
              <w:spacing w:before="50" w:after="50"/>
              <w:jc w:val="center"/>
              <w:rPr>
                <w:rFonts w:cs="Calibri"/>
                <w:szCs w:val="16"/>
              </w:rPr>
            </w:pPr>
            <w:r w:rsidRPr="00D9348B">
              <w:rPr>
                <w:rFonts w:cs="Calibri"/>
                <w:szCs w:val="16"/>
              </w:rPr>
              <w:t>NA</w:t>
            </w:r>
          </w:p>
        </w:tc>
        <w:tc>
          <w:tcPr>
            <w:tcW w:w="942" w:type="dxa"/>
            <w:tcBorders>
              <w:top w:val="nil"/>
              <w:left w:val="nil"/>
              <w:bottom w:val="single" w:sz="4" w:space="0" w:color="365F91"/>
              <w:right w:val="nil"/>
            </w:tcBorders>
            <w:shd w:val="clear" w:color="auto" w:fill="auto"/>
            <w:noWrap/>
            <w:vAlign w:val="center"/>
            <w:hideMark/>
          </w:tcPr>
          <w:p w14:paraId="2A219422"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3" w:type="dxa"/>
            <w:tcBorders>
              <w:top w:val="nil"/>
              <w:left w:val="nil"/>
              <w:bottom w:val="single" w:sz="4" w:space="0" w:color="365F91"/>
              <w:right w:val="nil"/>
            </w:tcBorders>
            <w:shd w:val="clear" w:color="auto" w:fill="auto"/>
            <w:noWrap/>
            <w:vAlign w:val="center"/>
            <w:hideMark/>
          </w:tcPr>
          <w:p w14:paraId="653C937F"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r>
      <w:tr w:rsidR="00F849A7" w:rsidRPr="00D9348B" w14:paraId="10258A87" w14:textId="77777777" w:rsidTr="00A628DC">
        <w:trPr>
          <w:trHeight w:val="204"/>
        </w:trPr>
        <w:tc>
          <w:tcPr>
            <w:tcW w:w="287" w:type="dxa"/>
            <w:tcBorders>
              <w:top w:val="single" w:sz="4" w:space="0" w:color="365F91"/>
              <w:left w:val="nil"/>
              <w:bottom w:val="single" w:sz="4" w:space="0" w:color="365F91"/>
              <w:right w:val="nil"/>
            </w:tcBorders>
            <w:shd w:val="clear" w:color="auto" w:fill="auto"/>
            <w:noWrap/>
            <w:vAlign w:val="center"/>
            <w:hideMark/>
          </w:tcPr>
          <w:p w14:paraId="173742F9" w14:textId="77777777" w:rsidR="00F849A7" w:rsidRPr="00D9348B" w:rsidRDefault="00F849A7" w:rsidP="00E3344E">
            <w:pPr>
              <w:pStyle w:val="TableText"/>
              <w:spacing w:before="50" w:after="50"/>
              <w:rPr>
                <w:rFonts w:cs="Calibri"/>
                <w:b/>
                <w:bCs/>
                <w:szCs w:val="16"/>
              </w:rPr>
            </w:pPr>
            <w:r w:rsidRPr="00D9348B">
              <w:rPr>
                <w:rFonts w:cs="Calibri"/>
                <w:b/>
                <w:bCs/>
                <w:szCs w:val="16"/>
              </w:rPr>
              <w:t>C</w:t>
            </w:r>
          </w:p>
        </w:tc>
        <w:tc>
          <w:tcPr>
            <w:tcW w:w="2832" w:type="dxa"/>
            <w:tcBorders>
              <w:top w:val="single" w:sz="4" w:space="0" w:color="365F91"/>
              <w:left w:val="nil"/>
              <w:bottom w:val="single" w:sz="4" w:space="0" w:color="365F91"/>
              <w:right w:val="nil"/>
            </w:tcBorders>
            <w:shd w:val="clear" w:color="auto" w:fill="auto"/>
            <w:vAlign w:val="center"/>
            <w:hideMark/>
          </w:tcPr>
          <w:p w14:paraId="3E1104AD" w14:textId="77777777" w:rsidR="00F849A7" w:rsidRPr="00D9348B" w:rsidRDefault="00F849A7" w:rsidP="00E3344E">
            <w:pPr>
              <w:pStyle w:val="TableText"/>
              <w:spacing w:before="50" w:after="50"/>
              <w:rPr>
                <w:rFonts w:cs="Calibri"/>
                <w:b/>
                <w:bCs/>
                <w:szCs w:val="16"/>
              </w:rPr>
            </w:pPr>
            <w:r w:rsidRPr="00D9348B">
              <w:rPr>
                <w:rFonts w:cs="Calibri"/>
                <w:b/>
                <w:bCs/>
                <w:szCs w:val="16"/>
              </w:rPr>
              <w:t>Rice Cultivation</w:t>
            </w:r>
          </w:p>
        </w:tc>
        <w:tc>
          <w:tcPr>
            <w:tcW w:w="850" w:type="dxa"/>
            <w:tcBorders>
              <w:top w:val="single" w:sz="4" w:space="0" w:color="365F91"/>
              <w:left w:val="nil"/>
              <w:bottom w:val="single" w:sz="4" w:space="0" w:color="365F91"/>
              <w:right w:val="nil"/>
            </w:tcBorders>
            <w:shd w:val="clear" w:color="auto" w:fill="auto"/>
            <w:noWrap/>
            <w:vAlign w:val="center"/>
            <w:hideMark/>
          </w:tcPr>
          <w:p w14:paraId="2DED3FDC" w14:textId="77777777" w:rsidR="00F849A7" w:rsidRPr="00D9348B" w:rsidRDefault="00F849A7" w:rsidP="00E3344E">
            <w:pPr>
              <w:pStyle w:val="TableText"/>
              <w:spacing w:before="50" w:after="50"/>
              <w:jc w:val="center"/>
              <w:rPr>
                <w:rFonts w:cs="Calibri"/>
                <w:szCs w:val="16"/>
              </w:rPr>
            </w:pPr>
            <w:r w:rsidRPr="00D9348B">
              <w:rPr>
                <w:rFonts w:cs="Calibri"/>
                <w:szCs w:val="16"/>
              </w:rPr>
              <w:t>NA</w:t>
            </w:r>
          </w:p>
        </w:tc>
        <w:tc>
          <w:tcPr>
            <w:tcW w:w="851" w:type="dxa"/>
            <w:tcBorders>
              <w:top w:val="single" w:sz="4" w:space="0" w:color="365F91"/>
              <w:left w:val="nil"/>
              <w:bottom w:val="single" w:sz="4" w:space="0" w:color="365F91"/>
              <w:right w:val="nil"/>
            </w:tcBorders>
            <w:shd w:val="clear" w:color="auto" w:fill="auto"/>
            <w:noWrap/>
            <w:vAlign w:val="center"/>
            <w:hideMark/>
          </w:tcPr>
          <w:p w14:paraId="01B79AB1" w14:textId="77777777" w:rsidR="00F849A7" w:rsidRPr="00D9348B" w:rsidRDefault="00F849A7" w:rsidP="00E3344E">
            <w:pPr>
              <w:pStyle w:val="TableText"/>
              <w:spacing w:before="50" w:after="50"/>
              <w:jc w:val="center"/>
              <w:rPr>
                <w:rFonts w:cs="Calibri"/>
                <w:szCs w:val="16"/>
              </w:rPr>
            </w:pPr>
            <w:r w:rsidRPr="00D9348B">
              <w:rPr>
                <w:rFonts w:cs="Calibri"/>
                <w:szCs w:val="16"/>
              </w:rPr>
              <w:t>NA</w:t>
            </w:r>
          </w:p>
        </w:tc>
        <w:tc>
          <w:tcPr>
            <w:tcW w:w="867" w:type="dxa"/>
            <w:tcBorders>
              <w:top w:val="single" w:sz="4" w:space="0" w:color="365F91"/>
              <w:left w:val="nil"/>
              <w:bottom w:val="single" w:sz="4" w:space="0" w:color="365F91"/>
              <w:right w:val="nil"/>
            </w:tcBorders>
            <w:shd w:val="clear" w:color="auto" w:fill="auto"/>
            <w:noWrap/>
            <w:vAlign w:val="center"/>
            <w:hideMark/>
          </w:tcPr>
          <w:p w14:paraId="7BB61B84"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2" w:type="dxa"/>
            <w:tcBorders>
              <w:top w:val="single" w:sz="4" w:space="0" w:color="365F91"/>
              <w:left w:val="nil"/>
              <w:bottom w:val="single" w:sz="4" w:space="0" w:color="365F91"/>
              <w:right w:val="nil"/>
            </w:tcBorders>
            <w:shd w:val="clear" w:color="auto" w:fill="auto"/>
            <w:noWrap/>
            <w:vAlign w:val="center"/>
            <w:hideMark/>
          </w:tcPr>
          <w:p w14:paraId="144A7F09"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2" w:type="dxa"/>
            <w:tcBorders>
              <w:top w:val="single" w:sz="4" w:space="0" w:color="365F91"/>
              <w:left w:val="nil"/>
              <w:bottom w:val="single" w:sz="4" w:space="0" w:color="365F91"/>
              <w:right w:val="nil"/>
            </w:tcBorders>
            <w:shd w:val="clear" w:color="auto" w:fill="auto"/>
            <w:noWrap/>
            <w:vAlign w:val="center"/>
            <w:hideMark/>
          </w:tcPr>
          <w:p w14:paraId="08F82BDA"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3" w:type="dxa"/>
            <w:tcBorders>
              <w:top w:val="single" w:sz="4" w:space="0" w:color="365F91"/>
              <w:left w:val="nil"/>
              <w:bottom w:val="single" w:sz="4" w:space="0" w:color="365F91"/>
              <w:right w:val="nil"/>
            </w:tcBorders>
            <w:shd w:val="clear" w:color="auto" w:fill="auto"/>
            <w:noWrap/>
            <w:vAlign w:val="center"/>
            <w:hideMark/>
          </w:tcPr>
          <w:p w14:paraId="33B70AC9"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r>
      <w:tr w:rsidR="00F849A7" w:rsidRPr="00D9348B" w14:paraId="23B57276" w14:textId="77777777" w:rsidTr="00A628DC">
        <w:trPr>
          <w:trHeight w:val="204"/>
        </w:trPr>
        <w:tc>
          <w:tcPr>
            <w:tcW w:w="287" w:type="dxa"/>
            <w:tcBorders>
              <w:top w:val="single" w:sz="4" w:space="0" w:color="365F91"/>
              <w:left w:val="nil"/>
              <w:bottom w:val="single" w:sz="4" w:space="0" w:color="365F91"/>
              <w:right w:val="nil"/>
            </w:tcBorders>
            <w:shd w:val="clear" w:color="auto" w:fill="auto"/>
            <w:noWrap/>
            <w:vAlign w:val="center"/>
            <w:hideMark/>
          </w:tcPr>
          <w:p w14:paraId="0B4017CA" w14:textId="6429729D" w:rsidR="00F849A7" w:rsidRPr="00D9348B" w:rsidRDefault="00F849A7" w:rsidP="00E3344E">
            <w:pPr>
              <w:pStyle w:val="TableText"/>
              <w:spacing w:before="50" w:after="50"/>
              <w:rPr>
                <w:rFonts w:cs="Calibri"/>
                <w:b/>
                <w:bCs/>
                <w:szCs w:val="16"/>
              </w:rPr>
            </w:pPr>
            <w:r w:rsidRPr="00D9348B">
              <w:rPr>
                <w:rFonts w:cs="Calibri"/>
                <w:b/>
                <w:bCs/>
                <w:szCs w:val="16"/>
              </w:rPr>
              <w:t>D</w:t>
            </w:r>
          </w:p>
        </w:tc>
        <w:tc>
          <w:tcPr>
            <w:tcW w:w="2832" w:type="dxa"/>
            <w:tcBorders>
              <w:top w:val="single" w:sz="4" w:space="0" w:color="365F91"/>
              <w:left w:val="nil"/>
              <w:bottom w:val="single" w:sz="4" w:space="0" w:color="365F91"/>
              <w:right w:val="nil"/>
            </w:tcBorders>
            <w:shd w:val="clear" w:color="auto" w:fill="auto"/>
            <w:vAlign w:val="center"/>
            <w:hideMark/>
          </w:tcPr>
          <w:p w14:paraId="34DD6372" w14:textId="77777777" w:rsidR="00F849A7" w:rsidRPr="00D9348B" w:rsidRDefault="00F849A7" w:rsidP="00E3344E">
            <w:pPr>
              <w:pStyle w:val="TableText"/>
              <w:spacing w:before="50" w:after="50"/>
              <w:rPr>
                <w:rFonts w:cs="Calibri"/>
                <w:b/>
                <w:bCs/>
                <w:szCs w:val="16"/>
              </w:rPr>
            </w:pPr>
            <w:r w:rsidRPr="00D9348B">
              <w:rPr>
                <w:rFonts w:cs="Calibri"/>
                <w:b/>
                <w:bCs/>
                <w:szCs w:val="16"/>
              </w:rPr>
              <w:t>Agricultural Soils</w:t>
            </w:r>
          </w:p>
        </w:tc>
        <w:tc>
          <w:tcPr>
            <w:tcW w:w="850" w:type="dxa"/>
            <w:tcBorders>
              <w:top w:val="single" w:sz="4" w:space="0" w:color="365F91"/>
              <w:left w:val="nil"/>
              <w:bottom w:val="single" w:sz="4" w:space="0" w:color="365F91"/>
              <w:right w:val="nil"/>
            </w:tcBorders>
            <w:shd w:val="clear" w:color="auto" w:fill="auto"/>
            <w:noWrap/>
            <w:vAlign w:val="center"/>
            <w:hideMark/>
          </w:tcPr>
          <w:p w14:paraId="2C3CD5B2"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851" w:type="dxa"/>
            <w:tcBorders>
              <w:top w:val="single" w:sz="4" w:space="0" w:color="365F91"/>
              <w:left w:val="nil"/>
              <w:bottom w:val="single" w:sz="4" w:space="0" w:color="365F91"/>
              <w:right w:val="nil"/>
            </w:tcBorders>
            <w:shd w:val="clear" w:color="auto" w:fill="auto"/>
            <w:noWrap/>
            <w:vAlign w:val="center"/>
            <w:hideMark/>
          </w:tcPr>
          <w:p w14:paraId="34DED9DE"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867" w:type="dxa"/>
            <w:tcBorders>
              <w:top w:val="single" w:sz="4" w:space="0" w:color="365F91"/>
              <w:left w:val="nil"/>
              <w:bottom w:val="single" w:sz="4" w:space="0" w:color="365F91"/>
              <w:right w:val="nil"/>
            </w:tcBorders>
            <w:shd w:val="clear" w:color="auto" w:fill="auto"/>
            <w:noWrap/>
            <w:vAlign w:val="center"/>
            <w:hideMark/>
          </w:tcPr>
          <w:p w14:paraId="6458E912"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2" w:type="dxa"/>
            <w:tcBorders>
              <w:top w:val="single" w:sz="4" w:space="0" w:color="365F91"/>
              <w:left w:val="nil"/>
              <w:bottom w:val="single" w:sz="4" w:space="0" w:color="365F91"/>
              <w:right w:val="nil"/>
            </w:tcBorders>
            <w:shd w:val="clear" w:color="auto" w:fill="auto"/>
            <w:noWrap/>
            <w:vAlign w:val="center"/>
            <w:hideMark/>
          </w:tcPr>
          <w:p w14:paraId="41F2460F"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2" w:type="dxa"/>
            <w:tcBorders>
              <w:top w:val="single" w:sz="4" w:space="0" w:color="365F91"/>
              <w:left w:val="nil"/>
              <w:bottom w:val="single" w:sz="4" w:space="0" w:color="365F91"/>
              <w:right w:val="nil"/>
            </w:tcBorders>
            <w:shd w:val="clear" w:color="auto" w:fill="auto"/>
            <w:noWrap/>
            <w:vAlign w:val="center"/>
            <w:hideMark/>
          </w:tcPr>
          <w:p w14:paraId="06768438"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3" w:type="dxa"/>
            <w:tcBorders>
              <w:top w:val="single" w:sz="4" w:space="0" w:color="365F91"/>
              <w:left w:val="nil"/>
              <w:bottom w:val="single" w:sz="4" w:space="0" w:color="365F91"/>
              <w:right w:val="nil"/>
            </w:tcBorders>
            <w:shd w:val="clear" w:color="auto" w:fill="auto"/>
            <w:noWrap/>
            <w:vAlign w:val="center"/>
            <w:hideMark/>
          </w:tcPr>
          <w:p w14:paraId="0BBB18DC"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r>
      <w:tr w:rsidR="00F849A7" w:rsidRPr="00D9348B" w14:paraId="7A28F6F9" w14:textId="77777777" w:rsidTr="00A628DC">
        <w:trPr>
          <w:trHeight w:val="204"/>
        </w:trPr>
        <w:tc>
          <w:tcPr>
            <w:tcW w:w="287" w:type="dxa"/>
            <w:vMerge w:val="restart"/>
            <w:tcBorders>
              <w:top w:val="single" w:sz="4" w:space="0" w:color="365F91"/>
              <w:left w:val="nil"/>
              <w:bottom w:val="single" w:sz="8" w:space="0" w:color="365F91"/>
              <w:right w:val="nil"/>
            </w:tcBorders>
            <w:shd w:val="clear" w:color="auto" w:fill="auto"/>
            <w:noWrap/>
            <w:vAlign w:val="center"/>
            <w:hideMark/>
          </w:tcPr>
          <w:p w14:paraId="02F4D7BC" w14:textId="77777777" w:rsidR="00F849A7" w:rsidRPr="00D9348B" w:rsidRDefault="00F849A7" w:rsidP="00E3344E">
            <w:pPr>
              <w:pStyle w:val="TableText"/>
              <w:spacing w:before="50" w:after="50"/>
              <w:rPr>
                <w:rFonts w:cs="Calibri"/>
                <w:szCs w:val="16"/>
              </w:rPr>
            </w:pPr>
            <w:r w:rsidRPr="00D9348B">
              <w:rPr>
                <w:rFonts w:cs="Calibri"/>
                <w:szCs w:val="16"/>
              </w:rPr>
              <w:t>1</w:t>
            </w:r>
          </w:p>
        </w:tc>
        <w:tc>
          <w:tcPr>
            <w:tcW w:w="2832" w:type="dxa"/>
            <w:tcBorders>
              <w:top w:val="single" w:sz="4" w:space="0" w:color="365F91"/>
              <w:left w:val="nil"/>
              <w:bottom w:val="nil"/>
              <w:right w:val="nil"/>
            </w:tcBorders>
            <w:shd w:val="clear" w:color="auto" w:fill="auto"/>
            <w:vAlign w:val="center"/>
            <w:hideMark/>
          </w:tcPr>
          <w:p w14:paraId="060509FD" w14:textId="77777777" w:rsidR="00F849A7" w:rsidRPr="00D9348B" w:rsidRDefault="00F849A7" w:rsidP="00E3344E">
            <w:pPr>
              <w:pStyle w:val="TableText"/>
              <w:spacing w:before="50" w:after="50"/>
              <w:rPr>
                <w:rFonts w:cs="Calibri"/>
                <w:szCs w:val="16"/>
              </w:rPr>
            </w:pPr>
            <w:r w:rsidRPr="00D9348B">
              <w:rPr>
                <w:rFonts w:cs="Calibri"/>
                <w:szCs w:val="16"/>
              </w:rPr>
              <w:t xml:space="preserve">Direct Emissions </w:t>
            </w:r>
          </w:p>
        </w:tc>
        <w:tc>
          <w:tcPr>
            <w:tcW w:w="850" w:type="dxa"/>
            <w:tcBorders>
              <w:top w:val="single" w:sz="4" w:space="0" w:color="365F91"/>
              <w:left w:val="nil"/>
              <w:bottom w:val="nil"/>
              <w:right w:val="nil"/>
            </w:tcBorders>
            <w:shd w:val="clear" w:color="auto" w:fill="auto"/>
            <w:noWrap/>
            <w:vAlign w:val="center"/>
            <w:hideMark/>
          </w:tcPr>
          <w:p w14:paraId="0A5CD55B"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851" w:type="dxa"/>
            <w:tcBorders>
              <w:top w:val="single" w:sz="4" w:space="0" w:color="365F91"/>
              <w:left w:val="nil"/>
              <w:bottom w:val="nil"/>
              <w:right w:val="nil"/>
            </w:tcBorders>
            <w:shd w:val="clear" w:color="auto" w:fill="auto"/>
            <w:noWrap/>
            <w:vAlign w:val="center"/>
            <w:hideMark/>
          </w:tcPr>
          <w:p w14:paraId="2671AF23"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867" w:type="dxa"/>
            <w:tcBorders>
              <w:top w:val="single" w:sz="4" w:space="0" w:color="365F91"/>
              <w:left w:val="nil"/>
              <w:bottom w:val="nil"/>
              <w:right w:val="nil"/>
            </w:tcBorders>
            <w:shd w:val="clear" w:color="auto" w:fill="auto"/>
            <w:noWrap/>
            <w:vAlign w:val="center"/>
            <w:hideMark/>
          </w:tcPr>
          <w:p w14:paraId="725886F0"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2" w:type="dxa"/>
            <w:tcBorders>
              <w:top w:val="single" w:sz="4" w:space="0" w:color="365F91"/>
              <w:left w:val="nil"/>
              <w:bottom w:val="nil"/>
              <w:right w:val="nil"/>
            </w:tcBorders>
            <w:shd w:val="clear" w:color="auto" w:fill="auto"/>
            <w:noWrap/>
            <w:vAlign w:val="center"/>
            <w:hideMark/>
          </w:tcPr>
          <w:p w14:paraId="493DAB75"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2" w:type="dxa"/>
            <w:tcBorders>
              <w:top w:val="single" w:sz="4" w:space="0" w:color="365F91"/>
              <w:left w:val="nil"/>
              <w:bottom w:val="nil"/>
              <w:right w:val="nil"/>
            </w:tcBorders>
            <w:shd w:val="clear" w:color="auto" w:fill="auto"/>
            <w:noWrap/>
            <w:vAlign w:val="center"/>
            <w:hideMark/>
          </w:tcPr>
          <w:p w14:paraId="5DE79486"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3" w:type="dxa"/>
            <w:tcBorders>
              <w:top w:val="single" w:sz="4" w:space="0" w:color="365F91"/>
              <w:left w:val="nil"/>
              <w:bottom w:val="nil"/>
              <w:right w:val="nil"/>
            </w:tcBorders>
            <w:shd w:val="clear" w:color="auto" w:fill="auto"/>
            <w:noWrap/>
            <w:vAlign w:val="center"/>
            <w:hideMark/>
          </w:tcPr>
          <w:p w14:paraId="1839BD89"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r>
      <w:tr w:rsidR="00F849A7" w:rsidRPr="00D9348B" w14:paraId="2BD6B5D0" w14:textId="77777777" w:rsidTr="00A628DC">
        <w:trPr>
          <w:trHeight w:val="204"/>
        </w:trPr>
        <w:tc>
          <w:tcPr>
            <w:tcW w:w="287" w:type="dxa"/>
            <w:vMerge/>
            <w:tcBorders>
              <w:top w:val="nil"/>
              <w:left w:val="nil"/>
              <w:bottom w:val="single" w:sz="8" w:space="0" w:color="365F91"/>
              <w:right w:val="nil"/>
            </w:tcBorders>
            <w:vAlign w:val="center"/>
            <w:hideMark/>
          </w:tcPr>
          <w:p w14:paraId="1097B63B" w14:textId="77777777" w:rsidR="00F849A7" w:rsidRPr="00D9348B" w:rsidRDefault="00F849A7" w:rsidP="00E3344E">
            <w:pPr>
              <w:pStyle w:val="TableText"/>
              <w:spacing w:before="50" w:after="50"/>
              <w:rPr>
                <w:rFonts w:cs="Calibri"/>
                <w:szCs w:val="16"/>
              </w:rPr>
            </w:pPr>
          </w:p>
        </w:tc>
        <w:tc>
          <w:tcPr>
            <w:tcW w:w="2832" w:type="dxa"/>
            <w:tcBorders>
              <w:top w:val="nil"/>
              <w:left w:val="nil"/>
              <w:bottom w:val="nil"/>
              <w:right w:val="nil"/>
            </w:tcBorders>
            <w:shd w:val="clear" w:color="auto" w:fill="auto"/>
            <w:vAlign w:val="center"/>
            <w:hideMark/>
          </w:tcPr>
          <w:p w14:paraId="2736AE02" w14:textId="77777777" w:rsidR="00F849A7" w:rsidRPr="00D9348B" w:rsidRDefault="00F849A7" w:rsidP="00E3344E">
            <w:pPr>
              <w:pStyle w:val="TableText"/>
              <w:spacing w:before="50" w:after="50"/>
              <w:rPr>
                <w:rFonts w:cs="Calibri"/>
                <w:szCs w:val="16"/>
              </w:rPr>
            </w:pPr>
            <w:r w:rsidRPr="00D9348B">
              <w:rPr>
                <w:rFonts w:cs="Calibri"/>
                <w:szCs w:val="16"/>
              </w:rPr>
              <w:t>Inorganic Fertilisers</w:t>
            </w:r>
          </w:p>
        </w:tc>
        <w:tc>
          <w:tcPr>
            <w:tcW w:w="850" w:type="dxa"/>
            <w:tcBorders>
              <w:top w:val="nil"/>
              <w:left w:val="nil"/>
              <w:bottom w:val="nil"/>
              <w:right w:val="nil"/>
            </w:tcBorders>
            <w:shd w:val="clear" w:color="auto" w:fill="auto"/>
            <w:noWrap/>
            <w:vAlign w:val="center"/>
            <w:hideMark/>
          </w:tcPr>
          <w:p w14:paraId="77BE3B85"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851" w:type="dxa"/>
            <w:tcBorders>
              <w:top w:val="nil"/>
              <w:left w:val="nil"/>
              <w:bottom w:val="nil"/>
              <w:right w:val="nil"/>
            </w:tcBorders>
            <w:shd w:val="clear" w:color="auto" w:fill="auto"/>
            <w:noWrap/>
            <w:vAlign w:val="center"/>
            <w:hideMark/>
          </w:tcPr>
          <w:p w14:paraId="57FE5161"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867" w:type="dxa"/>
            <w:tcBorders>
              <w:top w:val="nil"/>
              <w:left w:val="nil"/>
              <w:bottom w:val="nil"/>
              <w:right w:val="nil"/>
            </w:tcBorders>
            <w:shd w:val="clear" w:color="auto" w:fill="auto"/>
            <w:noWrap/>
            <w:vAlign w:val="center"/>
            <w:hideMark/>
          </w:tcPr>
          <w:p w14:paraId="5284DE03" w14:textId="77777777" w:rsidR="00F849A7" w:rsidRPr="00D9348B" w:rsidRDefault="00DA6C03" w:rsidP="00E3344E">
            <w:pPr>
              <w:pStyle w:val="TableText"/>
              <w:spacing w:before="50" w:after="50"/>
              <w:jc w:val="center"/>
              <w:rPr>
                <w:rFonts w:cs="Calibri"/>
                <w:szCs w:val="16"/>
              </w:rPr>
            </w:pPr>
            <w:hyperlink r:id="rId107" w:history="1">
              <w:r w:rsidR="00F849A7" w:rsidRPr="00D9348B">
                <w:rPr>
                  <w:rFonts w:cs="Calibri"/>
                  <w:szCs w:val="16"/>
                </w:rPr>
                <w:t>T2</w:t>
              </w:r>
            </w:hyperlink>
          </w:p>
        </w:tc>
        <w:tc>
          <w:tcPr>
            <w:tcW w:w="942" w:type="dxa"/>
            <w:tcBorders>
              <w:top w:val="nil"/>
              <w:left w:val="nil"/>
              <w:bottom w:val="nil"/>
              <w:right w:val="nil"/>
            </w:tcBorders>
            <w:shd w:val="clear" w:color="auto" w:fill="auto"/>
            <w:noWrap/>
            <w:vAlign w:val="center"/>
            <w:hideMark/>
          </w:tcPr>
          <w:p w14:paraId="4E4608E2" w14:textId="77777777" w:rsidR="00F849A7" w:rsidRPr="00D9348B" w:rsidRDefault="00F849A7" w:rsidP="00E3344E">
            <w:pPr>
              <w:pStyle w:val="TableText"/>
              <w:spacing w:before="50" w:after="50"/>
              <w:jc w:val="center"/>
              <w:rPr>
                <w:rFonts w:cs="Calibri"/>
                <w:szCs w:val="16"/>
              </w:rPr>
            </w:pPr>
            <w:r w:rsidRPr="00D9348B">
              <w:rPr>
                <w:rFonts w:cs="Calibri"/>
                <w:szCs w:val="16"/>
              </w:rPr>
              <w:t>CS</w:t>
            </w:r>
          </w:p>
        </w:tc>
        <w:tc>
          <w:tcPr>
            <w:tcW w:w="942" w:type="dxa"/>
            <w:tcBorders>
              <w:top w:val="nil"/>
              <w:left w:val="nil"/>
              <w:bottom w:val="nil"/>
              <w:right w:val="nil"/>
            </w:tcBorders>
            <w:shd w:val="clear" w:color="auto" w:fill="auto"/>
            <w:noWrap/>
            <w:vAlign w:val="center"/>
            <w:hideMark/>
          </w:tcPr>
          <w:p w14:paraId="6FCFA03D"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3" w:type="dxa"/>
            <w:tcBorders>
              <w:top w:val="nil"/>
              <w:left w:val="nil"/>
              <w:bottom w:val="nil"/>
              <w:right w:val="nil"/>
            </w:tcBorders>
            <w:shd w:val="clear" w:color="auto" w:fill="auto"/>
            <w:noWrap/>
            <w:vAlign w:val="center"/>
            <w:hideMark/>
          </w:tcPr>
          <w:p w14:paraId="0B4331B5"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r>
      <w:tr w:rsidR="00F849A7" w:rsidRPr="00D9348B" w14:paraId="0E1CA268" w14:textId="77777777" w:rsidTr="00A628DC">
        <w:trPr>
          <w:trHeight w:val="204"/>
        </w:trPr>
        <w:tc>
          <w:tcPr>
            <w:tcW w:w="287" w:type="dxa"/>
            <w:vMerge/>
            <w:tcBorders>
              <w:top w:val="nil"/>
              <w:left w:val="nil"/>
              <w:bottom w:val="single" w:sz="8" w:space="0" w:color="365F91"/>
              <w:right w:val="nil"/>
            </w:tcBorders>
            <w:vAlign w:val="center"/>
            <w:hideMark/>
          </w:tcPr>
          <w:p w14:paraId="6709A3DC" w14:textId="77777777" w:rsidR="00F849A7" w:rsidRPr="00D9348B" w:rsidRDefault="00F849A7" w:rsidP="00E3344E">
            <w:pPr>
              <w:pStyle w:val="TableText"/>
              <w:spacing w:before="50" w:after="50"/>
              <w:rPr>
                <w:rFonts w:cs="Calibri"/>
                <w:szCs w:val="16"/>
              </w:rPr>
            </w:pPr>
          </w:p>
        </w:tc>
        <w:tc>
          <w:tcPr>
            <w:tcW w:w="2832" w:type="dxa"/>
            <w:tcBorders>
              <w:top w:val="nil"/>
              <w:left w:val="nil"/>
              <w:bottom w:val="nil"/>
              <w:right w:val="nil"/>
            </w:tcBorders>
            <w:shd w:val="clear" w:color="auto" w:fill="auto"/>
            <w:vAlign w:val="center"/>
            <w:hideMark/>
          </w:tcPr>
          <w:p w14:paraId="77E00AB5" w14:textId="77777777" w:rsidR="00F849A7" w:rsidRPr="00D9348B" w:rsidRDefault="00F849A7" w:rsidP="00E3344E">
            <w:pPr>
              <w:pStyle w:val="TableText"/>
              <w:spacing w:before="50" w:after="50"/>
              <w:rPr>
                <w:rFonts w:cs="Calibri"/>
                <w:szCs w:val="16"/>
              </w:rPr>
            </w:pPr>
            <w:r w:rsidRPr="00D9348B">
              <w:rPr>
                <w:rFonts w:cs="Calibri"/>
                <w:szCs w:val="16"/>
              </w:rPr>
              <w:t>Animal Manure applied to Soils</w:t>
            </w:r>
          </w:p>
        </w:tc>
        <w:tc>
          <w:tcPr>
            <w:tcW w:w="850" w:type="dxa"/>
            <w:tcBorders>
              <w:top w:val="nil"/>
              <w:left w:val="nil"/>
              <w:bottom w:val="nil"/>
              <w:right w:val="nil"/>
            </w:tcBorders>
            <w:shd w:val="clear" w:color="auto" w:fill="auto"/>
            <w:noWrap/>
            <w:vAlign w:val="center"/>
            <w:hideMark/>
          </w:tcPr>
          <w:p w14:paraId="6907AF26"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851" w:type="dxa"/>
            <w:tcBorders>
              <w:top w:val="nil"/>
              <w:left w:val="nil"/>
              <w:bottom w:val="nil"/>
              <w:right w:val="nil"/>
            </w:tcBorders>
            <w:shd w:val="clear" w:color="auto" w:fill="auto"/>
            <w:noWrap/>
            <w:vAlign w:val="center"/>
            <w:hideMark/>
          </w:tcPr>
          <w:p w14:paraId="66D72622"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867" w:type="dxa"/>
            <w:tcBorders>
              <w:top w:val="nil"/>
              <w:left w:val="nil"/>
              <w:bottom w:val="nil"/>
              <w:right w:val="nil"/>
            </w:tcBorders>
            <w:shd w:val="clear" w:color="auto" w:fill="auto"/>
            <w:noWrap/>
            <w:vAlign w:val="center"/>
            <w:hideMark/>
          </w:tcPr>
          <w:p w14:paraId="66DEE4AE" w14:textId="77777777" w:rsidR="00F849A7" w:rsidRPr="00D9348B" w:rsidRDefault="00F849A7" w:rsidP="00E3344E">
            <w:pPr>
              <w:pStyle w:val="TableText"/>
              <w:spacing w:before="50" w:after="50"/>
              <w:jc w:val="center"/>
              <w:rPr>
                <w:rFonts w:cs="Calibri"/>
                <w:szCs w:val="16"/>
              </w:rPr>
            </w:pPr>
            <w:r w:rsidRPr="00D9348B">
              <w:rPr>
                <w:rFonts w:cs="Calibri"/>
                <w:szCs w:val="16"/>
              </w:rPr>
              <w:t>T1, T2</w:t>
            </w:r>
          </w:p>
        </w:tc>
        <w:tc>
          <w:tcPr>
            <w:tcW w:w="942" w:type="dxa"/>
            <w:tcBorders>
              <w:top w:val="nil"/>
              <w:left w:val="nil"/>
              <w:bottom w:val="nil"/>
              <w:right w:val="nil"/>
            </w:tcBorders>
            <w:shd w:val="clear" w:color="auto" w:fill="auto"/>
            <w:noWrap/>
            <w:vAlign w:val="center"/>
            <w:hideMark/>
          </w:tcPr>
          <w:p w14:paraId="0FF7CA7F" w14:textId="77777777" w:rsidR="00F849A7" w:rsidRPr="00D9348B" w:rsidRDefault="00F849A7" w:rsidP="00E3344E">
            <w:pPr>
              <w:pStyle w:val="TableText"/>
              <w:spacing w:before="50" w:after="50"/>
              <w:jc w:val="center"/>
              <w:rPr>
                <w:rFonts w:cs="Calibri"/>
                <w:szCs w:val="16"/>
              </w:rPr>
            </w:pPr>
            <w:r w:rsidRPr="00D9348B">
              <w:rPr>
                <w:rFonts w:cs="Calibri"/>
                <w:szCs w:val="16"/>
              </w:rPr>
              <w:t>CS</w:t>
            </w:r>
          </w:p>
        </w:tc>
        <w:tc>
          <w:tcPr>
            <w:tcW w:w="942" w:type="dxa"/>
            <w:tcBorders>
              <w:top w:val="nil"/>
              <w:left w:val="nil"/>
              <w:bottom w:val="nil"/>
              <w:right w:val="nil"/>
            </w:tcBorders>
            <w:shd w:val="clear" w:color="auto" w:fill="auto"/>
            <w:noWrap/>
            <w:vAlign w:val="center"/>
            <w:hideMark/>
          </w:tcPr>
          <w:p w14:paraId="3020111A"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3" w:type="dxa"/>
            <w:tcBorders>
              <w:top w:val="nil"/>
              <w:left w:val="nil"/>
              <w:bottom w:val="nil"/>
              <w:right w:val="nil"/>
            </w:tcBorders>
            <w:shd w:val="clear" w:color="auto" w:fill="auto"/>
            <w:noWrap/>
            <w:vAlign w:val="center"/>
            <w:hideMark/>
          </w:tcPr>
          <w:p w14:paraId="593CD74E"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r>
      <w:tr w:rsidR="00F849A7" w:rsidRPr="00D9348B" w14:paraId="6518260E" w14:textId="77777777" w:rsidTr="00A628DC">
        <w:trPr>
          <w:trHeight w:val="204"/>
        </w:trPr>
        <w:tc>
          <w:tcPr>
            <w:tcW w:w="287" w:type="dxa"/>
            <w:vMerge/>
            <w:tcBorders>
              <w:top w:val="nil"/>
              <w:left w:val="nil"/>
              <w:bottom w:val="single" w:sz="8" w:space="0" w:color="365F91"/>
              <w:right w:val="nil"/>
            </w:tcBorders>
            <w:vAlign w:val="center"/>
            <w:hideMark/>
          </w:tcPr>
          <w:p w14:paraId="7B8F25CD" w14:textId="77777777" w:rsidR="00F849A7" w:rsidRPr="00D9348B" w:rsidRDefault="00F849A7" w:rsidP="00E3344E">
            <w:pPr>
              <w:pStyle w:val="TableText"/>
              <w:spacing w:before="50" w:after="50"/>
              <w:rPr>
                <w:rFonts w:cs="Calibri"/>
                <w:szCs w:val="16"/>
              </w:rPr>
            </w:pPr>
          </w:p>
        </w:tc>
        <w:tc>
          <w:tcPr>
            <w:tcW w:w="2832" w:type="dxa"/>
            <w:tcBorders>
              <w:top w:val="nil"/>
              <w:left w:val="nil"/>
              <w:bottom w:val="nil"/>
              <w:right w:val="nil"/>
            </w:tcBorders>
            <w:shd w:val="clear" w:color="auto" w:fill="auto"/>
            <w:vAlign w:val="center"/>
            <w:hideMark/>
          </w:tcPr>
          <w:p w14:paraId="3DAA2840" w14:textId="77777777" w:rsidR="00F849A7" w:rsidRPr="00D9348B" w:rsidRDefault="00F849A7" w:rsidP="00E3344E">
            <w:pPr>
              <w:pStyle w:val="TableText"/>
              <w:spacing w:before="50" w:after="50"/>
              <w:rPr>
                <w:rFonts w:cs="Calibri"/>
                <w:szCs w:val="16"/>
              </w:rPr>
            </w:pPr>
            <w:r w:rsidRPr="00D9348B">
              <w:rPr>
                <w:rFonts w:cs="Calibri"/>
                <w:szCs w:val="16"/>
              </w:rPr>
              <w:t>Sewage Sludge applied to Soils</w:t>
            </w:r>
          </w:p>
        </w:tc>
        <w:tc>
          <w:tcPr>
            <w:tcW w:w="850" w:type="dxa"/>
            <w:tcBorders>
              <w:top w:val="nil"/>
              <w:left w:val="nil"/>
              <w:bottom w:val="nil"/>
              <w:right w:val="nil"/>
            </w:tcBorders>
            <w:shd w:val="clear" w:color="auto" w:fill="auto"/>
            <w:noWrap/>
            <w:vAlign w:val="center"/>
            <w:hideMark/>
          </w:tcPr>
          <w:p w14:paraId="43D705FA"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851" w:type="dxa"/>
            <w:tcBorders>
              <w:top w:val="nil"/>
              <w:left w:val="nil"/>
              <w:bottom w:val="nil"/>
              <w:right w:val="nil"/>
            </w:tcBorders>
            <w:shd w:val="clear" w:color="auto" w:fill="auto"/>
            <w:noWrap/>
            <w:vAlign w:val="center"/>
            <w:hideMark/>
          </w:tcPr>
          <w:p w14:paraId="2B0D22C9"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867" w:type="dxa"/>
            <w:tcBorders>
              <w:top w:val="nil"/>
              <w:left w:val="nil"/>
              <w:bottom w:val="nil"/>
              <w:right w:val="nil"/>
            </w:tcBorders>
            <w:shd w:val="clear" w:color="auto" w:fill="auto"/>
            <w:noWrap/>
            <w:vAlign w:val="center"/>
            <w:hideMark/>
          </w:tcPr>
          <w:p w14:paraId="31FC4021" w14:textId="77777777" w:rsidR="00F849A7" w:rsidRPr="00D9348B" w:rsidRDefault="00F849A7" w:rsidP="00E3344E">
            <w:pPr>
              <w:pStyle w:val="TableText"/>
              <w:spacing w:before="50" w:after="50"/>
              <w:jc w:val="center"/>
              <w:rPr>
                <w:rFonts w:cs="Calibri"/>
                <w:szCs w:val="16"/>
              </w:rPr>
            </w:pPr>
            <w:r w:rsidRPr="00D9348B">
              <w:rPr>
                <w:rFonts w:cs="Calibri"/>
                <w:szCs w:val="16"/>
              </w:rPr>
              <w:t>NA</w:t>
            </w:r>
          </w:p>
        </w:tc>
        <w:tc>
          <w:tcPr>
            <w:tcW w:w="942" w:type="dxa"/>
            <w:tcBorders>
              <w:top w:val="nil"/>
              <w:left w:val="nil"/>
              <w:bottom w:val="nil"/>
              <w:right w:val="nil"/>
            </w:tcBorders>
            <w:shd w:val="clear" w:color="auto" w:fill="auto"/>
            <w:noWrap/>
            <w:vAlign w:val="center"/>
            <w:hideMark/>
          </w:tcPr>
          <w:p w14:paraId="3534F3ED" w14:textId="77777777" w:rsidR="00F849A7" w:rsidRPr="00D9348B" w:rsidRDefault="00F849A7" w:rsidP="00E3344E">
            <w:pPr>
              <w:pStyle w:val="TableText"/>
              <w:spacing w:before="50" w:after="50"/>
              <w:jc w:val="center"/>
              <w:rPr>
                <w:rFonts w:cs="Calibri"/>
                <w:szCs w:val="16"/>
              </w:rPr>
            </w:pPr>
            <w:r w:rsidRPr="00D9348B">
              <w:rPr>
                <w:rFonts w:cs="Calibri"/>
                <w:szCs w:val="16"/>
              </w:rPr>
              <w:t>NA</w:t>
            </w:r>
          </w:p>
        </w:tc>
        <w:tc>
          <w:tcPr>
            <w:tcW w:w="942" w:type="dxa"/>
            <w:tcBorders>
              <w:top w:val="nil"/>
              <w:left w:val="nil"/>
              <w:bottom w:val="nil"/>
              <w:right w:val="nil"/>
            </w:tcBorders>
            <w:shd w:val="clear" w:color="auto" w:fill="auto"/>
            <w:noWrap/>
            <w:vAlign w:val="center"/>
            <w:hideMark/>
          </w:tcPr>
          <w:p w14:paraId="4B7E9EF1"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3" w:type="dxa"/>
            <w:tcBorders>
              <w:top w:val="nil"/>
              <w:left w:val="nil"/>
              <w:bottom w:val="nil"/>
              <w:right w:val="nil"/>
            </w:tcBorders>
            <w:shd w:val="clear" w:color="auto" w:fill="auto"/>
            <w:noWrap/>
            <w:vAlign w:val="center"/>
            <w:hideMark/>
          </w:tcPr>
          <w:p w14:paraId="53A46734"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r>
      <w:tr w:rsidR="00F849A7" w:rsidRPr="00D9348B" w14:paraId="2E5A10A8" w14:textId="77777777" w:rsidTr="00A628DC">
        <w:trPr>
          <w:trHeight w:val="204"/>
        </w:trPr>
        <w:tc>
          <w:tcPr>
            <w:tcW w:w="287" w:type="dxa"/>
            <w:vMerge/>
            <w:tcBorders>
              <w:top w:val="nil"/>
              <w:left w:val="nil"/>
              <w:bottom w:val="single" w:sz="8" w:space="0" w:color="365F91"/>
              <w:right w:val="nil"/>
            </w:tcBorders>
            <w:vAlign w:val="center"/>
            <w:hideMark/>
          </w:tcPr>
          <w:p w14:paraId="6A78E410" w14:textId="77777777" w:rsidR="00F849A7" w:rsidRPr="00D9348B" w:rsidRDefault="00F849A7" w:rsidP="00E3344E">
            <w:pPr>
              <w:pStyle w:val="TableText"/>
              <w:spacing w:before="50" w:after="50"/>
              <w:rPr>
                <w:rFonts w:cs="Calibri"/>
                <w:szCs w:val="16"/>
              </w:rPr>
            </w:pPr>
          </w:p>
        </w:tc>
        <w:tc>
          <w:tcPr>
            <w:tcW w:w="2832" w:type="dxa"/>
            <w:tcBorders>
              <w:top w:val="nil"/>
              <w:left w:val="nil"/>
              <w:bottom w:val="nil"/>
              <w:right w:val="nil"/>
            </w:tcBorders>
            <w:shd w:val="clear" w:color="auto" w:fill="auto"/>
            <w:vAlign w:val="center"/>
            <w:hideMark/>
          </w:tcPr>
          <w:p w14:paraId="3AD2391E" w14:textId="77777777" w:rsidR="00F849A7" w:rsidRPr="00D9348B" w:rsidRDefault="00F849A7" w:rsidP="00E3344E">
            <w:pPr>
              <w:pStyle w:val="TableText"/>
              <w:spacing w:before="50" w:after="50"/>
              <w:rPr>
                <w:rFonts w:cs="Calibri"/>
                <w:szCs w:val="16"/>
              </w:rPr>
            </w:pPr>
            <w:r w:rsidRPr="00D9348B">
              <w:rPr>
                <w:rFonts w:cs="Calibri"/>
                <w:szCs w:val="16"/>
              </w:rPr>
              <w:t>Other Organic Fertilisers applied to Soils</w:t>
            </w:r>
          </w:p>
        </w:tc>
        <w:tc>
          <w:tcPr>
            <w:tcW w:w="850" w:type="dxa"/>
            <w:tcBorders>
              <w:top w:val="nil"/>
              <w:left w:val="nil"/>
              <w:bottom w:val="nil"/>
              <w:right w:val="nil"/>
            </w:tcBorders>
            <w:shd w:val="clear" w:color="auto" w:fill="auto"/>
            <w:noWrap/>
            <w:vAlign w:val="center"/>
            <w:hideMark/>
          </w:tcPr>
          <w:p w14:paraId="2DE5FEAE"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851" w:type="dxa"/>
            <w:tcBorders>
              <w:top w:val="nil"/>
              <w:left w:val="nil"/>
              <w:bottom w:val="nil"/>
              <w:right w:val="nil"/>
            </w:tcBorders>
            <w:shd w:val="clear" w:color="auto" w:fill="auto"/>
            <w:noWrap/>
            <w:vAlign w:val="center"/>
            <w:hideMark/>
          </w:tcPr>
          <w:p w14:paraId="6B681753"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867" w:type="dxa"/>
            <w:tcBorders>
              <w:top w:val="nil"/>
              <w:left w:val="nil"/>
              <w:bottom w:val="nil"/>
              <w:right w:val="nil"/>
            </w:tcBorders>
            <w:shd w:val="clear" w:color="auto" w:fill="auto"/>
            <w:noWrap/>
            <w:vAlign w:val="center"/>
            <w:hideMark/>
          </w:tcPr>
          <w:p w14:paraId="1353BB40" w14:textId="77777777" w:rsidR="00F849A7" w:rsidRPr="00D9348B" w:rsidRDefault="00F849A7" w:rsidP="00E3344E">
            <w:pPr>
              <w:pStyle w:val="TableText"/>
              <w:spacing w:before="50" w:after="50"/>
              <w:jc w:val="center"/>
              <w:rPr>
                <w:rFonts w:cs="Calibri"/>
                <w:szCs w:val="16"/>
              </w:rPr>
            </w:pPr>
            <w:r w:rsidRPr="00D9348B">
              <w:rPr>
                <w:rFonts w:cs="Calibri"/>
                <w:szCs w:val="16"/>
              </w:rPr>
              <w:t>NA</w:t>
            </w:r>
          </w:p>
        </w:tc>
        <w:tc>
          <w:tcPr>
            <w:tcW w:w="942" w:type="dxa"/>
            <w:tcBorders>
              <w:top w:val="nil"/>
              <w:left w:val="nil"/>
              <w:bottom w:val="nil"/>
              <w:right w:val="nil"/>
            </w:tcBorders>
            <w:shd w:val="clear" w:color="auto" w:fill="auto"/>
            <w:noWrap/>
            <w:vAlign w:val="center"/>
            <w:hideMark/>
          </w:tcPr>
          <w:p w14:paraId="0E432F8A" w14:textId="77777777" w:rsidR="00F849A7" w:rsidRPr="00D9348B" w:rsidRDefault="00F849A7" w:rsidP="00E3344E">
            <w:pPr>
              <w:pStyle w:val="TableText"/>
              <w:spacing w:before="50" w:after="50"/>
              <w:jc w:val="center"/>
              <w:rPr>
                <w:rFonts w:cs="Calibri"/>
                <w:szCs w:val="16"/>
              </w:rPr>
            </w:pPr>
            <w:r w:rsidRPr="00D9348B">
              <w:rPr>
                <w:rFonts w:cs="Calibri"/>
                <w:szCs w:val="16"/>
              </w:rPr>
              <w:t>NA</w:t>
            </w:r>
          </w:p>
        </w:tc>
        <w:tc>
          <w:tcPr>
            <w:tcW w:w="942" w:type="dxa"/>
            <w:tcBorders>
              <w:top w:val="nil"/>
              <w:left w:val="nil"/>
              <w:bottom w:val="nil"/>
              <w:right w:val="nil"/>
            </w:tcBorders>
            <w:shd w:val="clear" w:color="auto" w:fill="auto"/>
            <w:noWrap/>
            <w:vAlign w:val="center"/>
            <w:hideMark/>
          </w:tcPr>
          <w:p w14:paraId="428377D5"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3" w:type="dxa"/>
            <w:tcBorders>
              <w:top w:val="nil"/>
              <w:left w:val="nil"/>
              <w:bottom w:val="nil"/>
              <w:right w:val="nil"/>
            </w:tcBorders>
            <w:shd w:val="clear" w:color="auto" w:fill="auto"/>
            <w:noWrap/>
            <w:vAlign w:val="center"/>
            <w:hideMark/>
          </w:tcPr>
          <w:p w14:paraId="4898F0C8"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r>
      <w:tr w:rsidR="00F849A7" w:rsidRPr="00D9348B" w14:paraId="3FAE69F6" w14:textId="77777777" w:rsidTr="00A628DC">
        <w:trPr>
          <w:trHeight w:val="204"/>
        </w:trPr>
        <w:tc>
          <w:tcPr>
            <w:tcW w:w="287" w:type="dxa"/>
            <w:vMerge/>
            <w:tcBorders>
              <w:top w:val="nil"/>
              <w:left w:val="nil"/>
              <w:bottom w:val="single" w:sz="8" w:space="0" w:color="365F91"/>
              <w:right w:val="nil"/>
            </w:tcBorders>
            <w:vAlign w:val="center"/>
            <w:hideMark/>
          </w:tcPr>
          <w:p w14:paraId="503DDB5E" w14:textId="77777777" w:rsidR="00F849A7" w:rsidRPr="00D9348B" w:rsidRDefault="00F849A7" w:rsidP="00E3344E">
            <w:pPr>
              <w:pStyle w:val="TableText"/>
              <w:spacing w:before="50" w:after="50"/>
              <w:rPr>
                <w:rFonts w:cs="Calibri"/>
                <w:szCs w:val="16"/>
              </w:rPr>
            </w:pPr>
          </w:p>
        </w:tc>
        <w:tc>
          <w:tcPr>
            <w:tcW w:w="2832" w:type="dxa"/>
            <w:tcBorders>
              <w:top w:val="nil"/>
              <w:left w:val="nil"/>
              <w:bottom w:val="nil"/>
              <w:right w:val="nil"/>
            </w:tcBorders>
            <w:shd w:val="clear" w:color="auto" w:fill="auto"/>
            <w:vAlign w:val="center"/>
            <w:hideMark/>
          </w:tcPr>
          <w:p w14:paraId="701572EC" w14:textId="77777777" w:rsidR="00F849A7" w:rsidRPr="00D9348B" w:rsidRDefault="00F849A7" w:rsidP="00E3344E">
            <w:pPr>
              <w:pStyle w:val="TableText"/>
              <w:spacing w:before="50" w:after="50"/>
              <w:rPr>
                <w:rFonts w:cs="Calibri"/>
                <w:szCs w:val="16"/>
              </w:rPr>
            </w:pPr>
            <w:r w:rsidRPr="00D9348B">
              <w:rPr>
                <w:rFonts w:cs="Calibri"/>
                <w:szCs w:val="16"/>
              </w:rPr>
              <w:t>Urine and Dung Deposited by Grazing Animals</w:t>
            </w:r>
          </w:p>
        </w:tc>
        <w:tc>
          <w:tcPr>
            <w:tcW w:w="850" w:type="dxa"/>
            <w:tcBorders>
              <w:top w:val="nil"/>
              <w:left w:val="nil"/>
              <w:bottom w:val="nil"/>
              <w:right w:val="nil"/>
            </w:tcBorders>
            <w:shd w:val="clear" w:color="auto" w:fill="auto"/>
            <w:noWrap/>
            <w:vAlign w:val="center"/>
            <w:hideMark/>
          </w:tcPr>
          <w:p w14:paraId="01E6B668"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851" w:type="dxa"/>
            <w:tcBorders>
              <w:top w:val="nil"/>
              <w:left w:val="nil"/>
              <w:bottom w:val="nil"/>
              <w:right w:val="nil"/>
            </w:tcBorders>
            <w:shd w:val="clear" w:color="auto" w:fill="auto"/>
            <w:noWrap/>
            <w:vAlign w:val="center"/>
            <w:hideMark/>
          </w:tcPr>
          <w:p w14:paraId="0AF07233"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867" w:type="dxa"/>
            <w:tcBorders>
              <w:top w:val="nil"/>
              <w:left w:val="nil"/>
              <w:bottom w:val="nil"/>
              <w:right w:val="nil"/>
            </w:tcBorders>
            <w:shd w:val="clear" w:color="auto" w:fill="auto"/>
            <w:noWrap/>
            <w:vAlign w:val="center"/>
            <w:hideMark/>
          </w:tcPr>
          <w:p w14:paraId="4559CDC5" w14:textId="77777777" w:rsidR="00F849A7" w:rsidRPr="00D9348B" w:rsidRDefault="00F849A7" w:rsidP="00E3344E">
            <w:pPr>
              <w:pStyle w:val="TableText"/>
              <w:spacing w:before="50" w:after="50"/>
              <w:jc w:val="center"/>
              <w:rPr>
                <w:rFonts w:cs="Calibri"/>
                <w:szCs w:val="16"/>
              </w:rPr>
            </w:pPr>
            <w:r w:rsidRPr="00D9348B">
              <w:rPr>
                <w:rFonts w:cs="Calibri"/>
                <w:szCs w:val="16"/>
              </w:rPr>
              <w:t>T1, T2</w:t>
            </w:r>
          </w:p>
        </w:tc>
        <w:tc>
          <w:tcPr>
            <w:tcW w:w="942" w:type="dxa"/>
            <w:tcBorders>
              <w:top w:val="nil"/>
              <w:left w:val="nil"/>
              <w:bottom w:val="nil"/>
              <w:right w:val="nil"/>
            </w:tcBorders>
            <w:shd w:val="clear" w:color="auto" w:fill="auto"/>
            <w:noWrap/>
            <w:vAlign w:val="center"/>
            <w:hideMark/>
          </w:tcPr>
          <w:p w14:paraId="2137D4BA" w14:textId="77777777" w:rsidR="00F849A7" w:rsidRPr="00D9348B" w:rsidRDefault="00F849A7" w:rsidP="00E3344E">
            <w:pPr>
              <w:pStyle w:val="TableText"/>
              <w:spacing w:before="50" w:after="50"/>
              <w:jc w:val="center"/>
              <w:rPr>
                <w:rFonts w:cs="Calibri"/>
                <w:szCs w:val="16"/>
              </w:rPr>
            </w:pPr>
            <w:r w:rsidRPr="00D9348B">
              <w:rPr>
                <w:rFonts w:cs="Calibri"/>
                <w:szCs w:val="16"/>
              </w:rPr>
              <w:t>CS</w:t>
            </w:r>
          </w:p>
        </w:tc>
        <w:tc>
          <w:tcPr>
            <w:tcW w:w="942" w:type="dxa"/>
            <w:tcBorders>
              <w:top w:val="nil"/>
              <w:left w:val="nil"/>
              <w:bottom w:val="nil"/>
              <w:right w:val="nil"/>
            </w:tcBorders>
            <w:shd w:val="clear" w:color="auto" w:fill="auto"/>
            <w:noWrap/>
            <w:vAlign w:val="center"/>
            <w:hideMark/>
          </w:tcPr>
          <w:p w14:paraId="75E8A9C6"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3" w:type="dxa"/>
            <w:tcBorders>
              <w:top w:val="nil"/>
              <w:left w:val="nil"/>
              <w:bottom w:val="nil"/>
              <w:right w:val="nil"/>
            </w:tcBorders>
            <w:shd w:val="clear" w:color="auto" w:fill="auto"/>
            <w:noWrap/>
            <w:vAlign w:val="center"/>
            <w:hideMark/>
          </w:tcPr>
          <w:p w14:paraId="79C618B2"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r>
      <w:tr w:rsidR="00F849A7" w:rsidRPr="00D9348B" w14:paraId="2358DE1C" w14:textId="77777777" w:rsidTr="00A628DC">
        <w:trPr>
          <w:trHeight w:val="204"/>
        </w:trPr>
        <w:tc>
          <w:tcPr>
            <w:tcW w:w="287" w:type="dxa"/>
            <w:vMerge/>
            <w:tcBorders>
              <w:top w:val="nil"/>
              <w:left w:val="nil"/>
              <w:bottom w:val="single" w:sz="8" w:space="0" w:color="365F91"/>
              <w:right w:val="nil"/>
            </w:tcBorders>
            <w:vAlign w:val="center"/>
            <w:hideMark/>
          </w:tcPr>
          <w:p w14:paraId="2123E19A" w14:textId="77777777" w:rsidR="00F849A7" w:rsidRPr="00D9348B" w:rsidRDefault="00F849A7" w:rsidP="00E3344E">
            <w:pPr>
              <w:pStyle w:val="TableText"/>
              <w:spacing w:before="50" w:after="50"/>
              <w:rPr>
                <w:rFonts w:cs="Calibri"/>
                <w:szCs w:val="16"/>
              </w:rPr>
            </w:pPr>
          </w:p>
        </w:tc>
        <w:tc>
          <w:tcPr>
            <w:tcW w:w="2832" w:type="dxa"/>
            <w:tcBorders>
              <w:top w:val="nil"/>
              <w:left w:val="nil"/>
              <w:bottom w:val="nil"/>
              <w:right w:val="nil"/>
            </w:tcBorders>
            <w:shd w:val="clear" w:color="auto" w:fill="auto"/>
            <w:vAlign w:val="center"/>
            <w:hideMark/>
          </w:tcPr>
          <w:p w14:paraId="7892A59C" w14:textId="77777777" w:rsidR="00F849A7" w:rsidRPr="00D9348B" w:rsidRDefault="00F849A7" w:rsidP="00E3344E">
            <w:pPr>
              <w:pStyle w:val="TableText"/>
              <w:spacing w:before="50" w:after="50"/>
              <w:rPr>
                <w:rFonts w:cs="Calibri"/>
                <w:szCs w:val="16"/>
              </w:rPr>
            </w:pPr>
            <w:r w:rsidRPr="00D9348B">
              <w:rPr>
                <w:rFonts w:cs="Calibri"/>
                <w:szCs w:val="16"/>
              </w:rPr>
              <w:t>Crop Residues</w:t>
            </w:r>
          </w:p>
        </w:tc>
        <w:tc>
          <w:tcPr>
            <w:tcW w:w="850" w:type="dxa"/>
            <w:tcBorders>
              <w:top w:val="nil"/>
              <w:left w:val="nil"/>
              <w:bottom w:val="nil"/>
              <w:right w:val="nil"/>
            </w:tcBorders>
            <w:shd w:val="clear" w:color="auto" w:fill="auto"/>
            <w:noWrap/>
            <w:vAlign w:val="center"/>
            <w:hideMark/>
          </w:tcPr>
          <w:p w14:paraId="2CE85B9E"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851" w:type="dxa"/>
            <w:tcBorders>
              <w:top w:val="nil"/>
              <w:left w:val="nil"/>
              <w:bottom w:val="nil"/>
              <w:right w:val="nil"/>
            </w:tcBorders>
            <w:shd w:val="clear" w:color="auto" w:fill="auto"/>
            <w:noWrap/>
            <w:vAlign w:val="center"/>
            <w:hideMark/>
          </w:tcPr>
          <w:p w14:paraId="690F7F4F"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867" w:type="dxa"/>
            <w:tcBorders>
              <w:top w:val="nil"/>
              <w:left w:val="nil"/>
              <w:bottom w:val="nil"/>
              <w:right w:val="nil"/>
            </w:tcBorders>
            <w:shd w:val="clear" w:color="auto" w:fill="auto"/>
            <w:noWrap/>
            <w:vAlign w:val="center"/>
            <w:hideMark/>
          </w:tcPr>
          <w:p w14:paraId="1293DB69" w14:textId="77777777" w:rsidR="00F849A7" w:rsidRPr="00D9348B" w:rsidRDefault="00F849A7" w:rsidP="00E3344E">
            <w:pPr>
              <w:pStyle w:val="TableText"/>
              <w:spacing w:before="50" w:after="50"/>
              <w:jc w:val="center"/>
              <w:rPr>
                <w:rFonts w:cs="Calibri"/>
                <w:szCs w:val="16"/>
              </w:rPr>
            </w:pPr>
            <w:r w:rsidRPr="00D9348B">
              <w:rPr>
                <w:rFonts w:cs="Calibri"/>
                <w:szCs w:val="16"/>
              </w:rPr>
              <w:t>T2</w:t>
            </w:r>
          </w:p>
        </w:tc>
        <w:tc>
          <w:tcPr>
            <w:tcW w:w="942" w:type="dxa"/>
            <w:tcBorders>
              <w:top w:val="nil"/>
              <w:left w:val="nil"/>
              <w:bottom w:val="nil"/>
              <w:right w:val="nil"/>
            </w:tcBorders>
            <w:shd w:val="clear" w:color="auto" w:fill="auto"/>
            <w:noWrap/>
            <w:vAlign w:val="center"/>
            <w:hideMark/>
          </w:tcPr>
          <w:p w14:paraId="4D54F93A" w14:textId="77777777" w:rsidR="00F849A7" w:rsidRPr="00D9348B" w:rsidRDefault="00F849A7" w:rsidP="00E3344E">
            <w:pPr>
              <w:pStyle w:val="TableText"/>
              <w:spacing w:before="50" w:after="50"/>
              <w:jc w:val="center"/>
              <w:rPr>
                <w:rFonts w:cs="Calibri"/>
                <w:szCs w:val="16"/>
              </w:rPr>
            </w:pPr>
            <w:r w:rsidRPr="00D9348B">
              <w:rPr>
                <w:rFonts w:cs="Calibri"/>
                <w:szCs w:val="16"/>
              </w:rPr>
              <w:t>CS</w:t>
            </w:r>
          </w:p>
        </w:tc>
        <w:tc>
          <w:tcPr>
            <w:tcW w:w="942" w:type="dxa"/>
            <w:tcBorders>
              <w:top w:val="nil"/>
              <w:left w:val="nil"/>
              <w:bottom w:val="nil"/>
              <w:right w:val="nil"/>
            </w:tcBorders>
            <w:shd w:val="clear" w:color="auto" w:fill="auto"/>
            <w:noWrap/>
            <w:vAlign w:val="center"/>
            <w:hideMark/>
          </w:tcPr>
          <w:p w14:paraId="4FE9F4BF"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3" w:type="dxa"/>
            <w:tcBorders>
              <w:top w:val="nil"/>
              <w:left w:val="nil"/>
              <w:bottom w:val="nil"/>
              <w:right w:val="nil"/>
            </w:tcBorders>
            <w:shd w:val="clear" w:color="auto" w:fill="auto"/>
            <w:noWrap/>
            <w:vAlign w:val="center"/>
            <w:hideMark/>
          </w:tcPr>
          <w:p w14:paraId="5D5F1296"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r>
      <w:tr w:rsidR="00F849A7" w:rsidRPr="00D9348B" w14:paraId="4BBF39A9" w14:textId="77777777" w:rsidTr="00A628DC">
        <w:trPr>
          <w:trHeight w:val="204"/>
        </w:trPr>
        <w:tc>
          <w:tcPr>
            <w:tcW w:w="287" w:type="dxa"/>
            <w:vMerge/>
            <w:tcBorders>
              <w:top w:val="nil"/>
              <w:left w:val="nil"/>
              <w:bottom w:val="single" w:sz="8" w:space="0" w:color="365F91"/>
              <w:right w:val="nil"/>
            </w:tcBorders>
            <w:vAlign w:val="center"/>
            <w:hideMark/>
          </w:tcPr>
          <w:p w14:paraId="234D94F1" w14:textId="77777777" w:rsidR="00F849A7" w:rsidRPr="00D9348B" w:rsidRDefault="00F849A7" w:rsidP="00E3344E">
            <w:pPr>
              <w:pStyle w:val="TableText"/>
              <w:spacing w:before="50" w:after="50"/>
              <w:rPr>
                <w:rFonts w:cs="Calibri"/>
                <w:szCs w:val="16"/>
              </w:rPr>
            </w:pPr>
          </w:p>
        </w:tc>
        <w:tc>
          <w:tcPr>
            <w:tcW w:w="2832" w:type="dxa"/>
            <w:tcBorders>
              <w:top w:val="nil"/>
              <w:left w:val="nil"/>
              <w:bottom w:val="nil"/>
              <w:right w:val="nil"/>
            </w:tcBorders>
            <w:shd w:val="clear" w:color="auto" w:fill="auto"/>
            <w:vAlign w:val="center"/>
            <w:hideMark/>
          </w:tcPr>
          <w:p w14:paraId="7257A0F0" w14:textId="77777777" w:rsidR="00F849A7" w:rsidRPr="00D9348B" w:rsidRDefault="00F849A7" w:rsidP="00E3344E">
            <w:pPr>
              <w:pStyle w:val="TableText"/>
              <w:spacing w:before="50" w:after="50"/>
              <w:rPr>
                <w:rFonts w:cs="Calibri"/>
                <w:szCs w:val="16"/>
              </w:rPr>
            </w:pPr>
            <w:r w:rsidRPr="00D9348B">
              <w:rPr>
                <w:rFonts w:cs="Calibri"/>
                <w:szCs w:val="16"/>
              </w:rPr>
              <w:t>Mineralisation associated with Loss of Soil Organic Matter</w:t>
            </w:r>
          </w:p>
        </w:tc>
        <w:tc>
          <w:tcPr>
            <w:tcW w:w="850" w:type="dxa"/>
            <w:tcBorders>
              <w:top w:val="nil"/>
              <w:left w:val="nil"/>
              <w:bottom w:val="nil"/>
              <w:right w:val="nil"/>
            </w:tcBorders>
            <w:shd w:val="clear" w:color="auto" w:fill="auto"/>
            <w:noWrap/>
            <w:vAlign w:val="center"/>
            <w:hideMark/>
          </w:tcPr>
          <w:p w14:paraId="26C60AA7"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851" w:type="dxa"/>
            <w:tcBorders>
              <w:top w:val="nil"/>
              <w:left w:val="nil"/>
              <w:bottom w:val="nil"/>
              <w:right w:val="nil"/>
            </w:tcBorders>
            <w:shd w:val="clear" w:color="auto" w:fill="auto"/>
            <w:noWrap/>
            <w:vAlign w:val="center"/>
            <w:hideMark/>
          </w:tcPr>
          <w:p w14:paraId="16937F10"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867" w:type="dxa"/>
            <w:tcBorders>
              <w:top w:val="nil"/>
              <w:left w:val="nil"/>
              <w:bottom w:val="nil"/>
              <w:right w:val="nil"/>
            </w:tcBorders>
            <w:shd w:val="clear" w:color="auto" w:fill="auto"/>
            <w:noWrap/>
            <w:vAlign w:val="center"/>
            <w:hideMark/>
          </w:tcPr>
          <w:p w14:paraId="337E4CD9" w14:textId="77777777" w:rsidR="00F849A7" w:rsidRPr="00D9348B" w:rsidRDefault="00F849A7" w:rsidP="00E3344E">
            <w:pPr>
              <w:pStyle w:val="TableText"/>
              <w:spacing w:before="50" w:after="50"/>
              <w:jc w:val="center"/>
              <w:rPr>
                <w:rFonts w:cs="Calibri"/>
                <w:szCs w:val="16"/>
              </w:rPr>
            </w:pPr>
            <w:r w:rsidRPr="00D9348B">
              <w:rPr>
                <w:rFonts w:cs="Calibri"/>
                <w:szCs w:val="16"/>
              </w:rPr>
              <w:t>T1</w:t>
            </w:r>
          </w:p>
        </w:tc>
        <w:tc>
          <w:tcPr>
            <w:tcW w:w="942" w:type="dxa"/>
            <w:tcBorders>
              <w:top w:val="nil"/>
              <w:left w:val="nil"/>
              <w:bottom w:val="nil"/>
              <w:right w:val="nil"/>
            </w:tcBorders>
            <w:shd w:val="clear" w:color="auto" w:fill="auto"/>
            <w:noWrap/>
            <w:vAlign w:val="center"/>
            <w:hideMark/>
          </w:tcPr>
          <w:p w14:paraId="0F56F7FA" w14:textId="77777777" w:rsidR="00F849A7" w:rsidRPr="00D9348B" w:rsidRDefault="00F849A7" w:rsidP="00E3344E">
            <w:pPr>
              <w:pStyle w:val="TableText"/>
              <w:spacing w:before="50" w:after="50"/>
              <w:jc w:val="center"/>
              <w:rPr>
                <w:rFonts w:cs="Calibri"/>
                <w:szCs w:val="16"/>
              </w:rPr>
            </w:pPr>
            <w:r w:rsidRPr="00D9348B">
              <w:rPr>
                <w:rFonts w:cs="Calibri"/>
                <w:szCs w:val="16"/>
              </w:rPr>
              <w:t>D</w:t>
            </w:r>
          </w:p>
        </w:tc>
        <w:tc>
          <w:tcPr>
            <w:tcW w:w="942" w:type="dxa"/>
            <w:tcBorders>
              <w:top w:val="nil"/>
              <w:left w:val="nil"/>
              <w:bottom w:val="nil"/>
              <w:right w:val="nil"/>
            </w:tcBorders>
            <w:shd w:val="clear" w:color="auto" w:fill="auto"/>
            <w:noWrap/>
            <w:vAlign w:val="center"/>
            <w:hideMark/>
          </w:tcPr>
          <w:p w14:paraId="1673EED1"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3" w:type="dxa"/>
            <w:tcBorders>
              <w:top w:val="nil"/>
              <w:left w:val="nil"/>
              <w:bottom w:val="nil"/>
              <w:right w:val="nil"/>
            </w:tcBorders>
            <w:shd w:val="clear" w:color="auto" w:fill="auto"/>
            <w:noWrap/>
            <w:vAlign w:val="center"/>
            <w:hideMark/>
          </w:tcPr>
          <w:p w14:paraId="789D75DB"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r>
      <w:tr w:rsidR="00F849A7" w:rsidRPr="00D9348B" w14:paraId="35502EFB" w14:textId="77777777" w:rsidTr="00A628DC">
        <w:trPr>
          <w:trHeight w:val="204"/>
        </w:trPr>
        <w:tc>
          <w:tcPr>
            <w:tcW w:w="287" w:type="dxa"/>
            <w:vMerge/>
            <w:tcBorders>
              <w:top w:val="nil"/>
              <w:left w:val="nil"/>
              <w:bottom w:val="single" w:sz="4" w:space="0" w:color="365F91"/>
              <w:right w:val="nil"/>
            </w:tcBorders>
            <w:vAlign w:val="center"/>
            <w:hideMark/>
          </w:tcPr>
          <w:p w14:paraId="0213DFD7" w14:textId="77777777" w:rsidR="00F849A7" w:rsidRPr="00D9348B" w:rsidRDefault="00F849A7" w:rsidP="00E3344E">
            <w:pPr>
              <w:pStyle w:val="TableText"/>
              <w:spacing w:before="50" w:after="50"/>
              <w:rPr>
                <w:rFonts w:cs="Calibri"/>
                <w:szCs w:val="16"/>
              </w:rPr>
            </w:pPr>
          </w:p>
        </w:tc>
        <w:tc>
          <w:tcPr>
            <w:tcW w:w="2832" w:type="dxa"/>
            <w:tcBorders>
              <w:top w:val="nil"/>
              <w:left w:val="nil"/>
              <w:bottom w:val="single" w:sz="4" w:space="0" w:color="365F91"/>
              <w:right w:val="nil"/>
            </w:tcBorders>
            <w:shd w:val="clear" w:color="auto" w:fill="auto"/>
            <w:vAlign w:val="center"/>
            <w:hideMark/>
          </w:tcPr>
          <w:p w14:paraId="4F7EED9B" w14:textId="77777777" w:rsidR="00F849A7" w:rsidRPr="00D9348B" w:rsidRDefault="00F849A7" w:rsidP="00E3344E">
            <w:pPr>
              <w:pStyle w:val="TableText"/>
              <w:spacing w:before="50" w:after="50"/>
              <w:rPr>
                <w:rFonts w:cs="Calibri"/>
                <w:szCs w:val="16"/>
              </w:rPr>
            </w:pPr>
            <w:r w:rsidRPr="00D9348B">
              <w:rPr>
                <w:rFonts w:cs="Calibri"/>
                <w:szCs w:val="16"/>
              </w:rPr>
              <w:t>Cultivation of Organic Soils</w:t>
            </w:r>
          </w:p>
        </w:tc>
        <w:tc>
          <w:tcPr>
            <w:tcW w:w="850" w:type="dxa"/>
            <w:tcBorders>
              <w:top w:val="nil"/>
              <w:left w:val="nil"/>
              <w:bottom w:val="single" w:sz="4" w:space="0" w:color="365F91"/>
              <w:right w:val="nil"/>
            </w:tcBorders>
            <w:shd w:val="clear" w:color="auto" w:fill="auto"/>
            <w:noWrap/>
            <w:vAlign w:val="center"/>
            <w:hideMark/>
          </w:tcPr>
          <w:p w14:paraId="536E3D7C"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851" w:type="dxa"/>
            <w:tcBorders>
              <w:top w:val="nil"/>
              <w:left w:val="nil"/>
              <w:bottom w:val="single" w:sz="4" w:space="0" w:color="365F91"/>
              <w:right w:val="nil"/>
            </w:tcBorders>
            <w:shd w:val="clear" w:color="auto" w:fill="auto"/>
            <w:noWrap/>
            <w:vAlign w:val="center"/>
            <w:hideMark/>
          </w:tcPr>
          <w:p w14:paraId="47399749"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867" w:type="dxa"/>
            <w:tcBorders>
              <w:top w:val="nil"/>
              <w:left w:val="nil"/>
              <w:bottom w:val="single" w:sz="4" w:space="0" w:color="365F91"/>
              <w:right w:val="nil"/>
            </w:tcBorders>
            <w:shd w:val="clear" w:color="auto" w:fill="auto"/>
            <w:noWrap/>
            <w:vAlign w:val="center"/>
            <w:hideMark/>
          </w:tcPr>
          <w:p w14:paraId="076DB22D" w14:textId="77777777" w:rsidR="00F849A7" w:rsidRPr="00D9348B" w:rsidRDefault="00F849A7" w:rsidP="00E3344E">
            <w:pPr>
              <w:pStyle w:val="TableText"/>
              <w:spacing w:before="50" w:after="50"/>
              <w:jc w:val="center"/>
              <w:rPr>
                <w:rFonts w:cs="Calibri"/>
                <w:szCs w:val="16"/>
              </w:rPr>
            </w:pPr>
            <w:r w:rsidRPr="00D9348B">
              <w:rPr>
                <w:rFonts w:cs="Calibri"/>
                <w:szCs w:val="16"/>
              </w:rPr>
              <w:t>T1</w:t>
            </w:r>
          </w:p>
        </w:tc>
        <w:tc>
          <w:tcPr>
            <w:tcW w:w="942" w:type="dxa"/>
            <w:tcBorders>
              <w:top w:val="nil"/>
              <w:left w:val="nil"/>
              <w:bottom w:val="single" w:sz="4" w:space="0" w:color="365F91"/>
              <w:right w:val="nil"/>
            </w:tcBorders>
            <w:shd w:val="clear" w:color="auto" w:fill="auto"/>
            <w:noWrap/>
            <w:vAlign w:val="center"/>
            <w:hideMark/>
          </w:tcPr>
          <w:p w14:paraId="165915FB" w14:textId="77777777" w:rsidR="00F849A7" w:rsidRPr="00D9348B" w:rsidRDefault="00F849A7" w:rsidP="00E3344E">
            <w:pPr>
              <w:pStyle w:val="TableText"/>
              <w:spacing w:before="50" w:after="50"/>
              <w:jc w:val="center"/>
              <w:rPr>
                <w:rFonts w:cs="Calibri"/>
                <w:szCs w:val="16"/>
              </w:rPr>
            </w:pPr>
            <w:r w:rsidRPr="00D9348B">
              <w:rPr>
                <w:rFonts w:cs="Calibri"/>
                <w:szCs w:val="16"/>
              </w:rPr>
              <w:t>D</w:t>
            </w:r>
          </w:p>
        </w:tc>
        <w:tc>
          <w:tcPr>
            <w:tcW w:w="942" w:type="dxa"/>
            <w:tcBorders>
              <w:top w:val="nil"/>
              <w:left w:val="nil"/>
              <w:bottom w:val="single" w:sz="4" w:space="0" w:color="365F91"/>
              <w:right w:val="nil"/>
            </w:tcBorders>
            <w:shd w:val="clear" w:color="auto" w:fill="auto"/>
            <w:noWrap/>
            <w:vAlign w:val="center"/>
            <w:hideMark/>
          </w:tcPr>
          <w:p w14:paraId="72AD0969"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3" w:type="dxa"/>
            <w:tcBorders>
              <w:top w:val="nil"/>
              <w:left w:val="nil"/>
              <w:bottom w:val="single" w:sz="4" w:space="0" w:color="365F91"/>
              <w:right w:val="nil"/>
            </w:tcBorders>
            <w:shd w:val="clear" w:color="auto" w:fill="auto"/>
            <w:noWrap/>
            <w:vAlign w:val="center"/>
            <w:hideMark/>
          </w:tcPr>
          <w:p w14:paraId="734EE911"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r>
      <w:tr w:rsidR="00F849A7" w:rsidRPr="00D9348B" w14:paraId="31665FA0" w14:textId="77777777" w:rsidTr="00A628DC">
        <w:trPr>
          <w:trHeight w:val="204"/>
        </w:trPr>
        <w:tc>
          <w:tcPr>
            <w:tcW w:w="287" w:type="dxa"/>
            <w:vMerge w:val="restart"/>
            <w:tcBorders>
              <w:top w:val="single" w:sz="4" w:space="0" w:color="365F91"/>
              <w:left w:val="nil"/>
              <w:bottom w:val="single" w:sz="8" w:space="0" w:color="365F91"/>
              <w:right w:val="nil"/>
            </w:tcBorders>
            <w:shd w:val="clear" w:color="auto" w:fill="auto"/>
            <w:noWrap/>
            <w:vAlign w:val="center"/>
            <w:hideMark/>
          </w:tcPr>
          <w:p w14:paraId="60272C1F" w14:textId="77777777" w:rsidR="00F849A7" w:rsidRPr="00D9348B" w:rsidRDefault="00F849A7" w:rsidP="00E3344E">
            <w:pPr>
              <w:pStyle w:val="TableText"/>
              <w:spacing w:before="50" w:after="50"/>
              <w:rPr>
                <w:rFonts w:cs="Calibri"/>
                <w:szCs w:val="16"/>
              </w:rPr>
            </w:pPr>
            <w:r w:rsidRPr="00D9348B">
              <w:rPr>
                <w:rFonts w:cs="Calibri"/>
                <w:szCs w:val="16"/>
              </w:rPr>
              <w:t>2</w:t>
            </w:r>
          </w:p>
        </w:tc>
        <w:tc>
          <w:tcPr>
            <w:tcW w:w="2832" w:type="dxa"/>
            <w:tcBorders>
              <w:top w:val="single" w:sz="4" w:space="0" w:color="365F91"/>
              <w:left w:val="nil"/>
              <w:bottom w:val="nil"/>
              <w:right w:val="nil"/>
            </w:tcBorders>
            <w:shd w:val="clear" w:color="auto" w:fill="auto"/>
            <w:vAlign w:val="center"/>
            <w:hideMark/>
          </w:tcPr>
          <w:p w14:paraId="59D49267" w14:textId="77777777" w:rsidR="00F849A7" w:rsidRPr="00D9348B" w:rsidRDefault="00F849A7" w:rsidP="00E3344E">
            <w:pPr>
              <w:pStyle w:val="TableText"/>
              <w:spacing w:before="50" w:after="50"/>
              <w:rPr>
                <w:rFonts w:cs="Calibri"/>
                <w:szCs w:val="16"/>
              </w:rPr>
            </w:pPr>
            <w:r w:rsidRPr="00D9348B">
              <w:rPr>
                <w:rFonts w:cs="Calibri"/>
                <w:szCs w:val="16"/>
              </w:rPr>
              <w:t>Indirect Emissions</w:t>
            </w:r>
          </w:p>
        </w:tc>
        <w:tc>
          <w:tcPr>
            <w:tcW w:w="850" w:type="dxa"/>
            <w:tcBorders>
              <w:top w:val="single" w:sz="4" w:space="0" w:color="365F91"/>
              <w:left w:val="nil"/>
              <w:bottom w:val="nil"/>
              <w:right w:val="nil"/>
            </w:tcBorders>
            <w:shd w:val="clear" w:color="auto" w:fill="auto"/>
            <w:noWrap/>
            <w:vAlign w:val="center"/>
            <w:hideMark/>
          </w:tcPr>
          <w:p w14:paraId="4B015DE5"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851" w:type="dxa"/>
            <w:tcBorders>
              <w:top w:val="single" w:sz="4" w:space="0" w:color="365F91"/>
              <w:left w:val="nil"/>
              <w:bottom w:val="nil"/>
              <w:right w:val="nil"/>
            </w:tcBorders>
            <w:shd w:val="clear" w:color="auto" w:fill="auto"/>
            <w:noWrap/>
            <w:vAlign w:val="center"/>
            <w:hideMark/>
          </w:tcPr>
          <w:p w14:paraId="0E7C0A4A"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867" w:type="dxa"/>
            <w:tcBorders>
              <w:top w:val="single" w:sz="4" w:space="0" w:color="365F91"/>
              <w:left w:val="nil"/>
              <w:bottom w:val="nil"/>
              <w:right w:val="nil"/>
            </w:tcBorders>
            <w:shd w:val="clear" w:color="auto" w:fill="auto"/>
            <w:noWrap/>
            <w:vAlign w:val="center"/>
            <w:hideMark/>
          </w:tcPr>
          <w:p w14:paraId="47A3622B"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2" w:type="dxa"/>
            <w:tcBorders>
              <w:top w:val="single" w:sz="4" w:space="0" w:color="365F91"/>
              <w:left w:val="nil"/>
              <w:bottom w:val="nil"/>
              <w:right w:val="nil"/>
            </w:tcBorders>
            <w:shd w:val="clear" w:color="auto" w:fill="auto"/>
            <w:noWrap/>
            <w:vAlign w:val="center"/>
            <w:hideMark/>
          </w:tcPr>
          <w:p w14:paraId="61F9E8AE"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2" w:type="dxa"/>
            <w:tcBorders>
              <w:top w:val="single" w:sz="4" w:space="0" w:color="365F91"/>
              <w:left w:val="nil"/>
              <w:bottom w:val="nil"/>
              <w:right w:val="nil"/>
            </w:tcBorders>
            <w:shd w:val="clear" w:color="auto" w:fill="auto"/>
            <w:noWrap/>
            <w:vAlign w:val="center"/>
            <w:hideMark/>
          </w:tcPr>
          <w:p w14:paraId="4B604BFA"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3" w:type="dxa"/>
            <w:tcBorders>
              <w:top w:val="single" w:sz="4" w:space="0" w:color="365F91"/>
              <w:left w:val="nil"/>
              <w:bottom w:val="nil"/>
              <w:right w:val="nil"/>
            </w:tcBorders>
            <w:shd w:val="clear" w:color="auto" w:fill="auto"/>
            <w:noWrap/>
            <w:vAlign w:val="center"/>
            <w:hideMark/>
          </w:tcPr>
          <w:p w14:paraId="484F9DD2"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r>
      <w:tr w:rsidR="00F849A7" w:rsidRPr="00D9348B" w14:paraId="16E35864" w14:textId="77777777" w:rsidTr="00A628DC">
        <w:trPr>
          <w:trHeight w:val="204"/>
        </w:trPr>
        <w:tc>
          <w:tcPr>
            <w:tcW w:w="287" w:type="dxa"/>
            <w:vMerge/>
            <w:tcBorders>
              <w:top w:val="nil"/>
              <w:left w:val="nil"/>
              <w:bottom w:val="single" w:sz="8" w:space="0" w:color="365F91"/>
              <w:right w:val="nil"/>
            </w:tcBorders>
            <w:vAlign w:val="center"/>
            <w:hideMark/>
          </w:tcPr>
          <w:p w14:paraId="3F6F4AE7" w14:textId="77777777" w:rsidR="00F849A7" w:rsidRPr="00D9348B" w:rsidRDefault="00F849A7" w:rsidP="00E3344E">
            <w:pPr>
              <w:pStyle w:val="TableText"/>
              <w:spacing w:before="50" w:after="50"/>
              <w:rPr>
                <w:rFonts w:cs="Calibri"/>
                <w:szCs w:val="16"/>
              </w:rPr>
            </w:pPr>
          </w:p>
        </w:tc>
        <w:tc>
          <w:tcPr>
            <w:tcW w:w="2832" w:type="dxa"/>
            <w:tcBorders>
              <w:top w:val="nil"/>
              <w:left w:val="nil"/>
              <w:bottom w:val="nil"/>
              <w:right w:val="nil"/>
            </w:tcBorders>
            <w:shd w:val="clear" w:color="auto" w:fill="auto"/>
            <w:vAlign w:val="center"/>
            <w:hideMark/>
          </w:tcPr>
          <w:p w14:paraId="2B99483A" w14:textId="77777777" w:rsidR="00F849A7" w:rsidRPr="00D9348B" w:rsidRDefault="00F849A7" w:rsidP="00E3344E">
            <w:pPr>
              <w:pStyle w:val="TableText"/>
              <w:spacing w:before="50" w:after="50"/>
              <w:rPr>
                <w:rFonts w:cs="Calibri"/>
                <w:szCs w:val="16"/>
              </w:rPr>
            </w:pPr>
            <w:r w:rsidRPr="00D9348B">
              <w:rPr>
                <w:rFonts w:cs="Calibri"/>
                <w:szCs w:val="16"/>
              </w:rPr>
              <w:t>Atmospheric Deposition</w:t>
            </w:r>
          </w:p>
        </w:tc>
        <w:tc>
          <w:tcPr>
            <w:tcW w:w="850" w:type="dxa"/>
            <w:tcBorders>
              <w:top w:val="nil"/>
              <w:left w:val="nil"/>
              <w:bottom w:val="nil"/>
              <w:right w:val="nil"/>
            </w:tcBorders>
            <w:shd w:val="clear" w:color="auto" w:fill="auto"/>
            <w:noWrap/>
            <w:vAlign w:val="center"/>
            <w:hideMark/>
          </w:tcPr>
          <w:p w14:paraId="32749769"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851" w:type="dxa"/>
            <w:tcBorders>
              <w:top w:val="nil"/>
              <w:left w:val="nil"/>
              <w:bottom w:val="nil"/>
              <w:right w:val="nil"/>
            </w:tcBorders>
            <w:shd w:val="clear" w:color="auto" w:fill="auto"/>
            <w:noWrap/>
            <w:vAlign w:val="center"/>
            <w:hideMark/>
          </w:tcPr>
          <w:p w14:paraId="3DE175C8"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867" w:type="dxa"/>
            <w:tcBorders>
              <w:top w:val="nil"/>
              <w:left w:val="nil"/>
              <w:bottom w:val="nil"/>
              <w:right w:val="nil"/>
            </w:tcBorders>
            <w:shd w:val="clear" w:color="auto" w:fill="auto"/>
            <w:noWrap/>
            <w:vAlign w:val="center"/>
            <w:hideMark/>
          </w:tcPr>
          <w:p w14:paraId="0D703CF2" w14:textId="77777777" w:rsidR="00F849A7" w:rsidRPr="00D9348B" w:rsidRDefault="00F849A7" w:rsidP="00E3344E">
            <w:pPr>
              <w:pStyle w:val="TableText"/>
              <w:spacing w:before="50" w:after="50"/>
              <w:jc w:val="center"/>
              <w:rPr>
                <w:rFonts w:cs="Calibri"/>
                <w:szCs w:val="16"/>
              </w:rPr>
            </w:pPr>
            <w:r w:rsidRPr="00D9348B">
              <w:rPr>
                <w:rFonts w:cs="Calibri"/>
                <w:szCs w:val="16"/>
              </w:rPr>
              <w:t>T1, T2</w:t>
            </w:r>
          </w:p>
        </w:tc>
        <w:tc>
          <w:tcPr>
            <w:tcW w:w="942" w:type="dxa"/>
            <w:tcBorders>
              <w:top w:val="nil"/>
              <w:left w:val="nil"/>
              <w:bottom w:val="nil"/>
              <w:right w:val="nil"/>
            </w:tcBorders>
            <w:shd w:val="clear" w:color="auto" w:fill="auto"/>
            <w:noWrap/>
            <w:vAlign w:val="center"/>
            <w:hideMark/>
          </w:tcPr>
          <w:p w14:paraId="25DEC7BD" w14:textId="77777777" w:rsidR="00F849A7" w:rsidRPr="00D9348B" w:rsidRDefault="00F849A7" w:rsidP="00E3344E">
            <w:pPr>
              <w:pStyle w:val="TableText"/>
              <w:spacing w:before="50" w:after="50"/>
              <w:jc w:val="center"/>
              <w:rPr>
                <w:rFonts w:cs="Calibri"/>
                <w:szCs w:val="16"/>
              </w:rPr>
            </w:pPr>
            <w:r w:rsidRPr="00D9348B">
              <w:rPr>
                <w:rFonts w:cs="Calibri"/>
                <w:szCs w:val="16"/>
              </w:rPr>
              <w:t>D</w:t>
            </w:r>
          </w:p>
        </w:tc>
        <w:tc>
          <w:tcPr>
            <w:tcW w:w="942" w:type="dxa"/>
            <w:tcBorders>
              <w:top w:val="nil"/>
              <w:left w:val="nil"/>
              <w:bottom w:val="nil"/>
              <w:right w:val="nil"/>
            </w:tcBorders>
            <w:shd w:val="clear" w:color="auto" w:fill="auto"/>
            <w:noWrap/>
            <w:vAlign w:val="center"/>
            <w:hideMark/>
          </w:tcPr>
          <w:p w14:paraId="6EA15D7F"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3" w:type="dxa"/>
            <w:tcBorders>
              <w:top w:val="nil"/>
              <w:left w:val="nil"/>
              <w:bottom w:val="nil"/>
              <w:right w:val="nil"/>
            </w:tcBorders>
            <w:shd w:val="clear" w:color="auto" w:fill="auto"/>
            <w:noWrap/>
            <w:vAlign w:val="center"/>
            <w:hideMark/>
          </w:tcPr>
          <w:p w14:paraId="3F8CC80C"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r>
      <w:tr w:rsidR="00F849A7" w:rsidRPr="00D9348B" w14:paraId="45AC93E1" w14:textId="77777777" w:rsidTr="00A628DC">
        <w:trPr>
          <w:trHeight w:val="204"/>
        </w:trPr>
        <w:tc>
          <w:tcPr>
            <w:tcW w:w="287" w:type="dxa"/>
            <w:vMerge/>
            <w:tcBorders>
              <w:top w:val="nil"/>
              <w:left w:val="nil"/>
              <w:bottom w:val="single" w:sz="4" w:space="0" w:color="365F91"/>
              <w:right w:val="nil"/>
            </w:tcBorders>
            <w:vAlign w:val="center"/>
            <w:hideMark/>
          </w:tcPr>
          <w:p w14:paraId="2AC2BA9D" w14:textId="77777777" w:rsidR="00F849A7" w:rsidRPr="00D9348B" w:rsidRDefault="00F849A7" w:rsidP="00E3344E">
            <w:pPr>
              <w:pStyle w:val="TableText"/>
              <w:spacing w:before="50" w:after="50"/>
              <w:rPr>
                <w:rFonts w:cs="Calibri"/>
                <w:szCs w:val="16"/>
              </w:rPr>
            </w:pPr>
          </w:p>
        </w:tc>
        <w:tc>
          <w:tcPr>
            <w:tcW w:w="2832" w:type="dxa"/>
            <w:tcBorders>
              <w:top w:val="nil"/>
              <w:left w:val="nil"/>
              <w:bottom w:val="single" w:sz="4" w:space="0" w:color="365F91"/>
              <w:right w:val="nil"/>
            </w:tcBorders>
            <w:shd w:val="clear" w:color="auto" w:fill="auto"/>
            <w:vAlign w:val="center"/>
            <w:hideMark/>
          </w:tcPr>
          <w:p w14:paraId="0B7DDB0D" w14:textId="77777777" w:rsidR="00F849A7" w:rsidRPr="00D9348B" w:rsidRDefault="00F849A7" w:rsidP="00E3344E">
            <w:pPr>
              <w:pStyle w:val="TableText"/>
              <w:spacing w:before="50" w:after="50"/>
              <w:rPr>
                <w:rFonts w:cs="Calibri"/>
                <w:szCs w:val="16"/>
              </w:rPr>
            </w:pPr>
            <w:r w:rsidRPr="00D9348B">
              <w:rPr>
                <w:rFonts w:cs="Calibri"/>
                <w:szCs w:val="16"/>
              </w:rPr>
              <w:t>Nitrogen Leaching and Runoff</w:t>
            </w:r>
          </w:p>
        </w:tc>
        <w:tc>
          <w:tcPr>
            <w:tcW w:w="850" w:type="dxa"/>
            <w:tcBorders>
              <w:top w:val="nil"/>
              <w:left w:val="nil"/>
              <w:bottom w:val="single" w:sz="4" w:space="0" w:color="365F91"/>
              <w:right w:val="nil"/>
            </w:tcBorders>
            <w:shd w:val="clear" w:color="auto" w:fill="auto"/>
            <w:noWrap/>
            <w:vAlign w:val="center"/>
            <w:hideMark/>
          </w:tcPr>
          <w:p w14:paraId="7649362B"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851" w:type="dxa"/>
            <w:tcBorders>
              <w:top w:val="nil"/>
              <w:left w:val="nil"/>
              <w:bottom w:val="single" w:sz="4" w:space="0" w:color="365F91"/>
              <w:right w:val="nil"/>
            </w:tcBorders>
            <w:shd w:val="clear" w:color="auto" w:fill="auto"/>
            <w:noWrap/>
            <w:vAlign w:val="center"/>
            <w:hideMark/>
          </w:tcPr>
          <w:p w14:paraId="71B01584"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867" w:type="dxa"/>
            <w:tcBorders>
              <w:top w:val="nil"/>
              <w:left w:val="nil"/>
              <w:bottom w:val="single" w:sz="4" w:space="0" w:color="365F91"/>
              <w:right w:val="nil"/>
            </w:tcBorders>
            <w:shd w:val="clear" w:color="auto" w:fill="auto"/>
            <w:noWrap/>
            <w:vAlign w:val="center"/>
            <w:hideMark/>
          </w:tcPr>
          <w:p w14:paraId="0B365993" w14:textId="77777777" w:rsidR="00F849A7" w:rsidRPr="00D9348B" w:rsidRDefault="00F849A7" w:rsidP="00E3344E">
            <w:pPr>
              <w:pStyle w:val="TableText"/>
              <w:spacing w:before="50" w:after="50"/>
              <w:jc w:val="center"/>
              <w:rPr>
                <w:rFonts w:cs="Calibri"/>
                <w:szCs w:val="16"/>
              </w:rPr>
            </w:pPr>
            <w:r w:rsidRPr="00D9348B">
              <w:rPr>
                <w:rFonts w:cs="Calibri"/>
                <w:szCs w:val="16"/>
              </w:rPr>
              <w:t>T1, T2</w:t>
            </w:r>
          </w:p>
        </w:tc>
        <w:tc>
          <w:tcPr>
            <w:tcW w:w="942" w:type="dxa"/>
            <w:tcBorders>
              <w:top w:val="nil"/>
              <w:left w:val="nil"/>
              <w:bottom w:val="single" w:sz="4" w:space="0" w:color="365F91"/>
              <w:right w:val="nil"/>
            </w:tcBorders>
            <w:shd w:val="clear" w:color="auto" w:fill="auto"/>
            <w:noWrap/>
            <w:vAlign w:val="center"/>
            <w:hideMark/>
          </w:tcPr>
          <w:p w14:paraId="3F17102E" w14:textId="77777777" w:rsidR="00F849A7" w:rsidRPr="00D9348B" w:rsidRDefault="00F849A7" w:rsidP="00E3344E">
            <w:pPr>
              <w:pStyle w:val="TableText"/>
              <w:spacing w:before="50" w:after="50"/>
              <w:jc w:val="center"/>
              <w:rPr>
                <w:rFonts w:cs="Calibri"/>
                <w:szCs w:val="16"/>
              </w:rPr>
            </w:pPr>
            <w:r w:rsidRPr="00D9348B">
              <w:rPr>
                <w:rFonts w:cs="Calibri"/>
                <w:szCs w:val="16"/>
              </w:rPr>
              <w:t>CS</w:t>
            </w:r>
          </w:p>
        </w:tc>
        <w:tc>
          <w:tcPr>
            <w:tcW w:w="942" w:type="dxa"/>
            <w:tcBorders>
              <w:top w:val="nil"/>
              <w:left w:val="nil"/>
              <w:bottom w:val="single" w:sz="4" w:space="0" w:color="365F91"/>
              <w:right w:val="nil"/>
            </w:tcBorders>
            <w:shd w:val="clear" w:color="auto" w:fill="auto"/>
            <w:noWrap/>
            <w:vAlign w:val="center"/>
            <w:hideMark/>
          </w:tcPr>
          <w:p w14:paraId="72D47BE4"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c>
          <w:tcPr>
            <w:tcW w:w="943" w:type="dxa"/>
            <w:tcBorders>
              <w:top w:val="nil"/>
              <w:left w:val="nil"/>
              <w:bottom w:val="single" w:sz="4" w:space="0" w:color="365F91"/>
              <w:right w:val="nil"/>
            </w:tcBorders>
            <w:shd w:val="clear" w:color="auto" w:fill="auto"/>
            <w:noWrap/>
            <w:vAlign w:val="center"/>
            <w:hideMark/>
          </w:tcPr>
          <w:p w14:paraId="5CA1C918" w14:textId="77777777" w:rsidR="00F849A7" w:rsidRPr="00D9348B" w:rsidRDefault="00F849A7" w:rsidP="00E3344E">
            <w:pPr>
              <w:pStyle w:val="TableText"/>
              <w:spacing w:before="50" w:after="50"/>
              <w:jc w:val="center"/>
              <w:rPr>
                <w:rFonts w:cs="Calibri"/>
                <w:color w:val="FFFFFF"/>
                <w:szCs w:val="16"/>
              </w:rPr>
            </w:pPr>
            <w:r w:rsidRPr="00D9348B">
              <w:rPr>
                <w:rFonts w:cs="Calibri"/>
                <w:color w:val="FFFFFF"/>
                <w:szCs w:val="16"/>
              </w:rPr>
              <w:t>-</w:t>
            </w:r>
          </w:p>
        </w:tc>
      </w:tr>
      <w:tr w:rsidR="00F849A7" w:rsidRPr="00D9348B" w14:paraId="2088F319" w14:textId="77777777" w:rsidTr="00A628DC">
        <w:trPr>
          <w:trHeight w:val="204"/>
        </w:trPr>
        <w:tc>
          <w:tcPr>
            <w:tcW w:w="287" w:type="dxa"/>
            <w:tcBorders>
              <w:top w:val="single" w:sz="4" w:space="0" w:color="365F91"/>
              <w:left w:val="nil"/>
              <w:bottom w:val="single" w:sz="4" w:space="0" w:color="365F91"/>
              <w:right w:val="nil"/>
            </w:tcBorders>
            <w:shd w:val="clear" w:color="auto" w:fill="auto"/>
            <w:noWrap/>
            <w:vAlign w:val="center"/>
            <w:hideMark/>
          </w:tcPr>
          <w:p w14:paraId="08B209BD" w14:textId="77777777" w:rsidR="00F849A7" w:rsidRPr="00D9348B" w:rsidRDefault="00F849A7" w:rsidP="00E3344E">
            <w:pPr>
              <w:spacing w:before="50" w:after="50"/>
              <w:rPr>
                <w:rFonts w:cs="Calibri"/>
                <w:b/>
                <w:bCs/>
                <w:color w:val="000000"/>
                <w:sz w:val="16"/>
                <w:szCs w:val="16"/>
              </w:rPr>
            </w:pPr>
            <w:r w:rsidRPr="00D9348B">
              <w:rPr>
                <w:rFonts w:cs="Calibri"/>
                <w:b/>
                <w:bCs/>
                <w:color w:val="000000"/>
                <w:sz w:val="16"/>
                <w:szCs w:val="16"/>
              </w:rPr>
              <w:t>E</w:t>
            </w:r>
          </w:p>
        </w:tc>
        <w:tc>
          <w:tcPr>
            <w:tcW w:w="2832" w:type="dxa"/>
            <w:tcBorders>
              <w:top w:val="single" w:sz="4" w:space="0" w:color="365F91"/>
              <w:left w:val="nil"/>
              <w:bottom w:val="single" w:sz="4" w:space="0" w:color="365F91"/>
              <w:right w:val="nil"/>
            </w:tcBorders>
            <w:shd w:val="clear" w:color="auto" w:fill="auto"/>
            <w:vAlign w:val="center"/>
            <w:hideMark/>
          </w:tcPr>
          <w:p w14:paraId="312C59D3" w14:textId="77777777" w:rsidR="00F849A7" w:rsidRPr="00D9348B" w:rsidRDefault="00F849A7" w:rsidP="00E3344E">
            <w:pPr>
              <w:spacing w:before="50" w:after="50"/>
              <w:rPr>
                <w:rFonts w:cs="Calibri"/>
                <w:b/>
                <w:bCs/>
                <w:color w:val="000000"/>
                <w:sz w:val="16"/>
                <w:szCs w:val="16"/>
              </w:rPr>
            </w:pPr>
            <w:r w:rsidRPr="00D9348B">
              <w:rPr>
                <w:rFonts w:cs="Calibri"/>
                <w:b/>
                <w:bCs/>
                <w:color w:val="000000"/>
                <w:sz w:val="16"/>
                <w:szCs w:val="16"/>
              </w:rPr>
              <w:t xml:space="preserve">Prescribed Burning of Savannas </w:t>
            </w:r>
          </w:p>
        </w:tc>
        <w:tc>
          <w:tcPr>
            <w:tcW w:w="850" w:type="dxa"/>
            <w:tcBorders>
              <w:top w:val="single" w:sz="4" w:space="0" w:color="365F91"/>
              <w:left w:val="nil"/>
              <w:bottom w:val="single" w:sz="4" w:space="0" w:color="365F91"/>
              <w:right w:val="nil"/>
            </w:tcBorders>
            <w:shd w:val="clear" w:color="auto" w:fill="auto"/>
            <w:noWrap/>
            <w:vAlign w:val="center"/>
            <w:hideMark/>
          </w:tcPr>
          <w:p w14:paraId="0D7EB60B" w14:textId="77777777" w:rsidR="00F849A7" w:rsidRPr="00D9348B" w:rsidRDefault="00F849A7" w:rsidP="00E3344E">
            <w:pPr>
              <w:spacing w:before="50" w:after="50"/>
              <w:rPr>
                <w:rFonts w:cs="Calibri"/>
                <w:color w:val="000000"/>
                <w:sz w:val="16"/>
                <w:szCs w:val="16"/>
              </w:rPr>
            </w:pPr>
            <w:r w:rsidRPr="00D9348B">
              <w:rPr>
                <w:rFonts w:cs="Calibri"/>
                <w:color w:val="000000"/>
                <w:sz w:val="16"/>
                <w:szCs w:val="16"/>
              </w:rPr>
              <w:t>NA</w:t>
            </w:r>
          </w:p>
        </w:tc>
        <w:tc>
          <w:tcPr>
            <w:tcW w:w="851" w:type="dxa"/>
            <w:tcBorders>
              <w:top w:val="single" w:sz="4" w:space="0" w:color="365F91"/>
              <w:left w:val="nil"/>
              <w:bottom w:val="single" w:sz="4" w:space="0" w:color="365F91"/>
              <w:right w:val="nil"/>
            </w:tcBorders>
            <w:shd w:val="clear" w:color="auto" w:fill="auto"/>
            <w:noWrap/>
            <w:vAlign w:val="center"/>
            <w:hideMark/>
          </w:tcPr>
          <w:p w14:paraId="511A74EC" w14:textId="77777777" w:rsidR="00F849A7" w:rsidRPr="00D9348B" w:rsidRDefault="00F849A7" w:rsidP="00E3344E">
            <w:pPr>
              <w:spacing w:before="50" w:after="50"/>
              <w:rPr>
                <w:rFonts w:cs="Calibri"/>
                <w:color w:val="000000"/>
                <w:sz w:val="16"/>
                <w:szCs w:val="16"/>
              </w:rPr>
            </w:pPr>
            <w:r w:rsidRPr="00D9348B">
              <w:rPr>
                <w:rFonts w:cs="Calibri"/>
                <w:color w:val="000000"/>
                <w:sz w:val="16"/>
                <w:szCs w:val="16"/>
              </w:rPr>
              <w:t>NA</w:t>
            </w:r>
          </w:p>
        </w:tc>
        <w:tc>
          <w:tcPr>
            <w:tcW w:w="867" w:type="dxa"/>
            <w:tcBorders>
              <w:top w:val="single" w:sz="4" w:space="0" w:color="365F91"/>
              <w:left w:val="nil"/>
              <w:bottom w:val="single" w:sz="4" w:space="0" w:color="365F91"/>
              <w:right w:val="nil"/>
            </w:tcBorders>
            <w:shd w:val="clear" w:color="auto" w:fill="auto"/>
            <w:noWrap/>
            <w:vAlign w:val="center"/>
            <w:hideMark/>
          </w:tcPr>
          <w:p w14:paraId="7F047306" w14:textId="77777777" w:rsidR="00F849A7" w:rsidRPr="00D9348B" w:rsidRDefault="00F849A7" w:rsidP="00E3344E">
            <w:pPr>
              <w:spacing w:before="50" w:after="50"/>
              <w:rPr>
                <w:rFonts w:cs="Calibri"/>
                <w:color w:val="000000"/>
                <w:sz w:val="16"/>
                <w:szCs w:val="16"/>
              </w:rPr>
            </w:pPr>
            <w:r w:rsidRPr="00D9348B">
              <w:rPr>
                <w:rFonts w:cs="Calibri"/>
                <w:color w:val="000000"/>
                <w:sz w:val="16"/>
                <w:szCs w:val="16"/>
              </w:rPr>
              <w:t>NA</w:t>
            </w:r>
          </w:p>
        </w:tc>
        <w:tc>
          <w:tcPr>
            <w:tcW w:w="942" w:type="dxa"/>
            <w:tcBorders>
              <w:top w:val="single" w:sz="4" w:space="0" w:color="365F91"/>
              <w:left w:val="nil"/>
              <w:bottom w:val="single" w:sz="4" w:space="0" w:color="365F91"/>
              <w:right w:val="nil"/>
            </w:tcBorders>
            <w:shd w:val="clear" w:color="auto" w:fill="auto"/>
            <w:noWrap/>
            <w:vAlign w:val="center"/>
            <w:hideMark/>
          </w:tcPr>
          <w:p w14:paraId="68BD9F98" w14:textId="77777777" w:rsidR="00F849A7" w:rsidRPr="00D9348B" w:rsidRDefault="00F849A7" w:rsidP="00E3344E">
            <w:pPr>
              <w:spacing w:before="50" w:after="50"/>
              <w:rPr>
                <w:rFonts w:cs="Calibri"/>
                <w:color w:val="000000"/>
                <w:sz w:val="16"/>
                <w:szCs w:val="16"/>
              </w:rPr>
            </w:pPr>
            <w:r w:rsidRPr="00D9348B">
              <w:rPr>
                <w:rFonts w:cs="Calibri"/>
                <w:color w:val="000000"/>
                <w:sz w:val="16"/>
                <w:szCs w:val="16"/>
              </w:rPr>
              <w:t>NA</w:t>
            </w:r>
          </w:p>
        </w:tc>
        <w:tc>
          <w:tcPr>
            <w:tcW w:w="942" w:type="dxa"/>
            <w:tcBorders>
              <w:top w:val="single" w:sz="4" w:space="0" w:color="365F91"/>
              <w:left w:val="nil"/>
              <w:bottom w:val="single" w:sz="4" w:space="0" w:color="365F91"/>
              <w:right w:val="nil"/>
            </w:tcBorders>
            <w:shd w:val="clear" w:color="auto" w:fill="auto"/>
            <w:noWrap/>
            <w:vAlign w:val="center"/>
            <w:hideMark/>
          </w:tcPr>
          <w:p w14:paraId="4DA07225" w14:textId="77777777" w:rsidR="00F849A7" w:rsidRPr="00D9348B" w:rsidRDefault="00F849A7" w:rsidP="00E3344E">
            <w:pPr>
              <w:spacing w:before="50" w:after="50"/>
              <w:jc w:val="center"/>
              <w:rPr>
                <w:rFonts w:cs="Calibri"/>
                <w:color w:val="FFFFFF"/>
                <w:sz w:val="16"/>
                <w:szCs w:val="16"/>
              </w:rPr>
            </w:pPr>
            <w:r w:rsidRPr="00D9348B">
              <w:rPr>
                <w:rFonts w:cs="Calibri"/>
                <w:color w:val="FFFFFF"/>
                <w:sz w:val="16"/>
                <w:szCs w:val="16"/>
              </w:rPr>
              <w:t>-</w:t>
            </w:r>
          </w:p>
        </w:tc>
        <w:tc>
          <w:tcPr>
            <w:tcW w:w="943" w:type="dxa"/>
            <w:tcBorders>
              <w:top w:val="single" w:sz="4" w:space="0" w:color="365F91"/>
              <w:left w:val="nil"/>
              <w:bottom w:val="single" w:sz="4" w:space="0" w:color="365F91"/>
              <w:right w:val="nil"/>
            </w:tcBorders>
            <w:shd w:val="clear" w:color="auto" w:fill="auto"/>
            <w:noWrap/>
            <w:vAlign w:val="center"/>
            <w:hideMark/>
          </w:tcPr>
          <w:p w14:paraId="1F47CCCF" w14:textId="77777777" w:rsidR="00F849A7" w:rsidRPr="00D9348B" w:rsidRDefault="00F849A7" w:rsidP="00E3344E">
            <w:pPr>
              <w:spacing w:before="50" w:after="50"/>
              <w:jc w:val="center"/>
              <w:rPr>
                <w:rFonts w:cs="Calibri"/>
                <w:color w:val="FFFFFF"/>
                <w:sz w:val="16"/>
                <w:szCs w:val="16"/>
              </w:rPr>
            </w:pPr>
            <w:r w:rsidRPr="00D9348B">
              <w:rPr>
                <w:rFonts w:cs="Calibri"/>
                <w:color w:val="FFFFFF"/>
                <w:sz w:val="16"/>
                <w:szCs w:val="16"/>
              </w:rPr>
              <w:t>-</w:t>
            </w:r>
          </w:p>
        </w:tc>
      </w:tr>
      <w:tr w:rsidR="00F849A7" w:rsidRPr="00D9348B" w14:paraId="50961D30" w14:textId="77777777" w:rsidTr="00A628DC">
        <w:trPr>
          <w:trHeight w:val="204"/>
        </w:trPr>
        <w:tc>
          <w:tcPr>
            <w:tcW w:w="287" w:type="dxa"/>
            <w:tcBorders>
              <w:top w:val="single" w:sz="4" w:space="0" w:color="365F91"/>
              <w:left w:val="nil"/>
              <w:bottom w:val="single" w:sz="4" w:space="0" w:color="365F91"/>
              <w:right w:val="nil"/>
            </w:tcBorders>
            <w:shd w:val="clear" w:color="auto" w:fill="auto"/>
            <w:noWrap/>
            <w:vAlign w:val="center"/>
            <w:hideMark/>
          </w:tcPr>
          <w:p w14:paraId="40E2CE03" w14:textId="77777777" w:rsidR="00F849A7" w:rsidRPr="00D9348B" w:rsidRDefault="00F849A7" w:rsidP="00E3344E">
            <w:pPr>
              <w:spacing w:before="50" w:after="50"/>
              <w:rPr>
                <w:rFonts w:cs="Calibri"/>
                <w:b/>
                <w:bCs/>
                <w:color w:val="000000"/>
                <w:sz w:val="16"/>
                <w:szCs w:val="16"/>
              </w:rPr>
            </w:pPr>
            <w:r w:rsidRPr="00D9348B">
              <w:rPr>
                <w:rFonts w:cs="Calibri"/>
                <w:b/>
                <w:bCs/>
                <w:color w:val="000000"/>
                <w:sz w:val="16"/>
                <w:szCs w:val="16"/>
              </w:rPr>
              <w:t>F</w:t>
            </w:r>
          </w:p>
        </w:tc>
        <w:tc>
          <w:tcPr>
            <w:tcW w:w="2832" w:type="dxa"/>
            <w:tcBorders>
              <w:top w:val="single" w:sz="4" w:space="0" w:color="365F91"/>
              <w:left w:val="nil"/>
              <w:bottom w:val="single" w:sz="4" w:space="0" w:color="365F91"/>
              <w:right w:val="nil"/>
            </w:tcBorders>
            <w:shd w:val="clear" w:color="auto" w:fill="auto"/>
            <w:vAlign w:val="center"/>
            <w:hideMark/>
          </w:tcPr>
          <w:p w14:paraId="58063150" w14:textId="77777777" w:rsidR="00F849A7" w:rsidRPr="00D9348B" w:rsidRDefault="00F849A7" w:rsidP="00E3344E">
            <w:pPr>
              <w:spacing w:before="50" w:after="50"/>
              <w:rPr>
                <w:rFonts w:cs="Calibri"/>
                <w:b/>
                <w:bCs/>
                <w:color w:val="000000"/>
                <w:sz w:val="16"/>
                <w:szCs w:val="16"/>
              </w:rPr>
            </w:pPr>
            <w:r w:rsidRPr="00D9348B">
              <w:rPr>
                <w:rFonts w:cs="Calibri"/>
                <w:b/>
                <w:bCs/>
                <w:color w:val="000000"/>
                <w:sz w:val="16"/>
                <w:szCs w:val="16"/>
              </w:rPr>
              <w:t>Field Burning of Agricultural Residues</w:t>
            </w:r>
          </w:p>
        </w:tc>
        <w:tc>
          <w:tcPr>
            <w:tcW w:w="850" w:type="dxa"/>
            <w:tcBorders>
              <w:top w:val="single" w:sz="4" w:space="0" w:color="365F91"/>
              <w:left w:val="nil"/>
              <w:bottom w:val="single" w:sz="4" w:space="0" w:color="365F91"/>
              <w:right w:val="nil"/>
            </w:tcBorders>
            <w:shd w:val="clear" w:color="auto" w:fill="auto"/>
            <w:noWrap/>
            <w:vAlign w:val="center"/>
            <w:hideMark/>
          </w:tcPr>
          <w:p w14:paraId="009EBD4E" w14:textId="77777777" w:rsidR="00F849A7" w:rsidRPr="00D9348B" w:rsidRDefault="00F849A7" w:rsidP="00E3344E">
            <w:pPr>
              <w:spacing w:before="50" w:after="50"/>
              <w:rPr>
                <w:rFonts w:cs="Calibri"/>
                <w:color w:val="000000"/>
                <w:sz w:val="16"/>
                <w:szCs w:val="16"/>
              </w:rPr>
            </w:pPr>
            <w:r w:rsidRPr="00D9348B">
              <w:rPr>
                <w:rFonts w:cs="Calibri"/>
                <w:color w:val="000000"/>
                <w:sz w:val="16"/>
                <w:szCs w:val="16"/>
              </w:rPr>
              <w:t>T2</w:t>
            </w:r>
          </w:p>
        </w:tc>
        <w:tc>
          <w:tcPr>
            <w:tcW w:w="851" w:type="dxa"/>
            <w:tcBorders>
              <w:top w:val="single" w:sz="4" w:space="0" w:color="365F91"/>
              <w:left w:val="nil"/>
              <w:bottom w:val="single" w:sz="4" w:space="0" w:color="365F91"/>
              <w:right w:val="nil"/>
            </w:tcBorders>
            <w:shd w:val="clear" w:color="auto" w:fill="auto"/>
            <w:noWrap/>
            <w:vAlign w:val="center"/>
            <w:hideMark/>
          </w:tcPr>
          <w:p w14:paraId="64D11ABF" w14:textId="77777777" w:rsidR="00F849A7" w:rsidRPr="00D9348B" w:rsidRDefault="00F849A7" w:rsidP="00E3344E">
            <w:pPr>
              <w:spacing w:before="50" w:after="50"/>
              <w:rPr>
                <w:rFonts w:cs="Calibri"/>
                <w:color w:val="000000"/>
                <w:sz w:val="16"/>
                <w:szCs w:val="16"/>
              </w:rPr>
            </w:pPr>
            <w:r w:rsidRPr="00D9348B">
              <w:rPr>
                <w:rFonts w:cs="Calibri"/>
                <w:color w:val="000000"/>
                <w:sz w:val="16"/>
                <w:szCs w:val="16"/>
              </w:rPr>
              <w:t>CS</w:t>
            </w:r>
          </w:p>
        </w:tc>
        <w:tc>
          <w:tcPr>
            <w:tcW w:w="867" w:type="dxa"/>
            <w:tcBorders>
              <w:top w:val="single" w:sz="4" w:space="0" w:color="365F91"/>
              <w:left w:val="nil"/>
              <w:bottom w:val="single" w:sz="4" w:space="0" w:color="365F91"/>
              <w:right w:val="nil"/>
            </w:tcBorders>
            <w:shd w:val="clear" w:color="auto" w:fill="auto"/>
            <w:noWrap/>
            <w:vAlign w:val="center"/>
            <w:hideMark/>
          </w:tcPr>
          <w:p w14:paraId="44FC012E" w14:textId="77777777" w:rsidR="00F849A7" w:rsidRPr="00D9348B" w:rsidRDefault="00F849A7" w:rsidP="00E3344E">
            <w:pPr>
              <w:spacing w:before="50" w:after="50"/>
              <w:rPr>
                <w:rFonts w:cs="Calibri"/>
                <w:color w:val="000000"/>
                <w:sz w:val="16"/>
                <w:szCs w:val="16"/>
              </w:rPr>
            </w:pPr>
            <w:r w:rsidRPr="00D9348B">
              <w:rPr>
                <w:rFonts w:cs="Calibri"/>
                <w:color w:val="000000"/>
                <w:sz w:val="16"/>
                <w:szCs w:val="16"/>
              </w:rPr>
              <w:t>T2</w:t>
            </w:r>
          </w:p>
        </w:tc>
        <w:tc>
          <w:tcPr>
            <w:tcW w:w="942" w:type="dxa"/>
            <w:tcBorders>
              <w:top w:val="single" w:sz="4" w:space="0" w:color="365F91"/>
              <w:left w:val="nil"/>
              <w:bottom w:val="single" w:sz="4" w:space="0" w:color="365F91"/>
              <w:right w:val="nil"/>
            </w:tcBorders>
            <w:shd w:val="clear" w:color="auto" w:fill="auto"/>
            <w:noWrap/>
            <w:vAlign w:val="center"/>
            <w:hideMark/>
          </w:tcPr>
          <w:p w14:paraId="12C62751" w14:textId="77777777" w:rsidR="00F849A7" w:rsidRPr="00D9348B" w:rsidRDefault="00F849A7" w:rsidP="00E3344E">
            <w:pPr>
              <w:spacing w:before="50" w:after="50"/>
              <w:rPr>
                <w:rFonts w:cs="Calibri"/>
                <w:color w:val="000000"/>
                <w:sz w:val="16"/>
                <w:szCs w:val="16"/>
              </w:rPr>
            </w:pPr>
            <w:r w:rsidRPr="00D9348B">
              <w:rPr>
                <w:rFonts w:cs="Calibri"/>
                <w:color w:val="000000"/>
                <w:sz w:val="16"/>
                <w:szCs w:val="16"/>
              </w:rPr>
              <w:t>CS</w:t>
            </w:r>
          </w:p>
        </w:tc>
        <w:tc>
          <w:tcPr>
            <w:tcW w:w="942" w:type="dxa"/>
            <w:tcBorders>
              <w:top w:val="single" w:sz="4" w:space="0" w:color="365F91"/>
              <w:left w:val="nil"/>
              <w:bottom w:val="single" w:sz="4" w:space="0" w:color="365F91"/>
              <w:right w:val="nil"/>
            </w:tcBorders>
            <w:shd w:val="clear" w:color="auto" w:fill="auto"/>
            <w:noWrap/>
            <w:vAlign w:val="center"/>
            <w:hideMark/>
          </w:tcPr>
          <w:p w14:paraId="56DF0D97" w14:textId="77777777" w:rsidR="00F849A7" w:rsidRPr="00D9348B" w:rsidRDefault="00F849A7" w:rsidP="00E3344E">
            <w:pPr>
              <w:spacing w:before="50" w:after="50"/>
              <w:jc w:val="center"/>
              <w:rPr>
                <w:rFonts w:cs="Calibri"/>
                <w:color w:val="FFFFFF"/>
                <w:sz w:val="16"/>
                <w:szCs w:val="16"/>
              </w:rPr>
            </w:pPr>
            <w:r w:rsidRPr="00D9348B">
              <w:rPr>
                <w:rFonts w:cs="Calibri"/>
                <w:color w:val="FFFFFF"/>
                <w:sz w:val="16"/>
                <w:szCs w:val="16"/>
              </w:rPr>
              <w:t>-</w:t>
            </w:r>
          </w:p>
        </w:tc>
        <w:tc>
          <w:tcPr>
            <w:tcW w:w="943" w:type="dxa"/>
            <w:tcBorders>
              <w:top w:val="single" w:sz="4" w:space="0" w:color="365F91"/>
              <w:left w:val="nil"/>
              <w:bottom w:val="single" w:sz="4" w:space="0" w:color="365F91"/>
              <w:right w:val="nil"/>
            </w:tcBorders>
            <w:shd w:val="clear" w:color="auto" w:fill="auto"/>
            <w:noWrap/>
            <w:vAlign w:val="center"/>
            <w:hideMark/>
          </w:tcPr>
          <w:p w14:paraId="4619386A" w14:textId="77777777" w:rsidR="00F849A7" w:rsidRPr="00D9348B" w:rsidRDefault="00F849A7" w:rsidP="00E3344E">
            <w:pPr>
              <w:spacing w:before="50" w:after="50"/>
              <w:jc w:val="center"/>
              <w:rPr>
                <w:rFonts w:cs="Calibri"/>
                <w:color w:val="FFFFFF"/>
                <w:sz w:val="16"/>
                <w:szCs w:val="16"/>
              </w:rPr>
            </w:pPr>
            <w:r w:rsidRPr="00D9348B">
              <w:rPr>
                <w:rFonts w:cs="Calibri"/>
                <w:color w:val="FFFFFF"/>
                <w:sz w:val="16"/>
                <w:szCs w:val="16"/>
              </w:rPr>
              <w:t>-</w:t>
            </w:r>
          </w:p>
        </w:tc>
      </w:tr>
      <w:tr w:rsidR="00F849A7" w:rsidRPr="00D9348B" w14:paraId="0CA4C620" w14:textId="77777777" w:rsidTr="00A628DC">
        <w:trPr>
          <w:trHeight w:val="204"/>
        </w:trPr>
        <w:tc>
          <w:tcPr>
            <w:tcW w:w="287" w:type="dxa"/>
            <w:tcBorders>
              <w:top w:val="single" w:sz="4" w:space="0" w:color="365F91"/>
              <w:left w:val="nil"/>
              <w:bottom w:val="single" w:sz="4" w:space="0" w:color="365F91"/>
              <w:right w:val="nil"/>
            </w:tcBorders>
            <w:shd w:val="clear" w:color="auto" w:fill="auto"/>
            <w:noWrap/>
            <w:vAlign w:val="center"/>
            <w:hideMark/>
          </w:tcPr>
          <w:p w14:paraId="29EA9CBF" w14:textId="77777777" w:rsidR="00F849A7" w:rsidRPr="00D9348B" w:rsidRDefault="00F849A7" w:rsidP="00E3344E">
            <w:pPr>
              <w:spacing w:before="50" w:after="50"/>
              <w:rPr>
                <w:rFonts w:cs="Calibri"/>
                <w:b/>
                <w:bCs/>
                <w:color w:val="000000"/>
                <w:sz w:val="16"/>
                <w:szCs w:val="16"/>
              </w:rPr>
            </w:pPr>
            <w:r w:rsidRPr="00D9348B">
              <w:rPr>
                <w:rFonts w:cs="Calibri"/>
                <w:b/>
                <w:bCs/>
                <w:color w:val="000000"/>
                <w:sz w:val="16"/>
                <w:szCs w:val="16"/>
              </w:rPr>
              <w:t>G</w:t>
            </w:r>
          </w:p>
        </w:tc>
        <w:tc>
          <w:tcPr>
            <w:tcW w:w="2832" w:type="dxa"/>
            <w:tcBorders>
              <w:top w:val="single" w:sz="4" w:space="0" w:color="365F91"/>
              <w:left w:val="nil"/>
              <w:bottom w:val="single" w:sz="4" w:space="0" w:color="365F91"/>
              <w:right w:val="nil"/>
            </w:tcBorders>
            <w:shd w:val="clear" w:color="auto" w:fill="auto"/>
            <w:vAlign w:val="center"/>
            <w:hideMark/>
          </w:tcPr>
          <w:p w14:paraId="288C0ADA" w14:textId="77777777" w:rsidR="00F849A7" w:rsidRPr="00D9348B" w:rsidRDefault="00F849A7" w:rsidP="00E3344E">
            <w:pPr>
              <w:spacing w:before="50" w:after="50"/>
              <w:rPr>
                <w:rFonts w:cs="Calibri"/>
                <w:b/>
                <w:bCs/>
                <w:color w:val="000000"/>
                <w:sz w:val="16"/>
                <w:szCs w:val="16"/>
              </w:rPr>
            </w:pPr>
            <w:r w:rsidRPr="00D9348B">
              <w:rPr>
                <w:rFonts w:cs="Calibri"/>
                <w:b/>
                <w:bCs/>
                <w:color w:val="000000"/>
                <w:sz w:val="16"/>
                <w:szCs w:val="16"/>
              </w:rPr>
              <w:t>Liming</w:t>
            </w:r>
          </w:p>
        </w:tc>
        <w:tc>
          <w:tcPr>
            <w:tcW w:w="850" w:type="dxa"/>
            <w:tcBorders>
              <w:top w:val="single" w:sz="4" w:space="0" w:color="365F91"/>
              <w:left w:val="nil"/>
              <w:bottom w:val="single" w:sz="4" w:space="0" w:color="365F91"/>
              <w:right w:val="nil"/>
            </w:tcBorders>
            <w:shd w:val="clear" w:color="auto" w:fill="auto"/>
            <w:noWrap/>
            <w:vAlign w:val="center"/>
            <w:hideMark/>
          </w:tcPr>
          <w:p w14:paraId="1F892144" w14:textId="77777777" w:rsidR="00F849A7" w:rsidRPr="00D9348B" w:rsidRDefault="00F849A7" w:rsidP="00E3344E">
            <w:pPr>
              <w:spacing w:before="50" w:after="50"/>
              <w:jc w:val="center"/>
              <w:rPr>
                <w:rFonts w:cs="Calibri"/>
                <w:color w:val="FFFFFF"/>
                <w:sz w:val="16"/>
                <w:szCs w:val="16"/>
              </w:rPr>
            </w:pPr>
            <w:r w:rsidRPr="00D9348B">
              <w:rPr>
                <w:rFonts w:cs="Calibri"/>
                <w:color w:val="FFFFFF"/>
                <w:sz w:val="16"/>
                <w:szCs w:val="16"/>
              </w:rPr>
              <w:t>-</w:t>
            </w:r>
          </w:p>
        </w:tc>
        <w:tc>
          <w:tcPr>
            <w:tcW w:w="851" w:type="dxa"/>
            <w:tcBorders>
              <w:top w:val="single" w:sz="4" w:space="0" w:color="365F91"/>
              <w:left w:val="nil"/>
              <w:bottom w:val="single" w:sz="4" w:space="0" w:color="365F91"/>
              <w:right w:val="nil"/>
            </w:tcBorders>
            <w:shd w:val="clear" w:color="auto" w:fill="auto"/>
            <w:noWrap/>
            <w:vAlign w:val="center"/>
            <w:hideMark/>
          </w:tcPr>
          <w:p w14:paraId="6ACDFFE6" w14:textId="77777777" w:rsidR="00F849A7" w:rsidRPr="00D9348B" w:rsidRDefault="00F849A7" w:rsidP="00E3344E">
            <w:pPr>
              <w:spacing w:before="50" w:after="50"/>
              <w:jc w:val="center"/>
              <w:rPr>
                <w:rFonts w:cs="Calibri"/>
                <w:color w:val="FFFFFF"/>
                <w:sz w:val="16"/>
                <w:szCs w:val="16"/>
              </w:rPr>
            </w:pPr>
            <w:r w:rsidRPr="00D9348B">
              <w:rPr>
                <w:rFonts w:cs="Calibri"/>
                <w:color w:val="FFFFFF"/>
                <w:sz w:val="16"/>
                <w:szCs w:val="16"/>
              </w:rPr>
              <w:t>-</w:t>
            </w:r>
          </w:p>
        </w:tc>
        <w:tc>
          <w:tcPr>
            <w:tcW w:w="867" w:type="dxa"/>
            <w:tcBorders>
              <w:top w:val="single" w:sz="4" w:space="0" w:color="365F91"/>
              <w:left w:val="nil"/>
              <w:bottom w:val="single" w:sz="4" w:space="0" w:color="365F91"/>
              <w:right w:val="nil"/>
            </w:tcBorders>
            <w:shd w:val="clear" w:color="auto" w:fill="auto"/>
            <w:noWrap/>
            <w:vAlign w:val="center"/>
            <w:hideMark/>
          </w:tcPr>
          <w:p w14:paraId="7BDEFE5B" w14:textId="77777777" w:rsidR="00F849A7" w:rsidRPr="00D9348B" w:rsidRDefault="00F849A7" w:rsidP="00E3344E">
            <w:pPr>
              <w:spacing w:before="50" w:after="50"/>
              <w:jc w:val="center"/>
              <w:rPr>
                <w:rFonts w:cs="Calibri"/>
                <w:color w:val="FFFFFF"/>
                <w:sz w:val="16"/>
                <w:szCs w:val="16"/>
              </w:rPr>
            </w:pPr>
            <w:r w:rsidRPr="00D9348B">
              <w:rPr>
                <w:rFonts w:cs="Calibri"/>
                <w:color w:val="FFFFFF"/>
                <w:sz w:val="16"/>
                <w:szCs w:val="16"/>
              </w:rPr>
              <w:t>-</w:t>
            </w:r>
          </w:p>
        </w:tc>
        <w:tc>
          <w:tcPr>
            <w:tcW w:w="942" w:type="dxa"/>
            <w:tcBorders>
              <w:top w:val="single" w:sz="4" w:space="0" w:color="365F91"/>
              <w:left w:val="nil"/>
              <w:bottom w:val="single" w:sz="4" w:space="0" w:color="365F91"/>
              <w:right w:val="nil"/>
            </w:tcBorders>
            <w:shd w:val="clear" w:color="auto" w:fill="auto"/>
            <w:noWrap/>
            <w:vAlign w:val="center"/>
            <w:hideMark/>
          </w:tcPr>
          <w:p w14:paraId="34D0E72A" w14:textId="77777777" w:rsidR="00F849A7" w:rsidRPr="00D9348B" w:rsidRDefault="00F849A7" w:rsidP="00E3344E">
            <w:pPr>
              <w:spacing w:before="50" w:after="50"/>
              <w:jc w:val="center"/>
              <w:rPr>
                <w:rFonts w:cs="Calibri"/>
                <w:color w:val="FFFFFF"/>
                <w:sz w:val="16"/>
                <w:szCs w:val="16"/>
              </w:rPr>
            </w:pPr>
            <w:r w:rsidRPr="00D9348B">
              <w:rPr>
                <w:rFonts w:cs="Calibri"/>
                <w:color w:val="FFFFFF"/>
                <w:sz w:val="16"/>
                <w:szCs w:val="16"/>
              </w:rPr>
              <w:t>-</w:t>
            </w:r>
          </w:p>
        </w:tc>
        <w:tc>
          <w:tcPr>
            <w:tcW w:w="942" w:type="dxa"/>
            <w:tcBorders>
              <w:top w:val="single" w:sz="4" w:space="0" w:color="365F91"/>
              <w:left w:val="nil"/>
              <w:bottom w:val="single" w:sz="4" w:space="0" w:color="365F91"/>
              <w:right w:val="nil"/>
            </w:tcBorders>
            <w:shd w:val="clear" w:color="auto" w:fill="auto"/>
            <w:noWrap/>
            <w:vAlign w:val="center"/>
            <w:hideMark/>
          </w:tcPr>
          <w:p w14:paraId="4D4104B5" w14:textId="77777777" w:rsidR="00F849A7" w:rsidRPr="00D9348B" w:rsidRDefault="00F849A7" w:rsidP="00E3344E">
            <w:pPr>
              <w:spacing w:before="50" w:after="50"/>
              <w:rPr>
                <w:rFonts w:cs="Calibri"/>
                <w:color w:val="000000"/>
                <w:sz w:val="16"/>
                <w:szCs w:val="16"/>
              </w:rPr>
            </w:pPr>
            <w:r w:rsidRPr="00D9348B">
              <w:rPr>
                <w:rFonts w:cs="Calibri"/>
                <w:color w:val="000000"/>
                <w:sz w:val="16"/>
                <w:szCs w:val="16"/>
              </w:rPr>
              <w:t>T1</w:t>
            </w:r>
          </w:p>
        </w:tc>
        <w:tc>
          <w:tcPr>
            <w:tcW w:w="943" w:type="dxa"/>
            <w:tcBorders>
              <w:top w:val="single" w:sz="4" w:space="0" w:color="365F91"/>
              <w:left w:val="nil"/>
              <w:bottom w:val="single" w:sz="4" w:space="0" w:color="365F91"/>
              <w:right w:val="nil"/>
            </w:tcBorders>
            <w:shd w:val="clear" w:color="auto" w:fill="auto"/>
            <w:noWrap/>
            <w:vAlign w:val="center"/>
            <w:hideMark/>
          </w:tcPr>
          <w:p w14:paraId="525E7469" w14:textId="77777777" w:rsidR="00F849A7" w:rsidRPr="00D9348B" w:rsidRDefault="00F849A7" w:rsidP="00E3344E">
            <w:pPr>
              <w:spacing w:before="50" w:after="50"/>
              <w:rPr>
                <w:rFonts w:cs="Calibri"/>
                <w:color w:val="000000"/>
                <w:sz w:val="16"/>
                <w:szCs w:val="16"/>
              </w:rPr>
            </w:pPr>
            <w:r w:rsidRPr="00D9348B">
              <w:rPr>
                <w:rFonts w:cs="Calibri"/>
                <w:color w:val="000000"/>
                <w:sz w:val="16"/>
                <w:szCs w:val="16"/>
              </w:rPr>
              <w:t>D</w:t>
            </w:r>
          </w:p>
        </w:tc>
      </w:tr>
      <w:tr w:rsidR="00F849A7" w:rsidRPr="00D9348B" w14:paraId="7787011B" w14:textId="77777777" w:rsidTr="00A628DC">
        <w:trPr>
          <w:trHeight w:val="204"/>
        </w:trPr>
        <w:tc>
          <w:tcPr>
            <w:tcW w:w="287" w:type="dxa"/>
            <w:tcBorders>
              <w:top w:val="single" w:sz="4" w:space="0" w:color="365F91"/>
              <w:left w:val="nil"/>
              <w:bottom w:val="single" w:sz="4" w:space="0" w:color="365F91"/>
              <w:right w:val="nil"/>
            </w:tcBorders>
            <w:shd w:val="clear" w:color="auto" w:fill="auto"/>
            <w:noWrap/>
            <w:vAlign w:val="center"/>
            <w:hideMark/>
          </w:tcPr>
          <w:p w14:paraId="28517545" w14:textId="77777777" w:rsidR="00F849A7" w:rsidRPr="00D9348B" w:rsidRDefault="00F849A7" w:rsidP="00E3344E">
            <w:pPr>
              <w:spacing w:before="50" w:after="50"/>
              <w:rPr>
                <w:rFonts w:cs="Calibri"/>
                <w:b/>
                <w:bCs/>
                <w:color w:val="000000"/>
                <w:sz w:val="16"/>
                <w:szCs w:val="16"/>
              </w:rPr>
            </w:pPr>
            <w:r w:rsidRPr="00D9348B">
              <w:rPr>
                <w:rFonts w:cs="Calibri"/>
                <w:b/>
                <w:bCs/>
                <w:color w:val="000000"/>
                <w:sz w:val="16"/>
                <w:szCs w:val="16"/>
              </w:rPr>
              <w:t>H</w:t>
            </w:r>
          </w:p>
        </w:tc>
        <w:tc>
          <w:tcPr>
            <w:tcW w:w="2832" w:type="dxa"/>
            <w:tcBorders>
              <w:top w:val="single" w:sz="4" w:space="0" w:color="365F91"/>
              <w:left w:val="nil"/>
              <w:bottom w:val="single" w:sz="4" w:space="0" w:color="365F91"/>
              <w:right w:val="nil"/>
            </w:tcBorders>
            <w:shd w:val="clear" w:color="auto" w:fill="auto"/>
            <w:vAlign w:val="center"/>
            <w:hideMark/>
          </w:tcPr>
          <w:p w14:paraId="580CA205" w14:textId="77777777" w:rsidR="00F849A7" w:rsidRPr="00D9348B" w:rsidRDefault="00F849A7" w:rsidP="00E3344E">
            <w:pPr>
              <w:spacing w:before="50" w:after="50"/>
              <w:rPr>
                <w:rFonts w:cs="Calibri"/>
                <w:b/>
                <w:bCs/>
                <w:color w:val="000000"/>
                <w:sz w:val="16"/>
                <w:szCs w:val="16"/>
              </w:rPr>
            </w:pPr>
            <w:r w:rsidRPr="00D9348B">
              <w:rPr>
                <w:rFonts w:cs="Calibri"/>
                <w:b/>
                <w:bCs/>
                <w:color w:val="000000"/>
                <w:sz w:val="16"/>
                <w:szCs w:val="16"/>
              </w:rPr>
              <w:t>Urea Application</w:t>
            </w:r>
          </w:p>
        </w:tc>
        <w:tc>
          <w:tcPr>
            <w:tcW w:w="850" w:type="dxa"/>
            <w:tcBorders>
              <w:top w:val="single" w:sz="4" w:space="0" w:color="365F91"/>
              <w:left w:val="nil"/>
              <w:bottom w:val="single" w:sz="4" w:space="0" w:color="365F91"/>
              <w:right w:val="nil"/>
            </w:tcBorders>
            <w:shd w:val="clear" w:color="auto" w:fill="auto"/>
            <w:noWrap/>
            <w:vAlign w:val="center"/>
            <w:hideMark/>
          </w:tcPr>
          <w:p w14:paraId="77B07E5E" w14:textId="77777777" w:rsidR="00F849A7" w:rsidRPr="00D9348B" w:rsidRDefault="00F849A7" w:rsidP="00E3344E">
            <w:pPr>
              <w:spacing w:before="50" w:after="50"/>
              <w:jc w:val="center"/>
              <w:rPr>
                <w:rFonts w:cs="Calibri"/>
                <w:color w:val="FFFFFF"/>
                <w:sz w:val="16"/>
                <w:szCs w:val="16"/>
              </w:rPr>
            </w:pPr>
            <w:r w:rsidRPr="00D9348B">
              <w:rPr>
                <w:rFonts w:cs="Calibri"/>
                <w:color w:val="FFFFFF"/>
                <w:sz w:val="16"/>
                <w:szCs w:val="16"/>
              </w:rPr>
              <w:t>-</w:t>
            </w:r>
          </w:p>
        </w:tc>
        <w:tc>
          <w:tcPr>
            <w:tcW w:w="851" w:type="dxa"/>
            <w:tcBorders>
              <w:top w:val="single" w:sz="4" w:space="0" w:color="365F91"/>
              <w:left w:val="nil"/>
              <w:bottom w:val="single" w:sz="4" w:space="0" w:color="365F91"/>
              <w:right w:val="nil"/>
            </w:tcBorders>
            <w:shd w:val="clear" w:color="auto" w:fill="auto"/>
            <w:noWrap/>
            <w:vAlign w:val="center"/>
            <w:hideMark/>
          </w:tcPr>
          <w:p w14:paraId="48ECD336" w14:textId="77777777" w:rsidR="00F849A7" w:rsidRPr="00D9348B" w:rsidRDefault="00F849A7" w:rsidP="00E3344E">
            <w:pPr>
              <w:spacing w:before="50" w:after="50"/>
              <w:jc w:val="center"/>
              <w:rPr>
                <w:rFonts w:cs="Calibri"/>
                <w:color w:val="FFFFFF"/>
                <w:sz w:val="16"/>
                <w:szCs w:val="16"/>
              </w:rPr>
            </w:pPr>
            <w:r w:rsidRPr="00D9348B">
              <w:rPr>
                <w:rFonts w:cs="Calibri"/>
                <w:color w:val="FFFFFF"/>
                <w:sz w:val="16"/>
                <w:szCs w:val="16"/>
              </w:rPr>
              <w:t>-</w:t>
            </w:r>
          </w:p>
        </w:tc>
        <w:tc>
          <w:tcPr>
            <w:tcW w:w="867" w:type="dxa"/>
            <w:tcBorders>
              <w:top w:val="single" w:sz="4" w:space="0" w:color="365F91"/>
              <w:left w:val="nil"/>
              <w:bottom w:val="single" w:sz="4" w:space="0" w:color="365F91"/>
              <w:right w:val="nil"/>
            </w:tcBorders>
            <w:shd w:val="clear" w:color="auto" w:fill="auto"/>
            <w:noWrap/>
            <w:vAlign w:val="center"/>
            <w:hideMark/>
          </w:tcPr>
          <w:p w14:paraId="406F8A38" w14:textId="77777777" w:rsidR="00F849A7" w:rsidRPr="00D9348B" w:rsidRDefault="00F849A7" w:rsidP="00E3344E">
            <w:pPr>
              <w:spacing w:before="50" w:after="50"/>
              <w:jc w:val="center"/>
              <w:rPr>
                <w:rFonts w:cs="Calibri"/>
                <w:color w:val="FFFFFF"/>
                <w:sz w:val="16"/>
                <w:szCs w:val="16"/>
              </w:rPr>
            </w:pPr>
            <w:r w:rsidRPr="00D9348B">
              <w:rPr>
                <w:rFonts w:cs="Calibri"/>
                <w:color w:val="FFFFFF"/>
                <w:sz w:val="16"/>
                <w:szCs w:val="16"/>
              </w:rPr>
              <w:t>-</w:t>
            </w:r>
          </w:p>
        </w:tc>
        <w:tc>
          <w:tcPr>
            <w:tcW w:w="942" w:type="dxa"/>
            <w:tcBorders>
              <w:top w:val="single" w:sz="4" w:space="0" w:color="365F91"/>
              <w:left w:val="nil"/>
              <w:bottom w:val="single" w:sz="4" w:space="0" w:color="365F91"/>
              <w:right w:val="nil"/>
            </w:tcBorders>
            <w:shd w:val="clear" w:color="auto" w:fill="auto"/>
            <w:noWrap/>
            <w:vAlign w:val="center"/>
            <w:hideMark/>
          </w:tcPr>
          <w:p w14:paraId="12166AC0" w14:textId="77777777" w:rsidR="00F849A7" w:rsidRPr="00D9348B" w:rsidRDefault="00F849A7" w:rsidP="00E3344E">
            <w:pPr>
              <w:spacing w:before="50" w:after="50"/>
              <w:jc w:val="center"/>
              <w:rPr>
                <w:rFonts w:cs="Calibri"/>
                <w:color w:val="FFFFFF"/>
                <w:sz w:val="16"/>
                <w:szCs w:val="16"/>
              </w:rPr>
            </w:pPr>
            <w:r w:rsidRPr="00D9348B">
              <w:rPr>
                <w:rFonts w:cs="Calibri"/>
                <w:color w:val="FFFFFF"/>
                <w:sz w:val="16"/>
                <w:szCs w:val="16"/>
              </w:rPr>
              <w:t>-</w:t>
            </w:r>
          </w:p>
        </w:tc>
        <w:tc>
          <w:tcPr>
            <w:tcW w:w="942" w:type="dxa"/>
            <w:tcBorders>
              <w:top w:val="single" w:sz="4" w:space="0" w:color="365F91"/>
              <w:left w:val="nil"/>
              <w:bottom w:val="single" w:sz="4" w:space="0" w:color="365F91"/>
              <w:right w:val="nil"/>
            </w:tcBorders>
            <w:shd w:val="clear" w:color="auto" w:fill="auto"/>
            <w:noWrap/>
            <w:vAlign w:val="center"/>
            <w:hideMark/>
          </w:tcPr>
          <w:p w14:paraId="010A0A84" w14:textId="77777777" w:rsidR="00F849A7" w:rsidRPr="00D9348B" w:rsidRDefault="00F849A7" w:rsidP="00E3344E">
            <w:pPr>
              <w:spacing w:before="50" w:after="50"/>
              <w:rPr>
                <w:rFonts w:cs="Calibri"/>
                <w:color w:val="000000"/>
                <w:sz w:val="16"/>
                <w:szCs w:val="16"/>
              </w:rPr>
            </w:pPr>
            <w:r w:rsidRPr="00D9348B">
              <w:rPr>
                <w:rFonts w:cs="Calibri"/>
                <w:color w:val="000000"/>
                <w:sz w:val="16"/>
                <w:szCs w:val="16"/>
              </w:rPr>
              <w:t>T1</w:t>
            </w:r>
          </w:p>
        </w:tc>
        <w:tc>
          <w:tcPr>
            <w:tcW w:w="943" w:type="dxa"/>
            <w:tcBorders>
              <w:top w:val="single" w:sz="4" w:space="0" w:color="365F91"/>
              <w:left w:val="nil"/>
              <w:bottom w:val="single" w:sz="4" w:space="0" w:color="365F91"/>
              <w:right w:val="nil"/>
            </w:tcBorders>
            <w:shd w:val="clear" w:color="auto" w:fill="auto"/>
            <w:noWrap/>
            <w:vAlign w:val="center"/>
            <w:hideMark/>
          </w:tcPr>
          <w:p w14:paraId="7942175B" w14:textId="77777777" w:rsidR="00F849A7" w:rsidRPr="00D9348B" w:rsidRDefault="00F849A7" w:rsidP="00E3344E">
            <w:pPr>
              <w:spacing w:before="50" w:after="50"/>
              <w:rPr>
                <w:rFonts w:cs="Calibri"/>
                <w:color w:val="000000"/>
                <w:sz w:val="16"/>
                <w:szCs w:val="16"/>
              </w:rPr>
            </w:pPr>
            <w:r w:rsidRPr="00D9348B">
              <w:rPr>
                <w:rFonts w:cs="Calibri"/>
                <w:color w:val="000000"/>
                <w:sz w:val="16"/>
                <w:szCs w:val="16"/>
              </w:rPr>
              <w:t>D</w:t>
            </w:r>
          </w:p>
        </w:tc>
      </w:tr>
      <w:tr w:rsidR="00F849A7" w:rsidRPr="00D9348B" w14:paraId="1A106D0C" w14:textId="77777777" w:rsidTr="00A628DC">
        <w:trPr>
          <w:trHeight w:val="204"/>
        </w:trPr>
        <w:tc>
          <w:tcPr>
            <w:tcW w:w="287" w:type="dxa"/>
            <w:tcBorders>
              <w:top w:val="single" w:sz="4" w:space="0" w:color="365F91"/>
              <w:left w:val="nil"/>
              <w:bottom w:val="single" w:sz="4" w:space="0" w:color="365F91"/>
              <w:right w:val="nil"/>
            </w:tcBorders>
            <w:shd w:val="clear" w:color="auto" w:fill="auto"/>
            <w:noWrap/>
            <w:vAlign w:val="center"/>
            <w:hideMark/>
          </w:tcPr>
          <w:p w14:paraId="114268B7" w14:textId="77777777" w:rsidR="00F849A7" w:rsidRPr="00D9348B" w:rsidRDefault="00F849A7" w:rsidP="00E3344E">
            <w:pPr>
              <w:spacing w:before="50" w:after="50"/>
              <w:rPr>
                <w:rFonts w:cs="Calibri"/>
                <w:b/>
                <w:bCs/>
                <w:color w:val="000000"/>
                <w:sz w:val="16"/>
                <w:szCs w:val="16"/>
              </w:rPr>
            </w:pPr>
            <w:r w:rsidRPr="00D9348B">
              <w:rPr>
                <w:rFonts w:cs="Calibri"/>
                <w:b/>
                <w:bCs/>
                <w:color w:val="000000"/>
                <w:sz w:val="16"/>
                <w:szCs w:val="16"/>
              </w:rPr>
              <w:t>I</w:t>
            </w:r>
          </w:p>
        </w:tc>
        <w:tc>
          <w:tcPr>
            <w:tcW w:w="2832" w:type="dxa"/>
            <w:tcBorders>
              <w:top w:val="single" w:sz="4" w:space="0" w:color="365F91"/>
              <w:left w:val="nil"/>
              <w:bottom w:val="single" w:sz="4" w:space="0" w:color="365F91"/>
              <w:right w:val="nil"/>
            </w:tcBorders>
            <w:shd w:val="clear" w:color="auto" w:fill="auto"/>
            <w:vAlign w:val="center"/>
            <w:hideMark/>
          </w:tcPr>
          <w:p w14:paraId="3BB7EA5B" w14:textId="77777777" w:rsidR="00F849A7" w:rsidRPr="00D9348B" w:rsidRDefault="00F849A7" w:rsidP="00E3344E">
            <w:pPr>
              <w:spacing w:before="50" w:after="50"/>
              <w:rPr>
                <w:rFonts w:cs="Calibri"/>
                <w:b/>
                <w:bCs/>
                <w:color w:val="000000"/>
                <w:sz w:val="16"/>
                <w:szCs w:val="16"/>
              </w:rPr>
            </w:pPr>
            <w:r w:rsidRPr="00D9348B">
              <w:rPr>
                <w:rFonts w:cs="Calibri"/>
                <w:b/>
                <w:bCs/>
                <w:color w:val="000000"/>
                <w:sz w:val="16"/>
                <w:szCs w:val="16"/>
              </w:rPr>
              <w:t>Other Carbon-containing Fertilisers</w:t>
            </w:r>
          </w:p>
        </w:tc>
        <w:tc>
          <w:tcPr>
            <w:tcW w:w="850" w:type="dxa"/>
            <w:tcBorders>
              <w:top w:val="single" w:sz="4" w:space="0" w:color="365F91"/>
              <w:left w:val="nil"/>
              <w:bottom w:val="single" w:sz="4" w:space="0" w:color="365F91"/>
              <w:right w:val="nil"/>
            </w:tcBorders>
            <w:shd w:val="clear" w:color="auto" w:fill="auto"/>
            <w:noWrap/>
            <w:vAlign w:val="center"/>
            <w:hideMark/>
          </w:tcPr>
          <w:p w14:paraId="19A66F8A" w14:textId="77777777" w:rsidR="00F849A7" w:rsidRPr="00D9348B" w:rsidRDefault="00F849A7" w:rsidP="00E3344E">
            <w:pPr>
              <w:spacing w:before="50" w:after="50"/>
              <w:jc w:val="center"/>
              <w:rPr>
                <w:rFonts w:cs="Calibri"/>
                <w:color w:val="FFFFFF"/>
                <w:sz w:val="16"/>
                <w:szCs w:val="16"/>
              </w:rPr>
            </w:pPr>
            <w:r w:rsidRPr="00D9348B">
              <w:rPr>
                <w:rFonts w:cs="Calibri"/>
                <w:color w:val="FFFFFF"/>
                <w:sz w:val="16"/>
                <w:szCs w:val="16"/>
              </w:rPr>
              <w:t>-</w:t>
            </w:r>
          </w:p>
        </w:tc>
        <w:tc>
          <w:tcPr>
            <w:tcW w:w="851" w:type="dxa"/>
            <w:tcBorders>
              <w:top w:val="single" w:sz="4" w:space="0" w:color="365F91"/>
              <w:left w:val="nil"/>
              <w:bottom w:val="single" w:sz="4" w:space="0" w:color="365F91"/>
              <w:right w:val="nil"/>
            </w:tcBorders>
            <w:shd w:val="clear" w:color="auto" w:fill="auto"/>
            <w:noWrap/>
            <w:vAlign w:val="center"/>
            <w:hideMark/>
          </w:tcPr>
          <w:p w14:paraId="2111C9BE" w14:textId="77777777" w:rsidR="00F849A7" w:rsidRPr="00D9348B" w:rsidRDefault="00F849A7" w:rsidP="00E3344E">
            <w:pPr>
              <w:spacing w:before="50" w:after="50"/>
              <w:jc w:val="center"/>
              <w:rPr>
                <w:rFonts w:cs="Calibri"/>
                <w:color w:val="FFFFFF"/>
                <w:sz w:val="16"/>
                <w:szCs w:val="16"/>
              </w:rPr>
            </w:pPr>
            <w:r w:rsidRPr="00D9348B">
              <w:rPr>
                <w:rFonts w:cs="Calibri"/>
                <w:color w:val="FFFFFF"/>
                <w:sz w:val="16"/>
                <w:szCs w:val="16"/>
              </w:rPr>
              <w:t>-</w:t>
            </w:r>
          </w:p>
        </w:tc>
        <w:tc>
          <w:tcPr>
            <w:tcW w:w="867" w:type="dxa"/>
            <w:tcBorders>
              <w:top w:val="single" w:sz="4" w:space="0" w:color="365F91"/>
              <w:left w:val="nil"/>
              <w:bottom w:val="single" w:sz="4" w:space="0" w:color="365F91"/>
              <w:right w:val="nil"/>
            </w:tcBorders>
            <w:shd w:val="clear" w:color="auto" w:fill="auto"/>
            <w:noWrap/>
            <w:vAlign w:val="center"/>
            <w:hideMark/>
          </w:tcPr>
          <w:p w14:paraId="427531E0" w14:textId="77777777" w:rsidR="00F849A7" w:rsidRPr="00D9348B" w:rsidRDefault="00F849A7" w:rsidP="00E3344E">
            <w:pPr>
              <w:spacing w:before="50" w:after="50"/>
              <w:jc w:val="center"/>
              <w:rPr>
                <w:rFonts w:cs="Calibri"/>
                <w:color w:val="FFFFFF"/>
                <w:sz w:val="16"/>
                <w:szCs w:val="16"/>
              </w:rPr>
            </w:pPr>
            <w:r w:rsidRPr="00D9348B">
              <w:rPr>
                <w:rFonts w:cs="Calibri"/>
                <w:color w:val="FFFFFF"/>
                <w:sz w:val="16"/>
                <w:szCs w:val="16"/>
              </w:rPr>
              <w:t>-</w:t>
            </w:r>
          </w:p>
        </w:tc>
        <w:tc>
          <w:tcPr>
            <w:tcW w:w="942" w:type="dxa"/>
            <w:tcBorders>
              <w:top w:val="single" w:sz="4" w:space="0" w:color="365F91"/>
              <w:left w:val="nil"/>
              <w:bottom w:val="single" w:sz="4" w:space="0" w:color="365F91"/>
              <w:right w:val="nil"/>
            </w:tcBorders>
            <w:shd w:val="clear" w:color="auto" w:fill="auto"/>
            <w:noWrap/>
            <w:vAlign w:val="center"/>
            <w:hideMark/>
          </w:tcPr>
          <w:p w14:paraId="25072C87" w14:textId="77777777" w:rsidR="00F849A7" w:rsidRPr="00D9348B" w:rsidRDefault="00F849A7" w:rsidP="00E3344E">
            <w:pPr>
              <w:spacing w:before="50" w:after="50"/>
              <w:jc w:val="center"/>
              <w:rPr>
                <w:rFonts w:cs="Calibri"/>
                <w:color w:val="FFFFFF"/>
                <w:sz w:val="16"/>
                <w:szCs w:val="16"/>
              </w:rPr>
            </w:pPr>
            <w:r w:rsidRPr="00D9348B">
              <w:rPr>
                <w:rFonts w:cs="Calibri"/>
                <w:color w:val="FFFFFF"/>
                <w:sz w:val="16"/>
                <w:szCs w:val="16"/>
              </w:rPr>
              <w:t>-</w:t>
            </w:r>
          </w:p>
        </w:tc>
        <w:tc>
          <w:tcPr>
            <w:tcW w:w="942" w:type="dxa"/>
            <w:tcBorders>
              <w:top w:val="single" w:sz="4" w:space="0" w:color="365F91"/>
              <w:left w:val="nil"/>
              <w:bottom w:val="single" w:sz="4" w:space="0" w:color="365F91"/>
              <w:right w:val="nil"/>
            </w:tcBorders>
            <w:shd w:val="clear" w:color="auto" w:fill="auto"/>
            <w:noWrap/>
            <w:vAlign w:val="center"/>
            <w:hideMark/>
          </w:tcPr>
          <w:p w14:paraId="1F43FBD4" w14:textId="77777777" w:rsidR="00F849A7" w:rsidRPr="00D9348B" w:rsidRDefault="00F849A7" w:rsidP="00E3344E">
            <w:pPr>
              <w:spacing w:before="50" w:after="50"/>
              <w:rPr>
                <w:rFonts w:cs="Calibri"/>
                <w:color w:val="000000"/>
                <w:sz w:val="16"/>
                <w:szCs w:val="16"/>
              </w:rPr>
            </w:pPr>
            <w:r w:rsidRPr="00D9348B">
              <w:rPr>
                <w:rFonts w:cs="Calibri"/>
                <w:color w:val="000000"/>
                <w:sz w:val="16"/>
                <w:szCs w:val="16"/>
              </w:rPr>
              <w:t>NA</w:t>
            </w:r>
          </w:p>
        </w:tc>
        <w:tc>
          <w:tcPr>
            <w:tcW w:w="943" w:type="dxa"/>
            <w:tcBorders>
              <w:top w:val="single" w:sz="4" w:space="0" w:color="365F91"/>
              <w:left w:val="nil"/>
              <w:bottom w:val="single" w:sz="4" w:space="0" w:color="365F91"/>
              <w:right w:val="nil"/>
            </w:tcBorders>
            <w:shd w:val="clear" w:color="auto" w:fill="auto"/>
            <w:noWrap/>
            <w:vAlign w:val="center"/>
            <w:hideMark/>
          </w:tcPr>
          <w:p w14:paraId="0E20C41E" w14:textId="77777777" w:rsidR="00F849A7" w:rsidRPr="00D9348B" w:rsidRDefault="00F849A7" w:rsidP="00E3344E">
            <w:pPr>
              <w:spacing w:before="50" w:after="50"/>
              <w:rPr>
                <w:rFonts w:cs="Calibri"/>
                <w:color w:val="000000"/>
                <w:sz w:val="16"/>
                <w:szCs w:val="16"/>
              </w:rPr>
            </w:pPr>
            <w:r w:rsidRPr="00D9348B">
              <w:rPr>
                <w:rFonts w:cs="Calibri"/>
                <w:color w:val="000000"/>
                <w:sz w:val="16"/>
                <w:szCs w:val="16"/>
              </w:rPr>
              <w:t>NA</w:t>
            </w:r>
          </w:p>
        </w:tc>
      </w:tr>
    </w:tbl>
    <w:p w14:paraId="0334170A" w14:textId="77777777" w:rsidR="00F849A7" w:rsidRPr="00D9348B" w:rsidRDefault="00F849A7" w:rsidP="00F849A7">
      <w:pPr>
        <w:pStyle w:val="Noteundertable"/>
        <w:rPr>
          <w:rFonts w:cs="Calibri"/>
        </w:rPr>
      </w:pPr>
      <w:r w:rsidRPr="00D9348B">
        <w:rPr>
          <w:rFonts w:cs="Calibri"/>
          <w:b/>
          <w:bCs/>
        </w:rPr>
        <w:t>Note:</w:t>
      </w:r>
      <w:r w:rsidRPr="00D9348B">
        <w:rPr>
          <w:rFonts w:cs="Calibri"/>
        </w:rPr>
        <w:t xml:space="preserve"> </w:t>
      </w:r>
      <w:r w:rsidRPr="00D9348B">
        <w:rPr>
          <w:rFonts w:cs="Calibri"/>
        </w:rPr>
        <w:tab/>
        <w:t>CS = Country Specific; D = IPCC Guidelines (2006) Default; NA = not applicable; T1 = Tier 1; T2 = Tier 2.</w:t>
      </w:r>
    </w:p>
    <w:p w14:paraId="00649E86" w14:textId="77777777" w:rsidR="00F849A7" w:rsidRPr="00D9348B" w:rsidRDefault="00F849A7" w:rsidP="00F849A7">
      <w:pPr>
        <w:pStyle w:val="BodyText"/>
        <w:rPr>
          <w:rFonts w:cs="Calibri"/>
        </w:rPr>
      </w:pPr>
      <w:r w:rsidRPr="00D9348B">
        <w:rPr>
          <w:rFonts w:cs="Calibri"/>
        </w:rPr>
        <w:lastRenderedPageBreak/>
        <w:t>Further technical detail is provided in the inventory methodology document on the Ministry for Primary Industries (MPI) website (</w:t>
      </w:r>
      <w:hyperlink r:id="rId108" w:history="1">
        <w:r w:rsidRPr="00D9348B">
          <w:rPr>
            <w:rFonts w:cs="Calibri"/>
          </w:rPr>
          <w:t>www.mpi.govt.nz/dmsdocument/13906-detailed-methodologies-for-agricultural-greenhouse-gas-emission-calculation</w:t>
        </w:r>
      </w:hyperlink>
      <w:r w:rsidRPr="00D9348B">
        <w:rPr>
          <w:rFonts w:cs="Calibri"/>
        </w:rPr>
        <w:t xml:space="preserve">) and in the methodological issues section for each category in this document. The approach for determining livestock nutritional and energy requirements is described in the following paragraphs. </w:t>
      </w:r>
    </w:p>
    <w:p w14:paraId="2F221D86" w14:textId="08327279" w:rsidR="00F849A7" w:rsidRPr="00D9348B" w:rsidRDefault="00F849A7" w:rsidP="00865BDB">
      <w:pPr>
        <w:pStyle w:val="Heading4"/>
      </w:pPr>
      <w:r w:rsidRPr="00D9348B">
        <w:t>Description of the Tier 2 model for determining emissions from energy requirements</w:t>
      </w:r>
      <w:r w:rsidR="00E3344E" w:rsidRPr="00D9348B">
        <w:t> </w:t>
      </w:r>
      <w:r w:rsidRPr="00D9348B">
        <w:t xml:space="preserve">for major ruminant livestock categories </w:t>
      </w:r>
    </w:p>
    <w:p w14:paraId="4AD379E9" w14:textId="77777777" w:rsidR="00F849A7" w:rsidRPr="00D9348B" w:rsidRDefault="00F849A7" w:rsidP="00F849A7">
      <w:pPr>
        <w:pStyle w:val="BodyText"/>
        <w:rPr>
          <w:rFonts w:cs="Calibri"/>
        </w:rPr>
      </w:pPr>
      <w:r w:rsidRPr="00D9348B">
        <w:rPr>
          <w:rFonts w:cs="Calibri"/>
        </w:rPr>
        <w:t xml:space="preserve">A Tier 2 inventory model has been developed to calculate emissions from the major ruminant livestock categories (Clark et al., 2003), in line with good practice guidelines (IPCC, 2000, 2006). This national model is constantly being improved through new research. New Zealand’s modelling for the major livestock categories is considered to be close to a Tier 3 methodology due to its use of thoroughly researched country-specific emission factors and the use of monthly data intervals for livestock populations, animal productivity and pasture quality. Figure 5.1.5 outlines the methodology used to estimate emissions for the four major livestock categories. </w:t>
      </w:r>
    </w:p>
    <w:p w14:paraId="2DF8C03B" w14:textId="44F39427" w:rsidR="00F849A7" w:rsidRPr="00D9348B" w:rsidRDefault="00F849A7" w:rsidP="00F849A7">
      <w:pPr>
        <w:pStyle w:val="BodyText"/>
        <w:rPr>
          <w:rFonts w:cs="Calibri"/>
        </w:rPr>
      </w:pPr>
      <w:r w:rsidRPr="00D9348B">
        <w:rPr>
          <w:rFonts w:cs="Calibri"/>
        </w:rPr>
        <w:t>Agricultural production (meat, milk and wool) and livestock population data are combined with data on the total metabolisable energy (ME) content of the animal’s diet. This is used to determine the level of feed intake required to meet total annual productivity levels of the livestock categories, which is then multiplied by a CH</w:t>
      </w:r>
      <w:r w:rsidRPr="00D9348B">
        <w:rPr>
          <w:rFonts w:cs="Calibri"/>
          <w:vertAlign w:val="subscript"/>
        </w:rPr>
        <w:t>4</w:t>
      </w:r>
      <w:r w:rsidRPr="00D9348B">
        <w:rPr>
          <w:rFonts w:cs="Calibri"/>
        </w:rPr>
        <w:t xml:space="preserve"> emission factor (or a suitable alternative methodology) to calculate CH</w:t>
      </w:r>
      <w:r w:rsidRPr="00D9348B">
        <w:rPr>
          <w:rFonts w:cs="Calibri"/>
          <w:vertAlign w:val="subscript"/>
        </w:rPr>
        <w:t>4</w:t>
      </w:r>
      <w:r w:rsidRPr="00D9348B">
        <w:rPr>
          <w:rFonts w:cs="Calibri"/>
        </w:rPr>
        <w:t xml:space="preserve"> emissions from enteric fermentation. Information on the nitrogen content of feed is used with dry-matter intake (DMI) to calculate nitrogen intake and</w:t>
      </w:r>
      <w:r w:rsidR="00E3344E" w:rsidRPr="00D9348B">
        <w:rPr>
          <w:rFonts w:cs="Calibri"/>
        </w:rPr>
        <w:t> </w:t>
      </w:r>
      <w:r w:rsidRPr="00D9348B">
        <w:rPr>
          <w:rFonts w:cs="Calibri"/>
        </w:rPr>
        <w:t>subsequent nitrogen excretion, and hence N</w:t>
      </w:r>
      <w:r w:rsidRPr="00D9348B">
        <w:rPr>
          <w:rFonts w:cs="Calibri"/>
          <w:vertAlign w:val="subscript"/>
        </w:rPr>
        <w:t>2</w:t>
      </w:r>
      <w:r w:rsidRPr="00D9348B">
        <w:rPr>
          <w:rFonts w:cs="Calibri"/>
        </w:rPr>
        <w:t>O emissions.</w:t>
      </w:r>
    </w:p>
    <w:p w14:paraId="3AF35014" w14:textId="77777777" w:rsidR="00F849A7" w:rsidRPr="00D9348B" w:rsidRDefault="00F849A7" w:rsidP="00F849A7">
      <w:pPr>
        <w:pStyle w:val="Figure"/>
        <w:rPr>
          <w:rFonts w:cs="Calibri"/>
        </w:rPr>
      </w:pPr>
      <w:bookmarkStart w:id="591" w:name="_Toc481752010"/>
      <w:bookmarkStart w:id="592" w:name="_Toc507158469"/>
      <w:bookmarkStart w:id="593" w:name="_Toc511116960"/>
      <w:bookmarkStart w:id="594" w:name="_Toc5269690"/>
      <w:bookmarkStart w:id="595" w:name="_Toc32570961"/>
      <w:bookmarkStart w:id="596" w:name="_Toc36292791"/>
      <w:r w:rsidRPr="00D9348B">
        <w:rPr>
          <w:rFonts w:cs="Calibri"/>
        </w:rPr>
        <w:lastRenderedPageBreak/>
        <w:t xml:space="preserve">Figure 5.1.5 </w:t>
      </w:r>
      <w:r w:rsidRPr="00D9348B">
        <w:rPr>
          <w:rFonts w:cs="Calibri"/>
        </w:rPr>
        <w:tab/>
        <w:t>Simplified methodology for calculating emissions for major ruminant livestock categories</w:t>
      </w:r>
      <w:bookmarkEnd w:id="591"/>
      <w:bookmarkEnd w:id="592"/>
      <w:bookmarkEnd w:id="593"/>
      <w:bookmarkEnd w:id="594"/>
      <w:bookmarkEnd w:id="595"/>
      <w:bookmarkEnd w:id="596"/>
    </w:p>
    <w:p w14:paraId="2353F565" w14:textId="77777777" w:rsidR="00F849A7" w:rsidRPr="00D9348B" w:rsidRDefault="00F849A7" w:rsidP="00F849A7">
      <w:pPr>
        <w:jc w:val="center"/>
        <w:rPr>
          <w:rFonts w:cs="Calibri"/>
        </w:rPr>
      </w:pPr>
      <w:r w:rsidRPr="00D9348B">
        <w:rPr>
          <w:rFonts w:eastAsia="Calibri" w:cs="Calibri"/>
        </w:rPr>
        <w:object w:dxaOrig="14670" w:dyaOrig="13470" w14:anchorId="3B2187B0">
          <v:shape id="_x0000_i1075" type="#_x0000_t75" style="width:332.45pt;height:367.5pt" o:ole="">
            <v:imagedata r:id="rId109" o:title="" cropbottom="1320f" cropright="12005f"/>
          </v:shape>
          <o:OLEObject Type="Embed" ProgID="Visio.Drawing.15" ShapeID="_x0000_i1075" DrawAspect="Content" ObjectID="_1647932317" r:id="rId110"/>
        </w:object>
      </w:r>
    </w:p>
    <w:p w14:paraId="66F9ED45" w14:textId="77777777" w:rsidR="00F849A7" w:rsidRPr="00D9348B" w:rsidRDefault="00F849A7" w:rsidP="00F849A7">
      <w:pPr>
        <w:pStyle w:val="Noteundertable"/>
        <w:spacing w:before="0"/>
        <w:rPr>
          <w:rFonts w:cs="Calibri"/>
        </w:rPr>
      </w:pPr>
      <w:r w:rsidRPr="00D9348B">
        <w:rPr>
          <w:rFonts w:cs="Calibri"/>
          <w:b/>
          <w:bCs/>
        </w:rPr>
        <w:t xml:space="preserve">Note: </w:t>
      </w:r>
      <w:r w:rsidRPr="00D9348B">
        <w:rPr>
          <w:rFonts w:cs="Calibri"/>
        </w:rPr>
        <w:tab/>
        <w:t>CH</w:t>
      </w:r>
      <w:r w:rsidRPr="00D9348B">
        <w:rPr>
          <w:rFonts w:cs="Calibri"/>
          <w:vertAlign w:val="subscript"/>
        </w:rPr>
        <w:t>4</w:t>
      </w:r>
      <w:r w:rsidRPr="00D9348B">
        <w:rPr>
          <w:rFonts w:cs="Calibri"/>
        </w:rPr>
        <w:t xml:space="preserve"> = methane; DMI = dry-matter intake; kg = kilogram; MJ = megajoule; N</w:t>
      </w:r>
      <w:r w:rsidRPr="00D9348B">
        <w:rPr>
          <w:rFonts w:cs="Calibri"/>
          <w:vertAlign w:val="subscript"/>
        </w:rPr>
        <w:t>2</w:t>
      </w:r>
      <w:r w:rsidRPr="00D9348B">
        <w:rPr>
          <w:rFonts w:cs="Calibri"/>
        </w:rPr>
        <w:t>O = nitrous oxide; NZ = New Zealand.</w:t>
      </w:r>
    </w:p>
    <w:p w14:paraId="1D105825" w14:textId="189F153B" w:rsidR="00F849A7" w:rsidRPr="00D9348B" w:rsidRDefault="00F849A7" w:rsidP="00E3344E">
      <w:pPr>
        <w:pStyle w:val="BodyText"/>
        <w:rPr>
          <w:rFonts w:cs="Calibri"/>
        </w:rPr>
      </w:pPr>
      <w:r w:rsidRPr="00D9348B">
        <w:rPr>
          <w:rFonts w:cs="Calibri"/>
        </w:rPr>
        <w:t>The main emissions from ruminant livestock are CH</w:t>
      </w:r>
      <w:r w:rsidRPr="00D9348B">
        <w:rPr>
          <w:rFonts w:cs="Calibri"/>
          <w:vertAlign w:val="subscript"/>
        </w:rPr>
        <w:t>4</w:t>
      </w:r>
      <w:r w:rsidRPr="00D9348B">
        <w:rPr>
          <w:rFonts w:cs="Calibri"/>
        </w:rPr>
        <w:t xml:space="preserve"> from enteric fermentation and N</w:t>
      </w:r>
      <w:r w:rsidRPr="00D9348B">
        <w:rPr>
          <w:rFonts w:cs="Calibri"/>
          <w:vertAlign w:val="subscript"/>
        </w:rPr>
        <w:t>2</w:t>
      </w:r>
      <w:r w:rsidRPr="00D9348B">
        <w:rPr>
          <w:rFonts w:cs="Calibri"/>
        </w:rPr>
        <w:t>O from manure (urine and dung). The level of these emissions is a function of livestock energy requirements and the energy concentration of the feed, which determine the level of required</w:t>
      </w:r>
      <w:r w:rsidR="00E3344E" w:rsidRPr="00D9348B">
        <w:rPr>
          <w:rFonts w:cs="Calibri"/>
        </w:rPr>
        <w:t> </w:t>
      </w:r>
      <w:r w:rsidRPr="00D9348B">
        <w:rPr>
          <w:rFonts w:cs="Calibri"/>
        </w:rPr>
        <w:t>feed intake (DMI):</w:t>
      </w:r>
    </w:p>
    <w:p w14:paraId="17124262" w14:textId="3CCA6E81" w:rsidR="00F849A7" w:rsidRPr="00D9348B" w:rsidRDefault="00DA6C03" w:rsidP="00F849A7">
      <w:pPr>
        <w:spacing w:after="120"/>
        <w:jc w:val="center"/>
        <w:rPr>
          <w:rFonts w:cs="Calibri"/>
        </w:rPr>
      </w:pPr>
      <w:r>
        <w:pict w14:anchorId="3DFD62F7">
          <v:shape id="_x0000_i1076" type="#_x0000_t75" style="width:78.25pt;height:25.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activeWritingStyle w:lang=&quot;EN-NZ&quot; w:vendorID=&quot;64&quot; w:dllVersion=&quot;6&quot; w:nlCheck=&quot;on&quot; w:optionSet=&quot;1&quot;/&gt;&lt;w:stylePaneFormatFilter w:val=&quot;5804&quot;/&gt;&lt;w:revisionView w:markup=&quot;off&quot;/&gt;&lt;w:defaultTabStop w:val=&quot;397&quot;/&gt;&lt;w:evenAndOddHeaders/&gt;&lt;w:drawingGridHorizontalSpacing w:val=&quot;187&quot;/&gt;&lt;w:displayVerticalDrawingGridEvery w:val=&quot;2&quot;/&gt;&lt;w:characterSpacingControl w:val=&quot;DontCompress&quot;/&gt;&lt;w:optimizeForBrowser/&gt;&lt;w:validateAgainstSchema/&gt;&lt;w:saveInvalidXML w:val=&quot;off&quot;/&gt;&lt;w:ignoreMixedContent w:val=&quot;off&quot;/&gt;&lt;w:alwaysShowPlaceholderText w:val=&quot;off&quot;/&gt;&lt;w:compat&gt;&lt;w:suppressBottomSpacing/&gt;&lt;w:suppressTopSpacing/&gt;&lt;w:doNotUseHTMLParagraphAutoSpacing/&gt;&lt;w:breakWrappedTables/&gt;&lt;w:snapToGridInCell/&gt;&lt;w:wrapTextWithPunct/&gt;&lt;w:useAsianBreakRules/&gt;&lt;w:useWord2002TableStyleRules/&gt;&lt;/w:compat&gt;&lt;wsp:rsids&gt;&lt;wsp:rsidRoot wsp:val=&quot;007A30E8&quot;/&gt;&lt;wsp:rsid wsp:val=&quot;00001716&quot;/&gt;&lt;wsp:rsid wsp:val=&quot;00007ABB&quot;/&gt;&lt;wsp:rsid wsp:val=&quot;00021ACF&quot;/&gt;&lt;wsp:rsid wsp:val=&quot;00027E55&quot;/&gt;&lt;wsp:rsid wsp:val=&quot;00032A28&quot;/&gt;&lt;wsp:rsid wsp:val=&quot;00035185&quot;/&gt;&lt;wsp:rsid wsp:val=&quot;00050008&quot;/&gt;&lt;wsp:rsid wsp:val=&quot;000576EC&quot;/&gt;&lt;wsp:rsid wsp:val=&quot;00082902&quot;/&gt;&lt;wsp:rsid wsp:val=&quot;000959CB&quot;/&gt;&lt;wsp:rsid wsp:val=&quot;000C20A6&quot;/&gt;&lt;wsp:rsid wsp:val=&quot;000F4DEF&quot;/&gt;&lt;wsp:rsid wsp:val=&quot;00103A70&quot;/&gt;&lt;wsp:rsid wsp:val=&quot;00116E1B&quot;/&gt;&lt;wsp:rsid wsp:val=&quot;001221C3&quot;/&gt;&lt;wsp:rsid wsp:val=&quot;00153F5A&quot;/&gt;&lt;wsp:rsid wsp:val=&quot;00180C1C&quot;/&gt;&lt;wsp:rsid wsp:val=&quot;001970E1&quot;/&gt;&lt;wsp:rsid wsp:val=&quot;001A1997&quot;/&gt;&lt;wsp:rsid wsp:val=&quot;001B6FD2&quot;/&gt;&lt;wsp:rsid wsp:val=&quot;001D4675&quot;/&gt;&lt;wsp:rsid wsp:val=&quot;001E584F&quot;/&gt;&lt;wsp:rsid wsp:val=&quot;00207ABF&quot;/&gt;&lt;wsp:rsid wsp:val=&quot;002253F5&quot;/&gt;&lt;wsp:rsid wsp:val=&quot;00240B42&quot;/&gt;&lt;wsp:rsid wsp:val=&quot;00260B48&quot;/&gt;&lt;wsp:rsid wsp:val=&quot;00276A11&quot;/&gt;&lt;wsp:rsid wsp:val=&quot;0028581A&quot;/&gt;&lt;wsp:rsid wsp:val=&quot;002868D3&quot;/&gt;&lt;wsp:rsid wsp:val=&quot;00295B2A&quot;/&gt;&lt;wsp:rsid wsp:val=&quot;002A1361&quot;/&gt;&lt;wsp:rsid wsp:val=&quot;002A49D7&quot;/&gt;&lt;wsp:rsid wsp:val=&quot;002B1C5A&quot;/&gt;&lt;wsp:rsid wsp:val=&quot;002B3284&quot;/&gt;&lt;wsp:rsid wsp:val=&quot;002B3633&quot;/&gt;&lt;wsp:rsid wsp:val=&quot;002D60DB&quot;/&gt;&lt;wsp:rsid wsp:val=&quot;002D6A54&quot;/&gt;&lt;wsp:rsid wsp:val=&quot;002F134A&quot;/&gt;&lt;wsp:rsid wsp:val=&quot;00302D84&quot;/&gt;&lt;wsp:rsid wsp:val=&quot;00315760&quot;/&gt;&lt;wsp:rsid wsp:val=&quot;0032349D&quot;/&gt;&lt;wsp:rsid wsp:val=&quot;00330809&quot;/&gt;&lt;wsp:rsid wsp:val=&quot;0037590E&quot;/&gt;&lt;wsp:rsid wsp:val=&quot;00377186&quot;/&gt;&lt;wsp:rsid wsp:val=&quot;00383207&quot;/&gt;&lt;wsp:rsid wsp:val=&quot;003972EF&quot;/&gt;&lt;wsp:rsid wsp:val=&quot;00397D2B&quot;/&gt;&lt;wsp:rsid wsp:val=&quot;003A5006&quot;/&gt;&lt;wsp:rsid wsp:val=&quot;003C2615&quot;/&gt;&lt;wsp:rsid wsp:val=&quot;003D0318&quot;/&gt;&lt;wsp:rsid wsp:val=&quot;003D5417&quot;/&gt;&lt;wsp:rsid wsp:val=&quot;00400F92&quot;/&gt;&lt;wsp:rsid wsp:val=&quot;004044F1&quot;/&gt;&lt;wsp:rsid wsp:val=&quot;0042424B&quot;/&gt;&lt;wsp:rsid wsp:val=&quot;00430D5D&quot;/&gt;&lt;wsp:rsid wsp:val=&quot;00444336&quot;/&gt;&lt;wsp:rsid wsp:val=&quot;00455788&quot;/&gt;&lt;wsp:rsid wsp:val=&quot;0045652C&quot;/&gt;&lt;wsp:rsid wsp:val=&quot;00462497&quot;/&gt;&lt;wsp:rsid wsp:val=&quot;004805A3&quot;/&gt;&lt;wsp:rsid wsp:val=&quot;00490EB0&quot;/&gt;&lt;wsp:rsid wsp:val=&quot;004A39F8&quot;/&gt;&lt;wsp:rsid wsp:val=&quot;004A618E&quot;/&gt;&lt;wsp:rsid wsp:val=&quot;004E4B2C&quot;/&gt;&lt;wsp:rsid wsp:val=&quot;004F1572&quot;/&gt;&lt;wsp:rsid wsp:val=&quot;0052105D&quot;/&gt;&lt;wsp:rsid wsp:val=&quot;00526270&quot;/&gt;&lt;wsp:rsid wsp:val=&quot;00534210&quot;/&gt;&lt;wsp:rsid wsp:val=&quot;00543478&quot;/&gt;&lt;wsp:rsid wsp:val=&quot;00545600&quot;/&gt;&lt;wsp:rsid wsp:val=&quot;00546A6A&quot;/&gt;&lt;wsp:rsid wsp:val=&quot;00562240&quot;/&gt;&lt;wsp:rsid wsp:val=&quot;005630B0&quot;/&gt;&lt;wsp:rsid wsp:val=&quot;005660CD&quot;/&gt;&lt;wsp:rsid wsp:val=&quot;005720F2&quot;/&gt;&lt;wsp:rsid wsp:val=&quot;005812D6&quot;/&gt;&lt;wsp:rsid wsp:val=&quot;00596603&quot;/&gt;&lt;wsp:rsid wsp:val=&quot;005B76A4&quot;/&gt;&lt;wsp:rsid wsp:val=&quot;005C3384&quot;/&gt;&lt;wsp:rsid wsp:val=&quot;005C416E&quot;/&gt;&lt;wsp:rsid wsp:val=&quot;005D1C3A&quot;/&gt;&lt;wsp:rsid wsp:val=&quot;005E43DD&quot;/&gt;&lt;wsp:rsid wsp:val=&quot;005E77C4&quot;/&gt;&lt;wsp:rsid wsp:val=&quot;00600179&quot;/&gt;&lt;wsp:rsid wsp:val=&quot;00603FC0&quot;/&gt;&lt;wsp:rsid wsp:val=&quot;006167DD&quot;/&gt;&lt;wsp:rsid wsp:val=&quot;00636BF0&quot;/&gt;&lt;wsp:rsid wsp:val=&quot;00646B6D&quot;/&gt;&lt;wsp:rsid wsp:val=&quot;00655908&quot;/&gt;&lt;wsp:rsid wsp:val=&quot;006654F8&quot;/&gt;&lt;wsp:rsid wsp:val=&quot;00665768&quot;/&gt;&lt;wsp:rsid wsp:val=&quot;00667291&quot;/&gt;&lt;wsp:rsid wsp:val=&quot;00686249&quot;/&gt;&lt;wsp:rsid wsp:val=&quot;00687504&quot;/&gt;&lt;wsp:rsid wsp:val=&quot;00691AFF&quot;/&gt;&lt;wsp:rsid wsp:val=&quot;006A171F&quot;/&gt;&lt;wsp:rsid wsp:val=&quot;006A4209&quot;/&gt;&lt;wsp:rsid wsp:val=&quot;006A4E5F&quot;/&gt;&lt;wsp:rsid wsp:val=&quot;006D2536&quot;/&gt;&lt;wsp:rsid wsp:val=&quot;006D3FAE&quot;/&gt;&lt;wsp:rsid wsp:val=&quot;006D4600&quot;/&gt;&lt;wsp:rsid wsp:val=&quot;006E0A2C&quot;/&gt;&lt;wsp:rsid wsp:val=&quot;006E202B&quot;/&gt;&lt;wsp:rsid wsp:val=&quot;006E57B5&quot;/&gt;&lt;wsp:rsid wsp:val=&quot;00702FA0&quot;/&gt;&lt;wsp:rsid wsp:val=&quot;00715D39&quot;/&gt;&lt;wsp:rsid wsp:val=&quot;00724218&quot;/&gt;&lt;wsp:rsid wsp:val=&quot;00737E65&quot;/&gt;&lt;wsp:rsid wsp:val=&quot;0074030A&quot;/&gt;&lt;wsp:rsid wsp:val=&quot;007409A3&quot;/&gt;&lt;wsp:rsid wsp:val=&quot;007575A8&quot;/&gt;&lt;wsp:rsid wsp:val=&quot;00762043&quot;/&gt;&lt;wsp:rsid wsp:val=&quot;007633C2&quot;/&gt;&lt;wsp:rsid wsp:val=&quot;00765A47&quot;/&gt;&lt;wsp:rsid wsp:val=&quot;00770E82&quot;/&gt;&lt;wsp:rsid wsp:val=&quot;00772E94&quot;/&gt;&lt;wsp:rsid wsp:val=&quot;007A30E8&quot;/&gt;&lt;wsp:rsid wsp:val=&quot;007A5E1C&quot;/&gt;&lt;wsp:rsid wsp:val=&quot;007B028B&quot;/&gt;&lt;wsp:rsid wsp:val=&quot;007B1D71&quot;/&gt;&lt;wsp:rsid wsp:val=&quot;007C00D0&quot;/&gt;&lt;wsp:rsid wsp:val=&quot;007C2186&quot;/&gt;&lt;wsp:rsid wsp:val=&quot;007F2233&quot;/&gt;&lt;wsp:rsid wsp:val=&quot;008053BA&quot;/&gt;&lt;wsp:rsid wsp:val=&quot;0080694B&quot;/&gt;&lt;wsp:rsid wsp:val=&quot;00810AB6&quot;/&gt;&lt;wsp:rsid wsp:val=&quot;0081779C&quot;/&gt;&lt;wsp:rsid wsp:val=&quot;00831D0D&quot;/&gt;&lt;wsp:rsid wsp:val=&quot;00832DEE&quot;/&gt;&lt;wsp:rsid wsp:val=&quot;00835B98&quot;/&gt;&lt;wsp:rsid wsp:val=&quot;00840713&quot;/&gt;&lt;wsp:rsid wsp:val=&quot;00854B9D&quot;/&gt;&lt;wsp:rsid wsp:val=&quot;00855A8A&quot;/&gt;&lt;wsp:rsid wsp:val=&quot;00872795&quot;/&gt;&lt;wsp:rsid wsp:val=&quot;008936D4&quot;/&gt;&lt;wsp:rsid wsp:val=&quot;008A2EC5&quot;/&gt;&lt;wsp:rsid wsp:val=&quot;008B77F5&quot;/&gt;&lt;wsp:rsid wsp:val=&quot;008C0279&quot;/&gt;&lt;wsp:rsid wsp:val=&quot;008C7C6D&quot;/&gt;&lt;wsp:rsid wsp:val=&quot;008C7F68&quot;/&gt;&lt;wsp:rsid wsp:val=&quot;008E380C&quot;/&gt;&lt;wsp:rsid wsp:val=&quot;008E405A&quot;/&gt;&lt;wsp:rsid wsp:val=&quot;008F25D2&quot;/&gt;&lt;wsp:rsid wsp:val=&quot;008F50EC&quot;/&gt;&lt;wsp:rsid wsp:val=&quot;008F587A&quot;/&gt;&lt;wsp:rsid wsp:val=&quot;009134CA&quot;/&gt;&lt;wsp:rsid wsp:val=&quot;00914CC6&quot;/&gt;&lt;wsp:rsid wsp:val=&quot;00925AA2&quot;/&gt;&lt;wsp:rsid wsp:val=&quot;0092751F&quot;/&gt;&lt;wsp:rsid wsp:val=&quot;00932067&quot;/&gt;&lt;wsp:rsid wsp:val=&quot;0093594A&quot;/&gt;&lt;wsp:rsid wsp:val=&quot;00955D73&quot;/&gt;&lt;wsp:rsid wsp:val=&quot;0096512C&quot;/&gt;&lt;wsp:rsid wsp:val=&quot;0096540A&quot;/&gt;&lt;wsp:rsid wsp:val=&quot;009C0F3A&quot;/&gt;&lt;wsp:rsid wsp:val=&quot;009C5D2A&quot;/&gt;&lt;wsp:rsid wsp:val=&quot;00A02252&quot;/&gt;&lt;wsp:rsid wsp:val=&quot;00A06700&quot;/&gt;&lt;wsp:rsid wsp:val=&quot;00A331E7&quot;/&gt;&lt;wsp:rsid wsp:val=&quot;00A34169&quot;/&gt;&lt;wsp:rsid wsp:val=&quot;00A41C3C&quot;/&gt;&lt;wsp:rsid wsp:val=&quot;00A76984&quot;/&gt;&lt;wsp:rsid wsp:val=&quot;00AA0A87&quot;/&gt;&lt;wsp:rsid wsp:val=&quot;00AA7B1E&quot;/&gt;&lt;wsp:rsid wsp:val=&quot;00AB2710&quot;/&gt;&lt;wsp:rsid wsp:val=&quot;00AD184B&quot;/&gt;&lt;wsp:rsid wsp:val=&quot;00B0566D&quot;/&gt;&lt;wsp:rsid wsp:val=&quot;00B35BD9&quot;/&gt;&lt;wsp:rsid wsp:val=&quot;00B37DE8&quot;/&gt;&lt;wsp:rsid wsp:val=&quot;00B44BA5&quot;/&gt;&lt;wsp:rsid wsp:val=&quot;00B84125&quot;/&gt;&lt;wsp:rsid wsp:val=&quot;00B928E7&quot;/&gt;&lt;wsp:rsid wsp:val=&quot;00BA5F7E&quot;/&gt;&lt;wsp:rsid wsp:val=&quot;00BB7F2F&quot;/&gt;&lt;wsp:rsid wsp:val=&quot;00BC7E76&quot;/&gt;&lt;wsp:rsid wsp:val=&quot;00BE472F&quot;/&gt;&lt;wsp:rsid wsp:val=&quot;00BE5513&quot;/&gt;&lt;wsp:rsid wsp:val=&quot;00BF12F6&quot;/&gt;&lt;wsp:rsid wsp:val=&quot;00C00765&quot;/&gt;&lt;wsp:rsid wsp:val=&quot;00C10464&quot;/&gt;&lt;wsp:rsid wsp:val=&quot;00C119C2&quot;/&gt;&lt;wsp:rsid wsp:val=&quot;00C21B54&quot;/&gt;&lt;wsp:rsid wsp:val=&quot;00C27E02&quot;/&gt;&lt;wsp:rsid wsp:val=&quot;00C40967&quot;/&gt;&lt;wsp:rsid wsp:val=&quot;00C42C64&quot;/&gt;&lt;wsp:rsid wsp:val=&quot;00C4400C&quot;/&gt;&lt;wsp:rsid wsp:val=&quot;00C600E2&quot;/&gt;&lt;wsp:rsid wsp:val=&quot;00C63D43&quot;/&gt;&lt;wsp:rsid wsp:val=&quot;00C74134&quot;/&gt;&lt;wsp:rsid wsp:val=&quot;00C823B1&quot;/&gt;&lt;wsp:rsid wsp:val=&quot;00C93D19&quot;/&gt;&lt;wsp:rsid wsp:val=&quot;00CA271E&quot;/&gt;&lt;wsp:rsid wsp:val=&quot;00CB1488&quot;/&gt;&lt;wsp:rsid wsp:val=&quot;00CB7414&quot;/&gt;&lt;wsp:rsid wsp:val=&quot;00CE19C1&quot;/&gt;&lt;wsp:rsid wsp:val=&quot;00D01CFE&quot;/&gt;&lt;wsp:rsid wsp:val=&quot;00D07C4B&quot;/&gt;&lt;wsp:rsid wsp:val=&quot;00D225D8&quot;/&gt;&lt;wsp:rsid wsp:val=&quot;00D30983&quot;/&gt;&lt;wsp:rsid wsp:val=&quot;00D33A2E&quot;/&gt;&lt;wsp:rsid wsp:val=&quot;00D34954&quot;/&gt;&lt;wsp:rsid wsp:val=&quot;00D511A1&quot;/&gt;&lt;wsp:rsid wsp:val=&quot;00D56CF9&quot;/&gt;&lt;wsp:rsid wsp:val=&quot;00D608D5&quot;/&gt;&lt;wsp:rsid wsp:val=&quot;00D651CA&quot;/&gt;&lt;wsp:rsid wsp:val=&quot;00D872BF&quot;/&gt;&lt;wsp:rsid wsp:val=&quot;00DA4C87&quot;/&gt;&lt;wsp:rsid wsp:val=&quot;00DB5613&quot;/&gt;&lt;wsp:rsid wsp:val=&quot;00DE01F6&quot;/&gt;&lt;wsp:rsid wsp:val=&quot;00DE1FAA&quot;/&gt;&lt;wsp:rsid wsp:val=&quot;00DE2998&quot;/&gt;&lt;wsp:rsid wsp:val=&quot;00DE4223&quot;/&gt;&lt;wsp:rsid wsp:val=&quot;00DE6B60&quot;/&gt;&lt;wsp:rsid wsp:val=&quot;00DF1B90&quot;/&gt;&lt;wsp:rsid wsp:val=&quot;00E06D10&quot;/&gt;&lt;wsp:rsid wsp:val=&quot;00E20138&quot;/&gt;&lt;wsp:rsid wsp:val=&quot;00E20458&quot;/&gt;&lt;wsp:rsid wsp:val=&quot;00E55420&quot;/&gt;&lt;wsp:rsid wsp:val=&quot;00E56487&quot;/&gt;&lt;wsp:rsid wsp:val=&quot;00E81646&quot;/&gt;&lt;wsp:rsid wsp:val=&quot;00E853F3&quot;/&gt;&lt;wsp:rsid wsp:val=&quot;00EC2491&quot;/&gt;&lt;wsp:rsid wsp:val=&quot;00ED2C42&quot;/&gt;&lt;wsp:rsid wsp:val=&quot;00EF3B2B&quot;/&gt;&lt;wsp:rsid wsp:val=&quot;00F00EE9&quot;/&gt;&lt;wsp:rsid wsp:val=&quot;00F379DD&quot;/&gt;&lt;wsp:rsid wsp:val=&quot;00F44640&quot;/&gt;&lt;wsp:rsid wsp:val=&quot;00F47244&quot;/&gt;&lt;wsp:rsid wsp:val=&quot;00F511A7&quot;/&gt;&lt;wsp:rsid wsp:val=&quot;00F660F9&quot;/&gt;&lt;wsp:rsid wsp:val=&quot;00F849A7&quot;/&gt;&lt;wsp:rsid wsp:val=&quot;00FA5F45&quot;/&gt;&lt;wsp:rsid wsp:val=&quot;00FA7522&quot;/&gt;&lt;wsp:rsid wsp:val=&quot;00FB2D36&quot;/&gt;&lt;wsp:rsid wsp:val=&quot;00FB71DC&quot;/&gt;&lt;wsp:rsid wsp:val=&quot;00FC2C59&quot;/&gt;&lt;wsp:rsid wsp:val=&quot;00FD178C&quot;/&gt;&lt;wsp:rsid wsp:val=&quot;00FF6723&quot;/&gt;&lt;/wsp:rsids&gt;&lt;/w:docPr&gt;&lt;w:body&gt;&lt;wx:sect&gt;&lt;w:p wsp:rsidR=&quot;00000000&quot; wsp:rsidRPr=&quot;00FF6723&quot; wsp:rsidRDefault=&quot;00FF6723&quot; wsp:rsidP=&quot;00FF6723&quot;&gt;&lt;m:oMathPara&gt;&lt;m:oMath&gt;&lt;m:r&gt;&lt;w:rPr&gt;&lt;w:rFonts w:ascii=&quot;Cambria Math&quot; w:h-ansi=&quot;Cambria Math&quot; w:cs=&quot;Calibri&quot;/&gt;&lt;wx:font wx:val=&quot;Cambria Math&quot;/&gt;&lt;w:i/&gt;&lt;/w:rPr&gt;&lt;m:t&gt;DMI=&lt;/m:t&gt;&lt;/m:r&gt;&lt;m:f&gt;&lt;m:fPr&gt;&lt;m:ctrlPr&gt;&lt;w:rPr&gt;&lt;w:rFonts w:ascii=&quot;Cambria Math&quot; w:h-ansi=&quot;Cambria Math&quot; w:cs=&quot;Calibri&quot;/&gt;&lt;wx:font wx:val=&quot;Cambria Math&quot;/&gt;&lt;w:i/&gt;&lt;/w:rPr&gt;&lt;/m:ctrlPr&gt;&lt;/m:fPr&gt;&lt;m:num&gt;&lt;m:r&gt;&lt;w:rPr&gt;&lt;w:rFonts w:ascii=&quot;Cambria Math&quot; w:h-ansi=&quot;Cambria Math&quot; w:cs=&quot;Calibri&quot;/&gt;&lt;wx:font wx:val=&quot;Cambria Math&quot;/&gt;&lt;w:i/&gt;&lt;/w:rPr&gt;&lt;m:t&gt;M&lt;/m:t&gt;&lt;/m:r&gt;&lt;m:sSub&gt;&lt;m:sSubPr&gt;&lt;m:ctrlPr&gt;&lt;w:rPr&gt;&lt;w:rFonts w:ascii=&quot;Cambria Math&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E&lt;/m:t&gt;&lt;/m:r&gt;&lt;/m:e&gt;&lt;m:sub&gt;&lt;m:r&gt;&lt;w:rPr&gt;&lt;w:rFonts w:ascii=&quot;Cambria Math&quot; w:h-ansi=&quot;Cambria Math&quot; w:cs=&quot;Calibri&quot;/&gt;&lt;wx:font wx:val=&quot;Cambria Math&quot;/&gt;&lt;w:i/&gt;&lt;/w:rPr&gt;&lt;m:t&gt;TOTAL&lt;/m:t&gt;&lt;/m:r&gt;&lt;/m:sub&gt;&lt;/m:sSub&gt;&lt;/m:num&gt;&lt;m:den&gt;&lt;m:r&gt;&lt;w:rPr&gt;&lt;w:rFonts w:ascii=&quot;Cambria Math&quot; w:h-ansi=&quot;Cambria Math&quot; w:cs=&quot;Calibri&quot;/&gt;&lt;wx:font wx:val=&quot;Cambria Math&quot;/&gt;&lt;w:i/&gt;&lt;/w:rPr&gt;&lt;m:t&gt;E&lt;/m:t&gt;&lt;/m:r&gt;&lt;/m:den&gt;&lt;/m:f&gt;&lt;/m:oMath&gt;&lt;/m:oMathPara&gt;&lt;/w:p&gt;&lt;w:sectPr wsp:rsidR=&quot;00000000&quot; wsp:rsidRPr=&quot;00FF6723&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1" o:title="" chromakey="white"/>
          </v:shape>
        </w:pict>
      </w:r>
    </w:p>
    <w:p w14:paraId="32897342" w14:textId="77777777" w:rsidR="00F849A7" w:rsidRPr="00D9348B" w:rsidRDefault="00F849A7" w:rsidP="00F849A7">
      <w:pPr>
        <w:spacing w:before="120" w:after="60"/>
        <w:ind w:left="993" w:hanging="993"/>
        <w:rPr>
          <w:rFonts w:cs="Calibri"/>
        </w:rPr>
      </w:pPr>
      <w:r w:rsidRPr="00D9348B">
        <w:rPr>
          <w:rFonts w:cs="Calibri"/>
        </w:rPr>
        <w:t>Where:</w:t>
      </w:r>
      <w:r w:rsidRPr="00D9348B">
        <w:rPr>
          <w:rFonts w:cs="Calibri"/>
        </w:rPr>
        <w:tab/>
        <w:t>DMI is the dry-matter intake (kg)</w:t>
      </w:r>
    </w:p>
    <w:p w14:paraId="5E1773A8" w14:textId="77777777" w:rsidR="00F849A7" w:rsidRPr="00D9348B" w:rsidRDefault="00F849A7" w:rsidP="00F849A7">
      <w:pPr>
        <w:spacing w:before="60" w:after="60"/>
        <w:ind w:left="993" w:hanging="993"/>
        <w:rPr>
          <w:rFonts w:cs="Calibri"/>
        </w:rPr>
      </w:pPr>
      <w:r w:rsidRPr="00D9348B">
        <w:rPr>
          <w:rFonts w:cs="Calibri"/>
        </w:rPr>
        <w:tab/>
        <w:t>ME</w:t>
      </w:r>
      <w:r w:rsidRPr="00D9348B">
        <w:rPr>
          <w:rFonts w:cs="Calibri"/>
          <w:vertAlign w:val="subscript"/>
        </w:rPr>
        <w:t>TOTAL</w:t>
      </w:r>
      <w:r w:rsidRPr="00D9348B">
        <w:rPr>
          <w:rFonts w:cs="Calibri"/>
        </w:rPr>
        <w:t xml:space="preserve"> is the total metabolisable energy requirement of the animal (kJ), and</w:t>
      </w:r>
    </w:p>
    <w:p w14:paraId="44BCD537" w14:textId="77777777" w:rsidR="00F849A7" w:rsidRPr="00D9348B" w:rsidRDefault="00F849A7" w:rsidP="00F849A7">
      <w:pPr>
        <w:spacing w:before="60" w:after="120"/>
        <w:ind w:left="993" w:hanging="993"/>
        <w:rPr>
          <w:rFonts w:cs="Calibri"/>
        </w:rPr>
      </w:pPr>
      <w:r w:rsidRPr="00D9348B">
        <w:rPr>
          <w:rFonts w:cs="Calibri"/>
        </w:rPr>
        <w:tab/>
        <w:t>E is the energy concentration in the feed (kJ/kg dry matter).</w:t>
      </w:r>
    </w:p>
    <w:p w14:paraId="1B4C6903" w14:textId="77777777" w:rsidR="00F849A7" w:rsidRPr="00D9348B" w:rsidRDefault="00F849A7" w:rsidP="00F849A7">
      <w:pPr>
        <w:pStyle w:val="Heading5"/>
        <w:spacing w:before="200"/>
        <w:rPr>
          <w:rFonts w:cs="Calibri"/>
        </w:rPr>
      </w:pPr>
      <w:r w:rsidRPr="00D9348B">
        <w:rPr>
          <w:rFonts w:cs="Calibri"/>
        </w:rPr>
        <w:t>Calculating metabolisable energy requirements (ME</w:t>
      </w:r>
      <w:r w:rsidRPr="00D9348B">
        <w:rPr>
          <w:rFonts w:cs="Calibri"/>
          <w:vertAlign w:val="subscript"/>
        </w:rPr>
        <w:t>TOTAL</w:t>
      </w:r>
      <w:r w:rsidRPr="00D9348B">
        <w:rPr>
          <w:rFonts w:cs="Calibri"/>
        </w:rPr>
        <w:t xml:space="preserve">) </w:t>
      </w:r>
    </w:p>
    <w:p w14:paraId="5D655D3F" w14:textId="77777777" w:rsidR="00F849A7" w:rsidRPr="00D9348B" w:rsidRDefault="00F849A7" w:rsidP="00F849A7">
      <w:pPr>
        <w:pStyle w:val="BodyText"/>
        <w:rPr>
          <w:rFonts w:cs="Calibri"/>
        </w:rPr>
      </w:pPr>
      <w:r w:rsidRPr="00D9348B">
        <w:rPr>
          <w:rFonts w:cs="Calibri"/>
        </w:rPr>
        <w:t xml:space="preserve">For dairy cattle, non-dairy cattle and sheep, the approach for calculating the total ME requirement was developed in Australia by the Commonwealth Scientific and Industrial Research Organisation (CSIRO, 1990). These algorithms have been chosen because they specifically include methods to estimate the energy requirements of grazing ruminants, which is the predominant feeding method used in New Zealand. All calculations are performed on a monthly basis. The equation below is derived from the general equation used in the Australian feeding standards and adjusted to suit New Zealand conditions. </w:t>
      </w:r>
    </w:p>
    <w:p w14:paraId="14B72CD4" w14:textId="77777777" w:rsidR="00F849A7" w:rsidRPr="00D9348B" w:rsidRDefault="00F849A7" w:rsidP="00F849A7">
      <w:pPr>
        <w:pStyle w:val="BodyText"/>
        <w:keepNext/>
        <w:rPr>
          <w:rFonts w:cs="Calibri"/>
        </w:rPr>
      </w:pPr>
      <w:r w:rsidRPr="00D9348B">
        <w:rPr>
          <w:rFonts w:cs="Calibri"/>
        </w:rPr>
        <w:lastRenderedPageBreak/>
        <w:t>The total energy required is made up of:</w:t>
      </w:r>
    </w:p>
    <w:p w14:paraId="523F8CEB" w14:textId="77777777" w:rsidR="00F849A7" w:rsidRPr="00D9348B" w:rsidRDefault="00F849A7" w:rsidP="00771A8F">
      <w:pPr>
        <w:pStyle w:val="Bullet"/>
        <w:numPr>
          <w:ilvl w:val="0"/>
          <w:numId w:val="20"/>
        </w:numPr>
        <w:rPr>
          <w:rFonts w:cs="Calibri"/>
        </w:rPr>
      </w:pPr>
      <w:r w:rsidRPr="00D9348B">
        <w:rPr>
          <w:rFonts w:cs="Calibri"/>
        </w:rPr>
        <w:t>energy required to maintain animal weight, which is a function of the animal’s liveweight, gender, breed and stage of maturity (ME</w:t>
      </w:r>
      <w:r w:rsidRPr="00D9348B">
        <w:rPr>
          <w:rFonts w:cs="Calibri"/>
          <w:vertAlign w:val="subscript"/>
        </w:rPr>
        <w:t>BASAL</w:t>
      </w:r>
      <w:r w:rsidRPr="00D9348B">
        <w:rPr>
          <w:rFonts w:cs="Calibri"/>
        </w:rPr>
        <w:t>)</w:t>
      </w:r>
    </w:p>
    <w:p w14:paraId="6B0DED48" w14:textId="77777777" w:rsidR="00F849A7" w:rsidRPr="00D9348B" w:rsidRDefault="00F849A7" w:rsidP="00771A8F">
      <w:pPr>
        <w:pStyle w:val="Bullet"/>
        <w:numPr>
          <w:ilvl w:val="0"/>
          <w:numId w:val="20"/>
        </w:numPr>
        <w:rPr>
          <w:rFonts w:cs="Calibri"/>
        </w:rPr>
      </w:pPr>
      <w:r w:rsidRPr="00D9348B">
        <w:rPr>
          <w:rFonts w:cs="Calibri"/>
        </w:rPr>
        <w:t xml:space="preserve">energy required for the given level of productivity (milk yield and liveweight gain for dairy and beef production respectively) and physiological state (e.g., pregnant or lactating) </w:t>
      </w:r>
    </w:p>
    <w:p w14:paraId="1054E22A" w14:textId="77777777" w:rsidR="00F849A7" w:rsidRPr="00D9348B" w:rsidRDefault="00F849A7" w:rsidP="00771A8F">
      <w:pPr>
        <w:pStyle w:val="Bullet"/>
        <w:numPr>
          <w:ilvl w:val="0"/>
          <w:numId w:val="20"/>
        </w:numPr>
        <w:rPr>
          <w:rFonts w:cs="Calibri"/>
        </w:rPr>
      </w:pPr>
      <w:proofErr w:type="gramStart"/>
      <w:r w:rsidRPr="00D9348B">
        <w:rPr>
          <w:rFonts w:cs="Calibri"/>
        </w:rPr>
        <w:t>the</w:t>
      </w:r>
      <w:proofErr w:type="gramEnd"/>
      <w:r w:rsidRPr="00D9348B">
        <w:rPr>
          <w:rFonts w:cs="Calibri"/>
        </w:rPr>
        <w:t xml:space="preserve"> additional amount of energy expended during grazing, compared with similar housed animals (ME</w:t>
      </w:r>
      <w:r w:rsidRPr="00D9348B">
        <w:rPr>
          <w:rFonts w:cs="Calibri"/>
          <w:vertAlign w:val="subscript"/>
        </w:rPr>
        <w:t>GRAZE</w:t>
      </w:r>
      <w:r w:rsidRPr="00D9348B">
        <w:rPr>
          <w:rFonts w:cs="Calibri"/>
        </w:rPr>
        <w:t xml:space="preserve">). </w:t>
      </w:r>
    </w:p>
    <w:p w14:paraId="2375143D" w14:textId="5FEE986C" w:rsidR="00F849A7" w:rsidRPr="00D9348B" w:rsidRDefault="007165CF" w:rsidP="00F849A7">
      <w:pPr>
        <w:spacing w:before="60" w:after="120"/>
        <w:jc w:val="center"/>
        <w:rPr>
          <w:rFonts w:cs="Calibri"/>
        </w:rPr>
      </w:pPr>
      <w:r>
        <w:pict w14:anchorId="0C597BC9">
          <v:shape id="_x0000_i1077" type="#_x0000_t75" style="width:235.4pt;height:1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activeWritingStyle w:lang=&quot;EN-NZ&quot; w:vendorID=&quot;64&quot; w:dllVersion=&quot;6&quot; w:nlCheck=&quot;on&quot; w:optionSet=&quot;1&quot;/&gt;&lt;w:stylePaneFormatFilter w:val=&quot;5804&quot;/&gt;&lt;w:revisionView w:markup=&quot;off&quot;/&gt;&lt;w:defaultTabStop w:val=&quot;397&quot;/&gt;&lt;w:evenAndOddHeaders/&gt;&lt;w:drawingGridHorizontalSpacing w:val=&quot;187&quot;/&gt;&lt;w:displayVerticalDrawingGridEvery w:val=&quot;2&quot;/&gt;&lt;w:characterSpacingControl w:val=&quot;DontCompress&quot;/&gt;&lt;w:optimizeForBrowser/&gt;&lt;w:validateAgainstSchema/&gt;&lt;w:saveInvalidXML w:val=&quot;off&quot;/&gt;&lt;w:ignoreMixedContent w:val=&quot;off&quot;/&gt;&lt;w:alwaysShowPlaceholderText w:val=&quot;off&quot;/&gt;&lt;w:compat&gt;&lt;w:suppressBottomSpacing/&gt;&lt;w:suppressTopSpacing/&gt;&lt;w:doNotUseHTMLParagraphAutoSpacing/&gt;&lt;w:breakWrappedTables/&gt;&lt;w:snapToGridInCell/&gt;&lt;w:wrapTextWithPunct/&gt;&lt;w:useAsianBreakRules/&gt;&lt;w:useWord2002TableStyleRules/&gt;&lt;/w:compat&gt;&lt;wsp:rsids&gt;&lt;wsp:rsidRoot wsp:val=&quot;007A30E8&quot;/&gt;&lt;wsp:rsid wsp:val=&quot;00001716&quot;/&gt;&lt;wsp:rsid wsp:val=&quot;00007ABB&quot;/&gt;&lt;wsp:rsid wsp:val=&quot;00021ACF&quot;/&gt;&lt;wsp:rsid wsp:val=&quot;00027E55&quot;/&gt;&lt;wsp:rsid wsp:val=&quot;00032A28&quot;/&gt;&lt;wsp:rsid wsp:val=&quot;00035185&quot;/&gt;&lt;wsp:rsid wsp:val=&quot;00050008&quot;/&gt;&lt;wsp:rsid wsp:val=&quot;000576EC&quot;/&gt;&lt;wsp:rsid wsp:val=&quot;00082902&quot;/&gt;&lt;wsp:rsid wsp:val=&quot;000959CB&quot;/&gt;&lt;wsp:rsid wsp:val=&quot;000C20A6&quot;/&gt;&lt;wsp:rsid wsp:val=&quot;000F4DEF&quot;/&gt;&lt;wsp:rsid wsp:val=&quot;00103A70&quot;/&gt;&lt;wsp:rsid wsp:val=&quot;00116E1B&quot;/&gt;&lt;wsp:rsid wsp:val=&quot;001221C3&quot;/&gt;&lt;wsp:rsid wsp:val=&quot;00153F5A&quot;/&gt;&lt;wsp:rsid wsp:val=&quot;00180C1C&quot;/&gt;&lt;wsp:rsid wsp:val=&quot;001970E1&quot;/&gt;&lt;wsp:rsid wsp:val=&quot;001A1997&quot;/&gt;&lt;wsp:rsid wsp:val=&quot;001B6FD2&quot;/&gt;&lt;wsp:rsid wsp:val=&quot;001D4675&quot;/&gt;&lt;wsp:rsid wsp:val=&quot;001E584F&quot;/&gt;&lt;wsp:rsid wsp:val=&quot;00207ABF&quot;/&gt;&lt;wsp:rsid wsp:val=&quot;002253F5&quot;/&gt;&lt;wsp:rsid wsp:val=&quot;00240B42&quot;/&gt;&lt;wsp:rsid wsp:val=&quot;00260B48&quot;/&gt;&lt;wsp:rsid wsp:val=&quot;00276A11&quot;/&gt;&lt;wsp:rsid wsp:val=&quot;0028581A&quot;/&gt;&lt;wsp:rsid wsp:val=&quot;002868D3&quot;/&gt;&lt;wsp:rsid wsp:val=&quot;00295B2A&quot;/&gt;&lt;wsp:rsid wsp:val=&quot;002A1361&quot;/&gt;&lt;wsp:rsid wsp:val=&quot;002A49D7&quot;/&gt;&lt;wsp:rsid wsp:val=&quot;002B1C5A&quot;/&gt;&lt;wsp:rsid wsp:val=&quot;002B3284&quot;/&gt;&lt;wsp:rsid wsp:val=&quot;002B3633&quot;/&gt;&lt;wsp:rsid wsp:val=&quot;002D60DB&quot;/&gt;&lt;wsp:rsid wsp:val=&quot;002D6A54&quot;/&gt;&lt;wsp:rsid wsp:val=&quot;002F134A&quot;/&gt;&lt;wsp:rsid wsp:val=&quot;00302D84&quot;/&gt;&lt;wsp:rsid wsp:val=&quot;00315760&quot;/&gt;&lt;wsp:rsid wsp:val=&quot;0032349D&quot;/&gt;&lt;wsp:rsid wsp:val=&quot;00330809&quot;/&gt;&lt;wsp:rsid wsp:val=&quot;0037590E&quot;/&gt;&lt;wsp:rsid wsp:val=&quot;00377186&quot;/&gt;&lt;wsp:rsid wsp:val=&quot;00383207&quot;/&gt;&lt;wsp:rsid wsp:val=&quot;003972EF&quot;/&gt;&lt;wsp:rsid wsp:val=&quot;00397D2B&quot;/&gt;&lt;wsp:rsid wsp:val=&quot;003A5006&quot;/&gt;&lt;wsp:rsid wsp:val=&quot;003C2615&quot;/&gt;&lt;wsp:rsid wsp:val=&quot;003D0318&quot;/&gt;&lt;wsp:rsid wsp:val=&quot;003D5417&quot;/&gt;&lt;wsp:rsid wsp:val=&quot;00400F92&quot;/&gt;&lt;wsp:rsid wsp:val=&quot;004044F1&quot;/&gt;&lt;wsp:rsid wsp:val=&quot;0042424B&quot;/&gt;&lt;wsp:rsid wsp:val=&quot;00430D5D&quot;/&gt;&lt;wsp:rsid wsp:val=&quot;00444336&quot;/&gt;&lt;wsp:rsid wsp:val=&quot;00455788&quot;/&gt;&lt;wsp:rsid wsp:val=&quot;0045652C&quot;/&gt;&lt;wsp:rsid wsp:val=&quot;00462497&quot;/&gt;&lt;wsp:rsid wsp:val=&quot;004805A3&quot;/&gt;&lt;wsp:rsid wsp:val=&quot;00490EB0&quot;/&gt;&lt;wsp:rsid wsp:val=&quot;004A39F8&quot;/&gt;&lt;wsp:rsid wsp:val=&quot;004A618E&quot;/&gt;&lt;wsp:rsid wsp:val=&quot;004E4B2C&quot;/&gt;&lt;wsp:rsid wsp:val=&quot;004F1572&quot;/&gt;&lt;wsp:rsid wsp:val=&quot;0052105D&quot;/&gt;&lt;wsp:rsid wsp:val=&quot;00526270&quot;/&gt;&lt;wsp:rsid wsp:val=&quot;00534210&quot;/&gt;&lt;wsp:rsid wsp:val=&quot;00543478&quot;/&gt;&lt;wsp:rsid wsp:val=&quot;00545600&quot;/&gt;&lt;wsp:rsid wsp:val=&quot;00546A6A&quot;/&gt;&lt;wsp:rsid wsp:val=&quot;00562240&quot;/&gt;&lt;wsp:rsid wsp:val=&quot;005630B0&quot;/&gt;&lt;wsp:rsid wsp:val=&quot;005660CD&quot;/&gt;&lt;wsp:rsid wsp:val=&quot;005720F2&quot;/&gt;&lt;wsp:rsid wsp:val=&quot;005812D6&quot;/&gt;&lt;wsp:rsid wsp:val=&quot;00596603&quot;/&gt;&lt;wsp:rsid wsp:val=&quot;005B76A4&quot;/&gt;&lt;wsp:rsid wsp:val=&quot;005C3384&quot;/&gt;&lt;wsp:rsid wsp:val=&quot;005C416E&quot;/&gt;&lt;wsp:rsid wsp:val=&quot;005D1C3A&quot;/&gt;&lt;wsp:rsid wsp:val=&quot;005E43DD&quot;/&gt;&lt;wsp:rsid wsp:val=&quot;005E77C4&quot;/&gt;&lt;wsp:rsid wsp:val=&quot;00600179&quot;/&gt;&lt;wsp:rsid wsp:val=&quot;00603FC0&quot;/&gt;&lt;wsp:rsid wsp:val=&quot;006167DD&quot;/&gt;&lt;wsp:rsid wsp:val=&quot;00636BF0&quot;/&gt;&lt;wsp:rsid wsp:val=&quot;00646B6D&quot;/&gt;&lt;wsp:rsid wsp:val=&quot;00655908&quot;/&gt;&lt;wsp:rsid wsp:val=&quot;006654F8&quot;/&gt;&lt;wsp:rsid wsp:val=&quot;00665768&quot;/&gt;&lt;wsp:rsid wsp:val=&quot;00667291&quot;/&gt;&lt;wsp:rsid wsp:val=&quot;00686249&quot;/&gt;&lt;wsp:rsid wsp:val=&quot;00687504&quot;/&gt;&lt;wsp:rsid wsp:val=&quot;00691AFF&quot;/&gt;&lt;wsp:rsid wsp:val=&quot;006A171F&quot;/&gt;&lt;wsp:rsid wsp:val=&quot;006A4209&quot;/&gt;&lt;wsp:rsid wsp:val=&quot;006A4E5F&quot;/&gt;&lt;wsp:rsid wsp:val=&quot;006D2536&quot;/&gt;&lt;wsp:rsid wsp:val=&quot;006D3FAE&quot;/&gt;&lt;wsp:rsid wsp:val=&quot;006D4600&quot;/&gt;&lt;wsp:rsid wsp:val=&quot;006E0A2C&quot;/&gt;&lt;wsp:rsid wsp:val=&quot;006E202B&quot;/&gt;&lt;wsp:rsid wsp:val=&quot;006E57B5&quot;/&gt;&lt;wsp:rsid wsp:val=&quot;00702FA0&quot;/&gt;&lt;wsp:rsid wsp:val=&quot;00715D39&quot;/&gt;&lt;wsp:rsid wsp:val=&quot;00724218&quot;/&gt;&lt;wsp:rsid wsp:val=&quot;00737E65&quot;/&gt;&lt;wsp:rsid wsp:val=&quot;0074030A&quot;/&gt;&lt;wsp:rsid wsp:val=&quot;007409A3&quot;/&gt;&lt;wsp:rsid wsp:val=&quot;007575A8&quot;/&gt;&lt;wsp:rsid wsp:val=&quot;00762043&quot;/&gt;&lt;wsp:rsid wsp:val=&quot;007633C2&quot;/&gt;&lt;wsp:rsid wsp:val=&quot;00765A47&quot;/&gt;&lt;wsp:rsid wsp:val=&quot;00770E82&quot;/&gt;&lt;wsp:rsid wsp:val=&quot;00772E94&quot;/&gt;&lt;wsp:rsid wsp:val=&quot;007A30E8&quot;/&gt;&lt;wsp:rsid wsp:val=&quot;007A5E1C&quot;/&gt;&lt;wsp:rsid wsp:val=&quot;007B028B&quot;/&gt;&lt;wsp:rsid wsp:val=&quot;007B1D71&quot;/&gt;&lt;wsp:rsid wsp:val=&quot;007C00D0&quot;/&gt;&lt;wsp:rsid wsp:val=&quot;007C2186&quot;/&gt;&lt;wsp:rsid wsp:val=&quot;007F2233&quot;/&gt;&lt;wsp:rsid wsp:val=&quot;008053BA&quot;/&gt;&lt;wsp:rsid wsp:val=&quot;0080694B&quot;/&gt;&lt;wsp:rsid wsp:val=&quot;00810AB6&quot;/&gt;&lt;wsp:rsid wsp:val=&quot;0081779C&quot;/&gt;&lt;wsp:rsid wsp:val=&quot;00831D0D&quot;/&gt;&lt;wsp:rsid wsp:val=&quot;00832DEE&quot;/&gt;&lt;wsp:rsid wsp:val=&quot;00835B98&quot;/&gt;&lt;wsp:rsid wsp:val=&quot;00840713&quot;/&gt;&lt;wsp:rsid wsp:val=&quot;00854B9D&quot;/&gt;&lt;wsp:rsid wsp:val=&quot;00855A8A&quot;/&gt;&lt;wsp:rsid wsp:val=&quot;00872795&quot;/&gt;&lt;wsp:rsid wsp:val=&quot;008936D4&quot;/&gt;&lt;wsp:rsid wsp:val=&quot;008A2EC5&quot;/&gt;&lt;wsp:rsid wsp:val=&quot;008B77F5&quot;/&gt;&lt;wsp:rsid wsp:val=&quot;008C0279&quot;/&gt;&lt;wsp:rsid wsp:val=&quot;008C7C6D&quot;/&gt;&lt;wsp:rsid wsp:val=&quot;008C7F68&quot;/&gt;&lt;wsp:rsid wsp:val=&quot;008E380C&quot;/&gt;&lt;wsp:rsid wsp:val=&quot;008E405A&quot;/&gt;&lt;wsp:rsid wsp:val=&quot;008F25D2&quot;/&gt;&lt;wsp:rsid wsp:val=&quot;008F50EC&quot;/&gt;&lt;wsp:rsid wsp:val=&quot;008F587A&quot;/&gt;&lt;wsp:rsid wsp:val=&quot;009134CA&quot;/&gt;&lt;wsp:rsid wsp:val=&quot;00914CC6&quot;/&gt;&lt;wsp:rsid wsp:val=&quot;00925AA2&quot;/&gt;&lt;wsp:rsid wsp:val=&quot;0092751F&quot;/&gt;&lt;wsp:rsid wsp:val=&quot;00932067&quot;/&gt;&lt;wsp:rsid wsp:val=&quot;0093594A&quot;/&gt;&lt;wsp:rsid wsp:val=&quot;00955D73&quot;/&gt;&lt;wsp:rsid wsp:val=&quot;0096512C&quot;/&gt;&lt;wsp:rsid wsp:val=&quot;0096540A&quot;/&gt;&lt;wsp:rsid wsp:val=&quot;009C0F3A&quot;/&gt;&lt;wsp:rsid wsp:val=&quot;009C5D2A&quot;/&gt;&lt;wsp:rsid wsp:val=&quot;00A02252&quot;/&gt;&lt;wsp:rsid wsp:val=&quot;00A06700&quot;/&gt;&lt;wsp:rsid wsp:val=&quot;00A331E7&quot;/&gt;&lt;wsp:rsid wsp:val=&quot;00A34169&quot;/&gt;&lt;wsp:rsid wsp:val=&quot;00A41C3C&quot;/&gt;&lt;wsp:rsid wsp:val=&quot;00A76984&quot;/&gt;&lt;wsp:rsid wsp:val=&quot;00AA0A87&quot;/&gt;&lt;wsp:rsid wsp:val=&quot;00AA7B1E&quot;/&gt;&lt;wsp:rsid wsp:val=&quot;00AB2710&quot;/&gt;&lt;wsp:rsid wsp:val=&quot;00AD184B&quot;/&gt;&lt;wsp:rsid wsp:val=&quot;00B0566D&quot;/&gt;&lt;wsp:rsid wsp:val=&quot;00B35BD9&quot;/&gt;&lt;wsp:rsid wsp:val=&quot;00B37DE8&quot;/&gt;&lt;wsp:rsid wsp:val=&quot;00B44BA5&quot;/&gt;&lt;wsp:rsid wsp:val=&quot;00B84125&quot;/&gt;&lt;wsp:rsid wsp:val=&quot;00B928E7&quot;/&gt;&lt;wsp:rsid wsp:val=&quot;00BA5F7E&quot;/&gt;&lt;wsp:rsid wsp:val=&quot;00BB7F2F&quot;/&gt;&lt;wsp:rsid wsp:val=&quot;00BC7E76&quot;/&gt;&lt;wsp:rsid wsp:val=&quot;00BE472F&quot;/&gt;&lt;wsp:rsid wsp:val=&quot;00BE5513&quot;/&gt;&lt;wsp:rsid wsp:val=&quot;00BF12F6&quot;/&gt;&lt;wsp:rsid wsp:val=&quot;00C00765&quot;/&gt;&lt;wsp:rsid wsp:val=&quot;00C10464&quot;/&gt;&lt;wsp:rsid wsp:val=&quot;00C119C2&quot;/&gt;&lt;wsp:rsid wsp:val=&quot;00C21B54&quot;/&gt;&lt;wsp:rsid wsp:val=&quot;00C27E02&quot;/&gt;&lt;wsp:rsid wsp:val=&quot;00C40967&quot;/&gt;&lt;wsp:rsid wsp:val=&quot;00C42C64&quot;/&gt;&lt;wsp:rsid wsp:val=&quot;00C4400C&quot;/&gt;&lt;wsp:rsid wsp:val=&quot;00C600E2&quot;/&gt;&lt;wsp:rsid wsp:val=&quot;00C63D43&quot;/&gt;&lt;wsp:rsid wsp:val=&quot;00C74134&quot;/&gt;&lt;wsp:rsid wsp:val=&quot;00C823B1&quot;/&gt;&lt;wsp:rsid wsp:val=&quot;00C93D19&quot;/&gt;&lt;wsp:rsid wsp:val=&quot;00CA271E&quot;/&gt;&lt;wsp:rsid wsp:val=&quot;00CB1488&quot;/&gt;&lt;wsp:rsid wsp:val=&quot;00CB7414&quot;/&gt;&lt;wsp:rsid wsp:val=&quot;00CE19C1&quot;/&gt;&lt;wsp:rsid wsp:val=&quot;00D01CFE&quot;/&gt;&lt;wsp:rsid wsp:val=&quot;00D07C4B&quot;/&gt;&lt;wsp:rsid wsp:val=&quot;00D225D8&quot;/&gt;&lt;wsp:rsid wsp:val=&quot;00D30983&quot;/&gt;&lt;wsp:rsid wsp:val=&quot;00D33A2E&quot;/&gt;&lt;wsp:rsid wsp:val=&quot;00D34954&quot;/&gt;&lt;wsp:rsid wsp:val=&quot;00D511A1&quot;/&gt;&lt;wsp:rsid wsp:val=&quot;00D56CF9&quot;/&gt;&lt;wsp:rsid wsp:val=&quot;00D608D5&quot;/&gt;&lt;wsp:rsid wsp:val=&quot;00D651CA&quot;/&gt;&lt;wsp:rsid wsp:val=&quot;00D872BF&quot;/&gt;&lt;wsp:rsid wsp:val=&quot;00DA4C87&quot;/&gt;&lt;wsp:rsid wsp:val=&quot;00DB5613&quot;/&gt;&lt;wsp:rsid wsp:val=&quot;00DE01F6&quot;/&gt;&lt;wsp:rsid wsp:val=&quot;00DE1FAA&quot;/&gt;&lt;wsp:rsid wsp:val=&quot;00DE2998&quot;/&gt;&lt;wsp:rsid wsp:val=&quot;00DE4223&quot;/&gt;&lt;wsp:rsid wsp:val=&quot;00DE6B60&quot;/&gt;&lt;wsp:rsid wsp:val=&quot;00DF1B90&quot;/&gt;&lt;wsp:rsid wsp:val=&quot;00E06D10&quot;/&gt;&lt;wsp:rsid wsp:val=&quot;00E20138&quot;/&gt;&lt;wsp:rsid wsp:val=&quot;00E20458&quot;/&gt;&lt;wsp:rsid wsp:val=&quot;00E55420&quot;/&gt;&lt;wsp:rsid wsp:val=&quot;00E56487&quot;/&gt;&lt;wsp:rsid wsp:val=&quot;00E81646&quot;/&gt;&lt;wsp:rsid wsp:val=&quot;00E853F3&quot;/&gt;&lt;wsp:rsid wsp:val=&quot;00EC2491&quot;/&gt;&lt;wsp:rsid wsp:val=&quot;00ED2C42&quot;/&gt;&lt;wsp:rsid wsp:val=&quot;00EF3B2B&quot;/&gt;&lt;wsp:rsid wsp:val=&quot;00F00EE9&quot;/&gt;&lt;wsp:rsid wsp:val=&quot;00F379DD&quot;/&gt;&lt;wsp:rsid wsp:val=&quot;00F44640&quot;/&gt;&lt;wsp:rsid wsp:val=&quot;00F47244&quot;/&gt;&lt;wsp:rsid wsp:val=&quot;00F511A7&quot;/&gt;&lt;wsp:rsid wsp:val=&quot;00F660F9&quot;/&gt;&lt;wsp:rsid wsp:val=&quot;00F849A7&quot;/&gt;&lt;wsp:rsid wsp:val=&quot;00FA5F45&quot;/&gt;&lt;wsp:rsid wsp:val=&quot;00FA7522&quot;/&gt;&lt;wsp:rsid wsp:val=&quot;00FB1C4E&quot;/&gt;&lt;wsp:rsid wsp:val=&quot;00FB2D36&quot;/&gt;&lt;wsp:rsid wsp:val=&quot;00FB71DC&quot;/&gt;&lt;wsp:rsid wsp:val=&quot;00FC2C59&quot;/&gt;&lt;wsp:rsid wsp:val=&quot;00FD178C&quot;/&gt;&lt;/wsp:rsids&gt;&lt;/w:docPr&gt;&lt;w:body&gt;&lt;wx:sect&gt;&lt;w:p wsp:rsidR=&quot;00000000&quot; wsp:rsidRPr=&quot;00FB1C4E&quot; wsp:rsidRDefault=&quot;00FB1C4E&quot; wsp:rsidP=&quot;00FB1C4E&quot;&gt;&lt;m:oMathPara&gt;&lt;m:oMath&gt;&lt;m:r&gt;&lt;w:rPr&gt;&lt;w:rFonts w:ascii=&quot;Cambria Math&quot; w:h-ansi=&quot;Cambria Math&quot; w:cs=&quot;Calibri&quot;/&gt;&lt;wx:font wx:val=&quot;Cambria Math&quot;/&gt;&lt;w:i/&gt;&lt;/w:rPr&gt;&lt;m:t&gt;M&lt;/m:t&gt;&lt;/m:r&gt;&lt;m:sSub&gt;&lt;m:sSubPr&gt;&lt;m:ctrlPr&gt;&lt;w:rPr&gt;&lt;w:rFonts w:ascii=&quot;Cambria Math&quot; w:h-ansi=&quot;Cambria Math&quot; w:cs=&quot;Calibri&quot;/&gt;&lt;wx:font wx:val=&quot;Cambria Math&quot;/&gt;&lt;/w:rPr&gt;&lt;/m:ctrlPr&gt;&lt;/m:sSubPr&gt;&lt;m:e&gt;&lt;m:r&gt;&lt;w:rPr&gt;&lt;w:rFonts w:ascii=&quot;Cambria Math&quot; w:h-ansi=&quot;Cambria Math&quot; w:cs=&quot;Calibri&quot;/&gt;&lt;wx:font wx:val=&quot;Cambria Math&quot;/&gt;&lt;w:i/&gt;&lt;/w:rPr&gt;&lt;m:t&gt;E&lt;/m:t&gt;&lt;/m:r&gt;&lt;/m:e&gt;&lt;m:sub&gt;&lt;m:r&gt;&lt;w:rPr&gt;&lt;w:rFonts w:ascii=&quot;Cambria Math&quot; w:h-ansi=&quot;Cambria Math&quot; w:cs=&quot;Calibri&quot;/&gt;&lt;wx:font wx:val=&quot;Cambria Math&quot;/&gt;&lt;w:i/&gt;&lt;/w:rPr&gt;&lt;m:t&gt;TOTAL&lt;/m:t&gt;&lt;/m:r&gt;&lt;/m:sub&gt;&lt;/m:sSub&gt;&lt;m:r&gt;&lt;m:rPr&gt;&lt;m:sty m:val=&quot;p&quot;/&gt;&lt;/m:rPr&gt;&lt;w:rPr&gt;&lt;w:rFonts w:ascii=&quot;Cambria Math&quot; w:h-ansi=&quot;Cambria Math&quot; w:cs=&quot;Calibri&quot;/&gt;&lt;wx:font wx:val=&quot;Cambria Math&quot;/&gt;&lt;/w:rPr&gt;&lt;m:t&gt;=&lt;/m:t&gt;&lt;/m:r&gt;&lt;m:sSub&gt;&lt;m:sSubPr&gt;&lt;m:ctrlPr&gt;&lt;w:rPr&gt;&lt;w:rFonts w:ascii=&quot;Cambria Math&quot; w:h-ansi=&quot;Cambria Math&quot; w:cs=&quot;Calibri&quot;/&gt;&lt;wx:font wx:val=&quot;Cambria Math&quot;/&gt;&lt;/w:rPr&gt;&lt;/m:ctrlPr&gt;&lt;/m:sSubPr&gt;&lt;m:e&gt;&lt;m:r&gt;&lt;w:rPr&gt;&lt;w:rFonts w:ascii=&quot;Cambria Math&quot; w:h-ansi=&quot;Cambria Math&quot; w:cs=&quot;Calibri&quot;/&gt;&lt;wx:font wx:val=&quot;Cambria Math&quot;/&gt;&lt;w:i/&gt;&lt;/w:rPr&gt;&lt;m:t&gt;ME&lt;/m:t&gt;&lt;/m:r&gt;&lt;/m:e&gt;&lt;m:sub&gt;&lt;m:r&gt;&lt;w:rPr&gt;&lt;w:rFonts w:ascii=&quot;Cambria Math&quot; w:h-ansi=&quot;Cambria Math&quot; w:cs=&quot;Calibri&quot;/&gt;&lt;wx:font wx:val=&quot;Cambria Math&quot;/&gt;&lt;w:i/&gt;&lt;/w:rPr&gt;&lt;m:t&gt;BASAL&lt;/m:t&gt;&lt;/m:r&gt;&lt;/m:sub&gt;&lt;/m:sSub&gt;&lt;m:r&gt;&lt;m:rPr&gt;&lt;m:sty m:val=&quot;p&quot;/&gt;&lt;/m:rPr&gt;&lt;w:rPr&gt;&lt;w:rFonts w:ascii=&quot;Cambria Math&quot; w:h-ansi=&quot;Cambria Math&quot; w:cs=&quot;Calibri&quot;/&gt;&lt;wx:font wx:val=&quot;Cambria Math&quot;/&gt;&lt;/w:rPr&gt;&lt;m:t&gt;+1.1&lt;/m:t&gt;&lt;/m:r&gt;&lt;m:sSub&gt;&lt;m:sSubPr&gt;&lt;m:ctrlPr&gt;&lt;w:rPr&gt;&lt;w:rFonts w:ascii=&quot;Cambria Math&quot; w:h-ansi=&quot;Cambria Math&quot; w:cs=&quot;Calibri&quot;/&gt;&lt;wx:font wx:val=&quot;Cambria Math&quot;/&gt;&lt;/w:rPr&gt;&lt;/m:ctrlPr&gt;&lt;/m:sSubPr&gt;&lt;m:e&gt;&lt;m:r&gt;&lt;w:rPr&gt;&lt;w:rFonts w:ascii=&quot;Cambria Math&quot; w:h-ansi=&quot;Cambria Math&quot; w:cs=&quot;Calibri&quot;/&gt;&lt;wx:font wx:val=&quot;Cambria Math&quot;/&gt;&lt;w:i/&gt;&lt;/w:rPr&gt;&lt;m:t&gt;ME&lt;/m:t&gt;&lt;/m:r&gt;&lt;/m:e&gt;&lt;m:sub&gt;&lt;m:r&gt;&lt;w:rPr&gt;&lt;w:rFonts w:ascii=&quot;Cambria Math&quot; w:h-ansi=&quot;Cambria Math&quot; w:cs=&quot;Calibri&quot;/&gt;&lt;wx:font wx:val=&quot;Cambria Math&quot;/&gt;&lt;w:i/&gt;&lt;/w:rPr&gt;&lt;m:t&gt;P&lt;/m:t&gt;&lt;/m:r&gt;&lt;/m:sub&gt;&lt;/m:sSub&gt;&lt;m:r&gt;&lt;m:rPr&gt;&lt;m:sty m:val=&quot;p&quot;/&gt;&lt;/m:rPr&gt;&lt;w:rPr&gt;&lt;w:rFonts w:ascii=&quot;Cambria Math&quot; w:h-ansi=&quot;Cambria Math&quot; w:cs=&quot;Calibri&quot;/&gt;&lt;wx:font wx:val=&quot;Cambria Math&quot;/&gt;&lt;/w:rPr&gt;&lt;m:t&gt;+&lt;/m:t&gt;&lt;/m:r&gt;&lt;m:sSub&gt;&lt;m:sSubPr&gt;&lt;m:ctrlPr&gt;&lt;w:rPr&gt;&lt;w:rFonts w:ascii=&quot;Cambria Math&quot; w:h-ansi=&quot;Cambria Math&quot; w:cs=&quot;Calibri&quot;/&gt;&lt;wx:font wx:val=&quot;Cambria Math&quot;/&gt;&lt;/w:rPr&gt;&lt;/m:ctrlPr&gt;&lt;/m:sSubPr&gt;&lt;m:e&gt;&lt;m:r&gt;&lt;w:rPr&gt;&lt;w:rFonts w:ascii=&quot;Cambria Math&quot; w:h-ansi=&quot;Cambria Math&quot; w:cs=&quot;Calibri&quot;/&gt;&lt;wx:font wx:val=&quot;Cambria Math&quot;/&gt;&lt;w:i/&gt;&lt;/w:rPr&gt;&lt;m:t&gt;ME&lt;/m:t&gt;&lt;/m:r&gt;&lt;/m:e&gt;&lt;m:sub&gt;&lt;m:r&gt;&lt;w:rPr&gt;&lt;w:rFonts w:ascii=&quot;Cambria Math&quot; w:h-ansi=&quot;Cambria Math&quot; w:cs=&quot;Calibri&quot;/&gt;&lt;wx:font wx:val=&quot;Cambria Math&quot;/&gt;&lt;w:i/&gt;&lt;/w:rPr&gt;&lt;m:t&gt;GRAZE&lt;/m:t&gt;&lt;/m:r&gt;&lt;/m:sub&gt;&lt;/m:sSub&gt;&lt;m:r&gt;&lt;w:rPr&gt;&lt;w:rFonts w:ascii=&quot;Cambria Math&quot; w:h-ansi=&quot;Cambria Math&quot; w:cs=&quot;Calibri&quot;/&gt;&lt;wx:font wx:val=&quot;Cambria Math&quot;/&gt;&lt;w:i/&gt;&lt;/w:rPr&gt;&lt;m:t&gt;+&lt;/m:t&gt;&lt;/m:r&gt;&lt;m:sSub&gt;&lt;m:sSubPr&gt;&lt;m:ctrlPr&gt;&lt;w:rPr&gt;&lt;w:rFonts w:ascii=&quot;Cambria Math&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ME&lt;/m:t&gt;&lt;/m:r&gt;&lt;/m:e&gt;&lt;m:sub&gt;&lt;m:r&gt;&lt;w:rPr&gt;&lt;w:rFonts w:ascii=&quot;Cambria Math&quot; w:h-ansi=&quot;Cambria Math&quot; w:cs=&quot;Calibri&quot;/&gt;&lt;wx:font wx:val=&quot;Cambria Math&quot;/&gt;&lt;w:i/&gt;&lt;/w:rPr&gt;&lt;m:t&gt;c&lt;/m:t&gt;&lt;/m:r&gt;&lt;/m:sub&gt;&lt;/m:sSub&gt;&lt;/m:oMath&gt;&lt;/m:oMathPara&gt;&lt;/w:p&gt;&lt;w:sectPr wsp:rsidR=&quot;00000000&quot; wsp:rsidRPr=&quot;00FB1C4E&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2" o:title="" chromakey="white"/>
          </v:shape>
        </w:pict>
      </w:r>
    </w:p>
    <w:p w14:paraId="5D963DBA" w14:textId="77777777" w:rsidR="00F849A7" w:rsidRPr="00D9348B" w:rsidRDefault="00F849A7" w:rsidP="00F849A7">
      <w:pPr>
        <w:tabs>
          <w:tab w:val="left" w:pos="993"/>
        </w:tabs>
        <w:spacing w:before="120"/>
        <w:rPr>
          <w:rFonts w:cs="Calibri"/>
        </w:rPr>
      </w:pPr>
      <w:r w:rsidRPr="00D9348B">
        <w:rPr>
          <w:rFonts w:cs="Calibri"/>
        </w:rPr>
        <w:t xml:space="preserve">Where: </w:t>
      </w:r>
      <w:r w:rsidRPr="00D9348B">
        <w:rPr>
          <w:rFonts w:cs="Calibri"/>
        </w:rPr>
        <w:tab/>
        <w:t>ME</w:t>
      </w:r>
      <w:r w:rsidRPr="00D9348B">
        <w:rPr>
          <w:rFonts w:cs="Calibri"/>
          <w:vertAlign w:val="subscript"/>
        </w:rPr>
        <w:t>BASAL</w:t>
      </w:r>
      <w:r w:rsidRPr="00D9348B">
        <w:rPr>
          <w:rFonts w:cs="Calibri"/>
        </w:rPr>
        <w:t xml:space="preserve"> is the energy requirement for maintenance</w:t>
      </w:r>
    </w:p>
    <w:p w14:paraId="67CAF30B" w14:textId="77777777" w:rsidR="00F849A7" w:rsidRPr="00D9348B" w:rsidRDefault="00F849A7" w:rsidP="00F849A7">
      <w:pPr>
        <w:spacing w:before="80"/>
        <w:ind w:left="993" w:hanging="993"/>
        <w:rPr>
          <w:rFonts w:cs="Calibri"/>
        </w:rPr>
      </w:pPr>
      <w:r w:rsidRPr="00D9348B">
        <w:rPr>
          <w:rFonts w:cs="Calibri"/>
        </w:rPr>
        <w:tab/>
        <w:t>ME</w:t>
      </w:r>
      <w:r w:rsidRPr="00D9348B">
        <w:rPr>
          <w:rFonts w:cs="Calibri"/>
          <w:vertAlign w:val="subscript"/>
        </w:rPr>
        <w:t>P</w:t>
      </w:r>
      <w:r w:rsidRPr="00D9348B">
        <w:rPr>
          <w:rFonts w:cs="Calibri"/>
        </w:rPr>
        <w:t xml:space="preserve"> is the energy used directly for production (meat, milk, wool and so on) </w:t>
      </w:r>
    </w:p>
    <w:p w14:paraId="6FDACB1A" w14:textId="77777777" w:rsidR="00F849A7" w:rsidRPr="00D9348B" w:rsidRDefault="00F849A7" w:rsidP="00F849A7">
      <w:pPr>
        <w:tabs>
          <w:tab w:val="left" w:pos="993"/>
        </w:tabs>
        <w:spacing w:before="80"/>
        <w:rPr>
          <w:rFonts w:cs="Calibri"/>
        </w:rPr>
      </w:pPr>
      <w:r w:rsidRPr="00D9348B">
        <w:rPr>
          <w:rFonts w:cs="Calibri"/>
        </w:rPr>
        <w:tab/>
        <w:t>ME</w:t>
      </w:r>
      <w:r w:rsidRPr="00D9348B">
        <w:rPr>
          <w:rFonts w:cs="Calibri"/>
          <w:vertAlign w:val="subscript"/>
        </w:rPr>
        <w:t>GRAZE</w:t>
      </w:r>
      <w:r w:rsidRPr="00D9348B">
        <w:rPr>
          <w:rFonts w:cs="Calibri"/>
        </w:rPr>
        <w:t xml:space="preserve"> is the additional energy required by grazing livestock, and</w:t>
      </w:r>
    </w:p>
    <w:p w14:paraId="37AEAA0B" w14:textId="77777777" w:rsidR="00F849A7" w:rsidRPr="00D9348B" w:rsidRDefault="00F849A7" w:rsidP="00F849A7">
      <w:pPr>
        <w:tabs>
          <w:tab w:val="left" w:pos="993"/>
        </w:tabs>
        <w:spacing w:before="80"/>
        <w:rPr>
          <w:rFonts w:cs="Calibri"/>
        </w:rPr>
      </w:pPr>
      <w:r w:rsidRPr="00D9348B">
        <w:rPr>
          <w:rFonts w:cs="Calibri"/>
        </w:rPr>
        <w:tab/>
        <w:t>ME</w:t>
      </w:r>
      <w:r w:rsidRPr="00D9348B">
        <w:rPr>
          <w:rFonts w:cs="Calibri"/>
          <w:vertAlign w:val="subscript"/>
        </w:rPr>
        <w:t>c</w:t>
      </w:r>
      <w:r w:rsidRPr="00D9348B">
        <w:rPr>
          <w:rFonts w:cs="Calibri"/>
        </w:rPr>
        <w:t xml:space="preserve"> is the energy used for gestation or growth of the conceptus (MJ/d)</w:t>
      </w:r>
    </w:p>
    <w:p w14:paraId="42BE3CBD" w14:textId="77777777" w:rsidR="00F849A7" w:rsidRPr="00D9348B" w:rsidRDefault="00F849A7" w:rsidP="00F849A7">
      <w:pPr>
        <w:tabs>
          <w:tab w:val="left" w:pos="1418"/>
        </w:tabs>
        <w:spacing w:before="120" w:after="60"/>
        <w:rPr>
          <w:rFonts w:cs="Calibri"/>
        </w:rPr>
      </w:pPr>
      <w:r w:rsidRPr="00D9348B">
        <w:rPr>
          <w:rFonts w:cs="Calibri"/>
        </w:rPr>
        <w:t>And:</w:t>
      </w:r>
    </w:p>
    <w:p w14:paraId="172D0936" w14:textId="0AE2D2EF" w:rsidR="00F849A7" w:rsidRPr="00D9348B" w:rsidRDefault="007165CF" w:rsidP="00F849A7">
      <w:pPr>
        <w:tabs>
          <w:tab w:val="left" w:pos="1418"/>
        </w:tabs>
        <w:spacing w:before="60" w:after="60"/>
        <w:jc w:val="center"/>
        <w:rPr>
          <w:rFonts w:cs="Calibri"/>
        </w:rPr>
      </w:pPr>
      <w:r>
        <w:pict w14:anchorId="0CE0106D">
          <v:shape id="_x0000_i1078" type="#_x0000_t75" style="width:328.05pt;height:29.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activeWritingStyle w:lang=&quot;EN-NZ&quot; w:vendorID=&quot;64&quot; w:dllVersion=&quot;6&quot; w:nlCheck=&quot;on&quot; w:optionSet=&quot;1&quot;/&gt;&lt;w:stylePaneFormatFilter w:val=&quot;5804&quot;/&gt;&lt;w:revisionView w:markup=&quot;off&quot;/&gt;&lt;w:defaultTabStop w:val=&quot;397&quot;/&gt;&lt;w:evenAndOddHeaders/&gt;&lt;w:drawingGridHorizontalSpacing w:val=&quot;187&quot;/&gt;&lt;w:displayVerticalDrawingGridEvery w:val=&quot;2&quot;/&gt;&lt;w:characterSpacingControl w:val=&quot;DontCompress&quot;/&gt;&lt;w:optimizeForBrowser/&gt;&lt;w:validateAgainstSchema/&gt;&lt;w:saveInvalidXML w:val=&quot;off&quot;/&gt;&lt;w:ignoreMixedContent w:val=&quot;off&quot;/&gt;&lt;w:alwaysShowPlaceholderText w:val=&quot;off&quot;/&gt;&lt;w:compat&gt;&lt;w:suppressBottomSpacing/&gt;&lt;w:suppressTopSpacing/&gt;&lt;w:doNotUseHTMLParagraphAutoSpacing/&gt;&lt;w:breakWrappedTables/&gt;&lt;w:snapToGridInCell/&gt;&lt;w:wrapTextWithPunct/&gt;&lt;w:useAsianBreakRules/&gt;&lt;w:useWord2002TableStyleRules/&gt;&lt;/w:compat&gt;&lt;wsp:rsids&gt;&lt;wsp:rsidRoot wsp:val=&quot;007A30E8&quot;/&gt;&lt;wsp:rsid wsp:val=&quot;00001716&quot;/&gt;&lt;wsp:rsid wsp:val=&quot;00007ABB&quot;/&gt;&lt;wsp:rsid wsp:val=&quot;00021ACF&quot;/&gt;&lt;wsp:rsid wsp:val=&quot;00027E55&quot;/&gt;&lt;wsp:rsid wsp:val=&quot;00032A28&quot;/&gt;&lt;wsp:rsid wsp:val=&quot;00035185&quot;/&gt;&lt;wsp:rsid wsp:val=&quot;00050008&quot;/&gt;&lt;wsp:rsid wsp:val=&quot;000576EC&quot;/&gt;&lt;wsp:rsid wsp:val=&quot;00082902&quot;/&gt;&lt;wsp:rsid wsp:val=&quot;000959CB&quot;/&gt;&lt;wsp:rsid wsp:val=&quot;000C20A6&quot;/&gt;&lt;wsp:rsid wsp:val=&quot;000F4DEF&quot;/&gt;&lt;wsp:rsid wsp:val=&quot;00103A70&quot;/&gt;&lt;wsp:rsid wsp:val=&quot;00116E1B&quot;/&gt;&lt;wsp:rsid wsp:val=&quot;001221C3&quot;/&gt;&lt;wsp:rsid wsp:val=&quot;00153F5A&quot;/&gt;&lt;wsp:rsid wsp:val=&quot;00180C1C&quot;/&gt;&lt;wsp:rsid wsp:val=&quot;001970E1&quot;/&gt;&lt;wsp:rsid wsp:val=&quot;001A1997&quot;/&gt;&lt;wsp:rsid wsp:val=&quot;001B6FD2&quot;/&gt;&lt;wsp:rsid wsp:val=&quot;001D4675&quot;/&gt;&lt;wsp:rsid wsp:val=&quot;001E584F&quot;/&gt;&lt;wsp:rsid wsp:val=&quot;00207ABF&quot;/&gt;&lt;wsp:rsid wsp:val=&quot;002253F5&quot;/&gt;&lt;wsp:rsid wsp:val=&quot;00240B42&quot;/&gt;&lt;wsp:rsid wsp:val=&quot;00260B48&quot;/&gt;&lt;wsp:rsid wsp:val=&quot;00276A11&quot;/&gt;&lt;wsp:rsid wsp:val=&quot;0028581A&quot;/&gt;&lt;wsp:rsid wsp:val=&quot;002868D3&quot;/&gt;&lt;wsp:rsid wsp:val=&quot;00295B2A&quot;/&gt;&lt;wsp:rsid wsp:val=&quot;002A1361&quot;/&gt;&lt;wsp:rsid wsp:val=&quot;002A49D7&quot;/&gt;&lt;wsp:rsid wsp:val=&quot;002B1C5A&quot;/&gt;&lt;wsp:rsid wsp:val=&quot;002B3284&quot;/&gt;&lt;wsp:rsid wsp:val=&quot;002B3633&quot;/&gt;&lt;wsp:rsid wsp:val=&quot;002D60DB&quot;/&gt;&lt;wsp:rsid wsp:val=&quot;002D6A54&quot;/&gt;&lt;wsp:rsid wsp:val=&quot;002F134A&quot;/&gt;&lt;wsp:rsid wsp:val=&quot;00302D84&quot;/&gt;&lt;wsp:rsid wsp:val=&quot;00315760&quot;/&gt;&lt;wsp:rsid wsp:val=&quot;0032349D&quot;/&gt;&lt;wsp:rsid wsp:val=&quot;00330809&quot;/&gt;&lt;wsp:rsid wsp:val=&quot;0037590E&quot;/&gt;&lt;wsp:rsid wsp:val=&quot;00377186&quot;/&gt;&lt;wsp:rsid wsp:val=&quot;00383207&quot;/&gt;&lt;wsp:rsid wsp:val=&quot;003972EF&quot;/&gt;&lt;wsp:rsid wsp:val=&quot;00397D2B&quot;/&gt;&lt;wsp:rsid wsp:val=&quot;003A5006&quot;/&gt;&lt;wsp:rsid wsp:val=&quot;003C2615&quot;/&gt;&lt;wsp:rsid wsp:val=&quot;003D0318&quot;/&gt;&lt;wsp:rsid wsp:val=&quot;003D5417&quot;/&gt;&lt;wsp:rsid wsp:val=&quot;00400F92&quot;/&gt;&lt;wsp:rsid wsp:val=&quot;004044F1&quot;/&gt;&lt;wsp:rsid wsp:val=&quot;0042424B&quot;/&gt;&lt;wsp:rsid wsp:val=&quot;00430D5D&quot;/&gt;&lt;wsp:rsid wsp:val=&quot;00444336&quot;/&gt;&lt;wsp:rsid wsp:val=&quot;00455788&quot;/&gt;&lt;wsp:rsid wsp:val=&quot;0045652C&quot;/&gt;&lt;wsp:rsid wsp:val=&quot;00462497&quot;/&gt;&lt;wsp:rsid wsp:val=&quot;004805A3&quot;/&gt;&lt;wsp:rsid wsp:val=&quot;00490EB0&quot;/&gt;&lt;wsp:rsid wsp:val=&quot;004A39F8&quot;/&gt;&lt;wsp:rsid wsp:val=&quot;004A618E&quot;/&gt;&lt;wsp:rsid wsp:val=&quot;004E4B2C&quot;/&gt;&lt;wsp:rsid wsp:val=&quot;004F1572&quot;/&gt;&lt;wsp:rsid wsp:val=&quot;0052105D&quot;/&gt;&lt;wsp:rsid wsp:val=&quot;00526270&quot;/&gt;&lt;wsp:rsid wsp:val=&quot;00534210&quot;/&gt;&lt;wsp:rsid wsp:val=&quot;00543478&quot;/&gt;&lt;wsp:rsid wsp:val=&quot;00545600&quot;/&gt;&lt;wsp:rsid wsp:val=&quot;00546A6A&quot;/&gt;&lt;wsp:rsid wsp:val=&quot;00562240&quot;/&gt;&lt;wsp:rsid wsp:val=&quot;005630B0&quot;/&gt;&lt;wsp:rsid wsp:val=&quot;005660CD&quot;/&gt;&lt;wsp:rsid wsp:val=&quot;005720F2&quot;/&gt;&lt;wsp:rsid wsp:val=&quot;005812D6&quot;/&gt;&lt;wsp:rsid wsp:val=&quot;00596603&quot;/&gt;&lt;wsp:rsid wsp:val=&quot;005B76A4&quot;/&gt;&lt;wsp:rsid wsp:val=&quot;005C3384&quot;/&gt;&lt;wsp:rsid wsp:val=&quot;005C416E&quot;/&gt;&lt;wsp:rsid wsp:val=&quot;005D1C3A&quot;/&gt;&lt;wsp:rsid wsp:val=&quot;005E43DD&quot;/&gt;&lt;wsp:rsid wsp:val=&quot;005E77C4&quot;/&gt;&lt;wsp:rsid wsp:val=&quot;00600179&quot;/&gt;&lt;wsp:rsid wsp:val=&quot;00603FC0&quot;/&gt;&lt;wsp:rsid wsp:val=&quot;006167DD&quot;/&gt;&lt;wsp:rsid wsp:val=&quot;00636BF0&quot;/&gt;&lt;wsp:rsid wsp:val=&quot;00646B6D&quot;/&gt;&lt;wsp:rsid wsp:val=&quot;00655908&quot;/&gt;&lt;wsp:rsid wsp:val=&quot;006654F8&quot;/&gt;&lt;wsp:rsid wsp:val=&quot;00665768&quot;/&gt;&lt;wsp:rsid wsp:val=&quot;00667291&quot;/&gt;&lt;wsp:rsid wsp:val=&quot;00686249&quot;/&gt;&lt;wsp:rsid wsp:val=&quot;00687504&quot;/&gt;&lt;wsp:rsid wsp:val=&quot;00691AFF&quot;/&gt;&lt;wsp:rsid wsp:val=&quot;006A171F&quot;/&gt;&lt;wsp:rsid wsp:val=&quot;006A4209&quot;/&gt;&lt;wsp:rsid wsp:val=&quot;006A4E5F&quot;/&gt;&lt;wsp:rsid wsp:val=&quot;006D2536&quot;/&gt;&lt;wsp:rsid wsp:val=&quot;006D3FAE&quot;/&gt;&lt;wsp:rsid wsp:val=&quot;006D4600&quot;/&gt;&lt;wsp:rsid wsp:val=&quot;006E0A2C&quot;/&gt;&lt;wsp:rsid wsp:val=&quot;006E202B&quot;/&gt;&lt;wsp:rsid wsp:val=&quot;006E57B5&quot;/&gt;&lt;wsp:rsid wsp:val=&quot;00702FA0&quot;/&gt;&lt;wsp:rsid wsp:val=&quot;00715D39&quot;/&gt;&lt;wsp:rsid wsp:val=&quot;00724218&quot;/&gt;&lt;wsp:rsid wsp:val=&quot;00737E65&quot;/&gt;&lt;wsp:rsid wsp:val=&quot;0074030A&quot;/&gt;&lt;wsp:rsid wsp:val=&quot;007409A3&quot;/&gt;&lt;wsp:rsid wsp:val=&quot;007575A8&quot;/&gt;&lt;wsp:rsid wsp:val=&quot;00762043&quot;/&gt;&lt;wsp:rsid wsp:val=&quot;007633C2&quot;/&gt;&lt;wsp:rsid wsp:val=&quot;00765A47&quot;/&gt;&lt;wsp:rsid wsp:val=&quot;00770E82&quot;/&gt;&lt;wsp:rsid wsp:val=&quot;00772E94&quot;/&gt;&lt;wsp:rsid wsp:val=&quot;007A30E8&quot;/&gt;&lt;wsp:rsid wsp:val=&quot;007A5E1C&quot;/&gt;&lt;wsp:rsid wsp:val=&quot;007B028B&quot;/&gt;&lt;wsp:rsid wsp:val=&quot;007B1D71&quot;/&gt;&lt;wsp:rsid wsp:val=&quot;007C00D0&quot;/&gt;&lt;wsp:rsid wsp:val=&quot;007C2186&quot;/&gt;&lt;wsp:rsid wsp:val=&quot;007F2233&quot;/&gt;&lt;wsp:rsid wsp:val=&quot;008053BA&quot;/&gt;&lt;wsp:rsid wsp:val=&quot;0080694B&quot;/&gt;&lt;wsp:rsid wsp:val=&quot;00810AB6&quot;/&gt;&lt;wsp:rsid wsp:val=&quot;0081779C&quot;/&gt;&lt;wsp:rsid wsp:val=&quot;00831D0D&quot;/&gt;&lt;wsp:rsid wsp:val=&quot;00832DEE&quot;/&gt;&lt;wsp:rsid wsp:val=&quot;00835B98&quot;/&gt;&lt;wsp:rsid wsp:val=&quot;00840713&quot;/&gt;&lt;wsp:rsid wsp:val=&quot;00854B9D&quot;/&gt;&lt;wsp:rsid wsp:val=&quot;00855A8A&quot;/&gt;&lt;wsp:rsid wsp:val=&quot;00872795&quot;/&gt;&lt;wsp:rsid wsp:val=&quot;008936D4&quot;/&gt;&lt;wsp:rsid wsp:val=&quot;008A2EC5&quot;/&gt;&lt;wsp:rsid wsp:val=&quot;008B77F5&quot;/&gt;&lt;wsp:rsid wsp:val=&quot;008C0279&quot;/&gt;&lt;wsp:rsid wsp:val=&quot;008C7C6D&quot;/&gt;&lt;wsp:rsid wsp:val=&quot;008C7F68&quot;/&gt;&lt;wsp:rsid wsp:val=&quot;008E380C&quot;/&gt;&lt;wsp:rsid wsp:val=&quot;008E405A&quot;/&gt;&lt;wsp:rsid wsp:val=&quot;008F25D2&quot;/&gt;&lt;wsp:rsid wsp:val=&quot;008F50EC&quot;/&gt;&lt;wsp:rsid wsp:val=&quot;008F587A&quot;/&gt;&lt;wsp:rsid wsp:val=&quot;009134CA&quot;/&gt;&lt;wsp:rsid wsp:val=&quot;00914CC6&quot;/&gt;&lt;wsp:rsid wsp:val=&quot;00925AA2&quot;/&gt;&lt;wsp:rsid wsp:val=&quot;0092751F&quot;/&gt;&lt;wsp:rsid wsp:val=&quot;00932067&quot;/&gt;&lt;wsp:rsid wsp:val=&quot;00932CCB&quot;/&gt;&lt;wsp:rsid wsp:val=&quot;0093594A&quot;/&gt;&lt;wsp:rsid wsp:val=&quot;00955D73&quot;/&gt;&lt;wsp:rsid wsp:val=&quot;0096512C&quot;/&gt;&lt;wsp:rsid wsp:val=&quot;0096540A&quot;/&gt;&lt;wsp:rsid wsp:val=&quot;009C0F3A&quot;/&gt;&lt;wsp:rsid wsp:val=&quot;009C5D2A&quot;/&gt;&lt;wsp:rsid wsp:val=&quot;00A02252&quot;/&gt;&lt;wsp:rsid wsp:val=&quot;00A06700&quot;/&gt;&lt;wsp:rsid wsp:val=&quot;00A331E7&quot;/&gt;&lt;wsp:rsid wsp:val=&quot;00A34169&quot;/&gt;&lt;wsp:rsid wsp:val=&quot;00A41C3C&quot;/&gt;&lt;wsp:rsid wsp:val=&quot;00A76984&quot;/&gt;&lt;wsp:rsid wsp:val=&quot;00AA0A87&quot;/&gt;&lt;wsp:rsid wsp:val=&quot;00AA7B1E&quot;/&gt;&lt;wsp:rsid wsp:val=&quot;00AB2710&quot;/&gt;&lt;wsp:rsid wsp:val=&quot;00AD184B&quot;/&gt;&lt;wsp:rsid wsp:val=&quot;00B0566D&quot;/&gt;&lt;wsp:rsid wsp:val=&quot;00B35BD9&quot;/&gt;&lt;wsp:rsid wsp:val=&quot;00B37DE8&quot;/&gt;&lt;wsp:rsid wsp:val=&quot;00B44BA5&quot;/&gt;&lt;wsp:rsid wsp:val=&quot;00B84125&quot;/&gt;&lt;wsp:rsid wsp:val=&quot;00B928E7&quot;/&gt;&lt;wsp:rsid wsp:val=&quot;00BA5F7E&quot;/&gt;&lt;wsp:rsid wsp:val=&quot;00BB7F2F&quot;/&gt;&lt;wsp:rsid wsp:val=&quot;00BC7E76&quot;/&gt;&lt;wsp:rsid wsp:val=&quot;00BE472F&quot;/&gt;&lt;wsp:rsid wsp:val=&quot;00BE5513&quot;/&gt;&lt;wsp:rsid wsp:val=&quot;00BF12F6&quot;/&gt;&lt;wsp:rsid wsp:val=&quot;00C00765&quot;/&gt;&lt;wsp:rsid wsp:val=&quot;00C10464&quot;/&gt;&lt;wsp:rsid wsp:val=&quot;00C119C2&quot;/&gt;&lt;wsp:rsid wsp:val=&quot;00C21B54&quot;/&gt;&lt;wsp:rsid wsp:val=&quot;00C27E02&quot;/&gt;&lt;wsp:rsid wsp:val=&quot;00C40967&quot;/&gt;&lt;wsp:rsid wsp:val=&quot;00C42C64&quot;/&gt;&lt;wsp:rsid wsp:val=&quot;00C4400C&quot;/&gt;&lt;wsp:rsid wsp:val=&quot;00C600E2&quot;/&gt;&lt;wsp:rsid wsp:val=&quot;00C63D43&quot;/&gt;&lt;wsp:rsid wsp:val=&quot;00C74134&quot;/&gt;&lt;wsp:rsid wsp:val=&quot;00C823B1&quot;/&gt;&lt;wsp:rsid wsp:val=&quot;00C93D19&quot;/&gt;&lt;wsp:rsid wsp:val=&quot;00CA271E&quot;/&gt;&lt;wsp:rsid wsp:val=&quot;00CB1488&quot;/&gt;&lt;wsp:rsid wsp:val=&quot;00CB7414&quot;/&gt;&lt;wsp:rsid wsp:val=&quot;00CE19C1&quot;/&gt;&lt;wsp:rsid wsp:val=&quot;00D01CFE&quot;/&gt;&lt;wsp:rsid wsp:val=&quot;00D07C4B&quot;/&gt;&lt;wsp:rsid wsp:val=&quot;00D225D8&quot;/&gt;&lt;wsp:rsid wsp:val=&quot;00D30983&quot;/&gt;&lt;wsp:rsid wsp:val=&quot;00D33A2E&quot;/&gt;&lt;wsp:rsid wsp:val=&quot;00D34954&quot;/&gt;&lt;wsp:rsid wsp:val=&quot;00D511A1&quot;/&gt;&lt;wsp:rsid wsp:val=&quot;00D56CF9&quot;/&gt;&lt;wsp:rsid wsp:val=&quot;00D608D5&quot;/&gt;&lt;wsp:rsid wsp:val=&quot;00D651CA&quot;/&gt;&lt;wsp:rsid wsp:val=&quot;00D872BF&quot;/&gt;&lt;wsp:rsid wsp:val=&quot;00DA4C87&quot;/&gt;&lt;wsp:rsid wsp:val=&quot;00DB5613&quot;/&gt;&lt;wsp:rsid wsp:val=&quot;00DE01F6&quot;/&gt;&lt;wsp:rsid wsp:val=&quot;00DE1FAA&quot;/&gt;&lt;wsp:rsid wsp:val=&quot;00DE2998&quot;/&gt;&lt;wsp:rsid wsp:val=&quot;00DE4223&quot;/&gt;&lt;wsp:rsid wsp:val=&quot;00DE6B60&quot;/&gt;&lt;wsp:rsid wsp:val=&quot;00DF1B90&quot;/&gt;&lt;wsp:rsid wsp:val=&quot;00E06D10&quot;/&gt;&lt;wsp:rsid wsp:val=&quot;00E20138&quot;/&gt;&lt;wsp:rsid wsp:val=&quot;00E20458&quot;/&gt;&lt;wsp:rsid wsp:val=&quot;00E55420&quot;/&gt;&lt;wsp:rsid wsp:val=&quot;00E56487&quot;/&gt;&lt;wsp:rsid wsp:val=&quot;00E81646&quot;/&gt;&lt;wsp:rsid wsp:val=&quot;00E853F3&quot;/&gt;&lt;wsp:rsid wsp:val=&quot;00EC2491&quot;/&gt;&lt;wsp:rsid wsp:val=&quot;00ED2C42&quot;/&gt;&lt;wsp:rsid wsp:val=&quot;00EF3B2B&quot;/&gt;&lt;wsp:rsid wsp:val=&quot;00F00EE9&quot;/&gt;&lt;wsp:rsid wsp:val=&quot;00F379DD&quot;/&gt;&lt;wsp:rsid wsp:val=&quot;00F44640&quot;/&gt;&lt;wsp:rsid wsp:val=&quot;00F47244&quot;/&gt;&lt;wsp:rsid wsp:val=&quot;00F511A7&quot;/&gt;&lt;wsp:rsid wsp:val=&quot;00F660F9&quot;/&gt;&lt;wsp:rsid wsp:val=&quot;00F849A7&quot;/&gt;&lt;wsp:rsid wsp:val=&quot;00FA5F45&quot;/&gt;&lt;wsp:rsid wsp:val=&quot;00FA7522&quot;/&gt;&lt;wsp:rsid wsp:val=&quot;00FB2D36&quot;/&gt;&lt;wsp:rsid wsp:val=&quot;00FB71DC&quot;/&gt;&lt;wsp:rsid wsp:val=&quot;00FC2C59&quot;/&gt;&lt;wsp:rsid wsp:val=&quot;00FD178C&quot;/&gt;&lt;/wsp:rsids&gt;&lt;/w:docPr&gt;&lt;w:body&gt;&lt;wx:sect&gt;&lt;w:p wsp:rsidR=&quot;00000000&quot; wsp:rsidRPr=&quot;00932CCB&quot; wsp:rsidRDefault=&quot;00932CCB&quot; wsp:rsidP=&quot;00932CCB&quot;&gt;&lt;m:oMathPara&gt;&lt;m:oMath&gt;&lt;m:r&gt;&lt;w:rPr&gt;&lt;w:rFonts w:ascii=&quot;Cambria Math&quot; w:h-ansi=&quot;Cambria Math&quot; w:cs=&quot;Calibri&quot;/&gt;&lt;wx:font wx:val=&quot;Cambria Math&quot;/&gt;&lt;w:i/&gt;&lt;/w:rPr&gt;&lt;m:t&gt;M&lt;/m:t&gt;&lt;/m:r&gt;&lt;m:sSub&gt;&lt;m:sSubPr&gt;&lt;m:ctrlPr&gt;&lt;w:rPr&gt;&lt;w:rFonts w:ascii=&quot;Cambria Math&quot; w:h-ansi=&quot;Cambria Math&quot; w:cs=&quot;Calibri&quot;/&gt;&lt;wx:font wx:val=&quot;Cambria Math&quot;/&gt;&lt;/w:rPr&gt;&lt;/m:ctrlPr&gt;&lt;/m:sSubPr&gt;&lt;m:e&gt;&lt;m:r&gt;&lt;w:rPr&gt;&lt;w:rFonts w:ascii=&quot;Cambria Math&quot; w:h-ansi=&quot;Cambria Math&quot; w:cs=&quot;Calibri&quot;/&gt;&lt;wx:font wx:val=&quot;Cambria Math&quot;/&gt;&lt;w:i/&gt;&lt;/w:rPr&gt;&lt;m:t&gt;E&lt;/m:t&gt;&lt;/m:r&gt;&lt;/m:e&gt;&lt;m:sub&gt;&lt;m:r&gt;&lt;w:rPr&gt;&lt;w:rFonts w:ascii=&quot;Cambria Math&quot; w:h-ansi=&quot;Cambria Math&quot; w:cs=&quot;Calibri&quot;/&gt;&lt;wx:font wx:val=&quot;Cambria Math&quot;/&gt;&lt;w:i/&gt;&lt;/w:rPr&gt;&lt;m:t&gt;TOTAL&lt;/m:t&gt;&lt;/m:r&gt;&lt;/m:sub&gt;&lt;/m:sSub&gt;&lt;m:r&gt;&lt;m:rPr&gt;&lt;m:sty m:val=&quot;p&quot;/&gt;&lt;/m:rPr&gt;&lt;w:rPr&gt;&lt;w:rFonts w:ascii=&quot;Cambria Math&quot; w:h-ansi=&quot;Cambria Math&quot; w:cs=&quot;Calibri&quot;/&gt;&lt;wx:font wx:val=&quot;Cambria Math&quot;/&gt;&lt;/w:rPr&gt;&lt;m:t&gt;=&lt;/m:t&gt;&lt;/m:r&gt;&lt;m:f&gt;&lt;m:fPr&gt;&lt;m:ctrlPr&gt;&lt;w:rPr&gt;&lt;w:rFonts w:ascii=&quot;Cambria Math&quot; w:h-ansi=&quot;Cambria Math&quot; w:cs=&quot;Calibri&quot;/&gt;&lt;wx:font wx:val=&quot;Cambria Math&quot;/&gt;&lt;/w:rPr&gt;&lt;/m:ctrlPr&gt;&lt;/m:fPr&gt;&lt;m:num&gt;&lt;m:r&gt;&lt;w:rPr&gt;&lt;w:rFonts w:ascii=&quot;Cambria Math&quot; w:h-ansi=&quot;Cambria Math&quot; w:cs=&quot;Calibri&quot;/&gt;&lt;wx:font wx:val=&quot;Cambria Math&quot;/&gt;&lt;w:i/&gt;&lt;/w:rPr&gt;&lt;m:t&gt;KSM&lt;/m:t&gt;&lt;/m:r&gt;&lt;m:r&gt;&lt;m:rPr&gt;&lt;m:sty m:val=&quot;p&quot;/&gt;&lt;/m:rPr&gt;&lt;w:rPr&gt;&lt;w:rFonts w:ascii=&quot;Cambria Math&quot; w:h-ansi=&quot;Cambria Math&quot; w:cs=&quot;Calibri&quot;/&gt;&lt;wx:font wx:val=&quot;Cambria Math&quot;/&gt;&lt;/w:rPr&gt;&lt;m:t&gt;(0.28&lt;/m:t&gt;&lt;/m:r&gt;&lt;m:sSup&gt;&lt;m:sSupPr&gt;&lt;m:ctrlPr&gt;&lt;w:rPr&gt;&lt;w:rFonts w:ascii=&quot;Cambria Math&quot; w:h-ansi=&quot;Cambria Math&quot; w:cs=&quot;Calibri&quot;/&gt;&lt;wx:font wx:val=&quot;Cambria Math&quot;/&gt;&lt;/w:rPr&gt;&lt;/m:ctrlPr&gt;&lt;/m:sSupPr&gt;&lt;m:e&gt;&lt;m:r&gt;&lt;w:rPr&gt;&lt;w:rFonts w:ascii=&quot;Cambria Math&quot; w:h-ansi=&quot;Cambria Math&quot; w:cs=&quot;Calibri&quot;/&gt;&lt;wx:font wx:val=&quot;Cambria Math&quot;/&gt;&lt;w:i/&gt;&lt;/w:rPr&gt;&lt;m:t&gt;W&lt;/m:t&gt;&lt;/m:r&gt;&lt;/m:e&gt;&lt;m:sup&gt;&lt;m:r&gt;&lt;m:rPr&gt;&lt;m:sty m:val=&quot;p&quot;/&gt;&lt;/m:rPr&gt;&lt;w:rPr&gt;&lt;w:rFonts w:ascii=&quot;Cambria Math&quot; w:h-ansi=&quot;Cambria Math&quot; w:cs=&quot;Calibri&quot;/&gt;&lt;wx:font wx:val=&quot;Cambria Math&quot;/&gt;&lt;/w:rPr&gt;&lt;m:t&gt;0.75&lt;/m:t&gt;&lt;/m:r&gt;&lt;/m:sup&gt;&lt;/m:sSup&gt;&lt;m:func&gt;&lt;m:funcPr&gt;&lt;m:ctrlPr&gt;&lt;w:rPr&gt;&lt;w:rFonts w:ascii=&quot;Cambria Math&quot; w:h-ansi=&quot;Cambria Math&quot; w:cs=&quot;Calibri&quot;/&gt;&lt;wx:font wx:val=&quot;Cambria Math&quot;/&gt;&lt;/w:rPr&gt;&lt;/m:ctrlPr&gt;&lt;/m:funcPr&gt;&lt;m:fName&gt;&lt;m:r&gt;&lt;m:rPr&gt;&lt;m:sty m:val=&quot;p&quot;/&gt;&lt;/m:rPr&gt;&lt;w:rPr&gt;&lt;w:rFonts w:ascii=&quot;Cambria Math&quot; w:h-ansi=&quot;Cambria Math&quot; w:cs=&quot;Calibri&quot;/&gt;&lt;wx:font wx:val=&quot;Cambria Math&quot;/&gt;&lt;/w:rPr&gt;&lt;m:t&gt;exp&lt;/m:t&gt;&lt;/m:r&gt;&lt;/m:fName&gt;&lt;m:e&gt;&lt;m:d&gt;&lt;m:dPr&gt;&lt;m:ctrlPr&gt;&lt;w:rPr&gt;&lt;w:rFonts w:ascii=&quot;Cambria Math&quot; w:h-ansi=&quot;Cambria Math&quot; w:cs=&quot;Calibri&quot;/&gt;&lt;wx:font wx:val=&quot;Cambria Math&quot;/&gt;&lt;/w:rPr&gt;&lt;/m:ctrlPr&gt;&lt;/m:dPr&gt;&lt;m:e&gt;&lt;m:r&gt;&lt;m:rPr&gt;&lt;m:sty m:val=&quot;p&quot;/&gt;&lt;/m:rPr&gt;&lt;w:rPr&gt;&lt;w:rFonts w:ascii=&quot;Cambria Math&quot; w:h-ansi=&quot;Cambria Math&quot; w:cs=&quot;Calibri&quot;/&gt;&lt;wx:font wx:val=&quot;Cambria Math&quot;/&gt;&lt;/w:rPr&gt;&lt;m:t&gt;-0.03&lt;/m:t&gt;&lt;/m:r&gt;&lt;m:r&gt;&lt;w:rPr&gt;&lt;w:rFonts w:ascii=&quot;Cambria Math&quot; w:h-ansi=&quot;Cambria Math&quot; w:cs=&quot;Calibri&quot;/&gt;&lt;wx:font wx:val=&quot;Cambria Math&quot;/&gt;&lt;w:i/&gt;&lt;/w:rPr&gt;&lt;m:t&gt;A&lt;/m:t&gt;&lt;/m:r&gt;&lt;/m:e&gt;&lt;/m:d&gt;&lt;/m:e&gt;&lt;/m:func&gt;&lt;m:r&gt;&lt;m:rPr&gt;&lt;m:sty m:val=&quot;p&quot;/&gt;&lt;/m:rPr&gt;&lt;w:rPr&gt;&lt;w:rFonts w:ascii=&quot;Cambria Math&quot; w:h-ansi=&quot;Cambria Math&quot; w:cs=&quot;Calibri&quot;/&gt;&lt;wx:font wx:val=&quot;Cambria Math&quot;/&gt;&lt;/w:rPr&gt;&lt;m:t&gt;)&lt;/m:t&gt;&lt;/m:r&gt;&lt;/m:num&gt;&lt;m:den&gt;&lt;m:sSub&gt;&lt;m:sSubPr&gt;&lt;m:ctrlPr&gt;&lt;w:rPr&gt;&lt;w:rFonts w:ascii=&quot;Cambria Math&quot; w:h-ansi=&quot;Cambria Math&quot; w:cs=&quot;Calibri&quot;/&gt;&lt;wx:font wx:val=&quot;Cambria Math&quot;/&gt;&lt;/w:rPr&gt;&lt;/m:ctrlPr&gt;&lt;/m:sSubPr&gt;&lt;m:e&gt;&lt;m:r&gt;&lt;w:rPr&gt;&lt;w:rFonts w:ascii=&quot;Cambria Math&quot; w:h-ansi=&quot;Cambria Math&quot; w:cs=&quot;Calibri&quot;/&gt;&lt;wx:font wx:val=&quot;Cambria Math&quot;/&gt;&lt;w:i/&gt;&lt;/w:rPr&gt;&lt;m:t&gt;k&lt;/m:t&gt;&lt;/m:r&gt;&lt;/m:e&gt;&lt;m:sub&gt;&lt;m:r&gt;&lt;w:rPr&gt;&lt;w:rFonts w:ascii=&quot;Cambria Math&quot; w:h-ansi=&quot;Cambria Math&quot; w:cs=&quot;Calibri&quot;/&gt;&lt;wx:font wx:val=&quot;Cambria Math&quot;/&gt;&lt;w:i/&gt;&lt;/w:rPr&gt;&lt;m:t&gt;m&lt;/m:t&gt;&lt;/m:r&gt;&lt;/m:sub&gt;&lt;/m:sSub&gt;&lt;/m:den&gt;&lt;/m:f&gt;&lt;m:r&gt;&lt;m:rPr&gt;&lt;m:sty m:val=&quot;p&quot;/&gt;&lt;/m:rPr&gt;&lt;w:rPr&gt;&lt;w:rFonts w:ascii=&quot;Cambria Math&quot; w:h-ansi=&quot;Cambria Math&quot; w:cs=&quot;Calibri&quot;/&gt;&lt;wx:font wx:val=&quot;Cambria Math&quot;/&gt;&lt;/w:rPr&gt;&lt;m:t&gt;+1.1&lt;/m:t&gt;&lt;/m:r&gt;&lt;m:sSub&gt;&lt;m:sSubPr&gt;&lt;m:ctrlPr&gt;&lt;w:rPr&gt;&lt;w:rFonts w:ascii=&quot;Cambria Math&quot; w:h-ansi=&quot;Cambria Math&quot; w:cs=&quot;Calibri&quot;/&gt;&lt;wx:font wx:val=&quot;Cambria Math&quot;/&gt;&lt;/w:rPr&gt;&lt;/m:ctrlPr&gt;&lt;/m:sSubPr&gt;&lt;m:e&gt;&lt;m:r&gt;&lt;w:rPr&gt;&lt;w:rFonts w:ascii=&quot;Cambria Math&quot; w:h-ansi=&quot;Cambria Math&quot; w:cs=&quot;Calibri&quot;/&gt;&lt;wx:font wx:val=&quot;Cambria Math&quot;/&gt;&lt;w:i/&gt;&lt;/w:rPr&gt;&lt;m:t&gt;ME&lt;/m:t&gt;&lt;/m:r&gt;&lt;/m:e&gt;&lt;m:sub&gt;&lt;m:r&gt;&lt;w:rPr&gt;&lt;w:rFonts w:ascii=&quot;Cambria Math&quot; w:h-ansi=&quot;Cambria Math&quot; w:cs=&quot;Calibri&quot;/&gt;&lt;wx:font wx:val=&quot;Cambria Math&quot;/&gt;&lt;w:i/&gt;&lt;/w:rPr&gt;&lt;m:t&gt;P&lt;/m:t&gt;&lt;/m:r&gt;&lt;/m:sub&gt;&lt;/m:sSub&gt;&lt;m:r&gt;&lt;m:rPr&gt;&lt;m:sty m:val=&quot;p&quot;/&gt;&lt;/m:rPr&gt;&lt;w:rPr&gt;&lt;w:rFonts w:ascii=&quot;Cambria Math&quot; w:h-ansi=&quot;Cambria Math&quot; w:cs=&quot;Calibri&quot;/&gt;&lt;wx:font wx:val=&quot;Cambria Math&quot;/&gt;&lt;/w:rPr&gt;&lt;m:t&gt;+&lt;/m:t&gt;&lt;/m:r&gt;&lt;m:f&gt;&lt;m:fPr&gt;&lt;m:ctrlPr&gt;&lt;w:rPr&gt;&lt;w:rFonts w:ascii=&quot;Cambria Math&quot; w:h-ansi=&quot;Cambria Math&quot; w:cs=&quot;Calibri&quot;/&gt;&lt;wx:font wx:val=&quot;Cambria Math&quot;/&gt;&lt;/w:rPr&gt;&lt;/m:ctrlPr&gt;&lt;/m:fPr&gt;&lt;m:num&gt;&lt;m:sSub&gt;&lt;m:sSubPr&gt;&lt;m:ctrlPr&gt;&lt;w:rPr&gt;&lt;w:rFonts w:ascii=&quot;Cambria Math&quot; w:h-ansi=&quot;Cambria Math&quot; w:cs=&quot;Calibri&quot;/&gt;&lt;wx:font wx:val=&quot;Cambria Math&quot;/&gt;&lt;/w:rPr&gt;&lt;/m:ctrlPr&gt;&lt;/m:sSubPr&gt;&lt;m:e&gt;&lt;m:r&gt;&lt;w:rPr&gt;&lt;w:rFonts w:ascii=&quot;Cambria Math&quot; w:h-ansi=&quot;Cambria Math&quot; w:cs=&quot;Calibri&quot;/&gt;&lt;wx:font wx:val=&quot;Cambria Math&quot;/&gt;&lt;w:i/&gt;&lt;/w:rPr&gt;&lt;m:t&gt;E&lt;/m:t&gt;&lt;/m:r&gt;&lt;/m:e&gt;&lt;m:sub&gt;&lt;m:r&gt;&lt;w:rPr&gt;&lt;w:rFonts w:ascii=&quot;Cambria Math&quot; w:h-ansi=&quot;Cambria Math&quot; w:cs=&quot;Calibri&quot;/&gt;&lt;wx:font wx:val=&quot;Cambria Math&quot;/&gt;&lt;w:i/&gt;&lt;/w:rPr&gt;&lt;m:t&gt;GRAZE&lt;/m:t&gt;&lt;/m:r&gt;&lt;/m:sub&gt;&lt;/m:sSub&gt;&lt;/m:num&gt;&lt;m:den&gt;&lt;m:sSub&gt;&lt;m:sSubPr&gt;&lt;m:ctrlPr&gt;&lt;w:rPr&gt;&lt;w:rFonts w:ascii=&quot;Cambria Math&quot; w:h-ansi=&quot;Cambria Math&quot; w:cs=&quot;Calibri&quot;/&gt;&lt;wx:font wx:val=&quot;Cambria Math&quot;/&gt;&lt;/w:rPr&gt;&lt;/m:ctrlPr&gt;&lt;/m:sSubPr&gt;&lt;m:e&gt;&lt;m:r&gt;&lt;w:rPr&gt;&lt;w:rFonts w:ascii=&quot;Cambria Math&quot; w:h-ansi=&quot;Cambria Math&quot; w:cs=&quot;Calibri&quot;/&gt;&lt;wx:font wx:val=&quot;Cambria Math&quot;/&gt;&lt;w:i/&gt;&lt;/w:rPr&gt;&lt;m:t&gt;k&lt;/m:t&gt;&lt;/m:r&gt;&lt;/m:e&gt;&lt;m:sub&gt;&lt;m:r&gt;&lt;w:rPr&gt;&lt;w:rFonts w:ascii=&quot;Cambria Math&quot; w:h-ansi=&quot;Cambria Math&quot; w:cs=&quot;Calibri&quot;/&gt;&lt;wx:font wx:val=&quot;Cambria Math&quot;/&gt;&lt;w:i/&gt;&lt;/w:rPr&gt;&lt;m:t&gt;m&lt;/m:t&gt;&lt;/m:r&gt;&lt;/m:sub&gt;&lt;/m:sSub&gt;&lt;/m:den&gt;&lt;/m:f&gt;&lt;m:r&gt;&lt;w:rPr&gt;&lt;w:rFonts w:ascii=&quot;Cambria Math&quot; w:h-ansi=&quot;Cambria Math&quot; w:cs=&quot;Calibri&quot;/&gt;&lt;wx:font wx:val=&quot;Cambria Math&quot;/&gt;&lt;w:i/&gt;&lt;/w:rPr&gt;&lt;m:t&gt;+&lt;/m:t&gt;&lt;/m:r&gt;&lt;m:sSub&gt;&lt;m:sSubPr&gt;&lt;m:ctrlPr&gt;&lt;w:rPr&gt;&lt;w:rFonts w:ascii=&quot;Cambria Math&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ME&lt;/m:t&gt;&lt;/m:r&gt;&lt;/m:e&gt;&lt;m:sub&gt;&lt;m:r&gt;&lt;w:rPr&gt;&lt;w:rFonts w:ascii=&quot;Cambria Math&quot; w:h-ansi=&quot;Cambria Math&quot; w:cs=&quot;Calibri&quot;/&gt;&lt;wx:font wx:val=&quot;Cambria Math&quot;/&gt;&lt;w:i/&gt;&lt;/w:rPr&gt;&lt;m:t&gt;c&lt;/m:t&gt;&lt;/m:r&gt;&lt;/m:sub&gt;&lt;/m:sSub&gt;&lt;/m:oMath&gt;&lt;/m:oMathPara&gt;&lt;/w:p&gt;&lt;w:sectPr wsp:rsidR=&quot;00000000&quot; wsp:rsidRPr=&quot;00932CCB&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3" o:title="" chromakey="white"/>
          </v:shape>
        </w:pict>
      </w:r>
    </w:p>
    <w:p w14:paraId="35C71B55" w14:textId="77777777" w:rsidR="00F849A7" w:rsidRPr="00D9348B" w:rsidRDefault="00F849A7" w:rsidP="00F849A7">
      <w:pPr>
        <w:spacing w:before="120"/>
        <w:ind w:left="993" w:hanging="993"/>
        <w:rPr>
          <w:rFonts w:cs="Calibri"/>
        </w:rPr>
      </w:pPr>
      <w:r w:rsidRPr="00D9348B">
        <w:rPr>
          <w:rFonts w:cs="Calibri"/>
        </w:rPr>
        <w:t>Where:</w:t>
      </w:r>
      <w:r w:rsidRPr="00D9348B">
        <w:rPr>
          <w:rFonts w:cs="Calibri"/>
        </w:rPr>
        <w:tab/>
        <w:t>K, S and M are constants defined elsewhere (CSIRO, 1990); K = 1.0 for sheep and 1.4 for cattle, S = 1.0 for females and castrates and 1.15 for entire males, M = 1 for all animals except milk-fed animals. M has been removed from the New Zealand calculations and an adjustment for milk-fed animals is carried out through a milk adjustment factor detailed later</w:t>
      </w:r>
    </w:p>
    <w:p w14:paraId="327066FE" w14:textId="77777777" w:rsidR="00F849A7" w:rsidRPr="00D9348B" w:rsidRDefault="00F849A7" w:rsidP="00F849A7">
      <w:pPr>
        <w:spacing w:before="80"/>
        <w:ind w:left="993"/>
        <w:rPr>
          <w:rFonts w:cs="Calibri"/>
        </w:rPr>
      </w:pPr>
      <w:r w:rsidRPr="00D9348B">
        <w:rPr>
          <w:rFonts w:cs="Calibri"/>
        </w:rPr>
        <w:t>W is the liveweight (kg)</w:t>
      </w:r>
    </w:p>
    <w:p w14:paraId="1D2BF352" w14:textId="77777777" w:rsidR="00F849A7" w:rsidRPr="00D9348B" w:rsidRDefault="00F849A7" w:rsidP="00F849A7">
      <w:pPr>
        <w:spacing w:before="80"/>
        <w:ind w:left="993"/>
        <w:rPr>
          <w:rFonts w:cs="Calibri"/>
        </w:rPr>
      </w:pPr>
      <w:r w:rsidRPr="00D9348B">
        <w:rPr>
          <w:rFonts w:cs="Calibri"/>
        </w:rPr>
        <w:t>A is the age in years, up to a maximum value of 6</w:t>
      </w:r>
    </w:p>
    <w:p w14:paraId="3A224A7C" w14:textId="77777777" w:rsidR="00F849A7" w:rsidRPr="00D9348B" w:rsidRDefault="00F849A7" w:rsidP="00F849A7">
      <w:pPr>
        <w:spacing w:before="80"/>
        <w:ind w:left="993"/>
        <w:rPr>
          <w:rFonts w:cs="Calibri"/>
        </w:rPr>
      </w:pPr>
      <w:proofErr w:type="gramStart"/>
      <w:r w:rsidRPr="00D9348B">
        <w:rPr>
          <w:rFonts w:cs="Calibri"/>
        </w:rPr>
        <w:t>k</w:t>
      </w:r>
      <w:r w:rsidRPr="00D9348B">
        <w:rPr>
          <w:rFonts w:cs="Calibri"/>
          <w:vertAlign w:val="subscript"/>
        </w:rPr>
        <w:t>m</w:t>
      </w:r>
      <w:proofErr w:type="gramEnd"/>
      <w:r w:rsidRPr="00D9348B">
        <w:rPr>
          <w:rFonts w:cs="Calibri"/>
        </w:rPr>
        <w:t xml:space="preserve"> is the net efficiency of use of ME for maintenance, and</w:t>
      </w:r>
    </w:p>
    <w:p w14:paraId="50904BA4" w14:textId="77777777" w:rsidR="00F849A7" w:rsidRPr="00D9348B" w:rsidRDefault="00F849A7" w:rsidP="00F849A7">
      <w:pPr>
        <w:spacing w:before="80" w:after="120"/>
        <w:ind w:left="993"/>
        <w:rPr>
          <w:rFonts w:cs="Calibri"/>
        </w:rPr>
      </w:pPr>
      <w:r w:rsidRPr="00D9348B">
        <w:rPr>
          <w:rFonts w:cs="Calibri"/>
        </w:rPr>
        <w:t>E</w:t>
      </w:r>
      <w:r w:rsidRPr="00D9348B">
        <w:rPr>
          <w:rFonts w:cs="Calibri"/>
          <w:vertAlign w:val="subscript"/>
        </w:rPr>
        <w:t>GRAZE</w:t>
      </w:r>
      <w:r w:rsidRPr="00D9348B">
        <w:rPr>
          <w:rFonts w:cs="Calibri"/>
        </w:rPr>
        <w:t xml:space="preserve"> is the additional energy expenditure of livestock in cold stress.</w:t>
      </w:r>
    </w:p>
    <w:p w14:paraId="4AB2AF30" w14:textId="77777777" w:rsidR="00F849A7" w:rsidRPr="00D9348B" w:rsidRDefault="00F849A7" w:rsidP="00F849A7">
      <w:pPr>
        <w:pStyle w:val="BodyText"/>
        <w:rPr>
          <w:rFonts w:cs="Calibri"/>
          <w:spacing w:val="-2"/>
        </w:rPr>
      </w:pPr>
      <w:r w:rsidRPr="00D9348B">
        <w:rPr>
          <w:rFonts w:cs="Calibri"/>
          <w:spacing w:val="-2"/>
        </w:rPr>
        <w:t>For the 2020 submission, minor improvements were made to the equation used to estimate k</w:t>
      </w:r>
      <w:r w:rsidRPr="00D9348B">
        <w:rPr>
          <w:rFonts w:cs="Calibri"/>
          <w:spacing w:val="-2"/>
          <w:vertAlign w:val="subscript"/>
        </w:rPr>
        <w:t>m</w:t>
      </w:r>
      <w:r w:rsidRPr="00D9348B">
        <w:rPr>
          <w:rFonts w:cs="Calibri"/>
          <w:spacing w:val="-2"/>
        </w:rPr>
        <w:t xml:space="preserve"> for beef cattle, sheep and deer (not dairy cattle), so that it is consistent with the CSIRO (1990) </w:t>
      </w:r>
      <w:r w:rsidRPr="00D9348B">
        <w:rPr>
          <w:rFonts w:cs="Calibri"/>
        </w:rPr>
        <w:t>ruminant feeding standards methodology and the</w:t>
      </w:r>
      <w:r w:rsidRPr="00D9348B">
        <w:rPr>
          <w:rFonts w:cs="Calibri"/>
          <w:spacing w:val="-2"/>
        </w:rPr>
        <w:t xml:space="preserve"> 2006 Intergovernmental Panel on Climate Change (IPCC) Guidelines (IPCC, 2006). More information on this improvement is provided in section 10.1.3 (chapter 10).</w:t>
      </w:r>
    </w:p>
    <w:p w14:paraId="43F7B1C2" w14:textId="5AD2B2C0" w:rsidR="00F849A7" w:rsidRPr="00D9348B" w:rsidRDefault="00F849A7" w:rsidP="00F849A7">
      <w:pPr>
        <w:pStyle w:val="BodyText"/>
        <w:rPr>
          <w:rFonts w:cs="Calibri"/>
          <w:spacing w:val="-2"/>
        </w:rPr>
      </w:pPr>
      <w:r w:rsidRPr="00D9348B">
        <w:rPr>
          <w:rFonts w:cs="Calibri"/>
          <w:spacing w:val="-2"/>
        </w:rPr>
        <w:t>The CSIRO algorithms take into account animal liveweight and production requirements based</w:t>
      </w:r>
      <w:r w:rsidR="00A52113" w:rsidRPr="00D9348B">
        <w:rPr>
          <w:rFonts w:cs="Calibri"/>
          <w:spacing w:val="-2"/>
        </w:rPr>
        <w:t> </w:t>
      </w:r>
      <w:r w:rsidRPr="00D9348B">
        <w:rPr>
          <w:rFonts w:cs="Calibri"/>
          <w:spacing w:val="-2"/>
        </w:rPr>
        <w:t>on the rate of liveweight gain, gender, milk yield and physiological state (CSIRO,</w:t>
      </w:r>
      <w:r w:rsidR="00A52113" w:rsidRPr="00D9348B">
        <w:rPr>
          <w:rFonts w:cs="Calibri"/>
          <w:spacing w:val="-2"/>
        </w:rPr>
        <w:t xml:space="preserve"> </w:t>
      </w:r>
      <w:r w:rsidRPr="00D9348B">
        <w:rPr>
          <w:rFonts w:cs="Calibri"/>
          <w:spacing w:val="-2"/>
        </w:rPr>
        <w:t>1990).</w:t>
      </w:r>
      <w:r w:rsidR="00A52113" w:rsidRPr="00D9348B">
        <w:rPr>
          <w:rFonts w:cs="Calibri"/>
          <w:spacing w:val="-2"/>
        </w:rPr>
        <w:t> </w:t>
      </w:r>
      <w:r w:rsidRPr="00D9348B">
        <w:rPr>
          <w:rFonts w:cs="Calibri"/>
          <w:spacing w:val="-2"/>
        </w:rPr>
        <w:t xml:space="preserve">For further details, see the inventory methodology document on the MPI website </w:t>
      </w:r>
      <w:hyperlink r:id="rId114" w:history="1">
        <w:r w:rsidRPr="00D9348B">
          <w:rPr>
            <w:rFonts w:cs="Calibri"/>
            <w:spacing w:val="-2"/>
          </w:rPr>
          <w:t>(http://mpi.govt.nz/news-and-resources/statistics-and-forecasting/greenhouse-gas-reporting</w:t>
        </w:r>
      </w:hyperlink>
      <w:r w:rsidRPr="00D9348B">
        <w:rPr>
          <w:rFonts w:cs="Calibri"/>
        </w:rPr>
        <w:t>).</w:t>
      </w:r>
    </w:p>
    <w:p w14:paraId="106B39D8" w14:textId="77777777" w:rsidR="00F849A7" w:rsidRPr="00D9348B" w:rsidRDefault="00F849A7" w:rsidP="00F849A7">
      <w:pPr>
        <w:pStyle w:val="Heading5"/>
        <w:rPr>
          <w:rFonts w:cs="Calibri"/>
          <w:b/>
        </w:rPr>
      </w:pPr>
      <w:r w:rsidRPr="00D9348B">
        <w:rPr>
          <w:rFonts w:cs="Calibri"/>
        </w:rPr>
        <w:t xml:space="preserve">Monthly diet energy (E) concentration </w:t>
      </w:r>
    </w:p>
    <w:p w14:paraId="7C96C930" w14:textId="77777777" w:rsidR="00F849A7" w:rsidRPr="00D9348B" w:rsidRDefault="00F849A7" w:rsidP="00F849A7">
      <w:pPr>
        <w:pStyle w:val="BodyText"/>
        <w:rPr>
          <w:rFonts w:cs="Calibri"/>
          <w:strike/>
        </w:rPr>
      </w:pPr>
      <w:r w:rsidRPr="00D9348B">
        <w:rPr>
          <w:rFonts w:cs="Calibri"/>
        </w:rPr>
        <w:t>Dairy cattle, non-dairy cattle, sheep and deer are predominantly fed on pasture all year round. Data sets of estimated monthly energy concentrations of pasture consumed by different livestock are used. This diet may be supplemented with supplementary feeds of various types, such as pasture hay and silage, and brassica crops. These data are reported in the inventory methodology document (Pickering and Gibbs, 2019, appendices 3, 9 and 19) and are derived from published and unpublished research trial data and supplemented with additional data from farm surveys on commercial cattle and sheep farms.</w:t>
      </w:r>
    </w:p>
    <w:p w14:paraId="3FB13FB5" w14:textId="77777777" w:rsidR="00F849A7" w:rsidRPr="00D9348B" w:rsidRDefault="00F849A7" w:rsidP="00F849A7">
      <w:pPr>
        <w:pStyle w:val="BodyText"/>
        <w:rPr>
          <w:rFonts w:cs="Calibri"/>
        </w:rPr>
      </w:pPr>
      <w:r w:rsidRPr="00D9348B">
        <w:rPr>
          <w:rFonts w:cs="Calibri"/>
        </w:rPr>
        <w:lastRenderedPageBreak/>
        <w:t>To ensure consistency, a single livestock population characterisation and feed-intake estimate is produced by the Tier 2 model. It is used in different parts of the Agriculture sector inventory to estimate CH</w:t>
      </w:r>
      <w:r w:rsidRPr="00D9348B">
        <w:rPr>
          <w:rFonts w:cs="Calibri"/>
          <w:vertAlign w:val="subscript"/>
        </w:rPr>
        <w:t>4</w:t>
      </w:r>
      <w:r w:rsidRPr="00D9348B">
        <w:rPr>
          <w:rFonts w:cs="Calibri"/>
        </w:rPr>
        <w:t xml:space="preserve"> emissions for the </w:t>
      </w:r>
      <w:proofErr w:type="gramStart"/>
      <w:r w:rsidRPr="00D9348B">
        <w:rPr>
          <w:rFonts w:cs="Calibri"/>
          <w:i/>
          <w:iCs/>
        </w:rPr>
        <w:t>Enteric</w:t>
      </w:r>
      <w:proofErr w:type="gramEnd"/>
      <w:r w:rsidRPr="00D9348B">
        <w:rPr>
          <w:rFonts w:cs="Calibri"/>
          <w:i/>
          <w:iCs/>
        </w:rPr>
        <w:t xml:space="preserve"> fermentation </w:t>
      </w:r>
      <w:r w:rsidRPr="00D9348B">
        <w:rPr>
          <w:rFonts w:cs="Calibri"/>
        </w:rPr>
        <w:t>category, CH</w:t>
      </w:r>
      <w:r w:rsidRPr="00D9348B">
        <w:rPr>
          <w:rFonts w:cs="Calibri"/>
          <w:vertAlign w:val="subscript"/>
        </w:rPr>
        <w:t>4</w:t>
      </w:r>
      <w:r w:rsidRPr="00D9348B">
        <w:rPr>
          <w:rFonts w:cs="Calibri"/>
        </w:rPr>
        <w:t xml:space="preserve"> and N</w:t>
      </w:r>
      <w:r w:rsidRPr="00D9348B">
        <w:rPr>
          <w:rFonts w:cs="Calibri"/>
          <w:vertAlign w:val="subscript"/>
        </w:rPr>
        <w:t>2</w:t>
      </w:r>
      <w:r w:rsidRPr="00D9348B">
        <w:rPr>
          <w:rFonts w:cs="Calibri"/>
        </w:rPr>
        <w:t xml:space="preserve">O emissions for the </w:t>
      </w:r>
      <w:r w:rsidRPr="00D9348B">
        <w:rPr>
          <w:rFonts w:cs="Calibri"/>
          <w:i/>
          <w:iCs/>
        </w:rPr>
        <w:t>Manure management</w:t>
      </w:r>
      <w:r w:rsidRPr="00D9348B">
        <w:rPr>
          <w:rFonts w:cs="Calibri"/>
        </w:rPr>
        <w:t xml:space="preserve"> category and N</w:t>
      </w:r>
      <w:r w:rsidRPr="00D9348B">
        <w:rPr>
          <w:rFonts w:cs="Calibri"/>
          <w:vertAlign w:val="subscript"/>
        </w:rPr>
        <w:t>2</w:t>
      </w:r>
      <w:r w:rsidRPr="00D9348B">
        <w:rPr>
          <w:rFonts w:cs="Calibri"/>
        </w:rPr>
        <w:t>O emissions for urine and dung deposited by grazing animals onto pasture.</w:t>
      </w:r>
    </w:p>
    <w:p w14:paraId="0DE5D39B" w14:textId="77777777" w:rsidR="00F849A7" w:rsidRPr="00D9348B" w:rsidRDefault="00F849A7" w:rsidP="00130604">
      <w:pPr>
        <w:pStyle w:val="Heading3"/>
        <w:spacing w:before="240"/>
        <w:rPr>
          <w:rFonts w:cs="Calibri"/>
        </w:rPr>
      </w:pPr>
      <w:bookmarkStart w:id="597" w:name="_Toc32570646"/>
      <w:r w:rsidRPr="00D9348B">
        <w:rPr>
          <w:rFonts w:cs="Calibri"/>
        </w:rPr>
        <w:t xml:space="preserve">5.1.4 </w:t>
      </w:r>
      <w:r w:rsidRPr="00D9348B">
        <w:rPr>
          <w:rFonts w:cs="Calibri"/>
        </w:rPr>
        <w:tab/>
        <w:t>Activity data</w:t>
      </w:r>
      <w:bookmarkEnd w:id="597"/>
    </w:p>
    <w:p w14:paraId="44F39469" w14:textId="77777777" w:rsidR="00F849A7" w:rsidRPr="00D9348B" w:rsidRDefault="00F849A7" w:rsidP="00865BDB">
      <w:pPr>
        <w:pStyle w:val="Heading4"/>
      </w:pPr>
      <w:r w:rsidRPr="00D9348B">
        <w:t xml:space="preserve">Major livestock categories </w:t>
      </w:r>
    </w:p>
    <w:p w14:paraId="4F915556" w14:textId="77777777" w:rsidR="00F849A7" w:rsidRPr="00D9348B" w:rsidRDefault="00F849A7" w:rsidP="00F849A7">
      <w:pPr>
        <w:pStyle w:val="BodyText"/>
        <w:spacing w:before="100" w:after="100"/>
        <w:rPr>
          <w:rFonts w:cs="Calibri"/>
        </w:rPr>
      </w:pPr>
      <w:r w:rsidRPr="00D9348B">
        <w:rPr>
          <w:rFonts w:cs="Calibri"/>
        </w:rPr>
        <w:t xml:space="preserve">The Tier 2 methodology developed by New Zealand uses data on livestock population and productivity to calculate livestock energy requirements. Animal population data are collected by Statistics New Zealand. Productivity data are available from the Livestock Improvement Corporation (LIC) and industry organisations such as Beef + Lamb New Zealand Ltd and Deer Industry New Zealand, which regularly collect animal sector statistics. Statistics on animal carcass weights are collected by MPI and are used to derive liveweights. </w:t>
      </w:r>
    </w:p>
    <w:p w14:paraId="1583B23D" w14:textId="77777777" w:rsidR="00F849A7" w:rsidRPr="00D9348B" w:rsidRDefault="00F849A7" w:rsidP="00F849A7">
      <w:pPr>
        <w:pStyle w:val="BodyText"/>
        <w:spacing w:before="100" w:after="100"/>
        <w:rPr>
          <w:rFonts w:cs="Calibri"/>
        </w:rPr>
      </w:pPr>
      <w:r w:rsidRPr="00D9348B">
        <w:rPr>
          <w:rFonts w:cs="Calibri"/>
        </w:rPr>
        <w:t>A challenge for New Zealand activity data is that the inventory is calculated on a calendar year, while New Zealand uses a June year for animal statistics because this reflects the natural biological cycle for animals in the southern hemisphere. New Zealand developed a Tier 2 model that estimates livestock emissions on a monthly time step, beginning on 1 July of one year and ending on 30 June of the next year. To calculate emissions for a single calendar year (January–December), the calculated emission data from the last six months of a July–June year are combined with the first six months’ emissions of the next July–June year. This approach enables comparisons with the agricultural inventories of other countries.</w:t>
      </w:r>
    </w:p>
    <w:p w14:paraId="78599A82" w14:textId="77777777" w:rsidR="00F849A7" w:rsidRPr="00D9348B" w:rsidRDefault="00F849A7" w:rsidP="00F849A7">
      <w:pPr>
        <w:pStyle w:val="BodyText"/>
        <w:rPr>
          <w:rFonts w:cs="Calibri"/>
        </w:rPr>
      </w:pPr>
      <w:r w:rsidRPr="00D9348B">
        <w:rPr>
          <w:rFonts w:cs="Calibri"/>
          <w:i/>
        </w:rPr>
        <w:t>Dairy cattle</w:t>
      </w:r>
      <w:r w:rsidRPr="00D9348B">
        <w:rPr>
          <w:rFonts w:cs="Calibri"/>
        </w:rPr>
        <w:t xml:space="preserve"> is the only livestock category where emissions are calculated on a regional council area basis (this allows the inventory to take into account regional differences in productivity for dairy livestock (Clark, 2008a)). A regional emissions assessment is not carried out for other livestock types because regional productivity data are not available. </w:t>
      </w:r>
    </w:p>
    <w:p w14:paraId="208970F4" w14:textId="77777777" w:rsidR="00F849A7" w:rsidRPr="00D9348B" w:rsidRDefault="00F849A7" w:rsidP="00130604">
      <w:pPr>
        <w:pStyle w:val="Heading5"/>
        <w:spacing w:before="200"/>
        <w:rPr>
          <w:rFonts w:cs="Calibri"/>
        </w:rPr>
      </w:pPr>
      <w:r w:rsidRPr="00D9348B">
        <w:rPr>
          <w:rFonts w:cs="Calibri"/>
        </w:rPr>
        <w:t xml:space="preserve">Animal population data </w:t>
      </w:r>
    </w:p>
    <w:p w14:paraId="53BF00B4" w14:textId="77777777" w:rsidR="00F849A7" w:rsidRPr="00D9348B" w:rsidRDefault="00F849A7" w:rsidP="00F849A7">
      <w:pPr>
        <w:pStyle w:val="BodyText"/>
        <w:rPr>
          <w:rFonts w:cs="Calibri"/>
        </w:rPr>
      </w:pPr>
      <w:r w:rsidRPr="00D9348B">
        <w:rPr>
          <w:rFonts w:cs="Calibri"/>
        </w:rPr>
        <w:t>Statistics New Zealand collects animal population data on a territorial authority basis. Animal population data are collected on an annual basis through the Agricultural Production Census and Agricultural Production Survey. The census occurs every five years (the most recent occurred in 2017) and the survey is conducted in the interim years. The only difference between these two processes is the sample size, a census attempts to gather information from the entire target population, and a survey attempts to gather information from a sample of that population. Further details about the scope and accuracy of Statistics New Zealand Agricultural Production data collection are provided in annex 3.1.</w:t>
      </w:r>
    </w:p>
    <w:p w14:paraId="618ADED8" w14:textId="77777777" w:rsidR="00F849A7" w:rsidRPr="00D9348B" w:rsidRDefault="00F849A7" w:rsidP="00F849A7">
      <w:pPr>
        <w:pStyle w:val="BodyText"/>
        <w:spacing w:before="100" w:after="100"/>
        <w:rPr>
          <w:rFonts w:cs="Calibri"/>
        </w:rPr>
      </w:pPr>
      <w:r w:rsidRPr="00D9348B">
        <w:rPr>
          <w:rFonts w:cs="Calibri"/>
        </w:rPr>
        <w:t>The timing of Statistics New Zealand data releases (June) and the inventory submission means provisional data (released in December) have been used in the 2020 (1990–2018) submission. These will be updated with final data from Statistics New Zealand in the 2021 (1990–2019) submission. This affects 2019 data, which are sourced from Statistics New Zealand only.</w:t>
      </w:r>
    </w:p>
    <w:p w14:paraId="2793DC10" w14:textId="77777777" w:rsidR="00F849A7" w:rsidRPr="00D9348B" w:rsidRDefault="00F849A7" w:rsidP="00F849A7">
      <w:pPr>
        <w:pStyle w:val="BodyText"/>
        <w:spacing w:before="100" w:after="100"/>
        <w:rPr>
          <w:rFonts w:cs="Calibri"/>
        </w:rPr>
      </w:pPr>
      <w:r w:rsidRPr="00D9348B">
        <w:rPr>
          <w:rFonts w:cs="Calibri"/>
        </w:rPr>
        <w:t>The New Zealand inventory uses a different population characterisation for pasture-based livestock, compared with that recommended by the IPCC (IPCC, 2000, 2006). The full list of categories for the major livestock populations can be found in annex 3.1 and in the inventory methodology document on the MPI website (</w:t>
      </w:r>
      <w:hyperlink r:id="rId115" w:history="1">
        <w:r w:rsidRPr="00D9348B">
          <w:rPr>
            <w:rFonts w:cs="Calibri"/>
          </w:rPr>
          <w:t>http://mpi.govt.nz/news-and-resources/statistics-and-forecasting/greenhouse-gas-reporting</w:t>
        </w:r>
      </w:hyperlink>
      <w:r w:rsidRPr="00D9348B">
        <w:rPr>
          <w:rFonts w:cs="Calibri"/>
        </w:rPr>
        <w:t xml:space="preserve">). </w:t>
      </w:r>
    </w:p>
    <w:p w14:paraId="6E6E1240" w14:textId="77777777" w:rsidR="00F849A7" w:rsidRPr="00D9348B" w:rsidRDefault="00F849A7" w:rsidP="00F849A7">
      <w:pPr>
        <w:pStyle w:val="BodyText"/>
        <w:spacing w:before="100" w:after="100"/>
        <w:rPr>
          <w:rFonts w:cs="Calibri"/>
        </w:rPr>
      </w:pPr>
      <w:r w:rsidRPr="00D9348B">
        <w:rPr>
          <w:rFonts w:cs="Calibri"/>
        </w:rPr>
        <w:lastRenderedPageBreak/>
        <w:t xml:space="preserve">Dairy cattle encompass all cattle that support the milking dairy herd. This includes calves, young growing non-lactating heifers, dry cows and dairy bulls. All other cattle in New Zealand tend to be used for the breeding of animals that are slaughtered for meat consumption. These animals are characterised as non-dairy cattle. These include non-dairy breeding lactating cows used for producing slaughter animals, such as calves, dry cows, bulls and all slaughter classes. A proportion of female calves not required for dairy replacements, and dairy bull calves, also goes into the non-dairy herd and are slaughtered for meat consumption. </w:t>
      </w:r>
    </w:p>
    <w:p w14:paraId="0FBF032F" w14:textId="77777777" w:rsidR="00F849A7" w:rsidRPr="00D9348B" w:rsidRDefault="00F849A7" w:rsidP="00F849A7">
      <w:pPr>
        <w:pStyle w:val="BodyText"/>
        <w:spacing w:before="100" w:after="100"/>
        <w:rPr>
          <w:rFonts w:cs="Calibri"/>
        </w:rPr>
      </w:pPr>
      <w:r w:rsidRPr="00D9348B">
        <w:rPr>
          <w:rFonts w:cs="Calibri"/>
        </w:rPr>
        <w:t>A detailed livestock population model is used to calculate monthly populations for dairy cattle, non-dairy cattle, sheep and deer (see annex 3, table A3.1.2 for the full list of categories).</w:t>
      </w:r>
    </w:p>
    <w:p w14:paraId="2DE9E523" w14:textId="77777777" w:rsidR="00F849A7" w:rsidRPr="00D9348B" w:rsidRDefault="00F849A7" w:rsidP="00F849A7">
      <w:pPr>
        <w:pStyle w:val="BodyText"/>
        <w:spacing w:before="100" w:after="100"/>
        <w:rPr>
          <w:rFonts w:cs="Calibri"/>
          <w:spacing w:val="-2"/>
        </w:rPr>
      </w:pPr>
      <w:r w:rsidRPr="00D9348B">
        <w:rPr>
          <w:rFonts w:cs="Calibri"/>
          <w:spacing w:val="-2"/>
        </w:rPr>
        <w:t>This monthly population delineation has been developed by using industry knowledge and assumptions as detailed in Clark (2008b), Thomson et al., (2010, unpublished) and Suttie (2012). Populations within a given year are adjusted on a monthly basis to account for births, deaths and transfers between age groups. This is necessary because the livestock population numbers present and recorded at one point in time may not accurately reflect the numbers present at other times of the year. For example, the majority of lambs are born and slaughtered between August and May, their numbers therefore do not appear in the June census or survey data. Additionally, male and female dairy calves not wanted as replacements are usually slaughtered at four days of age or transferred to the non-dairy herd. The monthly population model ensures that the calculated feed demand accurately reflects the status of each livestock category at a particular time of the year. Average national estimates of monthly birth and death rates are used, which are based on expert opinion. In reality, these vary across the country and between farms.</w:t>
      </w:r>
    </w:p>
    <w:p w14:paraId="01083900" w14:textId="77777777" w:rsidR="00F849A7" w:rsidRPr="00D9348B" w:rsidRDefault="00F849A7" w:rsidP="00130604">
      <w:pPr>
        <w:pStyle w:val="Heading5"/>
        <w:spacing w:before="200"/>
        <w:rPr>
          <w:rFonts w:cs="Calibri"/>
        </w:rPr>
      </w:pPr>
      <w:r w:rsidRPr="00D9348B">
        <w:rPr>
          <w:rFonts w:cs="Calibri"/>
        </w:rPr>
        <w:t xml:space="preserve">Animal productivity data </w:t>
      </w:r>
    </w:p>
    <w:p w14:paraId="337F5AD7" w14:textId="77777777" w:rsidR="00F849A7" w:rsidRPr="00D9348B" w:rsidRDefault="00F849A7" w:rsidP="00130604">
      <w:pPr>
        <w:pStyle w:val="BodyText"/>
        <w:spacing w:before="100" w:after="100"/>
        <w:rPr>
          <w:rFonts w:cs="Calibri"/>
        </w:rPr>
      </w:pPr>
      <w:r w:rsidRPr="00D9348B">
        <w:rPr>
          <w:rFonts w:cs="Calibri"/>
        </w:rPr>
        <w:t xml:space="preserve">Productivity data are obtained from LIC and DairyNZ (2019), Beef + Lamb New Zealand Ltd (2019) and Deer Industry New Zealand. These are non-governmental, industry goods levy bodies providing services to the dairy cattle, non-dairy cattle, </w:t>
      </w:r>
      <w:proofErr w:type="gramStart"/>
      <w:r w:rsidRPr="00D9348B">
        <w:rPr>
          <w:rFonts w:cs="Calibri"/>
        </w:rPr>
        <w:t>sheep</w:t>
      </w:r>
      <w:proofErr w:type="gramEnd"/>
      <w:r w:rsidRPr="00D9348B">
        <w:rPr>
          <w:rFonts w:cs="Calibri"/>
        </w:rPr>
        <w:t xml:space="preserve"> and deer industries. </w:t>
      </w:r>
    </w:p>
    <w:p w14:paraId="37CCB988" w14:textId="77777777" w:rsidR="00F849A7" w:rsidRPr="00D9348B" w:rsidRDefault="00F849A7" w:rsidP="00130604">
      <w:pPr>
        <w:pStyle w:val="BodyText"/>
        <w:spacing w:before="100" w:after="100"/>
        <w:rPr>
          <w:rFonts w:cs="Calibri"/>
        </w:rPr>
      </w:pPr>
      <w:r w:rsidRPr="00D9348B">
        <w:rPr>
          <w:rFonts w:cs="Calibri"/>
        </w:rPr>
        <w:t xml:space="preserve">Slaughter statistics are collected by MPI (www.mpi.govt.nz/news-and-resources/open-data-and-forecasting/agriculture) and are used as a proxy to establish changes in animal liveweight over time. Animal liveweight is derived from published slaughter-weight statistics and general nationally derived killing-out percentages (Clark et al., 2003; Muir et al., 2008; Muir and Thomson, 2010). </w:t>
      </w:r>
    </w:p>
    <w:p w14:paraId="43F66A10" w14:textId="77777777" w:rsidR="00F849A7" w:rsidRPr="00D9348B" w:rsidRDefault="00F849A7" w:rsidP="00130604">
      <w:pPr>
        <w:pStyle w:val="BodyText"/>
        <w:spacing w:before="100" w:after="100"/>
        <w:rPr>
          <w:rFonts w:cs="Calibri"/>
        </w:rPr>
      </w:pPr>
      <w:r w:rsidRPr="00D9348B">
        <w:rPr>
          <w:rFonts w:cs="Calibri"/>
        </w:rPr>
        <w:t xml:space="preserve">The same data sources are used each year to ensure consistency. Other information, such as the liveweight of non-dairy cattle and breeding bulls, is collected at irregular intervals from small survey populations. For years when data is not available, expert opinion and extrapolation from existing data are used. </w:t>
      </w:r>
    </w:p>
    <w:p w14:paraId="5F4FCD44" w14:textId="77777777" w:rsidR="00F849A7" w:rsidRPr="00D9348B" w:rsidRDefault="00F849A7" w:rsidP="00130604">
      <w:pPr>
        <w:pStyle w:val="BodyText"/>
        <w:spacing w:before="100" w:after="100"/>
        <w:rPr>
          <w:rFonts w:cs="Calibri"/>
        </w:rPr>
      </w:pPr>
      <w:r w:rsidRPr="00D9348B">
        <w:rPr>
          <w:rFonts w:cs="Calibri"/>
          <w:b/>
          <w:bCs/>
          <w:i/>
          <w:iCs/>
        </w:rPr>
        <w:t>Dairy cattle – milk production:</w:t>
      </w:r>
      <w:r w:rsidRPr="00D9348B">
        <w:rPr>
          <w:rFonts w:cs="Calibri"/>
        </w:rPr>
        <w:t xml:space="preserve"> Regional data on milk production, proportions of dairy cattle breeds and animal liveweights are provided by LIC and published annually. These data are collectively compiled by LIC and DairyNZ. </w:t>
      </w:r>
    </w:p>
    <w:p w14:paraId="1382814C" w14:textId="77777777" w:rsidR="00F849A7" w:rsidRPr="00D9348B" w:rsidRDefault="00F849A7" w:rsidP="00130604">
      <w:pPr>
        <w:pStyle w:val="BodyText"/>
        <w:spacing w:before="100" w:after="100"/>
        <w:rPr>
          <w:rFonts w:cs="Calibri"/>
        </w:rPr>
      </w:pPr>
      <w:r w:rsidRPr="00D9348B">
        <w:rPr>
          <w:rFonts w:cs="Calibri"/>
        </w:rPr>
        <w:t xml:space="preserve">Data on New Zealand’s total milk production originate from the amount of milk processed through New Zealand dairy factories for both the export and domestic markets. Data on individual animal production are sourced from the Dairy Core Database, the regulated portion of LIC’s database that holds core production data from cow herds tested in New Zealand. Dairy farmers are paid on total kilograms of milk solids (fat and protein) collected. Tankers that collect the milk also meter the milk collected from individual farms, and these meters are regularly calibrated and audited. Milk samples from individual farms are also independently tested for milk solids, milk fat and protein content. </w:t>
      </w:r>
    </w:p>
    <w:p w14:paraId="10A7010D" w14:textId="353B1B79" w:rsidR="00F849A7" w:rsidRPr="00D9348B" w:rsidRDefault="00F849A7" w:rsidP="00F849A7">
      <w:pPr>
        <w:pStyle w:val="BodyText"/>
        <w:rPr>
          <w:rFonts w:cs="Calibri"/>
        </w:rPr>
      </w:pPr>
      <w:r w:rsidRPr="00D9348B">
        <w:rPr>
          <w:rFonts w:cs="Calibri"/>
        </w:rPr>
        <w:lastRenderedPageBreak/>
        <w:t>LIC provides annual milk production data (milk yield and composition), but the Tier 2 livestock model operates on a monthly time step. Monthly milk production is determined by multiplying the assumed proportion of annual milk production for each month by the total annual milk production (see annex 3, table A3.1.3). Milk production commences from mid-July to early</w:t>
      </w:r>
      <w:r w:rsidR="00A5060F" w:rsidRPr="00D9348B">
        <w:rPr>
          <w:rFonts w:cs="Calibri"/>
        </w:rPr>
        <w:t> </w:t>
      </w:r>
      <w:r w:rsidRPr="00D9348B">
        <w:rPr>
          <w:rFonts w:cs="Calibri"/>
        </w:rPr>
        <w:t xml:space="preserve">August every year, peaking around October–November and declines during autumn (April–May in the southern hemisphere). Milk production is low to non-existent in June and July in most herds (see figure 5.1.6). </w:t>
      </w:r>
    </w:p>
    <w:p w14:paraId="71E00B4A" w14:textId="77777777" w:rsidR="00F849A7" w:rsidRPr="00D9348B" w:rsidRDefault="00F849A7" w:rsidP="00F849A7">
      <w:pPr>
        <w:pStyle w:val="BodyText"/>
        <w:rPr>
          <w:rFonts w:cs="Calibri"/>
        </w:rPr>
      </w:pPr>
      <w:r w:rsidRPr="00D9348B">
        <w:rPr>
          <w:rFonts w:cs="Calibri"/>
        </w:rPr>
        <w:t>From 2004, annual milk yields per animal have been obtained and reported as additional data in the CRF tables by dividing the total milk produced by the total number of milking dairy cows and heifers. New Zealand assumes an additional 107 litres of milk is added to the first half of the annual lactation of each cow to allow for milk fed to calves; this assumption was based on a review of the animal energy model and a survey of farmers by Thomson et al. (2010).</w:t>
      </w:r>
    </w:p>
    <w:p w14:paraId="3B1DFF3C" w14:textId="77777777" w:rsidR="00F849A7" w:rsidRPr="00D9348B" w:rsidRDefault="00F849A7" w:rsidP="00F849A7">
      <w:pPr>
        <w:pStyle w:val="Figure"/>
        <w:spacing w:after="60"/>
        <w:rPr>
          <w:rFonts w:cs="Calibri"/>
        </w:rPr>
      </w:pPr>
      <w:bookmarkStart w:id="598" w:name="_Toc481752011"/>
      <w:bookmarkStart w:id="599" w:name="_Toc507158470"/>
      <w:bookmarkStart w:id="600" w:name="_Toc511116961"/>
      <w:bookmarkStart w:id="601" w:name="_Toc5269691"/>
      <w:bookmarkStart w:id="602" w:name="_Toc32570962"/>
      <w:bookmarkStart w:id="603" w:name="_Toc36292792"/>
      <w:r w:rsidRPr="00D9348B">
        <w:rPr>
          <w:rFonts w:cs="Calibri"/>
        </w:rPr>
        <w:t xml:space="preserve">Figure 5.1.6 </w:t>
      </w:r>
      <w:r w:rsidRPr="00D9348B">
        <w:rPr>
          <w:rFonts w:cs="Calibri"/>
        </w:rPr>
        <w:tab/>
        <w:t xml:space="preserve">National monthly milk production in New Zealand from 2016 to </w:t>
      </w:r>
      <w:bookmarkEnd w:id="598"/>
      <w:r w:rsidRPr="00D9348B">
        <w:rPr>
          <w:rFonts w:cs="Calibri"/>
        </w:rPr>
        <w:t>2018</w:t>
      </w:r>
      <w:bookmarkEnd w:id="599"/>
      <w:bookmarkEnd w:id="600"/>
      <w:bookmarkEnd w:id="601"/>
      <w:bookmarkEnd w:id="602"/>
      <w:bookmarkEnd w:id="603"/>
    </w:p>
    <w:p w14:paraId="08D56343" w14:textId="1FBB602A" w:rsidR="00F849A7" w:rsidRPr="00D9348B" w:rsidRDefault="007165CF" w:rsidP="00F849A7">
      <w:pPr>
        <w:jc w:val="center"/>
        <w:rPr>
          <w:rFonts w:cs="Calibri"/>
        </w:rPr>
      </w:pPr>
      <w:r>
        <w:rPr>
          <w:rFonts w:cs="Calibri"/>
        </w:rPr>
        <w:pict w14:anchorId="392138E0">
          <v:shape id="_x0000_i1079" type="#_x0000_t75" style="width:410.7pt;height:218.5pt;visibility:visible;mso-wrap-style:square">
            <v:imagedata r:id="rId116" o:title="" cropbottom="1384f"/>
          </v:shape>
        </w:pict>
      </w:r>
    </w:p>
    <w:p w14:paraId="7D4DB93C" w14:textId="77777777" w:rsidR="00F849A7" w:rsidRPr="00D9348B" w:rsidRDefault="00F849A7" w:rsidP="00F849A7">
      <w:pPr>
        <w:pStyle w:val="Source"/>
        <w:spacing w:after="120"/>
        <w:rPr>
          <w:rFonts w:cs="Calibri"/>
          <w:b/>
          <w:bCs/>
        </w:rPr>
      </w:pPr>
      <w:r w:rsidRPr="00D9348B">
        <w:rPr>
          <w:rFonts w:cs="Calibri"/>
          <w:b/>
          <w:bCs/>
        </w:rPr>
        <w:t>Source</w:t>
      </w:r>
      <w:r w:rsidRPr="00D9348B">
        <w:rPr>
          <w:rFonts w:cs="Calibri"/>
        </w:rPr>
        <w:t>: Dairy Companies Association of New Zealand (2019)</w:t>
      </w:r>
    </w:p>
    <w:p w14:paraId="29C81FF8" w14:textId="77777777" w:rsidR="00F849A7" w:rsidRPr="00D9348B" w:rsidRDefault="00F849A7" w:rsidP="00F849A7">
      <w:pPr>
        <w:pStyle w:val="BodyText"/>
        <w:rPr>
          <w:rFonts w:cs="Calibri"/>
          <w:spacing w:val="-2"/>
        </w:rPr>
      </w:pPr>
      <w:r w:rsidRPr="00D9348B">
        <w:rPr>
          <w:rFonts w:cs="Calibri"/>
          <w:spacing w:val="-2"/>
        </w:rPr>
        <w:t xml:space="preserve">Before 1993, no productivity data were collected at a territorial authority level, so pre-1993 data have been estimated by extrapolating from the trends observed in existing data from 1994 to 2008. </w:t>
      </w:r>
    </w:p>
    <w:p w14:paraId="7D7F3998" w14:textId="77777777" w:rsidR="00F849A7" w:rsidRPr="00D9348B" w:rsidRDefault="00F849A7" w:rsidP="00F849A7">
      <w:pPr>
        <w:pStyle w:val="BodyText"/>
        <w:rPr>
          <w:rFonts w:cs="Calibri"/>
        </w:rPr>
      </w:pPr>
      <w:r w:rsidRPr="00D9348B">
        <w:rPr>
          <w:rFonts w:cs="Calibri"/>
        </w:rPr>
        <w:t>Before 2004, not all productivity data required could be collected from LIC at a territorial authority level. From 1993–2003, annual milk yield per cow was determined by the following equation:</w:t>
      </w:r>
    </w:p>
    <w:bookmarkStart w:id="604" w:name="_MON_1579592448"/>
    <w:bookmarkEnd w:id="604"/>
    <w:p w14:paraId="14D16785" w14:textId="16934121" w:rsidR="00F849A7" w:rsidRPr="00D9348B" w:rsidRDefault="00D4214D" w:rsidP="00A4725A">
      <w:pPr>
        <w:pStyle w:val="BodyText"/>
        <w:spacing w:before="0" w:after="0"/>
        <w:rPr>
          <w:rFonts w:cs="Calibri"/>
        </w:rPr>
      </w:pPr>
      <w:r w:rsidRPr="00D9348B">
        <w:rPr>
          <w:rFonts w:cs="Calibri"/>
        </w:rPr>
        <w:object w:dxaOrig="7619" w:dyaOrig="747" w14:anchorId="105F44DB">
          <v:shape id="_x0000_i1080" type="#_x0000_t75" style="width:380.05pt;height:37.55pt" o:ole="">
            <v:imagedata r:id="rId117" o:title="" cropbottom="13577f"/>
          </v:shape>
          <o:OLEObject Type="Embed" ProgID="Word.Document.12" ShapeID="_x0000_i1080" DrawAspect="Content" ObjectID="_1647932318" r:id="rId118">
            <o:FieldCodes>\s</o:FieldCodes>
          </o:OLEObject>
        </w:object>
      </w:r>
    </w:p>
    <w:p w14:paraId="407D10FD" w14:textId="373ACD8B" w:rsidR="00F849A7" w:rsidRPr="00D9348B" w:rsidRDefault="00F849A7" w:rsidP="00F849A7">
      <w:pPr>
        <w:pStyle w:val="BodyText"/>
        <w:rPr>
          <w:rFonts w:cs="Calibri"/>
        </w:rPr>
      </w:pPr>
      <w:r w:rsidRPr="00D9348B">
        <w:rPr>
          <w:rFonts w:cs="Calibri"/>
        </w:rPr>
        <w:t>From 2004 onwards, productivity data have been collected by LIC at a similar territorial authority level as the livestock population data collected by Statistics New Zealand. MPI officials aggregate the territorial data up into the regional council boundaries used for the</w:t>
      </w:r>
      <w:r w:rsidR="00CC5C4F" w:rsidRPr="00D9348B">
        <w:rPr>
          <w:rFonts w:cs="Calibri"/>
        </w:rPr>
        <w:t> </w:t>
      </w:r>
      <w:r w:rsidRPr="00D9348B">
        <w:rPr>
          <w:rFonts w:cs="Calibri"/>
        </w:rPr>
        <w:t xml:space="preserve">population data. </w:t>
      </w:r>
    </w:p>
    <w:p w14:paraId="1901922E" w14:textId="77777777" w:rsidR="00F849A7" w:rsidRPr="00D9348B" w:rsidRDefault="00F849A7" w:rsidP="00F849A7">
      <w:pPr>
        <w:pStyle w:val="BodyText"/>
        <w:rPr>
          <w:rFonts w:cs="Calibri"/>
        </w:rPr>
      </w:pPr>
      <w:r w:rsidRPr="00D9348B">
        <w:rPr>
          <w:rFonts w:cs="Calibri"/>
        </w:rPr>
        <w:t xml:space="preserve">Approximately 72.4 per cent of all dairy cattle in milk were tested by LIC for milk production, along with the milk tested for milk fat and protein levels in the 2017/18 season (LIC and DairyNZ, 2018). LIC also does genetic testing to identify key breeding stock and their genetic </w:t>
      </w:r>
      <w:r w:rsidRPr="00D9348B">
        <w:rPr>
          <w:rFonts w:cs="Calibri"/>
        </w:rPr>
        <w:lastRenderedPageBreak/>
        <w:t xml:space="preserve">background. Genetic improvement has contributed significantly to the per-animal productivity improvements in the New Zealand dairy cattle herd (LIC, 2009). </w:t>
      </w:r>
    </w:p>
    <w:p w14:paraId="6C51A123" w14:textId="77777777" w:rsidR="00F849A7" w:rsidRPr="00D9348B" w:rsidRDefault="00F849A7" w:rsidP="00F849A7">
      <w:pPr>
        <w:pStyle w:val="BodyText"/>
        <w:rPr>
          <w:rFonts w:cs="Calibri"/>
        </w:rPr>
      </w:pPr>
      <w:r w:rsidRPr="00D9348B">
        <w:rPr>
          <w:rFonts w:cs="Calibri"/>
        </w:rPr>
        <w:t xml:space="preserve">New Zealand’s dairy production per animal is lower, compared with other developed countries. This is because New Zealand has predominantly pasture-based dairy systems rather than the housed grain-fed systems used in Europe and North America. </w:t>
      </w:r>
    </w:p>
    <w:p w14:paraId="129F9EEC" w14:textId="77777777" w:rsidR="00F849A7" w:rsidRPr="00D9348B" w:rsidRDefault="00F849A7" w:rsidP="00F849A7">
      <w:pPr>
        <w:pStyle w:val="BodyText"/>
        <w:rPr>
          <w:rFonts w:cs="Calibri"/>
        </w:rPr>
      </w:pPr>
      <w:r w:rsidRPr="00D9348B">
        <w:rPr>
          <w:rFonts w:cs="Calibri"/>
          <w:b/>
          <w:bCs/>
          <w:i/>
          <w:iCs/>
        </w:rPr>
        <w:t xml:space="preserve">Dairy cattle – liveweight: </w:t>
      </w:r>
      <w:r w:rsidRPr="00D9348B">
        <w:rPr>
          <w:rFonts w:cs="Calibri"/>
        </w:rPr>
        <w:t xml:space="preserve">Average liveweight data for dairy cows are obtained by taking into </w:t>
      </w:r>
      <w:r w:rsidRPr="00D9348B">
        <w:rPr>
          <w:rFonts w:cs="Calibri"/>
          <w:spacing w:val="-2"/>
        </w:rPr>
        <w:t>account the proportion of each breed in the national herd and its age structure based on LIC data</w:t>
      </w:r>
      <w:r w:rsidRPr="00D9348B">
        <w:rPr>
          <w:rFonts w:cs="Calibri"/>
        </w:rPr>
        <w:t xml:space="preserve">. Dairy cow liveweight data are only available from LIC from 1996 onwards and have been </w:t>
      </w:r>
      <w:r w:rsidRPr="00D9348B">
        <w:rPr>
          <w:rFonts w:cs="Calibri"/>
          <w:spacing w:val="-2"/>
        </w:rPr>
        <w:t>disaggregated into eight regions, with some of these comprising several regional council regions.</w:t>
      </w:r>
      <w:r w:rsidRPr="00D9348B">
        <w:rPr>
          <w:rFonts w:cs="Calibri"/>
        </w:rPr>
        <w:t xml:space="preserve"> Data from the livestock improvement regions were appropriately apportioned to regional council areas. Liveweights prior to 1996 were estimated using the trend in liveweights from 1996 to 2008, together with data on the breed composition of the national herd (LIC, 2009). </w:t>
      </w:r>
    </w:p>
    <w:p w14:paraId="10A08A18" w14:textId="77777777" w:rsidR="00F849A7" w:rsidRPr="00D9348B" w:rsidRDefault="00F849A7" w:rsidP="00F849A7">
      <w:pPr>
        <w:pStyle w:val="BodyText"/>
        <w:rPr>
          <w:rFonts w:cs="Calibri"/>
        </w:rPr>
      </w:pPr>
      <w:r w:rsidRPr="00D9348B">
        <w:rPr>
          <w:rFonts w:cs="Calibri"/>
        </w:rPr>
        <w:t xml:space="preserve">In the model, replacement dairy animals (calves) are assumed to be approximately 9 per cent of the weight of the average cow at birth and to reach 90 per cent of the weight of the average adult cow at calving (at two years of age) (Clark et al., 2003). Growth between birth and calving is divided into two periods: birth to weaning and weaning to calving. Higher growth rates are applied in the model between birth and weaning, when animals receive milk as part of their diet. Within each period, the same daily growth rate is applied for the entire length of the period and applied nationally. </w:t>
      </w:r>
    </w:p>
    <w:p w14:paraId="79DE83B2" w14:textId="77777777" w:rsidR="00F849A7" w:rsidRPr="00D9348B" w:rsidRDefault="00F849A7" w:rsidP="00F849A7">
      <w:pPr>
        <w:pStyle w:val="BodyText"/>
        <w:rPr>
          <w:rFonts w:cs="Calibri"/>
        </w:rPr>
      </w:pPr>
      <w:r w:rsidRPr="00D9348B">
        <w:rPr>
          <w:rFonts w:cs="Calibri"/>
        </w:rPr>
        <w:t xml:space="preserve">No data are available on the liveweights and performance of most breeding dairy bulls, which can range from the small Jersey breeds through to larger European beef breeds. It is assumed, based on expert opinion and taking into account industry data (Clark et al., 2003), that the average mature weight at 1 January is 500 kilograms and that they grow at 0.5 kilograms per day. This gives an average weight (at the mid-point of the year) of 592 kilograms. This is almost 25 per cent higher than the average weight of a breeding dairy cow but is supported by expert opinion given that some of the bulls will be of a heavier breed (e.g., Friesian and some beef breeds). Total emissions are not highly sensitive to these assumed liveweight values because breeding bulls in the dairy herd are low in number and contribute less than 0.1 per cent of emissions to the dairy sector. </w:t>
      </w:r>
    </w:p>
    <w:p w14:paraId="686F40B8" w14:textId="77777777" w:rsidR="00F849A7" w:rsidRPr="00D9348B" w:rsidRDefault="00F849A7" w:rsidP="00F849A7">
      <w:pPr>
        <w:pStyle w:val="BodyText"/>
        <w:rPr>
          <w:rFonts w:cs="Calibri"/>
        </w:rPr>
      </w:pPr>
      <w:r w:rsidRPr="00D9348B">
        <w:rPr>
          <w:rFonts w:cs="Calibri"/>
        </w:rPr>
        <w:t>LIC and DairyNZ (2019), reported a number of different breeds in the New Zealand dairy herd, these included:</w:t>
      </w:r>
    </w:p>
    <w:p w14:paraId="0F12B2D5" w14:textId="77777777" w:rsidR="00F849A7" w:rsidRPr="00D9348B" w:rsidRDefault="00F849A7" w:rsidP="00F849A7">
      <w:pPr>
        <w:pStyle w:val="Bullet"/>
        <w:rPr>
          <w:rFonts w:cs="Calibri"/>
        </w:rPr>
      </w:pPr>
      <w:r w:rsidRPr="00D9348B">
        <w:rPr>
          <w:rFonts w:cs="Calibri"/>
        </w:rPr>
        <w:t xml:space="preserve">Holstein–Friesian/Jersey crossbreed (48.5 per cent of the national cow population in 2018) </w:t>
      </w:r>
    </w:p>
    <w:p w14:paraId="5B633CA4" w14:textId="77777777" w:rsidR="00F849A7" w:rsidRPr="00D9348B" w:rsidRDefault="00F849A7" w:rsidP="00F849A7">
      <w:pPr>
        <w:pStyle w:val="Bullet"/>
        <w:rPr>
          <w:rFonts w:cs="Calibri"/>
        </w:rPr>
      </w:pPr>
      <w:r w:rsidRPr="00D9348B">
        <w:rPr>
          <w:rFonts w:cs="Calibri"/>
        </w:rPr>
        <w:t xml:space="preserve">Holstein–Friesian (33.1 per cent) </w:t>
      </w:r>
    </w:p>
    <w:p w14:paraId="091A4050" w14:textId="77777777" w:rsidR="00F849A7" w:rsidRPr="00D9348B" w:rsidRDefault="00F849A7" w:rsidP="00F849A7">
      <w:pPr>
        <w:pStyle w:val="Bullet"/>
        <w:rPr>
          <w:rFonts w:cs="Calibri"/>
        </w:rPr>
      </w:pPr>
      <w:r w:rsidRPr="00D9348B">
        <w:rPr>
          <w:rFonts w:cs="Calibri"/>
        </w:rPr>
        <w:t xml:space="preserve">Jersey (8.6 per cent) </w:t>
      </w:r>
    </w:p>
    <w:p w14:paraId="4F2203A5" w14:textId="77777777" w:rsidR="00F849A7" w:rsidRPr="00D9348B" w:rsidRDefault="00F849A7" w:rsidP="00F849A7">
      <w:pPr>
        <w:pStyle w:val="Bullet"/>
        <w:rPr>
          <w:rFonts w:cs="Calibri"/>
        </w:rPr>
      </w:pPr>
      <w:r w:rsidRPr="00D9348B">
        <w:rPr>
          <w:rFonts w:cs="Calibri"/>
        </w:rPr>
        <w:t xml:space="preserve">Ayrshire (0.5 per cent) </w:t>
      </w:r>
    </w:p>
    <w:p w14:paraId="66F2AED3" w14:textId="77777777" w:rsidR="00F849A7" w:rsidRPr="00D9348B" w:rsidRDefault="00F849A7" w:rsidP="00F849A7">
      <w:pPr>
        <w:pStyle w:val="Bullet"/>
        <w:rPr>
          <w:rFonts w:cs="Calibri"/>
        </w:rPr>
      </w:pPr>
      <w:proofErr w:type="gramStart"/>
      <w:r w:rsidRPr="00D9348B">
        <w:rPr>
          <w:rFonts w:cs="Calibri"/>
        </w:rPr>
        <w:t>other</w:t>
      </w:r>
      <w:proofErr w:type="gramEnd"/>
      <w:r w:rsidRPr="00D9348B">
        <w:rPr>
          <w:rFonts w:cs="Calibri"/>
        </w:rPr>
        <w:t xml:space="preserve"> breeds (9.3 per cent).</w:t>
      </w:r>
    </w:p>
    <w:p w14:paraId="0729C559" w14:textId="4418D9F4" w:rsidR="00F849A7" w:rsidRPr="00D9348B" w:rsidRDefault="00F849A7" w:rsidP="00F849A7">
      <w:pPr>
        <w:pStyle w:val="BodyText"/>
        <w:rPr>
          <w:rFonts w:cs="Calibri"/>
        </w:rPr>
      </w:pPr>
      <w:r w:rsidRPr="00D9348B">
        <w:rPr>
          <w:rFonts w:cs="Calibri"/>
        </w:rPr>
        <w:t>The Holstein–Friesian/Jersey crossbreed has been developed specifically for New Zealand’s pasture-based systems. This breed is approximately 7.3 per cent lighter than a Holstein–Friesian (LIC and DairyNZ, 2019) and has lower maintenance feed requirements. It does less damage to pasture during wet periods due to its lower liveweight, compared with larger cattle breeds. It also has higher milk volumes than the Jersey breed while maintaining a high</w:t>
      </w:r>
      <w:r w:rsidR="008B2E08">
        <w:rPr>
          <w:rFonts w:cs="Calibri"/>
        </w:rPr>
        <w:t> </w:t>
      </w:r>
      <w:r w:rsidRPr="00D9348B">
        <w:rPr>
          <w:rFonts w:cs="Calibri"/>
        </w:rPr>
        <w:t xml:space="preserve">percentage of milk solids. </w:t>
      </w:r>
    </w:p>
    <w:p w14:paraId="6884A200" w14:textId="77777777" w:rsidR="00F849A7" w:rsidRPr="00D9348B" w:rsidRDefault="00F849A7" w:rsidP="00F849A7">
      <w:pPr>
        <w:pStyle w:val="BodyText"/>
        <w:rPr>
          <w:rFonts w:cs="Calibri"/>
        </w:rPr>
      </w:pPr>
      <w:r w:rsidRPr="00D9348B">
        <w:rPr>
          <w:rFonts w:cs="Calibri"/>
          <w:b/>
          <w:bCs/>
          <w:i/>
          <w:iCs/>
        </w:rPr>
        <w:lastRenderedPageBreak/>
        <w:t>Non-dairy cattle:</w:t>
      </w:r>
      <w:r w:rsidRPr="00D9348B">
        <w:rPr>
          <w:rFonts w:cs="Calibri"/>
        </w:rPr>
        <w:t xml:space="preserve"> The principal source of information for estimating productivity for non-dairy (beef) cattle is livestock slaughter statistics provided by MPI. All growing beef animals are assumed to be slaughtered at two years of age</w:t>
      </w:r>
      <w:r w:rsidRPr="00D9348B">
        <w:rPr>
          <w:rStyle w:val="FootnoteReference"/>
          <w:rFonts w:cs="Calibri"/>
        </w:rPr>
        <w:footnoteReference w:id="38"/>
      </w:r>
      <w:r w:rsidRPr="00D9348B">
        <w:rPr>
          <w:rFonts w:cs="Calibri"/>
        </w:rPr>
        <w:t>, and the average weight at slaughter for the three categories (</w:t>
      </w:r>
      <w:r w:rsidRPr="00D9348B">
        <w:rPr>
          <w:rFonts w:cs="Calibri"/>
          <w:i/>
          <w:iCs/>
        </w:rPr>
        <w:t>Heifers</w:t>
      </w:r>
      <w:r w:rsidRPr="00D9348B">
        <w:rPr>
          <w:rFonts w:cs="Calibri"/>
        </w:rPr>
        <w:t xml:space="preserve">, </w:t>
      </w:r>
      <w:r w:rsidRPr="00D9348B">
        <w:rPr>
          <w:rFonts w:cs="Calibri"/>
          <w:i/>
          <w:iCs/>
        </w:rPr>
        <w:t>Steers</w:t>
      </w:r>
      <w:r w:rsidRPr="00D9348B">
        <w:rPr>
          <w:rFonts w:cs="Calibri"/>
        </w:rPr>
        <w:t xml:space="preserve"> and </w:t>
      </w:r>
      <w:r w:rsidRPr="00D9348B">
        <w:rPr>
          <w:rFonts w:cs="Calibri"/>
          <w:i/>
          <w:iCs/>
        </w:rPr>
        <w:t>Bulls</w:t>
      </w:r>
      <w:r w:rsidRPr="00D9348B">
        <w:rPr>
          <w:rFonts w:cs="Calibri"/>
        </w:rPr>
        <w:t xml:space="preserve">) is estimated from the carcass weight at slaughter. Liveweights at birth are assumed to be approximately 9 per cent of an adult cow weight for heifers and 10 per cent for steers and bulls (Clark et al., 2003). As with dairy cattle, growth rates of all growing animals are divided into two periods in the model: birth to weaning and weaning to slaughter. Higher growth rates are applied before weaning when animals receive milk as part of their diet. Within each period, the same daily growth rate is applied for the entire period. </w:t>
      </w:r>
    </w:p>
    <w:p w14:paraId="4347BC75" w14:textId="77777777" w:rsidR="00F849A7" w:rsidRPr="00D9348B" w:rsidRDefault="00F849A7" w:rsidP="00F849A7">
      <w:pPr>
        <w:pStyle w:val="BodyText"/>
        <w:rPr>
          <w:rFonts w:cs="Calibri"/>
        </w:rPr>
      </w:pPr>
      <w:r w:rsidRPr="00D9348B">
        <w:rPr>
          <w:rFonts w:cs="Calibri"/>
        </w:rPr>
        <w:t>MPI slaughter statistics have only recently begun to separate carcass weights of adult dairy cows and adult beef cows. Therefore, a number of assumptions</w:t>
      </w:r>
      <w:r w:rsidRPr="00D9348B">
        <w:rPr>
          <w:rStyle w:val="FootnoteReference"/>
          <w:rFonts w:cs="Calibri"/>
        </w:rPr>
        <w:footnoteReference w:id="39"/>
      </w:r>
      <w:r w:rsidRPr="00D9348B">
        <w:rPr>
          <w:rFonts w:cs="Calibri"/>
        </w:rPr>
        <w:t xml:space="preserve"> are made to estimate the liveweights of breeding beef cows. A total milk yield of 800 litres is assumed to be produced per breeding beef cow, which is then consumed by beef calves (Clark et al., 2003). </w:t>
      </w:r>
    </w:p>
    <w:p w14:paraId="3215A1E8" w14:textId="77777777" w:rsidR="00F849A7" w:rsidRPr="00D9348B" w:rsidRDefault="00F849A7" w:rsidP="00F849A7">
      <w:pPr>
        <w:pStyle w:val="BodyText"/>
        <w:keepLines/>
        <w:rPr>
          <w:rFonts w:cs="Calibri"/>
        </w:rPr>
      </w:pPr>
      <w:r w:rsidRPr="00D9348B">
        <w:rPr>
          <w:rFonts w:cs="Calibri"/>
          <w:b/>
          <w:bCs/>
          <w:i/>
          <w:iCs/>
        </w:rPr>
        <w:t>Sheep:</w:t>
      </w:r>
      <w:r w:rsidRPr="00D9348B">
        <w:rPr>
          <w:rFonts w:cs="Calibri"/>
        </w:rPr>
        <w:t xml:space="preserve"> Livestock slaughter statistics from MPI are used to estimate the liveweights of adult sheep and lambs at slaughter, assuming killing-out percentages</w:t>
      </w:r>
      <w:r w:rsidRPr="00D9348B">
        <w:rPr>
          <w:rStyle w:val="FootnoteReference"/>
          <w:rFonts w:cs="Calibri"/>
        </w:rPr>
        <w:footnoteReference w:id="40"/>
      </w:r>
      <w:r w:rsidRPr="00D9348B">
        <w:rPr>
          <w:rFonts w:cs="Calibri"/>
        </w:rPr>
        <w:t xml:space="preserve"> of approximately 40 per cent for ewes and 45 per cent for lambs (Thomson et al., 2010). Lamb liveweights at birth are assumed to be 9 per cent of the adult ewe weight, with all lambs assumed to be born on 11 September on average (Thomson et al., 2010). Growing breeding and non</w:t>
      </w:r>
      <w:r w:rsidRPr="00D9348B">
        <w:rPr>
          <w:rFonts w:cs="Calibri"/>
        </w:rPr>
        <w:noBreakHyphen/>
        <w:t xml:space="preserve">breeding ewe hoggets are assumed to reach full adult size when subsequently mated at an age of 20 months. Adult wethers are assumed to be the same weight as adult breeding females. No within-year pattern of liveweight change is assumed for either adult wethers or adult ewes. All ewes rearing a lamb are assumed to have a total milk yield of 100 litres. Breeding rams are assumed to weigh 40 per cent more than adult ewes (Clark et al., 2003). Wool growth (greasy fleece growth) is assumed to be 5 kilograms per annum in mature sheep (ewes, rams and wethers) and 2.5 kilograms per annum in growing sheep and lambs. Beef + Lamb New Zealand Ltd, the industry organisation representing the non-dairy cattle and sheep industries, provides estimates of the total wool production from 1990 to 2018 from which the individual fleece weight is estimated (Beef + Lamb New Zealand Ltd, 2019). </w:t>
      </w:r>
    </w:p>
    <w:p w14:paraId="02F10D1D" w14:textId="77777777" w:rsidR="00F849A7" w:rsidRPr="00D9348B" w:rsidRDefault="00F849A7" w:rsidP="00F849A7">
      <w:pPr>
        <w:pStyle w:val="BodyText"/>
        <w:rPr>
          <w:rFonts w:cs="Calibri"/>
        </w:rPr>
      </w:pPr>
      <w:r w:rsidRPr="00D9348B">
        <w:rPr>
          <w:rFonts w:cs="Calibri"/>
          <w:b/>
          <w:bCs/>
          <w:i/>
          <w:iCs/>
        </w:rPr>
        <w:t>Deer</w:t>
      </w:r>
      <w:r w:rsidRPr="00D9348B">
        <w:rPr>
          <w:rFonts w:cs="Calibri"/>
          <w:b/>
          <w:bCs/>
        </w:rPr>
        <w:t>:</w:t>
      </w:r>
      <w:r w:rsidRPr="00D9348B">
        <w:rPr>
          <w:rFonts w:cs="Calibri"/>
        </w:rPr>
        <w:t xml:space="preserve"> Liveweights of growing hinds and stags are estimated from Deer Industry New Zealand statistics, assuming a killing-out percentage of 55 per cent. A fawn birth weight of 9 per cent of the adult female weight and a common birth date of mid-November are assumed. Liveweights of breeding stags and hinds are based on a report by Suttie (2012). It is assumed there is no pattern of liveweight change within any given year. The lactation assumptions are 204 litres over 120 days, an average daily lactation yield of 1.7 litres per day (Suttie, 2012). </w:t>
      </w:r>
    </w:p>
    <w:p w14:paraId="7490BE1D" w14:textId="77777777" w:rsidR="00F849A7" w:rsidRPr="00D9348B" w:rsidRDefault="00F849A7" w:rsidP="00865BDB">
      <w:pPr>
        <w:pStyle w:val="Heading4"/>
      </w:pPr>
      <w:r w:rsidRPr="00D9348B">
        <w:lastRenderedPageBreak/>
        <w:t xml:space="preserve">Minor livestock categories </w:t>
      </w:r>
    </w:p>
    <w:p w14:paraId="6FDA61A9" w14:textId="02861408" w:rsidR="00F849A7" w:rsidRPr="00D9348B" w:rsidRDefault="00F849A7" w:rsidP="00F849A7">
      <w:pPr>
        <w:pStyle w:val="BodyText"/>
        <w:rPr>
          <w:rFonts w:cs="Calibri"/>
        </w:rPr>
      </w:pPr>
      <w:r w:rsidRPr="00D9348B">
        <w:rPr>
          <w:rFonts w:cs="Calibri"/>
        </w:rPr>
        <w:t>A Tier 1 methodology is used for goats, horses, mules and asses, swine, poultry and alpacas (IPCC, 2006), using a combination of country-specific and IPCC default emission factors (annex</w:t>
      </w:r>
      <w:r w:rsidR="00D4214D" w:rsidRPr="00D9348B">
        <w:rPr>
          <w:rFonts w:cs="Calibri"/>
        </w:rPr>
        <w:t> </w:t>
      </w:r>
      <w:r w:rsidRPr="00D9348B">
        <w:rPr>
          <w:rFonts w:cs="Calibri"/>
        </w:rPr>
        <w:t xml:space="preserve">A3.1.2, table A3.1.4). </w:t>
      </w:r>
    </w:p>
    <w:p w14:paraId="27E17C5E" w14:textId="77777777" w:rsidR="00F849A7" w:rsidRPr="00D9348B" w:rsidRDefault="00F849A7" w:rsidP="00F849A7">
      <w:pPr>
        <w:pStyle w:val="BodyText"/>
        <w:rPr>
          <w:rFonts w:cs="Calibri"/>
        </w:rPr>
      </w:pPr>
      <w:r w:rsidRPr="00D9348B">
        <w:rPr>
          <w:rFonts w:cs="Calibri"/>
        </w:rPr>
        <w:t xml:space="preserve">The populations of goats, horses and swine are reported using data from the Statistics New Zealand Agricultural Production Census and Survey. Data on the population of alpacas prior to 2010 are provided by Henderson and Cameron (unpublished) based on data from the Alpaca Association New Zealand. Alpaca population data from 2010 onwards are provided by Statistics New Zealand. </w:t>
      </w:r>
    </w:p>
    <w:p w14:paraId="106CF240" w14:textId="77777777" w:rsidR="00F849A7" w:rsidRPr="00D9348B" w:rsidRDefault="00F849A7" w:rsidP="00CC5C4F">
      <w:pPr>
        <w:pStyle w:val="BodyText"/>
      </w:pPr>
      <w:r w:rsidRPr="00D9348B">
        <w:t xml:space="preserve">A small number of buffalo and donkeys are farmed in New Zealand. Statistics New Zealand advised that, in 2011, there were 192 buffalo and 141 donkeys. Because the buffalo livestock are used for producing milk (which is then used to produce mozzarella cheese in the restaurant industry), they are reported within the dairy herd, so the notation key IE (included elsewhere) is used for buffalo. </w:t>
      </w:r>
    </w:p>
    <w:p w14:paraId="3E963B65" w14:textId="77777777" w:rsidR="00F849A7" w:rsidRPr="00D9348B" w:rsidRDefault="00F849A7" w:rsidP="00F849A7">
      <w:pPr>
        <w:pStyle w:val="BodyText"/>
        <w:spacing w:before="100" w:after="100"/>
        <w:rPr>
          <w:rFonts w:cs="Calibri"/>
        </w:rPr>
      </w:pPr>
      <w:r w:rsidRPr="00D9348B">
        <w:rPr>
          <w:rFonts w:cs="Calibri"/>
        </w:rPr>
        <w:t xml:space="preserve">Mules and asses are not farmed commercially or used as working animals in New Zealand. A constant population of 141 donkeys has been included in the inventory under mules and asses. The emissions from these small populations of animals are extremely small relative to the major livestock categories. </w:t>
      </w:r>
    </w:p>
    <w:p w14:paraId="247169BC" w14:textId="77777777" w:rsidR="00F849A7" w:rsidRPr="00D9348B" w:rsidRDefault="00F849A7" w:rsidP="00F849A7">
      <w:pPr>
        <w:pStyle w:val="BodyText"/>
        <w:rPr>
          <w:rFonts w:cs="Calibri"/>
        </w:rPr>
      </w:pPr>
      <w:r w:rsidRPr="00D9348B">
        <w:rPr>
          <w:rFonts w:cs="Calibri"/>
        </w:rPr>
        <w:t>Poultry is further classified into three sub-categories: broiler chicken, layer hens and other poultry. Statistics New Zealand provides estimates of average annual broiler chicken flock sizes using industry data on the numbers of broilers processed every year since 1990, mortality rates and days alive as suggested by Fick (2010). Statistics New Zealand also obtains estimates of the number of layer hens and other poultry (e.g., ducks, turkeys, emus and ostriches) from the Agricultural Production Census and Survey. Ostrich and emu farming in New Zealand is extremely rare and, in 2015, it was estimated only 739 ostriches were in the country. Other poultry manure management emissions are included and calculated, and enteric fermentation is negligible and therefore not estimated.</w:t>
      </w:r>
    </w:p>
    <w:p w14:paraId="2DF2152F" w14:textId="77777777" w:rsidR="00F849A7" w:rsidRPr="00D9348B" w:rsidRDefault="00F849A7" w:rsidP="00F849A7">
      <w:pPr>
        <w:pStyle w:val="BodyText"/>
        <w:spacing w:before="100" w:after="100"/>
        <w:rPr>
          <w:rFonts w:cs="Calibri"/>
        </w:rPr>
      </w:pPr>
      <w:r w:rsidRPr="00D9348B">
        <w:rPr>
          <w:rFonts w:cs="Calibri"/>
        </w:rPr>
        <w:t xml:space="preserve">The average annual flock size of chickens is determined by the following equation: </w:t>
      </w:r>
    </w:p>
    <w:p w14:paraId="3B237548" w14:textId="23C791D2" w:rsidR="00F849A7" w:rsidRPr="00D9348B" w:rsidRDefault="007165CF" w:rsidP="00F849A7">
      <w:pPr>
        <w:pStyle w:val="BodyText"/>
        <w:spacing w:before="60"/>
        <w:rPr>
          <w:rFonts w:cs="Calibri"/>
        </w:rPr>
      </w:pPr>
      <w:r>
        <w:rPr>
          <w:rFonts w:cs="Calibri"/>
        </w:rPr>
        <w:pict w14:anchorId="32A94BA4">
          <v:shape id="_x0000_i1081" type="#_x0000_t75" style="width:405.7pt;height:21.3pt;visibility:visible;mso-wrap-style:square">
            <v:imagedata r:id="rId119" o:title=""/>
          </v:shape>
        </w:pict>
      </w:r>
    </w:p>
    <w:p w14:paraId="5A571064" w14:textId="77777777" w:rsidR="00F849A7" w:rsidRPr="00D9348B" w:rsidRDefault="00F849A7" w:rsidP="00F849A7">
      <w:pPr>
        <w:pStyle w:val="BodyText"/>
        <w:rPr>
          <w:rFonts w:cs="Calibri"/>
        </w:rPr>
      </w:pPr>
      <w:r w:rsidRPr="00D9348B">
        <w:rPr>
          <w:rFonts w:cs="Calibri"/>
        </w:rPr>
        <w:t xml:space="preserve">Rabbits are considered an agricultural pest, and only a very small number are farmed in the country (R Sanson, pers comm., 2019). Because of this, emissions from farmed rabbits are reported as ‘not estimated’ (NE) because their emissions are insignificant. There is no known farming of other fur-breeding animals. </w:t>
      </w:r>
    </w:p>
    <w:p w14:paraId="591C9FDF" w14:textId="77777777" w:rsidR="00F849A7" w:rsidRPr="00D9348B" w:rsidRDefault="00F849A7" w:rsidP="0090054C">
      <w:pPr>
        <w:pStyle w:val="Heading3"/>
        <w:spacing w:before="240"/>
        <w:rPr>
          <w:rFonts w:cs="Calibri"/>
        </w:rPr>
      </w:pPr>
      <w:bookmarkStart w:id="605" w:name="_Toc32570647"/>
      <w:r w:rsidRPr="00D9348B">
        <w:rPr>
          <w:rFonts w:cs="Calibri"/>
        </w:rPr>
        <w:t xml:space="preserve">5.1.5 </w:t>
      </w:r>
      <w:r w:rsidRPr="00D9348B">
        <w:rPr>
          <w:rFonts w:cs="Calibri"/>
        </w:rPr>
        <w:tab/>
        <w:t>Recalculations</w:t>
      </w:r>
      <w:bookmarkEnd w:id="605"/>
      <w:r w:rsidRPr="00D9348B">
        <w:rPr>
          <w:rFonts w:cs="Calibri"/>
        </w:rPr>
        <w:t xml:space="preserve"> </w:t>
      </w:r>
    </w:p>
    <w:p w14:paraId="3A2E1C28" w14:textId="77777777" w:rsidR="00F849A7" w:rsidRPr="00D9348B" w:rsidRDefault="00F849A7" w:rsidP="00420CB5">
      <w:pPr>
        <w:pStyle w:val="Heading4"/>
        <w:spacing w:before="160"/>
      </w:pPr>
      <w:r w:rsidRPr="00D9348B">
        <w:t xml:space="preserve">Agriculture emissions research </w:t>
      </w:r>
    </w:p>
    <w:p w14:paraId="15FB04D3" w14:textId="77777777" w:rsidR="00F849A7" w:rsidRPr="00D9348B" w:rsidRDefault="00F849A7" w:rsidP="00F849A7">
      <w:pPr>
        <w:pStyle w:val="BodyText"/>
        <w:rPr>
          <w:rFonts w:cs="Calibri"/>
        </w:rPr>
      </w:pPr>
      <w:r w:rsidRPr="00D9348B">
        <w:rPr>
          <w:rFonts w:cs="Calibri"/>
        </w:rPr>
        <w:t>New Zealand has set up a number of research organisations and reference groups to research novel methods and further build an evidence base to enable reductions in biological greenhouse gas emissions from agriculture. These include the following:</w:t>
      </w:r>
    </w:p>
    <w:p w14:paraId="59F4C168" w14:textId="77777777" w:rsidR="00F849A7" w:rsidRPr="00D9348B" w:rsidRDefault="00F849A7" w:rsidP="00F849A7">
      <w:pPr>
        <w:pStyle w:val="Bullet"/>
        <w:rPr>
          <w:rFonts w:cs="Calibri"/>
        </w:rPr>
      </w:pPr>
      <w:r w:rsidRPr="00D9348B">
        <w:rPr>
          <w:rFonts w:cs="Calibri"/>
        </w:rPr>
        <w:t xml:space="preserve">The New Zealand Agricultural Greenhouse Gas Research Centre (NZAGRC) was set up in 2009. </w:t>
      </w:r>
      <w:proofErr w:type="gramStart"/>
      <w:r w:rsidRPr="00D9348B">
        <w:rPr>
          <w:rFonts w:cs="Calibri"/>
        </w:rPr>
        <w:t>It’s</w:t>
      </w:r>
      <w:proofErr w:type="gramEnd"/>
      <w:r w:rsidRPr="00D9348B">
        <w:rPr>
          <w:rFonts w:cs="Calibri"/>
        </w:rPr>
        <w:t xml:space="preserve"> aims are to contribute to agricultural greenhouse gas understanding and mitigation through research programmes and international collaboration, and to enhance New Zealand’s research capability and infrastructure in this area. </w:t>
      </w:r>
    </w:p>
    <w:p w14:paraId="1DAC99CF" w14:textId="77777777" w:rsidR="00F849A7" w:rsidRPr="00D9348B" w:rsidRDefault="00F849A7" w:rsidP="00F849A7">
      <w:pPr>
        <w:pStyle w:val="Bullet"/>
        <w:rPr>
          <w:rFonts w:cs="Calibri"/>
        </w:rPr>
      </w:pPr>
      <w:r w:rsidRPr="00D9348B">
        <w:rPr>
          <w:rFonts w:cs="Calibri"/>
        </w:rPr>
        <w:lastRenderedPageBreak/>
        <w:t>The Pastoral Greenhouse Gas Research Consortium (PGGRC) was established in 2003 by New Zealand agricultural sector organisations and private companies. It funds research, primarily into mitigation technologies and management practices for ruminants but also to provide information to improve on-farm inventories. The PGGRC is funded in partnership between the Government, through the Ministry of Business, Innovation and Employment (MBIE), and the Agriculture sector.</w:t>
      </w:r>
    </w:p>
    <w:p w14:paraId="01956AAD" w14:textId="77777777" w:rsidR="00F849A7" w:rsidRPr="00D9348B" w:rsidRDefault="00F849A7" w:rsidP="00F849A7">
      <w:pPr>
        <w:pStyle w:val="Bullet"/>
        <w:rPr>
          <w:rFonts w:cs="Calibri"/>
        </w:rPr>
      </w:pPr>
      <w:r w:rsidRPr="00D9348B">
        <w:rPr>
          <w:rFonts w:cs="Calibri"/>
        </w:rPr>
        <w:t>New Zealand is one of the founding members of the Global Research Alliance on Agricultural Greenhouse Gases (GRA), which uses international research collaboration to study means of increasing global food production while limiting agricultural greenhouse gas emissions. The GRA’s global networks build emission research capability and facilitate transfer of mitigation technologies and knowledge. MPI has hosted the GRA Secretariat since its establishment in 2009 and coordinates New Zealand’s contribution.</w:t>
      </w:r>
    </w:p>
    <w:p w14:paraId="5C2A2578" w14:textId="77777777" w:rsidR="00F849A7" w:rsidRPr="00D9348B" w:rsidRDefault="00F849A7" w:rsidP="00F849A7">
      <w:pPr>
        <w:pStyle w:val="Bullet"/>
        <w:rPr>
          <w:rFonts w:cs="Calibri"/>
        </w:rPr>
      </w:pPr>
      <w:r w:rsidRPr="00D9348B">
        <w:rPr>
          <w:rFonts w:cs="Calibri"/>
        </w:rPr>
        <w:t xml:space="preserve">MPI’s Greenhouse Gas Inventory Research Fund aims to support continuous improvement of the Agricultural Greenhouse Gas Inventory, as required under the United Nations Framework Convention on Climate Change (UNFCCC) agreed processes, through using research to improve the accuracy of emissions reporting and forecasting. </w:t>
      </w:r>
    </w:p>
    <w:p w14:paraId="57EC5664" w14:textId="77777777" w:rsidR="00F849A7" w:rsidRPr="00D9348B" w:rsidRDefault="00F849A7" w:rsidP="00F849A7">
      <w:pPr>
        <w:pStyle w:val="BodyText"/>
        <w:rPr>
          <w:rFonts w:cs="Calibri"/>
        </w:rPr>
      </w:pPr>
      <w:r w:rsidRPr="00D9348B">
        <w:rPr>
          <w:rFonts w:cs="Calibri"/>
        </w:rPr>
        <w:t>Research and data from these sources feed into New Zealand’s improvement of the Agriculture inventory, and these research activities allow New Zealand to share technical skills and expertise internationally.</w:t>
      </w:r>
    </w:p>
    <w:p w14:paraId="20BB31EA" w14:textId="77777777" w:rsidR="00F849A7" w:rsidRPr="00D9348B" w:rsidRDefault="00F849A7" w:rsidP="00F849A7">
      <w:pPr>
        <w:pStyle w:val="Heading5"/>
        <w:rPr>
          <w:rFonts w:cs="Calibri"/>
        </w:rPr>
      </w:pPr>
      <w:r w:rsidRPr="00D9348B">
        <w:rPr>
          <w:rFonts w:cs="Calibri"/>
        </w:rPr>
        <w:t>Biological Emissions Reference Group</w:t>
      </w:r>
    </w:p>
    <w:p w14:paraId="4876B3F3" w14:textId="77777777" w:rsidR="00F849A7" w:rsidRPr="00D9348B" w:rsidRDefault="00F849A7" w:rsidP="00F849A7">
      <w:pPr>
        <w:pStyle w:val="BodyText"/>
        <w:rPr>
          <w:rFonts w:cs="Calibri"/>
        </w:rPr>
      </w:pPr>
      <w:r w:rsidRPr="00D9348B">
        <w:rPr>
          <w:rFonts w:cs="Calibri"/>
        </w:rPr>
        <w:t xml:space="preserve">The Biological Emissions Reference Group (BERG) was established in 2016. Group members included representatives from agricultural sector organisations and government agencies. The BERG’s purpose was to build a portfolio of published and reviewed scientific evidence covering the opportunities to reduce biological greenhouse gas emissions from New Zealand agriculture, and the costs and benefits of these opportunities and barriers to their use. </w:t>
      </w:r>
    </w:p>
    <w:p w14:paraId="0CE2583B" w14:textId="77777777" w:rsidR="00F849A7" w:rsidRPr="00D9348B" w:rsidRDefault="00F849A7" w:rsidP="00F849A7">
      <w:pPr>
        <w:pStyle w:val="BodyText"/>
        <w:rPr>
          <w:rFonts w:cs="Calibri"/>
        </w:rPr>
      </w:pPr>
      <w:r w:rsidRPr="00D9348B">
        <w:rPr>
          <w:rFonts w:cs="Calibri"/>
        </w:rPr>
        <w:t>The BERG published its evidence base</w:t>
      </w:r>
      <w:r w:rsidRPr="00D9348B">
        <w:rPr>
          <w:rStyle w:val="FootnoteReference"/>
          <w:rFonts w:cs="Calibri"/>
        </w:rPr>
        <w:footnoteReference w:id="41"/>
      </w:r>
      <w:r w:rsidRPr="00D9348B">
        <w:rPr>
          <w:rFonts w:cs="Calibri"/>
        </w:rPr>
        <w:t xml:space="preserve"> in December 2018. This evidence has informed government agricultural emissions policy, as well as actions farmers can take to reduce their emissions. This group has now been disbanded.</w:t>
      </w:r>
    </w:p>
    <w:p w14:paraId="625F98F0" w14:textId="77777777" w:rsidR="00F849A7" w:rsidRPr="00D9348B" w:rsidRDefault="00F849A7" w:rsidP="00F849A7">
      <w:pPr>
        <w:pStyle w:val="Heading5"/>
        <w:rPr>
          <w:rFonts w:cs="Calibri"/>
        </w:rPr>
      </w:pPr>
      <w:r w:rsidRPr="00D9348B">
        <w:rPr>
          <w:rFonts w:cs="Calibri"/>
        </w:rPr>
        <w:t>He Waka Eke Noa</w:t>
      </w:r>
    </w:p>
    <w:p w14:paraId="087B104C" w14:textId="77777777" w:rsidR="00F849A7" w:rsidRPr="00D9348B" w:rsidRDefault="00F849A7" w:rsidP="00F849A7">
      <w:pPr>
        <w:pStyle w:val="BodyText"/>
        <w:rPr>
          <w:rFonts w:cs="Calibri"/>
        </w:rPr>
      </w:pPr>
      <w:r w:rsidRPr="00D9348B">
        <w:rPr>
          <w:rFonts w:cs="Calibri"/>
        </w:rPr>
        <w:t>In October 2019, the Government announced the formation of a Joint Action Plan (He Waka Eke Noa) with the agri-food and fibre sector to address agricultural emissions. He Waka Eke Noa aims to deliver a world-first scheme for the Agriculture sector nationwide, measuring, managing and pricing of greenhouse gas emissions by 2025. It will do this by setting up milestones for the sector to achieve, including ensuring that all farms know their emissions. The Ministers of Climate Change and Agriculture are required to report back in 2022 on the design and feasibility of implementing a farm-level scheme.</w:t>
      </w:r>
    </w:p>
    <w:p w14:paraId="742CF6AB" w14:textId="26435D29" w:rsidR="00F849A7" w:rsidRPr="00D9348B" w:rsidRDefault="00F849A7" w:rsidP="00F849A7">
      <w:pPr>
        <w:pStyle w:val="BodyText"/>
        <w:rPr>
          <w:rFonts w:cs="Calibri"/>
        </w:rPr>
      </w:pPr>
      <w:r w:rsidRPr="00D9348B">
        <w:rPr>
          <w:rFonts w:cs="Calibri"/>
        </w:rPr>
        <w:t>He Waka Eke Noa will form part of New Zealand’s actions towards its</w:t>
      </w:r>
      <w:r w:rsidR="00506DFF">
        <w:rPr>
          <w:rFonts w:cs="Calibri"/>
        </w:rPr>
        <w:t xml:space="preserve"> </w:t>
      </w:r>
      <w:r w:rsidR="00506DFF">
        <w:t>Climate Change Response (Zero Carbon) Amendment Act 2019</w:t>
      </w:r>
      <w:r w:rsidRPr="00D9348B">
        <w:rPr>
          <w:rFonts w:cs="Calibri"/>
        </w:rPr>
        <w:t xml:space="preserve"> targets and Nationally Determined Contributions (NDCs) under the Paris Agreement.</w:t>
      </w:r>
    </w:p>
    <w:p w14:paraId="7BFFEDC3" w14:textId="77777777" w:rsidR="00F849A7" w:rsidRPr="00D9348B" w:rsidRDefault="00F849A7" w:rsidP="00865BDB">
      <w:pPr>
        <w:pStyle w:val="Heading4"/>
      </w:pPr>
      <w:r w:rsidRPr="00D9348B">
        <w:lastRenderedPageBreak/>
        <w:t>Recalculation and improvement approval process in the Agriculture inventory</w:t>
      </w:r>
    </w:p>
    <w:p w14:paraId="2451448F" w14:textId="77777777" w:rsidR="00F849A7" w:rsidRPr="00D9348B" w:rsidRDefault="00F849A7" w:rsidP="00F849A7">
      <w:pPr>
        <w:pStyle w:val="BodyText"/>
        <w:rPr>
          <w:rFonts w:cs="Calibri"/>
        </w:rPr>
      </w:pPr>
      <w:r w:rsidRPr="00D9348B">
        <w:rPr>
          <w:rFonts w:cs="Calibri"/>
        </w:rPr>
        <w:t xml:space="preserve">The process for developing improvements and agreeing methodological changes to the Agriculture inventory is shown in figure 5.1.7. </w:t>
      </w:r>
    </w:p>
    <w:p w14:paraId="5CBFD905" w14:textId="77777777" w:rsidR="00F849A7" w:rsidRPr="00D9348B" w:rsidRDefault="00F849A7" w:rsidP="00F849A7">
      <w:pPr>
        <w:pStyle w:val="BodyText"/>
        <w:rPr>
          <w:rFonts w:cs="Calibri"/>
        </w:rPr>
      </w:pPr>
      <w:r w:rsidRPr="00D9348B">
        <w:rPr>
          <w:rFonts w:cs="Calibri"/>
        </w:rPr>
        <w:t>Two national science and industry expert groups, Methanet and NzOnet,</w:t>
      </w:r>
      <w:r w:rsidRPr="00D9348B">
        <w:rPr>
          <w:rStyle w:val="FootnoteReference"/>
          <w:rFonts w:cs="Calibri"/>
        </w:rPr>
        <w:footnoteReference w:id="42"/>
      </w:r>
      <w:r w:rsidRPr="00D9348B">
        <w:rPr>
          <w:rFonts w:cs="Calibri"/>
        </w:rPr>
        <w:t xml:space="preserve"> have been running since the early 2000s. The groups were formed to identify the main direction of research needed to improve the CH</w:t>
      </w:r>
      <w:r w:rsidRPr="00D9348B">
        <w:rPr>
          <w:rFonts w:cs="Calibri"/>
          <w:vertAlign w:val="subscript"/>
        </w:rPr>
        <w:t>4</w:t>
      </w:r>
      <w:r w:rsidRPr="00D9348B">
        <w:rPr>
          <w:rFonts w:cs="Calibri"/>
        </w:rPr>
        <w:t xml:space="preserve"> and N</w:t>
      </w:r>
      <w:r w:rsidRPr="00D9348B">
        <w:rPr>
          <w:rFonts w:cs="Calibri"/>
          <w:vertAlign w:val="subscript"/>
        </w:rPr>
        <w:t>2</w:t>
      </w:r>
      <w:r w:rsidRPr="00D9348B">
        <w:rPr>
          <w:rFonts w:cs="Calibri"/>
        </w:rPr>
        <w:t>O inventory accounts and mitigation, to develop a collaborative approach to improve the quality of CH</w:t>
      </w:r>
      <w:r w:rsidRPr="00D9348B">
        <w:rPr>
          <w:rFonts w:cs="Calibri"/>
          <w:vertAlign w:val="subscript"/>
        </w:rPr>
        <w:t>4</w:t>
      </w:r>
      <w:r w:rsidRPr="00D9348B">
        <w:rPr>
          <w:rFonts w:cs="Calibri"/>
        </w:rPr>
        <w:t xml:space="preserve"> and N</w:t>
      </w:r>
      <w:r w:rsidRPr="00D9348B">
        <w:rPr>
          <w:rFonts w:cs="Calibri"/>
          <w:vertAlign w:val="subscript"/>
        </w:rPr>
        <w:t>2</w:t>
      </w:r>
      <w:r w:rsidRPr="00D9348B">
        <w:rPr>
          <w:rFonts w:cs="Calibri"/>
        </w:rPr>
        <w:t>O emission data, and build and maintain inventory research capability. These expert groups are supported by MPI. The implementation of the Tier 2 approach for livestock, development of country-specific emission factors and parameters, improved activity data, model improvement and uncertainty analysis are all examples of research identified, conducted and peer reviewed by these expert groups.</w:t>
      </w:r>
    </w:p>
    <w:p w14:paraId="46F58210" w14:textId="77777777" w:rsidR="00F849A7" w:rsidRPr="00D9348B" w:rsidRDefault="00F849A7" w:rsidP="00F849A7">
      <w:pPr>
        <w:pStyle w:val="BodyText"/>
        <w:rPr>
          <w:rFonts w:cs="Calibri"/>
        </w:rPr>
      </w:pPr>
      <w:r w:rsidRPr="00D9348B">
        <w:rPr>
          <w:rFonts w:cs="Calibri"/>
        </w:rPr>
        <w:t>Research findings are presented annually at the Greenhouse Gas Inventory Research Conference. New inventory research ideas raised by the two networks provide input into future research. Final decisions on research priorities are made by MPI, following discussions between the network leaders and Ministry for the Environment (MfE) staff. Research is contracted to address specific questions related to gaps in New Zealand’s knowledge and to review, test and improve current model parameters used. Draft research reports are peer reviewed by at least one external independent expert with knowledge in the field and are assessed for their scientific robustness and suitability to be included in the inventory.</w:t>
      </w:r>
    </w:p>
    <w:p w14:paraId="538B7335" w14:textId="77777777" w:rsidR="00F849A7" w:rsidRPr="00D9348B" w:rsidRDefault="00F849A7" w:rsidP="00F849A7">
      <w:pPr>
        <w:pStyle w:val="BodyText"/>
        <w:rPr>
          <w:rFonts w:cs="Calibri"/>
        </w:rPr>
      </w:pPr>
      <w:r w:rsidRPr="00D9348B">
        <w:rPr>
          <w:rFonts w:cs="Calibri"/>
        </w:rPr>
        <w:t xml:space="preserve">If the report is suitable for inclusion in the inventory, a briefing and the final report are sent to the Agriculture Inventory Advisory Panel, which meets annually to review proposed changes to the inventory. The Panel comprises expert representatives from MPI and MfE, nominated science representatives from the Royal Society of New Zealand and the Methanet and NzOnet expert advisory groups. The Panel is independent of policy and industry influences and has been formed to give advice on whether changes to New Zealand’s agriculture section of the National Inventory Report are scientifically robust and justified. The Panel assesses if the proposed changes have been appropriately researched, using recognised scientific principles, and if there is sufficient scientific evidence to support the recommended changes. </w:t>
      </w:r>
    </w:p>
    <w:p w14:paraId="27CF9877" w14:textId="77777777" w:rsidR="00F849A7" w:rsidRPr="00D9348B" w:rsidRDefault="00F849A7" w:rsidP="00F849A7">
      <w:pPr>
        <w:pStyle w:val="BodyText"/>
        <w:spacing w:before="100" w:after="100"/>
        <w:rPr>
          <w:rFonts w:cs="Calibri"/>
          <w:spacing w:val="-2"/>
        </w:rPr>
      </w:pPr>
      <w:r w:rsidRPr="00D9348B">
        <w:rPr>
          <w:rFonts w:cs="Calibri"/>
          <w:spacing w:val="-2"/>
        </w:rPr>
        <w:t xml:space="preserve">Changes recommended by the Panel are sent to the Deputy Director-General (Policy and Trade) at MPI. The Deputy Director-General approves the changes that will be presented to MfE for implementation into the annual national inventory. </w:t>
      </w:r>
    </w:p>
    <w:p w14:paraId="6218C965" w14:textId="77777777" w:rsidR="00F849A7" w:rsidRPr="00D9348B" w:rsidRDefault="00F849A7" w:rsidP="00F849A7">
      <w:pPr>
        <w:pStyle w:val="BodyText"/>
        <w:spacing w:before="100" w:after="100"/>
        <w:rPr>
          <w:rFonts w:cs="Calibri"/>
        </w:rPr>
      </w:pPr>
      <w:r w:rsidRPr="00D9348B">
        <w:rPr>
          <w:rFonts w:cs="Calibri"/>
        </w:rPr>
        <w:t xml:space="preserve">During the course of the year, recalculations being considered by all greenhouse sectors in the annual submission to the UNFCCC are proposed to the Reporting Governance Group (RGG). This group is chaired by MfE and leads the reporting, modelling and projections of greenhouse gas emissions and removals across government. Further details of the RGG are provided in chapter 1, section 1.2.2. </w:t>
      </w:r>
    </w:p>
    <w:p w14:paraId="6BF3226C" w14:textId="77777777" w:rsidR="00F849A7" w:rsidRPr="00D9348B" w:rsidRDefault="00F849A7" w:rsidP="00F849A7">
      <w:pPr>
        <w:pStyle w:val="Figure"/>
        <w:rPr>
          <w:rFonts w:cs="Calibri"/>
        </w:rPr>
      </w:pPr>
      <w:bookmarkStart w:id="606" w:name="_Toc447275694"/>
      <w:bookmarkStart w:id="607" w:name="_Toc481752012"/>
      <w:bookmarkStart w:id="608" w:name="_Toc507158471"/>
      <w:bookmarkStart w:id="609" w:name="_Toc511116962"/>
      <w:bookmarkStart w:id="610" w:name="_Toc5269692"/>
      <w:bookmarkStart w:id="611" w:name="_Toc32570963"/>
      <w:bookmarkStart w:id="612" w:name="_Toc36292793"/>
      <w:r w:rsidRPr="00D9348B">
        <w:rPr>
          <w:rFonts w:cs="Calibri"/>
        </w:rPr>
        <w:lastRenderedPageBreak/>
        <w:t xml:space="preserve">Figure 5.1.7 </w:t>
      </w:r>
      <w:r w:rsidRPr="00D9348B">
        <w:rPr>
          <w:rFonts w:cs="Calibri"/>
        </w:rPr>
        <w:tab/>
        <w:t>Agriculture sectoral approval process for inventory recalculations and improvements</w:t>
      </w:r>
      <w:bookmarkEnd w:id="606"/>
      <w:bookmarkEnd w:id="607"/>
      <w:bookmarkEnd w:id="608"/>
      <w:bookmarkEnd w:id="609"/>
      <w:bookmarkEnd w:id="610"/>
      <w:bookmarkEnd w:id="611"/>
      <w:bookmarkEnd w:id="612"/>
    </w:p>
    <w:p w14:paraId="697C774D" w14:textId="77777777" w:rsidR="00F849A7" w:rsidRPr="00D9348B" w:rsidRDefault="00F849A7" w:rsidP="00F849A7">
      <w:pPr>
        <w:pStyle w:val="BodyText"/>
        <w:spacing w:before="0"/>
        <w:jc w:val="center"/>
        <w:rPr>
          <w:rFonts w:eastAsia="Calibri" w:cs="Calibri"/>
        </w:rPr>
      </w:pPr>
      <w:r w:rsidRPr="00D9348B">
        <w:rPr>
          <w:rFonts w:eastAsia="Calibri" w:cs="Calibri"/>
        </w:rPr>
        <w:object w:dxaOrig="14631" w:dyaOrig="24688" w14:anchorId="31E137D6">
          <v:shape id="_x0000_i1082" type="#_x0000_t75" style="width:5in;height:503.35pt" o:ole="">
            <v:imagedata r:id="rId120" o:title="" croptop="1526f" cropbottom="2910f"/>
          </v:shape>
          <o:OLEObject Type="Embed" ProgID="Visio.Drawing.15" ShapeID="_x0000_i1082" DrawAspect="Content" ObjectID="_1647932319" r:id="rId121"/>
        </w:object>
      </w:r>
    </w:p>
    <w:p w14:paraId="66F9BEBB" w14:textId="77777777" w:rsidR="00F849A7" w:rsidRPr="00D9348B" w:rsidRDefault="00F849A7" w:rsidP="00F849A7">
      <w:pPr>
        <w:pStyle w:val="Noteundertable"/>
        <w:rPr>
          <w:rFonts w:cs="Calibri"/>
        </w:rPr>
      </w:pPr>
      <w:r w:rsidRPr="00D9348B">
        <w:rPr>
          <w:rFonts w:cs="Calibri"/>
          <w:b/>
          <w:bCs/>
        </w:rPr>
        <w:t>Note:</w:t>
      </w:r>
      <w:r w:rsidRPr="00D9348B">
        <w:rPr>
          <w:rFonts w:cs="Calibri"/>
        </w:rPr>
        <w:tab/>
        <w:t xml:space="preserve">AG = agriculture; DDG = Deputy Director-General; MfE = Ministry for the Environment; MPI = Ministry for Primary Industries; NIR = National Inventory Report; RGG = Reporting Governance Group (for the NIR). </w:t>
      </w:r>
    </w:p>
    <w:p w14:paraId="1616EC25" w14:textId="77777777" w:rsidR="00F849A7" w:rsidRPr="00D9348B" w:rsidRDefault="00F849A7" w:rsidP="00F849A7">
      <w:pPr>
        <w:pStyle w:val="Heading5"/>
        <w:rPr>
          <w:rFonts w:cs="Calibri"/>
        </w:rPr>
      </w:pPr>
      <w:r w:rsidRPr="00D9348B">
        <w:rPr>
          <w:rFonts w:cs="Calibri"/>
        </w:rPr>
        <w:t>Agriculture Inventory Advisory Panel meeting – 2019</w:t>
      </w:r>
    </w:p>
    <w:p w14:paraId="086E039D" w14:textId="77777777" w:rsidR="00F849A7" w:rsidRPr="00D9348B" w:rsidRDefault="00F849A7" w:rsidP="00F849A7">
      <w:pPr>
        <w:pStyle w:val="BodyText"/>
        <w:rPr>
          <w:rFonts w:cs="Calibri"/>
        </w:rPr>
      </w:pPr>
      <w:r w:rsidRPr="00D9348B">
        <w:rPr>
          <w:rFonts w:cs="Calibri"/>
        </w:rPr>
        <w:t xml:space="preserve">The 2019 meeting of the Panel was held on 29 October, and considered the following proposed inventory changes: </w:t>
      </w:r>
    </w:p>
    <w:p w14:paraId="7F8D4C0A" w14:textId="77777777" w:rsidR="00F849A7" w:rsidRPr="00D9348B" w:rsidRDefault="00F849A7" w:rsidP="00771A8F">
      <w:pPr>
        <w:pStyle w:val="Bullet"/>
        <w:numPr>
          <w:ilvl w:val="0"/>
          <w:numId w:val="20"/>
        </w:numPr>
        <w:rPr>
          <w:rFonts w:cs="Calibri"/>
        </w:rPr>
      </w:pPr>
      <w:proofErr w:type="gramStart"/>
      <w:r w:rsidRPr="00D9348B">
        <w:rPr>
          <w:rFonts w:cs="Calibri"/>
        </w:rPr>
        <w:t>modifying</w:t>
      </w:r>
      <w:proofErr w:type="gramEnd"/>
      <w:r w:rsidRPr="00D9348B">
        <w:rPr>
          <w:rFonts w:cs="Calibri"/>
        </w:rPr>
        <w:t xml:space="preserve"> the N</w:t>
      </w:r>
      <w:r w:rsidRPr="00D9348B">
        <w:rPr>
          <w:rFonts w:cs="Calibri"/>
          <w:vertAlign w:val="subscript"/>
        </w:rPr>
        <w:t>2</w:t>
      </w:r>
      <w:r w:rsidRPr="00D9348B">
        <w:rPr>
          <w:rFonts w:cs="Calibri"/>
        </w:rPr>
        <w:t>O emission factors for livestock excreta (EF</w:t>
      </w:r>
      <w:r w:rsidRPr="00D9348B">
        <w:rPr>
          <w:rFonts w:cs="Calibri"/>
          <w:vertAlign w:val="subscript"/>
        </w:rPr>
        <w:t>3,PRP</w:t>
      </w:r>
      <w:r w:rsidRPr="00D9348B">
        <w:rPr>
          <w:rFonts w:cs="Calibri"/>
        </w:rPr>
        <w:t>) for dung and urine based on hill slope and livestock type. This change is based on evidence from a meta-analysis of New Zealand-specific data collected over the past decade, and adopting a methodology to allocate dung and urine to low (of gradient between 0 degrees and 12 degrees), medium (of between 12 degrees and 24 degrees) and steep (greater than 24 degree) slopes</w:t>
      </w:r>
    </w:p>
    <w:p w14:paraId="6AAB09B3" w14:textId="77777777" w:rsidR="00F849A7" w:rsidRPr="00D9348B" w:rsidRDefault="00F849A7" w:rsidP="00771A8F">
      <w:pPr>
        <w:pStyle w:val="Bullet"/>
        <w:numPr>
          <w:ilvl w:val="0"/>
          <w:numId w:val="20"/>
        </w:numPr>
        <w:rPr>
          <w:rFonts w:cs="Calibri"/>
        </w:rPr>
      </w:pPr>
      <w:r w:rsidRPr="00D9348B">
        <w:rPr>
          <w:rFonts w:cs="Calibri"/>
        </w:rPr>
        <w:lastRenderedPageBreak/>
        <w:t>revising the methodology for estimating emissions from farmed goats</w:t>
      </w:r>
    </w:p>
    <w:p w14:paraId="3EA011C9" w14:textId="77777777" w:rsidR="00F849A7" w:rsidRPr="00D9348B" w:rsidRDefault="00F849A7" w:rsidP="00771A8F">
      <w:pPr>
        <w:pStyle w:val="Bullet"/>
        <w:numPr>
          <w:ilvl w:val="0"/>
          <w:numId w:val="20"/>
        </w:numPr>
        <w:rPr>
          <w:rFonts w:cs="Calibri"/>
        </w:rPr>
      </w:pPr>
      <w:proofErr w:type="gramStart"/>
      <w:r w:rsidRPr="00D9348B">
        <w:rPr>
          <w:rFonts w:cs="Calibri"/>
        </w:rPr>
        <w:t>minor</w:t>
      </w:r>
      <w:proofErr w:type="gramEnd"/>
      <w:r w:rsidRPr="00D9348B">
        <w:rPr>
          <w:rFonts w:cs="Calibri"/>
        </w:rPr>
        <w:t xml:space="preserve"> improvements to the equations used to estimate energy efficiency for maintenance (k</w:t>
      </w:r>
      <w:r w:rsidRPr="00D9348B">
        <w:rPr>
          <w:rFonts w:cs="Calibri"/>
          <w:vertAlign w:val="subscript"/>
        </w:rPr>
        <w:t>m</w:t>
      </w:r>
      <w:r w:rsidRPr="00D9348B">
        <w:rPr>
          <w:rFonts w:cs="Calibri"/>
        </w:rPr>
        <w:t>) for cattle, sheep and deer.</w:t>
      </w:r>
    </w:p>
    <w:p w14:paraId="1DD72C3B" w14:textId="77777777" w:rsidR="00F849A7" w:rsidRPr="00D9348B" w:rsidRDefault="00F849A7" w:rsidP="00F849A7">
      <w:pPr>
        <w:pStyle w:val="BodyText"/>
        <w:rPr>
          <w:rFonts w:cs="Calibri"/>
        </w:rPr>
      </w:pPr>
      <w:r w:rsidRPr="00D9348B">
        <w:rPr>
          <w:rFonts w:cs="Calibri"/>
        </w:rPr>
        <w:t>The Panel recommended that the first and third proposed changes (modified N</w:t>
      </w:r>
      <w:r w:rsidRPr="00D9348B">
        <w:rPr>
          <w:rFonts w:cs="Calibri"/>
          <w:vertAlign w:val="subscript"/>
        </w:rPr>
        <w:t>2</w:t>
      </w:r>
      <w:r w:rsidRPr="00D9348B">
        <w:rPr>
          <w:rFonts w:cs="Calibri"/>
        </w:rPr>
        <w:t>O emission factor values for EF</w:t>
      </w:r>
      <w:r w:rsidRPr="00D9348B">
        <w:rPr>
          <w:rFonts w:cs="Calibri"/>
          <w:vertAlign w:val="subscript"/>
        </w:rPr>
        <w:t>3</w:t>
      </w:r>
      <w:proofErr w:type="gramStart"/>
      <w:r w:rsidRPr="00D9348B">
        <w:rPr>
          <w:rFonts w:cs="Calibri"/>
          <w:vertAlign w:val="subscript"/>
        </w:rPr>
        <w:t>,PRP</w:t>
      </w:r>
      <w:proofErr w:type="gramEnd"/>
      <w:r w:rsidRPr="00D9348B">
        <w:rPr>
          <w:rFonts w:cs="Calibri"/>
        </w:rPr>
        <w:t xml:space="preserve"> based on hill slope and livestock type, and minor improvements to the equations used to estimate k</w:t>
      </w:r>
      <w:r w:rsidRPr="00D9348B">
        <w:rPr>
          <w:rFonts w:cs="Calibri"/>
          <w:vertAlign w:val="subscript"/>
        </w:rPr>
        <w:t>m</w:t>
      </w:r>
      <w:r w:rsidRPr="00D9348B">
        <w:rPr>
          <w:rFonts w:cs="Calibri"/>
        </w:rPr>
        <w:t>) be incorporated into the 2020 inventory submission, because the research and justification underpinning the change was robust and well documented.</w:t>
      </w:r>
    </w:p>
    <w:p w14:paraId="62C88F99" w14:textId="77777777" w:rsidR="00F849A7" w:rsidRPr="00D9348B" w:rsidRDefault="00F849A7" w:rsidP="00F849A7">
      <w:pPr>
        <w:pStyle w:val="BodyText"/>
        <w:rPr>
          <w:rFonts w:cs="Calibri"/>
        </w:rPr>
      </w:pPr>
      <w:r w:rsidRPr="00D9348B">
        <w:rPr>
          <w:rFonts w:cs="Calibri"/>
        </w:rPr>
        <w:t>For the second proposed change, the Panel recommended that new activity data on dairy goat population estimates from Burggraaf et al. (unpublished) be implemented with the existing methodology to estimate emissions from goats. The Panel accepted the use of the new dairy goat population estimates, after considerable scientific scrutiny.</w:t>
      </w:r>
    </w:p>
    <w:p w14:paraId="4339DB51" w14:textId="77777777" w:rsidR="00F849A7" w:rsidRPr="00D9348B" w:rsidRDefault="00F849A7" w:rsidP="00F849A7">
      <w:pPr>
        <w:pStyle w:val="BodyText"/>
        <w:rPr>
          <w:rFonts w:cs="Calibri"/>
        </w:rPr>
      </w:pPr>
      <w:r w:rsidRPr="00D9348B">
        <w:rPr>
          <w:rFonts w:cs="Calibri"/>
        </w:rPr>
        <w:t>More significant improvements were proposed for the goat sector but were rejected. The Panel considered the activity data were insufficient to develop a robust and accurate methodology. These improvements will be revisited with updated evidence and data in a future Panel meeting.</w:t>
      </w:r>
    </w:p>
    <w:p w14:paraId="1D9F7A22" w14:textId="77777777" w:rsidR="00F849A7" w:rsidRPr="00D9348B" w:rsidRDefault="00F849A7" w:rsidP="00F849A7">
      <w:pPr>
        <w:pStyle w:val="BodyText"/>
        <w:rPr>
          <w:rFonts w:cs="Calibri"/>
        </w:rPr>
      </w:pPr>
      <w:r w:rsidRPr="00D9348B">
        <w:rPr>
          <w:rFonts w:cs="Calibri"/>
        </w:rPr>
        <w:t>Further details on these changes are outlined in section 5.1.3 (minor improvements to the equations used to estimate k</w:t>
      </w:r>
      <w:r w:rsidRPr="00D9348B">
        <w:rPr>
          <w:rFonts w:cs="Calibri"/>
          <w:vertAlign w:val="subscript"/>
        </w:rPr>
        <w:t>m</w:t>
      </w:r>
      <w:r w:rsidRPr="00D9348B">
        <w:rPr>
          <w:rFonts w:cs="Calibri"/>
        </w:rPr>
        <w:t>), section 5.5.5 (modified N</w:t>
      </w:r>
      <w:r w:rsidRPr="00D9348B">
        <w:rPr>
          <w:rFonts w:cs="Calibri"/>
          <w:vertAlign w:val="subscript"/>
        </w:rPr>
        <w:t>2</w:t>
      </w:r>
      <w:r w:rsidRPr="00D9348B">
        <w:rPr>
          <w:rFonts w:cs="Calibri"/>
        </w:rPr>
        <w:t>O emission factor values for EF</w:t>
      </w:r>
      <w:r w:rsidRPr="00D9348B">
        <w:rPr>
          <w:rFonts w:cs="Calibri"/>
          <w:vertAlign w:val="subscript"/>
        </w:rPr>
        <w:t>3</w:t>
      </w:r>
      <w:proofErr w:type="gramStart"/>
      <w:r w:rsidRPr="00D9348B">
        <w:rPr>
          <w:rFonts w:cs="Calibri"/>
          <w:vertAlign w:val="subscript"/>
        </w:rPr>
        <w:t>,PRP</w:t>
      </w:r>
      <w:proofErr w:type="gramEnd"/>
      <w:r w:rsidRPr="00D9348B">
        <w:rPr>
          <w:rFonts w:cs="Calibri"/>
        </w:rPr>
        <w:t> based on hill slope and livestock type), chapter 10 (all recalculations) and annex 3 (which contains additional detail on the revised emission factors and methodologies used to estimate direct N</w:t>
      </w:r>
      <w:r w:rsidRPr="00D9348B">
        <w:rPr>
          <w:rFonts w:cs="Calibri"/>
          <w:vertAlign w:val="subscript"/>
        </w:rPr>
        <w:t>2</w:t>
      </w:r>
      <w:r w:rsidRPr="00D9348B">
        <w:rPr>
          <w:rFonts w:cs="Calibri"/>
        </w:rPr>
        <w:t>O emissions from dairy cattle, beef cattle, sheep and deer).</w:t>
      </w:r>
    </w:p>
    <w:p w14:paraId="0A1D3DAD" w14:textId="77777777" w:rsidR="00F849A7" w:rsidRPr="00D9348B" w:rsidRDefault="00F849A7" w:rsidP="00F849A7">
      <w:pPr>
        <w:pStyle w:val="BodyText"/>
        <w:rPr>
          <w:rFonts w:cs="Calibri"/>
        </w:rPr>
      </w:pPr>
      <w:r w:rsidRPr="00D9348B">
        <w:rPr>
          <w:rFonts w:cs="Calibri"/>
        </w:rPr>
        <w:t>The briefs, reports and minutes of the 2019 Panel meetings (as well as panel meetings for previous years) are all available on the MPI website (</w:t>
      </w:r>
      <w:hyperlink r:id="rId122" w:history="1">
        <w:r w:rsidRPr="00D9348B">
          <w:rPr>
            <w:rFonts w:cs="Calibri"/>
          </w:rPr>
          <w:t>http://mpi.govt.nz/news-and-resources/statistics-and-forecasting/greenhouse-gas-reporting/agricultural-inventory-advisory-panel</w:t>
        </w:r>
      </w:hyperlink>
      <w:r w:rsidRPr="00D9348B">
        <w:rPr>
          <w:rFonts w:cs="Calibri"/>
        </w:rPr>
        <w:t xml:space="preserve">). </w:t>
      </w:r>
    </w:p>
    <w:p w14:paraId="1ED3C8BA" w14:textId="77777777" w:rsidR="00F849A7" w:rsidRPr="00D9348B" w:rsidRDefault="00F849A7" w:rsidP="00865BDB">
      <w:pPr>
        <w:pStyle w:val="Heading4"/>
      </w:pPr>
      <w:r w:rsidRPr="00D9348B">
        <w:t xml:space="preserve">Recalculations approved for the 2020 National Inventory Report submission in the Agriculture sector </w:t>
      </w:r>
    </w:p>
    <w:p w14:paraId="3DC847DC" w14:textId="77777777" w:rsidR="00F849A7" w:rsidRPr="00D9348B" w:rsidRDefault="00F849A7" w:rsidP="00F849A7">
      <w:pPr>
        <w:pStyle w:val="BodyText"/>
        <w:spacing w:after="100"/>
        <w:rPr>
          <w:rFonts w:cs="Calibri"/>
          <w:spacing w:val="-2"/>
        </w:rPr>
      </w:pPr>
      <w:r w:rsidRPr="00D9348B">
        <w:rPr>
          <w:rFonts w:cs="Calibri"/>
          <w:spacing w:val="-2"/>
        </w:rPr>
        <w:t>Following the recommendations from the</w:t>
      </w:r>
      <w:r w:rsidRPr="00D9348B">
        <w:rPr>
          <w:rFonts w:cs="Calibri"/>
        </w:rPr>
        <w:t xml:space="preserve"> </w:t>
      </w:r>
      <w:r w:rsidRPr="00D9348B">
        <w:rPr>
          <w:rFonts w:cs="Calibri"/>
          <w:spacing w:val="-2"/>
        </w:rPr>
        <w:t>Agriculture Inventory Advisory Panel and approval from the Deputy Director-General (Policy and Trade) at MPI and the RGG, New Zealand has made the following improvements and corrections to the Agriculture sector in its 2020</w:t>
      </w:r>
      <w:r w:rsidRPr="00D9348B">
        <w:rPr>
          <w:rFonts w:cs="Calibri"/>
        </w:rPr>
        <w:t xml:space="preserve"> </w:t>
      </w:r>
      <w:r w:rsidRPr="00D9348B">
        <w:rPr>
          <w:rFonts w:cs="Calibri"/>
          <w:spacing w:val="-2"/>
        </w:rPr>
        <w:t>annual submission:</w:t>
      </w:r>
    </w:p>
    <w:p w14:paraId="477996EB" w14:textId="77777777" w:rsidR="00F849A7" w:rsidRPr="00D9348B" w:rsidRDefault="00F849A7" w:rsidP="00771A8F">
      <w:pPr>
        <w:pStyle w:val="Bullet"/>
        <w:numPr>
          <w:ilvl w:val="0"/>
          <w:numId w:val="20"/>
        </w:numPr>
        <w:rPr>
          <w:rFonts w:cs="Calibri"/>
        </w:rPr>
      </w:pPr>
      <w:r w:rsidRPr="00D9348B">
        <w:rPr>
          <w:rFonts w:cs="Calibri"/>
        </w:rPr>
        <w:t>use of new N</w:t>
      </w:r>
      <w:r w:rsidRPr="00D9348B">
        <w:rPr>
          <w:rFonts w:cs="Calibri"/>
          <w:vertAlign w:val="subscript"/>
        </w:rPr>
        <w:t>2</w:t>
      </w:r>
      <w:r w:rsidRPr="00D9348B">
        <w:rPr>
          <w:rFonts w:cs="Calibri"/>
        </w:rPr>
        <w:t>O emission factors from animal excreta (EF</w:t>
      </w:r>
      <w:r w:rsidRPr="00D9348B">
        <w:rPr>
          <w:rFonts w:cs="Calibri"/>
          <w:vertAlign w:val="subscript"/>
        </w:rPr>
        <w:t>3,PRP</w:t>
      </w:r>
      <w:r w:rsidRPr="00D9348B">
        <w:rPr>
          <w:rFonts w:cs="Calibri"/>
        </w:rPr>
        <w:t xml:space="preserve">) split by stock type and hill slope, applied using a new model to calculate the amount of livestock excreta deposited onto the different slopes: low (gradient between 0 degrees and 12 degrees), medium (between 12 degrees and 24 degrees) and steep (greater than 24 degrees gradient) </w:t>
      </w:r>
    </w:p>
    <w:p w14:paraId="1E9F809A" w14:textId="77777777" w:rsidR="00F849A7" w:rsidRPr="00D9348B" w:rsidRDefault="00F849A7" w:rsidP="00771A8F">
      <w:pPr>
        <w:pStyle w:val="Bullet"/>
        <w:numPr>
          <w:ilvl w:val="0"/>
          <w:numId w:val="20"/>
        </w:numPr>
        <w:rPr>
          <w:rFonts w:cs="Calibri"/>
        </w:rPr>
      </w:pPr>
      <w:r w:rsidRPr="00D9348B">
        <w:rPr>
          <w:rFonts w:cs="Calibri"/>
        </w:rPr>
        <w:t xml:space="preserve">use of revised activity data for the proportion of dairy goats in the overall farmed goat population </w:t>
      </w:r>
    </w:p>
    <w:p w14:paraId="68155581" w14:textId="4A90DADF" w:rsidR="00F849A7" w:rsidRPr="00D9348B" w:rsidRDefault="00F849A7" w:rsidP="00771A8F">
      <w:pPr>
        <w:pStyle w:val="Bullet"/>
        <w:numPr>
          <w:ilvl w:val="0"/>
          <w:numId w:val="20"/>
        </w:numPr>
        <w:rPr>
          <w:rFonts w:cs="Calibri"/>
        </w:rPr>
      </w:pPr>
      <w:r w:rsidRPr="00D9348B">
        <w:rPr>
          <w:rFonts w:cs="Calibri"/>
        </w:rPr>
        <w:t>minor improvements to the equations used to estimate energy efficiency for maintenance (k</w:t>
      </w:r>
      <w:r w:rsidRPr="00D9348B">
        <w:rPr>
          <w:rFonts w:cs="Calibri"/>
          <w:vertAlign w:val="subscript"/>
        </w:rPr>
        <w:t>m</w:t>
      </w:r>
      <w:r w:rsidRPr="00D9348B">
        <w:rPr>
          <w:rFonts w:cs="Calibri"/>
        </w:rPr>
        <w:t xml:space="preserve">) for beef cattle, sheep and deer, including the specification of a constant to more significant figures and reverting to the IPCC default value of 18.45 </w:t>
      </w:r>
      <w:r w:rsidR="004C46B9" w:rsidRPr="00D9348B">
        <w:t>megajoules per kilogram of dry matter (</w:t>
      </w:r>
      <w:r w:rsidRPr="00D9348B">
        <w:rPr>
          <w:rFonts w:cs="Calibri"/>
        </w:rPr>
        <w:t>MJ/kg DM) for the gross energy content of feed (from the previous values of 18.40 MJ/kg DM for cattle and deer, and 18.50 MJ/kg DM for sheep).</w:t>
      </w:r>
    </w:p>
    <w:p w14:paraId="157E3399" w14:textId="77777777" w:rsidR="00F849A7" w:rsidRPr="00D9348B" w:rsidRDefault="00F849A7" w:rsidP="00F849A7">
      <w:pPr>
        <w:pStyle w:val="BodyText"/>
        <w:keepLines/>
        <w:rPr>
          <w:rFonts w:cs="Calibri"/>
          <w:spacing w:val="-2"/>
        </w:rPr>
      </w:pPr>
      <w:r w:rsidRPr="00D9348B">
        <w:rPr>
          <w:rFonts w:cs="Calibri"/>
          <w:spacing w:val="-2"/>
        </w:rPr>
        <w:lastRenderedPageBreak/>
        <w:t>The implementation of these improvements has resulted in</w:t>
      </w:r>
      <w:r w:rsidRPr="00D9348B">
        <w:rPr>
          <w:rFonts w:cs="Calibri"/>
        </w:rPr>
        <w:t xml:space="preserve"> </w:t>
      </w:r>
      <w:r w:rsidRPr="00D9348B">
        <w:rPr>
          <w:rFonts w:cs="Calibri"/>
          <w:spacing w:val="-2"/>
        </w:rPr>
        <w:t>the estimate of Agriculture sector emissions in 2017</w:t>
      </w:r>
      <w:r w:rsidRPr="00D9348B">
        <w:rPr>
          <w:rFonts w:cs="Calibri"/>
        </w:rPr>
        <w:t xml:space="preserve"> </w:t>
      </w:r>
      <w:r w:rsidRPr="00D9348B">
        <w:rPr>
          <w:rFonts w:cs="Calibri"/>
          <w:spacing w:val="-2"/>
        </w:rPr>
        <w:t>being</w:t>
      </w:r>
      <w:r w:rsidRPr="00D9348B">
        <w:rPr>
          <w:rFonts w:cs="Calibri"/>
        </w:rPr>
        <w:t xml:space="preserve"> </w:t>
      </w:r>
      <w:r w:rsidRPr="00D9348B">
        <w:rPr>
          <w:rFonts w:cs="Calibri"/>
          <w:spacing w:val="-2"/>
        </w:rPr>
        <w:t>3.8 per cent lower in the 2020 submission</w:t>
      </w:r>
      <w:r w:rsidRPr="00D9348B">
        <w:rPr>
          <w:rFonts w:cs="Calibri"/>
        </w:rPr>
        <w:t xml:space="preserve"> </w:t>
      </w:r>
      <w:r w:rsidRPr="00D9348B">
        <w:rPr>
          <w:rFonts w:cs="Calibri"/>
          <w:spacing w:val="-2"/>
        </w:rPr>
        <w:t>than the estimate for 2017 Agriculture sector emissions in the 2019 (1990–2019) submission. Further details of these improvements are provided in sections 5.2.6, 5.3.6, 5.5.6 and 10.1.3.</w:t>
      </w:r>
    </w:p>
    <w:p w14:paraId="258E201E" w14:textId="77777777" w:rsidR="00F849A7" w:rsidRPr="00D9348B" w:rsidRDefault="00F849A7" w:rsidP="00F849A7">
      <w:pPr>
        <w:pStyle w:val="Heading3"/>
        <w:rPr>
          <w:rFonts w:cs="Calibri"/>
        </w:rPr>
      </w:pPr>
      <w:bookmarkStart w:id="613" w:name="_Toc32570648"/>
      <w:r w:rsidRPr="00D9348B">
        <w:rPr>
          <w:rFonts w:cs="Calibri"/>
        </w:rPr>
        <w:t xml:space="preserve">5.1.6 </w:t>
      </w:r>
      <w:r w:rsidRPr="00D9348B">
        <w:rPr>
          <w:rFonts w:cs="Calibri"/>
        </w:rPr>
        <w:tab/>
        <w:t>Quality assurance and quality control (QA/QC)</w:t>
      </w:r>
      <w:bookmarkEnd w:id="613"/>
    </w:p>
    <w:p w14:paraId="5872E6D4" w14:textId="40764BE5" w:rsidR="00F849A7" w:rsidRPr="00D9348B" w:rsidRDefault="00F849A7" w:rsidP="00F849A7">
      <w:pPr>
        <w:pStyle w:val="BodyText"/>
        <w:rPr>
          <w:rFonts w:cs="Calibri"/>
        </w:rPr>
      </w:pPr>
      <w:r w:rsidRPr="00D9348B">
        <w:rPr>
          <w:rFonts w:cs="Calibri"/>
        </w:rPr>
        <w:t>The team responsible for the Agriculture inventory preparation within MPI maintains close contact with the teams responsible for the collation of primary industries (agriculture, horticulture, forestry and fishing) data. These teams liaise with Statistics New Zealand and</w:t>
      </w:r>
      <w:r w:rsidR="004E1438" w:rsidRPr="00D9348B">
        <w:rPr>
          <w:rFonts w:cs="Calibri"/>
        </w:rPr>
        <w:t> </w:t>
      </w:r>
      <w:r w:rsidRPr="00D9348B">
        <w:rPr>
          <w:rFonts w:cs="Calibri"/>
        </w:rPr>
        <w:t xml:space="preserve">provide analysis and forecasts of primary industries activity and performance. This arrangement ensures that the inventory preparation team has a good understanding of activity data and agricultural performance. </w:t>
      </w:r>
    </w:p>
    <w:p w14:paraId="4B0E3B3E" w14:textId="77777777" w:rsidR="00F849A7" w:rsidRPr="00D9348B" w:rsidRDefault="00F849A7" w:rsidP="00F849A7">
      <w:pPr>
        <w:pStyle w:val="BodyText"/>
        <w:rPr>
          <w:rFonts w:cs="Calibri"/>
          <w:spacing w:val="-2"/>
        </w:rPr>
      </w:pPr>
      <w:r w:rsidRPr="00D9348B">
        <w:rPr>
          <w:rFonts w:cs="Calibri"/>
          <w:spacing w:val="-2"/>
        </w:rPr>
        <w:t xml:space="preserve">The connection with Statistics New Zealand ensures that the statistical collection work keeps pace with the changes in the primary industries sector and provides for the tracking of possible new activities and management practices in the primary industries sector. The team responsible for the Agriculture inventory preparation also maintains relationships with organisations that provide additional data, such as Beef + Lamb New Zealand Ltd, LIC, Deer Industry New Zealand, the Poultry Industry Association New Zealand and the Fertiliser Association of New Zealand. </w:t>
      </w:r>
    </w:p>
    <w:p w14:paraId="7C038666" w14:textId="77777777" w:rsidR="00F849A7" w:rsidRPr="00D9348B" w:rsidRDefault="00F849A7" w:rsidP="00F849A7">
      <w:pPr>
        <w:pStyle w:val="BodyText"/>
        <w:rPr>
          <w:rFonts w:cs="Calibri"/>
        </w:rPr>
      </w:pPr>
      <w:r w:rsidRPr="00D9348B">
        <w:rPr>
          <w:rFonts w:cs="Calibri"/>
        </w:rPr>
        <w:t xml:space="preserve">The draft inventory is reviewed by MPI personnel with expertise in climate change policy, climate change science and livestock farming policy. This ensures that the inventory submission is accurate. The review also ensures that the inventory clearly explains the main causes of agricultural emissions in New Zealand as well as the drivers of changes in emissions from year to year. The results from the inventory are also used to inform domestic and international climate change policy. </w:t>
      </w:r>
    </w:p>
    <w:p w14:paraId="2E47DED5" w14:textId="77777777" w:rsidR="00F849A7" w:rsidRPr="00D9348B" w:rsidRDefault="00F849A7" w:rsidP="00F849A7">
      <w:pPr>
        <w:pStyle w:val="BodyText"/>
        <w:rPr>
          <w:rFonts w:cs="Calibri"/>
        </w:rPr>
      </w:pPr>
      <w:r w:rsidRPr="00D9348B">
        <w:rPr>
          <w:rFonts w:cs="Calibri"/>
        </w:rPr>
        <w:t xml:space="preserve">The Agriculture inventory experts meet regularly with the team at MfE that is responsible for coordinating the annual national inventory submission. MfE monitors MPI progress in implementing recommendations from previous expert review reports and on meeting timelines during the year. </w:t>
      </w:r>
    </w:p>
    <w:p w14:paraId="163C5AE3" w14:textId="77777777" w:rsidR="00F849A7" w:rsidRPr="00D9348B" w:rsidRDefault="00F849A7" w:rsidP="00F849A7">
      <w:pPr>
        <w:pStyle w:val="BodyText"/>
        <w:rPr>
          <w:rFonts w:cs="Calibri"/>
        </w:rPr>
      </w:pPr>
      <w:r w:rsidRPr="00D9348B">
        <w:rPr>
          <w:rFonts w:cs="Calibri"/>
        </w:rPr>
        <w:t xml:space="preserve">MfE also manages an internal guidance document ‘New Zealand’s National Inventory System Guidelines for Compiling New Zealand’s Greenhouse Gas Inventory’. This document provides domestic guidelines for sector leaders to follow, including the decisions under the UNFCCC and Kyoto Protocol, and the application of these decisions within the Kyoto Protocol. The document also includes New Zealand’s quality-assurance and quality-control plan followed by all sector leads. </w:t>
      </w:r>
    </w:p>
    <w:p w14:paraId="24777136" w14:textId="77777777" w:rsidR="00F849A7" w:rsidRPr="00D9348B" w:rsidRDefault="00F849A7" w:rsidP="00F849A7">
      <w:pPr>
        <w:pStyle w:val="BodyText"/>
        <w:rPr>
          <w:rFonts w:cs="Calibri"/>
        </w:rPr>
      </w:pPr>
      <w:r w:rsidRPr="00D9348B">
        <w:rPr>
          <w:rFonts w:cs="Calibri"/>
        </w:rPr>
        <w:t xml:space="preserve">MPI participates in the annual inventory debrief coordinated by MfE, to ensure the National Inventory Compiler and each sector lead understand what is working well and where improvements could be made. </w:t>
      </w:r>
    </w:p>
    <w:p w14:paraId="153EE7AE" w14:textId="77777777" w:rsidR="00F849A7" w:rsidRPr="00D9348B" w:rsidRDefault="00F849A7" w:rsidP="00F849A7">
      <w:pPr>
        <w:pStyle w:val="BodyText"/>
        <w:rPr>
          <w:rFonts w:cs="Calibri"/>
        </w:rPr>
      </w:pPr>
      <w:r w:rsidRPr="00D9348B">
        <w:rPr>
          <w:rFonts w:cs="Calibri"/>
        </w:rPr>
        <w:t>In 2016, an external audit firm (Deloitte), with specialist skills in quality-assurance and quality</w:t>
      </w:r>
      <w:r w:rsidRPr="00D9348B">
        <w:rPr>
          <w:rFonts w:cs="Calibri"/>
        </w:rPr>
        <w:noBreakHyphen/>
        <w:t xml:space="preserve">control management, was engaged to evaluate and improve quality-assurance and quality-control processes for the Agriculture inventory. New Zealand has used this feedback to update and improve the quality-assurance and quality-control methodology. </w:t>
      </w:r>
    </w:p>
    <w:p w14:paraId="294AC77E" w14:textId="77777777" w:rsidR="00F849A7" w:rsidRPr="00D9348B" w:rsidRDefault="00F849A7" w:rsidP="00F849A7">
      <w:pPr>
        <w:pStyle w:val="BodyText"/>
        <w:rPr>
          <w:rFonts w:cs="Calibri"/>
        </w:rPr>
      </w:pPr>
      <w:r w:rsidRPr="00D9348B">
        <w:rPr>
          <w:rFonts w:cs="Calibri"/>
        </w:rPr>
        <w:t xml:space="preserve">A process of quality-control checks is mandated in the internal compilation process and is provided in table 5.1.4. </w:t>
      </w:r>
    </w:p>
    <w:p w14:paraId="34D3F8FA" w14:textId="77777777" w:rsidR="00F849A7" w:rsidRPr="00D9348B" w:rsidRDefault="00F849A7" w:rsidP="00F849A7">
      <w:pPr>
        <w:pStyle w:val="Table"/>
        <w:rPr>
          <w:rFonts w:cs="Calibri"/>
        </w:rPr>
      </w:pPr>
      <w:bookmarkStart w:id="614" w:name="_Toc32570912"/>
      <w:bookmarkStart w:id="615" w:name="_Toc36224547"/>
      <w:r w:rsidRPr="00D9348B">
        <w:rPr>
          <w:rFonts w:cs="Calibri"/>
        </w:rPr>
        <w:lastRenderedPageBreak/>
        <w:t xml:space="preserve">Table 5.1.4 </w:t>
      </w:r>
      <w:r w:rsidRPr="00D9348B">
        <w:rPr>
          <w:rFonts w:cs="Calibri"/>
        </w:rPr>
        <w:tab/>
        <w:t>Agriculture sectoral approval process for inventory recalculations and improvements</w:t>
      </w:r>
      <w:bookmarkEnd w:id="614"/>
      <w:bookmarkEnd w:id="615"/>
    </w:p>
    <w:tbl>
      <w:tblPr>
        <w:tblW w:w="8505" w:type="dxa"/>
        <w:tblInd w:w="108" w:type="dxa"/>
        <w:tblBorders>
          <w:top w:val="single" w:sz="4" w:space="0" w:color="365F91"/>
          <w:bottom w:val="single" w:sz="4" w:space="0" w:color="365F91"/>
          <w:insideH w:val="single" w:sz="4" w:space="0" w:color="365F91"/>
          <w:insideV w:val="single" w:sz="4" w:space="0" w:color="365F91"/>
        </w:tblBorders>
        <w:tblLook w:val="04A0" w:firstRow="1" w:lastRow="0" w:firstColumn="1" w:lastColumn="0" w:noHBand="0" w:noVBand="1"/>
      </w:tblPr>
      <w:tblGrid>
        <w:gridCol w:w="1325"/>
        <w:gridCol w:w="7180"/>
      </w:tblGrid>
      <w:tr w:rsidR="00F849A7" w:rsidRPr="00D9348B" w14:paraId="7AA1FFC3" w14:textId="77777777" w:rsidTr="00965711">
        <w:trPr>
          <w:trHeight w:val="166"/>
          <w:tblHeader/>
        </w:trPr>
        <w:tc>
          <w:tcPr>
            <w:tcW w:w="1338" w:type="dxa"/>
            <w:shd w:val="clear" w:color="auto" w:fill="365F91"/>
            <w:vAlign w:val="bottom"/>
          </w:tcPr>
          <w:p w14:paraId="43035E3F" w14:textId="77777777" w:rsidR="00F849A7" w:rsidRPr="00D9348B" w:rsidRDefault="00F849A7" w:rsidP="00965711">
            <w:pPr>
              <w:pStyle w:val="TableTextBold"/>
              <w:keepNext/>
              <w:rPr>
                <w:rFonts w:cs="Calibri"/>
                <w:noProof w:val="0"/>
                <w:color w:val="FFFFFF"/>
              </w:rPr>
            </w:pPr>
            <w:r w:rsidRPr="00D9348B">
              <w:rPr>
                <w:rFonts w:cs="Calibri"/>
                <w:noProof w:val="0"/>
                <w:color w:val="FFFFFF"/>
              </w:rPr>
              <w:t>QA/QC area</w:t>
            </w:r>
          </w:p>
        </w:tc>
        <w:tc>
          <w:tcPr>
            <w:tcW w:w="8027" w:type="dxa"/>
            <w:shd w:val="clear" w:color="auto" w:fill="365F91"/>
            <w:vAlign w:val="bottom"/>
          </w:tcPr>
          <w:p w14:paraId="73435F0A" w14:textId="77777777" w:rsidR="00F849A7" w:rsidRPr="00D9348B" w:rsidRDefault="00F849A7" w:rsidP="00965711">
            <w:pPr>
              <w:pStyle w:val="TableTextBold"/>
              <w:keepNext/>
              <w:rPr>
                <w:rFonts w:cs="Calibri"/>
                <w:noProof w:val="0"/>
                <w:color w:val="FFFFFF"/>
              </w:rPr>
            </w:pPr>
            <w:r w:rsidRPr="00D9348B">
              <w:rPr>
                <w:rFonts w:cs="Calibri"/>
                <w:noProof w:val="0"/>
                <w:color w:val="FFFFFF"/>
              </w:rPr>
              <w:t>Details of QA/QC procedure</w:t>
            </w:r>
          </w:p>
        </w:tc>
      </w:tr>
      <w:tr w:rsidR="00F849A7" w:rsidRPr="00D9348B" w14:paraId="1E72975C" w14:textId="77777777" w:rsidTr="00965711">
        <w:trPr>
          <w:trHeight w:val="1497"/>
          <w:tblHeader/>
        </w:trPr>
        <w:tc>
          <w:tcPr>
            <w:tcW w:w="1338" w:type="dxa"/>
            <w:shd w:val="clear" w:color="auto" w:fill="auto"/>
          </w:tcPr>
          <w:p w14:paraId="5D898F32" w14:textId="010AB78E" w:rsidR="00F849A7" w:rsidRPr="00D9348B" w:rsidRDefault="00F849A7" w:rsidP="00DB330E">
            <w:pPr>
              <w:pStyle w:val="TableText"/>
              <w:rPr>
                <w:rFonts w:cs="Calibri"/>
              </w:rPr>
            </w:pPr>
            <w:r w:rsidRPr="00D9348B">
              <w:rPr>
                <w:rFonts w:cs="Calibri"/>
              </w:rPr>
              <w:t xml:space="preserve">Activity data </w:t>
            </w:r>
          </w:p>
        </w:tc>
        <w:tc>
          <w:tcPr>
            <w:tcW w:w="8027" w:type="dxa"/>
            <w:shd w:val="clear" w:color="auto" w:fill="auto"/>
          </w:tcPr>
          <w:p w14:paraId="0147551F" w14:textId="77777777" w:rsidR="00F849A7" w:rsidRPr="00D9348B" w:rsidRDefault="00F849A7" w:rsidP="00DB330E">
            <w:pPr>
              <w:pStyle w:val="TableText"/>
              <w:rPr>
                <w:rFonts w:cs="Calibri"/>
              </w:rPr>
            </w:pPr>
            <w:r w:rsidRPr="00D9348B">
              <w:rPr>
                <w:rFonts w:cs="Calibri"/>
              </w:rPr>
              <w:t xml:space="preserve">Data inputs and checks are recorded in a data check table, which is signed by the individual staff members performing the data input and the checks. </w:t>
            </w:r>
          </w:p>
          <w:p w14:paraId="28994594" w14:textId="77777777" w:rsidR="00F849A7" w:rsidRPr="00D9348B" w:rsidRDefault="00F849A7" w:rsidP="00DB330E">
            <w:pPr>
              <w:pStyle w:val="TableText"/>
              <w:rPr>
                <w:rFonts w:cs="Calibri"/>
              </w:rPr>
            </w:pPr>
            <w:r w:rsidRPr="00D9348B">
              <w:rPr>
                <w:rFonts w:cs="Calibri"/>
              </w:rPr>
              <w:t xml:space="preserve">A comprehensive list of all external data to be collected annually from internal and external sources is included as a part of the data check sheet. </w:t>
            </w:r>
          </w:p>
          <w:p w14:paraId="1B0F04E7" w14:textId="77777777" w:rsidR="00F849A7" w:rsidRPr="00D9348B" w:rsidRDefault="00F849A7" w:rsidP="00DB330E">
            <w:pPr>
              <w:pStyle w:val="TableText"/>
              <w:rPr>
                <w:rFonts w:cs="Calibri"/>
              </w:rPr>
            </w:pPr>
            <w:r w:rsidRPr="00D9348B">
              <w:rPr>
                <w:rFonts w:cs="Calibri"/>
              </w:rPr>
              <w:t xml:space="preserve">New activity data are cross checked for accuracy and completeness by someone not involved in the data input and primary compilation. </w:t>
            </w:r>
          </w:p>
          <w:p w14:paraId="2A3BD17F" w14:textId="77777777" w:rsidR="00F849A7" w:rsidRPr="00D9348B" w:rsidRDefault="00F849A7" w:rsidP="00DB330E">
            <w:pPr>
              <w:pStyle w:val="TableText"/>
              <w:rPr>
                <w:rFonts w:cs="Calibri"/>
              </w:rPr>
            </w:pPr>
            <w:r w:rsidRPr="00D9348B">
              <w:rPr>
                <w:rFonts w:cs="Calibri"/>
              </w:rPr>
              <w:t xml:space="preserve">New data on activity and year-to-year time variance are reviewed by commodity analysts and economic modellers, to ensure the data are consistent and reflect the domestic situation. </w:t>
            </w:r>
          </w:p>
          <w:p w14:paraId="53E0C07A" w14:textId="77777777" w:rsidR="00F849A7" w:rsidRPr="00D9348B" w:rsidRDefault="00F849A7" w:rsidP="00DB330E">
            <w:pPr>
              <w:pStyle w:val="TableText"/>
              <w:rPr>
                <w:rFonts w:cs="Calibri"/>
              </w:rPr>
            </w:pPr>
            <w:r w:rsidRPr="00D9348B">
              <w:rPr>
                <w:rFonts w:cs="Calibri"/>
              </w:rPr>
              <w:t xml:space="preserve">Where practical, key historical data are rechecked concurrently with updating the latest data. </w:t>
            </w:r>
          </w:p>
          <w:p w14:paraId="7044E784" w14:textId="77777777" w:rsidR="00F849A7" w:rsidRPr="00D9348B" w:rsidRDefault="00F849A7" w:rsidP="00DB330E">
            <w:pPr>
              <w:pStyle w:val="TableText"/>
              <w:rPr>
                <w:rFonts w:cs="Calibri"/>
              </w:rPr>
            </w:pPr>
            <w:r w:rsidRPr="00D9348B">
              <w:rPr>
                <w:rFonts w:cs="Calibri"/>
              </w:rPr>
              <w:t xml:space="preserve">The data check table is included with the managerial sign-off materials before delivery to the Ministry for the Environment. </w:t>
            </w:r>
          </w:p>
        </w:tc>
      </w:tr>
      <w:tr w:rsidR="00F849A7" w:rsidRPr="00D9348B" w14:paraId="4A1A3ABF" w14:textId="77777777" w:rsidTr="00965711">
        <w:trPr>
          <w:trHeight w:val="1015"/>
          <w:tblHeader/>
        </w:trPr>
        <w:tc>
          <w:tcPr>
            <w:tcW w:w="1338" w:type="dxa"/>
            <w:shd w:val="clear" w:color="auto" w:fill="auto"/>
          </w:tcPr>
          <w:p w14:paraId="2D25672F" w14:textId="77777777" w:rsidR="00F849A7" w:rsidRPr="00D9348B" w:rsidRDefault="00F849A7" w:rsidP="00965711">
            <w:pPr>
              <w:pStyle w:val="TableText"/>
              <w:spacing w:before="50" w:after="50"/>
              <w:rPr>
                <w:rFonts w:cs="Calibri"/>
                <w:color w:val="000000"/>
              </w:rPr>
            </w:pPr>
            <w:r w:rsidRPr="00D9348B">
              <w:rPr>
                <w:rFonts w:cs="Calibri"/>
                <w:color w:val="000000"/>
              </w:rPr>
              <w:t xml:space="preserve">Emissions </w:t>
            </w:r>
          </w:p>
        </w:tc>
        <w:tc>
          <w:tcPr>
            <w:tcW w:w="8027" w:type="dxa"/>
            <w:shd w:val="clear" w:color="auto" w:fill="auto"/>
          </w:tcPr>
          <w:p w14:paraId="0EF449D9" w14:textId="77777777" w:rsidR="00F849A7" w:rsidRPr="00D9348B" w:rsidRDefault="00F849A7" w:rsidP="00965711">
            <w:pPr>
              <w:pStyle w:val="TableText"/>
              <w:spacing w:before="50" w:after="50"/>
              <w:rPr>
                <w:rFonts w:cs="Calibri"/>
                <w:color w:val="000000"/>
              </w:rPr>
            </w:pPr>
            <w:r w:rsidRPr="00D9348B">
              <w:rPr>
                <w:rFonts w:cs="Calibri"/>
                <w:color w:val="000000"/>
              </w:rPr>
              <w:t xml:space="preserve">Implied emission factors are checked over time (1990 to most recent year) and against previous submissions. Any anomalies are investigated. </w:t>
            </w:r>
          </w:p>
          <w:p w14:paraId="4CC1C028" w14:textId="77777777" w:rsidR="00F849A7" w:rsidRPr="00D9348B" w:rsidRDefault="00F849A7" w:rsidP="00965711">
            <w:pPr>
              <w:pStyle w:val="TableText"/>
              <w:spacing w:before="50" w:after="50"/>
              <w:rPr>
                <w:rFonts w:cs="Calibri"/>
                <w:color w:val="000000"/>
              </w:rPr>
            </w:pPr>
            <w:r w:rsidRPr="00D9348B">
              <w:rPr>
                <w:rFonts w:cs="Calibri"/>
                <w:color w:val="000000"/>
              </w:rPr>
              <w:t xml:space="preserve">Key category emissions are compared against Tier 1 default methodologies and against similar Parties, particularly Australia. A challenge for New Zealand is the lack of countries with similar agricultural circumstances and management practices. For example, New Zealand’s major livestock types are almost all kept outdoors on pasture in all seasons. </w:t>
            </w:r>
          </w:p>
          <w:p w14:paraId="3FF58C75" w14:textId="77777777" w:rsidR="00F849A7" w:rsidRPr="00D9348B" w:rsidRDefault="00F849A7" w:rsidP="00965711">
            <w:pPr>
              <w:pStyle w:val="TableText"/>
              <w:spacing w:before="50" w:after="50"/>
              <w:rPr>
                <w:rFonts w:cs="Calibri"/>
                <w:color w:val="000000"/>
              </w:rPr>
            </w:pPr>
            <w:r w:rsidRPr="00D9348B">
              <w:rPr>
                <w:rFonts w:cs="Calibri"/>
                <w:color w:val="000000"/>
              </w:rPr>
              <w:t>Total emissions and key activity data from the common reporting format (CRF) tables are checked for accuracy against total emissions and activity in the workbooks. Category totals are also checked.</w:t>
            </w:r>
          </w:p>
        </w:tc>
      </w:tr>
      <w:tr w:rsidR="00F849A7" w:rsidRPr="00D9348B" w14:paraId="1C715185" w14:textId="77777777" w:rsidTr="00965711">
        <w:trPr>
          <w:trHeight w:val="962"/>
          <w:tblHeader/>
        </w:trPr>
        <w:tc>
          <w:tcPr>
            <w:tcW w:w="1338" w:type="dxa"/>
            <w:shd w:val="clear" w:color="auto" w:fill="auto"/>
          </w:tcPr>
          <w:p w14:paraId="6B4C8DD9" w14:textId="77777777" w:rsidR="00F849A7" w:rsidRPr="00D9348B" w:rsidRDefault="00F849A7" w:rsidP="00965711">
            <w:pPr>
              <w:pStyle w:val="TableText"/>
              <w:spacing w:before="50" w:after="50"/>
              <w:rPr>
                <w:rFonts w:cs="Calibri"/>
                <w:color w:val="000000"/>
              </w:rPr>
            </w:pPr>
            <w:r w:rsidRPr="00D9348B">
              <w:rPr>
                <w:rFonts w:cs="Calibri"/>
                <w:color w:val="000000"/>
              </w:rPr>
              <w:t xml:space="preserve">Recalculations </w:t>
            </w:r>
          </w:p>
        </w:tc>
        <w:tc>
          <w:tcPr>
            <w:tcW w:w="8027" w:type="dxa"/>
            <w:shd w:val="clear" w:color="auto" w:fill="auto"/>
          </w:tcPr>
          <w:p w14:paraId="72EA9D37" w14:textId="77777777" w:rsidR="00F849A7" w:rsidRPr="00D9348B" w:rsidRDefault="00F849A7" w:rsidP="00965711">
            <w:pPr>
              <w:pStyle w:val="TableText"/>
              <w:spacing w:before="50" w:after="50"/>
              <w:rPr>
                <w:rFonts w:cs="Calibri"/>
                <w:color w:val="000000"/>
              </w:rPr>
            </w:pPr>
            <w:r w:rsidRPr="00D9348B">
              <w:rPr>
                <w:rFonts w:cs="Calibri"/>
                <w:color w:val="000000"/>
              </w:rPr>
              <w:t xml:space="preserve">Recalculations are agreed with the Ministry for the Environment and the Reporting Governance Group every year, before the Agriculture inventory compilation commences. </w:t>
            </w:r>
          </w:p>
          <w:p w14:paraId="2D9E29AA" w14:textId="77777777" w:rsidR="00F849A7" w:rsidRPr="00D9348B" w:rsidRDefault="00F849A7" w:rsidP="00965711">
            <w:pPr>
              <w:pStyle w:val="TableText"/>
              <w:spacing w:before="50" w:after="50"/>
              <w:rPr>
                <w:rFonts w:cs="Calibri"/>
                <w:color w:val="000000"/>
              </w:rPr>
            </w:pPr>
            <w:r w:rsidRPr="00D9348B">
              <w:rPr>
                <w:rFonts w:cs="Calibri"/>
                <w:color w:val="000000"/>
              </w:rPr>
              <w:t>Recalculations are compared with previous submissions and, as far as possible, explained and confirmed by the changes in method or activity data.</w:t>
            </w:r>
          </w:p>
          <w:p w14:paraId="27B11AC7" w14:textId="77777777" w:rsidR="00F849A7" w:rsidRPr="00D9348B" w:rsidRDefault="00F849A7" w:rsidP="00965711">
            <w:pPr>
              <w:pStyle w:val="TableText"/>
              <w:spacing w:before="50" w:after="50"/>
              <w:rPr>
                <w:rFonts w:cs="Calibri"/>
                <w:color w:val="000000"/>
              </w:rPr>
            </w:pPr>
            <w:r w:rsidRPr="00D9348B">
              <w:rPr>
                <w:rFonts w:cs="Calibri"/>
                <w:color w:val="000000"/>
              </w:rPr>
              <w:t xml:space="preserve">Anomalous results from recalculations are checked and corrected, if necessary. </w:t>
            </w:r>
          </w:p>
          <w:p w14:paraId="505D0ABA" w14:textId="77777777" w:rsidR="00F849A7" w:rsidRPr="00D9348B" w:rsidRDefault="00F849A7" w:rsidP="00965711">
            <w:pPr>
              <w:pStyle w:val="TableText"/>
              <w:spacing w:before="50" w:after="50"/>
              <w:rPr>
                <w:rFonts w:cs="Calibri"/>
                <w:color w:val="000000"/>
              </w:rPr>
            </w:pPr>
            <w:r w:rsidRPr="00D9348B">
              <w:rPr>
                <w:rFonts w:cs="Calibri"/>
                <w:color w:val="000000"/>
              </w:rPr>
              <w:t xml:space="preserve">The Agriculture inventory compiler completes recalculation forms, signs the forms and forwards them to the Ministry for the Environment. </w:t>
            </w:r>
          </w:p>
        </w:tc>
      </w:tr>
      <w:tr w:rsidR="00F849A7" w:rsidRPr="00D9348B" w14:paraId="7BDCEA2B" w14:textId="77777777" w:rsidTr="00965711">
        <w:trPr>
          <w:trHeight w:val="1856"/>
          <w:tblHeader/>
        </w:trPr>
        <w:tc>
          <w:tcPr>
            <w:tcW w:w="1338" w:type="dxa"/>
            <w:shd w:val="clear" w:color="auto" w:fill="auto"/>
          </w:tcPr>
          <w:p w14:paraId="42512DE3" w14:textId="77777777" w:rsidR="00F849A7" w:rsidRPr="00D9348B" w:rsidRDefault="00F849A7" w:rsidP="00965711">
            <w:pPr>
              <w:pStyle w:val="TableText"/>
              <w:spacing w:before="50" w:after="50"/>
              <w:rPr>
                <w:rFonts w:cs="Calibri"/>
                <w:color w:val="000000"/>
              </w:rPr>
            </w:pPr>
            <w:r w:rsidRPr="00D9348B">
              <w:rPr>
                <w:rFonts w:cs="Calibri"/>
                <w:color w:val="000000"/>
              </w:rPr>
              <w:t xml:space="preserve">Periodic reviews </w:t>
            </w:r>
          </w:p>
        </w:tc>
        <w:tc>
          <w:tcPr>
            <w:tcW w:w="8027" w:type="dxa"/>
            <w:shd w:val="clear" w:color="auto" w:fill="auto"/>
          </w:tcPr>
          <w:p w14:paraId="3F5A3DC0" w14:textId="77777777" w:rsidR="00F849A7" w:rsidRPr="00D9348B" w:rsidRDefault="00F849A7" w:rsidP="00965711">
            <w:pPr>
              <w:pStyle w:val="TableText"/>
              <w:spacing w:before="50" w:after="50"/>
              <w:rPr>
                <w:rFonts w:cs="Calibri"/>
                <w:color w:val="000000"/>
              </w:rPr>
            </w:pPr>
            <w:r w:rsidRPr="00D9348B">
              <w:rPr>
                <w:rFonts w:cs="Calibri"/>
                <w:color w:val="000000"/>
              </w:rPr>
              <w:t>Periodic reviews are completed on different aspects of the Agriculture inventory. Examples of these reviews are below.</w:t>
            </w:r>
          </w:p>
          <w:p w14:paraId="03FFB1E4" w14:textId="77777777" w:rsidR="00F849A7" w:rsidRPr="00D9348B" w:rsidRDefault="00F849A7" w:rsidP="00965711">
            <w:pPr>
              <w:pStyle w:val="TableText"/>
              <w:spacing w:before="50" w:after="50"/>
              <w:rPr>
                <w:rFonts w:cs="Calibri"/>
                <w:color w:val="000000"/>
              </w:rPr>
            </w:pPr>
            <w:r w:rsidRPr="00D9348B">
              <w:rPr>
                <w:rFonts w:cs="Calibri"/>
                <w:color w:val="000000"/>
              </w:rPr>
              <w:t xml:space="preserve">The livestock population models and productivity parameters have been reviewed (e.g., Thomson et al., 2010). These reviews have also been used to update and improve the Tier 2 model. </w:t>
            </w:r>
          </w:p>
          <w:p w14:paraId="035821B8" w14:textId="77777777" w:rsidR="00F849A7" w:rsidRPr="00D9348B" w:rsidRDefault="00F849A7" w:rsidP="00965711">
            <w:pPr>
              <w:pStyle w:val="TableText"/>
              <w:spacing w:before="50" w:after="50"/>
              <w:rPr>
                <w:rFonts w:cs="Calibri"/>
                <w:color w:val="000000"/>
              </w:rPr>
            </w:pPr>
            <w:r w:rsidRPr="00D9348B">
              <w:rPr>
                <w:rFonts w:cs="Calibri"/>
                <w:color w:val="000000"/>
              </w:rPr>
              <w:t xml:space="preserve">During the 2012 submission, new crops were included in the National Inventory Report and a new complex methodology was implemented. For the 2013 submission, Plant and Food Research, a Crown research institute that has expertise in this area, was hired to review the workbooks, check the formulae, and model parameters. </w:t>
            </w:r>
          </w:p>
          <w:p w14:paraId="6712318F" w14:textId="77777777" w:rsidR="00F849A7" w:rsidRPr="00D9348B" w:rsidRDefault="00F849A7" w:rsidP="00965711">
            <w:pPr>
              <w:pStyle w:val="TableText"/>
              <w:spacing w:before="50" w:after="50"/>
              <w:rPr>
                <w:rFonts w:cs="Calibri"/>
                <w:color w:val="000000"/>
              </w:rPr>
            </w:pPr>
            <w:r w:rsidRPr="00D9348B">
              <w:rPr>
                <w:rFonts w:cs="Calibri"/>
                <w:color w:val="000000"/>
              </w:rPr>
              <w:t xml:space="preserve">During the 2015 submission, a mutual bilateral greenhouse gas inventory review was held between Australia and New Zealand, which included the Agriculture sector (Australian Government, unpublished). </w:t>
            </w:r>
          </w:p>
          <w:p w14:paraId="4004311D" w14:textId="77777777" w:rsidR="00F849A7" w:rsidRPr="00D9348B" w:rsidRDefault="00F849A7" w:rsidP="00965711">
            <w:pPr>
              <w:pStyle w:val="TableText"/>
              <w:spacing w:before="50" w:after="50"/>
              <w:rPr>
                <w:rFonts w:cs="Calibri"/>
                <w:color w:val="000000"/>
              </w:rPr>
            </w:pPr>
            <w:r w:rsidRPr="00D9348B">
              <w:rPr>
                <w:rFonts w:cs="Calibri"/>
                <w:color w:val="000000"/>
              </w:rPr>
              <w:t>In 2018, the population models in the inventory model were reviewed. Small errors in the implementation of the population equations in the inventory model were found and have been corrected for the 2019 (1990–2017) submission. For more information on this, see sections 5.1.5 and 10.1.3.</w:t>
            </w:r>
          </w:p>
        </w:tc>
      </w:tr>
      <w:tr w:rsidR="00F849A7" w:rsidRPr="00D9348B" w14:paraId="77766446" w14:textId="77777777" w:rsidTr="00965711">
        <w:trPr>
          <w:trHeight w:val="1173"/>
          <w:tblHeader/>
        </w:trPr>
        <w:tc>
          <w:tcPr>
            <w:tcW w:w="1338" w:type="dxa"/>
            <w:shd w:val="clear" w:color="auto" w:fill="auto"/>
          </w:tcPr>
          <w:p w14:paraId="65105C25" w14:textId="77777777" w:rsidR="00F849A7" w:rsidRPr="00D9348B" w:rsidRDefault="00F849A7" w:rsidP="00965711">
            <w:pPr>
              <w:pStyle w:val="TableText"/>
              <w:spacing w:before="50" w:after="50"/>
              <w:rPr>
                <w:rFonts w:cs="Calibri"/>
                <w:color w:val="000000"/>
              </w:rPr>
            </w:pPr>
            <w:r w:rsidRPr="00D9348B">
              <w:rPr>
                <w:rFonts w:cs="Calibri"/>
                <w:color w:val="000000"/>
              </w:rPr>
              <w:t xml:space="preserve">Error checking and reporting </w:t>
            </w:r>
          </w:p>
        </w:tc>
        <w:tc>
          <w:tcPr>
            <w:tcW w:w="8027" w:type="dxa"/>
            <w:shd w:val="clear" w:color="auto" w:fill="auto"/>
          </w:tcPr>
          <w:p w14:paraId="3FABE044" w14:textId="77777777" w:rsidR="00F849A7" w:rsidRPr="00D9348B" w:rsidRDefault="00F849A7" w:rsidP="00965711">
            <w:pPr>
              <w:pStyle w:val="TableText"/>
              <w:spacing w:before="50" w:after="50"/>
              <w:rPr>
                <w:rFonts w:cs="Calibri"/>
                <w:color w:val="000000"/>
              </w:rPr>
            </w:pPr>
            <w:r w:rsidRPr="00D9348B">
              <w:rPr>
                <w:rFonts w:cs="Calibri"/>
                <w:color w:val="000000"/>
              </w:rPr>
              <w:t xml:space="preserve">Errors confirmed during the year are recorded, and the National Inventory Compiler is notified. The factors contributing to the error are assessed. </w:t>
            </w:r>
          </w:p>
          <w:p w14:paraId="3FC76EF7" w14:textId="77777777" w:rsidR="00F849A7" w:rsidRPr="00D9348B" w:rsidRDefault="00F849A7" w:rsidP="00965711">
            <w:pPr>
              <w:pStyle w:val="TableText"/>
              <w:spacing w:before="50" w:after="50"/>
              <w:rPr>
                <w:rFonts w:cs="Calibri"/>
                <w:color w:val="000000"/>
              </w:rPr>
            </w:pPr>
            <w:r w:rsidRPr="00D9348B">
              <w:rPr>
                <w:rFonts w:cs="Calibri"/>
                <w:color w:val="000000"/>
              </w:rPr>
              <w:t xml:space="preserve">An issues, risks and enhancements register is kept up to date and used to prioritise the resolution of key sources of risk to the Agriculture inventory compilation and results. </w:t>
            </w:r>
          </w:p>
          <w:p w14:paraId="60F8C089" w14:textId="77777777" w:rsidR="00F849A7" w:rsidRPr="00D9348B" w:rsidRDefault="00F849A7" w:rsidP="00965711">
            <w:pPr>
              <w:pStyle w:val="TableText"/>
              <w:spacing w:before="50" w:after="50"/>
              <w:rPr>
                <w:rFonts w:cs="Calibri"/>
                <w:color w:val="000000"/>
              </w:rPr>
            </w:pPr>
            <w:r w:rsidRPr="00D9348B">
              <w:rPr>
                <w:rFonts w:cs="Calibri"/>
                <w:color w:val="000000"/>
              </w:rPr>
              <w:t xml:space="preserve">A checklist of quality-control activities is followed during data collection and entry into the model, data upload to the CRF reporting tool and National Inventory Report chapter preparation. </w:t>
            </w:r>
          </w:p>
          <w:p w14:paraId="41FF3A8F" w14:textId="77777777" w:rsidR="00F849A7" w:rsidRPr="00D9348B" w:rsidRDefault="00F849A7" w:rsidP="00965711">
            <w:pPr>
              <w:pStyle w:val="TableText"/>
              <w:spacing w:before="50" w:after="50"/>
              <w:rPr>
                <w:rFonts w:cs="Calibri"/>
                <w:color w:val="000000"/>
              </w:rPr>
            </w:pPr>
            <w:r w:rsidRPr="00D9348B">
              <w:rPr>
                <w:rFonts w:cs="Calibri"/>
                <w:color w:val="000000"/>
              </w:rPr>
              <w:t xml:space="preserve">The Agriculture chapter of the National Inventory Report and the data exported to the CRF reporter are signed off by the chapter compiler, people involved in data checking and the responsible manager. </w:t>
            </w:r>
          </w:p>
        </w:tc>
      </w:tr>
      <w:tr w:rsidR="00F849A7" w:rsidRPr="00D9348B" w14:paraId="4FAEA452" w14:textId="77777777" w:rsidTr="00965711">
        <w:trPr>
          <w:trHeight w:val="691"/>
          <w:tblHeader/>
        </w:trPr>
        <w:tc>
          <w:tcPr>
            <w:tcW w:w="1338" w:type="dxa"/>
            <w:shd w:val="clear" w:color="auto" w:fill="auto"/>
          </w:tcPr>
          <w:p w14:paraId="13F1D9F4" w14:textId="77777777" w:rsidR="00F849A7" w:rsidRPr="00D9348B" w:rsidRDefault="00F849A7" w:rsidP="00965711">
            <w:pPr>
              <w:pStyle w:val="TableText"/>
              <w:spacing w:before="50" w:after="50"/>
              <w:rPr>
                <w:rFonts w:cs="Calibri"/>
                <w:color w:val="000000"/>
              </w:rPr>
            </w:pPr>
            <w:r w:rsidRPr="00D9348B">
              <w:rPr>
                <w:rFonts w:cs="Calibri"/>
                <w:color w:val="000000"/>
              </w:rPr>
              <w:t xml:space="preserve">Documentation </w:t>
            </w:r>
          </w:p>
        </w:tc>
        <w:tc>
          <w:tcPr>
            <w:tcW w:w="8027" w:type="dxa"/>
            <w:shd w:val="clear" w:color="auto" w:fill="auto"/>
          </w:tcPr>
          <w:p w14:paraId="40431752" w14:textId="77777777" w:rsidR="00F849A7" w:rsidRPr="00D9348B" w:rsidRDefault="00F849A7" w:rsidP="00965711">
            <w:pPr>
              <w:pStyle w:val="TableText"/>
              <w:spacing w:before="50" w:after="50"/>
              <w:rPr>
                <w:rFonts w:cs="Calibri"/>
                <w:color w:val="000000"/>
              </w:rPr>
            </w:pPr>
            <w:r w:rsidRPr="00D9348B">
              <w:rPr>
                <w:rFonts w:cs="Calibri"/>
                <w:color w:val="000000"/>
              </w:rPr>
              <w:t xml:space="preserve">Internal working instructions are maintained, to allow for staff movements. </w:t>
            </w:r>
          </w:p>
          <w:p w14:paraId="68E268AC" w14:textId="77777777" w:rsidR="00F849A7" w:rsidRPr="00D9348B" w:rsidRDefault="00F849A7" w:rsidP="00965711">
            <w:pPr>
              <w:pStyle w:val="TableText"/>
              <w:spacing w:before="50" w:after="50"/>
              <w:rPr>
                <w:rFonts w:cs="Calibri"/>
                <w:color w:val="000000"/>
              </w:rPr>
            </w:pPr>
            <w:r w:rsidRPr="00D9348B">
              <w:rPr>
                <w:rFonts w:cs="Calibri"/>
                <w:color w:val="000000"/>
              </w:rPr>
              <w:t xml:space="preserve">Workbooks and calculations are kept on an electronic archiving and management system, enabling wider team access to all workbooks. </w:t>
            </w:r>
          </w:p>
          <w:p w14:paraId="50D67E0D" w14:textId="77777777" w:rsidR="00F849A7" w:rsidRPr="00D9348B" w:rsidRDefault="00F849A7" w:rsidP="00965711">
            <w:pPr>
              <w:pStyle w:val="TableText"/>
              <w:spacing w:before="50" w:after="50"/>
              <w:rPr>
                <w:rFonts w:cs="Calibri"/>
                <w:color w:val="000000"/>
              </w:rPr>
            </w:pPr>
            <w:r w:rsidRPr="00D9348B">
              <w:rPr>
                <w:rFonts w:cs="Calibri"/>
                <w:color w:val="000000"/>
              </w:rPr>
              <w:t xml:space="preserve">Hyperlinks between check sheets, sign-off documents and workbooks are used to link relevant files on the document management system. </w:t>
            </w:r>
          </w:p>
        </w:tc>
      </w:tr>
    </w:tbl>
    <w:p w14:paraId="79E2B155" w14:textId="77777777" w:rsidR="00F849A7" w:rsidRPr="00D9348B" w:rsidRDefault="00F849A7" w:rsidP="00F849A7">
      <w:pPr>
        <w:pStyle w:val="Heading3"/>
        <w:rPr>
          <w:rFonts w:cs="Calibri"/>
        </w:rPr>
      </w:pPr>
      <w:bookmarkStart w:id="616" w:name="_Toc32570649"/>
      <w:r w:rsidRPr="00D9348B">
        <w:rPr>
          <w:rFonts w:cs="Calibri"/>
        </w:rPr>
        <w:lastRenderedPageBreak/>
        <w:t>5.1.7</w:t>
      </w:r>
      <w:r w:rsidRPr="00D9348B">
        <w:rPr>
          <w:rFonts w:cs="Calibri"/>
        </w:rPr>
        <w:tab/>
        <w:t>Planned improvements</w:t>
      </w:r>
      <w:bookmarkEnd w:id="616"/>
    </w:p>
    <w:p w14:paraId="08B9F807" w14:textId="77777777" w:rsidR="00F849A7" w:rsidRPr="00D9348B" w:rsidRDefault="00F849A7" w:rsidP="00F849A7">
      <w:pPr>
        <w:pStyle w:val="BodyText"/>
        <w:rPr>
          <w:rFonts w:cs="Calibri"/>
        </w:rPr>
      </w:pPr>
      <w:r w:rsidRPr="00D9348B">
        <w:rPr>
          <w:rFonts w:cs="Calibri"/>
        </w:rPr>
        <w:t xml:space="preserve">MPI is undertaking a number of research projects aimed at improving New Zealand’s Agriculture inventory. </w:t>
      </w:r>
    </w:p>
    <w:p w14:paraId="616CD89E" w14:textId="77777777" w:rsidR="00F849A7" w:rsidRPr="00D9348B" w:rsidRDefault="00F849A7" w:rsidP="00F849A7">
      <w:pPr>
        <w:pStyle w:val="BodyText"/>
        <w:ind w:left="567" w:hanging="567"/>
        <w:rPr>
          <w:rFonts w:cs="Calibri"/>
        </w:rPr>
      </w:pPr>
      <w:r w:rsidRPr="00D9348B">
        <w:rPr>
          <w:rFonts w:cs="Calibri"/>
        </w:rPr>
        <w:t>Short-term studies (one year) include:</w:t>
      </w:r>
    </w:p>
    <w:p w14:paraId="27BF0875" w14:textId="77777777" w:rsidR="00F849A7" w:rsidRPr="00D9348B" w:rsidRDefault="00F849A7" w:rsidP="00F849A7">
      <w:pPr>
        <w:pStyle w:val="Bullet"/>
        <w:rPr>
          <w:rFonts w:cs="Calibri"/>
        </w:rPr>
      </w:pPr>
      <w:r w:rsidRPr="00D9348B">
        <w:rPr>
          <w:rFonts w:cs="Calibri"/>
        </w:rPr>
        <w:t>research identifying the amount and types of supplemental feed used in the dairy, sheep, beef and deer farming industries</w:t>
      </w:r>
    </w:p>
    <w:p w14:paraId="66B428EC" w14:textId="77777777" w:rsidR="00F849A7" w:rsidRPr="00D9348B" w:rsidRDefault="00F849A7" w:rsidP="00F849A7">
      <w:pPr>
        <w:pStyle w:val="Bullet"/>
        <w:rPr>
          <w:rFonts w:cs="Calibri"/>
        </w:rPr>
      </w:pPr>
      <w:r w:rsidRPr="00D9348B">
        <w:rPr>
          <w:rFonts w:cs="Calibri"/>
        </w:rPr>
        <w:t>obtaining past scientifically robust and verifiable laboratory data on the energy content, nitrogen content and digestibility of different supplemented feeds</w:t>
      </w:r>
    </w:p>
    <w:p w14:paraId="2892DD52" w14:textId="77777777" w:rsidR="00F849A7" w:rsidRPr="00D9348B" w:rsidRDefault="00F849A7" w:rsidP="00F849A7">
      <w:pPr>
        <w:pStyle w:val="Bullet"/>
        <w:rPr>
          <w:rFonts w:cs="Calibri"/>
        </w:rPr>
      </w:pPr>
      <w:r w:rsidRPr="00D9348B">
        <w:rPr>
          <w:rFonts w:cs="Calibri"/>
        </w:rPr>
        <w:t xml:space="preserve">updating national estimates of pasture quality for ME, nitrogen and dry matter digestibility </w:t>
      </w:r>
    </w:p>
    <w:p w14:paraId="254168BC" w14:textId="77777777" w:rsidR="00F849A7" w:rsidRPr="00D9348B" w:rsidRDefault="00F849A7" w:rsidP="00F849A7">
      <w:pPr>
        <w:pStyle w:val="Bullet"/>
        <w:rPr>
          <w:rFonts w:cs="Calibri"/>
        </w:rPr>
      </w:pPr>
      <w:r w:rsidRPr="00D9348B">
        <w:rPr>
          <w:rFonts w:cs="Calibri"/>
        </w:rPr>
        <w:t xml:space="preserve">reviewing the models used to estimate monthly population changes and liveweight for dairy cattle, beef cattle, sheep and deer </w:t>
      </w:r>
    </w:p>
    <w:p w14:paraId="595BB4E2" w14:textId="77777777" w:rsidR="00F849A7" w:rsidRPr="00D9348B" w:rsidRDefault="00F849A7" w:rsidP="00F849A7">
      <w:pPr>
        <w:pStyle w:val="Bullet"/>
        <w:rPr>
          <w:rFonts w:cs="Calibri"/>
        </w:rPr>
      </w:pPr>
      <w:r w:rsidRPr="00D9348B">
        <w:rPr>
          <w:rFonts w:cs="Calibri"/>
        </w:rPr>
        <w:t>reviewing the FracLeach parameter used to help calculate indirect N2O emissions from agricultural soils (see section 5.5.6)</w:t>
      </w:r>
    </w:p>
    <w:p w14:paraId="2E3731F9" w14:textId="77777777" w:rsidR="00F849A7" w:rsidRPr="00D9348B" w:rsidRDefault="00F849A7" w:rsidP="00F849A7">
      <w:pPr>
        <w:pStyle w:val="Bullet"/>
        <w:rPr>
          <w:rFonts w:cs="Calibri"/>
        </w:rPr>
      </w:pPr>
      <w:proofErr w:type="gramStart"/>
      <w:r w:rsidRPr="00D9348B">
        <w:rPr>
          <w:rFonts w:cs="Calibri"/>
        </w:rPr>
        <w:t>understanding</w:t>
      </w:r>
      <w:proofErr w:type="gramEnd"/>
      <w:r w:rsidRPr="00D9348B">
        <w:rPr>
          <w:rFonts w:cs="Calibri"/>
        </w:rPr>
        <w:t xml:space="preserve"> emissions from potential N</w:t>
      </w:r>
      <w:r w:rsidRPr="00D9348B">
        <w:rPr>
          <w:rFonts w:cs="Calibri"/>
          <w:vertAlign w:val="subscript"/>
        </w:rPr>
        <w:t>2</w:t>
      </w:r>
      <w:r w:rsidRPr="00D9348B">
        <w:rPr>
          <w:rFonts w:cs="Calibri"/>
        </w:rPr>
        <w:t>O ‘hotspots’ on dairy farms; areas with high animal treading (such as gateways and water troughs) could have higher N</w:t>
      </w:r>
      <w:r w:rsidRPr="00D9348B">
        <w:rPr>
          <w:rFonts w:cs="Calibri"/>
          <w:vertAlign w:val="subscript"/>
        </w:rPr>
        <w:t>2</w:t>
      </w:r>
      <w:r w:rsidRPr="00D9348B">
        <w:rPr>
          <w:rFonts w:cs="Calibri"/>
        </w:rPr>
        <w:t>O emission factors (see section 5.5.6).</w:t>
      </w:r>
    </w:p>
    <w:p w14:paraId="1684D834" w14:textId="77777777" w:rsidR="00F849A7" w:rsidRPr="00D9348B" w:rsidRDefault="00F849A7" w:rsidP="00F849A7">
      <w:pPr>
        <w:pStyle w:val="BodyText"/>
        <w:rPr>
          <w:rFonts w:cs="Calibri"/>
        </w:rPr>
      </w:pPr>
      <w:r w:rsidRPr="00D9348B">
        <w:rPr>
          <w:rFonts w:cs="Calibri"/>
        </w:rPr>
        <w:t>Long-term studies (more than one year) focused on improving the Agriculture inventory include:</w:t>
      </w:r>
    </w:p>
    <w:p w14:paraId="016705F5" w14:textId="77777777" w:rsidR="00F849A7" w:rsidRPr="00D9348B" w:rsidRDefault="00F849A7" w:rsidP="00771A8F">
      <w:pPr>
        <w:pStyle w:val="Bullet"/>
        <w:numPr>
          <w:ilvl w:val="0"/>
          <w:numId w:val="20"/>
        </w:numPr>
        <w:rPr>
          <w:rFonts w:cs="Calibri"/>
        </w:rPr>
      </w:pPr>
      <w:r w:rsidRPr="00D9348B">
        <w:rPr>
          <w:rFonts w:cs="Calibri"/>
        </w:rPr>
        <w:t>improving the relationship between DMI and CH</w:t>
      </w:r>
      <w:r w:rsidRPr="00D9348B">
        <w:rPr>
          <w:rFonts w:cs="Calibri"/>
          <w:vertAlign w:val="subscript"/>
        </w:rPr>
        <w:t>4</w:t>
      </w:r>
      <w:r w:rsidRPr="00D9348B">
        <w:rPr>
          <w:rFonts w:cs="Calibri"/>
        </w:rPr>
        <w:t xml:space="preserve"> emissions from cattle (see section 5.2.6)</w:t>
      </w:r>
    </w:p>
    <w:p w14:paraId="685C2AEB" w14:textId="77777777" w:rsidR="00F849A7" w:rsidRPr="00D9348B" w:rsidRDefault="00F849A7" w:rsidP="00771A8F">
      <w:pPr>
        <w:pStyle w:val="Bullet"/>
        <w:numPr>
          <w:ilvl w:val="0"/>
          <w:numId w:val="20"/>
        </w:numPr>
        <w:rPr>
          <w:rFonts w:cs="Calibri"/>
        </w:rPr>
      </w:pPr>
      <w:r w:rsidRPr="00D9348B">
        <w:rPr>
          <w:rFonts w:cs="Calibri"/>
        </w:rPr>
        <w:t>researching how the use of manure management systems has changed in New Zealand over time, and the implications for emissions estimates (see section 5.3.6)</w:t>
      </w:r>
    </w:p>
    <w:p w14:paraId="32E76BF0" w14:textId="77777777" w:rsidR="00F849A7" w:rsidRPr="00D9348B" w:rsidRDefault="00F849A7" w:rsidP="00771A8F">
      <w:pPr>
        <w:pStyle w:val="Bullet"/>
        <w:numPr>
          <w:ilvl w:val="0"/>
          <w:numId w:val="20"/>
        </w:numPr>
        <w:rPr>
          <w:rFonts w:cs="Calibri"/>
        </w:rPr>
      </w:pPr>
      <w:r w:rsidRPr="00D9348B">
        <w:rPr>
          <w:rFonts w:cs="Calibri"/>
        </w:rPr>
        <w:t>using top down inverse modelling techniques to help verify New Zealand’s estimates of CH</w:t>
      </w:r>
      <w:r w:rsidRPr="00D9348B">
        <w:rPr>
          <w:rFonts w:cs="Calibri"/>
          <w:vertAlign w:val="subscript"/>
        </w:rPr>
        <w:t>4</w:t>
      </w:r>
      <w:r w:rsidRPr="00D9348B">
        <w:rPr>
          <w:rFonts w:cs="Calibri"/>
        </w:rPr>
        <w:t xml:space="preserve"> emissions </w:t>
      </w:r>
    </w:p>
    <w:p w14:paraId="7324B113" w14:textId="77777777" w:rsidR="00F849A7" w:rsidRPr="00D9348B" w:rsidRDefault="00F849A7" w:rsidP="00771A8F">
      <w:pPr>
        <w:pStyle w:val="Bullet"/>
        <w:numPr>
          <w:ilvl w:val="0"/>
          <w:numId w:val="20"/>
        </w:numPr>
        <w:rPr>
          <w:rFonts w:cs="Calibri"/>
        </w:rPr>
      </w:pPr>
      <w:r w:rsidRPr="00D9348B">
        <w:rPr>
          <w:rFonts w:cs="Calibri"/>
        </w:rPr>
        <w:t>researching the factors causing variability in N</w:t>
      </w:r>
      <w:r w:rsidRPr="00D9348B">
        <w:rPr>
          <w:rFonts w:cs="Calibri"/>
          <w:vertAlign w:val="subscript"/>
        </w:rPr>
        <w:t>2</w:t>
      </w:r>
      <w:r w:rsidRPr="00D9348B">
        <w:rPr>
          <w:rFonts w:cs="Calibri"/>
        </w:rPr>
        <w:t>O emissions from livestock excreta on pasture to gain a better understanding of them (see section 5.5.6)</w:t>
      </w:r>
    </w:p>
    <w:p w14:paraId="61AA0C67" w14:textId="77777777" w:rsidR="00F849A7" w:rsidRPr="00D9348B" w:rsidRDefault="00F849A7" w:rsidP="00771A8F">
      <w:pPr>
        <w:pStyle w:val="Bullet"/>
        <w:numPr>
          <w:ilvl w:val="0"/>
          <w:numId w:val="20"/>
        </w:numPr>
        <w:rPr>
          <w:rFonts w:cs="Calibri"/>
        </w:rPr>
      </w:pPr>
      <w:proofErr w:type="gramStart"/>
      <w:r w:rsidRPr="00D9348B">
        <w:rPr>
          <w:rFonts w:cs="Calibri"/>
        </w:rPr>
        <w:t>continuing</w:t>
      </w:r>
      <w:proofErr w:type="gramEnd"/>
      <w:r w:rsidRPr="00D9348B">
        <w:rPr>
          <w:rFonts w:cs="Calibri"/>
        </w:rPr>
        <w:t xml:space="preserve"> work to improve activity data, including through the annual collection of agricultural data by Statistics New Zealand. </w:t>
      </w:r>
    </w:p>
    <w:p w14:paraId="53AAB7D7" w14:textId="77777777" w:rsidR="00F849A7" w:rsidRPr="00D9348B" w:rsidRDefault="00F849A7" w:rsidP="00F849A7">
      <w:pPr>
        <w:pStyle w:val="BodyText"/>
        <w:rPr>
          <w:rFonts w:cs="Calibri"/>
        </w:rPr>
      </w:pPr>
      <w:r w:rsidRPr="00D9348B">
        <w:rPr>
          <w:rFonts w:cs="Calibri"/>
        </w:rPr>
        <w:t>Some of these potential improvements cover multiple categories of the Agriculture inventory and are described further below. The remaining improvements relate only to a single Agriculture inventory category and are discussed in further detail in the relevant recalculation sections 5.2.6 (</w:t>
      </w:r>
      <w:r w:rsidRPr="00D9348B">
        <w:rPr>
          <w:rFonts w:cs="Calibri"/>
          <w:i/>
          <w:iCs/>
        </w:rPr>
        <w:t>Enteric fermentation</w:t>
      </w:r>
      <w:r w:rsidRPr="00D9348B">
        <w:rPr>
          <w:rFonts w:cs="Calibri"/>
        </w:rPr>
        <w:t xml:space="preserve"> (CRF 3.A)), 5.3.6 (</w:t>
      </w:r>
      <w:r w:rsidRPr="00D9348B">
        <w:rPr>
          <w:rFonts w:cs="Calibri"/>
          <w:i/>
          <w:iCs/>
        </w:rPr>
        <w:t>Manure management</w:t>
      </w:r>
      <w:r w:rsidRPr="00D9348B">
        <w:rPr>
          <w:rFonts w:cs="Calibri"/>
        </w:rPr>
        <w:t xml:space="preserve"> (CRF 3.B)) and 5.5.6 (</w:t>
      </w:r>
      <w:r w:rsidRPr="00D9348B">
        <w:rPr>
          <w:rFonts w:cs="Calibri"/>
          <w:i/>
          <w:iCs/>
        </w:rPr>
        <w:t>Agricultural soils</w:t>
      </w:r>
      <w:r w:rsidRPr="00D9348B">
        <w:rPr>
          <w:rFonts w:cs="Calibri"/>
        </w:rPr>
        <w:t xml:space="preserve"> (CRF 3.D)). </w:t>
      </w:r>
    </w:p>
    <w:p w14:paraId="575B8693" w14:textId="77777777" w:rsidR="00F849A7" w:rsidRPr="00D9348B" w:rsidRDefault="00F849A7" w:rsidP="00F849A7">
      <w:pPr>
        <w:pStyle w:val="Heading5"/>
        <w:rPr>
          <w:rFonts w:cs="Calibri"/>
        </w:rPr>
      </w:pPr>
      <w:r w:rsidRPr="00D9348B">
        <w:rPr>
          <w:rFonts w:cs="Calibri"/>
        </w:rPr>
        <w:t xml:space="preserve">Use of supplemental feed </w:t>
      </w:r>
    </w:p>
    <w:p w14:paraId="6D469C93" w14:textId="77777777" w:rsidR="00F849A7" w:rsidRPr="00D9348B" w:rsidRDefault="00F849A7" w:rsidP="00F849A7">
      <w:pPr>
        <w:pStyle w:val="BodyText"/>
        <w:rPr>
          <w:rFonts w:cs="Calibri"/>
        </w:rPr>
      </w:pPr>
      <w:r w:rsidRPr="00D9348B">
        <w:rPr>
          <w:rFonts w:cs="Calibri"/>
        </w:rPr>
        <w:t xml:space="preserve">This project gathers robust activity data on the use of different feeds in the dairy, sheep, beef and deer farming industries from 1990 to the present day (such as palm kernel extract, maize grain and fodder beet). The completion of this research (in conjunction with the </w:t>
      </w:r>
      <w:r w:rsidRPr="00D9348B">
        <w:rPr>
          <w:rFonts w:cs="Calibri"/>
          <w:i/>
        </w:rPr>
        <w:t>Laboratory data on different feed types</w:t>
      </w:r>
      <w:r w:rsidRPr="00D9348B">
        <w:rPr>
          <w:rFonts w:cs="Calibri"/>
        </w:rPr>
        <w:t xml:space="preserve"> and </w:t>
      </w:r>
      <w:r w:rsidRPr="00D9348B">
        <w:rPr>
          <w:rFonts w:cs="Calibri"/>
          <w:i/>
        </w:rPr>
        <w:t>Improvements to the pasture quality dataset</w:t>
      </w:r>
      <w:r w:rsidRPr="00D9348B">
        <w:rPr>
          <w:rFonts w:cs="Calibri"/>
        </w:rPr>
        <w:t xml:space="preserve"> projects) will improve the accuracy of our feed intake calculations, which affect emissions estimates from </w:t>
      </w:r>
      <w:proofErr w:type="gramStart"/>
      <w:r w:rsidRPr="00D9348B">
        <w:rPr>
          <w:rFonts w:cs="Calibri"/>
          <w:i/>
        </w:rPr>
        <w:t>Enteric</w:t>
      </w:r>
      <w:proofErr w:type="gramEnd"/>
      <w:r w:rsidRPr="00D9348B">
        <w:rPr>
          <w:rFonts w:cs="Calibri"/>
          <w:i/>
        </w:rPr>
        <w:t xml:space="preserve"> fermentation</w:t>
      </w:r>
      <w:r w:rsidRPr="00D9348B">
        <w:rPr>
          <w:rFonts w:cs="Calibri"/>
        </w:rPr>
        <w:t xml:space="preserve">, </w:t>
      </w:r>
      <w:r w:rsidRPr="00D9348B">
        <w:rPr>
          <w:rFonts w:cs="Calibri"/>
          <w:i/>
        </w:rPr>
        <w:t>Manure management</w:t>
      </w:r>
      <w:r w:rsidRPr="00D9348B">
        <w:rPr>
          <w:rFonts w:cs="Calibri"/>
        </w:rPr>
        <w:t xml:space="preserve"> and </w:t>
      </w:r>
      <w:r w:rsidRPr="00D9348B">
        <w:rPr>
          <w:rFonts w:cs="Calibri"/>
          <w:i/>
        </w:rPr>
        <w:t>Agricultural soils</w:t>
      </w:r>
      <w:r w:rsidRPr="00D9348B">
        <w:rPr>
          <w:rFonts w:cs="Calibri"/>
        </w:rPr>
        <w:t xml:space="preserve"> categories.</w:t>
      </w:r>
    </w:p>
    <w:p w14:paraId="48F1B82D" w14:textId="77777777" w:rsidR="00F849A7" w:rsidRPr="00D9348B" w:rsidRDefault="00F849A7" w:rsidP="00F849A7">
      <w:pPr>
        <w:pStyle w:val="Heading5"/>
        <w:rPr>
          <w:rFonts w:cs="Calibri"/>
        </w:rPr>
      </w:pPr>
      <w:r w:rsidRPr="00D9348B">
        <w:rPr>
          <w:rFonts w:cs="Calibri"/>
        </w:rPr>
        <w:lastRenderedPageBreak/>
        <w:t>Laboratory data on different feed types</w:t>
      </w:r>
    </w:p>
    <w:p w14:paraId="7C336B17" w14:textId="77777777" w:rsidR="00F849A7" w:rsidRPr="00D9348B" w:rsidRDefault="00F849A7" w:rsidP="00F849A7">
      <w:pPr>
        <w:pStyle w:val="BodyText"/>
        <w:rPr>
          <w:rFonts w:cs="Calibri"/>
        </w:rPr>
      </w:pPr>
      <w:r w:rsidRPr="00D9348B">
        <w:rPr>
          <w:rFonts w:cs="Calibri"/>
        </w:rPr>
        <w:t xml:space="preserve">Currently, New Zealand’s agriculture emissions reporting assumes that livestock are fully pasture-fed all year round, yet the use of non-pasture feeds, such as palm kernel expeller, brassicas and fodder beet, have increased in recent years. The aim of this research is to obtain authoritative laboratory data on the characteristics of different feeds in terms of energy and nitrogen content, and digestibility. The ability to use robust laboratory data on these different feeds will improve the accuracy of emissions estimates in the </w:t>
      </w:r>
      <w:proofErr w:type="gramStart"/>
      <w:r w:rsidRPr="00D9348B">
        <w:rPr>
          <w:rFonts w:cs="Calibri"/>
          <w:i/>
        </w:rPr>
        <w:t>Enteric</w:t>
      </w:r>
      <w:proofErr w:type="gramEnd"/>
      <w:r w:rsidRPr="00D9348B">
        <w:rPr>
          <w:rFonts w:cs="Calibri"/>
          <w:i/>
        </w:rPr>
        <w:t xml:space="preserve"> fermentation</w:t>
      </w:r>
      <w:r w:rsidRPr="00D9348B">
        <w:rPr>
          <w:rFonts w:cs="Calibri"/>
        </w:rPr>
        <w:t xml:space="preserve">, </w:t>
      </w:r>
      <w:r w:rsidRPr="00D9348B">
        <w:rPr>
          <w:rFonts w:cs="Calibri"/>
          <w:i/>
        </w:rPr>
        <w:t>Manure management</w:t>
      </w:r>
      <w:r w:rsidRPr="00D9348B">
        <w:rPr>
          <w:rFonts w:cs="Calibri"/>
        </w:rPr>
        <w:t xml:space="preserve"> and </w:t>
      </w:r>
      <w:r w:rsidRPr="00D9348B">
        <w:rPr>
          <w:rFonts w:cs="Calibri"/>
          <w:i/>
        </w:rPr>
        <w:t>Agricultural soils</w:t>
      </w:r>
      <w:r w:rsidRPr="00D9348B">
        <w:rPr>
          <w:rFonts w:cs="Calibri"/>
        </w:rPr>
        <w:t xml:space="preserve"> categories.</w:t>
      </w:r>
    </w:p>
    <w:p w14:paraId="5BA03BE7" w14:textId="77777777" w:rsidR="00F849A7" w:rsidRPr="00D9348B" w:rsidRDefault="00F849A7" w:rsidP="00F849A7">
      <w:pPr>
        <w:pStyle w:val="Heading5"/>
        <w:rPr>
          <w:rFonts w:cs="Calibri"/>
        </w:rPr>
      </w:pPr>
      <w:r w:rsidRPr="00D9348B">
        <w:rPr>
          <w:rFonts w:cs="Calibri"/>
        </w:rPr>
        <w:t>Improvements to the pasture quality dataset</w:t>
      </w:r>
    </w:p>
    <w:p w14:paraId="2D26F226" w14:textId="77777777" w:rsidR="00F849A7" w:rsidRPr="00D9348B" w:rsidRDefault="00F849A7" w:rsidP="00F849A7">
      <w:pPr>
        <w:pStyle w:val="BodyText"/>
        <w:rPr>
          <w:rFonts w:cs="Calibri"/>
        </w:rPr>
      </w:pPr>
      <w:r w:rsidRPr="00D9348B">
        <w:rPr>
          <w:rFonts w:cs="Calibri"/>
        </w:rPr>
        <w:t xml:space="preserve">New Zealand is continuing research to improve its knowledge on national pasture quality, including energy, and nitrogen content that affects emissions from manure. A programme of pasture sample collection and analysis began in 2018. The aim of this work is to provide a more up-to-date and detailed pasture quality dataset that is nationally representative of the range of farming systems and that takes seasonal variations into account. This will build on research that assessed the robustness of New Zealand’s </w:t>
      </w:r>
      <w:r w:rsidRPr="00D9348B">
        <w:rPr>
          <w:rFonts w:cs="Calibri"/>
          <w:spacing w:val="-2"/>
        </w:rPr>
        <w:t xml:space="preserve">current pasture quality dataset (Bown et al., 2013; Upsdell et al., unpublished). It will also take into account work by Giltrap et al. (unpublished) that considered the number of samples required to represent the seasonal and spatial variability in pasture quality within specific uncertainty levels. Improvements to the pasture quality dataset will improve estimations of emissions in the </w:t>
      </w:r>
      <w:proofErr w:type="gramStart"/>
      <w:r w:rsidRPr="00D9348B">
        <w:rPr>
          <w:rFonts w:cs="Calibri"/>
          <w:i/>
          <w:iCs/>
          <w:spacing w:val="-2"/>
        </w:rPr>
        <w:t>Enteric</w:t>
      </w:r>
      <w:proofErr w:type="gramEnd"/>
      <w:r w:rsidRPr="00D9348B">
        <w:rPr>
          <w:rFonts w:cs="Calibri"/>
          <w:i/>
          <w:iCs/>
          <w:spacing w:val="-2"/>
        </w:rPr>
        <w:t xml:space="preserve"> fermentation</w:t>
      </w:r>
      <w:r w:rsidRPr="00D9348B">
        <w:rPr>
          <w:rFonts w:cs="Calibri"/>
        </w:rPr>
        <w:t xml:space="preserve">, </w:t>
      </w:r>
      <w:r w:rsidRPr="00D9348B">
        <w:rPr>
          <w:rFonts w:cs="Calibri"/>
          <w:i/>
          <w:iCs/>
          <w:spacing w:val="-2"/>
        </w:rPr>
        <w:t>Manure management</w:t>
      </w:r>
      <w:r w:rsidRPr="00D9348B">
        <w:rPr>
          <w:rFonts w:cs="Calibri"/>
          <w:spacing w:val="-2"/>
        </w:rPr>
        <w:t xml:space="preserve"> and </w:t>
      </w:r>
      <w:r w:rsidRPr="00D9348B">
        <w:rPr>
          <w:rFonts w:cs="Calibri"/>
          <w:i/>
          <w:iCs/>
          <w:spacing w:val="-2"/>
        </w:rPr>
        <w:t>Agricultural soils</w:t>
      </w:r>
      <w:r w:rsidRPr="00D9348B">
        <w:rPr>
          <w:rFonts w:cs="Calibri"/>
          <w:spacing w:val="-2"/>
        </w:rPr>
        <w:t xml:space="preserve"> categories.</w:t>
      </w:r>
    </w:p>
    <w:p w14:paraId="4A245E7E" w14:textId="77777777" w:rsidR="00F849A7" w:rsidRPr="00D9348B" w:rsidRDefault="00F849A7" w:rsidP="00F849A7">
      <w:pPr>
        <w:pStyle w:val="Heading5"/>
        <w:rPr>
          <w:rFonts w:cs="Calibri"/>
        </w:rPr>
      </w:pPr>
      <w:r w:rsidRPr="00D9348B">
        <w:rPr>
          <w:rFonts w:cs="Calibri"/>
        </w:rPr>
        <w:t xml:space="preserve">Improvements to population modelling </w:t>
      </w:r>
    </w:p>
    <w:p w14:paraId="7049D493" w14:textId="77777777" w:rsidR="00F849A7" w:rsidRPr="00D9348B" w:rsidRDefault="00F849A7" w:rsidP="00F849A7">
      <w:pPr>
        <w:pStyle w:val="BodyText"/>
        <w:rPr>
          <w:rFonts w:cs="Calibri"/>
        </w:rPr>
      </w:pPr>
      <w:r w:rsidRPr="00D9348B">
        <w:rPr>
          <w:rFonts w:cs="Calibri"/>
        </w:rPr>
        <w:t>The purpose of this project is to improve the estimates of monthly animal populations used in the inventory model for dairy cattle, beef cattle, sheep and deer.</w:t>
      </w:r>
    </w:p>
    <w:p w14:paraId="5B6CEC35" w14:textId="77777777" w:rsidR="00F849A7" w:rsidRPr="00D9348B" w:rsidRDefault="00F849A7" w:rsidP="00F849A7">
      <w:pPr>
        <w:pStyle w:val="BodyText"/>
        <w:rPr>
          <w:rFonts w:cs="Calibri"/>
        </w:rPr>
      </w:pPr>
      <w:r w:rsidRPr="00D9348B">
        <w:rPr>
          <w:rFonts w:cs="Calibri"/>
        </w:rPr>
        <w:t xml:space="preserve">The Agriculture inventory relies heavily on animal population data from the Agricultural Production Survey and Census, which provide population estimates for June only of each year. This project will improve the population model used to estimate the populations of these animals (and how they change) for the other months of the year. </w:t>
      </w:r>
    </w:p>
    <w:p w14:paraId="7CAEA12A" w14:textId="77777777" w:rsidR="00F849A7" w:rsidRPr="00D9348B" w:rsidRDefault="00F849A7" w:rsidP="00F849A7">
      <w:pPr>
        <w:pStyle w:val="BodyText"/>
        <w:rPr>
          <w:rFonts w:cs="Calibri"/>
        </w:rPr>
      </w:pPr>
      <w:r w:rsidRPr="00D9348B">
        <w:rPr>
          <w:rFonts w:cs="Calibri"/>
        </w:rPr>
        <w:t xml:space="preserve">As part of this work, the methodology and data used to estimate liveweight for cattle, sheep and deer will also be reviewed and improved if necessary. The results from these modelling projects will affect emissions in the </w:t>
      </w:r>
      <w:proofErr w:type="gramStart"/>
      <w:r w:rsidRPr="00D9348B">
        <w:rPr>
          <w:rFonts w:cs="Calibri"/>
          <w:i/>
          <w:iCs/>
          <w:spacing w:val="-2"/>
        </w:rPr>
        <w:t>Enteric</w:t>
      </w:r>
      <w:proofErr w:type="gramEnd"/>
      <w:r w:rsidRPr="00D9348B">
        <w:rPr>
          <w:rFonts w:cs="Calibri"/>
          <w:i/>
          <w:iCs/>
          <w:spacing w:val="-2"/>
        </w:rPr>
        <w:t xml:space="preserve"> fermentation</w:t>
      </w:r>
      <w:r w:rsidRPr="00D9348B">
        <w:rPr>
          <w:rFonts w:cs="Calibri"/>
        </w:rPr>
        <w:t xml:space="preserve">, </w:t>
      </w:r>
      <w:r w:rsidRPr="00D9348B">
        <w:rPr>
          <w:rFonts w:cs="Calibri"/>
          <w:i/>
          <w:iCs/>
          <w:spacing w:val="-2"/>
        </w:rPr>
        <w:t>Manure management</w:t>
      </w:r>
      <w:r w:rsidRPr="00D9348B">
        <w:rPr>
          <w:rFonts w:cs="Calibri"/>
          <w:spacing w:val="-2"/>
        </w:rPr>
        <w:t xml:space="preserve"> and </w:t>
      </w:r>
      <w:r w:rsidRPr="00D9348B">
        <w:rPr>
          <w:rFonts w:cs="Calibri"/>
          <w:i/>
          <w:iCs/>
          <w:spacing w:val="-2"/>
        </w:rPr>
        <w:t>Agricultural soils</w:t>
      </w:r>
      <w:r w:rsidRPr="00D9348B">
        <w:rPr>
          <w:rFonts w:cs="Calibri"/>
          <w:spacing w:val="-2"/>
        </w:rPr>
        <w:t xml:space="preserve"> categories, and will </w:t>
      </w:r>
      <w:r w:rsidRPr="00D9348B">
        <w:rPr>
          <w:rFonts w:cs="Calibri"/>
        </w:rPr>
        <w:t xml:space="preserve">improve the accuracy and transparency of the inventory. </w:t>
      </w:r>
    </w:p>
    <w:p w14:paraId="5269C862" w14:textId="77777777" w:rsidR="00F849A7" w:rsidRPr="00D9348B" w:rsidRDefault="00F849A7" w:rsidP="00F849A7">
      <w:pPr>
        <w:pStyle w:val="Heading5"/>
        <w:rPr>
          <w:rFonts w:cs="Calibri"/>
        </w:rPr>
      </w:pPr>
      <w:r w:rsidRPr="00D9348B">
        <w:rPr>
          <w:rFonts w:cs="Calibri"/>
        </w:rPr>
        <w:t xml:space="preserve">Inverse modelling to verify estimates of methane emissions </w:t>
      </w:r>
    </w:p>
    <w:p w14:paraId="3F3948D2" w14:textId="77777777" w:rsidR="00F849A7" w:rsidRPr="00D9348B" w:rsidRDefault="00F849A7" w:rsidP="00F849A7">
      <w:pPr>
        <w:pStyle w:val="BodyText"/>
        <w:rPr>
          <w:rFonts w:cs="Calibri"/>
        </w:rPr>
      </w:pPr>
      <w:r w:rsidRPr="00D9348B">
        <w:rPr>
          <w:rFonts w:cs="Calibri"/>
        </w:rPr>
        <w:t>The aim of this project is to generate an independent top-down estimate of CH</w:t>
      </w:r>
      <w:r w:rsidRPr="00D9348B">
        <w:rPr>
          <w:rFonts w:cs="Calibri"/>
          <w:vertAlign w:val="subscript"/>
        </w:rPr>
        <w:t>4</w:t>
      </w:r>
      <w:r w:rsidRPr="00D9348B">
        <w:rPr>
          <w:rFonts w:cs="Calibri"/>
        </w:rPr>
        <w:t xml:space="preserve"> emissions using inverse modelling techniques, field data and atmospheric models to ‘back calculate’ CH</w:t>
      </w:r>
      <w:r w:rsidRPr="00D9348B">
        <w:rPr>
          <w:rFonts w:cs="Calibri"/>
          <w:vertAlign w:val="subscript"/>
        </w:rPr>
        <w:t>4</w:t>
      </w:r>
      <w:r w:rsidRPr="00D9348B">
        <w:rPr>
          <w:rFonts w:cs="Calibri"/>
        </w:rPr>
        <w:t> sources on a spatial basis. The first set of results from this work is expected in 2020.</w:t>
      </w:r>
    </w:p>
    <w:p w14:paraId="13AB6560" w14:textId="77777777" w:rsidR="00F849A7" w:rsidRPr="00D9348B" w:rsidRDefault="00F849A7" w:rsidP="00F849A7">
      <w:pPr>
        <w:pStyle w:val="Heading2"/>
        <w:rPr>
          <w:rFonts w:cs="Calibri"/>
        </w:rPr>
      </w:pPr>
      <w:bookmarkStart w:id="617" w:name="_Toc352504860"/>
      <w:bookmarkStart w:id="618" w:name="_Toc448321523"/>
      <w:bookmarkStart w:id="619" w:name="_Toc481751385"/>
      <w:bookmarkStart w:id="620" w:name="_Toc511116600"/>
      <w:bookmarkStart w:id="621" w:name="_Toc5269362"/>
      <w:bookmarkStart w:id="622" w:name="_Toc32570650"/>
      <w:bookmarkStart w:id="623" w:name="_Toc36224402"/>
      <w:r w:rsidRPr="00D9348B">
        <w:rPr>
          <w:rFonts w:cs="Calibri"/>
        </w:rPr>
        <w:t>5.2</w:t>
      </w:r>
      <w:r w:rsidRPr="00D9348B">
        <w:rPr>
          <w:rFonts w:cs="Calibri"/>
        </w:rPr>
        <w:tab/>
        <w:t>Enteric fermentation (CRF 3.A)</w:t>
      </w:r>
      <w:bookmarkEnd w:id="617"/>
      <w:bookmarkEnd w:id="618"/>
      <w:bookmarkEnd w:id="619"/>
      <w:bookmarkEnd w:id="620"/>
      <w:bookmarkEnd w:id="621"/>
      <w:bookmarkEnd w:id="622"/>
      <w:bookmarkEnd w:id="623"/>
    </w:p>
    <w:p w14:paraId="315CD97C" w14:textId="77777777" w:rsidR="00F849A7" w:rsidRPr="00D9348B" w:rsidRDefault="00F849A7" w:rsidP="00F849A7">
      <w:pPr>
        <w:pStyle w:val="Heading3"/>
        <w:spacing w:before="120"/>
        <w:rPr>
          <w:rFonts w:cs="Calibri"/>
        </w:rPr>
      </w:pPr>
      <w:bookmarkStart w:id="624" w:name="_Toc139253917"/>
      <w:bookmarkStart w:id="625" w:name="_Toc32570651"/>
      <w:r w:rsidRPr="00D9348B">
        <w:rPr>
          <w:rFonts w:cs="Calibri"/>
        </w:rPr>
        <w:t>5.2.1</w:t>
      </w:r>
      <w:r w:rsidRPr="00D9348B">
        <w:rPr>
          <w:rFonts w:cs="Calibri"/>
        </w:rPr>
        <w:tab/>
        <w:t>Description</w:t>
      </w:r>
      <w:bookmarkEnd w:id="624"/>
      <w:bookmarkEnd w:id="625"/>
    </w:p>
    <w:p w14:paraId="52103A12" w14:textId="77777777" w:rsidR="00F849A7" w:rsidRPr="00D9348B" w:rsidRDefault="00F849A7" w:rsidP="00F849A7">
      <w:pPr>
        <w:pStyle w:val="BodyText"/>
        <w:spacing w:before="100"/>
        <w:rPr>
          <w:rFonts w:cs="Calibri"/>
        </w:rPr>
      </w:pPr>
      <w:r w:rsidRPr="00D9348B">
        <w:rPr>
          <w:rFonts w:cs="Calibri"/>
        </w:rPr>
        <w:t>Methane is produced predominantly by ruminants as a by-product of enteric fermentation. Enteric fermentation is a digestive process that breaks down consumed plant material in the gut under anaerobic conditions. A portion of the plant material is fermented in the rumen to simple fatty acids, CO</w:t>
      </w:r>
      <w:r w:rsidRPr="00D9348B">
        <w:rPr>
          <w:rFonts w:cs="Calibri"/>
          <w:vertAlign w:val="subscript"/>
        </w:rPr>
        <w:t>2</w:t>
      </w:r>
      <w:r w:rsidRPr="00D9348B">
        <w:rPr>
          <w:rFonts w:cs="Calibri"/>
        </w:rPr>
        <w:t xml:space="preserve"> and CH</w:t>
      </w:r>
      <w:r w:rsidRPr="00D9348B">
        <w:rPr>
          <w:rFonts w:cs="Calibri"/>
          <w:vertAlign w:val="subscript"/>
        </w:rPr>
        <w:t>4</w:t>
      </w:r>
      <w:r w:rsidRPr="00D9348B">
        <w:rPr>
          <w:rFonts w:cs="Calibri"/>
        </w:rPr>
        <w:t xml:space="preserve">. The gases from this process are released by eructation and </w:t>
      </w:r>
      <w:r w:rsidRPr="00D9348B">
        <w:rPr>
          <w:rFonts w:cs="Calibri"/>
        </w:rPr>
        <w:lastRenderedPageBreak/>
        <w:t>exhalation by the animal. The amount of CH</w:t>
      </w:r>
      <w:r w:rsidRPr="00D9348B">
        <w:rPr>
          <w:rFonts w:cs="Calibri"/>
          <w:vertAlign w:val="subscript"/>
        </w:rPr>
        <w:t>4</w:t>
      </w:r>
      <w:r w:rsidRPr="00D9348B">
        <w:rPr>
          <w:rFonts w:cs="Calibri"/>
        </w:rPr>
        <w:t xml:space="preserve"> released depends on the type and quantity of feed consumed, which is determined by the type, age and weight of the animal, animal production, feed quality and the energy expenditure of the animal.</w:t>
      </w:r>
    </w:p>
    <w:p w14:paraId="53909E14" w14:textId="77777777" w:rsidR="00F849A7" w:rsidRPr="00D9348B" w:rsidRDefault="00F849A7" w:rsidP="00F849A7">
      <w:pPr>
        <w:pStyle w:val="BodyText"/>
        <w:spacing w:before="100" w:after="100"/>
        <w:rPr>
          <w:rFonts w:cs="Calibri"/>
        </w:rPr>
      </w:pPr>
      <w:r w:rsidRPr="00D9348B">
        <w:rPr>
          <w:rFonts w:cs="Calibri"/>
        </w:rPr>
        <w:t xml:space="preserve">Methane emissions from the </w:t>
      </w:r>
      <w:r w:rsidRPr="00D9348B">
        <w:rPr>
          <w:rFonts w:cs="Calibri"/>
          <w:i/>
          <w:iCs/>
        </w:rPr>
        <w:t>Enteric fermentation</w:t>
      </w:r>
      <w:r w:rsidRPr="00D9348B">
        <w:rPr>
          <w:rFonts w:cs="Calibri"/>
        </w:rPr>
        <w:t xml:space="preserve"> category from dairy cattle, non-dairy cattle and sheep were identified among the largest key categories for New Zealand in the 2018 level assessment, and were also assessed as key categories in the trend assessment (excluding Land Use, Land-Use Change and Forestry (LULUCF)). The methodology used by New Zealand for calculating CH</w:t>
      </w:r>
      <w:r w:rsidRPr="00D9348B">
        <w:rPr>
          <w:rFonts w:cs="Calibri"/>
          <w:vertAlign w:val="subscript"/>
        </w:rPr>
        <w:t>4</w:t>
      </w:r>
      <w:r w:rsidRPr="00D9348B">
        <w:rPr>
          <w:rFonts w:cs="Calibri"/>
        </w:rPr>
        <w:t xml:space="preserve"> emissions from enteric fermentation in domestic livestock is a Tier 2 modelling approach. </w:t>
      </w:r>
    </w:p>
    <w:p w14:paraId="6E0D416D" w14:textId="77777777" w:rsidR="00F849A7" w:rsidRPr="00D9348B" w:rsidRDefault="00F849A7" w:rsidP="00F849A7">
      <w:pPr>
        <w:pStyle w:val="BodyText"/>
        <w:spacing w:before="100" w:after="100"/>
        <w:rPr>
          <w:rFonts w:cs="Calibri"/>
        </w:rPr>
      </w:pPr>
      <w:r w:rsidRPr="00D9348B">
        <w:rPr>
          <w:rFonts w:cs="Calibri"/>
          <w:i/>
          <w:iCs/>
        </w:rPr>
        <w:t>Enteric fermentation</w:t>
      </w:r>
      <w:r w:rsidRPr="00D9348B">
        <w:rPr>
          <w:rFonts w:cs="Calibri"/>
        </w:rPr>
        <w:t xml:space="preserve"> contributed an estimated 27,939.0 kt CO</w:t>
      </w:r>
      <w:r w:rsidRPr="00D9348B">
        <w:rPr>
          <w:rFonts w:cs="Calibri"/>
          <w:vertAlign w:val="subscript"/>
        </w:rPr>
        <w:t>2</w:t>
      </w:r>
      <w:r w:rsidRPr="00D9348B">
        <w:rPr>
          <w:rFonts w:cs="Calibri"/>
        </w:rPr>
        <w:t xml:space="preserve">-e, representing 35.4 per cent of New Zealand’s gross emissions and 74.1 per cent of agriculture emissions in 2018. The major livestock categories contributing to </w:t>
      </w:r>
      <w:proofErr w:type="gramStart"/>
      <w:r w:rsidRPr="00D9348B">
        <w:rPr>
          <w:rFonts w:cs="Calibri"/>
          <w:i/>
          <w:iCs/>
        </w:rPr>
        <w:t>Enteric</w:t>
      </w:r>
      <w:proofErr w:type="gramEnd"/>
      <w:r w:rsidRPr="00D9348B">
        <w:rPr>
          <w:rFonts w:cs="Calibri"/>
          <w:i/>
          <w:iCs/>
        </w:rPr>
        <w:t xml:space="preserve"> fermentation</w:t>
      </w:r>
      <w:r w:rsidRPr="00D9348B">
        <w:rPr>
          <w:rFonts w:cs="Calibri"/>
        </w:rPr>
        <w:t xml:space="preserve"> are:</w:t>
      </w:r>
    </w:p>
    <w:p w14:paraId="0D93DC7A" w14:textId="77777777" w:rsidR="00F849A7" w:rsidRPr="00D9348B" w:rsidRDefault="00F849A7" w:rsidP="00771A8F">
      <w:pPr>
        <w:pStyle w:val="Bullet"/>
        <w:numPr>
          <w:ilvl w:val="0"/>
          <w:numId w:val="20"/>
        </w:numPr>
        <w:spacing w:after="100"/>
        <w:rPr>
          <w:rFonts w:cs="Calibri"/>
        </w:rPr>
      </w:pPr>
      <w:r w:rsidRPr="00D9348B">
        <w:rPr>
          <w:rFonts w:cs="Calibri"/>
          <w:i/>
        </w:rPr>
        <w:t>Dairy cattle</w:t>
      </w:r>
      <w:r w:rsidRPr="00D9348B">
        <w:rPr>
          <w:rFonts w:cs="Calibri"/>
        </w:rPr>
        <w:t xml:space="preserve"> (36.1 per cent of </w:t>
      </w:r>
      <w:r w:rsidRPr="00D9348B">
        <w:rPr>
          <w:rFonts w:cs="Calibri"/>
          <w:i/>
        </w:rPr>
        <w:t>Enteric fermentation</w:t>
      </w:r>
      <w:r w:rsidRPr="00D9348B">
        <w:rPr>
          <w:rFonts w:cs="Calibri"/>
        </w:rPr>
        <w:t>)</w:t>
      </w:r>
    </w:p>
    <w:p w14:paraId="7C7DDAC1" w14:textId="77777777" w:rsidR="00F849A7" w:rsidRPr="00D9348B" w:rsidRDefault="00F849A7" w:rsidP="00771A8F">
      <w:pPr>
        <w:pStyle w:val="Bullet"/>
        <w:numPr>
          <w:ilvl w:val="0"/>
          <w:numId w:val="20"/>
        </w:numPr>
        <w:spacing w:after="100"/>
        <w:rPr>
          <w:rFonts w:cs="Calibri"/>
        </w:rPr>
      </w:pPr>
      <w:r w:rsidRPr="00D9348B">
        <w:rPr>
          <w:rFonts w:cs="Calibri"/>
          <w:i/>
        </w:rPr>
        <w:t>Sheep</w:t>
      </w:r>
      <w:r w:rsidRPr="00D9348B">
        <w:rPr>
          <w:rFonts w:cs="Calibri"/>
        </w:rPr>
        <w:t xml:space="preserve"> (22.3 per cent of </w:t>
      </w:r>
      <w:r w:rsidRPr="00D9348B">
        <w:rPr>
          <w:rFonts w:cs="Calibri"/>
          <w:i/>
        </w:rPr>
        <w:t>Enteric fermentation</w:t>
      </w:r>
      <w:r w:rsidRPr="00D9348B">
        <w:rPr>
          <w:rFonts w:cs="Calibri"/>
        </w:rPr>
        <w:t>)</w:t>
      </w:r>
    </w:p>
    <w:p w14:paraId="033E254A" w14:textId="77777777" w:rsidR="00F849A7" w:rsidRPr="00D9348B" w:rsidRDefault="00F849A7" w:rsidP="00771A8F">
      <w:pPr>
        <w:pStyle w:val="Bullet"/>
        <w:numPr>
          <w:ilvl w:val="0"/>
          <w:numId w:val="20"/>
        </w:numPr>
        <w:spacing w:after="100"/>
        <w:rPr>
          <w:rFonts w:cs="Calibri"/>
        </w:rPr>
      </w:pPr>
      <w:r w:rsidRPr="00D9348B">
        <w:rPr>
          <w:rFonts w:cs="Calibri"/>
          <w:i/>
        </w:rPr>
        <w:t>Non-dairy cattle</w:t>
      </w:r>
      <w:r w:rsidRPr="00D9348B">
        <w:rPr>
          <w:rFonts w:cs="Calibri"/>
        </w:rPr>
        <w:t xml:space="preserve"> (14.3 per cent of </w:t>
      </w:r>
      <w:r w:rsidRPr="00D9348B">
        <w:rPr>
          <w:rFonts w:cs="Calibri"/>
          <w:i/>
        </w:rPr>
        <w:t>Enteric fermentation</w:t>
      </w:r>
      <w:r w:rsidRPr="00D9348B">
        <w:rPr>
          <w:rFonts w:cs="Calibri"/>
        </w:rPr>
        <w:t>)</w:t>
      </w:r>
    </w:p>
    <w:p w14:paraId="02292F13" w14:textId="77777777" w:rsidR="00F849A7" w:rsidRPr="00D9348B" w:rsidRDefault="00F849A7" w:rsidP="00771A8F">
      <w:pPr>
        <w:pStyle w:val="Bullet"/>
        <w:numPr>
          <w:ilvl w:val="0"/>
          <w:numId w:val="20"/>
        </w:numPr>
        <w:rPr>
          <w:rFonts w:cs="Calibri"/>
        </w:rPr>
      </w:pPr>
      <w:r w:rsidRPr="00D9348B">
        <w:rPr>
          <w:rFonts w:cs="Calibri"/>
          <w:i/>
        </w:rPr>
        <w:t>Deer</w:t>
      </w:r>
      <w:r w:rsidRPr="00D9348B">
        <w:rPr>
          <w:rFonts w:cs="Calibri"/>
        </w:rPr>
        <w:t xml:space="preserve"> (1.3 per cent of </w:t>
      </w:r>
      <w:proofErr w:type="gramStart"/>
      <w:r w:rsidRPr="00D9348B">
        <w:rPr>
          <w:rFonts w:cs="Calibri"/>
          <w:i/>
        </w:rPr>
        <w:t>Enteric</w:t>
      </w:r>
      <w:proofErr w:type="gramEnd"/>
      <w:r w:rsidRPr="00D9348B">
        <w:rPr>
          <w:rFonts w:cs="Calibri"/>
          <w:i/>
        </w:rPr>
        <w:t xml:space="preserve"> fermentation</w:t>
      </w:r>
      <w:r w:rsidRPr="00D9348B">
        <w:rPr>
          <w:rFonts w:cs="Calibri"/>
        </w:rPr>
        <w:t>).</w:t>
      </w:r>
    </w:p>
    <w:p w14:paraId="00FF9F4F" w14:textId="77777777" w:rsidR="00F849A7" w:rsidRPr="00D9348B" w:rsidRDefault="00F849A7" w:rsidP="00F849A7">
      <w:pPr>
        <w:pStyle w:val="Heading5"/>
        <w:rPr>
          <w:rFonts w:cs="Calibri"/>
        </w:rPr>
      </w:pPr>
      <w:r w:rsidRPr="00D9348B">
        <w:rPr>
          <w:rFonts w:cs="Calibri"/>
        </w:rPr>
        <w:t>Trends</w:t>
      </w:r>
    </w:p>
    <w:p w14:paraId="698F5509" w14:textId="77777777" w:rsidR="00F849A7" w:rsidRPr="00D9348B" w:rsidRDefault="00F849A7" w:rsidP="00F849A7">
      <w:pPr>
        <w:pStyle w:val="BodyText"/>
        <w:rPr>
          <w:rFonts w:cs="Calibri"/>
        </w:rPr>
      </w:pPr>
      <w:r w:rsidRPr="00D9348B">
        <w:rPr>
          <w:rFonts w:cs="Calibri"/>
        </w:rPr>
        <w:t xml:space="preserve">Emissions from </w:t>
      </w:r>
      <w:r w:rsidRPr="00D9348B">
        <w:rPr>
          <w:rFonts w:cs="Calibri"/>
          <w:i/>
          <w:iCs/>
        </w:rPr>
        <w:t>Enteric fermentation</w:t>
      </w:r>
      <w:r w:rsidRPr="00D9348B">
        <w:rPr>
          <w:rFonts w:cs="Calibri"/>
        </w:rPr>
        <w:t xml:space="preserve"> increased 5.2 per cent (1,390.0 CO</w:t>
      </w:r>
      <w:r w:rsidRPr="00D9348B">
        <w:rPr>
          <w:rFonts w:cs="Calibri"/>
          <w:vertAlign w:val="subscript"/>
        </w:rPr>
        <w:t>2</w:t>
      </w:r>
      <w:r w:rsidRPr="00D9348B">
        <w:rPr>
          <w:rFonts w:cs="Calibri"/>
        </w:rPr>
        <w:t xml:space="preserve">-e) between 1990 and 2018. Since 1990, there have been changes in the relative sources of emissions within the </w:t>
      </w:r>
      <w:r w:rsidRPr="00D9348B">
        <w:rPr>
          <w:rFonts w:cs="Calibri"/>
          <w:i/>
          <w:iCs/>
        </w:rPr>
        <w:t>Enteric fermentation</w:t>
      </w:r>
      <w:r w:rsidRPr="00D9348B">
        <w:rPr>
          <w:rFonts w:cs="Calibri"/>
        </w:rPr>
        <w:t xml:space="preserve"> category (see table 5.2.1). The largest increase came from emissions from dairy cattle (129.2 per cent increase in </w:t>
      </w:r>
      <w:r w:rsidRPr="00D9348B">
        <w:rPr>
          <w:rFonts w:cs="Calibri"/>
          <w:i/>
          <w:iCs/>
        </w:rPr>
        <w:t>Enteric fermentation</w:t>
      </w:r>
      <w:r w:rsidRPr="00D9348B">
        <w:rPr>
          <w:rFonts w:cs="Calibri"/>
        </w:rPr>
        <w:t xml:space="preserve"> emissions between 1990 and 2018). There have been decreases in emissions from non-dairy cattle, sheep, and minor livestock species, such as goats, horses and swine.</w:t>
      </w:r>
    </w:p>
    <w:p w14:paraId="3ABE2D73" w14:textId="4A73BB97" w:rsidR="00F849A7" w:rsidRPr="00D9348B" w:rsidRDefault="00F849A7" w:rsidP="00F849A7">
      <w:pPr>
        <w:pStyle w:val="Table"/>
        <w:tabs>
          <w:tab w:val="left" w:pos="709"/>
        </w:tabs>
        <w:rPr>
          <w:rFonts w:cs="Calibri"/>
        </w:rPr>
      </w:pPr>
      <w:bookmarkStart w:id="626" w:name="_Toc441830868"/>
      <w:bookmarkStart w:id="627" w:name="_Toc451176082"/>
      <w:bookmarkStart w:id="628" w:name="_Toc481751508"/>
      <w:bookmarkStart w:id="629" w:name="_Toc507158598"/>
      <w:bookmarkStart w:id="630" w:name="_Toc511116732"/>
      <w:bookmarkStart w:id="631" w:name="_Toc5269472"/>
      <w:bookmarkStart w:id="632" w:name="_Toc32570913"/>
      <w:bookmarkStart w:id="633" w:name="_Toc36224548"/>
      <w:bookmarkStart w:id="634" w:name="_Toc139253918"/>
      <w:r w:rsidRPr="00D9348B">
        <w:rPr>
          <w:rFonts w:cs="Calibri"/>
        </w:rPr>
        <w:t>Table 5.2.1</w:t>
      </w:r>
      <w:r w:rsidRPr="00D9348B">
        <w:rPr>
          <w:rFonts w:cs="Calibri"/>
        </w:rPr>
        <w:tab/>
        <w:t>Trends and relative contribution of enteric fermentation (methane expressed in kt</w:t>
      </w:r>
      <w:r w:rsidR="00FC6104" w:rsidRPr="00D9348B">
        <w:rPr>
          <w:rFonts w:cs="Calibri"/>
        </w:rPr>
        <w:t> </w:t>
      </w:r>
      <w:r w:rsidRPr="00D9348B">
        <w:rPr>
          <w:rFonts w:cs="Calibri"/>
        </w:rPr>
        <w:t>CO</w:t>
      </w:r>
      <w:r w:rsidRPr="00D9348B">
        <w:rPr>
          <w:rFonts w:cs="Calibri"/>
          <w:vertAlign w:val="subscript"/>
        </w:rPr>
        <w:t>2</w:t>
      </w:r>
      <w:r w:rsidRPr="00D9348B">
        <w:rPr>
          <w:rFonts w:cs="Calibri"/>
        </w:rPr>
        <w:t>-e) from</w:t>
      </w:r>
      <w:r w:rsidR="00FC6104" w:rsidRPr="00D9348B">
        <w:rPr>
          <w:rFonts w:cs="Calibri"/>
        </w:rPr>
        <w:t> </w:t>
      </w:r>
      <w:r w:rsidRPr="00D9348B">
        <w:rPr>
          <w:rFonts w:cs="Calibri"/>
        </w:rPr>
        <w:t xml:space="preserve">livestock categories between 1990 and </w:t>
      </w:r>
      <w:bookmarkEnd w:id="626"/>
      <w:bookmarkEnd w:id="627"/>
      <w:bookmarkEnd w:id="628"/>
      <w:bookmarkEnd w:id="629"/>
      <w:bookmarkEnd w:id="630"/>
      <w:r w:rsidRPr="00D9348B">
        <w:rPr>
          <w:rFonts w:cs="Calibri"/>
        </w:rPr>
        <w:t>201</w:t>
      </w:r>
      <w:bookmarkEnd w:id="631"/>
      <w:r w:rsidRPr="00D9348B">
        <w:rPr>
          <w:rFonts w:cs="Calibri"/>
        </w:rPr>
        <w:t>8</w:t>
      </w:r>
      <w:bookmarkEnd w:id="632"/>
      <w:bookmarkEnd w:id="633"/>
    </w:p>
    <w:tbl>
      <w:tblPr>
        <w:tblW w:w="8562" w:type="dxa"/>
        <w:tblInd w:w="108" w:type="dxa"/>
        <w:tblBorders>
          <w:top w:val="single" w:sz="4" w:space="0" w:color="365F91"/>
          <w:bottom w:val="single" w:sz="4" w:space="0" w:color="365F91"/>
          <w:insideH w:val="single" w:sz="4" w:space="0" w:color="365F91"/>
        </w:tblBorders>
        <w:tblLayout w:type="fixed"/>
        <w:tblLook w:val="04A0" w:firstRow="1" w:lastRow="0" w:firstColumn="1" w:lastColumn="0" w:noHBand="0" w:noVBand="1"/>
      </w:tblPr>
      <w:tblGrid>
        <w:gridCol w:w="1560"/>
        <w:gridCol w:w="850"/>
        <w:gridCol w:w="851"/>
        <w:gridCol w:w="708"/>
        <w:gridCol w:w="851"/>
        <w:gridCol w:w="1134"/>
        <w:gridCol w:w="932"/>
        <w:gridCol w:w="800"/>
        <w:gridCol w:w="876"/>
      </w:tblGrid>
      <w:tr w:rsidR="00F849A7" w:rsidRPr="00D9348B" w14:paraId="5196D989" w14:textId="77777777" w:rsidTr="008F7904">
        <w:tc>
          <w:tcPr>
            <w:tcW w:w="1560" w:type="dxa"/>
            <w:vMerge w:val="restart"/>
            <w:shd w:val="clear" w:color="auto" w:fill="365F91"/>
            <w:vAlign w:val="bottom"/>
          </w:tcPr>
          <w:p w14:paraId="2CE2719D" w14:textId="77777777" w:rsidR="00F849A7" w:rsidRPr="00D9348B" w:rsidRDefault="00F849A7" w:rsidP="00DB330E">
            <w:pPr>
              <w:pStyle w:val="TableTextBold"/>
              <w:keepNext/>
              <w:rPr>
                <w:rFonts w:cs="Calibri"/>
                <w:noProof w:val="0"/>
                <w:color w:val="FFFFFF"/>
                <w:szCs w:val="16"/>
              </w:rPr>
            </w:pPr>
            <w:r w:rsidRPr="00D9348B">
              <w:rPr>
                <w:rFonts w:cs="Calibri"/>
                <w:noProof w:val="0"/>
                <w:color w:val="FFFFFF"/>
                <w:szCs w:val="16"/>
              </w:rPr>
              <w:t>Livestock category</w:t>
            </w:r>
          </w:p>
        </w:tc>
        <w:tc>
          <w:tcPr>
            <w:tcW w:w="1701" w:type="dxa"/>
            <w:gridSpan w:val="2"/>
            <w:tcBorders>
              <w:bottom w:val="nil"/>
            </w:tcBorders>
            <w:shd w:val="clear" w:color="auto" w:fill="365F91"/>
            <w:vAlign w:val="bottom"/>
          </w:tcPr>
          <w:p w14:paraId="062D6FE7" w14:textId="05C81B8E" w:rsidR="00F849A7" w:rsidRPr="00D9348B" w:rsidRDefault="00F849A7" w:rsidP="00DB330E">
            <w:pPr>
              <w:pStyle w:val="TableTextBold"/>
              <w:keepNext/>
              <w:tabs>
                <w:tab w:val="left" w:pos="241"/>
                <w:tab w:val="left" w:pos="1062"/>
              </w:tabs>
              <w:jc w:val="center"/>
              <w:rPr>
                <w:rFonts w:cs="Calibri"/>
                <w:noProof w:val="0"/>
                <w:color w:val="FFFFFF"/>
                <w:szCs w:val="16"/>
              </w:rPr>
            </w:pPr>
            <w:r w:rsidRPr="00D9348B">
              <w:rPr>
                <w:rFonts w:cs="Calibri"/>
                <w:noProof w:val="0"/>
                <w:color w:val="FFFFFF"/>
                <w:szCs w:val="16"/>
              </w:rPr>
              <w:t>Emissions (kt CO</w:t>
            </w:r>
            <w:r w:rsidRPr="00D9348B">
              <w:rPr>
                <w:rFonts w:cs="Calibri"/>
                <w:noProof w:val="0"/>
                <w:color w:val="FFFFFF"/>
                <w:szCs w:val="16"/>
                <w:vertAlign w:val="subscript"/>
              </w:rPr>
              <w:t>2</w:t>
            </w:r>
            <w:r w:rsidRPr="00D9348B">
              <w:rPr>
                <w:rFonts w:cs="Calibri"/>
                <w:noProof w:val="0"/>
                <w:color w:val="FFFFFF"/>
                <w:szCs w:val="16"/>
              </w:rPr>
              <w:t xml:space="preserve">-e) </w:t>
            </w:r>
          </w:p>
        </w:tc>
        <w:tc>
          <w:tcPr>
            <w:tcW w:w="1559" w:type="dxa"/>
            <w:gridSpan w:val="2"/>
            <w:tcBorders>
              <w:bottom w:val="nil"/>
              <w:right w:val="nil"/>
            </w:tcBorders>
            <w:shd w:val="clear" w:color="auto" w:fill="365F91"/>
            <w:vAlign w:val="bottom"/>
          </w:tcPr>
          <w:p w14:paraId="182A988F" w14:textId="77777777" w:rsidR="00F849A7" w:rsidRPr="00D9348B" w:rsidRDefault="00F849A7" w:rsidP="00DB330E">
            <w:pPr>
              <w:pStyle w:val="TableTextBold"/>
              <w:keepNext/>
              <w:jc w:val="center"/>
              <w:rPr>
                <w:rFonts w:cs="Calibri"/>
                <w:noProof w:val="0"/>
                <w:color w:val="FFFFFF"/>
                <w:szCs w:val="16"/>
              </w:rPr>
            </w:pPr>
            <w:r w:rsidRPr="00D9348B">
              <w:rPr>
                <w:rFonts w:cs="Calibri"/>
                <w:noProof w:val="0"/>
                <w:color w:val="FFFFFF"/>
                <w:szCs w:val="16"/>
              </w:rPr>
              <w:t>Change from 1990</w:t>
            </w:r>
          </w:p>
        </w:tc>
        <w:tc>
          <w:tcPr>
            <w:tcW w:w="2066" w:type="dxa"/>
            <w:gridSpan w:val="2"/>
            <w:tcBorders>
              <w:top w:val="nil"/>
              <w:left w:val="nil"/>
              <w:bottom w:val="nil"/>
              <w:right w:val="nil"/>
            </w:tcBorders>
            <w:shd w:val="clear" w:color="auto" w:fill="365F91"/>
            <w:vAlign w:val="bottom"/>
          </w:tcPr>
          <w:p w14:paraId="352B5CCC" w14:textId="77777777" w:rsidR="00F849A7" w:rsidRPr="00D9348B" w:rsidRDefault="00F849A7" w:rsidP="00DB330E">
            <w:pPr>
              <w:pStyle w:val="TableTextBold"/>
              <w:keepNext/>
              <w:jc w:val="center"/>
              <w:rPr>
                <w:rFonts w:cs="Calibri"/>
                <w:noProof w:val="0"/>
                <w:color w:val="FFFFFF"/>
                <w:szCs w:val="16"/>
              </w:rPr>
            </w:pPr>
            <w:r w:rsidRPr="00D9348B">
              <w:rPr>
                <w:rFonts w:cs="Calibri"/>
                <w:noProof w:val="0"/>
                <w:color w:val="FFFFFF"/>
                <w:szCs w:val="16"/>
              </w:rPr>
              <w:t>Share of Enteric fermentation category (%)</w:t>
            </w:r>
          </w:p>
        </w:tc>
        <w:tc>
          <w:tcPr>
            <w:tcW w:w="1676" w:type="dxa"/>
            <w:gridSpan w:val="2"/>
            <w:tcBorders>
              <w:top w:val="nil"/>
              <w:left w:val="nil"/>
              <w:bottom w:val="nil"/>
              <w:right w:val="nil"/>
            </w:tcBorders>
            <w:shd w:val="clear" w:color="auto" w:fill="365F91"/>
            <w:vAlign w:val="bottom"/>
          </w:tcPr>
          <w:p w14:paraId="5B93D673" w14:textId="77777777" w:rsidR="00F849A7" w:rsidRPr="00D9348B" w:rsidRDefault="00F849A7" w:rsidP="00DB330E">
            <w:pPr>
              <w:pStyle w:val="TableTextBold"/>
              <w:keepNext/>
              <w:jc w:val="center"/>
              <w:rPr>
                <w:rFonts w:cs="Calibri"/>
                <w:noProof w:val="0"/>
                <w:color w:val="FFFFFF"/>
                <w:szCs w:val="16"/>
              </w:rPr>
            </w:pPr>
            <w:r w:rsidRPr="00D9348B">
              <w:rPr>
                <w:rFonts w:cs="Calibri"/>
                <w:noProof w:val="0"/>
                <w:color w:val="FFFFFF"/>
                <w:szCs w:val="16"/>
              </w:rPr>
              <w:t>Share of total Agriculture sector (%)</w:t>
            </w:r>
          </w:p>
        </w:tc>
      </w:tr>
      <w:tr w:rsidR="008F7904" w:rsidRPr="00D9348B" w14:paraId="1F879262" w14:textId="77777777" w:rsidTr="008F7904">
        <w:tc>
          <w:tcPr>
            <w:tcW w:w="1560" w:type="dxa"/>
            <w:vMerge/>
            <w:shd w:val="clear" w:color="auto" w:fill="365F91"/>
            <w:vAlign w:val="bottom"/>
          </w:tcPr>
          <w:p w14:paraId="23243BDB" w14:textId="77777777" w:rsidR="008F7904" w:rsidRPr="00D9348B" w:rsidRDefault="008F7904" w:rsidP="00DB330E">
            <w:pPr>
              <w:pStyle w:val="TableTextBold"/>
              <w:keepNext/>
              <w:rPr>
                <w:rFonts w:cs="Calibri"/>
                <w:noProof w:val="0"/>
                <w:color w:val="FFFFFF"/>
                <w:szCs w:val="16"/>
              </w:rPr>
            </w:pPr>
          </w:p>
        </w:tc>
        <w:tc>
          <w:tcPr>
            <w:tcW w:w="850" w:type="dxa"/>
            <w:tcBorders>
              <w:top w:val="nil"/>
              <w:bottom w:val="single" w:sz="4" w:space="0" w:color="365F91"/>
              <w:right w:val="single" w:sz="4" w:space="0" w:color="365F91"/>
            </w:tcBorders>
            <w:shd w:val="clear" w:color="auto" w:fill="365F91"/>
            <w:vAlign w:val="bottom"/>
          </w:tcPr>
          <w:p w14:paraId="4019074B" w14:textId="31A4245C" w:rsidR="008F7904" w:rsidRPr="00D9348B" w:rsidRDefault="008F7904" w:rsidP="008F7904">
            <w:pPr>
              <w:pStyle w:val="TableTextBold"/>
              <w:keepNext/>
              <w:jc w:val="right"/>
              <w:rPr>
                <w:rFonts w:cs="Calibri"/>
                <w:noProof w:val="0"/>
                <w:color w:val="FFFFFF"/>
                <w:szCs w:val="16"/>
              </w:rPr>
            </w:pPr>
            <w:r w:rsidRPr="00D9348B">
              <w:rPr>
                <w:rFonts w:cs="Calibri"/>
                <w:noProof w:val="0"/>
                <w:color w:val="FFFFFF"/>
                <w:szCs w:val="16"/>
              </w:rPr>
              <w:t>1990</w:t>
            </w:r>
          </w:p>
        </w:tc>
        <w:tc>
          <w:tcPr>
            <w:tcW w:w="851" w:type="dxa"/>
            <w:tcBorders>
              <w:top w:val="nil"/>
              <w:left w:val="single" w:sz="4" w:space="0" w:color="365F91"/>
            </w:tcBorders>
            <w:shd w:val="clear" w:color="auto" w:fill="365F91"/>
            <w:vAlign w:val="bottom"/>
          </w:tcPr>
          <w:p w14:paraId="5223EC73" w14:textId="55CD3198" w:rsidR="008F7904" w:rsidRPr="00D9348B" w:rsidRDefault="008F7904" w:rsidP="008F7904">
            <w:pPr>
              <w:pStyle w:val="TableTextBold"/>
              <w:keepNext/>
              <w:jc w:val="right"/>
              <w:rPr>
                <w:rFonts w:cs="Calibri"/>
                <w:noProof w:val="0"/>
                <w:color w:val="FFFFFF"/>
                <w:szCs w:val="16"/>
              </w:rPr>
            </w:pPr>
            <w:r w:rsidRPr="00D9348B">
              <w:rPr>
                <w:rFonts w:cs="Calibri"/>
                <w:noProof w:val="0"/>
                <w:color w:val="FFFFFF"/>
                <w:szCs w:val="16"/>
              </w:rPr>
              <w:t>2018</w:t>
            </w:r>
          </w:p>
        </w:tc>
        <w:tc>
          <w:tcPr>
            <w:tcW w:w="708" w:type="dxa"/>
            <w:tcBorders>
              <w:top w:val="nil"/>
            </w:tcBorders>
            <w:shd w:val="clear" w:color="auto" w:fill="365F91"/>
            <w:vAlign w:val="bottom"/>
          </w:tcPr>
          <w:p w14:paraId="1B398DB5" w14:textId="6FBA1E29" w:rsidR="008F7904" w:rsidRPr="00D9348B" w:rsidRDefault="008F7904" w:rsidP="00DB330E">
            <w:pPr>
              <w:pStyle w:val="TableTextBold"/>
              <w:keepNext/>
              <w:spacing w:before="0"/>
              <w:jc w:val="right"/>
              <w:rPr>
                <w:rFonts w:cs="Calibri"/>
                <w:noProof w:val="0"/>
                <w:color w:val="FFFFFF"/>
                <w:szCs w:val="16"/>
              </w:rPr>
            </w:pPr>
            <w:r w:rsidRPr="00D9348B">
              <w:rPr>
                <w:rFonts w:cs="Calibri"/>
                <w:noProof w:val="0"/>
                <w:color w:val="FFFFFF"/>
                <w:szCs w:val="16"/>
              </w:rPr>
              <w:t>%</w:t>
            </w:r>
          </w:p>
        </w:tc>
        <w:tc>
          <w:tcPr>
            <w:tcW w:w="851" w:type="dxa"/>
            <w:tcBorders>
              <w:top w:val="nil"/>
              <w:right w:val="nil"/>
            </w:tcBorders>
            <w:shd w:val="clear" w:color="auto" w:fill="365F91"/>
            <w:vAlign w:val="bottom"/>
          </w:tcPr>
          <w:p w14:paraId="09FE1AD8" w14:textId="77777777" w:rsidR="008F7904" w:rsidRPr="00D9348B" w:rsidRDefault="008F7904" w:rsidP="00DB330E">
            <w:pPr>
              <w:pStyle w:val="TableTextBold"/>
              <w:keepNext/>
              <w:spacing w:before="0"/>
              <w:jc w:val="right"/>
              <w:rPr>
                <w:rFonts w:cs="Calibri"/>
                <w:noProof w:val="0"/>
                <w:color w:val="FFFFFF"/>
                <w:szCs w:val="16"/>
              </w:rPr>
            </w:pPr>
            <w:r w:rsidRPr="00D9348B">
              <w:rPr>
                <w:rFonts w:cs="Calibri"/>
                <w:noProof w:val="0"/>
                <w:color w:val="FFFFFF"/>
                <w:szCs w:val="16"/>
              </w:rPr>
              <w:t>kt CO</w:t>
            </w:r>
            <w:r w:rsidRPr="00D9348B">
              <w:rPr>
                <w:rFonts w:cs="Calibri"/>
                <w:noProof w:val="0"/>
                <w:color w:val="FFFFFF"/>
                <w:szCs w:val="16"/>
                <w:vertAlign w:val="subscript"/>
              </w:rPr>
              <w:t>2</w:t>
            </w:r>
            <w:r w:rsidRPr="00D9348B">
              <w:rPr>
                <w:rFonts w:cs="Calibri"/>
                <w:noProof w:val="0"/>
                <w:color w:val="FFFFFF"/>
                <w:szCs w:val="16"/>
              </w:rPr>
              <w:t>-e</w:t>
            </w:r>
          </w:p>
        </w:tc>
        <w:tc>
          <w:tcPr>
            <w:tcW w:w="1134" w:type="dxa"/>
            <w:tcBorders>
              <w:top w:val="nil"/>
              <w:left w:val="nil"/>
              <w:bottom w:val="nil"/>
              <w:right w:val="nil"/>
            </w:tcBorders>
            <w:shd w:val="clear" w:color="auto" w:fill="365F91"/>
            <w:vAlign w:val="bottom"/>
          </w:tcPr>
          <w:p w14:paraId="74588BE2" w14:textId="77777777" w:rsidR="008F7904" w:rsidRPr="00D9348B" w:rsidRDefault="008F7904" w:rsidP="00DB330E">
            <w:pPr>
              <w:pStyle w:val="TableTextBold"/>
              <w:keepNext/>
              <w:spacing w:before="0"/>
              <w:jc w:val="right"/>
              <w:rPr>
                <w:rFonts w:cs="Calibri"/>
                <w:noProof w:val="0"/>
                <w:color w:val="FFFFFF"/>
                <w:szCs w:val="16"/>
              </w:rPr>
            </w:pPr>
            <w:r w:rsidRPr="00D9348B">
              <w:rPr>
                <w:rFonts w:cs="Calibri"/>
                <w:noProof w:val="0"/>
                <w:color w:val="FFFFFF"/>
                <w:szCs w:val="16"/>
              </w:rPr>
              <w:t xml:space="preserve">1990 </w:t>
            </w:r>
          </w:p>
        </w:tc>
        <w:tc>
          <w:tcPr>
            <w:tcW w:w="932" w:type="dxa"/>
            <w:tcBorders>
              <w:top w:val="nil"/>
              <w:left w:val="nil"/>
              <w:bottom w:val="nil"/>
              <w:right w:val="nil"/>
            </w:tcBorders>
            <w:shd w:val="clear" w:color="auto" w:fill="365F91"/>
            <w:vAlign w:val="bottom"/>
          </w:tcPr>
          <w:p w14:paraId="03FB5EE2" w14:textId="77777777" w:rsidR="008F7904" w:rsidRPr="00D9348B" w:rsidRDefault="008F7904" w:rsidP="00DB330E">
            <w:pPr>
              <w:pStyle w:val="TableTextBold"/>
              <w:keepNext/>
              <w:spacing w:before="0"/>
              <w:jc w:val="right"/>
              <w:rPr>
                <w:rFonts w:cs="Calibri"/>
                <w:noProof w:val="0"/>
                <w:color w:val="FFFFFF"/>
                <w:szCs w:val="16"/>
              </w:rPr>
            </w:pPr>
            <w:r w:rsidRPr="00D9348B">
              <w:rPr>
                <w:rFonts w:cs="Calibri"/>
                <w:noProof w:val="0"/>
                <w:color w:val="FFFFFF"/>
                <w:szCs w:val="16"/>
              </w:rPr>
              <w:t>2018</w:t>
            </w:r>
          </w:p>
        </w:tc>
        <w:tc>
          <w:tcPr>
            <w:tcW w:w="800" w:type="dxa"/>
            <w:tcBorders>
              <w:top w:val="nil"/>
              <w:left w:val="nil"/>
              <w:bottom w:val="nil"/>
              <w:right w:val="nil"/>
            </w:tcBorders>
            <w:shd w:val="clear" w:color="auto" w:fill="365F91"/>
            <w:vAlign w:val="bottom"/>
          </w:tcPr>
          <w:p w14:paraId="5D73A84A" w14:textId="77777777" w:rsidR="008F7904" w:rsidRPr="00D9348B" w:rsidRDefault="008F7904" w:rsidP="00DB330E">
            <w:pPr>
              <w:pStyle w:val="TableTextBold"/>
              <w:keepNext/>
              <w:spacing w:before="0"/>
              <w:jc w:val="right"/>
              <w:rPr>
                <w:rFonts w:cs="Calibri"/>
                <w:noProof w:val="0"/>
                <w:color w:val="FFFFFF"/>
                <w:szCs w:val="16"/>
              </w:rPr>
            </w:pPr>
            <w:r w:rsidRPr="00D9348B">
              <w:rPr>
                <w:rFonts w:cs="Calibri"/>
                <w:noProof w:val="0"/>
                <w:color w:val="FFFFFF"/>
                <w:szCs w:val="16"/>
              </w:rPr>
              <w:t>1990</w:t>
            </w:r>
          </w:p>
        </w:tc>
        <w:tc>
          <w:tcPr>
            <w:tcW w:w="876" w:type="dxa"/>
            <w:tcBorders>
              <w:top w:val="nil"/>
              <w:left w:val="nil"/>
              <w:bottom w:val="nil"/>
              <w:right w:val="nil"/>
            </w:tcBorders>
            <w:shd w:val="clear" w:color="auto" w:fill="365F91"/>
            <w:vAlign w:val="bottom"/>
          </w:tcPr>
          <w:p w14:paraId="390C14D2" w14:textId="77777777" w:rsidR="008F7904" w:rsidRPr="00D9348B" w:rsidRDefault="008F7904" w:rsidP="00DB330E">
            <w:pPr>
              <w:pStyle w:val="TableTextBold"/>
              <w:keepNext/>
              <w:spacing w:before="0"/>
              <w:jc w:val="center"/>
              <w:rPr>
                <w:rFonts w:cs="Calibri"/>
                <w:noProof w:val="0"/>
                <w:color w:val="FFFFFF"/>
                <w:szCs w:val="16"/>
              </w:rPr>
            </w:pPr>
            <w:r w:rsidRPr="00D9348B">
              <w:rPr>
                <w:rFonts w:cs="Calibri"/>
                <w:noProof w:val="0"/>
                <w:color w:val="FFFFFF"/>
                <w:szCs w:val="16"/>
              </w:rPr>
              <w:t xml:space="preserve"> 2018</w:t>
            </w:r>
          </w:p>
        </w:tc>
      </w:tr>
      <w:tr w:rsidR="00213A7A" w:rsidRPr="00D9348B" w14:paraId="1154AEF0" w14:textId="77777777" w:rsidTr="008F7904">
        <w:tc>
          <w:tcPr>
            <w:tcW w:w="1560" w:type="dxa"/>
            <w:shd w:val="clear" w:color="auto" w:fill="auto"/>
          </w:tcPr>
          <w:p w14:paraId="2F078821" w14:textId="77777777" w:rsidR="00F849A7" w:rsidRPr="00D9348B" w:rsidRDefault="00F849A7" w:rsidP="00DB330E">
            <w:pPr>
              <w:pStyle w:val="TableText"/>
              <w:rPr>
                <w:rFonts w:cs="Calibri"/>
                <w:szCs w:val="16"/>
              </w:rPr>
            </w:pPr>
            <w:r w:rsidRPr="00D9348B">
              <w:rPr>
                <w:rFonts w:cs="Calibri"/>
                <w:szCs w:val="16"/>
              </w:rPr>
              <w:t>Dairy cattle</w:t>
            </w:r>
          </w:p>
        </w:tc>
        <w:tc>
          <w:tcPr>
            <w:tcW w:w="850" w:type="dxa"/>
            <w:tcBorders>
              <w:right w:val="nil"/>
            </w:tcBorders>
            <w:shd w:val="clear" w:color="auto" w:fill="auto"/>
          </w:tcPr>
          <w:p w14:paraId="4EFE1B40" w14:textId="77777777" w:rsidR="00F849A7" w:rsidRPr="00D9348B" w:rsidRDefault="00F849A7" w:rsidP="00DB330E">
            <w:pPr>
              <w:pStyle w:val="TableText"/>
              <w:jc w:val="right"/>
              <w:rPr>
                <w:rFonts w:cs="Calibri"/>
                <w:szCs w:val="16"/>
              </w:rPr>
            </w:pPr>
            <w:r w:rsidRPr="00D9348B">
              <w:rPr>
                <w:rFonts w:cs="Calibri"/>
                <w:szCs w:val="16"/>
              </w:rPr>
              <w:t>5,940.0</w:t>
            </w:r>
          </w:p>
        </w:tc>
        <w:tc>
          <w:tcPr>
            <w:tcW w:w="851" w:type="dxa"/>
            <w:tcBorders>
              <w:left w:val="nil"/>
            </w:tcBorders>
            <w:shd w:val="clear" w:color="auto" w:fill="auto"/>
          </w:tcPr>
          <w:p w14:paraId="0568481C" w14:textId="77777777" w:rsidR="00F849A7" w:rsidRPr="00D9348B" w:rsidRDefault="00F849A7" w:rsidP="00DB330E">
            <w:pPr>
              <w:pStyle w:val="TableText"/>
              <w:jc w:val="right"/>
              <w:rPr>
                <w:rFonts w:cs="Calibri"/>
                <w:szCs w:val="16"/>
              </w:rPr>
            </w:pPr>
            <w:r w:rsidRPr="00D9348B">
              <w:rPr>
                <w:rFonts w:cs="Calibri"/>
                <w:szCs w:val="16"/>
              </w:rPr>
              <w:t>13,611.6</w:t>
            </w:r>
          </w:p>
        </w:tc>
        <w:tc>
          <w:tcPr>
            <w:tcW w:w="708" w:type="dxa"/>
            <w:shd w:val="clear" w:color="auto" w:fill="auto"/>
          </w:tcPr>
          <w:p w14:paraId="0CA31631" w14:textId="77777777" w:rsidR="00F849A7" w:rsidRPr="00D9348B" w:rsidRDefault="00F849A7" w:rsidP="00DB330E">
            <w:pPr>
              <w:pStyle w:val="TableText"/>
              <w:jc w:val="right"/>
              <w:rPr>
                <w:rFonts w:cs="Calibri"/>
                <w:szCs w:val="16"/>
              </w:rPr>
            </w:pPr>
            <w:r w:rsidRPr="00D9348B">
              <w:rPr>
                <w:rFonts w:cs="Calibri"/>
                <w:szCs w:val="16"/>
              </w:rPr>
              <w:t>129.2</w:t>
            </w:r>
          </w:p>
        </w:tc>
        <w:tc>
          <w:tcPr>
            <w:tcW w:w="851" w:type="dxa"/>
            <w:shd w:val="clear" w:color="auto" w:fill="auto"/>
          </w:tcPr>
          <w:p w14:paraId="67971C3B" w14:textId="77777777" w:rsidR="00F849A7" w:rsidRPr="00D9348B" w:rsidRDefault="00F849A7" w:rsidP="00DB330E">
            <w:pPr>
              <w:pStyle w:val="TableText"/>
              <w:jc w:val="right"/>
              <w:rPr>
                <w:rFonts w:cs="Calibri"/>
                <w:szCs w:val="16"/>
              </w:rPr>
            </w:pPr>
            <w:r w:rsidRPr="00D9348B">
              <w:rPr>
                <w:rFonts w:cs="Calibri"/>
                <w:szCs w:val="16"/>
              </w:rPr>
              <w:t>7,671.6</w:t>
            </w:r>
          </w:p>
        </w:tc>
        <w:tc>
          <w:tcPr>
            <w:tcW w:w="1134" w:type="dxa"/>
            <w:tcBorders>
              <w:top w:val="nil"/>
            </w:tcBorders>
            <w:shd w:val="clear" w:color="auto" w:fill="auto"/>
          </w:tcPr>
          <w:p w14:paraId="2B22F9BF" w14:textId="77777777" w:rsidR="00F849A7" w:rsidRPr="00D9348B" w:rsidRDefault="00F849A7" w:rsidP="00DB330E">
            <w:pPr>
              <w:pStyle w:val="TableText"/>
              <w:jc w:val="right"/>
              <w:rPr>
                <w:rFonts w:cs="Calibri"/>
                <w:szCs w:val="16"/>
              </w:rPr>
            </w:pPr>
            <w:r w:rsidRPr="00D9348B">
              <w:rPr>
                <w:rFonts w:cs="Calibri"/>
                <w:szCs w:val="16"/>
              </w:rPr>
              <w:t>22.4</w:t>
            </w:r>
          </w:p>
        </w:tc>
        <w:tc>
          <w:tcPr>
            <w:tcW w:w="932" w:type="dxa"/>
            <w:tcBorders>
              <w:top w:val="nil"/>
            </w:tcBorders>
            <w:shd w:val="clear" w:color="auto" w:fill="auto"/>
          </w:tcPr>
          <w:p w14:paraId="77D3E6F4" w14:textId="77777777" w:rsidR="00F849A7" w:rsidRPr="00D9348B" w:rsidRDefault="00F849A7" w:rsidP="00DB330E">
            <w:pPr>
              <w:pStyle w:val="TableText"/>
              <w:jc w:val="right"/>
              <w:rPr>
                <w:rFonts w:cs="Calibri"/>
                <w:szCs w:val="16"/>
              </w:rPr>
            </w:pPr>
            <w:r w:rsidRPr="00D9348B">
              <w:rPr>
                <w:rFonts w:cs="Calibri"/>
                <w:szCs w:val="16"/>
              </w:rPr>
              <w:t>48.7</w:t>
            </w:r>
          </w:p>
        </w:tc>
        <w:tc>
          <w:tcPr>
            <w:tcW w:w="800" w:type="dxa"/>
            <w:tcBorders>
              <w:top w:val="nil"/>
            </w:tcBorders>
            <w:shd w:val="clear" w:color="auto" w:fill="auto"/>
          </w:tcPr>
          <w:p w14:paraId="1750254A" w14:textId="77777777" w:rsidR="00F849A7" w:rsidRPr="00D9348B" w:rsidRDefault="00F849A7" w:rsidP="00DB330E">
            <w:pPr>
              <w:pStyle w:val="TableText"/>
              <w:jc w:val="right"/>
              <w:rPr>
                <w:rFonts w:cs="Calibri"/>
                <w:szCs w:val="16"/>
              </w:rPr>
            </w:pPr>
            <w:r w:rsidRPr="00D9348B">
              <w:rPr>
                <w:rFonts w:cs="Calibri"/>
                <w:szCs w:val="16"/>
              </w:rPr>
              <w:t>18.5</w:t>
            </w:r>
          </w:p>
        </w:tc>
        <w:tc>
          <w:tcPr>
            <w:tcW w:w="876" w:type="dxa"/>
            <w:tcBorders>
              <w:top w:val="nil"/>
            </w:tcBorders>
            <w:shd w:val="clear" w:color="auto" w:fill="auto"/>
          </w:tcPr>
          <w:p w14:paraId="78B34B17" w14:textId="77777777" w:rsidR="00F849A7" w:rsidRPr="00D9348B" w:rsidRDefault="00F849A7" w:rsidP="00DB330E">
            <w:pPr>
              <w:pStyle w:val="TableText"/>
              <w:jc w:val="right"/>
              <w:rPr>
                <w:rFonts w:cs="Calibri"/>
                <w:szCs w:val="16"/>
              </w:rPr>
            </w:pPr>
            <w:r w:rsidRPr="00D9348B">
              <w:rPr>
                <w:rFonts w:cs="Calibri"/>
                <w:szCs w:val="16"/>
              </w:rPr>
              <w:t>36.1</w:t>
            </w:r>
          </w:p>
        </w:tc>
      </w:tr>
      <w:tr w:rsidR="00F849A7" w:rsidRPr="00D9348B" w14:paraId="4DB98FEF" w14:textId="77777777" w:rsidTr="008F7904">
        <w:tc>
          <w:tcPr>
            <w:tcW w:w="1560" w:type="dxa"/>
            <w:shd w:val="clear" w:color="auto" w:fill="auto"/>
          </w:tcPr>
          <w:p w14:paraId="78C7F125" w14:textId="77777777" w:rsidR="00F849A7" w:rsidRPr="00D9348B" w:rsidRDefault="00F849A7" w:rsidP="00DB330E">
            <w:pPr>
              <w:pStyle w:val="TableText"/>
              <w:rPr>
                <w:rFonts w:cs="Calibri"/>
                <w:szCs w:val="16"/>
              </w:rPr>
            </w:pPr>
            <w:r w:rsidRPr="00D9348B">
              <w:rPr>
                <w:rFonts w:cs="Calibri"/>
                <w:szCs w:val="16"/>
              </w:rPr>
              <w:t>Non-dairy cattle</w:t>
            </w:r>
          </w:p>
        </w:tc>
        <w:tc>
          <w:tcPr>
            <w:tcW w:w="850" w:type="dxa"/>
            <w:shd w:val="clear" w:color="auto" w:fill="auto"/>
          </w:tcPr>
          <w:p w14:paraId="297B0EFB" w14:textId="77777777" w:rsidR="00F849A7" w:rsidRPr="00D9348B" w:rsidRDefault="00F849A7" w:rsidP="00DB330E">
            <w:pPr>
              <w:pStyle w:val="TableText"/>
              <w:jc w:val="right"/>
              <w:rPr>
                <w:rFonts w:cs="Calibri"/>
                <w:szCs w:val="16"/>
              </w:rPr>
            </w:pPr>
            <w:r w:rsidRPr="00D9348B">
              <w:rPr>
                <w:rFonts w:cs="Calibri"/>
                <w:szCs w:val="16"/>
              </w:rPr>
              <w:t>5,754.7</w:t>
            </w:r>
          </w:p>
        </w:tc>
        <w:tc>
          <w:tcPr>
            <w:tcW w:w="851" w:type="dxa"/>
            <w:shd w:val="clear" w:color="auto" w:fill="auto"/>
          </w:tcPr>
          <w:p w14:paraId="70FA7472" w14:textId="77777777" w:rsidR="00F849A7" w:rsidRPr="00D9348B" w:rsidRDefault="00F849A7" w:rsidP="00DB330E">
            <w:pPr>
              <w:pStyle w:val="TableText"/>
              <w:jc w:val="right"/>
              <w:rPr>
                <w:rFonts w:cs="Calibri"/>
                <w:szCs w:val="16"/>
              </w:rPr>
            </w:pPr>
            <w:r w:rsidRPr="00D9348B">
              <w:rPr>
                <w:rFonts w:cs="Calibri"/>
                <w:szCs w:val="16"/>
              </w:rPr>
              <w:t>5,402.2</w:t>
            </w:r>
          </w:p>
        </w:tc>
        <w:tc>
          <w:tcPr>
            <w:tcW w:w="708" w:type="dxa"/>
            <w:shd w:val="clear" w:color="auto" w:fill="auto"/>
          </w:tcPr>
          <w:p w14:paraId="53521B45" w14:textId="77777777" w:rsidR="00F849A7" w:rsidRPr="00D9348B" w:rsidRDefault="00F849A7" w:rsidP="00DB330E">
            <w:pPr>
              <w:pStyle w:val="TableText"/>
              <w:jc w:val="right"/>
              <w:rPr>
                <w:rFonts w:cs="Calibri"/>
                <w:szCs w:val="16"/>
              </w:rPr>
            </w:pPr>
            <w:r w:rsidRPr="00D9348B">
              <w:rPr>
                <w:rFonts w:cs="Calibri"/>
                <w:szCs w:val="16"/>
              </w:rPr>
              <w:t>–6.1</w:t>
            </w:r>
          </w:p>
        </w:tc>
        <w:tc>
          <w:tcPr>
            <w:tcW w:w="851" w:type="dxa"/>
            <w:shd w:val="clear" w:color="auto" w:fill="auto"/>
          </w:tcPr>
          <w:p w14:paraId="0FED089A" w14:textId="77777777" w:rsidR="00F849A7" w:rsidRPr="00D9348B" w:rsidRDefault="00F849A7" w:rsidP="00DB330E">
            <w:pPr>
              <w:pStyle w:val="TableText"/>
              <w:jc w:val="right"/>
              <w:rPr>
                <w:rFonts w:cs="Calibri"/>
                <w:szCs w:val="16"/>
              </w:rPr>
            </w:pPr>
            <w:r w:rsidRPr="00D9348B">
              <w:rPr>
                <w:rFonts w:cs="Calibri"/>
                <w:szCs w:val="16"/>
              </w:rPr>
              <w:t>–352.6</w:t>
            </w:r>
          </w:p>
        </w:tc>
        <w:tc>
          <w:tcPr>
            <w:tcW w:w="1134" w:type="dxa"/>
            <w:shd w:val="clear" w:color="auto" w:fill="auto"/>
          </w:tcPr>
          <w:p w14:paraId="136FA9F4" w14:textId="77777777" w:rsidR="00F849A7" w:rsidRPr="00D9348B" w:rsidRDefault="00F849A7" w:rsidP="00DB330E">
            <w:pPr>
              <w:pStyle w:val="TableText"/>
              <w:jc w:val="right"/>
              <w:rPr>
                <w:rFonts w:cs="Calibri"/>
                <w:szCs w:val="16"/>
              </w:rPr>
            </w:pPr>
            <w:r w:rsidRPr="00D9348B">
              <w:rPr>
                <w:rFonts w:cs="Calibri"/>
                <w:szCs w:val="16"/>
              </w:rPr>
              <w:t>21.7</w:t>
            </w:r>
          </w:p>
        </w:tc>
        <w:tc>
          <w:tcPr>
            <w:tcW w:w="932" w:type="dxa"/>
            <w:shd w:val="clear" w:color="auto" w:fill="auto"/>
          </w:tcPr>
          <w:p w14:paraId="3DD7BD59" w14:textId="77777777" w:rsidR="00F849A7" w:rsidRPr="00D9348B" w:rsidRDefault="00F849A7" w:rsidP="00DB330E">
            <w:pPr>
              <w:pStyle w:val="TableText"/>
              <w:jc w:val="right"/>
              <w:rPr>
                <w:rFonts w:cs="Calibri"/>
                <w:szCs w:val="16"/>
              </w:rPr>
            </w:pPr>
            <w:r w:rsidRPr="00D9348B">
              <w:rPr>
                <w:rFonts w:cs="Calibri"/>
                <w:szCs w:val="16"/>
              </w:rPr>
              <w:t>19.3</w:t>
            </w:r>
          </w:p>
        </w:tc>
        <w:tc>
          <w:tcPr>
            <w:tcW w:w="800" w:type="dxa"/>
            <w:shd w:val="clear" w:color="auto" w:fill="auto"/>
          </w:tcPr>
          <w:p w14:paraId="1887D2A8" w14:textId="77777777" w:rsidR="00F849A7" w:rsidRPr="00D9348B" w:rsidRDefault="00F849A7" w:rsidP="00DB330E">
            <w:pPr>
              <w:pStyle w:val="TableText"/>
              <w:jc w:val="right"/>
              <w:rPr>
                <w:rFonts w:cs="Calibri"/>
                <w:szCs w:val="16"/>
              </w:rPr>
            </w:pPr>
            <w:r w:rsidRPr="00D9348B">
              <w:rPr>
                <w:rFonts w:cs="Calibri"/>
                <w:szCs w:val="16"/>
              </w:rPr>
              <w:t>17.9</w:t>
            </w:r>
          </w:p>
        </w:tc>
        <w:tc>
          <w:tcPr>
            <w:tcW w:w="876" w:type="dxa"/>
            <w:shd w:val="clear" w:color="auto" w:fill="auto"/>
          </w:tcPr>
          <w:p w14:paraId="2DA929E9" w14:textId="77777777" w:rsidR="00F849A7" w:rsidRPr="00D9348B" w:rsidRDefault="00F849A7" w:rsidP="00DB330E">
            <w:pPr>
              <w:pStyle w:val="TableText"/>
              <w:jc w:val="right"/>
              <w:rPr>
                <w:rFonts w:cs="Calibri"/>
                <w:szCs w:val="16"/>
              </w:rPr>
            </w:pPr>
            <w:r w:rsidRPr="00D9348B">
              <w:rPr>
                <w:rFonts w:cs="Calibri"/>
                <w:szCs w:val="16"/>
              </w:rPr>
              <w:t>14.3</w:t>
            </w:r>
          </w:p>
        </w:tc>
      </w:tr>
      <w:tr w:rsidR="00F849A7" w:rsidRPr="00D9348B" w14:paraId="0080E2C7" w14:textId="77777777" w:rsidTr="008F7904">
        <w:tc>
          <w:tcPr>
            <w:tcW w:w="1560" w:type="dxa"/>
            <w:shd w:val="clear" w:color="auto" w:fill="auto"/>
          </w:tcPr>
          <w:p w14:paraId="62D397D1" w14:textId="77777777" w:rsidR="00F849A7" w:rsidRPr="00D9348B" w:rsidRDefault="00F849A7" w:rsidP="00DB330E">
            <w:pPr>
              <w:pStyle w:val="TableText"/>
              <w:rPr>
                <w:rFonts w:cs="Calibri"/>
                <w:szCs w:val="16"/>
              </w:rPr>
            </w:pPr>
            <w:r w:rsidRPr="00D9348B">
              <w:rPr>
                <w:rFonts w:cs="Calibri"/>
                <w:szCs w:val="16"/>
              </w:rPr>
              <w:t>Sheep</w:t>
            </w:r>
          </w:p>
        </w:tc>
        <w:tc>
          <w:tcPr>
            <w:tcW w:w="850" w:type="dxa"/>
            <w:shd w:val="clear" w:color="auto" w:fill="auto"/>
          </w:tcPr>
          <w:p w14:paraId="6A741E84" w14:textId="77777777" w:rsidR="00F849A7" w:rsidRPr="00D9348B" w:rsidRDefault="00F849A7" w:rsidP="00DB330E">
            <w:pPr>
              <w:pStyle w:val="TableText"/>
              <w:jc w:val="right"/>
              <w:rPr>
                <w:rFonts w:cs="Calibri"/>
                <w:szCs w:val="16"/>
              </w:rPr>
            </w:pPr>
            <w:r w:rsidRPr="00D9348B">
              <w:rPr>
                <w:rFonts w:cs="Calibri"/>
                <w:szCs w:val="16"/>
              </w:rPr>
              <w:t>14,172.1</w:t>
            </w:r>
          </w:p>
        </w:tc>
        <w:tc>
          <w:tcPr>
            <w:tcW w:w="851" w:type="dxa"/>
            <w:shd w:val="clear" w:color="auto" w:fill="auto"/>
          </w:tcPr>
          <w:p w14:paraId="03C395E2" w14:textId="77777777" w:rsidR="00F849A7" w:rsidRPr="00D9348B" w:rsidRDefault="00F849A7" w:rsidP="00DB330E">
            <w:pPr>
              <w:pStyle w:val="TableText"/>
              <w:jc w:val="right"/>
              <w:rPr>
                <w:rFonts w:cs="Calibri"/>
                <w:szCs w:val="16"/>
              </w:rPr>
            </w:pPr>
            <w:r w:rsidRPr="00D9348B">
              <w:rPr>
                <w:rFonts w:cs="Calibri"/>
                <w:szCs w:val="16"/>
              </w:rPr>
              <w:t>8,390.1</w:t>
            </w:r>
          </w:p>
        </w:tc>
        <w:tc>
          <w:tcPr>
            <w:tcW w:w="708" w:type="dxa"/>
            <w:shd w:val="clear" w:color="auto" w:fill="auto"/>
          </w:tcPr>
          <w:p w14:paraId="0159B01C" w14:textId="77777777" w:rsidR="00F849A7" w:rsidRPr="00D9348B" w:rsidRDefault="00F849A7" w:rsidP="00DB330E">
            <w:pPr>
              <w:pStyle w:val="TableText"/>
              <w:jc w:val="right"/>
              <w:rPr>
                <w:rFonts w:cs="Calibri"/>
                <w:szCs w:val="16"/>
              </w:rPr>
            </w:pPr>
            <w:r w:rsidRPr="00D9348B">
              <w:rPr>
                <w:rFonts w:cs="Calibri"/>
                <w:szCs w:val="16"/>
              </w:rPr>
              <w:t>–40.8</w:t>
            </w:r>
          </w:p>
        </w:tc>
        <w:tc>
          <w:tcPr>
            <w:tcW w:w="851" w:type="dxa"/>
            <w:shd w:val="clear" w:color="auto" w:fill="auto"/>
          </w:tcPr>
          <w:p w14:paraId="68C5CDB4" w14:textId="77777777" w:rsidR="00F849A7" w:rsidRPr="00D9348B" w:rsidRDefault="00F849A7" w:rsidP="00DB330E">
            <w:pPr>
              <w:pStyle w:val="TableText"/>
              <w:jc w:val="right"/>
              <w:rPr>
                <w:rFonts w:cs="Calibri"/>
                <w:szCs w:val="16"/>
              </w:rPr>
            </w:pPr>
            <w:r w:rsidRPr="00D9348B">
              <w:rPr>
                <w:rFonts w:cs="Calibri"/>
                <w:szCs w:val="16"/>
              </w:rPr>
              <w:t>–5,782.0</w:t>
            </w:r>
          </w:p>
        </w:tc>
        <w:tc>
          <w:tcPr>
            <w:tcW w:w="1134" w:type="dxa"/>
            <w:shd w:val="clear" w:color="auto" w:fill="auto"/>
          </w:tcPr>
          <w:p w14:paraId="077160B1" w14:textId="77777777" w:rsidR="00F849A7" w:rsidRPr="00D9348B" w:rsidRDefault="00F849A7" w:rsidP="00DB330E">
            <w:pPr>
              <w:pStyle w:val="TableText"/>
              <w:jc w:val="right"/>
              <w:rPr>
                <w:rFonts w:cs="Calibri"/>
                <w:szCs w:val="16"/>
              </w:rPr>
            </w:pPr>
            <w:r w:rsidRPr="00D9348B">
              <w:rPr>
                <w:rFonts w:cs="Calibri"/>
                <w:szCs w:val="16"/>
              </w:rPr>
              <w:t>53.4</w:t>
            </w:r>
          </w:p>
        </w:tc>
        <w:tc>
          <w:tcPr>
            <w:tcW w:w="932" w:type="dxa"/>
            <w:shd w:val="clear" w:color="auto" w:fill="auto"/>
          </w:tcPr>
          <w:p w14:paraId="23970D44" w14:textId="77777777" w:rsidR="00F849A7" w:rsidRPr="00D9348B" w:rsidRDefault="00F849A7" w:rsidP="00DB330E">
            <w:pPr>
              <w:pStyle w:val="TableText"/>
              <w:jc w:val="right"/>
              <w:rPr>
                <w:rFonts w:cs="Calibri"/>
                <w:szCs w:val="16"/>
              </w:rPr>
            </w:pPr>
            <w:r w:rsidRPr="00D9348B">
              <w:rPr>
                <w:rFonts w:cs="Calibri"/>
                <w:szCs w:val="16"/>
              </w:rPr>
              <w:t>30.0</w:t>
            </w:r>
          </w:p>
        </w:tc>
        <w:tc>
          <w:tcPr>
            <w:tcW w:w="800" w:type="dxa"/>
            <w:shd w:val="clear" w:color="auto" w:fill="auto"/>
          </w:tcPr>
          <w:p w14:paraId="74E4AE8F" w14:textId="77777777" w:rsidR="00F849A7" w:rsidRPr="00D9348B" w:rsidRDefault="00F849A7" w:rsidP="00DB330E">
            <w:pPr>
              <w:pStyle w:val="TableText"/>
              <w:jc w:val="right"/>
              <w:rPr>
                <w:rFonts w:cs="Calibri"/>
                <w:szCs w:val="16"/>
              </w:rPr>
            </w:pPr>
            <w:r w:rsidRPr="00D9348B">
              <w:rPr>
                <w:rFonts w:cs="Calibri"/>
                <w:szCs w:val="16"/>
              </w:rPr>
              <w:t>44.0</w:t>
            </w:r>
          </w:p>
        </w:tc>
        <w:tc>
          <w:tcPr>
            <w:tcW w:w="876" w:type="dxa"/>
            <w:shd w:val="clear" w:color="auto" w:fill="auto"/>
          </w:tcPr>
          <w:p w14:paraId="0409A162" w14:textId="77777777" w:rsidR="00F849A7" w:rsidRPr="00D9348B" w:rsidRDefault="00F849A7" w:rsidP="00DB330E">
            <w:pPr>
              <w:pStyle w:val="TableText"/>
              <w:jc w:val="right"/>
              <w:rPr>
                <w:rFonts w:cs="Calibri"/>
                <w:szCs w:val="16"/>
              </w:rPr>
            </w:pPr>
            <w:r w:rsidRPr="00D9348B">
              <w:rPr>
                <w:rFonts w:cs="Calibri"/>
                <w:szCs w:val="16"/>
              </w:rPr>
              <w:t>22.3</w:t>
            </w:r>
          </w:p>
        </w:tc>
      </w:tr>
      <w:tr w:rsidR="00F849A7" w:rsidRPr="00D9348B" w14:paraId="2EE0065E" w14:textId="77777777" w:rsidTr="008F7904">
        <w:tc>
          <w:tcPr>
            <w:tcW w:w="1560" w:type="dxa"/>
            <w:shd w:val="clear" w:color="auto" w:fill="auto"/>
          </w:tcPr>
          <w:p w14:paraId="6B88AC48" w14:textId="77777777" w:rsidR="00F849A7" w:rsidRPr="00D9348B" w:rsidRDefault="00F849A7" w:rsidP="00DB330E">
            <w:pPr>
              <w:pStyle w:val="TableText"/>
              <w:rPr>
                <w:rFonts w:cs="Calibri"/>
                <w:szCs w:val="16"/>
              </w:rPr>
            </w:pPr>
            <w:r w:rsidRPr="00D9348B">
              <w:rPr>
                <w:rFonts w:cs="Calibri"/>
                <w:szCs w:val="16"/>
              </w:rPr>
              <w:t>Deer</w:t>
            </w:r>
          </w:p>
        </w:tc>
        <w:tc>
          <w:tcPr>
            <w:tcW w:w="850" w:type="dxa"/>
            <w:shd w:val="clear" w:color="auto" w:fill="auto"/>
          </w:tcPr>
          <w:p w14:paraId="754624A4" w14:textId="77777777" w:rsidR="00F849A7" w:rsidRPr="00D9348B" w:rsidRDefault="00F849A7" w:rsidP="00DB330E">
            <w:pPr>
              <w:pStyle w:val="TableText"/>
              <w:jc w:val="right"/>
              <w:rPr>
                <w:rFonts w:cs="Calibri"/>
                <w:szCs w:val="16"/>
              </w:rPr>
            </w:pPr>
            <w:r w:rsidRPr="00D9348B">
              <w:rPr>
                <w:rFonts w:cs="Calibri"/>
                <w:szCs w:val="16"/>
              </w:rPr>
              <w:t>432.7</w:t>
            </w:r>
          </w:p>
        </w:tc>
        <w:tc>
          <w:tcPr>
            <w:tcW w:w="851" w:type="dxa"/>
            <w:shd w:val="clear" w:color="auto" w:fill="auto"/>
          </w:tcPr>
          <w:p w14:paraId="1EF88EE8" w14:textId="77777777" w:rsidR="00F849A7" w:rsidRPr="00D9348B" w:rsidRDefault="00F849A7" w:rsidP="00DB330E">
            <w:pPr>
              <w:pStyle w:val="TableText"/>
              <w:jc w:val="right"/>
              <w:rPr>
                <w:rFonts w:cs="Calibri"/>
                <w:szCs w:val="16"/>
              </w:rPr>
            </w:pPr>
            <w:r w:rsidRPr="00D9348B">
              <w:rPr>
                <w:rFonts w:cs="Calibri"/>
                <w:szCs w:val="16"/>
              </w:rPr>
              <w:t>488.0</w:t>
            </w:r>
          </w:p>
        </w:tc>
        <w:tc>
          <w:tcPr>
            <w:tcW w:w="708" w:type="dxa"/>
            <w:shd w:val="clear" w:color="auto" w:fill="auto"/>
          </w:tcPr>
          <w:p w14:paraId="408F2057" w14:textId="77777777" w:rsidR="00F849A7" w:rsidRPr="00D9348B" w:rsidRDefault="00F849A7" w:rsidP="00DB330E">
            <w:pPr>
              <w:pStyle w:val="TableText"/>
              <w:jc w:val="right"/>
              <w:rPr>
                <w:rFonts w:cs="Calibri"/>
                <w:szCs w:val="16"/>
              </w:rPr>
            </w:pPr>
            <w:r w:rsidRPr="00D9348B">
              <w:rPr>
                <w:rFonts w:cs="Calibri"/>
                <w:szCs w:val="16"/>
              </w:rPr>
              <w:t>12.8</w:t>
            </w:r>
          </w:p>
        </w:tc>
        <w:tc>
          <w:tcPr>
            <w:tcW w:w="851" w:type="dxa"/>
            <w:shd w:val="clear" w:color="auto" w:fill="auto"/>
          </w:tcPr>
          <w:p w14:paraId="4DD87D13" w14:textId="77777777" w:rsidR="00F849A7" w:rsidRPr="00D9348B" w:rsidRDefault="00F849A7" w:rsidP="00DB330E">
            <w:pPr>
              <w:pStyle w:val="TableText"/>
              <w:jc w:val="right"/>
              <w:rPr>
                <w:rFonts w:cs="Calibri"/>
                <w:szCs w:val="16"/>
              </w:rPr>
            </w:pPr>
            <w:r w:rsidRPr="00D9348B">
              <w:rPr>
                <w:rFonts w:cs="Calibri"/>
                <w:szCs w:val="16"/>
              </w:rPr>
              <w:t>55.3</w:t>
            </w:r>
          </w:p>
        </w:tc>
        <w:tc>
          <w:tcPr>
            <w:tcW w:w="1134" w:type="dxa"/>
            <w:shd w:val="clear" w:color="auto" w:fill="auto"/>
          </w:tcPr>
          <w:p w14:paraId="05432915" w14:textId="77777777" w:rsidR="00F849A7" w:rsidRPr="00D9348B" w:rsidRDefault="00F849A7" w:rsidP="00DB330E">
            <w:pPr>
              <w:pStyle w:val="TableText"/>
              <w:jc w:val="right"/>
              <w:rPr>
                <w:rFonts w:cs="Calibri"/>
                <w:szCs w:val="16"/>
              </w:rPr>
            </w:pPr>
            <w:r w:rsidRPr="00D9348B">
              <w:rPr>
                <w:rFonts w:cs="Calibri"/>
                <w:szCs w:val="16"/>
              </w:rPr>
              <w:t>1.6</w:t>
            </w:r>
          </w:p>
        </w:tc>
        <w:tc>
          <w:tcPr>
            <w:tcW w:w="932" w:type="dxa"/>
            <w:shd w:val="clear" w:color="auto" w:fill="auto"/>
          </w:tcPr>
          <w:p w14:paraId="7C8BC2AC" w14:textId="77777777" w:rsidR="00F849A7" w:rsidRPr="00D9348B" w:rsidRDefault="00F849A7" w:rsidP="00DB330E">
            <w:pPr>
              <w:pStyle w:val="TableText"/>
              <w:jc w:val="right"/>
              <w:rPr>
                <w:rFonts w:cs="Calibri"/>
                <w:szCs w:val="16"/>
              </w:rPr>
            </w:pPr>
            <w:r w:rsidRPr="00D9348B">
              <w:rPr>
                <w:rFonts w:cs="Calibri"/>
                <w:szCs w:val="16"/>
              </w:rPr>
              <w:t>1.7</w:t>
            </w:r>
          </w:p>
        </w:tc>
        <w:tc>
          <w:tcPr>
            <w:tcW w:w="800" w:type="dxa"/>
            <w:shd w:val="clear" w:color="auto" w:fill="auto"/>
          </w:tcPr>
          <w:p w14:paraId="18B83B98" w14:textId="77777777" w:rsidR="00F849A7" w:rsidRPr="00D9348B" w:rsidRDefault="00F849A7" w:rsidP="00DB330E">
            <w:pPr>
              <w:pStyle w:val="TableText"/>
              <w:jc w:val="right"/>
              <w:rPr>
                <w:rFonts w:cs="Calibri"/>
                <w:szCs w:val="16"/>
              </w:rPr>
            </w:pPr>
            <w:r w:rsidRPr="00D9348B">
              <w:rPr>
                <w:rFonts w:cs="Calibri"/>
                <w:szCs w:val="16"/>
              </w:rPr>
              <w:t>1.3</w:t>
            </w:r>
          </w:p>
        </w:tc>
        <w:tc>
          <w:tcPr>
            <w:tcW w:w="876" w:type="dxa"/>
            <w:shd w:val="clear" w:color="auto" w:fill="auto"/>
          </w:tcPr>
          <w:p w14:paraId="6ED2FA7A" w14:textId="77777777" w:rsidR="00F849A7" w:rsidRPr="00D9348B" w:rsidRDefault="00F849A7" w:rsidP="00DB330E">
            <w:pPr>
              <w:pStyle w:val="TableText"/>
              <w:jc w:val="right"/>
              <w:rPr>
                <w:rFonts w:cs="Calibri"/>
                <w:szCs w:val="16"/>
              </w:rPr>
            </w:pPr>
            <w:r w:rsidRPr="00D9348B">
              <w:rPr>
                <w:rFonts w:cs="Calibri"/>
                <w:szCs w:val="16"/>
              </w:rPr>
              <w:t>1.3</w:t>
            </w:r>
          </w:p>
        </w:tc>
      </w:tr>
      <w:tr w:rsidR="00F849A7" w:rsidRPr="00D9348B" w14:paraId="700E702B" w14:textId="77777777" w:rsidTr="008F7904">
        <w:tc>
          <w:tcPr>
            <w:tcW w:w="1560" w:type="dxa"/>
            <w:shd w:val="clear" w:color="auto" w:fill="auto"/>
          </w:tcPr>
          <w:p w14:paraId="63611B4A" w14:textId="77777777" w:rsidR="00F849A7" w:rsidRPr="00D9348B" w:rsidRDefault="00F849A7" w:rsidP="00DB330E">
            <w:pPr>
              <w:pStyle w:val="TableText"/>
              <w:rPr>
                <w:rFonts w:cs="Calibri"/>
                <w:szCs w:val="16"/>
              </w:rPr>
            </w:pPr>
            <w:r w:rsidRPr="00D9348B">
              <w:rPr>
                <w:rFonts w:cs="Calibri"/>
                <w:szCs w:val="16"/>
              </w:rPr>
              <w:t>Minor livestock</w:t>
            </w:r>
          </w:p>
        </w:tc>
        <w:tc>
          <w:tcPr>
            <w:tcW w:w="850" w:type="dxa"/>
            <w:shd w:val="clear" w:color="auto" w:fill="auto"/>
          </w:tcPr>
          <w:p w14:paraId="1F60C93D" w14:textId="77777777" w:rsidR="00F849A7" w:rsidRPr="00D9348B" w:rsidRDefault="00F849A7" w:rsidP="00DB330E">
            <w:pPr>
              <w:pStyle w:val="TableText"/>
              <w:jc w:val="right"/>
              <w:rPr>
                <w:rFonts w:cs="Calibri"/>
                <w:szCs w:val="16"/>
              </w:rPr>
            </w:pPr>
            <w:r w:rsidRPr="00D9348B">
              <w:rPr>
                <w:rFonts w:cs="Calibri"/>
                <w:szCs w:val="16"/>
              </w:rPr>
              <w:t>249.5</w:t>
            </w:r>
          </w:p>
        </w:tc>
        <w:tc>
          <w:tcPr>
            <w:tcW w:w="851" w:type="dxa"/>
            <w:shd w:val="clear" w:color="auto" w:fill="auto"/>
          </w:tcPr>
          <w:p w14:paraId="5F14FD74" w14:textId="77777777" w:rsidR="00F849A7" w:rsidRPr="00D9348B" w:rsidRDefault="00F849A7" w:rsidP="00DB330E">
            <w:pPr>
              <w:pStyle w:val="TableText"/>
              <w:jc w:val="right"/>
              <w:rPr>
                <w:rFonts w:cs="Calibri"/>
                <w:szCs w:val="16"/>
              </w:rPr>
            </w:pPr>
            <w:r w:rsidRPr="00D9348B">
              <w:rPr>
                <w:rFonts w:cs="Calibri"/>
                <w:szCs w:val="16"/>
              </w:rPr>
              <w:t>47.2</w:t>
            </w:r>
          </w:p>
        </w:tc>
        <w:tc>
          <w:tcPr>
            <w:tcW w:w="708" w:type="dxa"/>
            <w:shd w:val="clear" w:color="auto" w:fill="auto"/>
          </w:tcPr>
          <w:p w14:paraId="434C323E" w14:textId="77777777" w:rsidR="00F849A7" w:rsidRPr="00D9348B" w:rsidRDefault="00F849A7" w:rsidP="00DB330E">
            <w:pPr>
              <w:pStyle w:val="TableText"/>
              <w:jc w:val="right"/>
              <w:rPr>
                <w:rFonts w:cs="Calibri"/>
                <w:szCs w:val="16"/>
              </w:rPr>
            </w:pPr>
            <w:r w:rsidRPr="00D9348B">
              <w:rPr>
                <w:rFonts w:cs="Calibri"/>
                <w:szCs w:val="16"/>
              </w:rPr>
              <w:t>–81.1</w:t>
            </w:r>
          </w:p>
        </w:tc>
        <w:tc>
          <w:tcPr>
            <w:tcW w:w="851" w:type="dxa"/>
            <w:shd w:val="clear" w:color="auto" w:fill="auto"/>
          </w:tcPr>
          <w:p w14:paraId="5D304BF7" w14:textId="77777777" w:rsidR="00F849A7" w:rsidRPr="00D9348B" w:rsidRDefault="00F849A7" w:rsidP="00DB330E">
            <w:pPr>
              <w:pStyle w:val="TableText"/>
              <w:jc w:val="right"/>
              <w:rPr>
                <w:rFonts w:cs="Calibri"/>
                <w:szCs w:val="16"/>
              </w:rPr>
            </w:pPr>
            <w:r w:rsidRPr="00D9348B">
              <w:rPr>
                <w:rFonts w:cs="Calibri"/>
                <w:szCs w:val="16"/>
              </w:rPr>
              <w:t>–202.3</w:t>
            </w:r>
          </w:p>
        </w:tc>
        <w:tc>
          <w:tcPr>
            <w:tcW w:w="1134" w:type="dxa"/>
            <w:shd w:val="clear" w:color="auto" w:fill="auto"/>
          </w:tcPr>
          <w:p w14:paraId="20DF1B99" w14:textId="77777777" w:rsidR="00F849A7" w:rsidRPr="00D9348B" w:rsidRDefault="00F849A7" w:rsidP="00DB330E">
            <w:pPr>
              <w:pStyle w:val="TableText"/>
              <w:jc w:val="right"/>
              <w:rPr>
                <w:rFonts w:cs="Calibri"/>
                <w:szCs w:val="16"/>
              </w:rPr>
            </w:pPr>
            <w:r w:rsidRPr="00D9348B">
              <w:rPr>
                <w:rFonts w:cs="Calibri"/>
                <w:szCs w:val="16"/>
              </w:rPr>
              <w:t>0.9</w:t>
            </w:r>
          </w:p>
        </w:tc>
        <w:tc>
          <w:tcPr>
            <w:tcW w:w="932" w:type="dxa"/>
            <w:shd w:val="clear" w:color="auto" w:fill="auto"/>
          </w:tcPr>
          <w:p w14:paraId="2A328065" w14:textId="77777777" w:rsidR="00F849A7" w:rsidRPr="00D9348B" w:rsidRDefault="00F849A7" w:rsidP="00DB330E">
            <w:pPr>
              <w:pStyle w:val="TableText"/>
              <w:jc w:val="right"/>
              <w:rPr>
                <w:rFonts w:cs="Calibri"/>
                <w:szCs w:val="16"/>
              </w:rPr>
            </w:pPr>
            <w:r w:rsidRPr="00D9348B">
              <w:rPr>
                <w:rFonts w:cs="Calibri"/>
                <w:szCs w:val="16"/>
              </w:rPr>
              <w:t>0.2</w:t>
            </w:r>
          </w:p>
        </w:tc>
        <w:tc>
          <w:tcPr>
            <w:tcW w:w="800" w:type="dxa"/>
            <w:shd w:val="clear" w:color="auto" w:fill="auto"/>
          </w:tcPr>
          <w:p w14:paraId="6E7464ED" w14:textId="77777777" w:rsidR="00F849A7" w:rsidRPr="00D9348B" w:rsidRDefault="00F849A7" w:rsidP="00DB330E">
            <w:pPr>
              <w:pStyle w:val="TableText"/>
              <w:jc w:val="right"/>
              <w:rPr>
                <w:rFonts w:cs="Calibri"/>
                <w:szCs w:val="16"/>
              </w:rPr>
            </w:pPr>
            <w:r w:rsidRPr="00D9348B">
              <w:rPr>
                <w:rFonts w:cs="Calibri"/>
                <w:szCs w:val="16"/>
              </w:rPr>
              <w:t>0.8</w:t>
            </w:r>
          </w:p>
        </w:tc>
        <w:tc>
          <w:tcPr>
            <w:tcW w:w="876" w:type="dxa"/>
            <w:shd w:val="clear" w:color="auto" w:fill="auto"/>
          </w:tcPr>
          <w:p w14:paraId="0250C7D2" w14:textId="77777777" w:rsidR="00F849A7" w:rsidRPr="00D9348B" w:rsidRDefault="00F849A7" w:rsidP="00DB330E">
            <w:pPr>
              <w:pStyle w:val="TableText"/>
              <w:jc w:val="right"/>
              <w:rPr>
                <w:rFonts w:cs="Calibri"/>
                <w:szCs w:val="16"/>
              </w:rPr>
            </w:pPr>
            <w:r w:rsidRPr="00D9348B">
              <w:rPr>
                <w:rFonts w:cs="Calibri"/>
                <w:szCs w:val="16"/>
              </w:rPr>
              <w:t>0.1</w:t>
            </w:r>
          </w:p>
        </w:tc>
      </w:tr>
    </w:tbl>
    <w:p w14:paraId="74F21A41" w14:textId="77777777" w:rsidR="00F849A7" w:rsidRPr="00D9348B" w:rsidRDefault="00F849A7" w:rsidP="00F849A7">
      <w:pPr>
        <w:pStyle w:val="Noteundertable"/>
        <w:rPr>
          <w:rFonts w:cs="Calibri"/>
        </w:rPr>
      </w:pPr>
      <w:r w:rsidRPr="00D9348B">
        <w:rPr>
          <w:rFonts w:cs="Calibri"/>
          <w:b/>
          <w:bCs/>
        </w:rPr>
        <w:t>Note</w:t>
      </w:r>
      <w:r w:rsidRPr="00D9348B">
        <w:rPr>
          <w:rFonts w:cs="Calibri"/>
        </w:rPr>
        <w:t>: Percentages presented are calculated from unrounded values.</w:t>
      </w:r>
    </w:p>
    <w:p w14:paraId="06E63178" w14:textId="77777777" w:rsidR="00F849A7" w:rsidRPr="00D9348B" w:rsidRDefault="00F849A7" w:rsidP="00F849A7">
      <w:pPr>
        <w:pStyle w:val="Heading3"/>
        <w:rPr>
          <w:rFonts w:cs="Calibri"/>
        </w:rPr>
      </w:pPr>
      <w:bookmarkStart w:id="635" w:name="_Toc32570652"/>
      <w:r w:rsidRPr="00D9348B">
        <w:rPr>
          <w:rFonts w:cs="Calibri"/>
        </w:rPr>
        <w:t>5.2.2</w:t>
      </w:r>
      <w:r w:rsidRPr="00D9348B">
        <w:rPr>
          <w:rFonts w:cs="Calibri"/>
        </w:rPr>
        <w:tab/>
        <w:t>Methodological issues</w:t>
      </w:r>
      <w:bookmarkEnd w:id="634"/>
      <w:bookmarkEnd w:id="635"/>
      <w:r w:rsidRPr="00D9348B">
        <w:rPr>
          <w:rFonts w:cs="Calibri"/>
        </w:rPr>
        <w:t xml:space="preserve"> </w:t>
      </w:r>
    </w:p>
    <w:p w14:paraId="480473D4" w14:textId="77777777" w:rsidR="00F849A7" w:rsidRPr="00D9348B" w:rsidRDefault="00F849A7" w:rsidP="008F7904">
      <w:pPr>
        <w:pStyle w:val="Heading4"/>
        <w:spacing w:before="160"/>
      </w:pPr>
      <w:r w:rsidRPr="00D9348B">
        <w:t>Emissions from cattle and deer</w:t>
      </w:r>
    </w:p>
    <w:p w14:paraId="6DDC5E6F" w14:textId="5F1869E9" w:rsidR="00F849A7" w:rsidRPr="00D9348B" w:rsidRDefault="00F849A7" w:rsidP="00F849A7">
      <w:pPr>
        <w:pStyle w:val="BodyText"/>
        <w:rPr>
          <w:rFonts w:cs="Calibri"/>
        </w:rPr>
      </w:pPr>
      <w:r w:rsidRPr="00D9348B">
        <w:rPr>
          <w:rFonts w:cs="Calibri"/>
        </w:rPr>
        <w:t>The total amount of enteric CH</w:t>
      </w:r>
      <w:r w:rsidRPr="00D9348B">
        <w:rPr>
          <w:rFonts w:cs="Calibri"/>
          <w:vertAlign w:val="subscript"/>
        </w:rPr>
        <w:t>4</w:t>
      </w:r>
      <w:r w:rsidRPr="00D9348B">
        <w:rPr>
          <w:rFonts w:cs="Calibri"/>
        </w:rPr>
        <w:t xml:space="preserve"> emitted by cattle and deer is calculated using a CH</w:t>
      </w:r>
      <w:r w:rsidRPr="00D9348B">
        <w:rPr>
          <w:rFonts w:cs="Calibri"/>
          <w:vertAlign w:val="subscript"/>
        </w:rPr>
        <w:t>4</w:t>
      </w:r>
      <w:r w:rsidRPr="00D9348B">
        <w:rPr>
          <w:rFonts w:cs="Calibri"/>
        </w:rPr>
        <w:t xml:space="preserve"> conversion factor for emissions per unit of feed intake in kilograms DMI per livestock category (see figure 5.2.1). Livestock population characterisation and DMI per head is calculated by New Zealand’s Tier 2 inventory model (see section 5.1.3).</w:t>
      </w:r>
      <w:r w:rsidRPr="00D9348B">
        <w:rPr>
          <w:rFonts w:cs="Calibri"/>
          <w:i/>
        </w:rPr>
        <w:t xml:space="preserve"> </w:t>
      </w:r>
      <w:r w:rsidRPr="00D9348B">
        <w:rPr>
          <w:rFonts w:cs="Calibri"/>
        </w:rPr>
        <w:t>A more complex algorithm has been used</w:t>
      </w:r>
      <w:r w:rsidR="005C6E3E" w:rsidRPr="00D9348B">
        <w:rPr>
          <w:rFonts w:cs="Calibri"/>
        </w:rPr>
        <w:t> </w:t>
      </w:r>
      <w:r w:rsidRPr="00D9348B">
        <w:rPr>
          <w:rFonts w:cs="Calibri"/>
        </w:rPr>
        <w:t>to calculate enteric CH</w:t>
      </w:r>
      <w:r w:rsidRPr="00D9348B">
        <w:rPr>
          <w:rFonts w:cs="Calibri"/>
          <w:vertAlign w:val="subscript"/>
        </w:rPr>
        <w:t>4</w:t>
      </w:r>
      <w:r w:rsidRPr="00D9348B">
        <w:rPr>
          <w:rFonts w:cs="Calibri"/>
        </w:rPr>
        <w:t xml:space="preserve"> emissions from sheep and is discussed in the next section.</w:t>
      </w:r>
    </w:p>
    <w:p w14:paraId="3A1FC109" w14:textId="77777777" w:rsidR="00F849A7" w:rsidRPr="00D9348B" w:rsidRDefault="00F849A7" w:rsidP="00F849A7">
      <w:pPr>
        <w:pStyle w:val="Figure"/>
        <w:rPr>
          <w:rFonts w:cs="Calibri"/>
        </w:rPr>
      </w:pPr>
      <w:bookmarkStart w:id="636" w:name="_Toc447275695"/>
      <w:bookmarkStart w:id="637" w:name="_Toc481752013"/>
      <w:bookmarkStart w:id="638" w:name="_Toc507158472"/>
      <w:bookmarkStart w:id="639" w:name="_Toc511116963"/>
      <w:bookmarkStart w:id="640" w:name="_Toc5269693"/>
      <w:bookmarkStart w:id="641" w:name="_Toc32570964"/>
      <w:bookmarkStart w:id="642" w:name="_Toc36292794"/>
      <w:bookmarkStart w:id="643" w:name="_Toc288316894"/>
      <w:bookmarkStart w:id="644" w:name="_Toc352505149"/>
      <w:r w:rsidRPr="00D9348B">
        <w:rPr>
          <w:rFonts w:cs="Calibri"/>
        </w:rPr>
        <w:lastRenderedPageBreak/>
        <w:t>Figure 5.2.1</w:t>
      </w:r>
      <w:r w:rsidRPr="00D9348B">
        <w:rPr>
          <w:rFonts w:cs="Calibri"/>
        </w:rPr>
        <w:tab/>
        <w:t>Schematic diagram showing how New Zealand’s emissions from enteric fermentation for cattle and deer are calculated</w:t>
      </w:r>
      <w:bookmarkEnd w:id="636"/>
      <w:bookmarkEnd w:id="637"/>
      <w:bookmarkEnd w:id="638"/>
      <w:bookmarkEnd w:id="639"/>
      <w:bookmarkEnd w:id="640"/>
      <w:bookmarkEnd w:id="641"/>
      <w:bookmarkEnd w:id="642"/>
    </w:p>
    <w:p w14:paraId="6F3D41B8" w14:textId="77777777" w:rsidR="00F849A7" w:rsidRPr="00D9348B" w:rsidRDefault="00F849A7" w:rsidP="00F849A7">
      <w:pPr>
        <w:pStyle w:val="BodyText"/>
        <w:jc w:val="center"/>
        <w:rPr>
          <w:rFonts w:cs="Calibri"/>
        </w:rPr>
      </w:pPr>
      <w:r w:rsidRPr="00D9348B">
        <w:rPr>
          <w:rFonts w:eastAsia="Calibri" w:cs="Calibri"/>
        </w:rPr>
        <w:object w:dxaOrig="17777" w:dyaOrig="9203" w14:anchorId="2827E203">
          <v:shape id="_x0000_i1083" type="#_x0000_t75" style="width:396.3pt;height:209.1pt" o:ole="">
            <v:imagedata r:id="rId123" o:title="" cropright="6980f"/>
          </v:shape>
          <o:OLEObject Type="Embed" ProgID="Visio.Drawing.15" ShapeID="_x0000_i1083" DrawAspect="Content" ObjectID="_1647932320" r:id="rId124"/>
        </w:object>
      </w:r>
    </w:p>
    <w:bookmarkEnd w:id="643"/>
    <w:bookmarkEnd w:id="644"/>
    <w:p w14:paraId="1C0F2CAD" w14:textId="77777777" w:rsidR="00F849A7" w:rsidRPr="00D9348B" w:rsidRDefault="00F849A7" w:rsidP="00F849A7">
      <w:pPr>
        <w:pStyle w:val="Noteundertable"/>
        <w:rPr>
          <w:rFonts w:cs="Calibri"/>
        </w:rPr>
      </w:pPr>
      <w:r w:rsidRPr="00D9348B">
        <w:rPr>
          <w:rFonts w:cs="Calibri"/>
          <w:b/>
          <w:bCs/>
        </w:rPr>
        <w:t>Note:</w:t>
      </w:r>
      <w:r w:rsidRPr="00D9348B">
        <w:rPr>
          <w:rFonts w:cs="Calibri"/>
        </w:rPr>
        <w:t xml:space="preserve"> </w:t>
      </w:r>
      <w:r w:rsidRPr="00D9348B">
        <w:rPr>
          <w:rFonts w:cs="Calibri"/>
        </w:rPr>
        <w:tab/>
        <w:t>CH</w:t>
      </w:r>
      <w:r w:rsidRPr="00D9348B">
        <w:rPr>
          <w:rFonts w:cs="Calibri"/>
          <w:vertAlign w:val="subscript"/>
        </w:rPr>
        <w:t>4</w:t>
      </w:r>
      <w:r w:rsidRPr="00D9348B">
        <w:rPr>
          <w:rFonts w:cs="Calibri"/>
        </w:rPr>
        <w:t xml:space="preserve"> = methane; DMI = dry-matter intake; GEI = gross energy intake.</w:t>
      </w:r>
    </w:p>
    <w:p w14:paraId="0D31B401" w14:textId="77777777" w:rsidR="00F849A7" w:rsidRPr="00D9348B" w:rsidRDefault="00F849A7" w:rsidP="00F849A7">
      <w:pPr>
        <w:pStyle w:val="BodyText"/>
        <w:keepNext/>
        <w:spacing w:before="240" w:after="60"/>
        <w:rPr>
          <w:rFonts w:cs="Calibri"/>
        </w:rPr>
      </w:pPr>
      <w:r w:rsidRPr="00D9348B">
        <w:rPr>
          <w:rFonts w:cs="Calibri"/>
        </w:rPr>
        <w:t>The equation for the total production of enteric CH</w:t>
      </w:r>
      <w:r w:rsidRPr="00D9348B">
        <w:rPr>
          <w:rFonts w:cs="Calibri"/>
          <w:vertAlign w:val="subscript"/>
        </w:rPr>
        <w:t>4</w:t>
      </w:r>
      <w:r w:rsidRPr="00D9348B">
        <w:rPr>
          <w:rFonts w:cs="Calibri"/>
        </w:rPr>
        <w:t xml:space="preserve"> for cattle and deer is:</w:t>
      </w:r>
    </w:p>
    <w:bookmarkStart w:id="645" w:name="_MON_1545052669"/>
    <w:bookmarkEnd w:id="645"/>
    <w:p w14:paraId="46D344F5" w14:textId="77777777" w:rsidR="00F849A7" w:rsidRPr="00D9348B" w:rsidRDefault="00F849A7" w:rsidP="00F849A7">
      <w:pPr>
        <w:pStyle w:val="BodyText"/>
        <w:spacing w:after="0"/>
        <w:jc w:val="center"/>
        <w:rPr>
          <w:rFonts w:cs="Calibri"/>
        </w:rPr>
      </w:pPr>
      <w:r w:rsidRPr="00D9348B">
        <w:rPr>
          <w:rFonts w:cs="Calibri"/>
        </w:rPr>
        <w:object w:dxaOrig="6671" w:dyaOrig="800" w14:anchorId="1D165BB1">
          <v:shape id="_x0000_i1084" type="#_x0000_t75" style="width:333.1pt;height:44.45pt" o:ole="">
            <v:imagedata r:id="rId125" o:title=""/>
          </v:shape>
          <o:OLEObject Type="Embed" ProgID="Word.Document.12" ShapeID="_x0000_i1084" DrawAspect="Content" ObjectID="_1647932321" r:id="rId126">
            <o:FieldCodes>\s</o:FieldCodes>
          </o:OLEObject>
        </w:object>
      </w:r>
    </w:p>
    <w:p w14:paraId="3209467E" w14:textId="77777777" w:rsidR="00F849A7" w:rsidRPr="00D9348B" w:rsidRDefault="00F849A7" w:rsidP="00F849A7">
      <w:pPr>
        <w:pStyle w:val="BodyText"/>
        <w:keepNext/>
        <w:spacing w:after="0"/>
        <w:ind w:left="964" w:hanging="964"/>
        <w:rPr>
          <w:rFonts w:cs="Calibri"/>
        </w:rPr>
      </w:pPr>
      <w:r w:rsidRPr="00D9348B">
        <w:rPr>
          <w:rFonts w:cs="Calibri"/>
        </w:rPr>
        <w:t xml:space="preserve">Where: </w:t>
      </w:r>
      <w:r w:rsidRPr="00D9348B">
        <w:rPr>
          <w:rFonts w:cs="Calibri"/>
        </w:rPr>
        <w:tab/>
        <w:t>CH</w:t>
      </w:r>
      <w:r w:rsidRPr="00D9348B">
        <w:rPr>
          <w:rFonts w:cs="Calibri"/>
          <w:vertAlign w:val="subscript"/>
        </w:rPr>
        <w:t>4-enteric</w:t>
      </w:r>
      <w:r w:rsidRPr="00D9348B">
        <w:rPr>
          <w:rFonts w:cs="Calibri"/>
        </w:rPr>
        <w:t xml:space="preserve"> is the methane from enteric fermentation (kg CH</w:t>
      </w:r>
      <w:r w:rsidRPr="00D9348B">
        <w:rPr>
          <w:rFonts w:cs="Calibri"/>
          <w:vertAlign w:val="subscript"/>
        </w:rPr>
        <w:t>4</w:t>
      </w:r>
      <w:r w:rsidRPr="00D9348B">
        <w:rPr>
          <w:rFonts w:cs="Calibri"/>
        </w:rPr>
        <w:t>/year)</w:t>
      </w:r>
    </w:p>
    <w:p w14:paraId="28E2214C" w14:textId="77777777" w:rsidR="00F849A7" w:rsidRPr="00D9348B" w:rsidRDefault="00F849A7" w:rsidP="00F849A7">
      <w:pPr>
        <w:pStyle w:val="BodyText"/>
        <w:keepNext/>
        <w:spacing w:before="80" w:after="0"/>
        <w:ind w:left="964" w:hanging="964"/>
        <w:rPr>
          <w:rFonts w:cs="Calibri"/>
        </w:rPr>
      </w:pPr>
      <w:r w:rsidRPr="00D9348B">
        <w:rPr>
          <w:rFonts w:cs="Calibri"/>
        </w:rPr>
        <w:tab/>
        <w:t xml:space="preserve">Livestock type is cattle or deer </w:t>
      </w:r>
    </w:p>
    <w:p w14:paraId="06242C11" w14:textId="77777777" w:rsidR="00F849A7" w:rsidRPr="00D9348B" w:rsidRDefault="00F849A7" w:rsidP="00F849A7">
      <w:pPr>
        <w:pStyle w:val="BodyText"/>
        <w:keepNext/>
        <w:spacing w:before="80" w:after="0"/>
        <w:ind w:left="964" w:hanging="964"/>
        <w:rPr>
          <w:rFonts w:cs="Calibri"/>
        </w:rPr>
      </w:pPr>
      <w:r w:rsidRPr="00D9348B">
        <w:rPr>
          <w:rFonts w:cs="Calibri"/>
        </w:rPr>
        <w:tab/>
      </w:r>
      <w:proofErr w:type="gramStart"/>
      <w:r w:rsidRPr="00D9348B">
        <w:rPr>
          <w:rFonts w:cs="Calibri"/>
        </w:rPr>
        <w:t>n</w:t>
      </w:r>
      <w:proofErr w:type="gramEnd"/>
      <w:r w:rsidRPr="00D9348B">
        <w:rPr>
          <w:rFonts w:cs="Calibri"/>
        </w:rPr>
        <w:t xml:space="preserve"> is the population of each livestock category (head)</w:t>
      </w:r>
    </w:p>
    <w:p w14:paraId="34BB3848" w14:textId="77777777" w:rsidR="00F849A7" w:rsidRPr="00D9348B" w:rsidRDefault="00F849A7" w:rsidP="00F849A7">
      <w:pPr>
        <w:pStyle w:val="BodyText"/>
        <w:keepNext/>
        <w:spacing w:before="80" w:after="0"/>
        <w:ind w:left="964" w:hanging="964"/>
        <w:rPr>
          <w:rFonts w:cs="Calibri"/>
        </w:rPr>
      </w:pPr>
      <w:r w:rsidRPr="00D9348B">
        <w:rPr>
          <w:rFonts w:cs="Calibri"/>
        </w:rPr>
        <w:tab/>
        <w:t>DMI is the dry-matter intake (kg dry matter/head/year), and</w:t>
      </w:r>
    </w:p>
    <w:p w14:paraId="0D6AED2A" w14:textId="77777777" w:rsidR="00F849A7" w:rsidRPr="00D9348B" w:rsidRDefault="00F849A7" w:rsidP="00F849A7">
      <w:pPr>
        <w:pStyle w:val="BodyText"/>
        <w:keepNext/>
        <w:spacing w:before="80"/>
        <w:ind w:left="964" w:hanging="964"/>
        <w:rPr>
          <w:rFonts w:cs="Calibri"/>
        </w:rPr>
      </w:pPr>
      <w:r w:rsidRPr="00D9348B">
        <w:rPr>
          <w:rFonts w:cs="Calibri"/>
        </w:rPr>
        <w:tab/>
        <w:t>CH</w:t>
      </w:r>
      <w:r w:rsidRPr="00D9348B">
        <w:rPr>
          <w:rFonts w:cs="Calibri"/>
          <w:vertAlign w:val="subscript"/>
        </w:rPr>
        <w:t>4</w:t>
      </w:r>
      <w:r w:rsidRPr="00D9348B">
        <w:rPr>
          <w:rFonts w:cs="Calibri"/>
        </w:rPr>
        <w:t xml:space="preserve"> conversion rate is the CH</w:t>
      </w:r>
      <w:r w:rsidRPr="00D9348B">
        <w:rPr>
          <w:rFonts w:cs="Calibri"/>
          <w:vertAlign w:val="subscript"/>
        </w:rPr>
        <w:t>4</w:t>
      </w:r>
      <w:r w:rsidRPr="00D9348B">
        <w:rPr>
          <w:rFonts w:cs="Calibri"/>
        </w:rPr>
        <w:t xml:space="preserve"> emissions per unit of feed intake (g CH</w:t>
      </w:r>
      <w:r w:rsidRPr="00D9348B">
        <w:rPr>
          <w:rFonts w:cs="Calibri"/>
          <w:vertAlign w:val="subscript"/>
        </w:rPr>
        <w:t>4</w:t>
      </w:r>
      <w:r w:rsidRPr="00D9348B">
        <w:rPr>
          <w:rFonts w:cs="Calibri"/>
        </w:rPr>
        <w:t>/kg DMI) (see table 5.2.2).</w:t>
      </w:r>
    </w:p>
    <w:p w14:paraId="5A1910EA" w14:textId="77777777" w:rsidR="00F849A7" w:rsidRPr="00D9348B" w:rsidRDefault="00F849A7" w:rsidP="00865BDB">
      <w:pPr>
        <w:pStyle w:val="Heading4"/>
      </w:pPr>
      <w:r w:rsidRPr="00D9348B">
        <w:t>Emissions from sheep</w:t>
      </w:r>
    </w:p>
    <w:p w14:paraId="0EAAC4BE" w14:textId="77777777" w:rsidR="00F849A7" w:rsidRPr="00D9348B" w:rsidRDefault="00F849A7" w:rsidP="00F849A7">
      <w:pPr>
        <w:pStyle w:val="BodyText"/>
        <w:rPr>
          <w:rFonts w:cs="Calibri"/>
        </w:rPr>
      </w:pPr>
      <w:r w:rsidRPr="00D9348B">
        <w:rPr>
          <w:rFonts w:cs="Calibri"/>
        </w:rPr>
        <w:t>Enteric CH</w:t>
      </w:r>
      <w:r w:rsidRPr="00D9348B">
        <w:rPr>
          <w:rFonts w:cs="Calibri"/>
          <w:vertAlign w:val="subscript"/>
        </w:rPr>
        <w:t>4</w:t>
      </w:r>
      <w:r w:rsidRPr="00D9348B">
        <w:rPr>
          <w:rFonts w:cs="Calibri"/>
        </w:rPr>
        <w:t xml:space="preserve"> emissions from sheep are calculated using a methodology outlined in a peer reviewed paper published by Swainson et al. (2016). This paper analysed a set of experiments where CH</w:t>
      </w:r>
      <w:r w:rsidRPr="00D9348B">
        <w:rPr>
          <w:rFonts w:cs="Calibri"/>
          <w:vertAlign w:val="subscript"/>
        </w:rPr>
        <w:t>4</w:t>
      </w:r>
      <w:r w:rsidRPr="00D9348B">
        <w:rPr>
          <w:rFonts w:cs="Calibri"/>
        </w:rPr>
        <w:t xml:space="preserve"> emissions from sheep, fed pasture of varying amounts and quality, were measured using respiration chambers, the gold standard for recording CH</w:t>
      </w:r>
      <w:r w:rsidRPr="00D9348B">
        <w:rPr>
          <w:rFonts w:cs="Calibri"/>
          <w:vertAlign w:val="subscript"/>
        </w:rPr>
        <w:t>4</w:t>
      </w:r>
      <w:r w:rsidRPr="00D9348B">
        <w:rPr>
          <w:rFonts w:cs="Calibri"/>
        </w:rPr>
        <w:t xml:space="preserve"> emissions from livestock. The study confirmed that DMI has the largest influence on CH</w:t>
      </w:r>
      <w:r w:rsidRPr="00D9348B">
        <w:rPr>
          <w:rFonts w:cs="Calibri"/>
          <w:vertAlign w:val="subscript"/>
        </w:rPr>
        <w:t>4</w:t>
      </w:r>
      <w:r w:rsidRPr="00D9348B">
        <w:rPr>
          <w:rFonts w:cs="Calibri"/>
        </w:rPr>
        <w:t xml:space="preserve"> emissions and that pasture quality (as measured by ME content) had only a small but statistically significant effect on emissions from sheep less than one year of age.</w:t>
      </w:r>
    </w:p>
    <w:p w14:paraId="484A576F" w14:textId="77777777" w:rsidR="00F849A7" w:rsidRPr="00D9348B" w:rsidRDefault="00F849A7" w:rsidP="00F849A7">
      <w:pPr>
        <w:pStyle w:val="BodyText"/>
        <w:rPr>
          <w:rFonts w:cs="Calibri"/>
        </w:rPr>
      </w:pPr>
      <w:r w:rsidRPr="00D9348B">
        <w:rPr>
          <w:rFonts w:cs="Calibri"/>
        </w:rPr>
        <w:t>The paper concluded that two log-transformed linear regressions (one for sheep less than one year of age and one for sheep greater than one year of age) provided the best fit for the data and recommended that these equations be used in the National Inventory Report.</w:t>
      </w:r>
      <w:r w:rsidRPr="00D9348B" w:rsidDel="00970856">
        <w:rPr>
          <w:rFonts w:cs="Calibri"/>
        </w:rPr>
        <w:t xml:space="preserve"> </w:t>
      </w:r>
    </w:p>
    <w:p w14:paraId="67090FD1" w14:textId="77777777" w:rsidR="00F849A7" w:rsidRPr="00D9348B" w:rsidRDefault="00F849A7" w:rsidP="00F849A7">
      <w:pPr>
        <w:pStyle w:val="BodyText"/>
        <w:spacing w:after="60"/>
        <w:rPr>
          <w:rFonts w:cs="Calibri"/>
        </w:rPr>
      </w:pPr>
      <w:r w:rsidRPr="00D9348B">
        <w:rPr>
          <w:rFonts w:cs="Calibri"/>
        </w:rPr>
        <w:lastRenderedPageBreak/>
        <w:t>The equation</w:t>
      </w:r>
      <w:r w:rsidRPr="00D9348B">
        <w:rPr>
          <w:rStyle w:val="FootnoteReference"/>
          <w:rFonts w:cs="Calibri"/>
        </w:rPr>
        <w:footnoteReference w:id="43"/>
      </w:r>
      <w:r w:rsidRPr="00D9348B">
        <w:rPr>
          <w:rFonts w:cs="Calibri"/>
        </w:rPr>
        <w:t xml:space="preserve"> for the total production of enteric CH</w:t>
      </w:r>
      <w:r w:rsidRPr="00D9348B">
        <w:rPr>
          <w:rFonts w:cs="Calibri"/>
          <w:vertAlign w:val="subscript"/>
        </w:rPr>
        <w:t>4</w:t>
      </w:r>
      <w:r w:rsidRPr="00D9348B">
        <w:rPr>
          <w:rFonts w:cs="Calibri"/>
        </w:rPr>
        <w:t xml:space="preserve"> for sheep less than one year of age is:</w:t>
      </w:r>
    </w:p>
    <w:p w14:paraId="61B0C49A" w14:textId="7B3EEE7D" w:rsidR="00F849A7" w:rsidRPr="00D9348B" w:rsidRDefault="007165CF" w:rsidP="00F849A7">
      <w:pPr>
        <w:pStyle w:val="BodyText"/>
        <w:spacing w:before="0" w:after="0"/>
        <w:jc w:val="center"/>
        <w:rPr>
          <w:rFonts w:cs="Calibri"/>
        </w:rPr>
      </w:pPr>
      <w:r>
        <w:pict w14:anchorId="52615677">
          <v:shape id="_x0000_i1085" type="#_x0000_t75" style="width:295.5pt;height:37.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activeWritingStyle w:lang=&quot;EN-NZ&quot; w:vendorID=&quot;64&quot; w:dllVersion=&quot;6&quot; w:nlCheck=&quot;on&quot; w:optionSet=&quot;1&quot;/&gt;&lt;w:stylePaneFormatFilter w:val=&quot;5804&quot;/&gt;&lt;w:revisionView w:markup=&quot;off&quot;/&gt;&lt;w:defaultTabStop w:val=&quot;397&quot;/&gt;&lt;w:evenAndOddHeaders/&gt;&lt;w:drawingGridHorizontalSpacing w:val=&quot;187&quot;/&gt;&lt;w:displayVerticalDrawingGridEvery w:val=&quot;2&quot;/&gt;&lt;w:characterSpacingControl w:val=&quot;DontCompress&quot;/&gt;&lt;w:optimizeForBrowser/&gt;&lt;w:validateAgainstSchema/&gt;&lt;w:saveInvalidXML w:val=&quot;off&quot;/&gt;&lt;w:ignoreMixedContent w:val=&quot;off&quot;/&gt;&lt;w:alwaysShowPlaceholderText w:val=&quot;off&quot;/&gt;&lt;w:compat&gt;&lt;w:suppressBottomSpacing/&gt;&lt;w:suppressTopSpacing/&gt;&lt;w:doNotUseHTMLParagraphAutoSpacing/&gt;&lt;w:breakWrappedTables/&gt;&lt;w:snapToGridInCell/&gt;&lt;w:wrapTextWithPunct/&gt;&lt;w:useAsianBreakRules/&gt;&lt;w:useWord2002TableStyleRules/&gt;&lt;/w:compat&gt;&lt;wsp:rsids&gt;&lt;wsp:rsidRoot wsp:val=&quot;007A30E8&quot;/&gt;&lt;wsp:rsid wsp:val=&quot;00001716&quot;/&gt;&lt;wsp:rsid wsp:val=&quot;00007ABB&quot;/&gt;&lt;wsp:rsid wsp:val=&quot;00021ACF&quot;/&gt;&lt;wsp:rsid wsp:val=&quot;00027E55&quot;/&gt;&lt;wsp:rsid wsp:val=&quot;00032A28&quot;/&gt;&lt;wsp:rsid wsp:val=&quot;00035185&quot;/&gt;&lt;wsp:rsid wsp:val=&quot;00050008&quot;/&gt;&lt;wsp:rsid wsp:val=&quot;000576EC&quot;/&gt;&lt;wsp:rsid wsp:val=&quot;00082902&quot;/&gt;&lt;wsp:rsid wsp:val=&quot;000959CB&quot;/&gt;&lt;wsp:rsid wsp:val=&quot;000C20A6&quot;/&gt;&lt;wsp:rsid wsp:val=&quot;000F4DEF&quot;/&gt;&lt;wsp:rsid wsp:val=&quot;00103A70&quot;/&gt;&lt;wsp:rsid wsp:val=&quot;00116E1B&quot;/&gt;&lt;wsp:rsid wsp:val=&quot;001221C3&quot;/&gt;&lt;wsp:rsid wsp:val=&quot;00153F5A&quot;/&gt;&lt;wsp:rsid wsp:val=&quot;00180C1C&quot;/&gt;&lt;wsp:rsid wsp:val=&quot;001970E1&quot;/&gt;&lt;wsp:rsid wsp:val=&quot;001A1997&quot;/&gt;&lt;wsp:rsid wsp:val=&quot;001B6FD2&quot;/&gt;&lt;wsp:rsid wsp:val=&quot;001D4675&quot;/&gt;&lt;wsp:rsid wsp:val=&quot;001E584F&quot;/&gt;&lt;wsp:rsid wsp:val=&quot;00207ABF&quot;/&gt;&lt;wsp:rsid wsp:val=&quot;002253F5&quot;/&gt;&lt;wsp:rsid wsp:val=&quot;00240B42&quot;/&gt;&lt;wsp:rsid wsp:val=&quot;00260B48&quot;/&gt;&lt;wsp:rsid wsp:val=&quot;00276A11&quot;/&gt;&lt;wsp:rsid wsp:val=&quot;0028581A&quot;/&gt;&lt;wsp:rsid wsp:val=&quot;002868D3&quot;/&gt;&lt;wsp:rsid wsp:val=&quot;00295B2A&quot;/&gt;&lt;wsp:rsid wsp:val=&quot;002A1361&quot;/&gt;&lt;wsp:rsid wsp:val=&quot;002A49D7&quot;/&gt;&lt;wsp:rsid wsp:val=&quot;002B1C5A&quot;/&gt;&lt;wsp:rsid wsp:val=&quot;002B3284&quot;/&gt;&lt;wsp:rsid wsp:val=&quot;002B3633&quot;/&gt;&lt;wsp:rsid wsp:val=&quot;002D60DB&quot;/&gt;&lt;wsp:rsid wsp:val=&quot;002D6A54&quot;/&gt;&lt;wsp:rsid wsp:val=&quot;002F134A&quot;/&gt;&lt;wsp:rsid wsp:val=&quot;00302D84&quot;/&gt;&lt;wsp:rsid wsp:val=&quot;00315760&quot;/&gt;&lt;wsp:rsid wsp:val=&quot;0032349D&quot;/&gt;&lt;wsp:rsid wsp:val=&quot;00330809&quot;/&gt;&lt;wsp:rsid wsp:val=&quot;0037590E&quot;/&gt;&lt;wsp:rsid wsp:val=&quot;00377186&quot;/&gt;&lt;wsp:rsid wsp:val=&quot;00383207&quot;/&gt;&lt;wsp:rsid wsp:val=&quot;003972EF&quot;/&gt;&lt;wsp:rsid wsp:val=&quot;00397D2B&quot;/&gt;&lt;wsp:rsid wsp:val=&quot;003A5006&quot;/&gt;&lt;wsp:rsid wsp:val=&quot;003C2615&quot;/&gt;&lt;wsp:rsid wsp:val=&quot;003D0318&quot;/&gt;&lt;wsp:rsid wsp:val=&quot;003D5417&quot;/&gt;&lt;wsp:rsid wsp:val=&quot;00400F92&quot;/&gt;&lt;wsp:rsid wsp:val=&quot;004044F1&quot;/&gt;&lt;wsp:rsid wsp:val=&quot;0042424B&quot;/&gt;&lt;wsp:rsid wsp:val=&quot;00430D5D&quot;/&gt;&lt;wsp:rsid wsp:val=&quot;00444336&quot;/&gt;&lt;wsp:rsid wsp:val=&quot;00455788&quot;/&gt;&lt;wsp:rsid wsp:val=&quot;0045652C&quot;/&gt;&lt;wsp:rsid wsp:val=&quot;00462497&quot;/&gt;&lt;wsp:rsid wsp:val=&quot;004805A3&quot;/&gt;&lt;wsp:rsid wsp:val=&quot;00490EB0&quot;/&gt;&lt;wsp:rsid wsp:val=&quot;004A39F8&quot;/&gt;&lt;wsp:rsid wsp:val=&quot;004A618E&quot;/&gt;&lt;wsp:rsid wsp:val=&quot;004E4B2C&quot;/&gt;&lt;wsp:rsid wsp:val=&quot;004F1572&quot;/&gt;&lt;wsp:rsid wsp:val=&quot;0052105D&quot;/&gt;&lt;wsp:rsid wsp:val=&quot;00526270&quot;/&gt;&lt;wsp:rsid wsp:val=&quot;00534210&quot;/&gt;&lt;wsp:rsid wsp:val=&quot;00543478&quot;/&gt;&lt;wsp:rsid wsp:val=&quot;00545600&quot;/&gt;&lt;wsp:rsid wsp:val=&quot;00546A6A&quot;/&gt;&lt;wsp:rsid wsp:val=&quot;00562240&quot;/&gt;&lt;wsp:rsid wsp:val=&quot;005630B0&quot;/&gt;&lt;wsp:rsid wsp:val=&quot;005660CD&quot;/&gt;&lt;wsp:rsid wsp:val=&quot;005720F2&quot;/&gt;&lt;wsp:rsid wsp:val=&quot;005812D6&quot;/&gt;&lt;wsp:rsid wsp:val=&quot;00596603&quot;/&gt;&lt;wsp:rsid wsp:val=&quot;005B76A4&quot;/&gt;&lt;wsp:rsid wsp:val=&quot;005C3384&quot;/&gt;&lt;wsp:rsid wsp:val=&quot;005C416E&quot;/&gt;&lt;wsp:rsid wsp:val=&quot;005D1C3A&quot;/&gt;&lt;wsp:rsid wsp:val=&quot;005E43DD&quot;/&gt;&lt;wsp:rsid wsp:val=&quot;005E77C4&quot;/&gt;&lt;wsp:rsid wsp:val=&quot;00600179&quot;/&gt;&lt;wsp:rsid wsp:val=&quot;00603FC0&quot;/&gt;&lt;wsp:rsid wsp:val=&quot;006167DD&quot;/&gt;&lt;wsp:rsid wsp:val=&quot;00636BF0&quot;/&gt;&lt;wsp:rsid wsp:val=&quot;00646B6D&quot;/&gt;&lt;wsp:rsid wsp:val=&quot;00655908&quot;/&gt;&lt;wsp:rsid wsp:val=&quot;00664971&quot;/&gt;&lt;wsp:rsid wsp:val=&quot;006654F8&quot;/&gt;&lt;wsp:rsid wsp:val=&quot;00665768&quot;/&gt;&lt;wsp:rsid wsp:val=&quot;00667291&quot;/&gt;&lt;wsp:rsid wsp:val=&quot;00686249&quot;/&gt;&lt;wsp:rsid wsp:val=&quot;00687504&quot;/&gt;&lt;wsp:rsid wsp:val=&quot;00691AFF&quot;/&gt;&lt;wsp:rsid wsp:val=&quot;006A171F&quot;/&gt;&lt;wsp:rsid wsp:val=&quot;006A4209&quot;/&gt;&lt;wsp:rsid wsp:val=&quot;006A4E5F&quot;/&gt;&lt;wsp:rsid wsp:val=&quot;006D2536&quot;/&gt;&lt;wsp:rsid wsp:val=&quot;006D3FAE&quot;/&gt;&lt;wsp:rsid wsp:val=&quot;006D4600&quot;/&gt;&lt;wsp:rsid wsp:val=&quot;006E0A2C&quot;/&gt;&lt;wsp:rsid wsp:val=&quot;006E202B&quot;/&gt;&lt;wsp:rsid wsp:val=&quot;006E57B5&quot;/&gt;&lt;wsp:rsid wsp:val=&quot;00702FA0&quot;/&gt;&lt;wsp:rsid wsp:val=&quot;00715D39&quot;/&gt;&lt;wsp:rsid wsp:val=&quot;00724218&quot;/&gt;&lt;wsp:rsid wsp:val=&quot;00737E65&quot;/&gt;&lt;wsp:rsid wsp:val=&quot;0074030A&quot;/&gt;&lt;wsp:rsid wsp:val=&quot;007409A3&quot;/&gt;&lt;wsp:rsid wsp:val=&quot;007575A8&quot;/&gt;&lt;wsp:rsid wsp:val=&quot;00762043&quot;/&gt;&lt;wsp:rsid wsp:val=&quot;007633C2&quot;/&gt;&lt;wsp:rsid wsp:val=&quot;00765A47&quot;/&gt;&lt;wsp:rsid wsp:val=&quot;00770E82&quot;/&gt;&lt;wsp:rsid wsp:val=&quot;00772E94&quot;/&gt;&lt;wsp:rsid wsp:val=&quot;007A30E8&quot;/&gt;&lt;wsp:rsid wsp:val=&quot;007A5E1C&quot;/&gt;&lt;wsp:rsid wsp:val=&quot;007B028B&quot;/&gt;&lt;wsp:rsid wsp:val=&quot;007B1D71&quot;/&gt;&lt;wsp:rsid wsp:val=&quot;007C00D0&quot;/&gt;&lt;wsp:rsid wsp:val=&quot;007C2186&quot;/&gt;&lt;wsp:rsid wsp:val=&quot;007F2233&quot;/&gt;&lt;wsp:rsid wsp:val=&quot;008053BA&quot;/&gt;&lt;wsp:rsid wsp:val=&quot;0080694B&quot;/&gt;&lt;wsp:rsid wsp:val=&quot;00810AB6&quot;/&gt;&lt;wsp:rsid wsp:val=&quot;0081779C&quot;/&gt;&lt;wsp:rsid wsp:val=&quot;00831D0D&quot;/&gt;&lt;wsp:rsid wsp:val=&quot;00832DEE&quot;/&gt;&lt;wsp:rsid wsp:val=&quot;00835B98&quot;/&gt;&lt;wsp:rsid wsp:val=&quot;00840713&quot;/&gt;&lt;wsp:rsid wsp:val=&quot;00854B9D&quot;/&gt;&lt;wsp:rsid wsp:val=&quot;00855A8A&quot;/&gt;&lt;wsp:rsid wsp:val=&quot;00872795&quot;/&gt;&lt;wsp:rsid wsp:val=&quot;008936D4&quot;/&gt;&lt;wsp:rsid wsp:val=&quot;008A2EC5&quot;/&gt;&lt;wsp:rsid wsp:val=&quot;008B77F5&quot;/&gt;&lt;wsp:rsid wsp:val=&quot;008C0279&quot;/&gt;&lt;wsp:rsid wsp:val=&quot;008C7C6D&quot;/&gt;&lt;wsp:rsid wsp:val=&quot;008C7F68&quot;/&gt;&lt;wsp:rsid wsp:val=&quot;008E380C&quot;/&gt;&lt;wsp:rsid wsp:val=&quot;008E405A&quot;/&gt;&lt;wsp:rsid wsp:val=&quot;008F25D2&quot;/&gt;&lt;wsp:rsid wsp:val=&quot;008F50EC&quot;/&gt;&lt;wsp:rsid wsp:val=&quot;008F587A&quot;/&gt;&lt;wsp:rsid wsp:val=&quot;009134CA&quot;/&gt;&lt;wsp:rsid wsp:val=&quot;00914CC6&quot;/&gt;&lt;wsp:rsid wsp:val=&quot;00925AA2&quot;/&gt;&lt;wsp:rsid wsp:val=&quot;0092751F&quot;/&gt;&lt;wsp:rsid wsp:val=&quot;00932067&quot;/&gt;&lt;wsp:rsid wsp:val=&quot;0093594A&quot;/&gt;&lt;wsp:rsid wsp:val=&quot;00955D73&quot;/&gt;&lt;wsp:rsid wsp:val=&quot;0096512C&quot;/&gt;&lt;wsp:rsid wsp:val=&quot;0096540A&quot;/&gt;&lt;wsp:rsid wsp:val=&quot;009C0F3A&quot;/&gt;&lt;wsp:rsid wsp:val=&quot;009C5D2A&quot;/&gt;&lt;wsp:rsid wsp:val=&quot;00A02252&quot;/&gt;&lt;wsp:rsid wsp:val=&quot;00A06700&quot;/&gt;&lt;wsp:rsid wsp:val=&quot;00A331E7&quot;/&gt;&lt;wsp:rsid wsp:val=&quot;00A34169&quot;/&gt;&lt;wsp:rsid wsp:val=&quot;00A41C3C&quot;/&gt;&lt;wsp:rsid wsp:val=&quot;00A76984&quot;/&gt;&lt;wsp:rsid wsp:val=&quot;00AA0A87&quot;/&gt;&lt;wsp:rsid wsp:val=&quot;00AA7B1E&quot;/&gt;&lt;wsp:rsid wsp:val=&quot;00AB2710&quot;/&gt;&lt;wsp:rsid wsp:val=&quot;00AD184B&quot;/&gt;&lt;wsp:rsid wsp:val=&quot;00B0566D&quot;/&gt;&lt;wsp:rsid wsp:val=&quot;00B35BD9&quot;/&gt;&lt;wsp:rsid wsp:val=&quot;00B37DE8&quot;/&gt;&lt;wsp:rsid wsp:val=&quot;00B44BA5&quot;/&gt;&lt;wsp:rsid wsp:val=&quot;00B84125&quot;/&gt;&lt;wsp:rsid wsp:val=&quot;00B928E7&quot;/&gt;&lt;wsp:rsid wsp:val=&quot;00BA5F7E&quot;/&gt;&lt;wsp:rsid wsp:val=&quot;00BB7F2F&quot;/&gt;&lt;wsp:rsid wsp:val=&quot;00BC7E76&quot;/&gt;&lt;wsp:rsid wsp:val=&quot;00BE472F&quot;/&gt;&lt;wsp:rsid wsp:val=&quot;00BE5513&quot;/&gt;&lt;wsp:rsid wsp:val=&quot;00BF12F6&quot;/&gt;&lt;wsp:rsid wsp:val=&quot;00C00765&quot;/&gt;&lt;wsp:rsid wsp:val=&quot;00C10464&quot;/&gt;&lt;wsp:rsid wsp:val=&quot;00C119C2&quot;/&gt;&lt;wsp:rsid wsp:val=&quot;00C21B54&quot;/&gt;&lt;wsp:rsid wsp:val=&quot;00C27E02&quot;/&gt;&lt;wsp:rsid wsp:val=&quot;00C40967&quot;/&gt;&lt;wsp:rsid wsp:val=&quot;00C42C64&quot;/&gt;&lt;wsp:rsid wsp:val=&quot;00C4400C&quot;/&gt;&lt;wsp:rsid wsp:val=&quot;00C600E2&quot;/&gt;&lt;wsp:rsid wsp:val=&quot;00C63D43&quot;/&gt;&lt;wsp:rsid wsp:val=&quot;00C74134&quot;/&gt;&lt;wsp:rsid wsp:val=&quot;00C823B1&quot;/&gt;&lt;wsp:rsid wsp:val=&quot;00C93D19&quot;/&gt;&lt;wsp:rsid wsp:val=&quot;00CA271E&quot;/&gt;&lt;wsp:rsid wsp:val=&quot;00CB1488&quot;/&gt;&lt;wsp:rsid wsp:val=&quot;00CB7414&quot;/&gt;&lt;wsp:rsid wsp:val=&quot;00CE19C1&quot;/&gt;&lt;wsp:rsid wsp:val=&quot;00D01CFE&quot;/&gt;&lt;wsp:rsid wsp:val=&quot;00D07C4B&quot;/&gt;&lt;wsp:rsid wsp:val=&quot;00D225D8&quot;/&gt;&lt;wsp:rsid wsp:val=&quot;00D30983&quot;/&gt;&lt;wsp:rsid wsp:val=&quot;00D33A2E&quot;/&gt;&lt;wsp:rsid wsp:val=&quot;00D34954&quot;/&gt;&lt;wsp:rsid wsp:val=&quot;00D511A1&quot;/&gt;&lt;wsp:rsid wsp:val=&quot;00D56CF9&quot;/&gt;&lt;wsp:rsid wsp:val=&quot;00D608D5&quot;/&gt;&lt;wsp:rsid wsp:val=&quot;00D651CA&quot;/&gt;&lt;wsp:rsid wsp:val=&quot;00D872BF&quot;/&gt;&lt;wsp:rsid wsp:val=&quot;00DA4C87&quot;/&gt;&lt;wsp:rsid wsp:val=&quot;00DB5613&quot;/&gt;&lt;wsp:rsid wsp:val=&quot;00DE01F6&quot;/&gt;&lt;wsp:rsid wsp:val=&quot;00DE1FAA&quot;/&gt;&lt;wsp:rsid wsp:val=&quot;00DE2998&quot;/&gt;&lt;wsp:rsid wsp:val=&quot;00DE4223&quot;/&gt;&lt;wsp:rsid wsp:val=&quot;00DE6B60&quot;/&gt;&lt;wsp:rsid wsp:val=&quot;00DF1B90&quot;/&gt;&lt;wsp:rsid wsp:val=&quot;00E06D10&quot;/&gt;&lt;wsp:rsid wsp:val=&quot;00E20138&quot;/&gt;&lt;wsp:rsid wsp:val=&quot;00E20458&quot;/&gt;&lt;wsp:rsid wsp:val=&quot;00E55420&quot;/&gt;&lt;wsp:rsid wsp:val=&quot;00E56487&quot;/&gt;&lt;wsp:rsid wsp:val=&quot;00E81646&quot;/&gt;&lt;wsp:rsid wsp:val=&quot;00E853F3&quot;/&gt;&lt;wsp:rsid wsp:val=&quot;00EC2491&quot;/&gt;&lt;wsp:rsid wsp:val=&quot;00ED2C42&quot;/&gt;&lt;wsp:rsid wsp:val=&quot;00EF3B2B&quot;/&gt;&lt;wsp:rsid wsp:val=&quot;00F00EE9&quot;/&gt;&lt;wsp:rsid wsp:val=&quot;00F379DD&quot;/&gt;&lt;wsp:rsid wsp:val=&quot;00F44640&quot;/&gt;&lt;wsp:rsid wsp:val=&quot;00F47244&quot;/&gt;&lt;wsp:rsid wsp:val=&quot;00F511A7&quot;/&gt;&lt;wsp:rsid wsp:val=&quot;00F660F9&quot;/&gt;&lt;wsp:rsid wsp:val=&quot;00F849A7&quot;/&gt;&lt;wsp:rsid wsp:val=&quot;00FA5F45&quot;/&gt;&lt;wsp:rsid wsp:val=&quot;00FA7522&quot;/&gt;&lt;wsp:rsid wsp:val=&quot;00FB2D36&quot;/&gt;&lt;wsp:rsid wsp:val=&quot;00FB71DC&quot;/&gt;&lt;wsp:rsid wsp:val=&quot;00FC2C59&quot;/&gt;&lt;wsp:rsid wsp:val=&quot;00FD178C&quot;/&gt;&lt;/wsp:rsids&gt;&lt;/w:docPr&gt;&lt;w:body&gt;&lt;wx:sect&gt;&lt;w:p wsp:rsidR=&quot;00000000&quot; wsp:rsidRPr=&quot;00664971&quot; wsp:rsidRDefault=&quot;00664971&quot; wsp:rsidP=&quot;00664971&quot;&gt;&lt;m:oMathPara&gt;&lt;m:oMath&gt;&lt;m:sSub&gt;&lt;m:sSubPr&gt;&lt;m:ctrlPr&gt;&lt;w:rPr&gt;&lt;w:rFonts w:ascii=&quot;Cambria Math&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CH&lt;/m:t&gt;&lt;/m:r&gt;&lt;/m:e&gt;&lt;m:sub&gt;&lt;m:r&gt;&lt;w:rPr&gt;&lt;w:rFonts w:ascii=&quot;Cambria Math&quot; w:h-ansi=&quot;Cambria Math&quot; w:cs=&quot;Calibri&quot;/&gt;&lt;wx:font wx:val=&quot;Cambria Math&quot;/&gt;&lt;w:i/&gt;&lt;/w:rPr&gt;&lt;m:t&gt;4-enteric&lt;/m:t&gt;&lt;/m:r&gt;&lt;/m:sub&gt;&lt;/m:sSub&gt;&lt;m:r&gt;&lt;w:rPr&gt;&lt;w:rFonts w:ascii=&quot;Cambria Math&quot; w:h-ansi=&quot;Cambria Math&quot; w:cs=&quot;Calibri&quot;/&gt;&lt;wx:font wx:val=&quot;Cambria Math&quot;/&gt;&lt;w:i/&gt;&lt;/w:rPr&gt;&lt;m:t&gt;= &lt;/m:t&gt;&lt;/m:r&gt;&lt;m:nary&gt;&lt;m:naryPr&gt;&lt;m:chr m:val=&quot;âˆ‘&quot;/&gt;&lt;m:limLoc m:val=&quot;undOvr&quot;/&gt;&lt;m:supHide m:val=&quot;1&quot;/&gt;&lt;m:ctrlPr&gt;&lt;w:rPr&gt;&lt;w:rFonts w:ascii=&quot;Cambria Math&quot; w:h-ansi=&quot;Cambria Math&quot; w:cs=&quot;Calibri&quot;/&gt;&lt;wx:font wx:val=&quot;Cambria Math&quot;/&gt;&lt;w:i/&gt;&lt;/w:rPr&gt;&lt;/m:ctrlPr&gt;&lt;/m:naryPr&gt;&lt;m:sub&gt;&lt;m:r&gt;&lt;w:rPr&gt;&lt;w:rFonts w:ascii=&quot;Cambria Math&quot; w:h-ansi=&quot;Cambria Math&quot; w:cs=&quot;Calibri&quot;/&gt;&lt;wx:font wx:val=&quot;Cambria Math&quot;/&gt;&lt;w:i/&gt;&lt;/w:rPr&gt;&lt;m:t&gt;class &lt;/m:t&gt;&lt;/m:r&gt;&lt;/m:sub&gt;&lt;m:sup/&gt;&lt;m:e&gt;&lt;m:nary&gt;&lt;m:naryPr&gt;&lt;m:chr m:val=&quot;âˆ‘&quot;/&gt;&lt;m:limLoc m:val=&quot;undOvr&quot;/&gt;&lt;m:supHide m:val=&quot;1&quot;/&gt;&lt;m:ctrlPr&gt;&lt;w:rPr&gt;&lt;w:rFonts w:ascii=&quot;Cambria Math&quot; w:h-ansi=&quot;Cambria Math&quot; w:cs=&quot;Calibri&quot;/&gt;&lt;wx:font wx:val=&quot;Cambria Math&quot;/&gt;&lt;w:i/&gt;&lt;/w:rPr&gt;&lt;/m:ctrlPr&gt;&lt;/m:naryPr&gt;&lt;m:sub&gt;&lt;m:r&gt;&lt;w:rPr&gt;&lt;w:rFonts w:ascii=&quot;Cambria Math&quot; w:h-ansi=&quot;Cambria Math&quot; w:cs=&quot;Calibri&quot;/&gt;&lt;wx:font wx:val=&quot;Cambria Math&quot;/&gt;&lt;w:i/&gt;&lt;/w:rPr&gt;&lt;m:t&gt;month&lt;/m:t&gt;&lt;/m:r&gt;&lt;/m:sub&gt;&lt;m:sup/&gt;&lt;m:e&gt;&lt;m:sSub&gt;&lt;m:sSubPr&gt;&lt;m:ctrlPr&gt;&lt;w:rPr&gt;&lt;w:rFonts w:ascii=&quot;Cambria Math&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d&lt;/m:t&gt;&lt;/m:r&gt;&lt;/m:e&gt;&lt;m:sub&gt;&lt;m:r&gt;&lt;w:rPr&gt;&lt;w:rFonts w:ascii=&quot;Cambria Math&quot; w:h-ansi=&quot;Cambria Math&quot; w:cs=&quot;Calibri&quot;/&gt;&lt;wx:font wx:val=&quot;Cambria Math&quot;/&gt;&lt;w:i/&gt;&lt;/w:rPr&gt;&lt;m:t&gt;m&lt;/m:t&gt;&lt;/m:r&gt;&lt;/m:sub&gt;&lt;/m:sSub&gt;&lt;/m:e&gt;&lt;/m:nary&gt;&lt;m:sSub&gt;&lt;m:sSubPr&gt;&lt;m:ctrlPr&gt;&lt;w:rPr&gt;&lt;w:rFonts w:ascii=&quot;Cambria Math&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Lamb&lt;/m:t&gt;&lt;/m:r&gt;&lt;/m:e&gt;&lt;m:sub&gt;&lt;m:r&gt;&lt;w:rPr&gt;&lt;w:rFonts w:ascii=&quot;Cambria Math&quot; w:h-ansi=&quot;Cambria Math&quot; w:cs=&quot;Calibri&quot;/&gt;&lt;wx:font wx:val=&quot;Cambria Math&quot;/&gt;&lt;w:i/&gt;&lt;/w:rPr&gt;&lt;m:t&gt;cm&lt;/m:t&gt;&lt;/m:r&gt;&lt;/m:sub&gt;&lt;/m:sSub&gt;&lt;m:f&gt;&lt;m:fPr&gt;&lt;m:ctrlPr&gt;&lt;w:rPr&gt;&lt;w:rFonts w:ascii=&quot;Cambria Math&quot; w:h-ansi=&quot;Cambria Math&quot; w:cs=&quot;Calibri&quot;/&gt;&lt;wx:font wx:val=&quot;Cambria Math&quot;/&gt;&lt;w:i/&gt;&lt;/w:rPr&gt;&lt;/m:ctrlPr&gt;&lt;/m:fPr&gt;&lt;m:num&gt;&lt;m:r&gt;&lt;w:rPr&gt;&lt;w:rFonts w:ascii=&quot;Cambria Math&quot; w:h-ansi=&quot;Cambria Math&quot; w:cs=&quot;Calibri&quot;/&gt;&lt;wx:font wx:val=&quot;Cambria Math&quot;/&gt;&lt;w:i/&gt;&lt;/w:rPr&gt;&lt;m:t&gt;11.705&lt;/m:t&gt;&lt;/m:r&gt;&lt;/m:num&gt;&lt;m:den&gt;&lt;m:r&gt;&lt;w:rPr&gt;&lt;w:rFonts w:ascii=&quot;Cambria Math&quot; w:h-ansi=&quot;Cambria Math&quot; w:cs=&quot;Calibri&quot;/&gt;&lt;wx:font wx:val=&quot;Cambria Math&quot;/&gt;&lt;w:i/&gt;&lt;/w:rPr&gt;&lt;m:t&gt;1000&lt;/m:t&gt;&lt;/m:r&gt;&lt;/m:den&gt;&lt;/m:f&gt;&lt;/m:e&gt;&lt;/m:nary&gt;&lt;m:sSup&gt;&lt;m:sSupPr&gt;&lt;m:ctrlPr&gt;&lt;w:rPr&gt;&lt;w:rFonts w:ascii=&quot;Cambria Math&quot; w:h-ansi=&quot;Cambria Math&quot; w:cs=&quot;Calibri&quot;/&gt;&lt;wx:font wx:val=&quot;Cambria Math&quot;/&gt;&lt;w:i/&gt;&lt;/w:rPr&gt;&lt;/m:ctrlPr&gt;&lt;/m:sSupPr&gt;&lt;m:e&gt;&lt;m:sSup&gt;&lt;m:sSupPr&gt;&lt;m:ctrlPr&gt;&lt;w:rPr&gt;&lt;w:rFonts w:ascii=&quot;Cambria Math&quot; w:h-ansi=&quot;Cambria Math&quot; w:cs=&quot;Calibri&quot;/&gt;&lt;wx:font wx:val=&quot;Cambria Math&quot;/&gt;&lt;w:i/&gt;&lt;/w:rPr&gt;&lt;/m:ctrlPr&gt;&lt;/m:sSupPr&gt;&lt;m:e&gt;&lt;m:r&gt;&lt;w:rPr&gt;&lt;w:rFonts w:ascii=&quot;Cambria Math&quot; w:h-ansi=&quot;Cambria Math&quot; w:cs=&quot;Calibri&quot;/&gt;&lt;wx:font wx:val=&quot;Cambria Math&quot;/&gt;&lt;w:i/&gt;&lt;/w:rPr&gt;&lt;m:t&gt;e&lt;/m:t&gt;&lt;/m:r&gt;&lt;/m:e&gt;&lt;m:sup&gt;&lt;m:r&gt;&lt;w:rPr&gt;&lt;w:rFonts w:ascii=&quot;Cambria Math&quot; w:h-ansi=&quot;Cambria Math&quot; w:cs=&quot;Calibri&quot;/&gt;&lt;wx:font wx:val=&quot;Cambria Math&quot;/&gt;&lt;w:i/&gt;&lt;/w:rPr&gt;&lt;m:t&gt;0.05Ã—ME&lt;/m:t&gt;&lt;/m:r&gt;&lt;/m:sup&gt;&lt;/m:sSup&gt;&lt;m:r&gt;&lt;w:rPr&gt;&lt;w:rFonts w:ascii=&quot;Cambria Math&quot; w:h-ansi=&quot;Cambria Math&quot; w:cs=&quot;Calibri&quot;/&gt;&lt;wx:font wx:val=&quot;Cambria Math&quot;/&gt;&lt;w:i/&gt;&lt;/w:rPr&gt;&lt;m:t&gt;DMI&lt;/m:t&gt;&lt;/m:r&gt;&lt;/m:e&gt;&lt;m:sup&gt;&lt;m:r&gt;&lt;w:rPr&gt;&lt;w:rFonts w:ascii=&quot;Cambria Math&quot; w:h-ansi=&quot;Cambria Math&quot; w:cs=&quot;Calibri&quot;/&gt;&lt;wx:font wx:val=&quot;Cambria Math&quot;/&gt;&lt;w:i/&gt;&lt;/w:rPr&gt;&lt;m:t&gt;0.734&lt;/m:t&gt;&lt;/m:r&gt;&lt;/m:sup&gt;&lt;/m:sSup&gt;&lt;/m:oMath&gt;&lt;/m:oMathPara&gt;&lt;/w:p&gt;&lt;w:sectPr wsp:rsidR=&quot;00000000&quot; wsp:rsidRPr=&quot;00664971&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7" o:title="" chromakey="white"/>
          </v:shape>
        </w:pict>
      </w:r>
    </w:p>
    <w:p w14:paraId="55733590" w14:textId="77777777" w:rsidR="00F849A7" w:rsidRPr="00D9348B" w:rsidRDefault="00F849A7" w:rsidP="00F849A7">
      <w:pPr>
        <w:pStyle w:val="BodyText"/>
        <w:spacing w:before="240" w:after="60"/>
        <w:rPr>
          <w:rFonts w:cs="Calibri"/>
        </w:rPr>
      </w:pPr>
      <w:r w:rsidRPr="00D9348B">
        <w:rPr>
          <w:rFonts w:cs="Calibri"/>
        </w:rPr>
        <w:t>The equation</w:t>
      </w:r>
      <w:r w:rsidRPr="00D9348B">
        <w:rPr>
          <w:rStyle w:val="FootnoteReference"/>
          <w:rFonts w:cs="Calibri"/>
        </w:rPr>
        <w:footnoteReference w:id="44"/>
      </w:r>
      <w:r w:rsidRPr="00D9348B">
        <w:rPr>
          <w:rFonts w:cs="Calibri"/>
        </w:rPr>
        <w:t xml:space="preserve"> for the total production of enteric CH</w:t>
      </w:r>
      <w:r w:rsidRPr="00D9348B">
        <w:rPr>
          <w:rFonts w:cs="Calibri"/>
          <w:vertAlign w:val="subscript"/>
        </w:rPr>
        <w:t>4</w:t>
      </w:r>
      <w:r w:rsidRPr="00D9348B">
        <w:rPr>
          <w:rFonts w:cs="Calibri"/>
        </w:rPr>
        <w:t xml:space="preserve"> for sheep greater than one year of age is:</w:t>
      </w:r>
    </w:p>
    <w:p w14:paraId="3FDACB8D" w14:textId="5473161C" w:rsidR="00F849A7" w:rsidRPr="00D9348B" w:rsidRDefault="007165CF" w:rsidP="00F849A7">
      <w:pPr>
        <w:pStyle w:val="BodyText"/>
        <w:spacing w:before="0"/>
        <w:jc w:val="center"/>
        <w:rPr>
          <w:rFonts w:cs="Calibri"/>
        </w:rPr>
      </w:pPr>
      <w:r>
        <w:pict w14:anchorId="4EA96ACD">
          <v:shape id="_x0000_i1086" type="#_x0000_t75" style="width:257.3pt;height:37.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activeWritingStyle w:lang=&quot;EN-NZ&quot; w:vendorID=&quot;64&quot; w:dllVersion=&quot;6&quot; w:nlCheck=&quot;on&quot; w:optionSet=&quot;1&quot;/&gt;&lt;w:stylePaneFormatFilter w:val=&quot;5804&quot;/&gt;&lt;w:revisionView w:markup=&quot;off&quot;/&gt;&lt;w:defaultTabStop w:val=&quot;397&quot;/&gt;&lt;w:evenAndOddHeaders/&gt;&lt;w:drawingGridHorizontalSpacing w:val=&quot;187&quot;/&gt;&lt;w:displayVerticalDrawingGridEvery w:val=&quot;2&quot;/&gt;&lt;w:characterSpacingControl w:val=&quot;DontCompress&quot;/&gt;&lt;w:optimizeForBrowser/&gt;&lt;w:validateAgainstSchema/&gt;&lt;w:saveInvalidXML w:val=&quot;off&quot;/&gt;&lt;w:ignoreMixedContent w:val=&quot;off&quot;/&gt;&lt;w:alwaysShowPlaceholderText w:val=&quot;off&quot;/&gt;&lt;w:compat&gt;&lt;w:suppressBottomSpacing/&gt;&lt;w:suppressTopSpacing/&gt;&lt;w:doNotUseHTMLParagraphAutoSpacing/&gt;&lt;w:breakWrappedTables/&gt;&lt;w:snapToGridInCell/&gt;&lt;w:wrapTextWithPunct/&gt;&lt;w:useAsianBreakRules/&gt;&lt;w:useWord2002TableStyleRules/&gt;&lt;/w:compat&gt;&lt;wsp:rsids&gt;&lt;wsp:rsidRoot wsp:val=&quot;007A30E8&quot;/&gt;&lt;wsp:rsid wsp:val=&quot;00001716&quot;/&gt;&lt;wsp:rsid wsp:val=&quot;00007ABB&quot;/&gt;&lt;wsp:rsid wsp:val=&quot;00021ACF&quot;/&gt;&lt;wsp:rsid wsp:val=&quot;00027E55&quot;/&gt;&lt;wsp:rsid wsp:val=&quot;00032A28&quot;/&gt;&lt;wsp:rsid wsp:val=&quot;00035185&quot;/&gt;&lt;wsp:rsid wsp:val=&quot;00050008&quot;/&gt;&lt;wsp:rsid wsp:val=&quot;000576EC&quot;/&gt;&lt;wsp:rsid wsp:val=&quot;00082902&quot;/&gt;&lt;wsp:rsid wsp:val=&quot;000959CB&quot;/&gt;&lt;wsp:rsid wsp:val=&quot;000C20A6&quot;/&gt;&lt;wsp:rsid wsp:val=&quot;000F4DEF&quot;/&gt;&lt;wsp:rsid wsp:val=&quot;00103A70&quot;/&gt;&lt;wsp:rsid wsp:val=&quot;00116E1B&quot;/&gt;&lt;wsp:rsid wsp:val=&quot;001221C3&quot;/&gt;&lt;wsp:rsid wsp:val=&quot;00153F5A&quot;/&gt;&lt;wsp:rsid wsp:val=&quot;00180C1C&quot;/&gt;&lt;wsp:rsid wsp:val=&quot;001970E1&quot;/&gt;&lt;wsp:rsid wsp:val=&quot;001A1997&quot;/&gt;&lt;wsp:rsid wsp:val=&quot;001B6FD2&quot;/&gt;&lt;wsp:rsid wsp:val=&quot;001D4675&quot;/&gt;&lt;wsp:rsid wsp:val=&quot;001E584F&quot;/&gt;&lt;wsp:rsid wsp:val=&quot;00207ABF&quot;/&gt;&lt;wsp:rsid wsp:val=&quot;002253F5&quot;/&gt;&lt;wsp:rsid wsp:val=&quot;00240B42&quot;/&gt;&lt;wsp:rsid wsp:val=&quot;00242495&quot;/&gt;&lt;wsp:rsid wsp:val=&quot;00260B48&quot;/&gt;&lt;wsp:rsid wsp:val=&quot;00276A11&quot;/&gt;&lt;wsp:rsid wsp:val=&quot;0028581A&quot;/&gt;&lt;wsp:rsid wsp:val=&quot;002868D3&quot;/&gt;&lt;wsp:rsid wsp:val=&quot;00295B2A&quot;/&gt;&lt;wsp:rsid wsp:val=&quot;002A1361&quot;/&gt;&lt;wsp:rsid wsp:val=&quot;002A49D7&quot;/&gt;&lt;wsp:rsid wsp:val=&quot;002B1C5A&quot;/&gt;&lt;wsp:rsid wsp:val=&quot;002B3284&quot;/&gt;&lt;wsp:rsid wsp:val=&quot;002B3633&quot;/&gt;&lt;wsp:rsid wsp:val=&quot;002D60DB&quot;/&gt;&lt;wsp:rsid wsp:val=&quot;002D6A54&quot;/&gt;&lt;wsp:rsid wsp:val=&quot;002F134A&quot;/&gt;&lt;wsp:rsid wsp:val=&quot;00302D84&quot;/&gt;&lt;wsp:rsid wsp:val=&quot;00315760&quot;/&gt;&lt;wsp:rsid wsp:val=&quot;0032349D&quot;/&gt;&lt;wsp:rsid wsp:val=&quot;00330809&quot;/&gt;&lt;wsp:rsid wsp:val=&quot;0037590E&quot;/&gt;&lt;wsp:rsid wsp:val=&quot;00377186&quot;/&gt;&lt;wsp:rsid wsp:val=&quot;00383207&quot;/&gt;&lt;wsp:rsid wsp:val=&quot;003972EF&quot;/&gt;&lt;wsp:rsid wsp:val=&quot;00397D2B&quot;/&gt;&lt;wsp:rsid wsp:val=&quot;003A5006&quot;/&gt;&lt;wsp:rsid wsp:val=&quot;003C2615&quot;/&gt;&lt;wsp:rsid wsp:val=&quot;003D0318&quot;/&gt;&lt;wsp:rsid wsp:val=&quot;003D5417&quot;/&gt;&lt;wsp:rsid wsp:val=&quot;00400F92&quot;/&gt;&lt;wsp:rsid wsp:val=&quot;004044F1&quot;/&gt;&lt;wsp:rsid wsp:val=&quot;0042424B&quot;/&gt;&lt;wsp:rsid wsp:val=&quot;00430D5D&quot;/&gt;&lt;wsp:rsid wsp:val=&quot;00444336&quot;/&gt;&lt;wsp:rsid wsp:val=&quot;00455788&quot;/&gt;&lt;wsp:rsid wsp:val=&quot;0045652C&quot;/&gt;&lt;wsp:rsid wsp:val=&quot;00462497&quot;/&gt;&lt;wsp:rsid wsp:val=&quot;004805A3&quot;/&gt;&lt;wsp:rsid wsp:val=&quot;00490EB0&quot;/&gt;&lt;wsp:rsid wsp:val=&quot;004A39F8&quot;/&gt;&lt;wsp:rsid wsp:val=&quot;004A618E&quot;/&gt;&lt;wsp:rsid wsp:val=&quot;004E4B2C&quot;/&gt;&lt;wsp:rsid wsp:val=&quot;004F1572&quot;/&gt;&lt;wsp:rsid wsp:val=&quot;0052105D&quot;/&gt;&lt;wsp:rsid wsp:val=&quot;00526270&quot;/&gt;&lt;wsp:rsid wsp:val=&quot;00534210&quot;/&gt;&lt;wsp:rsid wsp:val=&quot;00543478&quot;/&gt;&lt;wsp:rsid wsp:val=&quot;00545600&quot;/&gt;&lt;wsp:rsid wsp:val=&quot;00546A6A&quot;/&gt;&lt;wsp:rsid wsp:val=&quot;00562240&quot;/&gt;&lt;wsp:rsid wsp:val=&quot;005630B0&quot;/&gt;&lt;wsp:rsid wsp:val=&quot;005660CD&quot;/&gt;&lt;wsp:rsid wsp:val=&quot;005720F2&quot;/&gt;&lt;wsp:rsid wsp:val=&quot;005812D6&quot;/&gt;&lt;wsp:rsid wsp:val=&quot;00596603&quot;/&gt;&lt;wsp:rsid wsp:val=&quot;005B76A4&quot;/&gt;&lt;wsp:rsid wsp:val=&quot;005C3384&quot;/&gt;&lt;wsp:rsid wsp:val=&quot;005C416E&quot;/&gt;&lt;wsp:rsid wsp:val=&quot;005D1C3A&quot;/&gt;&lt;wsp:rsid wsp:val=&quot;005E43DD&quot;/&gt;&lt;wsp:rsid wsp:val=&quot;005E77C4&quot;/&gt;&lt;wsp:rsid wsp:val=&quot;00600179&quot;/&gt;&lt;wsp:rsid wsp:val=&quot;00603FC0&quot;/&gt;&lt;wsp:rsid wsp:val=&quot;006167DD&quot;/&gt;&lt;wsp:rsid wsp:val=&quot;00636BF0&quot;/&gt;&lt;wsp:rsid wsp:val=&quot;00646B6D&quot;/&gt;&lt;wsp:rsid wsp:val=&quot;00655908&quot;/&gt;&lt;wsp:rsid wsp:val=&quot;006654F8&quot;/&gt;&lt;wsp:rsid wsp:val=&quot;00665768&quot;/&gt;&lt;wsp:rsid wsp:val=&quot;00667291&quot;/&gt;&lt;wsp:rsid wsp:val=&quot;00686249&quot;/&gt;&lt;wsp:rsid wsp:val=&quot;00687504&quot;/&gt;&lt;wsp:rsid wsp:val=&quot;00691AFF&quot;/&gt;&lt;wsp:rsid wsp:val=&quot;006A171F&quot;/&gt;&lt;wsp:rsid wsp:val=&quot;006A4209&quot;/&gt;&lt;wsp:rsid wsp:val=&quot;006A4E5F&quot;/&gt;&lt;wsp:rsid wsp:val=&quot;006D2536&quot;/&gt;&lt;wsp:rsid wsp:val=&quot;006D3FAE&quot;/&gt;&lt;wsp:rsid wsp:val=&quot;006D4600&quot;/&gt;&lt;wsp:rsid wsp:val=&quot;006E0A2C&quot;/&gt;&lt;wsp:rsid wsp:val=&quot;006E202B&quot;/&gt;&lt;wsp:rsid wsp:val=&quot;006E57B5&quot;/&gt;&lt;wsp:rsid wsp:val=&quot;00702FA0&quot;/&gt;&lt;wsp:rsid wsp:val=&quot;00715D39&quot;/&gt;&lt;wsp:rsid wsp:val=&quot;00724218&quot;/&gt;&lt;wsp:rsid wsp:val=&quot;00737E65&quot;/&gt;&lt;wsp:rsid wsp:val=&quot;0074030A&quot;/&gt;&lt;wsp:rsid wsp:val=&quot;007409A3&quot;/&gt;&lt;wsp:rsid wsp:val=&quot;007575A8&quot;/&gt;&lt;wsp:rsid wsp:val=&quot;00762043&quot;/&gt;&lt;wsp:rsid wsp:val=&quot;007633C2&quot;/&gt;&lt;wsp:rsid wsp:val=&quot;00765A47&quot;/&gt;&lt;wsp:rsid wsp:val=&quot;00770E82&quot;/&gt;&lt;wsp:rsid wsp:val=&quot;00772E94&quot;/&gt;&lt;wsp:rsid wsp:val=&quot;007A30E8&quot;/&gt;&lt;wsp:rsid wsp:val=&quot;007A5E1C&quot;/&gt;&lt;wsp:rsid wsp:val=&quot;007B028B&quot;/&gt;&lt;wsp:rsid wsp:val=&quot;007B1D71&quot;/&gt;&lt;wsp:rsid wsp:val=&quot;007C00D0&quot;/&gt;&lt;wsp:rsid wsp:val=&quot;007C2186&quot;/&gt;&lt;wsp:rsid wsp:val=&quot;007F2233&quot;/&gt;&lt;wsp:rsid wsp:val=&quot;008053BA&quot;/&gt;&lt;wsp:rsid wsp:val=&quot;0080694B&quot;/&gt;&lt;wsp:rsid wsp:val=&quot;00810AB6&quot;/&gt;&lt;wsp:rsid wsp:val=&quot;0081779C&quot;/&gt;&lt;wsp:rsid wsp:val=&quot;00831D0D&quot;/&gt;&lt;wsp:rsid wsp:val=&quot;00832DEE&quot;/&gt;&lt;wsp:rsid wsp:val=&quot;00835B98&quot;/&gt;&lt;wsp:rsid wsp:val=&quot;00840713&quot;/&gt;&lt;wsp:rsid wsp:val=&quot;00854B9D&quot;/&gt;&lt;wsp:rsid wsp:val=&quot;00855A8A&quot;/&gt;&lt;wsp:rsid wsp:val=&quot;00872795&quot;/&gt;&lt;wsp:rsid wsp:val=&quot;008936D4&quot;/&gt;&lt;wsp:rsid wsp:val=&quot;008A2EC5&quot;/&gt;&lt;wsp:rsid wsp:val=&quot;008B77F5&quot;/&gt;&lt;wsp:rsid wsp:val=&quot;008C0279&quot;/&gt;&lt;wsp:rsid wsp:val=&quot;008C7C6D&quot;/&gt;&lt;wsp:rsid wsp:val=&quot;008C7F68&quot;/&gt;&lt;wsp:rsid wsp:val=&quot;008E380C&quot;/&gt;&lt;wsp:rsid wsp:val=&quot;008E405A&quot;/&gt;&lt;wsp:rsid wsp:val=&quot;008F25D2&quot;/&gt;&lt;wsp:rsid wsp:val=&quot;008F50EC&quot;/&gt;&lt;wsp:rsid wsp:val=&quot;008F587A&quot;/&gt;&lt;wsp:rsid wsp:val=&quot;009134CA&quot;/&gt;&lt;wsp:rsid wsp:val=&quot;00914CC6&quot;/&gt;&lt;wsp:rsid wsp:val=&quot;00925AA2&quot;/&gt;&lt;wsp:rsid wsp:val=&quot;0092751F&quot;/&gt;&lt;wsp:rsid wsp:val=&quot;00932067&quot;/&gt;&lt;wsp:rsid wsp:val=&quot;0093594A&quot;/&gt;&lt;wsp:rsid wsp:val=&quot;00955D73&quot;/&gt;&lt;wsp:rsid wsp:val=&quot;0096512C&quot;/&gt;&lt;wsp:rsid wsp:val=&quot;0096540A&quot;/&gt;&lt;wsp:rsid wsp:val=&quot;009C0F3A&quot;/&gt;&lt;wsp:rsid wsp:val=&quot;009C5D2A&quot;/&gt;&lt;wsp:rsid wsp:val=&quot;00A02252&quot;/&gt;&lt;wsp:rsid wsp:val=&quot;00A06700&quot;/&gt;&lt;wsp:rsid wsp:val=&quot;00A331E7&quot;/&gt;&lt;wsp:rsid wsp:val=&quot;00A34169&quot;/&gt;&lt;wsp:rsid wsp:val=&quot;00A41C3C&quot;/&gt;&lt;wsp:rsid wsp:val=&quot;00A76984&quot;/&gt;&lt;wsp:rsid wsp:val=&quot;00AA0A87&quot;/&gt;&lt;wsp:rsid wsp:val=&quot;00AA7B1E&quot;/&gt;&lt;wsp:rsid wsp:val=&quot;00AB2710&quot;/&gt;&lt;wsp:rsid wsp:val=&quot;00AD184B&quot;/&gt;&lt;wsp:rsid wsp:val=&quot;00B0566D&quot;/&gt;&lt;wsp:rsid wsp:val=&quot;00B35BD9&quot;/&gt;&lt;wsp:rsid wsp:val=&quot;00B37DE8&quot;/&gt;&lt;wsp:rsid wsp:val=&quot;00B44BA5&quot;/&gt;&lt;wsp:rsid wsp:val=&quot;00B84125&quot;/&gt;&lt;wsp:rsid wsp:val=&quot;00B928E7&quot;/&gt;&lt;wsp:rsid wsp:val=&quot;00BA5F7E&quot;/&gt;&lt;wsp:rsid wsp:val=&quot;00BB7F2F&quot;/&gt;&lt;wsp:rsid wsp:val=&quot;00BC7E76&quot;/&gt;&lt;wsp:rsid wsp:val=&quot;00BE472F&quot;/&gt;&lt;wsp:rsid wsp:val=&quot;00BE5513&quot;/&gt;&lt;wsp:rsid wsp:val=&quot;00BF12F6&quot;/&gt;&lt;wsp:rsid wsp:val=&quot;00C00765&quot;/&gt;&lt;wsp:rsid wsp:val=&quot;00C10464&quot;/&gt;&lt;wsp:rsid wsp:val=&quot;00C119C2&quot;/&gt;&lt;wsp:rsid wsp:val=&quot;00C21B54&quot;/&gt;&lt;wsp:rsid wsp:val=&quot;00C27E02&quot;/&gt;&lt;wsp:rsid wsp:val=&quot;00C40967&quot;/&gt;&lt;wsp:rsid wsp:val=&quot;00C42C64&quot;/&gt;&lt;wsp:rsid wsp:val=&quot;00C4400C&quot;/&gt;&lt;wsp:rsid wsp:val=&quot;00C600E2&quot;/&gt;&lt;wsp:rsid wsp:val=&quot;00C63D43&quot;/&gt;&lt;wsp:rsid wsp:val=&quot;00C74134&quot;/&gt;&lt;wsp:rsid wsp:val=&quot;00C823B1&quot;/&gt;&lt;wsp:rsid wsp:val=&quot;00C93D19&quot;/&gt;&lt;wsp:rsid wsp:val=&quot;00CA271E&quot;/&gt;&lt;wsp:rsid wsp:val=&quot;00CB1488&quot;/&gt;&lt;wsp:rsid wsp:val=&quot;00CB7414&quot;/&gt;&lt;wsp:rsid wsp:val=&quot;00CE19C1&quot;/&gt;&lt;wsp:rsid wsp:val=&quot;00D01CFE&quot;/&gt;&lt;wsp:rsid wsp:val=&quot;00D07C4B&quot;/&gt;&lt;wsp:rsid wsp:val=&quot;00D225D8&quot;/&gt;&lt;wsp:rsid wsp:val=&quot;00D30983&quot;/&gt;&lt;wsp:rsid wsp:val=&quot;00D33A2E&quot;/&gt;&lt;wsp:rsid wsp:val=&quot;00D34954&quot;/&gt;&lt;wsp:rsid wsp:val=&quot;00D511A1&quot;/&gt;&lt;wsp:rsid wsp:val=&quot;00D56CF9&quot;/&gt;&lt;wsp:rsid wsp:val=&quot;00D608D5&quot;/&gt;&lt;wsp:rsid wsp:val=&quot;00D651CA&quot;/&gt;&lt;wsp:rsid wsp:val=&quot;00D872BF&quot;/&gt;&lt;wsp:rsid wsp:val=&quot;00DA4C87&quot;/&gt;&lt;wsp:rsid wsp:val=&quot;00DB5613&quot;/&gt;&lt;wsp:rsid wsp:val=&quot;00DE01F6&quot;/&gt;&lt;wsp:rsid wsp:val=&quot;00DE1FAA&quot;/&gt;&lt;wsp:rsid wsp:val=&quot;00DE2998&quot;/&gt;&lt;wsp:rsid wsp:val=&quot;00DE4223&quot;/&gt;&lt;wsp:rsid wsp:val=&quot;00DE6B60&quot;/&gt;&lt;wsp:rsid wsp:val=&quot;00DF1B90&quot;/&gt;&lt;wsp:rsid wsp:val=&quot;00E06D10&quot;/&gt;&lt;wsp:rsid wsp:val=&quot;00E20138&quot;/&gt;&lt;wsp:rsid wsp:val=&quot;00E20458&quot;/&gt;&lt;wsp:rsid wsp:val=&quot;00E55420&quot;/&gt;&lt;wsp:rsid wsp:val=&quot;00E56487&quot;/&gt;&lt;wsp:rsid wsp:val=&quot;00E81646&quot;/&gt;&lt;wsp:rsid wsp:val=&quot;00E853F3&quot;/&gt;&lt;wsp:rsid wsp:val=&quot;00EC2491&quot;/&gt;&lt;wsp:rsid wsp:val=&quot;00ED2C42&quot;/&gt;&lt;wsp:rsid wsp:val=&quot;00EF3B2B&quot;/&gt;&lt;wsp:rsid wsp:val=&quot;00F00EE9&quot;/&gt;&lt;wsp:rsid wsp:val=&quot;00F379DD&quot;/&gt;&lt;wsp:rsid wsp:val=&quot;00F44640&quot;/&gt;&lt;wsp:rsid wsp:val=&quot;00F47244&quot;/&gt;&lt;wsp:rsid wsp:val=&quot;00F511A7&quot;/&gt;&lt;wsp:rsid wsp:val=&quot;00F660F9&quot;/&gt;&lt;wsp:rsid wsp:val=&quot;00F849A7&quot;/&gt;&lt;wsp:rsid wsp:val=&quot;00FA5F45&quot;/&gt;&lt;wsp:rsid wsp:val=&quot;00FA7522&quot;/&gt;&lt;wsp:rsid wsp:val=&quot;00FB2D36&quot;/&gt;&lt;wsp:rsid wsp:val=&quot;00FB71DC&quot;/&gt;&lt;wsp:rsid wsp:val=&quot;00FC2C59&quot;/&gt;&lt;wsp:rsid wsp:val=&quot;00FD178C&quot;/&gt;&lt;/wsp:rsids&gt;&lt;/w:docPr&gt;&lt;w:body&gt;&lt;wx:sect&gt;&lt;w:p wsp:rsidR=&quot;00000000&quot; wsp:rsidRPr=&quot;00242495&quot; wsp:rsidRDefault=&quot;00242495&quot; wsp:rsidP=&quot;00242495&quot;&gt;&lt;m:oMathPara&gt;&lt;m:oMath&gt;&lt;m:sSub&gt;&lt;m:sSubPr&gt;&lt;m:ctrlPr&gt;&lt;w:rPr&gt;&lt;w:rFonts w:ascii=&quot;Cambria Math&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CH&lt;/m:t&gt;&lt;/m:r&gt;&lt;/m:e&gt;&lt;m:sub&gt;&lt;m:r&gt;&lt;w:rPr&gt;&lt;w:rFonts w:ascii=&quot;Cambria Math&quot; w:h-ansi=&quot;Cambria Math&quot; w:cs=&quot;Calibri&quot;/&gt;&lt;wx:font wx:val=&quot;Cambria Math&quot;/&gt;&lt;w:i/&gt;&lt;/w:rPr&gt;&lt;m:t&gt;4-enteric&lt;/m:t&gt;&lt;/m:r&gt;&lt;/m:sub&gt;&lt;/m:sSub&gt;&lt;m:r&gt;&lt;w:rPr&gt;&lt;w:rFonts w:ascii=&quot;Cambria Math&quot; w:h-ansi=&quot;Cambria Math&quot; w:cs=&quot;Calibri&quot;/&gt;&lt;wx:font wx:val=&quot;Cambria Math&quot;/&gt;&lt;w:i/&gt;&lt;/w:rPr&gt;&lt;m:t&gt;= &lt;/m:t&gt;&lt;/m:r&gt;&lt;m:nary&gt;&lt;m:naryPr&gt;&lt;m:chr m:val=&quot;âˆ‘&quot;/&gt;&lt;m:limLoc m:val=&quot;undOvr&quot;/&gt;&lt;m:supHide m:val=&quot;1&quot;/&gt;&lt;m:ctrlPr&gt;&lt;w:rPr&gt;&lt;w:rFonts w:ascii=&quot;Cambria Math&quot; w:h-ansi=&quot;Cambria Math&quot; w:cs=&quot;Calibri&quot;/&gt;&lt;wx:font wx:val=&quot;Cambria Math&quot;/&gt;&lt;w:i/&gt;&lt;/w:rPr&gt;&lt;/m:ctrlPr&gt;&lt;/m:naryPr&gt;&lt;m:sub&gt;&lt;m:r&gt;&lt;w:rPr&gt;&lt;w:rFonts w:ascii=&quot;Cambria Math&quot; w:h-ansi=&quot;Cambria Math&quot; w:cs=&quot;Calibri&quot;/&gt;&lt;wx:font wx:val=&quot;Cambria Math&quot;/&gt;&lt;w:i/&gt;&lt;/w:rPr&gt;&lt;m:t&gt;class &lt;/m:t&gt;&lt;/m:r&gt;&lt;/m:sub&gt;&lt;m:sup/&gt;&lt;m:e&gt;&lt;m:nary&gt;&lt;m:naryPr&gt;&lt;m:chr m:val=&quot;âˆ‘&quot;/&gt;&lt;m:limLoc m:val=&quot;undOvr&quot;/&gt;&lt;m:supHide m:val=&quot;1&quot;/&gt;&lt;m:ctrlPr&gt;&lt;w:rPr&gt;&lt;w:rFonts w:ascii=&quot;Cambria Math&quot; w:h-ansi=&quot;Cambria Math&quot; w:cs=&quot;Calibri&quot;/&gt;&lt;wx:font wx:val=&quot;Cambria Math&quot;/&gt;&lt;w:i/&gt;&lt;/w:rPr&gt;&lt;/m:ctrlPr&gt;&lt;/m:naryPr&gt;&lt;m:sub&gt;&lt;m:r&gt;&lt;w:rPr&gt;&lt;w:rFonts w:ascii=&quot;Cambria Math&quot; w:h-ansi=&quot;Cambria Math&quot; w:cs=&quot;Calibri&quot;/&gt;&lt;wx:font wx:val=&quot;Cambria Math&quot;/&gt;&lt;w:i/&gt;&lt;/w:rPr&gt;&lt;m:t&gt;month&lt;/m:t&gt;&lt;/m:r&gt;&lt;/m:sub&gt;&lt;m:sup/&gt;&lt;m:e&gt;&lt;m:sSub&gt;&lt;m:sSubPr&gt;&lt;m:ctrlPr&gt;&lt;w:rPr&gt;&lt;w:rFonts w:ascii=&quot;Cambria Math&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d&lt;/m:t&gt;&lt;/m:r&gt;&lt;/m:e&gt;&lt;m:sub&gt;&lt;m:r&gt;&lt;w:rPr&gt;&lt;w:rFonts w:ascii=&quot;Cambria Math&quot; w:h-ansi=&quot;Cambria Math&quot; w:cs=&quot;Calibri&quot;/&gt;&lt;wx:font wx:val=&quot;Cambria Math&quot;/&gt;&lt;w:i/&gt;&lt;/w:rPr&gt;&lt;m:t&gt;m&lt;/m:t&gt;&lt;/m:r&gt;&lt;/m:sub&gt;&lt;/m:sSub&gt;&lt;/m:e&gt;&lt;/m:nary&gt;&lt;m:sSub&gt;&lt;m:sSubPr&gt;&lt;m:ctrlPr&gt;&lt;w:rPr&gt;&lt;w:rFonts w:ascii=&quot;Cambria Math&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Sheep&lt;/m:t&gt;&lt;/m:r&gt;&lt;/m:e&gt;&lt;m:sub&gt;&lt;m:r&gt;&lt;w:rPr&gt;&lt;w:rFonts w:ascii=&quot;Cambria Math&quot; w:h-ansi=&quot;Cambria Math&quot; w:cs=&quot;Calibri&quot;/&gt;&lt;wx:font wx:val=&quot;Cambria Math&quot;/&gt;&lt;w:i/&gt;&lt;/w:rPr&gt;&lt;m:t&gt;cm&lt;/m:t&gt;&lt;/m:r&gt;&lt;/m:sub&gt;&lt;/m:sSub&gt;&lt;m:f&gt;&lt;m:fPr&gt;&lt;m:ctrlPr&gt;&lt;w:rPr&gt;&lt;w:rFonts w:ascii=&quot;Cambria Math&quot; w:h-ansi=&quot;Cambria Math&quot; w:cs=&quot;Calibri&quot;/&gt;&lt;wx:font wx:val=&quot;Cambria Math&quot;/&gt;&lt;w:i/&gt;&lt;/w:rPr&gt;&lt;/m:ctrlPr&gt;&lt;/m:fPr&gt;&lt;m:num&gt;&lt;m:r&gt;&lt;w:rPr&gt;&lt;w:rFonts w:ascii=&quot;Cambria Math&quot; w:h-ansi=&quot;Cambria Math&quot; w:cs=&quot;Calibri&quot;/&gt;&lt;wx:font wx:val=&quot;Cambria Math&quot;/&gt;&lt;w:i/&gt;&lt;/w:rPr&gt;&lt;m:t&gt;21.977&lt;/m:t&gt;&lt;/m:r&gt;&lt;/m:num&gt;&lt;m:den&gt;&lt;m:r&gt;&lt;w:rPr&gt;&lt;w:rFonts w:ascii=&quot;Cambria Math&quot; w:h-ansi=&quot;Cambria Math&quot; w:cs=&quot;Calibri&quot;/&gt;&lt;wx:font wx:val=&quot;Cambria Math&quot;/&gt;&lt;w:i/&gt;&lt;/w:rPr&gt;&lt;m:t&gt;1000&lt;/m:t&gt;&lt;/m:r&gt;&lt;/m:den&gt;&lt;/m:f&gt;&lt;/m:e&gt;&lt;/m:nary&gt;&lt;m:sSup&gt;&lt;m:sSupPr&gt;&lt;m:ctrlPr&gt;&lt;w:rPr&gt;&lt;w:rFonts w:ascii=&quot;Cambria Math&quot; w:h-ansi=&quot;Cambria Math&quot; w:cs=&quot;Calibri&quot;/&gt;&lt;wx:font wx:val=&quot;Cambria Math&quot;/&gt;&lt;w:i/&gt;&lt;/w:rPr&gt;&lt;/m:ctrlPr&gt;&lt;/m:sSupPr&gt;&lt;m:e&gt;&lt;m:r&gt;&lt;w:rPr&gt;&lt;w:rFonts w:ascii=&quot;Cambria Math&quot; w:h-ansi=&quot;Cambria Math&quot; w:cs=&quot;Calibri&quot;/&gt;&lt;wx:font wx:val=&quot;Cambria Math&quot;/&gt;&lt;w:i/&gt;&lt;/w:rPr&gt;&lt;m:t&gt;DMI&lt;/m:t&gt;&lt;/m:r&gt;&lt;/m:e&gt;&lt;m:sup&gt;&lt;m:r&gt;&lt;w:rPr&gt;&lt;w:rFonts w:ascii=&quot;Cambria Math&quot; w:h-ansi=&quot;Cambria Math&quot; w:cs=&quot;Calibri&quot;/&gt;&lt;wx:font wx:val=&quot;Cambria Math&quot;/&gt;&lt;w:i/&gt;&lt;/w:rPr&gt;&lt;m:t&gt;0.765&lt;/m:t&gt;&lt;/m:r&gt;&lt;/m:sup&gt;&lt;/m:sSup&gt;&lt;/m:oMath&gt;&lt;/m:oMathPara&gt;&lt;/w:p&gt;&lt;w:sectPr wsp:rsidR=&quot;00000000&quot; wsp:rsidRPr=&quot;00242495&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 o:title="" chromakey="white"/>
          </v:shape>
        </w:pict>
      </w:r>
    </w:p>
    <w:p w14:paraId="47BFABD3" w14:textId="77777777" w:rsidR="00F849A7" w:rsidRPr="00D9348B" w:rsidRDefault="00F849A7" w:rsidP="00F849A7">
      <w:pPr>
        <w:pStyle w:val="BodyText"/>
        <w:spacing w:after="0"/>
        <w:ind w:left="964" w:hanging="964"/>
        <w:rPr>
          <w:rFonts w:cs="Calibri"/>
        </w:rPr>
      </w:pPr>
      <w:r w:rsidRPr="00D9348B">
        <w:rPr>
          <w:rFonts w:cs="Calibri"/>
        </w:rPr>
        <w:t xml:space="preserve">Where: </w:t>
      </w:r>
      <w:r w:rsidRPr="00D9348B">
        <w:rPr>
          <w:rFonts w:cs="Calibri"/>
        </w:rPr>
        <w:tab/>
        <w:t>CH</w:t>
      </w:r>
      <w:r w:rsidRPr="00D9348B">
        <w:rPr>
          <w:rFonts w:cs="Calibri"/>
          <w:vertAlign w:val="subscript"/>
        </w:rPr>
        <w:t>4-enteric</w:t>
      </w:r>
      <w:r w:rsidRPr="00D9348B">
        <w:rPr>
          <w:rFonts w:cs="Calibri"/>
        </w:rPr>
        <w:t xml:space="preserve"> is the total CH</w:t>
      </w:r>
      <w:r w:rsidRPr="00D9348B">
        <w:rPr>
          <w:rFonts w:cs="Calibri"/>
          <w:vertAlign w:val="subscript"/>
        </w:rPr>
        <w:t>4</w:t>
      </w:r>
      <w:r w:rsidRPr="00D9348B">
        <w:rPr>
          <w:rFonts w:cs="Calibri"/>
        </w:rPr>
        <w:t xml:space="preserve"> from enteric fermentation (kg CH</w:t>
      </w:r>
      <w:r w:rsidRPr="00D9348B">
        <w:rPr>
          <w:rFonts w:cs="Calibri"/>
          <w:vertAlign w:val="subscript"/>
        </w:rPr>
        <w:t>4</w:t>
      </w:r>
      <w:r w:rsidRPr="00D9348B">
        <w:rPr>
          <w:rFonts w:cs="Calibri"/>
        </w:rPr>
        <w:t>/year)</w:t>
      </w:r>
    </w:p>
    <w:p w14:paraId="1F2FA20F" w14:textId="77777777" w:rsidR="00F849A7" w:rsidRPr="00D9348B" w:rsidRDefault="00F849A7" w:rsidP="00F849A7">
      <w:pPr>
        <w:pStyle w:val="BodyText"/>
        <w:spacing w:before="80" w:after="0"/>
        <w:ind w:left="964"/>
        <w:rPr>
          <w:rFonts w:cs="Calibri"/>
        </w:rPr>
      </w:pPr>
      <w:proofErr w:type="gramStart"/>
      <w:r w:rsidRPr="00D9348B">
        <w:rPr>
          <w:rFonts w:cs="Calibri"/>
        </w:rPr>
        <w:t>d</w:t>
      </w:r>
      <w:r w:rsidRPr="00D9348B">
        <w:rPr>
          <w:rFonts w:cs="Calibri"/>
          <w:vertAlign w:val="subscript"/>
        </w:rPr>
        <w:t>m</w:t>
      </w:r>
      <w:proofErr w:type="gramEnd"/>
      <w:r w:rsidRPr="00D9348B">
        <w:rPr>
          <w:rFonts w:cs="Calibri"/>
        </w:rPr>
        <w:t xml:space="preserve"> is the number of days in month m</w:t>
      </w:r>
    </w:p>
    <w:p w14:paraId="0168DC37" w14:textId="77777777" w:rsidR="00F849A7" w:rsidRPr="00D9348B" w:rsidRDefault="00F849A7" w:rsidP="00F849A7">
      <w:pPr>
        <w:pStyle w:val="BodyText"/>
        <w:spacing w:before="80" w:after="0"/>
        <w:ind w:left="964"/>
        <w:rPr>
          <w:rFonts w:cs="Calibri"/>
        </w:rPr>
      </w:pPr>
      <w:r w:rsidRPr="00D9348B">
        <w:rPr>
          <w:rFonts w:cs="Calibri"/>
        </w:rPr>
        <w:t>Lamb</w:t>
      </w:r>
      <w:r w:rsidRPr="00D9348B">
        <w:rPr>
          <w:rFonts w:cs="Calibri"/>
          <w:vertAlign w:val="subscript"/>
        </w:rPr>
        <w:t xml:space="preserve">cm </w:t>
      </w:r>
      <w:r w:rsidRPr="00D9348B">
        <w:rPr>
          <w:rFonts w:cs="Calibri"/>
        </w:rPr>
        <w:t>is the population of sheep in class c during month m (head), less than one year old (i.e. lambs)</w:t>
      </w:r>
    </w:p>
    <w:p w14:paraId="2ED4D763" w14:textId="77777777" w:rsidR="00F849A7" w:rsidRPr="00D9348B" w:rsidRDefault="00F849A7" w:rsidP="00F849A7">
      <w:pPr>
        <w:pStyle w:val="BodyText"/>
        <w:spacing w:before="80" w:after="0"/>
        <w:ind w:left="964"/>
        <w:rPr>
          <w:rFonts w:cs="Calibri"/>
        </w:rPr>
      </w:pPr>
      <w:r w:rsidRPr="00D9348B">
        <w:rPr>
          <w:rFonts w:cs="Calibri"/>
        </w:rPr>
        <w:t>Sheep</w:t>
      </w:r>
      <w:r w:rsidRPr="00D9348B">
        <w:rPr>
          <w:rFonts w:cs="Calibri"/>
          <w:vertAlign w:val="subscript"/>
        </w:rPr>
        <w:t xml:space="preserve">cm </w:t>
      </w:r>
      <w:r w:rsidRPr="00D9348B">
        <w:rPr>
          <w:rFonts w:cs="Calibri"/>
        </w:rPr>
        <w:t xml:space="preserve">is the population of sheep in class c during month m (head), greater than one year old </w:t>
      </w:r>
    </w:p>
    <w:p w14:paraId="3657CDA7" w14:textId="77777777" w:rsidR="00F849A7" w:rsidRPr="00D9348B" w:rsidRDefault="00F849A7" w:rsidP="00F849A7">
      <w:pPr>
        <w:pStyle w:val="BodyText"/>
        <w:spacing w:before="80" w:after="0"/>
        <w:ind w:left="964"/>
        <w:rPr>
          <w:rFonts w:cs="Calibri"/>
        </w:rPr>
      </w:pPr>
      <w:r w:rsidRPr="00D9348B">
        <w:rPr>
          <w:rFonts w:cs="Calibri"/>
        </w:rPr>
        <w:t>ME is the metabolisable energy concentration of pasture during month m (megajoules of metabolisable energy per kg of dry matter)</w:t>
      </w:r>
    </w:p>
    <w:p w14:paraId="61795918" w14:textId="77777777" w:rsidR="00F849A7" w:rsidRPr="00D9348B" w:rsidRDefault="00F849A7" w:rsidP="00F849A7">
      <w:pPr>
        <w:pStyle w:val="BodyText"/>
        <w:spacing w:before="80" w:after="0"/>
        <w:ind w:left="964"/>
        <w:rPr>
          <w:rFonts w:cs="Calibri"/>
        </w:rPr>
      </w:pPr>
      <w:r w:rsidRPr="00D9348B">
        <w:rPr>
          <w:rFonts w:cs="Calibri"/>
        </w:rPr>
        <w:t>DMI is the daily dry-matter intake of an individual sheep of class c in month m (kg dry matter per head per day), greater than one year old</w:t>
      </w:r>
    </w:p>
    <w:p w14:paraId="075BD293" w14:textId="18B15230" w:rsidR="00F849A7" w:rsidRPr="00D9348B" w:rsidRDefault="00F849A7" w:rsidP="00F849A7">
      <w:pPr>
        <w:pStyle w:val="BodyText"/>
        <w:spacing w:before="80" w:after="0"/>
        <w:ind w:left="964"/>
        <w:rPr>
          <w:rFonts w:cs="Calibri"/>
        </w:rPr>
      </w:pPr>
      <w:proofErr w:type="gramStart"/>
      <w:r w:rsidRPr="00D9348B">
        <w:rPr>
          <w:rFonts w:cs="Calibri"/>
        </w:rPr>
        <w:t>class</w:t>
      </w:r>
      <w:proofErr w:type="gramEnd"/>
      <w:r w:rsidRPr="00D9348B">
        <w:rPr>
          <w:rFonts w:cs="Calibri"/>
        </w:rPr>
        <w:t xml:space="preserve"> refers to the different categories of sheep greater than one year old (e.g.,</w:t>
      </w:r>
      <w:r w:rsidR="005C6E3E" w:rsidRPr="00D9348B">
        <w:rPr>
          <w:rFonts w:cs="Calibri"/>
        </w:rPr>
        <w:t> </w:t>
      </w:r>
      <w:r w:rsidRPr="00D9348B">
        <w:rPr>
          <w:rFonts w:cs="Calibri"/>
        </w:rPr>
        <w:t>dry ewes, wethers, rams) used in the Agriculture inventory, and</w:t>
      </w:r>
    </w:p>
    <w:p w14:paraId="68AA179C" w14:textId="77777777" w:rsidR="00F849A7" w:rsidRPr="00D9348B" w:rsidRDefault="00F849A7" w:rsidP="00F849A7">
      <w:pPr>
        <w:pStyle w:val="BodyText"/>
        <w:spacing w:before="80"/>
        <w:ind w:left="964"/>
        <w:rPr>
          <w:rFonts w:cs="Calibri"/>
        </w:rPr>
      </w:pPr>
      <w:proofErr w:type="gramStart"/>
      <w:r w:rsidRPr="00D9348B">
        <w:rPr>
          <w:rFonts w:cs="Calibri"/>
        </w:rPr>
        <w:t>month</w:t>
      </w:r>
      <w:proofErr w:type="gramEnd"/>
      <w:r w:rsidRPr="00D9348B">
        <w:rPr>
          <w:rFonts w:cs="Calibri"/>
        </w:rPr>
        <w:t xml:space="preserve"> refers to the 12 months of the calendar year.</w:t>
      </w:r>
    </w:p>
    <w:p w14:paraId="60589D14" w14:textId="77777777" w:rsidR="00F849A7" w:rsidRPr="00D9348B" w:rsidRDefault="00F849A7" w:rsidP="00F849A7">
      <w:pPr>
        <w:pStyle w:val="BodyText"/>
        <w:rPr>
          <w:rFonts w:cs="Calibri"/>
        </w:rPr>
      </w:pPr>
      <w:r w:rsidRPr="00D9348B">
        <w:rPr>
          <w:rFonts w:cs="Calibri"/>
        </w:rPr>
        <w:t>Dry-matter intake per sheep per day is calculated by New Zealand’s Tier 2 inventory model (see section 5.1.3). Monthly values of ME concentration for pasture are provided by Bown et al. (2013).</w:t>
      </w:r>
    </w:p>
    <w:p w14:paraId="428EE733" w14:textId="77777777" w:rsidR="00F849A7" w:rsidRPr="00D9348B" w:rsidRDefault="00F849A7" w:rsidP="00865BDB">
      <w:pPr>
        <w:pStyle w:val="Heading4"/>
      </w:pPr>
      <w:r w:rsidRPr="00D9348B">
        <w:t>Methane measurement and modelling</w:t>
      </w:r>
    </w:p>
    <w:p w14:paraId="7F486EAF" w14:textId="77777777" w:rsidR="00F849A7" w:rsidRPr="00D9348B" w:rsidRDefault="00F849A7" w:rsidP="00F849A7">
      <w:pPr>
        <w:pStyle w:val="BodyText"/>
        <w:spacing w:before="100" w:after="100"/>
        <w:rPr>
          <w:rFonts w:cs="Calibri"/>
        </w:rPr>
      </w:pPr>
      <w:r w:rsidRPr="00D9348B">
        <w:rPr>
          <w:rFonts w:cs="Calibri"/>
        </w:rPr>
        <w:t>New Zealand uses country-specific methodology and emission factors for estimating enteric fermentation CH</w:t>
      </w:r>
      <w:r w:rsidRPr="00D9348B">
        <w:rPr>
          <w:rFonts w:cs="Calibri"/>
          <w:vertAlign w:val="subscript"/>
        </w:rPr>
        <w:t>4</w:t>
      </w:r>
      <w:r w:rsidRPr="00D9348B">
        <w:rPr>
          <w:rFonts w:cs="Calibri"/>
        </w:rPr>
        <w:t xml:space="preserve"> emissions per kilogram of feed (i.e., DMI) for a number of reasons. First, the data requirements for existing digestion models</w:t>
      </w:r>
      <w:r w:rsidRPr="00D9348B">
        <w:rPr>
          <w:rStyle w:val="FootnoteReference"/>
          <w:rFonts w:cs="Calibri"/>
        </w:rPr>
        <w:footnoteReference w:id="45"/>
      </w:r>
      <w:r w:rsidRPr="00D9348B">
        <w:rPr>
          <w:rFonts w:cs="Calibri"/>
        </w:rPr>
        <w:t xml:space="preserve"> are less relevant, given New Zealand’s predominantly pasture-based systems. The relationships in these models have been mainly derived from animals fed indoors on diets unlike those consumed by New Zealand’s grazing ruminants.</w:t>
      </w:r>
      <w:r w:rsidRPr="00D9348B" w:rsidDel="002C232D">
        <w:rPr>
          <w:rFonts w:cs="Calibri"/>
        </w:rPr>
        <w:t xml:space="preserve"> </w:t>
      </w:r>
      <w:r w:rsidRPr="00D9348B">
        <w:rPr>
          <w:rFonts w:cs="Calibri"/>
        </w:rPr>
        <w:t>Further, none of these methods had high predictive power when compared against empirical experimental data (Clark et al., 2003).</w:t>
      </w:r>
    </w:p>
    <w:p w14:paraId="18CB23A4" w14:textId="77777777" w:rsidR="00F849A7" w:rsidRPr="00D9348B" w:rsidRDefault="00F849A7" w:rsidP="00F849A7">
      <w:pPr>
        <w:pStyle w:val="BodyText"/>
        <w:spacing w:before="100" w:after="100"/>
        <w:rPr>
          <w:rFonts w:cs="Calibri"/>
        </w:rPr>
      </w:pPr>
      <w:r w:rsidRPr="00D9348B">
        <w:rPr>
          <w:rFonts w:cs="Calibri"/>
        </w:rPr>
        <w:t>Since 1996, New Zealand scientists have been measuring CH</w:t>
      </w:r>
      <w:r w:rsidRPr="00D9348B">
        <w:rPr>
          <w:rFonts w:cs="Calibri"/>
          <w:vertAlign w:val="subscript"/>
        </w:rPr>
        <w:t>4</w:t>
      </w:r>
      <w:r w:rsidRPr="00D9348B">
        <w:rPr>
          <w:rFonts w:cs="Calibri"/>
        </w:rPr>
        <w:t xml:space="preserve"> emissions from grazing cattle and sheep initially using the sulphur hexafluoride (SF</w:t>
      </w:r>
      <w:r w:rsidRPr="00D9348B">
        <w:rPr>
          <w:rFonts w:cs="Calibri"/>
          <w:vertAlign w:val="subscript"/>
        </w:rPr>
        <w:t>6</w:t>
      </w:r>
      <w:r w:rsidRPr="00D9348B">
        <w:rPr>
          <w:rFonts w:cs="Calibri"/>
        </w:rPr>
        <w:t>) tracer technique (Lassey et al., 1997; Ulyatt et al., 1999). Research has now moved to using respiration chambers, which are considered the gold standard for assessing CH</w:t>
      </w:r>
      <w:r w:rsidRPr="00D9348B">
        <w:rPr>
          <w:rFonts w:cs="Calibri"/>
          <w:vertAlign w:val="subscript"/>
        </w:rPr>
        <w:t>4</w:t>
      </w:r>
      <w:r w:rsidRPr="00D9348B">
        <w:rPr>
          <w:rFonts w:cs="Calibri"/>
        </w:rPr>
        <w:t xml:space="preserve"> emissions from livestock. New Zealand has </w:t>
      </w:r>
      <w:r w:rsidRPr="00D9348B">
        <w:rPr>
          <w:rFonts w:cs="Calibri"/>
        </w:rPr>
        <w:lastRenderedPageBreak/>
        <w:t xml:space="preserve">invested significantly in sufficient chamber facilities for respiration chamber based measurement of emissions, particularly for sheep. </w:t>
      </w:r>
    </w:p>
    <w:p w14:paraId="44230BFE" w14:textId="77777777" w:rsidR="00F849A7" w:rsidRPr="00D9348B" w:rsidRDefault="00F849A7" w:rsidP="00F849A7">
      <w:pPr>
        <w:pStyle w:val="BodyText"/>
        <w:rPr>
          <w:rFonts w:cs="Calibri"/>
        </w:rPr>
      </w:pPr>
      <w:r w:rsidRPr="00D9348B">
        <w:rPr>
          <w:rFonts w:cs="Calibri"/>
        </w:rPr>
        <w:t>To obtain New Zealand-specific values (or algorithms for sheep emissions), published and unpublished data on CH</w:t>
      </w:r>
      <w:r w:rsidRPr="00D9348B">
        <w:rPr>
          <w:rFonts w:cs="Calibri"/>
          <w:vertAlign w:val="subscript"/>
        </w:rPr>
        <w:t>4</w:t>
      </w:r>
      <w:r w:rsidRPr="00D9348B">
        <w:rPr>
          <w:rFonts w:cs="Calibri"/>
        </w:rPr>
        <w:t xml:space="preserve"> emissions from New Zealand were collated and average values (and algorithms) for CH</w:t>
      </w:r>
      <w:r w:rsidRPr="00D9348B">
        <w:rPr>
          <w:rFonts w:cs="Calibri"/>
          <w:vertAlign w:val="subscript"/>
        </w:rPr>
        <w:t>4</w:t>
      </w:r>
      <w:r w:rsidRPr="00D9348B">
        <w:rPr>
          <w:rFonts w:cs="Calibri"/>
        </w:rPr>
        <w:t xml:space="preserve"> emissions from different categories of livestock were obtained </w:t>
      </w:r>
      <w:r w:rsidRPr="00D9348B">
        <w:rPr>
          <w:rFonts w:cs="Calibri"/>
          <w:spacing w:val="-2"/>
        </w:rPr>
        <w:t xml:space="preserve">(Clark et al., 2003; </w:t>
      </w:r>
      <w:r w:rsidRPr="00D9348B">
        <w:rPr>
          <w:rFonts w:cs="Calibri"/>
        </w:rPr>
        <w:t>Swainson et al., 2016). Sufficient data were available to obtain values for cattle and to generate a suitable set of algorithms for sheep. The associated data are presented in table 5.2.2 together with the IPCC (2006, tables 10.12 and 10.13) default values for per cent gross energy intake (GEI) used to calculate CH</w:t>
      </w:r>
      <w:r w:rsidRPr="00D9348B">
        <w:rPr>
          <w:rFonts w:cs="Calibri"/>
          <w:vertAlign w:val="subscript"/>
        </w:rPr>
        <w:t>4</w:t>
      </w:r>
      <w:r w:rsidRPr="00D9348B">
        <w:rPr>
          <w:rFonts w:cs="Calibri"/>
        </w:rPr>
        <w:t xml:space="preserve">. The New Zealand values for cattle fall within the IPCC range and are applied in this submission. </w:t>
      </w:r>
    </w:p>
    <w:p w14:paraId="0F8FD8B5" w14:textId="77777777" w:rsidR="00F849A7" w:rsidRPr="00D9348B" w:rsidRDefault="00F849A7" w:rsidP="00F849A7">
      <w:pPr>
        <w:pStyle w:val="Table"/>
        <w:rPr>
          <w:rFonts w:cs="Calibri"/>
        </w:rPr>
      </w:pPr>
      <w:bookmarkStart w:id="646" w:name="_Toc441830869"/>
      <w:bookmarkStart w:id="647" w:name="_Toc451176083"/>
      <w:bookmarkStart w:id="648" w:name="_Toc481751509"/>
      <w:bookmarkStart w:id="649" w:name="_Toc507158599"/>
      <w:bookmarkStart w:id="650" w:name="_Toc511116733"/>
      <w:bookmarkStart w:id="651" w:name="_Toc5269473"/>
      <w:bookmarkStart w:id="652" w:name="_Toc32570914"/>
      <w:bookmarkStart w:id="653" w:name="_Toc36224549"/>
      <w:r w:rsidRPr="00D9348B">
        <w:rPr>
          <w:rFonts w:cs="Calibri"/>
        </w:rPr>
        <w:t>Table 5.2.2</w:t>
      </w:r>
      <w:r w:rsidRPr="00D9348B">
        <w:rPr>
          <w:rFonts w:cs="Calibri"/>
        </w:rPr>
        <w:tab/>
        <w:t>Methane (CH</w:t>
      </w:r>
      <w:r w:rsidRPr="00D9348B">
        <w:rPr>
          <w:rFonts w:cs="Calibri"/>
          <w:vertAlign w:val="subscript"/>
        </w:rPr>
        <w:t>4</w:t>
      </w:r>
      <w:r w:rsidRPr="00D9348B">
        <w:rPr>
          <w:rFonts w:cs="Calibri"/>
        </w:rPr>
        <w:t>) emissions and gross energy intake (GEI) from New Zealand measurements and IPCC (2006) default values</w:t>
      </w:r>
      <w:bookmarkEnd w:id="646"/>
      <w:bookmarkEnd w:id="647"/>
      <w:bookmarkEnd w:id="648"/>
      <w:bookmarkEnd w:id="649"/>
      <w:bookmarkEnd w:id="650"/>
      <w:bookmarkEnd w:id="651"/>
      <w:bookmarkEnd w:id="652"/>
      <w:bookmarkEnd w:id="653"/>
    </w:p>
    <w:tbl>
      <w:tblPr>
        <w:tblW w:w="8505" w:type="dxa"/>
        <w:tblInd w:w="108" w:type="dxa"/>
        <w:tblBorders>
          <w:top w:val="single" w:sz="4" w:space="0" w:color="365F91"/>
          <w:bottom w:val="single" w:sz="4" w:space="0" w:color="365F91"/>
          <w:insideH w:val="single" w:sz="4" w:space="0" w:color="365F91"/>
        </w:tblBorders>
        <w:tblLayout w:type="fixed"/>
        <w:tblLook w:val="0000" w:firstRow="0" w:lastRow="0" w:firstColumn="0" w:lastColumn="0" w:noHBand="0" w:noVBand="0"/>
      </w:tblPr>
      <w:tblGrid>
        <w:gridCol w:w="3402"/>
        <w:gridCol w:w="1418"/>
        <w:gridCol w:w="1701"/>
        <w:gridCol w:w="1984"/>
      </w:tblGrid>
      <w:tr w:rsidR="00F849A7" w:rsidRPr="00D9348B" w14:paraId="5405B436" w14:textId="77777777" w:rsidTr="00591646">
        <w:trPr>
          <w:tblHeader/>
        </w:trPr>
        <w:tc>
          <w:tcPr>
            <w:tcW w:w="3402" w:type="dxa"/>
            <w:shd w:val="clear" w:color="auto" w:fill="365F91"/>
            <w:vAlign w:val="bottom"/>
          </w:tcPr>
          <w:p w14:paraId="1C794B88" w14:textId="77777777" w:rsidR="00F849A7" w:rsidRPr="00D9348B" w:rsidRDefault="00F849A7" w:rsidP="00DB330E">
            <w:pPr>
              <w:pStyle w:val="TableTextBold"/>
              <w:keepNext/>
              <w:rPr>
                <w:rFonts w:cs="Calibri"/>
                <w:noProof w:val="0"/>
                <w:color w:val="FFFFFF"/>
              </w:rPr>
            </w:pPr>
          </w:p>
        </w:tc>
        <w:tc>
          <w:tcPr>
            <w:tcW w:w="1418" w:type="dxa"/>
            <w:shd w:val="clear" w:color="auto" w:fill="365F91"/>
            <w:vAlign w:val="bottom"/>
          </w:tcPr>
          <w:p w14:paraId="74536796" w14:textId="77777777" w:rsidR="00F849A7" w:rsidRPr="00D9348B" w:rsidRDefault="00F849A7" w:rsidP="00DB330E">
            <w:pPr>
              <w:pStyle w:val="TableTextBold"/>
              <w:keepNext/>
              <w:jc w:val="center"/>
              <w:rPr>
                <w:rFonts w:cs="Calibri"/>
                <w:noProof w:val="0"/>
                <w:color w:val="FFFFFF"/>
              </w:rPr>
            </w:pPr>
            <w:r w:rsidRPr="00D9348B">
              <w:rPr>
                <w:rFonts w:cs="Calibri"/>
                <w:noProof w:val="0"/>
                <w:color w:val="FFFFFF"/>
              </w:rPr>
              <w:t>Adult cattle</w:t>
            </w:r>
          </w:p>
        </w:tc>
        <w:tc>
          <w:tcPr>
            <w:tcW w:w="1701" w:type="dxa"/>
            <w:shd w:val="clear" w:color="auto" w:fill="365F91"/>
            <w:vAlign w:val="bottom"/>
          </w:tcPr>
          <w:p w14:paraId="3EB9D4C3" w14:textId="347DFC0C" w:rsidR="00F849A7" w:rsidRPr="00D9348B" w:rsidRDefault="00F849A7" w:rsidP="00DB330E">
            <w:pPr>
              <w:pStyle w:val="TableTextBold"/>
              <w:keepNext/>
              <w:jc w:val="center"/>
              <w:rPr>
                <w:rFonts w:cs="Calibri"/>
                <w:noProof w:val="0"/>
                <w:color w:val="FFFFFF"/>
              </w:rPr>
            </w:pPr>
            <w:r w:rsidRPr="00D9348B">
              <w:rPr>
                <w:rFonts w:cs="Calibri"/>
                <w:noProof w:val="0"/>
                <w:color w:val="FFFFFF"/>
              </w:rPr>
              <w:t>Adult sheep (&gt; 1 year)</w:t>
            </w:r>
          </w:p>
        </w:tc>
        <w:tc>
          <w:tcPr>
            <w:tcW w:w="1984" w:type="dxa"/>
            <w:shd w:val="clear" w:color="auto" w:fill="365F91"/>
            <w:vAlign w:val="bottom"/>
          </w:tcPr>
          <w:p w14:paraId="7A240CA3" w14:textId="77777777" w:rsidR="00F849A7" w:rsidRPr="00D9348B" w:rsidRDefault="00F849A7" w:rsidP="00DB330E">
            <w:pPr>
              <w:pStyle w:val="TableTextBold"/>
              <w:keepNext/>
              <w:jc w:val="center"/>
              <w:rPr>
                <w:rFonts w:cs="Calibri"/>
                <w:noProof w:val="0"/>
                <w:color w:val="FFFFFF"/>
              </w:rPr>
            </w:pPr>
            <w:r w:rsidRPr="00D9348B">
              <w:rPr>
                <w:rFonts w:cs="Calibri"/>
                <w:noProof w:val="0"/>
                <w:color w:val="FFFFFF"/>
              </w:rPr>
              <w:t>Young sheep (&lt; 1 year)</w:t>
            </w:r>
          </w:p>
        </w:tc>
      </w:tr>
      <w:tr w:rsidR="00F849A7" w:rsidRPr="00D9348B" w14:paraId="4BDCDE52" w14:textId="77777777" w:rsidTr="00591646">
        <w:tc>
          <w:tcPr>
            <w:tcW w:w="3402" w:type="dxa"/>
            <w:vAlign w:val="bottom"/>
          </w:tcPr>
          <w:p w14:paraId="79DF6424" w14:textId="77777777" w:rsidR="00F849A7" w:rsidRPr="00D9348B" w:rsidRDefault="00F849A7" w:rsidP="00DB330E">
            <w:pPr>
              <w:pStyle w:val="TableText"/>
              <w:keepNext/>
              <w:rPr>
                <w:rFonts w:cs="Calibri"/>
              </w:rPr>
            </w:pPr>
            <w:r w:rsidRPr="00D9348B">
              <w:rPr>
                <w:rFonts w:cs="Calibri"/>
              </w:rPr>
              <w:t>New Zealand CH</w:t>
            </w:r>
            <w:r w:rsidRPr="00D9348B">
              <w:rPr>
                <w:rFonts w:cs="Calibri"/>
                <w:vertAlign w:val="subscript"/>
              </w:rPr>
              <w:t>4</w:t>
            </w:r>
            <w:r w:rsidRPr="00D9348B">
              <w:rPr>
                <w:rFonts w:cs="Calibri"/>
              </w:rPr>
              <w:t xml:space="preserve"> emission rates from Clark et al. (2003) and Swainson et al. (2016) (g CH</w:t>
            </w:r>
            <w:r w:rsidRPr="00D9348B">
              <w:rPr>
                <w:rFonts w:cs="Calibri"/>
                <w:vertAlign w:val="subscript"/>
              </w:rPr>
              <w:t>4</w:t>
            </w:r>
            <w:r w:rsidRPr="00D9348B">
              <w:rPr>
                <w:rFonts w:cs="Calibri"/>
              </w:rPr>
              <w:t>/kg DM)</w:t>
            </w:r>
          </w:p>
        </w:tc>
        <w:tc>
          <w:tcPr>
            <w:tcW w:w="1418" w:type="dxa"/>
            <w:vAlign w:val="bottom"/>
          </w:tcPr>
          <w:p w14:paraId="0A11A1D5" w14:textId="77777777" w:rsidR="00F849A7" w:rsidRPr="00D9348B" w:rsidRDefault="00F849A7" w:rsidP="00DB330E">
            <w:pPr>
              <w:pStyle w:val="TableText"/>
              <w:keepNext/>
              <w:jc w:val="center"/>
              <w:rPr>
                <w:rFonts w:cs="Calibri"/>
              </w:rPr>
            </w:pPr>
            <w:r w:rsidRPr="00D9348B">
              <w:rPr>
                <w:rFonts w:cs="Calibri"/>
              </w:rPr>
              <w:t>21.6 × DM</w:t>
            </w:r>
          </w:p>
        </w:tc>
        <w:tc>
          <w:tcPr>
            <w:tcW w:w="1701" w:type="dxa"/>
            <w:vAlign w:val="bottom"/>
          </w:tcPr>
          <w:p w14:paraId="617A1975" w14:textId="77777777" w:rsidR="00F849A7" w:rsidRPr="00D9348B" w:rsidRDefault="00F849A7" w:rsidP="00DB330E">
            <w:pPr>
              <w:pStyle w:val="TableText"/>
              <w:keepNext/>
              <w:jc w:val="center"/>
              <w:rPr>
                <w:rFonts w:cs="Calibri"/>
              </w:rPr>
            </w:pPr>
            <w:r w:rsidRPr="00D9348B">
              <w:rPr>
                <w:rFonts w:cs="Calibri"/>
              </w:rPr>
              <w:t>21.977 × DM</w:t>
            </w:r>
            <w:r w:rsidRPr="00D9348B">
              <w:rPr>
                <w:rFonts w:cs="Calibri"/>
                <w:vertAlign w:val="superscript"/>
              </w:rPr>
              <w:t>0.765</w:t>
            </w:r>
          </w:p>
        </w:tc>
        <w:tc>
          <w:tcPr>
            <w:tcW w:w="1984" w:type="dxa"/>
            <w:vAlign w:val="bottom"/>
          </w:tcPr>
          <w:p w14:paraId="242F765F" w14:textId="77777777" w:rsidR="00F849A7" w:rsidRPr="00D9348B" w:rsidRDefault="00F849A7" w:rsidP="00DB330E">
            <w:pPr>
              <w:pStyle w:val="TableText"/>
              <w:keepNext/>
              <w:jc w:val="center"/>
              <w:rPr>
                <w:rFonts w:cs="Calibri"/>
              </w:rPr>
            </w:pPr>
            <w:r w:rsidRPr="00D9348B">
              <w:rPr>
                <w:rFonts w:cs="Calibri"/>
              </w:rPr>
              <w:t>11.705 × e</w:t>
            </w:r>
            <w:r w:rsidRPr="00D9348B">
              <w:rPr>
                <w:rFonts w:cs="Calibri"/>
                <w:vertAlign w:val="superscript"/>
              </w:rPr>
              <w:t>0.5ME</w:t>
            </w:r>
            <w:r w:rsidRPr="00D9348B">
              <w:rPr>
                <w:rFonts w:cs="Calibri"/>
              </w:rPr>
              <w:t xml:space="preserve"> × DM</w:t>
            </w:r>
            <w:r w:rsidRPr="00D9348B">
              <w:rPr>
                <w:rFonts w:cs="Calibri"/>
                <w:vertAlign w:val="superscript"/>
              </w:rPr>
              <w:t>0.734</w:t>
            </w:r>
          </w:p>
        </w:tc>
      </w:tr>
      <w:tr w:rsidR="00F849A7" w:rsidRPr="00D9348B" w14:paraId="1460B798" w14:textId="77777777" w:rsidTr="00591646">
        <w:tc>
          <w:tcPr>
            <w:tcW w:w="3402" w:type="dxa"/>
            <w:shd w:val="clear" w:color="auto" w:fill="auto"/>
            <w:vAlign w:val="bottom"/>
          </w:tcPr>
          <w:p w14:paraId="7349D863" w14:textId="77777777" w:rsidR="00F849A7" w:rsidRPr="00D9348B" w:rsidRDefault="00F849A7" w:rsidP="00DB330E">
            <w:pPr>
              <w:pStyle w:val="TableText"/>
              <w:rPr>
                <w:rFonts w:cs="Calibri"/>
              </w:rPr>
            </w:pPr>
            <w:r w:rsidRPr="00D9348B">
              <w:rPr>
                <w:rFonts w:cs="Calibri"/>
              </w:rPr>
              <w:t>New Zealand data (GEI, %)</w:t>
            </w:r>
          </w:p>
        </w:tc>
        <w:tc>
          <w:tcPr>
            <w:tcW w:w="1418" w:type="dxa"/>
            <w:shd w:val="clear" w:color="auto" w:fill="auto"/>
            <w:vAlign w:val="bottom"/>
          </w:tcPr>
          <w:p w14:paraId="72FF3DAE" w14:textId="77777777" w:rsidR="00F849A7" w:rsidRPr="00D9348B" w:rsidRDefault="00F849A7" w:rsidP="00DB330E">
            <w:pPr>
              <w:pStyle w:val="TableText"/>
              <w:jc w:val="center"/>
              <w:rPr>
                <w:rFonts w:cs="Calibri"/>
              </w:rPr>
            </w:pPr>
            <w:r w:rsidRPr="00D9348B">
              <w:rPr>
                <w:rFonts w:cs="Calibri"/>
              </w:rPr>
              <w:t>6.5</w:t>
            </w:r>
          </w:p>
        </w:tc>
        <w:tc>
          <w:tcPr>
            <w:tcW w:w="1701" w:type="dxa"/>
            <w:shd w:val="clear" w:color="auto" w:fill="auto"/>
            <w:vAlign w:val="bottom"/>
          </w:tcPr>
          <w:p w14:paraId="44EE35D2" w14:textId="77777777" w:rsidR="00F849A7" w:rsidRPr="00D9348B" w:rsidRDefault="00F849A7" w:rsidP="00DB330E">
            <w:pPr>
              <w:pStyle w:val="TableText"/>
              <w:jc w:val="center"/>
              <w:rPr>
                <w:rFonts w:cs="Calibri"/>
              </w:rPr>
            </w:pPr>
            <w:r w:rsidRPr="00D9348B">
              <w:rPr>
                <w:rFonts w:cs="Calibri"/>
              </w:rPr>
              <w:t>–</w:t>
            </w:r>
          </w:p>
        </w:tc>
        <w:tc>
          <w:tcPr>
            <w:tcW w:w="1984" w:type="dxa"/>
            <w:shd w:val="clear" w:color="auto" w:fill="auto"/>
            <w:vAlign w:val="bottom"/>
          </w:tcPr>
          <w:p w14:paraId="01938BA4" w14:textId="77777777" w:rsidR="00F849A7" w:rsidRPr="00D9348B" w:rsidRDefault="00F849A7" w:rsidP="00DB330E">
            <w:pPr>
              <w:pStyle w:val="TableText"/>
              <w:jc w:val="center"/>
              <w:rPr>
                <w:rFonts w:cs="Calibri"/>
              </w:rPr>
            </w:pPr>
            <w:r w:rsidRPr="00D9348B">
              <w:rPr>
                <w:rFonts w:cs="Calibri"/>
              </w:rPr>
              <w:t>–</w:t>
            </w:r>
          </w:p>
        </w:tc>
      </w:tr>
      <w:tr w:rsidR="00F849A7" w:rsidRPr="00D9348B" w14:paraId="65F00933" w14:textId="77777777" w:rsidTr="00591646">
        <w:tc>
          <w:tcPr>
            <w:tcW w:w="3402" w:type="dxa"/>
            <w:vAlign w:val="bottom"/>
          </w:tcPr>
          <w:p w14:paraId="5D7011B8" w14:textId="77777777" w:rsidR="00F849A7" w:rsidRPr="00D9348B" w:rsidRDefault="00F849A7" w:rsidP="00DB330E">
            <w:pPr>
              <w:pStyle w:val="TableText"/>
              <w:rPr>
                <w:rFonts w:cs="Calibri"/>
              </w:rPr>
            </w:pPr>
            <w:r w:rsidRPr="00D9348B">
              <w:rPr>
                <w:rFonts w:cs="Calibri"/>
              </w:rPr>
              <w:t>IPCC (2006) default Y</w:t>
            </w:r>
            <w:r w:rsidRPr="00D9348B">
              <w:rPr>
                <w:rFonts w:cs="Calibri"/>
                <w:vertAlign w:val="subscript"/>
              </w:rPr>
              <w:t>m</w:t>
            </w:r>
            <w:r w:rsidRPr="00D9348B">
              <w:rPr>
                <w:rFonts w:cs="Calibri"/>
              </w:rPr>
              <w:t xml:space="preserve"> values (GEI, %)</w:t>
            </w:r>
          </w:p>
        </w:tc>
        <w:tc>
          <w:tcPr>
            <w:tcW w:w="1418" w:type="dxa"/>
            <w:vAlign w:val="bottom"/>
          </w:tcPr>
          <w:p w14:paraId="2F649A79" w14:textId="77777777" w:rsidR="00F849A7" w:rsidRPr="00D9348B" w:rsidRDefault="00F849A7" w:rsidP="00DB330E">
            <w:pPr>
              <w:pStyle w:val="TableText"/>
              <w:jc w:val="center"/>
              <w:rPr>
                <w:rFonts w:cs="Calibri"/>
              </w:rPr>
            </w:pPr>
            <w:r w:rsidRPr="00D9348B">
              <w:rPr>
                <w:rFonts w:cs="Calibri"/>
              </w:rPr>
              <w:t>6.5 ± 1.0</w:t>
            </w:r>
          </w:p>
        </w:tc>
        <w:tc>
          <w:tcPr>
            <w:tcW w:w="1701" w:type="dxa"/>
            <w:vAlign w:val="bottom"/>
          </w:tcPr>
          <w:p w14:paraId="4186CEDA" w14:textId="77777777" w:rsidR="00F849A7" w:rsidRPr="00D9348B" w:rsidRDefault="00F849A7" w:rsidP="00DB330E">
            <w:pPr>
              <w:pStyle w:val="TableText"/>
              <w:jc w:val="center"/>
              <w:rPr>
                <w:rFonts w:cs="Calibri"/>
              </w:rPr>
            </w:pPr>
            <w:r w:rsidRPr="00D9348B">
              <w:rPr>
                <w:rFonts w:cs="Calibri"/>
              </w:rPr>
              <w:t>6.5 ± 1.0</w:t>
            </w:r>
          </w:p>
        </w:tc>
        <w:tc>
          <w:tcPr>
            <w:tcW w:w="1984" w:type="dxa"/>
            <w:vAlign w:val="bottom"/>
          </w:tcPr>
          <w:p w14:paraId="6BBA5231" w14:textId="77777777" w:rsidR="00F849A7" w:rsidRPr="00D9348B" w:rsidRDefault="00F849A7" w:rsidP="00DB330E">
            <w:pPr>
              <w:pStyle w:val="TableText"/>
              <w:jc w:val="center"/>
              <w:rPr>
                <w:rFonts w:cs="Calibri"/>
              </w:rPr>
            </w:pPr>
            <w:r w:rsidRPr="00D9348B">
              <w:rPr>
                <w:rFonts w:cs="Calibri"/>
              </w:rPr>
              <w:t>4.5 ± 1.0</w:t>
            </w:r>
          </w:p>
        </w:tc>
      </w:tr>
    </w:tbl>
    <w:p w14:paraId="449DDCD8" w14:textId="77777777" w:rsidR="00F849A7" w:rsidRPr="00D9348B" w:rsidRDefault="00F849A7" w:rsidP="00F849A7">
      <w:pPr>
        <w:pStyle w:val="Noteundertable"/>
        <w:rPr>
          <w:rFonts w:cs="Calibri"/>
        </w:rPr>
      </w:pPr>
      <w:r w:rsidRPr="00D9348B">
        <w:rPr>
          <w:rFonts w:cs="Calibri"/>
          <w:b/>
          <w:bCs/>
        </w:rPr>
        <w:t xml:space="preserve">Note: </w:t>
      </w:r>
      <w:r w:rsidRPr="00D9348B">
        <w:rPr>
          <w:rFonts w:cs="Calibri"/>
        </w:rPr>
        <w:tab/>
        <w:t>DM = dry matter; Y</w:t>
      </w:r>
      <w:r w:rsidRPr="00D9348B">
        <w:rPr>
          <w:rFonts w:cs="Calibri"/>
          <w:vertAlign w:val="subscript"/>
        </w:rPr>
        <w:t>m</w:t>
      </w:r>
      <w:r w:rsidRPr="00D9348B">
        <w:rPr>
          <w:rFonts w:cs="Calibri"/>
        </w:rPr>
        <w:t xml:space="preserve"> = methane yield, ME = metabolisable energy.</w:t>
      </w:r>
    </w:p>
    <w:p w14:paraId="772E12D9" w14:textId="77777777" w:rsidR="00F849A7" w:rsidRPr="00D9348B" w:rsidRDefault="00F849A7" w:rsidP="00F849A7">
      <w:pPr>
        <w:pStyle w:val="BodyText"/>
        <w:rPr>
          <w:rFonts w:cs="Calibri"/>
        </w:rPr>
      </w:pPr>
      <w:r w:rsidRPr="00D9348B">
        <w:rPr>
          <w:rFonts w:cs="Calibri"/>
        </w:rPr>
        <w:t>The adult cattle value is applied to all dairy and non-dairy cattle, irrespective of age. The average of the adult cow and the (now defunct) CH</w:t>
      </w:r>
      <w:r w:rsidRPr="00D9348B">
        <w:rPr>
          <w:rFonts w:cs="Calibri"/>
          <w:vertAlign w:val="subscript"/>
        </w:rPr>
        <w:t>4</w:t>
      </w:r>
      <w:r w:rsidRPr="00D9348B">
        <w:rPr>
          <w:rFonts w:cs="Calibri"/>
        </w:rPr>
        <w:t xml:space="preserve"> emission rate for adult ewes, used in prior versions of the National Inventory Report (21.25 g CH</w:t>
      </w:r>
      <w:r w:rsidRPr="00D9348B">
        <w:rPr>
          <w:rFonts w:cs="Calibri"/>
          <w:vertAlign w:val="subscript"/>
        </w:rPr>
        <w:t>4</w:t>
      </w:r>
      <w:r w:rsidRPr="00D9348B">
        <w:rPr>
          <w:rFonts w:cs="Calibri"/>
        </w:rPr>
        <w:t>/kg DMI), is assumed to apply to all deer (Clark et al., 2003). In very young animals receiving a milk diet, no CH</w:t>
      </w:r>
      <w:r w:rsidRPr="00D9348B">
        <w:rPr>
          <w:rFonts w:cs="Calibri"/>
          <w:vertAlign w:val="subscript"/>
        </w:rPr>
        <w:t>4</w:t>
      </w:r>
      <w:r w:rsidRPr="00D9348B">
        <w:rPr>
          <w:rFonts w:cs="Calibri"/>
        </w:rPr>
        <w:t xml:space="preserve"> emissions are assumed to arise from the milk portion of the diet. </w:t>
      </w:r>
    </w:p>
    <w:p w14:paraId="3D95FA81" w14:textId="77777777" w:rsidR="00F849A7" w:rsidRPr="00D9348B" w:rsidRDefault="00F849A7" w:rsidP="00F849A7">
      <w:pPr>
        <w:pStyle w:val="BodyText"/>
        <w:rPr>
          <w:rFonts w:cs="Calibri"/>
        </w:rPr>
      </w:pPr>
      <w:r w:rsidRPr="00D9348B">
        <w:rPr>
          <w:rFonts w:cs="Calibri"/>
        </w:rPr>
        <w:t>Table 5.2.3 shows a time series of CH</w:t>
      </w:r>
      <w:r w:rsidRPr="00D9348B">
        <w:rPr>
          <w:rFonts w:cs="Calibri"/>
          <w:vertAlign w:val="subscript"/>
        </w:rPr>
        <w:t>4</w:t>
      </w:r>
      <w:r w:rsidRPr="00D9348B">
        <w:rPr>
          <w:rFonts w:cs="Calibri"/>
        </w:rPr>
        <w:t xml:space="preserve"> IEFs (total emissions produced per animal type divided by the population of animals) for dairy cattle, non-dairy cattle, sheep and deer. New Zealand experiences significant inter-annual variability in these IEFs, which is explained further in section 5.1.1.</w:t>
      </w:r>
    </w:p>
    <w:p w14:paraId="3DB80174" w14:textId="77777777" w:rsidR="00F849A7" w:rsidRPr="00D9348B" w:rsidRDefault="00F849A7" w:rsidP="00F849A7">
      <w:pPr>
        <w:pStyle w:val="Table"/>
        <w:rPr>
          <w:rFonts w:cs="Calibri"/>
        </w:rPr>
      </w:pPr>
      <w:bookmarkStart w:id="654" w:name="_Toc441830870"/>
      <w:bookmarkStart w:id="655" w:name="_Toc451176084"/>
      <w:bookmarkStart w:id="656" w:name="_Toc481751510"/>
      <w:bookmarkStart w:id="657" w:name="_Toc507158600"/>
      <w:bookmarkStart w:id="658" w:name="_Toc511116734"/>
      <w:bookmarkStart w:id="659" w:name="_Toc5269474"/>
      <w:bookmarkStart w:id="660" w:name="_Toc32570915"/>
      <w:bookmarkStart w:id="661" w:name="_Toc36224550"/>
      <w:r w:rsidRPr="00D9348B">
        <w:rPr>
          <w:rFonts w:cs="Calibri"/>
        </w:rPr>
        <w:t>Table 5.2.3</w:t>
      </w:r>
      <w:r w:rsidRPr="00D9348B">
        <w:rPr>
          <w:rFonts w:cs="Calibri"/>
        </w:rPr>
        <w:tab/>
        <w:t>New Zealand’s implied emission factors for enteric fermentation from 1990 to</w:t>
      </w:r>
      <w:bookmarkEnd w:id="654"/>
      <w:bookmarkEnd w:id="655"/>
      <w:bookmarkEnd w:id="656"/>
      <w:r w:rsidRPr="00D9348B">
        <w:rPr>
          <w:rFonts w:cs="Calibri"/>
        </w:rPr>
        <w:t> 201</w:t>
      </w:r>
      <w:bookmarkEnd w:id="657"/>
      <w:bookmarkEnd w:id="658"/>
      <w:bookmarkEnd w:id="659"/>
      <w:r w:rsidRPr="00D9348B">
        <w:rPr>
          <w:rFonts w:cs="Calibri"/>
        </w:rPr>
        <w:t>8</w:t>
      </w:r>
      <w:bookmarkEnd w:id="660"/>
      <w:bookmarkEnd w:id="661"/>
    </w:p>
    <w:tbl>
      <w:tblPr>
        <w:tblW w:w="8505" w:type="dxa"/>
        <w:tblInd w:w="108" w:type="dxa"/>
        <w:tblBorders>
          <w:top w:val="single" w:sz="4" w:space="0" w:color="365F91"/>
          <w:bottom w:val="single" w:sz="4" w:space="0" w:color="365F91"/>
          <w:insideH w:val="single" w:sz="4" w:space="0" w:color="365F91"/>
        </w:tblBorders>
        <w:tblLayout w:type="fixed"/>
        <w:tblLook w:val="0000" w:firstRow="0" w:lastRow="0" w:firstColumn="0" w:lastColumn="0" w:noHBand="0" w:noVBand="0"/>
      </w:tblPr>
      <w:tblGrid>
        <w:gridCol w:w="988"/>
        <w:gridCol w:w="1489"/>
        <w:gridCol w:w="1487"/>
        <w:gridCol w:w="1487"/>
        <w:gridCol w:w="1536"/>
        <w:gridCol w:w="1518"/>
      </w:tblGrid>
      <w:tr w:rsidR="00F849A7" w:rsidRPr="00D9348B" w14:paraId="43BB93B3" w14:textId="77777777" w:rsidTr="002278D8">
        <w:trPr>
          <w:trHeight w:val="623"/>
          <w:tblHeader/>
        </w:trPr>
        <w:tc>
          <w:tcPr>
            <w:tcW w:w="988" w:type="dxa"/>
            <w:shd w:val="clear" w:color="auto" w:fill="365F91"/>
            <w:vAlign w:val="bottom"/>
          </w:tcPr>
          <w:p w14:paraId="571C89C5" w14:textId="77777777" w:rsidR="00F849A7" w:rsidRPr="00D9348B" w:rsidRDefault="00F849A7" w:rsidP="00DB330E">
            <w:pPr>
              <w:pStyle w:val="TableTextBold"/>
              <w:keepNext/>
              <w:rPr>
                <w:rFonts w:cs="Calibri"/>
                <w:noProof w:val="0"/>
                <w:color w:val="FFFFFF"/>
                <w:szCs w:val="16"/>
              </w:rPr>
            </w:pPr>
            <w:r w:rsidRPr="00D9348B">
              <w:rPr>
                <w:rFonts w:cs="Calibri"/>
                <w:noProof w:val="0"/>
                <w:color w:val="FFFFFF"/>
                <w:szCs w:val="16"/>
              </w:rPr>
              <w:t>Year</w:t>
            </w:r>
          </w:p>
        </w:tc>
        <w:tc>
          <w:tcPr>
            <w:tcW w:w="1489" w:type="dxa"/>
            <w:shd w:val="clear" w:color="auto" w:fill="365F91"/>
            <w:vAlign w:val="bottom"/>
          </w:tcPr>
          <w:p w14:paraId="7CDE211B" w14:textId="77777777" w:rsidR="00F849A7" w:rsidRPr="00D9348B" w:rsidRDefault="00F849A7" w:rsidP="00DB330E">
            <w:pPr>
              <w:pStyle w:val="TableTextBold"/>
              <w:jc w:val="center"/>
              <w:rPr>
                <w:rFonts w:cs="Calibri"/>
                <w:noProof w:val="0"/>
                <w:color w:val="FFFFFF"/>
                <w:szCs w:val="16"/>
              </w:rPr>
            </w:pPr>
            <w:r w:rsidRPr="00D9348B">
              <w:rPr>
                <w:rFonts w:cs="Calibri"/>
                <w:noProof w:val="0"/>
                <w:color w:val="FFFFFF"/>
                <w:szCs w:val="16"/>
              </w:rPr>
              <w:t>All dairy cattle</w:t>
            </w:r>
            <w:r w:rsidRPr="00D9348B">
              <w:rPr>
                <w:rFonts w:cs="Calibri"/>
                <w:noProof w:val="0"/>
                <w:color w:val="FFFFFF"/>
                <w:szCs w:val="16"/>
              </w:rPr>
              <w:br/>
              <w:t>(kg CH</w:t>
            </w:r>
            <w:r w:rsidRPr="00D9348B">
              <w:rPr>
                <w:rFonts w:cs="Calibri"/>
                <w:noProof w:val="0"/>
                <w:color w:val="FFFFFF"/>
                <w:szCs w:val="16"/>
                <w:vertAlign w:val="subscript"/>
              </w:rPr>
              <w:t xml:space="preserve">4 </w:t>
            </w:r>
            <w:r w:rsidRPr="00D9348B">
              <w:rPr>
                <w:rFonts w:cs="Calibri"/>
                <w:noProof w:val="0"/>
                <w:color w:val="FFFFFF"/>
                <w:szCs w:val="16"/>
              </w:rPr>
              <w:t>per animal per annum)</w:t>
            </w:r>
          </w:p>
        </w:tc>
        <w:tc>
          <w:tcPr>
            <w:tcW w:w="1487" w:type="dxa"/>
            <w:shd w:val="clear" w:color="auto" w:fill="365F91"/>
          </w:tcPr>
          <w:p w14:paraId="70A90124" w14:textId="77777777" w:rsidR="00F849A7" w:rsidRPr="00D9348B" w:rsidRDefault="00F849A7" w:rsidP="00DB330E">
            <w:pPr>
              <w:pStyle w:val="TableTextBold"/>
              <w:jc w:val="center"/>
              <w:rPr>
                <w:rFonts w:cs="Calibri"/>
                <w:noProof w:val="0"/>
                <w:color w:val="FFFFFF"/>
                <w:szCs w:val="16"/>
              </w:rPr>
            </w:pPr>
            <w:r w:rsidRPr="00D9348B">
              <w:rPr>
                <w:rFonts w:cs="Calibri"/>
                <w:noProof w:val="0"/>
                <w:color w:val="FFFFFF"/>
                <w:szCs w:val="16"/>
              </w:rPr>
              <w:t>Milking dairy cattle (kg CH</w:t>
            </w:r>
            <w:r w:rsidRPr="00D9348B">
              <w:rPr>
                <w:rFonts w:cs="Calibri"/>
                <w:noProof w:val="0"/>
                <w:color w:val="FFFFFF"/>
                <w:szCs w:val="16"/>
                <w:vertAlign w:val="subscript"/>
              </w:rPr>
              <w:t xml:space="preserve">4 </w:t>
            </w:r>
            <w:r w:rsidRPr="00D9348B">
              <w:rPr>
                <w:rFonts w:cs="Calibri"/>
                <w:noProof w:val="0"/>
                <w:color w:val="FFFFFF"/>
                <w:szCs w:val="16"/>
              </w:rPr>
              <w:t>per animal per annum)</w:t>
            </w:r>
          </w:p>
        </w:tc>
        <w:tc>
          <w:tcPr>
            <w:tcW w:w="1487" w:type="dxa"/>
            <w:shd w:val="clear" w:color="auto" w:fill="365F91"/>
            <w:vAlign w:val="bottom"/>
          </w:tcPr>
          <w:p w14:paraId="1E9DB77E" w14:textId="77777777" w:rsidR="00F849A7" w:rsidRPr="00D9348B" w:rsidRDefault="00F849A7" w:rsidP="00DB330E">
            <w:pPr>
              <w:pStyle w:val="TableTextBold"/>
              <w:jc w:val="center"/>
              <w:rPr>
                <w:rFonts w:cs="Calibri"/>
                <w:noProof w:val="0"/>
                <w:color w:val="FFFFFF"/>
                <w:szCs w:val="16"/>
              </w:rPr>
            </w:pPr>
            <w:r w:rsidRPr="00D9348B">
              <w:rPr>
                <w:rFonts w:cs="Calibri"/>
                <w:noProof w:val="0"/>
                <w:color w:val="FFFFFF"/>
                <w:szCs w:val="16"/>
              </w:rPr>
              <w:t>Non-dairy cattle (kg CH</w:t>
            </w:r>
            <w:r w:rsidRPr="00D9348B">
              <w:rPr>
                <w:rFonts w:cs="Calibri"/>
                <w:noProof w:val="0"/>
                <w:color w:val="FFFFFF"/>
                <w:szCs w:val="16"/>
                <w:vertAlign w:val="subscript"/>
              </w:rPr>
              <w:t xml:space="preserve">4 </w:t>
            </w:r>
            <w:r w:rsidRPr="00D9348B">
              <w:rPr>
                <w:rFonts w:cs="Calibri"/>
                <w:noProof w:val="0"/>
                <w:color w:val="FFFFFF"/>
                <w:szCs w:val="16"/>
              </w:rPr>
              <w:t>per animal per annum)</w:t>
            </w:r>
          </w:p>
        </w:tc>
        <w:tc>
          <w:tcPr>
            <w:tcW w:w="1536" w:type="dxa"/>
            <w:shd w:val="clear" w:color="auto" w:fill="365F91"/>
            <w:vAlign w:val="bottom"/>
          </w:tcPr>
          <w:p w14:paraId="23952887" w14:textId="77777777" w:rsidR="00F849A7" w:rsidRPr="00D9348B" w:rsidRDefault="00F849A7" w:rsidP="00DB330E">
            <w:pPr>
              <w:pStyle w:val="TableTextBold"/>
              <w:jc w:val="center"/>
              <w:rPr>
                <w:rFonts w:cs="Calibri"/>
                <w:noProof w:val="0"/>
                <w:color w:val="FFFFFF"/>
                <w:szCs w:val="16"/>
              </w:rPr>
            </w:pPr>
            <w:r w:rsidRPr="00D9348B">
              <w:rPr>
                <w:rFonts w:cs="Calibri"/>
                <w:noProof w:val="0"/>
                <w:color w:val="FFFFFF"/>
                <w:szCs w:val="16"/>
              </w:rPr>
              <w:t>Sheep, all</w:t>
            </w:r>
            <w:r w:rsidRPr="00D9348B">
              <w:rPr>
                <w:rFonts w:cs="Calibri"/>
                <w:noProof w:val="0"/>
                <w:color w:val="FFFFFF"/>
                <w:szCs w:val="16"/>
              </w:rPr>
              <w:br/>
              <w:t>(kg CH</w:t>
            </w:r>
            <w:r w:rsidRPr="00D9348B">
              <w:rPr>
                <w:rFonts w:cs="Calibri"/>
                <w:noProof w:val="0"/>
                <w:color w:val="FFFFFF"/>
                <w:szCs w:val="16"/>
                <w:vertAlign w:val="subscript"/>
              </w:rPr>
              <w:t xml:space="preserve">4 </w:t>
            </w:r>
            <w:r w:rsidRPr="00D9348B">
              <w:rPr>
                <w:rFonts w:cs="Calibri"/>
                <w:noProof w:val="0"/>
                <w:color w:val="FFFFFF"/>
                <w:szCs w:val="16"/>
              </w:rPr>
              <w:t>per animal per annum)</w:t>
            </w:r>
          </w:p>
        </w:tc>
        <w:tc>
          <w:tcPr>
            <w:tcW w:w="1518" w:type="dxa"/>
            <w:shd w:val="clear" w:color="auto" w:fill="365F91"/>
            <w:vAlign w:val="bottom"/>
          </w:tcPr>
          <w:p w14:paraId="2C408F06" w14:textId="77777777" w:rsidR="00F849A7" w:rsidRPr="00D9348B" w:rsidRDefault="00F849A7" w:rsidP="00DB330E">
            <w:pPr>
              <w:pStyle w:val="TableTextBold"/>
              <w:jc w:val="center"/>
              <w:rPr>
                <w:rFonts w:cs="Calibri"/>
                <w:noProof w:val="0"/>
                <w:color w:val="FFFFFF"/>
                <w:szCs w:val="16"/>
              </w:rPr>
            </w:pPr>
            <w:r w:rsidRPr="00D9348B">
              <w:rPr>
                <w:rFonts w:cs="Calibri"/>
                <w:noProof w:val="0"/>
                <w:color w:val="FFFFFF"/>
                <w:szCs w:val="16"/>
              </w:rPr>
              <w:t>Deer (kg CH</w:t>
            </w:r>
            <w:r w:rsidRPr="00D9348B">
              <w:rPr>
                <w:rFonts w:cs="Calibri"/>
                <w:noProof w:val="0"/>
                <w:color w:val="FFFFFF"/>
                <w:szCs w:val="16"/>
                <w:vertAlign w:val="subscript"/>
              </w:rPr>
              <w:t xml:space="preserve">4 </w:t>
            </w:r>
            <w:r w:rsidRPr="00D9348B">
              <w:rPr>
                <w:rFonts w:cs="Calibri"/>
                <w:noProof w:val="0"/>
                <w:color w:val="FFFFFF"/>
                <w:szCs w:val="16"/>
              </w:rPr>
              <w:t>per animal per annum)</w:t>
            </w:r>
          </w:p>
        </w:tc>
      </w:tr>
      <w:tr w:rsidR="00F849A7" w:rsidRPr="00D9348B" w14:paraId="147C0DF6" w14:textId="77777777" w:rsidTr="002278D8">
        <w:trPr>
          <w:trHeight w:val="239"/>
        </w:trPr>
        <w:tc>
          <w:tcPr>
            <w:tcW w:w="988" w:type="dxa"/>
          </w:tcPr>
          <w:p w14:paraId="0E1E0E8D" w14:textId="77777777" w:rsidR="00F849A7" w:rsidRPr="00D9348B" w:rsidRDefault="00F849A7" w:rsidP="00DB330E">
            <w:pPr>
              <w:pStyle w:val="TableText"/>
              <w:keepNext/>
              <w:spacing w:before="40" w:after="40"/>
              <w:rPr>
                <w:rFonts w:cs="Calibri"/>
                <w:szCs w:val="16"/>
              </w:rPr>
            </w:pPr>
            <w:r w:rsidRPr="00D9348B">
              <w:rPr>
                <w:rFonts w:cs="Calibri"/>
                <w:szCs w:val="16"/>
              </w:rPr>
              <w:t>1990</w:t>
            </w:r>
          </w:p>
        </w:tc>
        <w:tc>
          <w:tcPr>
            <w:tcW w:w="1489" w:type="dxa"/>
            <w:vAlign w:val="bottom"/>
          </w:tcPr>
          <w:p w14:paraId="3220E681" w14:textId="77777777" w:rsidR="00F849A7" w:rsidRPr="00D9348B" w:rsidRDefault="00F849A7" w:rsidP="00DB330E">
            <w:pPr>
              <w:pStyle w:val="TableText"/>
              <w:spacing w:before="40" w:after="40"/>
              <w:jc w:val="center"/>
              <w:rPr>
                <w:rFonts w:cs="Calibri"/>
                <w:szCs w:val="16"/>
              </w:rPr>
            </w:pPr>
            <w:r w:rsidRPr="00D9348B">
              <w:rPr>
                <w:rFonts w:cs="Calibri"/>
                <w:szCs w:val="16"/>
              </w:rPr>
              <w:t>69.1</w:t>
            </w:r>
          </w:p>
        </w:tc>
        <w:tc>
          <w:tcPr>
            <w:tcW w:w="1487" w:type="dxa"/>
            <w:vAlign w:val="center"/>
          </w:tcPr>
          <w:p w14:paraId="3337ADF1" w14:textId="77777777" w:rsidR="00F849A7" w:rsidRPr="00D9348B" w:rsidRDefault="00F849A7" w:rsidP="00DB330E">
            <w:pPr>
              <w:pStyle w:val="TableText"/>
              <w:spacing w:before="40" w:after="40"/>
              <w:jc w:val="center"/>
              <w:rPr>
                <w:rFonts w:cs="Calibri"/>
                <w:szCs w:val="16"/>
              </w:rPr>
            </w:pPr>
            <w:r w:rsidRPr="00D9348B">
              <w:rPr>
                <w:rFonts w:cs="Calibri"/>
                <w:color w:val="000000"/>
                <w:szCs w:val="16"/>
              </w:rPr>
              <w:t>74.1</w:t>
            </w:r>
          </w:p>
        </w:tc>
        <w:tc>
          <w:tcPr>
            <w:tcW w:w="1487" w:type="dxa"/>
            <w:vAlign w:val="bottom"/>
          </w:tcPr>
          <w:p w14:paraId="7A18D089" w14:textId="77777777" w:rsidR="00F849A7" w:rsidRPr="00D9348B" w:rsidRDefault="00F849A7" w:rsidP="00DB330E">
            <w:pPr>
              <w:pStyle w:val="TableText"/>
              <w:spacing w:before="40" w:after="40"/>
              <w:jc w:val="center"/>
              <w:rPr>
                <w:rFonts w:cs="Calibri"/>
                <w:szCs w:val="16"/>
              </w:rPr>
            </w:pPr>
            <w:r w:rsidRPr="00D9348B">
              <w:rPr>
                <w:rFonts w:cs="Calibri"/>
                <w:szCs w:val="16"/>
              </w:rPr>
              <w:t>50.1</w:t>
            </w:r>
          </w:p>
        </w:tc>
        <w:tc>
          <w:tcPr>
            <w:tcW w:w="1536" w:type="dxa"/>
            <w:vAlign w:val="bottom"/>
          </w:tcPr>
          <w:p w14:paraId="25051DBE" w14:textId="77777777" w:rsidR="00F849A7" w:rsidRPr="00D9348B" w:rsidRDefault="00F849A7" w:rsidP="00DB330E">
            <w:pPr>
              <w:pStyle w:val="TableText"/>
              <w:spacing w:before="40" w:after="40"/>
              <w:ind w:right="510"/>
              <w:jc w:val="right"/>
              <w:rPr>
                <w:rFonts w:cs="Calibri"/>
                <w:szCs w:val="16"/>
              </w:rPr>
            </w:pPr>
            <w:r w:rsidRPr="00D9348B">
              <w:rPr>
                <w:rFonts w:cs="Calibri"/>
                <w:szCs w:val="16"/>
              </w:rPr>
              <w:t>9.8</w:t>
            </w:r>
          </w:p>
        </w:tc>
        <w:tc>
          <w:tcPr>
            <w:tcW w:w="1518" w:type="dxa"/>
            <w:vAlign w:val="bottom"/>
          </w:tcPr>
          <w:p w14:paraId="5052D32C" w14:textId="77777777" w:rsidR="00F849A7" w:rsidRPr="00D9348B" w:rsidRDefault="00F849A7" w:rsidP="00DB330E">
            <w:pPr>
              <w:pStyle w:val="TableText"/>
              <w:spacing w:before="40" w:after="40"/>
              <w:jc w:val="center"/>
              <w:rPr>
                <w:rFonts w:cs="Calibri"/>
                <w:szCs w:val="16"/>
              </w:rPr>
            </w:pPr>
            <w:r w:rsidRPr="00D9348B">
              <w:rPr>
                <w:rFonts w:cs="Calibri"/>
                <w:szCs w:val="16"/>
              </w:rPr>
              <w:t>17.7</w:t>
            </w:r>
          </w:p>
        </w:tc>
      </w:tr>
      <w:tr w:rsidR="00F849A7" w:rsidRPr="00D9348B" w14:paraId="046661DE" w14:textId="77777777" w:rsidTr="002278D8">
        <w:trPr>
          <w:trHeight w:val="239"/>
        </w:trPr>
        <w:tc>
          <w:tcPr>
            <w:tcW w:w="988" w:type="dxa"/>
          </w:tcPr>
          <w:p w14:paraId="76305B13" w14:textId="77777777" w:rsidR="00F849A7" w:rsidRPr="00D9348B" w:rsidRDefault="00F849A7" w:rsidP="00DB330E">
            <w:pPr>
              <w:pStyle w:val="TableText"/>
              <w:spacing w:before="40" w:after="40"/>
              <w:rPr>
                <w:rFonts w:cs="Calibri"/>
                <w:szCs w:val="16"/>
              </w:rPr>
            </w:pPr>
            <w:r w:rsidRPr="00D9348B">
              <w:rPr>
                <w:rFonts w:cs="Calibri"/>
                <w:szCs w:val="16"/>
              </w:rPr>
              <w:t>1991</w:t>
            </w:r>
          </w:p>
        </w:tc>
        <w:tc>
          <w:tcPr>
            <w:tcW w:w="1489" w:type="dxa"/>
            <w:vAlign w:val="bottom"/>
          </w:tcPr>
          <w:p w14:paraId="3822D765" w14:textId="77777777" w:rsidR="00F849A7" w:rsidRPr="00D9348B" w:rsidRDefault="00F849A7" w:rsidP="00DB330E">
            <w:pPr>
              <w:pStyle w:val="TableText"/>
              <w:spacing w:before="40" w:after="40"/>
              <w:jc w:val="center"/>
              <w:rPr>
                <w:rFonts w:cs="Calibri"/>
                <w:szCs w:val="16"/>
              </w:rPr>
            </w:pPr>
            <w:r w:rsidRPr="00D9348B">
              <w:rPr>
                <w:rFonts w:cs="Calibri"/>
                <w:szCs w:val="16"/>
              </w:rPr>
              <w:t>72.1</w:t>
            </w:r>
          </w:p>
        </w:tc>
        <w:tc>
          <w:tcPr>
            <w:tcW w:w="1487" w:type="dxa"/>
            <w:vAlign w:val="center"/>
          </w:tcPr>
          <w:p w14:paraId="2BAE2252" w14:textId="77777777" w:rsidR="00F849A7" w:rsidRPr="00D9348B" w:rsidRDefault="00F849A7" w:rsidP="00DB330E">
            <w:pPr>
              <w:pStyle w:val="TableText"/>
              <w:spacing w:before="40" w:after="40"/>
              <w:jc w:val="center"/>
              <w:rPr>
                <w:rFonts w:cs="Calibri"/>
                <w:szCs w:val="16"/>
              </w:rPr>
            </w:pPr>
            <w:r w:rsidRPr="00D9348B">
              <w:rPr>
                <w:rFonts w:cs="Calibri"/>
                <w:color w:val="000000"/>
                <w:szCs w:val="16"/>
              </w:rPr>
              <w:t>72.5</w:t>
            </w:r>
          </w:p>
        </w:tc>
        <w:tc>
          <w:tcPr>
            <w:tcW w:w="1487" w:type="dxa"/>
            <w:vAlign w:val="bottom"/>
          </w:tcPr>
          <w:p w14:paraId="52677B74" w14:textId="77777777" w:rsidR="00F849A7" w:rsidRPr="00D9348B" w:rsidRDefault="00F849A7" w:rsidP="00DB330E">
            <w:pPr>
              <w:pStyle w:val="TableText"/>
              <w:spacing w:before="40" w:after="40"/>
              <w:jc w:val="center"/>
              <w:rPr>
                <w:rFonts w:cs="Calibri"/>
                <w:szCs w:val="16"/>
              </w:rPr>
            </w:pPr>
            <w:r w:rsidRPr="00D9348B">
              <w:rPr>
                <w:rFonts w:cs="Calibri"/>
                <w:szCs w:val="16"/>
              </w:rPr>
              <w:t>51.6</w:t>
            </w:r>
          </w:p>
        </w:tc>
        <w:tc>
          <w:tcPr>
            <w:tcW w:w="1536" w:type="dxa"/>
            <w:vAlign w:val="bottom"/>
          </w:tcPr>
          <w:p w14:paraId="66F7FEE9" w14:textId="77777777" w:rsidR="00F849A7" w:rsidRPr="00D9348B" w:rsidRDefault="00F849A7" w:rsidP="00DB330E">
            <w:pPr>
              <w:pStyle w:val="TableText"/>
              <w:spacing w:before="40" w:after="40"/>
              <w:ind w:right="510"/>
              <w:jc w:val="right"/>
              <w:rPr>
                <w:rFonts w:cs="Calibri"/>
                <w:szCs w:val="16"/>
              </w:rPr>
            </w:pPr>
            <w:r w:rsidRPr="00D9348B">
              <w:rPr>
                <w:rFonts w:cs="Calibri"/>
                <w:szCs w:val="16"/>
              </w:rPr>
              <w:t>10.0</w:t>
            </w:r>
          </w:p>
        </w:tc>
        <w:tc>
          <w:tcPr>
            <w:tcW w:w="1518" w:type="dxa"/>
            <w:vAlign w:val="bottom"/>
          </w:tcPr>
          <w:p w14:paraId="52FB0E74" w14:textId="77777777" w:rsidR="00F849A7" w:rsidRPr="00D9348B" w:rsidRDefault="00F849A7" w:rsidP="00DB330E">
            <w:pPr>
              <w:pStyle w:val="TableText"/>
              <w:spacing w:before="40" w:after="40"/>
              <w:jc w:val="center"/>
              <w:rPr>
                <w:rFonts w:cs="Calibri"/>
                <w:szCs w:val="16"/>
              </w:rPr>
            </w:pPr>
            <w:r w:rsidRPr="00D9348B">
              <w:rPr>
                <w:rFonts w:cs="Calibri"/>
                <w:szCs w:val="16"/>
              </w:rPr>
              <w:t>18.2</w:t>
            </w:r>
          </w:p>
        </w:tc>
      </w:tr>
      <w:tr w:rsidR="00F849A7" w:rsidRPr="00D9348B" w14:paraId="1162F9BD" w14:textId="77777777" w:rsidTr="002278D8">
        <w:trPr>
          <w:trHeight w:val="239"/>
        </w:trPr>
        <w:tc>
          <w:tcPr>
            <w:tcW w:w="988" w:type="dxa"/>
          </w:tcPr>
          <w:p w14:paraId="66C54070" w14:textId="77777777" w:rsidR="00F849A7" w:rsidRPr="00D9348B" w:rsidRDefault="00F849A7" w:rsidP="00DB330E">
            <w:pPr>
              <w:pStyle w:val="TableText"/>
              <w:spacing w:before="40" w:after="40"/>
              <w:rPr>
                <w:rFonts w:cs="Calibri"/>
                <w:szCs w:val="16"/>
              </w:rPr>
            </w:pPr>
            <w:r w:rsidRPr="00D9348B">
              <w:rPr>
                <w:rFonts w:cs="Calibri"/>
                <w:szCs w:val="16"/>
              </w:rPr>
              <w:t>1992</w:t>
            </w:r>
          </w:p>
        </w:tc>
        <w:tc>
          <w:tcPr>
            <w:tcW w:w="1489" w:type="dxa"/>
            <w:vAlign w:val="bottom"/>
          </w:tcPr>
          <w:p w14:paraId="3845EAC5" w14:textId="77777777" w:rsidR="00F849A7" w:rsidRPr="00D9348B" w:rsidRDefault="00F849A7" w:rsidP="00DB330E">
            <w:pPr>
              <w:pStyle w:val="TableText"/>
              <w:spacing w:before="40" w:after="40"/>
              <w:jc w:val="center"/>
              <w:rPr>
                <w:rFonts w:cs="Calibri"/>
                <w:szCs w:val="16"/>
              </w:rPr>
            </w:pPr>
            <w:r w:rsidRPr="00D9348B">
              <w:rPr>
                <w:rFonts w:cs="Calibri"/>
                <w:szCs w:val="16"/>
              </w:rPr>
              <w:t>72.6</w:t>
            </w:r>
          </w:p>
        </w:tc>
        <w:tc>
          <w:tcPr>
            <w:tcW w:w="1487" w:type="dxa"/>
            <w:vAlign w:val="center"/>
          </w:tcPr>
          <w:p w14:paraId="6D4C587D" w14:textId="77777777" w:rsidR="00F849A7" w:rsidRPr="00D9348B" w:rsidRDefault="00F849A7" w:rsidP="00DB330E">
            <w:pPr>
              <w:pStyle w:val="TableText"/>
              <w:spacing w:before="40" w:after="40"/>
              <w:jc w:val="center"/>
              <w:rPr>
                <w:rFonts w:cs="Calibri"/>
                <w:szCs w:val="16"/>
              </w:rPr>
            </w:pPr>
            <w:r w:rsidRPr="00D9348B">
              <w:rPr>
                <w:rFonts w:cs="Calibri"/>
                <w:color w:val="000000"/>
                <w:szCs w:val="16"/>
              </w:rPr>
              <w:t>77.2</w:t>
            </w:r>
          </w:p>
        </w:tc>
        <w:tc>
          <w:tcPr>
            <w:tcW w:w="1487" w:type="dxa"/>
            <w:vAlign w:val="bottom"/>
          </w:tcPr>
          <w:p w14:paraId="24EB93D8" w14:textId="77777777" w:rsidR="00F849A7" w:rsidRPr="00D9348B" w:rsidRDefault="00F849A7" w:rsidP="00DB330E">
            <w:pPr>
              <w:pStyle w:val="TableText"/>
              <w:spacing w:before="40" w:after="40"/>
              <w:jc w:val="center"/>
              <w:rPr>
                <w:rFonts w:cs="Calibri"/>
                <w:szCs w:val="16"/>
              </w:rPr>
            </w:pPr>
            <w:r w:rsidRPr="00D9348B">
              <w:rPr>
                <w:rFonts w:cs="Calibri"/>
                <w:szCs w:val="16"/>
              </w:rPr>
              <w:t>52.3</w:t>
            </w:r>
          </w:p>
        </w:tc>
        <w:tc>
          <w:tcPr>
            <w:tcW w:w="1536" w:type="dxa"/>
            <w:vAlign w:val="bottom"/>
          </w:tcPr>
          <w:p w14:paraId="7C93969D" w14:textId="77777777" w:rsidR="00F849A7" w:rsidRPr="00D9348B" w:rsidRDefault="00F849A7" w:rsidP="00DB330E">
            <w:pPr>
              <w:pStyle w:val="TableText"/>
              <w:spacing w:before="40" w:after="40"/>
              <w:ind w:right="510"/>
              <w:jc w:val="right"/>
              <w:rPr>
                <w:rFonts w:cs="Calibri"/>
                <w:szCs w:val="16"/>
              </w:rPr>
            </w:pPr>
            <w:r w:rsidRPr="00D9348B">
              <w:rPr>
                <w:rFonts w:cs="Calibri"/>
                <w:szCs w:val="16"/>
              </w:rPr>
              <w:t>9.9</w:t>
            </w:r>
          </w:p>
        </w:tc>
        <w:tc>
          <w:tcPr>
            <w:tcW w:w="1518" w:type="dxa"/>
            <w:vAlign w:val="bottom"/>
          </w:tcPr>
          <w:p w14:paraId="4505FA5F" w14:textId="77777777" w:rsidR="00F849A7" w:rsidRPr="00D9348B" w:rsidRDefault="00F849A7" w:rsidP="00DB330E">
            <w:pPr>
              <w:pStyle w:val="TableText"/>
              <w:spacing w:before="40" w:after="40"/>
              <w:jc w:val="center"/>
              <w:rPr>
                <w:rFonts w:cs="Calibri"/>
                <w:szCs w:val="16"/>
              </w:rPr>
            </w:pPr>
            <w:r w:rsidRPr="00D9348B">
              <w:rPr>
                <w:rFonts w:cs="Calibri"/>
                <w:szCs w:val="16"/>
              </w:rPr>
              <w:t>19.0</w:t>
            </w:r>
          </w:p>
        </w:tc>
      </w:tr>
      <w:tr w:rsidR="00F849A7" w:rsidRPr="00D9348B" w14:paraId="69F5B905" w14:textId="77777777" w:rsidTr="002278D8">
        <w:trPr>
          <w:trHeight w:val="239"/>
        </w:trPr>
        <w:tc>
          <w:tcPr>
            <w:tcW w:w="988" w:type="dxa"/>
          </w:tcPr>
          <w:p w14:paraId="1D13785E" w14:textId="77777777" w:rsidR="00F849A7" w:rsidRPr="00D9348B" w:rsidRDefault="00F849A7" w:rsidP="00DB330E">
            <w:pPr>
              <w:pStyle w:val="TableText"/>
              <w:spacing w:before="40" w:after="40"/>
              <w:rPr>
                <w:rFonts w:cs="Calibri"/>
                <w:szCs w:val="16"/>
              </w:rPr>
            </w:pPr>
            <w:r w:rsidRPr="00D9348B">
              <w:rPr>
                <w:rFonts w:cs="Calibri"/>
                <w:szCs w:val="16"/>
              </w:rPr>
              <w:t>1993</w:t>
            </w:r>
          </w:p>
        </w:tc>
        <w:tc>
          <w:tcPr>
            <w:tcW w:w="1489" w:type="dxa"/>
            <w:vAlign w:val="bottom"/>
          </w:tcPr>
          <w:p w14:paraId="0EFD642D" w14:textId="77777777" w:rsidR="00F849A7" w:rsidRPr="00D9348B" w:rsidRDefault="00F849A7" w:rsidP="00DB330E">
            <w:pPr>
              <w:pStyle w:val="TableText"/>
              <w:spacing w:before="40" w:after="40"/>
              <w:jc w:val="center"/>
              <w:rPr>
                <w:rFonts w:cs="Calibri"/>
                <w:szCs w:val="16"/>
              </w:rPr>
            </w:pPr>
            <w:r w:rsidRPr="00D9348B">
              <w:rPr>
                <w:rFonts w:cs="Calibri"/>
                <w:szCs w:val="16"/>
              </w:rPr>
              <w:t>73.6</w:t>
            </w:r>
          </w:p>
        </w:tc>
        <w:tc>
          <w:tcPr>
            <w:tcW w:w="1487" w:type="dxa"/>
            <w:vAlign w:val="center"/>
          </w:tcPr>
          <w:p w14:paraId="29F8C467" w14:textId="77777777" w:rsidR="00F849A7" w:rsidRPr="00D9348B" w:rsidRDefault="00F849A7" w:rsidP="00DB330E">
            <w:pPr>
              <w:pStyle w:val="TableText"/>
              <w:spacing w:before="40" w:after="40"/>
              <w:jc w:val="center"/>
              <w:rPr>
                <w:rFonts w:cs="Calibri"/>
                <w:szCs w:val="16"/>
              </w:rPr>
            </w:pPr>
            <w:r w:rsidRPr="00D9348B">
              <w:rPr>
                <w:rFonts w:cs="Calibri"/>
                <w:color w:val="000000"/>
                <w:szCs w:val="16"/>
              </w:rPr>
              <w:t>76.7</w:t>
            </w:r>
          </w:p>
        </w:tc>
        <w:tc>
          <w:tcPr>
            <w:tcW w:w="1487" w:type="dxa"/>
            <w:vAlign w:val="bottom"/>
          </w:tcPr>
          <w:p w14:paraId="479363C8" w14:textId="77777777" w:rsidR="00F849A7" w:rsidRPr="00D9348B" w:rsidRDefault="00F849A7" w:rsidP="00DB330E">
            <w:pPr>
              <w:pStyle w:val="TableText"/>
              <w:spacing w:before="40" w:after="40"/>
              <w:jc w:val="center"/>
              <w:rPr>
                <w:rFonts w:cs="Calibri"/>
                <w:szCs w:val="16"/>
              </w:rPr>
            </w:pPr>
            <w:r w:rsidRPr="00D9348B">
              <w:rPr>
                <w:rFonts w:cs="Calibri"/>
                <w:szCs w:val="16"/>
              </w:rPr>
              <w:t>53.1</w:t>
            </w:r>
          </w:p>
        </w:tc>
        <w:tc>
          <w:tcPr>
            <w:tcW w:w="1536" w:type="dxa"/>
            <w:vAlign w:val="bottom"/>
          </w:tcPr>
          <w:p w14:paraId="7C67CA9E" w14:textId="77777777" w:rsidR="00F849A7" w:rsidRPr="00D9348B" w:rsidRDefault="00F849A7" w:rsidP="00DB330E">
            <w:pPr>
              <w:pStyle w:val="TableText"/>
              <w:spacing w:before="40" w:after="40"/>
              <w:ind w:right="510"/>
              <w:jc w:val="right"/>
              <w:rPr>
                <w:rFonts w:cs="Calibri"/>
                <w:szCs w:val="16"/>
              </w:rPr>
            </w:pPr>
            <w:r w:rsidRPr="00D9348B">
              <w:rPr>
                <w:rFonts w:cs="Calibri"/>
                <w:szCs w:val="16"/>
              </w:rPr>
              <w:t>10.2</w:t>
            </w:r>
          </w:p>
        </w:tc>
        <w:tc>
          <w:tcPr>
            <w:tcW w:w="1518" w:type="dxa"/>
            <w:vAlign w:val="bottom"/>
          </w:tcPr>
          <w:p w14:paraId="34D4FCDF" w14:textId="77777777" w:rsidR="00F849A7" w:rsidRPr="00D9348B" w:rsidRDefault="00F849A7" w:rsidP="00DB330E">
            <w:pPr>
              <w:pStyle w:val="TableText"/>
              <w:spacing w:before="40" w:after="40"/>
              <w:jc w:val="center"/>
              <w:rPr>
                <w:rFonts w:cs="Calibri"/>
                <w:szCs w:val="16"/>
              </w:rPr>
            </w:pPr>
            <w:r w:rsidRPr="00D9348B">
              <w:rPr>
                <w:rFonts w:cs="Calibri"/>
                <w:szCs w:val="16"/>
              </w:rPr>
              <w:t>19.5</w:t>
            </w:r>
          </w:p>
        </w:tc>
      </w:tr>
      <w:tr w:rsidR="00F849A7" w:rsidRPr="00D9348B" w14:paraId="0014C7BF" w14:textId="77777777" w:rsidTr="002278D8">
        <w:trPr>
          <w:trHeight w:val="239"/>
        </w:trPr>
        <w:tc>
          <w:tcPr>
            <w:tcW w:w="988" w:type="dxa"/>
          </w:tcPr>
          <w:p w14:paraId="12C7F5FF" w14:textId="77777777" w:rsidR="00F849A7" w:rsidRPr="00D9348B" w:rsidRDefault="00F849A7" w:rsidP="00DB330E">
            <w:pPr>
              <w:pStyle w:val="TableText"/>
              <w:spacing w:before="40" w:after="40"/>
              <w:rPr>
                <w:rFonts w:cs="Calibri"/>
                <w:szCs w:val="16"/>
              </w:rPr>
            </w:pPr>
            <w:r w:rsidRPr="00D9348B">
              <w:rPr>
                <w:rFonts w:cs="Calibri"/>
                <w:szCs w:val="16"/>
              </w:rPr>
              <w:t>1994</w:t>
            </w:r>
          </w:p>
        </w:tc>
        <w:tc>
          <w:tcPr>
            <w:tcW w:w="1489" w:type="dxa"/>
            <w:vAlign w:val="bottom"/>
          </w:tcPr>
          <w:p w14:paraId="1C34F0CF" w14:textId="77777777" w:rsidR="00F849A7" w:rsidRPr="00D9348B" w:rsidRDefault="00F849A7" w:rsidP="00DB330E">
            <w:pPr>
              <w:pStyle w:val="TableText"/>
              <w:spacing w:before="40" w:after="40"/>
              <w:jc w:val="center"/>
              <w:rPr>
                <w:rFonts w:cs="Calibri"/>
                <w:szCs w:val="16"/>
              </w:rPr>
            </w:pPr>
            <w:r w:rsidRPr="00D9348B">
              <w:rPr>
                <w:rFonts w:cs="Calibri"/>
                <w:szCs w:val="16"/>
              </w:rPr>
              <w:t>72.1</w:t>
            </w:r>
          </w:p>
        </w:tc>
        <w:tc>
          <w:tcPr>
            <w:tcW w:w="1487" w:type="dxa"/>
            <w:vAlign w:val="center"/>
          </w:tcPr>
          <w:p w14:paraId="3606FF61" w14:textId="77777777" w:rsidR="00F849A7" w:rsidRPr="00D9348B" w:rsidRDefault="00F849A7" w:rsidP="00DB330E">
            <w:pPr>
              <w:pStyle w:val="TableText"/>
              <w:spacing w:before="40" w:after="40"/>
              <w:jc w:val="center"/>
              <w:rPr>
                <w:rFonts w:cs="Calibri"/>
                <w:szCs w:val="16"/>
              </w:rPr>
            </w:pPr>
            <w:r w:rsidRPr="00D9348B">
              <w:rPr>
                <w:rFonts w:cs="Calibri"/>
                <w:color w:val="000000"/>
                <w:szCs w:val="16"/>
              </w:rPr>
              <w:t>77.8</w:t>
            </w:r>
          </w:p>
        </w:tc>
        <w:tc>
          <w:tcPr>
            <w:tcW w:w="1487" w:type="dxa"/>
            <w:vAlign w:val="bottom"/>
          </w:tcPr>
          <w:p w14:paraId="457FFF55" w14:textId="77777777" w:rsidR="00F849A7" w:rsidRPr="00D9348B" w:rsidRDefault="00F849A7" w:rsidP="00DB330E">
            <w:pPr>
              <w:pStyle w:val="TableText"/>
              <w:spacing w:before="40" w:after="40"/>
              <w:jc w:val="center"/>
              <w:rPr>
                <w:rFonts w:cs="Calibri"/>
                <w:szCs w:val="16"/>
              </w:rPr>
            </w:pPr>
            <w:r w:rsidRPr="00D9348B">
              <w:rPr>
                <w:rFonts w:cs="Calibri"/>
                <w:szCs w:val="16"/>
              </w:rPr>
              <w:t>53.6</w:t>
            </w:r>
          </w:p>
        </w:tc>
        <w:tc>
          <w:tcPr>
            <w:tcW w:w="1536" w:type="dxa"/>
            <w:vAlign w:val="bottom"/>
          </w:tcPr>
          <w:p w14:paraId="5A734A93" w14:textId="77777777" w:rsidR="00F849A7" w:rsidRPr="00D9348B" w:rsidRDefault="00F849A7" w:rsidP="00DB330E">
            <w:pPr>
              <w:pStyle w:val="TableText"/>
              <w:spacing w:before="40" w:after="40"/>
              <w:ind w:right="510"/>
              <w:jc w:val="right"/>
              <w:rPr>
                <w:rFonts w:cs="Calibri"/>
                <w:szCs w:val="16"/>
              </w:rPr>
            </w:pPr>
            <w:r w:rsidRPr="00D9348B">
              <w:rPr>
                <w:rFonts w:cs="Calibri"/>
                <w:szCs w:val="16"/>
              </w:rPr>
              <w:t>10.3</w:t>
            </w:r>
          </w:p>
        </w:tc>
        <w:tc>
          <w:tcPr>
            <w:tcW w:w="1518" w:type="dxa"/>
            <w:vAlign w:val="bottom"/>
          </w:tcPr>
          <w:p w14:paraId="1400DC6C" w14:textId="77777777" w:rsidR="00F849A7" w:rsidRPr="00D9348B" w:rsidRDefault="00F849A7" w:rsidP="00DB330E">
            <w:pPr>
              <w:pStyle w:val="TableText"/>
              <w:spacing w:before="40" w:after="40"/>
              <w:jc w:val="center"/>
              <w:rPr>
                <w:rFonts w:cs="Calibri"/>
                <w:szCs w:val="16"/>
              </w:rPr>
            </w:pPr>
            <w:r w:rsidRPr="00D9348B">
              <w:rPr>
                <w:rFonts w:cs="Calibri"/>
                <w:szCs w:val="16"/>
              </w:rPr>
              <w:t>19.1</w:t>
            </w:r>
          </w:p>
        </w:tc>
      </w:tr>
      <w:tr w:rsidR="00F849A7" w:rsidRPr="00D9348B" w14:paraId="3D62E7D9" w14:textId="77777777" w:rsidTr="002278D8">
        <w:trPr>
          <w:trHeight w:val="239"/>
        </w:trPr>
        <w:tc>
          <w:tcPr>
            <w:tcW w:w="988" w:type="dxa"/>
          </w:tcPr>
          <w:p w14:paraId="383F99D1" w14:textId="77777777" w:rsidR="00F849A7" w:rsidRPr="00D9348B" w:rsidRDefault="00F849A7" w:rsidP="00DB330E">
            <w:pPr>
              <w:pStyle w:val="TableText"/>
              <w:spacing w:before="40" w:after="40"/>
              <w:rPr>
                <w:rFonts w:cs="Calibri"/>
                <w:szCs w:val="16"/>
              </w:rPr>
            </w:pPr>
            <w:r w:rsidRPr="00D9348B">
              <w:rPr>
                <w:rFonts w:cs="Calibri"/>
                <w:szCs w:val="16"/>
              </w:rPr>
              <w:t>1995</w:t>
            </w:r>
          </w:p>
        </w:tc>
        <w:tc>
          <w:tcPr>
            <w:tcW w:w="1489" w:type="dxa"/>
            <w:vAlign w:val="bottom"/>
          </w:tcPr>
          <w:p w14:paraId="7AFCBFF0" w14:textId="77777777" w:rsidR="00F849A7" w:rsidRPr="00D9348B" w:rsidRDefault="00F849A7" w:rsidP="00DB330E">
            <w:pPr>
              <w:pStyle w:val="TableText"/>
              <w:spacing w:before="40" w:after="40"/>
              <w:jc w:val="center"/>
              <w:rPr>
                <w:rFonts w:cs="Calibri"/>
                <w:szCs w:val="16"/>
              </w:rPr>
            </w:pPr>
            <w:r w:rsidRPr="00D9348B">
              <w:rPr>
                <w:rFonts w:cs="Calibri"/>
                <w:szCs w:val="16"/>
              </w:rPr>
              <w:t>71.8</w:t>
            </w:r>
          </w:p>
        </w:tc>
        <w:tc>
          <w:tcPr>
            <w:tcW w:w="1487" w:type="dxa"/>
            <w:vAlign w:val="center"/>
          </w:tcPr>
          <w:p w14:paraId="4D5C5FEF" w14:textId="77777777" w:rsidR="00F849A7" w:rsidRPr="00D9348B" w:rsidRDefault="00F849A7" w:rsidP="00DB330E">
            <w:pPr>
              <w:pStyle w:val="TableText"/>
              <w:spacing w:before="40" w:after="40"/>
              <w:jc w:val="center"/>
              <w:rPr>
                <w:rFonts w:cs="Calibri"/>
                <w:szCs w:val="16"/>
              </w:rPr>
            </w:pPr>
            <w:r w:rsidRPr="00D9348B">
              <w:rPr>
                <w:rFonts w:cs="Calibri"/>
                <w:color w:val="000000"/>
                <w:szCs w:val="16"/>
              </w:rPr>
              <w:t>77.1</w:t>
            </w:r>
          </w:p>
        </w:tc>
        <w:tc>
          <w:tcPr>
            <w:tcW w:w="1487" w:type="dxa"/>
            <w:vAlign w:val="bottom"/>
          </w:tcPr>
          <w:p w14:paraId="6BD93681" w14:textId="77777777" w:rsidR="00F849A7" w:rsidRPr="00D9348B" w:rsidRDefault="00F849A7" w:rsidP="00DB330E">
            <w:pPr>
              <w:pStyle w:val="TableText"/>
              <w:spacing w:before="40" w:after="40"/>
              <w:jc w:val="center"/>
              <w:rPr>
                <w:rFonts w:cs="Calibri"/>
                <w:szCs w:val="16"/>
              </w:rPr>
            </w:pPr>
            <w:r w:rsidRPr="00D9348B">
              <w:rPr>
                <w:rFonts w:cs="Calibri"/>
                <w:szCs w:val="16"/>
              </w:rPr>
              <w:t>53.0</w:t>
            </w:r>
          </w:p>
        </w:tc>
        <w:tc>
          <w:tcPr>
            <w:tcW w:w="1536" w:type="dxa"/>
            <w:vAlign w:val="bottom"/>
          </w:tcPr>
          <w:p w14:paraId="070CD52C" w14:textId="77777777" w:rsidR="00F849A7" w:rsidRPr="00D9348B" w:rsidRDefault="00F849A7" w:rsidP="00DB330E">
            <w:pPr>
              <w:pStyle w:val="TableText"/>
              <w:spacing w:before="40" w:after="40"/>
              <w:ind w:right="510"/>
              <w:jc w:val="right"/>
              <w:rPr>
                <w:rFonts w:cs="Calibri"/>
                <w:szCs w:val="16"/>
              </w:rPr>
            </w:pPr>
            <w:r w:rsidRPr="00D9348B">
              <w:rPr>
                <w:rFonts w:cs="Calibri"/>
                <w:szCs w:val="16"/>
              </w:rPr>
              <w:t>10.2</w:t>
            </w:r>
          </w:p>
        </w:tc>
        <w:tc>
          <w:tcPr>
            <w:tcW w:w="1518" w:type="dxa"/>
            <w:vAlign w:val="bottom"/>
          </w:tcPr>
          <w:p w14:paraId="125AB874" w14:textId="77777777" w:rsidR="00F849A7" w:rsidRPr="00D9348B" w:rsidRDefault="00F849A7" w:rsidP="00DB330E">
            <w:pPr>
              <w:pStyle w:val="TableText"/>
              <w:spacing w:before="40" w:after="40"/>
              <w:jc w:val="center"/>
              <w:rPr>
                <w:rFonts w:cs="Calibri"/>
                <w:szCs w:val="16"/>
              </w:rPr>
            </w:pPr>
            <w:r w:rsidRPr="00D9348B">
              <w:rPr>
                <w:rFonts w:cs="Calibri"/>
                <w:szCs w:val="16"/>
              </w:rPr>
              <w:t>19.9</w:t>
            </w:r>
          </w:p>
        </w:tc>
      </w:tr>
      <w:tr w:rsidR="00F849A7" w:rsidRPr="00D9348B" w14:paraId="73AA6A49" w14:textId="77777777" w:rsidTr="002278D8">
        <w:trPr>
          <w:trHeight w:val="239"/>
        </w:trPr>
        <w:tc>
          <w:tcPr>
            <w:tcW w:w="988" w:type="dxa"/>
          </w:tcPr>
          <w:p w14:paraId="16654208" w14:textId="77777777" w:rsidR="00F849A7" w:rsidRPr="00D9348B" w:rsidRDefault="00F849A7" w:rsidP="00DB330E">
            <w:pPr>
              <w:pStyle w:val="TableText"/>
              <w:spacing w:before="40" w:after="40"/>
              <w:rPr>
                <w:rFonts w:cs="Calibri"/>
                <w:szCs w:val="16"/>
              </w:rPr>
            </w:pPr>
            <w:r w:rsidRPr="00D9348B">
              <w:rPr>
                <w:rFonts w:cs="Calibri"/>
                <w:szCs w:val="16"/>
              </w:rPr>
              <w:t>1996</w:t>
            </w:r>
          </w:p>
        </w:tc>
        <w:tc>
          <w:tcPr>
            <w:tcW w:w="1489" w:type="dxa"/>
            <w:vAlign w:val="bottom"/>
          </w:tcPr>
          <w:p w14:paraId="45A2EA59" w14:textId="77777777" w:rsidR="00F849A7" w:rsidRPr="00D9348B" w:rsidRDefault="00F849A7" w:rsidP="00DB330E">
            <w:pPr>
              <w:pStyle w:val="TableText"/>
              <w:spacing w:before="40" w:after="40"/>
              <w:jc w:val="center"/>
              <w:rPr>
                <w:rFonts w:cs="Calibri"/>
                <w:szCs w:val="16"/>
              </w:rPr>
            </w:pPr>
            <w:r w:rsidRPr="00D9348B">
              <w:rPr>
                <w:rFonts w:cs="Calibri"/>
                <w:szCs w:val="16"/>
              </w:rPr>
              <w:t>74.2</w:t>
            </w:r>
          </w:p>
        </w:tc>
        <w:tc>
          <w:tcPr>
            <w:tcW w:w="1487" w:type="dxa"/>
            <w:vAlign w:val="center"/>
          </w:tcPr>
          <w:p w14:paraId="16053013" w14:textId="77777777" w:rsidR="00F849A7" w:rsidRPr="00D9348B" w:rsidRDefault="00F849A7" w:rsidP="00DB330E">
            <w:pPr>
              <w:pStyle w:val="TableText"/>
              <w:spacing w:before="40" w:after="40"/>
              <w:jc w:val="center"/>
              <w:rPr>
                <w:rFonts w:cs="Calibri"/>
                <w:szCs w:val="16"/>
              </w:rPr>
            </w:pPr>
            <w:r w:rsidRPr="00D9348B">
              <w:rPr>
                <w:rFonts w:cs="Calibri"/>
                <w:color w:val="000000"/>
                <w:szCs w:val="16"/>
              </w:rPr>
              <w:t>77.3</w:t>
            </w:r>
          </w:p>
        </w:tc>
        <w:tc>
          <w:tcPr>
            <w:tcW w:w="1487" w:type="dxa"/>
            <w:vAlign w:val="bottom"/>
          </w:tcPr>
          <w:p w14:paraId="60121747" w14:textId="77777777" w:rsidR="00F849A7" w:rsidRPr="00D9348B" w:rsidRDefault="00F849A7" w:rsidP="00DB330E">
            <w:pPr>
              <w:pStyle w:val="TableText"/>
              <w:spacing w:before="40" w:after="40"/>
              <w:jc w:val="center"/>
              <w:rPr>
                <w:rFonts w:cs="Calibri"/>
                <w:szCs w:val="16"/>
              </w:rPr>
            </w:pPr>
            <w:r w:rsidRPr="00D9348B">
              <w:rPr>
                <w:rFonts w:cs="Calibri"/>
                <w:szCs w:val="16"/>
              </w:rPr>
              <w:t>54.8</w:t>
            </w:r>
          </w:p>
        </w:tc>
        <w:tc>
          <w:tcPr>
            <w:tcW w:w="1536" w:type="dxa"/>
            <w:vAlign w:val="bottom"/>
          </w:tcPr>
          <w:p w14:paraId="3113D87C" w14:textId="77777777" w:rsidR="00F849A7" w:rsidRPr="00D9348B" w:rsidRDefault="00F849A7" w:rsidP="00DB330E">
            <w:pPr>
              <w:pStyle w:val="TableText"/>
              <w:spacing w:before="40" w:after="40"/>
              <w:ind w:right="510"/>
              <w:jc w:val="right"/>
              <w:rPr>
                <w:rFonts w:cs="Calibri"/>
                <w:szCs w:val="16"/>
              </w:rPr>
            </w:pPr>
            <w:r w:rsidRPr="00D9348B">
              <w:rPr>
                <w:rFonts w:cs="Calibri"/>
                <w:szCs w:val="16"/>
              </w:rPr>
              <w:t>10.6</w:t>
            </w:r>
          </w:p>
        </w:tc>
        <w:tc>
          <w:tcPr>
            <w:tcW w:w="1518" w:type="dxa"/>
            <w:vAlign w:val="bottom"/>
          </w:tcPr>
          <w:p w14:paraId="6164D0C8" w14:textId="77777777" w:rsidR="00F849A7" w:rsidRPr="00D9348B" w:rsidRDefault="00F849A7" w:rsidP="00DB330E">
            <w:pPr>
              <w:pStyle w:val="TableText"/>
              <w:spacing w:before="40" w:after="40"/>
              <w:jc w:val="center"/>
              <w:rPr>
                <w:rFonts w:cs="Calibri"/>
                <w:szCs w:val="16"/>
              </w:rPr>
            </w:pPr>
            <w:r w:rsidRPr="00D9348B">
              <w:rPr>
                <w:rFonts w:cs="Calibri"/>
                <w:szCs w:val="16"/>
              </w:rPr>
              <w:t>20.1</w:t>
            </w:r>
          </w:p>
        </w:tc>
      </w:tr>
      <w:tr w:rsidR="00F849A7" w:rsidRPr="00D9348B" w14:paraId="179B1003" w14:textId="77777777" w:rsidTr="002278D8">
        <w:trPr>
          <w:trHeight w:val="251"/>
        </w:trPr>
        <w:tc>
          <w:tcPr>
            <w:tcW w:w="988" w:type="dxa"/>
          </w:tcPr>
          <w:p w14:paraId="6BBC665B" w14:textId="77777777" w:rsidR="00F849A7" w:rsidRPr="00D9348B" w:rsidRDefault="00F849A7" w:rsidP="00DB330E">
            <w:pPr>
              <w:pStyle w:val="TableText"/>
              <w:spacing w:before="40" w:after="40"/>
              <w:rPr>
                <w:rFonts w:cs="Calibri"/>
                <w:szCs w:val="16"/>
              </w:rPr>
            </w:pPr>
            <w:r w:rsidRPr="00D9348B">
              <w:rPr>
                <w:rFonts w:cs="Calibri"/>
                <w:szCs w:val="16"/>
              </w:rPr>
              <w:t>1997</w:t>
            </w:r>
          </w:p>
        </w:tc>
        <w:tc>
          <w:tcPr>
            <w:tcW w:w="1489" w:type="dxa"/>
            <w:vAlign w:val="bottom"/>
          </w:tcPr>
          <w:p w14:paraId="35AFAA5E" w14:textId="77777777" w:rsidR="00F849A7" w:rsidRPr="00D9348B" w:rsidRDefault="00F849A7" w:rsidP="00DB330E">
            <w:pPr>
              <w:pStyle w:val="TableText"/>
              <w:spacing w:before="40" w:after="40"/>
              <w:jc w:val="center"/>
              <w:rPr>
                <w:rFonts w:cs="Calibri"/>
                <w:szCs w:val="16"/>
              </w:rPr>
            </w:pPr>
            <w:r w:rsidRPr="00D9348B">
              <w:rPr>
                <w:rFonts w:cs="Calibri"/>
                <w:szCs w:val="16"/>
              </w:rPr>
              <w:t>75.0</w:t>
            </w:r>
          </w:p>
        </w:tc>
        <w:tc>
          <w:tcPr>
            <w:tcW w:w="1487" w:type="dxa"/>
            <w:vAlign w:val="center"/>
          </w:tcPr>
          <w:p w14:paraId="2F27B4FC" w14:textId="77777777" w:rsidR="00F849A7" w:rsidRPr="00D9348B" w:rsidRDefault="00F849A7" w:rsidP="00DB330E">
            <w:pPr>
              <w:pStyle w:val="TableText"/>
              <w:spacing w:before="40" w:after="40"/>
              <w:jc w:val="center"/>
              <w:rPr>
                <w:rFonts w:cs="Calibri"/>
                <w:szCs w:val="16"/>
              </w:rPr>
            </w:pPr>
            <w:r w:rsidRPr="00D9348B">
              <w:rPr>
                <w:rFonts w:cs="Calibri"/>
                <w:color w:val="000000"/>
                <w:szCs w:val="16"/>
              </w:rPr>
              <w:t>80.2</w:t>
            </w:r>
          </w:p>
        </w:tc>
        <w:tc>
          <w:tcPr>
            <w:tcW w:w="1487" w:type="dxa"/>
            <w:vAlign w:val="bottom"/>
          </w:tcPr>
          <w:p w14:paraId="21570369" w14:textId="77777777" w:rsidR="00F849A7" w:rsidRPr="00D9348B" w:rsidRDefault="00F849A7" w:rsidP="00DB330E">
            <w:pPr>
              <w:pStyle w:val="TableText"/>
              <w:spacing w:before="40" w:after="40"/>
              <w:jc w:val="center"/>
              <w:rPr>
                <w:rFonts w:cs="Calibri"/>
                <w:szCs w:val="16"/>
              </w:rPr>
            </w:pPr>
            <w:r w:rsidRPr="00D9348B">
              <w:rPr>
                <w:rFonts w:cs="Calibri"/>
                <w:szCs w:val="16"/>
              </w:rPr>
              <w:t>55.8</w:t>
            </w:r>
          </w:p>
        </w:tc>
        <w:tc>
          <w:tcPr>
            <w:tcW w:w="1536" w:type="dxa"/>
            <w:vAlign w:val="bottom"/>
          </w:tcPr>
          <w:p w14:paraId="222AA126" w14:textId="77777777" w:rsidR="00F849A7" w:rsidRPr="00D9348B" w:rsidRDefault="00F849A7" w:rsidP="00DB330E">
            <w:pPr>
              <w:pStyle w:val="TableText"/>
              <w:spacing w:before="40" w:after="40"/>
              <w:ind w:right="510"/>
              <w:jc w:val="right"/>
              <w:rPr>
                <w:rFonts w:cs="Calibri"/>
                <w:szCs w:val="16"/>
              </w:rPr>
            </w:pPr>
            <w:r w:rsidRPr="00D9348B">
              <w:rPr>
                <w:rFonts w:cs="Calibri"/>
                <w:szCs w:val="16"/>
              </w:rPr>
              <w:t>10.9</w:t>
            </w:r>
          </w:p>
        </w:tc>
        <w:tc>
          <w:tcPr>
            <w:tcW w:w="1518" w:type="dxa"/>
            <w:vAlign w:val="bottom"/>
          </w:tcPr>
          <w:p w14:paraId="5874E5A7" w14:textId="77777777" w:rsidR="00F849A7" w:rsidRPr="00D9348B" w:rsidRDefault="00F849A7" w:rsidP="00DB330E">
            <w:pPr>
              <w:pStyle w:val="TableText"/>
              <w:spacing w:before="40" w:after="40"/>
              <w:jc w:val="center"/>
              <w:rPr>
                <w:rFonts w:cs="Calibri"/>
                <w:szCs w:val="16"/>
              </w:rPr>
            </w:pPr>
            <w:r w:rsidRPr="00D9348B">
              <w:rPr>
                <w:rFonts w:cs="Calibri"/>
                <w:szCs w:val="16"/>
              </w:rPr>
              <w:t>20.3</w:t>
            </w:r>
          </w:p>
        </w:tc>
      </w:tr>
      <w:tr w:rsidR="00F849A7" w:rsidRPr="00D9348B" w14:paraId="59D6389B" w14:textId="77777777" w:rsidTr="002278D8">
        <w:trPr>
          <w:trHeight w:val="239"/>
        </w:trPr>
        <w:tc>
          <w:tcPr>
            <w:tcW w:w="988" w:type="dxa"/>
          </w:tcPr>
          <w:p w14:paraId="32C1FC7C" w14:textId="77777777" w:rsidR="00F849A7" w:rsidRPr="00D9348B" w:rsidRDefault="00F849A7" w:rsidP="00DB330E">
            <w:pPr>
              <w:pStyle w:val="TableText"/>
              <w:spacing w:before="40" w:after="40"/>
              <w:rPr>
                <w:rFonts w:cs="Calibri"/>
                <w:szCs w:val="16"/>
              </w:rPr>
            </w:pPr>
            <w:r w:rsidRPr="00D9348B">
              <w:rPr>
                <w:rFonts w:cs="Calibri"/>
                <w:szCs w:val="16"/>
              </w:rPr>
              <w:t>1998</w:t>
            </w:r>
          </w:p>
        </w:tc>
        <w:tc>
          <w:tcPr>
            <w:tcW w:w="1489" w:type="dxa"/>
            <w:vAlign w:val="bottom"/>
          </w:tcPr>
          <w:p w14:paraId="57000021" w14:textId="77777777" w:rsidR="00F849A7" w:rsidRPr="00D9348B" w:rsidRDefault="00F849A7" w:rsidP="00DB330E">
            <w:pPr>
              <w:pStyle w:val="TableText"/>
              <w:spacing w:before="40" w:after="40"/>
              <w:jc w:val="center"/>
              <w:rPr>
                <w:rFonts w:cs="Calibri"/>
                <w:szCs w:val="16"/>
              </w:rPr>
            </w:pPr>
            <w:r w:rsidRPr="00D9348B">
              <w:rPr>
                <w:rFonts w:cs="Calibri"/>
                <w:szCs w:val="16"/>
              </w:rPr>
              <w:t>73.0</w:t>
            </w:r>
          </w:p>
        </w:tc>
        <w:tc>
          <w:tcPr>
            <w:tcW w:w="1487" w:type="dxa"/>
            <w:vAlign w:val="center"/>
          </w:tcPr>
          <w:p w14:paraId="3611DF16" w14:textId="77777777" w:rsidR="00F849A7" w:rsidRPr="00D9348B" w:rsidRDefault="00F849A7" w:rsidP="00DB330E">
            <w:pPr>
              <w:pStyle w:val="TableText"/>
              <w:spacing w:before="40" w:after="40"/>
              <w:jc w:val="center"/>
              <w:rPr>
                <w:rFonts w:cs="Calibri"/>
                <w:szCs w:val="16"/>
              </w:rPr>
            </w:pPr>
            <w:r w:rsidRPr="00D9348B">
              <w:rPr>
                <w:rFonts w:cs="Calibri"/>
                <w:color w:val="000000"/>
                <w:szCs w:val="16"/>
              </w:rPr>
              <w:t>81.1</w:t>
            </w:r>
          </w:p>
        </w:tc>
        <w:tc>
          <w:tcPr>
            <w:tcW w:w="1487" w:type="dxa"/>
            <w:vAlign w:val="bottom"/>
          </w:tcPr>
          <w:p w14:paraId="66A81473" w14:textId="77777777" w:rsidR="00F849A7" w:rsidRPr="00D9348B" w:rsidRDefault="00F849A7" w:rsidP="00DB330E">
            <w:pPr>
              <w:pStyle w:val="TableText"/>
              <w:spacing w:before="40" w:after="40"/>
              <w:jc w:val="center"/>
              <w:rPr>
                <w:rFonts w:cs="Calibri"/>
                <w:szCs w:val="16"/>
              </w:rPr>
            </w:pPr>
            <w:r w:rsidRPr="00D9348B">
              <w:rPr>
                <w:rFonts w:cs="Calibri"/>
                <w:szCs w:val="16"/>
              </w:rPr>
              <w:t>55.9</w:t>
            </w:r>
          </w:p>
        </w:tc>
        <w:tc>
          <w:tcPr>
            <w:tcW w:w="1536" w:type="dxa"/>
            <w:vAlign w:val="bottom"/>
          </w:tcPr>
          <w:p w14:paraId="5925683A" w14:textId="77777777" w:rsidR="00F849A7" w:rsidRPr="00D9348B" w:rsidRDefault="00F849A7" w:rsidP="00DB330E">
            <w:pPr>
              <w:pStyle w:val="TableText"/>
              <w:spacing w:before="40" w:after="40"/>
              <w:ind w:right="510"/>
              <w:jc w:val="right"/>
              <w:rPr>
                <w:rFonts w:cs="Calibri"/>
                <w:szCs w:val="16"/>
              </w:rPr>
            </w:pPr>
            <w:r w:rsidRPr="00D9348B">
              <w:rPr>
                <w:rFonts w:cs="Calibri"/>
                <w:szCs w:val="16"/>
              </w:rPr>
              <w:t>11.0</w:t>
            </w:r>
          </w:p>
        </w:tc>
        <w:tc>
          <w:tcPr>
            <w:tcW w:w="1518" w:type="dxa"/>
            <w:vAlign w:val="bottom"/>
          </w:tcPr>
          <w:p w14:paraId="0B1C5ADB" w14:textId="77777777" w:rsidR="00F849A7" w:rsidRPr="00D9348B" w:rsidRDefault="00F849A7" w:rsidP="00DB330E">
            <w:pPr>
              <w:pStyle w:val="TableText"/>
              <w:spacing w:before="40" w:after="40"/>
              <w:jc w:val="center"/>
              <w:rPr>
                <w:rFonts w:cs="Calibri"/>
                <w:szCs w:val="16"/>
              </w:rPr>
            </w:pPr>
            <w:r w:rsidRPr="00D9348B">
              <w:rPr>
                <w:rFonts w:cs="Calibri"/>
                <w:szCs w:val="16"/>
              </w:rPr>
              <w:t>20.5</w:t>
            </w:r>
          </w:p>
        </w:tc>
      </w:tr>
      <w:tr w:rsidR="00F849A7" w:rsidRPr="00D9348B" w14:paraId="7355AFEF" w14:textId="77777777" w:rsidTr="002278D8">
        <w:trPr>
          <w:trHeight w:val="239"/>
        </w:trPr>
        <w:tc>
          <w:tcPr>
            <w:tcW w:w="988" w:type="dxa"/>
          </w:tcPr>
          <w:p w14:paraId="0A46833B" w14:textId="77777777" w:rsidR="00F849A7" w:rsidRPr="00D9348B" w:rsidRDefault="00F849A7" w:rsidP="00DB330E">
            <w:pPr>
              <w:pStyle w:val="TableText"/>
              <w:spacing w:before="40" w:after="40"/>
              <w:rPr>
                <w:rFonts w:cs="Calibri"/>
                <w:szCs w:val="16"/>
              </w:rPr>
            </w:pPr>
            <w:r w:rsidRPr="00D9348B">
              <w:rPr>
                <w:rFonts w:cs="Calibri"/>
                <w:szCs w:val="16"/>
              </w:rPr>
              <w:t>1999</w:t>
            </w:r>
          </w:p>
        </w:tc>
        <w:tc>
          <w:tcPr>
            <w:tcW w:w="1489" w:type="dxa"/>
            <w:vAlign w:val="bottom"/>
          </w:tcPr>
          <w:p w14:paraId="4E2517A5" w14:textId="77777777" w:rsidR="00F849A7" w:rsidRPr="00D9348B" w:rsidRDefault="00F849A7" w:rsidP="00DB330E">
            <w:pPr>
              <w:pStyle w:val="TableText"/>
              <w:spacing w:before="40" w:after="40"/>
              <w:jc w:val="center"/>
              <w:rPr>
                <w:rFonts w:cs="Calibri"/>
                <w:szCs w:val="16"/>
              </w:rPr>
            </w:pPr>
            <w:r w:rsidRPr="00D9348B">
              <w:rPr>
                <w:rFonts w:cs="Calibri"/>
                <w:szCs w:val="16"/>
              </w:rPr>
              <w:t>74.5</w:t>
            </w:r>
          </w:p>
        </w:tc>
        <w:tc>
          <w:tcPr>
            <w:tcW w:w="1487" w:type="dxa"/>
            <w:vAlign w:val="center"/>
          </w:tcPr>
          <w:p w14:paraId="0008EB0A" w14:textId="77777777" w:rsidR="00F849A7" w:rsidRPr="00D9348B" w:rsidRDefault="00F849A7" w:rsidP="00DB330E">
            <w:pPr>
              <w:pStyle w:val="TableText"/>
              <w:spacing w:before="40" w:after="40"/>
              <w:jc w:val="center"/>
              <w:rPr>
                <w:rFonts w:cs="Calibri"/>
                <w:szCs w:val="16"/>
              </w:rPr>
            </w:pPr>
            <w:r w:rsidRPr="00D9348B">
              <w:rPr>
                <w:rFonts w:cs="Calibri"/>
                <w:color w:val="000000"/>
                <w:szCs w:val="16"/>
              </w:rPr>
              <w:t>78.6</w:t>
            </w:r>
          </w:p>
        </w:tc>
        <w:tc>
          <w:tcPr>
            <w:tcW w:w="1487" w:type="dxa"/>
            <w:vAlign w:val="bottom"/>
          </w:tcPr>
          <w:p w14:paraId="712D86CB" w14:textId="77777777" w:rsidR="00F849A7" w:rsidRPr="00D9348B" w:rsidRDefault="00F849A7" w:rsidP="00DB330E">
            <w:pPr>
              <w:pStyle w:val="TableText"/>
              <w:spacing w:before="40" w:after="40"/>
              <w:jc w:val="center"/>
              <w:rPr>
                <w:rFonts w:cs="Calibri"/>
                <w:szCs w:val="16"/>
              </w:rPr>
            </w:pPr>
            <w:r w:rsidRPr="00D9348B">
              <w:rPr>
                <w:rFonts w:cs="Calibri"/>
                <w:szCs w:val="16"/>
              </w:rPr>
              <w:t>54.6</w:t>
            </w:r>
          </w:p>
        </w:tc>
        <w:tc>
          <w:tcPr>
            <w:tcW w:w="1536" w:type="dxa"/>
            <w:vAlign w:val="bottom"/>
          </w:tcPr>
          <w:p w14:paraId="7A99015F" w14:textId="77777777" w:rsidR="00F849A7" w:rsidRPr="00D9348B" w:rsidRDefault="00F849A7" w:rsidP="00DB330E">
            <w:pPr>
              <w:pStyle w:val="TableText"/>
              <w:spacing w:before="40" w:after="40"/>
              <w:ind w:right="510"/>
              <w:jc w:val="right"/>
              <w:rPr>
                <w:rFonts w:cs="Calibri"/>
                <w:szCs w:val="16"/>
              </w:rPr>
            </w:pPr>
            <w:r w:rsidRPr="00D9348B">
              <w:rPr>
                <w:rFonts w:cs="Calibri"/>
                <w:szCs w:val="16"/>
              </w:rPr>
              <w:t>10.9</w:t>
            </w:r>
          </w:p>
        </w:tc>
        <w:tc>
          <w:tcPr>
            <w:tcW w:w="1518" w:type="dxa"/>
            <w:vAlign w:val="bottom"/>
          </w:tcPr>
          <w:p w14:paraId="5AD68914" w14:textId="77777777" w:rsidR="00F849A7" w:rsidRPr="00D9348B" w:rsidRDefault="00F849A7" w:rsidP="00DB330E">
            <w:pPr>
              <w:pStyle w:val="TableText"/>
              <w:spacing w:before="40" w:after="40"/>
              <w:jc w:val="center"/>
              <w:rPr>
                <w:rFonts w:cs="Calibri"/>
                <w:szCs w:val="16"/>
              </w:rPr>
            </w:pPr>
            <w:r w:rsidRPr="00D9348B">
              <w:rPr>
                <w:rFonts w:cs="Calibri"/>
                <w:szCs w:val="16"/>
              </w:rPr>
              <w:t>20.7</w:t>
            </w:r>
          </w:p>
        </w:tc>
      </w:tr>
      <w:tr w:rsidR="00F849A7" w:rsidRPr="00D9348B" w14:paraId="64D33E51" w14:textId="77777777" w:rsidTr="002278D8">
        <w:trPr>
          <w:trHeight w:val="239"/>
        </w:trPr>
        <w:tc>
          <w:tcPr>
            <w:tcW w:w="988" w:type="dxa"/>
          </w:tcPr>
          <w:p w14:paraId="394B64B4" w14:textId="77777777" w:rsidR="00F849A7" w:rsidRPr="00D9348B" w:rsidRDefault="00F849A7" w:rsidP="00DB330E">
            <w:pPr>
              <w:pStyle w:val="TableText"/>
              <w:spacing w:before="40" w:after="40"/>
              <w:rPr>
                <w:rFonts w:cs="Calibri"/>
                <w:szCs w:val="16"/>
              </w:rPr>
            </w:pPr>
            <w:r w:rsidRPr="00D9348B">
              <w:rPr>
                <w:rFonts w:cs="Calibri"/>
                <w:szCs w:val="16"/>
              </w:rPr>
              <w:t>2000</w:t>
            </w:r>
          </w:p>
        </w:tc>
        <w:tc>
          <w:tcPr>
            <w:tcW w:w="1489" w:type="dxa"/>
            <w:vAlign w:val="bottom"/>
          </w:tcPr>
          <w:p w14:paraId="1C63110E" w14:textId="77777777" w:rsidR="00F849A7" w:rsidRPr="00D9348B" w:rsidRDefault="00F849A7" w:rsidP="00DB330E">
            <w:pPr>
              <w:pStyle w:val="TableText"/>
              <w:spacing w:before="40" w:after="40"/>
              <w:jc w:val="center"/>
              <w:rPr>
                <w:rFonts w:cs="Calibri"/>
                <w:szCs w:val="16"/>
              </w:rPr>
            </w:pPr>
            <w:r w:rsidRPr="00D9348B">
              <w:rPr>
                <w:rFonts w:cs="Calibri"/>
                <w:szCs w:val="16"/>
              </w:rPr>
              <w:t>76.1</w:t>
            </w:r>
          </w:p>
        </w:tc>
        <w:tc>
          <w:tcPr>
            <w:tcW w:w="1487" w:type="dxa"/>
            <w:vAlign w:val="center"/>
          </w:tcPr>
          <w:p w14:paraId="1F91FA63" w14:textId="77777777" w:rsidR="00F849A7" w:rsidRPr="00D9348B" w:rsidRDefault="00F849A7" w:rsidP="00DB330E">
            <w:pPr>
              <w:pStyle w:val="TableText"/>
              <w:spacing w:before="40" w:after="40"/>
              <w:jc w:val="center"/>
              <w:rPr>
                <w:rFonts w:cs="Calibri"/>
                <w:szCs w:val="16"/>
              </w:rPr>
            </w:pPr>
            <w:r w:rsidRPr="00D9348B">
              <w:rPr>
                <w:rFonts w:cs="Calibri"/>
                <w:color w:val="000000"/>
                <w:szCs w:val="16"/>
              </w:rPr>
              <w:t>80.6</w:t>
            </w:r>
          </w:p>
        </w:tc>
        <w:tc>
          <w:tcPr>
            <w:tcW w:w="1487" w:type="dxa"/>
            <w:vAlign w:val="bottom"/>
          </w:tcPr>
          <w:p w14:paraId="3E3F7990" w14:textId="77777777" w:rsidR="00F849A7" w:rsidRPr="00D9348B" w:rsidRDefault="00F849A7" w:rsidP="00DB330E">
            <w:pPr>
              <w:pStyle w:val="TableText"/>
              <w:spacing w:before="40" w:after="40"/>
              <w:jc w:val="center"/>
              <w:rPr>
                <w:rFonts w:cs="Calibri"/>
                <w:szCs w:val="16"/>
              </w:rPr>
            </w:pPr>
            <w:r w:rsidRPr="00D9348B">
              <w:rPr>
                <w:rFonts w:cs="Calibri"/>
                <w:szCs w:val="16"/>
              </w:rPr>
              <w:t>56.5</w:t>
            </w:r>
          </w:p>
        </w:tc>
        <w:tc>
          <w:tcPr>
            <w:tcW w:w="1536" w:type="dxa"/>
            <w:vAlign w:val="bottom"/>
          </w:tcPr>
          <w:p w14:paraId="24275BBC" w14:textId="77777777" w:rsidR="00F849A7" w:rsidRPr="00D9348B" w:rsidRDefault="00F849A7" w:rsidP="00DB330E">
            <w:pPr>
              <w:pStyle w:val="TableText"/>
              <w:spacing w:before="40" w:after="40"/>
              <w:ind w:right="510"/>
              <w:jc w:val="right"/>
              <w:rPr>
                <w:rFonts w:cs="Calibri"/>
                <w:szCs w:val="16"/>
              </w:rPr>
            </w:pPr>
            <w:r w:rsidRPr="00D9348B">
              <w:rPr>
                <w:rFonts w:cs="Calibri"/>
                <w:szCs w:val="16"/>
              </w:rPr>
              <w:t>11.3</w:t>
            </w:r>
          </w:p>
        </w:tc>
        <w:tc>
          <w:tcPr>
            <w:tcW w:w="1518" w:type="dxa"/>
            <w:vAlign w:val="bottom"/>
          </w:tcPr>
          <w:p w14:paraId="14F70DA5" w14:textId="77777777" w:rsidR="00F849A7" w:rsidRPr="00D9348B" w:rsidRDefault="00F849A7" w:rsidP="00DB330E">
            <w:pPr>
              <w:pStyle w:val="TableText"/>
              <w:spacing w:before="40" w:after="40"/>
              <w:jc w:val="center"/>
              <w:rPr>
                <w:rFonts w:cs="Calibri"/>
                <w:szCs w:val="16"/>
              </w:rPr>
            </w:pPr>
            <w:r w:rsidRPr="00D9348B">
              <w:rPr>
                <w:rFonts w:cs="Calibri"/>
                <w:szCs w:val="16"/>
              </w:rPr>
              <w:t>21.1</w:t>
            </w:r>
          </w:p>
        </w:tc>
      </w:tr>
      <w:tr w:rsidR="00F849A7" w:rsidRPr="00D9348B" w14:paraId="2925D3A8" w14:textId="77777777" w:rsidTr="002278D8">
        <w:trPr>
          <w:trHeight w:val="239"/>
        </w:trPr>
        <w:tc>
          <w:tcPr>
            <w:tcW w:w="988" w:type="dxa"/>
          </w:tcPr>
          <w:p w14:paraId="170A9F4A" w14:textId="77777777" w:rsidR="00F849A7" w:rsidRPr="00D9348B" w:rsidRDefault="00F849A7" w:rsidP="00DB330E">
            <w:pPr>
              <w:pStyle w:val="TableText"/>
              <w:spacing w:before="40" w:after="40"/>
              <w:rPr>
                <w:rFonts w:cs="Calibri"/>
                <w:szCs w:val="16"/>
              </w:rPr>
            </w:pPr>
            <w:r w:rsidRPr="00D9348B">
              <w:rPr>
                <w:rFonts w:cs="Calibri"/>
                <w:szCs w:val="16"/>
              </w:rPr>
              <w:t>2001</w:t>
            </w:r>
          </w:p>
        </w:tc>
        <w:tc>
          <w:tcPr>
            <w:tcW w:w="1489" w:type="dxa"/>
            <w:vAlign w:val="bottom"/>
          </w:tcPr>
          <w:p w14:paraId="0D8DA903" w14:textId="77777777" w:rsidR="00F849A7" w:rsidRPr="00D9348B" w:rsidRDefault="00F849A7" w:rsidP="00DB330E">
            <w:pPr>
              <w:pStyle w:val="TableText"/>
              <w:spacing w:before="40" w:after="40"/>
              <w:jc w:val="center"/>
              <w:rPr>
                <w:rFonts w:cs="Calibri"/>
                <w:szCs w:val="16"/>
              </w:rPr>
            </w:pPr>
            <w:r w:rsidRPr="00D9348B">
              <w:rPr>
                <w:rFonts w:cs="Calibri"/>
                <w:szCs w:val="16"/>
              </w:rPr>
              <w:t>77.0</w:t>
            </w:r>
          </w:p>
        </w:tc>
        <w:tc>
          <w:tcPr>
            <w:tcW w:w="1487" w:type="dxa"/>
            <w:vAlign w:val="center"/>
          </w:tcPr>
          <w:p w14:paraId="0E998460" w14:textId="77777777" w:rsidR="00F849A7" w:rsidRPr="00D9348B" w:rsidRDefault="00F849A7" w:rsidP="00DB330E">
            <w:pPr>
              <w:pStyle w:val="TableText"/>
              <w:spacing w:before="40" w:after="40"/>
              <w:jc w:val="center"/>
              <w:rPr>
                <w:rFonts w:cs="Calibri"/>
                <w:szCs w:val="16"/>
              </w:rPr>
            </w:pPr>
            <w:r w:rsidRPr="00D9348B">
              <w:rPr>
                <w:rFonts w:cs="Calibri"/>
                <w:color w:val="000000"/>
                <w:szCs w:val="16"/>
              </w:rPr>
              <w:t>83.2</w:t>
            </w:r>
          </w:p>
        </w:tc>
        <w:tc>
          <w:tcPr>
            <w:tcW w:w="1487" w:type="dxa"/>
            <w:vAlign w:val="bottom"/>
          </w:tcPr>
          <w:p w14:paraId="327817C4" w14:textId="77777777" w:rsidR="00F849A7" w:rsidRPr="00D9348B" w:rsidRDefault="00F849A7" w:rsidP="00DB330E">
            <w:pPr>
              <w:pStyle w:val="TableText"/>
              <w:spacing w:before="40" w:after="40"/>
              <w:jc w:val="center"/>
              <w:rPr>
                <w:rFonts w:cs="Calibri"/>
                <w:szCs w:val="16"/>
              </w:rPr>
            </w:pPr>
            <w:r w:rsidRPr="00D9348B">
              <w:rPr>
                <w:rFonts w:cs="Calibri"/>
                <w:szCs w:val="16"/>
              </w:rPr>
              <w:t>57.6</w:t>
            </w:r>
          </w:p>
        </w:tc>
        <w:tc>
          <w:tcPr>
            <w:tcW w:w="1536" w:type="dxa"/>
            <w:vAlign w:val="bottom"/>
          </w:tcPr>
          <w:p w14:paraId="44347938" w14:textId="77777777" w:rsidR="00F849A7" w:rsidRPr="00D9348B" w:rsidRDefault="00F849A7" w:rsidP="00DB330E">
            <w:pPr>
              <w:pStyle w:val="TableText"/>
              <w:spacing w:before="40" w:after="40"/>
              <w:ind w:right="510"/>
              <w:jc w:val="right"/>
              <w:rPr>
                <w:rFonts w:cs="Calibri"/>
                <w:szCs w:val="16"/>
              </w:rPr>
            </w:pPr>
            <w:r w:rsidRPr="00D9348B">
              <w:rPr>
                <w:rFonts w:cs="Calibri"/>
                <w:szCs w:val="16"/>
              </w:rPr>
              <w:t>11.4</w:t>
            </w:r>
          </w:p>
        </w:tc>
        <w:tc>
          <w:tcPr>
            <w:tcW w:w="1518" w:type="dxa"/>
            <w:vAlign w:val="bottom"/>
          </w:tcPr>
          <w:p w14:paraId="2C1B29F8" w14:textId="77777777" w:rsidR="00F849A7" w:rsidRPr="00D9348B" w:rsidRDefault="00F849A7" w:rsidP="00DB330E">
            <w:pPr>
              <w:pStyle w:val="TableText"/>
              <w:spacing w:before="40" w:after="40"/>
              <w:jc w:val="center"/>
              <w:rPr>
                <w:rFonts w:cs="Calibri"/>
                <w:szCs w:val="16"/>
              </w:rPr>
            </w:pPr>
            <w:r w:rsidRPr="00D9348B">
              <w:rPr>
                <w:rFonts w:cs="Calibri"/>
                <w:szCs w:val="16"/>
              </w:rPr>
              <w:t>21.1</w:t>
            </w:r>
          </w:p>
        </w:tc>
      </w:tr>
      <w:tr w:rsidR="00F849A7" w:rsidRPr="00D9348B" w14:paraId="660A33EC" w14:textId="77777777" w:rsidTr="002278D8">
        <w:trPr>
          <w:trHeight w:val="239"/>
        </w:trPr>
        <w:tc>
          <w:tcPr>
            <w:tcW w:w="988" w:type="dxa"/>
          </w:tcPr>
          <w:p w14:paraId="2B358F3A" w14:textId="77777777" w:rsidR="00F849A7" w:rsidRPr="00D9348B" w:rsidRDefault="00F849A7" w:rsidP="00DB330E">
            <w:pPr>
              <w:pStyle w:val="TableText"/>
              <w:spacing w:before="40" w:after="40"/>
              <w:rPr>
                <w:rFonts w:cs="Calibri"/>
                <w:szCs w:val="16"/>
              </w:rPr>
            </w:pPr>
            <w:r w:rsidRPr="00D9348B">
              <w:rPr>
                <w:rFonts w:cs="Calibri"/>
                <w:szCs w:val="16"/>
              </w:rPr>
              <w:t>2002</w:t>
            </w:r>
          </w:p>
        </w:tc>
        <w:tc>
          <w:tcPr>
            <w:tcW w:w="1489" w:type="dxa"/>
            <w:vAlign w:val="bottom"/>
          </w:tcPr>
          <w:p w14:paraId="40C46A94" w14:textId="77777777" w:rsidR="00F849A7" w:rsidRPr="00D9348B" w:rsidRDefault="00F849A7" w:rsidP="00DB330E">
            <w:pPr>
              <w:pStyle w:val="TableText"/>
              <w:spacing w:before="40" w:after="40"/>
              <w:jc w:val="center"/>
              <w:rPr>
                <w:rFonts w:cs="Calibri"/>
                <w:szCs w:val="16"/>
              </w:rPr>
            </w:pPr>
            <w:r w:rsidRPr="00D9348B">
              <w:rPr>
                <w:rFonts w:cs="Calibri"/>
                <w:szCs w:val="16"/>
              </w:rPr>
              <w:t>76.5</w:t>
            </w:r>
          </w:p>
        </w:tc>
        <w:tc>
          <w:tcPr>
            <w:tcW w:w="1487" w:type="dxa"/>
            <w:vAlign w:val="center"/>
          </w:tcPr>
          <w:p w14:paraId="4A3986AF" w14:textId="77777777" w:rsidR="00F849A7" w:rsidRPr="00D9348B" w:rsidRDefault="00F849A7" w:rsidP="00DB330E">
            <w:pPr>
              <w:pStyle w:val="TableText"/>
              <w:spacing w:before="40" w:after="40"/>
              <w:jc w:val="center"/>
              <w:rPr>
                <w:rFonts w:cs="Calibri"/>
                <w:szCs w:val="16"/>
              </w:rPr>
            </w:pPr>
            <w:r w:rsidRPr="00D9348B">
              <w:rPr>
                <w:rFonts w:cs="Calibri"/>
                <w:color w:val="000000"/>
                <w:szCs w:val="16"/>
              </w:rPr>
              <w:t>84.7</w:t>
            </w:r>
          </w:p>
        </w:tc>
        <w:tc>
          <w:tcPr>
            <w:tcW w:w="1487" w:type="dxa"/>
            <w:vAlign w:val="bottom"/>
          </w:tcPr>
          <w:p w14:paraId="1BF0B607" w14:textId="77777777" w:rsidR="00F849A7" w:rsidRPr="00D9348B" w:rsidRDefault="00F849A7" w:rsidP="00DB330E">
            <w:pPr>
              <w:pStyle w:val="TableText"/>
              <w:spacing w:before="40" w:after="40"/>
              <w:jc w:val="center"/>
              <w:rPr>
                <w:rFonts w:cs="Calibri"/>
                <w:szCs w:val="16"/>
              </w:rPr>
            </w:pPr>
            <w:r w:rsidRPr="00D9348B">
              <w:rPr>
                <w:rFonts w:cs="Calibri"/>
                <w:szCs w:val="16"/>
              </w:rPr>
              <w:t>57.3</w:t>
            </w:r>
          </w:p>
        </w:tc>
        <w:tc>
          <w:tcPr>
            <w:tcW w:w="1536" w:type="dxa"/>
            <w:vAlign w:val="bottom"/>
          </w:tcPr>
          <w:p w14:paraId="7C83E4D5" w14:textId="77777777" w:rsidR="00F849A7" w:rsidRPr="00D9348B" w:rsidRDefault="00F849A7" w:rsidP="00DB330E">
            <w:pPr>
              <w:pStyle w:val="TableText"/>
              <w:spacing w:before="40" w:after="40"/>
              <w:ind w:right="510"/>
              <w:jc w:val="right"/>
              <w:rPr>
                <w:rFonts w:cs="Calibri"/>
                <w:szCs w:val="16"/>
              </w:rPr>
            </w:pPr>
            <w:r w:rsidRPr="00D9348B">
              <w:rPr>
                <w:rFonts w:cs="Calibri"/>
                <w:szCs w:val="16"/>
              </w:rPr>
              <w:t>11.4</w:t>
            </w:r>
          </w:p>
        </w:tc>
        <w:tc>
          <w:tcPr>
            <w:tcW w:w="1518" w:type="dxa"/>
            <w:vAlign w:val="bottom"/>
          </w:tcPr>
          <w:p w14:paraId="6AEECBB8" w14:textId="77777777" w:rsidR="00F849A7" w:rsidRPr="00D9348B" w:rsidRDefault="00F849A7" w:rsidP="00DB330E">
            <w:pPr>
              <w:pStyle w:val="TableText"/>
              <w:spacing w:before="40" w:after="40"/>
              <w:jc w:val="center"/>
              <w:rPr>
                <w:rFonts w:cs="Calibri"/>
                <w:szCs w:val="16"/>
              </w:rPr>
            </w:pPr>
            <w:r w:rsidRPr="00D9348B">
              <w:rPr>
                <w:rFonts w:cs="Calibri"/>
                <w:szCs w:val="16"/>
              </w:rPr>
              <w:t>21.2</w:t>
            </w:r>
          </w:p>
        </w:tc>
      </w:tr>
      <w:tr w:rsidR="00F849A7" w:rsidRPr="00D9348B" w14:paraId="7691D174" w14:textId="77777777" w:rsidTr="002278D8">
        <w:trPr>
          <w:trHeight w:val="239"/>
        </w:trPr>
        <w:tc>
          <w:tcPr>
            <w:tcW w:w="988" w:type="dxa"/>
          </w:tcPr>
          <w:p w14:paraId="3076DC19" w14:textId="77777777" w:rsidR="00F849A7" w:rsidRPr="00D9348B" w:rsidRDefault="00F849A7" w:rsidP="00DB330E">
            <w:pPr>
              <w:pStyle w:val="TableText"/>
              <w:spacing w:before="40" w:after="40"/>
              <w:rPr>
                <w:rFonts w:cs="Calibri"/>
                <w:szCs w:val="16"/>
              </w:rPr>
            </w:pPr>
            <w:r w:rsidRPr="00D9348B">
              <w:rPr>
                <w:rFonts w:cs="Calibri"/>
                <w:szCs w:val="16"/>
              </w:rPr>
              <w:t>2003</w:t>
            </w:r>
          </w:p>
        </w:tc>
        <w:tc>
          <w:tcPr>
            <w:tcW w:w="1489" w:type="dxa"/>
            <w:vAlign w:val="bottom"/>
          </w:tcPr>
          <w:p w14:paraId="5AE66C1E" w14:textId="77777777" w:rsidR="00F849A7" w:rsidRPr="00D9348B" w:rsidRDefault="00F849A7" w:rsidP="00DB330E">
            <w:pPr>
              <w:pStyle w:val="TableText"/>
              <w:spacing w:before="40" w:after="40"/>
              <w:jc w:val="center"/>
              <w:rPr>
                <w:rFonts w:cs="Calibri"/>
                <w:szCs w:val="16"/>
              </w:rPr>
            </w:pPr>
            <w:r w:rsidRPr="00D9348B">
              <w:rPr>
                <w:rFonts w:cs="Calibri"/>
                <w:szCs w:val="16"/>
              </w:rPr>
              <w:t>79.3</w:t>
            </w:r>
          </w:p>
        </w:tc>
        <w:tc>
          <w:tcPr>
            <w:tcW w:w="1487" w:type="dxa"/>
            <w:vAlign w:val="center"/>
          </w:tcPr>
          <w:p w14:paraId="54CEAE36" w14:textId="77777777" w:rsidR="00F849A7" w:rsidRPr="00D9348B" w:rsidRDefault="00F849A7" w:rsidP="00DB330E">
            <w:pPr>
              <w:pStyle w:val="TableText"/>
              <w:spacing w:before="40" w:after="40"/>
              <w:jc w:val="center"/>
              <w:rPr>
                <w:rFonts w:cs="Calibri"/>
                <w:szCs w:val="16"/>
              </w:rPr>
            </w:pPr>
            <w:r w:rsidRPr="00D9348B">
              <w:rPr>
                <w:rFonts w:cs="Calibri"/>
                <w:color w:val="000000"/>
                <w:szCs w:val="16"/>
              </w:rPr>
              <w:t>84.5</w:t>
            </w:r>
          </w:p>
        </w:tc>
        <w:tc>
          <w:tcPr>
            <w:tcW w:w="1487" w:type="dxa"/>
            <w:vAlign w:val="bottom"/>
          </w:tcPr>
          <w:p w14:paraId="17FE3C5D" w14:textId="77777777" w:rsidR="00F849A7" w:rsidRPr="00D9348B" w:rsidRDefault="00F849A7" w:rsidP="00DB330E">
            <w:pPr>
              <w:pStyle w:val="TableText"/>
              <w:spacing w:before="40" w:after="40"/>
              <w:jc w:val="center"/>
              <w:rPr>
                <w:rFonts w:cs="Calibri"/>
                <w:szCs w:val="16"/>
              </w:rPr>
            </w:pPr>
            <w:r w:rsidRPr="00D9348B">
              <w:rPr>
                <w:rFonts w:cs="Calibri"/>
                <w:szCs w:val="16"/>
              </w:rPr>
              <w:t>57.0</w:t>
            </w:r>
          </w:p>
        </w:tc>
        <w:tc>
          <w:tcPr>
            <w:tcW w:w="1536" w:type="dxa"/>
            <w:vAlign w:val="bottom"/>
          </w:tcPr>
          <w:p w14:paraId="0F5E8119" w14:textId="77777777" w:rsidR="00F849A7" w:rsidRPr="00D9348B" w:rsidRDefault="00F849A7" w:rsidP="00DB330E">
            <w:pPr>
              <w:pStyle w:val="TableText"/>
              <w:spacing w:before="40" w:after="40"/>
              <w:ind w:right="510"/>
              <w:jc w:val="right"/>
              <w:rPr>
                <w:rFonts w:cs="Calibri"/>
                <w:szCs w:val="16"/>
              </w:rPr>
            </w:pPr>
            <w:r w:rsidRPr="00D9348B">
              <w:rPr>
                <w:rFonts w:cs="Calibri"/>
                <w:szCs w:val="16"/>
              </w:rPr>
              <w:t>11.3</w:t>
            </w:r>
          </w:p>
        </w:tc>
        <w:tc>
          <w:tcPr>
            <w:tcW w:w="1518" w:type="dxa"/>
            <w:vAlign w:val="bottom"/>
          </w:tcPr>
          <w:p w14:paraId="378B503C" w14:textId="77777777" w:rsidR="00F849A7" w:rsidRPr="00D9348B" w:rsidRDefault="00F849A7" w:rsidP="00DB330E">
            <w:pPr>
              <w:pStyle w:val="TableText"/>
              <w:spacing w:before="40" w:after="40"/>
              <w:jc w:val="center"/>
              <w:rPr>
                <w:rFonts w:cs="Calibri"/>
                <w:szCs w:val="16"/>
              </w:rPr>
            </w:pPr>
            <w:r w:rsidRPr="00D9348B">
              <w:rPr>
                <w:rFonts w:cs="Calibri"/>
                <w:szCs w:val="16"/>
              </w:rPr>
              <w:t>21.2</w:t>
            </w:r>
          </w:p>
        </w:tc>
      </w:tr>
      <w:tr w:rsidR="00F849A7" w:rsidRPr="00D9348B" w14:paraId="4D900F6D" w14:textId="77777777" w:rsidTr="002278D8">
        <w:trPr>
          <w:trHeight w:val="239"/>
        </w:trPr>
        <w:tc>
          <w:tcPr>
            <w:tcW w:w="988" w:type="dxa"/>
          </w:tcPr>
          <w:p w14:paraId="531D502B" w14:textId="77777777" w:rsidR="00F849A7" w:rsidRPr="00D9348B" w:rsidRDefault="00F849A7" w:rsidP="00DB330E">
            <w:pPr>
              <w:pStyle w:val="TableText"/>
              <w:spacing w:before="40" w:after="40"/>
              <w:rPr>
                <w:rFonts w:cs="Calibri"/>
                <w:szCs w:val="16"/>
              </w:rPr>
            </w:pPr>
            <w:r w:rsidRPr="00D9348B">
              <w:rPr>
                <w:rFonts w:cs="Calibri"/>
                <w:szCs w:val="16"/>
              </w:rPr>
              <w:lastRenderedPageBreak/>
              <w:t>2004</w:t>
            </w:r>
          </w:p>
        </w:tc>
        <w:tc>
          <w:tcPr>
            <w:tcW w:w="1489" w:type="dxa"/>
            <w:vAlign w:val="bottom"/>
          </w:tcPr>
          <w:p w14:paraId="2699535F" w14:textId="77777777" w:rsidR="00F849A7" w:rsidRPr="00D9348B" w:rsidRDefault="00F849A7" w:rsidP="00DB330E">
            <w:pPr>
              <w:pStyle w:val="TableText"/>
              <w:spacing w:before="40" w:after="40"/>
              <w:jc w:val="center"/>
              <w:rPr>
                <w:rFonts w:cs="Calibri"/>
                <w:szCs w:val="16"/>
              </w:rPr>
            </w:pPr>
            <w:r w:rsidRPr="00D9348B">
              <w:rPr>
                <w:rFonts w:cs="Calibri"/>
                <w:szCs w:val="16"/>
              </w:rPr>
              <w:t>78.1</w:t>
            </w:r>
          </w:p>
        </w:tc>
        <w:tc>
          <w:tcPr>
            <w:tcW w:w="1487" w:type="dxa"/>
            <w:vAlign w:val="center"/>
          </w:tcPr>
          <w:p w14:paraId="63201D81" w14:textId="77777777" w:rsidR="00F849A7" w:rsidRPr="00D9348B" w:rsidRDefault="00F849A7" w:rsidP="00DB330E">
            <w:pPr>
              <w:pStyle w:val="TableText"/>
              <w:spacing w:before="40" w:after="40"/>
              <w:jc w:val="center"/>
              <w:rPr>
                <w:rFonts w:cs="Calibri"/>
                <w:szCs w:val="16"/>
              </w:rPr>
            </w:pPr>
            <w:r w:rsidRPr="00D9348B">
              <w:rPr>
                <w:rFonts w:cs="Calibri"/>
                <w:color w:val="000000"/>
                <w:szCs w:val="16"/>
              </w:rPr>
              <w:t>85.7</w:t>
            </w:r>
          </w:p>
        </w:tc>
        <w:tc>
          <w:tcPr>
            <w:tcW w:w="1487" w:type="dxa"/>
            <w:vAlign w:val="bottom"/>
          </w:tcPr>
          <w:p w14:paraId="6218CE54" w14:textId="77777777" w:rsidR="00F849A7" w:rsidRPr="00D9348B" w:rsidRDefault="00F849A7" w:rsidP="00DB330E">
            <w:pPr>
              <w:pStyle w:val="TableText"/>
              <w:spacing w:before="40" w:after="40"/>
              <w:jc w:val="center"/>
              <w:rPr>
                <w:rFonts w:cs="Calibri"/>
                <w:szCs w:val="16"/>
              </w:rPr>
            </w:pPr>
            <w:r w:rsidRPr="00D9348B">
              <w:rPr>
                <w:rFonts w:cs="Calibri"/>
                <w:szCs w:val="16"/>
              </w:rPr>
              <w:t>57.9</w:t>
            </w:r>
          </w:p>
        </w:tc>
        <w:tc>
          <w:tcPr>
            <w:tcW w:w="1536" w:type="dxa"/>
            <w:vAlign w:val="bottom"/>
          </w:tcPr>
          <w:p w14:paraId="6CB05F01" w14:textId="77777777" w:rsidR="00F849A7" w:rsidRPr="00D9348B" w:rsidRDefault="00F849A7" w:rsidP="00DB330E">
            <w:pPr>
              <w:pStyle w:val="TableText"/>
              <w:spacing w:before="40" w:after="40"/>
              <w:ind w:right="510"/>
              <w:jc w:val="right"/>
              <w:rPr>
                <w:rFonts w:cs="Calibri"/>
                <w:szCs w:val="16"/>
              </w:rPr>
            </w:pPr>
            <w:r w:rsidRPr="00D9348B">
              <w:rPr>
                <w:rFonts w:cs="Calibri"/>
                <w:szCs w:val="16"/>
              </w:rPr>
              <w:t>11.6</w:t>
            </w:r>
          </w:p>
        </w:tc>
        <w:tc>
          <w:tcPr>
            <w:tcW w:w="1518" w:type="dxa"/>
            <w:vAlign w:val="bottom"/>
          </w:tcPr>
          <w:p w14:paraId="4539982F" w14:textId="77777777" w:rsidR="00F849A7" w:rsidRPr="00D9348B" w:rsidRDefault="00F849A7" w:rsidP="00DB330E">
            <w:pPr>
              <w:pStyle w:val="TableText"/>
              <w:spacing w:before="40" w:after="40"/>
              <w:jc w:val="center"/>
              <w:rPr>
                <w:rFonts w:cs="Calibri"/>
                <w:szCs w:val="16"/>
              </w:rPr>
            </w:pPr>
            <w:r w:rsidRPr="00D9348B">
              <w:rPr>
                <w:rFonts w:cs="Calibri"/>
                <w:szCs w:val="16"/>
              </w:rPr>
              <w:t>21.4</w:t>
            </w:r>
          </w:p>
        </w:tc>
      </w:tr>
      <w:tr w:rsidR="00F849A7" w:rsidRPr="00D9348B" w14:paraId="45EF9655" w14:textId="77777777" w:rsidTr="002278D8">
        <w:trPr>
          <w:trHeight w:val="239"/>
        </w:trPr>
        <w:tc>
          <w:tcPr>
            <w:tcW w:w="988" w:type="dxa"/>
          </w:tcPr>
          <w:p w14:paraId="2AACA5F6" w14:textId="77777777" w:rsidR="00F849A7" w:rsidRPr="00D9348B" w:rsidRDefault="00F849A7" w:rsidP="00DB330E">
            <w:pPr>
              <w:pStyle w:val="TableText"/>
              <w:spacing w:before="40" w:after="40"/>
              <w:rPr>
                <w:rFonts w:cs="Calibri"/>
                <w:szCs w:val="16"/>
              </w:rPr>
            </w:pPr>
            <w:r w:rsidRPr="00D9348B">
              <w:rPr>
                <w:rFonts w:cs="Calibri"/>
                <w:szCs w:val="16"/>
              </w:rPr>
              <w:t>2005</w:t>
            </w:r>
          </w:p>
        </w:tc>
        <w:tc>
          <w:tcPr>
            <w:tcW w:w="1489" w:type="dxa"/>
            <w:vAlign w:val="bottom"/>
          </w:tcPr>
          <w:p w14:paraId="3C678E48" w14:textId="77777777" w:rsidR="00F849A7" w:rsidRPr="00D9348B" w:rsidRDefault="00F849A7" w:rsidP="00DB330E">
            <w:pPr>
              <w:pStyle w:val="TableText"/>
              <w:spacing w:before="40" w:after="40"/>
              <w:jc w:val="center"/>
              <w:rPr>
                <w:rFonts w:cs="Calibri"/>
                <w:szCs w:val="16"/>
              </w:rPr>
            </w:pPr>
            <w:r w:rsidRPr="00D9348B">
              <w:rPr>
                <w:rFonts w:cs="Calibri"/>
                <w:szCs w:val="16"/>
              </w:rPr>
              <w:t>78.6</w:t>
            </w:r>
          </w:p>
        </w:tc>
        <w:tc>
          <w:tcPr>
            <w:tcW w:w="1487" w:type="dxa"/>
            <w:vAlign w:val="center"/>
          </w:tcPr>
          <w:p w14:paraId="6BCA37AC" w14:textId="77777777" w:rsidR="00F849A7" w:rsidRPr="00D9348B" w:rsidRDefault="00F849A7" w:rsidP="00DB330E">
            <w:pPr>
              <w:pStyle w:val="TableText"/>
              <w:spacing w:before="40" w:after="40"/>
              <w:jc w:val="center"/>
              <w:rPr>
                <w:rFonts w:cs="Calibri"/>
                <w:szCs w:val="16"/>
              </w:rPr>
            </w:pPr>
            <w:r w:rsidRPr="00D9348B">
              <w:rPr>
                <w:rFonts w:cs="Calibri"/>
                <w:color w:val="000000"/>
                <w:szCs w:val="16"/>
              </w:rPr>
              <w:t>83.5</w:t>
            </w:r>
          </w:p>
        </w:tc>
        <w:tc>
          <w:tcPr>
            <w:tcW w:w="1487" w:type="dxa"/>
            <w:vAlign w:val="bottom"/>
          </w:tcPr>
          <w:p w14:paraId="47C6A151" w14:textId="77777777" w:rsidR="00F849A7" w:rsidRPr="00D9348B" w:rsidRDefault="00F849A7" w:rsidP="00DB330E">
            <w:pPr>
              <w:pStyle w:val="TableText"/>
              <w:spacing w:before="40" w:after="40"/>
              <w:jc w:val="center"/>
              <w:rPr>
                <w:rFonts w:cs="Calibri"/>
                <w:szCs w:val="16"/>
              </w:rPr>
            </w:pPr>
            <w:r w:rsidRPr="00D9348B">
              <w:rPr>
                <w:rFonts w:cs="Calibri"/>
                <w:szCs w:val="16"/>
              </w:rPr>
              <w:t>58.6</w:t>
            </w:r>
          </w:p>
        </w:tc>
        <w:tc>
          <w:tcPr>
            <w:tcW w:w="1536" w:type="dxa"/>
            <w:vAlign w:val="bottom"/>
          </w:tcPr>
          <w:p w14:paraId="2A27868E" w14:textId="77777777" w:rsidR="00F849A7" w:rsidRPr="00D9348B" w:rsidRDefault="00F849A7" w:rsidP="00DB330E">
            <w:pPr>
              <w:pStyle w:val="TableText"/>
              <w:spacing w:before="40" w:after="40"/>
              <w:ind w:right="510"/>
              <w:jc w:val="right"/>
              <w:rPr>
                <w:rFonts w:cs="Calibri"/>
                <w:szCs w:val="16"/>
              </w:rPr>
            </w:pPr>
            <w:r w:rsidRPr="00D9348B">
              <w:rPr>
                <w:rFonts w:cs="Calibri"/>
                <w:szCs w:val="16"/>
              </w:rPr>
              <w:t>11.7</w:t>
            </w:r>
          </w:p>
        </w:tc>
        <w:tc>
          <w:tcPr>
            <w:tcW w:w="1518" w:type="dxa"/>
            <w:vAlign w:val="bottom"/>
          </w:tcPr>
          <w:p w14:paraId="4961BF2A" w14:textId="77777777" w:rsidR="00F849A7" w:rsidRPr="00D9348B" w:rsidRDefault="00F849A7" w:rsidP="00DB330E">
            <w:pPr>
              <w:pStyle w:val="TableText"/>
              <w:spacing w:before="40" w:after="40"/>
              <w:jc w:val="center"/>
              <w:rPr>
                <w:rFonts w:cs="Calibri"/>
                <w:szCs w:val="16"/>
              </w:rPr>
            </w:pPr>
            <w:r w:rsidRPr="00D9348B">
              <w:rPr>
                <w:rFonts w:cs="Calibri"/>
                <w:szCs w:val="16"/>
              </w:rPr>
              <w:t>21.8</w:t>
            </w:r>
          </w:p>
        </w:tc>
      </w:tr>
      <w:tr w:rsidR="00F849A7" w:rsidRPr="00D9348B" w14:paraId="4B56C5FE" w14:textId="77777777" w:rsidTr="002278D8">
        <w:trPr>
          <w:trHeight w:val="251"/>
        </w:trPr>
        <w:tc>
          <w:tcPr>
            <w:tcW w:w="988" w:type="dxa"/>
          </w:tcPr>
          <w:p w14:paraId="1367202F" w14:textId="77777777" w:rsidR="00F849A7" w:rsidRPr="00D9348B" w:rsidRDefault="00F849A7" w:rsidP="00DB330E">
            <w:pPr>
              <w:pStyle w:val="TableText"/>
              <w:spacing w:before="40" w:after="40"/>
              <w:rPr>
                <w:rFonts w:cs="Calibri"/>
                <w:szCs w:val="16"/>
              </w:rPr>
            </w:pPr>
            <w:r w:rsidRPr="00D9348B">
              <w:rPr>
                <w:rFonts w:cs="Calibri"/>
                <w:szCs w:val="16"/>
              </w:rPr>
              <w:t>2006</w:t>
            </w:r>
          </w:p>
        </w:tc>
        <w:tc>
          <w:tcPr>
            <w:tcW w:w="1489" w:type="dxa"/>
            <w:vAlign w:val="bottom"/>
          </w:tcPr>
          <w:p w14:paraId="764A74BA" w14:textId="77777777" w:rsidR="00F849A7" w:rsidRPr="00D9348B" w:rsidRDefault="00F849A7" w:rsidP="00DB330E">
            <w:pPr>
              <w:pStyle w:val="TableText"/>
              <w:spacing w:before="40" w:after="40"/>
              <w:jc w:val="center"/>
              <w:rPr>
                <w:rFonts w:cs="Calibri"/>
                <w:szCs w:val="16"/>
              </w:rPr>
            </w:pPr>
            <w:r w:rsidRPr="00D9348B">
              <w:rPr>
                <w:rFonts w:cs="Calibri"/>
                <w:szCs w:val="16"/>
              </w:rPr>
              <w:t>78.4</w:t>
            </w:r>
          </w:p>
        </w:tc>
        <w:tc>
          <w:tcPr>
            <w:tcW w:w="1487" w:type="dxa"/>
            <w:vAlign w:val="center"/>
          </w:tcPr>
          <w:p w14:paraId="216CF29E" w14:textId="77777777" w:rsidR="00F849A7" w:rsidRPr="00D9348B" w:rsidRDefault="00F849A7" w:rsidP="00DB330E">
            <w:pPr>
              <w:pStyle w:val="TableText"/>
              <w:spacing w:before="40" w:after="40"/>
              <w:jc w:val="center"/>
              <w:rPr>
                <w:rFonts w:cs="Calibri"/>
                <w:szCs w:val="16"/>
              </w:rPr>
            </w:pPr>
            <w:r w:rsidRPr="00D9348B">
              <w:rPr>
                <w:rFonts w:cs="Calibri"/>
                <w:color w:val="000000"/>
                <w:szCs w:val="16"/>
              </w:rPr>
              <w:t>84.2</w:t>
            </w:r>
          </w:p>
        </w:tc>
        <w:tc>
          <w:tcPr>
            <w:tcW w:w="1487" w:type="dxa"/>
            <w:vAlign w:val="bottom"/>
          </w:tcPr>
          <w:p w14:paraId="6BA4525D" w14:textId="77777777" w:rsidR="00F849A7" w:rsidRPr="00D9348B" w:rsidRDefault="00F849A7" w:rsidP="00DB330E">
            <w:pPr>
              <w:pStyle w:val="TableText"/>
              <w:spacing w:before="40" w:after="40"/>
              <w:jc w:val="center"/>
              <w:rPr>
                <w:rFonts w:cs="Calibri"/>
                <w:szCs w:val="16"/>
              </w:rPr>
            </w:pPr>
            <w:r w:rsidRPr="00D9348B">
              <w:rPr>
                <w:rFonts w:cs="Calibri"/>
                <w:szCs w:val="16"/>
              </w:rPr>
              <w:t>59.7</w:t>
            </w:r>
          </w:p>
        </w:tc>
        <w:tc>
          <w:tcPr>
            <w:tcW w:w="1536" w:type="dxa"/>
            <w:vAlign w:val="bottom"/>
          </w:tcPr>
          <w:p w14:paraId="19F8B81E" w14:textId="77777777" w:rsidR="00F849A7" w:rsidRPr="00D9348B" w:rsidRDefault="00F849A7" w:rsidP="00DB330E">
            <w:pPr>
              <w:pStyle w:val="TableText"/>
              <w:spacing w:before="40" w:after="40"/>
              <w:ind w:right="510"/>
              <w:jc w:val="right"/>
              <w:rPr>
                <w:rFonts w:cs="Calibri"/>
                <w:szCs w:val="16"/>
              </w:rPr>
            </w:pPr>
            <w:r w:rsidRPr="00D9348B">
              <w:rPr>
                <w:rFonts w:cs="Calibri"/>
                <w:szCs w:val="16"/>
              </w:rPr>
              <w:t>11.5</w:t>
            </w:r>
          </w:p>
        </w:tc>
        <w:tc>
          <w:tcPr>
            <w:tcW w:w="1518" w:type="dxa"/>
            <w:vAlign w:val="bottom"/>
          </w:tcPr>
          <w:p w14:paraId="75BC13F6" w14:textId="77777777" w:rsidR="00F849A7" w:rsidRPr="00D9348B" w:rsidRDefault="00F849A7" w:rsidP="00DB330E">
            <w:pPr>
              <w:pStyle w:val="TableText"/>
              <w:spacing w:before="40" w:after="40"/>
              <w:jc w:val="center"/>
              <w:rPr>
                <w:rFonts w:cs="Calibri"/>
                <w:szCs w:val="16"/>
              </w:rPr>
            </w:pPr>
            <w:r w:rsidRPr="00D9348B">
              <w:rPr>
                <w:rFonts w:cs="Calibri"/>
                <w:szCs w:val="16"/>
              </w:rPr>
              <w:t>22.1</w:t>
            </w:r>
          </w:p>
        </w:tc>
      </w:tr>
      <w:tr w:rsidR="00F849A7" w:rsidRPr="00D9348B" w14:paraId="020AB162" w14:textId="77777777" w:rsidTr="002278D8">
        <w:trPr>
          <w:trHeight w:val="239"/>
        </w:trPr>
        <w:tc>
          <w:tcPr>
            <w:tcW w:w="988" w:type="dxa"/>
          </w:tcPr>
          <w:p w14:paraId="5AF68467" w14:textId="77777777" w:rsidR="00F849A7" w:rsidRPr="00D9348B" w:rsidRDefault="00F849A7" w:rsidP="00DB330E">
            <w:pPr>
              <w:pStyle w:val="TableText"/>
              <w:spacing w:before="40" w:after="40"/>
              <w:rPr>
                <w:rFonts w:cs="Calibri"/>
                <w:szCs w:val="16"/>
              </w:rPr>
            </w:pPr>
            <w:r w:rsidRPr="00D9348B">
              <w:rPr>
                <w:rFonts w:cs="Calibri"/>
                <w:szCs w:val="16"/>
              </w:rPr>
              <w:t>2007</w:t>
            </w:r>
          </w:p>
        </w:tc>
        <w:tc>
          <w:tcPr>
            <w:tcW w:w="1489" w:type="dxa"/>
            <w:vAlign w:val="bottom"/>
          </w:tcPr>
          <w:p w14:paraId="3E42492C" w14:textId="77777777" w:rsidR="00F849A7" w:rsidRPr="00D9348B" w:rsidRDefault="00F849A7" w:rsidP="00DB330E">
            <w:pPr>
              <w:pStyle w:val="TableText"/>
              <w:spacing w:before="40" w:after="40"/>
              <w:jc w:val="center"/>
              <w:rPr>
                <w:rFonts w:cs="Calibri"/>
                <w:szCs w:val="16"/>
              </w:rPr>
            </w:pPr>
            <w:r w:rsidRPr="00D9348B">
              <w:rPr>
                <w:rFonts w:cs="Calibri"/>
                <w:szCs w:val="16"/>
              </w:rPr>
              <w:t>77.4</w:t>
            </w:r>
          </w:p>
        </w:tc>
        <w:tc>
          <w:tcPr>
            <w:tcW w:w="1487" w:type="dxa"/>
            <w:vAlign w:val="center"/>
          </w:tcPr>
          <w:p w14:paraId="0FFDEA17" w14:textId="77777777" w:rsidR="00F849A7" w:rsidRPr="00D9348B" w:rsidRDefault="00F849A7" w:rsidP="00DB330E">
            <w:pPr>
              <w:pStyle w:val="TableText"/>
              <w:spacing w:before="40" w:after="40"/>
              <w:jc w:val="center"/>
              <w:rPr>
                <w:rFonts w:cs="Calibri"/>
                <w:szCs w:val="16"/>
              </w:rPr>
            </w:pPr>
            <w:r w:rsidRPr="00D9348B">
              <w:rPr>
                <w:rFonts w:cs="Calibri"/>
                <w:color w:val="000000"/>
                <w:szCs w:val="16"/>
              </w:rPr>
              <w:t>85.3</w:t>
            </w:r>
          </w:p>
        </w:tc>
        <w:tc>
          <w:tcPr>
            <w:tcW w:w="1487" w:type="dxa"/>
            <w:vAlign w:val="bottom"/>
          </w:tcPr>
          <w:p w14:paraId="1B0A2450" w14:textId="77777777" w:rsidR="00F849A7" w:rsidRPr="00D9348B" w:rsidRDefault="00F849A7" w:rsidP="00DB330E">
            <w:pPr>
              <w:pStyle w:val="TableText"/>
              <w:spacing w:before="40" w:after="40"/>
              <w:jc w:val="center"/>
              <w:rPr>
                <w:rFonts w:cs="Calibri"/>
                <w:szCs w:val="16"/>
              </w:rPr>
            </w:pPr>
            <w:r w:rsidRPr="00D9348B">
              <w:rPr>
                <w:rFonts w:cs="Calibri"/>
                <w:szCs w:val="16"/>
              </w:rPr>
              <w:t>59.0</w:t>
            </w:r>
          </w:p>
        </w:tc>
        <w:tc>
          <w:tcPr>
            <w:tcW w:w="1536" w:type="dxa"/>
            <w:vAlign w:val="bottom"/>
          </w:tcPr>
          <w:p w14:paraId="6F1FCE20" w14:textId="77777777" w:rsidR="00F849A7" w:rsidRPr="00D9348B" w:rsidRDefault="00F849A7" w:rsidP="00DB330E">
            <w:pPr>
              <w:pStyle w:val="TableText"/>
              <w:spacing w:before="40" w:after="40"/>
              <w:ind w:right="510"/>
              <w:jc w:val="right"/>
              <w:rPr>
                <w:rFonts w:cs="Calibri"/>
                <w:szCs w:val="16"/>
              </w:rPr>
            </w:pPr>
            <w:r w:rsidRPr="00D9348B">
              <w:rPr>
                <w:rFonts w:cs="Calibri"/>
                <w:szCs w:val="16"/>
              </w:rPr>
              <w:t>11.4</w:t>
            </w:r>
          </w:p>
        </w:tc>
        <w:tc>
          <w:tcPr>
            <w:tcW w:w="1518" w:type="dxa"/>
            <w:vAlign w:val="bottom"/>
          </w:tcPr>
          <w:p w14:paraId="3233A341" w14:textId="77777777" w:rsidR="00F849A7" w:rsidRPr="00D9348B" w:rsidRDefault="00F849A7" w:rsidP="00DB330E">
            <w:pPr>
              <w:pStyle w:val="TableText"/>
              <w:spacing w:before="40" w:after="40"/>
              <w:jc w:val="center"/>
              <w:rPr>
                <w:rFonts w:cs="Calibri"/>
                <w:szCs w:val="16"/>
              </w:rPr>
            </w:pPr>
            <w:r w:rsidRPr="00D9348B">
              <w:rPr>
                <w:rFonts w:cs="Calibri"/>
                <w:szCs w:val="16"/>
              </w:rPr>
              <w:t>22.3</w:t>
            </w:r>
          </w:p>
        </w:tc>
      </w:tr>
      <w:tr w:rsidR="00F849A7" w:rsidRPr="00D9348B" w14:paraId="3435ECF9" w14:textId="77777777" w:rsidTr="002278D8">
        <w:trPr>
          <w:trHeight w:val="239"/>
        </w:trPr>
        <w:tc>
          <w:tcPr>
            <w:tcW w:w="988" w:type="dxa"/>
          </w:tcPr>
          <w:p w14:paraId="6F43BBFD" w14:textId="77777777" w:rsidR="00F849A7" w:rsidRPr="00D9348B" w:rsidRDefault="00F849A7" w:rsidP="00DB330E">
            <w:pPr>
              <w:pStyle w:val="TableText"/>
              <w:spacing w:before="40" w:after="40"/>
              <w:rPr>
                <w:rFonts w:cs="Calibri"/>
                <w:szCs w:val="16"/>
              </w:rPr>
            </w:pPr>
            <w:r w:rsidRPr="00D9348B">
              <w:rPr>
                <w:rFonts w:cs="Calibri"/>
                <w:szCs w:val="16"/>
              </w:rPr>
              <w:t>2008</w:t>
            </w:r>
          </w:p>
        </w:tc>
        <w:tc>
          <w:tcPr>
            <w:tcW w:w="1489" w:type="dxa"/>
            <w:vAlign w:val="bottom"/>
          </w:tcPr>
          <w:p w14:paraId="148FCC61" w14:textId="77777777" w:rsidR="00F849A7" w:rsidRPr="00D9348B" w:rsidRDefault="00F849A7" w:rsidP="00DB330E">
            <w:pPr>
              <w:pStyle w:val="TableText"/>
              <w:spacing w:before="40" w:after="40"/>
              <w:jc w:val="center"/>
              <w:rPr>
                <w:rFonts w:cs="Calibri"/>
                <w:szCs w:val="16"/>
              </w:rPr>
            </w:pPr>
            <w:r w:rsidRPr="00D9348B">
              <w:rPr>
                <w:rFonts w:cs="Calibri"/>
                <w:szCs w:val="16"/>
              </w:rPr>
              <w:t>76.4</w:t>
            </w:r>
          </w:p>
        </w:tc>
        <w:tc>
          <w:tcPr>
            <w:tcW w:w="1487" w:type="dxa"/>
            <w:vAlign w:val="center"/>
          </w:tcPr>
          <w:p w14:paraId="6BA06C31" w14:textId="77777777" w:rsidR="00F849A7" w:rsidRPr="00D9348B" w:rsidRDefault="00F849A7" w:rsidP="00DB330E">
            <w:pPr>
              <w:pStyle w:val="TableText"/>
              <w:spacing w:before="40" w:after="40"/>
              <w:jc w:val="center"/>
              <w:rPr>
                <w:rFonts w:cs="Calibri"/>
                <w:szCs w:val="16"/>
              </w:rPr>
            </w:pPr>
            <w:r w:rsidRPr="00D9348B">
              <w:rPr>
                <w:rFonts w:cs="Calibri"/>
                <w:color w:val="000000"/>
                <w:szCs w:val="16"/>
              </w:rPr>
              <w:t>84.8</w:t>
            </w:r>
          </w:p>
        </w:tc>
        <w:tc>
          <w:tcPr>
            <w:tcW w:w="1487" w:type="dxa"/>
            <w:vAlign w:val="bottom"/>
          </w:tcPr>
          <w:p w14:paraId="04639488" w14:textId="77777777" w:rsidR="00F849A7" w:rsidRPr="00D9348B" w:rsidRDefault="00F849A7" w:rsidP="00DB330E">
            <w:pPr>
              <w:pStyle w:val="TableText"/>
              <w:spacing w:before="40" w:after="40"/>
              <w:jc w:val="center"/>
              <w:rPr>
                <w:rFonts w:cs="Calibri"/>
                <w:szCs w:val="16"/>
              </w:rPr>
            </w:pPr>
            <w:r w:rsidRPr="00D9348B">
              <w:rPr>
                <w:rFonts w:cs="Calibri"/>
                <w:szCs w:val="16"/>
              </w:rPr>
              <w:t>58.5</w:t>
            </w:r>
          </w:p>
        </w:tc>
        <w:tc>
          <w:tcPr>
            <w:tcW w:w="1536" w:type="dxa"/>
            <w:vAlign w:val="bottom"/>
          </w:tcPr>
          <w:p w14:paraId="7B45DB47" w14:textId="77777777" w:rsidR="00F849A7" w:rsidRPr="00D9348B" w:rsidRDefault="00F849A7" w:rsidP="00DB330E">
            <w:pPr>
              <w:pStyle w:val="TableText"/>
              <w:spacing w:before="40" w:after="40"/>
              <w:ind w:right="510"/>
              <w:jc w:val="right"/>
              <w:rPr>
                <w:rFonts w:cs="Calibri"/>
                <w:szCs w:val="16"/>
              </w:rPr>
            </w:pPr>
            <w:r w:rsidRPr="00D9348B">
              <w:rPr>
                <w:rFonts w:cs="Calibri"/>
                <w:szCs w:val="16"/>
              </w:rPr>
              <w:t>11.6</w:t>
            </w:r>
          </w:p>
        </w:tc>
        <w:tc>
          <w:tcPr>
            <w:tcW w:w="1518" w:type="dxa"/>
            <w:vAlign w:val="bottom"/>
          </w:tcPr>
          <w:p w14:paraId="41FA23A3" w14:textId="77777777" w:rsidR="00F849A7" w:rsidRPr="00D9348B" w:rsidRDefault="00F849A7" w:rsidP="00DB330E">
            <w:pPr>
              <w:pStyle w:val="TableText"/>
              <w:spacing w:before="40" w:after="40"/>
              <w:jc w:val="center"/>
              <w:rPr>
                <w:rFonts w:cs="Calibri"/>
                <w:szCs w:val="16"/>
              </w:rPr>
            </w:pPr>
            <w:r w:rsidRPr="00D9348B">
              <w:rPr>
                <w:rFonts w:cs="Calibri"/>
                <w:szCs w:val="16"/>
              </w:rPr>
              <w:t>22.4</w:t>
            </w:r>
          </w:p>
        </w:tc>
      </w:tr>
      <w:tr w:rsidR="00F849A7" w:rsidRPr="00D9348B" w14:paraId="36CE5416" w14:textId="77777777" w:rsidTr="002278D8">
        <w:trPr>
          <w:trHeight w:val="239"/>
        </w:trPr>
        <w:tc>
          <w:tcPr>
            <w:tcW w:w="988" w:type="dxa"/>
          </w:tcPr>
          <w:p w14:paraId="13D0CE3F" w14:textId="77777777" w:rsidR="00F849A7" w:rsidRPr="00D9348B" w:rsidRDefault="00F849A7" w:rsidP="00DB330E">
            <w:pPr>
              <w:pStyle w:val="TableText"/>
              <w:spacing w:before="40" w:after="40"/>
              <w:rPr>
                <w:rFonts w:cs="Calibri"/>
                <w:szCs w:val="16"/>
              </w:rPr>
            </w:pPr>
            <w:r w:rsidRPr="00D9348B">
              <w:rPr>
                <w:rFonts w:cs="Calibri"/>
                <w:szCs w:val="16"/>
              </w:rPr>
              <w:t>2009</w:t>
            </w:r>
          </w:p>
        </w:tc>
        <w:tc>
          <w:tcPr>
            <w:tcW w:w="1489" w:type="dxa"/>
            <w:vAlign w:val="bottom"/>
          </w:tcPr>
          <w:p w14:paraId="4C850CCB" w14:textId="77777777" w:rsidR="00F849A7" w:rsidRPr="00D9348B" w:rsidRDefault="00F849A7" w:rsidP="00DB330E">
            <w:pPr>
              <w:pStyle w:val="TableText"/>
              <w:spacing w:before="40" w:after="40"/>
              <w:jc w:val="center"/>
              <w:rPr>
                <w:rFonts w:cs="Calibri"/>
                <w:szCs w:val="16"/>
              </w:rPr>
            </w:pPr>
            <w:r w:rsidRPr="00D9348B">
              <w:rPr>
                <w:rFonts w:cs="Calibri"/>
                <w:szCs w:val="16"/>
              </w:rPr>
              <w:t>76.9</w:t>
            </w:r>
          </w:p>
        </w:tc>
        <w:tc>
          <w:tcPr>
            <w:tcW w:w="1487" w:type="dxa"/>
            <w:vAlign w:val="center"/>
          </w:tcPr>
          <w:p w14:paraId="2748B3A5" w14:textId="77777777" w:rsidR="00F849A7" w:rsidRPr="00D9348B" w:rsidRDefault="00F849A7" w:rsidP="00DB330E">
            <w:pPr>
              <w:pStyle w:val="TableText"/>
              <w:spacing w:before="40" w:after="40"/>
              <w:jc w:val="center"/>
              <w:rPr>
                <w:rFonts w:cs="Calibri"/>
                <w:szCs w:val="16"/>
              </w:rPr>
            </w:pPr>
            <w:r w:rsidRPr="00D9348B">
              <w:rPr>
                <w:rFonts w:cs="Calibri"/>
                <w:color w:val="000000"/>
                <w:szCs w:val="16"/>
              </w:rPr>
              <w:t>84.3</w:t>
            </w:r>
          </w:p>
        </w:tc>
        <w:tc>
          <w:tcPr>
            <w:tcW w:w="1487" w:type="dxa"/>
            <w:vAlign w:val="bottom"/>
          </w:tcPr>
          <w:p w14:paraId="2B208A00" w14:textId="77777777" w:rsidR="00F849A7" w:rsidRPr="00D9348B" w:rsidRDefault="00F849A7" w:rsidP="00DB330E">
            <w:pPr>
              <w:pStyle w:val="TableText"/>
              <w:spacing w:before="40" w:after="40"/>
              <w:jc w:val="center"/>
              <w:rPr>
                <w:rFonts w:cs="Calibri"/>
                <w:szCs w:val="16"/>
              </w:rPr>
            </w:pPr>
            <w:r w:rsidRPr="00D9348B">
              <w:rPr>
                <w:rFonts w:cs="Calibri"/>
                <w:szCs w:val="16"/>
              </w:rPr>
              <w:t>58.0</w:t>
            </w:r>
          </w:p>
        </w:tc>
        <w:tc>
          <w:tcPr>
            <w:tcW w:w="1536" w:type="dxa"/>
            <w:vAlign w:val="bottom"/>
          </w:tcPr>
          <w:p w14:paraId="1A5AD94D" w14:textId="77777777" w:rsidR="00F849A7" w:rsidRPr="00D9348B" w:rsidRDefault="00F849A7" w:rsidP="00DB330E">
            <w:pPr>
              <w:pStyle w:val="TableText"/>
              <w:spacing w:before="40" w:after="40"/>
              <w:ind w:right="510"/>
              <w:jc w:val="right"/>
              <w:rPr>
                <w:rFonts w:cs="Calibri"/>
                <w:szCs w:val="16"/>
              </w:rPr>
            </w:pPr>
            <w:r w:rsidRPr="00D9348B">
              <w:rPr>
                <w:rFonts w:cs="Calibri"/>
                <w:szCs w:val="16"/>
              </w:rPr>
              <w:t>11.8</w:t>
            </w:r>
          </w:p>
        </w:tc>
        <w:tc>
          <w:tcPr>
            <w:tcW w:w="1518" w:type="dxa"/>
            <w:vAlign w:val="bottom"/>
          </w:tcPr>
          <w:p w14:paraId="2A4F1466" w14:textId="77777777" w:rsidR="00F849A7" w:rsidRPr="00D9348B" w:rsidRDefault="00F849A7" w:rsidP="00DB330E">
            <w:pPr>
              <w:pStyle w:val="TableText"/>
              <w:spacing w:before="40" w:after="40"/>
              <w:jc w:val="center"/>
              <w:rPr>
                <w:rFonts w:cs="Calibri"/>
                <w:szCs w:val="16"/>
              </w:rPr>
            </w:pPr>
            <w:r w:rsidRPr="00D9348B">
              <w:rPr>
                <w:rFonts w:cs="Calibri"/>
                <w:szCs w:val="16"/>
              </w:rPr>
              <w:t>22.6</w:t>
            </w:r>
          </w:p>
        </w:tc>
      </w:tr>
      <w:tr w:rsidR="00F849A7" w:rsidRPr="00D9348B" w14:paraId="11C0BD7F" w14:textId="77777777" w:rsidTr="002278D8">
        <w:trPr>
          <w:trHeight w:val="239"/>
        </w:trPr>
        <w:tc>
          <w:tcPr>
            <w:tcW w:w="988" w:type="dxa"/>
          </w:tcPr>
          <w:p w14:paraId="247CB153" w14:textId="77777777" w:rsidR="00F849A7" w:rsidRPr="00D9348B" w:rsidRDefault="00F849A7" w:rsidP="00DB330E">
            <w:pPr>
              <w:pStyle w:val="TableText"/>
              <w:spacing w:before="40" w:after="40"/>
              <w:rPr>
                <w:rFonts w:cs="Calibri"/>
                <w:szCs w:val="16"/>
              </w:rPr>
            </w:pPr>
            <w:r w:rsidRPr="00D9348B">
              <w:rPr>
                <w:rFonts w:cs="Calibri"/>
                <w:szCs w:val="16"/>
              </w:rPr>
              <w:t>2010</w:t>
            </w:r>
          </w:p>
        </w:tc>
        <w:tc>
          <w:tcPr>
            <w:tcW w:w="1489" w:type="dxa"/>
            <w:vAlign w:val="bottom"/>
          </w:tcPr>
          <w:p w14:paraId="5EAB951E" w14:textId="77777777" w:rsidR="00F849A7" w:rsidRPr="00D9348B" w:rsidRDefault="00F849A7" w:rsidP="00DB330E">
            <w:pPr>
              <w:pStyle w:val="TableText"/>
              <w:spacing w:before="40" w:after="40"/>
              <w:jc w:val="center"/>
              <w:rPr>
                <w:rFonts w:cs="Calibri"/>
                <w:szCs w:val="16"/>
              </w:rPr>
            </w:pPr>
            <w:r w:rsidRPr="00D9348B">
              <w:rPr>
                <w:rFonts w:cs="Calibri"/>
                <w:szCs w:val="16"/>
              </w:rPr>
              <w:t>78.8</w:t>
            </w:r>
          </w:p>
        </w:tc>
        <w:tc>
          <w:tcPr>
            <w:tcW w:w="1487" w:type="dxa"/>
            <w:vAlign w:val="center"/>
          </w:tcPr>
          <w:p w14:paraId="7784832D" w14:textId="77777777" w:rsidR="00F849A7" w:rsidRPr="00D9348B" w:rsidRDefault="00F849A7" w:rsidP="00DB330E">
            <w:pPr>
              <w:pStyle w:val="TableText"/>
              <w:spacing w:before="40" w:after="40"/>
              <w:jc w:val="center"/>
              <w:rPr>
                <w:rFonts w:cs="Calibri"/>
                <w:szCs w:val="16"/>
              </w:rPr>
            </w:pPr>
            <w:r w:rsidRPr="00D9348B">
              <w:rPr>
                <w:rFonts w:cs="Calibri"/>
                <w:color w:val="000000"/>
                <w:szCs w:val="16"/>
              </w:rPr>
              <w:t>84.2</w:t>
            </w:r>
          </w:p>
        </w:tc>
        <w:tc>
          <w:tcPr>
            <w:tcW w:w="1487" w:type="dxa"/>
            <w:vAlign w:val="bottom"/>
          </w:tcPr>
          <w:p w14:paraId="31A9490A" w14:textId="77777777" w:rsidR="00F849A7" w:rsidRPr="00D9348B" w:rsidRDefault="00F849A7" w:rsidP="00DB330E">
            <w:pPr>
              <w:pStyle w:val="TableText"/>
              <w:spacing w:before="40" w:after="40"/>
              <w:jc w:val="center"/>
              <w:rPr>
                <w:rFonts w:cs="Calibri"/>
                <w:szCs w:val="16"/>
              </w:rPr>
            </w:pPr>
            <w:r w:rsidRPr="00D9348B">
              <w:rPr>
                <w:rFonts w:cs="Calibri"/>
                <w:szCs w:val="16"/>
              </w:rPr>
              <w:t>57.9</w:t>
            </w:r>
          </w:p>
        </w:tc>
        <w:tc>
          <w:tcPr>
            <w:tcW w:w="1536" w:type="dxa"/>
            <w:vAlign w:val="bottom"/>
          </w:tcPr>
          <w:p w14:paraId="4663C97E" w14:textId="77777777" w:rsidR="00F849A7" w:rsidRPr="00D9348B" w:rsidRDefault="00F849A7" w:rsidP="00DB330E">
            <w:pPr>
              <w:pStyle w:val="TableText"/>
              <w:spacing w:before="40" w:after="40"/>
              <w:ind w:right="510"/>
              <w:jc w:val="right"/>
              <w:rPr>
                <w:rFonts w:cs="Calibri"/>
                <w:szCs w:val="16"/>
              </w:rPr>
            </w:pPr>
            <w:r w:rsidRPr="00D9348B">
              <w:rPr>
                <w:rFonts w:cs="Calibri"/>
                <w:szCs w:val="16"/>
              </w:rPr>
              <w:t>11.5</w:t>
            </w:r>
          </w:p>
        </w:tc>
        <w:tc>
          <w:tcPr>
            <w:tcW w:w="1518" w:type="dxa"/>
            <w:vAlign w:val="bottom"/>
          </w:tcPr>
          <w:p w14:paraId="7D35BDD6" w14:textId="77777777" w:rsidR="00F849A7" w:rsidRPr="00D9348B" w:rsidRDefault="00F849A7" w:rsidP="00DB330E">
            <w:pPr>
              <w:pStyle w:val="TableText"/>
              <w:spacing w:before="40" w:after="40"/>
              <w:jc w:val="center"/>
              <w:rPr>
                <w:rFonts w:cs="Calibri"/>
                <w:szCs w:val="16"/>
              </w:rPr>
            </w:pPr>
            <w:r w:rsidRPr="00D9348B">
              <w:rPr>
                <w:rFonts w:cs="Calibri"/>
                <w:szCs w:val="16"/>
              </w:rPr>
              <w:t>22.6</w:t>
            </w:r>
          </w:p>
        </w:tc>
      </w:tr>
      <w:tr w:rsidR="00F849A7" w:rsidRPr="00D9348B" w14:paraId="7699E8CB" w14:textId="77777777" w:rsidTr="002278D8">
        <w:trPr>
          <w:trHeight w:val="217"/>
        </w:trPr>
        <w:tc>
          <w:tcPr>
            <w:tcW w:w="988" w:type="dxa"/>
          </w:tcPr>
          <w:p w14:paraId="2A326344" w14:textId="77777777" w:rsidR="00F849A7" w:rsidRPr="00D9348B" w:rsidRDefault="00F849A7" w:rsidP="00DB330E">
            <w:pPr>
              <w:pStyle w:val="TableText"/>
              <w:spacing w:before="40" w:after="40"/>
              <w:rPr>
                <w:rFonts w:cs="Calibri"/>
                <w:szCs w:val="16"/>
              </w:rPr>
            </w:pPr>
            <w:r w:rsidRPr="00D9348B">
              <w:rPr>
                <w:rFonts w:cs="Calibri"/>
                <w:szCs w:val="16"/>
              </w:rPr>
              <w:t>2011</w:t>
            </w:r>
          </w:p>
        </w:tc>
        <w:tc>
          <w:tcPr>
            <w:tcW w:w="1489" w:type="dxa"/>
            <w:vAlign w:val="bottom"/>
          </w:tcPr>
          <w:p w14:paraId="6A16EF08" w14:textId="77777777" w:rsidR="00F849A7" w:rsidRPr="00D9348B" w:rsidRDefault="00F849A7" w:rsidP="00DB330E">
            <w:pPr>
              <w:pStyle w:val="TableText"/>
              <w:spacing w:before="40" w:after="40"/>
              <w:jc w:val="center"/>
              <w:rPr>
                <w:rFonts w:cs="Calibri"/>
                <w:szCs w:val="16"/>
              </w:rPr>
            </w:pPr>
            <w:r w:rsidRPr="00D9348B">
              <w:rPr>
                <w:rFonts w:cs="Calibri"/>
                <w:szCs w:val="16"/>
              </w:rPr>
              <w:t>79.8</w:t>
            </w:r>
          </w:p>
        </w:tc>
        <w:tc>
          <w:tcPr>
            <w:tcW w:w="1487" w:type="dxa"/>
            <w:vAlign w:val="center"/>
          </w:tcPr>
          <w:p w14:paraId="0CDD031D" w14:textId="77777777" w:rsidR="00F849A7" w:rsidRPr="00D9348B" w:rsidRDefault="00F849A7" w:rsidP="00DB330E">
            <w:pPr>
              <w:pStyle w:val="TableText"/>
              <w:spacing w:before="40" w:after="40"/>
              <w:jc w:val="center"/>
              <w:rPr>
                <w:rFonts w:cs="Calibri"/>
                <w:szCs w:val="16"/>
              </w:rPr>
            </w:pPr>
            <w:r w:rsidRPr="00D9348B">
              <w:rPr>
                <w:rFonts w:cs="Calibri"/>
                <w:color w:val="000000"/>
                <w:szCs w:val="16"/>
              </w:rPr>
              <w:t>86.1</w:t>
            </w:r>
          </w:p>
        </w:tc>
        <w:tc>
          <w:tcPr>
            <w:tcW w:w="1487" w:type="dxa"/>
            <w:vAlign w:val="bottom"/>
          </w:tcPr>
          <w:p w14:paraId="15CD3705" w14:textId="77777777" w:rsidR="00F849A7" w:rsidRPr="00D9348B" w:rsidRDefault="00F849A7" w:rsidP="00DB330E">
            <w:pPr>
              <w:pStyle w:val="TableText"/>
              <w:spacing w:before="40" w:after="40"/>
              <w:jc w:val="center"/>
              <w:rPr>
                <w:rFonts w:cs="Calibri"/>
                <w:szCs w:val="16"/>
              </w:rPr>
            </w:pPr>
            <w:r w:rsidRPr="00D9348B">
              <w:rPr>
                <w:rFonts w:cs="Calibri"/>
                <w:szCs w:val="16"/>
              </w:rPr>
              <w:t>58.7</w:t>
            </w:r>
          </w:p>
        </w:tc>
        <w:tc>
          <w:tcPr>
            <w:tcW w:w="1536" w:type="dxa"/>
            <w:vAlign w:val="bottom"/>
          </w:tcPr>
          <w:p w14:paraId="7CC4793A" w14:textId="77777777" w:rsidR="00F849A7" w:rsidRPr="00D9348B" w:rsidRDefault="00F849A7" w:rsidP="00DB330E">
            <w:pPr>
              <w:pStyle w:val="TableText"/>
              <w:spacing w:before="40" w:after="40"/>
              <w:ind w:right="510"/>
              <w:jc w:val="right"/>
              <w:rPr>
                <w:rFonts w:cs="Calibri"/>
                <w:szCs w:val="16"/>
              </w:rPr>
            </w:pPr>
            <w:r w:rsidRPr="00D9348B">
              <w:rPr>
                <w:rFonts w:cs="Calibri"/>
                <w:szCs w:val="16"/>
              </w:rPr>
              <w:t>11.7</w:t>
            </w:r>
          </w:p>
        </w:tc>
        <w:tc>
          <w:tcPr>
            <w:tcW w:w="1518" w:type="dxa"/>
            <w:vAlign w:val="bottom"/>
          </w:tcPr>
          <w:p w14:paraId="186BB20A" w14:textId="77777777" w:rsidR="00F849A7" w:rsidRPr="00D9348B" w:rsidRDefault="00F849A7" w:rsidP="00DB330E">
            <w:pPr>
              <w:pStyle w:val="TableText"/>
              <w:spacing w:before="40" w:after="40"/>
              <w:jc w:val="center"/>
              <w:rPr>
                <w:rFonts w:cs="Calibri"/>
                <w:szCs w:val="16"/>
              </w:rPr>
            </w:pPr>
            <w:r w:rsidRPr="00D9348B">
              <w:rPr>
                <w:rFonts w:cs="Calibri"/>
                <w:szCs w:val="16"/>
              </w:rPr>
              <w:t>22.8</w:t>
            </w:r>
          </w:p>
        </w:tc>
      </w:tr>
      <w:tr w:rsidR="00F849A7" w:rsidRPr="00D9348B" w14:paraId="566B4469" w14:textId="77777777" w:rsidTr="002278D8">
        <w:trPr>
          <w:trHeight w:val="239"/>
        </w:trPr>
        <w:tc>
          <w:tcPr>
            <w:tcW w:w="988" w:type="dxa"/>
          </w:tcPr>
          <w:p w14:paraId="0984B8AC" w14:textId="77777777" w:rsidR="00F849A7" w:rsidRPr="00D9348B" w:rsidRDefault="00F849A7" w:rsidP="00DB330E">
            <w:pPr>
              <w:pStyle w:val="TableText"/>
              <w:spacing w:before="40" w:after="40"/>
              <w:rPr>
                <w:rFonts w:cs="Calibri"/>
                <w:szCs w:val="16"/>
              </w:rPr>
            </w:pPr>
            <w:r w:rsidRPr="00D9348B">
              <w:rPr>
                <w:rFonts w:cs="Calibri"/>
                <w:szCs w:val="16"/>
              </w:rPr>
              <w:t>2012</w:t>
            </w:r>
          </w:p>
        </w:tc>
        <w:tc>
          <w:tcPr>
            <w:tcW w:w="1489" w:type="dxa"/>
            <w:vAlign w:val="bottom"/>
          </w:tcPr>
          <w:p w14:paraId="43AD5AF4" w14:textId="77777777" w:rsidR="00F849A7" w:rsidRPr="00D9348B" w:rsidRDefault="00F849A7" w:rsidP="00DB330E">
            <w:pPr>
              <w:pStyle w:val="TableText"/>
              <w:spacing w:before="40" w:after="40"/>
              <w:jc w:val="center"/>
              <w:rPr>
                <w:rFonts w:cs="Calibri"/>
                <w:szCs w:val="16"/>
              </w:rPr>
            </w:pPr>
            <w:r w:rsidRPr="00D9348B">
              <w:rPr>
                <w:rFonts w:cs="Calibri"/>
                <w:szCs w:val="16"/>
              </w:rPr>
              <w:t>79.7</w:t>
            </w:r>
          </w:p>
        </w:tc>
        <w:tc>
          <w:tcPr>
            <w:tcW w:w="1487" w:type="dxa"/>
            <w:vAlign w:val="center"/>
          </w:tcPr>
          <w:p w14:paraId="6C870C84" w14:textId="77777777" w:rsidR="00F849A7" w:rsidRPr="00D9348B" w:rsidRDefault="00F849A7" w:rsidP="00DB330E">
            <w:pPr>
              <w:pStyle w:val="TableText"/>
              <w:spacing w:before="40" w:after="40"/>
              <w:jc w:val="center"/>
              <w:rPr>
                <w:rFonts w:cs="Calibri"/>
                <w:szCs w:val="16"/>
              </w:rPr>
            </w:pPr>
            <w:r w:rsidRPr="00D9348B">
              <w:rPr>
                <w:rFonts w:cs="Calibri"/>
                <w:color w:val="000000"/>
                <w:szCs w:val="16"/>
              </w:rPr>
              <w:t>88.6</w:t>
            </w:r>
          </w:p>
        </w:tc>
        <w:tc>
          <w:tcPr>
            <w:tcW w:w="1487" w:type="dxa"/>
            <w:vAlign w:val="bottom"/>
          </w:tcPr>
          <w:p w14:paraId="13F827E8" w14:textId="77777777" w:rsidR="00F849A7" w:rsidRPr="00D9348B" w:rsidRDefault="00F849A7" w:rsidP="00DB330E">
            <w:pPr>
              <w:pStyle w:val="TableText"/>
              <w:spacing w:before="40" w:after="40"/>
              <w:jc w:val="center"/>
              <w:rPr>
                <w:rFonts w:cs="Calibri"/>
                <w:szCs w:val="16"/>
              </w:rPr>
            </w:pPr>
            <w:r w:rsidRPr="00D9348B">
              <w:rPr>
                <w:rFonts w:cs="Calibri"/>
                <w:szCs w:val="16"/>
              </w:rPr>
              <w:t>59.5</w:t>
            </w:r>
          </w:p>
        </w:tc>
        <w:tc>
          <w:tcPr>
            <w:tcW w:w="1536" w:type="dxa"/>
            <w:vAlign w:val="bottom"/>
          </w:tcPr>
          <w:p w14:paraId="321F9DD0" w14:textId="77777777" w:rsidR="00F849A7" w:rsidRPr="00D9348B" w:rsidRDefault="00F849A7" w:rsidP="00DB330E">
            <w:pPr>
              <w:pStyle w:val="TableText"/>
              <w:spacing w:before="40" w:after="40"/>
              <w:ind w:right="510"/>
              <w:jc w:val="right"/>
              <w:rPr>
                <w:rFonts w:cs="Calibri"/>
                <w:szCs w:val="16"/>
              </w:rPr>
            </w:pPr>
            <w:r w:rsidRPr="00D9348B">
              <w:rPr>
                <w:rFonts w:cs="Calibri"/>
                <w:szCs w:val="16"/>
              </w:rPr>
              <w:t>11.8</w:t>
            </w:r>
          </w:p>
        </w:tc>
        <w:tc>
          <w:tcPr>
            <w:tcW w:w="1518" w:type="dxa"/>
            <w:vAlign w:val="bottom"/>
          </w:tcPr>
          <w:p w14:paraId="01F606B0" w14:textId="77777777" w:rsidR="00F849A7" w:rsidRPr="00D9348B" w:rsidRDefault="00F849A7" w:rsidP="00DB330E">
            <w:pPr>
              <w:pStyle w:val="TableText"/>
              <w:spacing w:before="40" w:after="40"/>
              <w:jc w:val="center"/>
              <w:rPr>
                <w:rFonts w:cs="Calibri"/>
                <w:szCs w:val="16"/>
              </w:rPr>
            </w:pPr>
            <w:r w:rsidRPr="00D9348B">
              <w:rPr>
                <w:rFonts w:cs="Calibri"/>
                <w:szCs w:val="16"/>
              </w:rPr>
              <w:t>22.9</w:t>
            </w:r>
          </w:p>
        </w:tc>
      </w:tr>
      <w:tr w:rsidR="00F849A7" w:rsidRPr="00D9348B" w14:paraId="4953923F" w14:textId="77777777" w:rsidTr="002278D8">
        <w:trPr>
          <w:trHeight w:val="239"/>
        </w:trPr>
        <w:tc>
          <w:tcPr>
            <w:tcW w:w="988" w:type="dxa"/>
          </w:tcPr>
          <w:p w14:paraId="6C2C4C02" w14:textId="77777777" w:rsidR="00F849A7" w:rsidRPr="00D9348B" w:rsidRDefault="00F849A7" w:rsidP="00DB330E">
            <w:pPr>
              <w:pStyle w:val="TableText"/>
              <w:spacing w:before="40" w:after="40"/>
              <w:rPr>
                <w:rFonts w:cs="Calibri"/>
                <w:szCs w:val="16"/>
              </w:rPr>
            </w:pPr>
            <w:r w:rsidRPr="00D9348B">
              <w:rPr>
                <w:rFonts w:cs="Calibri"/>
                <w:szCs w:val="16"/>
              </w:rPr>
              <w:t>2013</w:t>
            </w:r>
          </w:p>
        </w:tc>
        <w:tc>
          <w:tcPr>
            <w:tcW w:w="1489" w:type="dxa"/>
            <w:vAlign w:val="bottom"/>
          </w:tcPr>
          <w:p w14:paraId="7A6CCDBA" w14:textId="77777777" w:rsidR="00F849A7" w:rsidRPr="00D9348B" w:rsidRDefault="00F849A7" w:rsidP="00DB330E">
            <w:pPr>
              <w:pStyle w:val="TableText"/>
              <w:spacing w:before="40" w:after="40"/>
              <w:jc w:val="center"/>
              <w:rPr>
                <w:rFonts w:cs="Calibri"/>
                <w:szCs w:val="16"/>
              </w:rPr>
            </w:pPr>
            <w:r w:rsidRPr="00D9348B">
              <w:rPr>
                <w:rFonts w:cs="Calibri"/>
                <w:szCs w:val="16"/>
              </w:rPr>
              <w:t>81.7</w:t>
            </w:r>
          </w:p>
        </w:tc>
        <w:tc>
          <w:tcPr>
            <w:tcW w:w="1487" w:type="dxa"/>
            <w:vAlign w:val="center"/>
          </w:tcPr>
          <w:p w14:paraId="3B1D5314" w14:textId="77777777" w:rsidR="00F849A7" w:rsidRPr="00D9348B" w:rsidRDefault="00F849A7" w:rsidP="00DB330E">
            <w:pPr>
              <w:pStyle w:val="TableText"/>
              <w:spacing w:before="40" w:after="40"/>
              <w:jc w:val="center"/>
              <w:rPr>
                <w:rFonts w:cs="Calibri"/>
                <w:szCs w:val="16"/>
              </w:rPr>
            </w:pPr>
            <w:r w:rsidRPr="00D9348B">
              <w:rPr>
                <w:rFonts w:cs="Calibri"/>
                <w:color w:val="000000"/>
                <w:szCs w:val="16"/>
              </w:rPr>
              <w:t>88.3</w:t>
            </w:r>
          </w:p>
        </w:tc>
        <w:tc>
          <w:tcPr>
            <w:tcW w:w="1487" w:type="dxa"/>
            <w:vAlign w:val="bottom"/>
          </w:tcPr>
          <w:p w14:paraId="6F08FF81" w14:textId="77777777" w:rsidR="00F849A7" w:rsidRPr="00D9348B" w:rsidRDefault="00F849A7" w:rsidP="00DB330E">
            <w:pPr>
              <w:pStyle w:val="TableText"/>
              <w:spacing w:before="40" w:after="40"/>
              <w:jc w:val="center"/>
              <w:rPr>
                <w:rFonts w:cs="Calibri"/>
                <w:szCs w:val="16"/>
              </w:rPr>
            </w:pPr>
            <w:r w:rsidRPr="00D9348B">
              <w:rPr>
                <w:rFonts w:cs="Calibri"/>
                <w:szCs w:val="16"/>
              </w:rPr>
              <w:t>58.6</w:t>
            </w:r>
          </w:p>
        </w:tc>
        <w:tc>
          <w:tcPr>
            <w:tcW w:w="1536" w:type="dxa"/>
            <w:vAlign w:val="bottom"/>
          </w:tcPr>
          <w:p w14:paraId="473EDE84" w14:textId="77777777" w:rsidR="00F849A7" w:rsidRPr="00D9348B" w:rsidRDefault="00F849A7" w:rsidP="00DB330E">
            <w:pPr>
              <w:pStyle w:val="TableText"/>
              <w:spacing w:before="40" w:after="40"/>
              <w:ind w:right="510"/>
              <w:jc w:val="right"/>
              <w:rPr>
                <w:rFonts w:cs="Calibri"/>
                <w:szCs w:val="16"/>
              </w:rPr>
            </w:pPr>
            <w:r w:rsidRPr="00D9348B">
              <w:rPr>
                <w:rFonts w:cs="Calibri"/>
                <w:szCs w:val="16"/>
              </w:rPr>
              <w:t>11.8</w:t>
            </w:r>
          </w:p>
        </w:tc>
        <w:tc>
          <w:tcPr>
            <w:tcW w:w="1518" w:type="dxa"/>
            <w:vAlign w:val="bottom"/>
          </w:tcPr>
          <w:p w14:paraId="51EB4219" w14:textId="77777777" w:rsidR="00F849A7" w:rsidRPr="00D9348B" w:rsidRDefault="00F849A7" w:rsidP="00DB330E">
            <w:pPr>
              <w:pStyle w:val="TableText"/>
              <w:spacing w:before="40" w:after="40"/>
              <w:jc w:val="center"/>
              <w:rPr>
                <w:rFonts w:cs="Calibri"/>
                <w:szCs w:val="16"/>
              </w:rPr>
            </w:pPr>
            <w:r w:rsidRPr="00D9348B">
              <w:rPr>
                <w:rFonts w:cs="Calibri"/>
                <w:szCs w:val="16"/>
              </w:rPr>
              <w:t>22.6</w:t>
            </w:r>
          </w:p>
        </w:tc>
      </w:tr>
      <w:tr w:rsidR="00F849A7" w:rsidRPr="00D9348B" w14:paraId="49E14AA9" w14:textId="77777777" w:rsidTr="002278D8">
        <w:trPr>
          <w:trHeight w:val="251"/>
        </w:trPr>
        <w:tc>
          <w:tcPr>
            <w:tcW w:w="988" w:type="dxa"/>
          </w:tcPr>
          <w:p w14:paraId="261E5A92" w14:textId="77777777" w:rsidR="00F849A7" w:rsidRPr="00D9348B" w:rsidRDefault="00F849A7" w:rsidP="00DB330E">
            <w:pPr>
              <w:pStyle w:val="TableText"/>
              <w:spacing w:before="40" w:after="40"/>
              <w:rPr>
                <w:rFonts w:cs="Calibri"/>
                <w:szCs w:val="16"/>
              </w:rPr>
            </w:pPr>
            <w:r w:rsidRPr="00D9348B">
              <w:rPr>
                <w:rFonts w:cs="Calibri"/>
                <w:szCs w:val="16"/>
              </w:rPr>
              <w:t>2014</w:t>
            </w:r>
          </w:p>
        </w:tc>
        <w:tc>
          <w:tcPr>
            <w:tcW w:w="1489" w:type="dxa"/>
            <w:vAlign w:val="bottom"/>
          </w:tcPr>
          <w:p w14:paraId="75856B27" w14:textId="77777777" w:rsidR="00F849A7" w:rsidRPr="00D9348B" w:rsidRDefault="00F849A7" w:rsidP="00DB330E">
            <w:pPr>
              <w:pStyle w:val="TableText"/>
              <w:spacing w:before="40" w:after="40"/>
              <w:jc w:val="center"/>
              <w:rPr>
                <w:rFonts w:cs="Calibri"/>
                <w:szCs w:val="16"/>
              </w:rPr>
            </w:pPr>
            <w:r w:rsidRPr="00D9348B">
              <w:rPr>
                <w:rFonts w:cs="Calibri"/>
                <w:szCs w:val="16"/>
              </w:rPr>
              <w:t>82.0</w:t>
            </w:r>
          </w:p>
        </w:tc>
        <w:tc>
          <w:tcPr>
            <w:tcW w:w="1487" w:type="dxa"/>
            <w:vAlign w:val="center"/>
          </w:tcPr>
          <w:p w14:paraId="1A6CA863" w14:textId="77777777" w:rsidR="00F849A7" w:rsidRPr="00D9348B" w:rsidRDefault="00F849A7" w:rsidP="00DB330E">
            <w:pPr>
              <w:pStyle w:val="TableText"/>
              <w:spacing w:before="40" w:after="40"/>
              <w:jc w:val="center"/>
              <w:rPr>
                <w:rFonts w:cs="Calibri"/>
                <w:szCs w:val="16"/>
              </w:rPr>
            </w:pPr>
            <w:r w:rsidRPr="00D9348B">
              <w:rPr>
                <w:rFonts w:cs="Calibri"/>
                <w:color w:val="000000"/>
                <w:szCs w:val="16"/>
              </w:rPr>
              <w:t>91.2</w:t>
            </w:r>
          </w:p>
        </w:tc>
        <w:tc>
          <w:tcPr>
            <w:tcW w:w="1487" w:type="dxa"/>
            <w:vAlign w:val="bottom"/>
          </w:tcPr>
          <w:p w14:paraId="5584A31F" w14:textId="77777777" w:rsidR="00F849A7" w:rsidRPr="00D9348B" w:rsidRDefault="00F849A7" w:rsidP="00DB330E">
            <w:pPr>
              <w:pStyle w:val="TableText"/>
              <w:spacing w:before="40" w:after="40"/>
              <w:jc w:val="center"/>
              <w:rPr>
                <w:rFonts w:cs="Calibri"/>
                <w:szCs w:val="16"/>
              </w:rPr>
            </w:pPr>
            <w:r w:rsidRPr="00D9348B">
              <w:rPr>
                <w:rFonts w:cs="Calibri"/>
                <w:szCs w:val="16"/>
              </w:rPr>
              <w:t>58.3</w:t>
            </w:r>
          </w:p>
        </w:tc>
        <w:tc>
          <w:tcPr>
            <w:tcW w:w="1536" w:type="dxa"/>
            <w:vAlign w:val="bottom"/>
          </w:tcPr>
          <w:p w14:paraId="5C72CF33" w14:textId="77777777" w:rsidR="00F849A7" w:rsidRPr="00D9348B" w:rsidRDefault="00F849A7" w:rsidP="00DB330E">
            <w:pPr>
              <w:pStyle w:val="TableText"/>
              <w:spacing w:before="40" w:after="40"/>
              <w:ind w:right="510"/>
              <w:jc w:val="right"/>
              <w:rPr>
                <w:rFonts w:cs="Calibri"/>
                <w:szCs w:val="16"/>
              </w:rPr>
            </w:pPr>
            <w:r w:rsidRPr="00D9348B">
              <w:rPr>
                <w:rFonts w:cs="Calibri"/>
                <w:szCs w:val="16"/>
              </w:rPr>
              <w:t>11.9</w:t>
            </w:r>
          </w:p>
        </w:tc>
        <w:tc>
          <w:tcPr>
            <w:tcW w:w="1518" w:type="dxa"/>
            <w:vAlign w:val="bottom"/>
          </w:tcPr>
          <w:p w14:paraId="3B83C9CB" w14:textId="77777777" w:rsidR="00F849A7" w:rsidRPr="00D9348B" w:rsidRDefault="00F849A7" w:rsidP="00DB330E">
            <w:pPr>
              <w:pStyle w:val="TableText"/>
              <w:spacing w:before="40" w:after="40"/>
              <w:jc w:val="center"/>
              <w:rPr>
                <w:rFonts w:cs="Calibri"/>
                <w:szCs w:val="16"/>
              </w:rPr>
            </w:pPr>
            <w:r w:rsidRPr="00D9348B">
              <w:rPr>
                <w:rFonts w:cs="Calibri"/>
                <w:szCs w:val="16"/>
              </w:rPr>
              <w:t>22.8</w:t>
            </w:r>
          </w:p>
        </w:tc>
      </w:tr>
      <w:tr w:rsidR="00F849A7" w:rsidRPr="00D9348B" w14:paraId="0B7F42A3" w14:textId="77777777" w:rsidTr="002278D8">
        <w:trPr>
          <w:trHeight w:val="239"/>
        </w:trPr>
        <w:tc>
          <w:tcPr>
            <w:tcW w:w="988" w:type="dxa"/>
          </w:tcPr>
          <w:p w14:paraId="62FA0E08" w14:textId="77777777" w:rsidR="00F849A7" w:rsidRPr="00D9348B" w:rsidRDefault="00F849A7" w:rsidP="00DB330E">
            <w:pPr>
              <w:pStyle w:val="TableText"/>
              <w:spacing w:before="40" w:after="40"/>
              <w:rPr>
                <w:rFonts w:cs="Calibri"/>
                <w:szCs w:val="16"/>
              </w:rPr>
            </w:pPr>
            <w:r w:rsidRPr="00D9348B">
              <w:rPr>
                <w:rFonts w:cs="Calibri"/>
                <w:szCs w:val="16"/>
              </w:rPr>
              <w:t>2015</w:t>
            </w:r>
          </w:p>
        </w:tc>
        <w:tc>
          <w:tcPr>
            <w:tcW w:w="1489" w:type="dxa"/>
            <w:vAlign w:val="bottom"/>
          </w:tcPr>
          <w:p w14:paraId="2DF9448A" w14:textId="77777777" w:rsidR="00F849A7" w:rsidRPr="00D9348B" w:rsidRDefault="00F849A7" w:rsidP="00DB330E">
            <w:pPr>
              <w:pStyle w:val="TableText"/>
              <w:spacing w:before="40" w:after="40"/>
              <w:jc w:val="center"/>
              <w:rPr>
                <w:rFonts w:cs="Calibri"/>
                <w:szCs w:val="16"/>
              </w:rPr>
            </w:pPr>
            <w:r w:rsidRPr="00D9348B">
              <w:rPr>
                <w:rFonts w:cs="Calibri"/>
                <w:szCs w:val="16"/>
              </w:rPr>
              <w:t>84.2</w:t>
            </w:r>
          </w:p>
        </w:tc>
        <w:tc>
          <w:tcPr>
            <w:tcW w:w="1487" w:type="dxa"/>
            <w:vAlign w:val="center"/>
          </w:tcPr>
          <w:p w14:paraId="4EC730BB" w14:textId="77777777" w:rsidR="00F849A7" w:rsidRPr="00D9348B" w:rsidRDefault="00F849A7" w:rsidP="00DB330E">
            <w:pPr>
              <w:pStyle w:val="TableText"/>
              <w:spacing w:before="40" w:after="40"/>
              <w:jc w:val="center"/>
              <w:rPr>
                <w:rFonts w:cs="Calibri"/>
                <w:szCs w:val="16"/>
              </w:rPr>
            </w:pPr>
            <w:r w:rsidRPr="00D9348B">
              <w:rPr>
                <w:rFonts w:cs="Calibri"/>
                <w:color w:val="000000"/>
                <w:szCs w:val="16"/>
              </w:rPr>
              <w:t>91.8</w:t>
            </w:r>
          </w:p>
        </w:tc>
        <w:tc>
          <w:tcPr>
            <w:tcW w:w="1487" w:type="dxa"/>
            <w:vAlign w:val="bottom"/>
          </w:tcPr>
          <w:p w14:paraId="4AA56487" w14:textId="77777777" w:rsidR="00F849A7" w:rsidRPr="00D9348B" w:rsidRDefault="00F849A7" w:rsidP="00DB330E">
            <w:pPr>
              <w:pStyle w:val="TableText"/>
              <w:spacing w:before="40" w:after="40"/>
              <w:jc w:val="center"/>
              <w:rPr>
                <w:rFonts w:cs="Calibri"/>
                <w:szCs w:val="16"/>
              </w:rPr>
            </w:pPr>
            <w:r w:rsidRPr="00D9348B">
              <w:rPr>
                <w:rFonts w:cs="Calibri"/>
                <w:szCs w:val="16"/>
              </w:rPr>
              <w:t>58.9</w:t>
            </w:r>
          </w:p>
        </w:tc>
        <w:tc>
          <w:tcPr>
            <w:tcW w:w="1536" w:type="dxa"/>
            <w:vAlign w:val="bottom"/>
          </w:tcPr>
          <w:p w14:paraId="460E6CC7" w14:textId="77777777" w:rsidR="00F849A7" w:rsidRPr="00D9348B" w:rsidRDefault="00F849A7" w:rsidP="00DB330E">
            <w:pPr>
              <w:pStyle w:val="TableText"/>
              <w:spacing w:before="40" w:after="40"/>
              <w:ind w:right="510"/>
              <w:jc w:val="right"/>
              <w:rPr>
                <w:rFonts w:cs="Calibri"/>
                <w:szCs w:val="16"/>
              </w:rPr>
            </w:pPr>
            <w:r w:rsidRPr="00D9348B">
              <w:rPr>
                <w:rFonts w:cs="Calibri"/>
                <w:szCs w:val="16"/>
              </w:rPr>
              <w:t>11.9</w:t>
            </w:r>
          </w:p>
        </w:tc>
        <w:tc>
          <w:tcPr>
            <w:tcW w:w="1518" w:type="dxa"/>
            <w:vAlign w:val="bottom"/>
          </w:tcPr>
          <w:p w14:paraId="326FF10D" w14:textId="77777777" w:rsidR="00F849A7" w:rsidRPr="00D9348B" w:rsidRDefault="00F849A7" w:rsidP="00DB330E">
            <w:pPr>
              <w:pStyle w:val="TableText"/>
              <w:spacing w:before="40" w:after="40"/>
              <w:jc w:val="center"/>
              <w:rPr>
                <w:rFonts w:cs="Calibri"/>
                <w:szCs w:val="16"/>
              </w:rPr>
            </w:pPr>
            <w:r w:rsidRPr="00D9348B">
              <w:rPr>
                <w:rFonts w:cs="Calibri"/>
                <w:szCs w:val="16"/>
              </w:rPr>
              <w:t>22.9</w:t>
            </w:r>
          </w:p>
        </w:tc>
      </w:tr>
      <w:tr w:rsidR="00F849A7" w:rsidRPr="00D9348B" w14:paraId="374943D3" w14:textId="77777777" w:rsidTr="002278D8">
        <w:trPr>
          <w:trHeight w:val="239"/>
        </w:trPr>
        <w:tc>
          <w:tcPr>
            <w:tcW w:w="988" w:type="dxa"/>
          </w:tcPr>
          <w:p w14:paraId="2C2C228F" w14:textId="77777777" w:rsidR="00F849A7" w:rsidRPr="00D9348B" w:rsidRDefault="00F849A7" w:rsidP="00DB330E">
            <w:pPr>
              <w:pStyle w:val="TableText"/>
              <w:spacing w:before="40" w:after="40"/>
              <w:rPr>
                <w:rFonts w:cs="Calibri"/>
                <w:szCs w:val="16"/>
              </w:rPr>
            </w:pPr>
            <w:r w:rsidRPr="00D9348B">
              <w:rPr>
                <w:rFonts w:cs="Calibri"/>
                <w:szCs w:val="16"/>
              </w:rPr>
              <w:t>2016</w:t>
            </w:r>
          </w:p>
        </w:tc>
        <w:tc>
          <w:tcPr>
            <w:tcW w:w="1489" w:type="dxa"/>
            <w:vAlign w:val="bottom"/>
          </w:tcPr>
          <w:p w14:paraId="34369C65" w14:textId="77777777" w:rsidR="00F849A7" w:rsidRPr="00D9348B" w:rsidRDefault="00F849A7" w:rsidP="00DB330E">
            <w:pPr>
              <w:pStyle w:val="TableText"/>
              <w:spacing w:before="40" w:after="40"/>
              <w:jc w:val="center"/>
              <w:rPr>
                <w:rFonts w:cs="Calibri"/>
                <w:szCs w:val="16"/>
              </w:rPr>
            </w:pPr>
            <w:r w:rsidRPr="00D9348B">
              <w:rPr>
                <w:rFonts w:cs="Calibri"/>
                <w:szCs w:val="16"/>
              </w:rPr>
              <w:t>82.2</w:t>
            </w:r>
          </w:p>
        </w:tc>
        <w:tc>
          <w:tcPr>
            <w:tcW w:w="1487" w:type="dxa"/>
            <w:vAlign w:val="center"/>
          </w:tcPr>
          <w:p w14:paraId="2E1A9D5E" w14:textId="77777777" w:rsidR="00F849A7" w:rsidRPr="00D9348B" w:rsidRDefault="00F849A7" w:rsidP="00DB330E">
            <w:pPr>
              <w:pStyle w:val="TableText"/>
              <w:spacing w:before="40" w:after="40"/>
              <w:jc w:val="center"/>
              <w:rPr>
                <w:rFonts w:cs="Calibri"/>
                <w:szCs w:val="16"/>
              </w:rPr>
            </w:pPr>
            <w:r w:rsidRPr="00D9348B">
              <w:rPr>
                <w:rFonts w:cs="Calibri"/>
                <w:color w:val="000000"/>
                <w:szCs w:val="16"/>
              </w:rPr>
              <w:t>93.4</w:t>
            </w:r>
          </w:p>
        </w:tc>
        <w:tc>
          <w:tcPr>
            <w:tcW w:w="1487" w:type="dxa"/>
            <w:vAlign w:val="bottom"/>
          </w:tcPr>
          <w:p w14:paraId="4E13EE59" w14:textId="77777777" w:rsidR="00F849A7" w:rsidRPr="00D9348B" w:rsidRDefault="00F849A7" w:rsidP="00DB330E">
            <w:pPr>
              <w:pStyle w:val="TableText"/>
              <w:spacing w:before="40" w:after="40"/>
              <w:jc w:val="center"/>
              <w:rPr>
                <w:rFonts w:cs="Calibri"/>
                <w:szCs w:val="16"/>
              </w:rPr>
            </w:pPr>
            <w:r w:rsidRPr="00D9348B">
              <w:rPr>
                <w:rFonts w:cs="Calibri"/>
                <w:szCs w:val="16"/>
              </w:rPr>
              <w:t>59.5</w:t>
            </w:r>
          </w:p>
        </w:tc>
        <w:tc>
          <w:tcPr>
            <w:tcW w:w="1536" w:type="dxa"/>
            <w:vAlign w:val="bottom"/>
          </w:tcPr>
          <w:p w14:paraId="6DABA5F2" w14:textId="77777777" w:rsidR="00F849A7" w:rsidRPr="00D9348B" w:rsidRDefault="00F849A7" w:rsidP="00DB330E">
            <w:pPr>
              <w:pStyle w:val="TableText"/>
              <w:spacing w:before="40" w:after="40"/>
              <w:ind w:right="510"/>
              <w:jc w:val="right"/>
              <w:rPr>
                <w:rFonts w:cs="Calibri"/>
                <w:szCs w:val="16"/>
              </w:rPr>
            </w:pPr>
            <w:r w:rsidRPr="00D9348B">
              <w:rPr>
                <w:rFonts w:cs="Calibri"/>
                <w:szCs w:val="16"/>
              </w:rPr>
              <w:t>12.2</w:t>
            </w:r>
          </w:p>
        </w:tc>
        <w:tc>
          <w:tcPr>
            <w:tcW w:w="1518" w:type="dxa"/>
            <w:vAlign w:val="bottom"/>
          </w:tcPr>
          <w:p w14:paraId="6D0A180B" w14:textId="77777777" w:rsidR="00F849A7" w:rsidRPr="00D9348B" w:rsidRDefault="00F849A7" w:rsidP="00DB330E">
            <w:pPr>
              <w:pStyle w:val="TableText"/>
              <w:spacing w:before="40" w:after="40"/>
              <w:jc w:val="center"/>
              <w:rPr>
                <w:rFonts w:cs="Calibri"/>
                <w:szCs w:val="16"/>
              </w:rPr>
            </w:pPr>
            <w:r w:rsidRPr="00D9348B">
              <w:rPr>
                <w:rFonts w:cs="Calibri"/>
                <w:szCs w:val="16"/>
              </w:rPr>
              <w:t>23.3</w:t>
            </w:r>
          </w:p>
        </w:tc>
      </w:tr>
      <w:tr w:rsidR="00F849A7" w:rsidRPr="00D9348B" w14:paraId="110D9FD1" w14:textId="77777777" w:rsidTr="002278D8">
        <w:trPr>
          <w:trHeight w:val="239"/>
        </w:trPr>
        <w:tc>
          <w:tcPr>
            <w:tcW w:w="988" w:type="dxa"/>
          </w:tcPr>
          <w:p w14:paraId="10BBC9CD" w14:textId="77777777" w:rsidR="00F849A7" w:rsidRPr="00D9348B" w:rsidRDefault="00F849A7" w:rsidP="00DB330E">
            <w:pPr>
              <w:pStyle w:val="TableText"/>
              <w:spacing w:before="40" w:after="40"/>
              <w:rPr>
                <w:rFonts w:cs="Calibri"/>
                <w:szCs w:val="16"/>
              </w:rPr>
            </w:pPr>
            <w:r w:rsidRPr="00D9348B">
              <w:rPr>
                <w:rFonts w:cs="Calibri"/>
                <w:szCs w:val="16"/>
              </w:rPr>
              <w:t>2017</w:t>
            </w:r>
          </w:p>
        </w:tc>
        <w:tc>
          <w:tcPr>
            <w:tcW w:w="1489" w:type="dxa"/>
            <w:vAlign w:val="bottom"/>
          </w:tcPr>
          <w:p w14:paraId="0F397047" w14:textId="77777777" w:rsidR="00F849A7" w:rsidRPr="00D9348B" w:rsidRDefault="00F849A7" w:rsidP="00DB330E">
            <w:pPr>
              <w:pStyle w:val="TableText"/>
              <w:spacing w:before="40" w:after="40"/>
              <w:jc w:val="center"/>
              <w:rPr>
                <w:rFonts w:cs="Calibri"/>
                <w:szCs w:val="16"/>
              </w:rPr>
            </w:pPr>
            <w:r w:rsidRPr="00D9348B">
              <w:rPr>
                <w:rFonts w:cs="Calibri"/>
                <w:szCs w:val="16"/>
              </w:rPr>
              <w:t>83.2</w:t>
            </w:r>
          </w:p>
        </w:tc>
        <w:tc>
          <w:tcPr>
            <w:tcW w:w="1487" w:type="dxa"/>
            <w:vAlign w:val="center"/>
          </w:tcPr>
          <w:p w14:paraId="29950D1D" w14:textId="77777777" w:rsidR="00F849A7" w:rsidRPr="00D9348B" w:rsidRDefault="00F849A7" w:rsidP="00DB330E">
            <w:pPr>
              <w:pStyle w:val="TableText"/>
              <w:spacing w:before="40" w:after="40"/>
              <w:jc w:val="center"/>
              <w:rPr>
                <w:rFonts w:cs="Calibri"/>
                <w:szCs w:val="16"/>
              </w:rPr>
            </w:pPr>
            <w:r w:rsidRPr="00D9348B">
              <w:rPr>
                <w:rFonts w:cs="Calibri"/>
                <w:color w:val="000000"/>
                <w:szCs w:val="16"/>
              </w:rPr>
              <w:t>90.7</w:t>
            </w:r>
          </w:p>
        </w:tc>
        <w:tc>
          <w:tcPr>
            <w:tcW w:w="1487" w:type="dxa"/>
            <w:vAlign w:val="bottom"/>
          </w:tcPr>
          <w:p w14:paraId="5624E9A6" w14:textId="77777777" w:rsidR="00F849A7" w:rsidRPr="00D9348B" w:rsidRDefault="00F849A7" w:rsidP="00DB330E">
            <w:pPr>
              <w:pStyle w:val="TableText"/>
              <w:spacing w:before="40" w:after="40"/>
              <w:jc w:val="center"/>
              <w:rPr>
                <w:rFonts w:cs="Calibri"/>
                <w:szCs w:val="16"/>
              </w:rPr>
            </w:pPr>
            <w:r w:rsidRPr="00D9348B">
              <w:rPr>
                <w:rFonts w:cs="Calibri"/>
                <w:szCs w:val="16"/>
              </w:rPr>
              <w:t>59.1</w:t>
            </w:r>
          </w:p>
        </w:tc>
        <w:tc>
          <w:tcPr>
            <w:tcW w:w="1536" w:type="dxa"/>
            <w:vAlign w:val="bottom"/>
          </w:tcPr>
          <w:p w14:paraId="61247685" w14:textId="77777777" w:rsidR="00F849A7" w:rsidRPr="00D9348B" w:rsidRDefault="00F849A7" w:rsidP="00DB330E">
            <w:pPr>
              <w:pStyle w:val="TableText"/>
              <w:spacing w:before="40" w:after="40"/>
              <w:ind w:right="510"/>
              <w:jc w:val="right"/>
              <w:rPr>
                <w:rFonts w:cs="Calibri"/>
                <w:szCs w:val="16"/>
              </w:rPr>
            </w:pPr>
            <w:r w:rsidRPr="00D9348B">
              <w:rPr>
                <w:rFonts w:cs="Calibri"/>
                <w:szCs w:val="16"/>
              </w:rPr>
              <w:t>12.2</w:t>
            </w:r>
          </w:p>
        </w:tc>
        <w:tc>
          <w:tcPr>
            <w:tcW w:w="1518" w:type="dxa"/>
            <w:vAlign w:val="bottom"/>
          </w:tcPr>
          <w:p w14:paraId="4EE3B7C3" w14:textId="77777777" w:rsidR="00F849A7" w:rsidRPr="00D9348B" w:rsidRDefault="00F849A7" w:rsidP="00DB330E">
            <w:pPr>
              <w:pStyle w:val="TableText"/>
              <w:tabs>
                <w:tab w:val="left" w:pos="402"/>
                <w:tab w:val="center" w:pos="643"/>
              </w:tabs>
              <w:spacing w:before="40" w:after="40"/>
              <w:jc w:val="center"/>
              <w:rPr>
                <w:rFonts w:cs="Calibri"/>
                <w:szCs w:val="16"/>
              </w:rPr>
            </w:pPr>
            <w:r w:rsidRPr="00D9348B">
              <w:rPr>
                <w:rFonts w:cs="Calibri"/>
                <w:szCs w:val="16"/>
              </w:rPr>
              <w:t>23.2</w:t>
            </w:r>
          </w:p>
        </w:tc>
      </w:tr>
      <w:tr w:rsidR="00F849A7" w:rsidRPr="00D9348B" w14:paraId="1896F613" w14:textId="77777777" w:rsidTr="002278D8">
        <w:trPr>
          <w:trHeight w:val="239"/>
        </w:trPr>
        <w:tc>
          <w:tcPr>
            <w:tcW w:w="988" w:type="dxa"/>
          </w:tcPr>
          <w:p w14:paraId="52B8BE96" w14:textId="77777777" w:rsidR="00F849A7" w:rsidRPr="00D9348B" w:rsidRDefault="00F849A7" w:rsidP="00DB330E">
            <w:pPr>
              <w:pStyle w:val="TableText"/>
              <w:spacing w:before="40" w:after="40"/>
              <w:rPr>
                <w:rFonts w:cs="Calibri"/>
                <w:szCs w:val="16"/>
              </w:rPr>
            </w:pPr>
            <w:r w:rsidRPr="00D9348B">
              <w:rPr>
                <w:rFonts w:cs="Calibri"/>
                <w:szCs w:val="16"/>
              </w:rPr>
              <w:t>2018</w:t>
            </w:r>
          </w:p>
        </w:tc>
        <w:tc>
          <w:tcPr>
            <w:tcW w:w="1489" w:type="dxa"/>
            <w:vAlign w:val="bottom"/>
          </w:tcPr>
          <w:p w14:paraId="14745A09" w14:textId="77777777" w:rsidR="00F849A7" w:rsidRPr="00D9348B" w:rsidRDefault="00F849A7" w:rsidP="00DB330E">
            <w:pPr>
              <w:pStyle w:val="TableText"/>
              <w:spacing w:before="40" w:after="40"/>
              <w:jc w:val="center"/>
              <w:rPr>
                <w:rFonts w:cs="Calibri"/>
                <w:szCs w:val="16"/>
              </w:rPr>
            </w:pPr>
            <w:r w:rsidRPr="00D9348B">
              <w:rPr>
                <w:rFonts w:cs="Calibri"/>
                <w:szCs w:val="16"/>
              </w:rPr>
              <w:t>85.3</w:t>
            </w:r>
          </w:p>
        </w:tc>
        <w:tc>
          <w:tcPr>
            <w:tcW w:w="1487" w:type="dxa"/>
            <w:vAlign w:val="center"/>
          </w:tcPr>
          <w:p w14:paraId="4EAEC111" w14:textId="77777777" w:rsidR="00F849A7" w:rsidRPr="00D9348B" w:rsidRDefault="00F849A7" w:rsidP="00DB330E">
            <w:pPr>
              <w:pStyle w:val="TableText"/>
              <w:spacing w:before="40" w:after="40"/>
              <w:jc w:val="center"/>
              <w:rPr>
                <w:rFonts w:cs="Calibri"/>
                <w:szCs w:val="16"/>
              </w:rPr>
            </w:pPr>
            <w:r w:rsidRPr="00D9348B">
              <w:rPr>
                <w:rFonts w:cs="Calibri"/>
                <w:color w:val="000000"/>
                <w:szCs w:val="16"/>
              </w:rPr>
              <w:t>93.2</w:t>
            </w:r>
          </w:p>
        </w:tc>
        <w:tc>
          <w:tcPr>
            <w:tcW w:w="1487" w:type="dxa"/>
            <w:vAlign w:val="bottom"/>
          </w:tcPr>
          <w:p w14:paraId="2131930D" w14:textId="77777777" w:rsidR="00F849A7" w:rsidRPr="00D9348B" w:rsidRDefault="00F849A7" w:rsidP="00DB330E">
            <w:pPr>
              <w:pStyle w:val="TableText"/>
              <w:spacing w:before="40" w:after="40"/>
              <w:jc w:val="center"/>
              <w:rPr>
                <w:rFonts w:cs="Calibri"/>
                <w:szCs w:val="16"/>
              </w:rPr>
            </w:pPr>
            <w:r w:rsidRPr="00D9348B">
              <w:rPr>
                <w:rFonts w:cs="Calibri"/>
                <w:szCs w:val="16"/>
              </w:rPr>
              <w:t>58.1</w:t>
            </w:r>
          </w:p>
        </w:tc>
        <w:tc>
          <w:tcPr>
            <w:tcW w:w="1536" w:type="dxa"/>
            <w:vAlign w:val="bottom"/>
          </w:tcPr>
          <w:p w14:paraId="05E32674" w14:textId="77777777" w:rsidR="00F849A7" w:rsidRPr="00D9348B" w:rsidRDefault="00F849A7" w:rsidP="00DB330E">
            <w:pPr>
              <w:pStyle w:val="TableText"/>
              <w:spacing w:before="40" w:after="40"/>
              <w:ind w:right="510"/>
              <w:jc w:val="right"/>
              <w:rPr>
                <w:rFonts w:cs="Calibri"/>
                <w:szCs w:val="16"/>
              </w:rPr>
            </w:pPr>
            <w:r w:rsidRPr="00D9348B">
              <w:rPr>
                <w:rFonts w:cs="Calibri"/>
                <w:szCs w:val="16"/>
              </w:rPr>
              <w:t>12.3</w:t>
            </w:r>
          </w:p>
        </w:tc>
        <w:tc>
          <w:tcPr>
            <w:tcW w:w="1518" w:type="dxa"/>
            <w:vAlign w:val="bottom"/>
          </w:tcPr>
          <w:p w14:paraId="7646E39D" w14:textId="77777777" w:rsidR="00F849A7" w:rsidRPr="00D9348B" w:rsidRDefault="00F849A7" w:rsidP="00DB330E">
            <w:pPr>
              <w:pStyle w:val="TableText"/>
              <w:tabs>
                <w:tab w:val="left" w:pos="402"/>
                <w:tab w:val="center" w:pos="643"/>
              </w:tabs>
              <w:spacing w:before="40" w:after="40"/>
              <w:jc w:val="center"/>
              <w:rPr>
                <w:rFonts w:cs="Calibri"/>
                <w:szCs w:val="16"/>
              </w:rPr>
            </w:pPr>
            <w:r w:rsidRPr="00D9348B">
              <w:rPr>
                <w:rFonts w:cs="Calibri"/>
                <w:szCs w:val="16"/>
              </w:rPr>
              <w:t>22.9</w:t>
            </w:r>
          </w:p>
        </w:tc>
      </w:tr>
    </w:tbl>
    <w:p w14:paraId="726AEA13" w14:textId="77777777" w:rsidR="00F849A7" w:rsidRPr="00D9348B" w:rsidRDefault="00F849A7" w:rsidP="008F7904">
      <w:pPr>
        <w:pStyle w:val="Heading4"/>
        <w:spacing w:before="360"/>
      </w:pPr>
      <w:r w:rsidRPr="00D9348B">
        <w:t>Emissions from minor livestock categories</w:t>
      </w:r>
    </w:p>
    <w:p w14:paraId="0AA2DD6E" w14:textId="77777777" w:rsidR="00F849A7" w:rsidRPr="00D9348B" w:rsidRDefault="00F849A7" w:rsidP="00591646">
      <w:pPr>
        <w:pStyle w:val="BodyText"/>
        <w:spacing w:before="100" w:after="100"/>
        <w:rPr>
          <w:rFonts w:cs="Calibri"/>
        </w:rPr>
      </w:pPr>
      <w:r w:rsidRPr="00D9348B">
        <w:rPr>
          <w:rFonts w:cs="Calibri"/>
        </w:rPr>
        <w:t xml:space="preserve">A Tier 1 approach is adopted for the minor livestock categories of </w:t>
      </w:r>
      <w:r w:rsidRPr="00D9348B">
        <w:rPr>
          <w:rFonts w:cs="Calibri"/>
          <w:i/>
          <w:iCs/>
        </w:rPr>
        <w:t>Goats</w:t>
      </w:r>
      <w:r w:rsidRPr="00D9348B">
        <w:rPr>
          <w:rFonts w:cs="Calibri"/>
        </w:rPr>
        <w:t xml:space="preserve">, </w:t>
      </w:r>
      <w:r w:rsidRPr="00D9348B">
        <w:rPr>
          <w:rFonts w:cs="Calibri"/>
          <w:i/>
          <w:iCs/>
        </w:rPr>
        <w:t>Horses</w:t>
      </w:r>
      <w:r w:rsidRPr="00D9348B">
        <w:rPr>
          <w:rFonts w:cs="Calibri"/>
        </w:rPr>
        <w:t xml:space="preserve">, </w:t>
      </w:r>
      <w:r w:rsidRPr="00D9348B">
        <w:rPr>
          <w:rFonts w:cs="Calibri"/>
          <w:i/>
          <w:iCs/>
        </w:rPr>
        <w:t>Swine</w:t>
      </w:r>
      <w:r w:rsidRPr="00D9348B">
        <w:rPr>
          <w:rFonts w:cs="Calibri"/>
        </w:rPr>
        <w:t xml:space="preserve">, </w:t>
      </w:r>
      <w:r w:rsidRPr="00D9348B">
        <w:rPr>
          <w:rFonts w:cs="Calibri"/>
          <w:i/>
          <w:iCs/>
        </w:rPr>
        <w:t>Llamas and alpacas</w:t>
      </w:r>
      <w:r w:rsidRPr="00D9348B">
        <w:rPr>
          <w:rFonts w:cs="Calibri"/>
        </w:rPr>
        <w:t xml:space="preserve">, and </w:t>
      </w:r>
      <w:r w:rsidRPr="00D9348B">
        <w:rPr>
          <w:rFonts w:cs="Calibri"/>
          <w:i/>
          <w:iCs/>
        </w:rPr>
        <w:t>Mules and asses</w:t>
      </w:r>
      <w:r w:rsidRPr="00D9348B">
        <w:rPr>
          <w:rFonts w:cs="Calibri"/>
        </w:rPr>
        <w:t>, using either IPCC (2006) default emission factors (horses, alpacas, and mules and asses) or New Zealand country-specific emission factors (goats and swine). These minor livestock species comprised 0.2 per cent of the total enteric CH</w:t>
      </w:r>
      <w:r w:rsidRPr="00D9348B">
        <w:rPr>
          <w:rFonts w:cs="Calibri"/>
          <w:vertAlign w:val="subscript"/>
        </w:rPr>
        <w:t>4</w:t>
      </w:r>
      <w:r w:rsidRPr="00D9348B">
        <w:rPr>
          <w:rFonts w:cs="Calibri"/>
        </w:rPr>
        <w:t xml:space="preserve"> emissions in 2018. The populations of goats, horses, pigs, alpacas, and mules and asses are reported using the statistics and assumptions described in section 5.1.4.</w:t>
      </w:r>
    </w:p>
    <w:p w14:paraId="251588A0" w14:textId="77777777" w:rsidR="00F849A7" w:rsidRPr="00D9348B" w:rsidRDefault="00F849A7" w:rsidP="00591646">
      <w:pPr>
        <w:pStyle w:val="BodyText"/>
        <w:spacing w:before="100" w:after="100"/>
        <w:rPr>
          <w:rFonts w:cs="Calibri"/>
        </w:rPr>
      </w:pPr>
      <w:r w:rsidRPr="00D9348B">
        <w:rPr>
          <w:rFonts w:cs="Calibri"/>
          <w:b/>
          <w:bCs/>
          <w:i/>
          <w:iCs/>
        </w:rPr>
        <w:t>Goats:</w:t>
      </w:r>
      <w:r w:rsidRPr="00D9348B">
        <w:rPr>
          <w:rFonts w:cs="Calibri"/>
        </w:rPr>
        <w:t xml:space="preserve"> From 1990 to 2018, the population of goats declined from 1,062,900 to 88,785. New Zealand uses a country-specific emission factor for goats for enteric fermentation of 7.4 kg CH</w:t>
      </w:r>
      <w:r w:rsidRPr="00D9348B">
        <w:rPr>
          <w:rFonts w:cs="Calibri"/>
          <w:vertAlign w:val="subscript"/>
        </w:rPr>
        <w:t>4</w:t>
      </w:r>
      <w:r w:rsidRPr="00D9348B">
        <w:rPr>
          <w:rFonts w:cs="Calibri"/>
        </w:rPr>
        <w:t>/head for 1990 and 8.5 kg CH</w:t>
      </w:r>
      <w:r w:rsidRPr="00D9348B">
        <w:rPr>
          <w:rFonts w:cs="Calibri"/>
          <w:vertAlign w:val="subscript"/>
        </w:rPr>
        <w:t>4</w:t>
      </w:r>
      <w:r w:rsidRPr="00D9348B">
        <w:rPr>
          <w:rFonts w:cs="Calibri"/>
        </w:rPr>
        <w:t>/head for 2009 based on the differing population characteristics for those two years (Lassey, 2011). For the intermediate years between 1990 and 2009 and for 2010 to 2018, the emission factor is calculated based on goat population, with the assumption that the dairy goat population has remained relatively consistent over time while the rest of the goat population has declined. The emission factor in 2018 was calculated to be 9.0 kg CH</w:t>
      </w:r>
      <w:r w:rsidRPr="00D9348B">
        <w:rPr>
          <w:rFonts w:cs="Calibri"/>
          <w:vertAlign w:val="subscript"/>
        </w:rPr>
        <w:t>4</w:t>
      </w:r>
      <w:r w:rsidRPr="00D9348B">
        <w:rPr>
          <w:rFonts w:cs="Calibri"/>
        </w:rPr>
        <w:t xml:space="preserve">/head/year. </w:t>
      </w:r>
    </w:p>
    <w:p w14:paraId="4627166D" w14:textId="77777777" w:rsidR="00F849A7" w:rsidRPr="00D9348B" w:rsidRDefault="00F849A7" w:rsidP="00591646">
      <w:pPr>
        <w:pStyle w:val="BodyText"/>
        <w:spacing w:before="100" w:after="100"/>
        <w:rPr>
          <w:rFonts w:cs="Calibri"/>
        </w:rPr>
      </w:pPr>
      <w:r w:rsidRPr="00D9348B">
        <w:rPr>
          <w:rFonts w:cs="Calibri"/>
          <w:b/>
          <w:bCs/>
          <w:i/>
          <w:iCs/>
        </w:rPr>
        <w:t>Swine:</w:t>
      </w:r>
      <w:r w:rsidRPr="00D9348B">
        <w:rPr>
          <w:rFonts w:cs="Calibri"/>
        </w:rPr>
        <w:t xml:space="preserve"> New Zealand uses a Tier 1 approach with country-specific emission factors to determine enteric fermentation emissions from swine and emissions from swine manure management. A country-specific emission factor was developed from research performed by Hill (2012) in which data on the composition of swine diets and industry practices in place to manage waste from production systems were obtained from a survey of 56 swine farms. The information obtained on swine diets and waste management practices was representative of practices from 59 per cent and over 67 per cent of New Zealand pork production respectively. Nutritional information was available for different age classes and categories. Additionally, the average value of GEI was adjusted for population and further verified against national animal welfare standards. The country-specific emission factor for enteric fermentation (1.06 kg/CH</w:t>
      </w:r>
      <w:r w:rsidRPr="00D9348B">
        <w:rPr>
          <w:rFonts w:cs="Calibri"/>
          <w:vertAlign w:val="subscript"/>
        </w:rPr>
        <w:t>4</w:t>
      </w:r>
      <w:r w:rsidRPr="00D9348B">
        <w:rPr>
          <w:rFonts w:cs="Calibri"/>
        </w:rPr>
        <w:t>/head/year) was developed from industry data on GEI (Hill, 2012). Gross energy data from swine diets were used in the Tier 2 IPCC equation (equation 10.21, IPCC, 2006) to determine the country-specific enteric fermentation emission factor. This factor is then multiplied by population data to obtain the total CH</w:t>
      </w:r>
      <w:r w:rsidRPr="00D9348B">
        <w:rPr>
          <w:rFonts w:cs="Calibri"/>
          <w:vertAlign w:val="subscript"/>
        </w:rPr>
        <w:t>4</w:t>
      </w:r>
      <w:r w:rsidRPr="00D9348B">
        <w:rPr>
          <w:rFonts w:cs="Calibri"/>
        </w:rPr>
        <w:t xml:space="preserve"> emissions produced by swine from enteric fermentation for a given inventory year. </w:t>
      </w:r>
    </w:p>
    <w:p w14:paraId="64942531" w14:textId="77777777" w:rsidR="00F849A7" w:rsidRPr="00D9348B" w:rsidRDefault="00F849A7" w:rsidP="00F849A7">
      <w:pPr>
        <w:pStyle w:val="BodyText"/>
        <w:rPr>
          <w:rFonts w:cs="Calibri"/>
        </w:rPr>
      </w:pPr>
      <w:r w:rsidRPr="00D9348B">
        <w:rPr>
          <w:rFonts w:cs="Calibri"/>
        </w:rPr>
        <w:lastRenderedPageBreak/>
        <w:t>The New Zealand emission factor for swine is lower than the IPCC (2006) default for developed countries,</w:t>
      </w:r>
      <w:r w:rsidRPr="00D9348B">
        <w:rPr>
          <w:rStyle w:val="FootnoteReference"/>
          <w:rFonts w:cs="Calibri"/>
        </w:rPr>
        <w:footnoteReference w:id="46"/>
      </w:r>
      <w:r w:rsidRPr="00D9348B">
        <w:rPr>
          <w:rFonts w:cs="Calibri"/>
        </w:rPr>
        <w:t xml:space="preserve"> which is based on average values derived from 1980s Western German swine production and population statistics. The IPCC (2006) default value for swine is not representative of New Zealand swine systems and does not reflect changes in production due to: improvements in genetic selection, reproductive cycle performance, housing and feed, animal husbandry and herd management. Further information on these factors is provided in the report by Hill (2012). </w:t>
      </w:r>
    </w:p>
    <w:p w14:paraId="2263C196" w14:textId="77777777" w:rsidR="00F849A7" w:rsidRPr="00D9348B" w:rsidRDefault="00F849A7" w:rsidP="00F849A7">
      <w:pPr>
        <w:pStyle w:val="BodyText"/>
        <w:rPr>
          <w:rFonts w:cs="Calibri"/>
        </w:rPr>
      </w:pPr>
      <w:r w:rsidRPr="00D9348B">
        <w:rPr>
          <w:rFonts w:cs="Calibri"/>
          <w:b/>
          <w:bCs/>
          <w:i/>
          <w:iCs/>
        </w:rPr>
        <w:t>Horses:</w:t>
      </w:r>
      <w:r w:rsidRPr="00D9348B">
        <w:rPr>
          <w:rFonts w:cs="Calibri"/>
        </w:rPr>
        <w:t xml:space="preserve"> The IPCC (2006) default value (18 kg CH</w:t>
      </w:r>
      <w:r w:rsidRPr="00D9348B">
        <w:rPr>
          <w:rFonts w:cs="Calibri"/>
          <w:vertAlign w:val="subscript"/>
        </w:rPr>
        <w:t>4</w:t>
      </w:r>
      <w:r w:rsidRPr="00D9348B">
        <w:rPr>
          <w:rFonts w:cs="Calibri"/>
        </w:rPr>
        <w:t>/head/year) is used to estimate emissions from enteric fermentation from horses.</w:t>
      </w:r>
    </w:p>
    <w:p w14:paraId="680669D6" w14:textId="77777777" w:rsidR="00F849A7" w:rsidRPr="00D9348B" w:rsidRDefault="00F849A7" w:rsidP="00F849A7">
      <w:pPr>
        <w:pStyle w:val="BodyText"/>
        <w:rPr>
          <w:rFonts w:cs="Calibri"/>
        </w:rPr>
      </w:pPr>
      <w:r w:rsidRPr="00D9348B">
        <w:rPr>
          <w:rFonts w:cs="Calibri"/>
          <w:b/>
          <w:bCs/>
          <w:i/>
          <w:iCs/>
        </w:rPr>
        <w:t>Llamas and alpacas:</w:t>
      </w:r>
      <w:r w:rsidRPr="00D9348B">
        <w:rPr>
          <w:rFonts w:cs="Calibri"/>
        </w:rPr>
        <w:t xml:space="preserve"> The IPCC (2006) default value (8 kg CH</w:t>
      </w:r>
      <w:r w:rsidRPr="00D9348B">
        <w:rPr>
          <w:rFonts w:cs="Calibri"/>
          <w:vertAlign w:val="subscript"/>
        </w:rPr>
        <w:t>4</w:t>
      </w:r>
      <w:r w:rsidRPr="00D9348B">
        <w:rPr>
          <w:rFonts w:cs="Calibri"/>
        </w:rPr>
        <w:t xml:space="preserve">/head/year) is used to estimate emissions from this category. </w:t>
      </w:r>
    </w:p>
    <w:p w14:paraId="5917287B" w14:textId="77777777" w:rsidR="00F849A7" w:rsidRPr="00D9348B" w:rsidRDefault="00F849A7" w:rsidP="00F849A7">
      <w:pPr>
        <w:pStyle w:val="BodyText"/>
        <w:rPr>
          <w:rFonts w:cs="Calibri"/>
        </w:rPr>
      </w:pPr>
      <w:r w:rsidRPr="00D9348B">
        <w:rPr>
          <w:rFonts w:cs="Calibri"/>
          <w:b/>
          <w:bCs/>
          <w:i/>
          <w:iCs/>
        </w:rPr>
        <w:t>Mules and asses:</w:t>
      </w:r>
      <w:r w:rsidRPr="00D9348B">
        <w:rPr>
          <w:rFonts w:cs="Calibri"/>
        </w:rPr>
        <w:t xml:space="preserve"> The IPCC (2006) default value is used (10 kg CH</w:t>
      </w:r>
      <w:r w:rsidRPr="00D9348B">
        <w:rPr>
          <w:rFonts w:cs="Calibri"/>
          <w:vertAlign w:val="subscript"/>
        </w:rPr>
        <w:t>4</w:t>
      </w:r>
      <w:r w:rsidRPr="00D9348B">
        <w:rPr>
          <w:rFonts w:cs="Calibri"/>
        </w:rPr>
        <w:t>/head/year) to estimate emissions from this category.</w:t>
      </w:r>
    </w:p>
    <w:p w14:paraId="6878EC8B" w14:textId="77777777" w:rsidR="00F849A7" w:rsidRPr="00D9348B" w:rsidRDefault="00F849A7" w:rsidP="00F849A7">
      <w:pPr>
        <w:pStyle w:val="Heading3"/>
        <w:rPr>
          <w:rFonts w:cs="Calibri"/>
        </w:rPr>
      </w:pPr>
      <w:bookmarkStart w:id="662" w:name="_Toc139253919"/>
      <w:bookmarkStart w:id="663" w:name="_Toc32570653"/>
      <w:r w:rsidRPr="00D9348B">
        <w:rPr>
          <w:rFonts w:cs="Calibri"/>
        </w:rPr>
        <w:t>5.2.3</w:t>
      </w:r>
      <w:r w:rsidRPr="00D9348B">
        <w:rPr>
          <w:rFonts w:cs="Calibri"/>
        </w:rPr>
        <w:tab/>
        <w:t>Uncertainties and time-series consistency</w:t>
      </w:r>
      <w:bookmarkEnd w:id="662"/>
      <w:bookmarkEnd w:id="663"/>
    </w:p>
    <w:p w14:paraId="021785FD" w14:textId="77777777" w:rsidR="00F849A7" w:rsidRPr="00D9348B" w:rsidRDefault="00F849A7" w:rsidP="00F849A7">
      <w:pPr>
        <w:pStyle w:val="BodyText"/>
        <w:rPr>
          <w:rFonts w:cs="Calibri"/>
        </w:rPr>
      </w:pPr>
      <w:r w:rsidRPr="00D9348B">
        <w:rPr>
          <w:rFonts w:cs="Calibri"/>
        </w:rPr>
        <w:t>To ensure consistency, a single livestock population characterisation and feed-intake estimate is produced by the Tier 2 model (see annex 3, table A3.1.2). It is used in different parts of the calculations for the National Inventory Report to estimate: CH</w:t>
      </w:r>
      <w:r w:rsidRPr="00D9348B">
        <w:rPr>
          <w:rFonts w:cs="Calibri"/>
          <w:vertAlign w:val="subscript"/>
        </w:rPr>
        <w:t>4</w:t>
      </w:r>
      <w:r w:rsidRPr="00D9348B">
        <w:rPr>
          <w:rFonts w:cs="Calibri"/>
        </w:rPr>
        <w:t xml:space="preserve"> emissions for the </w:t>
      </w:r>
      <w:proofErr w:type="gramStart"/>
      <w:r w:rsidRPr="00D9348B">
        <w:rPr>
          <w:rFonts w:cs="Calibri"/>
          <w:i/>
          <w:iCs/>
        </w:rPr>
        <w:t>Enteric</w:t>
      </w:r>
      <w:proofErr w:type="gramEnd"/>
      <w:r w:rsidRPr="00D9348B">
        <w:rPr>
          <w:rFonts w:cs="Calibri"/>
          <w:i/>
          <w:iCs/>
        </w:rPr>
        <w:t xml:space="preserve"> fermentation</w:t>
      </w:r>
      <w:r w:rsidRPr="00D9348B">
        <w:rPr>
          <w:rFonts w:cs="Calibri"/>
        </w:rPr>
        <w:t xml:space="preserve"> category, CH</w:t>
      </w:r>
      <w:r w:rsidRPr="00D9348B">
        <w:rPr>
          <w:rFonts w:cs="Calibri"/>
          <w:vertAlign w:val="subscript"/>
        </w:rPr>
        <w:t>4</w:t>
      </w:r>
      <w:r w:rsidRPr="00D9348B">
        <w:rPr>
          <w:rFonts w:cs="Calibri"/>
        </w:rPr>
        <w:t xml:space="preserve"> and N</w:t>
      </w:r>
      <w:r w:rsidRPr="00D9348B">
        <w:rPr>
          <w:rFonts w:cs="Calibri"/>
          <w:vertAlign w:val="subscript"/>
        </w:rPr>
        <w:t>2</w:t>
      </w:r>
      <w:r w:rsidRPr="00D9348B">
        <w:rPr>
          <w:rFonts w:cs="Calibri"/>
        </w:rPr>
        <w:t xml:space="preserve">O emissions for the </w:t>
      </w:r>
      <w:r w:rsidRPr="00D9348B">
        <w:rPr>
          <w:rFonts w:cs="Calibri"/>
          <w:i/>
          <w:iCs/>
        </w:rPr>
        <w:t>Manure management</w:t>
      </w:r>
      <w:r w:rsidRPr="00D9348B">
        <w:rPr>
          <w:rFonts w:cs="Calibri"/>
        </w:rPr>
        <w:t xml:space="preserve"> category and N</w:t>
      </w:r>
      <w:r w:rsidRPr="00D9348B">
        <w:rPr>
          <w:rFonts w:cs="Calibri"/>
          <w:vertAlign w:val="subscript"/>
        </w:rPr>
        <w:t>2</w:t>
      </w:r>
      <w:r w:rsidRPr="00D9348B">
        <w:rPr>
          <w:rFonts w:cs="Calibri"/>
        </w:rPr>
        <w:t xml:space="preserve">O emissions for the </w:t>
      </w:r>
      <w:r w:rsidRPr="00D9348B">
        <w:rPr>
          <w:rFonts w:cs="Calibri"/>
          <w:i/>
          <w:iCs/>
        </w:rPr>
        <w:t>Pasture, range and paddock manure</w:t>
      </w:r>
      <w:r w:rsidRPr="00D9348B">
        <w:rPr>
          <w:rFonts w:cs="Calibri"/>
        </w:rPr>
        <w:t xml:space="preserve"> category.</w:t>
      </w:r>
    </w:p>
    <w:p w14:paraId="5B7BE731" w14:textId="77777777" w:rsidR="00F849A7" w:rsidRPr="00D9348B" w:rsidRDefault="00F849A7" w:rsidP="00865BDB">
      <w:pPr>
        <w:pStyle w:val="Heading4"/>
      </w:pPr>
      <w:r w:rsidRPr="00D9348B">
        <w:t>Livestock numbers</w:t>
      </w:r>
    </w:p>
    <w:p w14:paraId="3B612A0E" w14:textId="77777777" w:rsidR="00F849A7" w:rsidRPr="00D9348B" w:rsidRDefault="00F849A7" w:rsidP="00F849A7">
      <w:pPr>
        <w:pStyle w:val="BodyText"/>
        <w:rPr>
          <w:rFonts w:cs="Calibri"/>
        </w:rPr>
      </w:pPr>
      <w:r w:rsidRPr="00D9348B">
        <w:rPr>
          <w:rFonts w:cs="Calibri"/>
        </w:rPr>
        <w:t xml:space="preserve">The calculations for total enteric fermentation require livestock population numbers. Information on uncertainties and time-series consistency for the livestock population data is included in section 5.1.4 and annex 3.1. </w:t>
      </w:r>
    </w:p>
    <w:p w14:paraId="1997311B" w14:textId="77777777" w:rsidR="00F849A7" w:rsidRPr="00D9348B" w:rsidRDefault="00F849A7" w:rsidP="00865BDB">
      <w:pPr>
        <w:pStyle w:val="Heading4"/>
      </w:pPr>
      <w:r w:rsidRPr="00D9348B">
        <w:t>Methane emissions from enteric fermentation</w:t>
      </w:r>
    </w:p>
    <w:p w14:paraId="5843A05D" w14:textId="6BFA66CC" w:rsidR="00F849A7" w:rsidRPr="00D9348B" w:rsidRDefault="00F849A7" w:rsidP="00F849A7">
      <w:pPr>
        <w:pStyle w:val="BodyText"/>
        <w:rPr>
          <w:rFonts w:cs="Calibri"/>
        </w:rPr>
      </w:pPr>
      <w:r w:rsidRPr="00D9348B">
        <w:rPr>
          <w:rFonts w:cs="Calibri"/>
        </w:rPr>
        <w:t>In 2009, MPI (formerly the Ministry of Agriculture and Forestry) commissioned a report that calculated the uncertainty of the enteric fermentation CH</w:t>
      </w:r>
      <w:r w:rsidRPr="00D9348B">
        <w:rPr>
          <w:rFonts w:cs="Calibri"/>
          <w:vertAlign w:val="subscript"/>
        </w:rPr>
        <w:t>4</w:t>
      </w:r>
      <w:r w:rsidRPr="00D9348B">
        <w:rPr>
          <w:rFonts w:cs="Calibri"/>
        </w:rPr>
        <w:t xml:space="preserve"> emissions for sheep and cattle (Kelliher et al., 2009) using a Monte Carlo approach. This work superseded a previous analysis undertaken in 2003 (Clark et al., 2003). The analysis expressed the coefficient of variation according to the standard deviation of the CH</w:t>
      </w:r>
      <w:r w:rsidRPr="00D9348B">
        <w:rPr>
          <w:rFonts w:cs="Calibri"/>
          <w:vertAlign w:val="subscript"/>
        </w:rPr>
        <w:t>4</w:t>
      </w:r>
      <w:r w:rsidRPr="00D9348B">
        <w:rPr>
          <w:rFonts w:cs="Calibri"/>
        </w:rPr>
        <w:t xml:space="preserve"> yield. The report (Kelliher et al., 2009) calculated the uncertainty by expressing the coefficient of variation according to the standard</w:t>
      </w:r>
      <w:r w:rsidR="0080155A">
        <w:rPr>
          <w:rFonts w:cs="Calibri"/>
        </w:rPr>
        <w:t> </w:t>
      </w:r>
      <w:r w:rsidRPr="00D9348B">
        <w:rPr>
          <w:rFonts w:cs="Calibri"/>
        </w:rPr>
        <w:t>deviation of the CH</w:t>
      </w:r>
      <w:r w:rsidRPr="00D9348B">
        <w:rPr>
          <w:rFonts w:cs="Calibri"/>
          <w:vertAlign w:val="subscript"/>
        </w:rPr>
        <w:t>4</w:t>
      </w:r>
      <w:r w:rsidRPr="00D9348B">
        <w:rPr>
          <w:rFonts w:cs="Calibri"/>
        </w:rPr>
        <w:t xml:space="preserve"> yield using the larger sample of measurements available by 2009. The analysis was restricted to one diet type: grass–legume pasture, the predominant diet of sheep and cattle in New Zealand. The resulting overall uncertainty of the enteric CH</w:t>
      </w:r>
      <w:r w:rsidRPr="00D9348B">
        <w:rPr>
          <w:rFonts w:cs="Calibri"/>
          <w:vertAlign w:val="subscript"/>
        </w:rPr>
        <w:t>4</w:t>
      </w:r>
      <w:r w:rsidRPr="00D9348B">
        <w:rPr>
          <w:rFonts w:cs="Calibri"/>
        </w:rPr>
        <w:t xml:space="preserve"> emissions inventory, expressed as a 95 per cent confidence interval, was ±16 per cent (Kelliher</w:t>
      </w:r>
      <w:r w:rsidR="0080155A">
        <w:rPr>
          <w:rFonts w:cs="Calibri"/>
        </w:rPr>
        <w:t> </w:t>
      </w:r>
      <w:r w:rsidRPr="00D9348B">
        <w:rPr>
          <w:rFonts w:cs="Calibri"/>
        </w:rPr>
        <w:t>et al., 2009); see table 5.2.4.</w:t>
      </w:r>
    </w:p>
    <w:p w14:paraId="356BFB88" w14:textId="77777777" w:rsidR="00F849A7" w:rsidRPr="00D9348B" w:rsidRDefault="00F849A7" w:rsidP="00F849A7">
      <w:pPr>
        <w:pStyle w:val="Table"/>
        <w:rPr>
          <w:rFonts w:cs="Calibri"/>
        </w:rPr>
      </w:pPr>
      <w:bookmarkStart w:id="664" w:name="_Toc144607406"/>
      <w:bookmarkStart w:id="665" w:name="_Toc144607683"/>
      <w:bookmarkStart w:id="666" w:name="_Toc235955625"/>
      <w:bookmarkStart w:id="667" w:name="_Toc288316750"/>
      <w:bookmarkStart w:id="668" w:name="_Toc352504968"/>
      <w:bookmarkStart w:id="669" w:name="_Toc441830871"/>
      <w:bookmarkStart w:id="670" w:name="_Toc451176085"/>
      <w:bookmarkStart w:id="671" w:name="_Toc481751511"/>
      <w:bookmarkStart w:id="672" w:name="_Toc507158601"/>
      <w:bookmarkStart w:id="673" w:name="_Toc511116735"/>
      <w:bookmarkStart w:id="674" w:name="_Toc5269475"/>
      <w:bookmarkStart w:id="675" w:name="_Toc32570916"/>
      <w:bookmarkStart w:id="676" w:name="_Toc36224551"/>
      <w:r w:rsidRPr="00D9348B">
        <w:rPr>
          <w:rFonts w:cs="Calibri"/>
        </w:rPr>
        <w:lastRenderedPageBreak/>
        <w:t>Table 5.2.4</w:t>
      </w:r>
      <w:r w:rsidRPr="00D9348B">
        <w:rPr>
          <w:rFonts w:cs="Calibri"/>
        </w:rPr>
        <w:tab/>
        <w:t xml:space="preserve">New Zealand’s uncertainty in the annual estimate of enteric fermentation emissions for 1990 and 2018, estimated using </w:t>
      </w:r>
      <w:bookmarkEnd w:id="664"/>
      <w:bookmarkEnd w:id="665"/>
      <w:bookmarkEnd w:id="666"/>
      <w:r w:rsidRPr="00D9348B">
        <w:rPr>
          <w:rFonts w:cs="Calibri"/>
        </w:rPr>
        <w:t>the 95 per cent confidence interval (±16 per cent</w:t>
      </w:r>
      <w:bookmarkEnd w:id="667"/>
      <w:bookmarkEnd w:id="668"/>
      <w:r w:rsidRPr="00D9348B">
        <w:rPr>
          <w:rFonts w:cs="Calibri"/>
        </w:rPr>
        <w:t>)</w:t>
      </w:r>
      <w:bookmarkEnd w:id="669"/>
      <w:bookmarkEnd w:id="670"/>
      <w:bookmarkEnd w:id="671"/>
      <w:bookmarkEnd w:id="672"/>
      <w:bookmarkEnd w:id="673"/>
      <w:bookmarkEnd w:id="674"/>
      <w:bookmarkEnd w:id="675"/>
      <w:bookmarkEnd w:id="676"/>
    </w:p>
    <w:tbl>
      <w:tblPr>
        <w:tblW w:w="8505" w:type="dxa"/>
        <w:tblInd w:w="108" w:type="dxa"/>
        <w:tblBorders>
          <w:top w:val="single" w:sz="4" w:space="0" w:color="365F91"/>
          <w:bottom w:val="single" w:sz="4" w:space="0" w:color="365F91"/>
          <w:insideH w:val="single" w:sz="4" w:space="0" w:color="365F91"/>
        </w:tblBorders>
        <w:tblLook w:val="01E0" w:firstRow="1" w:lastRow="1" w:firstColumn="1" w:lastColumn="1" w:noHBand="0" w:noVBand="0"/>
      </w:tblPr>
      <w:tblGrid>
        <w:gridCol w:w="807"/>
        <w:gridCol w:w="2390"/>
        <w:gridCol w:w="2654"/>
        <w:gridCol w:w="2654"/>
      </w:tblGrid>
      <w:tr w:rsidR="00F849A7" w:rsidRPr="00D9348B" w14:paraId="140D34C6" w14:textId="77777777" w:rsidTr="006B44DA">
        <w:trPr>
          <w:trHeight w:val="434"/>
        </w:trPr>
        <w:tc>
          <w:tcPr>
            <w:tcW w:w="475" w:type="pct"/>
            <w:shd w:val="clear" w:color="auto" w:fill="365F91"/>
            <w:vAlign w:val="bottom"/>
          </w:tcPr>
          <w:p w14:paraId="0A9D71E4" w14:textId="77777777" w:rsidR="00F849A7" w:rsidRPr="00D9348B" w:rsidRDefault="00F849A7" w:rsidP="00DB330E">
            <w:pPr>
              <w:pStyle w:val="TableTextBold"/>
              <w:keepNext/>
              <w:spacing w:before="40" w:after="40"/>
              <w:rPr>
                <w:rFonts w:cs="Calibri"/>
                <w:noProof w:val="0"/>
                <w:color w:val="FFFFFF"/>
              </w:rPr>
            </w:pPr>
            <w:r w:rsidRPr="00D9348B">
              <w:rPr>
                <w:rFonts w:cs="Calibri"/>
                <w:noProof w:val="0"/>
                <w:color w:val="FFFFFF"/>
              </w:rPr>
              <w:t>Year</w:t>
            </w:r>
          </w:p>
        </w:tc>
        <w:tc>
          <w:tcPr>
            <w:tcW w:w="1405" w:type="pct"/>
            <w:shd w:val="clear" w:color="auto" w:fill="365F91"/>
            <w:vAlign w:val="bottom"/>
          </w:tcPr>
          <w:p w14:paraId="5526F75E" w14:textId="77777777" w:rsidR="00F849A7" w:rsidRPr="00D9348B" w:rsidRDefault="00F849A7" w:rsidP="00DB330E">
            <w:pPr>
              <w:pStyle w:val="TableTextBold"/>
              <w:keepNext/>
              <w:spacing w:before="40" w:after="40"/>
              <w:jc w:val="center"/>
              <w:rPr>
                <w:rFonts w:cs="Calibri"/>
                <w:noProof w:val="0"/>
                <w:color w:val="FFFFFF"/>
              </w:rPr>
            </w:pPr>
            <w:r w:rsidRPr="00D9348B">
              <w:rPr>
                <w:rFonts w:cs="Calibri"/>
                <w:noProof w:val="0"/>
                <w:color w:val="FFFFFF"/>
              </w:rPr>
              <w:t>Enteric CH</w:t>
            </w:r>
            <w:r w:rsidRPr="00D9348B">
              <w:rPr>
                <w:rFonts w:cs="Calibri"/>
                <w:noProof w:val="0"/>
                <w:color w:val="FFFFFF"/>
                <w:vertAlign w:val="subscript"/>
              </w:rPr>
              <w:t>4</w:t>
            </w:r>
            <w:r w:rsidRPr="00D9348B">
              <w:rPr>
                <w:rFonts w:cs="Calibri"/>
                <w:noProof w:val="0"/>
                <w:color w:val="FFFFFF"/>
              </w:rPr>
              <w:t xml:space="preserve"> emissions </w:t>
            </w:r>
            <w:r w:rsidRPr="00D9348B">
              <w:rPr>
                <w:rFonts w:cs="Calibri"/>
                <w:noProof w:val="0"/>
                <w:color w:val="FFFFFF"/>
                <w:szCs w:val="16"/>
              </w:rPr>
              <w:br/>
            </w:r>
            <w:r w:rsidRPr="00D9348B">
              <w:rPr>
                <w:rFonts w:cs="Calibri"/>
                <w:noProof w:val="0"/>
                <w:color w:val="FFFFFF"/>
              </w:rPr>
              <w:t>(kt CH</w:t>
            </w:r>
            <w:r w:rsidRPr="00D9348B">
              <w:rPr>
                <w:rFonts w:cs="Calibri"/>
                <w:noProof w:val="0"/>
                <w:color w:val="FFFFFF"/>
                <w:vertAlign w:val="subscript"/>
              </w:rPr>
              <w:t>4</w:t>
            </w:r>
            <w:r w:rsidRPr="00D9348B">
              <w:rPr>
                <w:rFonts w:cs="Calibri"/>
                <w:noProof w:val="0"/>
                <w:color w:val="FFFFFF"/>
              </w:rPr>
              <w:t>/annum)</w:t>
            </w:r>
          </w:p>
        </w:tc>
        <w:tc>
          <w:tcPr>
            <w:tcW w:w="1560" w:type="pct"/>
            <w:shd w:val="clear" w:color="auto" w:fill="365F91"/>
            <w:vAlign w:val="bottom"/>
          </w:tcPr>
          <w:p w14:paraId="52ECAC2F" w14:textId="77777777" w:rsidR="00F849A7" w:rsidRPr="00D9348B" w:rsidRDefault="00F849A7" w:rsidP="00DB330E">
            <w:pPr>
              <w:pStyle w:val="TableTextBold"/>
              <w:keepNext/>
              <w:spacing w:before="40" w:after="40"/>
              <w:jc w:val="center"/>
              <w:rPr>
                <w:rFonts w:cs="Calibri"/>
                <w:noProof w:val="0"/>
                <w:color w:val="FFFFFF"/>
              </w:rPr>
            </w:pPr>
            <w:r w:rsidRPr="00D9348B">
              <w:rPr>
                <w:rFonts w:cs="Calibri"/>
                <w:noProof w:val="0"/>
                <w:color w:val="FFFFFF"/>
              </w:rPr>
              <w:t>95% confidence interval minimum</w:t>
            </w:r>
            <w:r w:rsidRPr="00D9348B">
              <w:rPr>
                <w:rFonts w:cs="Calibri"/>
                <w:noProof w:val="0"/>
                <w:color w:val="FFFFFF"/>
                <w:szCs w:val="16"/>
              </w:rPr>
              <w:br/>
            </w:r>
            <w:r w:rsidRPr="00D9348B">
              <w:rPr>
                <w:rFonts w:cs="Calibri"/>
                <w:noProof w:val="0"/>
                <w:color w:val="FFFFFF"/>
              </w:rPr>
              <w:t xml:space="preserve"> (kt CH</w:t>
            </w:r>
            <w:r w:rsidRPr="00D9348B">
              <w:rPr>
                <w:rFonts w:cs="Calibri"/>
                <w:noProof w:val="0"/>
                <w:color w:val="FFFFFF"/>
                <w:vertAlign w:val="subscript"/>
              </w:rPr>
              <w:t>4</w:t>
            </w:r>
            <w:r w:rsidRPr="00D9348B">
              <w:rPr>
                <w:rFonts w:cs="Calibri"/>
                <w:noProof w:val="0"/>
                <w:color w:val="FFFFFF"/>
              </w:rPr>
              <w:t>/annum)</w:t>
            </w:r>
          </w:p>
        </w:tc>
        <w:tc>
          <w:tcPr>
            <w:tcW w:w="1560" w:type="pct"/>
            <w:shd w:val="clear" w:color="auto" w:fill="365F91"/>
            <w:vAlign w:val="bottom"/>
          </w:tcPr>
          <w:p w14:paraId="5C967B83" w14:textId="77777777" w:rsidR="00F849A7" w:rsidRPr="00D9348B" w:rsidRDefault="00F849A7" w:rsidP="00DB330E">
            <w:pPr>
              <w:pStyle w:val="TableTextBold"/>
              <w:keepNext/>
              <w:spacing w:before="40" w:after="40"/>
              <w:jc w:val="center"/>
              <w:rPr>
                <w:rFonts w:cs="Calibri"/>
                <w:noProof w:val="0"/>
                <w:color w:val="FFFFFF"/>
              </w:rPr>
            </w:pPr>
            <w:r w:rsidRPr="00D9348B">
              <w:rPr>
                <w:rFonts w:cs="Calibri"/>
                <w:noProof w:val="0"/>
                <w:color w:val="FFFFFF"/>
              </w:rPr>
              <w:t xml:space="preserve">95% confidence interval maximum </w:t>
            </w:r>
            <w:r w:rsidRPr="00D9348B">
              <w:rPr>
                <w:rFonts w:cs="Calibri"/>
                <w:noProof w:val="0"/>
                <w:color w:val="FFFFFF"/>
                <w:szCs w:val="16"/>
              </w:rPr>
              <w:br/>
            </w:r>
            <w:r w:rsidRPr="00D9348B">
              <w:rPr>
                <w:rFonts w:cs="Calibri"/>
                <w:noProof w:val="0"/>
                <w:color w:val="FFFFFF"/>
              </w:rPr>
              <w:t>(kt CH</w:t>
            </w:r>
            <w:r w:rsidRPr="00D9348B">
              <w:rPr>
                <w:rFonts w:cs="Calibri"/>
                <w:noProof w:val="0"/>
                <w:color w:val="FFFFFF"/>
                <w:vertAlign w:val="subscript"/>
              </w:rPr>
              <w:t>4</w:t>
            </w:r>
            <w:r w:rsidRPr="00D9348B">
              <w:rPr>
                <w:rFonts w:cs="Calibri"/>
                <w:noProof w:val="0"/>
                <w:color w:val="FFFFFF"/>
              </w:rPr>
              <w:t>/annum)</w:t>
            </w:r>
          </w:p>
        </w:tc>
      </w:tr>
      <w:tr w:rsidR="00F849A7" w:rsidRPr="00D9348B" w14:paraId="64991601" w14:textId="77777777" w:rsidTr="006B44DA">
        <w:trPr>
          <w:trHeight w:val="247"/>
        </w:trPr>
        <w:tc>
          <w:tcPr>
            <w:tcW w:w="475" w:type="pct"/>
          </w:tcPr>
          <w:p w14:paraId="59AE3DC9" w14:textId="77777777" w:rsidR="00F849A7" w:rsidRPr="00D9348B" w:rsidRDefault="00F849A7" w:rsidP="00DB330E">
            <w:pPr>
              <w:pStyle w:val="TableText"/>
              <w:keepNext/>
              <w:spacing w:before="40" w:after="40"/>
              <w:rPr>
                <w:rFonts w:cs="Calibri"/>
              </w:rPr>
            </w:pPr>
            <w:r w:rsidRPr="00D9348B">
              <w:rPr>
                <w:rFonts w:cs="Calibri"/>
              </w:rPr>
              <w:t>1990</w:t>
            </w:r>
          </w:p>
        </w:tc>
        <w:tc>
          <w:tcPr>
            <w:tcW w:w="1405" w:type="pct"/>
          </w:tcPr>
          <w:p w14:paraId="0C852828" w14:textId="77777777" w:rsidR="00F849A7" w:rsidRPr="00D9348B" w:rsidRDefault="00F849A7" w:rsidP="00DB330E">
            <w:pPr>
              <w:pStyle w:val="TableText"/>
              <w:keepNext/>
              <w:spacing w:before="40" w:after="40"/>
              <w:jc w:val="center"/>
              <w:rPr>
                <w:rFonts w:cs="Calibri"/>
              </w:rPr>
            </w:pPr>
            <w:r w:rsidRPr="00D9348B">
              <w:rPr>
                <w:rFonts w:cs="Calibri"/>
              </w:rPr>
              <w:t>1062.0</w:t>
            </w:r>
          </w:p>
        </w:tc>
        <w:tc>
          <w:tcPr>
            <w:tcW w:w="1560" w:type="pct"/>
          </w:tcPr>
          <w:p w14:paraId="6B623BBA" w14:textId="77777777" w:rsidR="00F849A7" w:rsidRPr="00D9348B" w:rsidRDefault="00F849A7" w:rsidP="00DB330E">
            <w:pPr>
              <w:pStyle w:val="TableText"/>
              <w:keepNext/>
              <w:spacing w:before="40" w:after="40"/>
              <w:jc w:val="center"/>
              <w:rPr>
                <w:rFonts w:cs="Calibri"/>
              </w:rPr>
            </w:pPr>
            <w:r w:rsidRPr="00D9348B">
              <w:rPr>
                <w:rFonts w:cs="Calibri"/>
              </w:rPr>
              <w:t>892.0</w:t>
            </w:r>
          </w:p>
        </w:tc>
        <w:tc>
          <w:tcPr>
            <w:tcW w:w="1560" w:type="pct"/>
          </w:tcPr>
          <w:p w14:paraId="329A4D6D" w14:textId="77777777" w:rsidR="00F849A7" w:rsidRPr="00D9348B" w:rsidRDefault="00F849A7" w:rsidP="00DB330E">
            <w:pPr>
              <w:pStyle w:val="TableText"/>
              <w:keepNext/>
              <w:spacing w:before="40" w:after="40"/>
              <w:jc w:val="center"/>
              <w:rPr>
                <w:rFonts w:cs="Calibri"/>
              </w:rPr>
            </w:pPr>
            <w:r w:rsidRPr="00D9348B">
              <w:rPr>
                <w:rFonts w:cs="Calibri"/>
              </w:rPr>
              <w:t>1231.9</w:t>
            </w:r>
          </w:p>
        </w:tc>
      </w:tr>
      <w:tr w:rsidR="00F849A7" w:rsidRPr="00D9348B" w14:paraId="52B459B5" w14:textId="77777777" w:rsidTr="006B44DA">
        <w:trPr>
          <w:trHeight w:val="247"/>
        </w:trPr>
        <w:tc>
          <w:tcPr>
            <w:tcW w:w="475" w:type="pct"/>
          </w:tcPr>
          <w:p w14:paraId="5FEE022C" w14:textId="77777777" w:rsidR="00F849A7" w:rsidRPr="00D9348B" w:rsidRDefault="00F849A7" w:rsidP="00DB330E">
            <w:pPr>
              <w:pStyle w:val="TableText"/>
              <w:spacing w:before="40" w:after="40"/>
              <w:rPr>
                <w:rFonts w:cs="Calibri"/>
              </w:rPr>
            </w:pPr>
            <w:r w:rsidRPr="00D9348B">
              <w:rPr>
                <w:rFonts w:cs="Calibri"/>
              </w:rPr>
              <w:t>2018</w:t>
            </w:r>
          </w:p>
        </w:tc>
        <w:tc>
          <w:tcPr>
            <w:tcW w:w="1405" w:type="pct"/>
          </w:tcPr>
          <w:p w14:paraId="48D63BB5" w14:textId="77777777" w:rsidR="00F849A7" w:rsidRPr="00D9348B" w:rsidRDefault="00F849A7" w:rsidP="00DB330E">
            <w:pPr>
              <w:pStyle w:val="TableText"/>
              <w:spacing w:before="40" w:after="40"/>
              <w:jc w:val="center"/>
              <w:rPr>
                <w:rFonts w:cs="Calibri"/>
              </w:rPr>
            </w:pPr>
            <w:r w:rsidRPr="00D9348B">
              <w:rPr>
                <w:rFonts w:cs="Calibri"/>
              </w:rPr>
              <w:t>1117.6</w:t>
            </w:r>
          </w:p>
        </w:tc>
        <w:tc>
          <w:tcPr>
            <w:tcW w:w="1560" w:type="pct"/>
          </w:tcPr>
          <w:p w14:paraId="5DBD73E8" w14:textId="77777777" w:rsidR="00F849A7" w:rsidRPr="00D9348B" w:rsidRDefault="00F849A7" w:rsidP="00DB330E">
            <w:pPr>
              <w:pStyle w:val="TableText"/>
              <w:spacing w:before="40" w:after="40"/>
              <w:jc w:val="center"/>
              <w:rPr>
                <w:rFonts w:cs="Calibri"/>
              </w:rPr>
            </w:pPr>
            <w:r w:rsidRPr="00D9348B">
              <w:rPr>
                <w:rFonts w:cs="Calibri"/>
              </w:rPr>
              <w:t>938.7</w:t>
            </w:r>
          </w:p>
        </w:tc>
        <w:tc>
          <w:tcPr>
            <w:tcW w:w="1560" w:type="pct"/>
          </w:tcPr>
          <w:p w14:paraId="48146D5D" w14:textId="77777777" w:rsidR="00F849A7" w:rsidRPr="00D9348B" w:rsidRDefault="00F849A7" w:rsidP="00DB330E">
            <w:pPr>
              <w:pStyle w:val="TableText"/>
              <w:spacing w:before="40" w:after="40"/>
              <w:jc w:val="center"/>
              <w:rPr>
                <w:rFonts w:cs="Calibri"/>
              </w:rPr>
            </w:pPr>
            <w:r w:rsidRPr="00D9348B">
              <w:rPr>
                <w:rFonts w:cs="Calibri"/>
              </w:rPr>
              <w:t>892.0</w:t>
            </w:r>
          </w:p>
        </w:tc>
      </w:tr>
    </w:tbl>
    <w:p w14:paraId="6BE2552F" w14:textId="77777777" w:rsidR="00F849A7" w:rsidRPr="00D9348B" w:rsidRDefault="00F849A7" w:rsidP="00F849A7">
      <w:pPr>
        <w:pStyle w:val="Noteundertable"/>
        <w:rPr>
          <w:rFonts w:cs="Calibri"/>
        </w:rPr>
      </w:pPr>
      <w:r w:rsidRPr="00D9348B">
        <w:rPr>
          <w:rFonts w:cs="Calibri"/>
          <w:b/>
          <w:bCs/>
        </w:rPr>
        <w:t xml:space="preserve">Note: </w:t>
      </w:r>
      <w:r w:rsidRPr="00D9348B">
        <w:rPr>
          <w:rFonts w:cs="Calibri"/>
          <w:b/>
        </w:rPr>
        <w:tab/>
      </w:r>
      <w:r w:rsidRPr="00D9348B">
        <w:rPr>
          <w:rFonts w:cs="Calibri"/>
        </w:rPr>
        <w:t>The CH</w:t>
      </w:r>
      <w:r w:rsidRPr="00D9348B">
        <w:rPr>
          <w:rFonts w:cs="Calibri"/>
          <w:vertAlign w:val="subscript"/>
        </w:rPr>
        <w:t>4</w:t>
      </w:r>
      <w:r w:rsidRPr="00D9348B">
        <w:rPr>
          <w:rFonts w:cs="Calibri"/>
        </w:rPr>
        <w:t xml:space="preserve"> emissions used in the Monte Carlo analysis exclude those from swine, horses, goats, mules and asses, and llamas and alpacas, which represent a small proportion of total CH</w:t>
      </w:r>
      <w:r w:rsidRPr="00D9348B">
        <w:rPr>
          <w:rFonts w:cs="Calibri"/>
          <w:vertAlign w:val="subscript"/>
        </w:rPr>
        <w:t>4</w:t>
      </w:r>
      <w:r w:rsidRPr="00D9348B">
        <w:rPr>
          <w:rFonts w:cs="Calibri"/>
        </w:rPr>
        <w:t> emissions.</w:t>
      </w:r>
    </w:p>
    <w:p w14:paraId="64EAE382" w14:textId="77777777" w:rsidR="00F849A7" w:rsidRPr="00D9348B" w:rsidRDefault="00F849A7" w:rsidP="00F849A7">
      <w:pPr>
        <w:pStyle w:val="BodyText"/>
        <w:rPr>
          <w:rFonts w:cs="Calibri"/>
        </w:rPr>
      </w:pPr>
      <w:r w:rsidRPr="00D9348B">
        <w:rPr>
          <w:rFonts w:cs="Calibri"/>
        </w:rPr>
        <w:t>Uncertainty in the annual CH</w:t>
      </w:r>
      <w:r w:rsidRPr="00D9348B">
        <w:rPr>
          <w:rFonts w:cs="Calibri"/>
          <w:vertAlign w:val="subscript"/>
        </w:rPr>
        <w:t>4</w:t>
      </w:r>
      <w:r w:rsidRPr="00D9348B">
        <w:rPr>
          <w:rFonts w:cs="Calibri"/>
        </w:rPr>
        <w:t xml:space="preserve"> estimate is dominated by variance in the measurements of the ‘methane per unit of intake’ factor. This uncertainty is predominantly due to natural variation from one animal to the next due to genetic, management and environmental factors. Uncertainties in the estimates of livestock energy requirements, forage quality and animal population data are much smaller (0.005–0.05) (Clark et al., 2003).</w:t>
      </w:r>
    </w:p>
    <w:p w14:paraId="2226E0BF" w14:textId="77777777" w:rsidR="00F849A7" w:rsidRPr="00D9348B" w:rsidRDefault="00F849A7" w:rsidP="00F849A7">
      <w:pPr>
        <w:pStyle w:val="Heading3"/>
        <w:spacing w:before="280"/>
        <w:rPr>
          <w:rFonts w:cs="Calibri"/>
        </w:rPr>
      </w:pPr>
      <w:bookmarkStart w:id="677" w:name="_Toc139253920"/>
      <w:bookmarkStart w:id="678" w:name="_Toc32570654"/>
      <w:r w:rsidRPr="00D9348B">
        <w:rPr>
          <w:rFonts w:cs="Calibri"/>
        </w:rPr>
        <w:t>5.2.4</w:t>
      </w:r>
      <w:r w:rsidRPr="00D9348B">
        <w:rPr>
          <w:rFonts w:cs="Calibri"/>
        </w:rPr>
        <w:tab/>
        <w:t>Source-specific QA/QC</w:t>
      </w:r>
      <w:r w:rsidRPr="00D9348B">
        <w:rPr>
          <w:rFonts w:cs="Calibri"/>
          <w:lang w:eastAsia="en-GB"/>
        </w:rPr>
        <w:t xml:space="preserve"> control </w:t>
      </w:r>
      <w:r w:rsidRPr="00D9348B">
        <w:rPr>
          <w:rFonts w:cs="Calibri"/>
        </w:rPr>
        <w:t>and verification</w:t>
      </w:r>
      <w:bookmarkEnd w:id="677"/>
      <w:bookmarkEnd w:id="678"/>
    </w:p>
    <w:p w14:paraId="4888D627" w14:textId="6AEF6E28" w:rsidR="00F849A7" w:rsidRPr="00D9348B" w:rsidRDefault="00F849A7" w:rsidP="00F849A7">
      <w:pPr>
        <w:pStyle w:val="BodyText"/>
        <w:rPr>
          <w:rFonts w:cs="Calibri"/>
        </w:rPr>
      </w:pPr>
      <w:r w:rsidRPr="00D9348B">
        <w:rPr>
          <w:rFonts w:cs="Calibri"/>
        </w:rPr>
        <w:t xml:space="preserve">Methane from </w:t>
      </w:r>
      <w:r w:rsidRPr="00D9348B">
        <w:rPr>
          <w:rFonts w:cs="Calibri"/>
          <w:i/>
        </w:rPr>
        <w:t>Enteric fermentation</w:t>
      </w:r>
      <w:r w:rsidRPr="00D9348B">
        <w:rPr>
          <w:rFonts w:cs="Calibri"/>
        </w:rPr>
        <w:t xml:space="preserve"> from dairy cattle, non-dairy cattle and sheep was identified as a key category (level and trend assessment). Methane from </w:t>
      </w:r>
      <w:r w:rsidRPr="00D9348B">
        <w:rPr>
          <w:rFonts w:cs="Calibri"/>
          <w:i/>
        </w:rPr>
        <w:t xml:space="preserve">Enteric fermentation </w:t>
      </w:r>
      <w:r w:rsidRPr="00D9348B">
        <w:rPr>
          <w:rFonts w:cs="Calibri"/>
        </w:rPr>
        <w:t>from deer is a key category in the 2018 level assessment and CH</w:t>
      </w:r>
      <w:r w:rsidRPr="00D9348B">
        <w:rPr>
          <w:rFonts w:cs="Calibri"/>
          <w:vertAlign w:val="subscript"/>
        </w:rPr>
        <w:t>4</w:t>
      </w:r>
      <w:r w:rsidRPr="00D9348B">
        <w:rPr>
          <w:rFonts w:cs="Calibri"/>
        </w:rPr>
        <w:t xml:space="preserve"> from </w:t>
      </w:r>
      <w:r w:rsidRPr="00D9348B">
        <w:rPr>
          <w:rFonts w:cs="Calibri"/>
          <w:i/>
        </w:rPr>
        <w:t>Enteric fermentation</w:t>
      </w:r>
      <w:r w:rsidRPr="00D9348B">
        <w:rPr>
          <w:rFonts w:cs="Calibri"/>
        </w:rPr>
        <w:t xml:space="preserve"> from goats is a key category in the trend assessment. In the preparation for this inventory, the</w:t>
      </w:r>
      <w:r w:rsidR="006B44DA" w:rsidRPr="00D9348B">
        <w:rPr>
          <w:rFonts w:cs="Calibri"/>
        </w:rPr>
        <w:t> </w:t>
      </w:r>
      <w:r w:rsidRPr="00D9348B">
        <w:rPr>
          <w:rFonts w:cs="Calibri"/>
        </w:rPr>
        <w:t>data for this category underwent Tier 1 and Tier 2 quality checks.</w:t>
      </w:r>
    </w:p>
    <w:p w14:paraId="448C7D0B" w14:textId="77777777" w:rsidR="00F849A7" w:rsidRPr="00D9348B" w:rsidRDefault="00F849A7" w:rsidP="00F849A7">
      <w:pPr>
        <w:pStyle w:val="BodyText"/>
        <w:rPr>
          <w:rFonts w:cs="Calibri"/>
        </w:rPr>
      </w:pPr>
      <w:r w:rsidRPr="00D9348B">
        <w:rPr>
          <w:rFonts w:cs="Calibri"/>
        </w:rPr>
        <w:t>Enteric CH</w:t>
      </w:r>
      <w:r w:rsidRPr="00D9348B">
        <w:rPr>
          <w:rFonts w:cs="Calibri"/>
          <w:vertAlign w:val="subscript"/>
        </w:rPr>
        <w:t>4</w:t>
      </w:r>
      <w:r w:rsidRPr="00D9348B">
        <w:rPr>
          <w:rFonts w:cs="Calibri"/>
        </w:rPr>
        <w:t xml:space="preserve"> emission rates have been verified using micrometeorological techniques. Laubach and Kelliher (2004) used the integrated horizontal flux technique and the flux gradient technique to measure CH</w:t>
      </w:r>
      <w:r w:rsidRPr="00D9348B">
        <w:rPr>
          <w:rFonts w:cs="Calibri"/>
          <w:vertAlign w:val="subscript"/>
        </w:rPr>
        <w:t>4</w:t>
      </w:r>
      <w:r w:rsidRPr="00D9348B">
        <w:rPr>
          <w:rFonts w:cs="Calibri"/>
        </w:rPr>
        <w:t xml:space="preserve"> emission flux above a dairy herd. Both techniques are comparable, within estimated errors, to scaled-up animal emissions. The emissions from the cows measured by integrated horizontal flux (averaged over three trials) were 329 (±153) g CH</w:t>
      </w:r>
      <w:r w:rsidRPr="00D9348B">
        <w:rPr>
          <w:rFonts w:cs="Calibri"/>
          <w:vertAlign w:val="subscript"/>
        </w:rPr>
        <w:t>4</w:t>
      </w:r>
      <w:r w:rsidRPr="00D9348B">
        <w:rPr>
          <w:rFonts w:cs="Calibri"/>
        </w:rPr>
        <w:t>/day/cow, compared with 365 (±61) g CH</w:t>
      </w:r>
      <w:r w:rsidRPr="00D9348B">
        <w:rPr>
          <w:rFonts w:cs="Calibri"/>
          <w:vertAlign w:val="subscript"/>
        </w:rPr>
        <w:t>4</w:t>
      </w:r>
      <w:r w:rsidRPr="00D9348B">
        <w:rPr>
          <w:rFonts w:cs="Calibri"/>
        </w:rPr>
        <w:t>/day/cow for the scaled-up measurements reported by Waghorn et al. (unpublished(a), unpublished(b)) using the SF</w:t>
      </w:r>
      <w:r w:rsidRPr="00D9348B">
        <w:rPr>
          <w:rFonts w:cs="Calibri"/>
          <w:vertAlign w:val="subscript"/>
        </w:rPr>
        <w:t>6</w:t>
      </w:r>
      <w:r w:rsidRPr="00D9348B">
        <w:rPr>
          <w:rFonts w:cs="Calibri"/>
        </w:rPr>
        <w:t> technique for CH</w:t>
      </w:r>
      <w:r w:rsidRPr="00D9348B">
        <w:rPr>
          <w:rFonts w:cs="Calibri"/>
          <w:vertAlign w:val="subscript"/>
        </w:rPr>
        <w:t>4</w:t>
      </w:r>
      <w:r w:rsidRPr="00D9348B">
        <w:rPr>
          <w:rFonts w:cs="Calibri"/>
        </w:rPr>
        <w:t xml:space="preserve"> measurement. </w:t>
      </w:r>
    </w:p>
    <w:p w14:paraId="5CA5F7E5" w14:textId="140847A2" w:rsidR="00F849A7" w:rsidRPr="00D9348B" w:rsidRDefault="00F849A7" w:rsidP="00F849A7">
      <w:pPr>
        <w:pStyle w:val="BodyText"/>
        <w:rPr>
          <w:rFonts w:cs="Calibri"/>
        </w:rPr>
      </w:pPr>
      <w:r w:rsidRPr="00D9348B">
        <w:rPr>
          <w:rFonts w:cs="Calibri"/>
        </w:rPr>
        <w:t>Enteric methane emissions from lactating dairy cows have also been measured using the New Zealand SF</w:t>
      </w:r>
      <w:r w:rsidRPr="00D9348B">
        <w:rPr>
          <w:rFonts w:cs="Calibri"/>
          <w:vertAlign w:val="subscript"/>
        </w:rPr>
        <w:t>6</w:t>
      </w:r>
      <w:r w:rsidRPr="00D9348B">
        <w:rPr>
          <w:rFonts w:cs="Calibri"/>
        </w:rPr>
        <w:t xml:space="preserve"> tracer method compared with the respiration chamber techniques (Grainger</w:t>
      </w:r>
      <w:r w:rsidR="00306B8F" w:rsidRPr="00D9348B">
        <w:rPr>
          <w:rFonts w:cs="Calibri"/>
        </w:rPr>
        <w:t> </w:t>
      </w:r>
      <w:r w:rsidRPr="00D9348B">
        <w:rPr>
          <w:rFonts w:cs="Calibri"/>
        </w:rPr>
        <w:t xml:space="preserve">et al., 2007). </w:t>
      </w:r>
      <w:r w:rsidRPr="00D9348B">
        <w:rPr>
          <w:rFonts w:cs="Calibri"/>
          <w:snapToGrid w:val="0"/>
          <w:color w:val="000000"/>
        </w:rPr>
        <w:t xml:space="preserve">Total </w:t>
      </w:r>
      <w:r w:rsidRPr="00D9348B">
        <w:rPr>
          <w:rFonts w:cs="Calibri"/>
        </w:rPr>
        <w:t>CH</w:t>
      </w:r>
      <w:r w:rsidRPr="00D9348B">
        <w:rPr>
          <w:rFonts w:cs="Calibri"/>
          <w:vertAlign w:val="subscript"/>
        </w:rPr>
        <w:t xml:space="preserve">4 </w:t>
      </w:r>
      <w:r w:rsidRPr="00D9348B">
        <w:rPr>
          <w:rFonts w:cs="Calibri"/>
        </w:rPr>
        <w:t>emissions were similar when measured using respiration chambers (322 g CH</w:t>
      </w:r>
      <w:r w:rsidRPr="00D9348B">
        <w:rPr>
          <w:rFonts w:cs="Calibri"/>
          <w:vertAlign w:val="subscript"/>
        </w:rPr>
        <w:t>4</w:t>
      </w:r>
      <w:r w:rsidRPr="00D9348B">
        <w:rPr>
          <w:rFonts w:cs="Calibri"/>
        </w:rPr>
        <w:t xml:space="preserve">/day/cow) or the </w:t>
      </w:r>
      <w:r w:rsidRPr="00D9348B">
        <w:rPr>
          <w:rFonts w:cs="Calibri"/>
          <w:snapToGrid w:val="0"/>
          <w:color w:val="000000"/>
        </w:rPr>
        <w:t>SF</w:t>
      </w:r>
      <w:r w:rsidRPr="00D9348B">
        <w:rPr>
          <w:rFonts w:cs="Calibri"/>
          <w:snapToGrid w:val="0"/>
          <w:color w:val="000000"/>
          <w:vertAlign w:val="subscript"/>
        </w:rPr>
        <w:t>6</w:t>
      </w:r>
      <w:r w:rsidRPr="00D9348B">
        <w:rPr>
          <w:rFonts w:cs="Calibri"/>
          <w:snapToGrid w:val="0"/>
          <w:color w:val="000000"/>
        </w:rPr>
        <w:t xml:space="preserve"> tracer technique (</w:t>
      </w:r>
      <w:r w:rsidRPr="00D9348B">
        <w:rPr>
          <w:rFonts w:cs="Calibri"/>
        </w:rPr>
        <w:t>331 g CH</w:t>
      </w:r>
      <w:r w:rsidRPr="00D9348B">
        <w:rPr>
          <w:rFonts w:cs="Calibri"/>
          <w:vertAlign w:val="subscript"/>
        </w:rPr>
        <w:t>4</w:t>
      </w:r>
      <w:r w:rsidRPr="00D9348B">
        <w:rPr>
          <w:rFonts w:cs="Calibri"/>
        </w:rPr>
        <w:t>/day/cow) but the uncertainty of the SF</w:t>
      </w:r>
      <w:r w:rsidRPr="00D9348B">
        <w:rPr>
          <w:rFonts w:cs="Calibri"/>
          <w:vertAlign w:val="subscript"/>
        </w:rPr>
        <w:t>6</w:t>
      </w:r>
      <w:r w:rsidRPr="00D9348B">
        <w:rPr>
          <w:rFonts w:cs="Calibri"/>
        </w:rPr>
        <w:t xml:space="preserve"> technique measurements was greater. </w:t>
      </w:r>
    </w:p>
    <w:p w14:paraId="6623F16B" w14:textId="77777777" w:rsidR="00F849A7" w:rsidRPr="00D9348B" w:rsidRDefault="00F849A7" w:rsidP="00F849A7">
      <w:pPr>
        <w:pStyle w:val="BodyText"/>
        <w:rPr>
          <w:rFonts w:cs="Calibri"/>
          <w:spacing w:val="-2"/>
        </w:rPr>
      </w:pPr>
      <w:r w:rsidRPr="00D9348B">
        <w:rPr>
          <w:rFonts w:cs="Calibri"/>
          <w:spacing w:val="-2"/>
        </w:rPr>
        <w:t>The calculations in New Zealand’s model for cattle, sheep and deer are Tier 2 and are based on the IPCC Guidelines (IPCC, 2006). Table 5.2.5 shows a comparison of the New Zealand-specific 2018 IEFs for enteric fermentation with the IPCC Tier 1 Oceania default value, the IPCC Tier</w:t>
      </w:r>
      <w:r w:rsidRPr="00D9348B">
        <w:rPr>
          <w:rFonts w:cs="Calibri"/>
        </w:rPr>
        <w:t> </w:t>
      </w:r>
      <w:r w:rsidRPr="00D9348B">
        <w:rPr>
          <w:rFonts w:cs="Calibri"/>
          <w:spacing w:val="-2"/>
        </w:rPr>
        <w:t>2</w:t>
      </w:r>
      <w:r w:rsidRPr="00D9348B">
        <w:rPr>
          <w:rFonts w:cs="Calibri"/>
        </w:rPr>
        <w:t> </w:t>
      </w:r>
      <w:r w:rsidRPr="00D9348B">
        <w:rPr>
          <w:rFonts w:cs="Calibri"/>
          <w:spacing w:val="-2"/>
        </w:rPr>
        <w:t xml:space="preserve">net energy-based value and the Australian-specific 2017 IEF for dairy cattle, non-dairy cattle and sheep. </w:t>
      </w:r>
    </w:p>
    <w:p w14:paraId="0BF17EED" w14:textId="77777777" w:rsidR="00F849A7" w:rsidRPr="00D9348B" w:rsidRDefault="00F849A7" w:rsidP="00F849A7">
      <w:pPr>
        <w:pStyle w:val="BodyText"/>
        <w:rPr>
          <w:rFonts w:cs="Calibri"/>
        </w:rPr>
      </w:pPr>
      <w:r w:rsidRPr="00D9348B">
        <w:rPr>
          <w:rFonts w:cs="Calibri"/>
        </w:rPr>
        <w:t>The IPCC Tier 2 net energy-based values are determined from the net energy algorithms in the 2006 IPCC Guidelines (equation 10.16) for dairy cattle, non-dairy (beef) cattle and sheep. New Zealand’s inventory model calculates emissions for sheep (one year of age and older) and lambs (less than one year old) separately. Therefore, to provide an appropriate comparison between the New Zealand-specific IEF and the IPCC Tier 2 net energy-based values for sheep, the gross energy values determined using the IPCC Tier 2 energy equations were obtained for both sheep and lambs.</w:t>
      </w:r>
    </w:p>
    <w:p w14:paraId="4A9EF089" w14:textId="77777777" w:rsidR="00F849A7" w:rsidRPr="00D9348B" w:rsidRDefault="00F849A7" w:rsidP="00F849A7">
      <w:pPr>
        <w:pStyle w:val="Table"/>
        <w:rPr>
          <w:rFonts w:cs="Calibri"/>
        </w:rPr>
      </w:pPr>
      <w:bookmarkStart w:id="679" w:name="_Toc288316751"/>
      <w:bookmarkStart w:id="680" w:name="_Toc352504969"/>
      <w:bookmarkStart w:id="681" w:name="_Toc441830872"/>
      <w:bookmarkStart w:id="682" w:name="_Toc451176086"/>
      <w:bookmarkStart w:id="683" w:name="_Toc481751512"/>
      <w:bookmarkStart w:id="684" w:name="_Toc507158602"/>
      <w:bookmarkStart w:id="685" w:name="_Toc511116736"/>
      <w:bookmarkStart w:id="686" w:name="_Toc5269476"/>
      <w:bookmarkStart w:id="687" w:name="_Toc32570917"/>
      <w:bookmarkStart w:id="688" w:name="_Toc36224552"/>
      <w:r w:rsidRPr="00D9348B">
        <w:rPr>
          <w:rFonts w:cs="Calibri"/>
        </w:rPr>
        <w:lastRenderedPageBreak/>
        <w:t>Table 5.2.5</w:t>
      </w:r>
      <w:r w:rsidRPr="00D9348B">
        <w:rPr>
          <w:rFonts w:cs="Calibri"/>
        </w:rPr>
        <w:tab/>
        <w:t>Comparison of the IPCC (2006) default emission factor and country-specific implied emission factors (IEFs) for methane (CH</w:t>
      </w:r>
      <w:r w:rsidRPr="00D9348B">
        <w:rPr>
          <w:rFonts w:cs="Calibri"/>
          <w:vertAlign w:val="subscript"/>
        </w:rPr>
        <w:t>4</w:t>
      </w:r>
      <w:r w:rsidRPr="00D9348B">
        <w:rPr>
          <w:rFonts w:cs="Calibri"/>
        </w:rPr>
        <w:t>) from enteric fermentation for dairy cattle, non</w:t>
      </w:r>
      <w:r w:rsidRPr="00D9348B">
        <w:rPr>
          <w:rFonts w:cs="Calibri"/>
        </w:rPr>
        <w:noBreakHyphen/>
        <w:t>dairy cattle and sheep</w:t>
      </w:r>
      <w:bookmarkEnd w:id="679"/>
      <w:bookmarkEnd w:id="680"/>
      <w:bookmarkEnd w:id="681"/>
      <w:bookmarkEnd w:id="682"/>
      <w:bookmarkEnd w:id="683"/>
      <w:bookmarkEnd w:id="684"/>
      <w:bookmarkEnd w:id="685"/>
      <w:bookmarkEnd w:id="686"/>
      <w:bookmarkEnd w:id="687"/>
      <w:bookmarkEnd w:id="688"/>
    </w:p>
    <w:tbl>
      <w:tblPr>
        <w:tblW w:w="8505" w:type="dxa"/>
        <w:tblInd w:w="108" w:type="dxa"/>
        <w:tblBorders>
          <w:top w:val="single" w:sz="4" w:space="0" w:color="365F91"/>
          <w:bottom w:val="single" w:sz="4" w:space="0" w:color="365F91"/>
          <w:insideH w:val="single" w:sz="4" w:space="0" w:color="365F91"/>
        </w:tblBorders>
        <w:tblLayout w:type="fixed"/>
        <w:tblCellMar>
          <w:left w:w="85" w:type="dxa"/>
          <w:right w:w="57" w:type="dxa"/>
        </w:tblCellMar>
        <w:tblLook w:val="0000" w:firstRow="0" w:lastRow="0" w:firstColumn="0" w:lastColumn="0" w:noHBand="0" w:noVBand="0"/>
      </w:tblPr>
      <w:tblGrid>
        <w:gridCol w:w="2812"/>
        <w:gridCol w:w="2719"/>
        <w:gridCol w:w="1487"/>
        <w:gridCol w:w="1487"/>
      </w:tblGrid>
      <w:tr w:rsidR="00F849A7" w:rsidRPr="00D9348B" w14:paraId="2C2D3060" w14:textId="77777777" w:rsidTr="002D13B7">
        <w:trPr>
          <w:trHeight w:val="406"/>
          <w:tblHeader/>
        </w:trPr>
        <w:tc>
          <w:tcPr>
            <w:tcW w:w="2812" w:type="dxa"/>
            <w:shd w:val="clear" w:color="auto" w:fill="365F91"/>
          </w:tcPr>
          <w:p w14:paraId="4E7E9894" w14:textId="77777777" w:rsidR="00F849A7" w:rsidRPr="00D9348B" w:rsidRDefault="00F849A7" w:rsidP="00DB330E">
            <w:pPr>
              <w:pStyle w:val="TableTextBold"/>
              <w:rPr>
                <w:rFonts w:cs="Calibri"/>
                <w:noProof w:val="0"/>
                <w:color w:val="FFFFFF"/>
                <w:szCs w:val="16"/>
              </w:rPr>
            </w:pPr>
          </w:p>
        </w:tc>
        <w:tc>
          <w:tcPr>
            <w:tcW w:w="2719" w:type="dxa"/>
            <w:shd w:val="clear" w:color="auto" w:fill="365F91"/>
            <w:vAlign w:val="bottom"/>
          </w:tcPr>
          <w:p w14:paraId="69B03350" w14:textId="77777777" w:rsidR="00F849A7" w:rsidRPr="00D9348B" w:rsidRDefault="00F849A7" w:rsidP="00DB330E">
            <w:pPr>
              <w:pStyle w:val="TableTextBold"/>
              <w:jc w:val="center"/>
              <w:rPr>
                <w:rFonts w:cs="Calibri"/>
                <w:noProof w:val="0"/>
                <w:color w:val="FFFFFF"/>
                <w:szCs w:val="16"/>
              </w:rPr>
            </w:pPr>
            <w:r w:rsidRPr="00D9348B">
              <w:rPr>
                <w:rFonts w:cs="Calibri"/>
                <w:noProof w:val="0"/>
                <w:color w:val="FFFFFF"/>
                <w:szCs w:val="16"/>
              </w:rPr>
              <w:t>Dairy cattle</w:t>
            </w:r>
            <w:r w:rsidRPr="00D9348B">
              <w:rPr>
                <w:rFonts w:cs="Calibri"/>
                <w:noProof w:val="0"/>
                <w:color w:val="FFFFFF"/>
                <w:szCs w:val="16"/>
              </w:rPr>
              <w:br/>
              <w:t>(kg CH</w:t>
            </w:r>
            <w:r w:rsidRPr="00D9348B">
              <w:rPr>
                <w:rFonts w:cs="Calibri"/>
                <w:noProof w:val="0"/>
                <w:color w:val="FFFFFF"/>
                <w:szCs w:val="16"/>
                <w:vertAlign w:val="subscript"/>
              </w:rPr>
              <w:t>4</w:t>
            </w:r>
            <w:r w:rsidRPr="00D9348B">
              <w:rPr>
                <w:rFonts w:cs="Calibri"/>
                <w:noProof w:val="0"/>
                <w:color w:val="FFFFFF"/>
                <w:szCs w:val="16"/>
              </w:rPr>
              <w:t>/head/year)</w:t>
            </w:r>
          </w:p>
        </w:tc>
        <w:tc>
          <w:tcPr>
            <w:tcW w:w="1487" w:type="dxa"/>
            <w:shd w:val="clear" w:color="auto" w:fill="365F91"/>
            <w:vAlign w:val="bottom"/>
          </w:tcPr>
          <w:p w14:paraId="27AD8431" w14:textId="77777777" w:rsidR="00F849A7" w:rsidRPr="00D9348B" w:rsidRDefault="00F849A7" w:rsidP="00DB330E">
            <w:pPr>
              <w:pStyle w:val="TableTextBold"/>
              <w:jc w:val="center"/>
              <w:rPr>
                <w:rFonts w:cs="Calibri"/>
                <w:noProof w:val="0"/>
                <w:color w:val="FFFFFF"/>
                <w:szCs w:val="16"/>
              </w:rPr>
            </w:pPr>
            <w:r w:rsidRPr="00D9348B">
              <w:rPr>
                <w:rFonts w:cs="Calibri"/>
                <w:noProof w:val="0"/>
                <w:color w:val="FFFFFF"/>
                <w:szCs w:val="16"/>
              </w:rPr>
              <w:t>Non-dairy cattle</w:t>
            </w:r>
            <w:r w:rsidRPr="00D9348B">
              <w:rPr>
                <w:rFonts w:cs="Calibri"/>
                <w:noProof w:val="0"/>
                <w:color w:val="FFFFFF"/>
                <w:szCs w:val="16"/>
              </w:rPr>
              <w:br/>
              <w:t>(kg CH</w:t>
            </w:r>
            <w:r w:rsidRPr="00D9348B">
              <w:rPr>
                <w:rFonts w:cs="Calibri"/>
                <w:noProof w:val="0"/>
                <w:color w:val="FFFFFF"/>
                <w:szCs w:val="16"/>
                <w:vertAlign w:val="subscript"/>
              </w:rPr>
              <w:t>4</w:t>
            </w:r>
            <w:r w:rsidRPr="00D9348B">
              <w:rPr>
                <w:rFonts w:cs="Calibri"/>
                <w:noProof w:val="0"/>
                <w:color w:val="FFFFFF"/>
                <w:szCs w:val="16"/>
              </w:rPr>
              <w:t>/head/year)</w:t>
            </w:r>
          </w:p>
        </w:tc>
        <w:tc>
          <w:tcPr>
            <w:tcW w:w="1487" w:type="dxa"/>
            <w:shd w:val="clear" w:color="auto" w:fill="365F91"/>
            <w:vAlign w:val="bottom"/>
          </w:tcPr>
          <w:p w14:paraId="46B51681" w14:textId="77777777" w:rsidR="00F849A7" w:rsidRPr="00D9348B" w:rsidRDefault="00F849A7" w:rsidP="00DB330E">
            <w:pPr>
              <w:pStyle w:val="TableTextBold"/>
              <w:jc w:val="center"/>
              <w:rPr>
                <w:rFonts w:cs="Calibri"/>
                <w:noProof w:val="0"/>
                <w:color w:val="FFFFFF"/>
                <w:szCs w:val="16"/>
              </w:rPr>
            </w:pPr>
            <w:r w:rsidRPr="00D9348B">
              <w:rPr>
                <w:rFonts w:cs="Calibri"/>
                <w:noProof w:val="0"/>
                <w:color w:val="FFFFFF"/>
                <w:szCs w:val="16"/>
              </w:rPr>
              <w:t>Sheep</w:t>
            </w:r>
            <w:r w:rsidRPr="00D9348B">
              <w:rPr>
                <w:rFonts w:cs="Calibri"/>
                <w:noProof w:val="0"/>
                <w:color w:val="FFFFFF"/>
                <w:szCs w:val="16"/>
              </w:rPr>
              <w:br/>
              <w:t>(kg CH</w:t>
            </w:r>
            <w:r w:rsidRPr="00D9348B">
              <w:rPr>
                <w:rFonts w:cs="Calibri"/>
                <w:noProof w:val="0"/>
                <w:color w:val="FFFFFF"/>
                <w:szCs w:val="16"/>
                <w:vertAlign w:val="subscript"/>
              </w:rPr>
              <w:t>4</w:t>
            </w:r>
            <w:r w:rsidRPr="00D9348B">
              <w:rPr>
                <w:rFonts w:cs="Calibri"/>
                <w:noProof w:val="0"/>
                <w:color w:val="FFFFFF"/>
                <w:szCs w:val="16"/>
              </w:rPr>
              <w:t>/head/year)</w:t>
            </w:r>
          </w:p>
        </w:tc>
      </w:tr>
      <w:tr w:rsidR="00F849A7" w:rsidRPr="00D9348B" w14:paraId="61ED560F" w14:textId="77777777" w:rsidTr="002D13B7">
        <w:trPr>
          <w:trHeight w:val="248"/>
        </w:trPr>
        <w:tc>
          <w:tcPr>
            <w:tcW w:w="2812" w:type="dxa"/>
          </w:tcPr>
          <w:p w14:paraId="5CA5A0B9" w14:textId="77777777" w:rsidR="00F849A7" w:rsidRPr="00D9348B" w:rsidRDefault="00F849A7" w:rsidP="00DB330E">
            <w:pPr>
              <w:pStyle w:val="TableText"/>
              <w:rPr>
                <w:rFonts w:cs="Calibri"/>
                <w:szCs w:val="16"/>
              </w:rPr>
            </w:pPr>
            <w:r w:rsidRPr="00D9348B">
              <w:rPr>
                <w:rFonts w:cs="Calibri"/>
                <w:szCs w:val="16"/>
              </w:rPr>
              <w:t>IPCC (2006) Tier 1 Oceania default value</w:t>
            </w:r>
          </w:p>
        </w:tc>
        <w:tc>
          <w:tcPr>
            <w:tcW w:w="2719" w:type="dxa"/>
          </w:tcPr>
          <w:p w14:paraId="5913CED8" w14:textId="77777777" w:rsidR="00F849A7" w:rsidRPr="00D9348B" w:rsidRDefault="00F849A7" w:rsidP="00DB330E">
            <w:pPr>
              <w:pStyle w:val="TableText"/>
              <w:jc w:val="center"/>
              <w:rPr>
                <w:rFonts w:cs="Calibri"/>
                <w:szCs w:val="16"/>
              </w:rPr>
            </w:pPr>
            <w:r w:rsidRPr="00D9348B">
              <w:rPr>
                <w:rFonts w:cs="Calibri"/>
                <w:szCs w:val="16"/>
              </w:rPr>
              <w:t>90.0</w:t>
            </w:r>
          </w:p>
        </w:tc>
        <w:tc>
          <w:tcPr>
            <w:tcW w:w="1487" w:type="dxa"/>
          </w:tcPr>
          <w:p w14:paraId="67F3150D" w14:textId="77777777" w:rsidR="00F849A7" w:rsidRPr="00D9348B" w:rsidRDefault="00F849A7" w:rsidP="00DB330E">
            <w:pPr>
              <w:pStyle w:val="TableText"/>
              <w:jc w:val="center"/>
              <w:rPr>
                <w:rFonts w:cs="Calibri"/>
                <w:szCs w:val="16"/>
              </w:rPr>
            </w:pPr>
            <w:r w:rsidRPr="00D9348B">
              <w:rPr>
                <w:rFonts w:cs="Calibri"/>
                <w:szCs w:val="16"/>
              </w:rPr>
              <w:t>60.0</w:t>
            </w:r>
          </w:p>
        </w:tc>
        <w:tc>
          <w:tcPr>
            <w:tcW w:w="1487" w:type="dxa"/>
          </w:tcPr>
          <w:p w14:paraId="737B72BB" w14:textId="77777777" w:rsidR="00F849A7" w:rsidRPr="00D9348B" w:rsidRDefault="00F849A7" w:rsidP="00DB330E">
            <w:pPr>
              <w:pStyle w:val="TableText"/>
              <w:jc w:val="center"/>
              <w:rPr>
                <w:rFonts w:cs="Calibri"/>
                <w:szCs w:val="16"/>
              </w:rPr>
            </w:pPr>
            <w:r w:rsidRPr="00D9348B">
              <w:rPr>
                <w:rFonts w:cs="Calibri"/>
                <w:szCs w:val="16"/>
              </w:rPr>
              <w:t>8.0</w:t>
            </w:r>
          </w:p>
        </w:tc>
      </w:tr>
      <w:tr w:rsidR="00F849A7" w:rsidRPr="00D9348B" w14:paraId="1AF13D35" w14:textId="77777777" w:rsidTr="002D13B7">
        <w:trPr>
          <w:trHeight w:val="248"/>
        </w:trPr>
        <w:tc>
          <w:tcPr>
            <w:tcW w:w="2812" w:type="dxa"/>
            <w:shd w:val="clear" w:color="auto" w:fill="auto"/>
          </w:tcPr>
          <w:p w14:paraId="690B6D77" w14:textId="77777777" w:rsidR="00F849A7" w:rsidRPr="00D9348B" w:rsidRDefault="00F849A7" w:rsidP="00DB330E">
            <w:pPr>
              <w:pStyle w:val="TableText"/>
              <w:rPr>
                <w:rFonts w:cs="Calibri"/>
                <w:szCs w:val="16"/>
              </w:rPr>
            </w:pPr>
            <w:r w:rsidRPr="00D9348B">
              <w:rPr>
                <w:rFonts w:cs="Calibri"/>
                <w:szCs w:val="16"/>
              </w:rPr>
              <w:t>IPCC (2006) Tier 2 net energy-based value</w:t>
            </w:r>
          </w:p>
        </w:tc>
        <w:tc>
          <w:tcPr>
            <w:tcW w:w="2719" w:type="dxa"/>
            <w:shd w:val="clear" w:color="auto" w:fill="auto"/>
          </w:tcPr>
          <w:p w14:paraId="76735D45" w14:textId="77777777" w:rsidR="00F849A7" w:rsidRPr="00D9348B" w:rsidRDefault="00F849A7" w:rsidP="00DB330E">
            <w:pPr>
              <w:pStyle w:val="TableText"/>
              <w:jc w:val="center"/>
              <w:rPr>
                <w:rFonts w:cs="Calibri"/>
                <w:szCs w:val="16"/>
              </w:rPr>
            </w:pPr>
            <w:r w:rsidRPr="00D9348B">
              <w:rPr>
                <w:rFonts w:cs="Calibri"/>
                <w:szCs w:val="16"/>
              </w:rPr>
              <w:t>72.5</w:t>
            </w:r>
          </w:p>
        </w:tc>
        <w:tc>
          <w:tcPr>
            <w:tcW w:w="1487" w:type="dxa"/>
            <w:shd w:val="clear" w:color="auto" w:fill="auto"/>
          </w:tcPr>
          <w:p w14:paraId="42CE279D" w14:textId="77777777" w:rsidR="00F849A7" w:rsidRPr="00D9348B" w:rsidRDefault="00F849A7" w:rsidP="00DB330E">
            <w:pPr>
              <w:pStyle w:val="TableText"/>
              <w:jc w:val="center"/>
              <w:rPr>
                <w:rFonts w:cs="Calibri"/>
                <w:szCs w:val="16"/>
              </w:rPr>
            </w:pPr>
            <w:r w:rsidRPr="00D9348B">
              <w:rPr>
                <w:rFonts w:cs="Calibri"/>
                <w:szCs w:val="16"/>
              </w:rPr>
              <w:t>51.6</w:t>
            </w:r>
          </w:p>
        </w:tc>
        <w:tc>
          <w:tcPr>
            <w:tcW w:w="1487" w:type="dxa"/>
            <w:shd w:val="clear" w:color="auto" w:fill="auto"/>
          </w:tcPr>
          <w:p w14:paraId="79D27C23" w14:textId="77777777" w:rsidR="00F849A7" w:rsidRPr="00D9348B" w:rsidRDefault="00F849A7" w:rsidP="00DB330E">
            <w:pPr>
              <w:pStyle w:val="TableText"/>
              <w:jc w:val="center"/>
              <w:rPr>
                <w:rFonts w:cs="Calibri"/>
                <w:szCs w:val="16"/>
              </w:rPr>
            </w:pPr>
            <w:r w:rsidRPr="00D9348B">
              <w:rPr>
                <w:rFonts w:cs="Calibri"/>
                <w:szCs w:val="16"/>
              </w:rPr>
              <w:t>8.9</w:t>
            </w:r>
          </w:p>
        </w:tc>
      </w:tr>
      <w:tr w:rsidR="00F849A7" w:rsidRPr="00D9348B" w14:paraId="0E83ECEF" w14:textId="77777777" w:rsidTr="002D13B7">
        <w:trPr>
          <w:trHeight w:val="455"/>
        </w:trPr>
        <w:tc>
          <w:tcPr>
            <w:tcW w:w="2812" w:type="dxa"/>
          </w:tcPr>
          <w:p w14:paraId="33C5E2B6" w14:textId="77777777" w:rsidR="00F849A7" w:rsidRPr="00D9348B" w:rsidRDefault="00F849A7" w:rsidP="00DB330E">
            <w:pPr>
              <w:pStyle w:val="TableText"/>
              <w:rPr>
                <w:rFonts w:cs="Calibri"/>
                <w:szCs w:val="16"/>
              </w:rPr>
            </w:pPr>
            <w:r w:rsidRPr="00D9348B">
              <w:rPr>
                <w:rFonts w:cs="Calibri"/>
                <w:szCs w:val="16"/>
              </w:rPr>
              <w:t>Australian-specific IEF 2017 value</w:t>
            </w:r>
            <w:r w:rsidRPr="00D9348B">
              <w:rPr>
                <w:rStyle w:val="FootnoteReference"/>
                <w:rFonts w:cs="Calibri"/>
                <w:sz w:val="16"/>
                <w:szCs w:val="16"/>
              </w:rPr>
              <w:footnoteReference w:id="47"/>
            </w:r>
          </w:p>
        </w:tc>
        <w:tc>
          <w:tcPr>
            <w:tcW w:w="2719" w:type="dxa"/>
          </w:tcPr>
          <w:p w14:paraId="49972C65" w14:textId="77777777" w:rsidR="00F849A7" w:rsidRPr="00D9348B" w:rsidRDefault="00F849A7" w:rsidP="00DB330E">
            <w:pPr>
              <w:pStyle w:val="TableText"/>
              <w:jc w:val="center"/>
              <w:rPr>
                <w:rFonts w:cs="Calibri"/>
                <w:szCs w:val="16"/>
              </w:rPr>
            </w:pPr>
            <w:r w:rsidRPr="00D9348B">
              <w:rPr>
                <w:rFonts w:cs="Calibri"/>
                <w:szCs w:val="16"/>
              </w:rPr>
              <w:t>92.0</w:t>
            </w:r>
          </w:p>
        </w:tc>
        <w:tc>
          <w:tcPr>
            <w:tcW w:w="1487" w:type="dxa"/>
          </w:tcPr>
          <w:p w14:paraId="478EF515" w14:textId="77777777" w:rsidR="00F849A7" w:rsidRPr="00D9348B" w:rsidRDefault="00F849A7" w:rsidP="00DB330E">
            <w:pPr>
              <w:pStyle w:val="TableText"/>
              <w:spacing w:after="0"/>
              <w:jc w:val="center"/>
              <w:rPr>
                <w:rFonts w:cs="Calibri"/>
                <w:szCs w:val="16"/>
              </w:rPr>
            </w:pPr>
            <w:r w:rsidRPr="00D9348B">
              <w:rPr>
                <w:rFonts w:cs="Calibri"/>
                <w:szCs w:val="16"/>
              </w:rPr>
              <w:t>51.2 (pasture)</w:t>
            </w:r>
          </w:p>
          <w:p w14:paraId="525D1107" w14:textId="77777777" w:rsidR="00F849A7" w:rsidRPr="00D9348B" w:rsidRDefault="00F849A7" w:rsidP="00DB330E">
            <w:pPr>
              <w:pStyle w:val="TableText"/>
              <w:jc w:val="center"/>
              <w:rPr>
                <w:rFonts w:cs="Calibri"/>
                <w:szCs w:val="16"/>
              </w:rPr>
            </w:pPr>
            <w:r w:rsidRPr="00D9348B">
              <w:rPr>
                <w:rFonts w:cs="Calibri"/>
                <w:szCs w:val="16"/>
              </w:rPr>
              <w:t>67.6 (feedlot)</w:t>
            </w:r>
          </w:p>
        </w:tc>
        <w:tc>
          <w:tcPr>
            <w:tcW w:w="1487" w:type="dxa"/>
          </w:tcPr>
          <w:p w14:paraId="576310AF" w14:textId="77777777" w:rsidR="00F849A7" w:rsidRPr="00D9348B" w:rsidRDefault="00F849A7" w:rsidP="00DB330E">
            <w:pPr>
              <w:pStyle w:val="TableText"/>
              <w:jc w:val="center"/>
              <w:rPr>
                <w:rFonts w:cs="Calibri"/>
                <w:szCs w:val="16"/>
              </w:rPr>
            </w:pPr>
            <w:r w:rsidRPr="00D9348B">
              <w:rPr>
                <w:rFonts w:cs="Calibri"/>
                <w:szCs w:val="16"/>
              </w:rPr>
              <w:t>6.7</w:t>
            </w:r>
          </w:p>
        </w:tc>
      </w:tr>
      <w:tr w:rsidR="00F849A7" w:rsidRPr="00D9348B" w14:paraId="6CD7B136" w14:textId="77777777" w:rsidTr="002D13B7">
        <w:trPr>
          <w:trHeight w:val="36"/>
        </w:trPr>
        <w:tc>
          <w:tcPr>
            <w:tcW w:w="2812" w:type="dxa"/>
          </w:tcPr>
          <w:p w14:paraId="76253AC1" w14:textId="77777777" w:rsidR="00F849A7" w:rsidRPr="00D9348B" w:rsidRDefault="00F849A7" w:rsidP="00DB330E">
            <w:pPr>
              <w:pStyle w:val="TableText"/>
              <w:rPr>
                <w:rFonts w:cs="Calibri"/>
                <w:szCs w:val="16"/>
              </w:rPr>
            </w:pPr>
            <w:r w:rsidRPr="00D9348B">
              <w:rPr>
                <w:rFonts w:cs="Calibri"/>
                <w:szCs w:val="16"/>
              </w:rPr>
              <w:t>New Zealand-specific IEF 2018 value</w:t>
            </w:r>
          </w:p>
        </w:tc>
        <w:tc>
          <w:tcPr>
            <w:tcW w:w="2719" w:type="dxa"/>
          </w:tcPr>
          <w:p w14:paraId="0D4BE538" w14:textId="77777777" w:rsidR="00F849A7" w:rsidRPr="00D9348B" w:rsidRDefault="00F849A7" w:rsidP="00DB330E">
            <w:pPr>
              <w:pStyle w:val="TableText"/>
              <w:spacing w:after="0"/>
              <w:jc w:val="center"/>
              <w:rPr>
                <w:rFonts w:cs="Calibri"/>
                <w:szCs w:val="16"/>
              </w:rPr>
            </w:pPr>
            <w:r w:rsidRPr="00D9348B">
              <w:rPr>
                <w:rFonts w:cs="Calibri"/>
                <w:szCs w:val="16"/>
              </w:rPr>
              <w:t>85.3 (all dairy cattle, including calves)</w:t>
            </w:r>
          </w:p>
          <w:p w14:paraId="33A5466C" w14:textId="77777777" w:rsidR="00F849A7" w:rsidRPr="00D9348B" w:rsidRDefault="00F849A7" w:rsidP="00DB330E">
            <w:pPr>
              <w:pStyle w:val="TableText"/>
              <w:jc w:val="center"/>
              <w:rPr>
                <w:rFonts w:cs="Calibri"/>
                <w:szCs w:val="16"/>
              </w:rPr>
            </w:pPr>
            <w:r w:rsidRPr="00D9348B">
              <w:rPr>
                <w:rFonts w:cs="Calibri"/>
                <w:szCs w:val="16"/>
              </w:rPr>
              <w:t>93.2 (mature milking cattle only)</w:t>
            </w:r>
          </w:p>
        </w:tc>
        <w:tc>
          <w:tcPr>
            <w:tcW w:w="1487" w:type="dxa"/>
          </w:tcPr>
          <w:p w14:paraId="668B7619" w14:textId="77777777" w:rsidR="00F849A7" w:rsidRPr="00D9348B" w:rsidRDefault="00F849A7" w:rsidP="00DB330E">
            <w:pPr>
              <w:pStyle w:val="TableText"/>
              <w:jc w:val="center"/>
              <w:rPr>
                <w:rFonts w:cs="Calibri"/>
                <w:szCs w:val="16"/>
              </w:rPr>
            </w:pPr>
            <w:r w:rsidRPr="00D9348B">
              <w:rPr>
                <w:rFonts w:cs="Calibri"/>
                <w:szCs w:val="16"/>
              </w:rPr>
              <w:t>58.1</w:t>
            </w:r>
          </w:p>
        </w:tc>
        <w:tc>
          <w:tcPr>
            <w:tcW w:w="1487" w:type="dxa"/>
          </w:tcPr>
          <w:p w14:paraId="0F3E8742" w14:textId="77777777" w:rsidR="00F849A7" w:rsidRPr="00D9348B" w:rsidDel="00176609" w:rsidRDefault="00F849A7" w:rsidP="00DB330E">
            <w:pPr>
              <w:pStyle w:val="TableText"/>
              <w:jc w:val="center"/>
              <w:rPr>
                <w:rFonts w:cs="Calibri"/>
                <w:szCs w:val="16"/>
              </w:rPr>
            </w:pPr>
            <w:r w:rsidRPr="00D9348B">
              <w:rPr>
                <w:rFonts w:cs="Calibri"/>
                <w:szCs w:val="16"/>
              </w:rPr>
              <w:t>12.3</w:t>
            </w:r>
          </w:p>
        </w:tc>
      </w:tr>
    </w:tbl>
    <w:p w14:paraId="29B65456" w14:textId="77777777" w:rsidR="00F849A7" w:rsidRPr="00D9348B" w:rsidRDefault="00F849A7" w:rsidP="00F849A7">
      <w:pPr>
        <w:pStyle w:val="Noteundertable"/>
        <w:rPr>
          <w:rFonts w:cs="Calibri"/>
        </w:rPr>
      </w:pPr>
      <w:r w:rsidRPr="00D9348B">
        <w:rPr>
          <w:rFonts w:cs="Calibri"/>
          <w:b/>
          <w:bCs/>
        </w:rPr>
        <w:t xml:space="preserve">Note: </w:t>
      </w:r>
      <w:r w:rsidRPr="00D9348B">
        <w:rPr>
          <w:rFonts w:cs="Calibri"/>
          <w:b/>
        </w:rPr>
        <w:tab/>
      </w:r>
      <w:r w:rsidRPr="00D9348B">
        <w:rPr>
          <w:rFonts w:cs="Calibri"/>
        </w:rPr>
        <w:t>The IPCC (2006) value for sheep is for developed countries.</w:t>
      </w:r>
    </w:p>
    <w:p w14:paraId="52CE3A7D" w14:textId="77777777" w:rsidR="00F849A7" w:rsidRPr="00D9348B" w:rsidRDefault="00F849A7" w:rsidP="00F849A7">
      <w:pPr>
        <w:pStyle w:val="BodyText"/>
        <w:rPr>
          <w:rFonts w:cs="Calibri"/>
        </w:rPr>
      </w:pPr>
      <w:r w:rsidRPr="00D9348B">
        <w:rPr>
          <w:rFonts w:cs="Calibri"/>
          <w:b/>
          <w:bCs/>
          <w:i/>
          <w:iCs/>
        </w:rPr>
        <w:t>Dairy cattle:</w:t>
      </w:r>
      <w:r w:rsidRPr="00D9348B">
        <w:rPr>
          <w:rFonts w:cs="Calibri"/>
        </w:rPr>
        <w:t xml:space="preserve"> New Zealand’s 2018 IEF for all dairy cattle, excluding mature milking cattle, is lower than the IPCC Tier 1 Oceania default value and the Australian-specific IEF. New Zealand’s 2018 IEF for mature milking cattle is higher than the IPCC Tier 1 Oceania default value and the 2017 Australian-specific IEF.</w:t>
      </w:r>
    </w:p>
    <w:p w14:paraId="4CA69FAE" w14:textId="77777777" w:rsidR="00F849A7" w:rsidRPr="00D9348B" w:rsidRDefault="00F849A7" w:rsidP="00F849A7">
      <w:pPr>
        <w:pStyle w:val="BodyText"/>
        <w:rPr>
          <w:rFonts w:cs="Calibri"/>
        </w:rPr>
      </w:pPr>
      <w:r w:rsidRPr="00D9348B">
        <w:rPr>
          <w:rFonts w:cs="Calibri"/>
        </w:rPr>
        <w:t xml:space="preserve">Although the predominantly pasture-based system in New Zealand is similar to Australian dairy cattle management, the lower IEF value could be explained by New Zealand’s higher proportion of lighter (by liveweight) cattle breeds. The 2017 Australian dairy herd comprised 70 per cent Holstein–Friesian; other breeds include Jersey, Brown Swiss, Ayrshire, the Australian Red and the Illawarra (AUSTREX, 2020). In 2018, 48 per cent of New Zealand’s cow population comprised a Holstein–Friesian/Jersey crossbreed, 33 per cent are Holstein–Friesian and 9 per cent are Jersey (LIC and DairyNZ, 2019). </w:t>
      </w:r>
    </w:p>
    <w:p w14:paraId="2F48C0FC" w14:textId="77777777" w:rsidR="00F849A7" w:rsidRPr="00D9348B" w:rsidRDefault="00F849A7" w:rsidP="00F849A7">
      <w:pPr>
        <w:pStyle w:val="BodyText"/>
        <w:rPr>
          <w:rFonts w:cs="Calibri"/>
          <w:spacing w:val="-2"/>
        </w:rPr>
      </w:pPr>
      <w:r w:rsidRPr="00D9348B">
        <w:rPr>
          <w:rFonts w:cs="Calibri"/>
          <w:spacing w:val="-2"/>
        </w:rPr>
        <w:t>In New Zealand’s Tier 2 inventory model, dairy cattle encompass all cattle that are required to support the milking dairy herd. This includes calves, young growing non</w:t>
      </w:r>
      <w:r w:rsidRPr="00D9348B">
        <w:rPr>
          <w:rFonts w:cs="Calibri"/>
          <w:spacing w:val="-2"/>
        </w:rPr>
        <w:noBreakHyphen/>
        <w:t xml:space="preserve">lactating heifers, dry cows and bulls. Because the emissions from these animals are included in the IEF calculations, the IEF will be lower than if only mature milking cows had been taken into account. </w:t>
      </w:r>
    </w:p>
    <w:p w14:paraId="1520572B" w14:textId="77777777" w:rsidR="00F849A7" w:rsidRPr="00D9348B" w:rsidRDefault="00F849A7" w:rsidP="00F849A7">
      <w:pPr>
        <w:pStyle w:val="BodyText"/>
        <w:rPr>
          <w:rFonts w:cs="Calibri"/>
        </w:rPr>
      </w:pPr>
      <w:r w:rsidRPr="00D9348B">
        <w:rPr>
          <w:rFonts w:cs="Calibri"/>
        </w:rPr>
        <w:t>New Zealand’s dairy 2018 IEF is higher than the IPCC Tier 2 net energy-based value because the feeding algorithms within New Zealand’s national inventory use New Zealand-specific activity data and methodology that better reflect the pastoral-based farming systems in New Zealand.</w:t>
      </w:r>
    </w:p>
    <w:p w14:paraId="14BCDB60" w14:textId="77777777" w:rsidR="00F849A7" w:rsidRPr="00D9348B" w:rsidRDefault="00F849A7" w:rsidP="00F849A7">
      <w:pPr>
        <w:pStyle w:val="BodyText"/>
        <w:rPr>
          <w:rFonts w:cs="Calibri"/>
        </w:rPr>
      </w:pPr>
      <w:r w:rsidRPr="00D9348B">
        <w:rPr>
          <w:rFonts w:cs="Calibri"/>
          <w:b/>
          <w:bCs/>
          <w:i/>
          <w:iCs/>
        </w:rPr>
        <w:t>Non-dairy cattle:</w:t>
      </w:r>
      <w:r w:rsidRPr="00D9348B">
        <w:rPr>
          <w:rFonts w:cs="Calibri"/>
        </w:rPr>
        <w:t xml:space="preserve"> The New Zealand-specific 2018 IEF for non-dairy cattle is similar to the IPCC Tier 1 Oceania default value but greater than the IPCC Tier 2 net energy-based value. Differences such as feed type and quality, breed and which animals are characterised as non</w:t>
      </w:r>
      <w:r w:rsidRPr="00D9348B">
        <w:rPr>
          <w:rFonts w:cs="Calibri"/>
        </w:rPr>
        <w:noBreakHyphen/>
        <w:t>dairy will influence the IEFs. As explained for dairy cattle above, the main difference between the IPCC Tier 2 value and the New Zealand-specific value (apart from the different energy equations determining them) is that the feeding algorithms within New Zealand’s national inventory use New Zealand-specific activity data and methodology that better reflect New Zealand’s pastoral-based farming systems.</w:t>
      </w:r>
    </w:p>
    <w:p w14:paraId="2C38A1AE" w14:textId="363CFEA8" w:rsidR="00F849A7" w:rsidRPr="00D9348B" w:rsidRDefault="00F849A7" w:rsidP="00F849A7">
      <w:pPr>
        <w:pStyle w:val="BodyText"/>
        <w:keepLines/>
        <w:rPr>
          <w:rFonts w:cs="Calibri"/>
        </w:rPr>
      </w:pPr>
      <w:r w:rsidRPr="00D9348B">
        <w:rPr>
          <w:rFonts w:cs="Calibri"/>
          <w:b/>
          <w:bCs/>
          <w:i/>
          <w:iCs/>
        </w:rPr>
        <w:lastRenderedPageBreak/>
        <w:t>Sheep:</w:t>
      </w:r>
      <w:r w:rsidRPr="00D9348B">
        <w:rPr>
          <w:rFonts w:cs="Calibri"/>
        </w:rPr>
        <w:t xml:space="preserve"> New Zealand’s 2018 IEF for sheep is higher than the IPCC Tier 1 default value and higher than the 2017 Australian-specific IEF. This is because the annual sheep population figure used to calculate the IEF is based on the June population, in winter. This count excludes</w:t>
      </w:r>
      <w:r w:rsidR="006B44DA" w:rsidRPr="00D9348B">
        <w:rPr>
          <w:rFonts w:cs="Calibri"/>
        </w:rPr>
        <w:t> </w:t>
      </w:r>
      <w:r w:rsidRPr="00D9348B">
        <w:rPr>
          <w:rFonts w:cs="Calibri"/>
        </w:rPr>
        <w:t>the majority of the lamb population, born in spring (August–September) and raised and slaughtered during summer and early autumn (February, March and April). New Zealand does take lambs into account when determining annual enteric CH</w:t>
      </w:r>
      <w:r w:rsidRPr="00D9348B">
        <w:rPr>
          <w:rFonts w:cs="Calibri"/>
          <w:vertAlign w:val="subscript"/>
        </w:rPr>
        <w:t>4</w:t>
      </w:r>
      <w:r w:rsidRPr="00D9348B">
        <w:rPr>
          <w:rFonts w:cs="Calibri"/>
        </w:rPr>
        <w:t xml:space="preserve"> emissions because emissions are calculated on a monthly basis, but it does not include the lamb population when</w:t>
      </w:r>
      <w:r w:rsidR="006B44DA" w:rsidRPr="00D9348B">
        <w:rPr>
          <w:rFonts w:cs="Calibri"/>
        </w:rPr>
        <w:t> </w:t>
      </w:r>
      <w:r w:rsidRPr="00D9348B">
        <w:rPr>
          <w:rFonts w:cs="Calibri"/>
        </w:rPr>
        <w:t>estimating the IEF. This results in the 2018 calculated sheep IEF being higher than the IPCC default IEF. The IPCC Tier 2 net energy-based sheep IEF is lower than New Zealand’s-specific 2018 sheep IEF. The difference can be explained by the same rationale as put forward for cattle.</w:t>
      </w:r>
    </w:p>
    <w:p w14:paraId="139F65B5" w14:textId="77777777" w:rsidR="00F849A7" w:rsidRPr="00D9348B" w:rsidRDefault="00F849A7" w:rsidP="00F849A7">
      <w:pPr>
        <w:pStyle w:val="Heading3"/>
        <w:spacing w:before="320"/>
        <w:rPr>
          <w:rFonts w:cs="Calibri"/>
        </w:rPr>
      </w:pPr>
      <w:bookmarkStart w:id="689" w:name="_Toc139253921"/>
      <w:bookmarkStart w:id="690" w:name="_Toc32570655"/>
      <w:r w:rsidRPr="00D9348B">
        <w:rPr>
          <w:rFonts w:cs="Calibri"/>
        </w:rPr>
        <w:t>5.2.5</w:t>
      </w:r>
      <w:r w:rsidRPr="00D9348B">
        <w:rPr>
          <w:rFonts w:cs="Calibri"/>
        </w:rPr>
        <w:tab/>
        <w:t>Source-specific recalculations</w:t>
      </w:r>
      <w:bookmarkEnd w:id="689"/>
      <w:bookmarkEnd w:id="690"/>
    </w:p>
    <w:p w14:paraId="650D8DE5" w14:textId="77777777" w:rsidR="00F849A7" w:rsidRPr="00D9348B" w:rsidRDefault="00F849A7" w:rsidP="00F849A7">
      <w:pPr>
        <w:pStyle w:val="BodyText"/>
        <w:rPr>
          <w:rFonts w:cs="Calibri"/>
        </w:rPr>
      </w:pPr>
      <w:bookmarkStart w:id="691" w:name="_Toc139253922"/>
      <w:r w:rsidRPr="00D9348B">
        <w:rPr>
          <w:rFonts w:cs="Calibri"/>
        </w:rPr>
        <w:t xml:space="preserve">Emissions estimates in the </w:t>
      </w:r>
      <w:proofErr w:type="gramStart"/>
      <w:r w:rsidRPr="00D9348B">
        <w:rPr>
          <w:rFonts w:cs="Calibri"/>
          <w:i/>
          <w:iCs/>
        </w:rPr>
        <w:t>Enteric</w:t>
      </w:r>
      <w:proofErr w:type="gramEnd"/>
      <w:r w:rsidRPr="00D9348B">
        <w:rPr>
          <w:rFonts w:cs="Calibri"/>
          <w:i/>
          <w:iCs/>
        </w:rPr>
        <w:t xml:space="preserve"> fermentation</w:t>
      </w:r>
      <w:r w:rsidRPr="00D9348B">
        <w:rPr>
          <w:rFonts w:cs="Calibri"/>
        </w:rPr>
        <w:t xml:space="preserve"> category have been affected by the following methodological improvements and corrections.</w:t>
      </w:r>
    </w:p>
    <w:p w14:paraId="54096C6C" w14:textId="39D09544" w:rsidR="00F849A7" w:rsidRPr="00D9348B" w:rsidRDefault="00F849A7" w:rsidP="00771A8F">
      <w:pPr>
        <w:pStyle w:val="Bullet"/>
        <w:numPr>
          <w:ilvl w:val="0"/>
          <w:numId w:val="20"/>
        </w:numPr>
        <w:rPr>
          <w:rFonts w:cs="Calibri"/>
        </w:rPr>
      </w:pPr>
      <w:r w:rsidRPr="00D9348B">
        <w:rPr>
          <w:rFonts w:cs="Calibri"/>
        </w:rPr>
        <w:t>Minor improvements were made to the equations used to estimate energy efficiency for</w:t>
      </w:r>
      <w:r w:rsidR="006B44DA" w:rsidRPr="00D9348B">
        <w:rPr>
          <w:rFonts w:cs="Calibri"/>
        </w:rPr>
        <w:t> </w:t>
      </w:r>
      <w:r w:rsidRPr="00D9348B">
        <w:rPr>
          <w:rFonts w:cs="Calibri"/>
        </w:rPr>
        <w:t>maintenance (k</w:t>
      </w:r>
      <w:r w:rsidRPr="00D9348B">
        <w:rPr>
          <w:rFonts w:cs="Calibri"/>
          <w:vertAlign w:val="subscript"/>
        </w:rPr>
        <w:t>m</w:t>
      </w:r>
      <w:r w:rsidRPr="00D9348B">
        <w:rPr>
          <w:rFonts w:cs="Calibri"/>
        </w:rPr>
        <w:t>) for beef cattle, sheep and deer, which are used to help calculate energy requirements and intake and, subsequently, have an effect on manure management emissions from cattle, sheep and deer. This change had a small effect on estimated emissions and included the specification of a constant to more significant figures and reverting to the IPCC default value for the gross energy content of feed of 18.45 MJ/kg dry matter.</w:t>
      </w:r>
    </w:p>
    <w:p w14:paraId="08914A19" w14:textId="2FA22273" w:rsidR="00F849A7" w:rsidRPr="00D9348B" w:rsidRDefault="00F849A7" w:rsidP="00F849A7">
      <w:pPr>
        <w:pStyle w:val="BodyText"/>
        <w:rPr>
          <w:rFonts w:cs="Calibri"/>
        </w:rPr>
      </w:pPr>
      <w:r w:rsidRPr="00D9348B">
        <w:rPr>
          <w:rFonts w:cs="Calibri"/>
        </w:rPr>
        <w:t xml:space="preserve">All activity data were updated with the latest available data: Statistics New Zealand table builder and Infoshare database (Statistics New Zealand, 2020) and LIC statistics (LIC and DairyNZ, 2019). </w:t>
      </w:r>
    </w:p>
    <w:p w14:paraId="48D452E9" w14:textId="64B6B72A" w:rsidR="00F849A7" w:rsidRPr="00D9348B" w:rsidRDefault="00F849A7" w:rsidP="00F849A7">
      <w:pPr>
        <w:pStyle w:val="Table"/>
        <w:rPr>
          <w:rFonts w:cs="Calibri"/>
        </w:rPr>
      </w:pPr>
      <w:bookmarkStart w:id="692" w:name="_Toc32570918"/>
      <w:bookmarkStart w:id="693" w:name="_Toc36224553"/>
      <w:r w:rsidRPr="00D9348B">
        <w:rPr>
          <w:rFonts w:cs="Calibri"/>
        </w:rPr>
        <w:t xml:space="preserve">Table 5.2.6 </w:t>
      </w:r>
      <w:r w:rsidRPr="00D9348B">
        <w:rPr>
          <w:rFonts w:cs="Calibri"/>
        </w:rPr>
        <w:tab/>
        <w:t>Comparison of current and previous methane emissions estimates before and after</w:t>
      </w:r>
      <w:r w:rsidR="002F6E5E" w:rsidRPr="00D9348B">
        <w:rPr>
          <w:rFonts w:cs="Calibri"/>
        </w:rPr>
        <w:t> </w:t>
      </w:r>
      <w:r w:rsidRPr="00D9348B">
        <w:rPr>
          <w:rFonts w:cs="Calibri"/>
        </w:rPr>
        <w:t>changes to</w:t>
      </w:r>
      <w:r w:rsidR="002F6E5E" w:rsidRPr="00D9348B">
        <w:rPr>
          <w:rFonts w:cs="Calibri"/>
        </w:rPr>
        <w:t> </w:t>
      </w:r>
      <w:r w:rsidRPr="00D9348B">
        <w:rPr>
          <w:rFonts w:cs="Calibri"/>
        </w:rPr>
        <w:t>energy efficiency for maintenance (k</w:t>
      </w:r>
      <w:r w:rsidRPr="00D9348B">
        <w:rPr>
          <w:rFonts w:cs="Calibri"/>
          <w:vertAlign w:val="subscript"/>
        </w:rPr>
        <w:t>m</w:t>
      </w:r>
      <w:r w:rsidRPr="00D9348B">
        <w:rPr>
          <w:rFonts w:cs="Calibri"/>
        </w:rPr>
        <w:t>) equation, for enteric fermentation</w:t>
      </w:r>
      <w:bookmarkEnd w:id="692"/>
      <w:bookmarkEnd w:id="693"/>
    </w:p>
    <w:tbl>
      <w:tblPr>
        <w:tblW w:w="8505" w:type="dxa"/>
        <w:tblInd w:w="108" w:type="dxa"/>
        <w:tblLook w:val="04A0" w:firstRow="1" w:lastRow="0" w:firstColumn="1" w:lastColumn="0" w:noHBand="0" w:noVBand="1"/>
      </w:tblPr>
      <w:tblGrid>
        <w:gridCol w:w="1243"/>
        <w:gridCol w:w="2447"/>
        <w:gridCol w:w="908"/>
        <w:gridCol w:w="852"/>
        <w:gridCol w:w="1507"/>
        <w:gridCol w:w="1548"/>
      </w:tblGrid>
      <w:tr w:rsidR="006B44DA" w:rsidRPr="00D9348B" w14:paraId="149A61D5" w14:textId="77777777" w:rsidTr="00D201C9">
        <w:trPr>
          <w:trHeight w:val="1096"/>
        </w:trPr>
        <w:tc>
          <w:tcPr>
            <w:tcW w:w="1242" w:type="dxa"/>
            <w:tcBorders>
              <w:top w:val="single" w:sz="4" w:space="0" w:color="365F91"/>
              <w:left w:val="nil"/>
              <w:bottom w:val="nil"/>
              <w:right w:val="nil"/>
            </w:tcBorders>
            <w:shd w:val="clear" w:color="000000" w:fill="365F91"/>
            <w:vAlign w:val="bottom"/>
            <w:hideMark/>
          </w:tcPr>
          <w:p w14:paraId="147D8678" w14:textId="77777777" w:rsidR="00F849A7" w:rsidRPr="00D9348B" w:rsidRDefault="00F849A7" w:rsidP="00DB330E">
            <w:pPr>
              <w:pStyle w:val="TableTextBold"/>
              <w:rPr>
                <w:rFonts w:cs="Calibri"/>
                <w:noProof w:val="0"/>
                <w:color w:val="FFFFFF"/>
              </w:rPr>
            </w:pPr>
            <w:r w:rsidRPr="00D9348B">
              <w:rPr>
                <w:rFonts w:cs="Calibri"/>
                <w:noProof w:val="0"/>
                <w:color w:val="FFFFFF"/>
              </w:rPr>
              <w:t xml:space="preserve">Emissions </w:t>
            </w:r>
          </w:p>
        </w:tc>
        <w:tc>
          <w:tcPr>
            <w:tcW w:w="2444" w:type="dxa"/>
            <w:vMerge w:val="restart"/>
            <w:tcBorders>
              <w:top w:val="single" w:sz="4" w:space="0" w:color="365F91"/>
              <w:left w:val="nil"/>
              <w:bottom w:val="single" w:sz="8" w:space="0" w:color="365F91"/>
              <w:right w:val="nil"/>
            </w:tcBorders>
            <w:shd w:val="clear" w:color="000000" w:fill="365F91"/>
            <w:vAlign w:val="bottom"/>
            <w:hideMark/>
          </w:tcPr>
          <w:p w14:paraId="2E9C6A8F" w14:textId="77777777" w:rsidR="00F849A7" w:rsidRPr="00D9348B" w:rsidRDefault="00F849A7" w:rsidP="00DB330E">
            <w:pPr>
              <w:pStyle w:val="TableTextBold"/>
              <w:rPr>
                <w:rFonts w:cs="Calibri"/>
                <w:noProof w:val="0"/>
                <w:color w:val="FFFFFF"/>
              </w:rPr>
            </w:pPr>
            <w:r w:rsidRPr="00D9348B">
              <w:rPr>
                <w:rFonts w:cs="Calibri"/>
                <w:noProof w:val="0"/>
                <w:color w:val="FFFFFF"/>
              </w:rPr>
              <w:t> </w:t>
            </w:r>
          </w:p>
        </w:tc>
        <w:tc>
          <w:tcPr>
            <w:tcW w:w="907" w:type="dxa"/>
            <w:vMerge w:val="restart"/>
            <w:tcBorders>
              <w:top w:val="single" w:sz="4" w:space="0" w:color="365F91"/>
              <w:left w:val="nil"/>
              <w:bottom w:val="single" w:sz="8" w:space="0" w:color="365F91"/>
              <w:right w:val="nil"/>
            </w:tcBorders>
            <w:shd w:val="clear" w:color="000000" w:fill="365F91"/>
            <w:vAlign w:val="bottom"/>
            <w:hideMark/>
          </w:tcPr>
          <w:p w14:paraId="41B0B5EF" w14:textId="77777777" w:rsidR="00F849A7" w:rsidRPr="00D9348B" w:rsidRDefault="00F849A7" w:rsidP="00DB330E">
            <w:pPr>
              <w:pStyle w:val="TableTextBold"/>
              <w:jc w:val="center"/>
              <w:rPr>
                <w:rFonts w:cs="Calibri"/>
                <w:noProof w:val="0"/>
                <w:color w:val="FFFFFF"/>
              </w:rPr>
            </w:pPr>
            <w:r w:rsidRPr="00D9348B">
              <w:rPr>
                <w:rFonts w:cs="Calibri"/>
                <w:noProof w:val="0"/>
                <w:color w:val="FFFFFF"/>
              </w:rPr>
              <w:t>1990</w:t>
            </w:r>
          </w:p>
        </w:tc>
        <w:tc>
          <w:tcPr>
            <w:tcW w:w="851" w:type="dxa"/>
            <w:vMerge w:val="restart"/>
            <w:tcBorders>
              <w:top w:val="single" w:sz="4" w:space="0" w:color="365F91"/>
              <w:left w:val="nil"/>
              <w:bottom w:val="single" w:sz="8" w:space="0" w:color="365F91"/>
              <w:right w:val="nil"/>
            </w:tcBorders>
            <w:shd w:val="clear" w:color="000000" w:fill="365F91"/>
            <w:vAlign w:val="bottom"/>
            <w:hideMark/>
          </w:tcPr>
          <w:p w14:paraId="33405E54" w14:textId="77777777" w:rsidR="00F849A7" w:rsidRPr="00D9348B" w:rsidRDefault="00F849A7" w:rsidP="00DB330E">
            <w:pPr>
              <w:pStyle w:val="TableTextBold"/>
              <w:jc w:val="center"/>
              <w:rPr>
                <w:rFonts w:cs="Calibri"/>
                <w:noProof w:val="0"/>
                <w:color w:val="FFFFFF"/>
              </w:rPr>
            </w:pPr>
            <w:r w:rsidRPr="00D9348B">
              <w:rPr>
                <w:rFonts w:cs="Calibri"/>
                <w:noProof w:val="0"/>
                <w:color w:val="FFFFFF"/>
              </w:rPr>
              <w:t>2018</w:t>
            </w:r>
          </w:p>
        </w:tc>
        <w:tc>
          <w:tcPr>
            <w:tcW w:w="1505" w:type="dxa"/>
            <w:tcBorders>
              <w:top w:val="single" w:sz="4" w:space="0" w:color="365F91"/>
              <w:left w:val="nil"/>
              <w:bottom w:val="nil"/>
              <w:right w:val="nil"/>
            </w:tcBorders>
            <w:shd w:val="clear" w:color="000000" w:fill="365F91"/>
            <w:vAlign w:val="bottom"/>
            <w:hideMark/>
          </w:tcPr>
          <w:p w14:paraId="476F8173" w14:textId="77777777" w:rsidR="00F849A7" w:rsidRPr="00D9348B" w:rsidRDefault="00F849A7" w:rsidP="00DB330E">
            <w:pPr>
              <w:pStyle w:val="TableTextBold"/>
              <w:jc w:val="center"/>
              <w:rPr>
                <w:rFonts w:cs="Calibri"/>
                <w:noProof w:val="0"/>
                <w:color w:val="FFFFFF"/>
              </w:rPr>
            </w:pPr>
            <w:r w:rsidRPr="00D9348B">
              <w:rPr>
                <w:rFonts w:cs="Calibri"/>
                <w:noProof w:val="0"/>
                <w:color w:val="FFFFFF"/>
              </w:rPr>
              <w:t>Change in emissions outputs between 1990 and 2018</w:t>
            </w:r>
          </w:p>
        </w:tc>
        <w:tc>
          <w:tcPr>
            <w:tcW w:w="1546" w:type="dxa"/>
            <w:vMerge w:val="restart"/>
            <w:tcBorders>
              <w:top w:val="single" w:sz="4" w:space="0" w:color="365F91"/>
              <w:left w:val="nil"/>
              <w:bottom w:val="single" w:sz="8" w:space="0" w:color="365F91"/>
              <w:right w:val="nil"/>
            </w:tcBorders>
            <w:shd w:val="clear" w:color="000000" w:fill="365F91"/>
            <w:vAlign w:val="bottom"/>
            <w:hideMark/>
          </w:tcPr>
          <w:p w14:paraId="1BC5F6D1" w14:textId="77777777" w:rsidR="00F849A7" w:rsidRPr="00D9348B" w:rsidRDefault="00F849A7" w:rsidP="00DB330E">
            <w:pPr>
              <w:pStyle w:val="TableTextBold"/>
              <w:jc w:val="center"/>
              <w:rPr>
                <w:rFonts w:cs="Calibri"/>
                <w:noProof w:val="0"/>
                <w:color w:val="FFFFFF"/>
              </w:rPr>
            </w:pPr>
            <w:r w:rsidRPr="00D9348B">
              <w:rPr>
                <w:rFonts w:cs="Calibri"/>
                <w:noProof w:val="0"/>
                <w:color w:val="FFFFFF"/>
              </w:rPr>
              <w:t>Percentage change in emissions outputs between 1990 and 2018</w:t>
            </w:r>
          </w:p>
        </w:tc>
      </w:tr>
      <w:tr w:rsidR="00F849A7" w:rsidRPr="00D9348B" w14:paraId="3C9CD0A6" w14:textId="77777777" w:rsidTr="00D201C9">
        <w:trPr>
          <w:trHeight w:val="307"/>
        </w:trPr>
        <w:tc>
          <w:tcPr>
            <w:tcW w:w="1242" w:type="dxa"/>
            <w:tcBorders>
              <w:top w:val="nil"/>
              <w:left w:val="nil"/>
              <w:bottom w:val="single" w:sz="8" w:space="0" w:color="365F91"/>
              <w:right w:val="nil"/>
            </w:tcBorders>
            <w:shd w:val="clear" w:color="000000" w:fill="365F91"/>
            <w:vAlign w:val="center"/>
            <w:hideMark/>
          </w:tcPr>
          <w:p w14:paraId="01A7DACF" w14:textId="77777777" w:rsidR="00F849A7" w:rsidRPr="00D9348B" w:rsidRDefault="00F849A7" w:rsidP="00DB330E">
            <w:pPr>
              <w:pStyle w:val="TableTextBold"/>
              <w:rPr>
                <w:rFonts w:cs="Calibri"/>
                <w:noProof w:val="0"/>
                <w:color w:val="FFFFFF"/>
              </w:rPr>
            </w:pPr>
            <w:r w:rsidRPr="00D9348B">
              <w:rPr>
                <w:rFonts w:cs="Calibri"/>
                <w:noProof w:val="0"/>
                <w:color w:val="FFFFFF"/>
              </w:rPr>
              <w:t>(kt CO</w:t>
            </w:r>
            <w:r w:rsidRPr="00D9348B">
              <w:rPr>
                <w:rFonts w:cs="Calibri"/>
                <w:noProof w:val="0"/>
                <w:color w:val="FFFFFF"/>
                <w:vertAlign w:val="subscript"/>
              </w:rPr>
              <w:t>2</w:t>
            </w:r>
            <w:r w:rsidRPr="00D9348B">
              <w:rPr>
                <w:rFonts w:cs="Calibri"/>
                <w:noProof w:val="0"/>
                <w:color w:val="FFFFFF"/>
              </w:rPr>
              <w:t>-e)</w:t>
            </w:r>
          </w:p>
        </w:tc>
        <w:tc>
          <w:tcPr>
            <w:tcW w:w="2444" w:type="dxa"/>
            <w:vMerge/>
            <w:tcBorders>
              <w:top w:val="single" w:sz="8" w:space="0" w:color="365F91"/>
              <w:left w:val="nil"/>
              <w:bottom w:val="single" w:sz="4" w:space="0" w:color="365F91"/>
              <w:right w:val="nil"/>
            </w:tcBorders>
            <w:vAlign w:val="center"/>
            <w:hideMark/>
          </w:tcPr>
          <w:p w14:paraId="1F81F40B" w14:textId="77777777" w:rsidR="00F849A7" w:rsidRPr="00D9348B" w:rsidRDefault="00F849A7" w:rsidP="00DB330E">
            <w:pPr>
              <w:pStyle w:val="TableTextBold"/>
              <w:rPr>
                <w:rFonts w:cs="Calibri"/>
                <w:noProof w:val="0"/>
                <w:color w:val="FFFFFF"/>
              </w:rPr>
            </w:pPr>
          </w:p>
        </w:tc>
        <w:tc>
          <w:tcPr>
            <w:tcW w:w="907" w:type="dxa"/>
            <w:vMerge/>
            <w:tcBorders>
              <w:top w:val="single" w:sz="8" w:space="0" w:color="365F91"/>
              <w:left w:val="nil"/>
              <w:bottom w:val="single" w:sz="4" w:space="0" w:color="365F91"/>
              <w:right w:val="nil"/>
            </w:tcBorders>
            <w:vAlign w:val="center"/>
            <w:hideMark/>
          </w:tcPr>
          <w:p w14:paraId="577C105B" w14:textId="77777777" w:rsidR="00F849A7" w:rsidRPr="00D9348B" w:rsidRDefault="00F849A7" w:rsidP="00DB330E">
            <w:pPr>
              <w:pStyle w:val="TableTextBold"/>
              <w:rPr>
                <w:rFonts w:cs="Calibri"/>
                <w:noProof w:val="0"/>
                <w:color w:val="FFFFFF"/>
              </w:rPr>
            </w:pPr>
          </w:p>
        </w:tc>
        <w:tc>
          <w:tcPr>
            <w:tcW w:w="851" w:type="dxa"/>
            <w:vMerge/>
            <w:tcBorders>
              <w:top w:val="single" w:sz="8" w:space="0" w:color="365F91"/>
              <w:left w:val="nil"/>
              <w:bottom w:val="single" w:sz="4" w:space="0" w:color="365F91"/>
              <w:right w:val="nil"/>
            </w:tcBorders>
            <w:vAlign w:val="center"/>
            <w:hideMark/>
          </w:tcPr>
          <w:p w14:paraId="4D8C478A" w14:textId="77777777" w:rsidR="00F849A7" w:rsidRPr="00D9348B" w:rsidRDefault="00F849A7" w:rsidP="00DB330E">
            <w:pPr>
              <w:pStyle w:val="TableTextBold"/>
              <w:rPr>
                <w:rFonts w:cs="Calibri"/>
                <w:noProof w:val="0"/>
                <w:color w:val="FFFFFF"/>
              </w:rPr>
            </w:pPr>
          </w:p>
        </w:tc>
        <w:tc>
          <w:tcPr>
            <w:tcW w:w="1505" w:type="dxa"/>
            <w:tcBorders>
              <w:top w:val="nil"/>
              <w:left w:val="nil"/>
              <w:bottom w:val="single" w:sz="4" w:space="0" w:color="365F91"/>
              <w:right w:val="nil"/>
            </w:tcBorders>
            <w:shd w:val="clear" w:color="000000" w:fill="365F91"/>
            <w:vAlign w:val="center"/>
            <w:hideMark/>
          </w:tcPr>
          <w:p w14:paraId="19A15E70" w14:textId="77777777" w:rsidR="00F849A7" w:rsidRPr="00D9348B" w:rsidRDefault="00F849A7" w:rsidP="00DB330E">
            <w:pPr>
              <w:pStyle w:val="TableTextBold"/>
              <w:jc w:val="center"/>
              <w:rPr>
                <w:rFonts w:cs="Calibri"/>
                <w:noProof w:val="0"/>
                <w:color w:val="FFFFFF"/>
              </w:rPr>
            </w:pPr>
            <w:r w:rsidRPr="00D9348B">
              <w:rPr>
                <w:rFonts w:cs="Calibri"/>
                <w:noProof w:val="0"/>
                <w:color w:val="FFFFFF"/>
              </w:rPr>
              <w:t>(kt CO</w:t>
            </w:r>
            <w:r w:rsidRPr="00D9348B">
              <w:rPr>
                <w:rFonts w:cs="Calibri"/>
                <w:noProof w:val="0"/>
                <w:color w:val="FFFFFF"/>
                <w:vertAlign w:val="subscript"/>
              </w:rPr>
              <w:t>2</w:t>
            </w:r>
            <w:r w:rsidRPr="00D9348B">
              <w:rPr>
                <w:rFonts w:cs="Calibri"/>
                <w:noProof w:val="0"/>
                <w:color w:val="FFFFFF"/>
              </w:rPr>
              <w:t>-e)</w:t>
            </w:r>
          </w:p>
        </w:tc>
        <w:tc>
          <w:tcPr>
            <w:tcW w:w="1546" w:type="dxa"/>
            <w:vMerge/>
            <w:tcBorders>
              <w:top w:val="single" w:sz="8" w:space="0" w:color="365F91"/>
              <w:left w:val="nil"/>
              <w:bottom w:val="single" w:sz="4" w:space="0" w:color="365F91"/>
              <w:right w:val="nil"/>
            </w:tcBorders>
            <w:vAlign w:val="center"/>
            <w:hideMark/>
          </w:tcPr>
          <w:p w14:paraId="5EB0B857" w14:textId="77777777" w:rsidR="00F849A7" w:rsidRPr="00D9348B" w:rsidRDefault="00F849A7" w:rsidP="00DB330E">
            <w:pPr>
              <w:pStyle w:val="TableTextBold"/>
              <w:rPr>
                <w:rFonts w:cs="Calibri"/>
                <w:noProof w:val="0"/>
                <w:color w:val="FFFFFF"/>
              </w:rPr>
            </w:pPr>
          </w:p>
        </w:tc>
      </w:tr>
      <w:tr w:rsidR="00F849A7" w:rsidRPr="00D9348B" w14:paraId="0284B8EE" w14:textId="77777777" w:rsidTr="00D201C9">
        <w:tc>
          <w:tcPr>
            <w:tcW w:w="1242" w:type="dxa"/>
            <w:vMerge w:val="restart"/>
            <w:tcBorders>
              <w:top w:val="nil"/>
              <w:left w:val="nil"/>
              <w:bottom w:val="single" w:sz="8" w:space="0" w:color="365F91"/>
              <w:right w:val="nil"/>
            </w:tcBorders>
            <w:shd w:val="clear" w:color="auto" w:fill="auto"/>
            <w:vAlign w:val="center"/>
            <w:hideMark/>
          </w:tcPr>
          <w:p w14:paraId="66FD517C" w14:textId="77777777" w:rsidR="00F849A7" w:rsidRPr="00D9348B" w:rsidRDefault="00F849A7" w:rsidP="00DB330E">
            <w:pPr>
              <w:pStyle w:val="TableText"/>
              <w:rPr>
                <w:rFonts w:cs="Calibri"/>
              </w:rPr>
            </w:pPr>
            <w:r w:rsidRPr="00D9348B">
              <w:rPr>
                <w:rFonts w:cs="Calibri"/>
              </w:rPr>
              <w:t>Total emissions from Enteric fermentation (kt CO</w:t>
            </w:r>
            <w:r w:rsidRPr="00D9348B">
              <w:rPr>
                <w:rFonts w:cs="Calibri"/>
                <w:vertAlign w:val="subscript"/>
              </w:rPr>
              <w:t>2</w:t>
            </w:r>
            <w:r w:rsidRPr="00D9348B">
              <w:rPr>
                <w:rFonts w:cs="Calibri"/>
              </w:rPr>
              <w:t>-e)</w:t>
            </w:r>
          </w:p>
        </w:tc>
        <w:tc>
          <w:tcPr>
            <w:tcW w:w="2444" w:type="dxa"/>
            <w:tcBorders>
              <w:top w:val="single" w:sz="4" w:space="0" w:color="365F91"/>
              <w:left w:val="nil"/>
              <w:bottom w:val="single" w:sz="4" w:space="0" w:color="365F91"/>
              <w:right w:val="nil"/>
            </w:tcBorders>
            <w:shd w:val="clear" w:color="auto" w:fill="auto"/>
            <w:vAlign w:val="center"/>
            <w:hideMark/>
          </w:tcPr>
          <w:p w14:paraId="1F2BF271" w14:textId="77777777" w:rsidR="00F849A7" w:rsidRPr="00D9348B" w:rsidRDefault="00F849A7" w:rsidP="00DB330E">
            <w:pPr>
              <w:pStyle w:val="TableText"/>
              <w:rPr>
                <w:rFonts w:cs="Calibri"/>
              </w:rPr>
            </w:pPr>
            <w:r w:rsidRPr="00D9348B">
              <w:rPr>
                <w:rFonts w:cs="Calibri"/>
              </w:rPr>
              <w:t>2020 (1990–2018) emissions estimate using previous k</w:t>
            </w:r>
            <w:r w:rsidRPr="00D9348B">
              <w:rPr>
                <w:rFonts w:cs="Calibri"/>
                <w:vertAlign w:val="subscript"/>
              </w:rPr>
              <w:t>m</w:t>
            </w:r>
            <w:r w:rsidRPr="00D9348B">
              <w:rPr>
                <w:rFonts w:cs="Calibri"/>
              </w:rPr>
              <w:t xml:space="preserve"> equation specification</w:t>
            </w:r>
          </w:p>
        </w:tc>
        <w:tc>
          <w:tcPr>
            <w:tcW w:w="907" w:type="dxa"/>
            <w:tcBorders>
              <w:top w:val="single" w:sz="4" w:space="0" w:color="365F91"/>
              <w:left w:val="nil"/>
              <w:bottom w:val="single" w:sz="4" w:space="0" w:color="365F91"/>
              <w:right w:val="nil"/>
            </w:tcBorders>
            <w:shd w:val="clear" w:color="auto" w:fill="auto"/>
            <w:hideMark/>
          </w:tcPr>
          <w:p w14:paraId="74009E35" w14:textId="77777777" w:rsidR="00F849A7" w:rsidRPr="00D9348B" w:rsidRDefault="00F849A7" w:rsidP="00DB330E">
            <w:pPr>
              <w:pStyle w:val="TableText"/>
              <w:jc w:val="center"/>
              <w:rPr>
                <w:rFonts w:cs="Calibri"/>
              </w:rPr>
            </w:pPr>
            <w:r w:rsidRPr="00D9348B">
              <w:rPr>
                <w:rFonts w:cs="Calibri"/>
              </w:rPr>
              <w:t>26,569.8</w:t>
            </w:r>
          </w:p>
        </w:tc>
        <w:tc>
          <w:tcPr>
            <w:tcW w:w="851" w:type="dxa"/>
            <w:tcBorders>
              <w:top w:val="single" w:sz="4" w:space="0" w:color="365F91"/>
              <w:left w:val="nil"/>
              <w:bottom w:val="single" w:sz="4" w:space="0" w:color="365F91"/>
              <w:right w:val="nil"/>
            </w:tcBorders>
            <w:shd w:val="clear" w:color="auto" w:fill="auto"/>
            <w:hideMark/>
          </w:tcPr>
          <w:p w14:paraId="56C24A31" w14:textId="77777777" w:rsidR="00F849A7" w:rsidRPr="00D9348B" w:rsidRDefault="00F849A7" w:rsidP="00DB330E">
            <w:pPr>
              <w:pStyle w:val="TableText"/>
              <w:jc w:val="center"/>
              <w:rPr>
                <w:rFonts w:cs="Calibri"/>
              </w:rPr>
            </w:pPr>
            <w:r w:rsidRPr="00D9348B">
              <w:rPr>
                <w:rFonts w:cs="Calibri"/>
              </w:rPr>
              <w:t>27,950.3</w:t>
            </w:r>
          </w:p>
        </w:tc>
        <w:tc>
          <w:tcPr>
            <w:tcW w:w="1505" w:type="dxa"/>
            <w:tcBorders>
              <w:top w:val="single" w:sz="4" w:space="0" w:color="365F91"/>
              <w:left w:val="nil"/>
              <w:bottom w:val="single" w:sz="4" w:space="0" w:color="365F91"/>
              <w:right w:val="nil"/>
            </w:tcBorders>
            <w:shd w:val="clear" w:color="auto" w:fill="auto"/>
            <w:hideMark/>
          </w:tcPr>
          <w:p w14:paraId="76A52C37" w14:textId="77777777" w:rsidR="00F849A7" w:rsidRPr="00D9348B" w:rsidRDefault="00F849A7" w:rsidP="00DB330E">
            <w:pPr>
              <w:pStyle w:val="TableText"/>
              <w:jc w:val="center"/>
              <w:rPr>
                <w:rFonts w:cs="Calibri"/>
              </w:rPr>
            </w:pPr>
            <w:r w:rsidRPr="00D9348B">
              <w:rPr>
                <w:rFonts w:cs="Calibri"/>
              </w:rPr>
              <w:t>1,380.5</w:t>
            </w:r>
          </w:p>
        </w:tc>
        <w:tc>
          <w:tcPr>
            <w:tcW w:w="1546" w:type="dxa"/>
            <w:tcBorders>
              <w:top w:val="single" w:sz="4" w:space="0" w:color="365F91"/>
              <w:left w:val="nil"/>
              <w:bottom w:val="single" w:sz="4" w:space="0" w:color="365F91"/>
              <w:right w:val="nil"/>
            </w:tcBorders>
            <w:shd w:val="clear" w:color="auto" w:fill="auto"/>
            <w:hideMark/>
          </w:tcPr>
          <w:p w14:paraId="399E21D5" w14:textId="77777777" w:rsidR="00F849A7" w:rsidRPr="00D9348B" w:rsidRDefault="00F849A7" w:rsidP="00DB330E">
            <w:pPr>
              <w:pStyle w:val="TableText"/>
              <w:jc w:val="center"/>
              <w:rPr>
                <w:rFonts w:cs="Calibri"/>
              </w:rPr>
            </w:pPr>
            <w:r w:rsidRPr="00D9348B">
              <w:rPr>
                <w:rFonts w:cs="Calibri"/>
              </w:rPr>
              <w:t>5.2</w:t>
            </w:r>
          </w:p>
        </w:tc>
      </w:tr>
      <w:tr w:rsidR="00F849A7" w:rsidRPr="00D9348B" w14:paraId="320DE7D1" w14:textId="77777777" w:rsidTr="00D201C9">
        <w:tc>
          <w:tcPr>
            <w:tcW w:w="1242" w:type="dxa"/>
            <w:vMerge/>
            <w:tcBorders>
              <w:top w:val="nil"/>
              <w:left w:val="nil"/>
              <w:bottom w:val="single" w:sz="8" w:space="0" w:color="365F91"/>
              <w:right w:val="nil"/>
            </w:tcBorders>
            <w:vAlign w:val="center"/>
            <w:hideMark/>
          </w:tcPr>
          <w:p w14:paraId="38B7400E" w14:textId="77777777" w:rsidR="00F849A7" w:rsidRPr="00D9348B" w:rsidRDefault="00F849A7" w:rsidP="00DB330E">
            <w:pPr>
              <w:pStyle w:val="TableText"/>
              <w:rPr>
                <w:rFonts w:cs="Calibri"/>
              </w:rPr>
            </w:pPr>
          </w:p>
        </w:tc>
        <w:tc>
          <w:tcPr>
            <w:tcW w:w="2444" w:type="dxa"/>
            <w:tcBorders>
              <w:top w:val="single" w:sz="4" w:space="0" w:color="365F91"/>
              <w:left w:val="nil"/>
              <w:bottom w:val="single" w:sz="4" w:space="0" w:color="365F91"/>
              <w:right w:val="nil"/>
            </w:tcBorders>
            <w:shd w:val="clear" w:color="auto" w:fill="auto"/>
            <w:vAlign w:val="center"/>
            <w:hideMark/>
          </w:tcPr>
          <w:p w14:paraId="69211867" w14:textId="77777777" w:rsidR="00F849A7" w:rsidRPr="00D9348B" w:rsidRDefault="00F849A7" w:rsidP="00DB330E">
            <w:pPr>
              <w:pStyle w:val="TableText"/>
              <w:rPr>
                <w:rFonts w:cs="Calibri"/>
              </w:rPr>
            </w:pPr>
            <w:r w:rsidRPr="00D9348B">
              <w:rPr>
                <w:rFonts w:cs="Calibri"/>
              </w:rPr>
              <w:t>2020 (1990–2018) emissions estimate using new k</w:t>
            </w:r>
            <w:r w:rsidRPr="00D9348B">
              <w:rPr>
                <w:rFonts w:cs="Calibri"/>
                <w:vertAlign w:val="subscript"/>
              </w:rPr>
              <w:t>m</w:t>
            </w:r>
            <w:r w:rsidRPr="00D9348B">
              <w:rPr>
                <w:rFonts w:cs="Calibri"/>
              </w:rPr>
              <w:t xml:space="preserve"> equation specification</w:t>
            </w:r>
          </w:p>
        </w:tc>
        <w:tc>
          <w:tcPr>
            <w:tcW w:w="907" w:type="dxa"/>
            <w:tcBorders>
              <w:top w:val="single" w:sz="4" w:space="0" w:color="365F91"/>
              <w:left w:val="nil"/>
              <w:bottom w:val="single" w:sz="4" w:space="0" w:color="365F91"/>
              <w:right w:val="nil"/>
            </w:tcBorders>
            <w:shd w:val="clear" w:color="auto" w:fill="auto"/>
            <w:hideMark/>
          </w:tcPr>
          <w:p w14:paraId="35B2048E" w14:textId="77777777" w:rsidR="00F849A7" w:rsidRPr="00D9348B" w:rsidRDefault="00F849A7" w:rsidP="00DB330E">
            <w:pPr>
              <w:pStyle w:val="TableText"/>
              <w:jc w:val="center"/>
              <w:rPr>
                <w:rFonts w:cs="Calibri"/>
              </w:rPr>
            </w:pPr>
            <w:r w:rsidRPr="00D9348B">
              <w:rPr>
                <w:rFonts w:cs="Calibri"/>
              </w:rPr>
              <w:t>26,548.9</w:t>
            </w:r>
          </w:p>
        </w:tc>
        <w:tc>
          <w:tcPr>
            <w:tcW w:w="851" w:type="dxa"/>
            <w:tcBorders>
              <w:top w:val="single" w:sz="4" w:space="0" w:color="365F91"/>
              <w:left w:val="nil"/>
              <w:bottom w:val="single" w:sz="4" w:space="0" w:color="365F91"/>
              <w:right w:val="nil"/>
            </w:tcBorders>
            <w:shd w:val="clear" w:color="auto" w:fill="auto"/>
            <w:hideMark/>
          </w:tcPr>
          <w:p w14:paraId="09658CF6" w14:textId="77777777" w:rsidR="00F849A7" w:rsidRPr="00D9348B" w:rsidRDefault="00F849A7" w:rsidP="00DB330E">
            <w:pPr>
              <w:pStyle w:val="TableText"/>
              <w:jc w:val="center"/>
              <w:rPr>
                <w:rFonts w:cs="Calibri"/>
              </w:rPr>
            </w:pPr>
            <w:r w:rsidRPr="00D9348B">
              <w:rPr>
                <w:rFonts w:cs="Calibri"/>
              </w:rPr>
              <w:t>27,939.0</w:t>
            </w:r>
          </w:p>
        </w:tc>
        <w:tc>
          <w:tcPr>
            <w:tcW w:w="1505" w:type="dxa"/>
            <w:tcBorders>
              <w:top w:val="single" w:sz="4" w:space="0" w:color="365F91"/>
              <w:left w:val="nil"/>
              <w:bottom w:val="single" w:sz="4" w:space="0" w:color="365F91"/>
              <w:right w:val="nil"/>
            </w:tcBorders>
            <w:shd w:val="clear" w:color="auto" w:fill="auto"/>
            <w:hideMark/>
          </w:tcPr>
          <w:p w14:paraId="17DD76E3" w14:textId="77777777" w:rsidR="00F849A7" w:rsidRPr="00D9348B" w:rsidRDefault="00F849A7" w:rsidP="00DB330E">
            <w:pPr>
              <w:pStyle w:val="TableText"/>
              <w:jc w:val="center"/>
              <w:rPr>
                <w:rFonts w:cs="Calibri"/>
              </w:rPr>
            </w:pPr>
            <w:r w:rsidRPr="00D9348B">
              <w:rPr>
                <w:rFonts w:cs="Calibri"/>
              </w:rPr>
              <w:t>1,390.0</w:t>
            </w:r>
          </w:p>
        </w:tc>
        <w:tc>
          <w:tcPr>
            <w:tcW w:w="1546" w:type="dxa"/>
            <w:tcBorders>
              <w:top w:val="single" w:sz="4" w:space="0" w:color="365F91"/>
              <w:left w:val="nil"/>
              <w:bottom w:val="single" w:sz="4" w:space="0" w:color="365F91"/>
              <w:right w:val="nil"/>
            </w:tcBorders>
            <w:shd w:val="clear" w:color="auto" w:fill="auto"/>
            <w:hideMark/>
          </w:tcPr>
          <w:p w14:paraId="26269AD0" w14:textId="77777777" w:rsidR="00F849A7" w:rsidRPr="00D9348B" w:rsidRDefault="00F849A7" w:rsidP="00DB330E">
            <w:pPr>
              <w:pStyle w:val="TableText"/>
              <w:jc w:val="center"/>
              <w:rPr>
                <w:rFonts w:cs="Calibri"/>
              </w:rPr>
            </w:pPr>
            <w:r w:rsidRPr="00D9348B">
              <w:rPr>
                <w:rFonts w:cs="Calibri"/>
              </w:rPr>
              <w:t>5.2</w:t>
            </w:r>
          </w:p>
        </w:tc>
      </w:tr>
      <w:tr w:rsidR="00F849A7" w:rsidRPr="00D9348B" w14:paraId="7A31D8D9" w14:textId="77777777" w:rsidTr="00D201C9">
        <w:tc>
          <w:tcPr>
            <w:tcW w:w="1242" w:type="dxa"/>
            <w:vMerge/>
            <w:tcBorders>
              <w:top w:val="nil"/>
              <w:left w:val="nil"/>
              <w:bottom w:val="single" w:sz="8" w:space="0" w:color="365F91"/>
              <w:right w:val="nil"/>
            </w:tcBorders>
            <w:vAlign w:val="center"/>
            <w:hideMark/>
          </w:tcPr>
          <w:p w14:paraId="5A8316FD" w14:textId="77777777" w:rsidR="00F849A7" w:rsidRPr="00D9348B" w:rsidRDefault="00F849A7" w:rsidP="00DB330E">
            <w:pPr>
              <w:pStyle w:val="TableText"/>
              <w:rPr>
                <w:rFonts w:cs="Calibri"/>
              </w:rPr>
            </w:pPr>
          </w:p>
        </w:tc>
        <w:tc>
          <w:tcPr>
            <w:tcW w:w="2444" w:type="dxa"/>
            <w:tcBorders>
              <w:top w:val="single" w:sz="4" w:space="0" w:color="365F91"/>
              <w:left w:val="nil"/>
              <w:bottom w:val="single" w:sz="4" w:space="0" w:color="365F91"/>
              <w:right w:val="nil"/>
            </w:tcBorders>
            <w:shd w:val="clear" w:color="auto" w:fill="auto"/>
            <w:vAlign w:val="center"/>
            <w:hideMark/>
          </w:tcPr>
          <w:p w14:paraId="7215CE7C" w14:textId="77777777" w:rsidR="00F849A7" w:rsidRPr="00D9348B" w:rsidRDefault="00F849A7" w:rsidP="00DB330E">
            <w:pPr>
              <w:pStyle w:val="TableText"/>
              <w:rPr>
                <w:rFonts w:cs="Calibri"/>
              </w:rPr>
            </w:pPr>
            <w:r w:rsidRPr="00D9348B">
              <w:rPr>
                <w:rFonts w:cs="Calibri"/>
              </w:rPr>
              <w:t>Difference in emission estimates compared with current inventory</w:t>
            </w:r>
          </w:p>
        </w:tc>
        <w:tc>
          <w:tcPr>
            <w:tcW w:w="907" w:type="dxa"/>
            <w:tcBorders>
              <w:top w:val="single" w:sz="4" w:space="0" w:color="365F91"/>
              <w:left w:val="nil"/>
              <w:bottom w:val="single" w:sz="4" w:space="0" w:color="365F91"/>
              <w:right w:val="nil"/>
            </w:tcBorders>
            <w:shd w:val="clear" w:color="auto" w:fill="auto"/>
            <w:hideMark/>
          </w:tcPr>
          <w:p w14:paraId="499F5E70" w14:textId="77777777" w:rsidR="00F849A7" w:rsidRPr="00D9348B" w:rsidRDefault="00F849A7" w:rsidP="00DB330E">
            <w:pPr>
              <w:pStyle w:val="TableText"/>
              <w:jc w:val="center"/>
              <w:rPr>
                <w:rFonts w:cs="Calibri"/>
              </w:rPr>
            </w:pPr>
            <w:r w:rsidRPr="00D9348B">
              <w:rPr>
                <w:rFonts w:cs="Calibri"/>
              </w:rPr>
              <w:t>–20.9</w:t>
            </w:r>
          </w:p>
        </w:tc>
        <w:tc>
          <w:tcPr>
            <w:tcW w:w="851" w:type="dxa"/>
            <w:tcBorders>
              <w:top w:val="single" w:sz="4" w:space="0" w:color="365F91"/>
              <w:left w:val="nil"/>
              <w:bottom w:val="single" w:sz="4" w:space="0" w:color="365F91"/>
              <w:right w:val="nil"/>
            </w:tcBorders>
            <w:shd w:val="clear" w:color="auto" w:fill="auto"/>
            <w:hideMark/>
          </w:tcPr>
          <w:p w14:paraId="01F6BE0A" w14:textId="77777777" w:rsidR="00F849A7" w:rsidRPr="00D9348B" w:rsidRDefault="00F849A7" w:rsidP="00DB330E">
            <w:pPr>
              <w:pStyle w:val="TableText"/>
              <w:jc w:val="center"/>
              <w:rPr>
                <w:rFonts w:cs="Calibri"/>
              </w:rPr>
            </w:pPr>
            <w:r w:rsidRPr="00D9348B">
              <w:rPr>
                <w:rFonts w:cs="Calibri"/>
              </w:rPr>
              <w:t>–11.3</w:t>
            </w:r>
          </w:p>
        </w:tc>
        <w:tc>
          <w:tcPr>
            <w:tcW w:w="1505" w:type="dxa"/>
            <w:tcBorders>
              <w:top w:val="single" w:sz="4" w:space="0" w:color="365F91"/>
              <w:left w:val="nil"/>
              <w:bottom w:val="single" w:sz="4" w:space="0" w:color="365F91"/>
              <w:right w:val="nil"/>
            </w:tcBorders>
            <w:shd w:val="clear" w:color="auto" w:fill="auto"/>
            <w:hideMark/>
          </w:tcPr>
          <w:p w14:paraId="71E546D1" w14:textId="77777777" w:rsidR="00F849A7" w:rsidRPr="00D9348B" w:rsidRDefault="00F849A7" w:rsidP="00DB330E">
            <w:pPr>
              <w:pStyle w:val="TableText"/>
              <w:jc w:val="center"/>
              <w:rPr>
                <w:rFonts w:cs="Calibri"/>
              </w:rPr>
            </w:pPr>
            <w:r w:rsidRPr="00D9348B">
              <w:rPr>
                <w:rFonts w:cs="Calibri"/>
              </w:rPr>
              <w:t>9.6</w:t>
            </w:r>
          </w:p>
        </w:tc>
        <w:tc>
          <w:tcPr>
            <w:tcW w:w="1546" w:type="dxa"/>
            <w:tcBorders>
              <w:top w:val="single" w:sz="4" w:space="0" w:color="365F91"/>
              <w:left w:val="nil"/>
              <w:bottom w:val="single" w:sz="4" w:space="0" w:color="365F91"/>
              <w:right w:val="nil"/>
            </w:tcBorders>
            <w:shd w:val="clear" w:color="auto" w:fill="auto"/>
            <w:hideMark/>
          </w:tcPr>
          <w:p w14:paraId="03DAC12F" w14:textId="77777777" w:rsidR="00F849A7" w:rsidRPr="00D9348B" w:rsidRDefault="00F849A7" w:rsidP="00DB330E">
            <w:pPr>
              <w:pStyle w:val="TableText"/>
              <w:jc w:val="center"/>
              <w:rPr>
                <w:rFonts w:cs="Calibri"/>
              </w:rPr>
            </w:pPr>
          </w:p>
        </w:tc>
      </w:tr>
      <w:tr w:rsidR="00F849A7" w:rsidRPr="00D9348B" w14:paraId="20DFE7A1" w14:textId="77777777" w:rsidTr="00D201C9">
        <w:tc>
          <w:tcPr>
            <w:tcW w:w="1242" w:type="dxa"/>
            <w:vMerge/>
            <w:tcBorders>
              <w:top w:val="nil"/>
              <w:left w:val="nil"/>
              <w:bottom w:val="single" w:sz="4" w:space="0" w:color="365F91"/>
              <w:right w:val="nil"/>
            </w:tcBorders>
            <w:vAlign w:val="center"/>
            <w:hideMark/>
          </w:tcPr>
          <w:p w14:paraId="6559068C" w14:textId="77777777" w:rsidR="00F849A7" w:rsidRPr="00D9348B" w:rsidRDefault="00F849A7" w:rsidP="00DB330E">
            <w:pPr>
              <w:pStyle w:val="TableText"/>
              <w:rPr>
                <w:rFonts w:cs="Calibri"/>
              </w:rPr>
            </w:pPr>
          </w:p>
        </w:tc>
        <w:tc>
          <w:tcPr>
            <w:tcW w:w="2444" w:type="dxa"/>
            <w:tcBorders>
              <w:top w:val="single" w:sz="4" w:space="0" w:color="365F91"/>
              <w:left w:val="nil"/>
              <w:bottom w:val="single" w:sz="4" w:space="0" w:color="365F91"/>
              <w:right w:val="nil"/>
            </w:tcBorders>
            <w:shd w:val="clear" w:color="auto" w:fill="auto"/>
            <w:vAlign w:val="center"/>
            <w:hideMark/>
          </w:tcPr>
          <w:p w14:paraId="235D23AB" w14:textId="77777777" w:rsidR="00F849A7" w:rsidRPr="00D9348B" w:rsidRDefault="00F849A7" w:rsidP="00DB330E">
            <w:pPr>
              <w:pStyle w:val="TableText"/>
              <w:rPr>
                <w:rFonts w:cs="Calibri"/>
              </w:rPr>
            </w:pPr>
            <w:r w:rsidRPr="00D9348B">
              <w:rPr>
                <w:rFonts w:cs="Calibri"/>
              </w:rPr>
              <w:t>Percentage difference in emission estimates</w:t>
            </w:r>
          </w:p>
        </w:tc>
        <w:tc>
          <w:tcPr>
            <w:tcW w:w="907" w:type="dxa"/>
            <w:tcBorders>
              <w:top w:val="single" w:sz="4" w:space="0" w:color="365F91"/>
              <w:left w:val="nil"/>
              <w:bottom w:val="single" w:sz="4" w:space="0" w:color="365F91"/>
              <w:right w:val="nil"/>
            </w:tcBorders>
            <w:shd w:val="clear" w:color="auto" w:fill="auto"/>
            <w:hideMark/>
          </w:tcPr>
          <w:p w14:paraId="472E25CC" w14:textId="77777777" w:rsidR="00F849A7" w:rsidRPr="00D9348B" w:rsidRDefault="00F849A7" w:rsidP="00DB330E">
            <w:pPr>
              <w:pStyle w:val="TableText"/>
              <w:jc w:val="center"/>
              <w:rPr>
                <w:rFonts w:cs="Calibri"/>
              </w:rPr>
            </w:pPr>
            <w:r w:rsidRPr="00D9348B">
              <w:rPr>
                <w:rFonts w:cs="Calibri"/>
              </w:rPr>
              <w:t>–0.1</w:t>
            </w:r>
          </w:p>
        </w:tc>
        <w:tc>
          <w:tcPr>
            <w:tcW w:w="851" w:type="dxa"/>
            <w:tcBorders>
              <w:top w:val="single" w:sz="4" w:space="0" w:color="365F91"/>
              <w:left w:val="nil"/>
              <w:bottom w:val="single" w:sz="4" w:space="0" w:color="365F91"/>
              <w:right w:val="nil"/>
            </w:tcBorders>
            <w:shd w:val="clear" w:color="auto" w:fill="auto"/>
            <w:hideMark/>
          </w:tcPr>
          <w:p w14:paraId="506CD24F" w14:textId="77777777" w:rsidR="00F849A7" w:rsidRPr="00D9348B" w:rsidRDefault="00F849A7" w:rsidP="00DB330E">
            <w:pPr>
              <w:pStyle w:val="TableText"/>
              <w:jc w:val="center"/>
              <w:rPr>
                <w:rFonts w:cs="Calibri"/>
              </w:rPr>
            </w:pPr>
            <w:r w:rsidRPr="00D9348B">
              <w:rPr>
                <w:rFonts w:cs="Calibri"/>
              </w:rPr>
              <w:t>0.0</w:t>
            </w:r>
          </w:p>
        </w:tc>
        <w:tc>
          <w:tcPr>
            <w:tcW w:w="1505" w:type="dxa"/>
            <w:tcBorders>
              <w:top w:val="single" w:sz="4" w:space="0" w:color="365F91"/>
              <w:left w:val="nil"/>
              <w:bottom w:val="single" w:sz="4" w:space="0" w:color="365F91"/>
              <w:right w:val="nil"/>
            </w:tcBorders>
            <w:shd w:val="clear" w:color="auto" w:fill="auto"/>
            <w:hideMark/>
          </w:tcPr>
          <w:p w14:paraId="79CCFA4F" w14:textId="77777777" w:rsidR="00F849A7" w:rsidRPr="00D9348B" w:rsidRDefault="00F849A7" w:rsidP="00DB330E">
            <w:pPr>
              <w:pStyle w:val="TableText"/>
              <w:jc w:val="center"/>
              <w:rPr>
                <w:rFonts w:cs="Calibri"/>
              </w:rPr>
            </w:pPr>
          </w:p>
        </w:tc>
        <w:tc>
          <w:tcPr>
            <w:tcW w:w="1546" w:type="dxa"/>
            <w:tcBorders>
              <w:top w:val="single" w:sz="4" w:space="0" w:color="365F91"/>
              <w:left w:val="nil"/>
              <w:bottom w:val="single" w:sz="4" w:space="0" w:color="365F91"/>
              <w:right w:val="nil"/>
            </w:tcBorders>
            <w:shd w:val="clear" w:color="auto" w:fill="auto"/>
            <w:hideMark/>
          </w:tcPr>
          <w:p w14:paraId="47ABB231" w14:textId="77777777" w:rsidR="00F849A7" w:rsidRPr="00D9348B" w:rsidRDefault="00F849A7" w:rsidP="00DB330E">
            <w:pPr>
              <w:pStyle w:val="TableText"/>
              <w:jc w:val="center"/>
              <w:rPr>
                <w:rFonts w:cs="Calibri"/>
              </w:rPr>
            </w:pPr>
          </w:p>
        </w:tc>
      </w:tr>
    </w:tbl>
    <w:p w14:paraId="48C5DF8F" w14:textId="77777777" w:rsidR="00F849A7" w:rsidRPr="00D9348B" w:rsidRDefault="00F849A7" w:rsidP="00F849A7">
      <w:pPr>
        <w:pStyle w:val="BodyText"/>
        <w:rPr>
          <w:rFonts w:cs="Calibri"/>
        </w:rPr>
      </w:pPr>
    </w:p>
    <w:p w14:paraId="6A1E4325" w14:textId="77777777" w:rsidR="00F849A7" w:rsidRPr="00D9348B" w:rsidRDefault="00F849A7" w:rsidP="00F849A7">
      <w:pPr>
        <w:pStyle w:val="Table"/>
        <w:rPr>
          <w:rFonts w:cs="Calibri"/>
        </w:rPr>
      </w:pPr>
      <w:bookmarkStart w:id="694" w:name="_Toc32570919"/>
      <w:bookmarkStart w:id="695" w:name="_Toc36224554"/>
      <w:r w:rsidRPr="00D9348B">
        <w:rPr>
          <w:rFonts w:cs="Calibri"/>
        </w:rPr>
        <w:lastRenderedPageBreak/>
        <w:t xml:space="preserve">Table 5.2.7 </w:t>
      </w:r>
      <w:r w:rsidRPr="00D9348B">
        <w:rPr>
          <w:rFonts w:cs="Calibri"/>
        </w:rPr>
        <w:tab/>
        <w:t>Effect of revised dairy goat population estimates on methane emissions estimates</w:t>
      </w:r>
      <w:proofErr w:type="gramStart"/>
      <w:r w:rsidRPr="00D9348B">
        <w:rPr>
          <w:rFonts w:cs="Calibri"/>
        </w:rPr>
        <w:t>,</w:t>
      </w:r>
      <w:proofErr w:type="gramEnd"/>
      <w:r w:rsidRPr="00D9348B">
        <w:rPr>
          <w:rFonts w:cs="Calibri"/>
        </w:rPr>
        <w:br/>
        <w:t>1990 to 2018, for enteric fermentation</w:t>
      </w:r>
      <w:bookmarkEnd w:id="694"/>
      <w:bookmarkEnd w:id="695"/>
    </w:p>
    <w:tbl>
      <w:tblPr>
        <w:tblW w:w="8505" w:type="dxa"/>
        <w:tblInd w:w="108" w:type="dxa"/>
        <w:tblLook w:val="04A0" w:firstRow="1" w:lastRow="0" w:firstColumn="1" w:lastColumn="0" w:noHBand="0" w:noVBand="1"/>
      </w:tblPr>
      <w:tblGrid>
        <w:gridCol w:w="1107"/>
        <w:gridCol w:w="2813"/>
        <w:gridCol w:w="1016"/>
        <w:gridCol w:w="995"/>
        <w:gridCol w:w="1215"/>
        <w:gridCol w:w="1359"/>
      </w:tblGrid>
      <w:tr w:rsidR="000B1212" w:rsidRPr="00D9348B" w14:paraId="3E41BFD2" w14:textId="77777777" w:rsidTr="00DB330E">
        <w:trPr>
          <w:trHeight w:val="1422"/>
        </w:trPr>
        <w:tc>
          <w:tcPr>
            <w:tcW w:w="1107" w:type="dxa"/>
            <w:tcBorders>
              <w:top w:val="single" w:sz="4" w:space="0" w:color="365F91"/>
              <w:left w:val="nil"/>
              <w:right w:val="nil"/>
            </w:tcBorders>
            <w:shd w:val="clear" w:color="000000" w:fill="365F91"/>
            <w:vAlign w:val="bottom"/>
            <w:hideMark/>
          </w:tcPr>
          <w:p w14:paraId="2602C63F" w14:textId="5F2C5BCC" w:rsidR="000B1212" w:rsidRPr="00D9348B" w:rsidRDefault="000B1212" w:rsidP="000B1212">
            <w:pPr>
              <w:pStyle w:val="TableTextBold"/>
              <w:rPr>
                <w:rFonts w:cs="Calibri"/>
                <w:noProof w:val="0"/>
                <w:color w:val="FFFFFF"/>
              </w:rPr>
            </w:pPr>
            <w:r w:rsidRPr="00D9348B">
              <w:rPr>
                <w:rFonts w:cs="Calibri"/>
                <w:noProof w:val="0"/>
                <w:color w:val="FFFFFF"/>
              </w:rPr>
              <w:t xml:space="preserve">Emissions </w:t>
            </w:r>
            <w:r w:rsidRPr="00D9348B">
              <w:rPr>
                <w:rFonts w:cs="Calibri"/>
                <w:noProof w:val="0"/>
                <w:color w:val="FFFFFF"/>
              </w:rPr>
              <w:br/>
              <w:t>(kt CO</w:t>
            </w:r>
            <w:r w:rsidRPr="00D9348B">
              <w:rPr>
                <w:rFonts w:cs="Calibri"/>
                <w:noProof w:val="0"/>
                <w:color w:val="FFFFFF"/>
                <w:vertAlign w:val="subscript"/>
              </w:rPr>
              <w:t>2</w:t>
            </w:r>
            <w:r w:rsidRPr="00D9348B">
              <w:rPr>
                <w:rFonts w:cs="Calibri"/>
                <w:noProof w:val="0"/>
                <w:color w:val="FFFFFF"/>
              </w:rPr>
              <w:t>-e)</w:t>
            </w:r>
          </w:p>
        </w:tc>
        <w:tc>
          <w:tcPr>
            <w:tcW w:w="2813" w:type="dxa"/>
            <w:tcBorders>
              <w:top w:val="single" w:sz="4" w:space="0" w:color="365F91"/>
              <w:left w:val="nil"/>
              <w:bottom w:val="single" w:sz="8" w:space="0" w:color="365F91"/>
              <w:right w:val="nil"/>
            </w:tcBorders>
            <w:shd w:val="clear" w:color="000000" w:fill="365F91"/>
            <w:vAlign w:val="bottom"/>
            <w:hideMark/>
          </w:tcPr>
          <w:p w14:paraId="537C36A0" w14:textId="77777777" w:rsidR="000B1212" w:rsidRPr="00D9348B" w:rsidRDefault="000B1212" w:rsidP="00DB330E">
            <w:pPr>
              <w:pStyle w:val="TableTextBold"/>
              <w:jc w:val="center"/>
              <w:rPr>
                <w:rFonts w:cs="Calibri"/>
                <w:noProof w:val="0"/>
                <w:color w:val="FFFFFF"/>
              </w:rPr>
            </w:pPr>
          </w:p>
        </w:tc>
        <w:tc>
          <w:tcPr>
            <w:tcW w:w="1016" w:type="dxa"/>
            <w:tcBorders>
              <w:top w:val="single" w:sz="4" w:space="0" w:color="365F91"/>
              <w:left w:val="nil"/>
              <w:bottom w:val="single" w:sz="8" w:space="0" w:color="365F91"/>
              <w:right w:val="nil"/>
            </w:tcBorders>
            <w:shd w:val="clear" w:color="000000" w:fill="365F91"/>
            <w:vAlign w:val="bottom"/>
            <w:hideMark/>
          </w:tcPr>
          <w:p w14:paraId="5F488CDD" w14:textId="77777777" w:rsidR="000B1212" w:rsidRPr="00D9348B" w:rsidRDefault="000B1212" w:rsidP="00DB330E">
            <w:pPr>
              <w:pStyle w:val="TableTextBold"/>
              <w:jc w:val="center"/>
              <w:rPr>
                <w:rFonts w:cs="Calibri"/>
                <w:noProof w:val="0"/>
                <w:color w:val="FFFFFF"/>
              </w:rPr>
            </w:pPr>
            <w:r w:rsidRPr="00D9348B">
              <w:rPr>
                <w:rFonts w:cs="Calibri"/>
                <w:noProof w:val="0"/>
                <w:color w:val="FFFFFF"/>
              </w:rPr>
              <w:t>1990</w:t>
            </w:r>
          </w:p>
        </w:tc>
        <w:tc>
          <w:tcPr>
            <w:tcW w:w="995" w:type="dxa"/>
            <w:tcBorders>
              <w:top w:val="single" w:sz="4" w:space="0" w:color="365F91"/>
              <w:left w:val="nil"/>
              <w:bottom w:val="single" w:sz="8" w:space="0" w:color="365F91"/>
              <w:right w:val="nil"/>
            </w:tcBorders>
            <w:shd w:val="clear" w:color="000000" w:fill="365F91"/>
            <w:vAlign w:val="bottom"/>
            <w:hideMark/>
          </w:tcPr>
          <w:p w14:paraId="7D50D3F9" w14:textId="77777777" w:rsidR="000B1212" w:rsidRPr="00D9348B" w:rsidRDefault="000B1212" w:rsidP="00DB330E">
            <w:pPr>
              <w:pStyle w:val="TableTextBold"/>
              <w:jc w:val="center"/>
              <w:rPr>
                <w:rFonts w:cs="Calibri"/>
                <w:noProof w:val="0"/>
                <w:color w:val="FFFFFF"/>
              </w:rPr>
            </w:pPr>
            <w:r w:rsidRPr="00D9348B">
              <w:rPr>
                <w:rFonts w:cs="Calibri"/>
                <w:noProof w:val="0"/>
                <w:color w:val="FFFFFF"/>
              </w:rPr>
              <w:t>2018</w:t>
            </w:r>
          </w:p>
        </w:tc>
        <w:tc>
          <w:tcPr>
            <w:tcW w:w="1215" w:type="dxa"/>
            <w:tcBorders>
              <w:top w:val="single" w:sz="4" w:space="0" w:color="365F91"/>
              <w:left w:val="nil"/>
              <w:right w:val="nil"/>
            </w:tcBorders>
            <w:shd w:val="clear" w:color="000000" w:fill="365F91"/>
            <w:vAlign w:val="bottom"/>
            <w:hideMark/>
          </w:tcPr>
          <w:p w14:paraId="20E0E18F" w14:textId="196FE06D" w:rsidR="000B1212" w:rsidRPr="00D9348B" w:rsidRDefault="000B1212" w:rsidP="000B1212">
            <w:pPr>
              <w:pStyle w:val="TableTextBold"/>
              <w:jc w:val="center"/>
              <w:rPr>
                <w:rFonts w:cs="Calibri"/>
                <w:noProof w:val="0"/>
                <w:color w:val="FFFFFF"/>
              </w:rPr>
            </w:pPr>
            <w:r w:rsidRPr="00D9348B">
              <w:rPr>
                <w:rFonts w:cs="Calibri"/>
                <w:noProof w:val="0"/>
                <w:color w:val="FFFFFF"/>
              </w:rPr>
              <w:t>Change in emissions outputs between 1990 and 2018 (kt CO</w:t>
            </w:r>
            <w:r w:rsidRPr="00D9348B">
              <w:rPr>
                <w:rFonts w:cs="Calibri"/>
                <w:noProof w:val="0"/>
                <w:color w:val="FFFFFF"/>
                <w:vertAlign w:val="subscript"/>
              </w:rPr>
              <w:t>2</w:t>
            </w:r>
            <w:r w:rsidRPr="00D9348B">
              <w:rPr>
                <w:rFonts w:cs="Calibri"/>
                <w:noProof w:val="0"/>
                <w:color w:val="FFFFFF"/>
              </w:rPr>
              <w:t>-e)</w:t>
            </w:r>
          </w:p>
        </w:tc>
        <w:tc>
          <w:tcPr>
            <w:tcW w:w="1359" w:type="dxa"/>
            <w:tcBorders>
              <w:top w:val="single" w:sz="4" w:space="0" w:color="365F91"/>
              <w:left w:val="nil"/>
              <w:bottom w:val="single" w:sz="8" w:space="0" w:color="365F91"/>
              <w:right w:val="nil"/>
            </w:tcBorders>
            <w:shd w:val="clear" w:color="000000" w:fill="365F91"/>
            <w:vAlign w:val="bottom"/>
            <w:hideMark/>
          </w:tcPr>
          <w:p w14:paraId="6E39E637" w14:textId="77777777" w:rsidR="000B1212" w:rsidRPr="00D9348B" w:rsidRDefault="000B1212" w:rsidP="00DB330E">
            <w:pPr>
              <w:pStyle w:val="TableTextBold"/>
              <w:jc w:val="center"/>
              <w:rPr>
                <w:rFonts w:cs="Calibri"/>
                <w:noProof w:val="0"/>
                <w:color w:val="FFFFFF"/>
              </w:rPr>
            </w:pPr>
            <w:r w:rsidRPr="00D9348B">
              <w:rPr>
                <w:rFonts w:cs="Calibri"/>
                <w:noProof w:val="0"/>
                <w:color w:val="FFFFFF"/>
              </w:rPr>
              <w:t>Percentage change in emissions outputs between 1990 and 2018</w:t>
            </w:r>
          </w:p>
        </w:tc>
      </w:tr>
      <w:tr w:rsidR="00F849A7" w:rsidRPr="00D9348B" w14:paraId="2811A640" w14:textId="77777777" w:rsidTr="000B1212">
        <w:tc>
          <w:tcPr>
            <w:tcW w:w="1107" w:type="dxa"/>
            <w:vMerge w:val="restart"/>
            <w:tcBorders>
              <w:top w:val="single" w:sz="4" w:space="0" w:color="365F91"/>
              <w:left w:val="nil"/>
              <w:bottom w:val="single" w:sz="8" w:space="0" w:color="365F91"/>
              <w:right w:val="nil"/>
            </w:tcBorders>
            <w:shd w:val="clear" w:color="auto" w:fill="auto"/>
            <w:vAlign w:val="center"/>
            <w:hideMark/>
          </w:tcPr>
          <w:p w14:paraId="40B7705F" w14:textId="77777777" w:rsidR="00F849A7" w:rsidRPr="00D9348B" w:rsidRDefault="00F849A7" w:rsidP="00DB330E">
            <w:pPr>
              <w:pStyle w:val="TableText"/>
              <w:rPr>
                <w:rFonts w:cs="Calibri"/>
              </w:rPr>
            </w:pPr>
            <w:r w:rsidRPr="00D9348B">
              <w:rPr>
                <w:rFonts w:cs="Calibri"/>
              </w:rPr>
              <w:t>Total emissions from Enteric fermentation (kt CO</w:t>
            </w:r>
            <w:r w:rsidRPr="00D9348B">
              <w:rPr>
                <w:rFonts w:cs="Calibri"/>
                <w:vertAlign w:val="subscript"/>
              </w:rPr>
              <w:t>2</w:t>
            </w:r>
            <w:r w:rsidRPr="00D9348B">
              <w:rPr>
                <w:rFonts w:cs="Calibri"/>
              </w:rPr>
              <w:t>-e)</w:t>
            </w:r>
          </w:p>
        </w:tc>
        <w:tc>
          <w:tcPr>
            <w:tcW w:w="2813" w:type="dxa"/>
            <w:tcBorders>
              <w:top w:val="single" w:sz="4" w:space="0" w:color="365F91"/>
              <w:left w:val="nil"/>
              <w:bottom w:val="single" w:sz="4" w:space="0" w:color="365F91"/>
              <w:right w:val="nil"/>
            </w:tcBorders>
            <w:shd w:val="clear" w:color="auto" w:fill="auto"/>
            <w:vAlign w:val="center"/>
            <w:hideMark/>
          </w:tcPr>
          <w:p w14:paraId="585EB3FE" w14:textId="77777777" w:rsidR="00F849A7" w:rsidRPr="00D9348B" w:rsidRDefault="00F849A7" w:rsidP="00DB330E">
            <w:pPr>
              <w:pStyle w:val="TableText"/>
              <w:rPr>
                <w:rFonts w:cs="Calibri"/>
              </w:rPr>
            </w:pPr>
            <w:r w:rsidRPr="00D9348B">
              <w:rPr>
                <w:rFonts w:cs="Calibri"/>
              </w:rPr>
              <w:t>2020 (1990–2018) emissions estimate using previous dairy goat population estimates</w:t>
            </w:r>
          </w:p>
        </w:tc>
        <w:tc>
          <w:tcPr>
            <w:tcW w:w="1016" w:type="dxa"/>
            <w:tcBorders>
              <w:top w:val="single" w:sz="4" w:space="0" w:color="365F91"/>
              <w:left w:val="nil"/>
              <w:bottom w:val="single" w:sz="4" w:space="0" w:color="365F91"/>
              <w:right w:val="nil"/>
            </w:tcBorders>
            <w:shd w:val="clear" w:color="auto" w:fill="auto"/>
            <w:hideMark/>
          </w:tcPr>
          <w:p w14:paraId="442BFC0D" w14:textId="77777777" w:rsidR="00F849A7" w:rsidRPr="00D9348B" w:rsidRDefault="00F849A7" w:rsidP="00DB330E">
            <w:pPr>
              <w:pStyle w:val="TableText"/>
              <w:jc w:val="center"/>
              <w:rPr>
                <w:rFonts w:cs="Calibri"/>
              </w:rPr>
            </w:pPr>
            <w:r w:rsidRPr="00D9348B">
              <w:rPr>
                <w:rFonts w:cs="Calibri"/>
              </w:rPr>
              <w:t>26,548.9</w:t>
            </w:r>
          </w:p>
        </w:tc>
        <w:tc>
          <w:tcPr>
            <w:tcW w:w="995" w:type="dxa"/>
            <w:tcBorders>
              <w:top w:val="single" w:sz="4" w:space="0" w:color="365F91"/>
              <w:left w:val="nil"/>
              <w:bottom w:val="single" w:sz="4" w:space="0" w:color="365F91"/>
              <w:right w:val="nil"/>
            </w:tcBorders>
            <w:shd w:val="clear" w:color="auto" w:fill="auto"/>
            <w:hideMark/>
          </w:tcPr>
          <w:p w14:paraId="66716453" w14:textId="77777777" w:rsidR="00F849A7" w:rsidRPr="00D9348B" w:rsidRDefault="00F849A7" w:rsidP="00DB330E">
            <w:pPr>
              <w:pStyle w:val="TableText"/>
              <w:jc w:val="center"/>
              <w:rPr>
                <w:rFonts w:cs="Calibri"/>
              </w:rPr>
            </w:pPr>
            <w:r w:rsidRPr="00D9348B">
              <w:rPr>
                <w:rFonts w:cs="Calibri"/>
              </w:rPr>
              <w:t>27,937.4</w:t>
            </w:r>
          </w:p>
        </w:tc>
        <w:tc>
          <w:tcPr>
            <w:tcW w:w="1215" w:type="dxa"/>
            <w:tcBorders>
              <w:top w:val="single" w:sz="4" w:space="0" w:color="365F91"/>
              <w:left w:val="nil"/>
              <w:bottom w:val="single" w:sz="4" w:space="0" w:color="365F91"/>
              <w:right w:val="nil"/>
            </w:tcBorders>
            <w:shd w:val="clear" w:color="auto" w:fill="auto"/>
            <w:hideMark/>
          </w:tcPr>
          <w:p w14:paraId="2722A9AF" w14:textId="77777777" w:rsidR="00F849A7" w:rsidRPr="00D9348B" w:rsidRDefault="00F849A7" w:rsidP="00DB330E">
            <w:pPr>
              <w:pStyle w:val="TableText"/>
              <w:jc w:val="center"/>
              <w:rPr>
                <w:rFonts w:cs="Calibri"/>
              </w:rPr>
            </w:pPr>
            <w:r w:rsidRPr="00D9348B">
              <w:rPr>
                <w:rFonts w:cs="Calibri"/>
              </w:rPr>
              <w:t>1,388.5</w:t>
            </w:r>
          </w:p>
        </w:tc>
        <w:tc>
          <w:tcPr>
            <w:tcW w:w="1359" w:type="dxa"/>
            <w:tcBorders>
              <w:top w:val="single" w:sz="4" w:space="0" w:color="365F91"/>
              <w:left w:val="nil"/>
              <w:bottom w:val="single" w:sz="4" w:space="0" w:color="365F91"/>
              <w:right w:val="nil"/>
            </w:tcBorders>
            <w:shd w:val="clear" w:color="auto" w:fill="auto"/>
            <w:hideMark/>
          </w:tcPr>
          <w:p w14:paraId="77D456C4" w14:textId="77777777" w:rsidR="00F849A7" w:rsidRPr="00D9348B" w:rsidRDefault="00F849A7" w:rsidP="00DB330E">
            <w:pPr>
              <w:pStyle w:val="TableText"/>
              <w:jc w:val="center"/>
              <w:rPr>
                <w:rFonts w:cs="Calibri"/>
              </w:rPr>
            </w:pPr>
            <w:r w:rsidRPr="00D9348B">
              <w:rPr>
                <w:rFonts w:cs="Calibri"/>
              </w:rPr>
              <w:t>5.2</w:t>
            </w:r>
          </w:p>
        </w:tc>
      </w:tr>
      <w:tr w:rsidR="00F849A7" w:rsidRPr="00D9348B" w14:paraId="5FD077CC" w14:textId="77777777" w:rsidTr="000B1212">
        <w:tc>
          <w:tcPr>
            <w:tcW w:w="1107" w:type="dxa"/>
            <w:vMerge/>
            <w:tcBorders>
              <w:top w:val="nil"/>
              <w:left w:val="nil"/>
              <w:bottom w:val="single" w:sz="8" w:space="0" w:color="365F91"/>
              <w:right w:val="nil"/>
            </w:tcBorders>
            <w:vAlign w:val="center"/>
            <w:hideMark/>
          </w:tcPr>
          <w:p w14:paraId="4823A144" w14:textId="77777777" w:rsidR="00F849A7" w:rsidRPr="00D9348B" w:rsidRDefault="00F849A7" w:rsidP="00DB330E">
            <w:pPr>
              <w:pStyle w:val="TableText"/>
              <w:rPr>
                <w:rFonts w:cs="Calibri"/>
              </w:rPr>
            </w:pPr>
          </w:p>
        </w:tc>
        <w:tc>
          <w:tcPr>
            <w:tcW w:w="2813" w:type="dxa"/>
            <w:tcBorders>
              <w:top w:val="single" w:sz="4" w:space="0" w:color="365F91"/>
              <w:left w:val="nil"/>
              <w:bottom w:val="single" w:sz="4" w:space="0" w:color="365F91"/>
              <w:right w:val="nil"/>
            </w:tcBorders>
            <w:shd w:val="clear" w:color="auto" w:fill="auto"/>
            <w:vAlign w:val="center"/>
            <w:hideMark/>
          </w:tcPr>
          <w:p w14:paraId="19EE9A80" w14:textId="77777777" w:rsidR="00F849A7" w:rsidRPr="00D9348B" w:rsidRDefault="00F849A7" w:rsidP="00DB330E">
            <w:pPr>
              <w:pStyle w:val="TableText"/>
              <w:rPr>
                <w:rFonts w:cs="Calibri"/>
              </w:rPr>
            </w:pPr>
            <w:r w:rsidRPr="00D9348B">
              <w:rPr>
                <w:rFonts w:cs="Calibri"/>
              </w:rPr>
              <w:t>2020 (1990–2018) emissions estimate using new dairy goat population estimates</w:t>
            </w:r>
          </w:p>
        </w:tc>
        <w:tc>
          <w:tcPr>
            <w:tcW w:w="1016" w:type="dxa"/>
            <w:tcBorders>
              <w:top w:val="single" w:sz="4" w:space="0" w:color="365F91"/>
              <w:left w:val="nil"/>
              <w:bottom w:val="single" w:sz="4" w:space="0" w:color="365F91"/>
              <w:right w:val="nil"/>
            </w:tcBorders>
            <w:shd w:val="clear" w:color="auto" w:fill="auto"/>
            <w:hideMark/>
          </w:tcPr>
          <w:p w14:paraId="71A9F072" w14:textId="77777777" w:rsidR="00F849A7" w:rsidRPr="00D9348B" w:rsidRDefault="00F849A7" w:rsidP="00DB330E">
            <w:pPr>
              <w:pStyle w:val="TableText"/>
              <w:jc w:val="center"/>
              <w:rPr>
                <w:rFonts w:cs="Calibri"/>
              </w:rPr>
            </w:pPr>
            <w:r w:rsidRPr="00D9348B">
              <w:rPr>
                <w:rFonts w:cs="Calibri"/>
              </w:rPr>
              <w:t>26,548.9</w:t>
            </w:r>
          </w:p>
        </w:tc>
        <w:tc>
          <w:tcPr>
            <w:tcW w:w="995" w:type="dxa"/>
            <w:tcBorders>
              <w:top w:val="single" w:sz="4" w:space="0" w:color="365F91"/>
              <w:left w:val="nil"/>
              <w:bottom w:val="single" w:sz="4" w:space="0" w:color="365F91"/>
              <w:right w:val="nil"/>
            </w:tcBorders>
            <w:shd w:val="clear" w:color="auto" w:fill="auto"/>
            <w:hideMark/>
          </w:tcPr>
          <w:p w14:paraId="1F7A3E5A" w14:textId="77777777" w:rsidR="00F849A7" w:rsidRPr="00D9348B" w:rsidRDefault="00F849A7" w:rsidP="00DB330E">
            <w:pPr>
              <w:pStyle w:val="TableText"/>
              <w:jc w:val="center"/>
              <w:rPr>
                <w:rFonts w:cs="Calibri"/>
              </w:rPr>
            </w:pPr>
            <w:r w:rsidRPr="00D9348B">
              <w:rPr>
                <w:rFonts w:cs="Calibri"/>
              </w:rPr>
              <w:t>27,939.0</w:t>
            </w:r>
          </w:p>
        </w:tc>
        <w:tc>
          <w:tcPr>
            <w:tcW w:w="1215" w:type="dxa"/>
            <w:tcBorders>
              <w:top w:val="single" w:sz="4" w:space="0" w:color="365F91"/>
              <w:left w:val="nil"/>
              <w:bottom w:val="single" w:sz="4" w:space="0" w:color="365F91"/>
              <w:right w:val="nil"/>
            </w:tcBorders>
            <w:shd w:val="clear" w:color="auto" w:fill="auto"/>
            <w:hideMark/>
          </w:tcPr>
          <w:p w14:paraId="2FB6BCC4" w14:textId="77777777" w:rsidR="00F849A7" w:rsidRPr="00D9348B" w:rsidRDefault="00F849A7" w:rsidP="00DB330E">
            <w:pPr>
              <w:pStyle w:val="TableText"/>
              <w:jc w:val="center"/>
              <w:rPr>
                <w:rFonts w:cs="Calibri"/>
              </w:rPr>
            </w:pPr>
            <w:r w:rsidRPr="00D9348B">
              <w:rPr>
                <w:rFonts w:cs="Calibri"/>
              </w:rPr>
              <w:t>1,390.0</w:t>
            </w:r>
          </w:p>
        </w:tc>
        <w:tc>
          <w:tcPr>
            <w:tcW w:w="1359" w:type="dxa"/>
            <w:tcBorders>
              <w:top w:val="single" w:sz="4" w:space="0" w:color="365F91"/>
              <w:left w:val="nil"/>
              <w:bottom w:val="single" w:sz="4" w:space="0" w:color="365F91"/>
              <w:right w:val="nil"/>
            </w:tcBorders>
            <w:shd w:val="clear" w:color="auto" w:fill="auto"/>
            <w:hideMark/>
          </w:tcPr>
          <w:p w14:paraId="10747C47" w14:textId="77777777" w:rsidR="00F849A7" w:rsidRPr="00D9348B" w:rsidRDefault="00F849A7" w:rsidP="00DB330E">
            <w:pPr>
              <w:pStyle w:val="TableText"/>
              <w:jc w:val="center"/>
              <w:rPr>
                <w:rFonts w:cs="Calibri"/>
              </w:rPr>
            </w:pPr>
            <w:r w:rsidRPr="00D9348B">
              <w:rPr>
                <w:rFonts w:cs="Calibri"/>
              </w:rPr>
              <w:t>5.2</w:t>
            </w:r>
          </w:p>
        </w:tc>
      </w:tr>
      <w:tr w:rsidR="00F849A7" w:rsidRPr="00D9348B" w14:paraId="0AF1B200" w14:textId="77777777" w:rsidTr="000B1212">
        <w:tc>
          <w:tcPr>
            <w:tcW w:w="1107" w:type="dxa"/>
            <w:vMerge/>
            <w:tcBorders>
              <w:top w:val="nil"/>
              <w:left w:val="nil"/>
              <w:bottom w:val="single" w:sz="8" w:space="0" w:color="365F91"/>
              <w:right w:val="nil"/>
            </w:tcBorders>
            <w:vAlign w:val="center"/>
            <w:hideMark/>
          </w:tcPr>
          <w:p w14:paraId="5B90BC4D" w14:textId="77777777" w:rsidR="00F849A7" w:rsidRPr="00D9348B" w:rsidRDefault="00F849A7" w:rsidP="00DB330E">
            <w:pPr>
              <w:pStyle w:val="TableText"/>
              <w:rPr>
                <w:rFonts w:cs="Calibri"/>
              </w:rPr>
            </w:pPr>
          </w:p>
        </w:tc>
        <w:tc>
          <w:tcPr>
            <w:tcW w:w="2813" w:type="dxa"/>
            <w:tcBorders>
              <w:top w:val="single" w:sz="4" w:space="0" w:color="365F91"/>
              <w:left w:val="nil"/>
              <w:bottom w:val="single" w:sz="4" w:space="0" w:color="365F91"/>
              <w:right w:val="nil"/>
            </w:tcBorders>
            <w:shd w:val="clear" w:color="auto" w:fill="auto"/>
            <w:vAlign w:val="center"/>
            <w:hideMark/>
          </w:tcPr>
          <w:p w14:paraId="5A94C517" w14:textId="77777777" w:rsidR="00F849A7" w:rsidRPr="00D9348B" w:rsidRDefault="00F849A7" w:rsidP="00DB330E">
            <w:pPr>
              <w:pStyle w:val="TableText"/>
              <w:rPr>
                <w:rFonts w:cs="Calibri"/>
              </w:rPr>
            </w:pPr>
            <w:r w:rsidRPr="00D9348B">
              <w:rPr>
                <w:rFonts w:cs="Calibri"/>
              </w:rPr>
              <w:t>Difference in emission estimates compared with current inventory</w:t>
            </w:r>
          </w:p>
        </w:tc>
        <w:tc>
          <w:tcPr>
            <w:tcW w:w="1016" w:type="dxa"/>
            <w:tcBorders>
              <w:top w:val="single" w:sz="4" w:space="0" w:color="365F91"/>
              <w:left w:val="nil"/>
              <w:bottom w:val="single" w:sz="4" w:space="0" w:color="365F91"/>
              <w:right w:val="nil"/>
            </w:tcBorders>
            <w:shd w:val="clear" w:color="auto" w:fill="auto"/>
            <w:hideMark/>
          </w:tcPr>
          <w:p w14:paraId="1859EB82" w14:textId="77777777" w:rsidR="00F849A7" w:rsidRPr="00D9348B" w:rsidRDefault="00F849A7" w:rsidP="00DB330E">
            <w:pPr>
              <w:pStyle w:val="TableText"/>
              <w:jc w:val="center"/>
              <w:rPr>
                <w:rFonts w:cs="Calibri"/>
              </w:rPr>
            </w:pPr>
            <w:r w:rsidRPr="00D9348B">
              <w:rPr>
                <w:rFonts w:cs="Calibri"/>
              </w:rPr>
              <w:t>0.0</w:t>
            </w:r>
          </w:p>
        </w:tc>
        <w:tc>
          <w:tcPr>
            <w:tcW w:w="995" w:type="dxa"/>
            <w:tcBorders>
              <w:top w:val="single" w:sz="4" w:space="0" w:color="365F91"/>
              <w:left w:val="nil"/>
              <w:bottom w:val="single" w:sz="4" w:space="0" w:color="365F91"/>
              <w:right w:val="nil"/>
            </w:tcBorders>
            <w:shd w:val="clear" w:color="auto" w:fill="auto"/>
            <w:hideMark/>
          </w:tcPr>
          <w:p w14:paraId="4CACA022" w14:textId="77777777" w:rsidR="00F849A7" w:rsidRPr="00D9348B" w:rsidRDefault="00F849A7" w:rsidP="00DB330E">
            <w:pPr>
              <w:pStyle w:val="TableText"/>
              <w:jc w:val="center"/>
              <w:rPr>
                <w:rFonts w:cs="Calibri"/>
              </w:rPr>
            </w:pPr>
            <w:r w:rsidRPr="00D9348B">
              <w:rPr>
                <w:rFonts w:cs="Calibri"/>
              </w:rPr>
              <w:t>1.6</w:t>
            </w:r>
          </w:p>
        </w:tc>
        <w:tc>
          <w:tcPr>
            <w:tcW w:w="1215" w:type="dxa"/>
            <w:tcBorders>
              <w:top w:val="single" w:sz="4" w:space="0" w:color="365F91"/>
              <w:left w:val="nil"/>
              <w:bottom w:val="single" w:sz="4" w:space="0" w:color="365F91"/>
              <w:right w:val="nil"/>
            </w:tcBorders>
            <w:shd w:val="clear" w:color="auto" w:fill="auto"/>
            <w:hideMark/>
          </w:tcPr>
          <w:p w14:paraId="15882440" w14:textId="77777777" w:rsidR="00F849A7" w:rsidRPr="00D9348B" w:rsidRDefault="00F849A7" w:rsidP="00DB330E">
            <w:pPr>
              <w:pStyle w:val="TableText"/>
              <w:jc w:val="center"/>
              <w:rPr>
                <w:rFonts w:cs="Calibri"/>
              </w:rPr>
            </w:pPr>
            <w:r w:rsidRPr="00D9348B">
              <w:rPr>
                <w:rFonts w:cs="Calibri"/>
              </w:rPr>
              <w:t>1.6</w:t>
            </w:r>
          </w:p>
        </w:tc>
        <w:tc>
          <w:tcPr>
            <w:tcW w:w="1359" w:type="dxa"/>
            <w:tcBorders>
              <w:top w:val="single" w:sz="4" w:space="0" w:color="365F91"/>
              <w:left w:val="nil"/>
              <w:bottom w:val="single" w:sz="4" w:space="0" w:color="365F91"/>
              <w:right w:val="nil"/>
            </w:tcBorders>
            <w:shd w:val="clear" w:color="auto" w:fill="auto"/>
            <w:hideMark/>
          </w:tcPr>
          <w:p w14:paraId="22E3744F" w14:textId="77777777" w:rsidR="00F849A7" w:rsidRPr="00D9348B" w:rsidRDefault="00F849A7" w:rsidP="00DB330E">
            <w:pPr>
              <w:pStyle w:val="TableText"/>
              <w:jc w:val="center"/>
              <w:rPr>
                <w:rFonts w:cs="Calibri"/>
              </w:rPr>
            </w:pPr>
          </w:p>
        </w:tc>
      </w:tr>
      <w:tr w:rsidR="00F849A7" w:rsidRPr="00D9348B" w14:paraId="1422CD2E" w14:textId="77777777" w:rsidTr="000B1212">
        <w:tc>
          <w:tcPr>
            <w:tcW w:w="1107" w:type="dxa"/>
            <w:vMerge/>
            <w:tcBorders>
              <w:top w:val="nil"/>
              <w:left w:val="nil"/>
              <w:bottom w:val="single" w:sz="4" w:space="0" w:color="365F91"/>
              <w:right w:val="nil"/>
            </w:tcBorders>
            <w:vAlign w:val="center"/>
            <w:hideMark/>
          </w:tcPr>
          <w:p w14:paraId="75465F6C" w14:textId="77777777" w:rsidR="00F849A7" w:rsidRPr="00D9348B" w:rsidRDefault="00F849A7" w:rsidP="00DB330E">
            <w:pPr>
              <w:pStyle w:val="TableText"/>
              <w:rPr>
                <w:rFonts w:cs="Calibri"/>
              </w:rPr>
            </w:pPr>
          </w:p>
        </w:tc>
        <w:tc>
          <w:tcPr>
            <w:tcW w:w="2813" w:type="dxa"/>
            <w:tcBorders>
              <w:top w:val="single" w:sz="4" w:space="0" w:color="365F91"/>
              <w:left w:val="nil"/>
              <w:bottom w:val="single" w:sz="4" w:space="0" w:color="365F91"/>
              <w:right w:val="nil"/>
            </w:tcBorders>
            <w:shd w:val="clear" w:color="auto" w:fill="auto"/>
            <w:vAlign w:val="center"/>
            <w:hideMark/>
          </w:tcPr>
          <w:p w14:paraId="27C79FA2" w14:textId="77777777" w:rsidR="00F849A7" w:rsidRPr="00D9348B" w:rsidRDefault="00F849A7" w:rsidP="00DB330E">
            <w:pPr>
              <w:pStyle w:val="TableText"/>
              <w:rPr>
                <w:rFonts w:cs="Calibri"/>
              </w:rPr>
            </w:pPr>
            <w:r w:rsidRPr="00D9348B">
              <w:rPr>
                <w:rFonts w:cs="Calibri"/>
              </w:rPr>
              <w:t>Percentage difference in emission estimates</w:t>
            </w:r>
          </w:p>
        </w:tc>
        <w:tc>
          <w:tcPr>
            <w:tcW w:w="1016" w:type="dxa"/>
            <w:tcBorders>
              <w:top w:val="single" w:sz="4" w:space="0" w:color="365F91"/>
              <w:left w:val="nil"/>
              <w:bottom w:val="single" w:sz="4" w:space="0" w:color="365F91"/>
              <w:right w:val="nil"/>
            </w:tcBorders>
            <w:shd w:val="clear" w:color="auto" w:fill="auto"/>
            <w:hideMark/>
          </w:tcPr>
          <w:p w14:paraId="3043C4D2" w14:textId="77777777" w:rsidR="00F849A7" w:rsidRPr="00D9348B" w:rsidRDefault="00F849A7" w:rsidP="00DB330E">
            <w:pPr>
              <w:pStyle w:val="TableText"/>
              <w:jc w:val="center"/>
              <w:rPr>
                <w:rFonts w:cs="Calibri"/>
              </w:rPr>
            </w:pPr>
            <w:r w:rsidRPr="00D9348B">
              <w:rPr>
                <w:rFonts w:cs="Calibri"/>
              </w:rPr>
              <w:t>0.0</w:t>
            </w:r>
          </w:p>
        </w:tc>
        <w:tc>
          <w:tcPr>
            <w:tcW w:w="995" w:type="dxa"/>
            <w:tcBorders>
              <w:top w:val="single" w:sz="4" w:space="0" w:color="365F91"/>
              <w:left w:val="nil"/>
              <w:bottom w:val="single" w:sz="4" w:space="0" w:color="365F91"/>
              <w:right w:val="nil"/>
            </w:tcBorders>
            <w:shd w:val="clear" w:color="auto" w:fill="auto"/>
            <w:hideMark/>
          </w:tcPr>
          <w:p w14:paraId="32E28442" w14:textId="77777777" w:rsidR="00F849A7" w:rsidRPr="00D9348B" w:rsidRDefault="00F849A7" w:rsidP="00DB330E">
            <w:pPr>
              <w:pStyle w:val="TableText"/>
              <w:jc w:val="center"/>
              <w:rPr>
                <w:rFonts w:cs="Calibri"/>
              </w:rPr>
            </w:pPr>
            <w:r w:rsidRPr="00D9348B">
              <w:rPr>
                <w:rFonts w:cs="Calibri"/>
              </w:rPr>
              <w:t>0.0</w:t>
            </w:r>
          </w:p>
        </w:tc>
        <w:tc>
          <w:tcPr>
            <w:tcW w:w="1215" w:type="dxa"/>
            <w:tcBorders>
              <w:top w:val="single" w:sz="4" w:space="0" w:color="365F91"/>
              <w:left w:val="nil"/>
              <w:bottom w:val="single" w:sz="4" w:space="0" w:color="365F91"/>
              <w:right w:val="nil"/>
            </w:tcBorders>
            <w:shd w:val="clear" w:color="auto" w:fill="auto"/>
            <w:hideMark/>
          </w:tcPr>
          <w:p w14:paraId="36F894E5" w14:textId="77777777" w:rsidR="00F849A7" w:rsidRPr="00D9348B" w:rsidRDefault="00F849A7" w:rsidP="00DB330E">
            <w:pPr>
              <w:pStyle w:val="TableText"/>
              <w:jc w:val="center"/>
              <w:rPr>
                <w:rFonts w:cs="Calibri"/>
              </w:rPr>
            </w:pPr>
          </w:p>
        </w:tc>
        <w:tc>
          <w:tcPr>
            <w:tcW w:w="1359" w:type="dxa"/>
            <w:tcBorders>
              <w:top w:val="single" w:sz="4" w:space="0" w:color="365F91"/>
              <w:left w:val="nil"/>
              <w:bottom w:val="single" w:sz="4" w:space="0" w:color="365F91"/>
              <w:right w:val="nil"/>
            </w:tcBorders>
            <w:shd w:val="clear" w:color="auto" w:fill="auto"/>
            <w:hideMark/>
          </w:tcPr>
          <w:p w14:paraId="7974E284" w14:textId="77777777" w:rsidR="00F849A7" w:rsidRPr="00D9348B" w:rsidRDefault="00F849A7" w:rsidP="00DB330E">
            <w:pPr>
              <w:pStyle w:val="TableText"/>
              <w:jc w:val="center"/>
              <w:rPr>
                <w:rFonts w:cs="Calibri"/>
              </w:rPr>
            </w:pPr>
          </w:p>
        </w:tc>
      </w:tr>
    </w:tbl>
    <w:p w14:paraId="16260E7E" w14:textId="77777777" w:rsidR="00F849A7" w:rsidRPr="00D9348B" w:rsidRDefault="00F849A7" w:rsidP="00F849A7">
      <w:pPr>
        <w:pStyle w:val="Heading3"/>
        <w:spacing w:before="480"/>
        <w:rPr>
          <w:rFonts w:cs="Calibri"/>
        </w:rPr>
      </w:pPr>
      <w:bookmarkStart w:id="696" w:name="_Toc32570656"/>
      <w:bookmarkStart w:id="697" w:name="_Toc69611740"/>
      <w:bookmarkStart w:id="698" w:name="_Toc69612696"/>
      <w:bookmarkStart w:id="699" w:name="_Toc69612895"/>
      <w:bookmarkStart w:id="700" w:name="_Toc69613155"/>
      <w:bookmarkStart w:id="701" w:name="_Toc69633319"/>
      <w:bookmarkStart w:id="702" w:name="_Toc69717484"/>
      <w:bookmarkStart w:id="703" w:name="_Toc69802966"/>
      <w:bookmarkStart w:id="704" w:name="_Toc69815103"/>
      <w:bookmarkStart w:id="705" w:name="_Toc70492396"/>
      <w:bookmarkStart w:id="706" w:name="_Toc101310603"/>
      <w:bookmarkStart w:id="707" w:name="_Toc101318463"/>
      <w:bookmarkStart w:id="708" w:name="_Toc101318568"/>
      <w:bookmarkStart w:id="709" w:name="_Toc101318752"/>
      <w:bookmarkStart w:id="710" w:name="_Toc101334028"/>
      <w:bookmarkStart w:id="711" w:name="_Toc134847205"/>
      <w:bookmarkStart w:id="712" w:name="_Toc139253923"/>
      <w:bookmarkStart w:id="713" w:name="_Toc144710414"/>
      <w:bookmarkStart w:id="714" w:name="_Toc165890368"/>
      <w:bookmarkStart w:id="715" w:name="_Toc195322662"/>
      <w:bookmarkStart w:id="716" w:name="_Toc235955528"/>
      <w:bookmarkStart w:id="717" w:name="_Toc288316641"/>
      <w:bookmarkStart w:id="718" w:name="_Toc352504861"/>
      <w:bookmarkStart w:id="719" w:name="_Toc448321524"/>
      <w:bookmarkStart w:id="720" w:name="_Toc481751386"/>
      <w:bookmarkStart w:id="721" w:name="_Toc511116601"/>
      <w:bookmarkStart w:id="722" w:name="_Toc5269363"/>
      <w:bookmarkEnd w:id="691"/>
      <w:r w:rsidRPr="00D9348B">
        <w:rPr>
          <w:rFonts w:cs="Calibri"/>
        </w:rPr>
        <w:t>5.2.6</w:t>
      </w:r>
      <w:r w:rsidRPr="00D9348B">
        <w:rPr>
          <w:rFonts w:cs="Calibri"/>
        </w:rPr>
        <w:tab/>
        <w:t>Source-specific planned improvements</w:t>
      </w:r>
      <w:bookmarkEnd w:id="696"/>
      <w:r w:rsidRPr="00D9348B">
        <w:rPr>
          <w:rFonts w:cs="Calibri"/>
        </w:rPr>
        <w:t xml:space="preserve"> </w:t>
      </w:r>
    </w:p>
    <w:p w14:paraId="4D06B4C4" w14:textId="77777777" w:rsidR="00F849A7" w:rsidRPr="00D9348B" w:rsidRDefault="00F849A7" w:rsidP="00F849A7">
      <w:pPr>
        <w:pStyle w:val="Heading5"/>
        <w:spacing w:before="120"/>
        <w:rPr>
          <w:rFonts w:cs="Calibri"/>
        </w:rPr>
      </w:pPr>
      <w:r w:rsidRPr="00D9348B">
        <w:rPr>
          <w:rFonts w:cs="Calibri"/>
        </w:rPr>
        <w:t>Clarification of cattle methane yields</w:t>
      </w:r>
    </w:p>
    <w:p w14:paraId="15519780" w14:textId="77777777" w:rsidR="00F849A7" w:rsidRPr="00D9348B" w:rsidRDefault="00F849A7" w:rsidP="00F849A7">
      <w:pPr>
        <w:pStyle w:val="BodyText"/>
        <w:rPr>
          <w:rFonts w:cs="Calibri"/>
        </w:rPr>
      </w:pPr>
      <w:r w:rsidRPr="00D9348B">
        <w:rPr>
          <w:rFonts w:cs="Calibri"/>
        </w:rPr>
        <w:t>New Zealand is continuing research to improve its understanding of CH</w:t>
      </w:r>
      <w:r w:rsidRPr="00D9348B">
        <w:rPr>
          <w:rFonts w:cs="Calibri"/>
          <w:vertAlign w:val="subscript"/>
        </w:rPr>
        <w:t>4</w:t>
      </w:r>
      <w:r w:rsidRPr="00D9348B">
        <w:rPr>
          <w:rFonts w:cs="Calibri"/>
        </w:rPr>
        <w:t xml:space="preserve"> emissions from enteric fermentation of cattle and develop a more robust relationship between CH</w:t>
      </w:r>
      <w:r w:rsidRPr="00D9348B">
        <w:rPr>
          <w:rFonts w:cs="Calibri"/>
          <w:vertAlign w:val="subscript"/>
        </w:rPr>
        <w:t>4</w:t>
      </w:r>
      <w:r w:rsidRPr="00D9348B">
        <w:rPr>
          <w:rFonts w:cs="Calibri"/>
        </w:rPr>
        <w:t xml:space="preserve"> yields and extreme DMI (very low or very high levels of consumption). Research will clarify whether the CH</w:t>
      </w:r>
      <w:r w:rsidRPr="00D9348B">
        <w:rPr>
          <w:rFonts w:cs="Calibri"/>
          <w:vertAlign w:val="subscript"/>
        </w:rPr>
        <w:t>4</w:t>
      </w:r>
      <w:r w:rsidRPr="00D9348B">
        <w:rPr>
          <w:rFonts w:cs="Calibri"/>
        </w:rPr>
        <w:t xml:space="preserve"> yield relationship currently in use in the inventory accurately calculates enteric CH</w:t>
      </w:r>
      <w:r w:rsidRPr="00D9348B">
        <w:rPr>
          <w:rFonts w:cs="Calibri"/>
          <w:vertAlign w:val="subscript"/>
        </w:rPr>
        <w:t>4</w:t>
      </w:r>
      <w:r w:rsidRPr="00D9348B">
        <w:rPr>
          <w:rFonts w:cs="Calibri"/>
        </w:rPr>
        <w:t> emissions at DMI extremes. Research is being carried out at the NZAGRC ruminant CH</w:t>
      </w:r>
      <w:r w:rsidRPr="00D9348B">
        <w:rPr>
          <w:rFonts w:cs="Calibri"/>
          <w:vertAlign w:val="subscript"/>
        </w:rPr>
        <w:t>4</w:t>
      </w:r>
      <w:r w:rsidRPr="00D9348B">
        <w:rPr>
          <w:rFonts w:cs="Calibri"/>
        </w:rPr>
        <w:t xml:space="preserve"> measurement facility in purpose-built calorimeter chambers. The results of the study will be added to past cattle research to help develop a more robust country-specific equation describing the relationship between DMI and CH</w:t>
      </w:r>
      <w:r w:rsidRPr="00D9348B">
        <w:rPr>
          <w:rFonts w:cs="Calibri"/>
          <w:vertAlign w:val="subscript"/>
        </w:rPr>
        <w:t>4</w:t>
      </w:r>
      <w:r w:rsidRPr="00D9348B">
        <w:rPr>
          <w:rFonts w:cs="Calibri"/>
        </w:rPr>
        <w:t xml:space="preserve"> yields in New Zealand.</w:t>
      </w:r>
    </w:p>
    <w:p w14:paraId="762DCA3C" w14:textId="77777777" w:rsidR="00F849A7" w:rsidRPr="00D9348B" w:rsidRDefault="00F849A7" w:rsidP="00F849A7">
      <w:pPr>
        <w:pStyle w:val="Heading2"/>
        <w:rPr>
          <w:rFonts w:cs="Calibri"/>
        </w:rPr>
      </w:pPr>
      <w:bookmarkStart w:id="723" w:name="_Toc32570657"/>
      <w:bookmarkStart w:id="724" w:name="_Toc36224403"/>
      <w:r w:rsidRPr="00D9348B">
        <w:rPr>
          <w:rFonts w:cs="Calibri"/>
        </w:rPr>
        <w:t>5.3</w:t>
      </w:r>
      <w:bookmarkStart w:id="725" w:name="Manure_Management"/>
      <w:r w:rsidRPr="00D9348B">
        <w:rPr>
          <w:rFonts w:cs="Calibri"/>
        </w:rPr>
        <w:tab/>
        <w:t xml:space="preserve">Manure management </w:t>
      </w:r>
      <w:bookmarkEnd w:id="725"/>
      <w:r w:rsidRPr="00D9348B">
        <w:rPr>
          <w:rFonts w:cs="Calibri"/>
        </w:rPr>
        <w:t>(CRF 3.B)</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p>
    <w:p w14:paraId="55B45D9A" w14:textId="77777777" w:rsidR="00F849A7" w:rsidRPr="00D9348B" w:rsidRDefault="00F849A7" w:rsidP="00F849A7">
      <w:pPr>
        <w:pStyle w:val="Heading3"/>
        <w:spacing w:before="120"/>
        <w:rPr>
          <w:rFonts w:cs="Calibri"/>
        </w:rPr>
      </w:pPr>
      <w:bookmarkStart w:id="726" w:name="_Toc32570658"/>
      <w:bookmarkStart w:id="727" w:name="_Toc139253925"/>
      <w:r w:rsidRPr="00D9348B">
        <w:rPr>
          <w:rFonts w:cs="Calibri"/>
        </w:rPr>
        <w:t>5.3.1</w:t>
      </w:r>
      <w:r w:rsidRPr="00D9348B">
        <w:rPr>
          <w:rFonts w:cs="Calibri"/>
        </w:rPr>
        <w:tab/>
        <w:t>Description</w:t>
      </w:r>
      <w:bookmarkEnd w:id="726"/>
    </w:p>
    <w:p w14:paraId="0377B5E4" w14:textId="77777777" w:rsidR="00F849A7" w:rsidRPr="00D9348B" w:rsidRDefault="00F849A7" w:rsidP="00F849A7">
      <w:pPr>
        <w:pStyle w:val="BodyText"/>
        <w:rPr>
          <w:rFonts w:cs="Calibri"/>
        </w:rPr>
      </w:pPr>
      <w:r w:rsidRPr="00D9348B">
        <w:rPr>
          <w:rFonts w:cs="Calibri"/>
        </w:rPr>
        <w:t xml:space="preserve">The majority of the emissions from the </w:t>
      </w:r>
      <w:r w:rsidRPr="00D9348B">
        <w:rPr>
          <w:rFonts w:cs="Calibri"/>
          <w:i/>
          <w:iCs/>
        </w:rPr>
        <w:t>Manure management</w:t>
      </w:r>
      <w:r w:rsidRPr="00D9348B">
        <w:rPr>
          <w:rFonts w:cs="Calibri"/>
        </w:rPr>
        <w:t xml:space="preserve"> category are from CH</w:t>
      </w:r>
      <w:r w:rsidRPr="00D9348B">
        <w:rPr>
          <w:rFonts w:cs="Calibri"/>
          <w:vertAlign w:val="subscript"/>
        </w:rPr>
        <w:t>4</w:t>
      </w:r>
      <w:r w:rsidRPr="00D9348B">
        <w:rPr>
          <w:rFonts w:cs="Calibri"/>
        </w:rPr>
        <w:t xml:space="preserve"> produced during the storage and treatment of manure, and from manure deposited on pasture. The category also includes N</w:t>
      </w:r>
      <w:r w:rsidRPr="00D9348B">
        <w:rPr>
          <w:rFonts w:cs="Calibri"/>
          <w:vertAlign w:val="subscript"/>
        </w:rPr>
        <w:t>2</w:t>
      </w:r>
      <w:r w:rsidRPr="00D9348B">
        <w:rPr>
          <w:rFonts w:cs="Calibri"/>
        </w:rPr>
        <w:t>O emissions produced during the storage and treatment of manure. It does not include N</w:t>
      </w:r>
      <w:r w:rsidRPr="00D9348B">
        <w:rPr>
          <w:rFonts w:cs="Calibri"/>
          <w:vertAlign w:val="subscript"/>
        </w:rPr>
        <w:t>2</w:t>
      </w:r>
      <w:r w:rsidRPr="00D9348B">
        <w:rPr>
          <w:rFonts w:cs="Calibri"/>
        </w:rPr>
        <w:t xml:space="preserve">O emissions from the spreading of animal manure and from manure deposited directly onto pasture by grazing livestock. Instead, emissions from these sources are included under the </w:t>
      </w:r>
      <w:r w:rsidRPr="00D9348B">
        <w:rPr>
          <w:rFonts w:cs="Calibri"/>
          <w:i/>
          <w:iCs/>
        </w:rPr>
        <w:t>Agricultural soils</w:t>
      </w:r>
      <w:r w:rsidRPr="00D9348B">
        <w:rPr>
          <w:rFonts w:cs="Calibri"/>
        </w:rPr>
        <w:t xml:space="preserve"> category (under </w:t>
      </w:r>
      <w:r w:rsidRPr="00D9348B">
        <w:rPr>
          <w:rFonts w:cs="Calibri"/>
          <w:i/>
          <w:iCs/>
        </w:rPr>
        <w:t>Organic nitrogen fertilisers</w:t>
      </w:r>
      <w:r w:rsidRPr="00D9348B">
        <w:rPr>
          <w:rFonts w:cs="Calibri"/>
        </w:rPr>
        <w:t xml:space="preserve"> and </w:t>
      </w:r>
      <w:r w:rsidRPr="00D9348B">
        <w:rPr>
          <w:rFonts w:cs="Calibri"/>
          <w:i/>
          <w:iCs/>
        </w:rPr>
        <w:t>Urine and dung deposited by grazing animals</w:t>
      </w:r>
      <w:r w:rsidRPr="00D9348B">
        <w:rPr>
          <w:rFonts w:cs="Calibri"/>
        </w:rPr>
        <w:t xml:space="preserve"> respectively).</w:t>
      </w:r>
    </w:p>
    <w:p w14:paraId="2289903F" w14:textId="77777777" w:rsidR="00F849A7" w:rsidRPr="00D9348B" w:rsidRDefault="00F849A7" w:rsidP="00F849A7">
      <w:pPr>
        <w:pStyle w:val="BodyText"/>
        <w:rPr>
          <w:rFonts w:cs="Calibri"/>
        </w:rPr>
      </w:pPr>
      <w:r w:rsidRPr="00D9348B">
        <w:rPr>
          <w:rFonts w:cs="Calibri"/>
        </w:rPr>
        <w:t>Methane is produced when manure decomposes in the absence of oxygen. The main factors affecting CH</w:t>
      </w:r>
      <w:r w:rsidRPr="00D9348B">
        <w:rPr>
          <w:rFonts w:cs="Calibri"/>
          <w:vertAlign w:val="subscript"/>
        </w:rPr>
        <w:t>4</w:t>
      </w:r>
      <w:r w:rsidRPr="00D9348B">
        <w:rPr>
          <w:rFonts w:cs="Calibri"/>
        </w:rPr>
        <w:t xml:space="preserve"> emissions are the amount of manure produced and the portion of the manure that decomposes anaerobically. When manure is stored or treated as a liquid (e.g., in lagoons or ponds), it decomposes anaerobically and can produce CH</w:t>
      </w:r>
      <w:r w:rsidRPr="00D9348B">
        <w:rPr>
          <w:rFonts w:cs="Calibri"/>
          <w:vertAlign w:val="subscript"/>
        </w:rPr>
        <w:t>4</w:t>
      </w:r>
      <w:r w:rsidRPr="00D9348B">
        <w:rPr>
          <w:rFonts w:cs="Calibri"/>
        </w:rPr>
        <w:t>. The temperature and the length of time spent in storage also affect the amount of CH</w:t>
      </w:r>
      <w:r w:rsidRPr="00D9348B">
        <w:rPr>
          <w:rFonts w:cs="Calibri"/>
          <w:vertAlign w:val="subscript"/>
        </w:rPr>
        <w:t>4</w:t>
      </w:r>
      <w:r w:rsidRPr="00D9348B">
        <w:rPr>
          <w:rFonts w:cs="Calibri"/>
        </w:rPr>
        <w:t xml:space="preserve"> produced. When manure is handled as a solid or when it is deposited on pastures, it tends to decompose under more aerobic conditions and less CH</w:t>
      </w:r>
      <w:r w:rsidRPr="00D9348B">
        <w:rPr>
          <w:rFonts w:cs="Calibri"/>
          <w:vertAlign w:val="subscript"/>
        </w:rPr>
        <w:t>4</w:t>
      </w:r>
      <w:r w:rsidRPr="00D9348B">
        <w:rPr>
          <w:rFonts w:cs="Calibri"/>
        </w:rPr>
        <w:t xml:space="preserve"> is produced. </w:t>
      </w:r>
    </w:p>
    <w:p w14:paraId="126F7F01" w14:textId="77777777" w:rsidR="00F849A7" w:rsidRPr="00D9348B" w:rsidRDefault="00F849A7" w:rsidP="00F849A7">
      <w:pPr>
        <w:pStyle w:val="BodyText"/>
        <w:rPr>
          <w:rFonts w:cs="Calibri"/>
        </w:rPr>
      </w:pPr>
      <w:r w:rsidRPr="00D9348B">
        <w:rPr>
          <w:rFonts w:cs="Calibri"/>
        </w:rPr>
        <w:lastRenderedPageBreak/>
        <w:t>Nitrous oxide emissions occur directly through the processes of nitrification and denitrification of nitrogen contained in the manure. They are also emitted indirectly through diffusion of oxides of nitrogen (NO</w:t>
      </w:r>
      <w:r w:rsidRPr="00D9348B">
        <w:rPr>
          <w:rFonts w:cs="Calibri"/>
          <w:vertAlign w:val="subscript"/>
        </w:rPr>
        <w:t>x</w:t>
      </w:r>
      <w:r w:rsidRPr="00D9348B">
        <w:rPr>
          <w:rFonts w:cs="Calibri"/>
        </w:rPr>
        <w:t>) into the surrounding air (volatilisation) or via leaching and runoff. As with CH</w:t>
      </w:r>
      <w:r w:rsidRPr="00D9348B">
        <w:rPr>
          <w:rFonts w:cs="Calibri"/>
          <w:vertAlign w:val="subscript"/>
        </w:rPr>
        <w:t>4</w:t>
      </w:r>
      <w:r w:rsidRPr="00D9348B">
        <w:rPr>
          <w:rFonts w:cs="Calibri"/>
        </w:rPr>
        <w:t xml:space="preserve">, the amount of </w:t>
      </w:r>
      <w:r w:rsidRPr="00D9348B">
        <w:rPr>
          <w:rFonts w:cs="Calibri"/>
          <w:spacing w:val="-2"/>
        </w:rPr>
        <w:t>N</w:t>
      </w:r>
      <w:r w:rsidRPr="00D9348B">
        <w:rPr>
          <w:rFonts w:cs="Calibri"/>
          <w:spacing w:val="-2"/>
          <w:vertAlign w:val="subscript"/>
        </w:rPr>
        <w:t>2</w:t>
      </w:r>
      <w:r w:rsidRPr="00D9348B">
        <w:rPr>
          <w:rFonts w:cs="Calibri"/>
          <w:spacing w:val="-2"/>
        </w:rPr>
        <w:t>O</w:t>
      </w:r>
      <w:r w:rsidRPr="00D9348B">
        <w:rPr>
          <w:rFonts w:cs="Calibri"/>
        </w:rPr>
        <w:t> emissions produced depends on the system of waste management and the duration of storage of the manure. In New Zealand, most manure falls on pasture, with little going into manure management systems mainly from dairy cattle. Therefore, this is only a very small source (0.3 per cent in 2018) of agricultural emissions.</w:t>
      </w:r>
    </w:p>
    <w:p w14:paraId="5A681317" w14:textId="77777777" w:rsidR="00F849A7" w:rsidRPr="00D9348B" w:rsidRDefault="00F849A7" w:rsidP="00F849A7">
      <w:pPr>
        <w:pStyle w:val="BodyText"/>
        <w:rPr>
          <w:rFonts w:cs="Calibri"/>
        </w:rPr>
      </w:pPr>
      <w:r w:rsidRPr="00D9348B">
        <w:rPr>
          <w:rFonts w:cs="Calibri"/>
        </w:rPr>
        <w:t xml:space="preserve">Pastoral farming is the principal farming system in New Zealand, which means that the share of agricultural emissions from </w:t>
      </w:r>
      <w:r w:rsidRPr="00D9348B">
        <w:rPr>
          <w:rFonts w:cs="Calibri"/>
          <w:i/>
          <w:iCs/>
        </w:rPr>
        <w:t xml:space="preserve">Manure management </w:t>
      </w:r>
      <w:r w:rsidRPr="00D9348B">
        <w:rPr>
          <w:rFonts w:cs="Calibri"/>
        </w:rPr>
        <w:t xml:space="preserve">is lower than in other countries with high use of more intensive farming practices (such as animal housing and feedlots). </w:t>
      </w:r>
    </w:p>
    <w:p w14:paraId="65B14F5E" w14:textId="77777777" w:rsidR="00F849A7" w:rsidRPr="00D9348B" w:rsidRDefault="00F849A7" w:rsidP="00F849A7">
      <w:pPr>
        <w:pStyle w:val="BodyText"/>
        <w:rPr>
          <w:rFonts w:cs="Calibri"/>
        </w:rPr>
      </w:pPr>
      <w:r w:rsidRPr="00D9348B">
        <w:rPr>
          <w:rFonts w:cs="Calibri"/>
        </w:rPr>
        <w:t xml:space="preserve">Methane from </w:t>
      </w:r>
      <w:r w:rsidRPr="00D9348B">
        <w:rPr>
          <w:rFonts w:cs="Calibri"/>
          <w:i/>
          <w:iCs/>
        </w:rPr>
        <w:t>Manure management</w:t>
      </w:r>
      <w:r w:rsidRPr="00D9348B">
        <w:rPr>
          <w:rFonts w:cs="Calibri"/>
        </w:rPr>
        <w:t xml:space="preserve"> from dairy cattle was identified as a key category for New Zealand in the 2018 level and 1990–2018 trend assessment.</w:t>
      </w:r>
    </w:p>
    <w:p w14:paraId="5E3EA635" w14:textId="77777777" w:rsidR="00F849A7" w:rsidRPr="00D9348B" w:rsidRDefault="00F849A7" w:rsidP="00F849A7">
      <w:pPr>
        <w:pStyle w:val="BodyText"/>
        <w:rPr>
          <w:rFonts w:cs="Calibri"/>
        </w:rPr>
      </w:pPr>
      <w:r w:rsidRPr="00D9348B">
        <w:rPr>
          <w:rFonts w:cs="Calibri"/>
          <w:i/>
          <w:iCs/>
        </w:rPr>
        <w:t>Manure management</w:t>
      </w:r>
      <w:r w:rsidRPr="00D9348B">
        <w:rPr>
          <w:rFonts w:cs="Calibri"/>
        </w:rPr>
        <w:t xml:space="preserve"> contributed an estimated </w:t>
      </w:r>
      <w:r w:rsidRPr="00D9348B">
        <w:rPr>
          <w:rFonts w:cs="Calibri"/>
          <w:color w:val="000000"/>
        </w:rPr>
        <w:t>1,609.7 kt CO</w:t>
      </w:r>
      <w:r w:rsidRPr="00D9348B">
        <w:rPr>
          <w:rFonts w:cs="Calibri"/>
          <w:color w:val="000000"/>
          <w:vertAlign w:val="subscript"/>
        </w:rPr>
        <w:t>2</w:t>
      </w:r>
      <w:r w:rsidRPr="00D9348B">
        <w:rPr>
          <w:rFonts w:cs="Calibri"/>
        </w:rPr>
        <w:t>-e, representing 4.3 per cent of </w:t>
      </w:r>
      <w:r w:rsidRPr="00D9348B">
        <w:rPr>
          <w:rFonts w:cs="Calibri"/>
          <w:i/>
          <w:iCs/>
        </w:rPr>
        <w:t xml:space="preserve">agriculture </w:t>
      </w:r>
      <w:r w:rsidRPr="00D9348B">
        <w:rPr>
          <w:rFonts w:cs="Calibri"/>
        </w:rPr>
        <w:t>emissions in 2018. Estimated emissions from this category consist of:</w:t>
      </w:r>
    </w:p>
    <w:p w14:paraId="247B3006" w14:textId="77777777" w:rsidR="00F849A7" w:rsidRPr="00D9348B" w:rsidRDefault="00F849A7" w:rsidP="00771A8F">
      <w:pPr>
        <w:pStyle w:val="Bullet"/>
        <w:numPr>
          <w:ilvl w:val="0"/>
          <w:numId w:val="20"/>
        </w:numPr>
        <w:rPr>
          <w:rFonts w:cs="Calibri"/>
        </w:rPr>
      </w:pPr>
      <w:r w:rsidRPr="00D9348B">
        <w:rPr>
          <w:rFonts w:cs="Calibri"/>
        </w:rPr>
        <w:t>CH</w:t>
      </w:r>
      <w:r w:rsidRPr="00D9348B">
        <w:rPr>
          <w:rFonts w:cs="Calibri"/>
          <w:vertAlign w:val="subscript"/>
        </w:rPr>
        <w:t>4</w:t>
      </w:r>
      <w:r w:rsidRPr="00D9348B">
        <w:rPr>
          <w:rFonts w:cs="Calibri"/>
        </w:rPr>
        <w:t xml:space="preserve"> emissions (92.4 per cent of </w:t>
      </w:r>
      <w:r w:rsidRPr="00D9348B">
        <w:rPr>
          <w:rFonts w:cs="Calibri"/>
          <w:i/>
          <w:iCs/>
        </w:rPr>
        <w:t>Manure management</w:t>
      </w:r>
      <w:r w:rsidRPr="00D9348B">
        <w:rPr>
          <w:rFonts w:cs="Calibri"/>
        </w:rPr>
        <w:t xml:space="preserve"> emissions)</w:t>
      </w:r>
    </w:p>
    <w:p w14:paraId="24EE17D2" w14:textId="77777777" w:rsidR="00F849A7" w:rsidRPr="00D9348B" w:rsidRDefault="00F849A7" w:rsidP="00771A8F">
      <w:pPr>
        <w:pStyle w:val="Bullet"/>
        <w:numPr>
          <w:ilvl w:val="0"/>
          <w:numId w:val="20"/>
        </w:numPr>
        <w:rPr>
          <w:rFonts w:cs="Calibri"/>
        </w:rPr>
      </w:pPr>
      <w:r w:rsidRPr="00D9348B">
        <w:rPr>
          <w:rFonts w:cs="Calibri"/>
        </w:rPr>
        <w:t>N</w:t>
      </w:r>
      <w:r w:rsidRPr="00D9348B">
        <w:rPr>
          <w:rFonts w:cs="Calibri"/>
          <w:vertAlign w:val="subscript"/>
        </w:rPr>
        <w:t>2</w:t>
      </w:r>
      <w:r w:rsidRPr="00D9348B">
        <w:rPr>
          <w:rFonts w:cs="Calibri"/>
        </w:rPr>
        <w:t xml:space="preserve">O emissions (7.6 per cent of </w:t>
      </w:r>
      <w:r w:rsidRPr="00D9348B">
        <w:rPr>
          <w:rFonts w:cs="Calibri"/>
          <w:i/>
          <w:iCs/>
        </w:rPr>
        <w:t xml:space="preserve">Manure management </w:t>
      </w:r>
      <w:r w:rsidRPr="00D9348B">
        <w:rPr>
          <w:rFonts w:cs="Calibri"/>
        </w:rPr>
        <w:t>emissions).</w:t>
      </w:r>
    </w:p>
    <w:p w14:paraId="5D148B42" w14:textId="77777777" w:rsidR="00F849A7" w:rsidRPr="00D9348B" w:rsidRDefault="00F849A7" w:rsidP="00F849A7">
      <w:pPr>
        <w:pStyle w:val="BodyText"/>
        <w:rPr>
          <w:rFonts w:cs="Calibri"/>
        </w:rPr>
      </w:pPr>
      <w:r w:rsidRPr="00D9348B">
        <w:rPr>
          <w:rFonts w:cs="Calibri"/>
        </w:rPr>
        <w:t>In 2018, N</w:t>
      </w:r>
      <w:r w:rsidRPr="00D9348B">
        <w:rPr>
          <w:rFonts w:cs="Calibri"/>
          <w:vertAlign w:val="subscript"/>
        </w:rPr>
        <w:t>2</w:t>
      </w:r>
      <w:r w:rsidRPr="00D9348B">
        <w:rPr>
          <w:rFonts w:cs="Calibri"/>
        </w:rPr>
        <w:t>O emissions were 122.5 kt CO</w:t>
      </w:r>
      <w:r w:rsidRPr="00D9348B">
        <w:rPr>
          <w:rFonts w:cs="Calibri"/>
          <w:vertAlign w:val="subscript"/>
        </w:rPr>
        <w:t>2</w:t>
      </w:r>
      <w:r w:rsidRPr="00D9348B">
        <w:rPr>
          <w:rFonts w:cs="Calibri"/>
        </w:rPr>
        <w:t xml:space="preserve">-e (0.3 per cent of emissions from the Agriculture sector) (see table 5.3.1). In comparison, the combined </w:t>
      </w:r>
      <w:r w:rsidRPr="00D9348B">
        <w:rPr>
          <w:rFonts w:cs="Calibri"/>
          <w:spacing w:val="-2"/>
        </w:rPr>
        <w:t>N</w:t>
      </w:r>
      <w:r w:rsidRPr="00D9348B">
        <w:rPr>
          <w:rFonts w:cs="Calibri"/>
          <w:spacing w:val="-2"/>
          <w:vertAlign w:val="subscript"/>
        </w:rPr>
        <w:t>2</w:t>
      </w:r>
      <w:r w:rsidRPr="00D9348B">
        <w:rPr>
          <w:rFonts w:cs="Calibri"/>
          <w:spacing w:val="-2"/>
        </w:rPr>
        <w:t>O</w:t>
      </w:r>
      <w:r w:rsidRPr="00D9348B">
        <w:rPr>
          <w:rFonts w:cs="Calibri"/>
        </w:rPr>
        <w:t xml:space="preserve"> emissions from organic fertilisers (spreading of animal manure) and manure deposited directly by grazing livestock reported under the </w:t>
      </w:r>
      <w:r w:rsidRPr="00D9348B">
        <w:rPr>
          <w:rFonts w:cs="Calibri"/>
          <w:i/>
          <w:iCs/>
        </w:rPr>
        <w:t>Agricultural soils</w:t>
      </w:r>
      <w:r w:rsidRPr="00D9348B">
        <w:rPr>
          <w:rFonts w:cs="Calibri"/>
        </w:rPr>
        <w:t xml:space="preserve"> category totalled 5,015.4</w:t>
      </w:r>
      <w:r w:rsidRPr="00D9348B" w:rsidDel="00DD5978">
        <w:rPr>
          <w:rFonts w:cs="Calibri"/>
        </w:rPr>
        <w:t xml:space="preserve"> </w:t>
      </w:r>
      <w:r w:rsidRPr="00D9348B">
        <w:rPr>
          <w:rFonts w:cs="Calibri"/>
        </w:rPr>
        <w:t>kt CO</w:t>
      </w:r>
      <w:r w:rsidRPr="00D9348B">
        <w:rPr>
          <w:rFonts w:cs="Calibri"/>
          <w:vertAlign w:val="subscript"/>
        </w:rPr>
        <w:t>2</w:t>
      </w:r>
      <w:r w:rsidRPr="00D9348B">
        <w:rPr>
          <w:rFonts w:cs="Calibri"/>
        </w:rPr>
        <w:t>-e in 2018 (13.3 per cent of emissions from the Agriculture sector).</w:t>
      </w:r>
    </w:p>
    <w:p w14:paraId="782F571D" w14:textId="77777777" w:rsidR="00F849A7" w:rsidRPr="00D9348B" w:rsidRDefault="00F849A7" w:rsidP="00F849A7">
      <w:pPr>
        <w:pStyle w:val="Table"/>
        <w:rPr>
          <w:rFonts w:cs="Calibri"/>
        </w:rPr>
      </w:pPr>
      <w:bookmarkStart w:id="728" w:name="_Toc32570920"/>
      <w:bookmarkStart w:id="729" w:name="_Toc36224555"/>
      <w:r w:rsidRPr="00D9348B">
        <w:rPr>
          <w:rFonts w:cs="Calibri"/>
        </w:rPr>
        <w:t>Table 5.3.1</w:t>
      </w:r>
      <w:r w:rsidRPr="00D9348B">
        <w:rPr>
          <w:rFonts w:cs="Calibri"/>
        </w:rPr>
        <w:tab/>
        <w:t>Trends and relative contribution of methane and nitrous oxide emissions under the manure management category between 1990 and 2018</w:t>
      </w:r>
      <w:bookmarkEnd w:id="728"/>
      <w:bookmarkEnd w:id="729"/>
    </w:p>
    <w:tbl>
      <w:tblPr>
        <w:tblW w:w="85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3"/>
        <w:gridCol w:w="842"/>
        <w:gridCol w:w="843"/>
        <w:gridCol w:w="700"/>
        <w:gridCol w:w="1123"/>
        <w:gridCol w:w="842"/>
        <w:gridCol w:w="779"/>
        <w:gridCol w:w="738"/>
        <w:gridCol w:w="732"/>
      </w:tblGrid>
      <w:tr w:rsidR="00F849A7" w:rsidRPr="00D9348B" w14:paraId="3683163D" w14:textId="77777777" w:rsidTr="005E7AB9">
        <w:tc>
          <w:tcPr>
            <w:tcW w:w="1985" w:type="dxa"/>
            <w:vMerge w:val="restart"/>
            <w:tcBorders>
              <w:top w:val="single" w:sz="4" w:space="0" w:color="365F91"/>
              <w:left w:val="nil"/>
              <w:bottom w:val="nil"/>
              <w:right w:val="nil"/>
            </w:tcBorders>
            <w:shd w:val="clear" w:color="auto" w:fill="365F91"/>
            <w:vAlign w:val="bottom"/>
          </w:tcPr>
          <w:p w14:paraId="4B2DE234" w14:textId="77777777" w:rsidR="00F849A7" w:rsidRPr="00D9348B" w:rsidRDefault="00F849A7" w:rsidP="00DB330E">
            <w:pPr>
              <w:pStyle w:val="TableTextBold"/>
              <w:keepNext/>
              <w:spacing w:before="40" w:after="40"/>
              <w:rPr>
                <w:rFonts w:cs="Calibri"/>
                <w:noProof w:val="0"/>
                <w:szCs w:val="16"/>
              </w:rPr>
            </w:pPr>
            <w:r w:rsidRPr="00D9348B">
              <w:rPr>
                <w:rFonts w:cs="Calibri"/>
                <w:noProof w:val="0"/>
                <w:color w:val="FFFFFF"/>
                <w:szCs w:val="16"/>
              </w:rPr>
              <w:t>Manure management category</w:t>
            </w:r>
          </w:p>
        </w:tc>
        <w:tc>
          <w:tcPr>
            <w:tcW w:w="1701" w:type="dxa"/>
            <w:gridSpan w:val="2"/>
            <w:tcBorders>
              <w:top w:val="single" w:sz="4" w:space="0" w:color="365F91"/>
              <w:left w:val="nil"/>
              <w:bottom w:val="nil"/>
              <w:right w:val="nil"/>
            </w:tcBorders>
            <w:shd w:val="clear" w:color="auto" w:fill="365F91"/>
            <w:vAlign w:val="bottom"/>
          </w:tcPr>
          <w:p w14:paraId="3A4BC9AB" w14:textId="77777777" w:rsidR="00F849A7" w:rsidRPr="00D9348B" w:rsidRDefault="00F849A7" w:rsidP="00DB330E">
            <w:pPr>
              <w:pStyle w:val="TableTextBold"/>
              <w:keepNext/>
              <w:spacing w:before="40" w:after="40"/>
              <w:jc w:val="center"/>
              <w:rPr>
                <w:rFonts w:cs="Calibri"/>
                <w:noProof w:val="0"/>
                <w:color w:val="FFFFFF"/>
                <w:szCs w:val="16"/>
              </w:rPr>
            </w:pPr>
            <w:r w:rsidRPr="00D9348B">
              <w:rPr>
                <w:rFonts w:cs="Calibri"/>
                <w:noProof w:val="0"/>
                <w:color w:val="FFFFFF"/>
                <w:szCs w:val="16"/>
              </w:rPr>
              <w:t xml:space="preserve">Emissions </w:t>
            </w:r>
            <w:r w:rsidRPr="00D9348B">
              <w:rPr>
                <w:rFonts w:cs="Calibri"/>
                <w:noProof w:val="0"/>
                <w:color w:val="FFFFFF"/>
                <w:szCs w:val="16"/>
              </w:rPr>
              <w:br/>
              <w:t>(kt CO</w:t>
            </w:r>
            <w:r w:rsidRPr="00D9348B">
              <w:rPr>
                <w:rFonts w:cs="Calibri"/>
                <w:noProof w:val="0"/>
                <w:color w:val="FFFFFF"/>
                <w:szCs w:val="16"/>
                <w:vertAlign w:val="subscript"/>
              </w:rPr>
              <w:t>2</w:t>
            </w:r>
            <w:r w:rsidRPr="00D9348B">
              <w:rPr>
                <w:rFonts w:cs="Calibri"/>
                <w:noProof w:val="0"/>
                <w:color w:val="FFFFFF"/>
                <w:szCs w:val="16"/>
              </w:rPr>
              <w:t>-e)</w:t>
            </w:r>
          </w:p>
        </w:tc>
        <w:tc>
          <w:tcPr>
            <w:tcW w:w="1840" w:type="dxa"/>
            <w:gridSpan w:val="2"/>
            <w:tcBorders>
              <w:top w:val="single" w:sz="4" w:space="0" w:color="365F91"/>
              <w:left w:val="nil"/>
              <w:bottom w:val="nil"/>
              <w:right w:val="nil"/>
            </w:tcBorders>
            <w:shd w:val="clear" w:color="auto" w:fill="365F91"/>
            <w:vAlign w:val="bottom"/>
          </w:tcPr>
          <w:p w14:paraId="08848ABA" w14:textId="77777777" w:rsidR="00F849A7" w:rsidRPr="00D9348B" w:rsidRDefault="00F849A7" w:rsidP="00DB330E">
            <w:pPr>
              <w:pStyle w:val="TableTextBold"/>
              <w:keepNext/>
              <w:spacing w:before="40" w:after="40"/>
              <w:jc w:val="center"/>
              <w:rPr>
                <w:rFonts w:cs="Calibri"/>
                <w:noProof w:val="0"/>
                <w:color w:val="FFFFFF"/>
                <w:szCs w:val="16"/>
              </w:rPr>
            </w:pPr>
            <w:r w:rsidRPr="00D9348B">
              <w:rPr>
                <w:rFonts w:cs="Calibri"/>
                <w:noProof w:val="0"/>
                <w:color w:val="FFFFFF"/>
                <w:szCs w:val="16"/>
              </w:rPr>
              <w:t>Change from 1990</w:t>
            </w:r>
          </w:p>
        </w:tc>
        <w:tc>
          <w:tcPr>
            <w:tcW w:w="1636" w:type="dxa"/>
            <w:gridSpan w:val="2"/>
            <w:tcBorders>
              <w:top w:val="single" w:sz="4" w:space="0" w:color="365F91"/>
              <w:left w:val="nil"/>
              <w:bottom w:val="nil"/>
              <w:right w:val="nil"/>
            </w:tcBorders>
            <w:shd w:val="clear" w:color="auto" w:fill="365F91"/>
            <w:vAlign w:val="bottom"/>
          </w:tcPr>
          <w:p w14:paraId="5FCAC0BC" w14:textId="77777777" w:rsidR="00F849A7" w:rsidRPr="00D9348B" w:rsidRDefault="00F849A7" w:rsidP="00DB330E">
            <w:pPr>
              <w:pStyle w:val="TableTextBold"/>
              <w:keepNext/>
              <w:spacing w:before="40" w:after="40"/>
              <w:jc w:val="center"/>
              <w:rPr>
                <w:rFonts w:cs="Calibri"/>
                <w:noProof w:val="0"/>
                <w:color w:val="FFFFFF"/>
                <w:szCs w:val="16"/>
              </w:rPr>
            </w:pPr>
            <w:r w:rsidRPr="00D9348B">
              <w:rPr>
                <w:rFonts w:cs="Calibri"/>
                <w:noProof w:val="0"/>
                <w:color w:val="FFFFFF"/>
                <w:szCs w:val="16"/>
              </w:rPr>
              <w:t>Share of Manure management category (%)</w:t>
            </w:r>
          </w:p>
        </w:tc>
        <w:tc>
          <w:tcPr>
            <w:tcW w:w="1482" w:type="dxa"/>
            <w:gridSpan w:val="2"/>
            <w:tcBorders>
              <w:top w:val="single" w:sz="4" w:space="0" w:color="365F91"/>
              <w:left w:val="nil"/>
              <w:bottom w:val="nil"/>
              <w:right w:val="nil"/>
            </w:tcBorders>
            <w:shd w:val="clear" w:color="auto" w:fill="365F91"/>
            <w:vAlign w:val="bottom"/>
          </w:tcPr>
          <w:p w14:paraId="0050CADC" w14:textId="77777777" w:rsidR="00F849A7" w:rsidRPr="00D9348B" w:rsidRDefault="00F849A7" w:rsidP="00DB330E">
            <w:pPr>
              <w:pStyle w:val="TableTextBold"/>
              <w:keepNext/>
              <w:spacing w:before="40" w:after="40"/>
              <w:jc w:val="center"/>
              <w:rPr>
                <w:rFonts w:cs="Calibri"/>
                <w:noProof w:val="0"/>
                <w:color w:val="FFFFFF"/>
                <w:szCs w:val="16"/>
              </w:rPr>
            </w:pPr>
            <w:r w:rsidRPr="00D9348B">
              <w:rPr>
                <w:rFonts w:cs="Calibri"/>
                <w:noProof w:val="0"/>
                <w:color w:val="FFFFFF"/>
                <w:szCs w:val="16"/>
              </w:rPr>
              <w:t>Share of total Agriculture sector (%)</w:t>
            </w:r>
          </w:p>
        </w:tc>
      </w:tr>
      <w:tr w:rsidR="00F849A7" w:rsidRPr="00D9348B" w14:paraId="4595B5AC" w14:textId="77777777" w:rsidTr="005E7AB9">
        <w:tc>
          <w:tcPr>
            <w:tcW w:w="1985" w:type="dxa"/>
            <w:vMerge/>
            <w:tcBorders>
              <w:top w:val="nil"/>
              <w:left w:val="nil"/>
              <w:bottom w:val="single" w:sz="4" w:space="0" w:color="365F91"/>
              <w:right w:val="nil"/>
            </w:tcBorders>
            <w:shd w:val="clear" w:color="auto" w:fill="365F91"/>
            <w:vAlign w:val="bottom"/>
          </w:tcPr>
          <w:p w14:paraId="5DF90477" w14:textId="77777777" w:rsidR="00F849A7" w:rsidRPr="00D9348B" w:rsidRDefault="00F849A7" w:rsidP="00DB330E">
            <w:pPr>
              <w:keepNext/>
              <w:spacing w:before="40" w:after="40"/>
              <w:rPr>
                <w:rFonts w:cs="Calibri"/>
                <w:b/>
                <w:color w:val="FFFFFF"/>
                <w:sz w:val="16"/>
                <w:szCs w:val="16"/>
              </w:rPr>
            </w:pPr>
          </w:p>
        </w:tc>
        <w:tc>
          <w:tcPr>
            <w:tcW w:w="850" w:type="dxa"/>
            <w:tcBorders>
              <w:top w:val="nil"/>
              <w:left w:val="nil"/>
              <w:bottom w:val="single" w:sz="4" w:space="0" w:color="365F91"/>
              <w:right w:val="nil"/>
            </w:tcBorders>
            <w:shd w:val="clear" w:color="auto" w:fill="365F91"/>
            <w:vAlign w:val="bottom"/>
          </w:tcPr>
          <w:p w14:paraId="352D3D72" w14:textId="77777777" w:rsidR="00F849A7" w:rsidRPr="00D9348B" w:rsidRDefault="00F849A7" w:rsidP="00DB330E">
            <w:pPr>
              <w:pStyle w:val="TableTextBold"/>
              <w:keepNext/>
              <w:spacing w:before="40" w:after="40"/>
              <w:jc w:val="center"/>
              <w:rPr>
                <w:rFonts w:cs="Calibri"/>
                <w:noProof w:val="0"/>
                <w:color w:val="FFFFFF"/>
                <w:szCs w:val="16"/>
              </w:rPr>
            </w:pPr>
            <w:r w:rsidRPr="00D9348B">
              <w:rPr>
                <w:rFonts w:cs="Calibri"/>
                <w:noProof w:val="0"/>
                <w:color w:val="FFFFFF"/>
                <w:szCs w:val="16"/>
              </w:rPr>
              <w:t>1990</w:t>
            </w:r>
          </w:p>
        </w:tc>
        <w:tc>
          <w:tcPr>
            <w:tcW w:w="851" w:type="dxa"/>
            <w:tcBorders>
              <w:top w:val="nil"/>
              <w:left w:val="nil"/>
              <w:bottom w:val="single" w:sz="4" w:space="0" w:color="365F91"/>
              <w:right w:val="nil"/>
            </w:tcBorders>
            <w:shd w:val="clear" w:color="auto" w:fill="365F91"/>
            <w:vAlign w:val="bottom"/>
          </w:tcPr>
          <w:p w14:paraId="239B0DB1" w14:textId="77777777" w:rsidR="00F849A7" w:rsidRPr="00D9348B" w:rsidRDefault="00F849A7" w:rsidP="00DB330E">
            <w:pPr>
              <w:pStyle w:val="TableTextBold"/>
              <w:keepNext/>
              <w:spacing w:before="40" w:after="40"/>
              <w:jc w:val="center"/>
              <w:rPr>
                <w:rFonts w:cs="Calibri"/>
                <w:noProof w:val="0"/>
                <w:color w:val="FFFFFF"/>
                <w:szCs w:val="16"/>
              </w:rPr>
            </w:pPr>
            <w:r w:rsidRPr="00D9348B">
              <w:rPr>
                <w:rFonts w:cs="Calibri"/>
                <w:noProof w:val="0"/>
                <w:color w:val="FFFFFF"/>
                <w:szCs w:val="16"/>
              </w:rPr>
              <w:t>2018</w:t>
            </w:r>
          </w:p>
        </w:tc>
        <w:tc>
          <w:tcPr>
            <w:tcW w:w="706" w:type="dxa"/>
            <w:tcBorders>
              <w:top w:val="nil"/>
              <w:left w:val="nil"/>
              <w:bottom w:val="single" w:sz="4" w:space="0" w:color="365F91"/>
              <w:right w:val="nil"/>
            </w:tcBorders>
            <w:shd w:val="clear" w:color="auto" w:fill="365F91"/>
            <w:vAlign w:val="bottom"/>
          </w:tcPr>
          <w:p w14:paraId="0E68F986" w14:textId="77777777" w:rsidR="00F849A7" w:rsidRPr="00D9348B" w:rsidRDefault="00F849A7" w:rsidP="00DB330E">
            <w:pPr>
              <w:pStyle w:val="TableTextBold"/>
              <w:keepNext/>
              <w:spacing w:before="40" w:after="40"/>
              <w:jc w:val="center"/>
              <w:rPr>
                <w:rFonts w:cs="Calibri"/>
                <w:noProof w:val="0"/>
                <w:color w:val="FFFFFF"/>
                <w:szCs w:val="16"/>
              </w:rPr>
            </w:pPr>
            <w:r w:rsidRPr="00D9348B">
              <w:rPr>
                <w:rFonts w:cs="Calibri"/>
                <w:noProof w:val="0"/>
                <w:color w:val="FFFFFF"/>
                <w:szCs w:val="16"/>
              </w:rPr>
              <w:t>%</w:t>
            </w:r>
          </w:p>
        </w:tc>
        <w:tc>
          <w:tcPr>
            <w:tcW w:w="1134" w:type="dxa"/>
            <w:tcBorders>
              <w:top w:val="nil"/>
              <w:left w:val="nil"/>
              <w:bottom w:val="single" w:sz="4" w:space="0" w:color="365F91"/>
              <w:right w:val="nil"/>
            </w:tcBorders>
            <w:shd w:val="clear" w:color="auto" w:fill="365F91"/>
            <w:vAlign w:val="bottom"/>
          </w:tcPr>
          <w:p w14:paraId="6C394253" w14:textId="77777777" w:rsidR="00F849A7" w:rsidRPr="00D9348B" w:rsidRDefault="00F849A7" w:rsidP="00DB330E">
            <w:pPr>
              <w:pStyle w:val="TableTextBold"/>
              <w:keepNext/>
              <w:spacing w:before="40" w:after="40"/>
              <w:jc w:val="center"/>
              <w:rPr>
                <w:rFonts w:cs="Calibri"/>
                <w:noProof w:val="0"/>
                <w:color w:val="FFFFFF"/>
                <w:szCs w:val="16"/>
              </w:rPr>
            </w:pPr>
            <w:r w:rsidRPr="00D9348B">
              <w:rPr>
                <w:rFonts w:cs="Calibri"/>
                <w:noProof w:val="0"/>
                <w:color w:val="FFFFFF"/>
                <w:szCs w:val="16"/>
              </w:rPr>
              <w:t>Difference</w:t>
            </w:r>
            <w:r w:rsidRPr="00D9348B">
              <w:rPr>
                <w:rFonts w:cs="Calibri"/>
                <w:noProof w:val="0"/>
                <w:color w:val="FFFFFF"/>
                <w:szCs w:val="16"/>
              </w:rPr>
              <w:br/>
              <w:t>(kt CO</w:t>
            </w:r>
            <w:r w:rsidRPr="00D9348B">
              <w:rPr>
                <w:rFonts w:cs="Calibri"/>
                <w:noProof w:val="0"/>
                <w:color w:val="FFFFFF"/>
                <w:szCs w:val="16"/>
                <w:vertAlign w:val="subscript"/>
              </w:rPr>
              <w:t>2</w:t>
            </w:r>
            <w:r w:rsidRPr="00D9348B">
              <w:rPr>
                <w:rFonts w:cs="Calibri"/>
                <w:noProof w:val="0"/>
                <w:color w:val="FFFFFF"/>
                <w:szCs w:val="16"/>
              </w:rPr>
              <w:t>-e)</w:t>
            </w:r>
          </w:p>
        </w:tc>
        <w:tc>
          <w:tcPr>
            <w:tcW w:w="850" w:type="dxa"/>
            <w:tcBorders>
              <w:top w:val="nil"/>
              <w:left w:val="nil"/>
              <w:bottom w:val="single" w:sz="4" w:space="0" w:color="365F91"/>
              <w:right w:val="nil"/>
            </w:tcBorders>
            <w:shd w:val="clear" w:color="auto" w:fill="365F91"/>
            <w:vAlign w:val="bottom"/>
          </w:tcPr>
          <w:p w14:paraId="6BB25047" w14:textId="77777777" w:rsidR="00F849A7" w:rsidRPr="00D9348B" w:rsidRDefault="00F849A7" w:rsidP="00DB330E">
            <w:pPr>
              <w:pStyle w:val="TableTextBold"/>
              <w:keepNext/>
              <w:spacing w:before="40" w:after="40"/>
              <w:jc w:val="right"/>
              <w:rPr>
                <w:rFonts w:cs="Calibri"/>
                <w:noProof w:val="0"/>
                <w:color w:val="FFFFFF"/>
                <w:szCs w:val="16"/>
              </w:rPr>
            </w:pPr>
            <w:r w:rsidRPr="00D9348B">
              <w:rPr>
                <w:rFonts w:cs="Calibri"/>
                <w:noProof w:val="0"/>
                <w:color w:val="FFFFFF"/>
                <w:szCs w:val="16"/>
              </w:rPr>
              <w:t>1990</w:t>
            </w:r>
          </w:p>
        </w:tc>
        <w:tc>
          <w:tcPr>
            <w:tcW w:w="786" w:type="dxa"/>
            <w:tcBorders>
              <w:top w:val="nil"/>
              <w:left w:val="nil"/>
              <w:bottom w:val="single" w:sz="4" w:space="0" w:color="365F91"/>
              <w:right w:val="nil"/>
            </w:tcBorders>
            <w:shd w:val="clear" w:color="auto" w:fill="365F91"/>
            <w:vAlign w:val="bottom"/>
          </w:tcPr>
          <w:p w14:paraId="32BEA3D0" w14:textId="77777777" w:rsidR="00F849A7" w:rsidRPr="00D9348B" w:rsidRDefault="00F849A7" w:rsidP="00DB330E">
            <w:pPr>
              <w:pStyle w:val="TableTextBold"/>
              <w:keepNext/>
              <w:spacing w:before="40" w:after="40"/>
              <w:jc w:val="right"/>
              <w:rPr>
                <w:rFonts w:cs="Calibri"/>
                <w:noProof w:val="0"/>
                <w:color w:val="FFFFFF"/>
                <w:szCs w:val="16"/>
              </w:rPr>
            </w:pPr>
            <w:r w:rsidRPr="00D9348B">
              <w:rPr>
                <w:rFonts w:cs="Calibri"/>
                <w:noProof w:val="0"/>
                <w:color w:val="FFFFFF"/>
                <w:szCs w:val="16"/>
              </w:rPr>
              <w:t>2018</w:t>
            </w:r>
          </w:p>
        </w:tc>
        <w:tc>
          <w:tcPr>
            <w:tcW w:w="744" w:type="dxa"/>
            <w:tcBorders>
              <w:top w:val="nil"/>
              <w:left w:val="nil"/>
              <w:bottom w:val="single" w:sz="4" w:space="0" w:color="365F91"/>
              <w:right w:val="nil"/>
            </w:tcBorders>
            <w:shd w:val="clear" w:color="auto" w:fill="365F91"/>
            <w:vAlign w:val="bottom"/>
          </w:tcPr>
          <w:p w14:paraId="569F2B51" w14:textId="77777777" w:rsidR="00F849A7" w:rsidRPr="00D9348B" w:rsidRDefault="00F849A7" w:rsidP="00DB330E">
            <w:pPr>
              <w:pStyle w:val="TableTextBold"/>
              <w:keepNext/>
              <w:spacing w:before="40" w:after="40"/>
              <w:jc w:val="right"/>
              <w:rPr>
                <w:rFonts w:cs="Calibri"/>
                <w:noProof w:val="0"/>
                <w:color w:val="FFFFFF"/>
                <w:szCs w:val="16"/>
              </w:rPr>
            </w:pPr>
            <w:r w:rsidRPr="00D9348B">
              <w:rPr>
                <w:rFonts w:cs="Calibri"/>
                <w:noProof w:val="0"/>
                <w:color w:val="FFFFFF"/>
                <w:szCs w:val="16"/>
              </w:rPr>
              <w:t>1990</w:t>
            </w:r>
          </w:p>
        </w:tc>
        <w:tc>
          <w:tcPr>
            <w:tcW w:w="738" w:type="dxa"/>
            <w:tcBorders>
              <w:top w:val="nil"/>
              <w:left w:val="nil"/>
              <w:bottom w:val="single" w:sz="4" w:space="0" w:color="365F91"/>
              <w:right w:val="nil"/>
            </w:tcBorders>
            <w:shd w:val="clear" w:color="auto" w:fill="365F91"/>
            <w:vAlign w:val="bottom"/>
          </w:tcPr>
          <w:p w14:paraId="334DAA94" w14:textId="77777777" w:rsidR="00F849A7" w:rsidRPr="00D9348B" w:rsidRDefault="00F849A7" w:rsidP="00DB330E">
            <w:pPr>
              <w:pStyle w:val="TableTextBold"/>
              <w:keepNext/>
              <w:spacing w:before="40" w:after="40"/>
              <w:jc w:val="right"/>
              <w:rPr>
                <w:rFonts w:cs="Calibri"/>
                <w:noProof w:val="0"/>
                <w:color w:val="FFFFFF"/>
                <w:szCs w:val="16"/>
              </w:rPr>
            </w:pPr>
            <w:r w:rsidRPr="00D9348B">
              <w:rPr>
                <w:rFonts w:cs="Calibri"/>
                <w:noProof w:val="0"/>
                <w:color w:val="FFFFFF"/>
                <w:szCs w:val="16"/>
              </w:rPr>
              <w:t>2018</w:t>
            </w:r>
          </w:p>
        </w:tc>
      </w:tr>
      <w:tr w:rsidR="00F849A7" w:rsidRPr="00D9348B" w14:paraId="5E6AF0FA" w14:textId="77777777" w:rsidTr="005E7AB9">
        <w:tc>
          <w:tcPr>
            <w:tcW w:w="1985" w:type="dxa"/>
            <w:tcBorders>
              <w:top w:val="single" w:sz="4" w:space="0" w:color="365F91"/>
              <w:left w:val="nil"/>
              <w:bottom w:val="single" w:sz="4" w:space="0" w:color="365F91"/>
              <w:right w:val="nil"/>
            </w:tcBorders>
            <w:shd w:val="clear" w:color="auto" w:fill="auto"/>
          </w:tcPr>
          <w:p w14:paraId="1B677362" w14:textId="77777777" w:rsidR="00F849A7" w:rsidRPr="00D9348B" w:rsidRDefault="00F849A7" w:rsidP="00DB330E">
            <w:pPr>
              <w:pStyle w:val="TableText"/>
              <w:keepNext/>
              <w:spacing w:before="40" w:after="40"/>
              <w:rPr>
                <w:rFonts w:cs="Calibri"/>
                <w:szCs w:val="16"/>
              </w:rPr>
            </w:pPr>
            <w:r w:rsidRPr="00D9348B">
              <w:rPr>
                <w:rFonts w:cs="Calibri"/>
                <w:szCs w:val="16"/>
              </w:rPr>
              <w:t>Methane (CRF 3.B.(a))</w:t>
            </w:r>
          </w:p>
        </w:tc>
        <w:tc>
          <w:tcPr>
            <w:tcW w:w="850" w:type="dxa"/>
            <w:tcBorders>
              <w:top w:val="single" w:sz="4" w:space="0" w:color="365F91"/>
              <w:left w:val="nil"/>
              <w:bottom w:val="single" w:sz="4" w:space="0" w:color="365F91"/>
              <w:right w:val="nil"/>
            </w:tcBorders>
            <w:shd w:val="clear" w:color="auto" w:fill="auto"/>
          </w:tcPr>
          <w:p w14:paraId="6AC23FA8" w14:textId="77777777" w:rsidR="00F849A7" w:rsidRPr="00D9348B" w:rsidRDefault="00F849A7" w:rsidP="00DB330E">
            <w:pPr>
              <w:pStyle w:val="TableText"/>
              <w:keepNext/>
              <w:spacing w:before="40" w:after="40"/>
              <w:jc w:val="right"/>
              <w:rPr>
                <w:rFonts w:cs="Calibri"/>
                <w:szCs w:val="16"/>
              </w:rPr>
            </w:pPr>
            <w:r w:rsidRPr="00D9348B">
              <w:rPr>
                <w:rFonts w:cs="Calibri"/>
                <w:szCs w:val="16"/>
              </w:rPr>
              <w:t>670.7</w:t>
            </w:r>
          </w:p>
        </w:tc>
        <w:tc>
          <w:tcPr>
            <w:tcW w:w="851" w:type="dxa"/>
            <w:tcBorders>
              <w:top w:val="single" w:sz="4" w:space="0" w:color="365F91"/>
              <w:left w:val="nil"/>
              <w:bottom w:val="single" w:sz="4" w:space="0" w:color="365F91"/>
              <w:right w:val="nil"/>
            </w:tcBorders>
            <w:shd w:val="clear" w:color="auto" w:fill="auto"/>
          </w:tcPr>
          <w:p w14:paraId="3910EDB1" w14:textId="77777777" w:rsidR="00F849A7" w:rsidRPr="00D9348B" w:rsidRDefault="00F849A7" w:rsidP="00DB330E">
            <w:pPr>
              <w:pStyle w:val="TableText"/>
              <w:keepNext/>
              <w:spacing w:before="40" w:after="40"/>
              <w:jc w:val="right"/>
              <w:rPr>
                <w:rFonts w:cs="Calibri"/>
                <w:szCs w:val="16"/>
              </w:rPr>
            </w:pPr>
            <w:r w:rsidRPr="00D9348B">
              <w:rPr>
                <w:rFonts w:cs="Calibri"/>
                <w:szCs w:val="16"/>
              </w:rPr>
              <w:t>1,487.2</w:t>
            </w:r>
          </w:p>
        </w:tc>
        <w:tc>
          <w:tcPr>
            <w:tcW w:w="706" w:type="dxa"/>
            <w:tcBorders>
              <w:top w:val="single" w:sz="4" w:space="0" w:color="365F91"/>
              <w:left w:val="nil"/>
              <w:bottom w:val="single" w:sz="4" w:space="0" w:color="365F91"/>
              <w:right w:val="nil"/>
            </w:tcBorders>
            <w:shd w:val="clear" w:color="auto" w:fill="auto"/>
          </w:tcPr>
          <w:p w14:paraId="597B7B16" w14:textId="77777777" w:rsidR="00F849A7" w:rsidRPr="00D9348B" w:rsidRDefault="00F849A7" w:rsidP="00DB330E">
            <w:pPr>
              <w:pStyle w:val="TableText"/>
              <w:keepNext/>
              <w:spacing w:before="40" w:after="40"/>
              <w:jc w:val="right"/>
              <w:rPr>
                <w:rFonts w:cs="Calibri"/>
                <w:szCs w:val="16"/>
              </w:rPr>
            </w:pPr>
            <w:r w:rsidRPr="00D9348B">
              <w:rPr>
                <w:rFonts w:cs="Calibri"/>
                <w:szCs w:val="16"/>
              </w:rPr>
              <w:t>121.7</w:t>
            </w:r>
          </w:p>
        </w:tc>
        <w:tc>
          <w:tcPr>
            <w:tcW w:w="1134" w:type="dxa"/>
            <w:tcBorders>
              <w:top w:val="single" w:sz="4" w:space="0" w:color="365F91"/>
              <w:left w:val="nil"/>
              <w:bottom w:val="single" w:sz="4" w:space="0" w:color="365F91"/>
              <w:right w:val="nil"/>
            </w:tcBorders>
            <w:shd w:val="clear" w:color="auto" w:fill="auto"/>
          </w:tcPr>
          <w:p w14:paraId="712DE863" w14:textId="77777777" w:rsidR="00F849A7" w:rsidRPr="00D9348B" w:rsidRDefault="00F849A7" w:rsidP="00DB330E">
            <w:pPr>
              <w:pStyle w:val="TableText"/>
              <w:keepNext/>
              <w:spacing w:before="40" w:after="40"/>
              <w:jc w:val="right"/>
              <w:rPr>
                <w:rFonts w:cs="Calibri"/>
                <w:szCs w:val="16"/>
              </w:rPr>
            </w:pPr>
            <w:r w:rsidRPr="00D9348B">
              <w:rPr>
                <w:rFonts w:cs="Calibri"/>
                <w:szCs w:val="16"/>
              </w:rPr>
              <w:t>816.4</w:t>
            </w:r>
          </w:p>
        </w:tc>
        <w:tc>
          <w:tcPr>
            <w:tcW w:w="850" w:type="dxa"/>
            <w:tcBorders>
              <w:top w:val="single" w:sz="4" w:space="0" w:color="365F91"/>
              <w:left w:val="nil"/>
              <w:bottom w:val="single" w:sz="4" w:space="0" w:color="365F91"/>
              <w:right w:val="nil"/>
            </w:tcBorders>
            <w:shd w:val="clear" w:color="auto" w:fill="auto"/>
          </w:tcPr>
          <w:p w14:paraId="0938FF4D" w14:textId="77777777" w:rsidR="00F849A7" w:rsidRPr="00D9348B" w:rsidRDefault="00F849A7" w:rsidP="00DB330E">
            <w:pPr>
              <w:pStyle w:val="TableText"/>
              <w:keepNext/>
              <w:spacing w:before="40" w:after="40"/>
              <w:jc w:val="right"/>
              <w:rPr>
                <w:rFonts w:cs="Calibri"/>
                <w:szCs w:val="16"/>
              </w:rPr>
            </w:pPr>
            <w:r w:rsidRPr="00D9348B">
              <w:rPr>
                <w:rFonts w:cs="Calibri"/>
                <w:szCs w:val="16"/>
              </w:rPr>
              <w:t>92.8</w:t>
            </w:r>
          </w:p>
        </w:tc>
        <w:tc>
          <w:tcPr>
            <w:tcW w:w="786" w:type="dxa"/>
            <w:tcBorders>
              <w:top w:val="single" w:sz="4" w:space="0" w:color="365F91"/>
              <w:left w:val="nil"/>
              <w:bottom w:val="single" w:sz="4" w:space="0" w:color="365F91"/>
              <w:right w:val="nil"/>
            </w:tcBorders>
            <w:shd w:val="clear" w:color="auto" w:fill="auto"/>
          </w:tcPr>
          <w:p w14:paraId="6AA6DEA6" w14:textId="77777777" w:rsidR="00F849A7" w:rsidRPr="00D9348B" w:rsidRDefault="00F849A7" w:rsidP="00DB330E">
            <w:pPr>
              <w:pStyle w:val="TableText"/>
              <w:keepNext/>
              <w:spacing w:before="40" w:after="40"/>
              <w:jc w:val="right"/>
              <w:rPr>
                <w:rFonts w:cs="Calibri"/>
                <w:szCs w:val="16"/>
              </w:rPr>
            </w:pPr>
            <w:r w:rsidRPr="00D9348B">
              <w:rPr>
                <w:rFonts w:cs="Calibri"/>
                <w:szCs w:val="16"/>
              </w:rPr>
              <w:t>92.4</w:t>
            </w:r>
          </w:p>
        </w:tc>
        <w:tc>
          <w:tcPr>
            <w:tcW w:w="744" w:type="dxa"/>
            <w:tcBorders>
              <w:top w:val="single" w:sz="4" w:space="0" w:color="365F91"/>
              <w:left w:val="nil"/>
              <w:bottom w:val="single" w:sz="4" w:space="0" w:color="365F91"/>
              <w:right w:val="nil"/>
            </w:tcBorders>
            <w:shd w:val="clear" w:color="auto" w:fill="auto"/>
          </w:tcPr>
          <w:p w14:paraId="1EB8708E" w14:textId="77777777" w:rsidR="00F849A7" w:rsidRPr="00D9348B" w:rsidRDefault="00F849A7" w:rsidP="00DB330E">
            <w:pPr>
              <w:pStyle w:val="TableText"/>
              <w:keepNext/>
              <w:spacing w:before="40" w:after="40"/>
              <w:jc w:val="right"/>
              <w:rPr>
                <w:rFonts w:cs="Calibri"/>
                <w:szCs w:val="16"/>
              </w:rPr>
            </w:pPr>
            <w:r w:rsidRPr="00D9348B">
              <w:rPr>
                <w:rFonts w:cs="Calibri"/>
                <w:szCs w:val="16"/>
              </w:rPr>
              <w:t>2.1</w:t>
            </w:r>
          </w:p>
        </w:tc>
        <w:tc>
          <w:tcPr>
            <w:tcW w:w="738" w:type="dxa"/>
            <w:tcBorders>
              <w:top w:val="single" w:sz="4" w:space="0" w:color="365F91"/>
              <w:left w:val="nil"/>
              <w:bottom w:val="single" w:sz="4" w:space="0" w:color="365F91"/>
              <w:right w:val="nil"/>
            </w:tcBorders>
            <w:shd w:val="clear" w:color="auto" w:fill="auto"/>
          </w:tcPr>
          <w:p w14:paraId="24C2C0CB" w14:textId="77777777" w:rsidR="00F849A7" w:rsidRPr="00D9348B" w:rsidRDefault="00F849A7" w:rsidP="00DB330E">
            <w:pPr>
              <w:pStyle w:val="TableText"/>
              <w:keepNext/>
              <w:spacing w:before="40" w:after="40"/>
              <w:jc w:val="right"/>
              <w:rPr>
                <w:rFonts w:cs="Calibri"/>
                <w:szCs w:val="16"/>
              </w:rPr>
            </w:pPr>
            <w:r w:rsidRPr="00D9348B">
              <w:rPr>
                <w:rFonts w:cs="Calibri"/>
                <w:szCs w:val="16"/>
              </w:rPr>
              <w:t>3.9</w:t>
            </w:r>
          </w:p>
        </w:tc>
      </w:tr>
      <w:tr w:rsidR="00F849A7" w:rsidRPr="00D9348B" w14:paraId="2255FB14" w14:textId="77777777" w:rsidTr="005E7AB9">
        <w:tc>
          <w:tcPr>
            <w:tcW w:w="1985" w:type="dxa"/>
            <w:tcBorders>
              <w:top w:val="single" w:sz="4" w:space="0" w:color="365F91"/>
              <w:left w:val="nil"/>
              <w:bottom w:val="single" w:sz="4" w:space="0" w:color="365F91"/>
              <w:right w:val="nil"/>
            </w:tcBorders>
            <w:shd w:val="clear" w:color="auto" w:fill="auto"/>
          </w:tcPr>
          <w:p w14:paraId="47ABA0BA" w14:textId="77777777" w:rsidR="00F849A7" w:rsidRPr="00D9348B" w:rsidRDefault="00F849A7" w:rsidP="00DB330E">
            <w:pPr>
              <w:pStyle w:val="TableText"/>
              <w:spacing w:before="40" w:after="40"/>
              <w:rPr>
                <w:rFonts w:cs="Calibri"/>
                <w:szCs w:val="16"/>
              </w:rPr>
            </w:pPr>
            <w:r w:rsidRPr="00D9348B">
              <w:rPr>
                <w:rFonts w:cs="Calibri"/>
                <w:szCs w:val="16"/>
              </w:rPr>
              <w:t>Nitrous oxide (</w:t>
            </w:r>
            <w:r w:rsidRPr="00D9348B">
              <w:rPr>
                <w:rFonts w:cs="Calibri"/>
                <w:spacing w:val="-2"/>
                <w:szCs w:val="16"/>
              </w:rPr>
              <w:t>CRF 3.B.(b))</w:t>
            </w:r>
          </w:p>
        </w:tc>
        <w:tc>
          <w:tcPr>
            <w:tcW w:w="850" w:type="dxa"/>
            <w:tcBorders>
              <w:top w:val="single" w:sz="4" w:space="0" w:color="365F91"/>
              <w:left w:val="nil"/>
              <w:bottom w:val="single" w:sz="4" w:space="0" w:color="365F91"/>
              <w:right w:val="nil"/>
            </w:tcBorders>
            <w:shd w:val="clear" w:color="auto" w:fill="auto"/>
            <w:vAlign w:val="bottom"/>
          </w:tcPr>
          <w:p w14:paraId="1E41EDB8" w14:textId="77777777" w:rsidR="00F849A7" w:rsidRPr="00D9348B" w:rsidRDefault="00F849A7" w:rsidP="00DB330E">
            <w:pPr>
              <w:pStyle w:val="TableText"/>
              <w:spacing w:before="40" w:after="40"/>
              <w:jc w:val="right"/>
              <w:rPr>
                <w:rFonts w:cs="Calibri"/>
                <w:szCs w:val="16"/>
              </w:rPr>
            </w:pPr>
            <w:r w:rsidRPr="00D9348B">
              <w:rPr>
                <w:rFonts w:cs="Calibri"/>
                <w:szCs w:val="16"/>
              </w:rPr>
              <w:t>51.9</w:t>
            </w:r>
          </w:p>
        </w:tc>
        <w:tc>
          <w:tcPr>
            <w:tcW w:w="851" w:type="dxa"/>
            <w:tcBorders>
              <w:top w:val="single" w:sz="4" w:space="0" w:color="365F91"/>
              <w:left w:val="nil"/>
              <w:bottom w:val="single" w:sz="4" w:space="0" w:color="365F91"/>
              <w:right w:val="nil"/>
            </w:tcBorders>
            <w:shd w:val="clear" w:color="auto" w:fill="auto"/>
            <w:vAlign w:val="bottom"/>
          </w:tcPr>
          <w:p w14:paraId="62495FC4" w14:textId="77777777" w:rsidR="00F849A7" w:rsidRPr="00D9348B" w:rsidRDefault="00F849A7" w:rsidP="00DB330E">
            <w:pPr>
              <w:pStyle w:val="TableText"/>
              <w:spacing w:before="40" w:after="40"/>
              <w:jc w:val="right"/>
              <w:rPr>
                <w:rFonts w:cs="Calibri"/>
                <w:szCs w:val="16"/>
              </w:rPr>
            </w:pPr>
            <w:r w:rsidRPr="00D9348B">
              <w:rPr>
                <w:rFonts w:cs="Calibri"/>
                <w:szCs w:val="16"/>
              </w:rPr>
              <w:t>122.5</w:t>
            </w:r>
          </w:p>
        </w:tc>
        <w:tc>
          <w:tcPr>
            <w:tcW w:w="706" w:type="dxa"/>
            <w:tcBorders>
              <w:top w:val="single" w:sz="4" w:space="0" w:color="365F91"/>
              <w:left w:val="nil"/>
              <w:bottom w:val="single" w:sz="4" w:space="0" w:color="365F91"/>
              <w:right w:val="nil"/>
            </w:tcBorders>
            <w:shd w:val="clear" w:color="auto" w:fill="auto"/>
            <w:vAlign w:val="bottom"/>
          </w:tcPr>
          <w:p w14:paraId="33EBDDB0" w14:textId="77777777" w:rsidR="00F849A7" w:rsidRPr="00D9348B" w:rsidRDefault="00F849A7" w:rsidP="00DB330E">
            <w:pPr>
              <w:pStyle w:val="TableText"/>
              <w:spacing w:before="40" w:after="40"/>
              <w:jc w:val="right"/>
              <w:rPr>
                <w:rFonts w:cs="Calibri"/>
                <w:szCs w:val="16"/>
              </w:rPr>
            </w:pPr>
            <w:r w:rsidRPr="00D9348B">
              <w:rPr>
                <w:rFonts w:cs="Calibri"/>
                <w:szCs w:val="16"/>
              </w:rPr>
              <w:t>135.9</w:t>
            </w:r>
          </w:p>
        </w:tc>
        <w:tc>
          <w:tcPr>
            <w:tcW w:w="1134" w:type="dxa"/>
            <w:tcBorders>
              <w:top w:val="single" w:sz="4" w:space="0" w:color="365F91"/>
              <w:left w:val="nil"/>
              <w:bottom w:val="single" w:sz="4" w:space="0" w:color="365F91"/>
              <w:right w:val="nil"/>
            </w:tcBorders>
            <w:shd w:val="clear" w:color="auto" w:fill="auto"/>
            <w:vAlign w:val="bottom"/>
          </w:tcPr>
          <w:p w14:paraId="7AA46999" w14:textId="77777777" w:rsidR="00F849A7" w:rsidRPr="00D9348B" w:rsidRDefault="00F849A7" w:rsidP="00DB330E">
            <w:pPr>
              <w:pStyle w:val="TableText"/>
              <w:spacing w:before="40" w:after="40"/>
              <w:jc w:val="right"/>
              <w:rPr>
                <w:rFonts w:cs="Calibri"/>
                <w:szCs w:val="16"/>
              </w:rPr>
            </w:pPr>
            <w:r w:rsidRPr="00D9348B">
              <w:rPr>
                <w:rFonts w:cs="Calibri"/>
                <w:szCs w:val="16"/>
              </w:rPr>
              <w:t>70.6</w:t>
            </w:r>
          </w:p>
        </w:tc>
        <w:tc>
          <w:tcPr>
            <w:tcW w:w="850" w:type="dxa"/>
            <w:tcBorders>
              <w:top w:val="single" w:sz="4" w:space="0" w:color="365F91"/>
              <w:left w:val="nil"/>
              <w:bottom w:val="single" w:sz="4" w:space="0" w:color="365F91"/>
              <w:right w:val="nil"/>
            </w:tcBorders>
            <w:shd w:val="clear" w:color="auto" w:fill="auto"/>
            <w:vAlign w:val="bottom"/>
          </w:tcPr>
          <w:p w14:paraId="1074096C" w14:textId="77777777" w:rsidR="00F849A7" w:rsidRPr="00D9348B" w:rsidRDefault="00F849A7" w:rsidP="00DB330E">
            <w:pPr>
              <w:pStyle w:val="TableText"/>
              <w:spacing w:before="40" w:after="40"/>
              <w:jc w:val="right"/>
              <w:rPr>
                <w:rFonts w:cs="Calibri"/>
                <w:szCs w:val="16"/>
              </w:rPr>
            </w:pPr>
            <w:r w:rsidRPr="00D9348B">
              <w:rPr>
                <w:rFonts w:cs="Calibri"/>
                <w:szCs w:val="16"/>
              </w:rPr>
              <w:t>7.2</w:t>
            </w:r>
          </w:p>
        </w:tc>
        <w:tc>
          <w:tcPr>
            <w:tcW w:w="786" w:type="dxa"/>
            <w:tcBorders>
              <w:top w:val="single" w:sz="4" w:space="0" w:color="365F91"/>
              <w:left w:val="nil"/>
              <w:bottom w:val="single" w:sz="4" w:space="0" w:color="365F91"/>
              <w:right w:val="nil"/>
            </w:tcBorders>
            <w:shd w:val="clear" w:color="auto" w:fill="auto"/>
            <w:vAlign w:val="bottom"/>
          </w:tcPr>
          <w:p w14:paraId="4E9A2B02" w14:textId="77777777" w:rsidR="00F849A7" w:rsidRPr="00D9348B" w:rsidRDefault="00F849A7" w:rsidP="00DB330E">
            <w:pPr>
              <w:pStyle w:val="TableText"/>
              <w:spacing w:before="40" w:after="40"/>
              <w:jc w:val="right"/>
              <w:rPr>
                <w:rFonts w:cs="Calibri"/>
                <w:szCs w:val="16"/>
              </w:rPr>
            </w:pPr>
            <w:r w:rsidRPr="00D9348B">
              <w:rPr>
                <w:rFonts w:cs="Calibri"/>
                <w:szCs w:val="16"/>
              </w:rPr>
              <w:t>7.6</w:t>
            </w:r>
          </w:p>
        </w:tc>
        <w:tc>
          <w:tcPr>
            <w:tcW w:w="744" w:type="dxa"/>
            <w:tcBorders>
              <w:top w:val="single" w:sz="4" w:space="0" w:color="365F91"/>
              <w:left w:val="nil"/>
              <w:bottom w:val="single" w:sz="4" w:space="0" w:color="365F91"/>
              <w:right w:val="nil"/>
            </w:tcBorders>
            <w:shd w:val="clear" w:color="auto" w:fill="auto"/>
            <w:vAlign w:val="bottom"/>
          </w:tcPr>
          <w:p w14:paraId="0B70BD1A" w14:textId="77777777" w:rsidR="00F849A7" w:rsidRPr="00D9348B" w:rsidRDefault="00F849A7" w:rsidP="00DB330E">
            <w:pPr>
              <w:pStyle w:val="TableText"/>
              <w:spacing w:before="40" w:after="40"/>
              <w:jc w:val="right"/>
              <w:rPr>
                <w:rFonts w:cs="Calibri"/>
                <w:szCs w:val="16"/>
              </w:rPr>
            </w:pPr>
            <w:r w:rsidRPr="00D9348B">
              <w:rPr>
                <w:rFonts w:cs="Calibri"/>
                <w:szCs w:val="16"/>
              </w:rPr>
              <w:t>0.2</w:t>
            </w:r>
          </w:p>
        </w:tc>
        <w:tc>
          <w:tcPr>
            <w:tcW w:w="738" w:type="dxa"/>
            <w:tcBorders>
              <w:top w:val="single" w:sz="4" w:space="0" w:color="365F91"/>
              <w:left w:val="nil"/>
              <w:bottom w:val="single" w:sz="4" w:space="0" w:color="365F91"/>
              <w:right w:val="nil"/>
            </w:tcBorders>
            <w:shd w:val="clear" w:color="auto" w:fill="auto"/>
            <w:vAlign w:val="bottom"/>
          </w:tcPr>
          <w:p w14:paraId="7F134BF5" w14:textId="77777777" w:rsidR="00F849A7" w:rsidRPr="00D9348B" w:rsidRDefault="00F849A7" w:rsidP="00DB330E">
            <w:pPr>
              <w:pStyle w:val="TableText"/>
              <w:spacing w:before="40" w:after="40"/>
              <w:jc w:val="right"/>
              <w:rPr>
                <w:rFonts w:cs="Calibri"/>
                <w:szCs w:val="16"/>
              </w:rPr>
            </w:pPr>
            <w:r w:rsidRPr="00D9348B">
              <w:rPr>
                <w:rFonts w:cs="Calibri"/>
                <w:szCs w:val="16"/>
              </w:rPr>
              <w:t>0.3</w:t>
            </w:r>
          </w:p>
        </w:tc>
      </w:tr>
    </w:tbl>
    <w:p w14:paraId="578DF885" w14:textId="77777777" w:rsidR="00F849A7" w:rsidRPr="00D9348B" w:rsidRDefault="00F849A7" w:rsidP="00F849A7">
      <w:pPr>
        <w:pStyle w:val="BodyText"/>
        <w:spacing w:before="240"/>
        <w:rPr>
          <w:rFonts w:cs="Calibri"/>
        </w:rPr>
      </w:pPr>
      <w:r w:rsidRPr="00D9348B">
        <w:rPr>
          <w:rFonts w:cs="Calibri"/>
        </w:rPr>
        <w:t xml:space="preserve">Table 5.3.2 shows the distribution of livestock waste across animal waste management systems in New Zealand. All non-dairy cattle, sheep and deer manure is deposited directly onto pasture. Dairy cattle have a small amount of excreta (7.3 per cent in 2018) stored in anaerobic lagoon waste systems (Rollo et al., unpublished). This is based on the proportion of time dairy cattle spend on pasture compared with the time they spend in the milking shed. </w:t>
      </w:r>
    </w:p>
    <w:p w14:paraId="7C83E060" w14:textId="77777777" w:rsidR="00F849A7" w:rsidRPr="00D9348B" w:rsidRDefault="00F849A7" w:rsidP="00F849A7">
      <w:pPr>
        <w:pStyle w:val="BodyText"/>
        <w:rPr>
          <w:rFonts w:cs="Calibri"/>
        </w:rPr>
      </w:pPr>
      <w:r w:rsidRPr="00D9348B">
        <w:rPr>
          <w:rFonts w:cs="Calibri"/>
        </w:rPr>
        <w:t xml:space="preserve">The minor livestock categories of </w:t>
      </w:r>
      <w:r w:rsidRPr="00D9348B">
        <w:rPr>
          <w:rFonts w:cs="Calibri"/>
          <w:i/>
          <w:iCs/>
        </w:rPr>
        <w:t>Goats</w:t>
      </w:r>
      <w:r w:rsidRPr="00D9348B">
        <w:rPr>
          <w:rFonts w:cs="Calibri"/>
        </w:rPr>
        <w:t xml:space="preserve">, </w:t>
      </w:r>
      <w:r w:rsidRPr="00D9348B">
        <w:rPr>
          <w:rFonts w:cs="Calibri"/>
          <w:i/>
          <w:iCs/>
        </w:rPr>
        <w:t>Horses</w:t>
      </w:r>
      <w:r w:rsidRPr="00D9348B">
        <w:rPr>
          <w:rFonts w:cs="Calibri"/>
        </w:rPr>
        <w:t xml:space="preserve">, </w:t>
      </w:r>
      <w:r w:rsidRPr="00D9348B">
        <w:rPr>
          <w:rFonts w:cs="Calibri"/>
          <w:i/>
          <w:iCs/>
        </w:rPr>
        <w:t>Mules and asses</w:t>
      </w:r>
      <w:r w:rsidRPr="00D9348B">
        <w:rPr>
          <w:rFonts w:cs="Calibri"/>
        </w:rPr>
        <w:t xml:space="preserve">, and </w:t>
      </w:r>
      <w:r w:rsidRPr="00D9348B">
        <w:rPr>
          <w:rFonts w:cs="Calibri"/>
          <w:i/>
          <w:iCs/>
        </w:rPr>
        <w:t>Llamas and alpacas</w:t>
      </w:r>
      <w:r w:rsidRPr="00D9348B">
        <w:rPr>
          <w:rFonts w:cs="Calibri"/>
        </w:rPr>
        <w:t xml:space="preserve"> are assumed to graze outdoors all year and deposit all of their manure directly onto pastures. Estimates of the proportions of different waste management systems for swine and poultry in the manure management systems in New Zealand have been provided by Hill (2012) and Fick et al. (2011) respectively.</w:t>
      </w:r>
    </w:p>
    <w:p w14:paraId="6A43CFD0" w14:textId="77777777" w:rsidR="00F849A7" w:rsidRPr="00D9348B" w:rsidRDefault="00F849A7" w:rsidP="00F849A7">
      <w:pPr>
        <w:pStyle w:val="Table"/>
        <w:rPr>
          <w:rFonts w:cs="Calibri"/>
        </w:rPr>
      </w:pPr>
      <w:bookmarkStart w:id="730" w:name="_Toc32570921"/>
      <w:bookmarkStart w:id="731" w:name="_Toc36224556"/>
      <w:r w:rsidRPr="00D9348B">
        <w:rPr>
          <w:rFonts w:cs="Calibri"/>
        </w:rPr>
        <w:lastRenderedPageBreak/>
        <w:t>Table 5.3.2</w:t>
      </w:r>
      <w:r w:rsidRPr="00D9348B">
        <w:rPr>
          <w:rFonts w:cs="Calibri"/>
        </w:rPr>
        <w:tab/>
        <w:t>Distribution of livestock waste across animal waste management systems in New Zealand</w:t>
      </w:r>
      <w:bookmarkEnd w:id="730"/>
      <w:bookmarkEnd w:id="731"/>
    </w:p>
    <w:tbl>
      <w:tblPr>
        <w:tblW w:w="8562" w:type="dxa"/>
        <w:tblInd w:w="108" w:type="dxa"/>
        <w:tblBorders>
          <w:top w:val="single" w:sz="4" w:space="0" w:color="365F91"/>
          <w:bottom w:val="single" w:sz="4" w:space="0" w:color="365F91"/>
          <w:insideH w:val="single" w:sz="4" w:space="0" w:color="365F91"/>
        </w:tblBorders>
        <w:tblLayout w:type="fixed"/>
        <w:tblLook w:val="01E0" w:firstRow="1" w:lastRow="1" w:firstColumn="1" w:lastColumn="1" w:noHBand="0" w:noVBand="0"/>
      </w:tblPr>
      <w:tblGrid>
        <w:gridCol w:w="1702"/>
        <w:gridCol w:w="1361"/>
        <w:gridCol w:w="1504"/>
        <w:gridCol w:w="1712"/>
        <w:gridCol w:w="1258"/>
        <w:gridCol w:w="1025"/>
      </w:tblGrid>
      <w:tr w:rsidR="00F849A7" w:rsidRPr="00D9348B" w14:paraId="0F7C3F56" w14:textId="77777777" w:rsidTr="005E7AB9">
        <w:trPr>
          <w:cantSplit/>
          <w:tblHeader/>
        </w:trPr>
        <w:tc>
          <w:tcPr>
            <w:tcW w:w="1690" w:type="dxa"/>
            <w:shd w:val="clear" w:color="auto" w:fill="365F91"/>
            <w:vAlign w:val="bottom"/>
          </w:tcPr>
          <w:p w14:paraId="46885207" w14:textId="77777777" w:rsidR="00F849A7" w:rsidRPr="00D9348B" w:rsidRDefault="00F849A7" w:rsidP="00DB330E">
            <w:pPr>
              <w:pStyle w:val="TableTextBold"/>
              <w:keepNext/>
              <w:rPr>
                <w:rFonts w:cs="Calibri"/>
                <w:noProof w:val="0"/>
                <w:color w:val="FFFFFF"/>
                <w:szCs w:val="16"/>
              </w:rPr>
            </w:pPr>
            <w:r w:rsidRPr="00D9348B">
              <w:rPr>
                <w:rFonts w:cs="Calibri"/>
                <w:noProof w:val="0"/>
                <w:color w:val="FFFFFF"/>
                <w:szCs w:val="16"/>
              </w:rPr>
              <w:t>Livestock category</w:t>
            </w:r>
          </w:p>
        </w:tc>
        <w:tc>
          <w:tcPr>
            <w:tcW w:w="1352" w:type="dxa"/>
            <w:shd w:val="clear" w:color="auto" w:fill="365F91"/>
            <w:vAlign w:val="bottom"/>
          </w:tcPr>
          <w:p w14:paraId="76BFACDB" w14:textId="77777777" w:rsidR="00F849A7" w:rsidRPr="00D9348B" w:rsidRDefault="00F849A7" w:rsidP="00DB330E">
            <w:pPr>
              <w:pStyle w:val="TableTextBold"/>
              <w:keepNext/>
              <w:jc w:val="center"/>
              <w:rPr>
                <w:rFonts w:cs="Calibri"/>
                <w:noProof w:val="0"/>
                <w:color w:val="FFFFFF"/>
                <w:szCs w:val="16"/>
              </w:rPr>
            </w:pPr>
            <w:r w:rsidRPr="00D9348B">
              <w:rPr>
                <w:rFonts w:cs="Calibri"/>
                <w:noProof w:val="0"/>
                <w:color w:val="FFFFFF"/>
                <w:szCs w:val="16"/>
              </w:rPr>
              <w:t>Anaerobic lagoon (%)</w:t>
            </w:r>
          </w:p>
        </w:tc>
        <w:tc>
          <w:tcPr>
            <w:tcW w:w="1494" w:type="dxa"/>
            <w:shd w:val="clear" w:color="auto" w:fill="365F91"/>
            <w:vAlign w:val="bottom"/>
          </w:tcPr>
          <w:p w14:paraId="3257575A" w14:textId="77777777" w:rsidR="00F849A7" w:rsidRPr="00D9348B" w:rsidRDefault="00F849A7" w:rsidP="00DB330E">
            <w:pPr>
              <w:pStyle w:val="TableTextBold"/>
              <w:keepNext/>
              <w:jc w:val="center"/>
              <w:rPr>
                <w:rFonts w:cs="Calibri"/>
                <w:noProof w:val="0"/>
                <w:color w:val="FFFFFF"/>
                <w:szCs w:val="16"/>
              </w:rPr>
            </w:pPr>
            <w:r w:rsidRPr="00D9348B">
              <w:rPr>
                <w:rFonts w:cs="Calibri"/>
                <w:noProof w:val="0"/>
                <w:color w:val="FFFFFF"/>
                <w:szCs w:val="16"/>
              </w:rPr>
              <w:t>Daily spread</w:t>
            </w:r>
            <w:r w:rsidRPr="00D9348B">
              <w:rPr>
                <w:rStyle w:val="FootnoteReference"/>
                <w:rFonts w:cs="Calibri"/>
                <w:noProof w:val="0"/>
                <w:color w:val="FFFFFF"/>
                <w:sz w:val="16"/>
                <w:szCs w:val="16"/>
              </w:rPr>
              <w:footnoteReference w:id="48"/>
            </w:r>
            <w:r w:rsidRPr="00D9348B">
              <w:rPr>
                <w:rFonts w:cs="Calibri"/>
                <w:noProof w:val="0"/>
                <w:color w:val="FFFFFF"/>
                <w:szCs w:val="16"/>
              </w:rPr>
              <w:t xml:space="preserve"> (%)</w:t>
            </w:r>
          </w:p>
        </w:tc>
        <w:tc>
          <w:tcPr>
            <w:tcW w:w="1701" w:type="dxa"/>
            <w:shd w:val="clear" w:color="auto" w:fill="365F91"/>
            <w:vAlign w:val="bottom"/>
          </w:tcPr>
          <w:p w14:paraId="5BBEF308" w14:textId="77777777" w:rsidR="00F849A7" w:rsidRPr="00D9348B" w:rsidRDefault="00F849A7" w:rsidP="00DB330E">
            <w:pPr>
              <w:pStyle w:val="TableTextBold"/>
              <w:keepNext/>
              <w:jc w:val="center"/>
              <w:rPr>
                <w:rFonts w:cs="Calibri"/>
                <w:noProof w:val="0"/>
                <w:color w:val="FFFFFF"/>
                <w:szCs w:val="16"/>
              </w:rPr>
            </w:pPr>
            <w:r w:rsidRPr="00D9348B">
              <w:rPr>
                <w:rFonts w:cs="Calibri"/>
                <w:noProof w:val="0"/>
                <w:color w:val="FFFFFF"/>
                <w:szCs w:val="16"/>
              </w:rPr>
              <w:t>Pasture, range and paddock</w:t>
            </w:r>
            <w:r w:rsidRPr="00D9348B">
              <w:rPr>
                <w:rStyle w:val="FootnoteReference"/>
                <w:rFonts w:cs="Calibri"/>
                <w:noProof w:val="0"/>
                <w:color w:val="FFFFFF"/>
                <w:sz w:val="16"/>
                <w:szCs w:val="16"/>
              </w:rPr>
              <w:footnoteReference w:id="49"/>
            </w:r>
            <w:r w:rsidRPr="00D9348B">
              <w:rPr>
                <w:rFonts w:cs="Calibri"/>
                <w:noProof w:val="0"/>
                <w:color w:val="FFFFFF"/>
                <w:szCs w:val="16"/>
              </w:rPr>
              <w:t xml:space="preserve"> (%)</w:t>
            </w:r>
          </w:p>
        </w:tc>
        <w:tc>
          <w:tcPr>
            <w:tcW w:w="1250" w:type="dxa"/>
            <w:shd w:val="clear" w:color="auto" w:fill="365F91"/>
            <w:vAlign w:val="bottom"/>
          </w:tcPr>
          <w:p w14:paraId="477E63DB" w14:textId="77777777" w:rsidR="00F849A7" w:rsidRPr="00D9348B" w:rsidRDefault="00F849A7" w:rsidP="00DB330E">
            <w:pPr>
              <w:pStyle w:val="TableTextBold"/>
              <w:keepNext/>
              <w:jc w:val="center"/>
              <w:rPr>
                <w:rFonts w:cs="Calibri"/>
                <w:noProof w:val="0"/>
                <w:color w:val="FFFFFF"/>
                <w:szCs w:val="16"/>
              </w:rPr>
            </w:pPr>
            <w:r w:rsidRPr="00D9348B">
              <w:rPr>
                <w:rFonts w:cs="Calibri"/>
                <w:noProof w:val="0"/>
                <w:color w:val="FFFFFF"/>
                <w:szCs w:val="16"/>
              </w:rPr>
              <w:t>Solid storage and dry lot (%)</w:t>
            </w:r>
          </w:p>
        </w:tc>
        <w:tc>
          <w:tcPr>
            <w:tcW w:w="1018" w:type="dxa"/>
            <w:shd w:val="clear" w:color="auto" w:fill="365F91"/>
            <w:vAlign w:val="bottom"/>
          </w:tcPr>
          <w:p w14:paraId="56C99C41" w14:textId="77777777" w:rsidR="00F849A7" w:rsidRPr="00D9348B" w:rsidRDefault="00F849A7" w:rsidP="00DB330E">
            <w:pPr>
              <w:pStyle w:val="TableTextBold"/>
              <w:keepNext/>
              <w:jc w:val="center"/>
              <w:rPr>
                <w:rFonts w:cs="Calibri"/>
                <w:noProof w:val="0"/>
                <w:color w:val="FFFFFF"/>
                <w:szCs w:val="16"/>
              </w:rPr>
            </w:pPr>
            <w:r w:rsidRPr="00D9348B">
              <w:rPr>
                <w:rFonts w:cs="Calibri"/>
                <w:noProof w:val="0"/>
                <w:color w:val="FFFFFF"/>
                <w:szCs w:val="16"/>
              </w:rPr>
              <w:t>Other (%)</w:t>
            </w:r>
          </w:p>
        </w:tc>
      </w:tr>
      <w:tr w:rsidR="00F849A7" w:rsidRPr="00D9348B" w14:paraId="25945B27" w14:textId="77777777" w:rsidTr="005E7AB9">
        <w:trPr>
          <w:cantSplit/>
        </w:trPr>
        <w:tc>
          <w:tcPr>
            <w:tcW w:w="1690" w:type="dxa"/>
            <w:vAlign w:val="bottom"/>
          </w:tcPr>
          <w:p w14:paraId="2C9671ED" w14:textId="77777777" w:rsidR="00F849A7" w:rsidRPr="00D9348B" w:rsidRDefault="00F849A7" w:rsidP="00DB330E">
            <w:pPr>
              <w:pStyle w:val="TableText"/>
              <w:rPr>
                <w:rFonts w:cs="Calibri"/>
                <w:szCs w:val="16"/>
              </w:rPr>
            </w:pPr>
            <w:r w:rsidRPr="00D9348B">
              <w:rPr>
                <w:rFonts w:cs="Calibri"/>
                <w:szCs w:val="16"/>
              </w:rPr>
              <w:t>Dairy cattle</w:t>
            </w:r>
            <w:r w:rsidRPr="00D9348B">
              <w:rPr>
                <w:rStyle w:val="FootnoteReference"/>
                <w:rFonts w:cs="Calibri"/>
                <w:sz w:val="16"/>
                <w:szCs w:val="16"/>
              </w:rPr>
              <w:footnoteReference w:id="50"/>
            </w:r>
          </w:p>
        </w:tc>
        <w:tc>
          <w:tcPr>
            <w:tcW w:w="1352" w:type="dxa"/>
            <w:vAlign w:val="center"/>
          </w:tcPr>
          <w:p w14:paraId="229D66F8" w14:textId="77777777" w:rsidR="00F849A7" w:rsidRPr="00D9348B" w:rsidRDefault="00F849A7" w:rsidP="00DB330E">
            <w:pPr>
              <w:pStyle w:val="TableText"/>
              <w:jc w:val="center"/>
              <w:rPr>
                <w:rFonts w:cs="Calibri"/>
                <w:szCs w:val="16"/>
              </w:rPr>
            </w:pPr>
            <w:r w:rsidRPr="00D9348B">
              <w:rPr>
                <w:rFonts w:cs="Calibri"/>
                <w:szCs w:val="16"/>
              </w:rPr>
              <w:t>7.3</w:t>
            </w:r>
          </w:p>
        </w:tc>
        <w:tc>
          <w:tcPr>
            <w:tcW w:w="1494" w:type="dxa"/>
            <w:vAlign w:val="center"/>
          </w:tcPr>
          <w:p w14:paraId="0B83F1B8" w14:textId="77777777" w:rsidR="00F849A7" w:rsidRPr="00D9348B" w:rsidRDefault="00F849A7" w:rsidP="00DB330E">
            <w:pPr>
              <w:pStyle w:val="TableText"/>
              <w:jc w:val="center"/>
              <w:rPr>
                <w:rFonts w:cs="Calibri"/>
                <w:szCs w:val="16"/>
              </w:rPr>
            </w:pPr>
            <w:r w:rsidRPr="00D9348B">
              <w:rPr>
                <w:rFonts w:cs="Calibri"/>
                <w:szCs w:val="16"/>
              </w:rPr>
              <w:t>–</w:t>
            </w:r>
          </w:p>
        </w:tc>
        <w:tc>
          <w:tcPr>
            <w:tcW w:w="1701" w:type="dxa"/>
            <w:vAlign w:val="center"/>
          </w:tcPr>
          <w:p w14:paraId="5FDCC71B" w14:textId="77777777" w:rsidR="00F849A7" w:rsidRPr="00D9348B" w:rsidRDefault="00F849A7" w:rsidP="00DB330E">
            <w:pPr>
              <w:pStyle w:val="TableText"/>
              <w:jc w:val="center"/>
              <w:rPr>
                <w:rFonts w:cs="Calibri"/>
                <w:szCs w:val="16"/>
              </w:rPr>
            </w:pPr>
            <w:r w:rsidRPr="00D9348B">
              <w:rPr>
                <w:rFonts w:cs="Calibri"/>
                <w:szCs w:val="16"/>
              </w:rPr>
              <w:t>92.7</w:t>
            </w:r>
          </w:p>
        </w:tc>
        <w:tc>
          <w:tcPr>
            <w:tcW w:w="1250" w:type="dxa"/>
            <w:vAlign w:val="center"/>
          </w:tcPr>
          <w:p w14:paraId="33CF378B" w14:textId="77777777" w:rsidR="00F849A7" w:rsidRPr="00D9348B" w:rsidRDefault="00F849A7" w:rsidP="00DB330E">
            <w:pPr>
              <w:pStyle w:val="TableText"/>
              <w:jc w:val="center"/>
              <w:rPr>
                <w:rFonts w:cs="Calibri"/>
                <w:szCs w:val="16"/>
              </w:rPr>
            </w:pPr>
            <w:r w:rsidRPr="00D9348B">
              <w:rPr>
                <w:rFonts w:cs="Calibri"/>
                <w:szCs w:val="16"/>
              </w:rPr>
              <w:t>–</w:t>
            </w:r>
          </w:p>
        </w:tc>
        <w:tc>
          <w:tcPr>
            <w:tcW w:w="1018" w:type="dxa"/>
            <w:vAlign w:val="center"/>
          </w:tcPr>
          <w:p w14:paraId="2F929614" w14:textId="77777777" w:rsidR="00F849A7" w:rsidRPr="00D9348B" w:rsidRDefault="00F849A7" w:rsidP="00DB330E">
            <w:pPr>
              <w:pStyle w:val="TableText"/>
              <w:jc w:val="center"/>
              <w:rPr>
                <w:rFonts w:cs="Calibri"/>
                <w:szCs w:val="16"/>
              </w:rPr>
            </w:pPr>
            <w:r w:rsidRPr="00D9348B">
              <w:rPr>
                <w:rFonts w:cs="Calibri"/>
                <w:szCs w:val="16"/>
              </w:rPr>
              <w:t>–</w:t>
            </w:r>
          </w:p>
        </w:tc>
      </w:tr>
      <w:tr w:rsidR="00F849A7" w:rsidRPr="00D9348B" w14:paraId="6BCB218A" w14:textId="77777777" w:rsidTr="005E7AB9">
        <w:trPr>
          <w:cantSplit/>
        </w:trPr>
        <w:tc>
          <w:tcPr>
            <w:tcW w:w="1690" w:type="dxa"/>
            <w:vAlign w:val="bottom"/>
          </w:tcPr>
          <w:p w14:paraId="4779B17F" w14:textId="77777777" w:rsidR="00F849A7" w:rsidRPr="00D9348B" w:rsidRDefault="00F849A7" w:rsidP="00DB330E">
            <w:pPr>
              <w:pStyle w:val="TableText"/>
              <w:rPr>
                <w:rFonts w:cs="Calibri"/>
                <w:szCs w:val="16"/>
              </w:rPr>
            </w:pPr>
            <w:r w:rsidRPr="00D9348B">
              <w:rPr>
                <w:rFonts w:cs="Calibri"/>
                <w:szCs w:val="16"/>
              </w:rPr>
              <w:t>Non-dairy cattle</w:t>
            </w:r>
          </w:p>
        </w:tc>
        <w:tc>
          <w:tcPr>
            <w:tcW w:w="1352" w:type="dxa"/>
            <w:vAlign w:val="center"/>
          </w:tcPr>
          <w:p w14:paraId="229B362C" w14:textId="77777777" w:rsidR="00F849A7" w:rsidRPr="00D9348B" w:rsidRDefault="00F849A7" w:rsidP="00DB330E">
            <w:pPr>
              <w:pStyle w:val="TableText"/>
              <w:jc w:val="center"/>
              <w:rPr>
                <w:rFonts w:cs="Calibri"/>
                <w:szCs w:val="16"/>
              </w:rPr>
            </w:pPr>
            <w:r w:rsidRPr="00D9348B">
              <w:rPr>
                <w:rFonts w:cs="Calibri"/>
                <w:szCs w:val="16"/>
              </w:rPr>
              <w:t>–</w:t>
            </w:r>
          </w:p>
        </w:tc>
        <w:tc>
          <w:tcPr>
            <w:tcW w:w="1494" w:type="dxa"/>
            <w:vAlign w:val="center"/>
          </w:tcPr>
          <w:p w14:paraId="3779F214" w14:textId="77777777" w:rsidR="00F849A7" w:rsidRPr="00D9348B" w:rsidRDefault="00F849A7" w:rsidP="00DB330E">
            <w:pPr>
              <w:pStyle w:val="TableText"/>
              <w:jc w:val="center"/>
              <w:rPr>
                <w:rFonts w:cs="Calibri"/>
                <w:szCs w:val="16"/>
              </w:rPr>
            </w:pPr>
            <w:r w:rsidRPr="00D9348B">
              <w:rPr>
                <w:rFonts w:cs="Calibri"/>
                <w:szCs w:val="16"/>
              </w:rPr>
              <w:t>–</w:t>
            </w:r>
          </w:p>
        </w:tc>
        <w:tc>
          <w:tcPr>
            <w:tcW w:w="1701" w:type="dxa"/>
            <w:vAlign w:val="center"/>
          </w:tcPr>
          <w:p w14:paraId="5C48B6AA" w14:textId="77777777" w:rsidR="00F849A7" w:rsidRPr="00D9348B" w:rsidRDefault="00F849A7" w:rsidP="00DB330E">
            <w:pPr>
              <w:pStyle w:val="TableText"/>
              <w:jc w:val="center"/>
              <w:rPr>
                <w:rFonts w:cs="Calibri"/>
                <w:szCs w:val="16"/>
              </w:rPr>
            </w:pPr>
            <w:r w:rsidRPr="00D9348B">
              <w:rPr>
                <w:rFonts w:cs="Calibri"/>
                <w:szCs w:val="16"/>
              </w:rPr>
              <w:t>100.0</w:t>
            </w:r>
          </w:p>
        </w:tc>
        <w:tc>
          <w:tcPr>
            <w:tcW w:w="1250" w:type="dxa"/>
            <w:vAlign w:val="center"/>
          </w:tcPr>
          <w:p w14:paraId="6C9489F2" w14:textId="77777777" w:rsidR="00F849A7" w:rsidRPr="00D9348B" w:rsidRDefault="00F849A7" w:rsidP="00DB330E">
            <w:pPr>
              <w:pStyle w:val="TableText"/>
              <w:jc w:val="center"/>
              <w:rPr>
                <w:rFonts w:cs="Calibri"/>
                <w:szCs w:val="16"/>
              </w:rPr>
            </w:pPr>
            <w:r w:rsidRPr="00D9348B">
              <w:rPr>
                <w:rFonts w:cs="Calibri"/>
                <w:szCs w:val="16"/>
              </w:rPr>
              <w:t>–</w:t>
            </w:r>
          </w:p>
        </w:tc>
        <w:tc>
          <w:tcPr>
            <w:tcW w:w="1018" w:type="dxa"/>
            <w:vAlign w:val="center"/>
          </w:tcPr>
          <w:p w14:paraId="197D023A" w14:textId="77777777" w:rsidR="00F849A7" w:rsidRPr="00D9348B" w:rsidRDefault="00F849A7" w:rsidP="00DB330E">
            <w:pPr>
              <w:pStyle w:val="TableText"/>
              <w:jc w:val="center"/>
              <w:rPr>
                <w:rFonts w:cs="Calibri"/>
                <w:szCs w:val="16"/>
              </w:rPr>
            </w:pPr>
            <w:r w:rsidRPr="00D9348B">
              <w:rPr>
                <w:rFonts w:cs="Calibri"/>
                <w:szCs w:val="16"/>
              </w:rPr>
              <w:t>–</w:t>
            </w:r>
          </w:p>
        </w:tc>
      </w:tr>
      <w:tr w:rsidR="00F849A7" w:rsidRPr="00D9348B" w14:paraId="63EA24DD" w14:textId="77777777" w:rsidTr="005E7AB9">
        <w:trPr>
          <w:cantSplit/>
        </w:trPr>
        <w:tc>
          <w:tcPr>
            <w:tcW w:w="1690" w:type="dxa"/>
            <w:vAlign w:val="bottom"/>
          </w:tcPr>
          <w:p w14:paraId="6AD2AD5B" w14:textId="77777777" w:rsidR="00F849A7" w:rsidRPr="00D9348B" w:rsidRDefault="00F849A7" w:rsidP="00DB330E">
            <w:pPr>
              <w:pStyle w:val="TableText"/>
              <w:rPr>
                <w:rFonts w:cs="Calibri"/>
                <w:szCs w:val="16"/>
              </w:rPr>
            </w:pPr>
            <w:r w:rsidRPr="00D9348B">
              <w:rPr>
                <w:rFonts w:cs="Calibri"/>
                <w:szCs w:val="16"/>
              </w:rPr>
              <w:t>Sheep</w:t>
            </w:r>
          </w:p>
        </w:tc>
        <w:tc>
          <w:tcPr>
            <w:tcW w:w="1352" w:type="dxa"/>
            <w:vAlign w:val="center"/>
          </w:tcPr>
          <w:p w14:paraId="2F517093" w14:textId="77777777" w:rsidR="00F849A7" w:rsidRPr="00D9348B" w:rsidRDefault="00F849A7" w:rsidP="00DB330E">
            <w:pPr>
              <w:pStyle w:val="TableText"/>
              <w:jc w:val="center"/>
              <w:rPr>
                <w:rFonts w:cs="Calibri"/>
                <w:szCs w:val="16"/>
              </w:rPr>
            </w:pPr>
            <w:r w:rsidRPr="00D9348B">
              <w:rPr>
                <w:rFonts w:cs="Calibri"/>
                <w:szCs w:val="16"/>
              </w:rPr>
              <w:t>–</w:t>
            </w:r>
          </w:p>
        </w:tc>
        <w:tc>
          <w:tcPr>
            <w:tcW w:w="1494" w:type="dxa"/>
            <w:vAlign w:val="center"/>
          </w:tcPr>
          <w:p w14:paraId="62587C42" w14:textId="77777777" w:rsidR="00F849A7" w:rsidRPr="00D9348B" w:rsidRDefault="00F849A7" w:rsidP="00DB330E">
            <w:pPr>
              <w:pStyle w:val="TableText"/>
              <w:jc w:val="center"/>
              <w:rPr>
                <w:rFonts w:cs="Calibri"/>
                <w:szCs w:val="16"/>
              </w:rPr>
            </w:pPr>
            <w:r w:rsidRPr="00D9348B">
              <w:rPr>
                <w:rFonts w:cs="Calibri"/>
                <w:szCs w:val="16"/>
              </w:rPr>
              <w:t>–</w:t>
            </w:r>
          </w:p>
        </w:tc>
        <w:tc>
          <w:tcPr>
            <w:tcW w:w="1701" w:type="dxa"/>
            <w:vAlign w:val="center"/>
          </w:tcPr>
          <w:p w14:paraId="77A3ED67" w14:textId="77777777" w:rsidR="00F849A7" w:rsidRPr="00D9348B" w:rsidRDefault="00F849A7" w:rsidP="00DB330E">
            <w:pPr>
              <w:pStyle w:val="TableText"/>
              <w:jc w:val="center"/>
              <w:rPr>
                <w:rFonts w:cs="Calibri"/>
                <w:szCs w:val="16"/>
              </w:rPr>
            </w:pPr>
            <w:r w:rsidRPr="00D9348B">
              <w:rPr>
                <w:rFonts w:cs="Calibri"/>
                <w:szCs w:val="16"/>
              </w:rPr>
              <w:t>100.0</w:t>
            </w:r>
          </w:p>
        </w:tc>
        <w:tc>
          <w:tcPr>
            <w:tcW w:w="1250" w:type="dxa"/>
            <w:vAlign w:val="center"/>
          </w:tcPr>
          <w:p w14:paraId="66D78B2A" w14:textId="77777777" w:rsidR="00F849A7" w:rsidRPr="00D9348B" w:rsidRDefault="00F849A7" w:rsidP="00DB330E">
            <w:pPr>
              <w:pStyle w:val="TableText"/>
              <w:jc w:val="center"/>
              <w:rPr>
                <w:rFonts w:cs="Calibri"/>
                <w:szCs w:val="16"/>
              </w:rPr>
            </w:pPr>
            <w:r w:rsidRPr="00D9348B">
              <w:rPr>
                <w:rFonts w:cs="Calibri"/>
                <w:szCs w:val="16"/>
              </w:rPr>
              <w:t>–</w:t>
            </w:r>
          </w:p>
        </w:tc>
        <w:tc>
          <w:tcPr>
            <w:tcW w:w="1018" w:type="dxa"/>
            <w:vAlign w:val="center"/>
          </w:tcPr>
          <w:p w14:paraId="7602C91C" w14:textId="77777777" w:rsidR="00F849A7" w:rsidRPr="00D9348B" w:rsidRDefault="00F849A7" w:rsidP="00DB330E">
            <w:pPr>
              <w:pStyle w:val="TableText"/>
              <w:jc w:val="center"/>
              <w:rPr>
                <w:rFonts w:cs="Calibri"/>
                <w:szCs w:val="16"/>
              </w:rPr>
            </w:pPr>
            <w:r w:rsidRPr="00D9348B">
              <w:rPr>
                <w:rFonts w:cs="Calibri"/>
                <w:szCs w:val="16"/>
              </w:rPr>
              <w:t>–</w:t>
            </w:r>
          </w:p>
        </w:tc>
      </w:tr>
      <w:tr w:rsidR="00F849A7" w:rsidRPr="00D9348B" w14:paraId="7A69D079" w14:textId="77777777" w:rsidTr="005E7AB9">
        <w:trPr>
          <w:cantSplit/>
        </w:trPr>
        <w:tc>
          <w:tcPr>
            <w:tcW w:w="1690" w:type="dxa"/>
            <w:vAlign w:val="bottom"/>
          </w:tcPr>
          <w:p w14:paraId="28952F7E" w14:textId="77777777" w:rsidR="00F849A7" w:rsidRPr="00D9348B" w:rsidRDefault="00F849A7" w:rsidP="00DB330E">
            <w:pPr>
              <w:pStyle w:val="TableText"/>
              <w:rPr>
                <w:rFonts w:cs="Calibri"/>
                <w:szCs w:val="16"/>
              </w:rPr>
            </w:pPr>
            <w:r w:rsidRPr="00D9348B">
              <w:rPr>
                <w:rFonts w:cs="Calibri"/>
                <w:szCs w:val="16"/>
              </w:rPr>
              <w:t>Deer</w:t>
            </w:r>
          </w:p>
        </w:tc>
        <w:tc>
          <w:tcPr>
            <w:tcW w:w="1352" w:type="dxa"/>
            <w:vAlign w:val="center"/>
          </w:tcPr>
          <w:p w14:paraId="7E4BBC40" w14:textId="77777777" w:rsidR="00F849A7" w:rsidRPr="00D9348B" w:rsidRDefault="00F849A7" w:rsidP="00DB330E">
            <w:pPr>
              <w:pStyle w:val="TableText"/>
              <w:jc w:val="center"/>
              <w:rPr>
                <w:rFonts w:cs="Calibri"/>
                <w:szCs w:val="16"/>
              </w:rPr>
            </w:pPr>
            <w:r w:rsidRPr="00D9348B">
              <w:rPr>
                <w:rFonts w:cs="Calibri"/>
                <w:szCs w:val="16"/>
              </w:rPr>
              <w:t>–</w:t>
            </w:r>
          </w:p>
        </w:tc>
        <w:tc>
          <w:tcPr>
            <w:tcW w:w="1494" w:type="dxa"/>
            <w:vAlign w:val="center"/>
          </w:tcPr>
          <w:p w14:paraId="3A81EE64" w14:textId="77777777" w:rsidR="00F849A7" w:rsidRPr="00D9348B" w:rsidRDefault="00F849A7" w:rsidP="00DB330E">
            <w:pPr>
              <w:pStyle w:val="TableText"/>
              <w:jc w:val="center"/>
              <w:rPr>
                <w:rFonts w:cs="Calibri"/>
                <w:szCs w:val="16"/>
              </w:rPr>
            </w:pPr>
            <w:r w:rsidRPr="00D9348B">
              <w:rPr>
                <w:rFonts w:cs="Calibri"/>
                <w:szCs w:val="16"/>
              </w:rPr>
              <w:t>–</w:t>
            </w:r>
          </w:p>
        </w:tc>
        <w:tc>
          <w:tcPr>
            <w:tcW w:w="1701" w:type="dxa"/>
            <w:vAlign w:val="center"/>
          </w:tcPr>
          <w:p w14:paraId="25A35802" w14:textId="77777777" w:rsidR="00F849A7" w:rsidRPr="00D9348B" w:rsidRDefault="00F849A7" w:rsidP="00DB330E">
            <w:pPr>
              <w:pStyle w:val="TableText"/>
              <w:jc w:val="center"/>
              <w:rPr>
                <w:rFonts w:cs="Calibri"/>
                <w:szCs w:val="16"/>
              </w:rPr>
            </w:pPr>
            <w:r w:rsidRPr="00D9348B">
              <w:rPr>
                <w:rFonts w:cs="Calibri"/>
                <w:szCs w:val="16"/>
              </w:rPr>
              <w:t>100.0</w:t>
            </w:r>
          </w:p>
        </w:tc>
        <w:tc>
          <w:tcPr>
            <w:tcW w:w="1250" w:type="dxa"/>
            <w:vAlign w:val="center"/>
          </w:tcPr>
          <w:p w14:paraId="06740ADD" w14:textId="77777777" w:rsidR="00F849A7" w:rsidRPr="00D9348B" w:rsidRDefault="00F849A7" w:rsidP="00DB330E">
            <w:pPr>
              <w:pStyle w:val="TableText"/>
              <w:jc w:val="center"/>
              <w:rPr>
                <w:rFonts w:cs="Calibri"/>
                <w:szCs w:val="16"/>
              </w:rPr>
            </w:pPr>
            <w:r w:rsidRPr="00D9348B">
              <w:rPr>
                <w:rFonts w:cs="Calibri"/>
                <w:szCs w:val="16"/>
              </w:rPr>
              <w:t>–</w:t>
            </w:r>
          </w:p>
        </w:tc>
        <w:tc>
          <w:tcPr>
            <w:tcW w:w="1018" w:type="dxa"/>
            <w:vAlign w:val="center"/>
          </w:tcPr>
          <w:p w14:paraId="2CD1745D" w14:textId="77777777" w:rsidR="00F849A7" w:rsidRPr="00D9348B" w:rsidRDefault="00F849A7" w:rsidP="00DB330E">
            <w:pPr>
              <w:pStyle w:val="TableText"/>
              <w:jc w:val="center"/>
              <w:rPr>
                <w:rFonts w:cs="Calibri"/>
                <w:szCs w:val="16"/>
              </w:rPr>
            </w:pPr>
            <w:r w:rsidRPr="00D9348B">
              <w:rPr>
                <w:rFonts w:cs="Calibri"/>
                <w:szCs w:val="16"/>
              </w:rPr>
              <w:t>–</w:t>
            </w:r>
          </w:p>
        </w:tc>
      </w:tr>
      <w:tr w:rsidR="00F849A7" w:rsidRPr="00D9348B" w14:paraId="269ED4A0" w14:textId="77777777" w:rsidTr="005E7AB9">
        <w:trPr>
          <w:cantSplit/>
        </w:trPr>
        <w:tc>
          <w:tcPr>
            <w:tcW w:w="1690" w:type="dxa"/>
            <w:vAlign w:val="bottom"/>
          </w:tcPr>
          <w:p w14:paraId="486FB71B" w14:textId="77777777" w:rsidR="00F849A7" w:rsidRPr="00D9348B" w:rsidRDefault="00F849A7" w:rsidP="00DB330E">
            <w:pPr>
              <w:pStyle w:val="TableText"/>
              <w:rPr>
                <w:rFonts w:cs="Calibri"/>
                <w:szCs w:val="16"/>
              </w:rPr>
            </w:pPr>
            <w:r w:rsidRPr="00D9348B">
              <w:rPr>
                <w:rFonts w:cs="Calibri"/>
                <w:szCs w:val="16"/>
              </w:rPr>
              <w:t>Goats</w:t>
            </w:r>
          </w:p>
        </w:tc>
        <w:tc>
          <w:tcPr>
            <w:tcW w:w="1352" w:type="dxa"/>
            <w:vAlign w:val="center"/>
          </w:tcPr>
          <w:p w14:paraId="00D0581C" w14:textId="77777777" w:rsidR="00F849A7" w:rsidRPr="00D9348B" w:rsidRDefault="00F849A7" w:rsidP="00DB330E">
            <w:pPr>
              <w:pStyle w:val="TableText"/>
              <w:jc w:val="center"/>
              <w:rPr>
                <w:rFonts w:cs="Calibri"/>
                <w:szCs w:val="16"/>
              </w:rPr>
            </w:pPr>
            <w:r w:rsidRPr="00D9348B">
              <w:rPr>
                <w:rFonts w:cs="Calibri"/>
                <w:szCs w:val="16"/>
              </w:rPr>
              <w:t>–</w:t>
            </w:r>
          </w:p>
        </w:tc>
        <w:tc>
          <w:tcPr>
            <w:tcW w:w="1494" w:type="dxa"/>
            <w:vAlign w:val="center"/>
          </w:tcPr>
          <w:p w14:paraId="53D0E0B8" w14:textId="77777777" w:rsidR="00F849A7" w:rsidRPr="00D9348B" w:rsidRDefault="00F849A7" w:rsidP="00DB330E">
            <w:pPr>
              <w:pStyle w:val="TableText"/>
              <w:jc w:val="center"/>
              <w:rPr>
                <w:rFonts w:cs="Calibri"/>
                <w:szCs w:val="16"/>
              </w:rPr>
            </w:pPr>
            <w:r w:rsidRPr="00D9348B">
              <w:rPr>
                <w:rFonts w:cs="Calibri"/>
                <w:szCs w:val="16"/>
              </w:rPr>
              <w:t>–</w:t>
            </w:r>
          </w:p>
        </w:tc>
        <w:tc>
          <w:tcPr>
            <w:tcW w:w="1701" w:type="dxa"/>
            <w:vAlign w:val="center"/>
          </w:tcPr>
          <w:p w14:paraId="0F49D5AE" w14:textId="77777777" w:rsidR="00F849A7" w:rsidRPr="00D9348B" w:rsidRDefault="00F849A7" w:rsidP="00DB330E">
            <w:pPr>
              <w:pStyle w:val="TableText"/>
              <w:jc w:val="center"/>
              <w:rPr>
                <w:rFonts w:cs="Calibri"/>
                <w:szCs w:val="16"/>
              </w:rPr>
            </w:pPr>
            <w:r w:rsidRPr="00D9348B">
              <w:rPr>
                <w:rFonts w:cs="Calibri"/>
                <w:szCs w:val="16"/>
              </w:rPr>
              <w:t>100.0</w:t>
            </w:r>
          </w:p>
        </w:tc>
        <w:tc>
          <w:tcPr>
            <w:tcW w:w="1250" w:type="dxa"/>
            <w:vAlign w:val="center"/>
          </w:tcPr>
          <w:p w14:paraId="1E972331" w14:textId="77777777" w:rsidR="00F849A7" w:rsidRPr="00D9348B" w:rsidRDefault="00F849A7" w:rsidP="00DB330E">
            <w:pPr>
              <w:pStyle w:val="TableText"/>
              <w:jc w:val="center"/>
              <w:rPr>
                <w:rFonts w:cs="Calibri"/>
                <w:szCs w:val="16"/>
              </w:rPr>
            </w:pPr>
            <w:r w:rsidRPr="00D9348B">
              <w:rPr>
                <w:rFonts w:cs="Calibri"/>
                <w:szCs w:val="16"/>
              </w:rPr>
              <w:t>–</w:t>
            </w:r>
          </w:p>
        </w:tc>
        <w:tc>
          <w:tcPr>
            <w:tcW w:w="1018" w:type="dxa"/>
            <w:vAlign w:val="center"/>
          </w:tcPr>
          <w:p w14:paraId="272DE45F" w14:textId="77777777" w:rsidR="00F849A7" w:rsidRPr="00D9348B" w:rsidRDefault="00F849A7" w:rsidP="00DB330E">
            <w:pPr>
              <w:pStyle w:val="TableText"/>
              <w:jc w:val="center"/>
              <w:rPr>
                <w:rFonts w:cs="Calibri"/>
                <w:szCs w:val="16"/>
              </w:rPr>
            </w:pPr>
            <w:r w:rsidRPr="00D9348B">
              <w:rPr>
                <w:rFonts w:cs="Calibri"/>
                <w:szCs w:val="16"/>
              </w:rPr>
              <w:t>–</w:t>
            </w:r>
          </w:p>
        </w:tc>
      </w:tr>
      <w:tr w:rsidR="00F849A7" w:rsidRPr="00D9348B" w14:paraId="1E89492A" w14:textId="77777777" w:rsidTr="005E7AB9">
        <w:trPr>
          <w:cantSplit/>
        </w:trPr>
        <w:tc>
          <w:tcPr>
            <w:tcW w:w="1690" w:type="dxa"/>
            <w:vAlign w:val="bottom"/>
          </w:tcPr>
          <w:p w14:paraId="364FB5DF" w14:textId="77777777" w:rsidR="00F849A7" w:rsidRPr="00D9348B" w:rsidRDefault="00F849A7" w:rsidP="00DB330E">
            <w:pPr>
              <w:pStyle w:val="TableText"/>
              <w:rPr>
                <w:rFonts w:cs="Calibri"/>
                <w:szCs w:val="16"/>
              </w:rPr>
            </w:pPr>
            <w:r w:rsidRPr="00D9348B">
              <w:rPr>
                <w:rFonts w:cs="Calibri"/>
                <w:szCs w:val="16"/>
              </w:rPr>
              <w:t>Horses</w:t>
            </w:r>
          </w:p>
        </w:tc>
        <w:tc>
          <w:tcPr>
            <w:tcW w:w="1352" w:type="dxa"/>
            <w:vAlign w:val="center"/>
          </w:tcPr>
          <w:p w14:paraId="2B010B3F" w14:textId="77777777" w:rsidR="00F849A7" w:rsidRPr="00D9348B" w:rsidRDefault="00F849A7" w:rsidP="00DB330E">
            <w:pPr>
              <w:pStyle w:val="TableText"/>
              <w:jc w:val="center"/>
              <w:rPr>
                <w:rFonts w:cs="Calibri"/>
                <w:szCs w:val="16"/>
              </w:rPr>
            </w:pPr>
            <w:r w:rsidRPr="00D9348B">
              <w:rPr>
                <w:rFonts w:cs="Calibri"/>
                <w:szCs w:val="16"/>
              </w:rPr>
              <w:t>–</w:t>
            </w:r>
          </w:p>
        </w:tc>
        <w:tc>
          <w:tcPr>
            <w:tcW w:w="1494" w:type="dxa"/>
            <w:vAlign w:val="center"/>
          </w:tcPr>
          <w:p w14:paraId="6219448E" w14:textId="77777777" w:rsidR="00F849A7" w:rsidRPr="00D9348B" w:rsidRDefault="00F849A7" w:rsidP="00DB330E">
            <w:pPr>
              <w:pStyle w:val="TableText"/>
              <w:jc w:val="center"/>
              <w:rPr>
                <w:rFonts w:cs="Calibri"/>
                <w:szCs w:val="16"/>
              </w:rPr>
            </w:pPr>
            <w:r w:rsidRPr="00D9348B">
              <w:rPr>
                <w:rFonts w:cs="Calibri"/>
                <w:szCs w:val="16"/>
              </w:rPr>
              <w:t>–</w:t>
            </w:r>
          </w:p>
        </w:tc>
        <w:tc>
          <w:tcPr>
            <w:tcW w:w="1701" w:type="dxa"/>
            <w:vAlign w:val="center"/>
          </w:tcPr>
          <w:p w14:paraId="7E67DF2A" w14:textId="77777777" w:rsidR="00F849A7" w:rsidRPr="00D9348B" w:rsidRDefault="00F849A7" w:rsidP="00DB330E">
            <w:pPr>
              <w:pStyle w:val="TableText"/>
              <w:jc w:val="center"/>
              <w:rPr>
                <w:rFonts w:cs="Calibri"/>
                <w:szCs w:val="16"/>
              </w:rPr>
            </w:pPr>
            <w:r w:rsidRPr="00D9348B">
              <w:rPr>
                <w:rFonts w:cs="Calibri"/>
                <w:szCs w:val="16"/>
              </w:rPr>
              <w:t>100.0</w:t>
            </w:r>
          </w:p>
        </w:tc>
        <w:tc>
          <w:tcPr>
            <w:tcW w:w="1250" w:type="dxa"/>
            <w:vAlign w:val="center"/>
          </w:tcPr>
          <w:p w14:paraId="71E93774" w14:textId="77777777" w:rsidR="00F849A7" w:rsidRPr="00D9348B" w:rsidRDefault="00F849A7" w:rsidP="00DB330E">
            <w:pPr>
              <w:pStyle w:val="TableText"/>
              <w:jc w:val="center"/>
              <w:rPr>
                <w:rFonts w:cs="Calibri"/>
                <w:szCs w:val="16"/>
              </w:rPr>
            </w:pPr>
            <w:r w:rsidRPr="00D9348B">
              <w:rPr>
                <w:rFonts w:cs="Calibri"/>
                <w:szCs w:val="16"/>
              </w:rPr>
              <w:t>–</w:t>
            </w:r>
          </w:p>
        </w:tc>
        <w:tc>
          <w:tcPr>
            <w:tcW w:w="1018" w:type="dxa"/>
            <w:vAlign w:val="center"/>
          </w:tcPr>
          <w:p w14:paraId="1B015E3F" w14:textId="77777777" w:rsidR="00F849A7" w:rsidRPr="00D9348B" w:rsidRDefault="00F849A7" w:rsidP="00DB330E">
            <w:pPr>
              <w:pStyle w:val="TableText"/>
              <w:jc w:val="center"/>
              <w:rPr>
                <w:rFonts w:cs="Calibri"/>
                <w:szCs w:val="16"/>
              </w:rPr>
            </w:pPr>
            <w:r w:rsidRPr="00D9348B">
              <w:rPr>
                <w:rFonts w:cs="Calibri"/>
                <w:szCs w:val="16"/>
              </w:rPr>
              <w:t>–</w:t>
            </w:r>
          </w:p>
        </w:tc>
      </w:tr>
      <w:tr w:rsidR="00F849A7" w:rsidRPr="00D9348B" w14:paraId="1BAB2B45" w14:textId="77777777" w:rsidTr="005E7AB9">
        <w:trPr>
          <w:cantSplit/>
        </w:trPr>
        <w:tc>
          <w:tcPr>
            <w:tcW w:w="1690" w:type="dxa"/>
            <w:vAlign w:val="bottom"/>
          </w:tcPr>
          <w:p w14:paraId="13C8A587" w14:textId="77777777" w:rsidR="00F849A7" w:rsidRPr="00D9348B" w:rsidRDefault="00F849A7" w:rsidP="00DB330E">
            <w:pPr>
              <w:pStyle w:val="TableText"/>
              <w:rPr>
                <w:rFonts w:cs="Calibri"/>
                <w:szCs w:val="16"/>
              </w:rPr>
            </w:pPr>
            <w:r w:rsidRPr="00D9348B">
              <w:rPr>
                <w:rFonts w:cs="Calibri"/>
                <w:szCs w:val="16"/>
              </w:rPr>
              <w:t>Swine</w:t>
            </w:r>
            <w:r w:rsidRPr="00D9348B">
              <w:rPr>
                <w:rStyle w:val="FootnoteReference"/>
                <w:rFonts w:cs="Calibri"/>
                <w:sz w:val="16"/>
                <w:szCs w:val="16"/>
              </w:rPr>
              <w:footnoteReference w:id="51"/>
            </w:r>
          </w:p>
        </w:tc>
        <w:tc>
          <w:tcPr>
            <w:tcW w:w="1352" w:type="dxa"/>
            <w:vAlign w:val="center"/>
          </w:tcPr>
          <w:p w14:paraId="1382FAA5" w14:textId="77777777" w:rsidR="00F849A7" w:rsidRPr="00D9348B" w:rsidRDefault="00F849A7" w:rsidP="00DB330E">
            <w:pPr>
              <w:pStyle w:val="TableText"/>
              <w:jc w:val="center"/>
              <w:rPr>
                <w:rFonts w:cs="Calibri"/>
                <w:szCs w:val="16"/>
              </w:rPr>
            </w:pPr>
            <w:r w:rsidRPr="00D9348B">
              <w:rPr>
                <w:rFonts w:cs="Calibri"/>
                <w:szCs w:val="16"/>
              </w:rPr>
              <w:t>20.5</w:t>
            </w:r>
          </w:p>
        </w:tc>
        <w:tc>
          <w:tcPr>
            <w:tcW w:w="1494" w:type="dxa"/>
            <w:vAlign w:val="center"/>
          </w:tcPr>
          <w:p w14:paraId="22D6542D" w14:textId="77777777" w:rsidR="00F849A7" w:rsidRPr="00D9348B" w:rsidRDefault="00F849A7" w:rsidP="00DB330E">
            <w:pPr>
              <w:pStyle w:val="TableText"/>
              <w:jc w:val="center"/>
              <w:rPr>
                <w:rFonts w:cs="Calibri"/>
                <w:szCs w:val="16"/>
              </w:rPr>
            </w:pPr>
            <w:r w:rsidRPr="00D9348B">
              <w:rPr>
                <w:rFonts w:cs="Calibri"/>
                <w:szCs w:val="16"/>
              </w:rPr>
              <w:t>25.7</w:t>
            </w:r>
          </w:p>
        </w:tc>
        <w:tc>
          <w:tcPr>
            <w:tcW w:w="1701" w:type="dxa"/>
            <w:vAlign w:val="center"/>
          </w:tcPr>
          <w:p w14:paraId="1367F9B9" w14:textId="77777777" w:rsidR="00F849A7" w:rsidRPr="00D9348B" w:rsidRDefault="00F849A7" w:rsidP="00DB330E">
            <w:pPr>
              <w:pStyle w:val="TableText"/>
              <w:jc w:val="center"/>
              <w:rPr>
                <w:rFonts w:cs="Calibri"/>
                <w:szCs w:val="16"/>
              </w:rPr>
            </w:pPr>
            <w:r w:rsidRPr="00D9348B">
              <w:rPr>
                <w:rFonts w:cs="Calibri"/>
                <w:szCs w:val="16"/>
              </w:rPr>
              <w:t>8.9</w:t>
            </w:r>
          </w:p>
        </w:tc>
        <w:tc>
          <w:tcPr>
            <w:tcW w:w="1250" w:type="dxa"/>
            <w:vAlign w:val="center"/>
          </w:tcPr>
          <w:p w14:paraId="16E3EA9A" w14:textId="77777777" w:rsidR="00F849A7" w:rsidRPr="00D9348B" w:rsidRDefault="00F849A7" w:rsidP="00DB330E">
            <w:pPr>
              <w:pStyle w:val="TableText"/>
              <w:jc w:val="center"/>
              <w:rPr>
                <w:rFonts w:cs="Calibri"/>
                <w:szCs w:val="16"/>
              </w:rPr>
            </w:pPr>
            <w:r w:rsidRPr="00D9348B">
              <w:rPr>
                <w:rFonts w:cs="Calibri"/>
                <w:szCs w:val="16"/>
              </w:rPr>
              <w:t>42.5</w:t>
            </w:r>
          </w:p>
        </w:tc>
        <w:tc>
          <w:tcPr>
            <w:tcW w:w="1018" w:type="dxa"/>
            <w:vAlign w:val="center"/>
          </w:tcPr>
          <w:p w14:paraId="40ABD8DB" w14:textId="77777777" w:rsidR="00F849A7" w:rsidRPr="00D9348B" w:rsidRDefault="00F849A7" w:rsidP="00DB330E">
            <w:pPr>
              <w:pStyle w:val="TableText"/>
              <w:jc w:val="center"/>
              <w:rPr>
                <w:rFonts w:cs="Calibri"/>
                <w:szCs w:val="16"/>
              </w:rPr>
            </w:pPr>
            <w:r w:rsidRPr="00D9348B">
              <w:rPr>
                <w:rFonts w:cs="Calibri"/>
                <w:szCs w:val="16"/>
              </w:rPr>
              <w:t>2.4</w:t>
            </w:r>
          </w:p>
        </w:tc>
      </w:tr>
      <w:tr w:rsidR="00F849A7" w:rsidRPr="00D9348B" w14:paraId="41575B92" w14:textId="77777777" w:rsidTr="005E7AB9">
        <w:trPr>
          <w:cantSplit/>
        </w:trPr>
        <w:tc>
          <w:tcPr>
            <w:tcW w:w="1690" w:type="dxa"/>
            <w:vAlign w:val="bottom"/>
          </w:tcPr>
          <w:p w14:paraId="10A7A427" w14:textId="77777777" w:rsidR="00F849A7" w:rsidRPr="00D9348B" w:rsidRDefault="00F849A7" w:rsidP="00DB330E">
            <w:pPr>
              <w:pStyle w:val="TableText"/>
              <w:rPr>
                <w:rFonts w:cs="Calibri"/>
                <w:szCs w:val="16"/>
              </w:rPr>
            </w:pPr>
            <w:r w:rsidRPr="00D9348B">
              <w:rPr>
                <w:rFonts w:cs="Calibri"/>
                <w:szCs w:val="16"/>
              </w:rPr>
              <w:t>Poultry – broilers</w:t>
            </w:r>
            <w:r w:rsidRPr="00D9348B">
              <w:rPr>
                <w:rStyle w:val="FootnoteReference"/>
                <w:rFonts w:cs="Calibri"/>
                <w:sz w:val="16"/>
                <w:szCs w:val="16"/>
              </w:rPr>
              <w:footnoteReference w:id="52"/>
            </w:r>
          </w:p>
        </w:tc>
        <w:tc>
          <w:tcPr>
            <w:tcW w:w="1352" w:type="dxa"/>
            <w:vAlign w:val="center"/>
          </w:tcPr>
          <w:p w14:paraId="0A51147C" w14:textId="77777777" w:rsidR="00F849A7" w:rsidRPr="00D9348B" w:rsidRDefault="00F849A7" w:rsidP="00DB330E">
            <w:pPr>
              <w:pStyle w:val="TableText"/>
              <w:jc w:val="center"/>
              <w:rPr>
                <w:rFonts w:cs="Calibri"/>
                <w:szCs w:val="16"/>
              </w:rPr>
            </w:pPr>
            <w:r w:rsidRPr="00D9348B">
              <w:rPr>
                <w:rFonts w:cs="Calibri"/>
                <w:szCs w:val="16"/>
              </w:rPr>
              <w:t>–</w:t>
            </w:r>
          </w:p>
        </w:tc>
        <w:tc>
          <w:tcPr>
            <w:tcW w:w="1494" w:type="dxa"/>
            <w:vAlign w:val="center"/>
          </w:tcPr>
          <w:p w14:paraId="638B81E2" w14:textId="77777777" w:rsidR="00F849A7" w:rsidRPr="00D9348B" w:rsidRDefault="00F849A7" w:rsidP="00DB330E">
            <w:pPr>
              <w:pStyle w:val="TableText"/>
              <w:jc w:val="center"/>
              <w:rPr>
                <w:rFonts w:cs="Calibri"/>
                <w:szCs w:val="16"/>
              </w:rPr>
            </w:pPr>
            <w:r w:rsidRPr="00D9348B">
              <w:rPr>
                <w:rFonts w:cs="Calibri"/>
                <w:szCs w:val="16"/>
              </w:rPr>
              <w:t>–</w:t>
            </w:r>
          </w:p>
        </w:tc>
        <w:tc>
          <w:tcPr>
            <w:tcW w:w="1701" w:type="dxa"/>
            <w:vAlign w:val="center"/>
          </w:tcPr>
          <w:p w14:paraId="7A0294B6" w14:textId="77777777" w:rsidR="00F849A7" w:rsidRPr="00D9348B" w:rsidRDefault="00F849A7" w:rsidP="00DB330E">
            <w:pPr>
              <w:pStyle w:val="TableText"/>
              <w:jc w:val="center"/>
              <w:rPr>
                <w:rFonts w:cs="Calibri"/>
                <w:szCs w:val="16"/>
              </w:rPr>
            </w:pPr>
            <w:r w:rsidRPr="00D9348B">
              <w:rPr>
                <w:rFonts w:cs="Calibri"/>
                <w:szCs w:val="16"/>
              </w:rPr>
              <w:t>4.9</w:t>
            </w:r>
          </w:p>
        </w:tc>
        <w:tc>
          <w:tcPr>
            <w:tcW w:w="1250" w:type="dxa"/>
            <w:vAlign w:val="center"/>
          </w:tcPr>
          <w:p w14:paraId="5010139C" w14:textId="77777777" w:rsidR="00F849A7" w:rsidRPr="00D9348B" w:rsidRDefault="00F849A7" w:rsidP="00DB330E">
            <w:pPr>
              <w:pStyle w:val="TableText"/>
              <w:jc w:val="center"/>
              <w:rPr>
                <w:rFonts w:cs="Calibri"/>
                <w:szCs w:val="16"/>
              </w:rPr>
            </w:pPr>
            <w:r w:rsidRPr="00D9348B">
              <w:rPr>
                <w:rFonts w:cs="Calibri"/>
                <w:szCs w:val="16"/>
              </w:rPr>
              <w:t>–</w:t>
            </w:r>
          </w:p>
        </w:tc>
        <w:tc>
          <w:tcPr>
            <w:tcW w:w="1018" w:type="dxa"/>
            <w:vAlign w:val="center"/>
          </w:tcPr>
          <w:p w14:paraId="13CD2D81" w14:textId="77777777" w:rsidR="00F849A7" w:rsidRPr="00D9348B" w:rsidRDefault="00F849A7" w:rsidP="00DB330E">
            <w:pPr>
              <w:pStyle w:val="TableText"/>
              <w:jc w:val="center"/>
              <w:rPr>
                <w:rFonts w:cs="Calibri"/>
                <w:szCs w:val="16"/>
              </w:rPr>
            </w:pPr>
            <w:r w:rsidRPr="00D9348B">
              <w:rPr>
                <w:rFonts w:cs="Calibri"/>
                <w:szCs w:val="16"/>
              </w:rPr>
              <w:t>95.1</w:t>
            </w:r>
          </w:p>
        </w:tc>
      </w:tr>
      <w:tr w:rsidR="00F849A7" w:rsidRPr="00D9348B" w14:paraId="33EDFF77" w14:textId="77777777" w:rsidTr="005E7AB9">
        <w:trPr>
          <w:cantSplit/>
        </w:trPr>
        <w:tc>
          <w:tcPr>
            <w:tcW w:w="1690" w:type="dxa"/>
            <w:vAlign w:val="bottom"/>
          </w:tcPr>
          <w:p w14:paraId="4F60C23C" w14:textId="77777777" w:rsidR="00F849A7" w:rsidRPr="00D9348B" w:rsidRDefault="00F849A7" w:rsidP="00DB330E">
            <w:pPr>
              <w:pStyle w:val="TableText"/>
              <w:rPr>
                <w:rFonts w:cs="Calibri"/>
                <w:szCs w:val="16"/>
                <w:vertAlign w:val="superscript"/>
              </w:rPr>
            </w:pPr>
            <w:r w:rsidRPr="00D9348B">
              <w:rPr>
                <w:rFonts w:cs="Calibri"/>
                <w:szCs w:val="16"/>
              </w:rPr>
              <w:t>Poultry – layers</w:t>
            </w:r>
            <w:r w:rsidRPr="00D9348B">
              <w:rPr>
                <w:rStyle w:val="FootnoteReference"/>
                <w:rFonts w:cs="Calibri"/>
                <w:sz w:val="16"/>
                <w:szCs w:val="16"/>
              </w:rPr>
              <w:footnoteReference w:id="53"/>
            </w:r>
          </w:p>
        </w:tc>
        <w:tc>
          <w:tcPr>
            <w:tcW w:w="1352" w:type="dxa"/>
            <w:vAlign w:val="center"/>
          </w:tcPr>
          <w:p w14:paraId="4E085B9A" w14:textId="77777777" w:rsidR="00F849A7" w:rsidRPr="00D9348B" w:rsidRDefault="00F849A7" w:rsidP="00DB330E">
            <w:pPr>
              <w:pStyle w:val="TableText"/>
              <w:jc w:val="center"/>
              <w:rPr>
                <w:rFonts w:cs="Calibri"/>
                <w:szCs w:val="16"/>
              </w:rPr>
            </w:pPr>
            <w:r w:rsidRPr="00D9348B">
              <w:rPr>
                <w:rFonts w:cs="Calibri"/>
                <w:szCs w:val="16"/>
              </w:rPr>
              <w:t>–</w:t>
            </w:r>
          </w:p>
        </w:tc>
        <w:tc>
          <w:tcPr>
            <w:tcW w:w="1494" w:type="dxa"/>
            <w:vAlign w:val="center"/>
          </w:tcPr>
          <w:p w14:paraId="31AEFAB0" w14:textId="77777777" w:rsidR="00F849A7" w:rsidRPr="00D9348B" w:rsidDel="00063FE1" w:rsidRDefault="00F849A7" w:rsidP="00DB330E">
            <w:pPr>
              <w:pStyle w:val="TableText"/>
              <w:jc w:val="center"/>
              <w:rPr>
                <w:rFonts w:cs="Calibri"/>
                <w:szCs w:val="16"/>
              </w:rPr>
            </w:pPr>
            <w:r w:rsidRPr="00D9348B">
              <w:rPr>
                <w:rFonts w:cs="Calibri"/>
                <w:szCs w:val="16"/>
              </w:rPr>
              <w:t>–</w:t>
            </w:r>
          </w:p>
        </w:tc>
        <w:tc>
          <w:tcPr>
            <w:tcW w:w="1701" w:type="dxa"/>
            <w:vAlign w:val="center"/>
          </w:tcPr>
          <w:p w14:paraId="20D40051" w14:textId="77777777" w:rsidR="00F849A7" w:rsidRPr="00D9348B" w:rsidRDefault="00F849A7" w:rsidP="00DB330E">
            <w:pPr>
              <w:pStyle w:val="TableText"/>
              <w:jc w:val="center"/>
              <w:rPr>
                <w:rFonts w:cs="Calibri"/>
                <w:szCs w:val="16"/>
              </w:rPr>
            </w:pPr>
            <w:r w:rsidRPr="00D9348B">
              <w:rPr>
                <w:rFonts w:cs="Calibri"/>
                <w:szCs w:val="16"/>
              </w:rPr>
              <w:t>5.8</w:t>
            </w:r>
          </w:p>
        </w:tc>
        <w:tc>
          <w:tcPr>
            <w:tcW w:w="1250" w:type="dxa"/>
            <w:vAlign w:val="center"/>
          </w:tcPr>
          <w:p w14:paraId="001CD6C2" w14:textId="77777777" w:rsidR="00F849A7" w:rsidRPr="00D9348B" w:rsidRDefault="00F849A7" w:rsidP="00DB330E">
            <w:pPr>
              <w:pStyle w:val="TableText"/>
              <w:jc w:val="center"/>
              <w:rPr>
                <w:rFonts w:cs="Calibri"/>
                <w:szCs w:val="16"/>
              </w:rPr>
            </w:pPr>
            <w:r w:rsidRPr="00D9348B">
              <w:rPr>
                <w:rFonts w:cs="Calibri"/>
                <w:szCs w:val="16"/>
              </w:rPr>
              <w:t>–</w:t>
            </w:r>
          </w:p>
        </w:tc>
        <w:tc>
          <w:tcPr>
            <w:tcW w:w="1018" w:type="dxa"/>
            <w:vAlign w:val="center"/>
          </w:tcPr>
          <w:p w14:paraId="6D676DD9" w14:textId="77777777" w:rsidR="00F849A7" w:rsidRPr="00D9348B" w:rsidRDefault="00F849A7" w:rsidP="00DB330E">
            <w:pPr>
              <w:pStyle w:val="TableText"/>
              <w:jc w:val="center"/>
              <w:rPr>
                <w:rFonts w:cs="Calibri"/>
                <w:szCs w:val="16"/>
              </w:rPr>
            </w:pPr>
            <w:r w:rsidRPr="00D9348B">
              <w:rPr>
                <w:rFonts w:cs="Calibri"/>
                <w:szCs w:val="16"/>
              </w:rPr>
              <w:t>94.2</w:t>
            </w:r>
          </w:p>
        </w:tc>
      </w:tr>
      <w:tr w:rsidR="00F849A7" w:rsidRPr="00D9348B" w14:paraId="36E6B054" w14:textId="77777777" w:rsidTr="005E7AB9">
        <w:trPr>
          <w:cantSplit/>
        </w:trPr>
        <w:tc>
          <w:tcPr>
            <w:tcW w:w="1690" w:type="dxa"/>
            <w:vAlign w:val="bottom"/>
          </w:tcPr>
          <w:p w14:paraId="4C6E542B" w14:textId="77777777" w:rsidR="00F849A7" w:rsidRPr="00D9348B" w:rsidRDefault="00F849A7" w:rsidP="00DB330E">
            <w:pPr>
              <w:pStyle w:val="TableText"/>
              <w:rPr>
                <w:rFonts w:cs="Calibri"/>
                <w:szCs w:val="16"/>
              </w:rPr>
            </w:pPr>
            <w:r w:rsidRPr="00D9348B">
              <w:rPr>
                <w:rFonts w:cs="Calibri"/>
                <w:szCs w:val="16"/>
              </w:rPr>
              <w:t>Poultry – other</w:t>
            </w:r>
            <w:r w:rsidRPr="00D9348B">
              <w:rPr>
                <w:rStyle w:val="FootnoteReference"/>
                <w:rFonts w:cs="Calibri"/>
                <w:sz w:val="16"/>
                <w:szCs w:val="16"/>
              </w:rPr>
              <w:footnoteReference w:id="54"/>
            </w:r>
          </w:p>
        </w:tc>
        <w:tc>
          <w:tcPr>
            <w:tcW w:w="1352" w:type="dxa"/>
            <w:vAlign w:val="center"/>
          </w:tcPr>
          <w:p w14:paraId="3F9FCA97" w14:textId="77777777" w:rsidR="00F849A7" w:rsidRPr="00D9348B" w:rsidRDefault="00F849A7" w:rsidP="00DB330E">
            <w:pPr>
              <w:pStyle w:val="TableText"/>
              <w:jc w:val="center"/>
              <w:rPr>
                <w:rFonts w:cs="Calibri"/>
                <w:szCs w:val="16"/>
              </w:rPr>
            </w:pPr>
            <w:r w:rsidRPr="00D9348B">
              <w:rPr>
                <w:rFonts w:cs="Calibri"/>
                <w:szCs w:val="16"/>
              </w:rPr>
              <w:t>–</w:t>
            </w:r>
          </w:p>
        </w:tc>
        <w:tc>
          <w:tcPr>
            <w:tcW w:w="1494" w:type="dxa"/>
            <w:vAlign w:val="center"/>
          </w:tcPr>
          <w:p w14:paraId="702BDBF1" w14:textId="77777777" w:rsidR="00F849A7" w:rsidRPr="00D9348B" w:rsidRDefault="00F849A7" w:rsidP="00DB330E">
            <w:pPr>
              <w:pStyle w:val="TableText"/>
              <w:jc w:val="center"/>
              <w:rPr>
                <w:rFonts w:cs="Calibri"/>
                <w:szCs w:val="16"/>
              </w:rPr>
            </w:pPr>
            <w:r w:rsidRPr="00D9348B">
              <w:rPr>
                <w:rFonts w:cs="Calibri"/>
                <w:szCs w:val="16"/>
              </w:rPr>
              <w:t>–</w:t>
            </w:r>
          </w:p>
        </w:tc>
        <w:tc>
          <w:tcPr>
            <w:tcW w:w="1701" w:type="dxa"/>
            <w:vAlign w:val="center"/>
          </w:tcPr>
          <w:p w14:paraId="5DA1ABA1" w14:textId="77777777" w:rsidR="00F849A7" w:rsidRPr="00D9348B" w:rsidRDefault="00F849A7" w:rsidP="00DB330E">
            <w:pPr>
              <w:pStyle w:val="TableText"/>
              <w:jc w:val="center"/>
              <w:rPr>
                <w:rFonts w:cs="Calibri"/>
                <w:szCs w:val="16"/>
              </w:rPr>
            </w:pPr>
            <w:r w:rsidRPr="00D9348B">
              <w:rPr>
                <w:rFonts w:cs="Calibri"/>
                <w:szCs w:val="16"/>
              </w:rPr>
              <w:t>3.0</w:t>
            </w:r>
          </w:p>
        </w:tc>
        <w:tc>
          <w:tcPr>
            <w:tcW w:w="1250" w:type="dxa"/>
            <w:vAlign w:val="center"/>
          </w:tcPr>
          <w:p w14:paraId="1E421BBA" w14:textId="77777777" w:rsidR="00F849A7" w:rsidRPr="00D9348B" w:rsidRDefault="00F849A7" w:rsidP="00DB330E">
            <w:pPr>
              <w:pStyle w:val="TableText"/>
              <w:jc w:val="center"/>
              <w:rPr>
                <w:rFonts w:cs="Calibri"/>
                <w:szCs w:val="16"/>
              </w:rPr>
            </w:pPr>
            <w:r w:rsidRPr="00D9348B">
              <w:rPr>
                <w:rFonts w:cs="Calibri"/>
                <w:szCs w:val="16"/>
              </w:rPr>
              <w:t>–</w:t>
            </w:r>
          </w:p>
        </w:tc>
        <w:tc>
          <w:tcPr>
            <w:tcW w:w="1018" w:type="dxa"/>
            <w:vAlign w:val="center"/>
          </w:tcPr>
          <w:p w14:paraId="692E790C" w14:textId="77777777" w:rsidR="00F849A7" w:rsidRPr="00D9348B" w:rsidRDefault="00F849A7" w:rsidP="00DB330E">
            <w:pPr>
              <w:pStyle w:val="TableText"/>
              <w:jc w:val="center"/>
              <w:rPr>
                <w:rFonts w:cs="Calibri"/>
                <w:szCs w:val="16"/>
              </w:rPr>
            </w:pPr>
            <w:r w:rsidRPr="00D9348B">
              <w:rPr>
                <w:rFonts w:cs="Calibri"/>
                <w:szCs w:val="16"/>
              </w:rPr>
              <w:t>97.0</w:t>
            </w:r>
          </w:p>
        </w:tc>
      </w:tr>
      <w:tr w:rsidR="00F849A7" w:rsidRPr="00D9348B" w14:paraId="028F3A9C" w14:textId="77777777" w:rsidTr="005E7AB9">
        <w:trPr>
          <w:cantSplit/>
        </w:trPr>
        <w:tc>
          <w:tcPr>
            <w:tcW w:w="1690" w:type="dxa"/>
            <w:vAlign w:val="bottom"/>
          </w:tcPr>
          <w:p w14:paraId="4B0760BB" w14:textId="77777777" w:rsidR="00F849A7" w:rsidRPr="00D9348B" w:rsidRDefault="00F849A7" w:rsidP="00DB330E">
            <w:pPr>
              <w:pStyle w:val="TableText"/>
              <w:rPr>
                <w:rFonts w:cs="Calibri"/>
                <w:szCs w:val="16"/>
              </w:rPr>
            </w:pPr>
            <w:r w:rsidRPr="00D9348B">
              <w:rPr>
                <w:rFonts w:cs="Calibri"/>
                <w:szCs w:val="16"/>
              </w:rPr>
              <w:t>Alpacas</w:t>
            </w:r>
          </w:p>
        </w:tc>
        <w:tc>
          <w:tcPr>
            <w:tcW w:w="1352" w:type="dxa"/>
            <w:vAlign w:val="center"/>
          </w:tcPr>
          <w:p w14:paraId="7516B415" w14:textId="77777777" w:rsidR="00F849A7" w:rsidRPr="00D9348B" w:rsidRDefault="00F849A7" w:rsidP="00DB330E">
            <w:pPr>
              <w:pStyle w:val="TableText"/>
              <w:jc w:val="center"/>
              <w:rPr>
                <w:rFonts w:cs="Calibri"/>
                <w:szCs w:val="16"/>
              </w:rPr>
            </w:pPr>
            <w:r w:rsidRPr="00D9348B">
              <w:rPr>
                <w:rFonts w:cs="Calibri"/>
                <w:szCs w:val="16"/>
              </w:rPr>
              <w:t>–</w:t>
            </w:r>
          </w:p>
        </w:tc>
        <w:tc>
          <w:tcPr>
            <w:tcW w:w="1494" w:type="dxa"/>
            <w:vAlign w:val="center"/>
          </w:tcPr>
          <w:p w14:paraId="030774C8" w14:textId="77777777" w:rsidR="00F849A7" w:rsidRPr="00D9348B" w:rsidRDefault="00F849A7" w:rsidP="00DB330E">
            <w:pPr>
              <w:pStyle w:val="TableText"/>
              <w:jc w:val="center"/>
              <w:rPr>
                <w:rFonts w:cs="Calibri"/>
                <w:szCs w:val="16"/>
              </w:rPr>
            </w:pPr>
            <w:r w:rsidRPr="00D9348B">
              <w:rPr>
                <w:rFonts w:cs="Calibri"/>
                <w:szCs w:val="16"/>
              </w:rPr>
              <w:t>–</w:t>
            </w:r>
          </w:p>
        </w:tc>
        <w:tc>
          <w:tcPr>
            <w:tcW w:w="1701" w:type="dxa"/>
            <w:vAlign w:val="center"/>
          </w:tcPr>
          <w:p w14:paraId="5017C68A" w14:textId="77777777" w:rsidR="00F849A7" w:rsidRPr="00D9348B" w:rsidRDefault="00F849A7" w:rsidP="00DB330E">
            <w:pPr>
              <w:pStyle w:val="TableText"/>
              <w:jc w:val="center"/>
              <w:rPr>
                <w:rFonts w:cs="Calibri"/>
                <w:szCs w:val="16"/>
              </w:rPr>
            </w:pPr>
            <w:r w:rsidRPr="00D9348B">
              <w:rPr>
                <w:rFonts w:cs="Calibri"/>
                <w:szCs w:val="16"/>
              </w:rPr>
              <w:t>100.0</w:t>
            </w:r>
          </w:p>
        </w:tc>
        <w:tc>
          <w:tcPr>
            <w:tcW w:w="1250" w:type="dxa"/>
            <w:vAlign w:val="center"/>
          </w:tcPr>
          <w:p w14:paraId="3B288A94" w14:textId="77777777" w:rsidR="00F849A7" w:rsidRPr="00D9348B" w:rsidRDefault="00F849A7" w:rsidP="00DB330E">
            <w:pPr>
              <w:pStyle w:val="TableText"/>
              <w:jc w:val="center"/>
              <w:rPr>
                <w:rFonts w:cs="Calibri"/>
                <w:szCs w:val="16"/>
              </w:rPr>
            </w:pPr>
            <w:r w:rsidRPr="00D9348B">
              <w:rPr>
                <w:rFonts w:cs="Calibri"/>
                <w:szCs w:val="16"/>
              </w:rPr>
              <w:t>–</w:t>
            </w:r>
          </w:p>
        </w:tc>
        <w:tc>
          <w:tcPr>
            <w:tcW w:w="1018" w:type="dxa"/>
            <w:vAlign w:val="center"/>
          </w:tcPr>
          <w:p w14:paraId="1D593692" w14:textId="77777777" w:rsidR="00F849A7" w:rsidRPr="00D9348B" w:rsidRDefault="00F849A7" w:rsidP="00DB330E">
            <w:pPr>
              <w:pStyle w:val="TableText"/>
              <w:jc w:val="center"/>
              <w:rPr>
                <w:rFonts w:cs="Calibri"/>
                <w:szCs w:val="16"/>
              </w:rPr>
            </w:pPr>
            <w:r w:rsidRPr="00D9348B">
              <w:rPr>
                <w:rFonts w:cs="Calibri"/>
                <w:szCs w:val="16"/>
              </w:rPr>
              <w:t>–</w:t>
            </w:r>
          </w:p>
        </w:tc>
      </w:tr>
      <w:tr w:rsidR="00F849A7" w:rsidRPr="00D9348B" w14:paraId="20521BFF" w14:textId="77777777" w:rsidTr="005E7AB9">
        <w:trPr>
          <w:cantSplit/>
        </w:trPr>
        <w:tc>
          <w:tcPr>
            <w:tcW w:w="1690" w:type="dxa"/>
            <w:vAlign w:val="bottom"/>
          </w:tcPr>
          <w:p w14:paraId="4BC835A8" w14:textId="77777777" w:rsidR="00F849A7" w:rsidRPr="00D9348B" w:rsidRDefault="00F849A7" w:rsidP="00DB330E">
            <w:pPr>
              <w:pStyle w:val="TableText"/>
              <w:rPr>
                <w:rFonts w:cs="Calibri"/>
                <w:szCs w:val="16"/>
              </w:rPr>
            </w:pPr>
            <w:r w:rsidRPr="00D9348B">
              <w:rPr>
                <w:rFonts w:cs="Calibri"/>
                <w:szCs w:val="16"/>
              </w:rPr>
              <w:t>Mules and asses</w:t>
            </w:r>
          </w:p>
        </w:tc>
        <w:tc>
          <w:tcPr>
            <w:tcW w:w="1352" w:type="dxa"/>
            <w:vAlign w:val="center"/>
          </w:tcPr>
          <w:p w14:paraId="5ABF56B5" w14:textId="77777777" w:rsidR="00F849A7" w:rsidRPr="00D9348B" w:rsidRDefault="00F849A7" w:rsidP="00DB330E">
            <w:pPr>
              <w:pStyle w:val="TableText"/>
              <w:jc w:val="center"/>
              <w:rPr>
                <w:rFonts w:cs="Calibri"/>
                <w:szCs w:val="16"/>
              </w:rPr>
            </w:pPr>
            <w:r w:rsidRPr="00D9348B">
              <w:rPr>
                <w:rFonts w:cs="Calibri"/>
                <w:szCs w:val="16"/>
              </w:rPr>
              <w:t>–</w:t>
            </w:r>
          </w:p>
        </w:tc>
        <w:tc>
          <w:tcPr>
            <w:tcW w:w="1494" w:type="dxa"/>
            <w:vAlign w:val="center"/>
          </w:tcPr>
          <w:p w14:paraId="796E4514" w14:textId="77777777" w:rsidR="00F849A7" w:rsidRPr="00D9348B" w:rsidRDefault="00F849A7" w:rsidP="00DB330E">
            <w:pPr>
              <w:pStyle w:val="TableText"/>
              <w:jc w:val="center"/>
              <w:rPr>
                <w:rFonts w:cs="Calibri"/>
                <w:szCs w:val="16"/>
              </w:rPr>
            </w:pPr>
            <w:r w:rsidRPr="00D9348B">
              <w:rPr>
                <w:rFonts w:cs="Calibri"/>
                <w:szCs w:val="16"/>
              </w:rPr>
              <w:t>–</w:t>
            </w:r>
          </w:p>
        </w:tc>
        <w:tc>
          <w:tcPr>
            <w:tcW w:w="1701" w:type="dxa"/>
            <w:vAlign w:val="center"/>
          </w:tcPr>
          <w:p w14:paraId="165CFC9D" w14:textId="77777777" w:rsidR="00F849A7" w:rsidRPr="00D9348B" w:rsidRDefault="00F849A7" w:rsidP="00DB330E">
            <w:pPr>
              <w:pStyle w:val="TableText"/>
              <w:jc w:val="center"/>
              <w:rPr>
                <w:rFonts w:cs="Calibri"/>
                <w:szCs w:val="16"/>
              </w:rPr>
            </w:pPr>
            <w:r w:rsidRPr="00D9348B">
              <w:rPr>
                <w:rFonts w:cs="Calibri"/>
                <w:szCs w:val="16"/>
              </w:rPr>
              <w:t>100.0</w:t>
            </w:r>
          </w:p>
        </w:tc>
        <w:tc>
          <w:tcPr>
            <w:tcW w:w="1250" w:type="dxa"/>
            <w:vAlign w:val="center"/>
          </w:tcPr>
          <w:p w14:paraId="0853DFB1" w14:textId="77777777" w:rsidR="00F849A7" w:rsidRPr="00D9348B" w:rsidRDefault="00F849A7" w:rsidP="00DB330E">
            <w:pPr>
              <w:pStyle w:val="TableText"/>
              <w:jc w:val="center"/>
              <w:rPr>
                <w:rFonts w:cs="Calibri"/>
                <w:szCs w:val="16"/>
              </w:rPr>
            </w:pPr>
            <w:r w:rsidRPr="00D9348B">
              <w:rPr>
                <w:rFonts w:cs="Calibri"/>
                <w:szCs w:val="16"/>
              </w:rPr>
              <w:t>–</w:t>
            </w:r>
          </w:p>
        </w:tc>
        <w:tc>
          <w:tcPr>
            <w:tcW w:w="1018" w:type="dxa"/>
            <w:vAlign w:val="center"/>
          </w:tcPr>
          <w:p w14:paraId="14B935D0" w14:textId="77777777" w:rsidR="00F849A7" w:rsidRPr="00D9348B" w:rsidRDefault="00F849A7" w:rsidP="00DB330E">
            <w:pPr>
              <w:pStyle w:val="TableText"/>
              <w:jc w:val="center"/>
              <w:rPr>
                <w:rFonts w:cs="Calibri"/>
                <w:szCs w:val="16"/>
              </w:rPr>
            </w:pPr>
            <w:r w:rsidRPr="00D9348B">
              <w:rPr>
                <w:rFonts w:cs="Calibri"/>
                <w:szCs w:val="16"/>
              </w:rPr>
              <w:t>–</w:t>
            </w:r>
          </w:p>
        </w:tc>
      </w:tr>
    </w:tbl>
    <w:p w14:paraId="0908B84B" w14:textId="77777777" w:rsidR="00F849A7" w:rsidRPr="00D9348B" w:rsidRDefault="00F849A7" w:rsidP="00F849A7">
      <w:pPr>
        <w:pStyle w:val="Heading3"/>
        <w:spacing w:before="480"/>
        <w:rPr>
          <w:rFonts w:cs="Calibri"/>
        </w:rPr>
      </w:pPr>
      <w:bookmarkStart w:id="732" w:name="_Toc32570659"/>
      <w:r w:rsidRPr="00D9348B">
        <w:rPr>
          <w:rFonts w:cs="Calibri"/>
        </w:rPr>
        <w:t>5.3.2</w:t>
      </w:r>
      <w:r w:rsidRPr="00D9348B">
        <w:rPr>
          <w:rFonts w:cs="Calibri"/>
        </w:rPr>
        <w:tab/>
        <w:t>Methodological issues</w:t>
      </w:r>
      <w:bookmarkEnd w:id="727"/>
      <w:bookmarkEnd w:id="732"/>
    </w:p>
    <w:p w14:paraId="2E92C0A2" w14:textId="77777777" w:rsidR="00F849A7" w:rsidRPr="00D9348B" w:rsidRDefault="00F849A7" w:rsidP="00865BDB">
      <w:pPr>
        <w:pStyle w:val="Heading4"/>
      </w:pPr>
      <w:r w:rsidRPr="00D9348B">
        <w:t>Methane from manure management systems (CRF 3.B</w:t>
      </w:r>
      <w:proofErr w:type="gramStart"/>
      <w:r w:rsidRPr="00D9348B">
        <w:t>.(</w:t>
      </w:r>
      <w:proofErr w:type="gramEnd"/>
      <w:r w:rsidRPr="00D9348B">
        <w:t xml:space="preserve">a)) </w:t>
      </w:r>
    </w:p>
    <w:p w14:paraId="4EF4C0D8" w14:textId="7EFBC585" w:rsidR="00F849A7" w:rsidRPr="00D9348B" w:rsidRDefault="00F849A7" w:rsidP="00F849A7">
      <w:pPr>
        <w:pStyle w:val="BodyText"/>
        <w:rPr>
          <w:rFonts w:cs="Calibri"/>
        </w:rPr>
      </w:pPr>
      <w:r w:rsidRPr="00D9348B">
        <w:rPr>
          <w:rFonts w:cs="Calibri"/>
        </w:rPr>
        <w:t>New Zealand uses a Tier 2 approach to calculate CH</w:t>
      </w:r>
      <w:r w:rsidRPr="00D9348B">
        <w:rPr>
          <w:rFonts w:cs="Calibri"/>
          <w:vertAlign w:val="subscript"/>
        </w:rPr>
        <w:t xml:space="preserve">4 </w:t>
      </w:r>
      <w:r w:rsidRPr="00D9348B">
        <w:rPr>
          <w:rFonts w:cs="Calibri"/>
        </w:rPr>
        <w:t>emissions from ruminant animal wastes</w:t>
      </w:r>
      <w:r w:rsidR="00E62277" w:rsidRPr="00D9348B">
        <w:rPr>
          <w:rFonts w:cs="Calibri"/>
        </w:rPr>
        <w:t> </w:t>
      </w:r>
      <w:r w:rsidRPr="00D9348B">
        <w:rPr>
          <w:rFonts w:cs="Calibri"/>
        </w:rPr>
        <w:t>from the major livestock categories in New Zealand (</w:t>
      </w:r>
      <w:r w:rsidRPr="00D9348B">
        <w:rPr>
          <w:rFonts w:cs="Calibri"/>
          <w:i/>
          <w:iCs/>
        </w:rPr>
        <w:t>Dairy cattle</w:t>
      </w:r>
      <w:r w:rsidRPr="00D9348B">
        <w:rPr>
          <w:rFonts w:cs="Calibri"/>
        </w:rPr>
        <w:t xml:space="preserve">, </w:t>
      </w:r>
      <w:r w:rsidRPr="00D9348B">
        <w:rPr>
          <w:rFonts w:cs="Calibri"/>
          <w:i/>
          <w:iCs/>
        </w:rPr>
        <w:t>Non-dairy cattle</w:t>
      </w:r>
      <w:r w:rsidRPr="00D9348B">
        <w:rPr>
          <w:rFonts w:cs="Calibri"/>
        </w:rPr>
        <w:t xml:space="preserve">, </w:t>
      </w:r>
      <w:r w:rsidRPr="00D9348B">
        <w:rPr>
          <w:rFonts w:cs="Calibri"/>
          <w:i/>
          <w:iCs/>
        </w:rPr>
        <w:t>Sheep</w:t>
      </w:r>
      <w:r w:rsidRPr="00D9348B">
        <w:rPr>
          <w:rFonts w:cs="Calibri"/>
        </w:rPr>
        <w:t xml:space="preserve"> and</w:t>
      </w:r>
      <w:r w:rsidR="00E62277" w:rsidRPr="00D9348B">
        <w:rPr>
          <w:rFonts w:cs="Calibri"/>
        </w:rPr>
        <w:t> </w:t>
      </w:r>
      <w:r w:rsidRPr="00D9348B">
        <w:rPr>
          <w:rFonts w:cs="Calibri"/>
          <w:i/>
          <w:iCs/>
        </w:rPr>
        <w:t>Deer</w:t>
      </w:r>
      <w:r w:rsidRPr="00D9348B">
        <w:rPr>
          <w:rFonts w:cs="Calibri"/>
        </w:rPr>
        <w:t>). This approach is based on the methods recommended by Saggar et al. (unpublished) and is consistent with the IPCC 2006 Guidelines.</w:t>
      </w:r>
    </w:p>
    <w:p w14:paraId="1E970EF0" w14:textId="558ECAA7" w:rsidR="00F849A7" w:rsidRPr="00D9348B" w:rsidRDefault="00F849A7" w:rsidP="00F849A7">
      <w:pPr>
        <w:pStyle w:val="BodyText"/>
        <w:rPr>
          <w:rFonts w:cs="Calibri"/>
        </w:rPr>
      </w:pPr>
      <w:r w:rsidRPr="00D9348B">
        <w:rPr>
          <w:rFonts w:cs="Calibri"/>
        </w:rPr>
        <w:t>Because New Zealand has detailed information on the dairy population and their characteristics (such as feed intake), the IPCC (2006) Tier 2 methodology for dairy anaerobic</w:t>
      </w:r>
      <w:r w:rsidR="00E62277" w:rsidRPr="00D9348B">
        <w:rPr>
          <w:rFonts w:cs="Calibri"/>
        </w:rPr>
        <w:t> </w:t>
      </w:r>
      <w:r w:rsidRPr="00D9348B">
        <w:rPr>
          <w:rFonts w:cs="Calibri"/>
        </w:rPr>
        <w:t>lagoons is used. The Tier 1 methodology for the minor livestock categories uses</w:t>
      </w:r>
      <w:r w:rsidR="00E62277" w:rsidRPr="00D9348B">
        <w:rPr>
          <w:rFonts w:cs="Calibri"/>
        </w:rPr>
        <w:t> </w:t>
      </w:r>
      <w:r w:rsidRPr="00D9348B">
        <w:rPr>
          <w:rFonts w:cs="Calibri"/>
        </w:rPr>
        <w:t>country-specific and IPCC (2006) default emission factors.</w:t>
      </w:r>
    </w:p>
    <w:p w14:paraId="2424D951" w14:textId="77777777" w:rsidR="00F849A7" w:rsidRPr="00D9348B" w:rsidRDefault="00F849A7" w:rsidP="00F849A7">
      <w:pPr>
        <w:pStyle w:val="Heading5"/>
        <w:rPr>
          <w:rFonts w:cs="Calibri"/>
        </w:rPr>
      </w:pPr>
      <w:bookmarkStart w:id="733" w:name="_Toc139264110"/>
      <w:r w:rsidRPr="00D9348B">
        <w:rPr>
          <w:rFonts w:cs="Calibri"/>
        </w:rPr>
        <w:t xml:space="preserve">Manure methane </w:t>
      </w:r>
      <w:bookmarkEnd w:id="733"/>
      <w:r w:rsidRPr="00D9348B">
        <w:rPr>
          <w:rFonts w:cs="Calibri"/>
        </w:rPr>
        <w:t xml:space="preserve">from the major livestock categories </w:t>
      </w:r>
    </w:p>
    <w:p w14:paraId="34B1C0E2" w14:textId="77777777" w:rsidR="00F849A7" w:rsidRPr="00D9348B" w:rsidRDefault="00F849A7" w:rsidP="00F849A7">
      <w:pPr>
        <w:pStyle w:val="BodyText"/>
        <w:rPr>
          <w:rFonts w:cs="Calibri"/>
        </w:rPr>
      </w:pPr>
      <w:r w:rsidRPr="00D9348B">
        <w:rPr>
          <w:rFonts w:cs="Calibri"/>
        </w:rPr>
        <w:t>The approach for calculating CH</w:t>
      </w:r>
      <w:r w:rsidRPr="00D9348B">
        <w:rPr>
          <w:rFonts w:cs="Calibri"/>
          <w:vertAlign w:val="subscript"/>
        </w:rPr>
        <w:t>4</w:t>
      </w:r>
      <w:r w:rsidRPr="00D9348B">
        <w:rPr>
          <w:rFonts w:cs="Calibri"/>
        </w:rPr>
        <w:t xml:space="preserve"> emissions from the major livestock categories relies on: </w:t>
      </w:r>
    </w:p>
    <w:p w14:paraId="22416A61" w14:textId="77777777" w:rsidR="00F849A7" w:rsidRPr="00D9348B" w:rsidRDefault="00F849A7" w:rsidP="00E62277">
      <w:pPr>
        <w:pStyle w:val="BodyText"/>
        <w:spacing w:before="0"/>
        <w:ind w:left="567" w:hanging="567"/>
        <w:rPr>
          <w:rFonts w:cs="Calibri"/>
        </w:rPr>
      </w:pPr>
      <w:r w:rsidRPr="00D9348B">
        <w:rPr>
          <w:rFonts w:cs="Calibri"/>
        </w:rPr>
        <w:t xml:space="preserve">(1) </w:t>
      </w:r>
      <w:r w:rsidRPr="00D9348B">
        <w:rPr>
          <w:rFonts w:cs="Calibri"/>
        </w:rPr>
        <w:tab/>
      </w:r>
      <w:proofErr w:type="gramStart"/>
      <w:r w:rsidRPr="00D9348B">
        <w:rPr>
          <w:rFonts w:cs="Calibri"/>
        </w:rPr>
        <w:t>an</w:t>
      </w:r>
      <w:proofErr w:type="gramEnd"/>
      <w:r w:rsidRPr="00D9348B">
        <w:rPr>
          <w:rFonts w:cs="Calibri"/>
        </w:rPr>
        <w:t xml:space="preserve"> estimation of the total quantity of faecal material produced, split into dung and urine</w:t>
      </w:r>
    </w:p>
    <w:p w14:paraId="429AE1A1" w14:textId="77777777" w:rsidR="00F849A7" w:rsidRPr="00D9348B" w:rsidRDefault="00F849A7" w:rsidP="00E62277">
      <w:pPr>
        <w:pStyle w:val="BodyText"/>
        <w:spacing w:before="0"/>
        <w:ind w:left="567" w:hanging="567"/>
        <w:rPr>
          <w:rFonts w:cs="Calibri"/>
        </w:rPr>
      </w:pPr>
      <w:r w:rsidRPr="00D9348B">
        <w:rPr>
          <w:rFonts w:cs="Calibri"/>
        </w:rPr>
        <w:t xml:space="preserve">(2) </w:t>
      </w:r>
      <w:r w:rsidRPr="00D9348B">
        <w:rPr>
          <w:rFonts w:cs="Calibri"/>
        </w:rPr>
        <w:tab/>
      </w:r>
      <w:proofErr w:type="gramStart"/>
      <w:r w:rsidRPr="00D9348B">
        <w:rPr>
          <w:rFonts w:cs="Calibri"/>
        </w:rPr>
        <w:t>allocating</w:t>
      </w:r>
      <w:proofErr w:type="gramEnd"/>
      <w:r w:rsidRPr="00D9348B">
        <w:rPr>
          <w:rFonts w:cs="Calibri"/>
        </w:rPr>
        <w:t xml:space="preserve"> the faecal material to the appropriate manure management system, either onto pastures or anaerobic lagoons (based on the distributions in table 5.3.2) </w:t>
      </w:r>
    </w:p>
    <w:p w14:paraId="4ACEC7E3" w14:textId="77777777" w:rsidR="00F849A7" w:rsidRPr="00D9348B" w:rsidRDefault="00F849A7" w:rsidP="00E62277">
      <w:pPr>
        <w:pStyle w:val="BodyText"/>
        <w:spacing w:before="0"/>
        <w:ind w:left="567" w:hanging="567"/>
        <w:rPr>
          <w:rFonts w:cs="Calibri"/>
        </w:rPr>
      </w:pPr>
      <w:r w:rsidRPr="00D9348B">
        <w:rPr>
          <w:rFonts w:cs="Calibri"/>
        </w:rPr>
        <w:t xml:space="preserve">(3) </w:t>
      </w:r>
      <w:r w:rsidRPr="00D9348B">
        <w:rPr>
          <w:rFonts w:cs="Calibri"/>
        </w:rPr>
        <w:tab/>
        <w:t>New Zealand-specific emission factors for the quantity of CH</w:t>
      </w:r>
      <w:r w:rsidRPr="00D9348B">
        <w:rPr>
          <w:rFonts w:cs="Calibri"/>
          <w:vertAlign w:val="subscript"/>
        </w:rPr>
        <w:t>4</w:t>
      </w:r>
      <w:r w:rsidRPr="00D9348B">
        <w:rPr>
          <w:rFonts w:cs="Calibri"/>
        </w:rPr>
        <w:t xml:space="preserve"> produced per unit of faecal dry-matter (FDM) output.</w:t>
      </w:r>
    </w:p>
    <w:p w14:paraId="79D7269A" w14:textId="77777777" w:rsidR="00F849A7" w:rsidRPr="00D9348B" w:rsidRDefault="00F849A7" w:rsidP="00F849A7">
      <w:pPr>
        <w:pStyle w:val="BodyText"/>
        <w:keepNext/>
        <w:rPr>
          <w:rFonts w:cs="Calibri"/>
        </w:rPr>
      </w:pPr>
      <w:r w:rsidRPr="00D9348B">
        <w:rPr>
          <w:rFonts w:cs="Calibri"/>
        </w:rPr>
        <w:lastRenderedPageBreak/>
        <w:t>The following equation is used to determine the monthly FDM output for each livestock category (</w:t>
      </w:r>
      <w:r w:rsidRPr="00D9348B">
        <w:rPr>
          <w:rFonts w:cs="Calibri"/>
          <w:i/>
          <w:iCs/>
        </w:rPr>
        <w:t>Dairy cattle</w:t>
      </w:r>
      <w:r w:rsidRPr="00D9348B">
        <w:rPr>
          <w:rFonts w:cs="Calibri"/>
        </w:rPr>
        <w:t xml:space="preserve">, </w:t>
      </w:r>
      <w:r w:rsidRPr="00D9348B">
        <w:rPr>
          <w:rFonts w:cs="Calibri"/>
          <w:i/>
          <w:iCs/>
        </w:rPr>
        <w:t>Non-dairy cattle</w:t>
      </w:r>
      <w:r w:rsidRPr="00D9348B">
        <w:rPr>
          <w:rFonts w:cs="Calibri"/>
        </w:rPr>
        <w:t xml:space="preserve">, </w:t>
      </w:r>
      <w:r w:rsidRPr="00D9348B">
        <w:rPr>
          <w:rFonts w:cs="Calibri"/>
          <w:i/>
          <w:iCs/>
        </w:rPr>
        <w:t>Sheep</w:t>
      </w:r>
      <w:r w:rsidRPr="00D9348B">
        <w:rPr>
          <w:rFonts w:cs="Calibri"/>
        </w:rPr>
        <w:t xml:space="preserve"> and </w:t>
      </w:r>
      <w:r w:rsidRPr="00D9348B">
        <w:rPr>
          <w:rFonts w:cs="Calibri"/>
          <w:i/>
          <w:iCs/>
        </w:rPr>
        <w:t>Deer</w:t>
      </w:r>
      <w:r w:rsidRPr="00D9348B">
        <w:rPr>
          <w:rFonts w:cs="Calibri"/>
        </w:rPr>
        <w:t>):</w:t>
      </w:r>
    </w:p>
    <w:p w14:paraId="4DF0EBAA" w14:textId="77777777" w:rsidR="00F849A7" w:rsidRPr="00D9348B" w:rsidRDefault="00F849A7" w:rsidP="00F849A7">
      <w:pPr>
        <w:spacing w:before="120" w:after="120"/>
        <w:jc w:val="center"/>
        <w:rPr>
          <w:rFonts w:cs="Calibri"/>
          <w:i/>
          <w:iCs/>
          <w:sz w:val="20"/>
        </w:rPr>
      </w:pPr>
      <w:r w:rsidRPr="00D9348B">
        <w:rPr>
          <w:rFonts w:cs="Calibri"/>
          <w:i/>
          <w:iCs/>
          <w:sz w:val="20"/>
        </w:rPr>
        <w:t>FDM = DMI × (1 – DMD)</w:t>
      </w:r>
    </w:p>
    <w:p w14:paraId="2E8DAD34" w14:textId="77777777" w:rsidR="00F849A7" w:rsidRPr="00D9348B" w:rsidRDefault="00F849A7" w:rsidP="00F849A7">
      <w:pPr>
        <w:keepNext/>
        <w:tabs>
          <w:tab w:val="left" w:pos="993"/>
        </w:tabs>
        <w:spacing w:before="80"/>
        <w:rPr>
          <w:rFonts w:cs="Calibri"/>
        </w:rPr>
      </w:pPr>
      <w:r w:rsidRPr="00D9348B">
        <w:rPr>
          <w:rFonts w:cs="Calibri"/>
        </w:rPr>
        <w:t xml:space="preserve">Where: </w:t>
      </w:r>
      <w:r w:rsidRPr="00D9348B">
        <w:rPr>
          <w:rFonts w:cs="Calibri"/>
        </w:rPr>
        <w:tab/>
        <w:t>FDM is faecal dry matter (kg/head/month)</w:t>
      </w:r>
    </w:p>
    <w:p w14:paraId="0C3A7292" w14:textId="77777777" w:rsidR="00F849A7" w:rsidRPr="00D9348B" w:rsidRDefault="00F849A7" w:rsidP="00F849A7">
      <w:pPr>
        <w:keepNext/>
        <w:tabs>
          <w:tab w:val="left" w:pos="993"/>
        </w:tabs>
        <w:spacing w:before="80"/>
        <w:ind w:firstLine="567"/>
        <w:rPr>
          <w:rFonts w:cs="Calibri"/>
        </w:rPr>
      </w:pPr>
      <w:r w:rsidRPr="00D9348B">
        <w:rPr>
          <w:rFonts w:cs="Calibri"/>
        </w:rPr>
        <w:tab/>
        <w:t>DMI is dry-matter intake (kg/head/month), and</w:t>
      </w:r>
    </w:p>
    <w:p w14:paraId="3949F3E0" w14:textId="77777777" w:rsidR="00F849A7" w:rsidRPr="00D9348B" w:rsidRDefault="00F849A7" w:rsidP="00F849A7">
      <w:pPr>
        <w:keepNext/>
        <w:tabs>
          <w:tab w:val="left" w:pos="993"/>
        </w:tabs>
        <w:spacing w:before="80" w:after="120"/>
        <w:ind w:firstLine="567"/>
        <w:rPr>
          <w:rFonts w:cs="Calibri"/>
        </w:rPr>
      </w:pPr>
      <w:r w:rsidRPr="00D9348B">
        <w:rPr>
          <w:rFonts w:cs="Calibri"/>
        </w:rPr>
        <w:tab/>
        <w:t>DMD is dry-matter digestibility (decimal proportion).</w:t>
      </w:r>
    </w:p>
    <w:p w14:paraId="651DB1FD" w14:textId="77777777" w:rsidR="00F849A7" w:rsidRPr="00D9348B" w:rsidRDefault="00F849A7" w:rsidP="00F849A7">
      <w:pPr>
        <w:pStyle w:val="BodyText"/>
        <w:rPr>
          <w:rFonts w:cs="Calibri"/>
        </w:rPr>
      </w:pPr>
      <w:r w:rsidRPr="00D9348B">
        <w:rPr>
          <w:rFonts w:cs="Calibri"/>
        </w:rPr>
        <w:t>The DMI and dry-matter digestibility estimates in this calculation are the same as those used to calculate the enteric fermentation CH</w:t>
      </w:r>
      <w:r w:rsidRPr="00D9348B">
        <w:rPr>
          <w:rFonts w:cs="Calibri"/>
          <w:vertAlign w:val="subscript"/>
        </w:rPr>
        <w:t xml:space="preserve">4 </w:t>
      </w:r>
      <w:r w:rsidRPr="00D9348B">
        <w:rPr>
          <w:rFonts w:cs="Calibri"/>
          <w:spacing w:val="-2"/>
        </w:rPr>
        <w:t xml:space="preserve">and </w:t>
      </w:r>
      <w:r w:rsidRPr="00D9348B">
        <w:rPr>
          <w:rFonts w:cs="Calibri"/>
        </w:rPr>
        <w:t>nitrogen</w:t>
      </w:r>
      <w:r w:rsidRPr="00D9348B">
        <w:rPr>
          <w:rFonts w:cs="Calibri"/>
          <w:spacing w:val="-2"/>
        </w:rPr>
        <w:t xml:space="preserve"> in excreta.</w:t>
      </w:r>
      <w:r w:rsidRPr="00D9348B">
        <w:rPr>
          <w:rFonts w:cs="Calibri"/>
        </w:rPr>
        <w:t xml:space="preserve"> These Tier 2 model calculations are based on livestock performance statistics (see section 5.1.4). </w:t>
      </w:r>
    </w:p>
    <w:p w14:paraId="3F421A0A" w14:textId="77777777" w:rsidR="00F849A7" w:rsidRPr="00D9348B" w:rsidRDefault="00F849A7" w:rsidP="00F849A7">
      <w:pPr>
        <w:pStyle w:val="Heading5"/>
        <w:spacing w:before="200"/>
        <w:rPr>
          <w:rFonts w:cs="Calibri"/>
        </w:rPr>
      </w:pPr>
      <w:r w:rsidRPr="00D9348B">
        <w:rPr>
          <w:rFonts w:cs="Calibri"/>
        </w:rPr>
        <w:t xml:space="preserve">Methane from dairy effluent anaerobic lagoons </w:t>
      </w:r>
    </w:p>
    <w:p w14:paraId="65EDD762" w14:textId="77777777" w:rsidR="00F849A7" w:rsidRPr="00D9348B" w:rsidRDefault="00F849A7" w:rsidP="00F849A7">
      <w:pPr>
        <w:pStyle w:val="BodyText"/>
        <w:spacing w:before="100" w:after="60"/>
        <w:rPr>
          <w:rFonts w:cs="Calibri"/>
        </w:rPr>
      </w:pPr>
      <w:r w:rsidRPr="00D9348B">
        <w:rPr>
          <w:rFonts w:cs="Calibri"/>
        </w:rPr>
        <w:t>Each year, a proportion of manure from dairy cows is stored in anaerobic lagoons (Rollo et al., unpublished). A Tier 2 methodology derived from the IPCC Guidelines (2006, equations 10.23 and 10.24) linking volatile solids to FDM is used for calculating CH</w:t>
      </w:r>
      <w:r w:rsidRPr="00D9348B">
        <w:rPr>
          <w:rFonts w:cs="Calibri"/>
          <w:vertAlign w:val="subscript"/>
        </w:rPr>
        <w:t>4</w:t>
      </w:r>
      <w:r w:rsidRPr="00D9348B">
        <w:rPr>
          <w:rFonts w:cs="Calibri"/>
        </w:rPr>
        <w:t xml:space="preserve"> emissions from this activity.</w:t>
      </w:r>
    </w:p>
    <w:p w14:paraId="706CBE10" w14:textId="77777777" w:rsidR="00F849A7" w:rsidRPr="00D9348B" w:rsidRDefault="00F849A7" w:rsidP="00F849A7">
      <w:pPr>
        <w:pStyle w:val="BodyText"/>
        <w:spacing w:after="0"/>
        <w:rPr>
          <w:rFonts w:cs="Calibri"/>
        </w:rPr>
      </w:pPr>
      <w:r w:rsidRPr="00D9348B">
        <w:rPr>
          <w:rFonts w:cs="Calibri"/>
        </w:rPr>
        <w:t>The following equation is used to determine CH</w:t>
      </w:r>
      <w:r w:rsidRPr="00D9348B">
        <w:rPr>
          <w:rFonts w:cs="Calibri"/>
          <w:vertAlign w:val="subscript"/>
        </w:rPr>
        <w:t>4</w:t>
      </w:r>
      <w:r w:rsidRPr="00D9348B">
        <w:rPr>
          <w:rFonts w:cs="Calibri"/>
        </w:rPr>
        <w:t xml:space="preserve"> emissions (CH</w:t>
      </w:r>
      <w:r w:rsidRPr="00D9348B">
        <w:rPr>
          <w:rFonts w:cs="Calibri"/>
          <w:vertAlign w:val="subscript"/>
        </w:rPr>
        <w:t>4-MM</w:t>
      </w:r>
      <w:r w:rsidRPr="00D9348B">
        <w:rPr>
          <w:rFonts w:cs="Calibri"/>
        </w:rPr>
        <w:t>) from dairy cattle manure in anaerobic lagoons:</w:t>
      </w:r>
    </w:p>
    <w:bookmarkStart w:id="734" w:name="_MON_1573034334"/>
    <w:bookmarkEnd w:id="734"/>
    <w:p w14:paraId="16C4687F" w14:textId="77777777" w:rsidR="00F849A7" w:rsidRPr="00D9348B" w:rsidRDefault="00F849A7" w:rsidP="00F849A7">
      <w:pPr>
        <w:pStyle w:val="BodyText"/>
        <w:spacing w:after="0"/>
        <w:rPr>
          <w:rFonts w:cs="Calibri"/>
        </w:rPr>
      </w:pPr>
      <w:r w:rsidRPr="00D9348B">
        <w:rPr>
          <w:rFonts w:cs="Calibri"/>
        </w:rPr>
        <w:object w:dxaOrig="7814" w:dyaOrig="448" w14:anchorId="7DC85D87">
          <v:shape id="_x0000_i1087" type="#_x0000_t75" style="width:387.55pt;height:21.9pt" o:ole="">
            <v:imagedata r:id="rId129" o:title=""/>
          </v:shape>
          <o:OLEObject Type="Embed" ProgID="Word.Document.12" ShapeID="_x0000_i1087" DrawAspect="Content" ObjectID="_1647932322" r:id="rId130">
            <o:FieldCodes>\s</o:FieldCodes>
          </o:OLEObject>
        </w:object>
      </w:r>
    </w:p>
    <w:p w14:paraId="07E98D35" w14:textId="77777777" w:rsidR="00F849A7" w:rsidRPr="00D9348B" w:rsidRDefault="00F849A7" w:rsidP="00F849A7">
      <w:pPr>
        <w:spacing w:before="80"/>
        <w:ind w:left="993" w:hanging="993"/>
        <w:rPr>
          <w:rFonts w:cs="Calibri"/>
        </w:rPr>
      </w:pPr>
      <w:r w:rsidRPr="00D9348B">
        <w:rPr>
          <w:rFonts w:cs="Calibri"/>
        </w:rPr>
        <w:t xml:space="preserve">Where: </w:t>
      </w:r>
      <w:r w:rsidRPr="00D9348B">
        <w:rPr>
          <w:rFonts w:cs="Calibri"/>
        </w:rPr>
        <w:tab/>
        <w:t>FDM is the faecal dry matter excreted by dairy cows (on pasture and stored in anaerobic lagoons) (kg/head/month)</w:t>
      </w:r>
    </w:p>
    <w:p w14:paraId="25DADF28" w14:textId="77777777" w:rsidR="00F849A7" w:rsidRPr="00D9348B" w:rsidRDefault="00F849A7" w:rsidP="00F849A7">
      <w:pPr>
        <w:spacing w:before="80"/>
        <w:ind w:left="993" w:hanging="993"/>
        <w:rPr>
          <w:rFonts w:cs="Calibri"/>
        </w:rPr>
      </w:pPr>
      <w:r w:rsidRPr="00D9348B">
        <w:rPr>
          <w:rFonts w:cs="Calibri"/>
        </w:rPr>
        <w:tab/>
        <w:t>ASH is the ash content of manure, 0.08 (IPCC, 2006, default value)</w:t>
      </w:r>
    </w:p>
    <w:p w14:paraId="58AFBE26" w14:textId="77777777" w:rsidR="00F849A7" w:rsidRPr="00D9348B" w:rsidRDefault="00F849A7" w:rsidP="00F849A7">
      <w:pPr>
        <w:spacing w:before="80"/>
        <w:ind w:left="993" w:hanging="993"/>
        <w:rPr>
          <w:rFonts w:cs="Calibri"/>
        </w:rPr>
      </w:pPr>
      <w:r w:rsidRPr="00D9348B">
        <w:rPr>
          <w:rFonts w:cs="Calibri"/>
        </w:rPr>
        <w:tab/>
        <w:t>B</w:t>
      </w:r>
      <w:r w:rsidRPr="00D9348B">
        <w:rPr>
          <w:rFonts w:cs="Calibri"/>
          <w:vertAlign w:val="subscript"/>
        </w:rPr>
        <w:t>0</w:t>
      </w:r>
      <w:r w:rsidRPr="00D9348B">
        <w:rPr>
          <w:rFonts w:cs="Calibri"/>
        </w:rPr>
        <w:t xml:space="preserve"> is the maximum CH</w:t>
      </w:r>
      <w:r w:rsidRPr="00D9348B">
        <w:rPr>
          <w:rFonts w:cs="Calibri"/>
          <w:vertAlign w:val="subscript"/>
        </w:rPr>
        <w:t>4</w:t>
      </w:r>
      <w:r w:rsidRPr="00D9348B">
        <w:rPr>
          <w:rFonts w:cs="Calibri"/>
        </w:rPr>
        <w:t>-producing capacity of manure, 0.24 (IPCC, 2006; Oceania default value, verified by Pratt et al., unpublished)</w:t>
      </w:r>
    </w:p>
    <w:p w14:paraId="691E8F9E" w14:textId="77777777" w:rsidR="00F849A7" w:rsidRPr="00D9348B" w:rsidRDefault="00F849A7" w:rsidP="00F849A7">
      <w:pPr>
        <w:spacing w:before="80"/>
        <w:ind w:left="993" w:hanging="993"/>
        <w:rPr>
          <w:rFonts w:cs="Calibri"/>
        </w:rPr>
      </w:pPr>
      <w:r w:rsidRPr="00D9348B">
        <w:rPr>
          <w:rFonts w:cs="Calibri"/>
        </w:rPr>
        <w:tab/>
        <w:t>0.67 is the conversion factor for converting CH</w:t>
      </w:r>
      <w:r w:rsidRPr="00D9348B">
        <w:rPr>
          <w:rFonts w:cs="Calibri"/>
          <w:vertAlign w:val="subscript"/>
        </w:rPr>
        <w:t xml:space="preserve">4 </w:t>
      </w:r>
      <w:r w:rsidRPr="00D9348B">
        <w:rPr>
          <w:rFonts w:cs="Calibri"/>
        </w:rPr>
        <w:t>from cubic metres to kilograms (IPCC, 2006)</w:t>
      </w:r>
    </w:p>
    <w:p w14:paraId="54789C1B" w14:textId="77777777" w:rsidR="00F849A7" w:rsidRPr="00D9348B" w:rsidRDefault="00F849A7" w:rsidP="00F849A7">
      <w:pPr>
        <w:spacing w:before="80"/>
        <w:ind w:left="993" w:hanging="993"/>
        <w:rPr>
          <w:rFonts w:cs="Calibri"/>
        </w:rPr>
      </w:pPr>
      <w:r w:rsidRPr="00D9348B">
        <w:rPr>
          <w:rFonts w:cs="Calibri"/>
        </w:rPr>
        <w:tab/>
        <w:t>MCF is the CH</w:t>
      </w:r>
      <w:r w:rsidRPr="00D9348B">
        <w:rPr>
          <w:rFonts w:cs="Calibri"/>
          <w:vertAlign w:val="subscript"/>
        </w:rPr>
        <w:t>4</w:t>
      </w:r>
      <w:r w:rsidRPr="00D9348B">
        <w:rPr>
          <w:rFonts w:cs="Calibri"/>
        </w:rPr>
        <w:t xml:space="preserve"> conversion factor, 0.74 (IPCC, 2006, table 10.17, default for uncovered anaerobic lagoon, average annual temperature 15 degrees Celsius, verified by Pratt et al., unpublished) </w:t>
      </w:r>
    </w:p>
    <w:p w14:paraId="32098D61" w14:textId="77777777" w:rsidR="00F849A7" w:rsidRPr="00D9348B" w:rsidRDefault="00F849A7" w:rsidP="00F849A7">
      <w:pPr>
        <w:spacing w:before="80" w:after="120"/>
        <w:ind w:left="993" w:hanging="993"/>
        <w:rPr>
          <w:rFonts w:cs="Calibri"/>
        </w:rPr>
      </w:pPr>
      <w:r w:rsidRPr="00D9348B">
        <w:rPr>
          <w:rFonts w:cs="Calibri"/>
        </w:rPr>
        <w:tab/>
        <w:t>MS is the fraction of total dairy manure excreted in anaerobic lagoons.</w:t>
      </w:r>
    </w:p>
    <w:p w14:paraId="33818659" w14:textId="77777777" w:rsidR="00F849A7" w:rsidRPr="00D9348B" w:rsidRDefault="00F849A7" w:rsidP="00F849A7">
      <w:pPr>
        <w:pStyle w:val="Heading5"/>
        <w:spacing w:before="200"/>
        <w:rPr>
          <w:rFonts w:cs="Calibri"/>
        </w:rPr>
      </w:pPr>
      <w:r w:rsidRPr="00D9348B">
        <w:rPr>
          <w:rFonts w:cs="Calibri"/>
        </w:rPr>
        <w:t>Methane emissions from the major livestock categories</w:t>
      </w:r>
    </w:p>
    <w:p w14:paraId="0B0BE272" w14:textId="77777777" w:rsidR="00F849A7" w:rsidRPr="00D9348B" w:rsidRDefault="00F849A7" w:rsidP="00F849A7">
      <w:pPr>
        <w:pStyle w:val="BodyText"/>
        <w:keepNext/>
        <w:spacing w:after="0"/>
        <w:rPr>
          <w:rFonts w:cs="Calibri"/>
        </w:rPr>
      </w:pPr>
      <w:r w:rsidRPr="00D9348B">
        <w:rPr>
          <w:rFonts w:cs="Calibri"/>
        </w:rPr>
        <w:t>The following equation is used to determine CH</w:t>
      </w:r>
      <w:r w:rsidRPr="00D9348B">
        <w:rPr>
          <w:rFonts w:cs="Calibri"/>
          <w:vertAlign w:val="subscript"/>
        </w:rPr>
        <w:t>4</w:t>
      </w:r>
      <w:r w:rsidRPr="00D9348B">
        <w:rPr>
          <w:rFonts w:cs="Calibri"/>
        </w:rPr>
        <w:t xml:space="preserve"> emissions (CH</w:t>
      </w:r>
      <w:r w:rsidRPr="00D9348B">
        <w:rPr>
          <w:rFonts w:cs="Calibri"/>
          <w:vertAlign w:val="subscript"/>
        </w:rPr>
        <w:t>4-PRP</w:t>
      </w:r>
      <w:r w:rsidRPr="00D9348B">
        <w:rPr>
          <w:rFonts w:cs="Calibri"/>
        </w:rPr>
        <w:t>) from beef cattle, sheep and deer manure deposited onto pasture:</w:t>
      </w:r>
    </w:p>
    <w:bookmarkStart w:id="735" w:name="_MON_1573034444"/>
    <w:bookmarkEnd w:id="735"/>
    <w:p w14:paraId="61FAE848" w14:textId="77777777" w:rsidR="00F849A7" w:rsidRPr="00D9348B" w:rsidRDefault="00F849A7" w:rsidP="00F849A7">
      <w:pPr>
        <w:pStyle w:val="BodyText"/>
        <w:rPr>
          <w:rFonts w:cs="Calibri"/>
        </w:rPr>
      </w:pPr>
      <w:r w:rsidRPr="00D9348B">
        <w:rPr>
          <w:rFonts w:cs="Calibri"/>
        </w:rPr>
        <w:object w:dxaOrig="7814" w:dyaOrig="281" w14:anchorId="0AB90825">
          <v:shape id="_x0000_i1088" type="#_x0000_t75" style="width:387.55pt;height:15.05pt" o:ole="">
            <v:imagedata r:id="rId131" o:title=""/>
          </v:shape>
          <o:OLEObject Type="Embed" ProgID="Word.Document.12" ShapeID="_x0000_i1088" DrawAspect="Content" ObjectID="_1647932323" r:id="rId132">
            <o:FieldCodes>\s</o:FieldCodes>
          </o:OLEObject>
        </w:object>
      </w:r>
    </w:p>
    <w:p w14:paraId="71AE0D30" w14:textId="77777777" w:rsidR="00F849A7" w:rsidRPr="00D9348B" w:rsidRDefault="00F849A7" w:rsidP="00F849A7">
      <w:pPr>
        <w:keepNext/>
        <w:spacing w:before="120"/>
        <w:ind w:left="992" w:hanging="992"/>
        <w:rPr>
          <w:rFonts w:cs="Calibri"/>
        </w:rPr>
      </w:pPr>
      <w:r w:rsidRPr="00D9348B">
        <w:rPr>
          <w:rFonts w:cs="Calibri"/>
        </w:rPr>
        <w:t xml:space="preserve">Where: </w:t>
      </w:r>
      <w:r w:rsidRPr="00D9348B">
        <w:rPr>
          <w:rFonts w:cs="Calibri"/>
        </w:rPr>
        <w:tab/>
        <w:t>FDM is the faecal dry matter (kg/head/month)</w:t>
      </w:r>
    </w:p>
    <w:p w14:paraId="3D3CCE05" w14:textId="77777777" w:rsidR="00F849A7" w:rsidRPr="00D9348B" w:rsidRDefault="00F849A7" w:rsidP="00F849A7">
      <w:pPr>
        <w:spacing w:before="80" w:after="120"/>
        <w:ind w:left="993" w:hanging="1"/>
        <w:rPr>
          <w:rFonts w:cs="Calibri"/>
        </w:rPr>
      </w:pPr>
      <w:r w:rsidRPr="00D9348B">
        <w:rPr>
          <w:rFonts w:cs="Calibri"/>
        </w:rPr>
        <w:t>Y</w:t>
      </w:r>
      <w:r w:rsidRPr="00D9348B">
        <w:rPr>
          <w:rFonts w:cs="Calibri"/>
          <w:vertAlign w:val="subscript"/>
        </w:rPr>
        <w:t>m</w:t>
      </w:r>
      <w:r w:rsidRPr="00D9348B">
        <w:rPr>
          <w:rFonts w:cs="Calibri"/>
        </w:rPr>
        <w:t xml:space="preserve"> is the CH</w:t>
      </w:r>
      <w:r w:rsidRPr="00D9348B">
        <w:rPr>
          <w:rFonts w:cs="Calibri"/>
          <w:vertAlign w:val="subscript"/>
        </w:rPr>
        <w:t>4</w:t>
      </w:r>
      <w:r w:rsidRPr="00D9348B">
        <w:rPr>
          <w:rFonts w:cs="Calibri"/>
        </w:rPr>
        <w:t xml:space="preserve"> yield value.</w:t>
      </w:r>
    </w:p>
    <w:p w14:paraId="60B858BA" w14:textId="77777777" w:rsidR="00F849A7" w:rsidRPr="00D9348B" w:rsidRDefault="00F849A7" w:rsidP="00F849A7">
      <w:pPr>
        <w:pStyle w:val="BodyText"/>
        <w:spacing w:before="100" w:after="100"/>
        <w:rPr>
          <w:rFonts w:cs="Calibri"/>
        </w:rPr>
      </w:pPr>
      <w:r w:rsidRPr="00D9348B">
        <w:rPr>
          <w:rFonts w:cs="Calibri"/>
        </w:rPr>
        <w:t>Country-specific CH</w:t>
      </w:r>
      <w:r w:rsidRPr="00D9348B">
        <w:rPr>
          <w:rFonts w:cs="Calibri"/>
          <w:vertAlign w:val="subscript"/>
        </w:rPr>
        <w:t>4</w:t>
      </w:r>
      <w:r w:rsidRPr="00D9348B">
        <w:rPr>
          <w:rFonts w:cs="Calibri"/>
        </w:rPr>
        <w:t xml:space="preserve"> yield values have been developed from New Zealand studies. Details on the values used for each of the major livestock categories are provided below.</w:t>
      </w:r>
    </w:p>
    <w:p w14:paraId="1B30B948" w14:textId="77777777" w:rsidR="00F849A7" w:rsidRPr="00D9348B" w:rsidRDefault="00F849A7" w:rsidP="00F849A7">
      <w:pPr>
        <w:pStyle w:val="BodyText"/>
        <w:spacing w:before="100" w:after="100"/>
        <w:rPr>
          <w:rFonts w:cs="Calibri"/>
        </w:rPr>
      </w:pPr>
      <w:r w:rsidRPr="00D9348B">
        <w:rPr>
          <w:rFonts w:cs="Calibri"/>
          <w:b/>
          <w:bCs/>
          <w:i/>
          <w:iCs/>
        </w:rPr>
        <w:t>Dairy cattle:</w:t>
      </w:r>
      <w:r w:rsidRPr="00D9348B">
        <w:rPr>
          <w:rFonts w:cs="Calibri"/>
        </w:rPr>
        <w:t xml:space="preserve"> The quantity of CH</w:t>
      </w:r>
      <w:r w:rsidRPr="00D9348B">
        <w:rPr>
          <w:rFonts w:cs="Calibri"/>
          <w:vertAlign w:val="subscript"/>
        </w:rPr>
        <w:t>4</w:t>
      </w:r>
      <w:r w:rsidRPr="00D9348B">
        <w:rPr>
          <w:rFonts w:cs="Calibri"/>
        </w:rPr>
        <w:t xml:space="preserve"> produced per kilogram of FDM is 0.98 g CH</w:t>
      </w:r>
      <w:r w:rsidRPr="00D9348B">
        <w:rPr>
          <w:rFonts w:cs="Calibri"/>
          <w:vertAlign w:val="subscript"/>
        </w:rPr>
        <w:t>4</w:t>
      </w:r>
      <w:r w:rsidRPr="00D9348B">
        <w:rPr>
          <w:rFonts w:cs="Calibri"/>
        </w:rPr>
        <w:t>/kg for manure deposited on pasture. This value is obtained from New Zealand studies on dairy cows and ranges from approximately 0.92 to 1.04 g CH</w:t>
      </w:r>
      <w:r w:rsidRPr="00D9348B">
        <w:rPr>
          <w:rFonts w:cs="Calibri"/>
          <w:vertAlign w:val="subscript"/>
        </w:rPr>
        <w:t>4</w:t>
      </w:r>
      <w:r w:rsidRPr="00D9348B">
        <w:rPr>
          <w:rFonts w:cs="Calibri"/>
        </w:rPr>
        <w:t>/kg (Saggar et al., unpublished; Sherlock et al., unpublished).</w:t>
      </w:r>
    </w:p>
    <w:p w14:paraId="3740AD3D" w14:textId="77777777" w:rsidR="00F849A7" w:rsidRPr="00D9348B" w:rsidRDefault="00F849A7" w:rsidP="00F849A7">
      <w:pPr>
        <w:pStyle w:val="BodyText"/>
        <w:rPr>
          <w:rFonts w:cs="Calibri"/>
        </w:rPr>
      </w:pPr>
      <w:r w:rsidRPr="00D9348B">
        <w:rPr>
          <w:rFonts w:cs="Calibri"/>
          <w:b/>
          <w:bCs/>
          <w:i/>
          <w:iCs/>
        </w:rPr>
        <w:lastRenderedPageBreak/>
        <w:t>Non-dairy cattle:</w:t>
      </w:r>
      <w:r w:rsidRPr="00D9348B">
        <w:rPr>
          <w:rFonts w:cs="Calibri"/>
        </w:rPr>
        <w:t xml:space="preserve"> The value of 0.98 g CH</w:t>
      </w:r>
      <w:r w:rsidRPr="00D9348B">
        <w:rPr>
          <w:rFonts w:cs="Calibri"/>
          <w:vertAlign w:val="subscript"/>
        </w:rPr>
        <w:t>4</w:t>
      </w:r>
      <w:r w:rsidRPr="00D9348B">
        <w:rPr>
          <w:rFonts w:cs="Calibri"/>
        </w:rPr>
        <w:t>/kg per unit of FDM is based on New Zealand studies on dairy cattle manure (Saggar et al., unpublished; Sherlock et al., unpublished). No specific studies have been conducted in New Zealand on CH</w:t>
      </w:r>
      <w:r w:rsidRPr="00D9348B">
        <w:rPr>
          <w:rFonts w:cs="Calibri"/>
          <w:vertAlign w:val="subscript"/>
        </w:rPr>
        <w:t>4</w:t>
      </w:r>
      <w:r w:rsidRPr="00D9348B">
        <w:rPr>
          <w:rFonts w:cs="Calibri"/>
        </w:rPr>
        <w:t xml:space="preserve"> emissions from beef cattle manure.</w:t>
      </w:r>
    </w:p>
    <w:p w14:paraId="4742CBD6" w14:textId="27C7DD4B" w:rsidR="00F849A7" w:rsidRPr="00D9348B" w:rsidRDefault="00F849A7" w:rsidP="00F849A7">
      <w:pPr>
        <w:pStyle w:val="BodyText"/>
        <w:rPr>
          <w:rFonts w:cs="Calibri"/>
        </w:rPr>
      </w:pPr>
      <w:r w:rsidRPr="00D9348B">
        <w:rPr>
          <w:rFonts w:cs="Calibri"/>
          <w:b/>
          <w:bCs/>
          <w:i/>
          <w:iCs/>
        </w:rPr>
        <w:t>Sheep:</w:t>
      </w:r>
      <w:r w:rsidRPr="00D9348B">
        <w:rPr>
          <w:rFonts w:cs="Calibri"/>
          <w:i/>
          <w:iCs/>
        </w:rPr>
        <w:t xml:space="preserve"> </w:t>
      </w:r>
      <w:r w:rsidRPr="00D9348B">
        <w:rPr>
          <w:rFonts w:cs="Calibri"/>
        </w:rPr>
        <w:t>The quantity of CH</w:t>
      </w:r>
      <w:r w:rsidRPr="00D9348B">
        <w:rPr>
          <w:rFonts w:cs="Calibri"/>
          <w:vertAlign w:val="subscript"/>
        </w:rPr>
        <w:t>4</w:t>
      </w:r>
      <w:r w:rsidRPr="00D9348B">
        <w:rPr>
          <w:rFonts w:cs="Calibri"/>
        </w:rPr>
        <w:t xml:space="preserve"> produced per unit of sheep FDM is 0.69 g CH</w:t>
      </w:r>
      <w:r w:rsidRPr="00D9348B">
        <w:rPr>
          <w:rFonts w:cs="Calibri"/>
          <w:vertAlign w:val="subscript"/>
        </w:rPr>
        <w:t>4</w:t>
      </w:r>
      <w:r w:rsidRPr="00D9348B">
        <w:rPr>
          <w:rFonts w:cs="Calibri"/>
        </w:rPr>
        <w:t>/kg. This value is obtained from a New Zealand study on sheep in which values ranged from 0.340 to 1.288 over</w:t>
      </w:r>
      <w:r w:rsidR="004A3C2C" w:rsidRPr="00D9348B">
        <w:rPr>
          <w:rFonts w:cs="Calibri"/>
        </w:rPr>
        <w:t> </w:t>
      </w:r>
      <w:r w:rsidRPr="00D9348B">
        <w:rPr>
          <w:rFonts w:cs="Calibri"/>
        </w:rPr>
        <w:t>six sampling periods (Carran et al., unpublished).</w:t>
      </w:r>
    </w:p>
    <w:p w14:paraId="68929FF0" w14:textId="77777777" w:rsidR="00F849A7" w:rsidRPr="00D9348B" w:rsidRDefault="00F849A7" w:rsidP="00F849A7">
      <w:pPr>
        <w:pStyle w:val="BodyText"/>
        <w:rPr>
          <w:rFonts w:cs="Calibri"/>
        </w:rPr>
      </w:pPr>
      <w:r w:rsidRPr="00D9348B">
        <w:rPr>
          <w:rFonts w:cs="Calibri"/>
          <w:b/>
          <w:bCs/>
          <w:i/>
          <w:iCs/>
        </w:rPr>
        <w:t>Deer:</w:t>
      </w:r>
      <w:r w:rsidRPr="00D9348B">
        <w:rPr>
          <w:rFonts w:cs="Calibri"/>
        </w:rPr>
        <w:t xml:space="preserve"> The quantity of CH</w:t>
      </w:r>
      <w:r w:rsidRPr="00D9348B">
        <w:rPr>
          <w:rFonts w:cs="Calibri"/>
          <w:vertAlign w:val="subscript"/>
        </w:rPr>
        <w:t>4</w:t>
      </w:r>
      <w:r w:rsidRPr="00D9348B">
        <w:rPr>
          <w:rFonts w:cs="Calibri"/>
        </w:rPr>
        <w:t xml:space="preserve"> produced per unit of FDM is assumed to be 0.91 g CH</w:t>
      </w:r>
      <w:r w:rsidRPr="00D9348B">
        <w:rPr>
          <w:rFonts w:cs="Calibri"/>
          <w:vertAlign w:val="subscript"/>
        </w:rPr>
        <w:t>4</w:t>
      </w:r>
      <w:r w:rsidRPr="00D9348B">
        <w:rPr>
          <w:rFonts w:cs="Calibri"/>
        </w:rPr>
        <w:t>/kg. Deer are not housed in New Zealand, and all faecal material is deposited directly onto pasture. This value is derived from New Zealand studies on sheep (Carran et al.,</w:t>
      </w:r>
      <w:r w:rsidRPr="00D9348B">
        <w:rPr>
          <w:rFonts w:cs="Calibri"/>
          <w:i/>
          <w:iCs/>
        </w:rPr>
        <w:t xml:space="preserve"> </w:t>
      </w:r>
      <w:r w:rsidRPr="00D9348B">
        <w:rPr>
          <w:rFonts w:cs="Calibri"/>
        </w:rPr>
        <w:t>unpublished) and dairy cattle (Saggar et al., unpublished; Sherlock et al., unpublished). There are no New Zealand studies on CH</w:t>
      </w:r>
      <w:r w:rsidRPr="00D9348B">
        <w:rPr>
          <w:rFonts w:cs="Calibri"/>
          <w:vertAlign w:val="subscript"/>
        </w:rPr>
        <w:t>4</w:t>
      </w:r>
      <w:r w:rsidRPr="00D9348B">
        <w:rPr>
          <w:rFonts w:cs="Calibri"/>
        </w:rPr>
        <w:t xml:space="preserve"> emissions from deer manure. Further information on the calculation of the manure CH</w:t>
      </w:r>
      <w:r w:rsidRPr="00D9348B">
        <w:rPr>
          <w:rFonts w:cs="Calibri"/>
          <w:vertAlign w:val="subscript"/>
        </w:rPr>
        <w:t>4</w:t>
      </w:r>
      <w:r w:rsidRPr="00D9348B">
        <w:rPr>
          <w:rFonts w:cs="Calibri"/>
        </w:rPr>
        <w:t xml:space="preserve"> emissions factor for deer is contained on page 123 (section 7.1.4) of the inventory methodology (Pickering and Gibbs, 2019).</w:t>
      </w:r>
    </w:p>
    <w:p w14:paraId="5C0EBA2A" w14:textId="77777777" w:rsidR="00F849A7" w:rsidRPr="00D9348B" w:rsidRDefault="00F849A7" w:rsidP="00F849A7">
      <w:pPr>
        <w:pStyle w:val="Heading5"/>
        <w:spacing w:before="200"/>
        <w:rPr>
          <w:rFonts w:cs="Calibri"/>
        </w:rPr>
      </w:pPr>
      <w:r w:rsidRPr="00D9348B">
        <w:rPr>
          <w:rFonts w:cs="Calibri"/>
        </w:rPr>
        <w:t xml:space="preserve">Methane emissions from minor livestock categories </w:t>
      </w:r>
    </w:p>
    <w:p w14:paraId="3C08C063" w14:textId="77777777" w:rsidR="00F849A7" w:rsidRPr="00D9348B" w:rsidRDefault="00F849A7" w:rsidP="00F849A7">
      <w:pPr>
        <w:pStyle w:val="BodyText"/>
        <w:rPr>
          <w:rFonts w:cs="Calibri"/>
        </w:rPr>
      </w:pPr>
      <w:r w:rsidRPr="00D9348B">
        <w:rPr>
          <w:rFonts w:cs="Calibri"/>
        </w:rPr>
        <w:t>Manure CH</w:t>
      </w:r>
      <w:r w:rsidRPr="00D9348B">
        <w:rPr>
          <w:rFonts w:cs="Calibri"/>
          <w:vertAlign w:val="subscript"/>
        </w:rPr>
        <w:t>4</w:t>
      </w:r>
      <w:r w:rsidRPr="00D9348B">
        <w:rPr>
          <w:rFonts w:cs="Calibri"/>
        </w:rPr>
        <w:t xml:space="preserve"> emissions from the minor livestock categories are calculated per head, using country-specific and IPCC default emission factors.</w:t>
      </w:r>
    </w:p>
    <w:p w14:paraId="36C97BB8" w14:textId="77777777" w:rsidR="00F849A7" w:rsidRPr="00D9348B" w:rsidRDefault="00F849A7" w:rsidP="00F849A7">
      <w:pPr>
        <w:pStyle w:val="BodyText"/>
        <w:rPr>
          <w:rFonts w:cs="Calibri"/>
        </w:rPr>
      </w:pPr>
      <w:r w:rsidRPr="00D9348B">
        <w:rPr>
          <w:rFonts w:cs="Calibri"/>
          <w:b/>
          <w:bCs/>
          <w:i/>
          <w:iCs/>
        </w:rPr>
        <w:t>Swine:</w:t>
      </w:r>
      <w:r w:rsidRPr="00D9348B">
        <w:rPr>
          <w:rFonts w:cs="Calibri"/>
          <w:b/>
          <w:bCs/>
        </w:rPr>
        <w:t xml:space="preserve"> </w:t>
      </w:r>
      <w:r w:rsidRPr="00D9348B">
        <w:rPr>
          <w:rFonts w:cs="Calibri"/>
        </w:rPr>
        <w:t>New Zealand uses a country-specific emission factor of 5.94 kg CH</w:t>
      </w:r>
      <w:r w:rsidRPr="00D9348B">
        <w:rPr>
          <w:rFonts w:cs="Calibri"/>
          <w:vertAlign w:val="subscript"/>
        </w:rPr>
        <w:t>4</w:t>
      </w:r>
      <w:r w:rsidRPr="00D9348B">
        <w:rPr>
          <w:rFonts w:cs="Calibri"/>
        </w:rPr>
        <w:t xml:space="preserve">/head/year (Hill, 2012) for estimating emissions from swine manure management. Industry data on swine diets </w:t>
      </w:r>
      <w:r w:rsidRPr="00D9348B">
        <w:rPr>
          <w:rFonts w:cs="Calibri"/>
          <w:spacing w:val="-2"/>
        </w:rPr>
        <w:t>(to determine digestible energy of the swine feed and volatile solid excretion levels) and the use of waste management systems used by New Zealand swine producers (Hill, 2012) were used (equations 15 and 16 from the 1996 IPCC Guidelines, which correspond to equations 10.23 and 10.24 in the 2006 IPCC Guidelines) to determine a country-specific manure management emission factor. Further information on this is provided in the report by Hill (2012).</w:t>
      </w:r>
    </w:p>
    <w:p w14:paraId="6A9C0EF1" w14:textId="77777777" w:rsidR="00F849A7" w:rsidRPr="00D9348B" w:rsidRDefault="00F849A7" w:rsidP="00F849A7">
      <w:pPr>
        <w:pStyle w:val="BodyText"/>
        <w:keepLines/>
        <w:rPr>
          <w:rFonts w:cs="Calibri"/>
          <w:spacing w:val="-2"/>
        </w:rPr>
      </w:pPr>
      <w:r w:rsidRPr="00D9348B">
        <w:rPr>
          <w:rFonts w:cs="Calibri"/>
          <w:b/>
          <w:bCs/>
          <w:i/>
          <w:iCs/>
          <w:spacing w:val="-2"/>
        </w:rPr>
        <w:t>Poultry:</w:t>
      </w:r>
      <w:r w:rsidRPr="00D9348B">
        <w:rPr>
          <w:rFonts w:cs="Calibri"/>
          <w:i/>
          <w:iCs/>
          <w:spacing w:val="-2"/>
        </w:rPr>
        <w:t xml:space="preserve"> </w:t>
      </w:r>
      <w:r w:rsidRPr="00D9348B">
        <w:rPr>
          <w:rFonts w:cs="Calibri"/>
          <w:spacing w:val="-2"/>
        </w:rPr>
        <w:t xml:space="preserve">Methane emissions from poultry manure management use New Zealand-specific emission factor values derived from Fick et al. (2011). These are based on New Zealand-specific volatile solids and proportions of poultry faeces in each manure management system for each production category. The poultry population has been disaggregated into three different categories, and the manure management emission factor values for each category are: </w:t>
      </w:r>
      <w:r w:rsidRPr="00D9348B">
        <w:rPr>
          <w:rFonts w:cs="Calibri"/>
          <w:i/>
          <w:iCs/>
          <w:spacing w:val="-2"/>
        </w:rPr>
        <w:t>Broiler birds</w:t>
      </w:r>
      <w:r w:rsidRPr="00D9348B">
        <w:rPr>
          <w:rFonts w:cs="Calibri"/>
          <w:spacing w:val="-2"/>
        </w:rPr>
        <w:t xml:space="preserve"> 0.022 kg CH</w:t>
      </w:r>
      <w:r w:rsidRPr="00D9348B">
        <w:rPr>
          <w:rFonts w:cs="Calibri"/>
          <w:spacing w:val="-2"/>
          <w:vertAlign w:val="subscript"/>
        </w:rPr>
        <w:t>4</w:t>
      </w:r>
      <w:r w:rsidRPr="00D9348B">
        <w:rPr>
          <w:rFonts w:cs="Calibri"/>
          <w:spacing w:val="-2"/>
        </w:rPr>
        <w:t>/head/year</w:t>
      </w:r>
      <w:r w:rsidRPr="00D9348B">
        <w:rPr>
          <w:rFonts w:cs="Calibri"/>
        </w:rPr>
        <w:t xml:space="preserve">; </w:t>
      </w:r>
      <w:r w:rsidRPr="00D9348B">
        <w:rPr>
          <w:rFonts w:cs="Calibri"/>
          <w:i/>
          <w:iCs/>
          <w:spacing w:val="-2"/>
        </w:rPr>
        <w:t>Layer hens</w:t>
      </w:r>
      <w:r w:rsidRPr="00D9348B">
        <w:rPr>
          <w:rFonts w:cs="Calibri"/>
          <w:spacing w:val="-2"/>
        </w:rPr>
        <w:t xml:space="preserve"> 0.016 kg CH</w:t>
      </w:r>
      <w:r w:rsidRPr="00D9348B">
        <w:rPr>
          <w:rFonts w:cs="Calibri"/>
          <w:spacing w:val="-2"/>
          <w:vertAlign w:val="subscript"/>
        </w:rPr>
        <w:t>4</w:t>
      </w:r>
      <w:r w:rsidRPr="00D9348B">
        <w:rPr>
          <w:rFonts w:cs="Calibri"/>
          <w:spacing w:val="-2"/>
        </w:rPr>
        <w:t xml:space="preserve">/head/year; and </w:t>
      </w:r>
      <w:r w:rsidRPr="00D9348B">
        <w:rPr>
          <w:rFonts w:cs="Calibri"/>
          <w:i/>
          <w:iCs/>
          <w:spacing w:val="-2"/>
        </w:rPr>
        <w:t>Other</w:t>
      </w:r>
      <w:r w:rsidRPr="00D9348B">
        <w:rPr>
          <w:rFonts w:cs="Calibri"/>
          <w:spacing w:val="-2"/>
        </w:rPr>
        <w:t xml:space="preserve"> 0.117</w:t>
      </w:r>
      <w:r w:rsidRPr="00D9348B">
        <w:rPr>
          <w:rFonts w:cs="Calibri"/>
        </w:rPr>
        <w:t> </w:t>
      </w:r>
      <w:r w:rsidRPr="00D9348B">
        <w:rPr>
          <w:rFonts w:cs="Calibri"/>
          <w:spacing w:val="-2"/>
        </w:rPr>
        <w:t>kg CH</w:t>
      </w:r>
      <w:r w:rsidRPr="00D9348B">
        <w:rPr>
          <w:rFonts w:cs="Calibri"/>
          <w:spacing w:val="-2"/>
          <w:vertAlign w:val="subscript"/>
        </w:rPr>
        <w:t>4</w:t>
      </w:r>
      <w:r w:rsidRPr="00D9348B">
        <w:rPr>
          <w:rFonts w:cs="Calibri"/>
          <w:spacing w:val="-2"/>
        </w:rPr>
        <w:t>/head/year. The overall IEF for poultry is affected by the change over time in the population proportions of these different poultry categories.</w:t>
      </w:r>
    </w:p>
    <w:p w14:paraId="7FF6303A" w14:textId="77777777" w:rsidR="00F849A7" w:rsidRPr="00D9348B" w:rsidRDefault="00F849A7" w:rsidP="00F849A7">
      <w:pPr>
        <w:pStyle w:val="BodyText"/>
        <w:rPr>
          <w:rFonts w:cs="Calibri"/>
        </w:rPr>
      </w:pPr>
      <w:r w:rsidRPr="00D9348B">
        <w:rPr>
          <w:rFonts w:cs="Calibri"/>
          <w:b/>
          <w:bCs/>
          <w:i/>
          <w:iCs/>
        </w:rPr>
        <w:t>Goats</w:t>
      </w:r>
      <w:r w:rsidRPr="00D9348B">
        <w:rPr>
          <w:rFonts w:cs="Calibri"/>
          <w:b/>
          <w:bCs/>
        </w:rPr>
        <w:t xml:space="preserve">, </w:t>
      </w:r>
      <w:r w:rsidRPr="00D9348B">
        <w:rPr>
          <w:rFonts w:cs="Calibri"/>
          <w:b/>
          <w:bCs/>
          <w:i/>
          <w:iCs/>
        </w:rPr>
        <w:t>horses</w:t>
      </w:r>
      <w:r w:rsidRPr="00D9348B">
        <w:rPr>
          <w:rFonts w:cs="Calibri"/>
          <w:b/>
          <w:bCs/>
        </w:rPr>
        <w:t xml:space="preserve">, and </w:t>
      </w:r>
      <w:r w:rsidRPr="00D9348B">
        <w:rPr>
          <w:rFonts w:cs="Calibri"/>
          <w:b/>
          <w:bCs/>
          <w:i/>
          <w:iCs/>
        </w:rPr>
        <w:t>mules and asses:</w:t>
      </w:r>
      <w:r w:rsidRPr="00D9348B">
        <w:rPr>
          <w:rFonts w:cs="Calibri"/>
          <w:b/>
          <w:bCs/>
        </w:rPr>
        <w:t xml:space="preserve"> </w:t>
      </w:r>
      <w:r w:rsidRPr="00D9348B">
        <w:rPr>
          <w:rFonts w:cs="Calibri"/>
        </w:rPr>
        <w:t>New Zealand uses IPCC (2006) default emission factors for CH</w:t>
      </w:r>
      <w:r w:rsidRPr="00D9348B">
        <w:rPr>
          <w:rFonts w:cs="Calibri"/>
          <w:vertAlign w:val="subscript"/>
        </w:rPr>
        <w:t>4</w:t>
      </w:r>
      <w:r w:rsidRPr="00D9348B">
        <w:rPr>
          <w:rFonts w:cs="Calibri"/>
        </w:rPr>
        <w:t xml:space="preserve"> emissions from manure management for goats, horses, mules and asses (table 10.15). The emission factors are 0.20 kg CH</w:t>
      </w:r>
      <w:r w:rsidRPr="00D9348B">
        <w:rPr>
          <w:rFonts w:cs="Calibri"/>
          <w:vertAlign w:val="subscript"/>
        </w:rPr>
        <w:t>4</w:t>
      </w:r>
      <w:r w:rsidRPr="00D9348B">
        <w:rPr>
          <w:rFonts w:cs="Calibri"/>
        </w:rPr>
        <w:t>/head/year for goats, 2.34 kg CH</w:t>
      </w:r>
      <w:r w:rsidRPr="00D9348B">
        <w:rPr>
          <w:rFonts w:cs="Calibri"/>
          <w:vertAlign w:val="subscript"/>
        </w:rPr>
        <w:t>4</w:t>
      </w:r>
      <w:r w:rsidRPr="00D9348B">
        <w:rPr>
          <w:rFonts w:cs="Calibri"/>
        </w:rPr>
        <w:t>/head/year for horses and 1.10 kg CH</w:t>
      </w:r>
      <w:r w:rsidRPr="00D9348B">
        <w:rPr>
          <w:rFonts w:cs="Calibri"/>
          <w:vertAlign w:val="subscript"/>
        </w:rPr>
        <w:t>4</w:t>
      </w:r>
      <w:r w:rsidRPr="00D9348B">
        <w:rPr>
          <w:rFonts w:cs="Calibri"/>
        </w:rPr>
        <w:t xml:space="preserve">/head/year for mules and asses. These are the IPCC values for temperate developed countries. </w:t>
      </w:r>
    </w:p>
    <w:p w14:paraId="22A52ADE" w14:textId="77777777" w:rsidR="00F849A7" w:rsidRPr="00D9348B" w:rsidRDefault="00F849A7" w:rsidP="00F849A7">
      <w:pPr>
        <w:pStyle w:val="BodyText"/>
        <w:rPr>
          <w:rFonts w:cs="Calibri"/>
        </w:rPr>
      </w:pPr>
      <w:r w:rsidRPr="00D9348B">
        <w:rPr>
          <w:rFonts w:cs="Calibri"/>
          <w:b/>
          <w:bCs/>
          <w:i/>
          <w:iCs/>
        </w:rPr>
        <w:t>Llamas and alpacas:</w:t>
      </w:r>
      <w:r w:rsidRPr="00D9348B">
        <w:rPr>
          <w:rFonts w:cs="Calibri"/>
        </w:rPr>
        <w:t xml:space="preserve"> There is no IPCC default value available for CH</w:t>
      </w:r>
      <w:r w:rsidRPr="00D9348B">
        <w:rPr>
          <w:rFonts w:cs="Calibri"/>
          <w:vertAlign w:val="subscript"/>
        </w:rPr>
        <w:t>4</w:t>
      </w:r>
      <w:r w:rsidRPr="00D9348B">
        <w:rPr>
          <w:rFonts w:cs="Calibri"/>
        </w:rPr>
        <w:t xml:space="preserve"> emissions from manure management for alpacas. The emissions are calculated by assuming that the CH</w:t>
      </w:r>
      <w:r w:rsidRPr="00D9348B">
        <w:rPr>
          <w:rFonts w:cs="Calibri"/>
          <w:vertAlign w:val="subscript"/>
        </w:rPr>
        <w:t>4</w:t>
      </w:r>
      <w:r w:rsidRPr="00D9348B">
        <w:rPr>
          <w:rFonts w:cs="Calibri"/>
        </w:rPr>
        <w:t xml:space="preserve"> emission factor from manure management for alpacas for all years is equal to the CH</w:t>
      </w:r>
      <w:r w:rsidRPr="00D9348B">
        <w:rPr>
          <w:rFonts w:cs="Calibri"/>
          <w:vertAlign w:val="subscript"/>
        </w:rPr>
        <w:t>4</w:t>
      </w:r>
      <w:r w:rsidRPr="00D9348B">
        <w:rPr>
          <w:rFonts w:cs="Calibri"/>
        </w:rPr>
        <w:t xml:space="preserve"> manure management IEF for sheep in 1990 (i.e., manure management CH</w:t>
      </w:r>
      <w:r w:rsidRPr="00D9348B">
        <w:rPr>
          <w:rFonts w:cs="Calibri"/>
          <w:vertAlign w:val="subscript"/>
        </w:rPr>
        <w:t>4</w:t>
      </w:r>
      <w:r w:rsidRPr="00D9348B">
        <w:rPr>
          <w:rFonts w:cs="Calibri"/>
        </w:rPr>
        <w:t xml:space="preserve"> sheep emissions per sheep). The alpaca emission factor (0.10 kg CH</w:t>
      </w:r>
      <w:r w:rsidRPr="00D9348B">
        <w:rPr>
          <w:rFonts w:cs="Calibri"/>
          <w:vertAlign w:val="subscript"/>
        </w:rPr>
        <w:t>4</w:t>
      </w:r>
      <w:r w:rsidRPr="00D9348B">
        <w:rPr>
          <w:rFonts w:cs="Calibri"/>
        </w:rPr>
        <w:t>/head/year) is not indexed to sheep over time because there are no data indicating that alpacas have had the productivity increases seen in sheep.</w:t>
      </w:r>
    </w:p>
    <w:p w14:paraId="356A3BA0" w14:textId="77777777" w:rsidR="00F849A7" w:rsidRPr="00D9348B" w:rsidRDefault="00F849A7" w:rsidP="00865BDB">
      <w:pPr>
        <w:pStyle w:val="Heading4"/>
      </w:pPr>
      <w:r w:rsidRPr="00D9348B">
        <w:lastRenderedPageBreak/>
        <w:t>Nitrous oxide from manure management systems (CRF 3.B</w:t>
      </w:r>
      <w:proofErr w:type="gramStart"/>
      <w:r w:rsidRPr="00D9348B">
        <w:t>.(</w:t>
      </w:r>
      <w:proofErr w:type="gramEnd"/>
      <w:r w:rsidRPr="00D9348B">
        <w:t xml:space="preserve">b)) </w:t>
      </w:r>
    </w:p>
    <w:p w14:paraId="477E2CB6" w14:textId="77777777" w:rsidR="00F849A7" w:rsidRPr="00D9348B" w:rsidRDefault="00F849A7" w:rsidP="00F849A7">
      <w:pPr>
        <w:pStyle w:val="BodyText"/>
        <w:rPr>
          <w:rFonts w:cs="Calibri"/>
        </w:rPr>
      </w:pPr>
      <w:r w:rsidRPr="00D9348B">
        <w:rPr>
          <w:rFonts w:cs="Calibri"/>
        </w:rPr>
        <w:t>Nitrous oxide emissions from manure management can be classified as either direct or indirect. Direct N</w:t>
      </w:r>
      <w:r w:rsidRPr="00D9348B">
        <w:rPr>
          <w:rFonts w:cs="Calibri"/>
          <w:vertAlign w:val="subscript"/>
        </w:rPr>
        <w:t>2</w:t>
      </w:r>
      <w:r w:rsidRPr="00D9348B">
        <w:rPr>
          <w:rFonts w:cs="Calibri"/>
        </w:rPr>
        <w:t>O emissions occur from nitrification and denitrification of nitrogen contained in the manure. Indirect N</w:t>
      </w:r>
      <w:r w:rsidRPr="00D9348B">
        <w:rPr>
          <w:rFonts w:cs="Calibri"/>
          <w:vertAlign w:val="subscript"/>
        </w:rPr>
        <w:t>2</w:t>
      </w:r>
      <w:r w:rsidRPr="00D9348B">
        <w:rPr>
          <w:rFonts w:cs="Calibri"/>
        </w:rPr>
        <w:t>O emissions result from volatile nitrogen losses in the forms of ammonia (NH</w:t>
      </w:r>
      <w:r w:rsidRPr="00D9348B">
        <w:rPr>
          <w:rFonts w:cs="Calibri"/>
          <w:vertAlign w:val="subscript"/>
        </w:rPr>
        <w:t>3</w:t>
      </w:r>
      <w:r w:rsidRPr="00D9348B">
        <w:rPr>
          <w:rFonts w:cs="Calibri"/>
        </w:rPr>
        <w:t>) and NO</w:t>
      </w:r>
      <w:r w:rsidRPr="00D9348B">
        <w:rPr>
          <w:rFonts w:cs="Calibri"/>
          <w:vertAlign w:val="subscript"/>
        </w:rPr>
        <w:t>x</w:t>
      </w:r>
      <w:r w:rsidRPr="00D9348B">
        <w:rPr>
          <w:rFonts w:cs="Calibri"/>
        </w:rPr>
        <w:t xml:space="preserve"> and are emitted via diffusion into the surrounding air (volatilisation) or via leaching and runoff. </w:t>
      </w:r>
    </w:p>
    <w:p w14:paraId="4E8615D0" w14:textId="77777777" w:rsidR="00F849A7" w:rsidRPr="00D9348B" w:rsidRDefault="00F849A7" w:rsidP="00F849A7">
      <w:pPr>
        <w:pStyle w:val="BodyText"/>
        <w:rPr>
          <w:rFonts w:cs="Calibri"/>
        </w:rPr>
      </w:pPr>
      <w:r w:rsidRPr="00D9348B">
        <w:rPr>
          <w:rFonts w:cs="Calibri"/>
        </w:rPr>
        <w:t>Nitrous oxide emissions from manure are calculated for each livestock category based on:</w:t>
      </w:r>
    </w:p>
    <w:p w14:paraId="08FFA249" w14:textId="77777777" w:rsidR="00F849A7" w:rsidRPr="00D9348B" w:rsidRDefault="00F849A7" w:rsidP="00671024">
      <w:pPr>
        <w:spacing w:after="120"/>
        <w:ind w:left="567" w:hanging="567"/>
        <w:rPr>
          <w:rFonts w:cs="Calibri"/>
        </w:rPr>
      </w:pPr>
      <w:r w:rsidRPr="00D9348B">
        <w:rPr>
          <w:rFonts w:cs="Calibri"/>
        </w:rPr>
        <w:t xml:space="preserve">(1) </w:t>
      </w:r>
      <w:r w:rsidRPr="00D9348B">
        <w:rPr>
          <w:rFonts w:cs="Calibri"/>
        </w:rPr>
        <w:tab/>
      </w:r>
      <w:proofErr w:type="gramStart"/>
      <w:r w:rsidRPr="00D9348B">
        <w:rPr>
          <w:rFonts w:cs="Calibri"/>
        </w:rPr>
        <w:t>livestock</w:t>
      </w:r>
      <w:proofErr w:type="gramEnd"/>
      <w:r w:rsidRPr="00D9348B">
        <w:rPr>
          <w:rFonts w:cs="Calibri"/>
        </w:rPr>
        <w:t xml:space="preserve"> population characterisation data (consistent with section 5.1.3) </w:t>
      </w:r>
    </w:p>
    <w:p w14:paraId="52017634" w14:textId="77777777" w:rsidR="00F849A7" w:rsidRPr="00D9348B" w:rsidRDefault="00F849A7" w:rsidP="00671024">
      <w:pPr>
        <w:spacing w:after="120"/>
        <w:ind w:left="567" w:hanging="567"/>
        <w:rPr>
          <w:rFonts w:cs="Calibri"/>
        </w:rPr>
      </w:pPr>
      <w:r w:rsidRPr="00D9348B">
        <w:rPr>
          <w:rFonts w:cs="Calibri"/>
        </w:rPr>
        <w:t xml:space="preserve">(2) </w:t>
      </w:r>
      <w:r w:rsidRPr="00D9348B">
        <w:rPr>
          <w:rFonts w:cs="Calibri"/>
        </w:rPr>
        <w:tab/>
      </w:r>
      <w:proofErr w:type="gramStart"/>
      <w:r w:rsidRPr="00D9348B">
        <w:rPr>
          <w:rFonts w:cs="Calibri"/>
        </w:rPr>
        <w:t>the</w:t>
      </w:r>
      <w:proofErr w:type="gramEnd"/>
      <w:r w:rsidRPr="00D9348B">
        <w:rPr>
          <w:rFonts w:cs="Calibri"/>
        </w:rPr>
        <w:t xml:space="preserve"> average nitrogen excretion rate per head </w:t>
      </w:r>
    </w:p>
    <w:p w14:paraId="1D207EC3" w14:textId="77777777" w:rsidR="00F849A7" w:rsidRPr="00D9348B" w:rsidRDefault="00F849A7" w:rsidP="00671024">
      <w:pPr>
        <w:spacing w:after="120"/>
        <w:ind w:left="567" w:hanging="567"/>
        <w:rPr>
          <w:rFonts w:cs="Calibri"/>
        </w:rPr>
      </w:pPr>
      <w:r w:rsidRPr="00D9348B">
        <w:rPr>
          <w:rFonts w:cs="Calibri"/>
        </w:rPr>
        <w:t xml:space="preserve">(3) </w:t>
      </w:r>
      <w:r w:rsidRPr="00D9348B">
        <w:rPr>
          <w:rFonts w:cs="Calibri"/>
        </w:rPr>
        <w:tab/>
      </w:r>
      <w:proofErr w:type="gramStart"/>
      <w:r w:rsidRPr="00D9348B">
        <w:rPr>
          <w:rFonts w:cs="Calibri"/>
        </w:rPr>
        <w:t>an</w:t>
      </w:r>
      <w:proofErr w:type="gramEnd"/>
      <w:r w:rsidRPr="00D9348B">
        <w:rPr>
          <w:rFonts w:cs="Calibri"/>
        </w:rPr>
        <w:t xml:space="preserve"> estimation of the total quantity of faecal material produced (consistent with the calculations in the previous section for CH</w:t>
      </w:r>
      <w:r w:rsidRPr="00D9348B">
        <w:rPr>
          <w:rFonts w:cs="Calibri"/>
          <w:vertAlign w:val="subscript"/>
        </w:rPr>
        <w:t>4</w:t>
      </w:r>
      <w:r w:rsidRPr="00D9348B">
        <w:rPr>
          <w:rFonts w:cs="Calibri"/>
        </w:rPr>
        <w:t xml:space="preserve"> from manure management) split into dung and urine</w:t>
      </w:r>
    </w:p>
    <w:p w14:paraId="02ABB877" w14:textId="77777777" w:rsidR="00F849A7" w:rsidRPr="00D9348B" w:rsidRDefault="00F849A7" w:rsidP="00671024">
      <w:pPr>
        <w:spacing w:after="120"/>
        <w:ind w:left="567" w:hanging="567"/>
        <w:rPr>
          <w:rFonts w:cs="Calibri"/>
        </w:rPr>
      </w:pPr>
      <w:r w:rsidRPr="00D9348B">
        <w:rPr>
          <w:rFonts w:cs="Calibri"/>
        </w:rPr>
        <w:t xml:space="preserve">(4) </w:t>
      </w:r>
      <w:r w:rsidRPr="00D9348B">
        <w:rPr>
          <w:rFonts w:cs="Calibri"/>
        </w:rPr>
        <w:tab/>
      </w:r>
      <w:proofErr w:type="gramStart"/>
      <w:r w:rsidRPr="00D9348B">
        <w:rPr>
          <w:rFonts w:cs="Calibri"/>
        </w:rPr>
        <w:t>the</w:t>
      </w:r>
      <w:proofErr w:type="gramEnd"/>
      <w:r w:rsidRPr="00D9348B">
        <w:rPr>
          <w:rFonts w:cs="Calibri"/>
        </w:rPr>
        <w:t xml:space="preserve"> partitioning of this faecal material between manure management systems (based on the manure distributions in table 5.3.2)</w:t>
      </w:r>
    </w:p>
    <w:p w14:paraId="10D0547F" w14:textId="77777777" w:rsidR="00F849A7" w:rsidRPr="00D9348B" w:rsidRDefault="00F849A7" w:rsidP="00671024">
      <w:pPr>
        <w:spacing w:after="120"/>
        <w:ind w:left="567" w:hanging="567"/>
        <w:rPr>
          <w:rFonts w:cs="Calibri"/>
        </w:rPr>
      </w:pPr>
      <w:r w:rsidRPr="00D9348B">
        <w:rPr>
          <w:rFonts w:cs="Calibri"/>
        </w:rPr>
        <w:t xml:space="preserve">(5) </w:t>
      </w:r>
      <w:r w:rsidRPr="00D9348B">
        <w:rPr>
          <w:rFonts w:cs="Calibri"/>
        </w:rPr>
        <w:tab/>
      </w:r>
      <w:proofErr w:type="gramStart"/>
      <w:r w:rsidRPr="00D9348B">
        <w:rPr>
          <w:rFonts w:cs="Calibri"/>
        </w:rPr>
        <w:t>the</w:t>
      </w:r>
      <w:proofErr w:type="gramEnd"/>
      <w:r w:rsidRPr="00D9348B">
        <w:rPr>
          <w:rFonts w:cs="Calibri"/>
        </w:rPr>
        <w:t xml:space="preserve"> total amount of nitrogen managed in each system multiplied by an emission factor (IPCC, 2006). </w:t>
      </w:r>
    </w:p>
    <w:p w14:paraId="23464683" w14:textId="77777777" w:rsidR="00F849A7" w:rsidRPr="00D9348B" w:rsidRDefault="00F849A7" w:rsidP="00F849A7">
      <w:pPr>
        <w:pStyle w:val="Heading5"/>
        <w:rPr>
          <w:rFonts w:cs="Calibri"/>
        </w:rPr>
      </w:pPr>
      <w:r w:rsidRPr="00D9348B">
        <w:rPr>
          <w:rFonts w:cs="Calibri"/>
        </w:rPr>
        <w:t>Nitrogen excretion rates for the major livestock categories</w:t>
      </w:r>
    </w:p>
    <w:p w14:paraId="5A0BC6D0" w14:textId="3E25F464" w:rsidR="00F849A7" w:rsidRPr="00D9348B" w:rsidRDefault="00F849A7" w:rsidP="00F849A7">
      <w:pPr>
        <w:pStyle w:val="BodyText"/>
        <w:rPr>
          <w:rFonts w:cs="Calibri"/>
        </w:rPr>
      </w:pPr>
      <w:r w:rsidRPr="00D9348B">
        <w:rPr>
          <w:rFonts w:cs="Calibri"/>
        </w:rPr>
        <w:t>The nitrogen excretion (N</w:t>
      </w:r>
      <w:r w:rsidRPr="00D9348B">
        <w:rPr>
          <w:rFonts w:cs="Calibri"/>
          <w:vertAlign w:val="subscript"/>
        </w:rPr>
        <w:t>ex</w:t>
      </w:r>
      <w:r w:rsidRPr="00D9348B">
        <w:rPr>
          <w:rFonts w:cs="Calibri"/>
        </w:rPr>
        <w:t>) rates for the main livestock categories in New Zealand (</w:t>
      </w:r>
      <w:r w:rsidRPr="00D9348B">
        <w:rPr>
          <w:rFonts w:cs="Calibri"/>
          <w:i/>
          <w:iCs/>
        </w:rPr>
        <w:t>Dairy cattle</w:t>
      </w:r>
      <w:r w:rsidRPr="00D9348B">
        <w:rPr>
          <w:rFonts w:cs="Calibri"/>
        </w:rPr>
        <w:t xml:space="preserve">, </w:t>
      </w:r>
      <w:r w:rsidRPr="00D9348B">
        <w:rPr>
          <w:rFonts w:cs="Calibri"/>
          <w:i/>
          <w:iCs/>
        </w:rPr>
        <w:t>Non-dairy cattle</w:t>
      </w:r>
      <w:r w:rsidRPr="00D9348B">
        <w:rPr>
          <w:rFonts w:cs="Calibri"/>
        </w:rPr>
        <w:t xml:space="preserve">, </w:t>
      </w:r>
      <w:r w:rsidRPr="00D9348B">
        <w:rPr>
          <w:rFonts w:cs="Calibri"/>
          <w:i/>
          <w:iCs/>
        </w:rPr>
        <w:t>Sheep</w:t>
      </w:r>
      <w:r w:rsidRPr="00D9348B">
        <w:rPr>
          <w:rFonts w:cs="Calibri"/>
        </w:rPr>
        <w:t xml:space="preserve"> and </w:t>
      </w:r>
      <w:r w:rsidRPr="00D9348B">
        <w:rPr>
          <w:rFonts w:cs="Calibri"/>
          <w:i/>
          <w:iCs/>
        </w:rPr>
        <w:t>Deer</w:t>
      </w:r>
      <w:r w:rsidRPr="00D9348B">
        <w:rPr>
          <w:rFonts w:cs="Calibri"/>
        </w:rPr>
        <w:t>) are calculated from the nitrogen intake less the nitrogen retained through digestion and in animal products, such as liveweight gain, milk, wool and velvet. Nitrogen intake is determined from the dry-matter feed intake and the nitrogen content of the feed eaten. Feed intake and animal productivity values are the same as</w:t>
      </w:r>
      <w:r w:rsidR="00671024" w:rsidRPr="00D9348B">
        <w:rPr>
          <w:rFonts w:cs="Calibri"/>
        </w:rPr>
        <w:t> </w:t>
      </w:r>
      <w:r w:rsidRPr="00D9348B">
        <w:rPr>
          <w:rFonts w:cs="Calibri"/>
        </w:rPr>
        <w:t xml:space="preserve">those used in the Tier 3 model for determining DMI (Clark et al., 2003; section 5.1.3). The nitrogen content of feed is estimated from a review of over 6,000 pasture samples from dairy systems and sheep and non-dairy (beef) systems (Ledgard et al., unpublished). </w:t>
      </w:r>
    </w:p>
    <w:p w14:paraId="10D6EE62" w14:textId="511D6FD4" w:rsidR="00F849A7" w:rsidRPr="00D9348B" w:rsidRDefault="00F849A7" w:rsidP="00F849A7">
      <w:pPr>
        <w:pStyle w:val="BodyText"/>
        <w:rPr>
          <w:rFonts w:cs="Calibri"/>
        </w:rPr>
      </w:pPr>
      <w:r w:rsidRPr="00D9348B">
        <w:rPr>
          <w:rFonts w:cs="Calibri"/>
        </w:rPr>
        <w:t>The nitrogen content of animal products is derived from industry data. For lactating dairy cows, the nitrogen content of milk is derived from the protein content of milk, which is published annually by LIC. The nitrogen content of sheep meat, milk and wool, non-dairy meat and milk, and the nitrogen retained in deer velvet, is taken from New Zealand research (Bown et al., 2013</w:t>
      </w:r>
      <w:r w:rsidR="00671024" w:rsidRPr="00D9348B">
        <w:rPr>
          <w:rFonts w:cs="Calibri"/>
        </w:rPr>
        <w:t>)</w:t>
      </w:r>
      <w:r w:rsidRPr="00D9348B">
        <w:rPr>
          <w:rFonts w:cs="Calibri"/>
        </w:rPr>
        <w:t xml:space="preserve">. </w:t>
      </w:r>
    </w:p>
    <w:p w14:paraId="2083F0C2" w14:textId="77777777" w:rsidR="00F849A7" w:rsidRPr="00D9348B" w:rsidRDefault="00F849A7" w:rsidP="00F849A7">
      <w:pPr>
        <w:pStyle w:val="BodyText"/>
        <w:rPr>
          <w:rFonts w:cs="Calibri"/>
        </w:rPr>
      </w:pPr>
      <w:r w:rsidRPr="00D9348B">
        <w:rPr>
          <w:rFonts w:cs="Calibri"/>
        </w:rPr>
        <w:t xml:space="preserve">Table 5.3.3 shows the </w:t>
      </w:r>
      <w:proofErr w:type="gramStart"/>
      <w:r w:rsidRPr="00D9348B">
        <w:rPr>
          <w:rFonts w:cs="Calibri"/>
        </w:rPr>
        <w:t>N</w:t>
      </w:r>
      <w:r w:rsidRPr="00D9348B">
        <w:rPr>
          <w:rFonts w:cs="Calibri"/>
          <w:vertAlign w:val="subscript"/>
        </w:rPr>
        <w:t>ex</w:t>
      </w:r>
      <w:proofErr w:type="gramEnd"/>
      <w:r w:rsidRPr="00D9348B">
        <w:rPr>
          <w:rFonts w:cs="Calibri"/>
        </w:rPr>
        <w:t xml:space="preserve"> rates for the major livestock categories. These rates have increased over time, reflecting the increases in animal productivity and DMI in New Zealand since 1990. Nitrogen excretion</w:t>
      </w:r>
      <w:r w:rsidRPr="00D9348B" w:rsidDel="00317E26">
        <w:rPr>
          <w:rFonts w:cs="Calibri"/>
        </w:rPr>
        <w:t xml:space="preserve"> </w:t>
      </w:r>
      <w:r w:rsidRPr="00D9348B">
        <w:rPr>
          <w:rFonts w:cs="Calibri"/>
        </w:rPr>
        <w:t xml:space="preserve">rates are also affected by adverse events and changes in commodity prices, which can cause large changes in productivity and </w:t>
      </w:r>
      <w:proofErr w:type="gramStart"/>
      <w:r w:rsidRPr="00D9348B">
        <w:rPr>
          <w:rFonts w:cs="Calibri"/>
        </w:rPr>
        <w:t>N</w:t>
      </w:r>
      <w:r w:rsidRPr="00D9348B">
        <w:rPr>
          <w:rFonts w:cs="Calibri"/>
          <w:vertAlign w:val="subscript"/>
        </w:rPr>
        <w:t>ex</w:t>
      </w:r>
      <w:proofErr w:type="gramEnd"/>
      <w:r w:rsidRPr="00D9348B">
        <w:rPr>
          <w:rFonts w:cs="Calibri"/>
        </w:rPr>
        <w:t xml:space="preserve"> rates in adjacent years (see section 5.1.1). </w:t>
      </w:r>
      <w:r w:rsidRPr="00D9348B">
        <w:rPr>
          <w:rFonts w:cs="Calibri"/>
          <w:spacing w:val="-2"/>
        </w:rPr>
        <w:t xml:space="preserve">For full details of how </w:t>
      </w:r>
      <w:proofErr w:type="gramStart"/>
      <w:r w:rsidRPr="00D9348B">
        <w:rPr>
          <w:rFonts w:cs="Calibri"/>
          <w:spacing w:val="-2"/>
        </w:rPr>
        <w:t>N</w:t>
      </w:r>
      <w:r w:rsidRPr="00D9348B">
        <w:rPr>
          <w:rFonts w:cs="Calibri"/>
          <w:spacing w:val="-2"/>
          <w:vertAlign w:val="subscript"/>
        </w:rPr>
        <w:t>ex</w:t>
      </w:r>
      <w:proofErr w:type="gramEnd"/>
      <w:r w:rsidRPr="00D9348B">
        <w:rPr>
          <w:rFonts w:cs="Calibri"/>
          <w:spacing w:val="-2"/>
        </w:rPr>
        <w:t xml:space="preserve"> rates are derived for each livestock category, see the technical detail provided in the inventory methodology document on the MPI website</w:t>
      </w:r>
      <w:r w:rsidRPr="00D9348B">
        <w:rPr>
          <w:rFonts w:cs="Calibri"/>
        </w:rPr>
        <w:t xml:space="preserve"> (</w:t>
      </w:r>
      <w:hyperlink r:id="rId133" w:anchor="model" w:history="1">
        <w:r w:rsidRPr="00D9348B">
          <w:rPr>
            <w:rFonts w:cs="Calibri"/>
          </w:rPr>
          <w:t>www.mpi.govt.nz/news-and-resources/open-data-and-forecasting/greenhouse-gas-reporting/agricultural-greenhouse-gas-inventory-reports/#model</w:t>
        </w:r>
      </w:hyperlink>
      <w:r w:rsidRPr="00D9348B">
        <w:rPr>
          <w:rFonts w:cs="Calibri"/>
        </w:rPr>
        <w:t xml:space="preserve">). </w:t>
      </w:r>
    </w:p>
    <w:p w14:paraId="00B7FD13" w14:textId="77777777" w:rsidR="00F849A7" w:rsidRPr="00D9348B" w:rsidRDefault="00F849A7" w:rsidP="00F849A7">
      <w:pPr>
        <w:pStyle w:val="Table"/>
        <w:rPr>
          <w:rFonts w:cs="Calibri"/>
        </w:rPr>
      </w:pPr>
      <w:bookmarkStart w:id="736" w:name="_Toc288316754"/>
      <w:bookmarkStart w:id="737" w:name="_Toc235955628"/>
      <w:bookmarkStart w:id="738" w:name="_Toc352504972"/>
      <w:bookmarkStart w:id="739" w:name="_Toc441830875"/>
      <w:bookmarkStart w:id="740" w:name="_Toc451176089"/>
      <w:bookmarkStart w:id="741" w:name="_Toc481751517"/>
      <w:bookmarkStart w:id="742" w:name="_Toc507158605"/>
      <w:bookmarkStart w:id="743" w:name="_Toc511116739"/>
      <w:bookmarkStart w:id="744" w:name="_Toc5269479"/>
      <w:bookmarkStart w:id="745" w:name="_Toc32570922"/>
      <w:bookmarkStart w:id="746" w:name="_Toc36224557"/>
      <w:r w:rsidRPr="00D9348B">
        <w:rPr>
          <w:rFonts w:cs="Calibri"/>
        </w:rPr>
        <w:lastRenderedPageBreak/>
        <w:t>Table 5.3.3</w:t>
      </w:r>
      <w:r w:rsidRPr="00D9348B">
        <w:rPr>
          <w:rFonts w:cs="Calibri"/>
        </w:rPr>
        <w:tab/>
        <w:t>Nitrogen excretion rates (</w:t>
      </w:r>
      <w:proofErr w:type="gramStart"/>
      <w:r w:rsidRPr="00D9348B">
        <w:rPr>
          <w:rFonts w:cs="Calibri"/>
        </w:rPr>
        <w:t>N</w:t>
      </w:r>
      <w:r w:rsidRPr="00D9348B">
        <w:rPr>
          <w:rFonts w:cs="Calibri"/>
          <w:vertAlign w:val="subscript"/>
        </w:rPr>
        <w:t>ex</w:t>
      </w:r>
      <w:proofErr w:type="gramEnd"/>
      <w:r w:rsidRPr="00D9348B">
        <w:rPr>
          <w:rFonts w:cs="Calibri"/>
        </w:rPr>
        <w:t>) for New Zealand’s major livestock categories from 1990 to </w:t>
      </w:r>
      <w:bookmarkEnd w:id="736"/>
      <w:bookmarkEnd w:id="737"/>
      <w:bookmarkEnd w:id="738"/>
      <w:bookmarkEnd w:id="739"/>
      <w:bookmarkEnd w:id="740"/>
      <w:bookmarkEnd w:id="741"/>
      <w:bookmarkEnd w:id="742"/>
      <w:bookmarkEnd w:id="743"/>
      <w:bookmarkEnd w:id="744"/>
      <w:r w:rsidRPr="00D9348B">
        <w:rPr>
          <w:rFonts w:cs="Calibri"/>
        </w:rPr>
        <w:t>2018</w:t>
      </w:r>
      <w:bookmarkEnd w:id="745"/>
      <w:bookmarkEnd w:id="746"/>
      <w:r w:rsidRPr="00D9348B">
        <w:rPr>
          <w:rFonts w:cs="Calibri"/>
        </w:rPr>
        <w:t xml:space="preserve"> </w:t>
      </w:r>
    </w:p>
    <w:tbl>
      <w:tblPr>
        <w:tblW w:w="8562" w:type="dxa"/>
        <w:tblInd w:w="108" w:type="dxa"/>
        <w:tblBorders>
          <w:top w:val="single" w:sz="4" w:space="0" w:color="365F91"/>
          <w:bottom w:val="single" w:sz="4" w:space="0" w:color="365F91"/>
          <w:insideH w:val="single" w:sz="4" w:space="0" w:color="365F91"/>
        </w:tblBorders>
        <w:tblLook w:val="0000" w:firstRow="0" w:lastRow="0" w:firstColumn="0" w:lastColumn="0" w:noHBand="0" w:noVBand="0"/>
      </w:tblPr>
      <w:tblGrid>
        <w:gridCol w:w="1360"/>
        <w:gridCol w:w="1803"/>
        <w:gridCol w:w="1803"/>
        <w:gridCol w:w="1819"/>
        <w:gridCol w:w="1777"/>
      </w:tblGrid>
      <w:tr w:rsidR="00F849A7" w:rsidRPr="00D9348B" w14:paraId="0B82A790" w14:textId="77777777" w:rsidTr="0004051F">
        <w:trPr>
          <w:tblHeader/>
        </w:trPr>
        <w:tc>
          <w:tcPr>
            <w:tcW w:w="1351" w:type="dxa"/>
            <w:shd w:val="clear" w:color="auto" w:fill="365F91"/>
            <w:noWrap/>
            <w:vAlign w:val="bottom"/>
          </w:tcPr>
          <w:p w14:paraId="2D747707" w14:textId="77777777" w:rsidR="00F849A7" w:rsidRPr="00D9348B" w:rsidRDefault="00F849A7" w:rsidP="00DB330E">
            <w:pPr>
              <w:pStyle w:val="TableTextBold"/>
              <w:keepNext/>
              <w:spacing w:before="40" w:after="40"/>
              <w:rPr>
                <w:rFonts w:cs="Calibri"/>
                <w:noProof w:val="0"/>
                <w:color w:val="FFFFFF"/>
                <w:szCs w:val="16"/>
              </w:rPr>
            </w:pPr>
            <w:r w:rsidRPr="00D9348B">
              <w:rPr>
                <w:rFonts w:cs="Calibri"/>
                <w:noProof w:val="0"/>
                <w:color w:val="FFFFFF"/>
                <w:szCs w:val="16"/>
              </w:rPr>
              <w:t>Year</w:t>
            </w:r>
          </w:p>
        </w:tc>
        <w:tc>
          <w:tcPr>
            <w:tcW w:w="1791" w:type="dxa"/>
            <w:shd w:val="clear" w:color="auto" w:fill="365F91"/>
            <w:noWrap/>
            <w:vAlign w:val="bottom"/>
          </w:tcPr>
          <w:p w14:paraId="68071910" w14:textId="77777777" w:rsidR="00F849A7" w:rsidRPr="00D9348B" w:rsidRDefault="00F849A7" w:rsidP="00DB330E">
            <w:pPr>
              <w:pStyle w:val="TableTextBold"/>
              <w:keepNext/>
              <w:spacing w:before="40" w:after="40"/>
              <w:jc w:val="center"/>
              <w:rPr>
                <w:rFonts w:cs="Calibri"/>
                <w:noProof w:val="0"/>
                <w:color w:val="FFFFFF"/>
                <w:szCs w:val="16"/>
              </w:rPr>
            </w:pPr>
            <w:r w:rsidRPr="00D9348B">
              <w:rPr>
                <w:rFonts w:cs="Calibri"/>
                <w:noProof w:val="0"/>
                <w:color w:val="FFFFFF"/>
                <w:szCs w:val="16"/>
              </w:rPr>
              <w:t>Dairy cattle N</w:t>
            </w:r>
            <w:r w:rsidRPr="00D9348B">
              <w:rPr>
                <w:rFonts w:cs="Calibri"/>
                <w:noProof w:val="0"/>
                <w:color w:val="FFFFFF"/>
                <w:szCs w:val="16"/>
                <w:vertAlign w:val="subscript"/>
              </w:rPr>
              <w:t>ex</w:t>
            </w:r>
            <w:r w:rsidRPr="00D9348B">
              <w:rPr>
                <w:rFonts w:cs="Calibri"/>
                <w:noProof w:val="0"/>
                <w:color w:val="FFFFFF"/>
                <w:szCs w:val="16"/>
              </w:rPr>
              <w:t xml:space="preserve"> (kg/head/year)</w:t>
            </w:r>
          </w:p>
        </w:tc>
        <w:tc>
          <w:tcPr>
            <w:tcW w:w="1791" w:type="dxa"/>
            <w:shd w:val="clear" w:color="auto" w:fill="365F91"/>
            <w:noWrap/>
            <w:vAlign w:val="bottom"/>
          </w:tcPr>
          <w:p w14:paraId="73597821" w14:textId="77777777" w:rsidR="00F849A7" w:rsidRPr="00D9348B" w:rsidRDefault="00F849A7" w:rsidP="00DB330E">
            <w:pPr>
              <w:pStyle w:val="TableTextBold"/>
              <w:keepNext/>
              <w:spacing w:before="40" w:after="40"/>
              <w:jc w:val="center"/>
              <w:rPr>
                <w:rFonts w:cs="Calibri"/>
                <w:noProof w:val="0"/>
                <w:color w:val="FFFFFF"/>
                <w:szCs w:val="16"/>
              </w:rPr>
            </w:pPr>
            <w:r w:rsidRPr="00D9348B">
              <w:rPr>
                <w:rFonts w:cs="Calibri"/>
                <w:noProof w:val="0"/>
                <w:color w:val="FFFFFF"/>
                <w:szCs w:val="16"/>
              </w:rPr>
              <w:t>Non-dairy cattle N</w:t>
            </w:r>
            <w:r w:rsidRPr="00D9348B">
              <w:rPr>
                <w:rFonts w:cs="Calibri"/>
                <w:noProof w:val="0"/>
                <w:color w:val="FFFFFF"/>
                <w:szCs w:val="16"/>
                <w:vertAlign w:val="subscript"/>
              </w:rPr>
              <w:t>ex</w:t>
            </w:r>
            <w:r w:rsidRPr="00D9348B">
              <w:rPr>
                <w:rFonts w:cs="Calibri"/>
                <w:noProof w:val="0"/>
                <w:color w:val="FFFFFF"/>
                <w:szCs w:val="16"/>
              </w:rPr>
              <w:t xml:space="preserve"> (kg/head/year)</w:t>
            </w:r>
          </w:p>
        </w:tc>
        <w:tc>
          <w:tcPr>
            <w:tcW w:w="1807" w:type="dxa"/>
            <w:shd w:val="clear" w:color="auto" w:fill="365F91"/>
            <w:noWrap/>
            <w:vAlign w:val="bottom"/>
          </w:tcPr>
          <w:p w14:paraId="4A626F24" w14:textId="77777777" w:rsidR="00F849A7" w:rsidRPr="00D9348B" w:rsidRDefault="00F849A7" w:rsidP="00DB330E">
            <w:pPr>
              <w:pStyle w:val="TableTextBold"/>
              <w:keepNext/>
              <w:spacing w:before="40" w:after="40"/>
              <w:jc w:val="center"/>
              <w:rPr>
                <w:rFonts w:cs="Calibri"/>
                <w:noProof w:val="0"/>
                <w:color w:val="FFFFFF"/>
                <w:szCs w:val="16"/>
              </w:rPr>
            </w:pPr>
            <w:r w:rsidRPr="00D9348B">
              <w:rPr>
                <w:rFonts w:cs="Calibri"/>
                <w:noProof w:val="0"/>
                <w:color w:val="FFFFFF"/>
                <w:szCs w:val="16"/>
              </w:rPr>
              <w:t>Sheep N</w:t>
            </w:r>
            <w:r w:rsidRPr="00D9348B">
              <w:rPr>
                <w:rFonts w:cs="Calibri"/>
                <w:noProof w:val="0"/>
                <w:color w:val="FFFFFF"/>
                <w:szCs w:val="16"/>
                <w:vertAlign w:val="subscript"/>
              </w:rPr>
              <w:t>ex</w:t>
            </w:r>
            <w:r w:rsidRPr="00D9348B">
              <w:rPr>
                <w:rFonts w:cs="Calibri"/>
                <w:noProof w:val="0"/>
                <w:color w:val="FFFFFF"/>
                <w:szCs w:val="16"/>
              </w:rPr>
              <w:t xml:space="preserve"> (kg/head/year)</w:t>
            </w:r>
          </w:p>
        </w:tc>
        <w:tc>
          <w:tcPr>
            <w:tcW w:w="1765" w:type="dxa"/>
            <w:shd w:val="clear" w:color="auto" w:fill="365F91"/>
            <w:noWrap/>
            <w:vAlign w:val="bottom"/>
          </w:tcPr>
          <w:p w14:paraId="3D4E9A4F" w14:textId="77777777" w:rsidR="00F849A7" w:rsidRPr="00D9348B" w:rsidRDefault="00F849A7" w:rsidP="00DB330E">
            <w:pPr>
              <w:pStyle w:val="TableTextBold"/>
              <w:keepNext/>
              <w:spacing w:before="40" w:after="40"/>
              <w:jc w:val="center"/>
              <w:rPr>
                <w:rFonts w:cs="Calibri"/>
                <w:noProof w:val="0"/>
                <w:color w:val="FFFFFF"/>
                <w:szCs w:val="16"/>
              </w:rPr>
            </w:pPr>
            <w:r w:rsidRPr="00D9348B">
              <w:rPr>
                <w:rFonts w:cs="Calibri"/>
                <w:noProof w:val="0"/>
                <w:color w:val="FFFFFF"/>
                <w:szCs w:val="16"/>
              </w:rPr>
              <w:t>Deer N</w:t>
            </w:r>
            <w:r w:rsidRPr="00D9348B">
              <w:rPr>
                <w:rFonts w:cs="Calibri"/>
                <w:noProof w:val="0"/>
                <w:color w:val="FFFFFF"/>
                <w:szCs w:val="16"/>
                <w:vertAlign w:val="subscript"/>
              </w:rPr>
              <w:t>ex</w:t>
            </w:r>
            <w:r w:rsidRPr="00D9348B">
              <w:rPr>
                <w:rFonts w:cs="Calibri"/>
                <w:noProof w:val="0"/>
                <w:color w:val="FFFFFF"/>
                <w:szCs w:val="16"/>
              </w:rPr>
              <w:t xml:space="preserve"> (kg/head/year)</w:t>
            </w:r>
          </w:p>
        </w:tc>
      </w:tr>
      <w:tr w:rsidR="00F849A7" w:rsidRPr="00D9348B" w14:paraId="0FCB11D1" w14:textId="77777777" w:rsidTr="0004051F">
        <w:tc>
          <w:tcPr>
            <w:tcW w:w="1351" w:type="dxa"/>
            <w:tcBorders>
              <w:top w:val="single" w:sz="4" w:space="0" w:color="365F91"/>
              <w:bottom w:val="single" w:sz="4" w:space="0" w:color="365F91"/>
            </w:tcBorders>
            <w:noWrap/>
          </w:tcPr>
          <w:p w14:paraId="2E62F124" w14:textId="77777777" w:rsidR="00F849A7" w:rsidRPr="00D9348B" w:rsidRDefault="00F849A7" w:rsidP="00DB330E">
            <w:pPr>
              <w:pStyle w:val="TableText"/>
              <w:keepNext/>
              <w:spacing w:before="40" w:after="50"/>
              <w:rPr>
                <w:rFonts w:cs="Calibri"/>
                <w:szCs w:val="16"/>
              </w:rPr>
            </w:pPr>
            <w:r w:rsidRPr="00D9348B">
              <w:rPr>
                <w:rFonts w:cs="Calibri"/>
                <w:szCs w:val="16"/>
              </w:rPr>
              <w:t>1990</w:t>
            </w:r>
          </w:p>
        </w:tc>
        <w:tc>
          <w:tcPr>
            <w:tcW w:w="1791" w:type="dxa"/>
            <w:tcBorders>
              <w:top w:val="single" w:sz="4" w:space="0" w:color="365F91"/>
              <w:bottom w:val="single" w:sz="4" w:space="0" w:color="365F91"/>
            </w:tcBorders>
            <w:shd w:val="clear" w:color="auto" w:fill="auto"/>
            <w:noWrap/>
          </w:tcPr>
          <w:p w14:paraId="24C9C3E7" w14:textId="77777777" w:rsidR="00F849A7" w:rsidRPr="00D9348B" w:rsidRDefault="00F849A7" w:rsidP="00DB330E">
            <w:pPr>
              <w:pStyle w:val="TableText"/>
              <w:spacing w:before="40" w:after="50"/>
              <w:jc w:val="center"/>
              <w:rPr>
                <w:rFonts w:cs="Calibri"/>
                <w:szCs w:val="16"/>
              </w:rPr>
            </w:pPr>
            <w:r w:rsidRPr="00D9348B">
              <w:rPr>
                <w:rFonts w:cs="Calibri"/>
                <w:szCs w:val="16"/>
              </w:rPr>
              <w:t>103.9</w:t>
            </w:r>
          </w:p>
        </w:tc>
        <w:tc>
          <w:tcPr>
            <w:tcW w:w="1791" w:type="dxa"/>
            <w:tcBorders>
              <w:top w:val="single" w:sz="4" w:space="0" w:color="365F91"/>
              <w:bottom w:val="single" w:sz="4" w:space="0" w:color="365F91"/>
            </w:tcBorders>
            <w:shd w:val="clear" w:color="auto" w:fill="auto"/>
            <w:noWrap/>
          </w:tcPr>
          <w:p w14:paraId="6B6D35E1" w14:textId="77777777" w:rsidR="00F849A7" w:rsidRPr="00D9348B" w:rsidRDefault="00F849A7" w:rsidP="00DB330E">
            <w:pPr>
              <w:pStyle w:val="TableText"/>
              <w:spacing w:before="40" w:after="50"/>
              <w:jc w:val="center"/>
              <w:rPr>
                <w:rFonts w:cs="Calibri"/>
                <w:szCs w:val="16"/>
              </w:rPr>
            </w:pPr>
            <w:r w:rsidRPr="00D9348B">
              <w:rPr>
                <w:rFonts w:cs="Calibri"/>
                <w:szCs w:val="16"/>
              </w:rPr>
              <w:t>64.47</w:t>
            </w:r>
          </w:p>
        </w:tc>
        <w:tc>
          <w:tcPr>
            <w:tcW w:w="1807" w:type="dxa"/>
            <w:tcBorders>
              <w:top w:val="single" w:sz="4" w:space="0" w:color="365F91"/>
              <w:bottom w:val="single" w:sz="4" w:space="0" w:color="365F91"/>
            </w:tcBorders>
            <w:shd w:val="clear" w:color="auto" w:fill="auto"/>
            <w:noWrap/>
          </w:tcPr>
          <w:p w14:paraId="57B8E515" w14:textId="77777777" w:rsidR="00F849A7" w:rsidRPr="00D9348B" w:rsidRDefault="00F849A7" w:rsidP="00DB330E">
            <w:pPr>
              <w:pStyle w:val="TableText"/>
              <w:spacing w:before="40" w:after="50"/>
              <w:jc w:val="center"/>
              <w:rPr>
                <w:rFonts w:cs="Calibri"/>
                <w:szCs w:val="16"/>
              </w:rPr>
            </w:pPr>
            <w:r w:rsidRPr="00D9348B">
              <w:rPr>
                <w:rFonts w:cs="Calibri"/>
                <w:szCs w:val="16"/>
              </w:rPr>
              <w:t>12.97</w:t>
            </w:r>
          </w:p>
        </w:tc>
        <w:tc>
          <w:tcPr>
            <w:tcW w:w="1765" w:type="dxa"/>
            <w:tcBorders>
              <w:top w:val="single" w:sz="4" w:space="0" w:color="365F91"/>
              <w:bottom w:val="single" w:sz="4" w:space="0" w:color="365F91"/>
            </w:tcBorders>
            <w:shd w:val="clear" w:color="auto" w:fill="auto"/>
            <w:noWrap/>
          </w:tcPr>
          <w:p w14:paraId="6B3949A4" w14:textId="77777777" w:rsidR="00F849A7" w:rsidRPr="00D9348B" w:rsidRDefault="00F849A7" w:rsidP="00DB330E">
            <w:pPr>
              <w:pStyle w:val="TableText"/>
              <w:spacing w:before="40" w:after="50"/>
              <w:jc w:val="center"/>
              <w:rPr>
                <w:rFonts w:cs="Calibri"/>
                <w:szCs w:val="16"/>
              </w:rPr>
            </w:pPr>
            <w:r w:rsidRPr="00D9348B">
              <w:rPr>
                <w:rFonts w:cs="Calibri"/>
                <w:szCs w:val="16"/>
              </w:rPr>
              <w:t>26.31</w:t>
            </w:r>
          </w:p>
        </w:tc>
      </w:tr>
      <w:tr w:rsidR="00F849A7" w:rsidRPr="00D9348B" w14:paraId="5F00C3ED" w14:textId="77777777" w:rsidTr="0004051F">
        <w:tc>
          <w:tcPr>
            <w:tcW w:w="1351" w:type="dxa"/>
            <w:tcBorders>
              <w:top w:val="single" w:sz="4" w:space="0" w:color="365F91"/>
              <w:bottom w:val="single" w:sz="4" w:space="0" w:color="365F91"/>
            </w:tcBorders>
            <w:noWrap/>
          </w:tcPr>
          <w:p w14:paraId="7C772E80" w14:textId="77777777" w:rsidR="00F849A7" w:rsidRPr="00D9348B" w:rsidRDefault="00F849A7" w:rsidP="00DB330E">
            <w:pPr>
              <w:pStyle w:val="TableText"/>
              <w:keepNext/>
              <w:spacing w:before="40" w:after="50"/>
              <w:rPr>
                <w:rFonts w:cs="Calibri"/>
                <w:szCs w:val="16"/>
              </w:rPr>
            </w:pPr>
            <w:r w:rsidRPr="00D9348B">
              <w:rPr>
                <w:rFonts w:cs="Calibri"/>
                <w:szCs w:val="16"/>
              </w:rPr>
              <w:t>1991</w:t>
            </w:r>
          </w:p>
        </w:tc>
        <w:tc>
          <w:tcPr>
            <w:tcW w:w="1791" w:type="dxa"/>
            <w:tcBorders>
              <w:top w:val="single" w:sz="4" w:space="0" w:color="365F91"/>
              <w:bottom w:val="single" w:sz="4" w:space="0" w:color="365F91"/>
            </w:tcBorders>
            <w:shd w:val="clear" w:color="auto" w:fill="auto"/>
            <w:noWrap/>
          </w:tcPr>
          <w:p w14:paraId="033FF1D2" w14:textId="77777777" w:rsidR="00F849A7" w:rsidRPr="00D9348B" w:rsidRDefault="00F849A7" w:rsidP="00DB330E">
            <w:pPr>
              <w:pStyle w:val="TableText"/>
              <w:spacing w:before="40" w:after="50"/>
              <w:jc w:val="center"/>
              <w:rPr>
                <w:rFonts w:cs="Calibri"/>
                <w:szCs w:val="16"/>
              </w:rPr>
            </w:pPr>
            <w:r w:rsidRPr="00D9348B">
              <w:rPr>
                <w:rFonts w:cs="Calibri"/>
                <w:szCs w:val="16"/>
              </w:rPr>
              <w:t>107.9</w:t>
            </w:r>
          </w:p>
        </w:tc>
        <w:tc>
          <w:tcPr>
            <w:tcW w:w="1791" w:type="dxa"/>
            <w:tcBorders>
              <w:top w:val="single" w:sz="4" w:space="0" w:color="365F91"/>
              <w:bottom w:val="single" w:sz="4" w:space="0" w:color="365F91"/>
            </w:tcBorders>
            <w:shd w:val="clear" w:color="auto" w:fill="auto"/>
            <w:noWrap/>
          </w:tcPr>
          <w:p w14:paraId="472CA895" w14:textId="77777777" w:rsidR="00F849A7" w:rsidRPr="00D9348B" w:rsidRDefault="00F849A7" w:rsidP="00DB330E">
            <w:pPr>
              <w:pStyle w:val="TableText"/>
              <w:spacing w:before="40" w:after="50"/>
              <w:jc w:val="center"/>
              <w:rPr>
                <w:rFonts w:cs="Calibri"/>
                <w:szCs w:val="16"/>
              </w:rPr>
            </w:pPr>
            <w:r w:rsidRPr="00D9348B">
              <w:rPr>
                <w:rFonts w:cs="Calibri"/>
                <w:szCs w:val="16"/>
              </w:rPr>
              <w:t>66.35</w:t>
            </w:r>
          </w:p>
        </w:tc>
        <w:tc>
          <w:tcPr>
            <w:tcW w:w="1807" w:type="dxa"/>
            <w:tcBorders>
              <w:top w:val="single" w:sz="4" w:space="0" w:color="365F91"/>
              <w:bottom w:val="single" w:sz="4" w:space="0" w:color="365F91"/>
            </w:tcBorders>
            <w:shd w:val="clear" w:color="auto" w:fill="auto"/>
            <w:noWrap/>
          </w:tcPr>
          <w:p w14:paraId="174C24D1" w14:textId="77777777" w:rsidR="00F849A7" w:rsidRPr="00D9348B" w:rsidRDefault="00F849A7" w:rsidP="00DB330E">
            <w:pPr>
              <w:pStyle w:val="TableText"/>
              <w:spacing w:before="40" w:after="50"/>
              <w:jc w:val="center"/>
              <w:rPr>
                <w:rFonts w:cs="Calibri"/>
                <w:szCs w:val="16"/>
              </w:rPr>
            </w:pPr>
            <w:r w:rsidRPr="00D9348B">
              <w:rPr>
                <w:rFonts w:cs="Calibri"/>
                <w:szCs w:val="16"/>
              </w:rPr>
              <w:t>13.26</w:t>
            </w:r>
          </w:p>
        </w:tc>
        <w:tc>
          <w:tcPr>
            <w:tcW w:w="1765" w:type="dxa"/>
            <w:tcBorders>
              <w:top w:val="single" w:sz="4" w:space="0" w:color="365F91"/>
              <w:bottom w:val="single" w:sz="4" w:space="0" w:color="365F91"/>
            </w:tcBorders>
            <w:shd w:val="clear" w:color="auto" w:fill="auto"/>
            <w:noWrap/>
          </w:tcPr>
          <w:p w14:paraId="5F2D1162" w14:textId="77777777" w:rsidR="00F849A7" w:rsidRPr="00D9348B" w:rsidRDefault="00F849A7" w:rsidP="00DB330E">
            <w:pPr>
              <w:pStyle w:val="TableText"/>
              <w:spacing w:before="40" w:after="50"/>
              <w:jc w:val="center"/>
              <w:rPr>
                <w:rFonts w:cs="Calibri"/>
                <w:szCs w:val="16"/>
              </w:rPr>
            </w:pPr>
            <w:r w:rsidRPr="00D9348B">
              <w:rPr>
                <w:rFonts w:cs="Calibri"/>
                <w:szCs w:val="16"/>
              </w:rPr>
              <w:t>26.96</w:t>
            </w:r>
          </w:p>
        </w:tc>
      </w:tr>
      <w:tr w:rsidR="00F849A7" w:rsidRPr="00D9348B" w14:paraId="666CC515" w14:textId="77777777" w:rsidTr="0004051F">
        <w:tc>
          <w:tcPr>
            <w:tcW w:w="1351" w:type="dxa"/>
            <w:tcBorders>
              <w:top w:val="single" w:sz="4" w:space="0" w:color="365F91"/>
              <w:bottom w:val="single" w:sz="4" w:space="0" w:color="365F91"/>
            </w:tcBorders>
            <w:noWrap/>
          </w:tcPr>
          <w:p w14:paraId="3B694772" w14:textId="77777777" w:rsidR="00F849A7" w:rsidRPr="00D9348B" w:rsidRDefault="00F849A7" w:rsidP="00DB330E">
            <w:pPr>
              <w:pStyle w:val="TableText"/>
              <w:spacing w:before="40" w:after="50"/>
              <w:rPr>
                <w:rFonts w:cs="Calibri"/>
                <w:szCs w:val="16"/>
              </w:rPr>
            </w:pPr>
            <w:r w:rsidRPr="00D9348B">
              <w:rPr>
                <w:rFonts w:cs="Calibri"/>
                <w:szCs w:val="16"/>
              </w:rPr>
              <w:t>1992</w:t>
            </w:r>
          </w:p>
        </w:tc>
        <w:tc>
          <w:tcPr>
            <w:tcW w:w="1791" w:type="dxa"/>
            <w:tcBorders>
              <w:top w:val="single" w:sz="4" w:space="0" w:color="365F91"/>
              <w:bottom w:val="single" w:sz="4" w:space="0" w:color="365F91"/>
            </w:tcBorders>
            <w:shd w:val="clear" w:color="auto" w:fill="auto"/>
            <w:noWrap/>
          </w:tcPr>
          <w:p w14:paraId="50E6ACEA" w14:textId="77777777" w:rsidR="00F849A7" w:rsidRPr="00D9348B" w:rsidRDefault="00F849A7" w:rsidP="00DB330E">
            <w:pPr>
              <w:pStyle w:val="TableText"/>
              <w:spacing w:before="40" w:after="50"/>
              <w:jc w:val="center"/>
              <w:rPr>
                <w:rFonts w:cs="Calibri"/>
                <w:szCs w:val="16"/>
              </w:rPr>
            </w:pPr>
            <w:r w:rsidRPr="00D9348B">
              <w:rPr>
                <w:rFonts w:cs="Calibri"/>
                <w:szCs w:val="16"/>
              </w:rPr>
              <w:t>108.6</w:t>
            </w:r>
          </w:p>
        </w:tc>
        <w:tc>
          <w:tcPr>
            <w:tcW w:w="1791" w:type="dxa"/>
            <w:tcBorders>
              <w:top w:val="single" w:sz="4" w:space="0" w:color="365F91"/>
              <w:bottom w:val="single" w:sz="4" w:space="0" w:color="365F91"/>
            </w:tcBorders>
            <w:shd w:val="clear" w:color="auto" w:fill="auto"/>
            <w:noWrap/>
          </w:tcPr>
          <w:p w14:paraId="3C84784E" w14:textId="77777777" w:rsidR="00F849A7" w:rsidRPr="00D9348B" w:rsidRDefault="00F849A7" w:rsidP="00DB330E">
            <w:pPr>
              <w:pStyle w:val="TableText"/>
              <w:spacing w:before="40" w:after="50"/>
              <w:jc w:val="center"/>
              <w:rPr>
                <w:rFonts w:cs="Calibri"/>
                <w:szCs w:val="16"/>
              </w:rPr>
            </w:pPr>
            <w:r w:rsidRPr="00D9348B">
              <w:rPr>
                <w:rFonts w:cs="Calibri"/>
                <w:szCs w:val="16"/>
              </w:rPr>
              <w:t>67.37</w:t>
            </w:r>
          </w:p>
        </w:tc>
        <w:tc>
          <w:tcPr>
            <w:tcW w:w="1807" w:type="dxa"/>
            <w:tcBorders>
              <w:top w:val="single" w:sz="4" w:space="0" w:color="365F91"/>
              <w:bottom w:val="single" w:sz="4" w:space="0" w:color="365F91"/>
            </w:tcBorders>
            <w:shd w:val="clear" w:color="auto" w:fill="auto"/>
            <w:noWrap/>
          </w:tcPr>
          <w:p w14:paraId="4108265F" w14:textId="77777777" w:rsidR="00F849A7" w:rsidRPr="00D9348B" w:rsidRDefault="00F849A7" w:rsidP="00DB330E">
            <w:pPr>
              <w:pStyle w:val="TableText"/>
              <w:spacing w:before="40" w:after="50"/>
              <w:jc w:val="center"/>
              <w:rPr>
                <w:rFonts w:cs="Calibri"/>
                <w:szCs w:val="16"/>
              </w:rPr>
            </w:pPr>
            <w:r w:rsidRPr="00D9348B">
              <w:rPr>
                <w:rFonts w:cs="Calibri"/>
                <w:szCs w:val="16"/>
              </w:rPr>
              <w:t>13.21</w:t>
            </w:r>
          </w:p>
        </w:tc>
        <w:tc>
          <w:tcPr>
            <w:tcW w:w="1765" w:type="dxa"/>
            <w:tcBorders>
              <w:top w:val="single" w:sz="4" w:space="0" w:color="365F91"/>
              <w:bottom w:val="single" w:sz="4" w:space="0" w:color="365F91"/>
            </w:tcBorders>
            <w:shd w:val="clear" w:color="auto" w:fill="auto"/>
            <w:noWrap/>
          </w:tcPr>
          <w:p w14:paraId="70B4E2C6" w14:textId="77777777" w:rsidR="00F849A7" w:rsidRPr="00D9348B" w:rsidRDefault="00F849A7" w:rsidP="00DB330E">
            <w:pPr>
              <w:pStyle w:val="TableText"/>
              <w:spacing w:before="40" w:after="50"/>
              <w:jc w:val="center"/>
              <w:rPr>
                <w:rFonts w:cs="Calibri"/>
                <w:szCs w:val="16"/>
              </w:rPr>
            </w:pPr>
            <w:r w:rsidRPr="00D9348B">
              <w:rPr>
                <w:rFonts w:cs="Calibri"/>
                <w:szCs w:val="16"/>
              </w:rPr>
              <w:t>28.07</w:t>
            </w:r>
          </w:p>
        </w:tc>
      </w:tr>
      <w:tr w:rsidR="00F849A7" w:rsidRPr="00D9348B" w14:paraId="2261820E" w14:textId="77777777" w:rsidTr="0004051F">
        <w:tc>
          <w:tcPr>
            <w:tcW w:w="1351" w:type="dxa"/>
            <w:tcBorders>
              <w:top w:val="single" w:sz="4" w:space="0" w:color="365F91"/>
              <w:bottom w:val="single" w:sz="4" w:space="0" w:color="365F91"/>
            </w:tcBorders>
            <w:noWrap/>
          </w:tcPr>
          <w:p w14:paraId="75D199E8" w14:textId="77777777" w:rsidR="00F849A7" w:rsidRPr="00D9348B" w:rsidRDefault="00F849A7" w:rsidP="00DB330E">
            <w:pPr>
              <w:pStyle w:val="TableText"/>
              <w:spacing w:before="40" w:after="50"/>
              <w:rPr>
                <w:rFonts w:cs="Calibri"/>
                <w:szCs w:val="16"/>
              </w:rPr>
            </w:pPr>
            <w:r w:rsidRPr="00D9348B">
              <w:rPr>
                <w:rFonts w:cs="Calibri"/>
                <w:szCs w:val="16"/>
              </w:rPr>
              <w:t>1993</w:t>
            </w:r>
          </w:p>
        </w:tc>
        <w:tc>
          <w:tcPr>
            <w:tcW w:w="1791" w:type="dxa"/>
            <w:tcBorders>
              <w:top w:val="single" w:sz="4" w:space="0" w:color="365F91"/>
              <w:bottom w:val="single" w:sz="4" w:space="0" w:color="365F91"/>
            </w:tcBorders>
            <w:shd w:val="clear" w:color="auto" w:fill="auto"/>
            <w:noWrap/>
          </w:tcPr>
          <w:p w14:paraId="050A4CF9" w14:textId="77777777" w:rsidR="00F849A7" w:rsidRPr="00D9348B" w:rsidRDefault="00F849A7" w:rsidP="00DB330E">
            <w:pPr>
              <w:pStyle w:val="TableText"/>
              <w:spacing w:before="40" w:after="50"/>
              <w:jc w:val="center"/>
              <w:rPr>
                <w:rFonts w:cs="Calibri"/>
                <w:szCs w:val="16"/>
              </w:rPr>
            </w:pPr>
            <w:r w:rsidRPr="00D9348B">
              <w:rPr>
                <w:rFonts w:cs="Calibri"/>
                <w:szCs w:val="16"/>
              </w:rPr>
              <w:t>109.8</w:t>
            </w:r>
          </w:p>
        </w:tc>
        <w:tc>
          <w:tcPr>
            <w:tcW w:w="1791" w:type="dxa"/>
            <w:tcBorders>
              <w:top w:val="single" w:sz="4" w:space="0" w:color="365F91"/>
              <w:bottom w:val="single" w:sz="4" w:space="0" w:color="365F91"/>
            </w:tcBorders>
            <w:shd w:val="clear" w:color="auto" w:fill="auto"/>
            <w:noWrap/>
          </w:tcPr>
          <w:p w14:paraId="7737B150" w14:textId="77777777" w:rsidR="00F849A7" w:rsidRPr="00D9348B" w:rsidRDefault="00F849A7" w:rsidP="00DB330E">
            <w:pPr>
              <w:pStyle w:val="TableText"/>
              <w:spacing w:before="40" w:after="50"/>
              <w:jc w:val="center"/>
              <w:rPr>
                <w:rFonts w:cs="Calibri"/>
                <w:szCs w:val="16"/>
              </w:rPr>
            </w:pPr>
            <w:r w:rsidRPr="00D9348B">
              <w:rPr>
                <w:rFonts w:cs="Calibri"/>
                <w:szCs w:val="16"/>
              </w:rPr>
              <w:t>68.49</w:t>
            </w:r>
          </w:p>
        </w:tc>
        <w:tc>
          <w:tcPr>
            <w:tcW w:w="1807" w:type="dxa"/>
            <w:tcBorders>
              <w:top w:val="single" w:sz="4" w:space="0" w:color="365F91"/>
              <w:bottom w:val="single" w:sz="4" w:space="0" w:color="365F91"/>
            </w:tcBorders>
            <w:shd w:val="clear" w:color="auto" w:fill="auto"/>
            <w:noWrap/>
          </w:tcPr>
          <w:p w14:paraId="2E9A477E" w14:textId="77777777" w:rsidR="00F849A7" w:rsidRPr="00D9348B" w:rsidRDefault="00F849A7" w:rsidP="00DB330E">
            <w:pPr>
              <w:pStyle w:val="TableText"/>
              <w:spacing w:before="40" w:after="50"/>
              <w:jc w:val="center"/>
              <w:rPr>
                <w:rFonts w:cs="Calibri"/>
                <w:szCs w:val="16"/>
              </w:rPr>
            </w:pPr>
            <w:r w:rsidRPr="00D9348B">
              <w:rPr>
                <w:rFonts w:cs="Calibri"/>
                <w:szCs w:val="16"/>
              </w:rPr>
              <w:t>13.58</w:t>
            </w:r>
          </w:p>
        </w:tc>
        <w:tc>
          <w:tcPr>
            <w:tcW w:w="1765" w:type="dxa"/>
            <w:tcBorders>
              <w:top w:val="single" w:sz="4" w:space="0" w:color="365F91"/>
              <w:bottom w:val="single" w:sz="4" w:space="0" w:color="365F91"/>
            </w:tcBorders>
            <w:shd w:val="clear" w:color="auto" w:fill="auto"/>
            <w:noWrap/>
          </w:tcPr>
          <w:p w14:paraId="6FB5894F" w14:textId="77777777" w:rsidR="00F849A7" w:rsidRPr="00D9348B" w:rsidRDefault="00F849A7" w:rsidP="00DB330E">
            <w:pPr>
              <w:pStyle w:val="TableText"/>
              <w:spacing w:before="40" w:after="50"/>
              <w:jc w:val="center"/>
              <w:rPr>
                <w:rFonts w:cs="Calibri"/>
                <w:szCs w:val="16"/>
              </w:rPr>
            </w:pPr>
            <w:r w:rsidRPr="00D9348B">
              <w:rPr>
                <w:rFonts w:cs="Calibri"/>
                <w:szCs w:val="16"/>
              </w:rPr>
              <w:t>28.66</w:t>
            </w:r>
          </w:p>
        </w:tc>
      </w:tr>
      <w:tr w:rsidR="00F849A7" w:rsidRPr="00D9348B" w14:paraId="1ADF9956" w14:textId="77777777" w:rsidTr="0004051F">
        <w:tc>
          <w:tcPr>
            <w:tcW w:w="1351" w:type="dxa"/>
            <w:tcBorders>
              <w:top w:val="single" w:sz="4" w:space="0" w:color="365F91"/>
              <w:bottom w:val="single" w:sz="4" w:space="0" w:color="365F91"/>
            </w:tcBorders>
            <w:noWrap/>
          </w:tcPr>
          <w:p w14:paraId="11C70B5C" w14:textId="77777777" w:rsidR="00F849A7" w:rsidRPr="00D9348B" w:rsidRDefault="00F849A7" w:rsidP="00DB330E">
            <w:pPr>
              <w:pStyle w:val="TableText"/>
              <w:spacing w:before="40" w:after="50"/>
              <w:rPr>
                <w:rFonts w:cs="Calibri"/>
                <w:szCs w:val="16"/>
              </w:rPr>
            </w:pPr>
            <w:r w:rsidRPr="00D9348B">
              <w:rPr>
                <w:rFonts w:cs="Calibri"/>
                <w:szCs w:val="16"/>
              </w:rPr>
              <w:t>1994</w:t>
            </w:r>
          </w:p>
        </w:tc>
        <w:tc>
          <w:tcPr>
            <w:tcW w:w="1791" w:type="dxa"/>
            <w:tcBorders>
              <w:top w:val="single" w:sz="4" w:space="0" w:color="365F91"/>
              <w:bottom w:val="single" w:sz="4" w:space="0" w:color="365F91"/>
            </w:tcBorders>
            <w:shd w:val="clear" w:color="auto" w:fill="auto"/>
            <w:noWrap/>
          </w:tcPr>
          <w:p w14:paraId="1C0B8BB6" w14:textId="77777777" w:rsidR="00F849A7" w:rsidRPr="00D9348B" w:rsidRDefault="00F849A7" w:rsidP="00DB330E">
            <w:pPr>
              <w:pStyle w:val="TableText"/>
              <w:spacing w:before="40" w:after="50"/>
              <w:jc w:val="center"/>
              <w:rPr>
                <w:rFonts w:cs="Calibri"/>
                <w:szCs w:val="16"/>
              </w:rPr>
            </w:pPr>
            <w:r w:rsidRPr="00D9348B">
              <w:rPr>
                <w:rFonts w:cs="Calibri"/>
                <w:szCs w:val="16"/>
              </w:rPr>
              <w:t>107.8</w:t>
            </w:r>
          </w:p>
        </w:tc>
        <w:tc>
          <w:tcPr>
            <w:tcW w:w="1791" w:type="dxa"/>
            <w:tcBorders>
              <w:top w:val="single" w:sz="4" w:space="0" w:color="365F91"/>
              <w:bottom w:val="single" w:sz="4" w:space="0" w:color="365F91"/>
            </w:tcBorders>
            <w:shd w:val="clear" w:color="auto" w:fill="auto"/>
            <w:noWrap/>
          </w:tcPr>
          <w:p w14:paraId="01FB7CF1" w14:textId="77777777" w:rsidR="00F849A7" w:rsidRPr="00D9348B" w:rsidRDefault="00F849A7" w:rsidP="00DB330E">
            <w:pPr>
              <w:pStyle w:val="TableText"/>
              <w:spacing w:before="40" w:after="50"/>
              <w:jc w:val="center"/>
              <w:rPr>
                <w:rFonts w:cs="Calibri"/>
                <w:szCs w:val="16"/>
              </w:rPr>
            </w:pPr>
            <w:r w:rsidRPr="00D9348B">
              <w:rPr>
                <w:rFonts w:cs="Calibri"/>
                <w:szCs w:val="16"/>
              </w:rPr>
              <w:t>69.14</w:t>
            </w:r>
          </w:p>
        </w:tc>
        <w:tc>
          <w:tcPr>
            <w:tcW w:w="1807" w:type="dxa"/>
            <w:tcBorders>
              <w:top w:val="single" w:sz="4" w:space="0" w:color="365F91"/>
              <w:bottom w:val="single" w:sz="4" w:space="0" w:color="365F91"/>
            </w:tcBorders>
            <w:shd w:val="clear" w:color="auto" w:fill="auto"/>
            <w:noWrap/>
          </w:tcPr>
          <w:p w14:paraId="27F4E964" w14:textId="77777777" w:rsidR="00F849A7" w:rsidRPr="00D9348B" w:rsidRDefault="00F849A7" w:rsidP="00DB330E">
            <w:pPr>
              <w:pStyle w:val="TableText"/>
              <w:spacing w:before="40" w:after="50"/>
              <w:jc w:val="center"/>
              <w:rPr>
                <w:rFonts w:cs="Calibri"/>
                <w:szCs w:val="16"/>
              </w:rPr>
            </w:pPr>
            <w:r w:rsidRPr="00D9348B">
              <w:rPr>
                <w:rFonts w:cs="Calibri"/>
                <w:szCs w:val="16"/>
              </w:rPr>
              <w:t>13.82</w:t>
            </w:r>
          </w:p>
        </w:tc>
        <w:tc>
          <w:tcPr>
            <w:tcW w:w="1765" w:type="dxa"/>
            <w:tcBorders>
              <w:top w:val="single" w:sz="4" w:space="0" w:color="365F91"/>
              <w:bottom w:val="single" w:sz="4" w:space="0" w:color="365F91"/>
            </w:tcBorders>
            <w:shd w:val="clear" w:color="auto" w:fill="auto"/>
            <w:noWrap/>
          </w:tcPr>
          <w:p w14:paraId="79AA71E0" w14:textId="77777777" w:rsidR="00F849A7" w:rsidRPr="00D9348B" w:rsidRDefault="00F849A7" w:rsidP="00DB330E">
            <w:pPr>
              <w:pStyle w:val="TableText"/>
              <w:spacing w:before="40" w:after="50"/>
              <w:jc w:val="center"/>
              <w:rPr>
                <w:rFonts w:cs="Calibri"/>
                <w:szCs w:val="16"/>
              </w:rPr>
            </w:pPr>
            <w:r w:rsidRPr="00D9348B">
              <w:rPr>
                <w:rFonts w:cs="Calibri"/>
                <w:szCs w:val="16"/>
              </w:rPr>
              <w:t>27.98</w:t>
            </w:r>
          </w:p>
        </w:tc>
      </w:tr>
      <w:tr w:rsidR="00F849A7" w:rsidRPr="00D9348B" w14:paraId="701F7CCA" w14:textId="77777777" w:rsidTr="0004051F">
        <w:tc>
          <w:tcPr>
            <w:tcW w:w="1351" w:type="dxa"/>
            <w:tcBorders>
              <w:top w:val="single" w:sz="4" w:space="0" w:color="365F91"/>
              <w:bottom w:val="single" w:sz="4" w:space="0" w:color="365F91"/>
            </w:tcBorders>
            <w:noWrap/>
          </w:tcPr>
          <w:p w14:paraId="0F0A2E92" w14:textId="77777777" w:rsidR="00F849A7" w:rsidRPr="00D9348B" w:rsidRDefault="00F849A7" w:rsidP="00DB330E">
            <w:pPr>
              <w:pStyle w:val="TableText"/>
              <w:spacing w:before="40" w:after="50"/>
              <w:rPr>
                <w:rFonts w:cs="Calibri"/>
                <w:szCs w:val="16"/>
              </w:rPr>
            </w:pPr>
            <w:r w:rsidRPr="00D9348B">
              <w:rPr>
                <w:rFonts w:cs="Calibri"/>
                <w:szCs w:val="16"/>
              </w:rPr>
              <w:t>1995</w:t>
            </w:r>
          </w:p>
        </w:tc>
        <w:tc>
          <w:tcPr>
            <w:tcW w:w="1791" w:type="dxa"/>
            <w:tcBorders>
              <w:top w:val="single" w:sz="4" w:space="0" w:color="365F91"/>
              <w:bottom w:val="single" w:sz="4" w:space="0" w:color="365F91"/>
            </w:tcBorders>
            <w:shd w:val="clear" w:color="auto" w:fill="auto"/>
            <w:noWrap/>
          </w:tcPr>
          <w:p w14:paraId="14A93E9B" w14:textId="77777777" w:rsidR="00F849A7" w:rsidRPr="00D9348B" w:rsidRDefault="00F849A7" w:rsidP="00DB330E">
            <w:pPr>
              <w:pStyle w:val="TableText"/>
              <w:spacing w:before="40" w:after="50"/>
              <w:jc w:val="center"/>
              <w:rPr>
                <w:rFonts w:cs="Calibri"/>
                <w:szCs w:val="16"/>
              </w:rPr>
            </w:pPr>
            <w:r w:rsidRPr="00D9348B">
              <w:rPr>
                <w:rFonts w:cs="Calibri"/>
                <w:szCs w:val="16"/>
              </w:rPr>
              <w:t>107.4</w:t>
            </w:r>
          </w:p>
        </w:tc>
        <w:tc>
          <w:tcPr>
            <w:tcW w:w="1791" w:type="dxa"/>
            <w:tcBorders>
              <w:top w:val="single" w:sz="4" w:space="0" w:color="365F91"/>
              <w:bottom w:val="single" w:sz="4" w:space="0" w:color="365F91"/>
            </w:tcBorders>
            <w:shd w:val="clear" w:color="auto" w:fill="auto"/>
            <w:noWrap/>
          </w:tcPr>
          <w:p w14:paraId="3BD37030" w14:textId="77777777" w:rsidR="00F849A7" w:rsidRPr="00D9348B" w:rsidRDefault="00F849A7" w:rsidP="00DB330E">
            <w:pPr>
              <w:pStyle w:val="TableText"/>
              <w:spacing w:before="40" w:after="50"/>
              <w:jc w:val="center"/>
              <w:rPr>
                <w:rFonts w:cs="Calibri"/>
                <w:szCs w:val="16"/>
              </w:rPr>
            </w:pPr>
            <w:r w:rsidRPr="00D9348B">
              <w:rPr>
                <w:rFonts w:cs="Calibri"/>
                <w:szCs w:val="16"/>
              </w:rPr>
              <w:t>68.47</w:t>
            </w:r>
          </w:p>
        </w:tc>
        <w:tc>
          <w:tcPr>
            <w:tcW w:w="1807" w:type="dxa"/>
            <w:tcBorders>
              <w:top w:val="single" w:sz="4" w:space="0" w:color="365F91"/>
              <w:bottom w:val="single" w:sz="4" w:space="0" w:color="365F91"/>
            </w:tcBorders>
            <w:shd w:val="clear" w:color="auto" w:fill="auto"/>
            <w:noWrap/>
          </w:tcPr>
          <w:p w14:paraId="3983BDE6" w14:textId="77777777" w:rsidR="00F849A7" w:rsidRPr="00D9348B" w:rsidRDefault="00F849A7" w:rsidP="00DB330E">
            <w:pPr>
              <w:pStyle w:val="TableText"/>
              <w:spacing w:before="40" w:after="50"/>
              <w:jc w:val="center"/>
              <w:rPr>
                <w:rFonts w:cs="Calibri"/>
                <w:szCs w:val="16"/>
              </w:rPr>
            </w:pPr>
            <w:r w:rsidRPr="00D9348B">
              <w:rPr>
                <w:rFonts w:cs="Calibri"/>
                <w:szCs w:val="16"/>
              </w:rPr>
              <w:t>13.67</w:t>
            </w:r>
          </w:p>
        </w:tc>
        <w:tc>
          <w:tcPr>
            <w:tcW w:w="1765" w:type="dxa"/>
            <w:tcBorders>
              <w:top w:val="single" w:sz="4" w:space="0" w:color="365F91"/>
              <w:bottom w:val="single" w:sz="4" w:space="0" w:color="365F91"/>
            </w:tcBorders>
            <w:shd w:val="clear" w:color="auto" w:fill="auto"/>
            <w:noWrap/>
          </w:tcPr>
          <w:p w14:paraId="0E18FFF1" w14:textId="77777777" w:rsidR="00F849A7" w:rsidRPr="00D9348B" w:rsidRDefault="00F849A7" w:rsidP="00DB330E">
            <w:pPr>
              <w:pStyle w:val="TableText"/>
              <w:spacing w:before="40" w:after="50"/>
              <w:jc w:val="center"/>
              <w:rPr>
                <w:rFonts w:cs="Calibri"/>
                <w:szCs w:val="16"/>
              </w:rPr>
            </w:pPr>
            <w:r w:rsidRPr="00D9348B">
              <w:rPr>
                <w:rFonts w:cs="Calibri"/>
                <w:szCs w:val="16"/>
              </w:rPr>
              <w:t>29.17</w:t>
            </w:r>
          </w:p>
        </w:tc>
      </w:tr>
      <w:tr w:rsidR="00F849A7" w:rsidRPr="00D9348B" w14:paraId="0E5BB2E2" w14:textId="77777777" w:rsidTr="0004051F">
        <w:tc>
          <w:tcPr>
            <w:tcW w:w="1351" w:type="dxa"/>
            <w:tcBorders>
              <w:top w:val="single" w:sz="4" w:space="0" w:color="365F91"/>
              <w:bottom w:val="single" w:sz="4" w:space="0" w:color="365F91"/>
            </w:tcBorders>
            <w:noWrap/>
          </w:tcPr>
          <w:p w14:paraId="03035316" w14:textId="77777777" w:rsidR="00F849A7" w:rsidRPr="00D9348B" w:rsidRDefault="00F849A7" w:rsidP="00DB330E">
            <w:pPr>
              <w:pStyle w:val="TableText"/>
              <w:spacing w:before="40" w:after="50"/>
              <w:rPr>
                <w:rFonts w:cs="Calibri"/>
                <w:szCs w:val="16"/>
              </w:rPr>
            </w:pPr>
            <w:r w:rsidRPr="00D9348B">
              <w:rPr>
                <w:rFonts w:cs="Calibri"/>
                <w:szCs w:val="16"/>
              </w:rPr>
              <w:t>1996</w:t>
            </w:r>
          </w:p>
        </w:tc>
        <w:tc>
          <w:tcPr>
            <w:tcW w:w="1791" w:type="dxa"/>
            <w:tcBorders>
              <w:top w:val="single" w:sz="4" w:space="0" w:color="365F91"/>
              <w:bottom w:val="single" w:sz="4" w:space="0" w:color="365F91"/>
            </w:tcBorders>
            <w:shd w:val="clear" w:color="auto" w:fill="auto"/>
            <w:noWrap/>
          </w:tcPr>
          <w:p w14:paraId="319736A7" w14:textId="77777777" w:rsidR="00F849A7" w:rsidRPr="00D9348B" w:rsidRDefault="00F849A7" w:rsidP="00DB330E">
            <w:pPr>
              <w:pStyle w:val="TableText"/>
              <w:spacing w:before="40" w:after="50"/>
              <w:jc w:val="center"/>
              <w:rPr>
                <w:rFonts w:cs="Calibri"/>
                <w:szCs w:val="16"/>
              </w:rPr>
            </w:pPr>
            <w:r w:rsidRPr="00D9348B">
              <w:rPr>
                <w:rFonts w:cs="Calibri"/>
                <w:szCs w:val="16"/>
              </w:rPr>
              <w:t>110.5</w:t>
            </w:r>
          </w:p>
        </w:tc>
        <w:tc>
          <w:tcPr>
            <w:tcW w:w="1791" w:type="dxa"/>
            <w:tcBorders>
              <w:top w:val="single" w:sz="4" w:space="0" w:color="365F91"/>
              <w:bottom w:val="single" w:sz="4" w:space="0" w:color="365F91"/>
            </w:tcBorders>
            <w:shd w:val="clear" w:color="auto" w:fill="auto"/>
            <w:noWrap/>
          </w:tcPr>
          <w:p w14:paraId="11187F56" w14:textId="77777777" w:rsidR="00F849A7" w:rsidRPr="00D9348B" w:rsidRDefault="00F849A7" w:rsidP="00DB330E">
            <w:pPr>
              <w:pStyle w:val="TableText"/>
              <w:spacing w:before="40" w:after="50"/>
              <w:jc w:val="center"/>
              <w:rPr>
                <w:rFonts w:cs="Calibri"/>
                <w:szCs w:val="16"/>
              </w:rPr>
            </w:pPr>
            <w:r w:rsidRPr="00D9348B">
              <w:rPr>
                <w:rFonts w:cs="Calibri"/>
                <w:szCs w:val="16"/>
              </w:rPr>
              <w:t>70.98</w:t>
            </w:r>
          </w:p>
        </w:tc>
        <w:tc>
          <w:tcPr>
            <w:tcW w:w="1807" w:type="dxa"/>
            <w:tcBorders>
              <w:top w:val="single" w:sz="4" w:space="0" w:color="365F91"/>
              <w:bottom w:val="single" w:sz="4" w:space="0" w:color="365F91"/>
            </w:tcBorders>
            <w:shd w:val="clear" w:color="auto" w:fill="auto"/>
            <w:noWrap/>
          </w:tcPr>
          <w:p w14:paraId="73D9C87A" w14:textId="77777777" w:rsidR="00F849A7" w:rsidRPr="00D9348B" w:rsidRDefault="00F849A7" w:rsidP="00DB330E">
            <w:pPr>
              <w:pStyle w:val="TableText"/>
              <w:spacing w:before="40" w:after="50"/>
              <w:jc w:val="center"/>
              <w:rPr>
                <w:rFonts w:cs="Calibri"/>
                <w:szCs w:val="16"/>
              </w:rPr>
            </w:pPr>
            <w:r w:rsidRPr="00D9348B">
              <w:rPr>
                <w:rFonts w:cs="Calibri"/>
                <w:szCs w:val="16"/>
              </w:rPr>
              <w:t>14.19</w:t>
            </w:r>
          </w:p>
        </w:tc>
        <w:tc>
          <w:tcPr>
            <w:tcW w:w="1765" w:type="dxa"/>
            <w:tcBorders>
              <w:top w:val="single" w:sz="4" w:space="0" w:color="365F91"/>
              <w:bottom w:val="single" w:sz="4" w:space="0" w:color="365F91"/>
            </w:tcBorders>
            <w:shd w:val="clear" w:color="auto" w:fill="auto"/>
            <w:noWrap/>
          </w:tcPr>
          <w:p w14:paraId="04ECE00B" w14:textId="77777777" w:rsidR="00F849A7" w:rsidRPr="00D9348B" w:rsidRDefault="00F849A7" w:rsidP="00DB330E">
            <w:pPr>
              <w:pStyle w:val="TableText"/>
              <w:spacing w:before="40" w:after="50"/>
              <w:jc w:val="center"/>
              <w:rPr>
                <w:rFonts w:cs="Calibri"/>
                <w:szCs w:val="16"/>
              </w:rPr>
            </w:pPr>
            <w:r w:rsidRPr="00D9348B">
              <w:rPr>
                <w:rFonts w:cs="Calibri"/>
                <w:szCs w:val="16"/>
              </w:rPr>
              <w:t>29.39</w:t>
            </w:r>
          </w:p>
        </w:tc>
      </w:tr>
      <w:tr w:rsidR="00F849A7" w:rsidRPr="00D9348B" w14:paraId="1581B7AD" w14:textId="77777777" w:rsidTr="0004051F">
        <w:tc>
          <w:tcPr>
            <w:tcW w:w="1351" w:type="dxa"/>
            <w:tcBorders>
              <w:top w:val="single" w:sz="4" w:space="0" w:color="365F91"/>
              <w:bottom w:val="single" w:sz="4" w:space="0" w:color="365F91"/>
            </w:tcBorders>
            <w:noWrap/>
          </w:tcPr>
          <w:p w14:paraId="6EEA3402" w14:textId="77777777" w:rsidR="00F849A7" w:rsidRPr="00D9348B" w:rsidRDefault="00F849A7" w:rsidP="00DB330E">
            <w:pPr>
              <w:pStyle w:val="TableText"/>
              <w:spacing w:before="40" w:after="50"/>
              <w:rPr>
                <w:rFonts w:cs="Calibri"/>
                <w:szCs w:val="16"/>
              </w:rPr>
            </w:pPr>
            <w:r w:rsidRPr="00D9348B">
              <w:rPr>
                <w:rFonts w:cs="Calibri"/>
                <w:szCs w:val="16"/>
              </w:rPr>
              <w:t>1997</w:t>
            </w:r>
          </w:p>
        </w:tc>
        <w:tc>
          <w:tcPr>
            <w:tcW w:w="1791" w:type="dxa"/>
            <w:tcBorders>
              <w:top w:val="single" w:sz="4" w:space="0" w:color="365F91"/>
              <w:bottom w:val="single" w:sz="4" w:space="0" w:color="365F91"/>
            </w:tcBorders>
            <w:shd w:val="clear" w:color="auto" w:fill="auto"/>
            <w:noWrap/>
          </w:tcPr>
          <w:p w14:paraId="29DA1B80" w14:textId="77777777" w:rsidR="00F849A7" w:rsidRPr="00D9348B" w:rsidRDefault="00F849A7" w:rsidP="00DB330E">
            <w:pPr>
              <w:pStyle w:val="TableText"/>
              <w:spacing w:before="40" w:after="50"/>
              <w:jc w:val="center"/>
              <w:rPr>
                <w:rFonts w:cs="Calibri"/>
                <w:szCs w:val="16"/>
              </w:rPr>
            </w:pPr>
            <w:r w:rsidRPr="00D9348B">
              <w:rPr>
                <w:rFonts w:cs="Calibri"/>
                <w:szCs w:val="16"/>
              </w:rPr>
              <w:t>111.5</w:t>
            </w:r>
          </w:p>
        </w:tc>
        <w:tc>
          <w:tcPr>
            <w:tcW w:w="1791" w:type="dxa"/>
            <w:tcBorders>
              <w:top w:val="single" w:sz="4" w:space="0" w:color="365F91"/>
              <w:bottom w:val="single" w:sz="4" w:space="0" w:color="365F91"/>
            </w:tcBorders>
            <w:shd w:val="clear" w:color="auto" w:fill="auto"/>
            <w:noWrap/>
          </w:tcPr>
          <w:p w14:paraId="2F5DD132" w14:textId="77777777" w:rsidR="00F849A7" w:rsidRPr="00D9348B" w:rsidRDefault="00F849A7" w:rsidP="00DB330E">
            <w:pPr>
              <w:pStyle w:val="TableText"/>
              <w:spacing w:before="40" w:after="50"/>
              <w:jc w:val="center"/>
              <w:rPr>
                <w:rFonts w:cs="Calibri"/>
                <w:szCs w:val="16"/>
              </w:rPr>
            </w:pPr>
            <w:r w:rsidRPr="00D9348B">
              <w:rPr>
                <w:rFonts w:cs="Calibri"/>
                <w:szCs w:val="16"/>
              </w:rPr>
              <w:t>72.27</w:t>
            </w:r>
          </w:p>
        </w:tc>
        <w:tc>
          <w:tcPr>
            <w:tcW w:w="1807" w:type="dxa"/>
            <w:tcBorders>
              <w:top w:val="single" w:sz="4" w:space="0" w:color="365F91"/>
              <w:bottom w:val="single" w:sz="4" w:space="0" w:color="365F91"/>
            </w:tcBorders>
            <w:shd w:val="clear" w:color="auto" w:fill="auto"/>
            <w:noWrap/>
          </w:tcPr>
          <w:p w14:paraId="3D2F40E2" w14:textId="77777777" w:rsidR="00F849A7" w:rsidRPr="00D9348B" w:rsidRDefault="00F849A7" w:rsidP="00DB330E">
            <w:pPr>
              <w:pStyle w:val="TableText"/>
              <w:spacing w:before="40" w:after="50"/>
              <w:jc w:val="center"/>
              <w:rPr>
                <w:rFonts w:cs="Calibri"/>
                <w:szCs w:val="16"/>
              </w:rPr>
            </w:pPr>
            <w:r w:rsidRPr="00D9348B">
              <w:rPr>
                <w:rFonts w:cs="Calibri"/>
                <w:szCs w:val="16"/>
              </w:rPr>
              <w:t>14.83</w:t>
            </w:r>
          </w:p>
        </w:tc>
        <w:tc>
          <w:tcPr>
            <w:tcW w:w="1765" w:type="dxa"/>
            <w:tcBorders>
              <w:top w:val="single" w:sz="4" w:space="0" w:color="365F91"/>
              <w:bottom w:val="single" w:sz="4" w:space="0" w:color="365F91"/>
            </w:tcBorders>
            <w:shd w:val="clear" w:color="auto" w:fill="auto"/>
            <w:noWrap/>
          </w:tcPr>
          <w:p w14:paraId="58D8F026" w14:textId="77777777" w:rsidR="00F849A7" w:rsidRPr="00D9348B" w:rsidRDefault="00F849A7" w:rsidP="00DB330E">
            <w:pPr>
              <w:pStyle w:val="TableText"/>
              <w:spacing w:before="40" w:after="50"/>
              <w:jc w:val="center"/>
              <w:rPr>
                <w:rFonts w:cs="Calibri"/>
                <w:szCs w:val="16"/>
              </w:rPr>
            </w:pPr>
            <w:r w:rsidRPr="00D9348B">
              <w:rPr>
                <w:rFonts w:cs="Calibri"/>
                <w:szCs w:val="16"/>
              </w:rPr>
              <w:t>29.66</w:t>
            </w:r>
          </w:p>
        </w:tc>
      </w:tr>
      <w:tr w:rsidR="00F849A7" w:rsidRPr="00D9348B" w14:paraId="2B61A32D" w14:textId="77777777" w:rsidTr="0004051F">
        <w:tc>
          <w:tcPr>
            <w:tcW w:w="1351" w:type="dxa"/>
            <w:tcBorders>
              <w:top w:val="single" w:sz="4" w:space="0" w:color="365F91"/>
              <w:bottom w:val="single" w:sz="4" w:space="0" w:color="365F91"/>
            </w:tcBorders>
            <w:noWrap/>
          </w:tcPr>
          <w:p w14:paraId="2C702178" w14:textId="77777777" w:rsidR="00F849A7" w:rsidRPr="00D9348B" w:rsidRDefault="00F849A7" w:rsidP="00DB330E">
            <w:pPr>
              <w:pStyle w:val="TableText"/>
              <w:spacing w:before="40" w:after="50"/>
              <w:rPr>
                <w:rFonts w:cs="Calibri"/>
                <w:szCs w:val="16"/>
              </w:rPr>
            </w:pPr>
            <w:r w:rsidRPr="00D9348B">
              <w:rPr>
                <w:rFonts w:cs="Calibri"/>
                <w:szCs w:val="16"/>
              </w:rPr>
              <w:t>1998</w:t>
            </w:r>
          </w:p>
        </w:tc>
        <w:tc>
          <w:tcPr>
            <w:tcW w:w="1791" w:type="dxa"/>
            <w:tcBorders>
              <w:top w:val="single" w:sz="4" w:space="0" w:color="365F91"/>
              <w:bottom w:val="single" w:sz="4" w:space="0" w:color="365F91"/>
            </w:tcBorders>
            <w:noWrap/>
          </w:tcPr>
          <w:p w14:paraId="64C0C638" w14:textId="77777777" w:rsidR="00F849A7" w:rsidRPr="00D9348B" w:rsidRDefault="00F849A7" w:rsidP="00DB330E">
            <w:pPr>
              <w:pStyle w:val="TableText"/>
              <w:spacing w:before="40" w:after="50"/>
              <w:jc w:val="center"/>
              <w:rPr>
                <w:rFonts w:cs="Calibri"/>
                <w:szCs w:val="16"/>
              </w:rPr>
            </w:pPr>
            <w:r w:rsidRPr="00D9348B">
              <w:rPr>
                <w:rFonts w:cs="Calibri"/>
                <w:szCs w:val="16"/>
              </w:rPr>
              <w:t>108.9</w:t>
            </w:r>
          </w:p>
        </w:tc>
        <w:tc>
          <w:tcPr>
            <w:tcW w:w="1791" w:type="dxa"/>
            <w:tcBorders>
              <w:top w:val="single" w:sz="4" w:space="0" w:color="365F91"/>
              <w:bottom w:val="single" w:sz="4" w:space="0" w:color="365F91"/>
            </w:tcBorders>
            <w:noWrap/>
          </w:tcPr>
          <w:p w14:paraId="52813313" w14:textId="77777777" w:rsidR="00F849A7" w:rsidRPr="00D9348B" w:rsidRDefault="00F849A7" w:rsidP="00DB330E">
            <w:pPr>
              <w:pStyle w:val="TableText"/>
              <w:spacing w:before="40" w:after="50"/>
              <w:jc w:val="center"/>
              <w:rPr>
                <w:rFonts w:cs="Calibri"/>
                <w:szCs w:val="16"/>
              </w:rPr>
            </w:pPr>
            <w:r w:rsidRPr="00D9348B">
              <w:rPr>
                <w:rFonts w:cs="Calibri"/>
                <w:szCs w:val="16"/>
              </w:rPr>
              <w:t>72.36</w:t>
            </w:r>
          </w:p>
        </w:tc>
        <w:tc>
          <w:tcPr>
            <w:tcW w:w="1807" w:type="dxa"/>
            <w:tcBorders>
              <w:top w:val="single" w:sz="4" w:space="0" w:color="365F91"/>
              <w:bottom w:val="single" w:sz="4" w:space="0" w:color="365F91"/>
            </w:tcBorders>
            <w:noWrap/>
          </w:tcPr>
          <w:p w14:paraId="41914CD9" w14:textId="77777777" w:rsidR="00F849A7" w:rsidRPr="00D9348B" w:rsidRDefault="00F849A7" w:rsidP="00DB330E">
            <w:pPr>
              <w:pStyle w:val="TableText"/>
              <w:spacing w:before="40" w:after="50"/>
              <w:jc w:val="center"/>
              <w:rPr>
                <w:rFonts w:cs="Calibri"/>
                <w:szCs w:val="16"/>
              </w:rPr>
            </w:pPr>
            <w:r w:rsidRPr="00D9348B">
              <w:rPr>
                <w:rFonts w:cs="Calibri"/>
                <w:szCs w:val="16"/>
              </w:rPr>
              <w:t>14.89</w:t>
            </w:r>
          </w:p>
        </w:tc>
        <w:tc>
          <w:tcPr>
            <w:tcW w:w="1765" w:type="dxa"/>
            <w:tcBorders>
              <w:top w:val="single" w:sz="4" w:space="0" w:color="365F91"/>
              <w:bottom w:val="single" w:sz="4" w:space="0" w:color="365F91"/>
            </w:tcBorders>
            <w:noWrap/>
          </w:tcPr>
          <w:p w14:paraId="7E3DFEB7" w14:textId="77777777" w:rsidR="00F849A7" w:rsidRPr="00D9348B" w:rsidRDefault="00F849A7" w:rsidP="00DB330E">
            <w:pPr>
              <w:pStyle w:val="TableText"/>
              <w:spacing w:before="40" w:after="50"/>
              <w:jc w:val="center"/>
              <w:rPr>
                <w:rFonts w:cs="Calibri"/>
                <w:szCs w:val="16"/>
              </w:rPr>
            </w:pPr>
            <w:r w:rsidRPr="00D9348B">
              <w:rPr>
                <w:rFonts w:cs="Calibri"/>
                <w:szCs w:val="16"/>
              </w:rPr>
              <w:t>29.84</w:t>
            </w:r>
          </w:p>
        </w:tc>
      </w:tr>
      <w:tr w:rsidR="00F849A7" w:rsidRPr="00D9348B" w14:paraId="0CAF4B5E" w14:textId="77777777" w:rsidTr="0004051F">
        <w:tc>
          <w:tcPr>
            <w:tcW w:w="1351" w:type="dxa"/>
            <w:tcBorders>
              <w:top w:val="single" w:sz="4" w:space="0" w:color="365F91"/>
              <w:bottom w:val="single" w:sz="4" w:space="0" w:color="365F91"/>
            </w:tcBorders>
            <w:noWrap/>
          </w:tcPr>
          <w:p w14:paraId="5BBDB004" w14:textId="77777777" w:rsidR="00F849A7" w:rsidRPr="00D9348B" w:rsidRDefault="00F849A7" w:rsidP="00DB330E">
            <w:pPr>
              <w:pStyle w:val="TableText"/>
              <w:spacing w:before="40" w:after="50"/>
              <w:rPr>
                <w:rFonts w:cs="Calibri"/>
                <w:szCs w:val="16"/>
              </w:rPr>
            </w:pPr>
            <w:r w:rsidRPr="00D9348B">
              <w:rPr>
                <w:rFonts w:cs="Calibri"/>
                <w:szCs w:val="16"/>
              </w:rPr>
              <w:t>1999</w:t>
            </w:r>
          </w:p>
        </w:tc>
        <w:tc>
          <w:tcPr>
            <w:tcW w:w="1791" w:type="dxa"/>
            <w:tcBorders>
              <w:top w:val="single" w:sz="4" w:space="0" w:color="365F91"/>
              <w:bottom w:val="single" w:sz="4" w:space="0" w:color="365F91"/>
            </w:tcBorders>
            <w:noWrap/>
          </w:tcPr>
          <w:p w14:paraId="17166BE9" w14:textId="77777777" w:rsidR="00F849A7" w:rsidRPr="00D9348B" w:rsidRDefault="00F849A7" w:rsidP="00DB330E">
            <w:pPr>
              <w:pStyle w:val="TableText"/>
              <w:spacing w:before="40" w:after="50"/>
              <w:jc w:val="center"/>
              <w:rPr>
                <w:rFonts w:cs="Calibri"/>
                <w:szCs w:val="16"/>
              </w:rPr>
            </w:pPr>
            <w:r w:rsidRPr="00D9348B">
              <w:rPr>
                <w:rFonts w:cs="Calibri"/>
                <w:szCs w:val="16"/>
              </w:rPr>
              <w:t>110.9</w:t>
            </w:r>
          </w:p>
        </w:tc>
        <w:tc>
          <w:tcPr>
            <w:tcW w:w="1791" w:type="dxa"/>
            <w:tcBorders>
              <w:top w:val="single" w:sz="4" w:space="0" w:color="365F91"/>
              <w:bottom w:val="single" w:sz="4" w:space="0" w:color="365F91"/>
            </w:tcBorders>
            <w:noWrap/>
          </w:tcPr>
          <w:p w14:paraId="5236970B" w14:textId="77777777" w:rsidR="00F849A7" w:rsidRPr="00D9348B" w:rsidRDefault="00F849A7" w:rsidP="00DB330E">
            <w:pPr>
              <w:pStyle w:val="TableText"/>
              <w:spacing w:before="40" w:after="50"/>
              <w:jc w:val="center"/>
              <w:rPr>
                <w:rFonts w:cs="Calibri"/>
                <w:szCs w:val="16"/>
              </w:rPr>
            </w:pPr>
            <w:r w:rsidRPr="00D9348B">
              <w:rPr>
                <w:rFonts w:cs="Calibri"/>
                <w:szCs w:val="16"/>
              </w:rPr>
              <w:t>70.53</w:t>
            </w:r>
          </w:p>
        </w:tc>
        <w:tc>
          <w:tcPr>
            <w:tcW w:w="1807" w:type="dxa"/>
            <w:tcBorders>
              <w:top w:val="single" w:sz="4" w:space="0" w:color="365F91"/>
              <w:bottom w:val="single" w:sz="4" w:space="0" w:color="365F91"/>
            </w:tcBorders>
            <w:noWrap/>
          </w:tcPr>
          <w:p w14:paraId="134D7331" w14:textId="77777777" w:rsidR="00F849A7" w:rsidRPr="00D9348B" w:rsidRDefault="00F849A7" w:rsidP="00DB330E">
            <w:pPr>
              <w:pStyle w:val="TableText"/>
              <w:spacing w:before="40" w:after="50"/>
              <w:jc w:val="center"/>
              <w:rPr>
                <w:rFonts w:cs="Calibri"/>
                <w:szCs w:val="16"/>
              </w:rPr>
            </w:pPr>
            <w:r w:rsidRPr="00D9348B">
              <w:rPr>
                <w:rFonts w:cs="Calibri"/>
                <w:szCs w:val="16"/>
              </w:rPr>
              <w:t>14.82</w:t>
            </w:r>
          </w:p>
        </w:tc>
        <w:tc>
          <w:tcPr>
            <w:tcW w:w="1765" w:type="dxa"/>
            <w:tcBorders>
              <w:top w:val="single" w:sz="4" w:space="0" w:color="365F91"/>
              <w:bottom w:val="single" w:sz="4" w:space="0" w:color="365F91"/>
            </w:tcBorders>
            <w:noWrap/>
          </w:tcPr>
          <w:p w14:paraId="1D48CB63" w14:textId="77777777" w:rsidR="00F849A7" w:rsidRPr="00D9348B" w:rsidRDefault="00F849A7" w:rsidP="00DB330E">
            <w:pPr>
              <w:pStyle w:val="TableText"/>
              <w:spacing w:before="40" w:after="50"/>
              <w:jc w:val="center"/>
              <w:rPr>
                <w:rFonts w:cs="Calibri"/>
                <w:szCs w:val="16"/>
              </w:rPr>
            </w:pPr>
            <w:r w:rsidRPr="00D9348B">
              <w:rPr>
                <w:rFonts w:cs="Calibri"/>
                <w:szCs w:val="16"/>
              </w:rPr>
              <w:t>30.17</w:t>
            </w:r>
          </w:p>
        </w:tc>
      </w:tr>
      <w:tr w:rsidR="00F849A7" w:rsidRPr="00D9348B" w14:paraId="42AB314E" w14:textId="77777777" w:rsidTr="0004051F">
        <w:tc>
          <w:tcPr>
            <w:tcW w:w="1351" w:type="dxa"/>
            <w:tcBorders>
              <w:top w:val="single" w:sz="4" w:space="0" w:color="365F91"/>
              <w:bottom w:val="single" w:sz="4" w:space="0" w:color="365F91"/>
            </w:tcBorders>
            <w:noWrap/>
          </w:tcPr>
          <w:p w14:paraId="3BEB03AE" w14:textId="77777777" w:rsidR="00F849A7" w:rsidRPr="00D9348B" w:rsidRDefault="00F849A7" w:rsidP="00DB330E">
            <w:pPr>
              <w:pStyle w:val="TableText"/>
              <w:spacing w:before="40" w:after="50"/>
              <w:rPr>
                <w:rFonts w:cs="Calibri"/>
                <w:szCs w:val="16"/>
              </w:rPr>
            </w:pPr>
            <w:r w:rsidRPr="00D9348B">
              <w:rPr>
                <w:rFonts w:cs="Calibri"/>
                <w:szCs w:val="16"/>
              </w:rPr>
              <w:t>2000</w:t>
            </w:r>
          </w:p>
        </w:tc>
        <w:tc>
          <w:tcPr>
            <w:tcW w:w="1791" w:type="dxa"/>
            <w:tcBorders>
              <w:top w:val="single" w:sz="4" w:space="0" w:color="365F91"/>
              <w:bottom w:val="single" w:sz="4" w:space="0" w:color="365F91"/>
            </w:tcBorders>
            <w:noWrap/>
          </w:tcPr>
          <w:p w14:paraId="41F8FC55" w14:textId="77777777" w:rsidR="00F849A7" w:rsidRPr="00D9348B" w:rsidRDefault="00F849A7" w:rsidP="00DB330E">
            <w:pPr>
              <w:pStyle w:val="TableText"/>
              <w:spacing w:before="40" w:after="50"/>
              <w:jc w:val="center"/>
              <w:rPr>
                <w:rFonts w:cs="Calibri"/>
                <w:szCs w:val="16"/>
              </w:rPr>
            </w:pPr>
            <w:r w:rsidRPr="00D9348B">
              <w:rPr>
                <w:rFonts w:cs="Calibri"/>
                <w:szCs w:val="16"/>
              </w:rPr>
              <w:t>112.5</w:t>
            </w:r>
          </w:p>
        </w:tc>
        <w:tc>
          <w:tcPr>
            <w:tcW w:w="1791" w:type="dxa"/>
            <w:tcBorders>
              <w:top w:val="single" w:sz="4" w:space="0" w:color="365F91"/>
              <w:bottom w:val="single" w:sz="4" w:space="0" w:color="365F91"/>
            </w:tcBorders>
            <w:noWrap/>
          </w:tcPr>
          <w:p w14:paraId="07F525B8" w14:textId="77777777" w:rsidR="00F849A7" w:rsidRPr="00D9348B" w:rsidRDefault="00F849A7" w:rsidP="00DB330E">
            <w:pPr>
              <w:pStyle w:val="TableText"/>
              <w:spacing w:before="40" w:after="50"/>
              <w:jc w:val="center"/>
              <w:rPr>
                <w:rFonts w:cs="Calibri"/>
                <w:szCs w:val="16"/>
              </w:rPr>
            </w:pPr>
            <w:r w:rsidRPr="00D9348B">
              <w:rPr>
                <w:rFonts w:cs="Calibri"/>
                <w:szCs w:val="16"/>
              </w:rPr>
              <w:t>73.06</w:t>
            </w:r>
          </w:p>
        </w:tc>
        <w:tc>
          <w:tcPr>
            <w:tcW w:w="1807" w:type="dxa"/>
            <w:tcBorders>
              <w:top w:val="single" w:sz="4" w:space="0" w:color="365F91"/>
              <w:bottom w:val="single" w:sz="4" w:space="0" w:color="365F91"/>
            </w:tcBorders>
            <w:noWrap/>
          </w:tcPr>
          <w:p w14:paraId="62B4B957" w14:textId="77777777" w:rsidR="00F849A7" w:rsidRPr="00D9348B" w:rsidRDefault="00F849A7" w:rsidP="00DB330E">
            <w:pPr>
              <w:pStyle w:val="TableText"/>
              <w:spacing w:before="40" w:after="50"/>
              <w:jc w:val="center"/>
              <w:rPr>
                <w:rFonts w:cs="Calibri"/>
                <w:szCs w:val="16"/>
              </w:rPr>
            </w:pPr>
            <w:r w:rsidRPr="00D9348B">
              <w:rPr>
                <w:rFonts w:cs="Calibri"/>
                <w:szCs w:val="16"/>
              </w:rPr>
              <w:t>15.48</w:t>
            </w:r>
          </w:p>
        </w:tc>
        <w:tc>
          <w:tcPr>
            <w:tcW w:w="1765" w:type="dxa"/>
            <w:tcBorders>
              <w:top w:val="single" w:sz="4" w:space="0" w:color="365F91"/>
              <w:bottom w:val="single" w:sz="4" w:space="0" w:color="365F91"/>
            </w:tcBorders>
            <w:noWrap/>
          </w:tcPr>
          <w:p w14:paraId="4A3732F8" w14:textId="77777777" w:rsidR="00F849A7" w:rsidRPr="00D9348B" w:rsidRDefault="00F849A7" w:rsidP="00DB330E">
            <w:pPr>
              <w:pStyle w:val="TableText"/>
              <w:spacing w:before="40" w:after="50"/>
              <w:jc w:val="center"/>
              <w:rPr>
                <w:rFonts w:cs="Calibri"/>
                <w:szCs w:val="16"/>
              </w:rPr>
            </w:pPr>
            <w:r w:rsidRPr="00D9348B">
              <w:rPr>
                <w:rFonts w:cs="Calibri"/>
                <w:szCs w:val="16"/>
              </w:rPr>
              <w:t>30.77</w:t>
            </w:r>
          </w:p>
        </w:tc>
      </w:tr>
      <w:tr w:rsidR="00F849A7" w:rsidRPr="00D9348B" w14:paraId="37AD7B89" w14:textId="77777777" w:rsidTr="0004051F">
        <w:tc>
          <w:tcPr>
            <w:tcW w:w="1351" w:type="dxa"/>
            <w:tcBorders>
              <w:top w:val="single" w:sz="4" w:space="0" w:color="365F91"/>
              <w:bottom w:val="single" w:sz="4" w:space="0" w:color="365F91"/>
            </w:tcBorders>
            <w:noWrap/>
          </w:tcPr>
          <w:p w14:paraId="3C8F55AD" w14:textId="77777777" w:rsidR="00F849A7" w:rsidRPr="00D9348B" w:rsidRDefault="00F849A7" w:rsidP="00DB330E">
            <w:pPr>
              <w:pStyle w:val="TableText"/>
              <w:spacing w:before="40" w:after="50"/>
              <w:rPr>
                <w:rFonts w:cs="Calibri"/>
                <w:szCs w:val="16"/>
              </w:rPr>
            </w:pPr>
            <w:r w:rsidRPr="00D9348B">
              <w:rPr>
                <w:rFonts w:cs="Calibri"/>
                <w:szCs w:val="16"/>
              </w:rPr>
              <w:t>2001</w:t>
            </w:r>
          </w:p>
        </w:tc>
        <w:tc>
          <w:tcPr>
            <w:tcW w:w="1791" w:type="dxa"/>
            <w:tcBorders>
              <w:top w:val="single" w:sz="4" w:space="0" w:color="365F91"/>
              <w:bottom w:val="single" w:sz="4" w:space="0" w:color="365F91"/>
            </w:tcBorders>
            <w:noWrap/>
          </w:tcPr>
          <w:p w14:paraId="61D6AD9B" w14:textId="77777777" w:rsidR="00F849A7" w:rsidRPr="00D9348B" w:rsidRDefault="00F849A7" w:rsidP="00DB330E">
            <w:pPr>
              <w:pStyle w:val="TableText"/>
              <w:spacing w:before="40" w:after="50"/>
              <w:jc w:val="center"/>
              <w:rPr>
                <w:rFonts w:cs="Calibri"/>
                <w:szCs w:val="16"/>
              </w:rPr>
            </w:pPr>
            <w:r w:rsidRPr="00D9348B">
              <w:rPr>
                <w:rFonts w:cs="Calibri"/>
                <w:szCs w:val="16"/>
              </w:rPr>
              <w:t>113.7</w:t>
            </w:r>
          </w:p>
        </w:tc>
        <w:tc>
          <w:tcPr>
            <w:tcW w:w="1791" w:type="dxa"/>
            <w:tcBorders>
              <w:top w:val="single" w:sz="4" w:space="0" w:color="365F91"/>
              <w:bottom w:val="single" w:sz="4" w:space="0" w:color="365F91"/>
            </w:tcBorders>
            <w:noWrap/>
          </w:tcPr>
          <w:p w14:paraId="03CEF266" w14:textId="77777777" w:rsidR="00F849A7" w:rsidRPr="00D9348B" w:rsidRDefault="00F849A7" w:rsidP="00DB330E">
            <w:pPr>
              <w:pStyle w:val="TableText"/>
              <w:spacing w:before="40" w:after="50"/>
              <w:jc w:val="center"/>
              <w:rPr>
                <w:rFonts w:cs="Calibri"/>
                <w:szCs w:val="16"/>
              </w:rPr>
            </w:pPr>
            <w:r w:rsidRPr="00D9348B">
              <w:rPr>
                <w:rFonts w:cs="Calibri"/>
                <w:szCs w:val="16"/>
              </w:rPr>
              <w:t>74.33</w:t>
            </w:r>
          </w:p>
        </w:tc>
        <w:tc>
          <w:tcPr>
            <w:tcW w:w="1807" w:type="dxa"/>
            <w:tcBorders>
              <w:top w:val="single" w:sz="4" w:space="0" w:color="365F91"/>
              <w:bottom w:val="single" w:sz="4" w:space="0" w:color="365F91"/>
            </w:tcBorders>
            <w:noWrap/>
          </w:tcPr>
          <w:p w14:paraId="3535D36D" w14:textId="77777777" w:rsidR="00F849A7" w:rsidRPr="00D9348B" w:rsidRDefault="00F849A7" w:rsidP="00DB330E">
            <w:pPr>
              <w:pStyle w:val="TableText"/>
              <w:spacing w:before="40" w:after="50"/>
              <w:jc w:val="center"/>
              <w:rPr>
                <w:rFonts w:cs="Calibri"/>
                <w:szCs w:val="16"/>
              </w:rPr>
            </w:pPr>
            <w:r w:rsidRPr="00D9348B">
              <w:rPr>
                <w:rFonts w:cs="Calibri"/>
                <w:szCs w:val="16"/>
              </w:rPr>
              <w:t>15.63</w:t>
            </w:r>
          </w:p>
        </w:tc>
        <w:tc>
          <w:tcPr>
            <w:tcW w:w="1765" w:type="dxa"/>
            <w:tcBorders>
              <w:top w:val="single" w:sz="4" w:space="0" w:color="365F91"/>
              <w:bottom w:val="single" w:sz="4" w:space="0" w:color="365F91"/>
            </w:tcBorders>
            <w:noWrap/>
          </w:tcPr>
          <w:p w14:paraId="6CFCC20E" w14:textId="77777777" w:rsidR="00F849A7" w:rsidRPr="00D9348B" w:rsidRDefault="00F849A7" w:rsidP="00DB330E">
            <w:pPr>
              <w:pStyle w:val="TableText"/>
              <w:spacing w:before="40" w:after="50"/>
              <w:jc w:val="center"/>
              <w:rPr>
                <w:rFonts w:cs="Calibri"/>
                <w:szCs w:val="16"/>
              </w:rPr>
            </w:pPr>
            <w:r w:rsidRPr="00D9348B">
              <w:rPr>
                <w:rFonts w:cs="Calibri"/>
                <w:szCs w:val="16"/>
              </w:rPr>
              <w:t>30.77</w:t>
            </w:r>
          </w:p>
        </w:tc>
      </w:tr>
      <w:tr w:rsidR="00F849A7" w:rsidRPr="00D9348B" w14:paraId="37458937" w14:textId="77777777" w:rsidTr="0004051F">
        <w:tc>
          <w:tcPr>
            <w:tcW w:w="1351" w:type="dxa"/>
            <w:tcBorders>
              <w:top w:val="single" w:sz="4" w:space="0" w:color="365F91"/>
              <w:bottom w:val="single" w:sz="4" w:space="0" w:color="365F91"/>
            </w:tcBorders>
            <w:noWrap/>
          </w:tcPr>
          <w:p w14:paraId="156918B4" w14:textId="77777777" w:rsidR="00F849A7" w:rsidRPr="00D9348B" w:rsidRDefault="00F849A7" w:rsidP="00DB330E">
            <w:pPr>
              <w:pStyle w:val="TableText"/>
              <w:spacing w:before="40" w:after="50"/>
              <w:rPr>
                <w:rFonts w:cs="Calibri"/>
                <w:szCs w:val="16"/>
              </w:rPr>
            </w:pPr>
            <w:r w:rsidRPr="00D9348B">
              <w:rPr>
                <w:rFonts w:cs="Calibri"/>
                <w:szCs w:val="16"/>
              </w:rPr>
              <w:t>2002</w:t>
            </w:r>
          </w:p>
        </w:tc>
        <w:tc>
          <w:tcPr>
            <w:tcW w:w="1791" w:type="dxa"/>
            <w:tcBorders>
              <w:top w:val="single" w:sz="4" w:space="0" w:color="365F91"/>
              <w:bottom w:val="single" w:sz="4" w:space="0" w:color="365F91"/>
            </w:tcBorders>
            <w:noWrap/>
          </w:tcPr>
          <w:p w14:paraId="7BE57460" w14:textId="77777777" w:rsidR="00F849A7" w:rsidRPr="00D9348B" w:rsidRDefault="00F849A7" w:rsidP="00DB330E">
            <w:pPr>
              <w:pStyle w:val="TableText"/>
              <w:spacing w:before="40" w:after="50"/>
              <w:jc w:val="center"/>
              <w:rPr>
                <w:rFonts w:cs="Calibri"/>
                <w:szCs w:val="16"/>
              </w:rPr>
            </w:pPr>
            <w:r w:rsidRPr="00D9348B">
              <w:rPr>
                <w:rFonts w:cs="Calibri"/>
                <w:szCs w:val="16"/>
              </w:rPr>
              <w:t>112.9</w:t>
            </w:r>
          </w:p>
        </w:tc>
        <w:tc>
          <w:tcPr>
            <w:tcW w:w="1791" w:type="dxa"/>
            <w:tcBorders>
              <w:top w:val="single" w:sz="4" w:space="0" w:color="365F91"/>
              <w:bottom w:val="single" w:sz="4" w:space="0" w:color="365F91"/>
            </w:tcBorders>
            <w:noWrap/>
          </w:tcPr>
          <w:p w14:paraId="2CAE6F8D" w14:textId="77777777" w:rsidR="00F849A7" w:rsidRPr="00D9348B" w:rsidRDefault="00F849A7" w:rsidP="00DB330E">
            <w:pPr>
              <w:pStyle w:val="TableText"/>
              <w:spacing w:before="40" w:after="50"/>
              <w:jc w:val="center"/>
              <w:rPr>
                <w:rFonts w:cs="Calibri"/>
                <w:szCs w:val="16"/>
              </w:rPr>
            </w:pPr>
            <w:r w:rsidRPr="00D9348B">
              <w:rPr>
                <w:rFonts w:cs="Calibri"/>
                <w:szCs w:val="16"/>
              </w:rPr>
              <w:t>73.93</w:t>
            </w:r>
          </w:p>
        </w:tc>
        <w:tc>
          <w:tcPr>
            <w:tcW w:w="1807" w:type="dxa"/>
            <w:tcBorders>
              <w:top w:val="single" w:sz="4" w:space="0" w:color="365F91"/>
              <w:bottom w:val="single" w:sz="4" w:space="0" w:color="365F91"/>
            </w:tcBorders>
            <w:noWrap/>
          </w:tcPr>
          <w:p w14:paraId="3AFA449F" w14:textId="77777777" w:rsidR="00F849A7" w:rsidRPr="00D9348B" w:rsidRDefault="00F849A7" w:rsidP="00DB330E">
            <w:pPr>
              <w:pStyle w:val="TableText"/>
              <w:spacing w:before="40" w:after="50"/>
              <w:jc w:val="center"/>
              <w:rPr>
                <w:rFonts w:cs="Calibri"/>
                <w:szCs w:val="16"/>
              </w:rPr>
            </w:pPr>
            <w:r w:rsidRPr="00D9348B">
              <w:rPr>
                <w:rFonts w:cs="Calibri"/>
                <w:szCs w:val="16"/>
              </w:rPr>
              <w:t>15.60</w:t>
            </w:r>
          </w:p>
        </w:tc>
        <w:tc>
          <w:tcPr>
            <w:tcW w:w="1765" w:type="dxa"/>
            <w:tcBorders>
              <w:top w:val="single" w:sz="4" w:space="0" w:color="365F91"/>
              <w:bottom w:val="single" w:sz="4" w:space="0" w:color="365F91"/>
            </w:tcBorders>
            <w:noWrap/>
          </w:tcPr>
          <w:p w14:paraId="2E275DC8" w14:textId="77777777" w:rsidR="00F849A7" w:rsidRPr="00D9348B" w:rsidRDefault="00F849A7" w:rsidP="00DB330E">
            <w:pPr>
              <w:pStyle w:val="TableText"/>
              <w:spacing w:before="40" w:after="50"/>
              <w:jc w:val="center"/>
              <w:rPr>
                <w:rFonts w:cs="Calibri"/>
                <w:szCs w:val="16"/>
              </w:rPr>
            </w:pPr>
            <w:r w:rsidRPr="00D9348B">
              <w:rPr>
                <w:rFonts w:cs="Calibri"/>
                <w:szCs w:val="16"/>
              </w:rPr>
              <w:t>30.86</w:t>
            </w:r>
          </w:p>
        </w:tc>
      </w:tr>
      <w:tr w:rsidR="00F849A7" w:rsidRPr="00D9348B" w14:paraId="04B64DCE" w14:textId="77777777" w:rsidTr="0004051F">
        <w:tc>
          <w:tcPr>
            <w:tcW w:w="1351" w:type="dxa"/>
            <w:tcBorders>
              <w:top w:val="single" w:sz="4" w:space="0" w:color="365F91"/>
              <w:bottom w:val="single" w:sz="4" w:space="0" w:color="365F91"/>
            </w:tcBorders>
            <w:noWrap/>
          </w:tcPr>
          <w:p w14:paraId="01ADC85E" w14:textId="77777777" w:rsidR="00F849A7" w:rsidRPr="00D9348B" w:rsidRDefault="00F849A7" w:rsidP="00DB330E">
            <w:pPr>
              <w:pStyle w:val="TableText"/>
              <w:spacing w:before="40" w:after="50"/>
              <w:rPr>
                <w:rFonts w:cs="Calibri"/>
                <w:szCs w:val="16"/>
              </w:rPr>
            </w:pPr>
            <w:r w:rsidRPr="00D9348B">
              <w:rPr>
                <w:rFonts w:cs="Calibri"/>
                <w:szCs w:val="16"/>
              </w:rPr>
              <w:t>2003</w:t>
            </w:r>
          </w:p>
        </w:tc>
        <w:tc>
          <w:tcPr>
            <w:tcW w:w="1791" w:type="dxa"/>
            <w:tcBorders>
              <w:top w:val="single" w:sz="4" w:space="0" w:color="365F91"/>
              <w:bottom w:val="single" w:sz="4" w:space="0" w:color="365F91"/>
            </w:tcBorders>
            <w:noWrap/>
          </w:tcPr>
          <w:p w14:paraId="02EC7945" w14:textId="77777777" w:rsidR="00F849A7" w:rsidRPr="00D9348B" w:rsidRDefault="00F849A7" w:rsidP="00DB330E">
            <w:pPr>
              <w:pStyle w:val="TableText"/>
              <w:spacing w:before="40" w:after="50"/>
              <w:jc w:val="center"/>
              <w:rPr>
                <w:rFonts w:cs="Calibri"/>
                <w:szCs w:val="16"/>
              </w:rPr>
            </w:pPr>
            <w:r w:rsidRPr="00D9348B">
              <w:rPr>
                <w:rFonts w:cs="Calibri"/>
                <w:szCs w:val="16"/>
              </w:rPr>
              <w:t>117.0</w:t>
            </w:r>
          </w:p>
        </w:tc>
        <w:tc>
          <w:tcPr>
            <w:tcW w:w="1791" w:type="dxa"/>
            <w:tcBorders>
              <w:top w:val="single" w:sz="4" w:space="0" w:color="365F91"/>
              <w:bottom w:val="single" w:sz="4" w:space="0" w:color="365F91"/>
            </w:tcBorders>
            <w:noWrap/>
          </w:tcPr>
          <w:p w14:paraId="44F50B9C" w14:textId="77777777" w:rsidR="00F849A7" w:rsidRPr="00D9348B" w:rsidRDefault="00F849A7" w:rsidP="00DB330E">
            <w:pPr>
              <w:pStyle w:val="TableText"/>
              <w:spacing w:before="40" w:after="50"/>
              <w:jc w:val="center"/>
              <w:rPr>
                <w:rFonts w:cs="Calibri"/>
                <w:szCs w:val="16"/>
              </w:rPr>
            </w:pPr>
            <w:r w:rsidRPr="00D9348B">
              <w:rPr>
                <w:rFonts w:cs="Calibri"/>
                <w:szCs w:val="16"/>
              </w:rPr>
              <w:t>73.48</w:t>
            </w:r>
          </w:p>
        </w:tc>
        <w:tc>
          <w:tcPr>
            <w:tcW w:w="1807" w:type="dxa"/>
            <w:tcBorders>
              <w:top w:val="single" w:sz="4" w:space="0" w:color="365F91"/>
              <w:bottom w:val="single" w:sz="4" w:space="0" w:color="365F91"/>
            </w:tcBorders>
            <w:noWrap/>
          </w:tcPr>
          <w:p w14:paraId="07CB2B59" w14:textId="77777777" w:rsidR="00F849A7" w:rsidRPr="00D9348B" w:rsidRDefault="00F849A7" w:rsidP="00DB330E">
            <w:pPr>
              <w:pStyle w:val="TableText"/>
              <w:spacing w:before="40" w:after="50"/>
              <w:jc w:val="center"/>
              <w:rPr>
                <w:rFonts w:cs="Calibri"/>
                <w:szCs w:val="16"/>
              </w:rPr>
            </w:pPr>
            <w:r w:rsidRPr="00D9348B">
              <w:rPr>
                <w:rFonts w:cs="Calibri"/>
                <w:szCs w:val="16"/>
              </w:rPr>
              <w:t>15.54</w:t>
            </w:r>
          </w:p>
        </w:tc>
        <w:tc>
          <w:tcPr>
            <w:tcW w:w="1765" w:type="dxa"/>
            <w:tcBorders>
              <w:top w:val="single" w:sz="4" w:space="0" w:color="365F91"/>
              <w:bottom w:val="single" w:sz="4" w:space="0" w:color="365F91"/>
            </w:tcBorders>
            <w:noWrap/>
          </w:tcPr>
          <w:p w14:paraId="184AB2B3" w14:textId="77777777" w:rsidR="00F849A7" w:rsidRPr="00D9348B" w:rsidRDefault="00F849A7" w:rsidP="00DB330E">
            <w:pPr>
              <w:pStyle w:val="TableText"/>
              <w:spacing w:before="40" w:after="50"/>
              <w:jc w:val="center"/>
              <w:rPr>
                <w:rFonts w:cs="Calibri"/>
                <w:szCs w:val="16"/>
              </w:rPr>
            </w:pPr>
            <w:r w:rsidRPr="00D9348B">
              <w:rPr>
                <w:rFonts w:cs="Calibri"/>
                <w:szCs w:val="16"/>
              </w:rPr>
              <w:t>30.60</w:t>
            </w:r>
          </w:p>
        </w:tc>
      </w:tr>
      <w:tr w:rsidR="00F849A7" w:rsidRPr="00D9348B" w14:paraId="24BD113D" w14:textId="77777777" w:rsidTr="0004051F">
        <w:tc>
          <w:tcPr>
            <w:tcW w:w="1351" w:type="dxa"/>
            <w:tcBorders>
              <w:top w:val="single" w:sz="4" w:space="0" w:color="365F91"/>
              <w:bottom w:val="single" w:sz="4" w:space="0" w:color="365F91"/>
            </w:tcBorders>
            <w:noWrap/>
          </w:tcPr>
          <w:p w14:paraId="60D383F8" w14:textId="77777777" w:rsidR="00F849A7" w:rsidRPr="00D9348B" w:rsidRDefault="00F849A7" w:rsidP="00DB330E">
            <w:pPr>
              <w:pStyle w:val="TableText"/>
              <w:spacing w:before="40" w:after="50"/>
              <w:rPr>
                <w:rFonts w:cs="Calibri"/>
                <w:szCs w:val="16"/>
              </w:rPr>
            </w:pPr>
            <w:r w:rsidRPr="00D9348B">
              <w:rPr>
                <w:rFonts w:cs="Calibri"/>
                <w:szCs w:val="16"/>
              </w:rPr>
              <w:t>2004</w:t>
            </w:r>
          </w:p>
        </w:tc>
        <w:tc>
          <w:tcPr>
            <w:tcW w:w="1791" w:type="dxa"/>
            <w:tcBorders>
              <w:top w:val="single" w:sz="4" w:space="0" w:color="365F91"/>
              <w:bottom w:val="single" w:sz="4" w:space="0" w:color="365F91"/>
            </w:tcBorders>
            <w:noWrap/>
          </w:tcPr>
          <w:p w14:paraId="2D7A9A69" w14:textId="77777777" w:rsidR="00F849A7" w:rsidRPr="00D9348B" w:rsidRDefault="00F849A7" w:rsidP="00DB330E">
            <w:pPr>
              <w:pStyle w:val="TableText"/>
              <w:spacing w:before="40" w:after="50"/>
              <w:jc w:val="center"/>
              <w:rPr>
                <w:rFonts w:cs="Calibri"/>
                <w:szCs w:val="16"/>
              </w:rPr>
            </w:pPr>
            <w:r w:rsidRPr="00D9348B">
              <w:rPr>
                <w:rFonts w:cs="Calibri"/>
                <w:szCs w:val="16"/>
              </w:rPr>
              <w:t>115.5</w:t>
            </w:r>
          </w:p>
        </w:tc>
        <w:tc>
          <w:tcPr>
            <w:tcW w:w="1791" w:type="dxa"/>
            <w:tcBorders>
              <w:top w:val="single" w:sz="4" w:space="0" w:color="365F91"/>
              <w:bottom w:val="single" w:sz="4" w:space="0" w:color="365F91"/>
            </w:tcBorders>
            <w:noWrap/>
          </w:tcPr>
          <w:p w14:paraId="53827567" w14:textId="77777777" w:rsidR="00F849A7" w:rsidRPr="00D9348B" w:rsidRDefault="00F849A7" w:rsidP="00DB330E">
            <w:pPr>
              <w:pStyle w:val="TableText"/>
              <w:spacing w:before="40" w:after="50"/>
              <w:jc w:val="center"/>
              <w:rPr>
                <w:rFonts w:cs="Calibri"/>
                <w:szCs w:val="16"/>
              </w:rPr>
            </w:pPr>
            <w:r w:rsidRPr="00D9348B">
              <w:rPr>
                <w:rFonts w:cs="Calibri"/>
                <w:szCs w:val="16"/>
              </w:rPr>
              <w:t>74.75</w:t>
            </w:r>
          </w:p>
        </w:tc>
        <w:tc>
          <w:tcPr>
            <w:tcW w:w="1807" w:type="dxa"/>
            <w:tcBorders>
              <w:top w:val="single" w:sz="4" w:space="0" w:color="365F91"/>
              <w:bottom w:val="single" w:sz="4" w:space="0" w:color="365F91"/>
            </w:tcBorders>
            <w:noWrap/>
          </w:tcPr>
          <w:p w14:paraId="4EDEC04A" w14:textId="77777777" w:rsidR="00F849A7" w:rsidRPr="00D9348B" w:rsidRDefault="00F849A7" w:rsidP="00DB330E">
            <w:pPr>
              <w:pStyle w:val="TableText"/>
              <w:spacing w:before="40" w:after="50"/>
              <w:jc w:val="center"/>
              <w:rPr>
                <w:rFonts w:cs="Calibri"/>
                <w:szCs w:val="16"/>
              </w:rPr>
            </w:pPr>
            <w:r w:rsidRPr="00D9348B">
              <w:rPr>
                <w:rFonts w:cs="Calibri"/>
                <w:szCs w:val="16"/>
              </w:rPr>
              <w:t>15.94</w:t>
            </w:r>
          </w:p>
        </w:tc>
        <w:tc>
          <w:tcPr>
            <w:tcW w:w="1765" w:type="dxa"/>
            <w:tcBorders>
              <w:top w:val="single" w:sz="4" w:space="0" w:color="365F91"/>
              <w:bottom w:val="single" w:sz="4" w:space="0" w:color="365F91"/>
            </w:tcBorders>
            <w:noWrap/>
          </w:tcPr>
          <w:p w14:paraId="5283C8D9" w14:textId="77777777" w:rsidR="00F849A7" w:rsidRPr="00D9348B" w:rsidRDefault="00F849A7" w:rsidP="00DB330E">
            <w:pPr>
              <w:pStyle w:val="TableText"/>
              <w:spacing w:before="40" w:after="50"/>
              <w:jc w:val="center"/>
              <w:rPr>
                <w:rFonts w:cs="Calibri"/>
                <w:szCs w:val="16"/>
              </w:rPr>
            </w:pPr>
            <w:r w:rsidRPr="00D9348B">
              <w:rPr>
                <w:rFonts w:cs="Calibri"/>
                <w:szCs w:val="16"/>
              </w:rPr>
              <w:t>30.75</w:t>
            </w:r>
          </w:p>
        </w:tc>
      </w:tr>
      <w:tr w:rsidR="00F849A7" w:rsidRPr="00D9348B" w14:paraId="297E44D3" w14:textId="77777777" w:rsidTr="0004051F">
        <w:tc>
          <w:tcPr>
            <w:tcW w:w="1351" w:type="dxa"/>
            <w:tcBorders>
              <w:top w:val="single" w:sz="4" w:space="0" w:color="365F91"/>
              <w:bottom w:val="single" w:sz="4" w:space="0" w:color="365F91"/>
            </w:tcBorders>
            <w:noWrap/>
          </w:tcPr>
          <w:p w14:paraId="044B13ED" w14:textId="77777777" w:rsidR="00F849A7" w:rsidRPr="00D9348B" w:rsidRDefault="00F849A7" w:rsidP="00DB330E">
            <w:pPr>
              <w:pStyle w:val="TableText"/>
              <w:spacing w:before="40" w:after="50"/>
              <w:rPr>
                <w:rFonts w:cs="Calibri"/>
                <w:szCs w:val="16"/>
              </w:rPr>
            </w:pPr>
            <w:r w:rsidRPr="00D9348B">
              <w:rPr>
                <w:rFonts w:cs="Calibri"/>
                <w:szCs w:val="16"/>
              </w:rPr>
              <w:t>2005</w:t>
            </w:r>
          </w:p>
        </w:tc>
        <w:tc>
          <w:tcPr>
            <w:tcW w:w="1791" w:type="dxa"/>
            <w:tcBorders>
              <w:top w:val="single" w:sz="4" w:space="0" w:color="365F91"/>
              <w:bottom w:val="single" w:sz="4" w:space="0" w:color="365F91"/>
            </w:tcBorders>
            <w:noWrap/>
          </w:tcPr>
          <w:p w14:paraId="4F481881" w14:textId="77777777" w:rsidR="00F849A7" w:rsidRPr="00D9348B" w:rsidRDefault="00F849A7" w:rsidP="00DB330E">
            <w:pPr>
              <w:pStyle w:val="TableText"/>
              <w:spacing w:before="40" w:after="50"/>
              <w:jc w:val="center"/>
              <w:rPr>
                <w:rFonts w:cs="Calibri"/>
                <w:szCs w:val="16"/>
              </w:rPr>
            </w:pPr>
            <w:r w:rsidRPr="00D9348B">
              <w:rPr>
                <w:rFonts w:cs="Calibri"/>
                <w:szCs w:val="16"/>
              </w:rPr>
              <w:t>116.1</w:t>
            </w:r>
          </w:p>
        </w:tc>
        <w:tc>
          <w:tcPr>
            <w:tcW w:w="1791" w:type="dxa"/>
            <w:tcBorders>
              <w:top w:val="single" w:sz="4" w:space="0" w:color="365F91"/>
              <w:bottom w:val="single" w:sz="4" w:space="0" w:color="365F91"/>
            </w:tcBorders>
            <w:noWrap/>
          </w:tcPr>
          <w:p w14:paraId="1BE0E98D" w14:textId="77777777" w:rsidR="00F849A7" w:rsidRPr="00D9348B" w:rsidRDefault="00F849A7" w:rsidP="00DB330E">
            <w:pPr>
              <w:pStyle w:val="TableText"/>
              <w:spacing w:before="40" w:after="50"/>
              <w:jc w:val="center"/>
              <w:rPr>
                <w:rFonts w:cs="Calibri"/>
                <w:szCs w:val="16"/>
              </w:rPr>
            </w:pPr>
            <w:r w:rsidRPr="00D9348B">
              <w:rPr>
                <w:rFonts w:cs="Calibri"/>
                <w:szCs w:val="16"/>
              </w:rPr>
              <w:t>75.67</w:t>
            </w:r>
          </w:p>
        </w:tc>
        <w:tc>
          <w:tcPr>
            <w:tcW w:w="1807" w:type="dxa"/>
            <w:tcBorders>
              <w:top w:val="single" w:sz="4" w:space="0" w:color="365F91"/>
              <w:bottom w:val="single" w:sz="4" w:space="0" w:color="365F91"/>
            </w:tcBorders>
            <w:noWrap/>
          </w:tcPr>
          <w:p w14:paraId="1E6C9427" w14:textId="77777777" w:rsidR="00F849A7" w:rsidRPr="00D9348B" w:rsidRDefault="00F849A7" w:rsidP="00DB330E">
            <w:pPr>
              <w:pStyle w:val="TableText"/>
              <w:spacing w:before="40" w:after="50"/>
              <w:jc w:val="center"/>
              <w:rPr>
                <w:rFonts w:cs="Calibri"/>
                <w:szCs w:val="16"/>
              </w:rPr>
            </w:pPr>
            <w:r w:rsidRPr="00D9348B">
              <w:rPr>
                <w:rFonts w:cs="Calibri"/>
                <w:szCs w:val="16"/>
              </w:rPr>
              <w:t>16.13</w:t>
            </w:r>
          </w:p>
        </w:tc>
        <w:tc>
          <w:tcPr>
            <w:tcW w:w="1765" w:type="dxa"/>
            <w:tcBorders>
              <w:top w:val="single" w:sz="4" w:space="0" w:color="365F91"/>
              <w:bottom w:val="single" w:sz="4" w:space="0" w:color="365F91"/>
            </w:tcBorders>
            <w:noWrap/>
          </w:tcPr>
          <w:p w14:paraId="467C4C0C" w14:textId="77777777" w:rsidR="00F849A7" w:rsidRPr="00D9348B" w:rsidRDefault="00F849A7" w:rsidP="00DB330E">
            <w:pPr>
              <w:pStyle w:val="TableText"/>
              <w:spacing w:before="40" w:after="50"/>
              <w:jc w:val="center"/>
              <w:rPr>
                <w:rFonts w:cs="Calibri"/>
                <w:szCs w:val="16"/>
              </w:rPr>
            </w:pPr>
            <w:r w:rsidRPr="00D9348B">
              <w:rPr>
                <w:rFonts w:cs="Calibri"/>
                <w:szCs w:val="16"/>
              </w:rPr>
              <w:t>30.95</w:t>
            </w:r>
          </w:p>
        </w:tc>
      </w:tr>
      <w:tr w:rsidR="00F849A7" w:rsidRPr="00D9348B" w14:paraId="2B4634A2" w14:textId="77777777" w:rsidTr="0004051F">
        <w:tc>
          <w:tcPr>
            <w:tcW w:w="1351" w:type="dxa"/>
            <w:tcBorders>
              <w:top w:val="single" w:sz="4" w:space="0" w:color="365F91"/>
              <w:bottom w:val="single" w:sz="4" w:space="0" w:color="365F91"/>
            </w:tcBorders>
            <w:noWrap/>
          </w:tcPr>
          <w:p w14:paraId="6C230BAC" w14:textId="77777777" w:rsidR="00F849A7" w:rsidRPr="00D9348B" w:rsidRDefault="00F849A7" w:rsidP="00DB330E">
            <w:pPr>
              <w:pStyle w:val="TableText"/>
              <w:spacing w:before="40" w:after="50"/>
              <w:rPr>
                <w:rFonts w:cs="Calibri"/>
                <w:szCs w:val="16"/>
              </w:rPr>
            </w:pPr>
            <w:r w:rsidRPr="00D9348B">
              <w:rPr>
                <w:rFonts w:cs="Calibri"/>
                <w:szCs w:val="16"/>
              </w:rPr>
              <w:t>2006</w:t>
            </w:r>
          </w:p>
        </w:tc>
        <w:tc>
          <w:tcPr>
            <w:tcW w:w="1791" w:type="dxa"/>
            <w:tcBorders>
              <w:top w:val="single" w:sz="4" w:space="0" w:color="365F91"/>
              <w:bottom w:val="single" w:sz="4" w:space="0" w:color="365F91"/>
            </w:tcBorders>
            <w:noWrap/>
          </w:tcPr>
          <w:p w14:paraId="1783A818" w14:textId="77777777" w:rsidR="00F849A7" w:rsidRPr="00D9348B" w:rsidRDefault="00F849A7" w:rsidP="00DB330E">
            <w:pPr>
              <w:pStyle w:val="TableText"/>
              <w:spacing w:before="40" w:after="50"/>
              <w:jc w:val="center"/>
              <w:rPr>
                <w:rFonts w:cs="Calibri"/>
                <w:szCs w:val="16"/>
              </w:rPr>
            </w:pPr>
            <w:r w:rsidRPr="00D9348B">
              <w:rPr>
                <w:rFonts w:cs="Calibri"/>
                <w:szCs w:val="16"/>
              </w:rPr>
              <w:t>115.3</w:t>
            </w:r>
          </w:p>
        </w:tc>
        <w:tc>
          <w:tcPr>
            <w:tcW w:w="1791" w:type="dxa"/>
            <w:tcBorders>
              <w:top w:val="single" w:sz="4" w:space="0" w:color="365F91"/>
              <w:bottom w:val="single" w:sz="4" w:space="0" w:color="365F91"/>
            </w:tcBorders>
            <w:noWrap/>
          </w:tcPr>
          <w:p w14:paraId="30D455B2" w14:textId="77777777" w:rsidR="00F849A7" w:rsidRPr="00D9348B" w:rsidRDefault="00F849A7" w:rsidP="00DB330E">
            <w:pPr>
              <w:pStyle w:val="TableText"/>
              <w:spacing w:before="40" w:after="50"/>
              <w:jc w:val="center"/>
              <w:rPr>
                <w:rFonts w:cs="Calibri"/>
                <w:szCs w:val="16"/>
              </w:rPr>
            </w:pPr>
            <w:r w:rsidRPr="00D9348B">
              <w:rPr>
                <w:rFonts w:cs="Calibri"/>
                <w:szCs w:val="16"/>
              </w:rPr>
              <w:t>77.16</w:t>
            </w:r>
          </w:p>
        </w:tc>
        <w:tc>
          <w:tcPr>
            <w:tcW w:w="1807" w:type="dxa"/>
            <w:tcBorders>
              <w:top w:val="single" w:sz="4" w:space="0" w:color="365F91"/>
              <w:bottom w:val="single" w:sz="4" w:space="0" w:color="365F91"/>
            </w:tcBorders>
            <w:noWrap/>
          </w:tcPr>
          <w:p w14:paraId="5CE8513F" w14:textId="77777777" w:rsidR="00F849A7" w:rsidRPr="00D9348B" w:rsidRDefault="00F849A7" w:rsidP="00DB330E">
            <w:pPr>
              <w:pStyle w:val="TableText"/>
              <w:spacing w:before="40" w:after="50"/>
              <w:jc w:val="center"/>
              <w:rPr>
                <w:rFonts w:cs="Calibri"/>
                <w:szCs w:val="16"/>
              </w:rPr>
            </w:pPr>
            <w:r w:rsidRPr="00D9348B">
              <w:rPr>
                <w:rFonts w:cs="Calibri"/>
                <w:szCs w:val="16"/>
              </w:rPr>
              <w:t>15.94</w:t>
            </w:r>
          </w:p>
        </w:tc>
        <w:tc>
          <w:tcPr>
            <w:tcW w:w="1765" w:type="dxa"/>
            <w:tcBorders>
              <w:top w:val="single" w:sz="4" w:space="0" w:color="365F91"/>
              <w:bottom w:val="single" w:sz="4" w:space="0" w:color="365F91"/>
            </w:tcBorders>
            <w:noWrap/>
          </w:tcPr>
          <w:p w14:paraId="5781D7F2" w14:textId="77777777" w:rsidR="00F849A7" w:rsidRPr="00D9348B" w:rsidRDefault="00F849A7" w:rsidP="00DB330E">
            <w:pPr>
              <w:pStyle w:val="TableText"/>
              <w:spacing w:before="40" w:after="50"/>
              <w:jc w:val="center"/>
              <w:rPr>
                <w:rFonts w:cs="Calibri"/>
                <w:szCs w:val="16"/>
              </w:rPr>
            </w:pPr>
            <w:r w:rsidRPr="00D9348B">
              <w:rPr>
                <w:rFonts w:cs="Calibri"/>
                <w:szCs w:val="16"/>
              </w:rPr>
              <w:t>31.11</w:t>
            </w:r>
          </w:p>
        </w:tc>
      </w:tr>
      <w:tr w:rsidR="00F849A7" w:rsidRPr="00D9348B" w14:paraId="4A9B1A99" w14:textId="77777777" w:rsidTr="0004051F">
        <w:tc>
          <w:tcPr>
            <w:tcW w:w="1351" w:type="dxa"/>
            <w:tcBorders>
              <w:top w:val="single" w:sz="4" w:space="0" w:color="365F91"/>
              <w:bottom w:val="single" w:sz="4" w:space="0" w:color="365F91"/>
            </w:tcBorders>
            <w:noWrap/>
          </w:tcPr>
          <w:p w14:paraId="3F5DFCE6" w14:textId="77777777" w:rsidR="00F849A7" w:rsidRPr="00D9348B" w:rsidRDefault="00F849A7" w:rsidP="00DB330E">
            <w:pPr>
              <w:pStyle w:val="TableText"/>
              <w:spacing w:before="40" w:after="50"/>
              <w:rPr>
                <w:rFonts w:cs="Calibri"/>
                <w:szCs w:val="16"/>
              </w:rPr>
            </w:pPr>
            <w:r w:rsidRPr="00D9348B">
              <w:rPr>
                <w:rFonts w:cs="Calibri"/>
                <w:szCs w:val="16"/>
              </w:rPr>
              <w:t>2007</w:t>
            </w:r>
          </w:p>
        </w:tc>
        <w:tc>
          <w:tcPr>
            <w:tcW w:w="1791" w:type="dxa"/>
            <w:tcBorders>
              <w:top w:val="single" w:sz="4" w:space="0" w:color="365F91"/>
              <w:bottom w:val="single" w:sz="4" w:space="0" w:color="365F91"/>
            </w:tcBorders>
            <w:noWrap/>
          </w:tcPr>
          <w:p w14:paraId="13BBD96D" w14:textId="77777777" w:rsidR="00F849A7" w:rsidRPr="00D9348B" w:rsidRDefault="00F849A7" w:rsidP="00DB330E">
            <w:pPr>
              <w:pStyle w:val="TableText"/>
              <w:spacing w:before="40" w:after="50"/>
              <w:jc w:val="center"/>
              <w:rPr>
                <w:rFonts w:cs="Calibri"/>
                <w:szCs w:val="16"/>
              </w:rPr>
            </w:pPr>
            <w:r w:rsidRPr="00D9348B">
              <w:rPr>
                <w:rFonts w:cs="Calibri"/>
                <w:szCs w:val="16"/>
              </w:rPr>
              <w:t>114.0</w:t>
            </w:r>
          </w:p>
        </w:tc>
        <w:tc>
          <w:tcPr>
            <w:tcW w:w="1791" w:type="dxa"/>
            <w:tcBorders>
              <w:top w:val="single" w:sz="4" w:space="0" w:color="365F91"/>
              <w:bottom w:val="single" w:sz="4" w:space="0" w:color="365F91"/>
            </w:tcBorders>
            <w:noWrap/>
          </w:tcPr>
          <w:p w14:paraId="2890E438" w14:textId="77777777" w:rsidR="00F849A7" w:rsidRPr="00D9348B" w:rsidRDefault="00F849A7" w:rsidP="00DB330E">
            <w:pPr>
              <w:pStyle w:val="TableText"/>
              <w:spacing w:before="40" w:after="50"/>
              <w:jc w:val="center"/>
              <w:rPr>
                <w:rFonts w:cs="Calibri"/>
                <w:szCs w:val="16"/>
              </w:rPr>
            </w:pPr>
            <w:r w:rsidRPr="00D9348B">
              <w:rPr>
                <w:rFonts w:cs="Calibri"/>
                <w:szCs w:val="16"/>
              </w:rPr>
              <w:t>76.14</w:t>
            </w:r>
          </w:p>
        </w:tc>
        <w:tc>
          <w:tcPr>
            <w:tcW w:w="1807" w:type="dxa"/>
            <w:tcBorders>
              <w:top w:val="single" w:sz="4" w:space="0" w:color="365F91"/>
              <w:bottom w:val="single" w:sz="4" w:space="0" w:color="365F91"/>
            </w:tcBorders>
            <w:noWrap/>
          </w:tcPr>
          <w:p w14:paraId="599005F8" w14:textId="77777777" w:rsidR="00F849A7" w:rsidRPr="00D9348B" w:rsidRDefault="00F849A7" w:rsidP="00DB330E">
            <w:pPr>
              <w:pStyle w:val="TableText"/>
              <w:spacing w:before="40" w:after="50"/>
              <w:jc w:val="center"/>
              <w:rPr>
                <w:rFonts w:cs="Calibri"/>
                <w:szCs w:val="16"/>
              </w:rPr>
            </w:pPr>
            <w:r w:rsidRPr="00D9348B">
              <w:rPr>
                <w:rFonts w:cs="Calibri"/>
                <w:szCs w:val="16"/>
              </w:rPr>
              <w:t>15.73</w:t>
            </w:r>
          </w:p>
        </w:tc>
        <w:tc>
          <w:tcPr>
            <w:tcW w:w="1765" w:type="dxa"/>
            <w:tcBorders>
              <w:top w:val="single" w:sz="4" w:space="0" w:color="365F91"/>
              <w:bottom w:val="single" w:sz="4" w:space="0" w:color="365F91"/>
            </w:tcBorders>
            <w:noWrap/>
          </w:tcPr>
          <w:p w14:paraId="0541DBD5" w14:textId="77777777" w:rsidR="00F849A7" w:rsidRPr="00D9348B" w:rsidRDefault="00F849A7" w:rsidP="00DB330E">
            <w:pPr>
              <w:pStyle w:val="TableText"/>
              <w:spacing w:before="40" w:after="50"/>
              <w:jc w:val="center"/>
              <w:rPr>
                <w:rFonts w:cs="Calibri"/>
                <w:szCs w:val="16"/>
              </w:rPr>
            </w:pPr>
            <w:r w:rsidRPr="00D9348B">
              <w:rPr>
                <w:rFonts w:cs="Calibri"/>
                <w:szCs w:val="16"/>
              </w:rPr>
              <w:t>31.11</w:t>
            </w:r>
          </w:p>
        </w:tc>
      </w:tr>
      <w:tr w:rsidR="00F849A7" w:rsidRPr="00D9348B" w14:paraId="512E8AF0" w14:textId="77777777" w:rsidTr="0004051F">
        <w:tc>
          <w:tcPr>
            <w:tcW w:w="1351" w:type="dxa"/>
            <w:tcBorders>
              <w:top w:val="single" w:sz="4" w:space="0" w:color="365F91"/>
              <w:bottom w:val="single" w:sz="4" w:space="0" w:color="365F91"/>
            </w:tcBorders>
            <w:noWrap/>
          </w:tcPr>
          <w:p w14:paraId="3B583D78" w14:textId="77777777" w:rsidR="00F849A7" w:rsidRPr="00D9348B" w:rsidRDefault="00F849A7" w:rsidP="00DB330E">
            <w:pPr>
              <w:pStyle w:val="TableText"/>
              <w:spacing w:before="40" w:after="50"/>
              <w:rPr>
                <w:rFonts w:cs="Calibri"/>
                <w:szCs w:val="16"/>
              </w:rPr>
            </w:pPr>
            <w:r w:rsidRPr="00D9348B">
              <w:rPr>
                <w:rFonts w:cs="Calibri"/>
                <w:szCs w:val="16"/>
              </w:rPr>
              <w:t>2008</w:t>
            </w:r>
          </w:p>
        </w:tc>
        <w:tc>
          <w:tcPr>
            <w:tcW w:w="1791" w:type="dxa"/>
            <w:tcBorders>
              <w:top w:val="single" w:sz="4" w:space="0" w:color="365F91"/>
              <w:bottom w:val="single" w:sz="4" w:space="0" w:color="365F91"/>
            </w:tcBorders>
            <w:noWrap/>
          </w:tcPr>
          <w:p w14:paraId="433AEEEC" w14:textId="77777777" w:rsidR="00F849A7" w:rsidRPr="00D9348B" w:rsidRDefault="00F849A7" w:rsidP="00DB330E">
            <w:pPr>
              <w:pStyle w:val="TableText"/>
              <w:spacing w:before="40" w:after="50"/>
              <w:jc w:val="center"/>
              <w:rPr>
                <w:rFonts w:cs="Calibri"/>
                <w:szCs w:val="16"/>
              </w:rPr>
            </w:pPr>
            <w:r w:rsidRPr="00D9348B">
              <w:rPr>
                <w:rFonts w:cs="Calibri"/>
                <w:szCs w:val="16"/>
              </w:rPr>
              <w:t>112.3</w:t>
            </w:r>
          </w:p>
        </w:tc>
        <w:tc>
          <w:tcPr>
            <w:tcW w:w="1791" w:type="dxa"/>
            <w:tcBorders>
              <w:top w:val="single" w:sz="4" w:space="0" w:color="365F91"/>
              <w:bottom w:val="single" w:sz="4" w:space="0" w:color="365F91"/>
            </w:tcBorders>
            <w:noWrap/>
          </w:tcPr>
          <w:p w14:paraId="46ECB4C4" w14:textId="77777777" w:rsidR="00F849A7" w:rsidRPr="00D9348B" w:rsidRDefault="00F849A7" w:rsidP="00DB330E">
            <w:pPr>
              <w:pStyle w:val="TableText"/>
              <w:spacing w:before="40" w:after="50"/>
              <w:jc w:val="center"/>
              <w:rPr>
                <w:rFonts w:cs="Calibri"/>
                <w:szCs w:val="16"/>
              </w:rPr>
            </w:pPr>
            <w:r w:rsidRPr="00D9348B">
              <w:rPr>
                <w:rFonts w:cs="Calibri"/>
                <w:szCs w:val="16"/>
              </w:rPr>
              <w:t>75.48</w:t>
            </w:r>
          </w:p>
        </w:tc>
        <w:tc>
          <w:tcPr>
            <w:tcW w:w="1807" w:type="dxa"/>
            <w:tcBorders>
              <w:top w:val="single" w:sz="4" w:space="0" w:color="365F91"/>
              <w:bottom w:val="single" w:sz="4" w:space="0" w:color="365F91"/>
            </w:tcBorders>
            <w:noWrap/>
          </w:tcPr>
          <w:p w14:paraId="01DFA5AA" w14:textId="77777777" w:rsidR="00F849A7" w:rsidRPr="00D9348B" w:rsidRDefault="00F849A7" w:rsidP="00DB330E">
            <w:pPr>
              <w:pStyle w:val="TableText"/>
              <w:spacing w:before="40" w:after="50"/>
              <w:jc w:val="center"/>
              <w:rPr>
                <w:rFonts w:cs="Calibri"/>
                <w:szCs w:val="16"/>
              </w:rPr>
            </w:pPr>
            <w:r w:rsidRPr="00D9348B">
              <w:rPr>
                <w:rFonts w:cs="Calibri"/>
                <w:szCs w:val="16"/>
              </w:rPr>
              <w:t>16.02</w:t>
            </w:r>
          </w:p>
        </w:tc>
        <w:tc>
          <w:tcPr>
            <w:tcW w:w="1765" w:type="dxa"/>
            <w:tcBorders>
              <w:top w:val="single" w:sz="4" w:space="0" w:color="365F91"/>
              <w:bottom w:val="single" w:sz="4" w:space="0" w:color="365F91"/>
            </w:tcBorders>
            <w:noWrap/>
          </w:tcPr>
          <w:p w14:paraId="7BE311CB" w14:textId="77777777" w:rsidR="00F849A7" w:rsidRPr="00D9348B" w:rsidRDefault="00F849A7" w:rsidP="00DB330E">
            <w:pPr>
              <w:pStyle w:val="TableText"/>
              <w:spacing w:before="40" w:after="50"/>
              <w:jc w:val="center"/>
              <w:rPr>
                <w:rFonts w:cs="Calibri"/>
                <w:szCs w:val="16"/>
              </w:rPr>
            </w:pPr>
            <w:r w:rsidRPr="00D9348B">
              <w:rPr>
                <w:rFonts w:cs="Calibri"/>
                <w:szCs w:val="16"/>
              </w:rPr>
              <w:t>30.98</w:t>
            </w:r>
          </w:p>
        </w:tc>
      </w:tr>
      <w:tr w:rsidR="00F849A7" w:rsidRPr="00D9348B" w14:paraId="2AD9D38D" w14:textId="77777777" w:rsidTr="0004051F">
        <w:tc>
          <w:tcPr>
            <w:tcW w:w="1351" w:type="dxa"/>
            <w:tcBorders>
              <w:top w:val="single" w:sz="4" w:space="0" w:color="365F91"/>
              <w:bottom w:val="single" w:sz="4" w:space="0" w:color="365F91"/>
            </w:tcBorders>
            <w:noWrap/>
          </w:tcPr>
          <w:p w14:paraId="01950337" w14:textId="77777777" w:rsidR="00F849A7" w:rsidRPr="00D9348B" w:rsidRDefault="00F849A7" w:rsidP="00DB330E">
            <w:pPr>
              <w:pStyle w:val="TableText"/>
              <w:spacing w:before="40" w:after="50"/>
              <w:rPr>
                <w:rFonts w:cs="Calibri"/>
                <w:szCs w:val="16"/>
              </w:rPr>
            </w:pPr>
            <w:r w:rsidRPr="00D9348B">
              <w:rPr>
                <w:rFonts w:cs="Calibri"/>
                <w:szCs w:val="16"/>
              </w:rPr>
              <w:t>2009</w:t>
            </w:r>
          </w:p>
        </w:tc>
        <w:tc>
          <w:tcPr>
            <w:tcW w:w="1791" w:type="dxa"/>
            <w:tcBorders>
              <w:top w:val="single" w:sz="4" w:space="0" w:color="365F91"/>
              <w:bottom w:val="single" w:sz="4" w:space="0" w:color="365F91"/>
            </w:tcBorders>
            <w:noWrap/>
          </w:tcPr>
          <w:p w14:paraId="4CA90948" w14:textId="77777777" w:rsidR="00F849A7" w:rsidRPr="00D9348B" w:rsidRDefault="00F849A7" w:rsidP="00DB330E">
            <w:pPr>
              <w:pStyle w:val="TableText"/>
              <w:spacing w:before="40" w:after="50"/>
              <w:jc w:val="center"/>
              <w:rPr>
                <w:rFonts w:cs="Calibri"/>
                <w:szCs w:val="16"/>
              </w:rPr>
            </w:pPr>
            <w:r w:rsidRPr="00D9348B">
              <w:rPr>
                <w:rFonts w:cs="Calibri"/>
                <w:szCs w:val="16"/>
              </w:rPr>
              <w:t>113.0</w:t>
            </w:r>
          </w:p>
        </w:tc>
        <w:tc>
          <w:tcPr>
            <w:tcW w:w="1791" w:type="dxa"/>
            <w:tcBorders>
              <w:top w:val="single" w:sz="4" w:space="0" w:color="365F91"/>
              <w:bottom w:val="single" w:sz="4" w:space="0" w:color="365F91"/>
            </w:tcBorders>
            <w:noWrap/>
          </w:tcPr>
          <w:p w14:paraId="0BD5E0C2" w14:textId="77777777" w:rsidR="00F849A7" w:rsidRPr="00D9348B" w:rsidRDefault="00F849A7" w:rsidP="00DB330E">
            <w:pPr>
              <w:pStyle w:val="TableText"/>
              <w:spacing w:before="40" w:after="50"/>
              <w:jc w:val="center"/>
              <w:rPr>
                <w:rFonts w:cs="Calibri"/>
                <w:szCs w:val="16"/>
              </w:rPr>
            </w:pPr>
            <w:r w:rsidRPr="00D9348B">
              <w:rPr>
                <w:rFonts w:cs="Calibri"/>
                <w:szCs w:val="16"/>
              </w:rPr>
              <w:t>74.83</w:t>
            </w:r>
          </w:p>
        </w:tc>
        <w:tc>
          <w:tcPr>
            <w:tcW w:w="1807" w:type="dxa"/>
            <w:tcBorders>
              <w:top w:val="single" w:sz="4" w:space="0" w:color="365F91"/>
              <w:bottom w:val="single" w:sz="4" w:space="0" w:color="365F91"/>
            </w:tcBorders>
            <w:noWrap/>
          </w:tcPr>
          <w:p w14:paraId="271C2A00" w14:textId="77777777" w:rsidR="00F849A7" w:rsidRPr="00D9348B" w:rsidRDefault="00F849A7" w:rsidP="00DB330E">
            <w:pPr>
              <w:pStyle w:val="TableText"/>
              <w:spacing w:before="40" w:after="50"/>
              <w:jc w:val="center"/>
              <w:rPr>
                <w:rFonts w:cs="Calibri"/>
                <w:szCs w:val="16"/>
              </w:rPr>
            </w:pPr>
            <w:r w:rsidRPr="00D9348B">
              <w:rPr>
                <w:rFonts w:cs="Calibri"/>
                <w:szCs w:val="16"/>
              </w:rPr>
              <w:t>16.31</w:t>
            </w:r>
          </w:p>
        </w:tc>
        <w:tc>
          <w:tcPr>
            <w:tcW w:w="1765" w:type="dxa"/>
            <w:tcBorders>
              <w:top w:val="single" w:sz="4" w:space="0" w:color="365F91"/>
              <w:bottom w:val="single" w:sz="4" w:space="0" w:color="365F91"/>
            </w:tcBorders>
            <w:noWrap/>
          </w:tcPr>
          <w:p w14:paraId="7E840C53" w14:textId="77777777" w:rsidR="00F849A7" w:rsidRPr="00D9348B" w:rsidRDefault="00F849A7" w:rsidP="00DB330E">
            <w:pPr>
              <w:pStyle w:val="TableText"/>
              <w:spacing w:before="40" w:after="50"/>
              <w:jc w:val="center"/>
              <w:rPr>
                <w:rFonts w:cs="Calibri"/>
                <w:szCs w:val="16"/>
              </w:rPr>
            </w:pPr>
            <w:r w:rsidRPr="00D9348B">
              <w:rPr>
                <w:rFonts w:cs="Calibri"/>
                <w:szCs w:val="16"/>
              </w:rPr>
              <w:t>30.96</w:t>
            </w:r>
          </w:p>
        </w:tc>
      </w:tr>
      <w:tr w:rsidR="00F849A7" w:rsidRPr="00D9348B" w14:paraId="58AC8823" w14:textId="77777777" w:rsidTr="0004051F">
        <w:tc>
          <w:tcPr>
            <w:tcW w:w="1351" w:type="dxa"/>
            <w:tcBorders>
              <w:top w:val="single" w:sz="4" w:space="0" w:color="365F91"/>
              <w:bottom w:val="single" w:sz="4" w:space="0" w:color="365F91"/>
            </w:tcBorders>
            <w:noWrap/>
          </w:tcPr>
          <w:p w14:paraId="01958465" w14:textId="77777777" w:rsidR="00F849A7" w:rsidRPr="00D9348B" w:rsidRDefault="00F849A7" w:rsidP="00DB330E">
            <w:pPr>
              <w:pStyle w:val="TableText"/>
              <w:spacing w:before="40" w:after="50"/>
              <w:rPr>
                <w:rFonts w:cs="Calibri"/>
                <w:szCs w:val="16"/>
              </w:rPr>
            </w:pPr>
            <w:r w:rsidRPr="00D9348B">
              <w:rPr>
                <w:rFonts w:cs="Calibri"/>
                <w:szCs w:val="16"/>
              </w:rPr>
              <w:t>2010</w:t>
            </w:r>
          </w:p>
        </w:tc>
        <w:tc>
          <w:tcPr>
            <w:tcW w:w="1791" w:type="dxa"/>
            <w:tcBorders>
              <w:top w:val="single" w:sz="4" w:space="0" w:color="365F91"/>
              <w:bottom w:val="single" w:sz="4" w:space="0" w:color="365F91"/>
            </w:tcBorders>
            <w:noWrap/>
          </w:tcPr>
          <w:p w14:paraId="6004C4B2" w14:textId="77777777" w:rsidR="00F849A7" w:rsidRPr="00D9348B" w:rsidRDefault="00F849A7" w:rsidP="00DB330E">
            <w:pPr>
              <w:pStyle w:val="TableText"/>
              <w:spacing w:before="40" w:after="50"/>
              <w:jc w:val="center"/>
              <w:rPr>
                <w:rFonts w:cs="Calibri"/>
                <w:szCs w:val="16"/>
              </w:rPr>
            </w:pPr>
            <w:r w:rsidRPr="00D9348B">
              <w:rPr>
                <w:rFonts w:cs="Calibri"/>
                <w:szCs w:val="16"/>
              </w:rPr>
              <w:t>115.7</w:t>
            </w:r>
          </w:p>
        </w:tc>
        <w:tc>
          <w:tcPr>
            <w:tcW w:w="1791" w:type="dxa"/>
            <w:tcBorders>
              <w:top w:val="single" w:sz="4" w:space="0" w:color="365F91"/>
              <w:bottom w:val="single" w:sz="4" w:space="0" w:color="365F91"/>
            </w:tcBorders>
            <w:noWrap/>
          </w:tcPr>
          <w:p w14:paraId="31FACEBC" w14:textId="77777777" w:rsidR="00F849A7" w:rsidRPr="00D9348B" w:rsidRDefault="00F849A7" w:rsidP="00DB330E">
            <w:pPr>
              <w:pStyle w:val="TableText"/>
              <w:spacing w:before="40" w:after="50"/>
              <w:jc w:val="center"/>
              <w:rPr>
                <w:rFonts w:cs="Calibri"/>
                <w:szCs w:val="16"/>
              </w:rPr>
            </w:pPr>
            <w:r w:rsidRPr="00D9348B">
              <w:rPr>
                <w:rFonts w:cs="Calibri"/>
                <w:szCs w:val="16"/>
              </w:rPr>
              <w:t>74.75</w:t>
            </w:r>
          </w:p>
        </w:tc>
        <w:tc>
          <w:tcPr>
            <w:tcW w:w="1807" w:type="dxa"/>
            <w:tcBorders>
              <w:top w:val="single" w:sz="4" w:space="0" w:color="365F91"/>
              <w:bottom w:val="single" w:sz="4" w:space="0" w:color="365F91"/>
            </w:tcBorders>
            <w:noWrap/>
          </w:tcPr>
          <w:p w14:paraId="7DD9E114" w14:textId="77777777" w:rsidR="00F849A7" w:rsidRPr="00D9348B" w:rsidRDefault="00F849A7" w:rsidP="00DB330E">
            <w:pPr>
              <w:pStyle w:val="TableText"/>
              <w:spacing w:before="40" w:after="50"/>
              <w:jc w:val="center"/>
              <w:rPr>
                <w:rFonts w:cs="Calibri"/>
                <w:szCs w:val="16"/>
              </w:rPr>
            </w:pPr>
            <w:r w:rsidRPr="00D9348B">
              <w:rPr>
                <w:rFonts w:cs="Calibri"/>
                <w:szCs w:val="16"/>
              </w:rPr>
              <w:t>15.82</w:t>
            </w:r>
          </w:p>
        </w:tc>
        <w:tc>
          <w:tcPr>
            <w:tcW w:w="1765" w:type="dxa"/>
            <w:tcBorders>
              <w:top w:val="single" w:sz="4" w:space="0" w:color="365F91"/>
              <w:bottom w:val="single" w:sz="4" w:space="0" w:color="365F91"/>
            </w:tcBorders>
            <w:noWrap/>
          </w:tcPr>
          <w:p w14:paraId="2A9CB3DA" w14:textId="77777777" w:rsidR="00F849A7" w:rsidRPr="00D9348B" w:rsidRDefault="00F849A7" w:rsidP="00DB330E">
            <w:pPr>
              <w:pStyle w:val="TableText"/>
              <w:spacing w:before="40" w:after="50"/>
              <w:jc w:val="center"/>
              <w:rPr>
                <w:rFonts w:cs="Calibri"/>
                <w:szCs w:val="16"/>
              </w:rPr>
            </w:pPr>
            <w:r w:rsidRPr="00D9348B">
              <w:rPr>
                <w:rFonts w:cs="Calibri"/>
                <w:szCs w:val="16"/>
              </w:rPr>
              <w:t>30.91</w:t>
            </w:r>
          </w:p>
        </w:tc>
      </w:tr>
      <w:tr w:rsidR="00F849A7" w:rsidRPr="00D9348B" w14:paraId="76364D5E" w14:textId="77777777" w:rsidTr="0004051F">
        <w:tc>
          <w:tcPr>
            <w:tcW w:w="1351" w:type="dxa"/>
            <w:tcBorders>
              <w:top w:val="single" w:sz="4" w:space="0" w:color="365F91"/>
              <w:bottom w:val="single" w:sz="4" w:space="0" w:color="365F91"/>
            </w:tcBorders>
            <w:noWrap/>
          </w:tcPr>
          <w:p w14:paraId="6DEF8DAA" w14:textId="77777777" w:rsidR="00F849A7" w:rsidRPr="00D9348B" w:rsidRDefault="00F849A7" w:rsidP="00DB330E">
            <w:pPr>
              <w:pStyle w:val="TableText"/>
              <w:spacing w:before="40" w:after="50"/>
              <w:rPr>
                <w:rFonts w:cs="Calibri"/>
                <w:szCs w:val="16"/>
              </w:rPr>
            </w:pPr>
            <w:r w:rsidRPr="00D9348B">
              <w:rPr>
                <w:rFonts w:cs="Calibri"/>
                <w:szCs w:val="16"/>
              </w:rPr>
              <w:t>2011</w:t>
            </w:r>
          </w:p>
        </w:tc>
        <w:tc>
          <w:tcPr>
            <w:tcW w:w="1791" w:type="dxa"/>
            <w:tcBorders>
              <w:top w:val="single" w:sz="4" w:space="0" w:color="365F91"/>
              <w:bottom w:val="single" w:sz="4" w:space="0" w:color="365F91"/>
            </w:tcBorders>
            <w:noWrap/>
          </w:tcPr>
          <w:p w14:paraId="1A1AA2A1" w14:textId="77777777" w:rsidR="00F849A7" w:rsidRPr="00D9348B" w:rsidRDefault="00F849A7" w:rsidP="00DB330E">
            <w:pPr>
              <w:pStyle w:val="TableText"/>
              <w:spacing w:before="40" w:after="50"/>
              <w:jc w:val="center"/>
              <w:rPr>
                <w:rFonts w:cs="Calibri"/>
                <w:szCs w:val="16"/>
              </w:rPr>
            </w:pPr>
            <w:r w:rsidRPr="00D9348B">
              <w:rPr>
                <w:rFonts w:cs="Calibri"/>
                <w:szCs w:val="16"/>
              </w:rPr>
              <w:t>116.7</w:t>
            </w:r>
          </w:p>
        </w:tc>
        <w:tc>
          <w:tcPr>
            <w:tcW w:w="1791" w:type="dxa"/>
            <w:tcBorders>
              <w:top w:val="single" w:sz="4" w:space="0" w:color="365F91"/>
              <w:bottom w:val="single" w:sz="4" w:space="0" w:color="365F91"/>
            </w:tcBorders>
            <w:noWrap/>
          </w:tcPr>
          <w:p w14:paraId="0ADDB550" w14:textId="77777777" w:rsidR="00F849A7" w:rsidRPr="00D9348B" w:rsidRDefault="00F849A7" w:rsidP="00DB330E">
            <w:pPr>
              <w:pStyle w:val="TableText"/>
              <w:spacing w:before="40" w:after="50"/>
              <w:jc w:val="center"/>
              <w:rPr>
                <w:rFonts w:cs="Calibri"/>
                <w:szCs w:val="16"/>
              </w:rPr>
            </w:pPr>
            <w:r w:rsidRPr="00D9348B">
              <w:rPr>
                <w:rFonts w:cs="Calibri"/>
                <w:szCs w:val="16"/>
              </w:rPr>
              <w:t>75.76</w:t>
            </w:r>
          </w:p>
        </w:tc>
        <w:tc>
          <w:tcPr>
            <w:tcW w:w="1807" w:type="dxa"/>
            <w:tcBorders>
              <w:top w:val="single" w:sz="4" w:space="0" w:color="365F91"/>
              <w:bottom w:val="single" w:sz="4" w:space="0" w:color="365F91"/>
            </w:tcBorders>
            <w:noWrap/>
          </w:tcPr>
          <w:p w14:paraId="768161BA" w14:textId="77777777" w:rsidR="00F849A7" w:rsidRPr="00D9348B" w:rsidRDefault="00F849A7" w:rsidP="00DB330E">
            <w:pPr>
              <w:pStyle w:val="TableText"/>
              <w:spacing w:before="40" w:after="50"/>
              <w:jc w:val="center"/>
              <w:rPr>
                <w:rFonts w:cs="Calibri"/>
                <w:szCs w:val="16"/>
              </w:rPr>
            </w:pPr>
            <w:r w:rsidRPr="00D9348B">
              <w:rPr>
                <w:rFonts w:cs="Calibri"/>
                <w:szCs w:val="16"/>
              </w:rPr>
              <w:t>16.15</w:t>
            </w:r>
          </w:p>
        </w:tc>
        <w:tc>
          <w:tcPr>
            <w:tcW w:w="1765" w:type="dxa"/>
            <w:tcBorders>
              <w:top w:val="single" w:sz="4" w:space="0" w:color="365F91"/>
              <w:bottom w:val="single" w:sz="4" w:space="0" w:color="365F91"/>
            </w:tcBorders>
            <w:noWrap/>
          </w:tcPr>
          <w:p w14:paraId="5C8F0817" w14:textId="77777777" w:rsidR="00F849A7" w:rsidRPr="00D9348B" w:rsidRDefault="00F849A7" w:rsidP="00DB330E">
            <w:pPr>
              <w:pStyle w:val="TableText"/>
              <w:spacing w:before="40" w:after="50"/>
              <w:jc w:val="center"/>
              <w:rPr>
                <w:rFonts w:cs="Calibri"/>
                <w:szCs w:val="16"/>
              </w:rPr>
            </w:pPr>
            <w:r w:rsidRPr="00D9348B">
              <w:rPr>
                <w:rFonts w:cs="Calibri"/>
                <w:szCs w:val="16"/>
              </w:rPr>
              <w:t>31.21</w:t>
            </w:r>
          </w:p>
        </w:tc>
      </w:tr>
      <w:tr w:rsidR="00F849A7" w:rsidRPr="00D9348B" w14:paraId="4FFEA3C3" w14:textId="77777777" w:rsidTr="0004051F">
        <w:tc>
          <w:tcPr>
            <w:tcW w:w="1351" w:type="dxa"/>
            <w:tcBorders>
              <w:top w:val="single" w:sz="4" w:space="0" w:color="365F91"/>
              <w:bottom w:val="single" w:sz="4" w:space="0" w:color="365F91"/>
            </w:tcBorders>
            <w:noWrap/>
          </w:tcPr>
          <w:p w14:paraId="1C430863" w14:textId="77777777" w:rsidR="00F849A7" w:rsidRPr="00D9348B" w:rsidRDefault="00F849A7" w:rsidP="00DB330E">
            <w:pPr>
              <w:pStyle w:val="TableText"/>
              <w:spacing w:before="40" w:after="50"/>
              <w:rPr>
                <w:rFonts w:cs="Calibri"/>
                <w:szCs w:val="16"/>
              </w:rPr>
            </w:pPr>
            <w:r w:rsidRPr="00D9348B">
              <w:rPr>
                <w:rFonts w:cs="Calibri"/>
                <w:szCs w:val="16"/>
              </w:rPr>
              <w:t>2012</w:t>
            </w:r>
          </w:p>
        </w:tc>
        <w:tc>
          <w:tcPr>
            <w:tcW w:w="1791" w:type="dxa"/>
            <w:tcBorders>
              <w:top w:val="single" w:sz="4" w:space="0" w:color="365F91"/>
              <w:bottom w:val="single" w:sz="4" w:space="0" w:color="365F91"/>
            </w:tcBorders>
            <w:noWrap/>
          </w:tcPr>
          <w:p w14:paraId="52A56D8B" w14:textId="77777777" w:rsidR="00F849A7" w:rsidRPr="00D9348B" w:rsidRDefault="00F849A7" w:rsidP="00DB330E">
            <w:pPr>
              <w:pStyle w:val="TableText"/>
              <w:spacing w:before="40" w:after="50"/>
              <w:jc w:val="center"/>
              <w:rPr>
                <w:rFonts w:cs="Calibri"/>
                <w:szCs w:val="16"/>
              </w:rPr>
            </w:pPr>
            <w:r w:rsidRPr="00D9348B">
              <w:rPr>
                <w:rFonts w:cs="Calibri"/>
                <w:szCs w:val="16"/>
              </w:rPr>
              <w:t>116.7</w:t>
            </w:r>
          </w:p>
        </w:tc>
        <w:tc>
          <w:tcPr>
            <w:tcW w:w="1791" w:type="dxa"/>
            <w:tcBorders>
              <w:top w:val="single" w:sz="4" w:space="0" w:color="365F91"/>
              <w:bottom w:val="single" w:sz="4" w:space="0" w:color="365F91"/>
            </w:tcBorders>
            <w:noWrap/>
          </w:tcPr>
          <w:p w14:paraId="2F685473" w14:textId="77777777" w:rsidR="00F849A7" w:rsidRPr="00D9348B" w:rsidRDefault="00F849A7" w:rsidP="00DB330E">
            <w:pPr>
              <w:pStyle w:val="TableText"/>
              <w:spacing w:before="40" w:after="50"/>
              <w:jc w:val="center"/>
              <w:rPr>
                <w:rFonts w:cs="Calibri"/>
                <w:szCs w:val="16"/>
              </w:rPr>
            </w:pPr>
            <w:r w:rsidRPr="00D9348B">
              <w:rPr>
                <w:rFonts w:cs="Calibri"/>
                <w:szCs w:val="16"/>
              </w:rPr>
              <w:t>76.86</w:t>
            </w:r>
          </w:p>
        </w:tc>
        <w:tc>
          <w:tcPr>
            <w:tcW w:w="1807" w:type="dxa"/>
            <w:tcBorders>
              <w:top w:val="single" w:sz="4" w:space="0" w:color="365F91"/>
              <w:bottom w:val="single" w:sz="4" w:space="0" w:color="365F91"/>
            </w:tcBorders>
            <w:noWrap/>
          </w:tcPr>
          <w:p w14:paraId="507C8948" w14:textId="77777777" w:rsidR="00F849A7" w:rsidRPr="00D9348B" w:rsidRDefault="00F849A7" w:rsidP="00DB330E">
            <w:pPr>
              <w:pStyle w:val="TableText"/>
              <w:spacing w:before="40" w:after="50"/>
              <w:jc w:val="center"/>
              <w:rPr>
                <w:rFonts w:cs="Calibri"/>
                <w:szCs w:val="16"/>
              </w:rPr>
            </w:pPr>
            <w:r w:rsidRPr="00D9348B">
              <w:rPr>
                <w:rFonts w:cs="Calibri"/>
                <w:szCs w:val="16"/>
              </w:rPr>
              <w:t>16.40</w:t>
            </w:r>
          </w:p>
        </w:tc>
        <w:tc>
          <w:tcPr>
            <w:tcW w:w="1765" w:type="dxa"/>
            <w:tcBorders>
              <w:top w:val="single" w:sz="4" w:space="0" w:color="365F91"/>
              <w:bottom w:val="single" w:sz="4" w:space="0" w:color="365F91"/>
            </w:tcBorders>
            <w:noWrap/>
          </w:tcPr>
          <w:p w14:paraId="54AB7043" w14:textId="77777777" w:rsidR="00F849A7" w:rsidRPr="00D9348B" w:rsidRDefault="00F849A7" w:rsidP="00DB330E">
            <w:pPr>
              <w:pStyle w:val="TableText"/>
              <w:spacing w:before="40" w:after="50"/>
              <w:jc w:val="center"/>
              <w:rPr>
                <w:rFonts w:cs="Calibri"/>
                <w:szCs w:val="16"/>
              </w:rPr>
            </w:pPr>
            <w:r w:rsidRPr="00D9348B">
              <w:rPr>
                <w:rFonts w:cs="Calibri"/>
                <w:szCs w:val="16"/>
              </w:rPr>
              <w:t>31.27</w:t>
            </w:r>
          </w:p>
        </w:tc>
      </w:tr>
      <w:tr w:rsidR="00F849A7" w:rsidRPr="00D9348B" w14:paraId="7C235110" w14:textId="77777777" w:rsidTr="0004051F">
        <w:tc>
          <w:tcPr>
            <w:tcW w:w="1351" w:type="dxa"/>
            <w:tcBorders>
              <w:top w:val="single" w:sz="4" w:space="0" w:color="365F91"/>
              <w:bottom w:val="single" w:sz="4" w:space="0" w:color="365F91"/>
            </w:tcBorders>
            <w:noWrap/>
          </w:tcPr>
          <w:p w14:paraId="76DD5F7B" w14:textId="77777777" w:rsidR="00F849A7" w:rsidRPr="00D9348B" w:rsidRDefault="00F849A7" w:rsidP="00DB330E">
            <w:pPr>
              <w:pStyle w:val="TableText"/>
              <w:spacing w:before="40" w:after="50"/>
              <w:rPr>
                <w:rFonts w:cs="Calibri"/>
                <w:szCs w:val="16"/>
              </w:rPr>
            </w:pPr>
            <w:r w:rsidRPr="00D9348B">
              <w:rPr>
                <w:rFonts w:cs="Calibri"/>
                <w:szCs w:val="16"/>
              </w:rPr>
              <w:t>2013</w:t>
            </w:r>
          </w:p>
        </w:tc>
        <w:tc>
          <w:tcPr>
            <w:tcW w:w="1791" w:type="dxa"/>
            <w:tcBorders>
              <w:top w:val="single" w:sz="4" w:space="0" w:color="365F91"/>
              <w:bottom w:val="single" w:sz="4" w:space="0" w:color="365F91"/>
            </w:tcBorders>
            <w:noWrap/>
          </w:tcPr>
          <w:p w14:paraId="25A4E440" w14:textId="77777777" w:rsidR="00F849A7" w:rsidRPr="00D9348B" w:rsidRDefault="00F849A7" w:rsidP="00DB330E">
            <w:pPr>
              <w:pStyle w:val="TableText"/>
              <w:spacing w:before="40" w:after="50"/>
              <w:jc w:val="center"/>
              <w:rPr>
                <w:rFonts w:cs="Calibri"/>
                <w:szCs w:val="16"/>
              </w:rPr>
            </w:pPr>
            <w:r w:rsidRPr="00D9348B">
              <w:rPr>
                <w:rFonts w:cs="Calibri"/>
                <w:szCs w:val="16"/>
              </w:rPr>
              <w:t>119.2</w:t>
            </w:r>
          </w:p>
        </w:tc>
        <w:tc>
          <w:tcPr>
            <w:tcW w:w="1791" w:type="dxa"/>
            <w:tcBorders>
              <w:top w:val="single" w:sz="4" w:space="0" w:color="365F91"/>
              <w:bottom w:val="single" w:sz="4" w:space="0" w:color="365F91"/>
            </w:tcBorders>
            <w:noWrap/>
          </w:tcPr>
          <w:p w14:paraId="41D53AC0" w14:textId="77777777" w:rsidR="00F849A7" w:rsidRPr="00D9348B" w:rsidRDefault="00F849A7" w:rsidP="00DB330E">
            <w:pPr>
              <w:pStyle w:val="TableText"/>
              <w:spacing w:before="40" w:after="50"/>
              <w:jc w:val="center"/>
              <w:rPr>
                <w:rFonts w:cs="Calibri"/>
                <w:szCs w:val="16"/>
              </w:rPr>
            </w:pPr>
            <w:r w:rsidRPr="00D9348B">
              <w:rPr>
                <w:rFonts w:cs="Calibri"/>
                <w:szCs w:val="16"/>
              </w:rPr>
              <w:t>75.59</w:t>
            </w:r>
          </w:p>
        </w:tc>
        <w:tc>
          <w:tcPr>
            <w:tcW w:w="1807" w:type="dxa"/>
            <w:tcBorders>
              <w:top w:val="single" w:sz="4" w:space="0" w:color="365F91"/>
              <w:bottom w:val="single" w:sz="4" w:space="0" w:color="365F91"/>
            </w:tcBorders>
            <w:noWrap/>
          </w:tcPr>
          <w:p w14:paraId="2C3BA6E0" w14:textId="77777777" w:rsidR="00F849A7" w:rsidRPr="00D9348B" w:rsidRDefault="00F849A7" w:rsidP="00DB330E">
            <w:pPr>
              <w:pStyle w:val="TableText"/>
              <w:spacing w:before="40" w:after="50"/>
              <w:jc w:val="center"/>
              <w:rPr>
                <w:rFonts w:cs="Calibri"/>
                <w:szCs w:val="16"/>
              </w:rPr>
            </w:pPr>
            <w:r w:rsidRPr="00D9348B">
              <w:rPr>
                <w:rFonts w:cs="Calibri"/>
                <w:szCs w:val="16"/>
              </w:rPr>
              <w:t>16.38</w:t>
            </w:r>
          </w:p>
        </w:tc>
        <w:tc>
          <w:tcPr>
            <w:tcW w:w="1765" w:type="dxa"/>
            <w:tcBorders>
              <w:top w:val="single" w:sz="4" w:space="0" w:color="365F91"/>
              <w:bottom w:val="single" w:sz="4" w:space="0" w:color="365F91"/>
            </w:tcBorders>
            <w:noWrap/>
          </w:tcPr>
          <w:p w14:paraId="077DB206" w14:textId="77777777" w:rsidR="00F849A7" w:rsidRPr="00D9348B" w:rsidRDefault="00F849A7" w:rsidP="00DB330E">
            <w:pPr>
              <w:pStyle w:val="TableText"/>
              <w:spacing w:before="40" w:after="50"/>
              <w:jc w:val="center"/>
              <w:rPr>
                <w:rFonts w:cs="Calibri"/>
                <w:szCs w:val="16"/>
              </w:rPr>
            </w:pPr>
            <w:r w:rsidRPr="00D9348B">
              <w:rPr>
                <w:rFonts w:cs="Calibri"/>
                <w:szCs w:val="16"/>
              </w:rPr>
              <w:t>30.96</w:t>
            </w:r>
          </w:p>
        </w:tc>
      </w:tr>
      <w:tr w:rsidR="00F849A7" w:rsidRPr="00D9348B" w14:paraId="11F4A6E0" w14:textId="77777777" w:rsidTr="0004051F">
        <w:tc>
          <w:tcPr>
            <w:tcW w:w="1351" w:type="dxa"/>
            <w:tcBorders>
              <w:top w:val="single" w:sz="4" w:space="0" w:color="365F91"/>
              <w:bottom w:val="single" w:sz="4" w:space="0" w:color="365F91"/>
            </w:tcBorders>
            <w:noWrap/>
          </w:tcPr>
          <w:p w14:paraId="71E9DE8D" w14:textId="77777777" w:rsidR="00F849A7" w:rsidRPr="00D9348B" w:rsidRDefault="00F849A7" w:rsidP="00DB330E">
            <w:pPr>
              <w:pStyle w:val="TableText"/>
              <w:spacing w:before="40" w:after="50"/>
              <w:rPr>
                <w:rFonts w:cs="Calibri"/>
                <w:szCs w:val="16"/>
              </w:rPr>
            </w:pPr>
            <w:r w:rsidRPr="00D9348B">
              <w:rPr>
                <w:rFonts w:cs="Calibri"/>
                <w:szCs w:val="16"/>
              </w:rPr>
              <w:t>2014</w:t>
            </w:r>
          </w:p>
        </w:tc>
        <w:tc>
          <w:tcPr>
            <w:tcW w:w="1791" w:type="dxa"/>
            <w:tcBorders>
              <w:top w:val="single" w:sz="4" w:space="0" w:color="365F91"/>
              <w:bottom w:val="single" w:sz="4" w:space="0" w:color="365F91"/>
            </w:tcBorders>
            <w:noWrap/>
          </w:tcPr>
          <w:p w14:paraId="340BBE49" w14:textId="77777777" w:rsidR="00F849A7" w:rsidRPr="00D9348B" w:rsidRDefault="00F849A7" w:rsidP="00DB330E">
            <w:pPr>
              <w:pStyle w:val="TableText"/>
              <w:spacing w:before="40" w:after="50"/>
              <w:jc w:val="center"/>
              <w:rPr>
                <w:rFonts w:cs="Calibri"/>
                <w:szCs w:val="16"/>
              </w:rPr>
            </w:pPr>
            <w:r w:rsidRPr="00D9348B">
              <w:rPr>
                <w:rFonts w:cs="Calibri"/>
                <w:szCs w:val="16"/>
              </w:rPr>
              <w:t>119.2</w:t>
            </w:r>
          </w:p>
        </w:tc>
        <w:tc>
          <w:tcPr>
            <w:tcW w:w="1791" w:type="dxa"/>
            <w:tcBorders>
              <w:top w:val="single" w:sz="4" w:space="0" w:color="365F91"/>
              <w:bottom w:val="single" w:sz="4" w:space="0" w:color="365F91"/>
            </w:tcBorders>
            <w:noWrap/>
          </w:tcPr>
          <w:p w14:paraId="418FC21F" w14:textId="77777777" w:rsidR="00F849A7" w:rsidRPr="00D9348B" w:rsidRDefault="00F849A7" w:rsidP="00DB330E">
            <w:pPr>
              <w:pStyle w:val="TableText"/>
              <w:spacing w:before="40" w:after="50"/>
              <w:jc w:val="center"/>
              <w:rPr>
                <w:rFonts w:cs="Calibri"/>
                <w:szCs w:val="16"/>
              </w:rPr>
            </w:pPr>
            <w:r w:rsidRPr="00D9348B">
              <w:rPr>
                <w:rFonts w:cs="Calibri"/>
                <w:szCs w:val="16"/>
              </w:rPr>
              <w:t>75.26</w:t>
            </w:r>
          </w:p>
        </w:tc>
        <w:tc>
          <w:tcPr>
            <w:tcW w:w="1807" w:type="dxa"/>
            <w:tcBorders>
              <w:top w:val="single" w:sz="4" w:space="0" w:color="365F91"/>
              <w:bottom w:val="single" w:sz="4" w:space="0" w:color="365F91"/>
            </w:tcBorders>
            <w:noWrap/>
          </w:tcPr>
          <w:p w14:paraId="431703AA" w14:textId="77777777" w:rsidR="00F849A7" w:rsidRPr="00D9348B" w:rsidRDefault="00F849A7" w:rsidP="00DB330E">
            <w:pPr>
              <w:pStyle w:val="TableText"/>
              <w:spacing w:before="40" w:after="50"/>
              <w:jc w:val="center"/>
              <w:rPr>
                <w:rFonts w:cs="Calibri"/>
                <w:szCs w:val="16"/>
              </w:rPr>
            </w:pPr>
            <w:r w:rsidRPr="00D9348B">
              <w:rPr>
                <w:rFonts w:cs="Calibri"/>
                <w:szCs w:val="16"/>
              </w:rPr>
              <w:t>16.63</w:t>
            </w:r>
          </w:p>
        </w:tc>
        <w:tc>
          <w:tcPr>
            <w:tcW w:w="1765" w:type="dxa"/>
            <w:tcBorders>
              <w:top w:val="single" w:sz="4" w:space="0" w:color="365F91"/>
              <w:bottom w:val="single" w:sz="4" w:space="0" w:color="365F91"/>
            </w:tcBorders>
            <w:noWrap/>
          </w:tcPr>
          <w:p w14:paraId="64F479E1" w14:textId="77777777" w:rsidR="00F849A7" w:rsidRPr="00D9348B" w:rsidRDefault="00F849A7" w:rsidP="00DB330E">
            <w:pPr>
              <w:pStyle w:val="TableText"/>
              <w:spacing w:before="40" w:after="50"/>
              <w:jc w:val="center"/>
              <w:rPr>
                <w:rFonts w:cs="Calibri"/>
                <w:szCs w:val="16"/>
              </w:rPr>
            </w:pPr>
            <w:r w:rsidRPr="00D9348B">
              <w:rPr>
                <w:rFonts w:cs="Calibri"/>
                <w:szCs w:val="16"/>
              </w:rPr>
              <w:t>31.23</w:t>
            </w:r>
          </w:p>
        </w:tc>
      </w:tr>
      <w:tr w:rsidR="00F849A7" w:rsidRPr="00D9348B" w14:paraId="1B26592A" w14:textId="77777777" w:rsidTr="0004051F">
        <w:tc>
          <w:tcPr>
            <w:tcW w:w="1351" w:type="dxa"/>
            <w:tcBorders>
              <w:top w:val="single" w:sz="4" w:space="0" w:color="365F91"/>
              <w:bottom w:val="single" w:sz="4" w:space="0" w:color="365F91"/>
            </w:tcBorders>
            <w:noWrap/>
          </w:tcPr>
          <w:p w14:paraId="71B295B2" w14:textId="77777777" w:rsidR="00F849A7" w:rsidRPr="00D9348B" w:rsidRDefault="00F849A7" w:rsidP="00DB330E">
            <w:pPr>
              <w:pStyle w:val="TableText"/>
              <w:spacing w:before="40" w:after="50"/>
              <w:rPr>
                <w:rFonts w:cs="Calibri"/>
                <w:szCs w:val="16"/>
              </w:rPr>
            </w:pPr>
            <w:r w:rsidRPr="00D9348B">
              <w:rPr>
                <w:rFonts w:cs="Calibri"/>
                <w:szCs w:val="16"/>
              </w:rPr>
              <w:t>2015</w:t>
            </w:r>
          </w:p>
        </w:tc>
        <w:tc>
          <w:tcPr>
            <w:tcW w:w="1791" w:type="dxa"/>
            <w:tcBorders>
              <w:top w:val="single" w:sz="4" w:space="0" w:color="365F91"/>
              <w:bottom w:val="single" w:sz="4" w:space="0" w:color="365F91"/>
            </w:tcBorders>
            <w:noWrap/>
          </w:tcPr>
          <w:p w14:paraId="6B25C1F3" w14:textId="77777777" w:rsidR="00F849A7" w:rsidRPr="00D9348B" w:rsidRDefault="00F849A7" w:rsidP="00DB330E">
            <w:pPr>
              <w:pStyle w:val="TableText"/>
              <w:spacing w:before="40" w:after="50"/>
              <w:jc w:val="center"/>
              <w:rPr>
                <w:rFonts w:cs="Calibri"/>
                <w:szCs w:val="16"/>
              </w:rPr>
            </w:pPr>
            <w:r w:rsidRPr="00D9348B">
              <w:rPr>
                <w:rFonts w:cs="Calibri"/>
                <w:szCs w:val="16"/>
              </w:rPr>
              <w:t>122.1</w:t>
            </w:r>
          </w:p>
        </w:tc>
        <w:tc>
          <w:tcPr>
            <w:tcW w:w="1791" w:type="dxa"/>
            <w:tcBorders>
              <w:top w:val="single" w:sz="4" w:space="0" w:color="365F91"/>
              <w:bottom w:val="single" w:sz="4" w:space="0" w:color="365F91"/>
            </w:tcBorders>
            <w:noWrap/>
          </w:tcPr>
          <w:p w14:paraId="228E83E3" w14:textId="77777777" w:rsidR="00F849A7" w:rsidRPr="00D9348B" w:rsidRDefault="00F849A7" w:rsidP="00DB330E">
            <w:pPr>
              <w:pStyle w:val="TableText"/>
              <w:spacing w:before="40" w:after="50"/>
              <w:jc w:val="center"/>
              <w:rPr>
                <w:rFonts w:cs="Calibri"/>
                <w:szCs w:val="16"/>
              </w:rPr>
            </w:pPr>
            <w:r w:rsidRPr="00D9348B">
              <w:rPr>
                <w:rFonts w:cs="Calibri"/>
                <w:szCs w:val="16"/>
              </w:rPr>
              <w:t>76.12</w:t>
            </w:r>
          </w:p>
        </w:tc>
        <w:tc>
          <w:tcPr>
            <w:tcW w:w="1807" w:type="dxa"/>
            <w:tcBorders>
              <w:top w:val="single" w:sz="4" w:space="0" w:color="365F91"/>
              <w:bottom w:val="single" w:sz="4" w:space="0" w:color="365F91"/>
            </w:tcBorders>
            <w:noWrap/>
          </w:tcPr>
          <w:p w14:paraId="506651A3" w14:textId="77777777" w:rsidR="00F849A7" w:rsidRPr="00D9348B" w:rsidRDefault="00F849A7" w:rsidP="00DB330E">
            <w:pPr>
              <w:pStyle w:val="TableText"/>
              <w:spacing w:before="40" w:after="50"/>
              <w:jc w:val="center"/>
              <w:rPr>
                <w:rFonts w:cs="Calibri"/>
                <w:szCs w:val="16"/>
              </w:rPr>
            </w:pPr>
            <w:r w:rsidRPr="00D9348B">
              <w:rPr>
                <w:rFonts w:cs="Calibri"/>
                <w:szCs w:val="16"/>
              </w:rPr>
              <w:t>16.64</w:t>
            </w:r>
          </w:p>
        </w:tc>
        <w:tc>
          <w:tcPr>
            <w:tcW w:w="1765" w:type="dxa"/>
            <w:tcBorders>
              <w:top w:val="single" w:sz="4" w:space="0" w:color="365F91"/>
              <w:bottom w:val="single" w:sz="4" w:space="0" w:color="365F91"/>
            </w:tcBorders>
            <w:noWrap/>
          </w:tcPr>
          <w:p w14:paraId="0056C092" w14:textId="77777777" w:rsidR="00F849A7" w:rsidRPr="00D9348B" w:rsidRDefault="00F849A7" w:rsidP="00DB330E">
            <w:pPr>
              <w:pStyle w:val="TableText"/>
              <w:spacing w:before="40" w:after="50"/>
              <w:jc w:val="center"/>
              <w:rPr>
                <w:rFonts w:cs="Calibri"/>
                <w:szCs w:val="16"/>
              </w:rPr>
            </w:pPr>
            <w:r w:rsidRPr="00D9348B">
              <w:rPr>
                <w:rFonts w:cs="Calibri"/>
                <w:szCs w:val="16"/>
              </w:rPr>
              <w:t>31.30</w:t>
            </w:r>
          </w:p>
        </w:tc>
      </w:tr>
      <w:tr w:rsidR="00F849A7" w:rsidRPr="00D9348B" w14:paraId="577B796E" w14:textId="77777777" w:rsidTr="0004051F">
        <w:tc>
          <w:tcPr>
            <w:tcW w:w="1351" w:type="dxa"/>
            <w:tcBorders>
              <w:top w:val="single" w:sz="4" w:space="0" w:color="365F91"/>
              <w:bottom w:val="single" w:sz="4" w:space="0" w:color="365F91"/>
            </w:tcBorders>
            <w:noWrap/>
          </w:tcPr>
          <w:p w14:paraId="2937559C" w14:textId="77777777" w:rsidR="00F849A7" w:rsidRPr="00D9348B" w:rsidRDefault="00F849A7" w:rsidP="00DB330E">
            <w:pPr>
              <w:pStyle w:val="TableText"/>
              <w:spacing w:before="40" w:after="50"/>
              <w:rPr>
                <w:rFonts w:cs="Calibri"/>
                <w:szCs w:val="16"/>
              </w:rPr>
            </w:pPr>
            <w:r w:rsidRPr="00D9348B">
              <w:rPr>
                <w:rFonts w:cs="Calibri"/>
                <w:szCs w:val="16"/>
              </w:rPr>
              <w:t>2016</w:t>
            </w:r>
          </w:p>
        </w:tc>
        <w:tc>
          <w:tcPr>
            <w:tcW w:w="1791" w:type="dxa"/>
            <w:tcBorders>
              <w:top w:val="single" w:sz="4" w:space="0" w:color="365F91"/>
              <w:bottom w:val="single" w:sz="4" w:space="0" w:color="365F91"/>
            </w:tcBorders>
            <w:noWrap/>
          </w:tcPr>
          <w:p w14:paraId="4ADC101F" w14:textId="77777777" w:rsidR="00F849A7" w:rsidRPr="00D9348B" w:rsidRDefault="00F849A7" w:rsidP="00DB330E">
            <w:pPr>
              <w:pStyle w:val="TableText"/>
              <w:spacing w:before="40" w:after="50"/>
              <w:jc w:val="center"/>
              <w:rPr>
                <w:rFonts w:cs="Calibri"/>
                <w:szCs w:val="16"/>
              </w:rPr>
            </w:pPr>
            <w:r w:rsidRPr="00D9348B">
              <w:rPr>
                <w:rFonts w:cs="Calibri"/>
                <w:szCs w:val="16"/>
              </w:rPr>
              <w:t>119.4</w:t>
            </w:r>
          </w:p>
        </w:tc>
        <w:tc>
          <w:tcPr>
            <w:tcW w:w="1791" w:type="dxa"/>
            <w:tcBorders>
              <w:top w:val="single" w:sz="4" w:space="0" w:color="365F91"/>
              <w:bottom w:val="single" w:sz="4" w:space="0" w:color="365F91"/>
            </w:tcBorders>
            <w:noWrap/>
          </w:tcPr>
          <w:p w14:paraId="776355EB" w14:textId="77777777" w:rsidR="00F849A7" w:rsidRPr="00D9348B" w:rsidRDefault="00F849A7" w:rsidP="00DB330E">
            <w:pPr>
              <w:pStyle w:val="TableText"/>
              <w:spacing w:before="40" w:after="50"/>
              <w:jc w:val="center"/>
              <w:rPr>
                <w:rFonts w:cs="Calibri"/>
                <w:szCs w:val="16"/>
              </w:rPr>
            </w:pPr>
            <w:r w:rsidRPr="00D9348B">
              <w:rPr>
                <w:rFonts w:cs="Calibri"/>
                <w:szCs w:val="16"/>
              </w:rPr>
              <w:t>76.78</w:t>
            </w:r>
          </w:p>
        </w:tc>
        <w:tc>
          <w:tcPr>
            <w:tcW w:w="1807" w:type="dxa"/>
            <w:tcBorders>
              <w:top w:val="single" w:sz="4" w:space="0" w:color="365F91"/>
              <w:bottom w:val="single" w:sz="4" w:space="0" w:color="365F91"/>
            </w:tcBorders>
            <w:noWrap/>
          </w:tcPr>
          <w:p w14:paraId="38E3FE59" w14:textId="77777777" w:rsidR="00F849A7" w:rsidRPr="00D9348B" w:rsidRDefault="00F849A7" w:rsidP="00DB330E">
            <w:pPr>
              <w:pStyle w:val="TableText"/>
              <w:spacing w:before="40" w:after="50"/>
              <w:jc w:val="center"/>
              <w:rPr>
                <w:rFonts w:cs="Calibri"/>
                <w:szCs w:val="16"/>
              </w:rPr>
            </w:pPr>
            <w:r w:rsidRPr="00D9348B">
              <w:rPr>
                <w:rFonts w:cs="Calibri"/>
                <w:szCs w:val="16"/>
              </w:rPr>
              <w:t>16.94</w:t>
            </w:r>
          </w:p>
        </w:tc>
        <w:tc>
          <w:tcPr>
            <w:tcW w:w="1765" w:type="dxa"/>
            <w:tcBorders>
              <w:top w:val="single" w:sz="4" w:space="0" w:color="365F91"/>
              <w:bottom w:val="single" w:sz="4" w:space="0" w:color="365F91"/>
            </w:tcBorders>
            <w:noWrap/>
          </w:tcPr>
          <w:p w14:paraId="1DA17E6A" w14:textId="77777777" w:rsidR="00F849A7" w:rsidRPr="00D9348B" w:rsidRDefault="00F849A7" w:rsidP="00DB330E">
            <w:pPr>
              <w:pStyle w:val="TableText"/>
              <w:spacing w:before="40" w:after="50"/>
              <w:jc w:val="center"/>
              <w:rPr>
                <w:rFonts w:cs="Calibri"/>
                <w:szCs w:val="16"/>
              </w:rPr>
            </w:pPr>
            <w:r w:rsidRPr="00D9348B">
              <w:rPr>
                <w:rFonts w:cs="Calibri"/>
                <w:szCs w:val="16"/>
              </w:rPr>
              <w:t>31.93</w:t>
            </w:r>
          </w:p>
        </w:tc>
      </w:tr>
      <w:tr w:rsidR="00F849A7" w:rsidRPr="00D9348B" w14:paraId="6CA92A72" w14:textId="77777777" w:rsidTr="0004051F">
        <w:tc>
          <w:tcPr>
            <w:tcW w:w="1351" w:type="dxa"/>
            <w:tcBorders>
              <w:top w:val="single" w:sz="4" w:space="0" w:color="365F91"/>
              <w:bottom w:val="single" w:sz="4" w:space="0" w:color="365F91"/>
            </w:tcBorders>
            <w:noWrap/>
          </w:tcPr>
          <w:p w14:paraId="36EE5165" w14:textId="77777777" w:rsidR="00F849A7" w:rsidRPr="00D9348B" w:rsidRDefault="00F849A7" w:rsidP="00DB330E">
            <w:pPr>
              <w:pStyle w:val="TableText"/>
              <w:spacing w:before="40" w:after="50"/>
              <w:rPr>
                <w:rFonts w:cs="Calibri"/>
                <w:szCs w:val="16"/>
              </w:rPr>
            </w:pPr>
            <w:r w:rsidRPr="00D9348B">
              <w:rPr>
                <w:rFonts w:cs="Calibri"/>
                <w:szCs w:val="16"/>
              </w:rPr>
              <w:t>2017</w:t>
            </w:r>
          </w:p>
        </w:tc>
        <w:tc>
          <w:tcPr>
            <w:tcW w:w="1791" w:type="dxa"/>
            <w:tcBorders>
              <w:top w:val="single" w:sz="4" w:space="0" w:color="365F91"/>
              <w:bottom w:val="single" w:sz="4" w:space="0" w:color="365F91"/>
            </w:tcBorders>
            <w:noWrap/>
          </w:tcPr>
          <w:p w14:paraId="6FB560C3" w14:textId="77777777" w:rsidR="00F849A7" w:rsidRPr="00D9348B" w:rsidRDefault="00F849A7" w:rsidP="00DB330E">
            <w:pPr>
              <w:pStyle w:val="TableText"/>
              <w:spacing w:before="40" w:after="50"/>
              <w:jc w:val="center"/>
              <w:rPr>
                <w:rFonts w:cs="Calibri"/>
                <w:szCs w:val="16"/>
              </w:rPr>
            </w:pPr>
            <w:r w:rsidRPr="00D9348B">
              <w:rPr>
                <w:rFonts w:cs="Calibri"/>
                <w:szCs w:val="16"/>
              </w:rPr>
              <w:t>120.9</w:t>
            </w:r>
          </w:p>
        </w:tc>
        <w:tc>
          <w:tcPr>
            <w:tcW w:w="1791" w:type="dxa"/>
            <w:tcBorders>
              <w:top w:val="single" w:sz="4" w:space="0" w:color="365F91"/>
              <w:bottom w:val="single" w:sz="4" w:space="0" w:color="365F91"/>
            </w:tcBorders>
            <w:noWrap/>
          </w:tcPr>
          <w:p w14:paraId="1C4E0736" w14:textId="77777777" w:rsidR="00F849A7" w:rsidRPr="00D9348B" w:rsidRDefault="00F849A7" w:rsidP="00DB330E">
            <w:pPr>
              <w:pStyle w:val="TableText"/>
              <w:spacing w:before="40" w:after="50"/>
              <w:jc w:val="center"/>
              <w:rPr>
                <w:rFonts w:cs="Calibri"/>
                <w:szCs w:val="16"/>
              </w:rPr>
            </w:pPr>
            <w:r w:rsidRPr="00D9348B">
              <w:rPr>
                <w:rFonts w:cs="Calibri"/>
                <w:szCs w:val="16"/>
              </w:rPr>
              <w:t>76.20</w:t>
            </w:r>
          </w:p>
        </w:tc>
        <w:tc>
          <w:tcPr>
            <w:tcW w:w="1807" w:type="dxa"/>
            <w:tcBorders>
              <w:top w:val="single" w:sz="4" w:space="0" w:color="365F91"/>
              <w:bottom w:val="single" w:sz="4" w:space="0" w:color="365F91"/>
            </w:tcBorders>
            <w:noWrap/>
          </w:tcPr>
          <w:p w14:paraId="78776B85" w14:textId="77777777" w:rsidR="00F849A7" w:rsidRPr="00D9348B" w:rsidRDefault="00F849A7" w:rsidP="00DB330E">
            <w:pPr>
              <w:pStyle w:val="TableText"/>
              <w:spacing w:before="40" w:after="50"/>
              <w:jc w:val="center"/>
              <w:rPr>
                <w:rFonts w:cs="Calibri"/>
                <w:szCs w:val="16"/>
              </w:rPr>
            </w:pPr>
            <w:r w:rsidRPr="00D9348B">
              <w:rPr>
                <w:rFonts w:cs="Calibri"/>
                <w:szCs w:val="16"/>
              </w:rPr>
              <w:t>17.01</w:t>
            </w:r>
          </w:p>
        </w:tc>
        <w:tc>
          <w:tcPr>
            <w:tcW w:w="1765" w:type="dxa"/>
            <w:tcBorders>
              <w:top w:val="single" w:sz="4" w:space="0" w:color="365F91"/>
              <w:bottom w:val="single" w:sz="4" w:space="0" w:color="365F91"/>
            </w:tcBorders>
            <w:noWrap/>
          </w:tcPr>
          <w:p w14:paraId="1864C368" w14:textId="77777777" w:rsidR="00F849A7" w:rsidRPr="00D9348B" w:rsidRDefault="00F849A7" w:rsidP="00DB330E">
            <w:pPr>
              <w:pStyle w:val="TableText"/>
              <w:spacing w:before="40" w:after="50"/>
              <w:jc w:val="center"/>
              <w:rPr>
                <w:rFonts w:cs="Calibri"/>
                <w:szCs w:val="16"/>
              </w:rPr>
            </w:pPr>
            <w:r w:rsidRPr="00D9348B">
              <w:rPr>
                <w:rFonts w:cs="Calibri"/>
                <w:szCs w:val="16"/>
              </w:rPr>
              <w:t>31.62</w:t>
            </w:r>
          </w:p>
        </w:tc>
      </w:tr>
      <w:tr w:rsidR="00F849A7" w:rsidRPr="00D9348B" w14:paraId="59AB6637" w14:textId="77777777" w:rsidTr="0004051F">
        <w:tc>
          <w:tcPr>
            <w:tcW w:w="1351" w:type="dxa"/>
            <w:tcBorders>
              <w:top w:val="single" w:sz="4" w:space="0" w:color="365F91"/>
              <w:bottom w:val="single" w:sz="4" w:space="0" w:color="365F91"/>
            </w:tcBorders>
            <w:noWrap/>
          </w:tcPr>
          <w:p w14:paraId="30CE4410" w14:textId="77777777" w:rsidR="00F849A7" w:rsidRPr="00D9348B" w:rsidRDefault="00F849A7" w:rsidP="00DB330E">
            <w:pPr>
              <w:pStyle w:val="TableText"/>
              <w:spacing w:before="40" w:after="50"/>
              <w:rPr>
                <w:rFonts w:cs="Calibri"/>
                <w:szCs w:val="16"/>
              </w:rPr>
            </w:pPr>
            <w:r w:rsidRPr="00D9348B">
              <w:rPr>
                <w:rFonts w:cs="Calibri"/>
                <w:szCs w:val="16"/>
              </w:rPr>
              <w:t>2018</w:t>
            </w:r>
          </w:p>
        </w:tc>
        <w:tc>
          <w:tcPr>
            <w:tcW w:w="1791" w:type="dxa"/>
            <w:tcBorders>
              <w:top w:val="single" w:sz="4" w:space="0" w:color="365F91"/>
              <w:bottom w:val="single" w:sz="4" w:space="0" w:color="365F91"/>
            </w:tcBorders>
            <w:noWrap/>
          </w:tcPr>
          <w:p w14:paraId="7415DBF9" w14:textId="77777777" w:rsidR="00F849A7" w:rsidRPr="00D9348B" w:rsidRDefault="00F849A7" w:rsidP="00DB330E">
            <w:pPr>
              <w:pStyle w:val="TableText"/>
              <w:spacing w:before="40" w:after="50"/>
              <w:jc w:val="center"/>
              <w:rPr>
                <w:rFonts w:cs="Calibri"/>
                <w:szCs w:val="16"/>
              </w:rPr>
            </w:pPr>
            <w:r w:rsidRPr="00D9348B">
              <w:rPr>
                <w:rFonts w:cs="Calibri"/>
                <w:szCs w:val="16"/>
              </w:rPr>
              <w:t>123.6</w:t>
            </w:r>
          </w:p>
        </w:tc>
        <w:tc>
          <w:tcPr>
            <w:tcW w:w="1791" w:type="dxa"/>
            <w:tcBorders>
              <w:top w:val="single" w:sz="4" w:space="0" w:color="365F91"/>
              <w:bottom w:val="single" w:sz="4" w:space="0" w:color="365F91"/>
            </w:tcBorders>
            <w:noWrap/>
          </w:tcPr>
          <w:p w14:paraId="05A4C836" w14:textId="77777777" w:rsidR="00F849A7" w:rsidRPr="00D9348B" w:rsidRDefault="00F849A7" w:rsidP="00DB330E">
            <w:pPr>
              <w:pStyle w:val="TableText"/>
              <w:spacing w:before="40" w:after="50"/>
              <w:jc w:val="center"/>
              <w:rPr>
                <w:rFonts w:cs="Calibri"/>
                <w:szCs w:val="16"/>
              </w:rPr>
            </w:pPr>
            <w:r w:rsidRPr="00D9348B">
              <w:rPr>
                <w:rFonts w:cs="Calibri"/>
                <w:szCs w:val="16"/>
              </w:rPr>
              <w:t>74.92</w:t>
            </w:r>
          </w:p>
        </w:tc>
        <w:tc>
          <w:tcPr>
            <w:tcW w:w="1807" w:type="dxa"/>
            <w:tcBorders>
              <w:top w:val="single" w:sz="4" w:space="0" w:color="365F91"/>
              <w:bottom w:val="single" w:sz="4" w:space="0" w:color="365F91"/>
            </w:tcBorders>
            <w:noWrap/>
          </w:tcPr>
          <w:p w14:paraId="1DA170B3" w14:textId="77777777" w:rsidR="00F849A7" w:rsidRPr="00D9348B" w:rsidRDefault="00F849A7" w:rsidP="00DB330E">
            <w:pPr>
              <w:pStyle w:val="TableText"/>
              <w:spacing w:before="40" w:after="50"/>
              <w:jc w:val="center"/>
              <w:rPr>
                <w:rFonts w:cs="Calibri"/>
                <w:szCs w:val="16"/>
              </w:rPr>
            </w:pPr>
            <w:r w:rsidRPr="00D9348B">
              <w:rPr>
                <w:rFonts w:cs="Calibri"/>
                <w:szCs w:val="16"/>
              </w:rPr>
              <w:t>17.29</w:t>
            </w:r>
          </w:p>
        </w:tc>
        <w:tc>
          <w:tcPr>
            <w:tcW w:w="1765" w:type="dxa"/>
            <w:tcBorders>
              <w:top w:val="single" w:sz="4" w:space="0" w:color="365F91"/>
              <w:bottom w:val="single" w:sz="4" w:space="0" w:color="365F91"/>
            </w:tcBorders>
            <w:noWrap/>
          </w:tcPr>
          <w:p w14:paraId="556D3587" w14:textId="77777777" w:rsidR="00F849A7" w:rsidRPr="00D9348B" w:rsidRDefault="00F849A7" w:rsidP="00DB330E">
            <w:pPr>
              <w:pStyle w:val="TableText"/>
              <w:spacing w:before="40" w:after="50"/>
              <w:jc w:val="center"/>
              <w:rPr>
                <w:rFonts w:cs="Calibri"/>
                <w:szCs w:val="16"/>
              </w:rPr>
            </w:pPr>
            <w:r w:rsidRPr="00D9348B">
              <w:rPr>
                <w:rFonts w:cs="Calibri"/>
                <w:szCs w:val="16"/>
              </w:rPr>
              <w:t>31.23</w:t>
            </w:r>
          </w:p>
        </w:tc>
      </w:tr>
    </w:tbl>
    <w:p w14:paraId="1F7D3495" w14:textId="77777777" w:rsidR="00F849A7" w:rsidRPr="00D9348B" w:rsidRDefault="00F849A7" w:rsidP="00F849A7">
      <w:pPr>
        <w:pStyle w:val="Heading5"/>
        <w:spacing w:before="320"/>
        <w:rPr>
          <w:rFonts w:cs="Calibri"/>
        </w:rPr>
      </w:pPr>
      <w:r w:rsidRPr="00D9348B">
        <w:rPr>
          <w:rFonts w:cs="Calibri"/>
        </w:rPr>
        <w:t xml:space="preserve">Nitrogen excretion rates for the minor livestock categories </w:t>
      </w:r>
    </w:p>
    <w:p w14:paraId="2157017C" w14:textId="77777777" w:rsidR="00F849A7" w:rsidRPr="00D9348B" w:rsidRDefault="00F849A7" w:rsidP="00F849A7">
      <w:pPr>
        <w:pStyle w:val="BodyText"/>
        <w:spacing w:before="100" w:after="100"/>
        <w:rPr>
          <w:rFonts w:cs="Calibri"/>
        </w:rPr>
      </w:pPr>
      <w:r w:rsidRPr="00D9348B">
        <w:rPr>
          <w:rFonts w:cs="Calibri"/>
          <w:b/>
          <w:bCs/>
          <w:i/>
          <w:iCs/>
        </w:rPr>
        <w:t>Swine:</w:t>
      </w:r>
      <w:r w:rsidRPr="00D9348B">
        <w:rPr>
          <w:rFonts w:cs="Calibri"/>
          <w:i/>
          <w:iCs/>
        </w:rPr>
        <w:t xml:space="preserve"> </w:t>
      </w:r>
      <w:r w:rsidRPr="00D9348B">
        <w:rPr>
          <w:rFonts w:cs="Calibri"/>
        </w:rPr>
        <w:t xml:space="preserve">A New Zealand-specific </w:t>
      </w:r>
      <w:proofErr w:type="gramStart"/>
      <w:r w:rsidRPr="00D9348B">
        <w:rPr>
          <w:rFonts w:cs="Calibri"/>
        </w:rPr>
        <w:t>N</w:t>
      </w:r>
      <w:r w:rsidRPr="00D9348B">
        <w:rPr>
          <w:rFonts w:cs="Calibri"/>
          <w:vertAlign w:val="subscript"/>
        </w:rPr>
        <w:t>ex</w:t>
      </w:r>
      <w:proofErr w:type="gramEnd"/>
      <w:r w:rsidRPr="00D9348B">
        <w:rPr>
          <w:rFonts w:cs="Calibri"/>
        </w:rPr>
        <w:t xml:space="preserve"> rate for swine is calculated for each year (see table 5.3.4) based on the 2009 value of 10.8 kg N/head/year (Hill, 2012). This 2009 value is based on the weighted average of the distribution of animal weights by swine category. Estimates of </w:t>
      </w:r>
      <w:proofErr w:type="gramStart"/>
      <w:r w:rsidRPr="00D9348B">
        <w:rPr>
          <w:rFonts w:cs="Calibri"/>
        </w:rPr>
        <w:t>N</w:t>
      </w:r>
      <w:r w:rsidRPr="00D9348B">
        <w:rPr>
          <w:rFonts w:cs="Calibri"/>
          <w:vertAlign w:val="subscript"/>
        </w:rPr>
        <w:t>ex</w:t>
      </w:r>
      <w:proofErr w:type="gramEnd"/>
      <w:r w:rsidRPr="00D9348B">
        <w:rPr>
          <w:rFonts w:cs="Calibri"/>
        </w:rPr>
        <w:t xml:space="preserve"> rates for all other years are indexed relative to 2009 for the average pig kill weights for each year. Average pig weights have increased since 1990 due to improvements in productivity. Data on swine carcass weights are collected by MPI.</w:t>
      </w:r>
    </w:p>
    <w:p w14:paraId="21E0C538" w14:textId="77777777" w:rsidR="00F849A7" w:rsidRPr="00D9348B" w:rsidRDefault="00F849A7" w:rsidP="00F849A7">
      <w:pPr>
        <w:pStyle w:val="BodyText"/>
        <w:spacing w:before="100" w:after="100"/>
        <w:rPr>
          <w:rFonts w:cs="Calibri"/>
        </w:rPr>
      </w:pPr>
      <w:r w:rsidRPr="00D9348B">
        <w:rPr>
          <w:rFonts w:cs="Calibri"/>
          <w:b/>
          <w:bCs/>
          <w:i/>
          <w:iCs/>
        </w:rPr>
        <w:t>Goats:</w:t>
      </w:r>
      <w:r w:rsidRPr="00D9348B">
        <w:rPr>
          <w:rFonts w:cs="Calibri"/>
        </w:rPr>
        <w:t xml:space="preserve"> New Zealand uses country-specific </w:t>
      </w:r>
      <w:proofErr w:type="gramStart"/>
      <w:r w:rsidRPr="00D9348B">
        <w:rPr>
          <w:rFonts w:cs="Calibri"/>
        </w:rPr>
        <w:t>N</w:t>
      </w:r>
      <w:r w:rsidRPr="00D9348B">
        <w:rPr>
          <w:rFonts w:cs="Calibri"/>
          <w:vertAlign w:val="subscript"/>
        </w:rPr>
        <w:t>ex</w:t>
      </w:r>
      <w:proofErr w:type="gramEnd"/>
      <w:r w:rsidRPr="00D9348B">
        <w:rPr>
          <w:rFonts w:cs="Calibri"/>
        </w:rPr>
        <w:t xml:space="preserve"> rates for goats to estimate N</w:t>
      </w:r>
      <w:r w:rsidRPr="00D9348B">
        <w:rPr>
          <w:rFonts w:cs="Calibri"/>
          <w:vertAlign w:val="subscript"/>
        </w:rPr>
        <w:t>2</w:t>
      </w:r>
      <w:r w:rsidRPr="00D9348B">
        <w:rPr>
          <w:rFonts w:cs="Calibri"/>
        </w:rPr>
        <w:t>O emissions of 10.6 kg N/head/year for 1990 and 12.1 kg N/head/year for 2009 based on the differing population characteristics for those two years (Lassey, 2011). As explained in section 5.2.2 for </w:t>
      </w:r>
      <w:r w:rsidRPr="00D9348B">
        <w:rPr>
          <w:rFonts w:cs="Calibri"/>
          <w:i/>
          <w:iCs/>
        </w:rPr>
        <w:t>Enteric fermentation</w:t>
      </w:r>
      <w:r w:rsidRPr="00D9348B">
        <w:rPr>
          <w:rFonts w:cs="Calibri"/>
        </w:rPr>
        <w:t xml:space="preserve">, for the intermediate years between 1990 and 2009 and for later years, the excretion rate was interpolated based on assumptions that the dairy goat population has remained in a near constant state over time while the rest of the goat population has declined (see table 5.3.4). </w:t>
      </w:r>
    </w:p>
    <w:p w14:paraId="46FAC0A6" w14:textId="77777777" w:rsidR="00F849A7" w:rsidRPr="00D9348B" w:rsidRDefault="00F849A7" w:rsidP="00F849A7">
      <w:pPr>
        <w:pStyle w:val="BodyText"/>
        <w:rPr>
          <w:rFonts w:cs="Calibri"/>
        </w:rPr>
      </w:pPr>
      <w:r w:rsidRPr="00D9348B">
        <w:rPr>
          <w:rFonts w:cs="Calibri"/>
          <w:b/>
          <w:bCs/>
          <w:i/>
          <w:iCs/>
        </w:rPr>
        <w:lastRenderedPageBreak/>
        <w:t>Poultry:</w:t>
      </w:r>
      <w:r w:rsidRPr="00D9348B">
        <w:rPr>
          <w:rFonts w:cs="Calibri"/>
        </w:rPr>
        <w:t xml:space="preserve"> New Zealand-specific and IPCC default </w:t>
      </w:r>
      <w:proofErr w:type="gramStart"/>
      <w:r w:rsidRPr="00D9348B">
        <w:rPr>
          <w:rFonts w:cs="Calibri"/>
        </w:rPr>
        <w:t>N</w:t>
      </w:r>
      <w:r w:rsidRPr="00D9348B">
        <w:rPr>
          <w:rFonts w:cs="Calibri"/>
          <w:vertAlign w:val="subscript"/>
        </w:rPr>
        <w:t>ex</w:t>
      </w:r>
      <w:proofErr w:type="gramEnd"/>
      <w:r w:rsidRPr="00D9348B">
        <w:rPr>
          <w:rFonts w:cs="Calibri"/>
        </w:rPr>
        <w:t xml:space="preserve"> rates are used for poultry (Fick et al., 2011). These are the country-specific values of 0.39 kg N/head/year for broiler birds and 0.42 kg N/head/year for layer hens. Ducks and turkeys make up approximately 1.1 per cent of New Zealand’s poultry population, and flock sizes are unclear because they are reported by Statistics New Zealand under ‘other poultry’. Therefore, the value of 0.60 kg N/head/year for ducks and turkeys recommended by Fick et al. (2011) is retained. These values are used for all years from 1990. The overall </w:t>
      </w:r>
      <w:proofErr w:type="gramStart"/>
      <w:r w:rsidRPr="00D9348B">
        <w:rPr>
          <w:rFonts w:cs="Calibri"/>
        </w:rPr>
        <w:t>N</w:t>
      </w:r>
      <w:r w:rsidRPr="00D9348B">
        <w:rPr>
          <w:rFonts w:cs="Calibri"/>
          <w:vertAlign w:val="subscript"/>
        </w:rPr>
        <w:t>ex</w:t>
      </w:r>
      <w:proofErr w:type="gramEnd"/>
      <w:r w:rsidRPr="00D9348B">
        <w:rPr>
          <w:rFonts w:cs="Calibri"/>
        </w:rPr>
        <w:t xml:space="preserve"> rate for poultry is affected by the change over time in the population proportions of these different categories.</w:t>
      </w:r>
    </w:p>
    <w:p w14:paraId="1CBD68D6" w14:textId="77777777" w:rsidR="00F849A7" w:rsidRPr="00D9348B" w:rsidRDefault="00F849A7" w:rsidP="00F849A7">
      <w:pPr>
        <w:pStyle w:val="BodyText"/>
        <w:rPr>
          <w:rFonts w:cs="Calibri"/>
        </w:rPr>
      </w:pPr>
      <w:r w:rsidRPr="00D9348B">
        <w:rPr>
          <w:rFonts w:cs="Calibri"/>
          <w:b/>
          <w:bCs/>
          <w:i/>
          <w:iCs/>
        </w:rPr>
        <w:t>Horses</w:t>
      </w:r>
      <w:r w:rsidRPr="00D9348B">
        <w:rPr>
          <w:rFonts w:cs="Calibri"/>
          <w:b/>
          <w:bCs/>
        </w:rPr>
        <w:t xml:space="preserve">, and </w:t>
      </w:r>
      <w:r w:rsidRPr="00D9348B">
        <w:rPr>
          <w:rFonts w:cs="Calibri"/>
          <w:b/>
          <w:bCs/>
          <w:i/>
          <w:iCs/>
        </w:rPr>
        <w:t>mules and asses:</w:t>
      </w:r>
      <w:r w:rsidRPr="00D9348B">
        <w:rPr>
          <w:rFonts w:cs="Calibri"/>
        </w:rPr>
        <w:t xml:space="preserve"> New Zealand-specific </w:t>
      </w:r>
      <w:proofErr w:type="gramStart"/>
      <w:r w:rsidRPr="00D9348B">
        <w:rPr>
          <w:rFonts w:cs="Calibri"/>
        </w:rPr>
        <w:t>N</w:t>
      </w:r>
      <w:r w:rsidRPr="00D9348B">
        <w:rPr>
          <w:rFonts w:cs="Calibri"/>
          <w:vertAlign w:val="subscript"/>
        </w:rPr>
        <w:t>ex</w:t>
      </w:r>
      <w:proofErr w:type="gramEnd"/>
      <w:r w:rsidRPr="00D9348B">
        <w:rPr>
          <w:rFonts w:cs="Calibri"/>
        </w:rPr>
        <w:t xml:space="preserve"> rates are not available for horses, mules and asses, and the default N</w:t>
      </w:r>
      <w:r w:rsidRPr="00D9348B">
        <w:rPr>
          <w:rFonts w:cs="Calibri"/>
          <w:vertAlign w:val="subscript"/>
        </w:rPr>
        <w:t>ex</w:t>
      </w:r>
      <w:r w:rsidRPr="00D9348B">
        <w:rPr>
          <w:rFonts w:cs="Calibri"/>
        </w:rPr>
        <w:t xml:space="preserve"> rate for Oceania of 0.3 kg nitrogen per 1,000 kg of animal mass per day is used, in line with the 2006 IPCC Guidelines (IPCC, 2006, table 10.19).</w:t>
      </w:r>
    </w:p>
    <w:p w14:paraId="296BACFD" w14:textId="77777777" w:rsidR="00F849A7" w:rsidRPr="00D9348B" w:rsidRDefault="00F849A7" w:rsidP="00F849A7">
      <w:pPr>
        <w:pStyle w:val="BodyText"/>
        <w:rPr>
          <w:rFonts w:cs="Calibri"/>
          <w:spacing w:val="-2"/>
        </w:rPr>
      </w:pPr>
      <w:r w:rsidRPr="00D9348B">
        <w:rPr>
          <w:rFonts w:cs="Calibri"/>
          <w:b/>
          <w:bCs/>
          <w:i/>
          <w:iCs/>
          <w:spacing w:val="-2"/>
        </w:rPr>
        <w:t>Llamas and alpacas:</w:t>
      </w:r>
      <w:r w:rsidRPr="00D9348B">
        <w:rPr>
          <w:rFonts w:cs="Calibri"/>
          <w:i/>
          <w:iCs/>
          <w:spacing w:val="-2"/>
        </w:rPr>
        <w:t xml:space="preserve"> </w:t>
      </w:r>
      <w:r w:rsidRPr="00D9348B">
        <w:rPr>
          <w:rFonts w:cs="Calibri"/>
          <w:spacing w:val="-2"/>
        </w:rPr>
        <w:t xml:space="preserve">Because there is no IPCC default </w:t>
      </w:r>
      <w:proofErr w:type="gramStart"/>
      <w:r w:rsidRPr="00D9348B">
        <w:rPr>
          <w:rFonts w:cs="Calibri"/>
          <w:spacing w:val="-2"/>
        </w:rPr>
        <w:t>N</w:t>
      </w:r>
      <w:r w:rsidRPr="00D9348B">
        <w:rPr>
          <w:rFonts w:cs="Calibri"/>
          <w:spacing w:val="-2"/>
          <w:vertAlign w:val="subscript"/>
        </w:rPr>
        <w:t>ex</w:t>
      </w:r>
      <w:proofErr w:type="gramEnd"/>
      <w:r w:rsidRPr="00D9348B">
        <w:rPr>
          <w:rFonts w:cs="Calibri"/>
          <w:spacing w:val="-2"/>
        </w:rPr>
        <w:t xml:space="preserve"> rate for alpacas, this was calculated by assuming a default N</w:t>
      </w:r>
      <w:r w:rsidRPr="00D9348B">
        <w:rPr>
          <w:rFonts w:cs="Calibri"/>
          <w:spacing w:val="-2"/>
          <w:vertAlign w:val="subscript"/>
        </w:rPr>
        <w:t>ex</w:t>
      </w:r>
      <w:r w:rsidRPr="00D9348B">
        <w:rPr>
          <w:rFonts w:cs="Calibri"/>
          <w:spacing w:val="-2"/>
        </w:rPr>
        <w:t xml:space="preserve"> rate for alpacas for all years that is equal to the per-head value of the average sheep in 1990 (i.e., 13.2 kg/head/year). The alpaca emission factor is not indexed to sheep over time because there are no data to support the productivity increases that have been seen in sheep. Sheep were used, rather than the IPCC default value for ‘other animals’, because the literature indicates that alpacas have a nitrogen intake close to that of sheep and no significant difference in the partitioning of nitrogen (Pinares-Patino et al., 2003). Using the much higher default value for ‘other animals’ would result in the overestimation of N</w:t>
      </w:r>
      <w:r w:rsidRPr="00D9348B">
        <w:rPr>
          <w:rFonts w:cs="Calibri"/>
          <w:spacing w:val="-2"/>
          <w:vertAlign w:val="subscript"/>
        </w:rPr>
        <w:t>ex</w:t>
      </w:r>
      <w:r w:rsidRPr="00D9348B">
        <w:rPr>
          <w:rFonts w:cs="Calibri"/>
          <w:spacing w:val="-2"/>
        </w:rPr>
        <w:t xml:space="preserve"> for alpacas. </w:t>
      </w:r>
    </w:p>
    <w:p w14:paraId="22D8382F" w14:textId="77777777" w:rsidR="00F849A7" w:rsidRPr="00D9348B" w:rsidRDefault="00F849A7" w:rsidP="00F849A7">
      <w:pPr>
        <w:pStyle w:val="Table"/>
        <w:rPr>
          <w:rFonts w:cs="Calibri"/>
        </w:rPr>
      </w:pPr>
      <w:bookmarkStart w:id="747" w:name="_Toc441830876"/>
      <w:bookmarkStart w:id="748" w:name="_Toc451176090"/>
      <w:bookmarkStart w:id="749" w:name="_Toc481751518"/>
      <w:bookmarkStart w:id="750" w:name="_Toc507158606"/>
      <w:bookmarkStart w:id="751" w:name="_Toc511116740"/>
      <w:bookmarkStart w:id="752" w:name="_Toc5269480"/>
      <w:bookmarkStart w:id="753" w:name="_Toc32570923"/>
      <w:bookmarkStart w:id="754" w:name="_Toc36224558"/>
      <w:r w:rsidRPr="00D9348B">
        <w:rPr>
          <w:rFonts w:cs="Calibri"/>
        </w:rPr>
        <w:t>Table 5.3.4</w:t>
      </w:r>
      <w:r w:rsidRPr="00D9348B">
        <w:rPr>
          <w:rFonts w:cs="Calibri"/>
        </w:rPr>
        <w:tab/>
        <w:t>Nitrogen excretion (</w:t>
      </w:r>
      <w:proofErr w:type="gramStart"/>
      <w:r w:rsidRPr="00D9348B">
        <w:rPr>
          <w:rFonts w:cs="Calibri"/>
        </w:rPr>
        <w:t>N</w:t>
      </w:r>
      <w:r w:rsidRPr="00D9348B">
        <w:rPr>
          <w:rFonts w:cs="Calibri"/>
          <w:vertAlign w:val="subscript"/>
        </w:rPr>
        <w:t>ex</w:t>
      </w:r>
      <w:proofErr w:type="gramEnd"/>
      <w:r w:rsidRPr="00D9348B">
        <w:rPr>
          <w:rFonts w:cs="Calibri"/>
        </w:rPr>
        <w:t>) rates for New Zealand’s swine and goats from 1990 to </w:t>
      </w:r>
      <w:bookmarkEnd w:id="747"/>
      <w:bookmarkEnd w:id="748"/>
      <w:bookmarkEnd w:id="749"/>
      <w:bookmarkEnd w:id="750"/>
      <w:bookmarkEnd w:id="751"/>
      <w:bookmarkEnd w:id="752"/>
      <w:r w:rsidRPr="00D9348B">
        <w:rPr>
          <w:rFonts w:cs="Calibri"/>
        </w:rPr>
        <w:t>2018</w:t>
      </w:r>
      <w:bookmarkEnd w:id="753"/>
      <w:bookmarkEnd w:id="754"/>
      <w:r w:rsidRPr="00D9348B">
        <w:rPr>
          <w:rFonts w:cs="Calibri"/>
        </w:rPr>
        <w:t xml:space="preserve"> </w:t>
      </w:r>
    </w:p>
    <w:tbl>
      <w:tblPr>
        <w:tblW w:w="8562" w:type="dxa"/>
        <w:tblInd w:w="108" w:type="dxa"/>
        <w:tblLook w:val="0000" w:firstRow="0" w:lastRow="0" w:firstColumn="0" w:lastColumn="0" w:noHBand="0" w:noVBand="0"/>
      </w:tblPr>
      <w:tblGrid>
        <w:gridCol w:w="939"/>
        <w:gridCol w:w="1612"/>
        <w:gridCol w:w="1611"/>
        <w:gridCol w:w="351"/>
        <w:gridCol w:w="993"/>
        <w:gridCol w:w="1611"/>
        <w:gridCol w:w="1445"/>
      </w:tblGrid>
      <w:tr w:rsidR="00F849A7" w:rsidRPr="00D9348B" w14:paraId="1AEE3299" w14:textId="77777777" w:rsidTr="00124792">
        <w:trPr>
          <w:tblHeader/>
        </w:trPr>
        <w:tc>
          <w:tcPr>
            <w:tcW w:w="548" w:type="pct"/>
            <w:tcBorders>
              <w:top w:val="single" w:sz="4" w:space="0" w:color="365F91"/>
              <w:bottom w:val="single" w:sz="4" w:space="0" w:color="365F91"/>
            </w:tcBorders>
            <w:shd w:val="clear" w:color="auto" w:fill="365F91"/>
            <w:noWrap/>
            <w:vAlign w:val="bottom"/>
          </w:tcPr>
          <w:p w14:paraId="5BF0277B" w14:textId="77777777" w:rsidR="00F849A7" w:rsidRPr="00D9348B" w:rsidRDefault="00F849A7" w:rsidP="00DB330E">
            <w:pPr>
              <w:pStyle w:val="TableTextBold"/>
              <w:keepNext/>
              <w:rPr>
                <w:rFonts w:cs="Calibri"/>
                <w:noProof w:val="0"/>
                <w:color w:val="FFFFFF"/>
              </w:rPr>
            </w:pPr>
            <w:r w:rsidRPr="00D9348B">
              <w:rPr>
                <w:rFonts w:cs="Calibri"/>
                <w:noProof w:val="0"/>
                <w:color w:val="FFFFFF"/>
              </w:rPr>
              <w:t>Year</w:t>
            </w:r>
          </w:p>
        </w:tc>
        <w:tc>
          <w:tcPr>
            <w:tcW w:w="941" w:type="pct"/>
            <w:tcBorders>
              <w:top w:val="single" w:sz="4" w:space="0" w:color="365F91"/>
              <w:bottom w:val="single" w:sz="4" w:space="0" w:color="365F91"/>
            </w:tcBorders>
            <w:shd w:val="clear" w:color="auto" w:fill="365F91"/>
            <w:noWrap/>
            <w:vAlign w:val="bottom"/>
          </w:tcPr>
          <w:p w14:paraId="272793AB" w14:textId="77777777" w:rsidR="00F849A7" w:rsidRPr="00D9348B" w:rsidRDefault="00F849A7" w:rsidP="00DB330E">
            <w:pPr>
              <w:pStyle w:val="TableTextBold"/>
              <w:keepNext/>
              <w:jc w:val="center"/>
              <w:rPr>
                <w:rFonts w:cs="Calibri"/>
                <w:noProof w:val="0"/>
                <w:color w:val="FFFFFF"/>
              </w:rPr>
            </w:pPr>
            <w:r w:rsidRPr="00D9348B">
              <w:rPr>
                <w:rFonts w:cs="Calibri"/>
                <w:noProof w:val="0"/>
                <w:color w:val="FFFFFF"/>
              </w:rPr>
              <w:t>Goat N</w:t>
            </w:r>
            <w:r w:rsidRPr="00D9348B">
              <w:rPr>
                <w:rFonts w:cs="Calibri"/>
                <w:noProof w:val="0"/>
                <w:color w:val="FFFFFF"/>
                <w:vertAlign w:val="subscript"/>
              </w:rPr>
              <w:t xml:space="preserve">ex </w:t>
            </w:r>
            <w:r w:rsidRPr="00D9348B">
              <w:rPr>
                <w:rFonts w:cs="Calibri"/>
                <w:noProof w:val="0"/>
                <w:color w:val="FFFFFF"/>
              </w:rPr>
              <w:br/>
              <w:t>(kg/head/year)</w:t>
            </w:r>
          </w:p>
        </w:tc>
        <w:tc>
          <w:tcPr>
            <w:tcW w:w="941" w:type="pct"/>
            <w:tcBorders>
              <w:top w:val="single" w:sz="4" w:space="0" w:color="365F91"/>
              <w:bottom w:val="single" w:sz="4" w:space="0" w:color="365F91"/>
            </w:tcBorders>
            <w:shd w:val="clear" w:color="auto" w:fill="365F91"/>
            <w:noWrap/>
            <w:vAlign w:val="bottom"/>
          </w:tcPr>
          <w:p w14:paraId="3458D5DF" w14:textId="77777777" w:rsidR="00F849A7" w:rsidRPr="00D9348B" w:rsidRDefault="00F849A7" w:rsidP="00DB330E">
            <w:pPr>
              <w:pStyle w:val="TableTextBold"/>
              <w:keepNext/>
              <w:jc w:val="center"/>
              <w:rPr>
                <w:rFonts w:cs="Calibri"/>
                <w:noProof w:val="0"/>
                <w:color w:val="FFFFFF"/>
              </w:rPr>
            </w:pPr>
            <w:r w:rsidRPr="00D9348B">
              <w:rPr>
                <w:rFonts w:cs="Calibri"/>
                <w:noProof w:val="0"/>
                <w:color w:val="FFFFFF"/>
              </w:rPr>
              <w:t>Swine N</w:t>
            </w:r>
            <w:r w:rsidRPr="00D9348B">
              <w:rPr>
                <w:rFonts w:cs="Calibri"/>
                <w:noProof w:val="0"/>
                <w:color w:val="FFFFFF"/>
                <w:vertAlign w:val="subscript"/>
              </w:rPr>
              <w:t>ex</w:t>
            </w:r>
            <w:r w:rsidRPr="00D9348B">
              <w:rPr>
                <w:rFonts w:cs="Calibri"/>
                <w:noProof w:val="0"/>
                <w:color w:val="FFFFFF"/>
              </w:rPr>
              <w:t xml:space="preserve"> </w:t>
            </w:r>
            <w:r w:rsidRPr="00D9348B">
              <w:rPr>
                <w:rFonts w:cs="Calibri"/>
                <w:noProof w:val="0"/>
                <w:color w:val="FFFFFF"/>
              </w:rPr>
              <w:br/>
              <w:t>(kg/head/year)</w:t>
            </w:r>
          </w:p>
        </w:tc>
        <w:tc>
          <w:tcPr>
            <w:tcW w:w="205" w:type="pct"/>
            <w:tcBorders>
              <w:top w:val="single" w:sz="4" w:space="0" w:color="365F91"/>
              <w:bottom w:val="single" w:sz="4" w:space="0" w:color="365F91"/>
            </w:tcBorders>
            <w:shd w:val="clear" w:color="auto" w:fill="365F91"/>
          </w:tcPr>
          <w:p w14:paraId="4F11A22E" w14:textId="77777777" w:rsidR="00F849A7" w:rsidRPr="00D9348B" w:rsidRDefault="00F849A7" w:rsidP="00943D70">
            <w:pPr>
              <w:pStyle w:val="TableTextBold"/>
              <w:keepNext/>
              <w:rPr>
                <w:rFonts w:cs="Calibri"/>
                <w:b w:val="0"/>
                <w:bCs/>
                <w:noProof w:val="0"/>
                <w:color w:val="FFFFFF"/>
              </w:rPr>
            </w:pPr>
          </w:p>
        </w:tc>
        <w:tc>
          <w:tcPr>
            <w:tcW w:w="580" w:type="pct"/>
            <w:tcBorders>
              <w:top w:val="single" w:sz="4" w:space="0" w:color="365F91"/>
              <w:bottom w:val="single" w:sz="4" w:space="0" w:color="365F91"/>
            </w:tcBorders>
            <w:shd w:val="clear" w:color="auto" w:fill="365F91"/>
            <w:noWrap/>
            <w:vAlign w:val="bottom"/>
          </w:tcPr>
          <w:p w14:paraId="72879434" w14:textId="77777777" w:rsidR="00F849A7" w:rsidRPr="00D9348B" w:rsidRDefault="00F849A7" w:rsidP="00DB330E">
            <w:pPr>
              <w:pStyle w:val="TableTextBold"/>
              <w:keepNext/>
              <w:jc w:val="center"/>
              <w:rPr>
                <w:rFonts w:cs="Calibri"/>
                <w:noProof w:val="0"/>
                <w:color w:val="FFFFFF"/>
              </w:rPr>
            </w:pPr>
            <w:r w:rsidRPr="00D9348B">
              <w:rPr>
                <w:rFonts w:cs="Calibri"/>
                <w:noProof w:val="0"/>
                <w:color w:val="FFFFFF"/>
              </w:rPr>
              <w:t>Year</w:t>
            </w:r>
          </w:p>
        </w:tc>
        <w:tc>
          <w:tcPr>
            <w:tcW w:w="941" w:type="pct"/>
            <w:tcBorders>
              <w:top w:val="single" w:sz="4" w:space="0" w:color="365F91"/>
              <w:bottom w:val="single" w:sz="4" w:space="0" w:color="365F91"/>
            </w:tcBorders>
            <w:shd w:val="clear" w:color="auto" w:fill="365F91"/>
            <w:noWrap/>
            <w:vAlign w:val="bottom"/>
          </w:tcPr>
          <w:p w14:paraId="564D7265" w14:textId="77777777" w:rsidR="00F849A7" w:rsidRPr="00D9348B" w:rsidRDefault="00F849A7" w:rsidP="00DB330E">
            <w:pPr>
              <w:pStyle w:val="TableTextBold"/>
              <w:keepNext/>
              <w:jc w:val="center"/>
              <w:rPr>
                <w:rFonts w:cs="Calibri"/>
                <w:noProof w:val="0"/>
                <w:color w:val="FFFFFF"/>
              </w:rPr>
            </w:pPr>
            <w:r w:rsidRPr="00D9348B">
              <w:rPr>
                <w:rFonts w:cs="Calibri"/>
                <w:noProof w:val="0"/>
                <w:color w:val="FFFFFF"/>
              </w:rPr>
              <w:t>Goat N</w:t>
            </w:r>
            <w:r w:rsidRPr="00D9348B">
              <w:rPr>
                <w:rFonts w:cs="Calibri"/>
                <w:noProof w:val="0"/>
                <w:color w:val="FFFFFF"/>
                <w:vertAlign w:val="subscript"/>
              </w:rPr>
              <w:t xml:space="preserve">ex </w:t>
            </w:r>
            <w:r w:rsidRPr="00D9348B">
              <w:rPr>
                <w:rFonts w:cs="Calibri"/>
                <w:noProof w:val="0"/>
                <w:color w:val="FFFFFF"/>
              </w:rPr>
              <w:br/>
              <w:t>(kg/head/year)</w:t>
            </w:r>
          </w:p>
        </w:tc>
        <w:tc>
          <w:tcPr>
            <w:tcW w:w="844" w:type="pct"/>
            <w:tcBorders>
              <w:top w:val="single" w:sz="4" w:space="0" w:color="365F91"/>
              <w:bottom w:val="single" w:sz="4" w:space="0" w:color="365F91"/>
            </w:tcBorders>
            <w:shd w:val="clear" w:color="auto" w:fill="365F91"/>
            <w:vAlign w:val="bottom"/>
          </w:tcPr>
          <w:p w14:paraId="742A6EEB" w14:textId="77777777" w:rsidR="00F849A7" w:rsidRPr="00D9348B" w:rsidRDefault="00F849A7" w:rsidP="00DB330E">
            <w:pPr>
              <w:pStyle w:val="TableTextBold"/>
              <w:keepNext/>
              <w:jc w:val="center"/>
              <w:rPr>
                <w:rFonts w:cs="Calibri"/>
                <w:noProof w:val="0"/>
                <w:color w:val="FFFFFF"/>
              </w:rPr>
            </w:pPr>
            <w:r w:rsidRPr="00D9348B">
              <w:rPr>
                <w:rFonts w:cs="Calibri"/>
                <w:noProof w:val="0"/>
                <w:color w:val="FFFFFF"/>
              </w:rPr>
              <w:t>Swine N</w:t>
            </w:r>
            <w:r w:rsidRPr="00D9348B">
              <w:rPr>
                <w:rFonts w:cs="Calibri"/>
                <w:noProof w:val="0"/>
                <w:color w:val="FFFFFF"/>
                <w:vertAlign w:val="subscript"/>
              </w:rPr>
              <w:t xml:space="preserve">ex </w:t>
            </w:r>
            <w:r w:rsidRPr="00D9348B">
              <w:rPr>
                <w:rFonts w:cs="Calibri"/>
                <w:noProof w:val="0"/>
                <w:color w:val="FFFFFF"/>
              </w:rPr>
              <w:br/>
              <w:t>(kg/head/year)</w:t>
            </w:r>
          </w:p>
        </w:tc>
      </w:tr>
      <w:tr w:rsidR="00F849A7" w:rsidRPr="00D9348B" w14:paraId="5E1A7511" w14:textId="77777777" w:rsidTr="00124792">
        <w:tc>
          <w:tcPr>
            <w:tcW w:w="548" w:type="pct"/>
            <w:tcBorders>
              <w:top w:val="single" w:sz="4" w:space="0" w:color="365F91"/>
              <w:bottom w:val="single" w:sz="4" w:space="0" w:color="365F91"/>
            </w:tcBorders>
            <w:shd w:val="clear" w:color="auto" w:fill="auto"/>
            <w:noWrap/>
          </w:tcPr>
          <w:p w14:paraId="3F17C98F" w14:textId="77777777" w:rsidR="00F849A7" w:rsidRPr="00D9348B" w:rsidRDefault="00F849A7" w:rsidP="00DB330E">
            <w:pPr>
              <w:pStyle w:val="TableText"/>
              <w:keepNext/>
              <w:spacing w:before="50" w:after="50"/>
              <w:rPr>
                <w:rFonts w:cs="Calibri"/>
              </w:rPr>
            </w:pPr>
            <w:r w:rsidRPr="00D9348B">
              <w:rPr>
                <w:rFonts w:cs="Calibri"/>
              </w:rPr>
              <w:t>1990</w:t>
            </w:r>
          </w:p>
        </w:tc>
        <w:tc>
          <w:tcPr>
            <w:tcW w:w="941" w:type="pct"/>
            <w:tcBorders>
              <w:top w:val="single" w:sz="4" w:space="0" w:color="365F91"/>
              <w:bottom w:val="single" w:sz="4" w:space="0" w:color="365F91"/>
            </w:tcBorders>
            <w:noWrap/>
          </w:tcPr>
          <w:p w14:paraId="0E9C52B6" w14:textId="77777777" w:rsidR="00F849A7" w:rsidRPr="00D9348B" w:rsidRDefault="00F849A7" w:rsidP="00DB330E">
            <w:pPr>
              <w:pStyle w:val="TableText"/>
              <w:keepNext/>
              <w:spacing w:before="50" w:after="50"/>
              <w:ind w:right="510"/>
              <w:jc w:val="right"/>
              <w:rPr>
                <w:rFonts w:cs="Calibri"/>
              </w:rPr>
            </w:pPr>
            <w:r w:rsidRPr="00D9348B">
              <w:rPr>
                <w:rFonts w:cs="Calibri"/>
              </w:rPr>
              <w:t>10.6</w:t>
            </w:r>
          </w:p>
        </w:tc>
        <w:tc>
          <w:tcPr>
            <w:tcW w:w="941" w:type="pct"/>
            <w:tcBorders>
              <w:top w:val="single" w:sz="4" w:space="0" w:color="365F91"/>
              <w:bottom w:val="single" w:sz="4" w:space="0" w:color="365F91"/>
              <w:right w:val="single" w:sz="4" w:space="0" w:color="365F91"/>
            </w:tcBorders>
            <w:noWrap/>
          </w:tcPr>
          <w:p w14:paraId="1E1DC8D7" w14:textId="77777777" w:rsidR="00F849A7" w:rsidRPr="00D9348B" w:rsidRDefault="00F849A7" w:rsidP="00DB330E">
            <w:pPr>
              <w:pStyle w:val="TableText"/>
              <w:keepNext/>
              <w:spacing w:before="50" w:after="50"/>
              <w:ind w:right="510"/>
              <w:jc w:val="right"/>
              <w:rPr>
                <w:rFonts w:cs="Calibri"/>
              </w:rPr>
            </w:pPr>
            <w:r w:rsidRPr="00D9348B">
              <w:rPr>
                <w:rFonts w:cs="Calibri"/>
              </w:rPr>
              <w:t>9.0</w:t>
            </w:r>
          </w:p>
        </w:tc>
        <w:tc>
          <w:tcPr>
            <w:tcW w:w="205" w:type="pct"/>
            <w:tcBorders>
              <w:top w:val="single" w:sz="4" w:space="0" w:color="365F91"/>
              <w:left w:val="single" w:sz="4" w:space="0" w:color="365F91"/>
              <w:right w:val="single" w:sz="4" w:space="0" w:color="365F91"/>
            </w:tcBorders>
          </w:tcPr>
          <w:p w14:paraId="77AEA6D6" w14:textId="77777777" w:rsidR="00F849A7" w:rsidRPr="00D9348B" w:rsidRDefault="00F849A7" w:rsidP="00943D70">
            <w:pPr>
              <w:pStyle w:val="TableText"/>
              <w:keepNext/>
              <w:spacing w:before="50" w:after="50"/>
              <w:rPr>
                <w:rFonts w:cs="Calibri"/>
                <w:bCs/>
              </w:rPr>
            </w:pPr>
          </w:p>
        </w:tc>
        <w:tc>
          <w:tcPr>
            <w:tcW w:w="580" w:type="pct"/>
            <w:tcBorders>
              <w:top w:val="single" w:sz="4" w:space="0" w:color="365F91"/>
              <w:left w:val="single" w:sz="4" w:space="0" w:color="365F91"/>
              <w:bottom w:val="single" w:sz="4" w:space="0" w:color="365F91"/>
            </w:tcBorders>
            <w:noWrap/>
          </w:tcPr>
          <w:p w14:paraId="02434B91" w14:textId="77777777" w:rsidR="00F849A7" w:rsidRPr="00D9348B" w:rsidRDefault="00F849A7" w:rsidP="00DB330E">
            <w:pPr>
              <w:pStyle w:val="TableText"/>
              <w:keepNext/>
              <w:spacing w:before="50" w:after="50"/>
              <w:rPr>
                <w:rFonts w:cs="Calibri"/>
              </w:rPr>
            </w:pPr>
            <w:r w:rsidRPr="00D9348B">
              <w:rPr>
                <w:rFonts w:cs="Calibri"/>
              </w:rPr>
              <w:t>2005</w:t>
            </w:r>
          </w:p>
        </w:tc>
        <w:tc>
          <w:tcPr>
            <w:tcW w:w="941" w:type="pct"/>
            <w:tcBorders>
              <w:top w:val="single" w:sz="4" w:space="0" w:color="365F91"/>
              <w:bottom w:val="single" w:sz="4" w:space="0" w:color="365F91"/>
            </w:tcBorders>
            <w:noWrap/>
          </w:tcPr>
          <w:p w14:paraId="6AB6BBD6" w14:textId="77777777" w:rsidR="00F849A7" w:rsidRPr="00D9348B" w:rsidRDefault="00F849A7" w:rsidP="00DB330E">
            <w:pPr>
              <w:pStyle w:val="TableText"/>
              <w:keepNext/>
              <w:spacing w:before="50" w:after="50"/>
              <w:jc w:val="center"/>
              <w:rPr>
                <w:rFonts w:cs="Calibri"/>
              </w:rPr>
            </w:pPr>
            <w:r w:rsidRPr="00D9348B">
              <w:rPr>
                <w:rFonts w:cs="Calibri"/>
              </w:rPr>
              <w:t>11.8</w:t>
            </w:r>
          </w:p>
        </w:tc>
        <w:tc>
          <w:tcPr>
            <w:tcW w:w="844" w:type="pct"/>
            <w:tcBorders>
              <w:top w:val="single" w:sz="4" w:space="0" w:color="365F91"/>
              <w:bottom w:val="single" w:sz="4" w:space="0" w:color="365F91"/>
            </w:tcBorders>
          </w:tcPr>
          <w:p w14:paraId="7F50E97E" w14:textId="77777777" w:rsidR="00F849A7" w:rsidRPr="00D9348B" w:rsidRDefault="00F849A7" w:rsidP="00DB330E">
            <w:pPr>
              <w:pStyle w:val="TableText"/>
              <w:keepNext/>
              <w:spacing w:before="50" w:after="50"/>
              <w:jc w:val="center"/>
              <w:rPr>
                <w:rFonts w:cs="Calibri"/>
              </w:rPr>
            </w:pPr>
            <w:r w:rsidRPr="00D9348B">
              <w:rPr>
                <w:rFonts w:cs="Calibri"/>
              </w:rPr>
              <w:t>10.6</w:t>
            </w:r>
          </w:p>
        </w:tc>
      </w:tr>
      <w:tr w:rsidR="00F849A7" w:rsidRPr="00D9348B" w14:paraId="796CE556" w14:textId="77777777" w:rsidTr="00124792">
        <w:tc>
          <w:tcPr>
            <w:tcW w:w="548" w:type="pct"/>
            <w:tcBorders>
              <w:top w:val="single" w:sz="4" w:space="0" w:color="365F91"/>
              <w:bottom w:val="single" w:sz="4" w:space="0" w:color="365F91"/>
            </w:tcBorders>
            <w:shd w:val="clear" w:color="auto" w:fill="auto"/>
            <w:noWrap/>
          </w:tcPr>
          <w:p w14:paraId="3809F567" w14:textId="77777777" w:rsidR="00F849A7" w:rsidRPr="00D9348B" w:rsidRDefault="00F849A7" w:rsidP="00DB330E">
            <w:pPr>
              <w:pStyle w:val="TableText"/>
              <w:keepNext/>
              <w:spacing w:before="50" w:after="50"/>
              <w:rPr>
                <w:rFonts w:cs="Calibri"/>
              </w:rPr>
            </w:pPr>
            <w:r w:rsidRPr="00D9348B">
              <w:rPr>
                <w:rFonts w:cs="Calibri"/>
              </w:rPr>
              <w:t>1991</w:t>
            </w:r>
          </w:p>
        </w:tc>
        <w:tc>
          <w:tcPr>
            <w:tcW w:w="941" w:type="pct"/>
            <w:tcBorders>
              <w:top w:val="single" w:sz="4" w:space="0" w:color="365F91"/>
              <w:bottom w:val="single" w:sz="4" w:space="0" w:color="365F91"/>
            </w:tcBorders>
            <w:noWrap/>
          </w:tcPr>
          <w:p w14:paraId="71183D4B" w14:textId="77777777" w:rsidR="00F849A7" w:rsidRPr="00D9348B" w:rsidRDefault="00F849A7" w:rsidP="00DB330E">
            <w:pPr>
              <w:pStyle w:val="TableText"/>
              <w:keepNext/>
              <w:spacing w:before="50" w:after="50"/>
              <w:ind w:right="510"/>
              <w:jc w:val="right"/>
              <w:rPr>
                <w:rFonts w:cs="Calibri"/>
              </w:rPr>
            </w:pPr>
            <w:r w:rsidRPr="00D9348B">
              <w:rPr>
                <w:rFonts w:cs="Calibri"/>
              </w:rPr>
              <w:t>10.7</w:t>
            </w:r>
          </w:p>
        </w:tc>
        <w:tc>
          <w:tcPr>
            <w:tcW w:w="941" w:type="pct"/>
            <w:tcBorders>
              <w:top w:val="single" w:sz="4" w:space="0" w:color="365F91"/>
              <w:bottom w:val="single" w:sz="4" w:space="0" w:color="365F91"/>
              <w:right w:val="single" w:sz="4" w:space="0" w:color="365F91"/>
            </w:tcBorders>
            <w:noWrap/>
          </w:tcPr>
          <w:p w14:paraId="49F44E06" w14:textId="77777777" w:rsidR="00F849A7" w:rsidRPr="00D9348B" w:rsidRDefault="00F849A7" w:rsidP="00DB330E">
            <w:pPr>
              <w:pStyle w:val="TableText"/>
              <w:keepNext/>
              <w:spacing w:before="50" w:after="50"/>
              <w:ind w:right="510"/>
              <w:jc w:val="right"/>
              <w:rPr>
                <w:rFonts w:cs="Calibri"/>
              </w:rPr>
            </w:pPr>
            <w:r w:rsidRPr="00D9348B">
              <w:rPr>
                <w:rFonts w:cs="Calibri"/>
              </w:rPr>
              <w:t>9.2</w:t>
            </w:r>
          </w:p>
        </w:tc>
        <w:tc>
          <w:tcPr>
            <w:tcW w:w="205" w:type="pct"/>
            <w:tcBorders>
              <w:left w:val="single" w:sz="4" w:space="0" w:color="365F91"/>
              <w:right w:val="single" w:sz="4" w:space="0" w:color="365F91"/>
            </w:tcBorders>
          </w:tcPr>
          <w:p w14:paraId="3C6205AF" w14:textId="77777777" w:rsidR="00F849A7" w:rsidRPr="00D9348B" w:rsidRDefault="00F849A7" w:rsidP="00943D70">
            <w:pPr>
              <w:pStyle w:val="TableText"/>
              <w:keepNext/>
              <w:spacing w:before="50" w:after="50"/>
              <w:rPr>
                <w:rFonts w:cs="Calibri"/>
                <w:bCs/>
              </w:rPr>
            </w:pPr>
          </w:p>
        </w:tc>
        <w:tc>
          <w:tcPr>
            <w:tcW w:w="580" w:type="pct"/>
            <w:tcBorders>
              <w:top w:val="single" w:sz="4" w:space="0" w:color="365F91"/>
              <w:left w:val="single" w:sz="4" w:space="0" w:color="365F91"/>
              <w:bottom w:val="single" w:sz="4" w:space="0" w:color="365F91"/>
            </w:tcBorders>
            <w:noWrap/>
          </w:tcPr>
          <w:p w14:paraId="1780EBAF" w14:textId="77777777" w:rsidR="00F849A7" w:rsidRPr="00D9348B" w:rsidRDefault="00F849A7" w:rsidP="00DB330E">
            <w:pPr>
              <w:pStyle w:val="TableText"/>
              <w:keepNext/>
              <w:spacing w:before="50" w:after="50"/>
              <w:rPr>
                <w:rFonts w:cs="Calibri"/>
              </w:rPr>
            </w:pPr>
            <w:r w:rsidRPr="00D9348B">
              <w:rPr>
                <w:rFonts w:cs="Calibri"/>
              </w:rPr>
              <w:t>2006</w:t>
            </w:r>
          </w:p>
        </w:tc>
        <w:tc>
          <w:tcPr>
            <w:tcW w:w="941" w:type="pct"/>
            <w:tcBorders>
              <w:top w:val="single" w:sz="4" w:space="0" w:color="365F91"/>
              <w:bottom w:val="single" w:sz="4" w:space="0" w:color="365F91"/>
            </w:tcBorders>
            <w:noWrap/>
          </w:tcPr>
          <w:p w14:paraId="47DE5BA3" w14:textId="77777777" w:rsidR="00F849A7" w:rsidRPr="00D9348B" w:rsidRDefault="00F849A7" w:rsidP="00DB330E">
            <w:pPr>
              <w:pStyle w:val="TableText"/>
              <w:keepNext/>
              <w:spacing w:before="50" w:after="50"/>
              <w:jc w:val="center"/>
              <w:rPr>
                <w:rFonts w:cs="Calibri"/>
              </w:rPr>
            </w:pPr>
            <w:r w:rsidRPr="00D9348B">
              <w:rPr>
                <w:rFonts w:cs="Calibri"/>
              </w:rPr>
              <w:t>11.9</w:t>
            </w:r>
          </w:p>
        </w:tc>
        <w:tc>
          <w:tcPr>
            <w:tcW w:w="844" w:type="pct"/>
            <w:tcBorders>
              <w:top w:val="single" w:sz="4" w:space="0" w:color="365F91"/>
              <w:bottom w:val="single" w:sz="4" w:space="0" w:color="365F91"/>
            </w:tcBorders>
          </w:tcPr>
          <w:p w14:paraId="386E457F" w14:textId="77777777" w:rsidR="00F849A7" w:rsidRPr="00D9348B" w:rsidRDefault="00F849A7" w:rsidP="00DB330E">
            <w:pPr>
              <w:pStyle w:val="TableText"/>
              <w:keepNext/>
              <w:spacing w:before="50" w:after="50"/>
              <w:jc w:val="center"/>
              <w:rPr>
                <w:rFonts w:cs="Calibri"/>
              </w:rPr>
            </w:pPr>
            <w:r w:rsidRPr="00D9348B">
              <w:rPr>
                <w:rFonts w:cs="Calibri"/>
              </w:rPr>
              <w:t>10.7</w:t>
            </w:r>
          </w:p>
        </w:tc>
      </w:tr>
      <w:tr w:rsidR="00F849A7" w:rsidRPr="00D9348B" w14:paraId="28BD74A7" w14:textId="77777777" w:rsidTr="00124792">
        <w:tc>
          <w:tcPr>
            <w:tcW w:w="548" w:type="pct"/>
            <w:tcBorders>
              <w:top w:val="single" w:sz="4" w:space="0" w:color="365F91"/>
              <w:bottom w:val="single" w:sz="4" w:space="0" w:color="365F91"/>
            </w:tcBorders>
            <w:shd w:val="clear" w:color="auto" w:fill="auto"/>
            <w:noWrap/>
          </w:tcPr>
          <w:p w14:paraId="61A70A07" w14:textId="77777777" w:rsidR="00F849A7" w:rsidRPr="00D9348B" w:rsidRDefault="00F849A7" w:rsidP="00DB330E">
            <w:pPr>
              <w:pStyle w:val="TableText"/>
              <w:keepNext/>
              <w:spacing w:before="50" w:after="50"/>
              <w:rPr>
                <w:rFonts w:cs="Calibri"/>
              </w:rPr>
            </w:pPr>
            <w:r w:rsidRPr="00D9348B">
              <w:rPr>
                <w:rFonts w:cs="Calibri"/>
              </w:rPr>
              <w:t>1992</w:t>
            </w:r>
          </w:p>
        </w:tc>
        <w:tc>
          <w:tcPr>
            <w:tcW w:w="941" w:type="pct"/>
            <w:tcBorders>
              <w:top w:val="single" w:sz="4" w:space="0" w:color="365F91"/>
              <w:bottom w:val="single" w:sz="4" w:space="0" w:color="365F91"/>
            </w:tcBorders>
            <w:noWrap/>
          </w:tcPr>
          <w:p w14:paraId="60389D10" w14:textId="77777777" w:rsidR="00F849A7" w:rsidRPr="00D9348B" w:rsidRDefault="00F849A7" w:rsidP="00DB330E">
            <w:pPr>
              <w:pStyle w:val="TableText"/>
              <w:keepNext/>
              <w:spacing w:before="50" w:after="50"/>
              <w:ind w:right="510"/>
              <w:jc w:val="right"/>
              <w:rPr>
                <w:rFonts w:cs="Calibri"/>
              </w:rPr>
            </w:pPr>
            <w:r w:rsidRPr="00D9348B">
              <w:rPr>
                <w:rFonts w:cs="Calibri"/>
              </w:rPr>
              <w:t>10.8</w:t>
            </w:r>
          </w:p>
        </w:tc>
        <w:tc>
          <w:tcPr>
            <w:tcW w:w="941" w:type="pct"/>
            <w:tcBorders>
              <w:top w:val="single" w:sz="4" w:space="0" w:color="365F91"/>
              <w:bottom w:val="single" w:sz="4" w:space="0" w:color="365F91"/>
              <w:right w:val="single" w:sz="4" w:space="0" w:color="365F91"/>
            </w:tcBorders>
            <w:noWrap/>
          </w:tcPr>
          <w:p w14:paraId="76EE4594" w14:textId="77777777" w:rsidR="00F849A7" w:rsidRPr="00D9348B" w:rsidRDefault="00F849A7" w:rsidP="00DB330E">
            <w:pPr>
              <w:pStyle w:val="TableText"/>
              <w:keepNext/>
              <w:spacing w:before="50" w:after="50"/>
              <w:ind w:right="510"/>
              <w:jc w:val="right"/>
              <w:rPr>
                <w:rFonts w:cs="Calibri"/>
              </w:rPr>
            </w:pPr>
            <w:r w:rsidRPr="00D9348B">
              <w:rPr>
                <w:rFonts w:cs="Calibri"/>
              </w:rPr>
              <w:t>9.3</w:t>
            </w:r>
          </w:p>
        </w:tc>
        <w:tc>
          <w:tcPr>
            <w:tcW w:w="205" w:type="pct"/>
            <w:tcBorders>
              <w:left w:val="single" w:sz="4" w:space="0" w:color="365F91"/>
              <w:right w:val="single" w:sz="4" w:space="0" w:color="365F91"/>
            </w:tcBorders>
          </w:tcPr>
          <w:p w14:paraId="2DF025A5" w14:textId="77777777" w:rsidR="00F849A7" w:rsidRPr="00D9348B" w:rsidRDefault="00F849A7" w:rsidP="00943D70">
            <w:pPr>
              <w:pStyle w:val="TableText"/>
              <w:keepNext/>
              <w:spacing w:before="50" w:after="50"/>
              <w:rPr>
                <w:rFonts w:cs="Calibri"/>
                <w:bCs/>
              </w:rPr>
            </w:pPr>
          </w:p>
        </w:tc>
        <w:tc>
          <w:tcPr>
            <w:tcW w:w="580" w:type="pct"/>
            <w:tcBorders>
              <w:top w:val="single" w:sz="4" w:space="0" w:color="365F91"/>
              <w:left w:val="single" w:sz="4" w:space="0" w:color="365F91"/>
              <w:bottom w:val="single" w:sz="4" w:space="0" w:color="365F91"/>
            </w:tcBorders>
            <w:noWrap/>
          </w:tcPr>
          <w:p w14:paraId="70E0ED8D" w14:textId="77777777" w:rsidR="00F849A7" w:rsidRPr="00D9348B" w:rsidRDefault="00F849A7" w:rsidP="00DB330E">
            <w:pPr>
              <w:pStyle w:val="TableText"/>
              <w:keepNext/>
              <w:spacing w:before="50" w:after="50"/>
              <w:rPr>
                <w:rFonts w:cs="Calibri"/>
              </w:rPr>
            </w:pPr>
            <w:r w:rsidRPr="00D9348B">
              <w:rPr>
                <w:rFonts w:cs="Calibri"/>
              </w:rPr>
              <w:t>2007</w:t>
            </w:r>
          </w:p>
        </w:tc>
        <w:tc>
          <w:tcPr>
            <w:tcW w:w="941" w:type="pct"/>
            <w:tcBorders>
              <w:top w:val="single" w:sz="4" w:space="0" w:color="365F91"/>
              <w:bottom w:val="single" w:sz="4" w:space="0" w:color="365F91"/>
            </w:tcBorders>
            <w:noWrap/>
          </w:tcPr>
          <w:p w14:paraId="0006266C" w14:textId="77777777" w:rsidR="00F849A7" w:rsidRPr="00D9348B" w:rsidRDefault="00F849A7" w:rsidP="00DB330E">
            <w:pPr>
              <w:pStyle w:val="TableText"/>
              <w:keepNext/>
              <w:spacing w:before="50" w:after="50"/>
              <w:jc w:val="center"/>
              <w:rPr>
                <w:rFonts w:cs="Calibri"/>
              </w:rPr>
            </w:pPr>
            <w:r w:rsidRPr="00D9348B">
              <w:rPr>
                <w:rFonts w:cs="Calibri"/>
              </w:rPr>
              <w:t>11.9</w:t>
            </w:r>
          </w:p>
        </w:tc>
        <w:tc>
          <w:tcPr>
            <w:tcW w:w="844" w:type="pct"/>
            <w:tcBorders>
              <w:top w:val="single" w:sz="4" w:space="0" w:color="365F91"/>
              <w:bottom w:val="single" w:sz="4" w:space="0" w:color="365F91"/>
            </w:tcBorders>
          </w:tcPr>
          <w:p w14:paraId="06FCBBCE" w14:textId="77777777" w:rsidR="00F849A7" w:rsidRPr="00D9348B" w:rsidRDefault="00F849A7" w:rsidP="00DB330E">
            <w:pPr>
              <w:pStyle w:val="TableText"/>
              <w:keepNext/>
              <w:spacing w:before="50" w:after="50"/>
              <w:jc w:val="center"/>
              <w:rPr>
                <w:rFonts w:cs="Calibri"/>
              </w:rPr>
            </w:pPr>
            <w:r w:rsidRPr="00D9348B">
              <w:rPr>
                <w:rFonts w:cs="Calibri"/>
              </w:rPr>
              <w:t>10.8</w:t>
            </w:r>
          </w:p>
        </w:tc>
      </w:tr>
      <w:tr w:rsidR="00F849A7" w:rsidRPr="00D9348B" w14:paraId="0F8442C2" w14:textId="77777777" w:rsidTr="00124792">
        <w:tc>
          <w:tcPr>
            <w:tcW w:w="548" w:type="pct"/>
            <w:tcBorders>
              <w:top w:val="single" w:sz="4" w:space="0" w:color="365F91"/>
              <w:bottom w:val="single" w:sz="4" w:space="0" w:color="365F91"/>
            </w:tcBorders>
            <w:shd w:val="clear" w:color="auto" w:fill="auto"/>
            <w:noWrap/>
          </w:tcPr>
          <w:p w14:paraId="0730EF40" w14:textId="77777777" w:rsidR="00F849A7" w:rsidRPr="00D9348B" w:rsidRDefault="00F849A7" w:rsidP="00DB330E">
            <w:pPr>
              <w:pStyle w:val="TableText"/>
              <w:keepNext/>
              <w:spacing w:before="50" w:after="50"/>
              <w:rPr>
                <w:rFonts w:cs="Calibri"/>
              </w:rPr>
            </w:pPr>
            <w:r w:rsidRPr="00D9348B">
              <w:rPr>
                <w:rFonts w:cs="Calibri"/>
              </w:rPr>
              <w:t>1993</w:t>
            </w:r>
          </w:p>
        </w:tc>
        <w:tc>
          <w:tcPr>
            <w:tcW w:w="941" w:type="pct"/>
            <w:tcBorders>
              <w:top w:val="single" w:sz="4" w:space="0" w:color="365F91"/>
              <w:bottom w:val="single" w:sz="4" w:space="0" w:color="365F91"/>
            </w:tcBorders>
            <w:noWrap/>
          </w:tcPr>
          <w:p w14:paraId="7B571D93" w14:textId="77777777" w:rsidR="00F849A7" w:rsidRPr="00D9348B" w:rsidRDefault="00F849A7" w:rsidP="00DB330E">
            <w:pPr>
              <w:pStyle w:val="TableText"/>
              <w:keepNext/>
              <w:spacing w:before="50" w:after="50"/>
              <w:ind w:right="510"/>
              <w:jc w:val="right"/>
              <w:rPr>
                <w:rFonts w:cs="Calibri"/>
              </w:rPr>
            </w:pPr>
            <w:r w:rsidRPr="00D9348B">
              <w:rPr>
                <w:rFonts w:cs="Calibri"/>
              </w:rPr>
              <w:t>10.8</w:t>
            </w:r>
          </w:p>
        </w:tc>
        <w:tc>
          <w:tcPr>
            <w:tcW w:w="941" w:type="pct"/>
            <w:tcBorders>
              <w:top w:val="single" w:sz="4" w:space="0" w:color="365F91"/>
              <w:bottom w:val="single" w:sz="4" w:space="0" w:color="365F91"/>
              <w:right w:val="single" w:sz="4" w:space="0" w:color="365F91"/>
            </w:tcBorders>
            <w:noWrap/>
          </w:tcPr>
          <w:p w14:paraId="58167A80" w14:textId="77777777" w:rsidR="00F849A7" w:rsidRPr="00D9348B" w:rsidRDefault="00F849A7" w:rsidP="00DB330E">
            <w:pPr>
              <w:pStyle w:val="TableText"/>
              <w:keepNext/>
              <w:spacing w:before="50" w:after="50"/>
              <w:ind w:right="510"/>
              <w:jc w:val="right"/>
              <w:rPr>
                <w:rFonts w:cs="Calibri"/>
              </w:rPr>
            </w:pPr>
            <w:r w:rsidRPr="00D9348B">
              <w:rPr>
                <w:rFonts w:cs="Calibri"/>
              </w:rPr>
              <w:t>9.5</w:t>
            </w:r>
          </w:p>
        </w:tc>
        <w:tc>
          <w:tcPr>
            <w:tcW w:w="205" w:type="pct"/>
            <w:tcBorders>
              <w:left w:val="single" w:sz="4" w:space="0" w:color="365F91"/>
              <w:right w:val="single" w:sz="4" w:space="0" w:color="365F91"/>
            </w:tcBorders>
          </w:tcPr>
          <w:p w14:paraId="71666221" w14:textId="77777777" w:rsidR="00F849A7" w:rsidRPr="00D9348B" w:rsidRDefault="00F849A7" w:rsidP="00943D70">
            <w:pPr>
              <w:pStyle w:val="TableText"/>
              <w:keepNext/>
              <w:spacing w:before="50" w:after="50"/>
              <w:rPr>
                <w:rFonts w:cs="Calibri"/>
                <w:bCs/>
              </w:rPr>
            </w:pPr>
          </w:p>
        </w:tc>
        <w:tc>
          <w:tcPr>
            <w:tcW w:w="580" w:type="pct"/>
            <w:tcBorders>
              <w:top w:val="single" w:sz="4" w:space="0" w:color="365F91"/>
              <w:left w:val="single" w:sz="4" w:space="0" w:color="365F91"/>
              <w:bottom w:val="single" w:sz="4" w:space="0" w:color="365F91"/>
            </w:tcBorders>
            <w:noWrap/>
          </w:tcPr>
          <w:p w14:paraId="7FCF7FD3" w14:textId="77777777" w:rsidR="00F849A7" w:rsidRPr="00D9348B" w:rsidRDefault="00F849A7" w:rsidP="00DB330E">
            <w:pPr>
              <w:pStyle w:val="TableText"/>
              <w:keepNext/>
              <w:spacing w:before="50" w:after="50"/>
              <w:rPr>
                <w:rFonts w:cs="Calibri"/>
              </w:rPr>
            </w:pPr>
            <w:r w:rsidRPr="00D9348B">
              <w:rPr>
                <w:rFonts w:cs="Calibri"/>
              </w:rPr>
              <w:t>2008</w:t>
            </w:r>
          </w:p>
        </w:tc>
        <w:tc>
          <w:tcPr>
            <w:tcW w:w="941" w:type="pct"/>
            <w:tcBorders>
              <w:top w:val="single" w:sz="4" w:space="0" w:color="365F91"/>
              <w:bottom w:val="single" w:sz="4" w:space="0" w:color="365F91"/>
            </w:tcBorders>
            <w:noWrap/>
          </w:tcPr>
          <w:p w14:paraId="5667BAF6" w14:textId="77777777" w:rsidR="00F849A7" w:rsidRPr="00D9348B" w:rsidRDefault="00F849A7" w:rsidP="00DB330E">
            <w:pPr>
              <w:pStyle w:val="TableText"/>
              <w:keepNext/>
              <w:spacing w:before="50" w:after="50"/>
              <w:jc w:val="center"/>
              <w:rPr>
                <w:rFonts w:cs="Calibri"/>
              </w:rPr>
            </w:pPr>
            <w:r w:rsidRPr="00D9348B">
              <w:rPr>
                <w:rFonts w:cs="Calibri"/>
              </w:rPr>
              <w:t>12.0</w:t>
            </w:r>
          </w:p>
        </w:tc>
        <w:tc>
          <w:tcPr>
            <w:tcW w:w="844" w:type="pct"/>
            <w:tcBorders>
              <w:top w:val="single" w:sz="4" w:space="0" w:color="365F91"/>
              <w:bottom w:val="single" w:sz="4" w:space="0" w:color="365F91"/>
            </w:tcBorders>
          </w:tcPr>
          <w:p w14:paraId="647C4C34" w14:textId="77777777" w:rsidR="00F849A7" w:rsidRPr="00D9348B" w:rsidRDefault="00F849A7" w:rsidP="00DB330E">
            <w:pPr>
              <w:pStyle w:val="TableText"/>
              <w:keepNext/>
              <w:spacing w:before="50" w:after="50"/>
              <w:jc w:val="center"/>
              <w:rPr>
                <w:rFonts w:cs="Calibri"/>
              </w:rPr>
            </w:pPr>
            <w:r w:rsidRPr="00D9348B">
              <w:rPr>
                <w:rFonts w:cs="Calibri"/>
              </w:rPr>
              <w:t>10.8</w:t>
            </w:r>
          </w:p>
        </w:tc>
      </w:tr>
      <w:tr w:rsidR="00F849A7" w:rsidRPr="00D9348B" w14:paraId="0542DEB9" w14:textId="77777777" w:rsidTr="00124792">
        <w:tc>
          <w:tcPr>
            <w:tcW w:w="548" w:type="pct"/>
            <w:tcBorders>
              <w:top w:val="single" w:sz="4" w:space="0" w:color="365F91"/>
              <w:bottom w:val="single" w:sz="4" w:space="0" w:color="365F91"/>
            </w:tcBorders>
            <w:shd w:val="clear" w:color="auto" w:fill="auto"/>
            <w:noWrap/>
          </w:tcPr>
          <w:p w14:paraId="6001B41D" w14:textId="77777777" w:rsidR="00F849A7" w:rsidRPr="00D9348B" w:rsidRDefault="00F849A7" w:rsidP="00DB330E">
            <w:pPr>
              <w:pStyle w:val="TableText"/>
              <w:keepNext/>
              <w:spacing w:before="50" w:after="50"/>
              <w:rPr>
                <w:rFonts w:cs="Calibri"/>
              </w:rPr>
            </w:pPr>
            <w:r w:rsidRPr="00D9348B">
              <w:rPr>
                <w:rFonts w:cs="Calibri"/>
              </w:rPr>
              <w:t>1994</w:t>
            </w:r>
          </w:p>
        </w:tc>
        <w:tc>
          <w:tcPr>
            <w:tcW w:w="941" w:type="pct"/>
            <w:tcBorders>
              <w:top w:val="single" w:sz="4" w:space="0" w:color="365F91"/>
              <w:bottom w:val="single" w:sz="4" w:space="0" w:color="365F91"/>
            </w:tcBorders>
            <w:noWrap/>
          </w:tcPr>
          <w:p w14:paraId="3C6799BF" w14:textId="77777777" w:rsidR="00F849A7" w:rsidRPr="00D9348B" w:rsidRDefault="00F849A7" w:rsidP="00DB330E">
            <w:pPr>
              <w:pStyle w:val="TableText"/>
              <w:keepNext/>
              <w:spacing w:before="50" w:after="50"/>
              <w:ind w:right="510"/>
              <w:jc w:val="right"/>
              <w:rPr>
                <w:rFonts w:cs="Calibri"/>
              </w:rPr>
            </w:pPr>
            <w:r w:rsidRPr="00D9348B">
              <w:rPr>
                <w:rFonts w:cs="Calibri"/>
              </w:rPr>
              <w:t>10.9</w:t>
            </w:r>
          </w:p>
        </w:tc>
        <w:tc>
          <w:tcPr>
            <w:tcW w:w="941" w:type="pct"/>
            <w:tcBorders>
              <w:top w:val="single" w:sz="4" w:space="0" w:color="365F91"/>
              <w:bottom w:val="single" w:sz="4" w:space="0" w:color="365F91"/>
              <w:right w:val="single" w:sz="4" w:space="0" w:color="365F91"/>
            </w:tcBorders>
            <w:noWrap/>
          </w:tcPr>
          <w:p w14:paraId="6D820CBA" w14:textId="77777777" w:rsidR="00F849A7" w:rsidRPr="00D9348B" w:rsidRDefault="00F849A7" w:rsidP="00DB330E">
            <w:pPr>
              <w:pStyle w:val="TableText"/>
              <w:keepNext/>
              <w:spacing w:before="50" w:after="50"/>
              <w:ind w:right="510"/>
              <w:jc w:val="right"/>
              <w:rPr>
                <w:rFonts w:cs="Calibri"/>
              </w:rPr>
            </w:pPr>
            <w:r w:rsidRPr="00D9348B">
              <w:rPr>
                <w:rFonts w:cs="Calibri"/>
              </w:rPr>
              <w:t>9.5</w:t>
            </w:r>
          </w:p>
        </w:tc>
        <w:tc>
          <w:tcPr>
            <w:tcW w:w="205" w:type="pct"/>
            <w:tcBorders>
              <w:left w:val="single" w:sz="4" w:space="0" w:color="365F91"/>
              <w:right w:val="single" w:sz="4" w:space="0" w:color="365F91"/>
            </w:tcBorders>
          </w:tcPr>
          <w:p w14:paraId="312F1B54" w14:textId="77777777" w:rsidR="00F849A7" w:rsidRPr="00D9348B" w:rsidRDefault="00F849A7" w:rsidP="00943D70">
            <w:pPr>
              <w:pStyle w:val="TableText"/>
              <w:keepNext/>
              <w:spacing w:before="50" w:after="50"/>
              <w:rPr>
                <w:rFonts w:cs="Calibri"/>
                <w:bCs/>
              </w:rPr>
            </w:pPr>
          </w:p>
        </w:tc>
        <w:tc>
          <w:tcPr>
            <w:tcW w:w="580" w:type="pct"/>
            <w:tcBorders>
              <w:top w:val="single" w:sz="4" w:space="0" w:color="365F91"/>
              <w:left w:val="single" w:sz="4" w:space="0" w:color="365F91"/>
              <w:bottom w:val="single" w:sz="4" w:space="0" w:color="365F91"/>
            </w:tcBorders>
            <w:noWrap/>
          </w:tcPr>
          <w:p w14:paraId="773844BF" w14:textId="77777777" w:rsidR="00F849A7" w:rsidRPr="00D9348B" w:rsidRDefault="00F849A7" w:rsidP="00DB330E">
            <w:pPr>
              <w:pStyle w:val="TableText"/>
              <w:keepNext/>
              <w:spacing w:before="50" w:after="50"/>
              <w:rPr>
                <w:rFonts w:cs="Calibri"/>
              </w:rPr>
            </w:pPr>
            <w:r w:rsidRPr="00D9348B">
              <w:rPr>
                <w:rFonts w:cs="Calibri"/>
              </w:rPr>
              <w:t>2009</w:t>
            </w:r>
          </w:p>
        </w:tc>
        <w:tc>
          <w:tcPr>
            <w:tcW w:w="941" w:type="pct"/>
            <w:tcBorders>
              <w:top w:val="single" w:sz="4" w:space="0" w:color="365F91"/>
              <w:bottom w:val="single" w:sz="4" w:space="0" w:color="365F91"/>
            </w:tcBorders>
            <w:noWrap/>
          </w:tcPr>
          <w:p w14:paraId="44B24E6B" w14:textId="77777777" w:rsidR="00F849A7" w:rsidRPr="00D9348B" w:rsidRDefault="00F849A7" w:rsidP="00DB330E">
            <w:pPr>
              <w:pStyle w:val="TableText"/>
              <w:keepNext/>
              <w:spacing w:before="50" w:after="50"/>
              <w:jc w:val="center"/>
              <w:rPr>
                <w:rFonts w:cs="Calibri"/>
              </w:rPr>
            </w:pPr>
            <w:r w:rsidRPr="00D9348B">
              <w:rPr>
                <w:rFonts w:cs="Calibri"/>
              </w:rPr>
              <w:t>12.1</w:t>
            </w:r>
          </w:p>
        </w:tc>
        <w:tc>
          <w:tcPr>
            <w:tcW w:w="844" w:type="pct"/>
            <w:tcBorders>
              <w:top w:val="single" w:sz="4" w:space="0" w:color="365F91"/>
              <w:bottom w:val="single" w:sz="4" w:space="0" w:color="365F91"/>
            </w:tcBorders>
          </w:tcPr>
          <w:p w14:paraId="0777429B" w14:textId="77777777" w:rsidR="00F849A7" w:rsidRPr="00D9348B" w:rsidRDefault="00F849A7" w:rsidP="00DB330E">
            <w:pPr>
              <w:pStyle w:val="TableText"/>
              <w:keepNext/>
              <w:spacing w:before="50" w:after="50"/>
              <w:jc w:val="center"/>
              <w:rPr>
                <w:rFonts w:cs="Calibri"/>
              </w:rPr>
            </w:pPr>
            <w:r w:rsidRPr="00D9348B">
              <w:rPr>
                <w:rFonts w:cs="Calibri"/>
              </w:rPr>
              <w:t>10.8</w:t>
            </w:r>
          </w:p>
        </w:tc>
      </w:tr>
      <w:tr w:rsidR="00F849A7" w:rsidRPr="00D9348B" w14:paraId="06EEEE31" w14:textId="77777777" w:rsidTr="00124792">
        <w:tc>
          <w:tcPr>
            <w:tcW w:w="548" w:type="pct"/>
            <w:tcBorders>
              <w:top w:val="single" w:sz="4" w:space="0" w:color="365F91"/>
              <w:bottom w:val="single" w:sz="4" w:space="0" w:color="365F91"/>
            </w:tcBorders>
            <w:shd w:val="clear" w:color="auto" w:fill="auto"/>
            <w:noWrap/>
          </w:tcPr>
          <w:p w14:paraId="71670B56" w14:textId="77777777" w:rsidR="00F849A7" w:rsidRPr="00D9348B" w:rsidRDefault="00F849A7" w:rsidP="00DB330E">
            <w:pPr>
              <w:pStyle w:val="TableText"/>
              <w:spacing w:before="50" w:after="50"/>
              <w:rPr>
                <w:rFonts w:cs="Calibri"/>
              </w:rPr>
            </w:pPr>
            <w:r w:rsidRPr="00D9348B">
              <w:rPr>
                <w:rFonts w:cs="Calibri"/>
              </w:rPr>
              <w:t>1995</w:t>
            </w:r>
          </w:p>
        </w:tc>
        <w:tc>
          <w:tcPr>
            <w:tcW w:w="941" w:type="pct"/>
            <w:tcBorders>
              <w:top w:val="single" w:sz="4" w:space="0" w:color="365F91"/>
              <w:bottom w:val="single" w:sz="4" w:space="0" w:color="365F91"/>
            </w:tcBorders>
            <w:noWrap/>
          </w:tcPr>
          <w:p w14:paraId="192AE1EC" w14:textId="77777777" w:rsidR="00F849A7" w:rsidRPr="00D9348B" w:rsidRDefault="00F849A7" w:rsidP="00DB330E">
            <w:pPr>
              <w:pStyle w:val="TableText"/>
              <w:spacing w:before="50" w:after="50"/>
              <w:ind w:right="510"/>
              <w:jc w:val="right"/>
              <w:rPr>
                <w:rFonts w:cs="Calibri"/>
              </w:rPr>
            </w:pPr>
            <w:r w:rsidRPr="00D9348B">
              <w:rPr>
                <w:rFonts w:cs="Calibri"/>
              </w:rPr>
              <w:t>11.0</w:t>
            </w:r>
          </w:p>
        </w:tc>
        <w:tc>
          <w:tcPr>
            <w:tcW w:w="941" w:type="pct"/>
            <w:tcBorders>
              <w:top w:val="single" w:sz="4" w:space="0" w:color="365F91"/>
              <w:bottom w:val="single" w:sz="4" w:space="0" w:color="365F91"/>
              <w:right w:val="single" w:sz="4" w:space="0" w:color="365F91"/>
            </w:tcBorders>
            <w:noWrap/>
          </w:tcPr>
          <w:p w14:paraId="1D29E1FE" w14:textId="77777777" w:rsidR="00F849A7" w:rsidRPr="00D9348B" w:rsidRDefault="00F849A7" w:rsidP="00DB330E">
            <w:pPr>
              <w:pStyle w:val="TableText"/>
              <w:spacing w:before="50" w:after="50"/>
              <w:ind w:right="510"/>
              <w:jc w:val="right"/>
              <w:rPr>
                <w:rFonts w:cs="Calibri"/>
              </w:rPr>
            </w:pPr>
            <w:r w:rsidRPr="00D9348B">
              <w:rPr>
                <w:rFonts w:cs="Calibri"/>
              </w:rPr>
              <w:t>9.6</w:t>
            </w:r>
          </w:p>
        </w:tc>
        <w:tc>
          <w:tcPr>
            <w:tcW w:w="205" w:type="pct"/>
            <w:tcBorders>
              <w:left w:val="single" w:sz="4" w:space="0" w:color="365F91"/>
              <w:right w:val="single" w:sz="4" w:space="0" w:color="365F91"/>
            </w:tcBorders>
          </w:tcPr>
          <w:p w14:paraId="6ACF9D25" w14:textId="77777777" w:rsidR="00F849A7" w:rsidRPr="00D9348B" w:rsidRDefault="00F849A7" w:rsidP="00943D70">
            <w:pPr>
              <w:pStyle w:val="TableText"/>
              <w:spacing w:before="50" w:after="50"/>
              <w:rPr>
                <w:rFonts w:cs="Calibri"/>
                <w:bCs/>
              </w:rPr>
            </w:pPr>
          </w:p>
        </w:tc>
        <w:tc>
          <w:tcPr>
            <w:tcW w:w="580" w:type="pct"/>
            <w:tcBorders>
              <w:top w:val="single" w:sz="4" w:space="0" w:color="365F91"/>
              <w:left w:val="single" w:sz="4" w:space="0" w:color="365F91"/>
              <w:bottom w:val="single" w:sz="4" w:space="0" w:color="365F91"/>
            </w:tcBorders>
            <w:noWrap/>
          </w:tcPr>
          <w:p w14:paraId="39CC8668" w14:textId="77777777" w:rsidR="00F849A7" w:rsidRPr="00D9348B" w:rsidRDefault="00F849A7" w:rsidP="00DB330E">
            <w:pPr>
              <w:pStyle w:val="TableText"/>
              <w:spacing w:before="50" w:after="50"/>
              <w:rPr>
                <w:rFonts w:cs="Calibri"/>
              </w:rPr>
            </w:pPr>
            <w:r w:rsidRPr="00D9348B">
              <w:rPr>
                <w:rFonts w:cs="Calibri"/>
              </w:rPr>
              <w:t>2010</w:t>
            </w:r>
          </w:p>
        </w:tc>
        <w:tc>
          <w:tcPr>
            <w:tcW w:w="941" w:type="pct"/>
            <w:tcBorders>
              <w:top w:val="single" w:sz="4" w:space="0" w:color="365F91"/>
              <w:bottom w:val="single" w:sz="4" w:space="0" w:color="365F91"/>
            </w:tcBorders>
            <w:noWrap/>
          </w:tcPr>
          <w:p w14:paraId="764D2842" w14:textId="77777777" w:rsidR="00F849A7" w:rsidRPr="00D9348B" w:rsidRDefault="00F849A7" w:rsidP="00DB330E">
            <w:pPr>
              <w:pStyle w:val="TableText"/>
              <w:spacing w:before="50" w:after="50"/>
              <w:jc w:val="center"/>
              <w:rPr>
                <w:rFonts w:cs="Calibri"/>
              </w:rPr>
            </w:pPr>
            <w:r w:rsidRPr="00D9348B">
              <w:rPr>
                <w:rFonts w:cs="Calibri"/>
              </w:rPr>
              <w:t>12.2</w:t>
            </w:r>
          </w:p>
        </w:tc>
        <w:tc>
          <w:tcPr>
            <w:tcW w:w="844" w:type="pct"/>
            <w:tcBorders>
              <w:top w:val="single" w:sz="4" w:space="0" w:color="365F91"/>
              <w:bottom w:val="single" w:sz="4" w:space="0" w:color="365F91"/>
            </w:tcBorders>
          </w:tcPr>
          <w:p w14:paraId="090E5C13" w14:textId="77777777" w:rsidR="00F849A7" w:rsidRPr="00D9348B" w:rsidRDefault="00F849A7" w:rsidP="00DB330E">
            <w:pPr>
              <w:pStyle w:val="TableText"/>
              <w:spacing w:before="50" w:after="50"/>
              <w:jc w:val="center"/>
              <w:rPr>
                <w:rFonts w:cs="Calibri"/>
              </w:rPr>
            </w:pPr>
            <w:r w:rsidRPr="00D9348B">
              <w:rPr>
                <w:rFonts w:cs="Calibri"/>
              </w:rPr>
              <w:t>10.8</w:t>
            </w:r>
          </w:p>
        </w:tc>
      </w:tr>
      <w:tr w:rsidR="00F849A7" w:rsidRPr="00D9348B" w14:paraId="1345BCED" w14:textId="77777777" w:rsidTr="00124792">
        <w:tc>
          <w:tcPr>
            <w:tcW w:w="548" w:type="pct"/>
            <w:tcBorders>
              <w:top w:val="single" w:sz="4" w:space="0" w:color="365F91"/>
              <w:bottom w:val="single" w:sz="4" w:space="0" w:color="365F91"/>
            </w:tcBorders>
            <w:shd w:val="clear" w:color="auto" w:fill="auto"/>
            <w:noWrap/>
          </w:tcPr>
          <w:p w14:paraId="17348480" w14:textId="77777777" w:rsidR="00F849A7" w:rsidRPr="00D9348B" w:rsidRDefault="00F849A7" w:rsidP="00DB330E">
            <w:pPr>
              <w:pStyle w:val="TableText"/>
              <w:spacing w:before="50" w:after="50"/>
              <w:rPr>
                <w:rFonts w:cs="Calibri"/>
              </w:rPr>
            </w:pPr>
            <w:r w:rsidRPr="00D9348B">
              <w:rPr>
                <w:rFonts w:cs="Calibri"/>
              </w:rPr>
              <w:t>1996</w:t>
            </w:r>
          </w:p>
        </w:tc>
        <w:tc>
          <w:tcPr>
            <w:tcW w:w="941" w:type="pct"/>
            <w:tcBorders>
              <w:top w:val="single" w:sz="4" w:space="0" w:color="365F91"/>
              <w:bottom w:val="single" w:sz="4" w:space="0" w:color="365F91"/>
            </w:tcBorders>
            <w:noWrap/>
          </w:tcPr>
          <w:p w14:paraId="54CBECE7" w14:textId="77777777" w:rsidR="00F849A7" w:rsidRPr="00D9348B" w:rsidRDefault="00F849A7" w:rsidP="00DB330E">
            <w:pPr>
              <w:pStyle w:val="TableText"/>
              <w:spacing w:before="50" w:after="50"/>
              <w:ind w:right="510"/>
              <w:jc w:val="right"/>
              <w:rPr>
                <w:rFonts w:cs="Calibri"/>
              </w:rPr>
            </w:pPr>
            <w:r w:rsidRPr="00D9348B">
              <w:rPr>
                <w:rFonts w:cs="Calibri"/>
              </w:rPr>
              <w:t>11.1</w:t>
            </w:r>
          </w:p>
        </w:tc>
        <w:tc>
          <w:tcPr>
            <w:tcW w:w="941" w:type="pct"/>
            <w:tcBorders>
              <w:top w:val="single" w:sz="4" w:space="0" w:color="365F91"/>
              <w:bottom w:val="single" w:sz="4" w:space="0" w:color="365F91"/>
              <w:right w:val="single" w:sz="4" w:space="0" w:color="365F91"/>
            </w:tcBorders>
            <w:noWrap/>
          </w:tcPr>
          <w:p w14:paraId="2E4C41EB" w14:textId="77777777" w:rsidR="00F849A7" w:rsidRPr="00D9348B" w:rsidRDefault="00F849A7" w:rsidP="00DB330E">
            <w:pPr>
              <w:pStyle w:val="TableText"/>
              <w:spacing w:before="50" w:after="50"/>
              <w:ind w:right="510"/>
              <w:jc w:val="right"/>
              <w:rPr>
                <w:rFonts w:cs="Calibri"/>
              </w:rPr>
            </w:pPr>
            <w:r w:rsidRPr="00D9348B">
              <w:rPr>
                <w:rFonts w:cs="Calibri"/>
              </w:rPr>
              <w:t>9.8</w:t>
            </w:r>
          </w:p>
        </w:tc>
        <w:tc>
          <w:tcPr>
            <w:tcW w:w="205" w:type="pct"/>
            <w:tcBorders>
              <w:left w:val="single" w:sz="4" w:space="0" w:color="365F91"/>
              <w:right w:val="single" w:sz="4" w:space="0" w:color="365F91"/>
            </w:tcBorders>
          </w:tcPr>
          <w:p w14:paraId="3E89B2B5" w14:textId="77777777" w:rsidR="00F849A7" w:rsidRPr="00D9348B" w:rsidRDefault="00F849A7" w:rsidP="00943D70">
            <w:pPr>
              <w:pStyle w:val="TableText"/>
              <w:spacing w:before="50" w:after="50"/>
              <w:rPr>
                <w:rFonts w:cs="Calibri"/>
                <w:bCs/>
              </w:rPr>
            </w:pPr>
          </w:p>
        </w:tc>
        <w:tc>
          <w:tcPr>
            <w:tcW w:w="580" w:type="pct"/>
            <w:tcBorders>
              <w:top w:val="single" w:sz="4" w:space="0" w:color="365F91"/>
              <w:left w:val="single" w:sz="4" w:space="0" w:color="365F91"/>
              <w:bottom w:val="single" w:sz="4" w:space="0" w:color="365F91"/>
            </w:tcBorders>
            <w:noWrap/>
          </w:tcPr>
          <w:p w14:paraId="43999788" w14:textId="77777777" w:rsidR="00F849A7" w:rsidRPr="00D9348B" w:rsidRDefault="00F849A7" w:rsidP="00DB330E">
            <w:pPr>
              <w:pStyle w:val="TableText"/>
              <w:spacing w:before="50" w:after="50"/>
              <w:rPr>
                <w:rFonts w:cs="Calibri"/>
              </w:rPr>
            </w:pPr>
            <w:r w:rsidRPr="00D9348B">
              <w:rPr>
                <w:rFonts w:cs="Calibri"/>
              </w:rPr>
              <w:t>2011</w:t>
            </w:r>
          </w:p>
        </w:tc>
        <w:tc>
          <w:tcPr>
            <w:tcW w:w="941" w:type="pct"/>
            <w:tcBorders>
              <w:top w:val="single" w:sz="4" w:space="0" w:color="365F91"/>
              <w:bottom w:val="single" w:sz="4" w:space="0" w:color="365F91"/>
            </w:tcBorders>
            <w:noWrap/>
          </w:tcPr>
          <w:p w14:paraId="765704B6" w14:textId="77777777" w:rsidR="00F849A7" w:rsidRPr="00D9348B" w:rsidRDefault="00F849A7" w:rsidP="00DB330E">
            <w:pPr>
              <w:pStyle w:val="TableText"/>
              <w:spacing w:before="50" w:after="50"/>
              <w:jc w:val="center"/>
              <w:rPr>
                <w:rFonts w:cs="Calibri"/>
              </w:rPr>
            </w:pPr>
            <w:r w:rsidRPr="00D9348B">
              <w:rPr>
                <w:rFonts w:cs="Calibri"/>
              </w:rPr>
              <w:t>12.3</w:t>
            </w:r>
          </w:p>
        </w:tc>
        <w:tc>
          <w:tcPr>
            <w:tcW w:w="844" w:type="pct"/>
            <w:tcBorders>
              <w:top w:val="single" w:sz="4" w:space="0" w:color="365F91"/>
              <w:bottom w:val="single" w:sz="4" w:space="0" w:color="365F91"/>
            </w:tcBorders>
          </w:tcPr>
          <w:p w14:paraId="035C9ED3" w14:textId="77777777" w:rsidR="00F849A7" w:rsidRPr="00D9348B" w:rsidRDefault="00F849A7" w:rsidP="00DB330E">
            <w:pPr>
              <w:pStyle w:val="TableText"/>
              <w:spacing w:before="50" w:after="50"/>
              <w:jc w:val="center"/>
              <w:rPr>
                <w:rFonts w:cs="Calibri"/>
              </w:rPr>
            </w:pPr>
            <w:r w:rsidRPr="00D9348B">
              <w:rPr>
                <w:rFonts w:cs="Calibri"/>
              </w:rPr>
              <w:t>11.0</w:t>
            </w:r>
          </w:p>
        </w:tc>
      </w:tr>
      <w:tr w:rsidR="00F849A7" w:rsidRPr="00D9348B" w14:paraId="425DDEF6" w14:textId="77777777" w:rsidTr="00124792">
        <w:tc>
          <w:tcPr>
            <w:tcW w:w="548" w:type="pct"/>
            <w:tcBorders>
              <w:top w:val="single" w:sz="4" w:space="0" w:color="365F91"/>
              <w:bottom w:val="single" w:sz="4" w:space="0" w:color="365F91"/>
            </w:tcBorders>
            <w:shd w:val="clear" w:color="auto" w:fill="auto"/>
            <w:noWrap/>
          </w:tcPr>
          <w:p w14:paraId="756D9361" w14:textId="77777777" w:rsidR="00F849A7" w:rsidRPr="00D9348B" w:rsidRDefault="00F849A7" w:rsidP="00DB330E">
            <w:pPr>
              <w:pStyle w:val="TableText"/>
              <w:spacing w:before="50" w:after="50"/>
              <w:rPr>
                <w:rFonts w:cs="Calibri"/>
              </w:rPr>
            </w:pPr>
            <w:r w:rsidRPr="00D9348B">
              <w:rPr>
                <w:rFonts w:cs="Calibri"/>
              </w:rPr>
              <w:t>1997</w:t>
            </w:r>
          </w:p>
        </w:tc>
        <w:tc>
          <w:tcPr>
            <w:tcW w:w="941" w:type="pct"/>
            <w:tcBorders>
              <w:top w:val="single" w:sz="4" w:space="0" w:color="365F91"/>
              <w:bottom w:val="single" w:sz="4" w:space="0" w:color="365F91"/>
            </w:tcBorders>
            <w:noWrap/>
          </w:tcPr>
          <w:p w14:paraId="07BBF4CA" w14:textId="77777777" w:rsidR="00F849A7" w:rsidRPr="00D9348B" w:rsidRDefault="00F849A7" w:rsidP="00DB330E">
            <w:pPr>
              <w:pStyle w:val="TableText"/>
              <w:spacing w:before="50" w:after="50"/>
              <w:ind w:right="510"/>
              <w:jc w:val="right"/>
              <w:rPr>
                <w:rFonts w:cs="Calibri"/>
              </w:rPr>
            </w:pPr>
            <w:r w:rsidRPr="00D9348B">
              <w:rPr>
                <w:rFonts w:cs="Calibri"/>
              </w:rPr>
              <w:t>11.2</w:t>
            </w:r>
          </w:p>
        </w:tc>
        <w:tc>
          <w:tcPr>
            <w:tcW w:w="941" w:type="pct"/>
            <w:tcBorders>
              <w:top w:val="single" w:sz="4" w:space="0" w:color="365F91"/>
              <w:bottom w:val="single" w:sz="4" w:space="0" w:color="365F91"/>
              <w:right w:val="single" w:sz="4" w:space="0" w:color="365F91"/>
            </w:tcBorders>
            <w:noWrap/>
          </w:tcPr>
          <w:p w14:paraId="50AAA94C" w14:textId="77777777" w:rsidR="00F849A7" w:rsidRPr="00D9348B" w:rsidRDefault="00F849A7" w:rsidP="00DB330E">
            <w:pPr>
              <w:pStyle w:val="TableText"/>
              <w:spacing w:before="50" w:after="50"/>
              <w:ind w:right="510"/>
              <w:jc w:val="right"/>
              <w:rPr>
                <w:rFonts w:cs="Calibri"/>
              </w:rPr>
            </w:pPr>
            <w:r w:rsidRPr="00D9348B">
              <w:rPr>
                <w:rFonts w:cs="Calibri"/>
              </w:rPr>
              <w:t>9.9</w:t>
            </w:r>
          </w:p>
        </w:tc>
        <w:tc>
          <w:tcPr>
            <w:tcW w:w="205" w:type="pct"/>
            <w:tcBorders>
              <w:left w:val="single" w:sz="4" w:space="0" w:color="365F91"/>
              <w:right w:val="single" w:sz="4" w:space="0" w:color="365F91"/>
            </w:tcBorders>
          </w:tcPr>
          <w:p w14:paraId="3E2DA020" w14:textId="77777777" w:rsidR="00F849A7" w:rsidRPr="00D9348B" w:rsidRDefault="00F849A7" w:rsidP="00943D70">
            <w:pPr>
              <w:pStyle w:val="TableText"/>
              <w:spacing w:before="50" w:after="50"/>
              <w:rPr>
                <w:rFonts w:cs="Calibri"/>
                <w:bCs/>
              </w:rPr>
            </w:pPr>
          </w:p>
        </w:tc>
        <w:tc>
          <w:tcPr>
            <w:tcW w:w="580" w:type="pct"/>
            <w:tcBorders>
              <w:top w:val="single" w:sz="4" w:space="0" w:color="365F91"/>
              <w:left w:val="single" w:sz="4" w:space="0" w:color="365F91"/>
              <w:bottom w:val="single" w:sz="4" w:space="0" w:color="365F91"/>
            </w:tcBorders>
            <w:noWrap/>
          </w:tcPr>
          <w:p w14:paraId="7764CB75" w14:textId="77777777" w:rsidR="00F849A7" w:rsidRPr="00D9348B" w:rsidRDefault="00F849A7" w:rsidP="00DB330E">
            <w:pPr>
              <w:pStyle w:val="TableText"/>
              <w:spacing w:before="50" w:after="50"/>
              <w:rPr>
                <w:rFonts w:cs="Calibri"/>
              </w:rPr>
            </w:pPr>
            <w:r w:rsidRPr="00D9348B">
              <w:rPr>
                <w:rFonts w:cs="Calibri"/>
              </w:rPr>
              <w:t>2012</w:t>
            </w:r>
          </w:p>
        </w:tc>
        <w:tc>
          <w:tcPr>
            <w:tcW w:w="941" w:type="pct"/>
            <w:tcBorders>
              <w:top w:val="single" w:sz="4" w:space="0" w:color="365F91"/>
              <w:bottom w:val="single" w:sz="4" w:space="0" w:color="365F91"/>
            </w:tcBorders>
            <w:noWrap/>
          </w:tcPr>
          <w:p w14:paraId="70DE2D8E" w14:textId="77777777" w:rsidR="00F849A7" w:rsidRPr="00D9348B" w:rsidRDefault="00F849A7" w:rsidP="00DB330E">
            <w:pPr>
              <w:pStyle w:val="TableText"/>
              <w:spacing w:before="50" w:after="50"/>
              <w:jc w:val="center"/>
              <w:rPr>
                <w:rFonts w:cs="Calibri"/>
              </w:rPr>
            </w:pPr>
            <w:r w:rsidRPr="00D9348B">
              <w:rPr>
                <w:rFonts w:cs="Calibri"/>
              </w:rPr>
              <w:t>12.3</w:t>
            </w:r>
          </w:p>
        </w:tc>
        <w:tc>
          <w:tcPr>
            <w:tcW w:w="844" w:type="pct"/>
            <w:tcBorders>
              <w:top w:val="single" w:sz="4" w:space="0" w:color="365F91"/>
              <w:bottom w:val="single" w:sz="4" w:space="0" w:color="365F91"/>
            </w:tcBorders>
          </w:tcPr>
          <w:p w14:paraId="168689B7" w14:textId="77777777" w:rsidR="00F849A7" w:rsidRPr="00D9348B" w:rsidRDefault="00F849A7" w:rsidP="00DB330E">
            <w:pPr>
              <w:pStyle w:val="TableText"/>
              <w:spacing w:before="50" w:after="50"/>
              <w:jc w:val="center"/>
              <w:rPr>
                <w:rFonts w:cs="Calibri"/>
              </w:rPr>
            </w:pPr>
            <w:r w:rsidRPr="00D9348B">
              <w:rPr>
                <w:rFonts w:cs="Calibri"/>
              </w:rPr>
              <w:t>11.0</w:t>
            </w:r>
          </w:p>
        </w:tc>
      </w:tr>
      <w:tr w:rsidR="00F849A7" w:rsidRPr="00D9348B" w14:paraId="0B6E8A8E" w14:textId="77777777" w:rsidTr="00124792">
        <w:tc>
          <w:tcPr>
            <w:tcW w:w="548" w:type="pct"/>
            <w:tcBorders>
              <w:top w:val="single" w:sz="4" w:space="0" w:color="365F91"/>
              <w:bottom w:val="single" w:sz="4" w:space="0" w:color="365F91"/>
            </w:tcBorders>
            <w:shd w:val="clear" w:color="auto" w:fill="auto"/>
            <w:noWrap/>
          </w:tcPr>
          <w:p w14:paraId="263F6706" w14:textId="77777777" w:rsidR="00F849A7" w:rsidRPr="00D9348B" w:rsidRDefault="00F849A7" w:rsidP="00DB330E">
            <w:pPr>
              <w:pStyle w:val="TableText"/>
              <w:spacing w:before="50" w:after="50"/>
              <w:rPr>
                <w:rFonts w:cs="Calibri"/>
              </w:rPr>
            </w:pPr>
            <w:r w:rsidRPr="00D9348B">
              <w:rPr>
                <w:rFonts w:cs="Calibri"/>
              </w:rPr>
              <w:t>1998</w:t>
            </w:r>
          </w:p>
        </w:tc>
        <w:tc>
          <w:tcPr>
            <w:tcW w:w="941" w:type="pct"/>
            <w:tcBorders>
              <w:top w:val="single" w:sz="4" w:space="0" w:color="365F91"/>
              <w:bottom w:val="single" w:sz="4" w:space="0" w:color="365F91"/>
            </w:tcBorders>
            <w:noWrap/>
          </w:tcPr>
          <w:p w14:paraId="69601AFB" w14:textId="77777777" w:rsidR="00F849A7" w:rsidRPr="00D9348B" w:rsidRDefault="00F849A7" w:rsidP="00DB330E">
            <w:pPr>
              <w:pStyle w:val="TableText"/>
              <w:spacing w:before="50" w:after="50"/>
              <w:ind w:right="510"/>
              <w:jc w:val="right"/>
              <w:rPr>
                <w:rFonts w:cs="Calibri"/>
              </w:rPr>
            </w:pPr>
            <w:r w:rsidRPr="00D9348B">
              <w:rPr>
                <w:rFonts w:cs="Calibri"/>
              </w:rPr>
              <w:t>11.2</w:t>
            </w:r>
          </w:p>
        </w:tc>
        <w:tc>
          <w:tcPr>
            <w:tcW w:w="941" w:type="pct"/>
            <w:tcBorders>
              <w:top w:val="single" w:sz="4" w:space="0" w:color="365F91"/>
              <w:bottom w:val="single" w:sz="4" w:space="0" w:color="365F91"/>
              <w:right w:val="single" w:sz="4" w:space="0" w:color="365F91"/>
            </w:tcBorders>
            <w:noWrap/>
          </w:tcPr>
          <w:p w14:paraId="26F80C2A" w14:textId="77777777" w:rsidR="00F849A7" w:rsidRPr="00D9348B" w:rsidRDefault="00F849A7" w:rsidP="00DB330E">
            <w:pPr>
              <w:pStyle w:val="TableText"/>
              <w:spacing w:before="50" w:after="50"/>
              <w:ind w:right="510"/>
              <w:jc w:val="right"/>
              <w:rPr>
                <w:rFonts w:cs="Calibri"/>
              </w:rPr>
            </w:pPr>
            <w:r w:rsidRPr="00D9348B">
              <w:rPr>
                <w:rFonts w:cs="Calibri"/>
              </w:rPr>
              <w:t>9.9</w:t>
            </w:r>
          </w:p>
        </w:tc>
        <w:tc>
          <w:tcPr>
            <w:tcW w:w="205" w:type="pct"/>
            <w:tcBorders>
              <w:left w:val="single" w:sz="4" w:space="0" w:color="365F91"/>
              <w:right w:val="single" w:sz="4" w:space="0" w:color="365F91"/>
            </w:tcBorders>
          </w:tcPr>
          <w:p w14:paraId="14F78033" w14:textId="77777777" w:rsidR="00F849A7" w:rsidRPr="00D9348B" w:rsidRDefault="00F849A7" w:rsidP="00943D70">
            <w:pPr>
              <w:pStyle w:val="TableText"/>
              <w:spacing w:before="50" w:after="50"/>
              <w:rPr>
                <w:rFonts w:cs="Calibri"/>
                <w:bCs/>
              </w:rPr>
            </w:pPr>
          </w:p>
        </w:tc>
        <w:tc>
          <w:tcPr>
            <w:tcW w:w="580" w:type="pct"/>
            <w:tcBorders>
              <w:top w:val="single" w:sz="4" w:space="0" w:color="365F91"/>
              <w:left w:val="single" w:sz="4" w:space="0" w:color="365F91"/>
              <w:bottom w:val="single" w:sz="4" w:space="0" w:color="365F91"/>
            </w:tcBorders>
            <w:noWrap/>
          </w:tcPr>
          <w:p w14:paraId="75FDEF4E" w14:textId="77777777" w:rsidR="00F849A7" w:rsidRPr="00D9348B" w:rsidRDefault="00F849A7" w:rsidP="00DB330E">
            <w:pPr>
              <w:pStyle w:val="TableText"/>
              <w:spacing w:before="50" w:after="50"/>
              <w:rPr>
                <w:rFonts w:cs="Calibri"/>
              </w:rPr>
            </w:pPr>
            <w:r w:rsidRPr="00D9348B">
              <w:rPr>
                <w:rFonts w:cs="Calibri"/>
              </w:rPr>
              <w:t>2013</w:t>
            </w:r>
          </w:p>
        </w:tc>
        <w:tc>
          <w:tcPr>
            <w:tcW w:w="941" w:type="pct"/>
            <w:tcBorders>
              <w:top w:val="single" w:sz="4" w:space="0" w:color="365F91"/>
              <w:bottom w:val="single" w:sz="4" w:space="0" w:color="365F91"/>
            </w:tcBorders>
            <w:noWrap/>
          </w:tcPr>
          <w:p w14:paraId="29D267D1" w14:textId="77777777" w:rsidR="00F849A7" w:rsidRPr="00D9348B" w:rsidRDefault="00F849A7" w:rsidP="00DB330E">
            <w:pPr>
              <w:pStyle w:val="TableText"/>
              <w:spacing w:before="50" w:after="50"/>
              <w:jc w:val="center"/>
              <w:rPr>
                <w:rFonts w:cs="Calibri"/>
              </w:rPr>
            </w:pPr>
            <w:r w:rsidRPr="00D9348B">
              <w:rPr>
                <w:rFonts w:cs="Calibri"/>
              </w:rPr>
              <w:t>12.4</w:t>
            </w:r>
          </w:p>
        </w:tc>
        <w:tc>
          <w:tcPr>
            <w:tcW w:w="844" w:type="pct"/>
            <w:tcBorders>
              <w:top w:val="single" w:sz="4" w:space="0" w:color="365F91"/>
              <w:bottom w:val="single" w:sz="4" w:space="0" w:color="365F91"/>
            </w:tcBorders>
          </w:tcPr>
          <w:p w14:paraId="07E586BC" w14:textId="77777777" w:rsidR="00F849A7" w:rsidRPr="00D9348B" w:rsidRDefault="00F849A7" w:rsidP="00DB330E">
            <w:pPr>
              <w:pStyle w:val="TableText"/>
              <w:spacing w:before="50" w:after="50"/>
              <w:jc w:val="center"/>
              <w:rPr>
                <w:rFonts w:cs="Calibri"/>
              </w:rPr>
            </w:pPr>
            <w:r w:rsidRPr="00D9348B">
              <w:rPr>
                <w:rFonts w:cs="Calibri"/>
              </w:rPr>
              <w:t>11.1</w:t>
            </w:r>
          </w:p>
        </w:tc>
      </w:tr>
      <w:tr w:rsidR="00F849A7" w:rsidRPr="00D9348B" w14:paraId="50DD6113" w14:textId="77777777" w:rsidTr="00124792">
        <w:tc>
          <w:tcPr>
            <w:tcW w:w="548" w:type="pct"/>
            <w:tcBorders>
              <w:top w:val="single" w:sz="4" w:space="0" w:color="365F91"/>
              <w:bottom w:val="single" w:sz="4" w:space="0" w:color="365F91"/>
            </w:tcBorders>
            <w:shd w:val="clear" w:color="auto" w:fill="auto"/>
            <w:noWrap/>
          </w:tcPr>
          <w:p w14:paraId="2AC61C2A" w14:textId="77777777" w:rsidR="00F849A7" w:rsidRPr="00D9348B" w:rsidRDefault="00F849A7" w:rsidP="00DB330E">
            <w:pPr>
              <w:pStyle w:val="TableText"/>
              <w:spacing w:before="50" w:after="50"/>
              <w:rPr>
                <w:rFonts w:cs="Calibri"/>
              </w:rPr>
            </w:pPr>
            <w:r w:rsidRPr="00D9348B">
              <w:rPr>
                <w:rFonts w:cs="Calibri"/>
              </w:rPr>
              <w:t>1999</w:t>
            </w:r>
          </w:p>
        </w:tc>
        <w:tc>
          <w:tcPr>
            <w:tcW w:w="941" w:type="pct"/>
            <w:tcBorders>
              <w:top w:val="single" w:sz="4" w:space="0" w:color="365F91"/>
              <w:bottom w:val="single" w:sz="4" w:space="0" w:color="365F91"/>
            </w:tcBorders>
            <w:noWrap/>
          </w:tcPr>
          <w:p w14:paraId="0D33420A" w14:textId="77777777" w:rsidR="00F849A7" w:rsidRPr="00D9348B" w:rsidRDefault="00F849A7" w:rsidP="00DB330E">
            <w:pPr>
              <w:pStyle w:val="TableText"/>
              <w:spacing w:before="50" w:after="50"/>
              <w:ind w:right="510"/>
              <w:jc w:val="right"/>
              <w:rPr>
                <w:rFonts w:cs="Calibri"/>
              </w:rPr>
            </w:pPr>
            <w:r w:rsidRPr="00D9348B">
              <w:rPr>
                <w:rFonts w:cs="Calibri"/>
              </w:rPr>
              <w:t>11.3</w:t>
            </w:r>
          </w:p>
        </w:tc>
        <w:tc>
          <w:tcPr>
            <w:tcW w:w="941" w:type="pct"/>
            <w:tcBorders>
              <w:top w:val="single" w:sz="4" w:space="0" w:color="365F91"/>
              <w:bottom w:val="single" w:sz="4" w:space="0" w:color="365F91"/>
              <w:right w:val="single" w:sz="4" w:space="0" w:color="365F91"/>
            </w:tcBorders>
            <w:noWrap/>
          </w:tcPr>
          <w:p w14:paraId="027937C1" w14:textId="77777777" w:rsidR="00F849A7" w:rsidRPr="00D9348B" w:rsidRDefault="00F849A7" w:rsidP="00DB330E">
            <w:pPr>
              <w:pStyle w:val="TableText"/>
              <w:spacing w:before="50" w:after="50"/>
              <w:ind w:right="510"/>
              <w:jc w:val="right"/>
              <w:rPr>
                <w:rFonts w:cs="Calibri"/>
              </w:rPr>
            </w:pPr>
            <w:r w:rsidRPr="00D9348B">
              <w:rPr>
                <w:rFonts w:cs="Calibri"/>
              </w:rPr>
              <w:t>9.9</w:t>
            </w:r>
          </w:p>
        </w:tc>
        <w:tc>
          <w:tcPr>
            <w:tcW w:w="205" w:type="pct"/>
            <w:tcBorders>
              <w:left w:val="single" w:sz="4" w:space="0" w:color="365F91"/>
              <w:right w:val="single" w:sz="4" w:space="0" w:color="365F91"/>
            </w:tcBorders>
          </w:tcPr>
          <w:p w14:paraId="7F5C8A7A" w14:textId="77777777" w:rsidR="00F849A7" w:rsidRPr="00D9348B" w:rsidRDefault="00F849A7" w:rsidP="00943D70">
            <w:pPr>
              <w:pStyle w:val="TableText"/>
              <w:spacing w:before="50" w:after="50"/>
              <w:rPr>
                <w:rFonts w:cs="Calibri"/>
                <w:bCs/>
              </w:rPr>
            </w:pPr>
          </w:p>
        </w:tc>
        <w:tc>
          <w:tcPr>
            <w:tcW w:w="580" w:type="pct"/>
            <w:tcBorders>
              <w:top w:val="single" w:sz="4" w:space="0" w:color="365F91"/>
              <w:left w:val="single" w:sz="4" w:space="0" w:color="365F91"/>
              <w:bottom w:val="single" w:sz="4" w:space="0" w:color="365F91"/>
            </w:tcBorders>
            <w:noWrap/>
          </w:tcPr>
          <w:p w14:paraId="1C396056" w14:textId="77777777" w:rsidR="00F849A7" w:rsidRPr="00D9348B" w:rsidRDefault="00F849A7" w:rsidP="00DB330E">
            <w:pPr>
              <w:pStyle w:val="TableText"/>
              <w:spacing w:before="50" w:after="50"/>
              <w:rPr>
                <w:rFonts w:cs="Calibri"/>
              </w:rPr>
            </w:pPr>
            <w:r w:rsidRPr="00D9348B">
              <w:rPr>
                <w:rFonts w:cs="Calibri"/>
              </w:rPr>
              <w:t>2014</w:t>
            </w:r>
          </w:p>
        </w:tc>
        <w:tc>
          <w:tcPr>
            <w:tcW w:w="941" w:type="pct"/>
            <w:tcBorders>
              <w:top w:val="single" w:sz="4" w:space="0" w:color="365F91"/>
              <w:bottom w:val="single" w:sz="4" w:space="0" w:color="365F91"/>
            </w:tcBorders>
            <w:noWrap/>
          </w:tcPr>
          <w:p w14:paraId="603190F1" w14:textId="77777777" w:rsidR="00F849A7" w:rsidRPr="00D9348B" w:rsidRDefault="00F849A7" w:rsidP="00DB330E">
            <w:pPr>
              <w:pStyle w:val="TableText"/>
              <w:spacing w:before="50" w:after="50"/>
              <w:jc w:val="center"/>
              <w:rPr>
                <w:rFonts w:cs="Calibri"/>
              </w:rPr>
            </w:pPr>
            <w:r w:rsidRPr="00D9348B">
              <w:rPr>
                <w:rFonts w:cs="Calibri"/>
              </w:rPr>
              <w:t>12.5</w:t>
            </w:r>
          </w:p>
        </w:tc>
        <w:tc>
          <w:tcPr>
            <w:tcW w:w="844" w:type="pct"/>
            <w:tcBorders>
              <w:top w:val="single" w:sz="4" w:space="0" w:color="365F91"/>
              <w:bottom w:val="single" w:sz="4" w:space="0" w:color="365F91"/>
            </w:tcBorders>
          </w:tcPr>
          <w:p w14:paraId="68925540" w14:textId="77777777" w:rsidR="00F849A7" w:rsidRPr="00D9348B" w:rsidRDefault="00F849A7" w:rsidP="00DB330E">
            <w:pPr>
              <w:pStyle w:val="TableText"/>
              <w:spacing w:before="50" w:after="50"/>
              <w:jc w:val="center"/>
              <w:rPr>
                <w:rFonts w:cs="Calibri"/>
              </w:rPr>
            </w:pPr>
            <w:r w:rsidRPr="00D9348B">
              <w:rPr>
                <w:rFonts w:cs="Calibri"/>
              </w:rPr>
              <w:t>11.3</w:t>
            </w:r>
          </w:p>
        </w:tc>
      </w:tr>
      <w:tr w:rsidR="00F849A7" w:rsidRPr="00D9348B" w14:paraId="62143453" w14:textId="77777777" w:rsidTr="00124792">
        <w:tc>
          <w:tcPr>
            <w:tcW w:w="548" w:type="pct"/>
            <w:tcBorders>
              <w:top w:val="single" w:sz="4" w:space="0" w:color="365F91"/>
              <w:bottom w:val="single" w:sz="4" w:space="0" w:color="365F91"/>
            </w:tcBorders>
            <w:shd w:val="clear" w:color="auto" w:fill="auto"/>
            <w:noWrap/>
          </w:tcPr>
          <w:p w14:paraId="57E1F429" w14:textId="77777777" w:rsidR="00F849A7" w:rsidRPr="00D9348B" w:rsidRDefault="00F849A7" w:rsidP="00DB330E">
            <w:pPr>
              <w:pStyle w:val="TableText"/>
              <w:spacing w:before="50" w:after="50"/>
              <w:rPr>
                <w:rFonts w:cs="Calibri"/>
              </w:rPr>
            </w:pPr>
            <w:r w:rsidRPr="00D9348B">
              <w:rPr>
                <w:rFonts w:cs="Calibri"/>
              </w:rPr>
              <w:t>2000</w:t>
            </w:r>
          </w:p>
        </w:tc>
        <w:tc>
          <w:tcPr>
            <w:tcW w:w="941" w:type="pct"/>
            <w:tcBorders>
              <w:top w:val="single" w:sz="4" w:space="0" w:color="365F91"/>
              <w:bottom w:val="single" w:sz="4" w:space="0" w:color="365F91"/>
            </w:tcBorders>
            <w:noWrap/>
          </w:tcPr>
          <w:p w14:paraId="1260B611" w14:textId="77777777" w:rsidR="00F849A7" w:rsidRPr="00D9348B" w:rsidRDefault="00F849A7" w:rsidP="00DB330E">
            <w:pPr>
              <w:pStyle w:val="TableText"/>
              <w:spacing w:before="50" w:after="50"/>
              <w:ind w:right="510"/>
              <w:jc w:val="right"/>
              <w:rPr>
                <w:rFonts w:cs="Calibri"/>
              </w:rPr>
            </w:pPr>
            <w:r w:rsidRPr="00D9348B">
              <w:rPr>
                <w:rFonts w:cs="Calibri"/>
              </w:rPr>
              <w:t>11.4</w:t>
            </w:r>
          </w:p>
        </w:tc>
        <w:tc>
          <w:tcPr>
            <w:tcW w:w="941" w:type="pct"/>
            <w:tcBorders>
              <w:top w:val="single" w:sz="4" w:space="0" w:color="365F91"/>
              <w:bottom w:val="single" w:sz="4" w:space="0" w:color="365F91"/>
              <w:right w:val="single" w:sz="4" w:space="0" w:color="365F91"/>
            </w:tcBorders>
            <w:noWrap/>
          </w:tcPr>
          <w:p w14:paraId="2335769B" w14:textId="77777777" w:rsidR="00F849A7" w:rsidRPr="00D9348B" w:rsidRDefault="00F849A7" w:rsidP="00DB330E">
            <w:pPr>
              <w:pStyle w:val="TableText"/>
              <w:spacing w:before="50" w:after="50"/>
              <w:ind w:right="510"/>
              <w:jc w:val="right"/>
              <w:rPr>
                <w:rFonts w:cs="Calibri"/>
              </w:rPr>
            </w:pPr>
            <w:r w:rsidRPr="00D9348B">
              <w:rPr>
                <w:rFonts w:cs="Calibri"/>
              </w:rPr>
              <w:t>10.2</w:t>
            </w:r>
          </w:p>
        </w:tc>
        <w:tc>
          <w:tcPr>
            <w:tcW w:w="205" w:type="pct"/>
            <w:tcBorders>
              <w:left w:val="single" w:sz="4" w:space="0" w:color="365F91"/>
              <w:right w:val="single" w:sz="4" w:space="0" w:color="365F91"/>
            </w:tcBorders>
          </w:tcPr>
          <w:p w14:paraId="5513D646" w14:textId="77777777" w:rsidR="00F849A7" w:rsidRPr="00D9348B" w:rsidRDefault="00F849A7" w:rsidP="00943D70">
            <w:pPr>
              <w:pStyle w:val="TableText"/>
              <w:spacing w:before="50" w:after="50"/>
              <w:rPr>
                <w:rFonts w:cs="Calibri"/>
                <w:bCs/>
              </w:rPr>
            </w:pPr>
          </w:p>
        </w:tc>
        <w:tc>
          <w:tcPr>
            <w:tcW w:w="580" w:type="pct"/>
            <w:tcBorders>
              <w:top w:val="single" w:sz="4" w:space="0" w:color="365F91"/>
              <w:left w:val="single" w:sz="4" w:space="0" w:color="365F91"/>
              <w:bottom w:val="single" w:sz="4" w:space="0" w:color="365F91"/>
            </w:tcBorders>
            <w:noWrap/>
          </w:tcPr>
          <w:p w14:paraId="75101D95" w14:textId="77777777" w:rsidR="00F849A7" w:rsidRPr="00D9348B" w:rsidRDefault="00F849A7" w:rsidP="00DB330E">
            <w:pPr>
              <w:pStyle w:val="TableText"/>
              <w:spacing w:before="50" w:after="50"/>
              <w:rPr>
                <w:rFonts w:cs="Calibri"/>
              </w:rPr>
            </w:pPr>
            <w:r w:rsidRPr="00D9348B">
              <w:rPr>
                <w:rFonts w:cs="Calibri"/>
              </w:rPr>
              <w:t>2015</w:t>
            </w:r>
          </w:p>
        </w:tc>
        <w:tc>
          <w:tcPr>
            <w:tcW w:w="941" w:type="pct"/>
            <w:tcBorders>
              <w:top w:val="single" w:sz="4" w:space="0" w:color="365F91"/>
              <w:bottom w:val="single" w:sz="4" w:space="0" w:color="365F91"/>
            </w:tcBorders>
            <w:noWrap/>
          </w:tcPr>
          <w:p w14:paraId="064BDB63" w14:textId="77777777" w:rsidR="00F849A7" w:rsidRPr="00D9348B" w:rsidRDefault="00F849A7" w:rsidP="00DB330E">
            <w:pPr>
              <w:pStyle w:val="TableText"/>
              <w:spacing w:before="50" w:after="50"/>
              <w:jc w:val="center"/>
              <w:rPr>
                <w:rFonts w:cs="Calibri"/>
              </w:rPr>
            </w:pPr>
            <w:r w:rsidRPr="00D9348B">
              <w:rPr>
                <w:rFonts w:cs="Calibri"/>
              </w:rPr>
              <w:t>12.6</w:t>
            </w:r>
          </w:p>
        </w:tc>
        <w:tc>
          <w:tcPr>
            <w:tcW w:w="844" w:type="pct"/>
            <w:tcBorders>
              <w:top w:val="single" w:sz="4" w:space="0" w:color="365F91"/>
              <w:bottom w:val="single" w:sz="4" w:space="0" w:color="365F91"/>
            </w:tcBorders>
          </w:tcPr>
          <w:p w14:paraId="272C1AFD" w14:textId="77777777" w:rsidR="00F849A7" w:rsidRPr="00D9348B" w:rsidRDefault="00F849A7" w:rsidP="00DB330E">
            <w:pPr>
              <w:pStyle w:val="TableText"/>
              <w:spacing w:before="50" w:after="50"/>
              <w:jc w:val="center"/>
              <w:rPr>
                <w:rFonts w:cs="Calibri"/>
              </w:rPr>
            </w:pPr>
            <w:r w:rsidRPr="00D9348B">
              <w:rPr>
                <w:rFonts w:cs="Calibri"/>
              </w:rPr>
              <w:t>11.4</w:t>
            </w:r>
          </w:p>
        </w:tc>
      </w:tr>
      <w:tr w:rsidR="00F849A7" w:rsidRPr="00D9348B" w14:paraId="51965B62" w14:textId="77777777" w:rsidTr="00124792">
        <w:tc>
          <w:tcPr>
            <w:tcW w:w="548" w:type="pct"/>
            <w:tcBorders>
              <w:top w:val="single" w:sz="4" w:space="0" w:color="365F91"/>
              <w:bottom w:val="single" w:sz="4" w:space="0" w:color="365F91"/>
            </w:tcBorders>
            <w:shd w:val="clear" w:color="auto" w:fill="auto"/>
            <w:noWrap/>
          </w:tcPr>
          <w:p w14:paraId="3C283AE1" w14:textId="77777777" w:rsidR="00F849A7" w:rsidRPr="00D9348B" w:rsidRDefault="00F849A7" w:rsidP="00DB330E">
            <w:pPr>
              <w:pStyle w:val="TableText"/>
              <w:spacing w:before="50" w:after="50"/>
              <w:rPr>
                <w:rFonts w:cs="Calibri"/>
              </w:rPr>
            </w:pPr>
            <w:r w:rsidRPr="00D9348B">
              <w:rPr>
                <w:rFonts w:cs="Calibri"/>
              </w:rPr>
              <w:t>2001</w:t>
            </w:r>
          </w:p>
        </w:tc>
        <w:tc>
          <w:tcPr>
            <w:tcW w:w="941" w:type="pct"/>
            <w:tcBorders>
              <w:top w:val="single" w:sz="4" w:space="0" w:color="365F91"/>
              <w:bottom w:val="single" w:sz="4" w:space="0" w:color="365F91"/>
            </w:tcBorders>
            <w:noWrap/>
          </w:tcPr>
          <w:p w14:paraId="6E67A4B3" w14:textId="77777777" w:rsidR="00F849A7" w:rsidRPr="00D9348B" w:rsidRDefault="00F849A7" w:rsidP="00DB330E">
            <w:pPr>
              <w:pStyle w:val="TableText"/>
              <w:spacing w:before="50" w:after="50"/>
              <w:ind w:right="510"/>
              <w:jc w:val="right"/>
              <w:rPr>
                <w:rFonts w:cs="Calibri"/>
              </w:rPr>
            </w:pPr>
            <w:r w:rsidRPr="00D9348B">
              <w:rPr>
                <w:rFonts w:cs="Calibri"/>
              </w:rPr>
              <w:t>11.5</w:t>
            </w:r>
          </w:p>
        </w:tc>
        <w:tc>
          <w:tcPr>
            <w:tcW w:w="941" w:type="pct"/>
            <w:tcBorders>
              <w:top w:val="single" w:sz="4" w:space="0" w:color="365F91"/>
              <w:bottom w:val="single" w:sz="4" w:space="0" w:color="365F91"/>
              <w:right w:val="single" w:sz="4" w:space="0" w:color="365F91"/>
            </w:tcBorders>
            <w:noWrap/>
          </w:tcPr>
          <w:p w14:paraId="19265480" w14:textId="77777777" w:rsidR="00F849A7" w:rsidRPr="00D9348B" w:rsidRDefault="00F849A7" w:rsidP="00DB330E">
            <w:pPr>
              <w:pStyle w:val="TableText"/>
              <w:spacing w:before="50" w:after="50"/>
              <w:ind w:right="510"/>
              <w:jc w:val="right"/>
              <w:rPr>
                <w:rFonts w:cs="Calibri"/>
              </w:rPr>
            </w:pPr>
            <w:r w:rsidRPr="00D9348B">
              <w:rPr>
                <w:rFonts w:cs="Calibri"/>
              </w:rPr>
              <w:t>10.5</w:t>
            </w:r>
          </w:p>
        </w:tc>
        <w:tc>
          <w:tcPr>
            <w:tcW w:w="205" w:type="pct"/>
            <w:tcBorders>
              <w:left w:val="single" w:sz="4" w:space="0" w:color="365F91"/>
              <w:right w:val="single" w:sz="4" w:space="0" w:color="365F91"/>
            </w:tcBorders>
          </w:tcPr>
          <w:p w14:paraId="6E847482" w14:textId="77777777" w:rsidR="00F849A7" w:rsidRPr="00D9348B" w:rsidRDefault="00F849A7" w:rsidP="00943D70">
            <w:pPr>
              <w:pStyle w:val="TableText"/>
              <w:spacing w:before="50" w:after="50"/>
              <w:rPr>
                <w:rFonts w:cs="Calibri"/>
                <w:bCs/>
              </w:rPr>
            </w:pPr>
          </w:p>
        </w:tc>
        <w:tc>
          <w:tcPr>
            <w:tcW w:w="580" w:type="pct"/>
            <w:tcBorders>
              <w:top w:val="single" w:sz="4" w:space="0" w:color="365F91"/>
              <w:left w:val="single" w:sz="4" w:space="0" w:color="365F91"/>
              <w:bottom w:val="single" w:sz="4" w:space="0" w:color="365F91"/>
            </w:tcBorders>
            <w:noWrap/>
          </w:tcPr>
          <w:p w14:paraId="6A76A067" w14:textId="77777777" w:rsidR="00F849A7" w:rsidRPr="00D9348B" w:rsidRDefault="00F849A7" w:rsidP="00DB330E">
            <w:pPr>
              <w:pStyle w:val="TableText"/>
              <w:spacing w:before="50" w:after="50"/>
              <w:rPr>
                <w:rFonts w:cs="Calibri"/>
              </w:rPr>
            </w:pPr>
            <w:r w:rsidRPr="00D9348B">
              <w:rPr>
                <w:rFonts w:cs="Calibri"/>
              </w:rPr>
              <w:t>2016</w:t>
            </w:r>
          </w:p>
        </w:tc>
        <w:tc>
          <w:tcPr>
            <w:tcW w:w="941" w:type="pct"/>
            <w:tcBorders>
              <w:top w:val="single" w:sz="4" w:space="0" w:color="365F91"/>
              <w:bottom w:val="single" w:sz="4" w:space="0" w:color="365F91"/>
            </w:tcBorders>
            <w:noWrap/>
          </w:tcPr>
          <w:p w14:paraId="63F46EF3" w14:textId="77777777" w:rsidR="00F849A7" w:rsidRPr="00D9348B" w:rsidRDefault="00F849A7" w:rsidP="00DB330E">
            <w:pPr>
              <w:pStyle w:val="TableText"/>
              <w:spacing w:before="50" w:after="50"/>
              <w:jc w:val="center"/>
              <w:rPr>
                <w:rFonts w:cs="Calibri"/>
              </w:rPr>
            </w:pPr>
            <w:r w:rsidRPr="00D9348B">
              <w:rPr>
                <w:rFonts w:cs="Calibri"/>
              </w:rPr>
              <w:t>12.7</w:t>
            </w:r>
          </w:p>
        </w:tc>
        <w:tc>
          <w:tcPr>
            <w:tcW w:w="844" w:type="pct"/>
            <w:tcBorders>
              <w:top w:val="single" w:sz="4" w:space="0" w:color="365F91"/>
              <w:bottom w:val="single" w:sz="4" w:space="0" w:color="365F91"/>
            </w:tcBorders>
          </w:tcPr>
          <w:p w14:paraId="335150D2" w14:textId="77777777" w:rsidR="00F849A7" w:rsidRPr="00D9348B" w:rsidRDefault="00F849A7" w:rsidP="00DB330E">
            <w:pPr>
              <w:pStyle w:val="TableText"/>
              <w:spacing w:before="50" w:after="50"/>
              <w:jc w:val="center"/>
              <w:rPr>
                <w:rFonts w:cs="Calibri"/>
              </w:rPr>
            </w:pPr>
            <w:r w:rsidRPr="00D9348B">
              <w:rPr>
                <w:rFonts w:cs="Calibri"/>
              </w:rPr>
              <w:t>11.3</w:t>
            </w:r>
          </w:p>
        </w:tc>
      </w:tr>
      <w:tr w:rsidR="00F849A7" w:rsidRPr="00D9348B" w14:paraId="20C4775E" w14:textId="77777777" w:rsidTr="00124792">
        <w:tc>
          <w:tcPr>
            <w:tcW w:w="548" w:type="pct"/>
            <w:tcBorders>
              <w:top w:val="single" w:sz="4" w:space="0" w:color="365F91"/>
              <w:bottom w:val="single" w:sz="4" w:space="0" w:color="365F91"/>
            </w:tcBorders>
            <w:shd w:val="clear" w:color="auto" w:fill="auto"/>
            <w:noWrap/>
          </w:tcPr>
          <w:p w14:paraId="103CA94D" w14:textId="77777777" w:rsidR="00F849A7" w:rsidRPr="00D9348B" w:rsidRDefault="00F849A7" w:rsidP="00DB330E">
            <w:pPr>
              <w:pStyle w:val="TableText"/>
              <w:spacing w:before="50" w:after="50"/>
              <w:rPr>
                <w:rFonts w:cs="Calibri"/>
              </w:rPr>
            </w:pPr>
            <w:r w:rsidRPr="00D9348B">
              <w:rPr>
                <w:rFonts w:cs="Calibri"/>
              </w:rPr>
              <w:t>2002</w:t>
            </w:r>
          </w:p>
        </w:tc>
        <w:tc>
          <w:tcPr>
            <w:tcW w:w="941" w:type="pct"/>
            <w:tcBorders>
              <w:top w:val="single" w:sz="4" w:space="0" w:color="365F91"/>
              <w:bottom w:val="single" w:sz="4" w:space="0" w:color="365F91"/>
            </w:tcBorders>
            <w:noWrap/>
          </w:tcPr>
          <w:p w14:paraId="0237BBA1" w14:textId="77777777" w:rsidR="00F849A7" w:rsidRPr="00D9348B" w:rsidRDefault="00F849A7" w:rsidP="00DB330E">
            <w:pPr>
              <w:pStyle w:val="TableText"/>
              <w:spacing w:before="50" w:after="50"/>
              <w:ind w:right="510"/>
              <w:jc w:val="right"/>
              <w:rPr>
                <w:rFonts w:cs="Calibri"/>
              </w:rPr>
            </w:pPr>
            <w:r w:rsidRPr="00D9348B">
              <w:rPr>
                <w:rFonts w:cs="Calibri"/>
              </w:rPr>
              <w:t>11.5</w:t>
            </w:r>
          </w:p>
        </w:tc>
        <w:tc>
          <w:tcPr>
            <w:tcW w:w="941" w:type="pct"/>
            <w:tcBorders>
              <w:top w:val="single" w:sz="4" w:space="0" w:color="365F91"/>
              <w:bottom w:val="single" w:sz="4" w:space="0" w:color="365F91"/>
              <w:right w:val="single" w:sz="4" w:space="0" w:color="365F91"/>
            </w:tcBorders>
            <w:noWrap/>
          </w:tcPr>
          <w:p w14:paraId="2F25BBFF" w14:textId="77777777" w:rsidR="00F849A7" w:rsidRPr="00D9348B" w:rsidRDefault="00F849A7" w:rsidP="00DB330E">
            <w:pPr>
              <w:pStyle w:val="TableText"/>
              <w:spacing w:before="50" w:after="50"/>
              <w:ind w:right="510"/>
              <w:jc w:val="right"/>
              <w:rPr>
                <w:rFonts w:cs="Calibri"/>
              </w:rPr>
            </w:pPr>
            <w:r w:rsidRPr="00D9348B">
              <w:rPr>
                <w:rFonts w:cs="Calibri"/>
              </w:rPr>
              <w:t>10.2</w:t>
            </w:r>
          </w:p>
        </w:tc>
        <w:tc>
          <w:tcPr>
            <w:tcW w:w="205" w:type="pct"/>
            <w:tcBorders>
              <w:left w:val="single" w:sz="4" w:space="0" w:color="365F91"/>
              <w:right w:val="single" w:sz="4" w:space="0" w:color="365F91"/>
            </w:tcBorders>
          </w:tcPr>
          <w:p w14:paraId="55A9FB6E" w14:textId="77777777" w:rsidR="00F849A7" w:rsidRPr="00D9348B" w:rsidRDefault="00F849A7" w:rsidP="00943D70">
            <w:pPr>
              <w:pStyle w:val="TableText"/>
              <w:spacing w:before="50" w:after="50"/>
              <w:rPr>
                <w:rFonts w:cs="Calibri"/>
                <w:bCs/>
              </w:rPr>
            </w:pPr>
          </w:p>
        </w:tc>
        <w:tc>
          <w:tcPr>
            <w:tcW w:w="580" w:type="pct"/>
            <w:tcBorders>
              <w:top w:val="single" w:sz="4" w:space="0" w:color="365F91"/>
              <w:left w:val="single" w:sz="4" w:space="0" w:color="365F91"/>
              <w:bottom w:val="single" w:sz="4" w:space="0" w:color="365F91"/>
            </w:tcBorders>
            <w:noWrap/>
          </w:tcPr>
          <w:p w14:paraId="751F9AFA" w14:textId="77777777" w:rsidR="00F849A7" w:rsidRPr="00D9348B" w:rsidRDefault="00F849A7" w:rsidP="00DB330E">
            <w:pPr>
              <w:pStyle w:val="TableText"/>
              <w:spacing w:before="50" w:after="50"/>
              <w:rPr>
                <w:rFonts w:cs="Calibri"/>
              </w:rPr>
            </w:pPr>
            <w:r w:rsidRPr="00D9348B">
              <w:rPr>
                <w:rFonts w:cs="Calibri"/>
              </w:rPr>
              <w:t>2017</w:t>
            </w:r>
          </w:p>
        </w:tc>
        <w:tc>
          <w:tcPr>
            <w:tcW w:w="941" w:type="pct"/>
            <w:tcBorders>
              <w:top w:val="single" w:sz="4" w:space="0" w:color="365F91"/>
              <w:bottom w:val="single" w:sz="4" w:space="0" w:color="365F91"/>
            </w:tcBorders>
            <w:noWrap/>
          </w:tcPr>
          <w:p w14:paraId="588957DD" w14:textId="77777777" w:rsidR="00F849A7" w:rsidRPr="00D9348B" w:rsidRDefault="00F849A7" w:rsidP="00DB330E">
            <w:pPr>
              <w:pStyle w:val="TableText"/>
              <w:spacing w:before="50" w:after="50"/>
              <w:jc w:val="center"/>
              <w:rPr>
                <w:rFonts w:cs="Calibri"/>
              </w:rPr>
            </w:pPr>
            <w:r w:rsidRPr="00D9348B">
              <w:rPr>
                <w:rFonts w:cs="Calibri"/>
              </w:rPr>
              <w:t>12.7</w:t>
            </w:r>
          </w:p>
        </w:tc>
        <w:tc>
          <w:tcPr>
            <w:tcW w:w="844" w:type="pct"/>
            <w:tcBorders>
              <w:top w:val="single" w:sz="4" w:space="0" w:color="365F91"/>
              <w:bottom w:val="single" w:sz="4" w:space="0" w:color="365F91"/>
            </w:tcBorders>
          </w:tcPr>
          <w:p w14:paraId="27FC9A9E" w14:textId="77777777" w:rsidR="00F849A7" w:rsidRPr="00D9348B" w:rsidRDefault="00F849A7" w:rsidP="00DB330E">
            <w:pPr>
              <w:pStyle w:val="TableText"/>
              <w:spacing w:before="50" w:after="50"/>
              <w:jc w:val="center"/>
              <w:rPr>
                <w:rFonts w:cs="Calibri"/>
              </w:rPr>
            </w:pPr>
            <w:r w:rsidRPr="00D9348B">
              <w:rPr>
                <w:rFonts w:cs="Calibri"/>
              </w:rPr>
              <w:t>11.3</w:t>
            </w:r>
          </w:p>
        </w:tc>
      </w:tr>
      <w:tr w:rsidR="00F849A7" w:rsidRPr="00D9348B" w14:paraId="01F6326B" w14:textId="77777777" w:rsidTr="00124792">
        <w:tc>
          <w:tcPr>
            <w:tcW w:w="548" w:type="pct"/>
            <w:tcBorders>
              <w:top w:val="single" w:sz="4" w:space="0" w:color="365F91"/>
              <w:bottom w:val="single" w:sz="4" w:space="0" w:color="365F91"/>
            </w:tcBorders>
            <w:shd w:val="clear" w:color="auto" w:fill="auto"/>
            <w:noWrap/>
          </w:tcPr>
          <w:p w14:paraId="2C240E11" w14:textId="77777777" w:rsidR="00F849A7" w:rsidRPr="00D9348B" w:rsidRDefault="00F849A7" w:rsidP="00DB330E">
            <w:pPr>
              <w:pStyle w:val="TableText"/>
              <w:spacing w:before="50" w:after="50"/>
              <w:rPr>
                <w:rFonts w:cs="Calibri"/>
              </w:rPr>
            </w:pPr>
            <w:r w:rsidRPr="00D9348B">
              <w:rPr>
                <w:rFonts w:cs="Calibri"/>
              </w:rPr>
              <w:t>2003</w:t>
            </w:r>
          </w:p>
        </w:tc>
        <w:tc>
          <w:tcPr>
            <w:tcW w:w="941" w:type="pct"/>
            <w:tcBorders>
              <w:top w:val="single" w:sz="4" w:space="0" w:color="365F91"/>
              <w:bottom w:val="single" w:sz="4" w:space="0" w:color="365F91"/>
            </w:tcBorders>
            <w:noWrap/>
          </w:tcPr>
          <w:p w14:paraId="7E3C6F80" w14:textId="77777777" w:rsidR="00F849A7" w:rsidRPr="00D9348B" w:rsidRDefault="00F849A7" w:rsidP="00DB330E">
            <w:pPr>
              <w:pStyle w:val="TableText"/>
              <w:spacing w:before="50" w:after="50"/>
              <w:ind w:right="510"/>
              <w:jc w:val="right"/>
              <w:rPr>
                <w:rFonts w:cs="Calibri"/>
                <w:color w:val="000000"/>
              </w:rPr>
            </w:pPr>
            <w:r w:rsidRPr="00D9348B">
              <w:rPr>
                <w:rFonts w:cs="Calibri"/>
              </w:rPr>
              <w:t>11.6</w:t>
            </w:r>
          </w:p>
        </w:tc>
        <w:tc>
          <w:tcPr>
            <w:tcW w:w="941" w:type="pct"/>
            <w:tcBorders>
              <w:top w:val="single" w:sz="4" w:space="0" w:color="365F91"/>
              <w:bottom w:val="single" w:sz="4" w:space="0" w:color="365F91"/>
              <w:right w:val="single" w:sz="4" w:space="0" w:color="365F91"/>
            </w:tcBorders>
            <w:noWrap/>
          </w:tcPr>
          <w:p w14:paraId="6F8E6CB8" w14:textId="77777777" w:rsidR="00F849A7" w:rsidRPr="00D9348B" w:rsidRDefault="00F849A7" w:rsidP="00DB330E">
            <w:pPr>
              <w:pStyle w:val="TableText"/>
              <w:spacing w:before="50" w:after="50"/>
              <w:ind w:right="510"/>
              <w:jc w:val="right"/>
              <w:rPr>
                <w:rFonts w:cs="Calibri"/>
                <w:color w:val="000000"/>
              </w:rPr>
            </w:pPr>
            <w:r w:rsidRPr="00D9348B">
              <w:rPr>
                <w:rFonts w:cs="Calibri"/>
              </w:rPr>
              <w:t>10.1</w:t>
            </w:r>
          </w:p>
        </w:tc>
        <w:tc>
          <w:tcPr>
            <w:tcW w:w="205" w:type="pct"/>
            <w:tcBorders>
              <w:left w:val="single" w:sz="4" w:space="0" w:color="365F91"/>
              <w:right w:val="single" w:sz="4" w:space="0" w:color="365F91"/>
            </w:tcBorders>
          </w:tcPr>
          <w:p w14:paraId="45EDCC59" w14:textId="77777777" w:rsidR="00F849A7" w:rsidRPr="00D9348B" w:rsidRDefault="00F849A7" w:rsidP="00943D70">
            <w:pPr>
              <w:pStyle w:val="TableText"/>
              <w:spacing w:before="50" w:after="50"/>
              <w:rPr>
                <w:rFonts w:cs="Calibri"/>
                <w:bCs/>
              </w:rPr>
            </w:pPr>
          </w:p>
        </w:tc>
        <w:tc>
          <w:tcPr>
            <w:tcW w:w="580" w:type="pct"/>
            <w:tcBorders>
              <w:top w:val="single" w:sz="4" w:space="0" w:color="365F91"/>
              <w:left w:val="single" w:sz="4" w:space="0" w:color="365F91"/>
              <w:bottom w:val="single" w:sz="4" w:space="0" w:color="365F91"/>
            </w:tcBorders>
            <w:noWrap/>
          </w:tcPr>
          <w:p w14:paraId="4EC555C3" w14:textId="77777777" w:rsidR="00F849A7" w:rsidRPr="00D9348B" w:rsidRDefault="00F849A7" w:rsidP="00DB330E">
            <w:pPr>
              <w:pStyle w:val="TableText"/>
              <w:spacing w:before="50" w:after="50"/>
              <w:rPr>
                <w:rFonts w:cs="Calibri"/>
              </w:rPr>
            </w:pPr>
            <w:r w:rsidRPr="00D9348B">
              <w:rPr>
                <w:rFonts w:cs="Calibri"/>
              </w:rPr>
              <w:t>2018</w:t>
            </w:r>
          </w:p>
        </w:tc>
        <w:tc>
          <w:tcPr>
            <w:tcW w:w="941" w:type="pct"/>
            <w:tcBorders>
              <w:top w:val="single" w:sz="4" w:space="0" w:color="365F91"/>
              <w:bottom w:val="single" w:sz="4" w:space="0" w:color="365F91"/>
            </w:tcBorders>
            <w:noWrap/>
          </w:tcPr>
          <w:p w14:paraId="0377F51B" w14:textId="77777777" w:rsidR="00F849A7" w:rsidRPr="00D9348B" w:rsidRDefault="00F849A7" w:rsidP="00DB330E">
            <w:pPr>
              <w:pStyle w:val="TableText"/>
              <w:spacing w:before="50" w:after="50"/>
              <w:jc w:val="center"/>
              <w:rPr>
                <w:rFonts w:cs="Calibri"/>
              </w:rPr>
            </w:pPr>
            <w:r w:rsidRPr="00D9348B">
              <w:rPr>
                <w:rFonts w:cs="Calibri"/>
              </w:rPr>
              <w:t>12.7</w:t>
            </w:r>
          </w:p>
        </w:tc>
        <w:tc>
          <w:tcPr>
            <w:tcW w:w="844" w:type="pct"/>
            <w:tcBorders>
              <w:top w:val="single" w:sz="4" w:space="0" w:color="365F91"/>
              <w:bottom w:val="single" w:sz="4" w:space="0" w:color="365F91"/>
            </w:tcBorders>
          </w:tcPr>
          <w:p w14:paraId="2C02C96D" w14:textId="77777777" w:rsidR="00F849A7" w:rsidRPr="00D9348B" w:rsidRDefault="00F849A7" w:rsidP="00DB330E">
            <w:pPr>
              <w:pStyle w:val="TableText"/>
              <w:spacing w:before="50" w:after="50"/>
              <w:jc w:val="center"/>
              <w:rPr>
                <w:rFonts w:cs="Calibri"/>
              </w:rPr>
            </w:pPr>
            <w:r w:rsidRPr="00D9348B">
              <w:rPr>
                <w:rFonts w:cs="Calibri"/>
              </w:rPr>
              <w:t>11.4</w:t>
            </w:r>
          </w:p>
        </w:tc>
      </w:tr>
      <w:tr w:rsidR="00F849A7" w:rsidRPr="00D9348B" w14:paraId="5FE9EF78" w14:textId="77777777" w:rsidTr="00124792">
        <w:trPr>
          <w:gridAfter w:val="4"/>
          <w:wAfter w:w="2569" w:type="pct"/>
        </w:trPr>
        <w:tc>
          <w:tcPr>
            <w:tcW w:w="548" w:type="pct"/>
            <w:tcBorders>
              <w:top w:val="single" w:sz="4" w:space="0" w:color="365F91"/>
              <w:bottom w:val="single" w:sz="4" w:space="0" w:color="365F91"/>
            </w:tcBorders>
            <w:shd w:val="clear" w:color="auto" w:fill="auto"/>
            <w:noWrap/>
          </w:tcPr>
          <w:p w14:paraId="5CF8E1DA" w14:textId="77777777" w:rsidR="00F849A7" w:rsidRPr="00D9348B" w:rsidRDefault="00F849A7" w:rsidP="00DB330E">
            <w:pPr>
              <w:pStyle w:val="TableText"/>
              <w:spacing w:before="50" w:after="50"/>
              <w:rPr>
                <w:rFonts w:cs="Calibri"/>
              </w:rPr>
            </w:pPr>
            <w:r w:rsidRPr="00D9348B">
              <w:rPr>
                <w:rFonts w:cs="Calibri"/>
              </w:rPr>
              <w:t>2004</w:t>
            </w:r>
          </w:p>
        </w:tc>
        <w:tc>
          <w:tcPr>
            <w:tcW w:w="941" w:type="pct"/>
            <w:tcBorders>
              <w:top w:val="single" w:sz="4" w:space="0" w:color="365F91"/>
              <w:bottom w:val="single" w:sz="4" w:space="0" w:color="365F91"/>
            </w:tcBorders>
            <w:noWrap/>
          </w:tcPr>
          <w:p w14:paraId="52FD3DC4" w14:textId="77777777" w:rsidR="00F849A7" w:rsidRPr="00D9348B" w:rsidRDefault="00F849A7" w:rsidP="00DB330E">
            <w:pPr>
              <w:pStyle w:val="TableText"/>
              <w:spacing w:before="50" w:after="50"/>
              <w:ind w:right="510"/>
              <w:jc w:val="right"/>
              <w:rPr>
                <w:rFonts w:cs="Calibri"/>
              </w:rPr>
            </w:pPr>
            <w:r w:rsidRPr="00D9348B">
              <w:rPr>
                <w:rFonts w:cs="Calibri"/>
              </w:rPr>
              <w:t>11.7</w:t>
            </w:r>
          </w:p>
        </w:tc>
        <w:tc>
          <w:tcPr>
            <w:tcW w:w="941" w:type="pct"/>
            <w:tcBorders>
              <w:top w:val="single" w:sz="4" w:space="0" w:color="365F91"/>
              <w:bottom w:val="single" w:sz="4" w:space="0" w:color="365F91"/>
              <w:right w:val="single" w:sz="4" w:space="0" w:color="365F91"/>
            </w:tcBorders>
            <w:noWrap/>
          </w:tcPr>
          <w:p w14:paraId="58376351" w14:textId="77777777" w:rsidR="00F849A7" w:rsidRPr="00D9348B" w:rsidRDefault="00F849A7" w:rsidP="00DB330E">
            <w:pPr>
              <w:pStyle w:val="TableText"/>
              <w:spacing w:before="50" w:after="50"/>
              <w:ind w:right="510"/>
              <w:jc w:val="right"/>
              <w:rPr>
                <w:rFonts w:cs="Calibri"/>
              </w:rPr>
            </w:pPr>
            <w:r w:rsidRPr="00D9348B">
              <w:rPr>
                <w:rFonts w:cs="Calibri"/>
              </w:rPr>
              <w:t>10.5</w:t>
            </w:r>
          </w:p>
        </w:tc>
      </w:tr>
    </w:tbl>
    <w:p w14:paraId="2C94AEA7" w14:textId="77777777" w:rsidR="00F849A7" w:rsidRPr="00D9348B" w:rsidRDefault="00F849A7" w:rsidP="00F849A7">
      <w:pPr>
        <w:pStyle w:val="Heading5"/>
        <w:spacing w:before="360"/>
        <w:rPr>
          <w:rFonts w:cs="Calibri"/>
        </w:rPr>
      </w:pPr>
      <w:r w:rsidRPr="00D9348B">
        <w:rPr>
          <w:rFonts w:cs="Calibri"/>
        </w:rPr>
        <w:t xml:space="preserve">Direct nitrous oxide emissions from manure management </w:t>
      </w:r>
    </w:p>
    <w:p w14:paraId="5EFD1143" w14:textId="77777777" w:rsidR="00F849A7" w:rsidRPr="00D9348B" w:rsidRDefault="00F849A7" w:rsidP="00F849A7">
      <w:pPr>
        <w:pStyle w:val="BodyText"/>
        <w:rPr>
          <w:rFonts w:cs="Calibri"/>
        </w:rPr>
      </w:pPr>
      <w:r w:rsidRPr="00D9348B">
        <w:rPr>
          <w:rFonts w:cs="Calibri"/>
          <w:b/>
          <w:bCs/>
        </w:rPr>
        <w:t>Major livestock categories:</w:t>
      </w:r>
      <w:r w:rsidRPr="00D9348B">
        <w:rPr>
          <w:rFonts w:cs="Calibri"/>
        </w:rPr>
        <w:t xml:space="preserve"> For the major livestock categories (</w:t>
      </w:r>
      <w:r w:rsidRPr="00D9348B">
        <w:rPr>
          <w:rFonts w:cs="Calibri"/>
          <w:i/>
          <w:iCs/>
        </w:rPr>
        <w:t>Dairy cattle</w:t>
      </w:r>
      <w:r w:rsidRPr="00D9348B">
        <w:rPr>
          <w:rFonts w:cs="Calibri"/>
        </w:rPr>
        <w:t xml:space="preserve">, </w:t>
      </w:r>
      <w:r w:rsidRPr="00D9348B">
        <w:rPr>
          <w:rFonts w:cs="Calibri"/>
          <w:i/>
          <w:iCs/>
        </w:rPr>
        <w:t>Non-dairy cattle</w:t>
      </w:r>
      <w:r w:rsidRPr="00D9348B">
        <w:rPr>
          <w:rFonts w:cs="Calibri"/>
        </w:rPr>
        <w:t xml:space="preserve">, </w:t>
      </w:r>
      <w:r w:rsidRPr="00D9348B">
        <w:rPr>
          <w:rFonts w:cs="Calibri"/>
          <w:i/>
          <w:iCs/>
        </w:rPr>
        <w:t>Sheep</w:t>
      </w:r>
      <w:r w:rsidRPr="00D9348B">
        <w:rPr>
          <w:rFonts w:cs="Calibri"/>
        </w:rPr>
        <w:t xml:space="preserve"> and </w:t>
      </w:r>
      <w:r w:rsidRPr="00D9348B">
        <w:rPr>
          <w:rFonts w:cs="Calibri"/>
          <w:i/>
          <w:iCs/>
        </w:rPr>
        <w:t>Deer</w:t>
      </w:r>
      <w:r w:rsidRPr="00D9348B">
        <w:rPr>
          <w:rFonts w:cs="Calibri"/>
        </w:rPr>
        <w:t>), most manure is deposited directly onto pasture by grazing animals (see table 5.3.2). Direct and indirect N</w:t>
      </w:r>
      <w:r w:rsidRPr="00D9348B">
        <w:rPr>
          <w:rFonts w:cs="Calibri"/>
          <w:vertAlign w:val="subscript"/>
        </w:rPr>
        <w:t>2</w:t>
      </w:r>
      <w:r w:rsidRPr="00D9348B">
        <w:rPr>
          <w:rFonts w:cs="Calibri"/>
        </w:rPr>
        <w:t xml:space="preserve">O emissions from the manure deposited by grazing animals are reported under the </w:t>
      </w:r>
      <w:r w:rsidRPr="00D9348B">
        <w:rPr>
          <w:rFonts w:cs="Calibri"/>
          <w:i/>
          <w:iCs/>
        </w:rPr>
        <w:t>Agricultural soils</w:t>
      </w:r>
      <w:r w:rsidRPr="00D9348B">
        <w:rPr>
          <w:rFonts w:cs="Calibri"/>
        </w:rPr>
        <w:t xml:space="preserve"> category (</w:t>
      </w:r>
      <w:r w:rsidRPr="00D9348B">
        <w:rPr>
          <w:rFonts w:cs="Calibri"/>
          <w:i/>
          <w:iCs/>
        </w:rPr>
        <w:t xml:space="preserve">Urine and dung deposited by grazing animals </w:t>
      </w:r>
      <w:r w:rsidRPr="00D9348B">
        <w:rPr>
          <w:rFonts w:cs="Calibri"/>
        </w:rPr>
        <w:t xml:space="preserve">(CRF 3.D.1.3)). </w:t>
      </w:r>
    </w:p>
    <w:p w14:paraId="2D8C13F4" w14:textId="77777777" w:rsidR="00F849A7" w:rsidRPr="00D9348B" w:rsidRDefault="00F849A7" w:rsidP="00F849A7">
      <w:pPr>
        <w:pStyle w:val="BodyText"/>
        <w:rPr>
          <w:rFonts w:cs="Calibri"/>
        </w:rPr>
      </w:pPr>
      <w:r w:rsidRPr="00D9348B">
        <w:rPr>
          <w:rFonts w:cs="Calibri"/>
        </w:rPr>
        <w:lastRenderedPageBreak/>
        <w:t>The remainder of dairy manure is managed in anaerobic lagoons. The 2006 IPCC Guidelines note that the production of emissions of direct N</w:t>
      </w:r>
      <w:r w:rsidRPr="00D9348B">
        <w:rPr>
          <w:rFonts w:cs="Calibri"/>
          <w:vertAlign w:val="subscript"/>
        </w:rPr>
        <w:t>2</w:t>
      </w:r>
      <w:r w:rsidRPr="00D9348B">
        <w:rPr>
          <w:rFonts w:cs="Calibri"/>
        </w:rPr>
        <w:t>O from managed manure requires aerobic conditions for the formation of oxidised forms of nitrogen but assumes that negligible direct N</w:t>
      </w:r>
      <w:r w:rsidRPr="00D9348B">
        <w:rPr>
          <w:rFonts w:cs="Calibri"/>
          <w:vertAlign w:val="subscript"/>
        </w:rPr>
        <w:t>2</w:t>
      </w:r>
      <w:r w:rsidRPr="00D9348B">
        <w:rPr>
          <w:rFonts w:cs="Calibri"/>
        </w:rPr>
        <w:t>O emissions occur during storage in anaerobic lagoons (IPCC, 2006, table 10.21). Direct N</w:t>
      </w:r>
      <w:r w:rsidRPr="00D9348B">
        <w:rPr>
          <w:rFonts w:cs="Calibri"/>
          <w:vertAlign w:val="subscript"/>
        </w:rPr>
        <w:t>2</w:t>
      </w:r>
      <w:r w:rsidRPr="00D9348B">
        <w:rPr>
          <w:rFonts w:cs="Calibri"/>
        </w:rPr>
        <w:t xml:space="preserve">O emissions from dairy effluent anaerobic lagoons are reported under the </w:t>
      </w:r>
      <w:r w:rsidRPr="00D9348B">
        <w:rPr>
          <w:rFonts w:cs="Calibri"/>
          <w:i/>
          <w:iCs/>
        </w:rPr>
        <w:t>Agricultural soils</w:t>
      </w:r>
      <w:r w:rsidRPr="00D9348B">
        <w:rPr>
          <w:rFonts w:cs="Calibri"/>
        </w:rPr>
        <w:t xml:space="preserve"> category (</w:t>
      </w:r>
      <w:r w:rsidRPr="00D9348B">
        <w:rPr>
          <w:rFonts w:cs="Calibri"/>
          <w:i/>
          <w:iCs/>
        </w:rPr>
        <w:t xml:space="preserve">Organic nitrogen fertilisers </w:t>
      </w:r>
      <w:r w:rsidRPr="00D9348B">
        <w:rPr>
          <w:rFonts w:cs="Calibri"/>
        </w:rPr>
        <w:t>(CRF 3.D.1.2)) when the stored effluent is spread onto agricultural land.</w:t>
      </w:r>
    </w:p>
    <w:p w14:paraId="71E63E98" w14:textId="5457F5AB" w:rsidR="00F849A7" w:rsidRPr="00D9348B" w:rsidRDefault="00F849A7" w:rsidP="00F849A7">
      <w:pPr>
        <w:pStyle w:val="BodyText"/>
        <w:rPr>
          <w:rFonts w:cs="Calibri"/>
        </w:rPr>
      </w:pPr>
      <w:r w:rsidRPr="00D9348B">
        <w:rPr>
          <w:rFonts w:cs="Calibri"/>
          <w:b/>
          <w:bCs/>
          <w:i/>
          <w:iCs/>
        </w:rPr>
        <w:t>Swine:</w:t>
      </w:r>
      <w:r w:rsidRPr="00D9348B">
        <w:rPr>
          <w:rFonts w:cs="Calibri"/>
        </w:rPr>
        <w:t xml:space="preserve"> Swine manure is managed under various types of waste management system (see</w:t>
      </w:r>
      <w:r w:rsidR="00124792" w:rsidRPr="00D9348B">
        <w:rPr>
          <w:rFonts w:cs="Calibri"/>
        </w:rPr>
        <w:t> </w:t>
      </w:r>
      <w:r w:rsidRPr="00D9348B">
        <w:rPr>
          <w:rFonts w:cs="Calibri"/>
        </w:rPr>
        <w:t>table 5.3.2). The 2006 IPCC Guidelines (table 10.21, IPCC, 2006) assume that negligible direct N</w:t>
      </w:r>
      <w:r w:rsidRPr="00D9348B">
        <w:rPr>
          <w:rFonts w:cs="Calibri"/>
          <w:vertAlign w:val="subscript"/>
        </w:rPr>
        <w:t>2</w:t>
      </w:r>
      <w:r w:rsidRPr="00D9348B">
        <w:rPr>
          <w:rFonts w:cs="Calibri"/>
        </w:rPr>
        <w:t xml:space="preserve">O emissions occur in anaerobic lagoons and daily spread. Nitrous oxide emissions from manure from these systems occur once the stored effluent is spread onto agricultural land and are reported under the </w:t>
      </w:r>
      <w:r w:rsidRPr="00D9348B">
        <w:rPr>
          <w:rFonts w:cs="Calibri"/>
          <w:i/>
          <w:iCs/>
        </w:rPr>
        <w:t>Agricultural soils</w:t>
      </w:r>
      <w:r w:rsidRPr="00D9348B">
        <w:rPr>
          <w:rFonts w:cs="Calibri"/>
        </w:rPr>
        <w:t xml:space="preserve"> category (</w:t>
      </w:r>
      <w:r w:rsidRPr="00D9348B">
        <w:rPr>
          <w:rFonts w:cs="Calibri"/>
          <w:i/>
          <w:iCs/>
        </w:rPr>
        <w:t xml:space="preserve">Organic nitrogen fertilisers </w:t>
      </w:r>
      <w:r w:rsidRPr="00D9348B">
        <w:rPr>
          <w:rFonts w:cs="Calibri"/>
        </w:rPr>
        <w:t>(CRF</w:t>
      </w:r>
      <w:r w:rsidR="00124792" w:rsidRPr="00D9348B">
        <w:rPr>
          <w:rFonts w:cs="Calibri"/>
        </w:rPr>
        <w:t> </w:t>
      </w:r>
      <w:r w:rsidRPr="00D9348B">
        <w:rPr>
          <w:rFonts w:cs="Calibri"/>
        </w:rPr>
        <w:t>3.D.1.2)). Nitrous oxide emissions from manure management of swine for dry lot and other manure management systems are estimated using the IPCC (2006) default emission factors for direct N</w:t>
      </w:r>
      <w:r w:rsidRPr="00D9348B">
        <w:rPr>
          <w:rFonts w:cs="Calibri"/>
          <w:vertAlign w:val="subscript"/>
        </w:rPr>
        <w:t>2</w:t>
      </w:r>
      <w:r w:rsidRPr="00D9348B">
        <w:rPr>
          <w:rFonts w:cs="Calibri"/>
        </w:rPr>
        <w:t>O emissions from manure management (EF</w:t>
      </w:r>
      <w:r w:rsidRPr="00D9348B">
        <w:rPr>
          <w:rFonts w:cs="Calibri"/>
          <w:vertAlign w:val="subscript"/>
        </w:rPr>
        <w:t>3,PRP</w:t>
      </w:r>
      <w:r w:rsidRPr="00D9348B">
        <w:rPr>
          <w:rFonts w:cs="Calibri"/>
        </w:rPr>
        <w:t>)</w:t>
      </w:r>
      <w:r w:rsidRPr="00D9348B">
        <w:rPr>
          <w:rFonts w:cs="Calibri"/>
          <w:vertAlign w:val="subscript"/>
        </w:rPr>
        <w:t xml:space="preserve"> </w:t>
      </w:r>
      <w:r w:rsidRPr="00D9348B">
        <w:rPr>
          <w:rFonts w:cs="Calibri"/>
        </w:rPr>
        <w:t>of 0.02 and 0.005 kg N</w:t>
      </w:r>
      <w:r w:rsidRPr="00D9348B">
        <w:rPr>
          <w:rFonts w:cs="Calibri"/>
          <w:vertAlign w:val="subscript"/>
        </w:rPr>
        <w:t>2</w:t>
      </w:r>
      <w:r w:rsidRPr="00D9348B">
        <w:rPr>
          <w:rFonts w:cs="Calibri"/>
        </w:rPr>
        <w:t>O</w:t>
      </w:r>
      <w:r w:rsidRPr="00D9348B">
        <w:rPr>
          <w:rFonts w:cs="Calibri"/>
        </w:rPr>
        <w:noBreakHyphen/>
        <w:t xml:space="preserve">N/kg N respectively. </w:t>
      </w:r>
    </w:p>
    <w:p w14:paraId="28FC4DF3" w14:textId="77777777" w:rsidR="00F849A7" w:rsidRPr="00D9348B" w:rsidRDefault="00F849A7" w:rsidP="00F849A7">
      <w:pPr>
        <w:pStyle w:val="BodyText"/>
        <w:rPr>
          <w:rFonts w:cs="Calibri"/>
        </w:rPr>
      </w:pPr>
      <w:r w:rsidRPr="00D9348B">
        <w:rPr>
          <w:rFonts w:cs="Calibri"/>
          <w:b/>
          <w:bCs/>
          <w:i/>
          <w:iCs/>
        </w:rPr>
        <w:t>Poultry</w:t>
      </w:r>
      <w:r w:rsidRPr="00D9348B">
        <w:rPr>
          <w:rFonts w:cs="Calibri"/>
          <w:i/>
          <w:iCs/>
        </w:rPr>
        <w:t>:</w:t>
      </w:r>
      <w:r w:rsidRPr="00D9348B">
        <w:rPr>
          <w:rFonts w:cs="Calibri"/>
        </w:rPr>
        <w:t xml:space="preserve"> Direct N</w:t>
      </w:r>
      <w:r w:rsidRPr="00D9348B">
        <w:rPr>
          <w:rFonts w:cs="Calibri"/>
          <w:vertAlign w:val="subscript"/>
        </w:rPr>
        <w:t>2</w:t>
      </w:r>
      <w:r w:rsidRPr="00D9348B">
        <w:rPr>
          <w:rFonts w:cs="Calibri"/>
        </w:rPr>
        <w:t xml:space="preserve">O emissions from poultry manure deposited directly on pasture are reported under the </w:t>
      </w:r>
      <w:r w:rsidRPr="00D9348B">
        <w:rPr>
          <w:rFonts w:cs="Calibri"/>
          <w:i/>
          <w:iCs/>
        </w:rPr>
        <w:t>Agricultural soils</w:t>
      </w:r>
      <w:r w:rsidRPr="00D9348B">
        <w:rPr>
          <w:rFonts w:cs="Calibri"/>
        </w:rPr>
        <w:t xml:space="preserve"> category (</w:t>
      </w:r>
      <w:r w:rsidRPr="00D9348B">
        <w:rPr>
          <w:rFonts w:cs="Calibri"/>
          <w:i/>
          <w:iCs/>
        </w:rPr>
        <w:t>Urine and dung deposited by grazing animals</w:t>
      </w:r>
      <w:r w:rsidRPr="00D9348B">
        <w:rPr>
          <w:rFonts w:cs="Calibri"/>
        </w:rPr>
        <w:t xml:space="preserve"> (CRF 3.D.1.3)). For other manure management systems, the IPCC (2006, table 0.21) default emission factor for EF</w:t>
      </w:r>
      <w:r w:rsidRPr="00D9348B">
        <w:rPr>
          <w:rFonts w:cs="Calibri"/>
          <w:vertAlign w:val="subscript"/>
        </w:rPr>
        <w:t>3</w:t>
      </w:r>
      <w:proofErr w:type="gramStart"/>
      <w:r w:rsidRPr="00D9348B">
        <w:rPr>
          <w:rFonts w:cs="Calibri"/>
          <w:vertAlign w:val="subscript"/>
        </w:rPr>
        <w:t>,PRP</w:t>
      </w:r>
      <w:proofErr w:type="gramEnd"/>
      <w:r w:rsidRPr="00D9348B">
        <w:rPr>
          <w:rFonts w:cs="Calibri"/>
        </w:rPr>
        <w:t xml:space="preserve"> of 0.001 kg N</w:t>
      </w:r>
      <w:r w:rsidRPr="00D9348B">
        <w:rPr>
          <w:rFonts w:cs="Calibri"/>
          <w:vertAlign w:val="subscript"/>
        </w:rPr>
        <w:t>2</w:t>
      </w:r>
      <w:r w:rsidRPr="00D9348B">
        <w:rPr>
          <w:rFonts w:cs="Calibri"/>
        </w:rPr>
        <w:t>O-N/kg N for poultry manure with and without litter is assumed.</w:t>
      </w:r>
    </w:p>
    <w:p w14:paraId="72471926" w14:textId="77777777" w:rsidR="00F849A7" w:rsidRPr="00D9348B" w:rsidRDefault="00F849A7" w:rsidP="00F849A7">
      <w:pPr>
        <w:pStyle w:val="BodyText"/>
        <w:rPr>
          <w:rFonts w:cs="Calibri"/>
        </w:rPr>
      </w:pPr>
      <w:r w:rsidRPr="00D9348B">
        <w:rPr>
          <w:rFonts w:cs="Calibri"/>
          <w:b/>
          <w:bCs/>
          <w:i/>
          <w:iCs/>
        </w:rPr>
        <w:t>Goats</w:t>
      </w:r>
      <w:r w:rsidRPr="00D9348B">
        <w:rPr>
          <w:rFonts w:cs="Calibri"/>
          <w:b/>
          <w:bCs/>
        </w:rPr>
        <w:t xml:space="preserve">, </w:t>
      </w:r>
      <w:r w:rsidRPr="00D9348B">
        <w:rPr>
          <w:rFonts w:cs="Calibri"/>
          <w:b/>
          <w:bCs/>
          <w:i/>
          <w:iCs/>
        </w:rPr>
        <w:t>horses</w:t>
      </w:r>
      <w:r w:rsidRPr="00D9348B">
        <w:rPr>
          <w:rFonts w:cs="Calibri"/>
          <w:b/>
        </w:rPr>
        <w:t xml:space="preserve">, </w:t>
      </w:r>
      <w:r w:rsidRPr="00D9348B">
        <w:rPr>
          <w:rFonts w:cs="Calibri"/>
          <w:b/>
          <w:i/>
        </w:rPr>
        <w:t>llamas and</w:t>
      </w:r>
      <w:r w:rsidRPr="00D9348B">
        <w:rPr>
          <w:rFonts w:cs="Calibri"/>
          <w:b/>
          <w:bCs/>
        </w:rPr>
        <w:t xml:space="preserve"> a</w:t>
      </w:r>
      <w:r w:rsidRPr="00D9348B">
        <w:rPr>
          <w:rFonts w:cs="Calibri"/>
          <w:b/>
          <w:i/>
        </w:rPr>
        <w:t>lpacas</w:t>
      </w:r>
      <w:r w:rsidRPr="00D9348B">
        <w:rPr>
          <w:rFonts w:cs="Calibri"/>
          <w:b/>
          <w:bCs/>
        </w:rPr>
        <w:t xml:space="preserve">, and </w:t>
      </w:r>
      <w:r w:rsidRPr="00D9348B">
        <w:rPr>
          <w:rFonts w:cs="Calibri"/>
          <w:b/>
          <w:i/>
        </w:rPr>
        <w:t>mules and asses</w:t>
      </w:r>
      <w:r w:rsidRPr="00D9348B">
        <w:rPr>
          <w:rFonts w:cs="Calibri"/>
          <w:b/>
        </w:rPr>
        <w:t xml:space="preserve">: </w:t>
      </w:r>
      <w:r w:rsidRPr="00D9348B">
        <w:rPr>
          <w:rFonts w:cs="Calibri"/>
        </w:rPr>
        <w:t>All faecal material from these livestock is deposited directly onto pasture, and direct N</w:t>
      </w:r>
      <w:r w:rsidRPr="00D9348B">
        <w:rPr>
          <w:rFonts w:cs="Calibri"/>
          <w:vertAlign w:val="subscript"/>
        </w:rPr>
        <w:t>2</w:t>
      </w:r>
      <w:r w:rsidRPr="00D9348B">
        <w:rPr>
          <w:rFonts w:cs="Calibri"/>
        </w:rPr>
        <w:t xml:space="preserve">O emissions from grazing animals are reported under the </w:t>
      </w:r>
      <w:r w:rsidRPr="00D9348B">
        <w:rPr>
          <w:rFonts w:cs="Calibri"/>
          <w:i/>
          <w:iCs/>
        </w:rPr>
        <w:t>Agricultural soils</w:t>
      </w:r>
      <w:r w:rsidRPr="00D9348B">
        <w:rPr>
          <w:rFonts w:cs="Calibri"/>
        </w:rPr>
        <w:t xml:space="preserve"> category (</w:t>
      </w:r>
      <w:r w:rsidRPr="00D9348B">
        <w:rPr>
          <w:rFonts w:cs="Calibri"/>
          <w:i/>
          <w:iCs/>
        </w:rPr>
        <w:t>Urine and dung deposited by grazing animals</w:t>
      </w:r>
      <w:r w:rsidRPr="00D9348B">
        <w:rPr>
          <w:rFonts w:cs="Calibri"/>
        </w:rPr>
        <w:t xml:space="preserve"> (CRF 3.D.1.3)). </w:t>
      </w:r>
    </w:p>
    <w:p w14:paraId="2C9CB7A6" w14:textId="77777777" w:rsidR="00F849A7" w:rsidRPr="00D9348B" w:rsidRDefault="00F849A7" w:rsidP="00F849A7">
      <w:pPr>
        <w:pStyle w:val="Heading5"/>
        <w:spacing w:before="200"/>
        <w:rPr>
          <w:rFonts w:cs="Calibri"/>
        </w:rPr>
      </w:pPr>
      <w:r w:rsidRPr="00D9348B">
        <w:rPr>
          <w:rFonts w:cs="Calibri"/>
        </w:rPr>
        <w:t>Indirect nitrous oxide emissions from manure management</w:t>
      </w:r>
    </w:p>
    <w:p w14:paraId="133E2410" w14:textId="77777777" w:rsidR="00F849A7" w:rsidRPr="00D9348B" w:rsidRDefault="00F849A7" w:rsidP="00F849A7">
      <w:pPr>
        <w:pStyle w:val="BodyText"/>
        <w:rPr>
          <w:rFonts w:cs="Calibri"/>
        </w:rPr>
      </w:pPr>
      <w:r w:rsidRPr="00D9348B">
        <w:rPr>
          <w:rFonts w:cs="Calibri"/>
        </w:rPr>
        <w:t>Indirect N</w:t>
      </w:r>
      <w:r w:rsidRPr="00D9348B">
        <w:rPr>
          <w:rFonts w:cs="Calibri"/>
          <w:vertAlign w:val="subscript"/>
        </w:rPr>
        <w:t>2</w:t>
      </w:r>
      <w:r w:rsidRPr="00D9348B">
        <w:rPr>
          <w:rFonts w:cs="Calibri"/>
        </w:rPr>
        <w:t>O emissions from manure management result from diffusion into the surrounding air (volatilisation) and from leaching and runoff. All indirect N</w:t>
      </w:r>
      <w:r w:rsidRPr="00D9348B">
        <w:rPr>
          <w:rFonts w:cs="Calibri"/>
          <w:vertAlign w:val="subscript"/>
        </w:rPr>
        <w:t>2</w:t>
      </w:r>
      <w:r w:rsidRPr="00D9348B">
        <w:rPr>
          <w:rFonts w:cs="Calibri"/>
        </w:rPr>
        <w:t xml:space="preserve">O emissions for the pasture, range and paddock manure management systems are reported under the </w:t>
      </w:r>
      <w:r w:rsidRPr="00D9348B">
        <w:rPr>
          <w:rFonts w:cs="Calibri"/>
          <w:i/>
          <w:iCs/>
        </w:rPr>
        <w:t>Agricultural soils</w:t>
      </w:r>
      <w:r w:rsidRPr="00D9348B">
        <w:rPr>
          <w:rFonts w:cs="Calibri"/>
        </w:rPr>
        <w:t xml:space="preserve"> category. </w:t>
      </w:r>
    </w:p>
    <w:p w14:paraId="51FA3B99" w14:textId="77777777" w:rsidR="00F849A7" w:rsidRPr="00D9348B" w:rsidRDefault="00F849A7" w:rsidP="00F849A7">
      <w:pPr>
        <w:rPr>
          <w:rFonts w:cs="Calibri"/>
        </w:rPr>
      </w:pPr>
      <w:r w:rsidRPr="00D9348B">
        <w:rPr>
          <w:rFonts w:cs="Calibri"/>
        </w:rPr>
        <w:t>The IPCC (2006) Tier 1 methodology is used for calculating N</w:t>
      </w:r>
      <w:r w:rsidRPr="00D9348B">
        <w:rPr>
          <w:rFonts w:cs="Calibri"/>
          <w:vertAlign w:val="subscript"/>
        </w:rPr>
        <w:t>2</w:t>
      </w:r>
      <w:r w:rsidRPr="00D9348B">
        <w:rPr>
          <w:rFonts w:cs="Calibri"/>
        </w:rPr>
        <w:t>O emissions resulting from volatilisation:</w:t>
      </w:r>
    </w:p>
    <w:bookmarkStart w:id="755" w:name="_1543985758"/>
    <w:bookmarkEnd w:id="755"/>
    <w:p w14:paraId="07CD48DB" w14:textId="77777777" w:rsidR="00F849A7" w:rsidRPr="00D9348B" w:rsidRDefault="00F849A7" w:rsidP="00F849A7">
      <w:pPr>
        <w:spacing w:after="60"/>
        <w:rPr>
          <w:rFonts w:cs="Calibri"/>
        </w:rPr>
      </w:pPr>
      <w:r w:rsidRPr="00D9348B">
        <w:rPr>
          <w:rFonts w:cs="Calibri"/>
        </w:rPr>
        <w:object w:dxaOrig="7889" w:dyaOrig="495" w14:anchorId="777A2FE8">
          <v:shape id="_x0000_i1089" type="#_x0000_t75" style="width:389.45pt;height:21.9pt" o:ole="">
            <v:imagedata r:id="rId134" o:title=""/>
          </v:shape>
          <o:OLEObject Type="Embed" ProgID="Word.Document.12" ShapeID="_x0000_i1089" DrawAspect="Content" ObjectID="_1647932324" r:id="rId135">
            <o:FieldCodes>\s</o:FieldCodes>
          </o:OLEObject>
        </w:object>
      </w:r>
    </w:p>
    <w:p w14:paraId="6970BF17" w14:textId="77777777" w:rsidR="00F849A7" w:rsidRPr="00D9348B" w:rsidRDefault="00F849A7" w:rsidP="00F849A7">
      <w:pPr>
        <w:pStyle w:val="BodyText"/>
        <w:spacing w:after="0"/>
        <w:rPr>
          <w:rFonts w:cs="Calibri"/>
        </w:rPr>
      </w:pPr>
      <w:r w:rsidRPr="00D9348B">
        <w:rPr>
          <w:rFonts w:cs="Calibri"/>
        </w:rPr>
        <w:t>And:</w:t>
      </w:r>
    </w:p>
    <w:bookmarkStart w:id="756" w:name="_1545464011"/>
    <w:bookmarkEnd w:id="756"/>
    <w:bookmarkStart w:id="757" w:name="_MON_1576576510"/>
    <w:bookmarkEnd w:id="757"/>
    <w:p w14:paraId="255FC4C7" w14:textId="77777777" w:rsidR="00F849A7" w:rsidRPr="00D9348B" w:rsidRDefault="00F849A7" w:rsidP="00F849A7">
      <w:pPr>
        <w:pStyle w:val="BodyText"/>
        <w:spacing w:before="0" w:after="60"/>
        <w:rPr>
          <w:rFonts w:cs="Calibri"/>
        </w:rPr>
      </w:pPr>
      <w:r w:rsidRPr="00D9348B">
        <w:rPr>
          <w:rFonts w:cs="Calibri"/>
        </w:rPr>
        <w:object w:dxaOrig="7694" w:dyaOrig="704" w14:anchorId="258CC787">
          <v:shape id="_x0000_i1090" type="#_x0000_t75" style="width:381.9pt;height:36.95pt" o:ole="">
            <v:imagedata r:id="rId136" o:title=""/>
          </v:shape>
          <o:OLEObject Type="Embed" ProgID="Word.Document.12" ShapeID="_x0000_i1090" DrawAspect="Content" ObjectID="_1647932325" r:id="rId137">
            <o:FieldCodes>\s</o:FieldCodes>
          </o:OLEObject>
        </w:object>
      </w:r>
    </w:p>
    <w:p w14:paraId="660CBD97" w14:textId="77777777" w:rsidR="00F849A7" w:rsidRPr="00D9348B" w:rsidRDefault="00F849A7" w:rsidP="00F849A7">
      <w:pPr>
        <w:spacing w:before="120"/>
        <w:ind w:left="993" w:hanging="993"/>
        <w:rPr>
          <w:rFonts w:cs="Calibri"/>
        </w:rPr>
      </w:pPr>
      <w:r w:rsidRPr="00D9348B">
        <w:rPr>
          <w:rFonts w:cs="Calibri"/>
        </w:rPr>
        <w:t>Where:</w:t>
      </w:r>
      <w:r w:rsidRPr="00D9348B">
        <w:rPr>
          <w:rFonts w:cs="Calibri"/>
        </w:rPr>
        <w:tab/>
        <w:t>N</w:t>
      </w:r>
      <w:r w:rsidRPr="00D9348B">
        <w:rPr>
          <w:rFonts w:cs="Calibri"/>
          <w:vertAlign w:val="subscript"/>
        </w:rPr>
        <w:t>vol-MMS</w:t>
      </w:r>
      <w:r w:rsidRPr="00D9348B">
        <w:rPr>
          <w:rFonts w:cs="Calibri"/>
        </w:rPr>
        <w:t xml:space="preserve"> is the amount of manure nitrogen that is lost due to volatilisation (kg/year)</w:t>
      </w:r>
    </w:p>
    <w:p w14:paraId="11D225A5" w14:textId="77777777" w:rsidR="00F849A7" w:rsidRPr="00D9348B" w:rsidRDefault="00F849A7" w:rsidP="00F849A7">
      <w:pPr>
        <w:spacing w:before="80"/>
        <w:ind w:left="993"/>
        <w:rPr>
          <w:rFonts w:cs="Calibri"/>
        </w:rPr>
      </w:pPr>
      <w:r w:rsidRPr="00D9348B">
        <w:rPr>
          <w:rFonts w:cs="Calibri"/>
        </w:rPr>
        <w:t>EF</w:t>
      </w:r>
      <w:r w:rsidRPr="00D9348B">
        <w:rPr>
          <w:rFonts w:cs="Calibri"/>
          <w:vertAlign w:val="subscript"/>
        </w:rPr>
        <w:t>4</w:t>
      </w:r>
      <w:r w:rsidRPr="00D9348B">
        <w:rPr>
          <w:rFonts w:cs="Calibri"/>
        </w:rPr>
        <w:t xml:space="preserve"> is the emission factor for N</w:t>
      </w:r>
      <w:r w:rsidRPr="00D9348B">
        <w:rPr>
          <w:rFonts w:cs="Calibri"/>
          <w:vertAlign w:val="subscript"/>
        </w:rPr>
        <w:t>2</w:t>
      </w:r>
      <w:r w:rsidRPr="00D9348B">
        <w:rPr>
          <w:rFonts w:cs="Calibri"/>
        </w:rPr>
        <w:t>O emissions from volatilisation; the IPCC (2006) default value of 0.01 kg N</w:t>
      </w:r>
      <w:r w:rsidRPr="00D9348B">
        <w:rPr>
          <w:rFonts w:cs="Calibri"/>
          <w:vertAlign w:val="subscript"/>
        </w:rPr>
        <w:t>2</w:t>
      </w:r>
      <w:r w:rsidRPr="00D9348B">
        <w:rPr>
          <w:rFonts w:cs="Calibri"/>
        </w:rPr>
        <w:t>O-N</w:t>
      </w:r>
      <w:proofErr w:type="gramStart"/>
      <w:r w:rsidRPr="00D9348B">
        <w:rPr>
          <w:rFonts w:cs="Calibri"/>
        </w:rPr>
        <w:t>/(</w:t>
      </w:r>
      <w:proofErr w:type="gramEnd"/>
      <w:r w:rsidRPr="00D9348B">
        <w:rPr>
          <w:rFonts w:cs="Calibri"/>
        </w:rPr>
        <w:t>kg NH</w:t>
      </w:r>
      <w:r w:rsidRPr="00D9348B">
        <w:rPr>
          <w:rFonts w:cs="Calibri"/>
          <w:vertAlign w:val="subscript"/>
        </w:rPr>
        <w:t>3</w:t>
      </w:r>
      <w:r w:rsidRPr="00D9348B">
        <w:rPr>
          <w:rFonts w:cs="Calibri"/>
        </w:rPr>
        <w:t>-N + NO</w:t>
      </w:r>
      <w:r w:rsidRPr="00D9348B">
        <w:rPr>
          <w:rFonts w:cs="Calibri"/>
          <w:vertAlign w:val="subscript"/>
        </w:rPr>
        <w:t>x</w:t>
      </w:r>
      <w:r w:rsidRPr="00D9348B">
        <w:rPr>
          <w:rFonts w:cs="Calibri"/>
        </w:rPr>
        <w:t>-N volatilised) is used</w:t>
      </w:r>
    </w:p>
    <w:p w14:paraId="45FAF1F9" w14:textId="77777777" w:rsidR="00F849A7" w:rsidRPr="00D9348B" w:rsidRDefault="00F849A7" w:rsidP="00F849A7">
      <w:pPr>
        <w:spacing w:before="80"/>
        <w:ind w:left="993"/>
        <w:rPr>
          <w:rFonts w:cs="Calibri"/>
        </w:rPr>
      </w:pPr>
      <w:r w:rsidRPr="00D9348B">
        <w:rPr>
          <w:rFonts w:cs="Calibri"/>
        </w:rPr>
        <w:t>N</w:t>
      </w:r>
      <w:r w:rsidRPr="00D9348B">
        <w:rPr>
          <w:rFonts w:cs="Calibri"/>
          <w:vertAlign w:val="subscript"/>
        </w:rPr>
        <w:t>T</w:t>
      </w:r>
      <w:r w:rsidRPr="00D9348B">
        <w:rPr>
          <w:rFonts w:cs="Calibri"/>
        </w:rPr>
        <w:t xml:space="preserve"> is the number of livestock per category (head), detailed in section 5.1.4</w:t>
      </w:r>
    </w:p>
    <w:p w14:paraId="4721BECA" w14:textId="77777777" w:rsidR="00F849A7" w:rsidRPr="00D9348B" w:rsidRDefault="00F849A7" w:rsidP="00F849A7">
      <w:pPr>
        <w:spacing w:before="80"/>
        <w:ind w:left="993"/>
        <w:rPr>
          <w:rFonts w:cs="Calibri"/>
        </w:rPr>
      </w:pPr>
      <w:r w:rsidRPr="00D9348B">
        <w:rPr>
          <w:rFonts w:cs="Calibri"/>
        </w:rPr>
        <w:t>Nex</w:t>
      </w:r>
      <w:r w:rsidRPr="00D9348B">
        <w:rPr>
          <w:rFonts w:cs="Calibri"/>
          <w:vertAlign w:val="subscript"/>
        </w:rPr>
        <w:t>T</w:t>
      </w:r>
      <w:r w:rsidRPr="00D9348B">
        <w:rPr>
          <w:rFonts w:cs="Calibri"/>
        </w:rPr>
        <w:t xml:space="preserve"> is the average nitrogen excretion for each livestock category, T, detailed </w:t>
      </w:r>
      <w:proofErr w:type="gramStart"/>
      <w:r w:rsidRPr="00D9348B">
        <w:rPr>
          <w:rFonts w:cs="Calibri"/>
        </w:rPr>
        <w:t>above</w:t>
      </w:r>
      <w:proofErr w:type="gramEnd"/>
    </w:p>
    <w:p w14:paraId="74A12359" w14:textId="77777777" w:rsidR="00F849A7" w:rsidRPr="00D9348B" w:rsidRDefault="00F849A7" w:rsidP="00F849A7">
      <w:pPr>
        <w:spacing w:before="80"/>
        <w:ind w:left="993"/>
        <w:rPr>
          <w:rFonts w:cs="Calibri"/>
        </w:rPr>
      </w:pPr>
      <w:r w:rsidRPr="00D9348B">
        <w:rPr>
          <w:rFonts w:cs="Calibri"/>
        </w:rPr>
        <w:t>MS</w:t>
      </w:r>
      <w:r w:rsidRPr="00D9348B">
        <w:rPr>
          <w:rFonts w:cs="Calibri"/>
          <w:vertAlign w:val="subscript"/>
        </w:rPr>
        <w:t>T</w:t>
      </w:r>
      <w:proofErr w:type="gramStart"/>
      <w:r w:rsidRPr="00D9348B">
        <w:rPr>
          <w:rFonts w:cs="Calibri"/>
          <w:vertAlign w:val="subscript"/>
        </w:rPr>
        <w:t>,S</w:t>
      </w:r>
      <w:proofErr w:type="gramEnd"/>
      <w:r w:rsidRPr="00D9348B">
        <w:rPr>
          <w:rFonts w:cs="Calibri"/>
        </w:rPr>
        <w:t xml:space="preserve"> is the fraction of total nitrogen excretion per livestock category, T, per manure management system, S, derived from table 5.3.2, and</w:t>
      </w:r>
    </w:p>
    <w:p w14:paraId="64D5F09C" w14:textId="77777777" w:rsidR="00F849A7" w:rsidRPr="00D9348B" w:rsidRDefault="00F849A7" w:rsidP="00F849A7">
      <w:pPr>
        <w:spacing w:before="120" w:after="120"/>
        <w:ind w:left="993"/>
        <w:rPr>
          <w:rFonts w:cs="Calibri"/>
        </w:rPr>
      </w:pPr>
      <w:r w:rsidRPr="00D9348B">
        <w:rPr>
          <w:rFonts w:cs="Calibri"/>
        </w:rPr>
        <w:lastRenderedPageBreak/>
        <w:t>Frac</w:t>
      </w:r>
      <w:r w:rsidRPr="00D9348B">
        <w:rPr>
          <w:rFonts w:cs="Calibri"/>
          <w:vertAlign w:val="subscript"/>
        </w:rPr>
        <w:t>GasMS</w:t>
      </w:r>
      <w:r w:rsidRPr="00D9348B">
        <w:rPr>
          <w:rFonts w:cs="Calibri"/>
        </w:rPr>
        <w:t xml:space="preserve"> is the per cent of managed manure nitrogen for each livestock category, T, which volatilises as NH</w:t>
      </w:r>
      <w:r w:rsidRPr="00D9348B">
        <w:rPr>
          <w:rFonts w:cs="Calibri"/>
          <w:vertAlign w:val="subscript"/>
        </w:rPr>
        <w:t>3</w:t>
      </w:r>
      <w:r w:rsidRPr="00D9348B">
        <w:rPr>
          <w:rFonts w:cs="Calibri"/>
        </w:rPr>
        <w:t xml:space="preserve"> and NO</w:t>
      </w:r>
      <w:r w:rsidRPr="00D9348B">
        <w:rPr>
          <w:rFonts w:cs="Calibri"/>
          <w:vertAlign w:val="subscript"/>
        </w:rPr>
        <w:t>x</w:t>
      </w:r>
      <w:r w:rsidRPr="00D9348B">
        <w:rPr>
          <w:rFonts w:cs="Calibri"/>
        </w:rPr>
        <w:t xml:space="preserve"> per manure management system, S. New Zealand uses default values for Frac</w:t>
      </w:r>
      <w:r w:rsidRPr="00D9348B">
        <w:rPr>
          <w:rFonts w:cs="Calibri"/>
          <w:vertAlign w:val="subscript"/>
        </w:rPr>
        <w:t>GasMS</w:t>
      </w:r>
      <w:r w:rsidRPr="00D9348B">
        <w:rPr>
          <w:rFonts w:cs="Calibri"/>
        </w:rPr>
        <w:t xml:space="preserve"> detailed in table 5.3.5.</w:t>
      </w:r>
    </w:p>
    <w:p w14:paraId="7E7C846F" w14:textId="77777777" w:rsidR="00F849A7" w:rsidRPr="00D9348B" w:rsidRDefault="00F849A7" w:rsidP="00F849A7">
      <w:pPr>
        <w:pStyle w:val="BodyText"/>
        <w:rPr>
          <w:rFonts w:cs="Calibri"/>
        </w:rPr>
      </w:pPr>
      <w:r w:rsidRPr="00D9348B">
        <w:rPr>
          <w:rFonts w:cs="Calibri"/>
        </w:rPr>
        <w:t>The IPCC (2006) Tier 1 guidelines do not provide a methodology for determining indirect N</w:t>
      </w:r>
      <w:r w:rsidRPr="00D9348B">
        <w:rPr>
          <w:rFonts w:cs="Calibri"/>
          <w:vertAlign w:val="subscript"/>
        </w:rPr>
        <w:t>2</w:t>
      </w:r>
      <w:r w:rsidRPr="00D9348B">
        <w:rPr>
          <w:rFonts w:cs="Calibri"/>
        </w:rPr>
        <w:t>O emissions from leaching and runoff. There have been no country-specific emission factors derived for leaching and runoff from manure management systems in New Zealand (e.g., Hill, 2012), and available data is usually extremely limited (IPCC, 2006). Leaching and runoff from dairy anaerobic lagoons is likely to be an insignificant activity in New Zealand (T Wilson, pers. comm., 2014). All indirect N</w:t>
      </w:r>
      <w:r w:rsidRPr="00D9348B">
        <w:rPr>
          <w:rFonts w:cs="Calibri"/>
          <w:vertAlign w:val="subscript"/>
        </w:rPr>
        <w:t>2</w:t>
      </w:r>
      <w:r w:rsidRPr="00D9348B">
        <w:rPr>
          <w:rFonts w:cs="Calibri"/>
        </w:rPr>
        <w:t xml:space="preserve">O emissions from leaching and runoff are reported under the </w:t>
      </w:r>
      <w:r w:rsidRPr="00D9348B">
        <w:rPr>
          <w:rFonts w:cs="Calibri"/>
          <w:i/>
          <w:iCs/>
        </w:rPr>
        <w:t>Agricultural soils</w:t>
      </w:r>
      <w:r w:rsidRPr="00D9348B">
        <w:rPr>
          <w:rFonts w:cs="Calibri"/>
        </w:rPr>
        <w:t> category.</w:t>
      </w:r>
    </w:p>
    <w:p w14:paraId="09F18885" w14:textId="77777777" w:rsidR="00F849A7" w:rsidRPr="00D9348B" w:rsidRDefault="00F849A7" w:rsidP="00F849A7">
      <w:pPr>
        <w:pStyle w:val="Table"/>
        <w:rPr>
          <w:rFonts w:cs="Calibri"/>
        </w:rPr>
      </w:pPr>
      <w:bookmarkStart w:id="758" w:name="_Toc441830877"/>
      <w:bookmarkStart w:id="759" w:name="_Toc451176091"/>
      <w:bookmarkStart w:id="760" w:name="_Toc481751519"/>
      <w:bookmarkStart w:id="761" w:name="_Toc507158607"/>
      <w:bookmarkStart w:id="762" w:name="_Toc511116741"/>
      <w:bookmarkStart w:id="763" w:name="_Toc5269481"/>
      <w:bookmarkStart w:id="764" w:name="_Toc32570924"/>
      <w:bookmarkStart w:id="765" w:name="_Toc36224559"/>
      <w:r w:rsidRPr="00D9348B">
        <w:rPr>
          <w:rFonts w:cs="Calibri"/>
        </w:rPr>
        <w:t>Table 5.3.5</w:t>
      </w:r>
      <w:r w:rsidRPr="00D9348B">
        <w:rPr>
          <w:rFonts w:cs="Calibri"/>
        </w:rPr>
        <w:tab/>
        <w:t>IPCC default values for the fraction of managed manure nitrogen that volatilises as ammonia and oxides of nitrogen (Frac</w:t>
      </w:r>
      <w:r w:rsidRPr="00D9348B">
        <w:rPr>
          <w:rFonts w:cs="Calibri"/>
          <w:vertAlign w:val="subscript"/>
        </w:rPr>
        <w:t>GasMS</w:t>
      </w:r>
      <w:r w:rsidRPr="00D9348B">
        <w:rPr>
          <w:rFonts w:cs="Calibri"/>
        </w:rPr>
        <w:t>/100) for livestock categories per manure management system in New Zealand</w:t>
      </w:r>
      <w:bookmarkEnd w:id="758"/>
      <w:bookmarkEnd w:id="759"/>
      <w:bookmarkEnd w:id="760"/>
      <w:bookmarkEnd w:id="761"/>
      <w:bookmarkEnd w:id="762"/>
      <w:bookmarkEnd w:id="763"/>
      <w:bookmarkEnd w:id="764"/>
      <w:bookmarkEnd w:id="765"/>
    </w:p>
    <w:tbl>
      <w:tblPr>
        <w:tblW w:w="8562"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60"/>
        <w:gridCol w:w="3673"/>
        <w:gridCol w:w="1929"/>
      </w:tblGrid>
      <w:tr w:rsidR="00F849A7" w:rsidRPr="00D9348B" w14:paraId="570331E9" w14:textId="77777777" w:rsidTr="007D185B">
        <w:trPr>
          <w:tblHeader/>
        </w:trPr>
        <w:tc>
          <w:tcPr>
            <w:tcW w:w="2745" w:type="dxa"/>
            <w:tcBorders>
              <w:top w:val="single" w:sz="4" w:space="0" w:color="365F91"/>
              <w:left w:val="single" w:sz="4" w:space="0" w:color="365F91"/>
              <w:bottom w:val="single" w:sz="4" w:space="0" w:color="365F91"/>
              <w:right w:val="nil"/>
            </w:tcBorders>
            <w:shd w:val="clear" w:color="auto" w:fill="365F91"/>
            <w:vAlign w:val="bottom"/>
          </w:tcPr>
          <w:p w14:paraId="120F02E7" w14:textId="77777777" w:rsidR="00F849A7" w:rsidRPr="00D9348B" w:rsidRDefault="00F849A7" w:rsidP="00DB330E">
            <w:pPr>
              <w:pStyle w:val="TableTextBold"/>
              <w:keepNext/>
              <w:rPr>
                <w:rFonts w:cs="Calibri"/>
                <w:noProof w:val="0"/>
                <w:color w:val="FFFFFF"/>
              </w:rPr>
            </w:pPr>
            <w:r w:rsidRPr="00D9348B">
              <w:rPr>
                <w:rFonts w:cs="Calibri"/>
                <w:noProof w:val="0"/>
                <w:color w:val="FFFFFF"/>
              </w:rPr>
              <w:t>Manure management system</w:t>
            </w:r>
          </w:p>
        </w:tc>
        <w:tc>
          <w:tcPr>
            <w:tcW w:w="3405" w:type="dxa"/>
            <w:tcBorders>
              <w:top w:val="single" w:sz="4" w:space="0" w:color="365F91"/>
              <w:left w:val="nil"/>
              <w:bottom w:val="single" w:sz="4" w:space="0" w:color="365F91"/>
              <w:right w:val="nil"/>
            </w:tcBorders>
            <w:shd w:val="clear" w:color="auto" w:fill="365F91"/>
            <w:vAlign w:val="bottom"/>
          </w:tcPr>
          <w:p w14:paraId="64EF0E50" w14:textId="77777777" w:rsidR="00F849A7" w:rsidRPr="00D9348B" w:rsidRDefault="00F849A7" w:rsidP="00DB330E">
            <w:pPr>
              <w:pStyle w:val="TableTextBold"/>
              <w:keepNext/>
              <w:spacing w:before="0"/>
              <w:rPr>
                <w:rFonts w:cs="Calibri"/>
                <w:noProof w:val="0"/>
                <w:color w:val="FFFFFF"/>
              </w:rPr>
            </w:pPr>
            <w:r w:rsidRPr="00D9348B">
              <w:rPr>
                <w:rFonts w:cs="Calibri"/>
                <w:noProof w:val="0"/>
                <w:color w:val="FFFFFF"/>
              </w:rPr>
              <w:t>Livestock category</w:t>
            </w:r>
          </w:p>
        </w:tc>
        <w:tc>
          <w:tcPr>
            <w:tcW w:w="1788" w:type="dxa"/>
            <w:tcBorders>
              <w:top w:val="single" w:sz="4" w:space="0" w:color="365F91"/>
              <w:left w:val="nil"/>
              <w:bottom w:val="single" w:sz="4" w:space="0" w:color="365F91"/>
              <w:right w:val="single" w:sz="4" w:space="0" w:color="365F91"/>
            </w:tcBorders>
            <w:shd w:val="clear" w:color="auto" w:fill="365F91"/>
          </w:tcPr>
          <w:p w14:paraId="42050E52" w14:textId="77777777" w:rsidR="00F849A7" w:rsidRPr="00D9348B" w:rsidRDefault="00F849A7" w:rsidP="00DB330E">
            <w:pPr>
              <w:pStyle w:val="TableTextBold"/>
              <w:keepNext/>
              <w:jc w:val="center"/>
              <w:rPr>
                <w:rFonts w:cs="Calibri"/>
                <w:noProof w:val="0"/>
                <w:color w:val="FFFFFF"/>
              </w:rPr>
            </w:pPr>
            <w:r w:rsidRPr="00D9348B">
              <w:rPr>
                <w:rFonts w:cs="Calibri"/>
                <w:noProof w:val="0"/>
                <w:color w:val="FFFFFF"/>
              </w:rPr>
              <w:t>Value</w:t>
            </w:r>
          </w:p>
        </w:tc>
      </w:tr>
      <w:tr w:rsidR="00F849A7" w:rsidRPr="00D9348B" w14:paraId="680F7B21" w14:textId="77777777" w:rsidTr="007D185B">
        <w:tc>
          <w:tcPr>
            <w:tcW w:w="2745" w:type="dxa"/>
            <w:vMerge w:val="restart"/>
            <w:tcBorders>
              <w:top w:val="single" w:sz="4" w:space="0" w:color="365F91"/>
              <w:left w:val="nil"/>
              <w:right w:val="nil"/>
            </w:tcBorders>
            <w:vAlign w:val="center"/>
          </w:tcPr>
          <w:p w14:paraId="309E947B" w14:textId="77777777" w:rsidR="00F849A7" w:rsidRPr="00D9348B" w:rsidRDefault="00F849A7" w:rsidP="00DB330E">
            <w:pPr>
              <w:pStyle w:val="TableText"/>
              <w:spacing w:before="50" w:after="50"/>
              <w:rPr>
                <w:rFonts w:cs="Calibri"/>
              </w:rPr>
            </w:pPr>
            <w:r w:rsidRPr="00D9348B">
              <w:rPr>
                <w:rFonts w:cs="Calibri"/>
              </w:rPr>
              <w:t>Anaerobic lagoons</w:t>
            </w:r>
          </w:p>
        </w:tc>
        <w:tc>
          <w:tcPr>
            <w:tcW w:w="3405" w:type="dxa"/>
            <w:tcBorders>
              <w:top w:val="single" w:sz="4" w:space="0" w:color="365F91"/>
              <w:left w:val="nil"/>
              <w:bottom w:val="single" w:sz="4" w:space="0" w:color="365F91"/>
              <w:right w:val="nil"/>
            </w:tcBorders>
          </w:tcPr>
          <w:p w14:paraId="4EB30E8C" w14:textId="77777777" w:rsidR="00F849A7" w:rsidRPr="00D9348B" w:rsidRDefault="00F849A7" w:rsidP="00DB330E">
            <w:pPr>
              <w:pStyle w:val="TableText"/>
              <w:spacing w:before="50" w:after="50"/>
              <w:rPr>
                <w:rFonts w:cs="Calibri"/>
              </w:rPr>
            </w:pPr>
            <w:r w:rsidRPr="00D9348B">
              <w:rPr>
                <w:rFonts w:cs="Calibri"/>
              </w:rPr>
              <w:t>Dairy</w:t>
            </w:r>
          </w:p>
        </w:tc>
        <w:tc>
          <w:tcPr>
            <w:tcW w:w="1788" w:type="dxa"/>
            <w:tcBorders>
              <w:top w:val="single" w:sz="4" w:space="0" w:color="365F91"/>
              <w:left w:val="nil"/>
              <w:bottom w:val="single" w:sz="4" w:space="0" w:color="365F91"/>
              <w:right w:val="nil"/>
            </w:tcBorders>
          </w:tcPr>
          <w:p w14:paraId="4641DEDC" w14:textId="77777777" w:rsidR="00F849A7" w:rsidRPr="00D9348B" w:rsidRDefault="00F849A7" w:rsidP="00DB330E">
            <w:pPr>
              <w:pStyle w:val="TableText"/>
              <w:tabs>
                <w:tab w:val="decimal" w:pos="283"/>
              </w:tabs>
              <w:spacing w:before="50" w:after="50"/>
              <w:jc w:val="center"/>
              <w:rPr>
                <w:rFonts w:cs="Calibri"/>
              </w:rPr>
            </w:pPr>
            <w:r w:rsidRPr="00D9348B">
              <w:rPr>
                <w:rFonts w:cs="Calibri"/>
              </w:rPr>
              <w:t>0.35</w:t>
            </w:r>
          </w:p>
        </w:tc>
      </w:tr>
      <w:tr w:rsidR="00F849A7" w:rsidRPr="00D9348B" w14:paraId="1A4A6581" w14:textId="77777777" w:rsidTr="007D185B">
        <w:tc>
          <w:tcPr>
            <w:tcW w:w="2745" w:type="dxa"/>
            <w:vMerge/>
            <w:tcBorders>
              <w:left w:val="nil"/>
              <w:bottom w:val="single" w:sz="4" w:space="0" w:color="365F91"/>
              <w:right w:val="nil"/>
            </w:tcBorders>
          </w:tcPr>
          <w:p w14:paraId="34F39FB1" w14:textId="77777777" w:rsidR="00F849A7" w:rsidRPr="00D9348B" w:rsidRDefault="00F849A7" w:rsidP="00DB330E">
            <w:pPr>
              <w:pStyle w:val="TableText"/>
              <w:spacing w:before="50" w:after="50"/>
              <w:rPr>
                <w:rFonts w:cs="Calibri"/>
              </w:rPr>
            </w:pPr>
          </w:p>
        </w:tc>
        <w:tc>
          <w:tcPr>
            <w:tcW w:w="3405" w:type="dxa"/>
            <w:tcBorders>
              <w:top w:val="single" w:sz="4" w:space="0" w:color="365F91"/>
              <w:left w:val="nil"/>
              <w:bottom w:val="single" w:sz="4" w:space="0" w:color="365F91"/>
              <w:right w:val="nil"/>
            </w:tcBorders>
          </w:tcPr>
          <w:p w14:paraId="01422910" w14:textId="77777777" w:rsidR="00F849A7" w:rsidRPr="00D9348B" w:rsidRDefault="00F849A7" w:rsidP="00DB330E">
            <w:pPr>
              <w:pStyle w:val="TableText"/>
              <w:spacing w:before="50" w:after="50"/>
              <w:rPr>
                <w:rFonts w:cs="Calibri"/>
              </w:rPr>
            </w:pPr>
            <w:r w:rsidRPr="00D9348B">
              <w:rPr>
                <w:rFonts w:cs="Calibri"/>
              </w:rPr>
              <w:t>Swine</w:t>
            </w:r>
          </w:p>
        </w:tc>
        <w:tc>
          <w:tcPr>
            <w:tcW w:w="1788" w:type="dxa"/>
            <w:tcBorders>
              <w:top w:val="single" w:sz="4" w:space="0" w:color="365F91"/>
              <w:left w:val="nil"/>
              <w:bottom w:val="single" w:sz="4" w:space="0" w:color="365F91"/>
              <w:right w:val="nil"/>
            </w:tcBorders>
          </w:tcPr>
          <w:p w14:paraId="622E0388" w14:textId="77777777" w:rsidR="00F849A7" w:rsidRPr="00D9348B" w:rsidRDefault="00F849A7" w:rsidP="00DB330E">
            <w:pPr>
              <w:pStyle w:val="TableText"/>
              <w:tabs>
                <w:tab w:val="decimal" w:pos="283"/>
              </w:tabs>
              <w:spacing w:before="50" w:after="50"/>
              <w:jc w:val="center"/>
              <w:rPr>
                <w:rFonts w:cs="Calibri"/>
              </w:rPr>
            </w:pPr>
            <w:r w:rsidRPr="00D9348B">
              <w:rPr>
                <w:rFonts w:cs="Calibri"/>
              </w:rPr>
              <w:t>0.4</w:t>
            </w:r>
          </w:p>
        </w:tc>
      </w:tr>
      <w:tr w:rsidR="00F849A7" w:rsidRPr="00D9348B" w14:paraId="6D8CF1FC" w14:textId="77777777" w:rsidTr="007D185B">
        <w:tc>
          <w:tcPr>
            <w:tcW w:w="2745" w:type="dxa"/>
            <w:tcBorders>
              <w:top w:val="single" w:sz="4" w:space="0" w:color="365F91"/>
              <w:left w:val="nil"/>
              <w:bottom w:val="single" w:sz="4" w:space="0" w:color="365F91"/>
              <w:right w:val="nil"/>
            </w:tcBorders>
          </w:tcPr>
          <w:p w14:paraId="3324D6C9" w14:textId="77777777" w:rsidR="00F849A7" w:rsidRPr="00D9348B" w:rsidRDefault="00F849A7" w:rsidP="00DB330E">
            <w:pPr>
              <w:pStyle w:val="TableText"/>
              <w:spacing w:before="50" w:after="50"/>
              <w:rPr>
                <w:rFonts w:cs="Calibri"/>
              </w:rPr>
            </w:pPr>
            <w:r w:rsidRPr="00D9348B">
              <w:rPr>
                <w:rFonts w:cs="Calibri"/>
              </w:rPr>
              <w:t>Daily spread</w:t>
            </w:r>
          </w:p>
        </w:tc>
        <w:tc>
          <w:tcPr>
            <w:tcW w:w="3405" w:type="dxa"/>
            <w:tcBorders>
              <w:top w:val="single" w:sz="4" w:space="0" w:color="365F91"/>
              <w:left w:val="nil"/>
              <w:bottom w:val="single" w:sz="4" w:space="0" w:color="365F91"/>
              <w:right w:val="nil"/>
            </w:tcBorders>
          </w:tcPr>
          <w:p w14:paraId="2750BD74" w14:textId="77777777" w:rsidR="00F849A7" w:rsidRPr="00D9348B" w:rsidRDefault="00F849A7" w:rsidP="00DB330E">
            <w:pPr>
              <w:pStyle w:val="TableText"/>
              <w:spacing w:before="50" w:after="50"/>
              <w:rPr>
                <w:rFonts w:cs="Calibri"/>
              </w:rPr>
            </w:pPr>
            <w:r w:rsidRPr="00D9348B">
              <w:rPr>
                <w:rFonts w:cs="Calibri"/>
              </w:rPr>
              <w:t>Swine</w:t>
            </w:r>
          </w:p>
        </w:tc>
        <w:tc>
          <w:tcPr>
            <w:tcW w:w="1788" w:type="dxa"/>
            <w:tcBorders>
              <w:top w:val="single" w:sz="4" w:space="0" w:color="365F91"/>
              <w:left w:val="nil"/>
              <w:bottom w:val="single" w:sz="4" w:space="0" w:color="365F91"/>
              <w:right w:val="nil"/>
            </w:tcBorders>
          </w:tcPr>
          <w:p w14:paraId="5F80DC36" w14:textId="77777777" w:rsidR="00F849A7" w:rsidRPr="00D9348B" w:rsidRDefault="00F849A7" w:rsidP="00DB330E">
            <w:pPr>
              <w:pStyle w:val="TableText"/>
              <w:tabs>
                <w:tab w:val="decimal" w:pos="283"/>
              </w:tabs>
              <w:spacing w:before="50" w:after="50"/>
              <w:jc w:val="center"/>
              <w:rPr>
                <w:rFonts w:cs="Calibri"/>
              </w:rPr>
            </w:pPr>
            <w:r w:rsidRPr="00D9348B">
              <w:rPr>
                <w:rFonts w:cs="Calibri"/>
              </w:rPr>
              <w:t>0.07</w:t>
            </w:r>
          </w:p>
        </w:tc>
      </w:tr>
      <w:tr w:rsidR="00F849A7" w:rsidRPr="00D9348B" w14:paraId="36B5B153" w14:textId="77777777" w:rsidTr="007D185B">
        <w:tc>
          <w:tcPr>
            <w:tcW w:w="2745" w:type="dxa"/>
            <w:tcBorders>
              <w:top w:val="single" w:sz="4" w:space="0" w:color="365F91"/>
              <w:left w:val="nil"/>
              <w:bottom w:val="single" w:sz="4" w:space="0" w:color="365F91"/>
              <w:right w:val="nil"/>
            </w:tcBorders>
          </w:tcPr>
          <w:p w14:paraId="532C3FBD" w14:textId="77777777" w:rsidR="00F849A7" w:rsidRPr="00D9348B" w:rsidRDefault="00F849A7" w:rsidP="00DB330E">
            <w:pPr>
              <w:pStyle w:val="TableText"/>
              <w:spacing w:before="50" w:after="50"/>
              <w:rPr>
                <w:rFonts w:cs="Calibri"/>
              </w:rPr>
            </w:pPr>
            <w:r w:rsidRPr="00D9348B">
              <w:rPr>
                <w:rFonts w:cs="Calibri"/>
              </w:rPr>
              <w:t>Solid storage and dry lot</w:t>
            </w:r>
          </w:p>
        </w:tc>
        <w:tc>
          <w:tcPr>
            <w:tcW w:w="3405" w:type="dxa"/>
            <w:tcBorders>
              <w:top w:val="single" w:sz="4" w:space="0" w:color="365F91"/>
              <w:left w:val="nil"/>
              <w:bottom w:val="single" w:sz="4" w:space="0" w:color="365F91"/>
              <w:right w:val="nil"/>
            </w:tcBorders>
          </w:tcPr>
          <w:p w14:paraId="639624C7" w14:textId="77777777" w:rsidR="00F849A7" w:rsidRPr="00D9348B" w:rsidRDefault="00F849A7" w:rsidP="00DB330E">
            <w:pPr>
              <w:pStyle w:val="TableText"/>
              <w:spacing w:before="50" w:after="50"/>
              <w:rPr>
                <w:rFonts w:cs="Calibri"/>
              </w:rPr>
            </w:pPr>
            <w:r w:rsidRPr="00D9348B">
              <w:rPr>
                <w:rFonts w:cs="Calibri"/>
              </w:rPr>
              <w:t>Swine</w:t>
            </w:r>
          </w:p>
        </w:tc>
        <w:tc>
          <w:tcPr>
            <w:tcW w:w="1788" w:type="dxa"/>
            <w:tcBorders>
              <w:top w:val="single" w:sz="4" w:space="0" w:color="365F91"/>
              <w:left w:val="nil"/>
              <w:bottom w:val="single" w:sz="4" w:space="0" w:color="365F91"/>
              <w:right w:val="nil"/>
            </w:tcBorders>
          </w:tcPr>
          <w:p w14:paraId="120DCE72" w14:textId="77777777" w:rsidR="00F849A7" w:rsidRPr="00D9348B" w:rsidRDefault="00F849A7" w:rsidP="00DB330E">
            <w:pPr>
              <w:pStyle w:val="TableText"/>
              <w:tabs>
                <w:tab w:val="decimal" w:pos="283"/>
              </w:tabs>
              <w:spacing w:before="50" w:after="50"/>
              <w:jc w:val="center"/>
              <w:rPr>
                <w:rFonts w:cs="Calibri"/>
              </w:rPr>
            </w:pPr>
            <w:r w:rsidRPr="00D9348B">
              <w:rPr>
                <w:rFonts w:cs="Calibri"/>
              </w:rPr>
              <w:t>0.3</w:t>
            </w:r>
          </w:p>
        </w:tc>
      </w:tr>
      <w:tr w:rsidR="00F849A7" w:rsidRPr="00D9348B" w14:paraId="6A9A977B" w14:textId="77777777" w:rsidTr="007D185B">
        <w:tc>
          <w:tcPr>
            <w:tcW w:w="2745" w:type="dxa"/>
            <w:vMerge w:val="restart"/>
            <w:tcBorders>
              <w:top w:val="single" w:sz="4" w:space="0" w:color="365F91"/>
              <w:left w:val="nil"/>
              <w:right w:val="nil"/>
            </w:tcBorders>
            <w:vAlign w:val="center"/>
          </w:tcPr>
          <w:p w14:paraId="736082AF" w14:textId="77777777" w:rsidR="00F849A7" w:rsidRPr="00D9348B" w:rsidRDefault="00F849A7" w:rsidP="00DB330E">
            <w:pPr>
              <w:pStyle w:val="TableText"/>
              <w:spacing w:before="50" w:after="50"/>
              <w:rPr>
                <w:rFonts w:cs="Calibri"/>
              </w:rPr>
            </w:pPr>
            <w:r w:rsidRPr="00D9348B">
              <w:rPr>
                <w:rFonts w:cs="Calibri"/>
              </w:rPr>
              <w:t>Other (deep bedding)</w:t>
            </w:r>
          </w:p>
        </w:tc>
        <w:tc>
          <w:tcPr>
            <w:tcW w:w="3405" w:type="dxa"/>
            <w:tcBorders>
              <w:top w:val="single" w:sz="4" w:space="0" w:color="365F91"/>
              <w:left w:val="nil"/>
              <w:bottom w:val="single" w:sz="4" w:space="0" w:color="365F91"/>
              <w:right w:val="nil"/>
            </w:tcBorders>
          </w:tcPr>
          <w:p w14:paraId="588262FE" w14:textId="77777777" w:rsidR="00F849A7" w:rsidRPr="00D9348B" w:rsidRDefault="00F849A7" w:rsidP="00DB330E">
            <w:pPr>
              <w:pStyle w:val="TableText"/>
              <w:spacing w:before="50" w:after="50"/>
              <w:rPr>
                <w:rFonts w:cs="Calibri"/>
              </w:rPr>
            </w:pPr>
            <w:r w:rsidRPr="00D9348B">
              <w:rPr>
                <w:rFonts w:cs="Calibri"/>
              </w:rPr>
              <w:t>Swine</w:t>
            </w:r>
          </w:p>
        </w:tc>
        <w:tc>
          <w:tcPr>
            <w:tcW w:w="1788" w:type="dxa"/>
            <w:tcBorders>
              <w:top w:val="single" w:sz="4" w:space="0" w:color="365F91"/>
              <w:left w:val="nil"/>
              <w:bottom w:val="single" w:sz="4" w:space="0" w:color="365F91"/>
              <w:right w:val="nil"/>
            </w:tcBorders>
          </w:tcPr>
          <w:p w14:paraId="1D1C8803" w14:textId="77777777" w:rsidR="00F849A7" w:rsidRPr="00D9348B" w:rsidRDefault="00F849A7" w:rsidP="00DB330E">
            <w:pPr>
              <w:pStyle w:val="TableText"/>
              <w:tabs>
                <w:tab w:val="decimal" w:pos="283"/>
              </w:tabs>
              <w:spacing w:before="50" w:after="50"/>
              <w:jc w:val="center"/>
              <w:rPr>
                <w:rFonts w:cs="Calibri"/>
              </w:rPr>
            </w:pPr>
            <w:r w:rsidRPr="00D9348B">
              <w:rPr>
                <w:rFonts w:cs="Calibri"/>
              </w:rPr>
              <w:t>0.25</w:t>
            </w:r>
          </w:p>
        </w:tc>
      </w:tr>
      <w:tr w:rsidR="00F849A7" w:rsidRPr="00D9348B" w14:paraId="1F4326FD" w14:textId="77777777" w:rsidTr="007D185B">
        <w:tc>
          <w:tcPr>
            <w:tcW w:w="2745" w:type="dxa"/>
            <w:vMerge/>
            <w:tcBorders>
              <w:left w:val="nil"/>
              <w:right w:val="nil"/>
            </w:tcBorders>
          </w:tcPr>
          <w:p w14:paraId="47B232F5" w14:textId="77777777" w:rsidR="00F849A7" w:rsidRPr="00D9348B" w:rsidRDefault="00F849A7" w:rsidP="00DB330E">
            <w:pPr>
              <w:pStyle w:val="TableText"/>
              <w:spacing w:before="50" w:after="50"/>
              <w:rPr>
                <w:rFonts w:cs="Calibri"/>
              </w:rPr>
            </w:pPr>
          </w:p>
        </w:tc>
        <w:tc>
          <w:tcPr>
            <w:tcW w:w="3405" w:type="dxa"/>
            <w:tcBorders>
              <w:top w:val="single" w:sz="4" w:space="0" w:color="365F91"/>
              <w:left w:val="nil"/>
              <w:bottom w:val="single" w:sz="4" w:space="0" w:color="365F91"/>
              <w:right w:val="nil"/>
            </w:tcBorders>
          </w:tcPr>
          <w:p w14:paraId="1A59C2B7" w14:textId="77777777" w:rsidR="00F849A7" w:rsidRPr="00D9348B" w:rsidRDefault="00F849A7" w:rsidP="00DB330E">
            <w:pPr>
              <w:pStyle w:val="TableText"/>
              <w:spacing w:before="50" w:after="50"/>
              <w:rPr>
                <w:rFonts w:cs="Calibri"/>
              </w:rPr>
            </w:pPr>
            <w:r w:rsidRPr="00D9348B">
              <w:rPr>
                <w:rFonts w:cs="Calibri"/>
              </w:rPr>
              <w:t>Poultry – broilers</w:t>
            </w:r>
          </w:p>
        </w:tc>
        <w:tc>
          <w:tcPr>
            <w:tcW w:w="1788" w:type="dxa"/>
            <w:tcBorders>
              <w:top w:val="single" w:sz="4" w:space="0" w:color="365F91"/>
              <w:left w:val="nil"/>
              <w:bottom w:val="single" w:sz="4" w:space="0" w:color="365F91"/>
              <w:right w:val="nil"/>
            </w:tcBorders>
          </w:tcPr>
          <w:p w14:paraId="008F9491" w14:textId="77777777" w:rsidR="00F849A7" w:rsidRPr="00D9348B" w:rsidRDefault="00F849A7" w:rsidP="00DB330E">
            <w:pPr>
              <w:pStyle w:val="TableText"/>
              <w:tabs>
                <w:tab w:val="decimal" w:pos="283"/>
              </w:tabs>
              <w:spacing w:before="50" w:after="50"/>
              <w:jc w:val="center"/>
              <w:rPr>
                <w:rFonts w:cs="Calibri"/>
              </w:rPr>
            </w:pPr>
            <w:r w:rsidRPr="00D9348B">
              <w:rPr>
                <w:rFonts w:cs="Calibri"/>
              </w:rPr>
              <w:t>0.25</w:t>
            </w:r>
          </w:p>
        </w:tc>
      </w:tr>
      <w:tr w:rsidR="00F849A7" w:rsidRPr="00D9348B" w14:paraId="735A85C8" w14:textId="77777777" w:rsidTr="007D185B">
        <w:tc>
          <w:tcPr>
            <w:tcW w:w="2745" w:type="dxa"/>
            <w:vMerge/>
            <w:tcBorders>
              <w:left w:val="nil"/>
              <w:right w:val="nil"/>
            </w:tcBorders>
          </w:tcPr>
          <w:p w14:paraId="6E3B871C" w14:textId="77777777" w:rsidR="00F849A7" w:rsidRPr="00D9348B" w:rsidRDefault="00F849A7" w:rsidP="00DB330E">
            <w:pPr>
              <w:pStyle w:val="TableText"/>
              <w:spacing w:before="50" w:after="50"/>
              <w:rPr>
                <w:rFonts w:cs="Calibri"/>
              </w:rPr>
            </w:pPr>
          </w:p>
        </w:tc>
        <w:tc>
          <w:tcPr>
            <w:tcW w:w="3405" w:type="dxa"/>
            <w:tcBorders>
              <w:top w:val="single" w:sz="4" w:space="0" w:color="365F91"/>
              <w:left w:val="nil"/>
              <w:bottom w:val="single" w:sz="4" w:space="0" w:color="365F91"/>
              <w:right w:val="nil"/>
            </w:tcBorders>
          </w:tcPr>
          <w:p w14:paraId="7CBB2249" w14:textId="77777777" w:rsidR="00F849A7" w:rsidRPr="00D9348B" w:rsidRDefault="00F849A7" w:rsidP="00DB330E">
            <w:pPr>
              <w:pStyle w:val="TableText"/>
              <w:spacing w:before="50" w:after="50"/>
              <w:rPr>
                <w:rFonts w:cs="Calibri"/>
              </w:rPr>
            </w:pPr>
            <w:r w:rsidRPr="00D9348B">
              <w:rPr>
                <w:rFonts w:cs="Calibri"/>
              </w:rPr>
              <w:t xml:space="preserve">Poultry – layers </w:t>
            </w:r>
          </w:p>
        </w:tc>
        <w:tc>
          <w:tcPr>
            <w:tcW w:w="1788" w:type="dxa"/>
            <w:tcBorders>
              <w:top w:val="single" w:sz="4" w:space="0" w:color="365F91"/>
              <w:left w:val="nil"/>
              <w:bottom w:val="single" w:sz="4" w:space="0" w:color="365F91"/>
              <w:right w:val="nil"/>
            </w:tcBorders>
          </w:tcPr>
          <w:p w14:paraId="321F3C56" w14:textId="77777777" w:rsidR="00F849A7" w:rsidRPr="00D9348B" w:rsidRDefault="00F849A7" w:rsidP="00DB330E">
            <w:pPr>
              <w:pStyle w:val="TableText"/>
              <w:tabs>
                <w:tab w:val="decimal" w:pos="283"/>
              </w:tabs>
              <w:spacing w:before="50" w:after="50"/>
              <w:jc w:val="center"/>
              <w:rPr>
                <w:rFonts w:cs="Calibri"/>
              </w:rPr>
            </w:pPr>
            <w:r w:rsidRPr="00D9348B">
              <w:rPr>
                <w:rFonts w:cs="Calibri"/>
              </w:rPr>
              <w:t>0.25</w:t>
            </w:r>
          </w:p>
        </w:tc>
      </w:tr>
      <w:tr w:rsidR="00F849A7" w:rsidRPr="00D9348B" w14:paraId="18705B56" w14:textId="77777777" w:rsidTr="007D185B">
        <w:tc>
          <w:tcPr>
            <w:tcW w:w="2745" w:type="dxa"/>
            <w:vMerge/>
            <w:tcBorders>
              <w:left w:val="nil"/>
              <w:bottom w:val="single" w:sz="4" w:space="0" w:color="365F91"/>
              <w:right w:val="nil"/>
            </w:tcBorders>
          </w:tcPr>
          <w:p w14:paraId="72CB41FD" w14:textId="77777777" w:rsidR="00F849A7" w:rsidRPr="00D9348B" w:rsidRDefault="00F849A7" w:rsidP="00DB330E">
            <w:pPr>
              <w:pStyle w:val="TableText"/>
              <w:spacing w:before="50" w:after="50"/>
              <w:rPr>
                <w:rFonts w:cs="Calibri"/>
              </w:rPr>
            </w:pPr>
          </w:p>
        </w:tc>
        <w:tc>
          <w:tcPr>
            <w:tcW w:w="3405" w:type="dxa"/>
            <w:tcBorders>
              <w:top w:val="single" w:sz="4" w:space="0" w:color="365F91"/>
              <w:left w:val="nil"/>
              <w:bottom w:val="single" w:sz="4" w:space="0" w:color="365F91"/>
              <w:right w:val="nil"/>
            </w:tcBorders>
          </w:tcPr>
          <w:p w14:paraId="7AAF7C52" w14:textId="77777777" w:rsidR="00F849A7" w:rsidRPr="00D9348B" w:rsidRDefault="00F849A7" w:rsidP="00DB330E">
            <w:pPr>
              <w:pStyle w:val="TableText"/>
              <w:spacing w:before="50" w:after="50"/>
              <w:rPr>
                <w:rFonts w:cs="Calibri"/>
              </w:rPr>
            </w:pPr>
            <w:r w:rsidRPr="00D9348B">
              <w:rPr>
                <w:rFonts w:cs="Calibri"/>
              </w:rPr>
              <w:t xml:space="preserve">Poultry – other </w:t>
            </w:r>
          </w:p>
        </w:tc>
        <w:tc>
          <w:tcPr>
            <w:tcW w:w="1788" w:type="dxa"/>
            <w:tcBorders>
              <w:top w:val="single" w:sz="4" w:space="0" w:color="365F91"/>
              <w:left w:val="nil"/>
              <w:bottom w:val="single" w:sz="4" w:space="0" w:color="365F91"/>
              <w:right w:val="nil"/>
            </w:tcBorders>
          </w:tcPr>
          <w:p w14:paraId="394147E8" w14:textId="77777777" w:rsidR="00F849A7" w:rsidRPr="00D9348B" w:rsidRDefault="00F849A7" w:rsidP="00DB330E">
            <w:pPr>
              <w:pStyle w:val="TableText"/>
              <w:tabs>
                <w:tab w:val="decimal" w:pos="283"/>
              </w:tabs>
              <w:spacing w:before="50" w:after="50"/>
              <w:jc w:val="center"/>
              <w:rPr>
                <w:rFonts w:cs="Calibri"/>
              </w:rPr>
            </w:pPr>
            <w:r w:rsidRPr="00D9348B">
              <w:rPr>
                <w:rFonts w:cs="Calibri"/>
              </w:rPr>
              <w:t>0.25</w:t>
            </w:r>
          </w:p>
        </w:tc>
      </w:tr>
    </w:tbl>
    <w:p w14:paraId="296CB3BB" w14:textId="77777777" w:rsidR="00F849A7" w:rsidRPr="00D9348B" w:rsidRDefault="00F849A7" w:rsidP="00F849A7">
      <w:pPr>
        <w:pStyle w:val="Source"/>
        <w:rPr>
          <w:rFonts w:cs="Calibri"/>
        </w:rPr>
      </w:pPr>
      <w:r w:rsidRPr="00D9348B">
        <w:rPr>
          <w:rFonts w:cs="Calibri"/>
          <w:b/>
          <w:bCs/>
        </w:rPr>
        <w:t xml:space="preserve">Source: </w:t>
      </w:r>
      <w:r w:rsidRPr="00D9348B">
        <w:rPr>
          <w:rFonts w:cs="Calibri"/>
          <w:b/>
        </w:rPr>
        <w:tab/>
      </w:r>
      <w:r w:rsidRPr="00D9348B">
        <w:rPr>
          <w:rFonts w:cs="Calibri"/>
        </w:rPr>
        <w:t>IPCC (2006) table 10.22 and Hill (2012)</w:t>
      </w:r>
    </w:p>
    <w:p w14:paraId="4A37DD55" w14:textId="77777777" w:rsidR="00F849A7" w:rsidRPr="00D9348B" w:rsidRDefault="00F849A7" w:rsidP="00F849A7">
      <w:pPr>
        <w:pStyle w:val="Heading3"/>
        <w:rPr>
          <w:rFonts w:cs="Calibri"/>
        </w:rPr>
      </w:pPr>
      <w:bookmarkStart w:id="766" w:name="_Toc32570660"/>
      <w:r w:rsidRPr="00D9348B">
        <w:rPr>
          <w:rFonts w:cs="Calibri"/>
        </w:rPr>
        <w:t>5.3.3</w:t>
      </w:r>
      <w:r w:rsidRPr="00D9348B">
        <w:rPr>
          <w:rFonts w:cs="Calibri"/>
        </w:rPr>
        <w:tab/>
        <w:t>Uncertainties and time-series consistency</w:t>
      </w:r>
      <w:bookmarkEnd w:id="766"/>
    </w:p>
    <w:p w14:paraId="5C32DBE5" w14:textId="533815C1" w:rsidR="00F849A7" w:rsidRPr="00D9348B" w:rsidRDefault="00F849A7" w:rsidP="00F849A7">
      <w:pPr>
        <w:pStyle w:val="BodyText"/>
        <w:rPr>
          <w:rFonts w:cs="Calibri"/>
        </w:rPr>
      </w:pPr>
      <w:r w:rsidRPr="00D9348B">
        <w:rPr>
          <w:rFonts w:cs="Calibri"/>
        </w:rPr>
        <w:t>To ensure consistency, a single livestock population characterisation and feed-intake estimate is produced by the Tier 2 model for the major livestock categories. It is used in different parts of the calculations for the inventory to estimate: CH</w:t>
      </w:r>
      <w:r w:rsidRPr="00D9348B">
        <w:rPr>
          <w:rFonts w:cs="Calibri"/>
          <w:vertAlign w:val="subscript"/>
        </w:rPr>
        <w:t>4</w:t>
      </w:r>
      <w:r w:rsidRPr="00D9348B">
        <w:rPr>
          <w:rFonts w:cs="Calibri"/>
        </w:rPr>
        <w:t xml:space="preserve"> emissions for the </w:t>
      </w:r>
      <w:proofErr w:type="gramStart"/>
      <w:r w:rsidRPr="00D9348B">
        <w:rPr>
          <w:rFonts w:cs="Calibri"/>
          <w:i/>
          <w:iCs/>
        </w:rPr>
        <w:t>Enteric</w:t>
      </w:r>
      <w:proofErr w:type="gramEnd"/>
      <w:r w:rsidRPr="00D9348B">
        <w:rPr>
          <w:rFonts w:cs="Calibri"/>
          <w:i/>
          <w:iCs/>
        </w:rPr>
        <w:t xml:space="preserve"> fermentation</w:t>
      </w:r>
      <w:r w:rsidRPr="00D9348B">
        <w:rPr>
          <w:rFonts w:cs="Calibri"/>
        </w:rPr>
        <w:t xml:space="preserve"> category, CH</w:t>
      </w:r>
      <w:r w:rsidRPr="00D9348B">
        <w:rPr>
          <w:rFonts w:cs="Calibri"/>
          <w:vertAlign w:val="subscript"/>
        </w:rPr>
        <w:t>4</w:t>
      </w:r>
      <w:r w:rsidRPr="00D9348B">
        <w:rPr>
          <w:rFonts w:cs="Calibri"/>
        </w:rPr>
        <w:t xml:space="preserve"> and N</w:t>
      </w:r>
      <w:r w:rsidRPr="00D9348B">
        <w:rPr>
          <w:rFonts w:cs="Calibri"/>
          <w:vertAlign w:val="subscript"/>
        </w:rPr>
        <w:t>2</w:t>
      </w:r>
      <w:r w:rsidRPr="00D9348B">
        <w:rPr>
          <w:rFonts w:cs="Calibri"/>
        </w:rPr>
        <w:t xml:space="preserve">O emissions for the </w:t>
      </w:r>
      <w:r w:rsidRPr="00D9348B">
        <w:rPr>
          <w:rFonts w:cs="Calibri"/>
          <w:i/>
          <w:iCs/>
        </w:rPr>
        <w:t>Manure management</w:t>
      </w:r>
      <w:r w:rsidRPr="00D9348B">
        <w:rPr>
          <w:rFonts w:cs="Calibri"/>
        </w:rPr>
        <w:t xml:space="preserve"> category and N</w:t>
      </w:r>
      <w:r w:rsidRPr="00D9348B">
        <w:rPr>
          <w:rFonts w:cs="Calibri"/>
          <w:vertAlign w:val="subscript"/>
        </w:rPr>
        <w:t>2</w:t>
      </w:r>
      <w:r w:rsidRPr="00D9348B">
        <w:rPr>
          <w:rFonts w:cs="Calibri"/>
        </w:rPr>
        <w:t>O emissions for</w:t>
      </w:r>
      <w:r w:rsidR="007D185B" w:rsidRPr="00D9348B">
        <w:rPr>
          <w:rFonts w:cs="Calibri"/>
        </w:rPr>
        <w:t> </w:t>
      </w:r>
      <w:r w:rsidRPr="00D9348B">
        <w:rPr>
          <w:rFonts w:cs="Calibri"/>
        </w:rPr>
        <w:t xml:space="preserve">the </w:t>
      </w:r>
      <w:r w:rsidRPr="00D9348B">
        <w:rPr>
          <w:rFonts w:cs="Calibri"/>
          <w:i/>
          <w:iCs/>
        </w:rPr>
        <w:t>Agricultural soils</w:t>
      </w:r>
      <w:r w:rsidRPr="00D9348B">
        <w:rPr>
          <w:rFonts w:cs="Calibri"/>
        </w:rPr>
        <w:t xml:space="preserve"> category.</w:t>
      </w:r>
    </w:p>
    <w:p w14:paraId="262ACE1D" w14:textId="77777777" w:rsidR="00F849A7" w:rsidRPr="00D9348B" w:rsidRDefault="00F849A7" w:rsidP="00865BDB">
      <w:pPr>
        <w:pStyle w:val="Heading4"/>
      </w:pPr>
      <w:r w:rsidRPr="00D9348B">
        <w:t xml:space="preserve">Methane emissions </w:t>
      </w:r>
    </w:p>
    <w:p w14:paraId="5331F3EB" w14:textId="77777777" w:rsidR="00F849A7" w:rsidRPr="00D9348B" w:rsidRDefault="00F849A7" w:rsidP="00F849A7">
      <w:pPr>
        <w:pStyle w:val="BodyText"/>
        <w:rPr>
          <w:rFonts w:cs="Calibri"/>
        </w:rPr>
      </w:pPr>
      <w:r w:rsidRPr="00D9348B">
        <w:rPr>
          <w:rFonts w:cs="Calibri"/>
        </w:rPr>
        <w:t>The major sources of uncertainty in CH</w:t>
      </w:r>
      <w:r w:rsidRPr="00D9348B">
        <w:rPr>
          <w:rFonts w:cs="Calibri"/>
          <w:vertAlign w:val="subscript"/>
        </w:rPr>
        <w:t>4</w:t>
      </w:r>
      <w:r w:rsidRPr="00D9348B">
        <w:rPr>
          <w:rFonts w:cs="Calibri"/>
        </w:rPr>
        <w:t xml:space="preserve"> emissions from </w:t>
      </w:r>
      <w:r w:rsidRPr="00D9348B">
        <w:rPr>
          <w:rFonts w:cs="Calibri"/>
          <w:i/>
          <w:iCs/>
        </w:rPr>
        <w:t>Manure management</w:t>
      </w:r>
      <w:r w:rsidRPr="00D9348B">
        <w:rPr>
          <w:rFonts w:cs="Calibri"/>
        </w:rPr>
        <w:t xml:space="preserve"> are the accuracy of emission factors for manure management system distribution, the activity data for the livestock population and the classification and use of the various manure management systems (IPCC, 2006). The ranges for measured emissions for the major livestock categories have been stated where available. </w:t>
      </w:r>
    </w:p>
    <w:p w14:paraId="3E675FDA" w14:textId="77777777" w:rsidR="00F849A7" w:rsidRPr="00D9348B" w:rsidRDefault="00F849A7" w:rsidP="00F849A7">
      <w:pPr>
        <w:pStyle w:val="BodyText"/>
        <w:rPr>
          <w:rFonts w:cs="Calibri"/>
        </w:rPr>
      </w:pPr>
      <w:r w:rsidRPr="00D9348B">
        <w:rPr>
          <w:rFonts w:cs="Calibri"/>
        </w:rPr>
        <w:t>The IPCC (2006) states that emission factor estimates are likely to have uncertainties of ±30 per cent for Tier 1 methodologies and ±20 per cent for Tier 2 methodologies. New Zealand does not currently have country-specific uncertainty values for CH</w:t>
      </w:r>
      <w:r w:rsidRPr="00D9348B">
        <w:rPr>
          <w:rFonts w:cs="Calibri"/>
          <w:vertAlign w:val="subscript"/>
        </w:rPr>
        <w:t>4</w:t>
      </w:r>
      <w:r w:rsidRPr="00D9348B">
        <w:rPr>
          <w:rFonts w:cs="Calibri"/>
        </w:rPr>
        <w:t xml:space="preserve"> from manure management, and, because around 95 per cent of CH</w:t>
      </w:r>
      <w:r w:rsidRPr="00D9348B">
        <w:rPr>
          <w:rFonts w:cs="Calibri"/>
          <w:vertAlign w:val="subscript"/>
        </w:rPr>
        <w:t>4</w:t>
      </w:r>
      <w:r w:rsidRPr="00D9348B">
        <w:rPr>
          <w:rFonts w:cs="Calibri"/>
        </w:rPr>
        <w:t xml:space="preserve"> from </w:t>
      </w:r>
      <w:r w:rsidRPr="00D9348B">
        <w:rPr>
          <w:rFonts w:cs="Calibri"/>
          <w:i/>
          <w:iCs/>
        </w:rPr>
        <w:t>Manure management</w:t>
      </w:r>
      <w:r w:rsidRPr="00D9348B">
        <w:rPr>
          <w:rFonts w:cs="Calibri"/>
        </w:rPr>
        <w:t xml:space="preserve"> is calculated using Tier 2 methodologies, an uncertainty value of ±20 per cent has been used for the </w:t>
      </w:r>
      <w:r w:rsidRPr="00D9348B">
        <w:rPr>
          <w:rFonts w:cs="Calibri"/>
          <w:i/>
          <w:iCs/>
        </w:rPr>
        <w:t xml:space="preserve">Manure management </w:t>
      </w:r>
      <w:r w:rsidRPr="00D9348B">
        <w:rPr>
          <w:rFonts w:cs="Calibri"/>
        </w:rPr>
        <w:t>CH</w:t>
      </w:r>
      <w:r w:rsidRPr="00D9348B">
        <w:rPr>
          <w:rFonts w:cs="Calibri"/>
          <w:vertAlign w:val="subscript"/>
        </w:rPr>
        <w:t>4</w:t>
      </w:r>
      <w:r w:rsidRPr="00D9348B">
        <w:rPr>
          <w:rFonts w:cs="Calibri"/>
        </w:rPr>
        <w:t xml:space="preserve"> emission factor uncertainty. </w:t>
      </w:r>
    </w:p>
    <w:p w14:paraId="1ED5141A" w14:textId="77777777" w:rsidR="00F849A7" w:rsidRPr="00D9348B" w:rsidRDefault="00F849A7" w:rsidP="00F849A7">
      <w:pPr>
        <w:pStyle w:val="BodyText"/>
        <w:rPr>
          <w:rFonts w:cs="Calibri"/>
        </w:rPr>
      </w:pPr>
      <w:r w:rsidRPr="00D9348B">
        <w:rPr>
          <w:rFonts w:cs="Calibri"/>
        </w:rPr>
        <w:t xml:space="preserve">Uncertainties for the livestock characterisation are also discussed in section 5.1.4 and annex A3.1.1. </w:t>
      </w:r>
    </w:p>
    <w:p w14:paraId="6F70DE1E" w14:textId="77777777" w:rsidR="00F849A7" w:rsidRPr="00D9348B" w:rsidRDefault="00F849A7" w:rsidP="00865BDB">
      <w:pPr>
        <w:pStyle w:val="Heading4"/>
      </w:pPr>
      <w:r w:rsidRPr="00D9348B">
        <w:lastRenderedPageBreak/>
        <w:t>Nitrous oxide emissions</w:t>
      </w:r>
    </w:p>
    <w:p w14:paraId="58061956" w14:textId="77777777" w:rsidR="00F849A7" w:rsidRPr="00D9348B" w:rsidRDefault="00F849A7" w:rsidP="00F849A7">
      <w:pPr>
        <w:pStyle w:val="BodyText"/>
        <w:spacing w:before="100" w:after="100"/>
        <w:rPr>
          <w:rFonts w:cs="Calibri"/>
        </w:rPr>
      </w:pPr>
      <w:r w:rsidRPr="00D9348B">
        <w:rPr>
          <w:rFonts w:cs="Calibri"/>
        </w:rPr>
        <w:t>The main factors causing uncertainty in direct and indirect N</w:t>
      </w:r>
      <w:r w:rsidRPr="00D9348B">
        <w:rPr>
          <w:rFonts w:cs="Calibri"/>
          <w:vertAlign w:val="subscript"/>
        </w:rPr>
        <w:t>2</w:t>
      </w:r>
      <w:r w:rsidRPr="00D9348B">
        <w:rPr>
          <w:rFonts w:cs="Calibri"/>
        </w:rPr>
        <w:t>O emissions from manure management are the N</w:t>
      </w:r>
      <w:r w:rsidRPr="00D9348B">
        <w:rPr>
          <w:rFonts w:cs="Calibri"/>
          <w:vertAlign w:val="subscript"/>
        </w:rPr>
        <w:t>ex</w:t>
      </w:r>
      <w:r w:rsidRPr="00D9348B">
        <w:rPr>
          <w:rFonts w:cs="Calibri"/>
        </w:rPr>
        <w:t xml:space="preserve"> rates, the emission factors for manure and manure management systems, activity data on the livestock populations and the classification and use of the various manure management systems (IPCC, 2006). </w:t>
      </w:r>
    </w:p>
    <w:p w14:paraId="7D06DC91" w14:textId="77777777" w:rsidR="00F849A7" w:rsidRPr="00D9348B" w:rsidRDefault="00F849A7" w:rsidP="00F849A7">
      <w:pPr>
        <w:pStyle w:val="BodyText"/>
        <w:spacing w:before="100" w:after="100"/>
        <w:rPr>
          <w:rFonts w:cs="Calibri"/>
        </w:rPr>
      </w:pPr>
      <w:r w:rsidRPr="00D9348B">
        <w:rPr>
          <w:rFonts w:cs="Calibri"/>
        </w:rPr>
        <w:t xml:space="preserve">Uncertainty ranges for the default </w:t>
      </w:r>
      <w:proofErr w:type="gramStart"/>
      <w:r w:rsidRPr="00D9348B">
        <w:rPr>
          <w:rFonts w:cs="Calibri"/>
        </w:rPr>
        <w:t>N</w:t>
      </w:r>
      <w:r w:rsidRPr="00D9348B">
        <w:rPr>
          <w:rFonts w:cs="Calibri"/>
          <w:vertAlign w:val="subscript"/>
        </w:rPr>
        <w:t>ex</w:t>
      </w:r>
      <w:proofErr w:type="gramEnd"/>
      <w:r w:rsidRPr="00D9348B">
        <w:rPr>
          <w:rFonts w:cs="Calibri"/>
        </w:rPr>
        <w:t xml:space="preserve"> values are estimated at about ±50 per cent (IPCC, 2006), and may be substantially smaller for the values for the livestock whose N</w:t>
      </w:r>
      <w:r w:rsidRPr="00D9348B">
        <w:rPr>
          <w:rFonts w:cs="Calibri"/>
          <w:vertAlign w:val="subscript"/>
        </w:rPr>
        <w:t>ex</w:t>
      </w:r>
      <w:r w:rsidRPr="00D9348B">
        <w:rPr>
          <w:rFonts w:cs="Calibri"/>
        </w:rPr>
        <w:t xml:space="preserve"> rates were derived from in-country statistics on productivity. New Zealand uses the default values for EF</w:t>
      </w:r>
      <w:r w:rsidRPr="00D9348B">
        <w:rPr>
          <w:rFonts w:cs="Calibri"/>
          <w:vertAlign w:val="subscript"/>
        </w:rPr>
        <w:t>3,PRP</w:t>
      </w:r>
      <w:r w:rsidRPr="00D9348B">
        <w:rPr>
          <w:rFonts w:cs="Calibri"/>
        </w:rPr>
        <w:t xml:space="preserve"> for direct N</w:t>
      </w:r>
      <w:r w:rsidRPr="00D9348B">
        <w:rPr>
          <w:rFonts w:cs="Calibri"/>
          <w:vertAlign w:val="subscript"/>
        </w:rPr>
        <w:t>2</w:t>
      </w:r>
      <w:r w:rsidRPr="00D9348B">
        <w:rPr>
          <w:rFonts w:cs="Calibri"/>
        </w:rPr>
        <w:t xml:space="preserve">O emissions from the manure management of swine and poultry, which have uncertainties ranging from –50 per cent to +100 per cent. An uncertainty value range of ±100 per cent has been used for the </w:t>
      </w:r>
      <w:r w:rsidRPr="00D9348B">
        <w:rPr>
          <w:rFonts w:cs="Calibri"/>
          <w:i/>
          <w:iCs/>
        </w:rPr>
        <w:t>Manure management</w:t>
      </w:r>
      <w:r w:rsidRPr="00D9348B">
        <w:rPr>
          <w:rFonts w:cs="Calibri"/>
        </w:rPr>
        <w:t xml:space="preserve"> N</w:t>
      </w:r>
      <w:r w:rsidRPr="00D9348B">
        <w:rPr>
          <w:rFonts w:cs="Calibri"/>
          <w:vertAlign w:val="subscript"/>
        </w:rPr>
        <w:t>2</w:t>
      </w:r>
      <w:r w:rsidRPr="00D9348B">
        <w:rPr>
          <w:rFonts w:cs="Calibri"/>
        </w:rPr>
        <w:t>O emission factor uncertainty.</w:t>
      </w:r>
    </w:p>
    <w:p w14:paraId="0B48AF33" w14:textId="77777777" w:rsidR="00F849A7" w:rsidRPr="00D9348B" w:rsidRDefault="00F849A7" w:rsidP="00F849A7">
      <w:pPr>
        <w:pStyle w:val="BodyText"/>
        <w:spacing w:before="100" w:after="100"/>
        <w:rPr>
          <w:rFonts w:cs="Calibri"/>
        </w:rPr>
      </w:pPr>
      <w:r w:rsidRPr="00D9348B">
        <w:rPr>
          <w:rFonts w:cs="Calibri"/>
        </w:rPr>
        <w:t xml:space="preserve">As above, uncertainties for the livestock characterisation are discussed in section 5.1.4 and annex A3.1.1. </w:t>
      </w:r>
    </w:p>
    <w:p w14:paraId="7E75E934" w14:textId="77777777" w:rsidR="00F849A7" w:rsidRPr="00D9348B" w:rsidRDefault="00F849A7" w:rsidP="00F849A7">
      <w:pPr>
        <w:pStyle w:val="Heading3"/>
        <w:rPr>
          <w:rFonts w:cs="Calibri"/>
        </w:rPr>
      </w:pPr>
      <w:bookmarkStart w:id="767" w:name="_Toc139253927"/>
      <w:bookmarkStart w:id="768" w:name="_Toc32570661"/>
      <w:r w:rsidRPr="00D9348B">
        <w:rPr>
          <w:rFonts w:cs="Calibri"/>
        </w:rPr>
        <w:t>5.3.4</w:t>
      </w:r>
      <w:r w:rsidRPr="00D9348B">
        <w:rPr>
          <w:rFonts w:cs="Calibri"/>
        </w:rPr>
        <w:tab/>
        <w:t>Source-specific QA/QC and verification</w:t>
      </w:r>
      <w:bookmarkEnd w:id="767"/>
      <w:bookmarkEnd w:id="768"/>
    </w:p>
    <w:p w14:paraId="0C805A24" w14:textId="77777777" w:rsidR="00F849A7" w:rsidRPr="00D9348B" w:rsidRDefault="00F849A7" w:rsidP="00F849A7">
      <w:pPr>
        <w:pStyle w:val="BodyText"/>
        <w:spacing w:before="100" w:after="100"/>
        <w:rPr>
          <w:rFonts w:cs="Calibri"/>
        </w:rPr>
      </w:pPr>
      <w:r w:rsidRPr="00D9348B">
        <w:rPr>
          <w:rFonts w:cs="Calibri"/>
        </w:rPr>
        <w:t xml:space="preserve">Methane from </w:t>
      </w:r>
      <w:r w:rsidRPr="00D9348B">
        <w:rPr>
          <w:rFonts w:cs="Calibri"/>
          <w:i/>
          <w:iCs/>
        </w:rPr>
        <w:t>Manure management</w:t>
      </w:r>
      <w:r w:rsidRPr="00D9348B">
        <w:rPr>
          <w:rFonts w:cs="Calibri"/>
        </w:rPr>
        <w:t xml:space="preserve"> from dairy cattle was identified as a key category for New Zealand in the 2018 level and 1990–2018 trend assessment. </w:t>
      </w:r>
    </w:p>
    <w:p w14:paraId="330EE06F" w14:textId="77777777" w:rsidR="00F849A7" w:rsidRPr="00D9348B" w:rsidRDefault="00F849A7" w:rsidP="00F849A7">
      <w:pPr>
        <w:pStyle w:val="BodyText"/>
        <w:spacing w:before="100" w:after="100"/>
        <w:rPr>
          <w:rFonts w:cs="Calibri"/>
        </w:rPr>
      </w:pPr>
      <w:r w:rsidRPr="00D9348B">
        <w:rPr>
          <w:rFonts w:cs="Calibri"/>
        </w:rPr>
        <w:t>In the preparation for this inventory submission, the data for this category underwent Tier 1 and Tier 2 quality checks.</w:t>
      </w:r>
    </w:p>
    <w:p w14:paraId="5CC4D57E" w14:textId="77777777" w:rsidR="00F849A7" w:rsidRPr="00D9348B" w:rsidRDefault="00F849A7" w:rsidP="00F849A7">
      <w:pPr>
        <w:pStyle w:val="BodyText"/>
        <w:spacing w:before="100" w:after="100"/>
        <w:rPr>
          <w:rFonts w:cs="Calibri"/>
        </w:rPr>
      </w:pPr>
      <w:r w:rsidRPr="00D9348B">
        <w:rPr>
          <w:rFonts w:cs="Calibri"/>
        </w:rPr>
        <w:t>Table 5.3.6 shows a comparison of the New Zealand-specific 2017 IEF for CH</w:t>
      </w:r>
      <w:r w:rsidRPr="00D9348B">
        <w:rPr>
          <w:rFonts w:cs="Calibri"/>
          <w:vertAlign w:val="subscript"/>
        </w:rPr>
        <w:t>4</w:t>
      </w:r>
      <w:r w:rsidRPr="00D9348B">
        <w:rPr>
          <w:rFonts w:cs="Calibri"/>
        </w:rPr>
        <w:t xml:space="preserve"> from </w:t>
      </w:r>
      <w:r w:rsidRPr="00D9348B">
        <w:rPr>
          <w:rFonts w:cs="Calibri"/>
          <w:i/>
          <w:iCs/>
        </w:rPr>
        <w:t>Manure management</w:t>
      </w:r>
      <w:r w:rsidRPr="00D9348B">
        <w:rPr>
          <w:rFonts w:cs="Calibri"/>
        </w:rPr>
        <w:t xml:space="preserve"> with the IPCC (2006) Tier 1 Oceania default, the IPCC Tier 2 net energy-based value and the 2016 Australian-specific IEF for </w:t>
      </w:r>
      <w:r w:rsidRPr="00D9348B">
        <w:rPr>
          <w:rFonts w:cs="Calibri"/>
          <w:i/>
          <w:iCs/>
        </w:rPr>
        <w:t>Dairy cattle</w:t>
      </w:r>
      <w:r w:rsidRPr="00D9348B">
        <w:rPr>
          <w:rFonts w:cs="Calibri"/>
        </w:rPr>
        <w:t xml:space="preserve">, </w:t>
      </w:r>
      <w:r w:rsidRPr="00D9348B">
        <w:rPr>
          <w:rFonts w:cs="Calibri"/>
          <w:i/>
          <w:iCs/>
        </w:rPr>
        <w:t>Non-dairy cattle</w:t>
      </w:r>
      <w:r w:rsidRPr="00D9348B">
        <w:rPr>
          <w:rFonts w:cs="Calibri"/>
        </w:rPr>
        <w:t xml:space="preserve"> and </w:t>
      </w:r>
      <w:r w:rsidRPr="00D9348B">
        <w:rPr>
          <w:rFonts w:cs="Calibri"/>
          <w:i/>
          <w:iCs/>
        </w:rPr>
        <w:t>Sheep</w:t>
      </w:r>
      <w:r w:rsidRPr="00D9348B">
        <w:rPr>
          <w:rFonts w:cs="Calibri"/>
        </w:rPr>
        <w:t>. The IPCC Tier 2 value was determined from net energy equations to determine gross energy for each of New Zealand’s major livestock categories. This information is then used to determine volatile solid excretion and the annual CH</w:t>
      </w:r>
      <w:r w:rsidRPr="00D9348B">
        <w:rPr>
          <w:rFonts w:cs="Calibri"/>
          <w:vertAlign w:val="subscript"/>
        </w:rPr>
        <w:t>4</w:t>
      </w:r>
      <w:r w:rsidRPr="00D9348B">
        <w:rPr>
          <w:rFonts w:cs="Calibri"/>
        </w:rPr>
        <w:t xml:space="preserve"> emission factors for each livestock category as per the equations described in the 2006 IPCC Guidelines (i.e., equations 10.16, 10.24 and 10.23 respectively).</w:t>
      </w:r>
    </w:p>
    <w:p w14:paraId="063F3472" w14:textId="77777777" w:rsidR="00F849A7" w:rsidRPr="00D9348B" w:rsidRDefault="00F849A7" w:rsidP="00F849A7">
      <w:pPr>
        <w:pStyle w:val="BodyText"/>
        <w:spacing w:before="100" w:after="100"/>
        <w:rPr>
          <w:rFonts w:cs="Calibri"/>
        </w:rPr>
      </w:pPr>
      <w:r w:rsidRPr="00D9348B">
        <w:rPr>
          <w:rFonts w:cs="Calibri"/>
        </w:rPr>
        <w:t>New Zealand has lower IEFs for CH</w:t>
      </w:r>
      <w:r w:rsidRPr="00D9348B">
        <w:rPr>
          <w:rFonts w:cs="Calibri"/>
          <w:vertAlign w:val="subscript"/>
        </w:rPr>
        <w:t>4</w:t>
      </w:r>
      <w:r w:rsidRPr="00D9348B">
        <w:rPr>
          <w:rFonts w:cs="Calibri"/>
        </w:rPr>
        <w:t xml:space="preserve"> from </w:t>
      </w:r>
      <w:r w:rsidRPr="00D9348B">
        <w:rPr>
          <w:rFonts w:cs="Calibri"/>
          <w:i/>
          <w:iCs/>
        </w:rPr>
        <w:t>Manure management</w:t>
      </w:r>
      <w:r w:rsidRPr="00D9348B">
        <w:rPr>
          <w:rFonts w:cs="Calibri"/>
        </w:rPr>
        <w:t xml:space="preserve"> for non-dairy cattle and sheep than the IPCC Tier 1 Oceania default and the IPCC Tier 2 net energy-based emission factors. Additionally, New Zealand has lower dairy and non-dairy IEFs for CH</w:t>
      </w:r>
      <w:r w:rsidRPr="00D9348B">
        <w:rPr>
          <w:rFonts w:cs="Calibri"/>
          <w:vertAlign w:val="subscript"/>
        </w:rPr>
        <w:t>4</w:t>
      </w:r>
      <w:r w:rsidRPr="00D9348B">
        <w:rPr>
          <w:rFonts w:cs="Calibri"/>
        </w:rPr>
        <w:t xml:space="preserve"> from </w:t>
      </w:r>
      <w:r w:rsidRPr="00D9348B">
        <w:rPr>
          <w:rFonts w:cs="Calibri"/>
          <w:i/>
          <w:iCs/>
        </w:rPr>
        <w:t>Manure management</w:t>
      </w:r>
      <w:r w:rsidRPr="00D9348B">
        <w:rPr>
          <w:rFonts w:cs="Calibri"/>
        </w:rPr>
        <w:t xml:space="preserve"> than the Australian-specific 2016 IEFs. Differences between New Zealand’s IEFs, the IPCC Tier 1 and Tier 2 and the Australian-specific IEFs are due to the reasons outlined under </w:t>
      </w:r>
      <w:proofErr w:type="gramStart"/>
      <w:r w:rsidRPr="00D9348B">
        <w:rPr>
          <w:rFonts w:cs="Calibri"/>
          <w:i/>
          <w:iCs/>
        </w:rPr>
        <w:t>Enteric</w:t>
      </w:r>
      <w:proofErr w:type="gramEnd"/>
      <w:r w:rsidRPr="00D9348B">
        <w:rPr>
          <w:rFonts w:cs="Calibri"/>
          <w:i/>
          <w:iCs/>
        </w:rPr>
        <w:t xml:space="preserve"> fermentation</w:t>
      </w:r>
      <w:r w:rsidRPr="00D9348B">
        <w:rPr>
          <w:rFonts w:cs="Calibri"/>
        </w:rPr>
        <w:t xml:space="preserve"> (see section 5.2.4): that is, size and productivity of the animals, the age classes of livestock included in New Zealand’s modelling and the use of different algorithms to determine energy intake. The New Zealand-specific IEF from </w:t>
      </w:r>
      <w:r w:rsidRPr="00D9348B">
        <w:rPr>
          <w:rFonts w:cs="Calibri"/>
          <w:i/>
          <w:iCs/>
        </w:rPr>
        <w:t>Manure management</w:t>
      </w:r>
      <w:r w:rsidRPr="00D9348B">
        <w:rPr>
          <w:rFonts w:cs="Calibri"/>
        </w:rPr>
        <w:t xml:space="preserve"> for dairy cattle also reflects the activity data on the use of dairy effluent management systems in New Zealand (see section 5.3.2).</w:t>
      </w:r>
    </w:p>
    <w:p w14:paraId="41CB9B95" w14:textId="77777777" w:rsidR="00F849A7" w:rsidRPr="00D9348B" w:rsidRDefault="00F849A7" w:rsidP="00F849A7">
      <w:pPr>
        <w:pStyle w:val="Table"/>
        <w:rPr>
          <w:rFonts w:cs="Calibri"/>
        </w:rPr>
      </w:pPr>
      <w:bookmarkStart w:id="769" w:name="_Toc441830878"/>
      <w:bookmarkStart w:id="770" w:name="_Toc451176092"/>
      <w:bookmarkStart w:id="771" w:name="_Toc481751520"/>
      <w:bookmarkStart w:id="772" w:name="_Toc507158608"/>
      <w:bookmarkStart w:id="773" w:name="_Toc511116742"/>
      <w:bookmarkStart w:id="774" w:name="_Toc5269482"/>
      <w:bookmarkStart w:id="775" w:name="_Toc32570925"/>
      <w:bookmarkStart w:id="776" w:name="_Toc36224560"/>
      <w:bookmarkStart w:id="777" w:name="_Toc288316755"/>
      <w:bookmarkStart w:id="778" w:name="_Toc352504973"/>
      <w:r w:rsidRPr="00D9348B">
        <w:rPr>
          <w:rFonts w:cs="Calibri"/>
        </w:rPr>
        <w:lastRenderedPageBreak/>
        <w:t>Table 5.3.6</w:t>
      </w:r>
      <w:r w:rsidRPr="00D9348B">
        <w:rPr>
          <w:rFonts w:cs="Calibri"/>
        </w:rPr>
        <w:tab/>
        <w:t>Comparison of IPCC (2006) table 10A-4 default emission factors and country-specific implied emission factors (IEFs) for methane from manure management</w:t>
      </w:r>
      <w:bookmarkEnd w:id="769"/>
      <w:bookmarkEnd w:id="770"/>
      <w:bookmarkEnd w:id="771"/>
      <w:bookmarkEnd w:id="772"/>
      <w:bookmarkEnd w:id="773"/>
      <w:bookmarkEnd w:id="774"/>
      <w:bookmarkEnd w:id="775"/>
      <w:bookmarkEnd w:id="776"/>
      <w:r w:rsidRPr="00D9348B">
        <w:rPr>
          <w:rFonts w:cs="Calibri"/>
        </w:rPr>
        <w:t xml:space="preserve"> </w:t>
      </w:r>
      <w:bookmarkEnd w:id="777"/>
      <w:bookmarkEnd w:id="778"/>
    </w:p>
    <w:tbl>
      <w:tblPr>
        <w:tblW w:w="8562" w:type="dxa"/>
        <w:tblInd w:w="108" w:type="dxa"/>
        <w:tblBorders>
          <w:top w:val="single" w:sz="4" w:space="0" w:color="365F91"/>
          <w:bottom w:val="single" w:sz="4" w:space="0" w:color="365F91"/>
          <w:insideH w:val="single" w:sz="4" w:space="0" w:color="365F91"/>
        </w:tblBorders>
        <w:tblLayout w:type="fixed"/>
        <w:tblCellMar>
          <w:left w:w="57" w:type="dxa"/>
          <w:right w:w="0" w:type="dxa"/>
        </w:tblCellMar>
        <w:tblLook w:val="0000" w:firstRow="0" w:lastRow="0" w:firstColumn="0" w:lastColumn="0" w:noHBand="0" w:noVBand="0"/>
      </w:tblPr>
      <w:tblGrid>
        <w:gridCol w:w="3828"/>
        <w:gridCol w:w="2551"/>
        <w:gridCol w:w="1134"/>
        <w:gridCol w:w="1049"/>
      </w:tblGrid>
      <w:tr w:rsidR="00F849A7" w:rsidRPr="00D9348B" w14:paraId="74495D36" w14:textId="77777777" w:rsidTr="007D185B">
        <w:trPr>
          <w:tblHeader/>
        </w:trPr>
        <w:tc>
          <w:tcPr>
            <w:tcW w:w="3828" w:type="dxa"/>
            <w:tcBorders>
              <w:bottom w:val="nil"/>
            </w:tcBorders>
            <w:shd w:val="clear" w:color="auto" w:fill="365F91"/>
            <w:vAlign w:val="bottom"/>
          </w:tcPr>
          <w:p w14:paraId="3B1C7660" w14:textId="77777777" w:rsidR="00F849A7" w:rsidRPr="00D9348B" w:rsidRDefault="00F849A7" w:rsidP="00DB330E">
            <w:pPr>
              <w:pStyle w:val="TableTextBold"/>
              <w:keepNext/>
              <w:rPr>
                <w:rFonts w:cs="Calibri"/>
                <w:noProof w:val="0"/>
                <w:color w:val="FFFFFF"/>
              </w:rPr>
            </w:pPr>
          </w:p>
        </w:tc>
        <w:tc>
          <w:tcPr>
            <w:tcW w:w="4734" w:type="dxa"/>
            <w:gridSpan w:val="3"/>
            <w:tcBorders>
              <w:bottom w:val="nil"/>
            </w:tcBorders>
            <w:shd w:val="clear" w:color="auto" w:fill="365F91"/>
            <w:vAlign w:val="bottom"/>
          </w:tcPr>
          <w:p w14:paraId="4DF61325" w14:textId="77777777" w:rsidR="00F849A7" w:rsidRPr="00D9348B" w:rsidRDefault="00F849A7" w:rsidP="00021565">
            <w:pPr>
              <w:pStyle w:val="TableTextBold"/>
              <w:spacing w:after="0"/>
              <w:jc w:val="center"/>
              <w:rPr>
                <w:rFonts w:cs="Calibri"/>
                <w:noProof w:val="0"/>
                <w:color w:val="FFFFFF"/>
              </w:rPr>
            </w:pPr>
            <w:r w:rsidRPr="00D9348B">
              <w:rPr>
                <w:rFonts w:cs="Calibri"/>
                <w:noProof w:val="0"/>
                <w:color w:val="FFFFFF"/>
              </w:rPr>
              <w:t>kg CH</w:t>
            </w:r>
            <w:r w:rsidRPr="00D9348B">
              <w:rPr>
                <w:rFonts w:cs="Calibri"/>
                <w:noProof w:val="0"/>
                <w:color w:val="FFFFFF"/>
                <w:vertAlign w:val="subscript"/>
              </w:rPr>
              <w:t>4</w:t>
            </w:r>
            <w:r w:rsidRPr="00D9348B">
              <w:rPr>
                <w:rFonts w:cs="Calibri"/>
                <w:noProof w:val="0"/>
                <w:color w:val="FFFFFF"/>
              </w:rPr>
              <w:t>/head/year</w:t>
            </w:r>
          </w:p>
        </w:tc>
      </w:tr>
      <w:tr w:rsidR="00F849A7" w:rsidRPr="00D9348B" w14:paraId="64794442" w14:textId="77777777" w:rsidTr="007D185B">
        <w:trPr>
          <w:tblHeader/>
        </w:trPr>
        <w:tc>
          <w:tcPr>
            <w:tcW w:w="3828" w:type="dxa"/>
            <w:tcBorders>
              <w:top w:val="nil"/>
            </w:tcBorders>
            <w:shd w:val="clear" w:color="auto" w:fill="365F91"/>
            <w:vAlign w:val="bottom"/>
          </w:tcPr>
          <w:p w14:paraId="3D89DA9A" w14:textId="77777777" w:rsidR="00F849A7" w:rsidRPr="00D9348B" w:rsidRDefault="00F849A7" w:rsidP="00DB330E">
            <w:pPr>
              <w:pStyle w:val="TableTextBold"/>
              <w:keepNext/>
              <w:rPr>
                <w:rFonts w:cs="Calibri"/>
                <w:noProof w:val="0"/>
                <w:color w:val="FFFFFF"/>
              </w:rPr>
            </w:pPr>
          </w:p>
        </w:tc>
        <w:tc>
          <w:tcPr>
            <w:tcW w:w="2551" w:type="dxa"/>
            <w:tcBorders>
              <w:top w:val="nil"/>
            </w:tcBorders>
            <w:shd w:val="clear" w:color="auto" w:fill="365F91"/>
            <w:vAlign w:val="bottom"/>
          </w:tcPr>
          <w:p w14:paraId="6C9414B1" w14:textId="77777777" w:rsidR="00F849A7" w:rsidRPr="00D9348B" w:rsidRDefault="00F849A7" w:rsidP="00DB330E">
            <w:pPr>
              <w:pStyle w:val="TableTextBold"/>
              <w:jc w:val="center"/>
              <w:rPr>
                <w:rFonts w:cs="Calibri"/>
                <w:noProof w:val="0"/>
                <w:color w:val="FFFFFF"/>
              </w:rPr>
            </w:pPr>
            <w:r w:rsidRPr="00D9348B">
              <w:rPr>
                <w:rFonts w:cs="Calibri"/>
                <w:noProof w:val="0"/>
                <w:color w:val="FFFFFF"/>
              </w:rPr>
              <w:t>Dairy cattle</w:t>
            </w:r>
          </w:p>
        </w:tc>
        <w:tc>
          <w:tcPr>
            <w:tcW w:w="1134" w:type="dxa"/>
            <w:tcBorders>
              <w:top w:val="nil"/>
            </w:tcBorders>
            <w:shd w:val="clear" w:color="auto" w:fill="365F91"/>
            <w:vAlign w:val="bottom"/>
          </w:tcPr>
          <w:p w14:paraId="07EAC6D6" w14:textId="77777777" w:rsidR="00F849A7" w:rsidRPr="00D9348B" w:rsidRDefault="00F849A7" w:rsidP="00DB330E">
            <w:pPr>
              <w:pStyle w:val="TableTextBold"/>
              <w:jc w:val="center"/>
              <w:rPr>
                <w:rFonts w:cs="Calibri"/>
                <w:noProof w:val="0"/>
                <w:color w:val="FFFFFF"/>
              </w:rPr>
            </w:pPr>
            <w:r w:rsidRPr="00D9348B">
              <w:rPr>
                <w:rFonts w:cs="Calibri"/>
                <w:noProof w:val="0"/>
                <w:color w:val="FFFFFF"/>
              </w:rPr>
              <w:t>Non-dairy cattle</w:t>
            </w:r>
          </w:p>
        </w:tc>
        <w:tc>
          <w:tcPr>
            <w:tcW w:w="1049" w:type="dxa"/>
            <w:tcBorders>
              <w:top w:val="nil"/>
            </w:tcBorders>
            <w:shd w:val="clear" w:color="auto" w:fill="365F91"/>
            <w:vAlign w:val="bottom"/>
          </w:tcPr>
          <w:p w14:paraId="54DAAF05" w14:textId="77777777" w:rsidR="00F849A7" w:rsidRPr="00D9348B" w:rsidRDefault="00F849A7" w:rsidP="00DB330E">
            <w:pPr>
              <w:pStyle w:val="TableTextBold"/>
              <w:jc w:val="center"/>
              <w:rPr>
                <w:rFonts w:cs="Calibri"/>
                <w:noProof w:val="0"/>
                <w:color w:val="FFFFFF"/>
              </w:rPr>
            </w:pPr>
            <w:r w:rsidRPr="00D9348B">
              <w:rPr>
                <w:rFonts w:cs="Calibri"/>
                <w:noProof w:val="0"/>
                <w:color w:val="FFFFFF"/>
              </w:rPr>
              <w:t>Sheep</w:t>
            </w:r>
          </w:p>
        </w:tc>
      </w:tr>
      <w:tr w:rsidR="00F849A7" w:rsidRPr="00D9348B" w14:paraId="765CDFEF" w14:textId="77777777" w:rsidTr="007D185B">
        <w:trPr>
          <w:trHeight w:val="254"/>
        </w:trPr>
        <w:tc>
          <w:tcPr>
            <w:tcW w:w="3828" w:type="dxa"/>
          </w:tcPr>
          <w:p w14:paraId="1B3C71F8" w14:textId="77777777" w:rsidR="00F849A7" w:rsidRPr="00D9348B" w:rsidRDefault="00F849A7" w:rsidP="00DB330E">
            <w:pPr>
              <w:pStyle w:val="TableText"/>
              <w:keepNext/>
              <w:spacing w:before="50" w:after="50"/>
              <w:rPr>
                <w:rFonts w:cs="Calibri"/>
              </w:rPr>
            </w:pPr>
            <w:r w:rsidRPr="00D9348B">
              <w:rPr>
                <w:rFonts w:cs="Calibri"/>
              </w:rPr>
              <w:t>IPCC Tier 1 Oceania default value (average temperature 15ºC (cattle)/developed temperate default value (sheep))</w:t>
            </w:r>
          </w:p>
        </w:tc>
        <w:tc>
          <w:tcPr>
            <w:tcW w:w="2551" w:type="dxa"/>
            <w:vAlign w:val="bottom"/>
          </w:tcPr>
          <w:p w14:paraId="78ECF056" w14:textId="77777777" w:rsidR="00F849A7" w:rsidRPr="00D9348B" w:rsidRDefault="00F849A7" w:rsidP="00DB330E">
            <w:pPr>
              <w:pStyle w:val="TableText"/>
              <w:jc w:val="center"/>
              <w:rPr>
                <w:rFonts w:cs="Calibri"/>
              </w:rPr>
            </w:pPr>
            <w:r w:rsidRPr="00D9348B">
              <w:rPr>
                <w:rFonts w:cs="Calibri"/>
              </w:rPr>
              <w:t>27.00</w:t>
            </w:r>
          </w:p>
        </w:tc>
        <w:tc>
          <w:tcPr>
            <w:tcW w:w="1134" w:type="dxa"/>
            <w:vAlign w:val="bottom"/>
          </w:tcPr>
          <w:p w14:paraId="34CD0AC1" w14:textId="77777777" w:rsidR="00F849A7" w:rsidRPr="00D9348B" w:rsidRDefault="00F849A7" w:rsidP="00DB330E">
            <w:pPr>
              <w:pStyle w:val="TableText"/>
              <w:spacing w:before="50" w:after="50"/>
              <w:jc w:val="center"/>
              <w:rPr>
                <w:rFonts w:cs="Calibri"/>
              </w:rPr>
            </w:pPr>
            <w:r w:rsidRPr="00D9348B">
              <w:rPr>
                <w:rFonts w:cs="Calibri"/>
              </w:rPr>
              <w:t>2.00</w:t>
            </w:r>
          </w:p>
        </w:tc>
        <w:tc>
          <w:tcPr>
            <w:tcW w:w="1049" w:type="dxa"/>
            <w:vAlign w:val="bottom"/>
          </w:tcPr>
          <w:p w14:paraId="39225D2A" w14:textId="77777777" w:rsidR="00F849A7" w:rsidRPr="00D9348B" w:rsidRDefault="00F849A7" w:rsidP="00DB330E">
            <w:pPr>
              <w:pStyle w:val="TableText"/>
              <w:spacing w:before="50" w:after="50"/>
              <w:jc w:val="center"/>
              <w:rPr>
                <w:rFonts w:cs="Calibri"/>
              </w:rPr>
            </w:pPr>
            <w:r w:rsidRPr="00D9348B">
              <w:rPr>
                <w:rFonts w:cs="Calibri"/>
              </w:rPr>
              <w:t>0.28</w:t>
            </w:r>
          </w:p>
        </w:tc>
      </w:tr>
      <w:tr w:rsidR="00F849A7" w:rsidRPr="00D9348B" w14:paraId="6E09A908" w14:textId="77777777" w:rsidTr="007D185B">
        <w:trPr>
          <w:trHeight w:val="254"/>
        </w:trPr>
        <w:tc>
          <w:tcPr>
            <w:tcW w:w="3828" w:type="dxa"/>
            <w:shd w:val="clear" w:color="auto" w:fill="auto"/>
          </w:tcPr>
          <w:p w14:paraId="6407BF32" w14:textId="77777777" w:rsidR="00F849A7" w:rsidRPr="00D9348B" w:rsidRDefault="00F849A7" w:rsidP="00DB330E">
            <w:pPr>
              <w:pStyle w:val="TableText"/>
              <w:keepNext/>
              <w:spacing w:before="50" w:after="50"/>
              <w:rPr>
                <w:rFonts w:cs="Calibri"/>
              </w:rPr>
            </w:pPr>
            <w:r w:rsidRPr="00D9348B">
              <w:rPr>
                <w:rFonts w:cs="Calibri"/>
              </w:rPr>
              <w:t>IPCC Tier 2 net energy-based value</w:t>
            </w:r>
          </w:p>
        </w:tc>
        <w:tc>
          <w:tcPr>
            <w:tcW w:w="2551" w:type="dxa"/>
            <w:shd w:val="clear" w:color="auto" w:fill="auto"/>
            <w:vAlign w:val="bottom"/>
          </w:tcPr>
          <w:p w14:paraId="183EC63F" w14:textId="77777777" w:rsidR="00F849A7" w:rsidRPr="00D9348B" w:rsidRDefault="00F849A7" w:rsidP="00DB330E">
            <w:pPr>
              <w:pStyle w:val="TableText"/>
              <w:jc w:val="center"/>
              <w:rPr>
                <w:rFonts w:cs="Calibri"/>
              </w:rPr>
            </w:pPr>
            <w:r w:rsidRPr="00D9348B">
              <w:rPr>
                <w:rFonts w:cs="Calibri"/>
              </w:rPr>
              <w:t>5.97</w:t>
            </w:r>
          </w:p>
        </w:tc>
        <w:tc>
          <w:tcPr>
            <w:tcW w:w="1134" w:type="dxa"/>
            <w:shd w:val="clear" w:color="auto" w:fill="auto"/>
            <w:vAlign w:val="bottom"/>
          </w:tcPr>
          <w:p w14:paraId="3B4813A3" w14:textId="77777777" w:rsidR="00F849A7" w:rsidRPr="00D9348B" w:rsidRDefault="00F849A7" w:rsidP="00DB330E">
            <w:pPr>
              <w:pStyle w:val="TableText"/>
              <w:spacing w:before="50" w:after="50"/>
              <w:jc w:val="center"/>
              <w:rPr>
                <w:rFonts w:cs="Calibri"/>
              </w:rPr>
            </w:pPr>
            <w:r w:rsidRPr="00D9348B">
              <w:rPr>
                <w:rFonts w:cs="Calibri"/>
              </w:rPr>
              <w:t>0.82</w:t>
            </w:r>
          </w:p>
        </w:tc>
        <w:tc>
          <w:tcPr>
            <w:tcW w:w="1049" w:type="dxa"/>
            <w:shd w:val="clear" w:color="auto" w:fill="auto"/>
            <w:vAlign w:val="bottom"/>
          </w:tcPr>
          <w:p w14:paraId="57262942" w14:textId="77777777" w:rsidR="00F849A7" w:rsidRPr="00D9348B" w:rsidRDefault="00F849A7" w:rsidP="00DB330E">
            <w:pPr>
              <w:pStyle w:val="TableText"/>
              <w:spacing w:before="50" w:after="50"/>
              <w:jc w:val="center"/>
              <w:rPr>
                <w:rFonts w:cs="Calibri"/>
              </w:rPr>
            </w:pPr>
            <w:r w:rsidRPr="00D9348B">
              <w:rPr>
                <w:rFonts w:cs="Calibri"/>
              </w:rPr>
              <w:t>0.18</w:t>
            </w:r>
          </w:p>
        </w:tc>
      </w:tr>
      <w:tr w:rsidR="00F849A7" w:rsidRPr="00D9348B" w14:paraId="4FFDE2D8" w14:textId="77777777" w:rsidTr="007D185B">
        <w:trPr>
          <w:trHeight w:val="254"/>
        </w:trPr>
        <w:tc>
          <w:tcPr>
            <w:tcW w:w="3828" w:type="dxa"/>
          </w:tcPr>
          <w:p w14:paraId="03A692DE" w14:textId="77777777" w:rsidR="00F849A7" w:rsidRPr="00D9348B" w:rsidRDefault="00F849A7" w:rsidP="00DB330E">
            <w:pPr>
              <w:pStyle w:val="TableText"/>
              <w:spacing w:before="50" w:after="50"/>
              <w:rPr>
                <w:rFonts w:cs="Calibri"/>
              </w:rPr>
            </w:pPr>
            <w:r w:rsidRPr="00D9348B">
              <w:rPr>
                <w:rFonts w:cs="Calibri"/>
              </w:rPr>
              <w:t>Australian-specific IEF 2017 value</w:t>
            </w:r>
            <w:r w:rsidRPr="00D9348B">
              <w:rPr>
                <w:rStyle w:val="FootnoteReference"/>
                <w:rFonts w:cs="Calibri"/>
              </w:rPr>
              <w:footnoteReference w:id="55"/>
            </w:r>
          </w:p>
        </w:tc>
        <w:tc>
          <w:tcPr>
            <w:tcW w:w="2551" w:type="dxa"/>
            <w:vAlign w:val="center"/>
          </w:tcPr>
          <w:p w14:paraId="285D04F9" w14:textId="77777777" w:rsidR="00F849A7" w:rsidRPr="00D9348B" w:rsidRDefault="00F849A7" w:rsidP="00DB330E">
            <w:pPr>
              <w:pStyle w:val="TableText"/>
              <w:jc w:val="center"/>
              <w:rPr>
                <w:rFonts w:cs="Calibri"/>
              </w:rPr>
            </w:pPr>
            <w:r w:rsidRPr="00D9348B">
              <w:rPr>
                <w:rFonts w:cs="Calibri"/>
              </w:rPr>
              <w:t>14.79</w:t>
            </w:r>
          </w:p>
        </w:tc>
        <w:tc>
          <w:tcPr>
            <w:tcW w:w="1134" w:type="dxa"/>
            <w:vAlign w:val="center"/>
          </w:tcPr>
          <w:p w14:paraId="13949263" w14:textId="77777777" w:rsidR="00F849A7" w:rsidRPr="00D9348B" w:rsidRDefault="00F849A7" w:rsidP="00DB330E">
            <w:pPr>
              <w:pStyle w:val="TableText"/>
              <w:spacing w:before="50" w:after="0"/>
              <w:jc w:val="center"/>
              <w:rPr>
                <w:rFonts w:cs="Calibri"/>
                <w:color w:val="000000"/>
                <w:szCs w:val="16"/>
              </w:rPr>
            </w:pPr>
            <w:r w:rsidRPr="00D9348B">
              <w:rPr>
                <w:rFonts w:cs="Calibri"/>
                <w:color w:val="000000"/>
                <w:szCs w:val="16"/>
              </w:rPr>
              <w:t>0.02 (pasture)</w:t>
            </w:r>
          </w:p>
          <w:p w14:paraId="45C08FD8" w14:textId="77777777" w:rsidR="00F849A7" w:rsidRPr="00D9348B" w:rsidRDefault="00F849A7" w:rsidP="00DB330E">
            <w:pPr>
              <w:pStyle w:val="TableText"/>
              <w:spacing w:before="50" w:after="50"/>
              <w:jc w:val="center"/>
              <w:rPr>
                <w:rFonts w:cs="Calibri"/>
                <w:color w:val="000000"/>
                <w:szCs w:val="16"/>
              </w:rPr>
            </w:pPr>
            <w:r w:rsidRPr="00D9348B">
              <w:rPr>
                <w:rFonts w:cs="Calibri"/>
              </w:rPr>
              <w:t>3.54 (feedlot)</w:t>
            </w:r>
          </w:p>
        </w:tc>
        <w:tc>
          <w:tcPr>
            <w:tcW w:w="1049" w:type="dxa"/>
            <w:vAlign w:val="center"/>
          </w:tcPr>
          <w:p w14:paraId="075B2DEF" w14:textId="77777777" w:rsidR="00F849A7" w:rsidRPr="00D9348B" w:rsidRDefault="00F849A7" w:rsidP="00DB330E">
            <w:pPr>
              <w:pStyle w:val="TableText"/>
              <w:spacing w:before="50" w:after="50"/>
              <w:jc w:val="center"/>
              <w:rPr>
                <w:rFonts w:cs="Calibri"/>
              </w:rPr>
            </w:pPr>
            <w:r w:rsidRPr="00D9348B">
              <w:rPr>
                <w:rFonts w:cs="Calibri"/>
                <w:color w:val="000000"/>
                <w:szCs w:val="16"/>
              </w:rPr>
              <w:t>0.002</w:t>
            </w:r>
          </w:p>
        </w:tc>
      </w:tr>
      <w:tr w:rsidR="00F849A7" w:rsidRPr="00D9348B" w14:paraId="286CC032" w14:textId="77777777" w:rsidTr="007D185B">
        <w:trPr>
          <w:trHeight w:val="254"/>
        </w:trPr>
        <w:tc>
          <w:tcPr>
            <w:tcW w:w="3828" w:type="dxa"/>
          </w:tcPr>
          <w:p w14:paraId="59F45B13" w14:textId="77777777" w:rsidR="00F849A7" w:rsidRPr="00D9348B" w:rsidRDefault="00F849A7" w:rsidP="00DB330E">
            <w:pPr>
              <w:pStyle w:val="TableText"/>
              <w:spacing w:before="50" w:after="50"/>
              <w:rPr>
                <w:rFonts w:cs="Calibri"/>
              </w:rPr>
            </w:pPr>
            <w:r w:rsidRPr="00D9348B">
              <w:rPr>
                <w:rFonts w:cs="Calibri"/>
              </w:rPr>
              <w:t>New Zealand-specific IEF 2018 value</w:t>
            </w:r>
          </w:p>
        </w:tc>
        <w:tc>
          <w:tcPr>
            <w:tcW w:w="2551" w:type="dxa"/>
            <w:vAlign w:val="center"/>
          </w:tcPr>
          <w:p w14:paraId="0E56C33E" w14:textId="77777777" w:rsidR="00F849A7" w:rsidRPr="00D9348B" w:rsidRDefault="00F849A7" w:rsidP="00DB330E">
            <w:pPr>
              <w:pStyle w:val="TableText"/>
              <w:spacing w:after="0"/>
              <w:jc w:val="center"/>
              <w:rPr>
                <w:rFonts w:cs="Calibri"/>
              </w:rPr>
            </w:pPr>
            <w:r w:rsidRPr="00D9348B">
              <w:rPr>
                <w:rFonts w:cs="Calibri"/>
              </w:rPr>
              <w:t>7.91 (all dairy cattle, including calves)</w:t>
            </w:r>
          </w:p>
          <w:p w14:paraId="318CE51C" w14:textId="77777777" w:rsidR="00F849A7" w:rsidRPr="00D9348B" w:rsidRDefault="00F849A7" w:rsidP="00DB330E">
            <w:pPr>
              <w:pStyle w:val="TableText"/>
              <w:jc w:val="center"/>
              <w:rPr>
                <w:rFonts w:cs="Calibri"/>
              </w:rPr>
            </w:pPr>
            <w:r w:rsidRPr="00D9348B">
              <w:rPr>
                <w:rFonts w:cs="Calibri"/>
              </w:rPr>
              <w:t>9.88 (mature milking cows only)</w:t>
            </w:r>
          </w:p>
        </w:tc>
        <w:tc>
          <w:tcPr>
            <w:tcW w:w="1134" w:type="dxa"/>
            <w:vAlign w:val="center"/>
          </w:tcPr>
          <w:p w14:paraId="053E36DF" w14:textId="77777777" w:rsidR="00F849A7" w:rsidRPr="00D9348B" w:rsidRDefault="00F849A7" w:rsidP="00DB330E">
            <w:pPr>
              <w:pStyle w:val="TableText"/>
              <w:spacing w:before="50" w:after="50"/>
              <w:jc w:val="center"/>
              <w:rPr>
                <w:rFonts w:cs="Calibri"/>
                <w:color w:val="000000"/>
                <w:szCs w:val="16"/>
              </w:rPr>
            </w:pPr>
            <w:r w:rsidRPr="00D9348B">
              <w:rPr>
                <w:rFonts w:cs="Calibri"/>
                <w:color w:val="000000"/>
                <w:szCs w:val="16"/>
              </w:rPr>
              <w:t>0.78</w:t>
            </w:r>
          </w:p>
        </w:tc>
        <w:tc>
          <w:tcPr>
            <w:tcW w:w="1049" w:type="dxa"/>
            <w:vAlign w:val="center"/>
          </w:tcPr>
          <w:p w14:paraId="3ECBB85E" w14:textId="77777777" w:rsidR="00F849A7" w:rsidRPr="00D9348B" w:rsidRDefault="00F849A7" w:rsidP="00DB330E">
            <w:pPr>
              <w:pStyle w:val="TableText"/>
              <w:spacing w:before="50" w:after="50"/>
              <w:jc w:val="center"/>
              <w:rPr>
                <w:rFonts w:cs="Calibri"/>
                <w:color w:val="000000"/>
                <w:szCs w:val="16"/>
              </w:rPr>
            </w:pPr>
            <w:r w:rsidRPr="00D9348B">
              <w:rPr>
                <w:rFonts w:cs="Calibri"/>
                <w:color w:val="000000"/>
                <w:szCs w:val="16"/>
              </w:rPr>
              <w:t>0.13</w:t>
            </w:r>
          </w:p>
        </w:tc>
      </w:tr>
    </w:tbl>
    <w:p w14:paraId="6F161408" w14:textId="77777777" w:rsidR="00F849A7" w:rsidRPr="00D9348B" w:rsidRDefault="00F849A7" w:rsidP="00F849A7">
      <w:pPr>
        <w:pStyle w:val="Heading3"/>
        <w:rPr>
          <w:rFonts w:cs="Calibri"/>
        </w:rPr>
      </w:pPr>
      <w:bookmarkStart w:id="779" w:name="_Toc139253928"/>
      <w:bookmarkStart w:id="780" w:name="_Toc32570662"/>
      <w:r w:rsidRPr="00D9348B">
        <w:rPr>
          <w:rFonts w:cs="Calibri"/>
        </w:rPr>
        <w:t>5.3.5</w:t>
      </w:r>
      <w:r w:rsidRPr="00D9348B">
        <w:rPr>
          <w:rFonts w:cs="Calibri"/>
        </w:rPr>
        <w:tab/>
        <w:t>Source-specific recalculations</w:t>
      </w:r>
      <w:bookmarkEnd w:id="779"/>
      <w:bookmarkEnd w:id="780"/>
    </w:p>
    <w:p w14:paraId="3D0B56E4" w14:textId="77777777" w:rsidR="00F849A7" w:rsidRPr="00D9348B" w:rsidRDefault="00F849A7" w:rsidP="00F849A7">
      <w:pPr>
        <w:pStyle w:val="BodyText"/>
        <w:spacing w:after="100"/>
        <w:rPr>
          <w:rFonts w:cs="Calibri"/>
        </w:rPr>
      </w:pPr>
      <w:bookmarkStart w:id="781" w:name="_Toc134847206"/>
      <w:bookmarkStart w:id="782" w:name="_Toc69611741"/>
      <w:bookmarkStart w:id="783" w:name="_Toc69612697"/>
      <w:bookmarkStart w:id="784" w:name="_Toc69612896"/>
      <w:bookmarkStart w:id="785" w:name="_Toc69613156"/>
      <w:bookmarkStart w:id="786" w:name="_Toc69633320"/>
      <w:bookmarkStart w:id="787" w:name="_Toc69717485"/>
      <w:bookmarkStart w:id="788" w:name="_Toc69802967"/>
      <w:bookmarkStart w:id="789" w:name="_Toc69815104"/>
      <w:bookmarkStart w:id="790" w:name="_Toc70492397"/>
      <w:bookmarkStart w:id="791" w:name="_Toc101310604"/>
      <w:bookmarkStart w:id="792" w:name="_Toc101318464"/>
      <w:bookmarkStart w:id="793" w:name="_Toc101318569"/>
      <w:bookmarkStart w:id="794" w:name="_Toc101318753"/>
      <w:bookmarkStart w:id="795" w:name="_Toc101334029"/>
      <w:r w:rsidRPr="00D9348B">
        <w:rPr>
          <w:rFonts w:cs="Calibri"/>
        </w:rPr>
        <w:t xml:space="preserve">The following methodological improvement has implications for emissions estimates in the </w:t>
      </w:r>
      <w:r w:rsidRPr="00D9348B">
        <w:rPr>
          <w:rFonts w:cs="Calibri"/>
          <w:i/>
          <w:iCs/>
        </w:rPr>
        <w:t>Manure management</w:t>
      </w:r>
      <w:r w:rsidRPr="00D9348B">
        <w:rPr>
          <w:rFonts w:cs="Calibri"/>
        </w:rPr>
        <w:t xml:space="preserve"> category.</w:t>
      </w:r>
    </w:p>
    <w:p w14:paraId="77113687" w14:textId="77777777" w:rsidR="00F849A7" w:rsidRPr="00D9348B" w:rsidRDefault="00F849A7" w:rsidP="00771A8F">
      <w:pPr>
        <w:pStyle w:val="Bullet"/>
        <w:numPr>
          <w:ilvl w:val="0"/>
          <w:numId w:val="20"/>
        </w:numPr>
        <w:rPr>
          <w:rFonts w:cs="Calibri"/>
        </w:rPr>
      </w:pPr>
      <w:r w:rsidRPr="00D9348B">
        <w:rPr>
          <w:rFonts w:cs="Calibri"/>
        </w:rPr>
        <w:t>Minor improvements were made to the equations used to estimate energy efficiency for maintenance (k</w:t>
      </w:r>
      <w:r w:rsidRPr="00D9348B">
        <w:rPr>
          <w:rFonts w:cs="Calibri"/>
          <w:vertAlign w:val="subscript"/>
        </w:rPr>
        <w:t>m</w:t>
      </w:r>
      <w:r w:rsidRPr="00D9348B">
        <w:rPr>
          <w:rFonts w:cs="Calibri"/>
        </w:rPr>
        <w:t xml:space="preserve">) for beef cattle, sheep and deer, which is used to help calculate energy requirements, intake, and, subsequently, has an effect on manure management emissions from cattle, sheep and deer. This change had a small effect on estimated emissions and included the specification of a constant to more significant figures and reverting to the IPCC default value for the gross energy content of feed of 18.45 MJ/kg dry matter (IPCC, 2006). </w:t>
      </w:r>
    </w:p>
    <w:p w14:paraId="6A65C0BE" w14:textId="77777777" w:rsidR="00F849A7" w:rsidRPr="00D9348B" w:rsidRDefault="00F849A7" w:rsidP="00F849A7">
      <w:pPr>
        <w:pStyle w:val="BodyText"/>
        <w:rPr>
          <w:rFonts w:cs="Calibri"/>
        </w:rPr>
      </w:pPr>
      <w:r w:rsidRPr="00D9348B">
        <w:rPr>
          <w:rFonts w:cs="Calibri"/>
        </w:rPr>
        <w:t xml:space="preserve">Emissions estimates have also been updated using the latest available activity data from the sources described in section 5.1.4. Provisional data entered for the reporting year 2018 have been replaced with final data. </w:t>
      </w:r>
    </w:p>
    <w:p w14:paraId="5CA021D9" w14:textId="77777777" w:rsidR="00F849A7" w:rsidRPr="00D9348B" w:rsidRDefault="00F849A7" w:rsidP="00F849A7">
      <w:pPr>
        <w:pStyle w:val="Heading5"/>
        <w:rPr>
          <w:rFonts w:cs="Calibri"/>
        </w:rPr>
      </w:pPr>
      <w:r w:rsidRPr="00D9348B">
        <w:rPr>
          <w:rFonts w:cs="Calibri"/>
        </w:rPr>
        <w:t>Minor improvements to the equations used to estimate energy efficiency for maintenance (k</w:t>
      </w:r>
      <w:r w:rsidRPr="00D9348B">
        <w:rPr>
          <w:rFonts w:cs="Calibri"/>
          <w:vertAlign w:val="subscript"/>
        </w:rPr>
        <w:t>m</w:t>
      </w:r>
      <w:r w:rsidRPr="00D9348B">
        <w:rPr>
          <w:rFonts w:cs="Calibri"/>
        </w:rPr>
        <w:t>)</w:t>
      </w:r>
    </w:p>
    <w:p w14:paraId="063F6018" w14:textId="77777777" w:rsidR="00F849A7" w:rsidRPr="00D9348B" w:rsidRDefault="00F849A7" w:rsidP="00F849A7">
      <w:pPr>
        <w:pStyle w:val="BodyText"/>
        <w:rPr>
          <w:rFonts w:cs="Calibri"/>
        </w:rPr>
      </w:pPr>
      <w:r w:rsidRPr="00D9348B">
        <w:rPr>
          <w:rFonts w:cs="Calibri"/>
        </w:rPr>
        <w:t>The variable k</w:t>
      </w:r>
      <w:r w:rsidRPr="00D9348B">
        <w:rPr>
          <w:rFonts w:cs="Calibri"/>
          <w:vertAlign w:val="subscript"/>
        </w:rPr>
        <w:t>m</w:t>
      </w:r>
      <w:r w:rsidRPr="00D9348B">
        <w:rPr>
          <w:rFonts w:cs="Calibri"/>
        </w:rPr>
        <w:t xml:space="preserve"> estimates the efficiency of energy used for maintenance activities for cattle, sheep and deer, which is used to help calculate energy requirements, intake and nitrogen excretion. For the 2020 submission, minor improvements were made to this equation for beef cattle, sheep and deer (not dairy cattle), so that it is consistent with the CSIRO (1990) and 2006 IPCC Guidelines. More details on this change are in section 10.1.3 (chapter 10).</w:t>
      </w:r>
    </w:p>
    <w:p w14:paraId="48563F87" w14:textId="77777777" w:rsidR="00F849A7" w:rsidRPr="00D9348B" w:rsidRDefault="00F849A7" w:rsidP="00F849A7">
      <w:pPr>
        <w:pStyle w:val="BodyText"/>
        <w:rPr>
          <w:rFonts w:cs="Calibri"/>
        </w:rPr>
      </w:pPr>
      <w:r w:rsidRPr="00D9348B">
        <w:rPr>
          <w:rFonts w:cs="Calibri"/>
        </w:rPr>
        <w:t xml:space="preserve">This change had a small effect on estimated emissions from </w:t>
      </w:r>
      <w:r w:rsidRPr="00D9348B">
        <w:rPr>
          <w:rFonts w:cs="Calibri"/>
          <w:i/>
          <w:iCs/>
        </w:rPr>
        <w:t>Manure management</w:t>
      </w:r>
      <w:r w:rsidRPr="00D9348B">
        <w:rPr>
          <w:rFonts w:cs="Calibri"/>
        </w:rPr>
        <w:t>, as shown in table 5.3.7.</w:t>
      </w:r>
    </w:p>
    <w:p w14:paraId="2FCFEA79" w14:textId="77777777" w:rsidR="00F849A7" w:rsidRPr="00D9348B" w:rsidRDefault="00F849A7" w:rsidP="00F849A7">
      <w:pPr>
        <w:pStyle w:val="Table"/>
        <w:rPr>
          <w:rFonts w:cs="Calibri"/>
        </w:rPr>
      </w:pPr>
      <w:bookmarkStart w:id="796" w:name="_Toc32570926"/>
      <w:bookmarkStart w:id="797" w:name="_Toc36224561"/>
      <w:r w:rsidRPr="00D9348B">
        <w:rPr>
          <w:rFonts w:cs="Calibri"/>
        </w:rPr>
        <w:lastRenderedPageBreak/>
        <w:t>Table 5.3.7</w:t>
      </w:r>
      <w:r w:rsidRPr="00D9348B">
        <w:rPr>
          <w:rFonts w:cs="Calibri"/>
        </w:rPr>
        <w:tab/>
        <w:t>Comparison of current and previous emissions estimates before and after</w:t>
      </w:r>
      <w:r w:rsidRPr="00D9348B">
        <w:rPr>
          <w:rFonts w:cs="Calibri"/>
        </w:rPr>
        <w:br/>
        <w:t>changes to the energy efficiency for maintenance (k</w:t>
      </w:r>
      <w:r w:rsidRPr="00D9348B">
        <w:rPr>
          <w:rFonts w:cs="Calibri"/>
          <w:vertAlign w:val="subscript"/>
        </w:rPr>
        <w:t>m</w:t>
      </w:r>
      <w:r w:rsidRPr="00D9348B">
        <w:rPr>
          <w:rFonts w:cs="Calibri"/>
        </w:rPr>
        <w:t>) equation</w:t>
      </w:r>
      <w:bookmarkEnd w:id="796"/>
      <w:bookmarkEnd w:id="797"/>
    </w:p>
    <w:tbl>
      <w:tblPr>
        <w:tblW w:w="8562" w:type="dxa"/>
        <w:tblInd w:w="108" w:type="dxa"/>
        <w:tblBorders>
          <w:top w:val="single" w:sz="4" w:space="0" w:color="365F91"/>
          <w:bottom w:val="single" w:sz="4" w:space="0" w:color="365F91"/>
          <w:insideH w:val="single" w:sz="4" w:space="0" w:color="365F91"/>
        </w:tblBorders>
        <w:tblLayout w:type="fixed"/>
        <w:tblLook w:val="0000" w:firstRow="0" w:lastRow="0" w:firstColumn="0" w:lastColumn="0" w:noHBand="0" w:noVBand="0"/>
      </w:tblPr>
      <w:tblGrid>
        <w:gridCol w:w="1430"/>
        <w:gridCol w:w="2402"/>
        <w:gridCol w:w="795"/>
        <w:gridCol w:w="795"/>
        <w:gridCol w:w="1570"/>
        <w:gridCol w:w="1570"/>
      </w:tblGrid>
      <w:tr w:rsidR="00F849A7" w:rsidRPr="00D9348B" w14:paraId="1A8857B6" w14:textId="77777777" w:rsidTr="00A37D9B">
        <w:trPr>
          <w:trHeight w:val="608"/>
          <w:tblHeader/>
        </w:trPr>
        <w:tc>
          <w:tcPr>
            <w:tcW w:w="1428" w:type="dxa"/>
            <w:shd w:val="clear" w:color="auto" w:fill="365F91"/>
            <w:vAlign w:val="bottom"/>
          </w:tcPr>
          <w:p w14:paraId="5662E1EC" w14:textId="77777777" w:rsidR="00F849A7" w:rsidRPr="00D9348B" w:rsidRDefault="00F849A7" w:rsidP="00DB330E">
            <w:pPr>
              <w:pStyle w:val="TableTextBold"/>
              <w:keepNext/>
              <w:rPr>
                <w:rFonts w:cs="Calibri"/>
                <w:noProof w:val="0"/>
                <w:color w:val="FFFFFF"/>
              </w:rPr>
            </w:pPr>
            <w:r w:rsidRPr="00D9348B">
              <w:rPr>
                <w:rFonts w:cs="Calibri"/>
                <w:noProof w:val="0"/>
                <w:color w:val="FFFFFF"/>
              </w:rPr>
              <w:t xml:space="preserve">Emissions </w:t>
            </w:r>
            <w:r w:rsidRPr="00D9348B">
              <w:rPr>
                <w:rFonts w:cs="Calibri"/>
                <w:noProof w:val="0"/>
                <w:color w:val="FFFFFF"/>
                <w:szCs w:val="16"/>
              </w:rPr>
              <w:br/>
            </w:r>
            <w:r w:rsidRPr="00D9348B">
              <w:rPr>
                <w:rFonts w:cs="Calibri"/>
                <w:noProof w:val="0"/>
                <w:color w:val="FFFFFF"/>
              </w:rPr>
              <w:t>(kt CO</w:t>
            </w:r>
            <w:r w:rsidRPr="00D9348B">
              <w:rPr>
                <w:rFonts w:cs="Calibri"/>
                <w:noProof w:val="0"/>
                <w:color w:val="FFFFFF"/>
                <w:vertAlign w:val="subscript"/>
              </w:rPr>
              <w:t>2</w:t>
            </w:r>
            <w:r w:rsidRPr="00D9348B">
              <w:rPr>
                <w:rFonts w:cs="Calibri"/>
                <w:noProof w:val="0"/>
                <w:color w:val="FFFFFF"/>
              </w:rPr>
              <w:t>-e)</w:t>
            </w:r>
          </w:p>
        </w:tc>
        <w:tc>
          <w:tcPr>
            <w:tcW w:w="2400" w:type="dxa"/>
            <w:shd w:val="clear" w:color="auto" w:fill="365F91"/>
            <w:vAlign w:val="bottom"/>
          </w:tcPr>
          <w:p w14:paraId="2A81FCE4" w14:textId="77777777" w:rsidR="00F849A7" w:rsidRPr="00D9348B" w:rsidRDefault="00F849A7" w:rsidP="00DB330E">
            <w:pPr>
              <w:pStyle w:val="TableTextBold"/>
              <w:keepNext/>
              <w:rPr>
                <w:rFonts w:cs="Calibri"/>
                <w:noProof w:val="0"/>
                <w:color w:val="FFFFFF"/>
                <w:szCs w:val="16"/>
              </w:rPr>
            </w:pPr>
          </w:p>
        </w:tc>
        <w:tc>
          <w:tcPr>
            <w:tcW w:w="794" w:type="dxa"/>
            <w:shd w:val="clear" w:color="auto" w:fill="365F91"/>
            <w:vAlign w:val="bottom"/>
          </w:tcPr>
          <w:p w14:paraId="57CF8EB8" w14:textId="77777777" w:rsidR="00F849A7" w:rsidRPr="00D9348B" w:rsidRDefault="00F849A7" w:rsidP="00DB330E">
            <w:pPr>
              <w:pStyle w:val="TableTextBold"/>
              <w:keepNext/>
              <w:jc w:val="center"/>
              <w:rPr>
                <w:rFonts w:cs="Calibri"/>
                <w:noProof w:val="0"/>
                <w:color w:val="FFFFFF"/>
              </w:rPr>
            </w:pPr>
            <w:r w:rsidRPr="00D9348B">
              <w:rPr>
                <w:rFonts w:cs="Calibri"/>
                <w:noProof w:val="0"/>
                <w:color w:val="FFFFFF"/>
              </w:rPr>
              <w:t>1990</w:t>
            </w:r>
          </w:p>
        </w:tc>
        <w:tc>
          <w:tcPr>
            <w:tcW w:w="794" w:type="dxa"/>
            <w:shd w:val="clear" w:color="auto" w:fill="365F91"/>
            <w:vAlign w:val="bottom"/>
          </w:tcPr>
          <w:p w14:paraId="50A30528" w14:textId="77777777" w:rsidR="00F849A7" w:rsidRPr="00D9348B" w:rsidRDefault="00F849A7" w:rsidP="00DB330E">
            <w:pPr>
              <w:pStyle w:val="TableTextBold"/>
              <w:jc w:val="center"/>
              <w:rPr>
                <w:rFonts w:cs="Calibri"/>
                <w:noProof w:val="0"/>
                <w:color w:val="FFFFFF"/>
              </w:rPr>
            </w:pPr>
            <w:r w:rsidRPr="00D9348B">
              <w:rPr>
                <w:rFonts w:cs="Calibri"/>
                <w:noProof w:val="0"/>
                <w:color w:val="FFFFFF"/>
              </w:rPr>
              <w:t>2018</w:t>
            </w:r>
          </w:p>
        </w:tc>
        <w:tc>
          <w:tcPr>
            <w:tcW w:w="1569" w:type="dxa"/>
            <w:shd w:val="clear" w:color="auto" w:fill="365F91"/>
            <w:vAlign w:val="bottom"/>
          </w:tcPr>
          <w:p w14:paraId="1909A0FB" w14:textId="77777777" w:rsidR="00F849A7" w:rsidRPr="00D9348B" w:rsidRDefault="00F849A7" w:rsidP="00DB330E">
            <w:pPr>
              <w:pStyle w:val="TableTextBold"/>
              <w:jc w:val="center"/>
              <w:rPr>
                <w:rFonts w:cs="Calibri"/>
                <w:noProof w:val="0"/>
                <w:color w:val="FFFFFF"/>
              </w:rPr>
            </w:pPr>
            <w:r w:rsidRPr="00D9348B">
              <w:rPr>
                <w:rFonts w:cs="Calibri"/>
                <w:noProof w:val="0"/>
                <w:color w:val="FFFFFF"/>
              </w:rPr>
              <w:t xml:space="preserve">Change in emission outputs between 1990 and 2018 </w:t>
            </w:r>
            <w:r w:rsidRPr="00D9348B">
              <w:rPr>
                <w:rFonts w:cs="Calibri"/>
                <w:noProof w:val="0"/>
                <w:color w:val="FFFFFF"/>
                <w:szCs w:val="16"/>
              </w:rPr>
              <w:br/>
            </w:r>
            <w:r w:rsidRPr="00D9348B">
              <w:rPr>
                <w:rFonts w:cs="Calibri"/>
                <w:noProof w:val="0"/>
                <w:color w:val="FFFFFF"/>
              </w:rPr>
              <w:t>(kt CO</w:t>
            </w:r>
            <w:r w:rsidRPr="00D9348B">
              <w:rPr>
                <w:rFonts w:cs="Calibri"/>
                <w:noProof w:val="0"/>
                <w:color w:val="FFFFFF"/>
                <w:vertAlign w:val="subscript"/>
              </w:rPr>
              <w:t>2</w:t>
            </w:r>
            <w:r w:rsidRPr="00D9348B">
              <w:rPr>
                <w:rFonts w:cs="Calibri"/>
                <w:noProof w:val="0"/>
                <w:color w:val="FFFFFF"/>
              </w:rPr>
              <w:t xml:space="preserve">-e) </w:t>
            </w:r>
          </w:p>
        </w:tc>
        <w:tc>
          <w:tcPr>
            <w:tcW w:w="1569" w:type="dxa"/>
            <w:shd w:val="clear" w:color="auto" w:fill="365F91"/>
            <w:vAlign w:val="bottom"/>
          </w:tcPr>
          <w:p w14:paraId="217181AC" w14:textId="61A88433" w:rsidR="00F849A7" w:rsidRPr="00D9348B" w:rsidRDefault="00F849A7" w:rsidP="00DB330E">
            <w:pPr>
              <w:pStyle w:val="TableTextBold"/>
              <w:jc w:val="center"/>
              <w:rPr>
                <w:rFonts w:cs="Calibri"/>
                <w:noProof w:val="0"/>
                <w:color w:val="FFFFFF"/>
              </w:rPr>
            </w:pPr>
            <w:r w:rsidRPr="00D9348B">
              <w:rPr>
                <w:rFonts w:cs="Calibri"/>
                <w:noProof w:val="0"/>
                <w:color w:val="FFFFFF"/>
              </w:rPr>
              <w:t xml:space="preserve">Percentage change in emission outputs between </w:t>
            </w:r>
            <w:r w:rsidR="001D366E" w:rsidRPr="00D9348B">
              <w:rPr>
                <w:rFonts w:cs="Calibri"/>
                <w:noProof w:val="0"/>
                <w:color w:val="FFFFFF"/>
              </w:rPr>
              <w:br/>
            </w:r>
            <w:r w:rsidRPr="00D9348B">
              <w:rPr>
                <w:rFonts w:cs="Calibri"/>
                <w:noProof w:val="0"/>
                <w:color w:val="FFFFFF"/>
              </w:rPr>
              <w:t>1990 and 2018</w:t>
            </w:r>
          </w:p>
        </w:tc>
      </w:tr>
      <w:tr w:rsidR="00F849A7" w:rsidRPr="00D9348B" w14:paraId="7032D22F" w14:textId="77777777" w:rsidTr="00A37D9B">
        <w:trPr>
          <w:trHeight w:val="454"/>
        </w:trPr>
        <w:tc>
          <w:tcPr>
            <w:tcW w:w="1428" w:type="dxa"/>
            <w:vMerge w:val="restart"/>
            <w:vAlign w:val="center"/>
          </w:tcPr>
          <w:p w14:paraId="7B99ABBE" w14:textId="77777777" w:rsidR="00F849A7" w:rsidRPr="00D9348B" w:rsidRDefault="00F849A7" w:rsidP="00DB330E">
            <w:pPr>
              <w:pStyle w:val="TableText"/>
              <w:keepNext/>
              <w:rPr>
                <w:rFonts w:cs="Calibri"/>
              </w:rPr>
            </w:pPr>
            <w:r w:rsidRPr="00D9348B">
              <w:rPr>
                <w:rFonts w:cs="Calibri"/>
              </w:rPr>
              <w:t>Total emissions from Manure management (kt CO</w:t>
            </w:r>
            <w:r w:rsidRPr="00D9348B">
              <w:rPr>
                <w:rFonts w:cs="Calibri"/>
                <w:vertAlign w:val="subscript"/>
              </w:rPr>
              <w:t>2</w:t>
            </w:r>
            <w:r w:rsidRPr="00D9348B">
              <w:rPr>
                <w:rFonts w:cs="Calibri"/>
              </w:rPr>
              <w:t>-e)</w:t>
            </w:r>
          </w:p>
        </w:tc>
        <w:tc>
          <w:tcPr>
            <w:tcW w:w="2400" w:type="dxa"/>
          </w:tcPr>
          <w:p w14:paraId="515E94EE" w14:textId="77777777" w:rsidR="00F849A7" w:rsidRPr="00D9348B" w:rsidRDefault="00F849A7" w:rsidP="00DB330E">
            <w:pPr>
              <w:pStyle w:val="TableText"/>
              <w:keepNext/>
              <w:rPr>
                <w:rFonts w:cs="Calibri"/>
              </w:rPr>
            </w:pPr>
            <w:r w:rsidRPr="00D9348B">
              <w:rPr>
                <w:rFonts w:cs="Calibri"/>
              </w:rPr>
              <w:t xml:space="preserve">2020 (1990–2018) emissions estimate </w:t>
            </w:r>
            <w:r w:rsidRPr="00D9348B">
              <w:rPr>
                <w:rFonts w:cs="Calibri"/>
                <w:i/>
                <w:iCs/>
              </w:rPr>
              <w:t xml:space="preserve">using previous </w:t>
            </w:r>
            <w:r w:rsidRPr="00D9348B">
              <w:rPr>
                <w:rFonts w:cs="Calibri"/>
              </w:rPr>
              <w:t>k</w:t>
            </w:r>
            <w:r w:rsidRPr="00D9348B">
              <w:rPr>
                <w:rFonts w:cs="Calibri"/>
                <w:vertAlign w:val="subscript"/>
              </w:rPr>
              <w:t>m</w:t>
            </w:r>
            <w:r w:rsidRPr="00D9348B">
              <w:rPr>
                <w:rFonts w:cs="Calibri"/>
              </w:rPr>
              <w:t xml:space="preserve"> equation specification </w:t>
            </w:r>
          </w:p>
        </w:tc>
        <w:tc>
          <w:tcPr>
            <w:tcW w:w="794" w:type="dxa"/>
            <w:vAlign w:val="center"/>
          </w:tcPr>
          <w:p w14:paraId="34844082" w14:textId="77777777" w:rsidR="00F849A7" w:rsidRPr="00D9348B" w:rsidRDefault="00F849A7" w:rsidP="00DB330E">
            <w:pPr>
              <w:pStyle w:val="TableText"/>
              <w:keepNext/>
              <w:jc w:val="center"/>
              <w:rPr>
                <w:rFonts w:cs="Calibri"/>
              </w:rPr>
            </w:pPr>
            <w:r w:rsidRPr="00D9348B">
              <w:rPr>
                <w:rFonts w:cs="Calibri"/>
                <w:color w:val="000000"/>
                <w:szCs w:val="16"/>
              </w:rPr>
              <w:t>722.6</w:t>
            </w:r>
          </w:p>
        </w:tc>
        <w:tc>
          <w:tcPr>
            <w:tcW w:w="794" w:type="dxa"/>
            <w:vAlign w:val="center"/>
          </w:tcPr>
          <w:p w14:paraId="50AB9118" w14:textId="77777777" w:rsidR="00F849A7" w:rsidRPr="00D9348B" w:rsidRDefault="00F849A7" w:rsidP="00DB330E">
            <w:pPr>
              <w:pStyle w:val="TableText"/>
              <w:jc w:val="center"/>
              <w:rPr>
                <w:rFonts w:cs="Calibri"/>
              </w:rPr>
            </w:pPr>
            <w:r w:rsidRPr="00D9348B">
              <w:rPr>
                <w:rFonts w:cs="Calibri"/>
                <w:color w:val="000000"/>
                <w:szCs w:val="16"/>
              </w:rPr>
              <w:t>1,608.8</w:t>
            </w:r>
          </w:p>
        </w:tc>
        <w:tc>
          <w:tcPr>
            <w:tcW w:w="1569" w:type="dxa"/>
            <w:vAlign w:val="center"/>
          </w:tcPr>
          <w:p w14:paraId="60EA25B3" w14:textId="77777777" w:rsidR="00F849A7" w:rsidRPr="00D9348B" w:rsidRDefault="00F849A7" w:rsidP="00DB330E">
            <w:pPr>
              <w:pStyle w:val="TableText"/>
              <w:jc w:val="center"/>
              <w:rPr>
                <w:rFonts w:cs="Calibri"/>
              </w:rPr>
            </w:pPr>
            <w:r w:rsidRPr="00D9348B">
              <w:rPr>
                <w:rFonts w:cs="Calibri"/>
                <w:color w:val="000000"/>
                <w:szCs w:val="16"/>
              </w:rPr>
              <w:t>886.1</w:t>
            </w:r>
          </w:p>
        </w:tc>
        <w:tc>
          <w:tcPr>
            <w:tcW w:w="1569" w:type="dxa"/>
            <w:vAlign w:val="center"/>
          </w:tcPr>
          <w:p w14:paraId="11B53805" w14:textId="77777777" w:rsidR="00F849A7" w:rsidRPr="00D9348B" w:rsidRDefault="00F849A7" w:rsidP="00DB330E">
            <w:pPr>
              <w:pStyle w:val="TableText"/>
              <w:jc w:val="center"/>
              <w:rPr>
                <w:rFonts w:cs="Calibri"/>
              </w:rPr>
            </w:pPr>
            <w:r w:rsidRPr="00D9348B">
              <w:rPr>
                <w:rFonts w:cs="Calibri"/>
                <w:color w:val="000000"/>
                <w:szCs w:val="16"/>
              </w:rPr>
              <w:t>122.6</w:t>
            </w:r>
          </w:p>
        </w:tc>
      </w:tr>
      <w:tr w:rsidR="00F849A7" w:rsidRPr="00D9348B" w14:paraId="5C0EF40E" w14:textId="77777777" w:rsidTr="00A37D9B">
        <w:trPr>
          <w:trHeight w:val="454"/>
        </w:trPr>
        <w:tc>
          <w:tcPr>
            <w:tcW w:w="1428" w:type="dxa"/>
            <w:vMerge/>
          </w:tcPr>
          <w:p w14:paraId="68B64205" w14:textId="77777777" w:rsidR="00F849A7" w:rsidRPr="00D9348B" w:rsidRDefault="00F849A7" w:rsidP="00DB330E">
            <w:pPr>
              <w:pStyle w:val="TableText"/>
              <w:keepNext/>
              <w:rPr>
                <w:rFonts w:cs="Calibri"/>
              </w:rPr>
            </w:pPr>
          </w:p>
        </w:tc>
        <w:tc>
          <w:tcPr>
            <w:tcW w:w="2400" w:type="dxa"/>
          </w:tcPr>
          <w:p w14:paraId="330F97DA" w14:textId="77777777" w:rsidR="00F849A7" w:rsidRPr="00D9348B" w:rsidRDefault="00F849A7" w:rsidP="00DB330E">
            <w:pPr>
              <w:pStyle w:val="TableText"/>
              <w:keepNext/>
              <w:rPr>
                <w:rFonts w:cs="Calibri"/>
              </w:rPr>
            </w:pPr>
            <w:r w:rsidRPr="00D9348B">
              <w:rPr>
                <w:rFonts w:cs="Calibri"/>
              </w:rPr>
              <w:t xml:space="preserve">2020 (1990–2018) emissions estimate </w:t>
            </w:r>
            <w:r w:rsidRPr="00D9348B">
              <w:rPr>
                <w:rFonts w:cs="Calibri"/>
                <w:i/>
                <w:iCs/>
              </w:rPr>
              <w:t>using new</w:t>
            </w:r>
            <w:r w:rsidRPr="00D9348B">
              <w:rPr>
                <w:rFonts w:cs="Calibri"/>
              </w:rPr>
              <w:t xml:space="preserve"> k</w:t>
            </w:r>
            <w:r w:rsidRPr="00D9348B">
              <w:rPr>
                <w:rFonts w:cs="Calibri"/>
                <w:vertAlign w:val="subscript"/>
              </w:rPr>
              <w:t>m</w:t>
            </w:r>
            <w:r w:rsidRPr="00D9348B">
              <w:rPr>
                <w:rFonts w:cs="Calibri"/>
              </w:rPr>
              <w:t xml:space="preserve"> equation specification</w:t>
            </w:r>
          </w:p>
        </w:tc>
        <w:tc>
          <w:tcPr>
            <w:tcW w:w="794" w:type="dxa"/>
            <w:vAlign w:val="center"/>
          </w:tcPr>
          <w:p w14:paraId="78415E75" w14:textId="77777777" w:rsidR="00F849A7" w:rsidRPr="00D9348B" w:rsidRDefault="00F849A7" w:rsidP="00DB330E">
            <w:pPr>
              <w:pStyle w:val="TableText"/>
              <w:keepNext/>
              <w:jc w:val="center"/>
              <w:rPr>
                <w:rFonts w:cs="Calibri"/>
              </w:rPr>
            </w:pPr>
            <w:r w:rsidRPr="00D9348B">
              <w:rPr>
                <w:rFonts w:cs="Calibri"/>
                <w:color w:val="000000"/>
                <w:szCs w:val="16"/>
              </w:rPr>
              <w:t>722.6</w:t>
            </w:r>
          </w:p>
        </w:tc>
        <w:tc>
          <w:tcPr>
            <w:tcW w:w="794" w:type="dxa"/>
            <w:vAlign w:val="center"/>
          </w:tcPr>
          <w:p w14:paraId="7ED1ADA7" w14:textId="77777777" w:rsidR="00F849A7" w:rsidRPr="00D9348B" w:rsidRDefault="00F849A7" w:rsidP="00DB330E">
            <w:pPr>
              <w:pStyle w:val="TableText"/>
              <w:jc w:val="center"/>
              <w:rPr>
                <w:rFonts w:cs="Calibri"/>
              </w:rPr>
            </w:pPr>
            <w:r w:rsidRPr="00D9348B">
              <w:rPr>
                <w:rFonts w:cs="Calibri"/>
                <w:color w:val="000000"/>
                <w:szCs w:val="16"/>
              </w:rPr>
              <w:t>1,609.7</w:t>
            </w:r>
          </w:p>
        </w:tc>
        <w:tc>
          <w:tcPr>
            <w:tcW w:w="1569" w:type="dxa"/>
            <w:vAlign w:val="center"/>
          </w:tcPr>
          <w:p w14:paraId="4CFFE950" w14:textId="77777777" w:rsidR="00F849A7" w:rsidRPr="00D9348B" w:rsidRDefault="00F849A7" w:rsidP="00DB330E">
            <w:pPr>
              <w:pStyle w:val="TableText"/>
              <w:jc w:val="center"/>
              <w:rPr>
                <w:rFonts w:cs="Calibri"/>
              </w:rPr>
            </w:pPr>
            <w:r w:rsidRPr="00D9348B">
              <w:rPr>
                <w:rFonts w:cs="Calibri"/>
                <w:color w:val="000000"/>
                <w:szCs w:val="16"/>
              </w:rPr>
              <w:t>887.0</w:t>
            </w:r>
          </w:p>
        </w:tc>
        <w:tc>
          <w:tcPr>
            <w:tcW w:w="1569" w:type="dxa"/>
            <w:vAlign w:val="center"/>
          </w:tcPr>
          <w:p w14:paraId="10A66F77" w14:textId="77777777" w:rsidR="00F849A7" w:rsidRPr="00D9348B" w:rsidRDefault="00F849A7" w:rsidP="00DB330E">
            <w:pPr>
              <w:pStyle w:val="TableText"/>
              <w:jc w:val="center"/>
              <w:rPr>
                <w:rFonts w:cs="Calibri"/>
              </w:rPr>
            </w:pPr>
            <w:r w:rsidRPr="00D9348B">
              <w:rPr>
                <w:rFonts w:cs="Calibri"/>
                <w:color w:val="000000"/>
                <w:szCs w:val="16"/>
              </w:rPr>
              <w:t>122.7</w:t>
            </w:r>
          </w:p>
        </w:tc>
      </w:tr>
      <w:tr w:rsidR="00F849A7" w:rsidRPr="00D9348B" w14:paraId="21865D4E" w14:textId="77777777" w:rsidTr="00A37D9B">
        <w:trPr>
          <w:trHeight w:val="454"/>
        </w:trPr>
        <w:tc>
          <w:tcPr>
            <w:tcW w:w="1428" w:type="dxa"/>
            <w:vMerge/>
          </w:tcPr>
          <w:p w14:paraId="44B5B665" w14:textId="77777777" w:rsidR="00F849A7" w:rsidRPr="00D9348B" w:rsidRDefault="00F849A7" w:rsidP="00DB330E">
            <w:pPr>
              <w:pStyle w:val="TableText"/>
              <w:keepNext/>
              <w:rPr>
                <w:rFonts w:cs="Calibri"/>
              </w:rPr>
            </w:pPr>
          </w:p>
        </w:tc>
        <w:tc>
          <w:tcPr>
            <w:tcW w:w="2400" w:type="dxa"/>
          </w:tcPr>
          <w:p w14:paraId="0A231D75" w14:textId="77777777" w:rsidR="00F849A7" w:rsidRPr="00D9348B" w:rsidRDefault="00F849A7" w:rsidP="00DB330E">
            <w:pPr>
              <w:pStyle w:val="TableText"/>
              <w:keepNext/>
              <w:rPr>
                <w:rFonts w:cs="Calibri"/>
              </w:rPr>
            </w:pPr>
            <w:r w:rsidRPr="00D9348B">
              <w:rPr>
                <w:rFonts w:cs="Calibri"/>
              </w:rPr>
              <w:t>Difference in emission estimates compared with current inventory</w:t>
            </w:r>
          </w:p>
        </w:tc>
        <w:tc>
          <w:tcPr>
            <w:tcW w:w="794" w:type="dxa"/>
            <w:vAlign w:val="center"/>
          </w:tcPr>
          <w:p w14:paraId="002DC00A" w14:textId="77777777" w:rsidR="00F849A7" w:rsidRPr="00D9348B" w:rsidRDefault="00F849A7" w:rsidP="00DB330E">
            <w:pPr>
              <w:pStyle w:val="TableText"/>
              <w:keepNext/>
              <w:jc w:val="center"/>
              <w:rPr>
                <w:rFonts w:cs="Calibri"/>
              </w:rPr>
            </w:pPr>
            <w:r w:rsidRPr="00D9348B">
              <w:rPr>
                <w:rFonts w:cs="Calibri"/>
                <w:color w:val="000000"/>
                <w:szCs w:val="16"/>
              </w:rPr>
              <w:t>0.0</w:t>
            </w:r>
          </w:p>
        </w:tc>
        <w:tc>
          <w:tcPr>
            <w:tcW w:w="794" w:type="dxa"/>
            <w:vAlign w:val="center"/>
          </w:tcPr>
          <w:p w14:paraId="762CEB63" w14:textId="77777777" w:rsidR="00F849A7" w:rsidRPr="00D9348B" w:rsidRDefault="00F849A7" w:rsidP="00DB330E">
            <w:pPr>
              <w:pStyle w:val="TableText"/>
              <w:jc w:val="center"/>
              <w:rPr>
                <w:rFonts w:cs="Calibri"/>
              </w:rPr>
            </w:pPr>
            <w:r w:rsidRPr="00D9348B">
              <w:rPr>
                <w:rFonts w:cs="Calibri"/>
                <w:color w:val="000000"/>
                <w:szCs w:val="16"/>
              </w:rPr>
              <w:t>0.9</w:t>
            </w:r>
          </w:p>
        </w:tc>
        <w:tc>
          <w:tcPr>
            <w:tcW w:w="1569" w:type="dxa"/>
            <w:vAlign w:val="center"/>
          </w:tcPr>
          <w:p w14:paraId="344F382B" w14:textId="77777777" w:rsidR="00F849A7" w:rsidRPr="00D9348B" w:rsidRDefault="00F849A7" w:rsidP="00DB330E">
            <w:pPr>
              <w:pStyle w:val="TableText"/>
              <w:jc w:val="center"/>
              <w:rPr>
                <w:rFonts w:cs="Calibri"/>
              </w:rPr>
            </w:pPr>
            <w:r w:rsidRPr="00D9348B">
              <w:rPr>
                <w:rFonts w:cs="Calibri"/>
                <w:color w:val="000000"/>
                <w:szCs w:val="16"/>
              </w:rPr>
              <w:t>0.9</w:t>
            </w:r>
          </w:p>
        </w:tc>
        <w:tc>
          <w:tcPr>
            <w:tcW w:w="1569" w:type="dxa"/>
            <w:vAlign w:val="center"/>
          </w:tcPr>
          <w:p w14:paraId="5E2A8D94" w14:textId="77777777" w:rsidR="00F849A7" w:rsidRPr="00D9348B" w:rsidRDefault="00F849A7" w:rsidP="00DB330E">
            <w:pPr>
              <w:pStyle w:val="TableText"/>
              <w:jc w:val="center"/>
              <w:rPr>
                <w:rFonts w:cs="Calibri"/>
              </w:rPr>
            </w:pPr>
          </w:p>
        </w:tc>
      </w:tr>
      <w:tr w:rsidR="00F849A7" w:rsidRPr="00D9348B" w14:paraId="782354DE" w14:textId="77777777" w:rsidTr="00A37D9B">
        <w:trPr>
          <w:trHeight w:val="454"/>
        </w:trPr>
        <w:tc>
          <w:tcPr>
            <w:tcW w:w="1428" w:type="dxa"/>
            <w:vMerge/>
          </w:tcPr>
          <w:p w14:paraId="3AB63A73" w14:textId="77777777" w:rsidR="00F849A7" w:rsidRPr="00D9348B" w:rsidRDefault="00F849A7" w:rsidP="00DB330E">
            <w:pPr>
              <w:pStyle w:val="TableText"/>
              <w:keepNext/>
              <w:rPr>
                <w:rFonts w:cs="Calibri"/>
              </w:rPr>
            </w:pPr>
          </w:p>
        </w:tc>
        <w:tc>
          <w:tcPr>
            <w:tcW w:w="2400" w:type="dxa"/>
          </w:tcPr>
          <w:p w14:paraId="7BED21B2" w14:textId="77777777" w:rsidR="00F849A7" w:rsidRPr="00D9348B" w:rsidRDefault="00F849A7" w:rsidP="00DB330E">
            <w:pPr>
              <w:pStyle w:val="TableText"/>
              <w:keepNext/>
              <w:rPr>
                <w:rFonts w:cs="Calibri"/>
              </w:rPr>
            </w:pPr>
            <w:r w:rsidRPr="00D9348B">
              <w:rPr>
                <w:rFonts w:cs="Calibri"/>
              </w:rPr>
              <w:t>Percentage difference in emission estimates</w:t>
            </w:r>
          </w:p>
        </w:tc>
        <w:tc>
          <w:tcPr>
            <w:tcW w:w="794" w:type="dxa"/>
            <w:vAlign w:val="center"/>
          </w:tcPr>
          <w:p w14:paraId="53329449" w14:textId="77777777" w:rsidR="00F849A7" w:rsidRPr="00D9348B" w:rsidRDefault="00F849A7" w:rsidP="00DB330E">
            <w:pPr>
              <w:pStyle w:val="TableText"/>
              <w:keepNext/>
              <w:jc w:val="center"/>
              <w:rPr>
                <w:rFonts w:cs="Calibri"/>
              </w:rPr>
            </w:pPr>
            <w:r w:rsidRPr="00D9348B">
              <w:rPr>
                <w:rFonts w:cs="Calibri"/>
                <w:color w:val="000000"/>
                <w:szCs w:val="16"/>
              </w:rPr>
              <w:t>0.0</w:t>
            </w:r>
          </w:p>
        </w:tc>
        <w:tc>
          <w:tcPr>
            <w:tcW w:w="794" w:type="dxa"/>
            <w:vAlign w:val="center"/>
          </w:tcPr>
          <w:p w14:paraId="566FA0A4" w14:textId="77777777" w:rsidR="00F849A7" w:rsidRPr="00D9348B" w:rsidRDefault="00F849A7" w:rsidP="00DB330E">
            <w:pPr>
              <w:pStyle w:val="TableText"/>
              <w:jc w:val="center"/>
              <w:rPr>
                <w:rFonts w:cs="Calibri"/>
              </w:rPr>
            </w:pPr>
            <w:r w:rsidRPr="00D9348B">
              <w:rPr>
                <w:rFonts w:cs="Calibri"/>
                <w:color w:val="000000"/>
                <w:szCs w:val="16"/>
              </w:rPr>
              <w:t>0.1</w:t>
            </w:r>
          </w:p>
        </w:tc>
        <w:tc>
          <w:tcPr>
            <w:tcW w:w="1569" w:type="dxa"/>
            <w:vAlign w:val="center"/>
          </w:tcPr>
          <w:p w14:paraId="1372918B" w14:textId="77777777" w:rsidR="00F849A7" w:rsidRPr="00D9348B" w:rsidRDefault="00F849A7" w:rsidP="00DB330E">
            <w:pPr>
              <w:pStyle w:val="TableText"/>
              <w:jc w:val="center"/>
              <w:rPr>
                <w:rFonts w:cs="Calibri"/>
              </w:rPr>
            </w:pPr>
          </w:p>
        </w:tc>
        <w:tc>
          <w:tcPr>
            <w:tcW w:w="1569" w:type="dxa"/>
            <w:vAlign w:val="center"/>
          </w:tcPr>
          <w:p w14:paraId="2D462C6E" w14:textId="77777777" w:rsidR="00F849A7" w:rsidRPr="00D9348B" w:rsidRDefault="00F849A7" w:rsidP="00DB330E">
            <w:pPr>
              <w:pStyle w:val="TableText"/>
              <w:jc w:val="center"/>
              <w:rPr>
                <w:rFonts w:cs="Calibri"/>
              </w:rPr>
            </w:pPr>
          </w:p>
        </w:tc>
      </w:tr>
    </w:tbl>
    <w:p w14:paraId="7E7BD1D7" w14:textId="77777777" w:rsidR="00F849A7" w:rsidRPr="00D9348B" w:rsidRDefault="00F849A7" w:rsidP="00F849A7">
      <w:pPr>
        <w:pStyle w:val="Heading3"/>
        <w:rPr>
          <w:rFonts w:cs="Calibri"/>
        </w:rPr>
      </w:pPr>
      <w:bookmarkStart w:id="798" w:name="_Toc32570663"/>
      <w:r w:rsidRPr="00D9348B">
        <w:rPr>
          <w:rFonts w:cs="Calibri"/>
        </w:rPr>
        <w:t>5.3.6</w:t>
      </w:r>
      <w:r w:rsidRPr="00D9348B">
        <w:rPr>
          <w:rFonts w:cs="Calibri"/>
        </w:rPr>
        <w:tab/>
        <w:t>Source-specific planned improvements</w:t>
      </w:r>
      <w:bookmarkEnd w:id="798"/>
      <w:r w:rsidRPr="00D9348B">
        <w:rPr>
          <w:rFonts w:cs="Calibri"/>
        </w:rPr>
        <w:t xml:space="preserve"> </w:t>
      </w:r>
    </w:p>
    <w:bookmarkEnd w:id="781"/>
    <w:p w14:paraId="6F2E156C" w14:textId="77777777" w:rsidR="00F849A7" w:rsidRPr="00D9348B" w:rsidRDefault="00F849A7" w:rsidP="00F849A7">
      <w:pPr>
        <w:pStyle w:val="BodyText"/>
        <w:rPr>
          <w:rFonts w:cs="Calibri"/>
        </w:rPr>
      </w:pPr>
      <w:r w:rsidRPr="00D9348B">
        <w:rPr>
          <w:rFonts w:cs="Calibri"/>
        </w:rPr>
        <w:t xml:space="preserve">The following section covers the planned improvements being undertaken for </w:t>
      </w:r>
      <w:r w:rsidRPr="00D9348B">
        <w:rPr>
          <w:rFonts w:cs="Calibri"/>
          <w:i/>
          <w:iCs/>
        </w:rPr>
        <w:t>Manure management</w:t>
      </w:r>
      <w:r w:rsidRPr="00D9348B">
        <w:rPr>
          <w:rFonts w:cs="Calibri"/>
        </w:rPr>
        <w:t xml:space="preserve">. These findings may be incorporated in future annual inventory submissions. </w:t>
      </w:r>
    </w:p>
    <w:p w14:paraId="55F8B4DD" w14:textId="77777777" w:rsidR="00F849A7" w:rsidRPr="00D9348B" w:rsidRDefault="00F849A7" w:rsidP="00943D70">
      <w:pPr>
        <w:pStyle w:val="Heading5"/>
        <w:spacing w:before="160"/>
        <w:rPr>
          <w:rFonts w:cs="Calibri"/>
        </w:rPr>
      </w:pPr>
      <w:r w:rsidRPr="00D9348B">
        <w:rPr>
          <w:rFonts w:cs="Calibri"/>
        </w:rPr>
        <w:t>Improvement of the manure management inventory</w:t>
      </w:r>
    </w:p>
    <w:p w14:paraId="413F5A07" w14:textId="46F3711E" w:rsidR="00F849A7" w:rsidRPr="00D9348B" w:rsidRDefault="00F849A7" w:rsidP="00F849A7">
      <w:pPr>
        <w:pStyle w:val="BodyText"/>
        <w:rPr>
          <w:rFonts w:cs="Calibri"/>
        </w:rPr>
      </w:pPr>
      <w:r w:rsidRPr="00D9348B">
        <w:rPr>
          <w:rFonts w:cs="Calibri"/>
        </w:rPr>
        <w:t>A research project is currently under way that aims to improve the manure management component of the inventory. This project will undertake new emissions research on different</w:t>
      </w:r>
      <w:r w:rsidR="000B5C5F" w:rsidRPr="00D9348B">
        <w:rPr>
          <w:rFonts w:cs="Calibri"/>
        </w:rPr>
        <w:t> </w:t>
      </w:r>
      <w:r w:rsidRPr="00D9348B">
        <w:rPr>
          <w:rFonts w:cs="Calibri"/>
        </w:rPr>
        <w:t>manure management systems in New Zealand and will recommend changes to the</w:t>
      </w:r>
      <w:r w:rsidR="000B5C5F" w:rsidRPr="00D9348B">
        <w:rPr>
          <w:rFonts w:cs="Calibri"/>
        </w:rPr>
        <w:t> </w:t>
      </w:r>
      <w:r w:rsidRPr="00D9348B">
        <w:rPr>
          <w:rFonts w:cs="Calibri"/>
        </w:rPr>
        <w:t>current methodology.</w:t>
      </w:r>
    </w:p>
    <w:p w14:paraId="366D8CEB" w14:textId="77777777" w:rsidR="00F849A7" w:rsidRPr="00D9348B" w:rsidRDefault="00F849A7" w:rsidP="00F849A7">
      <w:pPr>
        <w:pStyle w:val="Heading2"/>
        <w:rPr>
          <w:rFonts w:cs="Calibri"/>
        </w:rPr>
      </w:pPr>
      <w:bookmarkStart w:id="799" w:name="_Toc134847207"/>
      <w:bookmarkStart w:id="800" w:name="_Toc139253930"/>
      <w:bookmarkStart w:id="801" w:name="_Toc144710415"/>
      <w:bookmarkStart w:id="802" w:name="_Toc165890369"/>
      <w:bookmarkStart w:id="803" w:name="_Toc195322663"/>
      <w:bookmarkStart w:id="804" w:name="_Toc235955529"/>
      <w:bookmarkStart w:id="805" w:name="_Toc288316642"/>
      <w:bookmarkStart w:id="806" w:name="_Toc352504862"/>
      <w:bookmarkStart w:id="807" w:name="_Toc448321525"/>
      <w:bookmarkStart w:id="808" w:name="_Toc481751387"/>
      <w:bookmarkStart w:id="809" w:name="_Toc511116602"/>
      <w:bookmarkStart w:id="810" w:name="_Toc5269364"/>
      <w:bookmarkStart w:id="811" w:name="_Toc32570664"/>
      <w:bookmarkStart w:id="812" w:name="_Toc36224404"/>
      <w:r w:rsidRPr="00D9348B">
        <w:rPr>
          <w:rFonts w:cs="Calibri"/>
        </w:rPr>
        <w:t>5.4</w:t>
      </w:r>
      <w:r w:rsidRPr="00D9348B">
        <w:rPr>
          <w:rFonts w:cs="Calibri"/>
        </w:rPr>
        <w:tab/>
        <w:t>Rice cultivation (CRF 3.C)</w:t>
      </w:r>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p>
    <w:p w14:paraId="23C3ED10" w14:textId="77777777" w:rsidR="00F849A7" w:rsidRPr="00D9348B" w:rsidRDefault="00F849A7" w:rsidP="00943D70">
      <w:pPr>
        <w:pStyle w:val="Heading3"/>
        <w:spacing w:before="160"/>
        <w:rPr>
          <w:rFonts w:cs="Calibri"/>
        </w:rPr>
      </w:pPr>
      <w:bookmarkStart w:id="813" w:name="_Toc139253931"/>
      <w:bookmarkStart w:id="814" w:name="_Toc32570665"/>
      <w:r w:rsidRPr="00D9348B">
        <w:rPr>
          <w:rFonts w:cs="Calibri"/>
        </w:rPr>
        <w:t>5.4.1</w:t>
      </w:r>
      <w:r w:rsidRPr="00D9348B">
        <w:rPr>
          <w:rFonts w:cs="Calibri"/>
        </w:rPr>
        <w:tab/>
        <w:t>Description</w:t>
      </w:r>
      <w:bookmarkEnd w:id="813"/>
      <w:bookmarkEnd w:id="814"/>
    </w:p>
    <w:p w14:paraId="2E6A428D" w14:textId="77777777" w:rsidR="00F849A7" w:rsidRPr="00D9348B" w:rsidRDefault="00F849A7" w:rsidP="00F849A7">
      <w:pPr>
        <w:pStyle w:val="BodyText"/>
        <w:rPr>
          <w:rFonts w:cs="Calibri"/>
        </w:rPr>
      </w:pPr>
      <w:r w:rsidRPr="00D9348B">
        <w:rPr>
          <w:rFonts w:cs="Calibri"/>
        </w:rPr>
        <w:t xml:space="preserve">At present, no commercial rice cultivation is carried out in New Zealand. This has been confirmed with experts from Plant and Food Research, a New Zealand Crown research institute. The ‘NO’ (not occurring) notation is reported in the CRF tables. </w:t>
      </w:r>
    </w:p>
    <w:p w14:paraId="3D87D67E" w14:textId="77777777" w:rsidR="00F849A7" w:rsidRPr="00D9348B" w:rsidRDefault="00F849A7" w:rsidP="00F849A7">
      <w:pPr>
        <w:pStyle w:val="Heading2"/>
        <w:rPr>
          <w:rFonts w:cs="Calibri"/>
        </w:rPr>
      </w:pPr>
      <w:bookmarkStart w:id="815" w:name="_Toc69611742"/>
      <w:bookmarkStart w:id="816" w:name="_Toc69612698"/>
      <w:bookmarkStart w:id="817" w:name="_Toc69612897"/>
      <w:bookmarkStart w:id="818" w:name="_Toc69613157"/>
      <w:bookmarkStart w:id="819" w:name="_Toc69633321"/>
      <w:bookmarkStart w:id="820" w:name="_Toc69717486"/>
      <w:bookmarkStart w:id="821" w:name="_Toc69802968"/>
      <w:bookmarkStart w:id="822" w:name="_Toc69815105"/>
      <w:bookmarkStart w:id="823" w:name="_Toc70492398"/>
      <w:bookmarkStart w:id="824" w:name="_Toc101310605"/>
      <w:bookmarkStart w:id="825" w:name="_Toc101318465"/>
      <w:bookmarkStart w:id="826" w:name="_Toc101318570"/>
      <w:bookmarkStart w:id="827" w:name="_Toc101318754"/>
      <w:bookmarkStart w:id="828" w:name="_Toc101334030"/>
      <w:bookmarkStart w:id="829" w:name="_Toc134847208"/>
      <w:bookmarkStart w:id="830" w:name="_Toc139253932"/>
      <w:bookmarkStart w:id="831" w:name="_Toc144710416"/>
      <w:bookmarkStart w:id="832" w:name="_Toc165890370"/>
      <w:bookmarkStart w:id="833" w:name="_Toc195322664"/>
      <w:bookmarkStart w:id="834" w:name="_Toc235955530"/>
      <w:bookmarkStart w:id="835" w:name="_Toc288316643"/>
      <w:bookmarkStart w:id="836" w:name="_Toc352504863"/>
      <w:bookmarkStart w:id="837" w:name="_Toc448321526"/>
      <w:bookmarkStart w:id="838" w:name="_Toc481751388"/>
      <w:bookmarkStart w:id="839" w:name="_Toc511116603"/>
      <w:bookmarkStart w:id="840" w:name="_Toc5269365"/>
      <w:bookmarkStart w:id="841" w:name="_Toc32570666"/>
      <w:bookmarkStart w:id="842" w:name="_Toc36224405"/>
      <w:r w:rsidRPr="00D9348B">
        <w:rPr>
          <w:rFonts w:cs="Calibri"/>
        </w:rPr>
        <w:t>5.5</w:t>
      </w:r>
      <w:r w:rsidRPr="00D9348B">
        <w:rPr>
          <w:rFonts w:cs="Calibri"/>
        </w:rPr>
        <w:tab/>
        <w:t>Agricultural soils (CRF 3.D)</w:t>
      </w:r>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14:paraId="1F3C6D40" w14:textId="77777777" w:rsidR="00F849A7" w:rsidRPr="00D9348B" w:rsidRDefault="00F849A7" w:rsidP="00943D70">
      <w:pPr>
        <w:pStyle w:val="Heading3"/>
        <w:spacing w:before="160"/>
        <w:rPr>
          <w:rFonts w:cs="Calibri"/>
        </w:rPr>
      </w:pPr>
      <w:bookmarkStart w:id="843" w:name="_Toc139253933"/>
      <w:bookmarkStart w:id="844" w:name="_Toc32570667"/>
      <w:r w:rsidRPr="00D9348B">
        <w:rPr>
          <w:rFonts w:cs="Calibri"/>
        </w:rPr>
        <w:t>5.5.1</w:t>
      </w:r>
      <w:r w:rsidRPr="00D9348B">
        <w:rPr>
          <w:rFonts w:cs="Calibri"/>
        </w:rPr>
        <w:tab/>
        <w:t>Description</w:t>
      </w:r>
      <w:bookmarkEnd w:id="843"/>
      <w:bookmarkEnd w:id="844"/>
    </w:p>
    <w:p w14:paraId="6C38030B" w14:textId="77777777" w:rsidR="00F849A7" w:rsidRPr="00D9348B" w:rsidRDefault="00F849A7" w:rsidP="00F849A7">
      <w:pPr>
        <w:pStyle w:val="BodyText"/>
        <w:rPr>
          <w:rFonts w:cs="Calibri"/>
        </w:rPr>
      </w:pPr>
      <w:r w:rsidRPr="00D9348B">
        <w:rPr>
          <w:rFonts w:cs="Calibri"/>
        </w:rPr>
        <w:t>Several categories contribute to N</w:t>
      </w:r>
      <w:r w:rsidRPr="00D9348B">
        <w:rPr>
          <w:rFonts w:cs="Calibri"/>
          <w:vertAlign w:val="subscript"/>
        </w:rPr>
        <w:t>2</w:t>
      </w:r>
      <w:r w:rsidRPr="00D9348B">
        <w:rPr>
          <w:rFonts w:cs="Calibri"/>
        </w:rPr>
        <w:t xml:space="preserve">O emissions from agricultural soils from both direct and indirect pathways, these are summarised in figure 5.5.1. </w:t>
      </w:r>
    </w:p>
    <w:p w14:paraId="3BD9B22F" w14:textId="77777777" w:rsidR="00F849A7" w:rsidRPr="00D9348B" w:rsidRDefault="00F849A7" w:rsidP="00F849A7">
      <w:pPr>
        <w:pStyle w:val="Figure"/>
        <w:keepLines/>
        <w:tabs>
          <w:tab w:val="left" w:pos="567"/>
        </w:tabs>
        <w:ind w:left="1134" w:hanging="1134"/>
        <w:rPr>
          <w:rFonts w:cs="Calibri"/>
        </w:rPr>
      </w:pPr>
      <w:bookmarkStart w:id="845" w:name="_Toc481752014"/>
      <w:bookmarkStart w:id="846" w:name="_Toc507158473"/>
      <w:bookmarkStart w:id="847" w:name="_Toc511116964"/>
      <w:bookmarkStart w:id="848" w:name="_Toc5269694"/>
      <w:bookmarkStart w:id="849" w:name="_Toc32570965"/>
      <w:bookmarkStart w:id="850" w:name="_Toc36292795"/>
      <w:r w:rsidRPr="00D9348B">
        <w:rPr>
          <w:rFonts w:cs="Calibri"/>
        </w:rPr>
        <w:lastRenderedPageBreak/>
        <w:t>Figure 5.5.1</w:t>
      </w:r>
      <w:r w:rsidRPr="00D9348B">
        <w:rPr>
          <w:rFonts w:cs="Calibri"/>
        </w:rPr>
        <w:tab/>
        <w:t>Sources of nitrous oxide emissions from agricultural soils, showing the contribution of each source to emissions through both direct and indirect pathways</w:t>
      </w:r>
      <w:bookmarkEnd w:id="845"/>
      <w:bookmarkEnd w:id="846"/>
      <w:bookmarkEnd w:id="847"/>
      <w:bookmarkEnd w:id="848"/>
      <w:bookmarkEnd w:id="849"/>
      <w:bookmarkEnd w:id="850"/>
    </w:p>
    <w:p w14:paraId="29959236" w14:textId="7DF715CB" w:rsidR="00F849A7" w:rsidRPr="00D9348B" w:rsidRDefault="007165CF" w:rsidP="00F849A7">
      <w:pPr>
        <w:pStyle w:val="BodyText"/>
        <w:spacing w:before="60"/>
        <w:jc w:val="center"/>
        <w:rPr>
          <w:rFonts w:cs="Calibri"/>
        </w:rPr>
      </w:pPr>
      <w:r>
        <w:rPr>
          <w:rFonts w:cs="Calibri"/>
        </w:rPr>
        <w:pict w14:anchorId="44C96A12">
          <v:shape id="_x0000_i1091" type="#_x0000_t75" style="width:309.3pt;height:371.25pt;visibility:visible;mso-wrap-style:square">
            <v:imagedata r:id="rId138" o:title=""/>
          </v:shape>
        </w:pict>
      </w:r>
    </w:p>
    <w:p w14:paraId="6A16F2FD" w14:textId="77777777" w:rsidR="00F849A7" w:rsidRPr="00D9348B" w:rsidRDefault="00F849A7" w:rsidP="00F849A7">
      <w:pPr>
        <w:pStyle w:val="BodyText"/>
        <w:spacing w:after="100"/>
        <w:rPr>
          <w:rFonts w:cs="Calibri"/>
        </w:rPr>
      </w:pPr>
      <w:r w:rsidRPr="00D9348B">
        <w:rPr>
          <w:rFonts w:cs="Calibri"/>
        </w:rPr>
        <w:t>Direct N</w:t>
      </w:r>
      <w:r w:rsidRPr="00D9348B">
        <w:rPr>
          <w:rFonts w:cs="Calibri"/>
          <w:vertAlign w:val="subscript"/>
        </w:rPr>
        <w:t>2</w:t>
      </w:r>
      <w:r w:rsidRPr="00D9348B">
        <w:rPr>
          <w:rFonts w:cs="Calibri"/>
        </w:rPr>
        <w:t>O emissions come directly from the soils to which nitrogen has been applied in either organic (animal excreta) or inorganic (synthetic fertiliser) form. Indirect emissions come from the volatilisation (evaporation or sublimation) of nitrogen from the land. A fraction of this volatilised nitrogen returns to the ground during rainfall and is then re-emitted as N</w:t>
      </w:r>
      <w:r w:rsidRPr="00D9348B">
        <w:rPr>
          <w:rFonts w:cs="Calibri"/>
          <w:vertAlign w:val="subscript"/>
        </w:rPr>
        <w:t>2</w:t>
      </w:r>
      <w:r w:rsidRPr="00D9348B">
        <w:rPr>
          <w:rFonts w:cs="Calibri"/>
        </w:rPr>
        <w:t xml:space="preserve">O. Indirect emissions also arise from leaching and runoff of nitrogen (IPCC, 2006) and from further nitrification and denitrification from waterways. </w:t>
      </w:r>
    </w:p>
    <w:p w14:paraId="0D74B7CB" w14:textId="77777777" w:rsidR="00F849A7" w:rsidRPr="00D9348B" w:rsidRDefault="00F849A7" w:rsidP="00F849A7">
      <w:pPr>
        <w:pStyle w:val="BodyText"/>
        <w:spacing w:before="100" w:after="100"/>
        <w:rPr>
          <w:rFonts w:cs="Calibri"/>
        </w:rPr>
      </w:pPr>
      <w:r w:rsidRPr="00D9348B">
        <w:rPr>
          <w:rFonts w:cs="Calibri"/>
        </w:rPr>
        <w:t>Indirect emissions from livestock waste management systems are reported under section 5.3 (</w:t>
      </w:r>
      <w:r w:rsidRPr="00D9348B">
        <w:rPr>
          <w:rFonts w:cs="Calibri"/>
          <w:i/>
          <w:iCs/>
        </w:rPr>
        <w:t>Manure management</w:t>
      </w:r>
      <w:r w:rsidRPr="00D9348B">
        <w:rPr>
          <w:rFonts w:cs="Calibri"/>
        </w:rPr>
        <w:t>). Carbon dioxide emissions from lime and dolomite fertilisers are reported in section 5.8 (</w:t>
      </w:r>
      <w:r w:rsidRPr="00D9348B">
        <w:rPr>
          <w:rFonts w:cs="Calibri"/>
          <w:i/>
          <w:iCs/>
        </w:rPr>
        <w:t>Liming</w:t>
      </w:r>
      <w:r w:rsidRPr="00D9348B">
        <w:rPr>
          <w:rFonts w:cs="Calibri"/>
        </w:rPr>
        <w:t xml:space="preserve">). </w:t>
      </w:r>
    </w:p>
    <w:p w14:paraId="51BB9F17" w14:textId="77777777" w:rsidR="00F849A7" w:rsidRPr="00D9348B" w:rsidRDefault="00F849A7" w:rsidP="00F849A7">
      <w:pPr>
        <w:pStyle w:val="BodyText"/>
        <w:spacing w:before="100" w:after="100"/>
        <w:rPr>
          <w:rFonts w:cs="Calibri"/>
        </w:rPr>
      </w:pPr>
      <w:r w:rsidRPr="00D9348B">
        <w:rPr>
          <w:rFonts w:cs="Calibri"/>
          <w:i/>
          <w:iCs/>
        </w:rPr>
        <w:t>Agricultural soils</w:t>
      </w:r>
      <w:r w:rsidRPr="00D9348B">
        <w:rPr>
          <w:rFonts w:cs="Calibri"/>
        </w:rPr>
        <w:t xml:space="preserve"> contributed an estimated 7,026.3 kt CO</w:t>
      </w:r>
      <w:r w:rsidRPr="00D9348B">
        <w:rPr>
          <w:rFonts w:cs="Calibri"/>
          <w:vertAlign w:val="subscript"/>
        </w:rPr>
        <w:t>2</w:t>
      </w:r>
      <w:r w:rsidRPr="00D9348B">
        <w:rPr>
          <w:rFonts w:cs="Calibri"/>
        </w:rPr>
        <w:t>-e, representing 8.9 per cent of New Zealand’s gross emissions and 18.6 per cent of agriculture</w:t>
      </w:r>
      <w:r w:rsidRPr="00D9348B">
        <w:rPr>
          <w:rFonts w:cs="Calibri"/>
          <w:i/>
          <w:iCs/>
        </w:rPr>
        <w:t xml:space="preserve"> </w:t>
      </w:r>
      <w:r w:rsidRPr="00D9348B">
        <w:rPr>
          <w:rFonts w:cs="Calibri"/>
        </w:rPr>
        <w:t xml:space="preserve">emissions in 2018. The </w:t>
      </w:r>
      <w:r w:rsidRPr="00D9348B">
        <w:rPr>
          <w:rFonts w:cs="Calibri"/>
          <w:i/>
          <w:iCs/>
        </w:rPr>
        <w:t>Agricultural soils</w:t>
      </w:r>
      <w:r w:rsidRPr="00D9348B">
        <w:rPr>
          <w:rFonts w:cs="Calibri"/>
        </w:rPr>
        <w:t xml:space="preserve"> category was also the source of 92.5 per cent of New Zealand’s total 2018 </w:t>
      </w:r>
      <w:r w:rsidRPr="00D9348B">
        <w:rPr>
          <w:rFonts w:cs="Calibri"/>
          <w:spacing w:val="-2"/>
        </w:rPr>
        <w:t>N</w:t>
      </w:r>
      <w:r w:rsidRPr="00D9348B">
        <w:rPr>
          <w:rFonts w:cs="Calibri"/>
          <w:spacing w:val="-2"/>
          <w:vertAlign w:val="subscript"/>
        </w:rPr>
        <w:t>2</w:t>
      </w:r>
      <w:r w:rsidRPr="00D9348B">
        <w:rPr>
          <w:rFonts w:cs="Calibri"/>
          <w:spacing w:val="-2"/>
        </w:rPr>
        <w:t>O</w:t>
      </w:r>
      <w:r w:rsidRPr="00D9348B">
        <w:rPr>
          <w:rFonts w:cs="Calibri"/>
        </w:rPr>
        <w:t xml:space="preserve"> emissions.</w:t>
      </w:r>
    </w:p>
    <w:p w14:paraId="25D325FA" w14:textId="77777777" w:rsidR="00F849A7" w:rsidRPr="00D9348B" w:rsidRDefault="00F849A7" w:rsidP="00F849A7">
      <w:pPr>
        <w:pStyle w:val="BodyText"/>
        <w:spacing w:before="100" w:after="100"/>
        <w:rPr>
          <w:rFonts w:cs="Calibri"/>
        </w:rPr>
      </w:pPr>
      <w:r w:rsidRPr="00D9348B">
        <w:rPr>
          <w:rFonts w:cs="Calibri"/>
        </w:rPr>
        <w:t xml:space="preserve">The categories that contribute the most to emissions from </w:t>
      </w:r>
      <w:r w:rsidRPr="00D9348B">
        <w:rPr>
          <w:rFonts w:cs="Calibri"/>
          <w:i/>
          <w:iCs/>
        </w:rPr>
        <w:t>Agricultural soils</w:t>
      </w:r>
      <w:r w:rsidRPr="00D9348B">
        <w:rPr>
          <w:rFonts w:cs="Calibri"/>
        </w:rPr>
        <w:t xml:space="preserve"> and that are identified as key categories are outlined below in order of significance.</w:t>
      </w:r>
    </w:p>
    <w:p w14:paraId="30649B86" w14:textId="77777777" w:rsidR="00F849A7" w:rsidRPr="00D9348B" w:rsidRDefault="00F849A7" w:rsidP="00771A8F">
      <w:pPr>
        <w:pStyle w:val="Bullet"/>
        <w:numPr>
          <w:ilvl w:val="0"/>
          <w:numId w:val="20"/>
        </w:numPr>
        <w:rPr>
          <w:rFonts w:cs="Calibri"/>
          <w:spacing w:val="-2"/>
        </w:rPr>
      </w:pPr>
      <w:r w:rsidRPr="00D9348B">
        <w:rPr>
          <w:rFonts w:cs="Calibri"/>
        </w:rPr>
        <w:t xml:space="preserve">Urine and dung deposited by grazing animals (pasture, range and paddock manure) (level and trend assessment): 54.4 per cent of emissions from </w:t>
      </w:r>
      <w:r w:rsidRPr="00D9348B">
        <w:rPr>
          <w:rFonts w:cs="Calibri"/>
          <w:i/>
          <w:iCs/>
        </w:rPr>
        <w:t>Agricultural soils</w:t>
      </w:r>
      <w:r w:rsidRPr="00D9348B">
        <w:rPr>
          <w:rFonts w:cs="Calibri"/>
        </w:rPr>
        <w:t>.</w:t>
      </w:r>
    </w:p>
    <w:p w14:paraId="1EAF23E5" w14:textId="77777777" w:rsidR="00F849A7" w:rsidRPr="00D9348B" w:rsidRDefault="00F849A7" w:rsidP="00771A8F">
      <w:pPr>
        <w:pStyle w:val="Bullet"/>
        <w:numPr>
          <w:ilvl w:val="0"/>
          <w:numId w:val="20"/>
        </w:numPr>
        <w:rPr>
          <w:rFonts w:cs="Calibri"/>
        </w:rPr>
      </w:pPr>
      <w:r w:rsidRPr="00D9348B">
        <w:rPr>
          <w:rFonts w:cs="Calibri"/>
        </w:rPr>
        <w:t xml:space="preserve">Synthetic nitrogen fertiliser (level and trend assessment): 20.1 per cent of </w:t>
      </w:r>
      <w:r w:rsidRPr="00D9348B">
        <w:rPr>
          <w:rFonts w:cs="Calibri"/>
          <w:iCs/>
        </w:rPr>
        <w:t>emissions from</w:t>
      </w:r>
      <w:r w:rsidRPr="00D9348B">
        <w:rPr>
          <w:rFonts w:cs="Calibri"/>
          <w:i/>
          <w:iCs/>
        </w:rPr>
        <w:t xml:space="preserve"> Agricultural soils</w:t>
      </w:r>
      <w:r w:rsidRPr="00D9348B">
        <w:rPr>
          <w:rFonts w:cs="Calibri"/>
        </w:rPr>
        <w:t>.</w:t>
      </w:r>
    </w:p>
    <w:p w14:paraId="4000D538" w14:textId="77777777" w:rsidR="00F849A7" w:rsidRPr="00D9348B" w:rsidRDefault="00F849A7" w:rsidP="00771A8F">
      <w:pPr>
        <w:pStyle w:val="Bullet"/>
        <w:numPr>
          <w:ilvl w:val="0"/>
          <w:numId w:val="20"/>
        </w:numPr>
        <w:spacing w:after="100"/>
        <w:rPr>
          <w:rFonts w:cs="Calibri"/>
        </w:rPr>
      </w:pPr>
      <w:r w:rsidRPr="00D9348B">
        <w:rPr>
          <w:rFonts w:cs="Calibri"/>
        </w:rPr>
        <w:lastRenderedPageBreak/>
        <w:t xml:space="preserve">Volatilisation (level assessment): 13.1 per cent of emissions from </w:t>
      </w:r>
      <w:r w:rsidRPr="00D9348B">
        <w:rPr>
          <w:rFonts w:cs="Calibri"/>
          <w:i/>
          <w:iCs/>
        </w:rPr>
        <w:t>Agricultural soils</w:t>
      </w:r>
      <w:r w:rsidRPr="00D9348B">
        <w:rPr>
          <w:rFonts w:cs="Calibri"/>
        </w:rPr>
        <w:t>.</w:t>
      </w:r>
    </w:p>
    <w:p w14:paraId="7B0094B1" w14:textId="77777777" w:rsidR="00F849A7" w:rsidRPr="00D9348B" w:rsidRDefault="00F849A7" w:rsidP="00771A8F">
      <w:pPr>
        <w:pStyle w:val="Bullet"/>
        <w:numPr>
          <w:ilvl w:val="0"/>
          <w:numId w:val="20"/>
        </w:numPr>
        <w:spacing w:after="100"/>
        <w:rPr>
          <w:rFonts w:cs="Calibri"/>
        </w:rPr>
      </w:pPr>
      <w:r w:rsidRPr="00D9348B">
        <w:rPr>
          <w:rFonts w:cs="Calibri"/>
        </w:rPr>
        <w:t>Leaching and runoff (level assessment): 7.2 per cent</w:t>
      </w:r>
      <w:r w:rsidRPr="00D9348B" w:rsidDel="00C07FB2">
        <w:rPr>
          <w:rFonts w:cs="Calibri"/>
        </w:rPr>
        <w:t xml:space="preserve"> </w:t>
      </w:r>
      <w:r w:rsidRPr="00D9348B">
        <w:rPr>
          <w:rFonts w:cs="Calibri"/>
        </w:rPr>
        <w:t xml:space="preserve">of emissions from </w:t>
      </w:r>
      <w:r w:rsidRPr="00D9348B">
        <w:rPr>
          <w:rFonts w:cs="Calibri"/>
          <w:i/>
          <w:iCs/>
        </w:rPr>
        <w:t>Agricultural soils</w:t>
      </w:r>
      <w:r w:rsidRPr="00D9348B">
        <w:rPr>
          <w:rFonts w:cs="Calibri"/>
        </w:rPr>
        <w:t>.</w:t>
      </w:r>
    </w:p>
    <w:p w14:paraId="605531DA" w14:textId="77777777" w:rsidR="00F849A7" w:rsidRPr="00D9348B" w:rsidRDefault="00F849A7" w:rsidP="00771A8F">
      <w:pPr>
        <w:pStyle w:val="Bullet"/>
        <w:numPr>
          <w:ilvl w:val="0"/>
          <w:numId w:val="20"/>
        </w:numPr>
        <w:rPr>
          <w:rFonts w:cs="Calibri"/>
        </w:rPr>
      </w:pPr>
      <w:r w:rsidRPr="00D9348B">
        <w:rPr>
          <w:rFonts w:cs="Calibri"/>
        </w:rPr>
        <w:t>Crop residues (level assessment): 3.6 per cent</w:t>
      </w:r>
      <w:r w:rsidRPr="00D9348B" w:rsidDel="00C07FB2">
        <w:rPr>
          <w:rFonts w:cs="Calibri"/>
        </w:rPr>
        <w:t xml:space="preserve"> </w:t>
      </w:r>
      <w:r w:rsidRPr="00D9348B">
        <w:rPr>
          <w:rFonts w:cs="Calibri"/>
        </w:rPr>
        <w:t xml:space="preserve">of emissions from </w:t>
      </w:r>
      <w:r w:rsidRPr="00D9348B">
        <w:rPr>
          <w:rFonts w:cs="Calibri"/>
          <w:i/>
          <w:iCs/>
        </w:rPr>
        <w:t>Agricultural soils</w:t>
      </w:r>
      <w:r w:rsidRPr="00D9348B">
        <w:rPr>
          <w:rFonts w:cs="Calibri"/>
        </w:rPr>
        <w:t xml:space="preserve">. </w:t>
      </w:r>
    </w:p>
    <w:p w14:paraId="3F66533C" w14:textId="77777777" w:rsidR="00F849A7" w:rsidRPr="00D9348B" w:rsidRDefault="00F849A7" w:rsidP="00F849A7">
      <w:pPr>
        <w:pStyle w:val="Heading5"/>
        <w:rPr>
          <w:rFonts w:cs="Calibri"/>
        </w:rPr>
      </w:pPr>
      <w:r w:rsidRPr="00D9348B">
        <w:rPr>
          <w:rFonts w:cs="Calibri"/>
        </w:rPr>
        <w:t>Trends</w:t>
      </w:r>
    </w:p>
    <w:p w14:paraId="5393F2DF" w14:textId="77777777" w:rsidR="00F849A7" w:rsidRPr="00D9348B" w:rsidRDefault="00F849A7" w:rsidP="00F849A7">
      <w:pPr>
        <w:pStyle w:val="BodyText"/>
        <w:spacing w:before="100" w:after="100"/>
        <w:rPr>
          <w:rFonts w:cs="Calibri"/>
        </w:rPr>
      </w:pPr>
      <w:r w:rsidRPr="00D9348B">
        <w:rPr>
          <w:rFonts w:cs="Calibri"/>
        </w:rPr>
        <w:t xml:space="preserve">Emissions from </w:t>
      </w:r>
      <w:r w:rsidRPr="00D9348B">
        <w:rPr>
          <w:rFonts w:cs="Calibri"/>
          <w:i/>
          <w:iCs/>
        </w:rPr>
        <w:t xml:space="preserve">Agricultural soils </w:t>
      </w:r>
      <w:r w:rsidRPr="00D9348B">
        <w:rPr>
          <w:rFonts w:cs="Calibri"/>
        </w:rPr>
        <w:t>increased 56.7 per cent (2,542.5 kt CO</w:t>
      </w:r>
      <w:r w:rsidRPr="00D9348B">
        <w:rPr>
          <w:rFonts w:cs="Calibri"/>
          <w:vertAlign w:val="subscript"/>
        </w:rPr>
        <w:t>2</w:t>
      </w:r>
      <w:r w:rsidRPr="00D9348B">
        <w:rPr>
          <w:rFonts w:cs="Calibri"/>
        </w:rPr>
        <w:t xml:space="preserve">-e) between 1990 and 2018. Increases in the use of synthetic nitrogen fertiliser and the dairy cattle population are the predominant drivers of increasing emissions from </w:t>
      </w:r>
      <w:r w:rsidRPr="00D9348B">
        <w:rPr>
          <w:rFonts w:cs="Calibri"/>
          <w:i/>
          <w:iCs/>
        </w:rPr>
        <w:t>Agricultural soils</w:t>
      </w:r>
      <w:r w:rsidRPr="00D9348B">
        <w:rPr>
          <w:rFonts w:cs="Calibri"/>
        </w:rPr>
        <w:t xml:space="preserve">, which have been partially offset by decreases in the sheep and beef cattle populations. </w:t>
      </w:r>
    </w:p>
    <w:p w14:paraId="6DD93930" w14:textId="77777777" w:rsidR="00F849A7" w:rsidRPr="00D9348B" w:rsidRDefault="00F849A7" w:rsidP="00F849A7">
      <w:pPr>
        <w:pStyle w:val="BodyText"/>
        <w:spacing w:before="100" w:after="100"/>
        <w:rPr>
          <w:rFonts w:cs="Calibri"/>
        </w:rPr>
      </w:pPr>
      <w:r w:rsidRPr="00D9348B">
        <w:rPr>
          <w:rFonts w:cs="Calibri"/>
        </w:rPr>
        <w:t xml:space="preserve">Trends across the key categories in </w:t>
      </w:r>
      <w:r w:rsidRPr="00D9348B">
        <w:rPr>
          <w:rFonts w:cs="Calibri"/>
          <w:i/>
          <w:iCs/>
        </w:rPr>
        <w:t xml:space="preserve">Agricultural soils </w:t>
      </w:r>
      <w:r w:rsidRPr="00D9348B">
        <w:rPr>
          <w:rFonts w:cs="Calibri"/>
        </w:rPr>
        <w:t>are detailed below.</w:t>
      </w:r>
    </w:p>
    <w:p w14:paraId="4173E105" w14:textId="77777777" w:rsidR="00F849A7" w:rsidRPr="00D9348B" w:rsidRDefault="00F849A7" w:rsidP="00771A8F">
      <w:pPr>
        <w:pStyle w:val="Bullet"/>
        <w:numPr>
          <w:ilvl w:val="0"/>
          <w:numId w:val="20"/>
        </w:numPr>
        <w:spacing w:after="100"/>
        <w:rPr>
          <w:rFonts w:cs="Calibri"/>
          <w:spacing w:val="-2"/>
        </w:rPr>
      </w:pPr>
      <w:r w:rsidRPr="00D9348B">
        <w:rPr>
          <w:rFonts w:cs="Calibri"/>
        </w:rPr>
        <w:t>Urine and dung deposited by grazing animals (pasture, range and paddock manure) (level and trend assessment): 30.7 per cent (897.4 kt CO</w:t>
      </w:r>
      <w:r w:rsidRPr="00D9348B">
        <w:rPr>
          <w:rFonts w:cs="Calibri"/>
          <w:vertAlign w:val="subscript"/>
        </w:rPr>
        <w:t>2</w:t>
      </w:r>
      <w:r w:rsidRPr="00D9348B">
        <w:rPr>
          <w:rFonts w:cs="Calibri"/>
        </w:rPr>
        <w:t>-e) increase between 1990 and 2018.</w:t>
      </w:r>
    </w:p>
    <w:p w14:paraId="158C5CF4" w14:textId="77777777" w:rsidR="00F849A7" w:rsidRPr="00D9348B" w:rsidRDefault="00F849A7" w:rsidP="00771A8F">
      <w:pPr>
        <w:pStyle w:val="Bullet"/>
        <w:numPr>
          <w:ilvl w:val="0"/>
          <w:numId w:val="20"/>
        </w:numPr>
        <w:spacing w:after="100"/>
        <w:rPr>
          <w:rFonts w:cs="Calibri"/>
          <w:spacing w:val="-2"/>
        </w:rPr>
      </w:pPr>
      <w:r w:rsidRPr="00D9348B">
        <w:rPr>
          <w:rFonts w:cs="Calibri"/>
        </w:rPr>
        <w:t>Synthetic nitrogen fertiliser (level and trend assessment): 512.8 per cent (1,181.0 kt CO</w:t>
      </w:r>
      <w:r w:rsidRPr="00D9348B">
        <w:rPr>
          <w:rFonts w:cs="Calibri"/>
          <w:vertAlign w:val="subscript"/>
        </w:rPr>
        <w:t>2</w:t>
      </w:r>
      <w:r w:rsidRPr="00D9348B">
        <w:rPr>
          <w:rFonts w:cs="Calibri"/>
        </w:rPr>
        <w:t>-e) increase between 1990 and 2018.</w:t>
      </w:r>
    </w:p>
    <w:p w14:paraId="44D6B1D7" w14:textId="77777777" w:rsidR="00F849A7" w:rsidRPr="00D9348B" w:rsidRDefault="00F849A7" w:rsidP="00771A8F">
      <w:pPr>
        <w:pStyle w:val="Bullet"/>
        <w:numPr>
          <w:ilvl w:val="0"/>
          <w:numId w:val="20"/>
        </w:numPr>
        <w:spacing w:after="100"/>
        <w:rPr>
          <w:rFonts w:cs="Calibri"/>
          <w:spacing w:val="-2"/>
        </w:rPr>
      </w:pPr>
      <w:r w:rsidRPr="00D9348B">
        <w:rPr>
          <w:rFonts w:cs="Calibri"/>
        </w:rPr>
        <w:t>Volatilisation (level assessment): 30.5 per cent (214.7 kt CO</w:t>
      </w:r>
      <w:r w:rsidRPr="00D9348B">
        <w:rPr>
          <w:rFonts w:cs="Calibri"/>
          <w:vertAlign w:val="subscript"/>
        </w:rPr>
        <w:t>2</w:t>
      </w:r>
      <w:r w:rsidRPr="00D9348B">
        <w:rPr>
          <w:rFonts w:cs="Calibri"/>
        </w:rPr>
        <w:t>-e) increase between 1990 and 2018.</w:t>
      </w:r>
    </w:p>
    <w:p w14:paraId="7B715D98" w14:textId="77777777" w:rsidR="00F849A7" w:rsidRPr="00D9348B" w:rsidRDefault="00F849A7" w:rsidP="00771A8F">
      <w:pPr>
        <w:pStyle w:val="Bullet"/>
        <w:numPr>
          <w:ilvl w:val="0"/>
          <w:numId w:val="20"/>
        </w:numPr>
        <w:spacing w:after="100"/>
        <w:rPr>
          <w:rFonts w:cs="Calibri"/>
          <w:spacing w:val="-2"/>
        </w:rPr>
      </w:pPr>
      <w:r w:rsidRPr="00D9348B">
        <w:rPr>
          <w:rFonts w:cs="Calibri"/>
        </w:rPr>
        <w:t>Leaching and runoff (level assessment): 34.1 per cent (129.4 kt CO</w:t>
      </w:r>
      <w:r w:rsidRPr="00D9348B">
        <w:rPr>
          <w:rFonts w:cs="Calibri"/>
          <w:vertAlign w:val="subscript"/>
        </w:rPr>
        <w:t>2</w:t>
      </w:r>
      <w:r w:rsidRPr="00D9348B">
        <w:rPr>
          <w:rFonts w:cs="Calibri"/>
        </w:rPr>
        <w:t>-e) increase between 1990 and 2018.</w:t>
      </w:r>
    </w:p>
    <w:p w14:paraId="47207DEA" w14:textId="77777777" w:rsidR="00F849A7" w:rsidRPr="00D9348B" w:rsidRDefault="00F849A7" w:rsidP="00771A8F">
      <w:pPr>
        <w:pStyle w:val="Bullet"/>
        <w:numPr>
          <w:ilvl w:val="0"/>
          <w:numId w:val="20"/>
        </w:numPr>
        <w:rPr>
          <w:rFonts w:cs="Calibri"/>
          <w:spacing w:val="-2"/>
        </w:rPr>
      </w:pPr>
      <w:r w:rsidRPr="00D9348B">
        <w:rPr>
          <w:rFonts w:cs="Calibri"/>
        </w:rPr>
        <w:t>Crop residues (level assessment): 44.3 per cent (77.7 kt CO</w:t>
      </w:r>
      <w:r w:rsidRPr="00D9348B">
        <w:rPr>
          <w:rFonts w:cs="Calibri"/>
          <w:vertAlign w:val="subscript"/>
        </w:rPr>
        <w:t>2</w:t>
      </w:r>
      <w:r w:rsidRPr="00D9348B">
        <w:rPr>
          <w:rFonts w:cs="Calibri"/>
        </w:rPr>
        <w:t>-e) increase between 1990 and 2018.</w:t>
      </w:r>
    </w:p>
    <w:p w14:paraId="448B50DA" w14:textId="77777777" w:rsidR="00F849A7" w:rsidRPr="00D9348B" w:rsidRDefault="00F849A7" w:rsidP="00F849A7">
      <w:pPr>
        <w:pStyle w:val="BodyText"/>
        <w:spacing w:before="100" w:after="100"/>
        <w:rPr>
          <w:rFonts w:cs="Calibri"/>
        </w:rPr>
      </w:pPr>
      <w:r w:rsidRPr="00D9348B">
        <w:rPr>
          <w:rFonts w:cs="Calibri"/>
        </w:rPr>
        <w:t>Table 5.5.1 shows the trends and relative contribution of N</w:t>
      </w:r>
      <w:r w:rsidRPr="00D9348B">
        <w:rPr>
          <w:rFonts w:cs="Calibri"/>
          <w:vertAlign w:val="subscript"/>
        </w:rPr>
        <w:t>2</w:t>
      </w:r>
      <w:r w:rsidRPr="00D9348B">
        <w:rPr>
          <w:rFonts w:cs="Calibri"/>
        </w:rPr>
        <w:t>O emissions from these categories between 1990 and 2018.</w:t>
      </w:r>
    </w:p>
    <w:p w14:paraId="2FA982AE" w14:textId="77777777" w:rsidR="00F849A7" w:rsidRPr="00D9348B" w:rsidRDefault="00F849A7" w:rsidP="00F849A7">
      <w:pPr>
        <w:pStyle w:val="Table"/>
        <w:rPr>
          <w:rFonts w:cs="Calibri"/>
        </w:rPr>
      </w:pPr>
      <w:bookmarkStart w:id="851" w:name="_Toc481751521"/>
      <w:bookmarkStart w:id="852" w:name="_Toc507158609"/>
      <w:bookmarkStart w:id="853" w:name="_Toc511116743"/>
      <w:bookmarkStart w:id="854" w:name="_Toc5269485"/>
      <w:bookmarkStart w:id="855" w:name="_Toc32570927"/>
      <w:bookmarkStart w:id="856" w:name="_Toc36224562"/>
      <w:r w:rsidRPr="00D9348B">
        <w:rPr>
          <w:rFonts w:cs="Calibri"/>
        </w:rPr>
        <w:t>Table 5.5.1</w:t>
      </w:r>
      <w:r w:rsidRPr="00D9348B">
        <w:rPr>
          <w:rFonts w:cs="Calibri"/>
        </w:rPr>
        <w:tab/>
        <w:t xml:space="preserve">Trends and relative contribution of nitrous oxide emissions from Agricultural soils categories between 1990 and </w:t>
      </w:r>
      <w:bookmarkEnd w:id="851"/>
      <w:bookmarkEnd w:id="852"/>
      <w:bookmarkEnd w:id="853"/>
      <w:bookmarkEnd w:id="854"/>
      <w:r w:rsidRPr="00D9348B">
        <w:rPr>
          <w:rFonts w:cs="Calibri"/>
        </w:rPr>
        <w:t>2018</w:t>
      </w:r>
      <w:bookmarkEnd w:id="855"/>
      <w:bookmarkEnd w:id="856"/>
    </w:p>
    <w:tbl>
      <w:tblPr>
        <w:tblW w:w="85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3"/>
        <w:gridCol w:w="2164"/>
        <w:gridCol w:w="851"/>
        <w:gridCol w:w="850"/>
        <w:gridCol w:w="851"/>
        <w:gridCol w:w="708"/>
        <w:gridCol w:w="1134"/>
        <w:gridCol w:w="1191"/>
      </w:tblGrid>
      <w:tr w:rsidR="00F849A7" w:rsidRPr="00D9348B" w14:paraId="6B4B0048" w14:textId="77777777" w:rsidTr="00943D70">
        <w:tc>
          <w:tcPr>
            <w:tcW w:w="2977" w:type="dxa"/>
            <w:gridSpan w:val="2"/>
            <w:tcBorders>
              <w:top w:val="single" w:sz="4" w:space="0" w:color="365F91"/>
              <w:left w:val="nil"/>
              <w:bottom w:val="nil"/>
              <w:right w:val="nil"/>
            </w:tcBorders>
            <w:shd w:val="clear" w:color="auto" w:fill="365F91"/>
            <w:vAlign w:val="bottom"/>
          </w:tcPr>
          <w:p w14:paraId="15070BA1" w14:textId="77777777" w:rsidR="00F849A7" w:rsidRPr="00D9348B" w:rsidRDefault="00F849A7" w:rsidP="00DB330E">
            <w:pPr>
              <w:pStyle w:val="TableTextBold"/>
              <w:rPr>
                <w:rFonts w:cs="Calibri"/>
                <w:noProof w:val="0"/>
                <w:color w:val="FFFFFF"/>
                <w:szCs w:val="16"/>
              </w:rPr>
            </w:pPr>
          </w:p>
        </w:tc>
        <w:tc>
          <w:tcPr>
            <w:tcW w:w="1701" w:type="dxa"/>
            <w:gridSpan w:val="2"/>
            <w:tcBorders>
              <w:top w:val="single" w:sz="4" w:space="0" w:color="365F91"/>
              <w:left w:val="nil"/>
              <w:bottom w:val="nil"/>
              <w:right w:val="nil"/>
            </w:tcBorders>
            <w:shd w:val="clear" w:color="auto" w:fill="365F91"/>
            <w:vAlign w:val="bottom"/>
          </w:tcPr>
          <w:p w14:paraId="4A55DEBA" w14:textId="77777777" w:rsidR="00F849A7" w:rsidRPr="00D9348B" w:rsidRDefault="00F849A7" w:rsidP="00DB330E">
            <w:pPr>
              <w:pStyle w:val="TableTextBold"/>
              <w:spacing w:after="0"/>
              <w:jc w:val="center"/>
              <w:rPr>
                <w:rFonts w:cs="Calibri"/>
                <w:noProof w:val="0"/>
                <w:color w:val="FFFFFF"/>
                <w:szCs w:val="16"/>
              </w:rPr>
            </w:pPr>
            <w:r w:rsidRPr="00D9348B">
              <w:rPr>
                <w:rFonts w:cs="Calibri"/>
                <w:noProof w:val="0"/>
                <w:color w:val="FFFFFF"/>
                <w:szCs w:val="16"/>
              </w:rPr>
              <w:t xml:space="preserve">Emissions </w:t>
            </w:r>
            <w:r w:rsidRPr="00D9348B">
              <w:rPr>
                <w:rFonts w:cs="Calibri"/>
                <w:noProof w:val="0"/>
                <w:color w:val="FFFFFF"/>
                <w:szCs w:val="16"/>
              </w:rPr>
              <w:br/>
              <w:t>(kt CO</w:t>
            </w:r>
            <w:r w:rsidRPr="00D9348B">
              <w:rPr>
                <w:rFonts w:cs="Calibri"/>
                <w:noProof w:val="0"/>
                <w:color w:val="FFFFFF"/>
                <w:szCs w:val="16"/>
                <w:vertAlign w:val="subscript"/>
              </w:rPr>
              <w:t>2</w:t>
            </w:r>
            <w:r w:rsidRPr="00D9348B">
              <w:rPr>
                <w:rFonts w:cs="Calibri"/>
                <w:noProof w:val="0"/>
                <w:color w:val="FFFFFF"/>
                <w:szCs w:val="16"/>
              </w:rPr>
              <w:t>-e)</w:t>
            </w:r>
          </w:p>
        </w:tc>
        <w:tc>
          <w:tcPr>
            <w:tcW w:w="1559" w:type="dxa"/>
            <w:gridSpan w:val="2"/>
            <w:tcBorders>
              <w:top w:val="single" w:sz="4" w:space="0" w:color="365F91"/>
              <w:left w:val="nil"/>
              <w:bottom w:val="nil"/>
              <w:right w:val="nil"/>
            </w:tcBorders>
            <w:shd w:val="clear" w:color="auto" w:fill="365F91"/>
            <w:vAlign w:val="bottom"/>
          </w:tcPr>
          <w:p w14:paraId="5B4E6B19" w14:textId="77777777" w:rsidR="00F849A7" w:rsidRPr="00D9348B" w:rsidRDefault="00F849A7" w:rsidP="00DB330E">
            <w:pPr>
              <w:pStyle w:val="TableTextBold"/>
              <w:spacing w:after="0"/>
              <w:jc w:val="center"/>
              <w:rPr>
                <w:rFonts w:cs="Calibri"/>
                <w:noProof w:val="0"/>
                <w:color w:val="FFFFFF"/>
                <w:szCs w:val="16"/>
              </w:rPr>
            </w:pPr>
            <w:r w:rsidRPr="00D9348B">
              <w:rPr>
                <w:rFonts w:cs="Calibri"/>
                <w:noProof w:val="0"/>
                <w:color w:val="FFFFFF"/>
                <w:szCs w:val="16"/>
              </w:rPr>
              <w:t xml:space="preserve">Change from </w:t>
            </w:r>
            <w:r w:rsidRPr="00D9348B">
              <w:rPr>
                <w:rFonts w:cs="Calibri"/>
                <w:noProof w:val="0"/>
                <w:color w:val="FFFFFF"/>
                <w:szCs w:val="16"/>
              </w:rPr>
              <w:br/>
              <w:t>1990–2018</w:t>
            </w:r>
          </w:p>
        </w:tc>
        <w:tc>
          <w:tcPr>
            <w:tcW w:w="1134" w:type="dxa"/>
            <w:tcBorders>
              <w:top w:val="single" w:sz="4" w:space="0" w:color="365F91"/>
              <w:left w:val="nil"/>
              <w:bottom w:val="nil"/>
              <w:right w:val="nil"/>
            </w:tcBorders>
            <w:shd w:val="clear" w:color="auto" w:fill="365F91"/>
            <w:vAlign w:val="bottom"/>
          </w:tcPr>
          <w:p w14:paraId="6A6F7CA4" w14:textId="77777777" w:rsidR="00F849A7" w:rsidRPr="00D9348B" w:rsidRDefault="00F849A7" w:rsidP="00DB330E">
            <w:pPr>
              <w:pStyle w:val="TableTextBold"/>
              <w:jc w:val="right"/>
              <w:rPr>
                <w:rFonts w:cs="Calibri"/>
                <w:noProof w:val="0"/>
                <w:color w:val="FFFFFF"/>
                <w:szCs w:val="16"/>
              </w:rPr>
            </w:pPr>
            <w:r w:rsidRPr="00D9348B">
              <w:rPr>
                <w:rFonts w:cs="Calibri"/>
                <w:noProof w:val="0"/>
                <w:color w:val="FFFFFF"/>
                <w:szCs w:val="16"/>
              </w:rPr>
              <w:t xml:space="preserve">Share of </w:t>
            </w:r>
            <w:r w:rsidRPr="00D9348B">
              <w:rPr>
                <w:rFonts w:cs="Calibri"/>
                <w:noProof w:val="0"/>
                <w:color w:val="FFFFFF"/>
                <w:szCs w:val="16"/>
              </w:rPr>
              <w:br/>
              <w:t>Agricultural soils category (%)</w:t>
            </w:r>
          </w:p>
        </w:tc>
        <w:tc>
          <w:tcPr>
            <w:tcW w:w="1191" w:type="dxa"/>
            <w:tcBorders>
              <w:top w:val="single" w:sz="4" w:space="0" w:color="365F91"/>
              <w:left w:val="nil"/>
              <w:bottom w:val="nil"/>
              <w:right w:val="nil"/>
            </w:tcBorders>
            <w:shd w:val="clear" w:color="auto" w:fill="365F91"/>
            <w:vAlign w:val="bottom"/>
          </w:tcPr>
          <w:p w14:paraId="520D8242" w14:textId="77777777" w:rsidR="00F849A7" w:rsidRPr="00D9348B" w:rsidRDefault="00F849A7" w:rsidP="00DB330E">
            <w:pPr>
              <w:pStyle w:val="TableTextBold"/>
              <w:jc w:val="right"/>
              <w:rPr>
                <w:rFonts w:cs="Calibri"/>
                <w:noProof w:val="0"/>
                <w:color w:val="FFFFFF"/>
                <w:szCs w:val="16"/>
              </w:rPr>
            </w:pPr>
            <w:r w:rsidRPr="00D9348B">
              <w:rPr>
                <w:rFonts w:cs="Calibri"/>
                <w:noProof w:val="0"/>
                <w:color w:val="FFFFFF"/>
                <w:szCs w:val="16"/>
              </w:rPr>
              <w:t xml:space="preserve">Share of total </w:t>
            </w:r>
            <w:r w:rsidRPr="00D9348B">
              <w:rPr>
                <w:rFonts w:cs="Calibri"/>
                <w:noProof w:val="0"/>
                <w:color w:val="FFFFFF"/>
                <w:szCs w:val="16"/>
              </w:rPr>
              <w:br/>
              <w:t xml:space="preserve">Agriculture sector </w:t>
            </w:r>
            <w:r w:rsidRPr="00D9348B">
              <w:rPr>
                <w:rFonts w:cs="Calibri"/>
                <w:noProof w:val="0"/>
                <w:color w:val="FFFFFF"/>
                <w:szCs w:val="16"/>
              </w:rPr>
              <w:br/>
              <w:t>(%)</w:t>
            </w:r>
          </w:p>
        </w:tc>
      </w:tr>
      <w:tr w:rsidR="00F849A7" w:rsidRPr="00D9348B" w14:paraId="1A79229C" w14:textId="77777777" w:rsidTr="00CF3D81">
        <w:tc>
          <w:tcPr>
            <w:tcW w:w="2977" w:type="dxa"/>
            <w:gridSpan w:val="2"/>
            <w:tcBorders>
              <w:top w:val="nil"/>
              <w:left w:val="nil"/>
              <w:bottom w:val="single" w:sz="4" w:space="0" w:color="365F91"/>
              <w:right w:val="nil"/>
            </w:tcBorders>
            <w:shd w:val="clear" w:color="auto" w:fill="365F91"/>
          </w:tcPr>
          <w:p w14:paraId="3756AFFC" w14:textId="77777777" w:rsidR="00F849A7" w:rsidRPr="00D9348B" w:rsidRDefault="00F849A7" w:rsidP="00DB330E">
            <w:pPr>
              <w:pStyle w:val="TableTextBold"/>
              <w:rPr>
                <w:rFonts w:cs="Calibri"/>
                <w:noProof w:val="0"/>
                <w:color w:val="FFFFFF"/>
                <w:szCs w:val="16"/>
              </w:rPr>
            </w:pPr>
            <w:r w:rsidRPr="00D9348B">
              <w:rPr>
                <w:rFonts w:cs="Calibri"/>
                <w:noProof w:val="0"/>
                <w:color w:val="FFFFFF"/>
                <w:szCs w:val="16"/>
              </w:rPr>
              <w:t>Agricultural soils category</w:t>
            </w:r>
          </w:p>
        </w:tc>
        <w:tc>
          <w:tcPr>
            <w:tcW w:w="851" w:type="dxa"/>
            <w:tcBorders>
              <w:top w:val="nil"/>
              <w:left w:val="nil"/>
              <w:bottom w:val="single" w:sz="4" w:space="0" w:color="365F91"/>
              <w:right w:val="nil"/>
            </w:tcBorders>
            <w:shd w:val="clear" w:color="auto" w:fill="365F91"/>
            <w:vAlign w:val="bottom"/>
          </w:tcPr>
          <w:p w14:paraId="13AA2AB2" w14:textId="77777777" w:rsidR="00F849A7" w:rsidRPr="00D9348B" w:rsidRDefault="00F849A7" w:rsidP="00DB330E">
            <w:pPr>
              <w:pStyle w:val="TableTextBold"/>
              <w:jc w:val="right"/>
              <w:rPr>
                <w:rFonts w:cs="Calibri"/>
                <w:noProof w:val="0"/>
                <w:color w:val="FFFFFF"/>
                <w:szCs w:val="16"/>
              </w:rPr>
            </w:pPr>
            <w:r w:rsidRPr="00D9348B">
              <w:rPr>
                <w:rFonts w:cs="Calibri"/>
                <w:noProof w:val="0"/>
                <w:color w:val="FFFFFF"/>
                <w:szCs w:val="16"/>
              </w:rPr>
              <w:t>1990</w:t>
            </w:r>
          </w:p>
        </w:tc>
        <w:tc>
          <w:tcPr>
            <w:tcW w:w="850" w:type="dxa"/>
            <w:tcBorders>
              <w:top w:val="nil"/>
              <w:left w:val="nil"/>
              <w:bottom w:val="single" w:sz="4" w:space="0" w:color="365F91"/>
              <w:right w:val="nil"/>
            </w:tcBorders>
            <w:shd w:val="clear" w:color="auto" w:fill="365F91"/>
            <w:vAlign w:val="bottom"/>
          </w:tcPr>
          <w:p w14:paraId="0234A178" w14:textId="77777777" w:rsidR="00F849A7" w:rsidRPr="00D9348B" w:rsidRDefault="00F849A7" w:rsidP="00DB330E">
            <w:pPr>
              <w:pStyle w:val="TableTextBold"/>
              <w:jc w:val="right"/>
              <w:rPr>
                <w:rFonts w:cs="Calibri"/>
                <w:noProof w:val="0"/>
                <w:color w:val="FFFFFF"/>
                <w:szCs w:val="16"/>
              </w:rPr>
            </w:pPr>
            <w:r w:rsidRPr="00D9348B">
              <w:rPr>
                <w:rFonts w:cs="Calibri"/>
                <w:noProof w:val="0"/>
                <w:color w:val="FFFFFF"/>
                <w:szCs w:val="16"/>
              </w:rPr>
              <w:t>2018</w:t>
            </w:r>
          </w:p>
        </w:tc>
        <w:tc>
          <w:tcPr>
            <w:tcW w:w="851" w:type="dxa"/>
            <w:tcBorders>
              <w:top w:val="nil"/>
              <w:left w:val="nil"/>
              <w:bottom w:val="single" w:sz="4" w:space="0" w:color="365F91"/>
              <w:right w:val="nil"/>
            </w:tcBorders>
            <w:shd w:val="clear" w:color="auto" w:fill="365F91"/>
            <w:vAlign w:val="bottom"/>
          </w:tcPr>
          <w:p w14:paraId="382331EA" w14:textId="77777777" w:rsidR="00F849A7" w:rsidRPr="00D9348B" w:rsidRDefault="00F849A7" w:rsidP="00DB330E">
            <w:pPr>
              <w:pStyle w:val="TableTextBold"/>
              <w:jc w:val="right"/>
              <w:rPr>
                <w:rFonts w:cs="Calibri"/>
                <w:noProof w:val="0"/>
                <w:color w:val="FFFFFF"/>
                <w:szCs w:val="16"/>
              </w:rPr>
            </w:pPr>
            <w:r w:rsidRPr="00D9348B">
              <w:rPr>
                <w:rFonts w:cs="Calibri"/>
                <w:noProof w:val="0"/>
                <w:color w:val="FFFFFF"/>
                <w:szCs w:val="16"/>
              </w:rPr>
              <w:t>kt CO</w:t>
            </w:r>
            <w:r w:rsidRPr="00D9348B">
              <w:rPr>
                <w:rFonts w:cs="Calibri"/>
                <w:noProof w:val="0"/>
                <w:color w:val="FFFFFF"/>
                <w:szCs w:val="16"/>
                <w:vertAlign w:val="subscript"/>
              </w:rPr>
              <w:t>2</w:t>
            </w:r>
            <w:r w:rsidRPr="00D9348B">
              <w:rPr>
                <w:rFonts w:cs="Calibri"/>
                <w:noProof w:val="0"/>
                <w:color w:val="FFFFFF"/>
                <w:szCs w:val="16"/>
              </w:rPr>
              <w:t>-e</w:t>
            </w:r>
          </w:p>
        </w:tc>
        <w:tc>
          <w:tcPr>
            <w:tcW w:w="708" w:type="dxa"/>
            <w:tcBorders>
              <w:top w:val="nil"/>
              <w:left w:val="nil"/>
              <w:bottom w:val="single" w:sz="4" w:space="0" w:color="365F91"/>
              <w:right w:val="nil"/>
            </w:tcBorders>
            <w:shd w:val="clear" w:color="auto" w:fill="365F91"/>
            <w:vAlign w:val="bottom"/>
          </w:tcPr>
          <w:p w14:paraId="393EB620" w14:textId="77777777" w:rsidR="00F849A7" w:rsidRPr="00D9348B" w:rsidRDefault="00F849A7" w:rsidP="00DB330E">
            <w:pPr>
              <w:pStyle w:val="TableTextBold"/>
              <w:jc w:val="right"/>
              <w:rPr>
                <w:rFonts w:cs="Calibri"/>
                <w:noProof w:val="0"/>
                <w:color w:val="FFFFFF"/>
                <w:szCs w:val="16"/>
              </w:rPr>
            </w:pPr>
            <w:r w:rsidRPr="00D9348B">
              <w:rPr>
                <w:rFonts w:cs="Calibri"/>
                <w:noProof w:val="0"/>
                <w:color w:val="FFFFFF"/>
                <w:szCs w:val="16"/>
              </w:rPr>
              <w:t>%</w:t>
            </w:r>
          </w:p>
        </w:tc>
        <w:tc>
          <w:tcPr>
            <w:tcW w:w="1134" w:type="dxa"/>
            <w:tcBorders>
              <w:top w:val="nil"/>
              <w:left w:val="nil"/>
              <w:bottom w:val="single" w:sz="4" w:space="0" w:color="365F91"/>
              <w:right w:val="nil"/>
            </w:tcBorders>
            <w:shd w:val="clear" w:color="auto" w:fill="365F91"/>
            <w:vAlign w:val="bottom"/>
          </w:tcPr>
          <w:p w14:paraId="35DDCB7B" w14:textId="77777777" w:rsidR="00F849A7" w:rsidRPr="00D9348B" w:rsidRDefault="00F849A7" w:rsidP="00DB330E">
            <w:pPr>
              <w:pStyle w:val="TableTextBold"/>
              <w:jc w:val="right"/>
              <w:rPr>
                <w:rFonts w:cs="Calibri"/>
                <w:noProof w:val="0"/>
                <w:color w:val="FFFFFF"/>
                <w:szCs w:val="16"/>
              </w:rPr>
            </w:pPr>
            <w:r w:rsidRPr="00D9348B">
              <w:rPr>
                <w:rFonts w:cs="Calibri"/>
                <w:noProof w:val="0"/>
                <w:color w:val="FFFFFF"/>
                <w:szCs w:val="16"/>
              </w:rPr>
              <w:t xml:space="preserve">2018 </w:t>
            </w:r>
          </w:p>
        </w:tc>
        <w:tc>
          <w:tcPr>
            <w:tcW w:w="1191" w:type="dxa"/>
            <w:tcBorders>
              <w:top w:val="nil"/>
              <w:left w:val="nil"/>
              <w:bottom w:val="single" w:sz="4" w:space="0" w:color="365F91"/>
              <w:right w:val="nil"/>
            </w:tcBorders>
            <w:shd w:val="clear" w:color="auto" w:fill="365F91"/>
            <w:vAlign w:val="bottom"/>
          </w:tcPr>
          <w:p w14:paraId="18D41011" w14:textId="77777777" w:rsidR="00F849A7" w:rsidRPr="00D9348B" w:rsidRDefault="00F849A7" w:rsidP="00DB330E">
            <w:pPr>
              <w:pStyle w:val="TableTextBold"/>
              <w:jc w:val="right"/>
              <w:rPr>
                <w:rFonts w:cs="Calibri"/>
                <w:noProof w:val="0"/>
                <w:color w:val="FFFFFF"/>
                <w:szCs w:val="16"/>
              </w:rPr>
            </w:pPr>
            <w:r w:rsidRPr="00D9348B">
              <w:rPr>
                <w:rFonts w:cs="Calibri"/>
                <w:noProof w:val="0"/>
                <w:color w:val="FFFFFF"/>
                <w:szCs w:val="16"/>
              </w:rPr>
              <w:t xml:space="preserve">2018 </w:t>
            </w:r>
          </w:p>
        </w:tc>
      </w:tr>
      <w:tr w:rsidR="00F849A7" w:rsidRPr="00D9348B" w14:paraId="577F9FFA" w14:textId="77777777" w:rsidTr="00CF3D81">
        <w:tc>
          <w:tcPr>
            <w:tcW w:w="813" w:type="dxa"/>
            <w:vMerge w:val="restart"/>
            <w:tcBorders>
              <w:top w:val="single" w:sz="4" w:space="0" w:color="365F91"/>
              <w:left w:val="nil"/>
              <w:right w:val="nil"/>
            </w:tcBorders>
            <w:shd w:val="clear" w:color="auto" w:fill="auto"/>
          </w:tcPr>
          <w:p w14:paraId="34318A9F" w14:textId="77777777" w:rsidR="00F849A7" w:rsidRPr="00D9348B" w:rsidRDefault="00F849A7" w:rsidP="00DB330E">
            <w:pPr>
              <w:pStyle w:val="TableText"/>
              <w:spacing w:after="50"/>
              <w:rPr>
                <w:rFonts w:cs="Calibri"/>
                <w:szCs w:val="16"/>
              </w:rPr>
            </w:pPr>
            <w:r w:rsidRPr="00D9348B">
              <w:rPr>
                <w:rFonts w:cs="Calibri"/>
                <w:szCs w:val="16"/>
              </w:rPr>
              <w:t>Direct</w:t>
            </w:r>
          </w:p>
        </w:tc>
        <w:tc>
          <w:tcPr>
            <w:tcW w:w="2164" w:type="dxa"/>
            <w:tcBorders>
              <w:top w:val="single" w:sz="4" w:space="0" w:color="365F91"/>
              <w:left w:val="nil"/>
              <w:bottom w:val="single" w:sz="4" w:space="0" w:color="365F91"/>
              <w:right w:val="nil"/>
            </w:tcBorders>
            <w:shd w:val="clear" w:color="auto" w:fill="auto"/>
            <w:vAlign w:val="bottom"/>
          </w:tcPr>
          <w:p w14:paraId="6B9FC855" w14:textId="77777777" w:rsidR="00F849A7" w:rsidRPr="00D9348B" w:rsidRDefault="00F849A7" w:rsidP="00DB330E">
            <w:pPr>
              <w:pStyle w:val="TableText"/>
              <w:spacing w:after="50"/>
              <w:rPr>
                <w:rFonts w:cs="Calibri"/>
                <w:szCs w:val="16"/>
              </w:rPr>
            </w:pPr>
            <w:r w:rsidRPr="00D9348B">
              <w:rPr>
                <w:rFonts w:cs="Calibri"/>
                <w:szCs w:val="16"/>
              </w:rPr>
              <w:t>Synthetic nitrogen fertilisers</w:t>
            </w:r>
          </w:p>
        </w:tc>
        <w:tc>
          <w:tcPr>
            <w:tcW w:w="851" w:type="dxa"/>
            <w:tcBorders>
              <w:top w:val="single" w:sz="4" w:space="0" w:color="365F91"/>
              <w:left w:val="nil"/>
              <w:bottom w:val="single" w:sz="4" w:space="0" w:color="365F91"/>
              <w:right w:val="nil"/>
            </w:tcBorders>
            <w:shd w:val="clear" w:color="auto" w:fill="auto"/>
            <w:vAlign w:val="bottom"/>
          </w:tcPr>
          <w:p w14:paraId="6BD54529" w14:textId="77777777" w:rsidR="00F849A7" w:rsidRPr="00D9348B" w:rsidRDefault="00F849A7" w:rsidP="00DB330E">
            <w:pPr>
              <w:pStyle w:val="TableText"/>
              <w:spacing w:after="50"/>
              <w:jc w:val="right"/>
              <w:rPr>
                <w:rFonts w:cs="Calibri"/>
                <w:szCs w:val="16"/>
              </w:rPr>
            </w:pPr>
            <w:r w:rsidRPr="00D9348B">
              <w:rPr>
                <w:rFonts w:cs="Calibri"/>
                <w:szCs w:val="16"/>
              </w:rPr>
              <w:t>230.3</w:t>
            </w:r>
          </w:p>
        </w:tc>
        <w:tc>
          <w:tcPr>
            <w:tcW w:w="850" w:type="dxa"/>
            <w:tcBorders>
              <w:top w:val="single" w:sz="4" w:space="0" w:color="365F91"/>
              <w:left w:val="nil"/>
              <w:bottom w:val="single" w:sz="4" w:space="0" w:color="365F91"/>
              <w:right w:val="nil"/>
            </w:tcBorders>
            <w:shd w:val="clear" w:color="auto" w:fill="auto"/>
            <w:vAlign w:val="bottom"/>
          </w:tcPr>
          <w:p w14:paraId="6FCB1F77" w14:textId="77777777" w:rsidR="00F849A7" w:rsidRPr="00D9348B" w:rsidRDefault="00F849A7" w:rsidP="00DB330E">
            <w:pPr>
              <w:pStyle w:val="TableText"/>
              <w:spacing w:after="50"/>
              <w:jc w:val="right"/>
              <w:rPr>
                <w:rFonts w:cs="Calibri"/>
                <w:szCs w:val="16"/>
              </w:rPr>
            </w:pPr>
            <w:r w:rsidRPr="00D9348B">
              <w:rPr>
                <w:rFonts w:cs="Calibri"/>
                <w:szCs w:val="16"/>
              </w:rPr>
              <w:t>1411.3</w:t>
            </w:r>
          </w:p>
        </w:tc>
        <w:tc>
          <w:tcPr>
            <w:tcW w:w="851" w:type="dxa"/>
            <w:tcBorders>
              <w:top w:val="single" w:sz="4" w:space="0" w:color="365F91"/>
              <w:left w:val="nil"/>
              <w:bottom w:val="single" w:sz="4" w:space="0" w:color="365F91"/>
              <w:right w:val="nil"/>
            </w:tcBorders>
            <w:shd w:val="clear" w:color="auto" w:fill="auto"/>
            <w:vAlign w:val="bottom"/>
          </w:tcPr>
          <w:p w14:paraId="5E8315E2" w14:textId="77777777" w:rsidR="00F849A7" w:rsidRPr="00D9348B" w:rsidRDefault="00F849A7" w:rsidP="00DB330E">
            <w:pPr>
              <w:pStyle w:val="TableText"/>
              <w:spacing w:after="50"/>
              <w:jc w:val="right"/>
              <w:rPr>
                <w:rFonts w:cs="Calibri"/>
                <w:szCs w:val="16"/>
              </w:rPr>
            </w:pPr>
            <w:r w:rsidRPr="00D9348B">
              <w:rPr>
                <w:rFonts w:cs="Calibri"/>
                <w:szCs w:val="16"/>
              </w:rPr>
              <w:t>1181.0</w:t>
            </w:r>
          </w:p>
        </w:tc>
        <w:tc>
          <w:tcPr>
            <w:tcW w:w="708" w:type="dxa"/>
            <w:tcBorders>
              <w:top w:val="single" w:sz="4" w:space="0" w:color="365F91"/>
              <w:left w:val="nil"/>
              <w:bottom w:val="single" w:sz="4" w:space="0" w:color="365F91"/>
              <w:right w:val="nil"/>
            </w:tcBorders>
            <w:shd w:val="clear" w:color="auto" w:fill="auto"/>
            <w:vAlign w:val="bottom"/>
          </w:tcPr>
          <w:p w14:paraId="65EB7077" w14:textId="77777777" w:rsidR="00F849A7" w:rsidRPr="00D9348B" w:rsidRDefault="00F849A7" w:rsidP="00DB330E">
            <w:pPr>
              <w:pStyle w:val="TableText"/>
              <w:spacing w:after="50"/>
              <w:jc w:val="right"/>
              <w:rPr>
                <w:rFonts w:cs="Calibri"/>
                <w:szCs w:val="16"/>
              </w:rPr>
            </w:pPr>
            <w:r w:rsidRPr="00D9348B">
              <w:rPr>
                <w:rFonts w:cs="Calibri"/>
                <w:szCs w:val="16"/>
              </w:rPr>
              <w:t>512.8</w:t>
            </w:r>
          </w:p>
        </w:tc>
        <w:tc>
          <w:tcPr>
            <w:tcW w:w="1134" w:type="dxa"/>
            <w:tcBorders>
              <w:top w:val="single" w:sz="4" w:space="0" w:color="365F91"/>
              <w:left w:val="nil"/>
              <w:bottom w:val="single" w:sz="4" w:space="0" w:color="365F91"/>
              <w:right w:val="nil"/>
            </w:tcBorders>
            <w:shd w:val="clear" w:color="auto" w:fill="auto"/>
            <w:vAlign w:val="bottom"/>
          </w:tcPr>
          <w:p w14:paraId="14467E9E" w14:textId="77777777" w:rsidR="00F849A7" w:rsidRPr="00D9348B" w:rsidRDefault="00F849A7" w:rsidP="00DB330E">
            <w:pPr>
              <w:pStyle w:val="TableText"/>
              <w:spacing w:after="50"/>
              <w:jc w:val="right"/>
              <w:rPr>
                <w:rFonts w:cs="Calibri"/>
                <w:szCs w:val="16"/>
              </w:rPr>
            </w:pPr>
            <w:r w:rsidRPr="00D9348B">
              <w:rPr>
                <w:rFonts w:cs="Calibri"/>
                <w:szCs w:val="16"/>
              </w:rPr>
              <w:t>20.1</w:t>
            </w:r>
          </w:p>
        </w:tc>
        <w:tc>
          <w:tcPr>
            <w:tcW w:w="1191" w:type="dxa"/>
            <w:tcBorders>
              <w:top w:val="single" w:sz="4" w:space="0" w:color="365F91"/>
              <w:left w:val="nil"/>
              <w:bottom w:val="single" w:sz="4" w:space="0" w:color="365F91"/>
              <w:right w:val="nil"/>
            </w:tcBorders>
            <w:shd w:val="clear" w:color="auto" w:fill="auto"/>
            <w:vAlign w:val="bottom"/>
          </w:tcPr>
          <w:p w14:paraId="6F7430C3" w14:textId="77777777" w:rsidR="00F849A7" w:rsidRPr="00D9348B" w:rsidRDefault="00F849A7" w:rsidP="00DB330E">
            <w:pPr>
              <w:pStyle w:val="TableText"/>
              <w:spacing w:after="50"/>
              <w:jc w:val="right"/>
              <w:rPr>
                <w:rFonts w:cs="Calibri"/>
                <w:szCs w:val="16"/>
              </w:rPr>
            </w:pPr>
            <w:r w:rsidRPr="00D9348B">
              <w:rPr>
                <w:rFonts w:cs="Calibri"/>
                <w:szCs w:val="16"/>
              </w:rPr>
              <w:t>3.7</w:t>
            </w:r>
          </w:p>
        </w:tc>
      </w:tr>
      <w:tr w:rsidR="00F849A7" w:rsidRPr="00D9348B" w14:paraId="39268849" w14:textId="77777777" w:rsidTr="00CF3D81">
        <w:tc>
          <w:tcPr>
            <w:tcW w:w="813" w:type="dxa"/>
            <w:vMerge/>
            <w:tcBorders>
              <w:left w:val="nil"/>
              <w:right w:val="nil"/>
            </w:tcBorders>
            <w:shd w:val="clear" w:color="auto" w:fill="auto"/>
          </w:tcPr>
          <w:p w14:paraId="56290C77" w14:textId="77777777" w:rsidR="00F849A7" w:rsidRPr="00D9348B" w:rsidRDefault="00F849A7" w:rsidP="00DB330E">
            <w:pPr>
              <w:pStyle w:val="TableText"/>
              <w:spacing w:after="50"/>
              <w:rPr>
                <w:rFonts w:cs="Calibri"/>
                <w:szCs w:val="16"/>
              </w:rPr>
            </w:pPr>
          </w:p>
        </w:tc>
        <w:tc>
          <w:tcPr>
            <w:tcW w:w="2164" w:type="dxa"/>
            <w:tcBorders>
              <w:top w:val="single" w:sz="4" w:space="0" w:color="365F91"/>
              <w:left w:val="nil"/>
              <w:bottom w:val="single" w:sz="4" w:space="0" w:color="365F91"/>
              <w:right w:val="nil"/>
            </w:tcBorders>
            <w:shd w:val="clear" w:color="auto" w:fill="auto"/>
            <w:vAlign w:val="bottom"/>
          </w:tcPr>
          <w:p w14:paraId="7FD0187A" w14:textId="77777777" w:rsidR="00F849A7" w:rsidRPr="00D9348B" w:rsidRDefault="00F849A7" w:rsidP="00DB330E">
            <w:pPr>
              <w:pStyle w:val="TableText"/>
              <w:spacing w:after="50"/>
              <w:rPr>
                <w:rFonts w:cs="Calibri"/>
                <w:szCs w:val="16"/>
              </w:rPr>
            </w:pPr>
            <w:r w:rsidRPr="00D9348B">
              <w:rPr>
                <w:rFonts w:cs="Calibri"/>
                <w:szCs w:val="16"/>
              </w:rPr>
              <w:t>Organic fertilisers (animal manure spread on pasture)</w:t>
            </w:r>
          </w:p>
        </w:tc>
        <w:tc>
          <w:tcPr>
            <w:tcW w:w="851" w:type="dxa"/>
            <w:tcBorders>
              <w:top w:val="single" w:sz="4" w:space="0" w:color="365F91"/>
              <w:left w:val="nil"/>
              <w:bottom w:val="single" w:sz="4" w:space="0" w:color="365F91"/>
              <w:right w:val="nil"/>
            </w:tcBorders>
            <w:shd w:val="clear" w:color="auto" w:fill="auto"/>
            <w:vAlign w:val="bottom"/>
          </w:tcPr>
          <w:p w14:paraId="6D480C0F" w14:textId="77777777" w:rsidR="00F849A7" w:rsidRPr="00D9348B" w:rsidRDefault="00F849A7" w:rsidP="00DB330E">
            <w:pPr>
              <w:pStyle w:val="TableText"/>
              <w:spacing w:after="50"/>
              <w:jc w:val="right"/>
              <w:rPr>
                <w:rFonts w:cs="Calibri"/>
                <w:szCs w:val="16"/>
              </w:rPr>
            </w:pPr>
            <w:r w:rsidRPr="00D9348B">
              <w:rPr>
                <w:rFonts w:cs="Calibri"/>
                <w:szCs w:val="16"/>
              </w:rPr>
              <w:t>36.8</w:t>
            </w:r>
          </w:p>
        </w:tc>
        <w:tc>
          <w:tcPr>
            <w:tcW w:w="850" w:type="dxa"/>
            <w:tcBorders>
              <w:top w:val="single" w:sz="4" w:space="0" w:color="365F91"/>
              <w:left w:val="nil"/>
              <w:bottom w:val="single" w:sz="4" w:space="0" w:color="365F91"/>
              <w:right w:val="nil"/>
            </w:tcBorders>
            <w:shd w:val="clear" w:color="auto" w:fill="auto"/>
            <w:vAlign w:val="bottom"/>
          </w:tcPr>
          <w:p w14:paraId="00039284" w14:textId="77777777" w:rsidR="00F849A7" w:rsidRPr="00D9348B" w:rsidRDefault="00F849A7" w:rsidP="00DB330E">
            <w:pPr>
              <w:pStyle w:val="TableText"/>
              <w:spacing w:after="50"/>
              <w:jc w:val="right"/>
              <w:rPr>
                <w:rFonts w:cs="Calibri"/>
                <w:szCs w:val="16"/>
              </w:rPr>
            </w:pPr>
            <w:r w:rsidRPr="00D9348B">
              <w:rPr>
                <w:rFonts w:cs="Calibri"/>
                <w:szCs w:val="16"/>
              </w:rPr>
              <w:t>79.1</w:t>
            </w:r>
          </w:p>
        </w:tc>
        <w:tc>
          <w:tcPr>
            <w:tcW w:w="851" w:type="dxa"/>
            <w:tcBorders>
              <w:top w:val="single" w:sz="4" w:space="0" w:color="365F91"/>
              <w:left w:val="nil"/>
              <w:bottom w:val="single" w:sz="4" w:space="0" w:color="365F91"/>
              <w:right w:val="nil"/>
            </w:tcBorders>
            <w:shd w:val="clear" w:color="auto" w:fill="auto"/>
            <w:vAlign w:val="bottom"/>
          </w:tcPr>
          <w:p w14:paraId="24187732" w14:textId="77777777" w:rsidR="00F849A7" w:rsidRPr="00D9348B" w:rsidRDefault="00F849A7" w:rsidP="00DB330E">
            <w:pPr>
              <w:pStyle w:val="TableText"/>
              <w:spacing w:after="50"/>
              <w:jc w:val="right"/>
              <w:rPr>
                <w:rFonts w:cs="Calibri"/>
                <w:szCs w:val="16"/>
              </w:rPr>
            </w:pPr>
            <w:r w:rsidRPr="00D9348B">
              <w:rPr>
                <w:rFonts w:cs="Calibri"/>
                <w:szCs w:val="16"/>
              </w:rPr>
              <w:t>42.2</w:t>
            </w:r>
          </w:p>
        </w:tc>
        <w:tc>
          <w:tcPr>
            <w:tcW w:w="708" w:type="dxa"/>
            <w:tcBorders>
              <w:top w:val="single" w:sz="4" w:space="0" w:color="365F91"/>
              <w:left w:val="nil"/>
              <w:bottom w:val="single" w:sz="4" w:space="0" w:color="365F91"/>
              <w:right w:val="nil"/>
            </w:tcBorders>
            <w:shd w:val="clear" w:color="auto" w:fill="auto"/>
            <w:vAlign w:val="bottom"/>
          </w:tcPr>
          <w:p w14:paraId="59A17734" w14:textId="77777777" w:rsidR="00F849A7" w:rsidRPr="00D9348B" w:rsidRDefault="00F849A7" w:rsidP="00DB330E">
            <w:pPr>
              <w:pStyle w:val="TableText"/>
              <w:spacing w:after="50"/>
              <w:jc w:val="right"/>
              <w:rPr>
                <w:rFonts w:cs="Calibri"/>
                <w:szCs w:val="16"/>
              </w:rPr>
            </w:pPr>
            <w:r w:rsidRPr="00D9348B">
              <w:rPr>
                <w:rFonts w:cs="Calibri"/>
                <w:szCs w:val="16"/>
              </w:rPr>
              <w:t>114.6</w:t>
            </w:r>
          </w:p>
        </w:tc>
        <w:tc>
          <w:tcPr>
            <w:tcW w:w="1134" w:type="dxa"/>
            <w:tcBorders>
              <w:top w:val="single" w:sz="4" w:space="0" w:color="365F91"/>
              <w:left w:val="nil"/>
              <w:bottom w:val="single" w:sz="4" w:space="0" w:color="365F91"/>
              <w:right w:val="nil"/>
            </w:tcBorders>
            <w:shd w:val="clear" w:color="auto" w:fill="auto"/>
            <w:vAlign w:val="bottom"/>
          </w:tcPr>
          <w:p w14:paraId="2266FCD7" w14:textId="77777777" w:rsidR="00F849A7" w:rsidRPr="00D9348B" w:rsidRDefault="00F849A7" w:rsidP="00DB330E">
            <w:pPr>
              <w:pStyle w:val="TableText"/>
              <w:spacing w:after="50"/>
              <w:jc w:val="right"/>
              <w:rPr>
                <w:rFonts w:cs="Calibri"/>
                <w:szCs w:val="16"/>
              </w:rPr>
            </w:pPr>
            <w:r w:rsidRPr="00D9348B">
              <w:rPr>
                <w:rFonts w:cs="Calibri"/>
                <w:szCs w:val="16"/>
              </w:rPr>
              <w:t>1.1</w:t>
            </w:r>
          </w:p>
        </w:tc>
        <w:tc>
          <w:tcPr>
            <w:tcW w:w="1191" w:type="dxa"/>
            <w:tcBorders>
              <w:top w:val="single" w:sz="4" w:space="0" w:color="365F91"/>
              <w:left w:val="nil"/>
              <w:bottom w:val="single" w:sz="4" w:space="0" w:color="365F91"/>
              <w:right w:val="nil"/>
            </w:tcBorders>
            <w:shd w:val="clear" w:color="auto" w:fill="auto"/>
            <w:vAlign w:val="bottom"/>
          </w:tcPr>
          <w:p w14:paraId="63FE9853" w14:textId="77777777" w:rsidR="00F849A7" w:rsidRPr="00D9348B" w:rsidRDefault="00F849A7" w:rsidP="00DB330E">
            <w:pPr>
              <w:pStyle w:val="TableText"/>
              <w:spacing w:after="50"/>
              <w:jc w:val="right"/>
              <w:rPr>
                <w:rFonts w:cs="Calibri"/>
                <w:szCs w:val="16"/>
              </w:rPr>
            </w:pPr>
            <w:r w:rsidRPr="00D9348B">
              <w:rPr>
                <w:rFonts w:cs="Calibri"/>
                <w:szCs w:val="16"/>
              </w:rPr>
              <w:t>0.2</w:t>
            </w:r>
          </w:p>
        </w:tc>
      </w:tr>
      <w:tr w:rsidR="00F849A7" w:rsidRPr="00D9348B" w14:paraId="1814B212" w14:textId="77777777" w:rsidTr="00CF3D81">
        <w:tc>
          <w:tcPr>
            <w:tcW w:w="813" w:type="dxa"/>
            <w:vMerge/>
            <w:tcBorders>
              <w:left w:val="nil"/>
              <w:right w:val="nil"/>
            </w:tcBorders>
            <w:shd w:val="clear" w:color="auto" w:fill="auto"/>
          </w:tcPr>
          <w:p w14:paraId="16473416" w14:textId="77777777" w:rsidR="00F849A7" w:rsidRPr="00D9348B" w:rsidRDefault="00F849A7" w:rsidP="00DB330E">
            <w:pPr>
              <w:pStyle w:val="TableText"/>
              <w:spacing w:after="50"/>
              <w:rPr>
                <w:rFonts w:cs="Calibri"/>
                <w:szCs w:val="16"/>
              </w:rPr>
            </w:pPr>
          </w:p>
        </w:tc>
        <w:tc>
          <w:tcPr>
            <w:tcW w:w="2164" w:type="dxa"/>
            <w:tcBorders>
              <w:top w:val="single" w:sz="4" w:space="0" w:color="365F91"/>
              <w:left w:val="nil"/>
              <w:bottom w:val="single" w:sz="4" w:space="0" w:color="365F91"/>
              <w:right w:val="nil"/>
            </w:tcBorders>
            <w:shd w:val="clear" w:color="auto" w:fill="auto"/>
            <w:vAlign w:val="bottom"/>
          </w:tcPr>
          <w:p w14:paraId="44A5E21F" w14:textId="77777777" w:rsidR="00F849A7" w:rsidRPr="00D9348B" w:rsidRDefault="00F849A7" w:rsidP="00DB330E">
            <w:pPr>
              <w:pStyle w:val="TableText"/>
              <w:spacing w:after="50"/>
              <w:rPr>
                <w:rFonts w:cs="Calibri"/>
                <w:szCs w:val="16"/>
              </w:rPr>
            </w:pPr>
            <w:r w:rsidRPr="00D9348B">
              <w:rPr>
                <w:rFonts w:cs="Calibri"/>
                <w:szCs w:val="16"/>
              </w:rPr>
              <w:t>Pasture, range and paddock manure</w:t>
            </w:r>
          </w:p>
        </w:tc>
        <w:tc>
          <w:tcPr>
            <w:tcW w:w="851" w:type="dxa"/>
            <w:tcBorders>
              <w:top w:val="single" w:sz="4" w:space="0" w:color="365F91"/>
              <w:left w:val="nil"/>
              <w:bottom w:val="single" w:sz="4" w:space="0" w:color="365F91"/>
              <w:right w:val="nil"/>
            </w:tcBorders>
            <w:shd w:val="clear" w:color="auto" w:fill="auto"/>
            <w:vAlign w:val="bottom"/>
          </w:tcPr>
          <w:p w14:paraId="2AE08698" w14:textId="77777777" w:rsidR="00F849A7" w:rsidRPr="00D9348B" w:rsidRDefault="00F849A7" w:rsidP="00DB330E">
            <w:pPr>
              <w:pStyle w:val="TableText"/>
              <w:spacing w:after="50"/>
              <w:jc w:val="right"/>
              <w:rPr>
                <w:rFonts w:cs="Calibri"/>
                <w:szCs w:val="16"/>
              </w:rPr>
            </w:pPr>
            <w:r w:rsidRPr="00D9348B">
              <w:rPr>
                <w:rFonts w:cs="Calibri"/>
                <w:szCs w:val="16"/>
              </w:rPr>
              <w:t>2,926.9</w:t>
            </w:r>
          </w:p>
        </w:tc>
        <w:tc>
          <w:tcPr>
            <w:tcW w:w="850" w:type="dxa"/>
            <w:tcBorders>
              <w:top w:val="single" w:sz="4" w:space="0" w:color="365F91"/>
              <w:left w:val="nil"/>
              <w:bottom w:val="single" w:sz="4" w:space="0" w:color="365F91"/>
              <w:right w:val="nil"/>
            </w:tcBorders>
            <w:shd w:val="clear" w:color="auto" w:fill="auto"/>
            <w:vAlign w:val="bottom"/>
          </w:tcPr>
          <w:p w14:paraId="02984C11" w14:textId="77777777" w:rsidR="00F849A7" w:rsidRPr="00D9348B" w:rsidRDefault="00F849A7" w:rsidP="00DB330E">
            <w:pPr>
              <w:pStyle w:val="TableText"/>
              <w:spacing w:after="50"/>
              <w:jc w:val="right"/>
              <w:rPr>
                <w:rFonts w:cs="Calibri"/>
                <w:szCs w:val="16"/>
              </w:rPr>
            </w:pPr>
            <w:r w:rsidRPr="00D9348B">
              <w:rPr>
                <w:rFonts w:cs="Calibri"/>
                <w:szCs w:val="16"/>
              </w:rPr>
              <w:t>38,24.2</w:t>
            </w:r>
          </w:p>
        </w:tc>
        <w:tc>
          <w:tcPr>
            <w:tcW w:w="851" w:type="dxa"/>
            <w:tcBorders>
              <w:top w:val="single" w:sz="4" w:space="0" w:color="365F91"/>
              <w:left w:val="nil"/>
              <w:bottom w:val="single" w:sz="4" w:space="0" w:color="365F91"/>
              <w:right w:val="nil"/>
            </w:tcBorders>
            <w:shd w:val="clear" w:color="auto" w:fill="auto"/>
            <w:vAlign w:val="bottom"/>
          </w:tcPr>
          <w:p w14:paraId="27AAC94C" w14:textId="77777777" w:rsidR="00F849A7" w:rsidRPr="00D9348B" w:rsidRDefault="00F849A7" w:rsidP="00DB330E">
            <w:pPr>
              <w:pStyle w:val="TableText"/>
              <w:spacing w:after="50"/>
              <w:jc w:val="right"/>
              <w:rPr>
                <w:rFonts w:cs="Calibri"/>
                <w:szCs w:val="16"/>
              </w:rPr>
            </w:pPr>
            <w:r w:rsidRPr="00D9348B">
              <w:rPr>
                <w:rFonts w:cs="Calibri"/>
                <w:szCs w:val="16"/>
              </w:rPr>
              <w:t>897.4</w:t>
            </w:r>
          </w:p>
        </w:tc>
        <w:tc>
          <w:tcPr>
            <w:tcW w:w="708" w:type="dxa"/>
            <w:tcBorders>
              <w:top w:val="single" w:sz="4" w:space="0" w:color="365F91"/>
              <w:left w:val="nil"/>
              <w:bottom w:val="single" w:sz="4" w:space="0" w:color="365F91"/>
              <w:right w:val="nil"/>
            </w:tcBorders>
            <w:shd w:val="clear" w:color="auto" w:fill="auto"/>
            <w:vAlign w:val="bottom"/>
          </w:tcPr>
          <w:p w14:paraId="5DF92707" w14:textId="77777777" w:rsidR="00F849A7" w:rsidRPr="00D9348B" w:rsidRDefault="00F849A7" w:rsidP="00DB330E">
            <w:pPr>
              <w:pStyle w:val="TableText"/>
              <w:spacing w:after="50"/>
              <w:jc w:val="right"/>
              <w:rPr>
                <w:rFonts w:cs="Calibri"/>
                <w:szCs w:val="16"/>
              </w:rPr>
            </w:pPr>
            <w:r w:rsidRPr="00D9348B">
              <w:rPr>
                <w:rFonts w:cs="Calibri"/>
                <w:szCs w:val="16"/>
              </w:rPr>
              <w:t>30.7</w:t>
            </w:r>
          </w:p>
        </w:tc>
        <w:tc>
          <w:tcPr>
            <w:tcW w:w="1134" w:type="dxa"/>
            <w:tcBorders>
              <w:top w:val="single" w:sz="4" w:space="0" w:color="365F91"/>
              <w:left w:val="nil"/>
              <w:bottom w:val="single" w:sz="4" w:space="0" w:color="365F91"/>
              <w:right w:val="nil"/>
            </w:tcBorders>
            <w:shd w:val="clear" w:color="auto" w:fill="auto"/>
            <w:vAlign w:val="bottom"/>
          </w:tcPr>
          <w:p w14:paraId="3A5B0DC9" w14:textId="77777777" w:rsidR="00F849A7" w:rsidRPr="00D9348B" w:rsidRDefault="00F849A7" w:rsidP="00DB330E">
            <w:pPr>
              <w:pStyle w:val="TableText"/>
              <w:spacing w:after="50"/>
              <w:jc w:val="right"/>
              <w:rPr>
                <w:rFonts w:cs="Calibri"/>
                <w:szCs w:val="16"/>
              </w:rPr>
            </w:pPr>
            <w:r w:rsidRPr="00D9348B">
              <w:rPr>
                <w:rFonts w:cs="Calibri"/>
                <w:szCs w:val="16"/>
              </w:rPr>
              <w:t>54.4</w:t>
            </w:r>
          </w:p>
        </w:tc>
        <w:tc>
          <w:tcPr>
            <w:tcW w:w="1191" w:type="dxa"/>
            <w:tcBorders>
              <w:top w:val="single" w:sz="4" w:space="0" w:color="365F91"/>
              <w:left w:val="nil"/>
              <w:bottom w:val="single" w:sz="4" w:space="0" w:color="365F91"/>
              <w:right w:val="nil"/>
            </w:tcBorders>
            <w:shd w:val="clear" w:color="auto" w:fill="auto"/>
            <w:vAlign w:val="bottom"/>
          </w:tcPr>
          <w:p w14:paraId="522CB47B" w14:textId="77777777" w:rsidR="00F849A7" w:rsidRPr="00D9348B" w:rsidRDefault="00F849A7" w:rsidP="00DB330E">
            <w:pPr>
              <w:pStyle w:val="TableText"/>
              <w:spacing w:after="50"/>
              <w:jc w:val="right"/>
              <w:rPr>
                <w:rFonts w:cs="Calibri"/>
                <w:szCs w:val="16"/>
              </w:rPr>
            </w:pPr>
            <w:r w:rsidRPr="00D9348B">
              <w:rPr>
                <w:rFonts w:cs="Calibri"/>
                <w:szCs w:val="16"/>
              </w:rPr>
              <w:t>10.1</w:t>
            </w:r>
          </w:p>
        </w:tc>
      </w:tr>
      <w:tr w:rsidR="00F849A7" w:rsidRPr="00D9348B" w14:paraId="3385FD71" w14:textId="77777777" w:rsidTr="00CF3D81">
        <w:tc>
          <w:tcPr>
            <w:tcW w:w="813" w:type="dxa"/>
            <w:vMerge/>
            <w:tcBorders>
              <w:left w:val="nil"/>
              <w:right w:val="nil"/>
            </w:tcBorders>
            <w:shd w:val="clear" w:color="auto" w:fill="auto"/>
          </w:tcPr>
          <w:p w14:paraId="6D0018C7" w14:textId="77777777" w:rsidR="00F849A7" w:rsidRPr="00D9348B" w:rsidRDefault="00F849A7" w:rsidP="00DB330E">
            <w:pPr>
              <w:pStyle w:val="TableText"/>
              <w:spacing w:after="50"/>
              <w:rPr>
                <w:rFonts w:cs="Calibri"/>
                <w:szCs w:val="16"/>
              </w:rPr>
            </w:pPr>
          </w:p>
        </w:tc>
        <w:tc>
          <w:tcPr>
            <w:tcW w:w="2164" w:type="dxa"/>
            <w:tcBorders>
              <w:top w:val="single" w:sz="4" w:space="0" w:color="365F91"/>
              <w:left w:val="nil"/>
              <w:bottom w:val="single" w:sz="4" w:space="0" w:color="365F91"/>
              <w:right w:val="nil"/>
            </w:tcBorders>
            <w:shd w:val="clear" w:color="auto" w:fill="auto"/>
            <w:vAlign w:val="bottom"/>
          </w:tcPr>
          <w:p w14:paraId="37C38BFF" w14:textId="77777777" w:rsidR="00F849A7" w:rsidRPr="00D9348B" w:rsidRDefault="00F849A7" w:rsidP="00DB330E">
            <w:pPr>
              <w:pStyle w:val="TableText"/>
              <w:spacing w:after="50"/>
              <w:rPr>
                <w:rFonts w:cs="Calibri"/>
                <w:szCs w:val="16"/>
              </w:rPr>
            </w:pPr>
            <w:r w:rsidRPr="00D9348B">
              <w:rPr>
                <w:rFonts w:cs="Calibri"/>
                <w:szCs w:val="16"/>
              </w:rPr>
              <w:t xml:space="preserve">Crop residue </w:t>
            </w:r>
          </w:p>
        </w:tc>
        <w:tc>
          <w:tcPr>
            <w:tcW w:w="851" w:type="dxa"/>
            <w:tcBorders>
              <w:top w:val="single" w:sz="4" w:space="0" w:color="365F91"/>
              <w:left w:val="nil"/>
              <w:bottom w:val="single" w:sz="4" w:space="0" w:color="365F91"/>
              <w:right w:val="nil"/>
            </w:tcBorders>
            <w:shd w:val="clear" w:color="auto" w:fill="auto"/>
            <w:vAlign w:val="bottom"/>
          </w:tcPr>
          <w:p w14:paraId="63DE794C" w14:textId="77777777" w:rsidR="00F849A7" w:rsidRPr="00D9348B" w:rsidRDefault="00F849A7" w:rsidP="00DB330E">
            <w:pPr>
              <w:pStyle w:val="TableText"/>
              <w:spacing w:after="50"/>
              <w:jc w:val="right"/>
              <w:rPr>
                <w:rFonts w:cs="Calibri"/>
                <w:szCs w:val="16"/>
              </w:rPr>
            </w:pPr>
            <w:r w:rsidRPr="00D9348B">
              <w:rPr>
                <w:rFonts w:cs="Calibri"/>
                <w:szCs w:val="16"/>
              </w:rPr>
              <w:t>175.5</w:t>
            </w:r>
          </w:p>
        </w:tc>
        <w:tc>
          <w:tcPr>
            <w:tcW w:w="850" w:type="dxa"/>
            <w:tcBorders>
              <w:top w:val="single" w:sz="4" w:space="0" w:color="365F91"/>
              <w:left w:val="nil"/>
              <w:bottom w:val="single" w:sz="4" w:space="0" w:color="365F91"/>
              <w:right w:val="nil"/>
            </w:tcBorders>
            <w:shd w:val="clear" w:color="auto" w:fill="auto"/>
            <w:vAlign w:val="bottom"/>
          </w:tcPr>
          <w:p w14:paraId="68E03345" w14:textId="77777777" w:rsidR="00F849A7" w:rsidRPr="00D9348B" w:rsidRDefault="00F849A7" w:rsidP="00DB330E">
            <w:pPr>
              <w:pStyle w:val="TableText"/>
              <w:spacing w:after="50"/>
              <w:jc w:val="right"/>
              <w:rPr>
                <w:rFonts w:cs="Calibri"/>
                <w:szCs w:val="16"/>
              </w:rPr>
            </w:pPr>
            <w:r w:rsidRPr="00D9348B">
              <w:rPr>
                <w:rFonts w:cs="Calibri"/>
                <w:szCs w:val="16"/>
              </w:rPr>
              <w:t>253.2</w:t>
            </w:r>
          </w:p>
        </w:tc>
        <w:tc>
          <w:tcPr>
            <w:tcW w:w="851" w:type="dxa"/>
            <w:tcBorders>
              <w:top w:val="single" w:sz="4" w:space="0" w:color="365F91"/>
              <w:left w:val="nil"/>
              <w:bottom w:val="single" w:sz="4" w:space="0" w:color="365F91"/>
              <w:right w:val="nil"/>
            </w:tcBorders>
            <w:shd w:val="clear" w:color="auto" w:fill="auto"/>
            <w:vAlign w:val="bottom"/>
          </w:tcPr>
          <w:p w14:paraId="7C1BD606" w14:textId="77777777" w:rsidR="00F849A7" w:rsidRPr="00D9348B" w:rsidRDefault="00F849A7" w:rsidP="00DB330E">
            <w:pPr>
              <w:pStyle w:val="TableText"/>
              <w:spacing w:after="50"/>
              <w:jc w:val="right"/>
              <w:rPr>
                <w:rFonts w:cs="Calibri"/>
                <w:szCs w:val="16"/>
              </w:rPr>
            </w:pPr>
            <w:r w:rsidRPr="00D9348B">
              <w:rPr>
                <w:rFonts w:cs="Calibri"/>
                <w:szCs w:val="16"/>
              </w:rPr>
              <w:t>77.7</w:t>
            </w:r>
          </w:p>
        </w:tc>
        <w:tc>
          <w:tcPr>
            <w:tcW w:w="708" w:type="dxa"/>
            <w:tcBorders>
              <w:top w:val="single" w:sz="4" w:space="0" w:color="365F91"/>
              <w:left w:val="nil"/>
              <w:bottom w:val="single" w:sz="4" w:space="0" w:color="365F91"/>
              <w:right w:val="nil"/>
            </w:tcBorders>
            <w:shd w:val="clear" w:color="auto" w:fill="auto"/>
            <w:vAlign w:val="bottom"/>
          </w:tcPr>
          <w:p w14:paraId="52EE9CF7" w14:textId="77777777" w:rsidR="00F849A7" w:rsidRPr="00D9348B" w:rsidRDefault="00F849A7" w:rsidP="00DB330E">
            <w:pPr>
              <w:pStyle w:val="TableText"/>
              <w:spacing w:after="50"/>
              <w:jc w:val="right"/>
              <w:rPr>
                <w:rFonts w:cs="Calibri"/>
                <w:szCs w:val="16"/>
              </w:rPr>
            </w:pPr>
            <w:r w:rsidRPr="00D9348B">
              <w:rPr>
                <w:rFonts w:cs="Calibri"/>
                <w:szCs w:val="16"/>
              </w:rPr>
              <w:t>44.3</w:t>
            </w:r>
          </w:p>
        </w:tc>
        <w:tc>
          <w:tcPr>
            <w:tcW w:w="1134" w:type="dxa"/>
            <w:tcBorders>
              <w:top w:val="single" w:sz="4" w:space="0" w:color="365F91"/>
              <w:left w:val="nil"/>
              <w:bottom w:val="single" w:sz="4" w:space="0" w:color="365F91"/>
              <w:right w:val="nil"/>
            </w:tcBorders>
            <w:shd w:val="clear" w:color="auto" w:fill="auto"/>
            <w:vAlign w:val="bottom"/>
          </w:tcPr>
          <w:p w14:paraId="27088214" w14:textId="77777777" w:rsidR="00F849A7" w:rsidRPr="00D9348B" w:rsidRDefault="00F849A7" w:rsidP="00DB330E">
            <w:pPr>
              <w:pStyle w:val="TableText"/>
              <w:spacing w:after="50"/>
              <w:jc w:val="right"/>
              <w:rPr>
                <w:rFonts w:cs="Calibri"/>
                <w:szCs w:val="16"/>
              </w:rPr>
            </w:pPr>
            <w:r w:rsidRPr="00D9348B">
              <w:rPr>
                <w:rFonts w:cs="Calibri"/>
                <w:szCs w:val="16"/>
              </w:rPr>
              <w:t>3.6</w:t>
            </w:r>
          </w:p>
        </w:tc>
        <w:tc>
          <w:tcPr>
            <w:tcW w:w="1191" w:type="dxa"/>
            <w:tcBorders>
              <w:top w:val="single" w:sz="4" w:space="0" w:color="365F91"/>
              <w:left w:val="nil"/>
              <w:bottom w:val="single" w:sz="4" w:space="0" w:color="365F91"/>
              <w:right w:val="nil"/>
            </w:tcBorders>
            <w:shd w:val="clear" w:color="auto" w:fill="auto"/>
            <w:vAlign w:val="bottom"/>
          </w:tcPr>
          <w:p w14:paraId="0C7304A6" w14:textId="77777777" w:rsidR="00F849A7" w:rsidRPr="00D9348B" w:rsidRDefault="00F849A7" w:rsidP="00DB330E">
            <w:pPr>
              <w:pStyle w:val="TableText"/>
              <w:spacing w:after="50"/>
              <w:jc w:val="right"/>
              <w:rPr>
                <w:rFonts w:cs="Calibri"/>
                <w:szCs w:val="16"/>
              </w:rPr>
            </w:pPr>
            <w:r w:rsidRPr="00D9348B">
              <w:rPr>
                <w:rFonts w:cs="Calibri"/>
                <w:szCs w:val="16"/>
              </w:rPr>
              <w:t>0.7</w:t>
            </w:r>
          </w:p>
        </w:tc>
      </w:tr>
      <w:tr w:rsidR="00F849A7" w:rsidRPr="00D9348B" w14:paraId="3D2CEE02" w14:textId="77777777" w:rsidTr="00CF3D81">
        <w:tc>
          <w:tcPr>
            <w:tcW w:w="813" w:type="dxa"/>
            <w:vMerge/>
            <w:tcBorders>
              <w:left w:val="nil"/>
              <w:right w:val="nil"/>
            </w:tcBorders>
            <w:shd w:val="clear" w:color="auto" w:fill="auto"/>
          </w:tcPr>
          <w:p w14:paraId="3658A72D" w14:textId="77777777" w:rsidR="00F849A7" w:rsidRPr="00D9348B" w:rsidRDefault="00F849A7" w:rsidP="00DB330E">
            <w:pPr>
              <w:pStyle w:val="TableText"/>
              <w:spacing w:after="50"/>
              <w:rPr>
                <w:rFonts w:cs="Calibri"/>
                <w:szCs w:val="16"/>
              </w:rPr>
            </w:pPr>
          </w:p>
        </w:tc>
        <w:tc>
          <w:tcPr>
            <w:tcW w:w="2164" w:type="dxa"/>
            <w:tcBorders>
              <w:top w:val="single" w:sz="4" w:space="0" w:color="365F91"/>
              <w:left w:val="nil"/>
              <w:bottom w:val="single" w:sz="4" w:space="0" w:color="365F91"/>
              <w:right w:val="nil"/>
            </w:tcBorders>
            <w:shd w:val="clear" w:color="auto" w:fill="auto"/>
            <w:vAlign w:val="bottom"/>
          </w:tcPr>
          <w:p w14:paraId="02123BFF" w14:textId="77777777" w:rsidR="00F849A7" w:rsidRPr="00D9348B" w:rsidRDefault="00F849A7" w:rsidP="00DB330E">
            <w:pPr>
              <w:pStyle w:val="TableText"/>
              <w:spacing w:after="50"/>
              <w:rPr>
                <w:rFonts w:cs="Calibri"/>
                <w:szCs w:val="16"/>
              </w:rPr>
            </w:pPr>
            <w:r w:rsidRPr="00D9348B">
              <w:rPr>
                <w:rFonts w:cs="Calibri"/>
                <w:szCs w:val="16"/>
              </w:rPr>
              <w:t>Cropland nitrogen mineralisation from soil organic matter loss</w:t>
            </w:r>
          </w:p>
        </w:tc>
        <w:tc>
          <w:tcPr>
            <w:tcW w:w="851" w:type="dxa"/>
            <w:tcBorders>
              <w:top w:val="single" w:sz="4" w:space="0" w:color="365F91"/>
              <w:left w:val="nil"/>
              <w:bottom w:val="single" w:sz="4" w:space="0" w:color="365F91"/>
              <w:right w:val="nil"/>
            </w:tcBorders>
            <w:shd w:val="clear" w:color="auto" w:fill="auto"/>
            <w:vAlign w:val="bottom"/>
          </w:tcPr>
          <w:p w14:paraId="10946687" w14:textId="77777777" w:rsidR="00F849A7" w:rsidRPr="00D9348B" w:rsidRDefault="00F849A7" w:rsidP="00DB330E">
            <w:pPr>
              <w:pStyle w:val="TableText"/>
              <w:spacing w:after="50"/>
              <w:jc w:val="right"/>
              <w:rPr>
                <w:rFonts w:cs="Calibri"/>
                <w:szCs w:val="16"/>
              </w:rPr>
            </w:pPr>
            <w:r w:rsidRPr="00D9348B">
              <w:rPr>
                <w:rFonts w:cs="Calibri"/>
                <w:szCs w:val="16"/>
              </w:rPr>
              <w:t>0.03</w:t>
            </w:r>
          </w:p>
        </w:tc>
        <w:tc>
          <w:tcPr>
            <w:tcW w:w="850" w:type="dxa"/>
            <w:tcBorders>
              <w:top w:val="single" w:sz="4" w:space="0" w:color="365F91"/>
              <w:left w:val="nil"/>
              <w:bottom w:val="single" w:sz="4" w:space="0" w:color="365F91"/>
              <w:right w:val="nil"/>
            </w:tcBorders>
            <w:shd w:val="clear" w:color="auto" w:fill="auto"/>
            <w:vAlign w:val="bottom"/>
          </w:tcPr>
          <w:p w14:paraId="282E0810" w14:textId="77777777" w:rsidR="00F849A7" w:rsidRPr="00D9348B" w:rsidRDefault="00F849A7" w:rsidP="00DB330E">
            <w:pPr>
              <w:pStyle w:val="TableText"/>
              <w:spacing w:after="50"/>
              <w:jc w:val="right"/>
              <w:rPr>
                <w:rFonts w:cs="Calibri"/>
                <w:szCs w:val="16"/>
              </w:rPr>
            </w:pPr>
            <w:r w:rsidRPr="00D9348B">
              <w:rPr>
                <w:rFonts w:cs="Calibri"/>
                <w:szCs w:val="16"/>
              </w:rPr>
              <w:t>0.1</w:t>
            </w:r>
          </w:p>
        </w:tc>
        <w:tc>
          <w:tcPr>
            <w:tcW w:w="851" w:type="dxa"/>
            <w:tcBorders>
              <w:top w:val="single" w:sz="4" w:space="0" w:color="365F91"/>
              <w:left w:val="nil"/>
              <w:bottom w:val="single" w:sz="4" w:space="0" w:color="365F91"/>
              <w:right w:val="nil"/>
            </w:tcBorders>
            <w:shd w:val="clear" w:color="auto" w:fill="auto"/>
            <w:vAlign w:val="bottom"/>
          </w:tcPr>
          <w:p w14:paraId="08F80F14" w14:textId="77777777" w:rsidR="00F849A7" w:rsidRPr="00D9348B" w:rsidRDefault="00F849A7" w:rsidP="00DB330E">
            <w:pPr>
              <w:pStyle w:val="TableText"/>
              <w:spacing w:after="50"/>
              <w:jc w:val="right"/>
              <w:rPr>
                <w:rFonts w:cs="Calibri"/>
                <w:szCs w:val="16"/>
              </w:rPr>
            </w:pPr>
            <w:r w:rsidRPr="00D9348B">
              <w:rPr>
                <w:rFonts w:cs="Calibri"/>
                <w:szCs w:val="16"/>
              </w:rPr>
              <w:t>0.1</w:t>
            </w:r>
          </w:p>
        </w:tc>
        <w:tc>
          <w:tcPr>
            <w:tcW w:w="708" w:type="dxa"/>
            <w:tcBorders>
              <w:top w:val="single" w:sz="4" w:space="0" w:color="365F91"/>
              <w:left w:val="nil"/>
              <w:bottom w:val="single" w:sz="4" w:space="0" w:color="365F91"/>
              <w:right w:val="nil"/>
            </w:tcBorders>
            <w:shd w:val="clear" w:color="auto" w:fill="auto"/>
            <w:vAlign w:val="bottom"/>
          </w:tcPr>
          <w:p w14:paraId="2F672DC3" w14:textId="77777777" w:rsidR="00F849A7" w:rsidRPr="00D9348B" w:rsidRDefault="00F849A7" w:rsidP="00DB330E">
            <w:pPr>
              <w:pStyle w:val="TableText"/>
              <w:spacing w:after="50"/>
              <w:jc w:val="right"/>
              <w:rPr>
                <w:rFonts w:cs="Calibri"/>
                <w:szCs w:val="16"/>
              </w:rPr>
            </w:pPr>
            <w:r w:rsidRPr="00D9348B">
              <w:rPr>
                <w:rFonts w:cs="Calibri"/>
                <w:szCs w:val="16"/>
              </w:rPr>
              <w:t>390.1</w:t>
            </w:r>
          </w:p>
        </w:tc>
        <w:tc>
          <w:tcPr>
            <w:tcW w:w="1134" w:type="dxa"/>
            <w:tcBorders>
              <w:top w:val="single" w:sz="4" w:space="0" w:color="365F91"/>
              <w:left w:val="nil"/>
              <w:bottom w:val="single" w:sz="4" w:space="0" w:color="365F91"/>
              <w:right w:val="nil"/>
            </w:tcBorders>
            <w:shd w:val="clear" w:color="auto" w:fill="auto"/>
            <w:vAlign w:val="bottom"/>
          </w:tcPr>
          <w:p w14:paraId="24534DDC" w14:textId="77777777" w:rsidR="00F849A7" w:rsidRPr="00D9348B" w:rsidRDefault="00F849A7" w:rsidP="00DB330E">
            <w:pPr>
              <w:pStyle w:val="TableText"/>
              <w:spacing w:after="50"/>
              <w:jc w:val="right"/>
              <w:rPr>
                <w:rFonts w:cs="Calibri"/>
                <w:szCs w:val="16"/>
              </w:rPr>
            </w:pPr>
            <w:r w:rsidRPr="00D9348B">
              <w:rPr>
                <w:rFonts w:cs="Calibri"/>
                <w:szCs w:val="16"/>
              </w:rPr>
              <w:t>0.0</w:t>
            </w:r>
          </w:p>
        </w:tc>
        <w:tc>
          <w:tcPr>
            <w:tcW w:w="1191" w:type="dxa"/>
            <w:tcBorders>
              <w:top w:val="single" w:sz="4" w:space="0" w:color="365F91"/>
              <w:left w:val="nil"/>
              <w:bottom w:val="single" w:sz="4" w:space="0" w:color="365F91"/>
              <w:right w:val="nil"/>
            </w:tcBorders>
            <w:shd w:val="clear" w:color="auto" w:fill="auto"/>
            <w:vAlign w:val="bottom"/>
          </w:tcPr>
          <w:p w14:paraId="2ADEB75B" w14:textId="77777777" w:rsidR="00F849A7" w:rsidRPr="00D9348B" w:rsidRDefault="00F849A7" w:rsidP="00DB330E">
            <w:pPr>
              <w:pStyle w:val="TableText"/>
              <w:spacing w:after="50"/>
              <w:jc w:val="right"/>
              <w:rPr>
                <w:rFonts w:cs="Calibri"/>
                <w:szCs w:val="16"/>
              </w:rPr>
            </w:pPr>
            <w:r w:rsidRPr="00D9348B">
              <w:rPr>
                <w:rFonts w:cs="Calibri"/>
                <w:szCs w:val="16"/>
              </w:rPr>
              <w:t>0.0</w:t>
            </w:r>
          </w:p>
        </w:tc>
      </w:tr>
      <w:tr w:rsidR="00F849A7" w:rsidRPr="00D9348B" w14:paraId="07654162" w14:textId="77777777" w:rsidTr="00943D70">
        <w:tc>
          <w:tcPr>
            <w:tcW w:w="813" w:type="dxa"/>
            <w:vMerge/>
            <w:tcBorders>
              <w:left w:val="nil"/>
              <w:bottom w:val="single" w:sz="4" w:space="0" w:color="365F91"/>
              <w:right w:val="nil"/>
            </w:tcBorders>
            <w:shd w:val="clear" w:color="auto" w:fill="auto"/>
          </w:tcPr>
          <w:p w14:paraId="7FB3954B" w14:textId="77777777" w:rsidR="00F849A7" w:rsidRPr="00D9348B" w:rsidRDefault="00F849A7" w:rsidP="00DB330E">
            <w:pPr>
              <w:pStyle w:val="TableText"/>
              <w:spacing w:after="50"/>
              <w:rPr>
                <w:rFonts w:cs="Calibri"/>
                <w:szCs w:val="16"/>
              </w:rPr>
            </w:pPr>
          </w:p>
        </w:tc>
        <w:tc>
          <w:tcPr>
            <w:tcW w:w="2164" w:type="dxa"/>
            <w:tcBorders>
              <w:top w:val="single" w:sz="4" w:space="0" w:color="365F91"/>
              <w:left w:val="nil"/>
              <w:bottom w:val="single" w:sz="4" w:space="0" w:color="365F91"/>
              <w:right w:val="nil"/>
            </w:tcBorders>
            <w:shd w:val="clear" w:color="auto" w:fill="auto"/>
            <w:vAlign w:val="bottom"/>
          </w:tcPr>
          <w:p w14:paraId="277364E5" w14:textId="77777777" w:rsidR="00F849A7" w:rsidRPr="00D9348B" w:rsidRDefault="00F849A7" w:rsidP="00DB330E">
            <w:pPr>
              <w:pStyle w:val="TableText"/>
              <w:spacing w:after="50"/>
              <w:rPr>
                <w:rFonts w:cs="Calibri"/>
                <w:szCs w:val="16"/>
              </w:rPr>
            </w:pPr>
            <w:r w:rsidRPr="00D9348B">
              <w:rPr>
                <w:rFonts w:cs="Calibri"/>
                <w:szCs w:val="16"/>
              </w:rPr>
              <w:t>Cultivation of organic soils</w:t>
            </w:r>
          </w:p>
        </w:tc>
        <w:tc>
          <w:tcPr>
            <w:tcW w:w="851" w:type="dxa"/>
            <w:tcBorders>
              <w:top w:val="single" w:sz="4" w:space="0" w:color="365F91"/>
              <w:left w:val="nil"/>
              <w:bottom w:val="single" w:sz="4" w:space="0" w:color="365F91"/>
              <w:right w:val="nil"/>
            </w:tcBorders>
            <w:shd w:val="clear" w:color="auto" w:fill="auto"/>
            <w:vAlign w:val="bottom"/>
          </w:tcPr>
          <w:p w14:paraId="10F26868" w14:textId="77777777" w:rsidR="00F849A7" w:rsidRPr="00D9348B" w:rsidRDefault="00F849A7" w:rsidP="00DB330E">
            <w:pPr>
              <w:pStyle w:val="TableText"/>
              <w:spacing w:after="50"/>
              <w:jc w:val="right"/>
              <w:rPr>
                <w:rFonts w:cs="Calibri"/>
                <w:szCs w:val="16"/>
              </w:rPr>
            </w:pPr>
            <w:r w:rsidRPr="00D9348B">
              <w:rPr>
                <w:rFonts w:cs="Calibri"/>
                <w:szCs w:val="16"/>
              </w:rPr>
              <w:t>30.0</w:t>
            </w:r>
          </w:p>
        </w:tc>
        <w:tc>
          <w:tcPr>
            <w:tcW w:w="850" w:type="dxa"/>
            <w:tcBorders>
              <w:top w:val="single" w:sz="4" w:space="0" w:color="365F91"/>
              <w:left w:val="nil"/>
              <w:bottom w:val="single" w:sz="4" w:space="0" w:color="365F91"/>
              <w:right w:val="nil"/>
            </w:tcBorders>
            <w:shd w:val="clear" w:color="auto" w:fill="auto"/>
            <w:vAlign w:val="bottom"/>
          </w:tcPr>
          <w:p w14:paraId="3E9C0EA3" w14:textId="77777777" w:rsidR="00F849A7" w:rsidRPr="00D9348B" w:rsidRDefault="00F849A7" w:rsidP="00DB330E">
            <w:pPr>
              <w:pStyle w:val="TableText"/>
              <w:spacing w:after="50"/>
              <w:jc w:val="right"/>
              <w:rPr>
                <w:rFonts w:cs="Calibri"/>
                <w:szCs w:val="16"/>
              </w:rPr>
            </w:pPr>
            <w:r w:rsidRPr="00D9348B">
              <w:rPr>
                <w:rFonts w:cs="Calibri"/>
                <w:szCs w:val="16"/>
              </w:rPr>
              <w:t>30.0</w:t>
            </w:r>
          </w:p>
        </w:tc>
        <w:tc>
          <w:tcPr>
            <w:tcW w:w="851" w:type="dxa"/>
            <w:tcBorders>
              <w:top w:val="single" w:sz="4" w:space="0" w:color="365F91"/>
              <w:left w:val="nil"/>
              <w:bottom w:val="single" w:sz="4" w:space="0" w:color="365F91"/>
              <w:right w:val="nil"/>
            </w:tcBorders>
            <w:shd w:val="clear" w:color="auto" w:fill="auto"/>
            <w:vAlign w:val="bottom"/>
          </w:tcPr>
          <w:p w14:paraId="03EA472E" w14:textId="77777777" w:rsidR="00F849A7" w:rsidRPr="00D9348B" w:rsidRDefault="00F849A7" w:rsidP="00DB330E">
            <w:pPr>
              <w:pStyle w:val="TableText"/>
              <w:spacing w:after="50"/>
              <w:jc w:val="right"/>
              <w:rPr>
                <w:rFonts w:cs="Calibri"/>
                <w:szCs w:val="16"/>
              </w:rPr>
            </w:pPr>
            <w:r w:rsidRPr="00D9348B">
              <w:rPr>
                <w:rFonts w:cs="Calibri"/>
                <w:szCs w:val="16"/>
              </w:rPr>
              <w:t>0.0</w:t>
            </w:r>
          </w:p>
        </w:tc>
        <w:tc>
          <w:tcPr>
            <w:tcW w:w="708" w:type="dxa"/>
            <w:tcBorders>
              <w:top w:val="single" w:sz="4" w:space="0" w:color="365F91"/>
              <w:left w:val="nil"/>
              <w:bottom w:val="single" w:sz="4" w:space="0" w:color="365F91"/>
              <w:right w:val="nil"/>
            </w:tcBorders>
            <w:shd w:val="clear" w:color="auto" w:fill="auto"/>
            <w:vAlign w:val="bottom"/>
          </w:tcPr>
          <w:p w14:paraId="4DB95985" w14:textId="77777777" w:rsidR="00F849A7" w:rsidRPr="00D9348B" w:rsidRDefault="00F849A7" w:rsidP="00DB330E">
            <w:pPr>
              <w:pStyle w:val="TableText"/>
              <w:spacing w:after="50"/>
              <w:jc w:val="right"/>
              <w:rPr>
                <w:rFonts w:cs="Calibri"/>
                <w:szCs w:val="16"/>
              </w:rPr>
            </w:pPr>
            <w:r w:rsidRPr="00D9348B">
              <w:rPr>
                <w:rFonts w:cs="Calibri"/>
                <w:szCs w:val="16"/>
              </w:rPr>
              <w:t>0.0</w:t>
            </w:r>
          </w:p>
        </w:tc>
        <w:tc>
          <w:tcPr>
            <w:tcW w:w="1134" w:type="dxa"/>
            <w:tcBorders>
              <w:top w:val="single" w:sz="4" w:space="0" w:color="365F91"/>
              <w:left w:val="nil"/>
              <w:bottom w:val="single" w:sz="4" w:space="0" w:color="365F91"/>
              <w:right w:val="nil"/>
            </w:tcBorders>
            <w:shd w:val="clear" w:color="auto" w:fill="auto"/>
            <w:vAlign w:val="bottom"/>
          </w:tcPr>
          <w:p w14:paraId="5AAC2ACB" w14:textId="77777777" w:rsidR="00F849A7" w:rsidRPr="00D9348B" w:rsidRDefault="00F849A7" w:rsidP="00DB330E">
            <w:pPr>
              <w:pStyle w:val="TableText"/>
              <w:spacing w:after="50"/>
              <w:jc w:val="right"/>
              <w:rPr>
                <w:rFonts w:cs="Calibri"/>
                <w:szCs w:val="16"/>
              </w:rPr>
            </w:pPr>
            <w:r w:rsidRPr="00D9348B">
              <w:rPr>
                <w:rFonts w:cs="Calibri"/>
                <w:szCs w:val="16"/>
              </w:rPr>
              <w:t>0.4</w:t>
            </w:r>
          </w:p>
        </w:tc>
        <w:tc>
          <w:tcPr>
            <w:tcW w:w="1191" w:type="dxa"/>
            <w:tcBorders>
              <w:top w:val="single" w:sz="4" w:space="0" w:color="365F91"/>
              <w:left w:val="nil"/>
              <w:bottom w:val="single" w:sz="4" w:space="0" w:color="365F91"/>
              <w:right w:val="nil"/>
            </w:tcBorders>
            <w:shd w:val="clear" w:color="auto" w:fill="auto"/>
            <w:vAlign w:val="bottom"/>
          </w:tcPr>
          <w:p w14:paraId="19F281AB" w14:textId="77777777" w:rsidR="00F849A7" w:rsidRPr="00D9348B" w:rsidRDefault="00F849A7" w:rsidP="00DB330E">
            <w:pPr>
              <w:pStyle w:val="TableText"/>
              <w:spacing w:after="50"/>
              <w:jc w:val="right"/>
              <w:rPr>
                <w:rFonts w:cs="Calibri"/>
                <w:szCs w:val="16"/>
              </w:rPr>
            </w:pPr>
            <w:r w:rsidRPr="00D9348B">
              <w:rPr>
                <w:rFonts w:cs="Calibri"/>
                <w:szCs w:val="16"/>
              </w:rPr>
              <w:t>0.1</w:t>
            </w:r>
          </w:p>
        </w:tc>
      </w:tr>
      <w:tr w:rsidR="00F849A7" w:rsidRPr="00D9348B" w14:paraId="5A07D1E0" w14:textId="77777777" w:rsidTr="00943D70">
        <w:tc>
          <w:tcPr>
            <w:tcW w:w="813" w:type="dxa"/>
            <w:vMerge w:val="restart"/>
            <w:tcBorders>
              <w:top w:val="single" w:sz="4" w:space="0" w:color="365F91"/>
              <w:left w:val="nil"/>
              <w:bottom w:val="nil"/>
              <w:right w:val="nil"/>
            </w:tcBorders>
            <w:shd w:val="clear" w:color="auto" w:fill="auto"/>
          </w:tcPr>
          <w:p w14:paraId="528A1249" w14:textId="77777777" w:rsidR="00F849A7" w:rsidRPr="00D9348B" w:rsidRDefault="00F849A7" w:rsidP="00DB330E">
            <w:pPr>
              <w:pStyle w:val="TableText"/>
              <w:spacing w:after="50"/>
              <w:rPr>
                <w:rFonts w:cs="Calibri"/>
                <w:szCs w:val="16"/>
              </w:rPr>
            </w:pPr>
            <w:r w:rsidRPr="00D9348B">
              <w:rPr>
                <w:rFonts w:cs="Calibri"/>
                <w:szCs w:val="16"/>
              </w:rPr>
              <w:t>Indirect</w:t>
            </w:r>
          </w:p>
        </w:tc>
        <w:tc>
          <w:tcPr>
            <w:tcW w:w="2164" w:type="dxa"/>
            <w:tcBorders>
              <w:top w:val="single" w:sz="4" w:space="0" w:color="365F91"/>
              <w:left w:val="nil"/>
              <w:bottom w:val="single" w:sz="4" w:space="0" w:color="365F91"/>
              <w:right w:val="nil"/>
            </w:tcBorders>
            <w:shd w:val="clear" w:color="auto" w:fill="auto"/>
          </w:tcPr>
          <w:p w14:paraId="15EC5184" w14:textId="77777777" w:rsidR="00F849A7" w:rsidRPr="00D9348B" w:rsidRDefault="00F849A7" w:rsidP="00DB330E">
            <w:pPr>
              <w:pStyle w:val="TableText"/>
              <w:spacing w:after="50"/>
              <w:rPr>
                <w:rFonts w:cs="Calibri"/>
                <w:szCs w:val="16"/>
              </w:rPr>
            </w:pPr>
            <w:r w:rsidRPr="00D9348B">
              <w:rPr>
                <w:rFonts w:cs="Calibri"/>
                <w:szCs w:val="16"/>
              </w:rPr>
              <w:t>Volatilisation</w:t>
            </w:r>
          </w:p>
        </w:tc>
        <w:tc>
          <w:tcPr>
            <w:tcW w:w="851" w:type="dxa"/>
            <w:tcBorders>
              <w:top w:val="single" w:sz="4" w:space="0" w:color="365F91"/>
              <w:left w:val="nil"/>
              <w:bottom w:val="single" w:sz="4" w:space="0" w:color="365F91"/>
              <w:right w:val="nil"/>
            </w:tcBorders>
            <w:shd w:val="clear" w:color="auto" w:fill="auto"/>
          </w:tcPr>
          <w:p w14:paraId="25FFE403" w14:textId="77777777" w:rsidR="00F849A7" w:rsidRPr="00D9348B" w:rsidRDefault="00F849A7" w:rsidP="00DB330E">
            <w:pPr>
              <w:pStyle w:val="TableText"/>
              <w:spacing w:after="50"/>
              <w:jc w:val="right"/>
              <w:rPr>
                <w:rFonts w:cs="Calibri"/>
                <w:szCs w:val="16"/>
              </w:rPr>
            </w:pPr>
            <w:r w:rsidRPr="00D9348B">
              <w:rPr>
                <w:rFonts w:cs="Calibri"/>
                <w:szCs w:val="16"/>
              </w:rPr>
              <w:t>704.9</w:t>
            </w:r>
          </w:p>
        </w:tc>
        <w:tc>
          <w:tcPr>
            <w:tcW w:w="850" w:type="dxa"/>
            <w:tcBorders>
              <w:top w:val="single" w:sz="4" w:space="0" w:color="365F91"/>
              <w:left w:val="nil"/>
              <w:bottom w:val="single" w:sz="4" w:space="0" w:color="365F91"/>
              <w:right w:val="nil"/>
            </w:tcBorders>
            <w:shd w:val="clear" w:color="auto" w:fill="auto"/>
          </w:tcPr>
          <w:p w14:paraId="64DAFD43" w14:textId="77777777" w:rsidR="00F849A7" w:rsidRPr="00D9348B" w:rsidRDefault="00F849A7" w:rsidP="00DB330E">
            <w:pPr>
              <w:pStyle w:val="TableText"/>
              <w:spacing w:after="50"/>
              <w:jc w:val="right"/>
              <w:rPr>
                <w:rFonts w:cs="Calibri"/>
                <w:szCs w:val="16"/>
              </w:rPr>
            </w:pPr>
            <w:r w:rsidRPr="00D9348B">
              <w:rPr>
                <w:rFonts w:cs="Calibri"/>
                <w:szCs w:val="16"/>
              </w:rPr>
              <w:t>919.6</w:t>
            </w:r>
          </w:p>
        </w:tc>
        <w:tc>
          <w:tcPr>
            <w:tcW w:w="851" w:type="dxa"/>
            <w:tcBorders>
              <w:top w:val="single" w:sz="4" w:space="0" w:color="365F91"/>
              <w:left w:val="nil"/>
              <w:bottom w:val="single" w:sz="4" w:space="0" w:color="365F91"/>
              <w:right w:val="nil"/>
            </w:tcBorders>
            <w:shd w:val="clear" w:color="auto" w:fill="auto"/>
          </w:tcPr>
          <w:p w14:paraId="4032D9B1" w14:textId="77777777" w:rsidR="00F849A7" w:rsidRPr="00D9348B" w:rsidRDefault="00F849A7" w:rsidP="00DB330E">
            <w:pPr>
              <w:pStyle w:val="TableText"/>
              <w:spacing w:after="50"/>
              <w:jc w:val="right"/>
              <w:rPr>
                <w:rFonts w:cs="Calibri"/>
                <w:szCs w:val="16"/>
              </w:rPr>
            </w:pPr>
            <w:r w:rsidRPr="00D9348B">
              <w:rPr>
                <w:rFonts w:cs="Calibri"/>
                <w:szCs w:val="16"/>
              </w:rPr>
              <w:t>214.7</w:t>
            </w:r>
          </w:p>
        </w:tc>
        <w:tc>
          <w:tcPr>
            <w:tcW w:w="708" w:type="dxa"/>
            <w:tcBorders>
              <w:top w:val="single" w:sz="4" w:space="0" w:color="365F91"/>
              <w:left w:val="nil"/>
              <w:bottom w:val="single" w:sz="4" w:space="0" w:color="365F91"/>
              <w:right w:val="nil"/>
            </w:tcBorders>
            <w:shd w:val="clear" w:color="auto" w:fill="auto"/>
          </w:tcPr>
          <w:p w14:paraId="79D639C8" w14:textId="77777777" w:rsidR="00F849A7" w:rsidRPr="00D9348B" w:rsidRDefault="00F849A7" w:rsidP="00DB330E">
            <w:pPr>
              <w:pStyle w:val="TableText"/>
              <w:spacing w:after="50"/>
              <w:jc w:val="right"/>
              <w:rPr>
                <w:rFonts w:cs="Calibri"/>
                <w:szCs w:val="16"/>
              </w:rPr>
            </w:pPr>
            <w:r w:rsidRPr="00D9348B">
              <w:rPr>
                <w:rFonts w:cs="Calibri"/>
                <w:szCs w:val="16"/>
              </w:rPr>
              <w:t>30.5</w:t>
            </w:r>
          </w:p>
        </w:tc>
        <w:tc>
          <w:tcPr>
            <w:tcW w:w="1134" w:type="dxa"/>
            <w:tcBorders>
              <w:top w:val="single" w:sz="4" w:space="0" w:color="365F91"/>
              <w:left w:val="nil"/>
              <w:bottom w:val="single" w:sz="4" w:space="0" w:color="365F91"/>
              <w:right w:val="nil"/>
            </w:tcBorders>
            <w:shd w:val="clear" w:color="auto" w:fill="auto"/>
          </w:tcPr>
          <w:p w14:paraId="2A73AFBC" w14:textId="77777777" w:rsidR="00F849A7" w:rsidRPr="00D9348B" w:rsidRDefault="00F849A7" w:rsidP="00DB330E">
            <w:pPr>
              <w:pStyle w:val="TableText"/>
              <w:spacing w:after="50"/>
              <w:jc w:val="right"/>
              <w:rPr>
                <w:rFonts w:cs="Calibri"/>
                <w:szCs w:val="16"/>
              </w:rPr>
            </w:pPr>
            <w:r w:rsidRPr="00D9348B">
              <w:rPr>
                <w:rFonts w:cs="Calibri"/>
                <w:szCs w:val="16"/>
              </w:rPr>
              <w:t>13.1</w:t>
            </w:r>
          </w:p>
        </w:tc>
        <w:tc>
          <w:tcPr>
            <w:tcW w:w="1191" w:type="dxa"/>
            <w:tcBorders>
              <w:top w:val="single" w:sz="4" w:space="0" w:color="365F91"/>
              <w:left w:val="nil"/>
              <w:bottom w:val="single" w:sz="4" w:space="0" w:color="365F91"/>
              <w:right w:val="nil"/>
            </w:tcBorders>
            <w:shd w:val="clear" w:color="auto" w:fill="auto"/>
          </w:tcPr>
          <w:p w14:paraId="33297F5D" w14:textId="77777777" w:rsidR="00F849A7" w:rsidRPr="00D9348B" w:rsidRDefault="00F849A7" w:rsidP="00DB330E">
            <w:pPr>
              <w:pStyle w:val="TableText"/>
              <w:spacing w:after="50"/>
              <w:jc w:val="right"/>
              <w:rPr>
                <w:rFonts w:cs="Calibri"/>
                <w:szCs w:val="16"/>
              </w:rPr>
            </w:pPr>
            <w:r w:rsidRPr="00D9348B">
              <w:rPr>
                <w:rFonts w:cs="Calibri"/>
                <w:szCs w:val="16"/>
              </w:rPr>
              <w:t>2.4</w:t>
            </w:r>
          </w:p>
        </w:tc>
      </w:tr>
      <w:tr w:rsidR="00F849A7" w:rsidRPr="00D9348B" w14:paraId="1D24095C" w14:textId="77777777" w:rsidTr="00943D70">
        <w:trPr>
          <w:trHeight w:val="337"/>
        </w:trPr>
        <w:tc>
          <w:tcPr>
            <w:tcW w:w="813" w:type="dxa"/>
            <w:vMerge/>
            <w:tcBorders>
              <w:top w:val="nil"/>
              <w:left w:val="nil"/>
              <w:bottom w:val="nil"/>
              <w:right w:val="nil"/>
            </w:tcBorders>
            <w:shd w:val="clear" w:color="auto" w:fill="auto"/>
          </w:tcPr>
          <w:p w14:paraId="790B55F7" w14:textId="77777777" w:rsidR="00F849A7" w:rsidRPr="00D9348B" w:rsidRDefault="00F849A7" w:rsidP="00DB330E">
            <w:pPr>
              <w:pStyle w:val="TableText"/>
              <w:spacing w:after="50"/>
              <w:rPr>
                <w:rFonts w:cs="Calibri"/>
                <w:szCs w:val="16"/>
              </w:rPr>
            </w:pPr>
          </w:p>
        </w:tc>
        <w:tc>
          <w:tcPr>
            <w:tcW w:w="2164" w:type="dxa"/>
            <w:tcBorders>
              <w:top w:val="single" w:sz="4" w:space="0" w:color="365F91"/>
              <w:left w:val="nil"/>
              <w:bottom w:val="nil"/>
              <w:right w:val="nil"/>
            </w:tcBorders>
            <w:shd w:val="clear" w:color="auto" w:fill="auto"/>
          </w:tcPr>
          <w:p w14:paraId="42EDCB88" w14:textId="77777777" w:rsidR="00F849A7" w:rsidRPr="00D9348B" w:rsidRDefault="00F849A7" w:rsidP="00DB330E">
            <w:pPr>
              <w:pStyle w:val="TableText"/>
              <w:spacing w:after="50"/>
              <w:rPr>
                <w:rFonts w:cs="Calibri"/>
                <w:szCs w:val="16"/>
              </w:rPr>
            </w:pPr>
            <w:r w:rsidRPr="00D9348B">
              <w:rPr>
                <w:rFonts w:cs="Calibri"/>
                <w:szCs w:val="16"/>
              </w:rPr>
              <w:t>Leaching and runoff</w:t>
            </w:r>
          </w:p>
        </w:tc>
        <w:tc>
          <w:tcPr>
            <w:tcW w:w="851" w:type="dxa"/>
            <w:tcBorders>
              <w:top w:val="single" w:sz="4" w:space="0" w:color="365F91"/>
              <w:left w:val="nil"/>
              <w:bottom w:val="nil"/>
              <w:right w:val="nil"/>
            </w:tcBorders>
            <w:shd w:val="clear" w:color="auto" w:fill="auto"/>
          </w:tcPr>
          <w:p w14:paraId="37A60257" w14:textId="77777777" w:rsidR="00F849A7" w:rsidRPr="00D9348B" w:rsidRDefault="00F849A7" w:rsidP="00DB330E">
            <w:pPr>
              <w:pStyle w:val="TableText"/>
              <w:spacing w:after="50"/>
              <w:jc w:val="right"/>
              <w:rPr>
                <w:rFonts w:cs="Calibri"/>
                <w:szCs w:val="16"/>
              </w:rPr>
            </w:pPr>
            <w:r w:rsidRPr="00D9348B">
              <w:rPr>
                <w:rFonts w:cs="Calibri"/>
                <w:szCs w:val="16"/>
              </w:rPr>
              <w:t>379.3</w:t>
            </w:r>
          </w:p>
        </w:tc>
        <w:tc>
          <w:tcPr>
            <w:tcW w:w="850" w:type="dxa"/>
            <w:tcBorders>
              <w:top w:val="single" w:sz="4" w:space="0" w:color="365F91"/>
              <w:left w:val="nil"/>
              <w:bottom w:val="nil"/>
              <w:right w:val="nil"/>
            </w:tcBorders>
            <w:shd w:val="clear" w:color="auto" w:fill="auto"/>
          </w:tcPr>
          <w:p w14:paraId="76B48697" w14:textId="77777777" w:rsidR="00F849A7" w:rsidRPr="00D9348B" w:rsidRDefault="00F849A7" w:rsidP="00DB330E">
            <w:pPr>
              <w:pStyle w:val="TableText"/>
              <w:spacing w:after="50"/>
              <w:jc w:val="right"/>
              <w:rPr>
                <w:rFonts w:cs="Calibri"/>
                <w:szCs w:val="16"/>
              </w:rPr>
            </w:pPr>
            <w:r w:rsidRPr="00D9348B">
              <w:rPr>
                <w:rFonts w:cs="Calibri"/>
                <w:szCs w:val="16"/>
              </w:rPr>
              <w:t>508.7</w:t>
            </w:r>
          </w:p>
        </w:tc>
        <w:tc>
          <w:tcPr>
            <w:tcW w:w="851" w:type="dxa"/>
            <w:tcBorders>
              <w:top w:val="single" w:sz="4" w:space="0" w:color="365F91"/>
              <w:left w:val="nil"/>
              <w:bottom w:val="nil"/>
              <w:right w:val="nil"/>
            </w:tcBorders>
            <w:shd w:val="clear" w:color="auto" w:fill="auto"/>
          </w:tcPr>
          <w:p w14:paraId="069C3789" w14:textId="77777777" w:rsidR="00F849A7" w:rsidRPr="00D9348B" w:rsidRDefault="00F849A7" w:rsidP="00DB330E">
            <w:pPr>
              <w:pStyle w:val="TableText"/>
              <w:tabs>
                <w:tab w:val="center" w:pos="400"/>
                <w:tab w:val="right" w:pos="801"/>
              </w:tabs>
              <w:spacing w:after="50"/>
              <w:jc w:val="right"/>
              <w:rPr>
                <w:rFonts w:cs="Calibri"/>
                <w:szCs w:val="16"/>
              </w:rPr>
            </w:pPr>
            <w:r w:rsidRPr="00D9348B">
              <w:rPr>
                <w:rFonts w:cs="Calibri"/>
                <w:szCs w:val="16"/>
              </w:rPr>
              <w:t>129.4</w:t>
            </w:r>
          </w:p>
        </w:tc>
        <w:tc>
          <w:tcPr>
            <w:tcW w:w="708" w:type="dxa"/>
            <w:tcBorders>
              <w:top w:val="single" w:sz="4" w:space="0" w:color="365F91"/>
              <w:left w:val="nil"/>
              <w:bottom w:val="nil"/>
              <w:right w:val="nil"/>
            </w:tcBorders>
            <w:shd w:val="clear" w:color="auto" w:fill="auto"/>
          </w:tcPr>
          <w:p w14:paraId="320B2CCE" w14:textId="77777777" w:rsidR="00F849A7" w:rsidRPr="00D9348B" w:rsidRDefault="00F849A7" w:rsidP="00DB330E">
            <w:pPr>
              <w:pStyle w:val="TableText"/>
              <w:spacing w:after="50"/>
              <w:jc w:val="right"/>
              <w:rPr>
                <w:rFonts w:cs="Calibri"/>
                <w:szCs w:val="16"/>
              </w:rPr>
            </w:pPr>
            <w:r w:rsidRPr="00D9348B">
              <w:rPr>
                <w:rFonts w:cs="Calibri"/>
                <w:szCs w:val="16"/>
              </w:rPr>
              <w:t>34.1</w:t>
            </w:r>
          </w:p>
        </w:tc>
        <w:tc>
          <w:tcPr>
            <w:tcW w:w="1134" w:type="dxa"/>
            <w:tcBorders>
              <w:top w:val="single" w:sz="4" w:space="0" w:color="365F91"/>
              <w:left w:val="nil"/>
              <w:bottom w:val="nil"/>
              <w:right w:val="nil"/>
            </w:tcBorders>
            <w:shd w:val="clear" w:color="auto" w:fill="auto"/>
          </w:tcPr>
          <w:p w14:paraId="71C2B0DA" w14:textId="77777777" w:rsidR="00F849A7" w:rsidRPr="00D9348B" w:rsidRDefault="00F849A7" w:rsidP="00DB330E">
            <w:pPr>
              <w:pStyle w:val="TableText"/>
              <w:spacing w:after="50"/>
              <w:jc w:val="right"/>
              <w:rPr>
                <w:rFonts w:cs="Calibri"/>
                <w:szCs w:val="16"/>
              </w:rPr>
            </w:pPr>
            <w:r w:rsidRPr="00D9348B">
              <w:rPr>
                <w:rFonts w:cs="Calibri"/>
                <w:szCs w:val="16"/>
              </w:rPr>
              <w:t>7.2</w:t>
            </w:r>
          </w:p>
        </w:tc>
        <w:tc>
          <w:tcPr>
            <w:tcW w:w="1191" w:type="dxa"/>
            <w:tcBorders>
              <w:top w:val="single" w:sz="4" w:space="0" w:color="365F91"/>
              <w:left w:val="nil"/>
              <w:bottom w:val="nil"/>
              <w:right w:val="nil"/>
            </w:tcBorders>
            <w:shd w:val="clear" w:color="auto" w:fill="auto"/>
          </w:tcPr>
          <w:p w14:paraId="5507891D" w14:textId="77777777" w:rsidR="00F849A7" w:rsidRPr="00D9348B" w:rsidRDefault="00F849A7" w:rsidP="00DB330E">
            <w:pPr>
              <w:pStyle w:val="TableText"/>
              <w:spacing w:after="50"/>
              <w:jc w:val="right"/>
              <w:rPr>
                <w:rFonts w:cs="Calibri"/>
                <w:szCs w:val="16"/>
              </w:rPr>
            </w:pPr>
            <w:r w:rsidRPr="00D9348B">
              <w:rPr>
                <w:rFonts w:cs="Calibri"/>
                <w:szCs w:val="16"/>
              </w:rPr>
              <w:t>1.3</w:t>
            </w:r>
          </w:p>
        </w:tc>
      </w:tr>
      <w:tr w:rsidR="00F849A7" w:rsidRPr="00D9348B" w14:paraId="1526177C" w14:textId="77777777" w:rsidTr="00943D70">
        <w:trPr>
          <w:trHeight w:val="337"/>
        </w:trPr>
        <w:tc>
          <w:tcPr>
            <w:tcW w:w="2977" w:type="dxa"/>
            <w:gridSpan w:val="2"/>
            <w:tcBorders>
              <w:top w:val="nil"/>
              <w:left w:val="nil"/>
              <w:bottom w:val="single" w:sz="4" w:space="0" w:color="365F91"/>
              <w:right w:val="nil"/>
            </w:tcBorders>
            <w:shd w:val="clear" w:color="auto" w:fill="auto"/>
          </w:tcPr>
          <w:p w14:paraId="0A87D083" w14:textId="77777777" w:rsidR="00F849A7" w:rsidRPr="00D9348B" w:rsidRDefault="00F849A7" w:rsidP="00DB330E">
            <w:pPr>
              <w:pStyle w:val="TableText"/>
              <w:spacing w:after="50"/>
              <w:rPr>
                <w:rFonts w:cs="Calibri"/>
                <w:szCs w:val="16"/>
              </w:rPr>
            </w:pPr>
            <w:r w:rsidRPr="00D9348B">
              <w:rPr>
                <w:rFonts w:cs="Calibri"/>
                <w:szCs w:val="16"/>
              </w:rPr>
              <w:t>Total Agricultural soils</w:t>
            </w:r>
          </w:p>
        </w:tc>
        <w:tc>
          <w:tcPr>
            <w:tcW w:w="851" w:type="dxa"/>
            <w:tcBorders>
              <w:top w:val="nil"/>
              <w:left w:val="nil"/>
              <w:bottom w:val="single" w:sz="4" w:space="0" w:color="365F91"/>
              <w:right w:val="nil"/>
            </w:tcBorders>
            <w:shd w:val="clear" w:color="auto" w:fill="auto"/>
          </w:tcPr>
          <w:p w14:paraId="1756ED03" w14:textId="77777777" w:rsidR="00F849A7" w:rsidRPr="00D9348B" w:rsidRDefault="00F849A7" w:rsidP="00DB330E">
            <w:pPr>
              <w:pStyle w:val="TableText"/>
              <w:spacing w:after="50"/>
              <w:jc w:val="right"/>
              <w:rPr>
                <w:rFonts w:cs="Calibri"/>
                <w:szCs w:val="16"/>
              </w:rPr>
            </w:pPr>
            <w:r w:rsidRPr="00D9348B">
              <w:rPr>
                <w:rFonts w:cs="Calibri"/>
                <w:szCs w:val="16"/>
              </w:rPr>
              <w:t>4,483.8</w:t>
            </w:r>
          </w:p>
        </w:tc>
        <w:tc>
          <w:tcPr>
            <w:tcW w:w="850" w:type="dxa"/>
            <w:tcBorders>
              <w:top w:val="nil"/>
              <w:left w:val="nil"/>
              <w:bottom w:val="single" w:sz="4" w:space="0" w:color="365F91"/>
              <w:right w:val="nil"/>
            </w:tcBorders>
            <w:shd w:val="clear" w:color="auto" w:fill="auto"/>
          </w:tcPr>
          <w:p w14:paraId="7CCF4123" w14:textId="77777777" w:rsidR="00F849A7" w:rsidRPr="00D9348B" w:rsidRDefault="00F849A7" w:rsidP="00DB330E">
            <w:pPr>
              <w:pStyle w:val="TableText"/>
              <w:spacing w:after="50"/>
              <w:jc w:val="right"/>
              <w:rPr>
                <w:rFonts w:cs="Calibri"/>
                <w:szCs w:val="16"/>
              </w:rPr>
            </w:pPr>
            <w:r w:rsidRPr="00D9348B">
              <w:rPr>
                <w:rFonts w:cs="Calibri"/>
                <w:szCs w:val="16"/>
              </w:rPr>
              <w:t>7,026.3</w:t>
            </w:r>
          </w:p>
        </w:tc>
        <w:tc>
          <w:tcPr>
            <w:tcW w:w="851" w:type="dxa"/>
            <w:tcBorders>
              <w:top w:val="nil"/>
              <w:left w:val="nil"/>
              <w:bottom w:val="single" w:sz="4" w:space="0" w:color="365F91"/>
              <w:right w:val="nil"/>
            </w:tcBorders>
            <w:shd w:val="clear" w:color="auto" w:fill="auto"/>
          </w:tcPr>
          <w:p w14:paraId="3602CCA2" w14:textId="77777777" w:rsidR="00F849A7" w:rsidRPr="00D9348B" w:rsidRDefault="00F849A7" w:rsidP="00DB330E">
            <w:pPr>
              <w:pStyle w:val="TableText"/>
              <w:tabs>
                <w:tab w:val="center" w:pos="400"/>
                <w:tab w:val="right" w:pos="801"/>
              </w:tabs>
              <w:spacing w:after="50"/>
              <w:jc w:val="right"/>
              <w:rPr>
                <w:rFonts w:cs="Calibri"/>
                <w:szCs w:val="16"/>
              </w:rPr>
            </w:pPr>
            <w:r w:rsidRPr="00D9348B">
              <w:rPr>
                <w:rFonts w:cs="Calibri"/>
                <w:szCs w:val="16"/>
              </w:rPr>
              <w:t>2,542.5</w:t>
            </w:r>
          </w:p>
        </w:tc>
        <w:tc>
          <w:tcPr>
            <w:tcW w:w="708" w:type="dxa"/>
            <w:tcBorders>
              <w:top w:val="nil"/>
              <w:left w:val="nil"/>
              <w:bottom w:val="single" w:sz="4" w:space="0" w:color="365F91"/>
              <w:right w:val="nil"/>
            </w:tcBorders>
            <w:shd w:val="clear" w:color="auto" w:fill="auto"/>
          </w:tcPr>
          <w:p w14:paraId="24713281" w14:textId="77777777" w:rsidR="00F849A7" w:rsidRPr="00D9348B" w:rsidRDefault="00F849A7" w:rsidP="00DB330E">
            <w:pPr>
              <w:pStyle w:val="TableText"/>
              <w:spacing w:after="50"/>
              <w:jc w:val="right"/>
              <w:rPr>
                <w:rFonts w:cs="Calibri"/>
                <w:szCs w:val="16"/>
              </w:rPr>
            </w:pPr>
            <w:r w:rsidRPr="00D9348B">
              <w:rPr>
                <w:rFonts w:cs="Calibri"/>
                <w:szCs w:val="16"/>
              </w:rPr>
              <w:t>56.7</w:t>
            </w:r>
          </w:p>
        </w:tc>
        <w:tc>
          <w:tcPr>
            <w:tcW w:w="1134" w:type="dxa"/>
            <w:tcBorders>
              <w:top w:val="nil"/>
              <w:left w:val="nil"/>
              <w:bottom w:val="single" w:sz="4" w:space="0" w:color="365F91"/>
              <w:right w:val="nil"/>
            </w:tcBorders>
            <w:shd w:val="clear" w:color="auto" w:fill="auto"/>
          </w:tcPr>
          <w:p w14:paraId="25AB3590" w14:textId="77777777" w:rsidR="00F849A7" w:rsidRPr="00D9348B" w:rsidRDefault="00F849A7" w:rsidP="00DB330E">
            <w:pPr>
              <w:pStyle w:val="TableText"/>
              <w:spacing w:after="50"/>
              <w:jc w:val="right"/>
              <w:rPr>
                <w:rFonts w:cs="Calibri"/>
                <w:szCs w:val="16"/>
              </w:rPr>
            </w:pPr>
          </w:p>
        </w:tc>
        <w:tc>
          <w:tcPr>
            <w:tcW w:w="1191" w:type="dxa"/>
            <w:tcBorders>
              <w:top w:val="nil"/>
              <w:left w:val="nil"/>
              <w:bottom w:val="single" w:sz="4" w:space="0" w:color="365F91"/>
              <w:right w:val="nil"/>
            </w:tcBorders>
            <w:shd w:val="clear" w:color="auto" w:fill="auto"/>
          </w:tcPr>
          <w:p w14:paraId="34329FB8" w14:textId="77777777" w:rsidR="00F849A7" w:rsidRPr="00D9348B" w:rsidRDefault="00F849A7" w:rsidP="00DB330E">
            <w:pPr>
              <w:pStyle w:val="TableText"/>
              <w:spacing w:after="50"/>
              <w:jc w:val="right"/>
              <w:rPr>
                <w:rFonts w:cs="Calibri"/>
                <w:szCs w:val="16"/>
              </w:rPr>
            </w:pPr>
            <w:r w:rsidRPr="00D9348B">
              <w:rPr>
                <w:rFonts w:cs="Calibri"/>
                <w:szCs w:val="16"/>
              </w:rPr>
              <w:t>18.6</w:t>
            </w:r>
          </w:p>
        </w:tc>
      </w:tr>
    </w:tbl>
    <w:p w14:paraId="715FA804" w14:textId="77777777" w:rsidR="00F849A7" w:rsidRPr="00D9348B" w:rsidRDefault="00F849A7" w:rsidP="00F849A7">
      <w:pPr>
        <w:pStyle w:val="Noteundertable"/>
        <w:rPr>
          <w:rFonts w:cs="Calibri"/>
        </w:rPr>
      </w:pPr>
      <w:r w:rsidRPr="00D9348B">
        <w:rPr>
          <w:rFonts w:cs="Calibri"/>
          <w:b/>
          <w:bCs/>
        </w:rPr>
        <w:t>Note:</w:t>
      </w:r>
      <w:r w:rsidRPr="00D9348B">
        <w:rPr>
          <w:rFonts w:cs="Calibri"/>
        </w:rPr>
        <w:tab/>
        <w:t>Columns may not add due to rounding. Percentages presented are calculated from unrounded values.</w:t>
      </w:r>
    </w:p>
    <w:p w14:paraId="7DBD9597" w14:textId="77777777" w:rsidR="00F849A7" w:rsidRPr="00D9348B" w:rsidRDefault="00F849A7" w:rsidP="00F849A7">
      <w:pPr>
        <w:pStyle w:val="Heading3"/>
        <w:spacing w:before="320"/>
        <w:rPr>
          <w:rFonts w:cs="Calibri"/>
        </w:rPr>
      </w:pPr>
      <w:bookmarkStart w:id="857" w:name="_Toc139253934"/>
      <w:bookmarkStart w:id="858" w:name="_Toc32570668"/>
      <w:r w:rsidRPr="00D9348B">
        <w:rPr>
          <w:rFonts w:cs="Calibri"/>
        </w:rPr>
        <w:lastRenderedPageBreak/>
        <w:t>5.5.2</w:t>
      </w:r>
      <w:r w:rsidRPr="00D9348B">
        <w:rPr>
          <w:rFonts w:cs="Calibri"/>
        </w:rPr>
        <w:tab/>
        <w:t>Methodological issues</w:t>
      </w:r>
      <w:bookmarkEnd w:id="857"/>
      <w:bookmarkEnd w:id="858"/>
      <w:r w:rsidRPr="00D9348B">
        <w:rPr>
          <w:rFonts w:cs="Calibri"/>
        </w:rPr>
        <w:t xml:space="preserve"> </w:t>
      </w:r>
    </w:p>
    <w:p w14:paraId="6D20B0AC" w14:textId="77777777" w:rsidR="00F849A7" w:rsidRPr="00D9348B" w:rsidRDefault="00F849A7" w:rsidP="00F849A7">
      <w:pPr>
        <w:pStyle w:val="BodyText"/>
        <w:spacing w:before="100"/>
        <w:rPr>
          <w:rFonts w:cs="Calibri"/>
        </w:rPr>
      </w:pPr>
      <w:r w:rsidRPr="00D9348B">
        <w:rPr>
          <w:rFonts w:cs="Calibri"/>
        </w:rPr>
        <w:t>New Zealand uses methodologies based on the IPCC Guidelines (IPCC, 2006), outputs of the Tier 2 livestock population characterisation, modelling of the livestock nutrition and energy requirements, and some country-specific equations to calculate N</w:t>
      </w:r>
      <w:r w:rsidRPr="00D9348B">
        <w:rPr>
          <w:rFonts w:cs="Calibri"/>
          <w:vertAlign w:val="subscript"/>
        </w:rPr>
        <w:t>2</w:t>
      </w:r>
      <w:r w:rsidRPr="00D9348B">
        <w:rPr>
          <w:rFonts w:cs="Calibri"/>
        </w:rPr>
        <w:t xml:space="preserve">O emissions from </w:t>
      </w:r>
      <w:r w:rsidRPr="00D9348B">
        <w:rPr>
          <w:rFonts w:cs="Calibri"/>
          <w:i/>
          <w:iCs/>
        </w:rPr>
        <w:t>Agricultural soils</w:t>
      </w:r>
      <w:r w:rsidRPr="00D9348B">
        <w:rPr>
          <w:rFonts w:cs="Calibri"/>
        </w:rPr>
        <w:t>. A combination of default and country-specific emission factors and parameters is also used to calculate emissions from this category. Details on these emission factors and parameters are listed in tables 5.5.2 and 5.5.3; tables A3.1.5, A3.1.6 and A3.1.7 (annex 3); and in table 5.5.5 for mitigation technologies.</w:t>
      </w:r>
    </w:p>
    <w:p w14:paraId="1A26A934" w14:textId="77777777" w:rsidR="00F849A7" w:rsidRPr="00D9348B" w:rsidRDefault="00F849A7" w:rsidP="00F849A7">
      <w:pPr>
        <w:pStyle w:val="BodyText"/>
        <w:spacing w:before="100"/>
        <w:rPr>
          <w:rFonts w:cs="Calibri"/>
        </w:rPr>
      </w:pPr>
      <w:r w:rsidRPr="00D9348B">
        <w:rPr>
          <w:rFonts w:cs="Calibri"/>
        </w:rPr>
        <w:t xml:space="preserve">The largest inputs of nitrogen to agricultural soils are manure (urine and dung) from grazing livestock and synthetic nitrogen fertilisers, which together contribute around three-quarters of emissions from the </w:t>
      </w:r>
      <w:r w:rsidRPr="00D9348B">
        <w:rPr>
          <w:rFonts w:cs="Calibri"/>
          <w:i/>
          <w:iCs/>
        </w:rPr>
        <w:t>Agricultural soils</w:t>
      </w:r>
      <w:r w:rsidRPr="00D9348B">
        <w:rPr>
          <w:rFonts w:cs="Calibri"/>
        </w:rPr>
        <w:t xml:space="preserve"> category. The following paragraphs provide an overview of the country-specific improvements made to the </w:t>
      </w:r>
      <w:r w:rsidRPr="00D9348B">
        <w:rPr>
          <w:rFonts w:cs="Calibri"/>
          <w:i/>
          <w:iCs/>
        </w:rPr>
        <w:t>Agricultural soils</w:t>
      </w:r>
      <w:r w:rsidRPr="00D9348B">
        <w:rPr>
          <w:rFonts w:cs="Calibri"/>
        </w:rPr>
        <w:t xml:space="preserve"> category.</w:t>
      </w:r>
    </w:p>
    <w:p w14:paraId="5835E6F6" w14:textId="77777777" w:rsidR="00F849A7" w:rsidRPr="00D9348B" w:rsidRDefault="00F849A7" w:rsidP="00F849A7">
      <w:pPr>
        <w:pStyle w:val="Heading5"/>
        <w:spacing w:before="120"/>
        <w:rPr>
          <w:rFonts w:cs="Calibri"/>
        </w:rPr>
      </w:pPr>
      <w:r w:rsidRPr="00D9348B">
        <w:rPr>
          <w:rFonts w:cs="Calibri"/>
        </w:rPr>
        <w:t>Overview of research and improvements in the Agricultural soils category</w:t>
      </w:r>
    </w:p>
    <w:p w14:paraId="26EA589D" w14:textId="08E6B154" w:rsidR="00F849A7" w:rsidRPr="00D9348B" w:rsidRDefault="00F849A7" w:rsidP="00F849A7">
      <w:pPr>
        <w:pStyle w:val="BodyText"/>
        <w:spacing w:before="80" w:after="100"/>
        <w:rPr>
          <w:rFonts w:cs="Calibri"/>
        </w:rPr>
      </w:pPr>
      <w:r w:rsidRPr="00D9348B">
        <w:rPr>
          <w:rFonts w:cs="Calibri"/>
        </w:rPr>
        <w:t>Considerable research effort has gone into establishing New Zealand-specific emission factors for emissions from manure on pasture from grazing livestock (EF</w:t>
      </w:r>
      <w:r w:rsidRPr="00D9348B">
        <w:rPr>
          <w:rFonts w:cs="Calibri"/>
          <w:vertAlign w:val="subscript"/>
        </w:rPr>
        <w:t>3</w:t>
      </w:r>
      <w:proofErr w:type="gramStart"/>
      <w:r w:rsidRPr="00D9348B">
        <w:rPr>
          <w:rFonts w:cs="Calibri"/>
          <w:vertAlign w:val="subscript"/>
        </w:rPr>
        <w:t>,PRP</w:t>
      </w:r>
      <w:proofErr w:type="gramEnd"/>
      <w:r w:rsidRPr="00D9348B">
        <w:rPr>
          <w:rFonts w:cs="Calibri"/>
        </w:rPr>
        <w:t>). In New Zealand, most livestock waste is excreted directly onto pasture</w:t>
      </w:r>
      <w:r w:rsidRPr="00D9348B">
        <w:rPr>
          <w:rFonts w:cs="Calibri"/>
          <w:spacing w:val="-2"/>
        </w:rPr>
        <w:t xml:space="preserve"> during grazing (see table 5.3.2). Research to date has included a</w:t>
      </w:r>
      <w:r w:rsidRPr="00D9348B">
        <w:rPr>
          <w:rFonts w:cs="Calibri"/>
        </w:rPr>
        <w:t xml:space="preserve"> disaggregation of emissions from urine and dung for the major livestock categories (</w:t>
      </w:r>
      <w:r w:rsidRPr="00D9348B">
        <w:rPr>
          <w:rFonts w:cs="Calibri"/>
          <w:i/>
          <w:iCs/>
        </w:rPr>
        <w:t>Dairy cattle</w:t>
      </w:r>
      <w:r w:rsidRPr="00D9348B">
        <w:rPr>
          <w:rFonts w:cs="Calibri"/>
        </w:rPr>
        <w:t xml:space="preserve">, </w:t>
      </w:r>
      <w:r w:rsidRPr="00D9348B">
        <w:rPr>
          <w:rFonts w:cs="Calibri"/>
          <w:i/>
          <w:iCs/>
        </w:rPr>
        <w:t>Non-dairy cattle</w:t>
      </w:r>
      <w:r w:rsidRPr="00D9348B">
        <w:rPr>
          <w:rFonts w:cs="Calibri"/>
        </w:rPr>
        <w:t xml:space="preserve">, </w:t>
      </w:r>
      <w:r w:rsidRPr="00D9348B">
        <w:rPr>
          <w:rFonts w:cs="Calibri"/>
          <w:i/>
          <w:iCs/>
        </w:rPr>
        <w:t>Sheep</w:t>
      </w:r>
      <w:r w:rsidRPr="00D9348B">
        <w:rPr>
          <w:rFonts w:cs="Calibri"/>
        </w:rPr>
        <w:t xml:space="preserve"> and </w:t>
      </w:r>
      <w:r w:rsidRPr="00D9348B">
        <w:rPr>
          <w:rFonts w:cs="Calibri"/>
          <w:i/>
          <w:iCs/>
        </w:rPr>
        <w:t>Deer</w:t>
      </w:r>
      <w:r w:rsidRPr="00D9348B">
        <w:rPr>
          <w:rFonts w:cs="Calibri"/>
        </w:rPr>
        <w:t xml:space="preserve"> (see table 5.5.2)). Direct N</w:t>
      </w:r>
      <w:r w:rsidRPr="00D9348B">
        <w:rPr>
          <w:rFonts w:cs="Calibri"/>
          <w:vertAlign w:val="subscript"/>
        </w:rPr>
        <w:t>2</w:t>
      </w:r>
      <w:r w:rsidRPr="00D9348B">
        <w:rPr>
          <w:rFonts w:cs="Calibri"/>
        </w:rPr>
        <w:t xml:space="preserve">O emission factors for urine have been disaggregated based on livestock type (for </w:t>
      </w:r>
      <w:r w:rsidRPr="00D9348B">
        <w:rPr>
          <w:rFonts w:cs="Calibri"/>
          <w:i/>
          <w:iCs/>
        </w:rPr>
        <w:t>Dairy cattle</w:t>
      </w:r>
      <w:r w:rsidRPr="00D9348B">
        <w:rPr>
          <w:rFonts w:cs="Calibri"/>
        </w:rPr>
        <w:t xml:space="preserve">, </w:t>
      </w:r>
      <w:r w:rsidRPr="00D9348B">
        <w:rPr>
          <w:rFonts w:cs="Calibri"/>
          <w:i/>
          <w:iCs/>
        </w:rPr>
        <w:t>Non-dairy cattle</w:t>
      </w:r>
      <w:r w:rsidRPr="00D9348B">
        <w:rPr>
          <w:rFonts w:cs="Calibri"/>
        </w:rPr>
        <w:t xml:space="preserve">, </w:t>
      </w:r>
      <w:r w:rsidRPr="00D9348B">
        <w:rPr>
          <w:rFonts w:cs="Calibri"/>
          <w:i/>
          <w:iCs/>
        </w:rPr>
        <w:t>Sheep</w:t>
      </w:r>
      <w:r w:rsidRPr="00D9348B">
        <w:rPr>
          <w:rFonts w:cs="Calibri"/>
        </w:rPr>
        <w:t xml:space="preserve">, and </w:t>
      </w:r>
      <w:r w:rsidRPr="00D9348B">
        <w:rPr>
          <w:rFonts w:cs="Calibri"/>
          <w:i/>
          <w:iCs/>
        </w:rPr>
        <w:t>Deer</w:t>
      </w:r>
      <w:r w:rsidRPr="00D9348B">
        <w:rPr>
          <w:rFonts w:cs="Calibri"/>
        </w:rPr>
        <w:t>) and hill slope category based on recent research by van der Weerden et.al (2019). A ‘nutrient transfer model’ developed by Saggar et al</w:t>
      </w:r>
      <w:r w:rsidR="00CF3D81" w:rsidRPr="00D9348B">
        <w:rPr>
          <w:rFonts w:cs="Calibri"/>
        </w:rPr>
        <w:t>.</w:t>
      </w:r>
      <w:r w:rsidRPr="00D9348B">
        <w:rPr>
          <w:rFonts w:cs="Calibri"/>
        </w:rPr>
        <w:t xml:space="preserve"> (2015) is used to calculate the amount of dung and urine deposited onto different hill slope categories. Approximately 80 per cent of land on sheep, beef and deer farms is classed as medium (12–24 degrees) or steep (greater than 24 degrees) sloped land (see figure A3.1.3).</w:t>
      </w:r>
    </w:p>
    <w:p w14:paraId="0756526F" w14:textId="77777777" w:rsidR="00F849A7" w:rsidRPr="00D9348B" w:rsidRDefault="00F849A7" w:rsidP="00F849A7">
      <w:pPr>
        <w:pStyle w:val="BodyText"/>
        <w:spacing w:before="100" w:after="100"/>
        <w:rPr>
          <w:rFonts w:cs="Calibri"/>
        </w:rPr>
      </w:pPr>
      <w:r w:rsidRPr="00D9348B">
        <w:rPr>
          <w:rFonts w:cs="Calibri"/>
        </w:rPr>
        <w:t xml:space="preserve">For minor livestock categories, such as </w:t>
      </w:r>
      <w:r w:rsidRPr="00D9348B">
        <w:rPr>
          <w:rFonts w:cs="Calibri"/>
          <w:i/>
          <w:iCs/>
        </w:rPr>
        <w:t>Horses</w:t>
      </w:r>
      <w:r w:rsidRPr="00D9348B">
        <w:rPr>
          <w:rFonts w:cs="Calibri"/>
        </w:rPr>
        <w:t xml:space="preserve">, </w:t>
      </w:r>
      <w:r w:rsidRPr="00D9348B">
        <w:rPr>
          <w:rFonts w:cs="Calibri"/>
          <w:i/>
          <w:iCs/>
        </w:rPr>
        <w:t>Llamas and alpacas</w:t>
      </w:r>
      <w:r w:rsidRPr="00D9348B">
        <w:rPr>
          <w:rFonts w:cs="Calibri"/>
        </w:rPr>
        <w:t xml:space="preserve">, </w:t>
      </w:r>
      <w:r w:rsidRPr="00D9348B">
        <w:rPr>
          <w:rFonts w:cs="Calibri"/>
          <w:i/>
          <w:iCs/>
        </w:rPr>
        <w:t>Poultry</w:t>
      </w:r>
      <w:r w:rsidRPr="00D9348B">
        <w:rPr>
          <w:rFonts w:cs="Calibri"/>
        </w:rPr>
        <w:t xml:space="preserve">, </w:t>
      </w:r>
      <w:r w:rsidRPr="00D9348B">
        <w:rPr>
          <w:rFonts w:cs="Calibri"/>
          <w:i/>
          <w:iCs/>
        </w:rPr>
        <w:t>Swine</w:t>
      </w:r>
      <w:r w:rsidRPr="00D9348B">
        <w:rPr>
          <w:rFonts w:cs="Calibri"/>
        </w:rPr>
        <w:t xml:space="preserve">, </w:t>
      </w:r>
      <w:r w:rsidRPr="00D9348B">
        <w:rPr>
          <w:rFonts w:cs="Calibri"/>
          <w:i/>
          <w:iCs/>
        </w:rPr>
        <w:t>Goats</w:t>
      </w:r>
      <w:r w:rsidRPr="00D9348B">
        <w:rPr>
          <w:rFonts w:cs="Calibri"/>
        </w:rPr>
        <w:t xml:space="preserve">, and </w:t>
      </w:r>
      <w:r w:rsidRPr="00D9348B">
        <w:rPr>
          <w:rFonts w:cs="Calibri"/>
          <w:i/>
          <w:iCs/>
        </w:rPr>
        <w:t>Mules and asses</w:t>
      </w:r>
      <w:r w:rsidRPr="00D9348B">
        <w:rPr>
          <w:rFonts w:cs="Calibri"/>
        </w:rPr>
        <w:t>, New Zealand uses IPCC default emission factors and methodology. Research conducted in New Zealand confirmed that the IPCC default emission factors and methodology for direct N</w:t>
      </w:r>
      <w:r w:rsidRPr="00D9348B">
        <w:rPr>
          <w:rFonts w:cs="Calibri"/>
          <w:vertAlign w:val="subscript"/>
        </w:rPr>
        <w:t>2</w:t>
      </w:r>
      <w:r w:rsidRPr="00D9348B">
        <w:rPr>
          <w:rFonts w:cs="Calibri"/>
        </w:rPr>
        <w:t>O emissions from manure deposited onto soil (EF</w:t>
      </w:r>
      <w:r w:rsidRPr="00D9348B">
        <w:rPr>
          <w:rFonts w:cs="Calibri"/>
          <w:vertAlign w:val="subscript"/>
        </w:rPr>
        <w:t>3</w:t>
      </w:r>
      <w:proofErr w:type="gramStart"/>
      <w:r w:rsidRPr="00D9348B">
        <w:rPr>
          <w:rFonts w:cs="Calibri"/>
          <w:vertAlign w:val="subscript"/>
        </w:rPr>
        <w:t>,PRP</w:t>
      </w:r>
      <w:proofErr w:type="gramEnd"/>
      <w:r w:rsidRPr="00D9348B">
        <w:rPr>
          <w:rFonts w:cs="Calibri"/>
          <w:vertAlign w:val="subscript"/>
        </w:rPr>
        <w:t>-MINOR</w:t>
      </w:r>
      <w:r w:rsidRPr="00D9348B">
        <w:rPr>
          <w:rFonts w:cs="Calibri"/>
        </w:rPr>
        <w:t>) are appropriate for New Zealand conditions (Carran et al., 1995; de Klein et al., 2003; Muller et al., 1995).</w:t>
      </w:r>
    </w:p>
    <w:p w14:paraId="15A5262C" w14:textId="77777777" w:rsidR="00F849A7" w:rsidRPr="00D9348B" w:rsidRDefault="00F849A7" w:rsidP="00F849A7">
      <w:pPr>
        <w:pStyle w:val="BodyText"/>
        <w:spacing w:before="100" w:after="100"/>
        <w:rPr>
          <w:rFonts w:cs="Calibri"/>
          <w:spacing w:val="-2"/>
        </w:rPr>
      </w:pPr>
      <w:r w:rsidRPr="00D9348B">
        <w:rPr>
          <w:rFonts w:cs="Calibri"/>
        </w:rPr>
        <w:t xml:space="preserve">New Zealand uses country-specific emission factors for urea fertiliser (0.0059) and dairy cattle effluent manure (0.0025) applied to soils (van der Weerden </w:t>
      </w:r>
      <w:proofErr w:type="gramStart"/>
      <w:r w:rsidRPr="00D9348B">
        <w:rPr>
          <w:rFonts w:cs="Calibri"/>
        </w:rPr>
        <w:t>et.al.,</w:t>
      </w:r>
      <w:proofErr w:type="gramEnd"/>
      <w:r w:rsidRPr="00D9348B">
        <w:rPr>
          <w:rFonts w:cs="Calibri"/>
        </w:rPr>
        <w:t xml:space="preserve"> 2016a and 2016b). The IPCC default value of 0.01 is used for other nitrogen inputs including synthetic nitrogen fertiliser (excluding urea), animal manure from minor livestock species applied to soils, and crop residues. This emissions factor of 0.01 has been verified as suitable for New Zealand conditions by Kelliher and de Klein (unpublished). </w:t>
      </w:r>
    </w:p>
    <w:p w14:paraId="7BB62226" w14:textId="77777777" w:rsidR="00F849A7" w:rsidRPr="00D9348B" w:rsidRDefault="00F849A7" w:rsidP="00F849A7">
      <w:pPr>
        <w:pStyle w:val="BodyText"/>
        <w:spacing w:before="100" w:after="100"/>
        <w:rPr>
          <w:rFonts w:cs="Calibri"/>
          <w:spacing w:val="-2"/>
        </w:rPr>
      </w:pPr>
      <w:r w:rsidRPr="00D9348B">
        <w:rPr>
          <w:rFonts w:cs="Calibri"/>
        </w:rPr>
        <w:t>The emission factor for indirect N</w:t>
      </w:r>
      <w:r w:rsidRPr="00D9348B">
        <w:rPr>
          <w:rFonts w:cs="Calibri"/>
          <w:vertAlign w:val="subscript"/>
        </w:rPr>
        <w:t>2</w:t>
      </w:r>
      <w:r w:rsidRPr="00D9348B">
        <w:rPr>
          <w:rFonts w:cs="Calibri"/>
        </w:rPr>
        <w:t>O emissions from leaching and runoff (EF</w:t>
      </w:r>
      <w:r w:rsidRPr="00D9348B">
        <w:rPr>
          <w:rFonts w:cs="Calibri"/>
          <w:vertAlign w:val="subscript"/>
        </w:rPr>
        <w:t>5</w:t>
      </w:r>
      <w:r w:rsidRPr="00D9348B">
        <w:rPr>
          <w:rFonts w:cs="Calibri"/>
        </w:rPr>
        <w:t xml:space="preserve">) for rivers, lakes and estuaries has also been reviewed (Clough and Kelliher, unpublished). The review concluded that further research is required to develop a country-specific value, and that the IPCC (2006) default emission factor (0.0075) is appropriate for New Zealand in the meantime. </w:t>
      </w:r>
    </w:p>
    <w:p w14:paraId="1549068A" w14:textId="77777777" w:rsidR="00F849A7" w:rsidRPr="00D9348B" w:rsidRDefault="00F849A7" w:rsidP="00F849A7">
      <w:pPr>
        <w:pStyle w:val="BodyText"/>
        <w:spacing w:before="100" w:after="80"/>
        <w:rPr>
          <w:rFonts w:cs="Calibri"/>
        </w:rPr>
      </w:pPr>
      <w:r w:rsidRPr="00D9348B">
        <w:rPr>
          <w:rFonts w:cs="Calibri"/>
          <w:spacing w:val="-2"/>
        </w:rPr>
        <w:t xml:space="preserve">In addition to these country-specific emission factors, New Zealand has developed country-specific parameters for volatilisation, leaching, and nitrogen input from crop residue burning and pasture renewal (see table 5.5.4). New Zealand has also incorporated country-specific emission factors and country-specific parameters </w:t>
      </w:r>
      <w:r w:rsidRPr="00D9348B">
        <w:rPr>
          <w:rFonts w:cs="Calibri"/>
        </w:rPr>
        <w:t xml:space="preserve">for calculating emissions from the use of the following mitigation technologies </w:t>
      </w:r>
      <w:r w:rsidRPr="00D9348B">
        <w:rPr>
          <w:rFonts w:cs="Calibri"/>
          <w:spacing w:val="-2"/>
        </w:rPr>
        <w:t>(see table 5.5.5)</w:t>
      </w:r>
      <w:r w:rsidRPr="00D9348B">
        <w:rPr>
          <w:rFonts w:cs="Calibri"/>
        </w:rPr>
        <w:t>:</w:t>
      </w:r>
    </w:p>
    <w:p w14:paraId="2D8CA3FE" w14:textId="77777777" w:rsidR="00F849A7" w:rsidRPr="00D9348B" w:rsidRDefault="00F849A7" w:rsidP="00771A8F">
      <w:pPr>
        <w:pStyle w:val="Bullet"/>
        <w:numPr>
          <w:ilvl w:val="0"/>
          <w:numId w:val="20"/>
        </w:numPr>
        <w:spacing w:after="80"/>
        <w:rPr>
          <w:rFonts w:cs="Calibri"/>
        </w:rPr>
      </w:pPr>
      <w:r w:rsidRPr="00D9348B">
        <w:rPr>
          <w:rFonts w:cs="Calibri"/>
        </w:rPr>
        <w:t xml:space="preserve">urease inhibitors such as N-butyl thiophosphoric triamide </w:t>
      </w:r>
    </w:p>
    <w:p w14:paraId="077C022C" w14:textId="77777777" w:rsidR="00F849A7" w:rsidRPr="00D9348B" w:rsidRDefault="00F849A7" w:rsidP="00771A8F">
      <w:pPr>
        <w:pStyle w:val="Bullet"/>
        <w:numPr>
          <w:ilvl w:val="0"/>
          <w:numId w:val="20"/>
        </w:numPr>
        <w:rPr>
          <w:rFonts w:cs="Calibri"/>
          <w:spacing w:val="-2"/>
        </w:rPr>
      </w:pPr>
      <w:proofErr w:type="gramStart"/>
      <w:r w:rsidRPr="00D9348B">
        <w:rPr>
          <w:rFonts w:cs="Calibri"/>
        </w:rPr>
        <w:t>dicyandiamide</w:t>
      </w:r>
      <w:proofErr w:type="gramEnd"/>
      <w:r w:rsidRPr="00D9348B">
        <w:rPr>
          <w:rFonts w:cs="Calibri"/>
        </w:rPr>
        <w:t xml:space="preserve"> (DCD), a nitrification inhibitor. </w:t>
      </w:r>
    </w:p>
    <w:p w14:paraId="3B6BFC9F" w14:textId="77777777" w:rsidR="00F849A7" w:rsidRPr="00D9348B" w:rsidRDefault="00F849A7" w:rsidP="00F849A7">
      <w:pPr>
        <w:pStyle w:val="Table"/>
        <w:rPr>
          <w:rFonts w:cs="Calibri"/>
        </w:rPr>
      </w:pPr>
      <w:bookmarkStart w:id="859" w:name="_Toc441830880"/>
      <w:bookmarkStart w:id="860" w:name="_Toc451176094"/>
      <w:bookmarkStart w:id="861" w:name="_Toc481751522"/>
      <w:bookmarkStart w:id="862" w:name="_Toc507158610"/>
      <w:bookmarkStart w:id="863" w:name="_Toc511116744"/>
      <w:bookmarkStart w:id="864" w:name="_Toc5269486"/>
      <w:bookmarkStart w:id="865" w:name="_Toc32570928"/>
      <w:bookmarkStart w:id="866" w:name="_Toc36224563"/>
      <w:r w:rsidRPr="00D9348B">
        <w:rPr>
          <w:rFonts w:cs="Calibri"/>
        </w:rPr>
        <w:lastRenderedPageBreak/>
        <w:t>Table 5.5.2</w:t>
      </w:r>
      <w:r w:rsidRPr="00D9348B">
        <w:rPr>
          <w:rFonts w:cs="Calibri"/>
        </w:rPr>
        <w:tab/>
        <w:t>Nitrous oxide (N</w:t>
      </w:r>
      <w:r w:rsidRPr="00D9348B">
        <w:rPr>
          <w:rFonts w:cs="Calibri"/>
          <w:vertAlign w:val="subscript"/>
        </w:rPr>
        <w:t>2</w:t>
      </w:r>
      <w:r w:rsidRPr="00D9348B">
        <w:rPr>
          <w:rFonts w:cs="Calibri"/>
        </w:rPr>
        <w:t>O) emission factors for Agricultural soils in New Zealand</w:t>
      </w:r>
      <w:bookmarkEnd w:id="859"/>
      <w:bookmarkEnd w:id="860"/>
      <w:bookmarkEnd w:id="861"/>
      <w:bookmarkEnd w:id="862"/>
      <w:bookmarkEnd w:id="863"/>
      <w:bookmarkEnd w:id="864"/>
      <w:r w:rsidRPr="00D9348B">
        <w:rPr>
          <w:rFonts w:cs="Calibri"/>
        </w:rPr>
        <w:t>,</w:t>
      </w:r>
      <w:r w:rsidRPr="00D9348B">
        <w:rPr>
          <w:rFonts w:cs="Calibri"/>
        </w:rPr>
        <w:br/>
        <w:t>excluding EF</w:t>
      </w:r>
      <w:r w:rsidRPr="00D9348B">
        <w:rPr>
          <w:rFonts w:cs="Calibri"/>
          <w:vertAlign w:val="subscript"/>
        </w:rPr>
        <w:t>3,PRP</w:t>
      </w:r>
      <w:r w:rsidRPr="00D9348B">
        <w:rPr>
          <w:rFonts w:cs="Calibri"/>
          <w:vertAlign w:val="subscript"/>
        </w:rPr>
        <w:noBreakHyphen/>
        <w:t xml:space="preserve"> URINE)</w:t>
      </w:r>
      <w:r w:rsidRPr="00D9348B">
        <w:rPr>
          <w:rFonts w:cs="Calibri"/>
        </w:rPr>
        <w:t xml:space="preserve"> for cattle, sheep and deer</w:t>
      </w:r>
      <w:bookmarkEnd w:id="865"/>
      <w:bookmarkEnd w:id="866"/>
    </w:p>
    <w:tbl>
      <w:tblPr>
        <w:tblW w:w="8562" w:type="dxa"/>
        <w:tblInd w:w="108" w:type="dxa"/>
        <w:tblBorders>
          <w:top w:val="single" w:sz="4" w:space="0" w:color="365F91"/>
          <w:bottom w:val="single" w:sz="4" w:space="0" w:color="365F91"/>
          <w:insideH w:val="single" w:sz="4" w:space="0" w:color="365F91"/>
        </w:tblBorders>
        <w:tblCellMar>
          <w:left w:w="85" w:type="dxa"/>
          <w:right w:w="85" w:type="dxa"/>
        </w:tblCellMar>
        <w:tblLook w:val="01E0" w:firstRow="1" w:lastRow="1" w:firstColumn="1" w:lastColumn="1" w:noHBand="0" w:noVBand="0"/>
      </w:tblPr>
      <w:tblGrid>
        <w:gridCol w:w="3261"/>
        <w:gridCol w:w="992"/>
        <w:gridCol w:w="709"/>
        <w:gridCol w:w="1417"/>
        <w:gridCol w:w="2183"/>
      </w:tblGrid>
      <w:tr w:rsidR="00F849A7" w:rsidRPr="00D9348B" w14:paraId="0553F87F" w14:textId="77777777" w:rsidTr="003E4A42">
        <w:trPr>
          <w:tblHeader/>
        </w:trPr>
        <w:tc>
          <w:tcPr>
            <w:tcW w:w="3261" w:type="dxa"/>
            <w:shd w:val="clear" w:color="auto" w:fill="365F91"/>
            <w:vAlign w:val="bottom"/>
          </w:tcPr>
          <w:p w14:paraId="38C720CD" w14:textId="77777777" w:rsidR="00F849A7" w:rsidRPr="00D9348B" w:rsidRDefault="00F849A7" w:rsidP="00DB330E">
            <w:pPr>
              <w:pStyle w:val="TableTextBold"/>
              <w:keepNext/>
              <w:rPr>
                <w:rFonts w:cs="Calibri"/>
                <w:noProof w:val="0"/>
                <w:color w:val="FFFFFF"/>
                <w:szCs w:val="16"/>
              </w:rPr>
            </w:pPr>
            <w:r w:rsidRPr="00D9348B">
              <w:rPr>
                <w:rFonts w:cs="Calibri"/>
                <w:noProof w:val="0"/>
                <w:color w:val="FFFFFF"/>
                <w:szCs w:val="16"/>
              </w:rPr>
              <w:t>Category</w:t>
            </w:r>
          </w:p>
        </w:tc>
        <w:tc>
          <w:tcPr>
            <w:tcW w:w="3118" w:type="dxa"/>
            <w:gridSpan w:val="3"/>
            <w:shd w:val="clear" w:color="auto" w:fill="365F91"/>
            <w:vAlign w:val="bottom"/>
          </w:tcPr>
          <w:p w14:paraId="4A42256C" w14:textId="77777777" w:rsidR="00F849A7" w:rsidRPr="00D9348B" w:rsidRDefault="00F849A7" w:rsidP="00DB330E">
            <w:pPr>
              <w:pStyle w:val="TableTextBold"/>
              <w:keepNext/>
              <w:jc w:val="center"/>
              <w:rPr>
                <w:rFonts w:cs="Calibri"/>
                <w:noProof w:val="0"/>
                <w:color w:val="FFFFFF"/>
                <w:szCs w:val="16"/>
              </w:rPr>
            </w:pPr>
            <w:r w:rsidRPr="00D9348B">
              <w:rPr>
                <w:rFonts w:cs="Calibri"/>
                <w:noProof w:val="0"/>
                <w:color w:val="FFFFFF"/>
                <w:szCs w:val="16"/>
              </w:rPr>
              <w:t>Emission factor</w:t>
            </w:r>
          </w:p>
        </w:tc>
        <w:tc>
          <w:tcPr>
            <w:tcW w:w="2183" w:type="dxa"/>
            <w:shd w:val="clear" w:color="auto" w:fill="365F91"/>
            <w:vAlign w:val="bottom"/>
          </w:tcPr>
          <w:p w14:paraId="66A28EFA" w14:textId="77777777" w:rsidR="00F849A7" w:rsidRPr="00D9348B" w:rsidRDefault="00F849A7" w:rsidP="00DB330E">
            <w:pPr>
              <w:pStyle w:val="TableTextBold"/>
              <w:keepNext/>
              <w:rPr>
                <w:rFonts w:cs="Calibri"/>
                <w:noProof w:val="0"/>
                <w:color w:val="FFFFFF"/>
                <w:szCs w:val="16"/>
              </w:rPr>
            </w:pPr>
            <w:r w:rsidRPr="00D9348B">
              <w:rPr>
                <w:rFonts w:cs="Calibri"/>
                <w:noProof w:val="0"/>
                <w:color w:val="FFFFFF"/>
                <w:szCs w:val="16"/>
              </w:rPr>
              <w:t>Source</w:t>
            </w:r>
          </w:p>
        </w:tc>
      </w:tr>
      <w:tr w:rsidR="00F849A7" w:rsidRPr="00D9348B" w14:paraId="608CDE8B" w14:textId="77777777" w:rsidTr="003E4A42">
        <w:tc>
          <w:tcPr>
            <w:tcW w:w="0" w:type="auto"/>
            <w:gridSpan w:val="5"/>
          </w:tcPr>
          <w:p w14:paraId="0170D44A" w14:textId="77777777" w:rsidR="00F849A7" w:rsidRPr="00D9348B" w:rsidRDefault="00F849A7" w:rsidP="00DB330E">
            <w:pPr>
              <w:pStyle w:val="TableText"/>
              <w:keepNext/>
              <w:spacing w:before="50" w:after="50"/>
              <w:rPr>
                <w:rFonts w:cs="Calibri"/>
                <w:b/>
                <w:bCs/>
                <w:szCs w:val="16"/>
              </w:rPr>
            </w:pPr>
            <w:r w:rsidRPr="00D9348B">
              <w:rPr>
                <w:rFonts w:cs="Calibri"/>
                <w:b/>
                <w:bCs/>
                <w:szCs w:val="16"/>
              </w:rPr>
              <w:t>3.D.1 Direct N</w:t>
            </w:r>
            <w:r w:rsidRPr="00D9348B">
              <w:rPr>
                <w:rFonts w:cs="Calibri"/>
                <w:b/>
                <w:bCs/>
                <w:szCs w:val="16"/>
                <w:vertAlign w:val="subscript"/>
              </w:rPr>
              <w:t>2</w:t>
            </w:r>
            <w:r w:rsidRPr="00D9348B">
              <w:rPr>
                <w:rFonts w:cs="Calibri"/>
                <w:b/>
                <w:bCs/>
                <w:szCs w:val="16"/>
              </w:rPr>
              <w:t>O emissions</w:t>
            </w:r>
          </w:p>
        </w:tc>
      </w:tr>
      <w:tr w:rsidR="00F849A7" w:rsidRPr="00D9348B" w14:paraId="56ACC80C" w14:textId="77777777" w:rsidTr="003E4A42">
        <w:tc>
          <w:tcPr>
            <w:tcW w:w="3261" w:type="dxa"/>
          </w:tcPr>
          <w:p w14:paraId="1742552A" w14:textId="77777777" w:rsidR="00F849A7" w:rsidRPr="00D9348B" w:rsidRDefault="00F849A7" w:rsidP="00DB330E">
            <w:pPr>
              <w:pStyle w:val="TableText"/>
              <w:spacing w:before="50" w:after="50"/>
              <w:rPr>
                <w:rFonts w:cs="Calibri"/>
                <w:szCs w:val="16"/>
              </w:rPr>
            </w:pPr>
            <w:r w:rsidRPr="00D9348B">
              <w:rPr>
                <w:rFonts w:cs="Calibri"/>
                <w:szCs w:val="16"/>
              </w:rPr>
              <w:t>Synthetic nitrogen fertiliser (urea)</w:t>
            </w:r>
          </w:p>
        </w:tc>
        <w:tc>
          <w:tcPr>
            <w:tcW w:w="992" w:type="dxa"/>
          </w:tcPr>
          <w:p w14:paraId="66C9E2F4" w14:textId="77777777" w:rsidR="00F849A7" w:rsidRPr="00D9348B" w:rsidRDefault="00F849A7" w:rsidP="00DB330E">
            <w:pPr>
              <w:pStyle w:val="TableText"/>
              <w:keepNext/>
              <w:spacing w:before="50" w:after="50"/>
              <w:rPr>
                <w:rFonts w:cs="Calibri"/>
                <w:szCs w:val="16"/>
              </w:rPr>
            </w:pPr>
            <w:r w:rsidRPr="00D9348B">
              <w:rPr>
                <w:rFonts w:cs="Calibri"/>
                <w:szCs w:val="16"/>
              </w:rPr>
              <w:t>EF</w:t>
            </w:r>
            <w:r w:rsidRPr="00D9348B">
              <w:rPr>
                <w:rFonts w:cs="Calibri"/>
                <w:szCs w:val="16"/>
                <w:vertAlign w:val="subscript"/>
              </w:rPr>
              <w:t>1-UREA</w:t>
            </w:r>
          </w:p>
        </w:tc>
        <w:tc>
          <w:tcPr>
            <w:tcW w:w="709" w:type="dxa"/>
          </w:tcPr>
          <w:p w14:paraId="6A149B68" w14:textId="77777777" w:rsidR="00F849A7" w:rsidRPr="00D9348B" w:rsidRDefault="00F849A7" w:rsidP="00DB330E">
            <w:pPr>
              <w:pStyle w:val="TableText"/>
              <w:keepNext/>
              <w:spacing w:before="50" w:after="50"/>
              <w:rPr>
                <w:rFonts w:cs="Calibri"/>
                <w:szCs w:val="16"/>
              </w:rPr>
            </w:pPr>
            <w:r w:rsidRPr="00D9348B">
              <w:rPr>
                <w:rFonts w:cs="Calibri"/>
                <w:szCs w:val="16"/>
              </w:rPr>
              <w:t>0.0059</w:t>
            </w:r>
          </w:p>
        </w:tc>
        <w:tc>
          <w:tcPr>
            <w:tcW w:w="1417" w:type="dxa"/>
            <w:tcMar>
              <w:right w:w="28" w:type="dxa"/>
            </w:tcMar>
          </w:tcPr>
          <w:p w14:paraId="339ACCC8" w14:textId="77777777" w:rsidR="00F849A7" w:rsidRPr="00D9348B" w:rsidRDefault="00F849A7" w:rsidP="00DB330E">
            <w:pPr>
              <w:pStyle w:val="TableText"/>
              <w:keepNext/>
              <w:spacing w:before="50" w:after="50"/>
              <w:rPr>
                <w:rFonts w:cs="Calibri"/>
                <w:szCs w:val="16"/>
              </w:rPr>
            </w:pPr>
            <w:r w:rsidRPr="00D9348B">
              <w:rPr>
                <w:rFonts w:cs="Calibri"/>
                <w:szCs w:val="16"/>
              </w:rPr>
              <w:t>kg N</w:t>
            </w:r>
            <w:r w:rsidRPr="00D9348B">
              <w:rPr>
                <w:rFonts w:cs="Calibri"/>
                <w:szCs w:val="16"/>
                <w:vertAlign w:val="subscript"/>
              </w:rPr>
              <w:t>2</w:t>
            </w:r>
            <w:r w:rsidRPr="00D9348B">
              <w:rPr>
                <w:rFonts w:cs="Calibri"/>
                <w:szCs w:val="16"/>
              </w:rPr>
              <w:t>O-N/kg N</w:t>
            </w:r>
          </w:p>
        </w:tc>
        <w:tc>
          <w:tcPr>
            <w:tcW w:w="2183" w:type="dxa"/>
          </w:tcPr>
          <w:p w14:paraId="54AEF2FD" w14:textId="77777777" w:rsidR="00F849A7" w:rsidRPr="00D9348B" w:rsidRDefault="00F849A7" w:rsidP="00DB330E">
            <w:pPr>
              <w:pStyle w:val="TableText"/>
              <w:keepNext/>
              <w:spacing w:before="50" w:after="50"/>
              <w:rPr>
                <w:rFonts w:cs="Calibri"/>
                <w:szCs w:val="16"/>
              </w:rPr>
            </w:pPr>
            <w:r w:rsidRPr="00D9348B">
              <w:rPr>
                <w:rFonts w:cs="Calibri"/>
                <w:szCs w:val="16"/>
              </w:rPr>
              <w:t>van der Weerden et al. (2016a, 2016b)</w:t>
            </w:r>
          </w:p>
        </w:tc>
      </w:tr>
      <w:tr w:rsidR="00F849A7" w:rsidRPr="00D9348B" w14:paraId="6455E019" w14:textId="77777777" w:rsidTr="003E4A42">
        <w:tc>
          <w:tcPr>
            <w:tcW w:w="3261" w:type="dxa"/>
          </w:tcPr>
          <w:p w14:paraId="3D836307" w14:textId="77777777" w:rsidR="00F849A7" w:rsidRPr="00D9348B" w:rsidRDefault="00F849A7" w:rsidP="00DB330E">
            <w:pPr>
              <w:pStyle w:val="TableText"/>
              <w:spacing w:before="50" w:after="50"/>
              <w:rPr>
                <w:rFonts w:cs="Calibri"/>
                <w:szCs w:val="16"/>
              </w:rPr>
            </w:pPr>
            <w:r w:rsidRPr="00D9348B">
              <w:rPr>
                <w:rFonts w:cs="Calibri"/>
                <w:szCs w:val="16"/>
              </w:rPr>
              <w:t>Organic fertiliser (dairy cattle manure)</w:t>
            </w:r>
          </w:p>
        </w:tc>
        <w:tc>
          <w:tcPr>
            <w:tcW w:w="992" w:type="dxa"/>
          </w:tcPr>
          <w:p w14:paraId="747AE83E" w14:textId="77777777" w:rsidR="00F849A7" w:rsidRPr="00D9348B" w:rsidRDefault="00F849A7" w:rsidP="00DB330E">
            <w:pPr>
              <w:pStyle w:val="TableText"/>
              <w:keepNext/>
              <w:spacing w:before="50" w:after="50"/>
              <w:rPr>
                <w:rFonts w:cs="Calibri"/>
                <w:szCs w:val="16"/>
              </w:rPr>
            </w:pPr>
            <w:r w:rsidRPr="00D9348B">
              <w:rPr>
                <w:rFonts w:cs="Calibri"/>
                <w:szCs w:val="16"/>
              </w:rPr>
              <w:t>EF</w:t>
            </w:r>
            <w:r w:rsidRPr="00D9348B">
              <w:rPr>
                <w:rFonts w:cs="Calibri"/>
                <w:szCs w:val="16"/>
                <w:vertAlign w:val="subscript"/>
              </w:rPr>
              <w:t>1-DAIRY</w:t>
            </w:r>
          </w:p>
        </w:tc>
        <w:tc>
          <w:tcPr>
            <w:tcW w:w="709" w:type="dxa"/>
          </w:tcPr>
          <w:p w14:paraId="2A2C9786" w14:textId="77777777" w:rsidR="00F849A7" w:rsidRPr="00D9348B" w:rsidRDefault="00F849A7" w:rsidP="00DB330E">
            <w:pPr>
              <w:pStyle w:val="TableText"/>
              <w:keepNext/>
              <w:spacing w:before="50" w:after="50"/>
              <w:rPr>
                <w:rFonts w:cs="Calibri"/>
                <w:szCs w:val="16"/>
              </w:rPr>
            </w:pPr>
            <w:r w:rsidRPr="00D9348B">
              <w:rPr>
                <w:rFonts w:cs="Calibri"/>
                <w:szCs w:val="16"/>
              </w:rPr>
              <w:t>0.0025</w:t>
            </w:r>
          </w:p>
        </w:tc>
        <w:tc>
          <w:tcPr>
            <w:tcW w:w="1417" w:type="dxa"/>
            <w:tcMar>
              <w:right w:w="28" w:type="dxa"/>
            </w:tcMar>
          </w:tcPr>
          <w:p w14:paraId="0BBDB30B" w14:textId="77777777" w:rsidR="00F849A7" w:rsidRPr="00D9348B" w:rsidRDefault="00F849A7" w:rsidP="00DB330E">
            <w:pPr>
              <w:pStyle w:val="TableText"/>
              <w:keepNext/>
              <w:spacing w:before="50" w:after="50"/>
              <w:rPr>
                <w:rFonts w:cs="Calibri"/>
                <w:szCs w:val="16"/>
              </w:rPr>
            </w:pPr>
            <w:r w:rsidRPr="00D9348B">
              <w:rPr>
                <w:rFonts w:cs="Calibri"/>
                <w:szCs w:val="16"/>
              </w:rPr>
              <w:t>kg N</w:t>
            </w:r>
            <w:r w:rsidRPr="00D9348B">
              <w:rPr>
                <w:rFonts w:cs="Calibri"/>
                <w:szCs w:val="16"/>
                <w:vertAlign w:val="subscript"/>
              </w:rPr>
              <w:t>2</w:t>
            </w:r>
            <w:r w:rsidRPr="00D9348B">
              <w:rPr>
                <w:rFonts w:cs="Calibri"/>
                <w:szCs w:val="16"/>
              </w:rPr>
              <w:t>O-N/kg N</w:t>
            </w:r>
          </w:p>
        </w:tc>
        <w:tc>
          <w:tcPr>
            <w:tcW w:w="2183" w:type="dxa"/>
          </w:tcPr>
          <w:p w14:paraId="078A6BCA" w14:textId="77777777" w:rsidR="00F849A7" w:rsidRPr="00D9348B" w:rsidRDefault="00F849A7" w:rsidP="00DB330E">
            <w:pPr>
              <w:pStyle w:val="TableText"/>
              <w:keepNext/>
              <w:spacing w:before="50" w:after="50"/>
              <w:rPr>
                <w:rFonts w:cs="Calibri"/>
                <w:szCs w:val="16"/>
              </w:rPr>
            </w:pPr>
            <w:r w:rsidRPr="00D9348B">
              <w:rPr>
                <w:rFonts w:cs="Calibri"/>
                <w:szCs w:val="16"/>
              </w:rPr>
              <w:t>van der Weerden et al. (2016a, 2016b)</w:t>
            </w:r>
          </w:p>
        </w:tc>
      </w:tr>
      <w:tr w:rsidR="00F849A7" w:rsidRPr="00D9348B" w14:paraId="0FCE7943" w14:textId="77777777" w:rsidTr="003E4A42">
        <w:tc>
          <w:tcPr>
            <w:tcW w:w="3261" w:type="dxa"/>
          </w:tcPr>
          <w:p w14:paraId="4D83165E" w14:textId="77777777" w:rsidR="00F849A7" w:rsidRPr="00D9348B" w:rsidRDefault="00F849A7" w:rsidP="00DB330E">
            <w:pPr>
              <w:pStyle w:val="TableText"/>
              <w:spacing w:before="50" w:after="50"/>
              <w:rPr>
                <w:rFonts w:cs="Calibri"/>
                <w:szCs w:val="16"/>
              </w:rPr>
            </w:pPr>
            <w:r w:rsidRPr="00D9348B">
              <w:rPr>
                <w:rFonts w:cs="Calibri"/>
                <w:szCs w:val="16"/>
              </w:rPr>
              <w:t xml:space="preserve">Synthetic nitrogen fertiliser (other), organic fertiliser (swine and poultry manure) crop residue, nitrogen loss due to soil organic matter mineralisation, organic soil mineralisation due to cultivation </w:t>
            </w:r>
          </w:p>
        </w:tc>
        <w:tc>
          <w:tcPr>
            <w:tcW w:w="992" w:type="dxa"/>
          </w:tcPr>
          <w:p w14:paraId="38FDF495" w14:textId="77777777" w:rsidR="00F849A7" w:rsidRPr="00D9348B" w:rsidRDefault="00F849A7" w:rsidP="00DB330E">
            <w:pPr>
              <w:pStyle w:val="TableText"/>
              <w:keepNext/>
              <w:spacing w:before="50" w:after="50"/>
              <w:rPr>
                <w:rFonts w:cs="Calibri"/>
                <w:szCs w:val="16"/>
              </w:rPr>
            </w:pPr>
            <w:r w:rsidRPr="00D9348B">
              <w:rPr>
                <w:rFonts w:cs="Calibri"/>
                <w:szCs w:val="16"/>
              </w:rPr>
              <w:t>EF</w:t>
            </w:r>
            <w:r w:rsidRPr="00D9348B">
              <w:rPr>
                <w:rFonts w:cs="Calibri"/>
                <w:szCs w:val="16"/>
                <w:vertAlign w:val="subscript"/>
              </w:rPr>
              <w:t>1</w:t>
            </w:r>
          </w:p>
        </w:tc>
        <w:tc>
          <w:tcPr>
            <w:tcW w:w="709" w:type="dxa"/>
          </w:tcPr>
          <w:p w14:paraId="019CC935" w14:textId="77777777" w:rsidR="00F849A7" w:rsidRPr="00D9348B" w:rsidRDefault="00F849A7" w:rsidP="00DB330E">
            <w:pPr>
              <w:pStyle w:val="TableText"/>
              <w:keepNext/>
              <w:spacing w:before="50" w:after="50"/>
              <w:rPr>
                <w:rFonts w:cs="Calibri"/>
                <w:szCs w:val="16"/>
              </w:rPr>
            </w:pPr>
            <w:r w:rsidRPr="00D9348B">
              <w:rPr>
                <w:rFonts w:cs="Calibri"/>
                <w:szCs w:val="16"/>
              </w:rPr>
              <w:t xml:space="preserve">0.01 </w:t>
            </w:r>
          </w:p>
        </w:tc>
        <w:tc>
          <w:tcPr>
            <w:tcW w:w="1417" w:type="dxa"/>
            <w:tcMar>
              <w:right w:w="28" w:type="dxa"/>
            </w:tcMar>
          </w:tcPr>
          <w:p w14:paraId="76DF97E5" w14:textId="77777777" w:rsidR="00F849A7" w:rsidRPr="00D9348B" w:rsidRDefault="00F849A7" w:rsidP="00DB330E">
            <w:pPr>
              <w:pStyle w:val="TableText"/>
              <w:keepNext/>
              <w:spacing w:before="50" w:after="50"/>
              <w:rPr>
                <w:rFonts w:cs="Calibri"/>
                <w:szCs w:val="16"/>
              </w:rPr>
            </w:pPr>
            <w:r w:rsidRPr="00D9348B">
              <w:rPr>
                <w:rFonts w:cs="Calibri"/>
                <w:szCs w:val="16"/>
              </w:rPr>
              <w:t>kg N</w:t>
            </w:r>
            <w:r w:rsidRPr="00D9348B">
              <w:rPr>
                <w:rFonts w:cs="Calibri"/>
                <w:szCs w:val="16"/>
                <w:vertAlign w:val="subscript"/>
              </w:rPr>
              <w:t>2</w:t>
            </w:r>
            <w:r w:rsidRPr="00D9348B">
              <w:rPr>
                <w:rFonts w:cs="Calibri"/>
                <w:szCs w:val="16"/>
              </w:rPr>
              <w:t>O-N/kg N</w:t>
            </w:r>
          </w:p>
        </w:tc>
        <w:tc>
          <w:tcPr>
            <w:tcW w:w="2183" w:type="dxa"/>
          </w:tcPr>
          <w:p w14:paraId="7AD31B62" w14:textId="77777777" w:rsidR="00F849A7" w:rsidRPr="00D9348B" w:rsidRDefault="00F849A7" w:rsidP="00DB330E">
            <w:pPr>
              <w:pStyle w:val="TableText"/>
              <w:keepNext/>
              <w:spacing w:before="50" w:after="50"/>
              <w:rPr>
                <w:rFonts w:cs="Calibri"/>
                <w:szCs w:val="16"/>
              </w:rPr>
            </w:pPr>
            <w:r w:rsidRPr="00D9348B">
              <w:rPr>
                <w:rFonts w:cs="Calibri"/>
                <w:szCs w:val="16"/>
              </w:rPr>
              <w:t>Kelliher and de Klein (unpublished), IPCC (2006, table 11.1)</w:t>
            </w:r>
          </w:p>
        </w:tc>
      </w:tr>
      <w:tr w:rsidR="00F849A7" w:rsidRPr="00D9348B" w14:paraId="29B7EBBB" w14:textId="77777777" w:rsidTr="003E4A42">
        <w:tc>
          <w:tcPr>
            <w:tcW w:w="3261" w:type="dxa"/>
          </w:tcPr>
          <w:p w14:paraId="7F0EC026" w14:textId="77777777" w:rsidR="00F849A7" w:rsidRPr="00D9348B" w:rsidRDefault="00F849A7" w:rsidP="00DB330E">
            <w:pPr>
              <w:pStyle w:val="TableText"/>
              <w:spacing w:before="50" w:after="50"/>
              <w:rPr>
                <w:rFonts w:cs="Calibri"/>
                <w:szCs w:val="16"/>
              </w:rPr>
            </w:pPr>
            <w:r w:rsidRPr="00D9348B">
              <w:rPr>
                <w:rFonts w:cs="Calibri"/>
                <w:szCs w:val="16"/>
              </w:rPr>
              <w:t>Cultivation of organic soils</w:t>
            </w:r>
          </w:p>
        </w:tc>
        <w:tc>
          <w:tcPr>
            <w:tcW w:w="992" w:type="dxa"/>
          </w:tcPr>
          <w:p w14:paraId="73EE7693" w14:textId="77777777" w:rsidR="00F849A7" w:rsidRPr="00D9348B" w:rsidRDefault="00F849A7" w:rsidP="00DB330E">
            <w:pPr>
              <w:pStyle w:val="TableText"/>
              <w:spacing w:before="50" w:after="50"/>
              <w:rPr>
                <w:rFonts w:cs="Calibri"/>
                <w:szCs w:val="16"/>
              </w:rPr>
            </w:pPr>
            <w:r w:rsidRPr="00D9348B">
              <w:rPr>
                <w:rFonts w:cs="Calibri"/>
                <w:szCs w:val="16"/>
              </w:rPr>
              <w:t>EF</w:t>
            </w:r>
            <w:r w:rsidRPr="00D9348B">
              <w:rPr>
                <w:rFonts w:cs="Calibri"/>
                <w:szCs w:val="16"/>
                <w:vertAlign w:val="subscript"/>
              </w:rPr>
              <w:t>2</w:t>
            </w:r>
          </w:p>
        </w:tc>
        <w:tc>
          <w:tcPr>
            <w:tcW w:w="709" w:type="dxa"/>
          </w:tcPr>
          <w:p w14:paraId="1E47E083" w14:textId="77777777" w:rsidR="00F849A7" w:rsidRPr="00D9348B" w:rsidRDefault="00F849A7" w:rsidP="00DB330E">
            <w:pPr>
              <w:pStyle w:val="TableText"/>
              <w:spacing w:before="50" w:after="50"/>
              <w:rPr>
                <w:rFonts w:cs="Calibri"/>
                <w:szCs w:val="16"/>
              </w:rPr>
            </w:pPr>
            <w:r w:rsidRPr="00D9348B">
              <w:rPr>
                <w:rFonts w:cs="Calibri"/>
                <w:szCs w:val="16"/>
              </w:rPr>
              <w:t xml:space="preserve">8 </w:t>
            </w:r>
          </w:p>
        </w:tc>
        <w:tc>
          <w:tcPr>
            <w:tcW w:w="1417" w:type="dxa"/>
            <w:tcMar>
              <w:right w:w="28" w:type="dxa"/>
            </w:tcMar>
          </w:tcPr>
          <w:p w14:paraId="467CC5D9" w14:textId="77777777" w:rsidR="00F849A7" w:rsidRPr="00D9348B" w:rsidRDefault="00F849A7" w:rsidP="00DB330E">
            <w:pPr>
              <w:pStyle w:val="TableText"/>
              <w:spacing w:before="50" w:after="50"/>
              <w:rPr>
                <w:rFonts w:cs="Calibri"/>
                <w:szCs w:val="16"/>
              </w:rPr>
            </w:pPr>
            <w:r w:rsidRPr="00D9348B">
              <w:rPr>
                <w:rFonts w:cs="Calibri"/>
                <w:szCs w:val="16"/>
              </w:rPr>
              <w:t>kg N</w:t>
            </w:r>
            <w:r w:rsidRPr="00D9348B">
              <w:rPr>
                <w:rFonts w:cs="Calibri"/>
                <w:szCs w:val="16"/>
                <w:vertAlign w:val="subscript"/>
              </w:rPr>
              <w:t>2</w:t>
            </w:r>
            <w:r w:rsidRPr="00D9348B">
              <w:rPr>
                <w:rFonts w:cs="Calibri"/>
                <w:szCs w:val="16"/>
              </w:rPr>
              <w:t>O-N/ha/kg N</w:t>
            </w:r>
          </w:p>
        </w:tc>
        <w:tc>
          <w:tcPr>
            <w:tcW w:w="2183" w:type="dxa"/>
          </w:tcPr>
          <w:p w14:paraId="3BBF01E1" w14:textId="77777777" w:rsidR="00F849A7" w:rsidRPr="00D9348B" w:rsidRDefault="00F849A7" w:rsidP="00DB330E">
            <w:pPr>
              <w:pStyle w:val="TableText"/>
              <w:spacing w:before="50" w:after="50"/>
              <w:rPr>
                <w:rFonts w:cs="Calibri"/>
                <w:szCs w:val="16"/>
              </w:rPr>
            </w:pPr>
            <w:r w:rsidRPr="00D9348B">
              <w:rPr>
                <w:rFonts w:cs="Calibri"/>
                <w:szCs w:val="16"/>
              </w:rPr>
              <w:t>IPCC (2006, table 11.1)</w:t>
            </w:r>
          </w:p>
        </w:tc>
      </w:tr>
      <w:tr w:rsidR="00F849A7" w:rsidRPr="00D9348B" w14:paraId="4E73EEB3" w14:textId="77777777" w:rsidTr="003E4A42">
        <w:trPr>
          <w:trHeight w:val="605"/>
        </w:trPr>
        <w:tc>
          <w:tcPr>
            <w:tcW w:w="3261" w:type="dxa"/>
          </w:tcPr>
          <w:p w14:paraId="0FDB3A5B" w14:textId="77777777" w:rsidR="00F849A7" w:rsidRPr="00D9348B" w:rsidRDefault="00F849A7" w:rsidP="00DB330E">
            <w:pPr>
              <w:pStyle w:val="TableText"/>
              <w:spacing w:before="50" w:after="50"/>
              <w:rPr>
                <w:rFonts w:cs="Calibri"/>
                <w:szCs w:val="16"/>
              </w:rPr>
            </w:pPr>
            <w:r w:rsidRPr="00D9348B">
              <w:rPr>
                <w:rFonts w:cs="Calibri"/>
                <w:szCs w:val="16"/>
              </w:rPr>
              <w:t xml:space="preserve">Manure (dung and urine) from minor grazing animals (i.e., </w:t>
            </w:r>
            <w:r w:rsidRPr="00D9348B">
              <w:rPr>
                <w:rFonts w:cs="Calibri"/>
                <w:i/>
                <w:szCs w:val="16"/>
              </w:rPr>
              <w:t>excluding</w:t>
            </w:r>
            <w:r w:rsidRPr="00D9348B">
              <w:rPr>
                <w:rFonts w:cs="Calibri"/>
                <w:szCs w:val="16"/>
              </w:rPr>
              <w:t xml:space="preserve"> cattle, sheep and deer) in pasture, range and paddock systems</w:t>
            </w:r>
          </w:p>
        </w:tc>
        <w:tc>
          <w:tcPr>
            <w:tcW w:w="992" w:type="dxa"/>
          </w:tcPr>
          <w:p w14:paraId="685A6B3B" w14:textId="77777777" w:rsidR="00F849A7" w:rsidRPr="00D9348B" w:rsidRDefault="00F849A7" w:rsidP="00DB330E">
            <w:pPr>
              <w:pStyle w:val="TableText"/>
              <w:spacing w:before="50" w:after="50"/>
              <w:rPr>
                <w:rFonts w:cs="Calibri"/>
                <w:szCs w:val="16"/>
              </w:rPr>
            </w:pPr>
            <w:r w:rsidRPr="00D9348B">
              <w:rPr>
                <w:rFonts w:cs="Calibri"/>
                <w:szCs w:val="16"/>
              </w:rPr>
              <w:t>EF</w:t>
            </w:r>
            <w:r w:rsidRPr="00D9348B">
              <w:rPr>
                <w:rFonts w:cs="Calibri"/>
                <w:szCs w:val="16"/>
                <w:vertAlign w:val="subscript"/>
              </w:rPr>
              <w:t>3,PRP-MINOR</w:t>
            </w:r>
          </w:p>
        </w:tc>
        <w:tc>
          <w:tcPr>
            <w:tcW w:w="709" w:type="dxa"/>
          </w:tcPr>
          <w:p w14:paraId="6FD09CC8" w14:textId="77777777" w:rsidR="00F849A7" w:rsidRPr="00D9348B" w:rsidRDefault="00F849A7" w:rsidP="00DB330E">
            <w:pPr>
              <w:pStyle w:val="TableText"/>
              <w:spacing w:before="50" w:after="50"/>
              <w:rPr>
                <w:rFonts w:cs="Calibri"/>
                <w:szCs w:val="16"/>
              </w:rPr>
            </w:pPr>
            <w:r w:rsidRPr="00D9348B">
              <w:rPr>
                <w:rFonts w:cs="Calibri"/>
                <w:szCs w:val="16"/>
              </w:rPr>
              <w:t>0.01</w:t>
            </w:r>
          </w:p>
        </w:tc>
        <w:tc>
          <w:tcPr>
            <w:tcW w:w="1417" w:type="dxa"/>
            <w:tcMar>
              <w:right w:w="28" w:type="dxa"/>
            </w:tcMar>
          </w:tcPr>
          <w:p w14:paraId="311BA981" w14:textId="77777777" w:rsidR="00F849A7" w:rsidRPr="00D9348B" w:rsidRDefault="00F849A7" w:rsidP="00DB330E">
            <w:pPr>
              <w:pStyle w:val="TableText"/>
              <w:spacing w:before="50" w:after="50"/>
              <w:rPr>
                <w:rFonts w:cs="Calibri"/>
                <w:szCs w:val="16"/>
              </w:rPr>
            </w:pPr>
            <w:r w:rsidRPr="00D9348B">
              <w:rPr>
                <w:rFonts w:cs="Calibri"/>
                <w:szCs w:val="16"/>
              </w:rPr>
              <w:t>kg N</w:t>
            </w:r>
            <w:r w:rsidRPr="00D9348B">
              <w:rPr>
                <w:rFonts w:cs="Calibri"/>
                <w:szCs w:val="16"/>
                <w:vertAlign w:val="subscript"/>
              </w:rPr>
              <w:t>2</w:t>
            </w:r>
            <w:r w:rsidRPr="00D9348B">
              <w:rPr>
                <w:rFonts w:cs="Calibri"/>
                <w:szCs w:val="16"/>
              </w:rPr>
              <w:t>O-N/kg N</w:t>
            </w:r>
          </w:p>
        </w:tc>
        <w:tc>
          <w:tcPr>
            <w:tcW w:w="2183" w:type="dxa"/>
          </w:tcPr>
          <w:p w14:paraId="0D4295A7" w14:textId="77777777" w:rsidR="00F849A7" w:rsidRPr="00D9348B" w:rsidRDefault="00F849A7" w:rsidP="00DB330E">
            <w:pPr>
              <w:pStyle w:val="TableText"/>
              <w:spacing w:before="50" w:after="50"/>
              <w:rPr>
                <w:rFonts w:cs="Calibri"/>
                <w:szCs w:val="16"/>
              </w:rPr>
            </w:pPr>
            <w:r w:rsidRPr="00D9348B">
              <w:rPr>
                <w:rFonts w:cs="Calibri"/>
                <w:szCs w:val="16"/>
              </w:rPr>
              <w:t>Carran et al. (1995); Muller et al. (1995); de Klein et al. (2003)</w:t>
            </w:r>
          </w:p>
        </w:tc>
      </w:tr>
      <w:tr w:rsidR="00F849A7" w:rsidRPr="00D9348B" w14:paraId="4992673F" w14:textId="77777777" w:rsidTr="003E4A42">
        <w:tc>
          <w:tcPr>
            <w:tcW w:w="3261" w:type="dxa"/>
          </w:tcPr>
          <w:p w14:paraId="50992A5C" w14:textId="77777777" w:rsidR="00F849A7" w:rsidRPr="00D9348B" w:rsidRDefault="00F849A7" w:rsidP="00DB330E">
            <w:pPr>
              <w:pStyle w:val="TableText"/>
              <w:spacing w:before="50" w:after="50"/>
              <w:rPr>
                <w:rFonts w:cs="Calibri"/>
                <w:szCs w:val="16"/>
              </w:rPr>
            </w:pPr>
            <w:r w:rsidRPr="00D9348B">
              <w:rPr>
                <w:rFonts w:cs="Calibri"/>
                <w:szCs w:val="16"/>
              </w:rPr>
              <w:t xml:space="preserve">Dung from grazing cattle, sheep and deer in pasture, range and paddock systems </w:t>
            </w:r>
          </w:p>
        </w:tc>
        <w:tc>
          <w:tcPr>
            <w:tcW w:w="992" w:type="dxa"/>
          </w:tcPr>
          <w:p w14:paraId="1EFAE364" w14:textId="77777777" w:rsidR="00F849A7" w:rsidRPr="00D9348B" w:rsidRDefault="00F849A7" w:rsidP="00DB330E">
            <w:pPr>
              <w:pStyle w:val="TableText"/>
              <w:spacing w:before="50" w:after="50"/>
              <w:rPr>
                <w:rFonts w:cs="Calibri"/>
                <w:szCs w:val="16"/>
              </w:rPr>
            </w:pPr>
            <w:r w:rsidRPr="00D9348B">
              <w:rPr>
                <w:rFonts w:cs="Calibri"/>
                <w:szCs w:val="16"/>
              </w:rPr>
              <w:t>EF</w:t>
            </w:r>
            <w:r w:rsidRPr="00D9348B">
              <w:rPr>
                <w:rFonts w:cs="Calibri"/>
                <w:szCs w:val="16"/>
                <w:vertAlign w:val="subscript"/>
              </w:rPr>
              <w:t>3,PRP-DUNG</w:t>
            </w:r>
          </w:p>
        </w:tc>
        <w:tc>
          <w:tcPr>
            <w:tcW w:w="709" w:type="dxa"/>
          </w:tcPr>
          <w:p w14:paraId="19F2303F" w14:textId="77777777" w:rsidR="00F849A7" w:rsidRPr="00D9348B" w:rsidRDefault="00F849A7" w:rsidP="00DB330E">
            <w:pPr>
              <w:pStyle w:val="TableText"/>
              <w:spacing w:before="50" w:after="50"/>
              <w:rPr>
                <w:rFonts w:cs="Calibri"/>
                <w:szCs w:val="16"/>
              </w:rPr>
            </w:pPr>
            <w:r w:rsidRPr="00D9348B">
              <w:rPr>
                <w:rFonts w:cs="Calibri"/>
                <w:szCs w:val="16"/>
              </w:rPr>
              <w:t>0.0012</w:t>
            </w:r>
          </w:p>
        </w:tc>
        <w:tc>
          <w:tcPr>
            <w:tcW w:w="1417" w:type="dxa"/>
            <w:tcMar>
              <w:right w:w="28" w:type="dxa"/>
            </w:tcMar>
          </w:tcPr>
          <w:p w14:paraId="7B31AE36" w14:textId="77777777" w:rsidR="00F849A7" w:rsidRPr="00D9348B" w:rsidRDefault="00F849A7" w:rsidP="00DB330E">
            <w:pPr>
              <w:pStyle w:val="TableText"/>
              <w:spacing w:before="50" w:after="50"/>
              <w:rPr>
                <w:rFonts w:cs="Calibri"/>
                <w:szCs w:val="16"/>
              </w:rPr>
            </w:pPr>
            <w:r w:rsidRPr="00D9348B">
              <w:rPr>
                <w:rFonts w:cs="Calibri"/>
                <w:szCs w:val="16"/>
              </w:rPr>
              <w:t>kg N</w:t>
            </w:r>
            <w:r w:rsidRPr="00D9348B">
              <w:rPr>
                <w:rFonts w:cs="Calibri"/>
                <w:szCs w:val="16"/>
                <w:vertAlign w:val="subscript"/>
              </w:rPr>
              <w:t>2</w:t>
            </w:r>
            <w:r w:rsidRPr="00D9348B">
              <w:rPr>
                <w:rFonts w:cs="Calibri"/>
                <w:szCs w:val="16"/>
              </w:rPr>
              <w:t>O-N/kg N</w:t>
            </w:r>
          </w:p>
        </w:tc>
        <w:tc>
          <w:tcPr>
            <w:tcW w:w="2183" w:type="dxa"/>
          </w:tcPr>
          <w:p w14:paraId="3BF538D7" w14:textId="77777777" w:rsidR="00F849A7" w:rsidRPr="00D9348B" w:rsidRDefault="00F849A7" w:rsidP="00DB330E">
            <w:pPr>
              <w:pStyle w:val="TableText"/>
              <w:spacing w:before="50" w:after="50"/>
              <w:rPr>
                <w:rFonts w:cs="Calibri"/>
                <w:szCs w:val="16"/>
              </w:rPr>
            </w:pPr>
            <w:r w:rsidRPr="00D9348B">
              <w:rPr>
                <w:rFonts w:cs="Calibri"/>
                <w:szCs w:val="16"/>
              </w:rPr>
              <w:t>van der Weerden et al. (2019)</w:t>
            </w:r>
          </w:p>
        </w:tc>
      </w:tr>
      <w:tr w:rsidR="00F849A7" w:rsidRPr="00D9348B" w14:paraId="75A881D1" w14:textId="77777777" w:rsidTr="003E4A42">
        <w:tc>
          <w:tcPr>
            <w:tcW w:w="0" w:type="auto"/>
            <w:gridSpan w:val="5"/>
            <w:tcMar>
              <w:right w:w="28" w:type="dxa"/>
            </w:tcMar>
          </w:tcPr>
          <w:p w14:paraId="108FBF3F" w14:textId="77777777" w:rsidR="00F849A7" w:rsidRPr="00D9348B" w:rsidRDefault="00F849A7" w:rsidP="00DB330E">
            <w:pPr>
              <w:pStyle w:val="TableText"/>
              <w:spacing w:before="50" w:after="50"/>
              <w:rPr>
                <w:rFonts w:cs="Calibri"/>
                <w:b/>
                <w:bCs/>
                <w:szCs w:val="16"/>
              </w:rPr>
            </w:pPr>
            <w:r w:rsidRPr="00D9348B">
              <w:rPr>
                <w:rFonts w:cs="Calibri"/>
                <w:b/>
                <w:bCs/>
                <w:szCs w:val="16"/>
              </w:rPr>
              <w:t>3.D.2 Indirect N</w:t>
            </w:r>
            <w:r w:rsidRPr="00D9348B">
              <w:rPr>
                <w:rFonts w:cs="Calibri"/>
                <w:b/>
                <w:bCs/>
                <w:szCs w:val="16"/>
                <w:vertAlign w:val="subscript"/>
              </w:rPr>
              <w:t>2</w:t>
            </w:r>
            <w:r w:rsidRPr="00D9348B">
              <w:rPr>
                <w:rFonts w:cs="Calibri"/>
                <w:b/>
                <w:bCs/>
                <w:szCs w:val="16"/>
              </w:rPr>
              <w:t>O emissions</w:t>
            </w:r>
          </w:p>
        </w:tc>
      </w:tr>
      <w:tr w:rsidR="00F849A7" w:rsidRPr="00D9348B" w14:paraId="729544E5" w14:textId="77777777" w:rsidTr="003E4A42">
        <w:tc>
          <w:tcPr>
            <w:tcW w:w="3261" w:type="dxa"/>
          </w:tcPr>
          <w:p w14:paraId="5C891607" w14:textId="77777777" w:rsidR="00F849A7" w:rsidRPr="00D9348B" w:rsidRDefault="00F849A7" w:rsidP="00DB330E">
            <w:pPr>
              <w:pStyle w:val="TableText"/>
              <w:spacing w:before="50" w:after="50"/>
              <w:rPr>
                <w:rFonts w:cs="Calibri"/>
                <w:szCs w:val="16"/>
              </w:rPr>
            </w:pPr>
            <w:r w:rsidRPr="00D9348B">
              <w:rPr>
                <w:rFonts w:cs="Calibri"/>
                <w:szCs w:val="16"/>
              </w:rPr>
              <w:t>Volatilisation</w:t>
            </w:r>
          </w:p>
        </w:tc>
        <w:tc>
          <w:tcPr>
            <w:tcW w:w="992" w:type="dxa"/>
          </w:tcPr>
          <w:p w14:paraId="121EE1FD" w14:textId="77777777" w:rsidR="00F849A7" w:rsidRPr="00D9348B" w:rsidRDefault="00F849A7" w:rsidP="00DB330E">
            <w:pPr>
              <w:pStyle w:val="TableText"/>
              <w:spacing w:before="50" w:after="50"/>
              <w:rPr>
                <w:rFonts w:cs="Calibri"/>
                <w:szCs w:val="16"/>
              </w:rPr>
            </w:pPr>
            <w:r w:rsidRPr="00D9348B">
              <w:rPr>
                <w:rFonts w:cs="Calibri"/>
                <w:szCs w:val="16"/>
              </w:rPr>
              <w:t>EF</w:t>
            </w:r>
            <w:r w:rsidRPr="00D9348B">
              <w:rPr>
                <w:rFonts w:cs="Calibri"/>
                <w:szCs w:val="16"/>
                <w:vertAlign w:val="subscript"/>
              </w:rPr>
              <w:t>4</w:t>
            </w:r>
          </w:p>
        </w:tc>
        <w:tc>
          <w:tcPr>
            <w:tcW w:w="709" w:type="dxa"/>
          </w:tcPr>
          <w:p w14:paraId="45D05969" w14:textId="77777777" w:rsidR="00F849A7" w:rsidRPr="00D9348B" w:rsidRDefault="00F849A7" w:rsidP="00DB330E">
            <w:pPr>
              <w:pStyle w:val="TableText"/>
              <w:spacing w:before="50" w:after="50"/>
              <w:rPr>
                <w:rFonts w:cs="Calibri"/>
                <w:szCs w:val="16"/>
              </w:rPr>
            </w:pPr>
            <w:r w:rsidRPr="00D9348B">
              <w:rPr>
                <w:rFonts w:cs="Calibri"/>
                <w:szCs w:val="16"/>
              </w:rPr>
              <w:t xml:space="preserve">0.010 </w:t>
            </w:r>
          </w:p>
        </w:tc>
        <w:tc>
          <w:tcPr>
            <w:tcW w:w="1417" w:type="dxa"/>
            <w:tcMar>
              <w:right w:w="28" w:type="dxa"/>
            </w:tcMar>
          </w:tcPr>
          <w:p w14:paraId="6502FB51" w14:textId="77777777" w:rsidR="00F849A7" w:rsidRPr="00D9348B" w:rsidRDefault="00F849A7" w:rsidP="00DB330E">
            <w:pPr>
              <w:pStyle w:val="TableText"/>
              <w:spacing w:before="50" w:after="50"/>
              <w:rPr>
                <w:rFonts w:cs="Calibri"/>
                <w:szCs w:val="16"/>
              </w:rPr>
            </w:pPr>
            <w:r w:rsidRPr="00D9348B">
              <w:rPr>
                <w:rFonts w:cs="Calibri"/>
                <w:szCs w:val="16"/>
              </w:rPr>
              <w:t>kg N</w:t>
            </w:r>
            <w:r w:rsidRPr="00D9348B">
              <w:rPr>
                <w:rFonts w:cs="Calibri"/>
                <w:szCs w:val="16"/>
                <w:vertAlign w:val="subscript"/>
              </w:rPr>
              <w:t>2</w:t>
            </w:r>
            <w:r w:rsidRPr="00D9348B">
              <w:rPr>
                <w:rFonts w:cs="Calibri"/>
                <w:szCs w:val="16"/>
              </w:rPr>
              <w:t>O-N/kg N</w:t>
            </w:r>
          </w:p>
        </w:tc>
        <w:tc>
          <w:tcPr>
            <w:tcW w:w="2183" w:type="dxa"/>
          </w:tcPr>
          <w:p w14:paraId="3E703B07" w14:textId="77777777" w:rsidR="00F849A7" w:rsidRPr="00D9348B" w:rsidRDefault="00F849A7" w:rsidP="00DB330E">
            <w:pPr>
              <w:pStyle w:val="TableText"/>
              <w:spacing w:before="50" w:after="50"/>
              <w:rPr>
                <w:rFonts w:cs="Calibri"/>
                <w:szCs w:val="16"/>
              </w:rPr>
            </w:pPr>
            <w:r w:rsidRPr="00D9348B">
              <w:rPr>
                <w:rFonts w:cs="Calibri"/>
                <w:szCs w:val="16"/>
              </w:rPr>
              <w:t>IPCC (2006, table 11.3)</w:t>
            </w:r>
          </w:p>
        </w:tc>
      </w:tr>
      <w:tr w:rsidR="00F849A7" w:rsidRPr="00D9348B" w14:paraId="6D1E8B92" w14:textId="77777777" w:rsidTr="003E4A42">
        <w:tc>
          <w:tcPr>
            <w:tcW w:w="3261" w:type="dxa"/>
          </w:tcPr>
          <w:p w14:paraId="6380FEB9" w14:textId="77777777" w:rsidR="00F849A7" w:rsidRPr="00D9348B" w:rsidRDefault="00F849A7" w:rsidP="00DB330E">
            <w:pPr>
              <w:pStyle w:val="TableText"/>
              <w:spacing w:before="50" w:after="50"/>
              <w:rPr>
                <w:rFonts w:cs="Calibri"/>
                <w:szCs w:val="16"/>
              </w:rPr>
            </w:pPr>
            <w:r w:rsidRPr="00D9348B">
              <w:rPr>
                <w:rFonts w:cs="Calibri"/>
                <w:szCs w:val="16"/>
              </w:rPr>
              <w:t>Leaching and runoff</w:t>
            </w:r>
          </w:p>
        </w:tc>
        <w:tc>
          <w:tcPr>
            <w:tcW w:w="992" w:type="dxa"/>
          </w:tcPr>
          <w:p w14:paraId="66B8F105" w14:textId="77777777" w:rsidR="00F849A7" w:rsidRPr="00D9348B" w:rsidRDefault="00F849A7" w:rsidP="00DB330E">
            <w:pPr>
              <w:pStyle w:val="TableText"/>
              <w:spacing w:before="50" w:after="50"/>
              <w:rPr>
                <w:rFonts w:cs="Calibri"/>
                <w:szCs w:val="16"/>
              </w:rPr>
            </w:pPr>
            <w:r w:rsidRPr="00D9348B">
              <w:rPr>
                <w:rFonts w:cs="Calibri"/>
                <w:szCs w:val="16"/>
              </w:rPr>
              <w:t>EF</w:t>
            </w:r>
            <w:r w:rsidRPr="00D9348B">
              <w:rPr>
                <w:rFonts w:cs="Calibri"/>
                <w:szCs w:val="16"/>
                <w:vertAlign w:val="subscript"/>
              </w:rPr>
              <w:t>5</w:t>
            </w:r>
          </w:p>
        </w:tc>
        <w:tc>
          <w:tcPr>
            <w:tcW w:w="709" w:type="dxa"/>
          </w:tcPr>
          <w:p w14:paraId="600349A5" w14:textId="77777777" w:rsidR="00F849A7" w:rsidRPr="00D9348B" w:rsidRDefault="00F849A7" w:rsidP="00DB330E">
            <w:pPr>
              <w:pStyle w:val="TableText"/>
              <w:spacing w:before="50" w:after="50"/>
              <w:rPr>
                <w:rFonts w:cs="Calibri"/>
                <w:szCs w:val="16"/>
              </w:rPr>
            </w:pPr>
            <w:r w:rsidRPr="00D9348B">
              <w:rPr>
                <w:rFonts w:cs="Calibri"/>
                <w:szCs w:val="16"/>
              </w:rPr>
              <w:t xml:space="preserve">0.0075 </w:t>
            </w:r>
          </w:p>
        </w:tc>
        <w:tc>
          <w:tcPr>
            <w:tcW w:w="1417" w:type="dxa"/>
            <w:tcMar>
              <w:right w:w="28" w:type="dxa"/>
            </w:tcMar>
          </w:tcPr>
          <w:p w14:paraId="792D304E" w14:textId="77777777" w:rsidR="00F849A7" w:rsidRPr="00D9348B" w:rsidRDefault="00F849A7" w:rsidP="00DB330E">
            <w:pPr>
              <w:pStyle w:val="TableText"/>
              <w:spacing w:before="50" w:after="50"/>
              <w:rPr>
                <w:rFonts w:cs="Calibri"/>
                <w:szCs w:val="16"/>
              </w:rPr>
            </w:pPr>
            <w:r w:rsidRPr="00D9348B">
              <w:rPr>
                <w:rFonts w:cs="Calibri"/>
                <w:szCs w:val="16"/>
              </w:rPr>
              <w:t>kg N</w:t>
            </w:r>
            <w:r w:rsidRPr="00D9348B">
              <w:rPr>
                <w:rFonts w:cs="Calibri"/>
                <w:szCs w:val="16"/>
                <w:vertAlign w:val="subscript"/>
              </w:rPr>
              <w:t>2</w:t>
            </w:r>
            <w:r w:rsidRPr="00D9348B">
              <w:rPr>
                <w:rFonts w:cs="Calibri"/>
                <w:szCs w:val="16"/>
              </w:rPr>
              <w:t>O-N/kg N</w:t>
            </w:r>
          </w:p>
        </w:tc>
        <w:tc>
          <w:tcPr>
            <w:tcW w:w="2183" w:type="dxa"/>
          </w:tcPr>
          <w:p w14:paraId="55A319B8" w14:textId="77777777" w:rsidR="00F849A7" w:rsidRPr="00D9348B" w:rsidRDefault="00F849A7" w:rsidP="00DB330E">
            <w:pPr>
              <w:pStyle w:val="TableText"/>
              <w:spacing w:before="50" w:after="50"/>
              <w:rPr>
                <w:rFonts w:cs="Calibri"/>
                <w:szCs w:val="16"/>
              </w:rPr>
            </w:pPr>
            <w:r w:rsidRPr="00D9348B">
              <w:rPr>
                <w:rFonts w:cs="Calibri"/>
                <w:szCs w:val="16"/>
              </w:rPr>
              <w:t>IPCC (2006, table 11.3), confirmed by Clough and Kelliher (unpublished)</w:t>
            </w:r>
          </w:p>
        </w:tc>
      </w:tr>
    </w:tbl>
    <w:p w14:paraId="47DD572D" w14:textId="26CFF570" w:rsidR="00F849A7" w:rsidRPr="00D9348B" w:rsidRDefault="00F849A7" w:rsidP="00F849A7">
      <w:pPr>
        <w:pStyle w:val="Table"/>
        <w:spacing w:before="240"/>
        <w:rPr>
          <w:rFonts w:cs="Calibri"/>
        </w:rPr>
      </w:pPr>
      <w:bookmarkStart w:id="867" w:name="_Toc32570929"/>
      <w:bookmarkStart w:id="868" w:name="_Toc36224564"/>
      <w:bookmarkStart w:id="869" w:name="_Toc441830881"/>
      <w:bookmarkStart w:id="870" w:name="_Toc451176095"/>
      <w:bookmarkStart w:id="871" w:name="_Toc481751523"/>
      <w:bookmarkStart w:id="872" w:name="_Toc507158611"/>
      <w:bookmarkStart w:id="873" w:name="_Toc511116745"/>
      <w:bookmarkStart w:id="874" w:name="_Toc5269487"/>
      <w:r w:rsidRPr="00D9348B">
        <w:rPr>
          <w:rFonts w:cs="Calibri"/>
        </w:rPr>
        <w:t>Table 5.5.3</w:t>
      </w:r>
      <w:r w:rsidRPr="00D9348B">
        <w:rPr>
          <w:rFonts w:cs="Calibri"/>
        </w:rPr>
        <w:tab/>
        <w:t>Direct nitrous oxide (N</w:t>
      </w:r>
      <w:r w:rsidRPr="00D9348B">
        <w:rPr>
          <w:rFonts w:cs="Calibri"/>
          <w:vertAlign w:val="subscript"/>
        </w:rPr>
        <w:t>2</w:t>
      </w:r>
      <w:r w:rsidRPr="00D9348B">
        <w:rPr>
          <w:rFonts w:cs="Calibri"/>
        </w:rPr>
        <w:t>O) emission factors for urine deposited by cattle, sheep</w:t>
      </w:r>
      <w:r w:rsidR="00C73B65" w:rsidRPr="00D9348B">
        <w:rPr>
          <w:rFonts w:cs="Calibri"/>
        </w:rPr>
        <w:t xml:space="preserve"> </w:t>
      </w:r>
      <w:r w:rsidRPr="00D9348B">
        <w:rPr>
          <w:rFonts w:cs="Calibri"/>
        </w:rPr>
        <w:t>and</w:t>
      </w:r>
      <w:r w:rsidR="00C73B65" w:rsidRPr="00D9348B">
        <w:rPr>
          <w:rFonts w:cs="Calibri"/>
        </w:rPr>
        <w:t> </w:t>
      </w:r>
      <w:r w:rsidRPr="00D9348B">
        <w:rPr>
          <w:rFonts w:cs="Calibri"/>
        </w:rPr>
        <w:t>deer</w:t>
      </w:r>
      <w:proofErr w:type="gramStart"/>
      <w:r w:rsidRPr="00D9348B">
        <w:rPr>
          <w:rFonts w:cs="Calibri"/>
        </w:rPr>
        <w:t>,</w:t>
      </w:r>
      <w:proofErr w:type="gramEnd"/>
      <w:r w:rsidRPr="00D9348B">
        <w:rPr>
          <w:rFonts w:cs="Calibri"/>
        </w:rPr>
        <w:br/>
        <w:t>by livestock type and slope, using values calculated by van der Weerden</w:t>
      </w:r>
      <w:r w:rsidR="00FC6104" w:rsidRPr="00D9348B">
        <w:rPr>
          <w:rFonts w:cs="Calibri"/>
        </w:rPr>
        <w:t> </w:t>
      </w:r>
      <w:r w:rsidRPr="00D9348B">
        <w:rPr>
          <w:rFonts w:cs="Calibri"/>
        </w:rPr>
        <w:t>et al.</w:t>
      </w:r>
      <w:r w:rsidR="002745A8" w:rsidRPr="00D9348B">
        <w:rPr>
          <w:rFonts w:cs="Calibri"/>
        </w:rPr>
        <w:t> </w:t>
      </w:r>
      <w:r w:rsidRPr="00D9348B">
        <w:rPr>
          <w:rFonts w:cs="Calibri"/>
        </w:rPr>
        <w:t>(2019)</w:t>
      </w:r>
      <w:bookmarkEnd w:id="867"/>
      <w:bookmarkEnd w:id="868"/>
    </w:p>
    <w:tbl>
      <w:tblPr>
        <w:tblW w:w="8562" w:type="dxa"/>
        <w:tblInd w:w="108" w:type="dxa"/>
        <w:tblBorders>
          <w:top w:val="single" w:sz="4" w:space="0" w:color="365F91"/>
          <w:bottom w:val="single" w:sz="4" w:space="0" w:color="365F91"/>
          <w:insideH w:val="single" w:sz="4" w:space="0" w:color="365F91"/>
        </w:tblBorders>
        <w:tblCellMar>
          <w:left w:w="85" w:type="dxa"/>
          <w:right w:w="85" w:type="dxa"/>
        </w:tblCellMar>
        <w:tblLook w:val="01E0" w:firstRow="1" w:lastRow="1" w:firstColumn="1" w:lastColumn="1" w:noHBand="0" w:noVBand="0"/>
      </w:tblPr>
      <w:tblGrid>
        <w:gridCol w:w="3215"/>
        <w:gridCol w:w="2598"/>
        <w:gridCol w:w="2749"/>
      </w:tblGrid>
      <w:tr w:rsidR="00F849A7" w:rsidRPr="00D9348B" w14:paraId="3945780F" w14:textId="77777777" w:rsidTr="003E4A42">
        <w:trPr>
          <w:tblHeader/>
        </w:trPr>
        <w:tc>
          <w:tcPr>
            <w:tcW w:w="3153" w:type="dxa"/>
            <w:shd w:val="clear" w:color="auto" w:fill="365F91"/>
            <w:vAlign w:val="bottom"/>
          </w:tcPr>
          <w:p w14:paraId="11662BFF" w14:textId="77777777" w:rsidR="00F849A7" w:rsidRPr="00D9348B" w:rsidRDefault="00F849A7" w:rsidP="00DB330E">
            <w:pPr>
              <w:pStyle w:val="TableTextBold"/>
              <w:keepNext/>
              <w:rPr>
                <w:rFonts w:cs="Calibri"/>
                <w:noProof w:val="0"/>
                <w:color w:val="FFFFFF"/>
              </w:rPr>
            </w:pPr>
          </w:p>
        </w:tc>
        <w:tc>
          <w:tcPr>
            <w:tcW w:w="5244" w:type="dxa"/>
            <w:gridSpan w:val="2"/>
            <w:shd w:val="clear" w:color="auto" w:fill="365F91"/>
          </w:tcPr>
          <w:p w14:paraId="17B29687" w14:textId="77777777" w:rsidR="00F849A7" w:rsidRPr="00D9348B" w:rsidRDefault="00F849A7" w:rsidP="00DB330E">
            <w:pPr>
              <w:pStyle w:val="TableTextBold"/>
              <w:keepNext/>
              <w:jc w:val="center"/>
              <w:rPr>
                <w:rFonts w:cs="Calibri"/>
                <w:noProof w:val="0"/>
                <w:color w:val="FFFFFF"/>
              </w:rPr>
            </w:pPr>
            <w:r w:rsidRPr="00D9348B">
              <w:rPr>
                <w:rFonts w:cs="Calibri"/>
                <w:noProof w:val="0"/>
                <w:color w:val="FFFFFF"/>
              </w:rPr>
              <w:t>Emission factor by slope</w:t>
            </w:r>
          </w:p>
        </w:tc>
      </w:tr>
      <w:tr w:rsidR="00F849A7" w:rsidRPr="00D9348B" w14:paraId="6FE81CCD" w14:textId="77777777" w:rsidTr="003E4A42">
        <w:trPr>
          <w:tblHeader/>
        </w:trPr>
        <w:tc>
          <w:tcPr>
            <w:tcW w:w="3153" w:type="dxa"/>
            <w:shd w:val="clear" w:color="auto" w:fill="365F91"/>
            <w:vAlign w:val="bottom"/>
          </w:tcPr>
          <w:p w14:paraId="391BA813" w14:textId="77777777" w:rsidR="00F849A7" w:rsidRPr="00D9348B" w:rsidRDefault="00F849A7" w:rsidP="00DB330E">
            <w:pPr>
              <w:pStyle w:val="TableTextBold"/>
              <w:keepNext/>
              <w:spacing w:before="0"/>
              <w:rPr>
                <w:rFonts w:cs="Calibri"/>
                <w:noProof w:val="0"/>
                <w:color w:val="FFFFFF"/>
              </w:rPr>
            </w:pPr>
            <w:r w:rsidRPr="00D9348B">
              <w:rPr>
                <w:rFonts w:cs="Calibri"/>
                <w:noProof w:val="0"/>
                <w:color w:val="FFFFFF"/>
              </w:rPr>
              <w:t>Livestock type</w:t>
            </w:r>
          </w:p>
        </w:tc>
        <w:tc>
          <w:tcPr>
            <w:tcW w:w="2548" w:type="dxa"/>
            <w:shd w:val="clear" w:color="auto" w:fill="365F91"/>
            <w:vAlign w:val="center"/>
          </w:tcPr>
          <w:p w14:paraId="750BA575" w14:textId="77777777" w:rsidR="00F849A7" w:rsidRPr="00D9348B" w:rsidRDefault="00F849A7" w:rsidP="00DB330E">
            <w:pPr>
              <w:pStyle w:val="TableTextBold"/>
              <w:keepNext/>
              <w:spacing w:before="0" w:after="0"/>
              <w:rPr>
                <w:rFonts w:cs="Calibri"/>
                <w:noProof w:val="0"/>
                <w:color w:val="FFFFFF"/>
                <w:szCs w:val="21"/>
              </w:rPr>
            </w:pPr>
            <w:r w:rsidRPr="00D9348B">
              <w:rPr>
                <w:rFonts w:cs="Calibri"/>
                <w:noProof w:val="0"/>
                <w:color w:val="FFFFFF"/>
              </w:rPr>
              <w:t>Flat and low sloped land (less than 12</w:t>
            </w:r>
            <w:r w:rsidRPr="00D9348B">
              <w:rPr>
                <w:rFonts w:cs="Calibri"/>
                <w:noProof w:val="0"/>
                <w:color w:val="FFFFFF"/>
                <w:szCs w:val="21"/>
              </w:rPr>
              <w:t>° gradient)</w:t>
            </w:r>
          </w:p>
          <w:p w14:paraId="5AD7816C" w14:textId="77777777" w:rsidR="00F849A7" w:rsidRPr="00D9348B" w:rsidRDefault="00F849A7" w:rsidP="00DB330E">
            <w:pPr>
              <w:pStyle w:val="TableTextBold"/>
              <w:keepNext/>
              <w:spacing w:before="0"/>
              <w:rPr>
                <w:rFonts w:cs="Calibri"/>
                <w:noProof w:val="0"/>
                <w:color w:val="FFFFFF"/>
              </w:rPr>
            </w:pPr>
            <w:r w:rsidRPr="00D9348B">
              <w:rPr>
                <w:rFonts w:cs="Calibri"/>
                <w:noProof w:val="0"/>
                <w:color w:val="FFFFFF"/>
              </w:rPr>
              <w:t>EF</w:t>
            </w:r>
            <w:r w:rsidRPr="00D9348B">
              <w:rPr>
                <w:rFonts w:cs="Calibri"/>
                <w:noProof w:val="0"/>
                <w:color w:val="FFFFFF"/>
                <w:vertAlign w:val="subscript"/>
              </w:rPr>
              <w:t>3,PRP-FLAT</w:t>
            </w:r>
          </w:p>
        </w:tc>
        <w:tc>
          <w:tcPr>
            <w:tcW w:w="2696" w:type="dxa"/>
            <w:shd w:val="clear" w:color="auto" w:fill="365F91"/>
            <w:vAlign w:val="center"/>
          </w:tcPr>
          <w:p w14:paraId="188CF942" w14:textId="77777777" w:rsidR="00F849A7" w:rsidRPr="00D9348B" w:rsidRDefault="00F849A7" w:rsidP="00DB330E">
            <w:pPr>
              <w:pStyle w:val="TableTextBold"/>
              <w:keepNext/>
              <w:spacing w:before="0" w:after="0"/>
              <w:rPr>
                <w:rFonts w:cs="Calibri"/>
                <w:noProof w:val="0"/>
                <w:color w:val="FFFFFF"/>
                <w:szCs w:val="21"/>
              </w:rPr>
            </w:pPr>
            <w:r w:rsidRPr="00D9348B">
              <w:rPr>
                <w:rFonts w:cs="Calibri"/>
                <w:noProof w:val="0"/>
                <w:color w:val="FFFFFF"/>
              </w:rPr>
              <w:t>Medium and steep sloped land (greater than 12</w:t>
            </w:r>
            <w:r w:rsidRPr="00D9348B">
              <w:rPr>
                <w:rFonts w:cs="Calibri"/>
                <w:noProof w:val="0"/>
                <w:color w:val="FFFFFF"/>
                <w:szCs w:val="21"/>
              </w:rPr>
              <w:t>° gradient)</w:t>
            </w:r>
          </w:p>
          <w:p w14:paraId="73431777" w14:textId="77777777" w:rsidR="00F849A7" w:rsidRPr="00D9348B" w:rsidRDefault="00F849A7" w:rsidP="00DB330E">
            <w:pPr>
              <w:pStyle w:val="TableTextBold"/>
              <w:keepNext/>
              <w:spacing w:before="0"/>
              <w:rPr>
                <w:rFonts w:cs="Calibri"/>
                <w:noProof w:val="0"/>
                <w:color w:val="FFFFFF"/>
              </w:rPr>
            </w:pPr>
            <w:r w:rsidRPr="00D9348B">
              <w:rPr>
                <w:rFonts w:cs="Calibri"/>
                <w:noProof w:val="0"/>
                <w:color w:val="FFFFFF"/>
              </w:rPr>
              <w:t>EF</w:t>
            </w:r>
            <w:r w:rsidRPr="00D9348B">
              <w:rPr>
                <w:rFonts w:cs="Calibri"/>
                <w:noProof w:val="0"/>
                <w:color w:val="FFFFFF"/>
                <w:vertAlign w:val="subscript"/>
              </w:rPr>
              <w:t>3,PRP-STEEP</w:t>
            </w:r>
          </w:p>
        </w:tc>
      </w:tr>
      <w:tr w:rsidR="00F849A7" w:rsidRPr="00D9348B" w14:paraId="3EB6D1BC" w14:textId="77777777" w:rsidTr="003E4A42">
        <w:tc>
          <w:tcPr>
            <w:tcW w:w="3153" w:type="dxa"/>
          </w:tcPr>
          <w:p w14:paraId="36A5C5F5" w14:textId="77777777" w:rsidR="00F849A7" w:rsidRPr="00D9348B" w:rsidRDefault="00F849A7" w:rsidP="00DB330E">
            <w:pPr>
              <w:pStyle w:val="TableText"/>
              <w:spacing w:before="50" w:after="50"/>
              <w:rPr>
                <w:rFonts w:cs="Calibri"/>
              </w:rPr>
            </w:pPr>
            <w:r w:rsidRPr="00D9348B">
              <w:rPr>
                <w:rFonts w:cs="Calibri"/>
              </w:rPr>
              <w:t>All cattle (includes dairy and non-dairy)</w:t>
            </w:r>
          </w:p>
        </w:tc>
        <w:tc>
          <w:tcPr>
            <w:tcW w:w="2548" w:type="dxa"/>
            <w:vAlign w:val="center"/>
          </w:tcPr>
          <w:p w14:paraId="10A8079F" w14:textId="77777777" w:rsidR="00F849A7" w:rsidRPr="00D9348B" w:rsidRDefault="00F849A7" w:rsidP="00DB330E">
            <w:pPr>
              <w:pStyle w:val="TableText"/>
              <w:spacing w:before="50" w:after="50"/>
              <w:rPr>
                <w:rFonts w:cs="Calibri"/>
              </w:rPr>
            </w:pPr>
            <w:r w:rsidRPr="00D9348B">
              <w:rPr>
                <w:rFonts w:cs="Calibri"/>
              </w:rPr>
              <w:t>0.0098</w:t>
            </w:r>
          </w:p>
        </w:tc>
        <w:tc>
          <w:tcPr>
            <w:tcW w:w="2696" w:type="dxa"/>
            <w:vAlign w:val="center"/>
          </w:tcPr>
          <w:p w14:paraId="19391A68" w14:textId="77777777" w:rsidR="00F849A7" w:rsidRPr="00D9348B" w:rsidRDefault="00F849A7" w:rsidP="00DB330E">
            <w:pPr>
              <w:pStyle w:val="TableText"/>
              <w:spacing w:before="50" w:after="50"/>
              <w:rPr>
                <w:rFonts w:cs="Calibri"/>
              </w:rPr>
            </w:pPr>
            <w:r w:rsidRPr="00D9348B">
              <w:rPr>
                <w:rFonts w:cs="Calibri"/>
              </w:rPr>
              <w:t>0.0033</w:t>
            </w:r>
          </w:p>
        </w:tc>
      </w:tr>
      <w:tr w:rsidR="00F849A7" w:rsidRPr="00D9348B" w14:paraId="56972047" w14:textId="77777777" w:rsidTr="003E4A42">
        <w:tc>
          <w:tcPr>
            <w:tcW w:w="3153" w:type="dxa"/>
          </w:tcPr>
          <w:p w14:paraId="0698FDDB" w14:textId="77777777" w:rsidR="00F849A7" w:rsidRPr="00D9348B" w:rsidRDefault="00F849A7" w:rsidP="00DB330E">
            <w:pPr>
              <w:pStyle w:val="TableText"/>
              <w:spacing w:before="50" w:after="50"/>
              <w:rPr>
                <w:rFonts w:cs="Calibri"/>
              </w:rPr>
            </w:pPr>
            <w:r w:rsidRPr="00D9348B">
              <w:rPr>
                <w:rFonts w:cs="Calibri"/>
              </w:rPr>
              <w:t>Deer</w:t>
            </w:r>
          </w:p>
        </w:tc>
        <w:tc>
          <w:tcPr>
            <w:tcW w:w="2548" w:type="dxa"/>
            <w:vAlign w:val="center"/>
          </w:tcPr>
          <w:p w14:paraId="364F64E5" w14:textId="77777777" w:rsidR="00F849A7" w:rsidRPr="00D9348B" w:rsidRDefault="00F849A7" w:rsidP="00DB330E">
            <w:pPr>
              <w:pStyle w:val="TableText"/>
              <w:spacing w:before="50" w:after="50"/>
              <w:rPr>
                <w:rFonts w:cs="Calibri"/>
              </w:rPr>
            </w:pPr>
            <w:r w:rsidRPr="00D9348B">
              <w:rPr>
                <w:rFonts w:cs="Calibri"/>
              </w:rPr>
              <w:t>0.0074</w:t>
            </w:r>
          </w:p>
        </w:tc>
        <w:tc>
          <w:tcPr>
            <w:tcW w:w="2696" w:type="dxa"/>
            <w:vAlign w:val="center"/>
          </w:tcPr>
          <w:p w14:paraId="1EDE70B9" w14:textId="77777777" w:rsidR="00F849A7" w:rsidRPr="00D9348B" w:rsidRDefault="00F849A7" w:rsidP="00DB330E">
            <w:pPr>
              <w:pStyle w:val="TableText"/>
              <w:spacing w:before="50" w:after="50"/>
              <w:rPr>
                <w:rFonts w:cs="Calibri"/>
              </w:rPr>
            </w:pPr>
            <w:r w:rsidRPr="00D9348B">
              <w:rPr>
                <w:rFonts w:cs="Calibri"/>
              </w:rPr>
              <w:t>0.0020</w:t>
            </w:r>
          </w:p>
        </w:tc>
      </w:tr>
      <w:tr w:rsidR="00F849A7" w:rsidRPr="00D9348B" w14:paraId="31C86427" w14:textId="77777777" w:rsidTr="003E4A42">
        <w:tc>
          <w:tcPr>
            <w:tcW w:w="3153" w:type="dxa"/>
          </w:tcPr>
          <w:p w14:paraId="7EBE3109" w14:textId="77777777" w:rsidR="00F849A7" w:rsidRPr="00D9348B" w:rsidRDefault="00F849A7" w:rsidP="00DB330E">
            <w:pPr>
              <w:pStyle w:val="TableText"/>
              <w:spacing w:before="50" w:after="50"/>
              <w:rPr>
                <w:rFonts w:cs="Calibri"/>
              </w:rPr>
            </w:pPr>
            <w:r w:rsidRPr="00D9348B">
              <w:rPr>
                <w:rFonts w:cs="Calibri"/>
              </w:rPr>
              <w:t xml:space="preserve">Sheep </w:t>
            </w:r>
          </w:p>
        </w:tc>
        <w:tc>
          <w:tcPr>
            <w:tcW w:w="2548" w:type="dxa"/>
            <w:vAlign w:val="center"/>
          </w:tcPr>
          <w:p w14:paraId="616C2007" w14:textId="77777777" w:rsidR="00F849A7" w:rsidRPr="00D9348B" w:rsidRDefault="00F849A7" w:rsidP="00DB330E">
            <w:pPr>
              <w:pStyle w:val="TableText"/>
              <w:spacing w:before="50" w:after="50"/>
              <w:rPr>
                <w:rFonts w:cs="Calibri"/>
              </w:rPr>
            </w:pPr>
            <w:r w:rsidRPr="00D9348B">
              <w:rPr>
                <w:rFonts w:cs="Calibri"/>
              </w:rPr>
              <w:t>0.0050</w:t>
            </w:r>
          </w:p>
        </w:tc>
        <w:tc>
          <w:tcPr>
            <w:tcW w:w="2696" w:type="dxa"/>
            <w:vAlign w:val="center"/>
          </w:tcPr>
          <w:p w14:paraId="0C158CD4" w14:textId="77777777" w:rsidR="00F849A7" w:rsidRPr="00D9348B" w:rsidRDefault="00F849A7" w:rsidP="00DB330E">
            <w:pPr>
              <w:pStyle w:val="TableText"/>
              <w:spacing w:before="50" w:after="50"/>
              <w:rPr>
                <w:rFonts w:cs="Calibri"/>
              </w:rPr>
            </w:pPr>
            <w:r w:rsidRPr="00D9348B">
              <w:rPr>
                <w:rFonts w:cs="Calibri"/>
              </w:rPr>
              <w:t>0.0008</w:t>
            </w:r>
          </w:p>
        </w:tc>
      </w:tr>
    </w:tbl>
    <w:p w14:paraId="6FB6FC6A" w14:textId="77777777" w:rsidR="00F849A7" w:rsidRPr="00D9348B" w:rsidRDefault="00F849A7" w:rsidP="00F849A7">
      <w:pPr>
        <w:pStyle w:val="Table"/>
        <w:spacing w:before="240"/>
        <w:rPr>
          <w:rFonts w:cs="Calibri"/>
        </w:rPr>
      </w:pPr>
      <w:bookmarkStart w:id="875" w:name="_Toc32570930"/>
      <w:bookmarkStart w:id="876" w:name="_Toc36224565"/>
      <w:r w:rsidRPr="00D9348B">
        <w:rPr>
          <w:rFonts w:cs="Calibri"/>
        </w:rPr>
        <w:t>Table 5.5.4</w:t>
      </w:r>
      <w:r w:rsidRPr="00D9348B">
        <w:rPr>
          <w:rFonts w:cs="Calibri"/>
        </w:rPr>
        <w:tab/>
        <w:t>Parameters for indirect nitrous oxide (N</w:t>
      </w:r>
      <w:r w:rsidRPr="00D9348B">
        <w:rPr>
          <w:rFonts w:cs="Calibri"/>
          <w:vertAlign w:val="subscript"/>
        </w:rPr>
        <w:t>2</w:t>
      </w:r>
      <w:r w:rsidRPr="00D9348B">
        <w:rPr>
          <w:rFonts w:cs="Calibri"/>
        </w:rPr>
        <w:t>O) emissions from agricultural soils in New Zealand</w:t>
      </w:r>
      <w:bookmarkEnd w:id="869"/>
      <w:bookmarkEnd w:id="870"/>
      <w:bookmarkEnd w:id="871"/>
      <w:bookmarkEnd w:id="872"/>
      <w:bookmarkEnd w:id="873"/>
      <w:bookmarkEnd w:id="874"/>
      <w:bookmarkEnd w:id="875"/>
      <w:bookmarkEnd w:id="876"/>
    </w:p>
    <w:tbl>
      <w:tblPr>
        <w:tblW w:w="8562" w:type="dxa"/>
        <w:tblInd w:w="108" w:type="dxa"/>
        <w:tblBorders>
          <w:top w:val="single" w:sz="4" w:space="0" w:color="365F91"/>
          <w:bottom w:val="single" w:sz="4" w:space="0" w:color="365F91"/>
          <w:insideH w:val="single" w:sz="4" w:space="0" w:color="365F91"/>
        </w:tblBorders>
        <w:tblCellMar>
          <w:right w:w="85" w:type="dxa"/>
        </w:tblCellMar>
        <w:tblLook w:val="01E0" w:firstRow="1" w:lastRow="1" w:firstColumn="1" w:lastColumn="1" w:noHBand="0" w:noVBand="0"/>
      </w:tblPr>
      <w:tblGrid>
        <w:gridCol w:w="2576"/>
        <w:gridCol w:w="968"/>
        <w:gridCol w:w="1559"/>
        <w:gridCol w:w="1462"/>
        <w:gridCol w:w="1997"/>
      </w:tblGrid>
      <w:tr w:rsidR="00F849A7" w:rsidRPr="00D9348B" w14:paraId="758C28E1" w14:textId="77777777" w:rsidTr="003E4A42">
        <w:trPr>
          <w:tblHeader/>
        </w:trPr>
        <w:tc>
          <w:tcPr>
            <w:tcW w:w="2576" w:type="dxa"/>
            <w:shd w:val="clear" w:color="auto" w:fill="365F91"/>
            <w:vAlign w:val="bottom"/>
          </w:tcPr>
          <w:p w14:paraId="59FE5CF3" w14:textId="77777777" w:rsidR="00F849A7" w:rsidRPr="00D9348B" w:rsidRDefault="00F849A7" w:rsidP="00DB330E">
            <w:pPr>
              <w:pStyle w:val="TableTextBold"/>
              <w:keepNext/>
              <w:spacing w:before="40" w:after="40"/>
              <w:rPr>
                <w:rFonts w:cs="Calibri"/>
                <w:noProof w:val="0"/>
                <w:color w:val="FFFFFF"/>
              </w:rPr>
            </w:pPr>
            <w:r w:rsidRPr="00D9348B">
              <w:rPr>
                <w:rFonts w:cs="Calibri"/>
                <w:noProof w:val="0"/>
                <w:color w:val="FFFFFF"/>
              </w:rPr>
              <w:t>Category</w:t>
            </w:r>
          </w:p>
        </w:tc>
        <w:tc>
          <w:tcPr>
            <w:tcW w:w="3989" w:type="dxa"/>
            <w:gridSpan w:val="3"/>
            <w:shd w:val="clear" w:color="auto" w:fill="365F91"/>
            <w:vAlign w:val="bottom"/>
          </w:tcPr>
          <w:p w14:paraId="0E40CC98" w14:textId="77777777" w:rsidR="00F849A7" w:rsidRPr="00D9348B" w:rsidRDefault="00F849A7" w:rsidP="00DB330E">
            <w:pPr>
              <w:pStyle w:val="TableTextBold"/>
              <w:keepNext/>
              <w:spacing w:before="40" w:after="40"/>
              <w:jc w:val="center"/>
              <w:rPr>
                <w:rFonts w:cs="Calibri"/>
                <w:noProof w:val="0"/>
                <w:color w:val="FFFFFF"/>
              </w:rPr>
            </w:pPr>
            <w:r w:rsidRPr="00D9348B">
              <w:rPr>
                <w:rFonts w:cs="Calibri"/>
                <w:noProof w:val="0"/>
                <w:color w:val="FFFFFF"/>
              </w:rPr>
              <w:t>Parameter</w:t>
            </w:r>
          </w:p>
        </w:tc>
        <w:tc>
          <w:tcPr>
            <w:tcW w:w="1997" w:type="dxa"/>
            <w:shd w:val="clear" w:color="auto" w:fill="365F91"/>
            <w:vAlign w:val="bottom"/>
          </w:tcPr>
          <w:p w14:paraId="66F58F6D" w14:textId="77777777" w:rsidR="00F849A7" w:rsidRPr="00D9348B" w:rsidRDefault="00F849A7" w:rsidP="00DB330E">
            <w:pPr>
              <w:pStyle w:val="TableTextBold"/>
              <w:keepNext/>
              <w:spacing w:before="40" w:after="40"/>
              <w:rPr>
                <w:rFonts w:cs="Calibri"/>
                <w:noProof w:val="0"/>
                <w:color w:val="FFFFFF"/>
              </w:rPr>
            </w:pPr>
            <w:r w:rsidRPr="00D9348B">
              <w:rPr>
                <w:rFonts w:cs="Calibri"/>
                <w:noProof w:val="0"/>
                <w:color w:val="FFFFFF"/>
              </w:rPr>
              <w:t>Source</w:t>
            </w:r>
          </w:p>
        </w:tc>
      </w:tr>
      <w:tr w:rsidR="00F849A7" w:rsidRPr="00D9348B" w14:paraId="037FD96A" w14:textId="77777777" w:rsidTr="003E4A42">
        <w:tc>
          <w:tcPr>
            <w:tcW w:w="8562" w:type="dxa"/>
            <w:gridSpan w:val="5"/>
          </w:tcPr>
          <w:p w14:paraId="1D09293D" w14:textId="77777777" w:rsidR="00F849A7" w:rsidRPr="00D9348B" w:rsidRDefault="00F849A7" w:rsidP="00DB330E">
            <w:pPr>
              <w:pStyle w:val="TableText"/>
              <w:spacing w:before="40" w:after="40"/>
              <w:rPr>
                <w:rFonts w:cs="Calibri"/>
                <w:b/>
                <w:bCs/>
              </w:rPr>
            </w:pPr>
            <w:r w:rsidRPr="00D9348B">
              <w:rPr>
                <w:rFonts w:cs="Calibri"/>
                <w:b/>
                <w:bCs/>
              </w:rPr>
              <w:t>3.D.2 Indirect N</w:t>
            </w:r>
            <w:r w:rsidRPr="00D9348B">
              <w:rPr>
                <w:rFonts w:cs="Calibri"/>
                <w:b/>
                <w:bCs/>
                <w:vertAlign w:val="subscript"/>
              </w:rPr>
              <w:t>2</w:t>
            </w:r>
            <w:r w:rsidRPr="00D9348B">
              <w:rPr>
                <w:rFonts w:cs="Calibri"/>
                <w:b/>
                <w:bCs/>
              </w:rPr>
              <w:t>O emissions</w:t>
            </w:r>
          </w:p>
        </w:tc>
      </w:tr>
      <w:tr w:rsidR="00F849A7" w:rsidRPr="00D9348B" w14:paraId="50601FA0" w14:textId="77777777" w:rsidTr="003E4A42">
        <w:tc>
          <w:tcPr>
            <w:tcW w:w="2576" w:type="dxa"/>
          </w:tcPr>
          <w:p w14:paraId="5AC45939" w14:textId="77777777" w:rsidR="00F849A7" w:rsidRPr="00D9348B" w:rsidRDefault="00F849A7" w:rsidP="00DB330E">
            <w:pPr>
              <w:pStyle w:val="TableText"/>
              <w:spacing w:before="40" w:after="40"/>
              <w:rPr>
                <w:rFonts w:cs="Calibri"/>
              </w:rPr>
            </w:pPr>
            <w:r w:rsidRPr="00D9348B">
              <w:rPr>
                <w:rFonts w:cs="Calibri"/>
              </w:rPr>
              <w:t>Fraction of volatilisation from synthetic fertiliser</w:t>
            </w:r>
          </w:p>
        </w:tc>
        <w:tc>
          <w:tcPr>
            <w:tcW w:w="968" w:type="dxa"/>
          </w:tcPr>
          <w:p w14:paraId="399FD5DF" w14:textId="77777777" w:rsidR="00F849A7" w:rsidRPr="00D9348B" w:rsidRDefault="00F849A7" w:rsidP="00DB330E">
            <w:pPr>
              <w:pStyle w:val="TableText"/>
              <w:spacing w:before="40" w:after="40"/>
              <w:rPr>
                <w:rFonts w:cs="Calibri"/>
              </w:rPr>
            </w:pPr>
            <w:r w:rsidRPr="00D9348B">
              <w:rPr>
                <w:rFonts w:cs="Calibri"/>
              </w:rPr>
              <w:t>Frac</w:t>
            </w:r>
            <w:r w:rsidRPr="00D9348B">
              <w:rPr>
                <w:rFonts w:cs="Calibri"/>
                <w:vertAlign w:val="subscript"/>
              </w:rPr>
              <w:t>GASF</w:t>
            </w:r>
          </w:p>
        </w:tc>
        <w:tc>
          <w:tcPr>
            <w:tcW w:w="1559" w:type="dxa"/>
          </w:tcPr>
          <w:p w14:paraId="43DC90A5" w14:textId="77777777" w:rsidR="00F849A7" w:rsidRPr="00D9348B" w:rsidRDefault="00F849A7" w:rsidP="00DB330E">
            <w:pPr>
              <w:pStyle w:val="TableText"/>
              <w:spacing w:before="40" w:after="40"/>
              <w:rPr>
                <w:rFonts w:cs="Calibri"/>
              </w:rPr>
            </w:pPr>
            <w:r w:rsidRPr="00D9348B">
              <w:rPr>
                <w:rFonts w:cs="Calibri"/>
              </w:rPr>
              <w:t xml:space="preserve">0.1 </w:t>
            </w:r>
          </w:p>
        </w:tc>
        <w:tc>
          <w:tcPr>
            <w:tcW w:w="1462" w:type="dxa"/>
          </w:tcPr>
          <w:p w14:paraId="7FA5F276" w14:textId="77777777" w:rsidR="00F849A7" w:rsidRPr="00D9348B" w:rsidRDefault="00F849A7" w:rsidP="00DB330E">
            <w:pPr>
              <w:pStyle w:val="TableText"/>
              <w:spacing w:before="40" w:after="40"/>
              <w:rPr>
                <w:rFonts w:cs="Calibri"/>
              </w:rPr>
            </w:pPr>
            <w:r w:rsidRPr="00D9348B">
              <w:rPr>
                <w:rFonts w:cs="Calibri"/>
              </w:rPr>
              <w:t>kg NH</w:t>
            </w:r>
            <w:r w:rsidRPr="00D9348B">
              <w:rPr>
                <w:rFonts w:cs="Calibri"/>
                <w:vertAlign w:val="subscript"/>
              </w:rPr>
              <w:t>3</w:t>
            </w:r>
            <w:r w:rsidRPr="00D9348B">
              <w:rPr>
                <w:rFonts w:cs="Calibri"/>
              </w:rPr>
              <w:t>-N + NO</w:t>
            </w:r>
            <w:r w:rsidRPr="00D9348B">
              <w:rPr>
                <w:rFonts w:cs="Calibri"/>
                <w:vertAlign w:val="subscript"/>
              </w:rPr>
              <w:t>x</w:t>
            </w:r>
            <w:r w:rsidRPr="00D9348B">
              <w:rPr>
                <w:rFonts w:cs="Calibri"/>
              </w:rPr>
              <w:t>-N/kg N</w:t>
            </w:r>
          </w:p>
        </w:tc>
        <w:tc>
          <w:tcPr>
            <w:tcW w:w="1997" w:type="dxa"/>
          </w:tcPr>
          <w:p w14:paraId="1C53A7FC" w14:textId="77777777" w:rsidR="00F849A7" w:rsidRPr="00D9348B" w:rsidRDefault="00F849A7" w:rsidP="00DB330E">
            <w:pPr>
              <w:pStyle w:val="TableText"/>
              <w:spacing w:before="40" w:after="40"/>
              <w:rPr>
                <w:rFonts w:cs="Calibri"/>
              </w:rPr>
            </w:pPr>
            <w:r w:rsidRPr="00D9348B">
              <w:rPr>
                <w:rFonts w:cs="Calibri"/>
              </w:rPr>
              <w:t>IPCC (2006), verified by Sherlock et al. (2008)</w:t>
            </w:r>
          </w:p>
        </w:tc>
      </w:tr>
      <w:tr w:rsidR="00F849A7" w:rsidRPr="00D9348B" w14:paraId="336415D6" w14:textId="77777777" w:rsidTr="003E4A42">
        <w:tc>
          <w:tcPr>
            <w:tcW w:w="2576" w:type="dxa"/>
          </w:tcPr>
          <w:p w14:paraId="12AA15FE" w14:textId="77777777" w:rsidR="00F849A7" w:rsidRPr="00D9348B" w:rsidRDefault="00F849A7" w:rsidP="00DB330E">
            <w:pPr>
              <w:pStyle w:val="TableText"/>
              <w:spacing w:before="40" w:after="40"/>
              <w:rPr>
                <w:rFonts w:cs="Calibri"/>
              </w:rPr>
            </w:pPr>
            <w:r w:rsidRPr="00D9348B">
              <w:rPr>
                <w:rFonts w:cs="Calibri"/>
              </w:rPr>
              <w:t xml:space="preserve">Fraction of volatilisation from organic nitrogen additions including pasture manure </w:t>
            </w:r>
          </w:p>
        </w:tc>
        <w:tc>
          <w:tcPr>
            <w:tcW w:w="968" w:type="dxa"/>
          </w:tcPr>
          <w:p w14:paraId="221A7516" w14:textId="77777777" w:rsidR="00F849A7" w:rsidRPr="00D9348B" w:rsidRDefault="00F849A7" w:rsidP="00DB330E">
            <w:pPr>
              <w:pStyle w:val="TableText"/>
              <w:spacing w:before="40" w:after="40"/>
              <w:rPr>
                <w:rFonts w:cs="Calibri"/>
              </w:rPr>
            </w:pPr>
            <w:r w:rsidRPr="00D9348B">
              <w:rPr>
                <w:rFonts w:cs="Calibri"/>
              </w:rPr>
              <w:t>Frac</w:t>
            </w:r>
            <w:r w:rsidRPr="00D9348B">
              <w:rPr>
                <w:rFonts w:cs="Calibri"/>
                <w:vertAlign w:val="subscript"/>
              </w:rPr>
              <w:t>GASM</w:t>
            </w:r>
          </w:p>
        </w:tc>
        <w:tc>
          <w:tcPr>
            <w:tcW w:w="1559" w:type="dxa"/>
          </w:tcPr>
          <w:p w14:paraId="6C0A8F3A" w14:textId="77777777" w:rsidR="00F849A7" w:rsidRPr="00D9348B" w:rsidRDefault="00F849A7" w:rsidP="00DB330E">
            <w:pPr>
              <w:pStyle w:val="TableText"/>
              <w:spacing w:before="40" w:after="40"/>
              <w:rPr>
                <w:rFonts w:cs="Calibri"/>
              </w:rPr>
            </w:pPr>
            <w:r w:rsidRPr="00D9348B">
              <w:rPr>
                <w:rFonts w:cs="Calibri"/>
              </w:rPr>
              <w:t>0.1</w:t>
            </w:r>
          </w:p>
        </w:tc>
        <w:tc>
          <w:tcPr>
            <w:tcW w:w="1462" w:type="dxa"/>
          </w:tcPr>
          <w:p w14:paraId="6C2593C9" w14:textId="77777777" w:rsidR="00F849A7" w:rsidRPr="00D9348B" w:rsidRDefault="00F849A7" w:rsidP="00DB330E">
            <w:pPr>
              <w:pStyle w:val="TableText"/>
              <w:spacing w:before="40" w:after="40"/>
              <w:rPr>
                <w:rFonts w:cs="Calibri"/>
              </w:rPr>
            </w:pPr>
            <w:r w:rsidRPr="00D9348B">
              <w:rPr>
                <w:rFonts w:cs="Calibri"/>
              </w:rPr>
              <w:t>kg NH</w:t>
            </w:r>
            <w:r w:rsidRPr="00D9348B">
              <w:rPr>
                <w:rFonts w:cs="Calibri"/>
                <w:vertAlign w:val="subscript"/>
              </w:rPr>
              <w:t>3</w:t>
            </w:r>
            <w:r w:rsidRPr="00D9348B">
              <w:rPr>
                <w:rFonts w:cs="Calibri"/>
              </w:rPr>
              <w:t>-N + NO</w:t>
            </w:r>
            <w:r w:rsidRPr="00D9348B">
              <w:rPr>
                <w:rFonts w:cs="Calibri"/>
                <w:vertAlign w:val="subscript"/>
              </w:rPr>
              <w:t>x</w:t>
            </w:r>
            <w:r w:rsidRPr="00D9348B">
              <w:rPr>
                <w:rFonts w:cs="Calibri"/>
              </w:rPr>
              <w:t>-N/kg N</w:t>
            </w:r>
          </w:p>
        </w:tc>
        <w:tc>
          <w:tcPr>
            <w:tcW w:w="1997" w:type="dxa"/>
          </w:tcPr>
          <w:p w14:paraId="78A37FA0" w14:textId="77777777" w:rsidR="00F849A7" w:rsidRPr="00D9348B" w:rsidRDefault="00F849A7" w:rsidP="00DB330E">
            <w:pPr>
              <w:pStyle w:val="TableText"/>
              <w:spacing w:before="40" w:after="40"/>
              <w:rPr>
                <w:rFonts w:cs="Calibri"/>
              </w:rPr>
            </w:pPr>
            <w:r w:rsidRPr="00D9348B">
              <w:rPr>
                <w:rFonts w:cs="Calibri"/>
              </w:rPr>
              <w:t>Sherlock et al. (2008)</w:t>
            </w:r>
          </w:p>
        </w:tc>
      </w:tr>
      <w:tr w:rsidR="00F849A7" w:rsidRPr="00D9348B" w14:paraId="695D58FB" w14:textId="77777777" w:rsidTr="003E4A42">
        <w:tc>
          <w:tcPr>
            <w:tcW w:w="2576" w:type="dxa"/>
          </w:tcPr>
          <w:p w14:paraId="21A67E32" w14:textId="77777777" w:rsidR="00F849A7" w:rsidRPr="00D9348B" w:rsidRDefault="00F849A7" w:rsidP="00DB330E">
            <w:pPr>
              <w:pStyle w:val="TableText"/>
              <w:spacing w:before="40" w:after="40"/>
              <w:rPr>
                <w:rFonts w:cs="Calibri"/>
              </w:rPr>
            </w:pPr>
            <w:r w:rsidRPr="00D9348B">
              <w:rPr>
                <w:rFonts w:cs="Calibri"/>
              </w:rPr>
              <w:t>Fraction of leaching and runoff from all nitrogen applied to soil</w:t>
            </w:r>
          </w:p>
        </w:tc>
        <w:tc>
          <w:tcPr>
            <w:tcW w:w="968" w:type="dxa"/>
          </w:tcPr>
          <w:p w14:paraId="0B441AA3" w14:textId="77777777" w:rsidR="00F849A7" w:rsidRPr="00D9348B" w:rsidRDefault="00F849A7" w:rsidP="00DB330E">
            <w:pPr>
              <w:pStyle w:val="TableText"/>
              <w:spacing w:before="40" w:after="40"/>
              <w:rPr>
                <w:rFonts w:cs="Calibri"/>
              </w:rPr>
            </w:pPr>
            <w:r w:rsidRPr="00D9348B">
              <w:rPr>
                <w:rFonts w:cs="Calibri"/>
              </w:rPr>
              <w:t>Frac</w:t>
            </w:r>
            <w:r w:rsidRPr="00D9348B">
              <w:rPr>
                <w:rFonts w:cs="Calibri"/>
                <w:vertAlign w:val="subscript"/>
              </w:rPr>
              <w:t>LEACH – (H)</w:t>
            </w:r>
          </w:p>
        </w:tc>
        <w:tc>
          <w:tcPr>
            <w:tcW w:w="1559" w:type="dxa"/>
          </w:tcPr>
          <w:p w14:paraId="4EBE83DB" w14:textId="77777777" w:rsidR="00F849A7" w:rsidRPr="00D9348B" w:rsidRDefault="00F849A7" w:rsidP="00DB330E">
            <w:pPr>
              <w:pStyle w:val="TableText"/>
              <w:spacing w:before="40" w:after="40"/>
              <w:rPr>
                <w:rFonts w:cs="Calibri"/>
              </w:rPr>
            </w:pPr>
            <w:r w:rsidRPr="00D9348B">
              <w:rPr>
                <w:rFonts w:cs="Calibri"/>
              </w:rPr>
              <w:t>0.07</w:t>
            </w:r>
          </w:p>
        </w:tc>
        <w:tc>
          <w:tcPr>
            <w:tcW w:w="1462" w:type="dxa"/>
          </w:tcPr>
          <w:p w14:paraId="7DD53B93" w14:textId="77777777" w:rsidR="00F849A7" w:rsidRPr="00D9348B" w:rsidRDefault="00F849A7" w:rsidP="00DB330E">
            <w:pPr>
              <w:pStyle w:val="TableText"/>
              <w:spacing w:before="40" w:after="40"/>
              <w:rPr>
                <w:rFonts w:cs="Calibri"/>
              </w:rPr>
            </w:pPr>
            <w:r w:rsidRPr="00D9348B">
              <w:rPr>
                <w:rFonts w:cs="Calibri"/>
              </w:rPr>
              <w:t>kg N/kg N</w:t>
            </w:r>
          </w:p>
        </w:tc>
        <w:tc>
          <w:tcPr>
            <w:tcW w:w="1997" w:type="dxa"/>
          </w:tcPr>
          <w:p w14:paraId="785B807E" w14:textId="77777777" w:rsidR="00F849A7" w:rsidRPr="00D9348B" w:rsidRDefault="00F849A7" w:rsidP="00DB330E">
            <w:pPr>
              <w:pStyle w:val="TableText"/>
              <w:spacing w:before="40" w:after="40"/>
              <w:rPr>
                <w:rFonts w:cs="Calibri"/>
              </w:rPr>
            </w:pPr>
            <w:r w:rsidRPr="00D9348B">
              <w:rPr>
                <w:rFonts w:cs="Calibri"/>
              </w:rPr>
              <w:t>Thomas et al. (unpublished), Thomas et al. (2005)</w:t>
            </w:r>
          </w:p>
        </w:tc>
      </w:tr>
      <w:tr w:rsidR="00F849A7" w:rsidRPr="00D9348B" w14:paraId="0B1AEA09" w14:textId="77777777" w:rsidTr="003E4A42">
        <w:tc>
          <w:tcPr>
            <w:tcW w:w="2576" w:type="dxa"/>
          </w:tcPr>
          <w:p w14:paraId="3D2B9516" w14:textId="77777777" w:rsidR="00F849A7" w:rsidRPr="00D9348B" w:rsidRDefault="00F849A7" w:rsidP="00DB330E">
            <w:pPr>
              <w:pStyle w:val="TableText"/>
              <w:spacing w:before="40" w:after="40"/>
              <w:rPr>
                <w:rFonts w:cs="Calibri"/>
              </w:rPr>
            </w:pPr>
            <w:r w:rsidRPr="00D9348B">
              <w:rPr>
                <w:rFonts w:cs="Calibri"/>
              </w:rPr>
              <w:t xml:space="preserve">Fraction of crop residue burned in the field </w:t>
            </w:r>
          </w:p>
        </w:tc>
        <w:tc>
          <w:tcPr>
            <w:tcW w:w="968" w:type="dxa"/>
          </w:tcPr>
          <w:p w14:paraId="4C034927" w14:textId="77777777" w:rsidR="00F849A7" w:rsidRPr="00D9348B" w:rsidRDefault="00F849A7" w:rsidP="00DB330E">
            <w:pPr>
              <w:pStyle w:val="TableText"/>
              <w:spacing w:before="40" w:after="40"/>
              <w:rPr>
                <w:rFonts w:cs="Calibri"/>
              </w:rPr>
            </w:pPr>
            <w:r w:rsidRPr="00D9348B">
              <w:rPr>
                <w:rFonts w:cs="Calibri"/>
              </w:rPr>
              <w:t>Frac</w:t>
            </w:r>
            <w:r w:rsidRPr="00D9348B">
              <w:rPr>
                <w:rFonts w:cs="Calibri"/>
                <w:vertAlign w:val="subscript"/>
              </w:rPr>
              <w:t>BURN</w:t>
            </w:r>
          </w:p>
        </w:tc>
        <w:tc>
          <w:tcPr>
            <w:tcW w:w="1559" w:type="dxa"/>
          </w:tcPr>
          <w:p w14:paraId="351A470B" w14:textId="77777777" w:rsidR="00F849A7" w:rsidRPr="00D9348B" w:rsidRDefault="00F849A7" w:rsidP="00DB330E">
            <w:pPr>
              <w:pStyle w:val="TableText"/>
              <w:spacing w:before="40" w:after="40"/>
              <w:rPr>
                <w:rFonts w:cs="Calibri"/>
              </w:rPr>
            </w:pPr>
            <w:r w:rsidRPr="00D9348B">
              <w:rPr>
                <w:rFonts w:cs="Calibri"/>
              </w:rPr>
              <w:t>Crop-specific</w:t>
            </w:r>
          </w:p>
        </w:tc>
        <w:tc>
          <w:tcPr>
            <w:tcW w:w="1462" w:type="dxa"/>
          </w:tcPr>
          <w:p w14:paraId="4C243DB9" w14:textId="77777777" w:rsidR="00F849A7" w:rsidRPr="00D9348B" w:rsidRDefault="00F849A7" w:rsidP="00DB330E">
            <w:pPr>
              <w:pStyle w:val="TableText"/>
              <w:spacing w:before="40" w:after="40"/>
              <w:rPr>
                <w:rFonts w:cs="Calibri"/>
              </w:rPr>
            </w:pPr>
            <w:r w:rsidRPr="00D9348B">
              <w:rPr>
                <w:rFonts w:cs="Calibri"/>
              </w:rPr>
              <w:t>kg N/kg crop-N</w:t>
            </w:r>
          </w:p>
        </w:tc>
        <w:tc>
          <w:tcPr>
            <w:tcW w:w="1997" w:type="dxa"/>
          </w:tcPr>
          <w:p w14:paraId="2560BC0C" w14:textId="77777777" w:rsidR="00F849A7" w:rsidRPr="00D9348B" w:rsidRDefault="00F849A7" w:rsidP="00DB330E">
            <w:pPr>
              <w:pStyle w:val="TableText"/>
              <w:spacing w:before="40" w:after="40"/>
              <w:rPr>
                <w:rFonts w:cs="Calibri"/>
              </w:rPr>
            </w:pPr>
            <w:r w:rsidRPr="00D9348B">
              <w:rPr>
                <w:rFonts w:cs="Calibri"/>
              </w:rPr>
              <w:t>Thomas et al. (2008, table 14)</w:t>
            </w:r>
          </w:p>
        </w:tc>
      </w:tr>
      <w:tr w:rsidR="00F849A7" w:rsidRPr="00D9348B" w14:paraId="36E74E64" w14:textId="77777777" w:rsidTr="003E4A42">
        <w:tc>
          <w:tcPr>
            <w:tcW w:w="2576" w:type="dxa"/>
          </w:tcPr>
          <w:p w14:paraId="22910E4C" w14:textId="77777777" w:rsidR="00F849A7" w:rsidRPr="00D9348B" w:rsidRDefault="00F849A7" w:rsidP="00DB330E">
            <w:pPr>
              <w:pStyle w:val="TableText"/>
              <w:spacing w:before="40" w:after="40"/>
              <w:rPr>
                <w:rFonts w:cs="Calibri"/>
              </w:rPr>
            </w:pPr>
            <w:r w:rsidRPr="00D9348B">
              <w:rPr>
                <w:rFonts w:cs="Calibri"/>
              </w:rPr>
              <w:t>Fraction of legume crop residue burning in the field</w:t>
            </w:r>
          </w:p>
        </w:tc>
        <w:tc>
          <w:tcPr>
            <w:tcW w:w="968" w:type="dxa"/>
          </w:tcPr>
          <w:p w14:paraId="31DE47D6" w14:textId="77777777" w:rsidR="00F849A7" w:rsidRPr="00D9348B" w:rsidRDefault="00F849A7" w:rsidP="00DB330E">
            <w:pPr>
              <w:pStyle w:val="TableText"/>
              <w:spacing w:before="40" w:after="40"/>
              <w:rPr>
                <w:rFonts w:cs="Calibri"/>
              </w:rPr>
            </w:pPr>
            <w:r w:rsidRPr="00D9348B">
              <w:rPr>
                <w:rFonts w:cs="Calibri"/>
              </w:rPr>
              <w:t>Frac</w:t>
            </w:r>
            <w:r w:rsidRPr="00D9348B">
              <w:rPr>
                <w:rFonts w:cs="Calibri"/>
                <w:vertAlign w:val="subscript"/>
              </w:rPr>
              <w:t>BURNL</w:t>
            </w:r>
          </w:p>
        </w:tc>
        <w:tc>
          <w:tcPr>
            <w:tcW w:w="1559" w:type="dxa"/>
          </w:tcPr>
          <w:p w14:paraId="3776A87F" w14:textId="77777777" w:rsidR="00F849A7" w:rsidRPr="00D9348B" w:rsidRDefault="00F849A7" w:rsidP="00DB330E">
            <w:pPr>
              <w:pStyle w:val="TableText"/>
              <w:spacing w:before="40" w:after="40"/>
              <w:rPr>
                <w:rFonts w:cs="Calibri"/>
              </w:rPr>
            </w:pPr>
            <w:r w:rsidRPr="00D9348B">
              <w:rPr>
                <w:rFonts w:cs="Calibri"/>
              </w:rPr>
              <w:t>0 (not burned in NZ)</w:t>
            </w:r>
          </w:p>
        </w:tc>
        <w:tc>
          <w:tcPr>
            <w:tcW w:w="1462" w:type="dxa"/>
          </w:tcPr>
          <w:p w14:paraId="5E2ADC1D" w14:textId="77777777" w:rsidR="00F849A7" w:rsidRPr="00D9348B" w:rsidRDefault="00F849A7" w:rsidP="00DB330E">
            <w:pPr>
              <w:pStyle w:val="TableText"/>
              <w:spacing w:before="40" w:after="40"/>
              <w:rPr>
                <w:rFonts w:cs="Calibri"/>
              </w:rPr>
            </w:pPr>
            <w:r w:rsidRPr="00D9348B">
              <w:rPr>
                <w:rFonts w:cs="Calibri"/>
              </w:rPr>
              <w:t>kg N/kg crop-N</w:t>
            </w:r>
          </w:p>
        </w:tc>
        <w:tc>
          <w:tcPr>
            <w:tcW w:w="1997" w:type="dxa"/>
          </w:tcPr>
          <w:p w14:paraId="2D4B256B" w14:textId="77777777" w:rsidR="00F849A7" w:rsidRPr="00D9348B" w:rsidRDefault="00F849A7" w:rsidP="00DB330E">
            <w:pPr>
              <w:pStyle w:val="TableText"/>
              <w:spacing w:before="40" w:after="40"/>
              <w:rPr>
                <w:rFonts w:cs="Calibri"/>
              </w:rPr>
            </w:pPr>
            <w:r w:rsidRPr="00D9348B">
              <w:rPr>
                <w:rFonts w:cs="Calibri"/>
              </w:rPr>
              <w:t xml:space="preserve">Thomas et al. (2008) </w:t>
            </w:r>
          </w:p>
        </w:tc>
      </w:tr>
      <w:tr w:rsidR="00F849A7" w:rsidRPr="00D9348B" w14:paraId="5F3ACA0D" w14:textId="77777777" w:rsidTr="003E4A42">
        <w:tc>
          <w:tcPr>
            <w:tcW w:w="2576" w:type="dxa"/>
          </w:tcPr>
          <w:p w14:paraId="62B727F8" w14:textId="77777777" w:rsidR="00F849A7" w:rsidRPr="00D9348B" w:rsidRDefault="00F849A7" w:rsidP="00DB330E">
            <w:pPr>
              <w:pStyle w:val="TableText"/>
              <w:spacing w:before="40" w:after="40"/>
              <w:rPr>
                <w:rFonts w:cs="Calibri"/>
              </w:rPr>
            </w:pPr>
            <w:r w:rsidRPr="00D9348B">
              <w:rPr>
                <w:rFonts w:cs="Calibri"/>
              </w:rPr>
              <w:t>Fraction of land undergoing pasture renewal</w:t>
            </w:r>
          </w:p>
        </w:tc>
        <w:tc>
          <w:tcPr>
            <w:tcW w:w="968" w:type="dxa"/>
          </w:tcPr>
          <w:p w14:paraId="27854689" w14:textId="77777777" w:rsidR="00F849A7" w:rsidRPr="00D9348B" w:rsidRDefault="00F849A7" w:rsidP="00DB330E">
            <w:pPr>
              <w:pStyle w:val="TableText"/>
              <w:spacing w:before="40" w:after="40"/>
              <w:rPr>
                <w:rFonts w:cs="Calibri"/>
              </w:rPr>
            </w:pPr>
            <w:r w:rsidRPr="00D9348B">
              <w:rPr>
                <w:rFonts w:cs="Calibri"/>
              </w:rPr>
              <w:t>Frac</w:t>
            </w:r>
            <w:r w:rsidRPr="00D9348B">
              <w:rPr>
                <w:rFonts w:cs="Calibri"/>
                <w:vertAlign w:val="subscript"/>
              </w:rPr>
              <w:t>RENEW</w:t>
            </w:r>
          </w:p>
        </w:tc>
        <w:tc>
          <w:tcPr>
            <w:tcW w:w="1559" w:type="dxa"/>
          </w:tcPr>
          <w:p w14:paraId="3EEFCFC2" w14:textId="77777777" w:rsidR="00F849A7" w:rsidRPr="00D9348B" w:rsidRDefault="00F849A7" w:rsidP="00DB330E">
            <w:pPr>
              <w:pStyle w:val="TableText"/>
              <w:spacing w:before="40" w:after="40"/>
              <w:rPr>
                <w:rStyle w:val="CommentReference"/>
                <w:rFonts w:cs="Calibri"/>
              </w:rPr>
            </w:pPr>
            <w:r w:rsidRPr="00D9348B">
              <w:rPr>
                <w:rStyle w:val="CommentReference"/>
                <w:rFonts w:cs="Calibri"/>
              </w:rPr>
              <w:t>Year-specific</w:t>
            </w:r>
          </w:p>
        </w:tc>
        <w:tc>
          <w:tcPr>
            <w:tcW w:w="1462" w:type="dxa"/>
          </w:tcPr>
          <w:p w14:paraId="11022517" w14:textId="77777777" w:rsidR="00F849A7" w:rsidRPr="00D9348B" w:rsidRDefault="00F849A7" w:rsidP="00DB330E">
            <w:pPr>
              <w:pStyle w:val="TableText"/>
              <w:spacing w:before="40" w:after="40"/>
              <w:rPr>
                <w:rFonts w:cs="Calibri"/>
              </w:rPr>
            </w:pPr>
          </w:p>
        </w:tc>
        <w:tc>
          <w:tcPr>
            <w:tcW w:w="1997" w:type="dxa"/>
          </w:tcPr>
          <w:p w14:paraId="1A558E24" w14:textId="77777777" w:rsidR="00F849A7" w:rsidRPr="00D9348B" w:rsidRDefault="00F849A7" w:rsidP="00DB330E">
            <w:pPr>
              <w:pStyle w:val="TableText"/>
              <w:spacing w:before="40" w:after="40"/>
              <w:rPr>
                <w:rFonts w:cs="Calibri"/>
              </w:rPr>
            </w:pPr>
            <w:r w:rsidRPr="00D9348B">
              <w:rPr>
                <w:rFonts w:cs="Calibri"/>
              </w:rPr>
              <w:t>Beare et al. (unpublished); Thomas et al. (2014)</w:t>
            </w:r>
          </w:p>
        </w:tc>
      </w:tr>
      <w:tr w:rsidR="00F849A7" w:rsidRPr="00D9348B" w14:paraId="70E6ECCC" w14:textId="77777777" w:rsidTr="003E4A42">
        <w:tc>
          <w:tcPr>
            <w:tcW w:w="2576" w:type="dxa"/>
          </w:tcPr>
          <w:p w14:paraId="6D663FCB" w14:textId="77777777" w:rsidR="00F849A7" w:rsidRPr="00D9348B" w:rsidRDefault="00F849A7" w:rsidP="00DB330E">
            <w:pPr>
              <w:pStyle w:val="TableText"/>
              <w:spacing w:before="40" w:after="40"/>
              <w:rPr>
                <w:rFonts w:cs="Calibri"/>
              </w:rPr>
            </w:pPr>
            <w:r w:rsidRPr="00D9348B">
              <w:rPr>
                <w:rFonts w:cs="Calibri"/>
              </w:rPr>
              <w:t>Fraction of nitrogen in above-ground residues removed for bedding, feed or construction</w:t>
            </w:r>
          </w:p>
        </w:tc>
        <w:tc>
          <w:tcPr>
            <w:tcW w:w="968" w:type="dxa"/>
          </w:tcPr>
          <w:p w14:paraId="06AA3E3E" w14:textId="77777777" w:rsidR="00F849A7" w:rsidRPr="00D9348B" w:rsidRDefault="00F849A7" w:rsidP="00DB330E">
            <w:pPr>
              <w:pStyle w:val="TableText"/>
              <w:spacing w:before="40" w:after="40"/>
              <w:rPr>
                <w:rFonts w:cs="Calibri"/>
              </w:rPr>
            </w:pPr>
            <w:r w:rsidRPr="00D9348B">
              <w:rPr>
                <w:rFonts w:cs="Calibri"/>
              </w:rPr>
              <w:t>Frac</w:t>
            </w:r>
            <w:r w:rsidRPr="00D9348B">
              <w:rPr>
                <w:rFonts w:cs="Calibri"/>
                <w:vertAlign w:val="subscript"/>
              </w:rPr>
              <w:t>REMOVE</w:t>
            </w:r>
          </w:p>
        </w:tc>
        <w:tc>
          <w:tcPr>
            <w:tcW w:w="1559" w:type="dxa"/>
          </w:tcPr>
          <w:p w14:paraId="4C228ECA" w14:textId="77777777" w:rsidR="00F849A7" w:rsidRPr="00D9348B" w:rsidRDefault="00F849A7" w:rsidP="00DB330E">
            <w:pPr>
              <w:pStyle w:val="TableText"/>
              <w:spacing w:before="40" w:after="40"/>
              <w:rPr>
                <w:rFonts w:cs="Calibri"/>
              </w:rPr>
            </w:pPr>
            <w:r w:rsidRPr="00D9348B">
              <w:rPr>
                <w:rFonts w:cs="Calibri"/>
              </w:rPr>
              <w:t>0</w:t>
            </w:r>
          </w:p>
        </w:tc>
        <w:tc>
          <w:tcPr>
            <w:tcW w:w="1462" w:type="dxa"/>
          </w:tcPr>
          <w:p w14:paraId="64CCB30C" w14:textId="77777777" w:rsidR="00F849A7" w:rsidRPr="00D9348B" w:rsidRDefault="00F849A7" w:rsidP="00DB330E">
            <w:pPr>
              <w:pStyle w:val="TableText"/>
              <w:spacing w:before="40" w:after="40"/>
              <w:rPr>
                <w:rFonts w:cs="Calibri"/>
              </w:rPr>
            </w:pPr>
            <w:r w:rsidRPr="00D9348B">
              <w:rPr>
                <w:rFonts w:cs="Calibri"/>
              </w:rPr>
              <w:t>kg N/kg crop-N</w:t>
            </w:r>
          </w:p>
        </w:tc>
        <w:tc>
          <w:tcPr>
            <w:tcW w:w="1997" w:type="dxa"/>
          </w:tcPr>
          <w:p w14:paraId="1BFDC122" w14:textId="77777777" w:rsidR="00F849A7" w:rsidRPr="00D9348B" w:rsidRDefault="00F849A7" w:rsidP="00DB330E">
            <w:pPr>
              <w:pStyle w:val="TableText"/>
              <w:spacing w:before="40" w:after="40"/>
              <w:rPr>
                <w:rFonts w:cs="Calibri"/>
              </w:rPr>
            </w:pPr>
            <w:r w:rsidRPr="00D9348B">
              <w:rPr>
                <w:rFonts w:cs="Calibri"/>
              </w:rPr>
              <w:t>Thomas et al. (2014)</w:t>
            </w:r>
          </w:p>
        </w:tc>
      </w:tr>
    </w:tbl>
    <w:p w14:paraId="661737D5" w14:textId="77777777" w:rsidR="00F849A7" w:rsidRPr="00D9348B" w:rsidRDefault="00F849A7" w:rsidP="00F849A7">
      <w:pPr>
        <w:pStyle w:val="Table"/>
        <w:rPr>
          <w:rFonts w:cs="Calibri"/>
        </w:rPr>
      </w:pPr>
      <w:bookmarkStart w:id="877" w:name="_Toc441830882"/>
      <w:bookmarkStart w:id="878" w:name="_Toc451176096"/>
      <w:bookmarkStart w:id="879" w:name="_Toc481751524"/>
      <w:bookmarkStart w:id="880" w:name="_Toc507158612"/>
      <w:bookmarkStart w:id="881" w:name="_Toc511116746"/>
      <w:bookmarkStart w:id="882" w:name="_Toc5269488"/>
      <w:bookmarkStart w:id="883" w:name="_Toc32570931"/>
      <w:bookmarkStart w:id="884" w:name="_Toc36224566"/>
      <w:r w:rsidRPr="00D9348B">
        <w:rPr>
          <w:rFonts w:cs="Calibri"/>
        </w:rPr>
        <w:lastRenderedPageBreak/>
        <w:t>Table 5.5.5</w:t>
      </w:r>
      <w:r w:rsidRPr="00D9348B">
        <w:rPr>
          <w:rFonts w:cs="Calibri"/>
        </w:rPr>
        <w:tab/>
        <w:t>Emission factors and parameter values for use of mitigation technologies</w:t>
      </w:r>
      <w:bookmarkEnd w:id="877"/>
      <w:bookmarkEnd w:id="878"/>
      <w:bookmarkEnd w:id="879"/>
      <w:bookmarkEnd w:id="880"/>
      <w:bookmarkEnd w:id="881"/>
      <w:bookmarkEnd w:id="882"/>
      <w:bookmarkEnd w:id="883"/>
      <w:bookmarkEnd w:id="884"/>
    </w:p>
    <w:tbl>
      <w:tblPr>
        <w:tblW w:w="8562" w:type="dxa"/>
        <w:tblInd w:w="108" w:type="dxa"/>
        <w:tblBorders>
          <w:top w:val="single" w:sz="4" w:space="0" w:color="365F91"/>
          <w:bottom w:val="single" w:sz="4" w:space="0" w:color="365F91"/>
          <w:insideH w:val="single" w:sz="4" w:space="0" w:color="365F91"/>
        </w:tblBorders>
        <w:tblLayout w:type="fixed"/>
        <w:tblLook w:val="01E0" w:firstRow="1" w:lastRow="1" w:firstColumn="1" w:lastColumn="1" w:noHBand="0" w:noVBand="0"/>
      </w:tblPr>
      <w:tblGrid>
        <w:gridCol w:w="4820"/>
        <w:gridCol w:w="1276"/>
        <w:gridCol w:w="850"/>
        <w:gridCol w:w="1616"/>
      </w:tblGrid>
      <w:tr w:rsidR="00F849A7" w:rsidRPr="00D9348B" w14:paraId="0AAD5B98" w14:textId="77777777" w:rsidTr="00AC555A">
        <w:trPr>
          <w:tblHeader/>
        </w:trPr>
        <w:tc>
          <w:tcPr>
            <w:tcW w:w="4820" w:type="dxa"/>
            <w:shd w:val="clear" w:color="auto" w:fill="365F91"/>
            <w:vAlign w:val="bottom"/>
          </w:tcPr>
          <w:p w14:paraId="23C5CB9C" w14:textId="77777777" w:rsidR="00F849A7" w:rsidRPr="00D9348B" w:rsidRDefault="00F849A7" w:rsidP="00DB330E">
            <w:pPr>
              <w:pStyle w:val="TableTextBold"/>
              <w:keepNext/>
              <w:rPr>
                <w:rFonts w:cs="Calibri"/>
                <w:noProof w:val="0"/>
                <w:color w:val="FFFFFF"/>
              </w:rPr>
            </w:pPr>
            <w:r w:rsidRPr="00D9348B">
              <w:rPr>
                <w:rFonts w:cs="Calibri"/>
                <w:noProof w:val="0"/>
                <w:color w:val="FFFFFF"/>
              </w:rPr>
              <w:t>Category</w:t>
            </w:r>
          </w:p>
        </w:tc>
        <w:tc>
          <w:tcPr>
            <w:tcW w:w="2126" w:type="dxa"/>
            <w:gridSpan w:val="2"/>
            <w:shd w:val="clear" w:color="auto" w:fill="365F91"/>
            <w:vAlign w:val="bottom"/>
          </w:tcPr>
          <w:p w14:paraId="7620E25B" w14:textId="77777777" w:rsidR="00F849A7" w:rsidRPr="00D9348B" w:rsidRDefault="00F849A7" w:rsidP="00DB330E">
            <w:pPr>
              <w:pStyle w:val="TableTextBold"/>
              <w:keepNext/>
              <w:jc w:val="center"/>
              <w:rPr>
                <w:rFonts w:cs="Calibri"/>
                <w:noProof w:val="0"/>
                <w:color w:val="FFFFFF"/>
              </w:rPr>
            </w:pPr>
            <w:r w:rsidRPr="00D9348B">
              <w:rPr>
                <w:rFonts w:cs="Calibri"/>
                <w:noProof w:val="0"/>
                <w:color w:val="FFFFFF"/>
              </w:rPr>
              <w:t>Parameter and value (%)</w:t>
            </w:r>
          </w:p>
        </w:tc>
        <w:tc>
          <w:tcPr>
            <w:tcW w:w="1616" w:type="dxa"/>
            <w:shd w:val="clear" w:color="auto" w:fill="365F91"/>
            <w:vAlign w:val="bottom"/>
          </w:tcPr>
          <w:p w14:paraId="6698B039" w14:textId="77777777" w:rsidR="00F849A7" w:rsidRPr="00D9348B" w:rsidRDefault="00F849A7" w:rsidP="00DB330E">
            <w:pPr>
              <w:pStyle w:val="TableTextBold"/>
              <w:keepNext/>
              <w:rPr>
                <w:rFonts w:cs="Calibri"/>
                <w:noProof w:val="0"/>
                <w:color w:val="FFFFFF"/>
              </w:rPr>
            </w:pPr>
            <w:r w:rsidRPr="00D9348B">
              <w:rPr>
                <w:rFonts w:cs="Calibri"/>
                <w:noProof w:val="0"/>
                <w:color w:val="FFFFFF"/>
              </w:rPr>
              <w:t>Source</w:t>
            </w:r>
          </w:p>
        </w:tc>
      </w:tr>
      <w:tr w:rsidR="00F849A7" w:rsidRPr="00D9348B" w14:paraId="22A45BA3" w14:textId="77777777" w:rsidTr="00AC555A">
        <w:tc>
          <w:tcPr>
            <w:tcW w:w="4820" w:type="dxa"/>
          </w:tcPr>
          <w:p w14:paraId="379F8460" w14:textId="77777777" w:rsidR="00F849A7" w:rsidRPr="00D9348B" w:rsidRDefault="00F849A7" w:rsidP="00DB330E">
            <w:pPr>
              <w:pStyle w:val="TableText"/>
              <w:spacing w:before="50" w:after="50"/>
              <w:rPr>
                <w:rFonts w:cs="Calibri"/>
              </w:rPr>
            </w:pPr>
            <w:r w:rsidRPr="00D9348B">
              <w:rPr>
                <w:rFonts w:cs="Calibri"/>
              </w:rPr>
              <w:t>Urine from grazing dairy cattle in pasture, range and paddock systems with application of dicyandiamide (DCD)</w:t>
            </w:r>
          </w:p>
        </w:tc>
        <w:tc>
          <w:tcPr>
            <w:tcW w:w="1276" w:type="dxa"/>
          </w:tcPr>
          <w:p w14:paraId="7DA62C84" w14:textId="77777777" w:rsidR="00F849A7" w:rsidRPr="00D9348B" w:rsidRDefault="00F849A7" w:rsidP="00DB330E">
            <w:pPr>
              <w:pStyle w:val="TableText"/>
              <w:spacing w:before="50" w:after="50"/>
              <w:rPr>
                <w:rFonts w:cs="Calibri"/>
              </w:rPr>
            </w:pPr>
            <w:r w:rsidRPr="00D9348B">
              <w:rPr>
                <w:rFonts w:cs="Calibri"/>
              </w:rPr>
              <w:t>EF</w:t>
            </w:r>
            <w:r w:rsidRPr="00D9348B">
              <w:rPr>
                <w:rFonts w:cs="Calibri"/>
                <w:vertAlign w:val="subscript"/>
              </w:rPr>
              <w:t>3(PRP-DCD)</w:t>
            </w:r>
          </w:p>
        </w:tc>
        <w:tc>
          <w:tcPr>
            <w:tcW w:w="850" w:type="dxa"/>
          </w:tcPr>
          <w:p w14:paraId="6B06B564" w14:textId="77777777" w:rsidR="00F849A7" w:rsidRPr="00D9348B" w:rsidRDefault="00F849A7" w:rsidP="00DB330E">
            <w:pPr>
              <w:pStyle w:val="TableText"/>
              <w:spacing w:before="50" w:after="50"/>
              <w:rPr>
                <w:rFonts w:cs="Calibri"/>
              </w:rPr>
            </w:pPr>
            <w:r w:rsidRPr="00D9348B">
              <w:rPr>
                <w:rFonts w:cs="Calibri"/>
              </w:rPr>
              <w:t>0.67</w:t>
            </w:r>
          </w:p>
        </w:tc>
        <w:tc>
          <w:tcPr>
            <w:tcW w:w="1616" w:type="dxa"/>
          </w:tcPr>
          <w:p w14:paraId="7B69BDD4" w14:textId="77777777" w:rsidR="00F849A7" w:rsidRPr="00D9348B" w:rsidRDefault="00F849A7" w:rsidP="00DB330E">
            <w:pPr>
              <w:pStyle w:val="TableText"/>
              <w:spacing w:before="50" w:after="50"/>
              <w:rPr>
                <w:rFonts w:cs="Calibri"/>
              </w:rPr>
            </w:pPr>
            <w:r w:rsidRPr="00D9348B">
              <w:rPr>
                <w:rFonts w:cs="Calibri"/>
              </w:rPr>
              <w:t>Clough et al. (2008)</w:t>
            </w:r>
          </w:p>
        </w:tc>
      </w:tr>
      <w:tr w:rsidR="00F849A7" w:rsidRPr="00D9348B" w14:paraId="362A054B" w14:textId="77777777" w:rsidTr="00AC555A">
        <w:tc>
          <w:tcPr>
            <w:tcW w:w="4820" w:type="dxa"/>
          </w:tcPr>
          <w:p w14:paraId="165C4C2B" w14:textId="77777777" w:rsidR="00F849A7" w:rsidRPr="00D9348B" w:rsidRDefault="00F849A7" w:rsidP="00DB330E">
            <w:pPr>
              <w:pStyle w:val="TableText"/>
              <w:spacing w:before="50" w:after="50"/>
              <w:rPr>
                <w:rFonts w:cs="Calibri"/>
              </w:rPr>
            </w:pPr>
            <w:r w:rsidRPr="00D9348B">
              <w:rPr>
                <w:rFonts w:cs="Calibri"/>
              </w:rPr>
              <w:t>Fraction of nitrogen from leaching and runoff with application of DCD</w:t>
            </w:r>
          </w:p>
        </w:tc>
        <w:tc>
          <w:tcPr>
            <w:tcW w:w="1276" w:type="dxa"/>
          </w:tcPr>
          <w:p w14:paraId="6DE2B9D4" w14:textId="77777777" w:rsidR="00F849A7" w:rsidRPr="00D9348B" w:rsidRDefault="00F849A7" w:rsidP="00DB330E">
            <w:pPr>
              <w:pStyle w:val="TableText"/>
              <w:spacing w:before="50" w:after="50"/>
              <w:rPr>
                <w:rFonts w:cs="Calibri"/>
              </w:rPr>
            </w:pPr>
            <w:r w:rsidRPr="00D9348B">
              <w:rPr>
                <w:rFonts w:cs="Calibri"/>
              </w:rPr>
              <w:t>Frac</w:t>
            </w:r>
            <w:r w:rsidRPr="00D9348B">
              <w:rPr>
                <w:rFonts w:cs="Calibri"/>
                <w:vertAlign w:val="subscript"/>
              </w:rPr>
              <w:t>LEACH – (H)-DCD</w:t>
            </w:r>
          </w:p>
        </w:tc>
        <w:tc>
          <w:tcPr>
            <w:tcW w:w="850" w:type="dxa"/>
          </w:tcPr>
          <w:p w14:paraId="2DFFDA4D" w14:textId="77777777" w:rsidR="00F849A7" w:rsidRPr="00D9348B" w:rsidRDefault="00F849A7" w:rsidP="00DB330E">
            <w:pPr>
              <w:pStyle w:val="TableText"/>
              <w:spacing w:before="50" w:after="50"/>
              <w:rPr>
                <w:rFonts w:cs="Calibri"/>
              </w:rPr>
            </w:pPr>
            <w:r w:rsidRPr="00D9348B">
              <w:rPr>
                <w:rFonts w:cs="Calibri"/>
              </w:rPr>
              <w:t>0.53</w:t>
            </w:r>
          </w:p>
        </w:tc>
        <w:tc>
          <w:tcPr>
            <w:tcW w:w="1616" w:type="dxa"/>
          </w:tcPr>
          <w:p w14:paraId="4B667F2F" w14:textId="77777777" w:rsidR="00F849A7" w:rsidRPr="00D9348B" w:rsidRDefault="00F849A7" w:rsidP="00DB330E">
            <w:pPr>
              <w:pStyle w:val="TableText"/>
              <w:spacing w:before="50" w:after="50"/>
              <w:rPr>
                <w:rFonts w:cs="Calibri"/>
              </w:rPr>
            </w:pPr>
            <w:r w:rsidRPr="00D9348B">
              <w:rPr>
                <w:rFonts w:cs="Calibri"/>
              </w:rPr>
              <w:t>Clough et al. (2008)</w:t>
            </w:r>
          </w:p>
        </w:tc>
      </w:tr>
      <w:tr w:rsidR="00F849A7" w:rsidRPr="00D9348B" w14:paraId="4525FAE9" w14:textId="77777777" w:rsidTr="00AC555A">
        <w:tc>
          <w:tcPr>
            <w:tcW w:w="4820" w:type="dxa"/>
          </w:tcPr>
          <w:p w14:paraId="0519D236" w14:textId="77777777" w:rsidR="00F849A7" w:rsidRPr="00D9348B" w:rsidRDefault="00F849A7" w:rsidP="00DB330E">
            <w:pPr>
              <w:pStyle w:val="TableText"/>
              <w:spacing w:before="50" w:after="50"/>
              <w:rPr>
                <w:rFonts w:cs="Calibri"/>
              </w:rPr>
            </w:pPr>
            <w:r w:rsidRPr="00D9348B">
              <w:rPr>
                <w:rFonts w:cs="Calibri"/>
              </w:rPr>
              <w:t>Volatilisation from synthetic nitrogen fertiliser coated with urease inhibitor (nBTPT)</w:t>
            </w:r>
          </w:p>
        </w:tc>
        <w:tc>
          <w:tcPr>
            <w:tcW w:w="1276" w:type="dxa"/>
          </w:tcPr>
          <w:p w14:paraId="4AA20B6D" w14:textId="77777777" w:rsidR="00F849A7" w:rsidRPr="00D9348B" w:rsidRDefault="00F849A7" w:rsidP="00DB330E">
            <w:pPr>
              <w:pStyle w:val="TableText"/>
              <w:spacing w:before="50" w:after="50"/>
              <w:rPr>
                <w:rFonts w:cs="Calibri"/>
              </w:rPr>
            </w:pPr>
            <w:r w:rsidRPr="00D9348B">
              <w:rPr>
                <w:rFonts w:cs="Calibri"/>
              </w:rPr>
              <w:t>Frac</w:t>
            </w:r>
            <w:r w:rsidRPr="00D9348B">
              <w:rPr>
                <w:rFonts w:cs="Calibri"/>
                <w:vertAlign w:val="subscript"/>
              </w:rPr>
              <w:t>GASF-UI</w:t>
            </w:r>
          </w:p>
        </w:tc>
        <w:tc>
          <w:tcPr>
            <w:tcW w:w="850" w:type="dxa"/>
          </w:tcPr>
          <w:p w14:paraId="459D3C13" w14:textId="77777777" w:rsidR="00F849A7" w:rsidRPr="00D9348B" w:rsidRDefault="00F849A7" w:rsidP="00DB330E">
            <w:pPr>
              <w:pStyle w:val="TableText"/>
              <w:spacing w:before="50" w:after="50"/>
              <w:rPr>
                <w:rFonts w:cs="Calibri"/>
              </w:rPr>
            </w:pPr>
            <w:r w:rsidRPr="00D9348B">
              <w:rPr>
                <w:rFonts w:cs="Calibri"/>
              </w:rPr>
              <w:t>0.045</w:t>
            </w:r>
          </w:p>
        </w:tc>
        <w:tc>
          <w:tcPr>
            <w:tcW w:w="1616" w:type="dxa"/>
          </w:tcPr>
          <w:p w14:paraId="3C1678D3" w14:textId="77777777" w:rsidR="00F849A7" w:rsidRPr="00D9348B" w:rsidRDefault="00F849A7" w:rsidP="00DB330E">
            <w:pPr>
              <w:pStyle w:val="TableText"/>
              <w:spacing w:before="50" w:after="50"/>
              <w:rPr>
                <w:rFonts w:cs="Calibri"/>
              </w:rPr>
            </w:pPr>
            <w:r w:rsidRPr="00D9348B">
              <w:rPr>
                <w:rFonts w:cs="Calibri"/>
              </w:rPr>
              <w:t>Saggar et al. (2013)</w:t>
            </w:r>
          </w:p>
        </w:tc>
      </w:tr>
    </w:tbl>
    <w:p w14:paraId="5D17A8B1" w14:textId="77777777" w:rsidR="00F849A7" w:rsidRPr="00D9348B" w:rsidRDefault="00F849A7" w:rsidP="00A8523F">
      <w:pPr>
        <w:pStyle w:val="Heading4"/>
        <w:spacing w:before="360"/>
      </w:pPr>
      <w:r w:rsidRPr="00D9348B">
        <w:t>Direct nitrous oxide emissions from managed soils (CRF 3.D.1)</w:t>
      </w:r>
    </w:p>
    <w:p w14:paraId="6FAF654A" w14:textId="77777777" w:rsidR="00F849A7" w:rsidRPr="00D9348B" w:rsidRDefault="00F849A7" w:rsidP="00F849A7">
      <w:pPr>
        <w:pStyle w:val="BodyText"/>
        <w:rPr>
          <w:rFonts w:cs="Calibri"/>
        </w:rPr>
      </w:pPr>
      <w:r w:rsidRPr="00D9348B">
        <w:rPr>
          <w:rFonts w:cs="Calibri"/>
        </w:rPr>
        <w:t xml:space="preserve">Emissions from the </w:t>
      </w:r>
      <w:r w:rsidRPr="00D9348B">
        <w:rPr>
          <w:rFonts w:cs="Calibri"/>
          <w:i/>
          <w:iCs/>
        </w:rPr>
        <w:t>Direct N</w:t>
      </w:r>
      <w:r w:rsidRPr="00D9348B">
        <w:rPr>
          <w:rFonts w:cs="Calibri"/>
          <w:i/>
          <w:iCs/>
          <w:vertAlign w:val="subscript"/>
        </w:rPr>
        <w:t>2</w:t>
      </w:r>
      <w:r w:rsidRPr="00D9348B">
        <w:rPr>
          <w:rFonts w:cs="Calibri"/>
          <w:i/>
          <w:iCs/>
        </w:rPr>
        <w:t xml:space="preserve">O emissions from managed soils </w:t>
      </w:r>
      <w:r w:rsidRPr="00D9348B">
        <w:rPr>
          <w:rFonts w:cs="Calibri"/>
        </w:rPr>
        <w:t xml:space="preserve">category arise from: </w:t>
      </w:r>
    </w:p>
    <w:p w14:paraId="36CDC3AA" w14:textId="77777777" w:rsidR="00F849A7" w:rsidRPr="00D9348B" w:rsidRDefault="00F849A7" w:rsidP="00771A8F">
      <w:pPr>
        <w:pStyle w:val="Bullet"/>
        <w:numPr>
          <w:ilvl w:val="0"/>
          <w:numId w:val="20"/>
        </w:numPr>
        <w:spacing w:after="100"/>
        <w:rPr>
          <w:rFonts w:cs="Calibri"/>
        </w:rPr>
      </w:pPr>
      <w:r w:rsidRPr="00D9348B">
        <w:rPr>
          <w:rFonts w:cs="Calibri"/>
        </w:rPr>
        <w:t>synthetic nitrogen fertiliser use (F</w:t>
      </w:r>
      <w:r w:rsidRPr="00D9348B">
        <w:rPr>
          <w:rFonts w:cs="Calibri"/>
          <w:vertAlign w:val="subscript"/>
        </w:rPr>
        <w:t>SN</w:t>
      </w:r>
      <w:r w:rsidRPr="00D9348B">
        <w:rPr>
          <w:rFonts w:cs="Calibri"/>
        </w:rPr>
        <w:t>)</w:t>
      </w:r>
    </w:p>
    <w:p w14:paraId="0ED82D4C" w14:textId="77777777" w:rsidR="00F849A7" w:rsidRPr="00D9348B" w:rsidRDefault="00F849A7" w:rsidP="00771A8F">
      <w:pPr>
        <w:pStyle w:val="Bullet"/>
        <w:numPr>
          <w:ilvl w:val="0"/>
          <w:numId w:val="20"/>
        </w:numPr>
        <w:spacing w:after="100"/>
        <w:rPr>
          <w:rFonts w:cs="Calibri"/>
        </w:rPr>
      </w:pPr>
      <w:r w:rsidRPr="00D9348B">
        <w:rPr>
          <w:rFonts w:cs="Calibri"/>
        </w:rPr>
        <w:t>organic fertilisers (which in New Zealand are solely the spreading of animal manure, F</w:t>
      </w:r>
      <w:r w:rsidRPr="00D9348B">
        <w:rPr>
          <w:rFonts w:cs="Calibri"/>
          <w:vertAlign w:val="subscript"/>
        </w:rPr>
        <w:t>AM</w:t>
      </w:r>
      <w:r w:rsidRPr="00D9348B">
        <w:rPr>
          <w:rFonts w:cs="Calibri"/>
        </w:rPr>
        <w:t>)</w:t>
      </w:r>
    </w:p>
    <w:p w14:paraId="164E7C9A" w14:textId="77777777" w:rsidR="00F849A7" w:rsidRPr="00D9348B" w:rsidRDefault="00F849A7" w:rsidP="00771A8F">
      <w:pPr>
        <w:pStyle w:val="Bullet"/>
        <w:numPr>
          <w:ilvl w:val="0"/>
          <w:numId w:val="20"/>
        </w:numPr>
        <w:spacing w:after="100"/>
        <w:rPr>
          <w:rFonts w:cs="Calibri"/>
        </w:rPr>
      </w:pPr>
      <w:r w:rsidRPr="00D9348B">
        <w:rPr>
          <w:rFonts w:cs="Calibri"/>
        </w:rPr>
        <w:t>manure deposited by grazing livestock in pasture, range and paddock (F</w:t>
      </w:r>
      <w:r w:rsidRPr="00D9348B">
        <w:rPr>
          <w:rFonts w:cs="Calibri"/>
          <w:vertAlign w:val="subscript"/>
        </w:rPr>
        <w:t>PRP</w:t>
      </w:r>
      <w:r w:rsidRPr="00D9348B">
        <w:rPr>
          <w:rFonts w:cs="Calibri"/>
        </w:rPr>
        <w:t>)</w:t>
      </w:r>
    </w:p>
    <w:p w14:paraId="5C0ED811" w14:textId="77777777" w:rsidR="00F849A7" w:rsidRPr="00D9348B" w:rsidRDefault="00F849A7" w:rsidP="00771A8F">
      <w:pPr>
        <w:pStyle w:val="Bullet"/>
        <w:numPr>
          <w:ilvl w:val="0"/>
          <w:numId w:val="20"/>
        </w:numPr>
        <w:spacing w:after="100"/>
        <w:rPr>
          <w:rFonts w:cs="Calibri"/>
        </w:rPr>
      </w:pPr>
      <w:r w:rsidRPr="00D9348B">
        <w:rPr>
          <w:rFonts w:cs="Calibri"/>
        </w:rPr>
        <w:t>decomposition of crop residues left on fields (F</w:t>
      </w:r>
      <w:r w:rsidRPr="00D9348B">
        <w:rPr>
          <w:rFonts w:cs="Calibri"/>
          <w:vertAlign w:val="subscript"/>
        </w:rPr>
        <w:t>CR</w:t>
      </w:r>
      <w:r w:rsidRPr="00D9348B">
        <w:rPr>
          <w:rFonts w:cs="Calibri"/>
        </w:rPr>
        <w:t>)</w:t>
      </w:r>
    </w:p>
    <w:p w14:paraId="4083DFE3" w14:textId="77777777" w:rsidR="00F849A7" w:rsidRPr="00D9348B" w:rsidRDefault="00F849A7" w:rsidP="00771A8F">
      <w:pPr>
        <w:pStyle w:val="Bullet"/>
        <w:numPr>
          <w:ilvl w:val="0"/>
          <w:numId w:val="20"/>
        </w:numPr>
        <w:spacing w:after="100"/>
        <w:rPr>
          <w:rFonts w:cs="Calibri"/>
        </w:rPr>
      </w:pPr>
      <w:r w:rsidRPr="00D9348B">
        <w:rPr>
          <w:rFonts w:cs="Calibri"/>
        </w:rPr>
        <w:t>nitrogen mineralisation associated with loss of soil organic matter (F</w:t>
      </w:r>
      <w:r w:rsidRPr="00D9348B">
        <w:rPr>
          <w:rFonts w:cs="Calibri"/>
          <w:vertAlign w:val="subscript"/>
        </w:rPr>
        <w:t>SOM</w:t>
      </w:r>
      <w:r w:rsidRPr="00D9348B">
        <w:rPr>
          <w:rFonts w:cs="Calibri"/>
        </w:rPr>
        <w:t>)</w:t>
      </w:r>
    </w:p>
    <w:p w14:paraId="1E30EDE5" w14:textId="77777777" w:rsidR="00F849A7" w:rsidRPr="00D9348B" w:rsidRDefault="00F849A7" w:rsidP="00771A8F">
      <w:pPr>
        <w:pStyle w:val="Bullet"/>
        <w:numPr>
          <w:ilvl w:val="0"/>
          <w:numId w:val="20"/>
        </w:numPr>
        <w:rPr>
          <w:rFonts w:cs="Calibri"/>
        </w:rPr>
      </w:pPr>
      <w:proofErr w:type="gramStart"/>
      <w:r w:rsidRPr="00D9348B">
        <w:rPr>
          <w:rFonts w:cs="Calibri"/>
        </w:rPr>
        <w:t>cultivation</w:t>
      </w:r>
      <w:proofErr w:type="gramEnd"/>
      <w:r w:rsidRPr="00D9348B">
        <w:rPr>
          <w:rFonts w:cs="Calibri"/>
        </w:rPr>
        <w:t xml:space="preserve"> of organic soils.</w:t>
      </w:r>
    </w:p>
    <w:p w14:paraId="56232948" w14:textId="0B24CE63" w:rsidR="00F849A7" w:rsidRPr="00D9348B" w:rsidRDefault="00F849A7" w:rsidP="00F849A7">
      <w:pPr>
        <w:pStyle w:val="BodyText"/>
        <w:spacing w:before="100" w:after="100"/>
        <w:rPr>
          <w:rFonts w:cs="Calibri"/>
        </w:rPr>
      </w:pPr>
      <w:r w:rsidRPr="00D9348B">
        <w:rPr>
          <w:rFonts w:cs="Calibri"/>
        </w:rPr>
        <w:t>Many of these sources of emissions</w:t>
      </w:r>
      <w:r w:rsidRPr="00D9348B" w:rsidDel="00A44CC2">
        <w:rPr>
          <w:rFonts w:cs="Calibri"/>
        </w:rPr>
        <w:t xml:space="preserve"> </w:t>
      </w:r>
      <w:r w:rsidRPr="00D9348B">
        <w:rPr>
          <w:rFonts w:cs="Calibri"/>
        </w:rPr>
        <w:t>have N</w:t>
      </w:r>
      <w:r w:rsidRPr="00D9348B">
        <w:rPr>
          <w:rFonts w:cs="Calibri"/>
          <w:vertAlign w:val="subscript"/>
        </w:rPr>
        <w:t>2</w:t>
      </w:r>
      <w:r w:rsidRPr="00D9348B">
        <w:rPr>
          <w:rFonts w:cs="Calibri"/>
        </w:rPr>
        <w:t>O emissions from indirect pathways as well, and</w:t>
      </w:r>
      <w:r w:rsidR="00AC555A" w:rsidRPr="00D9348B">
        <w:rPr>
          <w:rFonts w:cs="Calibri"/>
        </w:rPr>
        <w:t> </w:t>
      </w:r>
      <w:r w:rsidRPr="00D9348B">
        <w:rPr>
          <w:rFonts w:cs="Calibri"/>
        </w:rPr>
        <w:t>these calculations are described in detail in the section on indirect N</w:t>
      </w:r>
      <w:r w:rsidRPr="00D9348B">
        <w:rPr>
          <w:rFonts w:cs="Calibri"/>
          <w:vertAlign w:val="subscript"/>
        </w:rPr>
        <w:t>2</w:t>
      </w:r>
      <w:r w:rsidRPr="00D9348B">
        <w:rPr>
          <w:rFonts w:cs="Calibri"/>
        </w:rPr>
        <w:t xml:space="preserve">O emissions from </w:t>
      </w:r>
      <w:r w:rsidRPr="00D9348B">
        <w:rPr>
          <w:rFonts w:cs="Calibri"/>
          <w:i/>
          <w:iCs/>
        </w:rPr>
        <w:t>Agricultural soils</w:t>
      </w:r>
      <w:r w:rsidRPr="00D9348B">
        <w:rPr>
          <w:rFonts w:cs="Calibri"/>
        </w:rPr>
        <w:t xml:space="preserve">. </w:t>
      </w:r>
    </w:p>
    <w:p w14:paraId="1DF386C0" w14:textId="77777777" w:rsidR="00F849A7" w:rsidRPr="00D9348B" w:rsidRDefault="00F849A7" w:rsidP="00F849A7">
      <w:pPr>
        <w:pStyle w:val="BodyText"/>
        <w:spacing w:before="100" w:after="100"/>
        <w:rPr>
          <w:rFonts w:cs="Calibri"/>
        </w:rPr>
      </w:pPr>
      <w:r w:rsidRPr="00D9348B">
        <w:rPr>
          <w:rFonts w:cs="Calibri"/>
        </w:rPr>
        <w:t>Emissions from the non-manure components of organic fertilisers (F</w:t>
      </w:r>
      <w:r w:rsidRPr="00D9348B">
        <w:rPr>
          <w:rFonts w:cs="Calibri"/>
          <w:vertAlign w:val="subscript"/>
        </w:rPr>
        <w:t>ON</w:t>
      </w:r>
      <w:r w:rsidRPr="00D9348B">
        <w:rPr>
          <w:rFonts w:cs="Calibri"/>
        </w:rPr>
        <w:t>) are not estimated in New Zealand’s inventory because they have been found to be insignificant. These components include sources such as dairy processing wastewater, compost sold to the rural sector, meat processing wastewater sand sludge, grape marc from the wine industry and vegetable processing wastewater applied to land. New Zealand commissioned research to review sources of organic waste but found that they are not of significant volume in New Zealand (van der Weerden et al., 2014).</w:t>
      </w:r>
    </w:p>
    <w:p w14:paraId="22853431" w14:textId="3452A2D3" w:rsidR="00F849A7" w:rsidRPr="00D9348B" w:rsidRDefault="00F849A7" w:rsidP="00F849A7">
      <w:pPr>
        <w:pStyle w:val="BodyText"/>
        <w:spacing w:before="100" w:after="100"/>
        <w:rPr>
          <w:rFonts w:cs="Calibri"/>
        </w:rPr>
      </w:pPr>
      <w:r w:rsidRPr="00D9348B">
        <w:rPr>
          <w:rFonts w:cs="Calibri"/>
        </w:rPr>
        <w:t>New Zealand’s methodology for determining the values for nitrogen inputs to soils for F</w:t>
      </w:r>
      <w:r w:rsidRPr="00D9348B">
        <w:rPr>
          <w:rFonts w:cs="Calibri"/>
          <w:vertAlign w:val="subscript"/>
        </w:rPr>
        <w:t>AM</w:t>
      </w:r>
      <w:r w:rsidRPr="00D9348B">
        <w:rPr>
          <w:rFonts w:cs="Calibri"/>
        </w:rPr>
        <w:t xml:space="preserve"> and F</w:t>
      </w:r>
      <w:r w:rsidRPr="00D9348B">
        <w:rPr>
          <w:rFonts w:cs="Calibri"/>
          <w:vertAlign w:val="subscript"/>
        </w:rPr>
        <w:t>PRP</w:t>
      </w:r>
      <w:r w:rsidRPr="00D9348B">
        <w:rPr>
          <w:rFonts w:cs="Calibri"/>
        </w:rPr>
        <w:t xml:space="preserve"> is consistent with other parts of the inventory. The underlying values for </w:t>
      </w:r>
      <w:proofErr w:type="gramStart"/>
      <w:r w:rsidRPr="00D9348B">
        <w:rPr>
          <w:rFonts w:cs="Calibri"/>
        </w:rPr>
        <w:t>N</w:t>
      </w:r>
      <w:r w:rsidRPr="00D9348B">
        <w:rPr>
          <w:rFonts w:cs="Calibri"/>
          <w:vertAlign w:val="subscript"/>
        </w:rPr>
        <w:t>ex</w:t>
      </w:r>
      <w:proofErr w:type="gramEnd"/>
      <w:r w:rsidRPr="00D9348B">
        <w:rPr>
          <w:rFonts w:cs="Calibri"/>
        </w:rPr>
        <w:t xml:space="preserve"> and for the allocation of excreta to animal waste management systems are the same as in the </w:t>
      </w:r>
      <w:r w:rsidRPr="00D9348B">
        <w:rPr>
          <w:rFonts w:cs="Calibri"/>
          <w:i/>
          <w:iCs/>
        </w:rPr>
        <w:t>Manure management</w:t>
      </w:r>
      <w:r w:rsidRPr="00D9348B">
        <w:rPr>
          <w:rFonts w:cs="Calibri"/>
        </w:rPr>
        <w:t xml:space="preserve"> category. These </w:t>
      </w:r>
      <w:proofErr w:type="gramStart"/>
      <w:r w:rsidRPr="00D9348B">
        <w:rPr>
          <w:rFonts w:cs="Calibri"/>
        </w:rPr>
        <w:t>N</w:t>
      </w:r>
      <w:r w:rsidRPr="00D9348B">
        <w:rPr>
          <w:rFonts w:cs="Calibri"/>
          <w:vertAlign w:val="subscript"/>
        </w:rPr>
        <w:t>ex</w:t>
      </w:r>
      <w:proofErr w:type="gramEnd"/>
      <w:r w:rsidRPr="00D9348B">
        <w:rPr>
          <w:rFonts w:cs="Calibri"/>
        </w:rPr>
        <w:t xml:space="preserve"> values have been calculated based on the same animal intake and animal productivity values used for calculating CH</w:t>
      </w:r>
      <w:r w:rsidRPr="00D9348B">
        <w:rPr>
          <w:rFonts w:cs="Calibri"/>
          <w:vertAlign w:val="subscript"/>
        </w:rPr>
        <w:t>4</w:t>
      </w:r>
      <w:r w:rsidRPr="00D9348B">
        <w:rPr>
          <w:rFonts w:cs="Calibri"/>
        </w:rPr>
        <w:t xml:space="preserve"> emissions for the different animal categories and species in the Tier 2 model (see section 5.1.3). This ensures the same base DMI values are used for both the CH</w:t>
      </w:r>
      <w:r w:rsidRPr="00D9348B">
        <w:rPr>
          <w:rFonts w:cs="Calibri"/>
          <w:vertAlign w:val="subscript"/>
        </w:rPr>
        <w:t>4</w:t>
      </w:r>
      <w:r w:rsidRPr="00D9348B">
        <w:rPr>
          <w:rFonts w:cs="Calibri"/>
        </w:rPr>
        <w:t xml:space="preserve"> and N</w:t>
      </w:r>
      <w:r w:rsidRPr="00D9348B">
        <w:rPr>
          <w:rFonts w:cs="Calibri"/>
          <w:vertAlign w:val="subscript"/>
        </w:rPr>
        <w:t>2</w:t>
      </w:r>
      <w:r w:rsidRPr="00D9348B">
        <w:rPr>
          <w:rFonts w:cs="Calibri"/>
        </w:rPr>
        <w:t>O emission calculations. Further details can be found in the inventory methodology document on the MPI website (</w:t>
      </w:r>
      <w:hyperlink r:id="rId139" w:history="1">
        <w:r w:rsidRPr="00D9348B">
          <w:rPr>
            <w:rStyle w:val="Hyperlink"/>
            <w:rFonts w:cs="Calibri"/>
            <w:color w:val="auto"/>
          </w:rPr>
          <w:t>mpi.govt.nz/news-and-resources/statistics-and-forecasting/greenhouse-gas-reporting</w:t>
        </w:r>
      </w:hyperlink>
      <w:r w:rsidRPr="00D9348B">
        <w:rPr>
          <w:rFonts w:cs="Calibri"/>
        </w:rPr>
        <w:t>).</w:t>
      </w:r>
    </w:p>
    <w:p w14:paraId="6B2FF75E" w14:textId="77777777" w:rsidR="00F849A7" w:rsidRPr="00D9348B" w:rsidRDefault="00F849A7" w:rsidP="00A8523F">
      <w:pPr>
        <w:pStyle w:val="Heading5"/>
        <w:spacing w:before="160"/>
        <w:rPr>
          <w:rFonts w:cs="Calibri"/>
        </w:rPr>
      </w:pPr>
      <w:r w:rsidRPr="00D9348B">
        <w:rPr>
          <w:rFonts w:cs="Calibri"/>
        </w:rPr>
        <w:t>Synthetic nitrogen fertiliser (CRF 3.D.1.1)</w:t>
      </w:r>
    </w:p>
    <w:p w14:paraId="2A31BA80" w14:textId="77777777" w:rsidR="00F849A7" w:rsidRPr="00D9348B" w:rsidRDefault="00F849A7" w:rsidP="00F849A7">
      <w:pPr>
        <w:pStyle w:val="BodyText"/>
        <w:spacing w:before="100" w:after="100"/>
        <w:rPr>
          <w:rFonts w:cs="Calibri"/>
        </w:rPr>
      </w:pPr>
      <w:r w:rsidRPr="00D9348B">
        <w:rPr>
          <w:rFonts w:cs="Calibri"/>
        </w:rPr>
        <w:t>Anthropogenic N</w:t>
      </w:r>
      <w:r w:rsidRPr="00D9348B">
        <w:rPr>
          <w:rFonts w:cs="Calibri"/>
          <w:vertAlign w:val="subscript"/>
        </w:rPr>
        <w:t>2</w:t>
      </w:r>
      <w:r w:rsidRPr="00D9348B">
        <w:rPr>
          <w:rFonts w:cs="Calibri"/>
        </w:rPr>
        <w:t>O emissions from synthetic nitrogen fertiliser are a relatively small proportion of total N</w:t>
      </w:r>
      <w:r w:rsidRPr="00D9348B">
        <w:rPr>
          <w:rFonts w:cs="Calibri"/>
          <w:vertAlign w:val="subscript"/>
        </w:rPr>
        <w:t>2</w:t>
      </w:r>
      <w:r w:rsidRPr="00D9348B">
        <w:rPr>
          <w:rFonts w:cs="Calibri"/>
        </w:rPr>
        <w:t xml:space="preserve">O emissions, but they have grown significantly since 1990. Most synthetic nitrogen fertiliser used in New Zealand is urea fertiliser applied to dairy pasture land to increase pasture growth during spring (September to November) and autumn (March to May). </w:t>
      </w:r>
    </w:p>
    <w:p w14:paraId="50CC82F6" w14:textId="77777777" w:rsidR="00F849A7" w:rsidRPr="00D9348B" w:rsidRDefault="00F849A7" w:rsidP="00F849A7">
      <w:pPr>
        <w:pStyle w:val="BodyText"/>
        <w:spacing w:before="100" w:after="100"/>
        <w:rPr>
          <w:rFonts w:cs="Calibri"/>
        </w:rPr>
      </w:pPr>
      <w:r w:rsidRPr="00D9348B">
        <w:rPr>
          <w:rFonts w:cs="Calibri"/>
        </w:rPr>
        <w:t>In accordance with IPCC Guidelines (IPCC, 2006), the following equation is used to determine direct N</w:t>
      </w:r>
      <w:r w:rsidRPr="00D9348B">
        <w:rPr>
          <w:rFonts w:cs="Calibri"/>
          <w:vertAlign w:val="subscript"/>
        </w:rPr>
        <w:t>2</w:t>
      </w:r>
      <w:r w:rsidRPr="00D9348B">
        <w:rPr>
          <w:rFonts w:cs="Calibri"/>
        </w:rPr>
        <w:t xml:space="preserve">O emissions from the application of nitrogen-based fertiliser: </w:t>
      </w:r>
    </w:p>
    <w:bookmarkStart w:id="885" w:name="_MON_1546322146"/>
    <w:bookmarkEnd w:id="885"/>
    <w:p w14:paraId="50C8F5A0" w14:textId="77777777" w:rsidR="00F849A7" w:rsidRPr="00D9348B" w:rsidRDefault="00F849A7" w:rsidP="00F849A7">
      <w:pPr>
        <w:pStyle w:val="BodyText"/>
        <w:spacing w:before="80" w:after="80"/>
        <w:rPr>
          <w:rFonts w:cs="Calibri"/>
        </w:rPr>
      </w:pPr>
      <w:r w:rsidRPr="00D9348B">
        <w:rPr>
          <w:rFonts w:cs="Calibri"/>
        </w:rPr>
        <w:object w:dxaOrig="7889" w:dyaOrig="450" w14:anchorId="24CF3D6B">
          <v:shape id="_x0000_i1092" type="#_x0000_t75" style="width:389.45pt;height:21.9pt" o:ole="">
            <v:imagedata r:id="rId140" o:title=""/>
          </v:shape>
          <o:OLEObject Type="Embed" ProgID="Word.Document.12" ShapeID="_x0000_i1092" DrawAspect="Content" ObjectID="_1647932326" r:id="rId141">
            <o:FieldCodes>\s</o:FieldCodes>
          </o:OLEObject>
        </w:object>
      </w:r>
    </w:p>
    <w:p w14:paraId="4883E84C" w14:textId="77777777" w:rsidR="00F849A7" w:rsidRPr="00D9348B" w:rsidRDefault="00F849A7" w:rsidP="00F849A7">
      <w:pPr>
        <w:keepNext/>
        <w:spacing w:before="100"/>
        <w:ind w:left="964" w:hanging="964"/>
        <w:rPr>
          <w:rFonts w:cs="Calibri"/>
        </w:rPr>
      </w:pPr>
      <w:r w:rsidRPr="00D9348B">
        <w:rPr>
          <w:rFonts w:cs="Calibri"/>
        </w:rPr>
        <w:t>Where:</w:t>
      </w:r>
      <w:r w:rsidRPr="00D9348B">
        <w:rPr>
          <w:rFonts w:cs="Calibri"/>
        </w:rPr>
        <w:tab/>
        <w:t>F</w:t>
      </w:r>
      <w:r w:rsidRPr="00D9348B">
        <w:rPr>
          <w:rFonts w:cs="Calibri"/>
          <w:vertAlign w:val="subscript"/>
        </w:rPr>
        <w:t>SN</w:t>
      </w:r>
      <w:r w:rsidRPr="00D9348B">
        <w:rPr>
          <w:rFonts w:cs="Calibri"/>
        </w:rPr>
        <w:t xml:space="preserve"> is the total annual amount of synthetic nitrogen fertiliser applied to soils (urea</w:t>
      </w:r>
      <w:r w:rsidRPr="00D9348B">
        <w:rPr>
          <w:rFonts w:cs="Calibri"/>
        </w:rPr>
        <w:noBreakHyphen/>
        <w:t>based and other fertilisers)</w:t>
      </w:r>
    </w:p>
    <w:p w14:paraId="0773780A" w14:textId="77777777" w:rsidR="00F849A7" w:rsidRPr="00D9348B" w:rsidRDefault="00F849A7" w:rsidP="00F849A7">
      <w:pPr>
        <w:keepNext/>
        <w:spacing w:before="100"/>
        <w:ind w:left="964" w:hanging="964"/>
        <w:rPr>
          <w:rFonts w:cs="Calibri"/>
        </w:rPr>
      </w:pPr>
      <w:r w:rsidRPr="00D9348B">
        <w:rPr>
          <w:rFonts w:cs="Calibri"/>
        </w:rPr>
        <w:tab/>
      </w:r>
      <w:proofErr w:type="gramStart"/>
      <w:r w:rsidRPr="00D9348B">
        <w:rPr>
          <w:rFonts w:cs="Calibri"/>
        </w:rPr>
        <w:t>EF</w:t>
      </w:r>
      <w:r w:rsidRPr="00D9348B">
        <w:rPr>
          <w:rFonts w:cs="Calibri"/>
          <w:vertAlign w:val="subscript"/>
        </w:rPr>
        <w:t>1(</w:t>
      </w:r>
      <w:proofErr w:type="gramEnd"/>
      <w:r w:rsidRPr="00D9348B">
        <w:rPr>
          <w:rFonts w:cs="Calibri"/>
          <w:vertAlign w:val="subscript"/>
        </w:rPr>
        <w:t>UREA)</w:t>
      </w:r>
      <w:r w:rsidRPr="00D9348B">
        <w:rPr>
          <w:rFonts w:cs="Calibri"/>
        </w:rPr>
        <w:t xml:space="preserve"> is the proportion of direct N</w:t>
      </w:r>
      <w:r w:rsidRPr="00D9348B">
        <w:rPr>
          <w:rFonts w:cs="Calibri"/>
          <w:vertAlign w:val="subscript"/>
        </w:rPr>
        <w:t>2</w:t>
      </w:r>
      <w:r w:rsidRPr="00D9348B">
        <w:rPr>
          <w:rFonts w:cs="Calibri"/>
        </w:rPr>
        <w:t>O emissions from nitrogen input to the soil for urea fertilisers (0.0059; table 5.5.2), and</w:t>
      </w:r>
    </w:p>
    <w:p w14:paraId="73D0D598" w14:textId="77777777" w:rsidR="00F849A7" w:rsidRPr="00D9348B" w:rsidRDefault="00F849A7" w:rsidP="00F849A7">
      <w:pPr>
        <w:keepNext/>
        <w:spacing w:before="100" w:after="120"/>
        <w:ind w:left="964" w:hanging="964"/>
        <w:rPr>
          <w:rFonts w:cs="Calibri"/>
        </w:rPr>
      </w:pPr>
      <w:r w:rsidRPr="00D9348B">
        <w:rPr>
          <w:rFonts w:cs="Calibri"/>
        </w:rPr>
        <w:tab/>
        <w:t>EF</w:t>
      </w:r>
      <w:r w:rsidRPr="00D9348B">
        <w:rPr>
          <w:rFonts w:cs="Calibri"/>
          <w:vertAlign w:val="subscript"/>
        </w:rPr>
        <w:t>1</w:t>
      </w:r>
      <w:r w:rsidRPr="00D9348B">
        <w:rPr>
          <w:rFonts w:cs="Calibri"/>
        </w:rPr>
        <w:t xml:space="preserve"> is the proportion of direct N</w:t>
      </w:r>
      <w:r w:rsidRPr="00D9348B">
        <w:rPr>
          <w:rFonts w:cs="Calibri"/>
          <w:vertAlign w:val="subscript"/>
        </w:rPr>
        <w:t>2</w:t>
      </w:r>
      <w:r w:rsidRPr="00D9348B">
        <w:rPr>
          <w:rFonts w:cs="Calibri"/>
        </w:rPr>
        <w:t>O emissions from nitrogen input to the soil (0.01; table 5.5.2).</w:t>
      </w:r>
    </w:p>
    <w:p w14:paraId="2D9F30BD" w14:textId="77777777" w:rsidR="00F849A7" w:rsidRPr="00D9348B" w:rsidRDefault="00F849A7" w:rsidP="00F849A7">
      <w:pPr>
        <w:pStyle w:val="BodyText"/>
        <w:spacing w:before="100" w:after="100"/>
        <w:rPr>
          <w:rFonts w:cs="Calibri"/>
        </w:rPr>
      </w:pPr>
      <w:r w:rsidRPr="00D9348B">
        <w:rPr>
          <w:rFonts w:cs="Calibri"/>
        </w:rPr>
        <w:t>Data on synthetic fertiliser use are provided by the Fertiliser Association of New Zealand from sales records for 1990 to 2018.</w:t>
      </w:r>
    </w:p>
    <w:p w14:paraId="4F1D9AB3" w14:textId="6AD8577F" w:rsidR="00F849A7" w:rsidRPr="00D9348B" w:rsidRDefault="00F849A7" w:rsidP="00F849A7">
      <w:pPr>
        <w:pStyle w:val="BodyText"/>
        <w:spacing w:before="100" w:after="100"/>
        <w:rPr>
          <w:rFonts w:cs="Calibri"/>
        </w:rPr>
      </w:pPr>
      <w:r w:rsidRPr="00D9348B">
        <w:rPr>
          <w:rFonts w:cs="Calibri"/>
        </w:rPr>
        <w:t xml:space="preserve">The </w:t>
      </w:r>
      <w:proofErr w:type="gramStart"/>
      <w:r w:rsidRPr="00D9348B">
        <w:rPr>
          <w:rFonts w:cs="Calibri"/>
        </w:rPr>
        <w:t>EF</w:t>
      </w:r>
      <w:r w:rsidRPr="00D9348B">
        <w:rPr>
          <w:rFonts w:cs="Calibri"/>
          <w:vertAlign w:val="subscript"/>
        </w:rPr>
        <w:t>1(</w:t>
      </w:r>
      <w:proofErr w:type="gramEnd"/>
      <w:r w:rsidRPr="00D9348B">
        <w:rPr>
          <w:rFonts w:cs="Calibri"/>
          <w:vertAlign w:val="subscript"/>
        </w:rPr>
        <w:t>UREA)</w:t>
      </w:r>
      <w:r w:rsidRPr="00D9348B">
        <w:rPr>
          <w:rFonts w:cs="Calibri"/>
        </w:rPr>
        <w:t xml:space="preserve"> value was changed to 0.0059 in 2017, following a meeting of the Agriculture Inventory Advisory Panel in 2016. The Panel agreed that the value of 0.0059, based on the research by van der Weerden et al</w:t>
      </w:r>
      <w:r w:rsidR="00B961F6" w:rsidRPr="00D9348B">
        <w:rPr>
          <w:rFonts w:cs="Calibri"/>
        </w:rPr>
        <w:t>.</w:t>
      </w:r>
      <w:r w:rsidRPr="00D9348B">
        <w:rPr>
          <w:rFonts w:cs="Calibri"/>
        </w:rPr>
        <w:t xml:space="preserve"> (2016a), was more representative of New Zealand farming practices and conditions, where only small (30–50 kg N/ha/application) urea dressings are applied but on several occasions during a year. The lower value of EF</w:t>
      </w:r>
      <w:r w:rsidRPr="00D9348B">
        <w:rPr>
          <w:rFonts w:cs="Calibri"/>
          <w:vertAlign w:val="subscript"/>
        </w:rPr>
        <w:t>1(UREA)</w:t>
      </w:r>
      <w:r w:rsidRPr="00D9348B">
        <w:rPr>
          <w:rFonts w:cs="Calibri"/>
        </w:rPr>
        <w:t>, compared with the IPCC default of 1 per cent, is comparable with studies conducted in Australia (Chen et al., 2010; Galbally et al., 2005) and the Netherlands (Kuikman et al., 2006), which have found EF</w:t>
      </w:r>
      <w:r w:rsidRPr="00D9348B">
        <w:rPr>
          <w:rFonts w:cs="Calibri"/>
          <w:vertAlign w:val="subscript"/>
        </w:rPr>
        <w:t>1</w:t>
      </w:r>
      <w:r w:rsidRPr="00D9348B">
        <w:rPr>
          <w:rFonts w:cs="Calibri"/>
        </w:rPr>
        <w:t xml:space="preserve"> urea fertiliser values of approximately 0.5 per cent. </w:t>
      </w:r>
    </w:p>
    <w:p w14:paraId="3DC4AF47" w14:textId="77777777" w:rsidR="00F849A7" w:rsidRPr="00D9348B" w:rsidRDefault="00F849A7" w:rsidP="00F849A7">
      <w:pPr>
        <w:pStyle w:val="BodyText"/>
        <w:spacing w:before="100" w:after="100"/>
        <w:rPr>
          <w:rFonts w:cs="Calibri"/>
        </w:rPr>
      </w:pPr>
      <w:r w:rsidRPr="00D9348B">
        <w:rPr>
          <w:rFonts w:cs="Calibri"/>
        </w:rPr>
        <w:t>Since 1990, there has been a large increase in nitrogen</w:t>
      </w:r>
      <w:r w:rsidRPr="00D9348B" w:rsidDel="00384723">
        <w:rPr>
          <w:rFonts w:cs="Calibri"/>
        </w:rPr>
        <w:t xml:space="preserve"> </w:t>
      </w:r>
      <w:r w:rsidRPr="00D9348B">
        <w:rPr>
          <w:rFonts w:cs="Calibri"/>
        </w:rPr>
        <w:t xml:space="preserve">applied through synthetic fertiliser, from 59,265 tonnes in 1990 to 457,800 tonnes in 2018 (see figure 5.5.2). At the same time, the proportion of urea fertiliser applied has increased from just over 40 per cent to more than 80 per cent of all synthetic nitrogen fertiliser (see figure 5.5.3). </w:t>
      </w:r>
    </w:p>
    <w:p w14:paraId="3D850000" w14:textId="77777777" w:rsidR="00F849A7" w:rsidRPr="00D9348B" w:rsidRDefault="00F849A7" w:rsidP="00F849A7">
      <w:pPr>
        <w:pStyle w:val="Figure"/>
        <w:rPr>
          <w:rFonts w:cs="Calibri"/>
        </w:rPr>
      </w:pPr>
      <w:bookmarkStart w:id="886" w:name="_Toc447275696"/>
      <w:bookmarkStart w:id="887" w:name="_Toc481752015"/>
      <w:bookmarkStart w:id="888" w:name="_Toc507158474"/>
      <w:bookmarkStart w:id="889" w:name="_Toc511116965"/>
      <w:bookmarkStart w:id="890" w:name="_Toc5269695"/>
      <w:bookmarkStart w:id="891" w:name="_Toc32570966"/>
      <w:bookmarkStart w:id="892" w:name="_Toc36292796"/>
      <w:r w:rsidRPr="00D9348B">
        <w:rPr>
          <w:rFonts w:cs="Calibri"/>
        </w:rPr>
        <w:t>Figure 5.5.2</w:t>
      </w:r>
      <w:r w:rsidRPr="00D9348B">
        <w:rPr>
          <w:rFonts w:cs="Calibri"/>
        </w:rPr>
        <w:tab/>
        <w:t>Synthetic nitrogen fertiliser use in New Zealand from 1990 to </w:t>
      </w:r>
      <w:bookmarkEnd w:id="886"/>
      <w:bookmarkEnd w:id="887"/>
      <w:bookmarkEnd w:id="888"/>
      <w:bookmarkEnd w:id="889"/>
      <w:bookmarkEnd w:id="890"/>
      <w:r w:rsidRPr="00D9348B">
        <w:rPr>
          <w:rFonts w:cs="Calibri"/>
          <w:color w:val="000000"/>
        </w:rPr>
        <w:t>2018</w:t>
      </w:r>
      <w:bookmarkEnd w:id="891"/>
      <w:bookmarkEnd w:id="892"/>
    </w:p>
    <w:p w14:paraId="325DC53C" w14:textId="46780120" w:rsidR="00F849A7" w:rsidRPr="00D9348B" w:rsidRDefault="007165CF" w:rsidP="00F849A7">
      <w:pPr>
        <w:pStyle w:val="BodyText"/>
        <w:spacing w:before="0" w:after="60"/>
        <w:rPr>
          <w:rFonts w:cs="Calibri"/>
        </w:rPr>
      </w:pPr>
      <w:r>
        <w:rPr>
          <w:rFonts w:cs="Calibri"/>
        </w:rPr>
        <w:pict w14:anchorId="5625A7CB">
          <v:shape id="_x0000_i1093" type="#_x0000_t75" style="width:423.85pt;height:246.7pt;visibility:visible">
            <v:imagedata r:id="rId142" o:title=""/>
            <o:lock v:ext="edit" aspectratio="f"/>
          </v:shape>
        </w:pict>
      </w:r>
      <w:r w:rsidR="00F849A7" w:rsidRPr="00D9348B" w:rsidDel="00496D60">
        <w:rPr>
          <w:rFonts w:cs="Calibri"/>
        </w:rPr>
        <w:t xml:space="preserve"> </w:t>
      </w:r>
      <w:bookmarkStart w:id="893" w:name="_MON_1605429256"/>
      <w:bookmarkEnd w:id="893"/>
    </w:p>
    <w:p w14:paraId="52646257" w14:textId="77777777" w:rsidR="00F849A7" w:rsidRPr="00D9348B" w:rsidRDefault="00F849A7" w:rsidP="00F849A7">
      <w:pPr>
        <w:pStyle w:val="Source"/>
        <w:rPr>
          <w:rFonts w:cs="Calibri"/>
        </w:rPr>
      </w:pPr>
      <w:r w:rsidRPr="00D9348B">
        <w:rPr>
          <w:rFonts w:cs="Calibri"/>
          <w:b/>
          <w:bCs/>
        </w:rPr>
        <w:t xml:space="preserve">Source: </w:t>
      </w:r>
      <w:r w:rsidRPr="00D9348B">
        <w:rPr>
          <w:rFonts w:cs="Calibri"/>
        </w:rPr>
        <w:t>Fertiliser Association of New Zealand</w:t>
      </w:r>
    </w:p>
    <w:p w14:paraId="701D91BF" w14:textId="77777777" w:rsidR="00F849A7" w:rsidRPr="00D9348B" w:rsidRDefault="00F849A7" w:rsidP="00F849A7">
      <w:pPr>
        <w:pStyle w:val="Figure"/>
        <w:spacing w:before="360"/>
        <w:ind w:left="0" w:firstLine="0"/>
        <w:rPr>
          <w:rFonts w:cs="Calibri"/>
        </w:rPr>
      </w:pPr>
      <w:bookmarkStart w:id="894" w:name="_Toc447275697"/>
      <w:bookmarkStart w:id="895" w:name="_Toc481752016"/>
      <w:bookmarkStart w:id="896" w:name="_Toc507158475"/>
      <w:bookmarkStart w:id="897" w:name="_Toc511116966"/>
      <w:bookmarkStart w:id="898" w:name="_Toc5269696"/>
      <w:bookmarkStart w:id="899" w:name="_Toc32570967"/>
      <w:bookmarkStart w:id="900" w:name="_Toc36292797"/>
      <w:r w:rsidRPr="00D9348B">
        <w:rPr>
          <w:rFonts w:cs="Calibri"/>
        </w:rPr>
        <w:lastRenderedPageBreak/>
        <w:t>Figure 5.5.3</w:t>
      </w:r>
      <w:r w:rsidRPr="00D9348B">
        <w:rPr>
          <w:rFonts w:cs="Calibri"/>
        </w:rPr>
        <w:tab/>
        <w:t>Percentage of synthetic nitrogen fertiliser derived from urea from 1990 to</w:t>
      </w:r>
      <w:bookmarkEnd w:id="894"/>
      <w:bookmarkEnd w:id="895"/>
      <w:r w:rsidRPr="00D9348B">
        <w:rPr>
          <w:rFonts w:cs="Calibri"/>
        </w:rPr>
        <w:t> </w:t>
      </w:r>
      <w:bookmarkEnd w:id="896"/>
      <w:bookmarkEnd w:id="897"/>
      <w:bookmarkEnd w:id="898"/>
      <w:r w:rsidRPr="00D9348B">
        <w:rPr>
          <w:rFonts w:cs="Calibri"/>
        </w:rPr>
        <w:t>2018</w:t>
      </w:r>
      <w:bookmarkEnd w:id="899"/>
      <w:bookmarkEnd w:id="900"/>
    </w:p>
    <w:p w14:paraId="396D4D0A" w14:textId="50EBB261" w:rsidR="00F849A7" w:rsidRPr="00D9348B" w:rsidRDefault="007165CF" w:rsidP="00F849A7">
      <w:pPr>
        <w:pStyle w:val="BodyText"/>
        <w:spacing w:before="0" w:after="60"/>
        <w:rPr>
          <w:rFonts w:cs="Calibri"/>
        </w:rPr>
      </w:pPr>
      <w:r>
        <w:rPr>
          <w:rFonts w:cs="Calibri"/>
        </w:rPr>
        <w:pict w14:anchorId="1123E887">
          <v:shape id="_x0000_i1094" type="#_x0000_t75" style="width:423.85pt;height:232.3pt;visibility:visible">
            <v:imagedata r:id="rId143" o:title=""/>
            <o:lock v:ext="edit" aspectratio="f"/>
          </v:shape>
        </w:pict>
      </w:r>
      <w:r w:rsidR="00F849A7" w:rsidRPr="00D9348B" w:rsidDel="00496D60">
        <w:rPr>
          <w:rFonts w:cs="Calibri"/>
        </w:rPr>
        <w:t xml:space="preserve"> </w:t>
      </w:r>
    </w:p>
    <w:p w14:paraId="31314DD4" w14:textId="77777777" w:rsidR="00F849A7" w:rsidRPr="00D9348B" w:rsidRDefault="00F849A7" w:rsidP="00F849A7">
      <w:pPr>
        <w:pStyle w:val="Source"/>
        <w:rPr>
          <w:rFonts w:cs="Calibri"/>
        </w:rPr>
      </w:pPr>
      <w:r w:rsidRPr="00D9348B">
        <w:rPr>
          <w:rFonts w:cs="Calibri"/>
          <w:b/>
          <w:bCs/>
        </w:rPr>
        <w:t>Sources:</w:t>
      </w:r>
      <w:r w:rsidRPr="00D9348B">
        <w:rPr>
          <w:rFonts w:cs="Calibri"/>
        </w:rPr>
        <w:t xml:space="preserve"> International Fertiliser Industry Association, Fertiliser Association of New Zealand</w:t>
      </w:r>
    </w:p>
    <w:p w14:paraId="4B8385A6" w14:textId="77777777" w:rsidR="00F849A7" w:rsidRPr="00D9348B" w:rsidRDefault="00F849A7" w:rsidP="00F849A7">
      <w:pPr>
        <w:pStyle w:val="BodyText"/>
        <w:spacing w:before="160"/>
        <w:rPr>
          <w:rFonts w:cs="Calibri"/>
        </w:rPr>
      </w:pPr>
      <w:r w:rsidRPr="00D9348B">
        <w:rPr>
          <w:rFonts w:cs="Calibri"/>
        </w:rPr>
        <w:t>The increase in synthetic nitrogen fertiliser use since 1990 has resulted in an increase in emissions from this category, from 230.3 kt CO</w:t>
      </w:r>
      <w:r w:rsidRPr="00D9348B">
        <w:rPr>
          <w:rFonts w:cs="Calibri"/>
          <w:vertAlign w:val="subscript"/>
        </w:rPr>
        <w:t>2</w:t>
      </w:r>
      <w:r w:rsidRPr="00D9348B">
        <w:rPr>
          <w:rFonts w:cs="Calibri"/>
        </w:rPr>
        <w:t>-e in 1990 (0.7 per cent of total agricultural emissions) to 1,411.3 kt CO</w:t>
      </w:r>
      <w:r w:rsidRPr="00D9348B">
        <w:rPr>
          <w:rFonts w:cs="Calibri"/>
          <w:vertAlign w:val="subscript"/>
        </w:rPr>
        <w:t>2</w:t>
      </w:r>
      <w:r w:rsidRPr="00D9348B">
        <w:rPr>
          <w:rFonts w:cs="Calibri"/>
        </w:rPr>
        <w:noBreakHyphen/>
        <w:t xml:space="preserve">e in 2018 (3.7 per cent of agricultural emissions). </w:t>
      </w:r>
    </w:p>
    <w:p w14:paraId="0FAAFDA9" w14:textId="77777777" w:rsidR="00F849A7" w:rsidRPr="00D9348B" w:rsidRDefault="00F849A7" w:rsidP="00F849A7">
      <w:pPr>
        <w:pStyle w:val="Heading5"/>
        <w:rPr>
          <w:rFonts w:cs="Calibri"/>
        </w:rPr>
      </w:pPr>
      <w:r w:rsidRPr="00D9348B">
        <w:rPr>
          <w:rFonts w:cs="Calibri"/>
        </w:rPr>
        <w:t>Organic nitrogen fertilisers (CRF 3.D.1.2)</w:t>
      </w:r>
    </w:p>
    <w:p w14:paraId="2DD1F365" w14:textId="77777777" w:rsidR="00F849A7" w:rsidRPr="00D9348B" w:rsidRDefault="00F849A7" w:rsidP="00F849A7">
      <w:pPr>
        <w:pStyle w:val="BodyText"/>
        <w:spacing w:before="100" w:after="100"/>
        <w:rPr>
          <w:rFonts w:cs="Calibri"/>
        </w:rPr>
      </w:pPr>
      <w:r w:rsidRPr="00D9348B">
        <w:rPr>
          <w:rFonts w:cs="Calibri"/>
        </w:rPr>
        <w:t>In New Zealand, emissions from organic nitrogen fertilisers are solely from animal manure that is spread on pasture after collection in manure management systems. Most animal manure in New Zealand is excreted directly onto pasture, but some manure from dairy farms is collected in manure management systems and applied to soils as an organic fertiliser (see table 5.3.2). Some manure is also collected but not stored; rather, it is spread directly onto pasture daily (e.g., swine manure and some dairy manure). The emissions calculation in this sub-category (organic nitrogen fertilisers) excludes manure deposited directly on pasture by grazing livestock, which is covered in the next section (urine and dung deposited by grazing animals (CRF 3.D.1.3)). Animal manure is not used for feed, fuel or construction in New Zealand.</w:t>
      </w:r>
    </w:p>
    <w:p w14:paraId="6A73299A" w14:textId="77777777" w:rsidR="00F849A7" w:rsidRPr="00D9348B" w:rsidRDefault="00F849A7" w:rsidP="00F849A7">
      <w:pPr>
        <w:pStyle w:val="BodyText"/>
        <w:spacing w:before="100" w:after="100"/>
        <w:rPr>
          <w:rFonts w:cs="Calibri"/>
        </w:rPr>
      </w:pPr>
      <w:r w:rsidRPr="00D9348B">
        <w:rPr>
          <w:rFonts w:cs="Calibri"/>
        </w:rPr>
        <w:t>New Zealand has developed a country-specific emission factor for dairy cattle manure applied to soils of 0.0025 (van der Weerden et al., 2016a, 2016b). This value was based on a meta-analysis of field trials carried out in New Zealand that measured emissions from dairy cattle manure on soil. This emission factor was changed to 0.0025 in 2017, following a meeting of the Agriculture Inventory Advisory Panel in 2016. The Panel agreed that the new value was more representative of New Zealand farming practices and conditions. Given that dairy cattle manure is a mixture of urine and dung (combined with water), the value of 0.0025 is consistent with the EF</w:t>
      </w:r>
      <w:r w:rsidRPr="00D9348B">
        <w:rPr>
          <w:rFonts w:cs="Calibri"/>
          <w:vertAlign w:val="subscript"/>
        </w:rPr>
        <w:t>3</w:t>
      </w:r>
      <w:r w:rsidRPr="00D9348B">
        <w:rPr>
          <w:rFonts w:cs="Calibri"/>
        </w:rPr>
        <w:t xml:space="preserve"> emission factor values used in New Zealand for dairy cattle urine (0.0098) and dung (0.0012) (van der Weerden et al., 2016a). Direct N</w:t>
      </w:r>
      <w:r w:rsidRPr="00D9348B">
        <w:rPr>
          <w:rFonts w:cs="Calibri"/>
          <w:vertAlign w:val="subscript"/>
        </w:rPr>
        <w:t>2</w:t>
      </w:r>
      <w:r w:rsidRPr="00D9348B">
        <w:rPr>
          <w:rFonts w:cs="Calibri"/>
        </w:rPr>
        <w:t>O emissions from organic fertiliser (dairy cattle manure) in 2018 (using the EF of 0.0025) were 0.147 kilotonnes of N</w:t>
      </w:r>
      <w:r w:rsidRPr="00D9348B">
        <w:rPr>
          <w:rFonts w:cs="Calibri"/>
          <w:vertAlign w:val="subscript"/>
        </w:rPr>
        <w:t>2</w:t>
      </w:r>
      <w:r w:rsidRPr="00D9348B">
        <w:rPr>
          <w:rFonts w:cs="Calibri"/>
        </w:rPr>
        <w:t>O. If the IPCC emission factor was used, estimated direct N</w:t>
      </w:r>
      <w:r w:rsidRPr="00D9348B">
        <w:rPr>
          <w:rFonts w:cs="Calibri"/>
          <w:vertAlign w:val="subscript"/>
        </w:rPr>
        <w:t>2</w:t>
      </w:r>
      <w:r w:rsidRPr="00D9348B">
        <w:rPr>
          <w:rFonts w:cs="Calibri"/>
        </w:rPr>
        <w:t>O emissions from organic fertiliser (dairy cattle manure) would be 0.589 kilotonnes of N</w:t>
      </w:r>
      <w:r w:rsidRPr="00D9348B">
        <w:rPr>
          <w:rFonts w:cs="Calibri"/>
          <w:vertAlign w:val="subscript"/>
        </w:rPr>
        <w:t>2</w:t>
      </w:r>
      <w:r w:rsidRPr="00D9348B">
        <w:rPr>
          <w:rFonts w:cs="Calibri"/>
        </w:rPr>
        <w:t>O.</w:t>
      </w:r>
    </w:p>
    <w:p w14:paraId="5F0FF6D3" w14:textId="77777777" w:rsidR="00F849A7" w:rsidRPr="00D9348B" w:rsidRDefault="00F849A7" w:rsidP="00F849A7">
      <w:pPr>
        <w:pStyle w:val="BodyText"/>
        <w:spacing w:before="100" w:after="100"/>
        <w:rPr>
          <w:rFonts w:cs="Calibri"/>
        </w:rPr>
      </w:pPr>
      <w:r w:rsidRPr="00D9348B">
        <w:rPr>
          <w:rFonts w:cs="Calibri"/>
        </w:rPr>
        <w:t>Manure from poultry and swine spread onto soil has an emission factor of 0.01, which is consistent with the IPCC default.</w:t>
      </w:r>
    </w:p>
    <w:p w14:paraId="027CDC7D" w14:textId="77777777" w:rsidR="00F849A7" w:rsidRPr="00D9348B" w:rsidRDefault="00F849A7" w:rsidP="00F849A7">
      <w:pPr>
        <w:pStyle w:val="BodyText"/>
        <w:spacing w:before="100" w:after="100"/>
        <w:rPr>
          <w:rFonts w:cs="Calibri"/>
        </w:rPr>
      </w:pPr>
      <w:r w:rsidRPr="00D9348B">
        <w:rPr>
          <w:rFonts w:cs="Calibri"/>
        </w:rPr>
        <w:lastRenderedPageBreak/>
        <w:t>The following equation is used to determine direct N</w:t>
      </w:r>
      <w:r w:rsidRPr="00D9348B">
        <w:rPr>
          <w:rFonts w:cs="Calibri"/>
          <w:vertAlign w:val="subscript"/>
        </w:rPr>
        <w:t>2</w:t>
      </w:r>
      <w:r w:rsidRPr="00D9348B">
        <w:rPr>
          <w:rFonts w:cs="Calibri"/>
        </w:rPr>
        <w:t>O emissions from the application of animal manure to soil:</w:t>
      </w:r>
    </w:p>
    <w:bookmarkStart w:id="901" w:name="_MON_1543746072"/>
    <w:bookmarkEnd w:id="901"/>
    <w:p w14:paraId="0B23671A" w14:textId="77777777" w:rsidR="00F849A7" w:rsidRPr="00D9348B" w:rsidRDefault="00F849A7" w:rsidP="00F849A7">
      <w:pPr>
        <w:pStyle w:val="BodyText"/>
        <w:spacing w:before="0" w:after="80"/>
        <w:jc w:val="center"/>
        <w:rPr>
          <w:rFonts w:cs="Calibri"/>
        </w:rPr>
      </w:pPr>
      <w:r w:rsidRPr="00D9348B">
        <w:rPr>
          <w:rFonts w:cs="Calibri"/>
        </w:rPr>
        <w:object w:dxaOrig="6524" w:dyaOrig="450" w14:anchorId="3D73EE44">
          <v:shape id="_x0000_i1095" type="#_x0000_t75" style="width:323.05pt;height:21.9pt" o:ole="">
            <v:imagedata r:id="rId144" o:title="" cropright="6115f"/>
          </v:shape>
          <o:OLEObject Type="Embed" ProgID="Word.Document.12" ShapeID="_x0000_i1095" DrawAspect="Content" ObjectID="_1647932327" r:id="rId145">
            <o:FieldCodes>\s</o:FieldCodes>
          </o:OLEObject>
        </w:object>
      </w:r>
    </w:p>
    <w:p w14:paraId="6837130F" w14:textId="77777777" w:rsidR="00F849A7" w:rsidRPr="00D9348B" w:rsidRDefault="00F849A7" w:rsidP="00F849A7">
      <w:pPr>
        <w:spacing w:before="80"/>
        <w:ind w:left="964" w:hanging="964"/>
        <w:rPr>
          <w:rFonts w:cs="Calibri"/>
          <w:spacing w:val="-2"/>
        </w:rPr>
      </w:pPr>
      <w:r w:rsidRPr="00D9348B">
        <w:rPr>
          <w:rFonts w:cs="Calibri"/>
        </w:rPr>
        <w:t>Where:</w:t>
      </w:r>
      <w:r w:rsidRPr="00D9348B">
        <w:rPr>
          <w:rFonts w:cs="Calibri"/>
        </w:rPr>
        <w:tab/>
      </w:r>
      <w:r w:rsidRPr="00D9348B">
        <w:rPr>
          <w:rFonts w:cs="Calibri"/>
          <w:spacing w:val="-2"/>
        </w:rPr>
        <w:t>F</w:t>
      </w:r>
      <w:r w:rsidRPr="00D9348B">
        <w:rPr>
          <w:rFonts w:cs="Calibri"/>
          <w:spacing w:val="-2"/>
          <w:vertAlign w:val="subscript"/>
        </w:rPr>
        <w:t>AM</w:t>
      </w:r>
      <w:r w:rsidRPr="00D9348B">
        <w:rPr>
          <w:rFonts w:cs="Calibri"/>
          <w:spacing w:val="-2"/>
        </w:rPr>
        <w:t xml:space="preserve"> is the total amount of animal manure nitrogen (swine and poultry) applied to soils from manure management systems (other than pasture, range and paddock), which is derived as a fraction of the nitrogen excretion rates, </w:t>
      </w:r>
      <w:proofErr w:type="gramStart"/>
      <w:r w:rsidRPr="00D9348B">
        <w:rPr>
          <w:rFonts w:cs="Calibri"/>
          <w:spacing w:val="-2"/>
        </w:rPr>
        <w:t>N</w:t>
      </w:r>
      <w:r w:rsidRPr="00D9348B">
        <w:rPr>
          <w:rFonts w:cs="Calibri"/>
          <w:spacing w:val="-2"/>
          <w:vertAlign w:val="subscript"/>
        </w:rPr>
        <w:t>ex</w:t>
      </w:r>
      <w:proofErr w:type="gramEnd"/>
      <w:r w:rsidRPr="00D9348B">
        <w:rPr>
          <w:rFonts w:cs="Calibri"/>
          <w:spacing w:val="-2"/>
        </w:rPr>
        <w:t xml:space="preserve">, described in section 5.3.2 </w:t>
      </w:r>
    </w:p>
    <w:p w14:paraId="23E30347" w14:textId="77777777" w:rsidR="00F849A7" w:rsidRPr="00D9348B" w:rsidRDefault="00F849A7" w:rsidP="00F849A7">
      <w:pPr>
        <w:spacing w:before="100"/>
        <w:ind w:left="964" w:hanging="964"/>
        <w:rPr>
          <w:rFonts w:cs="Calibri"/>
        </w:rPr>
      </w:pPr>
      <w:r w:rsidRPr="00D9348B">
        <w:rPr>
          <w:rFonts w:cs="Calibri"/>
        </w:rPr>
        <w:tab/>
        <w:t>EF</w:t>
      </w:r>
      <w:r w:rsidRPr="00D9348B">
        <w:rPr>
          <w:rFonts w:cs="Calibri"/>
          <w:vertAlign w:val="subscript"/>
        </w:rPr>
        <w:t>1</w:t>
      </w:r>
      <w:r w:rsidRPr="00D9348B">
        <w:rPr>
          <w:rFonts w:cs="Calibri"/>
        </w:rPr>
        <w:t xml:space="preserve"> is the proportion of direct N</w:t>
      </w:r>
      <w:r w:rsidRPr="00D9348B">
        <w:rPr>
          <w:rFonts w:cs="Calibri"/>
          <w:vertAlign w:val="subscript"/>
        </w:rPr>
        <w:t>2</w:t>
      </w:r>
      <w:r w:rsidRPr="00D9348B">
        <w:rPr>
          <w:rFonts w:cs="Calibri"/>
        </w:rPr>
        <w:t>O emissions from animal manure (swine and poultry) applied to soils (0.01; table 5.5.2)</w:t>
      </w:r>
    </w:p>
    <w:p w14:paraId="5701875E" w14:textId="77777777" w:rsidR="00F849A7" w:rsidRPr="00D9348B" w:rsidRDefault="00F849A7" w:rsidP="00F849A7">
      <w:pPr>
        <w:spacing w:before="100"/>
        <w:ind w:left="964" w:hanging="964"/>
        <w:rPr>
          <w:rFonts w:cs="Calibri"/>
        </w:rPr>
      </w:pPr>
      <w:r w:rsidRPr="00D9348B">
        <w:rPr>
          <w:rFonts w:cs="Calibri"/>
        </w:rPr>
        <w:tab/>
      </w:r>
      <w:proofErr w:type="gramStart"/>
      <w:r w:rsidRPr="00D9348B">
        <w:rPr>
          <w:rFonts w:cs="Calibri"/>
        </w:rPr>
        <w:t>F</w:t>
      </w:r>
      <w:r w:rsidRPr="00D9348B">
        <w:rPr>
          <w:rFonts w:cs="Calibri"/>
          <w:vertAlign w:val="subscript"/>
        </w:rPr>
        <w:t>AM(</w:t>
      </w:r>
      <w:proofErr w:type="gramEnd"/>
      <w:r w:rsidRPr="00D9348B">
        <w:rPr>
          <w:rFonts w:cs="Calibri"/>
          <w:vertAlign w:val="subscript"/>
        </w:rPr>
        <w:t>DAIRY)</w:t>
      </w:r>
      <w:r w:rsidRPr="00D9348B">
        <w:rPr>
          <w:rFonts w:cs="Calibri"/>
        </w:rPr>
        <w:t xml:space="preserve"> is the total amount of animal manure nitrogen (dairy) applied to soils from manure management systems (other than pasture, range and paddock), which is derived as a fraction of the nitrogen excretion rates, Nex, described in section 5.3.2, and</w:t>
      </w:r>
    </w:p>
    <w:p w14:paraId="70B31369" w14:textId="77777777" w:rsidR="00F849A7" w:rsidRPr="00D9348B" w:rsidDel="00380393" w:rsidRDefault="00F849A7" w:rsidP="00F849A7">
      <w:pPr>
        <w:spacing w:before="100" w:after="120"/>
        <w:ind w:left="964" w:hanging="964"/>
        <w:rPr>
          <w:rFonts w:cs="Calibri"/>
        </w:rPr>
      </w:pPr>
      <w:r w:rsidRPr="00D9348B">
        <w:rPr>
          <w:rFonts w:cs="Calibri"/>
        </w:rPr>
        <w:tab/>
      </w:r>
      <w:proofErr w:type="gramStart"/>
      <w:r w:rsidRPr="00D9348B">
        <w:rPr>
          <w:rFonts w:cs="Calibri"/>
        </w:rPr>
        <w:t>EF</w:t>
      </w:r>
      <w:r w:rsidRPr="00D9348B">
        <w:rPr>
          <w:rFonts w:cs="Calibri"/>
          <w:vertAlign w:val="subscript"/>
        </w:rPr>
        <w:t>1(</w:t>
      </w:r>
      <w:proofErr w:type="gramEnd"/>
      <w:r w:rsidRPr="00D9348B">
        <w:rPr>
          <w:rFonts w:cs="Calibri"/>
          <w:vertAlign w:val="subscript"/>
        </w:rPr>
        <w:t>DAIRY)</w:t>
      </w:r>
      <w:r w:rsidRPr="00D9348B">
        <w:rPr>
          <w:rFonts w:cs="Calibri"/>
        </w:rPr>
        <w:t xml:space="preserve"> is the proportion of direct N</w:t>
      </w:r>
      <w:r w:rsidRPr="00D9348B">
        <w:rPr>
          <w:rFonts w:cs="Calibri"/>
          <w:vertAlign w:val="subscript"/>
        </w:rPr>
        <w:t>2</w:t>
      </w:r>
      <w:r w:rsidRPr="00D9348B">
        <w:rPr>
          <w:rFonts w:cs="Calibri"/>
        </w:rPr>
        <w:t>O emissions from animal manure (dairy cattle) applied to soils (0.0025; table 5.5.2)</w:t>
      </w:r>
      <w:r w:rsidRPr="00D9348B" w:rsidDel="00380393">
        <w:rPr>
          <w:rFonts w:cs="Calibri"/>
        </w:rPr>
        <w:t xml:space="preserve">. </w:t>
      </w:r>
    </w:p>
    <w:p w14:paraId="20FCA36D" w14:textId="77777777" w:rsidR="00F849A7" w:rsidRPr="00D9348B" w:rsidRDefault="00F849A7" w:rsidP="00F849A7">
      <w:pPr>
        <w:pStyle w:val="BodyText"/>
        <w:spacing w:before="100" w:after="100"/>
        <w:rPr>
          <w:rFonts w:cs="Calibri"/>
        </w:rPr>
      </w:pPr>
      <w:r w:rsidRPr="00D9348B">
        <w:rPr>
          <w:rFonts w:cs="Calibri"/>
        </w:rPr>
        <w:t xml:space="preserve">The IPCC Guidelines (IPCC, 2006) recommend that non-manure components of organic nitrogen applied to agricultural soils, such as compost sewage sludge and rendering waste, are included under organic fertilisers. New Zealand commissioned research on sources of organic waste and found that these activities are not significant for New Zealand (van der Weerden et al., 2014). They account for approximately 0.025 per cent of national gross greenhouse gas emissions and, therefore, this category has been reported as ‘not estimated’ (NE). </w:t>
      </w:r>
    </w:p>
    <w:p w14:paraId="17163EE1" w14:textId="77777777" w:rsidR="00F849A7" w:rsidRPr="00D9348B" w:rsidRDefault="00F849A7" w:rsidP="00F849A7">
      <w:pPr>
        <w:pStyle w:val="BodyText"/>
        <w:spacing w:before="100" w:after="100"/>
        <w:rPr>
          <w:rFonts w:cs="Calibri"/>
        </w:rPr>
      </w:pPr>
      <w:r w:rsidRPr="00D9348B">
        <w:rPr>
          <w:rFonts w:cs="Calibri"/>
        </w:rPr>
        <w:t>The research assessed a range of potential sources including dairy processing wastewater, compost sold to the rural sector, blood and bone fertiliser, meat processing wastewater and sludge, grape marc from the wine industry, vegetable processing wastewater and sewage sludge applied to land. No brewery waste is applied to soils in New Zealand because spent yeast is used in the food industry to manufacture a yeast spread.</w:t>
      </w:r>
    </w:p>
    <w:p w14:paraId="4B76ECA5" w14:textId="2F77EF45" w:rsidR="00F849A7" w:rsidRPr="00D9348B" w:rsidDel="00A405B4" w:rsidRDefault="00F849A7" w:rsidP="00F849A7">
      <w:pPr>
        <w:pStyle w:val="BodyText"/>
        <w:spacing w:before="100" w:after="100"/>
        <w:rPr>
          <w:rFonts w:cs="Calibri"/>
        </w:rPr>
      </w:pPr>
      <w:r w:rsidRPr="00D9348B">
        <w:rPr>
          <w:rFonts w:cs="Calibri"/>
        </w:rPr>
        <w:t>Because most livestock manure in New Zealand is excreted directly onto pasture, emissions from the organic nitrogen fertilisers category are relatively small. In 2018, N</w:t>
      </w:r>
      <w:r w:rsidRPr="00D9348B">
        <w:rPr>
          <w:rFonts w:cs="Calibri"/>
          <w:vertAlign w:val="subscript"/>
        </w:rPr>
        <w:t>2</w:t>
      </w:r>
      <w:r w:rsidRPr="00D9348B">
        <w:rPr>
          <w:rFonts w:cs="Calibri"/>
        </w:rPr>
        <w:t>O emissions from this source contributed 79.1 kt CO</w:t>
      </w:r>
      <w:r w:rsidRPr="00D9348B">
        <w:rPr>
          <w:rFonts w:cs="Calibri"/>
          <w:vertAlign w:val="subscript"/>
        </w:rPr>
        <w:t>2</w:t>
      </w:r>
      <w:r w:rsidRPr="00D9348B">
        <w:rPr>
          <w:rFonts w:cs="Calibri"/>
        </w:rPr>
        <w:t xml:space="preserve">-e (1.1 per cent of emissions from </w:t>
      </w:r>
      <w:r w:rsidRPr="00D9348B">
        <w:rPr>
          <w:rFonts w:cs="Calibri"/>
          <w:i/>
          <w:iCs/>
        </w:rPr>
        <w:t>Agricultural soils</w:t>
      </w:r>
      <w:r w:rsidRPr="00D9348B">
        <w:rPr>
          <w:rFonts w:cs="Calibri"/>
        </w:rPr>
        <w:t>, and 0.2 per cent of total agricultural emissions). This is an increase of 42.2 kt CO</w:t>
      </w:r>
      <w:r w:rsidRPr="00D9348B">
        <w:rPr>
          <w:rFonts w:cs="Calibri"/>
          <w:vertAlign w:val="subscript"/>
        </w:rPr>
        <w:t>2</w:t>
      </w:r>
      <w:r w:rsidRPr="00D9348B">
        <w:rPr>
          <w:rFonts w:cs="Calibri"/>
        </w:rPr>
        <w:t>-e (114.6</w:t>
      </w:r>
      <w:r w:rsidR="0036324D" w:rsidRPr="00D9348B">
        <w:rPr>
          <w:rFonts w:cs="Calibri"/>
        </w:rPr>
        <w:t> </w:t>
      </w:r>
      <w:r w:rsidRPr="00D9348B">
        <w:rPr>
          <w:rFonts w:cs="Calibri"/>
        </w:rPr>
        <w:t>per cent) from the 1990 level of 36.8 kt CO</w:t>
      </w:r>
      <w:r w:rsidRPr="00D9348B">
        <w:rPr>
          <w:rFonts w:cs="Calibri"/>
          <w:vertAlign w:val="subscript"/>
        </w:rPr>
        <w:t>2</w:t>
      </w:r>
      <w:r w:rsidRPr="00D9348B">
        <w:rPr>
          <w:rFonts w:cs="Calibri"/>
        </w:rPr>
        <w:t xml:space="preserve">-e. </w:t>
      </w:r>
    </w:p>
    <w:p w14:paraId="2C61448B" w14:textId="77777777" w:rsidR="00F849A7" w:rsidRPr="00D9348B" w:rsidRDefault="00F849A7" w:rsidP="00F849A7">
      <w:pPr>
        <w:pStyle w:val="Heading5"/>
        <w:rPr>
          <w:rFonts w:cs="Calibri"/>
        </w:rPr>
      </w:pPr>
      <w:r w:rsidRPr="00D9348B">
        <w:rPr>
          <w:rFonts w:cs="Calibri"/>
        </w:rPr>
        <w:t>Urine and dung deposited by grazing animals (CRF 3.D.1.3)</w:t>
      </w:r>
    </w:p>
    <w:p w14:paraId="2A8F50BB" w14:textId="77777777" w:rsidR="00F849A7" w:rsidRPr="00D9348B" w:rsidRDefault="00F849A7" w:rsidP="00F849A7">
      <w:pPr>
        <w:pStyle w:val="BodyText"/>
        <w:spacing w:after="100"/>
        <w:rPr>
          <w:rFonts w:cs="Calibri"/>
        </w:rPr>
      </w:pPr>
      <w:r w:rsidRPr="00D9348B">
        <w:rPr>
          <w:rFonts w:cs="Calibri"/>
        </w:rPr>
        <w:t xml:space="preserve">Most livestock in New Zealand are grazed outdoors on pasture, with around 92.7 per cent of dairy cattle excreta and 100 per cent of non-dairy cattle, sheep, deer and other livestock excreta deposited on pasture (see table 5.3.2). </w:t>
      </w:r>
    </w:p>
    <w:p w14:paraId="5718CD4E" w14:textId="77777777" w:rsidR="00F849A7" w:rsidRPr="00D9348B" w:rsidRDefault="00F849A7" w:rsidP="00F849A7">
      <w:pPr>
        <w:pStyle w:val="BodyText"/>
        <w:spacing w:before="100" w:after="100"/>
        <w:rPr>
          <w:rFonts w:cs="Calibri"/>
        </w:rPr>
      </w:pPr>
      <w:r w:rsidRPr="00D9348B">
        <w:rPr>
          <w:rFonts w:cs="Calibri"/>
        </w:rPr>
        <w:t>The following equations are used to determine direct N</w:t>
      </w:r>
      <w:r w:rsidRPr="00D9348B">
        <w:rPr>
          <w:rFonts w:cs="Calibri"/>
          <w:vertAlign w:val="subscript"/>
        </w:rPr>
        <w:t>2</w:t>
      </w:r>
      <w:r w:rsidRPr="00D9348B">
        <w:rPr>
          <w:rFonts w:cs="Calibri"/>
        </w:rPr>
        <w:t>O emissions from grazing livestock manure.</w:t>
      </w:r>
    </w:p>
    <w:p w14:paraId="6D890C17" w14:textId="77777777" w:rsidR="00F849A7" w:rsidRPr="00D9348B" w:rsidRDefault="00F849A7" w:rsidP="0036324D">
      <w:pPr>
        <w:pStyle w:val="BodyText"/>
      </w:pPr>
      <w:r w:rsidRPr="00D9348B">
        <w:t xml:space="preserve">For urine deposited on flatland and low slopes by sheep, cattle and deer only: </w:t>
      </w:r>
    </w:p>
    <w:bookmarkStart w:id="902" w:name="_MON_1608113144"/>
    <w:bookmarkEnd w:id="902"/>
    <w:p w14:paraId="3DA1B7A1" w14:textId="77777777" w:rsidR="00F849A7" w:rsidRPr="00D9348B" w:rsidRDefault="00F849A7" w:rsidP="0036324D">
      <w:pPr>
        <w:pStyle w:val="BodyText"/>
      </w:pPr>
      <w:r w:rsidRPr="00D9348B">
        <w:object w:dxaOrig="7709" w:dyaOrig="1087" w14:anchorId="2388699E">
          <v:shape id="_x0000_i1096" type="#_x0000_t75" style="width:390.05pt;height:57.6pt" o:ole="">
            <v:imagedata r:id="rId146" o:title=""/>
          </v:shape>
          <o:OLEObject Type="Embed" ProgID="Word.Document.12" ShapeID="_x0000_i1096" DrawAspect="Content" ObjectID="_1647932328" r:id="rId147">
            <o:FieldCodes>\s</o:FieldCodes>
          </o:OLEObject>
        </w:object>
      </w:r>
    </w:p>
    <w:p w14:paraId="000E7D46" w14:textId="77777777" w:rsidR="00F849A7" w:rsidRPr="00D9348B" w:rsidRDefault="00F849A7" w:rsidP="00F849A7">
      <w:pPr>
        <w:pStyle w:val="BodyText"/>
        <w:keepNext/>
        <w:rPr>
          <w:rFonts w:cs="Calibri"/>
        </w:rPr>
      </w:pPr>
      <w:r w:rsidRPr="00D9348B">
        <w:rPr>
          <w:rFonts w:cs="Calibri"/>
        </w:rPr>
        <w:lastRenderedPageBreak/>
        <w:t xml:space="preserve">For urine deposited on medium and steep slopes by sheep, cattle and deer only: </w:t>
      </w:r>
    </w:p>
    <w:bookmarkStart w:id="903" w:name="_MON_1635763769"/>
    <w:bookmarkEnd w:id="903"/>
    <w:p w14:paraId="46E89B7B" w14:textId="77777777" w:rsidR="00F849A7" w:rsidRPr="00D9348B" w:rsidRDefault="00F849A7" w:rsidP="00F849A7">
      <w:pPr>
        <w:pStyle w:val="BodyText"/>
        <w:keepNext/>
        <w:spacing w:before="0" w:after="60"/>
        <w:rPr>
          <w:rFonts w:cs="Calibri"/>
        </w:rPr>
      </w:pPr>
      <w:r w:rsidRPr="00D9348B">
        <w:rPr>
          <w:rFonts w:cs="Calibri"/>
        </w:rPr>
        <w:object w:dxaOrig="7709" w:dyaOrig="1087" w14:anchorId="43488DBE">
          <v:shape id="_x0000_i1097" type="#_x0000_t75" style="width:390.05pt;height:57.6pt" o:ole="">
            <v:imagedata r:id="rId148" o:title=""/>
          </v:shape>
          <o:OLEObject Type="Embed" ProgID="Word.Document.12" ShapeID="_x0000_i1097" DrawAspect="Content" ObjectID="_1647932329" r:id="rId149">
            <o:FieldCodes>\s</o:FieldCodes>
          </o:OLEObject>
        </w:object>
      </w:r>
    </w:p>
    <w:p w14:paraId="64A1883D" w14:textId="77777777" w:rsidR="00F849A7" w:rsidRPr="00D9348B" w:rsidRDefault="00F849A7" w:rsidP="00F849A7">
      <w:pPr>
        <w:pStyle w:val="BodyText"/>
        <w:spacing w:after="60"/>
        <w:rPr>
          <w:rFonts w:cs="Calibri"/>
        </w:rPr>
      </w:pPr>
      <w:r w:rsidRPr="00D9348B">
        <w:rPr>
          <w:rFonts w:cs="Calibri"/>
        </w:rPr>
        <w:t>For all dung from sheep, cattle and deer:</w:t>
      </w:r>
    </w:p>
    <w:bookmarkStart w:id="904" w:name="_MON_1608112789"/>
    <w:bookmarkEnd w:id="904"/>
    <w:p w14:paraId="23F4695F" w14:textId="77777777" w:rsidR="00F849A7" w:rsidRPr="00D9348B" w:rsidRDefault="00F849A7" w:rsidP="00F849A7">
      <w:pPr>
        <w:pStyle w:val="BodyText"/>
        <w:spacing w:before="0" w:after="80"/>
        <w:rPr>
          <w:rFonts w:cs="Calibri"/>
        </w:rPr>
      </w:pPr>
      <w:r w:rsidRPr="00D9348B">
        <w:rPr>
          <w:rFonts w:cs="Calibri"/>
        </w:rPr>
        <w:object w:dxaOrig="7889" w:dyaOrig="637" w14:anchorId="51728678">
          <v:shape id="_x0000_i1098" type="#_x0000_t75" style="width:396.95pt;height:35.05pt" o:ole="">
            <v:imagedata r:id="rId150" o:title=""/>
          </v:shape>
          <o:OLEObject Type="Embed" ProgID="Word.Document.12" ShapeID="_x0000_i1098" DrawAspect="Content" ObjectID="_1647932330" r:id="rId151">
            <o:FieldCodes>\s</o:FieldCodes>
          </o:OLEObject>
        </w:object>
      </w:r>
    </w:p>
    <w:p w14:paraId="727B39D9" w14:textId="77777777" w:rsidR="00F849A7" w:rsidRPr="00D9348B" w:rsidRDefault="00F849A7" w:rsidP="00F849A7">
      <w:pPr>
        <w:pStyle w:val="BodyText"/>
        <w:keepNext/>
        <w:rPr>
          <w:rFonts w:cs="Calibri"/>
        </w:rPr>
      </w:pPr>
      <w:r w:rsidRPr="00D9348B">
        <w:rPr>
          <w:rFonts w:cs="Calibri"/>
        </w:rPr>
        <w:t xml:space="preserve">For urine and dung from other livestock categories (swine, goats, horses, alpaca, mules, asses and poultry): </w:t>
      </w:r>
    </w:p>
    <w:bookmarkStart w:id="905" w:name="_MON_1635762384"/>
    <w:bookmarkEnd w:id="905"/>
    <w:p w14:paraId="7C673FF3" w14:textId="77777777" w:rsidR="00F849A7" w:rsidRPr="00D9348B" w:rsidRDefault="00F849A7" w:rsidP="00F849A7">
      <w:pPr>
        <w:pStyle w:val="BodyText"/>
        <w:keepNext/>
        <w:spacing w:before="0" w:after="60"/>
        <w:rPr>
          <w:rFonts w:cs="Calibri"/>
        </w:rPr>
      </w:pPr>
      <w:r w:rsidRPr="00D9348B">
        <w:rPr>
          <w:rFonts w:cs="Calibri"/>
        </w:rPr>
        <w:object w:dxaOrig="7934" w:dyaOrig="661" w14:anchorId="319D7845">
          <v:shape id="_x0000_i1099" type="#_x0000_t75" style="width:395.05pt;height:35.05pt" o:ole="">
            <v:imagedata r:id="rId152" o:title=""/>
          </v:shape>
          <o:OLEObject Type="Embed" ProgID="Word.Document.12" ShapeID="_x0000_i1099" DrawAspect="Content" ObjectID="_1647932331" r:id="rId153">
            <o:FieldCodes>\s</o:FieldCodes>
          </o:OLEObject>
        </w:object>
      </w:r>
    </w:p>
    <w:p w14:paraId="200D52E0" w14:textId="77777777" w:rsidR="00F849A7" w:rsidRPr="00D9348B" w:rsidRDefault="00F849A7" w:rsidP="00F849A7">
      <w:pPr>
        <w:spacing w:before="120"/>
        <w:ind w:left="851" w:hanging="851"/>
        <w:rPr>
          <w:rFonts w:cs="Calibri"/>
        </w:rPr>
      </w:pPr>
      <w:r w:rsidRPr="00D9348B">
        <w:rPr>
          <w:rFonts w:cs="Calibri"/>
        </w:rPr>
        <w:t xml:space="preserve">Where: </w:t>
      </w:r>
      <w:r w:rsidRPr="00D9348B">
        <w:rPr>
          <w:rFonts w:cs="Calibri"/>
        </w:rPr>
        <w:tab/>
        <w:t>N</w:t>
      </w:r>
      <w:r w:rsidRPr="00D9348B">
        <w:rPr>
          <w:rFonts w:cs="Calibri"/>
          <w:vertAlign w:val="subscript"/>
        </w:rPr>
        <w:t xml:space="preserve">T </w:t>
      </w:r>
      <w:r w:rsidRPr="00D9348B">
        <w:rPr>
          <w:rFonts w:cs="Calibri"/>
        </w:rPr>
        <w:t>is the population of the livestock category (sheep, cattle, deer or other); T (population as calculated in section 5.1.3)</w:t>
      </w:r>
    </w:p>
    <w:p w14:paraId="3A31301F" w14:textId="77777777" w:rsidR="00F849A7" w:rsidRPr="00D9348B" w:rsidRDefault="00F849A7" w:rsidP="00F849A7">
      <w:pPr>
        <w:spacing w:before="100"/>
        <w:ind w:left="851" w:hanging="851"/>
        <w:rPr>
          <w:rFonts w:cs="Calibri"/>
        </w:rPr>
      </w:pPr>
      <w:r w:rsidRPr="00D9348B">
        <w:rPr>
          <w:rFonts w:cs="Calibri"/>
        </w:rPr>
        <w:tab/>
        <w:t>Nex</w:t>
      </w:r>
      <w:r w:rsidRPr="00D9348B">
        <w:rPr>
          <w:rFonts w:cs="Calibri"/>
          <w:vertAlign w:val="subscript"/>
        </w:rPr>
        <w:t>URINE</w:t>
      </w:r>
      <w:proofErr w:type="gramStart"/>
      <w:r w:rsidRPr="00D9348B">
        <w:rPr>
          <w:rFonts w:cs="Calibri"/>
          <w:vertAlign w:val="subscript"/>
        </w:rPr>
        <w:t>,FLAT</w:t>
      </w:r>
      <w:proofErr w:type="gramEnd"/>
      <w:r w:rsidRPr="00D9348B">
        <w:rPr>
          <w:rFonts w:cs="Calibri"/>
        </w:rPr>
        <w:t xml:space="preserve"> is the annual urinary N excretion per head deposited on flatland</w:t>
      </w:r>
      <w:r w:rsidRPr="00D9348B">
        <w:rPr>
          <w:rStyle w:val="FootnoteReference"/>
          <w:rFonts w:cs="Calibri"/>
        </w:rPr>
        <w:footnoteReference w:id="56"/>
      </w:r>
      <w:r w:rsidRPr="00D9348B">
        <w:rPr>
          <w:rFonts w:cs="Calibri"/>
        </w:rPr>
        <w:t xml:space="preserve"> (kg N/head/year) </w:t>
      </w:r>
    </w:p>
    <w:p w14:paraId="0C0FD973" w14:textId="77777777" w:rsidR="00F849A7" w:rsidRPr="00D9348B" w:rsidRDefault="00F849A7" w:rsidP="00F849A7">
      <w:pPr>
        <w:spacing w:before="100"/>
        <w:ind w:left="851" w:hanging="851"/>
        <w:rPr>
          <w:rFonts w:cs="Calibri"/>
        </w:rPr>
      </w:pPr>
      <w:r w:rsidRPr="00D9348B">
        <w:rPr>
          <w:rFonts w:cs="Calibri"/>
        </w:rPr>
        <w:tab/>
        <w:t>Nex</w:t>
      </w:r>
      <w:r w:rsidRPr="00D9348B">
        <w:rPr>
          <w:rFonts w:cs="Calibri"/>
          <w:vertAlign w:val="subscript"/>
        </w:rPr>
        <w:t>URINE</w:t>
      </w:r>
      <w:proofErr w:type="gramStart"/>
      <w:r w:rsidRPr="00D9348B">
        <w:rPr>
          <w:rFonts w:cs="Calibri"/>
          <w:vertAlign w:val="subscript"/>
        </w:rPr>
        <w:t>,LOW</w:t>
      </w:r>
      <w:proofErr w:type="gramEnd"/>
      <w:r w:rsidRPr="00D9348B">
        <w:rPr>
          <w:rFonts w:cs="Calibri"/>
        </w:rPr>
        <w:t xml:space="preserve"> is the annual urinary N excretion per head deposited on low slopes</w:t>
      </w:r>
      <w:r w:rsidRPr="00D9348B">
        <w:rPr>
          <w:rStyle w:val="FootnoteReference"/>
          <w:rFonts w:cs="Calibri"/>
        </w:rPr>
        <w:footnoteReference w:id="57"/>
      </w:r>
      <w:r w:rsidRPr="00D9348B">
        <w:rPr>
          <w:rFonts w:cs="Calibri"/>
        </w:rPr>
        <w:t xml:space="preserve"> (kg N/head/year) </w:t>
      </w:r>
    </w:p>
    <w:p w14:paraId="5715CF7E" w14:textId="77777777" w:rsidR="00F849A7" w:rsidRPr="00D9348B" w:rsidRDefault="00F849A7" w:rsidP="00F849A7">
      <w:pPr>
        <w:spacing w:before="100"/>
        <w:ind w:left="851" w:hanging="851"/>
        <w:rPr>
          <w:rFonts w:cs="Calibri"/>
        </w:rPr>
      </w:pPr>
      <w:r w:rsidRPr="00D9348B">
        <w:rPr>
          <w:rFonts w:cs="Calibri"/>
        </w:rPr>
        <w:tab/>
        <w:t>Nex</w:t>
      </w:r>
      <w:r w:rsidRPr="00D9348B">
        <w:rPr>
          <w:rFonts w:cs="Calibri"/>
          <w:vertAlign w:val="subscript"/>
        </w:rPr>
        <w:t>URINE</w:t>
      </w:r>
      <w:proofErr w:type="gramStart"/>
      <w:r w:rsidRPr="00D9348B">
        <w:rPr>
          <w:rFonts w:cs="Calibri"/>
          <w:vertAlign w:val="subscript"/>
        </w:rPr>
        <w:t>,MED</w:t>
      </w:r>
      <w:proofErr w:type="gramEnd"/>
      <w:r w:rsidRPr="00D9348B">
        <w:rPr>
          <w:rFonts w:cs="Calibri"/>
        </w:rPr>
        <w:t xml:space="preserve"> is the annual urinary N excretion per head deposited on medium slopes</w:t>
      </w:r>
      <w:r w:rsidRPr="00D9348B">
        <w:rPr>
          <w:rStyle w:val="FootnoteReference"/>
          <w:rFonts w:cs="Calibri"/>
        </w:rPr>
        <w:footnoteReference w:id="58"/>
      </w:r>
      <w:r w:rsidRPr="00D9348B">
        <w:rPr>
          <w:rFonts w:cs="Calibri"/>
        </w:rPr>
        <w:t xml:space="preserve"> (kg N/head/year) </w:t>
      </w:r>
    </w:p>
    <w:p w14:paraId="7AC5EFE2" w14:textId="77777777" w:rsidR="00F849A7" w:rsidRPr="00D9348B" w:rsidRDefault="00F849A7" w:rsidP="00F849A7">
      <w:pPr>
        <w:spacing w:before="100"/>
        <w:ind w:left="851" w:hanging="851"/>
        <w:rPr>
          <w:rFonts w:cs="Calibri"/>
        </w:rPr>
      </w:pPr>
      <w:r w:rsidRPr="00D9348B">
        <w:rPr>
          <w:rFonts w:cs="Calibri"/>
        </w:rPr>
        <w:tab/>
        <w:t>Nex</w:t>
      </w:r>
      <w:r w:rsidRPr="00D9348B">
        <w:rPr>
          <w:rFonts w:cs="Calibri"/>
          <w:vertAlign w:val="subscript"/>
        </w:rPr>
        <w:t>URINE</w:t>
      </w:r>
      <w:proofErr w:type="gramStart"/>
      <w:r w:rsidRPr="00D9348B">
        <w:rPr>
          <w:rFonts w:cs="Calibri"/>
          <w:vertAlign w:val="subscript"/>
        </w:rPr>
        <w:t>,STEEP</w:t>
      </w:r>
      <w:proofErr w:type="gramEnd"/>
      <w:r w:rsidRPr="00D9348B">
        <w:rPr>
          <w:rFonts w:cs="Calibri"/>
        </w:rPr>
        <w:t xml:space="preserve"> is the annual urinary N excretion per head deposited on steep slopes</w:t>
      </w:r>
      <w:r w:rsidRPr="00D9348B">
        <w:rPr>
          <w:rStyle w:val="FootnoteReference"/>
          <w:rFonts w:cs="Calibri"/>
        </w:rPr>
        <w:footnoteReference w:id="59"/>
      </w:r>
      <w:r w:rsidRPr="00D9348B">
        <w:rPr>
          <w:rFonts w:cs="Calibri"/>
        </w:rPr>
        <w:t xml:space="preserve"> (kg N/head/year) </w:t>
      </w:r>
    </w:p>
    <w:p w14:paraId="1690AC83" w14:textId="77777777" w:rsidR="00F849A7" w:rsidRPr="00D9348B" w:rsidRDefault="00F849A7" w:rsidP="00F849A7">
      <w:pPr>
        <w:spacing w:before="100"/>
        <w:ind w:left="851" w:hanging="851"/>
        <w:rPr>
          <w:rFonts w:cs="Calibri"/>
        </w:rPr>
      </w:pPr>
      <w:r w:rsidRPr="00D9348B">
        <w:rPr>
          <w:rFonts w:cs="Calibri"/>
        </w:rPr>
        <w:tab/>
        <w:t>Nex</w:t>
      </w:r>
      <w:r w:rsidRPr="00D9348B">
        <w:rPr>
          <w:rFonts w:cs="Calibri"/>
          <w:vertAlign w:val="subscript"/>
        </w:rPr>
        <w:t>DUNG</w:t>
      </w:r>
      <w:proofErr w:type="gramStart"/>
      <w:r w:rsidRPr="00D9348B">
        <w:rPr>
          <w:rFonts w:cs="Calibri"/>
          <w:vertAlign w:val="subscript"/>
        </w:rPr>
        <w:t>,T</w:t>
      </w:r>
      <w:proofErr w:type="gramEnd"/>
      <w:r w:rsidRPr="00D9348B">
        <w:rPr>
          <w:rFonts w:cs="Calibri"/>
        </w:rPr>
        <w:t xml:space="preserve"> is the annual average excretion per head (kg N/head/year) </w:t>
      </w:r>
    </w:p>
    <w:p w14:paraId="4736D75C" w14:textId="77777777" w:rsidR="00F849A7" w:rsidRPr="00D9348B" w:rsidRDefault="00F849A7" w:rsidP="00F849A7">
      <w:pPr>
        <w:spacing w:before="100"/>
        <w:ind w:left="851" w:hanging="851"/>
        <w:rPr>
          <w:rFonts w:cs="Calibri"/>
        </w:rPr>
      </w:pPr>
      <w:r w:rsidRPr="00D9348B">
        <w:rPr>
          <w:rFonts w:cs="Calibri"/>
        </w:rPr>
        <w:tab/>
        <w:t>Nex</w:t>
      </w:r>
      <w:r w:rsidRPr="00D9348B">
        <w:rPr>
          <w:rFonts w:cs="Calibri"/>
          <w:vertAlign w:val="subscript"/>
        </w:rPr>
        <w:t>T</w:t>
      </w:r>
      <w:r w:rsidRPr="00D9348B">
        <w:rPr>
          <w:rFonts w:cs="Calibri"/>
        </w:rPr>
        <w:t xml:space="preserve"> is the annual average N excretion per head (kg N/head/year) (see section 5.3) </w:t>
      </w:r>
    </w:p>
    <w:p w14:paraId="1DF0BFFD" w14:textId="77777777" w:rsidR="00F849A7" w:rsidRPr="00D9348B" w:rsidRDefault="00F849A7" w:rsidP="00F849A7">
      <w:pPr>
        <w:spacing w:before="100"/>
        <w:ind w:left="851" w:hanging="851"/>
        <w:rPr>
          <w:rFonts w:cs="Calibri"/>
        </w:rPr>
      </w:pPr>
      <w:r w:rsidRPr="00D9348B">
        <w:rPr>
          <w:rFonts w:cs="Calibri"/>
        </w:rPr>
        <w:tab/>
        <w:t>MS</w:t>
      </w:r>
      <w:r w:rsidRPr="00D9348B">
        <w:rPr>
          <w:rFonts w:cs="Calibri"/>
          <w:vertAlign w:val="subscript"/>
        </w:rPr>
        <w:t>T</w:t>
      </w:r>
      <w:r w:rsidRPr="00D9348B">
        <w:rPr>
          <w:rFonts w:cs="Calibri"/>
        </w:rPr>
        <w:t xml:space="preserve"> is the proportion of manure excreted directly onto pasture, range and paddock (see table 5.3.2)</w:t>
      </w:r>
    </w:p>
    <w:p w14:paraId="3801FF0A" w14:textId="77777777" w:rsidR="00F849A7" w:rsidRPr="00D9348B" w:rsidRDefault="00F849A7" w:rsidP="00F849A7">
      <w:pPr>
        <w:spacing w:before="100"/>
        <w:ind w:left="851" w:hanging="851"/>
        <w:rPr>
          <w:rFonts w:cs="Calibri"/>
        </w:rPr>
      </w:pPr>
      <w:r w:rsidRPr="00D9348B">
        <w:rPr>
          <w:rFonts w:cs="Calibri"/>
        </w:rPr>
        <w:tab/>
      </w:r>
      <w:proofErr w:type="gramStart"/>
      <w:r w:rsidRPr="00D9348B">
        <w:rPr>
          <w:rFonts w:cs="Calibri"/>
        </w:rPr>
        <w:t>EF</w:t>
      </w:r>
      <w:r w:rsidRPr="00D9348B">
        <w:rPr>
          <w:rFonts w:cs="Calibri"/>
          <w:vertAlign w:val="subscript"/>
        </w:rPr>
        <w:t>3(</w:t>
      </w:r>
      <w:proofErr w:type="gramEnd"/>
      <w:r w:rsidRPr="00D9348B">
        <w:rPr>
          <w:rFonts w:cs="Calibri"/>
          <w:vertAlign w:val="subscript"/>
        </w:rPr>
        <w:t>PRP-FLAT)</w:t>
      </w:r>
      <w:r w:rsidRPr="00D9348B">
        <w:rPr>
          <w:rFonts w:cs="Calibri"/>
        </w:rPr>
        <w:t xml:space="preserve"> is the emission factor for urinary N deposited on flatland and low slopes by sheep, deer and cattle (note that emission factors vary by animal category, see table 5.5.2)</w:t>
      </w:r>
    </w:p>
    <w:p w14:paraId="3FA1E9F7" w14:textId="77777777" w:rsidR="00F849A7" w:rsidRPr="00D9348B" w:rsidRDefault="00F849A7" w:rsidP="00F849A7">
      <w:pPr>
        <w:spacing w:before="100"/>
        <w:ind w:left="851" w:hanging="851"/>
        <w:rPr>
          <w:rFonts w:cs="Calibri"/>
        </w:rPr>
      </w:pPr>
      <w:r w:rsidRPr="00D9348B">
        <w:rPr>
          <w:rFonts w:cs="Calibri"/>
        </w:rPr>
        <w:tab/>
      </w:r>
      <w:proofErr w:type="gramStart"/>
      <w:r w:rsidRPr="00D9348B">
        <w:rPr>
          <w:rFonts w:cs="Calibri"/>
        </w:rPr>
        <w:t>EF</w:t>
      </w:r>
      <w:r w:rsidRPr="00D9348B">
        <w:rPr>
          <w:rFonts w:cs="Calibri"/>
          <w:vertAlign w:val="subscript"/>
        </w:rPr>
        <w:t>3(</w:t>
      </w:r>
      <w:proofErr w:type="gramEnd"/>
      <w:r w:rsidRPr="00D9348B">
        <w:rPr>
          <w:rFonts w:cs="Calibri"/>
          <w:vertAlign w:val="subscript"/>
        </w:rPr>
        <w:t>PRP-STEEP)</w:t>
      </w:r>
      <w:r w:rsidRPr="00D9348B">
        <w:rPr>
          <w:rFonts w:cs="Calibri"/>
        </w:rPr>
        <w:t xml:space="preserve"> is the emission factor for urinary N deposited on medium and steep slopes, for sheep, deer and cattle (note emission factors vary by animal category, see table 5.5.2)</w:t>
      </w:r>
    </w:p>
    <w:p w14:paraId="41997F93" w14:textId="77777777" w:rsidR="00F849A7" w:rsidRPr="00D9348B" w:rsidRDefault="00F849A7" w:rsidP="00F849A7">
      <w:pPr>
        <w:spacing w:before="100"/>
        <w:ind w:left="851"/>
        <w:rPr>
          <w:rFonts w:cs="Calibri"/>
        </w:rPr>
      </w:pPr>
      <w:proofErr w:type="gramStart"/>
      <w:r w:rsidRPr="00D9348B">
        <w:rPr>
          <w:rFonts w:cs="Calibri"/>
        </w:rPr>
        <w:t>EF</w:t>
      </w:r>
      <w:r w:rsidRPr="00D9348B">
        <w:rPr>
          <w:rFonts w:cs="Calibri"/>
          <w:vertAlign w:val="subscript"/>
        </w:rPr>
        <w:t>3(</w:t>
      </w:r>
      <w:proofErr w:type="gramEnd"/>
      <w:r w:rsidRPr="00D9348B">
        <w:rPr>
          <w:rFonts w:cs="Calibri"/>
          <w:vertAlign w:val="subscript"/>
        </w:rPr>
        <w:t>PRP-DUNG)</w:t>
      </w:r>
      <w:r w:rsidRPr="00D9348B">
        <w:rPr>
          <w:rFonts w:cs="Calibri"/>
        </w:rPr>
        <w:t xml:space="preserve"> is the emission factor for dung N excreta deposited by sheep, deer and cattle on pasture, range and paddock (0.0012, see table 5.5.2)</w:t>
      </w:r>
    </w:p>
    <w:p w14:paraId="38BFF1E2" w14:textId="77777777" w:rsidR="00F849A7" w:rsidRPr="00D9348B" w:rsidRDefault="00F849A7" w:rsidP="00F849A7">
      <w:pPr>
        <w:spacing w:before="100" w:after="120"/>
        <w:ind w:left="851" w:hanging="851"/>
        <w:rPr>
          <w:rFonts w:cs="Calibri"/>
        </w:rPr>
      </w:pPr>
      <w:r w:rsidRPr="00D9348B">
        <w:rPr>
          <w:rFonts w:cs="Calibri"/>
        </w:rPr>
        <w:tab/>
      </w:r>
      <w:proofErr w:type="gramStart"/>
      <w:r w:rsidRPr="00D9348B">
        <w:rPr>
          <w:rFonts w:cs="Calibri"/>
        </w:rPr>
        <w:t>EF</w:t>
      </w:r>
      <w:r w:rsidRPr="00D9348B">
        <w:rPr>
          <w:rFonts w:cs="Calibri"/>
          <w:vertAlign w:val="subscript"/>
        </w:rPr>
        <w:t>3(</w:t>
      </w:r>
      <w:proofErr w:type="gramEnd"/>
      <w:r w:rsidRPr="00D9348B">
        <w:rPr>
          <w:rFonts w:cs="Calibri"/>
          <w:vertAlign w:val="subscript"/>
        </w:rPr>
        <w:t>PRP-MINOR)</w:t>
      </w:r>
      <w:r w:rsidRPr="00D9348B">
        <w:rPr>
          <w:rFonts w:cs="Calibri"/>
        </w:rPr>
        <w:t xml:space="preserve"> is the emission factor for dung from minor animal categories deposited on pasture, range and paddock (see table 5.5.2).</w:t>
      </w:r>
    </w:p>
    <w:p w14:paraId="36AF4FE2" w14:textId="77777777" w:rsidR="00F849A7" w:rsidRPr="00D9348B" w:rsidRDefault="00F849A7" w:rsidP="00F849A7">
      <w:pPr>
        <w:pStyle w:val="BodyText"/>
        <w:rPr>
          <w:rFonts w:cs="Calibri"/>
        </w:rPr>
      </w:pPr>
      <w:r w:rsidRPr="00D9348B">
        <w:rPr>
          <w:rFonts w:cs="Calibri"/>
        </w:rPr>
        <w:lastRenderedPageBreak/>
        <w:t>For cattle, sheep and deer, the estimated nitrogen excretion (</w:t>
      </w:r>
      <w:proofErr w:type="gramStart"/>
      <w:r w:rsidRPr="00D9348B">
        <w:rPr>
          <w:rFonts w:cs="Calibri"/>
        </w:rPr>
        <w:t>N</w:t>
      </w:r>
      <w:r w:rsidRPr="00D9348B">
        <w:rPr>
          <w:rFonts w:cs="Calibri"/>
          <w:vertAlign w:val="subscript"/>
        </w:rPr>
        <w:t>ex</w:t>
      </w:r>
      <w:proofErr w:type="gramEnd"/>
      <w:r w:rsidRPr="00D9348B">
        <w:rPr>
          <w:rFonts w:cs="Calibri"/>
        </w:rPr>
        <w:t xml:space="preserve">) values are separated into urine and dung components using the methodology outlined by Pacheco et al. (unpublished). </w:t>
      </w:r>
    </w:p>
    <w:p w14:paraId="7E985056" w14:textId="77777777" w:rsidR="00F849A7" w:rsidRPr="00D9348B" w:rsidRDefault="00F849A7" w:rsidP="00F849A7">
      <w:pPr>
        <w:pStyle w:val="BodyText"/>
        <w:rPr>
          <w:rFonts w:cs="Calibri"/>
        </w:rPr>
      </w:pPr>
      <w:r w:rsidRPr="00D9348B">
        <w:rPr>
          <w:rFonts w:cs="Calibri"/>
        </w:rPr>
        <w:t>The inventory assumes that all dairy cattle graze on flatland, due to New Zealand farming practices, therefore,</w:t>
      </w:r>
      <w:r w:rsidRPr="00D9348B" w:rsidDel="00FF398C">
        <w:rPr>
          <w:rFonts w:cs="Calibri"/>
        </w:rPr>
        <w:t xml:space="preserve"> </w:t>
      </w:r>
      <w:r w:rsidRPr="00D9348B">
        <w:rPr>
          <w:rFonts w:cs="Calibri"/>
        </w:rPr>
        <w:t>all dairy urinary N is allocated to Nex</w:t>
      </w:r>
      <w:r w:rsidRPr="00D9348B">
        <w:rPr>
          <w:rFonts w:cs="Calibri"/>
          <w:vertAlign w:val="subscript"/>
        </w:rPr>
        <w:t>URINE</w:t>
      </w:r>
      <w:proofErr w:type="gramStart"/>
      <w:r w:rsidRPr="00D9348B">
        <w:rPr>
          <w:rFonts w:cs="Calibri"/>
          <w:vertAlign w:val="subscript"/>
        </w:rPr>
        <w:t>,FLAT</w:t>
      </w:r>
      <w:proofErr w:type="gramEnd"/>
      <w:r w:rsidRPr="00D9348B">
        <w:rPr>
          <w:rFonts w:cs="Calibri"/>
        </w:rPr>
        <w:t xml:space="preserve">. </w:t>
      </w:r>
    </w:p>
    <w:p w14:paraId="344EFF22" w14:textId="77777777" w:rsidR="00F849A7" w:rsidRPr="00D9348B" w:rsidRDefault="00F849A7" w:rsidP="00F849A7">
      <w:pPr>
        <w:pStyle w:val="BodyText"/>
        <w:rPr>
          <w:rFonts w:cs="Calibri"/>
        </w:rPr>
      </w:pPr>
      <w:r w:rsidRPr="00D9348B">
        <w:rPr>
          <w:rFonts w:cs="Calibri"/>
        </w:rPr>
        <w:t>Urinary N from beef cattle, sheep and deer is allocated to the different slope types, Nex</w:t>
      </w:r>
      <w:r w:rsidRPr="00D9348B">
        <w:rPr>
          <w:rFonts w:cs="Calibri"/>
          <w:vertAlign w:val="subscript"/>
        </w:rPr>
        <w:t>URINE</w:t>
      </w:r>
      <w:proofErr w:type="gramStart"/>
      <w:r w:rsidRPr="00D9348B">
        <w:rPr>
          <w:rFonts w:cs="Calibri"/>
          <w:vertAlign w:val="subscript"/>
        </w:rPr>
        <w:t>,LOW</w:t>
      </w:r>
      <w:proofErr w:type="gramEnd"/>
      <w:r w:rsidRPr="00D9348B">
        <w:rPr>
          <w:rFonts w:cs="Calibri"/>
        </w:rPr>
        <w:t>, Nex</w:t>
      </w:r>
      <w:r w:rsidRPr="00D9348B">
        <w:rPr>
          <w:rFonts w:cs="Calibri"/>
          <w:vertAlign w:val="subscript"/>
        </w:rPr>
        <w:t>URINE,MED</w:t>
      </w:r>
      <w:r w:rsidRPr="00D9348B">
        <w:rPr>
          <w:rFonts w:cs="Calibri"/>
        </w:rPr>
        <w:t xml:space="preserve"> and Nex</w:t>
      </w:r>
      <w:r w:rsidRPr="00D9348B">
        <w:rPr>
          <w:rFonts w:cs="Calibri"/>
          <w:vertAlign w:val="subscript"/>
        </w:rPr>
        <w:t>URINE,STEEP</w:t>
      </w:r>
      <w:r w:rsidRPr="00D9348B">
        <w:rPr>
          <w:rFonts w:cs="Calibri"/>
        </w:rPr>
        <w:t>, however, there is zero land allocated to flatland, Nex</w:t>
      </w:r>
      <w:r w:rsidRPr="00D9348B">
        <w:rPr>
          <w:rFonts w:cs="Calibri"/>
          <w:vertAlign w:val="subscript"/>
        </w:rPr>
        <w:t>URINE,FLAT</w:t>
      </w:r>
      <w:r w:rsidRPr="00D9348B">
        <w:rPr>
          <w:rFonts w:cs="Calibri"/>
        </w:rPr>
        <w:t>, due to New Zealand farming practices (flatland is used for dairy systems).</w:t>
      </w:r>
    </w:p>
    <w:p w14:paraId="559E99FC" w14:textId="77777777" w:rsidR="00F849A7" w:rsidRPr="00D9348B" w:rsidRDefault="00F849A7" w:rsidP="00F849A7">
      <w:pPr>
        <w:pStyle w:val="Heading5"/>
        <w:rPr>
          <w:rFonts w:cs="Calibri"/>
        </w:rPr>
      </w:pPr>
      <w:r w:rsidRPr="00D9348B">
        <w:rPr>
          <w:rFonts w:cs="Calibri"/>
        </w:rPr>
        <w:t>New EF</w:t>
      </w:r>
      <w:r w:rsidRPr="00D9348B">
        <w:rPr>
          <w:rFonts w:cs="Calibri"/>
          <w:vertAlign w:val="subscript"/>
        </w:rPr>
        <w:t>3</w:t>
      </w:r>
      <w:r w:rsidRPr="00D9348B">
        <w:rPr>
          <w:rFonts w:cs="Calibri"/>
        </w:rPr>
        <w:t xml:space="preserve"> emission factors for excreta deposited by cattle, sheep and deer on sloped land</w:t>
      </w:r>
    </w:p>
    <w:p w14:paraId="40864232" w14:textId="08A195C8" w:rsidR="00F849A7" w:rsidRPr="00D9348B" w:rsidRDefault="00F849A7" w:rsidP="00F849A7">
      <w:pPr>
        <w:pStyle w:val="BodyText"/>
        <w:rPr>
          <w:rFonts w:cs="Calibri"/>
        </w:rPr>
      </w:pPr>
      <w:r w:rsidRPr="00D9348B">
        <w:rPr>
          <w:rFonts w:cs="Calibri"/>
        </w:rPr>
        <w:t>New EF</w:t>
      </w:r>
      <w:r w:rsidRPr="00D9348B">
        <w:rPr>
          <w:rFonts w:cs="Calibri"/>
          <w:vertAlign w:val="subscript"/>
        </w:rPr>
        <w:t xml:space="preserve">3 </w:t>
      </w:r>
      <w:r w:rsidRPr="00D9348B">
        <w:rPr>
          <w:rFonts w:cs="Calibri"/>
        </w:rPr>
        <w:t>emission factors have been incorporated in the 2020 inventory and are detailed in table 5.5.2 (</w:t>
      </w:r>
      <w:proofErr w:type="gramStart"/>
      <w:r w:rsidRPr="00D9348B">
        <w:rPr>
          <w:rFonts w:cs="Calibri"/>
        </w:rPr>
        <w:t>EF</w:t>
      </w:r>
      <w:r w:rsidRPr="00D9348B">
        <w:rPr>
          <w:rFonts w:cs="Calibri"/>
          <w:vertAlign w:val="subscript"/>
        </w:rPr>
        <w:t>3(</w:t>
      </w:r>
      <w:proofErr w:type="gramEnd"/>
      <w:r w:rsidRPr="00D9348B">
        <w:rPr>
          <w:rFonts w:cs="Calibri"/>
          <w:vertAlign w:val="subscript"/>
        </w:rPr>
        <w:t>PRP-DUNG)</w:t>
      </w:r>
      <w:r w:rsidRPr="00D9348B">
        <w:rPr>
          <w:rFonts w:cs="Calibri"/>
        </w:rPr>
        <w:t>) and table 5.5.3. The new EF</w:t>
      </w:r>
      <w:r w:rsidRPr="00D9348B">
        <w:rPr>
          <w:rFonts w:cs="Calibri"/>
          <w:vertAlign w:val="subscript"/>
        </w:rPr>
        <w:t>3</w:t>
      </w:r>
      <w:r w:rsidRPr="00D9348B">
        <w:rPr>
          <w:rFonts w:cs="Calibri"/>
        </w:rPr>
        <w:t xml:space="preserve"> emission factors used to calculate N</w:t>
      </w:r>
      <w:r w:rsidRPr="00D9348B">
        <w:rPr>
          <w:rFonts w:cs="Calibri"/>
          <w:vertAlign w:val="subscript"/>
        </w:rPr>
        <w:t>2</w:t>
      </w:r>
      <w:r w:rsidRPr="00D9348B">
        <w:rPr>
          <w:rFonts w:cs="Calibri"/>
        </w:rPr>
        <w:t>O emissions from cattle (dairy and beef), sheep and deer are based on a meta-analysis undertaken by van der Weerden et al</w:t>
      </w:r>
      <w:r w:rsidR="00B961F6" w:rsidRPr="00D9348B">
        <w:rPr>
          <w:rFonts w:cs="Calibri"/>
        </w:rPr>
        <w:t>.</w:t>
      </w:r>
      <w:r w:rsidRPr="00D9348B">
        <w:rPr>
          <w:rFonts w:cs="Calibri"/>
        </w:rPr>
        <w:t xml:space="preserve"> (2019) based on field studies undertaken in the past decade (de Klein et al., 2014; Hoogendoorn et al., 2013; Luo et al., 2013, 2016, 2019; and Saggar et al., 2015). The research collectively shows:</w:t>
      </w:r>
    </w:p>
    <w:p w14:paraId="79A65659" w14:textId="77777777" w:rsidR="00F849A7" w:rsidRPr="00D9348B" w:rsidRDefault="00F849A7" w:rsidP="00F849A7">
      <w:pPr>
        <w:pStyle w:val="Bullet"/>
        <w:rPr>
          <w:rFonts w:cs="Calibri"/>
        </w:rPr>
      </w:pPr>
      <w:r w:rsidRPr="00D9348B">
        <w:rPr>
          <w:rFonts w:cs="Calibri"/>
        </w:rPr>
        <w:t>a statistically significant difference in urine emission factors between cattle and sheep</w:t>
      </w:r>
    </w:p>
    <w:p w14:paraId="7D4B7A88" w14:textId="77777777" w:rsidR="00F849A7" w:rsidRPr="00D9348B" w:rsidRDefault="00F849A7" w:rsidP="00F849A7">
      <w:pPr>
        <w:pStyle w:val="Bullet"/>
        <w:rPr>
          <w:rFonts w:cs="Calibri"/>
        </w:rPr>
      </w:pPr>
      <w:proofErr w:type="gramStart"/>
      <w:r w:rsidRPr="00D9348B">
        <w:rPr>
          <w:rFonts w:cs="Calibri"/>
        </w:rPr>
        <w:t>that</w:t>
      </w:r>
      <w:proofErr w:type="gramEnd"/>
      <w:r w:rsidRPr="00D9348B">
        <w:rPr>
          <w:rFonts w:cs="Calibri"/>
        </w:rPr>
        <w:t xml:space="preserve"> emissions from sheep, beef cattle and dairy cattle excreta deposited on low (between 0 degrees and 12 degrees), medium (between 12 degrees and 24 degrees) and steep (greater than 24 degrees) sloped land are significantly lower than corresponding emissions on land that is flat or of a low gradient.</w:t>
      </w:r>
    </w:p>
    <w:p w14:paraId="53A8AA51" w14:textId="77777777" w:rsidR="00F849A7" w:rsidRPr="00D9348B" w:rsidRDefault="00F849A7" w:rsidP="00F849A7">
      <w:pPr>
        <w:pStyle w:val="Heading5"/>
        <w:rPr>
          <w:rFonts w:cs="Calibri"/>
        </w:rPr>
      </w:pPr>
      <w:r w:rsidRPr="00D9348B">
        <w:rPr>
          <w:rFonts w:cs="Calibri"/>
        </w:rPr>
        <w:t>Evidence and meta-analysis for new EF</w:t>
      </w:r>
      <w:r w:rsidRPr="00D9348B">
        <w:rPr>
          <w:rFonts w:cs="Calibri"/>
          <w:vertAlign w:val="subscript"/>
        </w:rPr>
        <w:t>3</w:t>
      </w:r>
      <w:r w:rsidRPr="00D9348B">
        <w:rPr>
          <w:rFonts w:cs="Calibri"/>
        </w:rPr>
        <w:t xml:space="preserve"> emission factors for excreta deposited on sloped land</w:t>
      </w:r>
    </w:p>
    <w:p w14:paraId="089AC975" w14:textId="77777777" w:rsidR="00F849A7" w:rsidRPr="00D9348B" w:rsidRDefault="00F849A7" w:rsidP="00F849A7">
      <w:pPr>
        <w:pStyle w:val="BodyText"/>
        <w:rPr>
          <w:rFonts w:cs="Calibri"/>
        </w:rPr>
      </w:pPr>
      <w:r w:rsidRPr="00D9348B">
        <w:rPr>
          <w:rFonts w:cs="Calibri"/>
        </w:rPr>
        <w:t>The meta-analysis (2019) built on a previous study by Kelliher et al. (2014), calculated new emission factors based on animal type, season and slope from an expanded dataset of 1,218 replicate-level emission factors from 236 field experiments conducted over the past decade.</w:t>
      </w:r>
    </w:p>
    <w:p w14:paraId="352F53CA" w14:textId="5AE1A312" w:rsidR="00F849A7" w:rsidRPr="00D9348B" w:rsidRDefault="00F849A7" w:rsidP="00F849A7">
      <w:pPr>
        <w:pStyle w:val="BodyText"/>
        <w:rPr>
          <w:rFonts w:cs="Calibri"/>
        </w:rPr>
      </w:pPr>
      <w:r w:rsidRPr="00D9348B">
        <w:rPr>
          <w:rFonts w:cs="Calibri"/>
        </w:rPr>
        <w:t>The meta-analysis included results of studies from dung and urine deposited onto flatland and</w:t>
      </w:r>
      <w:r w:rsidR="00B43898" w:rsidRPr="00D9348B">
        <w:rPr>
          <w:rFonts w:cs="Calibri"/>
        </w:rPr>
        <w:t> </w:t>
      </w:r>
      <w:r w:rsidRPr="00D9348B">
        <w:rPr>
          <w:rFonts w:cs="Calibri"/>
        </w:rPr>
        <w:t>steep sloped land published in scientific journals (Hoogendoorn et al., 2008; Ledgard et al.,</w:t>
      </w:r>
      <w:r w:rsidR="00B43898" w:rsidRPr="00D9348B">
        <w:rPr>
          <w:rFonts w:cs="Calibri"/>
        </w:rPr>
        <w:t> </w:t>
      </w:r>
      <w:r w:rsidRPr="00D9348B">
        <w:rPr>
          <w:rFonts w:cs="Calibri"/>
        </w:rPr>
        <w:t>2014; Luo et al., 2013; van der Weerden et al., 2011) and reported to MPI’s inventory reporting team (Hoogendoorn et al., 2013; Luo et al., 2016, 2019). These data were compiled to contribute to existing data on emissions from dung and urine deposited on low and medium sloped land from the Kelliher et al. (2014) study.</w:t>
      </w:r>
      <w:r w:rsidRPr="00D9348B" w:rsidDel="00866057">
        <w:rPr>
          <w:rFonts w:cs="Calibri"/>
        </w:rPr>
        <w:t xml:space="preserve"> </w:t>
      </w:r>
    </w:p>
    <w:p w14:paraId="73AE2E64" w14:textId="77777777" w:rsidR="00F849A7" w:rsidRPr="00D9348B" w:rsidRDefault="00F849A7" w:rsidP="00F849A7">
      <w:pPr>
        <w:pStyle w:val="BodyText"/>
        <w:rPr>
          <w:rFonts w:cs="Calibri"/>
        </w:rPr>
      </w:pPr>
      <w:r w:rsidRPr="00D9348B">
        <w:rPr>
          <w:rFonts w:cs="Calibri"/>
        </w:rPr>
        <w:t>Additional evidence conducted overseas supporting the use of emission factors that vary by slope has been provided in a study in the United Kingdom by Marsden et al. (2018), who found that sheep EF</w:t>
      </w:r>
      <w:r w:rsidRPr="00D9348B">
        <w:rPr>
          <w:rFonts w:cs="Calibri"/>
          <w:vertAlign w:val="subscript"/>
        </w:rPr>
        <w:t>3</w:t>
      </w:r>
      <w:r w:rsidRPr="00D9348B">
        <w:rPr>
          <w:rFonts w:cs="Calibri"/>
        </w:rPr>
        <w:t xml:space="preserve"> values are lower on upland and hill areas compared with intensively managed lowlands.</w:t>
      </w:r>
    </w:p>
    <w:p w14:paraId="7C36B380" w14:textId="77777777" w:rsidR="00F849A7" w:rsidRPr="00D9348B" w:rsidRDefault="00F849A7" w:rsidP="00F849A7">
      <w:pPr>
        <w:pStyle w:val="Table"/>
        <w:rPr>
          <w:rFonts w:cs="Calibri"/>
        </w:rPr>
      </w:pPr>
      <w:bookmarkStart w:id="906" w:name="_Toc32570932"/>
      <w:bookmarkStart w:id="907" w:name="_Toc36224567"/>
      <w:r w:rsidRPr="00D9348B">
        <w:rPr>
          <w:rFonts w:cs="Calibri"/>
        </w:rPr>
        <w:lastRenderedPageBreak/>
        <w:t>Table 5.5.6</w:t>
      </w:r>
      <w:r w:rsidRPr="00D9348B">
        <w:rPr>
          <w:rFonts w:cs="Calibri"/>
        </w:rPr>
        <w:tab/>
        <w:t>Number of replicate-level EF</w:t>
      </w:r>
      <w:r w:rsidRPr="00D9348B">
        <w:rPr>
          <w:rFonts w:cs="Calibri"/>
          <w:vertAlign w:val="subscript"/>
        </w:rPr>
        <w:t>3</w:t>
      </w:r>
      <w:r w:rsidRPr="00D9348B">
        <w:rPr>
          <w:rFonts w:cs="Calibri"/>
        </w:rPr>
        <w:t xml:space="preserve"> values collated for van der Weerden et al. (2019) analysis</w:t>
      </w:r>
      <w:proofErr w:type="gramStart"/>
      <w:r w:rsidRPr="00D9348B">
        <w:rPr>
          <w:rFonts w:cs="Calibri"/>
        </w:rPr>
        <w:t>,</w:t>
      </w:r>
      <w:proofErr w:type="gramEnd"/>
      <w:r w:rsidRPr="00D9348B">
        <w:rPr>
          <w:rFonts w:cs="Calibri"/>
        </w:rPr>
        <w:br/>
        <w:t>for each nitrogen source and topography (number of individual trials shown in brackets)</w:t>
      </w:r>
      <w:bookmarkEnd w:id="906"/>
      <w:bookmarkEnd w:id="907"/>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0"/>
        <w:gridCol w:w="1317"/>
        <w:gridCol w:w="1317"/>
        <w:gridCol w:w="1317"/>
        <w:gridCol w:w="1317"/>
        <w:gridCol w:w="1317"/>
      </w:tblGrid>
      <w:tr w:rsidR="00F849A7" w:rsidRPr="00D9348B" w14:paraId="0FB6D579" w14:textId="77777777" w:rsidTr="00CF364B">
        <w:trPr>
          <w:tblHeader/>
        </w:trPr>
        <w:tc>
          <w:tcPr>
            <w:tcW w:w="1901" w:type="dxa"/>
            <w:tcBorders>
              <w:top w:val="single" w:sz="4" w:space="0" w:color="365F91"/>
              <w:left w:val="nil"/>
              <w:bottom w:val="single" w:sz="4" w:space="0" w:color="365F91"/>
              <w:right w:val="nil"/>
            </w:tcBorders>
            <w:shd w:val="clear" w:color="auto" w:fill="365F91"/>
            <w:vAlign w:val="bottom"/>
          </w:tcPr>
          <w:p w14:paraId="59913B65" w14:textId="77777777" w:rsidR="00F849A7" w:rsidRPr="00D9348B" w:rsidRDefault="00F849A7" w:rsidP="00804C17">
            <w:pPr>
              <w:pStyle w:val="TableTextBold"/>
              <w:keepNext/>
              <w:rPr>
                <w:rFonts w:cs="Calibri"/>
                <w:noProof w:val="0"/>
                <w:color w:val="FFFFFF"/>
              </w:rPr>
            </w:pPr>
            <w:r w:rsidRPr="00D9348B">
              <w:rPr>
                <w:rFonts w:cs="Calibri"/>
                <w:noProof w:val="0"/>
                <w:color w:val="FFFFFF"/>
              </w:rPr>
              <w:t>Nitrogen source</w:t>
            </w:r>
          </w:p>
        </w:tc>
        <w:tc>
          <w:tcPr>
            <w:tcW w:w="1304" w:type="dxa"/>
            <w:tcBorders>
              <w:top w:val="single" w:sz="4" w:space="0" w:color="365F91"/>
              <w:left w:val="nil"/>
              <w:bottom w:val="single" w:sz="4" w:space="0" w:color="365F91"/>
              <w:right w:val="nil"/>
            </w:tcBorders>
            <w:shd w:val="clear" w:color="auto" w:fill="365F91"/>
            <w:vAlign w:val="bottom"/>
          </w:tcPr>
          <w:p w14:paraId="33A0824F" w14:textId="77777777" w:rsidR="00F849A7" w:rsidRPr="00D9348B" w:rsidRDefault="00F849A7" w:rsidP="00804C17">
            <w:pPr>
              <w:pStyle w:val="TableTextBold"/>
              <w:keepNext/>
              <w:jc w:val="right"/>
              <w:rPr>
                <w:rFonts w:cs="Calibri"/>
                <w:noProof w:val="0"/>
                <w:color w:val="FFFFFF"/>
              </w:rPr>
            </w:pPr>
            <w:r w:rsidRPr="00D9348B">
              <w:rPr>
                <w:rFonts w:cs="Calibri"/>
                <w:noProof w:val="0"/>
                <w:color w:val="FFFFFF"/>
              </w:rPr>
              <w:t>Flatland (0–12</w:t>
            </w:r>
            <w:r w:rsidRPr="00D9348B">
              <w:rPr>
                <w:rFonts w:cs="Calibri"/>
                <w:noProof w:val="0"/>
                <w:color w:val="FFFFFF"/>
                <w:vertAlign w:val="superscript"/>
              </w:rPr>
              <w:t>o</w:t>
            </w:r>
            <w:r w:rsidRPr="00D9348B">
              <w:rPr>
                <w:rFonts w:cs="Calibri"/>
                <w:noProof w:val="0"/>
                <w:color w:val="FFFFFF"/>
              </w:rPr>
              <w:t>)</w:t>
            </w:r>
          </w:p>
        </w:tc>
        <w:tc>
          <w:tcPr>
            <w:tcW w:w="1304" w:type="dxa"/>
            <w:tcBorders>
              <w:top w:val="single" w:sz="4" w:space="0" w:color="365F91"/>
              <w:left w:val="nil"/>
              <w:bottom w:val="single" w:sz="4" w:space="0" w:color="365F91"/>
              <w:right w:val="nil"/>
            </w:tcBorders>
            <w:shd w:val="clear" w:color="auto" w:fill="365F91"/>
            <w:vAlign w:val="bottom"/>
          </w:tcPr>
          <w:p w14:paraId="2FB3EAC4" w14:textId="77777777" w:rsidR="00F849A7" w:rsidRPr="00D9348B" w:rsidRDefault="00F849A7" w:rsidP="00804C17">
            <w:pPr>
              <w:pStyle w:val="TableTextBold"/>
              <w:keepNext/>
              <w:jc w:val="right"/>
              <w:rPr>
                <w:rFonts w:cs="Calibri"/>
                <w:noProof w:val="0"/>
                <w:color w:val="FFFFFF"/>
              </w:rPr>
            </w:pPr>
            <w:r w:rsidRPr="00D9348B">
              <w:rPr>
                <w:rFonts w:cs="Calibri"/>
                <w:noProof w:val="0"/>
                <w:color w:val="FFFFFF"/>
              </w:rPr>
              <w:t>Low sloped land (0–12</w:t>
            </w:r>
            <w:r w:rsidRPr="00D9348B">
              <w:rPr>
                <w:rFonts w:cs="Calibri"/>
                <w:noProof w:val="0"/>
                <w:color w:val="FFFFFF"/>
                <w:vertAlign w:val="superscript"/>
              </w:rPr>
              <w:t>o</w:t>
            </w:r>
            <w:r w:rsidRPr="00D9348B">
              <w:rPr>
                <w:rFonts w:cs="Calibri"/>
                <w:noProof w:val="0"/>
                <w:color w:val="FFFFFF"/>
              </w:rPr>
              <w:t>)</w:t>
            </w:r>
          </w:p>
        </w:tc>
        <w:tc>
          <w:tcPr>
            <w:tcW w:w="1304" w:type="dxa"/>
            <w:tcBorders>
              <w:top w:val="single" w:sz="4" w:space="0" w:color="365F91"/>
              <w:left w:val="nil"/>
              <w:bottom w:val="single" w:sz="4" w:space="0" w:color="365F91"/>
              <w:right w:val="nil"/>
            </w:tcBorders>
            <w:shd w:val="clear" w:color="auto" w:fill="365F91"/>
            <w:vAlign w:val="bottom"/>
          </w:tcPr>
          <w:p w14:paraId="2442216B" w14:textId="77777777" w:rsidR="00F849A7" w:rsidRPr="00D9348B" w:rsidRDefault="00F849A7" w:rsidP="00804C17">
            <w:pPr>
              <w:pStyle w:val="TableTextBold"/>
              <w:keepNext/>
              <w:jc w:val="right"/>
              <w:rPr>
                <w:rFonts w:cs="Calibri"/>
                <w:noProof w:val="0"/>
                <w:color w:val="FFFFFF"/>
              </w:rPr>
            </w:pPr>
            <w:r w:rsidRPr="00D9348B">
              <w:rPr>
                <w:rFonts w:cs="Calibri"/>
                <w:noProof w:val="0"/>
                <w:color w:val="FFFFFF"/>
              </w:rPr>
              <w:t>Medium sloped land (12–24</w:t>
            </w:r>
            <w:r w:rsidRPr="00D9348B">
              <w:rPr>
                <w:rFonts w:cs="Calibri"/>
                <w:noProof w:val="0"/>
                <w:color w:val="FFFFFF"/>
                <w:vertAlign w:val="superscript"/>
              </w:rPr>
              <w:t>o</w:t>
            </w:r>
            <w:r w:rsidRPr="00D9348B">
              <w:rPr>
                <w:rFonts w:cs="Calibri"/>
                <w:noProof w:val="0"/>
                <w:color w:val="FFFFFF"/>
              </w:rPr>
              <w:t>)</w:t>
            </w:r>
          </w:p>
        </w:tc>
        <w:tc>
          <w:tcPr>
            <w:tcW w:w="1304" w:type="dxa"/>
            <w:tcBorders>
              <w:top w:val="single" w:sz="4" w:space="0" w:color="365F91"/>
              <w:left w:val="nil"/>
              <w:bottom w:val="single" w:sz="4" w:space="0" w:color="365F91"/>
              <w:right w:val="nil"/>
            </w:tcBorders>
            <w:shd w:val="clear" w:color="auto" w:fill="365F91"/>
            <w:vAlign w:val="bottom"/>
          </w:tcPr>
          <w:p w14:paraId="1808D2E6" w14:textId="77777777" w:rsidR="00F849A7" w:rsidRPr="00D9348B" w:rsidRDefault="00F849A7" w:rsidP="00804C17">
            <w:pPr>
              <w:pStyle w:val="TableTextBold"/>
              <w:keepNext/>
              <w:jc w:val="right"/>
              <w:rPr>
                <w:rFonts w:cs="Calibri"/>
                <w:noProof w:val="0"/>
                <w:color w:val="FFFFFF"/>
              </w:rPr>
            </w:pPr>
            <w:r w:rsidRPr="00D9348B">
              <w:rPr>
                <w:rFonts w:cs="Calibri"/>
                <w:noProof w:val="0"/>
                <w:color w:val="FFFFFF"/>
              </w:rPr>
              <w:t>Steep sloped land (&gt;24</w:t>
            </w:r>
            <w:r w:rsidRPr="00D9348B">
              <w:rPr>
                <w:rFonts w:cs="Calibri"/>
                <w:noProof w:val="0"/>
                <w:color w:val="FFFFFF"/>
                <w:vertAlign w:val="superscript"/>
              </w:rPr>
              <w:t>o</w:t>
            </w:r>
            <w:r w:rsidRPr="00D9348B">
              <w:rPr>
                <w:rFonts w:cs="Calibri"/>
                <w:noProof w:val="0"/>
                <w:color w:val="FFFFFF"/>
              </w:rPr>
              <w:t xml:space="preserve">) </w:t>
            </w:r>
          </w:p>
        </w:tc>
        <w:tc>
          <w:tcPr>
            <w:tcW w:w="1304" w:type="dxa"/>
            <w:tcBorders>
              <w:top w:val="single" w:sz="4" w:space="0" w:color="365F91"/>
              <w:left w:val="nil"/>
              <w:bottom w:val="single" w:sz="4" w:space="0" w:color="365F91"/>
              <w:right w:val="nil"/>
            </w:tcBorders>
            <w:shd w:val="clear" w:color="auto" w:fill="365F91"/>
            <w:vAlign w:val="bottom"/>
          </w:tcPr>
          <w:p w14:paraId="258F90E8" w14:textId="77777777" w:rsidR="00F849A7" w:rsidRPr="00D9348B" w:rsidRDefault="00F849A7" w:rsidP="00804C17">
            <w:pPr>
              <w:pStyle w:val="TableTextBold"/>
              <w:keepNext/>
              <w:jc w:val="right"/>
              <w:rPr>
                <w:rFonts w:cs="Calibri"/>
                <w:noProof w:val="0"/>
                <w:color w:val="FFFFFF"/>
              </w:rPr>
            </w:pPr>
            <w:r w:rsidRPr="00D9348B">
              <w:rPr>
                <w:rFonts w:cs="Calibri"/>
                <w:noProof w:val="0"/>
                <w:color w:val="FFFFFF"/>
              </w:rPr>
              <w:t xml:space="preserve">Total </w:t>
            </w:r>
          </w:p>
        </w:tc>
      </w:tr>
      <w:tr w:rsidR="00F849A7" w:rsidRPr="00D9348B" w14:paraId="26C80B40" w14:textId="77777777" w:rsidTr="00CF364B">
        <w:tc>
          <w:tcPr>
            <w:tcW w:w="1901" w:type="dxa"/>
            <w:tcBorders>
              <w:top w:val="single" w:sz="4" w:space="0" w:color="365F91"/>
              <w:left w:val="nil"/>
              <w:bottom w:val="single" w:sz="4" w:space="0" w:color="365F91"/>
              <w:right w:val="nil"/>
            </w:tcBorders>
            <w:shd w:val="clear" w:color="auto" w:fill="auto"/>
          </w:tcPr>
          <w:p w14:paraId="7428377B" w14:textId="77777777" w:rsidR="00F849A7" w:rsidRPr="00D9348B" w:rsidRDefault="00F849A7" w:rsidP="00804C17">
            <w:pPr>
              <w:pStyle w:val="TableText"/>
              <w:keepNext/>
              <w:spacing w:before="50" w:after="50"/>
              <w:rPr>
                <w:rFonts w:cs="Calibri"/>
              </w:rPr>
            </w:pPr>
            <w:r w:rsidRPr="00D9348B">
              <w:rPr>
                <w:rFonts w:cs="Calibri"/>
              </w:rPr>
              <w:t>Dairy cattle urine</w:t>
            </w:r>
          </w:p>
        </w:tc>
        <w:tc>
          <w:tcPr>
            <w:tcW w:w="1304" w:type="dxa"/>
            <w:tcBorders>
              <w:top w:val="single" w:sz="4" w:space="0" w:color="365F91"/>
              <w:left w:val="nil"/>
              <w:bottom w:val="single" w:sz="4" w:space="0" w:color="365F91"/>
              <w:right w:val="nil"/>
            </w:tcBorders>
            <w:shd w:val="clear" w:color="auto" w:fill="auto"/>
          </w:tcPr>
          <w:p w14:paraId="45E5502F" w14:textId="77777777" w:rsidR="00F849A7" w:rsidRPr="00D9348B" w:rsidRDefault="00F849A7" w:rsidP="00804C17">
            <w:pPr>
              <w:pStyle w:val="TableText"/>
              <w:keepNext/>
              <w:spacing w:before="50" w:after="50"/>
              <w:jc w:val="right"/>
              <w:rPr>
                <w:rFonts w:cs="Calibri"/>
              </w:rPr>
            </w:pPr>
            <w:r w:rsidRPr="00D9348B">
              <w:rPr>
                <w:rFonts w:cs="Calibri"/>
              </w:rPr>
              <w:t>341 (57)</w:t>
            </w:r>
          </w:p>
        </w:tc>
        <w:tc>
          <w:tcPr>
            <w:tcW w:w="1304" w:type="dxa"/>
            <w:tcBorders>
              <w:top w:val="single" w:sz="4" w:space="0" w:color="365F91"/>
              <w:left w:val="nil"/>
              <w:bottom w:val="single" w:sz="4" w:space="0" w:color="365F91"/>
              <w:right w:val="nil"/>
            </w:tcBorders>
            <w:shd w:val="clear" w:color="auto" w:fill="auto"/>
          </w:tcPr>
          <w:p w14:paraId="09420780" w14:textId="77777777" w:rsidR="00F849A7" w:rsidRPr="00D9348B" w:rsidRDefault="00F849A7" w:rsidP="00804C17">
            <w:pPr>
              <w:pStyle w:val="TableText"/>
              <w:keepNext/>
              <w:spacing w:before="50" w:after="50"/>
              <w:jc w:val="right"/>
              <w:rPr>
                <w:rFonts w:cs="Calibri"/>
              </w:rPr>
            </w:pPr>
            <w:r w:rsidRPr="00D9348B">
              <w:rPr>
                <w:rFonts w:cs="Calibri"/>
              </w:rPr>
              <w:t>108 (22)</w:t>
            </w:r>
          </w:p>
        </w:tc>
        <w:tc>
          <w:tcPr>
            <w:tcW w:w="1304" w:type="dxa"/>
            <w:tcBorders>
              <w:top w:val="single" w:sz="4" w:space="0" w:color="365F91"/>
              <w:left w:val="nil"/>
              <w:bottom w:val="single" w:sz="4" w:space="0" w:color="365F91"/>
              <w:right w:val="nil"/>
            </w:tcBorders>
            <w:shd w:val="clear" w:color="auto" w:fill="auto"/>
          </w:tcPr>
          <w:p w14:paraId="4526669B" w14:textId="77777777" w:rsidR="00F849A7" w:rsidRPr="00D9348B" w:rsidRDefault="00F849A7" w:rsidP="00804C17">
            <w:pPr>
              <w:pStyle w:val="TableText"/>
              <w:keepNext/>
              <w:spacing w:before="50" w:after="50"/>
              <w:jc w:val="right"/>
              <w:rPr>
                <w:rFonts w:cs="Calibri"/>
              </w:rPr>
            </w:pPr>
            <w:r w:rsidRPr="00D9348B">
              <w:rPr>
                <w:rFonts w:cs="Calibri"/>
              </w:rPr>
              <w:t>20 (4)</w:t>
            </w:r>
          </w:p>
        </w:tc>
        <w:tc>
          <w:tcPr>
            <w:tcW w:w="1304" w:type="dxa"/>
            <w:tcBorders>
              <w:top w:val="single" w:sz="4" w:space="0" w:color="365F91"/>
              <w:left w:val="nil"/>
              <w:bottom w:val="single" w:sz="4" w:space="0" w:color="365F91"/>
              <w:right w:val="nil"/>
            </w:tcBorders>
            <w:shd w:val="clear" w:color="auto" w:fill="auto"/>
          </w:tcPr>
          <w:p w14:paraId="6D3B2F7B" w14:textId="77777777" w:rsidR="00F849A7" w:rsidRPr="00D9348B" w:rsidRDefault="00F849A7" w:rsidP="00804C17">
            <w:pPr>
              <w:pStyle w:val="TableText"/>
              <w:keepNext/>
              <w:spacing w:before="50" w:after="50"/>
              <w:jc w:val="right"/>
              <w:rPr>
                <w:rFonts w:cs="Calibri"/>
              </w:rPr>
            </w:pPr>
            <w:r w:rsidRPr="00D9348B">
              <w:rPr>
                <w:rFonts w:cs="Calibri"/>
              </w:rPr>
              <w:t xml:space="preserve"> </w:t>
            </w:r>
          </w:p>
        </w:tc>
        <w:tc>
          <w:tcPr>
            <w:tcW w:w="1304" w:type="dxa"/>
            <w:tcBorders>
              <w:top w:val="single" w:sz="4" w:space="0" w:color="365F91"/>
              <w:left w:val="nil"/>
              <w:bottom w:val="single" w:sz="4" w:space="0" w:color="365F91"/>
              <w:right w:val="nil"/>
            </w:tcBorders>
            <w:shd w:val="clear" w:color="auto" w:fill="auto"/>
          </w:tcPr>
          <w:p w14:paraId="12998676" w14:textId="77777777" w:rsidR="00F849A7" w:rsidRPr="00D9348B" w:rsidRDefault="00F849A7" w:rsidP="00804C17">
            <w:pPr>
              <w:pStyle w:val="TableText"/>
              <w:keepNext/>
              <w:spacing w:before="50" w:after="50"/>
              <w:jc w:val="right"/>
              <w:rPr>
                <w:rFonts w:cs="Calibri"/>
              </w:rPr>
            </w:pPr>
            <w:r w:rsidRPr="00D9348B">
              <w:rPr>
                <w:rFonts w:cs="Calibri"/>
              </w:rPr>
              <w:t>469 (83)</w:t>
            </w:r>
          </w:p>
        </w:tc>
      </w:tr>
      <w:tr w:rsidR="00F849A7" w:rsidRPr="00D9348B" w14:paraId="19407D99" w14:textId="77777777" w:rsidTr="00CF364B">
        <w:tc>
          <w:tcPr>
            <w:tcW w:w="1901" w:type="dxa"/>
            <w:tcBorders>
              <w:top w:val="single" w:sz="4" w:space="0" w:color="365F91"/>
              <w:left w:val="nil"/>
              <w:bottom w:val="single" w:sz="4" w:space="0" w:color="365F91"/>
              <w:right w:val="nil"/>
            </w:tcBorders>
            <w:shd w:val="clear" w:color="auto" w:fill="auto"/>
          </w:tcPr>
          <w:p w14:paraId="63645A6F" w14:textId="77777777" w:rsidR="00F849A7" w:rsidRPr="00D9348B" w:rsidRDefault="00F849A7" w:rsidP="00804C17">
            <w:pPr>
              <w:pStyle w:val="TableText"/>
              <w:keepNext/>
              <w:spacing w:before="50" w:after="50"/>
              <w:rPr>
                <w:rFonts w:cs="Calibri"/>
              </w:rPr>
            </w:pPr>
            <w:r w:rsidRPr="00D9348B">
              <w:rPr>
                <w:rFonts w:cs="Calibri"/>
              </w:rPr>
              <w:t>Dairy cattle dung</w:t>
            </w:r>
          </w:p>
        </w:tc>
        <w:tc>
          <w:tcPr>
            <w:tcW w:w="1304" w:type="dxa"/>
            <w:tcBorders>
              <w:top w:val="single" w:sz="4" w:space="0" w:color="365F91"/>
              <w:left w:val="nil"/>
              <w:bottom w:val="single" w:sz="4" w:space="0" w:color="365F91"/>
              <w:right w:val="nil"/>
            </w:tcBorders>
            <w:shd w:val="clear" w:color="auto" w:fill="auto"/>
          </w:tcPr>
          <w:p w14:paraId="1BEE3968" w14:textId="77777777" w:rsidR="00F849A7" w:rsidRPr="00D9348B" w:rsidRDefault="00F849A7" w:rsidP="00804C17">
            <w:pPr>
              <w:pStyle w:val="TableText"/>
              <w:keepNext/>
              <w:spacing w:before="50" w:after="50"/>
              <w:jc w:val="right"/>
              <w:rPr>
                <w:rFonts w:cs="Calibri"/>
              </w:rPr>
            </w:pPr>
            <w:r w:rsidRPr="00D9348B">
              <w:rPr>
                <w:rFonts w:cs="Calibri"/>
              </w:rPr>
              <w:t>84 (19)</w:t>
            </w:r>
          </w:p>
        </w:tc>
        <w:tc>
          <w:tcPr>
            <w:tcW w:w="1304" w:type="dxa"/>
            <w:tcBorders>
              <w:top w:val="single" w:sz="4" w:space="0" w:color="365F91"/>
              <w:left w:val="nil"/>
              <w:bottom w:val="single" w:sz="4" w:space="0" w:color="365F91"/>
              <w:right w:val="nil"/>
            </w:tcBorders>
            <w:shd w:val="clear" w:color="auto" w:fill="auto"/>
          </w:tcPr>
          <w:p w14:paraId="1D1CFF89" w14:textId="77777777" w:rsidR="00F849A7" w:rsidRPr="00D9348B" w:rsidRDefault="00F849A7" w:rsidP="00804C17">
            <w:pPr>
              <w:pStyle w:val="TableText"/>
              <w:keepNext/>
              <w:spacing w:before="50" w:after="50"/>
              <w:jc w:val="right"/>
              <w:rPr>
                <w:rFonts w:cs="Calibri"/>
              </w:rPr>
            </w:pPr>
            <w:r w:rsidRPr="00D9348B">
              <w:rPr>
                <w:rFonts w:cs="Calibri"/>
              </w:rPr>
              <w:t>46 (9)</w:t>
            </w:r>
          </w:p>
        </w:tc>
        <w:tc>
          <w:tcPr>
            <w:tcW w:w="1304" w:type="dxa"/>
            <w:tcBorders>
              <w:top w:val="single" w:sz="4" w:space="0" w:color="365F91"/>
              <w:left w:val="nil"/>
              <w:bottom w:val="single" w:sz="4" w:space="0" w:color="365F91"/>
              <w:right w:val="nil"/>
            </w:tcBorders>
            <w:shd w:val="clear" w:color="auto" w:fill="auto"/>
          </w:tcPr>
          <w:p w14:paraId="7C83D972" w14:textId="77777777" w:rsidR="00F849A7" w:rsidRPr="00D9348B" w:rsidRDefault="00F849A7" w:rsidP="00804C17">
            <w:pPr>
              <w:pStyle w:val="TableText"/>
              <w:keepNext/>
              <w:spacing w:before="50" w:after="50"/>
              <w:jc w:val="right"/>
              <w:rPr>
                <w:rFonts w:cs="Calibri"/>
              </w:rPr>
            </w:pPr>
            <w:r w:rsidRPr="00D9348B">
              <w:rPr>
                <w:rFonts w:cs="Calibri"/>
              </w:rPr>
              <w:t>20 (4)</w:t>
            </w:r>
          </w:p>
        </w:tc>
        <w:tc>
          <w:tcPr>
            <w:tcW w:w="1304" w:type="dxa"/>
            <w:tcBorders>
              <w:top w:val="single" w:sz="4" w:space="0" w:color="365F91"/>
              <w:left w:val="nil"/>
              <w:bottom w:val="single" w:sz="4" w:space="0" w:color="365F91"/>
              <w:right w:val="nil"/>
            </w:tcBorders>
            <w:shd w:val="clear" w:color="auto" w:fill="auto"/>
          </w:tcPr>
          <w:p w14:paraId="6939F0D5" w14:textId="77777777" w:rsidR="00F849A7" w:rsidRPr="00D9348B" w:rsidRDefault="00F849A7" w:rsidP="00804C17">
            <w:pPr>
              <w:pStyle w:val="TableText"/>
              <w:keepNext/>
              <w:spacing w:before="50" w:after="50"/>
              <w:jc w:val="right"/>
              <w:rPr>
                <w:rFonts w:cs="Calibri"/>
              </w:rPr>
            </w:pPr>
            <w:r w:rsidRPr="00D9348B">
              <w:rPr>
                <w:rFonts w:cs="Calibri"/>
              </w:rPr>
              <w:t xml:space="preserve"> </w:t>
            </w:r>
          </w:p>
        </w:tc>
        <w:tc>
          <w:tcPr>
            <w:tcW w:w="1304" w:type="dxa"/>
            <w:tcBorders>
              <w:top w:val="single" w:sz="4" w:space="0" w:color="365F91"/>
              <w:left w:val="nil"/>
              <w:bottom w:val="single" w:sz="4" w:space="0" w:color="365F91"/>
              <w:right w:val="nil"/>
            </w:tcBorders>
            <w:shd w:val="clear" w:color="auto" w:fill="auto"/>
          </w:tcPr>
          <w:p w14:paraId="6ED9167C" w14:textId="77777777" w:rsidR="00F849A7" w:rsidRPr="00D9348B" w:rsidRDefault="00F849A7" w:rsidP="00804C17">
            <w:pPr>
              <w:pStyle w:val="TableText"/>
              <w:keepNext/>
              <w:spacing w:before="50" w:after="50"/>
              <w:jc w:val="right"/>
              <w:rPr>
                <w:rFonts w:cs="Calibri"/>
              </w:rPr>
            </w:pPr>
            <w:r w:rsidRPr="00D9348B">
              <w:rPr>
                <w:rFonts w:cs="Calibri"/>
              </w:rPr>
              <w:t>150 (32)</w:t>
            </w:r>
          </w:p>
        </w:tc>
      </w:tr>
      <w:tr w:rsidR="00F849A7" w:rsidRPr="00D9348B" w14:paraId="76709B63" w14:textId="77777777" w:rsidTr="00CF364B">
        <w:tc>
          <w:tcPr>
            <w:tcW w:w="1901" w:type="dxa"/>
            <w:tcBorders>
              <w:top w:val="single" w:sz="4" w:space="0" w:color="365F91"/>
              <w:left w:val="nil"/>
              <w:bottom w:val="single" w:sz="4" w:space="0" w:color="365F91"/>
              <w:right w:val="nil"/>
            </w:tcBorders>
            <w:shd w:val="clear" w:color="auto" w:fill="auto"/>
          </w:tcPr>
          <w:p w14:paraId="5A1F1572" w14:textId="77777777" w:rsidR="00F849A7" w:rsidRPr="00D9348B" w:rsidRDefault="00F849A7" w:rsidP="00804C17">
            <w:pPr>
              <w:pStyle w:val="TableText"/>
              <w:keepNext/>
              <w:spacing w:before="50" w:after="50"/>
              <w:rPr>
                <w:rFonts w:cs="Calibri"/>
              </w:rPr>
            </w:pPr>
            <w:r w:rsidRPr="00D9348B">
              <w:rPr>
                <w:rFonts w:cs="Calibri"/>
              </w:rPr>
              <w:t>Non-dairy cattle urine</w:t>
            </w:r>
          </w:p>
        </w:tc>
        <w:tc>
          <w:tcPr>
            <w:tcW w:w="1304" w:type="dxa"/>
            <w:tcBorders>
              <w:top w:val="single" w:sz="4" w:space="0" w:color="365F91"/>
              <w:left w:val="nil"/>
              <w:bottom w:val="single" w:sz="4" w:space="0" w:color="365F91"/>
              <w:right w:val="nil"/>
            </w:tcBorders>
            <w:shd w:val="clear" w:color="auto" w:fill="auto"/>
          </w:tcPr>
          <w:p w14:paraId="75869F76" w14:textId="77777777" w:rsidR="00F849A7" w:rsidRPr="00D9348B" w:rsidRDefault="00F849A7" w:rsidP="00804C17">
            <w:pPr>
              <w:pStyle w:val="TableText"/>
              <w:keepNext/>
              <w:spacing w:before="50" w:after="50"/>
              <w:jc w:val="right"/>
              <w:rPr>
                <w:rFonts w:cs="Calibri"/>
              </w:rPr>
            </w:pPr>
            <w:r w:rsidRPr="00D9348B">
              <w:rPr>
                <w:rFonts w:cs="Calibri"/>
              </w:rPr>
              <w:t>8 (1)</w:t>
            </w:r>
          </w:p>
        </w:tc>
        <w:tc>
          <w:tcPr>
            <w:tcW w:w="1304" w:type="dxa"/>
            <w:tcBorders>
              <w:top w:val="single" w:sz="4" w:space="0" w:color="365F91"/>
              <w:left w:val="nil"/>
              <w:bottom w:val="single" w:sz="4" w:space="0" w:color="365F91"/>
              <w:right w:val="nil"/>
            </w:tcBorders>
            <w:shd w:val="clear" w:color="auto" w:fill="auto"/>
          </w:tcPr>
          <w:p w14:paraId="48A06508" w14:textId="77777777" w:rsidR="00F849A7" w:rsidRPr="00D9348B" w:rsidRDefault="00F849A7" w:rsidP="00804C17">
            <w:pPr>
              <w:pStyle w:val="TableText"/>
              <w:keepNext/>
              <w:spacing w:before="50" w:after="50"/>
              <w:jc w:val="right"/>
              <w:rPr>
                <w:rFonts w:cs="Calibri"/>
              </w:rPr>
            </w:pPr>
            <w:r w:rsidRPr="00D9348B">
              <w:rPr>
                <w:rFonts w:cs="Calibri"/>
              </w:rPr>
              <w:t>40 (8)</w:t>
            </w:r>
          </w:p>
        </w:tc>
        <w:tc>
          <w:tcPr>
            <w:tcW w:w="1304" w:type="dxa"/>
            <w:tcBorders>
              <w:top w:val="single" w:sz="4" w:space="0" w:color="365F91"/>
              <w:left w:val="nil"/>
              <w:bottom w:val="single" w:sz="4" w:space="0" w:color="365F91"/>
              <w:right w:val="nil"/>
            </w:tcBorders>
            <w:shd w:val="clear" w:color="auto" w:fill="auto"/>
          </w:tcPr>
          <w:p w14:paraId="4C50C4CA" w14:textId="77777777" w:rsidR="00F849A7" w:rsidRPr="00D9348B" w:rsidRDefault="00F849A7" w:rsidP="00804C17">
            <w:pPr>
              <w:pStyle w:val="TableText"/>
              <w:keepNext/>
              <w:spacing w:before="50" w:after="50"/>
              <w:jc w:val="right"/>
              <w:rPr>
                <w:rFonts w:cs="Calibri"/>
              </w:rPr>
            </w:pPr>
            <w:r w:rsidRPr="00D9348B">
              <w:rPr>
                <w:rFonts w:cs="Calibri"/>
              </w:rPr>
              <w:t>60 (12)</w:t>
            </w:r>
          </w:p>
        </w:tc>
        <w:tc>
          <w:tcPr>
            <w:tcW w:w="1304" w:type="dxa"/>
            <w:tcBorders>
              <w:top w:val="single" w:sz="4" w:space="0" w:color="365F91"/>
              <w:left w:val="nil"/>
              <w:bottom w:val="single" w:sz="4" w:space="0" w:color="365F91"/>
              <w:right w:val="nil"/>
            </w:tcBorders>
            <w:shd w:val="clear" w:color="auto" w:fill="auto"/>
          </w:tcPr>
          <w:p w14:paraId="519A4DE7" w14:textId="77777777" w:rsidR="00F849A7" w:rsidRPr="00D9348B" w:rsidRDefault="00F849A7" w:rsidP="00804C17">
            <w:pPr>
              <w:pStyle w:val="TableText"/>
              <w:keepNext/>
              <w:spacing w:before="50" w:after="50"/>
              <w:jc w:val="right"/>
              <w:rPr>
                <w:rFonts w:cs="Calibri"/>
              </w:rPr>
            </w:pPr>
            <w:r w:rsidRPr="00D9348B">
              <w:rPr>
                <w:rFonts w:cs="Calibri"/>
              </w:rPr>
              <w:t>20 (4)</w:t>
            </w:r>
          </w:p>
        </w:tc>
        <w:tc>
          <w:tcPr>
            <w:tcW w:w="1304" w:type="dxa"/>
            <w:tcBorders>
              <w:top w:val="single" w:sz="4" w:space="0" w:color="365F91"/>
              <w:left w:val="nil"/>
              <w:bottom w:val="single" w:sz="4" w:space="0" w:color="365F91"/>
              <w:right w:val="nil"/>
            </w:tcBorders>
            <w:shd w:val="clear" w:color="auto" w:fill="auto"/>
          </w:tcPr>
          <w:p w14:paraId="27AB6C90" w14:textId="77777777" w:rsidR="00F849A7" w:rsidRPr="00D9348B" w:rsidRDefault="00F849A7" w:rsidP="00804C17">
            <w:pPr>
              <w:pStyle w:val="TableText"/>
              <w:keepNext/>
              <w:spacing w:before="50" w:after="50"/>
              <w:jc w:val="right"/>
              <w:rPr>
                <w:rFonts w:cs="Calibri"/>
              </w:rPr>
            </w:pPr>
            <w:r w:rsidRPr="00D9348B">
              <w:rPr>
                <w:rFonts w:cs="Calibri"/>
              </w:rPr>
              <w:t>128 (25)</w:t>
            </w:r>
          </w:p>
        </w:tc>
      </w:tr>
      <w:tr w:rsidR="00F849A7" w:rsidRPr="00D9348B" w14:paraId="2D8C1C67" w14:textId="77777777" w:rsidTr="00CF364B">
        <w:tc>
          <w:tcPr>
            <w:tcW w:w="1901" w:type="dxa"/>
            <w:tcBorders>
              <w:top w:val="single" w:sz="4" w:space="0" w:color="365F91"/>
              <w:left w:val="nil"/>
              <w:bottom w:val="single" w:sz="4" w:space="0" w:color="365F91"/>
              <w:right w:val="nil"/>
            </w:tcBorders>
            <w:shd w:val="clear" w:color="auto" w:fill="auto"/>
          </w:tcPr>
          <w:p w14:paraId="59062551" w14:textId="77777777" w:rsidR="00F849A7" w:rsidRPr="00D9348B" w:rsidRDefault="00F849A7" w:rsidP="00804C17">
            <w:pPr>
              <w:pStyle w:val="TableText"/>
              <w:keepNext/>
              <w:spacing w:before="50" w:after="50"/>
              <w:rPr>
                <w:rFonts w:cs="Calibri"/>
              </w:rPr>
            </w:pPr>
            <w:r w:rsidRPr="00D9348B">
              <w:rPr>
                <w:rFonts w:cs="Calibri"/>
              </w:rPr>
              <w:t>Non-dairy cattle dung</w:t>
            </w:r>
          </w:p>
        </w:tc>
        <w:tc>
          <w:tcPr>
            <w:tcW w:w="1304" w:type="dxa"/>
            <w:tcBorders>
              <w:top w:val="single" w:sz="4" w:space="0" w:color="365F91"/>
              <w:left w:val="nil"/>
              <w:bottom w:val="single" w:sz="4" w:space="0" w:color="365F91"/>
              <w:right w:val="nil"/>
            </w:tcBorders>
            <w:shd w:val="clear" w:color="auto" w:fill="auto"/>
          </w:tcPr>
          <w:p w14:paraId="5BD2741C" w14:textId="77777777" w:rsidR="00F849A7" w:rsidRPr="00D9348B" w:rsidRDefault="00F849A7" w:rsidP="00804C17">
            <w:pPr>
              <w:pStyle w:val="TableText"/>
              <w:keepNext/>
              <w:spacing w:before="50" w:after="50"/>
              <w:jc w:val="right"/>
              <w:rPr>
                <w:rFonts w:cs="Calibri"/>
              </w:rPr>
            </w:pPr>
            <w:r w:rsidRPr="00D9348B">
              <w:rPr>
                <w:rFonts w:cs="Calibri"/>
              </w:rPr>
              <w:t xml:space="preserve"> </w:t>
            </w:r>
          </w:p>
        </w:tc>
        <w:tc>
          <w:tcPr>
            <w:tcW w:w="1304" w:type="dxa"/>
            <w:tcBorders>
              <w:top w:val="single" w:sz="4" w:space="0" w:color="365F91"/>
              <w:left w:val="nil"/>
              <w:bottom w:val="single" w:sz="4" w:space="0" w:color="365F91"/>
              <w:right w:val="nil"/>
            </w:tcBorders>
            <w:shd w:val="clear" w:color="auto" w:fill="auto"/>
          </w:tcPr>
          <w:p w14:paraId="33BD2E4A" w14:textId="77777777" w:rsidR="00F849A7" w:rsidRPr="00D9348B" w:rsidRDefault="00F849A7" w:rsidP="00804C17">
            <w:pPr>
              <w:pStyle w:val="TableText"/>
              <w:keepNext/>
              <w:spacing w:before="50" w:after="50"/>
              <w:jc w:val="right"/>
              <w:rPr>
                <w:rFonts w:cs="Calibri"/>
              </w:rPr>
            </w:pPr>
            <w:r w:rsidRPr="00D9348B">
              <w:rPr>
                <w:rFonts w:cs="Calibri"/>
              </w:rPr>
              <w:t>76 (16)</w:t>
            </w:r>
          </w:p>
        </w:tc>
        <w:tc>
          <w:tcPr>
            <w:tcW w:w="1304" w:type="dxa"/>
            <w:tcBorders>
              <w:top w:val="single" w:sz="4" w:space="0" w:color="365F91"/>
              <w:left w:val="nil"/>
              <w:bottom w:val="single" w:sz="4" w:space="0" w:color="365F91"/>
              <w:right w:val="nil"/>
            </w:tcBorders>
            <w:shd w:val="clear" w:color="auto" w:fill="auto"/>
          </w:tcPr>
          <w:p w14:paraId="7BA597BC" w14:textId="77777777" w:rsidR="00F849A7" w:rsidRPr="00D9348B" w:rsidRDefault="00F849A7" w:rsidP="00804C17">
            <w:pPr>
              <w:pStyle w:val="TableText"/>
              <w:keepNext/>
              <w:spacing w:before="50" w:after="50"/>
              <w:jc w:val="right"/>
              <w:rPr>
                <w:rFonts w:cs="Calibri"/>
              </w:rPr>
            </w:pPr>
            <w:r w:rsidRPr="00D9348B">
              <w:rPr>
                <w:rFonts w:cs="Calibri"/>
              </w:rPr>
              <w:t>60 (12)</w:t>
            </w:r>
          </w:p>
        </w:tc>
        <w:tc>
          <w:tcPr>
            <w:tcW w:w="1304" w:type="dxa"/>
            <w:tcBorders>
              <w:top w:val="single" w:sz="4" w:space="0" w:color="365F91"/>
              <w:left w:val="nil"/>
              <w:bottom w:val="single" w:sz="4" w:space="0" w:color="365F91"/>
              <w:right w:val="nil"/>
            </w:tcBorders>
            <w:shd w:val="clear" w:color="auto" w:fill="auto"/>
          </w:tcPr>
          <w:p w14:paraId="1ABAF2BF" w14:textId="77777777" w:rsidR="00F849A7" w:rsidRPr="00D9348B" w:rsidRDefault="00F849A7" w:rsidP="00804C17">
            <w:pPr>
              <w:pStyle w:val="TableText"/>
              <w:keepNext/>
              <w:spacing w:before="50" w:after="50"/>
              <w:jc w:val="right"/>
              <w:rPr>
                <w:rFonts w:cs="Calibri"/>
              </w:rPr>
            </w:pPr>
            <w:r w:rsidRPr="00D9348B">
              <w:rPr>
                <w:rFonts w:cs="Calibri"/>
              </w:rPr>
              <w:t>20 (4)</w:t>
            </w:r>
          </w:p>
        </w:tc>
        <w:tc>
          <w:tcPr>
            <w:tcW w:w="1304" w:type="dxa"/>
            <w:tcBorders>
              <w:top w:val="single" w:sz="4" w:space="0" w:color="365F91"/>
              <w:left w:val="nil"/>
              <w:bottom w:val="single" w:sz="4" w:space="0" w:color="365F91"/>
              <w:right w:val="nil"/>
            </w:tcBorders>
            <w:shd w:val="clear" w:color="auto" w:fill="auto"/>
          </w:tcPr>
          <w:p w14:paraId="10FF4F26" w14:textId="77777777" w:rsidR="00F849A7" w:rsidRPr="00D9348B" w:rsidRDefault="00F849A7" w:rsidP="00804C17">
            <w:pPr>
              <w:pStyle w:val="TableText"/>
              <w:keepNext/>
              <w:spacing w:before="50" w:after="50"/>
              <w:jc w:val="right"/>
              <w:rPr>
                <w:rFonts w:cs="Calibri"/>
              </w:rPr>
            </w:pPr>
            <w:r w:rsidRPr="00D9348B">
              <w:rPr>
                <w:rFonts w:cs="Calibri"/>
              </w:rPr>
              <w:t>156 (32)</w:t>
            </w:r>
          </w:p>
        </w:tc>
      </w:tr>
      <w:tr w:rsidR="00F849A7" w:rsidRPr="00D9348B" w14:paraId="1E4A8A16" w14:textId="77777777" w:rsidTr="00CF364B">
        <w:tc>
          <w:tcPr>
            <w:tcW w:w="1901" w:type="dxa"/>
            <w:tcBorders>
              <w:top w:val="single" w:sz="4" w:space="0" w:color="365F91"/>
              <w:left w:val="nil"/>
              <w:bottom w:val="single" w:sz="4" w:space="0" w:color="365F91"/>
              <w:right w:val="nil"/>
            </w:tcBorders>
            <w:shd w:val="clear" w:color="auto" w:fill="auto"/>
          </w:tcPr>
          <w:p w14:paraId="732A6CB6" w14:textId="77777777" w:rsidR="00F849A7" w:rsidRPr="00D9348B" w:rsidRDefault="00F849A7" w:rsidP="00804C17">
            <w:pPr>
              <w:pStyle w:val="TableText"/>
              <w:keepNext/>
              <w:spacing w:before="50" w:after="50"/>
              <w:rPr>
                <w:rFonts w:cs="Calibri"/>
              </w:rPr>
            </w:pPr>
            <w:r w:rsidRPr="00D9348B">
              <w:rPr>
                <w:rFonts w:cs="Calibri"/>
              </w:rPr>
              <w:t>Sheep urine</w:t>
            </w:r>
          </w:p>
        </w:tc>
        <w:tc>
          <w:tcPr>
            <w:tcW w:w="1304" w:type="dxa"/>
            <w:tcBorders>
              <w:top w:val="single" w:sz="4" w:space="0" w:color="365F91"/>
              <w:left w:val="nil"/>
              <w:bottom w:val="single" w:sz="4" w:space="0" w:color="365F91"/>
              <w:right w:val="nil"/>
            </w:tcBorders>
            <w:shd w:val="clear" w:color="auto" w:fill="auto"/>
          </w:tcPr>
          <w:p w14:paraId="3D998564" w14:textId="77777777" w:rsidR="00F849A7" w:rsidRPr="00D9348B" w:rsidRDefault="00F849A7" w:rsidP="00804C17">
            <w:pPr>
              <w:pStyle w:val="TableText"/>
              <w:keepNext/>
              <w:spacing w:before="50" w:after="50"/>
              <w:jc w:val="right"/>
              <w:rPr>
                <w:rFonts w:cs="Calibri"/>
              </w:rPr>
            </w:pPr>
            <w:r w:rsidRPr="00D9348B">
              <w:rPr>
                <w:rFonts w:cs="Calibri"/>
              </w:rPr>
              <w:t>40 (7)</w:t>
            </w:r>
          </w:p>
        </w:tc>
        <w:tc>
          <w:tcPr>
            <w:tcW w:w="1304" w:type="dxa"/>
            <w:tcBorders>
              <w:top w:val="single" w:sz="4" w:space="0" w:color="365F91"/>
              <w:left w:val="nil"/>
              <w:bottom w:val="single" w:sz="4" w:space="0" w:color="365F91"/>
              <w:right w:val="nil"/>
            </w:tcBorders>
            <w:shd w:val="clear" w:color="auto" w:fill="auto"/>
          </w:tcPr>
          <w:p w14:paraId="459F3029" w14:textId="77777777" w:rsidR="00F849A7" w:rsidRPr="00D9348B" w:rsidRDefault="00F849A7" w:rsidP="00804C17">
            <w:pPr>
              <w:pStyle w:val="TableText"/>
              <w:keepNext/>
              <w:spacing w:before="50" w:after="50"/>
              <w:jc w:val="right"/>
              <w:rPr>
                <w:rFonts w:cs="Calibri"/>
              </w:rPr>
            </w:pPr>
            <w:r w:rsidRPr="00D9348B">
              <w:rPr>
                <w:rFonts w:cs="Calibri"/>
              </w:rPr>
              <w:t>64 (12)</w:t>
            </w:r>
          </w:p>
        </w:tc>
        <w:tc>
          <w:tcPr>
            <w:tcW w:w="1304" w:type="dxa"/>
            <w:tcBorders>
              <w:top w:val="single" w:sz="4" w:space="0" w:color="365F91"/>
              <w:left w:val="nil"/>
              <w:bottom w:val="single" w:sz="4" w:space="0" w:color="365F91"/>
              <w:right w:val="nil"/>
            </w:tcBorders>
            <w:shd w:val="clear" w:color="auto" w:fill="auto"/>
          </w:tcPr>
          <w:p w14:paraId="07075EC7" w14:textId="77777777" w:rsidR="00F849A7" w:rsidRPr="00D9348B" w:rsidRDefault="00F849A7" w:rsidP="00804C17">
            <w:pPr>
              <w:pStyle w:val="TableText"/>
              <w:keepNext/>
              <w:spacing w:before="50" w:after="50"/>
              <w:jc w:val="right"/>
              <w:rPr>
                <w:rFonts w:cs="Calibri"/>
              </w:rPr>
            </w:pPr>
            <w:r w:rsidRPr="00D9348B">
              <w:rPr>
                <w:rFonts w:cs="Calibri"/>
              </w:rPr>
              <w:t>60 (12)</w:t>
            </w:r>
          </w:p>
        </w:tc>
        <w:tc>
          <w:tcPr>
            <w:tcW w:w="1304" w:type="dxa"/>
            <w:tcBorders>
              <w:top w:val="single" w:sz="4" w:space="0" w:color="365F91"/>
              <w:left w:val="nil"/>
              <w:bottom w:val="single" w:sz="4" w:space="0" w:color="365F91"/>
              <w:right w:val="nil"/>
            </w:tcBorders>
            <w:shd w:val="clear" w:color="auto" w:fill="auto"/>
          </w:tcPr>
          <w:p w14:paraId="40CBAF84" w14:textId="77777777" w:rsidR="00F849A7" w:rsidRPr="00D9348B" w:rsidRDefault="00F849A7" w:rsidP="00804C17">
            <w:pPr>
              <w:pStyle w:val="TableText"/>
              <w:keepNext/>
              <w:spacing w:before="50" w:after="50"/>
              <w:jc w:val="right"/>
              <w:rPr>
                <w:rFonts w:cs="Calibri"/>
              </w:rPr>
            </w:pPr>
            <w:r w:rsidRPr="00D9348B">
              <w:rPr>
                <w:rFonts w:cs="Calibri"/>
              </w:rPr>
              <w:t>20 (4)</w:t>
            </w:r>
          </w:p>
        </w:tc>
        <w:tc>
          <w:tcPr>
            <w:tcW w:w="1304" w:type="dxa"/>
            <w:tcBorders>
              <w:top w:val="single" w:sz="4" w:space="0" w:color="365F91"/>
              <w:left w:val="nil"/>
              <w:bottom w:val="single" w:sz="4" w:space="0" w:color="365F91"/>
              <w:right w:val="nil"/>
            </w:tcBorders>
            <w:shd w:val="clear" w:color="auto" w:fill="auto"/>
          </w:tcPr>
          <w:p w14:paraId="61192FC5" w14:textId="77777777" w:rsidR="00F849A7" w:rsidRPr="00D9348B" w:rsidRDefault="00F849A7" w:rsidP="00804C17">
            <w:pPr>
              <w:pStyle w:val="TableText"/>
              <w:keepNext/>
              <w:spacing w:before="50" w:after="50"/>
              <w:jc w:val="right"/>
              <w:rPr>
                <w:rFonts w:cs="Calibri"/>
              </w:rPr>
            </w:pPr>
            <w:r w:rsidRPr="00D9348B">
              <w:rPr>
                <w:rFonts w:cs="Calibri"/>
              </w:rPr>
              <w:t>184 (35)</w:t>
            </w:r>
          </w:p>
        </w:tc>
      </w:tr>
      <w:tr w:rsidR="00F849A7" w:rsidRPr="00D9348B" w14:paraId="52B31BA3" w14:textId="77777777" w:rsidTr="00CF364B">
        <w:tc>
          <w:tcPr>
            <w:tcW w:w="1901" w:type="dxa"/>
            <w:tcBorders>
              <w:top w:val="single" w:sz="4" w:space="0" w:color="365F91"/>
              <w:left w:val="nil"/>
              <w:bottom w:val="single" w:sz="4" w:space="0" w:color="365F91"/>
              <w:right w:val="nil"/>
            </w:tcBorders>
            <w:shd w:val="clear" w:color="auto" w:fill="auto"/>
          </w:tcPr>
          <w:p w14:paraId="2CA02896" w14:textId="77777777" w:rsidR="00F849A7" w:rsidRPr="00D9348B" w:rsidRDefault="00F849A7" w:rsidP="00DB330E">
            <w:pPr>
              <w:pStyle w:val="TableText"/>
              <w:spacing w:before="50" w:after="50"/>
              <w:rPr>
                <w:rFonts w:cs="Calibri"/>
              </w:rPr>
            </w:pPr>
            <w:r w:rsidRPr="00D9348B">
              <w:rPr>
                <w:rFonts w:cs="Calibri"/>
              </w:rPr>
              <w:t>Sheep dung</w:t>
            </w:r>
          </w:p>
        </w:tc>
        <w:tc>
          <w:tcPr>
            <w:tcW w:w="1304" w:type="dxa"/>
            <w:tcBorders>
              <w:top w:val="single" w:sz="4" w:space="0" w:color="365F91"/>
              <w:left w:val="nil"/>
              <w:bottom w:val="single" w:sz="4" w:space="0" w:color="365F91"/>
              <w:right w:val="nil"/>
            </w:tcBorders>
            <w:shd w:val="clear" w:color="auto" w:fill="auto"/>
          </w:tcPr>
          <w:p w14:paraId="1741DDFC" w14:textId="77777777" w:rsidR="00F849A7" w:rsidRPr="00D9348B" w:rsidRDefault="00F849A7" w:rsidP="00DB330E">
            <w:pPr>
              <w:pStyle w:val="TableText"/>
              <w:spacing w:before="50" w:after="50"/>
              <w:jc w:val="right"/>
              <w:rPr>
                <w:rFonts w:cs="Calibri"/>
              </w:rPr>
            </w:pPr>
            <w:r w:rsidRPr="00D9348B">
              <w:rPr>
                <w:rFonts w:cs="Calibri"/>
              </w:rPr>
              <w:t>54 (13)</w:t>
            </w:r>
          </w:p>
        </w:tc>
        <w:tc>
          <w:tcPr>
            <w:tcW w:w="1304" w:type="dxa"/>
            <w:tcBorders>
              <w:top w:val="single" w:sz="4" w:space="0" w:color="365F91"/>
              <w:left w:val="nil"/>
              <w:bottom w:val="single" w:sz="4" w:space="0" w:color="365F91"/>
              <w:right w:val="nil"/>
            </w:tcBorders>
            <w:shd w:val="clear" w:color="auto" w:fill="auto"/>
          </w:tcPr>
          <w:p w14:paraId="54EDB7B4" w14:textId="77777777" w:rsidR="00F849A7" w:rsidRPr="00D9348B" w:rsidRDefault="00F849A7" w:rsidP="00DB330E">
            <w:pPr>
              <w:pStyle w:val="TableText"/>
              <w:spacing w:before="50" w:after="50"/>
              <w:jc w:val="right"/>
              <w:rPr>
                <w:rFonts w:cs="Calibri"/>
              </w:rPr>
            </w:pPr>
            <w:r w:rsidRPr="00D9348B">
              <w:rPr>
                <w:rFonts w:cs="Calibri"/>
              </w:rPr>
              <w:t>36 (8)</w:t>
            </w:r>
          </w:p>
        </w:tc>
        <w:tc>
          <w:tcPr>
            <w:tcW w:w="1304" w:type="dxa"/>
            <w:tcBorders>
              <w:top w:val="single" w:sz="4" w:space="0" w:color="365F91"/>
              <w:left w:val="nil"/>
              <w:bottom w:val="single" w:sz="4" w:space="0" w:color="365F91"/>
              <w:right w:val="nil"/>
            </w:tcBorders>
            <w:shd w:val="clear" w:color="auto" w:fill="auto"/>
          </w:tcPr>
          <w:p w14:paraId="3EAD6635" w14:textId="77777777" w:rsidR="00F849A7" w:rsidRPr="00D9348B" w:rsidRDefault="00F849A7" w:rsidP="00DB330E">
            <w:pPr>
              <w:pStyle w:val="TableText"/>
              <w:spacing w:before="50" w:after="50"/>
              <w:jc w:val="right"/>
              <w:rPr>
                <w:rFonts w:cs="Calibri"/>
              </w:rPr>
            </w:pPr>
            <w:r w:rsidRPr="00D9348B">
              <w:rPr>
                <w:rFonts w:cs="Calibri"/>
              </w:rPr>
              <w:t>20 (4)</w:t>
            </w:r>
          </w:p>
        </w:tc>
        <w:tc>
          <w:tcPr>
            <w:tcW w:w="1304" w:type="dxa"/>
            <w:tcBorders>
              <w:top w:val="single" w:sz="4" w:space="0" w:color="365F91"/>
              <w:left w:val="nil"/>
              <w:bottom w:val="single" w:sz="4" w:space="0" w:color="365F91"/>
              <w:right w:val="nil"/>
            </w:tcBorders>
            <w:shd w:val="clear" w:color="auto" w:fill="auto"/>
          </w:tcPr>
          <w:p w14:paraId="1D36D5B9" w14:textId="77777777" w:rsidR="00F849A7" w:rsidRPr="00D9348B" w:rsidRDefault="00F849A7" w:rsidP="00DB330E">
            <w:pPr>
              <w:pStyle w:val="TableText"/>
              <w:spacing w:before="50" w:after="50"/>
              <w:jc w:val="right"/>
              <w:rPr>
                <w:rFonts w:cs="Calibri"/>
              </w:rPr>
            </w:pPr>
            <w:r w:rsidRPr="00D9348B">
              <w:rPr>
                <w:rFonts w:cs="Calibri"/>
              </w:rPr>
              <w:t>20 (4)</w:t>
            </w:r>
          </w:p>
        </w:tc>
        <w:tc>
          <w:tcPr>
            <w:tcW w:w="1304" w:type="dxa"/>
            <w:tcBorders>
              <w:top w:val="single" w:sz="4" w:space="0" w:color="365F91"/>
              <w:left w:val="nil"/>
              <w:bottom w:val="single" w:sz="4" w:space="0" w:color="365F91"/>
              <w:right w:val="nil"/>
            </w:tcBorders>
            <w:shd w:val="clear" w:color="auto" w:fill="auto"/>
          </w:tcPr>
          <w:p w14:paraId="5BB1E535" w14:textId="77777777" w:rsidR="00F849A7" w:rsidRPr="00D9348B" w:rsidRDefault="00F849A7" w:rsidP="00DB330E">
            <w:pPr>
              <w:pStyle w:val="TableText"/>
              <w:spacing w:before="50" w:after="50"/>
              <w:jc w:val="right"/>
              <w:rPr>
                <w:rFonts w:cs="Calibri"/>
              </w:rPr>
            </w:pPr>
            <w:r w:rsidRPr="00D9348B">
              <w:rPr>
                <w:rFonts w:cs="Calibri"/>
              </w:rPr>
              <w:t>130 (29)</w:t>
            </w:r>
          </w:p>
        </w:tc>
      </w:tr>
      <w:tr w:rsidR="00F849A7" w:rsidRPr="00D9348B" w14:paraId="3331A401" w14:textId="77777777" w:rsidTr="00CF364B">
        <w:tc>
          <w:tcPr>
            <w:tcW w:w="1901" w:type="dxa"/>
            <w:tcBorders>
              <w:top w:val="single" w:sz="4" w:space="0" w:color="365F91"/>
              <w:left w:val="nil"/>
              <w:bottom w:val="single" w:sz="4" w:space="0" w:color="365F91"/>
              <w:right w:val="nil"/>
            </w:tcBorders>
            <w:shd w:val="clear" w:color="auto" w:fill="auto"/>
          </w:tcPr>
          <w:p w14:paraId="3C381FF2" w14:textId="77777777" w:rsidR="00F849A7" w:rsidRPr="00D9348B" w:rsidRDefault="00F849A7" w:rsidP="00DB330E">
            <w:pPr>
              <w:pStyle w:val="Tableboldblue"/>
              <w:spacing w:before="50" w:after="50"/>
              <w:rPr>
                <w:rFonts w:cs="Calibri"/>
              </w:rPr>
            </w:pPr>
            <w:r w:rsidRPr="00D9348B">
              <w:rPr>
                <w:rFonts w:cs="Calibri"/>
              </w:rPr>
              <w:t>Total urine</w:t>
            </w:r>
          </w:p>
        </w:tc>
        <w:tc>
          <w:tcPr>
            <w:tcW w:w="1304" w:type="dxa"/>
            <w:tcBorders>
              <w:top w:val="single" w:sz="4" w:space="0" w:color="365F91"/>
              <w:left w:val="nil"/>
              <w:bottom w:val="single" w:sz="4" w:space="0" w:color="365F91"/>
              <w:right w:val="nil"/>
            </w:tcBorders>
            <w:shd w:val="clear" w:color="auto" w:fill="auto"/>
          </w:tcPr>
          <w:p w14:paraId="502E57B0" w14:textId="77777777" w:rsidR="00F849A7" w:rsidRPr="00D9348B" w:rsidRDefault="00F849A7" w:rsidP="00DB330E">
            <w:pPr>
              <w:pStyle w:val="Tableboldblue"/>
              <w:spacing w:before="50" w:after="50"/>
              <w:jc w:val="right"/>
              <w:rPr>
                <w:rFonts w:cs="Calibri"/>
              </w:rPr>
            </w:pPr>
            <w:r w:rsidRPr="00D9348B">
              <w:rPr>
                <w:rFonts w:cs="Calibri"/>
              </w:rPr>
              <w:t>389 (65)</w:t>
            </w:r>
          </w:p>
        </w:tc>
        <w:tc>
          <w:tcPr>
            <w:tcW w:w="1304" w:type="dxa"/>
            <w:tcBorders>
              <w:top w:val="single" w:sz="4" w:space="0" w:color="365F91"/>
              <w:left w:val="nil"/>
              <w:bottom w:val="single" w:sz="4" w:space="0" w:color="365F91"/>
              <w:right w:val="nil"/>
            </w:tcBorders>
            <w:shd w:val="clear" w:color="auto" w:fill="auto"/>
          </w:tcPr>
          <w:p w14:paraId="1CE6CD70" w14:textId="77777777" w:rsidR="00F849A7" w:rsidRPr="00D9348B" w:rsidRDefault="00F849A7" w:rsidP="00DB330E">
            <w:pPr>
              <w:pStyle w:val="Tableboldblue"/>
              <w:spacing w:before="50" w:after="50"/>
              <w:jc w:val="right"/>
              <w:rPr>
                <w:rFonts w:cs="Calibri"/>
              </w:rPr>
            </w:pPr>
            <w:r w:rsidRPr="00D9348B">
              <w:rPr>
                <w:rFonts w:cs="Calibri"/>
              </w:rPr>
              <w:t>212 (42)</w:t>
            </w:r>
          </w:p>
        </w:tc>
        <w:tc>
          <w:tcPr>
            <w:tcW w:w="1304" w:type="dxa"/>
            <w:tcBorders>
              <w:top w:val="single" w:sz="4" w:space="0" w:color="365F91"/>
              <w:left w:val="nil"/>
              <w:bottom w:val="single" w:sz="4" w:space="0" w:color="365F91"/>
              <w:right w:val="nil"/>
            </w:tcBorders>
            <w:shd w:val="clear" w:color="auto" w:fill="auto"/>
          </w:tcPr>
          <w:p w14:paraId="5D63F4A3" w14:textId="77777777" w:rsidR="00F849A7" w:rsidRPr="00D9348B" w:rsidRDefault="00F849A7" w:rsidP="00DB330E">
            <w:pPr>
              <w:pStyle w:val="Tableboldblue"/>
              <w:spacing w:before="50" w:after="50"/>
              <w:jc w:val="right"/>
              <w:rPr>
                <w:rFonts w:cs="Calibri"/>
              </w:rPr>
            </w:pPr>
            <w:r w:rsidRPr="00D9348B">
              <w:rPr>
                <w:rFonts w:cs="Calibri"/>
              </w:rPr>
              <w:t>140 (28)</w:t>
            </w:r>
          </w:p>
        </w:tc>
        <w:tc>
          <w:tcPr>
            <w:tcW w:w="1304" w:type="dxa"/>
            <w:tcBorders>
              <w:top w:val="single" w:sz="4" w:space="0" w:color="365F91"/>
              <w:left w:val="nil"/>
              <w:bottom w:val="single" w:sz="4" w:space="0" w:color="365F91"/>
              <w:right w:val="nil"/>
            </w:tcBorders>
            <w:shd w:val="clear" w:color="auto" w:fill="auto"/>
          </w:tcPr>
          <w:p w14:paraId="5EACFED5" w14:textId="77777777" w:rsidR="00F849A7" w:rsidRPr="00D9348B" w:rsidRDefault="00F849A7" w:rsidP="00DB330E">
            <w:pPr>
              <w:pStyle w:val="Tableboldblue"/>
              <w:spacing w:before="50" w:after="50"/>
              <w:jc w:val="right"/>
              <w:rPr>
                <w:rFonts w:cs="Calibri"/>
              </w:rPr>
            </w:pPr>
            <w:r w:rsidRPr="00D9348B">
              <w:rPr>
                <w:rFonts w:cs="Calibri"/>
              </w:rPr>
              <w:t>40 (8)</w:t>
            </w:r>
          </w:p>
        </w:tc>
        <w:tc>
          <w:tcPr>
            <w:tcW w:w="1304" w:type="dxa"/>
            <w:tcBorders>
              <w:top w:val="single" w:sz="4" w:space="0" w:color="365F91"/>
              <w:left w:val="nil"/>
              <w:bottom w:val="single" w:sz="4" w:space="0" w:color="365F91"/>
              <w:right w:val="nil"/>
            </w:tcBorders>
            <w:shd w:val="clear" w:color="auto" w:fill="auto"/>
          </w:tcPr>
          <w:p w14:paraId="2DB9279E" w14:textId="77777777" w:rsidR="00F849A7" w:rsidRPr="00D9348B" w:rsidRDefault="00F849A7" w:rsidP="00DB330E">
            <w:pPr>
              <w:pStyle w:val="Tableboldblue"/>
              <w:spacing w:before="50" w:after="50"/>
              <w:jc w:val="right"/>
              <w:rPr>
                <w:rFonts w:cs="Calibri"/>
              </w:rPr>
            </w:pPr>
            <w:r w:rsidRPr="00D9348B">
              <w:rPr>
                <w:rFonts w:cs="Calibri"/>
              </w:rPr>
              <w:t>781 (143)</w:t>
            </w:r>
          </w:p>
        </w:tc>
      </w:tr>
      <w:tr w:rsidR="00F849A7" w:rsidRPr="00D9348B" w14:paraId="7F28B1E8" w14:textId="77777777" w:rsidTr="00CF364B">
        <w:tc>
          <w:tcPr>
            <w:tcW w:w="1901" w:type="dxa"/>
            <w:tcBorders>
              <w:top w:val="single" w:sz="4" w:space="0" w:color="365F91"/>
              <w:left w:val="nil"/>
              <w:bottom w:val="single" w:sz="4" w:space="0" w:color="365F91"/>
              <w:right w:val="nil"/>
            </w:tcBorders>
            <w:shd w:val="clear" w:color="auto" w:fill="auto"/>
          </w:tcPr>
          <w:p w14:paraId="126D7868" w14:textId="77777777" w:rsidR="00F849A7" w:rsidRPr="00D9348B" w:rsidRDefault="00F849A7" w:rsidP="00DB330E">
            <w:pPr>
              <w:pStyle w:val="Tableboldblue"/>
              <w:spacing w:before="50" w:after="50"/>
              <w:rPr>
                <w:rFonts w:cs="Calibri"/>
              </w:rPr>
            </w:pPr>
            <w:r w:rsidRPr="00D9348B">
              <w:rPr>
                <w:rFonts w:cs="Calibri"/>
              </w:rPr>
              <w:t>Total dung</w:t>
            </w:r>
          </w:p>
        </w:tc>
        <w:tc>
          <w:tcPr>
            <w:tcW w:w="1304" w:type="dxa"/>
            <w:tcBorders>
              <w:top w:val="single" w:sz="4" w:space="0" w:color="365F91"/>
              <w:left w:val="nil"/>
              <w:bottom w:val="single" w:sz="4" w:space="0" w:color="365F91"/>
              <w:right w:val="nil"/>
            </w:tcBorders>
            <w:shd w:val="clear" w:color="auto" w:fill="auto"/>
          </w:tcPr>
          <w:p w14:paraId="0CB0F08C" w14:textId="77777777" w:rsidR="00F849A7" w:rsidRPr="00D9348B" w:rsidRDefault="00F849A7" w:rsidP="00DB330E">
            <w:pPr>
              <w:pStyle w:val="Tableboldblue"/>
              <w:spacing w:before="50" w:after="50"/>
              <w:jc w:val="right"/>
              <w:rPr>
                <w:rFonts w:cs="Calibri"/>
              </w:rPr>
            </w:pPr>
            <w:r w:rsidRPr="00D9348B">
              <w:rPr>
                <w:rFonts w:cs="Calibri"/>
              </w:rPr>
              <w:t>138 (32)</w:t>
            </w:r>
          </w:p>
        </w:tc>
        <w:tc>
          <w:tcPr>
            <w:tcW w:w="1304" w:type="dxa"/>
            <w:tcBorders>
              <w:top w:val="single" w:sz="4" w:space="0" w:color="365F91"/>
              <w:left w:val="nil"/>
              <w:bottom w:val="single" w:sz="4" w:space="0" w:color="365F91"/>
              <w:right w:val="nil"/>
            </w:tcBorders>
            <w:shd w:val="clear" w:color="auto" w:fill="auto"/>
          </w:tcPr>
          <w:p w14:paraId="7B08D843" w14:textId="77777777" w:rsidR="00F849A7" w:rsidRPr="00D9348B" w:rsidRDefault="00F849A7" w:rsidP="00DB330E">
            <w:pPr>
              <w:pStyle w:val="Tableboldblue"/>
              <w:spacing w:before="50" w:after="50"/>
              <w:jc w:val="right"/>
              <w:rPr>
                <w:rFonts w:cs="Calibri"/>
              </w:rPr>
            </w:pPr>
            <w:r w:rsidRPr="00D9348B">
              <w:rPr>
                <w:rFonts w:cs="Calibri"/>
              </w:rPr>
              <w:t>158 (33)</w:t>
            </w:r>
          </w:p>
        </w:tc>
        <w:tc>
          <w:tcPr>
            <w:tcW w:w="1304" w:type="dxa"/>
            <w:tcBorders>
              <w:top w:val="single" w:sz="4" w:space="0" w:color="365F91"/>
              <w:left w:val="nil"/>
              <w:bottom w:val="single" w:sz="4" w:space="0" w:color="365F91"/>
              <w:right w:val="nil"/>
            </w:tcBorders>
            <w:shd w:val="clear" w:color="auto" w:fill="auto"/>
          </w:tcPr>
          <w:p w14:paraId="1D5D8564" w14:textId="77777777" w:rsidR="00F849A7" w:rsidRPr="00D9348B" w:rsidRDefault="00F849A7" w:rsidP="00DB330E">
            <w:pPr>
              <w:pStyle w:val="Tableboldblue"/>
              <w:spacing w:before="50" w:after="50"/>
              <w:jc w:val="right"/>
              <w:rPr>
                <w:rFonts w:cs="Calibri"/>
              </w:rPr>
            </w:pPr>
            <w:r w:rsidRPr="00D9348B">
              <w:rPr>
                <w:rFonts w:cs="Calibri"/>
              </w:rPr>
              <w:t>100 (20)</w:t>
            </w:r>
          </w:p>
        </w:tc>
        <w:tc>
          <w:tcPr>
            <w:tcW w:w="1304" w:type="dxa"/>
            <w:tcBorders>
              <w:top w:val="single" w:sz="4" w:space="0" w:color="365F91"/>
              <w:left w:val="nil"/>
              <w:bottom w:val="single" w:sz="4" w:space="0" w:color="365F91"/>
              <w:right w:val="nil"/>
            </w:tcBorders>
            <w:shd w:val="clear" w:color="auto" w:fill="auto"/>
          </w:tcPr>
          <w:p w14:paraId="27D31B55" w14:textId="77777777" w:rsidR="00F849A7" w:rsidRPr="00D9348B" w:rsidRDefault="00F849A7" w:rsidP="00DB330E">
            <w:pPr>
              <w:pStyle w:val="Tableboldblue"/>
              <w:spacing w:before="50" w:after="50"/>
              <w:jc w:val="right"/>
              <w:rPr>
                <w:rFonts w:cs="Calibri"/>
              </w:rPr>
            </w:pPr>
            <w:r w:rsidRPr="00D9348B">
              <w:rPr>
                <w:rFonts w:cs="Calibri"/>
              </w:rPr>
              <w:t>40 (8)</w:t>
            </w:r>
          </w:p>
        </w:tc>
        <w:tc>
          <w:tcPr>
            <w:tcW w:w="1304" w:type="dxa"/>
            <w:tcBorders>
              <w:top w:val="single" w:sz="4" w:space="0" w:color="365F91"/>
              <w:left w:val="nil"/>
              <w:bottom w:val="single" w:sz="4" w:space="0" w:color="365F91"/>
              <w:right w:val="nil"/>
            </w:tcBorders>
            <w:shd w:val="clear" w:color="auto" w:fill="auto"/>
          </w:tcPr>
          <w:p w14:paraId="68CC42B9" w14:textId="77777777" w:rsidR="00F849A7" w:rsidRPr="00D9348B" w:rsidRDefault="00F849A7" w:rsidP="00DB330E">
            <w:pPr>
              <w:pStyle w:val="Tableboldblue"/>
              <w:spacing w:before="50" w:after="50"/>
              <w:jc w:val="right"/>
              <w:rPr>
                <w:rFonts w:cs="Calibri"/>
              </w:rPr>
            </w:pPr>
            <w:r w:rsidRPr="00D9348B">
              <w:rPr>
                <w:rFonts w:cs="Calibri"/>
              </w:rPr>
              <w:t>436 (93)</w:t>
            </w:r>
          </w:p>
        </w:tc>
      </w:tr>
      <w:tr w:rsidR="00F849A7" w:rsidRPr="00D9348B" w14:paraId="10B74F73" w14:textId="77777777" w:rsidTr="00CF364B">
        <w:tc>
          <w:tcPr>
            <w:tcW w:w="1901" w:type="dxa"/>
            <w:tcBorders>
              <w:top w:val="single" w:sz="4" w:space="0" w:color="365F91"/>
              <w:left w:val="nil"/>
              <w:bottom w:val="single" w:sz="4" w:space="0" w:color="365F91"/>
              <w:right w:val="nil"/>
            </w:tcBorders>
            <w:shd w:val="clear" w:color="auto" w:fill="auto"/>
          </w:tcPr>
          <w:p w14:paraId="573E1767" w14:textId="77777777" w:rsidR="00F849A7" w:rsidRPr="00D9348B" w:rsidRDefault="00F849A7" w:rsidP="00DB330E">
            <w:pPr>
              <w:pStyle w:val="Tableboldblue"/>
              <w:spacing w:before="50" w:after="50"/>
              <w:rPr>
                <w:rFonts w:cs="Calibri"/>
              </w:rPr>
            </w:pPr>
            <w:r w:rsidRPr="00D9348B">
              <w:rPr>
                <w:rFonts w:cs="Calibri"/>
              </w:rPr>
              <w:t>Total excreta</w:t>
            </w:r>
          </w:p>
        </w:tc>
        <w:tc>
          <w:tcPr>
            <w:tcW w:w="1304" w:type="dxa"/>
            <w:tcBorders>
              <w:top w:val="single" w:sz="4" w:space="0" w:color="365F91"/>
              <w:left w:val="nil"/>
              <w:bottom w:val="single" w:sz="4" w:space="0" w:color="365F91"/>
              <w:right w:val="nil"/>
            </w:tcBorders>
            <w:shd w:val="clear" w:color="auto" w:fill="auto"/>
          </w:tcPr>
          <w:p w14:paraId="0414A9A8" w14:textId="77777777" w:rsidR="00F849A7" w:rsidRPr="00D9348B" w:rsidRDefault="00F849A7" w:rsidP="00DB330E">
            <w:pPr>
              <w:pStyle w:val="Tableboldblue"/>
              <w:spacing w:before="50" w:after="50"/>
              <w:jc w:val="right"/>
              <w:rPr>
                <w:rFonts w:cs="Calibri"/>
              </w:rPr>
            </w:pPr>
            <w:r w:rsidRPr="00D9348B">
              <w:rPr>
                <w:rFonts w:cs="Calibri"/>
              </w:rPr>
              <w:t>527 (97)</w:t>
            </w:r>
          </w:p>
        </w:tc>
        <w:tc>
          <w:tcPr>
            <w:tcW w:w="1304" w:type="dxa"/>
            <w:tcBorders>
              <w:top w:val="single" w:sz="4" w:space="0" w:color="365F91"/>
              <w:left w:val="nil"/>
              <w:bottom w:val="single" w:sz="4" w:space="0" w:color="365F91"/>
              <w:right w:val="nil"/>
            </w:tcBorders>
            <w:shd w:val="clear" w:color="auto" w:fill="auto"/>
          </w:tcPr>
          <w:p w14:paraId="27BD4057" w14:textId="77777777" w:rsidR="00F849A7" w:rsidRPr="00D9348B" w:rsidRDefault="00F849A7" w:rsidP="00DB330E">
            <w:pPr>
              <w:pStyle w:val="Tableboldblue"/>
              <w:spacing w:before="50" w:after="50"/>
              <w:jc w:val="right"/>
              <w:rPr>
                <w:rFonts w:cs="Calibri"/>
              </w:rPr>
            </w:pPr>
            <w:r w:rsidRPr="00D9348B">
              <w:rPr>
                <w:rFonts w:cs="Calibri"/>
              </w:rPr>
              <w:t>370 (75)</w:t>
            </w:r>
          </w:p>
        </w:tc>
        <w:tc>
          <w:tcPr>
            <w:tcW w:w="1304" w:type="dxa"/>
            <w:tcBorders>
              <w:top w:val="single" w:sz="4" w:space="0" w:color="365F91"/>
              <w:left w:val="nil"/>
              <w:bottom w:val="single" w:sz="4" w:space="0" w:color="365F91"/>
              <w:right w:val="nil"/>
            </w:tcBorders>
            <w:shd w:val="clear" w:color="auto" w:fill="auto"/>
          </w:tcPr>
          <w:p w14:paraId="225A06D3" w14:textId="77777777" w:rsidR="00F849A7" w:rsidRPr="00D9348B" w:rsidRDefault="00F849A7" w:rsidP="00DB330E">
            <w:pPr>
              <w:pStyle w:val="Tableboldblue"/>
              <w:spacing w:before="50" w:after="50"/>
              <w:jc w:val="right"/>
              <w:rPr>
                <w:rFonts w:cs="Calibri"/>
              </w:rPr>
            </w:pPr>
            <w:r w:rsidRPr="00D9348B">
              <w:rPr>
                <w:rFonts w:cs="Calibri"/>
              </w:rPr>
              <w:t>240 (48)</w:t>
            </w:r>
          </w:p>
        </w:tc>
        <w:tc>
          <w:tcPr>
            <w:tcW w:w="1304" w:type="dxa"/>
            <w:tcBorders>
              <w:top w:val="single" w:sz="4" w:space="0" w:color="365F91"/>
              <w:left w:val="nil"/>
              <w:bottom w:val="single" w:sz="4" w:space="0" w:color="365F91"/>
              <w:right w:val="nil"/>
            </w:tcBorders>
            <w:shd w:val="clear" w:color="auto" w:fill="auto"/>
          </w:tcPr>
          <w:p w14:paraId="72C48F7C" w14:textId="77777777" w:rsidR="00F849A7" w:rsidRPr="00D9348B" w:rsidRDefault="00F849A7" w:rsidP="00DB330E">
            <w:pPr>
              <w:pStyle w:val="Tableboldblue"/>
              <w:spacing w:before="50" w:after="50"/>
              <w:jc w:val="right"/>
              <w:rPr>
                <w:rFonts w:cs="Calibri"/>
              </w:rPr>
            </w:pPr>
            <w:r w:rsidRPr="00D9348B">
              <w:rPr>
                <w:rFonts w:cs="Calibri"/>
              </w:rPr>
              <w:t>80 (16)</w:t>
            </w:r>
          </w:p>
        </w:tc>
        <w:tc>
          <w:tcPr>
            <w:tcW w:w="1304" w:type="dxa"/>
            <w:tcBorders>
              <w:top w:val="single" w:sz="4" w:space="0" w:color="365F91"/>
              <w:left w:val="nil"/>
              <w:bottom w:val="single" w:sz="4" w:space="0" w:color="365F91"/>
              <w:right w:val="nil"/>
            </w:tcBorders>
            <w:shd w:val="clear" w:color="auto" w:fill="auto"/>
          </w:tcPr>
          <w:p w14:paraId="79C18925" w14:textId="77777777" w:rsidR="00F849A7" w:rsidRPr="00D9348B" w:rsidRDefault="00F849A7" w:rsidP="00DB330E">
            <w:pPr>
              <w:pStyle w:val="Tableboldblue"/>
              <w:spacing w:before="50" w:after="50"/>
              <w:jc w:val="right"/>
              <w:rPr>
                <w:rFonts w:cs="Calibri"/>
              </w:rPr>
            </w:pPr>
            <w:r w:rsidRPr="00D9348B">
              <w:rPr>
                <w:rFonts w:cs="Calibri"/>
              </w:rPr>
              <w:t>1,217 (236)</w:t>
            </w:r>
          </w:p>
        </w:tc>
      </w:tr>
    </w:tbl>
    <w:p w14:paraId="636F9DC1" w14:textId="77777777" w:rsidR="00F849A7" w:rsidRPr="00D9348B" w:rsidRDefault="00F849A7" w:rsidP="00F849A7">
      <w:pPr>
        <w:pStyle w:val="BodyText"/>
        <w:spacing w:before="0" w:after="0"/>
        <w:rPr>
          <w:rFonts w:cs="Calibri"/>
        </w:rPr>
      </w:pPr>
    </w:p>
    <w:p w14:paraId="4C03F10B" w14:textId="77777777" w:rsidR="00F849A7" w:rsidRPr="00D9348B" w:rsidRDefault="00F849A7" w:rsidP="00F849A7">
      <w:pPr>
        <w:pStyle w:val="Table"/>
        <w:rPr>
          <w:rFonts w:cs="Calibri"/>
        </w:rPr>
      </w:pPr>
      <w:bookmarkStart w:id="908" w:name="_Toc32570933"/>
      <w:bookmarkStart w:id="909" w:name="_Toc36224568"/>
      <w:r w:rsidRPr="00D9348B">
        <w:rPr>
          <w:rFonts w:cs="Calibri"/>
        </w:rPr>
        <w:t>Table 5.5.7</w:t>
      </w:r>
      <w:r w:rsidRPr="00D9348B">
        <w:rPr>
          <w:rFonts w:cs="Calibri"/>
        </w:rPr>
        <w:tab/>
        <w:t>Number of replicate-level EF</w:t>
      </w:r>
      <w:r w:rsidRPr="00D9348B">
        <w:rPr>
          <w:rFonts w:cs="Calibri"/>
          <w:vertAlign w:val="subscript"/>
        </w:rPr>
        <w:t>3</w:t>
      </w:r>
      <w:r w:rsidRPr="00D9348B">
        <w:rPr>
          <w:rFonts w:cs="Calibri"/>
        </w:rPr>
        <w:t xml:space="preserve"> values collated for van der Weerden et al. (2019) analysis,</w:t>
      </w:r>
      <w:r w:rsidRPr="00D9348B">
        <w:rPr>
          <w:rFonts w:cs="Calibri"/>
        </w:rPr>
        <w:br/>
        <w:t>for each nitrogen source, season that trial was undertaken, and topography</w:t>
      </w:r>
      <w:bookmarkEnd w:id="908"/>
      <w:bookmarkEnd w:id="909"/>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8"/>
        <w:gridCol w:w="1883"/>
        <w:gridCol w:w="970"/>
        <w:gridCol w:w="971"/>
        <w:gridCol w:w="971"/>
        <w:gridCol w:w="971"/>
        <w:gridCol w:w="971"/>
      </w:tblGrid>
      <w:tr w:rsidR="00F849A7" w:rsidRPr="00D9348B" w14:paraId="459F1142" w14:textId="77777777" w:rsidTr="00CF364B">
        <w:tc>
          <w:tcPr>
            <w:tcW w:w="1757" w:type="dxa"/>
            <w:tcBorders>
              <w:top w:val="single" w:sz="4" w:space="0" w:color="365F91"/>
              <w:left w:val="nil"/>
              <w:bottom w:val="single" w:sz="4" w:space="0" w:color="365F91"/>
              <w:right w:val="nil"/>
            </w:tcBorders>
            <w:shd w:val="clear" w:color="auto" w:fill="365F91"/>
            <w:vAlign w:val="bottom"/>
          </w:tcPr>
          <w:p w14:paraId="4E431D78" w14:textId="77777777" w:rsidR="00F849A7" w:rsidRPr="00D9348B" w:rsidRDefault="00F849A7" w:rsidP="00DB330E">
            <w:pPr>
              <w:pStyle w:val="TableTextBold"/>
              <w:rPr>
                <w:rFonts w:cs="Calibri"/>
                <w:noProof w:val="0"/>
                <w:color w:val="FFFFFF"/>
                <w:szCs w:val="16"/>
              </w:rPr>
            </w:pPr>
            <w:r w:rsidRPr="00D9348B">
              <w:rPr>
                <w:rFonts w:cs="Calibri"/>
                <w:noProof w:val="0"/>
                <w:color w:val="FFFFFF"/>
                <w:szCs w:val="16"/>
              </w:rPr>
              <w:t>Nitrogen source</w:t>
            </w:r>
          </w:p>
        </w:tc>
        <w:tc>
          <w:tcPr>
            <w:tcW w:w="1871" w:type="dxa"/>
            <w:tcBorders>
              <w:top w:val="single" w:sz="4" w:space="0" w:color="365F91"/>
              <w:left w:val="nil"/>
              <w:bottom w:val="single" w:sz="4" w:space="0" w:color="365F91"/>
              <w:right w:val="nil"/>
            </w:tcBorders>
            <w:shd w:val="clear" w:color="auto" w:fill="365F91"/>
            <w:vAlign w:val="bottom"/>
          </w:tcPr>
          <w:p w14:paraId="7FCE62B3" w14:textId="77777777" w:rsidR="00F849A7" w:rsidRPr="00D9348B" w:rsidRDefault="00F849A7" w:rsidP="00DB330E">
            <w:pPr>
              <w:pStyle w:val="TableTextBold"/>
              <w:rPr>
                <w:rFonts w:cs="Calibri"/>
                <w:noProof w:val="0"/>
                <w:color w:val="FFFFFF"/>
                <w:szCs w:val="16"/>
              </w:rPr>
            </w:pPr>
            <w:r w:rsidRPr="00D9348B">
              <w:rPr>
                <w:rFonts w:cs="Calibri"/>
                <w:noProof w:val="0"/>
                <w:color w:val="FFFFFF"/>
                <w:szCs w:val="16"/>
              </w:rPr>
              <w:t>Topography class</w:t>
            </w:r>
          </w:p>
        </w:tc>
        <w:tc>
          <w:tcPr>
            <w:tcW w:w="964" w:type="dxa"/>
            <w:tcBorders>
              <w:top w:val="single" w:sz="4" w:space="0" w:color="365F91"/>
              <w:left w:val="nil"/>
              <w:bottom w:val="single" w:sz="4" w:space="0" w:color="365F91"/>
              <w:right w:val="nil"/>
            </w:tcBorders>
            <w:shd w:val="clear" w:color="auto" w:fill="365F91"/>
          </w:tcPr>
          <w:p w14:paraId="2BAD72A0" w14:textId="77777777" w:rsidR="00F849A7" w:rsidRPr="00D9348B" w:rsidRDefault="00F849A7" w:rsidP="00DB330E">
            <w:pPr>
              <w:pStyle w:val="TableTextBold"/>
              <w:jc w:val="right"/>
              <w:rPr>
                <w:rFonts w:cs="Calibri"/>
                <w:noProof w:val="0"/>
                <w:color w:val="FFFFFF"/>
                <w:szCs w:val="16"/>
              </w:rPr>
            </w:pPr>
            <w:r w:rsidRPr="00D9348B">
              <w:rPr>
                <w:rFonts w:cs="Calibri"/>
                <w:noProof w:val="0"/>
                <w:color w:val="FFFFFF"/>
                <w:szCs w:val="16"/>
              </w:rPr>
              <w:t>Autumn</w:t>
            </w:r>
          </w:p>
        </w:tc>
        <w:tc>
          <w:tcPr>
            <w:tcW w:w="964" w:type="dxa"/>
            <w:tcBorders>
              <w:top w:val="single" w:sz="4" w:space="0" w:color="365F91"/>
              <w:left w:val="nil"/>
              <w:bottom w:val="single" w:sz="4" w:space="0" w:color="365F91"/>
              <w:right w:val="nil"/>
            </w:tcBorders>
            <w:shd w:val="clear" w:color="auto" w:fill="365F91"/>
          </w:tcPr>
          <w:p w14:paraId="381338DF" w14:textId="77777777" w:rsidR="00F849A7" w:rsidRPr="00D9348B" w:rsidRDefault="00F849A7" w:rsidP="00DB330E">
            <w:pPr>
              <w:pStyle w:val="TableTextBold"/>
              <w:jc w:val="right"/>
              <w:rPr>
                <w:rFonts w:cs="Calibri"/>
                <w:noProof w:val="0"/>
                <w:color w:val="FFFFFF"/>
                <w:szCs w:val="16"/>
              </w:rPr>
            </w:pPr>
            <w:r w:rsidRPr="00D9348B">
              <w:rPr>
                <w:rFonts w:cs="Calibri"/>
                <w:noProof w:val="0"/>
                <w:color w:val="FFFFFF"/>
                <w:szCs w:val="16"/>
              </w:rPr>
              <w:t>Winter</w:t>
            </w:r>
          </w:p>
        </w:tc>
        <w:tc>
          <w:tcPr>
            <w:tcW w:w="964" w:type="dxa"/>
            <w:tcBorders>
              <w:top w:val="single" w:sz="4" w:space="0" w:color="365F91"/>
              <w:left w:val="nil"/>
              <w:bottom w:val="single" w:sz="4" w:space="0" w:color="365F91"/>
              <w:right w:val="nil"/>
            </w:tcBorders>
            <w:shd w:val="clear" w:color="auto" w:fill="365F91"/>
          </w:tcPr>
          <w:p w14:paraId="54798732" w14:textId="77777777" w:rsidR="00F849A7" w:rsidRPr="00D9348B" w:rsidRDefault="00F849A7" w:rsidP="00DB330E">
            <w:pPr>
              <w:pStyle w:val="TableTextBold"/>
              <w:jc w:val="right"/>
              <w:rPr>
                <w:rFonts w:cs="Calibri"/>
                <w:noProof w:val="0"/>
                <w:color w:val="FFFFFF"/>
                <w:szCs w:val="16"/>
              </w:rPr>
            </w:pPr>
            <w:r w:rsidRPr="00D9348B">
              <w:rPr>
                <w:rFonts w:cs="Calibri"/>
                <w:noProof w:val="0"/>
                <w:color w:val="FFFFFF"/>
                <w:szCs w:val="16"/>
              </w:rPr>
              <w:t>Spring</w:t>
            </w:r>
          </w:p>
        </w:tc>
        <w:tc>
          <w:tcPr>
            <w:tcW w:w="964" w:type="dxa"/>
            <w:tcBorders>
              <w:top w:val="single" w:sz="4" w:space="0" w:color="365F91"/>
              <w:left w:val="nil"/>
              <w:bottom w:val="single" w:sz="4" w:space="0" w:color="365F91"/>
              <w:right w:val="nil"/>
            </w:tcBorders>
            <w:shd w:val="clear" w:color="auto" w:fill="365F91"/>
          </w:tcPr>
          <w:p w14:paraId="55446E3E" w14:textId="77777777" w:rsidR="00F849A7" w:rsidRPr="00D9348B" w:rsidRDefault="00F849A7" w:rsidP="00DB330E">
            <w:pPr>
              <w:pStyle w:val="TableTextBold"/>
              <w:jc w:val="right"/>
              <w:rPr>
                <w:rFonts w:cs="Calibri"/>
                <w:noProof w:val="0"/>
                <w:color w:val="FFFFFF"/>
                <w:szCs w:val="16"/>
              </w:rPr>
            </w:pPr>
            <w:r w:rsidRPr="00D9348B">
              <w:rPr>
                <w:rFonts w:cs="Calibri"/>
                <w:noProof w:val="0"/>
                <w:color w:val="FFFFFF"/>
                <w:szCs w:val="16"/>
              </w:rPr>
              <w:t>Summer</w:t>
            </w:r>
          </w:p>
        </w:tc>
        <w:tc>
          <w:tcPr>
            <w:tcW w:w="964" w:type="dxa"/>
            <w:tcBorders>
              <w:top w:val="single" w:sz="4" w:space="0" w:color="365F91"/>
              <w:left w:val="nil"/>
              <w:bottom w:val="single" w:sz="4" w:space="0" w:color="365F91"/>
              <w:right w:val="nil"/>
            </w:tcBorders>
            <w:shd w:val="clear" w:color="auto" w:fill="365F91"/>
          </w:tcPr>
          <w:p w14:paraId="3D461BA3" w14:textId="77777777" w:rsidR="00F849A7" w:rsidRPr="00D9348B" w:rsidRDefault="00F849A7" w:rsidP="00DB330E">
            <w:pPr>
              <w:pStyle w:val="TableTextBold"/>
              <w:jc w:val="right"/>
              <w:rPr>
                <w:rFonts w:cs="Calibri"/>
                <w:noProof w:val="0"/>
                <w:color w:val="FFFFFF"/>
                <w:szCs w:val="16"/>
              </w:rPr>
            </w:pPr>
            <w:r w:rsidRPr="00D9348B">
              <w:rPr>
                <w:rFonts w:cs="Calibri"/>
                <w:noProof w:val="0"/>
                <w:color w:val="FFFFFF"/>
                <w:szCs w:val="16"/>
              </w:rPr>
              <w:t>Total</w:t>
            </w:r>
          </w:p>
        </w:tc>
      </w:tr>
      <w:tr w:rsidR="00F849A7" w:rsidRPr="00D9348B" w14:paraId="30D2E6DB" w14:textId="77777777" w:rsidTr="00CF364B">
        <w:tc>
          <w:tcPr>
            <w:tcW w:w="1757" w:type="dxa"/>
            <w:tcBorders>
              <w:top w:val="single" w:sz="4" w:space="0" w:color="365F91"/>
              <w:left w:val="nil"/>
              <w:bottom w:val="single" w:sz="4" w:space="0" w:color="365F91"/>
              <w:right w:val="nil"/>
            </w:tcBorders>
            <w:shd w:val="clear" w:color="auto" w:fill="auto"/>
          </w:tcPr>
          <w:p w14:paraId="0265F10A" w14:textId="77777777" w:rsidR="00F849A7" w:rsidRPr="00D9348B" w:rsidRDefault="00F849A7" w:rsidP="00DB330E">
            <w:pPr>
              <w:pStyle w:val="TableText"/>
              <w:spacing w:after="50"/>
              <w:rPr>
                <w:rFonts w:cs="Calibri"/>
                <w:szCs w:val="16"/>
              </w:rPr>
            </w:pPr>
            <w:r w:rsidRPr="00D9348B">
              <w:rPr>
                <w:rFonts w:cs="Calibri"/>
                <w:szCs w:val="16"/>
              </w:rPr>
              <w:t>Dairy cattle urine</w:t>
            </w:r>
          </w:p>
        </w:tc>
        <w:tc>
          <w:tcPr>
            <w:tcW w:w="1871" w:type="dxa"/>
            <w:tcBorders>
              <w:top w:val="single" w:sz="4" w:space="0" w:color="365F91"/>
              <w:left w:val="nil"/>
              <w:bottom w:val="single" w:sz="4" w:space="0" w:color="365F91"/>
              <w:right w:val="nil"/>
            </w:tcBorders>
          </w:tcPr>
          <w:p w14:paraId="1BDCBADE" w14:textId="77777777" w:rsidR="00F849A7" w:rsidRPr="00D9348B" w:rsidRDefault="00F849A7" w:rsidP="00DB330E">
            <w:pPr>
              <w:pStyle w:val="TableText"/>
              <w:spacing w:after="50"/>
              <w:rPr>
                <w:rFonts w:cs="Calibri"/>
                <w:szCs w:val="16"/>
              </w:rPr>
            </w:pPr>
            <w:r w:rsidRPr="00D9348B">
              <w:rPr>
                <w:rFonts w:cs="Calibri"/>
                <w:szCs w:val="16"/>
              </w:rPr>
              <w:t>Flatland (0</w:t>
            </w:r>
            <w:r w:rsidRPr="00D9348B">
              <w:rPr>
                <w:rFonts w:cs="Calibri"/>
                <w:szCs w:val="16"/>
                <w:vertAlign w:val="superscript"/>
              </w:rPr>
              <w:t>o</w:t>
            </w:r>
            <w:r w:rsidRPr="00D9348B">
              <w:rPr>
                <w:rFonts w:cs="Calibri"/>
                <w:szCs w:val="16"/>
              </w:rPr>
              <w:t>)</w:t>
            </w:r>
          </w:p>
        </w:tc>
        <w:tc>
          <w:tcPr>
            <w:tcW w:w="964" w:type="dxa"/>
            <w:tcBorders>
              <w:top w:val="single" w:sz="4" w:space="0" w:color="365F91"/>
              <w:left w:val="nil"/>
              <w:bottom w:val="single" w:sz="4" w:space="0" w:color="365F91"/>
              <w:right w:val="nil"/>
            </w:tcBorders>
            <w:shd w:val="clear" w:color="auto" w:fill="auto"/>
          </w:tcPr>
          <w:p w14:paraId="7DF98CE5" w14:textId="77777777" w:rsidR="00F849A7" w:rsidRPr="00D9348B" w:rsidRDefault="00F849A7" w:rsidP="00DB330E">
            <w:pPr>
              <w:pStyle w:val="TableText"/>
              <w:spacing w:after="50"/>
              <w:jc w:val="right"/>
              <w:rPr>
                <w:rFonts w:cs="Calibri"/>
                <w:szCs w:val="16"/>
              </w:rPr>
            </w:pPr>
            <w:r w:rsidRPr="00D9348B">
              <w:rPr>
                <w:rFonts w:cs="Calibri"/>
                <w:szCs w:val="16"/>
              </w:rPr>
              <w:t>128</w:t>
            </w:r>
          </w:p>
        </w:tc>
        <w:tc>
          <w:tcPr>
            <w:tcW w:w="964" w:type="dxa"/>
            <w:tcBorders>
              <w:top w:val="single" w:sz="4" w:space="0" w:color="365F91"/>
              <w:left w:val="nil"/>
              <w:bottom w:val="single" w:sz="4" w:space="0" w:color="365F91"/>
              <w:right w:val="nil"/>
            </w:tcBorders>
            <w:shd w:val="clear" w:color="auto" w:fill="auto"/>
          </w:tcPr>
          <w:p w14:paraId="699F3183" w14:textId="77777777" w:rsidR="00F849A7" w:rsidRPr="00D9348B" w:rsidRDefault="00F849A7" w:rsidP="00DB330E">
            <w:pPr>
              <w:pStyle w:val="TableText"/>
              <w:spacing w:after="50"/>
              <w:jc w:val="right"/>
              <w:rPr>
                <w:rFonts w:cs="Calibri"/>
                <w:szCs w:val="16"/>
              </w:rPr>
            </w:pPr>
            <w:r w:rsidRPr="00D9348B">
              <w:rPr>
                <w:rFonts w:cs="Calibri"/>
                <w:szCs w:val="16"/>
              </w:rPr>
              <w:t>105</w:t>
            </w:r>
          </w:p>
        </w:tc>
        <w:tc>
          <w:tcPr>
            <w:tcW w:w="964" w:type="dxa"/>
            <w:tcBorders>
              <w:top w:val="single" w:sz="4" w:space="0" w:color="365F91"/>
              <w:left w:val="nil"/>
              <w:bottom w:val="single" w:sz="4" w:space="0" w:color="365F91"/>
              <w:right w:val="nil"/>
            </w:tcBorders>
            <w:shd w:val="clear" w:color="auto" w:fill="auto"/>
          </w:tcPr>
          <w:p w14:paraId="1B3B6667" w14:textId="77777777" w:rsidR="00F849A7" w:rsidRPr="00D9348B" w:rsidRDefault="00F849A7" w:rsidP="00DB330E">
            <w:pPr>
              <w:pStyle w:val="TableText"/>
              <w:spacing w:after="50"/>
              <w:jc w:val="right"/>
              <w:rPr>
                <w:rFonts w:cs="Calibri"/>
                <w:szCs w:val="16"/>
              </w:rPr>
            </w:pPr>
            <w:r w:rsidRPr="00D9348B">
              <w:rPr>
                <w:rFonts w:cs="Calibri"/>
                <w:szCs w:val="16"/>
              </w:rPr>
              <w:t>88</w:t>
            </w:r>
          </w:p>
        </w:tc>
        <w:tc>
          <w:tcPr>
            <w:tcW w:w="964" w:type="dxa"/>
            <w:tcBorders>
              <w:top w:val="single" w:sz="4" w:space="0" w:color="365F91"/>
              <w:left w:val="nil"/>
              <w:bottom w:val="single" w:sz="4" w:space="0" w:color="365F91"/>
              <w:right w:val="nil"/>
            </w:tcBorders>
            <w:shd w:val="clear" w:color="auto" w:fill="auto"/>
          </w:tcPr>
          <w:p w14:paraId="50D441E7" w14:textId="77777777" w:rsidR="00F849A7" w:rsidRPr="00D9348B" w:rsidRDefault="00F849A7" w:rsidP="00DB330E">
            <w:pPr>
              <w:pStyle w:val="TableText"/>
              <w:spacing w:after="50"/>
              <w:jc w:val="right"/>
              <w:rPr>
                <w:rFonts w:cs="Calibri"/>
                <w:szCs w:val="16"/>
              </w:rPr>
            </w:pPr>
            <w:r w:rsidRPr="00D9348B">
              <w:rPr>
                <w:rFonts w:cs="Calibri"/>
                <w:szCs w:val="16"/>
              </w:rPr>
              <w:t>12</w:t>
            </w:r>
          </w:p>
        </w:tc>
        <w:tc>
          <w:tcPr>
            <w:tcW w:w="964" w:type="dxa"/>
            <w:tcBorders>
              <w:top w:val="single" w:sz="4" w:space="0" w:color="365F91"/>
              <w:left w:val="nil"/>
              <w:bottom w:val="single" w:sz="4" w:space="0" w:color="365F91"/>
              <w:right w:val="nil"/>
            </w:tcBorders>
            <w:shd w:val="clear" w:color="auto" w:fill="auto"/>
          </w:tcPr>
          <w:p w14:paraId="79F11581" w14:textId="77777777" w:rsidR="00F849A7" w:rsidRPr="00D9348B" w:rsidRDefault="00F849A7" w:rsidP="00DB330E">
            <w:pPr>
              <w:pStyle w:val="TableText"/>
              <w:spacing w:after="50"/>
              <w:jc w:val="right"/>
              <w:rPr>
                <w:rFonts w:cs="Calibri"/>
                <w:szCs w:val="16"/>
              </w:rPr>
            </w:pPr>
            <w:r w:rsidRPr="00D9348B">
              <w:rPr>
                <w:rFonts w:cs="Calibri"/>
                <w:szCs w:val="16"/>
              </w:rPr>
              <w:t>333</w:t>
            </w:r>
          </w:p>
        </w:tc>
      </w:tr>
      <w:tr w:rsidR="00F849A7" w:rsidRPr="00D9348B" w14:paraId="59DB0E0C" w14:textId="77777777" w:rsidTr="00CF364B">
        <w:tc>
          <w:tcPr>
            <w:tcW w:w="1757" w:type="dxa"/>
            <w:tcBorders>
              <w:top w:val="single" w:sz="4" w:space="0" w:color="365F91"/>
              <w:left w:val="nil"/>
              <w:bottom w:val="single" w:sz="4" w:space="0" w:color="365F91"/>
              <w:right w:val="nil"/>
            </w:tcBorders>
            <w:shd w:val="clear" w:color="auto" w:fill="auto"/>
          </w:tcPr>
          <w:p w14:paraId="25EF361A" w14:textId="77777777" w:rsidR="00F849A7" w:rsidRPr="00D9348B" w:rsidRDefault="00F849A7" w:rsidP="00DB330E">
            <w:pPr>
              <w:pStyle w:val="TableText"/>
              <w:spacing w:after="50"/>
              <w:jc w:val="right"/>
              <w:rPr>
                <w:rFonts w:cs="Calibri"/>
                <w:szCs w:val="16"/>
              </w:rPr>
            </w:pPr>
          </w:p>
        </w:tc>
        <w:tc>
          <w:tcPr>
            <w:tcW w:w="1871" w:type="dxa"/>
            <w:tcBorders>
              <w:top w:val="single" w:sz="4" w:space="0" w:color="365F91"/>
              <w:left w:val="nil"/>
              <w:bottom w:val="single" w:sz="4" w:space="0" w:color="365F91"/>
              <w:right w:val="nil"/>
            </w:tcBorders>
          </w:tcPr>
          <w:p w14:paraId="64FB556A" w14:textId="77777777" w:rsidR="00F849A7" w:rsidRPr="00D9348B" w:rsidRDefault="00F849A7" w:rsidP="00DB330E">
            <w:pPr>
              <w:pStyle w:val="TableText"/>
              <w:spacing w:after="50"/>
              <w:rPr>
                <w:rFonts w:cs="Calibri"/>
                <w:szCs w:val="16"/>
              </w:rPr>
            </w:pPr>
            <w:r w:rsidRPr="00D9348B">
              <w:rPr>
                <w:rFonts w:cs="Calibri"/>
                <w:szCs w:val="16"/>
              </w:rPr>
              <w:t>Low slope (0–12</w:t>
            </w:r>
            <w:r w:rsidRPr="00D9348B">
              <w:rPr>
                <w:rFonts w:cs="Calibri"/>
                <w:szCs w:val="16"/>
                <w:vertAlign w:val="superscript"/>
              </w:rPr>
              <w:t>o</w:t>
            </w:r>
            <w:r w:rsidRPr="00D9348B">
              <w:rPr>
                <w:rFonts w:cs="Calibri"/>
                <w:szCs w:val="16"/>
              </w:rPr>
              <w:t>)</w:t>
            </w:r>
          </w:p>
        </w:tc>
        <w:tc>
          <w:tcPr>
            <w:tcW w:w="964" w:type="dxa"/>
            <w:tcBorders>
              <w:top w:val="single" w:sz="4" w:space="0" w:color="365F91"/>
              <w:left w:val="nil"/>
              <w:bottom w:val="single" w:sz="4" w:space="0" w:color="365F91"/>
              <w:right w:val="nil"/>
            </w:tcBorders>
            <w:shd w:val="clear" w:color="auto" w:fill="auto"/>
          </w:tcPr>
          <w:p w14:paraId="1908B8C6" w14:textId="77777777" w:rsidR="00F849A7" w:rsidRPr="00D9348B" w:rsidRDefault="00F849A7" w:rsidP="00DB330E">
            <w:pPr>
              <w:pStyle w:val="TableText"/>
              <w:spacing w:after="50"/>
              <w:jc w:val="right"/>
              <w:rPr>
                <w:rFonts w:cs="Calibri"/>
                <w:szCs w:val="16"/>
              </w:rPr>
            </w:pPr>
            <w:r w:rsidRPr="00D9348B">
              <w:rPr>
                <w:rFonts w:cs="Calibri"/>
                <w:szCs w:val="16"/>
              </w:rPr>
              <w:t>34</w:t>
            </w:r>
          </w:p>
        </w:tc>
        <w:tc>
          <w:tcPr>
            <w:tcW w:w="964" w:type="dxa"/>
            <w:tcBorders>
              <w:top w:val="single" w:sz="4" w:space="0" w:color="365F91"/>
              <w:left w:val="nil"/>
              <w:bottom w:val="single" w:sz="4" w:space="0" w:color="365F91"/>
              <w:right w:val="nil"/>
            </w:tcBorders>
            <w:shd w:val="clear" w:color="auto" w:fill="auto"/>
          </w:tcPr>
          <w:p w14:paraId="7EA541AB" w14:textId="77777777" w:rsidR="00F849A7" w:rsidRPr="00D9348B" w:rsidRDefault="00F849A7" w:rsidP="00DB330E">
            <w:pPr>
              <w:pStyle w:val="TableText"/>
              <w:spacing w:after="50"/>
              <w:jc w:val="right"/>
              <w:rPr>
                <w:rFonts w:cs="Calibri"/>
                <w:szCs w:val="16"/>
              </w:rPr>
            </w:pPr>
            <w:r w:rsidRPr="00D9348B">
              <w:rPr>
                <w:rFonts w:cs="Calibri"/>
                <w:szCs w:val="16"/>
              </w:rPr>
              <w:t>34</w:t>
            </w:r>
          </w:p>
        </w:tc>
        <w:tc>
          <w:tcPr>
            <w:tcW w:w="964" w:type="dxa"/>
            <w:tcBorders>
              <w:top w:val="single" w:sz="4" w:space="0" w:color="365F91"/>
              <w:left w:val="nil"/>
              <w:bottom w:val="single" w:sz="4" w:space="0" w:color="365F91"/>
              <w:right w:val="nil"/>
            </w:tcBorders>
            <w:shd w:val="clear" w:color="auto" w:fill="auto"/>
          </w:tcPr>
          <w:p w14:paraId="24D530BD" w14:textId="77777777" w:rsidR="00F849A7" w:rsidRPr="00D9348B" w:rsidRDefault="00F849A7" w:rsidP="00DB330E">
            <w:pPr>
              <w:pStyle w:val="TableText"/>
              <w:spacing w:after="50"/>
              <w:jc w:val="right"/>
              <w:rPr>
                <w:rFonts w:cs="Calibri"/>
                <w:szCs w:val="16"/>
              </w:rPr>
            </w:pPr>
            <w:r w:rsidRPr="00D9348B">
              <w:rPr>
                <w:rFonts w:cs="Calibri"/>
                <w:szCs w:val="16"/>
              </w:rPr>
              <w:t>28</w:t>
            </w:r>
          </w:p>
        </w:tc>
        <w:tc>
          <w:tcPr>
            <w:tcW w:w="964" w:type="dxa"/>
            <w:tcBorders>
              <w:top w:val="single" w:sz="4" w:space="0" w:color="365F91"/>
              <w:left w:val="nil"/>
              <w:bottom w:val="single" w:sz="4" w:space="0" w:color="365F91"/>
              <w:right w:val="nil"/>
            </w:tcBorders>
            <w:shd w:val="clear" w:color="auto" w:fill="auto"/>
          </w:tcPr>
          <w:p w14:paraId="21BB80A1" w14:textId="77777777" w:rsidR="00F849A7" w:rsidRPr="00D9348B" w:rsidRDefault="00F849A7" w:rsidP="00DB330E">
            <w:pPr>
              <w:pStyle w:val="TableText"/>
              <w:spacing w:after="50"/>
              <w:jc w:val="right"/>
              <w:rPr>
                <w:rFonts w:cs="Calibri"/>
                <w:szCs w:val="16"/>
              </w:rPr>
            </w:pPr>
            <w:r w:rsidRPr="00D9348B">
              <w:rPr>
                <w:rFonts w:cs="Calibri"/>
                <w:szCs w:val="16"/>
              </w:rPr>
              <w:t>20</w:t>
            </w:r>
          </w:p>
        </w:tc>
        <w:tc>
          <w:tcPr>
            <w:tcW w:w="964" w:type="dxa"/>
            <w:tcBorders>
              <w:top w:val="single" w:sz="4" w:space="0" w:color="365F91"/>
              <w:left w:val="nil"/>
              <w:bottom w:val="single" w:sz="4" w:space="0" w:color="365F91"/>
              <w:right w:val="nil"/>
            </w:tcBorders>
            <w:shd w:val="clear" w:color="auto" w:fill="auto"/>
          </w:tcPr>
          <w:p w14:paraId="31425C48" w14:textId="77777777" w:rsidR="00F849A7" w:rsidRPr="00D9348B" w:rsidRDefault="00F849A7" w:rsidP="00DB330E">
            <w:pPr>
              <w:pStyle w:val="TableText"/>
              <w:spacing w:after="50"/>
              <w:jc w:val="right"/>
              <w:rPr>
                <w:rFonts w:cs="Calibri"/>
                <w:szCs w:val="16"/>
              </w:rPr>
            </w:pPr>
            <w:r w:rsidRPr="00D9348B">
              <w:rPr>
                <w:rFonts w:cs="Calibri"/>
                <w:szCs w:val="16"/>
              </w:rPr>
              <w:t>116</w:t>
            </w:r>
          </w:p>
        </w:tc>
      </w:tr>
      <w:tr w:rsidR="00F849A7" w:rsidRPr="00D9348B" w14:paraId="3D86A534" w14:textId="77777777" w:rsidTr="00CF364B">
        <w:tc>
          <w:tcPr>
            <w:tcW w:w="1757" w:type="dxa"/>
            <w:tcBorders>
              <w:top w:val="single" w:sz="4" w:space="0" w:color="365F91"/>
              <w:left w:val="nil"/>
              <w:bottom w:val="single" w:sz="4" w:space="0" w:color="365F91"/>
              <w:right w:val="nil"/>
            </w:tcBorders>
            <w:shd w:val="clear" w:color="auto" w:fill="auto"/>
          </w:tcPr>
          <w:p w14:paraId="43B6BEAC" w14:textId="77777777" w:rsidR="00F849A7" w:rsidRPr="00D9348B" w:rsidRDefault="00F849A7" w:rsidP="00DB330E">
            <w:pPr>
              <w:pStyle w:val="TableText"/>
              <w:spacing w:after="50"/>
              <w:jc w:val="right"/>
              <w:rPr>
                <w:rFonts w:cs="Calibri"/>
                <w:szCs w:val="16"/>
              </w:rPr>
            </w:pPr>
          </w:p>
        </w:tc>
        <w:tc>
          <w:tcPr>
            <w:tcW w:w="1871" w:type="dxa"/>
            <w:tcBorders>
              <w:top w:val="single" w:sz="4" w:space="0" w:color="365F91"/>
              <w:left w:val="nil"/>
              <w:bottom w:val="single" w:sz="4" w:space="0" w:color="365F91"/>
              <w:right w:val="nil"/>
            </w:tcBorders>
          </w:tcPr>
          <w:p w14:paraId="54BD9DEE" w14:textId="77777777" w:rsidR="00F849A7" w:rsidRPr="00D9348B" w:rsidRDefault="00F849A7" w:rsidP="00DB330E">
            <w:pPr>
              <w:pStyle w:val="TableText"/>
              <w:spacing w:after="50"/>
              <w:rPr>
                <w:rFonts w:cs="Calibri"/>
                <w:szCs w:val="16"/>
              </w:rPr>
            </w:pPr>
            <w:r w:rsidRPr="00D9348B">
              <w:rPr>
                <w:rFonts w:cs="Calibri"/>
                <w:szCs w:val="16"/>
              </w:rPr>
              <w:t>Medium slope (12–24</w:t>
            </w:r>
            <w:r w:rsidRPr="00D9348B">
              <w:rPr>
                <w:rFonts w:cs="Calibri"/>
                <w:szCs w:val="16"/>
                <w:vertAlign w:val="superscript"/>
              </w:rPr>
              <w:t>o</w:t>
            </w:r>
            <w:r w:rsidRPr="00D9348B">
              <w:rPr>
                <w:rFonts w:cs="Calibri"/>
                <w:szCs w:val="16"/>
              </w:rPr>
              <w:t>)</w:t>
            </w:r>
          </w:p>
        </w:tc>
        <w:tc>
          <w:tcPr>
            <w:tcW w:w="964" w:type="dxa"/>
            <w:tcBorders>
              <w:top w:val="single" w:sz="4" w:space="0" w:color="365F91"/>
              <w:left w:val="nil"/>
              <w:bottom w:val="single" w:sz="4" w:space="0" w:color="365F91"/>
              <w:right w:val="nil"/>
            </w:tcBorders>
            <w:shd w:val="clear" w:color="auto" w:fill="auto"/>
          </w:tcPr>
          <w:p w14:paraId="09609E50" w14:textId="77777777" w:rsidR="00F849A7" w:rsidRPr="00D9348B" w:rsidRDefault="00F849A7" w:rsidP="00DB330E">
            <w:pPr>
              <w:pStyle w:val="TableText"/>
              <w:spacing w:after="50"/>
              <w:jc w:val="right"/>
              <w:rPr>
                <w:rFonts w:cs="Calibri"/>
                <w:szCs w:val="16"/>
              </w:rPr>
            </w:pPr>
          </w:p>
        </w:tc>
        <w:tc>
          <w:tcPr>
            <w:tcW w:w="964" w:type="dxa"/>
            <w:tcBorders>
              <w:top w:val="single" w:sz="4" w:space="0" w:color="365F91"/>
              <w:left w:val="nil"/>
              <w:bottom w:val="single" w:sz="4" w:space="0" w:color="365F91"/>
              <w:right w:val="nil"/>
            </w:tcBorders>
            <w:shd w:val="clear" w:color="auto" w:fill="auto"/>
          </w:tcPr>
          <w:p w14:paraId="5AA61749" w14:textId="77777777" w:rsidR="00F849A7" w:rsidRPr="00D9348B" w:rsidRDefault="00F849A7" w:rsidP="00DB330E">
            <w:pPr>
              <w:pStyle w:val="TableText"/>
              <w:spacing w:after="50"/>
              <w:jc w:val="right"/>
              <w:rPr>
                <w:rFonts w:cs="Calibri"/>
                <w:szCs w:val="16"/>
              </w:rPr>
            </w:pPr>
            <w:r w:rsidRPr="00D9348B">
              <w:rPr>
                <w:rFonts w:cs="Calibri"/>
                <w:szCs w:val="16"/>
              </w:rPr>
              <w:t>20</w:t>
            </w:r>
          </w:p>
        </w:tc>
        <w:tc>
          <w:tcPr>
            <w:tcW w:w="964" w:type="dxa"/>
            <w:tcBorders>
              <w:top w:val="single" w:sz="4" w:space="0" w:color="365F91"/>
              <w:left w:val="nil"/>
              <w:bottom w:val="single" w:sz="4" w:space="0" w:color="365F91"/>
              <w:right w:val="nil"/>
            </w:tcBorders>
            <w:shd w:val="clear" w:color="auto" w:fill="auto"/>
          </w:tcPr>
          <w:p w14:paraId="30D83C83" w14:textId="77777777" w:rsidR="00F849A7" w:rsidRPr="00D9348B" w:rsidRDefault="00F849A7" w:rsidP="00DB330E">
            <w:pPr>
              <w:pStyle w:val="TableText"/>
              <w:spacing w:after="50"/>
              <w:jc w:val="right"/>
              <w:rPr>
                <w:rFonts w:cs="Calibri"/>
                <w:szCs w:val="16"/>
              </w:rPr>
            </w:pPr>
          </w:p>
        </w:tc>
        <w:tc>
          <w:tcPr>
            <w:tcW w:w="964" w:type="dxa"/>
            <w:tcBorders>
              <w:top w:val="single" w:sz="4" w:space="0" w:color="365F91"/>
              <w:left w:val="nil"/>
              <w:bottom w:val="single" w:sz="4" w:space="0" w:color="365F91"/>
              <w:right w:val="nil"/>
            </w:tcBorders>
            <w:shd w:val="clear" w:color="auto" w:fill="auto"/>
          </w:tcPr>
          <w:p w14:paraId="72964421" w14:textId="77777777" w:rsidR="00F849A7" w:rsidRPr="00D9348B" w:rsidRDefault="00F849A7" w:rsidP="00DB330E">
            <w:pPr>
              <w:pStyle w:val="TableText"/>
              <w:spacing w:after="50"/>
              <w:jc w:val="right"/>
              <w:rPr>
                <w:rFonts w:cs="Calibri"/>
                <w:szCs w:val="16"/>
              </w:rPr>
            </w:pPr>
          </w:p>
        </w:tc>
        <w:tc>
          <w:tcPr>
            <w:tcW w:w="964" w:type="dxa"/>
            <w:tcBorders>
              <w:top w:val="single" w:sz="4" w:space="0" w:color="365F91"/>
              <w:left w:val="nil"/>
              <w:bottom w:val="single" w:sz="4" w:space="0" w:color="365F91"/>
              <w:right w:val="nil"/>
            </w:tcBorders>
            <w:shd w:val="clear" w:color="auto" w:fill="auto"/>
          </w:tcPr>
          <w:p w14:paraId="09C09E54" w14:textId="77777777" w:rsidR="00F849A7" w:rsidRPr="00D9348B" w:rsidRDefault="00F849A7" w:rsidP="00DB330E">
            <w:pPr>
              <w:pStyle w:val="TableText"/>
              <w:spacing w:after="50"/>
              <w:jc w:val="right"/>
              <w:rPr>
                <w:rFonts w:cs="Calibri"/>
                <w:szCs w:val="16"/>
              </w:rPr>
            </w:pPr>
            <w:r w:rsidRPr="00D9348B">
              <w:rPr>
                <w:rFonts w:cs="Calibri"/>
                <w:szCs w:val="16"/>
              </w:rPr>
              <w:t>20</w:t>
            </w:r>
          </w:p>
        </w:tc>
      </w:tr>
      <w:tr w:rsidR="00F849A7" w:rsidRPr="00D9348B" w14:paraId="49B0C32F" w14:textId="77777777" w:rsidTr="00CF364B">
        <w:tc>
          <w:tcPr>
            <w:tcW w:w="1757" w:type="dxa"/>
            <w:tcBorders>
              <w:top w:val="single" w:sz="4" w:space="0" w:color="365F91"/>
              <w:left w:val="nil"/>
              <w:bottom w:val="single" w:sz="4" w:space="0" w:color="365F91"/>
              <w:right w:val="nil"/>
            </w:tcBorders>
            <w:shd w:val="clear" w:color="auto" w:fill="auto"/>
          </w:tcPr>
          <w:p w14:paraId="717C8791" w14:textId="77777777" w:rsidR="00F849A7" w:rsidRPr="00D9348B" w:rsidRDefault="00F849A7" w:rsidP="00DB330E">
            <w:pPr>
              <w:pStyle w:val="TableText"/>
              <w:spacing w:after="50"/>
              <w:jc w:val="right"/>
              <w:rPr>
                <w:rFonts w:cs="Calibri"/>
                <w:szCs w:val="16"/>
              </w:rPr>
            </w:pPr>
          </w:p>
        </w:tc>
        <w:tc>
          <w:tcPr>
            <w:tcW w:w="1871" w:type="dxa"/>
            <w:tcBorders>
              <w:top w:val="single" w:sz="4" w:space="0" w:color="365F91"/>
              <w:left w:val="nil"/>
              <w:bottom w:val="single" w:sz="4" w:space="0" w:color="365F91"/>
              <w:right w:val="nil"/>
            </w:tcBorders>
          </w:tcPr>
          <w:p w14:paraId="5169B10C" w14:textId="77777777" w:rsidR="00F849A7" w:rsidRPr="00D9348B" w:rsidRDefault="00F849A7" w:rsidP="00DB330E">
            <w:pPr>
              <w:pStyle w:val="TableText"/>
              <w:spacing w:after="50"/>
              <w:rPr>
                <w:rFonts w:cs="Calibri"/>
                <w:szCs w:val="16"/>
              </w:rPr>
            </w:pPr>
            <w:r w:rsidRPr="00D9348B">
              <w:rPr>
                <w:rFonts w:cs="Calibri"/>
                <w:szCs w:val="16"/>
              </w:rPr>
              <w:t>Steep slope (&gt;24</w:t>
            </w:r>
            <w:r w:rsidRPr="00D9348B">
              <w:rPr>
                <w:rFonts w:cs="Calibri"/>
                <w:szCs w:val="16"/>
                <w:vertAlign w:val="superscript"/>
              </w:rPr>
              <w:t>o</w:t>
            </w:r>
            <w:r w:rsidRPr="00D9348B">
              <w:rPr>
                <w:rFonts w:cs="Calibri"/>
                <w:szCs w:val="16"/>
              </w:rPr>
              <w:t>)</w:t>
            </w:r>
          </w:p>
        </w:tc>
        <w:tc>
          <w:tcPr>
            <w:tcW w:w="964" w:type="dxa"/>
            <w:tcBorders>
              <w:top w:val="single" w:sz="4" w:space="0" w:color="365F91"/>
              <w:left w:val="nil"/>
              <w:bottom w:val="single" w:sz="4" w:space="0" w:color="365F91"/>
              <w:right w:val="nil"/>
            </w:tcBorders>
            <w:shd w:val="clear" w:color="auto" w:fill="auto"/>
          </w:tcPr>
          <w:p w14:paraId="5EB9FE70" w14:textId="77777777" w:rsidR="00F849A7" w:rsidRPr="00D9348B" w:rsidRDefault="00F849A7" w:rsidP="00DB330E">
            <w:pPr>
              <w:pStyle w:val="TableText"/>
              <w:spacing w:after="50"/>
              <w:jc w:val="right"/>
              <w:rPr>
                <w:rFonts w:cs="Calibri"/>
                <w:szCs w:val="16"/>
              </w:rPr>
            </w:pPr>
          </w:p>
        </w:tc>
        <w:tc>
          <w:tcPr>
            <w:tcW w:w="964" w:type="dxa"/>
            <w:tcBorders>
              <w:top w:val="single" w:sz="4" w:space="0" w:color="365F91"/>
              <w:left w:val="nil"/>
              <w:bottom w:val="single" w:sz="4" w:space="0" w:color="365F91"/>
              <w:right w:val="nil"/>
            </w:tcBorders>
            <w:shd w:val="clear" w:color="auto" w:fill="auto"/>
          </w:tcPr>
          <w:p w14:paraId="2062E9CD" w14:textId="77777777" w:rsidR="00F849A7" w:rsidRPr="00D9348B" w:rsidRDefault="00F849A7" w:rsidP="00DB330E">
            <w:pPr>
              <w:pStyle w:val="TableText"/>
              <w:spacing w:after="50"/>
              <w:jc w:val="right"/>
              <w:rPr>
                <w:rFonts w:cs="Calibri"/>
                <w:szCs w:val="16"/>
              </w:rPr>
            </w:pPr>
          </w:p>
        </w:tc>
        <w:tc>
          <w:tcPr>
            <w:tcW w:w="964" w:type="dxa"/>
            <w:tcBorders>
              <w:top w:val="single" w:sz="4" w:space="0" w:color="365F91"/>
              <w:left w:val="nil"/>
              <w:bottom w:val="single" w:sz="4" w:space="0" w:color="365F91"/>
              <w:right w:val="nil"/>
            </w:tcBorders>
            <w:shd w:val="clear" w:color="auto" w:fill="auto"/>
          </w:tcPr>
          <w:p w14:paraId="0DB03285" w14:textId="77777777" w:rsidR="00F849A7" w:rsidRPr="00D9348B" w:rsidRDefault="00F849A7" w:rsidP="00DB330E">
            <w:pPr>
              <w:pStyle w:val="TableText"/>
              <w:spacing w:after="50"/>
              <w:jc w:val="right"/>
              <w:rPr>
                <w:rFonts w:cs="Calibri"/>
                <w:szCs w:val="16"/>
              </w:rPr>
            </w:pPr>
          </w:p>
        </w:tc>
        <w:tc>
          <w:tcPr>
            <w:tcW w:w="964" w:type="dxa"/>
            <w:tcBorders>
              <w:top w:val="single" w:sz="4" w:space="0" w:color="365F91"/>
              <w:left w:val="nil"/>
              <w:bottom w:val="single" w:sz="4" w:space="0" w:color="365F91"/>
              <w:right w:val="nil"/>
            </w:tcBorders>
            <w:shd w:val="clear" w:color="auto" w:fill="auto"/>
          </w:tcPr>
          <w:p w14:paraId="3B8ED203" w14:textId="77777777" w:rsidR="00F849A7" w:rsidRPr="00D9348B" w:rsidRDefault="00F849A7" w:rsidP="00DB330E">
            <w:pPr>
              <w:pStyle w:val="TableText"/>
              <w:spacing w:after="50"/>
              <w:jc w:val="right"/>
              <w:rPr>
                <w:rFonts w:cs="Calibri"/>
                <w:szCs w:val="16"/>
              </w:rPr>
            </w:pPr>
          </w:p>
        </w:tc>
        <w:tc>
          <w:tcPr>
            <w:tcW w:w="964" w:type="dxa"/>
            <w:tcBorders>
              <w:top w:val="single" w:sz="4" w:space="0" w:color="365F91"/>
              <w:left w:val="nil"/>
              <w:bottom w:val="single" w:sz="4" w:space="0" w:color="365F91"/>
              <w:right w:val="nil"/>
            </w:tcBorders>
            <w:shd w:val="clear" w:color="auto" w:fill="auto"/>
          </w:tcPr>
          <w:p w14:paraId="711B91AE" w14:textId="77777777" w:rsidR="00F849A7" w:rsidRPr="00D9348B" w:rsidRDefault="00F849A7" w:rsidP="00DB330E">
            <w:pPr>
              <w:pStyle w:val="TableText"/>
              <w:spacing w:after="50"/>
              <w:jc w:val="right"/>
              <w:rPr>
                <w:rFonts w:cs="Calibri"/>
                <w:szCs w:val="16"/>
              </w:rPr>
            </w:pPr>
          </w:p>
        </w:tc>
      </w:tr>
      <w:tr w:rsidR="00F849A7" w:rsidRPr="00D9348B" w14:paraId="28D46D9C" w14:textId="77777777" w:rsidTr="00CF364B">
        <w:tc>
          <w:tcPr>
            <w:tcW w:w="1757" w:type="dxa"/>
            <w:tcBorders>
              <w:top w:val="single" w:sz="4" w:space="0" w:color="365F91"/>
              <w:left w:val="nil"/>
              <w:bottom w:val="single" w:sz="4" w:space="0" w:color="365F91"/>
              <w:right w:val="nil"/>
            </w:tcBorders>
            <w:shd w:val="clear" w:color="auto" w:fill="auto"/>
          </w:tcPr>
          <w:p w14:paraId="1D3CCF66" w14:textId="77777777" w:rsidR="00F849A7" w:rsidRPr="00D9348B" w:rsidRDefault="00F849A7" w:rsidP="00DB330E">
            <w:pPr>
              <w:pStyle w:val="TableText"/>
              <w:spacing w:after="50"/>
              <w:rPr>
                <w:rFonts w:cs="Calibri"/>
                <w:szCs w:val="16"/>
              </w:rPr>
            </w:pPr>
            <w:r w:rsidRPr="00D9348B">
              <w:rPr>
                <w:rFonts w:cs="Calibri"/>
                <w:szCs w:val="16"/>
              </w:rPr>
              <w:t>Dairy cattle dung</w:t>
            </w:r>
          </w:p>
        </w:tc>
        <w:tc>
          <w:tcPr>
            <w:tcW w:w="1871" w:type="dxa"/>
            <w:tcBorders>
              <w:top w:val="single" w:sz="4" w:space="0" w:color="365F91"/>
              <w:left w:val="nil"/>
              <w:bottom w:val="single" w:sz="4" w:space="0" w:color="365F91"/>
              <w:right w:val="nil"/>
            </w:tcBorders>
          </w:tcPr>
          <w:p w14:paraId="40ED300E" w14:textId="77777777" w:rsidR="00F849A7" w:rsidRPr="00D9348B" w:rsidRDefault="00F849A7" w:rsidP="00DB330E">
            <w:pPr>
              <w:pStyle w:val="TableText"/>
              <w:spacing w:after="50"/>
              <w:rPr>
                <w:rFonts w:cs="Calibri"/>
                <w:szCs w:val="16"/>
              </w:rPr>
            </w:pPr>
            <w:r w:rsidRPr="00D9348B">
              <w:rPr>
                <w:rFonts w:cs="Calibri"/>
                <w:szCs w:val="16"/>
              </w:rPr>
              <w:t>Flatland (0</w:t>
            </w:r>
            <w:r w:rsidRPr="00D9348B">
              <w:rPr>
                <w:rFonts w:cs="Calibri"/>
                <w:szCs w:val="16"/>
                <w:vertAlign w:val="superscript"/>
              </w:rPr>
              <w:t>o</w:t>
            </w:r>
            <w:r w:rsidRPr="00D9348B">
              <w:rPr>
                <w:rFonts w:cs="Calibri"/>
                <w:szCs w:val="16"/>
              </w:rPr>
              <w:t>)</w:t>
            </w:r>
          </w:p>
        </w:tc>
        <w:tc>
          <w:tcPr>
            <w:tcW w:w="964" w:type="dxa"/>
            <w:tcBorders>
              <w:top w:val="single" w:sz="4" w:space="0" w:color="365F91"/>
              <w:left w:val="nil"/>
              <w:bottom w:val="single" w:sz="4" w:space="0" w:color="365F91"/>
              <w:right w:val="nil"/>
            </w:tcBorders>
            <w:shd w:val="clear" w:color="auto" w:fill="auto"/>
          </w:tcPr>
          <w:p w14:paraId="6659652C" w14:textId="77777777" w:rsidR="00F849A7" w:rsidRPr="00D9348B" w:rsidRDefault="00F849A7" w:rsidP="00DB330E">
            <w:pPr>
              <w:pStyle w:val="TableText"/>
              <w:spacing w:after="50"/>
              <w:jc w:val="right"/>
              <w:rPr>
                <w:rFonts w:cs="Calibri"/>
                <w:szCs w:val="16"/>
              </w:rPr>
            </w:pPr>
            <w:r w:rsidRPr="00D9348B">
              <w:rPr>
                <w:rFonts w:cs="Calibri"/>
                <w:szCs w:val="16"/>
              </w:rPr>
              <w:t>14</w:t>
            </w:r>
          </w:p>
        </w:tc>
        <w:tc>
          <w:tcPr>
            <w:tcW w:w="964" w:type="dxa"/>
            <w:tcBorders>
              <w:top w:val="single" w:sz="4" w:space="0" w:color="365F91"/>
              <w:left w:val="nil"/>
              <w:bottom w:val="single" w:sz="4" w:space="0" w:color="365F91"/>
              <w:right w:val="nil"/>
            </w:tcBorders>
            <w:shd w:val="clear" w:color="auto" w:fill="auto"/>
          </w:tcPr>
          <w:p w14:paraId="0E8B2BE5" w14:textId="77777777" w:rsidR="00F849A7" w:rsidRPr="00D9348B" w:rsidRDefault="00F849A7" w:rsidP="00DB330E">
            <w:pPr>
              <w:pStyle w:val="TableText"/>
              <w:spacing w:after="50"/>
              <w:jc w:val="right"/>
              <w:rPr>
                <w:rFonts w:cs="Calibri"/>
                <w:szCs w:val="16"/>
              </w:rPr>
            </w:pPr>
            <w:r w:rsidRPr="00D9348B">
              <w:rPr>
                <w:rFonts w:cs="Calibri"/>
                <w:szCs w:val="16"/>
              </w:rPr>
              <w:t>34</w:t>
            </w:r>
          </w:p>
        </w:tc>
        <w:tc>
          <w:tcPr>
            <w:tcW w:w="964" w:type="dxa"/>
            <w:tcBorders>
              <w:top w:val="single" w:sz="4" w:space="0" w:color="365F91"/>
              <w:left w:val="nil"/>
              <w:bottom w:val="single" w:sz="4" w:space="0" w:color="365F91"/>
              <w:right w:val="nil"/>
            </w:tcBorders>
            <w:shd w:val="clear" w:color="auto" w:fill="auto"/>
          </w:tcPr>
          <w:p w14:paraId="0C1F9AAE" w14:textId="77777777" w:rsidR="00F849A7" w:rsidRPr="00D9348B" w:rsidRDefault="00F849A7" w:rsidP="00DB330E">
            <w:pPr>
              <w:pStyle w:val="TableText"/>
              <w:spacing w:after="50"/>
              <w:jc w:val="right"/>
              <w:rPr>
                <w:rFonts w:cs="Calibri"/>
                <w:szCs w:val="16"/>
              </w:rPr>
            </w:pPr>
            <w:r w:rsidRPr="00D9348B">
              <w:rPr>
                <w:rFonts w:cs="Calibri"/>
                <w:szCs w:val="16"/>
              </w:rPr>
              <w:t>36</w:t>
            </w:r>
          </w:p>
        </w:tc>
        <w:tc>
          <w:tcPr>
            <w:tcW w:w="964" w:type="dxa"/>
            <w:tcBorders>
              <w:top w:val="single" w:sz="4" w:space="0" w:color="365F91"/>
              <w:left w:val="nil"/>
              <w:bottom w:val="single" w:sz="4" w:space="0" w:color="365F91"/>
              <w:right w:val="nil"/>
            </w:tcBorders>
            <w:shd w:val="clear" w:color="auto" w:fill="auto"/>
          </w:tcPr>
          <w:p w14:paraId="337DB850" w14:textId="77777777" w:rsidR="00F849A7" w:rsidRPr="00D9348B" w:rsidRDefault="00F849A7" w:rsidP="00DB330E">
            <w:pPr>
              <w:pStyle w:val="TableText"/>
              <w:spacing w:after="50"/>
              <w:jc w:val="right"/>
              <w:rPr>
                <w:rFonts w:cs="Calibri"/>
                <w:szCs w:val="16"/>
              </w:rPr>
            </w:pPr>
          </w:p>
        </w:tc>
        <w:tc>
          <w:tcPr>
            <w:tcW w:w="964" w:type="dxa"/>
            <w:tcBorders>
              <w:top w:val="single" w:sz="4" w:space="0" w:color="365F91"/>
              <w:left w:val="nil"/>
              <w:bottom w:val="single" w:sz="4" w:space="0" w:color="365F91"/>
              <w:right w:val="nil"/>
            </w:tcBorders>
            <w:shd w:val="clear" w:color="auto" w:fill="auto"/>
          </w:tcPr>
          <w:p w14:paraId="7914AA41" w14:textId="77777777" w:rsidR="00F849A7" w:rsidRPr="00D9348B" w:rsidRDefault="00F849A7" w:rsidP="00DB330E">
            <w:pPr>
              <w:pStyle w:val="TableText"/>
              <w:spacing w:after="50"/>
              <w:jc w:val="right"/>
              <w:rPr>
                <w:rFonts w:cs="Calibri"/>
                <w:szCs w:val="16"/>
              </w:rPr>
            </w:pPr>
            <w:r w:rsidRPr="00D9348B">
              <w:rPr>
                <w:rFonts w:cs="Calibri"/>
                <w:szCs w:val="16"/>
              </w:rPr>
              <w:t>84</w:t>
            </w:r>
          </w:p>
        </w:tc>
      </w:tr>
      <w:tr w:rsidR="00F849A7" w:rsidRPr="00D9348B" w14:paraId="16CEE3E2" w14:textId="77777777" w:rsidTr="00CF364B">
        <w:tc>
          <w:tcPr>
            <w:tcW w:w="1757" w:type="dxa"/>
            <w:tcBorders>
              <w:top w:val="single" w:sz="4" w:space="0" w:color="365F91"/>
              <w:left w:val="nil"/>
              <w:bottom w:val="single" w:sz="4" w:space="0" w:color="365F91"/>
              <w:right w:val="nil"/>
            </w:tcBorders>
            <w:shd w:val="clear" w:color="auto" w:fill="auto"/>
          </w:tcPr>
          <w:p w14:paraId="787DC605" w14:textId="77777777" w:rsidR="00F849A7" w:rsidRPr="00D9348B" w:rsidRDefault="00F849A7" w:rsidP="00DB330E">
            <w:pPr>
              <w:pStyle w:val="TableText"/>
              <w:spacing w:after="50"/>
              <w:jc w:val="right"/>
              <w:rPr>
                <w:rFonts w:cs="Calibri"/>
                <w:szCs w:val="16"/>
              </w:rPr>
            </w:pPr>
          </w:p>
        </w:tc>
        <w:tc>
          <w:tcPr>
            <w:tcW w:w="1871" w:type="dxa"/>
            <w:tcBorders>
              <w:top w:val="single" w:sz="4" w:space="0" w:color="365F91"/>
              <w:left w:val="nil"/>
              <w:bottom w:val="single" w:sz="4" w:space="0" w:color="365F91"/>
              <w:right w:val="nil"/>
            </w:tcBorders>
          </w:tcPr>
          <w:p w14:paraId="0C22B18B" w14:textId="77777777" w:rsidR="00F849A7" w:rsidRPr="00D9348B" w:rsidRDefault="00F849A7" w:rsidP="00DB330E">
            <w:pPr>
              <w:pStyle w:val="TableText"/>
              <w:spacing w:after="50"/>
              <w:rPr>
                <w:rFonts w:cs="Calibri"/>
                <w:szCs w:val="16"/>
              </w:rPr>
            </w:pPr>
            <w:r w:rsidRPr="00D9348B">
              <w:rPr>
                <w:rFonts w:cs="Calibri"/>
                <w:szCs w:val="16"/>
              </w:rPr>
              <w:t>Low slope (0–12</w:t>
            </w:r>
            <w:r w:rsidRPr="00D9348B">
              <w:rPr>
                <w:rFonts w:cs="Calibri"/>
                <w:szCs w:val="16"/>
                <w:vertAlign w:val="superscript"/>
              </w:rPr>
              <w:t>o</w:t>
            </w:r>
            <w:r w:rsidRPr="00D9348B">
              <w:rPr>
                <w:rFonts w:cs="Calibri"/>
                <w:szCs w:val="16"/>
              </w:rPr>
              <w:t>)</w:t>
            </w:r>
          </w:p>
        </w:tc>
        <w:tc>
          <w:tcPr>
            <w:tcW w:w="964" w:type="dxa"/>
            <w:tcBorders>
              <w:top w:val="single" w:sz="4" w:space="0" w:color="365F91"/>
              <w:left w:val="nil"/>
              <w:bottom w:val="single" w:sz="4" w:space="0" w:color="365F91"/>
              <w:right w:val="nil"/>
            </w:tcBorders>
            <w:shd w:val="clear" w:color="auto" w:fill="auto"/>
          </w:tcPr>
          <w:p w14:paraId="2A01E190" w14:textId="77777777" w:rsidR="00F849A7" w:rsidRPr="00D9348B" w:rsidRDefault="00F849A7" w:rsidP="00DB330E">
            <w:pPr>
              <w:pStyle w:val="TableText"/>
              <w:spacing w:after="50"/>
              <w:jc w:val="right"/>
              <w:rPr>
                <w:rFonts w:cs="Calibri"/>
                <w:szCs w:val="16"/>
              </w:rPr>
            </w:pPr>
          </w:p>
        </w:tc>
        <w:tc>
          <w:tcPr>
            <w:tcW w:w="964" w:type="dxa"/>
            <w:tcBorders>
              <w:top w:val="single" w:sz="4" w:space="0" w:color="365F91"/>
              <w:left w:val="nil"/>
              <w:bottom w:val="single" w:sz="4" w:space="0" w:color="365F91"/>
              <w:right w:val="nil"/>
            </w:tcBorders>
            <w:shd w:val="clear" w:color="auto" w:fill="auto"/>
          </w:tcPr>
          <w:p w14:paraId="25371067" w14:textId="77777777" w:rsidR="00F849A7" w:rsidRPr="00D9348B" w:rsidRDefault="00F849A7" w:rsidP="00DB330E">
            <w:pPr>
              <w:pStyle w:val="TableText"/>
              <w:spacing w:after="50"/>
              <w:jc w:val="right"/>
              <w:rPr>
                <w:rFonts w:cs="Calibri"/>
                <w:szCs w:val="16"/>
              </w:rPr>
            </w:pPr>
            <w:r w:rsidRPr="00D9348B">
              <w:rPr>
                <w:rFonts w:cs="Calibri"/>
                <w:szCs w:val="16"/>
              </w:rPr>
              <w:t>26</w:t>
            </w:r>
          </w:p>
        </w:tc>
        <w:tc>
          <w:tcPr>
            <w:tcW w:w="964" w:type="dxa"/>
            <w:tcBorders>
              <w:top w:val="single" w:sz="4" w:space="0" w:color="365F91"/>
              <w:left w:val="nil"/>
              <w:bottom w:val="single" w:sz="4" w:space="0" w:color="365F91"/>
              <w:right w:val="nil"/>
            </w:tcBorders>
            <w:shd w:val="clear" w:color="auto" w:fill="auto"/>
          </w:tcPr>
          <w:p w14:paraId="4C7D1702" w14:textId="77777777" w:rsidR="00F849A7" w:rsidRPr="00D9348B" w:rsidRDefault="00F849A7" w:rsidP="00DB330E">
            <w:pPr>
              <w:pStyle w:val="TableText"/>
              <w:spacing w:after="50"/>
              <w:jc w:val="right"/>
              <w:rPr>
                <w:rFonts w:cs="Calibri"/>
                <w:szCs w:val="16"/>
              </w:rPr>
            </w:pPr>
          </w:p>
        </w:tc>
        <w:tc>
          <w:tcPr>
            <w:tcW w:w="964" w:type="dxa"/>
            <w:tcBorders>
              <w:top w:val="single" w:sz="4" w:space="0" w:color="365F91"/>
              <w:left w:val="nil"/>
              <w:bottom w:val="single" w:sz="4" w:space="0" w:color="365F91"/>
              <w:right w:val="nil"/>
            </w:tcBorders>
            <w:shd w:val="clear" w:color="auto" w:fill="auto"/>
          </w:tcPr>
          <w:p w14:paraId="75E88E86" w14:textId="77777777" w:rsidR="00F849A7" w:rsidRPr="00D9348B" w:rsidRDefault="00F849A7" w:rsidP="00DB330E">
            <w:pPr>
              <w:pStyle w:val="TableText"/>
              <w:spacing w:after="50"/>
              <w:jc w:val="right"/>
              <w:rPr>
                <w:rFonts w:cs="Calibri"/>
                <w:szCs w:val="16"/>
              </w:rPr>
            </w:pPr>
            <w:r w:rsidRPr="00D9348B">
              <w:rPr>
                <w:rFonts w:cs="Calibri"/>
                <w:szCs w:val="16"/>
              </w:rPr>
              <w:t>20</w:t>
            </w:r>
          </w:p>
        </w:tc>
        <w:tc>
          <w:tcPr>
            <w:tcW w:w="964" w:type="dxa"/>
            <w:tcBorders>
              <w:top w:val="single" w:sz="4" w:space="0" w:color="365F91"/>
              <w:left w:val="nil"/>
              <w:bottom w:val="single" w:sz="4" w:space="0" w:color="365F91"/>
              <w:right w:val="nil"/>
            </w:tcBorders>
            <w:shd w:val="clear" w:color="auto" w:fill="auto"/>
          </w:tcPr>
          <w:p w14:paraId="75B0B2F9" w14:textId="77777777" w:rsidR="00F849A7" w:rsidRPr="00D9348B" w:rsidRDefault="00F849A7" w:rsidP="00DB330E">
            <w:pPr>
              <w:pStyle w:val="TableText"/>
              <w:spacing w:after="50"/>
              <w:jc w:val="right"/>
              <w:rPr>
                <w:rFonts w:cs="Calibri"/>
                <w:szCs w:val="16"/>
              </w:rPr>
            </w:pPr>
            <w:r w:rsidRPr="00D9348B">
              <w:rPr>
                <w:rFonts w:cs="Calibri"/>
                <w:szCs w:val="16"/>
              </w:rPr>
              <w:t>46</w:t>
            </w:r>
          </w:p>
        </w:tc>
      </w:tr>
      <w:tr w:rsidR="00F849A7" w:rsidRPr="00D9348B" w14:paraId="68D5A276" w14:textId="77777777" w:rsidTr="00CF364B">
        <w:tc>
          <w:tcPr>
            <w:tcW w:w="1757" w:type="dxa"/>
            <w:tcBorders>
              <w:top w:val="single" w:sz="4" w:space="0" w:color="365F91"/>
              <w:left w:val="nil"/>
              <w:bottom w:val="single" w:sz="4" w:space="0" w:color="365F91"/>
              <w:right w:val="nil"/>
            </w:tcBorders>
            <w:shd w:val="clear" w:color="auto" w:fill="auto"/>
          </w:tcPr>
          <w:p w14:paraId="1A091E76" w14:textId="77777777" w:rsidR="00F849A7" w:rsidRPr="00D9348B" w:rsidRDefault="00F849A7" w:rsidP="00DB330E">
            <w:pPr>
              <w:pStyle w:val="TableText"/>
              <w:spacing w:after="50"/>
              <w:jc w:val="right"/>
              <w:rPr>
                <w:rFonts w:cs="Calibri"/>
                <w:szCs w:val="16"/>
              </w:rPr>
            </w:pPr>
          </w:p>
        </w:tc>
        <w:tc>
          <w:tcPr>
            <w:tcW w:w="1871" w:type="dxa"/>
            <w:tcBorders>
              <w:top w:val="single" w:sz="4" w:space="0" w:color="365F91"/>
              <w:left w:val="nil"/>
              <w:bottom w:val="single" w:sz="4" w:space="0" w:color="365F91"/>
              <w:right w:val="nil"/>
            </w:tcBorders>
          </w:tcPr>
          <w:p w14:paraId="6AE241AC" w14:textId="77777777" w:rsidR="00F849A7" w:rsidRPr="00D9348B" w:rsidRDefault="00F849A7" w:rsidP="00DB330E">
            <w:pPr>
              <w:pStyle w:val="TableText"/>
              <w:spacing w:after="50"/>
              <w:rPr>
                <w:rFonts w:cs="Calibri"/>
                <w:szCs w:val="16"/>
              </w:rPr>
            </w:pPr>
            <w:r w:rsidRPr="00D9348B">
              <w:rPr>
                <w:rFonts w:cs="Calibri"/>
                <w:szCs w:val="16"/>
              </w:rPr>
              <w:t>Medium slope (12–24</w:t>
            </w:r>
            <w:r w:rsidRPr="00D9348B">
              <w:rPr>
                <w:rFonts w:cs="Calibri"/>
                <w:szCs w:val="16"/>
                <w:vertAlign w:val="superscript"/>
              </w:rPr>
              <w:t>o</w:t>
            </w:r>
            <w:r w:rsidRPr="00D9348B">
              <w:rPr>
                <w:rFonts w:cs="Calibri"/>
                <w:szCs w:val="16"/>
              </w:rPr>
              <w:t>)</w:t>
            </w:r>
          </w:p>
        </w:tc>
        <w:tc>
          <w:tcPr>
            <w:tcW w:w="964" w:type="dxa"/>
            <w:tcBorders>
              <w:top w:val="single" w:sz="4" w:space="0" w:color="365F91"/>
              <w:left w:val="nil"/>
              <w:bottom w:val="single" w:sz="4" w:space="0" w:color="365F91"/>
              <w:right w:val="nil"/>
            </w:tcBorders>
            <w:shd w:val="clear" w:color="auto" w:fill="auto"/>
          </w:tcPr>
          <w:p w14:paraId="04FE5528" w14:textId="77777777" w:rsidR="00F849A7" w:rsidRPr="00D9348B" w:rsidRDefault="00F849A7" w:rsidP="00DB330E">
            <w:pPr>
              <w:pStyle w:val="TableText"/>
              <w:spacing w:after="50"/>
              <w:jc w:val="right"/>
              <w:rPr>
                <w:rFonts w:cs="Calibri"/>
                <w:szCs w:val="16"/>
              </w:rPr>
            </w:pPr>
          </w:p>
        </w:tc>
        <w:tc>
          <w:tcPr>
            <w:tcW w:w="964" w:type="dxa"/>
            <w:tcBorders>
              <w:top w:val="single" w:sz="4" w:space="0" w:color="365F91"/>
              <w:left w:val="nil"/>
              <w:bottom w:val="single" w:sz="4" w:space="0" w:color="365F91"/>
              <w:right w:val="nil"/>
            </w:tcBorders>
            <w:shd w:val="clear" w:color="auto" w:fill="auto"/>
          </w:tcPr>
          <w:p w14:paraId="2C1581C6" w14:textId="77777777" w:rsidR="00F849A7" w:rsidRPr="00D9348B" w:rsidRDefault="00F849A7" w:rsidP="00DB330E">
            <w:pPr>
              <w:pStyle w:val="TableText"/>
              <w:spacing w:after="50"/>
              <w:jc w:val="right"/>
              <w:rPr>
                <w:rFonts w:cs="Calibri"/>
                <w:szCs w:val="16"/>
              </w:rPr>
            </w:pPr>
            <w:r w:rsidRPr="00D9348B">
              <w:rPr>
                <w:rFonts w:cs="Calibri"/>
                <w:szCs w:val="16"/>
              </w:rPr>
              <w:t>20</w:t>
            </w:r>
          </w:p>
        </w:tc>
        <w:tc>
          <w:tcPr>
            <w:tcW w:w="964" w:type="dxa"/>
            <w:tcBorders>
              <w:top w:val="single" w:sz="4" w:space="0" w:color="365F91"/>
              <w:left w:val="nil"/>
              <w:bottom w:val="single" w:sz="4" w:space="0" w:color="365F91"/>
              <w:right w:val="nil"/>
            </w:tcBorders>
            <w:shd w:val="clear" w:color="auto" w:fill="auto"/>
          </w:tcPr>
          <w:p w14:paraId="50206325" w14:textId="77777777" w:rsidR="00F849A7" w:rsidRPr="00D9348B" w:rsidRDefault="00F849A7" w:rsidP="00DB330E">
            <w:pPr>
              <w:pStyle w:val="TableText"/>
              <w:spacing w:after="50"/>
              <w:jc w:val="right"/>
              <w:rPr>
                <w:rFonts w:cs="Calibri"/>
                <w:szCs w:val="16"/>
              </w:rPr>
            </w:pPr>
          </w:p>
        </w:tc>
        <w:tc>
          <w:tcPr>
            <w:tcW w:w="964" w:type="dxa"/>
            <w:tcBorders>
              <w:top w:val="single" w:sz="4" w:space="0" w:color="365F91"/>
              <w:left w:val="nil"/>
              <w:bottom w:val="single" w:sz="4" w:space="0" w:color="365F91"/>
              <w:right w:val="nil"/>
            </w:tcBorders>
            <w:shd w:val="clear" w:color="auto" w:fill="auto"/>
          </w:tcPr>
          <w:p w14:paraId="05885098" w14:textId="77777777" w:rsidR="00F849A7" w:rsidRPr="00D9348B" w:rsidRDefault="00F849A7" w:rsidP="00DB330E">
            <w:pPr>
              <w:pStyle w:val="TableText"/>
              <w:spacing w:after="50"/>
              <w:jc w:val="right"/>
              <w:rPr>
                <w:rFonts w:cs="Calibri"/>
                <w:szCs w:val="16"/>
              </w:rPr>
            </w:pPr>
          </w:p>
        </w:tc>
        <w:tc>
          <w:tcPr>
            <w:tcW w:w="964" w:type="dxa"/>
            <w:tcBorders>
              <w:top w:val="single" w:sz="4" w:space="0" w:color="365F91"/>
              <w:left w:val="nil"/>
              <w:bottom w:val="single" w:sz="4" w:space="0" w:color="365F91"/>
              <w:right w:val="nil"/>
            </w:tcBorders>
            <w:shd w:val="clear" w:color="auto" w:fill="auto"/>
          </w:tcPr>
          <w:p w14:paraId="59889C00" w14:textId="77777777" w:rsidR="00F849A7" w:rsidRPr="00D9348B" w:rsidRDefault="00F849A7" w:rsidP="00DB330E">
            <w:pPr>
              <w:pStyle w:val="TableText"/>
              <w:spacing w:after="50"/>
              <w:jc w:val="right"/>
              <w:rPr>
                <w:rFonts w:cs="Calibri"/>
                <w:szCs w:val="16"/>
              </w:rPr>
            </w:pPr>
            <w:r w:rsidRPr="00D9348B">
              <w:rPr>
                <w:rFonts w:cs="Calibri"/>
                <w:szCs w:val="16"/>
              </w:rPr>
              <w:t>20</w:t>
            </w:r>
          </w:p>
        </w:tc>
      </w:tr>
      <w:tr w:rsidR="00F849A7" w:rsidRPr="00D9348B" w14:paraId="2F103BEB" w14:textId="77777777" w:rsidTr="00CF364B">
        <w:tc>
          <w:tcPr>
            <w:tcW w:w="1757" w:type="dxa"/>
            <w:tcBorders>
              <w:top w:val="single" w:sz="4" w:space="0" w:color="365F91"/>
              <w:left w:val="nil"/>
              <w:bottom w:val="single" w:sz="4" w:space="0" w:color="365F91"/>
              <w:right w:val="nil"/>
            </w:tcBorders>
            <w:shd w:val="clear" w:color="auto" w:fill="auto"/>
          </w:tcPr>
          <w:p w14:paraId="66C6695F" w14:textId="77777777" w:rsidR="00F849A7" w:rsidRPr="00D9348B" w:rsidRDefault="00F849A7" w:rsidP="00DB330E">
            <w:pPr>
              <w:pStyle w:val="TableText"/>
              <w:spacing w:after="50"/>
              <w:jc w:val="right"/>
              <w:rPr>
                <w:rFonts w:cs="Calibri"/>
                <w:szCs w:val="16"/>
              </w:rPr>
            </w:pPr>
          </w:p>
        </w:tc>
        <w:tc>
          <w:tcPr>
            <w:tcW w:w="1871" w:type="dxa"/>
            <w:tcBorders>
              <w:top w:val="single" w:sz="4" w:space="0" w:color="365F91"/>
              <w:left w:val="nil"/>
              <w:bottom w:val="single" w:sz="4" w:space="0" w:color="365F91"/>
              <w:right w:val="nil"/>
            </w:tcBorders>
          </w:tcPr>
          <w:p w14:paraId="64C55FEA" w14:textId="77777777" w:rsidR="00F849A7" w:rsidRPr="00D9348B" w:rsidRDefault="00F849A7" w:rsidP="00DB330E">
            <w:pPr>
              <w:pStyle w:val="TableText"/>
              <w:spacing w:after="50"/>
              <w:rPr>
                <w:rFonts w:cs="Calibri"/>
                <w:szCs w:val="16"/>
              </w:rPr>
            </w:pPr>
            <w:r w:rsidRPr="00D9348B">
              <w:rPr>
                <w:rFonts w:cs="Calibri"/>
                <w:szCs w:val="16"/>
              </w:rPr>
              <w:t>Steep slope (&gt;24</w:t>
            </w:r>
            <w:r w:rsidRPr="00D9348B">
              <w:rPr>
                <w:rFonts w:cs="Calibri"/>
                <w:szCs w:val="16"/>
                <w:vertAlign w:val="superscript"/>
              </w:rPr>
              <w:t>o</w:t>
            </w:r>
            <w:r w:rsidRPr="00D9348B">
              <w:rPr>
                <w:rFonts w:cs="Calibri"/>
                <w:szCs w:val="16"/>
              </w:rPr>
              <w:t>)</w:t>
            </w:r>
          </w:p>
        </w:tc>
        <w:tc>
          <w:tcPr>
            <w:tcW w:w="964" w:type="dxa"/>
            <w:tcBorders>
              <w:top w:val="single" w:sz="4" w:space="0" w:color="365F91"/>
              <w:left w:val="nil"/>
              <w:bottom w:val="single" w:sz="4" w:space="0" w:color="365F91"/>
              <w:right w:val="nil"/>
            </w:tcBorders>
            <w:shd w:val="clear" w:color="auto" w:fill="auto"/>
          </w:tcPr>
          <w:p w14:paraId="02FD7E43" w14:textId="77777777" w:rsidR="00F849A7" w:rsidRPr="00D9348B" w:rsidRDefault="00F849A7" w:rsidP="00DB330E">
            <w:pPr>
              <w:pStyle w:val="TableText"/>
              <w:spacing w:after="50"/>
              <w:jc w:val="right"/>
              <w:rPr>
                <w:rFonts w:cs="Calibri"/>
                <w:szCs w:val="16"/>
              </w:rPr>
            </w:pPr>
          </w:p>
        </w:tc>
        <w:tc>
          <w:tcPr>
            <w:tcW w:w="964" w:type="dxa"/>
            <w:tcBorders>
              <w:top w:val="single" w:sz="4" w:space="0" w:color="365F91"/>
              <w:left w:val="nil"/>
              <w:bottom w:val="single" w:sz="4" w:space="0" w:color="365F91"/>
              <w:right w:val="nil"/>
            </w:tcBorders>
            <w:shd w:val="clear" w:color="auto" w:fill="auto"/>
          </w:tcPr>
          <w:p w14:paraId="51E1732E" w14:textId="77777777" w:rsidR="00F849A7" w:rsidRPr="00D9348B" w:rsidRDefault="00F849A7" w:rsidP="00DB330E">
            <w:pPr>
              <w:pStyle w:val="TableText"/>
              <w:spacing w:after="50"/>
              <w:jc w:val="right"/>
              <w:rPr>
                <w:rFonts w:cs="Calibri"/>
                <w:szCs w:val="16"/>
              </w:rPr>
            </w:pPr>
          </w:p>
        </w:tc>
        <w:tc>
          <w:tcPr>
            <w:tcW w:w="964" w:type="dxa"/>
            <w:tcBorders>
              <w:top w:val="single" w:sz="4" w:space="0" w:color="365F91"/>
              <w:left w:val="nil"/>
              <w:bottom w:val="single" w:sz="4" w:space="0" w:color="365F91"/>
              <w:right w:val="nil"/>
            </w:tcBorders>
            <w:shd w:val="clear" w:color="auto" w:fill="auto"/>
          </w:tcPr>
          <w:p w14:paraId="510C974F" w14:textId="77777777" w:rsidR="00F849A7" w:rsidRPr="00D9348B" w:rsidRDefault="00F849A7" w:rsidP="00DB330E">
            <w:pPr>
              <w:pStyle w:val="TableText"/>
              <w:spacing w:after="50"/>
              <w:jc w:val="right"/>
              <w:rPr>
                <w:rFonts w:cs="Calibri"/>
                <w:szCs w:val="16"/>
              </w:rPr>
            </w:pPr>
          </w:p>
        </w:tc>
        <w:tc>
          <w:tcPr>
            <w:tcW w:w="964" w:type="dxa"/>
            <w:tcBorders>
              <w:top w:val="single" w:sz="4" w:space="0" w:color="365F91"/>
              <w:left w:val="nil"/>
              <w:bottom w:val="single" w:sz="4" w:space="0" w:color="365F91"/>
              <w:right w:val="nil"/>
            </w:tcBorders>
            <w:shd w:val="clear" w:color="auto" w:fill="auto"/>
          </w:tcPr>
          <w:p w14:paraId="6B159C3F" w14:textId="77777777" w:rsidR="00F849A7" w:rsidRPr="00D9348B" w:rsidRDefault="00F849A7" w:rsidP="00DB330E">
            <w:pPr>
              <w:pStyle w:val="TableText"/>
              <w:spacing w:after="50"/>
              <w:jc w:val="right"/>
              <w:rPr>
                <w:rFonts w:cs="Calibri"/>
                <w:szCs w:val="16"/>
              </w:rPr>
            </w:pPr>
          </w:p>
        </w:tc>
        <w:tc>
          <w:tcPr>
            <w:tcW w:w="964" w:type="dxa"/>
            <w:tcBorders>
              <w:top w:val="single" w:sz="4" w:space="0" w:color="365F91"/>
              <w:left w:val="nil"/>
              <w:bottom w:val="single" w:sz="4" w:space="0" w:color="365F91"/>
              <w:right w:val="nil"/>
            </w:tcBorders>
            <w:shd w:val="clear" w:color="auto" w:fill="auto"/>
          </w:tcPr>
          <w:p w14:paraId="371801F7" w14:textId="77777777" w:rsidR="00F849A7" w:rsidRPr="00D9348B" w:rsidRDefault="00F849A7" w:rsidP="00DB330E">
            <w:pPr>
              <w:pStyle w:val="TableText"/>
              <w:spacing w:after="50"/>
              <w:jc w:val="right"/>
              <w:rPr>
                <w:rFonts w:cs="Calibri"/>
                <w:szCs w:val="16"/>
              </w:rPr>
            </w:pPr>
          </w:p>
        </w:tc>
      </w:tr>
      <w:tr w:rsidR="00F849A7" w:rsidRPr="00D9348B" w14:paraId="79F4F29A" w14:textId="77777777" w:rsidTr="00CF364B">
        <w:tc>
          <w:tcPr>
            <w:tcW w:w="1757" w:type="dxa"/>
            <w:tcBorders>
              <w:top w:val="single" w:sz="4" w:space="0" w:color="365F91"/>
              <w:left w:val="nil"/>
              <w:bottom w:val="single" w:sz="4" w:space="0" w:color="365F91"/>
              <w:right w:val="nil"/>
            </w:tcBorders>
            <w:shd w:val="clear" w:color="auto" w:fill="auto"/>
          </w:tcPr>
          <w:p w14:paraId="1CD78263" w14:textId="77777777" w:rsidR="00F849A7" w:rsidRPr="00D9348B" w:rsidRDefault="00F849A7" w:rsidP="00DB330E">
            <w:pPr>
              <w:pStyle w:val="TableText"/>
              <w:spacing w:after="50"/>
              <w:rPr>
                <w:rFonts w:cs="Calibri"/>
                <w:szCs w:val="16"/>
              </w:rPr>
            </w:pPr>
            <w:r w:rsidRPr="00D9348B">
              <w:rPr>
                <w:rFonts w:cs="Calibri"/>
                <w:szCs w:val="16"/>
              </w:rPr>
              <w:t>Non-dairy cattle urine</w:t>
            </w:r>
          </w:p>
        </w:tc>
        <w:tc>
          <w:tcPr>
            <w:tcW w:w="1871" w:type="dxa"/>
            <w:tcBorders>
              <w:top w:val="single" w:sz="4" w:space="0" w:color="365F91"/>
              <w:left w:val="nil"/>
              <w:bottom w:val="single" w:sz="4" w:space="0" w:color="365F91"/>
              <w:right w:val="nil"/>
            </w:tcBorders>
          </w:tcPr>
          <w:p w14:paraId="12B1C58B" w14:textId="77777777" w:rsidR="00F849A7" w:rsidRPr="00D9348B" w:rsidRDefault="00F849A7" w:rsidP="00DB330E">
            <w:pPr>
              <w:pStyle w:val="TableText"/>
              <w:spacing w:after="50"/>
              <w:rPr>
                <w:rFonts w:cs="Calibri"/>
                <w:szCs w:val="16"/>
              </w:rPr>
            </w:pPr>
            <w:r w:rsidRPr="00D9348B">
              <w:rPr>
                <w:rFonts w:cs="Calibri"/>
                <w:szCs w:val="16"/>
              </w:rPr>
              <w:t>Flatland (0</w:t>
            </w:r>
            <w:r w:rsidRPr="00D9348B">
              <w:rPr>
                <w:rFonts w:cs="Calibri"/>
                <w:szCs w:val="16"/>
                <w:vertAlign w:val="superscript"/>
              </w:rPr>
              <w:t>o</w:t>
            </w:r>
            <w:r w:rsidRPr="00D9348B">
              <w:rPr>
                <w:rFonts w:cs="Calibri"/>
                <w:szCs w:val="16"/>
              </w:rPr>
              <w:t>)</w:t>
            </w:r>
          </w:p>
        </w:tc>
        <w:tc>
          <w:tcPr>
            <w:tcW w:w="964" w:type="dxa"/>
            <w:tcBorders>
              <w:top w:val="single" w:sz="4" w:space="0" w:color="365F91"/>
              <w:left w:val="nil"/>
              <w:bottom w:val="single" w:sz="4" w:space="0" w:color="365F91"/>
              <w:right w:val="nil"/>
            </w:tcBorders>
            <w:shd w:val="clear" w:color="auto" w:fill="auto"/>
          </w:tcPr>
          <w:p w14:paraId="48F4141A" w14:textId="77777777" w:rsidR="00F849A7" w:rsidRPr="00D9348B" w:rsidRDefault="00F849A7" w:rsidP="00DB330E">
            <w:pPr>
              <w:pStyle w:val="TableText"/>
              <w:spacing w:after="50"/>
              <w:jc w:val="right"/>
              <w:rPr>
                <w:rFonts w:cs="Calibri"/>
                <w:szCs w:val="16"/>
              </w:rPr>
            </w:pPr>
          </w:p>
        </w:tc>
        <w:tc>
          <w:tcPr>
            <w:tcW w:w="964" w:type="dxa"/>
            <w:tcBorders>
              <w:top w:val="single" w:sz="4" w:space="0" w:color="365F91"/>
              <w:left w:val="nil"/>
              <w:bottom w:val="single" w:sz="4" w:space="0" w:color="365F91"/>
              <w:right w:val="nil"/>
            </w:tcBorders>
            <w:shd w:val="clear" w:color="auto" w:fill="auto"/>
          </w:tcPr>
          <w:p w14:paraId="56B40289" w14:textId="77777777" w:rsidR="00F849A7" w:rsidRPr="00D9348B" w:rsidRDefault="00F849A7" w:rsidP="00DB330E">
            <w:pPr>
              <w:pStyle w:val="TableText"/>
              <w:spacing w:after="50"/>
              <w:jc w:val="right"/>
              <w:rPr>
                <w:rFonts w:cs="Calibri"/>
                <w:szCs w:val="16"/>
              </w:rPr>
            </w:pPr>
            <w:r w:rsidRPr="00D9348B">
              <w:rPr>
                <w:rFonts w:cs="Calibri"/>
                <w:szCs w:val="16"/>
              </w:rPr>
              <w:t>8</w:t>
            </w:r>
          </w:p>
        </w:tc>
        <w:tc>
          <w:tcPr>
            <w:tcW w:w="964" w:type="dxa"/>
            <w:tcBorders>
              <w:top w:val="single" w:sz="4" w:space="0" w:color="365F91"/>
              <w:left w:val="nil"/>
              <w:bottom w:val="single" w:sz="4" w:space="0" w:color="365F91"/>
              <w:right w:val="nil"/>
            </w:tcBorders>
            <w:shd w:val="clear" w:color="auto" w:fill="auto"/>
          </w:tcPr>
          <w:p w14:paraId="52D21A7C" w14:textId="77777777" w:rsidR="00F849A7" w:rsidRPr="00D9348B" w:rsidRDefault="00F849A7" w:rsidP="00DB330E">
            <w:pPr>
              <w:pStyle w:val="TableText"/>
              <w:spacing w:after="50"/>
              <w:jc w:val="right"/>
              <w:rPr>
                <w:rFonts w:cs="Calibri"/>
                <w:szCs w:val="16"/>
              </w:rPr>
            </w:pPr>
          </w:p>
        </w:tc>
        <w:tc>
          <w:tcPr>
            <w:tcW w:w="964" w:type="dxa"/>
            <w:tcBorders>
              <w:top w:val="single" w:sz="4" w:space="0" w:color="365F91"/>
              <w:left w:val="nil"/>
              <w:bottom w:val="single" w:sz="4" w:space="0" w:color="365F91"/>
              <w:right w:val="nil"/>
            </w:tcBorders>
            <w:shd w:val="clear" w:color="auto" w:fill="auto"/>
          </w:tcPr>
          <w:p w14:paraId="614EE348" w14:textId="77777777" w:rsidR="00F849A7" w:rsidRPr="00D9348B" w:rsidRDefault="00F849A7" w:rsidP="00DB330E">
            <w:pPr>
              <w:pStyle w:val="TableText"/>
              <w:spacing w:after="50"/>
              <w:jc w:val="right"/>
              <w:rPr>
                <w:rFonts w:cs="Calibri"/>
                <w:szCs w:val="16"/>
              </w:rPr>
            </w:pPr>
          </w:p>
        </w:tc>
        <w:tc>
          <w:tcPr>
            <w:tcW w:w="964" w:type="dxa"/>
            <w:tcBorders>
              <w:top w:val="single" w:sz="4" w:space="0" w:color="365F91"/>
              <w:left w:val="nil"/>
              <w:bottom w:val="single" w:sz="4" w:space="0" w:color="365F91"/>
              <w:right w:val="nil"/>
            </w:tcBorders>
            <w:shd w:val="clear" w:color="auto" w:fill="auto"/>
          </w:tcPr>
          <w:p w14:paraId="2A723200" w14:textId="77777777" w:rsidR="00F849A7" w:rsidRPr="00D9348B" w:rsidRDefault="00F849A7" w:rsidP="00DB330E">
            <w:pPr>
              <w:pStyle w:val="TableText"/>
              <w:spacing w:after="50"/>
              <w:jc w:val="right"/>
              <w:rPr>
                <w:rFonts w:cs="Calibri"/>
                <w:szCs w:val="16"/>
              </w:rPr>
            </w:pPr>
            <w:r w:rsidRPr="00D9348B">
              <w:rPr>
                <w:rFonts w:cs="Calibri"/>
                <w:szCs w:val="16"/>
              </w:rPr>
              <w:t>8</w:t>
            </w:r>
          </w:p>
        </w:tc>
      </w:tr>
      <w:tr w:rsidR="00F849A7" w:rsidRPr="00D9348B" w14:paraId="64E9CFE0" w14:textId="77777777" w:rsidTr="00CF364B">
        <w:tc>
          <w:tcPr>
            <w:tcW w:w="1757" w:type="dxa"/>
            <w:tcBorders>
              <w:top w:val="single" w:sz="4" w:space="0" w:color="365F91"/>
              <w:left w:val="nil"/>
              <w:bottom w:val="single" w:sz="4" w:space="0" w:color="365F91"/>
              <w:right w:val="nil"/>
            </w:tcBorders>
            <w:shd w:val="clear" w:color="auto" w:fill="auto"/>
          </w:tcPr>
          <w:p w14:paraId="450BFE86" w14:textId="77777777" w:rsidR="00F849A7" w:rsidRPr="00D9348B" w:rsidRDefault="00F849A7" w:rsidP="00DB330E">
            <w:pPr>
              <w:pStyle w:val="TableText"/>
              <w:spacing w:after="50"/>
              <w:jc w:val="right"/>
              <w:rPr>
                <w:rFonts w:cs="Calibri"/>
                <w:szCs w:val="16"/>
              </w:rPr>
            </w:pPr>
          </w:p>
        </w:tc>
        <w:tc>
          <w:tcPr>
            <w:tcW w:w="1871" w:type="dxa"/>
            <w:tcBorders>
              <w:top w:val="single" w:sz="4" w:space="0" w:color="365F91"/>
              <w:left w:val="nil"/>
              <w:bottom w:val="single" w:sz="4" w:space="0" w:color="365F91"/>
              <w:right w:val="nil"/>
            </w:tcBorders>
          </w:tcPr>
          <w:p w14:paraId="783028D4" w14:textId="77777777" w:rsidR="00F849A7" w:rsidRPr="00D9348B" w:rsidRDefault="00F849A7" w:rsidP="00DB330E">
            <w:pPr>
              <w:pStyle w:val="TableText"/>
              <w:spacing w:after="50"/>
              <w:rPr>
                <w:rFonts w:cs="Calibri"/>
                <w:szCs w:val="16"/>
              </w:rPr>
            </w:pPr>
            <w:r w:rsidRPr="00D9348B">
              <w:rPr>
                <w:rFonts w:cs="Calibri"/>
                <w:szCs w:val="16"/>
              </w:rPr>
              <w:t>Low slope (0–12</w:t>
            </w:r>
            <w:r w:rsidRPr="00D9348B">
              <w:rPr>
                <w:rFonts w:cs="Calibri"/>
                <w:szCs w:val="16"/>
                <w:vertAlign w:val="superscript"/>
              </w:rPr>
              <w:t>o</w:t>
            </w:r>
            <w:r w:rsidRPr="00D9348B">
              <w:rPr>
                <w:rFonts w:cs="Calibri"/>
                <w:szCs w:val="16"/>
              </w:rPr>
              <w:t>)</w:t>
            </w:r>
          </w:p>
        </w:tc>
        <w:tc>
          <w:tcPr>
            <w:tcW w:w="964" w:type="dxa"/>
            <w:tcBorders>
              <w:top w:val="single" w:sz="4" w:space="0" w:color="365F91"/>
              <w:left w:val="nil"/>
              <w:bottom w:val="single" w:sz="4" w:space="0" w:color="365F91"/>
              <w:right w:val="nil"/>
            </w:tcBorders>
            <w:shd w:val="clear" w:color="auto" w:fill="auto"/>
          </w:tcPr>
          <w:p w14:paraId="6A9B3829" w14:textId="77777777" w:rsidR="00F849A7" w:rsidRPr="00D9348B" w:rsidRDefault="00F849A7" w:rsidP="00DB330E">
            <w:pPr>
              <w:pStyle w:val="TableText"/>
              <w:spacing w:after="50"/>
              <w:jc w:val="right"/>
              <w:rPr>
                <w:rFonts w:cs="Calibri"/>
                <w:szCs w:val="16"/>
              </w:rPr>
            </w:pPr>
          </w:p>
        </w:tc>
        <w:tc>
          <w:tcPr>
            <w:tcW w:w="964" w:type="dxa"/>
            <w:tcBorders>
              <w:top w:val="single" w:sz="4" w:space="0" w:color="365F91"/>
              <w:left w:val="nil"/>
              <w:bottom w:val="single" w:sz="4" w:space="0" w:color="365F91"/>
              <w:right w:val="nil"/>
            </w:tcBorders>
            <w:shd w:val="clear" w:color="auto" w:fill="auto"/>
          </w:tcPr>
          <w:p w14:paraId="5FC67381" w14:textId="77777777" w:rsidR="00F849A7" w:rsidRPr="00D9348B" w:rsidRDefault="00F849A7" w:rsidP="00DB330E">
            <w:pPr>
              <w:pStyle w:val="TableText"/>
              <w:spacing w:after="50"/>
              <w:jc w:val="right"/>
              <w:rPr>
                <w:rFonts w:cs="Calibri"/>
                <w:szCs w:val="16"/>
              </w:rPr>
            </w:pPr>
            <w:r w:rsidRPr="00D9348B">
              <w:rPr>
                <w:rFonts w:cs="Calibri"/>
                <w:szCs w:val="16"/>
              </w:rPr>
              <w:t>20</w:t>
            </w:r>
          </w:p>
        </w:tc>
        <w:tc>
          <w:tcPr>
            <w:tcW w:w="964" w:type="dxa"/>
            <w:tcBorders>
              <w:top w:val="single" w:sz="4" w:space="0" w:color="365F91"/>
              <w:left w:val="nil"/>
              <w:bottom w:val="single" w:sz="4" w:space="0" w:color="365F91"/>
              <w:right w:val="nil"/>
            </w:tcBorders>
            <w:shd w:val="clear" w:color="auto" w:fill="auto"/>
          </w:tcPr>
          <w:p w14:paraId="5B4A0A4E" w14:textId="77777777" w:rsidR="00F849A7" w:rsidRPr="00D9348B" w:rsidRDefault="00F849A7" w:rsidP="00DB330E">
            <w:pPr>
              <w:pStyle w:val="TableText"/>
              <w:spacing w:after="50"/>
              <w:jc w:val="right"/>
              <w:rPr>
                <w:rFonts w:cs="Calibri"/>
                <w:szCs w:val="16"/>
              </w:rPr>
            </w:pPr>
          </w:p>
        </w:tc>
        <w:tc>
          <w:tcPr>
            <w:tcW w:w="964" w:type="dxa"/>
            <w:tcBorders>
              <w:top w:val="single" w:sz="4" w:space="0" w:color="365F91"/>
              <w:left w:val="nil"/>
              <w:bottom w:val="single" w:sz="4" w:space="0" w:color="365F91"/>
              <w:right w:val="nil"/>
            </w:tcBorders>
            <w:shd w:val="clear" w:color="auto" w:fill="auto"/>
          </w:tcPr>
          <w:p w14:paraId="427A487F" w14:textId="77777777" w:rsidR="00F849A7" w:rsidRPr="00D9348B" w:rsidRDefault="00F849A7" w:rsidP="00DB330E">
            <w:pPr>
              <w:pStyle w:val="TableText"/>
              <w:spacing w:after="50"/>
              <w:jc w:val="right"/>
              <w:rPr>
                <w:rFonts w:cs="Calibri"/>
                <w:szCs w:val="16"/>
              </w:rPr>
            </w:pPr>
            <w:r w:rsidRPr="00D9348B">
              <w:rPr>
                <w:rFonts w:cs="Calibri"/>
                <w:szCs w:val="16"/>
              </w:rPr>
              <w:t>20</w:t>
            </w:r>
          </w:p>
        </w:tc>
        <w:tc>
          <w:tcPr>
            <w:tcW w:w="964" w:type="dxa"/>
            <w:tcBorders>
              <w:top w:val="single" w:sz="4" w:space="0" w:color="365F91"/>
              <w:left w:val="nil"/>
              <w:bottom w:val="single" w:sz="4" w:space="0" w:color="365F91"/>
              <w:right w:val="nil"/>
            </w:tcBorders>
            <w:shd w:val="clear" w:color="auto" w:fill="auto"/>
          </w:tcPr>
          <w:p w14:paraId="683C1B22" w14:textId="77777777" w:rsidR="00F849A7" w:rsidRPr="00D9348B" w:rsidRDefault="00F849A7" w:rsidP="00DB330E">
            <w:pPr>
              <w:pStyle w:val="TableText"/>
              <w:spacing w:after="50"/>
              <w:jc w:val="right"/>
              <w:rPr>
                <w:rFonts w:cs="Calibri"/>
                <w:szCs w:val="16"/>
              </w:rPr>
            </w:pPr>
            <w:r w:rsidRPr="00D9348B">
              <w:rPr>
                <w:rFonts w:cs="Calibri"/>
                <w:szCs w:val="16"/>
              </w:rPr>
              <w:t>40</w:t>
            </w:r>
          </w:p>
        </w:tc>
      </w:tr>
      <w:tr w:rsidR="00F849A7" w:rsidRPr="00D9348B" w14:paraId="16E4396A" w14:textId="77777777" w:rsidTr="00CF364B">
        <w:tc>
          <w:tcPr>
            <w:tcW w:w="1757" w:type="dxa"/>
            <w:tcBorders>
              <w:top w:val="single" w:sz="4" w:space="0" w:color="365F91"/>
              <w:left w:val="nil"/>
              <w:bottom w:val="single" w:sz="4" w:space="0" w:color="365F91"/>
              <w:right w:val="nil"/>
            </w:tcBorders>
            <w:shd w:val="clear" w:color="auto" w:fill="auto"/>
          </w:tcPr>
          <w:p w14:paraId="78D8AD1F" w14:textId="77777777" w:rsidR="00F849A7" w:rsidRPr="00D9348B" w:rsidRDefault="00F849A7" w:rsidP="00DB330E">
            <w:pPr>
              <w:pStyle w:val="TableText"/>
              <w:spacing w:after="50"/>
              <w:jc w:val="right"/>
              <w:rPr>
                <w:rFonts w:cs="Calibri"/>
                <w:szCs w:val="16"/>
              </w:rPr>
            </w:pPr>
          </w:p>
        </w:tc>
        <w:tc>
          <w:tcPr>
            <w:tcW w:w="1871" w:type="dxa"/>
            <w:tcBorders>
              <w:top w:val="single" w:sz="4" w:space="0" w:color="365F91"/>
              <w:left w:val="nil"/>
              <w:bottom w:val="single" w:sz="4" w:space="0" w:color="365F91"/>
              <w:right w:val="nil"/>
            </w:tcBorders>
          </w:tcPr>
          <w:p w14:paraId="2B767BEB" w14:textId="77777777" w:rsidR="00F849A7" w:rsidRPr="00D9348B" w:rsidRDefault="00F849A7" w:rsidP="00DB330E">
            <w:pPr>
              <w:pStyle w:val="TableText"/>
              <w:spacing w:after="50"/>
              <w:rPr>
                <w:rFonts w:cs="Calibri"/>
                <w:szCs w:val="16"/>
              </w:rPr>
            </w:pPr>
            <w:r w:rsidRPr="00D9348B">
              <w:rPr>
                <w:rFonts w:cs="Calibri"/>
                <w:szCs w:val="16"/>
              </w:rPr>
              <w:t>Medium slope (12–24</w:t>
            </w:r>
            <w:r w:rsidRPr="00D9348B">
              <w:rPr>
                <w:rFonts w:cs="Calibri"/>
                <w:szCs w:val="16"/>
                <w:vertAlign w:val="superscript"/>
              </w:rPr>
              <w:t>o</w:t>
            </w:r>
            <w:r w:rsidRPr="00D9348B">
              <w:rPr>
                <w:rFonts w:cs="Calibri"/>
                <w:szCs w:val="16"/>
              </w:rPr>
              <w:t>)</w:t>
            </w:r>
          </w:p>
        </w:tc>
        <w:tc>
          <w:tcPr>
            <w:tcW w:w="964" w:type="dxa"/>
            <w:tcBorders>
              <w:top w:val="single" w:sz="4" w:space="0" w:color="365F91"/>
              <w:left w:val="nil"/>
              <w:bottom w:val="single" w:sz="4" w:space="0" w:color="365F91"/>
              <w:right w:val="nil"/>
            </w:tcBorders>
            <w:shd w:val="clear" w:color="auto" w:fill="auto"/>
          </w:tcPr>
          <w:p w14:paraId="7B7CB15F" w14:textId="77777777" w:rsidR="00F849A7" w:rsidRPr="00D9348B" w:rsidRDefault="00F849A7" w:rsidP="00DB330E">
            <w:pPr>
              <w:pStyle w:val="TableText"/>
              <w:spacing w:after="50"/>
              <w:jc w:val="right"/>
              <w:rPr>
                <w:rFonts w:cs="Calibri"/>
                <w:szCs w:val="16"/>
              </w:rPr>
            </w:pPr>
            <w:r w:rsidRPr="00D9348B">
              <w:rPr>
                <w:rFonts w:cs="Calibri"/>
                <w:szCs w:val="16"/>
              </w:rPr>
              <w:t>10</w:t>
            </w:r>
          </w:p>
        </w:tc>
        <w:tc>
          <w:tcPr>
            <w:tcW w:w="964" w:type="dxa"/>
            <w:tcBorders>
              <w:top w:val="single" w:sz="4" w:space="0" w:color="365F91"/>
              <w:left w:val="nil"/>
              <w:bottom w:val="single" w:sz="4" w:space="0" w:color="365F91"/>
              <w:right w:val="nil"/>
            </w:tcBorders>
            <w:shd w:val="clear" w:color="auto" w:fill="auto"/>
          </w:tcPr>
          <w:p w14:paraId="79AD82E4" w14:textId="77777777" w:rsidR="00F849A7" w:rsidRPr="00D9348B" w:rsidRDefault="00F849A7" w:rsidP="00DB330E">
            <w:pPr>
              <w:pStyle w:val="TableText"/>
              <w:spacing w:after="50"/>
              <w:jc w:val="right"/>
              <w:rPr>
                <w:rFonts w:cs="Calibri"/>
                <w:szCs w:val="16"/>
              </w:rPr>
            </w:pPr>
            <w:r w:rsidRPr="00D9348B">
              <w:rPr>
                <w:rFonts w:cs="Calibri"/>
                <w:szCs w:val="16"/>
              </w:rPr>
              <w:t>30</w:t>
            </w:r>
          </w:p>
        </w:tc>
        <w:tc>
          <w:tcPr>
            <w:tcW w:w="964" w:type="dxa"/>
            <w:tcBorders>
              <w:top w:val="single" w:sz="4" w:space="0" w:color="365F91"/>
              <w:left w:val="nil"/>
              <w:bottom w:val="single" w:sz="4" w:space="0" w:color="365F91"/>
              <w:right w:val="nil"/>
            </w:tcBorders>
            <w:shd w:val="clear" w:color="auto" w:fill="auto"/>
          </w:tcPr>
          <w:p w14:paraId="10836EED" w14:textId="77777777" w:rsidR="00F849A7" w:rsidRPr="00D9348B" w:rsidRDefault="00F849A7" w:rsidP="00DB330E">
            <w:pPr>
              <w:pStyle w:val="TableText"/>
              <w:spacing w:after="50"/>
              <w:jc w:val="right"/>
              <w:rPr>
                <w:rFonts w:cs="Calibri"/>
                <w:szCs w:val="16"/>
              </w:rPr>
            </w:pPr>
          </w:p>
        </w:tc>
        <w:tc>
          <w:tcPr>
            <w:tcW w:w="964" w:type="dxa"/>
            <w:tcBorders>
              <w:top w:val="single" w:sz="4" w:space="0" w:color="365F91"/>
              <w:left w:val="nil"/>
              <w:bottom w:val="single" w:sz="4" w:space="0" w:color="365F91"/>
              <w:right w:val="nil"/>
            </w:tcBorders>
            <w:shd w:val="clear" w:color="auto" w:fill="auto"/>
          </w:tcPr>
          <w:p w14:paraId="1D432496" w14:textId="77777777" w:rsidR="00F849A7" w:rsidRPr="00D9348B" w:rsidRDefault="00F849A7" w:rsidP="00DB330E">
            <w:pPr>
              <w:pStyle w:val="TableText"/>
              <w:spacing w:after="50"/>
              <w:jc w:val="right"/>
              <w:rPr>
                <w:rFonts w:cs="Calibri"/>
                <w:szCs w:val="16"/>
              </w:rPr>
            </w:pPr>
            <w:r w:rsidRPr="00D9348B">
              <w:rPr>
                <w:rFonts w:cs="Calibri"/>
                <w:szCs w:val="16"/>
              </w:rPr>
              <w:t>20</w:t>
            </w:r>
          </w:p>
        </w:tc>
        <w:tc>
          <w:tcPr>
            <w:tcW w:w="964" w:type="dxa"/>
            <w:tcBorders>
              <w:top w:val="single" w:sz="4" w:space="0" w:color="365F91"/>
              <w:left w:val="nil"/>
              <w:bottom w:val="single" w:sz="4" w:space="0" w:color="365F91"/>
              <w:right w:val="nil"/>
            </w:tcBorders>
            <w:shd w:val="clear" w:color="auto" w:fill="auto"/>
          </w:tcPr>
          <w:p w14:paraId="33DF4198" w14:textId="77777777" w:rsidR="00F849A7" w:rsidRPr="00D9348B" w:rsidRDefault="00F849A7" w:rsidP="00DB330E">
            <w:pPr>
              <w:pStyle w:val="TableText"/>
              <w:spacing w:after="50"/>
              <w:jc w:val="right"/>
              <w:rPr>
                <w:rFonts w:cs="Calibri"/>
                <w:szCs w:val="16"/>
              </w:rPr>
            </w:pPr>
            <w:r w:rsidRPr="00D9348B">
              <w:rPr>
                <w:rFonts w:cs="Calibri"/>
                <w:szCs w:val="16"/>
              </w:rPr>
              <w:t>60</w:t>
            </w:r>
          </w:p>
        </w:tc>
      </w:tr>
      <w:tr w:rsidR="00F849A7" w:rsidRPr="00D9348B" w14:paraId="65A9CC64" w14:textId="77777777" w:rsidTr="00CF364B">
        <w:tc>
          <w:tcPr>
            <w:tcW w:w="1757" w:type="dxa"/>
            <w:tcBorders>
              <w:top w:val="single" w:sz="4" w:space="0" w:color="365F91"/>
              <w:left w:val="nil"/>
              <w:bottom w:val="single" w:sz="4" w:space="0" w:color="365F91"/>
              <w:right w:val="nil"/>
            </w:tcBorders>
            <w:shd w:val="clear" w:color="auto" w:fill="auto"/>
          </w:tcPr>
          <w:p w14:paraId="4C7B5F24" w14:textId="77777777" w:rsidR="00F849A7" w:rsidRPr="00D9348B" w:rsidRDefault="00F849A7" w:rsidP="00DB330E">
            <w:pPr>
              <w:pStyle w:val="TableText"/>
              <w:spacing w:after="50"/>
              <w:jc w:val="right"/>
              <w:rPr>
                <w:rFonts w:cs="Calibri"/>
                <w:szCs w:val="16"/>
              </w:rPr>
            </w:pPr>
          </w:p>
        </w:tc>
        <w:tc>
          <w:tcPr>
            <w:tcW w:w="1871" w:type="dxa"/>
            <w:tcBorders>
              <w:top w:val="single" w:sz="4" w:space="0" w:color="365F91"/>
              <w:left w:val="nil"/>
              <w:bottom w:val="single" w:sz="4" w:space="0" w:color="365F91"/>
              <w:right w:val="nil"/>
            </w:tcBorders>
          </w:tcPr>
          <w:p w14:paraId="33FDB46E" w14:textId="77777777" w:rsidR="00F849A7" w:rsidRPr="00D9348B" w:rsidRDefault="00F849A7" w:rsidP="00DB330E">
            <w:pPr>
              <w:pStyle w:val="TableText"/>
              <w:spacing w:after="50"/>
              <w:rPr>
                <w:rFonts w:cs="Calibri"/>
                <w:szCs w:val="16"/>
              </w:rPr>
            </w:pPr>
            <w:r w:rsidRPr="00D9348B">
              <w:rPr>
                <w:rFonts w:cs="Calibri"/>
                <w:szCs w:val="16"/>
              </w:rPr>
              <w:t>Steep slope (&gt;24</w:t>
            </w:r>
            <w:r w:rsidRPr="00D9348B">
              <w:rPr>
                <w:rFonts w:cs="Calibri"/>
                <w:szCs w:val="16"/>
                <w:vertAlign w:val="superscript"/>
              </w:rPr>
              <w:t>o</w:t>
            </w:r>
            <w:r w:rsidRPr="00D9348B">
              <w:rPr>
                <w:rFonts w:cs="Calibri"/>
                <w:szCs w:val="16"/>
              </w:rPr>
              <w:t>)</w:t>
            </w:r>
          </w:p>
        </w:tc>
        <w:tc>
          <w:tcPr>
            <w:tcW w:w="964" w:type="dxa"/>
            <w:tcBorders>
              <w:top w:val="single" w:sz="4" w:space="0" w:color="365F91"/>
              <w:left w:val="nil"/>
              <w:bottom w:val="single" w:sz="4" w:space="0" w:color="365F91"/>
              <w:right w:val="nil"/>
            </w:tcBorders>
            <w:shd w:val="clear" w:color="auto" w:fill="auto"/>
          </w:tcPr>
          <w:p w14:paraId="26FFBD53" w14:textId="77777777" w:rsidR="00F849A7" w:rsidRPr="00D9348B" w:rsidRDefault="00F849A7" w:rsidP="00DB330E">
            <w:pPr>
              <w:pStyle w:val="TableText"/>
              <w:spacing w:after="50"/>
              <w:jc w:val="right"/>
              <w:rPr>
                <w:rFonts w:cs="Calibri"/>
                <w:szCs w:val="16"/>
              </w:rPr>
            </w:pPr>
            <w:r w:rsidRPr="00D9348B">
              <w:rPr>
                <w:rFonts w:cs="Calibri"/>
                <w:szCs w:val="16"/>
              </w:rPr>
              <w:t>10</w:t>
            </w:r>
          </w:p>
        </w:tc>
        <w:tc>
          <w:tcPr>
            <w:tcW w:w="964" w:type="dxa"/>
            <w:tcBorders>
              <w:top w:val="single" w:sz="4" w:space="0" w:color="365F91"/>
              <w:left w:val="nil"/>
              <w:bottom w:val="single" w:sz="4" w:space="0" w:color="365F91"/>
              <w:right w:val="nil"/>
            </w:tcBorders>
            <w:shd w:val="clear" w:color="auto" w:fill="auto"/>
          </w:tcPr>
          <w:p w14:paraId="3C0ED911" w14:textId="77777777" w:rsidR="00F849A7" w:rsidRPr="00D9348B" w:rsidRDefault="00F849A7" w:rsidP="00DB330E">
            <w:pPr>
              <w:pStyle w:val="TableText"/>
              <w:spacing w:after="50"/>
              <w:jc w:val="right"/>
              <w:rPr>
                <w:rFonts w:cs="Calibri"/>
                <w:szCs w:val="16"/>
              </w:rPr>
            </w:pPr>
            <w:r w:rsidRPr="00D9348B">
              <w:rPr>
                <w:rFonts w:cs="Calibri"/>
                <w:szCs w:val="16"/>
              </w:rPr>
              <w:t>10</w:t>
            </w:r>
          </w:p>
        </w:tc>
        <w:tc>
          <w:tcPr>
            <w:tcW w:w="964" w:type="dxa"/>
            <w:tcBorders>
              <w:top w:val="single" w:sz="4" w:space="0" w:color="365F91"/>
              <w:left w:val="nil"/>
              <w:bottom w:val="single" w:sz="4" w:space="0" w:color="365F91"/>
              <w:right w:val="nil"/>
            </w:tcBorders>
            <w:shd w:val="clear" w:color="auto" w:fill="auto"/>
          </w:tcPr>
          <w:p w14:paraId="20AA38B2" w14:textId="77777777" w:rsidR="00F849A7" w:rsidRPr="00D9348B" w:rsidRDefault="00F849A7" w:rsidP="00DB330E">
            <w:pPr>
              <w:pStyle w:val="TableText"/>
              <w:spacing w:after="50"/>
              <w:jc w:val="right"/>
              <w:rPr>
                <w:rFonts w:cs="Calibri"/>
                <w:szCs w:val="16"/>
              </w:rPr>
            </w:pPr>
          </w:p>
        </w:tc>
        <w:tc>
          <w:tcPr>
            <w:tcW w:w="964" w:type="dxa"/>
            <w:tcBorders>
              <w:top w:val="single" w:sz="4" w:space="0" w:color="365F91"/>
              <w:left w:val="nil"/>
              <w:bottom w:val="single" w:sz="4" w:space="0" w:color="365F91"/>
              <w:right w:val="nil"/>
            </w:tcBorders>
            <w:shd w:val="clear" w:color="auto" w:fill="auto"/>
          </w:tcPr>
          <w:p w14:paraId="3D4DBE22" w14:textId="77777777" w:rsidR="00F849A7" w:rsidRPr="00D9348B" w:rsidRDefault="00F849A7" w:rsidP="00DB330E">
            <w:pPr>
              <w:pStyle w:val="TableText"/>
              <w:spacing w:after="50"/>
              <w:jc w:val="right"/>
              <w:rPr>
                <w:rFonts w:cs="Calibri"/>
                <w:szCs w:val="16"/>
              </w:rPr>
            </w:pPr>
          </w:p>
        </w:tc>
        <w:tc>
          <w:tcPr>
            <w:tcW w:w="964" w:type="dxa"/>
            <w:tcBorders>
              <w:top w:val="single" w:sz="4" w:space="0" w:color="365F91"/>
              <w:left w:val="nil"/>
              <w:bottom w:val="single" w:sz="4" w:space="0" w:color="365F91"/>
              <w:right w:val="nil"/>
            </w:tcBorders>
            <w:shd w:val="clear" w:color="auto" w:fill="auto"/>
          </w:tcPr>
          <w:p w14:paraId="6A840467" w14:textId="77777777" w:rsidR="00F849A7" w:rsidRPr="00D9348B" w:rsidRDefault="00F849A7" w:rsidP="00DB330E">
            <w:pPr>
              <w:pStyle w:val="TableText"/>
              <w:spacing w:after="50"/>
              <w:jc w:val="right"/>
              <w:rPr>
                <w:rFonts w:cs="Calibri"/>
                <w:szCs w:val="16"/>
              </w:rPr>
            </w:pPr>
            <w:r w:rsidRPr="00D9348B">
              <w:rPr>
                <w:rFonts w:cs="Calibri"/>
                <w:szCs w:val="16"/>
              </w:rPr>
              <w:t>20</w:t>
            </w:r>
          </w:p>
        </w:tc>
      </w:tr>
      <w:tr w:rsidR="00F849A7" w:rsidRPr="00D9348B" w14:paraId="25FB7CD5" w14:textId="77777777" w:rsidTr="00CF364B">
        <w:tc>
          <w:tcPr>
            <w:tcW w:w="1757" w:type="dxa"/>
            <w:tcBorders>
              <w:top w:val="single" w:sz="4" w:space="0" w:color="365F91"/>
              <w:left w:val="nil"/>
              <w:bottom w:val="single" w:sz="4" w:space="0" w:color="365F91"/>
              <w:right w:val="nil"/>
            </w:tcBorders>
            <w:shd w:val="clear" w:color="auto" w:fill="auto"/>
          </w:tcPr>
          <w:p w14:paraId="3E130486" w14:textId="77777777" w:rsidR="00F849A7" w:rsidRPr="00D9348B" w:rsidRDefault="00F849A7" w:rsidP="00DB330E">
            <w:pPr>
              <w:pStyle w:val="TableText"/>
              <w:spacing w:after="50"/>
              <w:rPr>
                <w:rFonts w:cs="Calibri"/>
                <w:szCs w:val="16"/>
              </w:rPr>
            </w:pPr>
            <w:r w:rsidRPr="00D9348B">
              <w:rPr>
                <w:rFonts w:cs="Calibri"/>
                <w:szCs w:val="16"/>
              </w:rPr>
              <w:t>Non-dairy cattle dung</w:t>
            </w:r>
          </w:p>
        </w:tc>
        <w:tc>
          <w:tcPr>
            <w:tcW w:w="1871" w:type="dxa"/>
            <w:tcBorders>
              <w:top w:val="single" w:sz="4" w:space="0" w:color="365F91"/>
              <w:left w:val="nil"/>
              <w:bottom w:val="single" w:sz="4" w:space="0" w:color="365F91"/>
              <w:right w:val="nil"/>
            </w:tcBorders>
          </w:tcPr>
          <w:p w14:paraId="7AA16D9B" w14:textId="77777777" w:rsidR="00F849A7" w:rsidRPr="00D9348B" w:rsidRDefault="00F849A7" w:rsidP="00DB330E">
            <w:pPr>
              <w:pStyle w:val="TableText"/>
              <w:spacing w:after="50"/>
              <w:rPr>
                <w:rFonts w:cs="Calibri"/>
                <w:szCs w:val="16"/>
              </w:rPr>
            </w:pPr>
            <w:r w:rsidRPr="00D9348B">
              <w:rPr>
                <w:rFonts w:cs="Calibri"/>
                <w:szCs w:val="16"/>
              </w:rPr>
              <w:t>Flatland (0</w:t>
            </w:r>
            <w:r w:rsidRPr="00D9348B">
              <w:rPr>
                <w:rFonts w:cs="Calibri"/>
                <w:szCs w:val="16"/>
                <w:vertAlign w:val="superscript"/>
              </w:rPr>
              <w:t>o</w:t>
            </w:r>
            <w:r w:rsidRPr="00D9348B">
              <w:rPr>
                <w:rFonts w:cs="Calibri"/>
                <w:szCs w:val="16"/>
              </w:rPr>
              <w:t>)</w:t>
            </w:r>
          </w:p>
        </w:tc>
        <w:tc>
          <w:tcPr>
            <w:tcW w:w="964" w:type="dxa"/>
            <w:tcBorders>
              <w:top w:val="single" w:sz="4" w:space="0" w:color="365F91"/>
              <w:left w:val="nil"/>
              <w:bottom w:val="single" w:sz="4" w:space="0" w:color="365F91"/>
              <w:right w:val="nil"/>
            </w:tcBorders>
            <w:shd w:val="clear" w:color="auto" w:fill="auto"/>
          </w:tcPr>
          <w:p w14:paraId="1DF6C6DA" w14:textId="77777777" w:rsidR="00F849A7" w:rsidRPr="00D9348B" w:rsidRDefault="00F849A7" w:rsidP="00DB330E">
            <w:pPr>
              <w:pStyle w:val="TableText"/>
              <w:spacing w:after="50"/>
              <w:jc w:val="right"/>
              <w:rPr>
                <w:rFonts w:cs="Calibri"/>
                <w:szCs w:val="16"/>
              </w:rPr>
            </w:pPr>
          </w:p>
        </w:tc>
        <w:tc>
          <w:tcPr>
            <w:tcW w:w="964" w:type="dxa"/>
            <w:tcBorders>
              <w:top w:val="single" w:sz="4" w:space="0" w:color="365F91"/>
              <w:left w:val="nil"/>
              <w:bottom w:val="single" w:sz="4" w:space="0" w:color="365F91"/>
              <w:right w:val="nil"/>
            </w:tcBorders>
            <w:shd w:val="clear" w:color="auto" w:fill="auto"/>
          </w:tcPr>
          <w:p w14:paraId="1F375045" w14:textId="77777777" w:rsidR="00F849A7" w:rsidRPr="00D9348B" w:rsidRDefault="00F849A7" w:rsidP="00DB330E">
            <w:pPr>
              <w:pStyle w:val="TableText"/>
              <w:spacing w:after="50"/>
              <w:jc w:val="right"/>
              <w:rPr>
                <w:rFonts w:cs="Calibri"/>
                <w:szCs w:val="16"/>
              </w:rPr>
            </w:pPr>
          </w:p>
        </w:tc>
        <w:tc>
          <w:tcPr>
            <w:tcW w:w="964" w:type="dxa"/>
            <w:tcBorders>
              <w:top w:val="single" w:sz="4" w:space="0" w:color="365F91"/>
              <w:left w:val="nil"/>
              <w:bottom w:val="single" w:sz="4" w:space="0" w:color="365F91"/>
              <w:right w:val="nil"/>
            </w:tcBorders>
            <w:shd w:val="clear" w:color="auto" w:fill="auto"/>
          </w:tcPr>
          <w:p w14:paraId="280F2DF3" w14:textId="77777777" w:rsidR="00F849A7" w:rsidRPr="00D9348B" w:rsidRDefault="00F849A7" w:rsidP="00DB330E">
            <w:pPr>
              <w:pStyle w:val="TableText"/>
              <w:spacing w:after="50"/>
              <w:jc w:val="right"/>
              <w:rPr>
                <w:rFonts w:cs="Calibri"/>
                <w:szCs w:val="16"/>
              </w:rPr>
            </w:pPr>
          </w:p>
        </w:tc>
        <w:tc>
          <w:tcPr>
            <w:tcW w:w="964" w:type="dxa"/>
            <w:tcBorders>
              <w:top w:val="single" w:sz="4" w:space="0" w:color="365F91"/>
              <w:left w:val="nil"/>
              <w:bottom w:val="single" w:sz="4" w:space="0" w:color="365F91"/>
              <w:right w:val="nil"/>
            </w:tcBorders>
            <w:shd w:val="clear" w:color="auto" w:fill="auto"/>
          </w:tcPr>
          <w:p w14:paraId="696296AC" w14:textId="77777777" w:rsidR="00F849A7" w:rsidRPr="00D9348B" w:rsidRDefault="00F849A7" w:rsidP="00DB330E">
            <w:pPr>
              <w:pStyle w:val="TableText"/>
              <w:spacing w:after="50"/>
              <w:jc w:val="right"/>
              <w:rPr>
                <w:rFonts w:cs="Calibri"/>
                <w:szCs w:val="16"/>
              </w:rPr>
            </w:pPr>
          </w:p>
        </w:tc>
        <w:tc>
          <w:tcPr>
            <w:tcW w:w="964" w:type="dxa"/>
            <w:tcBorders>
              <w:top w:val="single" w:sz="4" w:space="0" w:color="365F91"/>
              <w:left w:val="nil"/>
              <w:bottom w:val="single" w:sz="4" w:space="0" w:color="365F91"/>
              <w:right w:val="nil"/>
            </w:tcBorders>
            <w:shd w:val="clear" w:color="auto" w:fill="auto"/>
          </w:tcPr>
          <w:p w14:paraId="063B24B2" w14:textId="77777777" w:rsidR="00F849A7" w:rsidRPr="00D9348B" w:rsidRDefault="00F849A7" w:rsidP="00DB330E">
            <w:pPr>
              <w:pStyle w:val="TableText"/>
              <w:spacing w:after="50"/>
              <w:jc w:val="right"/>
              <w:rPr>
                <w:rFonts w:cs="Calibri"/>
                <w:szCs w:val="16"/>
              </w:rPr>
            </w:pPr>
          </w:p>
        </w:tc>
      </w:tr>
      <w:tr w:rsidR="00F849A7" w:rsidRPr="00D9348B" w14:paraId="45159FE4" w14:textId="77777777" w:rsidTr="00CF364B">
        <w:tc>
          <w:tcPr>
            <w:tcW w:w="1757" w:type="dxa"/>
            <w:tcBorders>
              <w:top w:val="single" w:sz="4" w:space="0" w:color="365F91"/>
              <w:left w:val="nil"/>
              <w:bottom w:val="single" w:sz="4" w:space="0" w:color="365F91"/>
              <w:right w:val="nil"/>
            </w:tcBorders>
            <w:shd w:val="clear" w:color="auto" w:fill="auto"/>
          </w:tcPr>
          <w:p w14:paraId="3BF0CBC0" w14:textId="77777777" w:rsidR="00F849A7" w:rsidRPr="00D9348B" w:rsidRDefault="00F849A7" w:rsidP="00DB330E">
            <w:pPr>
              <w:pStyle w:val="TableText"/>
              <w:spacing w:after="50"/>
              <w:jc w:val="right"/>
              <w:rPr>
                <w:rFonts w:cs="Calibri"/>
                <w:szCs w:val="16"/>
              </w:rPr>
            </w:pPr>
          </w:p>
        </w:tc>
        <w:tc>
          <w:tcPr>
            <w:tcW w:w="1871" w:type="dxa"/>
            <w:tcBorders>
              <w:top w:val="single" w:sz="4" w:space="0" w:color="365F91"/>
              <w:left w:val="nil"/>
              <w:bottom w:val="single" w:sz="4" w:space="0" w:color="365F91"/>
              <w:right w:val="nil"/>
            </w:tcBorders>
          </w:tcPr>
          <w:p w14:paraId="1FC54C75" w14:textId="77777777" w:rsidR="00F849A7" w:rsidRPr="00D9348B" w:rsidRDefault="00F849A7" w:rsidP="00DB330E">
            <w:pPr>
              <w:pStyle w:val="TableText"/>
              <w:spacing w:after="50"/>
              <w:rPr>
                <w:rFonts w:cs="Calibri"/>
                <w:szCs w:val="16"/>
              </w:rPr>
            </w:pPr>
            <w:r w:rsidRPr="00D9348B">
              <w:rPr>
                <w:rFonts w:cs="Calibri"/>
                <w:szCs w:val="16"/>
              </w:rPr>
              <w:t>Low slope (0–12</w:t>
            </w:r>
            <w:r w:rsidRPr="00D9348B">
              <w:rPr>
                <w:rFonts w:cs="Calibri"/>
                <w:szCs w:val="16"/>
                <w:vertAlign w:val="superscript"/>
              </w:rPr>
              <w:t>o</w:t>
            </w:r>
            <w:r w:rsidRPr="00D9348B">
              <w:rPr>
                <w:rFonts w:cs="Calibri"/>
                <w:szCs w:val="16"/>
              </w:rPr>
              <w:t>)</w:t>
            </w:r>
          </w:p>
        </w:tc>
        <w:tc>
          <w:tcPr>
            <w:tcW w:w="964" w:type="dxa"/>
            <w:tcBorders>
              <w:top w:val="single" w:sz="4" w:space="0" w:color="365F91"/>
              <w:left w:val="nil"/>
              <w:bottom w:val="single" w:sz="4" w:space="0" w:color="365F91"/>
              <w:right w:val="nil"/>
            </w:tcBorders>
            <w:shd w:val="clear" w:color="auto" w:fill="auto"/>
          </w:tcPr>
          <w:p w14:paraId="6F12F7D2" w14:textId="77777777" w:rsidR="00F849A7" w:rsidRPr="00D9348B" w:rsidRDefault="00F849A7" w:rsidP="00DB330E">
            <w:pPr>
              <w:pStyle w:val="TableText"/>
              <w:spacing w:after="50"/>
              <w:jc w:val="right"/>
              <w:rPr>
                <w:rFonts w:cs="Calibri"/>
                <w:szCs w:val="16"/>
              </w:rPr>
            </w:pPr>
            <w:r w:rsidRPr="00D9348B">
              <w:rPr>
                <w:rFonts w:cs="Calibri"/>
                <w:szCs w:val="16"/>
              </w:rPr>
              <w:t>20</w:t>
            </w:r>
          </w:p>
        </w:tc>
        <w:tc>
          <w:tcPr>
            <w:tcW w:w="964" w:type="dxa"/>
            <w:tcBorders>
              <w:top w:val="single" w:sz="4" w:space="0" w:color="365F91"/>
              <w:left w:val="nil"/>
              <w:bottom w:val="single" w:sz="4" w:space="0" w:color="365F91"/>
              <w:right w:val="nil"/>
            </w:tcBorders>
            <w:shd w:val="clear" w:color="auto" w:fill="auto"/>
          </w:tcPr>
          <w:p w14:paraId="45BA32E4" w14:textId="77777777" w:rsidR="00F849A7" w:rsidRPr="00D9348B" w:rsidRDefault="00F849A7" w:rsidP="00DB330E">
            <w:pPr>
              <w:pStyle w:val="TableText"/>
              <w:spacing w:after="50"/>
              <w:jc w:val="right"/>
              <w:rPr>
                <w:rFonts w:cs="Calibri"/>
                <w:szCs w:val="16"/>
              </w:rPr>
            </w:pPr>
            <w:r w:rsidRPr="00D9348B">
              <w:rPr>
                <w:rFonts w:cs="Calibri"/>
                <w:szCs w:val="16"/>
              </w:rPr>
              <w:t>28</w:t>
            </w:r>
          </w:p>
        </w:tc>
        <w:tc>
          <w:tcPr>
            <w:tcW w:w="964" w:type="dxa"/>
            <w:tcBorders>
              <w:top w:val="single" w:sz="4" w:space="0" w:color="365F91"/>
              <w:left w:val="nil"/>
              <w:bottom w:val="single" w:sz="4" w:space="0" w:color="365F91"/>
              <w:right w:val="nil"/>
            </w:tcBorders>
            <w:shd w:val="clear" w:color="auto" w:fill="auto"/>
          </w:tcPr>
          <w:p w14:paraId="133F3B8F" w14:textId="77777777" w:rsidR="00F849A7" w:rsidRPr="00D9348B" w:rsidRDefault="00F849A7" w:rsidP="00DB330E">
            <w:pPr>
              <w:pStyle w:val="TableText"/>
              <w:spacing w:after="50"/>
              <w:jc w:val="right"/>
              <w:rPr>
                <w:rFonts w:cs="Calibri"/>
                <w:szCs w:val="16"/>
              </w:rPr>
            </w:pPr>
            <w:r w:rsidRPr="00D9348B">
              <w:rPr>
                <w:rFonts w:cs="Calibri"/>
                <w:szCs w:val="16"/>
              </w:rPr>
              <w:t>8</w:t>
            </w:r>
          </w:p>
        </w:tc>
        <w:tc>
          <w:tcPr>
            <w:tcW w:w="964" w:type="dxa"/>
            <w:tcBorders>
              <w:top w:val="single" w:sz="4" w:space="0" w:color="365F91"/>
              <w:left w:val="nil"/>
              <w:bottom w:val="single" w:sz="4" w:space="0" w:color="365F91"/>
              <w:right w:val="nil"/>
            </w:tcBorders>
            <w:shd w:val="clear" w:color="auto" w:fill="auto"/>
          </w:tcPr>
          <w:p w14:paraId="7BDC918C" w14:textId="77777777" w:rsidR="00F849A7" w:rsidRPr="00D9348B" w:rsidRDefault="00F849A7" w:rsidP="00DB330E">
            <w:pPr>
              <w:pStyle w:val="TableText"/>
              <w:spacing w:after="50"/>
              <w:jc w:val="right"/>
              <w:rPr>
                <w:rFonts w:cs="Calibri"/>
                <w:szCs w:val="16"/>
              </w:rPr>
            </w:pPr>
            <w:r w:rsidRPr="00D9348B">
              <w:rPr>
                <w:rFonts w:cs="Calibri"/>
                <w:szCs w:val="16"/>
              </w:rPr>
              <w:t>20</w:t>
            </w:r>
          </w:p>
        </w:tc>
        <w:tc>
          <w:tcPr>
            <w:tcW w:w="964" w:type="dxa"/>
            <w:tcBorders>
              <w:top w:val="single" w:sz="4" w:space="0" w:color="365F91"/>
              <w:left w:val="nil"/>
              <w:bottom w:val="single" w:sz="4" w:space="0" w:color="365F91"/>
              <w:right w:val="nil"/>
            </w:tcBorders>
            <w:shd w:val="clear" w:color="auto" w:fill="auto"/>
          </w:tcPr>
          <w:p w14:paraId="57C89554" w14:textId="77777777" w:rsidR="00F849A7" w:rsidRPr="00D9348B" w:rsidRDefault="00F849A7" w:rsidP="00DB330E">
            <w:pPr>
              <w:pStyle w:val="TableText"/>
              <w:spacing w:after="50"/>
              <w:jc w:val="right"/>
              <w:rPr>
                <w:rFonts w:cs="Calibri"/>
                <w:szCs w:val="16"/>
              </w:rPr>
            </w:pPr>
            <w:r w:rsidRPr="00D9348B">
              <w:rPr>
                <w:rFonts w:cs="Calibri"/>
                <w:szCs w:val="16"/>
              </w:rPr>
              <w:t>76</w:t>
            </w:r>
          </w:p>
        </w:tc>
      </w:tr>
      <w:tr w:rsidR="00F849A7" w:rsidRPr="00D9348B" w14:paraId="174BFB4F" w14:textId="77777777" w:rsidTr="00CF364B">
        <w:tc>
          <w:tcPr>
            <w:tcW w:w="1757" w:type="dxa"/>
            <w:tcBorders>
              <w:top w:val="single" w:sz="4" w:space="0" w:color="365F91"/>
              <w:left w:val="nil"/>
              <w:bottom w:val="single" w:sz="4" w:space="0" w:color="365F91"/>
              <w:right w:val="nil"/>
            </w:tcBorders>
            <w:shd w:val="clear" w:color="auto" w:fill="auto"/>
          </w:tcPr>
          <w:p w14:paraId="69A3C8A4" w14:textId="77777777" w:rsidR="00F849A7" w:rsidRPr="00D9348B" w:rsidRDefault="00F849A7" w:rsidP="00DB330E">
            <w:pPr>
              <w:pStyle w:val="TableText"/>
              <w:spacing w:after="50"/>
              <w:jc w:val="right"/>
              <w:rPr>
                <w:rFonts w:cs="Calibri"/>
                <w:szCs w:val="16"/>
              </w:rPr>
            </w:pPr>
          </w:p>
        </w:tc>
        <w:tc>
          <w:tcPr>
            <w:tcW w:w="1871" w:type="dxa"/>
            <w:tcBorders>
              <w:top w:val="single" w:sz="4" w:space="0" w:color="365F91"/>
              <w:left w:val="nil"/>
              <w:bottom w:val="single" w:sz="4" w:space="0" w:color="365F91"/>
              <w:right w:val="nil"/>
            </w:tcBorders>
          </w:tcPr>
          <w:p w14:paraId="4B551B1D" w14:textId="77777777" w:rsidR="00F849A7" w:rsidRPr="00D9348B" w:rsidRDefault="00F849A7" w:rsidP="00DB330E">
            <w:pPr>
              <w:pStyle w:val="TableText"/>
              <w:spacing w:after="50"/>
              <w:rPr>
                <w:rFonts w:cs="Calibri"/>
                <w:szCs w:val="16"/>
              </w:rPr>
            </w:pPr>
            <w:r w:rsidRPr="00D9348B">
              <w:rPr>
                <w:rFonts w:cs="Calibri"/>
                <w:szCs w:val="16"/>
              </w:rPr>
              <w:t>Medium slope (12–24</w:t>
            </w:r>
            <w:r w:rsidRPr="00D9348B">
              <w:rPr>
                <w:rFonts w:cs="Calibri"/>
                <w:szCs w:val="16"/>
                <w:vertAlign w:val="superscript"/>
              </w:rPr>
              <w:t>o</w:t>
            </w:r>
            <w:r w:rsidRPr="00D9348B">
              <w:rPr>
                <w:rFonts w:cs="Calibri"/>
                <w:szCs w:val="16"/>
              </w:rPr>
              <w:t>)</w:t>
            </w:r>
          </w:p>
        </w:tc>
        <w:tc>
          <w:tcPr>
            <w:tcW w:w="964" w:type="dxa"/>
            <w:tcBorders>
              <w:top w:val="single" w:sz="4" w:space="0" w:color="365F91"/>
              <w:left w:val="nil"/>
              <w:bottom w:val="single" w:sz="4" w:space="0" w:color="365F91"/>
              <w:right w:val="nil"/>
            </w:tcBorders>
            <w:shd w:val="clear" w:color="auto" w:fill="auto"/>
          </w:tcPr>
          <w:p w14:paraId="1AFDF1B7" w14:textId="77777777" w:rsidR="00F849A7" w:rsidRPr="00D9348B" w:rsidRDefault="00F849A7" w:rsidP="00DB330E">
            <w:pPr>
              <w:pStyle w:val="TableText"/>
              <w:spacing w:after="50"/>
              <w:jc w:val="right"/>
              <w:rPr>
                <w:rFonts w:cs="Calibri"/>
                <w:szCs w:val="16"/>
              </w:rPr>
            </w:pPr>
            <w:r w:rsidRPr="00D9348B">
              <w:rPr>
                <w:rFonts w:cs="Calibri"/>
                <w:szCs w:val="16"/>
              </w:rPr>
              <w:t>10</w:t>
            </w:r>
          </w:p>
        </w:tc>
        <w:tc>
          <w:tcPr>
            <w:tcW w:w="964" w:type="dxa"/>
            <w:tcBorders>
              <w:top w:val="single" w:sz="4" w:space="0" w:color="365F91"/>
              <w:left w:val="nil"/>
              <w:bottom w:val="single" w:sz="4" w:space="0" w:color="365F91"/>
              <w:right w:val="nil"/>
            </w:tcBorders>
            <w:shd w:val="clear" w:color="auto" w:fill="auto"/>
          </w:tcPr>
          <w:p w14:paraId="1B2ECC94" w14:textId="77777777" w:rsidR="00F849A7" w:rsidRPr="00D9348B" w:rsidRDefault="00F849A7" w:rsidP="00DB330E">
            <w:pPr>
              <w:pStyle w:val="TableText"/>
              <w:spacing w:after="50"/>
              <w:jc w:val="right"/>
              <w:rPr>
                <w:rFonts w:cs="Calibri"/>
                <w:szCs w:val="16"/>
              </w:rPr>
            </w:pPr>
            <w:r w:rsidRPr="00D9348B">
              <w:rPr>
                <w:rFonts w:cs="Calibri"/>
                <w:szCs w:val="16"/>
              </w:rPr>
              <w:t>30</w:t>
            </w:r>
          </w:p>
        </w:tc>
        <w:tc>
          <w:tcPr>
            <w:tcW w:w="964" w:type="dxa"/>
            <w:tcBorders>
              <w:top w:val="single" w:sz="4" w:space="0" w:color="365F91"/>
              <w:left w:val="nil"/>
              <w:bottom w:val="single" w:sz="4" w:space="0" w:color="365F91"/>
              <w:right w:val="nil"/>
            </w:tcBorders>
            <w:shd w:val="clear" w:color="auto" w:fill="auto"/>
          </w:tcPr>
          <w:p w14:paraId="6D6B0E19" w14:textId="77777777" w:rsidR="00F849A7" w:rsidRPr="00D9348B" w:rsidRDefault="00F849A7" w:rsidP="00DB330E">
            <w:pPr>
              <w:pStyle w:val="TableText"/>
              <w:spacing w:after="50"/>
              <w:jc w:val="right"/>
              <w:rPr>
                <w:rFonts w:cs="Calibri"/>
                <w:szCs w:val="16"/>
              </w:rPr>
            </w:pPr>
          </w:p>
        </w:tc>
        <w:tc>
          <w:tcPr>
            <w:tcW w:w="964" w:type="dxa"/>
            <w:tcBorders>
              <w:top w:val="single" w:sz="4" w:space="0" w:color="365F91"/>
              <w:left w:val="nil"/>
              <w:bottom w:val="single" w:sz="4" w:space="0" w:color="365F91"/>
              <w:right w:val="nil"/>
            </w:tcBorders>
            <w:shd w:val="clear" w:color="auto" w:fill="auto"/>
          </w:tcPr>
          <w:p w14:paraId="3F08C819" w14:textId="77777777" w:rsidR="00F849A7" w:rsidRPr="00D9348B" w:rsidRDefault="00F849A7" w:rsidP="00DB330E">
            <w:pPr>
              <w:pStyle w:val="TableText"/>
              <w:spacing w:after="50"/>
              <w:jc w:val="right"/>
              <w:rPr>
                <w:rFonts w:cs="Calibri"/>
                <w:szCs w:val="16"/>
              </w:rPr>
            </w:pPr>
            <w:r w:rsidRPr="00D9348B">
              <w:rPr>
                <w:rFonts w:cs="Calibri"/>
                <w:szCs w:val="16"/>
              </w:rPr>
              <w:t>20</w:t>
            </w:r>
          </w:p>
        </w:tc>
        <w:tc>
          <w:tcPr>
            <w:tcW w:w="964" w:type="dxa"/>
            <w:tcBorders>
              <w:top w:val="single" w:sz="4" w:space="0" w:color="365F91"/>
              <w:left w:val="nil"/>
              <w:bottom w:val="single" w:sz="4" w:space="0" w:color="365F91"/>
              <w:right w:val="nil"/>
            </w:tcBorders>
            <w:shd w:val="clear" w:color="auto" w:fill="auto"/>
          </w:tcPr>
          <w:p w14:paraId="4EF13A07" w14:textId="77777777" w:rsidR="00F849A7" w:rsidRPr="00D9348B" w:rsidRDefault="00F849A7" w:rsidP="00DB330E">
            <w:pPr>
              <w:pStyle w:val="TableText"/>
              <w:spacing w:after="50"/>
              <w:jc w:val="right"/>
              <w:rPr>
                <w:rFonts w:cs="Calibri"/>
                <w:szCs w:val="16"/>
              </w:rPr>
            </w:pPr>
            <w:r w:rsidRPr="00D9348B">
              <w:rPr>
                <w:rFonts w:cs="Calibri"/>
                <w:szCs w:val="16"/>
              </w:rPr>
              <w:t>60</w:t>
            </w:r>
          </w:p>
        </w:tc>
      </w:tr>
      <w:tr w:rsidR="00F849A7" w:rsidRPr="00D9348B" w14:paraId="233C0C52" w14:textId="77777777" w:rsidTr="00CF364B">
        <w:tc>
          <w:tcPr>
            <w:tcW w:w="1757" w:type="dxa"/>
            <w:tcBorders>
              <w:top w:val="single" w:sz="4" w:space="0" w:color="365F91"/>
              <w:left w:val="nil"/>
              <w:bottom w:val="single" w:sz="4" w:space="0" w:color="365F91"/>
              <w:right w:val="nil"/>
            </w:tcBorders>
            <w:shd w:val="clear" w:color="auto" w:fill="auto"/>
          </w:tcPr>
          <w:p w14:paraId="58F4B43A" w14:textId="77777777" w:rsidR="00F849A7" w:rsidRPr="00D9348B" w:rsidRDefault="00F849A7" w:rsidP="00DB330E">
            <w:pPr>
              <w:pStyle w:val="TableText"/>
              <w:spacing w:after="50"/>
              <w:jc w:val="right"/>
              <w:rPr>
                <w:rFonts w:cs="Calibri"/>
                <w:szCs w:val="16"/>
              </w:rPr>
            </w:pPr>
          </w:p>
        </w:tc>
        <w:tc>
          <w:tcPr>
            <w:tcW w:w="1871" w:type="dxa"/>
            <w:tcBorders>
              <w:top w:val="single" w:sz="4" w:space="0" w:color="365F91"/>
              <w:left w:val="nil"/>
              <w:bottom w:val="single" w:sz="4" w:space="0" w:color="365F91"/>
              <w:right w:val="nil"/>
            </w:tcBorders>
          </w:tcPr>
          <w:p w14:paraId="3EB30D8E" w14:textId="77777777" w:rsidR="00F849A7" w:rsidRPr="00D9348B" w:rsidRDefault="00F849A7" w:rsidP="00DB330E">
            <w:pPr>
              <w:pStyle w:val="TableText"/>
              <w:spacing w:after="50"/>
              <w:rPr>
                <w:rFonts w:cs="Calibri"/>
                <w:szCs w:val="16"/>
              </w:rPr>
            </w:pPr>
            <w:r w:rsidRPr="00D9348B">
              <w:rPr>
                <w:rFonts w:cs="Calibri"/>
                <w:szCs w:val="16"/>
              </w:rPr>
              <w:t>Steep slope (&gt;24</w:t>
            </w:r>
            <w:r w:rsidRPr="00D9348B">
              <w:rPr>
                <w:rFonts w:cs="Calibri"/>
                <w:szCs w:val="16"/>
                <w:vertAlign w:val="superscript"/>
              </w:rPr>
              <w:t>o</w:t>
            </w:r>
            <w:r w:rsidRPr="00D9348B">
              <w:rPr>
                <w:rFonts w:cs="Calibri"/>
                <w:szCs w:val="16"/>
              </w:rPr>
              <w:t>)</w:t>
            </w:r>
          </w:p>
        </w:tc>
        <w:tc>
          <w:tcPr>
            <w:tcW w:w="964" w:type="dxa"/>
            <w:tcBorders>
              <w:top w:val="single" w:sz="4" w:space="0" w:color="365F91"/>
              <w:left w:val="nil"/>
              <w:bottom w:val="single" w:sz="4" w:space="0" w:color="365F91"/>
              <w:right w:val="nil"/>
            </w:tcBorders>
            <w:shd w:val="clear" w:color="auto" w:fill="auto"/>
          </w:tcPr>
          <w:p w14:paraId="761BDD6B" w14:textId="77777777" w:rsidR="00F849A7" w:rsidRPr="00D9348B" w:rsidRDefault="00F849A7" w:rsidP="00DB330E">
            <w:pPr>
              <w:pStyle w:val="TableText"/>
              <w:spacing w:after="50"/>
              <w:jc w:val="right"/>
              <w:rPr>
                <w:rFonts w:cs="Calibri"/>
                <w:szCs w:val="16"/>
              </w:rPr>
            </w:pPr>
            <w:r w:rsidRPr="00D9348B">
              <w:rPr>
                <w:rFonts w:cs="Calibri"/>
                <w:szCs w:val="16"/>
              </w:rPr>
              <w:t>10</w:t>
            </w:r>
          </w:p>
        </w:tc>
        <w:tc>
          <w:tcPr>
            <w:tcW w:w="964" w:type="dxa"/>
            <w:tcBorders>
              <w:top w:val="single" w:sz="4" w:space="0" w:color="365F91"/>
              <w:left w:val="nil"/>
              <w:bottom w:val="single" w:sz="4" w:space="0" w:color="365F91"/>
              <w:right w:val="nil"/>
            </w:tcBorders>
            <w:shd w:val="clear" w:color="auto" w:fill="auto"/>
          </w:tcPr>
          <w:p w14:paraId="260A5419" w14:textId="77777777" w:rsidR="00F849A7" w:rsidRPr="00D9348B" w:rsidRDefault="00F849A7" w:rsidP="00DB330E">
            <w:pPr>
              <w:pStyle w:val="TableText"/>
              <w:spacing w:after="50"/>
              <w:jc w:val="right"/>
              <w:rPr>
                <w:rFonts w:cs="Calibri"/>
                <w:szCs w:val="16"/>
              </w:rPr>
            </w:pPr>
            <w:r w:rsidRPr="00D9348B">
              <w:rPr>
                <w:rFonts w:cs="Calibri"/>
                <w:szCs w:val="16"/>
              </w:rPr>
              <w:t>10</w:t>
            </w:r>
          </w:p>
        </w:tc>
        <w:tc>
          <w:tcPr>
            <w:tcW w:w="964" w:type="dxa"/>
            <w:tcBorders>
              <w:top w:val="single" w:sz="4" w:space="0" w:color="365F91"/>
              <w:left w:val="nil"/>
              <w:bottom w:val="single" w:sz="4" w:space="0" w:color="365F91"/>
              <w:right w:val="nil"/>
            </w:tcBorders>
            <w:shd w:val="clear" w:color="auto" w:fill="auto"/>
          </w:tcPr>
          <w:p w14:paraId="7549113B" w14:textId="77777777" w:rsidR="00F849A7" w:rsidRPr="00D9348B" w:rsidRDefault="00F849A7" w:rsidP="00DB330E">
            <w:pPr>
              <w:pStyle w:val="TableText"/>
              <w:spacing w:after="50"/>
              <w:jc w:val="right"/>
              <w:rPr>
                <w:rFonts w:cs="Calibri"/>
                <w:szCs w:val="16"/>
              </w:rPr>
            </w:pPr>
          </w:p>
        </w:tc>
        <w:tc>
          <w:tcPr>
            <w:tcW w:w="964" w:type="dxa"/>
            <w:tcBorders>
              <w:top w:val="single" w:sz="4" w:space="0" w:color="365F91"/>
              <w:left w:val="nil"/>
              <w:bottom w:val="single" w:sz="4" w:space="0" w:color="365F91"/>
              <w:right w:val="nil"/>
            </w:tcBorders>
            <w:shd w:val="clear" w:color="auto" w:fill="auto"/>
          </w:tcPr>
          <w:p w14:paraId="0F26EF96" w14:textId="77777777" w:rsidR="00F849A7" w:rsidRPr="00D9348B" w:rsidRDefault="00F849A7" w:rsidP="00DB330E">
            <w:pPr>
              <w:pStyle w:val="TableText"/>
              <w:spacing w:after="50"/>
              <w:jc w:val="right"/>
              <w:rPr>
                <w:rFonts w:cs="Calibri"/>
                <w:szCs w:val="16"/>
              </w:rPr>
            </w:pPr>
          </w:p>
        </w:tc>
        <w:tc>
          <w:tcPr>
            <w:tcW w:w="964" w:type="dxa"/>
            <w:tcBorders>
              <w:top w:val="single" w:sz="4" w:space="0" w:color="365F91"/>
              <w:left w:val="nil"/>
              <w:bottom w:val="single" w:sz="4" w:space="0" w:color="365F91"/>
              <w:right w:val="nil"/>
            </w:tcBorders>
            <w:shd w:val="clear" w:color="auto" w:fill="auto"/>
          </w:tcPr>
          <w:p w14:paraId="63C1F760" w14:textId="77777777" w:rsidR="00F849A7" w:rsidRPr="00D9348B" w:rsidRDefault="00F849A7" w:rsidP="00DB330E">
            <w:pPr>
              <w:pStyle w:val="TableText"/>
              <w:spacing w:after="50"/>
              <w:jc w:val="right"/>
              <w:rPr>
                <w:rFonts w:cs="Calibri"/>
                <w:szCs w:val="16"/>
              </w:rPr>
            </w:pPr>
            <w:r w:rsidRPr="00D9348B">
              <w:rPr>
                <w:rFonts w:cs="Calibri"/>
                <w:szCs w:val="16"/>
              </w:rPr>
              <w:t>20</w:t>
            </w:r>
          </w:p>
        </w:tc>
      </w:tr>
      <w:tr w:rsidR="00F849A7" w:rsidRPr="00D9348B" w14:paraId="232DD0EB" w14:textId="77777777" w:rsidTr="00CF364B">
        <w:tc>
          <w:tcPr>
            <w:tcW w:w="1757" w:type="dxa"/>
            <w:tcBorders>
              <w:top w:val="single" w:sz="4" w:space="0" w:color="365F91"/>
              <w:left w:val="nil"/>
              <w:bottom w:val="single" w:sz="4" w:space="0" w:color="365F91"/>
              <w:right w:val="nil"/>
            </w:tcBorders>
            <w:shd w:val="clear" w:color="auto" w:fill="auto"/>
          </w:tcPr>
          <w:p w14:paraId="51B17596" w14:textId="77777777" w:rsidR="00F849A7" w:rsidRPr="00D9348B" w:rsidRDefault="00F849A7" w:rsidP="00DB330E">
            <w:pPr>
              <w:pStyle w:val="TableText"/>
              <w:spacing w:after="50"/>
              <w:rPr>
                <w:rFonts w:cs="Calibri"/>
                <w:szCs w:val="16"/>
              </w:rPr>
            </w:pPr>
            <w:r w:rsidRPr="00D9348B">
              <w:rPr>
                <w:rFonts w:cs="Calibri"/>
                <w:szCs w:val="16"/>
              </w:rPr>
              <w:t>Sheep urine</w:t>
            </w:r>
          </w:p>
        </w:tc>
        <w:tc>
          <w:tcPr>
            <w:tcW w:w="1871" w:type="dxa"/>
            <w:tcBorders>
              <w:top w:val="single" w:sz="4" w:space="0" w:color="365F91"/>
              <w:left w:val="nil"/>
              <w:bottom w:val="single" w:sz="4" w:space="0" w:color="365F91"/>
              <w:right w:val="nil"/>
            </w:tcBorders>
          </w:tcPr>
          <w:p w14:paraId="1FF8E67E" w14:textId="77777777" w:rsidR="00F849A7" w:rsidRPr="00D9348B" w:rsidRDefault="00F849A7" w:rsidP="00DB330E">
            <w:pPr>
              <w:pStyle w:val="TableText"/>
              <w:spacing w:after="50"/>
              <w:rPr>
                <w:rFonts w:cs="Calibri"/>
                <w:szCs w:val="16"/>
              </w:rPr>
            </w:pPr>
            <w:r w:rsidRPr="00D9348B">
              <w:rPr>
                <w:rFonts w:cs="Calibri"/>
                <w:szCs w:val="16"/>
              </w:rPr>
              <w:t>Flatland (0</w:t>
            </w:r>
            <w:r w:rsidRPr="00D9348B">
              <w:rPr>
                <w:rFonts w:cs="Calibri"/>
                <w:szCs w:val="16"/>
                <w:vertAlign w:val="superscript"/>
              </w:rPr>
              <w:t>o</w:t>
            </w:r>
            <w:r w:rsidRPr="00D9348B">
              <w:rPr>
                <w:rFonts w:cs="Calibri"/>
                <w:szCs w:val="16"/>
              </w:rPr>
              <w:t>)</w:t>
            </w:r>
          </w:p>
        </w:tc>
        <w:tc>
          <w:tcPr>
            <w:tcW w:w="964" w:type="dxa"/>
            <w:tcBorders>
              <w:top w:val="single" w:sz="4" w:space="0" w:color="365F91"/>
              <w:left w:val="nil"/>
              <w:bottom w:val="single" w:sz="4" w:space="0" w:color="365F91"/>
              <w:right w:val="nil"/>
            </w:tcBorders>
            <w:shd w:val="clear" w:color="auto" w:fill="auto"/>
          </w:tcPr>
          <w:p w14:paraId="2AAF31F0" w14:textId="77777777" w:rsidR="00F849A7" w:rsidRPr="00D9348B" w:rsidRDefault="00F849A7" w:rsidP="00DB330E">
            <w:pPr>
              <w:pStyle w:val="TableText"/>
              <w:spacing w:after="50"/>
              <w:jc w:val="right"/>
              <w:rPr>
                <w:rFonts w:cs="Calibri"/>
                <w:szCs w:val="16"/>
              </w:rPr>
            </w:pPr>
            <w:r w:rsidRPr="00D9348B">
              <w:rPr>
                <w:rFonts w:cs="Calibri"/>
                <w:szCs w:val="16"/>
              </w:rPr>
              <w:t>8</w:t>
            </w:r>
          </w:p>
        </w:tc>
        <w:tc>
          <w:tcPr>
            <w:tcW w:w="964" w:type="dxa"/>
            <w:tcBorders>
              <w:top w:val="single" w:sz="4" w:space="0" w:color="365F91"/>
              <w:left w:val="nil"/>
              <w:bottom w:val="single" w:sz="4" w:space="0" w:color="365F91"/>
              <w:right w:val="nil"/>
            </w:tcBorders>
            <w:shd w:val="clear" w:color="auto" w:fill="auto"/>
          </w:tcPr>
          <w:p w14:paraId="1E1B8694" w14:textId="77777777" w:rsidR="00F849A7" w:rsidRPr="00D9348B" w:rsidRDefault="00F849A7" w:rsidP="00DB330E">
            <w:pPr>
              <w:pStyle w:val="TableText"/>
              <w:spacing w:after="50"/>
              <w:jc w:val="right"/>
              <w:rPr>
                <w:rFonts w:cs="Calibri"/>
                <w:szCs w:val="16"/>
              </w:rPr>
            </w:pPr>
            <w:r w:rsidRPr="00D9348B">
              <w:rPr>
                <w:rFonts w:cs="Calibri"/>
                <w:szCs w:val="16"/>
              </w:rPr>
              <w:t>8</w:t>
            </w:r>
          </w:p>
        </w:tc>
        <w:tc>
          <w:tcPr>
            <w:tcW w:w="964" w:type="dxa"/>
            <w:tcBorders>
              <w:top w:val="single" w:sz="4" w:space="0" w:color="365F91"/>
              <w:left w:val="nil"/>
              <w:bottom w:val="single" w:sz="4" w:space="0" w:color="365F91"/>
              <w:right w:val="nil"/>
            </w:tcBorders>
            <w:shd w:val="clear" w:color="auto" w:fill="auto"/>
          </w:tcPr>
          <w:p w14:paraId="21068CB2" w14:textId="77777777" w:rsidR="00F849A7" w:rsidRPr="00D9348B" w:rsidRDefault="00F849A7" w:rsidP="00DB330E">
            <w:pPr>
              <w:pStyle w:val="TableText"/>
              <w:spacing w:after="50"/>
              <w:jc w:val="right"/>
              <w:rPr>
                <w:rFonts w:cs="Calibri"/>
                <w:szCs w:val="16"/>
              </w:rPr>
            </w:pPr>
            <w:r w:rsidRPr="00D9348B">
              <w:rPr>
                <w:rFonts w:cs="Calibri"/>
                <w:szCs w:val="16"/>
              </w:rPr>
              <w:t>20</w:t>
            </w:r>
          </w:p>
        </w:tc>
        <w:tc>
          <w:tcPr>
            <w:tcW w:w="964" w:type="dxa"/>
            <w:tcBorders>
              <w:top w:val="single" w:sz="4" w:space="0" w:color="365F91"/>
              <w:left w:val="nil"/>
              <w:bottom w:val="single" w:sz="4" w:space="0" w:color="365F91"/>
              <w:right w:val="nil"/>
            </w:tcBorders>
            <w:shd w:val="clear" w:color="auto" w:fill="auto"/>
          </w:tcPr>
          <w:p w14:paraId="13505398" w14:textId="77777777" w:rsidR="00F849A7" w:rsidRPr="00D9348B" w:rsidRDefault="00F849A7" w:rsidP="00DB330E">
            <w:pPr>
              <w:pStyle w:val="TableText"/>
              <w:spacing w:after="50"/>
              <w:jc w:val="right"/>
              <w:rPr>
                <w:rFonts w:cs="Calibri"/>
                <w:szCs w:val="16"/>
              </w:rPr>
            </w:pPr>
          </w:p>
        </w:tc>
        <w:tc>
          <w:tcPr>
            <w:tcW w:w="964" w:type="dxa"/>
            <w:tcBorders>
              <w:top w:val="single" w:sz="4" w:space="0" w:color="365F91"/>
              <w:left w:val="nil"/>
              <w:bottom w:val="single" w:sz="4" w:space="0" w:color="365F91"/>
              <w:right w:val="nil"/>
            </w:tcBorders>
            <w:shd w:val="clear" w:color="auto" w:fill="auto"/>
          </w:tcPr>
          <w:p w14:paraId="0BA3BA46" w14:textId="77777777" w:rsidR="00F849A7" w:rsidRPr="00D9348B" w:rsidRDefault="00F849A7" w:rsidP="00DB330E">
            <w:pPr>
              <w:pStyle w:val="TableText"/>
              <w:spacing w:after="50"/>
              <w:jc w:val="right"/>
              <w:rPr>
                <w:rFonts w:cs="Calibri"/>
                <w:szCs w:val="16"/>
              </w:rPr>
            </w:pPr>
            <w:r w:rsidRPr="00D9348B">
              <w:rPr>
                <w:rFonts w:cs="Calibri"/>
                <w:szCs w:val="16"/>
              </w:rPr>
              <w:t>36</w:t>
            </w:r>
          </w:p>
        </w:tc>
      </w:tr>
      <w:tr w:rsidR="00F849A7" w:rsidRPr="00D9348B" w14:paraId="50C9F486" w14:textId="77777777" w:rsidTr="00CF364B">
        <w:tc>
          <w:tcPr>
            <w:tcW w:w="1757" w:type="dxa"/>
            <w:tcBorders>
              <w:top w:val="single" w:sz="4" w:space="0" w:color="365F91"/>
              <w:left w:val="nil"/>
              <w:bottom w:val="single" w:sz="4" w:space="0" w:color="365F91"/>
              <w:right w:val="nil"/>
            </w:tcBorders>
            <w:shd w:val="clear" w:color="auto" w:fill="auto"/>
          </w:tcPr>
          <w:p w14:paraId="2FB497C5" w14:textId="77777777" w:rsidR="00F849A7" w:rsidRPr="00D9348B" w:rsidRDefault="00F849A7" w:rsidP="00DB330E">
            <w:pPr>
              <w:pStyle w:val="TableText"/>
              <w:spacing w:after="50"/>
              <w:jc w:val="right"/>
              <w:rPr>
                <w:rFonts w:cs="Calibri"/>
                <w:szCs w:val="16"/>
              </w:rPr>
            </w:pPr>
          </w:p>
        </w:tc>
        <w:tc>
          <w:tcPr>
            <w:tcW w:w="1871" w:type="dxa"/>
            <w:tcBorders>
              <w:top w:val="single" w:sz="4" w:space="0" w:color="365F91"/>
              <w:left w:val="nil"/>
              <w:bottom w:val="single" w:sz="4" w:space="0" w:color="365F91"/>
              <w:right w:val="nil"/>
            </w:tcBorders>
          </w:tcPr>
          <w:p w14:paraId="3E2F3696" w14:textId="77777777" w:rsidR="00F849A7" w:rsidRPr="00D9348B" w:rsidRDefault="00F849A7" w:rsidP="00DB330E">
            <w:pPr>
              <w:pStyle w:val="TableText"/>
              <w:spacing w:after="50"/>
              <w:rPr>
                <w:rFonts w:cs="Calibri"/>
                <w:szCs w:val="16"/>
              </w:rPr>
            </w:pPr>
            <w:r w:rsidRPr="00D9348B">
              <w:rPr>
                <w:rFonts w:cs="Calibri"/>
                <w:szCs w:val="16"/>
              </w:rPr>
              <w:t>Low slope (0–12</w:t>
            </w:r>
            <w:r w:rsidRPr="00D9348B">
              <w:rPr>
                <w:rFonts w:cs="Calibri"/>
                <w:szCs w:val="16"/>
                <w:vertAlign w:val="superscript"/>
              </w:rPr>
              <w:t>o</w:t>
            </w:r>
            <w:r w:rsidRPr="00D9348B">
              <w:rPr>
                <w:rFonts w:cs="Calibri"/>
                <w:szCs w:val="16"/>
              </w:rPr>
              <w:t>)</w:t>
            </w:r>
          </w:p>
        </w:tc>
        <w:tc>
          <w:tcPr>
            <w:tcW w:w="964" w:type="dxa"/>
            <w:tcBorders>
              <w:top w:val="single" w:sz="4" w:space="0" w:color="365F91"/>
              <w:left w:val="nil"/>
              <w:bottom w:val="single" w:sz="4" w:space="0" w:color="365F91"/>
              <w:right w:val="nil"/>
            </w:tcBorders>
            <w:shd w:val="clear" w:color="auto" w:fill="auto"/>
          </w:tcPr>
          <w:p w14:paraId="344DE00D" w14:textId="77777777" w:rsidR="00F849A7" w:rsidRPr="00D9348B" w:rsidRDefault="00F849A7" w:rsidP="00DB330E">
            <w:pPr>
              <w:pStyle w:val="TableText"/>
              <w:spacing w:after="50"/>
              <w:jc w:val="right"/>
              <w:rPr>
                <w:rFonts w:cs="Calibri"/>
                <w:szCs w:val="16"/>
              </w:rPr>
            </w:pPr>
            <w:r w:rsidRPr="00D9348B">
              <w:rPr>
                <w:rFonts w:cs="Calibri"/>
                <w:szCs w:val="16"/>
              </w:rPr>
              <w:t>24</w:t>
            </w:r>
          </w:p>
        </w:tc>
        <w:tc>
          <w:tcPr>
            <w:tcW w:w="964" w:type="dxa"/>
            <w:tcBorders>
              <w:top w:val="single" w:sz="4" w:space="0" w:color="365F91"/>
              <w:left w:val="nil"/>
              <w:bottom w:val="single" w:sz="4" w:space="0" w:color="365F91"/>
              <w:right w:val="nil"/>
            </w:tcBorders>
            <w:shd w:val="clear" w:color="auto" w:fill="auto"/>
          </w:tcPr>
          <w:p w14:paraId="2A99181C" w14:textId="77777777" w:rsidR="00F849A7" w:rsidRPr="00D9348B" w:rsidRDefault="00F849A7" w:rsidP="00DB330E">
            <w:pPr>
              <w:pStyle w:val="TableText"/>
              <w:spacing w:after="50"/>
              <w:jc w:val="right"/>
              <w:rPr>
                <w:rFonts w:cs="Calibri"/>
                <w:szCs w:val="16"/>
              </w:rPr>
            </w:pPr>
          </w:p>
        </w:tc>
        <w:tc>
          <w:tcPr>
            <w:tcW w:w="964" w:type="dxa"/>
            <w:tcBorders>
              <w:top w:val="single" w:sz="4" w:space="0" w:color="365F91"/>
              <w:left w:val="nil"/>
              <w:bottom w:val="single" w:sz="4" w:space="0" w:color="365F91"/>
              <w:right w:val="nil"/>
            </w:tcBorders>
            <w:shd w:val="clear" w:color="auto" w:fill="auto"/>
          </w:tcPr>
          <w:p w14:paraId="4E3EA54A" w14:textId="77777777" w:rsidR="00F849A7" w:rsidRPr="00D9348B" w:rsidRDefault="00F849A7" w:rsidP="00DB330E">
            <w:pPr>
              <w:pStyle w:val="TableText"/>
              <w:spacing w:after="50"/>
              <w:jc w:val="right"/>
              <w:rPr>
                <w:rFonts w:cs="Calibri"/>
                <w:szCs w:val="16"/>
              </w:rPr>
            </w:pPr>
            <w:r w:rsidRPr="00D9348B">
              <w:rPr>
                <w:rFonts w:cs="Calibri"/>
                <w:szCs w:val="16"/>
              </w:rPr>
              <w:t>44</w:t>
            </w:r>
          </w:p>
        </w:tc>
        <w:tc>
          <w:tcPr>
            <w:tcW w:w="964" w:type="dxa"/>
            <w:tcBorders>
              <w:top w:val="single" w:sz="4" w:space="0" w:color="365F91"/>
              <w:left w:val="nil"/>
              <w:bottom w:val="single" w:sz="4" w:space="0" w:color="365F91"/>
              <w:right w:val="nil"/>
            </w:tcBorders>
            <w:shd w:val="clear" w:color="auto" w:fill="auto"/>
          </w:tcPr>
          <w:p w14:paraId="5457EDC9" w14:textId="77777777" w:rsidR="00F849A7" w:rsidRPr="00D9348B" w:rsidRDefault="00F849A7" w:rsidP="00DB330E">
            <w:pPr>
              <w:pStyle w:val="TableText"/>
              <w:spacing w:after="50"/>
              <w:jc w:val="right"/>
              <w:rPr>
                <w:rFonts w:cs="Calibri"/>
                <w:szCs w:val="16"/>
              </w:rPr>
            </w:pPr>
          </w:p>
        </w:tc>
        <w:tc>
          <w:tcPr>
            <w:tcW w:w="964" w:type="dxa"/>
            <w:tcBorders>
              <w:top w:val="single" w:sz="4" w:space="0" w:color="365F91"/>
              <w:left w:val="nil"/>
              <w:bottom w:val="single" w:sz="4" w:space="0" w:color="365F91"/>
              <w:right w:val="nil"/>
            </w:tcBorders>
            <w:shd w:val="clear" w:color="auto" w:fill="auto"/>
          </w:tcPr>
          <w:p w14:paraId="4C4A130F" w14:textId="77777777" w:rsidR="00F849A7" w:rsidRPr="00D9348B" w:rsidRDefault="00F849A7" w:rsidP="00DB330E">
            <w:pPr>
              <w:pStyle w:val="TableText"/>
              <w:spacing w:after="50"/>
              <w:jc w:val="right"/>
              <w:rPr>
                <w:rFonts w:cs="Calibri"/>
                <w:szCs w:val="16"/>
              </w:rPr>
            </w:pPr>
            <w:r w:rsidRPr="00D9348B">
              <w:rPr>
                <w:rFonts w:cs="Calibri"/>
                <w:szCs w:val="16"/>
              </w:rPr>
              <w:t>68</w:t>
            </w:r>
          </w:p>
        </w:tc>
      </w:tr>
      <w:tr w:rsidR="00F849A7" w:rsidRPr="00D9348B" w14:paraId="52B54C13" w14:textId="77777777" w:rsidTr="00CF364B">
        <w:tc>
          <w:tcPr>
            <w:tcW w:w="1757" w:type="dxa"/>
            <w:tcBorders>
              <w:top w:val="single" w:sz="4" w:space="0" w:color="365F91"/>
              <w:left w:val="nil"/>
              <w:bottom w:val="single" w:sz="4" w:space="0" w:color="365F91"/>
              <w:right w:val="nil"/>
            </w:tcBorders>
            <w:shd w:val="clear" w:color="auto" w:fill="auto"/>
          </w:tcPr>
          <w:p w14:paraId="6EB69CDB" w14:textId="77777777" w:rsidR="00F849A7" w:rsidRPr="00D9348B" w:rsidRDefault="00F849A7" w:rsidP="00DB330E">
            <w:pPr>
              <w:pStyle w:val="TableText"/>
              <w:spacing w:after="50"/>
              <w:jc w:val="right"/>
              <w:rPr>
                <w:rFonts w:cs="Calibri"/>
                <w:szCs w:val="16"/>
              </w:rPr>
            </w:pPr>
          </w:p>
        </w:tc>
        <w:tc>
          <w:tcPr>
            <w:tcW w:w="1871" w:type="dxa"/>
            <w:tcBorders>
              <w:top w:val="single" w:sz="4" w:space="0" w:color="365F91"/>
              <w:left w:val="nil"/>
              <w:bottom w:val="single" w:sz="4" w:space="0" w:color="365F91"/>
              <w:right w:val="nil"/>
            </w:tcBorders>
          </w:tcPr>
          <w:p w14:paraId="6EAC7824" w14:textId="77777777" w:rsidR="00F849A7" w:rsidRPr="00D9348B" w:rsidRDefault="00F849A7" w:rsidP="00DB330E">
            <w:pPr>
              <w:pStyle w:val="TableText"/>
              <w:spacing w:after="50"/>
              <w:rPr>
                <w:rFonts w:cs="Calibri"/>
                <w:szCs w:val="16"/>
              </w:rPr>
            </w:pPr>
            <w:r w:rsidRPr="00D9348B">
              <w:rPr>
                <w:rFonts w:cs="Calibri"/>
                <w:szCs w:val="16"/>
              </w:rPr>
              <w:t>Medium slope (12–24</w:t>
            </w:r>
            <w:r w:rsidRPr="00D9348B">
              <w:rPr>
                <w:rFonts w:cs="Calibri"/>
                <w:szCs w:val="16"/>
                <w:vertAlign w:val="superscript"/>
              </w:rPr>
              <w:t>o</w:t>
            </w:r>
            <w:r w:rsidRPr="00D9348B">
              <w:rPr>
                <w:rFonts w:cs="Calibri"/>
                <w:szCs w:val="16"/>
              </w:rPr>
              <w:t>)</w:t>
            </w:r>
          </w:p>
        </w:tc>
        <w:tc>
          <w:tcPr>
            <w:tcW w:w="964" w:type="dxa"/>
            <w:tcBorders>
              <w:top w:val="single" w:sz="4" w:space="0" w:color="365F91"/>
              <w:left w:val="nil"/>
              <w:bottom w:val="single" w:sz="4" w:space="0" w:color="365F91"/>
              <w:right w:val="nil"/>
            </w:tcBorders>
            <w:shd w:val="clear" w:color="auto" w:fill="auto"/>
          </w:tcPr>
          <w:p w14:paraId="6989DD35" w14:textId="77777777" w:rsidR="00F849A7" w:rsidRPr="00D9348B" w:rsidRDefault="00F849A7" w:rsidP="00DB330E">
            <w:pPr>
              <w:pStyle w:val="TableText"/>
              <w:spacing w:after="50"/>
              <w:jc w:val="right"/>
              <w:rPr>
                <w:rFonts w:cs="Calibri"/>
                <w:szCs w:val="16"/>
              </w:rPr>
            </w:pPr>
            <w:r w:rsidRPr="00D9348B">
              <w:rPr>
                <w:rFonts w:cs="Calibri"/>
                <w:szCs w:val="16"/>
              </w:rPr>
              <w:t>30</w:t>
            </w:r>
          </w:p>
        </w:tc>
        <w:tc>
          <w:tcPr>
            <w:tcW w:w="964" w:type="dxa"/>
            <w:tcBorders>
              <w:top w:val="single" w:sz="4" w:space="0" w:color="365F91"/>
              <w:left w:val="nil"/>
              <w:bottom w:val="single" w:sz="4" w:space="0" w:color="365F91"/>
              <w:right w:val="nil"/>
            </w:tcBorders>
            <w:shd w:val="clear" w:color="auto" w:fill="auto"/>
          </w:tcPr>
          <w:p w14:paraId="68F83C41" w14:textId="77777777" w:rsidR="00F849A7" w:rsidRPr="00D9348B" w:rsidRDefault="00F849A7" w:rsidP="00DB330E">
            <w:pPr>
              <w:pStyle w:val="TableText"/>
              <w:spacing w:after="50"/>
              <w:jc w:val="right"/>
              <w:rPr>
                <w:rFonts w:cs="Calibri"/>
                <w:szCs w:val="16"/>
              </w:rPr>
            </w:pPr>
            <w:r w:rsidRPr="00D9348B">
              <w:rPr>
                <w:rFonts w:cs="Calibri"/>
                <w:szCs w:val="16"/>
              </w:rPr>
              <w:t>10</w:t>
            </w:r>
          </w:p>
        </w:tc>
        <w:tc>
          <w:tcPr>
            <w:tcW w:w="964" w:type="dxa"/>
            <w:tcBorders>
              <w:top w:val="single" w:sz="4" w:space="0" w:color="365F91"/>
              <w:left w:val="nil"/>
              <w:bottom w:val="single" w:sz="4" w:space="0" w:color="365F91"/>
              <w:right w:val="nil"/>
            </w:tcBorders>
            <w:shd w:val="clear" w:color="auto" w:fill="auto"/>
          </w:tcPr>
          <w:p w14:paraId="162C6913" w14:textId="77777777" w:rsidR="00F849A7" w:rsidRPr="00D9348B" w:rsidRDefault="00F849A7" w:rsidP="00DB330E">
            <w:pPr>
              <w:pStyle w:val="TableText"/>
              <w:spacing w:after="50"/>
              <w:jc w:val="right"/>
              <w:rPr>
                <w:rFonts w:cs="Calibri"/>
                <w:szCs w:val="16"/>
              </w:rPr>
            </w:pPr>
            <w:r w:rsidRPr="00D9348B">
              <w:rPr>
                <w:rFonts w:cs="Calibri"/>
                <w:szCs w:val="16"/>
              </w:rPr>
              <w:t>20</w:t>
            </w:r>
          </w:p>
        </w:tc>
        <w:tc>
          <w:tcPr>
            <w:tcW w:w="964" w:type="dxa"/>
            <w:tcBorders>
              <w:top w:val="single" w:sz="4" w:space="0" w:color="365F91"/>
              <w:left w:val="nil"/>
              <w:bottom w:val="single" w:sz="4" w:space="0" w:color="365F91"/>
              <w:right w:val="nil"/>
            </w:tcBorders>
            <w:shd w:val="clear" w:color="auto" w:fill="auto"/>
          </w:tcPr>
          <w:p w14:paraId="40C7C11D" w14:textId="77777777" w:rsidR="00F849A7" w:rsidRPr="00D9348B" w:rsidRDefault="00F849A7" w:rsidP="00DB330E">
            <w:pPr>
              <w:pStyle w:val="TableText"/>
              <w:spacing w:after="50"/>
              <w:jc w:val="right"/>
              <w:rPr>
                <w:rFonts w:cs="Calibri"/>
                <w:szCs w:val="16"/>
              </w:rPr>
            </w:pPr>
          </w:p>
        </w:tc>
        <w:tc>
          <w:tcPr>
            <w:tcW w:w="964" w:type="dxa"/>
            <w:tcBorders>
              <w:top w:val="single" w:sz="4" w:space="0" w:color="365F91"/>
              <w:left w:val="nil"/>
              <w:bottom w:val="single" w:sz="4" w:space="0" w:color="365F91"/>
              <w:right w:val="nil"/>
            </w:tcBorders>
            <w:shd w:val="clear" w:color="auto" w:fill="auto"/>
          </w:tcPr>
          <w:p w14:paraId="4A484CC0" w14:textId="77777777" w:rsidR="00F849A7" w:rsidRPr="00D9348B" w:rsidRDefault="00F849A7" w:rsidP="00DB330E">
            <w:pPr>
              <w:pStyle w:val="TableText"/>
              <w:spacing w:after="50"/>
              <w:jc w:val="right"/>
              <w:rPr>
                <w:rFonts w:cs="Calibri"/>
                <w:szCs w:val="16"/>
              </w:rPr>
            </w:pPr>
            <w:r w:rsidRPr="00D9348B">
              <w:rPr>
                <w:rFonts w:cs="Calibri"/>
                <w:szCs w:val="16"/>
              </w:rPr>
              <w:t>60</w:t>
            </w:r>
          </w:p>
        </w:tc>
      </w:tr>
      <w:tr w:rsidR="00F849A7" w:rsidRPr="00D9348B" w14:paraId="4CA121E9" w14:textId="77777777" w:rsidTr="00CF364B">
        <w:tc>
          <w:tcPr>
            <w:tcW w:w="1757" w:type="dxa"/>
            <w:tcBorders>
              <w:top w:val="single" w:sz="4" w:space="0" w:color="365F91"/>
              <w:left w:val="nil"/>
              <w:bottom w:val="single" w:sz="4" w:space="0" w:color="365F91"/>
              <w:right w:val="nil"/>
            </w:tcBorders>
            <w:shd w:val="clear" w:color="auto" w:fill="auto"/>
          </w:tcPr>
          <w:p w14:paraId="10344514" w14:textId="77777777" w:rsidR="00F849A7" w:rsidRPr="00D9348B" w:rsidRDefault="00F849A7" w:rsidP="00DB330E">
            <w:pPr>
              <w:pStyle w:val="TableText"/>
              <w:spacing w:after="50"/>
              <w:jc w:val="right"/>
              <w:rPr>
                <w:rFonts w:cs="Calibri"/>
                <w:szCs w:val="16"/>
              </w:rPr>
            </w:pPr>
          </w:p>
        </w:tc>
        <w:tc>
          <w:tcPr>
            <w:tcW w:w="1871" w:type="dxa"/>
            <w:tcBorders>
              <w:top w:val="single" w:sz="4" w:space="0" w:color="365F91"/>
              <w:left w:val="nil"/>
              <w:bottom w:val="single" w:sz="4" w:space="0" w:color="365F91"/>
              <w:right w:val="nil"/>
            </w:tcBorders>
          </w:tcPr>
          <w:p w14:paraId="404AD161" w14:textId="77777777" w:rsidR="00F849A7" w:rsidRPr="00D9348B" w:rsidRDefault="00F849A7" w:rsidP="00DB330E">
            <w:pPr>
              <w:pStyle w:val="TableText"/>
              <w:spacing w:after="50"/>
              <w:rPr>
                <w:rFonts w:cs="Calibri"/>
                <w:szCs w:val="16"/>
              </w:rPr>
            </w:pPr>
            <w:r w:rsidRPr="00D9348B">
              <w:rPr>
                <w:rFonts w:cs="Calibri"/>
                <w:szCs w:val="16"/>
              </w:rPr>
              <w:t>Steep slope (&gt;24</w:t>
            </w:r>
            <w:r w:rsidRPr="00D9348B">
              <w:rPr>
                <w:rFonts w:cs="Calibri"/>
                <w:szCs w:val="16"/>
                <w:vertAlign w:val="superscript"/>
              </w:rPr>
              <w:t>o</w:t>
            </w:r>
            <w:r w:rsidRPr="00D9348B">
              <w:rPr>
                <w:rFonts w:cs="Calibri"/>
                <w:szCs w:val="16"/>
              </w:rPr>
              <w:t>)</w:t>
            </w:r>
          </w:p>
        </w:tc>
        <w:tc>
          <w:tcPr>
            <w:tcW w:w="964" w:type="dxa"/>
            <w:tcBorders>
              <w:top w:val="single" w:sz="4" w:space="0" w:color="365F91"/>
              <w:left w:val="nil"/>
              <w:bottom w:val="single" w:sz="4" w:space="0" w:color="365F91"/>
              <w:right w:val="nil"/>
            </w:tcBorders>
            <w:shd w:val="clear" w:color="auto" w:fill="auto"/>
          </w:tcPr>
          <w:p w14:paraId="114F4A29" w14:textId="77777777" w:rsidR="00F849A7" w:rsidRPr="00D9348B" w:rsidRDefault="00F849A7" w:rsidP="00DB330E">
            <w:pPr>
              <w:pStyle w:val="TableText"/>
              <w:spacing w:after="50"/>
              <w:jc w:val="right"/>
              <w:rPr>
                <w:rFonts w:cs="Calibri"/>
                <w:szCs w:val="16"/>
              </w:rPr>
            </w:pPr>
            <w:r w:rsidRPr="00D9348B">
              <w:rPr>
                <w:rFonts w:cs="Calibri"/>
                <w:szCs w:val="16"/>
              </w:rPr>
              <w:t>10</w:t>
            </w:r>
          </w:p>
        </w:tc>
        <w:tc>
          <w:tcPr>
            <w:tcW w:w="964" w:type="dxa"/>
            <w:tcBorders>
              <w:top w:val="single" w:sz="4" w:space="0" w:color="365F91"/>
              <w:left w:val="nil"/>
              <w:bottom w:val="single" w:sz="4" w:space="0" w:color="365F91"/>
              <w:right w:val="nil"/>
            </w:tcBorders>
            <w:shd w:val="clear" w:color="auto" w:fill="auto"/>
          </w:tcPr>
          <w:p w14:paraId="29DCCB28" w14:textId="77777777" w:rsidR="00F849A7" w:rsidRPr="00D9348B" w:rsidRDefault="00F849A7" w:rsidP="00DB330E">
            <w:pPr>
              <w:pStyle w:val="TableText"/>
              <w:spacing w:after="50"/>
              <w:jc w:val="right"/>
              <w:rPr>
                <w:rFonts w:cs="Calibri"/>
                <w:szCs w:val="16"/>
              </w:rPr>
            </w:pPr>
            <w:r w:rsidRPr="00D9348B">
              <w:rPr>
                <w:rFonts w:cs="Calibri"/>
                <w:szCs w:val="16"/>
              </w:rPr>
              <w:t>10</w:t>
            </w:r>
          </w:p>
        </w:tc>
        <w:tc>
          <w:tcPr>
            <w:tcW w:w="964" w:type="dxa"/>
            <w:tcBorders>
              <w:top w:val="single" w:sz="4" w:space="0" w:color="365F91"/>
              <w:left w:val="nil"/>
              <w:bottom w:val="single" w:sz="4" w:space="0" w:color="365F91"/>
              <w:right w:val="nil"/>
            </w:tcBorders>
            <w:shd w:val="clear" w:color="auto" w:fill="auto"/>
          </w:tcPr>
          <w:p w14:paraId="166A8338" w14:textId="77777777" w:rsidR="00F849A7" w:rsidRPr="00D9348B" w:rsidRDefault="00F849A7" w:rsidP="00DB330E">
            <w:pPr>
              <w:pStyle w:val="TableText"/>
              <w:spacing w:after="50"/>
              <w:jc w:val="right"/>
              <w:rPr>
                <w:rFonts w:cs="Calibri"/>
                <w:szCs w:val="16"/>
              </w:rPr>
            </w:pPr>
          </w:p>
        </w:tc>
        <w:tc>
          <w:tcPr>
            <w:tcW w:w="964" w:type="dxa"/>
            <w:tcBorders>
              <w:top w:val="single" w:sz="4" w:space="0" w:color="365F91"/>
              <w:left w:val="nil"/>
              <w:bottom w:val="single" w:sz="4" w:space="0" w:color="365F91"/>
              <w:right w:val="nil"/>
            </w:tcBorders>
            <w:shd w:val="clear" w:color="auto" w:fill="auto"/>
          </w:tcPr>
          <w:p w14:paraId="0F38ABFA" w14:textId="77777777" w:rsidR="00F849A7" w:rsidRPr="00D9348B" w:rsidRDefault="00F849A7" w:rsidP="00DB330E">
            <w:pPr>
              <w:pStyle w:val="TableText"/>
              <w:spacing w:after="50"/>
              <w:jc w:val="right"/>
              <w:rPr>
                <w:rFonts w:cs="Calibri"/>
                <w:szCs w:val="16"/>
              </w:rPr>
            </w:pPr>
          </w:p>
        </w:tc>
        <w:tc>
          <w:tcPr>
            <w:tcW w:w="964" w:type="dxa"/>
            <w:tcBorders>
              <w:top w:val="single" w:sz="4" w:space="0" w:color="365F91"/>
              <w:left w:val="nil"/>
              <w:bottom w:val="single" w:sz="4" w:space="0" w:color="365F91"/>
              <w:right w:val="nil"/>
            </w:tcBorders>
            <w:shd w:val="clear" w:color="auto" w:fill="auto"/>
          </w:tcPr>
          <w:p w14:paraId="0C2A44E1" w14:textId="77777777" w:rsidR="00F849A7" w:rsidRPr="00D9348B" w:rsidRDefault="00F849A7" w:rsidP="00DB330E">
            <w:pPr>
              <w:pStyle w:val="TableText"/>
              <w:spacing w:after="50"/>
              <w:jc w:val="right"/>
              <w:rPr>
                <w:rFonts w:cs="Calibri"/>
                <w:szCs w:val="16"/>
              </w:rPr>
            </w:pPr>
            <w:r w:rsidRPr="00D9348B">
              <w:rPr>
                <w:rFonts w:cs="Calibri"/>
                <w:szCs w:val="16"/>
              </w:rPr>
              <w:t>20</w:t>
            </w:r>
          </w:p>
        </w:tc>
      </w:tr>
      <w:tr w:rsidR="00F849A7" w:rsidRPr="00D9348B" w14:paraId="05372EC2" w14:textId="77777777" w:rsidTr="00CF364B">
        <w:tc>
          <w:tcPr>
            <w:tcW w:w="1757" w:type="dxa"/>
            <w:tcBorders>
              <w:top w:val="single" w:sz="4" w:space="0" w:color="365F91"/>
              <w:left w:val="nil"/>
              <w:bottom w:val="single" w:sz="4" w:space="0" w:color="365F91"/>
              <w:right w:val="nil"/>
            </w:tcBorders>
            <w:shd w:val="clear" w:color="auto" w:fill="auto"/>
          </w:tcPr>
          <w:p w14:paraId="5C9ECDFF" w14:textId="77777777" w:rsidR="00F849A7" w:rsidRPr="00D9348B" w:rsidRDefault="00F849A7" w:rsidP="00DB330E">
            <w:pPr>
              <w:pStyle w:val="TableText"/>
              <w:spacing w:after="50"/>
              <w:rPr>
                <w:rFonts w:cs="Calibri"/>
                <w:szCs w:val="16"/>
              </w:rPr>
            </w:pPr>
            <w:r w:rsidRPr="00D9348B">
              <w:rPr>
                <w:rFonts w:cs="Calibri"/>
                <w:szCs w:val="16"/>
              </w:rPr>
              <w:t>Sheep dung</w:t>
            </w:r>
          </w:p>
        </w:tc>
        <w:tc>
          <w:tcPr>
            <w:tcW w:w="1871" w:type="dxa"/>
            <w:tcBorders>
              <w:top w:val="single" w:sz="4" w:space="0" w:color="365F91"/>
              <w:left w:val="nil"/>
              <w:bottom w:val="single" w:sz="4" w:space="0" w:color="365F91"/>
              <w:right w:val="nil"/>
            </w:tcBorders>
          </w:tcPr>
          <w:p w14:paraId="53518E1F" w14:textId="77777777" w:rsidR="00F849A7" w:rsidRPr="00D9348B" w:rsidRDefault="00F849A7" w:rsidP="00DB330E">
            <w:pPr>
              <w:pStyle w:val="TableText"/>
              <w:spacing w:after="50"/>
              <w:rPr>
                <w:rFonts w:cs="Calibri"/>
                <w:szCs w:val="16"/>
              </w:rPr>
            </w:pPr>
            <w:r w:rsidRPr="00D9348B">
              <w:rPr>
                <w:rFonts w:cs="Calibri"/>
                <w:szCs w:val="16"/>
              </w:rPr>
              <w:t>Flatland (0</w:t>
            </w:r>
            <w:r w:rsidRPr="00D9348B">
              <w:rPr>
                <w:rFonts w:cs="Calibri"/>
                <w:szCs w:val="16"/>
                <w:vertAlign w:val="superscript"/>
              </w:rPr>
              <w:t>o</w:t>
            </w:r>
            <w:r w:rsidRPr="00D9348B">
              <w:rPr>
                <w:rFonts w:cs="Calibri"/>
                <w:szCs w:val="16"/>
              </w:rPr>
              <w:t>)</w:t>
            </w:r>
          </w:p>
        </w:tc>
        <w:tc>
          <w:tcPr>
            <w:tcW w:w="964" w:type="dxa"/>
            <w:tcBorders>
              <w:top w:val="single" w:sz="4" w:space="0" w:color="365F91"/>
              <w:left w:val="nil"/>
              <w:bottom w:val="single" w:sz="4" w:space="0" w:color="365F91"/>
              <w:right w:val="nil"/>
            </w:tcBorders>
            <w:shd w:val="clear" w:color="auto" w:fill="auto"/>
          </w:tcPr>
          <w:p w14:paraId="7AC616F8" w14:textId="77777777" w:rsidR="00F849A7" w:rsidRPr="00D9348B" w:rsidRDefault="00F849A7" w:rsidP="00DB330E">
            <w:pPr>
              <w:pStyle w:val="TableText"/>
              <w:spacing w:after="50"/>
              <w:jc w:val="right"/>
              <w:rPr>
                <w:rFonts w:cs="Calibri"/>
                <w:szCs w:val="16"/>
              </w:rPr>
            </w:pPr>
            <w:r w:rsidRPr="00D9348B">
              <w:rPr>
                <w:rFonts w:cs="Calibri"/>
                <w:szCs w:val="16"/>
              </w:rPr>
              <w:t>10</w:t>
            </w:r>
          </w:p>
        </w:tc>
        <w:tc>
          <w:tcPr>
            <w:tcW w:w="964" w:type="dxa"/>
            <w:tcBorders>
              <w:top w:val="single" w:sz="4" w:space="0" w:color="365F91"/>
              <w:left w:val="nil"/>
              <w:bottom w:val="single" w:sz="4" w:space="0" w:color="365F91"/>
              <w:right w:val="nil"/>
            </w:tcBorders>
            <w:shd w:val="clear" w:color="auto" w:fill="auto"/>
          </w:tcPr>
          <w:p w14:paraId="1C6C34E3" w14:textId="77777777" w:rsidR="00F849A7" w:rsidRPr="00D9348B" w:rsidRDefault="00F849A7" w:rsidP="00DB330E">
            <w:pPr>
              <w:pStyle w:val="TableText"/>
              <w:spacing w:after="50"/>
              <w:jc w:val="right"/>
              <w:rPr>
                <w:rFonts w:cs="Calibri"/>
                <w:szCs w:val="16"/>
              </w:rPr>
            </w:pPr>
            <w:r w:rsidRPr="00D9348B">
              <w:rPr>
                <w:rFonts w:cs="Calibri"/>
                <w:szCs w:val="16"/>
              </w:rPr>
              <w:t>16</w:t>
            </w:r>
          </w:p>
        </w:tc>
        <w:tc>
          <w:tcPr>
            <w:tcW w:w="964" w:type="dxa"/>
            <w:tcBorders>
              <w:top w:val="single" w:sz="4" w:space="0" w:color="365F91"/>
              <w:left w:val="nil"/>
              <w:bottom w:val="single" w:sz="4" w:space="0" w:color="365F91"/>
              <w:right w:val="nil"/>
            </w:tcBorders>
            <w:shd w:val="clear" w:color="auto" w:fill="auto"/>
          </w:tcPr>
          <w:p w14:paraId="7E35A7A0" w14:textId="77777777" w:rsidR="00F849A7" w:rsidRPr="00D9348B" w:rsidRDefault="00F849A7" w:rsidP="00DB330E">
            <w:pPr>
              <w:pStyle w:val="TableText"/>
              <w:spacing w:after="50"/>
              <w:jc w:val="right"/>
              <w:rPr>
                <w:rFonts w:cs="Calibri"/>
                <w:szCs w:val="16"/>
              </w:rPr>
            </w:pPr>
            <w:r w:rsidRPr="00D9348B">
              <w:rPr>
                <w:rFonts w:cs="Calibri"/>
                <w:szCs w:val="16"/>
              </w:rPr>
              <w:t>28</w:t>
            </w:r>
          </w:p>
        </w:tc>
        <w:tc>
          <w:tcPr>
            <w:tcW w:w="964" w:type="dxa"/>
            <w:tcBorders>
              <w:top w:val="single" w:sz="4" w:space="0" w:color="365F91"/>
              <w:left w:val="nil"/>
              <w:bottom w:val="single" w:sz="4" w:space="0" w:color="365F91"/>
              <w:right w:val="nil"/>
            </w:tcBorders>
            <w:shd w:val="clear" w:color="auto" w:fill="auto"/>
          </w:tcPr>
          <w:p w14:paraId="6B6CAA0C" w14:textId="77777777" w:rsidR="00F849A7" w:rsidRPr="00D9348B" w:rsidRDefault="00F849A7" w:rsidP="00DB330E">
            <w:pPr>
              <w:pStyle w:val="TableText"/>
              <w:spacing w:after="50"/>
              <w:jc w:val="right"/>
              <w:rPr>
                <w:rFonts w:cs="Calibri"/>
                <w:szCs w:val="16"/>
              </w:rPr>
            </w:pPr>
          </w:p>
        </w:tc>
        <w:tc>
          <w:tcPr>
            <w:tcW w:w="964" w:type="dxa"/>
            <w:tcBorders>
              <w:top w:val="single" w:sz="4" w:space="0" w:color="365F91"/>
              <w:left w:val="nil"/>
              <w:bottom w:val="single" w:sz="4" w:space="0" w:color="365F91"/>
              <w:right w:val="nil"/>
            </w:tcBorders>
            <w:shd w:val="clear" w:color="auto" w:fill="auto"/>
          </w:tcPr>
          <w:p w14:paraId="42C47131" w14:textId="77777777" w:rsidR="00F849A7" w:rsidRPr="00D9348B" w:rsidRDefault="00F849A7" w:rsidP="00DB330E">
            <w:pPr>
              <w:pStyle w:val="TableText"/>
              <w:spacing w:after="50"/>
              <w:jc w:val="right"/>
              <w:rPr>
                <w:rFonts w:cs="Calibri"/>
                <w:szCs w:val="16"/>
              </w:rPr>
            </w:pPr>
            <w:r w:rsidRPr="00D9348B">
              <w:rPr>
                <w:rFonts w:cs="Calibri"/>
                <w:szCs w:val="16"/>
              </w:rPr>
              <w:t>54</w:t>
            </w:r>
          </w:p>
        </w:tc>
      </w:tr>
      <w:tr w:rsidR="00F849A7" w:rsidRPr="00D9348B" w14:paraId="48B93C6D" w14:textId="77777777" w:rsidTr="00CF364B">
        <w:tc>
          <w:tcPr>
            <w:tcW w:w="1757" w:type="dxa"/>
            <w:tcBorders>
              <w:top w:val="single" w:sz="4" w:space="0" w:color="365F91"/>
              <w:left w:val="nil"/>
              <w:bottom w:val="single" w:sz="4" w:space="0" w:color="365F91"/>
              <w:right w:val="nil"/>
            </w:tcBorders>
            <w:shd w:val="clear" w:color="auto" w:fill="auto"/>
          </w:tcPr>
          <w:p w14:paraId="310986AB" w14:textId="77777777" w:rsidR="00F849A7" w:rsidRPr="00D9348B" w:rsidRDefault="00F849A7" w:rsidP="00DB330E">
            <w:pPr>
              <w:pStyle w:val="TableText"/>
              <w:spacing w:after="50"/>
              <w:jc w:val="right"/>
              <w:rPr>
                <w:rFonts w:cs="Calibri"/>
                <w:szCs w:val="16"/>
              </w:rPr>
            </w:pPr>
          </w:p>
        </w:tc>
        <w:tc>
          <w:tcPr>
            <w:tcW w:w="1871" w:type="dxa"/>
            <w:tcBorders>
              <w:top w:val="single" w:sz="4" w:space="0" w:color="365F91"/>
              <w:left w:val="nil"/>
              <w:bottom w:val="single" w:sz="4" w:space="0" w:color="365F91"/>
              <w:right w:val="nil"/>
            </w:tcBorders>
          </w:tcPr>
          <w:p w14:paraId="55801ED1" w14:textId="77777777" w:rsidR="00F849A7" w:rsidRPr="00D9348B" w:rsidRDefault="00F849A7" w:rsidP="00DB330E">
            <w:pPr>
              <w:pStyle w:val="TableText"/>
              <w:spacing w:after="50"/>
              <w:rPr>
                <w:rFonts w:cs="Calibri"/>
                <w:szCs w:val="16"/>
              </w:rPr>
            </w:pPr>
            <w:r w:rsidRPr="00D9348B">
              <w:rPr>
                <w:rFonts w:cs="Calibri"/>
                <w:szCs w:val="16"/>
              </w:rPr>
              <w:t>Low slope (0–12o)</w:t>
            </w:r>
          </w:p>
        </w:tc>
        <w:tc>
          <w:tcPr>
            <w:tcW w:w="964" w:type="dxa"/>
            <w:tcBorders>
              <w:top w:val="single" w:sz="4" w:space="0" w:color="365F91"/>
              <w:left w:val="nil"/>
              <w:bottom w:val="single" w:sz="4" w:space="0" w:color="365F91"/>
              <w:right w:val="nil"/>
            </w:tcBorders>
            <w:shd w:val="clear" w:color="auto" w:fill="auto"/>
          </w:tcPr>
          <w:p w14:paraId="2F2B29D1" w14:textId="77777777" w:rsidR="00F849A7" w:rsidRPr="00D9348B" w:rsidRDefault="00F849A7" w:rsidP="00DB330E">
            <w:pPr>
              <w:pStyle w:val="TableText"/>
              <w:spacing w:after="50"/>
              <w:jc w:val="right"/>
              <w:rPr>
                <w:rFonts w:cs="Calibri"/>
                <w:szCs w:val="16"/>
              </w:rPr>
            </w:pPr>
            <w:r w:rsidRPr="00D9348B">
              <w:rPr>
                <w:rFonts w:cs="Calibri"/>
                <w:szCs w:val="16"/>
              </w:rPr>
              <w:t>20</w:t>
            </w:r>
          </w:p>
        </w:tc>
        <w:tc>
          <w:tcPr>
            <w:tcW w:w="964" w:type="dxa"/>
            <w:tcBorders>
              <w:top w:val="single" w:sz="4" w:space="0" w:color="365F91"/>
              <w:left w:val="nil"/>
              <w:bottom w:val="single" w:sz="4" w:space="0" w:color="365F91"/>
              <w:right w:val="nil"/>
            </w:tcBorders>
            <w:shd w:val="clear" w:color="auto" w:fill="auto"/>
          </w:tcPr>
          <w:p w14:paraId="25F0145D" w14:textId="77777777" w:rsidR="00F849A7" w:rsidRPr="00D9348B" w:rsidRDefault="00F849A7" w:rsidP="00DB330E">
            <w:pPr>
              <w:pStyle w:val="TableText"/>
              <w:spacing w:after="50"/>
              <w:jc w:val="right"/>
              <w:rPr>
                <w:rFonts w:cs="Calibri"/>
                <w:szCs w:val="16"/>
              </w:rPr>
            </w:pPr>
            <w:r w:rsidRPr="00D9348B">
              <w:rPr>
                <w:rFonts w:cs="Calibri"/>
                <w:szCs w:val="16"/>
              </w:rPr>
              <w:t>8</w:t>
            </w:r>
          </w:p>
        </w:tc>
        <w:tc>
          <w:tcPr>
            <w:tcW w:w="964" w:type="dxa"/>
            <w:tcBorders>
              <w:top w:val="single" w:sz="4" w:space="0" w:color="365F91"/>
              <w:left w:val="nil"/>
              <w:bottom w:val="single" w:sz="4" w:space="0" w:color="365F91"/>
              <w:right w:val="nil"/>
            </w:tcBorders>
            <w:shd w:val="clear" w:color="auto" w:fill="auto"/>
          </w:tcPr>
          <w:p w14:paraId="0649FAAC" w14:textId="77777777" w:rsidR="00F849A7" w:rsidRPr="00D9348B" w:rsidRDefault="00F849A7" w:rsidP="00DB330E">
            <w:pPr>
              <w:pStyle w:val="TableText"/>
              <w:spacing w:after="50"/>
              <w:jc w:val="right"/>
              <w:rPr>
                <w:rFonts w:cs="Calibri"/>
                <w:szCs w:val="16"/>
              </w:rPr>
            </w:pPr>
            <w:r w:rsidRPr="00D9348B">
              <w:rPr>
                <w:rFonts w:cs="Calibri"/>
                <w:szCs w:val="16"/>
              </w:rPr>
              <w:t>8</w:t>
            </w:r>
          </w:p>
        </w:tc>
        <w:tc>
          <w:tcPr>
            <w:tcW w:w="964" w:type="dxa"/>
            <w:tcBorders>
              <w:top w:val="single" w:sz="4" w:space="0" w:color="365F91"/>
              <w:left w:val="nil"/>
              <w:bottom w:val="single" w:sz="4" w:space="0" w:color="365F91"/>
              <w:right w:val="nil"/>
            </w:tcBorders>
            <w:shd w:val="clear" w:color="auto" w:fill="auto"/>
          </w:tcPr>
          <w:p w14:paraId="5F224584" w14:textId="77777777" w:rsidR="00F849A7" w:rsidRPr="00D9348B" w:rsidRDefault="00F849A7" w:rsidP="00DB330E">
            <w:pPr>
              <w:pStyle w:val="TableText"/>
              <w:spacing w:after="50"/>
              <w:jc w:val="right"/>
              <w:rPr>
                <w:rFonts w:cs="Calibri"/>
                <w:szCs w:val="16"/>
              </w:rPr>
            </w:pPr>
          </w:p>
        </w:tc>
        <w:tc>
          <w:tcPr>
            <w:tcW w:w="964" w:type="dxa"/>
            <w:tcBorders>
              <w:top w:val="single" w:sz="4" w:space="0" w:color="365F91"/>
              <w:left w:val="nil"/>
              <w:bottom w:val="single" w:sz="4" w:space="0" w:color="365F91"/>
              <w:right w:val="nil"/>
            </w:tcBorders>
            <w:shd w:val="clear" w:color="auto" w:fill="auto"/>
          </w:tcPr>
          <w:p w14:paraId="40D1B929" w14:textId="77777777" w:rsidR="00F849A7" w:rsidRPr="00D9348B" w:rsidRDefault="00F849A7" w:rsidP="00DB330E">
            <w:pPr>
              <w:pStyle w:val="TableText"/>
              <w:spacing w:after="50"/>
              <w:jc w:val="right"/>
              <w:rPr>
                <w:rFonts w:cs="Calibri"/>
                <w:szCs w:val="16"/>
              </w:rPr>
            </w:pPr>
            <w:r w:rsidRPr="00D9348B">
              <w:rPr>
                <w:rFonts w:cs="Calibri"/>
                <w:szCs w:val="16"/>
              </w:rPr>
              <w:t>36</w:t>
            </w:r>
          </w:p>
        </w:tc>
      </w:tr>
      <w:tr w:rsidR="00F849A7" w:rsidRPr="00D9348B" w14:paraId="152BE1FE" w14:textId="77777777" w:rsidTr="00CF364B">
        <w:tc>
          <w:tcPr>
            <w:tcW w:w="1757" w:type="dxa"/>
            <w:tcBorders>
              <w:top w:val="single" w:sz="4" w:space="0" w:color="365F91"/>
              <w:left w:val="nil"/>
              <w:bottom w:val="single" w:sz="4" w:space="0" w:color="365F91"/>
              <w:right w:val="nil"/>
            </w:tcBorders>
            <w:shd w:val="clear" w:color="auto" w:fill="auto"/>
          </w:tcPr>
          <w:p w14:paraId="054FF5F9" w14:textId="77777777" w:rsidR="00F849A7" w:rsidRPr="00D9348B" w:rsidRDefault="00F849A7" w:rsidP="00DB330E">
            <w:pPr>
              <w:pStyle w:val="TableText"/>
              <w:spacing w:after="50"/>
              <w:jc w:val="right"/>
              <w:rPr>
                <w:rFonts w:cs="Calibri"/>
                <w:szCs w:val="16"/>
              </w:rPr>
            </w:pPr>
          </w:p>
        </w:tc>
        <w:tc>
          <w:tcPr>
            <w:tcW w:w="1871" w:type="dxa"/>
            <w:tcBorders>
              <w:top w:val="single" w:sz="4" w:space="0" w:color="365F91"/>
              <w:left w:val="nil"/>
              <w:bottom w:val="single" w:sz="4" w:space="0" w:color="365F91"/>
              <w:right w:val="nil"/>
            </w:tcBorders>
          </w:tcPr>
          <w:p w14:paraId="679BF2CC" w14:textId="77777777" w:rsidR="00F849A7" w:rsidRPr="00D9348B" w:rsidRDefault="00F849A7" w:rsidP="00DB330E">
            <w:pPr>
              <w:pStyle w:val="TableText"/>
              <w:spacing w:after="50"/>
              <w:rPr>
                <w:rFonts w:cs="Calibri"/>
                <w:szCs w:val="16"/>
              </w:rPr>
            </w:pPr>
            <w:r w:rsidRPr="00D9348B">
              <w:rPr>
                <w:rFonts w:cs="Calibri"/>
                <w:szCs w:val="16"/>
              </w:rPr>
              <w:t>Medium slope (12–24o)</w:t>
            </w:r>
          </w:p>
        </w:tc>
        <w:tc>
          <w:tcPr>
            <w:tcW w:w="964" w:type="dxa"/>
            <w:tcBorders>
              <w:top w:val="single" w:sz="4" w:space="0" w:color="365F91"/>
              <w:left w:val="nil"/>
              <w:bottom w:val="single" w:sz="4" w:space="0" w:color="365F91"/>
              <w:right w:val="nil"/>
            </w:tcBorders>
            <w:shd w:val="clear" w:color="auto" w:fill="auto"/>
          </w:tcPr>
          <w:p w14:paraId="64BE75CA" w14:textId="77777777" w:rsidR="00F849A7" w:rsidRPr="00D9348B" w:rsidRDefault="00F849A7" w:rsidP="00DB330E">
            <w:pPr>
              <w:pStyle w:val="TableText"/>
              <w:spacing w:after="50"/>
              <w:jc w:val="right"/>
              <w:rPr>
                <w:rFonts w:cs="Calibri"/>
                <w:szCs w:val="16"/>
              </w:rPr>
            </w:pPr>
            <w:r w:rsidRPr="00D9348B">
              <w:rPr>
                <w:rFonts w:cs="Calibri"/>
                <w:szCs w:val="16"/>
              </w:rPr>
              <w:t>10</w:t>
            </w:r>
          </w:p>
        </w:tc>
        <w:tc>
          <w:tcPr>
            <w:tcW w:w="964" w:type="dxa"/>
            <w:tcBorders>
              <w:top w:val="single" w:sz="4" w:space="0" w:color="365F91"/>
              <w:left w:val="nil"/>
              <w:bottom w:val="single" w:sz="4" w:space="0" w:color="365F91"/>
              <w:right w:val="nil"/>
            </w:tcBorders>
            <w:shd w:val="clear" w:color="auto" w:fill="auto"/>
          </w:tcPr>
          <w:p w14:paraId="79B9C5FC" w14:textId="77777777" w:rsidR="00F849A7" w:rsidRPr="00D9348B" w:rsidRDefault="00F849A7" w:rsidP="00DB330E">
            <w:pPr>
              <w:pStyle w:val="TableText"/>
              <w:spacing w:after="50"/>
              <w:jc w:val="right"/>
              <w:rPr>
                <w:rFonts w:cs="Calibri"/>
                <w:szCs w:val="16"/>
              </w:rPr>
            </w:pPr>
            <w:r w:rsidRPr="00D9348B">
              <w:rPr>
                <w:rFonts w:cs="Calibri"/>
                <w:szCs w:val="16"/>
              </w:rPr>
              <w:t>10</w:t>
            </w:r>
          </w:p>
        </w:tc>
        <w:tc>
          <w:tcPr>
            <w:tcW w:w="964" w:type="dxa"/>
            <w:tcBorders>
              <w:top w:val="single" w:sz="4" w:space="0" w:color="365F91"/>
              <w:left w:val="nil"/>
              <w:bottom w:val="single" w:sz="4" w:space="0" w:color="365F91"/>
              <w:right w:val="nil"/>
            </w:tcBorders>
            <w:shd w:val="clear" w:color="auto" w:fill="auto"/>
          </w:tcPr>
          <w:p w14:paraId="66ED3B32" w14:textId="77777777" w:rsidR="00F849A7" w:rsidRPr="00D9348B" w:rsidRDefault="00F849A7" w:rsidP="00DB330E">
            <w:pPr>
              <w:pStyle w:val="TableText"/>
              <w:spacing w:after="50"/>
              <w:jc w:val="right"/>
              <w:rPr>
                <w:rFonts w:cs="Calibri"/>
                <w:szCs w:val="16"/>
              </w:rPr>
            </w:pPr>
          </w:p>
        </w:tc>
        <w:tc>
          <w:tcPr>
            <w:tcW w:w="964" w:type="dxa"/>
            <w:tcBorders>
              <w:top w:val="single" w:sz="4" w:space="0" w:color="365F91"/>
              <w:left w:val="nil"/>
              <w:bottom w:val="single" w:sz="4" w:space="0" w:color="365F91"/>
              <w:right w:val="nil"/>
            </w:tcBorders>
            <w:shd w:val="clear" w:color="auto" w:fill="auto"/>
          </w:tcPr>
          <w:p w14:paraId="3604E7AC" w14:textId="77777777" w:rsidR="00F849A7" w:rsidRPr="00D9348B" w:rsidRDefault="00F849A7" w:rsidP="00DB330E">
            <w:pPr>
              <w:pStyle w:val="TableText"/>
              <w:spacing w:after="50"/>
              <w:jc w:val="right"/>
              <w:rPr>
                <w:rFonts w:cs="Calibri"/>
                <w:szCs w:val="16"/>
              </w:rPr>
            </w:pPr>
          </w:p>
        </w:tc>
        <w:tc>
          <w:tcPr>
            <w:tcW w:w="964" w:type="dxa"/>
            <w:tcBorders>
              <w:top w:val="single" w:sz="4" w:space="0" w:color="365F91"/>
              <w:left w:val="nil"/>
              <w:bottom w:val="single" w:sz="4" w:space="0" w:color="365F91"/>
              <w:right w:val="nil"/>
            </w:tcBorders>
            <w:shd w:val="clear" w:color="auto" w:fill="auto"/>
          </w:tcPr>
          <w:p w14:paraId="75388AA5" w14:textId="77777777" w:rsidR="00F849A7" w:rsidRPr="00D9348B" w:rsidRDefault="00F849A7" w:rsidP="00DB330E">
            <w:pPr>
              <w:pStyle w:val="TableText"/>
              <w:spacing w:after="50"/>
              <w:jc w:val="right"/>
              <w:rPr>
                <w:rFonts w:cs="Calibri"/>
                <w:szCs w:val="16"/>
              </w:rPr>
            </w:pPr>
            <w:r w:rsidRPr="00D9348B">
              <w:rPr>
                <w:rFonts w:cs="Calibri"/>
                <w:szCs w:val="16"/>
              </w:rPr>
              <w:t>20</w:t>
            </w:r>
          </w:p>
        </w:tc>
      </w:tr>
      <w:tr w:rsidR="00F849A7" w:rsidRPr="00D9348B" w14:paraId="7B9A20D8" w14:textId="77777777" w:rsidTr="00CF364B">
        <w:tc>
          <w:tcPr>
            <w:tcW w:w="1757" w:type="dxa"/>
            <w:tcBorders>
              <w:top w:val="single" w:sz="4" w:space="0" w:color="365F91"/>
              <w:left w:val="nil"/>
              <w:bottom w:val="single" w:sz="4" w:space="0" w:color="365F91"/>
              <w:right w:val="nil"/>
            </w:tcBorders>
            <w:shd w:val="clear" w:color="auto" w:fill="auto"/>
          </w:tcPr>
          <w:p w14:paraId="4F897F1A" w14:textId="77777777" w:rsidR="00F849A7" w:rsidRPr="00D9348B" w:rsidRDefault="00F849A7" w:rsidP="00DB330E">
            <w:pPr>
              <w:pStyle w:val="TableText"/>
              <w:spacing w:after="50"/>
              <w:jc w:val="right"/>
              <w:rPr>
                <w:rFonts w:cs="Calibri"/>
                <w:szCs w:val="16"/>
              </w:rPr>
            </w:pPr>
          </w:p>
        </w:tc>
        <w:tc>
          <w:tcPr>
            <w:tcW w:w="1871" w:type="dxa"/>
            <w:tcBorders>
              <w:top w:val="single" w:sz="4" w:space="0" w:color="365F91"/>
              <w:left w:val="nil"/>
              <w:bottom w:val="single" w:sz="4" w:space="0" w:color="365F91"/>
              <w:right w:val="nil"/>
            </w:tcBorders>
          </w:tcPr>
          <w:p w14:paraId="68DDDA44" w14:textId="77777777" w:rsidR="00F849A7" w:rsidRPr="00D9348B" w:rsidRDefault="00F849A7" w:rsidP="00DB330E">
            <w:pPr>
              <w:pStyle w:val="TableText"/>
              <w:spacing w:after="50"/>
              <w:rPr>
                <w:rFonts w:cs="Calibri"/>
                <w:szCs w:val="16"/>
              </w:rPr>
            </w:pPr>
            <w:r w:rsidRPr="00D9348B">
              <w:rPr>
                <w:rFonts w:cs="Calibri"/>
                <w:szCs w:val="16"/>
              </w:rPr>
              <w:t>Steep slope (&gt;24o)</w:t>
            </w:r>
          </w:p>
        </w:tc>
        <w:tc>
          <w:tcPr>
            <w:tcW w:w="964" w:type="dxa"/>
            <w:tcBorders>
              <w:top w:val="single" w:sz="4" w:space="0" w:color="365F91"/>
              <w:left w:val="nil"/>
              <w:bottom w:val="single" w:sz="4" w:space="0" w:color="365F91"/>
              <w:right w:val="nil"/>
            </w:tcBorders>
            <w:shd w:val="clear" w:color="auto" w:fill="auto"/>
          </w:tcPr>
          <w:p w14:paraId="220B4A08" w14:textId="77777777" w:rsidR="00F849A7" w:rsidRPr="00D9348B" w:rsidRDefault="00F849A7" w:rsidP="00DB330E">
            <w:pPr>
              <w:pStyle w:val="TableText"/>
              <w:spacing w:after="50"/>
              <w:jc w:val="right"/>
              <w:rPr>
                <w:rFonts w:cs="Calibri"/>
                <w:szCs w:val="16"/>
              </w:rPr>
            </w:pPr>
            <w:r w:rsidRPr="00D9348B">
              <w:rPr>
                <w:rFonts w:cs="Calibri"/>
                <w:szCs w:val="16"/>
              </w:rPr>
              <w:t>10</w:t>
            </w:r>
          </w:p>
        </w:tc>
        <w:tc>
          <w:tcPr>
            <w:tcW w:w="964" w:type="dxa"/>
            <w:tcBorders>
              <w:top w:val="single" w:sz="4" w:space="0" w:color="365F91"/>
              <w:left w:val="nil"/>
              <w:bottom w:val="single" w:sz="4" w:space="0" w:color="365F91"/>
              <w:right w:val="nil"/>
            </w:tcBorders>
            <w:shd w:val="clear" w:color="auto" w:fill="auto"/>
          </w:tcPr>
          <w:p w14:paraId="2623DAE4" w14:textId="77777777" w:rsidR="00F849A7" w:rsidRPr="00D9348B" w:rsidRDefault="00F849A7" w:rsidP="00DB330E">
            <w:pPr>
              <w:pStyle w:val="TableText"/>
              <w:spacing w:after="50"/>
              <w:jc w:val="right"/>
              <w:rPr>
                <w:rFonts w:cs="Calibri"/>
                <w:szCs w:val="16"/>
              </w:rPr>
            </w:pPr>
            <w:r w:rsidRPr="00D9348B">
              <w:rPr>
                <w:rFonts w:cs="Calibri"/>
                <w:szCs w:val="16"/>
              </w:rPr>
              <w:t>10</w:t>
            </w:r>
          </w:p>
        </w:tc>
        <w:tc>
          <w:tcPr>
            <w:tcW w:w="964" w:type="dxa"/>
            <w:tcBorders>
              <w:top w:val="single" w:sz="4" w:space="0" w:color="365F91"/>
              <w:left w:val="nil"/>
              <w:bottom w:val="single" w:sz="4" w:space="0" w:color="365F91"/>
              <w:right w:val="nil"/>
            </w:tcBorders>
            <w:shd w:val="clear" w:color="auto" w:fill="auto"/>
          </w:tcPr>
          <w:p w14:paraId="48912954" w14:textId="77777777" w:rsidR="00F849A7" w:rsidRPr="00D9348B" w:rsidRDefault="00F849A7" w:rsidP="00DB330E">
            <w:pPr>
              <w:pStyle w:val="TableText"/>
              <w:spacing w:after="50"/>
              <w:jc w:val="right"/>
              <w:rPr>
                <w:rFonts w:cs="Calibri"/>
                <w:szCs w:val="16"/>
              </w:rPr>
            </w:pPr>
          </w:p>
        </w:tc>
        <w:tc>
          <w:tcPr>
            <w:tcW w:w="964" w:type="dxa"/>
            <w:tcBorders>
              <w:top w:val="single" w:sz="4" w:space="0" w:color="365F91"/>
              <w:left w:val="nil"/>
              <w:bottom w:val="single" w:sz="4" w:space="0" w:color="365F91"/>
              <w:right w:val="nil"/>
            </w:tcBorders>
            <w:shd w:val="clear" w:color="auto" w:fill="auto"/>
          </w:tcPr>
          <w:p w14:paraId="03EB66D1" w14:textId="77777777" w:rsidR="00F849A7" w:rsidRPr="00D9348B" w:rsidRDefault="00F849A7" w:rsidP="00DB330E">
            <w:pPr>
              <w:pStyle w:val="TableText"/>
              <w:spacing w:after="50"/>
              <w:jc w:val="right"/>
              <w:rPr>
                <w:rFonts w:cs="Calibri"/>
                <w:szCs w:val="16"/>
              </w:rPr>
            </w:pPr>
          </w:p>
        </w:tc>
        <w:tc>
          <w:tcPr>
            <w:tcW w:w="964" w:type="dxa"/>
            <w:tcBorders>
              <w:top w:val="single" w:sz="4" w:space="0" w:color="365F91"/>
              <w:left w:val="nil"/>
              <w:bottom w:val="single" w:sz="4" w:space="0" w:color="365F91"/>
              <w:right w:val="nil"/>
            </w:tcBorders>
            <w:shd w:val="clear" w:color="auto" w:fill="auto"/>
          </w:tcPr>
          <w:p w14:paraId="78D41798" w14:textId="77777777" w:rsidR="00F849A7" w:rsidRPr="00D9348B" w:rsidRDefault="00F849A7" w:rsidP="00DB330E">
            <w:pPr>
              <w:pStyle w:val="TableText"/>
              <w:spacing w:after="50"/>
              <w:jc w:val="right"/>
              <w:rPr>
                <w:rFonts w:cs="Calibri"/>
                <w:szCs w:val="16"/>
              </w:rPr>
            </w:pPr>
            <w:r w:rsidRPr="00D9348B">
              <w:rPr>
                <w:rFonts w:cs="Calibri"/>
                <w:szCs w:val="16"/>
              </w:rPr>
              <w:t>20</w:t>
            </w:r>
          </w:p>
        </w:tc>
      </w:tr>
      <w:tr w:rsidR="00F849A7" w:rsidRPr="00D9348B" w14:paraId="616B5933" w14:textId="77777777" w:rsidTr="00CF364B">
        <w:tc>
          <w:tcPr>
            <w:tcW w:w="1757" w:type="dxa"/>
            <w:tcBorders>
              <w:top w:val="single" w:sz="4" w:space="0" w:color="365F91"/>
              <w:left w:val="nil"/>
              <w:bottom w:val="single" w:sz="4" w:space="0" w:color="365F91"/>
              <w:right w:val="nil"/>
            </w:tcBorders>
            <w:shd w:val="clear" w:color="auto" w:fill="auto"/>
          </w:tcPr>
          <w:p w14:paraId="62EAFDC5" w14:textId="77777777" w:rsidR="00F849A7" w:rsidRPr="00D9348B" w:rsidRDefault="00F849A7" w:rsidP="00DB330E">
            <w:pPr>
              <w:pStyle w:val="Tableboldblue"/>
              <w:spacing w:after="50"/>
              <w:rPr>
                <w:rFonts w:cs="Calibri"/>
                <w:szCs w:val="16"/>
              </w:rPr>
            </w:pPr>
            <w:r w:rsidRPr="00D9348B">
              <w:rPr>
                <w:rFonts w:cs="Calibri"/>
                <w:szCs w:val="16"/>
              </w:rPr>
              <w:t>Total urine</w:t>
            </w:r>
          </w:p>
        </w:tc>
        <w:tc>
          <w:tcPr>
            <w:tcW w:w="1871" w:type="dxa"/>
            <w:tcBorders>
              <w:top w:val="single" w:sz="4" w:space="0" w:color="365F91"/>
              <w:left w:val="nil"/>
              <w:bottom w:val="single" w:sz="4" w:space="0" w:color="365F91"/>
              <w:right w:val="nil"/>
            </w:tcBorders>
          </w:tcPr>
          <w:p w14:paraId="6C165FC8" w14:textId="77777777" w:rsidR="00F849A7" w:rsidRPr="00D9348B" w:rsidRDefault="00F849A7" w:rsidP="00DB330E">
            <w:pPr>
              <w:pStyle w:val="Tableboldblue"/>
              <w:spacing w:after="50"/>
              <w:rPr>
                <w:rFonts w:cs="Calibri"/>
                <w:szCs w:val="16"/>
              </w:rPr>
            </w:pPr>
          </w:p>
        </w:tc>
        <w:tc>
          <w:tcPr>
            <w:tcW w:w="964" w:type="dxa"/>
            <w:tcBorders>
              <w:top w:val="single" w:sz="4" w:space="0" w:color="365F91"/>
              <w:left w:val="nil"/>
              <w:bottom w:val="single" w:sz="4" w:space="0" w:color="365F91"/>
              <w:right w:val="nil"/>
            </w:tcBorders>
            <w:shd w:val="clear" w:color="auto" w:fill="auto"/>
          </w:tcPr>
          <w:p w14:paraId="3165671B" w14:textId="77777777" w:rsidR="00F849A7" w:rsidRPr="00D9348B" w:rsidRDefault="00F849A7" w:rsidP="00DB330E">
            <w:pPr>
              <w:pStyle w:val="Tableboldblue"/>
              <w:spacing w:after="50"/>
              <w:jc w:val="right"/>
              <w:rPr>
                <w:rFonts w:cs="Calibri"/>
                <w:szCs w:val="16"/>
              </w:rPr>
            </w:pPr>
            <w:r w:rsidRPr="00D9348B">
              <w:rPr>
                <w:rFonts w:cs="Calibri"/>
                <w:szCs w:val="16"/>
              </w:rPr>
              <w:t>254</w:t>
            </w:r>
          </w:p>
        </w:tc>
        <w:tc>
          <w:tcPr>
            <w:tcW w:w="964" w:type="dxa"/>
            <w:tcBorders>
              <w:top w:val="single" w:sz="4" w:space="0" w:color="365F91"/>
              <w:left w:val="nil"/>
              <w:bottom w:val="single" w:sz="4" w:space="0" w:color="365F91"/>
              <w:right w:val="nil"/>
            </w:tcBorders>
            <w:shd w:val="clear" w:color="auto" w:fill="auto"/>
          </w:tcPr>
          <w:p w14:paraId="1A313C92" w14:textId="77777777" w:rsidR="00F849A7" w:rsidRPr="00D9348B" w:rsidRDefault="00F849A7" w:rsidP="00DB330E">
            <w:pPr>
              <w:pStyle w:val="Tableboldblue"/>
              <w:spacing w:after="50"/>
              <w:jc w:val="right"/>
              <w:rPr>
                <w:rFonts w:cs="Calibri"/>
                <w:szCs w:val="16"/>
              </w:rPr>
            </w:pPr>
            <w:r w:rsidRPr="00D9348B">
              <w:rPr>
                <w:rFonts w:cs="Calibri"/>
                <w:szCs w:val="16"/>
              </w:rPr>
              <w:t>255</w:t>
            </w:r>
          </w:p>
        </w:tc>
        <w:tc>
          <w:tcPr>
            <w:tcW w:w="964" w:type="dxa"/>
            <w:tcBorders>
              <w:top w:val="single" w:sz="4" w:space="0" w:color="365F91"/>
              <w:left w:val="nil"/>
              <w:bottom w:val="single" w:sz="4" w:space="0" w:color="365F91"/>
              <w:right w:val="nil"/>
            </w:tcBorders>
            <w:shd w:val="clear" w:color="auto" w:fill="auto"/>
          </w:tcPr>
          <w:p w14:paraId="6DED64A2" w14:textId="77777777" w:rsidR="00F849A7" w:rsidRPr="00D9348B" w:rsidRDefault="00F849A7" w:rsidP="00DB330E">
            <w:pPr>
              <w:pStyle w:val="Tableboldblue"/>
              <w:spacing w:after="50"/>
              <w:jc w:val="right"/>
              <w:rPr>
                <w:rFonts w:cs="Calibri"/>
                <w:szCs w:val="16"/>
              </w:rPr>
            </w:pPr>
            <w:r w:rsidRPr="00D9348B">
              <w:rPr>
                <w:rFonts w:cs="Calibri"/>
                <w:szCs w:val="16"/>
              </w:rPr>
              <w:t>200</w:t>
            </w:r>
          </w:p>
        </w:tc>
        <w:tc>
          <w:tcPr>
            <w:tcW w:w="964" w:type="dxa"/>
            <w:tcBorders>
              <w:top w:val="single" w:sz="4" w:space="0" w:color="365F91"/>
              <w:left w:val="nil"/>
              <w:bottom w:val="single" w:sz="4" w:space="0" w:color="365F91"/>
              <w:right w:val="nil"/>
            </w:tcBorders>
            <w:shd w:val="clear" w:color="auto" w:fill="auto"/>
          </w:tcPr>
          <w:p w14:paraId="473A9283" w14:textId="77777777" w:rsidR="00F849A7" w:rsidRPr="00D9348B" w:rsidRDefault="00F849A7" w:rsidP="00DB330E">
            <w:pPr>
              <w:pStyle w:val="Tableboldblue"/>
              <w:spacing w:after="50"/>
              <w:jc w:val="right"/>
              <w:rPr>
                <w:rFonts w:cs="Calibri"/>
                <w:szCs w:val="16"/>
              </w:rPr>
            </w:pPr>
            <w:r w:rsidRPr="00D9348B">
              <w:rPr>
                <w:rFonts w:cs="Calibri"/>
                <w:szCs w:val="16"/>
              </w:rPr>
              <w:t>72</w:t>
            </w:r>
          </w:p>
        </w:tc>
        <w:tc>
          <w:tcPr>
            <w:tcW w:w="964" w:type="dxa"/>
            <w:tcBorders>
              <w:top w:val="single" w:sz="4" w:space="0" w:color="365F91"/>
              <w:left w:val="nil"/>
              <w:bottom w:val="single" w:sz="4" w:space="0" w:color="365F91"/>
              <w:right w:val="nil"/>
            </w:tcBorders>
            <w:shd w:val="clear" w:color="auto" w:fill="auto"/>
          </w:tcPr>
          <w:p w14:paraId="2D138894" w14:textId="77777777" w:rsidR="00F849A7" w:rsidRPr="00D9348B" w:rsidRDefault="00F849A7" w:rsidP="00DB330E">
            <w:pPr>
              <w:pStyle w:val="Tableboldblue"/>
              <w:spacing w:after="50"/>
              <w:jc w:val="right"/>
              <w:rPr>
                <w:rFonts w:cs="Calibri"/>
                <w:szCs w:val="16"/>
              </w:rPr>
            </w:pPr>
            <w:r w:rsidRPr="00D9348B">
              <w:rPr>
                <w:rFonts w:cs="Calibri"/>
                <w:szCs w:val="16"/>
              </w:rPr>
              <w:t>781</w:t>
            </w:r>
          </w:p>
        </w:tc>
      </w:tr>
      <w:tr w:rsidR="00F849A7" w:rsidRPr="00D9348B" w14:paraId="753F26ED" w14:textId="77777777" w:rsidTr="00CF364B">
        <w:tc>
          <w:tcPr>
            <w:tcW w:w="1757" w:type="dxa"/>
            <w:tcBorders>
              <w:top w:val="single" w:sz="4" w:space="0" w:color="365F91"/>
              <w:left w:val="nil"/>
              <w:bottom w:val="single" w:sz="4" w:space="0" w:color="365F91"/>
              <w:right w:val="nil"/>
            </w:tcBorders>
            <w:shd w:val="clear" w:color="auto" w:fill="auto"/>
          </w:tcPr>
          <w:p w14:paraId="6E49E5A5" w14:textId="77777777" w:rsidR="00F849A7" w:rsidRPr="00D9348B" w:rsidRDefault="00F849A7" w:rsidP="00DB330E">
            <w:pPr>
              <w:pStyle w:val="Tableboldblue"/>
              <w:spacing w:after="50"/>
              <w:rPr>
                <w:rFonts w:cs="Calibri"/>
                <w:szCs w:val="16"/>
              </w:rPr>
            </w:pPr>
            <w:r w:rsidRPr="00D9348B">
              <w:rPr>
                <w:rFonts w:cs="Calibri"/>
                <w:szCs w:val="16"/>
              </w:rPr>
              <w:t>Total dung</w:t>
            </w:r>
          </w:p>
        </w:tc>
        <w:tc>
          <w:tcPr>
            <w:tcW w:w="1871" w:type="dxa"/>
            <w:tcBorders>
              <w:top w:val="single" w:sz="4" w:space="0" w:color="365F91"/>
              <w:left w:val="nil"/>
              <w:bottom w:val="single" w:sz="4" w:space="0" w:color="365F91"/>
              <w:right w:val="nil"/>
            </w:tcBorders>
          </w:tcPr>
          <w:p w14:paraId="23FBEF44" w14:textId="77777777" w:rsidR="00F849A7" w:rsidRPr="00D9348B" w:rsidRDefault="00F849A7" w:rsidP="00DB330E">
            <w:pPr>
              <w:pStyle w:val="Tableboldblue"/>
              <w:spacing w:after="50"/>
              <w:rPr>
                <w:rFonts w:cs="Calibri"/>
                <w:szCs w:val="16"/>
              </w:rPr>
            </w:pPr>
          </w:p>
        </w:tc>
        <w:tc>
          <w:tcPr>
            <w:tcW w:w="964" w:type="dxa"/>
            <w:tcBorders>
              <w:top w:val="single" w:sz="4" w:space="0" w:color="365F91"/>
              <w:left w:val="nil"/>
              <w:bottom w:val="single" w:sz="4" w:space="0" w:color="365F91"/>
              <w:right w:val="nil"/>
            </w:tcBorders>
            <w:shd w:val="clear" w:color="auto" w:fill="auto"/>
          </w:tcPr>
          <w:p w14:paraId="1316D527" w14:textId="77777777" w:rsidR="00F849A7" w:rsidRPr="00D9348B" w:rsidRDefault="00F849A7" w:rsidP="00DB330E">
            <w:pPr>
              <w:pStyle w:val="Tableboldblue"/>
              <w:spacing w:after="50"/>
              <w:jc w:val="right"/>
              <w:rPr>
                <w:rFonts w:cs="Calibri"/>
                <w:szCs w:val="16"/>
              </w:rPr>
            </w:pPr>
            <w:r w:rsidRPr="00D9348B">
              <w:rPr>
                <w:rFonts w:cs="Calibri"/>
                <w:szCs w:val="16"/>
              </w:rPr>
              <w:t>104</w:t>
            </w:r>
          </w:p>
        </w:tc>
        <w:tc>
          <w:tcPr>
            <w:tcW w:w="964" w:type="dxa"/>
            <w:tcBorders>
              <w:top w:val="single" w:sz="4" w:space="0" w:color="365F91"/>
              <w:left w:val="nil"/>
              <w:bottom w:val="single" w:sz="4" w:space="0" w:color="365F91"/>
              <w:right w:val="nil"/>
            </w:tcBorders>
            <w:shd w:val="clear" w:color="auto" w:fill="auto"/>
          </w:tcPr>
          <w:p w14:paraId="6DFBFDA6" w14:textId="77777777" w:rsidR="00F849A7" w:rsidRPr="00D9348B" w:rsidRDefault="00F849A7" w:rsidP="00DB330E">
            <w:pPr>
              <w:pStyle w:val="Tableboldblue"/>
              <w:spacing w:after="50"/>
              <w:jc w:val="right"/>
              <w:rPr>
                <w:rFonts w:cs="Calibri"/>
                <w:szCs w:val="16"/>
              </w:rPr>
            </w:pPr>
            <w:r w:rsidRPr="00D9348B">
              <w:rPr>
                <w:rFonts w:cs="Calibri"/>
                <w:szCs w:val="16"/>
              </w:rPr>
              <w:t>192</w:t>
            </w:r>
          </w:p>
        </w:tc>
        <w:tc>
          <w:tcPr>
            <w:tcW w:w="964" w:type="dxa"/>
            <w:tcBorders>
              <w:top w:val="single" w:sz="4" w:space="0" w:color="365F91"/>
              <w:left w:val="nil"/>
              <w:bottom w:val="single" w:sz="4" w:space="0" w:color="365F91"/>
              <w:right w:val="nil"/>
            </w:tcBorders>
            <w:shd w:val="clear" w:color="auto" w:fill="auto"/>
          </w:tcPr>
          <w:p w14:paraId="773ECA41" w14:textId="77777777" w:rsidR="00F849A7" w:rsidRPr="00D9348B" w:rsidRDefault="00F849A7" w:rsidP="00DB330E">
            <w:pPr>
              <w:pStyle w:val="Tableboldblue"/>
              <w:spacing w:after="50"/>
              <w:jc w:val="right"/>
              <w:rPr>
                <w:rFonts w:cs="Calibri"/>
                <w:szCs w:val="16"/>
              </w:rPr>
            </w:pPr>
            <w:r w:rsidRPr="00D9348B">
              <w:rPr>
                <w:rFonts w:cs="Calibri"/>
                <w:szCs w:val="16"/>
              </w:rPr>
              <w:t>80</w:t>
            </w:r>
          </w:p>
        </w:tc>
        <w:tc>
          <w:tcPr>
            <w:tcW w:w="964" w:type="dxa"/>
            <w:tcBorders>
              <w:top w:val="single" w:sz="4" w:space="0" w:color="365F91"/>
              <w:left w:val="nil"/>
              <w:bottom w:val="single" w:sz="4" w:space="0" w:color="365F91"/>
              <w:right w:val="nil"/>
            </w:tcBorders>
            <w:shd w:val="clear" w:color="auto" w:fill="auto"/>
          </w:tcPr>
          <w:p w14:paraId="3EE210AE" w14:textId="77777777" w:rsidR="00F849A7" w:rsidRPr="00D9348B" w:rsidRDefault="00F849A7" w:rsidP="00DB330E">
            <w:pPr>
              <w:pStyle w:val="Tableboldblue"/>
              <w:spacing w:after="50"/>
              <w:jc w:val="right"/>
              <w:rPr>
                <w:rFonts w:cs="Calibri"/>
                <w:szCs w:val="16"/>
              </w:rPr>
            </w:pPr>
            <w:r w:rsidRPr="00D9348B">
              <w:rPr>
                <w:rFonts w:cs="Calibri"/>
                <w:szCs w:val="16"/>
              </w:rPr>
              <w:t>60</w:t>
            </w:r>
          </w:p>
        </w:tc>
        <w:tc>
          <w:tcPr>
            <w:tcW w:w="964" w:type="dxa"/>
            <w:tcBorders>
              <w:top w:val="single" w:sz="4" w:space="0" w:color="365F91"/>
              <w:left w:val="nil"/>
              <w:bottom w:val="single" w:sz="4" w:space="0" w:color="365F91"/>
              <w:right w:val="nil"/>
            </w:tcBorders>
            <w:shd w:val="clear" w:color="auto" w:fill="auto"/>
          </w:tcPr>
          <w:p w14:paraId="01A6C0CD" w14:textId="77777777" w:rsidR="00F849A7" w:rsidRPr="00D9348B" w:rsidRDefault="00F849A7" w:rsidP="00DB330E">
            <w:pPr>
              <w:pStyle w:val="Tableboldblue"/>
              <w:spacing w:after="50"/>
              <w:jc w:val="right"/>
              <w:rPr>
                <w:rFonts w:cs="Calibri"/>
                <w:szCs w:val="16"/>
              </w:rPr>
            </w:pPr>
            <w:r w:rsidRPr="00D9348B">
              <w:rPr>
                <w:rFonts w:cs="Calibri"/>
                <w:szCs w:val="16"/>
              </w:rPr>
              <w:t>436</w:t>
            </w:r>
          </w:p>
        </w:tc>
      </w:tr>
      <w:tr w:rsidR="00F849A7" w:rsidRPr="00D9348B" w14:paraId="5198839B" w14:textId="77777777" w:rsidTr="00CF364B">
        <w:tc>
          <w:tcPr>
            <w:tcW w:w="1757" w:type="dxa"/>
            <w:tcBorders>
              <w:top w:val="single" w:sz="4" w:space="0" w:color="365F91"/>
              <w:left w:val="nil"/>
              <w:bottom w:val="single" w:sz="4" w:space="0" w:color="365F91"/>
              <w:right w:val="nil"/>
            </w:tcBorders>
            <w:shd w:val="clear" w:color="auto" w:fill="auto"/>
          </w:tcPr>
          <w:p w14:paraId="12C5439E" w14:textId="77777777" w:rsidR="00F849A7" w:rsidRPr="00D9348B" w:rsidRDefault="00F849A7" w:rsidP="00DB330E">
            <w:pPr>
              <w:pStyle w:val="Tableboldblue"/>
              <w:spacing w:after="50"/>
              <w:rPr>
                <w:rFonts w:cs="Calibri"/>
                <w:szCs w:val="16"/>
              </w:rPr>
            </w:pPr>
            <w:r w:rsidRPr="00D9348B">
              <w:rPr>
                <w:rFonts w:cs="Calibri"/>
                <w:szCs w:val="16"/>
              </w:rPr>
              <w:t>Total excreta</w:t>
            </w:r>
          </w:p>
        </w:tc>
        <w:tc>
          <w:tcPr>
            <w:tcW w:w="1871" w:type="dxa"/>
            <w:tcBorders>
              <w:top w:val="single" w:sz="4" w:space="0" w:color="365F91"/>
              <w:left w:val="nil"/>
              <w:bottom w:val="single" w:sz="4" w:space="0" w:color="365F91"/>
              <w:right w:val="nil"/>
            </w:tcBorders>
          </w:tcPr>
          <w:p w14:paraId="34BFCA9B" w14:textId="77777777" w:rsidR="00F849A7" w:rsidRPr="00D9348B" w:rsidRDefault="00F849A7" w:rsidP="00DB330E">
            <w:pPr>
              <w:pStyle w:val="Tableboldblue"/>
              <w:spacing w:after="50"/>
              <w:rPr>
                <w:rFonts w:cs="Calibri"/>
                <w:szCs w:val="16"/>
              </w:rPr>
            </w:pPr>
          </w:p>
        </w:tc>
        <w:tc>
          <w:tcPr>
            <w:tcW w:w="964" w:type="dxa"/>
            <w:tcBorders>
              <w:top w:val="single" w:sz="4" w:space="0" w:color="365F91"/>
              <w:left w:val="nil"/>
              <w:bottom w:val="single" w:sz="4" w:space="0" w:color="365F91"/>
              <w:right w:val="nil"/>
            </w:tcBorders>
            <w:shd w:val="clear" w:color="auto" w:fill="auto"/>
          </w:tcPr>
          <w:p w14:paraId="3CCC7DB7" w14:textId="77777777" w:rsidR="00F849A7" w:rsidRPr="00D9348B" w:rsidRDefault="00F849A7" w:rsidP="00DB330E">
            <w:pPr>
              <w:pStyle w:val="Tableboldblue"/>
              <w:spacing w:after="50"/>
              <w:jc w:val="right"/>
              <w:rPr>
                <w:rFonts w:cs="Calibri"/>
                <w:szCs w:val="16"/>
              </w:rPr>
            </w:pPr>
            <w:r w:rsidRPr="00D9348B">
              <w:rPr>
                <w:rFonts w:cs="Calibri"/>
                <w:szCs w:val="16"/>
              </w:rPr>
              <w:t>358</w:t>
            </w:r>
          </w:p>
        </w:tc>
        <w:tc>
          <w:tcPr>
            <w:tcW w:w="964" w:type="dxa"/>
            <w:tcBorders>
              <w:top w:val="single" w:sz="4" w:space="0" w:color="365F91"/>
              <w:left w:val="nil"/>
              <w:bottom w:val="single" w:sz="4" w:space="0" w:color="365F91"/>
              <w:right w:val="nil"/>
            </w:tcBorders>
            <w:shd w:val="clear" w:color="auto" w:fill="auto"/>
          </w:tcPr>
          <w:p w14:paraId="0BFFB46B" w14:textId="77777777" w:rsidR="00F849A7" w:rsidRPr="00D9348B" w:rsidRDefault="00F849A7" w:rsidP="00DB330E">
            <w:pPr>
              <w:pStyle w:val="Tableboldblue"/>
              <w:spacing w:after="50"/>
              <w:jc w:val="right"/>
              <w:rPr>
                <w:rFonts w:cs="Calibri"/>
                <w:szCs w:val="16"/>
              </w:rPr>
            </w:pPr>
            <w:r w:rsidRPr="00D9348B">
              <w:rPr>
                <w:rFonts w:cs="Calibri"/>
                <w:szCs w:val="16"/>
              </w:rPr>
              <w:t>447</w:t>
            </w:r>
          </w:p>
        </w:tc>
        <w:tc>
          <w:tcPr>
            <w:tcW w:w="964" w:type="dxa"/>
            <w:tcBorders>
              <w:top w:val="single" w:sz="4" w:space="0" w:color="365F91"/>
              <w:left w:val="nil"/>
              <w:bottom w:val="single" w:sz="4" w:space="0" w:color="365F91"/>
              <w:right w:val="nil"/>
            </w:tcBorders>
            <w:shd w:val="clear" w:color="auto" w:fill="auto"/>
          </w:tcPr>
          <w:p w14:paraId="6BB925AA" w14:textId="77777777" w:rsidR="00F849A7" w:rsidRPr="00D9348B" w:rsidRDefault="00F849A7" w:rsidP="00DB330E">
            <w:pPr>
              <w:pStyle w:val="Tableboldblue"/>
              <w:spacing w:after="50"/>
              <w:jc w:val="right"/>
              <w:rPr>
                <w:rFonts w:cs="Calibri"/>
                <w:szCs w:val="16"/>
              </w:rPr>
            </w:pPr>
            <w:r w:rsidRPr="00D9348B">
              <w:rPr>
                <w:rFonts w:cs="Calibri"/>
                <w:szCs w:val="16"/>
              </w:rPr>
              <w:t>280</w:t>
            </w:r>
          </w:p>
        </w:tc>
        <w:tc>
          <w:tcPr>
            <w:tcW w:w="964" w:type="dxa"/>
            <w:tcBorders>
              <w:top w:val="single" w:sz="4" w:space="0" w:color="365F91"/>
              <w:left w:val="nil"/>
              <w:bottom w:val="single" w:sz="4" w:space="0" w:color="365F91"/>
              <w:right w:val="nil"/>
            </w:tcBorders>
            <w:shd w:val="clear" w:color="auto" w:fill="auto"/>
          </w:tcPr>
          <w:p w14:paraId="38E6DED3" w14:textId="77777777" w:rsidR="00F849A7" w:rsidRPr="00D9348B" w:rsidRDefault="00F849A7" w:rsidP="00DB330E">
            <w:pPr>
              <w:pStyle w:val="Tableboldblue"/>
              <w:spacing w:after="50"/>
              <w:jc w:val="right"/>
              <w:rPr>
                <w:rFonts w:cs="Calibri"/>
                <w:szCs w:val="16"/>
              </w:rPr>
            </w:pPr>
            <w:r w:rsidRPr="00D9348B">
              <w:rPr>
                <w:rFonts w:cs="Calibri"/>
                <w:szCs w:val="16"/>
              </w:rPr>
              <w:t>132</w:t>
            </w:r>
          </w:p>
        </w:tc>
        <w:tc>
          <w:tcPr>
            <w:tcW w:w="964" w:type="dxa"/>
            <w:tcBorders>
              <w:top w:val="single" w:sz="4" w:space="0" w:color="365F91"/>
              <w:left w:val="nil"/>
              <w:bottom w:val="single" w:sz="4" w:space="0" w:color="365F91"/>
              <w:right w:val="nil"/>
            </w:tcBorders>
            <w:shd w:val="clear" w:color="auto" w:fill="auto"/>
          </w:tcPr>
          <w:p w14:paraId="0BFF0611" w14:textId="77777777" w:rsidR="00F849A7" w:rsidRPr="00D9348B" w:rsidRDefault="00F849A7" w:rsidP="00DB330E">
            <w:pPr>
              <w:pStyle w:val="Tableboldblue"/>
              <w:spacing w:after="50"/>
              <w:jc w:val="right"/>
              <w:rPr>
                <w:rFonts w:cs="Calibri"/>
                <w:szCs w:val="16"/>
              </w:rPr>
            </w:pPr>
            <w:r w:rsidRPr="00D9348B">
              <w:rPr>
                <w:rFonts w:cs="Calibri"/>
                <w:szCs w:val="16"/>
              </w:rPr>
              <w:t>1,217</w:t>
            </w:r>
          </w:p>
        </w:tc>
      </w:tr>
    </w:tbl>
    <w:p w14:paraId="62FDAB72" w14:textId="77777777" w:rsidR="00F849A7" w:rsidRPr="00D9348B" w:rsidRDefault="00F849A7" w:rsidP="00F849A7">
      <w:pPr>
        <w:pStyle w:val="BodyText"/>
        <w:rPr>
          <w:rFonts w:cs="Calibri"/>
        </w:rPr>
      </w:pPr>
      <w:r w:rsidRPr="00D9348B">
        <w:rPr>
          <w:rFonts w:cs="Calibri"/>
        </w:rPr>
        <w:lastRenderedPageBreak/>
        <w:t>The meta-analysis used arithmetic means to calculate new average EF</w:t>
      </w:r>
      <w:r w:rsidRPr="00D9348B">
        <w:rPr>
          <w:rFonts w:cs="Calibri"/>
          <w:vertAlign w:val="subscript"/>
        </w:rPr>
        <w:t>3</w:t>
      </w:r>
      <w:r w:rsidRPr="00D9348B">
        <w:rPr>
          <w:rFonts w:cs="Calibri"/>
        </w:rPr>
        <w:t xml:space="preserve"> values (categorised by animal, slope and excreta type). Because the differences between some of these values were not statistically significant, it was recommended that some of the arithmetic means be pooled. This resulted in the dung EF</w:t>
      </w:r>
      <w:r w:rsidRPr="00D9348B">
        <w:rPr>
          <w:rFonts w:cs="Calibri"/>
          <w:vertAlign w:val="subscript"/>
        </w:rPr>
        <w:t>3</w:t>
      </w:r>
      <w:r w:rsidRPr="00D9348B">
        <w:rPr>
          <w:rFonts w:cs="Calibri"/>
        </w:rPr>
        <w:t xml:space="preserve"> averages being combined into a single value (0.0012). The urine EF</w:t>
      </w:r>
      <w:r w:rsidRPr="00D9348B">
        <w:rPr>
          <w:rFonts w:cs="Calibri"/>
          <w:vertAlign w:val="subscript"/>
        </w:rPr>
        <w:t>3</w:t>
      </w:r>
      <w:r w:rsidRPr="00D9348B">
        <w:rPr>
          <w:rFonts w:cs="Calibri"/>
        </w:rPr>
        <w:t xml:space="preserve"> values were pooled into four categories:</w:t>
      </w:r>
    </w:p>
    <w:p w14:paraId="38A721F6" w14:textId="77777777" w:rsidR="00F849A7" w:rsidRPr="00D9348B" w:rsidRDefault="00F849A7" w:rsidP="00F849A7">
      <w:pPr>
        <w:pStyle w:val="Bullet"/>
        <w:rPr>
          <w:rFonts w:cs="Calibri"/>
        </w:rPr>
      </w:pPr>
      <w:r w:rsidRPr="00D9348B">
        <w:rPr>
          <w:rFonts w:cs="Calibri"/>
        </w:rPr>
        <w:t>cattle urine on flatland/low slopes</w:t>
      </w:r>
      <w:r w:rsidRPr="00D9348B">
        <w:rPr>
          <w:rFonts w:cs="Calibri"/>
          <w:szCs w:val="21"/>
        </w:rPr>
        <w:t xml:space="preserve"> (0.0098)</w:t>
      </w:r>
    </w:p>
    <w:p w14:paraId="7ECEA345" w14:textId="77777777" w:rsidR="00F849A7" w:rsidRPr="00D9348B" w:rsidRDefault="00F849A7" w:rsidP="00F849A7">
      <w:pPr>
        <w:pStyle w:val="Bullet"/>
        <w:rPr>
          <w:rFonts w:cs="Calibri"/>
        </w:rPr>
      </w:pPr>
      <w:r w:rsidRPr="00D9348B">
        <w:rPr>
          <w:rFonts w:cs="Calibri"/>
          <w:szCs w:val="21"/>
        </w:rPr>
        <w:t>cattle urine on medium/steep slopes (0.0033)</w:t>
      </w:r>
    </w:p>
    <w:p w14:paraId="585A8427" w14:textId="77777777" w:rsidR="00F849A7" w:rsidRPr="00D9348B" w:rsidRDefault="00F849A7" w:rsidP="00F849A7">
      <w:pPr>
        <w:pStyle w:val="Bullet"/>
        <w:rPr>
          <w:rFonts w:cs="Calibri"/>
        </w:rPr>
      </w:pPr>
      <w:r w:rsidRPr="00D9348B">
        <w:rPr>
          <w:rFonts w:cs="Calibri"/>
          <w:szCs w:val="21"/>
        </w:rPr>
        <w:t xml:space="preserve">sheep urine on flatland/low slopes (0.0020) </w:t>
      </w:r>
    </w:p>
    <w:p w14:paraId="238CB033" w14:textId="77777777" w:rsidR="00F849A7" w:rsidRPr="00D9348B" w:rsidRDefault="00F849A7" w:rsidP="00F849A7">
      <w:pPr>
        <w:pStyle w:val="Bullet"/>
        <w:rPr>
          <w:rFonts w:cs="Calibri"/>
        </w:rPr>
      </w:pPr>
      <w:proofErr w:type="gramStart"/>
      <w:r w:rsidRPr="00D9348B">
        <w:rPr>
          <w:rFonts w:cs="Calibri"/>
          <w:szCs w:val="21"/>
        </w:rPr>
        <w:t>sheep</w:t>
      </w:r>
      <w:proofErr w:type="gramEnd"/>
      <w:r w:rsidRPr="00D9348B">
        <w:rPr>
          <w:rFonts w:cs="Calibri"/>
          <w:szCs w:val="21"/>
        </w:rPr>
        <w:t xml:space="preserve"> urine on medium/steep slopes (0.0008).</w:t>
      </w:r>
    </w:p>
    <w:p w14:paraId="67505ACF" w14:textId="77777777" w:rsidR="00F849A7" w:rsidRPr="00D9348B" w:rsidRDefault="00F849A7" w:rsidP="00F849A7">
      <w:pPr>
        <w:pStyle w:val="BodyText"/>
        <w:rPr>
          <w:rFonts w:cs="Calibri"/>
        </w:rPr>
      </w:pPr>
      <w:r w:rsidRPr="00D9348B">
        <w:rPr>
          <w:rFonts w:cs="Calibri"/>
        </w:rPr>
        <w:t>The lower emission factors observed for urine on steeper slopes are thought to be due to these soils having lower soil fertility and moisture content compared with less steep slopes (Luo et al., 2013).</w:t>
      </w:r>
    </w:p>
    <w:p w14:paraId="10B89F94" w14:textId="77777777" w:rsidR="00F849A7" w:rsidRPr="00D9348B" w:rsidRDefault="00F849A7" w:rsidP="00F849A7">
      <w:pPr>
        <w:pStyle w:val="BodyText"/>
        <w:rPr>
          <w:rFonts w:cs="Calibri"/>
        </w:rPr>
      </w:pPr>
      <w:r w:rsidRPr="00D9348B">
        <w:rPr>
          <w:rFonts w:cs="Calibri"/>
        </w:rPr>
        <w:t>The new urine emission factor values for each livestock type by slope are lower than the current IPCC default EF</w:t>
      </w:r>
      <w:r w:rsidRPr="00D9348B">
        <w:rPr>
          <w:rFonts w:cs="Calibri"/>
          <w:vertAlign w:val="subscript"/>
        </w:rPr>
        <w:t>3</w:t>
      </w:r>
      <w:r w:rsidRPr="00D9348B">
        <w:rPr>
          <w:rFonts w:cs="Calibri"/>
        </w:rPr>
        <w:t xml:space="preserve"> value, which is based on common international farming systems where, on average, farmed land is on less hilly terrain than common farm land in New Zealand. In addition to the large proportion of farmed hill country, New Zealand’s climate and soil characteristics contribute to differences between international default emission factors and New Zealand’s country-specific emission factor. When using these emission factors, the IEF for direct N</w:t>
      </w:r>
      <w:r w:rsidRPr="00D9348B">
        <w:rPr>
          <w:rFonts w:cs="Calibri"/>
          <w:vertAlign w:val="subscript"/>
        </w:rPr>
        <w:t>2</w:t>
      </w:r>
      <w:r w:rsidRPr="00D9348B">
        <w:rPr>
          <w:rFonts w:cs="Calibri"/>
        </w:rPr>
        <w:t>O from dung and urine was 0.0054 in 2018. This value is comparable with that calculated for the United Kingdom (0.0047) and Australia (0.004) in their respective inventory submissions in 2019.</w:t>
      </w:r>
    </w:p>
    <w:p w14:paraId="15CEA538" w14:textId="77777777" w:rsidR="00F849A7" w:rsidRPr="00D9348B" w:rsidRDefault="00F849A7" w:rsidP="00F849A7">
      <w:pPr>
        <w:pStyle w:val="BodyText"/>
        <w:rPr>
          <w:rFonts w:cs="Calibri"/>
        </w:rPr>
      </w:pPr>
      <w:r w:rsidRPr="00D9348B">
        <w:rPr>
          <w:rFonts w:cs="Calibri"/>
        </w:rPr>
        <w:t>Nitrous oxide</w:t>
      </w:r>
      <w:r w:rsidRPr="00D9348B" w:rsidDel="00271764">
        <w:rPr>
          <w:rFonts w:cs="Calibri"/>
        </w:rPr>
        <w:t xml:space="preserve"> </w:t>
      </w:r>
      <w:r w:rsidRPr="00D9348B">
        <w:rPr>
          <w:rFonts w:cs="Calibri"/>
        </w:rPr>
        <w:t>measurements have not been taken for deer excreta, therefore, deer EF</w:t>
      </w:r>
      <w:r w:rsidRPr="00D9348B">
        <w:rPr>
          <w:rFonts w:cs="Calibri"/>
          <w:vertAlign w:val="subscript"/>
        </w:rPr>
        <w:t>3</w:t>
      </w:r>
      <w:r w:rsidRPr="00D9348B">
        <w:rPr>
          <w:rFonts w:cs="Calibri"/>
        </w:rPr>
        <w:t xml:space="preserve"> values were calculated using average EF</w:t>
      </w:r>
      <w:r w:rsidRPr="00D9348B">
        <w:rPr>
          <w:rFonts w:cs="Calibri"/>
          <w:vertAlign w:val="subscript"/>
        </w:rPr>
        <w:t>3</w:t>
      </w:r>
      <w:r w:rsidRPr="00D9348B">
        <w:rPr>
          <w:rFonts w:cs="Calibri"/>
        </w:rPr>
        <w:t xml:space="preserve"> values from cattle and sheep. Based on animal liveweight, deer excreta characteristics (in terms of total deposition volume and weight) are assumed to be between the excreta characteristics of cattle and sheep (van der Weerden et al., 2019).</w:t>
      </w:r>
    </w:p>
    <w:p w14:paraId="33A50E84" w14:textId="77777777" w:rsidR="00F849A7" w:rsidRPr="00D9348B" w:rsidRDefault="00F849A7" w:rsidP="00F849A7">
      <w:pPr>
        <w:pStyle w:val="BodyText"/>
        <w:rPr>
          <w:rFonts w:cs="Calibri"/>
        </w:rPr>
      </w:pPr>
      <w:r w:rsidRPr="00D9348B">
        <w:rPr>
          <w:rFonts w:cs="Calibri"/>
        </w:rPr>
        <w:t>To apply these emission factors, estimates on the amount of urine and dung deposited onto separate slopes are needed. A nutrient transfer model developed by Saggar et al. (2015) is used to allocate total excreta (</w:t>
      </w:r>
      <w:proofErr w:type="gramStart"/>
      <w:r w:rsidRPr="00D9348B">
        <w:rPr>
          <w:rFonts w:cs="Calibri"/>
        </w:rPr>
        <w:t>N</w:t>
      </w:r>
      <w:r w:rsidRPr="00D9348B">
        <w:rPr>
          <w:rFonts w:cs="Calibri"/>
          <w:vertAlign w:val="subscript"/>
        </w:rPr>
        <w:t>ex</w:t>
      </w:r>
      <w:proofErr w:type="gramEnd"/>
      <w:r w:rsidRPr="00D9348B">
        <w:rPr>
          <w:rFonts w:cs="Calibri"/>
        </w:rPr>
        <w:t>,</w:t>
      </w:r>
      <w:r w:rsidRPr="00D9348B">
        <w:rPr>
          <w:rFonts w:cs="Calibri"/>
          <w:vertAlign w:val="subscript"/>
        </w:rPr>
        <w:t xml:space="preserve"> </w:t>
      </w:r>
      <w:r w:rsidRPr="00D9348B">
        <w:rPr>
          <w:rFonts w:cs="Calibri"/>
        </w:rPr>
        <w:t>calculated using the methods described in section 5.3) by livestock type to the different slope categories. The nutrient transfer model uses data on the area of farm land for each slope type, and accounts for animal behaviour where livestock spend relatively more time on lower slopes, and hence deposit more excreta on these lower slopes. For more information on this model, please refer to annex 3.1.3.</w:t>
      </w:r>
    </w:p>
    <w:p w14:paraId="5E2AA821" w14:textId="77777777" w:rsidR="00F849A7" w:rsidRPr="00D9348B" w:rsidRDefault="00F849A7" w:rsidP="00F849A7">
      <w:pPr>
        <w:pStyle w:val="BodyText"/>
        <w:rPr>
          <w:rFonts w:cs="Calibri"/>
        </w:rPr>
      </w:pPr>
      <w:r w:rsidRPr="00D9348B">
        <w:rPr>
          <w:rFonts w:cs="Calibri"/>
        </w:rPr>
        <w:t>The revised EF</w:t>
      </w:r>
      <w:r w:rsidRPr="00D9348B">
        <w:rPr>
          <w:rFonts w:cs="Calibri"/>
          <w:vertAlign w:val="subscript"/>
        </w:rPr>
        <w:t>3</w:t>
      </w:r>
      <w:r w:rsidRPr="00D9348B">
        <w:rPr>
          <w:rFonts w:cs="Calibri"/>
        </w:rPr>
        <w:t xml:space="preserve"> emission factors and nutrient transfer model were discussed by the Agriculture Inventory Advisory Panel in late 2019, which recommended that they be included in the 2020 inventory submission.</w:t>
      </w:r>
    </w:p>
    <w:p w14:paraId="2580F373" w14:textId="77777777" w:rsidR="00F849A7" w:rsidRPr="00D9348B" w:rsidRDefault="00F849A7" w:rsidP="00F849A7">
      <w:pPr>
        <w:pStyle w:val="Heading5"/>
        <w:rPr>
          <w:rFonts w:cs="Calibri"/>
        </w:rPr>
      </w:pPr>
      <w:r w:rsidRPr="00D9348B">
        <w:rPr>
          <w:rFonts w:cs="Calibri"/>
        </w:rPr>
        <w:t>Direct nitrous oxide emission factors for minor livestock types</w:t>
      </w:r>
    </w:p>
    <w:p w14:paraId="5F08471C" w14:textId="09F2B7C8" w:rsidR="00F849A7" w:rsidRPr="00D9348B" w:rsidRDefault="00F849A7" w:rsidP="00F849A7">
      <w:pPr>
        <w:pStyle w:val="BodyText"/>
        <w:rPr>
          <w:rFonts w:cs="Calibri"/>
        </w:rPr>
      </w:pPr>
      <w:r w:rsidRPr="00D9348B">
        <w:rPr>
          <w:rFonts w:cs="Calibri"/>
        </w:rPr>
        <w:t>Minor livestock types including swine, goats, horses, alpaca, mules, asses, lions and poultry, make up a small proportion of total agricultural emissions. New Zealand will therefore continue to use the previous emission factor for minor livestock types (</w:t>
      </w:r>
      <w:proofErr w:type="gramStart"/>
      <w:r w:rsidRPr="00D9348B">
        <w:rPr>
          <w:rFonts w:cs="Calibri"/>
        </w:rPr>
        <w:t>EF</w:t>
      </w:r>
      <w:r w:rsidRPr="00D9348B">
        <w:rPr>
          <w:rFonts w:cs="Calibri"/>
          <w:vertAlign w:val="subscript"/>
        </w:rPr>
        <w:t>3(</w:t>
      </w:r>
      <w:proofErr w:type="gramEnd"/>
      <w:r w:rsidRPr="00D9348B">
        <w:rPr>
          <w:rFonts w:cs="Calibri"/>
          <w:vertAlign w:val="subscript"/>
        </w:rPr>
        <w:t>PRP-MINOR)</w:t>
      </w:r>
      <w:r w:rsidRPr="00D9348B">
        <w:rPr>
          <w:rFonts w:cs="Calibri"/>
        </w:rPr>
        <w:t>) of 0.001, which is the IPCC default. Research conducted in New Zealand has confirmed this value is appropriate for New Zealand’s conditions (Carran et al., 1995; de Klein et al., 2003; Muller et al., 1995).</w:t>
      </w:r>
    </w:p>
    <w:p w14:paraId="5B9CF02F" w14:textId="2EED8425" w:rsidR="00F849A7" w:rsidRPr="00D9348B" w:rsidRDefault="00F849A7" w:rsidP="00F849A7">
      <w:pPr>
        <w:pStyle w:val="BodyText"/>
        <w:rPr>
          <w:rFonts w:cs="Calibri"/>
        </w:rPr>
      </w:pPr>
      <w:r w:rsidRPr="00D9348B">
        <w:rPr>
          <w:rFonts w:cs="Calibri"/>
        </w:rPr>
        <w:lastRenderedPageBreak/>
        <w:t xml:space="preserve">In 2018, </w:t>
      </w:r>
      <w:r w:rsidRPr="00D9348B">
        <w:rPr>
          <w:rFonts w:cs="Calibri"/>
          <w:spacing w:val="-2"/>
        </w:rPr>
        <w:t>N</w:t>
      </w:r>
      <w:r w:rsidRPr="00D9348B">
        <w:rPr>
          <w:rFonts w:cs="Calibri"/>
          <w:spacing w:val="-2"/>
          <w:vertAlign w:val="subscript"/>
        </w:rPr>
        <w:t>2</w:t>
      </w:r>
      <w:r w:rsidRPr="00D9348B">
        <w:rPr>
          <w:rFonts w:cs="Calibri"/>
          <w:spacing w:val="-2"/>
        </w:rPr>
        <w:t>O</w:t>
      </w:r>
      <w:r w:rsidRPr="00D9348B">
        <w:rPr>
          <w:rFonts w:cs="Calibri"/>
        </w:rPr>
        <w:t xml:space="preserve"> emissions from </w:t>
      </w:r>
      <w:r w:rsidRPr="00D9348B">
        <w:rPr>
          <w:rFonts w:cs="Calibri"/>
          <w:i/>
          <w:iCs/>
        </w:rPr>
        <w:t>Urine and dung deposited by grazing animals</w:t>
      </w:r>
      <w:r w:rsidRPr="00D9348B">
        <w:rPr>
          <w:rFonts w:cs="Calibri"/>
        </w:rPr>
        <w:t xml:space="preserve"> (pasture, range and</w:t>
      </w:r>
      <w:r w:rsidR="00DB4CF4" w:rsidRPr="00D9348B">
        <w:rPr>
          <w:rFonts w:cs="Calibri"/>
        </w:rPr>
        <w:t xml:space="preserve"> </w:t>
      </w:r>
      <w:r w:rsidRPr="00D9348B">
        <w:rPr>
          <w:rFonts w:cs="Calibri"/>
        </w:rPr>
        <w:t>paddock manure) contributed 54.4 per cent (3,824.2 kt CO</w:t>
      </w:r>
      <w:r w:rsidRPr="00D9348B">
        <w:rPr>
          <w:rFonts w:cs="Calibri"/>
          <w:vertAlign w:val="subscript"/>
        </w:rPr>
        <w:t>2</w:t>
      </w:r>
      <w:r w:rsidRPr="00D9348B">
        <w:rPr>
          <w:rFonts w:cs="Calibri"/>
        </w:rPr>
        <w:t>-e) of</w:t>
      </w:r>
      <w:r w:rsidRPr="00D9348B">
        <w:rPr>
          <w:rFonts w:cs="Calibri"/>
          <w:spacing w:val="-2"/>
        </w:rPr>
        <w:t xml:space="preserve"> emissions from </w:t>
      </w:r>
      <w:r w:rsidRPr="00D9348B">
        <w:rPr>
          <w:rFonts w:cs="Calibri"/>
          <w:i/>
          <w:iCs/>
          <w:spacing w:val="-2"/>
        </w:rPr>
        <w:t>Agricultural soils</w:t>
      </w:r>
      <w:r w:rsidRPr="00D9348B">
        <w:rPr>
          <w:rFonts w:cs="Calibri"/>
          <w:spacing w:val="-2"/>
        </w:rPr>
        <w:t>, or 10.1 per cent of total agricultural emissions). This is an increase of 30.7 per cent since</w:t>
      </w:r>
      <w:r w:rsidR="00E22F51" w:rsidRPr="00D9348B">
        <w:rPr>
          <w:rFonts w:cs="Calibri"/>
          <w:spacing w:val="-2"/>
        </w:rPr>
        <w:t> </w:t>
      </w:r>
      <w:r w:rsidRPr="00D9348B">
        <w:rPr>
          <w:rFonts w:cs="Calibri"/>
          <w:spacing w:val="-2"/>
        </w:rPr>
        <w:t xml:space="preserve">1990. </w:t>
      </w:r>
      <w:r w:rsidRPr="00D9348B">
        <w:rPr>
          <w:rFonts w:cs="Calibri"/>
        </w:rPr>
        <w:t xml:space="preserve">Emissions for each livestock category are given in table 5.5.8. Emissions from </w:t>
      </w:r>
      <w:r w:rsidRPr="00D9348B">
        <w:rPr>
          <w:rFonts w:cs="Calibri"/>
          <w:i/>
          <w:iCs/>
        </w:rPr>
        <w:t>Urine</w:t>
      </w:r>
      <w:r w:rsidR="00E22F51" w:rsidRPr="00D9348B">
        <w:rPr>
          <w:rFonts w:cs="Calibri"/>
          <w:i/>
          <w:iCs/>
        </w:rPr>
        <w:t> </w:t>
      </w:r>
      <w:r w:rsidRPr="00D9348B">
        <w:rPr>
          <w:rFonts w:cs="Calibri"/>
          <w:i/>
          <w:iCs/>
        </w:rPr>
        <w:t>and dung deposited by grazing animals</w:t>
      </w:r>
      <w:r w:rsidRPr="00D9348B">
        <w:rPr>
          <w:rFonts w:cs="Calibri"/>
        </w:rPr>
        <w:t xml:space="preserve"> were identified as a key category (level and trend assessment).</w:t>
      </w:r>
    </w:p>
    <w:p w14:paraId="2EB7344F" w14:textId="77777777" w:rsidR="00F849A7" w:rsidRPr="00D9348B" w:rsidRDefault="00F849A7" w:rsidP="00F849A7">
      <w:pPr>
        <w:pStyle w:val="Table"/>
        <w:rPr>
          <w:rFonts w:cs="Calibri"/>
        </w:rPr>
      </w:pPr>
      <w:bookmarkStart w:id="910" w:name="_Toc441830883"/>
      <w:bookmarkStart w:id="911" w:name="_Toc451176097"/>
      <w:bookmarkStart w:id="912" w:name="_Toc481751525"/>
      <w:bookmarkStart w:id="913" w:name="_Toc507158613"/>
      <w:bookmarkStart w:id="914" w:name="_Toc511116747"/>
      <w:bookmarkStart w:id="915" w:name="_Toc5269489"/>
      <w:bookmarkStart w:id="916" w:name="_Toc32570934"/>
      <w:bookmarkStart w:id="917" w:name="_Toc36224569"/>
      <w:r w:rsidRPr="00D9348B">
        <w:rPr>
          <w:rFonts w:cs="Calibri"/>
        </w:rPr>
        <w:t>Table 5.5.8</w:t>
      </w:r>
      <w:r w:rsidRPr="00D9348B">
        <w:rPr>
          <w:rFonts w:cs="Calibri"/>
        </w:rPr>
        <w:tab/>
        <w:t>Trends and relative contribution of direct nitrous oxide emissions from urine and dung</w:t>
      </w:r>
      <w:r w:rsidRPr="00D9348B">
        <w:rPr>
          <w:rFonts w:cs="Calibri"/>
        </w:rPr>
        <w:br/>
        <w:t xml:space="preserve">deposited by grazing animals per livestock category between 1990 and </w:t>
      </w:r>
      <w:bookmarkEnd w:id="910"/>
      <w:bookmarkEnd w:id="911"/>
      <w:bookmarkEnd w:id="912"/>
      <w:bookmarkEnd w:id="913"/>
      <w:bookmarkEnd w:id="914"/>
      <w:bookmarkEnd w:id="915"/>
      <w:r w:rsidRPr="00D9348B">
        <w:rPr>
          <w:rFonts w:cs="Calibri"/>
        </w:rPr>
        <w:t>2018</w:t>
      </w:r>
      <w:bookmarkEnd w:id="916"/>
      <w:bookmarkEnd w:id="917"/>
    </w:p>
    <w:tbl>
      <w:tblPr>
        <w:tblW w:w="8562" w:type="dxa"/>
        <w:tblInd w:w="108" w:type="dxa"/>
        <w:tblBorders>
          <w:top w:val="single" w:sz="4" w:space="0" w:color="365F91"/>
          <w:left w:val="single" w:sz="4" w:space="0" w:color="365F91"/>
          <w:bottom w:val="single" w:sz="4" w:space="0" w:color="365F91"/>
          <w:right w:val="single" w:sz="4" w:space="0" w:color="365F91"/>
          <w:insideH w:val="single" w:sz="4" w:space="0" w:color="365F91"/>
        </w:tblBorders>
        <w:tblLayout w:type="fixed"/>
        <w:tblLook w:val="04A0" w:firstRow="1" w:lastRow="0" w:firstColumn="1" w:lastColumn="0" w:noHBand="0" w:noVBand="1"/>
      </w:tblPr>
      <w:tblGrid>
        <w:gridCol w:w="1517"/>
        <w:gridCol w:w="934"/>
        <w:gridCol w:w="830"/>
        <w:gridCol w:w="999"/>
        <w:gridCol w:w="856"/>
        <w:gridCol w:w="857"/>
        <w:gridCol w:w="856"/>
        <w:gridCol w:w="857"/>
        <w:gridCol w:w="856"/>
      </w:tblGrid>
      <w:tr w:rsidR="00F849A7" w:rsidRPr="00D9348B" w14:paraId="453AB3D1" w14:textId="77777777" w:rsidTr="00E22F51">
        <w:tc>
          <w:tcPr>
            <w:tcW w:w="1508" w:type="dxa"/>
            <w:vMerge w:val="restart"/>
            <w:tcBorders>
              <w:left w:val="nil"/>
            </w:tcBorders>
            <w:shd w:val="clear" w:color="auto" w:fill="365F91"/>
            <w:vAlign w:val="bottom"/>
          </w:tcPr>
          <w:p w14:paraId="455E907E" w14:textId="77777777" w:rsidR="00F849A7" w:rsidRPr="00D9348B" w:rsidRDefault="00F849A7" w:rsidP="00DB330E">
            <w:pPr>
              <w:pStyle w:val="TableTextBold"/>
              <w:keepNext/>
              <w:spacing w:before="40" w:after="40"/>
              <w:rPr>
                <w:rFonts w:cs="Calibri"/>
                <w:i/>
                <w:iCs/>
                <w:noProof w:val="0"/>
                <w:color w:val="FFFFFF"/>
                <w:szCs w:val="16"/>
              </w:rPr>
            </w:pPr>
            <w:bookmarkStart w:id="918" w:name="OLE_LINK1"/>
            <w:r w:rsidRPr="00D9348B">
              <w:rPr>
                <w:rFonts w:cs="Calibri"/>
                <w:noProof w:val="0"/>
                <w:color w:val="FFFFFF"/>
                <w:szCs w:val="16"/>
              </w:rPr>
              <w:t>Livestock category</w:t>
            </w:r>
          </w:p>
        </w:tc>
        <w:tc>
          <w:tcPr>
            <w:tcW w:w="1753" w:type="dxa"/>
            <w:gridSpan w:val="2"/>
            <w:shd w:val="clear" w:color="auto" w:fill="365F91"/>
            <w:vAlign w:val="bottom"/>
          </w:tcPr>
          <w:p w14:paraId="57DA0ACA" w14:textId="77777777" w:rsidR="00F849A7" w:rsidRPr="00D9348B" w:rsidRDefault="00F849A7" w:rsidP="00DB330E">
            <w:pPr>
              <w:pStyle w:val="TableTextBold"/>
              <w:keepNext/>
              <w:spacing w:before="40" w:after="40"/>
              <w:jc w:val="center"/>
              <w:rPr>
                <w:rFonts w:cs="Calibri"/>
                <w:i/>
                <w:iCs/>
                <w:noProof w:val="0"/>
                <w:color w:val="FFFFFF"/>
                <w:szCs w:val="16"/>
              </w:rPr>
            </w:pPr>
            <w:r w:rsidRPr="00D9348B">
              <w:rPr>
                <w:rFonts w:cs="Calibri"/>
                <w:noProof w:val="0"/>
                <w:color w:val="FFFFFF"/>
                <w:szCs w:val="16"/>
              </w:rPr>
              <w:t xml:space="preserve">Emissions </w:t>
            </w:r>
            <w:r w:rsidRPr="00D9348B">
              <w:rPr>
                <w:rFonts w:cs="Calibri"/>
                <w:noProof w:val="0"/>
                <w:color w:val="FFFFFF"/>
                <w:szCs w:val="16"/>
              </w:rPr>
              <w:br/>
              <w:t>(kt CO</w:t>
            </w:r>
            <w:r w:rsidRPr="00D9348B">
              <w:rPr>
                <w:rFonts w:cs="Calibri"/>
                <w:noProof w:val="0"/>
                <w:color w:val="FFFFFF"/>
                <w:szCs w:val="16"/>
                <w:vertAlign w:val="subscript"/>
              </w:rPr>
              <w:t>2</w:t>
            </w:r>
            <w:r w:rsidRPr="00D9348B">
              <w:rPr>
                <w:rFonts w:cs="Calibri"/>
                <w:noProof w:val="0"/>
                <w:color w:val="FFFFFF"/>
                <w:szCs w:val="16"/>
              </w:rPr>
              <w:t>-e)</w:t>
            </w:r>
          </w:p>
        </w:tc>
        <w:tc>
          <w:tcPr>
            <w:tcW w:w="1842" w:type="dxa"/>
            <w:gridSpan w:val="2"/>
            <w:shd w:val="clear" w:color="auto" w:fill="365F91"/>
            <w:vAlign w:val="bottom"/>
          </w:tcPr>
          <w:p w14:paraId="62DCB921" w14:textId="77777777" w:rsidR="00F849A7" w:rsidRPr="00D9348B" w:rsidRDefault="00F849A7" w:rsidP="00DB330E">
            <w:pPr>
              <w:pStyle w:val="TableTextBold"/>
              <w:keepNext/>
              <w:spacing w:before="40" w:after="40"/>
              <w:jc w:val="center"/>
              <w:rPr>
                <w:rFonts w:cs="Calibri"/>
                <w:i/>
                <w:iCs/>
                <w:noProof w:val="0"/>
                <w:color w:val="FFFFFF"/>
                <w:szCs w:val="16"/>
              </w:rPr>
            </w:pPr>
            <w:r w:rsidRPr="00D9348B">
              <w:rPr>
                <w:rFonts w:cs="Calibri"/>
                <w:noProof w:val="0"/>
                <w:color w:val="FFFFFF"/>
                <w:szCs w:val="16"/>
              </w:rPr>
              <w:t xml:space="preserve">Change from </w:t>
            </w:r>
            <w:r w:rsidRPr="00D9348B">
              <w:rPr>
                <w:rFonts w:cs="Calibri"/>
                <w:noProof w:val="0"/>
                <w:color w:val="FFFFFF"/>
                <w:szCs w:val="16"/>
              </w:rPr>
              <w:br/>
              <w:t>1990–2018</w:t>
            </w:r>
          </w:p>
        </w:tc>
        <w:tc>
          <w:tcPr>
            <w:tcW w:w="1701" w:type="dxa"/>
            <w:gridSpan w:val="2"/>
            <w:shd w:val="clear" w:color="auto" w:fill="365F91"/>
            <w:vAlign w:val="bottom"/>
          </w:tcPr>
          <w:p w14:paraId="48B70759" w14:textId="77777777" w:rsidR="00F849A7" w:rsidRPr="00D9348B" w:rsidRDefault="00F849A7" w:rsidP="00DB330E">
            <w:pPr>
              <w:pStyle w:val="TableTextBold"/>
              <w:keepNext/>
              <w:spacing w:before="40" w:after="40"/>
              <w:jc w:val="center"/>
              <w:rPr>
                <w:rFonts w:cs="Calibri"/>
                <w:i/>
                <w:iCs/>
                <w:noProof w:val="0"/>
                <w:color w:val="FFFFFF"/>
                <w:szCs w:val="16"/>
              </w:rPr>
            </w:pPr>
            <w:r w:rsidRPr="00D9348B">
              <w:rPr>
                <w:rFonts w:cs="Calibri"/>
                <w:noProof w:val="0"/>
                <w:color w:val="FFFFFF"/>
                <w:szCs w:val="16"/>
              </w:rPr>
              <w:t>Share of Agricultural soils category (%)</w:t>
            </w:r>
          </w:p>
        </w:tc>
        <w:tc>
          <w:tcPr>
            <w:tcW w:w="1701" w:type="dxa"/>
            <w:gridSpan w:val="2"/>
            <w:tcBorders>
              <w:right w:val="nil"/>
            </w:tcBorders>
            <w:shd w:val="clear" w:color="auto" w:fill="365F91"/>
            <w:vAlign w:val="bottom"/>
          </w:tcPr>
          <w:p w14:paraId="30A1AB70" w14:textId="77777777" w:rsidR="00F849A7" w:rsidRPr="00D9348B" w:rsidRDefault="00F849A7" w:rsidP="00DB330E">
            <w:pPr>
              <w:pStyle w:val="TableTextBold"/>
              <w:keepNext/>
              <w:spacing w:before="40" w:after="40"/>
              <w:jc w:val="center"/>
              <w:rPr>
                <w:rFonts w:cs="Calibri"/>
                <w:i/>
                <w:iCs/>
                <w:noProof w:val="0"/>
                <w:color w:val="FFFFFF"/>
                <w:szCs w:val="16"/>
              </w:rPr>
            </w:pPr>
            <w:r w:rsidRPr="00D9348B">
              <w:rPr>
                <w:rFonts w:cs="Calibri"/>
                <w:noProof w:val="0"/>
                <w:color w:val="FFFFFF"/>
                <w:szCs w:val="16"/>
              </w:rPr>
              <w:t>Share of total Agriculture sector (%)</w:t>
            </w:r>
          </w:p>
        </w:tc>
      </w:tr>
      <w:tr w:rsidR="00F849A7" w:rsidRPr="00D9348B" w14:paraId="010849AD" w14:textId="77777777" w:rsidTr="00E22F51">
        <w:tc>
          <w:tcPr>
            <w:tcW w:w="1508" w:type="dxa"/>
            <w:vMerge/>
            <w:tcBorders>
              <w:left w:val="nil"/>
            </w:tcBorders>
            <w:shd w:val="clear" w:color="auto" w:fill="365F91"/>
            <w:vAlign w:val="bottom"/>
          </w:tcPr>
          <w:p w14:paraId="78112161" w14:textId="77777777" w:rsidR="00F849A7" w:rsidRPr="00D9348B" w:rsidRDefault="00F849A7" w:rsidP="00DB330E">
            <w:pPr>
              <w:pStyle w:val="TableTextBold"/>
              <w:keepNext/>
              <w:spacing w:before="40" w:after="40"/>
              <w:rPr>
                <w:rFonts w:cs="Calibri"/>
                <w:i/>
                <w:noProof w:val="0"/>
                <w:color w:val="FFFFFF"/>
                <w:szCs w:val="16"/>
              </w:rPr>
            </w:pPr>
          </w:p>
        </w:tc>
        <w:tc>
          <w:tcPr>
            <w:tcW w:w="929" w:type="dxa"/>
            <w:shd w:val="clear" w:color="auto" w:fill="365F91"/>
            <w:vAlign w:val="bottom"/>
          </w:tcPr>
          <w:p w14:paraId="443A78E1" w14:textId="77777777" w:rsidR="00F849A7" w:rsidRPr="00D9348B" w:rsidRDefault="00F849A7" w:rsidP="00DB330E">
            <w:pPr>
              <w:pStyle w:val="TableTextBold"/>
              <w:keepNext/>
              <w:spacing w:before="40" w:after="40"/>
              <w:jc w:val="right"/>
              <w:rPr>
                <w:rFonts w:cs="Calibri"/>
                <w:i/>
                <w:iCs/>
                <w:noProof w:val="0"/>
                <w:color w:val="FFFFFF"/>
                <w:szCs w:val="16"/>
              </w:rPr>
            </w:pPr>
            <w:r w:rsidRPr="00D9348B">
              <w:rPr>
                <w:rFonts w:cs="Calibri"/>
                <w:noProof w:val="0"/>
                <w:color w:val="FFFFFF"/>
                <w:szCs w:val="16"/>
              </w:rPr>
              <w:t>1990</w:t>
            </w:r>
          </w:p>
        </w:tc>
        <w:tc>
          <w:tcPr>
            <w:tcW w:w="824" w:type="dxa"/>
            <w:shd w:val="clear" w:color="auto" w:fill="365F91"/>
            <w:vAlign w:val="bottom"/>
          </w:tcPr>
          <w:p w14:paraId="123C2649" w14:textId="77777777" w:rsidR="00F849A7" w:rsidRPr="00D9348B" w:rsidRDefault="00F849A7" w:rsidP="00DB330E">
            <w:pPr>
              <w:pStyle w:val="TableTextBold"/>
              <w:keepNext/>
              <w:spacing w:before="40" w:after="40"/>
              <w:jc w:val="right"/>
              <w:rPr>
                <w:rFonts w:cs="Calibri"/>
                <w:i/>
                <w:iCs/>
                <w:noProof w:val="0"/>
                <w:color w:val="FFFFFF"/>
                <w:szCs w:val="16"/>
              </w:rPr>
            </w:pPr>
            <w:r w:rsidRPr="00D9348B">
              <w:rPr>
                <w:rFonts w:cs="Calibri"/>
                <w:noProof w:val="0"/>
                <w:color w:val="FFFFFF"/>
                <w:szCs w:val="16"/>
              </w:rPr>
              <w:t>2018</w:t>
            </w:r>
          </w:p>
        </w:tc>
        <w:tc>
          <w:tcPr>
            <w:tcW w:w="992" w:type="dxa"/>
            <w:shd w:val="clear" w:color="auto" w:fill="365F91"/>
            <w:vAlign w:val="bottom"/>
          </w:tcPr>
          <w:p w14:paraId="28956A21" w14:textId="77777777" w:rsidR="00F849A7" w:rsidRPr="00D9348B" w:rsidRDefault="00F849A7" w:rsidP="00DB330E">
            <w:pPr>
              <w:pStyle w:val="TableTextBold"/>
              <w:keepNext/>
              <w:spacing w:before="40" w:after="40"/>
              <w:jc w:val="right"/>
              <w:rPr>
                <w:rFonts w:cs="Calibri"/>
                <w:i/>
                <w:iCs/>
                <w:noProof w:val="0"/>
                <w:color w:val="FFFFFF"/>
                <w:szCs w:val="16"/>
              </w:rPr>
            </w:pPr>
            <w:r w:rsidRPr="00D9348B">
              <w:rPr>
                <w:rFonts w:cs="Calibri"/>
                <w:noProof w:val="0"/>
                <w:color w:val="FFFFFF"/>
                <w:szCs w:val="16"/>
              </w:rPr>
              <w:t>kt CO</w:t>
            </w:r>
            <w:r w:rsidRPr="00D9348B">
              <w:rPr>
                <w:rFonts w:cs="Calibri"/>
                <w:noProof w:val="0"/>
                <w:color w:val="FFFFFF"/>
                <w:szCs w:val="16"/>
                <w:vertAlign w:val="subscript"/>
              </w:rPr>
              <w:t>2</w:t>
            </w:r>
            <w:r w:rsidRPr="00D9348B">
              <w:rPr>
                <w:rFonts w:cs="Calibri"/>
                <w:noProof w:val="0"/>
                <w:color w:val="FFFFFF"/>
                <w:szCs w:val="16"/>
              </w:rPr>
              <w:t>-e</w:t>
            </w:r>
          </w:p>
        </w:tc>
        <w:tc>
          <w:tcPr>
            <w:tcW w:w="850" w:type="dxa"/>
            <w:shd w:val="clear" w:color="auto" w:fill="365F91"/>
            <w:vAlign w:val="bottom"/>
          </w:tcPr>
          <w:p w14:paraId="071542E4" w14:textId="77777777" w:rsidR="00F849A7" w:rsidRPr="00D9348B" w:rsidRDefault="00F849A7" w:rsidP="00DB330E">
            <w:pPr>
              <w:pStyle w:val="TableTextBold"/>
              <w:keepNext/>
              <w:spacing w:before="40" w:after="40"/>
              <w:jc w:val="right"/>
              <w:rPr>
                <w:rFonts w:cs="Calibri"/>
                <w:i/>
                <w:iCs/>
                <w:noProof w:val="0"/>
                <w:color w:val="FFFFFF"/>
                <w:szCs w:val="16"/>
              </w:rPr>
            </w:pPr>
            <w:r w:rsidRPr="00D9348B">
              <w:rPr>
                <w:rFonts w:cs="Calibri"/>
                <w:noProof w:val="0"/>
                <w:color w:val="FFFFFF"/>
                <w:szCs w:val="16"/>
              </w:rPr>
              <w:t>%</w:t>
            </w:r>
          </w:p>
        </w:tc>
        <w:tc>
          <w:tcPr>
            <w:tcW w:w="851" w:type="dxa"/>
            <w:shd w:val="clear" w:color="auto" w:fill="365F91"/>
            <w:vAlign w:val="bottom"/>
          </w:tcPr>
          <w:p w14:paraId="55B3E291" w14:textId="77777777" w:rsidR="00F849A7" w:rsidRPr="00D9348B" w:rsidRDefault="00F849A7" w:rsidP="00DB330E">
            <w:pPr>
              <w:pStyle w:val="TableTextBold"/>
              <w:keepNext/>
              <w:spacing w:before="40" w:after="40"/>
              <w:jc w:val="right"/>
              <w:rPr>
                <w:rFonts w:cs="Calibri"/>
                <w:i/>
                <w:iCs/>
                <w:noProof w:val="0"/>
                <w:color w:val="FFFFFF"/>
                <w:szCs w:val="16"/>
              </w:rPr>
            </w:pPr>
            <w:r w:rsidRPr="00D9348B">
              <w:rPr>
                <w:rFonts w:cs="Calibri"/>
                <w:noProof w:val="0"/>
                <w:color w:val="FFFFFF"/>
                <w:szCs w:val="16"/>
              </w:rPr>
              <w:t xml:space="preserve">1990 </w:t>
            </w:r>
          </w:p>
        </w:tc>
        <w:tc>
          <w:tcPr>
            <w:tcW w:w="850" w:type="dxa"/>
            <w:shd w:val="clear" w:color="auto" w:fill="365F91"/>
            <w:vAlign w:val="bottom"/>
          </w:tcPr>
          <w:p w14:paraId="7107C84A" w14:textId="77777777" w:rsidR="00F849A7" w:rsidRPr="00D9348B" w:rsidRDefault="00F849A7" w:rsidP="00DB330E">
            <w:pPr>
              <w:pStyle w:val="TableTextBold"/>
              <w:keepNext/>
              <w:spacing w:before="40" w:after="40"/>
              <w:jc w:val="right"/>
              <w:rPr>
                <w:rFonts w:cs="Calibri"/>
                <w:i/>
                <w:iCs/>
                <w:noProof w:val="0"/>
                <w:color w:val="FFFFFF"/>
                <w:szCs w:val="16"/>
              </w:rPr>
            </w:pPr>
            <w:r w:rsidRPr="00D9348B">
              <w:rPr>
                <w:rFonts w:cs="Calibri"/>
                <w:noProof w:val="0"/>
                <w:color w:val="FFFFFF"/>
                <w:szCs w:val="16"/>
              </w:rPr>
              <w:t>2018</w:t>
            </w:r>
          </w:p>
        </w:tc>
        <w:tc>
          <w:tcPr>
            <w:tcW w:w="851" w:type="dxa"/>
            <w:shd w:val="clear" w:color="auto" w:fill="365F91"/>
            <w:vAlign w:val="bottom"/>
          </w:tcPr>
          <w:p w14:paraId="529BA323" w14:textId="77777777" w:rsidR="00F849A7" w:rsidRPr="00D9348B" w:rsidRDefault="00F849A7" w:rsidP="00DB330E">
            <w:pPr>
              <w:pStyle w:val="TableTextBold"/>
              <w:keepNext/>
              <w:spacing w:before="40" w:after="40"/>
              <w:jc w:val="right"/>
              <w:rPr>
                <w:rFonts w:cs="Calibri"/>
                <w:i/>
                <w:iCs/>
                <w:noProof w:val="0"/>
                <w:color w:val="FFFFFF"/>
                <w:szCs w:val="16"/>
              </w:rPr>
            </w:pPr>
            <w:r w:rsidRPr="00D9348B">
              <w:rPr>
                <w:rFonts w:cs="Calibri"/>
                <w:noProof w:val="0"/>
                <w:color w:val="FFFFFF"/>
                <w:szCs w:val="16"/>
              </w:rPr>
              <w:t>1990</w:t>
            </w:r>
          </w:p>
        </w:tc>
        <w:tc>
          <w:tcPr>
            <w:tcW w:w="850" w:type="dxa"/>
            <w:tcBorders>
              <w:right w:val="nil"/>
            </w:tcBorders>
            <w:shd w:val="clear" w:color="auto" w:fill="365F91"/>
            <w:vAlign w:val="bottom"/>
          </w:tcPr>
          <w:p w14:paraId="37CE510E" w14:textId="77777777" w:rsidR="00F849A7" w:rsidRPr="00D9348B" w:rsidRDefault="00F849A7" w:rsidP="00DB330E">
            <w:pPr>
              <w:pStyle w:val="TableTextBold"/>
              <w:keepNext/>
              <w:spacing w:before="40" w:after="40"/>
              <w:jc w:val="right"/>
              <w:rPr>
                <w:rFonts w:cs="Calibri"/>
                <w:i/>
                <w:iCs/>
                <w:noProof w:val="0"/>
                <w:color w:val="FFFFFF"/>
                <w:szCs w:val="16"/>
              </w:rPr>
            </w:pPr>
            <w:r w:rsidRPr="00D9348B">
              <w:rPr>
                <w:rFonts w:cs="Calibri"/>
                <w:noProof w:val="0"/>
                <w:color w:val="FFFFFF"/>
                <w:szCs w:val="16"/>
              </w:rPr>
              <w:t>2018</w:t>
            </w:r>
          </w:p>
        </w:tc>
      </w:tr>
      <w:tr w:rsidR="00F849A7" w:rsidRPr="00D9348B" w14:paraId="7DA4B073" w14:textId="77777777" w:rsidTr="00E22F51">
        <w:tc>
          <w:tcPr>
            <w:tcW w:w="1508" w:type="dxa"/>
            <w:tcBorders>
              <w:left w:val="nil"/>
            </w:tcBorders>
            <w:shd w:val="clear" w:color="auto" w:fill="auto"/>
          </w:tcPr>
          <w:p w14:paraId="35FF1F2E" w14:textId="77777777" w:rsidR="00F849A7" w:rsidRPr="00D9348B" w:rsidRDefault="00F849A7" w:rsidP="00DB330E">
            <w:pPr>
              <w:pStyle w:val="TableText"/>
              <w:keepNext/>
              <w:spacing w:before="50" w:after="50"/>
              <w:rPr>
                <w:rFonts w:cs="Calibri"/>
                <w:i/>
                <w:iCs/>
                <w:szCs w:val="16"/>
              </w:rPr>
            </w:pPr>
            <w:r w:rsidRPr="00D9348B">
              <w:rPr>
                <w:rFonts w:cs="Calibri"/>
                <w:szCs w:val="16"/>
              </w:rPr>
              <w:t>Dairy cattle</w:t>
            </w:r>
          </w:p>
        </w:tc>
        <w:tc>
          <w:tcPr>
            <w:tcW w:w="929" w:type="dxa"/>
            <w:shd w:val="clear" w:color="auto" w:fill="auto"/>
          </w:tcPr>
          <w:p w14:paraId="175BFD6F" w14:textId="77777777" w:rsidR="00F849A7" w:rsidRPr="00D9348B" w:rsidRDefault="00F849A7" w:rsidP="00DB330E">
            <w:pPr>
              <w:pStyle w:val="TableText"/>
              <w:spacing w:before="50" w:after="50"/>
              <w:jc w:val="right"/>
              <w:rPr>
                <w:rFonts w:cs="Calibri"/>
              </w:rPr>
            </w:pPr>
            <w:r w:rsidRPr="00D9348B">
              <w:rPr>
                <w:rFonts w:cs="Calibri"/>
              </w:rPr>
              <w:t>1,198.5</w:t>
            </w:r>
          </w:p>
        </w:tc>
        <w:tc>
          <w:tcPr>
            <w:tcW w:w="824" w:type="dxa"/>
            <w:shd w:val="clear" w:color="auto" w:fill="auto"/>
          </w:tcPr>
          <w:p w14:paraId="3F164279" w14:textId="77777777" w:rsidR="00F849A7" w:rsidRPr="00D9348B" w:rsidRDefault="00F849A7" w:rsidP="00DB330E">
            <w:pPr>
              <w:pStyle w:val="TableText"/>
              <w:spacing w:before="50" w:after="50"/>
              <w:jc w:val="right"/>
              <w:rPr>
                <w:rFonts w:cs="Calibri"/>
              </w:rPr>
            </w:pPr>
            <w:r w:rsidRPr="00D9348B">
              <w:rPr>
                <w:rFonts w:cs="Calibri"/>
              </w:rPr>
              <w:t>2,529.8</w:t>
            </w:r>
          </w:p>
        </w:tc>
        <w:tc>
          <w:tcPr>
            <w:tcW w:w="992" w:type="dxa"/>
            <w:shd w:val="clear" w:color="auto" w:fill="auto"/>
          </w:tcPr>
          <w:p w14:paraId="5400E9CE" w14:textId="77777777" w:rsidR="00F849A7" w:rsidRPr="00D9348B" w:rsidRDefault="00F849A7" w:rsidP="00DB330E">
            <w:pPr>
              <w:pStyle w:val="TableText"/>
              <w:spacing w:before="50" w:after="50"/>
              <w:jc w:val="right"/>
              <w:rPr>
                <w:rFonts w:cs="Calibri"/>
              </w:rPr>
            </w:pPr>
            <w:r w:rsidRPr="00D9348B">
              <w:rPr>
                <w:rFonts w:cs="Calibri"/>
              </w:rPr>
              <w:t>1,331.2</w:t>
            </w:r>
          </w:p>
        </w:tc>
        <w:tc>
          <w:tcPr>
            <w:tcW w:w="850" w:type="dxa"/>
            <w:shd w:val="clear" w:color="auto" w:fill="auto"/>
          </w:tcPr>
          <w:p w14:paraId="42167979" w14:textId="77777777" w:rsidR="00F849A7" w:rsidRPr="00D9348B" w:rsidRDefault="00F849A7" w:rsidP="00DB330E">
            <w:pPr>
              <w:pStyle w:val="TableText"/>
              <w:spacing w:before="50" w:after="50"/>
              <w:jc w:val="right"/>
              <w:rPr>
                <w:rFonts w:cs="Calibri"/>
              </w:rPr>
            </w:pPr>
            <w:r w:rsidRPr="00D9348B">
              <w:rPr>
                <w:rFonts w:cs="Calibri"/>
              </w:rPr>
              <w:t>111.1</w:t>
            </w:r>
          </w:p>
        </w:tc>
        <w:tc>
          <w:tcPr>
            <w:tcW w:w="851" w:type="dxa"/>
            <w:shd w:val="clear" w:color="auto" w:fill="auto"/>
          </w:tcPr>
          <w:p w14:paraId="733EF789" w14:textId="77777777" w:rsidR="00F849A7" w:rsidRPr="00D9348B" w:rsidRDefault="00F849A7" w:rsidP="00DB330E">
            <w:pPr>
              <w:pStyle w:val="TableText"/>
              <w:spacing w:before="50" w:after="50"/>
              <w:jc w:val="right"/>
              <w:rPr>
                <w:rFonts w:cs="Calibri"/>
              </w:rPr>
            </w:pPr>
            <w:r w:rsidRPr="00D9348B">
              <w:rPr>
                <w:rFonts w:cs="Calibri"/>
              </w:rPr>
              <w:t>26.7</w:t>
            </w:r>
          </w:p>
        </w:tc>
        <w:tc>
          <w:tcPr>
            <w:tcW w:w="850" w:type="dxa"/>
            <w:shd w:val="clear" w:color="auto" w:fill="auto"/>
          </w:tcPr>
          <w:p w14:paraId="51AB4824" w14:textId="77777777" w:rsidR="00F849A7" w:rsidRPr="00D9348B" w:rsidRDefault="00F849A7" w:rsidP="00DB330E">
            <w:pPr>
              <w:pStyle w:val="TableText"/>
              <w:spacing w:before="50" w:after="50"/>
              <w:jc w:val="right"/>
              <w:rPr>
                <w:rFonts w:cs="Calibri"/>
              </w:rPr>
            </w:pPr>
            <w:r w:rsidRPr="00D9348B">
              <w:rPr>
                <w:rFonts w:cs="Calibri"/>
              </w:rPr>
              <w:t>36.0</w:t>
            </w:r>
          </w:p>
        </w:tc>
        <w:tc>
          <w:tcPr>
            <w:tcW w:w="851" w:type="dxa"/>
            <w:shd w:val="clear" w:color="auto" w:fill="auto"/>
          </w:tcPr>
          <w:p w14:paraId="32FB7335" w14:textId="77777777" w:rsidR="00F849A7" w:rsidRPr="00D9348B" w:rsidRDefault="00F849A7" w:rsidP="00DB330E">
            <w:pPr>
              <w:pStyle w:val="TableText"/>
              <w:spacing w:before="50" w:after="50"/>
              <w:jc w:val="right"/>
              <w:rPr>
                <w:rFonts w:cs="Calibri"/>
              </w:rPr>
            </w:pPr>
            <w:r w:rsidRPr="00D9348B">
              <w:rPr>
                <w:rFonts w:cs="Calibri"/>
              </w:rPr>
              <w:t>3.7</w:t>
            </w:r>
          </w:p>
        </w:tc>
        <w:tc>
          <w:tcPr>
            <w:tcW w:w="850" w:type="dxa"/>
            <w:tcBorders>
              <w:right w:val="nil"/>
            </w:tcBorders>
            <w:shd w:val="clear" w:color="auto" w:fill="auto"/>
          </w:tcPr>
          <w:p w14:paraId="737F81D5" w14:textId="77777777" w:rsidR="00F849A7" w:rsidRPr="00D9348B" w:rsidRDefault="00F849A7" w:rsidP="00DB330E">
            <w:pPr>
              <w:pStyle w:val="TableText"/>
              <w:spacing w:before="50" w:after="50"/>
              <w:jc w:val="right"/>
              <w:rPr>
                <w:rFonts w:cs="Calibri"/>
              </w:rPr>
            </w:pPr>
            <w:r w:rsidRPr="00D9348B">
              <w:rPr>
                <w:rFonts w:cs="Calibri"/>
              </w:rPr>
              <w:t>6.7</w:t>
            </w:r>
          </w:p>
        </w:tc>
      </w:tr>
      <w:tr w:rsidR="00F849A7" w:rsidRPr="00D9348B" w14:paraId="65FB6BFB" w14:textId="77777777" w:rsidTr="00E22F51">
        <w:tc>
          <w:tcPr>
            <w:tcW w:w="1508" w:type="dxa"/>
            <w:tcBorders>
              <w:left w:val="nil"/>
            </w:tcBorders>
            <w:shd w:val="clear" w:color="auto" w:fill="auto"/>
          </w:tcPr>
          <w:p w14:paraId="32123785" w14:textId="77777777" w:rsidR="00F849A7" w:rsidRPr="00D9348B" w:rsidRDefault="00F849A7" w:rsidP="00DB330E">
            <w:pPr>
              <w:pStyle w:val="TableText"/>
              <w:spacing w:before="50" w:after="50"/>
              <w:rPr>
                <w:rFonts w:cs="Calibri"/>
                <w:i/>
                <w:iCs/>
                <w:szCs w:val="16"/>
              </w:rPr>
            </w:pPr>
            <w:r w:rsidRPr="00D9348B">
              <w:rPr>
                <w:rFonts w:cs="Calibri"/>
                <w:szCs w:val="16"/>
              </w:rPr>
              <w:t>Non-dairy cattle</w:t>
            </w:r>
          </w:p>
        </w:tc>
        <w:tc>
          <w:tcPr>
            <w:tcW w:w="929" w:type="dxa"/>
            <w:shd w:val="clear" w:color="auto" w:fill="auto"/>
          </w:tcPr>
          <w:p w14:paraId="7FE8BA03" w14:textId="77777777" w:rsidR="00F849A7" w:rsidRPr="00D9348B" w:rsidRDefault="00F849A7" w:rsidP="00DB330E">
            <w:pPr>
              <w:pStyle w:val="TableText"/>
              <w:spacing w:before="50" w:after="50"/>
              <w:jc w:val="right"/>
              <w:rPr>
                <w:rFonts w:cs="Calibri"/>
              </w:rPr>
            </w:pPr>
            <w:r w:rsidRPr="00D9348B">
              <w:rPr>
                <w:rFonts w:cs="Calibri"/>
              </w:rPr>
              <w:t>711.8</w:t>
            </w:r>
          </w:p>
        </w:tc>
        <w:tc>
          <w:tcPr>
            <w:tcW w:w="824" w:type="dxa"/>
            <w:shd w:val="clear" w:color="auto" w:fill="auto"/>
          </w:tcPr>
          <w:p w14:paraId="1E34F6FC" w14:textId="77777777" w:rsidR="00F849A7" w:rsidRPr="00D9348B" w:rsidRDefault="00F849A7" w:rsidP="00DB330E">
            <w:pPr>
              <w:pStyle w:val="TableText"/>
              <w:spacing w:before="50" w:after="50"/>
              <w:jc w:val="right"/>
              <w:rPr>
                <w:rFonts w:cs="Calibri"/>
              </w:rPr>
            </w:pPr>
            <w:r w:rsidRPr="00D9348B">
              <w:rPr>
                <w:rFonts w:cs="Calibri"/>
              </w:rPr>
              <w:t>683.8</w:t>
            </w:r>
          </w:p>
        </w:tc>
        <w:tc>
          <w:tcPr>
            <w:tcW w:w="992" w:type="dxa"/>
            <w:shd w:val="clear" w:color="auto" w:fill="auto"/>
          </w:tcPr>
          <w:p w14:paraId="70F3D89E" w14:textId="77777777" w:rsidR="00F849A7" w:rsidRPr="00D9348B" w:rsidRDefault="00F849A7" w:rsidP="00DB330E">
            <w:pPr>
              <w:pStyle w:val="TableText"/>
              <w:spacing w:before="50" w:after="50"/>
              <w:jc w:val="right"/>
              <w:rPr>
                <w:rFonts w:cs="Calibri"/>
              </w:rPr>
            </w:pPr>
            <w:r w:rsidRPr="00D9348B">
              <w:rPr>
                <w:rFonts w:cs="Calibri"/>
              </w:rPr>
              <w:t>–28.0</w:t>
            </w:r>
          </w:p>
        </w:tc>
        <w:tc>
          <w:tcPr>
            <w:tcW w:w="850" w:type="dxa"/>
            <w:shd w:val="clear" w:color="auto" w:fill="auto"/>
          </w:tcPr>
          <w:p w14:paraId="55CA12A5" w14:textId="77777777" w:rsidR="00F849A7" w:rsidRPr="00D9348B" w:rsidRDefault="00F849A7" w:rsidP="00DB330E">
            <w:pPr>
              <w:pStyle w:val="TableText"/>
              <w:spacing w:before="50" w:after="50"/>
              <w:jc w:val="right"/>
              <w:rPr>
                <w:rFonts w:cs="Calibri"/>
              </w:rPr>
            </w:pPr>
            <w:r w:rsidRPr="00D9348B">
              <w:rPr>
                <w:rFonts w:cs="Calibri"/>
              </w:rPr>
              <w:t>–3.9</w:t>
            </w:r>
          </w:p>
        </w:tc>
        <w:tc>
          <w:tcPr>
            <w:tcW w:w="851" w:type="dxa"/>
            <w:shd w:val="clear" w:color="auto" w:fill="auto"/>
          </w:tcPr>
          <w:p w14:paraId="443A177D" w14:textId="77777777" w:rsidR="00F849A7" w:rsidRPr="00D9348B" w:rsidRDefault="00F849A7" w:rsidP="00DB330E">
            <w:pPr>
              <w:pStyle w:val="TableText"/>
              <w:spacing w:before="50" w:after="50"/>
              <w:jc w:val="right"/>
              <w:rPr>
                <w:rFonts w:cs="Calibri"/>
              </w:rPr>
            </w:pPr>
            <w:r w:rsidRPr="00D9348B">
              <w:rPr>
                <w:rFonts w:cs="Calibri"/>
              </w:rPr>
              <w:t>15.9</w:t>
            </w:r>
          </w:p>
        </w:tc>
        <w:tc>
          <w:tcPr>
            <w:tcW w:w="850" w:type="dxa"/>
            <w:shd w:val="clear" w:color="auto" w:fill="auto"/>
          </w:tcPr>
          <w:p w14:paraId="03A3DE32" w14:textId="77777777" w:rsidR="00F849A7" w:rsidRPr="00D9348B" w:rsidRDefault="00F849A7" w:rsidP="00DB330E">
            <w:pPr>
              <w:pStyle w:val="TableText"/>
              <w:spacing w:before="50" w:after="50"/>
              <w:jc w:val="right"/>
              <w:rPr>
                <w:rFonts w:cs="Calibri"/>
              </w:rPr>
            </w:pPr>
            <w:r w:rsidRPr="00D9348B">
              <w:rPr>
                <w:rFonts w:cs="Calibri"/>
              </w:rPr>
              <w:t>9.7</w:t>
            </w:r>
          </w:p>
        </w:tc>
        <w:tc>
          <w:tcPr>
            <w:tcW w:w="851" w:type="dxa"/>
            <w:shd w:val="clear" w:color="auto" w:fill="auto"/>
          </w:tcPr>
          <w:p w14:paraId="408FD817" w14:textId="77777777" w:rsidR="00F849A7" w:rsidRPr="00D9348B" w:rsidRDefault="00F849A7" w:rsidP="00DB330E">
            <w:pPr>
              <w:pStyle w:val="TableText"/>
              <w:spacing w:before="50" w:after="50"/>
              <w:jc w:val="right"/>
              <w:rPr>
                <w:rFonts w:cs="Calibri"/>
              </w:rPr>
            </w:pPr>
            <w:r w:rsidRPr="00D9348B">
              <w:rPr>
                <w:rFonts w:cs="Calibri"/>
              </w:rPr>
              <w:t>2.2</w:t>
            </w:r>
          </w:p>
        </w:tc>
        <w:tc>
          <w:tcPr>
            <w:tcW w:w="850" w:type="dxa"/>
            <w:tcBorders>
              <w:right w:val="nil"/>
            </w:tcBorders>
            <w:shd w:val="clear" w:color="auto" w:fill="auto"/>
          </w:tcPr>
          <w:p w14:paraId="6961BF79" w14:textId="77777777" w:rsidR="00F849A7" w:rsidRPr="00D9348B" w:rsidRDefault="00F849A7" w:rsidP="00DB330E">
            <w:pPr>
              <w:pStyle w:val="TableText"/>
              <w:spacing w:before="50" w:after="50"/>
              <w:jc w:val="right"/>
              <w:rPr>
                <w:rFonts w:cs="Calibri"/>
              </w:rPr>
            </w:pPr>
            <w:r w:rsidRPr="00D9348B">
              <w:rPr>
                <w:rFonts w:cs="Calibri"/>
              </w:rPr>
              <w:t>1.8</w:t>
            </w:r>
          </w:p>
        </w:tc>
      </w:tr>
      <w:tr w:rsidR="00F849A7" w:rsidRPr="00D9348B" w14:paraId="2DD965C1" w14:textId="77777777" w:rsidTr="00E22F51">
        <w:trPr>
          <w:trHeight w:val="50"/>
        </w:trPr>
        <w:tc>
          <w:tcPr>
            <w:tcW w:w="1508" w:type="dxa"/>
            <w:tcBorders>
              <w:left w:val="nil"/>
            </w:tcBorders>
            <w:shd w:val="clear" w:color="auto" w:fill="auto"/>
          </w:tcPr>
          <w:p w14:paraId="796A7304" w14:textId="77777777" w:rsidR="00F849A7" w:rsidRPr="00D9348B" w:rsidRDefault="00F849A7" w:rsidP="00DB330E">
            <w:pPr>
              <w:pStyle w:val="TableText"/>
              <w:spacing w:before="50" w:after="50"/>
              <w:rPr>
                <w:rFonts w:cs="Calibri"/>
                <w:i/>
                <w:iCs/>
                <w:szCs w:val="16"/>
              </w:rPr>
            </w:pPr>
            <w:r w:rsidRPr="00D9348B">
              <w:rPr>
                <w:rFonts w:cs="Calibri"/>
                <w:szCs w:val="16"/>
              </w:rPr>
              <w:t>Sheep</w:t>
            </w:r>
          </w:p>
        </w:tc>
        <w:tc>
          <w:tcPr>
            <w:tcW w:w="929" w:type="dxa"/>
            <w:shd w:val="clear" w:color="auto" w:fill="auto"/>
          </w:tcPr>
          <w:p w14:paraId="03CB63CE" w14:textId="77777777" w:rsidR="00F849A7" w:rsidRPr="00D9348B" w:rsidRDefault="00F849A7" w:rsidP="00DB330E">
            <w:pPr>
              <w:pStyle w:val="TableText"/>
              <w:spacing w:before="50" w:after="50"/>
              <w:jc w:val="right"/>
              <w:rPr>
                <w:rFonts w:cs="Calibri"/>
              </w:rPr>
            </w:pPr>
            <w:r w:rsidRPr="00D9348B">
              <w:rPr>
                <w:rFonts w:cs="Calibri"/>
              </w:rPr>
              <w:t>887.7</w:t>
            </w:r>
          </w:p>
        </w:tc>
        <w:tc>
          <w:tcPr>
            <w:tcW w:w="824" w:type="dxa"/>
            <w:shd w:val="clear" w:color="auto" w:fill="auto"/>
          </w:tcPr>
          <w:p w14:paraId="2CC09959" w14:textId="77777777" w:rsidR="00F849A7" w:rsidRPr="00D9348B" w:rsidRDefault="00F849A7" w:rsidP="00DB330E">
            <w:pPr>
              <w:pStyle w:val="TableText"/>
              <w:spacing w:before="50" w:after="50"/>
              <w:jc w:val="right"/>
              <w:rPr>
                <w:rFonts w:cs="Calibri"/>
              </w:rPr>
            </w:pPr>
            <w:r w:rsidRPr="00D9348B">
              <w:rPr>
                <w:rFonts w:cs="Calibri"/>
              </w:rPr>
              <w:t>542.9</w:t>
            </w:r>
          </w:p>
        </w:tc>
        <w:tc>
          <w:tcPr>
            <w:tcW w:w="992" w:type="dxa"/>
            <w:shd w:val="clear" w:color="auto" w:fill="auto"/>
          </w:tcPr>
          <w:p w14:paraId="73C7B80E" w14:textId="77777777" w:rsidR="00F849A7" w:rsidRPr="00D9348B" w:rsidRDefault="00F849A7" w:rsidP="00DB330E">
            <w:pPr>
              <w:pStyle w:val="TableText"/>
              <w:spacing w:before="50" w:after="50"/>
              <w:jc w:val="right"/>
              <w:rPr>
                <w:rFonts w:cs="Calibri"/>
              </w:rPr>
            </w:pPr>
            <w:r w:rsidRPr="00D9348B">
              <w:rPr>
                <w:rFonts w:cs="Calibri"/>
              </w:rPr>
              <w:t>–344.8</w:t>
            </w:r>
          </w:p>
        </w:tc>
        <w:tc>
          <w:tcPr>
            <w:tcW w:w="850" w:type="dxa"/>
            <w:shd w:val="clear" w:color="auto" w:fill="auto"/>
          </w:tcPr>
          <w:p w14:paraId="4FECF14A" w14:textId="77777777" w:rsidR="00F849A7" w:rsidRPr="00D9348B" w:rsidRDefault="00F849A7" w:rsidP="00DB330E">
            <w:pPr>
              <w:pStyle w:val="TableText"/>
              <w:spacing w:before="50" w:after="50"/>
              <w:jc w:val="right"/>
              <w:rPr>
                <w:rFonts w:cs="Calibri"/>
              </w:rPr>
            </w:pPr>
            <w:r w:rsidRPr="00D9348B">
              <w:rPr>
                <w:rFonts w:cs="Calibri"/>
              </w:rPr>
              <w:t>–38.8</w:t>
            </w:r>
          </w:p>
        </w:tc>
        <w:tc>
          <w:tcPr>
            <w:tcW w:w="851" w:type="dxa"/>
            <w:shd w:val="clear" w:color="auto" w:fill="auto"/>
          </w:tcPr>
          <w:p w14:paraId="4FF175A1" w14:textId="77777777" w:rsidR="00F849A7" w:rsidRPr="00D9348B" w:rsidRDefault="00F849A7" w:rsidP="00DB330E">
            <w:pPr>
              <w:pStyle w:val="TableText"/>
              <w:spacing w:before="50" w:after="50"/>
              <w:jc w:val="right"/>
              <w:rPr>
                <w:rFonts w:cs="Calibri"/>
              </w:rPr>
            </w:pPr>
            <w:r w:rsidRPr="00D9348B">
              <w:rPr>
                <w:rFonts w:cs="Calibri"/>
              </w:rPr>
              <w:t>19.8</w:t>
            </w:r>
          </w:p>
        </w:tc>
        <w:tc>
          <w:tcPr>
            <w:tcW w:w="850" w:type="dxa"/>
            <w:shd w:val="clear" w:color="auto" w:fill="auto"/>
          </w:tcPr>
          <w:p w14:paraId="7D3A81D8" w14:textId="77777777" w:rsidR="00F849A7" w:rsidRPr="00D9348B" w:rsidRDefault="00F849A7" w:rsidP="00DB330E">
            <w:pPr>
              <w:pStyle w:val="TableText"/>
              <w:spacing w:before="50" w:after="50"/>
              <w:jc w:val="right"/>
              <w:rPr>
                <w:rFonts w:cs="Calibri"/>
              </w:rPr>
            </w:pPr>
            <w:r w:rsidRPr="00D9348B">
              <w:rPr>
                <w:rFonts w:cs="Calibri"/>
              </w:rPr>
              <w:t>7.7</w:t>
            </w:r>
          </w:p>
        </w:tc>
        <w:tc>
          <w:tcPr>
            <w:tcW w:w="851" w:type="dxa"/>
            <w:shd w:val="clear" w:color="auto" w:fill="auto"/>
          </w:tcPr>
          <w:p w14:paraId="48942BF0" w14:textId="77777777" w:rsidR="00F849A7" w:rsidRPr="00D9348B" w:rsidRDefault="00F849A7" w:rsidP="00DB330E">
            <w:pPr>
              <w:pStyle w:val="TableText"/>
              <w:spacing w:before="50" w:after="50"/>
              <w:jc w:val="right"/>
              <w:rPr>
                <w:rFonts w:cs="Calibri"/>
              </w:rPr>
            </w:pPr>
            <w:r w:rsidRPr="00D9348B">
              <w:rPr>
                <w:rFonts w:cs="Calibri"/>
              </w:rPr>
              <w:t>2.8</w:t>
            </w:r>
          </w:p>
        </w:tc>
        <w:tc>
          <w:tcPr>
            <w:tcW w:w="850" w:type="dxa"/>
            <w:tcBorders>
              <w:right w:val="nil"/>
            </w:tcBorders>
            <w:shd w:val="clear" w:color="auto" w:fill="auto"/>
          </w:tcPr>
          <w:p w14:paraId="77666263" w14:textId="77777777" w:rsidR="00F849A7" w:rsidRPr="00D9348B" w:rsidRDefault="00F849A7" w:rsidP="00DB330E">
            <w:pPr>
              <w:pStyle w:val="TableText"/>
              <w:spacing w:before="50" w:after="50"/>
              <w:jc w:val="right"/>
              <w:rPr>
                <w:rFonts w:cs="Calibri"/>
              </w:rPr>
            </w:pPr>
            <w:r w:rsidRPr="00D9348B">
              <w:rPr>
                <w:rFonts w:cs="Calibri"/>
              </w:rPr>
              <w:t>1.4</w:t>
            </w:r>
          </w:p>
        </w:tc>
      </w:tr>
      <w:tr w:rsidR="00F849A7" w:rsidRPr="00D9348B" w14:paraId="1DF1C99F" w14:textId="77777777" w:rsidTr="00E22F51">
        <w:tc>
          <w:tcPr>
            <w:tcW w:w="1508" w:type="dxa"/>
            <w:tcBorders>
              <w:left w:val="nil"/>
            </w:tcBorders>
            <w:shd w:val="clear" w:color="auto" w:fill="auto"/>
          </w:tcPr>
          <w:p w14:paraId="08216546" w14:textId="77777777" w:rsidR="00F849A7" w:rsidRPr="00D9348B" w:rsidRDefault="00F849A7" w:rsidP="00DB330E">
            <w:pPr>
              <w:pStyle w:val="TableText"/>
              <w:spacing w:before="50" w:after="50"/>
              <w:rPr>
                <w:rFonts w:cs="Calibri"/>
                <w:i/>
                <w:iCs/>
                <w:szCs w:val="16"/>
              </w:rPr>
            </w:pPr>
            <w:r w:rsidRPr="00D9348B">
              <w:rPr>
                <w:rFonts w:cs="Calibri"/>
                <w:szCs w:val="16"/>
              </w:rPr>
              <w:t>Deer</w:t>
            </w:r>
          </w:p>
        </w:tc>
        <w:tc>
          <w:tcPr>
            <w:tcW w:w="929" w:type="dxa"/>
            <w:shd w:val="clear" w:color="auto" w:fill="auto"/>
          </w:tcPr>
          <w:p w14:paraId="0436DED6" w14:textId="77777777" w:rsidR="00F849A7" w:rsidRPr="00D9348B" w:rsidRDefault="00F849A7" w:rsidP="00DB330E">
            <w:pPr>
              <w:pStyle w:val="TableText"/>
              <w:spacing w:before="50" w:after="50"/>
              <w:jc w:val="right"/>
              <w:rPr>
                <w:rFonts w:cs="Calibri"/>
              </w:rPr>
            </w:pPr>
            <w:r w:rsidRPr="00D9348B">
              <w:rPr>
                <w:rFonts w:cs="Calibri"/>
              </w:rPr>
              <w:t>47.9</w:t>
            </w:r>
          </w:p>
        </w:tc>
        <w:tc>
          <w:tcPr>
            <w:tcW w:w="824" w:type="dxa"/>
            <w:shd w:val="clear" w:color="auto" w:fill="auto"/>
          </w:tcPr>
          <w:p w14:paraId="480F7841" w14:textId="77777777" w:rsidR="00F849A7" w:rsidRPr="00D9348B" w:rsidRDefault="00F849A7" w:rsidP="00DB330E">
            <w:pPr>
              <w:pStyle w:val="TableText"/>
              <w:spacing w:before="50" w:after="50"/>
              <w:jc w:val="right"/>
              <w:rPr>
                <w:rFonts w:cs="Calibri"/>
              </w:rPr>
            </w:pPr>
            <w:r w:rsidRPr="00D9348B">
              <w:rPr>
                <w:rFonts w:cs="Calibri"/>
              </w:rPr>
              <w:t>47.5</w:t>
            </w:r>
          </w:p>
        </w:tc>
        <w:tc>
          <w:tcPr>
            <w:tcW w:w="992" w:type="dxa"/>
            <w:shd w:val="clear" w:color="auto" w:fill="auto"/>
          </w:tcPr>
          <w:p w14:paraId="14853E84" w14:textId="77777777" w:rsidR="00F849A7" w:rsidRPr="00D9348B" w:rsidRDefault="00F849A7" w:rsidP="00DB330E">
            <w:pPr>
              <w:pStyle w:val="TableText"/>
              <w:spacing w:before="50" w:after="50"/>
              <w:jc w:val="right"/>
              <w:rPr>
                <w:rFonts w:cs="Calibri"/>
              </w:rPr>
            </w:pPr>
            <w:r w:rsidRPr="00D9348B">
              <w:rPr>
                <w:rFonts w:cs="Calibri"/>
              </w:rPr>
              <w:t>–0.5</w:t>
            </w:r>
          </w:p>
        </w:tc>
        <w:tc>
          <w:tcPr>
            <w:tcW w:w="850" w:type="dxa"/>
            <w:shd w:val="clear" w:color="auto" w:fill="auto"/>
          </w:tcPr>
          <w:p w14:paraId="56BC0CD1" w14:textId="77777777" w:rsidR="00F849A7" w:rsidRPr="00D9348B" w:rsidRDefault="00F849A7" w:rsidP="00DB330E">
            <w:pPr>
              <w:pStyle w:val="TableText"/>
              <w:spacing w:before="50" w:after="50"/>
              <w:jc w:val="right"/>
              <w:rPr>
                <w:rFonts w:cs="Calibri"/>
              </w:rPr>
            </w:pPr>
            <w:r w:rsidRPr="00D9348B">
              <w:rPr>
                <w:rFonts w:cs="Calibri"/>
              </w:rPr>
              <w:t>–1.0</w:t>
            </w:r>
          </w:p>
        </w:tc>
        <w:tc>
          <w:tcPr>
            <w:tcW w:w="851" w:type="dxa"/>
            <w:shd w:val="clear" w:color="auto" w:fill="auto"/>
          </w:tcPr>
          <w:p w14:paraId="074496FB" w14:textId="77777777" w:rsidR="00F849A7" w:rsidRPr="00D9348B" w:rsidRDefault="00F849A7" w:rsidP="00DB330E">
            <w:pPr>
              <w:pStyle w:val="TableText"/>
              <w:spacing w:before="50" w:after="50"/>
              <w:jc w:val="right"/>
              <w:rPr>
                <w:rFonts w:cs="Calibri"/>
              </w:rPr>
            </w:pPr>
            <w:r w:rsidRPr="00D9348B">
              <w:rPr>
                <w:rFonts w:cs="Calibri"/>
              </w:rPr>
              <w:t>1.1</w:t>
            </w:r>
          </w:p>
        </w:tc>
        <w:tc>
          <w:tcPr>
            <w:tcW w:w="850" w:type="dxa"/>
            <w:shd w:val="clear" w:color="auto" w:fill="auto"/>
          </w:tcPr>
          <w:p w14:paraId="6D60C19F" w14:textId="77777777" w:rsidR="00F849A7" w:rsidRPr="00D9348B" w:rsidRDefault="00F849A7" w:rsidP="00DB330E">
            <w:pPr>
              <w:pStyle w:val="TableText"/>
              <w:spacing w:before="50" w:after="50"/>
              <w:jc w:val="right"/>
              <w:rPr>
                <w:rFonts w:cs="Calibri"/>
              </w:rPr>
            </w:pPr>
            <w:r w:rsidRPr="00D9348B">
              <w:rPr>
                <w:rFonts w:cs="Calibri"/>
              </w:rPr>
              <w:t>0.7</w:t>
            </w:r>
          </w:p>
        </w:tc>
        <w:tc>
          <w:tcPr>
            <w:tcW w:w="851" w:type="dxa"/>
            <w:shd w:val="clear" w:color="auto" w:fill="auto"/>
          </w:tcPr>
          <w:p w14:paraId="33F0D192" w14:textId="77777777" w:rsidR="00F849A7" w:rsidRPr="00D9348B" w:rsidRDefault="00F849A7" w:rsidP="00DB330E">
            <w:pPr>
              <w:pStyle w:val="TableText"/>
              <w:spacing w:before="50" w:after="50"/>
              <w:jc w:val="right"/>
              <w:rPr>
                <w:rFonts w:cs="Calibri"/>
              </w:rPr>
            </w:pPr>
            <w:r w:rsidRPr="00D9348B">
              <w:rPr>
                <w:rFonts w:cs="Calibri"/>
              </w:rPr>
              <w:t>0.1</w:t>
            </w:r>
          </w:p>
        </w:tc>
        <w:tc>
          <w:tcPr>
            <w:tcW w:w="850" w:type="dxa"/>
            <w:tcBorders>
              <w:right w:val="nil"/>
            </w:tcBorders>
            <w:shd w:val="clear" w:color="auto" w:fill="auto"/>
          </w:tcPr>
          <w:p w14:paraId="38A49B97" w14:textId="77777777" w:rsidR="00F849A7" w:rsidRPr="00D9348B" w:rsidRDefault="00F849A7" w:rsidP="00DB330E">
            <w:pPr>
              <w:pStyle w:val="TableText"/>
              <w:spacing w:before="50" w:after="50"/>
              <w:jc w:val="right"/>
              <w:rPr>
                <w:rFonts w:cs="Calibri"/>
              </w:rPr>
            </w:pPr>
            <w:r w:rsidRPr="00D9348B">
              <w:rPr>
                <w:rFonts w:cs="Calibri"/>
              </w:rPr>
              <w:t>0.1</w:t>
            </w:r>
          </w:p>
        </w:tc>
      </w:tr>
      <w:tr w:rsidR="00F849A7" w:rsidRPr="00D9348B" w14:paraId="7FC56193" w14:textId="77777777" w:rsidTr="00E22F51">
        <w:tc>
          <w:tcPr>
            <w:tcW w:w="1508" w:type="dxa"/>
            <w:tcBorders>
              <w:left w:val="nil"/>
            </w:tcBorders>
            <w:shd w:val="clear" w:color="auto" w:fill="auto"/>
          </w:tcPr>
          <w:p w14:paraId="5FD0A377" w14:textId="77777777" w:rsidR="00F849A7" w:rsidRPr="00D9348B" w:rsidRDefault="00F849A7" w:rsidP="00DB330E">
            <w:pPr>
              <w:pStyle w:val="TableText"/>
              <w:spacing w:before="50" w:after="50"/>
              <w:rPr>
                <w:rFonts w:cs="Calibri"/>
                <w:i/>
                <w:iCs/>
                <w:szCs w:val="16"/>
              </w:rPr>
            </w:pPr>
            <w:r w:rsidRPr="00D9348B">
              <w:rPr>
                <w:rFonts w:cs="Calibri"/>
                <w:szCs w:val="16"/>
              </w:rPr>
              <w:t>Minor livestock</w:t>
            </w:r>
          </w:p>
        </w:tc>
        <w:tc>
          <w:tcPr>
            <w:tcW w:w="929" w:type="dxa"/>
            <w:shd w:val="clear" w:color="auto" w:fill="auto"/>
          </w:tcPr>
          <w:p w14:paraId="621BE9BD" w14:textId="77777777" w:rsidR="00F849A7" w:rsidRPr="00D9348B" w:rsidRDefault="00F849A7" w:rsidP="00DB330E">
            <w:pPr>
              <w:pStyle w:val="TableText"/>
              <w:spacing w:before="50" w:after="50"/>
              <w:jc w:val="right"/>
              <w:rPr>
                <w:rFonts w:cs="Calibri"/>
              </w:rPr>
            </w:pPr>
            <w:r w:rsidRPr="00D9348B">
              <w:rPr>
                <w:rFonts w:cs="Calibri"/>
              </w:rPr>
              <w:t>80.8</w:t>
            </w:r>
          </w:p>
        </w:tc>
        <w:tc>
          <w:tcPr>
            <w:tcW w:w="824" w:type="dxa"/>
            <w:shd w:val="clear" w:color="auto" w:fill="auto"/>
          </w:tcPr>
          <w:p w14:paraId="63E2EBDF" w14:textId="77777777" w:rsidR="00F849A7" w:rsidRPr="00D9348B" w:rsidRDefault="00F849A7" w:rsidP="00DB330E">
            <w:pPr>
              <w:pStyle w:val="TableText"/>
              <w:spacing w:before="50" w:after="50"/>
              <w:jc w:val="right"/>
              <w:rPr>
                <w:rFonts w:cs="Calibri"/>
              </w:rPr>
            </w:pPr>
            <w:r w:rsidRPr="00D9348B">
              <w:rPr>
                <w:rFonts w:cs="Calibri"/>
              </w:rPr>
              <w:t>20.2</w:t>
            </w:r>
          </w:p>
        </w:tc>
        <w:tc>
          <w:tcPr>
            <w:tcW w:w="992" w:type="dxa"/>
            <w:shd w:val="clear" w:color="auto" w:fill="auto"/>
          </w:tcPr>
          <w:p w14:paraId="137FBFA7" w14:textId="77777777" w:rsidR="00F849A7" w:rsidRPr="00D9348B" w:rsidRDefault="00F849A7" w:rsidP="00DB330E">
            <w:pPr>
              <w:pStyle w:val="TableText"/>
              <w:spacing w:before="50" w:after="50"/>
              <w:jc w:val="right"/>
              <w:rPr>
                <w:rFonts w:cs="Calibri"/>
              </w:rPr>
            </w:pPr>
            <w:r w:rsidRPr="00D9348B">
              <w:rPr>
                <w:rFonts w:cs="Calibri"/>
              </w:rPr>
              <w:t>–60.6</w:t>
            </w:r>
          </w:p>
        </w:tc>
        <w:tc>
          <w:tcPr>
            <w:tcW w:w="850" w:type="dxa"/>
            <w:shd w:val="clear" w:color="auto" w:fill="auto"/>
          </w:tcPr>
          <w:p w14:paraId="26E823E4" w14:textId="77777777" w:rsidR="00F849A7" w:rsidRPr="00D9348B" w:rsidRDefault="00F849A7" w:rsidP="00DB330E">
            <w:pPr>
              <w:pStyle w:val="TableText"/>
              <w:spacing w:before="50" w:after="50"/>
              <w:jc w:val="right"/>
              <w:rPr>
                <w:rFonts w:cs="Calibri"/>
              </w:rPr>
            </w:pPr>
            <w:r w:rsidRPr="00D9348B">
              <w:rPr>
                <w:rFonts w:cs="Calibri"/>
              </w:rPr>
              <w:t>–75.0</w:t>
            </w:r>
          </w:p>
        </w:tc>
        <w:tc>
          <w:tcPr>
            <w:tcW w:w="851" w:type="dxa"/>
            <w:shd w:val="clear" w:color="auto" w:fill="auto"/>
          </w:tcPr>
          <w:p w14:paraId="32B59A7A" w14:textId="77777777" w:rsidR="00F849A7" w:rsidRPr="00D9348B" w:rsidRDefault="00F849A7" w:rsidP="00DB330E">
            <w:pPr>
              <w:pStyle w:val="TableText"/>
              <w:spacing w:before="50" w:after="50"/>
              <w:jc w:val="right"/>
              <w:rPr>
                <w:rFonts w:cs="Calibri"/>
              </w:rPr>
            </w:pPr>
            <w:r w:rsidRPr="00D9348B">
              <w:rPr>
                <w:rFonts w:cs="Calibri"/>
              </w:rPr>
              <w:t>1.8</w:t>
            </w:r>
          </w:p>
        </w:tc>
        <w:tc>
          <w:tcPr>
            <w:tcW w:w="850" w:type="dxa"/>
            <w:shd w:val="clear" w:color="auto" w:fill="auto"/>
          </w:tcPr>
          <w:p w14:paraId="7BF3FA15" w14:textId="77777777" w:rsidR="00F849A7" w:rsidRPr="00D9348B" w:rsidRDefault="00F849A7" w:rsidP="00DB330E">
            <w:pPr>
              <w:pStyle w:val="TableText"/>
              <w:spacing w:before="50" w:after="50"/>
              <w:jc w:val="right"/>
              <w:rPr>
                <w:rFonts w:cs="Calibri"/>
              </w:rPr>
            </w:pPr>
            <w:r w:rsidRPr="00D9348B">
              <w:rPr>
                <w:rFonts w:cs="Calibri"/>
              </w:rPr>
              <w:t>0.3</w:t>
            </w:r>
          </w:p>
        </w:tc>
        <w:tc>
          <w:tcPr>
            <w:tcW w:w="851" w:type="dxa"/>
            <w:shd w:val="clear" w:color="auto" w:fill="auto"/>
          </w:tcPr>
          <w:p w14:paraId="59CDE792" w14:textId="77777777" w:rsidR="00F849A7" w:rsidRPr="00D9348B" w:rsidRDefault="00F849A7" w:rsidP="00DB330E">
            <w:pPr>
              <w:pStyle w:val="TableText"/>
              <w:spacing w:before="50" w:after="50"/>
              <w:jc w:val="right"/>
              <w:rPr>
                <w:rFonts w:cs="Calibri"/>
              </w:rPr>
            </w:pPr>
            <w:r w:rsidRPr="00D9348B">
              <w:rPr>
                <w:rFonts w:cs="Calibri"/>
              </w:rPr>
              <w:t>0.3</w:t>
            </w:r>
          </w:p>
        </w:tc>
        <w:tc>
          <w:tcPr>
            <w:tcW w:w="850" w:type="dxa"/>
            <w:tcBorders>
              <w:right w:val="nil"/>
            </w:tcBorders>
            <w:shd w:val="clear" w:color="auto" w:fill="auto"/>
          </w:tcPr>
          <w:p w14:paraId="4B39B444" w14:textId="77777777" w:rsidR="00F849A7" w:rsidRPr="00D9348B" w:rsidRDefault="00F849A7" w:rsidP="00DB330E">
            <w:pPr>
              <w:pStyle w:val="TableText"/>
              <w:spacing w:before="50" w:after="50"/>
              <w:jc w:val="right"/>
              <w:rPr>
                <w:rFonts w:cs="Calibri"/>
              </w:rPr>
            </w:pPr>
            <w:r w:rsidRPr="00D9348B">
              <w:rPr>
                <w:rFonts w:cs="Calibri"/>
              </w:rPr>
              <w:t>0.1</w:t>
            </w:r>
          </w:p>
        </w:tc>
      </w:tr>
    </w:tbl>
    <w:p w14:paraId="523D528A" w14:textId="77777777" w:rsidR="00F849A7" w:rsidRPr="00D9348B" w:rsidRDefault="00F849A7" w:rsidP="00F849A7">
      <w:pPr>
        <w:pStyle w:val="Noteundertable"/>
        <w:spacing w:before="160"/>
        <w:rPr>
          <w:rFonts w:cs="Calibri"/>
        </w:rPr>
      </w:pPr>
      <w:bookmarkStart w:id="919" w:name="_Toc274046122"/>
      <w:bookmarkEnd w:id="918"/>
      <w:r w:rsidRPr="00D9348B">
        <w:rPr>
          <w:rFonts w:cs="Calibri"/>
          <w:b/>
          <w:bCs/>
        </w:rPr>
        <w:t>Note:</w:t>
      </w:r>
      <w:r w:rsidRPr="00D9348B">
        <w:rPr>
          <w:rFonts w:cs="Calibri"/>
        </w:rPr>
        <w:tab/>
        <w:t>Percentages presented are calculated from unrounded values.</w:t>
      </w:r>
    </w:p>
    <w:p w14:paraId="15946801" w14:textId="77777777" w:rsidR="00F849A7" w:rsidRPr="00D9348B" w:rsidRDefault="00F849A7" w:rsidP="00F849A7">
      <w:pPr>
        <w:pStyle w:val="Heading5"/>
        <w:rPr>
          <w:rFonts w:cs="Calibri"/>
        </w:rPr>
      </w:pPr>
      <w:r w:rsidRPr="00D9348B">
        <w:rPr>
          <w:rFonts w:cs="Calibri"/>
        </w:rPr>
        <w:t>Nitrous oxide from crop residue returned to soil</w:t>
      </w:r>
      <w:bookmarkEnd w:id="919"/>
      <w:r w:rsidRPr="00D9348B">
        <w:rPr>
          <w:rFonts w:cs="Calibri"/>
        </w:rPr>
        <w:t xml:space="preserve"> (CRF 3.D.1.4)</w:t>
      </w:r>
    </w:p>
    <w:p w14:paraId="7966A91B" w14:textId="77777777" w:rsidR="00F849A7" w:rsidRPr="00D9348B" w:rsidDel="005621A7" w:rsidRDefault="00F849A7" w:rsidP="00F849A7">
      <w:pPr>
        <w:pStyle w:val="BodyText"/>
        <w:rPr>
          <w:rFonts w:cs="Calibri"/>
        </w:rPr>
      </w:pPr>
      <w:r w:rsidRPr="00D9348B">
        <w:rPr>
          <w:rFonts w:cs="Calibri"/>
        </w:rPr>
        <w:t xml:space="preserve">This emission category includes emissions from nitrogen added to soils by above- and below-ground crop residue (including residue left behind by crop burning), and the nitrogen added as a result of mineralisation of forages during pasture renewal. It includes both nitrogen-fixing and non-nitrogen-fixing crop species. Crop residues are materials left in an agricultural field or orchard after the crop has been harvested. Pasture renewal is the destruction of low quality pasture followed by the sowing of improved pasture species and/or varieties. It is promoted as a method to increase farm productivity. The direct emissions from agricultural residue burning are reported under section 5.7. </w:t>
      </w:r>
    </w:p>
    <w:p w14:paraId="72725A3B" w14:textId="77777777" w:rsidR="00F849A7" w:rsidRPr="00D9348B" w:rsidRDefault="00F849A7" w:rsidP="00F849A7">
      <w:pPr>
        <w:pStyle w:val="BodyText"/>
        <w:spacing w:before="100"/>
        <w:rPr>
          <w:rFonts w:cs="Calibri"/>
        </w:rPr>
      </w:pPr>
      <w:r w:rsidRPr="00D9348B">
        <w:rPr>
          <w:rFonts w:cs="Calibri"/>
        </w:rPr>
        <w:t>New Zealand does not include an adjustment for crop residue removed for feed and bedding, as recommended by Thomas et al. (2008), who recommended that this be ignored until appropriate activity data are available.</w:t>
      </w:r>
    </w:p>
    <w:p w14:paraId="27FC7927" w14:textId="77777777" w:rsidR="00F849A7" w:rsidRPr="00D9348B" w:rsidRDefault="00F849A7" w:rsidP="00F849A7">
      <w:pPr>
        <w:pStyle w:val="BodyText"/>
        <w:spacing w:before="100"/>
        <w:rPr>
          <w:rFonts w:cs="Calibri"/>
        </w:rPr>
      </w:pPr>
      <w:r w:rsidRPr="00D9348B">
        <w:rPr>
          <w:rFonts w:cs="Calibri"/>
          <w:b/>
          <w:bCs/>
        </w:rPr>
        <w:t xml:space="preserve">Nitrogen from crop residue: </w:t>
      </w:r>
      <w:r w:rsidRPr="00D9348B">
        <w:rPr>
          <w:rFonts w:cs="Calibri"/>
        </w:rPr>
        <w:t>The non-nitrogen-fixing crops grown in New Zealand are barley, wheat, oats, potatoes, maize seed and other seed crops. For the 2012 submission onwards, New Zealand has reported emissions from additional cropping activity not previously estimated, such as onions, squash and sweetcorn (Thomas et al., 2011). The nitrogen-fixing crops grown in New Zealand include peas grown for both processing and seed markets as well as lentil production, and forage legume seeds grown for pasture production.</w:t>
      </w:r>
    </w:p>
    <w:p w14:paraId="1BC0A06A" w14:textId="77777777" w:rsidR="00F849A7" w:rsidRPr="00D9348B" w:rsidRDefault="00F849A7" w:rsidP="00F849A7">
      <w:pPr>
        <w:pStyle w:val="BodyText"/>
        <w:spacing w:before="100" w:after="80"/>
        <w:rPr>
          <w:rFonts w:cs="Calibri"/>
        </w:rPr>
      </w:pPr>
      <w:r w:rsidRPr="00D9348B">
        <w:rPr>
          <w:rFonts w:cs="Calibri"/>
        </w:rPr>
        <w:t>A country-specific methodology is used to calculate emissions from crop residue (Thomas et al., 2008):</w:t>
      </w:r>
    </w:p>
    <w:bookmarkStart w:id="920" w:name="_1640173609"/>
    <w:bookmarkEnd w:id="920"/>
    <w:p w14:paraId="47D6D4C7" w14:textId="77777777" w:rsidR="00F849A7" w:rsidRPr="00D9348B" w:rsidRDefault="00F849A7" w:rsidP="00F849A7">
      <w:pPr>
        <w:pStyle w:val="BodyText"/>
        <w:spacing w:before="80" w:after="80"/>
        <w:jc w:val="center"/>
        <w:rPr>
          <w:rFonts w:cs="Calibri"/>
        </w:rPr>
      </w:pPr>
      <w:r w:rsidRPr="00D9348B">
        <w:rPr>
          <w:rFonts w:cs="Calibri"/>
        </w:rPr>
        <w:object w:dxaOrig="7196" w:dyaOrig="668" w14:anchorId="011BBE45">
          <v:shape id="_x0000_i1100" type="#_x0000_t75" style="width:5in;height:36.95pt" o:ole="">
            <v:imagedata r:id="rId154" o:title=""/>
          </v:shape>
          <o:OLEObject Type="Embed" ProgID="Word.Document.12" ShapeID="_x0000_i1100" DrawAspect="Content" ObjectID="_1647932332" r:id="rId155">
            <o:FieldCodes>\s</o:FieldCodes>
          </o:OLEObject>
        </w:object>
      </w:r>
    </w:p>
    <w:p w14:paraId="17ADC112" w14:textId="77777777" w:rsidR="00F849A7" w:rsidRPr="00D9348B" w:rsidRDefault="00F849A7" w:rsidP="00F849A7">
      <w:pPr>
        <w:spacing w:before="120" w:after="120"/>
        <w:ind w:left="851" w:hanging="851"/>
        <w:rPr>
          <w:rFonts w:cs="Calibri"/>
        </w:rPr>
      </w:pPr>
      <w:r w:rsidRPr="00D9348B">
        <w:rPr>
          <w:rFonts w:cs="Calibri"/>
        </w:rPr>
        <w:t>Where:</w:t>
      </w:r>
      <w:r w:rsidRPr="00D9348B">
        <w:rPr>
          <w:rFonts w:cs="Calibri"/>
        </w:rPr>
        <w:tab/>
        <w:t>AG</w:t>
      </w:r>
      <w:r w:rsidRPr="00D9348B">
        <w:rPr>
          <w:rFonts w:cs="Calibri"/>
          <w:vertAlign w:val="subscript"/>
        </w:rPr>
        <w:t>N</w:t>
      </w:r>
      <w:r w:rsidRPr="00D9348B">
        <w:rPr>
          <w:rFonts w:cs="Calibri"/>
        </w:rPr>
        <w:t xml:space="preserve"> and BG</w:t>
      </w:r>
      <w:r w:rsidRPr="00D9348B">
        <w:rPr>
          <w:rFonts w:cs="Calibri"/>
          <w:vertAlign w:val="subscript"/>
        </w:rPr>
        <w:t>N</w:t>
      </w:r>
      <w:r w:rsidRPr="00D9348B">
        <w:rPr>
          <w:rFonts w:cs="Calibri"/>
        </w:rPr>
        <w:t xml:space="preserve"> are the annual nitrogen residue returned to soils from above- and below-ground crop residue, and crop-specific values are given in annex 3, table A3.1.8, and the country-specific value of EF</w:t>
      </w:r>
      <w:r w:rsidRPr="00D9348B">
        <w:rPr>
          <w:rFonts w:cs="Calibri"/>
          <w:vertAlign w:val="subscript"/>
        </w:rPr>
        <w:t>1</w:t>
      </w:r>
      <w:r w:rsidRPr="00D9348B">
        <w:rPr>
          <w:rFonts w:cs="Calibri"/>
        </w:rPr>
        <w:t xml:space="preserve"> of 0.01 is used (see table 5.5.2).</w:t>
      </w:r>
    </w:p>
    <w:bookmarkStart w:id="921" w:name="_MON_1552215074"/>
    <w:bookmarkEnd w:id="921"/>
    <w:p w14:paraId="7FD47CCB" w14:textId="77777777" w:rsidR="00F849A7" w:rsidRPr="00D9348B" w:rsidRDefault="00F849A7" w:rsidP="00F849A7">
      <w:pPr>
        <w:pStyle w:val="BodyText"/>
        <w:spacing w:before="80" w:after="80"/>
        <w:jc w:val="center"/>
        <w:rPr>
          <w:rFonts w:cs="Calibri"/>
        </w:rPr>
      </w:pPr>
      <w:r w:rsidRPr="00D9348B">
        <w:rPr>
          <w:rFonts w:cs="Calibri"/>
        </w:rPr>
        <w:object w:dxaOrig="8201" w:dyaOrig="801" w14:anchorId="205F1052">
          <v:shape id="_x0000_i1101" type="#_x0000_t75" style="width:410.1pt;height:43.2pt" o:ole="">
            <v:imagedata r:id="rId156" o:title="" cropleft="4520f" cropright="2002f"/>
          </v:shape>
          <o:OLEObject Type="Embed" ProgID="Word.Document.12" ShapeID="_x0000_i1101" DrawAspect="Content" ObjectID="_1647932333" r:id="rId157">
            <o:FieldCodes>\s</o:FieldCodes>
          </o:OLEObject>
        </w:object>
      </w:r>
    </w:p>
    <w:p w14:paraId="15C46CDD" w14:textId="77777777" w:rsidR="00F849A7" w:rsidRPr="00D9348B" w:rsidRDefault="00F849A7" w:rsidP="00F849A7">
      <w:pPr>
        <w:spacing w:before="120"/>
        <w:ind w:left="851" w:hanging="851"/>
        <w:rPr>
          <w:rFonts w:cs="Calibri"/>
        </w:rPr>
      </w:pPr>
      <w:r w:rsidRPr="00D9348B">
        <w:rPr>
          <w:rFonts w:cs="Calibri"/>
        </w:rPr>
        <w:t>Where:</w:t>
      </w:r>
      <w:r w:rsidRPr="00D9348B">
        <w:rPr>
          <w:rFonts w:cs="Calibri"/>
        </w:rPr>
        <w:tab/>
        <w:t>AG</w:t>
      </w:r>
      <w:r w:rsidRPr="00D9348B">
        <w:rPr>
          <w:rFonts w:cs="Calibri"/>
          <w:vertAlign w:val="subscript"/>
        </w:rPr>
        <w:t>DM</w:t>
      </w:r>
      <w:r w:rsidRPr="00D9348B">
        <w:rPr>
          <w:rFonts w:cs="Calibri"/>
        </w:rPr>
        <w:t xml:space="preserve"> is the mass of the above-ground residue dry matter (explained in the equation below)</w:t>
      </w:r>
    </w:p>
    <w:p w14:paraId="2B910A2A" w14:textId="77777777" w:rsidR="00F849A7" w:rsidRPr="00D9348B" w:rsidRDefault="00F849A7" w:rsidP="00F849A7">
      <w:pPr>
        <w:spacing w:before="100"/>
        <w:ind w:left="851" w:hanging="851"/>
        <w:rPr>
          <w:rFonts w:cs="Calibri"/>
        </w:rPr>
      </w:pPr>
      <w:r w:rsidRPr="00D9348B">
        <w:rPr>
          <w:rFonts w:cs="Calibri"/>
        </w:rPr>
        <w:tab/>
        <w:t>Crop</w:t>
      </w:r>
      <w:r w:rsidRPr="00D9348B">
        <w:rPr>
          <w:rFonts w:cs="Calibri"/>
          <w:vertAlign w:val="subscript"/>
        </w:rPr>
        <w:t>T</w:t>
      </w:r>
      <w:r w:rsidRPr="00D9348B">
        <w:rPr>
          <w:rFonts w:cs="Calibri"/>
        </w:rPr>
        <w:t xml:space="preserve"> is the crop yield, or mass, removed during harvest</w:t>
      </w:r>
    </w:p>
    <w:p w14:paraId="763FC9B7" w14:textId="77777777" w:rsidR="00F849A7" w:rsidRPr="00D9348B" w:rsidRDefault="00F849A7" w:rsidP="00F849A7">
      <w:pPr>
        <w:tabs>
          <w:tab w:val="left" w:pos="1276"/>
        </w:tabs>
        <w:spacing w:before="100"/>
        <w:ind w:left="851" w:hanging="851"/>
        <w:rPr>
          <w:rFonts w:cs="Calibri"/>
        </w:rPr>
      </w:pPr>
      <w:r w:rsidRPr="00D9348B">
        <w:rPr>
          <w:rFonts w:cs="Calibri"/>
        </w:rPr>
        <w:tab/>
        <w:t>N</w:t>
      </w:r>
      <w:r w:rsidRPr="00D9348B">
        <w:rPr>
          <w:rFonts w:cs="Calibri"/>
          <w:vertAlign w:val="subscript"/>
        </w:rPr>
        <w:t>AG</w:t>
      </w:r>
      <w:r w:rsidRPr="00D9348B">
        <w:rPr>
          <w:rFonts w:cs="Calibri"/>
        </w:rPr>
        <w:t xml:space="preserve"> and N</w:t>
      </w:r>
      <w:r w:rsidRPr="00D9348B">
        <w:rPr>
          <w:rFonts w:cs="Calibri"/>
          <w:vertAlign w:val="subscript"/>
        </w:rPr>
        <w:t>BG</w:t>
      </w:r>
      <w:r w:rsidRPr="00D9348B">
        <w:rPr>
          <w:rFonts w:cs="Calibri"/>
        </w:rPr>
        <w:t xml:space="preserve"> are the above- and below-ground crop-specific nitrogen concentration factors, and</w:t>
      </w:r>
    </w:p>
    <w:p w14:paraId="082A773B" w14:textId="77777777" w:rsidR="00F849A7" w:rsidRPr="00D9348B" w:rsidRDefault="00F849A7" w:rsidP="00F849A7">
      <w:pPr>
        <w:spacing w:before="100" w:after="80"/>
        <w:ind w:left="851" w:hanging="851"/>
        <w:rPr>
          <w:rFonts w:cs="Calibri"/>
        </w:rPr>
      </w:pPr>
      <w:r w:rsidRPr="00D9348B">
        <w:rPr>
          <w:rFonts w:cs="Calibri"/>
        </w:rPr>
        <w:tab/>
        <w:t>R</w:t>
      </w:r>
      <w:r w:rsidRPr="00D9348B">
        <w:rPr>
          <w:rFonts w:cs="Calibri"/>
          <w:vertAlign w:val="subscript"/>
        </w:rPr>
        <w:t>BG</w:t>
      </w:r>
      <w:r w:rsidRPr="00D9348B">
        <w:rPr>
          <w:rFonts w:cs="Calibri"/>
        </w:rPr>
        <w:t xml:space="preserve"> is the crop-specific root</w:t>
      </w:r>
      <w:proofErr w:type="gramStart"/>
      <w:r w:rsidRPr="00D9348B">
        <w:rPr>
          <w:rFonts w:cs="Calibri"/>
        </w:rPr>
        <w:t>:shoot</w:t>
      </w:r>
      <w:proofErr w:type="gramEnd"/>
      <w:r w:rsidRPr="00D9348B">
        <w:rPr>
          <w:rFonts w:cs="Calibri"/>
        </w:rPr>
        <w:t xml:space="preserve"> ratio of below-ground dry matter against the total above-ground crop biomass (crop gathered, Crop</w:t>
      </w:r>
      <w:r w:rsidRPr="00D9348B">
        <w:rPr>
          <w:rFonts w:cs="Calibri"/>
          <w:vertAlign w:val="subscript"/>
        </w:rPr>
        <w:t>T,</w:t>
      </w:r>
      <w:r w:rsidRPr="00D9348B">
        <w:rPr>
          <w:rFonts w:cs="Calibri"/>
        </w:rPr>
        <w:t xml:space="preserve"> plus above-ground residue dry matter, AG</w:t>
      </w:r>
      <w:r w:rsidRPr="00D9348B">
        <w:rPr>
          <w:rFonts w:cs="Calibri"/>
          <w:vertAlign w:val="subscript"/>
        </w:rPr>
        <w:t>DM</w:t>
      </w:r>
      <w:r w:rsidRPr="00D9348B">
        <w:rPr>
          <w:rFonts w:cs="Calibri"/>
        </w:rPr>
        <w:t>), 0.1 (see annex 3, table A3.1.8).</w:t>
      </w:r>
    </w:p>
    <w:bookmarkStart w:id="922" w:name="_MON_1644047455"/>
    <w:bookmarkEnd w:id="922"/>
    <w:p w14:paraId="602CCEC0" w14:textId="77777777" w:rsidR="00F849A7" w:rsidRPr="00D9348B" w:rsidRDefault="00F849A7" w:rsidP="00F849A7">
      <w:pPr>
        <w:pStyle w:val="BodyText"/>
        <w:spacing w:before="60" w:after="60"/>
        <w:jc w:val="center"/>
        <w:rPr>
          <w:rFonts w:cs="Calibri"/>
        </w:rPr>
      </w:pPr>
      <w:r w:rsidRPr="00D9348B">
        <w:rPr>
          <w:rFonts w:cs="Calibri"/>
        </w:rPr>
        <w:object w:dxaOrig="6341" w:dyaOrig="502" w14:anchorId="7A01D68E">
          <v:shape id="_x0000_i1102" type="#_x0000_t75" style="width:315.55pt;height:28.8pt" o:ole="">
            <v:imagedata r:id="rId158" o:title=""/>
          </v:shape>
          <o:OLEObject Type="Embed" ProgID="Word.Document.12" ShapeID="_x0000_i1102" DrawAspect="Content" ObjectID="_1647932334" r:id="rId159">
            <o:FieldCodes>\s</o:FieldCodes>
          </o:OLEObject>
        </w:object>
      </w:r>
    </w:p>
    <w:p w14:paraId="32047E0F" w14:textId="77777777" w:rsidR="00F849A7" w:rsidRPr="00D9348B" w:rsidRDefault="00F849A7" w:rsidP="00F849A7">
      <w:pPr>
        <w:spacing w:before="120"/>
        <w:ind w:left="851" w:hanging="851"/>
        <w:rPr>
          <w:rFonts w:cs="Calibri"/>
        </w:rPr>
      </w:pPr>
      <w:r w:rsidRPr="00D9348B">
        <w:rPr>
          <w:rFonts w:cs="Calibri"/>
        </w:rPr>
        <w:t>Where:</w:t>
      </w:r>
      <w:r w:rsidRPr="00D9348B">
        <w:rPr>
          <w:rFonts w:cs="Calibri"/>
        </w:rPr>
        <w:tab/>
        <w:t>HI is the crop-specific harvest index or fraction of the crop that is harvested (see annex 3, table A3.1.8)</w:t>
      </w:r>
    </w:p>
    <w:p w14:paraId="7164C4E9" w14:textId="77777777" w:rsidR="00F849A7" w:rsidRPr="00D9348B" w:rsidRDefault="00F849A7" w:rsidP="00F849A7">
      <w:pPr>
        <w:spacing w:before="100"/>
        <w:ind w:left="851" w:hanging="851"/>
        <w:rPr>
          <w:rFonts w:cs="Calibri"/>
        </w:rPr>
      </w:pPr>
      <w:r w:rsidRPr="00D9348B">
        <w:rPr>
          <w:rFonts w:cs="Calibri"/>
        </w:rPr>
        <w:tab/>
        <w:t>Frac</w:t>
      </w:r>
      <w:r w:rsidRPr="00D9348B">
        <w:rPr>
          <w:rFonts w:cs="Calibri"/>
          <w:vertAlign w:val="subscript"/>
        </w:rPr>
        <w:t>BURN</w:t>
      </w:r>
      <w:r w:rsidRPr="00D9348B">
        <w:rPr>
          <w:rFonts w:cs="Calibri"/>
        </w:rPr>
        <w:t xml:space="preserve"> is the fraction of residue burned in the field (see table 5.5.4), and</w:t>
      </w:r>
    </w:p>
    <w:p w14:paraId="41E31914" w14:textId="77777777" w:rsidR="00F849A7" w:rsidRPr="00D9348B" w:rsidRDefault="00F849A7" w:rsidP="00F849A7">
      <w:pPr>
        <w:spacing w:before="100" w:after="120"/>
        <w:ind w:left="851" w:hanging="851"/>
        <w:rPr>
          <w:rFonts w:cs="Calibri"/>
        </w:rPr>
      </w:pPr>
      <w:r w:rsidRPr="00D9348B">
        <w:rPr>
          <w:rFonts w:cs="Calibri"/>
        </w:rPr>
        <w:tab/>
        <w:t>C</w:t>
      </w:r>
      <w:r w:rsidRPr="00D9348B">
        <w:rPr>
          <w:rFonts w:cs="Calibri"/>
          <w:vertAlign w:val="subscript"/>
        </w:rPr>
        <w:t>f</w:t>
      </w:r>
      <w:r w:rsidRPr="00D9348B">
        <w:rPr>
          <w:rFonts w:cs="Calibri"/>
        </w:rPr>
        <w:t xml:space="preserve"> is the combustion factor; a value of 0.7 is recommended (Thomas et al., 2008).</w:t>
      </w:r>
    </w:p>
    <w:p w14:paraId="4045E69D" w14:textId="77777777" w:rsidR="00F849A7" w:rsidRPr="00D9348B" w:rsidRDefault="00F849A7" w:rsidP="00F849A7">
      <w:pPr>
        <w:pStyle w:val="BodyText"/>
        <w:spacing w:before="100" w:after="100"/>
        <w:rPr>
          <w:rFonts w:cs="Calibri"/>
        </w:rPr>
      </w:pPr>
      <w:r w:rsidRPr="00D9348B">
        <w:rPr>
          <w:rFonts w:cs="Calibri"/>
        </w:rPr>
        <w:t>The country-specific value for Frac</w:t>
      </w:r>
      <w:r w:rsidRPr="00D9348B">
        <w:rPr>
          <w:rFonts w:cs="Calibri"/>
          <w:vertAlign w:val="subscript"/>
        </w:rPr>
        <w:t>BURN</w:t>
      </w:r>
      <w:r w:rsidRPr="00D9348B">
        <w:rPr>
          <w:rFonts w:cs="Calibri"/>
        </w:rPr>
        <w:t>, the fraction of residue burned in the field, was derived from Statistics New Zealand data and farmer surveys (Thomas et al., 2011). The parameters used to estimate the nitrogen added by above- and below-ground crop residues were compiled from published and unpublished reports for New Zealand-grown crops (Cichota et al., 2010) and ‘typical’ values derived for use in the OVERSEER</w:t>
      </w:r>
      <w:r w:rsidRPr="00D9348B">
        <w:rPr>
          <w:rFonts w:cs="Calibri"/>
          <w:vertAlign w:val="superscript"/>
        </w:rPr>
        <w:t>®</w:t>
      </w:r>
      <w:r w:rsidRPr="00D9348B">
        <w:rPr>
          <w:rFonts w:cs="Calibri"/>
        </w:rPr>
        <w:t xml:space="preserve"> nutrient budget model for New Zealand. The OVERSEER</w:t>
      </w:r>
      <w:r w:rsidRPr="00D9348B">
        <w:rPr>
          <w:rFonts w:cs="Calibri"/>
          <w:vertAlign w:val="superscript"/>
        </w:rPr>
        <w:t>®</w:t>
      </w:r>
      <w:r w:rsidRPr="00D9348B">
        <w:rPr>
          <w:rFonts w:cs="Calibri"/>
        </w:rPr>
        <w:t xml:space="preserve"> model provides average estimates of the fate of nitrogen for a range of pastoral, arable and horticultural systems (www.overseer.org.nz). </w:t>
      </w:r>
    </w:p>
    <w:p w14:paraId="54ACE069" w14:textId="77777777" w:rsidR="00F849A7" w:rsidRPr="00D9348B" w:rsidRDefault="00F849A7" w:rsidP="00F849A7">
      <w:pPr>
        <w:pStyle w:val="BodyText"/>
        <w:spacing w:before="100" w:after="100"/>
        <w:rPr>
          <w:rFonts w:cs="Calibri"/>
        </w:rPr>
      </w:pPr>
      <w:r w:rsidRPr="00D9348B">
        <w:rPr>
          <w:rFonts w:cs="Calibri"/>
        </w:rPr>
        <w:t xml:space="preserve">The per-year harvested tonnage of most non-nitrogen-fixing crops in New Zealand is supplied by Statistics New Zealand from its Agricultural Production Census and Survey. Additional information on potatoes is provided by Potatoes New Zealand, and updated information on seed crops is provided by AsureQuality, which provides verification and certification services for the seed industry (Thomas, unpublished; S Thomas, pers. comm., 2014). The tonnage of nitrogen-fixing crops is supplied by Statistics New Zealand from its Agricultural Production census and survey (lentils and legumes) and Horticulture New Zealand (peas) (S Thomas, pers. comm., 2014). </w:t>
      </w:r>
    </w:p>
    <w:p w14:paraId="072A1203" w14:textId="77777777" w:rsidR="00F849A7" w:rsidRPr="00D9348B" w:rsidRDefault="00F849A7" w:rsidP="00F849A7">
      <w:pPr>
        <w:pStyle w:val="BodyText"/>
        <w:rPr>
          <w:rFonts w:cs="Calibri"/>
          <w:spacing w:val="-2"/>
        </w:rPr>
      </w:pPr>
      <w:r w:rsidRPr="00D9348B">
        <w:rPr>
          <w:rFonts w:cs="Calibri"/>
          <w:b/>
          <w:bCs/>
          <w:spacing w:val="-2"/>
        </w:rPr>
        <w:t xml:space="preserve">Nitrogen from pasture renewal: </w:t>
      </w:r>
      <w:r w:rsidRPr="00D9348B">
        <w:rPr>
          <w:rFonts w:cs="Calibri"/>
          <w:spacing w:val="-2"/>
        </w:rPr>
        <w:t>Of the four categories of perennial forage that the IPCC (2006) lists for pasture renewal, only two categories are appropriate for New Zealand (Thomas et al., 2014): these are grass–clover pastures and lucerne, a nitrogen-fixing perennial forage. New Zealand has calculated emissions from pasture renewal per plant species type, T, separately:</w:t>
      </w:r>
    </w:p>
    <w:bookmarkStart w:id="923" w:name="_MON_1576650483"/>
    <w:bookmarkEnd w:id="923"/>
    <w:p w14:paraId="7401A5D9" w14:textId="6DB1C694" w:rsidR="00F849A7" w:rsidRPr="00D9348B" w:rsidRDefault="00637524" w:rsidP="00F849A7">
      <w:pPr>
        <w:pStyle w:val="BodyText"/>
        <w:tabs>
          <w:tab w:val="left" w:pos="284"/>
        </w:tabs>
        <w:spacing w:before="0" w:after="0"/>
        <w:rPr>
          <w:rFonts w:cs="Calibri"/>
        </w:rPr>
      </w:pPr>
      <w:r w:rsidRPr="00D9348B">
        <w:rPr>
          <w:rFonts w:cs="Calibri"/>
          <w:sz w:val="20"/>
        </w:rPr>
        <w:object w:dxaOrig="8501" w:dyaOrig="714" w14:anchorId="3390F6D7">
          <v:shape id="_x0000_i1103" type="#_x0000_t75" style="width:425.1pt;height:35.05pt" o:ole="">
            <v:imagedata r:id="rId160" o:title="" cropright="6217f"/>
          </v:shape>
          <o:OLEObject Type="Embed" ProgID="Word.Document.12" ShapeID="_x0000_i1103" DrawAspect="Content" ObjectID="_1647932335" r:id="rId161">
            <o:FieldCodes>\s</o:FieldCodes>
          </o:OLEObject>
        </w:object>
      </w:r>
    </w:p>
    <w:p w14:paraId="7E446ED6" w14:textId="77777777" w:rsidR="00F849A7" w:rsidRPr="00D9348B" w:rsidRDefault="00F849A7" w:rsidP="00F849A7">
      <w:pPr>
        <w:spacing w:before="120"/>
        <w:ind w:left="964" w:hanging="964"/>
        <w:rPr>
          <w:rFonts w:cs="Calibri"/>
        </w:rPr>
      </w:pPr>
      <w:r w:rsidRPr="00D9348B">
        <w:rPr>
          <w:rFonts w:cs="Calibri"/>
        </w:rPr>
        <w:t>Where:</w:t>
      </w:r>
      <w:r w:rsidRPr="00D9348B">
        <w:rPr>
          <w:rFonts w:cs="Calibri"/>
        </w:rPr>
        <w:tab/>
        <w:t>Area</w:t>
      </w:r>
      <w:r w:rsidRPr="00D9348B">
        <w:rPr>
          <w:rFonts w:cs="Calibri"/>
          <w:vertAlign w:val="subscript"/>
        </w:rPr>
        <w:t>T</w:t>
      </w:r>
      <w:r w:rsidRPr="00D9348B">
        <w:rPr>
          <w:rFonts w:cs="Calibri"/>
        </w:rPr>
        <w:t xml:space="preserve"> is the total annual area harvested (hectares per year). No burning is used for pasture renewal in New Zealand</w:t>
      </w:r>
    </w:p>
    <w:p w14:paraId="225D156F" w14:textId="77777777" w:rsidR="00F849A7" w:rsidRPr="00D9348B" w:rsidRDefault="00F849A7" w:rsidP="00F849A7">
      <w:pPr>
        <w:spacing w:before="100"/>
        <w:ind w:left="964" w:hanging="964"/>
        <w:rPr>
          <w:rFonts w:cs="Calibri"/>
        </w:rPr>
      </w:pPr>
      <w:r w:rsidRPr="00D9348B">
        <w:rPr>
          <w:rFonts w:cs="Calibri"/>
        </w:rPr>
        <w:tab/>
      </w:r>
      <w:proofErr w:type="gramStart"/>
      <w:r w:rsidRPr="00D9348B">
        <w:rPr>
          <w:rFonts w:cs="Calibri"/>
        </w:rPr>
        <w:t>Frac</w:t>
      </w:r>
      <w:r w:rsidRPr="00D9348B">
        <w:rPr>
          <w:rFonts w:cs="Calibri"/>
          <w:vertAlign w:val="subscript"/>
        </w:rPr>
        <w:t>RENEW(</w:t>
      </w:r>
      <w:proofErr w:type="gramEnd"/>
      <w:r w:rsidRPr="00D9348B">
        <w:rPr>
          <w:rFonts w:cs="Calibri"/>
          <w:vertAlign w:val="subscript"/>
        </w:rPr>
        <w:t>T)</w:t>
      </w:r>
      <w:r w:rsidRPr="00D9348B">
        <w:rPr>
          <w:rFonts w:cs="Calibri"/>
        </w:rPr>
        <w:t xml:space="preserve"> is the fraction of the area under each crop that is renewed</w:t>
      </w:r>
    </w:p>
    <w:p w14:paraId="680C0961" w14:textId="77777777" w:rsidR="00F849A7" w:rsidRPr="00D9348B" w:rsidRDefault="00F849A7" w:rsidP="00F849A7">
      <w:pPr>
        <w:spacing w:before="100"/>
        <w:ind w:left="964" w:hanging="964"/>
        <w:rPr>
          <w:rFonts w:cs="Calibri"/>
        </w:rPr>
      </w:pPr>
      <w:r w:rsidRPr="00D9348B">
        <w:rPr>
          <w:rFonts w:cs="Calibri"/>
        </w:rPr>
        <w:tab/>
      </w:r>
      <w:proofErr w:type="gramStart"/>
      <w:r w:rsidRPr="00D9348B">
        <w:rPr>
          <w:rFonts w:cs="Calibri"/>
        </w:rPr>
        <w:t>R</w:t>
      </w:r>
      <w:r w:rsidRPr="00D9348B">
        <w:rPr>
          <w:rFonts w:cs="Calibri"/>
          <w:vertAlign w:val="subscript"/>
        </w:rPr>
        <w:t>AG(</w:t>
      </w:r>
      <w:proofErr w:type="gramEnd"/>
      <w:r w:rsidRPr="00D9348B">
        <w:rPr>
          <w:rFonts w:cs="Calibri"/>
          <w:vertAlign w:val="subscript"/>
        </w:rPr>
        <w:t>T)</w:t>
      </w:r>
      <w:r w:rsidRPr="00D9348B">
        <w:rPr>
          <w:rFonts w:cs="Calibri"/>
        </w:rPr>
        <w:t xml:space="preserve"> is the ratio of above-ground residue dry matter (DM) to harvested yield (kg N/kg DM)</w:t>
      </w:r>
    </w:p>
    <w:p w14:paraId="30D0C813" w14:textId="77777777" w:rsidR="00F849A7" w:rsidRPr="00D9348B" w:rsidRDefault="00F849A7" w:rsidP="00F849A7">
      <w:pPr>
        <w:spacing w:before="100"/>
        <w:ind w:left="964" w:hanging="964"/>
        <w:rPr>
          <w:rFonts w:cs="Calibri"/>
        </w:rPr>
      </w:pPr>
      <w:r w:rsidRPr="00D9348B">
        <w:rPr>
          <w:rFonts w:cs="Calibri"/>
        </w:rPr>
        <w:lastRenderedPageBreak/>
        <w:tab/>
      </w:r>
      <w:proofErr w:type="gramStart"/>
      <w:r w:rsidRPr="00D9348B">
        <w:rPr>
          <w:rFonts w:cs="Calibri"/>
        </w:rPr>
        <w:t>N</w:t>
      </w:r>
      <w:r w:rsidRPr="00D9348B">
        <w:rPr>
          <w:rFonts w:cs="Calibri"/>
          <w:vertAlign w:val="subscript"/>
        </w:rPr>
        <w:t>AG(</w:t>
      </w:r>
      <w:proofErr w:type="gramEnd"/>
      <w:r w:rsidRPr="00D9348B">
        <w:rPr>
          <w:rFonts w:cs="Calibri"/>
          <w:vertAlign w:val="subscript"/>
        </w:rPr>
        <w:t>T)</w:t>
      </w:r>
      <w:r w:rsidRPr="00D9348B">
        <w:rPr>
          <w:rFonts w:cs="Calibri"/>
        </w:rPr>
        <w:t xml:space="preserve"> is the nitrogen content of above-ground residue (kg N/kg DM)</w:t>
      </w:r>
    </w:p>
    <w:p w14:paraId="549841B7" w14:textId="77777777" w:rsidR="00F849A7" w:rsidRPr="00D9348B" w:rsidRDefault="00F849A7" w:rsidP="00F849A7">
      <w:pPr>
        <w:spacing w:before="100"/>
        <w:ind w:left="964" w:hanging="964"/>
        <w:rPr>
          <w:rFonts w:cs="Calibri"/>
        </w:rPr>
      </w:pPr>
      <w:r w:rsidRPr="00D9348B">
        <w:rPr>
          <w:rFonts w:cs="Calibri"/>
        </w:rPr>
        <w:tab/>
        <w:t>Frac</w:t>
      </w:r>
      <w:r w:rsidRPr="00D9348B">
        <w:rPr>
          <w:rFonts w:cs="Calibri"/>
          <w:vertAlign w:val="subscript"/>
        </w:rPr>
        <w:t>REMOVE (T)</w:t>
      </w:r>
      <w:r w:rsidRPr="00D9348B">
        <w:rPr>
          <w:rFonts w:cs="Calibri"/>
        </w:rPr>
        <w:t xml:space="preserve"> is the fraction of above-ground residue removed annually for feed, assumed zero for New Zealand</w:t>
      </w:r>
    </w:p>
    <w:p w14:paraId="701DE7E3" w14:textId="77777777" w:rsidR="00F849A7" w:rsidRPr="00D9348B" w:rsidRDefault="00F849A7" w:rsidP="00F849A7">
      <w:pPr>
        <w:spacing w:before="100"/>
        <w:ind w:left="964" w:hanging="964"/>
        <w:rPr>
          <w:rFonts w:cs="Calibri"/>
        </w:rPr>
      </w:pPr>
      <w:r w:rsidRPr="00D9348B">
        <w:rPr>
          <w:rFonts w:cs="Calibri"/>
        </w:rPr>
        <w:tab/>
      </w:r>
      <w:proofErr w:type="gramStart"/>
      <w:r w:rsidRPr="00D9348B">
        <w:rPr>
          <w:rFonts w:cs="Calibri"/>
        </w:rPr>
        <w:t>R</w:t>
      </w:r>
      <w:r w:rsidRPr="00D9348B">
        <w:rPr>
          <w:rFonts w:cs="Calibri"/>
          <w:vertAlign w:val="subscript"/>
        </w:rPr>
        <w:t>BG(</w:t>
      </w:r>
      <w:proofErr w:type="gramEnd"/>
      <w:r w:rsidRPr="00D9348B">
        <w:rPr>
          <w:rFonts w:cs="Calibri"/>
          <w:vertAlign w:val="subscript"/>
        </w:rPr>
        <w:t>T)</w:t>
      </w:r>
      <w:r w:rsidRPr="00D9348B">
        <w:rPr>
          <w:rFonts w:cs="Calibri"/>
        </w:rPr>
        <w:t xml:space="preserve"> is the ratio of below-ground residue DM to harvest yield (kg N/kg DM), and</w:t>
      </w:r>
    </w:p>
    <w:p w14:paraId="4655EA92" w14:textId="77777777" w:rsidR="00F849A7" w:rsidRPr="00D9348B" w:rsidRDefault="00F849A7" w:rsidP="00F849A7">
      <w:pPr>
        <w:spacing w:before="120" w:after="120"/>
        <w:ind w:left="964" w:hanging="964"/>
        <w:rPr>
          <w:rFonts w:cs="Calibri"/>
        </w:rPr>
      </w:pPr>
      <w:r w:rsidRPr="00D9348B">
        <w:rPr>
          <w:rFonts w:cs="Calibri"/>
        </w:rPr>
        <w:tab/>
      </w:r>
      <w:proofErr w:type="gramStart"/>
      <w:r w:rsidRPr="00D9348B">
        <w:rPr>
          <w:rFonts w:cs="Calibri"/>
        </w:rPr>
        <w:t>N</w:t>
      </w:r>
      <w:r w:rsidRPr="00D9348B">
        <w:rPr>
          <w:rFonts w:cs="Calibri"/>
          <w:vertAlign w:val="subscript"/>
        </w:rPr>
        <w:t>BG(</w:t>
      </w:r>
      <w:proofErr w:type="gramEnd"/>
      <w:r w:rsidRPr="00D9348B">
        <w:rPr>
          <w:rFonts w:cs="Calibri"/>
          <w:vertAlign w:val="subscript"/>
        </w:rPr>
        <w:t>T)</w:t>
      </w:r>
      <w:r w:rsidRPr="00D9348B">
        <w:rPr>
          <w:rFonts w:cs="Calibri"/>
        </w:rPr>
        <w:t xml:space="preserve"> is the nitrogen content of below-ground residue (kg N/kg DM).</w:t>
      </w:r>
    </w:p>
    <w:p w14:paraId="6914CDA9" w14:textId="77777777" w:rsidR="00F849A7" w:rsidRPr="00D9348B" w:rsidRDefault="00F849A7" w:rsidP="00F849A7">
      <w:pPr>
        <w:pStyle w:val="BodyText"/>
        <w:rPr>
          <w:rFonts w:cs="Calibri"/>
        </w:rPr>
      </w:pPr>
      <w:r w:rsidRPr="00D9348B">
        <w:rPr>
          <w:rFonts w:cs="Calibri"/>
        </w:rPr>
        <w:t>The areas for each perennial forage crop were obtained from the Statistics New Zealand Agricultural Production Census a</w:t>
      </w:r>
      <w:r w:rsidRPr="00D9348B">
        <w:rPr>
          <w:rStyle w:val="BodyTextChar"/>
          <w:rFonts w:cs="Calibri"/>
        </w:rPr>
        <w:t>n</w:t>
      </w:r>
      <w:r w:rsidRPr="00D9348B">
        <w:rPr>
          <w:rFonts w:cs="Calibri"/>
        </w:rPr>
        <w:t>d Survey, which include the area of grassland and annual crops from 1990–2018. The disaggregation of grass–clover systems has been considered, but there is insufficient activity data for pastures of different compositions in New Zealand because the proportion of clover varies widely in high nitrogen input systems. This means that disaggregated data on the nitrogen content are not presently available.</w:t>
      </w:r>
    </w:p>
    <w:p w14:paraId="5E22B871" w14:textId="77777777" w:rsidR="00F849A7" w:rsidRPr="00D9348B" w:rsidRDefault="00F849A7" w:rsidP="00F849A7">
      <w:pPr>
        <w:pStyle w:val="BodyText"/>
        <w:rPr>
          <w:rFonts w:cs="Calibri"/>
        </w:rPr>
      </w:pPr>
      <w:r w:rsidRPr="00D9348B">
        <w:rPr>
          <w:rFonts w:cs="Calibri"/>
        </w:rPr>
        <w:t>The contribution of crop residues and pasture renewal to overall agricultural emissions is small, with 175.5 kt CO</w:t>
      </w:r>
      <w:r w:rsidRPr="00D9348B">
        <w:rPr>
          <w:rFonts w:cs="Calibri"/>
          <w:vertAlign w:val="subscript"/>
        </w:rPr>
        <w:t>2</w:t>
      </w:r>
      <w:r w:rsidRPr="00D9348B">
        <w:rPr>
          <w:rFonts w:cs="Calibri"/>
        </w:rPr>
        <w:t>-e (0.5 per cent of agricultural emissions) in 1990 and 253.2 kt CO</w:t>
      </w:r>
      <w:r w:rsidRPr="00D9348B">
        <w:rPr>
          <w:rFonts w:cs="Calibri"/>
          <w:vertAlign w:val="subscript"/>
        </w:rPr>
        <w:t>2</w:t>
      </w:r>
      <w:r w:rsidRPr="00D9348B">
        <w:rPr>
          <w:rFonts w:cs="Calibri"/>
        </w:rPr>
        <w:noBreakHyphen/>
        <w:t>e (0.7 per cent of agricultural emissions) in 2018.</w:t>
      </w:r>
    </w:p>
    <w:p w14:paraId="750A9E0A" w14:textId="77777777" w:rsidR="00F849A7" w:rsidRPr="00D9348B" w:rsidRDefault="00F849A7" w:rsidP="00F849A7">
      <w:pPr>
        <w:pStyle w:val="Heading5"/>
        <w:rPr>
          <w:rFonts w:cs="Calibri"/>
        </w:rPr>
      </w:pPr>
      <w:r w:rsidRPr="00D9348B">
        <w:rPr>
          <w:rFonts w:cs="Calibri"/>
        </w:rPr>
        <w:t>Nitrogen mineralisation from loss of soil organic matter in mineral soils (CRF 3.D.1.5)</w:t>
      </w:r>
    </w:p>
    <w:p w14:paraId="335DE16A" w14:textId="77777777" w:rsidR="00F849A7" w:rsidRPr="00D9348B" w:rsidRDefault="00F849A7" w:rsidP="00F849A7">
      <w:pPr>
        <w:pStyle w:val="BodyText"/>
        <w:rPr>
          <w:rFonts w:cs="Calibri"/>
        </w:rPr>
      </w:pPr>
      <w:r w:rsidRPr="00D9348B">
        <w:rPr>
          <w:rFonts w:cs="Calibri"/>
        </w:rPr>
        <w:t>Nitrogen mineralisation is the process by which organic nitrogen is converted to plant-available inorganic forms. Nitrogen mineralisation occurs when soil carbon is lost due to land</w:t>
      </w:r>
      <w:r w:rsidRPr="00D9348B">
        <w:rPr>
          <w:rFonts w:cs="Calibri"/>
        </w:rPr>
        <w:noBreakHyphen/>
        <w:t xml:space="preserve">use or management change. Most of New Zealand’s emissions from nitrogen mineralised during the loss of soil organic matter are covered under the LULUCF sector. The exception is for activities under the </w:t>
      </w:r>
      <w:r w:rsidRPr="00D9348B">
        <w:rPr>
          <w:rFonts w:cs="Calibri"/>
          <w:i/>
          <w:iCs/>
        </w:rPr>
        <w:t>Cropland remaining cropland</w:t>
      </w:r>
      <w:r w:rsidRPr="00D9348B">
        <w:rPr>
          <w:rFonts w:cs="Calibri"/>
        </w:rPr>
        <w:t xml:space="preserve"> land-use category, which are reported under the Agriculture sector (IPCC, 2006). </w:t>
      </w:r>
    </w:p>
    <w:p w14:paraId="339D7C0C" w14:textId="77777777" w:rsidR="00F849A7" w:rsidRPr="00D9348B" w:rsidRDefault="00F849A7" w:rsidP="00F849A7">
      <w:pPr>
        <w:pStyle w:val="BodyText"/>
        <w:spacing w:after="60"/>
        <w:rPr>
          <w:rFonts w:cs="Calibri"/>
        </w:rPr>
      </w:pPr>
      <w:r w:rsidRPr="00D9348B">
        <w:rPr>
          <w:rFonts w:cs="Calibri"/>
        </w:rPr>
        <w:t>The following equations are used to determine emissions from this activity:</w:t>
      </w:r>
    </w:p>
    <w:p w14:paraId="3BAC9859" w14:textId="77777777" w:rsidR="00F849A7" w:rsidRPr="00D9348B" w:rsidRDefault="00F849A7" w:rsidP="00F849A7">
      <w:pPr>
        <w:pStyle w:val="BodyText"/>
        <w:spacing w:before="60" w:after="60"/>
        <w:rPr>
          <w:rFonts w:cs="Calibri"/>
        </w:rPr>
      </w:pPr>
      <w:r w:rsidRPr="00D9348B">
        <w:rPr>
          <w:rFonts w:cs="Calibri"/>
        </w:rPr>
        <w:object w:dxaOrig="7496" w:dyaOrig="495" w14:anchorId="5B5A71E4">
          <v:shape id="_x0000_i1104" type="#_x0000_t75" style="width:374.4pt;height:21.9pt" o:ole="">
            <v:imagedata r:id="rId162" o:title=""/>
          </v:shape>
          <o:OLEObject Type="Embed" ProgID="Word.Document.12" ShapeID="_x0000_i1104" DrawAspect="Content" ObjectID="_1647932336" r:id="rId163">
            <o:FieldCodes>\s</o:FieldCodes>
          </o:OLEObject>
        </w:object>
      </w:r>
    </w:p>
    <w:p w14:paraId="675D6CD1" w14:textId="77777777" w:rsidR="00F849A7" w:rsidRPr="00D9348B" w:rsidRDefault="00F849A7" w:rsidP="00F849A7">
      <w:pPr>
        <w:spacing w:before="120"/>
        <w:ind w:left="964" w:hanging="964"/>
        <w:rPr>
          <w:rFonts w:cs="Calibri"/>
        </w:rPr>
      </w:pPr>
      <w:r w:rsidRPr="00D9348B">
        <w:rPr>
          <w:rFonts w:cs="Calibri"/>
        </w:rPr>
        <w:t>Where:</w:t>
      </w:r>
      <w:r w:rsidRPr="00D9348B">
        <w:rPr>
          <w:rFonts w:cs="Calibri"/>
        </w:rPr>
        <w:tab/>
        <w:t>N</w:t>
      </w:r>
      <w:r w:rsidRPr="00D9348B">
        <w:rPr>
          <w:rFonts w:cs="Calibri"/>
          <w:vertAlign w:val="subscript"/>
        </w:rPr>
        <w:t>2</w:t>
      </w:r>
      <w:r w:rsidRPr="00D9348B">
        <w:rPr>
          <w:rFonts w:cs="Calibri"/>
        </w:rPr>
        <w:t>O</w:t>
      </w:r>
      <w:r w:rsidRPr="00D9348B">
        <w:rPr>
          <w:rFonts w:cs="Calibri"/>
          <w:vertAlign w:val="subscript"/>
        </w:rPr>
        <w:t>FSOM</w:t>
      </w:r>
      <w:r w:rsidRPr="00D9348B">
        <w:rPr>
          <w:rFonts w:cs="Calibri"/>
        </w:rPr>
        <w:t xml:space="preserve"> is the N</w:t>
      </w:r>
      <w:r w:rsidRPr="00D9348B">
        <w:rPr>
          <w:rFonts w:cs="Calibri"/>
          <w:vertAlign w:val="subscript"/>
        </w:rPr>
        <w:t>2</w:t>
      </w:r>
      <w:r w:rsidRPr="00D9348B">
        <w:rPr>
          <w:rFonts w:cs="Calibri"/>
        </w:rPr>
        <w:t>O emitted as a result of nitrogen mineralisation from loss of soil organic matter in mineral soils (kt), and</w:t>
      </w:r>
    </w:p>
    <w:p w14:paraId="062469A4" w14:textId="77777777" w:rsidR="00F849A7" w:rsidRPr="00D9348B" w:rsidRDefault="00F849A7" w:rsidP="00F849A7">
      <w:pPr>
        <w:spacing w:before="120"/>
        <w:ind w:left="964" w:hanging="964"/>
        <w:rPr>
          <w:rFonts w:cs="Calibri"/>
        </w:rPr>
      </w:pPr>
      <w:r w:rsidRPr="00D9348B">
        <w:rPr>
          <w:rFonts w:cs="Calibri"/>
        </w:rPr>
        <w:tab/>
        <w:t>F</w:t>
      </w:r>
      <w:r w:rsidRPr="00D9348B">
        <w:rPr>
          <w:rFonts w:cs="Calibri"/>
          <w:vertAlign w:val="subscript"/>
        </w:rPr>
        <w:t>SOM</w:t>
      </w:r>
      <w:r w:rsidRPr="00D9348B">
        <w:rPr>
          <w:rFonts w:cs="Calibri"/>
        </w:rPr>
        <w:t xml:space="preserve"> is the nitrogen mineralisation from loss of soil organic matter in mineral soils through land management for </w:t>
      </w:r>
      <w:r w:rsidRPr="00D9348B">
        <w:rPr>
          <w:rFonts w:cs="Calibri"/>
          <w:i/>
          <w:iCs/>
        </w:rPr>
        <w:t>Cropland remaining cropland</w:t>
      </w:r>
      <w:r w:rsidRPr="00D9348B">
        <w:rPr>
          <w:rFonts w:cs="Calibri"/>
        </w:rPr>
        <w:t xml:space="preserve"> (kg).</w:t>
      </w:r>
    </w:p>
    <w:p w14:paraId="3DF578A4" w14:textId="77777777" w:rsidR="00F849A7" w:rsidRPr="00D9348B" w:rsidRDefault="00F849A7" w:rsidP="00F849A7">
      <w:pPr>
        <w:spacing w:before="120" w:after="120"/>
        <w:ind w:left="964" w:hanging="964"/>
        <w:rPr>
          <w:rFonts w:cs="Calibri"/>
        </w:rPr>
      </w:pPr>
      <w:r w:rsidRPr="00D9348B">
        <w:rPr>
          <w:rFonts w:cs="Calibri"/>
        </w:rPr>
        <w:tab/>
        <w:t>The emission factor EF</w:t>
      </w:r>
      <w:r w:rsidRPr="00D9348B">
        <w:rPr>
          <w:rFonts w:cs="Calibri"/>
          <w:vertAlign w:val="subscript"/>
        </w:rPr>
        <w:t>1</w:t>
      </w:r>
      <w:r w:rsidRPr="00D9348B">
        <w:rPr>
          <w:rFonts w:cs="Calibri"/>
        </w:rPr>
        <w:t xml:space="preserve"> is 0.01 (Kelliher and de Klein, unpublished).</w:t>
      </w:r>
    </w:p>
    <w:p w14:paraId="0D221109" w14:textId="77777777" w:rsidR="00F849A7" w:rsidRPr="00D9348B" w:rsidRDefault="00F849A7" w:rsidP="00F849A7">
      <w:pPr>
        <w:pStyle w:val="BodyText"/>
        <w:keepNext/>
        <w:spacing w:after="80"/>
        <w:rPr>
          <w:rFonts w:cs="Calibri"/>
        </w:rPr>
      </w:pPr>
      <w:r w:rsidRPr="00D9348B">
        <w:rPr>
          <w:rFonts w:cs="Calibri"/>
        </w:rPr>
        <w:t>And:</w:t>
      </w:r>
    </w:p>
    <w:p w14:paraId="6EF4377F" w14:textId="77777777" w:rsidR="00F849A7" w:rsidRPr="00D9348B" w:rsidRDefault="00F849A7" w:rsidP="00F849A7">
      <w:pPr>
        <w:pStyle w:val="BodyText"/>
        <w:spacing w:before="0" w:after="0"/>
        <w:ind w:right="-425"/>
        <w:rPr>
          <w:rFonts w:cs="Calibri"/>
        </w:rPr>
      </w:pPr>
      <w:r w:rsidRPr="00D9348B">
        <w:rPr>
          <w:rFonts w:cs="Calibri"/>
        </w:rPr>
        <w:object w:dxaOrig="6806" w:dyaOrig="494" w14:anchorId="37D02539">
          <v:shape id="_x0000_i1105" type="#_x0000_t75" style="width:344.95pt;height:21.9pt" o:ole="">
            <v:imagedata r:id="rId164" o:title=""/>
          </v:shape>
          <o:OLEObject Type="Embed" ProgID="Word.Document.12" ShapeID="_x0000_i1105" DrawAspect="Content" ObjectID="_1647932337" r:id="rId165">
            <o:FieldCodes>\s</o:FieldCodes>
          </o:OLEObject>
        </w:object>
      </w:r>
    </w:p>
    <w:p w14:paraId="2A01E9F1" w14:textId="77777777" w:rsidR="00F849A7" w:rsidRPr="00D9348B" w:rsidRDefault="00F849A7" w:rsidP="00F849A7">
      <w:pPr>
        <w:spacing w:before="120"/>
        <w:ind w:left="964" w:hanging="964"/>
        <w:rPr>
          <w:rFonts w:cs="Calibri"/>
        </w:rPr>
      </w:pPr>
      <w:r w:rsidRPr="00D9348B">
        <w:rPr>
          <w:rFonts w:cs="Calibri"/>
        </w:rPr>
        <w:t>Where:</w:t>
      </w:r>
      <w:r w:rsidRPr="00D9348B">
        <w:rPr>
          <w:rFonts w:cs="Calibri"/>
        </w:rPr>
        <w:tab/>
        <w:t>∆C</w:t>
      </w:r>
      <w:r w:rsidRPr="00D9348B">
        <w:rPr>
          <w:rFonts w:cs="Calibri"/>
          <w:vertAlign w:val="subscript"/>
        </w:rPr>
        <w:t>Mineral</w:t>
      </w:r>
      <w:proofErr w:type="gramStart"/>
      <w:r w:rsidRPr="00D9348B">
        <w:rPr>
          <w:rFonts w:cs="Calibri"/>
          <w:vertAlign w:val="subscript"/>
        </w:rPr>
        <w:t>,CrC</w:t>
      </w:r>
      <w:proofErr w:type="gramEnd"/>
      <w:r w:rsidRPr="00D9348B">
        <w:rPr>
          <w:rFonts w:cs="Calibri"/>
        </w:rPr>
        <w:t xml:space="preserve"> is the loss of soil carbon (C) in mineral soil during management of cropland (kt), and</w:t>
      </w:r>
    </w:p>
    <w:p w14:paraId="26787E1F" w14:textId="77777777" w:rsidR="00F849A7" w:rsidRPr="00D9348B" w:rsidRDefault="00F849A7" w:rsidP="00F849A7">
      <w:pPr>
        <w:spacing w:before="100" w:after="120"/>
        <w:ind w:left="964" w:hanging="964"/>
        <w:rPr>
          <w:rFonts w:cs="Calibri"/>
        </w:rPr>
      </w:pPr>
      <w:r w:rsidRPr="00D9348B">
        <w:rPr>
          <w:rFonts w:cs="Calibri"/>
        </w:rPr>
        <w:tab/>
        <w:t>R is the C</w:t>
      </w:r>
      <w:proofErr w:type="gramStart"/>
      <w:r w:rsidRPr="00D9348B">
        <w:rPr>
          <w:rFonts w:cs="Calibri"/>
        </w:rPr>
        <w:t>:N</w:t>
      </w:r>
      <w:proofErr w:type="gramEnd"/>
      <w:r w:rsidRPr="00D9348B">
        <w:rPr>
          <w:rFonts w:cs="Calibri"/>
        </w:rPr>
        <w:t xml:space="preserve"> ratio; the IPCC (2006) default value of 10 is used.</w:t>
      </w:r>
    </w:p>
    <w:p w14:paraId="778B2E3F" w14:textId="77777777" w:rsidR="00F849A7" w:rsidRPr="00D9348B" w:rsidRDefault="00F849A7" w:rsidP="00F849A7">
      <w:pPr>
        <w:pStyle w:val="BodyText"/>
        <w:spacing w:before="100" w:after="100"/>
        <w:rPr>
          <w:rFonts w:cs="Calibri"/>
        </w:rPr>
      </w:pPr>
      <w:r w:rsidRPr="00D9348B">
        <w:rPr>
          <w:rFonts w:cs="Calibri"/>
        </w:rPr>
        <w:t>Activity data on the soil carbon loss associated with cropland since 1990 were provided by calculations under the LULUCF sector (refer to section 6.5).</w:t>
      </w:r>
    </w:p>
    <w:p w14:paraId="317A0F90" w14:textId="77777777" w:rsidR="00F849A7" w:rsidRPr="00D9348B" w:rsidRDefault="00F849A7" w:rsidP="00F849A7">
      <w:pPr>
        <w:pStyle w:val="BodyText"/>
        <w:spacing w:before="100" w:after="100"/>
        <w:rPr>
          <w:rFonts w:cs="Calibri"/>
        </w:rPr>
      </w:pPr>
      <w:r w:rsidRPr="00D9348B">
        <w:rPr>
          <w:rFonts w:cs="Calibri"/>
        </w:rPr>
        <w:t>The contribution of nitrogen mineralisation from loss of soil organic matter to overall agricultural emissions is small, with 0.03 kt CO</w:t>
      </w:r>
      <w:r w:rsidRPr="00D9348B">
        <w:rPr>
          <w:rFonts w:cs="Calibri"/>
          <w:vertAlign w:val="subscript"/>
        </w:rPr>
        <w:t>2</w:t>
      </w:r>
      <w:r w:rsidRPr="00D9348B">
        <w:rPr>
          <w:rFonts w:cs="Calibri"/>
        </w:rPr>
        <w:t>-e in 1990 and 0.14 kt CO</w:t>
      </w:r>
      <w:r w:rsidRPr="00D9348B">
        <w:rPr>
          <w:rFonts w:cs="Calibri"/>
          <w:vertAlign w:val="subscript"/>
        </w:rPr>
        <w:t>2</w:t>
      </w:r>
      <w:r w:rsidRPr="00D9348B">
        <w:rPr>
          <w:rFonts w:cs="Calibri"/>
        </w:rPr>
        <w:t>-e in 2018.</w:t>
      </w:r>
    </w:p>
    <w:p w14:paraId="32B3D7B6" w14:textId="77777777" w:rsidR="00F849A7" w:rsidRPr="00D9348B" w:rsidRDefault="00F849A7" w:rsidP="00F849A7">
      <w:pPr>
        <w:pStyle w:val="Heading5"/>
        <w:rPr>
          <w:rFonts w:cs="Calibri"/>
        </w:rPr>
      </w:pPr>
      <w:r w:rsidRPr="00D9348B">
        <w:rPr>
          <w:rFonts w:cs="Calibri"/>
        </w:rPr>
        <w:lastRenderedPageBreak/>
        <w:t>Cultivation of organic soils (CRF 3.D.1.6)</w:t>
      </w:r>
    </w:p>
    <w:p w14:paraId="38673723" w14:textId="77777777" w:rsidR="00F849A7" w:rsidRPr="00D9348B" w:rsidRDefault="00F849A7" w:rsidP="00F849A7">
      <w:pPr>
        <w:pStyle w:val="BodyText"/>
        <w:spacing w:before="100" w:after="100"/>
        <w:rPr>
          <w:rFonts w:cs="Calibri"/>
        </w:rPr>
      </w:pPr>
      <w:r w:rsidRPr="00D9348B">
        <w:rPr>
          <w:rFonts w:cs="Calibri"/>
        </w:rPr>
        <w:t>The management of organic soils is a source of N</w:t>
      </w:r>
      <w:r w:rsidRPr="00D9348B">
        <w:rPr>
          <w:rFonts w:cs="Calibri"/>
          <w:vertAlign w:val="subscript"/>
        </w:rPr>
        <w:t>2</w:t>
      </w:r>
      <w:r w:rsidRPr="00D9348B">
        <w:rPr>
          <w:rFonts w:cs="Calibri"/>
        </w:rPr>
        <w:t xml:space="preserve">O emissions. The area of managed organic soils (histosols) in New Zealand includes both the area of cultivated organic soils (as reported under the LULUCF sector) and the area of mineral agricultural soils with a peaty layer that is cultivated (Dresser et al., 2011). Mineral soils with a peaty layer are included in the definition of organic soils because these soils have similar emissions behaviour to that of organic soils (Dresser et al., 2011). The full definition used in the Agriculture sector for organic soils (plus mineral soils with a peaty layer) is: </w:t>
      </w:r>
    </w:p>
    <w:p w14:paraId="6ABB0145" w14:textId="77777777" w:rsidR="00F849A7" w:rsidRPr="00D9348B" w:rsidRDefault="00F849A7" w:rsidP="00637524">
      <w:pPr>
        <w:pStyle w:val="Bullet"/>
      </w:pPr>
      <w:r w:rsidRPr="00D9348B">
        <w:t xml:space="preserve">17 per cent organic matter content (includes slightly peaty, peaty and peat soils of </w:t>
      </w:r>
      <w:r w:rsidRPr="00D9348B">
        <w:br/>
        <w:t>17–30 per cent, 30–50 per cent and greater than 50 per cent organic matter content)</w:t>
      </w:r>
    </w:p>
    <w:p w14:paraId="232C9FD1" w14:textId="77777777" w:rsidR="00F849A7" w:rsidRPr="00D9348B" w:rsidRDefault="00F849A7" w:rsidP="00F849A7">
      <w:pPr>
        <w:pStyle w:val="Bullet"/>
        <w:rPr>
          <w:rFonts w:cs="Calibri"/>
        </w:rPr>
      </w:pPr>
      <w:r w:rsidRPr="00D9348B">
        <w:rPr>
          <w:rFonts w:cs="Calibri"/>
        </w:rPr>
        <w:t>0.1 metres of this depth occurring within 0.3 metres of the surface.</w:t>
      </w:r>
    </w:p>
    <w:p w14:paraId="01FBD00C" w14:textId="1A8E3308" w:rsidR="00F849A7" w:rsidRPr="00D9348B" w:rsidRDefault="00F849A7" w:rsidP="00F849A7">
      <w:pPr>
        <w:pStyle w:val="BodyText"/>
        <w:rPr>
          <w:rFonts w:cs="Calibri"/>
          <w:spacing w:val="-2"/>
        </w:rPr>
      </w:pPr>
      <w:r w:rsidRPr="00D9348B">
        <w:rPr>
          <w:rFonts w:cs="Calibri"/>
          <w:spacing w:val="-2"/>
        </w:rPr>
        <w:t>The total area of managed cultivated organic soils in New Zealand is 160,385 hectares, with 135,718 hectares being organic soils and 24,667 hectares being mineral soils with a peaty layer. It is assumed that 5 per cent of organic soils (plus mineral soils with a peaty layer) under agricultural pasture is cultivated on an annual basis (Dresser et al., 2011; Kelliher et</w:t>
      </w:r>
      <w:r w:rsidR="00637524" w:rsidRPr="00D9348B">
        <w:rPr>
          <w:rFonts w:cs="Calibri"/>
          <w:spacing w:val="-2"/>
        </w:rPr>
        <w:t> </w:t>
      </w:r>
      <w:r w:rsidRPr="00D9348B">
        <w:rPr>
          <w:rFonts w:cs="Calibri"/>
          <w:spacing w:val="-2"/>
        </w:rPr>
        <w:t>al., </w:t>
      </w:r>
      <w:proofErr w:type="gramStart"/>
      <w:r w:rsidRPr="00D9348B">
        <w:rPr>
          <w:rFonts w:cs="Calibri"/>
          <w:spacing w:val="-2"/>
        </w:rPr>
        <w:t>unpublished(</w:t>
      </w:r>
      <w:proofErr w:type="gramEnd"/>
      <w:r w:rsidRPr="00D9348B">
        <w:rPr>
          <w:rFonts w:cs="Calibri"/>
          <w:spacing w:val="-2"/>
        </w:rPr>
        <w:t xml:space="preserve">a)). This results in 8,019 hectares of ‘organic agricultural soils’ being cultivated annually. </w:t>
      </w:r>
    </w:p>
    <w:p w14:paraId="34691BE6" w14:textId="77777777" w:rsidR="00F849A7" w:rsidRPr="00D9348B" w:rsidRDefault="00F849A7" w:rsidP="00F849A7">
      <w:pPr>
        <w:pStyle w:val="BodyText"/>
        <w:rPr>
          <w:rFonts w:cs="Calibri"/>
        </w:rPr>
      </w:pPr>
      <w:r w:rsidRPr="00D9348B">
        <w:rPr>
          <w:rFonts w:cs="Calibri"/>
        </w:rPr>
        <w:t>Emissions from organic soils are calculated using the Tier 1 methodology for all years of the time series by multiplying the area of cultivated organic soils by the default value of emission factor EF</w:t>
      </w:r>
      <w:r w:rsidRPr="00D9348B">
        <w:rPr>
          <w:rFonts w:cs="Calibri"/>
          <w:vertAlign w:val="subscript"/>
        </w:rPr>
        <w:t>2</w:t>
      </w:r>
      <w:r w:rsidRPr="00D9348B">
        <w:rPr>
          <w:rFonts w:cs="Calibri"/>
        </w:rPr>
        <w:t>, of 8 kg N</w:t>
      </w:r>
      <w:r w:rsidRPr="00D9348B">
        <w:rPr>
          <w:rFonts w:cs="Calibri"/>
          <w:vertAlign w:val="subscript"/>
        </w:rPr>
        <w:t>2</w:t>
      </w:r>
      <w:r w:rsidRPr="00D9348B">
        <w:rPr>
          <w:rFonts w:cs="Calibri"/>
        </w:rPr>
        <w:t>O</w:t>
      </w:r>
      <w:r w:rsidRPr="00D9348B">
        <w:rPr>
          <w:rFonts w:cs="Calibri"/>
        </w:rPr>
        <w:noBreakHyphen/>
        <w:t xml:space="preserve">N/ha (IPCC, 2006). </w:t>
      </w:r>
    </w:p>
    <w:p w14:paraId="3F602198" w14:textId="63EC1F80" w:rsidR="00F849A7" w:rsidRPr="00D9348B" w:rsidRDefault="00F849A7" w:rsidP="00F849A7">
      <w:pPr>
        <w:pStyle w:val="BodyText"/>
        <w:rPr>
          <w:rFonts w:cs="Calibri"/>
        </w:rPr>
      </w:pPr>
      <w:r w:rsidRPr="00D9348B">
        <w:rPr>
          <w:rFonts w:cs="Calibri"/>
        </w:rPr>
        <w:t>The annual contribution of organic soils (plus mineral soils with a peaty layer) to overall agricultural emissions is small and has been assumed to remain constant at 30.0 kt CO</w:t>
      </w:r>
      <w:r w:rsidRPr="00D9348B">
        <w:rPr>
          <w:rFonts w:cs="Calibri"/>
          <w:vertAlign w:val="subscript"/>
        </w:rPr>
        <w:t>2</w:t>
      </w:r>
      <w:r w:rsidRPr="00D9348B">
        <w:rPr>
          <w:rFonts w:cs="Calibri"/>
        </w:rPr>
        <w:t>-e since</w:t>
      </w:r>
      <w:r w:rsidR="00637524" w:rsidRPr="00D9348B">
        <w:rPr>
          <w:rFonts w:cs="Calibri"/>
        </w:rPr>
        <w:t> </w:t>
      </w:r>
      <w:r w:rsidRPr="00D9348B">
        <w:rPr>
          <w:rFonts w:cs="Calibri"/>
        </w:rPr>
        <w:t xml:space="preserve">1990 to the present (0.1 per cent of agricultural emissions in 2018). </w:t>
      </w:r>
    </w:p>
    <w:p w14:paraId="65F5A94C" w14:textId="77777777" w:rsidR="00F849A7" w:rsidRPr="00D9348B" w:rsidRDefault="00F849A7" w:rsidP="00865BDB">
      <w:pPr>
        <w:pStyle w:val="Heading4"/>
      </w:pPr>
      <w:r w:rsidRPr="00D9348B">
        <w:t xml:space="preserve">Indirect </w:t>
      </w:r>
      <w:r w:rsidRPr="00D9348B">
        <w:rPr>
          <w:spacing w:val="-2"/>
        </w:rPr>
        <w:t>nitrous oxide</w:t>
      </w:r>
      <w:r w:rsidRPr="00D9348B">
        <w:t xml:space="preserve"> emissions from managed soils (CRF 3.D.2) </w:t>
      </w:r>
    </w:p>
    <w:p w14:paraId="1C6CA3BA" w14:textId="77777777" w:rsidR="00F849A7" w:rsidRPr="00D9348B" w:rsidRDefault="00F849A7" w:rsidP="00F849A7">
      <w:pPr>
        <w:pStyle w:val="BodyText"/>
        <w:rPr>
          <w:rFonts w:cs="Calibri"/>
        </w:rPr>
      </w:pPr>
      <w:r w:rsidRPr="00D9348B">
        <w:rPr>
          <w:rFonts w:cs="Calibri"/>
        </w:rPr>
        <w:t>In addition to direct N</w:t>
      </w:r>
      <w:r w:rsidRPr="00D9348B">
        <w:rPr>
          <w:rFonts w:cs="Calibri"/>
          <w:vertAlign w:val="subscript"/>
        </w:rPr>
        <w:t>2</w:t>
      </w:r>
      <w:r w:rsidRPr="00D9348B">
        <w:rPr>
          <w:rFonts w:cs="Calibri"/>
        </w:rPr>
        <w:t>O emissions from managed soils, emissions of N</w:t>
      </w:r>
      <w:r w:rsidRPr="00D9348B">
        <w:rPr>
          <w:rFonts w:cs="Calibri"/>
          <w:vertAlign w:val="subscript"/>
        </w:rPr>
        <w:t>2</w:t>
      </w:r>
      <w:r w:rsidRPr="00D9348B">
        <w:rPr>
          <w:rFonts w:cs="Calibri"/>
        </w:rPr>
        <w:t>O also occur through two indirect pathways: volatilisation, and leaching and runoff.</w:t>
      </w:r>
    </w:p>
    <w:p w14:paraId="0ED1C541" w14:textId="77777777" w:rsidR="00F849A7" w:rsidRPr="00D9348B" w:rsidRDefault="00F849A7" w:rsidP="00F849A7">
      <w:pPr>
        <w:pStyle w:val="Heading5"/>
        <w:rPr>
          <w:rFonts w:cs="Calibri"/>
        </w:rPr>
      </w:pPr>
      <w:r w:rsidRPr="00D9348B">
        <w:rPr>
          <w:rFonts w:cs="Calibri"/>
        </w:rPr>
        <w:t>Volatilisation (CRF 3.D.2.1)</w:t>
      </w:r>
    </w:p>
    <w:p w14:paraId="2089084F" w14:textId="77777777" w:rsidR="00F849A7" w:rsidRPr="00D9348B" w:rsidRDefault="00F849A7" w:rsidP="00F849A7">
      <w:pPr>
        <w:pStyle w:val="BodyText"/>
        <w:rPr>
          <w:rFonts w:cs="Calibri"/>
        </w:rPr>
      </w:pPr>
      <w:r w:rsidRPr="00D9348B">
        <w:rPr>
          <w:rFonts w:cs="Calibri"/>
        </w:rPr>
        <w:t>Some of the nitrogen deposited or spread on agricultural land is emitted into the atmosphere through volatilisation in the form of NH</w:t>
      </w:r>
      <w:r w:rsidRPr="00D9348B">
        <w:rPr>
          <w:rFonts w:cs="Calibri"/>
          <w:vertAlign w:val="subscript"/>
        </w:rPr>
        <w:t>3</w:t>
      </w:r>
      <w:r w:rsidRPr="00D9348B">
        <w:rPr>
          <w:rFonts w:cs="Calibri"/>
        </w:rPr>
        <w:t xml:space="preserve"> and NO</w:t>
      </w:r>
      <w:r w:rsidRPr="00D9348B">
        <w:rPr>
          <w:rFonts w:cs="Calibri"/>
          <w:vertAlign w:val="subscript"/>
        </w:rPr>
        <w:t>x</w:t>
      </w:r>
      <w:r w:rsidRPr="00D9348B">
        <w:rPr>
          <w:rFonts w:cs="Calibri"/>
        </w:rPr>
        <w:t xml:space="preserve">. A fraction of this volatilised nitrogen returns to the ground during rainfall and is then re-emitted as </w:t>
      </w:r>
      <w:r w:rsidRPr="00D9348B">
        <w:rPr>
          <w:rFonts w:cs="Calibri"/>
          <w:spacing w:val="-2"/>
        </w:rPr>
        <w:t>N</w:t>
      </w:r>
      <w:r w:rsidRPr="00D9348B">
        <w:rPr>
          <w:rFonts w:cs="Calibri"/>
          <w:spacing w:val="-2"/>
          <w:vertAlign w:val="subscript"/>
        </w:rPr>
        <w:t>2</w:t>
      </w:r>
      <w:r w:rsidRPr="00D9348B">
        <w:rPr>
          <w:rFonts w:cs="Calibri"/>
          <w:spacing w:val="-2"/>
        </w:rPr>
        <w:t>O</w:t>
      </w:r>
      <w:r w:rsidRPr="00D9348B">
        <w:rPr>
          <w:rFonts w:cs="Calibri"/>
        </w:rPr>
        <w:t>. The fraction of nitrogen that becomes N</w:t>
      </w:r>
      <w:r w:rsidRPr="00D9348B">
        <w:rPr>
          <w:rFonts w:cs="Calibri"/>
          <w:vertAlign w:val="subscript"/>
        </w:rPr>
        <w:t>2</w:t>
      </w:r>
      <w:r w:rsidRPr="00D9348B">
        <w:rPr>
          <w:rFonts w:cs="Calibri"/>
        </w:rPr>
        <w:t>O during this process is calculated using the parameters Frac</w:t>
      </w:r>
      <w:r w:rsidRPr="00D9348B">
        <w:rPr>
          <w:rFonts w:cs="Calibri"/>
          <w:vertAlign w:val="subscript"/>
        </w:rPr>
        <w:t>GASF</w:t>
      </w:r>
      <w:r w:rsidRPr="00D9348B">
        <w:rPr>
          <w:rFonts w:cs="Calibri"/>
        </w:rPr>
        <w:t xml:space="preserve"> for synthetic nitrogen fertiliser and Frac</w:t>
      </w:r>
      <w:r w:rsidRPr="00D9348B">
        <w:rPr>
          <w:rFonts w:cs="Calibri"/>
          <w:vertAlign w:val="subscript"/>
        </w:rPr>
        <w:t>GASM</w:t>
      </w:r>
      <w:r w:rsidRPr="00D9348B">
        <w:rPr>
          <w:rFonts w:cs="Calibri"/>
        </w:rPr>
        <w:t xml:space="preserve"> for organic inputs from animal excreta. New Zealand uses country-specific values for both of these parameters.</w:t>
      </w:r>
    </w:p>
    <w:p w14:paraId="4410934B" w14:textId="77777777" w:rsidR="00F849A7" w:rsidRPr="00D9348B" w:rsidRDefault="00F849A7" w:rsidP="00F849A7">
      <w:pPr>
        <w:pStyle w:val="BodyText"/>
        <w:rPr>
          <w:rFonts w:cs="Calibri"/>
        </w:rPr>
      </w:pPr>
      <w:r w:rsidRPr="00D9348B">
        <w:rPr>
          <w:rFonts w:cs="Calibri"/>
        </w:rPr>
        <w:t>In New Zealand, nitrogen added to agricultural soils from synthetic nitrogen fertiliser (F</w:t>
      </w:r>
      <w:r w:rsidRPr="00D9348B">
        <w:rPr>
          <w:rFonts w:cs="Calibri"/>
          <w:vertAlign w:val="subscript"/>
        </w:rPr>
        <w:t>SN</w:t>
      </w:r>
      <w:r w:rsidRPr="00D9348B">
        <w:rPr>
          <w:rFonts w:cs="Calibri"/>
        </w:rPr>
        <w:t>), organic nitrogen fertiliser from the spreading of managed manure (F</w:t>
      </w:r>
      <w:r w:rsidRPr="00D9348B">
        <w:rPr>
          <w:rFonts w:cs="Calibri"/>
          <w:vertAlign w:val="subscript"/>
        </w:rPr>
        <w:t>ON</w:t>
      </w:r>
      <w:r w:rsidRPr="00D9348B">
        <w:rPr>
          <w:rFonts w:cs="Calibri"/>
        </w:rPr>
        <w:t>), and excreta from grazing livestock on pasture (F</w:t>
      </w:r>
      <w:r w:rsidRPr="00D9348B">
        <w:rPr>
          <w:rFonts w:cs="Calibri"/>
          <w:vertAlign w:val="subscript"/>
        </w:rPr>
        <w:t>PRP</w:t>
      </w:r>
      <w:r w:rsidRPr="00D9348B">
        <w:rPr>
          <w:rFonts w:cs="Calibri"/>
        </w:rPr>
        <w:t>) all contribute to N</w:t>
      </w:r>
      <w:r w:rsidRPr="00D9348B">
        <w:rPr>
          <w:rFonts w:cs="Calibri"/>
          <w:vertAlign w:val="subscript"/>
        </w:rPr>
        <w:t>2</w:t>
      </w:r>
      <w:r w:rsidRPr="00D9348B">
        <w:rPr>
          <w:rFonts w:cs="Calibri"/>
        </w:rPr>
        <w:t>O emissions from volatilisation. The collection of activity data for F</w:t>
      </w:r>
      <w:r w:rsidRPr="00D9348B">
        <w:rPr>
          <w:rFonts w:cs="Calibri"/>
          <w:vertAlign w:val="subscript"/>
        </w:rPr>
        <w:t>SN</w:t>
      </w:r>
      <w:r w:rsidRPr="00D9348B">
        <w:rPr>
          <w:rFonts w:cs="Calibri"/>
        </w:rPr>
        <w:t>, F</w:t>
      </w:r>
      <w:r w:rsidRPr="00D9348B">
        <w:rPr>
          <w:rFonts w:cs="Calibri"/>
          <w:vertAlign w:val="subscript"/>
        </w:rPr>
        <w:t>ON</w:t>
      </w:r>
      <w:r w:rsidRPr="00D9348B">
        <w:rPr>
          <w:rFonts w:cs="Calibri"/>
        </w:rPr>
        <w:t xml:space="preserve"> and F</w:t>
      </w:r>
      <w:r w:rsidRPr="00D9348B">
        <w:rPr>
          <w:rFonts w:cs="Calibri"/>
          <w:vertAlign w:val="subscript"/>
        </w:rPr>
        <w:t xml:space="preserve">PRP </w:t>
      </w:r>
      <w:r w:rsidRPr="00D9348B">
        <w:rPr>
          <w:rFonts w:cs="Calibri"/>
        </w:rPr>
        <w:t>is described above (see Direct N</w:t>
      </w:r>
      <w:r w:rsidRPr="00D9348B">
        <w:rPr>
          <w:rFonts w:cs="Calibri"/>
          <w:vertAlign w:val="subscript"/>
        </w:rPr>
        <w:t>2</w:t>
      </w:r>
      <w:r w:rsidRPr="00D9348B">
        <w:rPr>
          <w:rFonts w:cs="Calibri"/>
        </w:rPr>
        <w:t xml:space="preserve">O emissions from managed soils (CRF 3.D.1)). Volatilisation from manure stored in manure management systems (prior to application to land) is reported under the </w:t>
      </w:r>
      <w:r w:rsidRPr="00D9348B">
        <w:rPr>
          <w:rFonts w:cs="Calibri"/>
          <w:i/>
          <w:iCs/>
        </w:rPr>
        <w:t>Manure management</w:t>
      </w:r>
      <w:r w:rsidRPr="00D9348B">
        <w:rPr>
          <w:rFonts w:cs="Calibri"/>
        </w:rPr>
        <w:t xml:space="preserve"> category (see section 5.3.2).</w:t>
      </w:r>
    </w:p>
    <w:p w14:paraId="4AEF80DB" w14:textId="77777777" w:rsidR="00F849A7" w:rsidRPr="00D9348B" w:rsidRDefault="00F849A7" w:rsidP="00F849A7">
      <w:pPr>
        <w:pStyle w:val="BodyText"/>
        <w:rPr>
          <w:rFonts w:cs="Calibri"/>
        </w:rPr>
      </w:pPr>
      <w:r w:rsidRPr="00D9348B">
        <w:rPr>
          <w:rFonts w:cs="Calibri"/>
        </w:rPr>
        <w:lastRenderedPageBreak/>
        <w:t>New Zealand uses a Tier 1 methodology with country-specific emission factors for Frac</w:t>
      </w:r>
      <w:r w:rsidRPr="00D9348B">
        <w:rPr>
          <w:rFonts w:cs="Calibri"/>
          <w:vertAlign w:val="subscript"/>
        </w:rPr>
        <w:t>GASF</w:t>
      </w:r>
      <w:r w:rsidRPr="00D9348B">
        <w:rPr>
          <w:rFonts w:cs="Calibri"/>
        </w:rPr>
        <w:t xml:space="preserve"> and Frac</w:t>
      </w:r>
      <w:r w:rsidRPr="00D9348B">
        <w:rPr>
          <w:rFonts w:cs="Calibri"/>
          <w:vertAlign w:val="subscript"/>
        </w:rPr>
        <w:t>GASM</w:t>
      </w:r>
      <w:r w:rsidRPr="00D9348B">
        <w:rPr>
          <w:rFonts w:cs="Calibri"/>
        </w:rPr>
        <w:t xml:space="preserve"> and a default value for the EF</w:t>
      </w:r>
      <w:r w:rsidRPr="00D9348B">
        <w:rPr>
          <w:rFonts w:cs="Calibri"/>
          <w:vertAlign w:val="subscript"/>
        </w:rPr>
        <w:t>4</w:t>
      </w:r>
      <w:r w:rsidRPr="00D9348B">
        <w:rPr>
          <w:rFonts w:cs="Calibri"/>
        </w:rPr>
        <w:t xml:space="preserve"> emission factor to calculate emissions from volatilisation: </w:t>
      </w:r>
    </w:p>
    <w:bookmarkStart w:id="924" w:name="_MON_1545721563"/>
    <w:bookmarkEnd w:id="924"/>
    <w:p w14:paraId="612F3EE1" w14:textId="77777777" w:rsidR="00F849A7" w:rsidRPr="00D9348B" w:rsidRDefault="00F849A7" w:rsidP="00F849A7">
      <w:pPr>
        <w:pStyle w:val="BodyText"/>
        <w:spacing w:before="0" w:after="0"/>
        <w:rPr>
          <w:rFonts w:cs="Calibri"/>
        </w:rPr>
      </w:pPr>
      <w:r w:rsidRPr="00D9348B">
        <w:rPr>
          <w:rFonts w:cs="Calibri"/>
        </w:rPr>
        <w:object w:dxaOrig="8321" w:dyaOrig="665" w14:anchorId="4730DD0A">
          <v:shape id="_x0000_i1106" type="#_x0000_t75" style="width:416.95pt;height:36.95pt" o:ole="">
            <v:imagedata r:id="rId166" o:title="" cropbottom="11302f"/>
          </v:shape>
          <o:OLEObject Type="Embed" ProgID="Word.Document.12" ShapeID="_x0000_i1106" DrawAspect="Content" ObjectID="_1647932338" r:id="rId167">
            <o:FieldCodes>\s</o:FieldCodes>
          </o:OLEObject>
        </w:object>
      </w:r>
    </w:p>
    <w:p w14:paraId="6C8C1819" w14:textId="77777777" w:rsidR="00F849A7" w:rsidRPr="00D9348B" w:rsidRDefault="00F849A7" w:rsidP="00F849A7">
      <w:pPr>
        <w:tabs>
          <w:tab w:val="left" w:pos="1134"/>
        </w:tabs>
        <w:spacing w:before="120"/>
        <w:ind w:left="964" w:hanging="964"/>
        <w:rPr>
          <w:rFonts w:cs="Calibri"/>
        </w:rPr>
      </w:pPr>
      <w:r w:rsidRPr="00D9348B">
        <w:rPr>
          <w:rFonts w:cs="Calibri"/>
        </w:rPr>
        <w:t>Where:</w:t>
      </w:r>
      <w:r w:rsidRPr="00D9348B">
        <w:rPr>
          <w:rFonts w:cs="Calibri"/>
        </w:rPr>
        <w:tab/>
        <w:t>N</w:t>
      </w:r>
      <w:r w:rsidRPr="00D9348B">
        <w:rPr>
          <w:rFonts w:cs="Calibri"/>
          <w:vertAlign w:val="subscript"/>
        </w:rPr>
        <w:t>2</w:t>
      </w:r>
      <w:r w:rsidRPr="00D9348B">
        <w:rPr>
          <w:rFonts w:cs="Calibri"/>
        </w:rPr>
        <w:t>O</w:t>
      </w:r>
      <w:r w:rsidRPr="00D9348B">
        <w:rPr>
          <w:rFonts w:cs="Calibri"/>
          <w:vertAlign w:val="subscript"/>
        </w:rPr>
        <w:t>ATD</w:t>
      </w:r>
      <w:r w:rsidRPr="00D9348B">
        <w:rPr>
          <w:rFonts w:cs="Calibri"/>
        </w:rPr>
        <w:t>–N is the annual amount of N</w:t>
      </w:r>
      <w:r w:rsidRPr="00D9348B">
        <w:rPr>
          <w:rFonts w:cs="Calibri"/>
          <w:vertAlign w:val="subscript"/>
        </w:rPr>
        <w:t>2</w:t>
      </w:r>
      <w:r w:rsidRPr="00D9348B">
        <w:rPr>
          <w:rFonts w:cs="Calibri"/>
        </w:rPr>
        <w:t>O-N produced by atmospheric deposition of volatilised nitrogen from agricultural soils (kg N</w:t>
      </w:r>
      <w:r w:rsidRPr="00D9348B">
        <w:rPr>
          <w:rFonts w:cs="Calibri"/>
          <w:vertAlign w:val="subscript"/>
        </w:rPr>
        <w:t>2</w:t>
      </w:r>
      <w:r w:rsidRPr="00D9348B">
        <w:rPr>
          <w:rFonts w:cs="Calibri"/>
        </w:rPr>
        <w:t>O-N/year)</w:t>
      </w:r>
    </w:p>
    <w:p w14:paraId="55857988" w14:textId="77777777" w:rsidR="00F849A7" w:rsidRPr="00D9348B" w:rsidRDefault="00F849A7" w:rsidP="00F849A7">
      <w:pPr>
        <w:spacing w:before="120"/>
        <w:ind w:left="964"/>
        <w:rPr>
          <w:rFonts w:cs="Calibri"/>
        </w:rPr>
      </w:pPr>
      <w:r w:rsidRPr="00D9348B">
        <w:rPr>
          <w:rFonts w:cs="Calibri"/>
        </w:rPr>
        <w:t>F</w:t>
      </w:r>
      <w:r w:rsidRPr="00D9348B">
        <w:rPr>
          <w:rFonts w:cs="Calibri"/>
          <w:vertAlign w:val="subscript"/>
        </w:rPr>
        <w:t>SN</w:t>
      </w:r>
      <w:r w:rsidRPr="00D9348B">
        <w:rPr>
          <w:rFonts w:cs="Calibri"/>
        </w:rPr>
        <w:t>, F</w:t>
      </w:r>
      <w:r w:rsidRPr="00D9348B">
        <w:rPr>
          <w:rFonts w:cs="Calibri"/>
          <w:vertAlign w:val="subscript"/>
        </w:rPr>
        <w:t>ON</w:t>
      </w:r>
      <w:r w:rsidRPr="00D9348B">
        <w:rPr>
          <w:rFonts w:cs="Calibri"/>
        </w:rPr>
        <w:t xml:space="preserve"> and F</w:t>
      </w:r>
      <w:r w:rsidRPr="00D9348B">
        <w:rPr>
          <w:rFonts w:cs="Calibri"/>
          <w:vertAlign w:val="subscript"/>
        </w:rPr>
        <w:t>PRP</w:t>
      </w:r>
      <w:r w:rsidRPr="00D9348B">
        <w:rPr>
          <w:rFonts w:cs="Calibri"/>
        </w:rPr>
        <w:t xml:space="preserve"> are defined above (kg N/year)</w:t>
      </w:r>
    </w:p>
    <w:p w14:paraId="7C943962" w14:textId="77777777" w:rsidR="00F849A7" w:rsidRPr="00D9348B" w:rsidRDefault="00F849A7" w:rsidP="00F849A7">
      <w:pPr>
        <w:spacing w:before="120"/>
        <w:ind w:left="964"/>
        <w:rPr>
          <w:rFonts w:cs="Calibri"/>
        </w:rPr>
      </w:pPr>
      <w:r w:rsidRPr="00D9348B">
        <w:rPr>
          <w:rFonts w:cs="Calibri"/>
        </w:rPr>
        <w:t>Frac</w:t>
      </w:r>
      <w:r w:rsidRPr="00D9348B">
        <w:rPr>
          <w:rFonts w:cs="Calibri"/>
          <w:vertAlign w:val="subscript"/>
        </w:rPr>
        <w:t>GASF</w:t>
      </w:r>
      <w:r w:rsidRPr="00D9348B">
        <w:rPr>
          <w:rFonts w:cs="Calibri"/>
        </w:rPr>
        <w:t xml:space="preserve"> is the fraction of nitrogen from synthetic fertiliser that volatilises as NH</w:t>
      </w:r>
      <w:r w:rsidRPr="00D9348B">
        <w:rPr>
          <w:rFonts w:cs="Calibri"/>
          <w:vertAlign w:val="subscript"/>
        </w:rPr>
        <w:t>3</w:t>
      </w:r>
      <w:r w:rsidRPr="00D9348B">
        <w:rPr>
          <w:rFonts w:cs="Calibri"/>
        </w:rPr>
        <w:t xml:space="preserve"> and NO</w:t>
      </w:r>
      <w:r w:rsidRPr="00D9348B">
        <w:rPr>
          <w:rFonts w:cs="Calibri"/>
          <w:vertAlign w:val="subscript"/>
        </w:rPr>
        <w:t>x</w:t>
      </w:r>
      <w:r w:rsidRPr="00D9348B">
        <w:rPr>
          <w:rFonts w:cs="Calibri"/>
        </w:rPr>
        <w:t xml:space="preserve"> (see table 5.5.4)</w:t>
      </w:r>
    </w:p>
    <w:p w14:paraId="5D6A62C8" w14:textId="77777777" w:rsidR="00F849A7" w:rsidRPr="00D9348B" w:rsidRDefault="00F849A7" w:rsidP="00F849A7">
      <w:pPr>
        <w:spacing w:before="120"/>
        <w:ind w:left="964"/>
        <w:rPr>
          <w:rFonts w:cs="Calibri"/>
        </w:rPr>
      </w:pPr>
      <w:r w:rsidRPr="00D9348B">
        <w:rPr>
          <w:rFonts w:cs="Calibri"/>
        </w:rPr>
        <w:t>Frac</w:t>
      </w:r>
      <w:r w:rsidRPr="00D9348B">
        <w:rPr>
          <w:rFonts w:cs="Calibri"/>
          <w:vertAlign w:val="subscript"/>
        </w:rPr>
        <w:t>GASM</w:t>
      </w:r>
      <w:r w:rsidRPr="00D9348B">
        <w:rPr>
          <w:rFonts w:cs="Calibri"/>
        </w:rPr>
        <w:t xml:space="preserve"> is the fraction of nitrogen</w:t>
      </w:r>
      <w:r w:rsidRPr="00D9348B" w:rsidDel="009B1CDF">
        <w:rPr>
          <w:rFonts w:cs="Calibri"/>
        </w:rPr>
        <w:t xml:space="preserve"> </w:t>
      </w:r>
      <w:r w:rsidRPr="00D9348B">
        <w:rPr>
          <w:rFonts w:cs="Calibri"/>
        </w:rPr>
        <w:t>from manure spreading and pasture, range and paddock manure that volatilises as NH</w:t>
      </w:r>
      <w:r w:rsidRPr="00D9348B">
        <w:rPr>
          <w:rFonts w:cs="Calibri"/>
          <w:vertAlign w:val="subscript"/>
        </w:rPr>
        <w:t>3</w:t>
      </w:r>
      <w:r w:rsidRPr="00D9348B">
        <w:rPr>
          <w:rFonts w:cs="Calibri"/>
        </w:rPr>
        <w:t xml:space="preserve"> and NO</w:t>
      </w:r>
      <w:r w:rsidRPr="00D9348B">
        <w:rPr>
          <w:rFonts w:cs="Calibri"/>
          <w:vertAlign w:val="subscript"/>
        </w:rPr>
        <w:t>x</w:t>
      </w:r>
      <w:r w:rsidRPr="00D9348B">
        <w:rPr>
          <w:rFonts w:cs="Calibri"/>
        </w:rPr>
        <w:t xml:space="preserve"> (see table 5.5.4), and</w:t>
      </w:r>
    </w:p>
    <w:p w14:paraId="555C6800" w14:textId="77777777" w:rsidR="00F849A7" w:rsidRPr="00D9348B" w:rsidRDefault="00F849A7" w:rsidP="00F849A7">
      <w:pPr>
        <w:spacing w:before="120" w:after="120"/>
        <w:ind w:left="964"/>
        <w:rPr>
          <w:rFonts w:cs="Calibri"/>
        </w:rPr>
      </w:pPr>
      <w:r w:rsidRPr="00D9348B">
        <w:rPr>
          <w:rFonts w:cs="Calibri"/>
        </w:rPr>
        <w:t>EF</w:t>
      </w:r>
      <w:r w:rsidRPr="00D9348B">
        <w:rPr>
          <w:rFonts w:cs="Calibri"/>
          <w:vertAlign w:val="subscript"/>
        </w:rPr>
        <w:t>4</w:t>
      </w:r>
      <w:r w:rsidRPr="00D9348B">
        <w:rPr>
          <w:rFonts w:cs="Calibri"/>
        </w:rPr>
        <w:t xml:space="preserve"> is the emission factor for N</w:t>
      </w:r>
      <w:r w:rsidRPr="00D9348B">
        <w:rPr>
          <w:rFonts w:cs="Calibri"/>
          <w:vertAlign w:val="subscript"/>
        </w:rPr>
        <w:t>2</w:t>
      </w:r>
      <w:r w:rsidRPr="00D9348B">
        <w:rPr>
          <w:rFonts w:cs="Calibri"/>
        </w:rPr>
        <w:t>O emissions from atmospheric deposition of nitrogen on soils and water (kg N</w:t>
      </w:r>
      <w:r w:rsidRPr="00D9348B">
        <w:rPr>
          <w:rFonts w:cs="Calibri"/>
          <w:vertAlign w:val="subscript"/>
        </w:rPr>
        <w:t>2</w:t>
      </w:r>
      <w:r w:rsidRPr="00D9348B">
        <w:rPr>
          <w:rFonts w:cs="Calibri"/>
        </w:rPr>
        <w:t>O-N/kg N).</w:t>
      </w:r>
    </w:p>
    <w:p w14:paraId="550E9D91" w14:textId="0C6A7041" w:rsidR="00F849A7" w:rsidRPr="00D9348B" w:rsidRDefault="00F849A7" w:rsidP="00F849A7">
      <w:pPr>
        <w:pStyle w:val="BodyText"/>
        <w:spacing w:after="100"/>
        <w:rPr>
          <w:rFonts w:cs="Calibri"/>
        </w:rPr>
      </w:pPr>
      <w:r w:rsidRPr="00D9348B">
        <w:rPr>
          <w:rFonts w:cs="Calibri"/>
        </w:rPr>
        <w:t>New Zealand has a country-specific value of 0.1 for Frac</w:t>
      </w:r>
      <w:r w:rsidRPr="00D9348B">
        <w:rPr>
          <w:rFonts w:cs="Calibri"/>
          <w:vertAlign w:val="subscript"/>
        </w:rPr>
        <w:t>GASF</w:t>
      </w:r>
      <w:r w:rsidRPr="00D9348B">
        <w:rPr>
          <w:rFonts w:cs="Calibri"/>
        </w:rPr>
        <w:t>, the fraction of volatilised nitrogen from synthetic nitrogen fertiliser. This value is based on a review by Sherlock et al. (2008) of</w:t>
      </w:r>
      <w:r w:rsidR="00CD5933" w:rsidRPr="00D9348B">
        <w:rPr>
          <w:rFonts w:cs="Calibri"/>
        </w:rPr>
        <w:t> </w:t>
      </w:r>
      <w:r w:rsidRPr="00D9348B">
        <w:rPr>
          <w:rFonts w:cs="Calibri"/>
        </w:rPr>
        <w:t>relevant New Zealand and international research. The review determined that a value of 0.096 for Frac</w:t>
      </w:r>
      <w:r w:rsidRPr="00D9348B">
        <w:rPr>
          <w:rFonts w:cs="Calibri"/>
          <w:vertAlign w:val="subscript"/>
        </w:rPr>
        <w:t>GASF</w:t>
      </w:r>
      <w:r w:rsidRPr="00D9348B">
        <w:rPr>
          <w:rFonts w:cs="Calibri"/>
        </w:rPr>
        <w:t xml:space="preserve"> was suitable for New Zealand conditions. Because this value of 0.096 is almost identical to the IPCC default value of 0.1, the value of 0.1 was adopted by New Zealand as a country-specific value for Frac</w:t>
      </w:r>
      <w:r w:rsidRPr="00D9348B">
        <w:rPr>
          <w:rFonts w:cs="Calibri"/>
          <w:vertAlign w:val="subscript"/>
        </w:rPr>
        <w:t>GASF</w:t>
      </w:r>
      <w:r w:rsidRPr="00D9348B">
        <w:rPr>
          <w:rFonts w:cs="Calibri"/>
        </w:rPr>
        <w:t xml:space="preserve">. </w:t>
      </w:r>
    </w:p>
    <w:p w14:paraId="2CBFAE26" w14:textId="77777777" w:rsidR="00F849A7" w:rsidRPr="00D9348B" w:rsidRDefault="00F849A7" w:rsidP="00F849A7">
      <w:pPr>
        <w:pStyle w:val="BodyText"/>
        <w:spacing w:after="100"/>
        <w:rPr>
          <w:rFonts w:cs="Calibri"/>
        </w:rPr>
      </w:pPr>
      <w:r w:rsidRPr="00D9348B">
        <w:rPr>
          <w:rFonts w:cs="Calibri"/>
        </w:rPr>
        <w:t>The review by Sherlock et al. (2008) also recommended a country-specific value of 0.1 for Frac</w:t>
      </w:r>
      <w:r w:rsidRPr="00D9348B">
        <w:rPr>
          <w:rFonts w:cs="Calibri"/>
          <w:vertAlign w:val="subscript"/>
        </w:rPr>
        <w:t>GASM</w:t>
      </w:r>
      <w:r w:rsidRPr="00D9348B">
        <w:rPr>
          <w:rFonts w:cs="Calibri"/>
        </w:rPr>
        <w:t>, the fraction of volatilised nitrogen from manure spreading and pasture, range and paddock manure. The review showed that the default value of 0.2 for Frac</w:t>
      </w:r>
      <w:r w:rsidRPr="00D9348B">
        <w:rPr>
          <w:rFonts w:cs="Calibri"/>
          <w:vertAlign w:val="subscript"/>
        </w:rPr>
        <w:t>GASM</w:t>
      </w:r>
      <w:r w:rsidRPr="00D9348B">
        <w:rPr>
          <w:rFonts w:cs="Calibri"/>
        </w:rPr>
        <w:t xml:space="preserve"> (IPCC, 2006) was too high for New Zealand conditions and that 0.1 was more appropriate. This value was also confirmed by subsequent field experiments (Laubach et al., 2012). </w:t>
      </w:r>
    </w:p>
    <w:p w14:paraId="5088C5EA" w14:textId="77777777" w:rsidR="00F849A7" w:rsidRPr="00D9348B" w:rsidRDefault="00F849A7" w:rsidP="00F849A7">
      <w:pPr>
        <w:pStyle w:val="BodyText"/>
        <w:spacing w:after="100"/>
        <w:rPr>
          <w:rFonts w:cs="Calibri"/>
        </w:rPr>
      </w:pPr>
      <w:r w:rsidRPr="00D9348B">
        <w:rPr>
          <w:rFonts w:cs="Calibri"/>
        </w:rPr>
        <w:t xml:space="preserve">In 2018, </w:t>
      </w:r>
      <w:r w:rsidRPr="00D9348B">
        <w:rPr>
          <w:rFonts w:cs="Calibri"/>
          <w:spacing w:val="-2"/>
        </w:rPr>
        <w:t>N</w:t>
      </w:r>
      <w:r w:rsidRPr="00D9348B">
        <w:rPr>
          <w:rFonts w:cs="Calibri"/>
          <w:spacing w:val="-2"/>
          <w:vertAlign w:val="subscript"/>
        </w:rPr>
        <w:t>2</w:t>
      </w:r>
      <w:r w:rsidRPr="00D9348B">
        <w:rPr>
          <w:rFonts w:cs="Calibri"/>
          <w:spacing w:val="-2"/>
        </w:rPr>
        <w:t>O</w:t>
      </w:r>
      <w:r w:rsidRPr="00D9348B">
        <w:rPr>
          <w:rFonts w:cs="Calibri"/>
        </w:rPr>
        <w:t xml:space="preserve"> emissions from volatilisation contributed 2.4 per cent (919.6 kt CO</w:t>
      </w:r>
      <w:r w:rsidRPr="00D9348B">
        <w:rPr>
          <w:rFonts w:cs="Calibri"/>
          <w:vertAlign w:val="subscript"/>
        </w:rPr>
        <w:t>2</w:t>
      </w:r>
      <w:r w:rsidRPr="00D9348B">
        <w:rPr>
          <w:rFonts w:cs="Calibri"/>
        </w:rPr>
        <w:t>-e) to total agricultural emissions, an increase of 30.5 per cent from the 1990 value of 704.9 kt CO</w:t>
      </w:r>
      <w:r w:rsidRPr="00D9348B">
        <w:rPr>
          <w:rFonts w:cs="Calibri"/>
          <w:vertAlign w:val="subscript"/>
        </w:rPr>
        <w:t>2</w:t>
      </w:r>
      <w:r w:rsidRPr="00D9348B">
        <w:rPr>
          <w:rFonts w:cs="Calibri"/>
        </w:rPr>
        <w:t>-e.</w:t>
      </w:r>
    </w:p>
    <w:p w14:paraId="2A1D813E" w14:textId="77777777" w:rsidR="00F849A7" w:rsidRPr="00D9348B" w:rsidRDefault="00F849A7" w:rsidP="00F849A7">
      <w:pPr>
        <w:pStyle w:val="Heading5"/>
        <w:rPr>
          <w:rFonts w:cs="Calibri"/>
        </w:rPr>
      </w:pPr>
      <w:r w:rsidRPr="00D9348B">
        <w:rPr>
          <w:rFonts w:cs="Calibri"/>
        </w:rPr>
        <w:t>Leaching and runoff (CRF 3.D.2.2)</w:t>
      </w:r>
    </w:p>
    <w:p w14:paraId="48F3FC31" w14:textId="77777777" w:rsidR="00F849A7" w:rsidRPr="00D9348B" w:rsidRDefault="00F849A7" w:rsidP="00F849A7">
      <w:pPr>
        <w:pStyle w:val="BodyText"/>
        <w:spacing w:after="100"/>
        <w:rPr>
          <w:rFonts w:cs="Calibri"/>
        </w:rPr>
      </w:pPr>
      <w:r w:rsidRPr="00D9348B">
        <w:rPr>
          <w:rFonts w:cs="Calibri"/>
          <w:spacing w:val="-2"/>
        </w:rPr>
        <w:t xml:space="preserve">Nitrous oxide </w:t>
      </w:r>
      <w:r w:rsidRPr="00D9348B">
        <w:rPr>
          <w:rFonts w:cs="Calibri"/>
        </w:rPr>
        <w:t>emissions from leaching and runoff originate from the following sources: synthetic nitrogen fertiliser (F</w:t>
      </w:r>
      <w:r w:rsidRPr="00D9348B">
        <w:rPr>
          <w:rFonts w:cs="Calibri"/>
          <w:vertAlign w:val="subscript"/>
        </w:rPr>
        <w:t>SN</w:t>
      </w:r>
      <w:r w:rsidRPr="00D9348B">
        <w:rPr>
          <w:rFonts w:cs="Calibri"/>
        </w:rPr>
        <w:t>), organic nitrogen additions from the spreading of animal manure (F</w:t>
      </w:r>
      <w:r w:rsidRPr="00D9348B">
        <w:rPr>
          <w:rFonts w:cs="Calibri"/>
          <w:vertAlign w:val="subscript"/>
        </w:rPr>
        <w:t>ON</w:t>
      </w:r>
      <w:r w:rsidRPr="00D9348B">
        <w:rPr>
          <w:rFonts w:cs="Calibri"/>
        </w:rPr>
        <w:t>), above- and below-ground crop residues (F</w:t>
      </w:r>
      <w:r w:rsidRPr="00D9348B">
        <w:rPr>
          <w:rFonts w:cs="Calibri"/>
          <w:vertAlign w:val="subscript"/>
        </w:rPr>
        <w:t>CR</w:t>
      </w:r>
      <w:r w:rsidRPr="00D9348B">
        <w:rPr>
          <w:rFonts w:cs="Calibri"/>
        </w:rPr>
        <w:t>), nitrogen mineralisation associated with loss of soil organic matter from cropland land management (F</w:t>
      </w:r>
      <w:r w:rsidRPr="00D9348B">
        <w:rPr>
          <w:rFonts w:cs="Calibri"/>
          <w:vertAlign w:val="subscript"/>
        </w:rPr>
        <w:t>SOM</w:t>
      </w:r>
      <w:r w:rsidRPr="00D9348B">
        <w:rPr>
          <w:rFonts w:cs="Calibri"/>
        </w:rPr>
        <w:t>) and excreta from grazing livestock on pasture, range and paddock (F</w:t>
      </w:r>
      <w:r w:rsidRPr="00D9348B">
        <w:rPr>
          <w:rFonts w:cs="Calibri"/>
          <w:vertAlign w:val="subscript"/>
        </w:rPr>
        <w:t>PRP</w:t>
      </w:r>
      <w:r w:rsidRPr="00D9348B">
        <w:rPr>
          <w:rFonts w:cs="Calibri"/>
        </w:rPr>
        <w:t>) (IPCC, 2006). The collection of activity data for F</w:t>
      </w:r>
      <w:r w:rsidRPr="00D9348B">
        <w:rPr>
          <w:rFonts w:cs="Calibri"/>
          <w:vertAlign w:val="subscript"/>
        </w:rPr>
        <w:t>SN</w:t>
      </w:r>
      <w:r w:rsidRPr="00D9348B">
        <w:rPr>
          <w:rFonts w:cs="Calibri"/>
        </w:rPr>
        <w:t>, F</w:t>
      </w:r>
      <w:r w:rsidRPr="00D9348B">
        <w:rPr>
          <w:rFonts w:cs="Calibri"/>
          <w:vertAlign w:val="subscript"/>
        </w:rPr>
        <w:t>ON</w:t>
      </w:r>
      <w:r w:rsidRPr="00D9348B">
        <w:rPr>
          <w:rFonts w:cs="Calibri"/>
        </w:rPr>
        <w:t>, F</w:t>
      </w:r>
      <w:r w:rsidRPr="00D9348B">
        <w:rPr>
          <w:rFonts w:cs="Calibri"/>
          <w:vertAlign w:val="subscript"/>
        </w:rPr>
        <w:t>CR</w:t>
      </w:r>
      <w:r w:rsidRPr="00D9348B">
        <w:rPr>
          <w:rFonts w:cs="Calibri"/>
        </w:rPr>
        <w:t>, F</w:t>
      </w:r>
      <w:r w:rsidRPr="00D9348B">
        <w:rPr>
          <w:rFonts w:cs="Calibri"/>
          <w:vertAlign w:val="subscript"/>
        </w:rPr>
        <w:t xml:space="preserve">PRP </w:t>
      </w:r>
      <w:r w:rsidRPr="00D9348B">
        <w:rPr>
          <w:rFonts w:cs="Calibri"/>
        </w:rPr>
        <w:t>and F</w:t>
      </w:r>
      <w:r w:rsidRPr="00D9348B">
        <w:rPr>
          <w:rFonts w:cs="Calibri"/>
          <w:vertAlign w:val="subscript"/>
        </w:rPr>
        <w:t>SOM</w:t>
      </w:r>
      <w:r w:rsidRPr="00D9348B">
        <w:rPr>
          <w:rFonts w:cs="Calibri"/>
        </w:rPr>
        <w:t xml:space="preserve"> is described above (see Direct N</w:t>
      </w:r>
      <w:r w:rsidRPr="00D9348B">
        <w:rPr>
          <w:rFonts w:cs="Calibri"/>
          <w:vertAlign w:val="subscript"/>
        </w:rPr>
        <w:t>2</w:t>
      </w:r>
      <w:r w:rsidRPr="00D9348B">
        <w:rPr>
          <w:rFonts w:cs="Calibri"/>
        </w:rPr>
        <w:t xml:space="preserve">O emissions from managed soils (CRF 3.D.1)). </w:t>
      </w:r>
    </w:p>
    <w:p w14:paraId="531EC761" w14:textId="77777777" w:rsidR="00F849A7" w:rsidRPr="00D9348B" w:rsidRDefault="00F849A7" w:rsidP="00F849A7">
      <w:pPr>
        <w:pStyle w:val="BodyText"/>
        <w:rPr>
          <w:rFonts w:cs="Calibri"/>
          <w:spacing w:val="-2"/>
        </w:rPr>
      </w:pPr>
      <w:r w:rsidRPr="00D9348B">
        <w:rPr>
          <w:rFonts w:cs="Calibri"/>
          <w:spacing w:val="-2"/>
        </w:rPr>
        <w:t xml:space="preserve">New Zealand reports all emissions from leaching under the </w:t>
      </w:r>
      <w:r w:rsidRPr="00D9348B">
        <w:rPr>
          <w:rFonts w:cs="Calibri"/>
          <w:i/>
          <w:iCs/>
          <w:spacing w:val="-2"/>
        </w:rPr>
        <w:t>Agricultural soils</w:t>
      </w:r>
      <w:r w:rsidRPr="00D9348B">
        <w:rPr>
          <w:rFonts w:cs="Calibri"/>
          <w:spacing w:val="-2"/>
        </w:rPr>
        <w:t xml:space="preserve"> category. As discussed under</w:t>
      </w:r>
      <w:r w:rsidRPr="00D9348B">
        <w:rPr>
          <w:rFonts w:cs="Calibri"/>
          <w:i/>
          <w:iCs/>
          <w:spacing w:val="-2"/>
        </w:rPr>
        <w:t xml:space="preserve"> Manure management </w:t>
      </w:r>
      <w:r w:rsidRPr="00D9348B">
        <w:rPr>
          <w:rFonts w:cs="Calibri"/>
          <w:spacing w:val="-2"/>
        </w:rPr>
        <w:t>(see section 5.3.2), New Zealand livestock are predominantly grazed outdoors (see table 5.3.2). New Zealand uses a Tier 1 methodology with country-specific default parameters to calculate indirect N</w:t>
      </w:r>
      <w:r w:rsidRPr="00D9348B">
        <w:rPr>
          <w:rFonts w:cs="Calibri"/>
          <w:spacing w:val="-2"/>
          <w:vertAlign w:val="subscript"/>
        </w:rPr>
        <w:t>2</w:t>
      </w:r>
      <w:r w:rsidRPr="00D9348B">
        <w:rPr>
          <w:rFonts w:cs="Calibri"/>
          <w:spacing w:val="-2"/>
        </w:rPr>
        <w:t xml:space="preserve">O emissions from nitrogen leaching: </w:t>
      </w:r>
    </w:p>
    <w:p w14:paraId="5ED3BD70" w14:textId="77777777" w:rsidR="00F849A7" w:rsidRPr="00D9348B" w:rsidRDefault="00F849A7" w:rsidP="00F849A7">
      <w:pPr>
        <w:pStyle w:val="BodyText"/>
        <w:spacing w:before="0" w:after="0"/>
        <w:rPr>
          <w:rFonts w:cs="Calibri"/>
        </w:rPr>
      </w:pPr>
      <w:r w:rsidRPr="00D9348B">
        <w:rPr>
          <w:rFonts w:cs="Calibri"/>
        </w:rPr>
        <w:object w:dxaOrig="8381" w:dyaOrig="675" w14:anchorId="389CA099">
          <v:shape id="_x0000_i1107" type="#_x0000_t75" style="width:418.85pt;height:36.95pt" o:ole="">
            <v:imagedata r:id="rId168" o:title="" cropbottom="7859f"/>
          </v:shape>
          <o:OLEObject Type="Embed" ProgID="Word.Document.12" ShapeID="_x0000_i1107" DrawAspect="Content" ObjectID="_1647932339" r:id="rId169">
            <o:FieldCodes>\s</o:FieldCodes>
          </o:OLEObject>
        </w:object>
      </w:r>
    </w:p>
    <w:p w14:paraId="7C174C6C" w14:textId="77777777" w:rsidR="00F849A7" w:rsidRPr="00D9348B" w:rsidRDefault="00F849A7" w:rsidP="00F849A7">
      <w:pPr>
        <w:pStyle w:val="BodyText"/>
        <w:spacing w:before="0" w:after="0"/>
        <w:ind w:left="993" w:hanging="993"/>
        <w:rPr>
          <w:rFonts w:cs="Calibri"/>
        </w:rPr>
      </w:pPr>
      <w:r w:rsidRPr="00D9348B">
        <w:rPr>
          <w:rFonts w:cs="Calibri"/>
        </w:rPr>
        <w:lastRenderedPageBreak/>
        <w:t>Where:</w:t>
      </w:r>
      <w:r w:rsidRPr="00D9348B">
        <w:rPr>
          <w:rFonts w:cs="Calibri"/>
        </w:rPr>
        <w:tab/>
        <w:t>N</w:t>
      </w:r>
      <w:r w:rsidRPr="00D9348B">
        <w:rPr>
          <w:rFonts w:cs="Calibri"/>
          <w:vertAlign w:val="subscript"/>
        </w:rPr>
        <w:t>2</w:t>
      </w:r>
      <w:r w:rsidRPr="00D9348B">
        <w:rPr>
          <w:rFonts w:cs="Calibri"/>
        </w:rPr>
        <w:t>O</w:t>
      </w:r>
      <w:r w:rsidRPr="00D9348B">
        <w:rPr>
          <w:rFonts w:cs="Calibri"/>
          <w:vertAlign w:val="subscript"/>
        </w:rPr>
        <w:t>L</w:t>
      </w:r>
      <w:r w:rsidRPr="00D9348B">
        <w:rPr>
          <w:rFonts w:cs="Calibri"/>
        </w:rPr>
        <w:t>–N is the annual amount of N</w:t>
      </w:r>
      <w:r w:rsidRPr="00D9348B">
        <w:rPr>
          <w:rFonts w:cs="Calibri"/>
          <w:vertAlign w:val="subscript"/>
        </w:rPr>
        <w:t>2</w:t>
      </w:r>
      <w:r w:rsidRPr="00D9348B">
        <w:rPr>
          <w:rFonts w:cs="Calibri"/>
        </w:rPr>
        <w:t>O-N from runoff and leaching from agricultural soils (kg N</w:t>
      </w:r>
      <w:r w:rsidRPr="00D9348B">
        <w:rPr>
          <w:rFonts w:cs="Calibri"/>
          <w:vertAlign w:val="subscript"/>
        </w:rPr>
        <w:t>2</w:t>
      </w:r>
      <w:r w:rsidRPr="00D9348B">
        <w:rPr>
          <w:rFonts w:cs="Calibri"/>
        </w:rPr>
        <w:t>O-N/year)</w:t>
      </w:r>
    </w:p>
    <w:p w14:paraId="24DBCA2A" w14:textId="77777777" w:rsidR="00F849A7" w:rsidRPr="00D9348B" w:rsidRDefault="00F849A7" w:rsidP="00F849A7">
      <w:pPr>
        <w:spacing w:before="100"/>
        <w:ind w:left="964"/>
        <w:rPr>
          <w:rFonts w:cs="Calibri"/>
        </w:rPr>
      </w:pPr>
      <w:r w:rsidRPr="00D9348B">
        <w:rPr>
          <w:rFonts w:cs="Calibri"/>
        </w:rPr>
        <w:t>F</w:t>
      </w:r>
      <w:r w:rsidRPr="00D9348B">
        <w:rPr>
          <w:rFonts w:cs="Calibri"/>
          <w:vertAlign w:val="subscript"/>
        </w:rPr>
        <w:t>SN</w:t>
      </w:r>
      <w:r w:rsidRPr="00D9348B">
        <w:rPr>
          <w:rFonts w:cs="Calibri"/>
        </w:rPr>
        <w:t>, F</w:t>
      </w:r>
      <w:r w:rsidRPr="00D9348B">
        <w:rPr>
          <w:rFonts w:cs="Calibri"/>
          <w:vertAlign w:val="subscript"/>
        </w:rPr>
        <w:t>ON</w:t>
      </w:r>
      <w:r w:rsidRPr="00D9348B">
        <w:rPr>
          <w:rFonts w:cs="Calibri"/>
        </w:rPr>
        <w:t>, F</w:t>
      </w:r>
      <w:r w:rsidRPr="00D9348B">
        <w:rPr>
          <w:rFonts w:cs="Calibri"/>
          <w:vertAlign w:val="subscript"/>
        </w:rPr>
        <w:t>PRP</w:t>
      </w:r>
      <w:r w:rsidRPr="00D9348B">
        <w:rPr>
          <w:rFonts w:cs="Calibri"/>
        </w:rPr>
        <w:t>, F</w:t>
      </w:r>
      <w:r w:rsidRPr="00D9348B">
        <w:rPr>
          <w:rFonts w:cs="Calibri"/>
          <w:vertAlign w:val="subscript"/>
        </w:rPr>
        <w:t>CR</w:t>
      </w:r>
      <w:r w:rsidRPr="00D9348B">
        <w:rPr>
          <w:rFonts w:cs="Calibri"/>
        </w:rPr>
        <w:t xml:space="preserve"> and F</w:t>
      </w:r>
      <w:r w:rsidRPr="00D9348B">
        <w:rPr>
          <w:rFonts w:cs="Calibri"/>
          <w:vertAlign w:val="subscript"/>
        </w:rPr>
        <w:t>SOM</w:t>
      </w:r>
      <w:r w:rsidRPr="00D9348B">
        <w:rPr>
          <w:rFonts w:cs="Calibri"/>
        </w:rPr>
        <w:t xml:space="preserve"> are defined above (kg N/year)</w:t>
      </w:r>
    </w:p>
    <w:p w14:paraId="1EE77BB6" w14:textId="77777777" w:rsidR="00F849A7" w:rsidRPr="00D9348B" w:rsidRDefault="00F849A7" w:rsidP="00F849A7">
      <w:pPr>
        <w:spacing w:before="100"/>
        <w:ind w:left="964"/>
        <w:rPr>
          <w:rFonts w:cs="Calibri"/>
        </w:rPr>
      </w:pPr>
      <w:r w:rsidRPr="00D9348B">
        <w:rPr>
          <w:rFonts w:cs="Calibri"/>
        </w:rPr>
        <w:t>Frac</w:t>
      </w:r>
      <w:r w:rsidRPr="00D9348B">
        <w:rPr>
          <w:rFonts w:cs="Calibri"/>
          <w:vertAlign w:val="subscript"/>
        </w:rPr>
        <w:t>LEACH-H</w:t>
      </w:r>
      <w:r w:rsidRPr="00D9348B">
        <w:rPr>
          <w:rFonts w:cs="Calibri"/>
        </w:rPr>
        <w:t xml:space="preserve"> is the fraction of nitrogen added to, or mineralised from, agricultural soils where leaching and runoff occur that is lost through leaching and runoff (see table 5.5.4), and</w:t>
      </w:r>
    </w:p>
    <w:p w14:paraId="3181AF6A" w14:textId="77777777" w:rsidR="00F849A7" w:rsidRPr="00D9348B" w:rsidRDefault="00F849A7" w:rsidP="00F849A7">
      <w:pPr>
        <w:spacing w:before="100" w:after="120"/>
        <w:ind w:left="964"/>
        <w:rPr>
          <w:rFonts w:cs="Calibri"/>
        </w:rPr>
      </w:pPr>
      <w:r w:rsidRPr="00D9348B">
        <w:rPr>
          <w:rFonts w:cs="Calibri"/>
        </w:rPr>
        <w:t>EF</w:t>
      </w:r>
      <w:r w:rsidRPr="00D9348B">
        <w:rPr>
          <w:rFonts w:cs="Calibri"/>
          <w:vertAlign w:val="subscript"/>
        </w:rPr>
        <w:t>5</w:t>
      </w:r>
      <w:r w:rsidRPr="00D9348B">
        <w:rPr>
          <w:rFonts w:cs="Calibri"/>
        </w:rPr>
        <w:t xml:space="preserve"> is the IPCC (2006) default factor for N</w:t>
      </w:r>
      <w:r w:rsidRPr="00D9348B">
        <w:rPr>
          <w:rFonts w:cs="Calibri"/>
          <w:vertAlign w:val="subscript"/>
        </w:rPr>
        <w:t>2</w:t>
      </w:r>
      <w:r w:rsidRPr="00D9348B">
        <w:rPr>
          <w:rFonts w:cs="Calibri"/>
        </w:rPr>
        <w:t xml:space="preserve">O emissions from leaching and runoff. </w:t>
      </w:r>
    </w:p>
    <w:p w14:paraId="5733351F" w14:textId="77777777" w:rsidR="00F849A7" w:rsidRPr="00D9348B" w:rsidRDefault="00F849A7" w:rsidP="00F849A7">
      <w:pPr>
        <w:pStyle w:val="BodyText"/>
        <w:rPr>
          <w:rFonts w:cs="Calibri"/>
        </w:rPr>
      </w:pPr>
      <w:r w:rsidRPr="00D9348B">
        <w:rPr>
          <w:rFonts w:cs="Calibri"/>
        </w:rPr>
        <w:t>New Zealand uses a country-specific value for Frac</w:t>
      </w:r>
      <w:r w:rsidRPr="00D9348B">
        <w:rPr>
          <w:rFonts w:cs="Calibri"/>
          <w:vertAlign w:val="subscript"/>
        </w:rPr>
        <w:t>LEACH</w:t>
      </w:r>
      <w:r w:rsidRPr="00D9348B">
        <w:rPr>
          <w:rFonts w:cs="Calibri"/>
        </w:rPr>
        <w:t>, the fraction of nitrogen applied to agricultural land that is lost through leaching and runoff.</w:t>
      </w:r>
      <w:r w:rsidRPr="00D9348B">
        <w:rPr>
          <w:rStyle w:val="FootnoteReference"/>
          <w:rFonts w:cs="Calibri"/>
        </w:rPr>
        <w:footnoteReference w:id="60"/>
      </w:r>
      <w:r w:rsidRPr="00D9348B">
        <w:rPr>
          <w:rFonts w:cs="Calibri"/>
        </w:rPr>
        <w:t xml:space="preserve"> Research has indicated that a value of 0.07 for Frac</w:t>
      </w:r>
      <w:r w:rsidRPr="00D9348B">
        <w:rPr>
          <w:rFonts w:cs="Calibri"/>
          <w:vertAlign w:val="subscript"/>
        </w:rPr>
        <w:t>LEACH</w:t>
      </w:r>
      <w:r w:rsidRPr="00D9348B">
        <w:rPr>
          <w:rFonts w:cs="Calibri"/>
        </w:rPr>
        <w:t xml:space="preserve"> more closely reflects leaching in New Zealand. Thomas et al. (2005) compared nitrogen leaching estimates for different farm systems based on IPCC methodology (a value of 0.30 kg N/kg of fertiliser or manure) with estimates from a New Zealand-specific nutrient budgeting model, OVERSEER</w:t>
      </w:r>
      <w:r w:rsidRPr="00D9348B">
        <w:rPr>
          <w:rFonts w:cs="Calibri"/>
          <w:vertAlign w:val="superscript"/>
        </w:rPr>
        <w:t>®</w:t>
      </w:r>
      <w:r w:rsidRPr="00D9348B">
        <w:rPr>
          <w:rFonts w:cs="Calibri"/>
        </w:rPr>
        <w:t xml:space="preserve"> (Wheeler et al., 2003). The IPCC-based estimates were found, on average, to be 50 per cent higher than those estimated using the OVERSEER</w:t>
      </w:r>
      <w:r w:rsidRPr="00D9348B">
        <w:rPr>
          <w:rFonts w:cs="Calibri"/>
          <w:vertAlign w:val="superscript"/>
        </w:rPr>
        <w:t>®</w:t>
      </w:r>
      <w:r w:rsidRPr="00D9348B">
        <w:rPr>
          <w:rFonts w:cs="Calibri"/>
        </w:rPr>
        <w:t xml:space="preserve"> nutrient budget model (using a Frac</w:t>
      </w:r>
      <w:r w:rsidRPr="00D9348B">
        <w:rPr>
          <w:rFonts w:cs="Calibri"/>
          <w:vertAlign w:val="subscript"/>
        </w:rPr>
        <w:t>LEACH</w:t>
      </w:r>
      <w:r w:rsidRPr="00D9348B">
        <w:rPr>
          <w:rFonts w:cs="Calibri"/>
        </w:rPr>
        <w:t xml:space="preserve"> value of 0.15</w:t>
      </w:r>
      <w:r w:rsidRPr="00D9348B">
        <w:rPr>
          <w:rStyle w:val="FootnoteReference"/>
          <w:rFonts w:cs="Calibri"/>
        </w:rPr>
        <w:footnoteReference w:id="61"/>
      </w:r>
      <w:r w:rsidRPr="00D9348B">
        <w:rPr>
          <w:rFonts w:cs="Calibri"/>
        </w:rPr>
        <w:t xml:space="preserve">). </w:t>
      </w:r>
    </w:p>
    <w:p w14:paraId="6289C844" w14:textId="77777777" w:rsidR="00F849A7" w:rsidRPr="00D9348B" w:rsidRDefault="00F849A7" w:rsidP="00F849A7">
      <w:pPr>
        <w:pStyle w:val="BodyText"/>
        <w:spacing w:before="100" w:after="100"/>
        <w:rPr>
          <w:rFonts w:cs="Calibri"/>
        </w:rPr>
      </w:pPr>
      <w:r w:rsidRPr="00D9348B">
        <w:rPr>
          <w:rFonts w:cs="Calibri"/>
        </w:rPr>
        <w:t>The OVERSEER</w:t>
      </w:r>
      <w:r w:rsidRPr="00D9348B">
        <w:rPr>
          <w:rFonts w:cs="Calibri"/>
          <w:vertAlign w:val="superscript"/>
        </w:rPr>
        <w:t>®</w:t>
      </w:r>
      <w:r w:rsidRPr="00D9348B">
        <w:rPr>
          <w:rFonts w:cs="Calibri"/>
        </w:rPr>
        <w:t xml:space="preserve"> model provides average estimates of the fate of nitrogen for a range of pastoral, arable and horticultural systems. In pastoral systems, nitrate (NO</w:t>
      </w:r>
      <w:r w:rsidRPr="00D9348B">
        <w:rPr>
          <w:rFonts w:cs="Calibri"/>
          <w:vertAlign w:val="subscript"/>
        </w:rPr>
        <w:t>3</w:t>
      </w:r>
      <w:r w:rsidRPr="00D9348B">
        <w:rPr>
          <w:rFonts w:cs="Calibri"/>
        </w:rPr>
        <w:t xml:space="preserve">) leaching is determined by rainfall, soil type and the amount of nitrogen entering the farm system (from nitrogen-based fertilisers, dung and urine applied as dairy farm effluent or directly excreted by grazing animals). Dung and urine from animals is calculated from the difference between nitrogen intake by grazing animals and nitrogen retained in animal products – such as milk, meat, velvet. This is based on user inputs of stocking rates or production and an internal database with information on the nitrogen content of pasture and animal products, and is calibrated against field measurements. </w:t>
      </w:r>
    </w:p>
    <w:p w14:paraId="5AD4C905" w14:textId="77777777" w:rsidR="00F849A7" w:rsidRPr="00D9348B" w:rsidRDefault="00F849A7" w:rsidP="00F849A7">
      <w:pPr>
        <w:pStyle w:val="BodyText"/>
        <w:spacing w:before="100" w:after="100"/>
        <w:rPr>
          <w:rFonts w:cs="Calibri"/>
        </w:rPr>
      </w:pPr>
      <w:r w:rsidRPr="00D9348B">
        <w:rPr>
          <w:rFonts w:cs="Calibri"/>
        </w:rPr>
        <w:t xml:space="preserve">In 2018, </w:t>
      </w:r>
      <w:r w:rsidRPr="00D9348B">
        <w:rPr>
          <w:rFonts w:cs="Calibri"/>
          <w:spacing w:val="-2"/>
        </w:rPr>
        <w:t>N</w:t>
      </w:r>
      <w:r w:rsidRPr="00D9348B">
        <w:rPr>
          <w:rFonts w:cs="Calibri"/>
          <w:spacing w:val="-2"/>
          <w:vertAlign w:val="subscript"/>
        </w:rPr>
        <w:t>2</w:t>
      </w:r>
      <w:r w:rsidRPr="00D9348B">
        <w:rPr>
          <w:rFonts w:cs="Calibri"/>
          <w:spacing w:val="-2"/>
        </w:rPr>
        <w:t>O</w:t>
      </w:r>
      <w:r w:rsidRPr="00D9348B">
        <w:rPr>
          <w:rFonts w:cs="Calibri"/>
        </w:rPr>
        <w:t xml:space="preserve"> emissions from leaching and runoff made up 1.3 per cent (508.7 kt CO</w:t>
      </w:r>
      <w:r w:rsidRPr="00D9348B">
        <w:rPr>
          <w:rFonts w:cs="Calibri"/>
          <w:vertAlign w:val="subscript"/>
        </w:rPr>
        <w:t>2</w:t>
      </w:r>
      <w:r w:rsidRPr="00D9348B">
        <w:rPr>
          <w:rFonts w:cs="Calibri"/>
        </w:rPr>
        <w:t>-e) of total agricultural emissions, an increase of 34.1 per cent from the 1990 value of 379.3 kt CO</w:t>
      </w:r>
      <w:r w:rsidRPr="00D9348B">
        <w:rPr>
          <w:rFonts w:cs="Calibri"/>
          <w:vertAlign w:val="subscript"/>
        </w:rPr>
        <w:t>2</w:t>
      </w:r>
      <w:r w:rsidRPr="00D9348B">
        <w:rPr>
          <w:rFonts w:cs="Calibri"/>
        </w:rPr>
        <w:t>-e.</w:t>
      </w:r>
    </w:p>
    <w:p w14:paraId="3030A95F" w14:textId="77777777" w:rsidR="00F849A7" w:rsidRPr="00D9348B" w:rsidRDefault="00F849A7" w:rsidP="00865BDB">
      <w:pPr>
        <w:pStyle w:val="Heading4"/>
      </w:pPr>
      <w:r w:rsidRPr="00D9348B">
        <w:t>Incorporation of nitrous oxide mitigation technologies into the Agriculture inventory</w:t>
      </w:r>
    </w:p>
    <w:p w14:paraId="55DE7235" w14:textId="77777777" w:rsidR="00F849A7" w:rsidRPr="00D9348B" w:rsidRDefault="00F849A7" w:rsidP="00F849A7">
      <w:pPr>
        <w:pStyle w:val="Heading5"/>
        <w:spacing w:before="160"/>
        <w:rPr>
          <w:rFonts w:cs="Calibri"/>
        </w:rPr>
      </w:pPr>
      <w:r w:rsidRPr="00D9348B">
        <w:rPr>
          <w:rFonts w:cs="Calibri"/>
        </w:rPr>
        <w:t xml:space="preserve">Urease inhibitors </w:t>
      </w:r>
    </w:p>
    <w:p w14:paraId="51D04D25" w14:textId="77777777" w:rsidR="00F849A7" w:rsidRPr="00D9348B" w:rsidRDefault="00F849A7" w:rsidP="00F849A7">
      <w:pPr>
        <w:pStyle w:val="BodyText"/>
        <w:spacing w:before="100" w:after="100"/>
        <w:rPr>
          <w:rFonts w:cs="Calibri"/>
        </w:rPr>
      </w:pPr>
      <w:r w:rsidRPr="00D9348B">
        <w:rPr>
          <w:rFonts w:cs="Calibri"/>
        </w:rPr>
        <w:t xml:space="preserve">The </w:t>
      </w:r>
      <w:r w:rsidRPr="00D9348B">
        <w:rPr>
          <w:rFonts w:cs="Calibri"/>
          <w:spacing w:val="-2"/>
        </w:rPr>
        <w:t>N</w:t>
      </w:r>
      <w:r w:rsidRPr="00D9348B">
        <w:rPr>
          <w:rFonts w:cs="Calibri"/>
          <w:spacing w:val="-2"/>
          <w:vertAlign w:val="subscript"/>
        </w:rPr>
        <w:t>2</w:t>
      </w:r>
      <w:r w:rsidRPr="00D9348B">
        <w:rPr>
          <w:rFonts w:cs="Calibri"/>
          <w:spacing w:val="-2"/>
        </w:rPr>
        <w:t>O</w:t>
      </w:r>
      <w:r w:rsidRPr="00D9348B">
        <w:rPr>
          <w:rFonts w:cs="Calibri"/>
        </w:rPr>
        <w:t xml:space="preserve"> emissions reported under the </w:t>
      </w:r>
      <w:r w:rsidRPr="00D9348B">
        <w:rPr>
          <w:rFonts w:cs="Calibri"/>
          <w:i/>
          <w:iCs/>
        </w:rPr>
        <w:t>Agricultural soils</w:t>
      </w:r>
      <w:r w:rsidRPr="00D9348B">
        <w:rPr>
          <w:rFonts w:cs="Calibri"/>
        </w:rPr>
        <w:t xml:space="preserve"> category take into account the use of urease inhibitors, a greenhouse gas mitigation technology. Urea is the main type of synthetic nitrogen </w:t>
      </w:r>
      <w:r w:rsidRPr="00D9348B">
        <w:rPr>
          <w:rFonts w:cs="Calibri"/>
          <w:spacing w:val="-2"/>
        </w:rPr>
        <w:t>fertiliser applied to pastures. Urease inhibitors restrict the action of the urease</w:t>
      </w:r>
      <w:r w:rsidRPr="00D9348B">
        <w:rPr>
          <w:rFonts w:cs="Calibri"/>
        </w:rPr>
        <w:t xml:space="preserve"> </w:t>
      </w:r>
      <w:r w:rsidRPr="00D9348B">
        <w:rPr>
          <w:rFonts w:cs="Calibri"/>
          <w:spacing w:val="-2"/>
        </w:rPr>
        <w:t>enzyme. Urease is a catalyst for the volatilisation of the nitrogen contained in urea fertiliser and urine into</w:t>
      </w:r>
      <w:r w:rsidRPr="00D9348B">
        <w:rPr>
          <w:rFonts w:cs="Calibri"/>
        </w:rPr>
        <w:t> </w:t>
      </w:r>
      <w:r w:rsidRPr="00D9348B">
        <w:rPr>
          <w:rFonts w:cs="Calibri"/>
          <w:spacing w:val="-2"/>
        </w:rPr>
        <w:t>NH</w:t>
      </w:r>
      <w:r w:rsidRPr="00D9348B">
        <w:rPr>
          <w:rFonts w:cs="Calibri"/>
          <w:spacing w:val="-2"/>
          <w:vertAlign w:val="subscript"/>
        </w:rPr>
        <w:t>3</w:t>
      </w:r>
      <w:r w:rsidRPr="00D9348B">
        <w:rPr>
          <w:rFonts w:cs="Calibri"/>
          <w:spacing w:val="-2"/>
        </w:rPr>
        <w:t xml:space="preserve"> gas. </w:t>
      </w:r>
    </w:p>
    <w:p w14:paraId="3F2C61E1" w14:textId="77777777" w:rsidR="00F849A7" w:rsidRPr="00D9348B" w:rsidRDefault="00F849A7" w:rsidP="00F849A7">
      <w:pPr>
        <w:pStyle w:val="BodyText"/>
        <w:spacing w:before="100" w:after="100"/>
        <w:rPr>
          <w:rFonts w:cs="Calibri"/>
        </w:rPr>
      </w:pPr>
      <w:r w:rsidRPr="00D9348B">
        <w:rPr>
          <w:rFonts w:cs="Calibri"/>
        </w:rPr>
        <w:t>Urease inhibitor mitigation is included in New Zealand’s Agriculture inventory by adjusting the value of the existing country-specific N</w:t>
      </w:r>
      <w:r w:rsidRPr="00D9348B">
        <w:rPr>
          <w:rFonts w:cs="Calibri"/>
          <w:vertAlign w:val="subscript"/>
        </w:rPr>
        <w:t>2</w:t>
      </w:r>
      <w:r w:rsidRPr="00D9348B">
        <w:rPr>
          <w:rFonts w:cs="Calibri"/>
        </w:rPr>
        <w:t>O parameter: Frac</w:t>
      </w:r>
      <w:r w:rsidRPr="00D9348B">
        <w:rPr>
          <w:rFonts w:cs="Calibri"/>
          <w:vertAlign w:val="subscript"/>
        </w:rPr>
        <w:t>GASF</w:t>
      </w:r>
      <w:r w:rsidRPr="00D9348B">
        <w:rPr>
          <w:rFonts w:cs="Calibri"/>
        </w:rPr>
        <w:t>. Saggar et al. (2013) assessed the mitigating effect of the urease inhibitor nBTPT (sold as ‘Agrotain’), the most widely used product. Saggar et al. (2013) showed that the presently recommended country-specific value of Frac</w:t>
      </w:r>
      <w:r w:rsidRPr="00D9348B">
        <w:rPr>
          <w:rFonts w:cs="Calibri"/>
          <w:vertAlign w:val="subscript"/>
        </w:rPr>
        <w:t>GASF</w:t>
      </w:r>
      <w:r w:rsidRPr="00D9348B">
        <w:rPr>
          <w:rFonts w:cs="Calibri"/>
        </w:rPr>
        <w:t xml:space="preserve"> of 0.1 should be reduced to 0.055. This finding was based on field and laboratory studies conducted both in New Zealand and worldwide.</w:t>
      </w:r>
    </w:p>
    <w:p w14:paraId="24B3BB9F" w14:textId="4E13C0B1" w:rsidR="00F849A7" w:rsidRPr="00D9348B" w:rsidRDefault="00F849A7" w:rsidP="00F849A7">
      <w:pPr>
        <w:pStyle w:val="BodyText"/>
        <w:spacing w:before="100" w:after="100"/>
        <w:rPr>
          <w:rFonts w:cs="Calibri"/>
        </w:rPr>
      </w:pPr>
      <w:r w:rsidRPr="00D9348B">
        <w:rPr>
          <w:rFonts w:cs="Calibri"/>
        </w:rPr>
        <w:lastRenderedPageBreak/>
        <w:t xml:space="preserve">Indirect </w:t>
      </w:r>
      <w:r w:rsidRPr="00D9348B">
        <w:rPr>
          <w:rFonts w:cs="Calibri"/>
          <w:spacing w:val="-2"/>
        </w:rPr>
        <w:t>N</w:t>
      </w:r>
      <w:r w:rsidRPr="00D9348B">
        <w:rPr>
          <w:rFonts w:cs="Calibri"/>
          <w:spacing w:val="-2"/>
          <w:vertAlign w:val="subscript"/>
        </w:rPr>
        <w:t>2</w:t>
      </w:r>
      <w:r w:rsidRPr="00D9348B">
        <w:rPr>
          <w:rFonts w:cs="Calibri"/>
          <w:spacing w:val="-2"/>
        </w:rPr>
        <w:t>O</w:t>
      </w:r>
      <w:r w:rsidRPr="00D9348B">
        <w:rPr>
          <w:rFonts w:cs="Calibri"/>
        </w:rPr>
        <w:t xml:space="preserve"> emissions from volatilisation from all synthetic nitrogen fertilisers (including urea</w:t>
      </w:r>
      <w:r w:rsidR="00CD5933" w:rsidRPr="00D9348B">
        <w:rPr>
          <w:rFonts w:cs="Calibri"/>
        </w:rPr>
        <w:t> </w:t>
      </w:r>
      <w:r w:rsidRPr="00D9348B">
        <w:rPr>
          <w:rFonts w:cs="Calibri"/>
        </w:rPr>
        <w:t>and other nitrogen fertilisers, with and without urease inhibitors applied to the urea component) are calculated as shown below:</w:t>
      </w:r>
    </w:p>
    <w:p w14:paraId="1E319629" w14:textId="77777777" w:rsidR="00F849A7" w:rsidRPr="00D9348B" w:rsidRDefault="00F849A7" w:rsidP="00F849A7">
      <w:pPr>
        <w:pStyle w:val="BodyText"/>
        <w:spacing w:before="0" w:after="0"/>
        <w:rPr>
          <w:rFonts w:cs="Calibri"/>
        </w:rPr>
      </w:pPr>
      <w:r w:rsidRPr="00D9348B">
        <w:rPr>
          <w:rFonts w:cs="Calibri"/>
        </w:rPr>
        <w:object w:dxaOrig="8186" w:dyaOrig="719" w14:anchorId="6BC9F0DC">
          <v:shape id="_x0000_i1108" type="#_x0000_t75" style="width:410.1pt;height:35.05pt" o:ole="">
            <v:imagedata r:id="rId170" o:title="" cropbottom="11442f"/>
          </v:shape>
          <o:OLEObject Type="Embed" ProgID="Word.Document.12" ShapeID="_x0000_i1108" DrawAspect="Content" ObjectID="_1647932340" r:id="rId171">
            <o:FieldCodes>\s</o:FieldCodes>
          </o:OLEObject>
        </w:object>
      </w:r>
    </w:p>
    <w:p w14:paraId="6F5A5CBD" w14:textId="77777777" w:rsidR="00F849A7" w:rsidRPr="00D9348B" w:rsidRDefault="00F849A7" w:rsidP="00F849A7">
      <w:pPr>
        <w:tabs>
          <w:tab w:val="left" w:pos="1134"/>
        </w:tabs>
        <w:ind w:left="964" w:hanging="964"/>
        <w:rPr>
          <w:rFonts w:cs="Calibri"/>
        </w:rPr>
      </w:pPr>
      <w:r w:rsidRPr="00D9348B">
        <w:rPr>
          <w:rFonts w:cs="Calibri"/>
        </w:rPr>
        <w:t>Where:</w:t>
      </w:r>
      <w:r w:rsidRPr="00D9348B">
        <w:rPr>
          <w:rFonts w:cs="Calibri"/>
        </w:rPr>
        <w:tab/>
        <w:t>N</w:t>
      </w:r>
      <w:r w:rsidRPr="00D9348B">
        <w:rPr>
          <w:rFonts w:cs="Calibri"/>
          <w:vertAlign w:val="subscript"/>
        </w:rPr>
        <w:t>2</w:t>
      </w:r>
      <w:r w:rsidRPr="00D9348B">
        <w:rPr>
          <w:rFonts w:cs="Calibri"/>
        </w:rPr>
        <w:t>O</w:t>
      </w:r>
      <w:r w:rsidRPr="00D9348B">
        <w:rPr>
          <w:rFonts w:cs="Calibri"/>
          <w:vertAlign w:val="subscript"/>
        </w:rPr>
        <w:t>ATD-FSN</w:t>
      </w:r>
      <w:r w:rsidRPr="00D9348B">
        <w:rPr>
          <w:rFonts w:cs="Calibri"/>
        </w:rPr>
        <w:t>–N is the annual amount of N</w:t>
      </w:r>
      <w:r w:rsidRPr="00D9348B">
        <w:rPr>
          <w:rFonts w:cs="Calibri"/>
          <w:vertAlign w:val="subscript"/>
        </w:rPr>
        <w:t>2</w:t>
      </w:r>
      <w:r w:rsidRPr="00D9348B">
        <w:rPr>
          <w:rFonts w:cs="Calibri"/>
        </w:rPr>
        <w:t>O-N produced by atmospheric deposition of volatilised nitrogen from all synthetic nitrogen fertiliser applied to agricultural soils (kg N</w:t>
      </w:r>
      <w:r w:rsidRPr="00D9348B">
        <w:rPr>
          <w:rFonts w:cs="Calibri"/>
          <w:vertAlign w:val="subscript"/>
        </w:rPr>
        <w:t>2</w:t>
      </w:r>
      <w:r w:rsidRPr="00D9348B">
        <w:rPr>
          <w:rFonts w:cs="Calibri"/>
        </w:rPr>
        <w:t>O-N/year)</w:t>
      </w:r>
    </w:p>
    <w:p w14:paraId="78A4A130" w14:textId="77777777" w:rsidR="00F849A7" w:rsidRPr="00D9348B" w:rsidRDefault="00F849A7" w:rsidP="00F849A7">
      <w:pPr>
        <w:spacing w:before="100"/>
        <w:ind w:left="964"/>
        <w:rPr>
          <w:rFonts w:cs="Calibri"/>
        </w:rPr>
      </w:pPr>
      <w:r w:rsidRPr="00D9348B">
        <w:rPr>
          <w:rFonts w:cs="Calibri"/>
        </w:rPr>
        <w:t xml:space="preserve">S is urea fertiliser (untreated), urea fertiliser (treated) or non-urea nitrogen fertiliser </w:t>
      </w:r>
    </w:p>
    <w:p w14:paraId="5EC8A93E" w14:textId="77777777" w:rsidR="00F849A7" w:rsidRPr="00D9348B" w:rsidRDefault="00F849A7" w:rsidP="00F849A7">
      <w:pPr>
        <w:spacing w:before="100"/>
        <w:ind w:left="964"/>
        <w:rPr>
          <w:rFonts w:cs="Calibri"/>
        </w:rPr>
      </w:pPr>
      <w:r w:rsidRPr="00D9348B">
        <w:rPr>
          <w:rFonts w:cs="Calibri"/>
        </w:rPr>
        <w:t>F</w:t>
      </w:r>
      <w:r w:rsidRPr="00D9348B">
        <w:rPr>
          <w:rFonts w:cs="Calibri"/>
          <w:vertAlign w:val="subscript"/>
        </w:rPr>
        <w:t>SN</w:t>
      </w:r>
      <w:r w:rsidRPr="00D9348B">
        <w:rPr>
          <w:rFonts w:cs="Calibri"/>
        </w:rPr>
        <w:t xml:space="preserve"> is the total annual amount of synthetic nitrogen fertiliser applied (kg N/year) per fertiliser type, S</w:t>
      </w:r>
    </w:p>
    <w:p w14:paraId="5311A4A3" w14:textId="77777777" w:rsidR="00F849A7" w:rsidRPr="00D9348B" w:rsidRDefault="00F849A7" w:rsidP="00F849A7">
      <w:pPr>
        <w:spacing w:before="100"/>
        <w:ind w:left="964"/>
        <w:rPr>
          <w:rFonts w:cs="Calibri"/>
        </w:rPr>
      </w:pPr>
      <w:r w:rsidRPr="00D9348B">
        <w:rPr>
          <w:rFonts w:cs="Calibri"/>
        </w:rPr>
        <w:t>Frac</w:t>
      </w:r>
      <w:r w:rsidRPr="00D9348B">
        <w:rPr>
          <w:rFonts w:cs="Calibri"/>
          <w:vertAlign w:val="subscript"/>
        </w:rPr>
        <w:t>GASF</w:t>
      </w:r>
      <w:r w:rsidRPr="00D9348B">
        <w:rPr>
          <w:rFonts w:cs="Calibri"/>
        </w:rPr>
        <w:t xml:space="preserve"> is the fraction of nitrogen from synthetic nitrogen fertiliser that volatilises as NH</w:t>
      </w:r>
      <w:r w:rsidRPr="00D9348B">
        <w:rPr>
          <w:rFonts w:cs="Calibri"/>
          <w:vertAlign w:val="subscript"/>
        </w:rPr>
        <w:t>3</w:t>
      </w:r>
      <w:r w:rsidRPr="00D9348B">
        <w:rPr>
          <w:rFonts w:cs="Calibri"/>
        </w:rPr>
        <w:t xml:space="preserve"> and NO</w:t>
      </w:r>
      <w:r w:rsidRPr="00D9348B">
        <w:rPr>
          <w:rFonts w:cs="Calibri"/>
          <w:vertAlign w:val="subscript"/>
        </w:rPr>
        <w:t>x</w:t>
      </w:r>
      <w:r w:rsidRPr="00D9348B">
        <w:rPr>
          <w:rFonts w:cs="Calibri"/>
        </w:rPr>
        <w:t>; 0.055 for treated urea fertiliser and 0.1 for untreated urea and other nitrogen fertiliser, and</w:t>
      </w:r>
    </w:p>
    <w:p w14:paraId="66E5D761" w14:textId="77777777" w:rsidR="00F849A7" w:rsidRPr="00D9348B" w:rsidRDefault="00F849A7" w:rsidP="00F849A7">
      <w:pPr>
        <w:spacing w:before="100" w:after="120"/>
        <w:ind w:left="964"/>
        <w:rPr>
          <w:rFonts w:cs="Calibri"/>
        </w:rPr>
      </w:pPr>
      <w:r w:rsidRPr="00D9348B">
        <w:rPr>
          <w:rFonts w:cs="Calibri"/>
        </w:rPr>
        <w:t>EF</w:t>
      </w:r>
      <w:r w:rsidRPr="00D9348B">
        <w:rPr>
          <w:rFonts w:cs="Calibri"/>
          <w:vertAlign w:val="subscript"/>
        </w:rPr>
        <w:t>4</w:t>
      </w:r>
      <w:r w:rsidRPr="00D9348B">
        <w:rPr>
          <w:rFonts w:cs="Calibri"/>
        </w:rPr>
        <w:t xml:space="preserve"> is the emission factor for N</w:t>
      </w:r>
      <w:r w:rsidRPr="00D9348B">
        <w:rPr>
          <w:rFonts w:cs="Calibri"/>
          <w:vertAlign w:val="subscript"/>
        </w:rPr>
        <w:t>2</w:t>
      </w:r>
      <w:r w:rsidRPr="00D9348B">
        <w:rPr>
          <w:rFonts w:cs="Calibri"/>
        </w:rPr>
        <w:t>O emissions from atmospheric deposition of nitrogen on soils and water; 0.01 per cent.</w:t>
      </w:r>
    </w:p>
    <w:p w14:paraId="1A84A019" w14:textId="5D3DCD72" w:rsidR="00F849A7" w:rsidRPr="00D9348B" w:rsidRDefault="00F849A7" w:rsidP="00F849A7">
      <w:pPr>
        <w:pStyle w:val="BodyText"/>
        <w:rPr>
          <w:rFonts w:cs="Calibri"/>
        </w:rPr>
      </w:pPr>
      <w:r w:rsidRPr="00D9348B">
        <w:rPr>
          <w:rFonts w:cs="Calibri"/>
        </w:rPr>
        <w:t>All other emission factors and parameters relating to animal excreta and synthetic nitrogen fertiliser use (Frac</w:t>
      </w:r>
      <w:r w:rsidRPr="00D9348B">
        <w:rPr>
          <w:rFonts w:cs="Calibri"/>
          <w:vertAlign w:val="subscript"/>
        </w:rPr>
        <w:t>GASM</w:t>
      </w:r>
      <w:r w:rsidRPr="00D9348B">
        <w:rPr>
          <w:rFonts w:cs="Calibri"/>
        </w:rPr>
        <w:t>, Frac</w:t>
      </w:r>
      <w:r w:rsidRPr="00D9348B">
        <w:rPr>
          <w:rFonts w:cs="Calibri"/>
          <w:vertAlign w:val="subscript"/>
        </w:rPr>
        <w:t>LEACH</w:t>
      </w:r>
      <w:r w:rsidRPr="00D9348B">
        <w:rPr>
          <w:rFonts w:cs="Calibri"/>
        </w:rPr>
        <w:t xml:space="preserve"> and EF</w:t>
      </w:r>
      <w:r w:rsidRPr="00D9348B">
        <w:rPr>
          <w:rFonts w:cs="Calibri"/>
          <w:vertAlign w:val="subscript"/>
        </w:rPr>
        <w:t>1</w:t>
      </w:r>
      <w:r w:rsidRPr="00D9348B">
        <w:rPr>
          <w:rFonts w:cs="Calibri"/>
        </w:rPr>
        <w:t>) do not change as a result of including urease inhibitors in the calculations. An adjustment for Frac</w:t>
      </w:r>
      <w:r w:rsidRPr="00D9348B">
        <w:rPr>
          <w:rFonts w:cs="Calibri"/>
          <w:vertAlign w:val="subscript"/>
        </w:rPr>
        <w:t>GASM</w:t>
      </w:r>
      <w:r w:rsidRPr="00D9348B">
        <w:rPr>
          <w:rFonts w:cs="Calibri"/>
        </w:rPr>
        <w:t xml:space="preserve"> was not recommended because the</w:t>
      </w:r>
      <w:r w:rsidR="00CD5933" w:rsidRPr="00D9348B">
        <w:rPr>
          <w:rFonts w:cs="Calibri"/>
        </w:rPr>
        <w:t> </w:t>
      </w:r>
      <w:r w:rsidRPr="00D9348B">
        <w:rPr>
          <w:rFonts w:cs="Calibri"/>
        </w:rPr>
        <w:t>effect of urease inhibitors on reducing NH</w:t>
      </w:r>
      <w:r w:rsidRPr="00D9348B">
        <w:rPr>
          <w:rFonts w:cs="Calibri"/>
          <w:vertAlign w:val="subscript"/>
        </w:rPr>
        <w:t>3</w:t>
      </w:r>
      <w:r w:rsidRPr="00D9348B">
        <w:rPr>
          <w:rFonts w:cs="Calibri"/>
        </w:rPr>
        <w:t xml:space="preserve"> volatilisation from animal dung and urine could</w:t>
      </w:r>
      <w:r w:rsidR="00CD5933" w:rsidRPr="00D9348B">
        <w:rPr>
          <w:rFonts w:cs="Calibri"/>
        </w:rPr>
        <w:t> </w:t>
      </w:r>
      <w:r w:rsidRPr="00D9348B">
        <w:rPr>
          <w:rFonts w:cs="Calibri"/>
        </w:rPr>
        <w:t>not be accurately assessed (Saggar et al., 2013).</w:t>
      </w:r>
    </w:p>
    <w:p w14:paraId="6CFE9C39" w14:textId="77777777" w:rsidR="00F849A7" w:rsidRPr="00D9348B" w:rsidRDefault="00F849A7" w:rsidP="00F849A7">
      <w:pPr>
        <w:pStyle w:val="BodyText"/>
        <w:rPr>
          <w:rFonts w:cs="Calibri"/>
        </w:rPr>
      </w:pPr>
      <w:r w:rsidRPr="00D9348B">
        <w:rPr>
          <w:rFonts w:cs="Calibri"/>
        </w:rPr>
        <w:t>Urea fertiliser coated with urease inhibitors was first used commercially in 2001 in New Zealand. Activity data on urease inhibitor usage are provided by the Fertiliser Association of New Zealand from sales records.</w:t>
      </w:r>
      <w:r w:rsidRPr="00D9348B">
        <w:rPr>
          <w:rStyle w:val="FootnoteReference"/>
          <w:rFonts w:cs="Calibri"/>
        </w:rPr>
        <w:footnoteReference w:id="62"/>
      </w:r>
      <w:r w:rsidRPr="00D9348B">
        <w:rPr>
          <w:rFonts w:cs="Calibri"/>
        </w:rPr>
        <w:t xml:space="preserve"> This activity data records the total amount of nitrogen in urea fertiliser that has been treated with a urease inhibitor. Some urea fertiliser coated with urease inhibitors is also blended into other non-nitrogen fertiliser products. </w:t>
      </w:r>
    </w:p>
    <w:p w14:paraId="7EBC18EF" w14:textId="77777777" w:rsidR="00F849A7" w:rsidRPr="00D9348B" w:rsidRDefault="00F849A7" w:rsidP="00F849A7">
      <w:pPr>
        <w:pStyle w:val="BodyText"/>
        <w:rPr>
          <w:rFonts w:cs="Calibri"/>
        </w:rPr>
      </w:pPr>
      <w:r w:rsidRPr="00D9348B">
        <w:rPr>
          <w:rFonts w:cs="Calibri"/>
        </w:rPr>
        <w:t>Estimates of the mitigation impact of urease inhibitors on N</w:t>
      </w:r>
      <w:r w:rsidRPr="00D9348B">
        <w:rPr>
          <w:rFonts w:cs="Calibri"/>
          <w:vertAlign w:val="subscript"/>
        </w:rPr>
        <w:t>2</w:t>
      </w:r>
      <w:r w:rsidRPr="00D9348B">
        <w:rPr>
          <w:rFonts w:cs="Calibri"/>
        </w:rPr>
        <w:t>O emissions from volatilisation for the calendar years 2001 to 2018 are shown in table 5.5.9. In 2014 and 2016, there were large increases in the use of urease inhibitors.</w:t>
      </w:r>
    </w:p>
    <w:p w14:paraId="11158E20" w14:textId="77777777" w:rsidR="00F849A7" w:rsidRPr="00D9348B" w:rsidRDefault="00F849A7" w:rsidP="00F849A7">
      <w:pPr>
        <w:pStyle w:val="Table"/>
        <w:rPr>
          <w:rFonts w:cs="Calibri"/>
        </w:rPr>
      </w:pPr>
      <w:bookmarkStart w:id="925" w:name="_Toc441830884"/>
      <w:bookmarkStart w:id="926" w:name="_Toc451176098"/>
      <w:bookmarkStart w:id="927" w:name="_Toc481751526"/>
      <w:bookmarkStart w:id="928" w:name="_Toc507158614"/>
      <w:bookmarkStart w:id="929" w:name="_Toc511116748"/>
      <w:bookmarkStart w:id="930" w:name="_Toc5269490"/>
      <w:bookmarkStart w:id="931" w:name="_Toc32570935"/>
      <w:bookmarkStart w:id="932" w:name="_Toc36224570"/>
      <w:r w:rsidRPr="00D9348B">
        <w:rPr>
          <w:rFonts w:cs="Calibri"/>
        </w:rPr>
        <w:t>Table 5.5.9</w:t>
      </w:r>
      <w:r w:rsidRPr="00D9348B">
        <w:rPr>
          <w:rFonts w:cs="Calibri"/>
        </w:rPr>
        <w:tab/>
        <w:t>Mitigation impact of urease inhibitors on nitrous oxide emissions from volatilisation</w:t>
      </w:r>
      <w:proofErr w:type="gramStart"/>
      <w:r w:rsidRPr="00D9348B">
        <w:rPr>
          <w:rFonts w:cs="Calibri"/>
        </w:rPr>
        <w:t>,</w:t>
      </w:r>
      <w:proofErr w:type="gramEnd"/>
      <w:r w:rsidRPr="00D9348B">
        <w:rPr>
          <w:rFonts w:cs="Calibri"/>
        </w:rPr>
        <w:br/>
        <w:t xml:space="preserve">from 2001 to </w:t>
      </w:r>
      <w:bookmarkEnd w:id="925"/>
      <w:bookmarkEnd w:id="926"/>
      <w:bookmarkEnd w:id="927"/>
      <w:bookmarkEnd w:id="928"/>
      <w:bookmarkEnd w:id="929"/>
      <w:bookmarkEnd w:id="930"/>
      <w:r w:rsidRPr="00D9348B">
        <w:rPr>
          <w:rFonts w:cs="Calibri"/>
        </w:rPr>
        <w:t>2018</w:t>
      </w:r>
      <w:bookmarkEnd w:id="931"/>
      <w:bookmarkEnd w:id="932"/>
      <w:r w:rsidRPr="00D9348B">
        <w:rPr>
          <w:rFonts w:cs="Calibri"/>
        </w:rPr>
        <w:t xml:space="preserve"> </w:t>
      </w:r>
    </w:p>
    <w:tbl>
      <w:tblPr>
        <w:tblW w:w="8562" w:type="dxa"/>
        <w:tblInd w:w="108" w:type="dxa"/>
        <w:tblBorders>
          <w:top w:val="single" w:sz="4" w:space="0" w:color="365F91"/>
          <w:left w:val="single" w:sz="4" w:space="0" w:color="365F91"/>
          <w:bottom w:val="single" w:sz="4" w:space="0" w:color="365F91"/>
          <w:right w:val="single" w:sz="4" w:space="0" w:color="365F91"/>
          <w:insideH w:val="single" w:sz="4" w:space="0" w:color="365F91"/>
        </w:tblBorders>
        <w:tblLayout w:type="fixed"/>
        <w:tblCellMar>
          <w:left w:w="85" w:type="dxa"/>
          <w:right w:w="85" w:type="dxa"/>
        </w:tblCellMar>
        <w:tblLook w:val="00A0" w:firstRow="1" w:lastRow="0" w:firstColumn="1" w:lastColumn="0" w:noHBand="0" w:noVBand="0"/>
      </w:tblPr>
      <w:tblGrid>
        <w:gridCol w:w="1119"/>
        <w:gridCol w:w="3955"/>
        <w:gridCol w:w="3488"/>
      </w:tblGrid>
      <w:tr w:rsidR="00F849A7" w:rsidRPr="00D9348B" w14:paraId="4F709AB6" w14:textId="77777777" w:rsidTr="00CD5933">
        <w:trPr>
          <w:tblHeader/>
        </w:trPr>
        <w:tc>
          <w:tcPr>
            <w:tcW w:w="1111" w:type="dxa"/>
            <w:tcBorders>
              <w:left w:val="nil"/>
            </w:tcBorders>
            <w:shd w:val="clear" w:color="auto" w:fill="365F91"/>
            <w:vAlign w:val="bottom"/>
          </w:tcPr>
          <w:p w14:paraId="02FA1A80" w14:textId="77777777" w:rsidR="00F849A7" w:rsidRPr="00D9348B" w:rsidRDefault="00F849A7" w:rsidP="00DB330E">
            <w:pPr>
              <w:pStyle w:val="TableTextBold"/>
              <w:rPr>
                <w:rFonts w:cs="Calibri"/>
                <w:noProof w:val="0"/>
                <w:color w:val="FFFFFF"/>
                <w:szCs w:val="16"/>
              </w:rPr>
            </w:pPr>
            <w:r w:rsidRPr="00D9348B">
              <w:rPr>
                <w:rFonts w:cs="Calibri"/>
                <w:noProof w:val="0"/>
                <w:color w:val="FFFFFF"/>
                <w:szCs w:val="16"/>
              </w:rPr>
              <w:t>Year</w:t>
            </w:r>
          </w:p>
        </w:tc>
        <w:tc>
          <w:tcPr>
            <w:tcW w:w="3929" w:type="dxa"/>
            <w:shd w:val="clear" w:color="auto" w:fill="365F91"/>
          </w:tcPr>
          <w:p w14:paraId="4FD74ECE" w14:textId="77777777" w:rsidR="00F849A7" w:rsidRPr="00D9348B" w:rsidRDefault="00F849A7" w:rsidP="00DB330E">
            <w:pPr>
              <w:pStyle w:val="TableTextBold"/>
              <w:jc w:val="center"/>
              <w:rPr>
                <w:rFonts w:cs="Calibri"/>
                <w:i/>
                <w:iCs/>
                <w:noProof w:val="0"/>
                <w:color w:val="FFFFFF"/>
                <w:szCs w:val="16"/>
              </w:rPr>
            </w:pPr>
            <w:r w:rsidRPr="00D9348B">
              <w:rPr>
                <w:rFonts w:cs="Calibri"/>
                <w:noProof w:val="0"/>
                <w:color w:val="FFFFFF"/>
                <w:szCs w:val="16"/>
              </w:rPr>
              <w:t>Percentage of urea fertiliser applied that included urease inhibitor (urea treated/total urea)</w:t>
            </w:r>
          </w:p>
        </w:tc>
        <w:tc>
          <w:tcPr>
            <w:tcW w:w="3465" w:type="dxa"/>
            <w:tcBorders>
              <w:right w:val="nil"/>
            </w:tcBorders>
            <w:shd w:val="clear" w:color="auto" w:fill="365F91"/>
          </w:tcPr>
          <w:p w14:paraId="11F7186C" w14:textId="77777777" w:rsidR="00F849A7" w:rsidRPr="00D9348B" w:rsidRDefault="00F849A7" w:rsidP="00DB330E">
            <w:pPr>
              <w:pStyle w:val="TableTextBold"/>
              <w:jc w:val="center"/>
              <w:rPr>
                <w:rFonts w:cs="Calibri"/>
                <w:i/>
                <w:iCs/>
                <w:noProof w:val="0"/>
                <w:color w:val="FFFFFF"/>
                <w:szCs w:val="16"/>
              </w:rPr>
            </w:pPr>
            <w:r w:rsidRPr="00D9348B">
              <w:rPr>
                <w:rFonts w:cs="Calibri"/>
                <w:noProof w:val="0"/>
                <w:color w:val="FFFFFF"/>
                <w:szCs w:val="16"/>
              </w:rPr>
              <w:t>Estimated greenhouse gas mitigation from using urease inhibitor kt CO</w:t>
            </w:r>
            <w:r w:rsidRPr="00D9348B">
              <w:rPr>
                <w:rFonts w:cs="Calibri"/>
                <w:noProof w:val="0"/>
                <w:color w:val="FFFFFF"/>
                <w:szCs w:val="16"/>
                <w:vertAlign w:val="subscript"/>
              </w:rPr>
              <w:t>2</w:t>
            </w:r>
            <w:r w:rsidRPr="00D9348B">
              <w:rPr>
                <w:rFonts w:cs="Calibri"/>
                <w:noProof w:val="0"/>
                <w:color w:val="FFFFFF"/>
                <w:szCs w:val="16"/>
              </w:rPr>
              <w:t>-e</w:t>
            </w:r>
          </w:p>
        </w:tc>
      </w:tr>
      <w:tr w:rsidR="00F849A7" w:rsidRPr="00D9348B" w14:paraId="0B41D74A" w14:textId="77777777" w:rsidTr="00CD5933">
        <w:tc>
          <w:tcPr>
            <w:tcW w:w="1111" w:type="dxa"/>
            <w:tcBorders>
              <w:left w:val="nil"/>
            </w:tcBorders>
            <w:shd w:val="clear" w:color="auto" w:fill="auto"/>
          </w:tcPr>
          <w:p w14:paraId="2DEC09CA" w14:textId="77777777" w:rsidR="00F849A7" w:rsidRPr="00D9348B" w:rsidRDefault="00F849A7" w:rsidP="00DB330E">
            <w:pPr>
              <w:pStyle w:val="TableText"/>
              <w:rPr>
                <w:rFonts w:cs="Calibri"/>
                <w:szCs w:val="16"/>
              </w:rPr>
            </w:pPr>
            <w:r w:rsidRPr="00D9348B">
              <w:rPr>
                <w:rFonts w:cs="Calibri"/>
                <w:szCs w:val="16"/>
              </w:rPr>
              <w:t>2001</w:t>
            </w:r>
          </w:p>
        </w:tc>
        <w:tc>
          <w:tcPr>
            <w:tcW w:w="3929" w:type="dxa"/>
          </w:tcPr>
          <w:p w14:paraId="534063C5" w14:textId="77777777" w:rsidR="00F849A7" w:rsidRPr="00D9348B" w:rsidRDefault="00F849A7" w:rsidP="00DB330E">
            <w:pPr>
              <w:pStyle w:val="TableText"/>
              <w:jc w:val="center"/>
              <w:rPr>
                <w:rFonts w:cs="Calibri"/>
                <w:szCs w:val="16"/>
              </w:rPr>
            </w:pPr>
            <w:r w:rsidRPr="00D9348B">
              <w:rPr>
                <w:rFonts w:cs="Calibri"/>
                <w:szCs w:val="16"/>
              </w:rPr>
              <w:t>5.6</w:t>
            </w:r>
          </w:p>
        </w:tc>
        <w:tc>
          <w:tcPr>
            <w:tcW w:w="3465" w:type="dxa"/>
            <w:tcBorders>
              <w:right w:val="nil"/>
            </w:tcBorders>
          </w:tcPr>
          <w:p w14:paraId="68407127" w14:textId="77777777" w:rsidR="00F849A7" w:rsidRPr="00D9348B" w:rsidRDefault="00F849A7" w:rsidP="00DB330E">
            <w:pPr>
              <w:pStyle w:val="TableText"/>
              <w:jc w:val="center"/>
              <w:rPr>
                <w:rFonts w:cs="Calibri"/>
                <w:szCs w:val="16"/>
              </w:rPr>
            </w:pPr>
            <w:r w:rsidRPr="00D9348B">
              <w:rPr>
                <w:rFonts w:cs="Calibri"/>
                <w:szCs w:val="16"/>
              </w:rPr>
              <w:t>2.2</w:t>
            </w:r>
          </w:p>
        </w:tc>
      </w:tr>
      <w:tr w:rsidR="00F849A7" w:rsidRPr="00D9348B" w14:paraId="39AE80C2" w14:textId="77777777" w:rsidTr="00CD5933">
        <w:tc>
          <w:tcPr>
            <w:tcW w:w="1111" w:type="dxa"/>
            <w:tcBorders>
              <w:left w:val="nil"/>
            </w:tcBorders>
            <w:shd w:val="clear" w:color="auto" w:fill="auto"/>
          </w:tcPr>
          <w:p w14:paraId="77ECD77E" w14:textId="77777777" w:rsidR="00F849A7" w:rsidRPr="00D9348B" w:rsidRDefault="00F849A7" w:rsidP="00DB330E">
            <w:pPr>
              <w:pStyle w:val="TableText"/>
              <w:rPr>
                <w:rFonts w:cs="Calibri"/>
                <w:szCs w:val="16"/>
              </w:rPr>
            </w:pPr>
            <w:r w:rsidRPr="00D9348B">
              <w:rPr>
                <w:rFonts w:cs="Calibri"/>
                <w:szCs w:val="16"/>
              </w:rPr>
              <w:t>2002</w:t>
            </w:r>
          </w:p>
        </w:tc>
        <w:tc>
          <w:tcPr>
            <w:tcW w:w="3929" w:type="dxa"/>
          </w:tcPr>
          <w:p w14:paraId="54140405" w14:textId="77777777" w:rsidR="00F849A7" w:rsidRPr="00D9348B" w:rsidRDefault="00F849A7" w:rsidP="00DB330E">
            <w:pPr>
              <w:pStyle w:val="TableText"/>
              <w:jc w:val="center"/>
              <w:rPr>
                <w:rFonts w:cs="Calibri"/>
                <w:szCs w:val="16"/>
              </w:rPr>
            </w:pPr>
            <w:r w:rsidRPr="00D9348B">
              <w:rPr>
                <w:rFonts w:cs="Calibri"/>
                <w:szCs w:val="16"/>
              </w:rPr>
              <w:t>3.8</w:t>
            </w:r>
          </w:p>
        </w:tc>
        <w:tc>
          <w:tcPr>
            <w:tcW w:w="3465" w:type="dxa"/>
            <w:tcBorders>
              <w:right w:val="nil"/>
            </w:tcBorders>
          </w:tcPr>
          <w:p w14:paraId="1EEB086A" w14:textId="77777777" w:rsidR="00F849A7" w:rsidRPr="00D9348B" w:rsidRDefault="00F849A7" w:rsidP="00DB330E">
            <w:pPr>
              <w:pStyle w:val="TableText"/>
              <w:jc w:val="center"/>
              <w:rPr>
                <w:rFonts w:cs="Calibri"/>
                <w:szCs w:val="16"/>
              </w:rPr>
            </w:pPr>
            <w:r w:rsidRPr="00D9348B">
              <w:rPr>
                <w:rFonts w:cs="Calibri"/>
                <w:szCs w:val="16"/>
              </w:rPr>
              <w:t>1.9</w:t>
            </w:r>
          </w:p>
        </w:tc>
      </w:tr>
      <w:tr w:rsidR="00F849A7" w:rsidRPr="00D9348B" w14:paraId="3F3E6DD4" w14:textId="77777777" w:rsidTr="00CD5933">
        <w:tc>
          <w:tcPr>
            <w:tcW w:w="1111" w:type="dxa"/>
            <w:tcBorders>
              <w:left w:val="nil"/>
            </w:tcBorders>
            <w:shd w:val="clear" w:color="auto" w:fill="auto"/>
          </w:tcPr>
          <w:p w14:paraId="768E596E" w14:textId="77777777" w:rsidR="00F849A7" w:rsidRPr="00D9348B" w:rsidDel="00E408EA" w:rsidRDefault="00F849A7" w:rsidP="00DB330E">
            <w:pPr>
              <w:pStyle w:val="TableText"/>
              <w:rPr>
                <w:rFonts w:cs="Calibri"/>
                <w:szCs w:val="16"/>
              </w:rPr>
            </w:pPr>
            <w:r w:rsidRPr="00D9348B">
              <w:rPr>
                <w:rFonts w:cs="Calibri"/>
                <w:szCs w:val="16"/>
              </w:rPr>
              <w:t>2003</w:t>
            </w:r>
          </w:p>
        </w:tc>
        <w:tc>
          <w:tcPr>
            <w:tcW w:w="3929" w:type="dxa"/>
          </w:tcPr>
          <w:p w14:paraId="4E09D1B0" w14:textId="77777777" w:rsidR="00F849A7" w:rsidRPr="00D9348B" w:rsidRDefault="00F849A7" w:rsidP="00DB330E">
            <w:pPr>
              <w:pStyle w:val="TableText"/>
              <w:jc w:val="center"/>
              <w:rPr>
                <w:rFonts w:cs="Calibri"/>
                <w:color w:val="000000"/>
                <w:szCs w:val="16"/>
              </w:rPr>
            </w:pPr>
            <w:r w:rsidRPr="00D9348B">
              <w:rPr>
                <w:rFonts w:cs="Calibri"/>
                <w:szCs w:val="16"/>
              </w:rPr>
              <w:t>4.6</w:t>
            </w:r>
          </w:p>
        </w:tc>
        <w:tc>
          <w:tcPr>
            <w:tcW w:w="3465" w:type="dxa"/>
            <w:tcBorders>
              <w:right w:val="nil"/>
            </w:tcBorders>
          </w:tcPr>
          <w:p w14:paraId="69BE292C" w14:textId="77777777" w:rsidR="00F849A7" w:rsidRPr="00D9348B" w:rsidRDefault="00F849A7" w:rsidP="00DB330E">
            <w:pPr>
              <w:pStyle w:val="TableText"/>
              <w:jc w:val="center"/>
              <w:rPr>
                <w:rFonts w:cs="Calibri"/>
                <w:color w:val="000000"/>
                <w:szCs w:val="16"/>
              </w:rPr>
            </w:pPr>
            <w:r w:rsidRPr="00D9348B">
              <w:rPr>
                <w:rFonts w:cs="Calibri"/>
                <w:szCs w:val="16"/>
              </w:rPr>
              <w:t>2.6</w:t>
            </w:r>
          </w:p>
        </w:tc>
      </w:tr>
      <w:tr w:rsidR="00F849A7" w:rsidRPr="00D9348B" w14:paraId="55EA5C3D" w14:textId="77777777" w:rsidTr="00CD5933">
        <w:tc>
          <w:tcPr>
            <w:tcW w:w="1111" w:type="dxa"/>
            <w:tcBorders>
              <w:left w:val="nil"/>
            </w:tcBorders>
            <w:shd w:val="clear" w:color="auto" w:fill="auto"/>
          </w:tcPr>
          <w:p w14:paraId="5908269F" w14:textId="77777777" w:rsidR="00F849A7" w:rsidRPr="00D9348B" w:rsidDel="00E408EA" w:rsidRDefault="00F849A7" w:rsidP="00DB330E">
            <w:pPr>
              <w:pStyle w:val="TableText"/>
              <w:rPr>
                <w:rFonts w:cs="Calibri"/>
                <w:szCs w:val="16"/>
              </w:rPr>
            </w:pPr>
            <w:r w:rsidRPr="00D9348B">
              <w:rPr>
                <w:rFonts w:cs="Calibri"/>
                <w:szCs w:val="16"/>
              </w:rPr>
              <w:t>2004</w:t>
            </w:r>
          </w:p>
        </w:tc>
        <w:tc>
          <w:tcPr>
            <w:tcW w:w="3929" w:type="dxa"/>
          </w:tcPr>
          <w:p w14:paraId="28BE7BFA" w14:textId="77777777" w:rsidR="00F849A7" w:rsidRPr="00D9348B" w:rsidRDefault="00F849A7" w:rsidP="00DB330E">
            <w:pPr>
              <w:pStyle w:val="TableText"/>
              <w:jc w:val="center"/>
              <w:rPr>
                <w:rFonts w:cs="Calibri"/>
                <w:color w:val="000000"/>
                <w:szCs w:val="16"/>
              </w:rPr>
            </w:pPr>
            <w:r w:rsidRPr="00D9348B">
              <w:rPr>
                <w:rFonts w:cs="Calibri"/>
                <w:szCs w:val="16"/>
              </w:rPr>
              <w:t>8.1</w:t>
            </w:r>
          </w:p>
        </w:tc>
        <w:tc>
          <w:tcPr>
            <w:tcW w:w="3465" w:type="dxa"/>
            <w:tcBorders>
              <w:right w:val="nil"/>
            </w:tcBorders>
          </w:tcPr>
          <w:p w14:paraId="2EA6F3F9" w14:textId="77777777" w:rsidR="00F849A7" w:rsidRPr="00D9348B" w:rsidRDefault="00F849A7" w:rsidP="00DB330E">
            <w:pPr>
              <w:pStyle w:val="TableText"/>
              <w:jc w:val="center"/>
              <w:rPr>
                <w:rFonts w:cs="Calibri"/>
                <w:color w:val="000000"/>
                <w:szCs w:val="16"/>
              </w:rPr>
            </w:pPr>
            <w:r w:rsidRPr="00D9348B">
              <w:rPr>
                <w:rFonts w:cs="Calibri"/>
                <w:szCs w:val="16"/>
              </w:rPr>
              <w:t>4.8</w:t>
            </w:r>
          </w:p>
        </w:tc>
      </w:tr>
      <w:tr w:rsidR="00F849A7" w:rsidRPr="00D9348B" w14:paraId="4143FB0F" w14:textId="77777777" w:rsidTr="00CD5933">
        <w:tc>
          <w:tcPr>
            <w:tcW w:w="1111" w:type="dxa"/>
            <w:tcBorders>
              <w:left w:val="nil"/>
            </w:tcBorders>
            <w:shd w:val="clear" w:color="auto" w:fill="auto"/>
          </w:tcPr>
          <w:p w14:paraId="1AE186A0" w14:textId="77777777" w:rsidR="00F849A7" w:rsidRPr="00D9348B" w:rsidRDefault="00F849A7" w:rsidP="00DB330E">
            <w:pPr>
              <w:pStyle w:val="TableText"/>
              <w:rPr>
                <w:rFonts w:cs="Calibri"/>
                <w:szCs w:val="16"/>
              </w:rPr>
            </w:pPr>
            <w:r w:rsidRPr="00D9348B">
              <w:rPr>
                <w:rFonts w:cs="Calibri"/>
                <w:szCs w:val="16"/>
              </w:rPr>
              <w:t>2005</w:t>
            </w:r>
          </w:p>
        </w:tc>
        <w:tc>
          <w:tcPr>
            <w:tcW w:w="3929" w:type="dxa"/>
          </w:tcPr>
          <w:p w14:paraId="58F66245" w14:textId="77777777" w:rsidR="00F849A7" w:rsidRPr="00D9348B" w:rsidRDefault="00F849A7" w:rsidP="00DB330E">
            <w:pPr>
              <w:pStyle w:val="TableText"/>
              <w:jc w:val="center"/>
              <w:rPr>
                <w:rFonts w:cs="Calibri"/>
                <w:color w:val="000000"/>
                <w:szCs w:val="16"/>
              </w:rPr>
            </w:pPr>
            <w:r w:rsidRPr="00D9348B">
              <w:rPr>
                <w:rFonts w:cs="Calibri"/>
                <w:szCs w:val="16"/>
              </w:rPr>
              <w:t>1.6</w:t>
            </w:r>
          </w:p>
        </w:tc>
        <w:tc>
          <w:tcPr>
            <w:tcW w:w="3465" w:type="dxa"/>
            <w:tcBorders>
              <w:right w:val="nil"/>
            </w:tcBorders>
          </w:tcPr>
          <w:p w14:paraId="7F24C91B" w14:textId="77777777" w:rsidR="00F849A7" w:rsidRPr="00D9348B" w:rsidRDefault="00F849A7" w:rsidP="00DB330E">
            <w:pPr>
              <w:pStyle w:val="TableText"/>
              <w:jc w:val="center"/>
              <w:rPr>
                <w:rFonts w:cs="Calibri"/>
                <w:color w:val="000000"/>
                <w:szCs w:val="16"/>
              </w:rPr>
            </w:pPr>
            <w:r w:rsidRPr="00D9348B">
              <w:rPr>
                <w:rFonts w:cs="Calibri"/>
                <w:szCs w:val="16"/>
              </w:rPr>
              <w:t>1.0</w:t>
            </w:r>
          </w:p>
        </w:tc>
      </w:tr>
      <w:tr w:rsidR="00F849A7" w:rsidRPr="00D9348B" w14:paraId="26208870" w14:textId="77777777" w:rsidTr="00CD5933">
        <w:tc>
          <w:tcPr>
            <w:tcW w:w="1111" w:type="dxa"/>
            <w:tcBorders>
              <w:left w:val="nil"/>
            </w:tcBorders>
            <w:shd w:val="clear" w:color="auto" w:fill="auto"/>
          </w:tcPr>
          <w:p w14:paraId="680337CD" w14:textId="77777777" w:rsidR="00F849A7" w:rsidRPr="00D9348B" w:rsidRDefault="00F849A7" w:rsidP="00DB330E">
            <w:pPr>
              <w:pStyle w:val="TableText"/>
              <w:rPr>
                <w:rFonts w:cs="Calibri"/>
                <w:szCs w:val="16"/>
              </w:rPr>
            </w:pPr>
            <w:r w:rsidRPr="00D9348B">
              <w:rPr>
                <w:rFonts w:cs="Calibri"/>
                <w:szCs w:val="16"/>
              </w:rPr>
              <w:t>2006</w:t>
            </w:r>
          </w:p>
        </w:tc>
        <w:tc>
          <w:tcPr>
            <w:tcW w:w="3929" w:type="dxa"/>
          </w:tcPr>
          <w:p w14:paraId="5E80AD01" w14:textId="77777777" w:rsidR="00F849A7" w:rsidRPr="00D9348B" w:rsidRDefault="00F849A7" w:rsidP="00DB330E">
            <w:pPr>
              <w:pStyle w:val="TableText"/>
              <w:jc w:val="center"/>
              <w:rPr>
                <w:rFonts w:cs="Calibri"/>
                <w:color w:val="000000"/>
                <w:szCs w:val="16"/>
              </w:rPr>
            </w:pPr>
            <w:r w:rsidRPr="00D9348B">
              <w:rPr>
                <w:rFonts w:cs="Calibri"/>
                <w:szCs w:val="16"/>
              </w:rPr>
              <w:t>8.4</w:t>
            </w:r>
          </w:p>
        </w:tc>
        <w:tc>
          <w:tcPr>
            <w:tcW w:w="3465" w:type="dxa"/>
            <w:tcBorders>
              <w:right w:val="nil"/>
            </w:tcBorders>
          </w:tcPr>
          <w:p w14:paraId="0979F108" w14:textId="77777777" w:rsidR="00F849A7" w:rsidRPr="00D9348B" w:rsidRDefault="00F849A7" w:rsidP="00DB330E">
            <w:pPr>
              <w:pStyle w:val="TableText"/>
              <w:jc w:val="center"/>
              <w:rPr>
                <w:rFonts w:cs="Calibri"/>
                <w:color w:val="000000"/>
                <w:szCs w:val="16"/>
              </w:rPr>
            </w:pPr>
            <w:r w:rsidRPr="00D9348B">
              <w:rPr>
                <w:rFonts w:cs="Calibri"/>
                <w:szCs w:val="16"/>
              </w:rPr>
              <w:t>4.7</w:t>
            </w:r>
          </w:p>
        </w:tc>
      </w:tr>
      <w:tr w:rsidR="00F849A7" w:rsidRPr="00D9348B" w14:paraId="630B5664" w14:textId="77777777" w:rsidTr="00CD5933">
        <w:tc>
          <w:tcPr>
            <w:tcW w:w="1111" w:type="dxa"/>
            <w:tcBorders>
              <w:left w:val="nil"/>
            </w:tcBorders>
            <w:shd w:val="clear" w:color="auto" w:fill="auto"/>
          </w:tcPr>
          <w:p w14:paraId="491F03EF" w14:textId="77777777" w:rsidR="00F849A7" w:rsidRPr="00D9348B" w:rsidRDefault="00F849A7" w:rsidP="00DB330E">
            <w:pPr>
              <w:pStyle w:val="TableText"/>
              <w:rPr>
                <w:rFonts w:cs="Calibri"/>
                <w:szCs w:val="16"/>
              </w:rPr>
            </w:pPr>
            <w:r w:rsidRPr="00D9348B">
              <w:rPr>
                <w:rFonts w:cs="Calibri"/>
                <w:szCs w:val="16"/>
              </w:rPr>
              <w:t>2007</w:t>
            </w:r>
          </w:p>
        </w:tc>
        <w:tc>
          <w:tcPr>
            <w:tcW w:w="3929" w:type="dxa"/>
          </w:tcPr>
          <w:p w14:paraId="45E6BA18" w14:textId="77777777" w:rsidR="00F849A7" w:rsidRPr="00D9348B" w:rsidRDefault="00F849A7" w:rsidP="00DB330E">
            <w:pPr>
              <w:pStyle w:val="TableText"/>
              <w:jc w:val="center"/>
              <w:rPr>
                <w:rFonts w:cs="Calibri"/>
                <w:color w:val="000000"/>
                <w:szCs w:val="16"/>
              </w:rPr>
            </w:pPr>
            <w:r w:rsidRPr="00D9348B">
              <w:rPr>
                <w:rFonts w:cs="Calibri"/>
                <w:szCs w:val="16"/>
              </w:rPr>
              <w:t>5.0</w:t>
            </w:r>
          </w:p>
        </w:tc>
        <w:tc>
          <w:tcPr>
            <w:tcW w:w="3465" w:type="dxa"/>
            <w:tcBorders>
              <w:right w:val="nil"/>
            </w:tcBorders>
          </w:tcPr>
          <w:p w14:paraId="3F7E157E" w14:textId="77777777" w:rsidR="00F849A7" w:rsidRPr="00D9348B" w:rsidRDefault="00F849A7" w:rsidP="00DB330E">
            <w:pPr>
              <w:pStyle w:val="TableText"/>
              <w:jc w:val="center"/>
              <w:rPr>
                <w:rFonts w:cs="Calibri"/>
                <w:color w:val="000000"/>
                <w:szCs w:val="16"/>
              </w:rPr>
            </w:pPr>
            <w:r w:rsidRPr="00D9348B">
              <w:rPr>
                <w:rFonts w:cs="Calibri"/>
                <w:szCs w:val="16"/>
              </w:rPr>
              <w:t>3.0</w:t>
            </w:r>
          </w:p>
        </w:tc>
      </w:tr>
      <w:tr w:rsidR="00F849A7" w:rsidRPr="00D9348B" w14:paraId="02D84240" w14:textId="77777777" w:rsidTr="00CD5933">
        <w:tc>
          <w:tcPr>
            <w:tcW w:w="1111" w:type="dxa"/>
            <w:tcBorders>
              <w:left w:val="nil"/>
            </w:tcBorders>
            <w:shd w:val="clear" w:color="auto" w:fill="auto"/>
          </w:tcPr>
          <w:p w14:paraId="44FE2F71" w14:textId="77777777" w:rsidR="00F849A7" w:rsidRPr="00D9348B" w:rsidRDefault="00F849A7" w:rsidP="00DB330E">
            <w:pPr>
              <w:pStyle w:val="TableText"/>
              <w:rPr>
                <w:rFonts w:cs="Calibri"/>
                <w:szCs w:val="16"/>
              </w:rPr>
            </w:pPr>
            <w:r w:rsidRPr="00D9348B">
              <w:rPr>
                <w:rFonts w:cs="Calibri"/>
                <w:szCs w:val="16"/>
              </w:rPr>
              <w:t>2008</w:t>
            </w:r>
          </w:p>
        </w:tc>
        <w:tc>
          <w:tcPr>
            <w:tcW w:w="3929" w:type="dxa"/>
          </w:tcPr>
          <w:p w14:paraId="666ED837" w14:textId="77777777" w:rsidR="00F849A7" w:rsidRPr="00D9348B" w:rsidRDefault="00F849A7" w:rsidP="00DB330E">
            <w:pPr>
              <w:pStyle w:val="TableText"/>
              <w:jc w:val="center"/>
              <w:rPr>
                <w:rFonts w:cs="Calibri"/>
                <w:color w:val="000000"/>
                <w:szCs w:val="16"/>
              </w:rPr>
            </w:pPr>
            <w:r w:rsidRPr="00D9348B">
              <w:rPr>
                <w:rFonts w:cs="Calibri"/>
                <w:szCs w:val="16"/>
              </w:rPr>
              <w:t>5.2</w:t>
            </w:r>
          </w:p>
        </w:tc>
        <w:tc>
          <w:tcPr>
            <w:tcW w:w="3465" w:type="dxa"/>
            <w:tcBorders>
              <w:right w:val="nil"/>
            </w:tcBorders>
          </w:tcPr>
          <w:p w14:paraId="4569B1D6" w14:textId="77777777" w:rsidR="00F849A7" w:rsidRPr="00D9348B" w:rsidRDefault="00F849A7" w:rsidP="00DB330E">
            <w:pPr>
              <w:pStyle w:val="TableText"/>
              <w:jc w:val="center"/>
              <w:rPr>
                <w:rFonts w:cs="Calibri"/>
                <w:color w:val="000000"/>
                <w:szCs w:val="16"/>
              </w:rPr>
            </w:pPr>
            <w:r w:rsidRPr="00D9348B">
              <w:rPr>
                <w:rFonts w:cs="Calibri"/>
                <w:szCs w:val="16"/>
              </w:rPr>
              <w:t>3.0</w:t>
            </w:r>
          </w:p>
        </w:tc>
      </w:tr>
      <w:tr w:rsidR="00F849A7" w:rsidRPr="00D9348B" w14:paraId="213D723E" w14:textId="77777777" w:rsidTr="00CD5933">
        <w:tc>
          <w:tcPr>
            <w:tcW w:w="1111" w:type="dxa"/>
            <w:tcBorders>
              <w:left w:val="nil"/>
            </w:tcBorders>
            <w:shd w:val="clear" w:color="auto" w:fill="auto"/>
          </w:tcPr>
          <w:p w14:paraId="3D724D1E" w14:textId="77777777" w:rsidR="00F849A7" w:rsidRPr="00D9348B" w:rsidRDefault="00F849A7" w:rsidP="00DB330E">
            <w:pPr>
              <w:pStyle w:val="TableText"/>
              <w:rPr>
                <w:rFonts w:cs="Calibri"/>
                <w:szCs w:val="16"/>
              </w:rPr>
            </w:pPr>
            <w:r w:rsidRPr="00D9348B">
              <w:rPr>
                <w:rFonts w:cs="Calibri"/>
                <w:szCs w:val="16"/>
              </w:rPr>
              <w:lastRenderedPageBreak/>
              <w:t>2009</w:t>
            </w:r>
          </w:p>
        </w:tc>
        <w:tc>
          <w:tcPr>
            <w:tcW w:w="3929" w:type="dxa"/>
          </w:tcPr>
          <w:p w14:paraId="650556C2" w14:textId="77777777" w:rsidR="00F849A7" w:rsidRPr="00D9348B" w:rsidRDefault="00F849A7" w:rsidP="00DB330E">
            <w:pPr>
              <w:pStyle w:val="TableText"/>
              <w:jc w:val="center"/>
              <w:rPr>
                <w:rFonts w:cs="Calibri"/>
                <w:color w:val="000000"/>
                <w:szCs w:val="16"/>
              </w:rPr>
            </w:pPr>
            <w:r w:rsidRPr="00D9348B">
              <w:rPr>
                <w:rFonts w:cs="Calibri"/>
                <w:szCs w:val="16"/>
              </w:rPr>
              <w:t>9.4</w:t>
            </w:r>
          </w:p>
        </w:tc>
        <w:tc>
          <w:tcPr>
            <w:tcW w:w="3465" w:type="dxa"/>
            <w:tcBorders>
              <w:right w:val="nil"/>
            </w:tcBorders>
          </w:tcPr>
          <w:p w14:paraId="18DE3FAC" w14:textId="77777777" w:rsidR="00F849A7" w:rsidRPr="00D9348B" w:rsidRDefault="00F849A7" w:rsidP="00DB330E">
            <w:pPr>
              <w:pStyle w:val="TableText"/>
              <w:jc w:val="center"/>
              <w:rPr>
                <w:rFonts w:cs="Calibri"/>
                <w:color w:val="000000"/>
                <w:szCs w:val="16"/>
              </w:rPr>
            </w:pPr>
            <w:r w:rsidRPr="00D9348B">
              <w:rPr>
                <w:rFonts w:cs="Calibri"/>
                <w:szCs w:val="16"/>
              </w:rPr>
              <w:t>4.7</w:t>
            </w:r>
          </w:p>
        </w:tc>
      </w:tr>
      <w:tr w:rsidR="00F849A7" w:rsidRPr="00D9348B" w14:paraId="78031A53" w14:textId="77777777" w:rsidTr="00CD5933">
        <w:tc>
          <w:tcPr>
            <w:tcW w:w="1111" w:type="dxa"/>
            <w:tcBorders>
              <w:left w:val="nil"/>
            </w:tcBorders>
            <w:shd w:val="clear" w:color="auto" w:fill="auto"/>
          </w:tcPr>
          <w:p w14:paraId="4D54764F" w14:textId="77777777" w:rsidR="00F849A7" w:rsidRPr="00D9348B" w:rsidRDefault="00F849A7" w:rsidP="00DB330E">
            <w:pPr>
              <w:pStyle w:val="TableText"/>
              <w:rPr>
                <w:rFonts w:cs="Calibri"/>
                <w:szCs w:val="16"/>
              </w:rPr>
            </w:pPr>
            <w:r w:rsidRPr="00D9348B">
              <w:rPr>
                <w:rFonts w:cs="Calibri"/>
                <w:szCs w:val="16"/>
              </w:rPr>
              <w:t>2010</w:t>
            </w:r>
          </w:p>
        </w:tc>
        <w:tc>
          <w:tcPr>
            <w:tcW w:w="3929" w:type="dxa"/>
          </w:tcPr>
          <w:p w14:paraId="3C4BA0F9" w14:textId="77777777" w:rsidR="00F849A7" w:rsidRPr="00D9348B" w:rsidRDefault="00F849A7" w:rsidP="00DB330E">
            <w:pPr>
              <w:pStyle w:val="TableText"/>
              <w:jc w:val="center"/>
              <w:rPr>
                <w:rFonts w:cs="Calibri"/>
                <w:color w:val="000000"/>
                <w:szCs w:val="16"/>
              </w:rPr>
            </w:pPr>
            <w:r w:rsidRPr="00D9348B">
              <w:rPr>
                <w:rFonts w:cs="Calibri"/>
                <w:szCs w:val="16"/>
              </w:rPr>
              <w:t>6.9</w:t>
            </w:r>
          </w:p>
        </w:tc>
        <w:tc>
          <w:tcPr>
            <w:tcW w:w="3465" w:type="dxa"/>
            <w:tcBorders>
              <w:right w:val="nil"/>
            </w:tcBorders>
          </w:tcPr>
          <w:p w14:paraId="3C6B35FE" w14:textId="77777777" w:rsidR="00F849A7" w:rsidRPr="00D9348B" w:rsidRDefault="00F849A7" w:rsidP="00DB330E">
            <w:pPr>
              <w:pStyle w:val="TableText"/>
              <w:jc w:val="center"/>
              <w:rPr>
                <w:rFonts w:cs="Calibri"/>
                <w:color w:val="000000"/>
                <w:szCs w:val="16"/>
              </w:rPr>
            </w:pPr>
            <w:r w:rsidRPr="00D9348B">
              <w:rPr>
                <w:rFonts w:cs="Calibri"/>
                <w:szCs w:val="16"/>
              </w:rPr>
              <w:t>4.1</w:t>
            </w:r>
          </w:p>
        </w:tc>
      </w:tr>
      <w:tr w:rsidR="00F849A7" w:rsidRPr="00D9348B" w14:paraId="1B338D81" w14:textId="77777777" w:rsidTr="00CD5933">
        <w:tc>
          <w:tcPr>
            <w:tcW w:w="1111" w:type="dxa"/>
            <w:tcBorders>
              <w:left w:val="nil"/>
            </w:tcBorders>
            <w:shd w:val="clear" w:color="auto" w:fill="auto"/>
          </w:tcPr>
          <w:p w14:paraId="2A15E62D" w14:textId="77777777" w:rsidR="00F849A7" w:rsidRPr="00D9348B" w:rsidRDefault="00F849A7" w:rsidP="00DB330E">
            <w:pPr>
              <w:pStyle w:val="TableText"/>
              <w:rPr>
                <w:rFonts w:cs="Calibri"/>
                <w:szCs w:val="16"/>
              </w:rPr>
            </w:pPr>
            <w:r w:rsidRPr="00D9348B">
              <w:rPr>
                <w:rFonts w:cs="Calibri"/>
                <w:szCs w:val="16"/>
              </w:rPr>
              <w:t>2011</w:t>
            </w:r>
          </w:p>
        </w:tc>
        <w:tc>
          <w:tcPr>
            <w:tcW w:w="3929" w:type="dxa"/>
          </w:tcPr>
          <w:p w14:paraId="252C2849" w14:textId="77777777" w:rsidR="00F849A7" w:rsidRPr="00D9348B" w:rsidRDefault="00F849A7" w:rsidP="00DB330E">
            <w:pPr>
              <w:pStyle w:val="TableText"/>
              <w:jc w:val="center"/>
              <w:rPr>
                <w:rFonts w:cs="Calibri"/>
                <w:color w:val="000000"/>
                <w:szCs w:val="16"/>
              </w:rPr>
            </w:pPr>
            <w:r w:rsidRPr="00D9348B">
              <w:rPr>
                <w:rFonts w:cs="Calibri"/>
                <w:szCs w:val="16"/>
              </w:rPr>
              <w:t>5.3</w:t>
            </w:r>
          </w:p>
        </w:tc>
        <w:tc>
          <w:tcPr>
            <w:tcW w:w="3465" w:type="dxa"/>
            <w:tcBorders>
              <w:right w:val="nil"/>
            </w:tcBorders>
          </w:tcPr>
          <w:p w14:paraId="2A124D7D" w14:textId="77777777" w:rsidR="00F849A7" w:rsidRPr="00D9348B" w:rsidRDefault="00F849A7" w:rsidP="00DB330E">
            <w:pPr>
              <w:pStyle w:val="TableText"/>
              <w:jc w:val="center"/>
              <w:rPr>
                <w:rFonts w:cs="Calibri"/>
                <w:color w:val="000000"/>
                <w:szCs w:val="16"/>
              </w:rPr>
            </w:pPr>
            <w:r w:rsidRPr="00D9348B">
              <w:rPr>
                <w:rFonts w:cs="Calibri"/>
                <w:szCs w:val="16"/>
              </w:rPr>
              <w:t>3.5</w:t>
            </w:r>
          </w:p>
        </w:tc>
      </w:tr>
      <w:tr w:rsidR="00F849A7" w:rsidRPr="00D9348B" w14:paraId="395EC742" w14:textId="77777777" w:rsidTr="00CD5933">
        <w:tc>
          <w:tcPr>
            <w:tcW w:w="1111" w:type="dxa"/>
            <w:tcBorders>
              <w:left w:val="nil"/>
            </w:tcBorders>
            <w:shd w:val="clear" w:color="auto" w:fill="auto"/>
          </w:tcPr>
          <w:p w14:paraId="23C84038" w14:textId="77777777" w:rsidR="00F849A7" w:rsidRPr="00D9348B" w:rsidRDefault="00F849A7" w:rsidP="00DB330E">
            <w:pPr>
              <w:pStyle w:val="TableText"/>
              <w:rPr>
                <w:rFonts w:cs="Calibri"/>
                <w:szCs w:val="16"/>
              </w:rPr>
            </w:pPr>
            <w:r w:rsidRPr="00D9348B">
              <w:rPr>
                <w:rFonts w:cs="Calibri"/>
                <w:szCs w:val="16"/>
              </w:rPr>
              <w:t>2012</w:t>
            </w:r>
          </w:p>
        </w:tc>
        <w:tc>
          <w:tcPr>
            <w:tcW w:w="3929" w:type="dxa"/>
          </w:tcPr>
          <w:p w14:paraId="54545A37" w14:textId="77777777" w:rsidR="00F849A7" w:rsidRPr="00D9348B" w:rsidRDefault="00F849A7" w:rsidP="00DB330E">
            <w:pPr>
              <w:pStyle w:val="TableText"/>
              <w:jc w:val="center"/>
              <w:rPr>
                <w:rFonts w:cs="Calibri"/>
                <w:color w:val="000000"/>
                <w:szCs w:val="16"/>
              </w:rPr>
            </w:pPr>
            <w:r w:rsidRPr="00D9348B">
              <w:rPr>
                <w:rFonts w:cs="Calibri"/>
                <w:szCs w:val="16"/>
              </w:rPr>
              <w:t>7.0</w:t>
            </w:r>
          </w:p>
        </w:tc>
        <w:tc>
          <w:tcPr>
            <w:tcW w:w="3465" w:type="dxa"/>
            <w:tcBorders>
              <w:right w:val="nil"/>
            </w:tcBorders>
          </w:tcPr>
          <w:p w14:paraId="4315E0D3" w14:textId="77777777" w:rsidR="00F849A7" w:rsidRPr="00D9348B" w:rsidRDefault="00F849A7" w:rsidP="00DB330E">
            <w:pPr>
              <w:pStyle w:val="TableText"/>
              <w:jc w:val="center"/>
              <w:rPr>
                <w:rFonts w:cs="Calibri"/>
                <w:color w:val="000000"/>
                <w:szCs w:val="16"/>
              </w:rPr>
            </w:pPr>
            <w:r w:rsidRPr="00D9348B">
              <w:rPr>
                <w:rFonts w:cs="Calibri"/>
                <w:szCs w:val="16"/>
              </w:rPr>
              <w:t>4.6</w:t>
            </w:r>
          </w:p>
        </w:tc>
      </w:tr>
      <w:tr w:rsidR="00F849A7" w:rsidRPr="00D9348B" w14:paraId="4A1C40B2" w14:textId="77777777" w:rsidTr="00CD5933">
        <w:tc>
          <w:tcPr>
            <w:tcW w:w="1111" w:type="dxa"/>
            <w:tcBorders>
              <w:left w:val="nil"/>
            </w:tcBorders>
            <w:shd w:val="clear" w:color="auto" w:fill="auto"/>
          </w:tcPr>
          <w:p w14:paraId="040F0932" w14:textId="77777777" w:rsidR="00F849A7" w:rsidRPr="00D9348B" w:rsidRDefault="00F849A7" w:rsidP="00DB330E">
            <w:pPr>
              <w:pStyle w:val="TableText"/>
              <w:rPr>
                <w:rFonts w:cs="Calibri"/>
                <w:szCs w:val="16"/>
              </w:rPr>
            </w:pPr>
            <w:r w:rsidRPr="00D9348B">
              <w:rPr>
                <w:rFonts w:cs="Calibri"/>
                <w:szCs w:val="16"/>
              </w:rPr>
              <w:t>2013</w:t>
            </w:r>
          </w:p>
        </w:tc>
        <w:tc>
          <w:tcPr>
            <w:tcW w:w="3929" w:type="dxa"/>
          </w:tcPr>
          <w:p w14:paraId="4FE06AF3" w14:textId="77777777" w:rsidR="00F849A7" w:rsidRPr="00D9348B" w:rsidRDefault="00F849A7" w:rsidP="00DB330E">
            <w:pPr>
              <w:pStyle w:val="TableText"/>
              <w:jc w:val="center"/>
              <w:rPr>
                <w:rFonts w:cs="Calibri"/>
                <w:color w:val="000000"/>
                <w:szCs w:val="16"/>
              </w:rPr>
            </w:pPr>
            <w:r w:rsidRPr="00D9348B">
              <w:rPr>
                <w:rFonts w:cs="Calibri"/>
                <w:szCs w:val="16"/>
              </w:rPr>
              <w:t>8.6</w:t>
            </w:r>
          </w:p>
        </w:tc>
        <w:tc>
          <w:tcPr>
            <w:tcW w:w="3465" w:type="dxa"/>
            <w:tcBorders>
              <w:right w:val="nil"/>
            </w:tcBorders>
          </w:tcPr>
          <w:p w14:paraId="6F73D76C" w14:textId="77777777" w:rsidR="00F849A7" w:rsidRPr="00D9348B" w:rsidRDefault="00F849A7" w:rsidP="00DB330E">
            <w:pPr>
              <w:pStyle w:val="TableText"/>
              <w:jc w:val="center"/>
              <w:rPr>
                <w:rFonts w:cs="Calibri"/>
                <w:color w:val="000000"/>
                <w:szCs w:val="16"/>
              </w:rPr>
            </w:pPr>
            <w:r w:rsidRPr="00D9348B">
              <w:rPr>
                <w:rFonts w:cs="Calibri"/>
                <w:szCs w:val="16"/>
              </w:rPr>
              <w:t>5.9</w:t>
            </w:r>
          </w:p>
        </w:tc>
      </w:tr>
      <w:tr w:rsidR="00F849A7" w:rsidRPr="00D9348B" w14:paraId="2EFF165F" w14:textId="77777777" w:rsidTr="00CD5933">
        <w:tc>
          <w:tcPr>
            <w:tcW w:w="1111" w:type="dxa"/>
            <w:tcBorders>
              <w:left w:val="nil"/>
            </w:tcBorders>
            <w:shd w:val="clear" w:color="auto" w:fill="auto"/>
          </w:tcPr>
          <w:p w14:paraId="38EACD3F" w14:textId="77777777" w:rsidR="00F849A7" w:rsidRPr="00D9348B" w:rsidRDefault="00F849A7" w:rsidP="00DB330E">
            <w:pPr>
              <w:pStyle w:val="TableText"/>
              <w:rPr>
                <w:rFonts w:cs="Calibri"/>
                <w:szCs w:val="16"/>
              </w:rPr>
            </w:pPr>
            <w:r w:rsidRPr="00D9348B">
              <w:rPr>
                <w:rFonts w:cs="Calibri"/>
                <w:szCs w:val="16"/>
              </w:rPr>
              <w:t>2014</w:t>
            </w:r>
          </w:p>
        </w:tc>
        <w:tc>
          <w:tcPr>
            <w:tcW w:w="3929" w:type="dxa"/>
          </w:tcPr>
          <w:p w14:paraId="22D0C8E6" w14:textId="77777777" w:rsidR="00F849A7" w:rsidRPr="00D9348B" w:rsidRDefault="00F849A7" w:rsidP="00DB330E">
            <w:pPr>
              <w:pStyle w:val="TableText"/>
              <w:jc w:val="center"/>
              <w:rPr>
                <w:rFonts w:cs="Calibri"/>
                <w:color w:val="000000"/>
                <w:szCs w:val="16"/>
              </w:rPr>
            </w:pPr>
            <w:r w:rsidRPr="00D9348B">
              <w:rPr>
                <w:rFonts w:cs="Calibri"/>
                <w:szCs w:val="16"/>
              </w:rPr>
              <w:t>20.2</w:t>
            </w:r>
          </w:p>
        </w:tc>
        <w:tc>
          <w:tcPr>
            <w:tcW w:w="3465" w:type="dxa"/>
            <w:tcBorders>
              <w:right w:val="nil"/>
            </w:tcBorders>
          </w:tcPr>
          <w:p w14:paraId="3EB7DF52" w14:textId="77777777" w:rsidR="00F849A7" w:rsidRPr="00D9348B" w:rsidRDefault="00F849A7" w:rsidP="00DB330E">
            <w:pPr>
              <w:pStyle w:val="TableText"/>
              <w:jc w:val="center"/>
              <w:rPr>
                <w:rFonts w:cs="Calibri"/>
                <w:color w:val="000000"/>
                <w:szCs w:val="16"/>
              </w:rPr>
            </w:pPr>
            <w:r w:rsidRPr="00D9348B">
              <w:rPr>
                <w:rFonts w:cs="Calibri"/>
                <w:szCs w:val="16"/>
              </w:rPr>
              <w:t>13.6</w:t>
            </w:r>
          </w:p>
        </w:tc>
      </w:tr>
      <w:tr w:rsidR="00F849A7" w:rsidRPr="00D9348B" w14:paraId="45771011" w14:textId="77777777" w:rsidTr="00CD5933">
        <w:tc>
          <w:tcPr>
            <w:tcW w:w="1111" w:type="dxa"/>
            <w:tcBorders>
              <w:left w:val="nil"/>
            </w:tcBorders>
            <w:shd w:val="clear" w:color="auto" w:fill="auto"/>
          </w:tcPr>
          <w:p w14:paraId="0B09FC3A" w14:textId="77777777" w:rsidR="00F849A7" w:rsidRPr="00D9348B" w:rsidRDefault="00F849A7" w:rsidP="00DB330E">
            <w:pPr>
              <w:pStyle w:val="TableText"/>
              <w:rPr>
                <w:rFonts w:cs="Calibri"/>
                <w:szCs w:val="16"/>
              </w:rPr>
            </w:pPr>
            <w:r w:rsidRPr="00D9348B">
              <w:rPr>
                <w:rFonts w:cs="Calibri"/>
                <w:szCs w:val="16"/>
              </w:rPr>
              <w:t>2015</w:t>
            </w:r>
          </w:p>
        </w:tc>
        <w:tc>
          <w:tcPr>
            <w:tcW w:w="3929" w:type="dxa"/>
          </w:tcPr>
          <w:p w14:paraId="191DFC03" w14:textId="77777777" w:rsidR="00F849A7" w:rsidRPr="00D9348B" w:rsidRDefault="00F849A7" w:rsidP="00DB330E">
            <w:pPr>
              <w:pStyle w:val="TableText"/>
              <w:jc w:val="center"/>
              <w:rPr>
                <w:rFonts w:cs="Calibri"/>
                <w:color w:val="000000"/>
                <w:szCs w:val="16"/>
              </w:rPr>
            </w:pPr>
            <w:r w:rsidRPr="00D9348B">
              <w:rPr>
                <w:rFonts w:cs="Calibri"/>
                <w:szCs w:val="16"/>
              </w:rPr>
              <w:t>16.2</w:t>
            </w:r>
          </w:p>
        </w:tc>
        <w:tc>
          <w:tcPr>
            <w:tcW w:w="3465" w:type="dxa"/>
            <w:tcBorders>
              <w:right w:val="nil"/>
            </w:tcBorders>
          </w:tcPr>
          <w:p w14:paraId="2E59C8BF" w14:textId="77777777" w:rsidR="00F849A7" w:rsidRPr="00D9348B" w:rsidRDefault="00F849A7" w:rsidP="00DB330E">
            <w:pPr>
              <w:pStyle w:val="TableText"/>
              <w:jc w:val="center"/>
              <w:rPr>
                <w:rFonts w:cs="Calibri"/>
                <w:color w:val="000000"/>
                <w:szCs w:val="16"/>
              </w:rPr>
            </w:pPr>
            <w:r w:rsidRPr="00D9348B">
              <w:rPr>
                <w:rFonts w:cs="Calibri"/>
                <w:szCs w:val="16"/>
              </w:rPr>
              <w:t>13.1</w:t>
            </w:r>
          </w:p>
        </w:tc>
      </w:tr>
      <w:tr w:rsidR="00F849A7" w:rsidRPr="00D9348B" w14:paraId="0B541D8E" w14:textId="77777777" w:rsidTr="00CD5933">
        <w:tc>
          <w:tcPr>
            <w:tcW w:w="1111" w:type="dxa"/>
            <w:tcBorders>
              <w:left w:val="nil"/>
            </w:tcBorders>
            <w:shd w:val="clear" w:color="auto" w:fill="auto"/>
          </w:tcPr>
          <w:p w14:paraId="03B03D5D" w14:textId="77777777" w:rsidR="00F849A7" w:rsidRPr="00D9348B" w:rsidRDefault="00F849A7" w:rsidP="00DB330E">
            <w:pPr>
              <w:pStyle w:val="TableText"/>
              <w:rPr>
                <w:rFonts w:cs="Calibri"/>
                <w:szCs w:val="16"/>
              </w:rPr>
            </w:pPr>
            <w:r w:rsidRPr="00D9348B">
              <w:rPr>
                <w:rFonts w:cs="Calibri"/>
                <w:szCs w:val="16"/>
              </w:rPr>
              <w:t>2016</w:t>
            </w:r>
          </w:p>
        </w:tc>
        <w:tc>
          <w:tcPr>
            <w:tcW w:w="3929" w:type="dxa"/>
          </w:tcPr>
          <w:p w14:paraId="1B2EBC74" w14:textId="77777777" w:rsidR="00F849A7" w:rsidRPr="00D9348B" w:rsidRDefault="00F849A7" w:rsidP="00DB330E">
            <w:pPr>
              <w:pStyle w:val="TableText"/>
              <w:jc w:val="center"/>
              <w:rPr>
                <w:rFonts w:cs="Calibri"/>
                <w:color w:val="000000"/>
                <w:szCs w:val="16"/>
              </w:rPr>
            </w:pPr>
            <w:r w:rsidRPr="00D9348B">
              <w:rPr>
                <w:rFonts w:cs="Calibri"/>
                <w:szCs w:val="16"/>
              </w:rPr>
              <w:t>26.5</w:t>
            </w:r>
          </w:p>
        </w:tc>
        <w:tc>
          <w:tcPr>
            <w:tcW w:w="3465" w:type="dxa"/>
            <w:tcBorders>
              <w:right w:val="nil"/>
            </w:tcBorders>
          </w:tcPr>
          <w:p w14:paraId="6B00734C" w14:textId="77777777" w:rsidR="00F849A7" w:rsidRPr="00D9348B" w:rsidRDefault="00F849A7" w:rsidP="00DB330E">
            <w:pPr>
              <w:pStyle w:val="TableText"/>
              <w:jc w:val="center"/>
              <w:rPr>
                <w:rFonts w:cs="Calibri"/>
                <w:color w:val="000000"/>
                <w:szCs w:val="16"/>
              </w:rPr>
            </w:pPr>
            <w:r w:rsidRPr="00D9348B">
              <w:rPr>
                <w:rFonts w:cs="Calibri"/>
                <w:szCs w:val="16"/>
              </w:rPr>
              <w:t>20.1</w:t>
            </w:r>
          </w:p>
        </w:tc>
      </w:tr>
      <w:tr w:rsidR="00F849A7" w:rsidRPr="00D9348B" w14:paraId="70A8AA9A" w14:textId="77777777" w:rsidTr="00CD5933">
        <w:tc>
          <w:tcPr>
            <w:tcW w:w="1111" w:type="dxa"/>
            <w:tcBorders>
              <w:left w:val="nil"/>
            </w:tcBorders>
            <w:shd w:val="clear" w:color="auto" w:fill="auto"/>
          </w:tcPr>
          <w:p w14:paraId="34FE7647" w14:textId="77777777" w:rsidR="00F849A7" w:rsidRPr="00D9348B" w:rsidRDefault="00F849A7" w:rsidP="00DB330E">
            <w:pPr>
              <w:pStyle w:val="TableText"/>
              <w:rPr>
                <w:rFonts w:cs="Calibri"/>
                <w:szCs w:val="16"/>
              </w:rPr>
            </w:pPr>
            <w:r w:rsidRPr="00D9348B">
              <w:rPr>
                <w:rFonts w:cs="Calibri"/>
                <w:szCs w:val="16"/>
              </w:rPr>
              <w:t>2017</w:t>
            </w:r>
          </w:p>
        </w:tc>
        <w:tc>
          <w:tcPr>
            <w:tcW w:w="3929" w:type="dxa"/>
          </w:tcPr>
          <w:p w14:paraId="210C4348" w14:textId="77777777" w:rsidR="00F849A7" w:rsidRPr="00D9348B" w:rsidRDefault="00F849A7" w:rsidP="00DB330E">
            <w:pPr>
              <w:pStyle w:val="TableText"/>
              <w:jc w:val="center"/>
              <w:rPr>
                <w:rFonts w:cs="Calibri"/>
                <w:szCs w:val="16"/>
              </w:rPr>
            </w:pPr>
            <w:r w:rsidRPr="00D9348B">
              <w:rPr>
                <w:rFonts w:cs="Calibri"/>
                <w:szCs w:val="16"/>
              </w:rPr>
              <w:t>27.8</w:t>
            </w:r>
          </w:p>
        </w:tc>
        <w:tc>
          <w:tcPr>
            <w:tcW w:w="3465" w:type="dxa"/>
            <w:tcBorders>
              <w:right w:val="nil"/>
            </w:tcBorders>
          </w:tcPr>
          <w:p w14:paraId="6E7DF18D" w14:textId="77777777" w:rsidR="00F849A7" w:rsidRPr="00D9348B" w:rsidRDefault="00F849A7" w:rsidP="00DB330E">
            <w:pPr>
              <w:pStyle w:val="TableText"/>
              <w:jc w:val="center"/>
              <w:rPr>
                <w:rFonts w:cs="Calibri"/>
                <w:szCs w:val="16"/>
              </w:rPr>
            </w:pPr>
            <w:r w:rsidRPr="00D9348B">
              <w:rPr>
                <w:rFonts w:cs="Calibri"/>
                <w:szCs w:val="16"/>
              </w:rPr>
              <w:t>21.6</w:t>
            </w:r>
          </w:p>
        </w:tc>
      </w:tr>
      <w:tr w:rsidR="00F849A7" w:rsidRPr="00D9348B" w14:paraId="509412C2" w14:textId="77777777" w:rsidTr="00CD5933">
        <w:tc>
          <w:tcPr>
            <w:tcW w:w="1111" w:type="dxa"/>
            <w:tcBorders>
              <w:left w:val="nil"/>
            </w:tcBorders>
            <w:shd w:val="clear" w:color="auto" w:fill="auto"/>
          </w:tcPr>
          <w:p w14:paraId="11A5C3DE" w14:textId="77777777" w:rsidR="00F849A7" w:rsidRPr="00D9348B" w:rsidRDefault="00F849A7" w:rsidP="00DB330E">
            <w:pPr>
              <w:pStyle w:val="TableText"/>
              <w:rPr>
                <w:rFonts w:cs="Calibri"/>
                <w:szCs w:val="16"/>
              </w:rPr>
            </w:pPr>
            <w:r w:rsidRPr="00D9348B">
              <w:rPr>
                <w:rFonts w:cs="Calibri"/>
                <w:szCs w:val="16"/>
              </w:rPr>
              <w:t>2018</w:t>
            </w:r>
          </w:p>
        </w:tc>
        <w:tc>
          <w:tcPr>
            <w:tcW w:w="3929" w:type="dxa"/>
          </w:tcPr>
          <w:p w14:paraId="1F57E11C" w14:textId="77777777" w:rsidR="00F849A7" w:rsidRPr="00D9348B" w:rsidRDefault="00F849A7" w:rsidP="00DB330E">
            <w:pPr>
              <w:pStyle w:val="TableText"/>
              <w:jc w:val="center"/>
              <w:rPr>
                <w:rFonts w:cs="Calibri"/>
                <w:szCs w:val="16"/>
              </w:rPr>
            </w:pPr>
            <w:r w:rsidRPr="00D9348B">
              <w:rPr>
                <w:rFonts w:cs="Calibri"/>
                <w:szCs w:val="16"/>
              </w:rPr>
              <w:t>29.9</w:t>
            </w:r>
          </w:p>
        </w:tc>
        <w:tc>
          <w:tcPr>
            <w:tcW w:w="3465" w:type="dxa"/>
            <w:tcBorders>
              <w:right w:val="nil"/>
            </w:tcBorders>
          </w:tcPr>
          <w:p w14:paraId="0963B143" w14:textId="77777777" w:rsidR="00F849A7" w:rsidRPr="00D9348B" w:rsidRDefault="00F849A7" w:rsidP="00DB330E">
            <w:pPr>
              <w:pStyle w:val="TableText"/>
              <w:jc w:val="center"/>
              <w:rPr>
                <w:rFonts w:cs="Calibri"/>
                <w:szCs w:val="16"/>
              </w:rPr>
            </w:pPr>
            <w:r w:rsidRPr="00D9348B">
              <w:rPr>
                <w:rFonts w:cs="Calibri"/>
                <w:szCs w:val="16"/>
              </w:rPr>
              <w:t>24.0</w:t>
            </w:r>
          </w:p>
        </w:tc>
      </w:tr>
    </w:tbl>
    <w:p w14:paraId="5BA077E3" w14:textId="77777777" w:rsidR="00F849A7" w:rsidRPr="00D9348B" w:rsidRDefault="00F849A7" w:rsidP="00F849A7">
      <w:pPr>
        <w:pStyle w:val="Source"/>
        <w:rPr>
          <w:rFonts w:cs="Calibri"/>
        </w:rPr>
      </w:pPr>
      <w:r w:rsidRPr="00D9348B">
        <w:rPr>
          <w:rFonts w:cs="Calibri"/>
          <w:b/>
          <w:bCs/>
        </w:rPr>
        <w:t>Source:</w:t>
      </w:r>
      <w:r w:rsidRPr="00D9348B">
        <w:rPr>
          <w:rFonts w:cs="Calibri"/>
        </w:rPr>
        <w:t xml:space="preserve"> Fertiliser Association of New Zealand and Ballance Agri-Nutrients Limited</w:t>
      </w:r>
    </w:p>
    <w:p w14:paraId="36243062" w14:textId="77777777" w:rsidR="00F849A7" w:rsidRPr="00D9348B" w:rsidRDefault="00F849A7" w:rsidP="00F849A7">
      <w:pPr>
        <w:pStyle w:val="Heading5"/>
        <w:spacing w:before="360"/>
        <w:rPr>
          <w:rFonts w:cs="Calibri"/>
          <w:szCs w:val="24"/>
        </w:rPr>
      </w:pPr>
      <w:r w:rsidRPr="00D9348B">
        <w:rPr>
          <w:rFonts w:cs="Calibri"/>
        </w:rPr>
        <w:t xml:space="preserve">Nitrification inhibitor dicyandiamide </w:t>
      </w:r>
    </w:p>
    <w:p w14:paraId="2560EF2D" w14:textId="0F207617" w:rsidR="00F849A7" w:rsidRPr="00D9348B" w:rsidRDefault="00F849A7" w:rsidP="00F849A7">
      <w:pPr>
        <w:pStyle w:val="BodyText"/>
        <w:rPr>
          <w:rFonts w:cs="Calibri"/>
        </w:rPr>
      </w:pPr>
      <w:r w:rsidRPr="00D9348B">
        <w:rPr>
          <w:rFonts w:cs="Calibri"/>
        </w:rPr>
        <w:t xml:space="preserve">A methodology has been developed to incorporate the nitrification inhibitor DCD, an </w:t>
      </w:r>
      <w:r w:rsidRPr="00D9348B">
        <w:rPr>
          <w:rFonts w:cs="Calibri"/>
          <w:spacing w:val="-2"/>
        </w:rPr>
        <w:t>N</w:t>
      </w:r>
      <w:r w:rsidRPr="00D9348B">
        <w:rPr>
          <w:rFonts w:cs="Calibri"/>
          <w:spacing w:val="-2"/>
          <w:vertAlign w:val="subscript"/>
        </w:rPr>
        <w:t>2</w:t>
      </w:r>
      <w:r w:rsidRPr="00D9348B">
        <w:rPr>
          <w:rFonts w:cs="Calibri"/>
          <w:spacing w:val="-2"/>
        </w:rPr>
        <w:t>O</w:t>
      </w:r>
      <w:r w:rsidRPr="00D9348B">
        <w:rPr>
          <w:rFonts w:cs="Calibri"/>
        </w:rPr>
        <w:t xml:space="preserve"> mitigation technology, into the inventory. The </w:t>
      </w:r>
      <w:r w:rsidRPr="00D9348B">
        <w:rPr>
          <w:rFonts w:cs="Calibri"/>
          <w:spacing w:val="-2"/>
        </w:rPr>
        <w:t>N</w:t>
      </w:r>
      <w:r w:rsidRPr="00D9348B">
        <w:rPr>
          <w:rFonts w:cs="Calibri"/>
          <w:spacing w:val="-2"/>
          <w:vertAlign w:val="subscript"/>
        </w:rPr>
        <w:t>2</w:t>
      </w:r>
      <w:r w:rsidRPr="00D9348B">
        <w:rPr>
          <w:rFonts w:cs="Calibri"/>
          <w:spacing w:val="-2"/>
        </w:rPr>
        <w:t>O</w:t>
      </w:r>
      <w:r w:rsidRPr="00D9348B">
        <w:rPr>
          <w:rFonts w:cs="Calibri"/>
        </w:rPr>
        <w:t xml:space="preserve"> emissions reported in the </w:t>
      </w:r>
      <w:r w:rsidRPr="00D9348B">
        <w:rPr>
          <w:rFonts w:cs="Calibri"/>
          <w:i/>
          <w:iCs/>
        </w:rPr>
        <w:t>Agricultural soils</w:t>
      </w:r>
      <w:r w:rsidRPr="00D9348B">
        <w:rPr>
          <w:rFonts w:cs="Calibri"/>
        </w:rPr>
        <w:t> category take into account the use of nitrification inhibitors on dairy farms using the methodology described in Clough et al. (2008). Greenhouse gas mitigation estimates from DCD</w:t>
      </w:r>
      <w:r w:rsidR="00CD5933" w:rsidRPr="00D9348B">
        <w:rPr>
          <w:rFonts w:cs="Calibri"/>
        </w:rPr>
        <w:t> </w:t>
      </w:r>
      <w:r w:rsidRPr="00D9348B">
        <w:rPr>
          <w:rFonts w:cs="Calibri"/>
        </w:rPr>
        <w:t>are reported in the inventory only up until 2012, because it was no longer used after this time. Sales were suspended due to the detection of low levels of DCD residues in milk.</w:t>
      </w:r>
    </w:p>
    <w:p w14:paraId="12C46771" w14:textId="77777777" w:rsidR="00F849A7" w:rsidRPr="00D9348B" w:rsidRDefault="00F849A7" w:rsidP="00F849A7">
      <w:pPr>
        <w:pStyle w:val="BodyText"/>
        <w:rPr>
          <w:rFonts w:cs="Calibri"/>
        </w:rPr>
      </w:pPr>
      <w:r w:rsidRPr="00D9348B">
        <w:rPr>
          <w:rFonts w:cs="Calibri"/>
        </w:rPr>
        <w:t xml:space="preserve">Research has shown that DCD reduces </w:t>
      </w:r>
      <w:r w:rsidRPr="00D9348B">
        <w:rPr>
          <w:rFonts w:cs="Calibri"/>
          <w:spacing w:val="-2"/>
        </w:rPr>
        <w:t>N</w:t>
      </w:r>
      <w:r w:rsidRPr="00D9348B">
        <w:rPr>
          <w:rFonts w:cs="Calibri"/>
          <w:spacing w:val="-2"/>
          <w:vertAlign w:val="subscript"/>
        </w:rPr>
        <w:t>2</w:t>
      </w:r>
      <w:r w:rsidRPr="00D9348B">
        <w:rPr>
          <w:rFonts w:cs="Calibri"/>
          <w:spacing w:val="-2"/>
        </w:rPr>
        <w:t>O</w:t>
      </w:r>
      <w:r w:rsidRPr="00D9348B">
        <w:rPr>
          <w:rFonts w:cs="Calibri"/>
        </w:rPr>
        <w:t xml:space="preserve"> emissions and nitrate (NO</w:t>
      </w:r>
      <w:r w:rsidRPr="00D9348B">
        <w:rPr>
          <w:rFonts w:cs="Calibri"/>
          <w:vertAlign w:val="subscript"/>
        </w:rPr>
        <w:t>3</w:t>
      </w:r>
      <w:r w:rsidRPr="00D9348B">
        <w:rPr>
          <w:rFonts w:cs="Calibri"/>
        </w:rPr>
        <w:t xml:space="preserve">–) leaching in pastoral grassland systems grazed by ruminant animals. The inventory methodology incorporates DCD use by modifying the emission factors </w:t>
      </w:r>
      <w:proofErr w:type="gramStart"/>
      <w:r w:rsidRPr="00D9348B">
        <w:rPr>
          <w:rFonts w:cs="Calibri"/>
        </w:rPr>
        <w:t>EF</w:t>
      </w:r>
      <w:r w:rsidRPr="00D9348B">
        <w:rPr>
          <w:rFonts w:cs="Calibri"/>
          <w:vertAlign w:val="subscript"/>
        </w:rPr>
        <w:t>3(</w:t>
      </w:r>
      <w:proofErr w:type="gramEnd"/>
      <w:r w:rsidRPr="00D9348B">
        <w:rPr>
          <w:rFonts w:cs="Calibri"/>
          <w:vertAlign w:val="subscript"/>
        </w:rPr>
        <w:t>PRP)</w:t>
      </w:r>
      <w:r w:rsidRPr="00D9348B">
        <w:rPr>
          <w:rFonts w:cs="Calibri"/>
        </w:rPr>
        <w:t xml:space="preserve"> and the parameter Frac</w:t>
      </w:r>
      <w:r w:rsidRPr="00D9348B">
        <w:rPr>
          <w:rFonts w:cs="Calibri"/>
          <w:vertAlign w:val="subscript"/>
        </w:rPr>
        <w:t>LEACH</w:t>
      </w:r>
      <w:r w:rsidRPr="00D9348B">
        <w:rPr>
          <w:rFonts w:cs="Calibri"/>
        </w:rPr>
        <w:t xml:space="preserve"> (see table 5.5.5). These were modified based on comprehensive field-based research that showed significant reductions in direct and indirect </w:t>
      </w:r>
      <w:r w:rsidRPr="00D9348B">
        <w:rPr>
          <w:rFonts w:cs="Calibri"/>
          <w:spacing w:val="-2"/>
        </w:rPr>
        <w:t>N</w:t>
      </w:r>
      <w:r w:rsidRPr="00D9348B">
        <w:rPr>
          <w:rFonts w:cs="Calibri"/>
          <w:spacing w:val="-2"/>
          <w:vertAlign w:val="subscript"/>
        </w:rPr>
        <w:t>2</w:t>
      </w:r>
      <w:r w:rsidRPr="00D9348B">
        <w:rPr>
          <w:rFonts w:cs="Calibri"/>
          <w:spacing w:val="-2"/>
        </w:rPr>
        <w:t>O</w:t>
      </w:r>
      <w:r w:rsidRPr="00D9348B">
        <w:rPr>
          <w:rFonts w:cs="Calibri"/>
        </w:rPr>
        <w:t xml:space="preserve"> emissions and NO</w:t>
      </w:r>
      <w:r w:rsidRPr="00D9348B">
        <w:rPr>
          <w:rFonts w:cs="Calibri"/>
          <w:vertAlign w:val="subscript"/>
        </w:rPr>
        <w:t>3</w:t>
      </w:r>
      <w:r w:rsidRPr="00D9348B">
        <w:rPr>
          <w:rFonts w:cs="Calibri"/>
        </w:rPr>
        <w:t>– leaching where the DCD was applied. It was determined that, on a national basis, reductions in EF</w:t>
      </w:r>
      <w:r w:rsidRPr="00D9348B">
        <w:rPr>
          <w:rFonts w:cs="Calibri"/>
          <w:vertAlign w:val="subscript"/>
        </w:rPr>
        <w:t>3(PRP)</w:t>
      </w:r>
      <w:r w:rsidRPr="00D9348B">
        <w:rPr>
          <w:rFonts w:cs="Calibri"/>
        </w:rPr>
        <w:t xml:space="preserve"> and Frac</w:t>
      </w:r>
      <w:r w:rsidRPr="00D9348B">
        <w:rPr>
          <w:rFonts w:cs="Calibri"/>
          <w:vertAlign w:val="subscript"/>
        </w:rPr>
        <w:t>LEACH</w:t>
      </w:r>
      <w:r w:rsidRPr="00D9348B">
        <w:rPr>
          <w:rFonts w:cs="Calibri"/>
        </w:rPr>
        <w:t xml:space="preserve"> of 67 per cent and 53 per cent respectively could be made (Clough et al., 2008). </w:t>
      </w:r>
    </w:p>
    <w:p w14:paraId="13C12894" w14:textId="77777777" w:rsidR="00F849A7" w:rsidRPr="00D9348B" w:rsidRDefault="00F849A7" w:rsidP="00F849A7">
      <w:pPr>
        <w:pStyle w:val="BodyText"/>
        <w:rPr>
          <w:rFonts w:cs="Calibri"/>
        </w:rPr>
      </w:pPr>
      <w:r w:rsidRPr="00D9348B">
        <w:rPr>
          <w:rFonts w:cs="Calibri"/>
        </w:rPr>
        <w:t>There has been some research into the effect of DCD on dung (</w:t>
      </w:r>
      <w:proofErr w:type="gramStart"/>
      <w:r w:rsidRPr="00D9348B">
        <w:rPr>
          <w:rFonts w:cs="Calibri"/>
        </w:rPr>
        <w:t>EF</w:t>
      </w:r>
      <w:r w:rsidRPr="00D9348B">
        <w:rPr>
          <w:rFonts w:cs="Calibri"/>
          <w:vertAlign w:val="subscript"/>
        </w:rPr>
        <w:t>3(</w:t>
      </w:r>
      <w:proofErr w:type="gramEnd"/>
      <w:r w:rsidRPr="00D9348B">
        <w:rPr>
          <w:rFonts w:cs="Calibri"/>
          <w:vertAlign w:val="subscript"/>
        </w:rPr>
        <w:t>PRP-DUNG)</w:t>
      </w:r>
      <w:r w:rsidRPr="00D9348B">
        <w:rPr>
          <w:rFonts w:cs="Calibri"/>
        </w:rPr>
        <w:t>); however, this research was non-conclusive and further work needs to be carried out before incorporating this research into the inventory. Application of this inhibitor was found to have no effect on NH</w:t>
      </w:r>
      <w:r w:rsidRPr="00D9348B">
        <w:rPr>
          <w:rFonts w:cs="Calibri"/>
          <w:vertAlign w:val="subscript"/>
        </w:rPr>
        <w:t>3</w:t>
      </w:r>
      <w:r w:rsidRPr="00D9348B">
        <w:rPr>
          <w:rFonts w:cs="Calibri"/>
        </w:rPr>
        <w:t xml:space="preserve"> volatilisation, which is supported by the results of field studies (Clough et al., 2008; Sherlock et al., 2008). Therefore, the parameter for volatilisation remains unchanged.</w:t>
      </w:r>
    </w:p>
    <w:p w14:paraId="743E7706" w14:textId="77777777" w:rsidR="00F849A7" w:rsidRPr="00D9348B" w:rsidRDefault="00F849A7" w:rsidP="00F849A7">
      <w:pPr>
        <w:pStyle w:val="BodyText"/>
        <w:rPr>
          <w:rFonts w:cs="Calibri"/>
        </w:rPr>
      </w:pPr>
      <w:r w:rsidRPr="00D9348B">
        <w:rPr>
          <w:rFonts w:cs="Calibri"/>
        </w:rPr>
        <w:t>The DCD weighting factors are calculated based on reductions in emission factors and parameters, and the fraction of dairy land treated with the inhibitor, as follows:</w:t>
      </w:r>
    </w:p>
    <w:p w14:paraId="1B692967" w14:textId="77777777" w:rsidR="00F849A7" w:rsidRPr="00D9348B" w:rsidRDefault="00F849A7" w:rsidP="00A8523F">
      <w:pPr>
        <w:pStyle w:val="BodyText"/>
        <w:spacing w:after="80"/>
        <w:rPr>
          <w:rFonts w:cs="Calibri"/>
        </w:rPr>
      </w:pPr>
      <w:r w:rsidRPr="00D9348B">
        <w:rPr>
          <w:rFonts w:cs="Calibri"/>
        </w:rPr>
        <w:object w:dxaOrig="7391" w:dyaOrig="503" w14:anchorId="3D2A1B9D">
          <v:shape id="_x0000_i1109" type="#_x0000_t75" style="width:374.4pt;height:27.55pt" o:ole="">
            <v:imagedata r:id="rId172" o:title="" cropright="4398f"/>
          </v:shape>
          <o:OLEObject Type="Embed" ProgID="Word.Document.12" ShapeID="_x0000_i1109" DrawAspect="Content" ObjectID="_1647932341" r:id="rId173">
            <o:FieldCodes>\s</o:FieldCodes>
          </o:OLEObject>
        </w:object>
      </w:r>
    </w:p>
    <w:p w14:paraId="2C661096" w14:textId="77777777" w:rsidR="00F849A7" w:rsidRPr="00D9348B" w:rsidRDefault="00F849A7" w:rsidP="00F849A7">
      <w:pPr>
        <w:pStyle w:val="BodyText"/>
        <w:rPr>
          <w:rFonts w:cs="Calibri"/>
          <w:spacing w:val="-2"/>
        </w:rPr>
      </w:pPr>
      <w:r w:rsidRPr="00D9348B">
        <w:rPr>
          <w:rFonts w:cs="Calibri"/>
          <w:spacing w:val="-2"/>
        </w:rPr>
        <w:t>The appropriate weighting factor is then used as an additional multiplier in the current methodology for calculating indirect and direct emissions of N</w:t>
      </w:r>
      <w:r w:rsidRPr="00D9348B">
        <w:rPr>
          <w:rFonts w:cs="Calibri"/>
          <w:spacing w:val="-2"/>
          <w:vertAlign w:val="subscript"/>
        </w:rPr>
        <w:t>2</w:t>
      </w:r>
      <w:r w:rsidRPr="00D9348B">
        <w:rPr>
          <w:rFonts w:cs="Calibri"/>
          <w:spacing w:val="-2"/>
        </w:rPr>
        <w:t xml:space="preserve">O from grazed pastures. The calculations use a modified </w:t>
      </w:r>
      <w:proofErr w:type="gramStart"/>
      <w:r w:rsidRPr="00D9348B">
        <w:rPr>
          <w:rFonts w:cs="Calibri"/>
          <w:spacing w:val="-2"/>
        </w:rPr>
        <w:t>EF</w:t>
      </w:r>
      <w:r w:rsidRPr="00D9348B">
        <w:rPr>
          <w:rFonts w:cs="Calibri"/>
          <w:spacing w:val="-2"/>
          <w:vertAlign w:val="subscript"/>
        </w:rPr>
        <w:t>3(</w:t>
      </w:r>
      <w:proofErr w:type="gramEnd"/>
      <w:r w:rsidRPr="00D9348B">
        <w:rPr>
          <w:rFonts w:cs="Calibri"/>
          <w:spacing w:val="-2"/>
          <w:vertAlign w:val="subscript"/>
        </w:rPr>
        <w:t xml:space="preserve">PRP) </w:t>
      </w:r>
      <w:r w:rsidRPr="00D9348B">
        <w:rPr>
          <w:rFonts w:cs="Calibri"/>
          <w:spacing w:val="-2"/>
        </w:rPr>
        <w:t>of 0.0099 and Frac</w:t>
      </w:r>
      <w:r w:rsidRPr="00D9348B">
        <w:rPr>
          <w:rFonts w:cs="Calibri"/>
          <w:spacing w:val="-2"/>
          <w:vertAlign w:val="subscript"/>
        </w:rPr>
        <w:t xml:space="preserve">LEACH </w:t>
      </w:r>
      <w:r w:rsidRPr="00D9348B">
        <w:rPr>
          <w:rFonts w:cs="Calibri"/>
          <w:spacing w:val="-2"/>
        </w:rPr>
        <w:t>of 0.0696 for the dairy grazing area in the months that the inhibitor is applied (May to September). The modified emission factors (see table 5.5.10) are based on information from Statistics New Zealand’s Agricultural Production Survey that 2.9 per cent of the effective dairying area in New Zealand received DCD in 2012.</w:t>
      </w:r>
    </w:p>
    <w:p w14:paraId="62971EDC" w14:textId="77777777" w:rsidR="00F849A7" w:rsidRPr="00D9348B" w:rsidRDefault="00F849A7" w:rsidP="00F849A7">
      <w:pPr>
        <w:pStyle w:val="BodyText"/>
        <w:rPr>
          <w:rFonts w:cs="Calibri"/>
          <w:spacing w:val="-2"/>
        </w:rPr>
      </w:pPr>
      <w:r w:rsidRPr="00D9348B">
        <w:rPr>
          <w:rFonts w:cs="Calibri"/>
          <w:spacing w:val="-2"/>
        </w:rPr>
        <w:lastRenderedPageBreak/>
        <w:t>Activity data on livestock numbers come from the Agricultural Production Survey. The inhibitor is applied to pastures based on good management practice to maximise N</w:t>
      </w:r>
      <w:r w:rsidRPr="00D9348B">
        <w:rPr>
          <w:rFonts w:cs="Calibri"/>
          <w:spacing w:val="-2"/>
          <w:vertAlign w:val="subscript"/>
        </w:rPr>
        <w:t>2</w:t>
      </w:r>
      <w:r w:rsidRPr="00D9348B">
        <w:rPr>
          <w:rFonts w:cs="Calibri"/>
          <w:spacing w:val="-2"/>
        </w:rPr>
        <w:t>O emission reductions. This is an application rate of 10 kilograms per hectare, applied twice per year in autumn (March to May) and early spring (September) within seven days of the application of animal</w:t>
      </w:r>
      <w:r w:rsidRPr="00D9348B">
        <w:rPr>
          <w:rFonts w:cs="Calibri"/>
        </w:rPr>
        <w:t xml:space="preserve"> </w:t>
      </w:r>
      <w:r w:rsidRPr="00D9348B">
        <w:rPr>
          <w:rFonts w:cs="Calibri"/>
          <w:spacing w:val="-2"/>
        </w:rPr>
        <w:t>excreta. ‘Good practice’ application methods of DCD can be by slurry or DCD-coated granule.</w:t>
      </w:r>
    </w:p>
    <w:p w14:paraId="5A87CBFE" w14:textId="77777777" w:rsidR="00F849A7" w:rsidRPr="00D9348B" w:rsidRDefault="00F849A7" w:rsidP="00F849A7">
      <w:pPr>
        <w:pStyle w:val="BodyText"/>
        <w:rPr>
          <w:rFonts w:cs="Calibri"/>
        </w:rPr>
      </w:pPr>
      <w:r w:rsidRPr="00D9348B">
        <w:rPr>
          <w:rFonts w:cs="Calibri"/>
        </w:rPr>
        <w:t xml:space="preserve">Mitigation estimates for the calendar years 2007 to 2012 are shown in table 5.5.10. </w:t>
      </w:r>
    </w:p>
    <w:p w14:paraId="26A9A298" w14:textId="77777777" w:rsidR="00F849A7" w:rsidRPr="00D9348B" w:rsidRDefault="00F849A7" w:rsidP="00F849A7">
      <w:pPr>
        <w:pStyle w:val="Table"/>
        <w:rPr>
          <w:rFonts w:cs="Calibri"/>
        </w:rPr>
      </w:pPr>
      <w:bookmarkStart w:id="933" w:name="_Toc441830885"/>
      <w:bookmarkStart w:id="934" w:name="_Toc451176099"/>
      <w:bookmarkStart w:id="935" w:name="_Toc481751527"/>
      <w:bookmarkStart w:id="936" w:name="_Toc507158615"/>
      <w:bookmarkStart w:id="937" w:name="_Toc511116749"/>
      <w:bookmarkStart w:id="938" w:name="_Toc5269491"/>
      <w:bookmarkStart w:id="939" w:name="_Toc32570936"/>
      <w:bookmarkStart w:id="940" w:name="_Toc36224571"/>
      <w:r w:rsidRPr="00D9348B">
        <w:rPr>
          <w:rFonts w:cs="Calibri"/>
        </w:rPr>
        <w:t>Table 5.5.10</w:t>
      </w:r>
      <w:r w:rsidRPr="00D9348B">
        <w:rPr>
          <w:rFonts w:cs="Calibri"/>
        </w:rPr>
        <w:tab/>
        <w:t>Emission factors, parameters and mitigation for New Zealand’s DCD inhibitor calculations</w:t>
      </w:r>
      <w:bookmarkEnd w:id="933"/>
      <w:r w:rsidRPr="00D9348B">
        <w:rPr>
          <w:rFonts w:cs="Calibri"/>
        </w:rPr>
        <w:br/>
        <w:t>from 2007 to 2012</w:t>
      </w:r>
      <w:bookmarkEnd w:id="934"/>
      <w:bookmarkEnd w:id="935"/>
      <w:bookmarkEnd w:id="936"/>
      <w:bookmarkEnd w:id="937"/>
      <w:bookmarkEnd w:id="938"/>
      <w:bookmarkEnd w:id="939"/>
      <w:bookmarkEnd w:id="940"/>
    </w:p>
    <w:tbl>
      <w:tblPr>
        <w:tblW w:w="8505" w:type="dxa"/>
        <w:tblInd w:w="108" w:type="dxa"/>
        <w:tblBorders>
          <w:top w:val="single" w:sz="4" w:space="0" w:color="365F91"/>
          <w:bottom w:val="single" w:sz="4" w:space="0" w:color="365F91"/>
          <w:insideH w:val="single" w:sz="4" w:space="0" w:color="365F91"/>
        </w:tblBorders>
        <w:tblLayout w:type="fixed"/>
        <w:tblCellMar>
          <w:left w:w="85" w:type="dxa"/>
          <w:right w:w="85" w:type="dxa"/>
        </w:tblCellMar>
        <w:tblLook w:val="00A0" w:firstRow="1" w:lastRow="0" w:firstColumn="1" w:lastColumn="0" w:noHBand="0" w:noVBand="0"/>
      </w:tblPr>
      <w:tblGrid>
        <w:gridCol w:w="3635"/>
        <w:gridCol w:w="728"/>
        <w:gridCol w:w="845"/>
        <w:gridCol w:w="846"/>
        <w:gridCol w:w="845"/>
        <w:gridCol w:w="846"/>
        <w:gridCol w:w="760"/>
      </w:tblGrid>
      <w:tr w:rsidR="00F849A7" w:rsidRPr="00D9348B" w14:paraId="6BF73F11" w14:textId="77777777" w:rsidTr="00A8523F">
        <w:tc>
          <w:tcPr>
            <w:tcW w:w="3663" w:type="dxa"/>
            <w:shd w:val="clear" w:color="auto" w:fill="365F91"/>
          </w:tcPr>
          <w:p w14:paraId="54CF7A75" w14:textId="77777777" w:rsidR="00F849A7" w:rsidRPr="00D9348B" w:rsidRDefault="00F849A7" w:rsidP="00DB330E">
            <w:pPr>
              <w:pStyle w:val="TableTextBold"/>
              <w:keepNext/>
              <w:jc w:val="center"/>
              <w:rPr>
                <w:rFonts w:cs="Calibri"/>
                <w:noProof w:val="0"/>
                <w:color w:val="FFFFFF"/>
              </w:rPr>
            </w:pPr>
          </w:p>
        </w:tc>
        <w:tc>
          <w:tcPr>
            <w:tcW w:w="732" w:type="dxa"/>
            <w:shd w:val="clear" w:color="auto" w:fill="365F91"/>
          </w:tcPr>
          <w:p w14:paraId="3699C128" w14:textId="77777777" w:rsidR="00F849A7" w:rsidRPr="00D9348B" w:rsidRDefault="00F849A7" w:rsidP="00DB330E">
            <w:pPr>
              <w:pStyle w:val="TableTextBold"/>
              <w:jc w:val="right"/>
              <w:rPr>
                <w:rFonts w:cs="Calibri"/>
                <w:i/>
                <w:iCs/>
                <w:noProof w:val="0"/>
                <w:color w:val="FFFFFF"/>
              </w:rPr>
            </w:pPr>
            <w:r w:rsidRPr="00D9348B">
              <w:rPr>
                <w:rFonts w:cs="Calibri"/>
                <w:noProof w:val="0"/>
                <w:color w:val="FFFFFF"/>
              </w:rPr>
              <w:t>2007</w:t>
            </w:r>
          </w:p>
        </w:tc>
        <w:tc>
          <w:tcPr>
            <w:tcW w:w="850" w:type="dxa"/>
            <w:shd w:val="clear" w:color="auto" w:fill="365F91"/>
          </w:tcPr>
          <w:p w14:paraId="4393EF87" w14:textId="77777777" w:rsidR="00F849A7" w:rsidRPr="00D9348B" w:rsidRDefault="00F849A7" w:rsidP="00DB330E">
            <w:pPr>
              <w:pStyle w:val="TableTextBold"/>
              <w:jc w:val="right"/>
              <w:rPr>
                <w:rFonts w:cs="Calibri"/>
                <w:i/>
                <w:iCs/>
                <w:noProof w:val="0"/>
                <w:color w:val="FFFFFF"/>
              </w:rPr>
            </w:pPr>
            <w:r w:rsidRPr="00D9348B">
              <w:rPr>
                <w:rFonts w:cs="Calibri"/>
                <w:noProof w:val="0"/>
                <w:color w:val="FFFFFF"/>
              </w:rPr>
              <w:t>2008</w:t>
            </w:r>
          </w:p>
        </w:tc>
        <w:tc>
          <w:tcPr>
            <w:tcW w:w="851" w:type="dxa"/>
            <w:shd w:val="clear" w:color="auto" w:fill="365F91"/>
          </w:tcPr>
          <w:p w14:paraId="1D58D946" w14:textId="77777777" w:rsidR="00F849A7" w:rsidRPr="00D9348B" w:rsidRDefault="00F849A7" w:rsidP="00DB330E">
            <w:pPr>
              <w:pStyle w:val="TableTextBold"/>
              <w:jc w:val="right"/>
              <w:rPr>
                <w:rFonts w:cs="Calibri"/>
                <w:i/>
                <w:iCs/>
                <w:noProof w:val="0"/>
                <w:color w:val="FFFFFF"/>
              </w:rPr>
            </w:pPr>
            <w:r w:rsidRPr="00D9348B">
              <w:rPr>
                <w:rFonts w:cs="Calibri"/>
                <w:noProof w:val="0"/>
                <w:color w:val="FFFFFF"/>
              </w:rPr>
              <w:t>2009</w:t>
            </w:r>
          </w:p>
        </w:tc>
        <w:tc>
          <w:tcPr>
            <w:tcW w:w="850" w:type="dxa"/>
            <w:shd w:val="clear" w:color="auto" w:fill="365F91"/>
          </w:tcPr>
          <w:p w14:paraId="749413FD" w14:textId="77777777" w:rsidR="00F849A7" w:rsidRPr="00D9348B" w:rsidRDefault="00F849A7" w:rsidP="00DB330E">
            <w:pPr>
              <w:pStyle w:val="TableTextBold"/>
              <w:jc w:val="right"/>
              <w:rPr>
                <w:rFonts w:cs="Calibri"/>
                <w:i/>
                <w:iCs/>
                <w:noProof w:val="0"/>
                <w:color w:val="FFFFFF"/>
              </w:rPr>
            </w:pPr>
            <w:r w:rsidRPr="00D9348B">
              <w:rPr>
                <w:rFonts w:cs="Calibri"/>
                <w:noProof w:val="0"/>
                <w:color w:val="FFFFFF"/>
              </w:rPr>
              <w:t>2010</w:t>
            </w:r>
          </w:p>
        </w:tc>
        <w:tc>
          <w:tcPr>
            <w:tcW w:w="851" w:type="dxa"/>
            <w:shd w:val="clear" w:color="auto" w:fill="365F91"/>
          </w:tcPr>
          <w:p w14:paraId="6FCFCEA3" w14:textId="77777777" w:rsidR="00F849A7" w:rsidRPr="00D9348B" w:rsidRDefault="00F849A7" w:rsidP="00DB330E">
            <w:pPr>
              <w:pStyle w:val="TableTextBold"/>
              <w:jc w:val="right"/>
              <w:rPr>
                <w:rFonts w:cs="Calibri"/>
                <w:i/>
                <w:iCs/>
                <w:noProof w:val="0"/>
                <w:color w:val="FFFFFF"/>
              </w:rPr>
            </w:pPr>
            <w:r w:rsidRPr="00D9348B">
              <w:rPr>
                <w:rFonts w:cs="Calibri"/>
                <w:noProof w:val="0"/>
                <w:color w:val="FFFFFF"/>
              </w:rPr>
              <w:t>2011</w:t>
            </w:r>
          </w:p>
        </w:tc>
        <w:tc>
          <w:tcPr>
            <w:tcW w:w="765" w:type="dxa"/>
            <w:shd w:val="clear" w:color="auto" w:fill="365F91"/>
          </w:tcPr>
          <w:p w14:paraId="12373BA1" w14:textId="77777777" w:rsidR="00F849A7" w:rsidRPr="00D9348B" w:rsidRDefault="00F849A7" w:rsidP="00DB330E">
            <w:pPr>
              <w:pStyle w:val="TableTextBold"/>
              <w:jc w:val="right"/>
              <w:rPr>
                <w:rFonts w:cs="Calibri"/>
                <w:i/>
                <w:iCs/>
                <w:noProof w:val="0"/>
                <w:color w:val="FFFFFF"/>
              </w:rPr>
            </w:pPr>
            <w:r w:rsidRPr="00D9348B">
              <w:rPr>
                <w:rFonts w:cs="Calibri"/>
                <w:noProof w:val="0"/>
                <w:color w:val="FFFFFF"/>
              </w:rPr>
              <w:t>2012</w:t>
            </w:r>
          </w:p>
        </w:tc>
      </w:tr>
      <w:tr w:rsidR="00F849A7" w:rsidRPr="00D9348B" w14:paraId="2938FC75" w14:textId="77777777" w:rsidTr="00A8523F">
        <w:tc>
          <w:tcPr>
            <w:tcW w:w="3663" w:type="dxa"/>
            <w:shd w:val="clear" w:color="auto" w:fill="auto"/>
          </w:tcPr>
          <w:p w14:paraId="073B5622" w14:textId="77777777" w:rsidR="00F849A7" w:rsidRPr="00D9348B" w:rsidRDefault="00F849A7" w:rsidP="00DB330E">
            <w:pPr>
              <w:pStyle w:val="TableText"/>
              <w:keepNext/>
              <w:rPr>
                <w:rFonts w:cs="Calibri"/>
              </w:rPr>
            </w:pPr>
            <w:r w:rsidRPr="00D9348B">
              <w:rPr>
                <w:rFonts w:cs="Calibri"/>
              </w:rPr>
              <w:t>Percentage of dairy area applied with inhibitor</w:t>
            </w:r>
          </w:p>
        </w:tc>
        <w:tc>
          <w:tcPr>
            <w:tcW w:w="732" w:type="dxa"/>
          </w:tcPr>
          <w:p w14:paraId="0A63F9A5" w14:textId="77777777" w:rsidR="00F849A7" w:rsidRPr="00D9348B" w:rsidRDefault="00F849A7" w:rsidP="00DB330E">
            <w:pPr>
              <w:pStyle w:val="TableText"/>
              <w:jc w:val="right"/>
              <w:rPr>
                <w:rFonts w:cs="Calibri"/>
              </w:rPr>
            </w:pPr>
            <w:r w:rsidRPr="00D9348B">
              <w:rPr>
                <w:rFonts w:cs="Calibri"/>
              </w:rPr>
              <w:t>3.5</w:t>
            </w:r>
          </w:p>
        </w:tc>
        <w:tc>
          <w:tcPr>
            <w:tcW w:w="850" w:type="dxa"/>
          </w:tcPr>
          <w:p w14:paraId="386CF79F" w14:textId="77777777" w:rsidR="00F849A7" w:rsidRPr="00D9348B" w:rsidRDefault="00F849A7" w:rsidP="00DB330E">
            <w:pPr>
              <w:pStyle w:val="TableText"/>
              <w:jc w:val="right"/>
              <w:rPr>
                <w:rFonts w:cs="Calibri"/>
              </w:rPr>
            </w:pPr>
            <w:r w:rsidRPr="00D9348B">
              <w:rPr>
                <w:rFonts w:cs="Calibri"/>
              </w:rPr>
              <w:t>4.5</w:t>
            </w:r>
          </w:p>
        </w:tc>
        <w:tc>
          <w:tcPr>
            <w:tcW w:w="851" w:type="dxa"/>
          </w:tcPr>
          <w:p w14:paraId="47646FF2" w14:textId="77777777" w:rsidR="00F849A7" w:rsidRPr="00D9348B" w:rsidRDefault="00F849A7" w:rsidP="00DB330E">
            <w:pPr>
              <w:pStyle w:val="TableText"/>
              <w:jc w:val="right"/>
              <w:rPr>
                <w:rFonts w:cs="Calibri"/>
              </w:rPr>
            </w:pPr>
            <w:r w:rsidRPr="00D9348B">
              <w:rPr>
                <w:rFonts w:cs="Calibri"/>
              </w:rPr>
              <w:t>3.1</w:t>
            </w:r>
          </w:p>
        </w:tc>
        <w:tc>
          <w:tcPr>
            <w:tcW w:w="850" w:type="dxa"/>
          </w:tcPr>
          <w:p w14:paraId="732760F1" w14:textId="77777777" w:rsidR="00F849A7" w:rsidRPr="00D9348B" w:rsidRDefault="00F849A7" w:rsidP="00DB330E">
            <w:pPr>
              <w:pStyle w:val="TableText"/>
              <w:jc w:val="right"/>
              <w:rPr>
                <w:rFonts w:cs="Calibri"/>
              </w:rPr>
            </w:pPr>
            <w:r w:rsidRPr="00D9348B">
              <w:rPr>
                <w:rFonts w:cs="Calibri"/>
              </w:rPr>
              <w:t>2.2</w:t>
            </w:r>
          </w:p>
        </w:tc>
        <w:tc>
          <w:tcPr>
            <w:tcW w:w="851" w:type="dxa"/>
          </w:tcPr>
          <w:p w14:paraId="48BEE913" w14:textId="77777777" w:rsidR="00F849A7" w:rsidRPr="00D9348B" w:rsidRDefault="00F849A7" w:rsidP="00DB330E">
            <w:pPr>
              <w:pStyle w:val="TableText"/>
              <w:jc w:val="right"/>
              <w:rPr>
                <w:rFonts w:cs="Calibri"/>
              </w:rPr>
            </w:pPr>
            <w:r w:rsidRPr="00D9348B">
              <w:rPr>
                <w:rFonts w:cs="Calibri"/>
              </w:rPr>
              <w:t>3.0</w:t>
            </w:r>
          </w:p>
        </w:tc>
        <w:tc>
          <w:tcPr>
            <w:tcW w:w="765" w:type="dxa"/>
          </w:tcPr>
          <w:p w14:paraId="5F004A8D" w14:textId="77777777" w:rsidR="00F849A7" w:rsidRPr="00D9348B" w:rsidRDefault="00F849A7" w:rsidP="00DB330E">
            <w:pPr>
              <w:pStyle w:val="TableText"/>
              <w:jc w:val="right"/>
              <w:rPr>
                <w:rFonts w:cs="Calibri"/>
              </w:rPr>
            </w:pPr>
            <w:r w:rsidRPr="00D9348B">
              <w:rPr>
                <w:rFonts w:cs="Calibri"/>
              </w:rPr>
              <w:t>2.9</w:t>
            </w:r>
          </w:p>
        </w:tc>
      </w:tr>
      <w:tr w:rsidR="00F849A7" w:rsidRPr="00D9348B" w14:paraId="09DC905A" w14:textId="77777777" w:rsidTr="00A8523F">
        <w:tc>
          <w:tcPr>
            <w:tcW w:w="3663" w:type="dxa"/>
            <w:shd w:val="clear" w:color="auto" w:fill="auto"/>
          </w:tcPr>
          <w:p w14:paraId="0A39EA4D" w14:textId="77777777" w:rsidR="00F849A7" w:rsidRPr="00D9348B" w:rsidRDefault="00F849A7" w:rsidP="00DB330E">
            <w:pPr>
              <w:pStyle w:val="TableText"/>
              <w:keepNext/>
              <w:rPr>
                <w:rFonts w:cs="Calibri"/>
              </w:rPr>
            </w:pPr>
            <w:r w:rsidRPr="00D9348B">
              <w:rPr>
                <w:rFonts w:cs="Calibri"/>
              </w:rPr>
              <w:t>Final modified emission factor or parameter, EF</w:t>
            </w:r>
            <w:r w:rsidRPr="00D9348B">
              <w:rPr>
                <w:rFonts w:cs="Calibri"/>
                <w:vertAlign w:val="subscript"/>
              </w:rPr>
              <w:t>3(PRP)</w:t>
            </w:r>
            <w:r w:rsidRPr="00D9348B">
              <w:rPr>
                <w:rFonts w:cs="Calibri"/>
              </w:rPr>
              <w:t xml:space="preserve"> (kg N</w:t>
            </w:r>
            <w:r w:rsidRPr="00D9348B">
              <w:rPr>
                <w:rFonts w:cs="Calibri"/>
                <w:vertAlign w:val="subscript"/>
              </w:rPr>
              <w:t>2</w:t>
            </w:r>
            <w:r w:rsidRPr="00D9348B">
              <w:rPr>
                <w:rFonts w:cs="Calibri"/>
              </w:rPr>
              <w:t>O-N/kg N)</w:t>
            </w:r>
          </w:p>
        </w:tc>
        <w:tc>
          <w:tcPr>
            <w:tcW w:w="732" w:type="dxa"/>
          </w:tcPr>
          <w:p w14:paraId="6ADE3E9F" w14:textId="77777777" w:rsidR="00F849A7" w:rsidRPr="00D9348B" w:rsidRDefault="00F849A7" w:rsidP="00DB330E">
            <w:pPr>
              <w:pStyle w:val="TableText"/>
              <w:jc w:val="right"/>
              <w:rPr>
                <w:rFonts w:cs="Calibri"/>
              </w:rPr>
            </w:pPr>
            <w:r w:rsidRPr="00D9348B">
              <w:rPr>
                <w:rFonts w:cs="Calibri"/>
              </w:rPr>
              <w:t>0.00972</w:t>
            </w:r>
          </w:p>
        </w:tc>
        <w:tc>
          <w:tcPr>
            <w:tcW w:w="850" w:type="dxa"/>
          </w:tcPr>
          <w:p w14:paraId="6B1551DF" w14:textId="77777777" w:rsidR="00F849A7" w:rsidRPr="00D9348B" w:rsidRDefault="00F849A7" w:rsidP="00DB330E">
            <w:pPr>
              <w:pStyle w:val="TableText"/>
              <w:jc w:val="right"/>
              <w:rPr>
                <w:rFonts w:cs="Calibri"/>
              </w:rPr>
            </w:pPr>
            <w:r w:rsidRPr="00D9348B">
              <w:rPr>
                <w:rFonts w:cs="Calibri"/>
              </w:rPr>
              <w:t>0.00970</w:t>
            </w:r>
          </w:p>
        </w:tc>
        <w:tc>
          <w:tcPr>
            <w:tcW w:w="851" w:type="dxa"/>
          </w:tcPr>
          <w:p w14:paraId="2BF2B872" w14:textId="77777777" w:rsidR="00F849A7" w:rsidRPr="00D9348B" w:rsidRDefault="00F849A7" w:rsidP="00DB330E">
            <w:pPr>
              <w:pStyle w:val="TableText"/>
              <w:jc w:val="right"/>
              <w:rPr>
                <w:rFonts w:cs="Calibri"/>
              </w:rPr>
            </w:pPr>
            <w:r w:rsidRPr="00D9348B">
              <w:rPr>
                <w:rFonts w:cs="Calibri"/>
              </w:rPr>
              <w:t>0.00973</w:t>
            </w:r>
          </w:p>
        </w:tc>
        <w:tc>
          <w:tcPr>
            <w:tcW w:w="850" w:type="dxa"/>
          </w:tcPr>
          <w:p w14:paraId="199ABE90" w14:textId="77777777" w:rsidR="00F849A7" w:rsidRPr="00D9348B" w:rsidRDefault="00F849A7" w:rsidP="00DB330E">
            <w:pPr>
              <w:pStyle w:val="TableText"/>
              <w:jc w:val="right"/>
              <w:rPr>
                <w:rFonts w:cs="Calibri"/>
              </w:rPr>
            </w:pPr>
            <w:r w:rsidRPr="00D9348B">
              <w:rPr>
                <w:rFonts w:cs="Calibri"/>
              </w:rPr>
              <w:t>0.00975</w:t>
            </w:r>
          </w:p>
        </w:tc>
        <w:tc>
          <w:tcPr>
            <w:tcW w:w="851" w:type="dxa"/>
          </w:tcPr>
          <w:p w14:paraId="608D6949" w14:textId="77777777" w:rsidR="00F849A7" w:rsidRPr="00D9348B" w:rsidRDefault="00F849A7" w:rsidP="00DB330E">
            <w:pPr>
              <w:pStyle w:val="TableText"/>
              <w:jc w:val="right"/>
              <w:rPr>
                <w:rFonts w:cs="Calibri"/>
              </w:rPr>
            </w:pPr>
            <w:r w:rsidRPr="00D9348B">
              <w:rPr>
                <w:rFonts w:cs="Calibri"/>
              </w:rPr>
              <w:t>0.00973</w:t>
            </w:r>
          </w:p>
        </w:tc>
        <w:tc>
          <w:tcPr>
            <w:tcW w:w="765" w:type="dxa"/>
          </w:tcPr>
          <w:p w14:paraId="2C0D0098" w14:textId="77777777" w:rsidR="00F849A7" w:rsidRPr="00D9348B" w:rsidRDefault="00F849A7" w:rsidP="00DB330E">
            <w:pPr>
              <w:pStyle w:val="TableText"/>
              <w:jc w:val="right"/>
              <w:rPr>
                <w:rFonts w:cs="Calibri"/>
              </w:rPr>
            </w:pPr>
            <w:r w:rsidRPr="00D9348B">
              <w:rPr>
                <w:rFonts w:cs="Calibri"/>
              </w:rPr>
              <w:t>0.00974</w:t>
            </w:r>
          </w:p>
        </w:tc>
      </w:tr>
      <w:tr w:rsidR="00F849A7" w:rsidRPr="00D9348B" w14:paraId="7760B028" w14:textId="77777777" w:rsidTr="00A8523F">
        <w:tc>
          <w:tcPr>
            <w:tcW w:w="3663" w:type="dxa"/>
            <w:shd w:val="clear" w:color="auto" w:fill="auto"/>
          </w:tcPr>
          <w:p w14:paraId="6D9A8AF5" w14:textId="77777777" w:rsidR="00F849A7" w:rsidRPr="00D9348B" w:rsidRDefault="00F849A7" w:rsidP="00DB330E">
            <w:pPr>
              <w:pStyle w:val="TableText"/>
              <w:rPr>
                <w:rFonts w:cs="Calibri"/>
              </w:rPr>
            </w:pPr>
            <w:r w:rsidRPr="00D9348B">
              <w:rPr>
                <w:rFonts w:cs="Calibri"/>
              </w:rPr>
              <w:t>Final modified emission factor or parameter, Frac</w:t>
            </w:r>
            <w:r w:rsidRPr="00D9348B">
              <w:rPr>
                <w:rFonts w:cs="Calibri"/>
                <w:vertAlign w:val="subscript"/>
              </w:rPr>
              <w:t xml:space="preserve">LEACH </w:t>
            </w:r>
            <w:r w:rsidRPr="00D9348B">
              <w:rPr>
                <w:rFonts w:cs="Calibri"/>
              </w:rPr>
              <w:t>(kg N</w:t>
            </w:r>
            <w:r w:rsidRPr="00D9348B">
              <w:rPr>
                <w:rFonts w:cs="Calibri"/>
                <w:vertAlign w:val="subscript"/>
              </w:rPr>
              <w:t>2</w:t>
            </w:r>
            <w:r w:rsidRPr="00D9348B">
              <w:rPr>
                <w:rFonts w:cs="Calibri"/>
              </w:rPr>
              <w:t>O-N/kg N)</w:t>
            </w:r>
          </w:p>
        </w:tc>
        <w:tc>
          <w:tcPr>
            <w:tcW w:w="732" w:type="dxa"/>
          </w:tcPr>
          <w:p w14:paraId="5CD1D708" w14:textId="77777777" w:rsidR="00F849A7" w:rsidRPr="00D9348B" w:rsidRDefault="00F849A7" w:rsidP="00DB330E">
            <w:pPr>
              <w:pStyle w:val="TableText"/>
              <w:jc w:val="right"/>
              <w:rPr>
                <w:rFonts w:cs="Calibri"/>
              </w:rPr>
            </w:pPr>
            <w:r w:rsidRPr="00D9348B">
              <w:rPr>
                <w:rFonts w:cs="Calibri"/>
              </w:rPr>
              <w:t>0.06957</w:t>
            </w:r>
          </w:p>
        </w:tc>
        <w:tc>
          <w:tcPr>
            <w:tcW w:w="850" w:type="dxa"/>
          </w:tcPr>
          <w:p w14:paraId="79333BD3" w14:textId="77777777" w:rsidR="00F849A7" w:rsidRPr="00D9348B" w:rsidRDefault="00F849A7" w:rsidP="00DB330E">
            <w:pPr>
              <w:pStyle w:val="TableText"/>
              <w:jc w:val="right"/>
              <w:rPr>
                <w:rFonts w:cs="Calibri"/>
              </w:rPr>
            </w:pPr>
            <w:r w:rsidRPr="00D9348B">
              <w:rPr>
                <w:rFonts w:cs="Calibri"/>
              </w:rPr>
              <w:t>0.06944</w:t>
            </w:r>
          </w:p>
        </w:tc>
        <w:tc>
          <w:tcPr>
            <w:tcW w:w="851" w:type="dxa"/>
          </w:tcPr>
          <w:p w14:paraId="3D8AF966" w14:textId="77777777" w:rsidR="00F849A7" w:rsidRPr="00D9348B" w:rsidRDefault="00F849A7" w:rsidP="00DB330E">
            <w:pPr>
              <w:pStyle w:val="TableText"/>
              <w:jc w:val="right"/>
              <w:rPr>
                <w:rFonts w:cs="Calibri"/>
              </w:rPr>
            </w:pPr>
            <w:r w:rsidRPr="00D9348B">
              <w:rPr>
                <w:rFonts w:cs="Calibri"/>
              </w:rPr>
              <w:t>0.06962</w:t>
            </w:r>
          </w:p>
        </w:tc>
        <w:tc>
          <w:tcPr>
            <w:tcW w:w="850" w:type="dxa"/>
          </w:tcPr>
          <w:p w14:paraId="178E9FB0" w14:textId="77777777" w:rsidR="00F849A7" w:rsidRPr="00D9348B" w:rsidRDefault="00F849A7" w:rsidP="00DB330E">
            <w:pPr>
              <w:pStyle w:val="TableText"/>
              <w:jc w:val="right"/>
              <w:rPr>
                <w:rFonts w:cs="Calibri"/>
              </w:rPr>
            </w:pPr>
            <w:r w:rsidRPr="00D9348B">
              <w:rPr>
                <w:rFonts w:cs="Calibri"/>
              </w:rPr>
              <w:t>0.06973</w:t>
            </w:r>
          </w:p>
        </w:tc>
        <w:tc>
          <w:tcPr>
            <w:tcW w:w="851" w:type="dxa"/>
          </w:tcPr>
          <w:p w14:paraId="5590F06A" w14:textId="77777777" w:rsidR="00F849A7" w:rsidRPr="00D9348B" w:rsidRDefault="00F849A7" w:rsidP="00DB330E">
            <w:pPr>
              <w:pStyle w:val="TableText"/>
              <w:jc w:val="right"/>
              <w:rPr>
                <w:rFonts w:cs="Calibri"/>
              </w:rPr>
            </w:pPr>
            <w:r w:rsidRPr="00D9348B">
              <w:rPr>
                <w:rFonts w:cs="Calibri"/>
              </w:rPr>
              <w:t>0.06963</w:t>
            </w:r>
          </w:p>
        </w:tc>
        <w:tc>
          <w:tcPr>
            <w:tcW w:w="765" w:type="dxa"/>
          </w:tcPr>
          <w:p w14:paraId="3463E54E" w14:textId="77777777" w:rsidR="00F849A7" w:rsidRPr="00D9348B" w:rsidRDefault="00F849A7" w:rsidP="00DB330E">
            <w:pPr>
              <w:pStyle w:val="TableText"/>
              <w:jc w:val="right"/>
              <w:rPr>
                <w:rFonts w:cs="Calibri"/>
              </w:rPr>
            </w:pPr>
            <w:r w:rsidRPr="00D9348B">
              <w:rPr>
                <w:rFonts w:cs="Calibri"/>
              </w:rPr>
              <w:t>0.06964</w:t>
            </w:r>
          </w:p>
        </w:tc>
      </w:tr>
      <w:tr w:rsidR="00F849A7" w:rsidRPr="00D9348B" w14:paraId="23304B11" w14:textId="77777777" w:rsidTr="00A8523F">
        <w:tc>
          <w:tcPr>
            <w:tcW w:w="3663" w:type="dxa"/>
            <w:shd w:val="clear" w:color="auto" w:fill="auto"/>
            <w:vAlign w:val="bottom"/>
          </w:tcPr>
          <w:p w14:paraId="5352F208" w14:textId="77777777" w:rsidR="00F849A7" w:rsidRPr="00D9348B" w:rsidRDefault="00F849A7" w:rsidP="00DB330E">
            <w:pPr>
              <w:pStyle w:val="TableText"/>
              <w:rPr>
                <w:rFonts w:cs="Calibri"/>
              </w:rPr>
            </w:pPr>
            <w:r w:rsidRPr="00D9348B">
              <w:rPr>
                <w:rFonts w:cs="Calibri"/>
              </w:rPr>
              <w:t>Mitigation (Gg CO</w:t>
            </w:r>
            <w:r w:rsidRPr="00D9348B">
              <w:rPr>
                <w:rFonts w:cs="Calibri"/>
                <w:vertAlign w:val="subscript"/>
              </w:rPr>
              <w:t>2</w:t>
            </w:r>
            <w:r w:rsidRPr="00D9348B">
              <w:rPr>
                <w:rFonts w:cs="Calibri"/>
              </w:rPr>
              <w:t>-e)</w:t>
            </w:r>
          </w:p>
        </w:tc>
        <w:tc>
          <w:tcPr>
            <w:tcW w:w="732" w:type="dxa"/>
          </w:tcPr>
          <w:p w14:paraId="301BEE5B" w14:textId="77777777" w:rsidR="00F849A7" w:rsidRPr="00D9348B" w:rsidRDefault="00F849A7" w:rsidP="00DB330E">
            <w:pPr>
              <w:pStyle w:val="TableText"/>
              <w:jc w:val="right"/>
              <w:rPr>
                <w:rFonts w:cs="Calibri"/>
              </w:rPr>
            </w:pPr>
            <w:r w:rsidRPr="00D9348B">
              <w:rPr>
                <w:rFonts w:cs="Calibri"/>
              </w:rPr>
              <w:t>15.5</w:t>
            </w:r>
          </w:p>
        </w:tc>
        <w:tc>
          <w:tcPr>
            <w:tcW w:w="850" w:type="dxa"/>
          </w:tcPr>
          <w:p w14:paraId="3A93DD8B" w14:textId="77777777" w:rsidR="00F849A7" w:rsidRPr="00D9348B" w:rsidRDefault="00F849A7" w:rsidP="00DB330E">
            <w:pPr>
              <w:pStyle w:val="TableText"/>
              <w:jc w:val="right"/>
              <w:rPr>
                <w:rFonts w:cs="Calibri"/>
              </w:rPr>
            </w:pPr>
            <w:r w:rsidRPr="00D9348B">
              <w:rPr>
                <w:rFonts w:cs="Calibri"/>
              </w:rPr>
              <w:t>21.0</w:t>
            </w:r>
          </w:p>
        </w:tc>
        <w:tc>
          <w:tcPr>
            <w:tcW w:w="851" w:type="dxa"/>
          </w:tcPr>
          <w:p w14:paraId="55A6F815" w14:textId="77777777" w:rsidR="00F849A7" w:rsidRPr="00D9348B" w:rsidRDefault="00F849A7" w:rsidP="00DB330E">
            <w:pPr>
              <w:pStyle w:val="TableText"/>
              <w:jc w:val="right"/>
              <w:rPr>
                <w:rFonts w:cs="Calibri"/>
              </w:rPr>
            </w:pPr>
            <w:r w:rsidRPr="00D9348B">
              <w:rPr>
                <w:rFonts w:cs="Calibri"/>
              </w:rPr>
              <w:t>15.2</w:t>
            </w:r>
          </w:p>
        </w:tc>
        <w:tc>
          <w:tcPr>
            <w:tcW w:w="850" w:type="dxa"/>
          </w:tcPr>
          <w:p w14:paraId="01882EA0" w14:textId="77777777" w:rsidR="00F849A7" w:rsidRPr="00D9348B" w:rsidRDefault="00F849A7" w:rsidP="00DB330E">
            <w:pPr>
              <w:pStyle w:val="TableText"/>
              <w:jc w:val="right"/>
              <w:rPr>
                <w:rFonts w:cs="Calibri"/>
              </w:rPr>
            </w:pPr>
            <w:r w:rsidRPr="00D9348B">
              <w:rPr>
                <w:rFonts w:cs="Calibri"/>
              </w:rPr>
              <w:t>11.2</w:t>
            </w:r>
          </w:p>
        </w:tc>
        <w:tc>
          <w:tcPr>
            <w:tcW w:w="851" w:type="dxa"/>
          </w:tcPr>
          <w:p w14:paraId="6071604D" w14:textId="77777777" w:rsidR="00F849A7" w:rsidRPr="00D9348B" w:rsidRDefault="00F849A7" w:rsidP="00DB330E">
            <w:pPr>
              <w:pStyle w:val="TableText"/>
              <w:jc w:val="right"/>
              <w:rPr>
                <w:rFonts w:cs="Calibri"/>
              </w:rPr>
            </w:pPr>
            <w:r w:rsidRPr="00D9348B">
              <w:rPr>
                <w:rFonts w:cs="Calibri"/>
              </w:rPr>
              <w:t>16.0</w:t>
            </w:r>
          </w:p>
        </w:tc>
        <w:tc>
          <w:tcPr>
            <w:tcW w:w="765" w:type="dxa"/>
          </w:tcPr>
          <w:p w14:paraId="7888624E" w14:textId="77777777" w:rsidR="00F849A7" w:rsidRPr="00D9348B" w:rsidRDefault="00F849A7" w:rsidP="00DB330E">
            <w:pPr>
              <w:pStyle w:val="TableText"/>
              <w:jc w:val="right"/>
              <w:rPr>
                <w:rFonts w:cs="Calibri"/>
              </w:rPr>
            </w:pPr>
            <w:r w:rsidRPr="00D9348B">
              <w:rPr>
                <w:rFonts w:cs="Calibri"/>
              </w:rPr>
              <w:t>16.0</w:t>
            </w:r>
          </w:p>
        </w:tc>
      </w:tr>
    </w:tbl>
    <w:p w14:paraId="0EBC810D" w14:textId="77777777" w:rsidR="00F849A7" w:rsidRPr="00D9348B" w:rsidRDefault="00F849A7" w:rsidP="00F849A7">
      <w:pPr>
        <w:pStyle w:val="Noteundertable"/>
        <w:rPr>
          <w:rFonts w:cs="Calibri"/>
        </w:rPr>
      </w:pPr>
      <w:r w:rsidRPr="00D9348B">
        <w:rPr>
          <w:rFonts w:cs="Calibri"/>
          <w:b/>
          <w:bCs/>
        </w:rPr>
        <w:t>Note:</w:t>
      </w:r>
      <w:r w:rsidRPr="00D9348B">
        <w:rPr>
          <w:rFonts w:cs="Calibri"/>
        </w:rPr>
        <w:t xml:space="preserve"> </w:t>
      </w:r>
      <w:r w:rsidRPr="00D9348B">
        <w:rPr>
          <w:rFonts w:cs="Calibri"/>
        </w:rPr>
        <w:tab/>
      </w:r>
      <w:proofErr w:type="gramStart"/>
      <w:r w:rsidRPr="00D9348B">
        <w:rPr>
          <w:rFonts w:cs="Calibri"/>
        </w:rPr>
        <w:t>EF</w:t>
      </w:r>
      <w:r w:rsidRPr="00D9348B">
        <w:rPr>
          <w:rFonts w:cs="Calibri"/>
          <w:vertAlign w:val="subscript"/>
        </w:rPr>
        <w:t>3(</w:t>
      </w:r>
      <w:proofErr w:type="gramEnd"/>
      <w:r w:rsidRPr="00D9348B">
        <w:rPr>
          <w:rFonts w:cs="Calibri"/>
          <w:vertAlign w:val="subscript"/>
        </w:rPr>
        <w:t>PRP)</w:t>
      </w:r>
      <w:r w:rsidRPr="00D9348B">
        <w:rPr>
          <w:rFonts w:cs="Calibri"/>
        </w:rPr>
        <w:t xml:space="preserve"> = 0.01 and FRAC</w:t>
      </w:r>
      <w:r w:rsidRPr="00D9348B">
        <w:rPr>
          <w:rFonts w:cs="Calibri"/>
          <w:vertAlign w:val="subscript"/>
        </w:rPr>
        <w:t>LEACH</w:t>
      </w:r>
      <w:r w:rsidRPr="00D9348B">
        <w:rPr>
          <w:rFonts w:cs="Calibri"/>
        </w:rPr>
        <w:t xml:space="preserve"> = 0.07 when inhibitor is not applied. All other emission factors and parameters relating to animal excreta and fertiliser use (Frac</w:t>
      </w:r>
      <w:r w:rsidRPr="00D9348B">
        <w:rPr>
          <w:rFonts w:cs="Calibri"/>
          <w:vertAlign w:val="subscript"/>
        </w:rPr>
        <w:t>GASM</w:t>
      </w:r>
      <w:r w:rsidRPr="00D9348B">
        <w:rPr>
          <w:rFonts w:cs="Calibri"/>
        </w:rPr>
        <w:t>, Frac</w:t>
      </w:r>
      <w:r w:rsidRPr="00D9348B">
        <w:rPr>
          <w:rFonts w:cs="Calibri"/>
          <w:vertAlign w:val="subscript"/>
        </w:rPr>
        <w:t>GASF</w:t>
      </w:r>
      <w:r w:rsidRPr="00D9348B">
        <w:rPr>
          <w:rFonts w:cs="Calibri"/>
        </w:rPr>
        <w:t>, EF</w:t>
      </w:r>
      <w:r w:rsidRPr="00D9348B">
        <w:rPr>
          <w:rFonts w:cs="Calibri"/>
          <w:vertAlign w:val="subscript"/>
        </w:rPr>
        <w:t>4</w:t>
      </w:r>
      <w:r w:rsidRPr="00D9348B">
        <w:rPr>
          <w:rFonts w:cs="Calibri"/>
        </w:rPr>
        <w:t xml:space="preserve"> and EF</w:t>
      </w:r>
      <w:r w:rsidRPr="00D9348B">
        <w:rPr>
          <w:rFonts w:cs="Calibri"/>
          <w:vertAlign w:val="subscript"/>
        </w:rPr>
        <w:t>5</w:t>
      </w:r>
      <w:r w:rsidRPr="00D9348B">
        <w:rPr>
          <w:rFonts w:cs="Calibri"/>
        </w:rPr>
        <w:t xml:space="preserve">) remain unchanged when the inhibitor is used as an </w:t>
      </w:r>
      <w:r w:rsidRPr="00D9348B">
        <w:rPr>
          <w:rFonts w:cs="Calibri"/>
          <w:spacing w:val="-2"/>
        </w:rPr>
        <w:t>N</w:t>
      </w:r>
      <w:r w:rsidRPr="00D9348B">
        <w:rPr>
          <w:rFonts w:cs="Calibri"/>
          <w:spacing w:val="-2"/>
          <w:vertAlign w:val="subscript"/>
        </w:rPr>
        <w:t>2</w:t>
      </w:r>
      <w:r w:rsidRPr="00D9348B">
        <w:rPr>
          <w:rFonts w:cs="Calibri"/>
          <w:spacing w:val="-2"/>
        </w:rPr>
        <w:t>O</w:t>
      </w:r>
      <w:r w:rsidRPr="00D9348B">
        <w:rPr>
          <w:rFonts w:cs="Calibri"/>
        </w:rPr>
        <w:t xml:space="preserve"> mitigation technology. </w:t>
      </w:r>
    </w:p>
    <w:p w14:paraId="70AF9A33" w14:textId="77777777" w:rsidR="00F849A7" w:rsidRPr="00D9348B" w:rsidRDefault="00F849A7" w:rsidP="00A8523F">
      <w:pPr>
        <w:pStyle w:val="Heading3"/>
        <w:spacing w:before="240"/>
        <w:rPr>
          <w:rFonts w:cs="Calibri"/>
        </w:rPr>
      </w:pPr>
      <w:bookmarkStart w:id="941" w:name="_Toc139253935"/>
      <w:bookmarkStart w:id="942" w:name="_Toc32570669"/>
      <w:r w:rsidRPr="00D9348B">
        <w:rPr>
          <w:rFonts w:cs="Calibri"/>
        </w:rPr>
        <w:t>5.5.3</w:t>
      </w:r>
      <w:r w:rsidRPr="00D9348B">
        <w:rPr>
          <w:rFonts w:cs="Calibri"/>
        </w:rPr>
        <w:tab/>
        <w:t>Uncertainties and time-series consistency</w:t>
      </w:r>
      <w:bookmarkEnd w:id="941"/>
      <w:bookmarkEnd w:id="942"/>
    </w:p>
    <w:p w14:paraId="1BBB8580" w14:textId="77777777" w:rsidR="00F849A7" w:rsidRPr="00D9348B" w:rsidRDefault="00F849A7" w:rsidP="00F849A7">
      <w:pPr>
        <w:pStyle w:val="BodyText"/>
        <w:rPr>
          <w:rFonts w:cs="Calibri"/>
        </w:rPr>
      </w:pPr>
      <w:r w:rsidRPr="00D9348B">
        <w:rPr>
          <w:rFonts w:cs="Calibri"/>
        </w:rPr>
        <w:t>To ensure consistency in the calculations involving animal manure, a single livestock population characterisation and feed-intake estimate is produced by the Tier 2 model for the major livestock categories. This is used in different parts of the calculations for the inventory to estimate: CH</w:t>
      </w:r>
      <w:r w:rsidRPr="00D9348B">
        <w:rPr>
          <w:rFonts w:cs="Calibri"/>
          <w:vertAlign w:val="subscript"/>
        </w:rPr>
        <w:t>4</w:t>
      </w:r>
      <w:r w:rsidRPr="00D9348B">
        <w:rPr>
          <w:rFonts w:cs="Calibri"/>
        </w:rPr>
        <w:t xml:space="preserve"> emissions for the </w:t>
      </w:r>
      <w:r w:rsidRPr="00D9348B">
        <w:rPr>
          <w:rFonts w:cs="Calibri"/>
          <w:i/>
          <w:iCs/>
        </w:rPr>
        <w:t>Enteric fermentation</w:t>
      </w:r>
      <w:r w:rsidRPr="00D9348B">
        <w:rPr>
          <w:rFonts w:cs="Calibri"/>
        </w:rPr>
        <w:t xml:space="preserve"> category, CH</w:t>
      </w:r>
      <w:r w:rsidRPr="00D9348B">
        <w:rPr>
          <w:rFonts w:cs="Calibri"/>
          <w:vertAlign w:val="subscript"/>
        </w:rPr>
        <w:t>4</w:t>
      </w:r>
      <w:r w:rsidRPr="00D9348B">
        <w:rPr>
          <w:rFonts w:cs="Calibri"/>
        </w:rPr>
        <w:t xml:space="preserve"> and N</w:t>
      </w:r>
      <w:r w:rsidRPr="00D9348B">
        <w:rPr>
          <w:rFonts w:cs="Calibri"/>
          <w:vertAlign w:val="subscript"/>
        </w:rPr>
        <w:t>2</w:t>
      </w:r>
      <w:r w:rsidRPr="00D9348B">
        <w:rPr>
          <w:rFonts w:cs="Calibri"/>
        </w:rPr>
        <w:t xml:space="preserve">O emissions for the </w:t>
      </w:r>
      <w:r w:rsidRPr="00D9348B">
        <w:rPr>
          <w:rFonts w:cs="Calibri"/>
          <w:i/>
          <w:iCs/>
        </w:rPr>
        <w:t>Manure management</w:t>
      </w:r>
      <w:r w:rsidRPr="00D9348B">
        <w:rPr>
          <w:rFonts w:cs="Calibri"/>
        </w:rPr>
        <w:t xml:space="preserve"> category and N</w:t>
      </w:r>
      <w:r w:rsidRPr="00D9348B">
        <w:rPr>
          <w:rFonts w:cs="Calibri"/>
          <w:vertAlign w:val="subscript"/>
        </w:rPr>
        <w:t>2</w:t>
      </w:r>
      <w:r w:rsidRPr="00D9348B">
        <w:rPr>
          <w:rFonts w:cs="Calibri"/>
        </w:rPr>
        <w:t xml:space="preserve">O emissions for the </w:t>
      </w:r>
      <w:r w:rsidRPr="00D9348B">
        <w:rPr>
          <w:rFonts w:cs="Calibri"/>
          <w:i/>
          <w:iCs/>
        </w:rPr>
        <w:t>Urine and dung deposited by grazing animals</w:t>
      </w:r>
      <w:r w:rsidRPr="00D9348B">
        <w:rPr>
          <w:rFonts w:cs="Calibri"/>
        </w:rPr>
        <w:t xml:space="preserve"> </w:t>
      </w:r>
      <w:r w:rsidRPr="00D9348B">
        <w:rPr>
          <w:rFonts w:cs="Calibri"/>
          <w:i/>
          <w:iCs/>
        </w:rPr>
        <w:t>(pasture, range and paddock manure)</w:t>
      </w:r>
      <w:r w:rsidRPr="00D9348B">
        <w:rPr>
          <w:rFonts w:cs="Calibri"/>
        </w:rPr>
        <w:t xml:space="preserve"> category.</w:t>
      </w:r>
    </w:p>
    <w:p w14:paraId="03FD336E" w14:textId="77777777" w:rsidR="00F849A7" w:rsidRPr="00D9348B" w:rsidRDefault="00F849A7" w:rsidP="00F849A7">
      <w:pPr>
        <w:pStyle w:val="BodyText"/>
        <w:rPr>
          <w:rFonts w:cs="Calibri"/>
        </w:rPr>
      </w:pPr>
      <w:r w:rsidRPr="00D9348B">
        <w:rPr>
          <w:rFonts w:cs="Calibri"/>
        </w:rPr>
        <w:t xml:space="preserve">Uncertainties in </w:t>
      </w:r>
      <w:r w:rsidRPr="00D9348B">
        <w:rPr>
          <w:rFonts w:cs="Calibri"/>
          <w:spacing w:val="-2"/>
        </w:rPr>
        <w:t>N</w:t>
      </w:r>
      <w:r w:rsidRPr="00D9348B">
        <w:rPr>
          <w:rFonts w:cs="Calibri"/>
          <w:spacing w:val="-2"/>
          <w:vertAlign w:val="subscript"/>
        </w:rPr>
        <w:t>2</w:t>
      </w:r>
      <w:r w:rsidRPr="00D9348B">
        <w:rPr>
          <w:rFonts w:cs="Calibri"/>
          <w:spacing w:val="-2"/>
        </w:rPr>
        <w:t>O</w:t>
      </w:r>
      <w:r w:rsidRPr="00D9348B">
        <w:rPr>
          <w:rFonts w:cs="Calibri"/>
        </w:rPr>
        <w:t xml:space="preserve"> emissions from </w:t>
      </w:r>
      <w:r w:rsidRPr="00D9348B">
        <w:rPr>
          <w:rFonts w:cs="Calibri"/>
          <w:i/>
          <w:iCs/>
        </w:rPr>
        <w:t>Agricultural soils</w:t>
      </w:r>
      <w:r w:rsidRPr="00D9348B">
        <w:rPr>
          <w:rFonts w:cs="Calibri"/>
        </w:rPr>
        <w:t xml:space="preserve"> are calculated using an analytical method developed by Kelliher et al. (2017). This method estimated the uncertainty of the </w:t>
      </w:r>
      <w:r w:rsidRPr="00D9348B">
        <w:rPr>
          <w:rFonts w:cs="Calibri"/>
          <w:i/>
          <w:iCs/>
        </w:rPr>
        <w:t>Agricultural soils</w:t>
      </w:r>
      <w:r w:rsidRPr="00D9348B">
        <w:rPr>
          <w:rFonts w:cs="Calibri"/>
        </w:rPr>
        <w:t xml:space="preserve"> category to be ±55.3 per cent for 2018.</w:t>
      </w:r>
    </w:p>
    <w:p w14:paraId="23AAB1B8" w14:textId="77777777" w:rsidR="00F849A7" w:rsidRPr="00D9348B" w:rsidRDefault="00F849A7" w:rsidP="00F849A7">
      <w:pPr>
        <w:pStyle w:val="BodyText"/>
        <w:rPr>
          <w:rFonts w:cs="Calibri"/>
        </w:rPr>
      </w:pPr>
      <w:r w:rsidRPr="00D9348B">
        <w:rPr>
          <w:rFonts w:cs="Calibri"/>
        </w:rPr>
        <w:t>The benefit of using the analytical method is that it can be updated annually by the Agriculture sector inventory compilers. Kelliher et al. (2017) also compared the analytical method with the Monte Carlo method used for previous years and found that both produced similar results.</w:t>
      </w:r>
    </w:p>
    <w:p w14:paraId="6670A081" w14:textId="77777777" w:rsidR="00F849A7" w:rsidRPr="00D9348B" w:rsidRDefault="00F849A7" w:rsidP="00F849A7">
      <w:pPr>
        <w:pStyle w:val="BodyText"/>
        <w:rPr>
          <w:rFonts w:cs="Calibri"/>
        </w:rPr>
      </w:pPr>
      <w:r w:rsidRPr="00D9348B">
        <w:rPr>
          <w:rFonts w:cs="Calibri"/>
        </w:rPr>
        <w:t xml:space="preserve">Uncertainties were assessed for the 1990, 2002 and 2012 inventories using the Monte Carlo method. For the 1990 and 2002 inventories, the uncertainties were assessed using a Monte Carlo simulation of 5,000 scenarios with the @RISK software (Kelliher et al., </w:t>
      </w:r>
      <w:proofErr w:type="gramStart"/>
      <w:r w:rsidRPr="00D9348B">
        <w:rPr>
          <w:rFonts w:cs="Calibri"/>
        </w:rPr>
        <w:t>unpublished(</w:t>
      </w:r>
      <w:proofErr w:type="gramEnd"/>
      <w:r w:rsidRPr="00D9348B">
        <w:rPr>
          <w:rFonts w:cs="Calibri"/>
        </w:rPr>
        <w:t xml:space="preserve">b)) (see table 5.5.11). For the 2012 inventory, the uncertainty in the annual estimate was calculated using the 95 per cent confidence interval determined from the 2002 Monte Carlo simulation as a percentage of the mean value (i.e., in 2002, the uncertainty in annual emissions was +74 per cent and –42 per cent). </w:t>
      </w:r>
    </w:p>
    <w:p w14:paraId="09CA6BB4" w14:textId="77777777" w:rsidR="00F849A7" w:rsidRPr="00D9348B" w:rsidRDefault="00F849A7" w:rsidP="00F849A7">
      <w:pPr>
        <w:pStyle w:val="Table"/>
        <w:rPr>
          <w:rFonts w:cs="Calibri"/>
        </w:rPr>
      </w:pPr>
      <w:bookmarkStart w:id="943" w:name="_Toc144607408"/>
      <w:bookmarkStart w:id="944" w:name="_Toc144607685"/>
      <w:bookmarkStart w:id="945" w:name="_Toc235955630"/>
      <w:bookmarkStart w:id="946" w:name="_Toc288316757"/>
      <w:bookmarkStart w:id="947" w:name="_Toc352504975"/>
      <w:bookmarkStart w:id="948" w:name="_Toc441830886"/>
      <w:bookmarkStart w:id="949" w:name="_Toc451176100"/>
      <w:bookmarkStart w:id="950" w:name="_Toc481751528"/>
      <w:bookmarkStart w:id="951" w:name="_Toc507158616"/>
      <w:bookmarkStart w:id="952" w:name="_Toc511116750"/>
      <w:bookmarkStart w:id="953" w:name="_Toc5269492"/>
      <w:bookmarkStart w:id="954" w:name="_Toc32570937"/>
      <w:bookmarkStart w:id="955" w:name="_Toc36224572"/>
      <w:r w:rsidRPr="00D9348B">
        <w:rPr>
          <w:rFonts w:cs="Calibri"/>
        </w:rPr>
        <w:lastRenderedPageBreak/>
        <w:t>Table 5.5.11</w:t>
      </w:r>
      <w:r w:rsidRPr="00D9348B">
        <w:rPr>
          <w:rFonts w:cs="Calibri"/>
        </w:rPr>
        <w:tab/>
        <w:t xml:space="preserve">New Zealand’s uncertainties in </w:t>
      </w:r>
      <w:r w:rsidRPr="00D9348B">
        <w:rPr>
          <w:rFonts w:cs="Calibri"/>
          <w:spacing w:val="-2"/>
        </w:rPr>
        <w:t>nitrous oxide</w:t>
      </w:r>
      <w:r w:rsidRPr="00D9348B">
        <w:rPr>
          <w:rFonts w:cs="Calibri"/>
        </w:rPr>
        <w:t xml:space="preserve"> (N</w:t>
      </w:r>
      <w:r w:rsidRPr="00D9348B">
        <w:rPr>
          <w:rFonts w:cs="Calibri"/>
          <w:vertAlign w:val="subscript"/>
        </w:rPr>
        <w:t>2</w:t>
      </w:r>
      <w:r w:rsidRPr="00D9348B">
        <w:rPr>
          <w:rFonts w:cs="Calibri"/>
        </w:rPr>
        <w:t>O) emissions from Agricultural soils</w:t>
      </w:r>
      <w:r w:rsidRPr="00D9348B">
        <w:rPr>
          <w:rFonts w:cs="Calibri"/>
        </w:rPr>
        <w:br/>
        <w:t>for 1990, 2002, 2012 and 2016 estimated using Monte Carlo simulation (1990, 2002),</w:t>
      </w:r>
      <w:r w:rsidRPr="00D9348B">
        <w:rPr>
          <w:rFonts w:cs="Calibri"/>
        </w:rPr>
        <w:br/>
        <w:t>the 95 per cent confidence interval (2012)</w:t>
      </w:r>
      <w:bookmarkEnd w:id="943"/>
      <w:bookmarkEnd w:id="944"/>
      <w:bookmarkEnd w:id="945"/>
      <w:bookmarkEnd w:id="946"/>
      <w:bookmarkEnd w:id="947"/>
      <w:bookmarkEnd w:id="948"/>
      <w:bookmarkEnd w:id="949"/>
      <w:r w:rsidRPr="00D9348B">
        <w:rPr>
          <w:rFonts w:cs="Calibri"/>
        </w:rPr>
        <w:t xml:space="preserve"> and the analytical method (2018)</w:t>
      </w:r>
      <w:bookmarkEnd w:id="950"/>
      <w:bookmarkEnd w:id="951"/>
      <w:bookmarkEnd w:id="952"/>
      <w:bookmarkEnd w:id="953"/>
      <w:bookmarkEnd w:id="954"/>
      <w:bookmarkEnd w:id="955"/>
    </w:p>
    <w:tbl>
      <w:tblPr>
        <w:tblW w:w="8562" w:type="dxa"/>
        <w:tblInd w:w="108" w:type="dxa"/>
        <w:tblBorders>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1158"/>
        <w:gridCol w:w="2660"/>
        <w:gridCol w:w="2430"/>
        <w:gridCol w:w="2314"/>
      </w:tblGrid>
      <w:tr w:rsidR="00F849A7" w:rsidRPr="00D9348B" w14:paraId="24622671" w14:textId="77777777" w:rsidTr="00E47019">
        <w:trPr>
          <w:trHeight w:val="434"/>
        </w:trPr>
        <w:tc>
          <w:tcPr>
            <w:tcW w:w="1081" w:type="dxa"/>
            <w:tcBorders>
              <w:top w:val="single" w:sz="4" w:space="0" w:color="365F91"/>
              <w:left w:val="nil"/>
              <w:bottom w:val="single" w:sz="4" w:space="0" w:color="365F91"/>
            </w:tcBorders>
            <w:shd w:val="clear" w:color="auto" w:fill="365F91"/>
            <w:vAlign w:val="bottom"/>
          </w:tcPr>
          <w:p w14:paraId="35928F04" w14:textId="77777777" w:rsidR="00F849A7" w:rsidRPr="00D9348B" w:rsidRDefault="00F849A7" w:rsidP="00DB330E">
            <w:pPr>
              <w:pStyle w:val="TableTextBold"/>
              <w:keepNext/>
              <w:rPr>
                <w:rFonts w:cs="Calibri"/>
                <w:noProof w:val="0"/>
                <w:color w:val="FFFFFF"/>
              </w:rPr>
            </w:pPr>
            <w:r w:rsidRPr="00D9348B">
              <w:rPr>
                <w:rFonts w:cs="Calibri"/>
                <w:noProof w:val="0"/>
                <w:color w:val="FFFFFF"/>
              </w:rPr>
              <w:t>Year</w:t>
            </w:r>
          </w:p>
        </w:tc>
        <w:tc>
          <w:tcPr>
            <w:tcW w:w="2484" w:type="dxa"/>
            <w:tcBorders>
              <w:top w:val="single" w:sz="4" w:space="0" w:color="365F91"/>
              <w:bottom w:val="single" w:sz="4" w:space="0" w:color="365F91"/>
            </w:tcBorders>
            <w:shd w:val="clear" w:color="auto" w:fill="365F91"/>
            <w:vAlign w:val="bottom"/>
          </w:tcPr>
          <w:p w14:paraId="52854FE3" w14:textId="77777777" w:rsidR="00F849A7" w:rsidRPr="00D9348B" w:rsidRDefault="00F849A7" w:rsidP="00DB330E">
            <w:pPr>
              <w:pStyle w:val="TableTextBold"/>
              <w:keepNext/>
              <w:jc w:val="center"/>
              <w:rPr>
                <w:rFonts w:cs="Calibri"/>
                <w:noProof w:val="0"/>
                <w:color w:val="FFFFFF"/>
              </w:rPr>
            </w:pPr>
            <w:r w:rsidRPr="00D9348B">
              <w:rPr>
                <w:rFonts w:cs="Calibri"/>
                <w:noProof w:val="0"/>
                <w:color w:val="FFFFFF"/>
              </w:rPr>
              <w:t>N</w:t>
            </w:r>
            <w:r w:rsidRPr="00D9348B">
              <w:rPr>
                <w:rFonts w:cs="Calibri"/>
                <w:noProof w:val="0"/>
                <w:color w:val="FFFFFF"/>
                <w:vertAlign w:val="subscript"/>
              </w:rPr>
              <w:t>2</w:t>
            </w:r>
            <w:r w:rsidRPr="00D9348B">
              <w:rPr>
                <w:rFonts w:cs="Calibri"/>
                <w:noProof w:val="0"/>
                <w:color w:val="FFFFFF"/>
              </w:rPr>
              <w:t>O emissions from Agricultural soils (kt/annum)</w:t>
            </w:r>
          </w:p>
        </w:tc>
        <w:tc>
          <w:tcPr>
            <w:tcW w:w="2269" w:type="dxa"/>
            <w:tcBorders>
              <w:top w:val="single" w:sz="4" w:space="0" w:color="365F91"/>
              <w:bottom w:val="single" w:sz="4" w:space="0" w:color="365F91"/>
            </w:tcBorders>
            <w:shd w:val="clear" w:color="auto" w:fill="365F91"/>
            <w:vAlign w:val="bottom"/>
          </w:tcPr>
          <w:p w14:paraId="5F56A396" w14:textId="77777777" w:rsidR="00F849A7" w:rsidRPr="00D9348B" w:rsidRDefault="00F849A7" w:rsidP="00DB330E">
            <w:pPr>
              <w:pStyle w:val="TableTextBold"/>
              <w:keepNext/>
              <w:jc w:val="center"/>
              <w:rPr>
                <w:rFonts w:cs="Calibri"/>
                <w:noProof w:val="0"/>
                <w:color w:val="FFFFFF"/>
              </w:rPr>
            </w:pPr>
            <w:r w:rsidRPr="00D9348B">
              <w:rPr>
                <w:rFonts w:cs="Calibri"/>
                <w:noProof w:val="0"/>
                <w:color w:val="FFFFFF"/>
              </w:rPr>
              <w:t>95% confidence interval minimum (kt/annum)</w:t>
            </w:r>
          </w:p>
        </w:tc>
        <w:tc>
          <w:tcPr>
            <w:tcW w:w="2161" w:type="dxa"/>
            <w:tcBorders>
              <w:top w:val="single" w:sz="4" w:space="0" w:color="365F91"/>
              <w:bottom w:val="single" w:sz="4" w:space="0" w:color="365F91"/>
              <w:right w:val="nil"/>
            </w:tcBorders>
            <w:shd w:val="clear" w:color="auto" w:fill="365F91"/>
            <w:vAlign w:val="bottom"/>
          </w:tcPr>
          <w:p w14:paraId="19CE8F74" w14:textId="77777777" w:rsidR="00F849A7" w:rsidRPr="00D9348B" w:rsidRDefault="00F849A7" w:rsidP="00DB330E">
            <w:pPr>
              <w:pStyle w:val="TableTextBold"/>
              <w:keepNext/>
              <w:jc w:val="center"/>
              <w:rPr>
                <w:rFonts w:cs="Calibri"/>
                <w:noProof w:val="0"/>
                <w:color w:val="FFFFFF"/>
              </w:rPr>
            </w:pPr>
            <w:r w:rsidRPr="00D9348B">
              <w:rPr>
                <w:rFonts w:cs="Calibri"/>
                <w:noProof w:val="0"/>
                <w:color w:val="FFFFFF"/>
              </w:rPr>
              <w:t>95% confidence interval maximum (kt/annum)</w:t>
            </w:r>
          </w:p>
        </w:tc>
      </w:tr>
      <w:tr w:rsidR="00F849A7" w:rsidRPr="00D9348B" w14:paraId="12D1FC0B" w14:textId="77777777" w:rsidTr="00E47019">
        <w:trPr>
          <w:trHeight w:val="247"/>
        </w:trPr>
        <w:tc>
          <w:tcPr>
            <w:tcW w:w="1081" w:type="dxa"/>
            <w:tcBorders>
              <w:top w:val="single" w:sz="4" w:space="0" w:color="365F91"/>
              <w:left w:val="nil"/>
              <w:bottom w:val="single" w:sz="6" w:space="0" w:color="365F91"/>
            </w:tcBorders>
          </w:tcPr>
          <w:p w14:paraId="64697399" w14:textId="77777777" w:rsidR="00F849A7" w:rsidRPr="00D9348B" w:rsidRDefault="00F849A7" w:rsidP="00DB330E">
            <w:pPr>
              <w:pStyle w:val="TableText"/>
              <w:keepNext/>
              <w:rPr>
                <w:rFonts w:cs="Calibri"/>
              </w:rPr>
            </w:pPr>
            <w:r w:rsidRPr="00D9348B">
              <w:rPr>
                <w:rFonts w:cs="Calibri"/>
              </w:rPr>
              <w:t>1990</w:t>
            </w:r>
          </w:p>
        </w:tc>
        <w:tc>
          <w:tcPr>
            <w:tcW w:w="2484" w:type="dxa"/>
            <w:tcBorders>
              <w:top w:val="single" w:sz="4" w:space="0" w:color="365F91"/>
              <w:bottom w:val="single" w:sz="6" w:space="0" w:color="365F91"/>
            </w:tcBorders>
          </w:tcPr>
          <w:p w14:paraId="3C84976A" w14:textId="77777777" w:rsidR="00F849A7" w:rsidRPr="00D9348B" w:rsidRDefault="00F849A7" w:rsidP="00DB330E">
            <w:pPr>
              <w:pStyle w:val="TableText"/>
              <w:jc w:val="center"/>
              <w:rPr>
                <w:rFonts w:cs="Calibri"/>
              </w:rPr>
            </w:pPr>
            <w:r w:rsidRPr="00D9348B">
              <w:rPr>
                <w:rFonts w:cs="Calibri"/>
              </w:rPr>
              <w:t>25.3</w:t>
            </w:r>
          </w:p>
        </w:tc>
        <w:tc>
          <w:tcPr>
            <w:tcW w:w="2269" w:type="dxa"/>
            <w:tcBorders>
              <w:top w:val="single" w:sz="4" w:space="0" w:color="365F91"/>
              <w:bottom w:val="single" w:sz="6" w:space="0" w:color="365F91"/>
            </w:tcBorders>
          </w:tcPr>
          <w:p w14:paraId="45B18763" w14:textId="77777777" w:rsidR="00F849A7" w:rsidRPr="00D9348B" w:rsidRDefault="00F849A7" w:rsidP="00DB330E">
            <w:pPr>
              <w:pStyle w:val="TableText"/>
              <w:jc w:val="center"/>
              <w:rPr>
                <w:rFonts w:cs="Calibri"/>
              </w:rPr>
            </w:pPr>
            <w:r w:rsidRPr="00D9348B">
              <w:rPr>
                <w:rFonts w:cs="Calibri"/>
              </w:rPr>
              <w:t>14.7</w:t>
            </w:r>
          </w:p>
        </w:tc>
        <w:tc>
          <w:tcPr>
            <w:tcW w:w="2161" w:type="dxa"/>
            <w:tcBorders>
              <w:top w:val="single" w:sz="4" w:space="0" w:color="365F91"/>
              <w:bottom w:val="single" w:sz="6" w:space="0" w:color="365F91"/>
              <w:right w:val="nil"/>
            </w:tcBorders>
          </w:tcPr>
          <w:p w14:paraId="46A3BE8D" w14:textId="77777777" w:rsidR="00F849A7" w:rsidRPr="00D9348B" w:rsidRDefault="00F849A7" w:rsidP="00DB330E">
            <w:pPr>
              <w:pStyle w:val="TableText"/>
              <w:jc w:val="center"/>
              <w:rPr>
                <w:rFonts w:cs="Calibri"/>
              </w:rPr>
            </w:pPr>
            <w:r w:rsidRPr="00D9348B">
              <w:rPr>
                <w:rFonts w:cs="Calibri"/>
              </w:rPr>
              <w:t>44.0</w:t>
            </w:r>
          </w:p>
        </w:tc>
      </w:tr>
      <w:tr w:rsidR="00F849A7" w:rsidRPr="00D9348B" w14:paraId="58AB2E16" w14:textId="77777777" w:rsidTr="00E47019">
        <w:trPr>
          <w:trHeight w:val="247"/>
        </w:trPr>
        <w:tc>
          <w:tcPr>
            <w:tcW w:w="1081" w:type="dxa"/>
            <w:tcBorders>
              <w:top w:val="single" w:sz="6" w:space="0" w:color="365F91"/>
              <w:left w:val="nil"/>
              <w:bottom w:val="single" w:sz="6" w:space="0" w:color="365F91"/>
            </w:tcBorders>
          </w:tcPr>
          <w:p w14:paraId="1CBEFD27" w14:textId="77777777" w:rsidR="00F849A7" w:rsidRPr="00D9348B" w:rsidRDefault="00F849A7" w:rsidP="00DB330E">
            <w:pPr>
              <w:pStyle w:val="TableText"/>
              <w:keepNext/>
              <w:rPr>
                <w:rFonts w:cs="Calibri"/>
              </w:rPr>
            </w:pPr>
            <w:r w:rsidRPr="00D9348B">
              <w:rPr>
                <w:rFonts w:cs="Calibri"/>
              </w:rPr>
              <w:t>2002</w:t>
            </w:r>
          </w:p>
        </w:tc>
        <w:tc>
          <w:tcPr>
            <w:tcW w:w="2484" w:type="dxa"/>
            <w:tcBorders>
              <w:top w:val="single" w:sz="6" w:space="0" w:color="365F91"/>
              <w:bottom w:val="single" w:sz="6" w:space="0" w:color="365F91"/>
            </w:tcBorders>
          </w:tcPr>
          <w:p w14:paraId="66027BC3" w14:textId="77777777" w:rsidR="00F849A7" w:rsidRPr="00D9348B" w:rsidRDefault="00F849A7" w:rsidP="00DB330E">
            <w:pPr>
              <w:pStyle w:val="TableText"/>
              <w:jc w:val="center"/>
              <w:rPr>
                <w:rFonts w:cs="Calibri"/>
              </w:rPr>
            </w:pPr>
            <w:r w:rsidRPr="00D9348B">
              <w:rPr>
                <w:rFonts w:cs="Calibri"/>
              </w:rPr>
              <w:t>32.2</w:t>
            </w:r>
          </w:p>
        </w:tc>
        <w:tc>
          <w:tcPr>
            <w:tcW w:w="2269" w:type="dxa"/>
            <w:tcBorders>
              <w:top w:val="single" w:sz="6" w:space="0" w:color="365F91"/>
              <w:bottom w:val="single" w:sz="6" w:space="0" w:color="365F91"/>
            </w:tcBorders>
          </w:tcPr>
          <w:p w14:paraId="0852C355" w14:textId="77777777" w:rsidR="00F849A7" w:rsidRPr="00D9348B" w:rsidRDefault="00F849A7" w:rsidP="00DB330E">
            <w:pPr>
              <w:pStyle w:val="TableText"/>
              <w:jc w:val="center"/>
              <w:rPr>
                <w:rFonts w:cs="Calibri"/>
              </w:rPr>
            </w:pPr>
            <w:r w:rsidRPr="00D9348B">
              <w:rPr>
                <w:rFonts w:cs="Calibri"/>
              </w:rPr>
              <w:t>18.7</w:t>
            </w:r>
          </w:p>
        </w:tc>
        <w:tc>
          <w:tcPr>
            <w:tcW w:w="2161" w:type="dxa"/>
            <w:tcBorders>
              <w:top w:val="single" w:sz="6" w:space="0" w:color="365F91"/>
              <w:bottom w:val="single" w:sz="6" w:space="0" w:color="365F91"/>
              <w:right w:val="nil"/>
            </w:tcBorders>
          </w:tcPr>
          <w:p w14:paraId="6A1C3F09" w14:textId="77777777" w:rsidR="00F849A7" w:rsidRPr="00D9348B" w:rsidRDefault="00F849A7" w:rsidP="00DB330E">
            <w:pPr>
              <w:pStyle w:val="TableText"/>
              <w:jc w:val="center"/>
              <w:rPr>
                <w:rFonts w:cs="Calibri"/>
              </w:rPr>
            </w:pPr>
            <w:r w:rsidRPr="00D9348B">
              <w:rPr>
                <w:rFonts w:cs="Calibri"/>
              </w:rPr>
              <w:t>56.0</w:t>
            </w:r>
          </w:p>
        </w:tc>
      </w:tr>
      <w:tr w:rsidR="00F849A7" w:rsidRPr="00D9348B" w14:paraId="3AD79EFD" w14:textId="77777777" w:rsidTr="00E47019">
        <w:trPr>
          <w:trHeight w:val="247"/>
        </w:trPr>
        <w:tc>
          <w:tcPr>
            <w:tcW w:w="1081" w:type="dxa"/>
            <w:tcBorders>
              <w:top w:val="single" w:sz="6" w:space="0" w:color="365F91"/>
              <w:left w:val="nil"/>
              <w:bottom w:val="single" w:sz="6" w:space="0" w:color="365F91"/>
            </w:tcBorders>
          </w:tcPr>
          <w:p w14:paraId="3A13D876" w14:textId="77777777" w:rsidR="00F849A7" w:rsidRPr="00D9348B" w:rsidRDefault="00F849A7" w:rsidP="00DB330E">
            <w:pPr>
              <w:pStyle w:val="TableText"/>
              <w:rPr>
                <w:rFonts w:cs="Calibri"/>
              </w:rPr>
            </w:pPr>
            <w:r w:rsidRPr="00D9348B">
              <w:rPr>
                <w:rFonts w:cs="Calibri"/>
              </w:rPr>
              <w:t>2012</w:t>
            </w:r>
          </w:p>
        </w:tc>
        <w:tc>
          <w:tcPr>
            <w:tcW w:w="2484" w:type="dxa"/>
            <w:tcBorders>
              <w:top w:val="single" w:sz="6" w:space="0" w:color="365F91"/>
              <w:bottom w:val="single" w:sz="6" w:space="0" w:color="365F91"/>
            </w:tcBorders>
          </w:tcPr>
          <w:p w14:paraId="2663F1DF" w14:textId="77777777" w:rsidR="00F849A7" w:rsidRPr="00D9348B" w:rsidRDefault="00F849A7" w:rsidP="00DB330E">
            <w:pPr>
              <w:pStyle w:val="TableText"/>
              <w:jc w:val="center"/>
              <w:rPr>
                <w:rFonts w:cs="Calibri"/>
              </w:rPr>
            </w:pPr>
            <w:r w:rsidRPr="00D9348B">
              <w:rPr>
                <w:rFonts w:cs="Calibri"/>
              </w:rPr>
              <w:t>33.4</w:t>
            </w:r>
          </w:p>
        </w:tc>
        <w:tc>
          <w:tcPr>
            <w:tcW w:w="2269" w:type="dxa"/>
            <w:tcBorders>
              <w:top w:val="single" w:sz="6" w:space="0" w:color="365F91"/>
              <w:bottom w:val="single" w:sz="6" w:space="0" w:color="365F91"/>
            </w:tcBorders>
          </w:tcPr>
          <w:p w14:paraId="6342CB08" w14:textId="77777777" w:rsidR="00F849A7" w:rsidRPr="00D9348B" w:rsidRDefault="00F849A7" w:rsidP="00DB330E">
            <w:pPr>
              <w:pStyle w:val="TableText"/>
              <w:jc w:val="center"/>
              <w:rPr>
                <w:rFonts w:cs="Calibri"/>
              </w:rPr>
            </w:pPr>
            <w:r w:rsidRPr="00D9348B">
              <w:rPr>
                <w:rFonts w:cs="Calibri"/>
              </w:rPr>
              <w:t>19.3</w:t>
            </w:r>
          </w:p>
        </w:tc>
        <w:tc>
          <w:tcPr>
            <w:tcW w:w="2161" w:type="dxa"/>
            <w:tcBorders>
              <w:top w:val="single" w:sz="6" w:space="0" w:color="365F91"/>
              <w:bottom w:val="single" w:sz="6" w:space="0" w:color="365F91"/>
              <w:right w:val="nil"/>
            </w:tcBorders>
          </w:tcPr>
          <w:p w14:paraId="1473D5A4" w14:textId="77777777" w:rsidR="00F849A7" w:rsidRPr="00D9348B" w:rsidRDefault="00F849A7" w:rsidP="00DB330E">
            <w:pPr>
              <w:pStyle w:val="TableText"/>
              <w:jc w:val="center"/>
              <w:rPr>
                <w:rFonts w:cs="Calibri"/>
              </w:rPr>
            </w:pPr>
            <w:r w:rsidRPr="00D9348B">
              <w:rPr>
                <w:rFonts w:cs="Calibri"/>
              </w:rPr>
              <w:t>58.0</w:t>
            </w:r>
          </w:p>
        </w:tc>
      </w:tr>
      <w:tr w:rsidR="00F849A7" w:rsidRPr="00D9348B" w14:paraId="459B3249" w14:textId="77777777" w:rsidTr="00E47019">
        <w:trPr>
          <w:trHeight w:val="247"/>
        </w:trPr>
        <w:tc>
          <w:tcPr>
            <w:tcW w:w="1081" w:type="dxa"/>
            <w:tcBorders>
              <w:top w:val="single" w:sz="6" w:space="0" w:color="365F91"/>
              <w:left w:val="nil"/>
              <w:bottom w:val="single" w:sz="4" w:space="0" w:color="365F91"/>
            </w:tcBorders>
          </w:tcPr>
          <w:p w14:paraId="7CFB2267" w14:textId="77777777" w:rsidR="00F849A7" w:rsidRPr="00D9348B" w:rsidRDefault="00F849A7" w:rsidP="00DB330E">
            <w:pPr>
              <w:pStyle w:val="TableText"/>
              <w:rPr>
                <w:rFonts w:cs="Calibri"/>
              </w:rPr>
            </w:pPr>
            <w:r w:rsidRPr="00D9348B">
              <w:rPr>
                <w:rFonts w:cs="Calibri"/>
              </w:rPr>
              <w:t>2018</w:t>
            </w:r>
          </w:p>
        </w:tc>
        <w:tc>
          <w:tcPr>
            <w:tcW w:w="2484" w:type="dxa"/>
            <w:tcBorders>
              <w:top w:val="single" w:sz="6" w:space="0" w:color="365F91"/>
              <w:bottom w:val="single" w:sz="4" w:space="0" w:color="365F91"/>
            </w:tcBorders>
          </w:tcPr>
          <w:p w14:paraId="4963C918" w14:textId="77777777" w:rsidR="00F849A7" w:rsidRPr="00D9348B" w:rsidRDefault="00F849A7" w:rsidP="00DB330E">
            <w:pPr>
              <w:pStyle w:val="TableText"/>
              <w:jc w:val="center"/>
              <w:rPr>
                <w:rFonts w:cs="Calibri"/>
              </w:rPr>
            </w:pPr>
            <w:r w:rsidRPr="00D9348B">
              <w:rPr>
                <w:rFonts w:cs="Calibri"/>
              </w:rPr>
              <w:t>23.6</w:t>
            </w:r>
          </w:p>
        </w:tc>
        <w:tc>
          <w:tcPr>
            <w:tcW w:w="2269" w:type="dxa"/>
            <w:tcBorders>
              <w:top w:val="single" w:sz="6" w:space="0" w:color="365F91"/>
              <w:bottom w:val="single" w:sz="4" w:space="0" w:color="365F91"/>
            </w:tcBorders>
          </w:tcPr>
          <w:p w14:paraId="14268B58" w14:textId="77777777" w:rsidR="00F849A7" w:rsidRPr="00D9348B" w:rsidRDefault="00F849A7" w:rsidP="00DB330E">
            <w:pPr>
              <w:pStyle w:val="TableText"/>
              <w:jc w:val="center"/>
              <w:rPr>
                <w:rFonts w:cs="Calibri"/>
              </w:rPr>
            </w:pPr>
            <w:r w:rsidRPr="00D9348B">
              <w:rPr>
                <w:rFonts w:cs="Calibri"/>
              </w:rPr>
              <w:t>16.9</w:t>
            </w:r>
          </w:p>
        </w:tc>
        <w:tc>
          <w:tcPr>
            <w:tcW w:w="2161" w:type="dxa"/>
            <w:tcBorders>
              <w:top w:val="single" w:sz="6" w:space="0" w:color="365F91"/>
              <w:bottom w:val="single" w:sz="4" w:space="0" w:color="365F91"/>
              <w:right w:val="nil"/>
            </w:tcBorders>
          </w:tcPr>
          <w:p w14:paraId="25BC587B" w14:textId="77777777" w:rsidR="00F849A7" w:rsidRPr="00D9348B" w:rsidRDefault="00F849A7" w:rsidP="00DB330E">
            <w:pPr>
              <w:pStyle w:val="TableText"/>
              <w:jc w:val="center"/>
              <w:rPr>
                <w:rFonts w:cs="Calibri"/>
              </w:rPr>
            </w:pPr>
            <w:r w:rsidRPr="00D9348B">
              <w:rPr>
                <w:rFonts w:cs="Calibri"/>
              </w:rPr>
              <w:t>30.2</w:t>
            </w:r>
          </w:p>
        </w:tc>
      </w:tr>
    </w:tbl>
    <w:p w14:paraId="6DE4FEEC" w14:textId="77777777" w:rsidR="00F849A7" w:rsidRPr="00D9348B" w:rsidRDefault="00F849A7" w:rsidP="00F849A7">
      <w:pPr>
        <w:pStyle w:val="Noteundertable"/>
        <w:rPr>
          <w:rFonts w:cs="Calibri"/>
        </w:rPr>
      </w:pPr>
      <w:r w:rsidRPr="00D9348B">
        <w:rPr>
          <w:rFonts w:cs="Calibri"/>
          <w:b/>
          <w:bCs/>
        </w:rPr>
        <w:t>Note:</w:t>
      </w:r>
      <w:r w:rsidRPr="00D9348B">
        <w:rPr>
          <w:rFonts w:cs="Calibri"/>
        </w:rPr>
        <w:t xml:space="preserve"> </w:t>
      </w:r>
      <w:r w:rsidRPr="00D9348B">
        <w:rPr>
          <w:rFonts w:cs="Calibri"/>
        </w:rPr>
        <w:tab/>
        <w:t>The N</w:t>
      </w:r>
      <w:r w:rsidRPr="00D9348B">
        <w:rPr>
          <w:rFonts w:cs="Calibri"/>
          <w:vertAlign w:val="subscript"/>
        </w:rPr>
        <w:t>2</w:t>
      </w:r>
      <w:r w:rsidRPr="00D9348B">
        <w:rPr>
          <w:rFonts w:cs="Calibri"/>
        </w:rPr>
        <w:t>O emissions listed in this table for each year were calculated based on the reporting rules and methodologies used at that time.</w:t>
      </w:r>
    </w:p>
    <w:p w14:paraId="05148CDD" w14:textId="3FD562E1" w:rsidR="00F849A7" w:rsidRPr="00D9348B" w:rsidRDefault="00F849A7" w:rsidP="00F849A7">
      <w:pPr>
        <w:pStyle w:val="BodyText"/>
        <w:rPr>
          <w:rFonts w:cs="Calibri"/>
        </w:rPr>
      </w:pPr>
      <w:r w:rsidRPr="00D9348B">
        <w:rPr>
          <w:rFonts w:cs="Calibri"/>
        </w:rPr>
        <w:t>The overall inventory uncertainty analysis shown in annex 2 demonstrates that the uncertainty</w:t>
      </w:r>
      <w:r w:rsidR="004E517A" w:rsidRPr="00D9348B">
        <w:rPr>
          <w:rFonts w:cs="Calibri"/>
        </w:rPr>
        <w:t> </w:t>
      </w:r>
      <w:r w:rsidRPr="00D9348B">
        <w:rPr>
          <w:rFonts w:cs="Calibri"/>
        </w:rPr>
        <w:t xml:space="preserve">in annual emissions from </w:t>
      </w:r>
      <w:r w:rsidRPr="00D9348B">
        <w:rPr>
          <w:rFonts w:cs="Calibri"/>
          <w:i/>
          <w:iCs/>
        </w:rPr>
        <w:t>Agricultural soils</w:t>
      </w:r>
      <w:r w:rsidRPr="00D9348B">
        <w:rPr>
          <w:rFonts w:cs="Calibri"/>
        </w:rPr>
        <w:t xml:space="preserve"> is a major contributor to uncertainty in</w:t>
      </w:r>
      <w:r w:rsidR="004E517A" w:rsidRPr="00D9348B">
        <w:rPr>
          <w:rFonts w:cs="Calibri"/>
        </w:rPr>
        <w:t> </w:t>
      </w:r>
      <w:r w:rsidRPr="00D9348B">
        <w:rPr>
          <w:rFonts w:cs="Calibri"/>
        </w:rPr>
        <w:t>New</w:t>
      </w:r>
      <w:r w:rsidR="004E517A" w:rsidRPr="00D9348B">
        <w:rPr>
          <w:rFonts w:cs="Calibri"/>
        </w:rPr>
        <w:t xml:space="preserve"> </w:t>
      </w:r>
      <w:r w:rsidRPr="00D9348B">
        <w:rPr>
          <w:rFonts w:cs="Calibri"/>
        </w:rPr>
        <w:t>Zealand’s total greenhouse gas emissions and in the trend from 1990. The uncertainty between years was assumed to be correlated, and therefore the uncertainty is mostly associated with the emission factors. The uncertainty associated with the trend is much lower</w:t>
      </w:r>
      <w:r w:rsidR="007345A0">
        <w:rPr>
          <w:rFonts w:cs="Calibri"/>
        </w:rPr>
        <w:t> </w:t>
      </w:r>
      <w:r w:rsidRPr="00D9348B">
        <w:rPr>
          <w:rFonts w:cs="Calibri"/>
        </w:rPr>
        <w:t xml:space="preserve">than the uncertainty for an annual estimate. </w:t>
      </w:r>
    </w:p>
    <w:p w14:paraId="006CA7C5" w14:textId="004B385B" w:rsidR="00F849A7" w:rsidRPr="00D9348B" w:rsidRDefault="00F849A7" w:rsidP="00F849A7">
      <w:pPr>
        <w:pStyle w:val="BodyText"/>
        <w:rPr>
          <w:rFonts w:cs="Calibri"/>
        </w:rPr>
      </w:pPr>
      <w:r w:rsidRPr="00D9348B">
        <w:rPr>
          <w:rFonts w:cs="Calibri"/>
        </w:rPr>
        <w:t xml:space="preserve">The uncertainty in emissions from </w:t>
      </w:r>
      <w:r w:rsidRPr="00D9348B">
        <w:rPr>
          <w:rFonts w:cs="Calibri"/>
          <w:i/>
          <w:iCs/>
        </w:rPr>
        <w:t>Agricultural soils</w:t>
      </w:r>
      <w:r w:rsidRPr="00D9348B">
        <w:rPr>
          <w:rFonts w:cs="Calibri"/>
        </w:rPr>
        <w:t xml:space="preserve"> is largely due to the parameter </w:t>
      </w:r>
      <w:proofErr w:type="gramStart"/>
      <w:r w:rsidRPr="00D9348B">
        <w:rPr>
          <w:rFonts w:cs="Calibri"/>
        </w:rPr>
        <w:t>EF</w:t>
      </w:r>
      <w:r w:rsidRPr="00D9348B">
        <w:rPr>
          <w:rFonts w:cs="Calibri"/>
          <w:vertAlign w:val="subscript"/>
        </w:rPr>
        <w:t>3(</w:t>
      </w:r>
      <w:proofErr w:type="gramEnd"/>
      <w:r w:rsidRPr="00D9348B">
        <w:rPr>
          <w:rFonts w:cs="Calibri"/>
          <w:vertAlign w:val="subscript"/>
        </w:rPr>
        <w:t>PRP)</w:t>
      </w:r>
      <w:r w:rsidRPr="00D9348B">
        <w:rPr>
          <w:rFonts w:cs="Calibri"/>
        </w:rPr>
        <w:t xml:space="preserve"> and</w:t>
      </w:r>
      <w:r w:rsidR="004E517A" w:rsidRPr="00D9348B">
        <w:rPr>
          <w:rFonts w:cs="Calibri"/>
        </w:rPr>
        <w:t> </w:t>
      </w:r>
      <w:r w:rsidRPr="00D9348B">
        <w:rPr>
          <w:rFonts w:cs="Calibri"/>
        </w:rPr>
        <w:t>emissions from urine and dung deposited by grazing animals. This uncertainty reflects natural variance in EF</w:t>
      </w:r>
      <w:r w:rsidRPr="00D9348B">
        <w:rPr>
          <w:rFonts w:cs="Calibri"/>
          <w:vertAlign w:val="subscript"/>
        </w:rPr>
        <w:t xml:space="preserve">3 </w:t>
      </w:r>
      <w:r w:rsidRPr="00D9348B">
        <w:rPr>
          <w:rFonts w:cs="Calibri"/>
        </w:rPr>
        <w:t xml:space="preserve">due to weather, climate and soil type (Kelliher et al., </w:t>
      </w:r>
      <w:proofErr w:type="gramStart"/>
      <w:r w:rsidRPr="00D9348B">
        <w:rPr>
          <w:rFonts w:cs="Calibri"/>
        </w:rPr>
        <w:t>unpublished(</w:t>
      </w:r>
      <w:proofErr w:type="gramEnd"/>
      <w:r w:rsidRPr="00D9348B">
        <w:rPr>
          <w:rFonts w:cs="Calibri"/>
        </w:rPr>
        <w:t>b)).</w:t>
      </w:r>
    </w:p>
    <w:p w14:paraId="636CEDDB" w14:textId="77777777" w:rsidR="00F849A7" w:rsidRPr="00D9348B" w:rsidRDefault="00F849A7" w:rsidP="00F849A7">
      <w:pPr>
        <w:pStyle w:val="Heading3"/>
        <w:spacing w:before="240"/>
        <w:rPr>
          <w:rFonts w:cs="Calibri"/>
        </w:rPr>
      </w:pPr>
      <w:bookmarkStart w:id="956" w:name="_Toc139253936"/>
      <w:bookmarkStart w:id="957" w:name="_Toc32570670"/>
      <w:r w:rsidRPr="00D9348B">
        <w:rPr>
          <w:rFonts w:cs="Calibri"/>
        </w:rPr>
        <w:t>5.5.4</w:t>
      </w:r>
      <w:r w:rsidRPr="00D9348B">
        <w:rPr>
          <w:rFonts w:cs="Calibri"/>
        </w:rPr>
        <w:tab/>
        <w:t>Source-specific QA/QC and verification</w:t>
      </w:r>
      <w:bookmarkEnd w:id="956"/>
      <w:bookmarkEnd w:id="957"/>
    </w:p>
    <w:p w14:paraId="64EDDABA" w14:textId="77777777" w:rsidR="00F849A7" w:rsidRPr="00D9348B" w:rsidRDefault="00F849A7" w:rsidP="00F849A7">
      <w:pPr>
        <w:pStyle w:val="BodyText"/>
        <w:rPr>
          <w:rFonts w:cs="Calibri"/>
        </w:rPr>
      </w:pPr>
      <w:r w:rsidRPr="00D9348B">
        <w:rPr>
          <w:rFonts w:cs="Calibri"/>
        </w:rPr>
        <w:t>In preparation for this inventory submission, the data underwent Tier 1 and Tier 2 quality checks.</w:t>
      </w:r>
    </w:p>
    <w:p w14:paraId="13ECF3A8" w14:textId="77777777" w:rsidR="00F849A7" w:rsidRPr="00D9348B" w:rsidRDefault="00F849A7" w:rsidP="00F849A7">
      <w:pPr>
        <w:pStyle w:val="Heading5"/>
        <w:spacing w:before="120"/>
        <w:rPr>
          <w:rFonts w:cs="Calibri"/>
        </w:rPr>
      </w:pPr>
      <w:r w:rsidRPr="00D9348B">
        <w:rPr>
          <w:rFonts w:cs="Calibri"/>
        </w:rPr>
        <w:t>Verification of activity data</w:t>
      </w:r>
    </w:p>
    <w:p w14:paraId="044C1E98" w14:textId="77777777" w:rsidR="00F849A7" w:rsidRPr="00D9348B" w:rsidRDefault="00F849A7" w:rsidP="00F849A7">
      <w:pPr>
        <w:pStyle w:val="BodyText"/>
        <w:spacing w:before="80"/>
        <w:rPr>
          <w:rFonts w:cs="Calibri"/>
        </w:rPr>
      </w:pPr>
      <w:r w:rsidRPr="00D9348B">
        <w:rPr>
          <w:rFonts w:cs="Calibri"/>
        </w:rPr>
        <w:t xml:space="preserve">Research has been carried out to verify the activity data for crops. In 2008 and 2011, MPI commissioned reports investigating </w:t>
      </w:r>
      <w:r w:rsidRPr="00D9348B">
        <w:rPr>
          <w:rFonts w:cs="Calibri"/>
          <w:spacing w:val="-2"/>
        </w:rPr>
        <w:t>N</w:t>
      </w:r>
      <w:r w:rsidRPr="00D9348B">
        <w:rPr>
          <w:rFonts w:cs="Calibri"/>
          <w:spacing w:val="-2"/>
          <w:vertAlign w:val="subscript"/>
        </w:rPr>
        <w:t>2</w:t>
      </w:r>
      <w:r w:rsidRPr="00D9348B">
        <w:rPr>
          <w:rFonts w:cs="Calibri"/>
          <w:spacing w:val="-2"/>
        </w:rPr>
        <w:t>O</w:t>
      </w:r>
      <w:r w:rsidRPr="00D9348B">
        <w:rPr>
          <w:rFonts w:cs="Calibri"/>
        </w:rPr>
        <w:t xml:space="preserve"> emission factors and activity data for crops (Thomas et al., 2008, 2011). The reports compared activity data from Statistics New Zealand’s Agricultural Production Survey with the Foundation for Arable Research production database. Data for wheat and maize between the two data sources were very similar, although there were differences for some of the other crops.</w:t>
      </w:r>
    </w:p>
    <w:p w14:paraId="773E6749" w14:textId="77777777" w:rsidR="00F849A7" w:rsidRPr="00D9348B" w:rsidRDefault="00F849A7" w:rsidP="00F849A7">
      <w:pPr>
        <w:pStyle w:val="BodyText"/>
        <w:rPr>
          <w:rFonts w:cs="Calibri"/>
        </w:rPr>
      </w:pPr>
      <w:r w:rsidRPr="00D9348B">
        <w:rPr>
          <w:rFonts w:cs="Calibri"/>
        </w:rPr>
        <w:t xml:space="preserve">The accuracy of synthetic nitrogen fertiliser data has also been assessed by comparing fertiliser sales data received from the Fertiliser Association of New Zealand with data collected from the Agricultural Production Survey. </w:t>
      </w:r>
    </w:p>
    <w:p w14:paraId="300D52F5" w14:textId="77777777" w:rsidR="00F849A7" w:rsidRPr="00D9348B" w:rsidRDefault="00F849A7" w:rsidP="00F849A7">
      <w:pPr>
        <w:pStyle w:val="BodyText"/>
        <w:rPr>
          <w:rFonts w:cs="Calibri"/>
        </w:rPr>
      </w:pPr>
      <w:r w:rsidRPr="00D9348B">
        <w:rPr>
          <w:rFonts w:cs="Calibri"/>
        </w:rPr>
        <w:t xml:space="preserve">The Fertiliser Association sales data are used rather than the Agricultural Production Survey data because the sales data are considered to be more accurate. Around 98 per cent of New Zealand synthetic nitrogen fertiliser is sold by two large companies that provide sales data to the Fertiliser Association. The Fertiliser Association provides an estimate of the additional synthetic nitrogen fertiliser sold by other companies (2 per cent). In contrast, the Agricultural Production Survey data is collected from around 35,000 individual farmers. There are a large number of differently named fertilisers, and the survey respondents often have difficulty filling in the fertiliser component in the annual questionnaire. Some farmers use contract fertiliser spreading companies (including aerial spreading) and may not have an accurate estimate of the tonnes of fertiliser applied. The Agricultural Production Census and Survey data verified the long-term trend of the increasing use of synthetic nitrogen fertiliser. </w:t>
      </w:r>
    </w:p>
    <w:p w14:paraId="0A34492A" w14:textId="77777777" w:rsidR="00F849A7" w:rsidRPr="00D9348B" w:rsidRDefault="00F849A7" w:rsidP="00F849A7">
      <w:pPr>
        <w:pStyle w:val="Heading5"/>
        <w:rPr>
          <w:rFonts w:cs="Calibri"/>
        </w:rPr>
      </w:pPr>
      <w:r w:rsidRPr="00D9348B">
        <w:rPr>
          <w:rFonts w:cs="Calibri"/>
        </w:rPr>
        <w:lastRenderedPageBreak/>
        <w:t>Comparison of New Zealand emission factors and parameters with IPCC default values</w:t>
      </w:r>
    </w:p>
    <w:p w14:paraId="12E780AA" w14:textId="77777777" w:rsidR="00F849A7" w:rsidRPr="00D9348B" w:rsidRDefault="00F849A7" w:rsidP="00F849A7">
      <w:pPr>
        <w:pStyle w:val="BodyText"/>
        <w:spacing w:before="100" w:after="100"/>
        <w:rPr>
          <w:rFonts w:cs="Calibri"/>
        </w:rPr>
      </w:pPr>
      <w:r w:rsidRPr="00D9348B">
        <w:rPr>
          <w:rFonts w:cs="Calibri"/>
        </w:rPr>
        <w:t>Table 5.5.12 compares New Zealand’s IEFs for EF</w:t>
      </w:r>
      <w:r w:rsidRPr="00D9348B">
        <w:rPr>
          <w:rFonts w:cs="Calibri"/>
          <w:vertAlign w:val="subscript"/>
        </w:rPr>
        <w:t>1</w:t>
      </w:r>
      <w:r w:rsidRPr="00D9348B">
        <w:rPr>
          <w:rFonts w:cs="Calibri"/>
        </w:rPr>
        <w:t xml:space="preserve"> (synthetic nitrogen fertiliser) and </w:t>
      </w:r>
      <w:proofErr w:type="gramStart"/>
      <w:r w:rsidRPr="00D9348B">
        <w:rPr>
          <w:rFonts w:cs="Calibri"/>
        </w:rPr>
        <w:t>EF</w:t>
      </w:r>
      <w:r w:rsidRPr="00D9348B">
        <w:rPr>
          <w:rFonts w:cs="Calibri"/>
          <w:vertAlign w:val="subscript"/>
        </w:rPr>
        <w:t>3(</w:t>
      </w:r>
      <w:proofErr w:type="gramEnd"/>
      <w:r w:rsidRPr="00D9348B">
        <w:rPr>
          <w:rFonts w:cs="Calibri"/>
          <w:vertAlign w:val="subscript"/>
        </w:rPr>
        <w:t>PRP)</w:t>
      </w:r>
      <w:r w:rsidRPr="00D9348B">
        <w:rPr>
          <w:rFonts w:cs="Calibri"/>
        </w:rPr>
        <w:t xml:space="preserve"> (urine and dung deposited by grazing animals) with the 2006 IPCC default values and emission factors used by Australia. The New Zealand EF</w:t>
      </w:r>
      <w:r w:rsidRPr="00D9348B">
        <w:rPr>
          <w:rFonts w:cs="Calibri"/>
          <w:vertAlign w:val="subscript"/>
        </w:rPr>
        <w:t>1</w:t>
      </w:r>
      <w:r w:rsidRPr="00D9348B">
        <w:rPr>
          <w:rFonts w:cs="Calibri"/>
        </w:rPr>
        <w:t xml:space="preserve"> value is lower than the IPCC default. This reflects New Zealand’s country-specific emission factor for urea fertiliser and the incorporation of effect of urease inhibitors. For EF</w:t>
      </w:r>
      <w:r w:rsidRPr="00D9348B">
        <w:rPr>
          <w:rFonts w:cs="Calibri"/>
          <w:vertAlign w:val="subscript"/>
        </w:rPr>
        <w:t>3</w:t>
      </w:r>
      <w:r w:rsidRPr="00D9348B">
        <w:rPr>
          <w:rFonts w:cs="Calibri"/>
        </w:rPr>
        <w:t>,</w:t>
      </w:r>
      <w:r w:rsidRPr="00D9348B">
        <w:rPr>
          <w:rFonts w:cs="Calibri"/>
          <w:vertAlign w:val="subscript"/>
        </w:rPr>
        <w:t xml:space="preserve"> </w:t>
      </w:r>
      <w:r w:rsidRPr="00D9348B">
        <w:rPr>
          <w:rFonts w:cs="Calibri"/>
        </w:rPr>
        <w:t xml:space="preserve">the New Zealand value is lower than the IPCC default. This reflects research that has developed country-specific emission factors for dung and urine from trials summarised by van der Weerden et al. (2019) (see section 5.5.2). </w:t>
      </w:r>
    </w:p>
    <w:p w14:paraId="563FBA45" w14:textId="77777777" w:rsidR="00F849A7" w:rsidRPr="00D9348B" w:rsidRDefault="00F849A7" w:rsidP="00F849A7">
      <w:pPr>
        <w:pStyle w:val="Table"/>
        <w:rPr>
          <w:rFonts w:cs="Calibri"/>
        </w:rPr>
      </w:pPr>
      <w:bookmarkStart w:id="958" w:name="_Toc441830888"/>
      <w:bookmarkStart w:id="959" w:name="_Toc451176102"/>
      <w:bookmarkStart w:id="960" w:name="_Toc481751529"/>
      <w:bookmarkStart w:id="961" w:name="_Toc507158617"/>
      <w:bookmarkStart w:id="962" w:name="_Toc511116751"/>
      <w:bookmarkStart w:id="963" w:name="_Toc5269493"/>
      <w:bookmarkStart w:id="964" w:name="_Toc32570938"/>
      <w:bookmarkStart w:id="965" w:name="_Toc36224573"/>
      <w:bookmarkStart w:id="966" w:name="_Toc288316759"/>
      <w:bookmarkStart w:id="967" w:name="_Toc352504977"/>
      <w:r w:rsidRPr="00D9348B">
        <w:rPr>
          <w:rFonts w:cs="Calibri"/>
        </w:rPr>
        <w:t>Table 5.5.12</w:t>
      </w:r>
      <w:r w:rsidRPr="00D9348B">
        <w:rPr>
          <w:rFonts w:cs="Calibri"/>
        </w:rPr>
        <w:tab/>
        <w:t>Comparison of New Zealand’s implied emission factors (IEFs) for EF</w:t>
      </w:r>
      <w:r w:rsidRPr="00D9348B">
        <w:rPr>
          <w:rFonts w:cs="Calibri"/>
          <w:vertAlign w:val="subscript"/>
        </w:rPr>
        <w:t>1</w:t>
      </w:r>
      <w:r w:rsidRPr="00D9348B">
        <w:rPr>
          <w:rFonts w:cs="Calibri"/>
        </w:rPr>
        <w:t xml:space="preserve"> (synthetic nitrogen fertiliser) and </w:t>
      </w:r>
      <w:proofErr w:type="gramStart"/>
      <w:r w:rsidRPr="00D9348B">
        <w:rPr>
          <w:rFonts w:cs="Calibri"/>
        </w:rPr>
        <w:t>EF</w:t>
      </w:r>
      <w:r w:rsidRPr="00D9348B">
        <w:rPr>
          <w:rFonts w:cs="Calibri"/>
          <w:vertAlign w:val="subscript"/>
        </w:rPr>
        <w:t>3(</w:t>
      </w:r>
      <w:proofErr w:type="gramEnd"/>
      <w:r w:rsidRPr="00D9348B">
        <w:rPr>
          <w:rFonts w:cs="Calibri"/>
          <w:vertAlign w:val="subscript"/>
        </w:rPr>
        <w:t>PRP)</w:t>
      </w:r>
      <w:r w:rsidRPr="00D9348B">
        <w:rPr>
          <w:rFonts w:cs="Calibri"/>
        </w:rPr>
        <w:t xml:space="preserve"> (pasture, range and paddock manure) with the IPCC default and the Australia</w:t>
      </w:r>
      <w:bookmarkEnd w:id="958"/>
      <w:r w:rsidRPr="00D9348B">
        <w:rPr>
          <w:rFonts w:cs="Calibri"/>
        </w:rPr>
        <w:t>n-specific value</w:t>
      </w:r>
      <w:bookmarkEnd w:id="959"/>
      <w:bookmarkEnd w:id="960"/>
      <w:bookmarkEnd w:id="961"/>
      <w:bookmarkEnd w:id="962"/>
      <w:bookmarkEnd w:id="963"/>
      <w:bookmarkEnd w:id="964"/>
      <w:bookmarkEnd w:id="965"/>
      <w:r w:rsidRPr="00D9348B">
        <w:rPr>
          <w:rFonts w:cs="Calibri"/>
        </w:rPr>
        <w:t xml:space="preserve"> </w:t>
      </w:r>
      <w:bookmarkEnd w:id="966"/>
      <w:bookmarkEnd w:id="967"/>
    </w:p>
    <w:tbl>
      <w:tblPr>
        <w:tblW w:w="8505" w:type="dxa"/>
        <w:tblInd w:w="108" w:type="dxa"/>
        <w:tblBorders>
          <w:top w:val="single" w:sz="4" w:space="0" w:color="365F91"/>
          <w:bottom w:val="single" w:sz="4" w:space="0" w:color="365F91"/>
          <w:insideH w:val="single" w:sz="4" w:space="0" w:color="365F91"/>
        </w:tblBorders>
        <w:tblLook w:val="01E0" w:firstRow="1" w:lastRow="1" w:firstColumn="1" w:lastColumn="1" w:noHBand="0" w:noVBand="0"/>
      </w:tblPr>
      <w:tblGrid>
        <w:gridCol w:w="3181"/>
        <w:gridCol w:w="2633"/>
        <w:gridCol w:w="2691"/>
      </w:tblGrid>
      <w:tr w:rsidR="00F849A7" w:rsidRPr="00D9348B" w14:paraId="0FD6430A" w14:textId="77777777" w:rsidTr="00244E0E">
        <w:tc>
          <w:tcPr>
            <w:tcW w:w="1870" w:type="pct"/>
            <w:shd w:val="clear" w:color="auto" w:fill="365F91"/>
            <w:vAlign w:val="bottom"/>
          </w:tcPr>
          <w:p w14:paraId="65D9D1F7" w14:textId="77777777" w:rsidR="00F849A7" w:rsidRPr="00D9348B" w:rsidRDefault="00F849A7" w:rsidP="00DB330E">
            <w:pPr>
              <w:pStyle w:val="TableTextBold"/>
              <w:rPr>
                <w:rFonts w:cs="Calibri"/>
                <w:noProof w:val="0"/>
                <w:color w:val="FFFFFF"/>
                <w:szCs w:val="16"/>
              </w:rPr>
            </w:pPr>
          </w:p>
        </w:tc>
        <w:tc>
          <w:tcPr>
            <w:tcW w:w="1548" w:type="pct"/>
            <w:shd w:val="clear" w:color="auto" w:fill="365F91"/>
            <w:vAlign w:val="bottom"/>
          </w:tcPr>
          <w:p w14:paraId="7058D5F5" w14:textId="77777777" w:rsidR="00F849A7" w:rsidRPr="00D9348B" w:rsidRDefault="00F849A7" w:rsidP="00DB330E">
            <w:pPr>
              <w:pStyle w:val="TableTextBold"/>
              <w:rPr>
                <w:rFonts w:cs="Calibri"/>
                <w:noProof w:val="0"/>
                <w:color w:val="FFFFFF"/>
                <w:szCs w:val="16"/>
              </w:rPr>
            </w:pPr>
            <w:r w:rsidRPr="00D9348B">
              <w:rPr>
                <w:rFonts w:cs="Calibri"/>
                <w:noProof w:val="0"/>
                <w:color w:val="FFFFFF"/>
                <w:szCs w:val="16"/>
              </w:rPr>
              <w:t>EF</w:t>
            </w:r>
            <w:r w:rsidRPr="00D9348B">
              <w:rPr>
                <w:rFonts w:cs="Calibri"/>
                <w:noProof w:val="0"/>
                <w:color w:val="FFFFFF"/>
                <w:szCs w:val="16"/>
                <w:vertAlign w:val="subscript"/>
              </w:rPr>
              <w:t>1</w:t>
            </w:r>
            <w:r w:rsidRPr="00D9348B">
              <w:rPr>
                <w:rFonts w:cs="Calibri"/>
                <w:noProof w:val="0"/>
                <w:color w:val="FFFFFF"/>
                <w:szCs w:val="16"/>
              </w:rPr>
              <w:t xml:space="preserve"> (kg N</w:t>
            </w:r>
            <w:r w:rsidRPr="00D9348B">
              <w:rPr>
                <w:rFonts w:cs="Calibri"/>
                <w:noProof w:val="0"/>
                <w:color w:val="FFFFFF"/>
                <w:szCs w:val="16"/>
                <w:vertAlign w:val="subscript"/>
              </w:rPr>
              <w:t>2</w:t>
            </w:r>
            <w:r w:rsidRPr="00D9348B">
              <w:rPr>
                <w:rFonts w:cs="Calibri"/>
                <w:noProof w:val="0"/>
                <w:color w:val="FFFFFF"/>
                <w:szCs w:val="16"/>
              </w:rPr>
              <w:t>O-N/kg N)</w:t>
            </w:r>
          </w:p>
        </w:tc>
        <w:tc>
          <w:tcPr>
            <w:tcW w:w="1582" w:type="pct"/>
            <w:shd w:val="clear" w:color="auto" w:fill="365F91"/>
            <w:vAlign w:val="bottom"/>
          </w:tcPr>
          <w:p w14:paraId="1B15010E" w14:textId="77777777" w:rsidR="00F849A7" w:rsidRPr="00D9348B" w:rsidRDefault="00F849A7" w:rsidP="00DB330E">
            <w:pPr>
              <w:pStyle w:val="TableTextBold"/>
              <w:rPr>
                <w:rFonts w:cs="Calibri"/>
                <w:noProof w:val="0"/>
                <w:color w:val="FFFFFF"/>
                <w:szCs w:val="16"/>
              </w:rPr>
            </w:pPr>
            <w:r w:rsidRPr="00D9348B">
              <w:rPr>
                <w:rFonts w:cs="Calibri"/>
                <w:noProof w:val="0"/>
                <w:color w:val="FFFFFF"/>
                <w:szCs w:val="16"/>
              </w:rPr>
              <w:t>EF</w:t>
            </w:r>
            <w:r w:rsidRPr="00D9348B">
              <w:rPr>
                <w:rFonts w:cs="Calibri"/>
                <w:noProof w:val="0"/>
                <w:color w:val="FFFFFF"/>
                <w:szCs w:val="16"/>
                <w:vertAlign w:val="subscript"/>
              </w:rPr>
              <w:t>3</w:t>
            </w:r>
            <w:r w:rsidRPr="00D9348B">
              <w:rPr>
                <w:rFonts w:cs="Calibri"/>
                <w:noProof w:val="0"/>
                <w:color w:val="FFFFFF"/>
                <w:szCs w:val="16"/>
              </w:rPr>
              <w:t xml:space="preserve"> (kg N</w:t>
            </w:r>
            <w:r w:rsidRPr="00D9348B">
              <w:rPr>
                <w:rFonts w:cs="Calibri"/>
                <w:noProof w:val="0"/>
                <w:color w:val="FFFFFF"/>
                <w:szCs w:val="16"/>
                <w:vertAlign w:val="subscript"/>
              </w:rPr>
              <w:t>2</w:t>
            </w:r>
            <w:r w:rsidRPr="00D9348B">
              <w:rPr>
                <w:rFonts w:cs="Calibri"/>
                <w:noProof w:val="0"/>
                <w:color w:val="FFFFFF"/>
                <w:szCs w:val="16"/>
              </w:rPr>
              <w:t>O-N/kg N excreted)</w:t>
            </w:r>
          </w:p>
        </w:tc>
      </w:tr>
      <w:tr w:rsidR="00F849A7" w:rsidRPr="00D9348B" w14:paraId="44D70B82" w14:textId="77777777" w:rsidTr="00244E0E">
        <w:tc>
          <w:tcPr>
            <w:tcW w:w="1870" w:type="pct"/>
          </w:tcPr>
          <w:p w14:paraId="29D69F04" w14:textId="77777777" w:rsidR="00F849A7" w:rsidRPr="00D9348B" w:rsidRDefault="00F849A7" w:rsidP="00DB330E">
            <w:pPr>
              <w:pStyle w:val="TableText"/>
              <w:rPr>
                <w:rFonts w:cs="Calibri"/>
                <w:szCs w:val="16"/>
              </w:rPr>
            </w:pPr>
            <w:r w:rsidRPr="00D9348B">
              <w:rPr>
                <w:rFonts w:cs="Calibri"/>
                <w:szCs w:val="16"/>
              </w:rPr>
              <w:t>IPCC (2006) developed temperate climate/Oceania default value</w:t>
            </w:r>
          </w:p>
        </w:tc>
        <w:tc>
          <w:tcPr>
            <w:tcW w:w="1548" w:type="pct"/>
          </w:tcPr>
          <w:p w14:paraId="299F21C3" w14:textId="77777777" w:rsidR="00F849A7" w:rsidRPr="00D9348B" w:rsidRDefault="00F849A7" w:rsidP="00DB330E">
            <w:pPr>
              <w:pStyle w:val="TableText"/>
              <w:rPr>
                <w:rFonts w:cs="Calibri"/>
                <w:szCs w:val="16"/>
              </w:rPr>
            </w:pPr>
            <w:r w:rsidRPr="00D9348B">
              <w:rPr>
                <w:rFonts w:cs="Calibri"/>
                <w:szCs w:val="16"/>
              </w:rPr>
              <w:t>0.01</w:t>
            </w:r>
          </w:p>
        </w:tc>
        <w:tc>
          <w:tcPr>
            <w:tcW w:w="1582" w:type="pct"/>
          </w:tcPr>
          <w:p w14:paraId="58DF105A" w14:textId="77777777" w:rsidR="00F849A7" w:rsidRPr="00D9348B" w:rsidRDefault="00F849A7" w:rsidP="00DB330E">
            <w:pPr>
              <w:pStyle w:val="TableText"/>
              <w:spacing w:after="0"/>
              <w:rPr>
                <w:rFonts w:cs="Calibri"/>
                <w:szCs w:val="16"/>
              </w:rPr>
            </w:pPr>
            <w:r w:rsidRPr="00D9348B">
              <w:rPr>
                <w:rFonts w:cs="Calibri"/>
                <w:szCs w:val="16"/>
              </w:rPr>
              <w:t>0.02 (cattle, poultry and pigs)</w:t>
            </w:r>
          </w:p>
          <w:p w14:paraId="008336B9" w14:textId="77777777" w:rsidR="00F849A7" w:rsidRPr="00D9348B" w:rsidRDefault="00F849A7" w:rsidP="00DB330E">
            <w:pPr>
              <w:pStyle w:val="TableText"/>
              <w:rPr>
                <w:rFonts w:cs="Calibri"/>
                <w:szCs w:val="16"/>
              </w:rPr>
            </w:pPr>
            <w:r w:rsidRPr="00D9348B">
              <w:rPr>
                <w:rFonts w:cs="Calibri"/>
                <w:szCs w:val="16"/>
              </w:rPr>
              <w:t>0.01 (sheep and other animals)</w:t>
            </w:r>
          </w:p>
        </w:tc>
      </w:tr>
      <w:tr w:rsidR="00F849A7" w:rsidRPr="00D9348B" w14:paraId="1F8EFAE7" w14:textId="77777777" w:rsidTr="00244E0E">
        <w:tc>
          <w:tcPr>
            <w:tcW w:w="1870" w:type="pct"/>
          </w:tcPr>
          <w:p w14:paraId="08E14BD4" w14:textId="77777777" w:rsidR="00F849A7" w:rsidRPr="00D9348B" w:rsidRDefault="00F849A7" w:rsidP="00DB330E">
            <w:pPr>
              <w:pStyle w:val="TableText"/>
              <w:spacing w:before="40" w:after="40"/>
              <w:rPr>
                <w:rFonts w:cs="Calibri"/>
                <w:szCs w:val="16"/>
              </w:rPr>
            </w:pPr>
            <w:r w:rsidRPr="00D9348B">
              <w:rPr>
                <w:rFonts w:cs="Calibri"/>
                <w:szCs w:val="16"/>
              </w:rPr>
              <w:t>Australian-specific IEF 2017 value</w:t>
            </w:r>
          </w:p>
        </w:tc>
        <w:tc>
          <w:tcPr>
            <w:tcW w:w="1548" w:type="pct"/>
          </w:tcPr>
          <w:p w14:paraId="4626BB8A" w14:textId="77777777" w:rsidR="00F849A7" w:rsidRPr="00D9348B" w:rsidRDefault="00F849A7" w:rsidP="00DB330E">
            <w:pPr>
              <w:pStyle w:val="TableText"/>
              <w:spacing w:before="40" w:after="40"/>
              <w:rPr>
                <w:rFonts w:cs="Calibri"/>
                <w:szCs w:val="16"/>
              </w:rPr>
            </w:pPr>
            <w:r w:rsidRPr="00D9348B">
              <w:rPr>
                <w:rFonts w:cs="Calibri"/>
                <w:szCs w:val="16"/>
              </w:rPr>
              <w:t>0.0038</w:t>
            </w:r>
          </w:p>
        </w:tc>
        <w:tc>
          <w:tcPr>
            <w:tcW w:w="1582" w:type="pct"/>
          </w:tcPr>
          <w:p w14:paraId="56F56776" w14:textId="77777777" w:rsidR="00F849A7" w:rsidRPr="00D9348B" w:rsidRDefault="00F849A7" w:rsidP="00DB330E">
            <w:pPr>
              <w:pStyle w:val="TableText"/>
              <w:spacing w:before="40" w:after="40"/>
              <w:rPr>
                <w:rFonts w:cs="Calibri"/>
                <w:szCs w:val="16"/>
              </w:rPr>
            </w:pPr>
            <w:r w:rsidRPr="00D9348B">
              <w:rPr>
                <w:rFonts w:cs="Calibri"/>
                <w:szCs w:val="16"/>
              </w:rPr>
              <w:t>0.0040</w:t>
            </w:r>
          </w:p>
        </w:tc>
      </w:tr>
      <w:tr w:rsidR="00F849A7" w:rsidRPr="00D9348B" w14:paraId="2D87DBE4" w14:textId="77777777" w:rsidTr="00244E0E">
        <w:tc>
          <w:tcPr>
            <w:tcW w:w="1870" w:type="pct"/>
          </w:tcPr>
          <w:p w14:paraId="4B3C2C03" w14:textId="77777777" w:rsidR="00F849A7" w:rsidRPr="00D9348B" w:rsidRDefault="00F849A7" w:rsidP="00DB330E">
            <w:pPr>
              <w:pStyle w:val="TableText"/>
              <w:spacing w:before="40" w:after="40"/>
              <w:rPr>
                <w:rFonts w:cs="Calibri"/>
                <w:szCs w:val="16"/>
              </w:rPr>
            </w:pPr>
            <w:r w:rsidRPr="00D9348B">
              <w:rPr>
                <w:rFonts w:cs="Calibri"/>
                <w:szCs w:val="16"/>
              </w:rPr>
              <w:t>New Zealand-specific IEF 2018 value</w:t>
            </w:r>
          </w:p>
        </w:tc>
        <w:tc>
          <w:tcPr>
            <w:tcW w:w="1548" w:type="pct"/>
          </w:tcPr>
          <w:p w14:paraId="5E713C7D" w14:textId="77777777" w:rsidR="00F849A7" w:rsidRPr="00D9348B" w:rsidRDefault="00F849A7" w:rsidP="00DB330E">
            <w:pPr>
              <w:pStyle w:val="TableText"/>
              <w:spacing w:before="40" w:after="40"/>
              <w:rPr>
                <w:rFonts w:cs="Calibri"/>
                <w:szCs w:val="16"/>
              </w:rPr>
            </w:pPr>
            <w:r w:rsidRPr="00D9348B">
              <w:rPr>
                <w:rFonts w:cs="Calibri"/>
                <w:szCs w:val="16"/>
              </w:rPr>
              <w:t>0.0066</w:t>
            </w:r>
          </w:p>
        </w:tc>
        <w:tc>
          <w:tcPr>
            <w:tcW w:w="1582" w:type="pct"/>
          </w:tcPr>
          <w:p w14:paraId="392A799A" w14:textId="77777777" w:rsidR="00F849A7" w:rsidRPr="00D9348B" w:rsidRDefault="00F849A7" w:rsidP="00DB330E">
            <w:pPr>
              <w:pStyle w:val="TableText"/>
              <w:spacing w:before="40" w:after="40"/>
              <w:rPr>
                <w:rFonts w:cs="Calibri"/>
                <w:szCs w:val="16"/>
              </w:rPr>
            </w:pPr>
            <w:r w:rsidRPr="00D9348B">
              <w:rPr>
                <w:rFonts w:cs="Calibri"/>
                <w:szCs w:val="16"/>
              </w:rPr>
              <w:t>0.0054</w:t>
            </w:r>
          </w:p>
        </w:tc>
      </w:tr>
    </w:tbl>
    <w:p w14:paraId="500B9697" w14:textId="77777777" w:rsidR="00F849A7" w:rsidRPr="00D9348B" w:rsidRDefault="00F849A7" w:rsidP="00F849A7">
      <w:pPr>
        <w:pStyle w:val="Source"/>
        <w:rPr>
          <w:rFonts w:cs="Calibri"/>
        </w:rPr>
      </w:pPr>
      <w:r w:rsidRPr="00D9348B">
        <w:rPr>
          <w:rFonts w:cs="Calibri"/>
          <w:b/>
          <w:bCs/>
        </w:rPr>
        <w:t>Source:</w:t>
      </w:r>
      <w:r w:rsidRPr="00D9348B">
        <w:rPr>
          <w:rFonts w:cs="Calibri"/>
        </w:rPr>
        <w:t xml:space="preserve"> </w:t>
      </w:r>
      <w:r w:rsidRPr="00D9348B">
        <w:rPr>
          <w:rFonts w:cs="Calibri"/>
        </w:rPr>
        <w:tab/>
        <w:t>UNFCCC (https://unfccc.int/documents/65705)</w:t>
      </w:r>
      <w:r w:rsidRPr="00D9348B" w:rsidDel="00D478FB">
        <w:rPr>
          <w:rFonts w:cs="Calibri"/>
        </w:rPr>
        <w:t xml:space="preserve"> </w:t>
      </w:r>
    </w:p>
    <w:p w14:paraId="679CF3BF" w14:textId="77777777" w:rsidR="00F849A7" w:rsidRPr="00D9348B" w:rsidRDefault="00F849A7" w:rsidP="00F849A7">
      <w:pPr>
        <w:pStyle w:val="BodyText"/>
        <w:spacing w:before="240" w:after="100"/>
        <w:rPr>
          <w:rFonts w:cs="Calibri"/>
        </w:rPr>
      </w:pPr>
      <w:r w:rsidRPr="00D9348B">
        <w:rPr>
          <w:rFonts w:cs="Calibri"/>
        </w:rPr>
        <w:t>Table 5.5.13 compares the New Zealand-specific values Frac</w:t>
      </w:r>
      <w:r w:rsidRPr="00D9348B">
        <w:rPr>
          <w:rFonts w:cs="Calibri"/>
          <w:vertAlign w:val="subscript"/>
        </w:rPr>
        <w:t>GASF</w:t>
      </w:r>
      <w:r w:rsidRPr="00D9348B">
        <w:rPr>
          <w:rFonts w:cs="Calibri"/>
        </w:rPr>
        <w:t>, Frac</w:t>
      </w:r>
      <w:r w:rsidRPr="00D9348B">
        <w:rPr>
          <w:rFonts w:cs="Calibri"/>
          <w:vertAlign w:val="subscript"/>
        </w:rPr>
        <w:t>GASM</w:t>
      </w:r>
      <w:r w:rsidRPr="00D9348B">
        <w:rPr>
          <w:rFonts w:cs="Calibri"/>
        </w:rPr>
        <w:t xml:space="preserve"> and Frac</w:t>
      </w:r>
      <w:r w:rsidRPr="00D9348B">
        <w:rPr>
          <w:rFonts w:cs="Calibri"/>
          <w:vertAlign w:val="subscript"/>
        </w:rPr>
        <w:t>LEACH-H</w:t>
      </w:r>
      <w:r w:rsidRPr="00D9348B">
        <w:rPr>
          <w:rFonts w:cs="Calibri"/>
        </w:rPr>
        <w:t xml:space="preserve"> with the 2006 IPCC default and fractions used by Australia. New Zealand has taken a country</w:t>
      </w:r>
      <w:r w:rsidRPr="00D9348B">
        <w:rPr>
          <w:rFonts w:cs="Calibri"/>
        </w:rPr>
        <w:noBreakHyphen/>
        <w:t>specific value for Frac</w:t>
      </w:r>
      <w:r w:rsidRPr="00D9348B">
        <w:rPr>
          <w:rFonts w:cs="Calibri"/>
          <w:vertAlign w:val="subscript"/>
        </w:rPr>
        <w:t>GASF</w:t>
      </w:r>
      <w:r w:rsidRPr="00D9348B">
        <w:rPr>
          <w:rFonts w:cs="Calibri"/>
        </w:rPr>
        <w:t xml:space="preserve"> of 0.1, and it is the same as the IPCC default and that of Australia. Research showed that the 0.1 value was appropriate for New Zealand conditions (Sherlock et al., 2008). </w:t>
      </w:r>
    </w:p>
    <w:p w14:paraId="0B3FDEE0" w14:textId="77777777" w:rsidR="00F849A7" w:rsidRPr="00D9348B" w:rsidRDefault="00F849A7" w:rsidP="00F849A7">
      <w:pPr>
        <w:pStyle w:val="BodyText"/>
        <w:spacing w:before="100" w:after="100"/>
        <w:rPr>
          <w:rFonts w:cs="Calibri"/>
          <w:lang w:eastAsia="en-GB"/>
        </w:rPr>
      </w:pPr>
      <w:r w:rsidRPr="00D9348B">
        <w:rPr>
          <w:rFonts w:cs="Calibri"/>
        </w:rPr>
        <w:t>This research also showed that the default value of 0.2 for Frac</w:t>
      </w:r>
      <w:r w:rsidRPr="00D9348B">
        <w:rPr>
          <w:rFonts w:cs="Calibri"/>
          <w:vertAlign w:val="subscript"/>
        </w:rPr>
        <w:t>GASM</w:t>
      </w:r>
      <w:r w:rsidRPr="00D9348B">
        <w:rPr>
          <w:rFonts w:cs="Calibri"/>
        </w:rPr>
        <w:t xml:space="preserve"> was too high and a lower value of 0.1 was adopted after an extensive review of scientific literature (Sherlock et al., 2008), which was also confirmed by subsequent field experiments (Laubach et al., 2012). The reduction in Frac</w:t>
      </w:r>
      <w:r w:rsidRPr="00D9348B">
        <w:rPr>
          <w:rFonts w:cs="Calibri"/>
          <w:vertAlign w:val="subscript"/>
        </w:rPr>
        <w:t>GASM</w:t>
      </w:r>
      <w:r w:rsidRPr="00D9348B">
        <w:rPr>
          <w:rFonts w:cs="Calibri"/>
        </w:rPr>
        <w:t xml:space="preserve"> is due to the proportion of the different sources that make up this value. In New Zealand, over 95 per cent of animal excreta is deposited onto pasture and only a small proportion is managed. In contrast, the 2006 IPCC default value was calculated taking into account a much higher percentage of manure management and storage. Manure management and storage result in a much higher proportion of nitrogen being volatilised and, hence, the higher Frac</w:t>
      </w:r>
      <w:r w:rsidRPr="00D9348B">
        <w:rPr>
          <w:rFonts w:cs="Calibri"/>
          <w:vertAlign w:val="subscript"/>
        </w:rPr>
        <w:t>GASM</w:t>
      </w:r>
      <w:r w:rsidRPr="00D9348B">
        <w:rPr>
          <w:rFonts w:cs="Calibri"/>
        </w:rPr>
        <w:t xml:space="preserve"> for the default value compared with the country-specific New Zealand value. </w:t>
      </w:r>
    </w:p>
    <w:p w14:paraId="2C55EDD9" w14:textId="77777777" w:rsidR="00F849A7" w:rsidRPr="00D9348B" w:rsidRDefault="00F849A7" w:rsidP="00F849A7">
      <w:pPr>
        <w:pStyle w:val="BodyText"/>
        <w:spacing w:before="100" w:after="100"/>
        <w:rPr>
          <w:rFonts w:cs="Calibri"/>
        </w:rPr>
      </w:pPr>
      <w:r w:rsidRPr="00D9348B">
        <w:rPr>
          <w:rFonts w:cs="Calibri"/>
        </w:rPr>
        <w:t>New Zealand also has a much lower value of Frac</w:t>
      </w:r>
      <w:r w:rsidRPr="00D9348B">
        <w:rPr>
          <w:rFonts w:cs="Calibri"/>
          <w:vertAlign w:val="subscript"/>
        </w:rPr>
        <w:t>LEACH</w:t>
      </w:r>
      <w:r w:rsidRPr="00D9348B" w:rsidDel="009C0F97">
        <w:rPr>
          <w:rFonts w:cs="Calibri"/>
          <w:vertAlign w:val="subscript"/>
        </w:rPr>
        <w:t>-H</w:t>
      </w:r>
      <w:r w:rsidRPr="00D9348B" w:rsidDel="009C0F97">
        <w:rPr>
          <w:rFonts w:cs="Calibri"/>
        </w:rPr>
        <w:t>.</w:t>
      </w:r>
      <w:r w:rsidRPr="00D9348B">
        <w:rPr>
          <w:rFonts w:cs="Calibri"/>
        </w:rPr>
        <w:t xml:space="preserve"> Research suggests that New Zealand applies a much lower rate of nitrogen fertiliser than what was assumed when the IPCC default value was developed (Thomas et al., unpublished, 2005). When the OVERSEER</w:t>
      </w:r>
      <w:r w:rsidRPr="00D9348B">
        <w:rPr>
          <w:rFonts w:cs="Calibri"/>
          <w:vertAlign w:val="superscript"/>
        </w:rPr>
        <w:t>®</w:t>
      </w:r>
      <w:r w:rsidRPr="00D9348B">
        <w:rPr>
          <w:rFonts w:cs="Calibri"/>
        </w:rPr>
        <w:t xml:space="preserve"> nutrient budget model (Wheeler et al., 2003) took this lower rate into account, the rate of leaching was much lower than when compared with farms with a high nitrogen fertiliser application rate, which can be typical in other developed countries. </w:t>
      </w:r>
    </w:p>
    <w:p w14:paraId="779279B1" w14:textId="7F767EA8" w:rsidR="00F849A7" w:rsidRPr="00D9348B" w:rsidRDefault="00F849A7" w:rsidP="00F849A7">
      <w:pPr>
        <w:pStyle w:val="Table"/>
        <w:rPr>
          <w:rFonts w:cs="Calibri"/>
        </w:rPr>
      </w:pPr>
      <w:bookmarkStart w:id="968" w:name="_Toc441830889"/>
      <w:bookmarkStart w:id="969" w:name="_Toc288316760"/>
      <w:bookmarkStart w:id="970" w:name="_Toc352504978"/>
      <w:bookmarkStart w:id="971" w:name="_Toc451176103"/>
      <w:bookmarkStart w:id="972" w:name="_Toc481751530"/>
      <w:bookmarkStart w:id="973" w:name="_Toc507158618"/>
      <w:bookmarkStart w:id="974" w:name="_Toc511116752"/>
      <w:bookmarkStart w:id="975" w:name="_Toc5269494"/>
      <w:bookmarkStart w:id="976" w:name="_Toc32570939"/>
      <w:bookmarkStart w:id="977" w:name="_Toc36224574"/>
      <w:r w:rsidRPr="00D9348B">
        <w:rPr>
          <w:rFonts w:cs="Calibri"/>
        </w:rPr>
        <w:t>Table 5.5.13</w:t>
      </w:r>
      <w:r w:rsidRPr="00D9348B">
        <w:rPr>
          <w:rFonts w:cs="Calibri"/>
        </w:rPr>
        <w:tab/>
        <w:t>Comparison of New Zealand’s country-specific factors for volatilisation (Frac</w:t>
      </w:r>
      <w:r w:rsidRPr="00D9348B">
        <w:rPr>
          <w:rFonts w:cs="Calibri"/>
          <w:vertAlign w:val="subscript"/>
        </w:rPr>
        <w:t>GASF</w:t>
      </w:r>
      <w:r w:rsidRPr="00D9348B">
        <w:rPr>
          <w:rFonts w:cs="Calibri"/>
        </w:rPr>
        <w:t>, Frac</w:t>
      </w:r>
      <w:r w:rsidRPr="00D9348B">
        <w:rPr>
          <w:rFonts w:cs="Calibri"/>
          <w:vertAlign w:val="subscript"/>
        </w:rPr>
        <w:t>GASM</w:t>
      </w:r>
      <w:proofErr w:type="gramStart"/>
      <w:r w:rsidRPr="00D9348B">
        <w:rPr>
          <w:rFonts w:cs="Calibri"/>
        </w:rPr>
        <w:t>)</w:t>
      </w:r>
      <w:proofErr w:type="gramEnd"/>
      <w:r w:rsidRPr="00D9348B">
        <w:rPr>
          <w:rFonts w:cs="Calibri"/>
        </w:rPr>
        <w:br/>
        <w:t>and leaching and runoff (Frac</w:t>
      </w:r>
      <w:r w:rsidRPr="00D9348B">
        <w:rPr>
          <w:rFonts w:cs="Calibri"/>
          <w:vertAlign w:val="subscript"/>
        </w:rPr>
        <w:t>LEACH-(H)</w:t>
      </w:r>
      <w:r w:rsidRPr="00D9348B">
        <w:rPr>
          <w:rFonts w:cs="Calibri"/>
        </w:rPr>
        <w:t>) with the IPCC default value and the</w:t>
      </w:r>
      <w:r w:rsidR="00516D72" w:rsidRPr="00D9348B">
        <w:rPr>
          <w:rFonts w:cs="Calibri"/>
        </w:rPr>
        <w:t> </w:t>
      </w:r>
      <w:r w:rsidRPr="00D9348B">
        <w:rPr>
          <w:rFonts w:cs="Calibri"/>
        </w:rPr>
        <w:t>Australia</w:t>
      </w:r>
      <w:bookmarkEnd w:id="968"/>
      <w:r w:rsidRPr="00D9348B">
        <w:rPr>
          <w:rFonts w:cs="Calibri"/>
        </w:rPr>
        <w:t>n</w:t>
      </w:r>
      <w:r w:rsidRPr="00D9348B">
        <w:rPr>
          <w:rFonts w:cs="Calibri"/>
        </w:rPr>
        <w:br/>
        <w:t>implied emission factor (IEF</w:t>
      </w:r>
      <w:bookmarkEnd w:id="969"/>
      <w:bookmarkEnd w:id="970"/>
      <w:bookmarkEnd w:id="971"/>
      <w:bookmarkEnd w:id="972"/>
      <w:r w:rsidRPr="00D9348B">
        <w:rPr>
          <w:rFonts w:cs="Calibri"/>
        </w:rPr>
        <w:t>)</w:t>
      </w:r>
      <w:bookmarkEnd w:id="973"/>
      <w:bookmarkEnd w:id="974"/>
      <w:bookmarkEnd w:id="975"/>
      <w:bookmarkEnd w:id="976"/>
      <w:bookmarkEnd w:id="977"/>
    </w:p>
    <w:tbl>
      <w:tblPr>
        <w:tblW w:w="8505" w:type="dxa"/>
        <w:tblInd w:w="108" w:type="dxa"/>
        <w:tblBorders>
          <w:top w:val="single" w:sz="4" w:space="0" w:color="365F91"/>
          <w:bottom w:val="single" w:sz="4" w:space="0" w:color="365F91"/>
          <w:insideH w:val="single" w:sz="4" w:space="0" w:color="365F91"/>
        </w:tblBorders>
        <w:tblLook w:val="01E0" w:firstRow="1" w:lastRow="1" w:firstColumn="1" w:lastColumn="1" w:noHBand="0" w:noVBand="0"/>
      </w:tblPr>
      <w:tblGrid>
        <w:gridCol w:w="2977"/>
        <w:gridCol w:w="1985"/>
        <w:gridCol w:w="1842"/>
        <w:gridCol w:w="1701"/>
      </w:tblGrid>
      <w:tr w:rsidR="00F849A7" w:rsidRPr="00D9348B" w14:paraId="48D46DEA" w14:textId="77777777" w:rsidTr="00DB330E">
        <w:tc>
          <w:tcPr>
            <w:tcW w:w="2977" w:type="dxa"/>
            <w:shd w:val="clear" w:color="auto" w:fill="365F91"/>
            <w:vAlign w:val="bottom"/>
          </w:tcPr>
          <w:p w14:paraId="49536FAA" w14:textId="77777777" w:rsidR="00F849A7" w:rsidRPr="00D9348B" w:rsidRDefault="00F849A7" w:rsidP="00DB330E">
            <w:pPr>
              <w:pStyle w:val="TableTextBold"/>
              <w:keepNext/>
              <w:spacing w:before="40" w:after="40"/>
              <w:rPr>
                <w:rFonts w:cs="Calibri"/>
                <w:noProof w:val="0"/>
                <w:color w:val="FFFFFF"/>
              </w:rPr>
            </w:pPr>
          </w:p>
        </w:tc>
        <w:tc>
          <w:tcPr>
            <w:tcW w:w="1985" w:type="dxa"/>
            <w:shd w:val="clear" w:color="auto" w:fill="365F91"/>
            <w:vAlign w:val="bottom"/>
          </w:tcPr>
          <w:p w14:paraId="20EFAA0C" w14:textId="77777777" w:rsidR="00F849A7" w:rsidRPr="00D9348B" w:rsidRDefault="00F849A7" w:rsidP="00DB330E">
            <w:pPr>
              <w:pStyle w:val="TableTextBold"/>
              <w:keepNext/>
              <w:spacing w:before="40" w:after="40"/>
              <w:rPr>
                <w:rFonts w:cs="Calibri"/>
                <w:noProof w:val="0"/>
                <w:color w:val="FFFFFF"/>
              </w:rPr>
            </w:pPr>
            <w:r w:rsidRPr="00D9348B">
              <w:rPr>
                <w:rFonts w:cs="Calibri"/>
                <w:noProof w:val="0"/>
                <w:color w:val="FFFFFF"/>
              </w:rPr>
              <w:t>Frac</w:t>
            </w:r>
            <w:r w:rsidRPr="00D9348B">
              <w:rPr>
                <w:rFonts w:cs="Calibri"/>
                <w:noProof w:val="0"/>
                <w:color w:val="FFFFFF"/>
                <w:vertAlign w:val="subscript"/>
              </w:rPr>
              <w:t xml:space="preserve">GASF </w:t>
            </w:r>
            <w:r w:rsidRPr="00D9348B">
              <w:rPr>
                <w:rFonts w:cs="Calibri"/>
                <w:noProof w:val="0"/>
                <w:color w:val="FFFFFF"/>
                <w:vertAlign w:val="subscript"/>
              </w:rPr>
              <w:br/>
            </w:r>
            <w:r w:rsidRPr="00D9348B">
              <w:rPr>
                <w:rFonts w:cs="Calibri"/>
                <w:noProof w:val="0"/>
                <w:color w:val="FFFFFF"/>
              </w:rPr>
              <w:t>(kg NH</w:t>
            </w:r>
            <w:r w:rsidRPr="00D9348B">
              <w:rPr>
                <w:rFonts w:cs="Calibri"/>
                <w:noProof w:val="0"/>
                <w:color w:val="FFFFFF"/>
                <w:vertAlign w:val="subscript"/>
              </w:rPr>
              <w:t>3</w:t>
            </w:r>
            <w:r w:rsidRPr="00D9348B">
              <w:rPr>
                <w:rFonts w:cs="Calibri"/>
                <w:noProof w:val="0"/>
                <w:color w:val="FFFFFF"/>
              </w:rPr>
              <w:t>-N and NO</w:t>
            </w:r>
            <w:r w:rsidRPr="00D9348B">
              <w:rPr>
                <w:rFonts w:cs="Calibri"/>
                <w:noProof w:val="0"/>
                <w:color w:val="FFFFFF"/>
                <w:vertAlign w:val="subscript"/>
              </w:rPr>
              <w:t>x</w:t>
            </w:r>
            <w:r w:rsidRPr="00D9348B">
              <w:rPr>
                <w:rFonts w:cs="Calibri"/>
                <w:noProof w:val="0"/>
                <w:color w:val="FFFFFF"/>
              </w:rPr>
              <w:t>-N/kg of N input)</w:t>
            </w:r>
          </w:p>
        </w:tc>
        <w:tc>
          <w:tcPr>
            <w:tcW w:w="1842" w:type="dxa"/>
            <w:shd w:val="clear" w:color="auto" w:fill="365F91"/>
            <w:vAlign w:val="bottom"/>
          </w:tcPr>
          <w:p w14:paraId="255B474F" w14:textId="77777777" w:rsidR="00F849A7" w:rsidRPr="00D9348B" w:rsidRDefault="00F849A7" w:rsidP="00DB330E">
            <w:pPr>
              <w:pStyle w:val="TableTextBold"/>
              <w:keepNext/>
              <w:spacing w:before="40" w:after="40"/>
              <w:rPr>
                <w:rFonts w:cs="Calibri"/>
                <w:noProof w:val="0"/>
                <w:color w:val="FFFFFF"/>
              </w:rPr>
            </w:pPr>
            <w:r w:rsidRPr="00D9348B">
              <w:rPr>
                <w:rFonts w:cs="Calibri"/>
                <w:noProof w:val="0"/>
                <w:color w:val="FFFFFF"/>
              </w:rPr>
              <w:t>Frac</w:t>
            </w:r>
            <w:r w:rsidRPr="00D9348B">
              <w:rPr>
                <w:rFonts w:cs="Calibri"/>
                <w:noProof w:val="0"/>
                <w:color w:val="FFFFFF"/>
                <w:vertAlign w:val="subscript"/>
              </w:rPr>
              <w:t>GASM</w:t>
            </w:r>
            <w:r w:rsidRPr="00D9348B">
              <w:rPr>
                <w:rFonts w:cs="Calibri"/>
                <w:noProof w:val="0"/>
                <w:color w:val="FFFFFF"/>
                <w:vertAlign w:val="subscript"/>
              </w:rPr>
              <w:br/>
            </w:r>
            <w:r w:rsidRPr="00D9348B">
              <w:rPr>
                <w:rFonts w:cs="Calibri"/>
                <w:noProof w:val="0"/>
                <w:color w:val="FFFFFF"/>
              </w:rPr>
              <w:t>(kg NH</w:t>
            </w:r>
            <w:r w:rsidRPr="00D9348B">
              <w:rPr>
                <w:rFonts w:cs="Calibri"/>
                <w:noProof w:val="0"/>
                <w:color w:val="FFFFFF"/>
                <w:vertAlign w:val="subscript"/>
              </w:rPr>
              <w:t>3</w:t>
            </w:r>
            <w:r w:rsidRPr="00D9348B">
              <w:rPr>
                <w:rFonts w:cs="Calibri"/>
                <w:noProof w:val="0"/>
                <w:color w:val="FFFFFF"/>
              </w:rPr>
              <w:t>-N and NO</w:t>
            </w:r>
            <w:r w:rsidRPr="00D9348B">
              <w:rPr>
                <w:rFonts w:cs="Calibri"/>
                <w:noProof w:val="0"/>
                <w:color w:val="FFFFFF"/>
                <w:vertAlign w:val="subscript"/>
              </w:rPr>
              <w:t>x</w:t>
            </w:r>
            <w:r w:rsidRPr="00D9348B">
              <w:rPr>
                <w:rFonts w:cs="Calibri"/>
                <w:noProof w:val="0"/>
                <w:color w:val="FFFFFF"/>
              </w:rPr>
              <w:t>-N/kg of N excreted)</w:t>
            </w:r>
          </w:p>
        </w:tc>
        <w:tc>
          <w:tcPr>
            <w:tcW w:w="1701" w:type="dxa"/>
            <w:shd w:val="clear" w:color="auto" w:fill="365F91"/>
            <w:vAlign w:val="bottom"/>
          </w:tcPr>
          <w:p w14:paraId="39CB56F9" w14:textId="77777777" w:rsidR="00F849A7" w:rsidRPr="00D9348B" w:rsidRDefault="00F849A7" w:rsidP="00DB330E">
            <w:pPr>
              <w:pStyle w:val="TableTextBold"/>
              <w:keepNext/>
              <w:spacing w:before="40" w:after="40"/>
              <w:rPr>
                <w:rFonts w:cs="Calibri"/>
                <w:noProof w:val="0"/>
                <w:color w:val="FFFFFF"/>
              </w:rPr>
            </w:pPr>
            <w:r w:rsidRPr="00D9348B">
              <w:rPr>
                <w:rFonts w:cs="Calibri"/>
                <w:noProof w:val="0"/>
                <w:color w:val="FFFFFF"/>
              </w:rPr>
              <w:t>Frac</w:t>
            </w:r>
            <w:r w:rsidRPr="00D9348B">
              <w:rPr>
                <w:rFonts w:cs="Calibri"/>
                <w:noProof w:val="0"/>
                <w:color w:val="FFFFFF"/>
                <w:vertAlign w:val="subscript"/>
              </w:rPr>
              <w:t>LEACH-(H)</w:t>
            </w:r>
            <w:r w:rsidRPr="00D9348B">
              <w:rPr>
                <w:rFonts w:cs="Calibri"/>
                <w:noProof w:val="0"/>
                <w:color w:val="FFFFFF"/>
                <w:vertAlign w:val="subscript"/>
              </w:rPr>
              <w:br/>
            </w:r>
            <w:r w:rsidRPr="00D9348B">
              <w:rPr>
                <w:rFonts w:cs="Calibri"/>
                <w:noProof w:val="0"/>
                <w:color w:val="FFFFFF"/>
              </w:rPr>
              <w:t>(kg N/kg fertiliser or manure N)</w:t>
            </w:r>
          </w:p>
        </w:tc>
      </w:tr>
      <w:tr w:rsidR="00F849A7" w:rsidRPr="00D9348B" w14:paraId="2C38CD38" w14:textId="77777777" w:rsidTr="00DB330E">
        <w:tc>
          <w:tcPr>
            <w:tcW w:w="2977" w:type="dxa"/>
            <w:shd w:val="clear" w:color="auto" w:fill="auto"/>
          </w:tcPr>
          <w:p w14:paraId="18899396" w14:textId="77777777" w:rsidR="00F849A7" w:rsidRPr="00D9348B" w:rsidRDefault="00F849A7" w:rsidP="00DB330E">
            <w:pPr>
              <w:pStyle w:val="TableText"/>
              <w:spacing w:before="40" w:after="40"/>
              <w:rPr>
                <w:rFonts w:cs="Calibri"/>
              </w:rPr>
            </w:pPr>
            <w:r w:rsidRPr="00D9348B">
              <w:rPr>
                <w:rFonts w:cs="Calibri"/>
              </w:rPr>
              <w:t>IPCC (2006) default value</w:t>
            </w:r>
          </w:p>
        </w:tc>
        <w:tc>
          <w:tcPr>
            <w:tcW w:w="1985" w:type="dxa"/>
            <w:shd w:val="clear" w:color="auto" w:fill="auto"/>
          </w:tcPr>
          <w:p w14:paraId="70EF9258" w14:textId="77777777" w:rsidR="00F849A7" w:rsidRPr="00D9348B" w:rsidRDefault="00F849A7" w:rsidP="00DB330E">
            <w:pPr>
              <w:pStyle w:val="TableText"/>
              <w:spacing w:before="40" w:after="40"/>
              <w:rPr>
                <w:rFonts w:cs="Calibri"/>
              </w:rPr>
            </w:pPr>
            <w:r w:rsidRPr="00D9348B">
              <w:rPr>
                <w:rFonts w:cs="Calibri"/>
              </w:rPr>
              <w:t>0.1</w:t>
            </w:r>
          </w:p>
        </w:tc>
        <w:tc>
          <w:tcPr>
            <w:tcW w:w="1842" w:type="dxa"/>
            <w:shd w:val="clear" w:color="auto" w:fill="auto"/>
          </w:tcPr>
          <w:p w14:paraId="31CE244B" w14:textId="77777777" w:rsidR="00F849A7" w:rsidRPr="00D9348B" w:rsidRDefault="00F849A7" w:rsidP="00DB330E">
            <w:pPr>
              <w:pStyle w:val="TableText"/>
              <w:spacing w:before="40" w:after="40"/>
              <w:rPr>
                <w:rFonts w:cs="Calibri"/>
              </w:rPr>
            </w:pPr>
            <w:r w:rsidRPr="00D9348B">
              <w:rPr>
                <w:rFonts w:cs="Calibri"/>
              </w:rPr>
              <w:t>0.2</w:t>
            </w:r>
          </w:p>
        </w:tc>
        <w:tc>
          <w:tcPr>
            <w:tcW w:w="1701" w:type="dxa"/>
            <w:shd w:val="clear" w:color="auto" w:fill="auto"/>
          </w:tcPr>
          <w:p w14:paraId="4C53217E" w14:textId="77777777" w:rsidR="00F849A7" w:rsidRPr="00D9348B" w:rsidRDefault="00F849A7" w:rsidP="00DB330E">
            <w:pPr>
              <w:pStyle w:val="TableText"/>
              <w:spacing w:before="40" w:after="40"/>
              <w:rPr>
                <w:rFonts w:cs="Calibri"/>
              </w:rPr>
            </w:pPr>
            <w:r w:rsidRPr="00D9348B">
              <w:rPr>
                <w:rFonts w:cs="Calibri"/>
              </w:rPr>
              <w:t>0.3</w:t>
            </w:r>
          </w:p>
        </w:tc>
      </w:tr>
      <w:tr w:rsidR="00F849A7" w:rsidRPr="00D9348B" w14:paraId="130209A0" w14:textId="77777777" w:rsidTr="00DB330E">
        <w:tc>
          <w:tcPr>
            <w:tcW w:w="2977" w:type="dxa"/>
          </w:tcPr>
          <w:p w14:paraId="1A25AD25" w14:textId="77777777" w:rsidR="00F849A7" w:rsidRPr="00D9348B" w:rsidRDefault="00F849A7" w:rsidP="00DB330E">
            <w:pPr>
              <w:pStyle w:val="TableText"/>
              <w:spacing w:before="40" w:after="40"/>
              <w:rPr>
                <w:rFonts w:cs="Calibri"/>
              </w:rPr>
            </w:pPr>
            <w:r w:rsidRPr="00D9348B">
              <w:rPr>
                <w:rFonts w:cs="Calibri"/>
              </w:rPr>
              <w:t>Australian-specific 2017 value</w:t>
            </w:r>
          </w:p>
        </w:tc>
        <w:tc>
          <w:tcPr>
            <w:tcW w:w="1985" w:type="dxa"/>
          </w:tcPr>
          <w:p w14:paraId="32702914" w14:textId="77777777" w:rsidR="00F849A7" w:rsidRPr="00D9348B" w:rsidRDefault="00F849A7" w:rsidP="00DB330E">
            <w:pPr>
              <w:pStyle w:val="TableText"/>
              <w:spacing w:before="40" w:after="40"/>
              <w:rPr>
                <w:rFonts w:cs="Calibri"/>
              </w:rPr>
            </w:pPr>
            <w:r w:rsidRPr="00D9348B">
              <w:rPr>
                <w:rFonts w:cs="Calibri"/>
              </w:rPr>
              <w:t>0.1</w:t>
            </w:r>
          </w:p>
        </w:tc>
        <w:tc>
          <w:tcPr>
            <w:tcW w:w="1842" w:type="dxa"/>
          </w:tcPr>
          <w:p w14:paraId="13E4A66E" w14:textId="77777777" w:rsidR="00F849A7" w:rsidRPr="00D9348B" w:rsidRDefault="00F849A7" w:rsidP="00DB330E">
            <w:pPr>
              <w:pStyle w:val="TableText"/>
              <w:spacing w:before="40" w:after="40"/>
              <w:rPr>
                <w:rFonts w:cs="Calibri"/>
              </w:rPr>
            </w:pPr>
            <w:r w:rsidRPr="00D9348B">
              <w:rPr>
                <w:rFonts w:cs="Calibri"/>
              </w:rPr>
              <w:t>0.2</w:t>
            </w:r>
          </w:p>
        </w:tc>
        <w:tc>
          <w:tcPr>
            <w:tcW w:w="1701" w:type="dxa"/>
          </w:tcPr>
          <w:p w14:paraId="45D18C59" w14:textId="77777777" w:rsidR="00F849A7" w:rsidRPr="00D9348B" w:rsidRDefault="00F849A7" w:rsidP="00DB330E">
            <w:pPr>
              <w:pStyle w:val="TableText"/>
              <w:spacing w:before="40" w:after="40"/>
              <w:rPr>
                <w:rFonts w:cs="Calibri"/>
              </w:rPr>
            </w:pPr>
            <w:r w:rsidRPr="00D9348B">
              <w:rPr>
                <w:rFonts w:cs="Calibri"/>
              </w:rPr>
              <w:t>0.3</w:t>
            </w:r>
          </w:p>
        </w:tc>
      </w:tr>
      <w:tr w:rsidR="00F849A7" w:rsidRPr="00D9348B" w14:paraId="4B84A6FF" w14:textId="77777777" w:rsidTr="00DB330E">
        <w:tc>
          <w:tcPr>
            <w:tcW w:w="2977" w:type="dxa"/>
          </w:tcPr>
          <w:p w14:paraId="50380A0D" w14:textId="77777777" w:rsidR="00F849A7" w:rsidRPr="00D9348B" w:rsidRDefault="00F849A7" w:rsidP="00DB330E">
            <w:pPr>
              <w:pStyle w:val="TableText"/>
              <w:spacing w:before="40" w:after="40"/>
              <w:rPr>
                <w:rFonts w:cs="Calibri"/>
              </w:rPr>
            </w:pPr>
            <w:r w:rsidRPr="00D9348B">
              <w:rPr>
                <w:rFonts w:cs="Calibri"/>
              </w:rPr>
              <w:t>New Zealand-specific IEF 2018 value</w:t>
            </w:r>
          </w:p>
        </w:tc>
        <w:tc>
          <w:tcPr>
            <w:tcW w:w="1985" w:type="dxa"/>
          </w:tcPr>
          <w:p w14:paraId="10E68724" w14:textId="77777777" w:rsidR="00F849A7" w:rsidRPr="00D9348B" w:rsidRDefault="00F849A7" w:rsidP="00DB330E">
            <w:pPr>
              <w:pStyle w:val="TableText"/>
              <w:spacing w:before="40" w:after="40"/>
              <w:rPr>
                <w:rFonts w:cs="Calibri"/>
              </w:rPr>
            </w:pPr>
            <w:r w:rsidRPr="00D9348B">
              <w:rPr>
                <w:rFonts w:cs="Calibri"/>
              </w:rPr>
              <w:t>0.1</w:t>
            </w:r>
          </w:p>
        </w:tc>
        <w:tc>
          <w:tcPr>
            <w:tcW w:w="1842" w:type="dxa"/>
          </w:tcPr>
          <w:p w14:paraId="76DB3190" w14:textId="77777777" w:rsidR="00F849A7" w:rsidRPr="00D9348B" w:rsidRDefault="00F849A7" w:rsidP="00DB330E">
            <w:pPr>
              <w:pStyle w:val="TableText"/>
              <w:spacing w:before="40" w:after="40"/>
              <w:rPr>
                <w:rFonts w:cs="Calibri"/>
              </w:rPr>
            </w:pPr>
            <w:r w:rsidRPr="00D9348B">
              <w:rPr>
                <w:rFonts w:cs="Calibri"/>
              </w:rPr>
              <w:t>0.1</w:t>
            </w:r>
          </w:p>
        </w:tc>
        <w:tc>
          <w:tcPr>
            <w:tcW w:w="1701" w:type="dxa"/>
          </w:tcPr>
          <w:p w14:paraId="52095813" w14:textId="77777777" w:rsidR="00F849A7" w:rsidRPr="00D9348B" w:rsidRDefault="00F849A7" w:rsidP="00DB330E">
            <w:pPr>
              <w:pStyle w:val="TableText"/>
              <w:spacing w:before="40" w:after="40"/>
              <w:rPr>
                <w:rFonts w:cs="Calibri"/>
              </w:rPr>
            </w:pPr>
            <w:r w:rsidRPr="00D9348B">
              <w:rPr>
                <w:rFonts w:cs="Calibri"/>
              </w:rPr>
              <w:t>0.07</w:t>
            </w:r>
          </w:p>
        </w:tc>
      </w:tr>
    </w:tbl>
    <w:p w14:paraId="3B07532A" w14:textId="77777777" w:rsidR="00F849A7" w:rsidRPr="00D9348B" w:rsidRDefault="00F849A7" w:rsidP="00F849A7">
      <w:pPr>
        <w:pStyle w:val="Source"/>
        <w:rPr>
          <w:rFonts w:cs="Calibri"/>
        </w:rPr>
      </w:pPr>
      <w:r w:rsidRPr="00D9348B">
        <w:rPr>
          <w:rFonts w:cs="Calibri"/>
          <w:b/>
          <w:bCs/>
        </w:rPr>
        <w:t>Source:</w:t>
      </w:r>
      <w:r w:rsidRPr="00D9348B">
        <w:rPr>
          <w:rFonts w:cs="Calibri"/>
        </w:rPr>
        <w:t xml:space="preserve"> </w:t>
      </w:r>
      <w:r w:rsidRPr="00D9348B">
        <w:rPr>
          <w:rFonts w:cs="Calibri"/>
        </w:rPr>
        <w:tab/>
        <w:t>UNFCCC (https://unfccc.int/documents/195780)</w:t>
      </w:r>
    </w:p>
    <w:p w14:paraId="230E3386" w14:textId="77777777" w:rsidR="00F849A7" w:rsidRPr="00D9348B" w:rsidRDefault="00F849A7" w:rsidP="00F849A7">
      <w:pPr>
        <w:pStyle w:val="Heading3"/>
        <w:rPr>
          <w:rFonts w:cs="Calibri"/>
        </w:rPr>
      </w:pPr>
      <w:bookmarkStart w:id="978" w:name="_Toc139253937"/>
      <w:bookmarkStart w:id="979" w:name="_Toc32570671"/>
      <w:r w:rsidRPr="00D9348B">
        <w:rPr>
          <w:rFonts w:cs="Calibri"/>
        </w:rPr>
        <w:lastRenderedPageBreak/>
        <w:t>5.5.5</w:t>
      </w:r>
      <w:r w:rsidRPr="00D9348B">
        <w:rPr>
          <w:rFonts w:cs="Calibri"/>
        </w:rPr>
        <w:tab/>
        <w:t>Source-specific recalculations</w:t>
      </w:r>
      <w:bookmarkEnd w:id="978"/>
      <w:bookmarkEnd w:id="979"/>
    </w:p>
    <w:p w14:paraId="72DB572C" w14:textId="77777777" w:rsidR="00F849A7" w:rsidRPr="00D9348B" w:rsidRDefault="00F849A7" w:rsidP="00F849A7">
      <w:pPr>
        <w:pStyle w:val="BodyText"/>
        <w:rPr>
          <w:rFonts w:cs="Calibri"/>
        </w:rPr>
      </w:pPr>
      <w:bookmarkStart w:id="980" w:name="_Toc139253938"/>
      <w:r w:rsidRPr="00D9348B">
        <w:rPr>
          <w:rFonts w:cs="Calibri"/>
        </w:rPr>
        <w:t xml:space="preserve">Emissions estimates in the </w:t>
      </w:r>
      <w:r w:rsidRPr="00D9348B">
        <w:rPr>
          <w:rFonts w:cs="Calibri"/>
          <w:i/>
          <w:iCs/>
        </w:rPr>
        <w:t>Agricultural soils</w:t>
      </w:r>
      <w:r w:rsidRPr="00D9348B">
        <w:rPr>
          <w:rFonts w:cs="Calibri"/>
        </w:rPr>
        <w:t xml:space="preserve"> category have been affected by the following methodological improvements and corrections:</w:t>
      </w:r>
    </w:p>
    <w:p w14:paraId="63AC155D" w14:textId="77777777" w:rsidR="00F849A7" w:rsidRPr="00D9348B" w:rsidRDefault="00F849A7" w:rsidP="00771A8F">
      <w:pPr>
        <w:pStyle w:val="Bullet"/>
        <w:numPr>
          <w:ilvl w:val="0"/>
          <w:numId w:val="20"/>
        </w:numPr>
        <w:rPr>
          <w:rFonts w:cs="Calibri"/>
        </w:rPr>
      </w:pPr>
      <w:r w:rsidRPr="00D9348B">
        <w:rPr>
          <w:rFonts w:cs="Calibri"/>
        </w:rPr>
        <w:t>the use of new EF</w:t>
      </w:r>
      <w:r w:rsidRPr="00D9348B">
        <w:rPr>
          <w:rFonts w:cs="Calibri"/>
          <w:vertAlign w:val="subscript"/>
        </w:rPr>
        <w:t>3</w:t>
      </w:r>
      <w:r w:rsidRPr="00D9348B">
        <w:rPr>
          <w:rFonts w:cs="Calibri"/>
        </w:rPr>
        <w:t xml:space="preserve"> emission factors for N</w:t>
      </w:r>
      <w:r w:rsidRPr="00D9348B">
        <w:rPr>
          <w:rFonts w:cs="Calibri"/>
          <w:vertAlign w:val="subscript"/>
        </w:rPr>
        <w:t>2</w:t>
      </w:r>
      <w:r w:rsidRPr="00D9348B">
        <w:rPr>
          <w:rFonts w:cs="Calibri"/>
        </w:rPr>
        <w:t>O emissions from excreta deposited on hill country (low, medium or steep); split by livestock type, excreta type and slope, applied using new methodology from the nutrient transfer model described in section 5.5.2 and annex 3.1.3</w:t>
      </w:r>
    </w:p>
    <w:p w14:paraId="5BBC7DA8" w14:textId="77777777" w:rsidR="00F849A7" w:rsidRPr="00D9348B" w:rsidRDefault="00F849A7" w:rsidP="00771A8F">
      <w:pPr>
        <w:pStyle w:val="Bullet"/>
        <w:numPr>
          <w:ilvl w:val="0"/>
          <w:numId w:val="20"/>
        </w:numPr>
        <w:rPr>
          <w:rFonts w:cs="Calibri"/>
        </w:rPr>
      </w:pPr>
      <w:proofErr w:type="gramStart"/>
      <w:r w:rsidRPr="00D9348B">
        <w:rPr>
          <w:rFonts w:cs="Calibri"/>
        </w:rPr>
        <w:t>revised</w:t>
      </w:r>
      <w:proofErr w:type="gramEnd"/>
      <w:r w:rsidRPr="00D9348B">
        <w:rPr>
          <w:rFonts w:cs="Calibri"/>
        </w:rPr>
        <w:t xml:space="preserve"> activity data on the proportion of dairy goats in the overall farmed goat population, which reflects the findings of recent research. This change affected N</w:t>
      </w:r>
      <w:r w:rsidRPr="00D9348B">
        <w:rPr>
          <w:rFonts w:cs="Calibri"/>
          <w:vertAlign w:val="subscript"/>
        </w:rPr>
        <w:t>2</w:t>
      </w:r>
      <w:r w:rsidRPr="00D9348B">
        <w:rPr>
          <w:rFonts w:cs="Calibri"/>
        </w:rPr>
        <w:t>O emissions from goats</w:t>
      </w:r>
    </w:p>
    <w:p w14:paraId="692D6CF2" w14:textId="77777777" w:rsidR="00F849A7" w:rsidRPr="00D9348B" w:rsidRDefault="00F849A7" w:rsidP="00771A8F">
      <w:pPr>
        <w:pStyle w:val="Bullet"/>
        <w:numPr>
          <w:ilvl w:val="0"/>
          <w:numId w:val="20"/>
        </w:numPr>
        <w:rPr>
          <w:rFonts w:cs="Calibri"/>
        </w:rPr>
      </w:pPr>
      <w:proofErr w:type="gramStart"/>
      <w:r w:rsidRPr="00D9348B">
        <w:rPr>
          <w:rFonts w:cs="Calibri"/>
        </w:rPr>
        <w:t>minor</w:t>
      </w:r>
      <w:proofErr w:type="gramEnd"/>
      <w:r w:rsidRPr="00D9348B">
        <w:rPr>
          <w:rFonts w:cs="Calibri"/>
        </w:rPr>
        <w:t xml:space="preserve"> improvements to the equations used to estimate energy efficiency for maintenance (k</w:t>
      </w:r>
      <w:r w:rsidRPr="00D9348B">
        <w:rPr>
          <w:rFonts w:cs="Calibri"/>
          <w:vertAlign w:val="subscript"/>
        </w:rPr>
        <w:t>m</w:t>
      </w:r>
      <w:r w:rsidRPr="00D9348B">
        <w:rPr>
          <w:rFonts w:cs="Calibri"/>
        </w:rPr>
        <w:t xml:space="preserve">) for beef cattle, sheep and deer, which is used to help calculate energy requirements, intake and nitrogen excretion. This change had a small effect on estimated emissions and included the specification of a constant to more significant figures and reverting to the IPCC default value for the gross energy content of feed of 18.45 MJ/kg dry matter. </w:t>
      </w:r>
    </w:p>
    <w:p w14:paraId="0EB974BB" w14:textId="77777777" w:rsidR="00F849A7" w:rsidRPr="00D9348B" w:rsidRDefault="00F849A7" w:rsidP="00F849A7">
      <w:pPr>
        <w:pStyle w:val="BodyText"/>
        <w:rPr>
          <w:rFonts w:cs="Calibri"/>
        </w:rPr>
      </w:pPr>
      <w:r w:rsidRPr="00D9348B">
        <w:rPr>
          <w:rFonts w:cs="Calibri"/>
        </w:rPr>
        <w:t xml:space="preserve">Emissions estimates have also been updated using the latest available activity data from the sources described in section 5.1.4. </w:t>
      </w:r>
    </w:p>
    <w:p w14:paraId="7BBFE439" w14:textId="77777777" w:rsidR="00F849A7" w:rsidRPr="00D9348B" w:rsidRDefault="00F849A7" w:rsidP="00F849A7">
      <w:pPr>
        <w:pStyle w:val="Heading5"/>
        <w:rPr>
          <w:rFonts w:cs="Calibri"/>
        </w:rPr>
      </w:pPr>
      <w:r w:rsidRPr="00D9348B">
        <w:rPr>
          <w:rFonts w:cs="Calibri"/>
        </w:rPr>
        <w:t>New EF</w:t>
      </w:r>
      <w:r w:rsidRPr="00D9348B">
        <w:rPr>
          <w:rFonts w:cs="Calibri"/>
          <w:vertAlign w:val="subscript"/>
        </w:rPr>
        <w:t>3</w:t>
      </w:r>
      <w:r w:rsidRPr="00D9348B">
        <w:rPr>
          <w:rFonts w:cs="Calibri"/>
        </w:rPr>
        <w:t xml:space="preserve"> emission factor values for cattle, sheep and deer, and new methodology to allocate nitrogen excretion to different hill slopes</w:t>
      </w:r>
    </w:p>
    <w:p w14:paraId="0BA36B0D" w14:textId="3F90E106" w:rsidR="00F849A7" w:rsidRPr="00D9348B" w:rsidRDefault="00F849A7" w:rsidP="00F849A7">
      <w:pPr>
        <w:pStyle w:val="BodyText"/>
        <w:rPr>
          <w:rFonts w:cs="Calibri"/>
        </w:rPr>
      </w:pPr>
      <w:r w:rsidRPr="00D9348B">
        <w:rPr>
          <w:rFonts w:cs="Calibri"/>
        </w:rPr>
        <w:t>For the 2020 inventory submission, a new set of emission factors to calculate N</w:t>
      </w:r>
      <w:r w:rsidRPr="00D9348B">
        <w:rPr>
          <w:rFonts w:cs="Calibri"/>
          <w:vertAlign w:val="subscript"/>
        </w:rPr>
        <w:t>2</w:t>
      </w:r>
      <w:r w:rsidRPr="00D9348B">
        <w:rPr>
          <w:rFonts w:cs="Calibri"/>
        </w:rPr>
        <w:t>O emissions from sheep, deer, beef cattle and dairy cattle from dung and urine deposited directly onto pasture (EF</w:t>
      </w:r>
      <w:r w:rsidRPr="00D9348B">
        <w:rPr>
          <w:rFonts w:cs="Calibri"/>
          <w:vertAlign w:val="subscript"/>
        </w:rPr>
        <w:t>3</w:t>
      </w:r>
      <w:proofErr w:type="gramStart"/>
      <w:r w:rsidRPr="00D9348B">
        <w:rPr>
          <w:rFonts w:cs="Calibri"/>
          <w:vertAlign w:val="subscript"/>
        </w:rPr>
        <w:t>,PRP</w:t>
      </w:r>
      <w:proofErr w:type="gramEnd"/>
      <w:r w:rsidRPr="00D9348B">
        <w:rPr>
          <w:rFonts w:cs="Calibri"/>
        </w:rPr>
        <w:t xml:space="preserve">) has been adopted, based on research from van der Weerden et al. (2019). More information on this research and the new emission factors is in section 5.5.2, pages </w:t>
      </w:r>
      <w:r w:rsidR="007B587C" w:rsidRPr="00D9348B">
        <w:rPr>
          <w:rFonts w:cs="Calibri"/>
        </w:rPr>
        <w:t>20</w:t>
      </w:r>
      <w:r w:rsidR="001368D6" w:rsidRPr="00D9348B">
        <w:rPr>
          <w:rFonts w:cs="Calibri"/>
        </w:rPr>
        <w:t>8</w:t>
      </w:r>
      <w:r w:rsidRPr="00D9348B">
        <w:rPr>
          <w:rFonts w:cs="Calibri"/>
        </w:rPr>
        <w:t>–</w:t>
      </w:r>
      <w:r w:rsidR="001368D6" w:rsidRPr="00D9348B">
        <w:rPr>
          <w:rFonts w:cs="Calibri"/>
        </w:rPr>
        <w:t>213</w:t>
      </w:r>
      <w:r w:rsidRPr="00D9348B">
        <w:rPr>
          <w:rFonts w:cs="Calibri"/>
        </w:rPr>
        <w:t>.</w:t>
      </w:r>
    </w:p>
    <w:p w14:paraId="174E8D71" w14:textId="77777777" w:rsidR="00F849A7" w:rsidRPr="00D9348B" w:rsidRDefault="00F849A7" w:rsidP="00F849A7">
      <w:pPr>
        <w:pStyle w:val="BodyText"/>
        <w:rPr>
          <w:rFonts w:cs="Calibri"/>
        </w:rPr>
      </w:pPr>
      <w:r w:rsidRPr="00D9348B">
        <w:rPr>
          <w:rFonts w:cs="Calibri"/>
        </w:rPr>
        <w:t>As part of this change, a nutrient transfer model developed by Saggar et al. (2015) is used to allocate total urine and dung N</w:t>
      </w:r>
      <w:r w:rsidRPr="00D9348B">
        <w:rPr>
          <w:rFonts w:cs="Calibri"/>
          <w:vertAlign w:val="subscript"/>
        </w:rPr>
        <w:t>ex</w:t>
      </w:r>
      <w:r w:rsidRPr="00D9348B">
        <w:rPr>
          <w:rFonts w:cs="Calibri"/>
        </w:rPr>
        <w:t xml:space="preserve"> (calculated using the methods described in section 5.5.2) to the different hill slope categories. The nutrient transfer model uses data on the area of farm land under different slope types, and accounts for animal behaviour which spend relatively more time on lower slopes. For more information on this model, please refer to annex 3.1.3.</w:t>
      </w:r>
    </w:p>
    <w:p w14:paraId="3B94F8F9" w14:textId="77777777" w:rsidR="00F849A7" w:rsidRPr="00D9348B" w:rsidRDefault="00F849A7" w:rsidP="00F849A7">
      <w:pPr>
        <w:pStyle w:val="BodyText"/>
        <w:rPr>
          <w:rFonts w:cs="Calibri"/>
        </w:rPr>
      </w:pPr>
      <w:r w:rsidRPr="00D9348B">
        <w:rPr>
          <w:rFonts w:cs="Calibri"/>
        </w:rPr>
        <w:t>In previous inventory submissions, an EF</w:t>
      </w:r>
      <w:r w:rsidRPr="00D9348B">
        <w:rPr>
          <w:rFonts w:cs="Calibri"/>
          <w:vertAlign w:val="subscript"/>
        </w:rPr>
        <w:t>3</w:t>
      </w:r>
      <w:proofErr w:type="gramStart"/>
      <w:r w:rsidRPr="00D9348B">
        <w:rPr>
          <w:rFonts w:cs="Calibri"/>
          <w:vertAlign w:val="subscript"/>
        </w:rPr>
        <w:t>,PRP</w:t>
      </w:r>
      <w:proofErr w:type="gramEnd"/>
      <w:r w:rsidRPr="00D9348B" w:rsidDel="00467F93">
        <w:rPr>
          <w:rFonts w:cs="Calibri"/>
        </w:rPr>
        <w:t xml:space="preserve"> </w:t>
      </w:r>
      <w:r w:rsidRPr="00D9348B">
        <w:rPr>
          <w:rFonts w:cs="Calibri"/>
        </w:rPr>
        <w:t>value of 0.01 was used for urine from cattle, sheep and deer, while an EF</w:t>
      </w:r>
      <w:r w:rsidRPr="00D9348B">
        <w:rPr>
          <w:rFonts w:cs="Calibri"/>
          <w:vertAlign w:val="subscript"/>
        </w:rPr>
        <w:t>3,PRP</w:t>
      </w:r>
      <w:r w:rsidRPr="00D9348B" w:rsidDel="00467F93">
        <w:rPr>
          <w:rFonts w:cs="Calibri"/>
        </w:rPr>
        <w:t xml:space="preserve"> </w:t>
      </w:r>
      <w:r w:rsidRPr="00D9348B">
        <w:rPr>
          <w:rFonts w:cs="Calibri"/>
        </w:rPr>
        <w:t>value of 0.0025 was used for urine from cattle, sheep and deer. These emission factors overestimated N</w:t>
      </w:r>
      <w:r w:rsidRPr="00D9348B">
        <w:rPr>
          <w:rFonts w:cs="Calibri"/>
          <w:vertAlign w:val="subscript"/>
        </w:rPr>
        <w:t>2</w:t>
      </w:r>
      <w:r w:rsidRPr="00D9348B">
        <w:rPr>
          <w:rFonts w:cs="Calibri"/>
        </w:rPr>
        <w:t>O emissions on sloping hill land, as shown by the extensive research conducted on these slopes by van der Weerden et al. (2019).</w:t>
      </w:r>
    </w:p>
    <w:p w14:paraId="5D2048E3" w14:textId="77777777" w:rsidR="00F849A7" w:rsidRPr="00D9348B" w:rsidRDefault="00F849A7" w:rsidP="00F849A7">
      <w:pPr>
        <w:pStyle w:val="BodyText"/>
        <w:rPr>
          <w:rFonts w:cs="Calibri"/>
        </w:rPr>
      </w:pPr>
      <w:r w:rsidRPr="00D9348B">
        <w:rPr>
          <w:rFonts w:cs="Calibri"/>
        </w:rPr>
        <w:t xml:space="preserve">The implementation of this change in methodology caused estimated emissions from </w:t>
      </w:r>
      <w:r w:rsidRPr="00D9348B">
        <w:rPr>
          <w:rFonts w:cs="Calibri"/>
          <w:i/>
          <w:iCs/>
        </w:rPr>
        <w:t>Agricultural soils</w:t>
      </w:r>
      <w:r w:rsidRPr="00D9348B">
        <w:rPr>
          <w:rFonts w:cs="Calibri"/>
        </w:rPr>
        <w:t xml:space="preserve"> to decrease by 33.3 per cent in 1990 and 19.2 per cent in 2018 (see table 5.5.14). The difference in emission factors between sheep and cattle, the large fall in the sheep population and large increase in the dairy population since 1990 are the main causes of the difference between the 1990 change and the 2018 change.</w:t>
      </w:r>
    </w:p>
    <w:p w14:paraId="3A9923E7" w14:textId="7FFCE9C5" w:rsidR="00F849A7" w:rsidRPr="00D9348B" w:rsidRDefault="00F849A7" w:rsidP="00F849A7">
      <w:pPr>
        <w:pStyle w:val="Table"/>
        <w:rPr>
          <w:rFonts w:cs="Calibri"/>
        </w:rPr>
      </w:pPr>
      <w:bookmarkStart w:id="981" w:name="_Toc5269495"/>
      <w:bookmarkStart w:id="982" w:name="_Toc32570940"/>
      <w:bookmarkStart w:id="983" w:name="_Toc36224575"/>
      <w:r w:rsidRPr="00D9348B">
        <w:rPr>
          <w:rFonts w:cs="Calibri"/>
        </w:rPr>
        <w:lastRenderedPageBreak/>
        <w:t>Table 5.5.14</w:t>
      </w:r>
      <w:r w:rsidRPr="00D9348B">
        <w:rPr>
          <w:rFonts w:cs="Calibri"/>
        </w:rPr>
        <w:tab/>
        <w:t>Comparison of current and previous emissions estimates before and after change to EF</w:t>
      </w:r>
      <w:r w:rsidRPr="00D9348B">
        <w:rPr>
          <w:rFonts w:cs="Calibri"/>
          <w:vertAlign w:val="subscript"/>
        </w:rPr>
        <w:t>3</w:t>
      </w:r>
      <w:proofErr w:type="gramStart"/>
      <w:r w:rsidRPr="00D9348B">
        <w:rPr>
          <w:rFonts w:cs="Calibri"/>
          <w:vertAlign w:val="subscript"/>
        </w:rPr>
        <w:t>,PRP</w:t>
      </w:r>
      <w:proofErr w:type="gramEnd"/>
      <w:r w:rsidRPr="00D9348B">
        <w:rPr>
          <w:rFonts w:cs="Calibri"/>
        </w:rPr>
        <w:t xml:space="preserve"> values for cattle, sheep and deer, and new methodology to allocate N</w:t>
      </w:r>
      <w:r w:rsidRPr="00D9348B">
        <w:rPr>
          <w:rFonts w:cs="Calibri"/>
          <w:vertAlign w:val="subscript"/>
        </w:rPr>
        <w:t>ex</w:t>
      </w:r>
      <w:r w:rsidR="00164ECC" w:rsidRPr="00D9348B">
        <w:rPr>
          <w:rFonts w:cs="Calibri"/>
        </w:rPr>
        <w:t> </w:t>
      </w:r>
      <w:r w:rsidRPr="00D9348B">
        <w:rPr>
          <w:rFonts w:cs="Calibri"/>
        </w:rPr>
        <w:t>to different hill slopes</w:t>
      </w:r>
      <w:bookmarkEnd w:id="981"/>
      <w:bookmarkEnd w:id="982"/>
      <w:bookmarkEnd w:id="983"/>
    </w:p>
    <w:tbl>
      <w:tblPr>
        <w:tblW w:w="8562" w:type="dxa"/>
        <w:tblInd w:w="108" w:type="dxa"/>
        <w:tblBorders>
          <w:top w:val="single" w:sz="4" w:space="0" w:color="365F91"/>
          <w:bottom w:val="single" w:sz="4" w:space="0" w:color="365F91"/>
          <w:insideH w:val="single" w:sz="4" w:space="0" w:color="365F91"/>
        </w:tblBorders>
        <w:tblLayout w:type="fixed"/>
        <w:tblLook w:val="0000" w:firstRow="0" w:lastRow="0" w:firstColumn="0" w:lastColumn="0" w:noHBand="0" w:noVBand="0"/>
      </w:tblPr>
      <w:tblGrid>
        <w:gridCol w:w="1428"/>
        <w:gridCol w:w="2283"/>
        <w:gridCol w:w="856"/>
        <w:gridCol w:w="857"/>
        <w:gridCol w:w="1569"/>
        <w:gridCol w:w="1569"/>
      </w:tblGrid>
      <w:tr w:rsidR="00F849A7" w:rsidRPr="00D9348B" w14:paraId="342C6836" w14:textId="77777777" w:rsidTr="00DE15BD">
        <w:trPr>
          <w:trHeight w:val="608"/>
          <w:tblHeader/>
        </w:trPr>
        <w:tc>
          <w:tcPr>
            <w:tcW w:w="1418" w:type="dxa"/>
            <w:shd w:val="clear" w:color="auto" w:fill="365F91"/>
            <w:vAlign w:val="bottom"/>
          </w:tcPr>
          <w:p w14:paraId="20031CED" w14:textId="77777777" w:rsidR="00F849A7" w:rsidRPr="00D9348B" w:rsidRDefault="00F849A7" w:rsidP="00DB330E">
            <w:pPr>
              <w:pStyle w:val="TableTextBold"/>
              <w:keepNext/>
              <w:rPr>
                <w:rFonts w:cs="Calibri"/>
                <w:noProof w:val="0"/>
                <w:color w:val="FFFFFF"/>
                <w:szCs w:val="16"/>
              </w:rPr>
            </w:pPr>
            <w:r w:rsidRPr="00D9348B">
              <w:rPr>
                <w:rFonts w:cs="Calibri"/>
                <w:noProof w:val="0"/>
                <w:color w:val="FFFFFF"/>
                <w:szCs w:val="16"/>
              </w:rPr>
              <w:t xml:space="preserve">Emissions </w:t>
            </w:r>
            <w:r w:rsidRPr="00D9348B">
              <w:rPr>
                <w:rFonts w:cs="Calibri"/>
                <w:noProof w:val="0"/>
                <w:color w:val="FFFFFF"/>
                <w:szCs w:val="16"/>
              </w:rPr>
              <w:br/>
              <w:t>(kt CO</w:t>
            </w:r>
            <w:r w:rsidRPr="00D9348B">
              <w:rPr>
                <w:rFonts w:cs="Calibri"/>
                <w:noProof w:val="0"/>
                <w:color w:val="FFFFFF"/>
                <w:szCs w:val="16"/>
                <w:vertAlign w:val="subscript"/>
              </w:rPr>
              <w:t>2</w:t>
            </w:r>
            <w:r w:rsidRPr="00D9348B">
              <w:rPr>
                <w:rFonts w:cs="Calibri"/>
                <w:noProof w:val="0"/>
                <w:color w:val="FFFFFF"/>
                <w:szCs w:val="16"/>
              </w:rPr>
              <w:t>-e)</w:t>
            </w:r>
          </w:p>
        </w:tc>
        <w:tc>
          <w:tcPr>
            <w:tcW w:w="2268" w:type="dxa"/>
            <w:shd w:val="clear" w:color="auto" w:fill="365F91"/>
            <w:vAlign w:val="bottom"/>
          </w:tcPr>
          <w:p w14:paraId="327978EE" w14:textId="77777777" w:rsidR="00F849A7" w:rsidRPr="00D9348B" w:rsidRDefault="00F849A7" w:rsidP="00DB330E">
            <w:pPr>
              <w:pStyle w:val="TableTextBold"/>
              <w:keepNext/>
              <w:rPr>
                <w:rFonts w:cs="Calibri"/>
                <w:noProof w:val="0"/>
                <w:color w:val="FFFFFF"/>
                <w:szCs w:val="16"/>
              </w:rPr>
            </w:pPr>
          </w:p>
        </w:tc>
        <w:tc>
          <w:tcPr>
            <w:tcW w:w="850" w:type="dxa"/>
            <w:shd w:val="clear" w:color="auto" w:fill="365F91"/>
            <w:vAlign w:val="bottom"/>
          </w:tcPr>
          <w:p w14:paraId="79210B37" w14:textId="77777777" w:rsidR="00F849A7" w:rsidRPr="00D9348B" w:rsidRDefault="00F849A7" w:rsidP="00DB330E">
            <w:pPr>
              <w:pStyle w:val="TableTextBold"/>
              <w:keepNext/>
              <w:jc w:val="center"/>
              <w:rPr>
                <w:rFonts w:cs="Calibri"/>
                <w:noProof w:val="0"/>
                <w:color w:val="FFFFFF"/>
                <w:szCs w:val="16"/>
              </w:rPr>
            </w:pPr>
            <w:r w:rsidRPr="00D9348B">
              <w:rPr>
                <w:rFonts w:cs="Calibri"/>
                <w:noProof w:val="0"/>
                <w:color w:val="FFFFFF"/>
                <w:szCs w:val="16"/>
              </w:rPr>
              <w:t>1990</w:t>
            </w:r>
          </w:p>
        </w:tc>
        <w:tc>
          <w:tcPr>
            <w:tcW w:w="851" w:type="dxa"/>
            <w:shd w:val="clear" w:color="auto" w:fill="365F91"/>
            <w:vAlign w:val="bottom"/>
          </w:tcPr>
          <w:p w14:paraId="03B82523" w14:textId="77777777" w:rsidR="00F849A7" w:rsidRPr="00D9348B" w:rsidRDefault="00F849A7" w:rsidP="00DB330E">
            <w:pPr>
              <w:pStyle w:val="TableTextBold"/>
              <w:jc w:val="center"/>
              <w:rPr>
                <w:rFonts w:cs="Calibri"/>
                <w:noProof w:val="0"/>
                <w:color w:val="FFFFFF"/>
                <w:szCs w:val="16"/>
              </w:rPr>
            </w:pPr>
            <w:r w:rsidRPr="00D9348B">
              <w:rPr>
                <w:rFonts w:cs="Calibri"/>
                <w:noProof w:val="0"/>
                <w:color w:val="FFFFFF"/>
                <w:szCs w:val="16"/>
              </w:rPr>
              <w:t>2018</w:t>
            </w:r>
          </w:p>
        </w:tc>
        <w:tc>
          <w:tcPr>
            <w:tcW w:w="1559" w:type="dxa"/>
            <w:shd w:val="clear" w:color="auto" w:fill="365F91"/>
            <w:vAlign w:val="bottom"/>
          </w:tcPr>
          <w:p w14:paraId="4A754F69" w14:textId="77777777" w:rsidR="00F849A7" w:rsidRPr="00D9348B" w:rsidRDefault="00F849A7" w:rsidP="00DB330E">
            <w:pPr>
              <w:pStyle w:val="TableTextBold"/>
              <w:jc w:val="center"/>
              <w:rPr>
                <w:rFonts w:cs="Calibri"/>
                <w:noProof w:val="0"/>
                <w:color w:val="FFFFFF"/>
                <w:szCs w:val="16"/>
              </w:rPr>
            </w:pPr>
            <w:r w:rsidRPr="00D9348B">
              <w:rPr>
                <w:rFonts w:cs="Calibri"/>
                <w:noProof w:val="0"/>
                <w:color w:val="FFFFFF"/>
                <w:szCs w:val="16"/>
              </w:rPr>
              <w:t xml:space="preserve">Change in emission outputs between 1990 and 2018 </w:t>
            </w:r>
            <w:r w:rsidRPr="00D9348B">
              <w:rPr>
                <w:rFonts w:cs="Calibri"/>
                <w:noProof w:val="0"/>
                <w:color w:val="FFFFFF"/>
                <w:szCs w:val="16"/>
              </w:rPr>
              <w:br/>
              <w:t>(kt CO</w:t>
            </w:r>
            <w:r w:rsidRPr="00D9348B">
              <w:rPr>
                <w:rFonts w:cs="Calibri"/>
                <w:noProof w:val="0"/>
                <w:color w:val="FFFFFF"/>
                <w:szCs w:val="16"/>
                <w:vertAlign w:val="subscript"/>
              </w:rPr>
              <w:t>2</w:t>
            </w:r>
            <w:r w:rsidRPr="00D9348B">
              <w:rPr>
                <w:rFonts w:cs="Calibri"/>
                <w:noProof w:val="0"/>
                <w:color w:val="FFFFFF"/>
                <w:szCs w:val="16"/>
              </w:rPr>
              <w:t xml:space="preserve">-e) </w:t>
            </w:r>
          </w:p>
        </w:tc>
        <w:tc>
          <w:tcPr>
            <w:tcW w:w="1559" w:type="dxa"/>
            <w:shd w:val="clear" w:color="auto" w:fill="365F91"/>
            <w:vAlign w:val="bottom"/>
          </w:tcPr>
          <w:p w14:paraId="1174429E" w14:textId="77777777" w:rsidR="00F849A7" w:rsidRPr="00D9348B" w:rsidRDefault="00F849A7" w:rsidP="00DB330E">
            <w:pPr>
              <w:pStyle w:val="TableTextBold"/>
              <w:jc w:val="center"/>
              <w:rPr>
                <w:rFonts w:cs="Calibri"/>
                <w:noProof w:val="0"/>
                <w:color w:val="FFFFFF"/>
                <w:szCs w:val="16"/>
              </w:rPr>
            </w:pPr>
            <w:r w:rsidRPr="00D9348B">
              <w:rPr>
                <w:rFonts w:cs="Calibri"/>
                <w:noProof w:val="0"/>
                <w:color w:val="FFFFFF"/>
                <w:szCs w:val="16"/>
              </w:rPr>
              <w:t>Percentage change in emission outputs between 1990 and 2018</w:t>
            </w:r>
          </w:p>
        </w:tc>
      </w:tr>
      <w:tr w:rsidR="00F849A7" w:rsidRPr="00D9348B" w14:paraId="5284FE18" w14:textId="77777777" w:rsidTr="00DE15BD">
        <w:trPr>
          <w:trHeight w:val="454"/>
        </w:trPr>
        <w:tc>
          <w:tcPr>
            <w:tcW w:w="1418" w:type="dxa"/>
            <w:vMerge w:val="restart"/>
            <w:vAlign w:val="center"/>
          </w:tcPr>
          <w:p w14:paraId="26A6BE07" w14:textId="77777777" w:rsidR="00F849A7" w:rsidRPr="00D9348B" w:rsidRDefault="00F849A7" w:rsidP="00DB330E">
            <w:pPr>
              <w:pStyle w:val="TableText"/>
              <w:keepNext/>
              <w:rPr>
                <w:rFonts w:cs="Calibri"/>
                <w:szCs w:val="16"/>
              </w:rPr>
            </w:pPr>
            <w:r w:rsidRPr="00D9348B">
              <w:rPr>
                <w:rFonts w:cs="Calibri"/>
                <w:szCs w:val="16"/>
              </w:rPr>
              <w:t>Total emissions from Agricultural soils (kt CO</w:t>
            </w:r>
            <w:r w:rsidRPr="00D9348B">
              <w:rPr>
                <w:rFonts w:cs="Calibri"/>
                <w:szCs w:val="16"/>
                <w:vertAlign w:val="subscript"/>
              </w:rPr>
              <w:t>2</w:t>
            </w:r>
            <w:r w:rsidRPr="00D9348B">
              <w:rPr>
                <w:rFonts w:cs="Calibri"/>
                <w:szCs w:val="16"/>
              </w:rPr>
              <w:t>-e)</w:t>
            </w:r>
          </w:p>
        </w:tc>
        <w:tc>
          <w:tcPr>
            <w:tcW w:w="2268" w:type="dxa"/>
          </w:tcPr>
          <w:p w14:paraId="65D4E749" w14:textId="77777777" w:rsidR="00F849A7" w:rsidRPr="00D9348B" w:rsidRDefault="00F849A7" w:rsidP="00DB330E">
            <w:pPr>
              <w:pStyle w:val="TableText"/>
              <w:keepNext/>
              <w:rPr>
                <w:rFonts w:cs="Calibri"/>
                <w:szCs w:val="16"/>
              </w:rPr>
            </w:pPr>
            <w:r w:rsidRPr="00D9348B">
              <w:rPr>
                <w:rFonts w:cs="Calibri"/>
                <w:szCs w:val="16"/>
              </w:rPr>
              <w:t xml:space="preserve">2020 (1990–2018) emissions estimate </w:t>
            </w:r>
            <w:r w:rsidRPr="00D9348B">
              <w:rPr>
                <w:rFonts w:cs="Calibri"/>
                <w:i/>
                <w:iCs/>
                <w:szCs w:val="16"/>
              </w:rPr>
              <w:t xml:space="preserve">using previous </w:t>
            </w:r>
            <w:r w:rsidRPr="00D9348B">
              <w:rPr>
                <w:rFonts w:cs="Calibri"/>
                <w:szCs w:val="16"/>
              </w:rPr>
              <w:t>EF</w:t>
            </w:r>
            <w:r w:rsidRPr="00D9348B">
              <w:rPr>
                <w:rFonts w:cs="Calibri"/>
                <w:szCs w:val="16"/>
                <w:vertAlign w:val="subscript"/>
              </w:rPr>
              <w:t>3</w:t>
            </w:r>
            <w:r w:rsidRPr="00D9348B">
              <w:rPr>
                <w:rFonts w:cs="Calibri"/>
                <w:szCs w:val="16"/>
              </w:rPr>
              <w:t xml:space="preserve"> values </w:t>
            </w:r>
          </w:p>
        </w:tc>
        <w:tc>
          <w:tcPr>
            <w:tcW w:w="850" w:type="dxa"/>
            <w:vAlign w:val="center"/>
          </w:tcPr>
          <w:p w14:paraId="33B9C612" w14:textId="77777777" w:rsidR="00F849A7" w:rsidRPr="00D9348B" w:rsidRDefault="00F849A7" w:rsidP="00DB330E">
            <w:pPr>
              <w:pStyle w:val="TableText"/>
              <w:keepNext/>
              <w:jc w:val="center"/>
              <w:rPr>
                <w:rFonts w:cs="Calibri"/>
                <w:szCs w:val="16"/>
              </w:rPr>
            </w:pPr>
            <w:r w:rsidRPr="00D9348B">
              <w:rPr>
                <w:rFonts w:cs="Calibri"/>
                <w:szCs w:val="16"/>
              </w:rPr>
              <w:t>6,727.2</w:t>
            </w:r>
          </w:p>
        </w:tc>
        <w:tc>
          <w:tcPr>
            <w:tcW w:w="851" w:type="dxa"/>
            <w:vAlign w:val="center"/>
          </w:tcPr>
          <w:p w14:paraId="78F05F40" w14:textId="77777777" w:rsidR="00F849A7" w:rsidRPr="00D9348B" w:rsidRDefault="00F849A7" w:rsidP="00DB330E">
            <w:pPr>
              <w:pStyle w:val="TableText"/>
              <w:jc w:val="center"/>
              <w:rPr>
                <w:rFonts w:cs="Calibri"/>
                <w:szCs w:val="16"/>
              </w:rPr>
            </w:pPr>
            <w:r w:rsidRPr="00D9348B">
              <w:rPr>
                <w:rFonts w:cs="Calibri"/>
                <w:szCs w:val="16"/>
              </w:rPr>
              <w:t>8,699.8</w:t>
            </w:r>
          </w:p>
        </w:tc>
        <w:tc>
          <w:tcPr>
            <w:tcW w:w="1559" w:type="dxa"/>
            <w:vAlign w:val="center"/>
          </w:tcPr>
          <w:p w14:paraId="38831BBA" w14:textId="77777777" w:rsidR="00F849A7" w:rsidRPr="00D9348B" w:rsidRDefault="00F849A7" w:rsidP="00DB330E">
            <w:pPr>
              <w:pStyle w:val="TableText"/>
              <w:jc w:val="center"/>
              <w:rPr>
                <w:rFonts w:cs="Calibri"/>
                <w:szCs w:val="16"/>
              </w:rPr>
            </w:pPr>
            <w:r w:rsidRPr="00D9348B">
              <w:rPr>
                <w:rFonts w:cs="Calibri"/>
                <w:szCs w:val="16"/>
              </w:rPr>
              <w:t>1,972.6</w:t>
            </w:r>
          </w:p>
        </w:tc>
        <w:tc>
          <w:tcPr>
            <w:tcW w:w="1559" w:type="dxa"/>
            <w:vAlign w:val="center"/>
          </w:tcPr>
          <w:p w14:paraId="18CB839E" w14:textId="77777777" w:rsidR="00F849A7" w:rsidRPr="00D9348B" w:rsidRDefault="00F849A7" w:rsidP="00DB330E">
            <w:pPr>
              <w:pStyle w:val="TableText"/>
              <w:jc w:val="center"/>
              <w:rPr>
                <w:rFonts w:cs="Calibri"/>
                <w:szCs w:val="16"/>
              </w:rPr>
            </w:pPr>
            <w:r w:rsidRPr="00D9348B">
              <w:rPr>
                <w:rFonts w:cs="Calibri"/>
                <w:szCs w:val="16"/>
              </w:rPr>
              <w:t>29.3</w:t>
            </w:r>
          </w:p>
        </w:tc>
      </w:tr>
      <w:tr w:rsidR="00F849A7" w:rsidRPr="00D9348B" w14:paraId="4D6BB366" w14:textId="77777777" w:rsidTr="00DE15BD">
        <w:trPr>
          <w:trHeight w:val="454"/>
        </w:trPr>
        <w:tc>
          <w:tcPr>
            <w:tcW w:w="1418" w:type="dxa"/>
            <w:vMerge/>
          </w:tcPr>
          <w:p w14:paraId="5314B350" w14:textId="77777777" w:rsidR="00F849A7" w:rsidRPr="00D9348B" w:rsidRDefault="00F849A7" w:rsidP="00DB330E">
            <w:pPr>
              <w:pStyle w:val="TableText"/>
              <w:keepNext/>
              <w:rPr>
                <w:rFonts w:cs="Calibri"/>
                <w:szCs w:val="16"/>
              </w:rPr>
            </w:pPr>
          </w:p>
        </w:tc>
        <w:tc>
          <w:tcPr>
            <w:tcW w:w="2268" w:type="dxa"/>
          </w:tcPr>
          <w:p w14:paraId="5C2FE0AC" w14:textId="77777777" w:rsidR="00F849A7" w:rsidRPr="00D9348B" w:rsidRDefault="00F849A7" w:rsidP="00DB330E">
            <w:pPr>
              <w:pStyle w:val="TableText"/>
              <w:keepNext/>
              <w:rPr>
                <w:rFonts w:cs="Calibri"/>
                <w:szCs w:val="16"/>
              </w:rPr>
            </w:pPr>
            <w:r w:rsidRPr="00D9348B">
              <w:rPr>
                <w:rFonts w:cs="Calibri"/>
                <w:szCs w:val="16"/>
              </w:rPr>
              <w:t xml:space="preserve">2020 (1990–2018) emissions estimate </w:t>
            </w:r>
            <w:r w:rsidRPr="00D9348B">
              <w:rPr>
                <w:rFonts w:cs="Calibri"/>
                <w:i/>
                <w:iCs/>
                <w:szCs w:val="16"/>
              </w:rPr>
              <w:t>using new</w:t>
            </w:r>
            <w:r w:rsidRPr="00D9348B">
              <w:rPr>
                <w:rFonts w:cs="Calibri"/>
                <w:szCs w:val="16"/>
              </w:rPr>
              <w:t xml:space="preserve"> EF</w:t>
            </w:r>
            <w:r w:rsidRPr="00D9348B">
              <w:rPr>
                <w:rFonts w:cs="Calibri"/>
                <w:szCs w:val="16"/>
                <w:vertAlign w:val="subscript"/>
              </w:rPr>
              <w:t>3</w:t>
            </w:r>
            <w:r w:rsidRPr="00D9348B">
              <w:rPr>
                <w:rFonts w:cs="Calibri"/>
                <w:szCs w:val="16"/>
              </w:rPr>
              <w:t xml:space="preserve"> values</w:t>
            </w:r>
          </w:p>
        </w:tc>
        <w:tc>
          <w:tcPr>
            <w:tcW w:w="850" w:type="dxa"/>
            <w:vAlign w:val="center"/>
          </w:tcPr>
          <w:p w14:paraId="33CB13CE" w14:textId="77777777" w:rsidR="00F849A7" w:rsidRPr="00D9348B" w:rsidRDefault="00F849A7" w:rsidP="00DB330E">
            <w:pPr>
              <w:pStyle w:val="TableText"/>
              <w:keepNext/>
              <w:jc w:val="center"/>
              <w:rPr>
                <w:rFonts w:cs="Calibri"/>
                <w:szCs w:val="16"/>
              </w:rPr>
            </w:pPr>
            <w:r w:rsidRPr="00D9348B">
              <w:rPr>
                <w:rFonts w:cs="Calibri"/>
                <w:szCs w:val="16"/>
              </w:rPr>
              <w:t>4,483.8</w:t>
            </w:r>
          </w:p>
        </w:tc>
        <w:tc>
          <w:tcPr>
            <w:tcW w:w="851" w:type="dxa"/>
            <w:vAlign w:val="center"/>
          </w:tcPr>
          <w:p w14:paraId="10C3A034" w14:textId="77777777" w:rsidR="00F849A7" w:rsidRPr="00D9348B" w:rsidRDefault="00F849A7" w:rsidP="00DB330E">
            <w:pPr>
              <w:pStyle w:val="TableText"/>
              <w:jc w:val="center"/>
              <w:rPr>
                <w:rFonts w:cs="Calibri"/>
                <w:szCs w:val="16"/>
              </w:rPr>
            </w:pPr>
            <w:r w:rsidRPr="00D9348B">
              <w:rPr>
                <w:rFonts w:cs="Calibri"/>
                <w:szCs w:val="16"/>
              </w:rPr>
              <w:t>7,026.3</w:t>
            </w:r>
          </w:p>
        </w:tc>
        <w:tc>
          <w:tcPr>
            <w:tcW w:w="1559" w:type="dxa"/>
            <w:vAlign w:val="center"/>
          </w:tcPr>
          <w:p w14:paraId="3BE5A09D" w14:textId="77777777" w:rsidR="00F849A7" w:rsidRPr="00D9348B" w:rsidRDefault="00F849A7" w:rsidP="00DB330E">
            <w:pPr>
              <w:pStyle w:val="TableText"/>
              <w:jc w:val="center"/>
              <w:rPr>
                <w:rFonts w:cs="Calibri"/>
                <w:szCs w:val="16"/>
              </w:rPr>
            </w:pPr>
            <w:r w:rsidRPr="00D9348B">
              <w:rPr>
                <w:rFonts w:cs="Calibri"/>
                <w:szCs w:val="16"/>
              </w:rPr>
              <w:t>2,542.5</w:t>
            </w:r>
          </w:p>
        </w:tc>
        <w:tc>
          <w:tcPr>
            <w:tcW w:w="1559" w:type="dxa"/>
            <w:vAlign w:val="center"/>
          </w:tcPr>
          <w:p w14:paraId="734F89F0" w14:textId="77777777" w:rsidR="00F849A7" w:rsidRPr="00D9348B" w:rsidRDefault="00F849A7" w:rsidP="00DB330E">
            <w:pPr>
              <w:pStyle w:val="TableText"/>
              <w:jc w:val="center"/>
              <w:rPr>
                <w:rFonts w:cs="Calibri"/>
                <w:szCs w:val="16"/>
              </w:rPr>
            </w:pPr>
            <w:r w:rsidRPr="00D9348B">
              <w:rPr>
                <w:rFonts w:cs="Calibri"/>
                <w:szCs w:val="16"/>
              </w:rPr>
              <w:t>56.7</w:t>
            </w:r>
          </w:p>
        </w:tc>
      </w:tr>
      <w:tr w:rsidR="00F849A7" w:rsidRPr="00D9348B" w14:paraId="77F17F31" w14:textId="77777777" w:rsidTr="00DE15BD">
        <w:trPr>
          <w:trHeight w:val="454"/>
        </w:trPr>
        <w:tc>
          <w:tcPr>
            <w:tcW w:w="1418" w:type="dxa"/>
            <w:vMerge/>
          </w:tcPr>
          <w:p w14:paraId="37CE2998" w14:textId="77777777" w:rsidR="00F849A7" w:rsidRPr="00D9348B" w:rsidRDefault="00F849A7" w:rsidP="00DB330E">
            <w:pPr>
              <w:pStyle w:val="TableText"/>
              <w:keepNext/>
              <w:rPr>
                <w:rFonts w:cs="Calibri"/>
                <w:szCs w:val="16"/>
              </w:rPr>
            </w:pPr>
          </w:p>
        </w:tc>
        <w:tc>
          <w:tcPr>
            <w:tcW w:w="2268" w:type="dxa"/>
          </w:tcPr>
          <w:p w14:paraId="7B1E8861" w14:textId="77777777" w:rsidR="00F849A7" w:rsidRPr="00D9348B" w:rsidRDefault="00F849A7" w:rsidP="00DB330E">
            <w:pPr>
              <w:pStyle w:val="TableText"/>
              <w:keepNext/>
              <w:rPr>
                <w:rFonts w:cs="Calibri"/>
                <w:szCs w:val="16"/>
              </w:rPr>
            </w:pPr>
            <w:r w:rsidRPr="00D9348B">
              <w:rPr>
                <w:rFonts w:cs="Calibri"/>
                <w:szCs w:val="16"/>
              </w:rPr>
              <w:t>Difference in emission estimates compared with current inventory</w:t>
            </w:r>
          </w:p>
        </w:tc>
        <w:tc>
          <w:tcPr>
            <w:tcW w:w="850" w:type="dxa"/>
            <w:vAlign w:val="center"/>
          </w:tcPr>
          <w:p w14:paraId="5D62DB1C" w14:textId="77777777" w:rsidR="00F849A7" w:rsidRPr="00D9348B" w:rsidRDefault="00F849A7" w:rsidP="00DB330E">
            <w:pPr>
              <w:pStyle w:val="TableText"/>
              <w:keepNext/>
              <w:jc w:val="center"/>
              <w:rPr>
                <w:rFonts w:cs="Calibri"/>
                <w:szCs w:val="16"/>
              </w:rPr>
            </w:pPr>
            <w:r w:rsidRPr="00D9348B">
              <w:rPr>
                <w:rFonts w:cs="Calibri"/>
                <w:szCs w:val="16"/>
              </w:rPr>
              <w:t>–2,243.4</w:t>
            </w:r>
          </w:p>
        </w:tc>
        <w:tc>
          <w:tcPr>
            <w:tcW w:w="851" w:type="dxa"/>
            <w:vAlign w:val="center"/>
          </w:tcPr>
          <w:p w14:paraId="347CB456" w14:textId="77777777" w:rsidR="00F849A7" w:rsidRPr="00D9348B" w:rsidRDefault="00F849A7" w:rsidP="00DB330E">
            <w:pPr>
              <w:pStyle w:val="TableText"/>
              <w:jc w:val="center"/>
              <w:rPr>
                <w:rFonts w:cs="Calibri"/>
                <w:szCs w:val="16"/>
              </w:rPr>
            </w:pPr>
            <w:r w:rsidRPr="00D9348B">
              <w:rPr>
                <w:rFonts w:cs="Calibri"/>
                <w:szCs w:val="16"/>
              </w:rPr>
              <w:t>–1,673.5</w:t>
            </w:r>
          </w:p>
        </w:tc>
        <w:tc>
          <w:tcPr>
            <w:tcW w:w="1559" w:type="dxa"/>
            <w:vAlign w:val="center"/>
          </w:tcPr>
          <w:p w14:paraId="2F1F280D" w14:textId="77777777" w:rsidR="00F849A7" w:rsidRPr="00D9348B" w:rsidRDefault="00F849A7" w:rsidP="00DB330E">
            <w:pPr>
              <w:pStyle w:val="TableText"/>
              <w:jc w:val="center"/>
              <w:rPr>
                <w:rFonts w:cs="Calibri"/>
                <w:szCs w:val="16"/>
              </w:rPr>
            </w:pPr>
            <w:r w:rsidRPr="00D9348B">
              <w:rPr>
                <w:rFonts w:cs="Calibri"/>
                <w:szCs w:val="16"/>
              </w:rPr>
              <w:t>569.9</w:t>
            </w:r>
          </w:p>
        </w:tc>
        <w:tc>
          <w:tcPr>
            <w:tcW w:w="1559" w:type="dxa"/>
            <w:vAlign w:val="center"/>
          </w:tcPr>
          <w:p w14:paraId="59504846" w14:textId="77777777" w:rsidR="00F849A7" w:rsidRPr="00D9348B" w:rsidRDefault="00F849A7" w:rsidP="00DB330E">
            <w:pPr>
              <w:pStyle w:val="TableText"/>
              <w:jc w:val="center"/>
              <w:rPr>
                <w:rFonts w:cs="Calibri"/>
                <w:szCs w:val="16"/>
              </w:rPr>
            </w:pPr>
          </w:p>
        </w:tc>
      </w:tr>
      <w:tr w:rsidR="00F849A7" w:rsidRPr="00D9348B" w14:paraId="5222E8F1" w14:textId="77777777" w:rsidTr="00DE15BD">
        <w:trPr>
          <w:trHeight w:val="454"/>
        </w:trPr>
        <w:tc>
          <w:tcPr>
            <w:tcW w:w="1418" w:type="dxa"/>
            <w:vMerge/>
          </w:tcPr>
          <w:p w14:paraId="06A96BDF" w14:textId="77777777" w:rsidR="00F849A7" w:rsidRPr="00D9348B" w:rsidRDefault="00F849A7" w:rsidP="00DB330E">
            <w:pPr>
              <w:pStyle w:val="TableText"/>
              <w:keepNext/>
              <w:rPr>
                <w:rFonts w:cs="Calibri"/>
                <w:szCs w:val="16"/>
              </w:rPr>
            </w:pPr>
          </w:p>
        </w:tc>
        <w:tc>
          <w:tcPr>
            <w:tcW w:w="2268" w:type="dxa"/>
          </w:tcPr>
          <w:p w14:paraId="2C9C013C" w14:textId="77777777" w:rsidR="00F849A7" w:rsidRPr="00D9348B" w:rsidRDefault="00F849A7" w:rsidP="00DB330E">
            <w:pPr>
              <w:pStyle w:val="TableText"/>
              <w:keepNext/>
              <w:rPr>
                <w:rFonts w:cs="Calibri"/>
                <w:szCs w:val="16"/>
              </w:rPr>
            </w:pPr>
            <w:r w:rsidRPr="00D9348B">
              <w:rPr>
                <w:rFonts w:cs="Calibri"/>
                <w:szCs w:val="16"/>
              </w:rPr>
              <w:t>Percentage difference in emission estimates</w:t>
            </w:r>
          </w:p>
        </w:tc>
        <w:tc>
          <w:tcPr>
            <w:tcW w:w="850" w:type="dxa"/>
            <w:vAlign w:val="center"/>
          </w:tcPr>
          <w:p w14:paraId="77E82F9D" w14:textId="77777777" w:rsidR="00F849A7" w:rsidRPr="00D9348B" w:rsidRDefault="00F849A7" w:rsidP="00DB330E">
            <w:pPr>
              <w:pStyle w:val="TableText"/>
              <w:keepNext/>
              <w:jc w:val="center"/>
              <w:rPr>
                <w:rFonts w:cs="Calibri"/>
                <w:szCs w:val="16"/>
              </w:rPr>
            </w:pPr>
            <w:r w:rsidRPr="00D9348B">
              <w:rPr>
                <w:rFonts w:cs="Calibri"/>
                <w:szCs w:val="16"/>
              </w:rPr>
              <w:t>–33.3</w:t>
            </w:r>
          </w:p>
        </w:tc>
        <w:tc>
          <w:tcPr>
            <w:tcW w:w="851" w:type="dxa"/>
            <w:vAlign w:val="center"/>
          </w:tcPr>
          <w:p w14:paraId="21778B8E" w14:textId="77777777" w:rsidR="00F849A7" w:rsidRPr="00D9348B" w:rsidRDefault="00F849A7" w:rsidP="00DB330E">
            <w:pPr>
              <w:pStyle w:val="TableText"/>
              <w:jc w:val="center"/>
              <w:rPr>
                <w:rFonts w:cs="Calibri"/>
                <w:szCs w:val="16"/>
              </w:rPr>
            </w:pPr>
            <w:r w:rsidRPr="00D9348B">
              <w:rPr>
                <w:rFonts w:cs="Calibri"/>
                <w:szCs w:val="16"/>
              </w:rPr>
              <w:t>–19.2</w:t>
            </w:r>
          </w:p>
        </w:tc>
        <w:tc>
          <w:tcPr>
            <w:tcW w:w="1559" w:type="dxa"/>
            <w:vAlign w:val="center"/>
          </w:tcPr>
          <w:p w14:paraId="02318142" w14:textId="77777777" w:rsidR="00F849A7" w:rsidRPr="00D9348B" w:rsidRDefault="00F849A7" w:rsidP="00DB330E">
            <w:pPr>
              <w:pStyle w:val="TableText"/>
              <w:jc w:val="center"/>
              <w:rPr>
                <w:rFonts w:cs="Calibri"/>
                <w:szCs w:val="16"/>
              </w:rPr>
            </w:pPr>
          </w:p>
        </w:tc>
        <w:tc>
          <w:tcPr>
            <w:tcW w:w="1559" w:type="dxa"/>
            <w:vAlign w:val="center"/>
          </w:tcPr>
          <w:p w14:paraId="40387D12" w14:textId="77777777" w:rsidR="00F849A7" w:rsidRPr="00D9348B" w:rsidRDefault="00F849A7" w:rsidP="00DB330E">
            <w:pPr>
              <w:pStyle w:val="TableText"/>
              <w:jc w:val="center"/>
              <w:rPr>
                <w:rFonts w:cs="Calibri"/>
                <w:szCs w:val="16"/>
              </w:rPr>
            </w:pPr>
          </w:p>
        </w:tc>
      </w:tr>
    </w:tbl>
    <w:p w14:paraId="204F4862" w14:textId="77777777" w:rsidR="00F849A7" w:rsidRPr="00D9348B" w:rsidRDefault="00F849A7" w:rsidP="00F849A7">
      <w:pPr>
        <w:pStyle w:val="Heading5"/>
        <w:spacing w:before="360"/>
        <w:rPr>
          <w:rFonts w:cs="Calibri"/>
        </w:rPr>
      </w:pPr>
      <w:r w:rsidRPr="00D9348B">
        <w:rPr>
          <w:rFonts w:cs="Calibri"/>
        </w:rPr>
        <w:t>Revised activity data on dairy goats</w:t>
      </w:r>
    </w:p>
    <w:p w14:paraId="1C98A17C" w14:textId="77777777" w:rsidR="00F849A7" w:rsidRPr="00D9348B" w:rsidRDefault="00F849A7" w:rsidP="00F849A7">
      <w:pPr>
        <w:pStyle w:val="BodyText"/>
        <w:rPr>
          <w:rFonts w:cs="Calibri"/>
        </w:rPr>
      </w:pPr>
      <w:r w:rsidRPr="00D9348B">
        <w:rPr>
          <w:rFonts w:cs="Calibri"/>
        </w:rPr>
        <w:t xml:space="preserve">A revised set of estimates on the dairy goat population from 1990 to 2018 has been implemented for the 2020 submission. This change has a small effect on estimated emissions from </w:t>
      </w:r>
      <w:r w:rsidRPr="00D9348B">
        <w:rPr>
          <w:rFonts w:cs="Calibri"/>
          <w:i/>
          <w:iCs/>
        </w:rPr>
        <w:t>Agricultural soils</w:t>
      </w:r>
      <w:r w:rsidRPr="00D9348B">
        <w:rPr>
          <w:rFonts w:cs="Calibri"/>
        </w:rPr>
        <w:t xml:space="preserve">, as detailed in table 5.5.15. More information on the revision is provided in section 10.1.3 (chapter 10). </w:t>
      </w:r>
    </w:p>
    <w:p w14:paraId="2677C945" w14:textId="77777777" w:rsidR="00F849A7" w:rsidRPr="00D9348B" w:rsidRDefault="00F849A7" w:rsidP="00F849A7">
      <w:pPr>
        <w:pStyle w:val="Table"/>
        <w:rPr>
          <w:rFonts w:cs="Calibri"/>
        </w:rPr>
      </w:pPr>
      <w:bookmarkStart w:id="984" w:name="_Toc32570941"/>
      <w:bookmarkStart w:id="985" w:name="_Toc36224576"/>
      <w:r w:rsidRPr="00D9348B">
        <w:rPr>
          <w:rFonts w:cs="Calibri"/>
        </w:rPr>
        <w:t>Table 5.5.15</w:t>
      </w:r>
      <w:r w:rsidRPr="00D9348B">
        <w:rPr>
          <w:rFonts w:cs="Calibri"/>
        </w:rPr>
        <w:tab/>
        <w:t>Comparison of current and previous emissions estimates before and after</w:t>
      </w:r>
      <w:r w:rsidRPr="00D9348B">
        <w:rPr>
          <w:rFonts w:cs="Calibri"/>
        </w:rPr>
        <w:br/>
        <w:t>change to estimated dairy goat population</w:t>
      </w:r>
      <w:bookmarkEnd w:id="984"/>
      <w:bookmarkEnd w:id="985"/>
      <w:r w:rsidRPr="00D9348B">
        <w:rPr>
          <w:rFonts w:cs="Calibri"/>
        </w:rPr>
        <w:t xml:space="preserve"> </w:t>
      </w:r>
    </w:p>
    <w:tbl>
      <w:tblPr>
        <w:tblW w:w="8505" w:type="dxa"/>
        <w:tblInd w:w="108" w:type="dxa"/>
        <w:tblBorders>
          <w:top w:val="single" w:sz="4" w:space="0" w:color="365F91"/>
          <w:bottom w:val="single" w:sz="4" w:space="0" w:color="365F91"/>
          <w:insideH w:val="single" w:sz="4" w:space="0" w:color="365F91"/>
        </w:tblBorders>
        <w:tblLayout w:type="fixed"/>
        <w:tblLook w:val="0000" w:firstRow="0" w:lastRow="0" w:firstColumn="0" w:lastColumn="0" w:noHBand="0" w:noVBand="0"/>
      </w:tblPr>
      <w:tblGrid>
        <w:gridCol w:w="1418"/>
        <w:gridCol w:w="2268"/>
        <w:gridCol w:w="850"/>
        <w:gridCol w:w="851"/>
        <w:gridCol w:w="1559"/>
        <w:gridCol w:w="1559"/>
      </w:tblGrid>
      <w:tr w:rsidR="00F849A7" w:rsidRPr="00D9348B" w14:paraId="606021F5" w14:textId="77777777" w:rsidTr="00502D87">
        <w:trPr>
          <w:trHeight w:val="608"/>
          <w:tblHeader/>
        </w:trPr>
        <w:tc>
          <w:tcPr>
            <w:tcW w:w="1418" w:type="dxa"/>
            <w:shd w:val="clear" w:color="auto" w:fill="365F91"/>
            <w:vAlign w:val="bottom"/>
          </w:tcPr>
          <w:p w14:paraId="5C7130E2" w14:textId="77777777" w:rsidR="00F849A7" w:rsidRPr="00D9348B" w:rsidRDefault="00F849A7" w:rsidP="00DB330E">
            <w:pPr>
              <w:pStyle w:val="TableTextBold"/>
              <w:keepNext/>
              <w:rPr>
                <w:rFonts w:cs="Calibri"/>
                <w:noProof w:val="0"/>
                <w:color w:val="FFFFFF"/>
                <w:szCs w:val="16"/>
              </w:rPr>
            </w:pPr>
            <w:r w:rsidRPr="00D9348B">
              <w:rPr>
                <w:rFonts w:cs="Calibri"/>
                <w:noProof w:val="0"/>
                <w:color w:val="FFFFFF"/>
                <w:szCs w:val="16"/>
              </w:rPr>
              <w:t xml:space="preserve">Emissions </w:t>
            </w:r>
            <w:r w:rsidRPr="00D9348B">
              <w:rPr>
                <w:rFonts w:cs="Calibri"/>
                <w:noProof w:val="0"/>
                <w:color w:val="FFFFFF"/>
                <w:szCs w:val="16"/>
              </w:rPr>
              <w:br/>
              <w:t>(kt CO</w:t>
            </w:r>
            <w:r w:rsidRPr="00D9348B">
              <w:rPr>
                <w:rFonts w:cs="Calibri"/>
                <w:noProof w:val="0"/>
                <w:color w:val="FFFFFF"/>
                <w:szCs w:val="16"/>
                <w:vertAlign w:val="subscript"/>
              </w:rPr>
              <w:t>2</w:t>
            </w:r>
            <w:r w:rsidRPr="00D9348B">
              <w:rPr>
                <w:rFonts w:cs="Calibri"/>
                <w:noProof w:val="0"/>
                <w:color w:val="FFFFFF"/>
                <w:szCs w:val="16"/>
              </w:rPr>
              <w:t>-e)</w:t>
            </w:r>
          </w:p>
        </w:tc>
        <w:tc>
          <w:tcPr>
            <w:tcW w:w="2268" w:type="dxa"/>
            <w:shd w:val="clear" w:color="auto" w:fill="365F91"/>
            <w:vAlign w:val="bottom"/>
          </w:tcPr>
          <w:p w14:paraId="7D6D3F9D" w14:textId="77777777" w:rsidR="00F849A7" w:rsidRPr="00D9348B" w:rsidRDefault="00F849A7" w:rsidP="00DB330E">
            <w:pPr>
              <w:pStyle w:val="TableTextBold"/>
              <w:keepNext/>
              <w:rPr>
                <w:rFonts w:cs="Calibri"/>
                <w:noProof w:val="0"/>
                <w:color w:val="FFFFFF"/>
                <w:szCs w:val="16"/>
              </w:rPr>
            </w:pPr>
          </w:p>
        </w:tc>
        <w:tc>
          <w:tcPr>
            <w:tcW w:w="850" w:type="dxa"/>
            <w:shd w:val="clear" w:color="auto" w:fill="365F91"/>
            <w:vAlign w:val="bottom"/>
          </w:tcPr>
          <w:p w14:paraId="632E715B" w14:textId="77777777" w:rsidR="00F849A7" w:rsidRPr="00D9348B" w:rsidRDefault="00F849A7" w:rsidP="00DB330E">
            <w:pPr>
              <w:pStyle w:val="TableTextBold"/>
              <w:keepNext/>
              <w:jc w:val="center"/>
              <w:rPr>
                <w:rFonts w:cs="Calibri"/>
                <w:noProof w:val="0"/>
                <w:color w:val="FFFFFF"/>
                <w:szCs w:val="16"/>
              </w:rPr>
            </w:pPr>
            <w:r w:rsidRPr="00D9348B">
              <w:rPr>
                <w:rFonts w:cs="Calibri"/>
                <w:noProof w:val="0"/>
                <w:color w:val="FFFFFF"/>
                <w:szCs w:val="16"/>
              </w:rPr>
              <w:t>1990</w:t>
            </w:r>
          </w:p>
        </w:tc>
        <w:tc>
          <w:tcPr>
            <w:tcW w:w="851" w:type="dxa"/>
            <w:shd w:val="clear" w:color="auto" w:fill="365F91"/>
            <w:vAlign w:val="bottom"/>
          </w:tcPr>
          <w:p w14:paraId="07BF8BB3" w14:textId="77777777" w:rsidR="00F849A7" w:rsidRPr="00D9348B" w:rsidRDefault="00F849A7" w:rsidP="00DB330E">
            <w:pPr>
              <w:pStyle w:val="TableTextBold"/>
              <w:jc w:val="center"/>
              <w:rPr>
                <w:rFonts w:cs="Calibri"/>
                <w:noProof w:val="0"/>
                <w:color w:val="FFFFFF"/>
                <w:szCs w:val="16"/>
              </w:rPr>
            </w:pPr>
            <w:r w:rsidRPr="00D9348B">
              <w:rPr>
                <w:rFonts w:cs="Calibri"/>
                <w:noProof w:val="0"/>
                <w:color w:val="FFFFFF"/>
                <w:szCs w:val="16"/>
              </w:rPr>
              <w:t>2018</w:t>
            </w:r>
          </w:p>
        </w:tc>
        <w:tc>
          <w:tcPr>
            <w:tcW w:w="1559" w:type="dxa"/>
            <w:shd w:val="clear" w:color="auto" w:fill="365F91"/>
            <w:vAlign w:val="bottom"/>
          </w:tcPr>
          <w:p w14:paraId="5A5F0B1F" w14:textId="77777777" w:rsidR="00F849A7" w:rsidRPr="00D9348B" w:rsidRDefault="00F849A7" w:rsidP="00DB330E">
            <w:pPr>
              <w:pStyle w:val="TableTextBold"/>
              <w:jc w:val="center"/>
              <w:rPr>
                <w:rFonts w:cs="Calibri"/>
                <w:noProof w:val="0"/>
                <w:color w:val="FFFFFF"/>
                <w:szCs w:val="16"/>
              </w:rPr>
            </w:pPr>
            <w:r w:rsidRPr="00D9348B">
              <w:rPr>
                <w:rFonts w:cs="Calibri"/>
                <w:noProof w:val="0"/>
                <w:color w:val="FFFFFF"/>
                <w:szCs w:val="16"/>
              </w:rPr>
              <w:t xml:space="preserve">Change in emission outputs between 1990 and 2018 </w:t>
            </w:r>
            <w:r w:rsidRPr="00D9348B">
              <w:rPr>
                <w:rFonts w:cs="Calibri"/>
                <w:noProof w:val="0"/>
                <w:color w:val="FFFFFF"/>
                <w:szCs w:val="16"/>
              </w:rPr>
              <w:br/>
              <w:t>(kt CO</w:t>
            </w:r>
            <w:r w:rsidRPr="00D9348B">
              <w:rPr>
                <w:rFonts w:cs="Calibri"/>
                <w:noProof w:val="0"/>
                <w:color w:val="FFFFFF"/>
                <w:szCs w:val="16"/>
                <w:vertAlign w:val="subscript"/>
              </w:rPr>
              <w:t>2</w:t>
            </w:r>
            <w:r w:rsidRPr="00D9348B">
              <w:rPr>
                <w:rFonts w:cs="Calibri"/>
                <w:noProof w:val="0"/>
                <w:color w:val="FFFFFF"/>
                <w:szCs w:val="16"/>
              </w:rPr>
              <w:t xml:space="preserve">-e) </w:t>
            </w:r>
          </w:p>
        </w:tc>
        <w:tc>
          <w:tcPr>
            <w:tcW w:w="1559" w:type="dxa"/>
            <w:shd w:val="clear" w:color="auto" w:fill="365F91"/>
            <w:vAlign w:val="bottom"/>
          </w:tcPr>
          <w:p w14:paraId="0B3A8DD7" w14:textId="77777777" w:rsidR="00F849A7" w:rsidRPr="00D9348B" w:rsidRDefault="00F849A7" w:rsidP="00DB330E">
            <w:pPr>
              <w:pStyle w:val="TableTextBold"/>
              <w:jc w:val="center"/>
              <w:rPr>
                <w:rFonts w:cs="Calibri"/>
                <w:noProof w:val="0"/>
                <w:color w:val="FFFFFF"/>
                <w:szCs w:val="16"/>
              </w:rPr>
            </w:pPr>
            <w:r w:rsidRPr="00D9348B">
              <w:rPr>
                <w:rFonts w:cs="Calibri"/>
                <w:noProof w:val="0"/>
                <w:color w:val="FFFFFF"/>
                <w:szCs w:val="16"/>
              </w:rPr>
              <w:t>Percentage change in emission outputs between 1990 and 2018</w:t>
            </w:r>
          </w:p>
        </w:tc>
      </w:tr>
      <w:tr w:rsidR="00F849A7" w:rsidRPr="00D9348B" w14:paraId="51788478" w14:textId="77777777" w:rsidTr="00502D87">
        <w:trPr>
          <w:trHeight w:val="454"/>
        </w:trPr>
        <w:tc>
          <w:tcPr>
            <w:tcW w:w="1418" w:type="dxa"/>
            <w:vMerge w:val="restart"/>
            <w:vAlign w:val="center"/>
          </w:tcPr>
          <w:p w14:paraId="63039E53" w14:textId="77777777" w:rsidR="00F849A7" w:rsidRPr="00D9348B" w:rsidRDefault="00F849A7" w:rsidP="00DB330E">
            <w:pPr>
              <w:pStyle w:val="TableText"/>
              <w:keepNext/>
              <w:rPr>
                <w:rFonts w:cs="Calibri"/>
                <w:szCs w:val="16"/>
              </w:rPr>
            </w:pPr>
            <w:r w:rsidRPr="00D9348B">
              <w:rPr>
                <w:rFonts w:cs="Calibri"/>
                <w:szCs w:val="16"/>
              </w:rPr>
              <w:t>Total emissions from Agricultural soils (kt CO</w:t>
            </w:r>
            <w:r w:rsidRPr="00D9348B">
              <w:rPr>
                <w:rFonts w:cs="Calibri"/>
                <w:szCs w:val="16"/>
                <w:vertAlign w:val="subscript"/>
              </w:rPr>
              <w:t>2</w:t>
            </w:r>
            <w:r w:rsidRPr="00D9348B">
              <w:rPr>
                <w:rFonts w:cs="Calibri"/>
                <w:szCs w:val="16"/>
              </w:rPr>
              <w:t>-e)</w:t>
            </w:r>
          </w:p>
        </w:tc>
        <w:tc>
          <w:tcPr>
            <w:tcW w:w="2268" w:type="dxa"/>
          </w:tcPr>
          <w:p w14:paraId="1CDDCCB1" w14:textId="77777777" w:rsidR="00F849A7" w:rsidRPr="00D9348B" w:rsidRDefault="00F849A7" w:rsidP="00DB330E">
            <w:pPr>
              <w:pStyle w:val="TableText"/>
              <w:keepNext/>
              <w:rPr>
                <w:rFonts w:cs="Calibri"/>
                <w:szCs w:val="16"/>
              </w:rPr>
            </w:pPr>
            <w:r w:rsidRPr="00D9348B">
              <w:rPr>
                <w:rFonts w:cs="Calibri"/>
                <w:szCs w:val="16"/>
              </w:rPr>
              <w:t xml:space="preserve">2020 (1990–2018) emissions estimate </w:t>
            </w:r>
            <w:r w:rsidRPr="00D9348B">
              <w:rPr>
                <w:rFonts w:cs="Calibri"/>
                <w:i/>
                <w:iCs/>
                <w:szCs w:val="16"/>
              </w:rPr>
              <w:t xml:space="preserve">using previous </w:t>
            </w:r>
            <w:r w:rsidRPr="00D9348B">
              <w:rPr>
                <w:rFonts w:cs="Calibri"/>
                <w:szCs w:val="16"/>
              </w:rPr>
              <w:t xml:space="preserve">dairy goat population estimates </w:t>
            </w:r>
          </w:p>
        </w:tc>
        <w:tc>
          <w:tcPr>
            <w:tcW w:w="850" w:type="dxa"/>
            <w:vAlign w:val="center"/>
          </w:tcPr>
          <w:p w14:paraId="0402636B" w14:textId="77777777" w:rsidR="00F849A7" w:rsidRPr="00D9348B" w:rsidRDefault="00F849A7" w:rsidP="00DB330E">
            <w:pPr>
              <w:pStyle w:val="TableText"/>
              <w:keepNext/>
              <w:jc w:val="center"/>
              <w:rPr>
                <w:rFonts w:cs="Calibri"/>
                <w:szCs w:val="16"/>
              </w:rPr>
            </w:pPr>
            <w:r w:rsidRPr="00D9348B">
              <w:rPr>
                <w:rFonts w:cs="Calibri"/>
                <w:szCs w:val="16"/>
              </w:rPr>
              <w:t>4,483.8</w:t>
            </w:r>
          </w:p>
        </w:tc>
        <w:tc>
          <w:tcPr>
            <w:tcW w:w="851" w:type="dxa"/>
            <w:vAlign w:val="center"/>
          </w:tcPr>
          <w:p w14:paraId="6AACAD6D" w14:textId="77777777" w:rsidR="00F849A7" w:rsidRPr="00D9348B" w:rsidRDefault="00F849A7" w:rsidP="00DB330E">
            <w:pPr>
              <w:pStyle w:val="TableText"/>
              <w:jc w:val="center"/>
              <w:rPr>
                <w:rFonts w:cs="Calibri"/>
                <w:szCs w:val="16"/>
              </w:rPr>
            </w:pPr>
            <w:r w:rsidRPr="00D9348B">
              <w:rPr>
                <w:rFonts w:cs="Calibri"/>
                <w:szCs w:val="16"/>
              </w:rPr>
              <w:t>7,025.8</w:t>
            </w:r>
          </w:p>
        </w:tc>
        <w:tc>
          <w:tcPr>
            <w:tcW w:w="1559" w:type="dxa"/>
            <w:vAlign w:val="center"/>
          </w:tcPr>
          <w:p w14:paraId="7D861938" w14:textId="77777777" w:rsidR="00F849A7" w:rsidRPr="00D9348B" w:rsidRDefault="00F849A7" w:rsidP="00DB330E">
            <w:pPr>
              <w:pStyle w:val="TableText"/>
              <w:jc w:val="center"/>
              <w:rPr>
                <w:rFonts w:cs="Calibri"/>
                <w:szCs w:val="16"/>
              </w:rPr>
            </w:pPr>
            <w:r w:rsidRPr="00D9348B">
              <w:rPr>
                <w:rFonts w:cs="Calibri"/>
                <w:szCs w:val="16"/>
              </w:rPr>
              <w:t>2,542.1</w:t>
            </w:r>
          </w:p>
        </w:tc>
        <w:tc>
          <w:tcPr>
            <w:tcW w:w="1559" w:type="dxa"/>
            <w:vAlign w:val="center"/>
          </w:tcPr>
          <w:p w14:paraId="1C826565" w14:textId="77777777" w:rsidR="00F849A7" w:rsidRPr="00D9348B" w:rsidRDefault="00F849A7" w:rsidP="00DB330E">
            <w:pPr>
              <w:pStyle w:val="TableText"/>
              <w:jc w:val="center"/>
              <w:rPr>
                <w:rFonts w:cs="Calibri"/>
                <w:szCs w:val="16"/>
              </w:rPr>
            </w:pPr>
            <w:r w:rsidRPr="00D9348B">
              <w:rPr>
                <w:rFonts w:cs="Calibri"/>
                <w:szCs w:val="16"/>
              </w:rPr>
              <w:t>56.7</w:t>
            </w:r>
          </w:p>
        </w:tc>
      </w:tr>
      <w:tr w:rsidR="00F849A7" w:rsidRPr="00D9348B" w14:paraId="24D537B4" w14:textId="77777777" w:rsidTr="00502D87">
        <w:trPr>
          <w:trHeight w:val="454"/>
        </w:trPr>
        <w:tc>
          <w:tcPr>
            <w:tcW w:w="1418" w:type="dxa"/>
            <w:vMerge/>
          </w:tcPr>
          <w:p w14:paraId="177ED2F4" w14:textId="77777777" w:rsidR="00F849A7" w:rsidRPr="00D9348B" w:rsidRDefault="00F849A7" w:rsidP="00DB330E">
            <w:pPr>
              <w:pStyle w:val="TableText"/>
              <w:keepNext/>
              <w:rPr>
                <w:rFonts w:cs="Calibri"/>
                <w:szCs w:val="16"/>
              </w:rPr>
            </w:pPr>
          </w:p>
        </w:tc>
        <w:tc>
          <w:tcPr>
            <w:tcW w:w="2268" w:type="dxa"/>
          </w:tcPr>
          <w:p w14:paraId="776F8892" w14:textId="77777777" w:rsidR="00F849A7" w:rsidRPr="00D9348B" w:rsidRDefault="00F849A7" w:rsidP="00DB330E">
            <w:pPr>
              <w:pStyle w:val="TableText"/>
              <w:keepNext/>
              <w:rPr>
                <w:rFonts w:cs="Calibri"/>
                <w:szCs w:val="16"/>
              </w:rPr>
            </w:pPr>
            <w:r w:rsidRPr="00D9348B">
              <w:rPr>
                <w:rFonts w:cs="Calibri"/>
                <w:szCs w:val="16"/>
              </w:rPr>
              <w:t xml:space="preserve">2020 (1990–2018) emissions estimate </w:t>
            </w:r>
            <w:r w:rsidRPr="00D9348B">
              <w:rPr>
                <w:rFonts w:cs="Calibri"/>
                <w:i/>
                <w:iCs/>
                <w:szCs w:val="16"/>
              </w:rPr>
              <w:t>using new</w:t>
            </w:r>
            <w:r w:rsidRPr="00D9348B">
              <w:rPr>
                <w:rFonts w:cs="Calibri"/>
                <w:szCs w:val="16"/>
              </w:rPr>
              <w:t xml:space="preserve"> dairy goat population estimates</w:t>
            </w:r>
          </w:p>
        </w:tc>
        <w:tc>
          <w:tcPr>
            <w:tcW w:w="850" w:type="dxa"/>
            <w:vAlign w:val="center"/>
          </w:tcPr>
          <w:p w14:paraId="0CD73025" w14:textId="77777777" w:rsidR="00F849A7" w:rsidRPr="00D9348B" w:rsidRDefault="00F849A7" w:rsidP="00DB330E">
            <w:pPr>
              <w:pStyle w:val="TableText"/>
              <w:keepNext/>
              <w:jc w:val="center"/>
              <w:rPr>
                <w:rFonts w:cs="Calibri"/>
                <w:szCs w:val="16"/>
              </w:rPr>
            </w:pPr>
            <w:r w:rsidRPr="00D9348B">
              <w:rPr>
                <w:rFonts w:cs="Calibri"/>
                <w:szCs w:val="16"/>
              </w:rPr>
              <w:t>4,483.8</w:t>
            </w:r>
          </w:p>
        </w:tc>
        <w:tc>
          <w:tcPr>
            <w:tcW w:w="851" w:type="dxa"/>
            <w:vAlign w:val="center"/>
          </w:tcPr>
          <w:p w14:paraId="365EAC85" w14:textId="77777777" w:rsidR="00F849A7" w:rsidRPr="00D9348B" w:rsidRDefault="00F849A7" w:rsidP="00DB330E">
            <w:pPr>
              <w:pStyle w:val="TableText"/>
              <w:jc w:val="center"/>
              <w:rPr>
                <w:rFonts w:cs="Calibri"/>
                <w:szCs w:val="16"/>
              </w:rPr>
            </w:pPr>
            <w:r w:rsidRPr="00D9348B">
              <w:rPr>
                <w:rFonts w:cs="Calibri"/>
                <w:szCs w:val="16"/>
              </w:rPr>
              <w:t>7,026.3</w:t>
            </w:r>
          </w:p>
        </w:tc>
        <w:tc>
          <w:tcPr>
            <w:tcW w:w="1559" w:type="dxa"/>
            <w:vAlign w:val="center"/>
          </w:tcPr>
          <w:p w14:paraId="690D432E" w14:textId="77777777" w:rsidR="00F849A7" w:rsidRPr="00D9348B" w:rsidRDefault="00F849A7" w:rsidP="00DB330E">
            <w:pPr>
              <w:pStyle w:val="TableText"/>
              <w:jc w:val="center"/>
              <w:rPr>
                <w:rFonts w:cs="Calibri"/>
                <w:szCs w:val="16"/>
              </w:rPr>
            </w:pPr>
            <w:r w:rsidRPr="00D9348B">
              <w:rPr>
                <w:rFonts w:cs="Calibri"/>
                <w:szCs w:val="16"/>
              </w:rPr>
              <w:t>2,542.5</w:t>
            </w:r>
          </w:p>
        </w:tc>
        <w:tc>
          <w:tcPr>
            <w:tcW w:w="1559" w:type="dxa"/>
            <w:vAlign w:val="center"/>
          </w:tcPr>
          <w:p w14:paraId="3CD725E3" w14:textId="77777777" w:rsidR="00F849A7" w:rsidRPr="00D9348B" w:rsidRDefault="00F849A7" w:rsidP="00DB330E">
            <w:pPr>
              <w:pStyle w:val="TableText"/>
              <w:jc w:val="center"/>
              <w:rPr>
                <w:rFonts w:cs="Calibri"/>
                <w:szCs w:val="16"/>
              </w:rPr>
            </w:pPr>
            <w:r w:rsidRPr="00D9348B">
              <w:rPr>
                <w:rFonts w:cs="Calibri"/>
                <w:szCs w:val="16"/>
              </w:rPr>
              <w:t>56.7</w:t>
            </w:r>
          </w:p>
        </w:tc>
      </w:tr>
      <w:tr w:rsidR="00F849A7" w:rsidRPr="00D9348B" w14:paraId="7B9EFA06" w14:textId="77777777" w:rsidTr="00502D87">
        <w:trPr>
          <w:trHeight w:val="454"/>
        </w:trPr>
        <w:tc>
          <w:tcPr>
            <w:tcW w:w="1418" w:type="dxa"/>
            <w:vMerge/>
          </w:tcPr>
          <w:p w14:paraId="22C6BDBF" w14:textId="77777777" w:rsidR="00F849A7" w:rsidRPr="00D9348B" w:rsidRDefault="00F849A7" w:rsidP="00DB330E">
            <w:pPr>
              <w:pStyle w:val="TableText"/>
              <w:keepNext/>
              <w:rPr>
                <w:rFonts w:cs="Calibri"/>
                <w:szCs w:val="16"/>
              </w:rPr>
            </w:pPr>
          </w:p>
        </w:tc>
        <w:tc>
          <w:tcPr>
            <w:tcW w:w="2268" w:type="dxa"/>
          </w:tcPr>
          <w:p w14:paraId="3D6A1B8F" w14:textId="77777777" w:rsidR="00F849A7" w:rsidRPr="00D9348B" w:rsidRDefault="00F849A7" w:rsidP="00DB330E">
            <w:pPr>
              <w:pStyle w:val="TableText"/>
              <w:keepNext/>
              <w:rPr>
                <w:rFonts w:cs="Calibri"/>
                <w:szCs w:val="16"/>
              </w:rPr>
            </w:pPr>
            <w:r w:rsidRPr="00D9348B">
              <w:rPr>
                <w:rFonts w:cs="Calibri"/>
                <w:szCs w:val="16"/>
              </w:rPr>
              <w:t>Difference in emission estimates compared with current inventory</w:t>
            </w:r>
          </w:p>
        </w:tc>
        <w:tc>
          <w:tcPr>
            <w:tcW w:w="850" w:type="dxa"/>
            <w:vAlign w:val="center"/>
          </w:tcPr>
          <w:p w14:paraId="2AB00841" w14:textId="77777777" w:rsidR="00F849A7" w:rsidRPr="00D9348B" w:rsidRDefault="00F849A7" w:rsidP="00DB330E">
            <w:pPr>
              <w:pStyle w:val="TableText"/>
              <w:keepNext/>
              <w:jc w:val="center"/>
              <w:rPr>
                <w:rFonts w:cs="Calibri"/>
                <w:szCs w:val="16"/>
              </w:rPr>
            </w:pPr>
            <w:r w:rsidRPr="00D9348B">
              <w:rPr>
                <w:rFonts w:cs="Calibri"/>
                <w:szCs w:val="16"/>
              </w:rPr>
              <w:t>0.0</w:t>
            </w:r>
          </w:p>
        </w:tc>
        <w:tc>
          <w:tcPr>
            <w:tcW w:w="851" w:type="dxa"/>
            <w:vAlign w:val="center"/>
          </w:tcPr>
          <w:p w14:paraId="3E396E25" w14:textId="77777777" w:rsidR="00F849A7" w:rsidRPr="00D9348B" w:rsidRDefault="00F849A7" w:rsidP="00DB330E">
            <w:pPr>
              <w:pStyle w:val="TableText"/>
              <w:jc w:val="center"/>
              <w:rPr>
                <w:rFonts w:cs="Calibri"/>
                <w:szCs w:val="16"/>
              </w:rPr>
            </w:pPr>
            <w:r w:rsidRPr="00D9348B">
              <w:rPr>
                <w:rFonts w:cs="Calibri"/>
                <w:szCs w:val="16"/>
              </w:rPr>
              <w:t>0.5</w:t>
            </w:r>
          </w:p>
        </w:tc>
        <w:tc>
          <w:tcPr>
            <w:tcW w:w="1559" w:type="dxa"/>
            <w:vAlign w:val="center"/>
          </w:tcPr>
          <w:p w14:paraId="3C4354B0" w14:textId="77777777" w:rsidR="00F849A7" w:rsidRPr="00D9348B" w:rsidRDefault="00F849A7" w:rsidP="00DB330E">
            <w:pPr>
              <w:pStyle w:val="TableText"/>
              <w:jc w:val="center"/>
              <w:rPr>
                <w:rFonts w:cs="Calibri"/>
                <w:szCs w:val="16"/>
              </w:rPr>
            </w:pPr>
            <w:r w:rsidRPr="00D9348B">
              <w:rPr>
                <w:rFonts w:cs="Calibri"/>
                <w:szCs w:val="16"/>
              </w:rPr>
              <w:t>0.5</w:t>
            </w:r>
          </w:p>
        </w:tc>
        <w:tc>
          <w:tcPr>
            <w:tcW w:w="1559" w:type="dxa"/>
            <w:vAlign w:val="center"/>
          </w:tcPr>
          <w:p w14:paraId="7E14B635" w14:textId="77777777" w:rsidR="00F849A7" w:rsidRPr="00D9348B" w:rsidRDefault="00F849A7" w:rsidP="00DB330E">
            <w:pPr>
              <w:pStyle w:val="TableText"/>
              <w:jc w:val="center"/>
              <w:rPr>
                <w:rFonts w:cs="Calibri"/>
                <w:szCs w:val="16"/>
              </w:rPr>
            </w:pPr>
          </w:p>
        </w:tc>
      </w:tr>
      <w:tr w:rsidR="00F849A7" w:rsidRPr="00D9348B" w14:paraId="617FCA18" w14:textId="77777777" w:rsidTr="00502D87">
        <w:trPr>
          <w:trHeight w:val="454"/>
        </w:trPr>
        <w:tc>
          <w:tcPr>
            <w:tcW w:w="1418" w:type="dxa"/>
            <w:vMerge/>
          </w:tcPr>
          <w:p w14:paraId="1CEAB23E" w14:textId="77777777" w:rsidR="00F849A7" w:rsidRPr="00D9348B" w:rsidRDefault="00F849A7" w:rsidP="00DB330E">
            <w:pPr>
              <w:pStyle w:val="TableText"/>
              <w:keepNext/>
              <w:rPr>
                <w:rFonts w:cs="Calibri"/>
                <w:szCs w:val="16"/>
              </w:rPr>
            </w:pPr>
          </w:p>
        </w:tc>
        <w:tc>
          <w:tcPr>
            <w:tcW w:w="2268" w:type="dxa"/>
          </w:tcPr>
          <w:p w14:paraId="72C4A3F3" w14:textId="77777777" w:rsidR="00F849A7" w:rsidRPr="00D9348B" w:rsidRDefault="00F849A7" w:rsidP="00DB330E">
            <w:pPr>
              <w:pStyle w:val="TableText"/>
              <w:keepNext/>
              <w:rPr>
                <w:rFonts w:cs="Calibri"/>
                <w:szCs w:val="16"/>
              </w:rPr>
            </w:pPr>
            <w:r w:rsidRPr="00D9348B">
              <w:rPr>
                <w:rFonts w:cs="Calibri"/>
                <w:szCs w:val="16"/>
              </w:rPr>
              <w:t>Percentage difference in emission estimates</w:t>
            </w:r>
          </w:p>
        </w:tc>
        <w:tc>
          <w:tcPr>
            <w:tcW w:w="850" w:type="dxa"/>
            <w:vAlign w:val="center"/>
          </w:tcPr>
          <w:p w14:paraId="7CD2A0A7" w14:textId="77777777" w:rsidR="00F849A7" w:rsidRPr="00D9348B" w:rsidRDefault="00F849A7" w:rsidP="00DB330E">
            <w:pPr>
              <w:pStyle w:val="TableText"/>
              <w:keepNext/>
              <w:jc w:val="center"/>
              <w:rPr>
                <w:rFonts w:cs="Calibri"/>
                <w:szCs w:val="16"/>
              </w:rPr>
            </w:pPr>
            <w:r w:rsidRPr="00D9348B">
              <w:rPr>
                <w:rFonts w:cs="Calibri"/>
                <w:szCs w:val="16"/>
              </w:rPr>
              <w:t>0.0</w:t>
            </w:r>
          </w:p>
        </w:tc>
        <w:tc>
          <w:tcPr>
            <w:tcW w:w="851" w:type="dxa"/>
            <w:vAlign w:val="center"/>
          </w:tcPr>
          <w:p w14:paraId="376A1EC7" w14:textId="77777777" w:rsidR="00F849A7" w:rsidRPr="00D9348B" w:rsidRDefault="00F849A7" w:rsidP="00DB330E">
            <w:pPr>
              <w:pStyle w:val="TableText"/>
              <w:jc w:val="center"/>
              <w:rPr>
                <w:rFonts w:cs="Calibri"/>
                <w:szCs w:val="16"/>
              </w:rPr>
            </w:pPr>
            <w:r w:rsidRPr="00D9348B">
              <w:rPr>
                <w:rFonts w:cs="Calibri"/>
                <w:szCs w:val="16"/>
              </w:rPr>
              <w:t>0.0</w:t>
            </w:r>
          </w:p>
        </w:tc>
        <w:tc>
          <w:tcPr>
            <w:tcW w:w="1559" w:type="dxa"/>
            <w:vAlign w:val="center"/>
          </w:tcPr>
          <w:p w14:paraId="7D2B98B9" w14:textId="77777777" w:rsidR="00F849A7" w:rsidRPr="00D9348B" w:rsidRDefault="00F849A7" w:rsidP="00DB330E">
            <w:pPr>
              <w:pStyle w:val="TableText"/>
              <w:jc w:val="center"/>
              <w:rPr>
                <w:rFonts w:cs="Calibri"/>
                <w:szCs w:val="16"/>
              </w:rPr>
            </w:pPr>
          </w:p>
        </w:tc>
        <w:tc>
          <w:tcPr>
            <w:tcW w:w="1559" w:type="dxa"/>
            <w:vAlign w:val="center"/>
          </w:tcPr>
          <w:p w14:paraId="0C8EE8A5" w14:textId="77777777" w:rsidR="00F849A7" w:rsidRPr="00D9348B" w:rsidRDefault="00F849A7" w:rsidP="00DB330E">
            <w:pPr>
              <w:pStyle w:val="TableText"/>
              <w:jc w:val="center"/>
              <w:rPr>
                <w:rFonts w:cs="Calibri"/>
                <w:szCs w:val="16"/>
              </w:rPr>
            </w:pPr>
          </w:p>
        </w:tc>
      </w:tr>
    </w:tbl>
    <w:p w14:paraId="7E78F7D8" w14:textId="77777777" w:rsidR="00F849A7" w:rsidRPr="00D9348B" w:rsidRDefault="00F849A7" w:rsidP="00F849A7">
      <w:pPr>
        <w:pStyle w:val="Heading5"/>
        <w:spacing w:before="360"/>
        <w:rPr>
          <w:rFonts w:cs="Calibri"/>
        </w:rPr>
      </w:pPr>
      <w:r w:rsidRPr="00D9348B">
        <w:rPr>
          <w:rFonts w:cs="Calibri"/>
        </w:rPr>
        <w:t>Minor improvements to the equations used to estimate energy efficiency for maintenance (k</w:t>
      </w:r>
      <w:r w:rsidRPr="00D9348B">
        <w:rPr>
          <w:rFonts w:cs="Calibri"/>
          <w:vertAlign w:val="subscript"/>
        </w:rPr>
        <w:t>m</w:t>
      </w:r>
      <w:r w:rsidRPr="00D9348B">
        <w:rPr>
          <w:rFonts w:cs="Calibri"/>
        </w:rPr>
        <w:t>)</w:t>
      </w:r>
    </w:p>
    <w:p w14:paraId="01C926B6" w14:textId="72307D35" w:rsidR="00F849A7" w:rsidRPr="00D9348B" w:rsidRDefault="00F849A7" w:rsidP="00F849A7">
      <w:pPr>
        <w:pStyle w:val="BodyText"/>
        <w:rPr>
          <w:rFonts w:cs="Calibri"/>
        </w:rPr>
      </w:pPr>
      <w:r w:rsidRPr="00D9348B">
        <w:rPr>
          <w:rFonts w:cs="Calibri"/>
        </w:rPr>
        <w:t>The variable k</w:t>
      </w:r>
      <w:r w:rsidRPr="00D9348B">
        <w:rPr>
          <w:rFonts w:cs="Calibri"/>
          <w:vertAlign w:val="subscript"/>
        </w:rPr>
        <w:t>m</w:t>
      </w:r>
      <w:r w:rsidRPr="00D9348B">
        <w:rPr>
          <w:rFonts w:cs="Calibri"/>
        </w:rPr>
        <w:t xml:space="preserve"> estimates the efficiency of energy used for maintenance activities for cattle, sheep and deer, which is used to help calculate energy requirements, intake, and nitrogen excretion. For the 2020 submission, minor improvements were made to this equation for beef cattle, sheep and deer (not dairy cattle), so that it is consistent with the CSIRO (1990) and 2006</w:t>
      </w:r>
      <w:r w:rsidR="00502D87" w:rsidRPr="00D9348B">
        <w:rPr>
          <w:rFonts w:cs="Calibri"/>
        </w:rPr>
        <w:t> </w:t>
      </w:r>
      <w:r w:rsidRPr="00D9348B">
        <w:rPr>
          <w:rFonts w:cs="Calibri"/>
        </w:rPr>
        <w:t>IPCC Guidelines. More details on this change are in section 10.1.3 (chapter 10).</w:t>
      </w:r>
    </w:p>
    <w:p w14:paraId="1CDED6BB" w14:textId="77777777" w:rsidR="00F849A7" w:rsidRPr="00D9348B" w:rsidRDefault="00F849A7" w:rsidP="00F849A7">
      <w:pPr>
        <w:pStyle w:val="BodyText"/>
        <w:rPr>
          <w:rFonts w:cs="Calibri"/>
        </w:rPr>
      </w:pPr>
      <w:r w:rsidRPr="00D9348B">
        <w:rPr>
          <w:rFonts w:cs="Calibri"/>
        </w:rPr>
        <w:t xml:space="preserve">This change had a small effect on estimated emissions from </w:t>
      </w:r>
      <w:r w:rsidRPr="00D9348B">
        <w:rPr>
          <w:rFonts w:cs="Calibri"/>
          <w:i/>
          <w:iCs/>
        </w:rPr>
        <w:t>Agricultural soils</w:t>
      </w:r>
      <w:r w:rsidRPr="00D9348B">
        <w:rPr>
          <w:rFonts w:cs="Calibri"/>
        </w:rPr>
        <w:t>, as shown in table 5.5.16.</w:t>
      </w:r>
    </w:p>
    <w:p w14:paraId="2BE089C5" w14:textId="77777777" w:rsidR="00F849A7" w:rsidRPr="00D9348B" w:rsidRDefault="00F849A7" w:rsidP="00F849A7">
      <w:pPr>
        <w:pStyle w:val="Table"/>
        <w:rPr>
          <w:rFonts w:cs="Calibri"/>
        </w:rPr>
      </w:pPr>
      <w:bookmarkStart w:id="986" w:name="_Toc32570942"/>
      <w:bookmarkStart w:id="987" w:name="_Toc36224577"/>
      <w:r w:rsidRPr="00D9348B">
        <w:rPr>
          <w:rFonts w:cs="Calibri"/>
        </w:rPr>
        <w:lastRenderedPageBreak/>
        <w:t>Table 5.5.16</w:t>
      </w:r>
      <w:r w:rsidRPr="00D9348B">
        <w:rPr>
          <w:rFonts w:cs="Calibri"/>
        </w:rPr>
        <w:tab/>
        <w:t>Comparison of current and previous emissions estimates before and after</w:t>
      </w:r>
      <w:r w:rsidRPr="00D9348B">
        <w:rPr>
          <w:rFonts w:cs="Calibri"/>
        </w:rPr>
        <w:br/>
        <w:t>changes to energy efficiency for maintenance (k</w:t>
      </w:r>
      <w:r w:rsidRPr="00D9348B">
        <w:rPr>
          <w:rFonts w:cs="Calibri"/>
          <w:vertAlign w:val="subscript"/>
        </w:rPr>
        <w:t>m</w:t>
      </w:r>
      <w:r w:rsidRPr="00D9348B">
        <w:rPr>
          <w:rFonts w:cs="Calibri"/>
        </w:rPr>
        <w:t>) equation</w:t>
      </w:r>
      <w:bookmarkEnd w:id="986"/>
      <w:bookmarkEnd w:id="987"/>
    </w:p>
    <w:tbl>
      <w:tblPr>
        <w:tblW w:w="8505" w:type="dxa"/>
        <w:tblInd w:w="108" w:type="dxa"/>
        <w:tblBorders>
          <w:top w:val="single" w:sz="4" w:space="0" w:color="365F91"/>
          <w:bottom w:val="single" w:sz="4" w:space="0" w:color="365F91"/>
          <w:insideH w:val="single" w:sz="4" w:space="0" w:color="365F91"/>
        </w:tblBorders>
        <w:tblLayout w:type="fixed"/>
        <w:tblLook w:val="0000" w:firstRow="0" w:lastRow="0" w:firstColumn="0" w:lastColumn="0" w:noHBand="0" w:noVBand="0"/>
      </w:tblPr>
      <w:tblGrid>
        <w:gridCol w:w="1418"/>
        <w:gridCol w:w="2268"/>
        <w:gridCol w:w="850"/>
        <w:gridCol w:w="851"/>
        <w:gridCol w:w="1559"/>
        <w:gridCol w:w="1559"/>
      </w:tblGrid>
      <w:tr w:rsidR="00F849A7" w:rsidRPr="00D9348B" w14:paraId="2D964D99" w14:textId="77777777" w:rsidTr="00502D87">
        <w:trPr>
          <w:trHeight w:val="608"/>
          <w:tblHeader/>
        </w:trPr>
        <w:tc>
          <w:tcPr>
            <w:tcW w:w="1418" w:type="dxa"/>
            <w:shd w:val="clear" w:color="auto" w:fill="365F91"/>
            <w:vAlign w:val="bottom"/>
          </w:tcPr>
          <w:p w14:paraId="60122022" w14:textId="77777777" w:rsidR="00F849A7" w:rsidRPr="00D9348B" w:rsidRDefault="00F849A7" w:rsidP="00DB330E">
            <w:pPr>
              <w:pStyle w:val="TableTextBold"/>
              <w:keepNext/>
              <w:rPr>
                <w:rFonts w:cs="Calibri"/>
                <w:noProof w:val="0"/>
                <w:color w:val="FFFFFF"/>
                <w:szCs w:val="16"/>
              </w:rPr>
            </w:pPr>
            <w:r w:rsidRPr="00D9348B">
              <w:rPr>
                <w:rFonts w:cs="Calibri"/>
                <w:noProof w:val="0"/>
                <w:color w:val="FFFFFF"/>
                <w:szCs w:val="16"/>
              </w:rPr>
              <w:t xml:space="preserve">Emissions </w:t>
            </w:r>
            <w:r w:rsidRPr="00D9348B">
              <w:rPr>
                <w:rFonts w:cs="Calibri"/>
                <w:noProof w:val="0"/>
                <w:color w:val="FFFFFF"/>
                <w:szCs w:val="16"/>
              </w:rPr>
              <w:br/>
              <w:t>(kt CO</w:t>
            </w:r>
            <w:r w:rsidRPr="00D9348B">
              <w:rPr>
                <w:rFonts w:cs="Calibri"/>
                <w:noProof w:val="0"/>
                <w:color w:val="FFFFFF"/>
                <w:szCs w:val="16"/>
                <w:vertAlign w:val="subscript"/>
              </w:rPr>
              <w:t>2</w:t>
            </w:r>
            <w:r w:rsidRPr="00D9348B">
              <w:rPr>
                <w:rFonts w:cs="Calibri"/>
                <w:noProof w:val="0"/>
                <w:color w:val="FFFFFF"/>
                <w:szCs w:val="16"/>
              </w:rPr>
              <w:t>-e)</w:t>
            </w:r>
          </w:p>
        </w:tc>
        <w:tc>
          <w:tcPr>
            <w:tcW w:w="2268" w:type="dxa"/>
            <w:shd w:val="clear" w:color="auto" w:fill="365F91"/>
            <w:vAlign w:val="bottom"/>
          </w:tcPr>
          <w:p w14:paraId="3267A2D3" w14:textId="77777777" w:rsidR="00F849A7" w:rsidRPr="00D9348B" w:rsidRDefault="00F849A7" w:rsidP="00DB330E">
            <w:pPr>
              <w:pStyle w:val="TableTextBold"/>
              <w:keepNext/>
              <w:rPr>
                <w:rFonts w:cs="Calibri"/>
                <w:noProof w:val="0"/>
                <w:color w:val="FFFFFF"/>
                <w:szCs w:val="16"/>
              </w:rPr>
            </w:pPr>
          </w:p>
        </w:tc>
        <w:tc>
          <w:tcPr>
            <w:tcW w:w="850" w:type="dxa"/>
            <w:shd w:val="clear" w:color="auto" w:fill="365F91"/>
            <w:vAlign w:val="bottom"/>
          </w:tcPr>
          <w:p w14:paraId="4CDE56C3" w14:textId="77777777" w:rsidR="00F849A7" w:rsidRPr="00D9348B" w:rsidRDefault="00F849A7" w:rsidP="00DB330E">
            <w:pPr>
              <w:pStyle w:val="TableTextBold"/>
              <w:keepNext/>
              <w:jc w:val="center"/>
              <w:rPr>
                <w:rFonts w:cs="Calibri"/>
                <w:noProof w:val="0"/>
                <w:color w:val="FFFFFF"/>
                <w:szCs w:val="16"/>
              </w:rPr>
            </w:pPr>
            <w:r w:rsidRPr="00D9348B">
              <w:rPr>
                <w:rFonts w:cs="Calibri"/>
                <w:noProof w:val="0"/>
                <w:color w:val="FFFFFF"/>
                <w:szCs w:val="16"/>
              </w:rPr>
              <w:t>1990</w:t>
            </w:r>
          </w:p>
        </w:tc>
        <w:tc>
          <w:tcPr>
            <w:tcW w:w="851" w:type="dxa"/>
            <w:shd w:val="clear" w:color="auto" w:fill="365F91"/>
            <w:vAlign w:val="bottom"/>
          </w:tcPr>
          <w:p w14:paraId="08B35614" w14:textId="77777777" w:rsidR="00F849A7" w:rsidRPr="00D9348B" w:rsidRDefault="00F849A7" w:rsidP="00DB330E">
            <w:pPr>
              <w:pStyle w:val="TableTextBold"/>
              <w:jc w:val="center"/>
              <w:rPr>
                <w:rFonts w:cs="Calibri"/>
                <w:noProof w:val="0"/>
                <w:color w:val="FFFFFF"/>
                <w:szCs w:val="16"/>
              </w:rPr>
            </w:pPr>
            <w:r w:rsidRPr="00D9348B">
              <w:rPr>
                <w:rFonts w:cs="Calibri"/>
                <w:noProof w:val="0"/>
                <w:color w:val="FFFFFF"/>
                <w:szCs w:val="16"/>
              </w:rPr>
              <w:t>2018</w:t>
            </w:r>
          </w:p>
        </w:tc>
        <w:tc>
          <w:tcPr>
            <w:tcW w:w="1559" w:type="dxa"/>
            <w:shd w:val="clear" w:color="auto" w:fill="365F91"/>
            <w:vAlign w:val="bottom"/>
          </w:tcPr>
          <w:p w14:paraId="62F9EB92" w14:textId="77777777" w:rsidR="00F849A7" w:rsidRPr="00D9348B" w:rsidRDefault="00F849A7" w:rsidP="00DB330E">
            <w:pPr>
              <w:pStyle w:val="TableTextBold"/>
              <w:jc w:val="center"/>
              <w:rPr>
                <w:rFonts w:cs="Calibri"/>
                <w:noProof w:val="0"/>
                <w:color w:val="FFFFFF"/>
                <w:szCs w:val="16"/>
              </w:rPr>
            </w:pPr>
            <w:r w:rsidRPr="00D9348B">
              <w:rPr>
                <w:rFonts w:cs="Calibri"/>
                <w:noProof w:val="0"/>
                <w:color w:val="FFFFFF"/>
                <w:szCs w:val="16"/>
              </w:rPr>
              <w:t xml:space="preserve">Change in emission outputs between 1990 and 2018 </w:t>
            </w:r>
            <w:r w:rsidRPr="00D9348B">
              <w:rPr>
                <w:rFonts w:cs="Calibri"/>
                <w:noProof w:val="0"/>
                <w:color w:val="FFFFFF"/>
                <w:szCs w:val="16"/>
              </w:rPr>
              <w:br/>
              <w:t>(kt CO</w:t>
            </w:r>
            <w:r w:rsidRPr="00D9348B">
              <w:rPr>
                <w:rFonts w:cs="Calibri"/>
                <w:noProof w:val="0"/>
                <w:color w:val="FFFFFF"/>
                <w:szCs w:val="16"/>
                <w:vertAlign w:val="subscript"/>
              </w:rPr>
              <w:t>2</w:t>
            </w:r>
            <w:r w:rsidRPr="00D9348B">
              <w:rPr>
                <w:rFonts w:cs="Calibri"/>
                <w:noProof w:val="0"/>
                <w:color w:val="FFFFFF"/>
                <w:szCs w:val="16"/>
              </w:rPr>
              <w:t xml:space="preserve">-e) </w:t>
            </w:r>
          </w:p>
        </w:tc>
        <w:tc>
          <w:tcPr>
            <w:tcW w:w="1559" w:type="dxa"/>
            <w:shd w:val="clear" w:color="auto" w:fill="365F91"/>
            <w:vAlign w:val="bottom"/>
          </w:tcPr>
          <w:p w14:paraId="28CF239F" w14:textId="77777777" w:rsidR="00F849A7" w:rsidRPr="00D9348B" w:rsidRDefault="00F849A7" w:rsidP="00DB330E">
            <w:pPr>
              <w:pStyle w:val="TableTextBold"/>
              <w:jc w:val="center"/>
              <w:rPr>
                <w:rFonts w:cs="Calibri"/>
                <w:noProof w:val="0"/>
                <w:color w:val="FFFFFF"/>
                <w:szCs w:val="16"/>
              </w:rPr>
            </w:pPr>
            <w:r w:rsidRPr="00D9348B">
              <w:rPr>
                <w:rFonts w:cs="Calibri"/>
                <w:noProof w:val="0"/>
                <w:color w:val="FFFFFF"/>
                <w:szCs w:val="16"/>
              </w:rPr>
              <w:t>Percentage change in emission outputs between 1990 and 2018</w:t>
            </w:r>
          </w:p>
        </w:tc>
      </w:tr>
      <w:tr w:rsidR="00F849A7" w:rsidRPr="00D9348B" w14:paraId="04139397" w14:textId="77777777" w:rsidTr="00502D87">
        <w:trPr>
          <w:trHeight w:val="454"/>
        </w:trPr>
        <w:tc>
          <w:tcPr>
            <w:tcW w:w="1418" w:type="dxa"/>
            <w:vMerge w:val="restart"/>
            <w:vAlign w:val="center"/>
          </w:tcPr>
          <w:p w14:paraId="7A2BC151" w14:textId="77777777" w:rsidR="00F849A7" w:rsidRPr="00D9348B" w:rsidRDefault="00F849A7" w:rsidP="00DB330E">
            <w:pPr>
              <w:pStyle w:val="TableText"/>
              <w:keepNext/>
              <w:rPr>
                <w:rFonts w:cs="Calibri"/>
                <w:szCs w:val="16"/>
              </w:rPr>
            </w:pPr>
            <w:r w:rsidRPr="00D9348B">
              <w:rPr>
                <w:rFonts w:cs="Calibri"/>
                <w:szCs w:val="16"/>
              </w:rPr>
              <w:t>Total emissions from Agricultural soils (kt CO</w:t>
            </w:r>
            <w:r w:rsidRPr="00D9348B">
              <w:rPr>
                <w:rFonts w:cs="Calibri"/>
                <w:szCs w:val="16"/>
                <w:vertAlign w:val="subscript"/>
              </w:rPr>
              <w:t>2</w:t>
            </w:r>
            <w:r w:rsidRPr="00D9348B">
              <w:rPr>
                <w:rFonts w:cs="Calibri"/>
                <w:szCs w:val="16"/>
              </w:rPr>
              <w:t>-e)</w:t>
            </w:r>
          </w:p>
        </w:tc>
        <w:tc>
          <w:tcPr>
            <w:tcW w:w="2268" w:type="dxa"/>
          </w:tcPr>
          <w:p w14:paraId="7BA43F5A" w14:textId="77777777" w:rsidR="00F849A7" w:rsidRPr="00D9348B" w:rsidRDefault="00F849A7" w:rsidP="00DB330E">
            <w:pPr>
              <w:pStyle w:val="TableText"/>
              <w:keepNext/>
              <w:rPr>
                <w:rFonts w:cs="Calibri"/>
                <w:szCs w:val="16"/>
              </w:rPr>
            </w:pPr>
            <w:r w:rsidRPr="00D9348B">
              <w:rPr>
                <w:rFonts w:cs="Calibri"/>
                <w:szCs w:val="16"/>
              </w:rPr>
              <w:t xml:space="preserve">2020 (1990–2018) emissions estimate </w:t>
            </w:r>
            <w:r w:rsidRPr="00D9348B">
              <w:rPr>
                <w:rFonts w:cs="Calibri"/>
                <w:i/>
                <w:iCs/>
                <w:szCs w:val="16"/>
              </w:rPr>
              <w:t xml:space="preserve">using previous </w:t>
            </w:r>
            <w:r w:rsidRPr="00D9348B">
              <w:rPr>
                <w:rFonts w:cs="Calibri"/>
                <w:szCs w:val="16"/>
              </w:rPr>
              <w:t>k</w:t>
            </w:r>
            <w:r w:rsidRPr="00D9348B">
              <w:rPr>
                <w:rFonts w:cs="Calibri"/>
                <w:szCs w:val="16"/>
                <w:vertAlign w:val="subscript"/>
              </w:rPr>
              <w:t>m</w:t>
            </w:r>
            <w:r w:rsidRPr="00D9348B">
              <w:rPr>
                <w:rFonts w:cs="Calibri"/>
                <w:szCs w:val="16"/>
              </w:rPr>
              <w:t xml:space="preserve"> equation specification </w:t>
            </w:r>
          </w:p>
        </w:tc>
        <w:tc>
          <w:tcPr>
            <w:tcW w:w="850" w:type="dxa"/>
            <w:vAlign w:val="center"/>
          </w:tcPr>
          <w:p w14:paraId="671F5482" w14:textId="77777777" w:rsidR="00F849A7" w:rsidRPr="00D9348B" w:rsidRDefault="00F849A7" w:rsidP="00DB330E">
            <w:pPr>
              <w:pStyle w:val="TableText"/>
              <w:keepNext/>
              <w:jc w:val="center"/>
              <w:rPr>
                <w:rFonts w:cs="Calibri"/>
                <w:szCs w:val="16"/>
              </w:rPr>
            </w:pPr>
            <w:r w:rsidRPr="00D9348B">
              <w:rPr>
                <w:rFonts w:cs="Calibri"/>
                <w:szCs w:val="16"/>
              </w:rPr>
              <w:t>4,486.9</w:t>
            </w:r>
          </w:p>
        </w:tc>
        <w:tc>
          <w:tcPr>
            <w:tcW w:w="851" w:type="dxa"/>
            <w:vAlign w:val="center"/>
          </w:tcPr>
          <w:p w14:paraId="37F9DFF6" w14:textId="77777777" w:rsidR="00F849A7" w:rsidRPr="00D9348B" w:rsidRDefault="00F849A7" w:rsidP="00DB330E">
            <w:pPr>
              <w:pStyle w:val="TableText"/>
              <w:jc w:val="center"/>
              <w:rPr>
                <w:rFonts w:cs="Calibri"/>
                <w:szCs w:val="16"/>
              </w:rPr>
            </w:pPr>
            <w:r w:rsidRPr="00D9348B">
              <w:rPr>
                <w:rFonts w:cs="Calibri"/>
                <w:szCs w:val="16"/>
              </w:rPr>
              <w:t>7,027.6</w:t>
            </w:r>
          </w:p>
        </w:tc>
        <w:tc>
          <w:tcPr>
            <w:tcW w:w="1559" w:type="dxa"/>
            <w:vAlign w:val="center"/>
          </w:tcPr>
          <w:p w14:paraId="0811A6F4" w14:textId="77777777" w:rsidR="00F849A7" w:rsidRPr="00D9348B" w:rsidRDefault="00F849A7" w:rsidP="00DB330E">
            <w:pPr>
              <w:pStyle w:val="TableText"/>
              <w:jc w:val="center"/>
              <w:rPr>
                <w:rFonts w:cs="Calibri"/>
                <w:szCs w:val="16"/>
              </w:rPr>
            </w:pPr>
            <w:r w:rsidRPr="00D9348B">
              <w:rPr>
                <w:rFonts w:cs="Calibri"/>
                <w:szCs w:val="16"/>
              </w:rPr>
              <w:t>2,540.7</w:t>
            </w:r>
          </w:p>
        </w:tc>
        <w:tc>
          <w:tcPr>
            <w:tcW w:w="1559" w:type="dxa"/>
            <w:vAlign w:val="center"/>
          </w:tcPr>
          <w:p w14:paraId="283E962A" w14:textId="77777777" w:rsidR="00F849A7" w:rsidRPr="00D9348B" w:rsidRDefault="00F849A7" w:rsidP="00DB330E">
            <w:pPr>
              <w:pStyle w:val="TableText"/>
              <w:jc w:val="center"/>
              <w:rPr>
                <w:rFonts w:cs="Calibri"/>
                <w:szCs w:val="16"/>
              </w:rPr>
            </w:pPr>
            <w:r w:rsidRPr="00D9348B">
              <w:rPr>
                <w:rFonts w:cs="Calibri"/>
                <w:szCs w:val="16"/>
              </w:rPr>
              <w:t>56.6</w:t>
            </w:r>
          </w:p>
        </w:tc>
      </w:tr>
      <w:tr w:rsidR="00F849A7" w:rsidRPr="00D9348B" w14:paraId="27F6211D" w14:textId="77777777" w:rsidTr="00502D87">
        <w:trPr>
          <w:trHeight w:val="454"/>
        </w:trPr>
        <w:tc>
          <w:tcPr>
            <w:tcW w:w="1418" w:type="dxa"/>
            <w:vMerge/>
          </w:tcPr>
          <w:p w14:paraId="7E11C285" w14:textId="77777777" w:rsidR="00F849A7" w:rsidRPr="00D9348B" w:rsidRDefault="00F849A7" w:rsidP="00DB330E">
            <w:pPr>
              <w:pStyle w:val="TableText"/>
              <w:keepNext/>
              <w:rPr>
                <w:rFonts w:cs="Calibri"/>
                <w:szCs w:val="16"/>
              </w:rPr>
            </w:pPr>
          </w:p>
        </w:tc>
        <w:tc>
          <w:tcPr>
            <w:tcW w:w="2268" w:type="dxa"/>
          </w:tcPr>
          <w:p w14:paraId="0A607124" w14:textId="77777777" w:rsidR="00F849A7" w:rsidRPr="00D9348B" w:rsidRDefault="00F849A7" w:rsidP="00DB330E">
            <w:pPr>
              <w:pStyle w:val="TableText"/>
              <w:keepNext/>
              <w:rPr>
                <w:rFonts w:cs="Calibri"/>
                <w:szCs w:val="16"/>
              </w:rPr>
            </w:pPr>
            <w:r w:rsidRPr="00D9348B">
              <w:rPr>
                <w:rFonts w:cs="Calibri"/>
                <w:szCs w:val="16"/>
              </w:rPr>
              <w:t xml:space="preserve">2020 (1990–2018) emissions estimate </w:t>
            </w:r>
            <w:r w:rsidRPr="00D9348B">
              <w:rPr>
                <w:rFonts w:cs="Calibri"/>
                <w:i/>
                <w:iCs/>
                <w:szCs w:val="16"/>
              </w:rPr>
              <w:t>using new</w:t>
            </w:r>
            <w:r w:rsidRPr="00D9348B">
              <w:rPr>
                <w:rFonts w:cs="Calibri"/>
                <w:szCs w:val="16"/>
              </w:rPr>
              <w:t xml:space="preserve"> k</w:t>
            </w:r>
            <w:r w:rsidRPr="00D9348B">
              <w:rPr>
                <w:rFonts w:cs="Calibri"/>
                <w:szCs w:val="16"/>
                <w:vertAlign w:val="subscript"/>
              </w:rPr>
              <w:t>m</w:t>
            </w:r>
            <w:r w:rsidRPr="00D9348B">
              <w:rPr>
                <w:rFonts w:cs="Calibri"/>
                <w:szCs w:val="16"/>
              </w:rPr>
              <w:t xml:space="preserve"> equation specification</w:t>
            </w:r>
          </w:p>
        </w:tc>
        <w:tc>
          <w:tcPr>
            <w:tcW w:w="850" w:type="dxa"/>
            <w:vAlign w:val="center"/>
          </w:tcPr>
          <w:p w14:paraId="30E11944" w14:textId="77777777" w:rsidR="00F849A7" w:rsidRPr="00D9348B" w:rsidRDefault="00F849A7" w:rsidP="00DB330E">
            <w:pPr>
              <w:pStyle w:val="TableText"/>
              <w:keepNext/>
              <w:jc w:val="center"/>
              <w:rPr>
                <w:rFonts w:cs="Calibri"/>
                <w:szCs w:val="16"/>
              </w:rPr>
            </w:pPr>
            <w:r w:rsidRPr="00D9348B">
              <w:rPr>
                <w:rFonts w:cs="Calibri"/>
                <w:szCs w:val="16"/>
              </w:rPr>
              <w:t>4,483.8</w:t>
            </w:r>
          </w:p>
        </w:tc>
        <w:tc>
          <w:tcPr>
            <w:tcW w:w="851" w:type="dxa"/>
            <w:vAlign w:val="center"/>
          </w:tcPr>
          <w:p w14:paraId="46931F78" w14:textId="77777777" w:rsidR="00F849A7" w:rsidRPr="00D9348B" w:rsidRDefault="00F849A7" w:rsidP="00DB330E">
            <w:pPr>
              <w:pStyle w:val="TableText"/>
              <w:jc w:val="center"/>
              <w:rPr>
                <w:rFonts w:cs="Calibri"/>
                <w:szCs w:val="16"/>
              </w:rPr>
            </w:pPr>
            <w:r w:rsidRPr="00D9348B">
              <w:rPr>
                <w:rFonts w:cs="Calibri"/>
                <w:szCs w:val="16"/>
              </w:rPr>
              <w:t>7,026.3</w:t>
            </w:r>
          </w:p>
        </w:tc>
        <w:tc>
          <w:tcPr>
            <w:tcW w:w="1559" w:type="dxa"/>
            <w:vAlign w:val="center"/>
          </w:tcPr>
          <w:p w14:paraId="152B094D" w14:textId="77777777" w:rsidR="00F849A7" w:rsidRPr="00D9348B" w:rsidRDefault="00F849A7" w:rsidP="00DB330E">
            <w:pPr>
              <w:pStyle w:val="TableText"/>
              <w:jc w:val="center"/>
              <w:rPr>
                <w:rFonts w:cs="Calibri"/>
                <w:szCs w:val="16"/>
              </w:rPr>
            </w:pPr>
            <w:r w:rsidRPr="00D9348B">
              <w:rPr>
                <w:rFonts w:cs="Calibri"/>
                <w:szCs w:val="16"/>
              </w:rPr>
              <w:t>2,542.5</w:t>
            </w:r>
          </w:p>
        </w:tc>
        <w:tc>
          <w:tcPr>
            <w:tcW w:w="1559" w:type="dxa"/>
            <w:vAlign w:val="center"/>
          </w:tcPr>
          <w:p w14:paraId="2F10861F" w14:textId="77777777" w:rsidR="00F849A7" w:rsidRPr="00D9348B" w:rsidRDefault="00F849A7" w:rsidP="00DB330E">
            <w:pPr>
              <w:pStyle w:val="TableText"/>
              <w:jc w:val="center"/>
              <w:rPr>
                <w:rFonts w:cs="Calibri"/>
                <w:szCs w:val="16"/>
              </w:rPr>
            </w:pPr>
            <w:r w:rsidRPr="00D9348B">
              <w:rPr>
                <w:rFonts w:cs="Calibri"/>
                <w:szCs w:val="16"/>
              </w:rPr>
              <w:t>56.7</w:t>
            </w:r>
          </w:p>
        </w:tc>
      </w:tr>
      <w:tr w:rsidR="00F849A7" w:rsidRPr="00D9348B" w14:paraId="6640D2D7" w14:textId="77777777" w:rsidTr="00502D87">
        <w:trPr>
          <w:trHeight w:val="454"/>
        </w:trPr>
        <w:tc>
          <w:tcPr>
            <w:tcW w:w="1418" w:type="dxa"/>
            <w:vMerge/>
          </w:tcPr>
          <w:p w14:paraId="286124D0" w14:textId="77777777" w:rsidR="00F849A7" w:rsidRPr="00D9348B" w:rsidRDefault="00F849A7" w:rsidP="00DB330E">
            <w:pPr>
              <w:pStyle w:val="TableText"/>
              <w:keepNext/>
              <w:rPr>
                <w:rFonts w:cs="Calibri"/>
                <w:szCs w:val="16"/>
              </w:rPr>
            </w:pPr>
          </w:p>
        </w:tc>
        <w:tc>
          <w:tcPr>
            <w:tcW w:w="2268" w:type="dxa"/>
          </w:tcPr>
          <w:p w14:paraId="31CDF9C8" w14:textId="77777777" w:rsidR="00F849A7" w:rsidRPr="00D9348B" w:rsidRDefault="00F849A7" w:rsidP="00DB330E">
            <w:pPr>
              <w:pStyle w:val="TableText"/>
              <w:keepNext/>
              <w:rPr>
                <w:rFonts w:cs="Calibri"/>
                <w:szCs w:val="16"/>
              </w:rPr>
            </w:pPr>
            <w:r w:rsidRPr="00D9348B">
              <w:rPr>
                <w:rFonts w:cs="Calibri"/>
                <w:szCs w:val="16"/>
              </w:rPr>
              <w:t>Difference in emission estimates compared with current inventory</w:t>
            </w:r>
          </w:p>
        </w:tc>
        <w:tc>
          <w:tcPr>
            <w:tcW w:w="850" w:type="dxa"/>
            <w:vAlign w:val="center"/>
          </w:tcPr>
          <w:p w14:paraId="45F44CAA" w14:textId="77777777" w:rsidR="00F849A7" w:rsidRPr="00D9348B" w:rsidRDefault="00F849A7" w:rsidP="00DB330E">
            <w:pPr>
              <w:pStyle w:val="TableText"/>
              <w:keepNext/>
              <w:jc w:val="center"/>
              <w:rPr>
                <w:rFonts w:cs="Calibri"/>
                <w:szCs w:val="16"/>
              </w:rPr>
            </w:pPr>
            <w:r w:rsidRPr="00D9348B">
              <w:rPr>
                <w:rFonts w:cs="Calibri"/>
                <w:szCs w:val="16"/>
              </w:rPr>
              <w:t>–3.1</w:t>
            </w:r>
          </w:p>
        </w:tc>
        <w:tc>
          <w:tcPr>
            <w:tcW w:w="851" w:type="dxa"/>
            <w:vAlign w:val="center"/>
          </w:tcPr>
          <w:p w14:paraId="482DFBE3" w14:textId="77777777" w:rsidR="00F849A7" w:rsidRPr="00D9348B" w:rsidRDefault="00F849A7" w:rsidP="00DB330E">
            <w:pPr>
              <w:pStyle w:val="TableText"/>
              <w:jc w:val="center"/>
              <w:rPr>
                <w:rFonts w:cs="Calibri"/>
                <w:szCs w:val="16"/>
              </w:rPr>
            </w:pPr>
            <w:r w:rsidRPr="00D9348B">
              <w:rPr>
                <w:rFonts w:cs="Calibri"/>
                <w:szCs w:val="16"/>
              </w:rPr>
              <w:t>–1.3</w:t>
            </w:r>
          </w:p>
        </w:tc>
        <w:tc>
          <w:tcPr>
            <w:tcW w:w="1559" w:type="dxa"/>
            <w:vAlign w:val="center"/>
          </w:tcPr>
          <w:p w14:paraId="2724FD0C" w14:textId="77777777" w:rsidR="00F849A7" w:rsidRPr="00D9348B" w:rsidRDefault="00F849A7" w:rsidP="00DB330E">
            <w:pPr>
              <w:pStyle w:val="TableText"/>
              <w:jc w:val="center"/>
              <w:rPr>
                <w:rFonts w:cs="Calibri"/>
                <w:szCs w:val="16"/>
              </w:rPr>
            </w:pPr>
            <w:r w:rsidRPr="00D9348B">
              <w:rPr>
                <w:rFonts w:cs="Calibri"/>
                <w:szCs w:val="16"/>
              </w:rPr>
              <w:t>1.8</w:t>
            </w:r>
          </w:p>
        </w:tc>
        <w:tc>
          <w:tcPr>
            <w:tcW w:w="1559" w:type="dxa"/>
            <w:vAlign w:val="center"/>
          </w:tcPr>
          <w:p w14:paraId="510C7712" w14:textId="77777777" w:rsidR="00F849A7" w:rsidRPr="00D9348B" w:rsidRDefault="00F849A7" w:rsidP="00DB330E">
            <w:pPr>
              <w:pStyle w:val="TableText"/>
              <w:jc w:val="center"/>
              <w:rPr>
                <w:rFonts w:cs="Calibri"/>
                <w:szCs w:val="16"/>
              </w:rPr>
            </w:pPr>
          </w:p>
        </w:tc>
      </w:tr>
      <w:tr w:rsidR="00F849A7" w:rsidRPr="00D9348B" w14:paraId="05753B9C" w14:textId="77777777" w:rsidTr="00502D87">
        <w:trPr>
          <w:trHeight w:val="454"/>
        </w:trPr>
        <w:tc>
          <w:tcPr>
            <w:tcW w:w="1418" w:type="dxa"/>
            <w:vMerge/>
          </w:tcPr>
          <w:p w14:paraId="5FE5721F" w14:textId="77777777" w:rsidR="00F849A7" w:rsidRPr="00D9348B" w:rsidRDefault="00F849A7" w:rsidP="00DB330E">
            <w:pPr>
              <w:pStyle w:val="TableText"/>
              <w:keepNext/>
              <w:rPr>
                <w:rFonts w:cs="Calibri"/>
                <w:szCs w:val="16"/>
              </w:rPr>
            </w:pPr>
          </w:p>
        </w:tc>
        <w:tc>
          <w:tcPr>
            <w:tcW w:w="2268" w:type="dxa"/>
          </w:tcPr>
          <w:p w14:paraId="0057FE4F" w14:textId="77777777" w:rsidR="00F849A7" w:rsidRPr="00D9348B" w:rsidRDefault="00F849A7" w:rsidP="00DB330E">
            <w:pPr>
              <w:pStyle w:val="TableText"/>
              <w:keepNext/>
              <w:rPr>
                <w:rFonts w:cs="Calibri"/>
                <w:szCs w:val="16"/>
              </w:rPr>
            </w:pPr>
            <w:r w:rsidRPr="00D9348B">
              <w:rPr>
                <w:rFonts w:cs="Calibri"/>
                <w:szCs w:val="16"/>
              </w:rPr>
              <w:t>Percentage difference in emission estimates</w:t>
            </w:r>
          </w:p>
        </w:tc>
        <w:tc>
          <w:tcPr>
            <w:tcW w:w="850" w:type="dxa"/>
            <w:vAlign w:val="center"/>
          </w:tcPr>
          <w:p w14:paraId="4AC3D785" w14:textId="77777777" w:rsidR="00F849A7" w:rsidRPr="00D9348B" w:rsidRDefault="00F849A7" w:rsidP="00DB330E">
            <w:pPr>
              <w:pStyle w:val="TableText"/>
              <w:keepNext/>
              <w:jc w:val="center"/>
              <w:rPr>
                <w:rFonts w:cs="Calibri"/>
                <w:szCs w:val="16"/>
              </w:rPr>
            </w:pPr>
            <w:r w:rsidRPr="00D9348B">
              <w:rPr>
                <w:rFonts w:cs="Calibri"/>
                <w:szCs w:val="16"/>
              </w:rPr>
              <w:t>–0.1</w:t>
            </w:r>
          </w:p>
        </w:tc>
        <w:tc>
          <w:tcPr>
            <w:tcW w:w="851" w:type="dxa"/>
            <w:vAlign w:val="center"/>
          </w:tcPr>
          <w:p w14:paraId="562FD359" w14:textId="77777777" w:rsidR="00F849A7" w:rsidRPr="00D9348B" w:rsidRDefault="00F849A7" w:rsidP="00DB330E">
            <w:pPr>
              <w:pStyle w:val="TableText"/>
              <w:jc w:val="center"/>
              <w:rPr>
                <w:rFonts w:cs="Calibri"/>
                <w:szCs w:val="16"/>
              </w:rPr>
            </w:pPr>
            <w:r w:rsidRPr="00D9348B">
              <w:rPr>
                <w:rFonts w:cs="Calibri"/>
                <w:szCs w:val="16"/>
              </w:rPr>
              <w:t>0.0</w:t>
            </w:r>
          </w:p>
        </w:tc>
        <w:tc>
          <w:tcPr>
            <w:tcW w:w="1559" w:type="dxa"/>
            <w:vAlign w:val="center"/>
          </w:tcPr>
          <w:p w14:paraId="03CBD0E2" w14:textId="77777777" w:rsidR="00F849A7" w:rsidRPr="00D9348B" w:rsidRDefault="00F849A7" w:rsidP="00DB330E">
            <w:pPr>
              <w:pStyle w:val="TableText"/>
              <w:jc w:val="center"/>
              <w:rPr>
                <w:rFonts w:cs="Calibri"/>
                <w:szCs w:val="16"/>
              </w:rPr>
            </w:pPr>
          </w:p>
        </w:tc>
        <w:tc>
          <w:tcPr>
            <w:tcW w:w="1559" w:type="dxa"/>
            <w:vAlign w:val="center"/>
          </w:tcPr>
          <w:p w14:paraId="3D190F85" w14:textId="77777777" w:rsidR="00F849A7" w:rsidRPr="00D9348B" w:rsidRDefault="00F849A7" w:rsidP="00DB330E">
            <w:pPr>
              <w:pStyle w:val="TableText"/>
              <w:jc w:val="center"/>
              <w:rPr>
                <w:rFonts w:cs="Calibri"/>
                <w:szCs w:val="16"/>
              </w:rPr>
            </w:pPr>
          </w:p>
        </w:tc>
      </w:tr>
    </w:tbl>
    <w:p w14:paraId="7D7C7E6C" w14:textId="77777777" w:rsidR="00F849A7" w:rsidRPr="00D9348B" w:rsidRDefault="00F849A7" w:rsidP="00F849A7">
      <w:pPr>
        <w:pStyle w:val="Heading3"/>
        <w:rPr>
          <w:rFonts w:cs="Calibri"/>
        </w:rPr>
      </w:pPr>
      <w:bookmarkStart w:id="988" w:name="_Toc32570672"/>
      <w:bookmarkEnd w:id="980"/>
      <w:r w:rsidRPr="00D9348B">
        <w:rPr>
          <w:rFonts w:cs="Calibri"/>
        </w:rPr>
        <w:t>5.5.6</w:t>
      </w:r>
      <w:r w:rsidRPr="00D9348B">
        <w:rPr>
          <w:rFonts w:cs="Calibri"/>
        </w:rPr>
        <w:tab/>
        <w:t>Source-specific planned improvements</w:t>
      </w:r>
      <w:bookmarkEnd w:id="988"/>
      <w:r w:rsidRPr="00D9348B">
        <w:rPr>
          <w:rFonts w:cs="Calibri"/>
        </w:rPr>
        <w:t xml:space="preserve"> </w:t>
      </w:r>
    </w:p>
    <w:p w14:paraId="2C0B02A0" w14:textId="77777777" w:rsidR="00F849A7" w:rsidRPr="00D9348B" w:rsidRDefault="00F849A7" w:rsidP="00F849A7">
      <w:pPr>
        <w:pStyle w:val="BodyText"/>
        <w:rPr>
          <w:rFonts w:cs="Calibri"/>
        </w:rPr>
      </w:pPr>
      <w:r w:rsidRPr="00D9348B">
        <w:rPr>
          <w:rFonts w:cs="Calibri"/>
        </w:rPr>
        <w:t xml:space="preserve">New Zealand is carrying out ongoing research to improve estimates of emissions from the </w:t>
      </w:r>
      <w:r w:rsidRPr="00D9348B">
        <w:rPr>
          <w:rFonts w:cs="Calibri"/>
          <w:i/>
          <w:iCs/>
        </w:rPr>
        <w:t>Agricultural soils</w:t>
      </w:r>
      <w:r w:rsidRPr="00D9348B">
        <w:rPr>
          <w:rFonts w:cs="Calibri"/>
        </w:rPr>
        <w:t xml:space="preserve"> category.</w:t>
      </w:r>
    </w:p>
    <w:p w14:paraId="3D7084AC" w14:textId="77777777" w:rsidR="00F849A7" w:rsidRPr="00D9348B" w:rsidRDefault="00F849A7" w:rsidP="00F849A7">
      <w:pPr>
        <w:pStyle w:val="Heading5"/>
        <w:rPr>
          <w:rFonts w:cs="Calibri"/>
        </w:rPr>
      </w:pPr>
      <w:r w:rsidRPr="00D9348B">
        <w:rPr>
          <w:rFonts w:cs="Calibri"/>
        </w:rPr>
        <w:t>Understanding the factors causing variability in N</w:t>
      </w:r>
      <w:r w:rsidRPr="00D9348B">
        <w:rPr>
          <w:rFonts w:cs="Calibri"/>
          <w:vertAlign w:val="subscript"/>
        </w:rPr>
        <w:t>2</w:t>
      </w:r>
      <w:r w:rsidRPr="00D9348B">
        <w:rPr>
          <w:rFonts w:cs="Calibri"/>
        </w:rPr>
        <w:t>O emissions from livestock excreta on pasture</w:t>
      </w:r>
    </w:p>
    <w:p w14:paraId="209E9E71" w14:textId="77777777" w:rsidR="00F849A7" w:rsidRPr="00D9348B" w:rsidRDefault="00F849A7" w:rsidP="00F849A7">
      <w:pPr>
        <w:pStyle w:val="BodyText"/>
        <w:rPr>
          <w:rFonts w:cs="Calibri"/>
        </w:rPr>
      </w:pPr>
      <w:r w:rsidRPr="00D9348B">
        <w:rPr>
          <w:rFonts w:cs="Calibri"/>
        </w:rPr>
        <w:t>This research will study the causes of variability in N</w:t>
      </w:r>
      <w:r w:rsidRPr="00D9348B">
        <w:rPr>
          <w:rFonts w:cs="Calibri"/>
          <w:vertAlign w:val="subscript"/>
        </w:rPr>
        <w:t>2</w:t>
      </w:r>
      <w:r w:rsidRPr="00D9348B">
        <w:rPr>
          <w:rFonts w:cs="Calibri"/>
        </w:rPr>
        <w:t>O emissions from excreta on New Zealand pasture in a controlled environment. A combination of laboratory experiments and process-based modelling and data analysis will be used to determine the influence of key variables including soil water content, temperature, soil organic carbon, cation exchange capacity and nitrogen load on N</w:t>
      </w:r>
      <w:r w:rsidRPr="00D9348B">
        <w:rPr>
          <w:rFonts w:cs="Calibri"/>
          <w:vertAlign w:val="subscript"/>
        </w:rPr>
        <w:t>2</w:t>
      </w:r>
      <w:r w:rsidRPr="00D9348B">
        <w:rPr>
          <w:rFonts w:cs="Calibri"/>
        </w:rPr>
        <w:t>O emissions.</w:t>
      </w:r>
    </w:p>
    <w:p w14:paraId="0031145F" w14:textId="1D06B4D9" w:rsidR="00F849A7" w:rsidRPr="00D9348B" w:rsidRDefault="00F849A7" w:rsidP="00F849A7">
      <w:pPr>
        <w:pStyle w:val="BodyText"/>
        <w:rPr>
          <w:rFonts w:cs="Calibri"/>
        </w:rPr>
      </w:pPr>
      <w:r w:rsidRPr="00D9348B">
        <w:rPr>
          <w:rFonts w:cs="Calibri"/>
        </w:rPr>
        <w:t>The research will result in an improved understanding of the influence of key variables on N</w:t>
      </w:r>
      <w:r w:rsidRPr="00D9348B">
        <w:rPr>
          <w:rFonts w:cs="Calibri"/>
          <w:vertAlign w:val="subscript"/>
        </w:rPr>
        <w:t>2</w:t>
      </w:r>
      <w:r w:rsidRPr="00D9348B">
        <w:rPr>
          <w:rFonts w:cs="Calibri"/>
        </w:rPr>
        <w:t>O</w:t>
      </w:r>
      <w:r w:rsidR="00647697" w:rsidRPr="00D9348B">
        <w:rPr>
          <w:rFonts w:cs="Calibri"/>
        </w:rPr>
        <w:t> </w:t>
      </w:r>
      <w:r w:rsidRPr="00D9348B">
        <w:rPr>
          <w:rFonts w:cs="Calibri"/>
        </w:rPr>
        <w:t>emissions from dairy urine and produce recommendations for further research aimed at</w:t>
      </w:r>
      <w:r w:rsidR="00647697" w:rsidRPr="00D9348B">
        <w:rPr>
          <w:rFonts w:cs="Calibri"/>
        </w:rPr>
        <w:t> </w:t>
      </w:r>
      <w:r w:rsidRPr="00D9348B">
        <w:rPr>
          <w:rFonts w:cs="Calibri"/>
        </w:rPr>
        <w:t>improving the accuracy of New Zealand’s agricultural N</w:t>
      </w:r>
      <w:r w:rsidRPr="00D9348B">
        <w:rPr>
          <w:rFonts w:cs="Calibri"/>
          <w:vertAlign w:val="subscript"/>
        </w:rPr>
        <w:t>2</w:t>
      </w:r>
      <w:r w:rsidRPr="00D9348B">
        <w:rPr>
          <w:rFonts w:cs="Calibri"/>
        </w:rPr>
        <w:t>O inventory.</w:t>
      </w:r>
    </w:p>
    <w:p w14:paraId="75E72047" w14:textId="77777777" w:rsidR="00F849A7" w:rsidRPr="00D9348B" w:rsidRDefault="00F849A7" w:rsidP="00F849A7">
      <w:pPr>
        <w:pStyle w:val="Heading5"/>
        <w:rPr>
          <w:rFonts w:cs="Calibri"/>
        </w:rPr>
      </w:pPr>
      <w:r w:rsidRPr="00D9348B">
        <w:rPr>
          <w:rFonts w:cs="Calibri"/>
        </w:rPr>
        <w:t>Understanding potential N</w:t>
      </w:r>
      <w:r w:rsidRPr="00D9348B">
        <w:rPr>
          <w:rFonts w:cs="Calibri"/>
          <w:vertAlign w:val="subscript"/>
        </w:rPr>
        <w:t>2</w:t>
      </w:r>
      <w:r w:rsidRPr="00D9348B">
        <w:rPr>
          <w:rFonts w:cs="Calibri"/>
        </w:rPr>
        <w:t>O emissions from hotspots</w:t>
      </w:r>
    </w:p>
    <w:p w14:paraId="3ECE4499" w14:textId="77777777" w:rsidR="00F849A7" w:rsidRPr="00D9348B" w:rsidRDefault="00F849A7" w:rsidP="00F849A7">
      <w:pPr>
        <w:pStyle w:val="BodyText"/>
        <w:rPr>
          <w:rFonts w:cs="Calibri"/>
        </w:rPr>
      </w:pPr>
      <w:r w:rsidRPr="00D9348B">
        <w:rPr>
          <w:rFonts w:cs="Calibri"/>
        </w:rPr>
        <w:t>The aim of this research is to determine N</w:t>
      </w:r>
      <w:r w:rsidRPr="00D9348B">
        <w:rPr>
          <w:rFonts w:cs="Calibri"/>
          <w:vertAlign w:val="subscript"/>
        </w:rPr>
        <w:t>2</w:t>
      </w:r>
      <w:r w:rsidRPr="00D9348B">
        <w:rPr>
          <w:rFonts w:cs="Calibri"/>
        </w:rPr>
        <w:t xml:space="preserve">O emission factors from physical hot-spot areas within a dairy grazed farm (i.e., water troughs, gateways and laneways) in New Zealand, by gathering and analysing experimental trial data. These results will be used to determine whether the inventory should account for these areas when estimating emissions. </w:t>
      </w:r>
    </w:p>
    <w:p w14:paraId="0A2A6CBD" w14:textId="77777777" w:rsidR="00F849A7" w:rsidRPr="00D9348B" w:rsidRDefault="00F849A7" w:rsidP="00F849A7">
      <w:pPr>
        <w:pStyle w:val="Heading5"/>
        <w:rPr>
          <w:rFonts w:cs="Calibri"/>
        </w:rPr>
      </w:pPr>
      <w:r w:rsidRPr="00D9348B">
        <w:rPr>
          <w:rFonts w:cs="Calibri"/>
        </w:rPr>
        <w:t>Review and update Frac</w:t>
      </w:r>
      <w:r w:rsidRPr="00D9348B">
        <w:rPr>
          <w:rFonts w:cs="Calibri"/>
          <w:vertAlign w:val="subscript"/>
        </w:rPr>
        <w:t>Leach</w:t>
      </w:r>
      <w:r w:rsidRPr="00D9348B">
        <w:rPr>
          <w:rFonts w:cs="Calibri"/>
        </w:rPr>
        <w:t xml:space="preserve"> parameter</w:t>
      </w:r>
    </w:p>
    <w:p w14:paraId="189A4942" w14:textId="77777777" w:rsidR="00F849A7" w:rsidRPr="00D9348B" w:rsidRDefault="00F849A7" w:rsidP="00F849A7">
      <w:pPr>
        <w:pStyle w:val="BodyText"/>
        <w:rPr>
          <w:rFonts w:cs="Calibri"/>
          <w:sz w:val="24"/>
        </w:rPr>
      </w:pPr>
      <w:r w:rsidRPr="00D9348B">
        <w:rPr>
          <w:rFonts w:cs="Calibri"/>
        </w:rPr>
        <w:t>This project will review the Frac</w:t>
      </w:r>
      <w:r w:rsidRPr="00D9348B">
        <w:rPr>
          <w:rFonts w:cs="Calibri"/>
          <w:vertAlign w:val="subscript"/>
        </w:rPr>
        <w:t>Leach</w:t>
      </w:r>
      <w:r w:rsidRPr="00D9348B">
        <w:rPr>
          <w:rFonts w:cs="Calibri"/>
        </w:rPr>
        <w:t xml:space="preserve"> parameter and provide recommendations as to whether it should be changed to improve the accuracy of our N</w:t>
      </w:r>
      <w:r w:rsidRPr="00D9348B">
        <w:rPr>
          <w:rFonts w:cs="Calibri"/>
          <w:vertAlign w:val="subscript"/>
        </w:rPr>
        <w:t>2</w:t>
      </w:r>
      <w:r w:rsidRPr="00D9348B">
        <w:rPr>
          <w:rFonts w:cs="Calibri"/>
        </w:rPr>
        <w:t>O emissions estimates. The project will provide recommendations as to whether the inventory should use a single Frac</w:t>
      </w:r>
      <w:r w:rsidRPr="00D9348B">
        <w:rPr>
          <w:rFonts w:cs="Calibri"/>
          <w:vertAlign w:val="subscript"/>
        </w:rPr>
        <w:t>Leach</w:t>
      </w:r>
      <w:r w:rsidRPr="00D9348B">
        <w:rPr>
          <w:rFonts w:cs="Calibri"/>
        </w:rPr>
        <w:t xml:space="preserve"> value or a set of disaggregated values.</w:t>
      </w:r>
    </w:p>
    <w:p w14:paraId="71F91E19" w14:textId="77777777" w:rsidR="00F849A7" w:rsidRPr="00D9348B" w:rsidRDefault="00F849A7" w:rsidP="00F849A7">
      <w:pPr>
        <w:pStyle w:val="Heading2"/>
        <w:rPr>
          <w:rFonts w:cs="Calibri"/>
        </w:rPr>
      </w:pPr>
      <w:bookmarkStart w:id="989" w:name="_Toc69611743"/>
      <w:bookmarkStart w:id="990" w:name="_Toc69612699"/>
      <w:bookmarkStart w:id="991" w:name="_Toc69612898"/>
      <w:bookmarkStart w:id="992" w:name="_Toc69613158"/>
      <w:bookmarkStart w:id="993" w:name="_Toc69633322"/>
      <w:bookmarkStart w:id="994" w:name="_Toc69717487"/>
      <w:bookmarkStart w:id="995" w:name="_Toc69802969"/>
      <w:bookmarkStart w:id="996" w:name="_Toc69815106"/>
      <w:bookmarkStart w:id="997" w:name="_Toc70492399"/>
      <w:bookmarkStart w:id="998" w:name="_Toc101310606"/>
      <w:bookmarkStart w:id="999" w:name="_Toc101318466"/>
      <w:bookmarkStart w:id="1000" w:name="_Toc101318571"/>
      <w:bookmarkStart w:id="1001" w:name="_Toc101318755"/>
      <w:bookmarkStart w:id="1002" w:name="_Toc101334031"/>
      <w:bookmarkStart w:id="1003" w:name="_Toc134847209"/>
      <w:bookmarkStart w:id="1004" w:name="_Toc139253939"/>
      <w:bookmarkStart w:id="1005" w:name="_Toc144710417"/>
      <w:bookmarkStart w:id="1006" w:name="_Toc165890371"/>
      <w:bookmarkStart w:id="1007" w:name="_Toc195322665"/>
      <w:bookmarkStart w:id="1008" w:name="_Toc235955531"/>
      <w:bookmarkStart w:id="1009" w:name="_Toc288316644"/>
      <w:bookmarkStart w:id="1010" w:name="_Toc352504864"/>
      <w:bookmarkStart w:id="1011" w:name="_Toc448321527"/>
      <w:bookmarkStart w:id="1012" w:name="_Toc481751389"/>
      <w:bookmarkStart w:id="1013" w:name="_Toc511116604"/>
      <w:bookmarkStart w:id="1014" w:name="_Toc5269366"/>
      <w:bookmarkStart w:id="1015" w:name="_Toc32570673"/>
      <w:bookmarkStart w:id="1016" w:name="_Toc36224406"/>
      <w:r w:rsidRPr="00D9348B">
        <w:rPr>
          <w:rFonts w:cs="Calibri"/>
        </w:rPr>
        <w:lastRenderedPageBreak/>
        <w:t>5.6</w:t>
      </w:r>
      <w:r w:rsidRPr="00D9348B">
        <w:rPr>
          <w:rFonts w:cs="Calibri"/>
        </w:rPr>
        <w:tab/>
        <w:t>Prescribed burning of savanna (CRF 3.E)</w:t>
      </w:r>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p w14:paraId="7D049CF7" w14:textId="77777777" w:rsidR="00F849A7" w:rsidRPr="00D9348B" w:rsidRDefault="00F849A7" w:rsidP="00F849A7">
      <w:pPr>
        <w:pStyle w:val="Heading3"/>
        <w:spacing w:before="120"/>
        <w:rPr>
          <w:rFonts w:cs="Calibri"/>
        </w:rPr>
      </w:pPr>
      <w:bookmarkStart w:id="1017" w:name="_Toc32570674"/>
      <w:bookmarkStart w:id="1018" w:name="_Toc139253940"/>
      <w:r w:rsidRPr="00D9348B">
        <w:rPr>
          <w:rFonts w:cs="Calibri"/>
        </w:rPr>
        <w:t>5.6.1</w:t>
      </w:r>
      <w:r w:rsidRPr="00D9348B">
        <w:rPr>
          <w:rFonts w:cs="Calibri"/>
        </w:rPr>
        <w:tab/>
        <w:t>Description</w:t>
      </w:r>
      <w:bookmarkEnd w:id="1017"/>
    </w:p>
    <w:p w14:paraId="3506A18C" w14:textId="77777777" w:rsidR="00F849A7" w:rsidRPr="00D9348B" w:rsidRDefault="00F849A7" w:rsidP="00F849A7">
      <w:pPr>
        <w:pStyle w:val="BodyText"/>
        <w:rPr>
          <w:rFonts w:cs="Calibri"/>
        </w:rPr>
      </w:pPr>
      <w:r w:rsidRPr="00D9348B">
        <w:rPr>
          <w:rFonts w:cs="Calibri"/>
        </w:rPr>
        <w:t>Prescribed burning of savanna is reported under the LULUCF sector from the 2016 submission onwards.</w:t>
      </w:r>
    </w:p>
    <w:p w14:paraId="5A704E66" w14:textId="77777777" w:rsidR="00F849A7" w:rsidRPr="00D9348B" w:rsidRDefault="00F849A7" w:rsidP="00F849A7">
      <w:pPr>
        <w:pStyle w:val="Heading2"/>
        <w:rPr>
          <w:rFonts w:cs="Calibri"/>
        </w:rPr>
      </w:pPr>
      <w:bookmarkStart w:id="1019" w:name="_Toc69611744"/>
      <w:bookmarkStart w:id="1020" w:name="_Toc69612700"/>
      <w:bookmarkStart w:id="1021" w:name="_Toc69612899"/>
      <w:bookmarkStart w:id="1022" w:name="_Toc69613159"/>
      <w:bookmarkStart w:id="1023" w:name="_Toc69633323"/>
      <w:bookmarkStart w:id="1024" w:name="_Toc69717488"/>
      <w:bookmarkStart w:id="1025" w:name="_Toc69802970"/>
      <w:bookmarkStart w:id="1026" w:name="_Toc69815107"/>
      <w:bookmarkStart w:id="1027" w:name="_Toc70492400"/>
      <w:bookmarkStart w:id="1028" w:name="_Toc101310607"/>
      <w:bookmarkStart w:id="1029" w:name="_Toc101318467"/>
      <w:bookmarkStart w:id="1030" w:name="_Toc101318572"/>
      <w:bookmarkStart w:id="1031" w:name="_Toc101318756"/>
      <w:bookmarkStart w:id="1032" w:name="_Toc101334032"/>
      <w:bookmarkStart w:id="1033" w:name="_Toc134847210"/>
      <w:bookmarkStart w:id="1034" w:name="_Toc139253945"/>
      <w:bookmarkStart w:id="1035" w:name="_Toc144710418"/>
      <w:bookmarkStart w:id="1036" w:name="_Toc165890372"/>
      <w:bookmarkStart w:id="1037" w:name="_Toc195322666"/>
      <w:bookmarkStart w:id="1038" w:name="_Toc235955532"/>
      <w:bookmarkStart w:id="1039" w:name="_Toc288316645"/>
      <w:bookmarkStart w:id="1040" w:name="_Toc352504865"/>
      <w:bookmarkStart w:id="1041" w:name="_Toc448321528"/>
      <w:bookmarkStart w:id="1042" w:name="_Toc481751390"/>
      <w:bookmarkStart w:id="1043" w:name="_Toc511116605"/>
      <w:bookmarkStart w:id="1044" w:name="_Toc5269367"/>
      <w:bookmarkStart w:id="1045" w:name="_Toc32570675"/>
      <w:bookmarkStart w:id="1046" w:name="_Toc36224407"/>
      <w:bookmarkEnd w:id="1018"/>
      <w:r w:rsidRPr="00D9348B">
        <w:rPr>
          <w:rFonts w:cs="Calibri"/>
        </w:rPr>
        <w:t>5.7</w:t>
      </w:r>
      <w:r w:rsidRPr="00D9348B">
        <w:rPr>
          <w:rFonts w:cs="Calibri"/>
        </w:rPr>
        <w:tab/>
        <w:t>Field burning of agricultural residues (CRF 3.F)</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p>
    <w:p w14:paraId="217C9764" w14:textId="77777777" w:rsidR="00F849A7" w:rsidRPr="00D9348B" w:rsidRDefault="00F849A7" w:rsidP="00F849A7">
      <w:pPr>
        <w:pStyle w:val="Heading3"/>
        <w:spacing w:before="120"/>
        <w:rPr>
          <w:rFonts w:cs="Calibri"/>
        </w:rPr>
      </w:pPr>
      <w:bookmarkStart w:id="1047" w:name="_Toc139253946"/>
      <w:bookmarkStart w:id="1048" w:name="_Toc32570676"/>
      <w:r w:rsidRPr="00D9348B">
        <w:rPr>
          <w:rFonts w:cs="Calibri"/>
        </w:rPr>
        <w:t>5.7.1</w:t>
      </w:r>
      <w:r w:rsidRPr="00D9348B">
        <w:rPr>
          <w:rFonts w:cs="Calibri"/>
        </w:rPr>
        <w:tab/>
        <w:t>Description</w:t>
      </w:r>
      <w:bookmarkEnd w:id="1047"/>
      <w:bookmarkEnd w:id="1048"/>
    </w:p>
    <w:p w14:paraId="43C8A63A" w14:textId="77777777" w:rsidR="00F849A7" w:rsidRPr="00D9348B" w:rsidRDefault="00F849A7" w:rsidP="00F849A7">
      <w:pPr>
        <w:pStyle w:val="BodyText"/>
        <w:rPr>
          <w:rFonts w:cs="Calibri"/>
        </w:rPr>
      </w:pPr>
      <w:r w:rsidRPr="00D9348B">
        <w:rPr>
          <w:rFonts w:cs="Calibri"/>
        </w:rPr>
        <w:t xml:space="preserve">New Zealand reports emissions from burning barley, wheat and oats residue in this category. Maize, legume and other crop residues are not usually burned in New Zealand. </w:t>
      </w:r>
    </w:p>
    <w:p w14:paraId="039DE32E" w14:textId="77777777" w:rsidR="00F849A7" w:rsidRPr="00D9348B" w:rsidRDefault="00F849A7" w:rsidP="00F849A7">
      <w:pPr>
        <w:pStyle w:val="BodyText"/>
        <w:rPr>
          <w:rFonts w:cs="Calibri"/>
        </w:rPr>
      </w:pPr>
      <w:r w:rsidRPr="00D9348B">
        <w:rPr>
          <w:rFonts w:cs="Calibri"/>
        </w:rPr>
        <w:t>The area of burning of residues varies between years due to climatic conditions, fire risk restrictions and the amount of residue removed before burning straw (Thomas et al., 2011). Burning of crop residues is not considered to be a net source of CO</w:t>
      </w:r>
      <w:r w:rsidRPr="00D9348B">
        <w:rPr>
          <w:rFonts w:cs="Calibri"/>
          <w:vertAlign w:val="subscript"/>
        </w:rPr>
        <w:t>2</w:t>
      </w:r>
      <w:r w:rsidRPr="00D9348B">
        <w:rPr>
          <w:rFonts w:cs="Calibri"/>
        </w:rPr>
        <w:t>, because the CO</w:t>
      </w:r>
      <w:r w:rsidRPr="00D9348B">
        <w:rPr>
          <w:rFonts w:cs="Calibri"/>
          <w:vertAlign w:val="subscript"/>
        </w:rPr>
        <w:t>2</w:t>
      </w:r>
      <w:r w:rsidRPr="00D9348B">
        <w:rPr>
          <w:rFonts w:cs="Calibri"/>
        </w:rPr>
        <w:t xml:space="preserve"> released into the atmosphere was absorbed by those crops earlier in the year. However, burning is a source of emissions of CH</w:t>
      </w:r>
      <w:r w:rsidRPr="00D9348B">
        <w:rPr>
          <w:rFonts w:cs="Calibri"/>
          <w:vertAlign w:val="subscript"/>
        </w:rPr>
        <w:t>4</w:t>
      </w:r>
      <w:r w:rsidRPr="00D9348B">
        <w:rPr>
          <w:rFonts w:cs="Calibri"/>
        </w:rPr>
        <w:t>, carbon monoxide (CO), N</w:t>
      </w:r>
      <w:r w:rsidRPr="00D9348B">
        <w:rPr>
          <w:rFonts w:cs="Calibri"/>
          <w:vertAlign w:val="subscript"/>
        </w:rPr>
        <w:t>2</w:t>
      </w:r>
      <w:r w:rsidRPr="00D9348B">
        <w:rPr>
          <w:rFonts w:cs="Calibri"/>
        </w:rPr>
        <w:t>O and NO</w:t>
      </w:r>
      <w:r w:rsidRPr="00D9348B">
        <w:rPr>
          <w:rFonts w:cs="Calibri"/>
          <w:vertAlign w:val="subscript"/>
        </w:rPr>
        <w:t>x</w:t>
      </w:r>
      <w:r w:rsidRPr="00D9348B">
        <w:rPr>
          <w:rFonts w:cs="Calibri"/>
        </w:rPr>
        <w:t xml:space="preserve"> (IPCC, 2006).</w:t>
      </w:r>
    </w:p>
    <w:p w14:paraId="5B210299" w14:textId="77777777" w:rsidR="00F849A7" w:rsidRPr="00D9348B" w:rsidRDefault="00F849A7" w:rsidP="00F849A7">
      <w:pPr>
        <w:pStyle w:val="BodyText"/>
        <w:rPr>
          <w:rFonts w:cs="Calibri"/>
        </w:rPr>
      </w:pPr>
      <w:r w:rsidRPr="00D9348B">
        <w:rPr>
          <w:rFonts w:cs="Calibri"/>
          <w:i/>
          <w:iCs/>
        </w:rPr>
        <w:t>Field burning of agricultural residues</w:t>
      </w:r>
      <w:r w:rsidRPr="00D9348B">
        <w:rPr>
          <w:rFonts w:cs="Calibri"/>
        </w:rPr>
        <w:t xml:space="preserve"> contributed an estimated 19.0 kt CO</w:t>
      </w:r>
      <w:r w:rsidRPr="00D9348B">
        <w:rPr>
          <w:rFonts w:cs="Calibri"/>
          <w:vertAlign w:val="subscript"/>
        </w:rPr>
        <w:t>2</w:t>
      </w:r>
      <w:r w:rsidRPr="00D9348B">
        <w:rPr>
          <w:rFonts w:cs="Calibri"/>
        </w:rPr>
        <w:t>-e, this is 0.1 per cent of Agriculture</w:t>
      </w:r>
      <w:r w:rsidRPr="00D9348B">
        <w:rPr>
          <w:rFonts w:cs="Calibri"/>
          <w:i/>
          <w:iCs/>
        </w:rPr>
        <w:t xml:space="preserve"> </w:t>
      </w:r>
      <w:r w:rsidRPr="00D9348B">
        <w:rPr>
          <w:rFonts w:cs="Calibri"/>
        </w:rPr>
        <w:t xml:space="preserve">emissions in 2018. Emissions from </w:t>
      </w:r>
      <w:r w:rsidRPr="00D9348B">
        <w:rPr>
          <w:rFonts w:cs="Calibri"/>
          <w:i/>
          <w:iCs/>
        </w:rPr>
        <w:t>Field burning of agricultural residues</w:t>
      </w:r>
      <w:r w:rsidRPr="00D9348B">
        <w:rPr>
          <w:rFonts w:cs="Calibri"/>
        </w:rPr>
        <w:t xml:space="preserve"> decreased 30.7 per cent (8.4 kt CO</w:t>
      </w:r>
      <w:r w:rsidRPr="00D9348B">
        <w:rPr>
          <w:rFonts w:cs="Calibri"/>
          <w:vertAlign w:val="subscript"/>
        </w:rPr>
        <w:t>2</w:t>
      </w:r>
      <w:r w:rsidRPr="00D9348B">
        <w:rPr>
          <w:rFonts w:cs="Calibri"/>
        </w:rPr>
        <w:t xml:space="preserve">-e) between 1990 and 2018. </w:t>
      </w:r>
    </w:p>
    <w:p w14:paraId="1C6D8BD7" w14:textId="77777777" w:rsidR="00F849A7" w:rsidRPr="00D9348B" w:rsidRDefault="00F849A7" w:rsidP="00F849A7">
      <w:pPr>
        <w:pStyle w:val="BodyText"/>
        <w:rPr>
          <w:rFonts w:cs="Calibri"/>
        </w:rPr>
      </w:pPr>
      <w:r w:rsidRPr="00D9348B">
        <w:rPr>
          <w:rFonts w:cs="Calibri"/>
        </w:rPr>
        <w:t xml:space="preserve">Burning of agricultural residues was not identified as a key category in 2018. </w:t>
      </w:r>
    </w:p>
    <w:p w14:paraId="319A6BEE" w14:textId="77777777" w:rsidR="00F849A7" w:rsidRPr="00D9348B" w:rsidRDefault="00F849A7" w:rsidP="00F849A7">
      <w:pPr>
        <w:pStyle w:val="Heading3"/>
        <w:rPr>
          <w:rFonts w:cs="Calibri"/>
        </w:rPr>
      </w:pPr>
      <w:bookmarkStart w:id="1049" w:name="_Toc32570677"/>
      <w:r w:rsidRPr="00D9348B">
        <w:rPr>
          <w:rFonts w:cs="Calibri"/>
        </w:rPr>
        <w:t>5.7.2</w:t>
      </w:r>
      <w:r w:rsidRPr="00D9348B">
        <w:rPr>
          <w:rFonts w:cs="Calibri"/>
        </w:rPr>
        <w:tab/>
        <w:t>Methodological issues</w:t>
      </w:r>
      <w:bookmarkEnd w:id="1049"/>
      <w:r w:rsidRPr="00D9348B">
        <w:rPr>
          <w:rFonts w:cs="Calibri"/>
        </w:rPr>
        <w:t xml:space="preserve"> </w:t>
      </w:r>
    </w:p>
    <w:p w14:paraId="0C2B657A" w14:textId="77777777" w:rsidR="00F849A7" w:rsidRPr="00D9348B" w:rsidRDefault="00F849A7" w:rsidP="00F849A7">
      <w:pPr>
        <w:pStyle w:val="BodyText"/>
        <w:rPr>
          <w:rFonts w:cs="Calibri"/>
        </w:rPr>
      </w:pPr>
      <w:r w:rsidRPr="00D9348B">
        <w:rPr>
          <w:rFonts w:cs="Calibri"/>
        </w:rPr>
        <w:t xml:space="preserve">The emissions from burning agricultural residues are estimated using country-specific methodology and parameters (Thomas et al., 2008, 2011). A modification of the IPCC (1996) methodology takes into account differences in the available crop activity data between 1990–2004 and 2005–16. </w:t>
      </w:r>
    </w:p>
    <w:p w14:paraId="77E0AEE4" w14:textId="77777777" w:rsidR="00F849A7" w:rsidRPr="00D9348B" w:rsidRDefault="00F849A7" w:rsidP="00F849A7">
      <w:pPr>
        <w:pStyle w:val="BodyText"/>
        <w:rPr>
          <w:rFonts w:cs="Calibri"/>
        </w:rPr>
      </w:pPr>
      <w:r w:rsidRPr="00D9348B">
        <w:rPr>
          <w:rFonts w:cs="Calibri"/>
        </w:rPr>
        <w:t>Following the IPCC (1996) methodology, CH</w:t>
      </w:r>
      <w:r w:rsidRPr="00D9348B">
        <w:rPr>
          <w:rFonts w:cs="Calibri"/>
          <w:vertAlign w:val="subscript"/>
        </w:rPr>
        <w:t>4</w:t>
      </w:r>
      <w:r w:rsidRPr="00D9348B">
        <w:rPr>
          <w:rFonts w:cs="Calibri"/>
        </w:rPr>
        <w:t>, CO, N</w:t>
      </w:r>
      <w:r w:rsidRPr="00D9348B">
        <w:rPr>
          <w:rFonts w:cs="Calibri"/>
          <w:vertAlign w:val="subscript"/>
        </w:rPr>
        <w:t>2</w:t>
      </w:r>
      <w:r w:rsidRPr="00D9348B">
        <w:rPr>
          <w:rFonts w:cs="Calibri"/>
        </w:rPr>
        <w:t>O and NO</w:t>
      </w:r>
      <w:r w:rsidRPr="00D9348B">
        <w:rPr>
          <w:rFonts w:cs="Calibri"/>
          <w:vertAlign w:val="subscript"/>
        </w:rPr>
        <w:t xml:space="preserve">x </w:t>
      </w:r>
      <w:r w:rsidRPr="00D9348B">
        <w:rPr>
          <w:rFonts w:cs="Calibri"/>
        </w:rPr>
        <w:t>emissions are calculated from the carbon and nitrogen released from the burned live and dead biomass residue using the ratios in table 5.7.1; the nitrogen released is derived from the carbon released using a carbon</w:t>
      </w:r>
      <w:r w:rsidRPr="00D9348B">
        <w:rPr>
          <w:rFonts w:cs="Calibri"/>
        </w:rPr>
        <w:noBreakHyphen/>
        <w:t>to-nitrogen ratio.</w:t>
      </w:r>
    </w:p>
    <w:p w14:paraId="01A25C2A" w14:textId="77777777" w:rsidR="00F849A7" w:rsidRPr="00D9348B" w:rsidRDefault="00F849A7" w:rsidP="00F849A7">
      <w:pPr>
        <w:pStyle w:val="Table"/>
        <w:rPr>
          <w:rFonts w:cs="Calibri"/>
        </w:rPr>
      </w:pPr>
      <w:bookmarkStart w:id="1050" w:name="_Toc352504981"/>
      <w:bookmarkStart w:id="1051" w:name="_Toc441830890"/>
      <w:bookmarkStart w:id="1052" w:name="_Toc451176104"/>
      <w:bookmarkStart w:id="1053" w:name="_Toc481751534"/>
      <w:bookmarkStart w:id="1054" w:name="_Toc507158620"/>
      <w:bookmarkStart w:id="1055" w:name="_Toc511116754"/>
      <w:bookmarkStart w:id="1056" w:name="_Toc5269496"/>
      <w:bookmarkStart w:id="1057" w:name="_Toc32570943"/>
      <w:bookmarkStart w:id="1058" w:name="_Toc36224578"/>
      <w:r w:rsidRPr="00D9348B">
        <w:rPr>
          <w:rFonts w:cs="Calibri"/>
        </w:rPr>
        <w:t>Table 5.7.1</w:t>
      </w:r>
      <w:r w:rsidRPr="00D9348B">
        <w:rPr>
          <w:rFonts w:cs="Calibri"/>
        </w:rPr>
        <w:tab/>
        <w:t>Emission ratios for agricultural residue burning</w:t>
      </w:r>
      <w:bookmarkEnd w:id="1050"/>
      <w:bookmarkEnd w:id="1051"/>
      <w:bookmarkEnd w:id="1052"/>
      <w:bookmarkEnd w:id="1053"/>
      <w:bookmarkEnd w:id="1054"/>
      <w:bookmarkEnd w:id="1055"/>
      <w:bookmarkEnd w:id="1056"/>
      <w:bookmarkEnd w:id="1057"/>
      <w:bookmarkEnd w:id="1058"/>
    </w:p>
    <w:tbl>
      <w:tblPr>
        <w:tblW w:w="8562" w:type="dxa"/>
        <w:tblInd w:w="108" w:type="dxa"/>
        <w:tblBorders>
          <w:top w:val="single" w:sz="4" w:space="0" w:color="365F91"/>
          <w:bottom w:val="single" w:sz="4" w:space="0" w:color="365F91"/>
          <w:insideH w:val="single" w:sz="4" w:space="0" w:color="365F91"/>
        </w:tblBorders>
        <w:tblLook w:val="01E0" w:firstRow="1" w:lastRow="1" w:firstColumn="1" w:lastColumn="1" w:noHBand="0" w:noVBand="0"/>
      </w:tblPr>
      <w:tblGrid>
        <w:gridCol w:w="1738"/>
        <w:gridCol w:w="3225"/>
        <w:gridCol w:w="3599"/>
      </w:tblGrid>
      <w:tr w:rsidR="00F849A7" w:rsidRPr="00D9348B" w14:paraId="09697BDE" w14:textId="77777777" w:rsidTr="00F332EE">
        <w:trPr>
          <w:trHeight w:val="434"/>
        </w:trPr>
        <w:tc>
          <w:tcPr>
            <w:tcW w:w="1611" w:type="dxa"/>
            <w:shd w:val="clear" w:color="auto" w:fill="365F91"/>
            <w:vAlign w:val="bottom"/>
          </w:tcPr>
          <w:p w14:paraId="4CB66A22" w14:textId="77777777" w:rsidR="00F849A7" w:rsidRPr="00D9348B" w:rsidRDefault="00F849A7" w:rsidP="00DB330E">
            <w:pPr>
              <w:pStyle w:val="TableTextBold"/>
              <w:keepNext/>
              <w:rPr>
                <w:rFonts w:cs="Calibri"/>
                <w:noProof w:val="0"/>
                <w:color w:val="FFFFFF"/>
              </w:rPr>
            </w:pPr>
            <w:r w:rsidRPr="00D9348B">
              <w:rPr>
                <w:rFonts w:cs="Calibri"/>
                <w:noProof w:val="0"/>
                <w:color w:val="FFFFFF"/>
              </w:rPr>
              <w:t>Gas</w:t>
            </w:r>
          </w:p>
        </w:tc>
        <w:tc>
          <w:tcPr>
            <w:tcW w:w="2990" w:type="dxa"/>
            <w:shd w:val="clear" w:color="auto" w:fill="365F91"/>
            <w:vAlign w:val="bottom"/>
          </w:tcPr>
          <w:p w14:paraId="0D128102" w14:textId="77777777" w:rsidR="00F849A7" w:rsidRPr="00D9348B" w:rsidRDefault="00F849A7" w:rsidP="00DB330E">
            <w:pPr>
              <w:pStyle w:val="TableTextBold"/>
              <w:keepNext/>
              <w:rPr>
                <w:rFonts w:cs="Calibri"/>
                <w:noProof w:val="0"/>
                <w:color w:val="FFFFFF"/>
              </w:rPr>
            </w:pPr>
            <w:r w:rsidRPr="00D9348B">
              <w:rPr>
                <w:rFonts w:cs="Calibri"/>
                <w:noProof w:val="0"/>
                <w:color w:val="FFFFFF"/>
              </w:rPr>
              <w:t xml:space="preserve">Emission ratio </w:t>
            </w:r>
            <w:r w:rsidRPr="00D9348B">
              <w:rPr>
                <w:rFonts w:cs="Calibri"/>
                <w:b w:val="0"/>
                <w:noProof w:val="0"/>
                <w:color w:val="FFFFFF"/>
              </w:rPr>
              <w:br/>
              <w:t xml:space="preserve">(Revised </w:t>
            </w:r>
            <w:r w:rsidRPr="00D9348B">
              <w:rPr>
                <w:rFonts w:cs="Calibri"/>
                <w:noProof w:val="0"/>
                <w:color w:val="FFFFFF"/>
              </w:rPr>
              <w:t>IPCC 1996 Guidelines)</w:t>
            </w:r>
          </w:p>
        </w:tc>
        <w:tc>
          <w:tcPr>
            <w:tcW w:w="3337" w:type="dxa"/>
            <w:shd w:val="clear" w:color="auto" w:fill="365F91"/>
          </w:tcPr>
          <w:p w14:paraId="19EBE2D3" w14:textId="77777777" w:rsidR="00F849A7" w:rsidRPr="00D9348B" w:rsidRDefault="00F849A7" w:rsidP="00DB330E">
            <w:pPr>
              <w:pStyle w:val="TableTextBold"/>
              <w:keepNext/>
              <w:rPr>
                <w:rFonts w:cs="Calibri"/>
                <w:noProof w:val="0"/>
                <w:color w:val="FFFFFF"/>
              </w:rPr>
            </w:pPr>
            <w:r w:rsidRPr="00D9348B">
              <w:rPr>
                <w:rFonts w:cs="Calibri"/>
                <w:noProof w:val="0"/>
                <w:color w:val="FFFFFF"/>
              </w:rPr>
              <w:t>Conversion ratio from carbon or nitrogen to specified greenhouse gas</w:t>
            </w:r>
            <w:r w:rsidRPr="00D9348B">
              <w:rPr>
                <w:rFonts w:cs="Calibri"/>
                <w:noProof w:val="0"/>
                <w:color w:val="FFFFFF"/>
              </w:rPr>
              <w:br/>
              <w:t>(Revised IPCC 1996 Guidelines)</w:t>
            </w:r>
          </w:p>
        </w:tc>
      </w:tr>
      <w:tr w:rsidR="00F849A7" w:rsidRPr="00D9348B" w14:paraId="56778821" w14:textId="77777777" w:rsidTr="00F332EE">
        <w:trPr>
          <w:trHeight w:val="217"/>
        </w:trPr>
        <w:tc>
          <w:tcPr>
            <w:tcW w:w="1611" w:type="dxa"/>
          </w:tcPr>
          <w:p w14:paraId="2EC1A481" w14:textId="77777777" w:rsidR="00F849A7" w:rsidRPr="00D9348B" w:rsidRDefault="00F849A7" w:rsidP="00DB330E">
            <w:pPr>
              <w:pStyle w:val="TableText"/>
              <w:rPr>
                <w:rFonts w:cs="Calibri"/>
              </w:rPr>
            </w:pPr>
            <w:r w:rsidRPr="00D9348B">
              <w:rPr>
                <w:rFonts w:cs="Calibri"/>
              </w:rPr>
              <w:t>CH</w:t>
            </w:r>
            <w:r w:rsidRPr="00D9348B">
              <w:rPr>
                <w:rFonts w:cs="Calibri"/>
                <w:vertAlign w:val="subscript"/>
              </w:rPr>
              <w:t>4</w:t>
            </w:r>
          </w:p>
        </w:tc>
        <w:tc>
          <w:tcPr>
            <w:tcW w:w="2990" w:type="dxa"/>
          </w:tcPr>
          <w:p w14:paraId="55D0ACD2" w14:textId="77777777" w:rsidR="00F849A7" w:rsidRPr="00D9348B" w:rsidRDefault="00F849A7" w:rsidP="00DB330E">
            <w:pPr>
              <w:pStyle w:val="TableText"/>
              <w:rPr>
                <w:rFonts w:cs="Calibri"/>
              </w:rPr>
            </w:pPr>
            <w:r w:rsidRPr="00D9348B">
              <w:rPr>
                <w:rFonts w:cs="Calibri"/>
              </w:rPr>
              <w:t>0.005</w:t>
            </w:r>
          </w:p>
        </w:tc>
        <w:tc>
          <w:tcPr>
            <w:tcW w:w="3337" w:type="dxa"/>
          </w:tcPr>
          <w:p w14:paraId="4182EAD3" w14:textId="77777777" w:rsidR="00F849A7" w:rsidRPr="00D9348B" w:rsidRDefault="00F849A7" w:rsidP="00DB330E">
            <w:pPr>
              <w:pStyle w:val="TableText"/>
              <w:rPr>
                <w:rFonts w:cs="Calibri"/>
              </w:rPr>
            </w:pPr>
            <w:r w:rsidRPr="00D9348B">
              <w:rPr>
                <w:rFonts w:cs="Calibri"/>
              </w:rPr>
              <w:t>16/12</w:t>
            </w:r>
          </w:p>
        </w:tc>
      </w:tr>
      <w:tr w:rsidR="00F849A7" w:rsidRPr="00D9348B" w14:paraId="5F411EB8" w14:textId="77777777" w:rsidTr="00F332EE">
        <w:trPr>
          <w:trHeight w:val="217"/>
        </w:trPr>
        <w:tc>
          <w:tcPr>
            <w:tcW w:w="1611" w:type="dxa"/>
          </w:tcPr>
          <w:p w14:paraId="42AE2DE8" w14:textId="77777777" w:rsidR="00F849A7" w:rsidRPr="00D9348B" w:rsidRDefault="00F849A7" w:rsidP="00DB330E">
            <w:pPr>
              <w:pStyle w:val="TableText"/>
              <w:rPr>
                <w:rFonts w:cs="Calibri"/>
              </w:rPr>
            </w:pPr>
            <w:r w:rsidRPr="00D9348B">
              <w:rPr>
                <w:rFonts w:cs="Calibri"/>
              </w:rPr>
              <w:t>CO</w:t>
            </w:r>
          </w:p>
        </w:tc>
        <w:tc>
          <w:tcPr>
            <w:tcW w:w="2990" w:type="dxa"/>
          </w:tcPr>
          <w:p w14:paraId="2F2407E8" w14:textId="77777777" w:rsidR="00F849A7" w:rsidRPr="00D9348B" w:rsidRDefault="00F849A7" w:rsidP="00DB330E">
            <w:pPr>
              <w:pStyle w:val="TableText"/>
              <w:rPr>
                <w:rFonts w:cs="Calibri"/>
              </w:rPr>
            </w:pPr>
            <w:r w:rsidRPr="00D9348B">
              <w:rPr>
                <w:rFonts w:cs="Calibri"/>
              </w:rPr>
              <w:t>0.06</w:t>
            </w:r>
          </w:p>
        </w:tc>
        <w:tc>
          <w:tcPr>
            <w:tcW w:w="3337" w:type="dxa"/>
          </w:tcPr>
          <w:p w14:paraId="145014F8" w14:textId="77777777" w:rsidR="00F849A7" w:rsidRPr="00D9348B" w:rsidRDefault="00F849A7" w:rsidP="00DB330E">
            <w:pPr>
              <w:pStyle w:val="TableText"/>
              <w:rPr>
                <w:rFonts w:cs="Calibri"/>
              </w:rPr>
            </w:pPr>
            <w:r w:rsidRPr="00D9348B">
              <w:rPr>
                <w:rFonts w:cs="Calibri"/>
              </w:rPr>
              <w:t>28/12</w:t>
            </w:r>
          </w:p>
        </w:tc>
      </w:tr>
      <w:tr w:rsidR="00F849A7" w:rsidRPr="00D9348B" w14:paraId="48627CDF" w14:textId="77777777" w:rsidTr="00F332EE">
        <w:trPr>
          <w:trHeight w:val="235"/>
        </w:trPr>
        <w:tc>
          <w:tcPr>
            <w:tcW w:w="1611" w:type="dxa"/>
          </w:tcPr>
          <w:p w14:paraId="604474A0" w14:textId="77777777" w:rsidR="00F849A7" w:rsidRPr="00D9348B" w:rsidRDefault="00F849A7" w:rsidP="00DB330E">
            <w:pPr>
              <w:pStyle w:val="TableText"/>
              <w:rPr>
                <w:rFonts w:cs="Calibri"/>
              </w:rPr>
            </w:pPr>
            <w:r w:rsidRPr="00D9348B">
              <w:rPr>
                <w:rFonts w:cs="Calibri"/>
              </w:rPr>
              <w:t>N</w:t>
            </w:r>
            <w:r w:rsidRPr="00D9348B">
              <w:rPr>
                <w:rFonts w:cs="Calibri"/>
                <w:vertAlign w:val="subscript"/>
              </w:rPr>
              <w:t>2</w:t>
            </w:r>
            <w:r w:rsidRPr="00D9348B">
              <w:rPr>
                <w:rFonts w:cs="Calibri"/>
              </w:rPr>
              <w:t>O</w:t>
            </w:r>
          </w:p>
        </w:tc>
        <w:tc>
          <w:tcPr>
            <w:tcW w:w="2990" w:type="dxa"/>
          </w:tcPr>
          <w:p w14:paraId="3D3AFAA9" w14:textId="77777777" w:rsidR="00F849A7" w:rsidRPr="00D9348B" w:rsidRDefault="00F849A7" w:rsidP="00DB330E">
            <w:pPr>
              <w:pStyle w:val="TableText"/>
              <w:rPr>
                <w:rFonts w:cs="Calibri"/>
              </w:rPr>
            </w:pPr>
            <w:r w:rsidRPr="00D9348B">
              <w:rPr>
                <w:rFonts w:cs="Calibri"/>
              </w:rPr>
              <w:t>0.007</w:t>
            </w:r>
          </w:p>
        </w:tc>
        <w:tc>
          <w:tcPr>
            <w:tcW w:w="3337" w:type="dxa"/>
          </w:tcPr>
          <w:p w14:paraId="1AAF0BC0" w14:textId="77777777" w:rsidR="00F849A7" w:rsidRPr="00D9348B" w:rsidRDefault="00F849A7" w:rsidP="00DB330E">
            <w:pPr>
              <w:pStyle w:val="TableText"/>
              <w:rPr>
                <w:rFonts w:cs="Calibri"/>
              </w:rPr>
            </w:pPr>
            <w:r w:rsidRPr="00D9348B">
              <w:rPr>
                <w:rFonts w:cs="Calibri"/>
              </w:rPr>
              <w:t>44/28</w:t>
            </w:r>
          </w:p>
        </w:tc>
      </w:tr>
      <w:tr w:rsidR="00F849A7" w:rsidRPr="00D9348B" w14:paraId="064BF4EE" w14:textId="77777777" w:rsidTr="00F332EE">
        <w:trPr>
          <w:trHeight w:val="235"/>
        </w:trPr>
        <w:tc>
          <w:tcPr>
            <w:tcW w:w="1611" w:type="dxa"/>
          </w:tcPr>
          <w:p w14:paraId="055D52BA" w14:textId="77777777" w:rsidR="00F849A7" w:rsidRPr="00D9348B" w:rsidRDefault="00F849A7" w:rsidP="00DB330E">
            <w:pPr>
              <w:pStyle w:val="TableText"/>
              <w:rPr>
                <w:rFonts w:cs="Calibri"/>
              </w:rPr>
            </w:pPr>
            <w:r w:rsidRPr="00D9348B">
              <w:rPr>
                <w:rFonts w:cs="Calibri"/>
              </w:rPr>
              <w:t>NO</w:t>
            </w:r>
            <w:r w:rsidRPr="00D9348B">
              <w:rPr>
                <w:rFonts w:cs="Calibri"/>
                <w:vertAlign w:val="subscript"/>
              </w:rPr>
              <w:t>x</w:t>
            </w:r>
          </w:p>
        </w:tc>
        <w:tc>
          <w:tcPr>
            <w:tcW w:w="2990" w:type="dxa"/>
          </w:tcPr>
          <w:p w14:paraId="683B69A2" w14:textId="77777777" w:rsidR="00F849A7" w:rsidRPr="00D9348B" w:rsidRDefault="00F849A7" w:rsidP="00DB330E">
            <w:pPr>
              <w:pStyle w:val="TableText"/>
              <w:rPr>
                <w:rFonts w:cs="Calibri"/>
              </w:rPr>
            </w:pPr>
            <w:r w:rsidRPr="00D9348B">
              <w:rPr>
                <w:rFonts w:cs="Calibri"/>
              </w:rPr>
              <w:t>0.121</w:t>
            </w:r>
          </w:p>
        </w:tc>
        <w:tc>
          <w:tcPr>
            <w:tcW w:w="3337" w:type="dxa"/>
          </w:tcPr>
          <w:p w14:paraId="4A50514E" w14:textId="77777777" w:rsidR="00F849A7" w:rsidRPr="00D9348B" w:rsidRDefault="00F849A7" w:rsidP="00DB330E">
            <w:pPr>
              <w:pStyle w:val="TableText"/>
              <w:rPr>
                <w:rFonts w:cs="Calibri"/>
              </w:rPr>
            </w:pPr>
            <w:r w:rsidRPr="00D9348B">
              <w:rPr>
                <w:rFonts w:cs="Calibri"/>
              </w:rPr>
              <w:t>46/14</w:t>
            </w:r>
          </w:p>
        </w:tc>
      </w:tr>
    </w:tbl>
    <w:p w14:paraId="2B000EE7" w14:textId="77777777" w:rsidR="00F849A7" w:rsidRPr="00D9348B" w:rsidRDefault="00F849A7" w:rsidP="00F849A7">
      <w:pPr>
        <w:pStyle w:val="BodyText"/>
        <w:keepNext/>
        <w:spacing w:before="360"/>
        <w:rPr>
          <w:rFonts w:cs="Calibri"/>
        </w:rPr>
      </w:pPr>
      <w:r w:rsidRPr="00D9348B">
        <w:rPr>
          <w:rFonts w:cs="Calibri"/>
        </w:rPr>
        <w:lastRenderedPageBreak/>
        <w:t>The total emissions (CH</w:t>
      </w:r>
      <w:r w:rsidRPr="00D9348B">
        <w:rPr>
          <w:rFonts w:cs="Calibri"/>
          <w:vertAlign w:val="subscript"/>
        </w:rPr>
        <w:t>4</w:t>
      </w:r>
      <w:r w:rsidRPr="00D9348B">
        <w:rPr>
          <w:rFonts w:cs="Calibri"/>
        </w:rPr>
        <w:t>, CO, N</w:t>
      </w:r>
      <w:r w:rsidRPr="00D9348B">
        <w:rPr>
          <w:rFonts w:cs="Calibri"/>
          <w:vertAlign w:val="subscript"/>
        </w:rPr>
        <w:t>2</w:t>
      </w:r>
      <w:r w:rsidRPr="00D9348B">
        <w:rPr>
          <w:rFonts w:cs="Calibri"/>
        </w:rPr>
        <w:t>O and NO</w:t>
      </w:r>
      <w:r w:rsidRPr="00D9348B">
        <w:rPr>
          <w:rFonts w:cs="Calibri"/>
          <w:vertAlign w:val="subscript"/>
        </w:rPr>
        <w:t>x</w:t>
      </w:r>
      <w:r w:rsidRPr="00D9348B">
        <w:rPr>
          <w:rFonts w:cs="Calibri"/>
        </w:rPr>
        <w:t>) are calculated:</w:t>
      </w:r>
    </w:p>
    <w:bookmarkStart w:id="1059" w:name="_MON_1552216075"/>
    <w:bookmarkEnd w:id="1059"/>
    <w:p w14:paraId="3C486F7D" w14:textId="77777777" w:rsidR="00F849A7" w:rsidRPr="00D9348B" w:rsidRDefault="00F849A7" w:rsidP="00F849A7">
      <w:pPr>
        <w:pStyle w:val="BodyText"/>
        <w:keepNext/>
        <w:spacing w:before="0" w:after="0"/>
        <w:rPr>
          <w:rFonts w:cs="Calibri"/>
        </w:rPr>
      </w:pPr>
      <w:r w:rsidRPr="00D9348B">
        <w:rPr>
          <w:rFonts w:cs="Calibri"/>
        </w:rPr>
        <w:object w:dxaOrig="6491" w:dyaOrig="397" w14:anchorId="13721AE6">
          <v:shape id="_x0000_i1110" type="#_x0000_t75" style="width:323.05pt;height:21.9pt" o:ole="">
            <v:imagedata r:id="rId174" o:title=""/>
            <o:lock v:ext="edit" aspectratio="f"/>
          </v:shape>
          <o:OLEObject Type="Embed" ProgID="Word.Document.12" ShapeID="_x0000_i1110" DrawAspect="Content" ObjectID="_1647932342" r:id="rId175">
            <o:FieldCodes>\s</o:FieldCodes>
          </o:OLEObject>
        </w:object>
      </w:r>
    </w:p>
    <w:p w14:paraId="41E9D165" w14:textId="77777777" w:rsidR="00F849A7" w:rsidRPr="00D9348B" w:rsidRDefault="00F849A7" w:rsidP="00F849A7">
      <w:pPr>
        <w:keepNext/>
        <w:spacing w:before="120"/>
        <w:ind w:left="1134" w:hanging="1134"/>
        <w:rPr>
          <w:rFonts w:cs="Calibri"/>
        </w:rPr>
      </w:pPr>
      <w:r w:rsidRPr="00D9348B">
        <w:rPr>
          <w:rFonts w:cs="Calibri"/>
        </w:rPr>
        <w:t>Where:</w:t>
      </w:r>
      <w:r w:rsidRPr="00D9348B">
        <w:rPr>
          <w:rFonts w:cs="Calibri"/>
        </w:rPr>
        <w:tab/>
        <w:t>AG</w:t>
      </w:r>
      <w:r w:rsidRPr="00D9348B">
        <w:rPr>
          <w:rFonts w:cs="Calibri"/>
          <w:vertAlign w:val="subscript"/>
        </w:rPr>
        <w:t>BURN</w:t>
      </w:r>
      <w:r w:rsidRPr="00D9348B">
        <w:rPr>
          <w:rFonts w:cs="Calibri"/>
        </w:rPr>
        <w:t xml:space="preserve"> is the above-ground biomass burned (kt)</w:t>
      </w:r>
    </w:p>
    <w:p w14:paraId="4212F85E" w14:textId="77777777" w:rsidR="00F849A7" w:rsidRPr="00D9348B" w:rsidRDefault="00F849A7" w:rsidP="00F849A7">
      <w:pPr>
        <w:spacing w:before="120"/>
        <w:ind w:left="1134" w:hanging="1134"/>
        <w:rPr>
          <w:rFonts w:cs="Calibri"/>
        </w:rPr>
      </w:pPr>
      <w:r w:rsidRPr="00D9348B">
        <w:rPr>
          <w:rFonts w:cs="Calibri"/>
        </w:rPr>
        <w:tab/>
        <w:t>Frac</w:t>
      </w:r>
      <w:r w:rsidRPr="00D9348B">
        <w:rPr>
          <w:rFonts w:cs="Calibri"/>
          <w:vertAlign w:val="subscript"/>
        </w:rPr>
        <w:t>OX</w:t>
      </w:r>
      <w:r w:rsidRPr="00D9348B">
        <w:rPr>
          <w:rFonts w:cs="Calibri"/>
        </w:rPr>
        <w:t xml:space="preserve"> is the fraction oxidised (see table 5.7.2) </w:t>
      </w:r>
    </w:p>
    <w:p w14:paraId="6CCEFE78" w14:textId="77777777" w:rsidR="00F849A7" w:rsidRPr="00D9348B" w:rsidRDefault="00F849A7" w:rsidP="00F849A7">
      <w:pPr>
        <w:spacing w:before="120"/>
        <w:ind w:left="1134" w:hanging="1134"/>
        <w:rPr>
          <w:rFonts w:cs="Calibri"/>
        </w:rPr>
      </w:pPr>
      <w:r w:rsidRPr="00D9348B">
        <w:rPr>
          <w:rFonts w:cs="Calibri"/>
        </w:rPr>
        <w:tab/>
        <w:t xml:space="preserve">ER is the gas-specific emission ratio, and </w:t>
      </w:r>
    </w:p>
    <w:p w14:paraId="5C053701" w14:textId="77777777" w:rsidR="00F849A7" w:rsidRPr="00D9348B" w:rsidRDefault="00F849A7" w:rsidP="00F849A7">
      <w:pPr>
        <w:spacing w:before="120" w:after="120"/>
        <w:ind w:left="1134" w:hanging="1134"/>
        <w:rPr>
          <w:rFonts w:cs="Calibri"/>
        </w:rPr>
      </w:pPr>
      <w:r w:rsidRPr="00D9348B">
        <w:rPr>
          <w:rFonts w:cs="Calibri"/>
        </w:rPr>
        <w:tab/>
        <w:t xml:space="preserve">GCR is the gas-conversion ratio (see table 5.7.1). </w:t>
      </w:r>
    </w:p>
    <w:p w14:paraId="4F1C137A" w14:textId="0751F4A6" w:rsidR="00F849A7" w:rsidRPr="00D9348B" w:rsidRDefault="00F849A7" w:rsidP="00F849A7">
      <w:pPr>
        <w:pStyle w:val="BodyText"/>
        <w:rPr>
          <w:rFonts w:cs="Calibri"/>
        </w:rPr>
      </w:pPr>
      <w:r w:rsidRPr="00D9348B">
        <w:rPr>
          <w:rFonts w:cs="Calibri"/>
        </w:rPr>
        <w:t>The calculation for AG</w:t>
      </w:r>
      <w:r w:rsidRPr="00D9348B">
        <w:rPr>
          <w:rFonts w:cs="Calibri"/>
          <w:vertAlign w:val="subscript"/>
        </w:rPr>
        <w:t xml:space="preserve">BURN </w:t>
      </w:r>
      <w:r w:rsidRPr="00D9348B">
        <w:rPr>
          <w:rFonts w:cs="Calibri"/>
        </w:rPr>
        <w:t>is different for 1990 to 2004 and 2005 to 2018, to account for changes in the availability of activity data over these periods. Statistics New Zealand did not collect data on crop residue burning prior to 2005. Therefore, from 1990 to 2004, calculation of the amount of biomass residue burned (AG</w:t>
      </w:r>
      <w:r w:rsidRPr="00D9348B">
        <w:rPr>
          <w:rFonts w:cs="Calibri"/>
          <w:vertAlign w:val="subscript"/>
        </w:rPr>
        <w:t>BURN</w:t>
      </w:r>
      <w:r w:rsidRPr="00D9348B">
        <w:rPr>
          <w:rFonts w:cs="Calibri"/>
        </w:rPr>
        <w:t>) was based on the total mass of crop production (from the Statistics New Zealand Agricultural Production Census and Survey) and</w:t>
      </w:r>
      <w:r w:rsidR="00365854" w:rsidRPr="00D9348B">
        <w:rPr>
          <w:rFonts w:cs="Calibri"/>
        </w:rPr>
        <w:t> </w:t>
      </w:r>
      <w:r w:rsidRPr="00D9348B">
        <w:rPr>
          <w:rFonts w:cs="Calibri"/>
        </w:rPr>
        <w:t>assumed fractions burned for each crop, where:</w:t>
      </w:r>
    </w:p>
    <w:p w14:paraId="032421AA" w14:textId="77777777" w:rsidR="00F849A7" w:rsidRPr="00D9348B" w:rsidRDefault="00F849A7" w:rsidP="00365854">
      <w:pPr>
        <w:pStyle w:val="BodyText"/>
        <w:spacing w:before="60" w:after="60"/>
        <w:jc w:val="center"/>
        <w:rPr>
          <w:rFonts w:cs="Calibri"/>
        </w:rPr>
      </w:pPr>
      <w:r w:rsidRPr="00D9348B">
        <w:rPr>
          <w:rFonts w:cs="Calibri"/>
        </w:rPr>
        <w:object w:dxaOrig="6806" w:dyaOrig="301" w14:anchorId="1B7E9A43">
          <v:shape id="_x0000_i1111" type="#_x0000_t75" style="width:344.95pt;height:14.4pt" o:ole="">
            <v:imagedata r:id="rId176" o:title="" cropleft="3144f" cropright="5109f"/>
          </v:shape>
          <o:OLEObject Type="Embed" ProgID="Word.Document.12" ShapeID="_x0000_i1111" DrawAspect="Content" ObjectID="_1647932343" r:id="rId177">
            <o:FieldCodes>\s</o:FieldCodes>
          </o:OLEObject>
        </w:object>
      </w:r>
    </w:p>
    <w:p w14:paraId="1C2C3148" w14:textId="77777777" w:rsidR="00F849A7" w:rsidRPr="00D9348B" w:rsidRDefault="00F849A7" w:rsidP="00F849A7">
      <w:pPr>
        <w:pStyle w:val="BodyText"/>
        <w:spacing w:after="0"/>
        <w:ind w:left="993" w:hanging="993"/>
        <w:rPr>
          <w:rFonts w:cs="Calibri"/>
        </w:rPr>
      </w:pPr>
      <w:r w:rsidRPr="00D9348B">
        <w:rPr>
          <w:rFonts w:cs="Calibri"/>
        </w:rPr>
        <w:t>Where:</w:t>
      </w:r>
      <w:r w:rsidRPr="00D9348B">
        <w:rPr>
          <w:rFonts w:cs="Calibri"/>
        </w:rPr>
        <w:tab/>
        <w:t>AG</w:t>
      </w:r>
      <w:r w:rsidRPr="00D9348B">
        <w:rPr>
          <w:rFonts w:cs="Calibri"/>
          <w:vertAlign w:val="subscript"/>
        </w:rPr>
        <w:t>DM</w:t>
      </w:r>
      <w:r w:rsidRPr="00D9348B">
        <w:rPr>
          <w:rFonts w:cs="Calibri"/>
        </w:rPr>
        <w:t xml:space="preserve"> is the above-ground residue (defined below)</w:t>
      </w:r>
    </w:p>
    <w:p w14:paraId="666B4550" w14:textId="77777777" w:rsidR="00F849A7" w:rsidRPr="00D9348B" w:rsidRDefault="00F849A7" w:rsidP="00F849A7">
      <w:pPr>
        <w:spacing w:before="120"/>
        <w:ind w:left="964"/>
        <w:rPr>
          <w:rFonts w:cs="Calibri"/>
        </w:rPr>
      </w:pPr>
      <w:r w:rsidRPr="00D9348B">
        <w:rPr>
          <w:rFonts w:cs="Calibri"/>
        </w:rPr>
        <w:t>Frac</w:t>
      </w:r>
      <w:r w:rsidRPr="00D9348B">
        <w:rPr>
          <w:rFonts w:cs="Calibri"/>
          <w:vertAlign w:val="subscript"/>
        </w:rPr>
        <w:t xml:space="preserve">AREA–BURN </w:t>
      </w:r>
      <w:r w:rsidRPr="00D9348B">
        <w:rPr>
          <w:rFonts w:cs="Calibri"/>
        </w:rPr>
        <w:t>is the proportion of crop area burned of the total production area (discussed further below)</w:t>
      </w:r>
    </w:p>
    <w:p w14:paraId="3C4EFAB6" w14:textId="77777777" w:rsidR="00F849A7" w:rsidRPr="00D9348B" w:rsidRDefault="00F849A7" w:rsidP="00F849A7">
      <w:pPr>
        <w:spacing w:before="120"/>
        <w:ind w:left="964"/>
        <w:rPr>
          <w:rFonts w:cs="Calibri"/>
        </w:rPr>
      </w:pPr>
      <w:r w:rsidRPr="00D9348B">
        <w:rPr>
          <w:rFonts w:cs="Calibri"/>
        </w:rPr>
        <w:t>Frac</w:t>
      </w:r>
      <w:r w:rsidRPr="00D9348B">
        <w:rPr>
          <w:rFonts w:cs="Calibri"/>
          <w:vertAlign w:val="subscript"/>
        </w:rPr>
        <w:t>RESIDUE</w:t>
      </w:r>
      <w:r w:rsidRPr="00D9348B">
        <w:rPr>
          <w:rFonts w:cs="Calibri"/>
        </w:rPr>
        <w:t xml:space="preserve"> is the proportion of residue remaining after harvest (see table 5.7.2), and</w:t>
      </w:r>
    </w:p>
    <w:p w14:paraId="3CF4DA21" w14:textId="77777777" w:rsidR="00F849A7" w:rsidRPr="00D9348B" w:rsidRDefault="00F849A7" w:rsidP="00F849A7">
      <w:pPr>
        <w:spacing w:before="120" w:after="120"/>
        <w:ind w:left="964"/>
        <w:rPr>
          <w:rFonts w:cs="Calibri"/>
        </w:rPr>
      </w:pPr>
      <w:r w:rsidRPr="00D9348B">
        <w:rPr>
          <w:rFonts w:cs="Calibri"/>
        </w:rPr>
        <w:t>Frac</w:t>
      </w:r>
      <w:r w:rsidRPr="00D9348B">
        <w:rPr>
          <w:rFonts w:cs="Calibri"/>
          <w:vertAlign w:val="subscript"/>
        </w:rPr>
        <w:t>BURN</w:t>
      </w:r>
      <w:r w:rsidRPr="00D9348B">
        <w:rPr>
          <w:rFonts w:cs="Calibri"/>
        </w:rPr>
        <w:t xml:space="preserve"> is the proportion of remaining residue burned (see table 5.7.2).</w:t>
      </w:r>
    </w:p>
    <w:p w14:paraId="1860FECE" w14:textId="77777777" w:rsidR="00F849A7" w:rsidRPr="00D9348B" w:rsidRDefault="00F849A7" w:rsidP="00F849A7">
      <w:pPr>
        <w:pStyle w:val="BodyText"/>
        <w:spacing w:after="60"/>
        <w:rPr>
          <w:rFonts w:cs="Calibri"/>
        </w:rPr>
      </w:pPr>
      <w:r w:rsidRPr="00D9348B">
        <w:rPr>
          <w:rFonts w:cs="Calibri"/>
        </w:rPr>
        <w:t>The above-ground residue, AG</w:t>
      </w:r>
      <w:r w:rsidRPr="00D9348B">
        <w:rPr>
          <w:rFonts w:cs="Calibri"/>
          <w:vertAlign w:val="subscript"/>
        </w:rPr>
        <w:t>DM</w:t>
      </w:r>
      <w:r w:rsidRPr="00D9348B">
        <w:rPr>
          <w:rFonts w:cs="Calibri"/>
        </w:rPr>
        <w:t xml:space="preserve"> (tonnes), is:</w:t>
      </w:r>
    </w:p>
    <w:p w14:paraId="5C1BDE01" w14:textId="77777777" w:rsidR="00F849A7" w:rsidRPr="00D9348B" w:rsidRDefault="00F849A7" w:rsidP="00F849A7">
      <w:pPr>
        <w:pStyle w:val="BodyText"/>
        <w:rPr>
          <w:rFonts w:cs="Calibri"/>
        </w:rPr>
      </w:pPr>
      <w:r w:rsidRPr="00D9348B">
        <w:rPr>
          <w:rFonts w:cs="Calibri"/>
        </w:rPr>
        <w:object w:dxaOrig="7916" w:dyaOrig="499" w14:anchorId="62F0B25D">
          <v:shape id="_x0000_i1112" type="#_x0000_t75" style="width:396.3pt;height:21.9pt" o:ole="">
            <v:imagedata r:id="rId178" o:title=""/>
          </v:shape>
          <o:OLEObject Type="Embed" ProgID="Word.Document.12" ShapeID="_x0000_i1112" DrawAspect="Content" ObjectID="_1647932344" r:id="rId179">
            <o:FieldCodes>\s</o:FieldCodes>
          </o:OLEObject>
        </w:object>
      </w:r>
    </w:p>
    <w:p w14:paraId="3420BCE8" w14:textId="77777777" w:rsidR="00F849A7" w:rsidRPr="00D9348B" w:rsidRDefault="00F849A7" w:rsidP="00F849A7">
      <w:pPr>
        <w:spacing w:before="120" w:after="160"/>
        <w:ind w:left="964" w:hanging="964"/>
        <w:rPr>
          <w:rFonts w:cs="Calibri"/>
        </w:rPr>
      </w:pPr>
      <w:r w:rsidRPr="00D9348B">
        <w:rPr>
          <w:rFonts w:cs="Calibri"/>
        </w:rPr>
        <w:t>Where:</w:t>
      </w:r>
      <w:r w:rsidRPr="00D9348B">
        <w:rPr>
          <w:rFonts w:cs="Calibri"/>
        </w:rPr>
        <w:tab/>
        <w:t>HI is the harvest index (crop-specific, table 5.7.2), that is, the mass harvested over the total mass of above-ground biomass.</w:t>
      </w:r>
    </w:p>
    <w:p w14:paraId="66FBE360" w14:textId="77777777" w:rsidR="00F849A7" w:rsidRPr="00D9348B" w:rsidRDefault="00F849A7" w:rsidP="00F849A7">
      <w:pPr>
        <w:pStyle w:val="BodyText"/>
        <w:keepNext/>
        <w:spacing w:after="60"/>
        <w:rPr>
          <w:rFonts w:cs="Calibri"/>
        </w:rPr>
      </w:pPr>
      <w:r w:rsidRPr="00D9348B">
        <w:rPr>
          <w:rFonts w:cs="Calibri"/>
        </w:rPr>
        <w:t>The dry matter, Prod</w:t>
      </w:r>
      <w:r w:rsidRPr="00D9348B">
        <w:rPr>
          <w:rFonts w:cs="Calibri"/>
          <w:vertAlign w:val="subscript"/>
        </w:rPr>
        <w:t>DM</w:t>
      </w:r>
      <w:r w:rsidRPr="00D9348B">
        <w:rPr>
          <w:rFonts w:cs="Calibri"/>
        </w:rPr>
        <w:t xml:space="preserve"> (tonnes), available to be burned is:</w:t>
      </w:r>
    </w:p>
    <w:p w14:paraId="684EC492" w14:textId="77777777" w:rsidR="00F849A7" w:rsidRPr="00D9348B" w:rsidRDefault="00F849A7" w:rsidP="00F849A7">
      <w:pPr>
        <w:pStyle w:val="BodyText"/>
        <w:spacing w:after="60"/>
        <w:rPr>
          <w:rFonts w:cs="Calibri"/>
        </w:rPr>
      </w:pPr>
      <w:r w:rsidRPr="00D9348B">
        <w:rPr>
          <w:rFonts w:cs="Calibri"/>
        </w:rPr>
        <w:object w:dxaOrig="7181" w:dyaOrig="322" w14:anchorId="46F77233">
          <v:shape id="_x0000_i1113" type="#_x0000_t75" style="width:5in;height:15.05pt" o:ole="">
            <v:imagedata r:id="rId180" o:title=""/>
          </v:shape>
          <o:OLEObject Type="Embed" ProgID="Word.Document.12" ShapeID="_x0000_i1113" DrawAspect="Content" ObjectID="_1647932345" r:id="rId181">
            <o:FieldCodes>\s</o:FieldCodes>
          </o:OLEObject>
        </w:object>
      </w:r>
    </w:p>
    <w:p w14:paraId="30D8080E" w14:textId="77777777" w:rsidR="00F849A7" w:rsidRPr="00D9348B" w:rsidRDefault="00F849A7" w:rsidP="00F849A7">
      <w:pPr>
        <w:tabs>
          <w:tab w:val="left" w:pos="1134"/>
        </w:tabs>
        <w:spacing w:before="120"/>
        <w:ind w:left="964" w:hanging="964"/>
        <w:rPr>
          <w:rFonts w:cs="Calibri"/>
        </w:rPr>
      </w:pPr>
      <w:r w:rsidRPr="00D9348B">
        <w:rPr>
          <w:rFonts w:cs="Calibri"/>
        </w:rPr>
        <w:t>Where:</w:t>
      </w:r>
      <w:r w:rsidRPr="00D9348B">
        <w:rPr>
          <w:rFonts w:cs="Calibri"/>
        </w:rPr>
        <w:tab/>
        <w:t>Crop</w:t>
      </w:r>
      <w:r w:rsidRPr="00D9348B">
        <w:rPr>
          <w:rFonts w:cs="Calibri"/>
          <w:vertAlign w:val="subscript"/>
        </w:rPr>
        <w:t>PROD</w:t>
      </w:r>
      <w:r w:rsidRPr="00D9348B">
        <w:rPr>
          <w:rFonts w:cs="Calibri"/>
        </w:rPr>
        <w:t xml:space="preserve"> is the annual crop production (tonnes) (Statistics New Zealand Agricultural Production Census and Survey), and</w:t>
      </w:r>
    </w:p>
    <w:p w14:paraId="6AB9D3F4" w14:textId="77777777" w:rsidR="00F849A7" w:rsidRPr="00D9348B" w:rsidRDefault="00F849A7" w:rsidP="00F849A7">
      <w:pPr>
        <w:spacing w:before="120" w:after="120"/>
        <w:ind w:left="964" w:hanging="964"/>
        <w:rPr>
          <w:rFonts w:cs="Calibri"/>
        </w:rPr>
      </w:pPr>
      <w:r w:rsidRPr="00D9348B">
        <w:rPr>
          <w:rFonts w:cs="Calibri"/>
        </w:rPr>
        <w:tab/>
        <w:t>Frac</w:t>
      </w:r>
      <w:r w:rsidRPr="00D9348B">
        <w:rPr>
          <w:rFonts w:cs="Calibri"/>
          <w:vertAlign w:val="subscript"/>
        </w:rPr>
        <w:t>DM</w:t>
      </w:r>
      <w:r w:rsidRPr="00D9348B">
        <w:rPr>
          <w:rFonts w:cs="Calibri"/>
        </w:rPr>
        <w:t xml:space="preserve"> is the fraction of crop that is dry matter (crop specific, table 5.7.2).</w:t>
      </w:r>
    </w:p>
    <w:p w14:paraId="760533CB" w14:textId="77777777" w:rsidR="00F849A7" w:rsidRPr="00D9348B" w:rsidRDefault="00F849A7" w:rsidP="00F849A7">
      <w:pPr>
        <w:pStyle w:val="Table"/>
        <w:rPr>
          <w:rFonts w:cs="Calibri"/>
        </w:rPr>
      </w:pPr>
      <w:bookmarkStart w:id="1060" w:name="_Toc352504980"/>
      <w:bookmarkStart w:id="1061" w:name="_Toc441830891"/>
      <w:bookmarkStart w:id="1062" w:name="_Toc451176105"/>
      <w:bookmarkStart w:id="1063" w:name="_Toc481751535"/>
      <w:bookmarkStart w:id="1064" w:name="_Toc507158621"/>
      <w:bookmarkStart w:id="1065" w:name="_Toc511116755"/>
      <w:bookmarkStart w:id="1066" w:name="_Toc5269497"/>
      <w:bookmarkStart w:id="1067" w:name="_Toc32570944"/>
      <w:bookmarkStart w:id="1068" w:name="_Toc36224579"/>
      <w:r w:rsidRPr="00D9348B">
        <w:rPr>
          <w:rFonts w:cs="Calibri"/>
        </w:rPr>
        <w:t xml:space="preserve">Table 5.7.2 </w:t>
      </w:r>
      <w:r w:rsidRPr="00D9348B">
        <w:rPr>
          <w:rFonts w:cs="Calibri"/>
        </w:rPr>
        <w:tab/>
        <w:t>Values used to calculate New Zealand emissions from burning of agricultural residues</w:t>
      </w:r>
      <w:bookmarkEnd w:id="1060"/>
      <w:bookmarkEnd w:id="1061"/>
      <w:bookmarkEnd w:id="1062"/>
      <w:bookmarkEnd w:id="1063"/>
      <w:bookmarkEnd w:id="1064"/>
      <w:bookmarkEnd w:id="1065"/>
      <w:bookmarkEnd w:id="1066"/>
      <w:bookmarkEnd w:id="1067"/>
      <w:bookmarkEnd w:id="1068"/>
    </w:p>
    <w:tbl>
      <w:tblPr>
        <w:tblW w:w="8562" w:type="dxa"/>
        <w:tblInd w:w="108" w:type="dxa"/>
        <w:tblBorders>
          <w:top w:val="single" w:sz="4" w:space="0" w:color="365F91"/>
          <w:bottom w:val="single" w:sz="4" w:space="0" w:color="365F91"/>
          <w:insideH w:val="single" w:sz="4" w:space="0" w:color="365F91"/>
        </w:tblBorders>
        <w:tblLook w:val="0000" w:firstRow="0" w:lastRow="0" w:firstColumn="0" w:lastColumn="0" w:noHBand="0" w:noVBand="0"/>
      </w:tblPr>
      <w:tblGrid>
        <w:gridCol w:w="4728"/>
        <w:gridCol w:w="1278"/>
        <w:gridCol w:w="1278"/>
        <w:gridCol w:w="1278"/>
      </w:tblGrid>
      <w:tr w:rsidR="00F849A7" w:rsidRPr="00D9348B" w14:paraId="7C76EAC3" w14:textId="77777777" w:rsidTr="00365854">
        <w:trPr>
          <w:tblHeader/>
        </w:trPr>
        <w:tc>
          <w:tcPr>
            <w:tcW w:w="4480" w:type="dxa"/>
            <w:shd w:val="clear" w:color="auto" w:fill="365F91"/>
            <w:noWrap/>
            <w:vAlign w:val="bottom"/>
          </w:tcPr>
          <w:p w14:paraId="40A0F220" w14:textId="77777777" w:rsidR="00F849A7" w:rsidRPr="00D9348B" w:rsidRDefault="00F849A7" w:rsidP="00DB330E">
            <w:pPr>
              <w:pStyle w:val="TableTextBold"/>
              <w:keepNext/>
              <w:spacing w:before="40" w:after="40"/>
              <w:rPr>
                <w:rFonts w:cs="Calibri"/>
                <w:noProof w:val="0"/>
                <w:color w:val="FFFFFF"/>
                <w:szCs w:val="16"/>
              </w:rPr>
            </w:pPr>
          </w:p>
        </w:tc>
        <w:tc>
          <w:tcPr>
            <w:tcW w:w="1211" w:type="dxa"/>
            <w:shd w:val="clear" w:color="auto" w:fill="365F91"/>
            <w:noWrap/>
            <w:vAlign w:val="bottom"/>
          </w:tcPr>
          <w:p w14:paraId="7975875E" w14:textId="77777777" w:rsidR="00F849A7" w:rsidRPr="00D9348B" w:rsidRDefault="00F849A7" w:rsidP="00DB330E">
            <w:pPr>
              <w:pStyle w:val="TableTextBold"/>
              <w:keepNext/>
              <w:spacing w:before="40" w:after="40"/>
              <w:rPr>
                <w:rFonts w:cs="Calibri"/>
                <w:noProof w:val="0"/>
                <w:color w:val="FFFFFF"/>
                <w:szCs w:val="16"/>
              </w:rPr>
            </w:pPr>
            <w:r w:rsidRPr="00D9348B">
              <w:rPr>
                <w:rFonts w:cs="Calibri"/>
                <w:noProof w:val="0"/>
                <w:color w:val="FFFFFF"/>
                <w:szCs w:val="16"/>
              </w:rPr>
              <w:t>Barley</w:t>
            </w:r>
          </w:p>
        </w:tc>
        <w:tc>
          <w:tcPr>
            <w:tcW w:w="1211" w:type="dxa"/>
            <w:shd w:val="clear" w:color="auto" w:fill="365F91"/>
            <w:noWrap/>
            <w:vAlign w:val="bottom"/>
          </w:tcPr>
          <w:p w14:paraId="2CD727DF" w14:textId="77777777" w:rsidR="00F849A7" w:rsidRPr="00D9348B" w:rsidRDefault="00F849A7" w:rsidP="00DB330E">
            <w:pPr>
              <w:pStyle w:val="TableTextBold"/>
              <w:keepNext/>
              <w:spacing w:before="40" w:after="40"/>
              <w:rPr>
                <w:rFonts w:cs="Calibri"/>
                <w:noProof w:val="0"/>
                <w:color w:val="FFFFFF"/>
                <w:szCs w:val="16"/>
              </w:rPr>
            </w:pPr>
            <w:r w:rsidRPr="00D9348B">
              <w:rPr>
                <w:rFonts w:cs="Calibri"/>
                <w:noProof w:val="0"/>
                <w:color w:val="FFFFFF"/>
                <w:szCs w:val="16"/>
              </w:rPr>
              <w:t>Wheat</w:t>
            </w:r>
          </w:p>
        </w:tc>
        <w:tc>
          <w:tcPr>
            <w:tcW w:w="1211" w:type="dxa"/>
            <w:shd w:val="clear" w:color="auto" w:fill="365F91"/>
            <w:noWrap/>
            <w:vAlign w:val="bottom"/>
          </w:tcPr>
          <w:p w14:paraId="55216044" w14:textId="77777777" w:rsidR="00F849A7" w:rsidRPr="00D9348B" w:rsidRDefault="00F849A7" w:rsidP="00DB330E">
            <w:pPr>
              <w:pStyle w:val="TableTextBold"/>
              <w:keepNext/>
              <w:spacing w:before="40" w:after="40"/>
              <w:rPr>
                <w:rFonts w:cs="Calibri"/>
                <w:noProof w:val="0"/>
                <w:color w:val="FFFFFF"/>
                <w:szCs w:val="16"/>
              </w:rPr>
            </w:pPr>
            <w:r w:rsidRPr="00D9348B">
              <w:rPr>
                <w:rFonts w:cs="Calibri"/>
                <w:noProof w:val="0"/>
                <w:color w:val="FFFFFF"/>
                <w:szCs w:val="16"/>
              </w:rPr>
              <w:t>Oats</w:t>
            </w:r>
          </w:p>
        </w:tc>
      </w:tr>
      <w:tr w:rsidR="00F849A7" w:rsidRPr="00D9348B" w14:paraId="6BF0AE80" w14:textId="77777777" w:rsidTr="00365854">
        <w:tc>
          <w:tcPr>
            <w:tcW w:w="4480" w:type="dxa"/>
            <w:noWrap/>
            <w:vAlign w:val="bottom"/>
          </w:tcPr>
          <w:p w14:paraId="791947C7" w14:textId="77777777" w:rsidR="00F849A7" w:rsidRPr="00D9348B" w:rsidRDefault="00F849A7" w:rsidP="00DB330E">
            <w:pPr>
              <w:pStyle w:val="TableText"/>
              <w:spacing w:before="40" w:after="40"/>
              <w:rPr>
                <w:rFonts w:cs="Calibri"/>
                <w:szCs w:val="16"/>
              </w:rPr>
            </w:pPr>
            <w:r w:rsidRPr="00D9348B">
              <w:rPr>
                <w:rFonts w:cs="Calibri"/>
                <w:szCs w:val="16"/>
              </w:rPr>
              <w:t>Fraction oxidised</w:t>
            </w:r>
          </w:p>
        </w:tc>
        <w:tc>
          <w:tcPr>
            <w:tcW w:w="1211" w:type="dxa"/>
            <w:noWrap/>
            <w:vAlign w:val="bottom"/>
          </w:tcPr>
          <w:p w14:paraId="59E390C2" w14:textId="77777777" w:rsidR="00F849A7" w:rsidRPr="00D9348B" w:rsidRDefault="00F849A7" w:rsidP="00DB330E">
            <w:pPr>
              <w:pStyle w:val="TableText"/>
              <w:spacing w:before="40" w:after="40"/>
              <w:rPr>
                <w:rFonts w:cs="Calibri"/>
                <w:szCs w:val="16"/>
              </w:rPr>
            </w:pPr>
            <w:r w:rsidRPr="00D9348B">
              <w:rPr>
                <w:rFonts w:cs="Calibri"/>
                <w:szCs w:val="16"/>
              </w:rPr>
              <w:t>0.9</w:t>
            </w:r>
          </w:p>
        </w:tc>
        <w:tc>
          <w:tcPr>
            <w:tcW w:w="1211" w:type="dxa"/>
            <w:noWrap/>
            <w:vAlign w:val="bottom"/>
          </w:tcPr>
          <w:p w14:paraId="0A3538DF" w14:textId="77777777" w:rsidR="00F849A7" w:rsidRPr="00D9348B" w:rsidRDefault="00F849A7" w:rsidP="00DB330E">
            <w:pPr>
              <w:pStyle w:val="TableText"/>
              <w:spacing w:before="40" w:after="40"/>
              <w:rPr>
                <w:rFonts w:cs="Calibri"/>
                <w:szCs w:val="16"/>
              </w:rPr>
            </w:pPr>
            <w:r w:rsidRPr="00D9348B">
              <w:rPr>
                <w:rFonts w:cs="Calibri"/>
                <w:szCs w:val="16"/>
              </w:rPr>
              <w:t>0.9</w:t>
            </w:r>
          </w:p>
        </w:tc>
        <w:tc>
          <w:tcPr>
            <w:tcW w:w="1211" w:type="dxa"/>
            <w:noWrap/>
            <w:vAlign w:val="bottom"/>
          </w:tcPr>
          <w:p w14:paraId="36D3870C" w14:textId="77777777" w:rsidR="00F849A7" w:rsidRPr="00D9348B" w:rsidRDefault="00F849A7" w:rsidP="00DB330E">
            <w:pPr>
              <w:pStyle w:val="TableText"/>
              <w:spacing w:before="40" w:after="40"/>
              <w:rPr>
                <w:rFonts w:cs="Calibri"/>
                <w:szCs w:val="16"/>
              </w:rPr>
            </w:pPr>
            <w:r w:rsidRPr="00D9348B">
              <w:rPr>
                <w:rFonts w:cs="Calibri"/>
                <w:szCs w:val="16"/>
              </w:rPr>
              <w:t>0.9</w:t>
            </w:r>
          </w:p>
        </w:tc>
      </w:tr>
      <w:tr w:rsidR="00F849A7" w:rsidRPr="00D9348B" w14:paraId="49386CCF" w14:textId="77777777" w:rsidTr="00365854">
        <w:tc>
          <w:tcPr>
            <w:tcW w:w="4480" w:type="dxa"/>
            <w:noWrap/>
            <w:vAlign w:val="bottom"/>
          </w:tcPr>
          <w:p w14:paraId="0B6347DC" w14:textId="77777777" w:rsidR="00F849A7" w:rsidRPr="00D9348B" w:rsidRDefault="00F849A7" w:rsidP="00DB330E">
            <w:pPr>
              <w:pStyle w:val="TableText"/>
              <w:spacing w:before="40" w:after="40"/>
              <w:rPr>
                <w:rFonts w:cs="Calibri"/>
                <w:szCs w:val="16"/>
              </w:rPr>
            </w:pPr>
            <w:r w:rsidRPr="00D9348B">
              <w:rPr>
                <w:rFonts w:cs="Calibri"/>
                <w:szCs w:val="16"/>
              </w:rPr>
              <w:t>Residue remaining in field</w:t>
            </w:r>
          </w:p>
        </w:tc>
        <w:tc>
          <w:tcPr>
            <w:tcW w:w="1211" w:type="dxa"/>
            <w:noWrap/>
            <w:vAlign w:val="bottom"/>
          </w:tcPr>
          <w:p w14:paraId="7AC87100" w14:textId="77777777" w:rsidR="00F849A7" w:rsidRPr="00D9348B" w:rsidRDefault="00F849A7" w:rsidP="00DB330E">
            <w:pPr>
              <w:pStyle w:val="TableText"/>
              <w:spacing w:before="40" w:after="40"/>
              <w:rPr>
                <w:rFonts w:cs="Calibri"/>
                <w:szCs w:val="16"/>
              </w:rPr>
            </w:pPr>
            <w:r w:rsidRPr="00D9348B">
              <w:rPr>
                <w:rFonts w:cs="Calibri"/>
                <w:szCs w:val="16"/>
              </w:rPr>
              <w:t>1</w:t>
            </w:r>
          </w:p>
        </w:tc>
        <w:tc>
          <w:tcPr>
            <w:tcW w:w="1211" w:type="dxa"/>
            <w:noWrap/>
            <w:vAlign w:val="bottom"/>
          </w:tcPr>
          <w:p w14:paraId="76A40209" w14:textId="77777777" w:rsidR="00F849A7" w:rsidRPr="00D9348B" w:rsidRDefault="00F849A7" w:rsidP="00DB330E">
            <w:pPr>
              <w:pStyle w:val="TableText"/>
              <w:spacing w:before="40" w:after="40"/>
              <w:rPr>
                <w:rFonts w:cs="Calibri"/>
                <w:szCs w:val="16"/>
              </w:rPr>
            </w:pPr>
            <w:r w:rsidRPr="00D9348B">
              <w:rPr>
                <w:rFonts w:cs="Calibri"/>
                <w:szCs w:val="16"/>
              </w:rPr>
              <w:t>1</w:t>
            </w:r>
          </w:p>
        </w:tc>
        <w:tc>
          <w:tcPr>
            <w:tcW w:w="1211" w:type="dxa"/>
            <w:noWrap/>
            <w:vAlign w:val="bottom"/>
          </w:tcPr>
          <w:p w14:paraId="0CEF08FC" w14:textId="77777777" w:rsidR="00F849A7" w:rsidRPr="00D9348B" w:rsidRDefault="00F849A7" w:rsidP="00DB330E">
            <w:pPr>
              <w:pStyle w:val="TableText"/>
              <w:spacing w:before="40" w:after="40"/>
              <w:rPr>
                <w:rFonts w:cs="Calibri"/>
                <w:szCs w:val="16"/>
              </w:rPr>
            </w:pPr>
            <w:r w:rsidRPr="00D9348B">
              <w:rPr>
                <w:rFonts w:cs="Calibri"/>
                <w:szCs w:val="16"/>
              </w:rPr>
              <w:t>1</w:t>
            </w:r>
          </w:p>
        </w:tc>
      </w:tr>
      <w:tr w:rsidR="00F849A7" w:rsidRPr="00D9348B" w14:paraId="31E86C58" w14:textId="77777777" w:rsidTr="00365854">
        <w:tc>
          <w:tcPr>
            <w:tcW w:w="4480" w:type="dxa"/>
            <w:noWrap/>
            <w:vAlign w:val="bottom"/>
          </w:tcPr>
          <w:p w14:paraId="14B3230F" w14:textId="77777777" w:rsidR="00F849A7" w:rsidRPr="00D9348B" w:rsidRDefault="00F849A7" w:rsidP="00DB330E">
            <w:pPr>
              <w:pStyle w:val="TableText"/>
              <w:spacing w:before="40" w:after="40"/>
              <w:rPr>
                <w:rFonts w:cs="Calibri"/>
                <w:szCs w:val="16"/>
              </w:rPr>
            </w:pPr>
            <w:r w:rsidRPr="00D9348B">
              <w:rPr>
                <w:rFonts w:cs="Calibri"/>
                <w:szCs w:val="16"/>
              </w:rPr>
              <w:t>Fraction of residue actually burned</w:t>
            </w:r>
          </w:p>
        </w:tc>
        <w:tc>
          <w:tcPr>
            <w:tcW w:w="1211" w:type="dxa"/>
            <w:noWrap/>
            <w:vAlign w:val="bottom"/>
          </w:tcPr>
          <w:p w14:paraId="3754B278" w14:textId="77777777" w:rsidR="00F849A7" w:rsidRPr="00D9348B" w:rsidRDefault="00F849A7" w:rsidP="00DB330E">
            <w:pPr>
              <w:pStyle w:val="TableText"/>
              <w:spacing w:before="40" w:after="40"/>
              <w:rPr>
                <w:rFonts w:cs="Calibri"/>
                <w:szCs w:val="16"/>
              </w:rPr>
            </w:pPr>
            <w:r w:rsidRPr="00D9348B">
              <w:rPr>
                <w:rFonts w:cs="Calibri"/>
                <w:szCs w:val="16"/>
              </w:rPr>
              <w:t>0.7</w:t>
            </w:r>
          </w:p>
        </w:tc>
        <w:tc>
          <w:tcPr>
            <w:tcW w:w="1211" w:type="dxa"/>
            <w:noWrap/>
            <w:vAlign w:val="bottom"/>
          </w:tcPr>
          <w:p w14:paraId="474F6C07" w14:textId="77777777" w:rsidR="00F849A7" w:rsidRPr="00D9348B" w:rsidRDefault="00F849A7" w:rsidP="00DB330E">
            <w:pPr>
              <w:pStyle w:val="TableText"/>
              <w:spacing w:before="40" w:after="40"/>
              <w:rPr>
                <w:rFonts w:cs="Calibri"/>
                <w:szCs w:val="16"/>
              </w:rPr>
            </w:pPr>
            <w:r w:rsidRPr="00D9348B">
              <w:rPr>
                <w:rFonts w:cs="Calibri"/>
                <w:szCs w:val="16"/>
              </w:rPr>
              <w:t>0.7</w:t>
            </w:r>
          </w:p>
        </w:tc>
        <w:tc>
          <w:tcPr>
            <w:tcW w:w="1211" w:type="dxa"/>
            <w:noWrap/>
            <w:vAlign w:val="bottom"/>
          </w:tcPr>
          <w:p w14:paraId="4CF0187E" w14:textId="77777777" w:rsidR="00F849A7" w:rsidRPr="00D9348B" w:rsidRDefault="00F849A7" w:rsidP="00DB330E">
            <w:pPr>
              <w:pStyle w:val="TableText"/>
              <w:spacing w:before="40" w:after="40"/>
              <w:rPr>
                <w:rFonts w:cs="Calibri"/>
                <w:szCs w:val="16"/>
              </w:rPr>
            </w:pPr>
            <w:r w:rsidRPr="00D9348B">
              <w:rPr>
                <w:rFonts w:cs="Calibri"/>
                <w:szCs w:val="16"/>
              </w:rPr>
              <w:t>0.7</w:t>
            </w:r>
          </w:p>
        </w:tc>
      </w:tr>
      <w:tr w:rsidR="00F849A7" w:rsidRPr="00D9348B" w14:paraId="496CEF6D" w14:textId="77777777" w:rsidTr="00365854">
        <w:tc>
          <w:tcPr>
            <w:tcW w:w="4480" w:type="dxa"/>
            <w:noWrap/>
            <w:vAlign w:val="bottom"/>
          </w:tcPr>
          <w:p w14:paraId="3C914C41" w14:textId="77777777" w:rsidR="00F849A7" w:rsidRPr="00D9348B" w:rsidRDefault="00F849A7" w:rsidP="00DB330E">
            <w:pPr>
              <w:pStyle w:val="TableText"/>
              <w:spacing w:before="40" w:after="40"/>
              <w:rPr>
                <w:rFonts w:cs="Calibri"/>
                <w:szCs w:val="16"/>
              </w:rPr>
            </w:pPr>
            <w:r w:rsidRPr="00D9348B">
              <w:rPr>
                <w:rFonts w:cs="Calibri"/>
                <w:szCs w:val="16"/>
              </w:rPr>
              <w:t>Harvest index</w:t>
            </w:r>
          </w:p>
        </w:tc>
        <w:tc>
          <w:tcPr>
            <w:tcW w:w="1211" w:type="dxa"/>
            <w:noWrap/>
            <w:vAlign w:val="bottom"/>
          </w:tcPr>
          <w:p w14:paraId="2D271CC0" w14:textId="77777777" w:rsidR="00F849A7" w:rsidRPr="00D9348B" w:rsidRDefault="00F849A7" w:rsidP="00DB330E">
            <w:pPr>
              <w:pStyle w:val="TableText"/>
              <w:spacing w:before="40" w:after="40"/>
              <w:rPr>
                <w:rFonts w:cs="Calibri"/>
                <w:szCs w:val="16"/>
              </w:rPr>
            </w:pPr>
            <w:r w:rsidRPr="00D9348B">
              <w:rPr>
                <w:rFonts w:cs="Calibri"/>
                <w:szCs w:val="16"/>
              </w:rPr>
              <w:t>0.46</w:t>
            </w:r>
          </w:p>
        </w:tc>
        <w:tc>
          <w:tcPr>
            <w:tcW w:w="1211" w:type="dxa"/>
            <w:noWrap/>
            <w:vAlign w:val="bottom"/>
          </w:tcPr>
          <w:p w14:paraId="5086C1FF" w14:textId="77777777" w:rsidR="00F849A7" w:rsidRPr="00D9348B" w:rsidRDefault="00F849A7" w:rsidP="00DB330E">
            <w:pPr>
              <w:pStyle w:val="TableText"/>
              <w:spacing w:before="40" w:after="40"/>
              <w:rPr>
                <w:rFonts w:cs="Calibri"/>
                <w:szCs w:val="16"/>
              </w:rPr>
            </w:pPr>
            <w:r w:rsidRPr="00D9348B">
              <w:rPr>
                <w:rFonts w:cs="Calibri"/>
                <w:szCs w:val="16"/>
              </w:rPr>
              <w:t>0.41</w:t>
            </w:r>
          </w:p>
        </w:tc>
        <w:tc>
          <w:tcPr>
            <w:tcW w:w="1211" w:type="dxa"/>
            <w:noWrap/>
            <w:vAlign w:val="bottom"/>
          </w:tcPr>
          <w:p w14:paraId="5CCD4214" w14:textId="77777777" w:rsidR="00F849A7" w:rsidRPr="00D9348B" w:rsidRDefault="00F849A7" w:rsidP="00DB330E">
            <w:pPr>
              <w:pStyle w:val="TableText"/>
              <w:spacing w:before="40" w:after="40"/>
              <w:rPr>
                <w:rFonts w:cs="Calibri"/>
                <w:szCs w:val="16"/>
              </w:rPr>
            </w:pPr>
            <w:r w:rsidRPr="00D9348B">
              <w:rPr>
                <w:rFonts w:cs="Calibri"/>
                <w:szCs w:val="16"/>
              </w:rPr>
              <w:t>0.30</w:t>
            </w:r>
          </w:p>
        </w:tc>
      </w:tr>
      <w:tr w:rsidR="00F849A7" w:rsidRPr="00D9348B" w14:paraId="6EC26DAC" w14:textId="77777777" w:rsidTr="00365854">
        <w:trPr>
          <w:trHeight w:val="165"/>
        </w:trPr>
        <w:tc>
          <w:tcPr>
            <w:tcW w:w="4480" w:type="dxa"/>
            <w:noWrap/>
            <w:vAlign w:val="bottom"/>
          </w:tcPr>
          <w:p w14:paraId="732A1398" w14:textId="77777777" w:rsidR="00F849A7" w:rsidRPr="00D9348B" w:rsidRDefault="00F849A7" w:rsidP="00DB330E">
            <w:pPr>
              <w:pStyle w:val="TableText"/>
              <w:spacing w:before="40" w:after="40"/>
              <w:rPr>
                <w:rFonts w:cs="Calibri"/>
                <w:szCs w:val="16"/>
              </w:rPr>
            </w:pPr>
            <w:r w:rsidRPr="00D9348B">
              <w:rPr>
                <w:rFonts w:cs="Calibri"/>
                <w:szCs w:val="16"/>
              </w:rPr>
              <w:t>Dry-matter fraction</w:t>
            </w:r>
          </w:p>
        </w:tc>
        <w:tc>
          <w:tcPr>
            <w:tcW w:w="1211" w:type="dxa"/>
            <w:noWrap/>
            <w:vAlign w:val="bottom"/>
          </w:tcPr>
          <w:p w14:paraId="303E96BF" w14:textId="77777777" w:rsidR="00F849A7" w:rsidRPr="00D9348B" w:rsidRDefault="00F849A7" w:rsidP="00DB330E">
            <w:pPr>
              <w:pStyle w:val="TableText"/>
              <w:spacing w:before="40" w:after="40"/>
              <w:rPr>
                <w:rFonts w:cs="Calibri"/>
                <w:szCs w:val="16"/>
              </w:rPr>
            </w:pPr>
            <w:r w:rsidRPr="00D9348B">
              <w:rPr>
                <w:rFonts w:cs="Calibri"/>
                <w:szCs w:val="16"/>
              </w:rPr>
              <w:t>0.86</w:t>
            </w:r>
          </w:p>
        </w:tc>
        <w:tc>
          <w:tcPr>
            <w:tcW w:w="1211" w:type="dxa"/>
            <w:noWrap/>
            <w:vAlign w:val="bottom"/>
          </w:tcPr>
          <w:p w14:paraId="6C29DFD9" w14:textId="77777777" w:rsidR="00F849A7" w:rsidRPr="00D9348B" w:rsidRDefault="00F849A7" w:rsidP="00DB330E">
            <w:pPr>
              <w:pStyle w:val="TableText"/>
              <w:spacing w:before="40" w:after="40"/>
              <w:rPr>
                <w:rFonts w:cs="Calibri"/>
                <w:szCs w:val="16"/>
              </w:rPr>
            </w:pPr>
            <w:r w:rsidRPr="00D9348B">
              <w:rPr>
                <w:rFonts w:cs="Calibri"/>
                <w:szCs w:val="16"/>
              </w:rPr>
              <w:t>0.86</w:t>
            </w:r>
          </w:p>
        </w:tc>
        <w:tc>
          <w:tcPr>
            <w:tcW w:w="1211" w:type="dxa"/>
            <w:noWrap/>
            <w:vAlign w:val="bottom"/>
          </w:tcPr>
          <w:p w14:paraId="1D7D6618" w14:textId="77777777" w:rsidR="00F849A7" w:rsidRPr="00D9348B" w:rsidRDefault="00F849A7" w:rsidP="00DB330E">
            <w:pPr>
              <w:pStyle w:val="TableText"/>
              <w:spacing w:before="40" w:after="40"/>
              <w:rPr>
                <w:rFonts w:cs="Calibri"/>
                <w:szCs w:val="16"/>
              </w:rPr>
            </w:pPr>
            <w:r w:rsidRPr="00D9348B">
              <w:rPr>
                <w:rFonts w:cs="Calibri"/>
                <w:szCs w:val="16"/>
              </w:rPr>
              <w:t>0.86</w:t>
            </w:r>
          </w:p>
        </w:tc>
      </w:tr>
      <w:tr w:rsidR="00F849A7" w:rsidRPr="00D9348B" w14:paraId="2FF6C160" w14:textId="77777777" w:rsidTr="00365854">
        <w:tc>
          <w:tcPr>
            <w:tcW w:w="4480" w:type="dxa"/>
            <w:noWrap/>
            <w:vAlign w:val="bottom"/>
          </w:tcPr>
          <w:p w14:paraId="33F66036" w14:textId="77777777" w:rsidR="00F849A7" w:rsidRPr="00D9348B" w:rsidRDefault="00F849A7" w:rsidP="00DB330E">
            <w:pPr>
              <w:pStyle w:val="TableText"/>
              <w:spacing w:before="40" w:after="40"/>
              <w:rPr>
                <w:rFonts w:cs="Calibri"/>
                <w:szCs w:val="16"/>
              </w:rPr>
            </w:pPr>
            <w:r w:rsidRPr="00D9348B">
              <w:rPr>
                <w:rFonts w:cs="Calibri"/>
                <w:szCs w:val="16"/>
              </w:rPr>
              <w:t>Fraction of nitrogen in biomass</w:t>
            </w:r>
          </w:p>
        </w:tc>
        <w:tc>
          <w:tcPr>
            <w:tcW w:w="1211" w:type="dxa"/>
            <w:noWrap/>
            <w:vAlign w:val="bottom"/>
          </w:tcPr>
          <w:p w14:paraId="0DD5D3DB" w14:textId="77777777" w:rsidR="00F849A7" w:rsidRPr="00D9348B" w:rsidRDefault="00F849A7" w:rsidP="00DB330E">
            <w:pPr>
              <w:pStyle w:val="TableText"/>
              <w:spacing w:before="40" w:after="40"/>
              <w:rPr>
                <w:rFonts w:cs="Calibri"/>
                <w:szCs w:val="16"/>
              </w:rPr>
            </w:pPr>
            <w:r w:rsidRPr="00D9348B">
              <w:rPr>
                <w:rFonts w:cs="Calibri"/>
                <w:szCs w:val="16"/>
              </w:rPr>
              <w:t>0.005</w:t>
            </w:r>
          </w:p>
        </w:tc>
        <w:tc>
          <w:tcPr>
            <w:tcW w:w="1211" w:type="dxa"/>
            <w:noWrap/>
            <w:vAlign w:val="bottom"/>
          </w:tcPr>
          <w:p w14:paraId="5F2D4309" w14:textId="77777777" w:rsidR="00F849A7" w:rsidRPr="00D9348B" w:rsidRDefault="00F849A7" w:rsidP="00DB330E">
            <w:pPr>
              <w:pStyle w:val="TableText"/>
              <w:spacing w:before="40" w:after="40"/>
              <w:rPr>
                <w:rFonts w:cs="Calibri"/>
                <w:szCs w:val="16"/>
              </w:rPr>
            </w:pPr>
            <w:r w:rsidRPr="00D9348B">
              <w:rPr>
                <w:rFonts w:cs="Calibri"/>
                <w:szCs w:val="16"/>
              </w:rPr>
              <w:t>0.005</w:t>
            </w:r>
          </w:p>
        </w:tc>
        <w:tc>
          <w:tcPr>
            <w:tcW w:w="1211" w:type="dxa"/>
            <w:noWrap/>
            <w:vAlign w:val="bottom"/>
          </w:tcPr>
          <w:p w14:paraId="66719F3C" w14:textId="77777777" w:rsidR="00F849A7" w:rsidRPr="00D9348B" w:rsidRDefault="00F849A7" w:rsidP="00DB330E">
            <w:pPr>
              <w:pStyle w:val="TableText"/>
              <w:spacing w:before="40" w:after="40"/>
              <w:rPr>
                <w:rFonts w:cs="Calibri"/>
                <w:szCs w:val="16"/>
              </w:rPr>
            </w:pPr>
            <w:r w:rsidRPr="00D9348B">
              <w:rPr>
                <w:rFonts w:cs="Calibri"/>
                <w:szCs w:val="16"/>
              </w:rPr>
              <w:t>0.005</w:t>
            </w:r>
          </w:p>
        </w:tc>
      </w:tr>
      <w:tr w:rsidR="00F849A7" w:rsidRPr="00D9348B" w14:paraId="1287F08A" w14:textId="77777777" w:rsidTr="00365854">
        <w:tc>
          <w:tcPr>
            <w:tcW w:w="4480" w:type="dxa"/>
            <w:noWrap/>
            <w:vAlign w:val="bottom"/>
          </w:tcPr>
          <w:p w14:paraId="28654E07" w14:textId="77777777" w:rsidR="00F849A7" w:rsidRPr="00D9348B" w:rsidRDefault="00F849A7" w:rsidP="00DB330E">
            <w:pPr>
              <w:pStyle w:val="TableText"/>
              <w:spacing w:before="40" w:after="40"/>
              <w:rPr>
                <w:rFonts w:cs="Calibri"/>
                <w:szCs w:val="16"/>
              </w:rPr>
            </w:pPr>
            <w:r w:rsidRPr="00D9348B">
              <w:rPr>
                <w:rFonts w:cs="Calibri"/>
                <w:szCs w:val="16"/>
              </w:rPr>
              <w:t>Fraction of carbon in biomass</w:t>
            </w:r>
          </w:p>
        </w:tc>
        <w:tc>
          <w:tcPr>
            <w:tcW w:w="1211" w:type="dxa"/>
            <w:noWrap/>
            <w:vAlign w:val="bottom"/>
          </w:tcPr>
          <w:p w14:paraId="516F2754" w14:textId="77777777" w:rsidR="00F849A7" w:rsidRPr="00D9348B" w:rsidRDefault="00F849A7" w:rsidP="00DB330E">
            <w:pPr>
              <w:pStyle w:val="TableText"/>
              <w:spacing w:before="40" w:after="40"/>
              <w:rPr>
                <w:rFonts w:cs="Calibri"/>
                <w:szCs w:val="16"/>
              </w:rPr>
            </w:pPr>
            <w:r w:rsidRPr="00D9348B">
              <w:rPr>
                <w:rFonts w:cs="Calibri"/>
                <w:szCs w:val="16"/>
              </w:rPr>
              <w:t>0.4567</w:t>
            </w:r>
          </w:p>
        </w:tc>
        <w:tc>
          <w:tcPr>
            <w:tcW w:w="1211" w:type="dxa"/>
            <w:noWrap/>
            <w:vAlign w:val="bottom"/>
          </w:tcPr>
          <w:p w14:paraId="3044919E" w14:textId="77777777" w:rsidR="00F849A7" w:rsidRPr="00D9348B" w:rsidRDefault="00F849A7" w:rsidP="00DB330E">
            <w:pPr>
              <w:pStyle w:val="TableText"/>
              <w:spacing w:before="40" w:after="40"/>
              <w:rPr>
                <w:rFonts w:cs="Calibri"/>
                <w:szCs w:val="16"/>
              </w:rPr>
            </w:pPr>
            <w:r w:rsidRPr="00D9348B">
              <w:rPr>
                <w:rFonts w:cs="Calibri"/>
                <w:szCs w:val="16"/>
              </w:rPr>
              <w:t>0.4853</w:t>
            </w:r>
          </w:p>
        </w:tc>
        <w:tc>
          <w:tcPr>
            <w:tcW w:w="1211" w:type="dxa"/>
            <w:noWrap/>
            <w:vAlign w:val="bottom"/>
          </w:tcPr>
          <w:p w14:paraId="5193148B" w14:textId="77777777" w:rsidR="00F849A7" w:rsidRPr="00D9348B" w:rsidRDefault="00F849A7" w:rsidP="00DB330E">
            <w:pPr>
              <w:pStyle w:val="TableText"/>
              <w:spacing w:before="40" w:after="40"/>
              <w:rPr>
                <w:rFonts w:cs="Calibri"/>
                <w:szCs w:val="16"/>
              </w:rPr>
            </w:pPr>
            <w:r w:rsidRPr="00D9348B">
              <w:rPr>
                <w:rFonts w:cs="Calibri"/>
                <w:szCs w:val="16"/>
              </w:rPr>
              <w:t>0.4567</w:t>
            </w:r>
          </w:p>
        </w:tc>
      </w:tr>
    </w:tbl>
    <w:p w14:paraId="0423A206" w14:textId="77777777" w:rsidR="00F849A7" w:rsidRPr="00D9348B" w:rsidRDefault="00F849A7" w:rsidP="00F849A7">
      <w:pPr>
        <w:pStyle w:val="Source"/>
        <w:spacing w:after="120"/>
        <w:rPr>
          <w:rFonts w:cs="Calibri"/>
        </w:rPr>
      </w:pPr>
      <w:r w:rsidRPr="00D9348B">
        <w:rPr>
          <w:rFonts w:cs="Calibri"/>
          <w:b/>
        </w:rPr>
        <w:t>Source:</w:t>
      </w:r>
      <w:r w:rsidRPr="00D9348B">
        <w:rPr>
          <w:rFonts w:cs="Calibri"/>
          <w:b/>
        </w:rPr>
        <w:tab/>
      </w:r>
      <w:r w:rsidRPr="00D9348B">
        <w:rPr>
          <w:rFonts w:cs="Calibri"/>
        </w:rPr>
        <w:t xml:space="preserve"> Thomas et al. (2011)</w:t>
      </w:r>
    </w:p>
    <w:p w14:paraId="660B6305" w14:textId="5767CD9B" w:rsidR="00F849A7" w:rsidRPr="00D9348B" w:rsidRDefault="00F849A7" w:rsidP="00F849A7">
      <w:pPr>
        <w:pStyle w:val="BodyText"/>
        <w:rPr>
          <w:rFonts w:cs="Calibri"/>
        </w:rPr>
      </w:pPr>
      <w:r w:rsidRPr="00D9348B">
        <w:rPr>
          <w:rFonts w:cs="Calibri"/>
        </w:rPr>
        <w:lastRenderedPageBreak/>
        <w:t>From 2005 to 2018, calculation of the amount of biomass residue burned was based on information about the area of crop residue burning from the Statistics New Zealand Agricultural Production Census and Surveys. These are the first New Zealand-wide data for</w:t>
      </w:r>
      <w:r w:rsidR="00365854" w:rsidRPr="00D9348B">
        <w:rPr>
          <w:rFonts w:cs="Calibri"/>
        </w:rPr>
        <w:t> </w:t>
      </w:r>
      <w:r w:rsidRPr="00D9348B">
        <w:rPr>
          <w:rFonts w:cs="Calibri"/>
        </w:rPr>
        <w:t>the area of crop residues burned.</w:t>
      </w:r>
    </w:p>
    <w:p w14:paraId="5DE2A269" w14:textId="77777777" w:rsidR="00F849A7" w:rsidRPr="00D9348B" w:rsidRDefault="00F849A7" w:rsidP="00F849A7">
      <w:pPr>
        <w:pStyle w:val="BodyText"/>
        <w:keepNext/>
        <w:rPr>
          <w:rFonts w:cs="Calibri"/>
        </w:rPr>
      </w:pPr>
      <w:r w:rsidRPr="00D9348B">
        <w:rPr>
          <w:rFonts w:cs="Calibri"/>
        </w:rPr>
        <w:t>Biomass burned after 2004, AG</w:t>
      </w:r>
      <w:r w:rsidRPr="00D9348B">
        <w:rPr>
          <w:rFonts w:cs="Calibri"/>
          <w:vertAlign w:val="subscript"/>
        </w:rPr>
        <w:t xml:space="preserve">BURN </w:t>
      </w:r>
      <w:r w:rsidRPr="00D9348B">
        <w:rPr>
          <w:rFonts w:cs="Calibri"/>
        </w:rPr>
        <w:t>(as previously defined), is:</w:t>
      </w:r>
    </w:p>
    <w:p w14:paraId="5A7D900D" w14:textId="77777777" w:rsidR="00F849A7" w:rsidRPr="00D9348B" w:rsidRDefault="00F849A7" w:rsidP="00F849A7">
      <w:pPr>
        <w:pStyle w:val="BodyText"/>
        <w:spacing w:before="60" w:after="60"/>
        <w:jc w:val="center"/>
        <w:rPr>
          <w:rFonts w:cs="Calibri"/>
        </w:rPr>
      </w:pPr>
      <w:r w:rsidRPr="00D9348B">
        <w:rPr>
          <w:rFonts w:cs="Calibri"/>
        </w:rPr>
        <w:object w:dxaOrig="5651" w:dyaOrig="263" w14:anchorId="1DE4F542">
          <v:shape id="_x0000_i1114" type="#_x0000_t75" style="width:280.5pt;height:15.05pt" o:ole="">
            <v:imagedata r:id="rId182" o:title=""/>
          </v:shape>
          <o:OLEObject Type="Embed" ProgID="Word.Document.12" ShapeID="_x0000_i1114" DrawAspect="Content" ObjectID="_1647932346" r:id="rId183">
            <o:FieldCodes>\s</o:FieldCodes>
          </o:OLEObject>
        </w:object>
      </w:r>
    </w:p>
    <w:p w14:paraId="1E0C30DF" w14:textId="77777777" w:rsidR="00F849A7" w:rsidRPr="00D9348B" w:rsidRDefault="00F849A7" w:rsidP="00F849A7">
      <w:pPr>
        <w:spacing w:before="120"/>
        <w:ind w:left="964" w:hanging="964"/>
        <w:rPr>
          <w:rFonts w:cs="Calibri"/>
        </w:rPr>
      </w:pPr>
      <w:r w:rsidRPr="00D9348B">
        <w:rPr>
          <w:rFonts w:cs="Calibri"/>
        </w:rPr>
        <w:t>Where:</w:t>
      </w:r>
      <w:r w:rsidRPr="00D9348B">
        <w:rPr>
          <w:rFonts w:cs="Calibri"/>
        </w:rPr>
        <w:tab/>
        <w:t>AG</w:t>
      </w:r>
      <w:r w:rsidRPr="00D9348B">
        <w:rPr>
          <w:rFonts w:cs="Calibri"/>
          <w:vertAlign w:val="subscript"/>
        </w:rPr>
        <w:t>DM</w:t>
      </w:r>
      <w:r w:rsidRPr="00D9348B">
        <w:rPr>
          <w:rFonts w:cs="Calibri"/>
        </w:rPr>
        <w:t xml:space="preserve"> is the amount of above-ground residue (tonnes)</w:t>
      </w:r>
    </w:p>
    <w:p w14:paraId="54BB8EF0" w14:textId="77777777" w:rsidR="00F849A7" w:rsidRPr="00D9348B" w:rsidRDefault="00F849A7" w:rsidP="00F849A7">
      <w:pPr>
        <w:spacing w:before="120"/>
        <w:ind w:left="964"/>
        <w:rPr>
          <w:rFonts w:cs="Calibri"/>
        </w:rPr>
      </w:pPr>
      <w:r w:rsidRPr="00D9348B">
        <w:rPr>
          <w:rFonts w:cs="Calibri"/>
        </w:rPr>
        <w:t>Frac</w:t>
      </w:r>
      <w:r w:rsidRPr="00D9348B">
        <w:rPr>
          <w:rFonts w:cs="Calibri"/>
          <w:vertAlign w:val="subscript"/>
        </w:rPr>
        <w:t>RESIDUE</w:t>
      </w:r>
      <w:r w:rsidRPr="00D9348B">
        <w:rPr>
          <w:rFonts w:cs="Calibri"/>
        </w:rPr>
        <w:t xml:space="preserve"> is the proportion of residue remaining after harvest (see table 5.7.2), and</w:t>
      </w:r>
    </w:p>
    <w:p w14:paraId="3A67624F" w14:textId="77777777" w:rsidR="00F849A7" w:rsidRPr="00D9348B" w:rsidRDefault="00F849A7" w:rsidP="00F849A7">
      <w:pPr>
        <w:spacing w:before="120" w:after="120"/>
        <w:ind w:left="964" w:hanging="964"/>
        <w:rPr>
          <w:rFonts w:cs="Calibri"/>
        </w:rPr>
      </w:pPr>
      <w:r w:rsidRPr="00D9348B">
        <w:rPr>
          <w:rFonts w:cs="Calibri"/>
        </w:rPr>
        <w:tab/>
        <w:t>Frac</w:t>
      </w:r>
      <w:r w:rsidRPr="00D9348B">
        <w:rPr>
          <w:rFonts w:cs="Calibri"/>
          <w:vertAlign w:val="subscript"/>
        </w:rPr>
        <w:t>BURN</w:t>
      </w:r>
      <w:r w:rsidRPr="00D9348B">
        <w:rPr>
          <w:rFonts w:cs="Calibri"/>
        </w:rPr>
        <w:t xml:space="preserve"> is the proportion of remaining residue burned.</w:t>
      </w:r>
    </w:p>
    <w:p w14:paraId="2B33315D" w14:textId="77777777" w:rsidR="00F849A7" w:rsidRPr="00D9348B" w:rsidRDefault="00F849A7" w:rsidP="00F849A7">
      <w:pPr>
        <w:spacing w:before="120" w:after="120"/>
        <w:ind w:left="964" w:hanging="964"/>
        <w:rPr>
          <w:rFonts w:cs="Calibri"/>
        </w:rPr>
      </w:pPr>
      <w:r w:rsidRPr="00D9348B">
        <w:rPr>
          <w:rFonts w:cs="Calibri"/>
        </w:rPr>
        <w:t>The above-ground residue, AG</w:t>
      </w:r>
      <w:r w:rsidRPr="00D9348B">
        <w:rPr>
          <w:rFonts w:cs="Calibri"/>
          <w:vertAlign w:val="subscript"/>
        </w:rPr>
        <w:t xml:space="preserve">DM </w:t>
      </w:r>
      <w:r w:rsidRPr="00D9348B">
        <w:rPr>
          <w:rFonts w:cs="Calibri"/>
        </w:rPr>
        <w:t>(tonnes), is:</w:t>
      </w:r>
    </w:p>
    <w:p w14:paraId="65F98D42" w14:textId="77777777" w:rsidR="00F849A7" w:rsidRPr="00D9348B" w:rsidRDefault="00F849A7" w:rsidP="00F849A7">
      <w:pPr>
        <w:spacing w:before="60" w:after="60"/>
        <w:ind w:left="964" w:hanging="964"/>
        <w:rPr>
          <w:rFonts w:cs="Calibri"/>
        </w:rPr>
      </w:pPr>
      <w:r w:rsidRPr="00D9348B">
        <w:rPr>
          <w:rFonts w:cs="Calibri"/>
        </w:rPr>
        <w:object w:dxaOrig="7916" w:dyaOrig="499" w14:anchorId="73A19993">
          <v:shape id="_x0000_i1115" type="#_x0000_t75" style="width:396.3pt;height:21.9pt" o:ole="">
            <v:imagedata r:id="rId178" o:title=""/>
          </v:shape>
          <o:OLEObject Type="Embed" ProgID="Word.Document.12" ShapeID="_x0000_i1115" DrawAspect="Content" ObjectID="_1647932347" r:id="rId184">
            <o:FieldCodes>\s</o:FieldCodes>
          </o:OLEObject>
        </w:object>
      </w:r>
    </w:p>
    <w:p w14:paraId="31ACF9F7" w14:textId="77777777" w:rsidR="00F849A7" w:rsidRPr="00D9348B" w:rsidRDefault="00F849A7" w:rsidP="00F849A7">
      <w:pPr>
        <w:tabs>
          <w:tab w:val="left" w:pos="1134"/>
        </w:tabs>
        <w:spacing w:before="120"/>
        <w:ind w:left="964" w:hanging="964"/>
        <w:rPr>
          <w:rFonts w:cs="Calibri"/>
        </w:rPr>
      </w:pPr>
      <w:r w:rsidRPr="00D9348B">
        <w:rPr>
          <w:rFonts w:cs="Calibri"/>
        </w:rPr>
        <w:t>Where:</w:t>
      </w:r>
      <w:r w:rsidRPr="00D9348B">
        <w:rPr>
          <w:rFonts w:cs="Calibri"/>
        </w:rPr>
        <w:tab/>
        <w:t>HI is the harvest index (crop specific, table 5.7.2); that is, the mass harvested over the total mass of above-ground biomass, and</w:t>
      </w:r>
    </w:p>
    <w:p w14:paraId="53FE3C2A" w14:textId="77777777" w:rsidR="00F849A7" w:rsidRPr="00D9348B" w:rsidRDefault="00F849A7" w:rsidP="00F849A7">
      <w:pPr>
        <w:tabs>
          <w:tab w:val="left" w:pos="1134"/>
        </w:tabs>
        <w:spacing w:before="120" w:after="120"/>
        <w:ind w:left="964" w:hanging="964"/>
        <w:rPr>
          <w:rFonts w:cs="Calibri"/>
        </w:rPr>
      </w:pPr>
      <w:r w:rsidRPr="00D9348B">
        <w:rPr>
          <w:rFonts w:cs="Calibri"/>
        </w:rPr>
        <w:tab/>
        <w:t>Prod</w:t>
      </w:r>
      <w:r w:rsidRPr="00D9348B">
        <w:rPr>
          <w:rFonts w:cs="Calibri"/>
          <w:vertAlign w:val="subscript"/>
        </w:rPr>
        <w:t>DM</w:t>
      </w:r>
      <w:r w:rsidRPr="00D9348B">
        <w:rPr>
          <w:rFonts w:cs="Calibri"/>
        </w:rPr>
        <w:t xml:space="preserve"> (measured in tonnes) is the dry-matter production of the area burned and is determined as follows:</w:t>
      </w:r>
    </w:p>
    <w:bookmarkStart w:id="1069" w:name="_MON_1548661704"/>
    <w:bookmarkEnd w:id="1069"/>
    <w:p w14:paraId="5B570361" w14:textId="77777777" w:rsidR="00F849A7" w:rsidRPr="00D9348B" w:rsidRDefault="00F849A7" w:rsidP="00F849A7">
      <w:pPr>
        <w:pStyle w:val="BodyText"/>
        <w:spacing w:after="0"/>
        <w:rPr>
          <w:rFonts w:cs="Calibri"/>
        </w:rPr>
      </w:pPr>
      <w:r w:rsidRPr="00D9348B">
        <w:rPr>
          <w:rFonts w:cs="Calibri"/>
        </w:rPr>
        <w:object w:dxaOrig="7421" w:dyaOrig="322" w14:anchorId="198D89E0">
          <v:shape id="_x0000_i1116" type="#_x0000_t75" style="width:374.4pt;height:15.05pt" o:ole="">
            <v:imagedata r:id="rId185" o:title=""/>
          </v:shape>
          <o:OLEObject Type="Embed" ProgID="Word.Document.12" ShapeID="_x0000_i1116" DrawAspect="Content" ObjectID="_1647932348" r:id="rId186">
            <o:FieldCodes>\s</o:FieldCodes>
          </o:OLEObject>
        </w:object>
      </w:r>
    </w:p>
    <w:p w14:paraId="34297E33" w14:textId="77777777" w:rsidR="00F849A7" w:rsidRPr="00D9348B" w:rsidRDefault="00F849A7" w:rsidP="00F849A7">
      <w:pPr>
        <w:spacing w:before="120"/>
        <w:ind w:left="964" w:hanging="964"/>
        <w:rPr>
          <w:rFonts w:cs="Calibri"/>
        </w:rPr>
      </w:pPr>
      <w:r w:rsidRPr="00D9348B">
        <w:rPr>
          <w:rFonts w:cs="Calibri"/>
        </w:rPr>
        <w:t>Where:</w:t>
      </w:r>
      <w:r w:rsidRPr="00D9348B">
        <w:rPr>
          <w:rFonts w:cs="Calibri"/>
        </w:rPr>
        <w:tab/>
        <w:t>Area</w:t>
      </w:r>
      <w:r w:rsidRPr="00D9348B">
        <w:rPr>
          <w:rFonts w:cs="Calibri"/>
          <w:vertAlign w:val="subscript"/>
        </w:rPr>
        <w:t>BURN</w:t>
      </w:r>
      <w:r w:rsidRPr="00D9348B">
        <w:rPr>
          <w:rFonts w:cs="Calibri"/>
        </w:rPr>
        <w:t xml:space="preserve"> is the annual area burned (hectare)</w:t>
      </w:r>
    </w:p>
    <w:p w14:paraId="36DB3BD3" w14:textId="77777777" w:rsidR="00F849A7" w:rsidRPr="00D9348B" w:rsidRDefault="00F849A7" w:rsidP="00F849A7">
      <w:pPr>
        <w:spacing w:before="120"/>
        <w:ind w:left="964" w:hanging="964"/>
        <w:rPr>
          <w:rFonts w:cs="Calibri"/>
        </w:rPr>
      </w:pPr>
      <w:r w:rsidRPr="00D9348B">
        <w:rPr>
          <w:rFonts w:cs="Calibri"/>
        </w:rPr>
        <w:tab/>
        <w:t xml:space="preserve">Y is the average crop yield (tonnes per hectare), and </w:t>
      </w:r>
    </w:p>
    <w:p w14:paraId="1392EA91" w14:textId="77777777" w:rsidR="00F849A7" w:rsidRPr="00D9348B" w:rsidRDefault="00F849A7" w:rsidP="00F849A7">
      <w:pPr>
        <w:spacing w:before="120" w:after="120"/>
        <w:ind w:left="964" w:hanging="964"/>
        <w:rPr>
          <w:rFonts w:cs="Calibri"/>
        </w:rPr>
      </w:pPr>
      <w:r w:rsidRPr="00D9348B">
        <w:rPr>
          <w:rFonts w:cs="Calibri"/>
        </w:rPr>
        <w:tab/>
        <w:t>Frac</w:t>
      </w:r>
      <w:r w:rsidRPr="00D9348B">
        <w:rPr>
          <w:rFonts w:cs="Calibri"/>
          <w:vertAlign w:val="subscript"/>
        </w:rPr>
        <w:t>DM</w:t>
      </w:r>
      <w:r w:rsidRPr="00D9348B">
        <w:rPr>
          <w:rFonts w:cs="Calibri"/>
        </w:rPr>
        <w:t xml:space="preserve"> is the fraction of crop that is dry matter (crop specific, table 5.7.2).</w:t>
      </w:r>
    </w:p>
    <w:p w14:paraId="063D7926" w14:textId="77777777" w:rsidR="00F849A7" w:rsidRPr="00D9348B" w:rsidRDefault="00F849A7" w:rsidP="00F849A7">
      <w:pPr>
        <w:pStyle w:val="BodyText"/>
        <w:rPr>
          <w:rFonts w:cs="Calibri"/>
        </w:rPr>
      </w:pPr>
      <w:r w:rsidRPr="00D9348B">
        <w:rPr>
          <w:rFonts w:cs="Calibri"/>
        </w:rPr>
        <w:t>The country-specific parameters for the proportion of residue actually burned, harvest indices, dry-matter fractions, the fraction oxidised and the carbon and nitrogen fractions of the residue (see table 5.7.2) are derived from the OVERSEER</w:t>
      </w:r>
      <w:r w:rsidRPr="00D9348B">
        <w:rPr>
          <w:rFonts w:cs="Calibri"/>
          <w:vertAlign w:val="superscript"/>
        </w:rPr>
        <w:t>®</w:t>
      </w:r>
      <w:r w:rsidRPr="00D9348B">
        <w:rPr>
          <w:rFonts w:cs="Calibri"/>
        </w:rPr>
        <w:t xml:space="preserve"> nutrient budget model for New Zealand (Wheeler et al., 2003) and are the same as those used for estimates of emissions from crop residues (see section 5.5.2). Further detail is provided in Thomas et al. (2011).</w:t>
      </w:r>
    </w:p>
    <w:p w14:paraId="7F5D4A51" w14:textId="77777777" w:rsidR="00F849A7" w:rsidRPr="00D9348B" w:rsidRDefault="00F849A7" w:rsidP="00F849A7">
      <w:pPr>
        <w:pStyle w:val="BodyText"/>
        <w:rPr>
          <w:rFonts w:cs="Calibri"/>
        </w:rPr>
      </w:pPr>
      <w:r w:rsidRPr="00D9348B">
        <w:rPr>
          <w:rFonts w:cs="Calibri"/>
        </w:rPr>
        <w:t xml:space="preserve">The recommended proportion of crop area burned for 1990 to 2004 was determined by a farmer survey and assumed to be 70 per cent of wheat, 50 per cent of barley and 50 per cent of oat crops (Thomas et al., 2011). These values are in alignment with Statistics New Zealand data for 2005–07 (2005 being the first year Statistics New Zealand gathered these data) and are, therefore, applied to the years 1990–2004. From 2005, data on the total area of crop residues burned in New Zealand were collected but, while the data show total residue burned at a regional and national level, they do not differentiate between cereal crop types. </w:t>
      </w:r>
    </w:p>
    <w:p w14:paraId="38F90960" w14:textId="77777777" w:rsidR="00F849A7" w:rsidRPr="00D9348B" w:rsidRDefault="00F849A7" w:rsidP="00F849A7">
      <w:pPr>
        <w:pStyle w:val="BodyText"/>
        <w:spacing w:after="0"/>
        <w:rPr>
          <w:rFonts w:cs="Calibri"/>
        </w:rPr>
      </w:pPr>
      <w:r w:rsidRPr="00D9348B">
        <w:rPr>
          <w:rFonts w:cs="Calibri"/>
        </w:rPr>
        <w:t xml:space="preserve">For 2005 onwards, the same proportions of crop area burned for wheat (70 per cent), barley (50 per cent) and oats (50 per cent) were used. However, these areas were then multiplied by a constant factor </w:t>
      </w:r>
      <w:r w:rsidRPr="00D9348B">
        <w:rPr>
          <w:rFonts w:cs="Calibri"/>
          <w:i/>
        </w:rPr>
        <w:t>K</w:t>
      </w:r>
      <w:r w:rsidRPr="00D9348B">
        <w:rPr>
          <w:rFonts w:cs="Calibri"/>
        </w:rPr>
        <w:t xml:space="preserve"> such that the total area burned is consistent with the Agricultural Production Survey. This captures year-to-year variability, such as reduced burning during very dry years.</w:t>
      </w:r>
    </w:p>
    <w:p w14:paraId="44E97CC5" w14:textId="5ECFF5CB" w:rsidR="00F849A7" w:rsidRPr="00D9348B" w:rsidRDefault="007165CF" w:rsidP="00F849A7">
      <w:pPr>
        <w:pStyle w:val="BodyText"/>
        <w:jc w:val="center"/>
        <w:rPr>
          <w:rFonts w:cs="Calibri"/>
        </w:rPr>
      </w:pPr>
      <w:r>
        <w:pict w14:anchorId="2468AD60">
          <v:shape id="_x0000_i1117" type="#_x0000_t75" style="width:371.9pt;height:34.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activeWritingStyle w:lang=&quot;EN-NZ&quot; w:vendorID=&quot;64&quot; w:dllVersion=&quot;6&quot; w:nlCheck=&quot;on&quot; w:optionSet=&quot;1&quot;/&gt;&lt;w:stylePaneFormatFilter w:val=&quot;5804&quot;/&gt;&lt;w:revisionView w:markup=&quot;off&quot;/&gt;&lt;w:defaultTabStop w:val=&quot;397&quot;/&gt;&lt;w:evenAndOddHeaders/&gt;&lt;w:drawingGridHorizontalSpacing w:val=&quot;187&quot;/&gt;&lt;w:displayVerticalDrawingGridEvery w:val=&quot;2&quot;/&gt;&lt;w:characterSpacingControl w:val=&quot;DontCompress&quot;/&gt;&lt;w:optimizeForBrowser/&gt;&lt;w:validateAgainstSchema/&gt;&lt;w:saveInvalidXML w:val=&quot;off&quot;/&gt;&lt;w:ignoreMixedContent w:val=&quot;off&quot;/&gt;&lt;w:alwaysShowPlaceholderText w:val=&quot;off&quot;/&gt;&lt;w:compat&gt;&lt;w:suppressBottomSpacing/&gt;&lt;w:suppressTopSpacing/&gt;&lt;w:doNotUseHTMLParagraphAutoSpacing/&gt;&lt;w:breakWrappedTables/&gt;&lt;w:snapToGridInCell/&gt;&lt;w:wrapTextWithPunct/&gt;&lt;w:useAsianBreakRules/&gt;&lt;w:useWord2002TableStyleRules/&gt;&lt;/w:compat&gt;&lt;wsp:rsids&gt;&lt;wsp:rsidRoot wsp:val=&quot;007A30E8&quot;/&gt;&lt;wsp:rsid wsp:val=&quot;00001716&quot;/&gt;&lt;wsp:rsid wsp:val=&quot;00007ABB&quot;/&gt;&lt;wsp:rsid wsp:val=&quot;00021ACF&quot;/&gt;&lt;wsp:rsid wsp:val=&quot;00027E55&quot;/&gt;&lt;wsp:rsid wsp:val=&quot;00032A28&quot;/&gt;&lt;wsp:rsid wsp:val=&quot;00035185&quot;/&gt;&lt;wsp:rsid wsp:val=&quot;00050008&quot;/&gt;&lt;wsp:rsid wsp:val=&quot;000576EC&quot;/&gt;&lt;wsp:rsid wsp:val=&quot;00082902&quot;/&gt;&lt;wsp:rsid wsp:val=&quot;000959CB&quot;/&gt;&lt;wsp:rsid wsp:val=&quot;000C20A6&quot;/&gt;&lt;wsp:rsid wsp:val=&quot;000F4DEF&quot;/&gt;&lt;wsp:rsid wsp:val=&quot;00103A70&quot;/&gt;&lt;wsp:rsid wsp:val=&quot;00116E1B&quot;/&gt;&lt;wsp:rsid wsp:val=&quot;001221C3&quot;/&gt;&lt;wsp:rsid wsp:val=&quot;00153F5A&quot;/&gt;&lt;wsp:rsid wsp:val=&quot;00180C1C&quot;/&gt;&lt;wsp:rsid wsp:val=&quot;001970E1&quot;/&gt;&lt;wsp:rsid wsp:val=&quot;001A1997&quot;/&gt;&lt;wsp:rsid wsp:val=&quot;001B6FD2&quot;/&gt;&lt;wsp:rsid wsp:val=&quot;001D4675&quot;/&gt;&lt;wsp:rsid wsp:val=&quot;001E584F&quot;/&gt;&lt;wsp:rsid wsp:val=&quot;00207ABF&quot;/&gt;&lt;wsp:rsid wsp:val=&quot;002253F5&quot;/&gt;&lt;wsp:rsid wsp:val=&quot;00240B42&quot;/&gt;&lt;wsp:rsid wsp:val=&quot;00260B48&quot;/&gt;&lt;wsp:rsid wsp:val=&quot;00276A11&quot;/&gt;&lt;wsp:rsid wsp:val=&quot;0028581A&quot;/&gt;&lt;wsp:rsid wsp:val=&quot;002868D3&quot;/&gt;&lt;wsp:rsid wsp:val=&quot;00295B2A&quot;/&gt;&lt;wsp:rsid wsp:val=&quot;002A1361&quot;/&gt;&lt;wsp:rsid wsp:val=&quot;002A49D7&quot;/&gt;&lt;wsp:rsid wsp:val=&quot;002B1C5A&quot;/&gt;&lt;wsp:rsid wsp:val=&quot;002B3284&quot;/&gt;&lt;wsp:rsid wsp:val=&quot;002B3633&quot;/&gt;&lt;wsp:rsid wsp:val=&quot;002D60DB&quot;/&gt;&lt;wsp:rsid wsp:val=&quot;002D6A54&quot;/&gt;&lt;wsp:rsid wsp:val=&quot;002F134A&quot;/&gt;&lt;wsp:rsid wsp:val=&quot;00302D84&quot;/&gt;&lt;wsp:rsid wsp:val=&quot;00315760&quot;/&gt;&lt;wsp:rsid wsp:val=&quot;0032349D&quot;/&gt;&lt;wsp:rsid wsp:val=&quot;00330809&quot;/&gt;&lt;wsp:rsid wsp:val=&quot;0037590E&quot;/&gt;&lt;wsp:rsid wsp:val=&quot;00377186&quot;/&gt;&lt;wsp:rsid wsp:val=&quot;00383207&quot;/&gt;&lt;wsp:rsid wsp:val=&quot;003972EF&quot;/&gt;&lt;wsp:rsid wsp:val=&quot;00397D2B&quot;/&gt;&lt;wsp:rsid wsp:val=&quot;003A5006&quot;/&gt;&lt;wsp:rsid wsp:val=&quot;003C2615&quot;/&gt;&lt;wsp:rsid wsp:val=&quot;003D0318&quot;/&gt;&lt;wsp:rsid wsp:val=&quot;003D5417&quot;/&gt;&lt;wsp:rsid wsp:val=&quot;00400F92&quot;/&gt;&lt;wsp:rsid wsp:val=&quot;004044F1&quot;/&gt;&lt;wsp:rsid wsp:val=&quot;0042424B&quot;/&gt;&lt;wsp:rsid wsp:val=&quot;00430D5D&quot;/&gt;&lt;wsp:rsid wsp:val=&quot;00444336&quot;/&gt;&lt;wsp:rsid wsp:val=&quot;00455788&quot;/&gt;&lt;wsp:rsid wsp:val=&quot;0045652C&quot;/&gt;&lt;wsp:rsid wsp:val=&quot;00462497&quot;/&gt;&lt;wsp:rsid wsp:val=&quot;004805A3&quot;/&gt;&lt;wsp:rsid wsp:val=&quot;00490EB0&quot;/&gt;&lt;wsp:rsid wsp:val=&quot;004A39F8&quot;/&gt;&lt;wsp:rsid wsp:val=&quot;004A618E&quot;/&gt;&lt;wsp:rsid wsp:val=&quot;004E4B2C&quot;/&gt;&lt;wsp:rsid wsp:val=&quot;004F1572&quot;/&gt;&lt;wsp:rsid wsp:val=&quot;0052105D&quot;/&gt;&lt;wsp:rsid wsp:val=&quot;00526270&quot;/&gt;&lt;wsp:rsid wsp:val=&quot;00534210&quot;/&gt;&lt;wsp:rsid wsp:val=&quot;00543478&quot;/&gt;&lt;wsp:rsid wsp:val=&quot;00545600&quot;/&gt;&lt;wsp:rsid wsp:val=&quot;00546A6A&quot;/&gt;&lt;wsp:rsid wsp:val=&quot;00562240&quot;/&gt;&lt;wsp:rsid wsp:val=&quot;005630B0&quot;/&gt;&lt;wsp:rsid wsp:val=&quot;005660CD&quot;/&gt;&lt;wsp:rsid wsp:val=&quot;005720F2&quot;/&gt;&lt;wsp:rsid wsp:val=&quot;005812D6&quot;/&gt;&lt;wsp:rsid wsp:val=&quot;00596603&quot;/&gt;&lt;wsp:rsid wsp:val=&quot;005B76A4&quot;/&gt;&lt;wsp:rsid wsp:val=&quot;005C3384&quot;/&gt;&lt;wsp:rsid wsp:val=&quot;005C416E&quot;/&gt;&lt;wsp:rsid wsp:val=&quot;005D1C3A&quot;/&gt;&lt;wsp:rsid wsp:val=&quot;005E43DD&quot;/&gt;&lt;wsp:rsid wsp:val=&quot;005E77C4&quot;/&gt;&lt;wsp:rsid wsp:val=&quot;00600179&quot;/&gt;&lt;wsp:rsid wsp:val=&quot;00603FC0&quot;/&gt;&lt;wsp:rsid wsp:val=&quot;006167DD&quot;/&gt;&lt;wsp:rsid wsp:val=&quot;00636BF0&quot;/&gt;&lt;wsp:rsid wsp:val=&quot;00646B6D&quot;/&gt;&lt;wsp:rsid wsp:val=&quot;00655908&quot;/&gt;&lt;wsp:rsid wsp:val=&quot;006654F8&quot;/&gt;&lt;wsp:rsid wsp:val=&quot;00665768&quot;/&gt;&lt;wsp:rsid wsp:val=&quot;00667291&quot;/&gt;&lt;wsp:rsid wsp:val=&quot;006770F3&quot;/&gt;&lt;wsp:rsid wsp:val=&quot;00686249&quot;/&gt;&lt;wsp:rsid wsp:val=&quot;00687504&quot;/&gt;&lt;wsp:rsid wsp:val=&quot;00691AFF&quot;/&gt;&lt;wsp:rsid wsp:val=&quot;006A171F&quot;/&gt;&lt;wsp:rsid wsp:val=&quot;006A4209&quot;/&gt;&lt;wsp:rsid wsp:val=&quot;006A4E5F&quot;/&gt;&lt;wsp:rsid wsp:val=&quot;006D2536&quot;/&gt;&lt;wsp:rsid wsp:val=&quot;006D3FAE&quot;/&gt;&lt;wsp:rsid wsp:val=&quot;006D4600&quot;/&gt;&lt;wsp:rsid wsp:val=&quot;006E0A2C&quot;/&gt;&lt;wsp:rsid wsp:val=&quot;006E202B&quot;/&gt;&lt;wsp:rsid wsp:val=&quot;006E57B5&quot;/&gt;&lt;wsp:rsid wsp:val=&quot;00702FA0&quot;/&gt;&lt;wsp:rsid wsp:val=&quot;00715D39&quot;/&gt;&lt;wsp:rsid wsp:val=&quot;00724218&quot;/&gt;&lt;wsp:rsid wsp:val=&quot;00737E65&quot;/&gt;&lt;wsp:rsid wsp:val=&quot;0074030A&quot;/&gt;&lt;wsp:rsid wsp:val=&quot;007409A3&quot;/&gt;&lt;wsp:rsid wsp:val=&quot;007575A8&quot;/&gt;&lt;wsp:rsid wsp:val=&quot;00762043&quot;/&gt;&lt;wsp:rsid wsp:val=&quot;007633C2&quot;/&gt;&lt;wsp:rsid wsp:val=&quot;00765A47&quot;/&gt;&lt;wsp:rsid wsp:val=&quot;00770E82&quot;/&gt;&lt;wsp:rsid wsp:val=&quot;00772E94&quot;/&gt;&lt;wsp:rsid wsp:val=&quot;007A30E8&quot;/&gt;&lt;wsp:rsid wsp:val=&quot;007A5E1C&quot;/&gt;&lt;wsp:rsid wsp:val=&quot;007B028B&quot;/&gt;&lt;wsp:rsid wsp:val=&quot;007B1D71&quot;/&gt;&lt;wsp:rsid wsp:val=&quot;007C00D0&quot;/&gt;&lt;wsp:rsid wsp:val=&quot;007C2186&quot;/&gt;&lt;wsp:rsid wsp:val=&quot;007F2233&quot;/&gt;&lt;wsp:rsid wsp:val=&quot;008053BA&quot;/&gt;&lt;wsp:rsid wsp:val=&quot;0080694B&quot;/&gt;&lt;wsp:rsid wsp:val=&quot;00810AB6&quot;/&gt;&lt;wsp:rsid wsp:val=&quot;0081779C&quot;/&gt;&lt;wsp:rsid wsp:val=&quot;00831D0D&quot;/&gt;&lt;wsp:rsid wsp:val=&quot;00832DEE&quot;/&gt;&lt;wsp:rsid wsp:val=&quot;00835B98&quot;/&gt;&lt;wsp:rsid wsp:val=&quot;00840713&quot;/&gt;&lt;wsp:rsid wsp:val=&quot;00854B9D&quot;/&gt;&lt;wsp:rsid wsp:val=&quot;00855A8A&quot;/&gt;&lt;wsp:rsid wsp:val=&quot;00872795&quot;/&gt;&lt;wsp:rsid wsp:val=&quot;008936D4&quot;/&gt;&lt;wsp:rsid wsp:val=&quot;008A2EC5&quot;/&gt;&lt;wsp:rsid wsp:val=&quot;008B77F5&quot;/&gt;&lt;wsp:rsid wsp:val=&quot;008C0279&quot;/&gt;&lt;wsp:rsid wsp:val=&quot;008C7C6D&quot;/&gt;&lt;wsp:rsid wsp:val=&quot;008C7F68&quot;/&gt;&lt;wsp:rsid wsp:val=&quot;008E380C&quot;/&gt;&lt;wsp:rsid wsp:val=&quot;008E405A&quot;/&gt;&lt;wsp:rsid wsp:val=&quot;008F25D2&quot;/&gt;&lt;wsp:rsid wsp:val=&quot;008F50EC&quot;/&gt;&lt;wsp:rsid wsp:val=&quot;008F587A&quot;/&gt;&lt;wsp:rsid wsp:val=&quot;009134CA&quot;/&gt;&lt;wsp:rsid wsp:val=&quot;00914CC6&quot;/&gt;&lt;wsp:rsid wsp:val=&quot;00925AA2&quot;/&gt;&lt;wsp:rsid wsp:val=&quot;0092751F&quot;/&gt;&lt;wsp:rsid wsp:val=&quot;00932067&quot;/&gt;&lt;wsp:rsid wsp:val=&quot;0093594A&quot;/&gt;&lt;wsp:rsid wsp:val=&quot;00955D73&quot;/&gt;&lt;wsp:rsid wsp:val=&quot;0096512C&quot;/&gt;&lt;wsp:rsid wsp:val=&quot;0096540A&quot;/&gt;&lt;wsp:rsid wsp:val=&quot;009C0F3A&quot;/&gt;&lt;wsp:rsid wsp:val=&quot;009C5D2A&quot;/&gt;&lt;wsp:rsid wsp:val=&quot;00A02252&quot;/&gt;&lt;wsp:rsid wsp:val=&quot;00A06700&quot;/&gt;&lt;wsp:rsid wsp:val=&quot;00A331E7&quot;/&gt;&lt;wsp:rsid wsp:val=&quot;00A34169&quot;/&gt;&lt;wsp:rsid wsp:val=&quot;00A41C3C&quot;/&gt;&lt;wsp:rsid wsp:val=&quot;00A76984&quot;/&gt;&lt;wsp:rsid wsp:val=&quot;00AA0A87&quot;/&gt;&lt;wsp:rsid wsp:val=&quot;00AA7B1E&quot;/&gt;&lt;wsp:rsid wsp:val=&quot;00AB2710&quot;/&gt;&lt;wsp:rsid wsp:val=&quot;00AD184B&quot;/&gt;&lt;wsp:rsid wsp:val=&quot;00B0566D&quot;/&gt;&lt;wsp:rsid wsp:val=&quot;00B35BD9&quot;/&gt;&lt;wsp:rsid wsp:val=&quot;00B37DE8&quot;/&gt;&lt;wsp:rsid wsp:val=&quot;00B44BA5&quot;/&gt;&lt;wsp:rsid wsp:val=&quot;00B84125&quot;/&gt;&lt;wsp:rsid wsp:val=&quot;00B928E7&quot;/&gt;&lt;wsp:rsid wsp:val=&quot;00BA5F7E&quot;/&gt;&lt;wsp:rsid wsp:val=&quot;00BB7F2F&quot;/&gt;&lt;wsp:rsid wsp:val=&quot;00BC7E76&quot;/&gt;&lt;wsp:rsid wsp:val=&quot;00BE472F&quot;/&gt;&lt;wsp:rsid wsp:val=&quot;00BE5513&quot;/&gt;&lt;wsp:rsid wsp:val=&quot;00BF12F6&quot;/&gt;&lt;wsp:rsid wsp:val=&quot;00C00765&quot;/&gt;&lt;wsp:rsid wsp:val=&quot;00C10464&quot;/&gt;&lt;wsp:rsid wsp:val=&quot;00C119C2&quot;/&gt;&lt;wsp:rsid wsp:val=&quot;00C21B54&quot;/&gt;&lt;wsp:rsid wsp:val=&quot;00C27E02&quot;/&gt;&lt;wsp:rsid wsp:val=&quot;00C40967&quot;/&gt;&lt;wsp:rsid wsp:val=&quot;00C42C64&quot;/&gt;&lt;wsp:rsid wsp:val=&quot;00C4400C&quot;/&gt;&lt;wsp:rsid wsp:val=&quot;00C600E2&quot;/&gt;&lt;wsp:rsid wsp:val=&quot;00C63D43&quot;/&gt;&lt;wsp:rsid wsp:val=&quot;00C74134&quot;/&gt;&lt;wsp:rsid wsp:val=&quot;00C823B1&quot;/&gt;&lt;wsp:rsid wsp:val=&quot;00C93D19&quot;/&gt;&lt;wsp:rsid wsp:val=&quot;00CA271E&quot;/&gt;&lt;wsp:rsid wsp:val=&quot;00CB1488&quot;/&gt;&lt;wsp:rsid wsp:val=&quot;00CB7414&quot;/&gt;&lt;wsp:rsid wsp:val=&quot;00CE19C1&quot;/&gt;&lt;wsp:rsid wsp:val=&quot;00D01CFE&quot;/&gt;&lt;wsp:rsid wsp:val=&quot;00D07C4B&quot;/&gt;&lt;wsp:rsid wsp:val=&quot;00D225D8&quot;/&gt;&lt;wsp:rsid wsp:val=&quot;00D30983&quot;/&gt;&lt;wsp:rsid wsp:val=&quot;00D33A2E&quot;/&gt;&lt;wsp:rsid wsp:val=&quot;00D34954&quot;/&gt;&lt;wsp:rsid wsp:val=&quot;00D511A1&quot;/&gt;&lt;wsp:rsid wsp:val=&quot;00D56CF9&quot;/&gt;&lt;wsp:rsid wsp:val=&quot;00D608D5&quot;/&gt;&lt;wsp:rsid wsp:val=&quot;00D651CA&quot;/&gt;&lt;wsp:rsid wsp:val=&quot;00D872BF&quot;/&gt;&lt;wsp:rsid wsp:val=&quot;00DA4C87&quot;/&gt;&lt;wsp:rsid wsp:val=&quot;00DB5613&quot;/&gt;&lt;wsp:rsid wsp:val=&quot;00DE01F6&quot;/&gt;&lt;wsp:rsid wsp:val=&quot;00DE1FAA&quot;/&gt;&lt;wsp:rsid wsp:val=&quot;00DE2998&quot;/&gt;&lt;wsp:rsid wsp:val=&quot;00DE4223&quot;/&gt;&lt;wsp:rsid wsp:val=&quot;00DE6B60&quot;/&gt;&lt;wsp:rsid wsp:val=&quot;00DF1B90&quot;/&gt;&lt;wsp:rsid wsp:val=&quot;00E06D10&quot;/&gt;&lt;wsp:rsid wsp:val=&quot;00E20138&quot;/&gt;&lt;wsp:rsid wsp:val=&quot;00E20458&quot;/&gt;&lt;wsp:rsid wsp:val=&quot;00E55420&quot;/&gt;&lt;wsp:rsid wsp:val=&quot;00E56487&quot;/&gt;&lt;wsp:rsid wsp:val=&quot;00E81646&quot;/&gt;&lt;wsp:rsid wsp:val=&quot;00E853F3&quot;/&gt;&lt;wsp:rsid wsp:val=&quot;00EC2491&quot;/&gt;&lt;wsp:rsid wsp:val=&quot;00ED2C42&quot;/&gt;&lt;wsp:rsid wsp:val=&quot;00EF3B2B&quot;/&gt;&lt;wsp:rsid wsp:val=&quot;00F00EE9&quot;/&gt;&lt;wsp:rsid wsp:val=&quot;00F379DD&quot;/&gt;&lt;wsp:rsid wsp:val=&quot;00F44640&quot;/&gt;&lt;wsp:rsid wsp:val=&quot;00F47244&quot;/&gt;&lt;wsp:rsid wsp:val=&quot;00F511A7&quot;/&gt;&lt;wsp:rsid wsp:val=&quot;00F660F9&quot;/&gt;&lt;wsp:rsid wsp:val=&quot;00F849A7&quot;/&gt;&lt;wsp:rsid wsp:val=&quot;00FA5F45&quot;/&gt;&lt;wsp:rsid wsp:val=&quot;00FA7522&quot;/&gt;&lt;wsp:rsid wsp:val=&quot;00FB2D36&quot;/&gt;&lt;wsp:rsid wsp:val=&quot;00FB71DC&quot;/&gt;&lt;wsp:rsid wsp:val=&quot;00FC2C59&quot;/&gt;&lt;wsp:rsid wsp:val=&quot;00FD178C&quot;/&gt;&lt;/wsp:rsids&gt;&lt;/w:docPr&gt;&lt;w:body&gt;&lt;wx:sect&gt;&lt;w:p wsp:rsidR=&quot;00000000&quot; wsp:rsidRPr=&quot;006770F3&quot; wsp:rsidRDefault=&quot;006770F3&quot; wsp:rsidP=&quot;006770F3&quot;&gt;&lt;m:oMathPara&gt;&lt;m:oMath&gt;&lt;m:r&gt;&lt;w:rPr&gt;&lt;w:rFonts w:ascii=&quot;Cambria Math&quot; w:h-ansi=&quot;Cambria Math&quot; w:cs=&quot;Calibri&quot;/&gt;&lt;wx:font wx:val=&quot;Cambria Math&quot;/&gt;&lt;w:i/&gt;&lt;/w:rPr&gt;&lt;m:t&gt;K= &lt;/m:t&gt;&lt;/m:r&gt;&lt;m:f&gt;&lt;m:fPr&gt;&lt;m:ctrlPr&gt;&lt;w:rPr&gt;&lt;w:rFonts w:ascii=&quot;Cambria Math&quot; w:h-ansi=&quot;Cambria Math&quot; w:cs=&quot;Calibri&quot;/&gt;&lt;wx:font wx:val=&quot;Cambria Math&quot;/&gt;&lt;w:i/&gt;&lt;/w:rPr&gt;&lt;/m:ctrlPr&gt;&lt;/m:fPr&gt;&lt;m:num&gt;&lt;m:r&gt;&lt;w:rPr&gt;&lt;w:rFonts w:ascii=&quot;Cambria Math&quot; w:h-ansi=&quot;Cambria Math&quot; w:cs=&quot;Calibri&quot;/&gt;&lt;wx:font wx:val=&quot;Cambria Math&quot;/&gt;&lt;w:i/&gt;&lt;/w:rPr&gt;&lt;m:t&gt;Total Area Burnt&lt;/m:t&gt;&lt;/m:r&gt;&lt;/m:num&gt;&lt;m:den&gt;&lt;m:sSub&gt;&lt;m:sSubPr&gt;&lt;m:ctrlPr&gt;&lt;w:rPr&gt;&lt;w:rFonts w:ascii=&quot;Cambria Math&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0.7Ã—Area Burnt&lt;/m:t&gt;&lt;/m:r&gt;&lt;/m:e&gt;&lt;m:sub&gt;&lt;m:r&gt;&lt;w:rPr&gt;&lt;w:rFonts w:ascii=&quot;Cambria Math&quot; w:h-ansi=&quot;Cambria Math&quot; w:cs=&quot;Calibri&quot;/&gt;&lt;wx:font wx:val=&quot;Cambria Math&quot;/&gt;&lt;w:i/&gt;&lt;/w:rPr&gt;&lt;m:t&gt;Wheat&lt;/m:t&gt;&lt;/m:r&gt;&lt;/m:sub&gt;&lt;/m:sSub&gt;&lt;m:r&gt;&lt;w:rPr&gt;&lt;w:rFonts w:ascii=&quot;Cambria Math&quot; w:h-ansi=&quot;Cambria Math&quot; w:cs=&quot;Calibri&quot;/&gt;&lt;wx:font wx:val=&quot;Cambria Math&quot;/&gt;&lt;w:i/&gt;&lt;/w:rPr&gt;&lt;m:t&gt;+&lt;/m:t&gt;&lt;/m:r&gt;&lt;m:sSub&gt;&lt;m:sSubPr&gt;&lt;m:ctrlPr&gt;&lt;w:rPr&gt;&lt;w:rFonts w:ascii=&quot;Cambria Math&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0.5Ã—Area Burnt&lt;/m:t&gt;&lt;/m:r&gt;&lt;/m:e&gt;&lt;m:sub&gt;&lt;m:r&gt;&lt;w:rPr&gt;&lt;w:rFonts w:ascii=&quot;Cambria Math&quot; w:h-ansi=&quot;Cambria Math&quot; w:cs=&quot;Calibri&quot;/&gt;&lt;wx:font wx:val=&quot;Cambria Math&quot;/&gt;&lt;w:i/&gt;&lt;/w:rPr&gt;&lt;m:t&gt;Barley&lt;/m:t&gt;&lt;/m:r&gt;&lt;/m:sub&gt;&lt;/m:sSub&gt;&lt;m:r&gt;&lt;w:rPr&gt;&lt;w:rFonts w:ascii=&quot;Cambria Math&quot; w:h-ansi=&quot;Cambria Math&quot; w:cs=&quot;Calibri&quot;/&gt;&lt;wx:font wx:val=&quot;Cambria Math&quot;/&gt;&lt;w:i/&gt;&lt;/w:rPr&gt;&lt;m:t&gt;+&lt;/m:t&gt;&lt;/m:r&gt;&lt;m:sSub&gt;&lt;m:sSubPr&gt;&lt;m:ctrlPr&gt;&lt;w:rPr&gt;&lt;w:rFonts w:ascii=&quot;Cambria Math&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0.5Ã—Area Burnt&lt;/m:t&gt;&lt;/m:r&gt;&lt;/m:e&gt;&lt;m:sub&gt;&lt;m:r&gt;&lt;w:rPr&gt;&lt;w:rFonts w:ascii=&quot;Cambria Math&quot; w:h-ansi=&quot;Cambria Math&quot; w:cs=&quot;Calibri&quot;/&gt;&lt;wx:font wx:val=&quot;Cambria Math&quot;/&gt;&lt;w:i/&gt;&lt;/w:rPr&gt;&lt;m:t&gt;Oats&lt;/m:t&gt;&lt;/m:r&gt;&lt;/m:sub&gt;&lt;/m:sSub&gt;&lt;/m:den&gt;&lt;/m:f&gt;&lt;/m:oMath&gt;&lt;/m:oMathPara&gt;&lt;/w:p&gt;&lt;w:sectPr wsp:rsidR=&quot;00000000&quot; wsp:rsidRPr=&quot;006770F3&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7" o:title="" chromakey="white"/>
          </v:shape>
        </w:pict>
      </w:r>
    </w:p>
    <w:p w14:paraId="4C6463B0" w14:textId="77777777" w:rsidR="00F849A7" w:rsidRPr="00D9348B" w:rsidRDefault="00F849A7" w:rsidP="00F849A7">
      <w:pPr>
        <w:pStyle w:val="BodyText"/>
        <w:rPr>
          <w:rFonts w:cs="Calibri"/>
        </w:rPr>
      </w:pPr>
      <w:r w:rsidRPr="00D9348B">
        <w:rPr>
          <w:rFonts w:cs="Calibri"/>
        </w:rPr>
        <w:lastRenderedPageBreak/>
        <w:t>Expert opinion suggests that, if crop residue is to be burned, there is generally no prior removal for feed and bedding. Therefore, 100 per cent of residue is left for burning after the harvested proportion has been removed (i.e., Frac</w:t>
      </w:r>
      <w:r w:rsidRPr="00D9348B">
        <w:rPr>
          <w:rFonts w:cs="Calibri"/>
          <w:vertAlign w:val="subscript"/>
        </w:rPr>
        <w:t>REMOVE</w:t>
      </w:r>
      <w:r w:rsidRPr="00D9348B">
        <w:rPr>
          <w:rFonts w:cs="Calibri"/>
        </w:rPr>
        <w:t xml:space="preserve"> is assumed to be zero; Thomas et al., 2011). This is consistent with section 5.5.2. </w:t>
      </w:r>
    </w:p>
    <w:p w14:paraId="425133C6" w14:textId="77777777" w:rsidR="00F849A7" w:rsidRPr="00D9348B" w:rsidRDefault="00F849A7" w:rsidP="00F849A7">
      <w:pPr>
        <w:pStyle w:val="Heading3"/>
        <w:spacing w:before="280"/>
        <w:rPr>
          <w:rFonts w:cs="Calibri"/>
        </w:rPr>
      </w:pPr>
      <w:bookmarkStart w:id="1070" w:name="_Toc32570678"/>
      <w:r w:rsidRPr="00D9348B">
        <w:rPr>
          <w:rFonts w:cs="Calibri"/>
        </w:rPr>
        <w:t>5.7.3</w:t>
      </w:r>
      <w:r w:rsidRPr="00D9348B">
        <w:rPr>
          <w:rFonts w:cs="Calibri"/>
        </w:rPr>
        <w:tab/>
        <w:t>Uncertainties and time-series consistency</w:t>
      </w:r>
      <w:bookmarkEnd w:id="1070"/>
    </w:p>
    <w:p w14:paraId="403C0ECB" w14:textId="36DF0144" w:rsidR="00F849A7" w:rsidRPr="00D9348B" w:rsidRDefault="00F849A7" w:rsidP="00F849A7">
      <w:pPr>
        <w:pStyle w:val="BodyText"/>
        <w:spacing w:after="100"/>
        <w:rPr>
          <w:rFonts w:cs="Calibri"/>
        </w:rPr>
      </w:pPr>
      <w:r w:rsidRPr="00D9348B">
        <w:rPr>
          <w:rFonts w:cs="Calibri"/>
        </w:rPr>
        <w:t>The largest contributor to uncertainty in the estimated emissions is considered to be the fraction of agricultural residue burned in the field. Expert opinion for the fraction of crops burned in fields between 1990 and 2004 was taken from farmer surveys in the Canterbury area, where 80 per cent of cereal production occurs. Between 2005 and 2009, an average of 86 per cent of total residue burning occurred in Canterbury. Estimates of crop burning for 2018</w:t>
      </w:r>
      <w:r w:rsidR="005338F3" w:rsidRPr="00D9348B">
        <w:rPr>
          <w:rFonts w:cs="Calibri"/>
        </w:rPr>
        <w:t> </w:t>
      </w:r>
      <w:r w:rsidRPr="00D9348B">
        <w:rPr>
          <w:rFonts w:cs="Calibri"/>
        </w:rPr>
        <w:t xml:space="preserve">were 27.1 per cent (calculated as a percentage of total crop area) and have ranged from a high in 2006 of 61.5 per cent to a low in 2018 of 27.1 per cent, reflecting variations in annual weather patterns. </w:t>
      </w:r>
    </w:p>
    <w:p w14:paraId="5B104FBF" w14:textId="77777777" w:rsidR="00F849A7" w:rsidRPr="00D9348B" w:rsidRDefault="00F849A7" w:rsidP="00F849A7">
      <w:pPr>
        <w:pStyle w:val="BodyText"/>
        <w:spacing w:after="100"/>
        <w:rPr>
          <w:rFonts w:cs="Calibri"/>
        </w:rPr>
      </w:pPr>
      <w:r w:rsidRPr="00D9348B">
        <w:rPr>
          <w:rFonts w:cs="Calibri"/>
        </w:rPr>
        <w:t>The country-specific values for these parameters are those from the OVERSEER</w:t>
      </w:r>
      <w:r w:rsidRPr="00D9348B">
        <w:rPr>
          <w:rFonts w:cs="Calibri"/>
          <w:vertAlign w:val="superscript"/>
        </w:rPr>
        <w:t>®</w:t>
      </w:r>
      <w:r w:rsidRPr="00D9348B">
        <w:rPr>
          <w:rFonts w:cs="Calibri"/>
        </w:rPr>
        <w:t xml:space="preserve"> nutrient budget model for New Zealand (Wheeler et al., 2003) and are the same as those used for estimates of emissions from crop residues. This provides consistency between the two emissions estimates for crop residue and crop burning.</w:t>
      </w:r>
    </w:p>
    <w:p w14:paraId="1BD02F9A" w14:textId="77777777" w:rsidR="00F849A7" w:rsidRPr="00D9348B" w:rsidRDefault="00F849A7" w:rsidP="00F849A7">
      <w:pPr>
        <w:pStyle w:val="BodyText"/>
        <w:spacing w:after="100"/>
        <w:rPr>
          <w:rFonts w:cs="Calibri"/>
        </w:rPr>
      </w:pPr>
      <w:r w:rsidRPr="00D9348B">
        <w:rPr>
          <w:rFonts w:cs="Calibri"/>
        </w:rPr>
        <w:t>IPCC good practice guidance suggests that an estimate of 10 per cent of residue burned may be appropriate for developed countries but also notes that the IPCC default values: “are very speculative and should be used with caution. The actual percentage burned varies substantially by country and crop type. This is an area where locally developed, country-specific data are highly desirable” (IPCC, 2000). The proportion of residue actually burned has been estimated as 70 per cent for the years 1990 to 2004 because this takes into account required fire break areas and differences in the methods used. It is also assumed that the farmers will generally be aiming to have as close to complete combustion as possible.</w:t>
      </w:r>
    </w:p>
    <w:p w14:paraId="1CBED8ED" w14:textId="77777777" w:rsidR="00F849A7" w:rsidRPr="00D9348B" w:rsidRDefault="00F849A7" w:rsidP="00F849A7">
      <w:pPr>
        <w:pStyle w:val="BodyText"/>
        <w:spacing w:after="100"/>
        <w:rPr>
          <w:rFonts w:cs="Calibri"/>
        </w:rPr>
      </w:pPr>
      <w:r w:rsidRPr="00D9348B">
        <w:rPr>
          <w:rFonts w:cs="Calibri"/>
        </w:rPr>
        <w:t>Although country-specific parameters have been developed, a conservative approach to uncertainty is taken, using the IPCC (2000) value of ±20 per cent. Given that emissions from field burning are low, compared with emissions from the rest of Agriculture inventory, the uncertainties from field burning have little impact on total emission uncertainties.</w:t>
      </w:r>
    </w:p>
    <w:p w14:paraId="6094B57E" w14:textId="77777777" w:rsidR="00F849A7" w:rsidRPr="00D9348B" w:rsidRDefault="00F849A7" w:rsidP="005338F3">
      <w:pPr>
        <w:pStyle w:val="Heading3"/>
        <w:spacing w:before="280"/>
      </w:pPr>
      <w:bookmarkStart w:id="1071" w:name="_Toc32570679"/>
      <w:r w:rsidRPr="00D9348B">
        <w:t>5.7.4</w:t>
      </w:r>
      <w:r w:rsidRPr="00D9348B">
        <w:tab/>
        <w:t>Source-specific QA/QC and verification</w:t>
      </w:r>
      <w:bookmarkEnd w:id="1071"/>
    </w:p>
    <w:p w14:paraId="440381DC" w14:textId="77777777" w:rsidR="00F849A7" w:rsidRPr="00D9348B" w:rsidRDefault="00F849A7" w:rsidP="00F849A7">
      <w:pPr>
        <w:pStyle w:val="BodyText"/>
        <w:rPr>
          <w:rFonts w:cs="Calibri"/>
        </w:rPr>
      </w:pPr>
      <w:r w:rsidRPr="00D9348B">
        <w:rPr>
          <w:rFonts w:cs="Calibri"/>
        </w:rPr>
        <w:t xml:space="preserve">Plant and Food Research reviewed the implementation of the methodology to estimate emissions of </w:t>
      </w:r>
      <w:r w:rsidRPr="00D9348B">
        <w:rPr>
          <w:rFonts w:cs="Calibri"/>
          <w:spacing w:val="-2"/>
        </w:rPr>
        <w:t>N</w:t>
      </w:r>
      <w:r w:rsidRPr="00D9348B">
        <w:rPr>
          <w:rFonts w:cs="Calibri"/>
          <w:spacing w:val="-2"/>
          <w:vertAlign w:val="subscript"/>
        </w:rPr>
        <w:t>2</w:t>
      </w:r>
      <w:r w:rsidRPr="00D9348B">
        <w:rPr>
          <w:rFonts w:cs="Calibri"/>
          <w:spacing w:val="-2"/>
        </w:rPr>
        <w:t>O</w:t>
      </w:r>
      <w:r w:rsidRPr="00D9348B">
        <w:rPr>
          <w:rFonts w:cs="Calibri"/>
        </w:rPr>
        <w:t xml:space="preserve"> from crop residues, nitrogen-fixing crops and field burning of agricultural residues. This analysis is detailed in Thomas et al. (2008, 2011). </w:t>
      </w:r>
    </w:p>
    <w:p w14:paraId="55999BA7" w14:textId="77777777" w:rsidR="00F849A7" w:rsidRPr="00D9348B" w:rsidRDefault="00F849A7" w:rsidP="005338F3">
      <w:pPr>
        <w:pStyle w:val="Heading3"/>
        <w:spacing w:before="280"/>
      </w:pPr>
      <w:bookmarkStart w:id="1072" w:name="_Toc32570680"/>
      <w:r w:rsidRPr="00D9348B">
        <w:t>5.7.5</w:t>
      </w:r>
      <w:r w:rsidRPr="00D9348B">
        <w:tab/>
        <w:t>Source-specific recalculations</w:t>
      </w:r>
      <w:bookmarkEnd w:id="1072"/>
    </w:p>
    <w:p w14:paraId="00F5417E" w14:textId="77777777" w:rsidR="00F849A7" w:rsidRPr="00D9348B" w:rsidRDefault="00F849A7" w:rsidP="00F849A7">
      <w:pPr>
        <w:pStyle w:val="BodyText"/>
        <w:rPr>
          <w:rFonts w:cs="Calibri"/>
        </w:rPr>
      </w:pPr>
      <w:r w:rsidRPr="00D9348B">
        <w:rPr>
          <w:rFonts w:cs="Calibri"/>
        </w:rPr>
        <w:t>All activity data were updated with the latest available Statistics New Zealand data.</w:t>
      </w:r>
    </w:p>
    <w:p w14:paraId="5BDE40DC" w14:textId="77777777" w:rsidR="00F849A7" w:rsidRPr="00D9348B" w:rsidRDefault="00F849A7" w:rsidP="005338F3">
      <w:pPr>
        <w:pStyle w:val="Heading3"/>
        <w:spacing w:before="280"/>
      </w:pPr>
      <w:bookmarkStart w:id="1073" w:name="_Toc32570681"/>
      <w:r w:rsidRPr="00D9348B">
        <w:t>5.7.6</w:t>
      </w:r>
      <w:r w:rsidRPr="00D9348B">
        <w:tab/>
        <w:t>Source-specific planned improvements</w:t>
      </w:r>
      <w:bookmarkEnd w:id="1073"/>
      <w:r w:rsidRPr="00D9348B">
        <w:t xml:space="preserve"> </w:t>
      </w:r>
    </w:p>
    <w:p w14:paraId="786B19B4" w14:textId="77777777" w:rsidR="00F849A7" w:rsidRPr="00D9348B" w:rsidRDefault="00F849A7" w:rsidP="00F849A7">
      <w:pPr>
        <w:pStyle w:val="BodyText"/>
        <w:rPr>
          <w:rFonts w:cs="Calibri"/>
        </w:rPr>
      </w:pPr>
      <w:r w:rsidRPr="00D9348B">
        <w:rPr>
          <w:rFonts w:cs="Calibri"/>
        </w:rPr>
        <w:t xml:space="preserve">No improvements are currently planned. </w:t>
      </w:r>
    </w:p>
    <w:p w14:paraId="3FC5F544" w14:textId="77777777" w:rsidR="00F849A7" w:rsidRPr="00D9348B" w:rsidRDefault="00F849A7" w:rsidP="00F849A7">
      <w:pPr>
        <w:pStyle w:val="Heading2"/>
        <w:rPr>
          <w:rFonts w:cs="Calibri"/>
        </w:rPr>
      </w:pPr>
      <w:bookmarkStart w:id="1074" w:name="_Toc448321529"/>
      <w:bookmarkStart w:id="1075" w:name="_Toc481751391"/>
      <w:bookmarkStart w:id="1076" w:name="_Toc511116606"/>
      <w:bookmarkStart w:id="1077" w:name="_Toc5269368"/>
      <w:bookmarkStart w:id="1078" w:name="_Toc32570682"/>
      <w:bookmarkStart w:id="1079" w:name="_Toc36224408"/>
      <w:r w:rsidRPr="00D9348B">
        <w:rPr>
          <w:rFonts w:cs="Calibri"/>
        </w:rPr>
        <w:lastRenderedPageBreak/>
        <w:t>5.8</w:t>
      </w:r>
      <w:r w:rsidRPr="00D9348B">
        <w:rPr>
          <w:rFonts w:cs="Calibri"/>
        </w:rPr>
        <w:tab/>
        <w:t>Liming (CRF 3.G)</w:t>
      </w:r>
      <w:bookmarkEnd w:id="1074"/>
      <w:bookmarkEnd w:id="1075"/>
      <w:bookmarkEnd w:id="1076"/>
      <w:bookmarkEnd w:id="1077"/>
      <w:bookmarkEnd w:id="1078"/>
      <w:bookmarkEnd w:id="1079"/>
      <w:r w:rsidRPr="00D9348B">
        <w:rPr>
          <w:rFonts w:cs="Calibri"/>
        </w:rPr>
        <w:t xml:space="preserve"> </w:t>
      </w:r>
    </w:p>
    <w:p w14:paraId="285F1AAE" w14:textId="77777777" w:rsidR="00F849A7" w:rsidRPr="00D9348B" w:rsidRDefault="00F849A7" w:rsidP="00F849A7">
      <w:pPr>
        <w:pStyle w:val="Heading3"/>
        <w:spacing w:before="120"/>
        <w:rPr>
          <w:rFonts w:cs="Calibri"/>
        </w:rPr>
      </w:pPr>
      <w:bookmarkStart w:id="1080" w:name="_Toc32570683"/>
      <w:r w:rsidRPr="00D9348B">
        <w:rPr>
          <w:rFonts w:cs="Calibri"/>
        </w:rPr>
        <w:t>5.8.1</w:t>
      </w:r>
      <w:r w:rsidRPr="00D9348B">
        <w:rPr>
          <w:rFonts w:cs="Calibri"/>
        </w:rPr>
        <w:tab/>
        <w:t>Description</w:t>
      </w:r>
      <w:bookmarkEnd w:id="1080"/>
    </w:p>
    <w:p w14:paraId="638F4B0B" w14:textId="77777777" w:rsidR="00F849A7" w:rsidRPr="00D9348B" w:rsidRDefault="00F849A7" w:rsidP="00F849A7">
      <w:pPr>
        <w:pStyle w:val="BodyText"/>
        <w:rPr>
          <w:rFonts w:cs="Calibri"/>
        </w:rPr>
      </w:pPr>
      <w:r w:rsidRPr="00D9348B">
        <w:rPr>
          <w:rFonts w:cs="Calibri"/>
        </w:rPr>
        <w:t>In New Zealand, lime and dolomite fertilisers are mainly applied to acidic grassland and cropland soils to reduce soil acidity and to maintain or increase production of pasture and crops. Prior to the 2015 submission, emissions from lime and dolomite fertilisers were reported under the LULUCF chapter (see chapter 6).</w:t>
      </w:r>
    </w:p>
    <w:p w14:paraId="0B3EC9EE" w14:textId="77777777" w:rsidR="00F849A7" w:rsidRPr="00D9348B" w:rsidRDefault="00F849A7" w:rsidP="00F849A7">
      <w:pPr>
        <w:pStyle w:val="BodyText"/>
        <w:rPr>
          <w:rFonts w:cs="Calibri"/>
        </w:rPr>
      </w:pPr>
      <w:r w:rsidRPr="00D9348B">
        <w:rPr>
          <w:rFonts w:cs="Calibri"/>
          <w:i/>
        </w:rPr>
        <w:t>Liming</w:t>
      </w:r>
      <w:r w:rsidRPr="00D9348B">
        <w:rPr>
          <w:rFonts w:cs="Calibri"/>
        </w:rPr>
        <w:t xml:space="preserve"> was identified as a key category for the Agriculture sector in 2018 (level assessment).</w:t>
      </w:r>
    </w:p>
    <w:p w14:paraId="02D55647" w14:textId="77777777" w:rsidR="00F849A7" w:rsidRPr="00D9348B" w:rsidRDefault="00F849A7" w:rsidP="00F849A7">
      <w:pPr>
        <w:pStyle w:val="BodyText"/>
        <w:rPr>
          <w:rFonts w:cs="Calibri"/>
        </w:rPr>
      </w:pPr>
      <w:r w:rsidRPr="00D9348B">
        <w:rPr>
          <w:rFonts w:cs="Calibri"/>
        </w:rPr>
        <w:t>Emissions from the application of lime contributed an estimated 494.9</w:t>
      </w:r>
      <w:r w:rsidRPr="00D9348B" w:rsidDel="00636508">
        <w:rPr>
          <w:rFonts w:cs="Calibri"/>
        </w:rPr>
        <w:t xml:space="preserve"> </w:t>
      </w:r>
      <w:r w:rsidRPr="00D9348B">
        <w:rPr>
          <w:rFonts w:cs="Calibri"/>
        </w:rPr>
        <w:t>kt CO</w:t>
      </w:r>
      <w:r w:rsidRPr="00D9348B">
        <w:rPr>
          <w:rFonts w:cs="Calibri"/>
          <w:vertAlign w:val="subscript"/>
        </w:rPr>
        <w:t>2</w:t>
      </w:r>
      <w:r w:rsidRPr="00D9348B">
        <w:rPr>
          <w:rFonts w:cs="Calibri"/>
        </w:rPr>
        <w:t xml:space="preserve">, representing 0.6 per cent of New Zealand’s gross emissions and 1.3 per cent of </w:t>
      </w:r>
      <w:r w:rsidRPr="00D9348B">
        <w:rPr>
          <w:rFonts w:cs="Calibri"/>
          <w:iCs/>
        </w:rPr>
        <w:t>Agriculture</w:t>
      </w:r>
      <w:r w:rsidRPr="00D9348B">
        <w:rPr>
          <w:rFonts w:cs="Calibri"/>
          <w:i/>
        </w:rPr>
        <w:t xml:space="preserve"> </w:t>
      </w:r>
      <w:r w:rsidRPr="00D9348B">
        <w:rPr>
          <w:rFonts w:cs="Calibri"/>
        </w:rPr>
        <w:t xml:space="preserve">emissions in 2018. </w:t>
      </w:r>
    </w:p>
    <w:p w14:paraId="4D5B98B7" w14:textId="77777777" w:rsidR="00F849A7" w:rsidRPr="00D9348B" w:rsidRDefault="00F849A7" w:rsidP="00F849A7">
      <w:pPr>
        <w:pStyle w:val="BodyText"/>
        <w:rPr>
          <w:rFonts w:cs="Calibri"/>
        </w:rPr>
      </w:pPr>
      <w:r w:rsidRPr="00D9348B">
        <w:rPr>
          <w:rFonts w:cs="Calibri"/>
        </w:rPr>
        <w:t xml:space="preserve">Emissions from </w:t>
      </w:r>
      <w:r w:rsidRPr="00D9348B">
        <w:rPr>
          <w:rFonts w:cs="Calibri"/>
          <w:i/>
        </w:rPr>
        <w:t xml:space="preserve">Liming </w:t>
      </w:r>
      <w:r w:rsidRPr="00D9348B">
        <w:rPr>
          <w:rFonts w:cs="Calibri"/>
        </w:rPr>
        <w:t>increased 37.4 per cent (134.8 kt CO</w:t>
      </w:r>
      <w:r w:rsidRPr="00D9348B">
        <w:rPr>
          <w:rFonts w:cs="Calibri"/>
          <w:vertAlign w:val="subscript"/>
        </w:rPr>
        <w:t>2</w:t>
      </w:r>
      <w:r w:rsidRPr="00D9348B">
        <w:rPr>
          <w:rFonts w:cs="Calibri"/>
        </w:rPr>
        <w:t>) between 1990 and 2018.</w:t>
      </w:r>
    </w:p>
    <w:p w14:paraId="4DFE83CB" w14:textId="77777777" w:rsidR="00F849A7" w:rsidRPr="00D9348B" w:rsidRDefault="00F849A7" w:rsidP="00F849A7">
      <w:pPr>
        <w:pStyle w:val="Heading3"/>
        <w:spacing w:before="280"/>
        <w:rPr>
          <w:rFonts w:cs="Calibri"/>
          <w:szCs w:val="26"/>
        </w:rPr>
      </w:pPr>
      <w:bookmarkStart w:id="1081" w:name="_Toc32570684"/>
      <w:r w:rsidRPr="00D9348B">
        <w:rPr>
          <w:rFonts w:cs="Calibri"/>
          <w:szCs w:val="26"/>
        </w:rPr>
        <w:t>5.8.2</w:t>
      </w:r>
      <w:r w:rsidRPr="00D9348B">
        <w:rPr>
          <w:rFonts w:cs="Calibri"/>
          <w:szCs w:val="26"/>
        </w:rPr>
        <w:tab/>
        <w:t>Methodological issues</w:t>
      </w:r>
      <w:bookmarkEnd w:id="1081"/>
    </w:p>
    <w:p w14:paraId="3812CF06" w14:textId="77777777" w:rsidR="00F849A7" w:rsidRPr="00D9348B" w:rsidRDefault="00F849A7" w:rsidP="00F849A7">
      <w:pPr>
        <w:pStyle w:val="BodyText"/>
        <w:rPr>
          <w:rFonts w:cs="Calibri"/>
        </w:rPr>
      </w:pPr>
      <w:r w:rsidRPr="00D9348B">
        <w:rPr>
          <w:rFonts w:cs="Calibri"/>
        </w:rPr>
        <w:t>Data on agricultural lime (limestone and dolomite) application are collected by Statistics New Zealand, as a part of its five-yearly Agricultural Production Census and annual surveys in the intervening years. Analysis of the data indicates that, each year, around 90 per cent of agricultural lime used in New Zealand is applied to grassland, with the remaining 10 per cent applied to cropland.</w:t>
      </w:r>
    </w:p>
    <w:p w14:paraId="449CEF92" w14:textId="77777777" w:rsidR="00F849A7" w:rsidRPr="00D9348B" w:rsidRDefault="00F849A7" w:rsidP="00F849A7">
      <w:pPr>
        <w:pStyle w:val="BodyText"/>
        <w:rPr>
          <w:rFonts w:cs="Calibri"/>
          <w:spacing w:val="-2"/>
        </w:rPr>
      </w:pPr>
      <w:r w:rsidRPr="00D9348B">
        <w:rPr>
          <w:rFonts w:cs="Calibri"/>
          <w:spacing w:val="-2"/>
        </w:rPr>
        <w:t>There is no country-specific methodology on CO</w:t>
      </w:r>
      <w:r w:rsidRPr="00D9348B">
        <w:rPr>
          <w:rFonts w:cs="Calibri"/>
          <w:spacing w:val="-2"/>
          <w:vertAlign w:val="subscript"/>
        </w:rPr>
        <w:t>2</w:t>
      </w:r>
      <w:r w:rsidRPr="00D9348B">
        <w:rPr>
          <w:rFonts w:cs="Calibri"/>
          <w:spacing w:val="-2"/>
        </w:rPr>
        <w:t xml:space="preserve"> emissions from liming and dolomite fertilisers that has been developed in New Zealand. Emissions associated with liming are estimated by following the Tier 1 methodology (equation 11.12; IPCC, 2006), using default emission factors for carbon conversion of 0.12 and 0.13 for limestone and dolomite respectively. </w:t>
      </w:r>
    </w:p>
    <w:p w14:paraId="539F9E70" w14:textId="77777777" w:rsidR="00F849A7" w:rsidRPr="00D9348B" w:rsidRDefault="00F849A7" w:rsidP="00F849A7">
      <w:pPr>
        <w:pStyle w:val="Heading3"/>
        <w:spacing w:before="280"/>
        <w:rPr>
          <w:rFonts w:cs="Calibri"/>
          <w:szCs w:val="26"/>
        </w:rPr>
      </w:pPr>
      <w:bookmarkStart w:id="1082" w:name="_Toc32570685"/>
      <w:r w:rsidRPr="00D9348B">
        <w:rPr>
          <w:rFonts w:cs="Calibri"/>
          <w:szCs w:val="26"/>
        </w:rPr>
        <w:t>5.8.3</w:t>
      </w:r>
      <w:r w:rsidRPr="00D9348B">
        <w:rPr>
          <w:rFonts w:cs="Calibri"/>
          <w:szCs w:val="26"/>
        </w:rPr>
        <w:tab/>
        <w:t>Activity data</w:t>
      </w:r>
      <w:bookmarkEnd w:id="1082"/>
    </w:p>
    <w:p w14:paraId="2D8E05D5" w14:textId="77777777" w:rsidR="00F849A7" w:rsidRPr="00D9348B" w:rsidRDefault="00F849A7" w:rsidP="00F849A7">
      <w:pPr>
        <w:pStyle w:val="BodyText"/>
        <w:rPr>
          <w:rFonts w:cs="Calibri"/>
        </w:rPr>
      </w:pPr>
      <w:r w:rsidRPr="00D9348B">
        <w:rPr>
          <w:rFonts w:cs="Calibri"/>
        </w:rPr>
        <w:t>Limestone is more commonly applied than dolomite in New Zealand. Limestone occurs widely in New Zealand whereas dolomite is only available from a smaller, localised source. Activity data sourced from the Statistics New Zealand Agricultural Production Census shows that limestone application has declined since 2002, while dolomite use peaked in 2010 and has fallen since then. The quantity of lime applied as limestone and dolomite varies each year and is influenced by a number of factors, including farm profitability (see figures 5.8.1 and 5.8.2). The quality of the lime applied is assumed to be 100 per cent limestone.</w:t>
      </w:r>
    </w:p>
    <w:p w14:paraId="3C82795F" w14:textId="77777777" w:rsidR="00F849A7" w:rsidRPr="00D9348B" w:rsidRDefault="00F849A7" w:rsidP="00F849A7">
      <w:pPr>
        <w:pStyle w:val="Figure"/>
        <w:spacing w:after="0"/>
        <w:rPr>
          <w:rFonts w:cs="Calibri"/>
        </w:rPr>
      </w:pPr>
      <w:bookmarkStart w:id="1083" w:name="_Toc447275698"/>
      <w:bookmarkStart w:id="1084" w:name="_Toc481752017"/>
      <w:bookmarkStart w:id="1085" w:name="_Toc507158476"/>
      <w:bookmarkStart w:id="1086" w:name="_Toc511116967"/>
      <w:bookmarkStart w:id="1087" w:name="_Toc5269697"/>
      <w:bookmarkStart w:id="1088" w:name="_Toc32570968"/>
      <w:bookmarkStart w:id="1089" w:name="_Toc36292798"/>
      <w:r w:rsidRPr="00D9348B">
        <w:rPr>
          <w:rFonts w:cs="Calibri"/>
        </w:rPr>
        <w:lastRenderedPageBreak/>
        <w:t>Figure 5.8.1</w:t>
      </w:r>
      <w:r w:rsidRPr="00D9348B">
        <w:rPr>
          <w:rFonts w:cs="Calibri"/>
        </w:rPr>
        <w:tab/>
        <w:t>Limestone usage on agricultural land in New Zealand from 1990 to </w:t>
      </w:r>
      <w:bookmarkEnd w:id="1083"/>
      <w:bookmarkEnd w:id="1084"/>
      <w:bookmarkEnd w:id="1085"/>
      <w:bookmarkEnd w:id="1086"/>
      <w:bookmarkEnd w:id="1087"/>
      <w:r w:rsidRPr="00D9348B">
        <w:rPr>
          <w:rFonts w:cs="Calibri"/>
        </w:rPr>
        <w:t>2018</w:t>
      </w:r>
      <w:bookmarkEnd w:id="1088"/>
      <w:bookmarkEnd w:id="1089"/>
    </w:p>
    <w:p w14:paraId="747705CE" w14:textId="21E2FE7B" w:rsidR="00F849A7" w:rsidRPr="00D9348B" w:rsidRDefault="007165CF" w:rsidP="00F849A7">
      <w:pPr>
        <w:pStyle w:val="BodyText"/>
        <w:spacing w:before="0"/>
        <w:rPr>
          <w:rFonts w:cs="Calibri"/>
        </w:rPr>
      </w:pPr>
      <w:r>
        <w:rPr>
          <w:rFonts w:cs="Calibri"/>
        </w:rPr>
        <w:pict w14:anchorId="34574B56">
          <v:shape id="_x0000_i1118" type="#_x0000_t75" style="width:418.85pt;height:245.45pt;visibility:visible;mso-position-vertical:absolute">
            <v:imagedata r:id="rId188" o:title="" cropbottom="1477f"/>
            <o:lock v:ext="edit" aspectratio="f"/>
          </v:shape>
        </w:pict>
      </w:r>
    </w:p>
    <w:p w14:paraId="152696F1" w14:textId="77777777" w:rsidR="00F849A7" w:rsidRPr="00D9348B" w:rsidRDefault="00F849A7" w:rsidP="00F849A7">
      <w:pPr>
        <w:pStyle w:val="Figure"/>
        <w:spacing w:after="60"/>
        <w:rPr>
          <w:rFonts w:cs="Calibri"/>
        </w:rPr>
      </w:pPr>
      <w:bookmarkStart w:id="1090" w:name="_Toc507158477"/>
      <w:bookmarkStart w:id="1091" w:name="_Toc511116968"/>
      <w:bookmarkStart w:id="1092" w:name="_Toc5269698"/>
      <w:bookmarkStart w:id="1093" w:name="_Toc32570969"/>
      <w:bookmarkStart w:id="1094" w:name="_Toc36292799"/>
      <w:r w:rsidRPr="00D9348B">
        <w:rPr>
          <w:rFonts w:cs="Calibri"/>
        </w:rPr>
        <w:t>Figure 5.8.2</w:t>
      </w:r>
      <w:r w:rsidRPr="00D9348B">
        <w:rPr>
          <w:rFonts w:cs="Calibri"/>
        </w:rPr>
        <w:tab/>
        <w:t>Dolomite usage on agricultural land in New Zealand from 1990 to </w:t>
      </w:r>
      <w:bookmarkEnd w:id="1090"/>
      <w:bookmarkEnd w:id="1091"/>
      <w:bookmarkEnd w:id="1092"/>
      <w:r w:rsidRPr="00D9348B">
        <w:rPr>
          <w:rFonts w:cs="Calibri"/>
        </w:rPr>
        <w:t>2018</w:t>
      </w:r>
      <w:bookmarkEnd w:id="1093"/>
      <w:bookmarkEnd w:id="1094"/>
    </w:p>
    <w:p w14:paraId="04794CA2" w14:textId="30AE4764" w:rsidR="00F849A7" w:rsidRPr="00D9348B" w:rsidRDefault="007165CF" w:rsidP="006C5461">
      <w:pPr>
        <w:pStyle w:val="BodyText"/>
        <w:spacing w:before="0"/>
        <w:rPr>
          <w:rFonts w:cs="Calibri"/>
        </w:rPr>
      </w:pPr>
      <w:r>
        <w:rPr>
          <w:rFonts w:cs="Calibri"/>
        </w:rPr>
        <w:pict w14:anchorId="0952F5CA">
          <v:shape id="_x0000_i1119" type="#_x0000_t75" style="width:417.6pt;height:242.9pt;visibility:visible">
            <v:imagedata r:id="rId189" o:title="" cropbottom="1345f" cropright="1179f"/>
            <o:lock v:ext="edit" aspectratio="f"/>
          </v:shape>
        </w:pict>
      </w:r>
      <w:r w:rsidR="00F849A7" w:rsidRPr="00D9348B" w:rsidDel="00ED68F6">
        <w:rPr>
          <w:rFonts w:cs="Calibri"/>
        </w:rPr>
        <w:t xml:space="preserve"> </w:t>
      </w:r>
    </w:p>
    <w:p w14:paraId="3C7D955B" w14:textId="77777777" w:rsidR="00F849A7" w:rsidRPr="00D9348B" w:rsidRDefault="00F849A7" w:rsidP="00F849A7">
      <w:pPr>
        <w:pStyle w:val="Heading3"/>
        <w:spacing w:before="240"/>
        <w:rPr>
          <w:rFonts w:cs="Calibri"/>
          <w:szCs w:val="26"/>
        </w:rPr>
      </w:pPr>
      <w:bookmarkStart w:id="1095" w:name="_Toc32570686"/>
      <w:r w:rsidRPr="00D9348B">
        <w:rPr>
          <w:rFonts w:cs="Calibri"/>
          <w:szCs w:val="26"/>
        </w:rPr>
        <w:t>5.8.4</w:t>
      </w:r>
      <w:r w:rsidRPr="00D9348B">
        <w:rPr>
          <w:rFonts w:cs="Calibri"/>
          <w:szCs w:val="26"/>
        </w:rPr>
        <w:tab/>
        <w:t>Uncertainties and time-series consistency</w:t>
      </w:r>
      <w:bookmarkEnd w:id="1095"/>
    </w:p>
    <w:p w14:paraId="38D787DF" w14:textId="77777777" w:rsidR="00F849A7" w:rsidRPr="00D9348B" w:rsidRDefault="00F849A7" w:rsidP="00F849A7">
      <w:pPr>
        <w:pStyle w:val="BodyText"/>
        <w:rPr>
          <w:rFonts w:cs="Calibri"/>
        </w:rPr>
      </w:pPr>
      <w:r w:rsidRPr="00D9348B">
        <w:rPr>
          <w:rFonts w:cs="Calibri"/>
        </w:rPr>
        <w:t>Using the IPCC (2006) Tier 1 methodology, default emission factors are used, which are based on the chemical formulae of lime and assume all carbon in lime is emitted as CO</w:t>
      </w:r>
      <w:r w:rsidRPr="00D9348B">
        <w:rPr>
          <w:rFonts w:cs="Calibri"/>
          <w:vertAlign w:val="subscript"/>
        </w:rPr>
        <w:t>2</w:t>
      </w:r>
      <w:r w:rsidRPr="00D9348B">
        <w:rPr>
          <w:rFonts w:cs="Calibri"/>
        </w:rPr>
        <w:t xml:space="preserve"> into the atmosphere. However, the 2006 IPCC Guidelines state that the maximum available C is not necessarily lost and that the emissions could be up to 50 per cent lower. This gives a lower uncertainty estimate of –50 per cent and an upper uncertainty estimate of 0 per cent.</w:t>
      </w:r>
      <w:r w:rsidRPr="00D9348B" w:rsidDel="00D42FD1">
        <w:rPr>
          <w:rFonts w:cs="Calibri"/>
        </w:rPr>
        <w:t xml:space="preserve"> </w:t>
      </w:r>
    </w:p>
    <w:p w14:paraId="3F843840" w14:textId="77777777" w:rsidR="00F849A7" w:rsidRPr="00D9348B" w:rsidRDefault="00F849A7" w:rsidP="00F849A7">
      <w:pPr>
        <w:pStyle w:val="BodyText"/>
        <w:rPr>
          <w:rFonts w:cs="Calibri"/>
        </w:rPr>
      </w:pPr>
      <w:r w:rsidRPr="00D9348B">
        <w:rPr>
          <w:rFonts w:cs="Calibri"/>
        </w:rPr>
        <w:t>The Agricultural Production Census and Survey data used in the inventory have gaps in the time series: no data are available for 1991 or between 1997 and 2001. In the absence of other supporting data, linear interpolation has been used to estimate the data for these years.</w:t>
      </w:r>
    </w:p>
    <w:p w14:paraId="4E6EB89B" w14:textId="77777777" w:rsidR="00F849A7" w:rsidRPr="00D9348B" w:rsidRDefault="00F849A7" w:rsidP="00F849A7">
      <w:pPr>
        <w:pStyle w:val="Heading3"/>
        <w:rPr>
          <w:rFonts w:cs="Calibri"/>
        </w:rPr>
      </w:pPr>
      <w:bookmarkStart w:id="1096" w:name="_Toc32570687"/>
      <w:r w:rsidRPr="00D9348B">
        <w:rPr>
          <w:rFonts w:cs="Calibri"/>
        </w:rPr>
        <w:lastRenderedPageBreak/>
        <w:t>5.8.5</w:t>
      </w:r>
      <w:r w:rsidRPr="00D9348B">
        <w:rPr>
          <w:rFonts w:cs="Calibri"/>
        </w:rPr>
        <w:tab/>
        <w:t>Source-specific QA/QC and verification</w:t>
      </w:r>
      <w:bookmarkEnd w:id="1096"/>
    </w:p>
    <w:p w14:paraId="08ACE57C" w14:textId="0D99AB63" w:rsidR="00F849A7" w:rsidRPr="00D9348B" w:rsidRDefault="00F849A7" w:rsidP="00F849A7">
      <w:pPr>
        <w:pStyle w:val="BodyText"/>
        <w:rPr>
          <w:rFonts w:cs="Calibri"/>
        </w:rPr>
      </w:pPr>
      <w:r w:rsidRPr="00D9348B">
        <w:rPr>
          <w:rFonts w:cs="Calibri"/>
        </w:rPr>
        <w:t xml:space="preserve">In the preparation of this inventory, the data for </w:t>
      </w:r>
      <w:r w:rsidRPr="00D9348B">
        <w:rPr>
          <w:rFonts w:cs="Calibri"/>
          <w:i/>
        </w:rPr>
        <w:t>Liming</w:t>
      </w:r>
      <w:r w:rsidRPr="00D9348B">
        <w:rPr>
          <w:rFonts w:cs="Calibri"/>
        </w:rPr>
        <w:t xml:space="preserve"> underwent Tier 1 quality checks. Statistics New Zealand, the agency that collects the activity data for </w:t>
      </w:r>
      <w:r w:rsidRPr="00D9348B">
        <w:rPr>
          <w:rFonts w:cs="Calibri"/>
          <w:i/>
        </w:rPr>
        <w:t>Liming</w:t>
      </w:r>
      <w:r w:rsidRPr="00D9348B">
        <w:rPr>
          <w:rFonts w:cs="Calibri"/>
        </w:rPr>
        <w:t>, also carries out a</w:t>
      </w:r>
      <w:r w:rsidR="006C5461" w:rsidRPr="00D9348B">
        <w:rPr>
          <w:rFonts w:cs="Calibri"/>
        </w:rPr>
        <w:t> </w:t>
      </w:r>
      <w:r w:rsidRPr="00D9348B">
        <w:rPr>
          <w:rFonts w:cs="Calibri"/>
        </w:rPr>
        <w:t>series of quality-assurance and quality-control procedures as part of the data collection carried out each year.</w:t>
      </w:r>
    </w:p>
    <w:p w14:paraId="6BEC6AFC" w14:textId="77777777" w:rsidR="00F849A7" w:rsidRPr="00D9348B" w:rsidRDefault="00F849A7" w:rsidP="00F849A7">
      <w:pPr>
        <w:pStyle w:val="Heading3"/>
        <w:spacing w:before="240"/>
        <w:rPr>
          <w:rFonts w:cs="Calibri"/>
        </w:rPr>
      </w:pPr>
      <w:bookmarkStart w:id="1097" w:name="_Toc32570688"/>
      <w:r w:rsidRPr="00D9348B">
        <w:rPr>
          <w:rFonts w:cs="Calibri"/>
        </w:rPr>
        <w:t>5.8.6</w:t>
      </w:r>
      <w:r w:rsidRPr="00D9348B">
        <w:rPr>
          <w:rFonts w:cs="Calibri"/>
        </w:rPr>
        <w:tab/>
        <w:t>Source-specific recalculations</w:t>
      </w:r>
      <w:bookmarkEnd w:id="1097"/>
    </w:p>
    <w:p w14:paraId="67D13470" w14:textId="77777777" w:rsidR="00F849A7" w:rsidRPr="00D9348B" w:rsidRDefault="00F849A7" w:rsidP="00F849A7">
      <w:pPr>
        <w:pStyle w:val="BodyText"/>
        <w:rPr>
          <w:rFonts w:cs="Calibri"/>
        </w:rPr>
      </w:pPr>
      <w:r w:rsidRPr="00D9348B">
        <w:rPr>
          <w:rFonts w:cs="Calibri"/>
        </w:rPr>
        <w:t xml:space="preserve">No changes in activity data for lime and dolomite fertilisers were reported and therefore no source-specific recalculations were performed for </w:t>
      </w:r>
      <w:r w:rsidRPr="00D9348B">
        <w:rPr>
          <w:rFonts w:cs="Calibri"/>
          <w:i/>
        </w:rPr>
        <w:t>Liming</w:t>
      </w:r>
      <w:r w:rsidRPr="00D9348B">
        <w:rPr>
          <w:rFonts w:cs="Calibri"/>
        </w:rPr>
        <w:t xml:space="preserve"> in the 2020 (1990 to 2018) submission.</w:t>
      </w:r>
    </w:p>
    <w:p w14:paraId="5FD5A64B" w14:textId="77777777" w:rsidR="00F849A7" w:rsidRPr="00D9348B" w:rsidRDefault="00F849A7" w:rsidP="00F849A7">
      <w:pPr>
        <w:pStyle w:val="Heading3"/>
        <w:spacing w:before="240"/>
        <w:rPr>
          <w:rFonts w:cs="Calibri"/>
        </w:rPr>
      </w:pPr>
      <w:bookmarkStart w:id="1098" w:name="_Toc32570689"/>
      <w:r w:rsidRPr="00D9348B">
        <w:rPr>
          <w:rFonts w:cs="Calibri"/>
        </w:rPr>
        <w:t>5.8.7</w:t>
      </w:r>
      <w:r w:rsidRPr="00D9348B">
        <w:rPr>
          <w:rFonts w:cs="Calibri"/>
        </w:rPr>
        <w:tab/>
        <w:t>Source-specific planned improvements</w:t>
      </w:r>
      <w:bookmarkEnd w:id="1098"/>
    </w:p>
    <w:p w14:paraId="225983E2" w14:textId="77777777" w:rsidR="00F849A7" w:rsidRPr="00D9348B" w:rsidRDefault="00F849A7" w:rsidP="00F849A7">
      <w:pPr>
        <w:pStyle w:val="BodyText"/>
        <w:rPr>
          <w:rFonts w:cs="Calibri"/>
        </w:rPr>
      </w:pPr>
      <w:r w:rsidRPr="00D9348B">
        <w:rPr>
          <w:rFonts w:cs="Calibri"/>
        </w:rPr>
        <w:t xml:space="preserve">New Zealand will continue to update activity data on </w:t>
      </w:r>
      <w:r w:rsidRPr="00D9348B">
        <w:rPr>
          <w:rFonts w:cs="Calibri"/>
          <w:i/>
        </w:rPr>
        <w:t>Liming</w:t>
      </w:r>
      <w:r w:rsidRPr="00D9348B">
        <w:rPr>
          <w:rFonts w:cs="Calibri"/>
        </w:rPr>
        <w:t xml:space="preserve"> as the data become available from Statistics New Zealand. No other future improvements are currently planned.</w:t>
      </w:r>
    </w:p>
    <w:p w14:paraId="5F253982" w14:textId="77777777" w:rsidR="00F849A7" w:rsidRPr="00D9348B" w:rsidRDefault="00F849A7" w:rsidP="00F849A7">
      <w:pPr>
        <w:pStyle w:val="Heading2"/>
        <w:spacing w:before="240"/>
        <w:rPr>
          <w:rFonts w:cs="Calibri"/>
          <w:sz w:val="28"/>
        </w:rPr>
      </w:pPr>
      <w:bookmarkStart w:id="1099" w:name="_Toc448321530"/>
      <w:bookmarkStart w:id="1100" w:name="_Toc481751392"/>
      <w:bookmarkStart w:id="1101" w:name="_Toc511116607"/>
      <w:bookmarkStart w:id="1102" w:name="_Toc5269369"/>
      <w:bookmarkStart w:id="1103" w:name="_Toc32570690"/>
      <w:bookmarkStart w:id="1104" w:name="_Toc36224409"/>
      <w:r w:rsidRPr="00D9348B">
        <w:rPr>
          <w:rFonts w:cs="Calibri"/>
          <w:sz w:val="28"/>
        </w:rPr>
        <w:t>5.9</w:t>
      </w:r>
      <w:r w:rsidRPr="00D9348B">
        <w:rPr>
          <w:rFonts w:cs="Calibri"/>
          <w:sz w:val="28"/>
        </w:rPr>
        <w:tab/>
        <w:t>Urea application (CRF 3.H)</w:t>
      </w:r>
      <w:bookmarkEnd w:id="1099"/>
      <w:bookmarkEnd w:id="1100"/>
      <w:bookmarkEnd w:id="1101"/>
      <w:bookmarkEnd w:id="1102"/>
      <w:bookmarkEnd w:id="1103"/>
      <w:bookmarkEnd w:id="1104"/>
    </w:p>
    <w:p w14:paraId="321C2A36" w14:textId="77777777" w:rsidR="00F849A7" w:rsidRPr="00D9348B" w:rsidRDefault="00F849A7" w:rsidP="00F849A7">
      <w:pPr>
        <w:pStyle w:val="Heading3"/>
        <w:spacing w:before="120"/>
        <w:rPr>
          <w:rFonts w:cs="Calibri"/>
          <w:szCs w:val="26"/>
        </w:rPr>
      </w:pPr>
      <w:bookmarkStart w:id="1105" w:name="_Toc32570691"/>
      <w:r w:rsidRPr="00D9348B">
        <w:rPr>
          <w:rFonts w:cs="Calibri"/>
          <w:szCs w:val="26"/>
        </w:rPr>
        <w:t>5.9.1</w:t>
      </w:r>
      <w:r w:rsidRPr="00D9348B">
        <w:rPr>
          <w:rFonts w:cs="Calibri"/>
          <w:szCs w:val="26"/>
        </w:rPr>
        <w:tab/>
        <w:t>Description</w:t>
      </w:r>
      <w:bookmarkEnd w:id="1105"/>
    </w:p>
    <w:p w14:paraId="7D8C285D" w14:textId="77777777" w:rsidR="00F849A7" w:rsidRPr="00D9348B" w:rsidRDefault="00F849A7" w:rsidP="00F849A7">
      <w:pPr>
        <w:pStyle w:val="BodyText"/>
        <w:rPr>
          <w:rFonts w:cs="Calibri"/>
        </w:rPr>
      </w:pPr>
      <w:r w:rsidRPr="00D9348B">
        <w:rPr>
          <w:rFonts w:cs="Calibri"/>
        </w:rPr>
        <w:t xml:space="preserve">Urea fertiliser accounts for the majority of synthetic nitrogen fertiliser used in New Zealand. It is mainly applied to dairy pasture land to boost pasture growth during the autumn and spring months. </w:t>
      </w:r>
    </w:p>
    <w:p w14:paraId="04F57452" w14:textId="77777777" w:rsidR="00F849A7" w:rsidRPr="00D9348B" w:rsidRDefault="00F849A7" w:rsidP="00F849A7">
      <w:pPr>
        <w:pStyle w:val="BodyText"/>
        <w:rPr>
          <w:rFonts w:cs="Calibri"/>
        </w:rPr>
      </w:pPr>
      <w:r w:rsidRPr="00D9348B">
        <w:rPr>
          <w:rFonts w:cs="Calibri"/>
          <w:i/>
        </w:rPr>
        <w:t>Urea application</w:t>
      </w:r>
      <w:r w:rsidRPr="00D9348B">
        <w:rPr>
          <w:rFonts w:cs="Calibri"/>
        </w:rPr>
        <w:t xml:space="preserve"> was identified as a key category for the Agriculture sector in 2018 (level and trend assessment).</w:t>
      </w:r>
    </w:p>
    <w:p w14:paraId="577C1D11" w14:textId="77777777" w:rsidR="00F849A7" w:rsidRPr="00D9348B" w:rsidRDefault="00F849A7" w:rsidP="00F849A7">
      <w:pPr>
        <w:pStyle w:val="BodyText"/>
        <w:rPr>
          <w:rFonts w:cs="Calibri"/>
        </w:rPr>
      </w:pPr>
      <w:r w:rsidRPr="00D9348B">
        <w:rPr>
          <w:rFonts w:cs="Calibri"/>
          <w:i/>
        </w:rPr>
        <w:t>Urea application</w:t>
      </w:r>
      <w:r w:rsidRPr="00D9348B">
        <w:rPr>
          <w:rFonts w:cs="Calibri"/>
        </w:rPr>
        <w:t xml:space="preserve"> contributed an estimated 608.2 kt CO</w:t>
      </w:r>
      <w:r w:rsidRPr="00D9348B">
        <w:rPr>
          <w:rFonts w:cs="Calibri"/>
          <w:vertAlign w:val="subscript"/>
        </w:rPr>
        <w:t>2</w:t>
      </w:r>
      <w:r w:rsidRPr="00D9348B">
        <w:rPr>
          <w:rFonts w:cs="Calibri"/>
        </w:rPr>
        <w:t>,</w:t>
      </w:r>
      <w:r w:rsidRPr="00D9348B">
        <w:rPr>
          <w:rFonts w:cs="Calibri"/>
          <w:vertAlign w:val="subscript"/>
        </w:rPr>
        <w:t xml:space="preserve"> </w:t>
      </w:r>
      <w:r w:rsidRPr="00D9348B">
        <w:rPr>
          <w:rFonts w:cs="Calibri"/>
        </w:rPr>
        <w:t xml:space="preserve">representing 0.8 per cent of New Zealand’s gross emissions and 1.6 per cent of </w:t>
      </w:r>
      <w:r w:rsidRPr="00D9348B">
        <w:rPr>
          <w:rFonts w:cs="Calibri"/>
          <w:iCs/>
        </w:rPr>
        <w:t xml:space="preserve">Agriculture </w:t>
      </w:r>
      <w:r w:rsidRPr="00D9348B">
        <w:rPr>
          <w:rFonts w:cs="Calibri"/>
        </w:rPr>
        <w:t>emissions in 2018.</w:t>
      </w:r>
    </w:p>
    <w:p w14:paraId="4F74069E" w14:textId="77777777" w:rsidR="00F849A7" w:rsidRPr="00D9348B" w:rsidRDefault="00F849A7" w:rsidP="00F849A7">
      <w:pPr>
        <w:pStyle w:val="BodyText"/>
        <w:rPr>
          <w:rFonts w:cs="Calibri"/>
        </w:rPr>
      </w:pPr>
      <w:r w:rsidRPr="00D9348B">
        <w:rPr>
          <w:rFonts w:cs="Calibri"/>
        </w:rPr>
        <w:t xml:space="preserve">Emissions from </w:t>
      </w:r>
      <w:r w:rsidRPr="00D9348B">
        <w:rPr>
          <w:rFonts w:cs="Calibri"/>
          <w:i/>
        </w:rPr>
        <w:t>Urea application</w:t>
      </w:r>
      <w:r w:rsidRPr="00D9348B">
        <w:rPr>
          <w:rFonts w:cs="Calibri"/>
        </w:rPr>
        <w:t xml:space="preserve"> increased 1,451.7 per cent between 1990 and 2018. The increase in emissions from </w:t>
      </w:r>
      <w:r w:rsidRPr="00D9348B">
        <w:rPr>
          <w:rFonts w:cs="Calibri"/>
          <w:i/>
        </w:rPr>
        <w:t>Urea application</w:t>
      </w:r>
      <w:r w:rsidRPr="00D9348B">
        <w:rPr>
          <w:rFonts w:cs="Calibri"/>
        </w:rPr>
        <w:t xml:space="preserve"> is driven by the increase in urea fertiliser applied. Since 1990, the proportion of urea fertiliser applied (relative to total synthetic nitrogen fertiliser use) has increased from 41.5 per cent to 83.3 per cent.</w:t>
      </w:r>
    </w:p>
    <w:p w14:paraId="312EB563" w14:textId="77777777" w:rsidR="00F849A7" w:rsidRPr="00D9348B" w:rsidRDefault="00F849A7" w:rsidP="00F849A7">
      <w:pPr>
        <w:pStyle w:val="Heading3"/>
        <w:spacing w:before="240"/>
        <w:rPr>
          <w:rFonts w:cs="Calibri"/>
        </w:rPr>
      </w:pPr>
      <w:bookmarkStart w:id="1106" w:name="_Toc32570692"/>
      <w:r w:rsidRPr="00D9348B">
        <w:rPr>
          <w:rFonts w:cs="Calibri"/>
        </w:rPr>
        <w:t>5.9.2</w:t>
      </w:r>
      <w:r w:rsidRPr="00D9348B">
        <w:rPr>
          <w:rFonts w:cs="Calibri"/>
        </w:rPr>
        <w:tab/>
        <w:t>Methodological issues</w:t>
      </w:r>
      <w:bookmarkEnd w:id="1106"/>
    </w:p>
    <w:p w14:paraId="67F17692" w14:textId="77777777" w:rsidR="00F849A7" w:rsidRPr="00D9348B" w:rsidRDefault="00F849A7" w:rsidP="00F849A7">
      <w:pPr>
        <w:pStyle w:val="BodyText"/>
        <w:rPr>
          <w:rFonts w:cs="Calibri"/>
        </w:rPr>
      </w:pPr>
      <w:r w:rsidRPr="00D9348B">
        <w:rPr>
          <w:rFonts w:cs="Calibri"/>
        </w:rPr>
        <w:t>There is no country-specific methodology on CO</w:t>
      </w:r>
      <w:r w:rsidRPr="00D9348B">
        <w:rPr>
          <w:rFonts w:cs="Calibri"/>
          <w:vertAlign w:val="subscript"/>
        </w:rPr>
        <w:t>2</w:t>
      </w:r>
      <w:r w:rsidRPr="00D9348B">
        <w:rPr>
          <w:rFonts w:cs="Calibri"/>
        </w:rPr>
        <w:t xml:space="preserve"> emissions from </w:t>
      </w:r>
      <w:r w:rsidRPr="00D9348B">
        <w:rPr>
          <w:rFonts w:cs="Calibri"/>
          <w:i/>
        </w:rPr>
        <w:t>Urea application</w:t>
      </w:r>
      <w:r w:rsidRPr="00D9348B">
        <w:rPr>
          <w:rFonts w:cs="Calibri"/>
        </w:rPr>
        <w:t xml:space="preserve"> for New Zealand. Emissions associated with the application of urea are estimated using a Tier 1 methodology (equation 11.13; IPCC, 2006), using the default emission factor for carbon conversion of 0.20. </w:t>
      </w:r>
    </w:p>
    <w:p w14:paraId="355EB68D" w14:textId="77777777" w:rsidR="00F849A7" w:rsidRPr="00D9348B" w:rsidRDefault="00F849A7" w:rsidP="00F849A7">
      <w:pPr>
        <w:pStyle w:val="BodyText"/>
        <w:rPr>
          <w:rFonts w:cs="Calibri"/>
        </w:rPr>
      </w:pPr>
      <w:r w:rsidRPr="00D9348B">
        <w:rPr>
          <w:rFonts w:cs="Calibri"/>
        </w:rPr>
        <w:t>Research into urease inhibitors (see section 5.5.2) has demonstrated that they are effective in slowing down the activity of the urease enzyme that hydrolyses urea to ammonium (as reported in section 5.5.2), but they do not reduce the release of CO</w:t>
      </w:r>
      <w:r w:rsidRPr="00D9348B">
        <w:rPr>
          <w:rFonts w:cs="Calibri"/>
          <w:vertAlign w:val="subscript"/>
        </w:rPr>
        <w:t>2</w:t>
      </w:r>
      <w:r w:rsidRPr="00D9348B">
        <w:rPr>
          <w:rFonts w:cs="Calibri"/>
        </w:rPr>
        <w:t xml:space="preserve"> (S Saggar, pers. comm., 2014).</w:t>
      </w:r>
    </w:p>
    <w:p w14:paraId="0D8E0E33" w14:textId="77777777" w:rsidR="00F849A7" w:rsidRPr="00D9348B" w:rsidRDefault="00F849A7" w:rsidP="00F849A7">
      <w:pPr>
        <w:pStyle w:val="Heading3"/>
        <w:spacing w:before="240"/>
        <w:rPr>
          <w:rFonts w:cs="Calibri"/>
        </w:rPr>
      </w:pPr>
      <w:bookmarkStart w:id="1107" w:name="_Toc32570693"/>
      <w:r w:rsidRPr="00D9348B">
        <w:rPr>
          <w:rFonts w:cs="Calibri"/>
        </w:rPr>
        <w:t>5.9.3</w:t>
      </w:r>
      <w:r w:rsidRPr="00D9348B">
        <w:rPr>
          <w:rFonts w:cs="Calibri"/>
        </w:rPr>
        <w:tab/>
        <w:t>Activity data</w:t>
      </w:r>
      <w:bookmarkEnd w:id="1107"/>
    </w:p>
    <w:p w14:paraId="1DC37F3D" w14:textId="77777777" w:rsidR="00F849A7" w:rsidRPr="00D9348B" w:rsidRDefault="00F849A7" w:rsidP="00F849A7">
      <w:pPr>
        <w:pStyle w:val="BodyText"/>
        <w:rPr>
          <w:rFonts w:cs="Calibri"/>
        </w:rPr>
      </w:pPr>
      <w:r w:rsidRPr="00D9348B">
        <w:rPr>
          <w:rFonts w:cs="Calibri"/>
        </w:rPr>
        <w:t xml:space="preserve">Data on synthetic nitrogen fertiliser use are provided by the Fertiliser Association of New Zealand from sales records for 1990 to 2018. From 1990 to 2013, data on the percentage of </w:t>
      </w:r>
      <w:r w:rsidRPr="00D9348B">
        <w:rPr>
          <w:rFonts w:cs="Calibri"/>
        </w:rPr>
        <w:lastRenderedPageBreak/>
        <w:t xml:space="preserve">synthetic nitrogen fertiliser derived from urea were sourced from the International Fertilizer Industry Association online database and are used to calculate the amount of applied urea fertiliser. Since 2014, data for total nitrogen from synthetic nitrogen fertiliser derived from urea have been provided by the Fertiliser Association of New Zealand. </w:t>
      </w:r>
    </w:p>
    <w:p w14:paraId="6FF5104A" w14:textId="77777777" w:rsidR="00F849A7" w:rsidRPr="00D9348B" w:rsidRDefault="00F849A7" w:rsidP="00F849A7">
      <w:pPr>
        <w:pStyle w:val="BodyText"/>
        <w:rPr>
          <w:rFonts w:cs="Calibri"/>
        </w:rPr>
      </w:pPr>
      <w:r w:rsidRPr="00D9348B">
        <w:rPr>
          <w:rFonts w:cs="Calibri"/>
        </w:rPr>
        <w:t xml:space="preserve">There has been a substantial increase in elemental nitrogen applied to agricultural land as urea fertiliser, from 24,586 tonnes in 1990 to 381,500 tonnes in 2018. This is consistent with the increase in the total amount of synthetic nitrogen fertiliser, which is about 672.5 per cent greater than that used in 1990 (see reporting on </w:t>
      </w:r>
      <w:r w:rsidRPr="00D9348B">
        <w:rPr>
          <w:rFonts w:cs="Calibri"/>
          <w:i/>
          <w:iCs/>
        </w:rPr>
        <w:t>Agricultural soils</w:t>
      </w:r>
      <w:r w:rsidRPr="00D9348B">
        <w:rPr>
          <w:rFonts w:cs="Calibri"/>
        </w:rPr>
        <w:t xml:space="preserve"> category and figure 5.5.2). </w:t>
      </w:r>
    </w:p>
    <w:p w14:paraId="277ECB83" w14:textId="77777777" w:rsidR="00F849A7" w:rsidRPr="00D9348B" w:rsidRDefault="00F849A7" w:rsidP="00F849A7">
      <w:pPr>
        <w:pStyle w:val="Heading3"/>
        <w:spacing w:before="240"/>
        <w:rPr>
          <w:rFonts w:cs="Calibri"/>
        </w:rPr>
      </w:pPr>
      <w:bookmarkStart w:id="1108" w:name="_Toc32570694"/>
      <w:r w:rsidRPr="00D9348B">
        <w:rPr>
          <w:rFonts w:cs="Calibri"/>
        </w:rPr>
        <w:t>5.9.4</w:t>
      </w:r>
      <w:r w:rsidRPr="00D9348B">
        <w:rPr>
          <w:rFonts w:cs="Calibri"/>
        </w:rPr>
        <w:tab/>
        <w:t>Uncertainties and time-series consistency</w:t>
      </w:r>
      <w:bookmarkEnd w:id="1108"/>
    </w:p>
    <w:p w14:paraId="46523855" w14:textId="77777777" w:rsidR="00F849A7" w:rsidRPr="00D9348B" w:rsidRDefault="00F849A7" w:rsidP="00F849A7">
      <w:pPr>
        <w:pStyle w:val="BodyText"/>
        <w:rPr>
          <w:rFonts w:cs="Calibri"/>
        </w:rPr>
      </w:pPr>
      <w:r w:rsidRPr="00D9348B">
        <w:rPr>
          <w:rFonts w:cs="Calibri"/>
        </w:rPr>
        <w:t>Under the IPCC (2006) Tier 1 methodology, the default emission factors are used, which are based on the chemical formulae of urea and assume all carbon in urea is emitted as CO</w:t>
      </w:r>
      <w:r w:rsidRPr="00D9348B">
        <w:rPr>
          <w:rFonts w:cs="Calibri"/>
          <w:vertAlign w:val="subscript"/>
        </w:rPr>
        <w:t>2</w:t>
      </w:r>
      <w:r w:rsidRPr="00D9348B">
        <w:rPr>
          <w:rFonts w:cs="Calibri"/>
        </w:rPr>
        <w:t xml:space="preserve"> into the atmosphere. However, the 2006 IPCC Guidelines state that the maximum available C is not necessarily lost and that the emissions could be up to 50 per cent lower. This gives a lower uncertainty estimate of –50 per cent and an upper uncertainty estimate of 0 per cent.</w:t>
      </w:r>
      <w:r w:rsidRPr="00D9348B" w:rsidDel="00D42FD1">
        <w:rPr>
          <w:rFonts w:cs="Calibri"/>
        </w:rPr>
        <w:t xml:space="preserve"> </w:t>
      </w:r>
    </w:p>
    <w:p w14:paraId="5B47E341" w14:textId="77777777" w:rsidR="00F849A7" w:rsidRPr="00D9348B" w:rsidRDefault="00F849A7" w:rsidP="00F849A7">
      <w:pPr>
        <w:pStyle w:val="BodyText"/>
        <w:rPr>
          <w:rFonts w:cs="Calibri"/>
        </w:rPr>
      </w:pPr>
      <w:r w:rsidRPr="00D9348B">
        <w:rPr>
          <w:rFonts w:cs="Calibri"/>
        </w:rPr>
        <w:t xml:space="preserve">Sales data for synthetic nitrogen fertiliser have been supplied for all years by the Fertiliser Association of New Zealand, but the uncertainties in this data are not known. In general, it is difficult to obtain information on the actual timing of application of fertiliser on farm. As outlined above (section 5.9.3), sales data on synthetic nitrogen fertiliser derived from urea was not available before 2014. </w:t>
      </w:r>
    </w:p>
    <w:p w14:paraId="6FE60E4D" w14:textId="77777777" w:rsidR="00F849A7" w:rsidRPr="00D9348B" w:rsidRDefault="00F849A7" w:rsidP="00F849A7">
      <w:pPr>
        <w:pStyle w:val="Heading3"/>
        <w:spacing w:before="240"/>
        <w:rPr>
          <w:rFonts w:cs="Calibri"/>
        </w:rPr>
      </w:pPr>
      <w:bookmarkStart w:id="1109" w:name="_Toc32570695"/>
      <w:r w:rsidRPr="00D9348B">
        <w:rPr>
          <w:rFonts w:cs="Calibri"/>
        </w:rPr>
        <w:t>5.9.5</w:t>
      </w:r>
      <w:r w:rsidRPr="00D9348B">
        <w:rPr>
          <w:rFonts w:cs="Calibri"/>
        </w:rPr>
        <w:tab/>
        <w:t>Source-specific QA/QC and verification</w:t>
      </w:r>
      <w:bookmarkEnd w:id="1109"/>
    </w:p>
    <w:p w14:paraId="67BF8A12" w14:textId="77777777" w:rsidR="00F849A7" w:rsidRPr="00D9348B" w:rsidRDefault="00F849A7" w:rsidP="00F849A7">
      <w:pPr>
        <w:pStyle w:val="BodyText"/>
        <w:rPr>
          <w:rFonts w:cs="Calibri"/>
        </w:rPr>
      </w:pPr>
      <w:r w:rsidRPr="00D9348B">
        <w:rPr>
          <w:rFonts w:cs="Calibri"/>
        </w:rPr>
        <w:t>In the preparation of this inventory, the data for urea fertiliser underwent Tier 1 quality checks. The Fertiliser Association of New Zealand, the organisation that collects the sales activity information for synthetic nitrogen fertiliser, also carries out a series of quality-assurance and quality-control procedures as a part of the data collection carried out each year.</w:t>
      </w:r>
    </w:p>
    <w:p w14:paraId="3A20B62C" w14:textId="77777777" w:rsidR="00F849A7" w:rsidRPr="00D9348B" w:rsidRDefault="00F849A7" w:rsidP="00F849A7">
      <w:pPr>
        <w:pStyle w:val="Heading3"/>
        <w:spacing w:before="240"/>
        <w:rPr>
          <w:rFonts w:cs="Calibri"/>
        </w:rPr>
      </w:pPr>
      <w:bookmarkStart w:id="1110" w:name="_Toc32570696"/>
      <w:r w:rsidRPr="00D9348B">
        <w:rPr>
          <w:rFonts w:cs="Calibri"/>
        </w:rPr>
        <w:t>5.9.6</w:t>
      </w:r>
      <w:r w:rsidRPr="00D9348B">
        <w:rPr>
          <w:rFonts w:cs="Calibri"/>
        </w:rPr>
        <w:tab/>
        <w:t>Source-specific recalculations</w:t>
      </w:r>
      <w:bookmarkEnd w:id="1110"/>
    </w:p>
    <w:p w14:paraId="13F98377" w14:textId="77777777" w:rsidR="00F849A7" w:rsidRPr="00D9348B" w:rsidRDefault="00F849A7" w:rsidP="00F849A7">
      <w:pPr>
        <w:pStyle w:val="BodyText"/>
        <w:rPr>
          <w:rFonts w:cs="Calibri"/>
        </w:rPr>
      </w:pPr>
      <w:r w:rsidRPr="00D9348B">
        <w:rPr>
          <w:rFonts w:cs="Calibri"/>
        </w:rPr>
        <w:t>No recalculations have been performed for CO</w:t>
      </w:r>
      <w:r w:rsidRPr="00D9348B">
        <w:rPr>
          <w:rFonts w:cs="Calibri"/>
          <w:vertAlign w:val="subscript"/>
        </w:rPr>
        <w:t>2</w:t>
      </w:r>
      <w:r w:rsidRPr="00D9348B">
        <w:rPr>
          <w:rFonts w:cs="Calibri"/>
        </w:rPr>
        <w:t xml:space="preserve"> emissions from urea in the 2020 (1990 to 2018) submission.</w:t>
      </w:r>
    </w:p>
    <w:p w14:paraId="663518A9" w14:textId="77777777" w:rsidR="00F849A7" w:rsidRPr="00D9348B" w:rsidRDefault="00F849A7" w:rsidP="00F849A7">
      <w:pPr>
        <w:pStyle w:val="Heading3"/>
        <w:spacing w:before="240"/>
        <w:rPr>
          <w:rFonts w:cs="Calibri"/>
        </w:rPr>
      </w:pPr>
      <w:bookmarkStart w:id="1111" w:name="_Toc32570697"/>
      <w:r w:rsidRPr="00D9348B">
        <w:rPr>
          <w:rFonts w:cs="Calibri"/>
        </w:rPr>
        <w:t>5.9.7</w:t>
      </w:r>
      <w:r w:rsidRPr="00D9348B">
        <w:rPr>
          <w:rFonts w:cs="Calibri"/>
        </w:rPr>
        <w:tab/>
        <w:t>Source-specific planned improvements</w:t>
      </w:r>
      <w:bookmarkEnd w:id="1111"/>
    </w:p>
    <w:p w14:paraId="1E000096" w14:textId="77777777" w:rsidR="00F849A7" w:rsidRPr="00D9348B" w:rsidRDefault="00F849A7" w:rsidP="00F849A7">
      <w:pPr>
        <w:pStyle w:val="BodyText"/>
        <w:rPr>
          <w:rFonts w:cs="Calibri"/>
        </w:rPr>
      </w:pPr>
      <w:r w:rsidRPr="00D9348B">
        <w:rPr>
          <w:rFonts w:cs="Calibri"/>
        </w:rPr>
        <w:t>New Zealand will continue to update activity on urea as the data become available from the Fertiliser Association of New Zealand.</w:t>
      </w:r>
    </w:p>
    <w:p w14:paraId="01233145" w14:textId="77777777" w:rsidR="00F849A7" w:rsidRPr="00D9348B" w:rsidRDefault="00F849A7" w:rsidP="00F849A7">
      <w:pPr>
        <w:pStyle w:val="Heading2"/>
        <w:rPr>
          <w:rFonts w:cs="Calibri"/>
        </w:rPr>
      </w:pPr>
      <w:bookmarkStart w:id="1112" w:name="_Toc448321531"/>
      <w:bookmarkStart w:id="1113" w:name="_Toc481751393"/>
      <w:bookmarkStart w:id="1114" w:name="_Toc511116608"/>
      <w:bookmarkStart w:id="1115" w:name="_Toc5269370"/>
      <w:bookmarkStart w:id="1116" w:name="_Toc32570698"/>
      <w:bookmarkStart w:id="1117" w:name="_Toc36224410"/>
      <w:r w:rsidRPr="00D9348B">
        <w:rPr>
          <w:rFonts w:cs="Calibri"/>
        </w:rPr>
        <w:t xml:space="preserve">5.10 </w:t>
      </w:r>
      <w:r w:rsidRPr="00D9348B">
        <w:rPr>
          <w:rFonts w:cs="Calibri"/>
        </w:rPr>
        <w:tab/>
        <w:t>Other carbon-containing fertilisers (CRF 3.I)</w:t>
      </w:r>
      <w:bookmarkEnd w:id="1112"/>
      <w:bookmarkEnd w:id="1113"/>
      <w:bookmarkEnd w:id="1114"/>
      <w:bookmarkEnd w:id="1115"/>
      <w:bookmarkEnd w:id="1116"/>
      <w:bookmarkEnd w:id="1117"/>
    </w:p>
    <w:p w14:paraId="3E25CF13" w14:textId="77777777" w:rsidR="00F849A7" w:rsidRPr="00D9348B" w:rsidRDefault="00F849A7" w:rsidP="00F849A7">
      <w:pPr>
        <w:pStyle w:val="Heading3"/>
        <w:spacing w:before="120"/>
        <w:rPr>
          <w:rFonts w:cs="Calibri"/>
          <w:szCs w:val="26"/>
        </w:rPr>
      </w:pPr>
      <w:bookmarkStart w:id="1118" w:name="_Toc32570699"/>
      <w:r w:rsidRPr="00D9348B">
        <w:rPr>
          <w:rFonts w:cs="Calibri"/>
          <w:szCs w:val="26"/>
        </w:rPr>
        <w:t>5.10.1</w:t>
      </w:r>
      <w:r w:rsidRPr="00D9348B">
        <w:rPr>
          <w:rFonts w:cs="Calibri"/>
          <w:szCs w:val="26"/>
        </w:rPr>
        <w:tab/>
        <w:t>Description</w:t>
      </w:r>
      <w:bookmarkEnd w:id="1118"/>
    </w:p>
    <w:p w14:paraId="4B85EFC8" w14:textId="68C848C9" w:rsidR="00F849A7" w:rsidRPr="00D9348B" w:rsidRDefault="00F849A7" w:rsidP="00F849A7">
      <w:pPr>
        <w:pStyle w:val="BodyText"/>
        <w:rPr>
          <w:rFonts w:cs="Calibri"/>
        </w:rPr>
      </w:pPr>
      <w:r w:rsidRPr="00D9348B">
        <w:rPr>
          <w:rFonts w:cs="Calibri"/>
        </w:rPr>
        <w:t xml:space="preserve">The IPCC (2006) Guidelines do not provide guidance for reporting on other carbon-containing fertilisers. Other carbon-containing synthetic fertilisers besides limestone, dolomite and urea (see sections 5.8 and 5.9) are not applied to agricultural land in New Zealand (T van der Weerden and C de Klein, pers. comm., 2015). </w:t>
      </w:r>
    </w:p>
    <w:p w14:paraId="6C4CB5D4" w14:textId="4CF142C9" w:rsidR="00F849A7" w:rsidRPr="00D9348B" w:rsidRDefault="002D6AB5" w:rsidP="002D6AB5">
      <w:pPr>
        <w:pStyle w:val="Heading2"/>
        <w:spacing w:before="120"/>
      </w:pPr>
      <w:bookmarkStart w:id="1119" w:name="_Toc352504866"/>
      <w:bookmarkStart w:id="1120" w:name="_Toc448321532"/>
      <w:bookmarkStart w:id="1121" w:name="_Toc481751394"/>
      <w:bookmarkStart w:id="1122" w:name="_Toc511116609"/>
      <w:bookmarkStart w:id="1123" w:name="_Toc5269371"/>
      <w:bookmarkStart w:id="1124" w:name="_Toc32570700"/>
      <w:r w:rsidRPr="00D9348B">
        <w:rPr>
          <w:rStyle w:val="BodyTextChar"/>
        </w:rPr>
        <w:br w:type="page"/>
      </w:r>
      <w:bookmarkStart w:id="1125" w:name="_Toc36224411"/>
      <w:r w:rsidR="00F849A7" w:rsidRPr="00D9348B">
        <w:lastRenderedPageBreak/>
        <w:t>Chapter 5: References</w:t>
      </w:r>
      <w:bookmarkEnd w:id="1119"/>
      <w:bookmarkEnd w:id="1120"/>
      <w:bookmarkEnd w:id="1121"/>
      <w:bookmarkEnd w:id="1122"/>
      <w:bookmarkEnd w:id="1123"/>
      <w:bookmarkEnd w:id="1124"/>
      <w:bookmarkEnd w:id="1125"/>
    </w:p>
    <w:p w14:paraId="55E86E9D" w14:textId="77777777" w:rsidR="00F849A7" w:rsidRPr="00D9348B" w:rsidRDefault="00F849A7" w:rsidP="00F849A7">
      <w:pPr>
        <w:pStyle w:val="BodyText"/>
        <w:rPr>
          <w:rFonts w:cs="Calibri"/>
        </w:rPr>
      </w:pPr>
      <w:r w:rsidRPr="00D9348B">
        <w:rPr>
          <w:rFonts w:cs="Calibri"/>
        </w:rPr>
        <w:t xml:space="preserve">Some references may be downloaded directly from: </w:t>
      </w:r>
      <w:hyperlink r:id="rId190" w:history="1">
        <w:r w:rsidRPr="00D9348B">
          <w:rPr>
            <w:rStyle w:val="Hyperlink"/>
            <w:rFonts w:cs="Calibri"/>
            <w:color w:val="auto"/>
          </w:rPr>
          <w:t>http://mpi.govt.nz/news-and-resources/statistics-and-forecasting/greenhouse-gas-reporting/agriculture-greenhouse-gas-inventory-reports</w:t>
        </w:r>
      </w:hyperlink>
      <w:r w:rsidRPr="00D9348B">
        <w:rPr>
          <w:rFonts w:cs="Calibri"/>
        </w:rPr>
        <w:t>.</w:t>
      </w:r>
    </w:p>
    <w:p w14:paraId="50E86CC1" w14:textId="77777777" w:rsidR="00F849A7" w:rsidRPr="00D9348B" w:rsidRDefault="00F849A7" w:rsidP="00F849A7">
      <w:pPr>
        <w:pStyle w:val="BodyText"/>
        <w:rPr>
          <w:rFonts w:cs="Calibri"/>
        </w:rPr>
      </w:pPr>
      <w:r w:rsidRPr="00D9348B">
        <w:rPr>
          <w:rFonts w:cs="Calibri"/>
        </w:rPr>
        <w:t xml:space="preserve">MPI is progressively making reports used for the inventory available on this page, where copyright permits. </w:t>
      </w:r>
    </w:p>
    <w:p w14:paraId="7FA0FB48" w14:textId="77777777" w:rsidR="00F849A7" w:rsidRPr="00D9348B" w:rsidRDefault="00F849A7" w:rsidP="00F849A7">
      <w:pPr>
        <w:pStyle w:val="References"/>
        <w:spacing w:before="120"/>
        <w:rPr>
          <w:rFonts w:cs="Calibri"/>
        </w:rPr>
      </w:pPr>
      <w:r w:rsidRPr="00D9348B">
        <w:rPr>
          <w:rFonts w:cs="Calibri"/>
        </w:rPr>
        <w:t xml:space="preserve">Australian Government. Unpublished. Mutual Review of Components of National Inventory Systems: A Review between Australia and New Zealand. Provided by the Australian Government in 2014. </w:t>
      </w:r>
    </w:p>
    <w:p w14:paraId="5DD4EAD2" w14:textId="77777777" w:rsidR="00F849A7" w:rsidRPr="00D9348B" w:rsidRDefault="00F849A7" w:rsidP="00F849A7">
      <w:pPr>
        <w:pStyle w:val="References"/>
        <w:rPr>
          <w:rFonts w:cs="Calibri"/>
        </w:rPr>
      </w:pPr>
      <w:r w:rsidRPr="00D9348B">
        <w:rPr>
          <w:rFonts w:cs="Calibri"/>
        </w:rPr>
        <w:t xml:space="preserve">AUSTREX (Australian Rural Exports). 2020. </w:t>
      </w:r>
      <w:r w:rsidRPr="00D9348B">
        <w:rPr>
          <w:rFonts w:cs="Calibri"/>
          <w:i/>
        </w:rPr>
        <w:t>Dairy Cattle</w:t>
      </w:r>
      <w:r w:rsidRPr="00D9348B">
        <w:rPr>
          <w:rFonts w:cs="Calibri"/>
        </w:rPr>
        <w:t xml:space="preserve">. Retrieved from </w:t>
      </w:r>
      <w:hyperlink r:id="rId191" w:history="1">
        <w:r w:rsidRPr="00D9348B">
          <w:rPr>
            <w:rFonts w:cs="Calibri"/>
          </w:rPr>
          <w:t>www.austrex.com/what-we-do/livestock/dairy/</w:t>
        </w:r>
      </w:hyperlink>
      <w:r w:rsidRPr="00D9348B" w:rsidDel="00176609">
        <w:rPr>
          <w:rFonts w:cs="Calibri"/>
        </w:rPr>
        <w:t xml:space="preserve"> </w:t>
      </w:r>
      <w:r w:rsidRPr="00D9348B">
        <w:rPr>
          <w:rFonts w:cs="Calibri"/>
        </w:rPr>
        <w:t>(7 January 2020).</w:t>
      </w:r>
    </w:p>
    <w:p w14:paraId="4C416942" w14:textId="77777777" w:rsidR="00F849A7" w:rsidRPr="00D9348B" w:rsidRDefault="00F849A7" w:rsidP="00F849A7">
      <w:pPr>
        <w:pStyle w:val="References"/>
        <w:rPr>
          <w:rFonts w:cs="Calibri"/>
          <w:i/>
        </w:rPr>
      </w:pPr>
      <w:r w:rsidRPr="00D9348B">
        <w:rPr>
          <w:rFonts w:cs="Calibri"/>
        </w:rPr>
        <w:t>Beare M, Thomas S, Clemens G, Hernandez-Ramirez G. Unpublished. Contributions of Pasture Renewal and N Mineralisation to N</w:t>
      </w:r>
      <w:r w:rsidRPr="00D9348B">
        <w:rPr>
          <w:rFonts w:cs="Calibri"/>
          <w:vertAlign w:val="subscript"/>
        </w:rPr>
        <w:t>2</w:t>
      </w:r>
      <w:r w:rsidRPr="00D9348B">
        <w:rPr>
          <w:rFonts w:cs="Calibri"/>
        </w:rPr>
        <w:t>O Emissions from Pastoral Farming Systems. Report prepared for the Ministry for Primary Industries by Plant and Food Research in 2012.</w:t>
      </w:r>
    </w:p>
    <w:p w14:paraId="046FE332" w14:textId="77777777" w:rsidR="00F849A7" w:rsidRPr="00D9348B" w:rsidRDefault="00F849A7" w:rsidP="00F849A7">
      <w:pPr>
        <w:pStyle w:val="References"/>
        <w:rPr>
          <w:rFonts w:cs="Calibri"/>
        </w:rPr>
      </w:pPr>
      <w:r w:rsidRPr="00D9348B">
        <w:rPr>
          <w:rFonts w:cs="Calibri"/>
        </w:rPr>
        <w:t xml:space="preserve">Beef + Lamb New Zealand Ltd. 2019. </w:t>
      </w:r>
      <w:r w:rsidRPr="00D9348B">
        <w:rPr>
          <w:rFonts w:cs="Calibri"/>
          <w:i/>
        </w:rPr>
        <w:t>Mid-Season Update 2018–19. Report P19003</w:t>
      </w:r>
      <w:r w:rsidRPr="00D9348B">
        <w:rPr>
          <w:rFonts w:cs="Calibri"/>
        </w:rPr>
        <w:t>. Wellington: Beef + Lamb New Zealand Ltd.</w:t>
      </w:r>
    </w:p>
    <w:p w14:paraId="536B9CF3" w14:textId="77777777" w:rsidR="00F849A7" w:rsidRPr="00D9348B" w:rsidRDefault="00F849A7" w:rsidP="00F849A7">
      <w:pPr>
        <w:pStyle w:val="References"/>
        <w:rPr>
          <w:rFonts w:cs="Calibri"/>
        </w:rPr>
      </w:pPr>
      <w:r w:rsidRPr="00D9348B">
        <w:rPr>
          <w:rFonts w:cs="Calibri"/>
        </w:rPr>
        <w:t xml:space="preserve">Bown MD, Thomson BC, Muir PD. 2013. </w:t>
      </w:r>
      <w:r w:rsidRPr="00D9348B">
        <w:rPr>
          <w:rFonts w:cs="Calibri"/>
          <w:i/>
        </w:rPr>
        <w:t>Evaluation of the Values for Pasture ME and N Content used in the National Greenhouse Gas Inventory</w:t>
      </w:r>
      <w:r w:rsidRPr="00D9348B">
        <w:rPr>
          <w:rFonts w:cs="Calibri"/>
        </w:rPr>
        <w:t>. Report prepared for the Ministry for Primary Industries by On-Farm Research. Wellington: Ministry for Primary Industries.</w:t>
      </w:r>
    </w:p>
    <w:p w14:paraId="6271016C" w14:textId="77777777" w:rsidR="00F849A7" w:rsidRPr="00D9348B" w:rsidRDefault="00F849A7" w:rsidP="00F849A7">
      <w:pPr>
        <w:pStyle w:val="References"/>
        <w:rPr>
          <w:rFonts w:cs="Calibri"/>
        </w:rPr>
      </w:pPr>
      <w:r w:rsidRPr="00D9348B">
        <w:rPr>
          <w:rFonts w:cs="Calibri"/>
        </w:rPr>
        <w:t xml:space="preserve">Burggraaf V, Rollo M, de Klein CAM, Lio, J. Unpublished. A review of greenhouse gas emissions inventory methodology for farmed goats in New Zealand. Report prepared for the Ministry for Primary Industries by AgResearch in 2019. </w:t>
      </w:r>
    </w:p>
    <w:p w14:paraId="245082B3" w14:textId="77777777" w:rsidR="00F849A7" w:rsidRPr="00D9348B" w:rsidRDefault="00F849A7" w:rsidP="00F849A7">
      <w:pPr>
        <w:pStyle w:val="References"/>
        <w:rPr>
          <w:rFonts w:cs="Calibri"/>
        </w:rPr>
      </w:pPr>
      <w:r w:rsidRPr="00D9348B">
        <w:rPr>
          <w:rFonts w:cs="Calibri"/>
        </w:rPr>
        <w:t>Carran RA, Dewar D, Theobald PW. Unpublished. Methane and Nitrous Oxide Emissions from Sheep Dung. Report prepared for the Ministry of Agriculture and Forestry by the New Zealand Pastoral Agricultural Research Institute in 2003.</w:t>
      </w:r>
    </w:p>
    <w:p w14:paraId="3FB2C72C" w14:textId="77777777" w:rsidR="00F849A7" w:rsidRPr="00D9348B" w:rsidRDefault="00F849A7" w:rsidP="00F849A7">
      <w:pPr>
        <w:pStyle w:val="References"/>
      </w:pPr>
      <w:r w:rsidRPr="00D9348B">
        <w:rPr>
          <w:rFonts w:cs="Calibri"/>
        </w:rPr>
        <w:t xml:space="preserve">Carran RA, Theobold PW, Evans JP. 1995. Emissions of nitrous oxide from some grazed pasture soils in </w:t>
      </w:r>
      <w:r w:rsidRPr="00D9348B">
        <w:rPr>
          <w:rFonts w:cs="Calibri"/>
          <w:iCs/>
        </w:rPr>
        <w:t xml:space="preserve">New Zealand. </w:t>
      </w:r>
      <w:r w:rsidRPr="00D9348B">
        <w:rPr>
          <w:rFonts w:cs="Calibri"/>
          <w:i/>
          <w:iCs/>
        </w:rPr>
        <w:t>Australian</w:t>
      </w:r>
      <w:r w:rsidRPr="00D9348B">
        <w:rPr>
          <w:rFonts w:cs="Calibri"/>
          <w:iCs/>
        </w:rPr>
        <w:t xml:space="preserve"> </w:t>
      </w:r>
      <w:r w:rsidRPr="00D9348B">
        <w:rPr>
          <w:rFonts w:cs="Calibri"/>
          <w:i/>
          <w:iCs/>
        </w:rPr>
        <w:t>Journal of Soil Research</w:t>
      </w:r>
      <w:r w:rsidRPr="00D9348B">
        <w:rPr>
          <w:rFonts w:cs="Calibri"/>
        </w:rPr>
        <w:t xml:space="preserve"> 33: 341–352.</w:t>
      </w:r>
    </w:p>
    <w:p w14:paraId="488FBB06" w14:textId="77777777" w:rsidR="00F849A7" w:rsidRPr="00D9348B" w:rsidRDefault="00F849A7" w:rsidP="00F849A7">
      <w:pPr>
        <w:pStyle w:val="References"/>
        <w:rPr>
          <w:rFonts w:cs="Calibri"/>
        </w:rPr>
      </w:pPr>
      <w:r w:rsidRPr="00D9348B">
        <w:rPr>
          <w:rFonts w:cs="Calibri"/>
        </w:rPr>
        <w:t>Chen D, Li Y, Kelly K, Eckard R. 2010. Simulation of N</w:t>
      </w:r>
      <w:r w:rsidRPr="00D9348B">
        <w:rPr>
          <w:rFonts w:cs="Calibri"/>
          <w:vertAlign w:val="subscript"/>
        </w:rPr>
        <w:t>2</w:t>
      </w:r>
      <w:r w:rsidRPr="00D9348B">
        <w:rPr>
          <w:rFonts w:cs="Calibri"/>
        </w:rPr>
        <w:t xml:space="preserve">O emissions from an irrigated dairy pasture treated with urea and urine in Southeastern Australia. </w:t>
      </w:r>
      <w:r w:rsidRPr="00D9348B">
        <w:rPr>
          <w:rFonts w:cs="Calibri"/>
          <w:i/>
        </w:rPr>
        <w:t>Agriculture, Ecosystems &amp; Environment</w:t>
      </w:r>
      <w:r w:rsidRPr="00D9348B">
        <w:rPr>
          <w:rFonts w:cs="Calibri"/>
        </w:rPr>
        <w:t xml:space="preserve"> </w:t>
      </w:r>
      <w:r w:rsidRPr="00D9348B">
        <w:rPr>
          <w:rFonts w:cs="Calibri"/>
        </w:rPr>
        <w:br/>
        <w:t>136(3–4): 333–342.</w:t>
      </w:r>
    </w:p>
    <w:p w14:paraId="4D06BF6D" w14:textId="77777777" w:rsidR="00F849A7" w:rsidRPr="00D9348B" w:rsidRDefault="00F849A7" w:rsidP="00F849A7">
      <w:pPr>
        <w:pStyle w:val="References"/>
        <w:rPr>
          <w:rFonts w:cs="Calibri"/>
        </w:rPr>
      </w:pPr>
      <w:r w:rsidRPr="00D9348B">
        <w:rPr>
          <w:rFonts w:cs="Calibri"/>
        </w:rPr>
        <w:t xml:space="preserve">Cichota R, Brown H, Snow VO, Wheeler DM, Hedderley D, Zyskowski R, Thomas S. 2010. A nitrogen balance model for environmental accountability in cropping systems. </w:t>
      </w:r>
      <w:r w:rsidRPr="00D9348B">
        <w:rPr>
          <w:rFonts w:cs="Calibri"/>
          <w:i/>
        </w:rPr>
        <w:t xml:space="preserve">New Zealand Journal of Crop and Horticultural Science </w:t>
      </w:r>
      <w:r w:rsidRPr="00D9348B">
        <w:rPr>
          <w:rFonts w:cs="Calibri"/>
        </w:rPr>
        <w:t xml:space="preserve">38: 189–207. </w:t>
      </w:r>
    </w:p>
    <w:p w14:paraId="16EAA82B" w14:textId="77777777" w:rsidR="00F849A7" w:rsidRPr="00D9348B" w:rsidRDefault="00F849A7" w:rsidP="00F849A7">
      <w:pPr>
        <w:pStyle w:val="References"/>
        <w:rPr>
          <w:rFonts w:cs="Calibri"/>
          <w:i/>
        </w:rPr>
      </w:pPr>
      <w:r w:rsidRPr="00D9348B">
        <w:rPr>
          <w:rFonts w:cs="Calibri"/>
        </w:rPr>
        <w:t xml:space="preserve">Clark H. 2008a. </w:t>
      </w:r>
      <w:r w:rsidRPr="00D9348B">
        <w:rPr>
          <w:rFonts w:cs="Calibri"/>
          <w:i/>
        </w:rPr>
        <w:t>A Comparison of Greenhouse Gas Emissions from the New Zealand Dairy Sector Calculated Using either a National or a Regional Approach</w:t>
      </w:r>
      <w:r w:rsidRPr="00D9348B">
        <w:rPr>
          <w:rFonts w:cs="Calibri"/>
        </w:rPr>
        <w:t>. Report prepared for the Ministry of Agriculture and Forestry by AgResearch. Wellington: Ministry of Agriculture and Forestry.</w:t>
      </w:r>
    </w:p>
    <w:p w14:paraId="43423EDB" w14:textId="77777777" w:rsidR="00F849A7" w:rsidRPr="00D9348B" w:rsidRDefault="00F849A7" w:rsidP="00F849A7">
      <w:pPr>
        <w:pStyle w:val="References"/>
        <w:rPr>
          <w:rFonts w:cs="Calibri"/>
        </w:rPr>
      </w:pPr>
      <w:r w:rsidRPr="00D9348B">
        <w:rPr>
          <w:rFonts w:cs="Calibri"/>
        </w:rPr>
        <w:t xml:space="preserve">Clark H. 2008b. </w:t>
      </w:r>
      <w:r w:rsidRPr="00D9348B">
        <w:rPr>
          <w:rFonts w:cs="Calibri"/>
          <w:i/>
        </w:rPr>
        <w:t>Guidelines to Accompany Computerised Inventory</w:t>
      </w:r>
      <w:r w:rsidRPr="00D9348B">
        <w:rPr>
          <w:rFonts w:cs="Calibri"/>
        </w:rPr>
        <w:t>. Report prepared for the Ministry of Agriculture and Forestry by AgResearch. Wellington: Ministry of Agriculture and Forestry.</w:t>
      </w:r>
    </w:p>
    <w:p w14:paraId="5F722B1A" w14:textId="77777777" w:rsidR="00F849A7" w:rsidRPr="00D9348B" w:rsidRDefault="00F849A7" w:rsidP="00F849A7">
      <w:pPr>
        <w:pStyle w:val="References"/>
        <w:rPr>
          <w:rFonts w:cs="Calibri"/>
        </w:rPr>
      </w:pPr>
      <w:r w:rsidRPr="00D9348B">
        <w:rPr>
          <w:rFonts w:cs="Calibri"/>
        </w:rPr>
        <w:t xml:space="preserve">Clark H, Brookes I, Walcroft A. 2003. </w:t>
      </w:r>
      <w:r w:rsidRPr="00D9348B">
        <w:rPr>
          <w:rFonts w:cs="Calibri"/>
          <w:i/>
        </w:rPr>
        <w:t xml:space="preserve">Enteric Methane Emissions from New Zealand Ruminants </w:t>
      </w:r>
      <w:r w:rsidRPr="00D9348B">
        <w:rPr>
          <w:rFonts w:cs="Calibri"/>
          <w:i/>
        </w:rPr>
        <w:br/>
        <w:t>1990–2001 Calculated Using an IPCC Tier 2 Approach</w:t>
      </w:r>
      <w:r w:rsidRPr="00D9348B">
        <w:rPr>
          <w:rFonts w:cs="Calibri"/>
        </w:rPr>
        <w:t>. Report prepared for the Ministry of Agriculture and Forestry by AgResearch and Massey University. Wellington: Ministry of Agriculture and Forestry.</w:t>
      </w:r>
    </w:p>
    <w:p w14:paraId="39EC7297" w14:textId="77777777" w:rsidR="00F849A7" w:rsidRPr="00D9348B" w:rsidRDefault="00F849A7" w:rsidP="00F849A7">
      <w:pPr>
        <w:pStyle w:val="References"/>
        <w:rPr>
          <w:rFonts w:cs="Calibri"/>
        </w:rPr>
      </w:pPr>
      <w:r w:rsidRPr="00D9348B">
        <w:rPr>
          <w:rFonts w:cs="Calibri"/>
        </w:rPr>
        <w:t>Clough TJ, Kelliher FM. Unpublished. Indirect Nitrous Oxide Emissions EF</w:t>
      </w:r>
      <w:r w:rsidRPr="00D9348B">
        <w:rPr>
          <w:rFonts w:cs="Calibri"/>
          <w:vertAlign w:val="subscript"/>
        </w:rPr>
        <w:t>5</w:t>
      </w:r>
      <w:r w:rsidRPr="00D9348B">
        <w:rPr>
          <w:rFonts w:cs="Calibri"/>
        </w:rPr>
        <w:t>. Report prepared for the Ministry for Primary Industries by Lincoln University in 2014.</w:t>
      </w:r>
    </w:p>
    <w:p w14:paraId="3EF4E525" w14:textId="77777777" w:rsidR="00F849A7" w:rsidRPr="00D9348B" w:rsidRDefault="00F849A7" w:rsidP="00F849A7">
      <w:pPr>
        <w:pStyle w:val="References"/>
        <w:rPr>
          <w:rFonts w:cs="Calibri"/>
        </w:rPr>
      </w:pPr>
      <w:r w:rsidRPr="00D9348B">
        <w:rPr>
          <w:rFonts w:cs="Calibri"/>
        </w:rPr>
        <w:t xml:space="preserve">Clough TJ, Kelliher FM, Clark H, van der Weerden TJ. 2008. </w:t>
      </w:r>
      <w:r w:rsidRPr="00D9348B">
        <w:rPr>
          <w:rFonts w:cs="Calibri"/>
          <w:i/>
        </w:rPr>
        <w:t>Incorporation of the Nitrification Inhibitor DCD into New Zealand’s 2009 National Inventory</w:t>
      </w:r>
      <w:r w:rsidRPr="00D9348B">
        <w:rPr>
          <w:rFonts w:cs="Calibri"/>
        </w:rPr>
        <w:t>. Report prepared for the Ministry of Agriculture and Forestry by Lincoln University and AgResearch. Wellington: Ministry of Agriculture and Forestry.</w:t>
      </w:r>
    </w:p>
    <w:p w14:paraId="5407918F" w14:textId="77777777" w:rsidR="00F849A7" w:rsidRPr="00D9348B" w:rsidRDefault="00F849A7" w:rsidP="00F849A7">
      <w:pPr>
        <w:pStyle w:val="References"/>
        <w:rPr>
          <w:rFonts w:cs="Calibri"/>
        </w:rPr>
      </w:pPr>
      <w:r w:rsidRPr="00D9348B">
        <w:rPr>
          <w:rFonts w:cs="Calibri"/>
        </w:rPr>
        <w:lastRenderedPageBreak/>
        <w:t>Commonwealth of Australia. 2019.</w:t>
      </w:r>
      <w:r w:rsidRPr="00D9348B">
        <w:rPr>
          <w:rFonts w:cs="Calibri"/>
          <w:i/>
        </w:rPr>
        <w:t xml:space="preserve"> National Inventory Report 2017 Volume 1</w:t>
      </w:r>
      <w:r w:rsidRPr="00D9348B">
        <w:rPr>
          <w:rFonts w:cs="Calibri"/>
        </w:rPr>
        <w:t xml:space="preserve">. Retrieved from </w:t>
      </w:r>
      <w:hyperlink r:id="rId192" w:history="1">
        <w:r w:rsidRPr="00D9348B">
          <w:rPr>
            <w:rFonts w:cs="Calibri"/>
          </w:rPr>
          <w:t>www.environment.gov.au/system/files/resources/29eca947-af49-4ed1-8369-e68d74730cf9/files/national-inventory-report-2017-volume-1.pdf</w:t>
        </w:r>
      </w:hyperlink>
      <w:r w:rsidRPr="00D9348B" w:rsidDel="00E62A89">
        <w:rPr>
          <w:rFonts w:cs="Calibri"/>
        </w:rPr>
        <w:t xml:space="preserve"> </w:t>
      </w:r>
      <w:r w:rsidRPr="00D9348B">
        <w:rPr>
          <w:rFonts w:cs="Calibri"/>
        </w:rPr>
        <w:t>(7</w:t>
      </w:r>
      <w:r w:rsidRPr="00D9348B">
        <w:rPr>
          <w:rFonts w:cs="Calibri"/>
          <w:szCs w:val="16"/>
        </w:rPr>
        <w:t xml:space="preserve"> January 2020).</w:t>
      </w:r>
      <w:r w:rsidRPr="00D9348B">
        <w:rPr>
          <w:rFonts w:cs="Calibri"/>
        </w:rPr>
        <w:t xml:space="preserve"> </w:t>
      </w:r>
    </w:p>
    <w:p w14:paraId="416801FA" w14:textId="77777777" w:rsidR="00F849A7" w:rsidRPr="00D9348B" w:rsidRDefault="00F849A7" w:rsidP="00F849A7">
      <w:pPr>
        <w:pStyle w:val="References"/>
        <w:rPr>
          <w:rFonts w:cs="Calibri"/>
          <w:i/>
        </w:rPr>
      </w:pPr>
      <w:r w:rsidRPr="00D9348B">
        <w:rPr>
          <w:rFonts w:cs="Calibri"/>
        </w:rPr>
        <w:t xml:space="preserve">CSIRO. 1990. </w:t>
      </w:r>
      <w:r w:rsidRPr="00D9348B">
        <w:rPr>
          <w:rFonts w:cs="Calibri"/>
          <w:i/>
        </w:rPr>
        <w:t>Ruminants: Feeding Standards for Australian Livestock</w:t>
      </w:r>
      <w:r w:rsidRPr="00D9348B">
        <w:rPr>
          <w:rFonts w:cs="Calibri"/>
        </w:rPr>
        <w:t>. Victoria, Australia: Commonwealth Scientific and Industrial Research Organisation.</w:t>
      </w:r>
    </w:p>
    <w:p w14:paraId="4E20A44B" w14:textId="77777777" w:rsidR="00F849A7" w:rsidRPr="00D9348B" w:rsidRDefault="00F849A7" w:rsidP="00F849A7">
      <w:pPr>
        <w:pStyle w:val="References"/>
        <w:rPr>
          <w:rFonts w:cs="Calibri"/>
          <w:i/>
          <w:iCs/>
        </w:rPr>
      </w:pPr>
      <w:r w:rsidRPr="00D9348B">
        <w:rPr>
          <w:rFonts w:cs="Calibri"/>
        </w:rPr>
        <w:t xml:space="preserve">Dairy Companies Association of New Zealand. 2019. </w:t>
      </w:r>
      <w:r w:rsidRPr="00D9348B">
        <w:rPr>
          <w:rFonts w:cs="Calibri"/>
          <w:i/>
        </w:rPr>
        <w:t xml:space="preserve">Latest </w:t>
      </w:r>
      <w:r w:rsidRPr="00D9348B">
        <w:rPr>
          <w:rFonts w:cs="Calibri"/>
          <w:i/>
          <w:iCs/>
        </w:rPr>
        <w:t>New Zealand Milk Production Data Report</w:t>
      </w:r>
      <w:r w:rsidRPr="00D9348B">
        <w:rPr>
          <w:rFonts w:cs="Calibri"/>
        </w:rPr>
        <w:t xml:space="preserve">. Retrieved from </w:t>
      </w:r>
      <w:hyperlink r:id="rId193" w:history="1">
        <w:r w:rsidRPr="00D9348B">
          <w:rPr>
            <w:rFonts w:cs="Calibri"/>
          </w:rPr>
          <w:t>www.dcanz.com</w:t>
        </w:r>
      </w:hyperlink>
      <w:r w:rsidRPr="00D9348B">
        <w:rPr>
          <w:rFonts w:cs="Calibri"/>
        </w:rPr>
        <w:t xml:space="preserve"> (7 January 2020).</w:t>
      </w:r>
    </w:p>
    <w:p w14:paraId="554BAE3B" w14:textId="77777777" w:rsidR="00F849A7" w:rsidRPr="00D9348B" w:rsidRDefault="00F849A7" w:rsidP="00F849A7">
      <w:pPr>
        <w:pStyle w:val="References"/>
        <w:rPr>
          <w:rFonts w:cs="Calibri"/>
        </w:rPr>
      </w:pPr>
      <w:proofErr w:type="gramStart"/>
      <w:r w:rsidRPr="00D9348B">
        <w:rPr>
          <w:rFonts w:cs="Calibri"/>
        </w:rPr>
        <w:t>de</w:t>
      </w:r>
      <w:proofErr w:type="gramEnd"/>
      <w:r w:rsidRPr="00D9348B">
        <w:rPr>
          <w:rFonts w:cs="Calibri"/>
        </w:rPr>
        <w:t xml:space="preserve"> Klein CAM, Barton L, Sherlock RR, Li Z, Littlejohn RP. 2003. Estimating a nitrous oxide emission factor for animal urine from some New Zealand pastoral soils. </w:t>
      </w:r>
      <w:r w:rsidRPr="00D9348B">
        <w:rPr>
          <w:rFonts w:cs="Calibri"/>
          <w:i/>
        </w:rPr>
        <w:t>Australian Journal of Soil Research</w:t>
      </w:r>
      <w:r w:rsidRPr="00D9348B">
        <w:rPr>
          <w:rFonts w:cs="Calibri"/>
        </w:rPr>
        <w:t xml:space="preserve"> 41: 381–399.</w:t>
      </w:r>
    </w:p>
    <w:p w14:paraId="5367F73B" w14:textId="77777777" w:rsidR="00F849A7" w:rsidRPr="00D9348B" w:rsidRDefault="00F849A7" w:rsidP="00F849A7">
      <w:pPr>
        <w:pStyle w:val="References"/>
        <w:rPr>
          <w:rFonts w:cs="Calibri"/>
        </w:rPr>
      </w:pPr>
      <w:r w:rsidRPr="00D9348B">
        <w:rPr>
          <w:rFonts w:cs="Calibri"/>
        </w:rPr>
        <w:t xml:space="preserve">de Klein CAM, Luo J, Woodward KB, Styles T, Wise B, Lindsey S, Cox N. 2014. The effect of nitrogen concentration in synthetic cattle urine on nitrous oxide emissions. </w:t>
      </w:r>
      <w:r w:rsidRPr="00D9348B">
        <w:rPr>
          <w:rFonts w:cs="Calibri"/>
          <w:i/>
        </w:rPr>
        <w:t>Agriculture Ecosystems &amp; Environment</w:t>
      </w:r>
      <w:r w:rsidRPr="00D9348B">
        <w:rPr>
          <w:rFonts w:cs="Calibri"/>
        </w:rPr>
        <w:t xml:space="preserve"> 188: 8–92.</w:t>
      </w:r>
    </w:p>
    <w:p w14:paraId="56847E8E" w14:textId="77777777" w:rsidR="00F849A7" w:rsidRPr="00D9348B" w:rsidRDefault="00F849A7" w:rsidP="00F849A7">
      <w:pPr>
        <w:pStyle w:val="References"/>
        <w:rPr>
          <w:rFonts w:cs="Calibri"/>
        </w:rPr>
      </w:pPr>
      <w:r w:rsidRPr="00D9348B">
        <w:rPr>
          <w:rFonts w:cs="Calibri"/>
        </w:rPr>
        <w:t xml:space="preserve">Dresser M, Hewitt A, Willoughby J, Bellis S. 2011. </w:t>
      </w:r>
      <w:r w:rsidRPr="00D9348B">
        <w:rPr>
          <w:rFonts w:cs="Calibri"/>
          <w:i/>
        </w:rPr>
        <w:t>Area of Organic Soils</w:t>
      </w:r>
      <w:r w:rsidRPr="00D9348B">
        <w:rPr>
          <w:rFonts w:cs="Calibri"/>
        </w:rPr>
        <w:t>. Report prepared for the Ministry of Agriculture and Forestry by Landcare Research. Wellington: Ministry of Agriculture and Forestry.</w:t>
      </w:r>
    </w:p>
    <w:p w14:paraId="33F7EB8C" w14:textId="77777777" w:rsidR="00F849A7" w:rsidRPr="00D9348B" w:rsidRDefault="00F849A7" w:rsidP="00F849A7">
      <w:pPr>
        <w:pStyle w:val="References"/>
        <w:rPr>
          <w:rFonts w:cs="Calibri"/>
        </w:rPr>
      </w:pPr>
      <w:r w:rsidRPr="00D9348B">
        <w:rPr>
          <w:rFonts w:cs="Calibri"/>
        </w:rPr>
        <w:t xml:space="preserve">Fick J. 2010. </w:t>
      </w:r>
      <w:r w:rsidRPr="00D9348B">
        <w:rPr>
          <w:rFonts w:cs="Calibri"/>
          <w:bCs/>
          <w:i/>
          <w:color w:val="000000"/>
        </w:rPr>
        <w:t>Emission Estimations for the Commercial Chicken, Non-chicken and Layer Industries within New Zealand</w:t>
      </w:r>
      <w:r w:rsidRPr="00D9348B">
        <w:rPr>
          <w:rFonts w:cs="Calibri"/>
          <w:bCs/>
          <w:color w:val="000000"/>
        </w:rPr>
        <w:t>. Report prepared for the Ministry of Agriculture and Forestry by the Poultry Industry Association and Egg Producers Federation of New Zealand. Wellington: Ministry of Agriculture and Forestry.</w:t>
      </w:r>
    </w:p>
    <w:p w14:paraId="49142B28" w14:textId="77777777" w:rsidR="00F849A7" w:rsidRPr="00D9348B" w:rsidRDefault="00F849A7" w:rsidP="00F849A7">
      <w:pPr>
        <w:pStyle w:val="References"/>
        <w:rPr>
          <w:rFonts w:cs="Calibri"/>
        </w:rPr>
      </w:pPr>
      <w:r w:rsidRPr="00D9348B">
        <w:rPr>
          <w:rFonts w:cs="Calibri"/>
        </w:rPr>
        <w:t xml:space="preserve">Fick J, Saggar S, Hill J, Giltrap D. 2011. </w:t>
      </w:r>
      <w:r w:rsidRPr="00D9348B">
        <w:rPr>
          <w:rFonts w:cs="Calibri"/>
          <w:i/>
        </w:rPr>
        <w:t>Poultry Management in New Zealand: Production, Manure Management and Emissions Estimations for the Commercial Chicken, Turkey, Duck and Layer Industries within New Zealand</w:t>
      </w:r>
      <w:r w:rsidRPr="00D9348B">
        <w:rPr>
          <w:rFonts w:cs="Calibri"/>
        </w:rPr>
        <w:t xml:space="preserve">. Report prepared for the Ministry of Agriculture and Forestry by Poultry Industry Association, Egg Producers Association, Landcare Research and Massey University. Wellington: Ministry of Agriculture and Forestry. </w:t>
      </w:r>
    </w:p>
    <w:p w14:paraId="25C87A72" w14:textId="77777777" w:rsidR="00F849A7" w:rsidRPr="00D9348B" w:rsidRDefault="00F849A7" w:rsidP="00F849A7">
      <w:pPr>
        <w:pStyle w:val="References"/>
        <w:rPr>
          <w:rFonts w:cs="Calibri"/>
        </w:rPr>
      </w:pPr>
      <w:r w:rsidRPr="00D9348B">
        <w:rPr>
          <w:rFonts w:cs="Calibri"/>
        </w:rPr>
        <w:t>Galbally I, Meyer C, Bentley S, Weeks I, Leuning R, Kelly K, Phillips F, Barker-Reid F, Gates W, Baigent R, Eckard R, Grace P. 2005. A study of environmental and management drivers of non-CO</w:t>
      </w:r>
      <w:r w:rsidRPr="00D9348B">
        <w:rPr>
          <w:rFonts w:cs="Calibri"/>
          <w:vertAlign w:val="subscript"/>
        </w:rPr>
        <w:t>2</w:t>
      </w:r>
      <w:r w:rsidRPr="00D9348B">
        <w:rPr>
          <w:rFonts w:cs="Calibri"/>
        </w:rPr>
        <w:t xml:space="preserve"> greenhouse gas emissions in Australian agroecosystems. </w:t>
      </w:r>
      <w:r w:rsidRPr="00D9348B">
        <w:rPr>
          <w:rFonts w:cs="Calibri"/>
          <w:i/>
        </w:rPr>
        <w:t>Environmental Sciences</w:t>
      </w:r>
      <w:r w:rsidRPr="00D9348B">
        <w:rPr>
          <w:rFonts w:cs="Calibri"/>
        </w:rPr>
        <w:t xml:space="preserve"> 2(2</w:t>
      </w:r>
      <w:r w:rsidRPr="00D9348B">
        <w:rPr>
          <w:rFonts w:cs="Calibri"/>
        </w:rPr>
        <w:softHyphen/>
        <w:t>3): 133–142.</w:t>
      </w:r>
    </w:p>
    <w:p w14:paraId="170E23E2" w14:textId="77777777" w:rsidR="00F849A7" w:rsidRPr="00D9348B" w:rsidRDefault="00F849A7" w:rsidP="00F849A7">
      <w:pPr>
        <w:pStyle w:val="References"/>
        <w:rPr>
          <w:rFonts w:cs="Calibri"/>
        </w:rPr>
      </w:pPr>
      <w:r w:rsidRPr="00D9348B">
        <w:rPr>
          <w:rFonts w:cs="Calibri"/>
        </w:rPr>
        <w:t>Giltrap D, McNeill S, Saggar S, Ausseil A-GE, Muir P, Thomson B. Unpublished. Statistical analysis to determine a nationally representative pasture quality programme. Report prepared for the Ministry for Primary Industries by Landcare Research and On-Farm Research in 2017.</w:t>
      </w:r>
    </w:p>
    <w:p w14:paraId="14835EFC" w14:textId="77777777" w:rsidR="00F849A7" w:rsidRPr="00D9348B" w:rsidRDefault="00F849A7" w:rsidP="00F849A7">
      <w:pPr>
        <w:pStyle w:val="References"/>
        <w:rPr>
          <w:rFonts w:cs="Calibri"/>
          <w:i/>
        </w:rPr>
      </w:pPr>
      <w:r w:rsidRPr="00D9348B">
        <w:rPr>
          <w:rFonts w:cs="Calibri"/>
        </w:rPr>
        <w:t>Grainger C, Clarke T, McGinn SM, Auldist MJ, Beauchemin KA, Hannah MC, Waghorn GC, Clark H, Eckard RJ. 2007. Methane emissions from dairy cows measured with sulphur hexafluoride (SF</w:t>
      </w:r>
      <w:r w:rsidRPr="00D9348B">
        <w:rPr>
          <w:rFonts w:cs="Calibri"/>
          <w:vertAlign w:val="subscript"/>
        </w:rPr>
        <w:t>6</w:t>
      </w:r>
      <w:r w:rsidRPr="00D9348B">
        <w:rPr>
          <w:rFonts w:cs="Calibri"/>
        </w:rPr>
        <w:t xml:space="preserve">) tracer and chamber techniques. </w:t>
      </w:r>
      <w:r w:rsidRPr="00D9348B">
        <w:rPr>
          <w:rFonts w:cs="Calibri"/>
          <w:i/>
        </w:rPr>
        <w:t>Journal of Dairy Science</w:t>
      </w:r>
      <w:r w:rsidRPr="00D9348B">
        <w:rPr>
          <w:rFonts w:cs="Calibri"/>
          <w:color w:val="5F497A"/>
        </w:rPr>
        <w:t xml:space="preserve"> </w:t>
      </w:r>
      <w:r w:rsidRPr="00D9348B">
        <w:rPr>
          <w:rFonts w:cs="Calibri"/>
        </w:rPr>
        <w:t>90(6): 2755–2766.</w:t>
      </w:r>
    </w:p>
    <w:p w14:paraId="0EDFA0C6" w14:textId="77777777" w:rsidR="00F849A7" w:rsidRPr="00D9348B" w:rsidRDefault="00F849A7" w:rsidP="00F849A7">
      <w:pPr>
        <w:pStyle w:val="References"/>
        <w:rPr>
          <w:rFonts w:cs="Calibri"/>
        </w:rPr>
      </w:pPr>
      <w:r w:rsidRPr="00D9348B">
        <w:rPr>
          <w:rFonts w:cs="Calibri"/>
        </w:rPr>
        <w:t>Henderson H, Cameron C. Unpublished. Review of the Methodology for Alpaca Population Estimations Used in the National Greenhouse Gas Inventory. Report prepared for the Ministry of Agriculture and Forestry in 2010.</w:t>
      </w:r>
    </w:p>
    <w:p w14:paraId="34277A63" w14:textId="77777777" w:rsidR="00F849A7" w:rsidRPr="00D9348B" w:rsidRDefault="00F849A7" w:rsidP="00F849A7">
      <w:pPr>
        <w:pStyle w:val="References"/>
        <w:rPr>
          <w:rFonts w:cs="Calibri"/>
        </w:rPr>
      </w:pPr>
      <w:r w:rsidRPr="00D9348B">
        <w:rPr>
          <w:rFonts w:cs="Calibri"/>
        </w:rPr>
        <w:t xml:space="preserve">Hill, J. 2012. </w:t>
      </w:r>
      <w:r w:rsidRPr="00D9348B">
        <w:rPr>
          <w:rFonts w:cs="Calibri"/>
          <w:i/>
        </w:rPr>
        <w:t>Recalculate Pork Industry Emissions Inventory</w:t>
      </w:r>
      <w:r w:rsidRPr="00D9348B">
        <w:rPr>
          <w:rFonts w:cs="Calibri"/>
        </w:rPr>
        <w:t>. Report prepared for the Ministry of Agriculture and Forestry by Massey University and the New Zealand Pork Industry Board. Wellington: Ministry of Agriculture and Forestry.</w:t>
      </w:r>
    </w:p>
    <w:p w14:paraId="698EF31E" w14:textId="77777777" w:rsidR="00F849A7" w:rsidRPr="00D9348B" w:rsidRDefault="00F849A7" w:rsidP="00F849A7">
      <w:pPr>
        <w:pStyle w:val="References"/>
        <w:rPr>
          <w:rFonts w:cs="Calibri"/>
        </w:rPr>
      </w:pPr>
      <w:r w:rsidRPr="00D9348B">
        <w:rPr>
          <w:rFonts w:cs="Calibri"/>
        </w:rPr>
        <w:t xml:space="preserve">Hoogendoorn CJ, de Klein CAM, Rutherford AJ, Letica S, Devantier BP. 2008. The effect of increasing rates of nitrogen fertiliser and a nitrification inhibitor on the nitrous oxide emissions from urine patches on sheep grazed hill country pasture. </w:t>
      </w:r>
      <w:r w:rsidRPr="00D9348B">
        <w:rPr>
          <w:rFonts w:cs="Calibri"/>
          <w:i/>
        </w:rPr>
        <w:t>Australian Journal of Experimental Agriculture</w:t>
      </w:r>
      <w:r w:rsidRPr="00D9348B">
        <w:rPr>
          <w:rFonts w:cs="Calibri"/>
        </w:rPr>
        <w:t xml:space="preserve"> 48(2): 147–151.</w:t>
      </w:r>
    </w:p>
    <w:p w14:paraId="2C11A6DB" w14:textId="77777777" w:rsidR="00F849A7" w:rsidRPr="00D9348B" w:rsidRDefault="00F849A7" w:rsidP="00F849A7">
      <w:pPr>
        <w:pStyle w:val="References"/>
        <w:rPr>
          <w:rFonts w:cs="Calibri"/>
        </w:rPr>
      </w:pPr>
      <w:r w:rsidRPr="00D9348B">
        <w:rPr>
          <w:rFonts w:cs="Calibri"/>
        </w:rPr>
        <w:t>Hoogendoorn CJ, Luo J, van der Weerden T, Saggar S, Wise B, Lloyd-West C, Judge A. 2013. Evaluation of beef cattle excreta nitrous oxide emission factors. Report prepared for the Ministry for Primary Industries by AgResearch in 2013. Wellington: Ministry for Primary Industries.</w:t>
      </w:r>
    </w:p>
    <w:p w14:paraId="3C3AFB0C" w14:textId="77777777" w:rsidR="00F849A7" w:rsidRPr="00D9348B" w:rsidRDefault="00F849A7" w:rsidP="00F849A7">
      <w:pPr>
        <w:pStyle w:val="References"/>
        <w:rPr>
          <w:rFonts w:cs="Calibri"/>
        </w:rPr>
      </w:pPr>
      <w:r w:rsidRPr="00D9348B">
        <w:rPr>
          <w:rFonts w:cs="Calibri"/>
        </w:rPr>
        <w:t xml:space="preserve">IPCC. 1996. Houghton JT, Meira Filho LG, Lim B, Treanton K, Mamaty I, Bonduki Y, Griggs DJ, Callender BA (eds). </w:t>
      </w:r>
      <w:r w:rsidRPr="00D9348B">
        <w:rPr>
          <w:rFonts w:cs="Calibri"/>
          <w:i/>
        </w:rPr>
        <w:t>IPCC/OECD/IEA. Revised 1996 IPCC Guidelines for National Greenhouse Gas Inventories</w:t>
      </w:r>
      <w:r w:rsidRPr="00D9348B">
        <w:rPr>
          <w:rFonts w:cs="Calibri"/>
        </w:rPr>
        <w:t>. Bracknell: United Kingdom Meteorological Office.</w:t>
      </w:r>
    </w:p>
    <w:p w14:paraId="3DBDCCE2" w14:textId="77777777" w:rsidR="00F849A7" w:rsidRPr="00D9348B" w:rsidRDefault="00F849A7" w:rsidP="00F849A7">
      <w:pPr>
        <w:pStyle w:val="References"/>
        <w:keepLines/>
        <w:rPr>
          <w:rFonts w:cs="Calibri"/>
        </w:rPr>
      </w:pPr>
      <w:r w:rsidRPr="00D9348B">
        <w:rPr>
          <w:rFonts w:cs="Calibri"/>
        </w:rPr>
        <w:lastRenderedPageBreak/>
        <w:t xml:space="preserve">IPCC. 2000. Penman J, Kruger D, Galbally I, Hiraishi T, Nyenzi B, Emmanuel S, Buendia L, Hoppaus R, Martinsen T, Meijer J, Miwa K, Tanabe K (eds). </w:t>
      </w:r>
      <w:r w:rsidRPr="00D9348B">
        <w:rPr>
          <w:rFonts w:cs="Calibri"/>
          <w:i/>
        </w:rPr>
        <w:t>Good Practice Guidance and Uncertainty Management in National Greenhouse Gas Inventories</w:t>
      </w:r>
      <w:r w:rsidRPr="00D9348B">
        <w:rPr>
          <w:rFonts w:cs="Calibri"/>
        </w:rPr>
        <w:t>. IPCC National Greenhouse Gas Inventories Programme. Published for the IPCC by the Institute for Global Environmental Strategies: Japan.</w:t>
      </w:r>
    </w:p>
    <w:p w14:paraId="3569C58E" w14:textId="77777777" w:rsidR="00F849A7" w:rsidRPr="00D9348B" w:rsidRDefault="00F849A7" w:rsidP="00F849A7">
      <w:pPr>
        <w:pStyle w:val="References"/>
        <w:rPr>
          <w:rFonts w:cs="Calibri"/>
        </w:rPr>
      </w:pPr>
      <w:r w:rsidRPr="00D9348B">
        <w:rPr>
          <w:rFonts w:cs="Calibri"/>
        </w:rPr>
        <w:t xml:space="preserve">IPCC. 2006. Eggleston HS, Buendia L, Miwa K, Ngara T, Tanabe K (eds). </w:t>
      </w:r>
      <w:r w:rsidRPr="00D9348B">
        <w:rPr>
          <w:rFonts w:cs="Calibri"/>
          <w:i/>
        </w:rPr>
        <w:t>2006 IPCC Guidelines for National Greenhouse Gas Inventories. Volume 4. Agriculture, Forestry and Other Land Use</w:t>
      </w:r>
      <w:r w:rsidRPr="00D9348B">
        <w:rPr>
          <w:rFonts w:cs="Calibri"/>
        </w:rPr>
        <w:t>. IPCC National Greenhouse Gas Inventories Programme. Published for the IPCC by the Institute for Global Environmental Strategies: Japan.</w:t>
      </w:r>
    </w:p>
    <w:p w14:paraId="35CCAF0E" w14:textId="77777777" w:rsidR="00F849A7" w:rsidRPr="00D9348B" w:rsidRDefault="00F849A7" w:rsidP="00F849A7">
      <w:pPr>
        <w:pStyle w:val="References"/>
        <w:rPr>
          <w:rFonts w:cs="Calibri"/>
        </w:rPr>
      </w:pPr>
      <w:r w:rsidRPr="00D9348B">
        <w:rPr>
          <w:rFonts w:cs="Calibri"/>
        </w:rPr>
        <w:t>Kelliher FM, Clark H, Smith MH, Lassey KR, Sedcole R. 2009.</w:t>
      </w:r>
      <w:r w:rsidRPr="00D9348B">
        <w:rPr>
          <w:rFonts w:cs="Calibri"/>
          <w:szCs w:val="54"/>
        </w:rPr>
        <w:t xml:space="preserve"> </w:t>
      </w:r>
      <w:r w:rsidRPr="00D9348B">
        <w:rPr>
          <w:rFonts w:cs="Calibri"/>
          <w:i/>
          <w:szCs w:val="54"/>
        </w:rPr>
        <w:t>Reducing Uncertainty of the Enteric Methane Emissions Inventory</w:t>
      </w:r>
      <w:r w:rsidRPr="00D9348B">
        <w:rPr>
          <w:rFonts w:cs="Calibri"/>
          <w:szCs w:val="54"/>
        </w:rPr>
        <w:t xml:space="preserve">. </w:t>
      </w:r>
      <w:r w:rsidRPr="00D9348B">
        <w:rPr>
          <w:rFonts w:cs="Calibri"/>
        </w:rPr>
        <w:t>Report prepared for the Ministry of Agriculture and Forestry by Lincoln University, National Institute of Water and Atmospheric Research and AgResearch. Wellington: Ministry of Agriculture and Forestry.</w:t>
      </w:r>
    </w:p>
    <w:p w14:paraId="08647718" w14:textId="77777777" w:rsidR="00F849A7" w:rsidRPr="00D9348B" w:rsidRDefault="00F849A7" w:rsidP="00F849A7">
      <w:pPr>
        <w:pStyle w:val="References"/>
        <w:rPr>
          <w:rFonts w:cs="Calibri"/>
        </w:rPr>
      </w:pPr>
      <w:r w:rsidRPr="00D9348B">
        <w:rPr>
          <w:rFonts w:cs="Calibri"/>
        </w:rPr>
        <w:t xml:space="preserve">Kelliher FM, Clough T, Newsome P, Pitcher-Campbell S, Shephard G. </w:t>
      </w:r>
      <w:proofErr w:type="gramStart"/>
      <w:r w:rsidRPr="00D9348B">
        <w:rPr>
          <w:rFonts w:cs="Calibri"/>
        </w:rPr>
        <w:t>Unpublished(</w:t>
      </w:r>
      <w:proofErr w:type="gramEnd"/>
      <w:r w:rsidRPr="00D9348B">
        <w:rPr>
          <w:rFonts w:cs="Calibri"/>
        </w:rPr>
        <w:t>a). N</w:t>
      </w:r>
      <w:r w:rsidRPr="00D9348B">
        <w:rPr>
          <w:rFonts w:cs="Calibri"/>
          <w:vertAlign w:val="subscript"/>
        </w:rPr>
        <w:t>2</w:t>
      </w:r>
      <w:r w:rsidRPr="00D9348B">
        <w:rPr>
          <w:rFonts w:cs="Calibri"/>
        </w:rPr>
        <w:t>O Emissions from Organic Soils. Report prepared for the Ministry of Agriculture and Forestry by Lincoln University, Landcare Research and AgResearch in 2002.</w:t>
      </w:r>
    </w:p>
    <w:p w14:paraId="11398061" w14:textId="77777777" w:rsidR="00F849A7" w:rsidRPr="00D9348B" w:rsidRDefault="00F849A7" w:rsidP="00F849A7">
      <w:pPr>
        <w:pStyle w:val="References"/>
        <w:rPr>
          <w:rFonts w:cs="Calibri"/>
        </w:rPr>
      </w:pPr>
      <w:r w:rsidRPr="00D9348B">
        <w:rPr>
          <w:rFonts w:cs="Calibri"/>
        </w:rPr>
        <w:t xml:space="preserve">Kelliher FM, Cox N, van der Weerden TJ, de Klein CAM, Luo J, Cameron KC, Di HJ, Giltrap D, Rys G. 2014. Statistical analysis of nitrous oxide emission factors from pastoral agriculture field trials conducted in New Zealand. </w:t>
      </w:r>
      <w:r w:rsidRPr="00D9348B">
        <w:rPr>
          <w:rFonts w:cs="Calibri"/>
          <w:i/>
        </w:rPr>
        <w:t>Environmental Pollution</w:t>
      </w:r>
      <w:r w:rsidRPr="00D9348B">
        <w:rPr>
          <w:rFonts w:cs="Calibri"/>
        </w:rPr>
        <w:t xml:space="preserve"> 186: 63–66.</w:t>
      </w:r>
    </w:p>
    <w:p w14:paraId="65FEC69A" w14:textId="77777777" w:rsidR="00F849A7" w:rsidRPr="00D9348B" w:rsidRDefault="00F849A7" w:rsidP="00F849A7">
      <w:pPr>
        <w:pStyle w:val="References"/>
        <w:rPr>
          <w:rFonts w:cs="Calibri"/>
        </w:rPr>
      </w:pPr>
      <w:r w:rsidRPr="00D9348B">
        <w:rPr>
          <w:rFonts w:cs="Calibri"/>
        </w:rPr>
        <w:t xml:space="preserve">Kelliher FM, de Klein CAM. </w:t>
      </w:r>
      <w:proofErr w:type="gramStart"/>
      <w:r w:rsidRPr="00D9348B">
        <w:rPr>
          <w:rFonts w:cs="Calibri"/>
        </w:rPr>
        <w:t>Unpublished(</w:t>
      </w:r>
      <w:proofErr w:type="gramEnd"/>
      <w:r w:rsidRPr="00D9348B">
        <w:rPr>
          <w:rFonts w:cs="Calibri"/>
        </w:rPr>
        <w:t>b). Review of New Zealand’s Fertiliser Nitrous Oxide Emission Factor (EF</w:t>
      </w:r>
      <w:r w:rsidRPr="00D9348B">
        <w:rPr>
          <w:rFonts w:cs="Calibri"/>
          <w:vertAlign w:val="subscript"/>
        </w:rPr>
        <w:t>1</w:t>
      </w:r>
      <w:r w:rsidRPr="00D9348B">
        <w:rPr>
          <w:rFonts w:cs="Calibri"/>
        </w:rPr>
        <w:t>) Data. Report prepared for the Ministry for the Environment by Landcare Research and AgResearch in 2006.</w:t>
      </w:r>
    </w:p>
    <w:p w14:paraId="7A15F914" w14:textId="77777777" w:rsidR="00F849A7" w:rsidRPr="00D9348B" w:rsidRDefault="00F849A7" w:rsidP="00F849A7">
      <w:pPr>
        <w:pStyle w:val="References"/>
        <w:rPr>
          <w:rFonts w:cs="Calibri"/>
        </w:rPr>
      </w:pPr>
      <w:r w:rsidRPr="00D9348B">
        <w:rPr>
          <w:rFonts w:cs="Calibri"/>
        </w:rPr>
        <w:t xml:space="preserve">Kelliher FM, Henderson H and Cox N. 2017. The uncertainty of nitrous oxide emissions from grazed grasslands: A New Zealand case study. </w:t>
      </w:r>
      <w:r w:rsidRPr="00D9348B">
        <w:rPr>
          <w:rFonts w:cs="Calibri"/>
          <w:i/>
        </w:rPr>
        <w:t>Atmospheric Environment</w:t>
      </w:r>
      <w:r w:rsidRPr="00D9348B">
        <w:rPr>
          <w:rFonts w:cs="Calibri"/>
        </w:rPr>
        <w:t xml:space="preserve"> 148: 329–336.</w:t>
      </w:r>
    </w:p>
    <w:p w14:paraId="38016D20" w14:textId="77777777" w:rsidR="00F849A7" w:rsidRPr="00D9348B" w:rsidRDefault="00F849A7" w:rsidP="00F849A7">
      <w:pPr>
        <w:pStyle w:val="References"/>
        <w:rPr>
          <w:rFonts w:cs="Calibri"/>
        </w:rPr>
      </w:pPr>
      <w:r w:rsidRPr="00D9348B">
        <w:rPr>
          <w:rFonts w:cs="Calibri"/>
        </w:rPr>
        <w:t xml:space="preserve">Kelliher FM, Ledgard SF, Clark H, Walcroft AS, Buchan M, Sherlock RR. </w:t>
      </w:r>
      <w:proofErr w:type="gramStart"/>
      <w:r w:rsidRPr="00D9348B">
        <w:rPr>
          <w:rFonts w:cs="Calibri"/>
        </w:rPr>
        <w:t>Unpublished(</w:t>
      </w:r>
      <w:proofErr w:type="gramEnd"/>
      <w:r w:rsidRPr="00D9348B">
        <w:rPr>
          <w:rFonts w:cs="Calibri"/>
        </w:rPr>
        <w:t>b). A Revised Nitrous Oxide Emissions Inventory for New Zealand 1990–2001. Report prepared for the Ministry of Agriculture and Forestry by Lincoln University, Landcare Research and AgResearch in 2003.</w:t>
      </w:r>
    </w:p>
    <w:p w14:paraId="29C43E04" w14:textId="77777777" w:rsidR="00F849A7" w:rsidRPr="00D9348B" w:rsidRDefault="00F849A7" w:rsidP="00F849A7">
      <w:pPr>
        <w:pStyle w:val="References"/>
        <w:rPr>
          <w:rFonts w:cs="Calibri"/>
        </w:rPr>
      </w:pPr>
      <w:r w:rsidRPr="00D9348B">
        <w:rPr>
          <w:rFonts w:cs="Calibri"/>
        </w:rPr>
        <w:t xml:space="preserve">Kuikman PJ, van der Hoek KW, Smit A, Zwart K. 2006. </w:t>
      </w:r>
      <w:r w:rsidRPr="00D9348B">
        <w:rPr>
          <w:rFonts w:cs="Calibri"/>
          <w:i/>
        </w:rPr>
        <w:t>Update of emission factors for nitrous oxide from agricultural soils on the basis of measurements in the Netherlands</w:t>
      </w:r>
      <w:r w:rsidRPr="00D9348B">
        <w:rPr>
          <w:rFonts w:cs="Calibri"/>
        </w:rPr>
        <w:t xml:space="preserve">. Alterra Report 1217. Wageningen, </w:t>
      </w:r>
      <w:proofErr w:type="gramStart"/>
      <w:r w:rsidRPr="00D9348B">
        <w:rPr>
          <w:rFonts w:cs="Calibri"/>
        </w:rPr>
        <w:t>The</w:t>
      </w:r>
      <w:proofErr w:type="gramEnd"/>
      <w:r w:rsidRPr="00D9348B">
        <w:rPr>
          <w:rFonts w:cs="Calibri"/>
        </w:rPr>
        <w:t xml:space="preserve"> Netherlands: Alterra.</w:t>
      </w:r>
    </w:p>
    <w:p w14:paraId="688BEDAD" w14:textId="77777777" w:rsidR="00F849A7" w:rsidRPr="00D9348B" w:rsidRDefault="00F849A7" w:rsidP="00F849A7">
      <w:pPr>
        <w:pStyle w:val="References"/>
        <w:rPr>
          <w:rFonts w:cs="Calibri"/>
          <w:i/>
        </w:rPr>
      </w:pPr>
      <w:r w:rsidRPr="00D9348B">
        <w:rPr>
          <w:rFonts w:cs="Calibri"/>
        </w:rPr>
        <w:t xml:space="preserve">Lassey K. 2011. </w:t>
      </w:r>
      <w:r w:rsidRPr="00D9348B">
        <w:rPr>
          <w:rFonts w:cs="Calibri"/>
          <w:i/>
        </w:rPr>
        <w:t>Methane Emissions and Nitrogen Excretion Rates for New Zealand Goats</w:t>
      </w:r>
      <w:r w:rsidRPr="00D9348B">
        <w:rPr>
          <w:rFonts w:cs="Calibri"/>
        </w:rPr>
        <w:t xml:space="preserve">. Report for the Ministry of Agriculture and Forestry, National Institute of Water and Atmospheric Research. Wellington: National Institute of Water and Atmospheric Research. </w:t>
      </w:r>
    </w:p>
    <w:p w14:paraId="5B29F7F6" w14:textId="77777777" w:rsidR="00F849A7" w:rsidRPr="00D9348B" w:rsidRDefault="00F849A7" w:rsidP="00F849A7">
      <w:pPr>
        <w:pStyle w:val="References"/>
        <w:rPr>
          <w:rFonts w:cs="Calibri"/>
          <w:i/>
        </w:rPr>
      </w:pPr>
      <w:r w:rsidRPr="00D9348B">
        <w:rPr>
          <w:rFonts w:cs="Calibri"/>
        </w:rPr>
        <w:t xml:space="preserve">Lassey KR, Ulyatt MJ, Martin RJ, Walker CF, Shelton ID. 1997. Methane emissions measured directly from grazing livestock in New Zealand. </w:t>
      </w:r>
      <w:r w:rsidRPr="00D9348B">
        <w:rPr>
          <w:rFonts w:cs="Calibri"/>
          <w:i/>
          <w:iCs/>
        </w:rPr>
        <w:t>Atmospheric Environment</w:t>
      </w:r>
      <w:r w:rsidRPr="00D9348B">
        <w:rPr>
          <w:rFonts w:cs="Calibri"/>
        </w:rPr>
        <w:t xml:space="preserve"> </w:t>
      </w:r>
      <w:r w:rsidRPr="00D9348B">
        <w:rPr>
          <w:rFonts w:cs="Calibri"/>
          <w:bCs/>
        </w:rPr>
        <w:t>31</w:t>
      </w:r>
      <w:r w:rsidRPr="00D9348B">
        <w:rPr>
          <w:rFonts w:cs="Calibri"/>
        </w:rPr>
        <w:t>: 2905–2914.</w:t>
      </w:r>
    </w:p>
    <w:p w14:paraId="741A8AB4" w14:textId="77777777" w:rsidR="00F849A7" w:rsidRPr="00D9348B" w:rsidRDefault="00F849A7" w:rsidP="00F849A7">
      <w:pPr>
        <w:pStyle w:val="References"/>
        <w:rPr>
          <w:rFonts w:cs="Calibri"/>
        </w:rPr>
      </w:pPr>
      <w:r w:rsidRPr="00D9348B">
        <w:rPr>
          <w:rFonts w:cs="Calibri"/>
        </w:rPr>
        <w:t xml:space="preserve">Laubach J, Grover SPP, Taghizadeh-Toosi A, Sherlock RR, Gibbs J, Kelliher FM. 2012. </w:t>
      </w:r>
      <w:r w:rsidRPr="00D9348B">
        <w:rPr>
          <w:rFonts w:cs="Calibri"/>
          <w:i/>
        </w:rPr>
        <w:t>Ammonium from Animal Excreta.</w:t>
      </w:r>
      <w:r w:rsidRPr="00D9348B">
        <w:rPr>
          <w:rFonts w:cs="Calibri"/>
        </w:rPr>
        <w:t xml:space="preserve"> MPI Technical Paper No: 2012/41. Wellington: Ministry for Primary Industries. </w:t>
      </w:r>
    </w:p>
    <w:p w14:paraId="394822A3" w14:textId="77777777" w:rsidR="00F849A7" w:rsidRPr="00D9348B" w:rsidRDefault="00F849A7" w:rsidP="00F849A7">
      <w:pPr>
        <w:pStyle w:val="References"/>
        <w:rPr>
          <w:rFonts w:cs="Calibri"/>
        </w:rPr>
      </w:pPr>
      <w:r w:rsidRPr="00D9348B">
        <w:rPr>
          <w:rFonts w:cs="Calibri"/>
        </w:rPr>
        <w:t xml:space="preserve">Laubach J, Kelliher FM. 2004. Measuring methane emission rates of a dairy cow herd by two micrometeorological techniques. </w:t>
      </w:r>
      <w:r w:rsidRPr="00D9348B">
        <w:rPr>
          <w:rFonts w:cs="Calibri"/>
          <w:i/>
        </w:rPr>
        <w:t>Agricultural and Forest Meteorology</w:t>
      </w:r>
      <w:r w:rsidRPr="00D9348B">
        <w:rPr>
          <w:rFonts w:cs="Calibri"/>
        </w:rPr>
        <w:t xml:space="preserve"> 125: 279–303.</w:t>
      </w:r>
    </w:p>
    <w:p w14:paraId="1F659BD0" w14:textId="77777777" w:rsidR="00F849A7" w:rsidRPr="00D9348B" w:rsidRDefault="00F849A7" w:rsidP="00F849A7">
      <w:pPr>
        <w:pStyle w:val="References"/>
        <w:rPr>
          <w:rFonts w:cs="Calibri"/>
        </w:rPr>
      </w:pPr>
      <w:r w:rsidRPr="00D9348B">
        <w:rPr>
          <w:rFonts w:cs="Calibri"/>
        </w:rPr>
        <w:t xml:space="preserve">Ledgard SF, Luo J, Sprosen MS, Wyatt J, Balvert S, Lindsey S. 2014. Effects of the nitrification inhibitor dicyandiamide (DCD) on pasture production, nitrous oxide emissions and nitrate leaching in Waikato, New Zealand. </w:t>
      </w:r>
      <w:r w:rsidRPr="00D9348B">
        <w:rPr>
          <w:rFonts w:cs="Calibri"/>
          <w:i/>
        </w:rPr>
        <w:t>New Zealand Journal of Agricultural Research</w:t>
      </w:r>
      <w:r w:rsidRPr="00D9348B">
        <w:rPr>
          <w:rFonts w:cs="Calibri"/>
        </w:rPr>
        <w:t xml:space="preserve"> 57(4): 294–315.</w:t>
      </w:r>
    </w:p>
    <w:p w14:paraId="181730D0" w14:textId="77777777" w:rsidR="00F849A7" w:rsidRPr="00D9348B" w:rsidRDefault="00F849A7" w:rsidP="00F849A7">
      <w:pPr>
        <w:pStyle w:val="References"/>
        <w:rPr>
          <w:rFonts w:cs="Calibri"/>
          <w:bCs/>
        </w:rPr>
      </w:pPr>
      <w:r w:rsidRPr="00D9348B">
        <w:rPr>
          <w:rFonts w:cs="Calibri"/>
        </w:rPr>
        <w:t>Ledgard SF, Webby R, Hawke M. Unpublished. Improved Estimation of N Excretion by Grazing Animals to Improve N</w:t>
      </w:r>
      <w:r w:rsidRPr="00D9348B">
        <w:rPr>
          <w:rFonts w:cs="Calibri"/>
          <w:vertAlign w:val="subscript"/>
        </w:rPr>
        <w:t>2</w:t>
      </w:r>
      <w:r w:rsidRPr="00D9348B">
        <w:rPr>
          <w:rFonts w:cs="Calibri"/>
        </w:rPr>
        <w:t>O Emission Inventories. Report prepared for the Ministry of Agriculture and Forestry by AgResearch in 2003.</w:t>
      </w:r>
    </w:p>
    <w:p w14:paraId="4CB86285" w14:textId="77777777" w:rsidR="00F849A7" w:rsidRPr="00D9348B" w:rsidRDefault="00F849A7" w:rsidP="00F849A7">
      <w:pPr>
        <w:pStyle w:val="References"/>
        <w:rPr>
          <w:rFonts w:cs="Calibri"/>
        </w:rPr>
      </w:pPr>
      <w:r w:rsidRPr="00D9348B">
        <w:rPr>
          <w:rFonts w:cs="Calibri"/>
        </w:rPr>
        <w:t xml:space="preserve">LIC (Livestock Improvement Corporation Limited) and DairyNZ. 2019. </w:t>
      </w:r>
      <w:r w:rsidRPr="00D9348B">
        <w:rPr>
          <w:rFonts w:cs="Calibri"/>
          <w:i/>
        </w:rPr>
        <w:t xml:space="preserve">New Zealand Dairy Statistics </w:t>
      </w:r>
      <w:r w:rsidRPr="00D9348B">
        <w:rPr>
          <w:rFonts w:cs="Calibri"/>
          <w:i/>
        </w:rPr>
        <w:br/>
        <w:t>2018–2019</w:t>
      </w:r>
      <w:r w:rsidRPr="00D9348B">
        <w:rPr>
          <w:rFonts w:cs="Calibri"/>
        </w:rPr>
        <w:t xml:space="preserve">. Hamilton: DairyNZ. Retrieved from </w:t>
      </w:r>
      <w:hyperlink r:id="rId194" w:history="1">
        <w:r w:rsidRPr="00D9348B">
          <w:rPr>
            <w:rFonts w:cs="Calibri"/>
          </w:rPr>
          <w:t>www.dairynz.co.nz/media/5792471/nz_dairy_statistics_2018-19_web_v2.pdf</w:t>
        </w:r>
      </w:hyperlink>
      <w:r w:rsidRPr="00D9348B" w:rsidDel="00A46026">
        <w:rPr>
          <w:rFonts w:cs="Calibri"/>
        </w:rPr>
        <w:t xml:space="preserve"> </w:t>
      </w:r>
      <w:r w:rsidRPr="00D9348B">
        <w:rPr>
          <w:rFonts w:cs="Calibri"/>
        </w:rPr>
        <w:t>(7 January 2020).</w:t>
      </w:r>
    </w:p>
    <w:p w14:paraId="58A862AE" w14:textId="77777777" w:rsidR="00F849A7" w:rsidRPr="00D9348B" w:rsidRDefault="00F849A7" w:rsidP="00F849A7">
      <w:pPr>
        <w:pStyle w:val="References"/>
        <w:rPr>
          <w:rFonts w:cs="Calibri"/>
        </w:rPr>
      </w:pPr>
      <w:r w:rsidRPr="00D9348B">
        <w:rPr>
          <w:rFonts w:cs="Calibri"/>
        </w:rPr>
        <w:lastRenderedPageBreak/>
        <w:t xml:space="preserve">Livestock Improvement Corporation Limited. 2009. </w:t>
      </w:r>
      <w:r w:rsidRPr="00D9348B">
        <w:rPr>
          <w:rFonts w:cs="Calibri"/>
          <w:i/>
        </w:rPr>
        <w:t>100 Years of Herd Testing</w:t>
      </w:r>
      <w:r w:rsidRPr="00D9348B">
        <w:rPr>
          <w:rFonts w:cs="Calibri"/>
        </w:rPr>
        <w:t xml:space="preserve">. Hamilton: Livestock Improvement Corporation Limited. Retrieved from </w:t>
      </w:r>
      <w:hyperlink r:id="rId195" w:history="1">
        <w:r w:rsidRPr="00D9348B">
          <w:rPr>
            <w:rFonts w:cs="Calibri"/>
          </w:rPr>
          <w:t>www.lic.co.nz/documents/275/100_years_of_Herd_Testing.pdf</w:t>
        </w:r>
      </w:hyperlink>
      <w:r w:rsidRPr="00D9348B">
        <w:rPr>
          <w:rFonts w:cs="Calibri"/>
        </w:rPr>
        <w:t xml:space="preserve"> (7 January 2020).</w:t>
      </w:r>
    </w:p>
    <w:p w14:paraId="4EDE894C" w14:textId="77777777" w:rsidR="00F849A7" w:rsidRPr="00D9348B" w:rsidRDefault="00F849A7" w:rsidP="00F849A7">
      <w:pPr>
        <w:pStyle w:val="References"/>
        <w:rPr>
          <w:rFonts w:cs="Calibri"/>
        </w:rPr>
      </w:pPr>
      <w:r w:rsidRPr="00D9348B">
        <w:rPr>
          <w:rFonts w:cs="Calibri"/>
        </w:rPr>
        <w:t>Luo J, Hoogendoorn C, van der Weerden T, Saggar S, de Klein C, Giltrap D. 2016. Nitrous oxide emission factors for animal excreta deposited on hill country steep slopes. Report prepared for the Ministry for Primary Industries by AgResearch in 2016. Wellington: Ministry for Primary Industries.</w:t>
      </w:r>
    </w:p>
    <w:p w14:paraId="4A460B84" w14:textId="77777777" w:rsidR="00F849A7" w:rsidRPr="00D9348B" w:rsidRDefault="00F849A7" w:rsidP="00F849A7">
      <w:pPr>
        <w:pStyle w:val="References"/>
        <w:rPr>
          <w:rFonts w:cs="Calibri"/>
        </w:rPr>
      </w:pPr>
      <w:r w:rsidRPr="00D9348B">
        <w:rPr>
          <w:rFonts w:cs="Calibri"/>
        </w:rPr>
        <w:t xml:space="preserve">Luo J, Hoogendoorn C, van der Weerden TJ, Saggar S, de Klein CAM, Giltrap D, Rollo M, Rys G. 2013. Nitrous oxide emissions from grazed hill land in New Zealand. </w:t>
      </w:r>
      <w:r w:rsidRPr="00D9348B">
        <w:rPr>
          <w:rFonts w:cs="Calibri"/>
          <w:i/>
        </w:rPr>
        <w:t>Agriculture Ecosystems &amp; Environment</w:t>
      </w:r>
      <w:r w:rsidRPr="00D9348B">
        <w:rPr>
          <w:rFonts w:cs="Calibri"/>
        </w:rPr>
        <w:t xml:space="preserve"> 181: 58–68.</w:t>
      </w:r>
    </w:p>
    <w:p w14:paraId="7C3497CC" w14:textId="77777777" w:rsidR="00F849A7" w:rsidRPr="00D9348B" w:rsidRDefault="00F849A7" w:rsidP="00F849A7">
      <w:pPr>
        <w:pStyle w:val="References"/>
        <w:rPr>
          <w:rFonts w:cs="Calibri"/>
        </w:rPr>
      </w:pPr>
      <w:r w:rsidRPr="00D9348B">
        <w:rPr>
          <w:rFonts w:cs="Calibri"/>
        </w:rPr>
        <w:t xml:space="preserve">Luo J, Saggar S, van der Weerden T, de Klein C. 2019. Quantification of nitrous oxide emissions and emission factors from beef and dairy cattle excreta deposited on grazed pastoral hill lands. </w:t>
      </w:r>
      <w:r w:rsidRPr="00D9348B">
        <w:rPr>
          <w:rFonts w:cs="Calibri"/>
          <w:i/>
        </w:rPr>
        <w:t>Agriculture, Ecosystems &amp; Environment</w:t>
      </w:r>
      <w:r w:rsidRPr="00D9348B">
        <w:rPr>
          <w:rFonts w:cs="Calibri"/>
        </w:rPr>
        <w:t xml:space="preserve"> 270–271: 103–113.</w:t>
      </w:r>
    </w:p>
    <w:p w14:paraId="08B06CF1" w14:textId="77777777" w:rsidR="00F849A7" w:rsidRPr="00D9348B" w:rsidRDefault="00F849A7" w:rsidP="00F849A7">
      <w:pPr>
        <w:pStyle w:val="References"/>
        <w:rPr>
          <w:rFonts w:cs="Calibri"/>
        </w:rPr>
      </w:pPr>
      <w:r w:rsidRPr="00D9348B">
        <w:rPr>
          <w:rFonts w:cs="Calibri"/>
        </w:rPr>
        <w:t>Marsden KA, Holmberg JA, Jones DL, Chadwick DR. 2018. Sheep urine patch N</w:t>
      </w:r>
      <w:r w:rsidRPr="00D9348B">
        <w:rPr>
          <w:rFonts w:cs="Calibri"/>
          <w:vertAlign w:val="subscript"/>
        </w:rPr>
        <w:t>2</w:t>
      </w:r>
      <w:r w:rsidRPr="00D9348B">
        <w:rPr>
          <w:rFonts w:cs="Calibri"/>
        </w:rPr>
        <w:t xml:space="preserve">O emissions are lower from extensively-managed than intensively-managed grasslands. </w:t>
      </w:r>
      <w:r w:rsidRPr="00D9348B">
        <w:rPr>
          <w:rFonts w:cs="Calibri"/>
          <w:i/>
        </w:rPr>
        <w:t>Agriculture Ecosystems &amp; Environment</w:t>
      </w:r>
      <w:r w:rsidRPr="00D9348B">
        <w:rPr>
          <w:rFonts w:cs="Calibri"/>
        </w:rPr>
        <w:t xml:space="preserve"> 265: 264–274.</w:t>
      </w:r>
    </w:p>
    <w:p w14:paraId="73500887" w14:textId="77777777" w:rsidR="00F849A7" w:rsidRPr="00D9348B" w:rsidRDefault="00F849A7" w:rsidP="00F849A7">
      <w:pPr>
        <w:pStyle w:val="References"/>
        <w:rPr>
          <w:rFonts w:cs="Calibri"/>
        </w:rPr>
      </w:pPr>
      <w:r w:rsidRPr="00D9348B">
        <w:rPr>
          <w:rFonts w:cs="Calibri"/>
        </w:rPr>
        <w:t xml:space="preserve">Ministry for the Environment. 2017. </w:t>
      </w:r>
      <w:r w:rsidRPr="00D9348B">
        <w:rPr>
          <w:rFonts w:cs="Calibri"/>
          <w:i/>
        </w:rPr>
        <w:t>New Zealand’s Seventh National Communication –</w:t>
      </w:r>
      <w:r w:rsidRPr="00D9348B" w:rsidDel="008B7BF6">
        <w:rPr>
          <w:rFonts w:cs="Calibri"/>
          <w:i/>
        </w:rPr>
        <w:t xml:space="preserve"> </w:t>
      </w:r>
      <w:r w:rsidRPr="00D9348B">
        <w:rPr>
          <w:rFonts w:cs="Calibri"/>
          <w:i/>
        </w:rPr>
        <w:t>Fulfilling reporting requirements under the United Nations Framework Convention on Climate Change and the Kyoto Protocol.</w:t>
      </w:r>
      <w:r w:rsidRPr="00D9348B">
        <w:rPr>
          <w:rFonts w:cs="Calibri"/>
        </w:rPr>
        <w:t xml:space="preserve"> Wellington: Ministry for the Environment. Retrieved from</w:t>
      </w:r>
      <w:r w:rsidRPr="00D9348B" w:rsidDel="008B7BF6">
        <w:rPr>
          <w:rFonts w:cs="Calibri"/>
        </w:rPr>
        <w:t xml:space="preserve"> </w:t>
      </w:r>
      <w:hyperlink r:id="rId196" w:history="1">
        <w:r w:rsidRPr="00D9348B">
          <w:rPr>
            <w:rFonts w:cs="Calibri"/>
          </w:rPr>
          <w:t>www.mfe.govt.nz/sites/default/files/media/Climate%20Change/21-12-17%20Web%20FINAL%20-%20Seventh%20National%20Communication%202017.pdf</w:t>
        </w:r>
      </w:hyperlink>
      <w:r w:rsidRPr="00D9348B" w:rsidDel="007B7D8B">
        <w:rPr>
          <w:rFonts w:cs="Calibri"/>
        </w:rPr>
        <w:t xml:space="preserve"> </w:t>
      </w:r>
      <w:r w:rsidRPr="00D9348B">
        <w:rPr>
          <w:rFonts w:cs="Calibri"/>
        </w:rPr>
        <w:t>(7 January 2020).</w:t>
      </w:r>
    </w:p>
    <w:p w14:paraId="60641EF9" w14:textId="77777777" w:rsidR="00F849A7" w:rsidRPr="00D9348B" w:rsidRDefault="00F849A7" w:rsidP="00F849A7">
      <w:pPr>
        <w:pStyle w:val="References"/>
        <w:rPr>
          <w:rFonts w:eastAsia="Arial Unicode MS"/>
        </w:rPr>
      </w:pPr>
      <w:r w:rsidRPr="00D9348B">
        <w:rPr>
          <w:rFonts w:cs="Calibri"/>
        </w:rPr>
        <w:t xml:space="preserve">Muir PD, Thomson BC. 2010. </w:t>
      </w:r>
      <w:r w:rsidRPr="00D9348B">
        <w:rPr>
          <w:rFonts w:cs="Calibri"/>
          <w:i/>
        </w:rPr>
        <w:t>Better Estimation of National Ewe and Beef Cow Liveweights</w:t>
      </w:r>
      <w:r w:rsidRPr="00D9348B">
        <w:rPr>
          <w:rFonts w:cs="Calibri"/>
        </w:rPr>
        <w:t>. Report prepared for the Ministry of Agriculture and Forestry by On-Farm Research. Wellington: Ministry of Agriculture and Forestry.</w:t>
      </w:r>
    </w:p>
    <w:p w14:paraId="7C052114" w14:textId="77777777" w:rsidR="00F849A7" w:rsidRPr="00D9348B" w:rsidRDefault="00F849A7" w:rsidP="00F849A7">
      <w:pPr>
        <w:pStyle w:val="References"/>
        <w:rPr>
          <w:rFonts w:cs="Calibri"/>
          <w:i/>
        </w:rPr>
      </w:pPr>
      <w:r w:rsidRPr="00D9348B">
        <w:rPr>
          <w:rFonts w:cs="Calibri"/>
        </w:rPr>
        <w:t xml:space="preserve">Muir PD, Thomson BC, Askin DC. 2008. </w:t>
      </w:r>
      <w:r w:rsidRPr="00D9348B">
        <w:rPr>
          <w:rFonts w:cs="Calibri"/>
          <w:i/>
        </w:rPr>
        <w:t xml:space="preserve">A Review of Dressing </w:t>
      </w:r>
      <w:proofErr w:type="gramStart"/>
      <w:r w:rsidRPr="00D9348B">
        <w:rPr>
          <w:rFonts w:cs="Calibri"/>
          <w:i/>
        </w:rPr>
        <w:t>Out</w:t>
      </w:r>
      <w:proofErr w:type="gramEnd"/>
      <w:r w:rsidRPr="00D9348B">
        <w:rPr>
          <w:rFonts w:cs="Calibri"/>
          <w:i/>
        </w:rPr>
        <w:t xml:space="preserve"> Percentage in New Zealand Livestock</w:t>
      </w:r>
      <w:r w:rsidRPr="00D9348B">
        <w:rPr>
          <w:rFonts w:cs="Calibri"/>
        </w:rPr>
        <w:t>. Report prepared for the Ministry of Agriculture and Forestry by On-Farm Research and Kilu Consulting. Wellington: Ministry of Agriculture and Forestry.</w:t>
      </w:r>
    </w:p>
    <w:p w14:paraId="6BD2E84F" w14:textId="77777777" w:rsidR="00F849A7" w:rsidRPr="00D9348B" w:rsidRDefault="00F849A7" w:rsidP="00F849A7">
      <w:pPr>
        <w:pStyle w:val="References"/>
        <w:rPr>
          <w:rFonts w:cs="Calibri"/>
        </w:rPr>
      </w:pPr>
      <w:r w:rsidRPr="00D9348B">
        <w:rPr>
          <w:rFonts w:cs="Calibri"/>
        </w:rPr>
        <w:t xml:space="preserve">Muller C, Sherlock RR, Williams PH. 1995. Direct field measurements of nitrous oxide emissions from urine-affected and urine-unaffected pasture in Canterbury. In: </w:t>
      </w:r>
      <w:r w:rsidRPr="00D9348B">
        <w:rPr>
          <w:rFonts w:cs="Calibri"/>
          <w:i/>
        </w:rPr>
        <w:t>P</w:t>
      </w:r>
      <w:r w:rsidRPr="00D9348B">
        <w:rPr>
          <w:rFonts w:cs="Calibri"/>
          <w:i/>
          <w:iCs/>
        </w:rPr>
        <w:t>roceedings of the Workshop on Fertilizer Requirements of Grazed Pasture and Field Crops: Macro and Micronutrients</w:t>
      </w:r>
      <w:r w:rsidRPr="00D9348B">
        <w:rPr>
          <w:rFonts w:cs="Calibri"/>
          <w:iCs/>
        </w:rPr>
        <w:t xml:space="preserve">. </w:t>
      </w:r>
      <w:r w:rsidRPr="00D9348B">
        <w:rPr>
          <w:rFonts w:cs="Calibri"/>
        </w:rPr>
        <w:t>Currie LD, Loganathan P (</w:t>
      </w:r>
      <w:proofErr w:type="gramStart"/>
      <w:r w:rsidRPr="00D9348B">
        <w:rPr>
          <w:rFonts w:cs="Calibri"/>
        </w:rPr>
        <w:t>eds</w:t>
      </w:r>
      <w:proofErr w:type="gramEnd"/>
      <w:r w:rsidRPr="00D9348B">
        <w:rPr>
          <w:rFonts w:cs="Calibri"/>
        </w:rPr>
        <w:t>). Occasional Report No. 8. Palmerston North: Massey University. pp 243–34.</w:t>
      </w:r>
    </w:p>
    <w:p w14:paraId="15271C35" w14:textId="77777777" w:rsidR="00F849A7" w:rsidRPr="00D9348B" w:rsidRDefault="00F849A7" w:rsidP="00F849A7">
      <w:pPr>
        <w:pStyle w:val="References"/>
        <w:rPr>
          <w:rFonts w:cs="Calibri"/>
        </w:rPr>
      </w:pPr>
      <w:r w:rsidRPr="00D9348B">
        <w:rPr>
          <w:rFonts w:cs="Calibri"/>
        </w:rPr>
        <w:t>Pacheco D, Waghorn G, Rollo M. Unpublished. Methodology for Splitting Nitrogen between Livestock Dung and Urine</w:t>
      </w:r>
      <w:r w:rsidRPr="00D9348B">
        <w:rPr>
          <w:rFonts w:cs="Calibri"/>
          <w:i/>
        </w:rPr>
        <w:t>.</w:t>
      </w:r>
      <w:r w:rsidRPr="00D9348B">
        <w:rPr>
          <w:rFonts w:cs="Calibri"/>
        </w:rPr>
        <w:t xml:space="preserve"> Report prepared for the Ministry for Primary Industries by AgResearch in 2018.</w:t>
      </w:r>
    </w:p>
    <w:p w14:paraId="1871DA53" w14:textId="77777777" w:rsidR="00F849A7" w:rsidRPr="00D9348B" w:rsidRDefault="00F849A7" w:rsidP="00F849A7">
      <w:pPr>
        <w:pStyle w:val="References"/>
        <w:rPr>
          <w:rFonts w:cs="Calibri"/>
        </w:rPr>
      </w:pPr>
      <w:r w:rsidRPr="00D9348B">
        <w:rPr>
          <w:rFonts w:cs="Calibri"/>
          <w:spacing w:val="-2"/>
          <w:lang w:eastAsia="en-GB"/>
        </w:rPr>
        <w:t xml:space="preserve">Pickering A, Gibbs J. 2019. </w:t>
      </w:r>
      <w:r w:rsidRPr="00D9348B">
        <w:rPr>
          <w:rFonts w:cs="Calibri"/>
          <w:i/>
          <w:spacing w:val="-2"/>
          <w:lang w:eastAsia="en-GB"/>
        </w:rPr>
        <w:t>Methodology for Calculation of New Zealand’s Agricultural Greenhouse Gas Emissions</w:t>
      </w:r>
      <w:r w:rsidRPr="00D9348B">
        <w:rPr>
          <w:rFonts w:cs="Calibri"/>
          <w:spacing w:val="-2"/>
          <w:lang w:eastAsia="en-GB"/>
        </w:rPr>
        <w:t>.</w:t>
      </w:r>
      <w:r w:rsidRPr="00D9348B">
        <w:rPr>
          <w:rFonts w:cs="Calibri"/>
          <w:lang w:eastAsia="en-GB"/>
        </w:rPr>
        <w:t xml:space="preserve"> Version 5. Wellington: Ministry for Primary Industries. Retrieved from </w:t>
      </w:r>
      <w:hyperlink r:id="rId197" w:history="1">
        <w:r w:rsidRPr="00D9348B">
          <w:rPr>
            <w:rFonts w:cs="Calibri"/>
          </w:rPr>
          <w:t>www.mpi.govt.nz/dmsdocument/13906-detailed-methodologies-for-agricultural-greenhouse-gas-emission-calculation</w:t>
        </w:r>
      </w:hyperlink>
      <w:r w:rsidRPr="00D9348B">
        <w:rPr>
          <w:rFonts w:cs="Calibri"/>
        </w:rPr>
        <w:t xml:space="preserve"> (6 December 2019). </w:t>
      </w:r>
    </w:p>
    <w:p w14:paraId="62D1570D" w14:textId="77777777" w:rsidR="00F849A7" w:rsidRPr="00D9348B" w:rsidRDefault="00F849A7" w:rsidP="00F849A7">
      <w:pPr>
        <w:pStyle w:val="References"/>
        <w:rPr>
          <w:rFonts w:cs="Calibri"/>
        </w:rPr>
      </w:pPr>
      <w:r w:rsidRPr="00D9348B">
        <w:rPr>
          <w:rFonts w:cs="Calibri"/>
        </w:rPr>
        <w:t xml:space="preserve">Pinares-Patino CS, Ulyatt MJ, Waghorn GC, Lassey KR, Barry TN, Holmes CW, Johnson DE. 2003. Methane emission by alpaca and sheep fed on lucerne hay or grazed on pastures of perennial ryegrass/white clover or birdsfoot trefoil. </w:t>
      </w:r>
      <w:r w:rsidRPr="00D9348B">
        <w:rPr>
          <w:rFonts w:cs="Calibri"/>
          <w:i/>
        </w:rPr>
        <w:t>Journal of Agricultural Science</w:t>
      </w:r>
      <w:r w:rsidRPr="00D9348B">
        <w:rPr>
          <w:rFonts w:cs="Calibri"/>
        </w:rPr>
        <w:t xml:space="preserve"> 140: 215–226.</w:t>
      </w:r>
    </w:p>
    <w:p w14:paraId="140570B5" w14:textId="77777777" w:rsidR="00F849A7" w:rsidRPr="00D9348B" w:rsidRDefault="00F849A7" w:rsidP="00F849A7">
      <w:pPr>
        <w:pStyle w:val="References"/>
        <w:rPr>
          <w:rFonts w:cs="Calibri"/>
        </w:rPr>
      </w:pPr>
      <w:r w:rsidRPr="00D9348B">
        <w:rPr>
          <w:rFonts w:cs="Calibri"/>
        </w:rPr>
        <w:t>Pratt C, Walcroft A, Shilton A, Guieysse B, Chung M, Craggs R, Heubeck S. Unpublished. Revised Methane Emission Factors and Parameters for Dairy Effluent Ponds. Report prepared for the Ministry for Primary Industries by Landcare Research, Massey University and the National Institute of Water and Atmospheric Research in 2012.</w:t>
      </w:r>
    </w:p>
    <w:p w14:paraId="2FC18135" w14:textId="77777777" w:rsidR="00F849A7" w:rsidRPr="00D9348B" w:rsidRDefault="00F849A7" w:rsidP="00F849A7">
      <w:pPr>
        <w:pStyle w:val="References"/>
        <w:rPr>
          <w:rFonts w:cs="Calibri"/>
        </w:rPr>
      </w:pPr>
      <w:r w:rsidRPr="00D9348B">
        <w:rPr>
          <w:rFonts w:cs="Calibri"/>
        </w:rPr>
        <w:t>Rollo M, Ledgard S, Longhurst B. Unpublished. Final Report: Trends in Dairy Effluent Management. Report prepared for the Ministry for Primary Industries by AgResearch in 2017.</w:t>
      </w:r>
    </w:p>
    <w:p w14:paraId="2D86A399" w14:textId="77777777" w:rsidR="00F849A7" w:rsidRPr="00D9348B" w:rsidRDefault="00F849A7" w:rsidP="00F849A7">
      <w:pPr>
        <w:pStyle w:val="References"/>
        <w:rPr>
          <w:rFonts w:cs="Calibri"/>
        </w:rPr>
      </w:pPr>
      <w:r w:rsidRPr="00D9348B">
        <w:rPr>
          <w:rFonts w:cs="Calibri"/>
        </w:rPr>
        <w:t>Saggar S, Clark H, Hedley C, Tate K, Carran A, Cosgrove G. Unpublished. Methane Emissions from Animal Dung and Waste Management Systems, and its Contribution to National Budget. Landcare Research Contract Report: LC0301/02. Prepared for the Ministry of Agriculture and Forestry by Landcare Research in 2003.</w:t>
      </w:r>
    </w:p>
    <w:p w14:paraId="213EFA27" w14:textId="77777777" w:rsidR="00F849A7" w:rsidRPr="00D9348B" w:rsidRDefault="00F849A7" w:rsidP="00F849A7">
      <w:pPr>
        <w:pStyle w:val="References"/>
        <w:rPr>
          <w:rFonts w:cs="Calibri"/>
        </w:rPr>
      </w:pPr>
      <w:r w:rsidRPr="00D9348B">
        <w:rPr>
          <w:rFonts w:cs="Calibri"/>
        </w:rPr>
        <w:lastRenderedPageBreak/>
        <w:t>Saggar S, Giltrap DL, Davison R, Gibson R, de Klein C, Rollo M, Ettema P, Rys G. 2015. Estimating direct N</w:t>
      </w:r>
      <w:r w:rsidRPr="00D9348B">
        <w:rPr>
          <w:rFonts w:cs="Calibri"/>
          <w:vertAlign w:val="subscript"/>
        </w:rPr>
        <w:t>2</w:t>
      </w:r>
      <w:r w:rsidRPr="00D9348B">
        <w:rPr>
          <w:rFonts w:cs="Calibri"/>
        </w:rPr>
        <w:t>O emissions from sheep, beef, and deer grazed pastures in New Zealand hill country: Accounting for the effect of land slope on the N</w:t>
      </w:r>
      <w:r w:rsidRPr="00D9348B">
        <w:rPr>
          <w:rFonts w:cs="Calibri"/>
          <w:vertAlign w:val="subscript"/>
        </w:rPr>
        <w:t>2</w:t>
      </w:r>
      <w:r w:rsidRPr="00D9348B">
        <w:rPr>
          <w:rFonts w:cs="Calibri"/>
        </w:rPr>
        <w:t xml:space="preserve">O emission factors from urine and dung. </w:t>
      </w:r>
      <w:r w:rsidRPr="00D9348B">
        <w:rPr>
          <w:rFonts w:cs="Calibri"/>
          <w:i/>
        </w:rPr>
        <w:t>Agriculture Ecosystems &amp; Environment</w:t>
      </w:r>
      <w:r w:rsidRPr="00D9348B">
        <w:rPr>
          <w:rFonts w:cs="Calibri"/>
        </w:rPr>
        <w:t xml:space="preserve"> 205: 70–78.</w:t>
      </w:r>
    </w:p>
    <w:p w14:paraId="080F6E48" w14:textId="77777777" w:rsidR="00F849A7" w:rsidRPr="00D9348B" w:rsidRDefault="00F849A7" w:rsidP="00F849A7">
      <w:pPr>
        <w:pStyle w:val="References"/>
        <w:rPr>
          <w:rFonts w:cs="Calibri"/>
        </w:rPr>
      </w:pPr>
      <w:r w:rsidRPr="00D9348B">
        <w:rPr>
          <w:rFonts w:cs="Calibri"/>
        </w:rPr>
        <w:t xml:space="preserve">Saggar S, Singh J, Giltrap DL, Zaman M, Luo J, Rollo M, Kim D-G, Rys G, van der Weerden TJ. 2013. Quantification of reductions in ammonia emissions from fertiliser urea and animal urine in grazed pastures with urease inhibitors for Agriculture inventory: New Zealand as a case study. </w:t>
      </w:r>
      <w:r w:rsidRPr="00D9348B">
        <w:rPr>
          <w:rFonts w:cs="Calibri"/>
          <w:i/>
        </w:rPr>
        <w:t>Science of the Total Environment</w:t>
      </w:r>
      <w:r w:rsidRPr="00D9348B">
        <w:rPr>
          <w:rFonts w:cs="Calibri"/>
        </w:rPr>
        <w:t xml:space="preserve"> 465: 136–146.</w:t>
      </w:r>
    </w:p>
    <w:p w14:paraId="530677E7" w14:textId="77777777" w:rsidR="00F849A7" w:rsidRPr="00D9348B" w:rsidRDefault="00F849A7" w:rsidP="00F849A7">
      <w:pPr>
        <w:pStyle w:val="References"/>
      </w:pPr>
      <w:r w:rsidRPr="00D9348B">
        <w:rPr>
          <w:rFonts w:cs="Calibri"/>
        </w:rPr>
        <w:t>Sherlock RR, de Klein C, Li Z. Unpublished. Determination of N</w:t>
      </w:r>
      <w:r w:rsidRPr="00D9348B">
        <w:rPr>
          <w:rFonts w:cs="Calibri"/>
          <w:vertAlign w:val="subscript"/>
        </w:rPr>
        <w:t>2</w:t>
      </w:r>
      <w:r w:rsidRPr="00D9348B">
        <w:rPr>
          <w:rFonts w:cs="Calibri"/>
        </w:rPr>
        <w:t>O and CH</w:t>
      </w:r>
      <w:r w:rsidRPr="00D9348B">
        <w:rPr>
          <w:rFonts w:cs="Calibri"/>
          <w:vertAlign w:val="subscript"/>
        </w:rPr>
        <w:t>4</w:t>
      </w:r>
      <w:r w:rsidRPr="00D9348B">
        <w:rPr>
          <w:rFonts w:cs="Calibri"/>
        </w:rPr>
        <w:t xml:space="preserve"> Emission Factors from Animal Excreta, following a Summer Application in Three Regions of New Zealand. A final report of an NzOnet study prepared for the Ministry of Agriculture and Forestry by Landcare Research, AgResearch and Lincoln University in 2003.</w:t>
      </w:r>
    </w:p>
    <w:p w14:paraId="3A32B827" w14:textId="77777777" w:rsidR="00F849A7" w:rsidRPr="00D9348B" w:rsidRDefault="00F849A7" w:rsidP="00F849A7">
      <w:pPr>
        <w:pStyle w:val="References"/>
        <w:rPr>
          <w:rFonts w:cs="Calibri"/>
        </w:rPr>
      </w:pPr>
      <w:r w:rsidRPr="00D9348B">
        <w:rPr>
          <w:rFonts w:cs="Calibri"/>
        </w:rPr>
        <w:t xml:space="preserve">Sherlock RR, Jewell P, Clough T. 2008. </w:t>
      </w:r>
      <w:r w:rsidRPr="00D9348B">
        <w:rPr>
          <w:rFonts w:cs="Calibri"/>
          <w:i/>
        </w:rPr>
        <w:t>Review of New Zealand Specific Frac</w:t>
      </w:r>
      <w:r w:rsidRPr="00D9348B">
        <w:rPr>
          <w:rFonts w:cs="Calibri"/>
          <w:i/>
          <w:vertAlign w:val="subscript"/>
        </w:rPr>
        <w:t>GASM</w:t>
      </w:r>
      <w:r w:rsidRPr="00D9348B">
        <w:rPr>
          <w:rFonts w:cs="Calibri"/>
          <w:i/>
        </w:rPr>
        <w:t xml:space="preserve"> and Frac</w:t>
      </w:r>
      <w:r w:rsidRPr="00D9348B">
        <w:rPr>
          <w:rFonts w:cs="Calibri"/>
          <w:i/>
          <w:vertAlign w:val="subscript"/>
        </w:rPr>
        <w:t>GASF</w:t>
      </w:r>
      <w:r w:rsidRPr="00D9348B">
        <w:rPr>
          <w:rFonts w:cs="Calibri"/>
          <w:i/>
        </w:rPr>
        <w:t xml:space="preserve"> Emissions Factors</w:t>
      </w:r>
      <w:r w:rsidRPr="00D9348B">
        <w:rPr>
          <w:rFonts w:cs="Calibri"/>
        </w:rPr>
        <w:t>. Report prepared for the Ministry of Agriculture and Forestry by Landcare Research and AgResearch. Wellington: Ministry of Agriculture and Forestry.</w:t>
      </w:r>
    </w:p>
    <w:p w14:paraId="46CF84D6" w14:textId="77777777" w:rsidR="00F849A7" w:rsidRPr="00D9348B" w:rsidRDefault="00F849A7" w:rsidP="00F849A7">
      <w:pPr>
        <w:pStyle w:val="References"/>
        <w:rPr>
          <w:rFonts w:cs="Calibri"/>
        </w:rPr>
      </w:pPr>
      <w:r w:rsidRPr="00D9348B">
        <w:rPr>
          <w:rFonts w:cs="Calibri"/>
        </w:rPr>
        <w:t xml:space="preserve">Statistics New Zealand. 2019. </w:t>
      </w:r>
      <w:r w:rsidRPr="00D9348B">
        <w:rPr>
          <w:rFonts w:cs="Calibri"/>
          <w:i/>
          <w:iCs/>
        </w:rPr>
        <w:t>Infoshare database</w:t>
      </w:r>
      <w:r w:rsidRPr="00D9348B">
        <w:rPr>
          <w:rFonts w:cs="Calibri"/>
        </w:rPr>
        <w:t>. Retrieved from www.stats.govt.nz/infoshare (December 2019).</w:t>
      </w:r>
    </w:p>
    <w:p w14:paraId="2227E953" w14:textId="433CA06D" w:rsidR="00F849A7" w:rsidRPr="00D9348B" w:rsidRDefault="00F849A7" w:rsidP="00F849A7">
      <w:pPr>
        <w:pStyle w:val="References"/>
        <w:rPr>
          <w:rFonts w:cs="Calibri"/>
        </w:rPr>
      </w:pPr>
      <w:r w:rsidRPr="00D9348B">
        <w:rPr>
          <w:rFonts w:cs="Calibri"/>
        </w:rPr>
        <w:t xml:space="preserve">Statistics New Zealand. 2020. </w:t>
      </w:r>
      <w:r w:rsidRPr="00D9348B">
        <w:rPr>
          <w:rFonts w:cs="Calibri"/>
          <w:i/>
        </w:rPr>
        <w:t>Infoshare database</w:t>
      </w:r>
      <w:r w:rsidRPr="00D9348B">
        <w:rPr>
          <w:rFonts w:cs="Calibri"/>
        </w:rPr>
        <w:t xml:space="preserve">. Retrieved from </w:t>
      </w:r>
      <w:hyperlink r:id="rId198" w:history="1">
        <w:r w:rsidRPr="00D9348B">
          <w:rPr>
            <w:rStyle w:val="Hyperlink"/>
            <w:rFonts w:cs="Calibri"/>
            <w:color w:val="auto"/>
          </w:rPr>
          <w:t>www.stats.govt.nz/infoshare</w:t>
        </w:r>
      </w:hyperlink>
      <w:r w:rsidRPr="00D9348B">
        <w:rPr>
          <w:rFonts w:cs="Calibri"/>
        </w:rPr>
        <w:t xml:space="preserve"> (January 2020).</w:t>
      </w:r>
    </w:p>
    <w:p w14:paraId="702ED7FC" w14:textId="77777777" w:rsidR="00F849A7" w:rsidRPr="00D9348B" w:rsidRDefault="00F849A7" w:rsidP="00F849A7">
      <w:pPr>
        <w:pStyle w:val="References"/>
        <w:rPr>
          <w:rFonts w:cs="Calibri"/>
        </w:rPr>
      </w:pPr>
      <w:r w:rsidRPr="00D9348B">
        <w:rPr>
          <w:rFonts w:cs="Calibri"/>
        </w:rPr>
        <w:t xml:space="preserve">Suttie J. 2012. </w:t>
      </w:r>
      <w:r w:rsidRPr="00D9348B">
        <w:rPr>
          <w:rFonts w:cs="Calibri"/>
          <w:i/>
        </w:rPr>
        <w:t>Report to the Deer Industry New Zealand: Estimation of Deer Population and Productivity Data 1990 to 2012</w:t>
      </w:r>
      <w:r w:rsidRPr="00D9348B">
        <w:rPr>
          <w:rFonts w:cs="Calibri"/>
        </w:rPr>
        <w:t xml:space="preserve">. Dunedin: Suttie Consulting Limited. </w:t>
      </w:r>
    </w:p>
    <w:p w14:paraId="5020DFA6" w14:textId="77777777" w:rsidR="00F849A7" w:rsidRPr="00D9348B" w:rsidRDefault="00F849A7" w:rsidP="00F849A7">
      <w:pPr>
        <w:pStyle w:val="References"/>
        <w:rPr>
          <w:rFonts w:cs="Calibri"/>
        </w:rPr>
      </w:pPr>
      <w:r w:rsidRPr="00D9348B">
        <w:rPr>
          <w:rFonts w:cs="Calibri"/>
        </w:rPr>
        <w:t xml:space="preserve">Swainson, N, Muetzel, S, Clark, H. 2016. Updated predictions of enteric methane emissions from sheep suitable for use in the New Zealand national greenhouse gas inventory. </w:t>
      </w:r>
      <w:r w:rsidRPr="00D9348B">
        <w:rPr>
          <w:rFonts w:cs="Calibri"/>
          <w:i/>
        </w:rPr>
        <w:t xml:space="preserve">Animal Production Science </w:t>
      </w:r>
      <w:r w:rsidRPr="00D9348B">
        <w:rPr>
          <w:rFonts w:cs="Calibri"/>
          <w:spacing w:val="-2"/>
        </w:rPr>
        <w:t xml:space="preserve">58: </w:t>
      </w:r>
      <w:r w:rsidRPr="00D9348B">
        <w:rPr>
          <w:rFonts w:cs="Calibri"/>
        </w:rPr>
        <w:t xml:space="preserve">973–979. Retrieved from </w:t>
      </w:r>
      <w:hyperlink r:id="rId199" w:history="1">
        <w:r w:rsidRPr="00D9348B">
          <w:rPr>
            <w:rFonts w:cs="Calibri"/>
          </w:rPr>
          <w:t>www.publish.csiro.au/AN/pdf/AN15766 (13</w:t>
        </w:r>
      </w:hyperlink>
      <w:r w:rsidRPr="00D9348B">
        <w:rPr>
          <w:rFonts w:cs="Calibri"/>
        </w:rPr>
        <w:t xml:space="preserve"> February 2020).</w:t>
      </w:r>
    </w:p>
    <w:p w14:paraId="1830BBF3" w14:textId="77777777" w:rsidR="00F849A7" w:rsidRPr="00D9348B" w:rsidRDefault="00F849A7" w:rsidP="00F849A7">
      <w:pPr>
        <w:pStyle w:val="References"/>
        <w:rPr>
          <w:rFonts w:cs="Calibri"/>
          <w:i/>
        </w:rPr>
      </w:pPr>
      <w:r w:rsidRPr="00D9348B">
        <w:rPr>
          <w:rFonts w:cs="Calibri"/>
        </w:rPr>
        <w:t xml:space="preserve">Thomas S, Hume E, Fraser T Curtin D. 2011. </w:t>
      </w:r>
      <w:r w:rsidRPr="00D9348B">
        <w:rPr>
          <w:rFonts w:cs="Calibri"/>
          <w:i/>
        </w:rPr>
        <w:t>Factors and Activity Data to Estimate Nitrous Oxide Emissions from Cropping Systems, and Stubble and Tussock Burning</w:t>
      </w:r>
      <w:r w:rsidRPr="00D9348B">
        <w:rPr>
          <w:rFonts w:cs="Calibri"/>
        </w:rPr>
        <w:t xml:space="preserve">. Technical paper no. 2012/16. Report prepared for the Ministry of Agriculture and Forestry by Plant and Food Research (formerly Crop and Food Research). Wellington: Ministry of Agriculture and Forestry. </w:t>
      </w:r>
    </w:p>
    <w:p w14:paraId="20A7082F" w14:textId="77777777" w:rsidR="00F849A7" w:rsidRPr="00D9348B" w:rsidRDefault="00F849A7" w:rsidP="00F849A7">
      <w:pPr>
        <w:pStyle w:val="References"/>
        <w:rPr>
          <w:rFonts w:cs="Calibri"/>
        </w:rPr>
      </w:pPr>
      <w:r w:rsidRPr="00D9348B">
        <w:rPr>
          <w:rFonts w:cs="Calibri"/>
        </w:rPr>
        <w:t xml:space="preserve">Thomas S, Wallace D, Beare M. 2014. </w:t>
      </w:r>
      <w:r w:rsidRPr="00D9348B">
        <w:rPr>
          <w:rFonts w:cs="Calibri"/>
          <w:i/>
        </w:rPr>
        <w:t>Pasture Renewal Activity Data and Factors for New Zealand</w:t>
      </w:r>
      <w:r w:rsidRPr="00D9348B">
        <w:rPr>
          <w:rFonts w:cs="Calibri"/>
        </w:rPr>
        <w:t>. Report prepared for the Ministry for Primary Industries by Plant and Food Research. Wellington: Ministry for Primary Industries.</w:t>
      </w:r>
    </w:p>
    <w:p w14:paraId="42F1C1AD" w14:textId="77777777" w:rsidR="00F849A7" w:rsidRPr="00D9348B" w:rsidRDefault="00F849A7" w:rsidP="00F849A7">
      <w:pPr>
        <w:pStyle w:val="References"/>
        <w:rPr>
          <w:rFonts w:cs="Calibri"/>
        </w:rPr>
      </w:pPr>
      <w:r w:rsidRPr="00D9348B">
        <w:rPr>
          <w:rFonts w:cs="Calibri"/>
        </w:rPr>
        <w:t xml:space="preserve">Thomas SM, Fraser T, Curtin D, Brown H, Lawrence E. 2008. </w:t>
      </w:r>
      <w:r w:rsidRPr="00D9348B">
        <w:rPr>
          <w:rFonts w:cs="Calibri"/>
          <w:i/>
        </w:rPr>
        <w:t>Review of Nitrous Oxide Emission Factors and Activity Data for Crops</w:t>
      </w:r>
      <w:r w:rsidRPr="00D9348B">
        <w:rPr>
          <w:rFonts w:cs="Calibri"/>
        </w:rPr>
        <w:t>. Report prepared for the Ministry of Agriculture and Forestry by Plant and Food Research. Wellington: Ministry of Agriculture and Forestry.</w:t>
      </w:r>
    </w:p>
    <w:p w14:paraId="4F9FD214" w14:textId="77777777" w:rsidR="00F849A7" w:rsidRPr="00D9348B" w:rsidRDefault="00F849A7" w:rsidP="00F849A7">
      <w:pPr>
        <w:pStyle w:val="References"/>
        <w:rPr>
          <w:rFonts w:cs="Calibri"/>
        </w:rPr>
      </w:pPr>
      <w:r w:rsidRPr="00D9348B">
        <w:rPr>
          <w:rFonts w:cs="Calibri"/>
        </w:rPr>
        <w:t>Thomas SM, Ledgard SF, Francis GS. Unpublished. Appropriateness of IPCC Default Values for Estimating New Zealand’s Indirect Nitrous Oxide Emissions. Report prepared for the Ministry of Agriculture and Forestry in 2003.</w:t>
      </w:r>
    </w:p>
    <w:p w14:paraId="414B2700" w14:textId="77777777" w:rsidR="00F849A7" w:rsidRPr="00D9348B" w:rsidRDefault="00F849A7" w:rsidP="00F849A7">
      <w:pPr>
        <w:pStyle w:val="References"/>
        <w:rPr>
          <w:rFonts w:cs="Calibri"/>
        </w:rPr>
      </w:pPr>
      <w:r w:rsidRPr="00D9348B">
        <w:rPr>
          <w:rFonts w:cs="Calibri"/>
        </w:rPr>
        <w:t xml:space="preserve">Thomas SM, Ledgard SF, Francis GS. 2005. Improving estimates of nitrate leaching for quantifying New Zealand’s indirect nitrous oxide emissions. </w:t>
      </w:r>
      <w:r w:rsidRPr="00D9348B">
        <w:rPr>
          <w:rFonts w:cs="Calibri"/>
          <w:i/>
        </w:rPr>
        <w:t>Nutrient Cycling in Agroecosystems</w:t>
      </w:r>
      <w:r w:rsidRPr="00D9348B">
        <w:rPr>
          <w:rFonts w:cs="Calibri"/>
        </w:rPr>
        <w:t xml:space="preserve"> 73: 213–226.</w:t>
      </w:r>
    </w:p>
    <w:p w14:paraId="7B240DC1" w14:textId="77777777" w:rsidR="00F849A7" w:rsidRPr="00D9348B" w:rsidRDefault="00F849A7" w:rsidP="00F849A7">
      <w:pPr>
        <w:pStyle w:val="References"/>
        <w:rPr>
          <w:rFonts w:cs="Calibri"/>
        </w:rPr>
      </w:pPr>
      <w:r w:rsidRPr="00D9348B">
        <w:rPr>
          <w:rFonts w:cs="Calibri"/>
        </w:rPr>
        <w:t>Thomas T. Unpublished. Assessment of the Methodology of Potato Area and Yield Activity Estimations used in the NZ National GHG Inventory. Report prepared for the Ministry of Agriculture and Forestry by Plant and Food Research in 2010.</w:t>
      </w:r>
    </w:p>
    <w:p w14:paraId="31308E64" w14:textId="77777777" w:rsidR="00F849A7" w:rsidRPr="00D9348B" w:rsidRDefault="00F849A7" w:rsidP="00F849A7">
      <w:pPr>
        <w:pStyle w:val="References"/>
        <w:rPr>
          <w:rFonts w:cs="Calibri"/>
        </w:rPr>
      </w:pPr>
      <w:r w:rsidRPr="00D9348B">
        <w:rPr>
          <w:rFonts w:cs="Calibri"/>
        </w:rPr>
        <w:t>Thomson BC, Muir PD, Davison R. Unpublished. Review of Beef Population Models within the National Methane Inventory (2012). MPI Technical Report in 2012.</w:t>
      </w:r>
    </w:p>
    <w:p w14:paraId="2ED34DBF" w14:textId="77777777" w:rsidR="00F849A7" w:rsidRPr="00D9348B" w:rsidRDefault="00F849A7" w:rsidP="00F849A7">
      <w:pPr>
        <w:pStyle w:val="References"/>
        <w:rPr>
          <w:rFonts w:cs="Calibri"/>
        </w:rPr>
      </w:pPr>
      <w:r w:rsidRPr="00D9348B">
        <w:rPr>
          <w:rFonts w:cs="Calibri"/>
        </w:rPr>
        <w:t xml:space="preserve">Thomson BC, Muir PD, Davison R, Clark H. 2010. </w:t>
      </w:r>
      <w:r w:rsidRPr="00D9348B">
        <w:rPr>
          <w:rFonts w:cs="Calibri"/>
          <w:i/>
        </w:rPr>
        <w:t>Review of Population Models within the National Methane Inventory (2010)</w:t>
      </w:r>
      <w:r w:rsidRPr="00D9348B">
        <w:rPr>
          <w:rFonts w:cs="Calibri"/>
        </w:rPr>
        <w:t>. Technical paper prepared for the Ministry of Agriculture and Forestry by On</w:t>
      </w:r>
      <w:r w:rsidRPr="00D9348B">
        <w:rPr>
          <w:rFonts w:cs="Calibri"/>
        </w:rPr>
        <w:noBreakHyphen/>
        <w:t>Farm Research (with cooperation by Meat and Wool New Zealand and AgResearch Ltd). Wellington: Ministry of Agriculture and Forestry.</w:t>
      </w:r>
    </w:p>
    <w:p w14:paraId="7B5A73CC" w14:textId="77777777" w:rsidR="00F849A7" w:rsidRPr="00D9348B" w:rsidRDefault="00F849A7" w:rsidP="00F849A7">
      <w:pPr>
        <w:pStyle w:val="References"/>
        <w:rPr>
          <w:rFonts w:cs="Calibri"/>
        </w:rPr>
      </w:pPr>
      <w:r w:rsidRPr="00D9348B">
        <w:rPr>
          <w:rFonts w:cs="Calibri"/>
        </w:rPr>
        <w:lastRenderedPageBreak/>
        <w:t>Ulyatt MJ, Baker SK, McCrabb GJ, Lassey KR. 1999. Accuracy of the SF</w:t>
      </w:r>
      <w:r w:rsidRPr="00D9348B">
        <w:rPr>
          <w:rFonts w:cs="Calibri"/>
          <w:vertAlign w:val="subscript"/>
        </w:rPr>
        <w:t>6</w:t>
      </w:r>
      <w:r w:rsidRPr="00D9348B">
        <w:rPr>
          <w:rFonts w:cs="Calibri"/>
        </w:rPr>
        <w:t xml:space="preserve"> tracer technology and alternatives for field measurements. </w:t>
      </w:r>
      <w:r w:rsidRPr="00D9348B">
        <w:rPr>
          <w:rFonts w:cs="Calibri"/>
          <w:i/>
        </w:rPr>
        <w:t>Australian Journal of Agricultural Research</w:t>
      </w:r>
      <w:r w:rsidRPr="00D9348B">
        <w:rPr>
          <w:rFonts w:cs="Calibri"/>
        </w:rPr>
        <w:t xml:space="preserve"> 50: 1329–1334.</w:t>
      </w:r>
    </w:p>
    <w:p w14:paraId="58194A06" w14:textId="77777777" w:rsidR="00F849A7" w:rsidRPr="00D9348B" w:rsidRDefault="00F849A7" w:rsidP="00F849A7">
      <w:pPr>
        <w:pStyle w:val="References"/>
        <w:rPr>
          <w:rFonts w:cs="Calibri"/>
        </w:rPr>
      </w:pPr>
      <w:r w:rsidRPr="00D9348B">
        <w:rPr>
          <w:rFonts w:cs="Calibri"/>
        </w:rPr>
        <w:t>Upsdell M, Cosgrove G, Ganesh S, Koolaard J, Pacheco D. Unpublished. Metabolisable energy and crude protein levels in New Zealand. Report prepared for the Ministry for Primary Industries by AgResearch in 2016.</w:t>
      </w:r>
    </w:p>
    <w:p w14:paraId="5D39BE31" w14:textId="77777777" w:rsidR="00F849A7" w:rsidRPr="00D9348B" w:rsidRDefault="00F849A7" w:rsidP="00F849A7">
      <w:pPr>
        <w:pStyle w:val="References"/>
        <w:rPr>
          <w:rFonts w:cs="Calibri"/>
        </w:rPr>
      </w:pPr>
      <w:proofErr w:type="gramStart"/>
      <w:r w:rsidRPr="00D9348B">
        <w:rPr>
          <w:rFonts w:cs="Calibri"/>
        </w:rPr>
        <w:t>van</w:t>
      </w:r>
      <w:proofErr w:type="gramEnd"/>
      <w:r w:rsidRPr="00D9348B">
        <w:rPr>
          <w:rFonts w:cs="Calibri"/>
        </w:rPr>
        <w:t xml:space="preserve"> der Weerden A, de Klein C, Kelliher F, Rollo M. 2014. </w:t>
      </w:r>
      <w:r w:rsidRPr="00D9348B">
        <w:rPr>
          <w:rFonts w:cs="Calibri"/>
          <w:i/>
        </w:rPr>
        <w:t>Reporting to 2006 IPCC Guidelines for N</w:t>
      </w:r>
      <w:r w:rsidRPr="00D9348B">
        <w:rPr>
          <w:rFonts w:cs="Calibri"/>
          <w:i/>
          <w:vertAlign w:val="subscript"/>
        </w:rPr>
        <w:t>2</w:t>
      </w:r>
      <w:r w:rsidRPr="00D9348B">
        <w:rPr>
          <w:rFonts w:cs="Calibri"/>
          <w:i/>
        </w:rPr>
        <w:t>O Emissions from Additional Sources of Organic N: Final Report</w:t>
      </w:r>
      <w:r w:rsidRPr="00D9348B">
        <w:rPr>
          <w:rFonts w:cs="Calibri"/>
        </w:rPr>
        <w:t>. MPI Technical Report. Wellington: Ministry for Primary Industries.</w:t>
      </w:r>
    </w:p>
    <w:p w14:paraId="0B423ADE" w14:textId="77777777" w:rsidR="00F849A7" w:rsidRPr="00D9348B" w:rsidRDefault="00F849A7" w:rsidP="00F849A7">
      <w:pPr>
        <w:pStyle w:val="References"/>
        <w:rPr>
          <w:rFonts w:cs="Calibri"/>
        </w:rPr>
      </w:pPr>
      <w:proofErr w:type="gramStart"/>
      <w:r w:rsidRPr="00D9348B">
        <w:rPr>
          <w:rFonts w:cs="Calibri"/>
        </w:rPr>
        <w:t>van</w:t>
      </w:r>
      <w:proofErr w:type="gramEnd"/>
      <w:r w:rsidRPr="00D9348B">
        <w:rPr>
          <w:rFonts w:cs="Calibri"/>
        </w:rPr>
        <w:t xml:space="preserve"> der Weerden T, Cox N, Luo J, Di HJ, Podolyan A, Phillips RL, Saggar S, de Klein CAM, Ettema P, Rys G. 2016a. Refining the New Zealand nitrous oxide emission factor for urea fertiliser and farm dairy effluent.</w:t>
      </w:r>
      <w:r w:rsidRPr="00D9348B">
        <w:rPr>
          <w:rFonts w:cs="Calibri"/>
          <w:i/>
        </w:rPr>
        <w:t xml:space="preserve"> Agriculture Ecosystems &amp; Environment </w:t>
      </w:r>
      <w:r w:rsidRPr="00D9348B">
        <w:rPr>
          <w:rFonts w:cs="Calibri"/>
        </w:rPr>
        <w:t>222: 133–137.</w:t>
      </w:r>
    </w:p>
    <w:p w14:paraId="06D8FAB1" w14:textId="77777777" w:rsidR="00F849A7" w:rsidRPr="00D9348B" w:rsidRDefault="00F849A7" w:rsidP="00F849A7">
      <w:pPr>
        <w:pStyle w:val="References"/>
        <w:rPr>
          <w:rFonts w:cs="Calibri"/>
        </w:rPr>
      </w:pPr>
      <w:proofErr w:type="gramStart"/>
      <w:r w:rsidRPr="00D9348B">
        <w:rPr>
          <w:rFonts w:cs="Calibri"/>
        </w:rPr>
        <w:t>van</w:t>
      </w:r>
      <w:proofErr w:type="gramEnd"/>
      <w:r w:rsidRPr="00D9348B">
        <w:rPr>
          <w:rFonts w:cs="Calibri"/>
        </w:rPr>
        <w:t xml:space="preserve"> der Weerden T, Luo J, Cox N, Di HJ, Podolyan A, Phillips RL, Saggar S, de Klein CA, Ettema P, Rys G. 2016b. Nitrous oxide emissions from urea fertiliser and effluent with and without inhibitors applied to pasture. </w:t>
      </w:r>
      <w:r w:rsidRPr="00D9348B">
        <w:rPr>
          <w:rFonts w:cs="Calibri"/>
          <w:i/>
        </w:rPr>
        <w:t xml:space="preserve">Agriculture Ecosystems &amp; Environment </w:t>
      </w:r>
      <w:r w:rsidRPr="00D9348B">
        <w:rPr>
          <w:rFonts w:cs="Calibri"/>
        </w:rPr>
        <w:t>219: 58–70.</w:t>
      </w:r>
    </w:p>
    <w:p w14:paraId="4D1619F0" w14:textId="77777777" w:rsidR="00F849A7" w:rsidRPr="00D9348B" w:rsidRDefault="00F849A7" w:rsidP="00F849A7">
      <w:pPr>
        <w:pStyle w:val="References"/>
        <w:rPr>
          <w:rFonts w:cs="Calibri"/>
        </w:rPr>
      </w:pPr>
      <w:proofErr w:type="gramStart"/>
      <w:r w:rsidRPr="00D9348B">
        <w:rPr>
          <w:rFonts w:cs="Calibri"/>
        </w:rPr>
        <w:t>van</w:t>
      </w:r>
      <w:proofErr w:type="gramEnd"/>
      <w:r w:rsidRPr="00D9348B">
        <w:rPr>
          <w:rFonts w:cs="Calibri"/>
        </w:rPr>
        <w:t xml:space="preserve"> der Weerden T, Noble A, Giltrap D, Luo S, Saggar S. 2019. Meta-analysis of nitrous oxide emission factors for excreta deposited onto pasture: final report. Report prepared for the Ministry for Primary Industries by AgResearch in 2019. </w:t>
      </w:r>
    </w:p>
    <w:p w14:paraId="63EDEA85" w14:textId="77777777" w:rsidR="00F849A7" w:rsidRPr="00D9348B" w:rsidRDefault="00F849A7" w:rsidP="00F849A7">
      <w:pPr>
        <w:pStyle w:val="References"/>
        <w:rPr>
          <w:rFonts w:cs="Calibri"/>
        </w:rPr>
      </w:pPr>
      <w:r w:rsidRPr="00D9348B">
        <w:rPr>
          <w:rFonts w:cs="Calibri"/>
        </w:rPr>
        <w:t xml:space="preserve">van der Weerden TJ, Luo J, de Klein CA, Hoogendoorn CJ, Littlejohn RP, Rys GJ. 2011. Disaggregating nitrous oxide emission factors for ruminant urine and dung deposited onto pastoral soils. </w:t>
      </w:r>
      <w:r w:rsidRPr="00D9348B">
        <w:rPr>
          <w:rFonts w:cs="Calibri"/>
          <w:i/>
        </w:rPr>
        <w:t>Agriculture Ecosystems &amp; Environment</w:t>
      </w:r>
      <w:r w:rsidRPr="00D9348B">
        <w:rPr>
          <w:rFonts w:cs="Calibri"/>
        </w:rPr>
        <w:t xml:space="preserve"> 141, 426-436.</w:t>
      </w:r>
    </w:p>
    <w:p w14:paraId="394AE475" w14:textId="77777777" w:rsidR="00F849A7" w:rsidRPr="00D9348B" w:rsidRDefault="00F849A7" w:rsidP="00F849A7">
      <w:pPr>
        <w:pStyle w:val="References"/>
        <w:rPr>
          <w:rFonts w:cs="Calibri"/>
        </w:rPr>
      </w:pPr>
      <w:r w:rsidRPr="00D9348B">
        <w:rPr>
          <w:rFonts w:cs="Calibri"/>
        </w:rPr>
        <w:t xml:space="preserve">Waghorn G, Molano G, Cavanagh A. </w:t>
      </w:r>
      <w:proofErr w:type="gramStart"/>
      <w:r w:rsidRPr="00D9348B">
        <w:rPr>
          <w:rFonts w:cs="Calibri"/>
        </w:rPr>
        <w:t>Unpublished(</w:t>
      </w:r>
      <w:proofErr w:type="gramEnd"/>
      <w:r w:rsidRPr="00D9348B">
        <w:rPr>
          <w:rFonts w:cs="Calibri"/>
        </w:rPr>
        <w:t>a). An Estimate of Whole Herd Methane Production from Cows at the Lincoln University Dairy Farm in October 2003. Final report prepared for Landcare Research NZ Ltd in 2003.</w:t>
      </w:r>
    </w:p>
    <w:p w14:paraId="092B24D0" w14:textId="77777777" w:rsidR="00F849A7" w:rsidRPr="00D9348B" w:rsidRDefault="00F849A7" w:rsidP="00F849A7">
      <w:pPr>
        <w:pStyle w:val="References"/>
        <w:rPr>
          <w:rFonts w:cs="Calibri"/>
        </w:rPr>
      </w:pPr>
      <w:r w:rsidRPr="00D9348B">
        <w:rPr>
          <w:rFonts w:cs="Calibri"/>
        </w:rPr>
        <w:t xml:space="preserve">Waghorn G, Molano G, Lassey K. </w:t>
      </w:r>
      <w:proofErr w:type="gramStart"/>
      <w:r w:rsidRPr="00D9348B">
        <w:rPr>
          <w:rFonts w:cs="Calibri"/>
        </w:rPr>
        <w:t>Unpublished(</w:t>
      </w:r>
      <w:proofErr w:type="gramEnd"/>
      <w:r w:rsidRPr="00D9348B">
        <w:rPr>
          <w:rFonts w:cs="Calibri"/>
        </w:rPr>
        <w:t>b). Estimates of Whole Herd Methane Production from Cows at the Lincoln University Dairy Farm in January and March 2002. A preliminary report prepared for Landcare Research NZ Ltd in 2002.</w:t>
      </w:r>
    </w:p>
    <w:p w14:paraId="572FFDE7" w14:textId="77777777" w:rsidR="00F849A7" w:rsidRPr="00D9348B" w:rsidRDefault="00F849A7" w:rsidP="00F849A7">
      <w:pPr>
        <w:pStyle w:val="References"/>
        <w:rPr>
          <w:rFonts w:cs="Calibri"/>
        </w:rPr>
      </w:pPr>
      <w:r w:rsidRPr="00D9348B">
        <w:rPr>
          <w:rFonts w:cs="Calibri"/>
        </w:rPr>
        <w:t xml:space="preserve">Wheeler DM, Ledgard SF, de Klein CAM, Monaghan PL, Carey PL, McDowell RW, Johns KL. 2003. OVERSEER® Nutrient budgets – moving towards on-farm resource accounting. In: </w:t>
      </w:r>
      <w:r w:rsidRPr="00D9348B">
        <w:rPr>
          <w:rFonts w:cs="Calibri"/>
          <w:i/>
        </w:rPr>
        <w:t>Proceedings of the New Zealand Grassland Association 2003</w:t>
      </w:r>
      <w:r w:rsidRPr="00D9348B">
        <w:rPr>
          <w:rFonts w:cs="Calibri"/>
        </w:rPr>
        <w:t>. Palmerston North: New Zealand Grassland Association Inc.</w:t>
      </w:r>
      <w:bookmarkStart w:id="1126" w:name="statsNZref"/>
      <w:bookmarkEnd w:id="1126"/>
    </w:p>
    <w:p w14:paraId="672C658D" w14:textId="77777777" w:rsidR="00F849A7" w:rsidRPr="00D9348B" w:rsidRDefault="00F849A7" w:rsidP="00F849A7">
      <w:pPr>
        <w:pStyle w:val="BodyText"/>
        <w:rPr>
          <w:rFonts w:cs="Calibri"/>
        </w:rPr>
      </w:pPr>
    </w:p>
    <w:p w14:paraId="51728917" w14:textId="77777777" w:rsidR="00E07624" w:rsidRPr="00D9348B" w:rsidRDefault="00E07624" w:rsidP="00C4400C">
      <w:pPr>
        <w:sectPr w:rsidR="00E07624" w:rsidRPr="00D9348B" w:rsidSect="00156D4F">
          <w:footerReference w:type="even" r:id="rId200"/>
          <w:pgSz w:w="11907" w:h="16840" w:code="9"/>
          <w:pgMar w:top="1418" w:right="1701" w:bottom="1418" w:left="1701" w:header="567" w:footer="567" w:gutter="0"/>
          <w:cols w:space="720"/>
        </w:sectPr>
      </w:pPr>
    </w:p>
    <w:p w14:paraId="589A3E8C" w14:textId="77777777" w:rsidR="00A10636" w:rsidRPr="00D9348B" w:rsidRDefault="00A10636" w:rsidP="00A10636">
      <w:pPr>
        <w:pStyle w:val="Heading1"/>
      </w:pPr>
      <w:bookmarkStart w:id="1127" w:name="_Toc391024696"/>
      <w:bookmarkStart w:id="1128" w:name="_Toc414531313"/>
      <w:bookmarkStart w:id="1129" w:name="_Toc474335455"/>
      <w:bookmarkStart w:id="1130" w:name="_Toc481751395"/>
      <w:bookmarkStart w:id="1131" w:name="_Toc522013947"/>
      <w:bookmarkStart w:id="1132" w:name="_Toc5269372"/>
      <w:bookmarkStart w:id="1133" w:name="_Toc36224412"/>
      <w:r w:rsidRPr="00D9348B">
        <w:lastRenderedPageBreak/>
        <w:t>Chapter 6: Land Use, Land-Use Change and Forestry (LULUCF)</w:t>
      </w:r>
      <w:bookmarkEnd w:id="1127"/>
      <w:bookmarkEnd w:id="1128"/>
      <w:bookmarkEnd w:id="1129"/>
      <w:bookmarkEnd w:id="1130"/>
      <w:bookmarkEnd w:id="1131"/>
      <w:bookmarkEnd w:id="1132"/>
      <w:bookmarkEnd w:id="1133"/>
    </w:p>
    <w:p w14:paraId="305E5874" w14:textId="77777777" w:rsidR="00A10636" w:rsidRPr="00D9348B" w:rsidRDefault="00A10636" w:rsidP="00A10636">
      <w:pPr>
        <w:pStyle w:val="Heading2"/>
        <w:spacing w:before="240"/>
      </w:pPr>
      <w:bookmarkStart w:id="1134" w:name="_Toc391024697"/>
      <w:bookmarkStart w:id="1135" w:name="_Toc414531314"/>
      <w:bookmarkStart w:id="1136" w:name="_Toc474335456"/>
      <w:bookmarkStart w:id="1137" w:name="_Toc481751396"/>
      <w:bookmarkStart w:id="1138" w:name="_Toc522013948"/>
      <w:bookmarkStart w:id="1139" w:name="_Toc5269373"/>
      <w:bookmarkStart w:id="1140" w:name="_Toc36224413"/>
      <w:r w:rsidRPr="00D9348B">
        <w:t>6.1</w:t>
      </w:r>
      <w:r w:rsidRPr="00D9348B">
        <w:tab/>
        <w:t>Sector overview</w:t>
      </w:r>
      <w:bookmarkEnd w:id="1134"/>
      <w:bookmarkEnd w:id="1135"/>
      <w:bookmarkEnd w:id="1136"/>
      <w:bookmarkEnd w:id="1137"/>
      <w:bookmarkEnd w:id="1138"/>
      <w:bookmarkEnd w:id="1139"/>
      <w:bookmarkEnd w:id="1140"/>
    </w:p>
    <w:p w14:paraId="2E741A95" w14:textId="77777777" w:rsidR="00A10636" w:rsidRPr="00D9348B" w:rsidRDefault="00A10636" w:rsidP="00126411">
      <w:pPr>
        <w:pStyle w:val="Heading4"/>
        <w:spacing w:before="160"/>
      </w:pPr>
      <w:r w:rsidRPr="00D9348B">
        <w:t>Net emissions summary</w:t>
      </w:r>
    </w:p>
    <w:p w14:paraId="372C81B3" w14:textId="77777777" w:rsidR="00A10636" w:rsidRPr="00D9348B" w:rsidRDefault="00A10636" w:rsidP="005A3830">
      <w:pPr>
        <w:pStyle w:val="Heading5"/>
        <w:spacing w:before="160"/>
      </w:pPr>
      <w:r w:rsidRPr="00D9348B">
        <w:t>2018</w:t>
      </w:r>
    </w:p>
    <w:p w14:paraId="41787303" w14:textId="77777777" w:rsidR="00A10636" w:rsidRPr="00D9348B" w:rsidRDefault="00A10636" w:rsidP="00A10636">
      <w:pPr>
        <w:pStyle w:val="BodyText"/>
      </w:pPr>
      <w:r w:rsidRPr="00D9348B">
        <w:t xml:space="preserve">In 2018, net emissions by the Land Use, Land-Use Change and Forestry (LULUCF) sector were </w:t>
      </w:r>
      <w:r w:rsidRPr="00D9348B">
        <w:br/>
        <w:t>–23,394.1 kilotonnes carbon dioxide equivalent (kt CO</w:t>
      </w:r>
      <w:r w:rsidRPr="00D9348B">
        <w:rPr>
          <w:vertAlign w:val="subscript"/>
        </w:rPr>
        <w:t>2</w:t>
      </w:r>
      <w:r w:rsidRPr="00D9348B">
        <w:t>-e). This comprises net removals of 23,568.6 kt CO</w:t>
      </w:r>
      <w:r w:rsidRPr="00D9348B">
        <w:rPr>
          <w:vertAlign w:val="subscript"/>
        </w:rPr>
        <w:t>2</w:t>
      </w:r>
      <w:r w:rsidRPr="00D9348B">
        <w:t>, emissions of 75.3 kt CO</w:t>
      </w:r>
      <w:r w:rsidRPr="00D9348B">
        <w:rPr>
          <w:vertAlign w:val="subscript"/>
        </w:rPr>
        <w:t>2</w:t>
      </w:r>
      <w:r w:rsidRPr="00D9348B">
        <w:t>-e of methane (CH</w:t>
      </w:r>
      <w:r w:rsidRPr="00D9348B">
        <w:rPr>
          <w:vertAlign w:val="subscript"/>
        </w:rPr>
        <w:t>4</w:t>
      </w:r>
      <w:r w:rsidRPr="00D9348B">
        <w:t>) and 99.2 kt CO</w:t>
      </w:r>
      <w:r w:rsidRPr="00D9348B">
        <w:rPr>
          <w:vertAlign w:val="subscript"/>
        </w:rPr>
        <w:t>2</w:t>
      </w:r>
      <w:r w:rsidRPr="00D9348B">
        <w:t>-e of nitrous oxide (N</w:t>
      </w:r>
      <w:r w:rsidRPr="00D9348B">
        <w:rPr>
          <w:vertAlign w:val="subscript"/>
        </w:rPr>
        <w:t>2</w:t>
      </w:r>
      <w:r w:rsidRPr="00D9348B">
        <w:t xml:space="preserve">O). The category contributing the most to both removals and emissions is </w:t>
      </w:r>
      <w:r w:rsidRPr="00D9348B">
        <w:rPr>
          <w:i/>
        </w:rPr>
        <w:t>Forest land remaining forest land</w:t>
      </w:r>
      <w:r w:rsidRPr="00D9348B">
        <w:t xml:space="preserve">. This is because large removals result from the growth of all forests on this land and there are also large emissions from the sustainable harvest of New Zealand’s plantation forests. </w:t>
      </w:r>
    </w:p>
    <w:p w14:paraId="44E122C4" w14:textId="77777777" w:rsidR="00A10636" w:rsidRPr="00D9348B" w:rsidRDefault="00A10636" w:rsidP="00A10636">
      <w:pPr>
        <w:pStyle w:val="Heading5"/>
      </w:pPr>
      <w:r w:rsidRPr="00D9348B">
        <w:t>1990–2018</w:t>
      </w:r>
    </w:p>
    <w:p w14:paraId="0BFF8988" w14:textId="77777777" w:rsidR="00A10636" w:rsidRPr="00D9348B" w:rsidRDefault="00A10636" w:rsidP="00A10636">
      <w:pPr>
        <w:pStyle w:val="BodyText"/>
        <w:rPr>
          <w:spacing w:val="-2"/>
        </w:rPr>
      </w:pPr>
      <w:r w:rsidRPr="00D9348B">
        <w:rPr>
          <w:spacing w:val="-2"/>
        </w:rPr>
        <w:t>Net emissions in 2018 have increased by 4,903.0 kt CO</w:t>
      </w:r>
      <w:r w:rsidRPr="00D9348B">
        <w:rPr>
          <w:spacing w:val="-2"/>
          <w:vertAlign w:val="subscript"/>
        </w:rPr>
        <w:t>2</w:t>
      </w:r>
      <w:r w:rsidRPr="00D9348B">
        <w:rPr>
          <w:spacing w:val="-2"/>
        </w:rPr>
        <w:t>-e (</w:t>
      </w:r>
      <w:r w:rsidRPr="00D9348B">
        <w:rPr>
          <w:rFonts w:cs="Arial"/>
          <w:color w:val="000000"/>
          <w:spacing w:val="-2"/>
          <w:szCs w:val="16"/>
        </w:rPr>
        <w:t xml:space="preserve">17.3 </w:t>
      </w:r>
      <w:r w:rsidRPr="00D9348B">
        <w:rPr>
          <w:spacing w:val="-2"/>
        </w:rPr>
        <w:t xml:space="preserve">per cent) from the 1990 level </w:t>
      </w:r>
      <w:r w:rsidRPr="00D9348B">
        <w:rPr>
          <w:spacing w:val="-2"/>
        </w:rPr>
        <w:br/>
        <w:t>of –28,297.0 kt CO</w:t>
      </w:r>
      <w:r w:rsidRPr="00D9348B">
        <w:rPr>
          <w:spacing w:val="-2"/>
          <w:vertAlign w:val="subscript"/>
        </w:rPr>
        <w:t>2</w:t>
      </w:r>
      <w:r w:rsidRPr="00D9348B">
        <w:rPr>
          <w:spacing w:val="-2"/>
        </w:rPr>
        <w:t xml:space="preserve">-e (see table 6.1.1, and figures 6.1.1 and 6.1.2). This is largely due to the increased harvest rate that is occurring in plantation forests because a larger proportion of the estate is at harvest age when compared with 1990. Increased emissions in the </w:t>
      </w:r>
      <w:r w:rsidRPr="00D9348B">
        <w:rPr>
          <w:i/>
          <w:spacing w:val="-2"/>
        </w:rPr>
        <w:t>Grassland</w:t>
      </w:r>
      <w:r w:rsidRPr="00D9348B">
        <w:rPr>
          <w:spacing w:val="-2"/>
        </w:rPr>
        <w:t xml:space="preserve"> category are primarily due to the conversion of plantation forests to grassland that has been occurring since 2000. The biomass emissions from land-use change are reported in the </w:t>
      </w:r>
      <w:r w:rsidRPr="00D9348B">
        <w:rPr>
          <w:i/>
          <w:spacing w:val="-2"/>
        </w:rPr>
        <w:t>Land converted to</w:t>
      </w:r>
      <w:r w:rsidRPr="00D9348B">
        <w:rPr>
          <w:spacing w:val="-2"/>
        </w:rPr>
        <w:t xml:space="preserve"> category from the year of the event; changes in the mineral soil carbon stock from land-use change are estimated as occurring over a 20-year period.</w:t>
      </w:r>
    </w:p>
    <w:p w14:paraId="654BCF17" w14:textId="6DBF86AF" w:rsidR="00A10636" w:rsidRPr="00D9348B" w:rsidRDefault="00A10636" w:rsidP="00A10636">
      <w:pPr>
        <w:pStyle w:val="Table"/>
      </w:pPr>
      <w:bookmarkStart w:id="1141" w:name="_Toc481751536"/>
      <w:bookmarkStart w:id="1142" w:name="_Toc522010593"/>
      <w:bookmarkStart w:id="1143" w:name="_Toc5269498"/>
      <w:bookmarkStart w:id="1144" w:name="_Toc33529374"/>
      <w:bookmarkStart w:id="1145" w:name="_Toc36224580"/>
      <w:r w:rsidRPr="00D9348B">
        <w:t xml:space="preserve">Table 6.1.1 </w:t>
      </w:r>
      <w:r w:rsidRPr="00D9348B">
        <w:tab/>
        <w:t xml:space="preserve">New Zealand’s greenhouse gas net emissions for the LULUCF sector by </w:t>
      </w:r>
      <w:r w:rsidR="00766DDA">
        <w:t>land-use</w:t>
      </w:r>
      <w:r w:rsidRPr="00D9348B">
        <w:t xml:space="preserve"> category</w:t>
      </w:r>
      <w:r w:rsidRPr="00D9348B">
        <w:br/>
        <w:t>in 1990 and 201</w:t>
      </w:r>
      <w:bookmarkEnd w:id="1141"/>
      <w:r w:rsidRPr="00D9348B">
        <w:t>8</w:t>
      </w:r>
      <w:bookmarkEnd w:id="1142"/>
      <w:bookmarkEnd w:id="1143"/>
      <w:bookmarkEnd w:id="1144"/>
      <w:bookmarkEnd w:id="1145"/>
    </w:p>
    <w:tbl>
      <w:tblPr>
        <w:tblW w:w="8505" w:type="dxa"/>
        <w:tblInd w:w="108" w:type="dxa"/>
        <w:tblLook w:val="04A0" w:firstRow="1" w:lastRow="0" w:firstColumn="1" w:lastColumn="0" w:noHBand="0" w:noVBand="1"/>
      </w:tblPr>
      <w:tblGrid>
        <w:gridCol w:w="2596"/>
        <w:gridCol w:w="1292"/>
        <w:gridCol w:w="1292"/>
        <w:gridCol w:w="1968"/>
        <w:gridCol w:w="1357"/>
      </w:tblGrid>
      <w:tr w:rsidR="00A10636" w:rsidRPr="00D9348B" w14:paraId="18AD00B5" w14:textId="77777777" w:rsidTr="00F61E94">
        <w:tc>
          <w:tcPr>
            <w:tcW w:w="2596" w:type="dxa"/>
            <w:tcBorders>
              <w:top w:val="single" w:sz="4" w:space="0" w:color="365F91"/>
              <w:left w:val="nil"/>
              <w:bottom w:val="single" w:sz="4" w:space="0" w:color="365F91"/>
              <w:right w:val="nil"/>
            </w:tcBorders>
            <w:shd w:val="clear" w:color="auto" w:fill="376092"/>
            <w:vAlign w:val="center"/>
            <w:hideMark/>
          </w:tcPr>
          <w:p w14:paraId="28549766" w14:textId="77777777" w:rsidR="00A10636" w:rsidRPr="00D9348B" w:rsidRDefault="00A10636" w:rsidP="00DB330E">
            <w:pPr>
              <w:pStyle w:val="TableTextBold"/>
              <w:spacing w:before="40" w:after="40"/>
              <w:rPr>
                <w:rFonts w:cs="Calibri"/>
                <w:noProof w:val="0"/>
                <w:color w:val="FFFFFF"/>
                <w:szCs w:val="16"/>
              </w:rPr>
            </w:pPr>
          </w:p>
        </w:tc>
        <w:tc>
          <w:tcPr>
            <w:tcW w:w="2584" w:type="dxa"/>
            <w:gridSpan w:val="2"/>
            <w:tcBorders>
              <w:top w:val="single" w:sz="4" w:space="0" w:color="365F91"/>
              <w:left w:val="nil"/>
              <w:bottom w:val="single" w:sz="4" w:space="0" w:color="365F91"/>
              <w:right w:val="nil"/>
            </w:tcBorders>
            <w:shd w:val="clear" w:color="auto" w:fill="376092"/>
            <w:vAlign w:val="center"/>
            <w:hideMark/>
          </w:tcPr>
          <w:p w14:paraId="5040E910" w14:textId="77777777" w:rsidR="00A10636" w:rsidRPr="00D9348B" w:rsidRDefault="00A10636" w:rsidP="00DB330E">
            <w:pPr>
              <w:pStyle w:val="TableTextBold"/>
              <w:spacing w:before="40" w:after="40"/>
              <w:jc w:val="right"/>
              <w:rPr>
                <w:rFonts w:cs="Calibri"/>
                <w:noProof w:val="0"/>
                <w:color w:val="FFFFFF"/>
                <w:szCs w:val="16"/>
              </w:rPr>
            </w:pPr>
            <w:r w:rsidRPr="00D9348B">
              <w:rPr>
                <w:rFonts w:cs="Calibri"/>
                <w:noProof w:val="0"/>
                <w:color w:val="FFFFFF"/>
                <w:szCs w:val="16"/>
              </w:rPr>
              <w:t>Net emissions (kt CO</w:t>
            </w:r>
            <w:r w:rsidRPr="00D9348B">
              <w:rPr>
                <w:rFonts w:cs="Calibri"/>
                <w:noProof w:val="0"/>
                <w:color w:val="FFFFFF"/>
                <w:szCs w:val="16"/>
                <w:vertAlign w:val="subscript"/>
              </w:rPr>
              <w:t>2</w:t>
            </w:r>
            <w:r w:rsidRPr="00D9348B">
              <w:rPr>
                <w:rFonts w:cs="Calibri"/>
                <w:noProof w:val="0"/>
                <w:color w:val="FFFFFF"/>
                <w:szCs w:val="16"/>
              </w:rPr>
              <w:t>-e)</w:t>
            </w:r>
          </w:p>
        </w:tc>
        <w:tc>
          <w:tcPr>
            <w:tcW w:w="1968" w:type="dxa"/>
            <w:tcBorders>
              <w:top w:val="single" w:sz="4" w:space="0" w:color="365F91"/>
              <w:left w:val="nil"/>
              <w:bottom w:val="single" w:sz="4" w:space="0" w:color="365F91"/>
              <w:right w:val="nil"/>
            </w:tcBorders>
            <w:shd w:val="clear" w:color="auto" w:fill="376092"/>
            <w:vAlign w:val="center"/>
            <w:hideMark/>
          </w:tcPr>
          <w:p w14:paraId="6539EFD0" w14:textId="77777777" w:rsidR="00A10636" w:rsidRPr="00D9348B" w:rsidRDefault="00A10636" w:rsidP="00DB330E">
            <w:pPr>
              <w:jc w:val="right"/>
              <w:rPr>
                <w:rFonts w:cs="Calibri"/>
                <w:b/>
                <w:color w:val="FFFFFF"/>
                <w:sz w:val="16"/>
                <w:szCs w:val="16"/>
              </w:rPr>
            </w:pPr>
            <w:r w:rsidRPr="00D9348B">
              <w:rPr>
                <w:rFonts w:cs="Calibri"/>
                <w:b/>
                <w:color w:val="FFFFFF"/>
                <w:sz w:val="16"/>
                <w:szCs w:val="16"/>
              </w:rPr>
              <w:t xml:space="preserve">Difference </w:t>
            </w:r>
            <w:r w:rsidRPr="00D9348B">
              <w:rPr>
                <w:rFonts w:cs="Calibri"/>
                <w:color w:val="FFFFFF"/>
                <w:sz w:val="16"/>
                <w:szCs w:val="16"/>
              </w:rPr>
              <w:t>(kt CO</w:t>
            </w:r>
            <w:r w:rsidRPr="00D9348B">
              <w:rPr>
                <w:rFonts w:cs="Calibri"/>
                <w:color w:val="FFFFFF"/>
                <w:sz w:val="16"/>
                <w:szCs w:val="16"/>
                <w:vertAlign w:val="subscript"/>
              </w:rPr>
              <w:t>2</w:t>
            </w:r>
            <w:r w:rsidRPr="00D9348B">
              <w:rPr>
                <w:rFonts w:cs="Calibri"/>
                <w:color w:val="FFFFFF"/>
                <w:sz w:val="16"/>
                <w:szCs w:val="16"/>
              </w:rPr>
              <w:t>-e)</w:t>
            </w:r>
          </w:p>
        </w:tc>
        <w:tc>
          <w:tcPr>
            <w:tcW w:w="1357" w:type="dxa"/>
            <w:tcBorders>
              <w:top w:val="single" w:sz="4" w:space="0" w:color="365F91"/>
              <w:left w:val="nil"/>
              <w:bottom w:val="single" w:sz="4" w:space="0" w:color="365F91"/>
              <w:right w:val="nil"/>
            </w:tcBorders>
            <w:shd w:val="clear" w:color="auto" w:fill="376092"/>
            <w:vAlign w:val="center"/>
            <w:hideMark/>
          </w:tcPr>
          <w:p w14:paraId="7AB1F911" w14:textId="77777777" w:rsidR="00A10636" w:rsidRPr="00D9348B" w:rsidRDefault="00A10636" w:rsidP="00DB330E">
            <w:pPr>
              <w:jc w:val="right"/>
              <w:rPr>
                <w:rFonts w:cs="Calibri"/>
                <w:b/>
                <w:color w:val="FFFFFF"/>
                <w:sz w:val="16"/>
                <w:szCs w:val="16"/>
              </w:rPr>
            </w:pPr>
            <w:r w:rsidRPr="00D9348B">
              <w:rPr>
                <w:rFonts w:cs="Calibri"/>
                <w:b/>
                <w:color w:val="FFFFFF"/>
                <w:sz w:val="16"/>
                <w:szCs w:val="16"/>
              </w:rPr>
              <w:t>Change (%)</w:t>
            </w:r>
          </w:p>
        </w:tc>
      </w:tr>
      <w:tr w:rsidR="00A10636" w:rsidRPr="00D9348B" w14:paraId="54942908" w14:textId="77777777" w:rsidTr="00F61E94">
        <w:tc>
          <w:tcPr>
            <w:tcW w:w="2596" w:type="dxa"/>
            <w:tcBorders>
              <w:top w:val="single" w:sz="4" w:space="0" w:color="365F91"/>
              <w:left w:val="nil"/>
              <w:bottom w:val="single" w:sz="8" w:space="0" w:color="365F91"/>
              <w:right w:val="nil"/>
            </w:tcBorders>
            <w:shd w:val="clear" w:color="auto" w:fill="auto"/>
            <w:vAlign w:val="center"/>
            <w:hideMark/>
          </w:tcPr>
          <w:p w14:paraId="4000D939" w14:textId="3ED1DE43" w:rsidR="00A10636" w:rsidRPr="00D9348B" w:rsidRDefault="00766DDA" w:rsidP="00DB330E">
            <w:pPr>
              <w:pStyle w:val="TableTextBold"/>
              <w:rPr>
                <w:rFonts w:cs="Calibri"/>
                <w:noProof w:val="0"/>
                <w:szCs w:val="16"/>
              </w:rPr>
            </w:pPr>
            <w:r>
              <w:rPr>
                <w:rFonts w:cs="Calibri"/>
                <w:noProof w:val="0"/>
                <w:szCs w:val="16"/>
              </w:rPr>
              <w:t>Land-use</w:t>
            </w:r>
            <w:r w:rsidR="00A10636" w:rsidRPr="00D9348B">
              <w:rPr>
                <w:rFonts w:cs="Calibri"/>
                <w:noProof w:val="0"/>
                <w:szCs w:val="16"/>
              </w:rPr>
              <w:t xml:space="preserve"> category</w:t>
            </w:r>
          </w:p>
        </w:tc>
        <w:tc>
          <w:tcPr>
            <w:tcW w:w="1292" w:type="dxa"/>
            <w:tcBorders>
              <w:top w:val="single" w:sz="4" w:space="0" w:color="365F91"/>
              <w:left w:val="nil"/>
              <w:bottom w:val="single" w:sz="8" w:space="0" w:color="365F91"/>
              <w:right w:val="nil"/>
            </w:tcBorders>
            <w:shd w:val="clear" w:color="auto" w:fill="auto"/>
            <w:vAlign w:val="center"/>
            <w:hideMark/>
          </w:tcPr>
          <w:p w14:paraId="7B9A45C2" w14:textId="77777777" w:rsidR="00A10636" w:rsidRPr="00D9348B" w:rsidRDefault="00A10636" w:rsidP="00DB330E">
            <w:pPr>
              <w:pStyle w:val="TableTextBold"/>
              <w:jc w:val="right"/>
              <w:rPr>
                <w:rFonts w:cs="Calibri"/>
                <w:noProof w:val="0"/>
                <w:szCs w:val="16"/>
              </w:rPr>
            </w:pPr>
            <w:r w:rsidRPr="00D9348B">
              <w:rPr>
                <w:rFonts w:cs="Calibri"/>
                <w:noProof w:val="0"/>
                <w:szCs w:val="16"/>
              </w:rPr>
              <w:t>1990</w:t>
            </w:r>
          </w:p>
        </w:tc>
        <w:tc>
          <w:tcPr>
            <w:tcW w:w="1292" w:type="dxa"/>
            <w:tcBorders>
              <w:top w:val="single" w:sz="4" w:space="0" w:color="365F91"/>
              <w:left w:val="nil"/>
              <w:bottom w:val="single" w:sz="8" w:space="0" w:color="365F91"/>
              <w:right w:val="nil"/>
            </w:tcBorders>
            <w:shd w:val="clear" w:color="auto" w:fill="auto"/>
            <w:vAlign w:val="center"/>
            <w:hideMark/>
          </w:tcPr>
          <w:p w14:paraId="68730C73" w14:textId="77777777" w:rsidR="00A10636" w:rsidRPr="00D9348B" w:rsidRDefault="00A10636" w:rsidP="00DB330E">
            <w:pPr>
              <w:pStyle w:val="TableTextBold"/>
              <w:jc w:val="right"/>
              <w:rPr>
                <w:rFonts w:cs="Calibri"/>
                <w:noProof w:val="0"/>
                <w:szCs w:val="16"/>
              </w:rPr>
            </w:pPr>
            <w:r w:rsidRPr="00D9348B">
              <w:rPr>
                <w:rFonts w:cs="Calibri"/>
                <w:noProof w:val="0"/>
                <w:szCs w:val="16"/>
              </w:rPr>
              <w:t>2018</w:t>
            </w:r>
          </w:p>
        </w:tc>
        <w:tc>
          <w:tcPr>
            <w:tcW w:w="1968" w:type="dxa"/>
            <w:tcBorders>
              <w:top w:val="single" w:sz="4" w:space="0" w:color="365F91"/>
              <w:left w:val="nil"/>
              <w:bottom w:val="single" w:sz="8" w:space="0" w:color="365F91"/>
              <w:right w:val="nil"/>
            </w:tcBorders>
            <w:shd w:val="clear" w:color="auto" w:fill="auto"/>
            <w:vAlign w:val="center"/>
            <w:hideMark/>
          </w:tcPr>
          <w:p w14:paraId="20B1840D" w14:textId="77777777" w:rsidR="00A10636" w:rsidRPr="00D9348B" w:rsidRDefault="00A10636" w:rsidP="00DB330E">
            <w:pPr>
              <w:pStyle w:val="TableTextBold"/>
              <w:jc w:val="right"/>
              <w:rPr>
                <w:rFonts w:cs="Calibri"/>
                <w:noProof w:val="0"/>
                <w:szCs w:val="16"/>
              </w:rPr>
            </w:pPr>
            <w:r w:rsidRPr="00D9348B">
              <w:rPr>
                <w:rFonts w:cs="Calibri"/>
                <w:noProof w:val="0"/>
                <w:szCs w:val="16"/>
              </w:rPr>
              <w:t>1990–2018</w:t>
            </w:r>
          </w:p>
        </w:tc>
        <w:tc>
          <w:tcPr>
            <w:tcW w:w="1357" w:type="dxa"/>
            <w:tcBorders>
              <w:top w:val="single" w:sz="4" w:space="0" w:color="365F91"/>
              <w:left w:val="nil"/>
              <w:bottom w:val="single" w:sz="8" w:space="0" w:color="365F91"/>
              <w:right w:val="nil"/>
            </w:tcBorders>
            <w:shd w:val="clear" w:color="auto" w:fill="auto"/>
            <w:vAlign w:val="center"/>
            <w:hideMark/>
          </w:tcPr>
          <w:p w14:paraId="5523AC41" w14:textId="77777777" w:rsidR="00A10636" w:rsidRPr="00D9348B" w:rsidRDefault="00A10636" w:rsidP="00DB330E">
            <w:pPr>
              <w:pStyle w:val="TableTextBold"/>
              <w:jc w:val="right"/>
              <w:rPr>
                <w:rFonts w:cs="Calibri"/>
                <w:noProof w:val="0"/>
                <w:szCs w:val="16"/>
              </w:rPr>
            </w:pPr>
            <w:r w:rsidRPr="00D9348B">
              <w:rPr>
                <w:rFonts w:cs="Calibri"/>
                <w:noProof w:val="0"/>
                <w:szCs w:val="16"/>
              </w:rPr>
              <w:t>1990–2018</w:t>
            </w:r>
          </w:p>
        </w:tc>
      </w:tr>
      <w:tr w:rsidR="00A10636" w:rsidRPr="00D9348B" w14:paraId="40B35B0F" w14:textId="77777777" w:rsidTr="00F61E94">
        <w:tc>
          <w:tcPr>
            <w:tcW w:w="2596" w:type="dxa"/>
            <w:tcBorders>
              <w:top w:val="nil"/>
              <w:left w:val="nil"/>
              <w:bottom w:val="single" w:sz="8" w:space="0" w:color="365F91"/>
              <w:right w:val="nil"/>
            </w:tcBorders>
            <w:shd w:val="clear" w:color="auto" w:fill="auto"/>
            <w:vAlign w:val="center"/>
            <w:hideMark/>
          </w:tcPr>
          <w:p w14:paraId="52F6F591" w14:textId="77777777" w:rsidR="00A10636" w:rsidRPr="00D9348B" w:rsidRDefault="00A10636" w:rsidP="00DB330E">
            <w:pPr>
              <w:pStyle w:val="TableText"/>
              <w:rPr>
                <w:rFonts w:cs="Calibri"/>
                <w:szCs w:val="16"/>
              </w:rPr>
            </w:pPr>
            <w:r w:rsidRPr="00D9348B">
              <w:rPr>
                <w:rFonts w:cs="Calibri"/>
                <w:b/>
                <w:szCs w:val="16"/>
              </w:rPr>
              <w:t>Forest land</w:t>
            </w:r>
          </w:p>
        </w:tc>
        <w:tc>
          <w:tcPr>
            <w:tcW w:w="1292" w:type="dxa"/>
            <w:tcBorders>
              <w:top w:val="nil"/>
              <w:left w:val="nil"/>
              <w:bottom w:val="single" w:sz="8" w:space="0" w:color="365F91"/>
              <w:right w:val="nil"/>
            </w:tcBorders>
            <w:shd w:val="clear" w:color="auto" w:fill="auto"/>
          </w:tcPr>
          <w:p w14:paraId="67379776" w14:textId="77777777" w:rsidR="00A10636" w:rsidRPr="00D9348B" w:rsidRDefault="00A10636" w:rsidP="00DB330E">
            <w:pPr>
              <w:pStyle w:val="TableText"/>
              <w:jc w:val="right"/>
              <w:rPr>
                <w:rFonts w:cs="Calibri"/>
                <w:szCs w:val="16"/>
              </w:rPr>
            </w:pPr>
            <w:r w:rsidRPr="00D9348B">
              <w:rPr>
                <w:rFonts w:cs="Calibri"/>
                <w:szCs w:val="16"/>
              </w:rPr>
              <w:t>–26,961.3</w:t>
            </w:r>
          </w:p>
        </w:tc>
        <w:tc>
          <w:tcPr>
            <w:tcW w:w="1292" w:type="dxa"/>
            <w:tcBorders>
              <w:top w:val="nil"/>
              <w:left w:val="nil"/>
              <w:bottom w:val="single" w:sz="8" w:space="0" w:color="365F91"/>
              <w:right w:val="nil"/>
            </w:tcBorders>
            <w:shd w:val="clear" w:color="auto" w:fill="auto"/>
          </w:tcPr>
          <w:p w14:paraId="5ABA7743" w14:textId="77777777" w:rsidR="00A10636" w:rsidRPr="00D9348B" w:rsidRDefault="00A10636" w:rsidP="00DB330E">
            <w:pPr>
              <w:pStyle w:val="TableText"/>
              <w:jc w:val="right"/>
              <w:rPr>
                <w:rFonts w:cs="Calibri"/>
                <w:szCs w:val="16"/>
              </w:rPr>
            </w:pPr>
            <w:r w:rsidRPr="00D9348B">
              <w:rPr>
                <w:rFonts w:cs="Calibri"/>
                <w:szCs w:val="16"/>
              </w:rPr>
              <w:t>–16,907.2</w:t>
            </w:r>
          </w:p>
        </w:tc>
        <w:tc>
          <w:tcPr>
            <w:tcW w:w="1968" w:type="dxa"/>
            <w:tcBorders>
              <w:top w:val="nil"/>
              <w:left w:val="nil"/>
              <w:bottom w:val="single" w:sz="8" w:space="0" w:color="365F91"/>
              <w:right w:val="nil"/>
            </w:tcBorders>
            <w:shd w:val="clear" w:color="auto" w:fill="auto"/>
          </w:tcPr>
          <w:p w14:paraId="3E7E26AC" w14:textId="77777777" w:rsidR="00A10636" w:rsidRPr="00D9348B" w:rsidRDefault="00A10636" w:rsidP="00DB330E">
            <w:pPr>
              <w:pStyle w:val="TableText"/>
              <w:jc w:val="right"/>
              <w:rPr>
                <w:rFonts w:cs="Calibri"/>
                <w:szCs w:val="16"/>
              </w:rPr>
            </w:pPr>
            <w:r w:rsidRPr="00D9348B">
              <w:rPr>
                <w:rFonts w:cs="Calibri"/>
                <w:szCs w:val="16"/>
              </w:rPr>
              <w:t>10,054.1</w:t>
            </w:r>
          </w:p>
        </w:tc>
        <w:tc>
          <w:tcPr>
            <w:tcW w:w="1357" w:type="dxa"/>
            <w:tcBorders>
              <w:top w:val="nil"/>
              <w:left w:val="nil"/>
              <w:bottom w:val="single" w:sz="8" w:space="0" w:color="365F91"/>
              <w:right w:val="nil"/>
            </w:tcBorders>
            <w:shd w:val="clear" w:color="auto" w:fill="auto"/>
          </w:tcPr>
          <w:p w14:paraId="089E6C74" w14:textId="77777777" w:rsidR="00A10636" w:rsidRPr="00D9348B" w:rsidRDefault="00A10636" w:rsidP="00DB330E">
            <w:pPr>
              <w:pStyle w:val="TableText"/>
              <w:jc w:val="right"/>
              <w:rPr>
                <w:rFonts w:cs="Calibri"/>
                <w:szCs w:val="16"/>
              </w:rPr>
            </w:pPr>
            <w:r w:rsidRPr="00D9348B">
              <w:rPr>
                <w:rFonts w:cs="Calibri"/>
                <w:szCs w:val="16"/>
              </w:rPr>
              <w:t xml:space="preserve"> 37.3 </w:t>
            </w:r>
          </w:p>
        </w:tc>
      </w:tr>
      <w:tr w:rsidR="00A10636" w:rsidRPr="00D9348B" w14:paraId="12F5D403" w14:textId="77777777" w:rsidTr="00F61E94">
        <w:tc>
          <w:tcPr>
            <w:tcW w:w="2596" w:type="dxa"/>
            <w:tcBorders>
              <w:top w:val="nil"/>
              <w:left w:val="nil"/>
              <w:bottom w:val="single" w:sz="8" w:space="0" w:color="365F91"/>
              <w:right w:val="nil"/>
            </w:tcBorders>
            <w:shd w:val="clear" w:color="auto" w:fill="auto"/>
            <w:vAlign w:val="center"/>
            <w:hideMark/>
          </w:tcPr>
          <w:p w14:paraId="3BB91BC7" w14:textId="77777777" w:rsidR="00A10636" w:rsidRPr="00D9348B" w:rsidRDefault="00A10636" w:rsidP="00DB330E">
            <w:pPr>
              <w:pStyle w:val="TableText"/>
              <w:rPr>
                <w:rFonts w:cs="Calibri"/>
                <w:szCs w:val="16"/>
              </w:rPr>
            </w:pPr>
            <w:r w:rsidRPr="00D9348B">
              <w:rPr>
                <w:rFonts w:cs="Calibri"/>
                <w:b/>
                <w:szCs w:val="16"/>
              </w:rPr>
              <w:t>Cropland</w:t>
            </w:r>
          </w:p>
        </w:tc>
        <w:tc>
          <w:tcPr>
            <w:tcW w:w="1292" w:type="dxa"/>
            <w:tcBorders>
              <w:top w:val="nil"/>
              <w:left w:val="nil"/>
              <w:bottom w:val="single" w:sz="8" w:space="0" w:color="365F91"/>
              <w:right w:val="nil"/>
            </w:tcBorders>
            <w:shd w:val="clear" w:color="auto" w:fill="auto"/>
          </w:tcPr>
          <w:p w14:paraId="476B6627" w14:textId="77777777" w:rsidR="00A10636" w:rsidRPr="00D9348B" w:rsidRDefault="00A10636" w:rsidP="00DB330E">
            <w:pPr>
              <w:pStyle w:val="TableText"/>
              <w:jc w:val="right"/>
              <w:rPr>
                <w:rFonts w:cs="Calibri"/>
                <w:szCs w:val="16"/>
              </w:rPr>
            </w:pPr>
            <w:r w:rsidRPr="00D9348B">
              <w:rPr>
                <w:rFonts w:cs="Calibri"/>
                <w:szCs w:val="16"/>
              </w:rPr>
              <w:t>476.2</w:t>
            </w:r>
          </w:p>
        </w:tc>
        <w:tc>
          <w:tcPr>
            <w:tcW w:w="1292" w:type="dxa"/>
            <w:tcBorders>
              <w:top w:val="nil"/>
              <w:left w:val="nil"/>
              <w:bottom w:val="single" w:sz="8" w:space="0" w:color="365F91"/>
              <w:right w:val="nil"/>
            </w:tcBorders>
            <w:shd w:val="clear" w:color="auto" w:fill="auto"/>
          </w:tcPr>
          <w:p w14:paraId="7E3ABD3B" w14:textId="77777777" w:rsidR="00A10636" w:rsidRPr="00D9348B" w:rsidRDefault="00A10636" w:rsidP="00DB330E">
            <w:pPr>
              <w:pStyle w:val="TableText"/>
              <w:jc w:val="right"/>
              <w:rPr>
                <w:rFonts w:cs="Calibri"/>
                <w:szCs w:val="16"/>
              </w:rPr>
            </w:pPr>
            <w:r w:rsidRPr="00D9348B">
              <w:rPr>
                <w:rFonts w:cs="Calibri"/>
                <w:szCs w:val="16"/>
              </w:rPr>
              <w:t>391.3</w:t>
            </w:r>
          </w:p>
        </w:tc>
        <w:tc>
          <w:tcPr>
            <w:tcW w:w="1968" w:type="dxa"/>
            <w:tcBorders>
              <w:top w:val="nil"/>
              <w:left w:val="nil"/>
              <w:bottom w:val="single" w:sz="8" w:space="0" w:color="365F91"/>
              <w:right w:val="nil"/>
            </w:tcBorders>
            <w:shd w:val="clear" w:color="auto" w:fill="auto"/>
          </w:tcPr>
          <w:p w14:paraId="2E7A832F" w14:textId="77777777" w:rsidR="00A10636" w:rsidRPr="00D9348B" w:rsidRDefault="00A10636" w:rsidP="00DB330E">
            <w:pPr>
              <w:pStyle w:val="TableText"/>
              <w:jc w:val="right"/>
              <w:rPr>
                <w:rFonts w:cs="Calibri"/>
                <w:szCs w:val="16"/>
              </w:rPr>
            </w:pPr>
            <w:r w:rsidRPr="00D9348B">
              <w:rPr>
                <w:rFonts w:cs="Calibri"/>
                <w:szCs w:val="16"/>
              </w:rPr>
              <w:t>–84.9</w:t>
            </w:r>
          </w:p>
        </w:tc>
        <w:tc>
          <w:tcPr>
            <w:tcW w:w="1357" w:type="dxa"/>
            <w:tcBorders>
              <w:top w:val="nil"/>
              <w:left w:val="nil"/>
              <w:bottom w:val="single" w:sz="8" w:space="0" w:color="365F91"/>
              <w:right w:val="nil"/>
            </w:tcBorders>
            <w:shd w:val="clear" w:color="auto" w:fill="auto"/>
          </w:tcPr>
          <w:p w14:paraId="2D077A91" w14:textId="77777777" w:rsidR="00A10636" w:rsidRPr="00D9348B" w:rsidRDefault="00A10636" w:rsidP="00DB330E">
            <w:pPr>
              <w:pStyle w:val="TableText"/>
              <w:jc w:val="right"/>
              <w:rPr>
                <w:rFonts w:cs="Calibri"/>
                <w:szCs w:val="16"/>
              </w:rPr>
            </w:pPr>
            <w:r w:rsidRPr="00D9348B">
              <w:rPr>
                <w:rFonts w:cs="Calibri"/>
                <w:szCs w:val="16"/>
              </w:rPr>
              <w:t xml:space="preserve">–17.8 </w:t>
            </w:r>
          </w:p>
        </w:tc>
      </w:tr>
      <w:tr w:rsidR="00A10636" w:rsidRPr="00D9348B" w14:paraId="778F6F47" w14:textId="77777777" w:rsidTr="00F61E94">
        <w:tc>
          <w:tcPr>
            <w:tcW w:w="2596" w:type="dxa"/>
            <w:tcBorders>
              <w:top w:val="nil"/>
              <w:left w:val="nil"/>
              <w:bottom w:val="single" w:sz="8" w:space="0" w:color="365F91"/>
              <w:right w:val="nil"/>
            </w:tcBorders>
            <w:shd w:val="clear" w:color="auto" w:fill="auto"/>
            <w:vAlign w:val="center"/>
            <w:hideMark/>
          </w:tcPr>
          <w:p w14:paraId="7BD32791" w14:textId="77777777" w:rsidR="00A10636" w:rsidRPr="00D9348B" w:rsidRDefault="00A10636" w:rsidP="00DB330E">
            <w:pPr>
              <w:pStyle w:val="TableText"/>
              <w:rPr>
                <w:rFonts w:cs="Calibri"/>
                <w:szCs w:val="16"/>
              </w:rPr>
            </w:pPr>
            <w:r w:rsidRPr="00D9348B">
              <w:rPr>
                <w:rFonts w:cs="Calibri"/>
                <w:b/>
                <w:szCs w:val="16"/>
              </w:rPr>
              <w:t>Grassland</w:t>
            </w:r>
          </w:p>
        </w:tc>
        <w:tc>
          <w:tcPr>
            <w:tcW w:w="1292" w:type="dxa"/>
            <w:tcBorders>
              <w:top w:val="nil"/>
              <w:left w:val="nil"/>
              <w:bottom w:val="single" w:sz="8" w:space="0" w:color="365F91"/>
              <w:right w:val="nil"/>
            </w:tcBorders>
            <w:shd w:val="clear" w:color="auto" w:fill="auto"/>
          </w:tcPr>
          <w:p w14:paraId="6EA1D385" w14:textId="77777777" w:rsidR="00A10636" w:rsidRPr="00D9348B" w:rsidRDefault="00A10636" w:rsidP="00DB330E">
            <w:pPr>
              <w:pStyle w:val="TableText"/>
              <w:jc w:val="right"/>
              <w:rPr>
                <w:rFonts w:cs="Calibri"/>
                <w:szCs w:val="16"/>
              </w:rPr>
            </w:pPr>
            <w:r w:rsidRPr="00D9348B">
              <w:rPr>
                <w:rFonts w:cs="Calibri"/>
                <w:szCs w:val="16"/>
              </w:rPr>
              <w:t>186.3</w:t>
            </w:r>
          </w:p>
        </w:tc>
        <w:tc>
          <w:tcPr>
            <w:tcW w:w="1292" w:type="dxa"/>
            <w:tcBorders>
              <w:top w:val="nil"/>
              <w:left w:val="nil"/>
              <w:bottom w:val="single" w:sz="8" w:space="0" w:color="365F91"/>
              <w:right w:val="nil"/>
            </w:tcBorders>
            <w:shd w:val="clear" w:color="auto" w:fill="auto"/>
          </w:tcPr>
          <w:p w14:paraId="513C7A3E" w14:textId="77777777" w:rsidR="00A10636" w:rsidRPr="00D9348B" w:rsidRDefault="00A10636" w:rsidP="00DB330E">
            <w:pPr>
              <w:pStyle w:val="TableText"/>
              <w:jc w:val="right"/>
              <w:rPr>
                <w:rFonts w:cs="Calibri"/>
                <w:szCs w:val="16"/>
              </w:rPr>
            </w:pPr>
            <w:r w:rsidRPr="00D9348B">
              <w:rPr>
                <w:rFonts w:cs="Calibri"/>
                <w:szCs w:val="16"/>
              </w:rPr>
              <w:t>3,699.9</w:t>
            </w:r>
          </w:p>
        </w:tc>
        <w:tc>
          <w:tcPr>
            <w:tcW w:w="1968" w:type="dxa"/>
            <w:tcBorders>
              <w:top w:val="nil"/>
              <w:left w:val="nil"/>
              <w:bottom w:val="single" w:sz="8" w:space="0" w:color="365F91"/>
              <w:right w:val="nil"/>
            </w:tcBorders>
            <w:shd w:val="clear" w:color="auto" w:fill="auto"/>
          </w:tcPr>
          <w:p w14:paraId="182A9024" w14:textId="77777777" w:rsidR="00A10636" w:rsidRPr="00D9348B" w:rsidRDefault="00A10636" w:rsidP="00DB330E">
            <w:pPr>
              <w:pStyle w:val="TableText"/>
              <w:jc w:val="right"/>
              <w:rPr>
                <w:rFonts w:cs="Calibri"/>
                <w:szCs w:val="16"/>
              </w:rPr>
            </w:pPr>
            <w:r w:rsidRPr="00D9348B">
              <w:rPr>
                <w:rFonts w:cs="Calibri"/>
                <w:szCs w:val="16"/>
              </w:rPr>
              <w:t>3,513.6</w:t>
            </w:r>
          </w:p>
        </w:tc>
        <w:tc>
          <w:tcPr>
            <w:tcW w:w="1357" w:type="dxa"/>
            <w:tcBorders>
              <w:top w:val="nil"/>
              <w:left w:val="nil"/>
              <w:bottom w:val="single" w:sz="8" w:space="0" w:color="365F91"/>
              <w:right w:val="nil"/>
            </w:tcBorders>
            <w:shd w:val="clear" w:color="auto" w:fill="auto"/>
          </w:tcPr>
          <w:p w14:paraId="33E872F8" w14:textId="77777777" w:rsidR="00A10636" w:rsidRPr="00D9348B" w:rsidRDefault="00A10636" w:rsidP="00DB330E">
            <w:pPr>
              <w:pStyle w:val="TableText"/>
              <w:jc w:val="right"/>
              <w:rPr>
                <w:rFonts w:cs="Calibri"/>
                <w:szCs w:val="16"/>
              </w:rPr>
            </w:pPr>
            <w:r w:rsidRPr="00D9348B">
              <w:rPr>
                <w:rFonts w:cs="Calibri"/>
                <w:szCs w:val="16"/>
              </w:rPr>
              <w:t xml:space="preserve"> 1,885.9 </w:t>
            </w:r>
          </w:p>
        </w:tc>
      </w:tr>
      <w:tr w:rsidR="00A10636" w:rsidRPr="00D9348B" w14:paraId="1AC7775E" w14:textId="77777777" w:rsidTr="00F61E94">
        <w:tc>
          <w:tcPr>
            <w:tcW w:w="2596" w:type="dxa"/>
            <w:tcBorders>
              <w:top w:val="nil"/>
              <w:left w:val="nil"/>
              <w:bottom w:val="single" w:sz="8" w:space="0" w:color="365F91"/>
              <w:right w:val="nil"/>
            </w:tcBorders>
            <w:shd w:val="clear" w:color="auto" w:fill="auto"/>
            <w:vAlign w:val="center"/>
            <w:hideMark/>
          </w:tcPr>
          <w:p w14:paraId="54ACF92B" w14:textId="77777777" w:rsidR="00A10636" w:rsidRPr="00D9348B" w:rsidRDefault="00A10636" w:rsidP="00DB330E">
            <w:pPr>
              <w:pStyle w:val="TableText"/>
              <w:rPr>
                <w:rFonts w:cs="Calibri"/>
                <w:szCs w:val="16"/>
              </w:rPr>
            </w:pPr>
            <w:r w:rsidRPr="00D9348B">
              <w:rPr>
                <w:rFonts w:cs="Calibri"/>
                <w:b/>
                <w:szCs w:val="16"/>
              </w:rPr>
              <w:t>Wetlands</w:t>
            </w:r>
          </w:p>
        </w:tc>
        <w:tc>
          <w:tcPr>
            <w:tcW w:w="1292" w:type="dxa"/>
            <w:tcBorders>
              <w:top w:val="nil"/>
              <w:left w:val="nil"/>
              <w:bottom w:val="single" w:sz="8" w:space="0" w:color="365F91"/>
              <w:right w:val="nil"/>
            </w:tcBorders>
            <w:shd w:val="clear" w:color="auto" w:fill="auto"/>
          </w:tcPr>
          <w:p w14:paraId="0ADFC290" w14:textId="77777777" w:rsidR="00A10636" w:rsidRPr="00D9348B" w:rsidRDefault="00A10636" w:rsidP="00DB330E">
            <w:pPr>
              <w:pStyle w:val="TableText"/>
              <w:jc w:val="right"/>
              <w:rPr>
                <w:rFonts w:cs="Calibri"/>
                <w:szCs w:val="16"/>
              </w:rPr>
            </w:pPr>
            <w:r w:rsidRPr="00D9348B">
              <w:rPr>
                <w:rFonts w:cs="Calibri"/>
                <w:szCs w:val="16"/>
              </w:rPr>
              <w:t>–10.7</w:t>
            </w:r>
          </w:p>
        </w:tc>
        <w:tc>
          <w:tcPr>
            <w:tcW w:w="1292" w:type="dxa"/>
            <w:tcBorders>
              <w:top w:val="nil"/>
              <w:left w:val="nil"/>
              <w:bottom w:val="single" w:sz="8" w:space="0" w:color="365F91"/>
              <w:right w:val="nil"/>
            </w:tcBorders>
            <w:shd w:val="clear" w:color="auto" w:fill="auto"/>
          </w:tcPr>
          <w:p w14:paraId="4537BCEB" w14:textId="77777777" w:rsidR="00A10636" w:rsidRPr="00D9348B" w:rsidRDefault="00A10636" w:rsidP="00DB330E">
            <w:pPr>
              <w:pStyle w:val="TableText"/>
              <w:jc w:val="right"/>
              <w:rPr>
                <w:rFonts w:cs="Calibri"/>
                <w:szCs w:val="16"/>
              </w:rPr>
            </w:pPr>
            <w:r w:rsidRPr="00D9348B">
              <w:rPr>
                <w:rFonts w:cs="Calibri"/>
                <w:szCs w:val="16"/>
              </w:rPr>
              <w:t>13.6</w:t>
            </w:r>
          </w:p>
        </w:tc>
        <w:tc>
          <w:tcPr>
            <w:tcW w:w="1968" w:type="dxa"/>
            <w:tcBorders>
              <w:top w:val="nil"/>
              <w:left w:val="nil"/>
              <w:bottom w:val="single" w:sz="8" w:space="0" w:color="365F91"/>
              <w:right w:val="nil"/>
            </w:tcBorders>
            <w:shd w:val="clear" w:color="auto" w:fill="auto"/>
          </w:tcPr>
          <w:p w14:paraId="06575C77" w14:textId="77777777" w:rsidR="00A10636" w:rsidRPr="00D9348B" w:rsidRDefault="00A10636" w:rsidP="00DB330E">
            <w:pPr>
              <w:pStyle w:val="TableText"/>
              <w:jc w:val="right"/>
              <w:rPr>
                <w:rFonts w:cs="Calibri"/>
                <w:szCs w:val="16"/>
              </w:rPr>
            </w:pPr>
            <w:r w:rsidRPr="00D9348B">
              <w:rPr>
                <w:rFonts w:cs="Calibri"/>
                <w:szCs w:val="16"/>
              </w:rPr>
              <w:t>24.2</w:t>
            </w:r>
          </w:p>
        </w:tc>
        <w:tc>
          <w:tcPr>
            <w:tcW w:w="1357" w:type="dxa"/>
            <w:tcBorders>
              <w:top w:val="nil"/>
              <w:left w:val="nil"/>
              <w:bottom w:val="single" w:sz="8" w:space="0" w:color="365F91"/>
              <w:right w:val="nil"/>
            </w:tcBorders>
            <w:shd w:val="clear" w:color="auto" w:fill="auto"/>
          </w:tcPr>
          <w:p w14:paraId="6082F395" w14:textId="77777777" w:rsidR="00A10636" w:rsidRPr="00D9348B" w:rsidRDefault="00A10636" w:rsidP="00DB330E">
            <w:pPr>
              <w:pStyle w:val="TableText"/>
              <w:jc w:val="right"/>
              <w:rPr>
                <w:rFonts w:cs="Calibri"/>
                <w:szCs w:val="16"/>
              </w:rPr>
            </w:pPr>
            <w:r w:rsidRPr="00D9348B">
              <w:rPr>
                <w:rFonts w:cs="Calibri"/>
                <w:szCs w:val="16"/>
              </w:rPr>
              <w:t xml:space="preserve"> 227.2 </w:t>
            </w:r>
          </w:p>
        </w:tc>
      </w:tr>
      <w:tr w:rsidR="00A10636" w:rsidRPr="00D9348B" w14:paraId="231349B0" w14:textId="77777777" w:rsidTr="00F61E94">
        <w:tc>
          <w:tcPr>
            <w:tcW w:w="2596" w:type="dxa"/>
            <w:tcBorders>
              <w:top w:val="nil"/>
              <w:left w:val="nil"/>
              <w:bottom w:val="single" w:sz="8" w:space="0" w:color="365F91"/>
              <w:right w:val="nil"/>
            </w:tcBorders>
            <w:shd w:val="clear" w:color="auto" w:fill="auto"/>
            <w:vAlign w:val="center"/>
            <w:hideMark/>
          </w:tcPr>
          <w:p w14:paraId="713B1BA0" w14:textId="77777777" w:rsidR="00A10636" w:rsidRPr="00D9348B" w:rsidRDefault="00A10636" w:rsidP="00DB330E">
            <w:pPr>
              <w:pStyle w:val="TableText"/>
              <w:rPr>
                <w:rFonts w:cs="Calibri"/>
                <w:szCs w:val="16"/>
              </w:rPr>
            </w:pPr>
            <w:r w:rsidRPr="00D9348B">
              <w:rPr>
                <w:rFonts w:cs="Calibri"/>
                <w:b/>
                <w:szCs w:val="16"/>
              </w:rPr>
              <w:t>Settlements</w:t>
            </w:r>
          </w:p>
        </w:tc>
        <w:tc>
          <w:tcPr>
            <w:tcW w:w="1292" w:type="dxa"/>
            <w:tcBorders>
              <w:top w:val="nil"/>
              <w:left w:val="nil"/>
              <w:bottom w:val="single" w:sz="8" w:space="0" w:color="365F91"/>
              <w:right w:val="nil"/>
            </w:tcBorders>
            <w:shd w:val="clear" w:color="auto" w:fill="auto"/>
          </w:tcPr>
          <w:p w14:paraId="039FB819" w14:textId="77777777" w:rsidR="00A10636" w:rsidRPr="00D9348B" w:rsidRDefault="00A10636" w:rsidP="00DB330E">
            <w:pPr>
              <w:pStyle w:val="TableText"/>
              <w:jc w:val="right"/>
              <w:rPr>
                <w:rFonts w:cs="Calibri"/>
                <w:szCs w:val="16"/>
              </w:rPr>
            </w:pPr>
            <w:r w:rsidRPr="00D9348B">
              <w:rPr>
                <w:rFonts w:cs="Calibri"/>
                <w:szCs w:val="16"/>
              </w:rPr>
              <w:t>72.4</w:t>
            </w:r>
          </w:p>
        </w:tc>
        <w:tc>
          <w:tcPr>
            <w:tcW w:w="1292" w:type="dxa"/>
            <w:tcBorders>
              <w:top w:val="nil"/>
              <w:left w:val="nil"/>
              <w:bottom w:val="single" w:sz="8" w:space="0" w:color="365F91"/>
              <w:right w:val="nil"/>
            </w:tcBorders>
            <w:shd w:val="clear" w:color="auto" w:fill="auto"/>
          </w:tcPr>
          <w:p w14:paraId="21664B02" w14:textId="77777777" w:rsidR="00A10636" w:rsidRPr="00D9348B" w:rsidRDefault="00A10636" w:rsidP="00DB330E">
            <w:pPr>
              <w:pStyle w:val="TableText"/>
              <w:jc w:val="right"/>
              <w:rPr>
                <w:rFonts w:cs="Calibri"/>
                <w:szCs w:val="16"/>
              </w:rPr>
            </w:pPr>
            <w:r w:rsidRPr="00D9348B">
              <w:rPr>
                <w:rFonts w:cs="Calibri"/>
                <w:szCs w:val="16"/>
              </w:rPr>
              <w:t>103.4</w:t>
            </w:r>
          </w:p>
        </w:tc>
        <w:tc>
          <w:tcPr>
            <w:tcW w:w="1968" w:type="dxa"/>
            <w:tcBorders>
              <w:top w:val="nil"/>
              <w:left w:val="nil"/>
              <w:bottom w:val="single" w:sz="8" w:space="0" w:color="365F91"/>
              <w:right w:val="nil"/>
            </w:tcBorders>
            <w:shd w:val="clear" w:color="auto" w:fill="auto"/>
          </w:tcPr>
          <w:p w14:paraId="6C5860D8" w14:textId="77777777" w:rsidR="00A10636" w:rsidRPr="00D9348B" w:rsidRDefault="00A10636" w:rsidP="00DB330E">
            <w:pPr>
              <w:pStyle w:val="TableText"/>
              <w:jc w:val="right"/>
              <w:rPr>
                <w:rFonts w:cs="Calibri"/>
                <w:szCs w:val="16"/>
              </w:rPr>
            </w:pPr>
            <w:r w:rsidRPr="00D9348B">
              <w:rPr>
                <w:rFonts w:cs="Calibri"/>
                <w:szCs w:val="16"/>
              </w:rPr>
              <w:t>30.9</w:t>
            </w:r>
          </w:p>
        </w:tc>
        <w:tc>
          <w:tcPr>
            <w:tcW w:w="1357" w:type="dxa"/>
            <w:tcBorders>
              <w:top w:val="nil"/>
              <w:left w:val="nil"/>
              <w:bottom w:val="single" w:sz="8" w:space="0" w:color="365F91"/>
              <w:right w:val="nil"/>
            </w:tcBorders>
            <w:shd w:val="clear" w:color="auto" w:fill="auto"/>
          </w:tcPr>
          <w:p w14:paraId="15882580" w14:textId="77777777" w:rsidR="00A10636" w:rsidRPr="00D9348B" w:rsidRDefault="00A10636" w:rsidP="00DB330E">
            <w:pPr>
              <w:pStyle w:val="TableText"/>
              <w:jc w:val="right"/>
              <w:rPr>
                <w:rFonts w:cs="Calibri"/>
                <w:szCs w:val="16"/>
              </w:rPr>
            </w:pPr>
            <w:r w:rsidRPr="00D9348B">
              <w:rPr>
                <w:rFonts w:cs="Calibri"/>
                <w:szCs w:val="16"/>
              </w:rPr>
              <w:t xml:space="preserve"> 42.7 </w:t>
            </w:r>
          </w:p>
        </w:tc>
      </w:tr>
      <w:tr w:rsidR="00A10636" w:rsidRPr="00D9348B" w14:paraId="01F62F83" w14:textId="77777777" w:rsidTr="00F61E94">
        <w:tc>
          <w:tcPr>
            <w:tcW w:w="2596" w:type="dxa"/>
            <w:tcBorders>
              <w:top w:val="nil"/>
              <w:left w:val="nil"/>
              <w:bottom w:val="single" w:sz="8" w:space="0" w:color="365F91"/>
              <w:right w:val="nil"/>
            </w:tcBorders>
            <w:shd w:val="clear" w:color="auto" w:fill="auto"/>
            <w:vAlign w:val="center"/>
            <w:hideMark/>
          </w:tcPr>
          <w:p w14:paraId="35FEA288" w14:textId="77777777" w:rsidR="00A10636" w:rsidRPr="00D9348B" w:rsidRDefault="00A10636" w:rsidP="00DB330E">
            <w:pPr>
              <w:pStyle w:val="TableText"/>
              <w:rPr>
                <w:rFonts w:cs="Calibri"/>
                <w:szCs w:val="16"/>
              </w:rPr>
            </w:pPr>
            <w:r w:rsidRPr="00D9348B">
              <w:rPr>
                <w:rFonts w:cs="Calibri"/>
                <w:b/>
                <w:szCs w:val="16"/>
              </w:rPr>
              <w:t>Other land</w:t>
            </w:r>
          </w:p>
        </w:tc>
        <w:tc>
          <w:tcPr>
            <w:tcW w:w="1292" w:type="dxa"/>
            <w:tcBorders>
              <w:top w:val="nil"/>
              <w:left w:val="nil"/>
              <w:bottom w:val="single" w:sz="8" w:space="0" w:color="365F91"/>
              <w:right w:val="nil"/>
            </w:tcBorders>
            <w:shd w:val="clear" w:color="auto" w:fill="auto"/>
          </w:tcPr>
          <w:p w14:paraId="04ADFAB9" w14:textId="77777777" w:rsidR="00A10636" w:rsidRPr="00D9348B" w:rsidRDefault="00A10636" w:rsidP="00DB330E">
            <w:pPr>
              <w:pStyle w:val="TableText"/>
              <w:jc w:val="right"/>
              <w:rPr>
                <w:rFonts w:cs="Calibri"/>
                <w:szCs w:val="16"/>
              </w:rPr>
            </w:pPr>
            <w:r w:rsidRPr="00D9348B">
              <w:rPr>
                <w:rFonts w:cs="Calibri"/>
                <w:szCs w:val="16"/>
              </w:rPr>
              <w:t>12.9</w:t>
            </w:r>
          </w:p>
        </w:tc>
        <w:tc>
          <w:tcPr>
            <w:tcW w:w="1292" w:type="dxa"/>
            <w:tcBorders>
              <w:top w:val="nil"/>
              <w:left w:val="nil"/>
              <w:bottom w:val="single" w:sz="8" w:space="0" w:color="365F91"/>
              <w:right w:val="nil"/>
            </w:tcBorders>
            <w:shd w:val="clear" w:color="auto" w:fill="auto"/>
          </w:tcPr>
          <w:p w14:paraId="21785158" w14:textId="77777777" w:rsidR="00A10636" w:rsidRPr="00D9348B" w:rsidRDefault="00A10636" w:rsidP="00DB330E">
            <w:pPr>
              <w:pStyle w:val="TableText"/>
              <w:jc w:val="right"/>
              <w:rPr>
                <w:rFonts w:cs="Calibri"/>
                <w:szCs w:val="16"/>
              </w:rPr>
            </w:pPr>
            <w:r w:rsidRPr="00D9348B">
              <w:rPr>
                <w:rFonts w:cs="Calibri"/>
                <w:szCs w:val="16"/>
              </w:rPr>
              <w:t>51.6</w:t>
            </w:r>
          </w:p>
        </w:tc>
        <w:tc>
          <w:tcPr>
            <w:tcW w:w="1968" w:type="dxa"/>
            <w:tcBorders>
              <w:top w:val="nil"/>
              <w:left w:val="nil"/>
              <w:bottom w:val="single" w:sz="8" w:space="0" w:color="365F91"/>
              <w:right w:val="nil"/>
            </w:tcBorders>
            <w:shd w:val="clear" w:color="auto" w:fill="auto"/>
          </w:tcPr>
          <w:p w14:paraId="1FD5510C" w14:textId="77777777" w:rsidR="00A10636" w:rsidRPr="00D9348B" w:rsidRDefault="00A10636" w:rsidP="00DB330E">
            <w:pPr>
              <w:pStyle w:val="TableText"/>
              <w:jc w:val="right"/>
              <w:rPr>
                <w:rFonts w:cs="Calibri"/>
                <w:szCs w:val="16"/>
              </w:rPr>
            </w:pPr>
            <w:r w:rsidRPr="00D9348B">
              <w:rPr>
                <w:rFonts w:cs="Calibri"/>
                <w:szCs w:val="16"/>
              </w:rPr>
              <w:t>38.7</w:t>
            </w:r>
          </w:p>
        </w:tc>
        <w:tc>
          <w:tcPr>
            <w:tcW w:w="1357" w:type="dxa"/>
            <w:tcBorders>
              <w:top w:val="nil"/>
              <w:left w:val="nil"/>
              <w:bottom w:val="single" w:sz="8" w:space="0" w:color="365F91"/>
              <w:right w:val="nil"/>
            </w:tcBorders>
            <w:shd w:val="clear" w:color="auto" w:fill="auto"/>
          </w:tcPr>
          <w:p w14:paraId="5592F60D" w14:textId="77777777" w:rsidR="00A10636" w:rsidRPr="00D9348B" w:rsidRDefault="00A10636" w:rsidP="00DB330E">
            <w:pPr>
              <w:pStyle w:val="TableText"/>
              <w:jc w:val="right"/>
              <w:rPr>
                <w:rFonts w:cs="Calibri"/>
                <w:szCs w:val="16"/>
              </w:rPr>
            </w:pPr>
            <w:r w:rsidRPr="00D9348B">
              <w:rPr>
                <w:rFonts w:cs="Calibri"/>
                <w:szCs w:val="16"/>
              </w:rPr>
              <w:t xml:space="preserve"> 299.7 </w:t>
            </w:r>
          </w:p>
        </w:tc>
      </w:tr>
      <w:tr w:rsidR="00A10636" w:rsidRPr="00D9348B" w14:paraId="6C1FE8C0" w14:textId="77777777" w:rsidTr="00F61E94">
        <w:tc>
          <w:tcPr>
            <w:tcW w:w="2596" w:type="dxa"/>
            <w:tcBorders>
              <w:top w:val="nil"/>
              <w:left w:val="nil"/>
              <w:bottom w:val="single" w:sz="8" w:space="0" w:color="365F91"/>
              <w:right w:val="nil"/>
            </w:tcBorders>
            <w:shd w:val="clear" w:color="auto" w:fill="auto"/>
            <w:noWrap/>
            <w:vAlign w:val="center"/>
            <w:hideMark/>
          </w:tcPr>
          <w:p w14:paraId="5C895F73" w14:textId="77777777" w:rsidR="00A10636" w:rsidRPr="00D9348B" w:rsidRDefault="00A10636" w:rsidP="00DB330E">
            <w:pPr>
              <w:pStyle w:val="TableText"/>
              <w:rPr>
                <w:rFonts w:cs="Calibri"/>
                <w:szCs w:val="16"/>
              </w:rPr>
            </w:pPr>
            <w:r w:rsidRPr="00D9348B">
              <w:rPr>
                <w:rFonts w:cs="Calibri"/>
                <w:b/>
                <w:szCs w:val="16"/>
              </w:rPr>
              <w:t>Harvested wood products</w:t>
            </w:r>
          </w:p>
        </w:tc>
        <w:tc>
          <w:tcPr>
            <w:tcW w:w="1292" w:type="dxa"/>
            <w:tcBorders>
              <w:top w:val="nil"/>
              <w:left w:val="nil"/>
              <w:bottom w:val="single" w:sz="8" w:space="0" w:color="365F91"/>
              <w:right w:val="nil"/>
            </w:tcBorders>
            <w:shd w:val="clear" w:color="auto" w:fill="auto"/>
          </w:tcPr>
          <w:p w14:paraId="1D1F94BA" w14:textId="77777777" w:rsidR="00A10636" w:rsidRPr="00D9348B" w:rsidRDefault="00A10636" w:rsidP="00DB330E">
            <w:pPr>
              <w:pStyle w:val="TableText"/>
              <w:jc w:val="right"/>
              <w:rPr>
                <w:rFonts w:cs="Calibri"/>
                <w:szCs w:val="16"/>
              </w:rPr>
            </w:pPr>
            <w:r w:rsidRPr="00D9348B">
              <w:rPr>
                <w:rFonts w:cs="Calibri"/>
                <w:szCs w:val="16"/>
              </w:rPr>
              <w:t>–2,072.9</w:t>
            </w:r>
          </w:p>
        </w:tc>
        <w:tc>
          <w:tcPr>
            <w:tcW w:w="1292" w:type="dxa"/>
            <w:tcBorders>
              <w:top w:val="nil"/>
              <w:left w:val="nil"/>
              <w:bottom w:val="single" w:sz="8" w:space="0" w:color="365F91"/>
              <w:right w:val="nil"/>
            </w:tcBorders>
            <w:shd w:val="clear" w:color="auto" w:fill="auto"/>
          </w:tcPr>
          <w:p w14:paraId="5F9954CC" w14:textId="77777777" w:rsidR="00A10636" w:rsidRPr="00D9348B" w:rsidRDefault="00A10636" w:rsidP="00DB330E">
            <w:pPr>
              <w:pStyle w:val="TableText"/>
              <w:jc w:val="right"/>
              <w:rPr>
                <w:rFonts w:cs="Calibri"/>
                <w:szCs w:val="16"/>
              </w:rPr>
            </w:pPr>
            <w:r w:rsidRPr="00D9348B">
              <w:rPr>
                <w:rFonts w:cs="Calibri"/>
                <w:szCs w:val="16"/>
              </w:rPr>
              <w:t>–10,746.7</w:t>
            </w:r>
          </w:p>
        </w:tc>
        <w:tc>
          <w:tcPr>
            <w:tcW w:w="1968" w:type="dxa"/>
            <w:tcBorders>
              <w:top w:val="nil"/>
              <w:left w:val="nil"/>
              <w:bottom w:val="single" w:sz="8" w:space="0" w:color="365F91"/>
              <w:right w:val="nil"/>
            </w:tcBorders>
            <w:shd w:val="clear" w:color="auto" w:fill="auto"/>
          </w:tcPr>
          <w:p w14:paraId="1856FCEA" w14:textId="77777777" w:rsidR="00A10636" w:rsidRPr="00D9348B" w:rsidRDefault="00A10636" w:rsidP="00DB330E">
            <w:pPr>
              <w:pStyle w:val="TableText"/>
              <w:jc w:val="right"/>
              <w:rPr>
                <w:rFonts w:cs="Calibri"/>
                <w:szCs w:val="16"/>
              </w:rPr>
            </w:pPr>
            <w:r w:rsidRPr="00D9348B">
              <w:rPr>
                <w:rFonts w:cs="Calibri"/>
                <w:szCs w:val="16"/>
              </w:rPr>
              <w:t>–8,673.8</w:t>
            </w:r>
          </w:p>
        </w:tc>
        <w:tc>
          <w:tcPr>
            <w:tcW w:w="1357" w:type="dxa"/>
            <w:tcBorders>
              <w:top w:val="nil"/>
              <w:left w:val="nil"/>
              <w:bottom w:val="single" w:sz="8" w:space="0" w:color="365F91"/>
              <w:right w:val="nil"/>
            </w:tcBorders>
            <w:shd w:val="clear" w:color="auto" w:fill="auto"/>
          </w:tcPr>
          <w:p w14:paraId="5C315893" w14:textId="77777777" w:rsidR="00A10636" w:rsidRPr="00D9348B" w:rsidRDefault="00A10636" w:rsidP="00DB330E">
            <w:pPr>
              <w:pStyle w:val="TableText"/>
              <w:jc w:val="right"/>
              <w:rPr>
                <w:rFonts w:cs="Calibri"/>
                <w:szCs w:val="16"/>
              </w:rPr>
            </w:pPr>
            <w:r w:rsidRPr="00D9348B">
              <w:rPr>
                <w:rFonts w:cs="Calibri"/>
                <w:szCs w:val="16"/>
              </w:rPr>
              <w:t xml:space="preserve">–418.4 </w:t>
            </w:r>
          </w:p>
        </w:tc>
      </w:tr>
      <w:tr w:rsidR="00A10636" w:rsidRPr="00D9348B" w14:paraId="6D12B683" w14:textId="77777777" w:rsidTr="00F61E94">
        <w:tc>
          <w:tcPr>
            <w:tcW w:w="2596" w:type="dxa"/>
            <w:tcBorders>
              <w:top w:val="nil"/>
              <w:left w:val="nil"/>
              <w:bottom w:val="single" w:sz="8" w:space="0" w:color="365F91"/>
              <w:right w:val="nil"/>
            </w:tcBorders>
            <w:shd w:val="clear" w:color="auto" w:fill="auto"/>
            <w:vAlign w:val="center"/>
            <w:hideMark/>
          </w:tcPr>
          <w:p w14:paraId="1F30F66D" w14:textId="77777777" w:rsidR="00A10636" w:rsidRPr="00D9348B" w:rsidRDefault="00A10636" w:rsidP="00DB330E">
            <w:pPr>
              <w:pStyle w:val="Tableboldblue"/>
              <w:jc w:val="right"/>
            </w:pPr>
            <w:r w:rsidRPr="00D9348B">
              <w:t>Total LULUCF</w:t>
            </w:r>
          </w:p>
        </w:tc>
        <w:tc>
          <w:tcPr>
            <w:tcW w:w="1292" w:type="dxa"/>
            <w:tcBorders>
              <w:top w:val="nil"/>
              <w:left w:val="nil"/>
              <w:bottom w:val="single" w:sz="8" w:space="0" w:color="365F91"/>
              <w:right w:val="nil"/>
            </w:tcBorders>
            <w:shd w:val="clear" w:color="auto" w:fill="auto"/>
          </w:tcPr>
          <w:p w14:paraId="346A83FF" w14:textId="77777777" w:rsidR="00A10636" w:rsidRPr="00D9348B" w:rsidRDefault="00A10636" w:rsidP="00DB330E">
            <w:pPr>
              <w:pStyle w:val="Tableboldblue"/>
              <w:jc w:val="right"/>
            </w:pPr>
            <w:r w:rsidRPr="00D9348B">
              <w:t>–28,297.0</w:t>
            </w:r>
          </w:p>
        </w:tc>
        <w:tc>
          <w:tcPr>
            <w:tcW w:w="1292" w:type="dxa"/>
            <w:tcBorders>
              <w:top w:val="nil"/>
              <w:left w:val="nil"/>
              <w:bottom w:val="single" w:sz="8" w:space="0" w:color="365F91"/>
              <w:right w:val="nil"/>
            </w:tcBorders>
            <w:shd w:val="clear" w:color="auto" w:fill="auto"/>
          </w:tcPr>
          <w:p w14:paraId="7556A3A7" w14:textId="77777777" w:rsidR="00A10636" w:rsidRPr="00D9348B" w:rsidRDefault="00A10636" w:rsidP="00DB330E">
            <w:pPr>
              <w:pStyle w:val="Tableboldblue"/>
              <w:jc w:val="right"/>
            </w:pPr>
            <w:r w:rsidRPr="00D9348B">
              <w:t>–23,394.1</w:t>
            </w:r>
          </w:p>
        </w:tc>
        <w:tc>
          <w:tcPr>
            <w:tcW w:w="1968" w:type="dxa"/>
            <w:tcBorders>
              <w:top w:val="nil"/>
              <w:left w:val="nil"/>
              <w:bottom w:val="single" w:sz="8" w:space="0" w:color="365F91"/>
              <w:right w:val="nil"/>
            </w:tcBorders>
            <w:shd w:val="clear" w:color="auto" w:fill="auto"/>
          </w:tcPr>
          <w:p w14:paraId="17D12B97" w14:textId="77777777" w:rsidR="00A10636" w:rsidRPr="00D9348B" w:rsidRDefault="00A10636" w:rsidP="00DB330E">
            <w:pPr>
              <w:pStyle w:val="Tableboldblue"/>
              <w:jc w:val="right"/>
            </w:pPr>
            <w:r w:rsidRPr="00D9348B">
              <w:t>4,903.0</w:t>
            </w:r>
          </w:p>
        </w:tc>
        <w:tc>
          <w:tcPr>
            <w:tcW w:w="1357" w:type="dxa"/>
            <w:tcBorders>
              <w:top w:val="nil"/>
              <w:left w:val="nil"/>
              <w:bottom w:val="single" w:sz="8" w:space="0" w:color="365F91"/>
              <w:right w:val="nil"/>
            </w:tcBorders>
            <w:shd w:val="clear" w:color="auto" w:fill="auto"/>
          </w:tcPr>
          <w:p w14:paraId="4E820550" w14:textId="77777777" w:rsidR="00A10636" w:rsidRPr="00D9348B" w:rsidRDefault="00A10636" w:rsidP="00DB330E">
            <w:pPr>
              <w:pStyle w:val="Tableboldblue"/>
              <w:jc w:val="right"/>
            </w:pPr>
            <w:r w:rsidRPr="00D9348B">
              <w:t xml:space="preserve"> 17.3 </w:t>
            </w:r>
          </w:p>
        </w:tc>
      </w:tr>
    </w:tbl>
    <w:p w14:paraId="01F0A160" w14:textId="77777777" w:rsidR="00A10636" w:rsidRPr="00D9348B" w:rsidRDefault="00A10636" w:rsidP="00A10636">
      <w:pPr>
        <w:pStyle w:val="Noteundertable"/>
      </w:pPr>
      <w:r w:rsidRPr="00D9348B">
        <w:rPr>
          <w:b/>
        </w:rPr>
        <w:t>Note:</w:t>
      </w:r>
      <w:r w:rsidRPr="00D9348B">
        <w:tab/>
        <w:t>Net removals are expressed as a negative value in the table to help the reader in clarifying that the value is a removal (of CO</w:t>
      </w:r>
      <w:r w:rsidRPr="00D9348B">
        <w:rPr>
          <w:vertAlign w:val="subscript"/>
        </w:rPr>
        <w:t>2</w:t>
      </w:r>
      <w:r w:rsidRPr="00D9348B">
        <w:t>-e from the atmosphere) and not an emission. Columns may not total due to rounding. Percentages presented are calculated from unrounded values.</w:t>
      </w:r>
    </w:p>
    <w:p w14:paraId="076B9501" w14:textId="77777777" w:rsidR="00A10636" w:rsidRPr="00D9348B" w:rsidRDefault="00A10636" w:rsidP="00A10636">
      <w:pPr>
        <w:pStyle w:val="BodyText"/>
        <w:keepLines/>
      </w:pPr>
      <w:r w:rsidRPr="00D9348B">
        <w:lastRenderedPageBreak/>
        <w:t>Emissions in the LULUCF sector are primarily caused by the harvest of production forests, deforestation, and the decomposition of organic material following these activities. Removals are primarily from the sequestration of carbon that occurs due to plant growth and increases in the size of the harvested wood products pool. Nitrous oxide can be emitted from the ecosystem as a by-product of nitrification and de</w:t>
      </w:r>
      <w:r w:rsidRPr="00D9348B">
        <w:noBreakHyphen/>
        <w:t>nitrification, and the burning of organic matter. Other gases released during biomass burning include CH</w:t>
      </w:r>
      <w:r w:rsidRPr="00D9348B">
        <w:rPr>
          <w:vertAlign w:val="subscript"/>
        </w:rPr>
        <w:t>4</w:t>
      </w:r>
      <w:r w:rsidRPr="00D9348B">
        <w:t>, carbon monoxide (CO), other oxides of nitrogen (NO</w:t>
      </w:r>
      <w:r w:rsidRPr="00D9348B">
        <w:rPr>
          <w:vertAlign w:val="subscript"/>
        </w:rPr>
        <w:t>x</w:t>
      </w:r>
      <w:r w:rsidRPr="00D9348B">
        <w:t xml:space="preserve">) and non-methane volatile organic compounds (NMVOCs). </w:t>
      </w:r>
    </w:p>
    <w:p w14:paraId="453FF286" w14:textId="77777777" w:rsidR="00A10636" w:rsidRPr="00D9348B" w:rsidRDefault="00A10636" w:rsidP="00A10636">
      <w:pPr>
        <w:pStyle w:val="Heading5"/>
      </w:pPr>
      <w:r w:rsidRPr="00D9348B">
        <w:t>2017–2018</w:t>
      </w:r>
    </w:p>
    <w:p w14:paraId="4147E120" w14:textId="405472AB" w:rsidR="00A10636" w:rsidRPr="00D9348B" w:rsidRDefault="00A10636" w:rsidP="00A10636">
      <w:pPr>
        <w:pStyle w:val="BodyText"/>
      </w:pPr>
      <w:r w:rsidRPr="00D9348B">
        <w:rPr>
          <w:spacing w:val="-2"/>
        </w:rPr>
        <w:t>Net emissions from the LULUCF sector decreased between 2017 and 2018 (by 684.0 kt CO</w:t>
      </w:r>
      <w:r w:rsidRPr="00D9348B">
        <w:rPr>
          <w:spacing w:val="-2"/>
          <w:vertAlign w:val="subscript"/>
        </w:rPr>
        <w:t>2</w:t>
      </w:r>
      <w:r w:rsidRPr="00D9348B">
        <w:rPr>
          <w:spacing w:val="-2"/>
        </w:rPr>
        <w:t>-e;</w:t>
      </w:r>
      <w:r w:rsidRPr="00D9348B">
        <w:t xml:space="preserve"> </w:t>
      </w:r>
      <w:r w:rsidRPr="00D9348B">
        <w:br/>
        <w:t xml:space="preserve">3.0 per cent). </w:t>
      </w:r>
    </w:p>
    <w:p w14:paraId="7D946D1A" w14:textId="77777777" w:rsidR="00A10636" w:rsidRPr="00D9348B" w:rsidRDefault="00A10636" w:rsidP="00A10636">
      <w:pPr>
        <w:pStyle w:val="BodyText"/>
      </w:pPr>
      <w:r w:rsidRPr="00D9348B">
        <w:t xml:space="preserve">The largest change in emissions in the LULUCF sector occurred in the </w:t>
      </w:r>
      <w:r w:rsidRPr="00D9348B">
        <w:rPr>
          <w:i/>
        </w:rPr>
        <w:t>Harvested wood products </w:t>
      </w:r>
      <w:r w:rsidRPr="00D9348B">
        <w:t>category, with a decrease in emissions of 2,366.8 kt (CO</w:t>
      </w:r>
      <w:r w:rsidRPr="00D9348B">
        <w:rPr>
          <w:vertAlign w:val="subscript"/>
        </w:rPr>
        <w:t>2</w:t>
      </w:r>
      <w:r w:rsidRPr="00D9348B">
        <w:t xml:space="preserve">-e) due to an increase in the production of harvested wood products. The increase in the production of harvested wood products was driven by an increase in the rate of harvesting of planted forests between 2017 and 2018. This increase in harvesting contributed to an increase in emissions from </w:t>
      </w:r>
      <w:r w:rsidRPr="00D9348B">
        <w:rPr>
          <w:i/>
        </w:rPr>
        <w:t>Forest land</w:t>
      </w:r>
      <w:r w:rsidRPr="00D9348B">
        <w:t xml:space="preserve"> by 2,150.9 kt </w:t>
      </w:r>
      <w:r w:rsidRPr="00D9348B">
        <w:rPr>
          <w:spacing w:val="-2"/>
        </w:rPr>
        <w:t>CO</w:t>
      </w:r>
      <w:r w:rsidRPr="00D9348B">
        <w:rPr>
          <w:spacing w:val="-2"/>
          <w:vertAlign w:val="subscript"/>
        </w:rPr>
        <w:t>2</w:t>
      </w:r>
      <w:r w:rsidRPr="00D9348B">
        <w:rPr>
          <w:spacing w:val="-2"/>
        </w:rPr>
        <w:t>-e over this period, the second-largest change in emissions for the LULUCF sector.</w:t>
      </w:r>
    </w:p>
    <w:p w14:paraId="422A6E8A" w14:textId="77777777" w:rsidR="00A10636" w:rsidRPr="00D9348B" w:rsidRDefault="00A10636" w:rsidP="00A10636">
      <w:pPr>
        <w:pStyle w:val="BodyText"/>
      </w:pPr>
      <w:r w:rsidRPr="00D9348B">
        <w:t xml:space="preserve">New Zealand has adopted the six broad categories of land use as described in the </w:t>
      </w:r>
      <w:r w:rsidRPr="00D9348B">
        <w:rPr>
          <w:i/>
        </w:rPr>
        <w:t>IPCC Guidelines for National Greenhouse Gas Inventories, Volume 4,</w:t>
      </w:r>
      <w:r w:rsidRPr="00D9348B">
        <w:t xml:space="preserve"> </w:t>
      </w:r>
      <w:r w:rsidRPr="00D9348B">
        <w:rPr>
          <w:i/>
        </w:rPr>
        <w:t>Agriculture, Forestry and Other Land Use</w:t>
      </w:r>
      <w:r w:rsidRPr="00D9348B">
        <w:t xml:space="preserve"> (2006 IPCC Guidelines) (IPCC, 2006a), and also reports for the </w:t>
      </w:r>
      <w:r w:rsidRPr="00D9348B">
        <w:rPr>
          <w:i/>
        </w:rPr>
        <w:t xml:space="preserve">Harvested wood products </w:t>
      </w:r>
      <w:r w:rsidRPr="00D9348B">
        <w:t>category.</w:t>
      </w:r>
    </w:p>
    <w:p w14:paraId="70DF73C7" w14:textId="739C6FFC" w:rsidR="00A10636" w:rsidRPr="00D9348B" w:rsidRDefault="00A10636" w:rsidP="00A10636">
      <w:pPr>
        <w:pStyle w:val="BodyText"/>
      </w:pPr>
      <w:r w:rsidRPr="00D9348B">
        <w:t xml:space="preserve">The </w:t>
      </w:r>
      <w:r w:rsidR="00766DDA">
        <w:t>land-use</w:t>
      </w:r>
      <w:r w:rsidRPr="00D9348B">
        <w:t xml:space="preserve"> categories </w:t>
      </w:r>
      <w:r w:rsidRPr="00D9348B">
        <w:rPr>
          <w:i/>
        </w:rPr>
        <w:t>Forest land remaining forest land</w:t>
      </w:r>
      <w:r w:rsidRPr="00D9348B">
        <w:t xml:space="preserve">, </w:t>
      </w:r>
      <w:r w:rsidRPr="00D9348B">
        <w:rPr>
          <w:i/>
        </w:rPr>
        <w:t>Land converted to forest land</w:t>
      </w:r>
      <w:r w:rsidRPr="00D9348B">
        <w:t xml:space="preserve">, </w:t>
      </w:r>
      <w:r w:rsidRPr="00D9348B">
        <w:rPr>
          <w:i/>
        </w:rPr>
        <w:t>Cropland remaining cropland</w:t>
      </w:r>
      <w:r w:rsidRPr="00D9348B">
        <w:t xml:space="preserve">, </w:t>
      </w:r>
      <w:r w:rsidRPr="00D9348B">
        <w:rPr>
          <w:i/>
        </w:rPr>
        <w:t>Grassland remaining grassland</w:t>
      </w:r>
      <w:r w:rsidRPr="00D9348B">
        <w:t xml:space="preserve">, </w:t>
      </w:r>
      <w:r w:rsidRPr="00D9348B">
        <w:rPr>
          <w:i/>
        </w:rPr>
        <w:t>Land converted to grassland</w:t>
      </w:r>
      <w:r w:rsidRPr="00D9348B">
        <w:t xml:space="preserve"> and</w:t>
      </w:r>
      <w:r w:rsidR="00F61E94" w:rsidRPr="00D9348B">
        <w:t> </w:t>
      </w:r>
      <w:r w:rsidRPr="00D9348B">
        <w:rPr>
          <w:i/>
        </w:rPr>
        <w:t>Harvested wood products</w:t>
      </w:r>
      <w:r w:rsidRPr="00D9348B">
        <w:t xml:space="preserve"> are key categories for New Zealand in 2018.</w:t>
      </w:r>
    </w:p>
    <w:p w14:paraId="47699CB8" w14:textId="77777777" w:rsidR="00A10636" w:rsidRPr="00D9348B" w:rsidRDefault="00A10636" w:rsidP="00A10636">
      <w:pPr>
        <w:pStyle w:val="Figure"/>
      </w:pPr>
      <w:bookmarkStart w:id="1146" w:name="_Toc405448081"/>
      <w:bookmarkStart w:id="1147" w:name="_Toc414531613"/>
      <w:bookmarkStart w:id="1148" w:name="_Toc474914636"/>
      <w:bookmarkStart w:id="1149" w:name="_Toc481752018"/>
      <w:bookmarkStart w:id="1150" w:name="_Toc522010696"/>
      <w:bookmarkStart w:id="1151" w:name="_Toc5269699"/>
      <w:bookmarkStart w:id="1152" w:name="_Toc33529470"/>
      <w:bookmarkStart w:id="1153" w:name="_Toc36292800"/>
      <w:r w:rsidRPr="00D9348B">
        <w:t>Figure 6.1.1</w:t>
      </w:r>
      <w:r w:rsidRPr="00D9348B">
        <w:tab/>
        <w:t>New Zealand’s annual emissions from the LULUCF sector from 1990 to </w:t>
      </w:r>
      <w:bookmarkEnd w:id="1146"/>
      <w:bookmarkEnd w:id="1147"/>
      <w:bookmarkEnd w:id="1148"/>
      <w:bookmarkEnd w:id="1149"/>
      <w:bookmarkEnd w:id="1150"/>
      <w:r w:rsidRPr="00D9348B">
        <w:t>201</w:t>
      </w:r>
      <w:bookmarkEnd w:id="1151"/>
      <w:r w:rsidRPr="00D9348B">
        <w:t>8</w:t>
      </w:r>
      <w:bookmarkEnd w:id="1152"/>
      <w:bookmarkEnd w:id="1153"/>
    </w:p>
    <w:p w14:paraId="39AE0966" w14:textId="7ADB260F" w:rsidR="00A10636" w:rsidRPr="00D9348B" w:rsidRDefault="007165CF" w:rsidP="00A10636">
      <w:pPr>
        <w:spacing w:after="120"/>
      </w:pPr>
      <w:bookmarkStart w:id="1154" w:name="_Toc405448082"/>
      <w:bookmarkStart w:id="1155" w:name="_Toc414531614"/>
      <w:r>
        <w:pict w14:anchorId="4DFCEB49">
          <v:shape id="_x0000_i1120" type="#_x0000_t75" style="width:426.35pt;height:262.35pt;visibility:visible;mso-wrap-style:square">
            <v:imagedata r:id="rId201" o:title=""/>
          </v:shape>
        </w:pict>
      </w:r>
      <w:r w:rsidR="00A10636" w:rsidRPr="00D9348B">
        <w:fldChar w:fldCharType="begin"/>
      </w:r>
      <w:r w:rsidR="00A10636" w:rsidRPr="00D9348B">
        <w:fldChar w:fldCharType="end"/>
      </w:r>
    </w:p>
    <w:p w14:paraId="64AB5DA0" w14:textId="77777777" w:rsidR="00A10636" w:rsidRPr="00D9348B" w:rsidRDefault="00A10636" w:rsidP="00F61E94">
      <w:pPr>
        <w:pStyle w:val="Figure"/>
      </w:pPr>
      <w:bookmarkStart w:id="1156" w:name="_Toc474914637"/>
      <w:bookmarkStart w:id="1157" w:name="_Toc481752019"/>
      <w:bookmarkStart w:id="1158" w:name="_Toc522010697"/>
      <w:bookmarkStart w:id="1159" w:name="_Toc5269700"/>
      <w:bookmarkStart w:id="1160" w:name="_Toc33529471"/>
      <w:bookmarkStart w:id="1161" w:name="_Toc36292801"/>
      <w:r w:rsidRPr="00D9348B">
        <w:lastRenderedPageBreak/>
        <w:t>Figure 6.1.2</w:t>
      </w:r>
      <w:r w:rsidRPr="00D9348B">
        <w:tab/>
        <w:t>Change in New Zealand’s emissions from the LULUCF sector from 1990 to </w:t>
      </w:r>
      <w:bookmarkEnd w:id="1154"/>
      <w:bookmarkEnd w:id="1155"/>
      <w:bookmarkEnd w:id="1156"/>
      <w:bookmarkEnd w:id="1157"/>
      <w:bookmarkEnd w:id="1158"/>
      <w:r w:rsidRPr="00D9348B">
        <w:t>2018</w:t>
      </w:r>
      <w:bookmarkEnd w:id="1159"/>
      <w:bookmarkEnd w:id="1160"/>
      <w:bookmarkEnd w:id="1161"/>
      <w:r w:rsidRPr="00D9348B">
        <w:t xml:space="preserve"> </w:t>
      </w:r>
    </w:p>
    <w:p w14:paraId="1D33BF95" w14:textId="08F71E36" w:rsidR="00A10636" w:rsidRPr="00D9348B" w:rsidRDefault="007165CF" w:rsidP="00A10636">
      <w:pPr>
        <w:pStyle w:val="BodyText"/>
        <w:spacing w:before="0" w:after="0"/>
      </w:pPr>
      <w:r>
        <w:pict w14:anchorId="7763B2A9">
          <v:shape id="_x0000_i1121" type="#_x0000_t75" style="width:423.25pt;height:246.05pt;visibility:visible;mso-wrap-style:square">
            <v:imagedata r:id="rId202" o:title="" croptop="2645f"/>
          </v:shape>
        </w:pict>
      </w:r>
    </w:p>
    <w:p w14:paraId="654985A7" w14:textId="77777777" w:rsidR="00A10636" w:rsidRPr="00D9348B" w:rsidRDefault="00A10636" w:rsidP="00A10636">
      <w:pPr>
        <w:pStyle w:val="Heading5"/>
      </w:pPr>
      <w:r w:rsidRPr="00D9348B">
        <w:t>Recalculations since the 2019 submission</w:t>
      </w:r>
    </w:p>
    <w:p w14:paraId="50993F4B" w14:textId="080E01F9" w:rsidR="00A10636" w:rsidRPr="00D9348B" w:rsidRDefault="00A10636" w:rsidP="00A10636">
      <w:pPr>
        <w:pStyle w:val="BodyText"/>
      </w:pPr>
      <w:r w:rsidRPr="00D9348B">
        <w:t xml:space="preserve">Since the 2019 submission, there have been recalculations to the LULUCF sector emissions. Further details on these recalculations are provided in section 6.1.4 as an overview, in each relevant </w:t>
      </w:r>
      <w:r w:rsidR="00766DDA">
        <w:t>land-use</w:t>
      </w:r>
      <w:r w:rsidRPr="00D9348B">
        <w:t xml:space="preserve"> category and in chapter 10.</w:t>
      </w:r>
    </w:p>
    <w:p w14:paraId="221E021B" w14:textId="77777777" w:rsidR="00A10636" w:rsidRPr="00D9348B" w:rsidRDefault="00A10636" w:rsidP="00A10636">
      <w:pPr>
        <w:pStyle w:val="Heading3"/>
      </w:pPr>
      <w:r w:rsidRPr="00D9348B">
        <w:t>6.1.1</w:t>
      </w:r>
      <w:r w:rsidRPr="00D9348B">
        <w:tab/>
      </w:r>
      <w:bookmarkStart w:id="1162" w:name="_Toc280630204"/>
      <w:r w:rsidRPr="00D9348B">
        <w:t>Land use, land-use change and forestry in New Zealand</w:t>
      </w:r>
      <w:bookmarkEnd w:id="1162"/>
    </w:p>
    <w:p w14:paraId="744381D3" w14:textId="77777777" w:rsidR="00A10636" w:rsidRPr="00D9348B" w:rsidRDefault="00A10636" w:rsidP="00A10636">
      <w:pPr>
        <w:pStyle w:val="BodyText"/>
      </w:pPr>
      <w:r w:rsidRPr="00D9348B">
        <w:t>New Zealand has a land area of approximately 270,000 square kilometres with extensive coastlines (approximately 19,800 kilometres). New Zealand has a temperate climate, highly influenced by the surrounding ocean. Around 60 per cent of the land is hilly or mountainous, with many lakes and fast-flowing rivers and streams.</w:t>
      </w:r>
    </w:p>
    <w:p w14:paraId="5CD86872" w14:textId="77777777" w:rsidR="00A10636" w:rsidRPr="00D9348B" w:rsidRDefault="00A10636" w:rsidP="00A10636">
      <w:pPr>
        <w:pStyle w:val="BodyText"/>
      </w:pPr>
      <w:r w:rsidRPr="00D9348B">
        <w:t>Since 1990, approximately 8.8 per cent of New Zealand’s total land area has undergone land</w:t>
      </w:r>
      <w:r w:rsidRPr="00D9348B">
        <w:noBreakHyphen/>
        <w:t xml:space="preserve">use change. </w:t>
      </w:r>
    </w:p>
    <w:p w14:paraId="752BD3B9" w14:textId="77777777" w:rsidR="00A10636" w:rsidRPr="00D9348B" w:rsidRDefault="00A10636" w:rsidP="00A10636">
      <w:pPr>
        <w:pStyle w:val="BodyText"/>
        <w:rPr>
          <w:spacing w:val="-2"/>
        </w:rPr>
      </w:pPr>
      <w:r w:rsidRPr="00D9348B">
        <w:rPr>
          <w:spacing w:val="-2"/>
        </w:rPr>
        <w:t>Before human settlement, natural forests were New Zealand’s predominant land cover, estimated at 85 per cent to 90 per cent of total land area (McGlone, 2009). In 2018, pre-1990 natural forest covers around 28.8 per cent of the total land area of New Zealand (see table 6.1.2). Nearly all lowland areas have been cleared of indigenous vegetation for agriculture, horticulture, plantation forestry and urban development. Much of the remaining indigenous vegetation, however, is now legally protected, whether in private ownership or on public conservation land.</w:t>
      </w:r>
    </w:p>
    <w:p w14:paraId="2D665925" w14:textId="77777777" w:rsidR="00A10636" w:rsidRPr="00D9348B" w:rsidRDefault="00A10636" w:rsidP="00A10636">
      <w:pPr>
        <w:pStyle w:val="Table"/>
      </w:pPr>
      <w:bookmarkStart w:id="1163" w:name="_Toc443645354"/>
      <w:bookmarkStart w:id="1164" w:name="_Toc474914573"/>
      <w:bookmarkStart w:id="1165" w:name="_Toc481751537"/>
      <w:bookmarkStart w:id="1166" w:name="_Toc522010594"/>
      <w:bookmarkStart w:id="1167" w:name="_Toc5269499"/>
      <w:bookmarkStart w:id="1168" w:name="_Toc33529375"/>
      <w:bookmarkStart w:id="1169" w:name="_Toc36224581"/>
      <w:r w:rsidRPr="00D9348B">
        <w:t xml:space="preserve">Table 6.1.2 </w:t>
      </w:r>
      <w:r w:rsidRPr="00D9348B">
        <w:tab/>
        <w:t>Land use in New Zealand in 201</w:t>
      </w:r>
      <w:bookmarkEnd w:id="1163"/>
      <w:bookmarkEnd w:id="1164"/>
      <w:bookmarkEnd w:id="1165"/>
      <w:bookmarkEnd w:id="1166"/>
      <w:r w:rsidRPr="00D9348B">
        <w:t>8</w:t>
      </w:r>
      <w:bookmarkEnd w:id="1167"/>
      <w:bookmarkEnd w:id="1168"/>
      <w:bookmarkEnd w:id="1169"/>
    </w:p>
    <w:tbl>
      <w:tblPr>
        <w:tblW w:w="8562" w:type="dxa"/>
        <w:tblInd w:w="108" w:type="dxa"/>
        <w:tblBorders>
          <w:top w:val="single" w:sz="4" w:space="0" w:color="365F91"/>
          <w:bottom w:val="single" w:sz="4" w:space="0" w:color="365F91"/>
          <w:insideH w:val="single" w:sz="4" w:space="0" w:color="365F91"/>
          <w:insideV w:val="single" w:sz="4" w:space="0" w:color="365F91"/>
        </w:tblBorders>
        <w:tblLook w:val="04A0" w:firstRow="1" w:lastRow="0" w:firstColumn="1" w:lastColumn="0" w:noHBand="0" w:noVBand="1"/>
      </w:tblPr>
      <w:tblGrid>
        <w:gridCol w:w="1843"/>
        <w:gridCol w:w="2268"/>
        <w:gridCol w:w="1985"/>
        <w:gridCol w:w="2466"/>
      </w:tblGrid>
      <w:tr w:rsidR="00A10636" w:rsidRPr="00D9348B" w14:paraId="62D0A706" w14:textId="77777777" w:rsidTr="00AD0275">
        <w:trPr>
          <w:tblHeader/>
        </w:trPr>
        <w:tc>
          <w:tcPr>
            <w:tcW w:w="1843" w:type="dxa"/>
            <w:shd w:val="clear" w:color="auto" w:fill="365F91"/>
          </w:tcPr>
          <w:p w14:paraId="4A769A83" w14:textId="77777777" w:rsidR="00A10636" w:rsidRPr="00D9348B" w:rsidRDefault="00A10636" w:rsidP="00DB330E">
            <w:pPr>
              <w:pStyle w:val="TableTextBold"/>
              <w:spacing w:before="50" w:after="50"/>
              <w:rPr>
                <w:noProof w:val="0"/>
                <w:color w:val="FFFFFF"/>
              </w:rPr>
            </w:pPr>
            <w:r w:rsidRPr="00D9348B">
              <w:rPr>
                <w:noProof w:val="0"/>
                <w:color w:val="FFFFFF"/>
              </w:rPr>
              <w:t xml:space="preserve">Category </w:t>
            </w:r>
          </w:p>
        </w:tc>
        <w:tc>
          <w:tcPr>
            <w:tcW w:w="2268" w:type="dxa"/>
            <w:shd w:val="clear" w:color="auto" w:fill="365F91"/>
          </w:tcPr>
          <w:p w14:paraId="431264AA" w14:textId="77777777" w:rsidR="00A10636" w:rsidRPr="00D9348B" w:rsidRDefault="00A10636" w:rsidP="00DB330E">
            <w:pPr>
              <w:pStyle w:val="TableTextBold"/>
              <w:spacing w:before="50" w:after="50"/>
              <w:rPr>
                <w:noProof w:val="0"/>
                <w:color w:val="FFFFFF"/>
              </w:rPr>
            </w:pPr>
            <w:r w:rsidRPr="00D9348B">
              <w:rPr>
                <w:noProof w:val="0"/>
                <w:color w:val="FFFFFF"/>
              </w:rPr>
              <w:t>Land use</w:t>
            </w:r>
          </w:p>
        </w:tc>
        <w:tc>
          <w:tcPr>
            <w:tcW w:w="1985" w:type="dxa"/>
            <w:shd w:val="clear" w:color="auto" w:fill="365F91"/>
          </w:tcPr>
          <w:p w14:paraId="33AC95C4" w14:textId="77777777" w:rsidR="00A10636" w:rsidRPr="00D9348B" w:rsidRDefault="00A10636" w:rsidP="00DB330E">
            <w:pPr>
              <w:pStyle w:val="TableTextBold"/>
              <w:spacing w:before="50" w:after="50"/>
              <w:jc w:val="right"/>
              <w:rPr>
                <w:noProof w:val="0"/>
                <w:color w:val="FFFFFF"/>
              </w:rPr>
            </w:pPr>
            <w:r w:rsidRPr="00D9348B">
              <w:rPr>
                <w:noProof w:val="0"/>
                <w:color w:val="FFFFFF"/>
              </w:rPr>
              <w:t>Area (kha)</w:t>
            </w:r>
          </w:p>
        </w:tc>
        <w:tc>
          <w:tcPr>
            <w:tcW w:w="2466" w:type="dxa"/>
            <w:shd w:val="clear" w:color="auto" w:fill="365F91"/>
          </w:tcPr>
          <w:p w14:paraId="7EFA4908" w14:textId="77777777" w:rsidR="00A10636" w:rsidRPr="00D9348B" w:rsidRDefault="00A10636" w:rsidP="00DB330E">
            <w:pPr>
              <w:pStyle w:val="TableTextBold"/>
              <w:spacing w:before="50" w:after="50"/>
              <w:jc w:val="right"/>
              <w:rPr>
                <w:noProof w:val="0"/>
                <w:color w:val="FFFFFF"/>
              </w:rPr>
            </w:pPr>
            <w:r w:rsidRPr="00D9348B">
              <w:rPr>
                <w:noProof w:val="0"/>
                <w:color w:val="FFFFFF"/>
              </w:rPr>
              <w:t>Proportion of total area (%)</w:t>
            </w:r>
          </w:p>
        </w:tc>
      </w:tr>
      <w:tr w:rsidR="00A10636" w:rsidRPr="00D9348B" w14:paraId="46ED0B69" w14:textId="77777777" w:rsidTr="00AD0275">
        <w:tc>
          <w:tcPr>
            <w:tcW w:w="1843" w:type="dxa"/>
          </w:tcPr>
          <w:p w14:paraId="79A47967" w14:textId="77777777" w:rsidR="00A10636" w:rsidRPr="00D9348B" w:rsidRDefault="00A10636" w:rsidP="00DB330E">
            <w:pPr>
              <w:pStyle w:val="TableText"/>
              <w:spacing w:before="50" w:after="50"/>
              <w:rPr>
                <w:rFonts w:cs="Arial"/>
                <w:szCs w:val="16"/>
              </w:rPr>
            </w:pPr>
            <w:r w:rsidRPr="00D9348B">
              <w:rPr>
                <w:rFonts w:cs="Arial"/>
                <w:szCs w:val="16"/>
              </w:rPr>
              <w:t>Forest land</w:t>
            </w:r>
          </w:p>
        </w:tc>
        <w:tc>
          <w:tcPr>
            <w:tcW w:w="2268" w:type="dxa"/>
          </w:tcPr>
          <w:p w14:paraId="35D257A9" w14:textId="77777777" w:rsidR="00A10636" w:rsidRPr="00D9348B" w:rsidRDefault="00A10636" w:rsidP="00DB330E">
            <w:pPr>
              <w:pStyle w:val="TableText"/>
              <w:spacing w:before="50" w:after="50"/>
              <w:rPr>
                <w:rFonts w:cs="Arial"/>
                <w:szCs w:val="16"/>
              </w:rPr>
            </w:pPr>
            <w:r w:rsidRPr="00D9348B">
              <w:rPr>
                <w:rFonts w:cs="Arial"/>
                <w:szCs w:val="16"/>
              </w:rPr>
              <w:t>Pre-1990 natural forest</w:t>
            </w:r>
          </w:p>
        </w:tc>
        <w:tc>
          <w:tcPr>
            <w:tcW w:w="1985" w:type="dxa"/>
          </w:tcPr>
          <w:p w14:paraId="6179AFF4" w14:textId="77777777" w:rsidR="00A10636" w:rsidRPr="00D9348B" w:rsidRDefault="00A10636" w:rsidP="00DB330E">
            <w:pPr>
              <w:pStyle w:val="TableText"/>
              <w:spacing w:before="50" w:after="50"/>
              <w:jc w:val="right"/>
              <w:rPr>
                <w:rFonts w:cs="Arial"/>
                <w:szCs w:val="16"/>
              </w:rPr>
            </w:pPr>
            <w:r w:rsidRPr="00D9348B">
              <w:t>7,756.584</w:t>
            </w:r>
          </w:p>
        </w:tc>
        <w:tc>
          <w:tcPr>
            <w:tcW w:w="2466" w:type="dxa"/>
          </w:tcPr>
          <w:p w14:paraId="14602160" w14:textId="77777777" w:rsidR="00A10636" w:rsidRPr="00D9348B" w:rsidRDefault="00A10636" w:rsidP="00DB330E">
            <w:pPr>
              <w:pStyle w:val="TableText"/>
              <w:spacing w:before="50" w:after="50"/>
              <w:jc w:val="right"/>
              <w:rPr>
                <w:rFonts w:cs="Arial"/>
                <w:szCs w:val="16"/>
              </w:rPr>
            </w:pPr>
            <w:r w:rsidRPr="00D9348B">
              <w:t>28.8</w:t>
            </w:r>
          </w:p>
        </w:tc>
      </w:tr>
      <w:tr w:rsidR="00A10636" w:rsidRPr="00D9348B" w14:paraId="27E1433E" w14:textId="77777777" w:rsidTr="00AD0275">
        <w:tc>
          <w:tcPr>
            <w:tcW w:w="1843" w:type="dxa"/>
          </w:tcPr>
          <w:p w14:paraId="0EDB8314" w14:textId="77777777" w:rsidR="00A10636" w:rsidRPr="00D9348B" w:rsidRDefault="00A10636" w:rsidP="00DB330E">
            <w:pPr>
              <w:pStyle w:val="TableText"/>
              <w:spacing w:before="50" w:after="50"/>
              <w:rPr>
                <w:rFonts w:cs="Arial"/>
                <w:szCs w:val="16"/>
              </w:rPr>
            </w:pPr>
          </w:p>
        </w:tc>
        <w:tc>
          <w:tcPr>
            <w:tcW w:w="2268" w:type="dxa"/>
          </w:tcPr>
          <w:p w14:paraId="16405821" w14:textId="77777777" w:rsidR="00A10636" w:rsidRPr="00D9348B" w:rsidRDefault="00A10636" w:rsidP="00DB330E">
            <w:pPr>
              <w:pStyle w:val="TableText"/>
              <w:spacing w:before="50" w:after="50"/>
              <w:rPr>
                <w:rFonts w:cs="Arial"/>
                <w:szCs w:val="16"/>
              </w:rPr>
            </w:pPr>
            <w:r w:rsidRPr="00D9348B">
              <w:rPr>
                <w:rFonts w:cs="Arial"/>
                <w:szCs w:val="16"/>
              </w:rPr>
              <w:t>Pre-1990 planted forest</w:t>
            </w:r>
          </w:p>
        </w:tc>
        <w:tc>
          <w:tcPr>
            <w:tcW w:w="1985" w:type="dxa"/>
          </w:tcPr>
          <w:p w14:paraId="3D81B6DD" w14:textId="77777777" w:rsidR="00A10636" w:rsidRPr="00D9348B" w:rsidRDefault="00A10636" w:rsidP="00DB330E">
            <w:pPr>
              <w:pStyle w:val="TableText"/>
              <w:spacing w:before="50" w:after="50"/>
              <w:jc w:val="right"/>
              <w:rPr>
                <w:rFonts w:cs="Arial"/>
                <w:szCs w:val="16"/>
              </w:rPr>
            </w:pPr>
            <w:r w:rsidRPr="00D9348B">
              <w:t>1,445.989</w:t>
            </w:r>
          </w:p>
        </w:tc>
        <w:tc>
          <w:tcPr>
            <w:tcW w:w="2466" w:type="dxa"/>
          </w:tcPr>
          <w:p w14:paraId="34512410" w14:textId="77777777" w:rsidR="00A10636" w:rsidRPr="00D9348B" w:rsidRDefault="00A10636" w:rsidP="00DB330E">
            <w:pPr>
              <w:pStyle w:val="TableText"/>
              <w:spacing w:before="50" w:after="50"/>
              <w:jc w:val="right"/>
              <w:rPr>
                <w:rFonts w:cs="Arial"/>
                <w:szCs w:val="16"/>
              </w:rPr>
            </w:pPr>
            <w:r w:rsidRPr="00D9348B">
              <w:t>5.4</w:t>
            </w:r>
          </w:p>
        </w:tc>
      </w:tr>
      <w:tr w:rsidR="00A10636" w:rsidRPr="00D9348B" w14:paraId="156BCE1A" w14:textId="77777777" w:rsidTr="00AD0275">
        <w:tc>
          <w:tcPr>
            <w:tcW w:w="1843" w:type="dxa"/>
          </w:tcPr>
          <w:p w14:paraId="07DD7BAA" w14:textId="77777777" w:rsidR="00A10636" w:rsidRPr="00D9348B" w:rsidRDefault="00A10636" w:rsidP="00DB330E">
            <w:pPr>
              <w:pStyle w:val="TableText"/>
              <w:spacing w:before="50" w:after="50"/>
              <w:rPr>
                <w:rFonts w:cs="Arial"/>
                <w:szCs w:val="16"/>
              </w:rPr>
            </w:pPr>
          </w:p>
        </w:tc>
        <w:tc>
          <w:tcPr>
            <w:tcW w:w="2268" w:type="dxa"/>
          </w:tcPr>
          <w:p w14:paraId="56DDEFF0" w14:textId="77777777" w:rsidR="00A10636" w:rsidRPr="00D9348B" w:rsidRDefault="00A10636" w:rsidP="00DB330E">
            <w:pPr>
              <w:pStyle w:val="TableText"/>
              <w:spacing w:before="50" w:after="50"/>
              <w:rPr>
                <w:rFonts w:cs="Arial"/>
                <w:szCs w:val="16"/>
              </w:rPr>
            </w:pPr>
            <w:r w:rsidRPr="00D9348B">
              <w:rPr>
                <w:rFonts w:cs="Arial"/>
                <w:szCs w:val="16"/>
              </w:rPr>
              <w:t>Post-1989 forest</w:t>
            </w:r>
          </w:p>
        </w:tc>
        <w:tc>
          <w:tcPr>
            <w:tcW w:w="1985" w:type="dxa"/>
          </w:tcPr>
          <w:p w14:paraId="1B4AB975" w14:textId="77777777" w:rsidR="00A10636" w:rsidRPr="00D9348B" w:rsidRDefault="00A10636" w:rsidP="00DB330E">
            <w:pPr>
              <w:pStyle w:val="TableText"/>
              <w:spacing w:before="50" w:after="50"/>
              <w:jc w:val="right"/>
              <w:rPr>
                <w:rFonts w:cs="Arial"/>
                <w:szCs w:val="16"/>
              </w:rPr>
            </w:pPr>
            <w:r w:rsidRPr="00D9348B">
              <w:t>702.590</w:t>
            </w:r>
          </w:p>
        </w:tc>
        <w:tc>
          <w:tcPr>
            <w:tcW w:w="2466" w:type="dxa"/>
          </w:tcPr>
          <w:p w14:paraId="1CB98D3B" w14:textId="77777777" w:rsidR="00A10636" w:rsidRPr="00D9348B" w:rsidRDefault="00A10636" w:rsidP="00DB330E">
            <w:pPr>
              <w:pStyle w:val="TableText"/>
              <w:spacing w:before="50" w:after="50"/>
              <w:jc w:val="right"/>
              <w:rPr>
                <w:rFonts w:cs="Arial"/>
                <w:szCs w:val="16"/>
              </w:rPr>
            </w:pPr>
            <w:r w:rsidRPr="00D9348B">
              <w:t>2.6</w:t>
            </w:r>
          </w:p>
        </w:tc>
      </w:tr>
      <w:tr w:rsidR="00A10636" w:rsidRPr="00D9348B" w14:paraId="1DB0FAFD" w14:textId="77777777" w:rsidTr="00AD0275">
        <w:tc>
          <w:tcPr>
            <w:tcW w:w="1843" w:type="dxa"/>
          </w:tcPr>
          <w:p w14:paraId="63CE81BA" w14:textId="77777777" w:rsidR="00A10636" w:rsidRPr="00D9348B" w:rsidRDefault="00A10636" w:rsidP="00DB330E">
            <w:pPr>
              <w:pStyle w:val="TableText"/>
              <w:spacing w:before="50" w:after="50"/>
              <w:rPr>
                <w:rFonts w:cs="Arial"/>
                <w:szCs w:val="16"/>
              </w:rPr>
            </w:pPr>
          </w:p>
        </w:tc>
        <w:tc>
          <w:tcPr>
            <w:tcW w:w="2268" w:type="dxa"/>
          </w:tcPr>
          <w:p w14:paraId="0453A4F3" w14:textId="77777777" w:rsidR="00A10636" w:rsidRPr="00D9348B" w:rsidRDefault="00A10636" w:rsidP="00DB330E">
            <w:pPr>
              <w:pStyle w:val="TableText"/>
              <w:spacing w:before="50" w:after="50"/>
              <w:rPr>
                <w:rFonts w:cs="Arial"/>
                <w:i/>
                <w:szCs w:val="16"/>
              </w:rPr>
            </w:pPr>
            <w:r w:rsidRPr="00D9348B">
              <w:rPr>
                <w:rFonts w:cs="Arial"/>
                <w:i/>
                <w:szCs w:val="16"/>
              </w:rPr>
              <w:t>Subtotal</w:t>
            </w:r>
          </w:p>
        </w:tc>
        <w:tc>
          <w:tcPr>
            <w:tcW w:w="1985" w:type="dxa"/>
          </w:tcPr>
          <w:p w14:paraId="17EBB2BB" w14:textId="77777777" w:rsidR="00A10636" w:rsidRPr="00D9348B" w:rsidRDefault="00A10636" w:rsidP="00DB330E">
            <w:pPr>
              <w:pStyle w:val="TableText"/>
              <w:spacing w:before="50" w:after="50"/>
              <w:jc w:val="right"/>
              <w:rPr>
                <w:rFonts w:cs="Arial"/>
                <w:i/>
                <w:szCs w:val="16"/>
              </w:rPr>
            </w:pPr>
            <w:r w:rsidRPr="00D9348B">
              <w:t>9,905.163</w:t>
            </w:r>
          </w:p>
        </w:tc>
        <w:tc>
          <w:tcPr>
            <w:tcW w:w="2466" w:type="dxa"/>
          </w:tcPr>
          <w:p w14:paraId="4834691B" w14:textId="77777777" w:rsidR="00A10636" w:rsidRPr="00D9348B" w:rsidRDefault="00A10636" w:rsidP="00DB330E">
            <w:pPr>
              <w:pStyle w:val="TableText"/>
              <w:spacing w:before="50" w:after="50"/>
              <w:jc w:val="right"/>
              <w:rPr>
                <w:rFonts w:cs="Arial"/>
                <w:i/>
                <w:szCs w:val="16"/>
              </w:rPr>
            </w:pPr>
            <w:r w:rsidRPr="00D9348B">
              <w:t>36.8</w:t>
            </w:r>
          </w:p>
        </w:tc>
      </w:tr>
      <w:tr w:rsidR="00A10636" w:rsidRPr="00D9348B" w14:paraId="256C303E" w14:textId="77777777" w:rsidTr="00AD0275">
        <w:tc>
          <w:tcPr>
            <w:tcW w:w="1843" w:type="dxa"/>
          </w:tcPr>
          <w:p w14:paraId="29998F02" w14:textId="77777777" w:rsidR="00A10636" w:rsidRPr="00D9348B" w:rsidRDefault="00A10636" w:rsidP="00DB330E">
            <w:pPr>
              <w:pStyle w:val="TableText"/>
              <w:keepNext/>
              <w:spacing w:before="50" w:after="50"/>
              <w:rPr>
                <w:rFonts w:cs="Arial"/>
                <w:szCs w:val="16"/>
              </w:rPr>
            </w:pPr>
            <w:r w:rsidRPr="00D9348B">
              <w:rPr>
                <w:rFonts w:cs="Arial"/>
                <w:szCs w:val="16"/>
              </w:rPr>
              <w:lastRenderedPageBreak/>
              <w:t>Cropland</w:t>
            </w:r>
          </w:p>
        </w:tc>
        <w:tc>
          <w:tcPr>
            <w:tcW w:w="2268" w:type="dxa"/>
          </w:tcPr>
          <w:p w14:paraId="03100411" w14:textId="77777777" w:rsidR="00A10636" w:rsidRPr="00D9348B" w:rsidRDefault="00A10636" w:rsidP="00DB330E">
            <w:pPr>
              <w:pStyle w:val="TableText"/>
              <w:keepNext/>
              <w:spacing w:before="50" w:after="50"/>
              <w:rPr>
                <w:rFonts w:cs="Arial"/>
                <w:szCs w:val="16"/>
              </w:rPr>
            </w:pPr>
            <w:r w:rsidRPr="00D9348B">
              <w:rPr>
                <w:rFonts w:cs="Arial"/>
                <w:szCs w:val="16"/>
              </w:rPr>
              <w:t>Annual</w:t>
            </w:r>
          </w:p>
        </w:tc>
        <w:tc>
          <w:tcPr>
            <w:tcW w:w="1985" w:type="dxa"/>
          </w:tcPr>
          <w:p w14:paraId="1878A678" w14:textId="77777777" w:rsidR="00A10636" w:rsidRPr="00D9348B" w:rsidRDefault="00A10636" w:rsidP="00DB330E">
            <w:pPr>
              <w:pStyle w:val="TableText"/>
              <w:keepNext/>
              <w:spacing w:before="50" w:after="50"/>
              <w:jc w:val="right"/>
              <w:rPr>
                <w:rFonts w:cs="Arial"/>
                <w:szCs w:val="16"/>
              </w:rPr>
            </w:pPr>
            <w:r w:rsidRPr="00D9348B">
              <w:t>371.357</w:t>
            </w:r>
          </w:p>
        </w:tc>
        <w:tc>
          <w:tcPr>
            <w:tcW w:w="2466" w:type="dxa"/>
          </w:tcPr>
          <w:p w14:paraId="6796F61A" w14:textId="77777777" w:rsidR="00A10636" w:rsidRPr="00D9348B" w:rsidRDefault="00A10636" w:rsidP="00DB330E">
            <w:pPr>
              <w:pStyle w:val="TableText"/>
              <w:keepNext/>
              <w:spacing w:before="50" w:after="50"/>
              <w:jc w:val="right"/>
              <w:rPr>
                <w:rFonts w:cs="Arial"/>
                <w:szCs w:val="16"/>
              </w:rPr>
            </w:pPr>
            <w:r w:rsidRPr="00D9348B">
              <w:t>1.4</w:t>
            </w:r>
          </w:p>
        </w:tc>
      </w:tr>
      <w:tr w:rsidR="00A10636" w:rsidRPr="00D9348B" w14:paraId="65A2CCEA" w14:textId="77777777" w:rsidTr="00AD0275">
        <w:tc>
          <w:tcPr>
            <w:tcW w:w="1843" w:type="dxa"/>
          </w:tcPr>
          <w:p w14:paraId="42838A79" w14:textId="77777777" w:rsidR="00A10636" w:rsidRPr="00D9348B" w:rsidRDefault="00A10636" w:rsidP="00DB330E">
            <w:pPr>
              <w:pStyle w:val="TableText"/>
              <w:keepNext/>
              <w:spacing w:before="50" w:after="50"/>
              <w:rPr>
                <w:rFonts w:cs="Arial"/>
                <w:szCs w:val="16"/>
              </w:rPr>
            </w:pPr>
          </w:p>
        </w:tc>
        <w:tc>
          <w:tcPr>
            <w:tcW w:w="2268" w:type="dxa"/>
          </w:tcPr>
          <w:p w14:paraId="4B641687" w14:textId="77777777" w:rsidR="00A10636" w:rsidRPr="00D9348B" w:rsidRDefault="00A10636" w:rsidP="00DB330E">
            <w:pPr>
              <w:pStyle w:val="TableText"/>
              <w:keepNext/>
              <w:spacing w:before="50" w:after="50"/>
              <w:rPr>
                <w:rFonts w:cs="Arial"/>
                <w:szCs w:val="16"/>
              </w:rPr>
            </w:pPr>
            <w:r w:rsidRPr="00D9348B">
              <w:rPr>
                <w:rFonts w:cs="Arial"/>
                <w:szCs w:val="16"/>
              </w:rPr>
              <w:t>Perennial</w:t>
            </w:r>
          </w:p>
        </w:tc>
        <w:tc>
          <w:tcPr>
            <w:tcW w:w="1985" w:type="dxa"/>
          </w:tcPr>
          <w:p w14:paraId="59C11953" w14:textId="77777777" w:rsidR="00A10636" w:rsidRPr="00D9348B" w:rsidRDefault="00A10636" w:rsidP="00DB330E">
            <w:pPr>
              <w:pStyle w:val="TableText"/>
              <w:keepNext/>
              <w:spacing w:before="50" w:after="50"/>
              <w:jc w:val="right"/>
              <w:rPr>
                <w:rFonts w:cs="Arial"/>
                <w:szCs w:val="16"/>
              </w:rPr>
            </w:pPr>
            <w:r w:rsidRPr="00D9348B">
              <w:t>104.696</w:t>
            </w:r>
          </w:p>
        </w:tc>
        <w:tc>
          <w:tcPr>
            <w:tcW w:w="2466" w:type="dxa"/>
          </w:tcPr>
          <w:p w14:paraId="5FF56EA6" w14:textId="77777777" w:rsidR="00A10636" w:rsidRPr="00D9348B" w:rsidRDefault="00A10636" w:rsidP="00DB330E">
            <w:pPr>
              <w:pStyle w:val="TableText"/>
              <w:keepNext/>
              <w:spacing w:before="50" w:after="50"/>
              <w:jc w:val="right"/>
              <w:rPr>
                <w:rFonts w:cs="Arial"/>
                <w:szCs w:val="16"/>
              </w:rPr>
            </w:pPr>
            <w:r w:rsidRPr="00D9348B">
              <w:t>0.4</w:t>
            </w:r>
          </w:p>
        </w:tc>
      </w:tr>
      <w:tr w:rsidR="00A10636" w:rsidRPr="00D9348B" w14:paraId="25DE8F55" w14:textId="77777777" w:rsidTr="00AD0275">
        <w:tc>
          <w:tcPr>
            <w:tcW w:w="1843" w:type="dxa"/>
          </w:tcPr>
          <w:p w14:paraId="319C1B74" w14:textId="77777777" w:rsidR="00A10636" w:rsidRPr="00D9348B" w:rsidRDefault="00A10636" w:rsidP="00DB330E">
            <w:pPr>
              <w:pStyle w:val="TableText"/>
              <w:spacing w:before="50" w:after="50"/>
              <w:rPr>
                <w:rFonts w:cs="Arial"/>
                <w:szCs w:val="16"/>
              </w:rPr>
            </w:pPr>
          </w:p>
        </w:tc>
        <w:tc>
          <w:tcPr>
            <w:tcW w:w="2268" w:type="dxa"/>
          </w:tcPr>
          <w:p w14:paraId="4CD600F0" w14:textId="77777777" w:rsidR="00A10636" w:rsidRPr="00D9348B" w:rsidRDefault="00A10636" w:rsidP="00DB330E">
            <w:pPr>
              <w:pStyle w:val="TableText"/>
              <w:spacing w:before="50" w:after="50"/>
              <w:rPr>
                <w:rFonts w:cs="Arial"/>
                <w:i/>
                <w:szCs w:val="16"/>
              </w:rPr>
            </w:pPr>
            <w:r w:rsidRPr="00D9348B">
              <w:rPr>
                <w:rFonts w:cs="Arial"/>
                <w:i/>
                <w:szCs w:val="16"/>
              </w:rPr>
              <w:t>Subtotal</w:t>
            </w:r>
          </w:p>
        </w:tc>
        <w:tc>
          <w:tcPr>
            <w:tcW w:w="1985" w:type="dxa"/>
          </w:tcPr>
          <w:p w14:paraId="48EEE22F" w14:textId="77777777" w:rsidR="00A10636" w:rsidRPr="00D9348B" w:rsidRDefault="00A10636" w:rsidP="00DB330E">
            <w:pPr>
              <w:pStyle w:val="TableText"/>
              <w:spacing w:before="50" w:after="50"/>
              <w:jc w:val="right"/>
              <w:rPr>
                <w:rFonts w:cs="Arial"/>
                <w:i/>
                <w:szCs w:val="16"/>
              </w:rPr>
            </w:pPr>
            <w:r w:rsidRPr="00D9348B">
              <w:t>476.053</w:t>
            </w:r>
          </w:p>
        </w:tc>
        <w:tc>
          <w:tcPr>
            <w:tcW w:w="2466" w:type="dxa"/>
          </w:tcPr>
          <w:p w14:paraId="0F680D9A" w14:textId="77777777" w:rsidR="00A10636" w:rsidRPr="00D9348B" w:rsidRDefault="00A10636" w:rsidP="00DB330E">
            <w:pPr>
              <w:pStyle w:val="TableText"/>
              <w:spacing w:before="50" w:after="50"/>
              <w:jc w:val="right"/>
              <w:rPr>
                <w:rFonts w:cs="Arial"/>
                <w:i/>
                <w:szCs w:val="16"/>
              </w:rPr>
            </w:pPr>
            <w:r w:rsidRPr="00D9348B">
              <w:t>1.8</w:t>
            </w:r>
          </w:p>
        </w:tc>
      </w:tr>
      <w:tr w:rsidR="00A10636" w:rsidRPr="00D9348B" w14:paraId="4F910B3E" w14:textId="77777777" w:rsidTr="00AD0275">
        <w:tc>
          <w:tcPr>
            <w:tcW w:w="1843" w:type="dxa"/>
          </w:tcPr>
          <w:p w14:paraId="662D872B" w14:textId="77777777" w:rsidR="00A10636" w:rsidRPr="00D9348B" w:rsidRDefault="00A10636" w:rsidP="00DB330E">
            <w:pPr>
              <w:pStyle w:val="TableText"/>
              <w:spacing w:before="50" w:after="50"/>
              <w:rPr>
                <w:rFonts w:cs="Arial"/>
                <w:szCs w:val="16"/>
              </w:rPr>
            </w:pPr>
            <w:r w:rsidRPr="00D9348B">
              <w:rPr>
                <w:rFonts w:cs="Arial"/>
                <w:szCs w:val="16"/>
              </w:rPr>
              <w:t>Grassland</w:t>
            </w:r>
          </w:p>
        </w:tc>
        <w:tc>
          <w:tcPr>
            <w:tcW w:w="2268" w:type="dxa"/>
          </w:tcPr>
          <w:p w14:paraId="7BA76DE9" w14:textId="77777777" w:rsidR="00A10636" w:rsidRPr="00D9348B" w:rsidRDefault="00A10636" w:rsidP="00DB330E">
            <w:pPr>
              <w:pStyle w:val="TableText"/>
              <w:spacing w:before="50" w:after="50"/>
              <w:rPr>
                <w:rFonts w:cs="Arial"/>
                <w:szCs w:val="16"/>
              </w:rPr>
            </w:pPr>
            <w:r w:rsidRPr="00D9348B">
              <w:rPr>
                <w:rFonts w:cs="Arial"/>
                <w:szCs w:val="16"/>
              </w:rPr>
              <w:t>High producing</w:t>
            </w:r>
          </w:p>
        </w:tc>
        <w:tc>
          <w:tcPr>
            <w:tcW w:w="1985" w:type="dxa"/>
          </w:tcPr>
          <w:p w14:paraId="6130760F" w14:textId="77777777" w:rsidR="00A10636" w:rsidRPr="00D9348B" w:rsidRDefault="00A10636" w:rsidP="00DB330E">
            <w:pPr>
              <w:pStyle w:val="TableText"/>
              <w:spacing w:before="50" w:after="50"/>
              <w:jc w:val="right"/>
              <w:rPr>
                <w:rFonts w:cs="Arial"/>
                <w:szCs w:val="16"/>
              </w:rPr>
            </w:pPr>
            <w:r w:rsidRPr="00D9348B">
              <w:t>6,872.829</w:t>
            </w:r>
          </w:p>
        </w:tc>
        <w:tc>
          <w:tcPr>
            <w:tcW w:w="2466" w:type="dxa"/>
          </w:tcPr>
          <w:p w14:paraId="1B2E0561" w14:textId="77777777" w:rsidR="00A10636" w:rsidRPr="00D9348B" w:rsidRDefault="00A10636" w:rsidP="00DB330E">
            <w:pPr>
              <w:pStyle w:val="TableText"/>
              <w:spacing w:before="50" w:after="50"/>
              <w:jc w:val="right"/>
              <w:rPr>
                <w:rFonts w:cs="Arial"/>
                <w:szCs w:val="16"/>
              </w:rPr>
            </w:pPr>
            <w:r w:rsidRPr="00D9348B">
              <w:t>25.5</w:t>
            </w:r>
          </w:p>
        </w:tc>
      </w:tr>
      <w:tr w:rsidR="00A10636" w:rsidRPr="00D9348B" w14:paraId="00EE4B63" w14:textId="77777777" w:rsidTr="00AD0275">
        <w:tc>
          <w:tcPr>
            <w:tcW w:w="1843" w:type="dxa"/>
          </w:tcPr>
          <w:p w14:paraId="0A691B6C" w14:textId="77777777" w:rsidR="00A10636" w:rsidRPr="00D9348B" w:rsidRDefault="00A10636" w:rsidP="00DB330E">
            <w:pPr>
              <w:pStyle w:val="TableText"/>
              <w:spacing w:before="50" w:after="50"/>
              <w:rPr>
                <w:rFonts w:cs="Arial"/>
                <w:szCs w:val="16"/>
              </w:rPr>
            </w:pPr>
          </w:p>
        </w:tc>
        <w:tc>
          <w:tcPr>
            <w:tcW w:w="2268" w:type="dxa"/>
          </w:tcPr>
          <w:p w14:paraId="7D4DC62A" w14:textId="77777777" w:rsidR="00A10636" w:rsidRPr="00D9348B" w:rsidRDefault="00A10636" w:rsidP="00DB330E">
            <w:pPr>
              <w:pStyle w:val="TableText"/>
              <w:spacing w:before="50" w:after="50"/>
              <w:rPr>
                <w:rFonts w:cs="Arial"/>
                <w:szCs w:val="16"/>
              </w:rPr>
            </w:pPr>
            <w:r w:rsidRPr="00D9348B">
              <w:rPr>
                <w:rFonts w:cs="Arial"/>
                <w:szCs w:val="16"/>
              </w:rPr>
              <w:t>Low producing</w:t>
            </w:r>
          </w:p>
        </w:tc>
        <w:tc>
          <w:tcPr>
            <w:tcW w:w="1985" w:type="dxa"/>
          </w:tcPr>
          <w:p w14:paraId="2BB8217C" w14:textId="77777777" w:rsidR="00A10636" w:rsidRPr="00D9348B" w:rsidRDefault="00A10636" w:rsidP="00DB330E">
            <w:pPr>
              <w:pStyle w:val="TableText"/>
              <w:spacing w:before="50" w:after="50"/>
              <w:jc w:val="right"/>
              <w:rPr>
                <w:rFonts w:cs="Arial"/>
                <w:szCs w:val="16"/>
              </w:rPr>
            </w:pPr>
            <w:r w:rsidRPr="00D9348B">
              <w:t>6,400.945</w:t>
            </w:r>
          </w:p>
        </w:tc>
        <w:tc>
          <w:tcPr>
            <w:tcW w:w="2466" w:type="dxa"/>
          </w:tcPr>
          <w:p w14:paraId="51E95EFF" w14:textId="77777777" w:rsidR="00A10636" w:rsidRPr="00D9348B" w:rsidRDefault="00A10636" w:rsidP="00DB330E">
            <w:pPr>
              <w:pStyle w:val="TableText"/>
              <w:spacing w:before="50" w:after="50"/>
              <w:jc w:val="right"/>
              <w:rPr>
                <w:rFonts w:cs="Arial"/>
                <w:szCs w:val="16"/>
              </w:rPr>
            </w:pPr>
            <w:r w:rsidRPr="00D9348B">
              <w:t>23.8</w:t>
            </w:r>
          </w:p>
        </w:tc>
      </w:tr>
      <w:tr w:rsidR="00A10636" w:rsidRPr="00D9348B" w14:paraId="7A5A301D" w14:textId="77777777" w:rsidTr="00AD0275">
        <w:tc>
          <w:tcPr>
            <w:tcW w:w="1843" w:type="dxa"/>
          </w:tcPr>
          <w:p w14:paraId="50CEB3E9" w14:textId="77777777" w:rsidR="00A10636" w:rsidRPr="00D9348B" w:rsidRDefault="00A10636" w:rsidP="00DB330E">
            <w:pPr>
              <w:pStyle w:val="TableText"/>
              <w:spacing w:before="50" w:after="50"/>
              <w:rPr>
                <w:rFonts w:cs="Arial"/>
                <w:szCs w:val="16"/>
              </w:rPr>
            </w:pPr>
          </w:p>
        </w:tc>
        <w:tc>
          <w:tcPr>
            <w:tcW w:w="2268" w:type="dxa"/>
          </w:tcPr>
          <w:p w14:paraId="24D8CC29" w14:textId="77777777" w:rsidR="00A10636" w:rsidRPr="00D9348B" w:rsidRDefault="00A10636" w:rsidP="00DB330E">
            <w:pPr>
              <w:pStyle w:val="TableText"/>
              <w:spacing w:before="50" w:after="50"/>
              <w:rPr>
                <w:rFonts w:cs="Arial"/>
                <w:szCs w:val="16"/>
              </w:rPr>
            </w:pPr>
            <w:r w:rsidRPr="00D9348B">
              <w:rPr>
                <w:rFonts w:cs="Arial"/>
                <w:szCs w:val="16"/>
              </w:rPr>
              <w:t>With woody biomass</w:t>
            </w:r>
          </w:p>
        </w:tc>
        <w:tc>
          <w:tcPr>
            <w:tcW w:w="1985" w:type="dxa"/>
          </w:tcPr>
          <w:p w14:paraId="2C1D1005" w14:textId="77777777" w:rsidR="00A10636" w:rsidRPr="00D9348B" w:rsidRDefault="00A10636" w:rsidP="00DB330E">
            <w:pPr>
              <w:pStyle w:val="TableText"/>
              <w:spacing w:before="50" w:after="50"/>
              <w:jc w:val="right"/>
              <w:rPr>
                <w:rFonts w:cs="Arial"/>
                <w:szCs w:val="16"/>
              </w:rPr>
            </w:pPr>
            <w:r w:rsidRPr="00D9348B">
              <w:t>1,376.035</w:t>
            </w:r>
          </w:p>
        </w:tc>
        <w:tc>
          <w:tcPr>
            <w:tcW w:w="2466" w:type="dxa"/>
          </w:tcPr>
          <w:p w14:paraId="71FC6276" w14:textId="77777777" w:rsidR="00A10636" w:rsidRPr="00D9348B" w:rsidRDefault="00A10636" w:rsidP="00DB330E">
            <w:pPr>
              <w:pStyle w:val="TableText"/>
              <w:spacing w:before="50" w:after="50"/>
              <w:jc w:val="right"/>
              <w:rPr>
                <w:rFonts w:cs="Arial"/>
                <w:szCs w:val="16"/>
              </w:rPr>
            </w:pPr>
            <w:r w:rsidRPr="00D9348B">
              <w:t>5.1</w:t>
            </w:r>
          </w:p>
        </w:tc>
      </w:tr>
      <w:tr w:rsidR="00A10636" w:rsidRPr="00D9348B" w14:paraId="7EA91386" w14:textId="77777777" w:rsidTr="00AD0275">
        <w:tc>
          <w:tcPr>
            <w:tcW w:w="1843" w:type="dxa"/>
          </w:tcPr>
          <w:p w14:paraId="70F4D46C" w14:textId="77777777" w:rsidR="00A10636" w:rsidRPr="00D9348B" w:rsidRDefault="00A10636" w:rsidP="00DB330E">
            <w:pPr>
              <w:pStyle w:val="TableText"/>
              <w:spacing w:before="50" w:after="50"/>
              <w:rPr>
                <w:rFonts w:cs="Arial"/>
                <w:szCs w:val="16"/>
              </w:rPr>
            </w:pPr>
          </w:p>
        </w:tc>
        <w:tc>
          <w:tcPr>
            <w:tcW w:w="2268" w:type="dxa"/>
          </w:tcPr>
          <w:p w14:paraId="7B86383B" w14:textId="77777777" w:rsidR="00A10636" w:rsidRPr="00D9348B" w:rsidRDefault="00A10636" w:rsidP="00DB330E">
            <w:pPr>
              <w:pStyle w:val="TableText"/>
              <w:spacing w:before="50" w:after="50"/>
              <w:rPr>
                <w:rFonts w:cs="Arial"/>
                <w:i/>
                <w:szCs w:val="16"/>
              </w:rPr>
            </w:pPr>
            <w:r w:rsidRPr="00D9348B">
              <w:rPr>
                <w:rFonts w:cs="Arial"/>
                <w:i/>
                <w:szCs w:val="16"/>
              </w:rPr>
              <w:t>Subtotal</w:t>
            </w:r>
          </w:p>
        </w:tc>
        <w:tc>
          <w:tcPr>
            <w:tcW w:w="1985" w:type="dxa"/>
          </w:tcPr>
          <w:p w14:paraId="67281928" w14:textId="77777777" w:rsidR="00A10636" w:rsidRPr="00D9348B" w:rsidRDefault="00A10636" w:rsidP="00DB330E">
            <w:pPr>
              <w:pStyle w:val="TableText"/>
              <w:spacing w:before="50" w:after="50"/>
              <w:jc w:val="right"/>
              <w:rPr>
                <w:rFonts w:cs="Arial"/>
                <w:i/>
                <w:szCs w:val="16"/>
              </w:rPr>
            </w:pPr>
            <w:r w:rsidRPr="00D9348B">
              <w:t>14,649.809</w:t>
            </w:r>
          </w:p>
        </w:tc>
        <w:tc>
          <w:tcPr>
            <w:tcW w:w="2466" w:type="dxa"/>
          </w:tcPr>
          <w:p w14:paraId="0859F8C3" w14:textId="77777777" w:rsidR="00A10636" w:rsidRPr="00D9348B" w:rsidRDefault="00A10636" w:rsidP="00DB330E">
            <w:pPr>
              <w:pStyle w:val="TableText"/>
              <w:spacing w:before="50" w:after="50"/>
              <w:jc w:val="right"/>
              <w:rPr>
                <w:rFonts w:cs="Arial"/>
                <w:i/>
                <w:szCs w:val="16"/>
              </w:rPr>
            </w:pPr>
            <w:r w:rsidRPr="00D9348B">
              <w:t>54.4</w:t>
            </w:r>
          </w:p>
        </w:tc>
      </w:tr>
      <w:tr w:rsidR="00A10636" w:rsidRPr="00D9348B" w14:paraId="2B71CE34" w14:textId="77777777" w:rsidTr="00AD0275">
        <w:tc>
          <w:tcPr>
            <w:tcW w:w="1843" w:type="dxa"/>
          </w:tcPr>
          <w:p w14:paraId="375EEED8" w14:textId="77777777" w:rsidR="00A10636" w:rsidRPr="00D9348B" w:rsidRDefault="00A10636" w:rsidP="00DB330E">
            <w:pPr>
              <w:pStyle w:val="TableText"/>
              <w:spacing w:before="50" w:after="50"/>
              <w:rPr>
                <w:rFonts w:cs="Arial"/>
                <w:szCs w:val="16"/>
              </w:rPr>
            </w:pPr>
            <w:r w:rsidRPr="00D9348B">
              <w:rPr>
                <w:rFonts w:cs="Arial"/>
                <w:szCs w:val="16"/>
              </w:rPr>
              <w:t>Wetlands</w:t>
            </w:r>
          </w:p>
        </w:tc>
        <w:tc>
          <w:tcPr>
            <w:tcW w:w="2268" w:type="dxa"/>
          </w:tcPr>
          <w:p w14:paraId="4FFDB55A" w14:textId="77777777" w:rsidR="00A10636" w:rsidRPr="00D9348B" w:rsidRDefault="00A10636" w:rsidP="00DB330E">
            <w:pPr>
              <w:pStyle w:val="TableText"/>
              <w:spacing w:before="50" w:after="50"/>
              <w:rPr>
                <w:rFonts w:cs="Arial"/>
                <w:szCs w:val="16"/>
              </w:rPr>
            </w:pPr>
            <w:r w:rsidRPr="00D9348B">
              <w:rPr>
                <w:rFonts w:cs="Arial"/>
                <w:szCs w:val="16"/>
              </w:rPr>
              <w:t>Open water</w:t>
            </w:r>
          </w:p>
        </w:tc>
        <w:tc>
          <w:tcPr>
            <w:tcW w:w="1985" w:type="dxa"/>
          </w:tcPr>
          <w:p w14:paraId="53231237" w14:textId="77777777" w:rsidR="00A10636" w:rsidRPr="00D9348B" w:rsidRDefault="00A10636" w:rsidP="00DB330E">
            <w:pPr>
              <w:pStyle w:val="TableText"/>
              <w:spacing w:before="50" w:after="50"/>
              <w:jc w:val="right"/>
              <w:rPr>
                <w:rFonts w:cs="Arial"/>
                <w:szCs w:val="16"/>
              </w:rPr>
            </w:pPr>
            <w:r w:rsidRPr="00D9348B">
              <w:t>534.688</w:t>
            </w:r>
          </w:p>
        </w:tc>
        <w:tc>
          <w:tcPr>
            <w:tcW w:w="2466" w:type="dxa"/>
          </w:tcPr>
          <w:p w14:paraId="037E9DA1" w14:textId="77777777" w:rsidR="00A10636" w:rsidRPr="00D9348B" w:rsidRDefault="00A10636" w:rsidP="00DB330E">
            <w:pPr>
              <w:pStyle w:val="TableText"/>
              <w:spacing w:before="50" w:after="50"/>
              <w:jc w:val="right"/>
              <w:rPr>
                <w:rFonts w:cs="Arial"/>
                <w:szCs w:val="16"/>
              </w:rPr>
            </w:pPr>
            <w:r w:rsidRPr="00D9348B">
              <w:t>2.0</w:t>
            </w:r>
          </w:p>
        </w:tc>
      </w:tr>
      <w:tr w:rsidR="00A10636" w:rsidRPr="00D9348B" w14:paraId="643B6D1A" w14:textId="77777777" w:rsidTr="00AD0275">
        <w:tc>
          <w:tcPr>
            <w:tcW w:w="1843" w:type="dxa"/>
          </w:tcPr>
          <w:p w14:paraId="48007AE1" w14:textId="77777777" w:rsidR="00A10636" w:rsidRPr="00D9348B" w:rsidRDefault="00A10636" w:rsidP="00DB330E">
            <w:pPr>
              <w:pStyle w:val="TableText"/>
              <w:spacing w:before="50" w:after="50"/>
              <w:rPr>
                <w:rFonts w:cs="Arial"/>
                <w:szCs w:val="16"/>
              </w:rPr>
            </w:pPr>
          </w:p>
        </w:tc>
        <w:tc>
          <w:tcPr>
            <w:tcW w:w="2268" w:type="dxa"/>
          </w:tcPr>
          <w:p w14:paraId="5576E959" w14:textId="77777777" w:rsidR="00A10636" w:rsidRPr="00D9348B" w:rsidRDefault="00A10636" w:rsidP="00DB330E">
            <w:pPr>
              <w:pStyle w:val="TableText"/>
              <w:spacing w:before="50" w:after="50"/>
              <w:rPr>
                <w:rFonts w:cs="Arial"/>
                <w:szCs w:val="16"/>
              </w:rPr>
            </w:pPr>
            <w:r w:rsidRPr="00D9348B">
              <w:rPr>
                <w:rFonts w:cs="Arial"/>
                <w:szCs w:val="16"/>
              </w:rPr>
              <w:t>Vegetated</w:t>
            </w:r>
          </w:p>
        </w:tc>
        <w:tc>
          <w:tcPr>
            <w:tcW w:w="1985" w:type="dxa"/>
          </w:tcPr>
          <w:p w14:paraId="4DE2CC7B" w14:textId="77777777" w:rsidR="00A10636" w:rsidRPr="00D9348B" w:rsidRDefault="00A10636" w:rsidP="00DB330E">
            <w:pPr>
              <w:pStyle w:val="TableText"/>
              <w:spacing w:before="50" w:after="50"/>
              <w:jc w:val="right"/>
              <w:rPr>
                <w:rFonts w:cs="Arial"/>
                <w:color w:val="000000"/>
                <w:szCs w:val="16"/>
              </w:rPr>
            </w:pPr>
            <w:r w:rsidRPr="00D9348B">
              <w:t>226.933</w:t>
            </w:r>
          </w:p>
        </w:tc>
        <w:tc>
          <w:tcPr>
            <w:tcW w:w="2466" w:type="dxa"/>
          </w:tcPr>
          <w:p w14:paraId="10CB59A9" w14:textId="77777777" w:rsidR="00A10636" w:rsidRPr="00D9348B" w:rsidRDefault="00A10636" w:rsidP="00DB330E">
            <w:pPr>
              <w:pStyle w:val="TableText"/>
              <w:spacing w:before="50" w:after="50"/>
              <w:jc w:val="right"/>
              <w:rPr>
                <w:rFonts w:cs="Arial"/>
                <w:szCs w:val="16"/>
              </w:rPr>
            </w:pPr>
            <w:r w:rsidRPr="00D9348B">
              <w:t>0.8</w:t>
            </w:r>
          </w:p>
        </w:tc>
      </w:tr>
      <w:tr w:rsidR="00A10636" w:rsidRPr="00D9348B" w14:paraId="5C39E2EF" w14:textId="77777777" w:rsidTr="00AD0275">
        <w:tc>
          <w:tcPr>
            <w:tcW w:w="1843" w:type="dxa"/>
          </w:tcPr>
          <w:p w14:paraId="56D56DF0" w14:textId="77777777" w:rsidR="00A10636" w:rsidRPr="00D9348B" w:rsidRDefault="00A10636" w:rsidP="00DB330E">
            <w:pPr>
              <w:pStyle w:val="TableText"/>
              <w:spacing w:before="50" w:after="50"/>
              <w:rPr>
                <w:rFonts w:cs="Arial"/>
                <w:szCs w:val="16"/>
              </w:rPr>
            </w:pPr>
          </w:p>
        </w:tc>
        <w:tc>
          <w:tcPr>
            <w:tcW w:w="2268" w:type="dxa"/>
          </w:tcPr>
          <w:p w14:paraId="54E774D1" w14:textId="77777777" w:rsidR="00A10636" w:rsidRPr="00D9348B" w:rsidRDefault="00A10636" w:rsidP="00DB330E">
            <w:pPr>
              <w:pStyle w:val="TableText"/>
              <w:spacing w:before="50" w:after="50"/>
              <w:rPr>
                <w:rFonts w:cs="Arial"/>
                <w:i/>
                <w:szCs w:val="16"/>
              </w:rPr>
            </w:pPr>
            <w:r w:rsidRPr="00D9348B">
              <w:rPr>
                <w:rFonts w:cs="Arial"/>
                <w:i/>
                <w:szCs w:val="16"/>
              </w:rPr>
              <w:t>Subtotal</w:t>
            </w:r>
          </w:p>
        </w:tc>
        <w:tc>
          <w:tcPr>
            <w:tcW w:w="1985" w:type="dxa"/>
          </w:tcPr>
          <w:p w14:paraId="4E794D97" w14:textId="77777777" w:rsidR="00A10636" w:rsidRPr="00D9348B" w:rsidRDefault="00A10636" w:rsidP="00DB330E">
            <w:pPr>
              <w:pStyle w:val="TableText"/>
              <w:spacing w:before="50" w:after="50"/>
              <w:jc w:val="right"/>
              <w:rPr>
                <w:rFonts w:cs="Arial"/>
                <w:i/>
                <w:color w:val="000000"/>
                <w:szCs w:val="16"/>
              </w:rPr>
            </w:pPr>
            <w:r w:rsidRPr="00D9348B">
              <w:t>761.621</w:t>
            </w:r>
          </w:p>
        </w:tc>
        <w:tc>
          <w:tcPr>
            <w:tcW w:w="2466" w:type="dxa"/>
          </w:tcPr>
          <w:p w14:paraId="1EA287A1" w14:textId="77777777" w:rsidR="00A10636" w:rsidRPr="00D9348B" w:rsidRDefault="00A10636" w:rsidP="00DB330E">
            <w:pPr>
              <w:pStyle w:val="TableText"/>
              <w:spacing w:before="50" w:after="50"/>
              <w:jc w:val="right"/>
              <w:rPr>
                <w:rFonts w:cs="Arial"/>
                <w:i/>
                <w:szCs w:val="16"/>
              </w:rPr>
            </w:pPr>
            <w:r w:rsidRPr="00D9348B">
              <w:t>2.8</w:t>
            </w:r>
          </w:p>
        </w:tc>
      </w:tr>
      <w:tr w:rsidR="00A10636" w:rsidRPr="00D9348B" w14:paraId="7EBD7D95" w14:textId="77777777" w:rsidTr="00AD0275">
        <w:tc>
          <w:tcPr>
            <w:tcW w:w="1843" w:type="dxa"/>
          </w:tcPr>
          <w:p w14:paraId="33C3D48D" w14:textId="77777777" w:rsidR="00A10636" w:rsidRPr="00D9348B" w:rsidRDefault="00A10636" w:rsidP="00DB330E">
            <w:pPr>
              <w:pStyle w:val="TableText"/>
              <w:spacing w:before="50" w:after="50"/>
              <w:rPr>
                <w:rFonts w:cs="Arial"/>
                <w:szCs w:val="16"/>
              </w:rPr>
            </w:pPr>
            <w:r w:rsidRPr="00D9348B">
              <w:rPr>
                <w:rFonts w:cs="Arial"/>
                <w:szCs w:val="16"/>
              </w:rPr>
              <w:t>Settlements</w:t>
            </w:r>
          </w:p>
        </w:tc>
        <w:tc>
          <w:tcPr>
            <w:tcW w:w="2268" w:type="dxa"/>
          </w:tcPr>
          <w:p w14:paraId="7ABDE402" w14:textId="77777777" w:rsidR="00A10636" w:rsidRPr="00D9348B" w:rsidRDefault="00A10636" w:rsidP="00DB330E">
            <w:pPr>
              <w:pStyle w:val="TableText"/>
              <w:spacing w:before="50" w:after="50"/>
              <w:rPr>
                <w:rFonts w:cs="Arial"/>
                <w:szCs w:val="16"/>
              </w:rPr>
            </w:pPr>
          </w:p>
        </w:tc>
        <w:tc>
          <w:tcPr>
            <w:tcW w:w="1985" w:type="dxa"/>
          </w:tcPr>
          <w:p w14:paraId="61E1292B" w14:textId="77777777" w:rsidR="00A10636" w:rsidRPr="00D9348B" w:rsidRDefault="00A10636" w:rsidP="00DB330E">
            <w:pPr>
              <w:pStyle w:val="TableText"/>
              <w:spacing w:before="50" w:after="50"/>
              <w:jc w:val="right"/>
              <w:rPr>
                <w:rFonts w:cs="Arial"/>
                <w:szCs w:val="16"/>
              </w:rPr>
            </w:pPr>
            <w:r w:rsidRPr="00D9348B">
              <w:t>236.357</w:t>
            </w:r>
          </w:p>
        </w:tc>
        <w:tc>
          <w:tcPr>
            <w:tcW w:w="2466" w:type="dxa"/>
          </w:tcPr>
          <w:p w14:paraId="15F54DFC" w14:textId="77777777" w:rsidR="00A10636" w:rsidRPr="00D9348B" w:rsidRDefault="00A10636" w:rsidP="00DB330E">
            <w:pPr>
              <w:pStyle w:val="TableText"/>
              <w:spacing w:before="50" w:after="50"/>
              <w:jc w:val="right"/>
              <w:rPr>
                <w:rFonts w:cs="Arial"/>
                <w:szCs w:val="16"/>
              </w:rPr>
            </w:pPr>
            <w:r w:rsidRPr="00D9348B">
              <w:t>0.9</w:t>
            </w:r>
          </w:p>
        </w:tc>
      </w:tr>
      <w:tr w:rsidR="00A10636" w:rsidRPr="00D9348B" w14:paraId="2EAEB0D4" w14:textId="77777777" w:rsidTr="00AD0275">
        <w:tc>
          <w:tcPr>
            <w:tcW w:w="1843" w:type="dxa"/>
          </w:tcPr>
          <w:p w14:paraId="4687B072" w14:textId="77777777" w:rsidR="00A10636" w:rsidRPr="00D9348B" w:rsidRDefault="00A10636" w:rsidP="00DB330E">
            <w:pPr>
              <w:pStyle w:val="TableText"/>
              <w:spacing w:before="50" w:after="50"/>
              <w:rPr>
                <w:rFonts w:cs="Arial"/>
                <w:szCs w:val="16"/>
              </w:rPr>
            </w:pPr>
            <w:r w:rsidRPr="00D9348B">
              <w:rPr>
                <w:rFonts w:cs="Arial"/>
                <w:szCs w:val="16"/>
              </w:rPr>
              <w:t>Other land</w:t>
            </w:r>
          </w:p>
        </w:tc>
        <w:tc>
          <w:tcPr>
            <w:tcW w:w="2268" w:type="dxa"/>
          </w:tcPr>
          <w:p w14:paraId="5E88CDDE" w14:textId="77777777" w:rsidR="00A10636" w:rsidRPr="00D9348B" w:rsidRDefault="00A10636" w:rsidP="00DB330E">
            <w:pPr>
              <w:pStyle w:val="TableText"/>
              <w:spacing w:before="50" w:after="50"/>
              <w:rPr>
                <w:rFonts w:cs="Arial"/>
                <w:szCs w:val="16"/>
              </w:rPr>
            </w:pPr>
          </w:p>
        </w:tc>
        <w:tc>
          <w:tcPr>
            <w:tcW w:w="1985" w:type="dxa"/>
          </w:tcPr>
          <w:p w14:paraId="414EB04A" w14:textId="77777777" w:rsidR="00A10636" w:rsidRPr="00D9348B" w:rsidRDefault="00A10636" w:rsidP="00DB330E">
            <w:pPr>
              <w:pStyle w:val="TableText"/>
              <w:spacing w:before="50" w:after="50"/>
              <w:jc w:val="right"/>
              <w:rPr>
                <w:rFonts w:cs="Arial"/>
                <w:szCs w:val="16"/>
              </w:rPr>
            </w:pPr>
            <w:r w:rsidRPr="00D9348B">
              <w:t>896.164</w:t>
            </w:r>
          </w:p>
        </w:tc>
        <w:tc>
          <w:tcPr>
            <w:tcW w:w="2466" w:type="dxa"/>
          </w:tcPr>
          <w:p w14:paraId="02CDDD47" w14:textId="77777777" w:rsidR="00A10636" w:rsidRPr="00D9348B" w:rsidRDefault="00A10636" w:rsidP="00DB330E">
            <w:pPr>
              <w:pStyle w:val="TableText"/>
              <w:spacing w:before="50" w:after="50"/>
              <w:jc w:val="right"/>
              <w:rPr>
                <w:rFonts w:cs="Arial"/>
                <w:szCs w:val="16"/>
              </w:rPr>
            </w:pPr>
            <w:r w:rsidRPr="00D9348B">
              <w:t>3.3</w:t>
            </w:r>
          </w:p>
        </w:tc>
      </w:tr>
      <w:tr w:rsidR="00A10636" w:rsidRPr="00D9348B" w14:paraId="29B15B59" w14:textId="77777777" w:rsidTr="00AD0275">
        <w:tc>
          <w:tcPr>
            <w:tcW w:w="1843" w:type="dxa"/>
          </w:tcPr>
          <w:p w14:paraId="7EC28C28" w14:textId="77777777" w:rsidR="00A10636" w:rsidRPr="00D9348B" w:rsidRDefault="00A10636" w:rsidP="00DB330E">
            <w:pPr>
              <w:pStyle w:val="Tableboldblue"/>
              <w:jc w:val="right"/>
            </w:pPr>
            <w:r w:rsidRPr="00D9348B">
              <w:t>Total</w:t>
            </w:r>
          </w:p>
        </w:tc>
        <w:tc>
          <w:tcPr>
            <w:tcW w:w="2268" w:type="dxa"/>
          </w:tcPr>
          <w:p w14:paraId="0887D4E5" w14:textId="77777777" w:rsidR="00A10636" w:rsidRPr="00D9348B" w:rsidRDefault="00A10636" w:rsidP="00DB330E">
            <w:pPr>
              <w:pStyle w:val="Tableboldblue"/>
              <w:jc w:val="right"/>
            </w:pPr>
          </w:p>
        </w:tc>
        <w:tc>
          <w:tcPr>
            <w:tcW w:w="1985" w:type="dxa"/>
          </w:tcPr>
          <w:p w14:paraId="5DFEFA21" w14:textId="77777777" w:rsidR="00A10636" w:rsidRPr="00D9348B" w:rsidRDefault="00A10636" w:rsidP="00DB330E">
            <w:pPr>
              <w:pStyle w:val="Tableboldblue"/>
              <w:jc w:val="right"/>
              <w:rPr>
                <w:rFonts w:cs="Arial"/>
              </w:rPr>
            </w:pPr>
            <w:r w:rsidRPr="00D9348B">
              <w:t>26,925.168</w:t>
            </w:r>
          </w:p>
        </w:tc>
        <w:tc>
          <w:tcPr>
            <w:tcW w:w="2466" w:type="dxa"/>
          </w:tcPr>
          <w:p w14:paraId="19CEB2E3" w14:textId="77777777" w:rsidR="00A10636" w:rsidRPr="00D9348B" w:rsidRDefault="00A10636" w:rsidP="00DB330E">
            <w:pPr>
              <w:pStyle w:val="Tableboldblue"/>
              <w:jc w:val="right"/>
              <w:rPr>
                <w:rFonts w:cs="Arial"/>
              </w:rPr>
            </w:pPr>
            <w:r w:rsidRPr="00D9348B">
              <w:t>100.0</w:t>
            </w:r>
          </w:p>
        </w:tc>
      </w:tr>
    </w:tbl>
    <w:p w14:paraId="140A379B" w14:textId="77777777" w:rsidR="00A10636" w:rsidRPr="00D9348B" w:rsidRDefault="00A10636" w:rsidP="00A10636">
      <w:pPr>
        <w:pStyle w:val="Noteundertable"/>
      </w:pPr>
      <w:r w:rsidRPr="00D9348B">
        <w:rPr>
          <w:b/>
        </w:rPr>
        <w:t>Note:</w:t>
      </w:r>
      <w:r w:rsidRPr="00D9348B">
        <w:tab/>
        <w:t>Areas as at 31 December 2018. This includes deforestation of post-1989 forest since 1990. Columns may not total due to rounding. Percentages presented are calculated from unrounded values.</w:t>
      </w:r>
    </w:p>
    <w:p w14:paraId="6703F9B7" w14:textId="2B2EF787" w:rsidR="00A10636" w:rsidRPr="00D9348B" w:rsidRDefault="00A10636" w:rsidP="00A10636">
      <w:pPr>
        <w:pStyle w:val="BodyText"/>
      </w:pPr>
      <w:r w:rsidRPr="00D9348B">
        <w:t>Forestry and agriculture industries form the core of New Zealand’s economy and are the main determinants of New Zealand’s LULUCF emissions profile. Intensive forest management combined with a temperate climate, fertile soils and high rainfall means New Zealand has one</w:t>
      </w:r>
      <w:r w:rsidR="00022513" w:rsidRPr="00D9348B">
        <w:t> </w:t>
      </w:r>
      <w:r w:rsidRPr="00D9348B">
        <w:t>of the highest rates of exotic forest growth among Annex I countries.</w:t>
      </w:r>
    </w:p>
    <w:p w14:paraId="1E8FDB77" w14:textId="77777777" w:rsidR="00A10636" w:rsidRPr="00D9348B" w:rsidRDefault="00A10636" w:rsidP="00A10636">
      <w:pPr>
        <w:pStyle w:val="BodyText"/>
      </w:pPr>
      <w:r w:rsidRPr="00D9348B">
        <w:t>New Zealand’s exotic forest plantation estate is intensively managed for production forestry, with rapid-growing genotypes selected and enhanced for optimum growth. In 2018, plantation forests covered approximately 2.10 million hectares – around 7.8 per cent of New Zealand’s total land area. This also includes areas not managed for timber supply, for instance, areas planted for erosion control.</w:t>
      </w:r>
    </w:p>
    <w:p w14:paraId="0FE332FC" w14:textId="77777777" w:rsidR="00A10636" w:rsidRPr="00D9348B" w:rsidRDefault="00A10636" w:rsidP="00A10636">
      <w:pPr>
        <w:pStyle w:val="BodyText"/>
      </w:pPr>
      <w:r w:rsidRPr="00D9348B">
        <w:t>The terms ‘post-1989’ and ‘pre-1990’ are used throughout this inventory to distinguish between forests that existed at 1990 and those that did not. The terms ‘natural’ and ‘planted’ forest are used to distinguish between the different species compositions of the forests.</w:t>
      </w:r>
    </w:p>
    <w:p w14:paraId="1A279D5B" w14:textId="77777777" w:rsidR="00A10636" w:rsidRPr="00D9348B" w:rsidRDefault="00A10636" w:rsidP="00A10636">
      <w:pPr>
        <w:pStyle w:val="Heading3"/>
      </w:pPr>
      <w:r w:rsidRPr="00D9348B">
        <w:t>6.1.2</w:t>
      </w:r>
      <w:r w:rsidRPr="00D9348B">
        <w:tab/>
        <w:t>Methodological issues for the LULUCF sector</w:t>
      </w:r>
    </w:p>
    <w:p w14:paraId="7CCC5B2F" w14:textId="77777777" w:rsidR="00A10636" w:rsidRPr="00D9348B" w:rsidRDefault="00A10636" w:rsidP="00A10636">
      <w:pPr>
        <w:pStyle w:val="BodyText"/>
        <w:spacing w:before="100" w:after="100"/>
      </w:pPr>
      <w:r w:rsidRPr="00D9348B">
        <w:t xml:space="preserve">New Zealand uses a combination of Tier 1, Tier 2 and Tier 3 methods for estimating net emissions for the LULUCF sector. A Tier 1 approach has been used to estimate carbon stock change in the four biomass pools (above-ground and below-ground biomass, dead wood and litter) for all land uses except </w:t>
      </w:r>
      <w:r w:rsidRPr="00D9348B">
        <w:rPr>
          <w:i/>
        </w:rPr>
        <w:t>Forest land</w:t>
      </w:r>
      <w:r w:rsidRPr="00D9348B">
        <w:t>, perennial cropland and grassland with woody biomass, which use Tier 2 or Tier 3 approaches.</w:t>
      </w:r>
    </w:p>
    <w:p w14:paraId="46D323F1" w14:textId="77777777" w:rsidR="00A10636" w:rsidRPr="00D9348B" w:rsidRDefault="00A10636" w:rsidP="00A10636">
      <w:pPr>
        <w:pStyle w:val="BodyText"/>
        <w:spacing w:before="100" w:after="100"/>
        <w:rPr>
          <w:spacing w:val="-2"/>
        </w:rPr>
      </w:pPr>
      <w:r w:rsidRPr="00D9348B">
        <w:rPr>
          <w:spacing w:val="-2"/>
        </w:rPr>
        <w:t xml:space="preserve">For all land uses, Tier 1 approaches are used to estimate carbon stock changes in organic soils, and a Tier 2 modelling approach is applied to estimate soil organic carbon changes from mineral soils. </w:t>
      </w:r>
    </w:p>
    <w:p w14:paraId="2D16B6C9" w14:textId="77777777" w:rsidR="00A10636" w:rsidRPr="00D9348B" w:rsidRDefault="00A10636" w:rsidP="00A10636">
      <w:pPr>
        <w:pStyle w:val="BodyText"/>
        <w:spacing w:before="100" w:after="100"/>
      </w:pPr>
      <w:r w:rsidRPr="00D9348B">
        <w:t xml:space="preserve">Different methods are used to obtain emission factors when estimating emissions and removals from post-1989 natural forest and post-1989 planted forest, to ensure the different growth characteristics are reflected in the estimates. These divisions are combined into a single land use of post-1989 forest when reporting emissions in the common reporting format (CRF) tables. </w:t>
      </w:r>
    </w:p>
    <w:p w14:paraId="5B6EF584" w14:textId="77777777" w:rsidR="00A10636" w:rsidRPr="00D9348B" w:rsidRDefault="00A10636" w:rsidP="00A10636">
      <w:pPr>
        <w:pStyle w:val="BodyText"/>
        <w:spacing w:before="100" w:after="100"/>
      </w:pPr>
      <w:r w:rsidRPr="00D9348B">
        <w:lastRenderedPageBreak/>
        <w:t xml:space="preserve">Grassland with woody biomass consists of grassland areas where the cover of woody species is less than 30 per cent and/or does not meet, nor have the potential to meet, the New Zealand forest definition. The land classified as grassland with woody biomass is therefore diverse. To allow for this, the category is further subdivided into ‘permanent’ and ‘transitional’ types for modelling the emissions from land-use change. Separate emission factors for these two types of grassland with woody biomass are derived from the Land Use and Carbon Analysis System (LUCAS) plot network (Wakelin and Beets, unpublished). </w:t>
      </w:r>
    </w:p>
    <w:p w14:paraId="4ACDA125" w14:textId="77777777" w:rsidR="00A10636" w:rsidRPr="00D9348B" w:rsidRDefault="00A10636" w:rsidP="00865BDB">
      <w:pPr>
        <w:pStyle w:val="Heading4"/>
      </w:pPr>
      <w:bookmarkStart w:id="1170" w:name="_Toc280630206"/>
      <w:r w:rsidRPr="00D9348B">
        <w:t>Emission factors</w:t>
      </w:r>
      <w:bookmarkEnd w:id="1170"/>
    </w:p>
    <w:p w14:paraId="4DABDA43" w14:textId="77777777" w:rsidR="00A10636" w:rsidRPr="00D9348B" w:rsidRDefault="00A10636" w:rsidP="00A10636">
      <w:pPr>
        <w:pStyle w:val="BodyText"/>
      </w:pPr>
      <w:r w:rsidRPr="00D9348B">
        <w:t>The emission factors required to estimate carbon stock changes are provided in tables 6.1.3 and 6.1.4. Table 6.1.3 contains biomass carbon stocks in each land use prior to conversion, and table 6.1.4 contains the annual growth in biomass carbon stock after land-use change.</w:t>
      </w:r>
    </w:p>
    <w:p w14:paraId="54E123AA" w14:textId="77777777" w:rsidR="00A10636" w:rsidRPr="00D9348B" w:rsidRDefault="00A10636" w:rsidP="00A10636">
      <w:pPr>
        <w:pStyle w:val="Table"/>
      </w:pPr>
      <w:bookmarkStart w:id="1171" w:name="_Toc280630448"/>
      <w:bookmarkStart w:id="1172" w:name="_Toc310423390"/>
      <w:bookmarkStart w:id="1173" w:name="_Toc318362683"/>
      <w:bookmarkStart w:id="1174" w:name="_Toc342470745"/>
      <w:bookmarkStart w:id="1175" w:name="_Toc352504985"/>
      <w:bookmarkStart w:id="1176" w:name="_Toc378853274"/>
      <w:bookmarkStart w:id="1177" w:name="_Toc391024072"/>
      <w:bookmarkStart w:id="1178" w:name="_Toc410028815"/>
      <w:bookmarkStart w:id="1179" w:name="_Toc414531443"/>
      <w:bookmarkStart w:id="1180" w:name="_Toc443645355"/>
      <w:bookmarkStart w:id="1181" w:name="_Toc474914574"/>
      <w:bookmarkStart w:id="1182" w:name="_Toc481751538"/>
      <w:bookmarkStart w:id="1183" w:name="_Toc522010595"/>
      <w:bookmarkStart w:id="1184" w:name="_Toc5269500"/>
      <w:bookmarkStart w:id="1185" w:name="_Toc33529376"/>
      <w:bookmarkStart w:id="1186" w:name="_Toc36224582"/>
      <w:r w:rsidRPr="00D9348B">
        <w:t>Table 6.1.3</w:t>
      </w:r>
      <w:r w:rsidRPr="00D9348B">
        <w:tab/>
        <w:t>New Zealand’s biomass carbon stock emission factors in land use before conversion</w:t>
      </w:r>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p>
    <w:tbl>
      <w:tblPr>
        <w:tblW w:w="8562" w:type="dxa"/>
        <w:tblInd w:w="108" w:type="dxa"/>
        <w:tblLayout w:type="fixed"/>
        <w:tblLook w:val="04A0" w:firstRow="1" w:lastRow="0" w:firstColumn="1" w:lastColumn="0" w:noHBand="0" w:noVBand="1"/>
      </w:tblPr>
      <w:tblGrid>
        <w:gridCol w:w="1155"/>
        <w:gridCol w:w="1781"/>
        <w:gridCol w:w="1884"/>
        <w:gridCol w:w="1984"/>
        <w:gridCol w:w="1758"/>
      </w:tblGrid>
      <w:tr w:rsidR="00A10636" w:rsidRPr="00D9348B" w14:paraId="1050AE8B" w14:textId="77777777" w:rsidTr="00022513">
        <w:trPr>
          <w:tblHeader/>
        </w:trPr>
        <w:tc>
          <w:tcPr>
            <w:tcW w:w="1155" w:type="dxa"/>
            <w:tcBorders>
              <w:top w:val="single" w:sz="4" w:space="0" w:color="365F91"/>
              <w:bottom w:val="single" w:sz="4" w:space="0" w:color="365F91"/>
            </w:tcBorders>
            <w:shd w:val="clear" w:color="auto" w:fill="365F91"/>
            <w:vAlign w:val="bottom"/>
          </w:tcPr>
          <w:p w14:paraId="5C221D1A" w14:textId="282D8CFC" w:rsidR="00A10636" w:rsidRPr="00D9348B" w:rsidRDefault="00766DDA" w:rsidP="00DB330E">
            <w:pPr>
              <w:pStyle w:val="TableTextBold"/>
              <w:keepNext/>
              <w:rPr>
                <w:rFonts w:cs="Calibri"/>
                <w:noProof w:val="0"/>
                <w:color w:val="FFFFFF"/>
                <w:szCs w:val="16"/>
              </w:rPr>
            </w:pPr>
            <w:r>
              <w:rPr>
                <w:rFonts w:cs="Calibri"/>
                <w:noProof w:val="0"/>
                <w:color w:val="FFFFFF"/>
                <w:szCs w:val="16"/>
              </w:rPr>
              <w:t>Land-use</w:t>
            </w:r>
            <w:r w:rsidR="00A10636" w:rsidRPr="00D9348B">
              <w:rPr>
                <w:rFonts w:cs="Calibri"/>
                <w:noProof w:val="0"/>
                <w:color w:val="FFFFFF"/>
                <w:szCs w:val="16"/>
              </w:rPr>
              <w:t xml:space="preserve"> category</w:t>
            </w:r>
          </w:p>
        </w:tc>
        <w:tc>
          <w:tcPr>
            <w:tcW w:w="1781" w:type="dxa"/>
            <w:tcBorders>
              <w:top w:val="single" w:sz="4" w:space="0" w:color="365F91"/>
              <w:bottom w:val="single" w:sz="4" w:space="0" w:color="365F91"/>
            </w:tcBorders>
            <w:shd w:val="clear" w:color="auto" w:fill="365F91"/>
            <w:vAlign w:val="bottom"/>
          </w:tcPr>
          <w:p w14:paraId="23C36150" w14:textId="1FF741B6" w:rsidR="00A10636" w:rsidRPr="00D9348B" w:rsidRDefault="00766DDA" w:rsidP="00DB330E">
            <w:pPr>
              <w:pStyle w:val="TableTextBold"/>
              <w:keepNext/>
              <w:rPr>
                <w:rFonts w:cs="Calibri"/>
                <w:noProof w:val="0"/>
                <w:color w:val="FFFFFF"/>
                <w:szCs w:val="16"/>
              </w:rPr>
            </w:pPr>
            <w:r>
              <w:rPr>
                <w:rFonts w:cs="Calibri"/>
                <w:noProof w:val="0"/>
                <w:color w:val="FFFFFF"/>
                <w:szCs w:val="16"/>
              </w:rPr>
              <w:t>Land-use</w:t>
            </w:r>
            <w:r w:rsidR="00A10636" w:rsidRPr="00D9348B">
              <w:rPr>
                <w:rFonts w:cs="Calibri"/>
                <w:noProof w:val="0"/>
                <w:color w:val="FFFFFF"/>
                <w:szCs w:val="16"/>
              </w:rPr>
              <w:t xml:space="preserve"> type</w:t>
            </w:r>
          </w:p>
        </w:tc>
        <w:tc>
          <w:tcPr>
            <w:tcW w:w="1884" w:type="dxa"/>
            <w:tcBorders>
              <w:top w:val="single" w:sz="4" w:space="0" w:color="365F91"/>
              <w:bottom w:val="single" w:sz="4" w:space="0" w:color="365F91"/>
            </w:tcBorders>
            <w:shd w:val="clear" w:color="auto" w:fill="365F91"/>
            <w:vAlign w:val="bottom"/>
          </w:tcPr>
          <w:p w14:paraId="1978FF00" w14:textId="77777777" w:rsidR="00A10636" w:rsidRPr="00D9348B" w:rsidRDefault="00A10636" w:rsidP="00DB330E">
            <w:pPr>
              <w:pStyle w:val="TableTextBold"/>
              <w:keepNext/>
              <w:rPr>
                <w:rFonts w:cs="Calibri"/>
                <w:noProof w:val="0"/>
                <w:color w:val="FFFFFF"/>
                <w:szCs w:val="16"/>
              </w:rPr>
            </w:pPr>
            <w:r w:rsidRPr="00D9348B">
              <w:rPr>
                <w:rFonts w:cs="Calibri"/>
                <w:noProof w:val="0"/>
                <w:color w:val="FFFFFF"/>
                <w:szCs w:val="16"/>
              </w:rPr>
              <w:t>Reference carbon stock values (t C ha</w:t>
            </w:r>
            <w:r w:rsidRPr="00D9348B">
              <w:rPr>
                <w:rFonts w:cs="Calibri"/>
                <w:noProof w:val="0"/>
                <w:color w:val="FFFFFF"/>
                <w:szCs w:val="16"/>
                <w:vertAlign w:val="superscript"/>
              </w:rPr>
              <w:t>–1</w:t>
            </w:r>
            <w:r w:rsidRPr="00D9348B">
              <w:rPr>
                <w:rFonts w:cs="Calibri"/>
                <w:noProof w:val="0"/>
                <w:color w:val="FFFFFF"/>
                <w:szCs w:val="16"/>
              </w:rPr>
              <w:t>)</w:t>
            </w:r>
          </w:p>
        </w:tc>
        <w:tc>
          <w:tcPr>
            <w:tcW w:w="1984" w:type="dxa"/>
            <w:tcBorders>
              <w:top w:val="single" w:sz="4" w:space="0" w:color="365F91"/>
              <w:bottom w:val="single" w:sz="4" w:space="0" w:color="365F91"/>
            </w:tcBorders>
            <w:shd w:val="clear" w:color="auto" w:fill="365F91"/>
            <w:vAlign w:val="bottom"/>
          </w:tcPr>
          <w:p w14:paraId="51DB5AAC" w14:textId="77777777" w:rsidR="00A10636" w:rsidRPr="00D9348B" w:rsidRDefault="00A10636" w:rsidP="00DB330E">
            <w:pPr>
              <w:pStyle w:val="TableTextBold"/>
              <w:keepNext/>
              <w:rPr>
                <w:rFonts w:cs="Calibri"/>
                <w:noProof w:val="0"/>
                <w:color w:val="FFFFFF"/>
                <w:szCs w:val="16"/>
              </w:rPr>
            </w:pPr>
            <w:r w:rsidRPr="00D9348B">
              <w:rPr>
                <w:rFonts w:cs="Calibri"/>
                <w:noProof w:val="0"/>
                <w:color w:val="FFFFFF"/>
                <w:szCs w:val="16"/>
              </w:rPr>
              <w:t>Carbon pools</w:t>
            </w:r>
          </w:p>
        </w:tc>
        <w:tc>
          <w:tcPr>
            <w:tcW w:w="1758" w:type="dxa"/>
            <w:tcBorders>
              <w:top w:val="single" w:sz="4" w:space="0" w:color="365F91"/>
              <w:bottom w:val="single" w:sz="4" w:space="0" w:color="365F91"/>
            </w:tcBorders>
            <w:shd w:val="clear" w:color="auto" w:fill="365F91"/>
            <w:vAlign w:val="bottom"/>
          </w:tcPr>
          <w:p w14:paraId="673250BF" w14:textId="77777777" w:rsidR="00A10636" w:rsidRPr="00D9348B" w:rsidRDefault="00A10636" w:rsidP="00DB330E">
            <w:pPr>
              <w:pStyle w:val="TableTextBold"/>
              <w:keepNext/>
              <w:rPr>
                <w:rFonts w:cs="Calibri"/>
                <w:noProof w:val="0"/>
                <w:color w:val="FFFFFF"/>
                <w:szCs w:val="16"/>
              </w:rPr>
            </w:pPr>
            <w:r w:rsidRPr="00D9348B">
              <w:rPr>
                <w:rFonts w:cs="Calibri"/>
                <w:noProof w:val="0"/>
                <w:color w:val="FFFFFF"/>
                <w:szCs w:val="16"/>
              </w:rPr>
              <w:t>Reference</w:t>
            </w:r>
          </w:p>
        </w:tc>
      </w:tr>
      <w:tr w:rsidR="00A10636" w:rsidRPr="00D9348B" w14:paraId="63205856" w14:textId="77777777" w:rsidTr="00022513">
        <w:tc>
          <w:tcPr>
            <w:tcW w:w="1155" w:type="dxa"/>
            <w:vMerge w:val="restart"/>
            <w:tcBorders>
              <w:top w:val="single" w:sz="4" w:space="0" w:color="365F91"/>
            </w:tcBorders>
          </w:tcPr>
          <w:p w14:paraId="0244C758" w14:textId="77777777" w:rsidR="00A10636" w:rsidRPr="00D9348B" w:rsidRDefault="00A10636" w:rsidP="00DB330E">
            <w:pPr>
              <w:pStyle w:val="TableText"/>
              <w:keepNext/>
              <w:rPr>
                <w:rFonts w:cs="Calibri"/>
                <w:szCs w:val="16"/>
              </w:rPr>
            </w:pPr>
            <w:r w:rsidRPr="00D9348B">
              <w:rPr>
                <w:rFonts w:cs="Calibri"/>
                <w:szCs w:val="16"/>
              </w:rPr>
              <w:t>Forest land</w:t>
            </w:r>
          </w:p>
        </w:tc>
        <w:tc>
          <w:tcPr>
            <w:tcW w:w="1781" w:type="dxa"/>
            <w:tcBorders>
              <w:top w:val="single" w:sz="4" w:space="0" w:color="365F91"/>
              <w:bottom w:val="single" w:sz="4" w:space="0" w:color="365F91"/>
            </w:tcBorders>
          </w:tcPr>
          <w:p w14:paraId="23A01AF7" w14:textId="77777777" w:rsidR="00A10636" w:rsidRPr="00D9348B" w:rsidRDefault="00A10636" w:rsidP="00DB330E">
            <w:pPr>
              <w:pStyle w:val="TableText"/>
              <w:keepNext/>
              <w:rPr>
                <w:rFonts w:cs="Calibri"/>
                <w:szCs w:val="16"/>
              </w:rPr>
            </w:pPr>
            <w:r w:rsidRPr="00D9348B">
              <w:rPr>
                <w:rFonts w:cs="Calibri"/>
                <w:szCs w:val="16"/>
              </w:rPr>
              <w:t>Pre-1990 natural forest: regenerating*</w:t>
            </w:r>
          </w:p>
        </w:tc>
        <w:tc>
          <w:tcPr>
            <w:tcW w:w="1884" w:type="dxa"/>
            <w:tcBorders>
              <w:top w:val="single" w:sz="4" w:space="0" w:color="365F91"/>
              <w:bottom w:val="single" w:sz="4" w:space="0" w:color="365F91"/>
            </w:tcBorders>
          </w:tcPr>
          <w:p w14:paraId="50373EB6" w14:textId="77777777" w:rsidR="00A10636" w:rsidRPr="00D9348B" w:rsidRDefault="00A10636" w:rsidP="00DB330E">
            <w:pPr>
              <w:pStyle w:val="TableText"/>
              <w:keepNext/>
              <w:rPr>
                <w:rFonts w:cs="Calibri"/>
                <w:szCs w:val="16"/>
              </w:rPr>
            </w:pPr>
            <w:r w:rsidRPr="00D9348B">
              <w:rPr>
                <w:rFonts w:cs="Calibri"/>
                <w:szCs w:val="16"/>
              </w:rPr>
              <w:t>Based on an annual carbon stock yield table</w:t>
            </w:r>
          </w:p>
        </w:tc>
        <w:tc>
          <w:tcPr>
            <w:tcW w:w="1984" w:type="dxa"/>
            <w:tcBorders>
              <w:top w:val="single" w:sz="4" w:space="0" w:color="365F91"/>
              <w:bottom w:val="single" w:sz="4" w:space="0" w:color="365F91"/>
            </w:tcBorders>
          </w:tcPr>
          <w:p w14:paraId="726DB9CF" w14:textId="77777777" w:rsidR="00A10636" w:rsidRPr="00D9348B" w:rsidRDefault="00A10636" w:rsidP="00DB330E">
            <w:pPr>
              <w:pStyle w:val="TableText"/>
              <w:keepNext/>
              <w:rPr>
                <w:rFonts w:cs="Calibri"/>
                <w:szCs w:val="16"/>
              </w:rPr>
            </w:pPr>
            <w:r w:rsidRPr="00D9348B">
              <w:rPr>
                <w:rFonts w:cs="Calibri"/>
                <w:szCs w:val="16"/>
              </w:rPr>
              <w:t>All biomass pools</w:t>
            </w:r>
          </w:p>
        </w:tc>
        <w:tc>
          <w:tcPr>
            <w:tcW w:w="1758" w:type="dxa"/>
            <w:tcBorders>
              <w:top w:val="single" w:sz="4" w:space="0" w:color="365F91"/>
              <w:bottom w:val="single" w:sz="4" w:space="0" w:color="365F91"/>
            </w:tcBorders>
          </w:tcPr>
          <w:p w14:paraId="767E3767" w14:textId="77777777" w:rsidR="00A10636" w:rsidRPr="00D9348B" w:rsidRDefault="00A10636" w:rsidP="00DB330E">
            <w:pPr>
              <w:pStyle w:val="TableText"/>
              <w:keepNext/>
              <w:rPr>
                <w:rFonts w:cs="Calibri"/>
                <w:szCs w:val="16"/>
              </w:rPr>
            </w:pPr>
            <w:r w:rsidRPr="00D9348B">
              <w:rPr>
                <w:rFonts w:cs="Calibri"/>
                <w:szCs w:val="16"/>
              </w:rPr>
              <w:t>Paul et al. (unpublished(b))</w:t>
            </w:r>
          </w:p>
        </w:tc>
      </w:tr>
      <w:tr w:rsidR="00A10636" w:rsidRPr="00D9348B" w14:paraId="48715F66" w14:textId="77777777" w:rsidTr="00022513">
        <w:tc>
          <w:tcPr>
            <w:tcW w:w="1155" w:type="dxa"/>
            <w:vMerge/>
          </w:tcPr>
          <w:p w14:paraId="6AE9C710" w14:textId="77777777" w:rsidR="00A10636" w:rsidRPr="00D9348B" w:rsidRDefault="00A10636" w:rsidP="00DB330E">
            <w:pPr>
              <w:pStyle w:val="TableText"/>
              <w:keepNext/>
              <w:rPr>
                <w:rFonts w:cs="Calibri"/>
                <w:szCs w:val="16"/>
              </w:rPr>
            </w:pPr>
          </w:p>
        </w:tc>
        <w:tc>
          <w:tcPr>
            <w:tcW w:w="1781" w:type="dxa"/>
            <w:tcBorders>
              <w:top w:val="single" w:sz="4" w:space="0" w:color="365F91"/>
              <w:bottom w:val="single" w:sz="4" w:space="0" w:color="365F91"/>
            </w:tcBorders>
          </w:tcPr>
          <w:p w14:paraId="25869944" w14:textId="77777777" w:rsidR="00A10636" w:rsidRPr="00D9348B" w:rsidRDefault="00A10636" w:rsidP="00DB330E">
            <w:pPr>
              <w:pStyle w:val="TableText"/>
              <w:keepNext/>
              <w:rPr>
                <w:rFonts w:cs="Calibri"/>
                <w:szCs w:val="16"/>
              </w:rPr>
            </w:pPr>
            <w:r w:rsidRPr="00D9348B">
              <w:rPr>
                <w:rFonts w:cs="Calibri"/>
                <w:szCs w:val="16"/>
              </w:rPr>
              <w:t>Pre-1990 natural forest: tall forest*</w:t>
            </w:r>
          </w:p>
        </w:tc>
        <w:tc>
          <w:tcPr>
            <w:tcW w:w="1884" w:type="dxa"/>
            <w:tcBorders>
              <w:top w:val="single" w:sz="4" w:space="0" w:color="365F91"/>
              <w:bottom w:val="single" w:sz="4" w:space="0" w:color="365F91"/>
            </w:tcBorders>
          </w:tcPr>
          <w:p w14:paraId="37B28146" w14:textId="77777777" w:rsidR="00A10636" w:rsidRPr="00D9348B" w:rsidRDefault="00A10636" w:rsidP="00DB330E">
            <w:pPr>
              <w:pStyle w:val="TableText"/>
              <w:keepNext/>
              <w:rPr>
                <w:rFonts w:cs="Calibri"/>
                <w:szCs w:val="16"/>
              </w:rPr>
            </w:pPr>
            <w:r w:rsidRPr="00D9348B">
              <w:rPr>
                <w:rFonts w:cs="Calibri"/>
                <w:szCs w:val="16"/>
              </w:rPr>
              <w:t>251.0</w:t>
            </w:r>
          </w:p>
        </w:tc>
        <w:tc>
          <w:tcPr>
            <w:tcW w:w="1984" w:type="dxa"/>
            <w:tcBorders>
              <w:top w:val="single" w:sz="4" w:space="0" w:color="365F91"/>
              <w:bottom w:val="single" w:sz="4" w:space="0" w:color="365F91"/>
            </w:tcBorders>
          </w:tcPr>
          <w:p w14:paraId="56161D6A" w14:textId="77777777" w:rsidR="00A10636" w:rsidRPr="00D9348B" w:rsidRDefault="00A10636" w:rsidP="00DB330E">
            <w:pPr>
              <w:pStyle w:val="TableText"/>
              <w:keepNext/>
              <w:rPr>
                <w:rFonts w:cs="Calibri"/>
                <w:szCs w:val="16"/>
              </w:rPr>
            </w:pPr>
            <w:r w:rsidRPr="00D9348B">
              <w:rPr>
                <w:rFonts w:cs="Calibri"/>
                <w:szCs w:val="16"/>
              </w:rPr>
              <w:t>All biomass pools</w:t>
            </w:r>
          </w:p>
        </w:tc>
        <w:tc>
          <w:tcPr>
            <w:tcW w:w="1758" w:type="dxa"/>
            <w:tcBorders>
              <w:top w:val="single" w:sz="4" w:space="0" w:color="365F91"/>
              <w:bottom w:val="single" w:sz="4" w:space="0" w:color="365F91"/>
            </w:tcBorders>
          </w:tcPr>
          <w:p w14:paraId="2973542F" w14:textId="77777777" w:rsidR="00A10636" w:rsidRPr="00D9348B" w:rsidRDefault="00A10636" w:rsidP="00DB330E">
            <w:pPr>
              <w:pStyle w:val="TableText"/>
              <w:keepNext/>
              <w:rPr>
                <w:rFonts w:cs="Calibri"/>
                <w:szCs w:val="16"/>
              </w:rPr>
            </w:pPr>
            <w:r w:rsidRPr="00D9348B">
              <w:rPr>
                <w:rFonts w:cs="Calibri"/>
                <w:szCs w:val="16"/>
              </w:rPr>
              <w:t>Derived from Paul et al. (unpublished(b))</w:t>
            </w:r>
          </w:p>
        </w:tc>
      </w:tr>
      <w:tr w:rsidR="00A10636" w:rsidRPr="00D9348B" w14:paraId="4E6B137B" w14:textId="77777777" w:rsidTr="00022513">
        <w:tc>
          <w:tcPr>
            <w:tcW w:w="1155" w:type="dxa"/>
            <w:vMerge/>
          </w:tcPr>
          <w:p w14:paraId="40659B1B" w14:textId="77777777" w:rsidR="00A10636" w:rsidRPr="00D9348B" w:rsidRDefault="00A10636" w:rsidP="00DB330E">
            <w:pPr>
              <w:pStyle w:val="TableText"/>
              <w:keepNext/>
              <w:rPr>
                <w:rFonts w:cs="Calibri"/>
                <w:szCs w:val="16"/>
              </w:rPr>
            </w:pPr>
          </w:p>
        </w:tc>
        <w:tc>
          <w:tcPr>
            <w:tcW w:w="1781" w:type="dxa"/>
            <w:tcBorders>
              <w:top w:val="single" w:sz="4" w:space="0" w:color="365F91"/>
              <w:bottom w:val="single" w:sz="4" w:space="0" w:color="365F91"/>
            </w:tcBorders>
          </w:tcPr>
          <w:p w14:paraId="14FC267D" w14:textId="77777777" w:rsidR="00A10636" w:rsidRPr="00D9348B" w:rsidRDefault="00A10636" w:rsidP="00DB330E">
            <w:pPr>
              <w:pStyle w:val="TableText"/>
              <w:keepNext/>
              <w:rPr>
                <w:rFonts w:cs="Calibri"/>
                <w:szCs w:val="16"/>
              </w:rPr>
            </w:pPr>
            <w:r w:rsidRPr="00D9348B">
              <w:rPr>
                <w:rFonts w:cs="Calibri"/>
                <w:szCs w:val="16"/>
              </w:rPr>
              <w:t>Pre-1990 planted forest</w:t>
            </w:r>
          </w:p>
        </w:tc>
        <w:tc>
          <w:tcPr>
            <w:tcW w:w="1884" w:type="dxa"/>
            <w:tcBorders>
              <w:top w:val="single" w:sz="4" w:space="0" w:color="365F91"/>
              <w:bottom w:val="single" w:sz="4" w:space="0" w:color="365F91"/>
            </w:tcBorders>
          </w:tcPr>
          <w:p w14:paraId="285D4E6C" w14:textId="77777777" w:rsidR="00A10636" w:rsidRPr="00D9348B" w:rsidRDefault="00A10636" w:rsidP="00DB330E">
            <w:pPr>
              <w:pStyle w:val="TableText"/>
              <w:keepNext/>
              <w:rPr>
                <w:rFonts w:cs="Calibri"/>
                <w:szCs w:val="16"/>
              </w:rPr>
            </w:pPr>
            <w:r w:rsidRPr="00D9348B">
              <w:rPr>
                <w:rFonts w:cs="Calibri"/>
                <w:szCs w:val="16"/>
              </w:rPr>
              <w:t>Based on an age-based carbon yield table</w:t>
            </w:r>
          </w:p>
        </w:tc>
        <w:tc>
          <w:tcPr>
            <w:tcW w:w="1984" w:type="dxa"/>
            <w:tcBorders>
              <w:top w:val="single" w:sz="4" w:space="0" w:color="365F91"/>
              <w:bottom w:val="single" w:sz="4" w:space="0" w:color="365F91"/>
            </w:tcBorders>
          </w:tcPr>
          <w:p w14:paraId="1E9643E0" w14:textId="77777777" w:rsidR="00A10636" w:rsidRPr="00D9348B" w:rsidRDefault="00A10636" w:rsidP="00DB330E">
            <w:pPr>
              <w:pStyle w:val="TableText"/>
              <w:keepNext/>
              <w:rPr>
                <w:rFonts w:cs="Calibri"/>
                <w:szCs w:val="16"/>
              </w:rPr>
            </w:pPr>
            <w:r w:rsidRPr="00D9348B">
              <w:rPr>
                <w:rFonts w:cs="Calibri"/>
                <w:szCs w:val="16"/>
              </w:rPr>
              <w:t>All biomass pools</w:t>
            </w:r>
          </w:p>
        </w:tc>
        <w:tc>
          <w:tcPr>
            <w:tcW w:w="1758" w:type="dxa"/>
            <w:tcBorders>
              <w:top w:val="single" w:sz="4" w:space="0" w:color="365F91"/>
              <w:bottom w:val="single" w:sz="4" w:space="0" w:color="365F91"/>
            </w:tcBorders>
          </w:tcPr>
          <w:p w14:paraId="05B6BC86" w14:textId="77777777" w:rsidR="00A10636" w:rsidRPr="00D9348B" w:rsidRDefault="00A10636" w:rsidP="00DB330E">
            <w:pPr>
              <w:pStyle w:val="TableText"/>
              <w:keepNext/>
              <w:rPr>
                <w:rFonts w:cs="Calibri"/>
                <w:szCs w:val="16"/>
              </w:rPr>
            </w:pPr>
            <w:r w:rsidRPr="00D9348B">
              <w:rPr>
                <w:rFonts w:cs="Calibri"/>
                <w:szCs w:val="16"/>
              </w:rPr>
              <w:t>Paul et al. (unpublished(a))</w:t>
            </w:r>
          </w:p>
        </w:tc>
      </w:tr>
      <w:tr w:rsidR="00A10636" w:rsidRPr="00D9348B" w14:paraId="59B5BEC3" w14:textId="77777777" w:rsidTr="00022513">
        <w:tc>
          <w:tcPr>
            <w:tcW w:w="1155" w:type="dxa"/>
            <w:vMerge/>
          </w:tcPr>
          <w:p w14:paraId="7CD7355D" w14:textId="77777777" w:rsidR="00A10636" w:rsidRPr="00D9348B" w:rsidRDefault="00A10636" w:rsidP="00DB330E">
            <w:pPr>
              <w:pStyle w:val="TableText"/>
              <w:rPr>
                <w:rFonts w:cs="Calibri"/>
                <w:szCs w:val="16"/>
              </w:rPr>
            </w:pPr>
          </w:p>
        </w:tc>
        <w:tc>
          <w:tcPr>
            <w:tcW w:w="1781" w:type="dxa"/>
            <w:tcBorders>
              <w:top w:val="single" w:sz="4" w:space="0" w:color="365F91"/>
              <w:bottom w:val="single" w:sz="4" w:space="0" w:color="365F91"/>
            </w:tcBorders>
          </w:tcPr>
          <w:p w14:paraId="67272F43" w14:textId="77777777" w:rsidR="00A10636" w:rsidRPr="00D9348B" w:rsidRDefault="00A10636" w:rsidP="00DB330E">
            <w:pPr>
              <w:pStyle w:val="TableText"/>
              <w:rPr>
                <w:rFonts w:cs="Calibri"/>
                <w:szCs w:val="16"/>
              </w:rPr>
            </w:pPr>
            <w:r w:rsidRPr="00D9348B">
              <w:rPr>
                <w:rFonts w:cs="Calibri"/>
                <w:szCs w:val="16"/>
              </w:rPr>
              <w:t>Post-1989 natural forest</w:t>
            </w:r>
          </w:p>
        </w:tc>
        <w:tc>
          <w:tcPr>
            <w:tcW w:w="1884" w:type="dxa"/>
            <w:tcBorders>
              <w:top w:val="single" w:sz="4" w:space="0" w:color="365F91"/>
              <w:bottom w:val="single" w:sz="4" w:space="0" w:color="365F91"/>
            </w:tcBorders>
          </w:tcPr>
          <w:p w14:paraId="654D0E8E" w14:textId="77777777" w:rsidR="00A10636" w:rsidRPr="00D9348B" w:rsidRDefault="00A10636" w:rsidP="00DB330E">
            <w:pPr>
              <w:pStyle w:val="TableText"/>
              <w:rPr>
                <w:rFonts w:cs="Calibri"/>
                <w:szCs w:val="16"/>
              </w:rPr>
            </w:pPr>
            <w:r w:rsidRPr="00D9348B">
              <w:rPr>
                <w:rFonts w:cs="Calibri"/>
                <w:szCs w:val="16"/>
              </w:rPr>
              <w:t>Based on an age-based carbon yield table</w:t>
            </w:r>
          </w:p>
        </w:tc>
        <w:tc>
          <w:tcPr>
            <w:tcW w:w="1984" w:type="dxa"/>
            <w:tcBorders>
              <w:top w:val="single" w:sz="4" w:space="0" w:color="365F91"/>
              <w:bottom w:val="single" w:sz="4" w:space="0" w:color="365F91"/>
            </w:tcBorders>
          </w:tcPr>
          <w:p w14:paraId="58344908" w14:textId="77777777" w:rsidR="00A10636" w:rsidRPr="00D9348B" w:rsidRDefault="00A10636" w:rsidP="00DB330E">
            <w:pPr>
              <w:pStyle w:val="TableText"/>
              <w:rPr>
                <w:rFonts w:cs="Calibri"/>
                <w:szCs w:val="16"/>
              </w:rPr>
            </w:pPr>
            <w:r w:rsidRPr="00D9348B">
              <w:rPr>
                <w:rFonts w:cs="Calibri"/>
                <w:szCs w:val="16"/>
              </w:rPr>
              <w:t>All biomass pools</w:t>
            </w:r>
          </w:p>
        </w:tc>
        <w:tc>
          <w:tcPr>
            <w:tcW w:w="1758" w:type="dxa"/>
            <w:tcBorders>
              <w:top w:val="single" w:sz="4" w:space="0" w:color="365F91"/>
              <w:bottom w:val="single" w:sz="4" w:space="0" w:color="365F91"/>
            </w:tcBorders>
          </w:tcPr>
          <w:p w14:paraId="68E2A3E0" w14:textId="77777777" w:rsidR="00A10636" w:rsidRPr="00D9348B" w:rsidRDefault="00A10636" w:rsidP="00DB330E">
            <w:pPr>
              <w:pStyle w:val="TableText"/>
              <w:rPr>
                <w:rFonts w:cs="Calibri"/>
                <w:szCs w:val="16"/>
              </w:rPr>
            </w:pPr>
            <w:r w:rsidRPr="00D9348B">
              <w:rPr>
                <w:rFonts w:cs="Calibri"/>
                <w:szCs w:val="16"/>
              </w:rPr>
              <w:t>Beets et al. (2014b)</w:t>
            </w:r>
          </w:p>
        </w:tc>
      </w:tr>
      <w:tr w:rsidR="00A10636" w:rsidRPr="00D9348B" w14:paraId="4AD18A77" w14:textId="77777777" w:rsidTr="00022513">
        <w:tc>
          <w:tcPr>
            <w:tcW w:w="1155" w:type="dxa"/>
            <w:vMerge/>
            <w:tcBorders>
              <w:bottom w:val="single" w:sz="4" w:space="0" w:color="365F91"/>
            </w:tcBorders>
          </w:tcPr>
          <w:p w14:paraId="2C641861" w14:textId="77777777" w:rsidR="00A10636" w:rsidRPr="00D9348B" w:rsidRDefault="00A10636" w:rsidP="00DB330E">
            <w:pPr>
              <w:pStyle w:val="TableText"/>
              <w:rPr>
                <w:rFonts w:cs="Calibri"/>
                <w:szCs w:val="16"/>
              </w:rPr>
            </w:pPr>
          </w:p>
        </w:tc>
        <w:tc>
          <w:tcPr>
            <w:tcW w:w="1781" w:type="dxa"/>
            <w:tcBorders>
              <w:top w:val="single" w:sz="4" w:space="0" w:color="365F91"/>
              <w:bottom w:val="single" w:sz="4" w:space="0" w:color="365F91"/>
            </w:tcBorders>
          </w:tcPr>
          <w:p w14:paraId="17081D67" w14:textId="77777777" w:rsidR="00A10636" w:rsidRPr="00D9348B" w:rsidRDefault="00A10636" w:rsidP="00DB330E">
            <w:pPr>
              <w:pStyle w:val="TableText"/>
              <w:rPr>
                <w:rFonts w:cs="Calibri"/>
                <w:szCs w:val="16"/>
              </w:rPr>
            </w:pPr>
            <w:r w:rsidRPr="00D9348B">
              <w:rPr>
                <w:rFonts w:cs="Calibri"/>
                <w:szCs w:val="16"/>
              </w:rPr>
              <w:t>Post-1989 planted forest</w:t>
            </w:r>
          </w:p>
        </w:tc>
        <w:tc>
          <w:tcPr>
            <w:tcW w:w="1884" w:type="dxa"/>
            <w:tcBorders>
              <w:top w:val="single" w:sz="4" w:space="0" w:color="365F91"/>
              <w:bottom w:val="single" w:sz="4" w:space="0" w:color="365F91"/>
            </w:tcBorders>
          </w:tcPr>
          <w:p w14:paraId="2D5CBBEE" w14:textId="77777777" w:rsidR="00A10636" w:rsidRPr="00D9348B" w:rsidRDefault="00A10636" w:rsidP="00DB330E">
            <w:pPr>
              <w:pStyle w:val="TableText"/>
              <w:rPr>
                <w:rFonts w:cs="Calibri"/>
                <w:szCs w:val="16"/>
              </w:rPr>
            </w:pPr>
            <w:r w:rsidRPr="00D9348B">
              <w:rPr>
                <w:rFonts w:cs="Calibri"/>
                <w:szCs w:val="16"/>
              </w:rPr>
              <w:t>Based on an age-based carbon yield table</w:t>
            </w:r>
          </w:p>
        </w:tc>
        <w:tc>
          <w:tcPr>
            <w:tcW w:w="1984" w:type="dxa"/>
            <w:tcBorders>
              <w:top w:val="single" w:sz="4" w:space="0" w:color="365F91"/>
              <w:bottom w:val="single" w:sz="4" w:space="0" w:color="365F91"/>
            </w:tcBorders>
          </w:tcPr>
          <w:p w14:paraId="59A26630" w14:textId="77777777" w:rsidR="00A10636" w:rsidRPr="00D9348B" w:rsidRDefault="00A10636" w:rsidP="00DB330E">
            <w:pPr>
              <w:pStyle w:val="TableText"/>
              <w:rPr>
                <w:rFonts w:cs="Calibri"/>
                <w:szCs w:val="16"/>
              </w:rPr>
            </w:pPr>
            <w:r w:rsidRPr="00D9348B">
              <w:rPr>
                <w:rFonts w:cs="Calibri"/>
                <w:szCs w:val="16"/>
              </w:rPr>
              <w:t>All biomass pools</w:t>
            </w:r>
          </w:p>
        </w:tc>
        <w:tc>
          <w:tcPr>
            <w:tcW w:w="1758" w:type="dxa"/>
            <w:tcBorders>
              <w:top w:val="single" w:sz="4" w:space="0" w:color="365F91"/>
              <w:bottom w:val="single" w:sz="4" w:space="0" w:color="365F91"/>
            </w:tcBorders>
          </w:tcPr>
          <w:p w14:paraId="46371947" w14:textId="77777777" w:rsidR="00A10636" w:rsidRPr="00D9348B" w:rsidRDefault="00A10636" w:rsidP="00DB330E">
            <w:pPr>
              <w:pStyle w:val="TableText"/>
              <w:rPr>
                <w:rFonts w:cs="Calibri"/>
                <w:szCs w:val="16"/>
              </w:rPr>
            </w:pPr>
            <w:r w:rsidRPr="00D9348B">
              <w:rPr>
                <w:rFonts w:cs="Calibri"/>
                <w:szCs w:val="16"/>
              </w:rPr>
              <w:t>Paul et al. (unpublished(d))</w:t>
            </w:r>
          </w:p>
        </w:tc>
      </w:tr>
      <w:tr w:rsidR="00A10636" w:rsidRPr="00D9348B" w14:paraId="1FC2293B" w14:textId="77777777" w:rsidTr="00022513">
        <w:tc>
          <w:tcPr>
            <w:tcW w:w="1155" w:type="dxa"/>
            <w:vMerge w:val="restart"/>
            <w:tcBorders>
              <w:top w:val="single" w:sz="4" w:space="0" w:color="365F91"/>
            </w:tcBorders>
          </w:tcPr>
          <w:p w14:paraId="63B9D09E" w14:textId="77777777" w:rsidR="00A10636" w:rsidRPr="00D9348B" w:rsidRDefault="00A10636" w:rsidP="00DB330E">
            <w:pPr>
              <w:pStyle w:val="TableText"/>
              <w:rPr>
                <w:rFonts w:cs="Calibri"/>
                <w:szCs w:val="16"/>
              </w:rPr>
            </w:pPr>
            <w:r w:rsidRPr="00D9348B">
              <w:rPr>
                <w:rFonts w:cs="Calibri"/>
                <w:szCs w:val="16"/>
              </w:rPr>
              <w:t>Cropland</w:t>
            </w:r>
          </w:p>
        </w:tc>
        <w:tc>
          <w:tcPr>
            <w:tcW w:w="1781" w:type="dxa"/>
            <w:tcBorders>
              <w:top w:val="single" w:sz="4" w:space="0" w:color="365F91"/>
              <w:bottom w:val="single" w:sz="4" w:space="0" w:color="365F91"/>
            </w:tcBorders>
          </w:tcPr>
          <w:p w14:paraId="6A8531FC" w14:textId="77777777" w:rsidR="00A10636" w:rsidRPr="00D9348B" w:rsidRDefault="00A10636" w:rsidP="00DB330E">
            <w:pPr>
              <w:pStyle w:val="TableText"/>
              <w:rPr>
                <w:rFonts w:cs="Calibri"/>
                <w:szCs w:val="16"/>
              </w:rPr>
            </w:pPr>
            <w:r w:rsidRPr="00D9348B">
              <w:rPr>
                <w:rFonts w:cs="Calibri"/>
                <w:szCs w:val="16"/>
              </w:rPr>
              <w:t>Annual</w:t>
            </w:r>
          </w:p>
        </w:tc>
        <w:tc>
          <w:tcPr>
            <w:tcW w:w="1884" w:type="dxa"/>
            <w:tcBorders>
              <w:top w:val="single" w:sz="4" w:space="0" w:color="365F91"/>
              <w:bottom w:val="single" w:sz="4" w:space="0" w:color="365F91"/>
            </w:tcBorders>
          </w:tcPr>
          <w:p w14:paraId="12DB82AA" w14:textId="77777777" w:rsidR="00A10636" w:rsidRPr="00D9348B" w:rsidRDefault="00A10636" w:rsidP="00DB330E">
            <w:pPr>
              <w:pStyle w:val="TableText"/>
              <w:rPr>
                <w:rFonts w:cs="Calibri"/>
                <w:szCs w:val="16"/>
              </w:rPr>
            </w:pPr>
            <w:r w:rsidRPr="00D9348B">
              <w:rPr>
                <w:rFonts w:cs="Calibri"/>
                <w:szCs w:val="16"/>
              </w:rPr>
              <w:t>5</w:t>
            </w:r>
          </w:p>
        </w:tc>
        <w:tc>
          <w:tcPr>
            <w:tcW w:w="1984" w:type="dxa"/>
            <w:tcBorders>
              <w:top w:val="single" w:sz="4" w:space="0" w:color="365F91"/>
              <w:bottom w:val="single" w:sz="4" w:space="0" w:color="365F91"/>
            </w:tcBorders>
          </w:tcPr>
          <w:p w14:paraId="0A307FBD" w14:textId="77777777" w:rsidR="00A10636" w:rsidRPr="00D9348B" w:rsidRDefault="00A10636" w:rsidP="00DB330E">
            <w:pPr>
              <w:pStyle w:val="TableText"/>
              <w:rPr>
                <w:rFonts w:cs="Calibri"/>
                <w:szCs w:val="16"/>
              </w:rPr>
            </w:pPr>
            <w:r w:rsidRPr="00D9348B">
              <w:rPr>
                <w:rFonts w:cs="Calibri"/>
                <w:szCs w:val="16"/>
              </w:rPr>
              <w:t>Above- and below-ground biomass</w:t>
            </w:r>
          </w:p>
        </w:tc>
        <w:tc>
          <w:tcPr>
            <w:tcW w:w="1758" w:type="dxa"/>
            <w:tcBorders>
              <w:top w:val="single" w:sz="4" w:space="0" w:color="365F91"/>
              <w:bottom w:val="single" w:sz="4" w:space="0" w:color="365F91"/>
            </w:tcBorders>
          </w:tcPr>
          <w:p w14:paraId="01A1302F" w14:textId="77777777" w:rsidR="00A10636" w:rsidRPr="00D9348B" w:rsidRDefault="00A10636" w:rsidP="00DB330E">
            <w:pPr>
              <w:pStyle w:val="TableText"/>
              <w:rPr>
                <w:rFonts w:cs="Calibri"/>
                <w:bCs/>
                <w:i/>
                <w:iCs/>
                <w:szCs w:val="16"/>
              </w:rPr>
            </w:pPr>
            <w:r w:rsidRPr="00D9348B">
              <w:rPr>
                <w:rFonts w:cs="Calibri"/>
                <w:szCs w:val="16"/>
              </w:rPr>
              <w:t>IPCC (table 5.9, 2006a)</w:t>
            </w:r>
          </w:p>
        </w:tc>
      </w:tr>
      <w:tr w:rsidR="00A10636" w:rsidRPr="00D9348B" w14:paraId="2F33244B" w14:textId="77777777" w:rsidTr="00022513">
        <w:tc>
          <w:tcPr>
            <w:tcW w:w="1155" w:type="dxa"/>
            <w:vMerge/>
            <w:tcBorders>
              <w:bottom w:val="single" w:sz="4" w:space="0" w:color="365F91"/>
            </w:tcBorders>
          </w:tcPr>
          <w:p w14:paraId="76B49213" w14:textId="77777777" w:rsidR="00A10636" w:rsidRPr="00D9348B" w:rsidRDefault="00A10636" w:rsidP="00DB330E">
            <w:pPr>
              <w:pStyle w:val="TableText"/>
              <w:rPr>
                <w:rFonts w:cs="Calibri"/>
                <w:szCs w:val="16"/>
              </w:rPr>
            </w:pPr>
          </w:p>
        </w:tc>
        <w:tc>
          <w:tcPr>
            <w:tcW w:w="1781" w:type="dxa"/>
            <w:tcBorders>
              <w:top w:val="single" w:sz="4" w:space="0" w:color="365F91"/>
              <w:bottom w:val="single" w:sz="4" w:space="0" w:color="365F91"/>
            </w:tcBorders>
          </w:tcPr>
          <w:p w14:paraId="0854DFD9" w14:textId="77777777" w:rsidR="00A10636" w:rsidRPr="00D9348B" w:rsidRDefault="00A10636" w:rsidP="00DB330E">
            <w:pPr>
              <w:pStyle w:val="TableText"/>
              <w:rPr>
                <w:rFonts w:cs="Calibri"/>
                <w:szCs w:val="16"/>
              </w:rPr>
            </w:pPr>
            <w:r w:rsidRPr="00D9348B">
              <w:rPr>
                <w:rFonts w:cs="Calibri"/>
                <w:szCs w:val="16"/>
              </w:rPr>
              <w:t>Perennial</w:t>
            </w:r>
          </w:p>
        </w:tc>
        <w:tc>
          <w:tcPr>
            <w:tcW w:w="1884" w:type="dxa"/>
            <w:tcBorders>
              <w:top w:val="single" w:sz="4" w:space="0" w:color="365F91"/>
              <w:bottom w:val="single" w:sz="4" w:space="0" w:color="365F91"/>
            </w:tcBorders>
          </w:tcPr>
          <w:p w14:paraId="3B1C4A25" w14:textId="77777777" w:rsidR="00A10636" w:rsidRPr="00D9348B" w:rsidRDefault="00A10636" w:rsidP="00DB330E">
            <w:pPr>
              <w:pStyle w:val="TableText"/>
              <w:rPr>
                <w:rFonts w:cs="Calibri"/>
                <w:szCs w:val="16"/>
              </w:rPr>
            </w:pPr>
            <w:r w:rsidRPr="00D9348B">
              <w:rPr>
                <w:rFonts w:cs="Calibri"/>
                <w:szCs w:val="16"/>
              </w:rPr>
              <w:t>18.76</w:t>
            </w:r>
          </w:p>
        </w:tc>
        <w:tc>
          <w:tcPr>
            <w:tcW w:w="1984" w:type="dxa"/>
            <w:tcBorders>
              <w:top w:val="single" w:sz="4" w:space="0" w:color="365F91"/>
              <w:bottom w:val="single" w:sz="4" w:space="0" w:color="365F91"/>
            </w:tcBorders>
          </w:tcPr>
          <w:p w14:paraId="47553DC4" w14:textId="77777777" w:rsidR="00A10636" w:rsidRPr="00D9348B" w:rsidRDefault="00A10636" w:rsidP="00DB330E">
            <w:pPr>
              <w:pStyle w:val="TableText"/>
              <w:rPr>
                <w:rFonts w:cs="Calibri"/>
                <w:szCs w:val="16"/>
              </w:rPr>
            </w:pPr>
            <w:r w:rsidRPr="00D9348B">
              <w:rPr>
                <w:rFonts w:cs="Calibri"/>
                <w:szCs w:val="16"/>
              </w:rPr>
              <w:t>Above-ground biomass</w:t>
            </w:r>
          </w:p>
        </w:tc>
        <w:tc>
          <w:tcPr>
            <w:tcW w:w="1758" w:type="dxa"/>
            <w:tcBorders>
              <w:top w:val="single" w:sz="4" w:space="0" w:color="365F91"/>
              <w:bottom w:val="single" w:sz="4" w:space="0" w:color="365F91"/>
            </w:tcBorders>
          </w:tcPr>
          <w:p w14:paraId="2C2F5741" w14:textId="77777777" w:rsidR="00A10636" w:rsidRPr="00D9348B" w:rsidRDefault="00A10636" w:rsidP="00DB330E">
            <w:pPr>
              <w:pStyle w:val="TableText"/>
              <w:rPr>
                <w:rFonts w:cs="Calibri"/>
                <w:szCs w:val="16"/>
              </w:rPr>
            </w:pPr>
            <w:r w:rsidRPr="00D9348B">
              <w:rPr>
                <w:rFonts w:cs="Calibri"/>
                <w:szCs w:val="16"/>
              </w:rPr>
              <w:t>Davis and Wakelin (unpublished)</w:t>
            </w:r>
          </w:p>
        </w:tc>
      </w:tr>
      <w:tr w:rsidR="00A10636" w:rsidRPr="00D9348B" w14:paraId="28C35862" w14:textId="77777777" w:rsidTr="00022513">
        <w:tc>
          <w:tcPr>
            <w:tcW w:w="1155" w:type="dxa"/>
            <w:vMerge w:val="restart"/>
            <w:tcBorders>
              <w:top w:val="single" w:sz="4" w:space="0" w:color="365F91"/>
            </w:tcBorders>
          </w:tcPr>
          <w:p w14:paraId="58041641" w14:textId="77777777" w:rsidR="00A10636" w:rsidRPr="00D9348B" w:rsidRDefault="00A10636" w:rsidP="00DB330E">
            <w:pPr>
              <w:pStyle w:val="TableText"/>
              <w:rPr>
                <w:rFonts w:cs="Calibri"/>
                <w:szCs w:val="16"/>
              </w:rPr>
            </w:pPr>
            <w:r w:rsidRPr="00D9348B">
              <w:rPr>
                <w:rFonts w:cs="Calibri"/>
                <w:szCs w:val="16"/>
              </w:rPr>
              <w:t>Grassland</w:t>
            </w:r>
          </w:p>
        </w:tc>
        <w:tc>
          <w:tcPr>
            <w:tcW w:w="1781" w:type="dxa"/>
            <w:tcBorders>
              <w:top w:val="single" w:sz="4" w:space="0" w:color="365F91"/>
              <w:bottom w:val="single" w:sz="4" w:space="0" w:color="365F91"/>
            </w:tcBorders>
          </w:tcPr>
          <w:p w14:paraId="2FD6A09E" w14:textId="77777777" w:rsidR="00A10636" w:rsidRPr="00D9348B" w:rsidRDefault="00A10636" w:rsidP="00DB330E">
            <w:pPr>
              <w:pStyle w:val="TableText"/>
              <w:rPr>
                <w:rFonts w:cs="Calibri"/>
                <w:szCs w:val="16"/>
              </w:rPr>
            </w:pPr>
            <w:r w:rsidRPr="00D9348B">
              <w:rPr>
                <w:rFonts w:cs="Calibri"/>
                <w:szCs w:val="16"/>
              </w:rPr>
              <w:t>High producing</w:t>
            </w:r>
          </w:p>
        </w:tc>
        <w:tc>
          <w:tcPr>
            <w:tcW w:w="1884" w:type="dxa"/>
            <w:tcBorders>
              <w:top w:val="single" w:sz="4" w:space="0" w:color="365F91"/>
              <w:bottom w:val="single" w:sz="4" w:space="0" w:color="365F91"/>
            </w:tcBorders>
          </w:tcPr>
          <w:p w14:paraId="57DCA18B" w14:textId="77777777" w:rsidR="00A10636" w:rsidRPr="00D9348B" w:rsidRDefault="00A10636" w:rsidP="00DB330E">
            <w:pPr>
              <w:pStyle w:val="TableText"/>
              <w:rPr>
                <w:rFonts w:cs="Calibri"/>
                <w:szCs w:val="16"/>
              </w:rPr>
            </w:pPr>
            <w:r w:rsidRPr="00D9348B">
              <w:rPr>
                <w:rFonts w:cs="Calibri"/>
                <w:szCs w:val="16"/>
              </w:rPr>
              <w:t>6.345</w:t>
            </w:r>
          </w:p>
        </w:tc>
        <w:tc>
          <w:tcPr>
            <w:tcW w:w="1984" w:type="dxa"/>
            <w:tcBorders>
              <w:top w:val="single" w:sz="4" w:space="0" w:color="365F91"/>
              <w:bottom w:val="single" w:sz="4" w:space="0" w:color="365F91"/>
            </w:tcBorders>
          </w:tcPr>
          <w:p w14:paraId="462E2AA9" w14:textId="77777777" w:rsidR="00A10636" w:rsidRPr="00D9348B" w:rsidRDefault="00A10636" w:rsidP="00DB330E">
            <w:pPr>
              <w:pStyle w:val="TableText"/>
              <w:rPr>
                <w:rFonts w:cs="Calibri"/>
                <w:szCs w:val="16"/>
              </w:rPr>
            </w:pPr>
            <w:r w:rsidRPr="00D9348B">
              <w:rPr>
                <w:rFonts w:cs="Calibri"/>
                <w:szCs w:val="16"/>
              </w:rPr>
              <w:t>Above- and below-ground biomass</w:t>
            </w:r>
          </w:p>
        </w:tc>
        <w:tc>
          <w:tcPr>
            <w:tcW w:w="1758" w:type="dxa"/>
            <w:tcBorders>
              <w:top w:val="single" w:sz="4" w:space="0" w:color="365F91"/>
              <w:bottom w:val="single" w:sz="4" w:space="0" w:color="365F91"/>
            </w:tcBorders>
          </w:tcPr>
          <w:p w14:paraId="74277513" w14:textId="77777777" w:rsidR="00A10636" w:rsidRPr="00D9348B" w:rsidRDefault="00A10636" w:rsidP="00DB330E">
            <w:pPr>
              <w:pStyle w:val="TableText"/>
              <w:rPr>
                <w:rFonts w:cs="Calibri"/>
                <w:szCs w:val="16"/>
              </w:rPr>
            </w:pPr>
            <w:r w:rsidRPr="00D9348B">
              <w:rPr>
                <w:rFonts w:cs="Calibri"/>
                <w:szCs w:val="16"/>
              </w:rPr>
              <w:t>Calculated based on table 6.4, IPCC (2006a)</w:t>
            </w:r>
          </w:p>
        </w:tc>
      </w:tr>
      <w:tr w:rsidR="00A10636" w:rsidRPr="00D9348B" w14:paraId="25468155" w14:textId="77777777" w:rsidTr="00022513">
        <w:tc>
          <w:tcPr>
            <w:tcW w:w="1155" w:type="dxa"/>
            <w:vMerge/>
          </w:tcPr>
          <w:p w14:paraId="69227274" w14:textId="77777777" w:rsidR="00A10636" w:rsidRPr="00D9348B" w:rsidRDefault="00A10636" w:rsidP="00DB330E">
            <w:pPr>
              <w:pStyle w:val="TableText"/>
              <w:rPr>
                <w:rFonts w:cs="Calibri"/>
                <w:szCs w:val="16"/>
              </w:rPr>
            </w:pPr>
          </w:p>
        </w:tc>
        <w:tc>
          <w:tcPr>
            <w:tcW w:w="1781" w:type="dxa"/>
            <w:tcBorders>
              <w:top w:val="single" w:sz="4" w:space="0" w:color="365F91"/>
              <w:bottom w:val="single" w:sz="4" w:space="0" w:color="365F91"/>
            </w:tcBorders>
          </w:tcPr>
          <w:p w14:paraId="698DB796" w14:textId="77777777" w:rsidR="00A10636" w:rsidRPr="00D9348B" w:rsidRDefault="00A10636" w:rsidP="00DB330E">
            <w:pPr>
              <w:pStyle w:val="TableText"/>
              <w:rPr>
                <w:rFonts w:cs="Calibri"/>
                <w:szCs w:val="16"/>
              </w:rPr>
            </w:pPr>
            <w:r w:rsidRPr="00D9348B">
              <w:rPr>
                <w:rFonts w:cs="Calibri"/>
                <w:szCs w:val="16"/>
              </w:rPr>
              <w:t>Low producing</w:t>
            </w:r>
          </w:p>
        </w:tc>
        <w:tc>
          <w:tcPr>
            <w:tcW w:w="1884" w:type="dxa"/>
            <w:tcBorders>
              <w:top w:val="single" w:sz="4" w:space="0" w:color="365F91"/>
              <w:bottom w:val="single" w:sz="4" w:space="0" w:color="365F91"/>
            </w:tcBorders>
          </w:tcPr>
          <w:p w14:paraId="7CC8E176" w14:textId="77777777" w:rsidR="00A10636" w:rsidRPr="00D9348B" w:rsidRDefault="00A10636" w:rsidP="00DB330E">
            <w:pPr>
              <w:pStyle w:val="TableText"/>
              <w:rPr>
                <w:rFonts w:cs="Calibri"/>
                <w:szCs w:val="16"/>
              </w:rPr>
            </w:pPr>
            <w:r w:rsidRPr="00D9348B">
              <w:rPr>
                <w:rFonts w:cs="Calibri"/>
                <w:szCs w:val="16"/>
              </w:rPr>
              <w:t>2.867</w:t>
            </w:r>
          </w:p>
        </w:tc>
        <w:tc>
          <w:tcPr>
            <w:tcW w:w="1984" w:type="dxa"/>
            <w:tcBorders>
              <w:top w:val="single" w:sz="4" w:space="0" w:color="365F91"/>
              <w:bottom w:val="single" w:sz="4" w:space="0" w:color="365F91"/>
            </w:tcBorders>
          </w:tcPr>
          <w:p w14:paraId="417E6241" w14:textId="77777777" w:rsidR="00A10636" w:rsidRPr="00D9348B" w:rsidRDefault="00A10636" w:rsidP="00DB330E">
            <w:pPr>
              <w:pStyle w:val="TableText"/>
              <w:rPr>
                <w:rFonts w:cs="Calibri"/>
                <w:szCs w:val="16"/>
              </w:rPr>
            </w:pPr>
            <w:r w:rsidRPr="00D9348B">
              <w:rPr>
                <w:rFonts w:cs="Calibri"/>
                <w:szCs w:val="16"/>
              </w:rPr>
              <w:t>Above- and below-ground biomass</w:t>
            </w:r>
          </w:p>
        </w:tc>
        <w:tc>
          <w:tcPr>
            <w:tcW w:w="1758" w:type="dxa"/>
            <w:tcBorders>
              <w:top w:val="single" w:sz="4" w:space="0" w:color="365F91"/>
              <w:bottom w:val="single" w:sz="4" w:space="0" w:color="365F91"/>
            </w:tcBorders>
          </w:tcPr>
          <w:p w14:paraId="288C3128" w14:textId="77777777" w:rsidR="00A10636" w:rsidRPr="00D9348B" w:rsidRDefault="00A10636" w:rsidP="00DB330E">
            <w:pPr>
              <w:pStyle w:val="TableText"/>
              <w:rPr>
                <w:rFonts w:cs="Calibri"/>
                <w:szCs w:val="16"/>
              </w:rPr>
            </w:pPr>
            <w:r w:rsidRPr="00D9348B">
              <w:rPr>
                <w:rFonts w:cs="Calibri"/>
                <w:szCs w:val="16"/>
              </w:rPr>
              <w:t>Calculated based on table 6.4, IPCC (2006a)</w:t>
            </w:r>
          </w:p>
        </w:tc>
      </w:tr>
      <w:tr w:rsidR="00A10636" w:rsidRPr="00D9348B" w14:paraId="1274543B" w14:textId="77777777" w:rsidTr="00022513">
        <w:tc>
          <w:tcPr>
            <w:tcW w:w="1155" w:type="dxa"/>
            <w:vMerge/>
          </w:tcPr>
          <w:p w14:paraId="1CDC5D64" w14:textId="77777777" w:rsidR="00A10636" w:rsidRPr="00D9348B" w:rsidRDefault="00A10636" w:rsidP="00DB330E">
            <w:pPr>
              <w:pStyle w:val="TableText"/>
              <w:rPr>
                <w:rFonts w:cs="Calibri"/>
                <w:szCs w:val="16"/>
              </w:rPr>
            </w:pPr>
          </w:p>
        </w:tc>
        <w:tc>
          <w:tcPr>
            <w:tcW w:w="1781" w:type="dxa"/>
            <w:tcBorders>
              <w:top w:val="single" w:sz="4" w:space="0" w:color="365F91"/>
              <w:bottom w:val="single" w:sz="4" w:space="0" w:color="365F91"/>
            </w:tcBorders>
          </w:tcPr>
          <w:p w14:paraId="4CF7920E" w14:textId="77777777" w:rsidR="00A10636" w:rsidRPr="00D9348B" w:rsidRDefault="00A10636" w:rsidP="00DB330E">
            <w:pPr>
              <w:pStyle w:val="TableText"/>
              <w:rPr>
                <w:rFonts w:cs="Calibri"/>
                <w:szCs w:val="16"/>
              </w:rPr>
            </w:pPr>
            <w:r w:rsidRPr="00D9348B">
              <w:rPr>
                <w:rFonts w:cs="Calibri"/>
                <w:szCs w:val="16"/>
              </w:rPr>
              <w:t>With woody biomass – transitional</w:t>
            </w:r>
          </w:p>
        </w:tc>
        <w:tc>
          <w:tcPr>
            <w:tcW w:w="1884" w:type="dxa"/>
            <w:tcBorders>
              <w:top w:val="single" w:sz="4" w:space="0" w:color="365F91"/>
              <w:bottom w:val="single" w:sz="4" w:space="0" w:color="365F91"/>
            </w:tcBorders>
          </w:tcPr>
          <w:p w14:paraId="50AAFCED" w14:textId="77777777" w:rsidR="00A10636" w:rsidRPr="00D9348B" w:rsidRDefault="00A10636" w:rsidP="00DB330E">
            <w:pPr>
              <w:pStyle w:val="TableText"/>
              <w:rPr>
                <w:rFonts w:cs="Calibri"/>
                <w:szCs w:val="16"/>
              </w:rPr>
            </w:pPr>
            <w:r w:rsidRPr="00D9348B">
              <w:rPr>
                <w:rFonts w:cs="Calibri"/>
                <w:szCs w:val="16"/>
              </w:rPr>
              <w:t>13.05</w:t>
            </w:r>
          </w:p>
        </w:tc>
        <w:tc>
          <w:tcPr>
            <w:tcW w:w="1984" w:type="dxa"/>
            <w:tcBorders>
              <w:top w:val="single" w:sz="4" w:space="0" w:color="365F91"/>
              <w:bottom w:val="single" w:sz="4" w:space="0" w:color="365F91"/>
            </w:tcBorders>
          </w:tcPr>
          <w:p w14:paraId="4AB5E1C5" w14:textId="77777777" w:rsidR="00A10636" w:rsidRPr="00D9348B" w:rsidRDefault="00A10636" w:rsidP="00DB330E">
            <w:pPr>
              <w:pStyle w:val="TableText"/>
              <w:rPr>
                <w:rFonts w:cs="Calibri"/>
                <w:szCs w:val="16"/>
              </w:rPr>
            </w:pPr>
            <w:r w:rsidRPr="00D9348B">
              <w:rPr>
                <w:rFonts w:cs="Calibri"/>
                <w:szCs w:val="16"/>
              </w:rPr>
              <w:t>All biomass pools</w:t>
            </w:r>
          </w:p>
        </w:tc>
        <w:tc>
          <w:tcPr>
            <w:tcW w:w="1758" w:type="dxa"/>
            <w:tcBorders>
              <w:top w:val="single" w:sz="4" w:space="0" w:color="365F91"/>
              <w:bottom w:val="single" w:sz="4" w:space="0" w:color="365F91"/>
            </w:tcBorders>
          </w:tcPr>
          <w:p w14:paraId="3EA31BF5" w14:textId="77777777" w:rsidR="00A10636" w:rsidRPr="00D9348B" w:rsidRDefault="00A10636" w:rsidP="00DB330E">
            <w:pPr>
              <w:pStyle w:val="TableText"/>
              <w:rPr>
                <w:rFonts w:cs="Calibri"/>
                <w:szCs w:val="16"/>
              </w:rPr>
            </w:pPr>
            <w:r w:rsidRPr="00D9348B">
              <w:rPr>
                <w:rFonts w:cs="Calibri"/>
                <w:szCs w:val="16"/>
              </w:rPr>
              <w:t>Wakelin and Beets (unpublished)</w:t>
            </w:r>
          </w:p>
        </w:tc>
      </w:tr>
      <w:tr w:rsidR="00A10636" w:rsidRPr="00D9348B" w14:paraId="6CB78C65" w14:textId="77777777" w:rsidTr="00022513">
        <w:tc>
          <w:tcPr>
            <w:tcW w:w="1155" w:type="dxa"/>
            <w:vMerge/>
            <w:tcBorders>
              <w:bottom w:val="single" w:sz="4" w:space="0" w:color="365F91"/>
            </w:tcBorders>
          </w:tcPr>
          <w:p w14:paraId="13D02730" w14:textId="77777777" w:rsidR="00A10636" w:rsidRPr="00D9348B" w:rsidRDefault="00A10636" w:rsidP="00DB330E">
            <w:pPr>
              <w:pStyle w:val="TableText"/>
              <w:rPr>
                <w:rFonts w:cs="Calibri"/>
                <w:szCs w:val="16"/>
              </w:rPr>
            </w:pPr>
          </w:p>
        </w:tc>
        <w:tc>
          <w:tcPr>
            <w:tcW w:w="1781" w:type="dxa"/>
            <w:tcBorders>
              <w:top w:val="single" w:sz="4" w:space="0" w:color="365F91"/>
              <w:bottom w:val="single" w:sz="4" w:space="0" w:color="365F91"/>
            </w:tcBorders>
          </w:tcPr>
          <w:p w14:paraId="337C286A" w14:textId="77777777" w:rsidR="00A10636" w:rsidRPr="00D9348B" w:rsidRDefault="00A10636" w:rsidP="00DB330E">
            <w:pPr>
              <w:pStyle w:val="TableText"/>
              <w:rPr>
                <w:rFonts w:cs="Calibri"/>
                <w:szCs w:val="16"/>
              </w:rPr>
            </w:pPr>
            <w:r w:rsidRPr="00D9348B">
              <w:rPr>
                <w:rFonts w:cs="Calibri"/>
                <w:szCs w:val="16"/>
              </w:rPr>
              <w:t>With woody biomass – permanent</w:t>
            </w:r>
          </w:p>
        </w:tc>
        <w:tc>
          <w:tcPr>
            <w:tcW w:w="1884" w:type="dxa"/>
            <w:tcBorders>
              <w:top w:val="single" w:sz="4" w:space="0" w:color="365F91"/>
              <w:bottom w:val="single" w:sz="4" w:space="0" w:color="365F91"/>
            </w:tcBorders>
          </w:tcPr>
          <w:p w14:paraId="3D274B64" w14:textId="77777777" w:rsidR="00A10636" w:rsidRPr="00D9348B" w:rsidRDefault="00A10636" w:rsidP="00DB330E">
            <w:pPr>
              <w:pStyle w:val="TableText"/>
              <w:rPr>
                <w:rFonts w:cs="Calibri"/>
                <w:szCs w:val="16"/>
              </w:rPr>
            </w:pPr>
            <w:r w:rsidRPr="00D9348B">
              <w:rPr>
                <w:rFonts w:cs="Calibri"/>
                <w:szCs w:val="16"/>
              </w:rPr>
              <w:t>60.57</w:t>
            </w:r>
          </w:p>
        </w:tc>
        <w:tc>
          <w:tcPr>
            <w:tcW w:w="1984" w:type="dxa"/>
            <w:tcBorders>
              <w:top w:val="single" w:sz="4" w:space="0" w:color="365F91"/>
              <w:bottom w:val="single" w:sz="4" w:space="0" w:color="365F91"/>
            </w:tcBorders>
          </w:tcPr>
          <w:p w14:paraId="27840FD9" w14:textId="77777777" w:rsidR="00A10636" w:rsidRPr="00D9348B" w:rsidRDefault="00A10636" w:rsidP="00DB330E">
            <w:pPr>
              <w:pStyle w:val="TableText"/>
              <w:rPr>
                <w:rFonts w:cs="Calibri"/>
                <w:szCs w:val="16"/>
              </w:rPr>
            </w:pPr>
            <w:r w:rsidRPr="00D9348B">
              <w:rPr>
                <w:rFonts w:cs="Calibri"/>
                <w:szCs w:val="16"/>
              </w:rPr>
              <w:t>All biomass pools</w:t>
            </w:r>
          </w:p>
        </w:tc>
        <w:tc>
          <w:tcPr>
            <w:tcW w:w="1758" w:type="dxa"/>
            <w:tcBorders>
              <w:top w:val="single" w:sz="4" w:space="0" w:color="365F91"/>
              <w:bottom w:val="single" w:sz="4" w:space="0" w:color="365F91"/>
            </w:tcBorders>
          </w:tcPr>
          <w:p w14:paraId="1060CD7A" w14:textId="77777777" w:rsidR="00A10636" w:rsidRPr="00D9348B" w:rsidRDefault="00A10636" w:rsidP="00DB330E">
            <w:pPr>
              <w:pStyle w:val="TableText"/>
              <w:rPr>
                <w:rFonts w:cs="Calibri"/>
                <w:szCs w:val="16"/>
              </w:rPr>
            </w:pPr>
            <w:r w:rsidRPr="00D9348B">
              <w:rPr>
                <w:rFonts w:cs="Calibri"/>
                <w:szCs w:val="16"/>
              </w:rPr>
              <w:t>Wakelin and Beets (unpublished)</w:t>
            </w:r>
          </w:p>
        </w:tc>
      </w:tr>
      <w:tr w:rsidR="00A10636" w:rsidRPr="00D9348B" w14:paraId="0FC87832" w14:textId="77777777" w:rsidTr="00022513">
        <w:tc>
          <w:tcPr>
            <w:tcW w:w="1155" w:type="dxa"/>
            <w:tcBorders>
              <w:top w:val="single" w:sz="4" w:space="0" w:color="365F91"/>
              <w:bottom w:val="single" w:sz="4" w:space="0" w:color="365F91"/>
            </w:tcBorders>
          </w:tcPr>
          <w:p w14:paraId="5891FF0B" w14:textId="77777777" w:rsidR="00A10636" w:rsidRPr="00D9348B" w:rsidRDefault="00A10636" w:rsidP="00DB330E">
            <w:pPr>
              <w:pStyle w:val="TableText"/>
              <w:rPr>
                <w:rFonts w:cs="Calibri"/>
                <w:szCs w:val="16"/>
              </w:rPr>
            </w:pPr>
            <w:r w:rsidRPr="00D9348B">
              <w:rPr>
                <w:rFonts w:cs="Calibri"/>
                <w:szCs w:val="16"/>
              </w:rPr>
              <w:t>Wetlands</w:t>
            </w:r>
          </w:p>
        </w:tc>
        <w:tc>
          <w:tcPr>
            <w:tcW w:w="1781" w:type="dxa"/>
            <w:tcBorders>
              <w:top w:val="single" w:sz="4" w:space="0" w:color="365F91"/>
              <w:bottom w:val="single" w:sz="4" w:space="0" w:color="365F91"/>
            </w:tcBorders>
          </w:tcPr>
          <w:p w14:paraId="73F228AD" w14:textId="77777777" w:rsidR="00A10636" w:rsidRPr="00D9348B" w:rsidRDefault="00A10636" w:rsidP="00DB330E">
            <w:pPr>
              <w:pStyle w:val="TableText"/>
              <w:rPr>
                <w:rFonts w:cs="Calibri"/>
                <w:szCs w:val="16"/>
              </w:rPr>
            </w:pPr>
          </w:p>
        </w:tc>
        <w:tc>
          <w:tcPr>
            <w:tcW w:w="1884" w:type="dxa"/>
            <w:tcBorders>
              <w:top w:val="single" w:sz="4" w:space="0" w:color="365F91"/>
              <w:bottom w:val="single" w:sz="4" w:space="0" w:color="365F91"/>
            </w:tcBorders>
          </w:tcPr>
          <w:p w14:paraId="2C0F7354" w14:textId="77777777" w:rsidR="00A10636" w:rsidRPr="00D9348B" w:rsidRDefault="00A10636" w:rsidP="00DB330E">
            <w:pPr>
              <w:pStyle w:val="TableText"/>
              <w:rPr>
                <w:rFonts w:cs="Calibri"/>
                <w:szCs w:val="16"/>
              </w:rPr>
            </w:pPr>
            <w:r w:rsidRPr="00D9348B">
              <w:rPr>
                <w:rFonts w:cs="Calibri"/>
                <w:szCs w:val="16"/>
              </w:rPr>
              <w:t>0</w:t>
            </w:r>
          </w:p>
        </w:tc>
        <w:tc>
          <w:tcPr>
            <w:tcW w:w="1984" w:type="dxa"/>
            <w:tcBorders>
              <w:top w:val="single" w:sz="4" w:space="0" w:color="365F91"/>
              <w:bottom w:val="single" w:sz="4" w:space="0" w:color="365F91"/>
            </w:tcBorders>
          </w:tcPr>
          <w:p w14:paraId="67C8285E" w14:textId="77777777" w:rsidR="00A10636" w:rsidRPr="00D9348B" w:rsidRDefault="00A10636" w:rsidP="00DB330E">
            <w:pPr>
              <w:pStyle w:val="TableText"/>
              <w:rPr>
                <w:rFonts w:cs="Calibri"/>
                <w:szCs w:val="16"/>
              </w:rPr>
            </w:pPr>
            <w:r w:rsidRPr="00D9348B">
              <w:rPr>
                <w:rFonts w:cs="Calibri"/>
                <w:szCs w:val="16"/>
              </w:rPr>
              <w:t>All biomass pools</w:t>
            </w:r>
          </w:p>
        </w:tc>
        <w:tc>
          <w:tcPr>
            <w:tcW w:w="1758" w:type="dxa"/>
            <w:tcBorders>
              <w:top w:val="single" w:sz="4" w:space="0" w:color="365F91"/>
              <w:bottom w:val="single" w:sz="4" w:space="0" w:color="365F91"/>
            </w:tcBorders>
          </w:tcPr>
          <w:p w14:paraId="04C18999" w14:textId="77777777" w:rsidR="00A10636" w:rsidRPr="00D9348B" w:rsidRDefault="00A10636" w:rsidP="00DB330E">
            <w:pPr>
              <w:pStyle w:val="TableText"/>
              <w:rPr>
                <w:rFonts w:cs="Calibri"/>
                <w:szCs w:val="16"/>
              </w:rPr>
            </w:pPr>
            <w:r w:rsidRPr="00D9348B">
              <w:rPr>
                <w:rFonts w:cs="Calibri"/>
                <w:szCs w:val="16"/>
              </w:rPr>
              <w:t>IPCC (section 7.2.1.1, 2006a)</w:t>
            </w:r>
          </w:p>
        </w:tc>
      </w:tr>
      <w:tr w:rsidR="00A10636" w:rsidRPr="00D9348B" w14:paraId="5CB9D516" w14:textId="77777777" w:rsidTr="00022513">
        <w:tc>
          <w:tcPr>
            <w:tcW w:w="1155" w:type="dxa"/>
            <w:tcBorders>
              <w:top w:val="single" w:sz="4" w:space="0" w:color="365F91"/>
              <w:bottom w:val="single" w:sz="4" w:space="0" w:color="365F91"/>
            </w:tcBorders>
          </w:tcPr>
          <w:p w14:paraId="18B7BFD4" w14:textId="77777777" w:rsidR="00A10636" w:rsidRPr="00D9348B" w:rsidRDefault="00A10636" w:rsidP="00DB330E">
            <w:pPr>
              <w:pStyle w:val="TableText"/>
              <w:rPr>
                <w:rFonts w:cs="Calibri"/>
                <w:szCs w:val="16"/>
              </w:rPr>
            </w:pPr>
            <w:r w:rsidRPr="00D9348B">
              <w:rPr>
                <w:rFonts w:cs="Calibri"/>
                <w:szCs w:val="16"/>
              </w:rPr>
              <w:t>Settlements</w:t>
            </w:r>
          </w:p>
        </w:tc>
        <w:tc>
          <w:tcPr>
            <w:tcW w:w="1781" w:type="dxa"/>
            <w:tcBorders>
              <w:top w:val="single" w:sz="4" w:space="0" w:color="365F91"/>
              <w:bottom w:val="single" w:sz="4" w:space="0" w:color="365F91"/>
            </w:tcBorders>
          </w:tcPr>
          <w:p w14:paraId="5C46DB31" w14:textId="77777777" w:rsidR="00A10636" w:rsidRPr="00D9348B" w:rsidRDefault="00A10636" w:rsidP="00DB330E">
            <w:pPr>
              <w:pStyle w:val="TableText"/>
              <w:rPr>
                <w:rFonts w:cs="Calibri"/>
                <w:szCs w:val="16"/>
              </w:rPr>
            </w:pPr>
          </w:p>
        </w:tc>
        <w:tc>
          <w:tcPr>
            <w:tcW w:w="1884" w:type="dxa"/>
            <w:tcBorders>
              <w:top w:val="single" w:sz="4" w:space="0" w:color="365F91"/>
              <w:bottom w:val="single" w:sz="4" w:space="0" w:color="365F91"/>
            </w:tcBorders>
          </w:tcPr>
          <w:p w14:paraId="2553C2F7" w14:textId="77777777" w:rsidR="00A10636" w:rsidRPr="00D9348B" w:rsidRDefault="00A10636" w:rsidP="00DB330E">
            <w:pPr>
              <w:pStyle w:val="TableText"/>
              <w:rPr>
                <w:rFonts w:cs="Calibri"/>
                <w:szCs w:val="16"/>
              </w:rPr>
            </w:pPr>
            <w:r w:rsidRPr="00D9348B">
              <w:rPr>
                <w:rFonts w:cs="Calibri"/>
                <w:szCs w:val="16"/>
              </w:rPr>
              <w:t>0</w:t>
            </w:r>
          </w:p>
        </w:tc>
        <w:tc>
          <w:tcPr>
            <w:tcW w:w="1984" w:type="dxa"/>
            <w:tcBorders>
              <w:top w:val="single" w:sz="4" w:space="0" w:color="365F91"/>
              <w:bottom w:val="single" w:sz="4" w:space="0" w:color="365F91"/>
            </w:tcBorders>
          </w:tcPr>
          <w:p w14:paraId="196B413E" w14:textId="77777777" w:rsidR="00A10636" w:rsidRPr="00D9348B" w:rsidRDefault="00A10636" w:rsidP="00DB330E">
            <w:pPr>
              <w:pStyle w:val="TableText"/>
              <w:rPr>
                <w:rFonts w:cs="Calibri"/>
                <w:szCs w:val="16"/>
              </w:rPr>
            </w:pPr>
            <w:r w:rsidRPr="00D9348B">
              <w:rPr>
                <w:rFonts w:cs="Calibri"/>
                <w:szCs w:val="16"/>
              </w:rPr>
              <w:t>All biomass pools</w:t>
            </w:r>
          </w:p>
        </w:tc>
        <w:tc>
          <w:tcPr>
            <w:tcW w:w="1758" w:type="dxa"/>
            <w:tcBorders>
              <w:top w:val="single" w:sz="4" w:space="0" w:color="365F91"/>
              <w:bottom w:val="single" w:sz="4" w:space="0" w:color="365F91"/>
            </w:tcBorders>
          </w:tcPr>
          <w:p w14:paraId="42B2B440" w14:textId="77777777" w:rsidR="00A10636" w:rsidRPr="00D9348B" w:rsidRDefault="00A10636" w:rsidP="00DB330E">
            <w:pPr>
              <w:pStyle w:val="TableText"/>
              <w:rPr>
                <w:rFonts w:cs="Calibri"/>
                <w:szCs w:val="16"/>
              </w:rPr>
            </w:pPr>
            <w:r w:rsidRPr="00D9348B">
              <w:rPr>
                <w:rFonts w:cs="Calibri"/>
                <w:szCs w:val="16"/>
              </w:rPr>
              <w:t>IPCC (section 8.2.1.1, 2006a)</w:t>
            </w:r>
          </w:p>
        </w:tc>
      </w:tr>
      <w:tr w:rsidR="00A10636" w:rsidRPr="00D9348B" w14:paraId="400E87A4" w14:textId="77777777" w:rsidTr="00022513">
        <w:tc>
          <w:tcPr>
            <w:tcW w:w="1155" w:type="dxa"/>
            <w:tcBorders>
              <w:top w:val="single" w:sz="4" w:space="0" w:color="365F91"/>
              <w:bottom w:val="single" w:sz="4" w:space="0" w:color="365F91"/>
            </w:tcBorders>
          </w:tcPr>
          <w:p w14:paraId="6030A507" w14:textId="77777777" w:rsidR="00A10636" w:rsidRPr="00D9348B" w:rsidRDefault="00A10636" w:rsidP="00DB330E">
            <w:pPr>
              <w:pStyle w:val="TableText"/>
              <w:rPr>
                <w:rFonts w:cs="Calibri"/>
                <w:szCs w:val="16"/>
              </w:rPr>
            </w:pPr>
            <w:r w:rsidRPr="00D9348B">
              <w:rPr>
                <w:rFonts w:cs="Calibri"/>
                <w:szCs w:val="16"/>
              </w:rPr>
              <w:t>Other land</w:t>
            </w:r>
          </w:p>
        </w:tc>
        <w:tc>
          <w:tcPr>
            <w:tcW w:w="1781" w:type="dxa"/>
            <w:tcBorders>
              <w:top w:val="single" w:sz="4" w:space="0" w:color="365F91"/>
              <w:bottom w:val="single" w:sz="4" w:space="0" w:color="365F91"/>
            </w:tcBorders>
          </w:tcPr>
          <w:p w14:paraId="4537D6EF" w14:textId="77777777" w:rsidR="00A10636" w:rsidRPr="00D9348B" w:rsidRDefault="00A10636" w:rsidP="00DB330E">
            <w:pPr>
              <w:pStyle w:val="TableText"/>
              <w:rPr>
                <w:rFonts w:cs="Calibri"/>
                <w:szCs w:val="16"/>
              </w:rPr>
            </w:pPr>
          </w:p>
        </w:tc>
        <w:tc>
          <w:tcPr>
            <w:tcW w:w="1884" w:type="dxa"/>
            <w:tcBorders>
              <w:top w:val="single" w:sz="4" w:space="0" w:color="365F91"/>
              <w:bottom w:val="single" w:sz="4" w:space="0" w:color="365F91"/>
            </w:tcBorders>
          </w:tcPr>
          <w:p w14:paraId="0A3D5D0E" w14:textId="77777777" w:rsidR="00A10636" w:rsidRPr="00D9348B" w:rsidRDefault="00A10636" w:rsidP="00DB330E">
            <w:pPr>
              <w:pStyle w:val="TableText"/>
              <w:rPr>
                <w:rFonts w:cs="Calibri"/>
                <w:szCs w:val="16"/>
              </w:rPr>
            </w:pPr>
            <w:r w:rsidRPr="00D9348B">
              <w:rPr>
                <w:rFonts w:cs="Calibri"/>
                <w:szCs w:val="16"/>
              </w:rPr>
              <w:t>0</w:t>
            </w:r>
          </w:p>
        </w:tc>
        <w:tc>
          <w:tcPr>
            <w:tcW w:w="1984" w:type="dxa"/>
            <w:tcBorders>
              <w:top w:val="single" w:sz="4" w:space="0" w:color="365F91"/>
              <w:bottom w:val="single" w:sz="4" w:space="0" w:color="365F91"/>
            </w:tcBorders>
          </w:tcPr>
          <w:p w14:paraId="6F278779" w14:textId="77777777" w:rsidR="00A10636" w:rsidRPr="00D9348B" w:rsidRDefault="00A10636" w:rsidP="00DB330E">
            <w:pPr>
              <w:pStyle w:val="TableText"/>
              <w:rPr>
                <w:rFonts w:cs="Calibri"/>
                <w:szCs w:val="16"/>
              </w:rPr>
            </w:pPr>
            <w:r w:rsidRPr="00D9348B">
              <w:rPr>
                <w:rFonts w:cs="Calibri"/>
                <w:szCs w:val="16"/>
              </w:rPr>
              <w:t>All biomass pools</w:t>
            </w:r>
          </w:p>
        </w:tc>
        <w:tc>
          <w:tcPr>
            <w:tcW w:w="1758" w:type="dxa"/>
            <w:tcBorders>
              <w:top w:val="single" w:sz="4" w:space="0" w:color="365F91"/>
              <w:bottom w:val="single" w:sz="4" w:space="0" w:color="365F91"/>
            </w:tcBorders>
          </w:tcPr>
          <w:p w14:paraId="5A851F4C" w14:textId="77777777" w:rsidR="00A10636" w:rsidRPr="00D9348B" w:rsidRDefault="00A10636" w:rsidP="00DB330E">
            <w:pPr>
              <w:pStyle w:val="TableText"/>
              <w:rPr>
                <w:rFonts w:cs="Calibri"/>
                <w:szCs w:val="16"/>
              </w:rPr>
            </w:pPr>
            <w:r w:rsidRPr="00D9348B">
              <w:rPr>
                <w:rFonts w:cs="Calibri"/>
                <w:szCs w:val="16"/>
              </w:rPr>
              <w:t>IPCC (section 9.2, 2006a)</w:t>
            </w:r>
          </w:p>
        </w:tc>
      </w:tr>
    </w:tbl>
    <w:p w14:paraId="0876810A" w14:textId="77777777" w:rsidR="00A10636" w:rsidRPr="00D9348B" w:rsidRDefault="00A10636" w:rsidP="00A10636">
      <w:pPr>
        <w:pStyle w:val="Noteundertable"/>
      </w:pPr>
      <w:r w:rsidRPr="00D9348B">
        <w:rPr>
          <w:b/>
        </w:rPr>
        <w:t>Note:</w:t>
      </w:r>
      <w:r w:rsidRPr="00D9348B">
        <w:tab/>
        <w:t>* For conversions from natural forest, the carbon stock emitted instantaneously depends on the vegetation present (tall forest or regenerating) immediately before conversion; this is described later in this section. ‘All biomass pools’ includes above- and below-ground biomass, litter and dead organic matter. See section 6.3 and each category-specific section under ‘Methodological issues’ for further details on how emissions are estimated.</w:t>
      </w:r>
    </w:p>
    <w:p w14:paraId="454103AC" w14:textId="77777777" w:rsidR="00A10636" w:rsidRPr="00D9348B" w:rsidRDefault="00A10636" w:rsidP="00A10636">
      <w:pPr>
        <w:pStyle w:val="Table"/>
      </w:pPr>
      <w:bookmarkStart w:id="1187" w:name="_Toc310423391"/>
      <w:bookmarkStart w:id="1188" w:name="_Toc318362684"/>
      <w:bookmarkStart w:id="1189" w:name="_Toc342470746"/>
      <w:bookmarkStart w:id="1190" w:name="_Toc352504986"/>
      <w:bookmarkStart w:id="1191" w:name="_Toc378853275"/>
      <w:bookmarkStart w:id="1192" w:name="_Toc391024073"/>
      <w:bookmarkStart w:id="1193" w:name="_Toc410028816"/>
      <w:bookmarkStart w:id="1194" w:name="_Toc414531444"/>
      <w:bookmarkStart w:id="1195" w:name="_Toc443645356"/>
      <w:bookmarkStart w:id="1196" w:name="_Toc474914575"/>
      <w:bookmarkStart w:id="1197" w:name="_Toc481751539"/>
      <w:bookmarkStart w:id="1198" w:name="_Toc522010596"/>
      <w:bookmarkStart w:id="1199" w:name="_Toc5269501"/>
      <w:bookmarkStart w:id="1200" w:name="_Toc33529377"/>
      <w:bookmarkStart w:id="1201" w:name="_Toc36224583"/>
      <w:r w:rsidRPr="00D9348B">
        <w:lastRenderedPageBreak/>
        <w:t>Table 6.1.4</w:t>
      </w:r>
      <w:r w:rsidRPr="00D9348B">
        <w:tab/>
        <w:t xml:space="preserve">New Zealand’s emission factors for annual growth in biomass </w:t>
      </w:r>
      <w:bookmarkEnd w:id="1187"/>
      <w:bookmarkEnd w:id="1188"/>
      <w:bookmarkEnd w:id="1189"/>
      <w:bookmarkEnd w:id="1190"/>
      <w:r w:rsidRPr="00D9348B">
        <w:t>carbon stock in land after conversion</w:t>
      </w:r>
      <w:bookmarkEnd w:id="1191"/>
      <w:bookmarkEnd w:id="1192"/>
      <w:bookmarkEnd w:id="1193"/>
      <w:bookmarkEnd w:id="1194"/>
      <w:bookmarkEnd w:id="1195"/>
      <w:bookmarkEnd w:id="1196"/>
      <w:bookmarkEnd w:id="1197"/>
      <w:bookmarkEnd w:id="1198"/>
      <w:bookmarkEnd w:id="1199"/>
      <w:bookmarkEnd w:id="1200"/>
      <w:bookmarkEnd w:id="1201"/>
    </w:p>
    <w:tbl>
      <w:tblPr>
        <w:tblW w:w="8562" w:type="dxa"/>
        <w:tblInd w:w="108" w:type="dxa"/>
        <w:tblLayout w:type="fixed"/>
        <w:tblLook w:val="04A0" w:firstRow="1" w:lastRow="0" w:firstColumn="1" w:lastColumn="0" w:noHBand="0" w:noVBand="1"/>
      </w:tblPr>
      <w:tblGrid>
        <w:gridCol w:w="1141"/>
        <w:gridCol w:w="1428"/>
        <w:gridCol w:w="1737"/>
        <w:gridCol w:w="1223"/>
        <w:gridCol w:w="1509"/>
        <w:gridCol w:w="1524"/>
      </w:tblGrid>
      <w:tr w:rsidR="00A10636" w:rsidRPr="00D9348B" w14:paraId="685B6C5B" w14:textId="77777777" w:rsidTr="00022513">
        <w:trPr>
          <w:tblHeader/>
        </w:trPr>
        <w:tc>
          <w:tcPr>
            <w:tcW w:w="1141" w:type="dxa"/>
            <w:tcBorders>
              <w:top w:val="single" w:sz="4" w:space="0" w:color="365F91"/>
              <w:bottom w:val="single" w:sz="4" w:space="0" w:color="365F91"/>
            </w:tcBorders>
            <w:shd w:val="clear" w:color="auto" w:fill="365F91"/>
            <w:vAlign w:val="bottom"/>
          </w:tcPr>
          <w:p w14:paraId="6A36A94F" w14:textId="77777777" w:rsidR="00A10636" w:rsidRPr="00D9348B" w:rsidRDefault="00A10636" w:rsidP="00DB330E">
            <w:pPr>
              <w:pStyle w:val="TableTextBold"/>
              <w:keepNext/>
              <w:rPr>
                <w:noProof w:val="0"/>
                <w:color w:val="FFFFFF"/>
                <w:szCs w:val="16"/>
              </w:rPr>
            </w:pPr>
            <w:r w:rsidRPr="00D9348B">
              <w:rPr>
                <w:noProof w:val="0"/>
                <w:color w:val="FFFFFF"/>
                <w:szCs w:val="16"/>
              </w:rPr>
              <w:t>Category</w:t>
            </w:r>
          </w:p>
        </w:tc>
        <w:tc>
          <w:tcPr>
            <w:tcW w:w="1428" w:type="dxa"/>
            <w:tcBorders>
              <w:top w:val="single" w:sz="4" w:space="0" w:color="365F91"/>
              <w:bottom w:val="single" w:sz="4" w:space="0" w:color="365F91"/>
            </w:tcBorders>
            <w:shd w:val="clear" w:color="auto" w:fill="365F91"/>
            <w:vAlign w:val="bottom"/>
          </w:tcPr>
          <w:p w14:paraId="4E0A3502" w14:textId="77777777" w:rsidR="00A10636" w:rsidRPr="00D9348B" w:rsidRDefault="00A10636" w:rsidP="00DB330E">
            <w:pPr>
              <w:pStyle w:val="TableTextBold"/>
              <w:keepNext/>
              <w:rPr>
                <w:noProof w:val="0"/>
                <w:color w:val="FFFFFF"/>
                <w:szCs w:val="16"/>
              </w:rPr>
            </w:pPr>
            <w:r w:rsidRPr="00D9348B">
              <w:rPr>
                <w:noProof w:val="0"/>
                <w:color w:val="FFFFFF"/>
                <w:szCs w:val="16"/>
              </w:rPr>
              <w:t xml:space="preserve">Land use </w:t>
            </w:r>
          </w:p>
        </w:tc>
        <w:tc>
          <w:tcPr>
            <w:tcW w:w="1737" w:type="dxa"/>
            <w:tcBorders>
              <w:top w:val="single" w:sz="4" w:space="0" w:color="365F91"/>
              <w:bottom w:val="single" w:sz="4" w:space="0" w:color="365F91"/>
            </w:tcBorders>
            <w:shd w:val="clear" w:color="auto" w:fill="365F91"/>
            <w:vAlign w:val="bottom"/>
          </w:tcPr>
          <w:p w14:paraId="78A06A7C" w14:textId="77777777" w:rsidR="00A10636" w:rsidRPr="00D9348B" w:rsidRDefault="00A10636" w:rsidP="00DB330E">
            <w:pPr>
              <w:pStyle w:val="TableTextBold"/>
              <w:keepNext/>
              <w:rPr>
                <w:noProof w:val="0"/>
                <w:color w:val="FFFFFF"/>
                <w:szCs w:val="16"/>
              </w:rPr>
            </w:pPr>
            <w:r w:rsidRPr="00D9348B">
              <w:rPr>
                <w:noProof w:val="0"/>
                <w:color w:val="FFFFFF"/>
                <w:szCs w:val="16"/>
              </w:rPr>
              <w:t>Annual carbon stock change (t C ha</w:t>
            </w:r>
            <w:r w:rsidRPr="00D9348B">
              <w:rPr>
                <w:noProof w:val="0"/>
                <w:color w:val="FFFFFF"/>
                <w:szCs w:val="16"/>
                <w:vertAlign w:val="superscript"/>
              </w:rPr>
              <w:t>–1</w:t>
            </w:r>
            <w:r w:rsidRPr="00D9348B">
              <w:rPr>
                <w:noProof w:val="0"/>
                <w:color w:val="FFFFFF"/>
                <w:szCs w:val="16"/>
              </w:rPr>
              <w:t>)</w:t>
            </w:r>
          </w:p>
        </w:tc>
        <w:tc>
          <w:tcPr>
            <w:tcW w:w="1223" w:type="dxa"/>
            <w:tcBorders>
              <w:top w:val="single" w:sz="4" w:space="0" w:color="365F91"/>
              <w:bottom w:val="single" w:sz="4" w:space="0" w:color="365F91"/>
            </w:tcBorders>
            <w:shd w:val="clear" w:color="auto" w:fill="365F91"/>
            <w:vAlign w:val="bottom"/>
          </w:tcPr>
          <w:p w14:paraId="3D22124E" w14:textId="77777777" w:rsidR="00A10636" w:rsidRPr="00D9348B" w:rsidRDefault="00A10636" w:rsidP="00DB330E">
            <w:pPr>
              <w:pStyle w:val="TableTextBold"/>
              <w:keepNext/>
              <w:rPr>
                <w:noProof w:val="0"/>
                <w:color w:val="FFFFFF"/>
                <w:szCs w:val="16"/>
              </w:rPr>
            </w:pPr>
            <w:r w:rsidRPr="00D9348B">
              <w:rPr>
                <w:noProof w:val="0"/>
                <w:color w:val="FFFFFF"/>
                <w:szCs w:val="16"/>
              </w:rPr>
              <w:t>Carbon stock maturity cycle</w:t>
            </w:r>
          </w:p>
        </w:tc>
        <w:tc>
          <w:tcPr>
            <w:tcW w:w="1509" w:type="dxa"/>
            <w:tcBorders>
              <w:top w:val="single" w:sz="4" w:space="0" w:color="365F91"/>
              <w:bottom w:val="single" w:sz="4" w:space="0" w:color="365F91"/>
            </w:tcBorders>
            <w:shd w:val="clear" w:color="auto" w:fill="365F91"/>
            <w:vAlign w:val="bottom"/>
          </w:tcPr>
          <w:p w14:paraId="5F250C88" w14:textId="77777777" w:rsidR="00A10636" w:rsidRPr="00D9348B" w:rsidRDefault="00A10636" w:rsidP="00DB330E">
            <w:pPr>
              <w:pStyle w:val="TableTextBold"/>
              <w:keepNext/>
              <w:rPr>
                <w:noProof w:val="0"/>
                <w:color w:val="FFFFFF"/>
                <w:szCs w:val="16"/>
              </w:rPr>
            </w:pPr>
            <w:r w:rsidRPr="00D9348B">
              <w:rPr>
                <w:noProof w:val="0"/>
                <w:color w:val="FFFFFF"/>
                <w:szCs w:val="16"/>
              </w:rPr>
              <w:t>Carbon pools</w:t>
            </w:r>
          </w:p>
        </w:tc>
        <w:tc>
          <w:tcPr>
            <w:tcW w:w="1524" w:type="dxa"/>
            <w:tcBorders>
              <w:top w:val="single" w:sz="4" w:space="0" w:color="365F91"/>
              <w:bottom w:val="single" w:sz="4" w:space="0" w:color="365F91"/>
            </w:tcBorders>
            <w:shd w:val="clear" w:color="auto" w:fill="365F91"/>
            <w:vAlign w:val="bottom"/>
          </w:tcPr>
          <w:p w14:paraId="2B5EA136" w14:textId="77777777" w:rsidR="00A10636" w:rsidRPr="00D9348B" w:rsidRDefault="00A10636" w:rsidP="00DB330E">
            <w:pPr>
              <w:pStyle w:val="TableTextBold"/>
              <w:keepNext/>
              <w:rPr>
                <w:noProof w:val="0"/>
                <w:color w:val="FFFFFF"/>
                <w:szCs w:val="16"/>
              </w:rPr>
            </w:pPr>
            <w:r w:rsidRPr="00D9348B">
              <w:rPr>
                <w:noProof w:val="0"/>
                <w:color w:val="FFFFFF"/>
                <w:szCs w:val="16"/>
              </w:rPr>
              <w:t>Reference</w:t>
            </w:r>
          </w:p>
        </w:tc>
      </w:tr>
      <w:tr w:rsidR="00A10636" w:rsidRPr="00D9348B" w14:paraId="5095D832" w14:textId="77777777" w:rsidTr="00022513">
        <w:tc>
          <w:tcPr>
            <w:tcW w:w="1141" w:type="dxa"/>
            <w:vMerge w:val="restart"/>
            <w:tcBorders>
              <w:top w:val="single" w:sz="4" w:space="0" w:color="365F91"/>
              <w:bottom w:val="single" w:sz="4" w:space="0" w:color="365F91"/>
            </w:tcBorders>
          </w:tcPr>
          <w:p w14:paraId="1658D3CD" w14:textId="77777777" w:rsidR="00A10636" w:rsidRPr="00D9348B" w:rsidRDefault="00A10636" w:rsidP="00DB330E">
            <w:pPr>
              <w:pStyle w:val="TableText"/>
              <w:keepNext/>
              <w:rPr>
                <w:szCs w:val="16"/>
              </w:rPr>
            </w:pPr>
            <w:r w:rsidRPr="00D9348B">
              <w:rPr>
                <w:szCs w:val="16"/>
              </w:rPr>
              <w:t>Forest land</w:t>
            </w:r>
          </w:p>
        </w:tc>
        <w:tc>
          <w:tcPr>
            <w:tcW w:w="1428" w:type="dxa"/>
            <w:tcBorders>
              <w:top w:val="single" w:sz="4" w:space="0" w:color="365F91"/>
              <w:bottom w:val="single" w:sz="4" w:space="0" w:color="365F91"/>
            </w:tcBorders>
          </w:tcPr>
          <w:p w14:paraId="68C212CC" w14:textId="77777777" w:rsidR="00A10636" w:rsidRPr="00D9348B" w:rsidRDefault="00A10636" w:rsidP="00DB330E">
            <w:pPr>
              <w:pStyle w:val="TableText"/>
              <w:keepNext/>
              <w:rPr>
                <w:szCs w:val="16"/>
              </w:rPr>
            </w:pPr>
            <w:r w:rsidRPr="00D9348B">
              <w:rPr>
                <w:szCs w:val="16"/>
              </w:rPr>
              <w:t>Pre-1990 natural forest: regenerating</w:t>
            </w:r>
          </w:p>
        </w:tc>
        <w:tc>
          <w:tcPr>
            <w:tcW w:w="1737" w:type="dxa"/>
            <w:tcBorders>
              <w:top w:val="single" w:sz="4" w:space="0" w:color="365F91"/>
              <w:bottom w:val="single" w:sz="4" w:space="0" w:color="365F91"/>
            </w:tcBorders>
          </w:tcPr>
          <w:p w14:paraId="78580634" w14:textId="77777777" w:rsidR="00A10636" w:rsidRPr="00D9348B" w:rsidRDefault="00A10636" w:rsidP="00DB330E">
            <w:pPr>
              <w:pStyle w:val="TableText"/>
              <w:keepNext/>
              <w:rPr>
                <w:szCs w:val="16"/>
              </w:rPr>
            </w:pPr>
            <w:r w:rsidRPr="00D9348B">
              <w:rPr>
                <w:szCs w:val="16"/>
              </w:rPr>
              <w:t>0.62</w:t>
            </w:r>
          </w:p>
        </w:tc>
        <w:tc>
          <w:tcPr>
            <w:tcW w:w="1223" w:type="dxa"/>
            <w:tcBorders>
              <w:top w:val="single" w:sz="4" w:space="0" w:color="365F91"/>
              <w:bottom w:val="single" w:sz="4" w:space="0" w:color="365F91"/>
            </w:tcBorders>
          </w:tcPr>
          <w:p w14:paraId="63F300E2" w14:textId="77777777" w:rsidR="00A10636" w:rsidRPr="00D9348B" w:rsidRDefault="00A10636" w:rsidP="00DB330E">
            <w:pPr>
              <w:pStyle w:val="TableText"/>
              <w:keepNext/>
              <w:rPr>
                <w:szCs w:val="16"/>
              </w:rPr>
            </w:pPr>
            <w:r w:rsidRPr="00D9348B">
              <w:rPr>
                <w:szCs w:val="16"/>
              </w:rPr>
              <w:t>NA</w:t>
            </w:r>
          </w:p>
        </w:tc>
        <w:tc>
          <w:tcPr>
            <w:tcW w:w="1509" w:type="dxa"/>
            <w:tcBorders>
              <w:top w:val="single" w:sz="4" w:space="0" w:color="365F91"/>
              <w:bottom w:val="single" w:sz="4" w:space="0" w:color="365F91"/>
            </w:tcBorders>
          </w:tcPr>
          <w:p w14:paraId="7C75D203" w14:textId="77777777" w:rsidR="00A10636" w:rsidRPr="00D9348B" w:rsidRDefault="00A10636" w:rsidP="00DB330E">
            <w:pPr>
              <w:pStyle w:val="TableText"/>
              <w:keepNext/>
              <w:rPr>
                <w:szCs w:val="16"/>
              </w:rPr>
            </w:pPr>
            <w:r w:rsidRPr="00D9348B">
              <w:rPr>
                <w:szCs w:val="16"/>
              </w:rPr>
              <w:t xml:space="preserve">All biomass pools </w:t>
            </w:r>
          </w:p>
        </w:tc>
        <w:tc>
          <w:tcPr>
            <w:tcW w:w="1524" w:type="dxa"/>
            <w:tcBorders>
              <w:top w:val="single" w:sz="4" w:space="0" w:color="365F91"/>
              <w:bottom w:val="single" w:sz="4" w:space="0" w:color="365F91"/>
            </w:tcBorders>
          </w:tcPr>
          <w:p w14:paraId="4F06BD37" w14:textId="77777777" w:rsidR="00A10636" w:rsidRPr="00D9348B" w:rsidRDefault="00A10636" w:rsidP="00DB330E">
            <w:pPr>
              <w:pStyle w:val="TableText"/>
              <w:keepNext/>
              <w:rPr>
                <w:szCs w:val="16"/>
              </w:rPr>
            </w:pPr>
            <w:r w:rsidRPr="00D9348B">
              <w:rPr>
                <w:szCs w:val="16"/>
              </w:rPr>
              <w:t>Paul et al. (unpublished(b))</w:t>
            </w:r>
          </w:p>
        </w:tc>
      </w:tr>
      <w:tr w:rsidR="00A10636" w:rsidRPr="00D9348B" w14:paraId="32DA4C62" w14:textId="77777777" w:rsidTr="00022513">
        <w:tc>
          <w:tcPr>
            <w:tcW w:w="1141" w:type="dxa"/>
            <w:vMerge/>
            <w:tcBorders>
              <w:top w:val="single" w:sz="4" w:space="0" w:color="365F91"/>
              <w:bottom w:val="single" w:sz="4" w:space="0" w:color="365F91"/>
            </w:tcBorders>
          </w:tcPr>
          <w:p w14:paraId="1F93E19D" w14:textId="77777777" w:rsidR="00A10636" w:rsidRPr="00D9348B" w:rsidRDefault="00A10636" w:rsidP="00DB330E">
            <w:pPr>
              <w:pStyle w:val="TableText"/>
              <w:keepNext/>
              <w:rPr>
                <w:szCs w:val="16"/>
              </w:rPr>
            </w:pPr>
          </w:p>
        </w:tc>
        <w:tc>
          <w:tcPr>
            <w:tcW w:w="1428" w:type="dxa"/>
            <w:tcBorders>
              <w:top w:val="single" w:sz="4" w:space="0" w:color="365F91"/>
              <w:bottom w:val="single" w:sz="4" w:space="0" w:color="365F91"/>
            </w:tcBorders>
          </w:tcPr>
          <w:p w14:paraId="074309A6" w14:textId="77777777" w:rsidR="00A10636" w:rsidRPr="00D9348B" w:rsidRDefault="00A10636" w:rsidP="00DB330E">
            <w:pPr>
              <w:pStyle w:val="TableText"/>
              <w:keepNext/>
              <w:rPr>
                <w:szCs w:val="16"/>
              </w:rPr>
            </w:pPr>
            <w:r w:rsidRPr="00D9348B">
              <w:rPr>
                <w:szCs w:val="16"/>
              </w:rPr>
              <w:t>Pre-1990 natural forest: tall forest</w:t>
            </w:r>
          </w:p>
        </w:tc>
        <w:tc>
          <w:tcPr>
            <w:tcW w:w="1737" w:type="dxa"/>
            <w:tcBorders>
              <w:top w:val="single" w:sz="4" w:space="0" w:color="365F91"/>
              <w:bottom w:val="single" w:sz="4" w:space="0" w:color="365F91"/>
            </w:tcBorders>
          </w:tcPr>
          <w:p w14:paraId="31D5CEF7" w14:textId="77777777" w:rsidR="00A10636" w:rsidRPr="00D9348B" w:rsidRDefault="00A10636" w:rsidP="00DB330E">
            <w:pPr>
              <w:pStyle w:val="TableText"/>
              <w:keepNext/>
              <w:rPr>
                <w:szCs w:val="16"/>
              </w:rPr>
            </w:pPr>
            <w:r w:rsidRPr="00D9348B">
              <w:rPr>
                <w:szCs w:val="16"/>
              </w:rPr>
              <w:t>0</w:t>
            </w:r>
          </w:p>
        </w:tc>
        <w:tc>
          <w:tcPr>
            <w:tcW w:w="1223" w:type="dxa"/>
            <w:tcBorders>
              <w:top w:val="single" w:sz="4" w:space="0" w:color="365F91"/>
              <w:bottom w:val="single" w:sz="4" w:space="0" w:color="365F91"/>
            </w:tcBorders>
          </w:tcPr>
          <w:p w14:paraId="7271B344" w14:textId="77777777" w:rsidR="00A10636" w:rsidRPr="00D9348B" w:rsidRDefault="00A10636" w:rsidP="00DB330E">
            <w:pPr>
              <w:pStyle w:val="TableText"/>
              <w:keepNext/>
              <w:rPr>
                <w:szCs w:val="16"/>
              </w:rPr>
            </w:pPr>
            <w:r w:rsidRPr="00D9348B">
              <w:rPr>
                <w:szCs w:val="16"/>
              </w:rPr>
              <w:t>NA</w:t>
            </w:r>
          </w:p>
        </w:tc>
        <w:tc>
          <w:tcPr>
            <w:tcW w:w="1509" w:type="dxa"/>
            <w:tcBorders>
              <w:top w:val="single" w:sz="4" w:space="0" w:color="365F91"/>
              <w:bottom w:val="single" w:sz="4" w:space="0" w:color="365F91"/>
            </w:tcBorders>
          </w:tcPr>
          <w:p w14:paraId="0EF73A3B" w14:textId="77777777" w:rsidR="00A10636" w:rsidRPr="00D9348B" w:rsidRDefault="00A10636" w:rsidP="00DB330E">
            <w:pPr>
              <w:pStyle w:val="TableText"/>
              <w:keepNext/>
              <w:rPr>
                <w:szCs w:val="16"/>
              </w:rPr>
            </w:pPr>
            <w:r w:rsidRPr="00D9348B">
              <w:rPr>
                <w:szCs w:val="16"/>
              </w:rPr>
              <w:t>All biomass pools</w:t>
            </w:r>
          </w:p>
        </w:tc>
        <w:tc>
          <w:tcPr>
            <w:tcW w:w="1524" w:type="dxa"/>
            <w:tcBorders>
              <w:top w:val="single" w:sz="4" w:space="0" w:color="365F91"/>
              <w:bottom w:val="single" w:sz="4" w:space="0" w:color="365F91"/>
            </w:tcBorders>
          </w:tcPr>
          <w:p w14:paraId="3D81AD18" w14:textId="77777777" w:rsidR="00A10636" w:rsidRPr="00D9348B" w:rsidDel="00F52B35" w:rsidRDefault="00A10636" w:rsidP="00DB330E">
            <w:pPr>
              <w:pStyle w:val="TableText"/>
              <w:keepNext/>
              <w:rPr>
                <w:szCs w:val="16"/>
              </w:rPr>
            </w:pPr>
            <w:r w:rsidRPr="00D9348B">
              <w:rPr>
                <w:szCs w:val="16"/>
              </w:rPr>
              <w:t>Paul et al. (unpublished (b))</w:t>
            </w:r>
          </w:p>
        </w:tc>
      </w:tr>
      <w:tr w:rsidR="00A10636" w:rsidRPr="00D9348B" w14:paraId="27E2C313" w14:textId="77777777" w:rsidTr="00022513">
        <w:tc>
          <w:tcPr>
            <w:tcW w:w="1141" w:type="dxa"/>
            <w:vMerge/>
            <w:tcBorders>
              <w:top w:val="single" w:sz="4" w:space="0" w:color="365F91"/>
              <w:bottom w:val="single" w:sz="4" w:space="0" w:color="365F91"/>
            </w:tcBorders>
          </w:tcPr>
          <w:p w14:paraId="7BB11D32" w14:textId="77777777" w:rsidR="00A10636" w:rsidRPr="00D9348B" w:rsidRDefault="00A10636" w:rsidP="00DB330E">
            <w:pPr>
              <w:pStyle w:val="TableText"/>
              <w:keepNext/>
              <w:rPr>
                <w:szCs w:val="16"/>
              </w:rPr>
            </w:pPr>
          </w:p>
        </w:tc>
        <w:tc>
          <w:tcPr>
            <w:tcW w:w="1428" w:type="dxa"/>
            <w:tcBorders>
              <w:top w:val="single" w:sz="4" w:space="0" w:color="365F91"/>
              <w:bottom w:val="single" w:sz="4" w:space="0" w:color="365F91"/>
            </w:tcBorders>
          </w:tcPr>
          <w:p w14:paraId="54B9FFF3" w14:textId="77777777" w:rsidR="00A10636" w:rsidRPr="00D9348B" w:rsidRDefault="00A10636" w:rsidP="00DB330E">
            <w:pPr>
              <w:pStyle w:val="TableText"/>
              <w:keepNext/>
              <w:rPr>
                <w:szCs w:val="16"/>
              </w:rPr>
            </w:pPr>
            <w:r w:rsidRPr="00D9348B">
              <w:rPr>
                <w:szCs w:val="16"/>
              </w:rPr>
              <w:t>Pre-1990 planted forest</w:t>
            </w:r>
          </w:p>
        </w:tc>
        <w:tc>
          <w:tcPr>
            <w:tcW w:w="1737" w:type="dxa"/>
            <w:tcBorders>
              <w:top w:val="single" w:sz="4" w:space="0" w:color="365F91"/>
              <w:bottom w:val="single" w:sz="4" w:space="0" w:color="365F91"/>
            </w:tcBorders>
          </w:tcPr>
          <w:p w14:paraId="7E9CDF9F" w14:textId="77777777" w:rsidR="00A10636" w:rsidRPr="00D9348B" w:rsidRDefault="00A10636" w:rsidP="00DB330E">
            <w:pPr>
              <w:pStyle w:val="TableText"/>
              <w:keepNext/>
              <w:rPr>
                <w:szCs w:val="16"/>
              </w:rPr>
            </w:pPr>
            <w:r w:rsidRPr="00D9348B">
              <w:rPr>
                <w:szCs w:val="16"/>
              </w:rPr>
              <w:t>Based on an age-based carbon yield table</w:t>
            </w:r>
          </w:p>
        </w:tc>
        <w:tc>
          <w:tcPr>
            <w:tcW w:w="1223" w:type="dxa"/>
            <w:tcBorders>
              <w:top w:val="single" w:sz="4" w:space="0" w:color="365F91"/>
              <w:bottom w:val="single" w:sz="4" w:space="0" w:color="365F91"/>
            </w:tcBorders>
          </w:tcPr>
          <w:p w14:paraId="633BC880" w14:textId="77777777" w:rsidR="00A10636" w:rsidRPr="00D9348B" w:rsidRDefault="00A10636" w:rsidP="00DB330E">
            <w:pPr>
              <w:pStyle w:val="TableText"/>
              <w:keepNext/>
              <w:rPr>
                <w:szCs w:val="16"/>
              </w:rPr>
            </w:pPr>
            <w:r w:rsidRPr="00D9348B">
              <w:rPr>
                <w:szCs w:val="16"/>
              </w:rPr>
              <w:t>NA</w:t>
            </w:r>
          </w:p>
        </w:tc>
        <w:tc>
          <w:tcPr>
            <w:tcW w:w="1509" w:type="dxa"/>
            <w:tcBorders>
              <w:top w:val="single" w:sz="4" w:space="0" w:color="365F91"/>
              <w:bottom w:val="single" w:sz="4" w:space="0" w:color="365F91"/>
            </w:tcBorders>
          </w:tcPr>
          <w:p w14:paraId="0787CC84" w14:textId="77777777" w:rsidR="00A10636" w:rsidRPr="00D9348B" w:rsidRDefault="00A10636" w:rsidP="00DB330E">
            <w:pPr>
              <w:pStyle w:val="TableText"/>
              <w:keepNext/>
              <w:rPr>
                <w:szCs w:val="16"/>
              </w:rPr>
            </w:pPr>
            <w:r w:rsidRPr="00D9348B">
              <w:rPr>
                <w:szCs w:val="16"/>
              </w:rPr>
              <w:t xml:space="preserve">All biomass pools </w:t>
            </w:r>
          </w:p>
        </w:tc>
        <w:tc>
          <w:tcPr>
            <w:tcW w:w="1524" w:type="dxa"/>
            <w:tcBorders>
              <w:top w:val="single" w:sz="4" w:space="0" w:color="365F91"/>
              <w:bottom w:val="single" w:sz="4" w:space="0" w:color="365F91"/>
            </w:tcBorders>
          </w:tcPr>
          <w:p w14:paraId="7FBD9AA6" w14:textId="77777777" w:rsidR="00A10636" w:rsidRPr="00D9348B" w:rsidRDefault="00A10636" w:rsidP="00DB330E">
            <w:pPr>
              <w:pStyle w:val="TableText"/>
              <w:keepNext/>
              <w:rPr>
                <w:szCs w:val="16"/>
              </w:rPr>
            </w:pPr>
            <w:r w:rsidRPr="00D9348B">
              <w:rPr>
                <w:szCs w:val="16"/>
              </w:rPr>
              <w:t>Paul et al. (unpublished(a))</w:t>
            </w:r>
          </w:p>
        </w:tc>
      </w:tr>
      <w:tr w:rsidR="00A10636" w:rsidRPr="00D9348B" w14:paraId="49457A45" w14:textId="77777777" w:rsidTr="00022513">
        <w:tc>
          <w:tcPr>
            <w:tcW w:w="1141" w:type="dxa"/>
            <w:vMerge/>
            <w:tcBorders>
              <w:top w:val="single" w:sz="4" w:space="0" w:color="365F91"/>
              <w:bottom w:val="single" w:sz="4" w:space="0" w:color="365F91"/>
            </w:tcBorders>
          </w:tcPr>
          <w:p w14:paraId="4162719D" w14:textId="77777777" w:rsidR="00A10636" w:rsidRPr="00D9348B" w:rsidRDefault="00A10636" w:rsidP="00DB330E">
            <w:pPr>
              <w:pStyle w:val="TableText"/>
              <w:keepNext/>
              <w:rPr>
                <w:szCs w:val="16"/>
              </w:rPr>
            </w:pPr>
          </w:p>
        </w:tc>
        <w:tc>
          <w:tcPr>
            <w:tcW w:w="1428" w:type="dxa"/>
            <w:tcBorders>
              <w:top w:val="single" w:sz="4" w:space="0" w:color="365F91"/>
              <w:bottom w:val="single" w:sz="4" w:space="0" w:color="365F91"/>
            </w:tcBorders>
          </w:tcPr>
          <w:p w14:paraId="78AD7956" w14:textId="77777777" w:rsidR="00A10636" w:rsidRPr="00D9348B" w:rsidRDefault="00A10636" w:rsidP="00DB330E">
            <w:pPr>
              <w:pStyle w:val="TableText"/>
              <w:keepNext/>
              <w:rPr>
                <w:szCs w:val="16"/>
              </w:rPr>
            </w:pPr>
            <w:r w:rsidRPr="00D9348B">
              <w:rPr>
                <w:szCs w:val="16"/>
              </w:rPr>
              <w:t>Post-1989 natural forest</w:t>
            </w:r>
          </w:p>
        </w:tc>
        <w:tc>
          <w:tcPr>
            <w:tcW w:w="1737" w:type="dxa"/>
            <w:tcBorders>
              <w:top w:val="single" w:sz="4" w:space="0" w:color="365F91"/>
              <w:bottom w:val="single" w:sz="4" w:space="0" w:color="365F91"/>
            </w:tcBorders>
          </w:tcPr>
          <w:p w14:paraId="3214C843" w14:textId="77777777" w:rsidR="00A10636" w:rsidRPr="00D9348B" w:rsidRDefault="00A10636" w:rsidP="00DB330E">
            <w:pPr>
              <w:pStyle w:val="TableText"/>
              <w:keepNext/>
              <w:rPr>
                <w:szCs w:val="16"/>
              </w:rPr>
            </w:pPr>
            <w:r w:rsidRPr="00D9348B">
              <w:rPr>
                <w:szCs w:val="16"/>
              </w:rPr>
              <w:t>Based on an age-based carbon yield table</w:t>
            </w:r>
          </w:p>
        </w:tc>
        <w:tc>
          <w:tcPr>
            <w:tcW w:w="1223" w:type="dxa"/>
            <w:tcBorders>
              <w:top w:val="single" w:sz="4" w:space="0" w:color="365F91"/>
              <w:bottom w:val="single" w:sz="4" w:space="0" w:color="365F91"/>
            </w:tcBorders>
          </w:tcPr>
          <w:p w14:paraId="62537B18" w14:textId="77777777" w:rsidR="00A10636" w:rsidRPr="00D9348B" w:rsidRDefault="00A10636" w:rsidP="00DB330E">
            <w:pPr>
              <w:pStyle w:val="TableText"/>
              <w:keepNext/>
              <w:rPr>
                <w:szCs w:val="16"/>
              </w:rPr>
            </w:pPr>
            <w:r w:rsidRPr="00D9348B">
              <w:rPr>
                <w:szCs w:val="16"/>
              </w:rPr>
              <w:t>NA</w:t>
            </w:r>
          </w:p>
        </w:tc>
        <w:tc>
          <w:tcPr>
            <w:tcW w:w="1509" w:type="dxa"/>
            <w:tcBorders>
              <w:top w:val="single" w:sz="4" w:space="0" w:color="365F91"/>
              <w:bottom w:val="single" w:sz="4" w:space="0" w:color="365F91"/>
            </w:tcBorders>
          </w:tcPr>
          <w:p w14:paraId="37A62FDF" w14:textId="77777777" w:rsidR="00A10636" w:rsidRPr="00D9348B" w:rsidRDefault="00A10636" w:rsidP="00DB330E">
            <w:pPr>
              <w:pStyle w:val="TableText"/>
              <w:keepNext/>
              <w:rPr>
                <w:szCs w:val="16"/>
              </w:rPr>
            </w:pPr>
            <w:r w:rsidRPr="00D9348B">
              <w:rPr>
                <w:szCs w:val="16"/>
              </w:rPr>
              <w:t xml:space="preserve">All biomass pools </w:t>
            </w:r>
          </w:p>
        </w:tc>
        <w:tc>
          <w:tcPr>
            <w:tcW w:w="1524" w:type="dxa"/>
            <w:tcBorders>
              <w:top w:val="single" w:sz="4" w:space="0" w:color="365F91"/>
              <w:bottom w:val="single" w:sz="4" w:space="0" w:color="365F91"/>
            </w:tcBorders>
          </w:tcPr>
          <w:p w14:paraId="7D8743EB" w14:textId="77777777" w:rsidR="00A10636" w:rsidRPr="00D9348B" w:rsidRDefault="00A10636" w:rsidP="00DB330E">
            <w:pPr>
              <w:pStyle w:val="TableText"/>
              <w:keepNext/>
              <w:rPr>
                <w:szCs w:val="16"/>
              </w:rPr>
            </w:pPr>
            <w:r w:rsidRPr="00D9348B">
              <w:rPr>
                <w:szCs w:val="16"/>
              </w:rPr>
              <w:t>Beets et al. (2014b)</w:t>
            </w:r>
          </w:p>
        </w:tc>
      </w:tr>
      <w:tr w:rsidR="00A10636" w:rsidRPr="00D9348B" w14:paraId="328C2E4E" w14:textId="77777777" w:rsidTr="00022513">
        <w:tc>
          <w:tcPr>
            <w:tcW w:w="1141" w:type="dxa"/>
            <w:vMerge/>
            <w:tcBorders>
              <w:top w:val="single" w:sz="4" w:space="0" w:color="365F91"/>
              <w:bottom w:val="single" w:sz="4" w:space="0" w:color="365F91"/>
            </w:tcBorders>
          </w:tcPr>
          <w:p w14:paraId="09707220" w14:textId="77777777" w:rsidR="00A10636" w:rsidRPr="00D9348B" w:rsidRDefault="00A10636" w:rsidP="00DB330E">
            <w:pPr>
              <w:pStyle w:val="TableText"/>
              <w:rPr>
                <w:szCs w:val="16"/>
              </w:rPr>
            </w:pPr>
          </w:p>
        </w:tc>
        <w:tc>
          <w:tcPr>
            <w:tcW w:w="1428" w:type="dxa"/>
            <w:tcBorders>
              <w:top w:val="single" w:sz="4" w:space="0" w:color="365F91"/>
              <w:bottom w:val="single" w:sz="4" w:space="0" w:color="365F91"/>
            </w:tcBorders>
          </w:tcPr>
          <w:p w14:paraId="39D6ECEC" w14:textId="77777777" w:rsidR="00A10636" w:rsidRPr="00D9348B" w:rsidRDefault="00A10636" w:rsidP="00DB330E">
            <w:pPr>
              <w:pStyle w:val="TableText"/>
              <w:rPr>
                <w:szCs w:val="16"/>
              </w:rPr>
            </w:pPr>
            <w:r w:rsidRPr="00D9348B">
              <w:rPr>
                <w:szCs w:val="16"/>
              </w:rPr>
              <w:t>Post-1989 planted forest</w:t>
            </w:r>
          </w:p>
        </w:tc>
        <w:tc>
          <w:tcPr>
            <w:tcW w:w="1737" w:type="dxa"/>
            <w:tcBorders>
              <w:top w:val="single" w:sz="4" w:space="0" w:color="365F91"/>
              <w:bottom w:val="single" w:sz="4" w:space="0" w:color="365F91"/>
            </w:tcBorders>
          </w:tcPr>
          <w:p w14:paraId="054BF587" w14:textId="77777777" w:rsidR="00A10636" w:rsidRPr="00D9348B" w:rsidRDefault="00A10636" w:rsidP="00DB330E">
            <w:pPr>
              <w:pStyle w:val="TableText"/>
              <w:rPr>
                <w:szCs w:val="16"/>
              </w:rPr>
            </w:pPr>
            <w:r w:rsidRPr="00D9348B">
              <w:rPr>
                <w:szCs w:val="16"/>
              </w:rPr>
              <w:t>Based on an age-based carbon yield table</w:t>
            </w:r>
          </w:p>
        </w:tc>
        <w:tc>
          <w:tcPr>
            <w:tcW w:w="1223" w:type="dxa"/>
            <w:tcBorders>
              <w:top w:val="single" w:sz="4" w:space="0" w:color="365F91"/>
              <w:bottom w:val="single" w:sz="4" w:space="0" w:color="365F91"/>
            </w:tcBorders>
          </w:tcPr>
          <w:p w14:paraId="4E16DCB6" w14:textId="77777777" w:rsidR="00A10636" w:rsidRPr="00D9348B" w:rsidRDefault="00A10636" w:rsidP="00DB330E">
            <w:pPr>
              <w:pStyle w:val="TableText"/>
              <w:rPr>
                <w:szCs w:val="16"/>
              </w:rPr>
            </w:pPr>
            <w:r w:rsidRPr="00D9348B">
              <w:rPr>
                <w:szCs w:val="16"/>
              </w:rPr>
              <w:t>NA</w:t>
            </w:r>
          </w:p>
        </w:tc>
        <w:tc>
          <w:tcPr>
            <w:tcW w:w="1509" w:type="dxa"/>
            <w:tcBorders>
              <w:top w:val="single" w:sz="4" w:space="0" w:color="365F91"/>
              <w:bottom w:val="single" w:sz="4" w:space="0" w:color="365F91"/>
            </w:tcBorders>
          </w:tcPr>
          <w:p w14:paraId="5E1E1373" w14:textId="77777777" w:rsidR="00A10636" w:rsidRPr="00D9348B" w:rsidRDefault="00A10636" w:rsidP="00DB330E">
            <w:pPr>
              <w:pStyle w:val="TableText"/>
              <w:rPr>
                <w:szCs w:val="16"/>
              </w:rPr>
            </w:pPr>
            <w:r w:rsidRPr="00D9348B">
              <w:rPr>
                <w:szCs w:val="16"/>
              </w:rPr>
              <w:t xml:space="preserve">All biomass pools </w:t>
            </w:r>
          </w:p>
        </w:tc>
        <w:tc>
          <w:tcPr>
            <w:tcW w:w="1524" w:type="dxa"/>
            <w:tcBorders>
              <w:top w:val="single" w:sz="4" w:space="0" w:color="365F91"/>
              <w:bottom w:val="single" w:sz="4" w:space="0" w:color="365F91"/>
            </w:tcBorders>
          </w:tcPr>
          <w:p w14:paraId="42DCFABE" w14:textId="77777777" w:rsidR="00A10636" w:rsidRPr="00D9348B" w:rsidRDefault="00A10636" w:rsidP="00DB330E">
            <w:pPr>
              <w:pStyle w:val="TableText"/>
              <w:rPr>
                <w:szCs w:val="16"/>
              </w:rPr>
            </w:pPr>
            <w:r w:rsidRPr="00D9348B">
              <w:rPr>
                <w:szCs w:val="16"/>
              </w:rPr>
              <w:t>Paul et al. (unpublished(d))</w:t>
            </w:r>
          </w:p>
        </w:tc>
      </w:tr>
      <w:tr w:rsidR="00A10636" w:rsidRPr="00D9348B" w14:paraId="040682DA" w14:textId="77777777" w:rsidTr="00022513">
        <w:tc>
          <w:tcPr>
            <w:tcW w:w="1141" w:type="dxa"/>
            <w:vMerge w:val="restart"/>
            <w:tcBorders>
              <w:top w:val="single" w:sz="4" w:space="0" w:color="365F91"/>
              <w:bottom w:val="single" w:sz="4" w:space="0" w:color="365F91"/>
            </w:tcBorders>
          </w:tcPr>
          <w:p w14:paraId="46D933A9" w14:textId="77777777" w:rsidR="00A10636" w:rsidRPr="00D9348B" w:rsidRDefault="00A10636" w:rsidP="00DB330E">
            <w:pPr>
              <w:pStyle w:val="TableText"/>
              <w:rPr>
                <w:szCs w:val="16"/>
              </w:rPr>
            </w:pPr>
            <w:r w:rsidRPr="00D9348B">
              <w:rPr>
                <w:szCs w:val="16"/>
              </w:rPr>
              <w:t>Cropland</w:t>
            </w:r>
          </w:p>
        </w:tc>
        <w:tc>
          <w:tcPr>
            <w:tcW w:w="1428" w:type="dxa"/>
            <w:tcBorders>
              <w:top w:val="single" w:sz="4" w:space="0" w:color="365F91"/>
              <w:bottom w:val="single" w:sz="4" w:space="0" w:color="365F91"/>
            </w:tcBorders>
          </w:tcPr>
          <w:p w14:paraId="159FC59F" w14:textId="77777777" w:rsidR="00A10636" w:rsidRPr="00D9348B" w:rsidRDefault="00A10636" w:rsidP="00DB330E">
            <w:pPr>
              <w:pStyle w:val="TableText"/>
              <w:rPr>
                <w:szCs w:val="16"/>
              </w:rPr>
            </w:pPr>
            <w:r w:rsidRPr="00D9348B">
              <w:rPr>
                <w:szCs w:val="16"/>
              </w:rPr>
              <w:t>Annual</w:t>
            </w:r>
          </w:p>
        </w:tc>
        <w:tc>
          <w:tcPr>
            <w:tcW w:w="1737" w:type="dxa"/>
            <w:tcBorders>
              <w:top w:val="single" w:sz="4" w:space="0" w:color="365F91"/>
              <w:bottom w:val="single" w:sz="4" w:space="0" w:color="365F91"/>
            </w:tcBorders>
          </w:tcPr>
          <w:p w14:paraId="2D6D1577" w14:textId="77777777" w:rsidR="00A10636" w:rsidRPr="00D9348B" w:rsidRDefault="00A10636" w:rsidP="00DB330E">
            <w:pPr>
              <w:pStyle w:val="TableText"/>
              <w:rPr>
                <w:szCs w:val="16"/>
              </w:rPr>
            </w:pPr>
            <w:r w:rsidRPr="00D9348B">
              <w:rPr>
                <w:szCs w:val="16"/>
              </w:rPr>
              <w:t>5</w:t>
            </w:r>
          </w:p>
        </w:tc>
        <w:tc>
          <w:tcPr>
            <w:tcW w:w="1223" w:type="dxa"/>
            <w:tcBorders>
              <w:top w:val="single" w:sz="4" w:space="0" w:color="365F91"/>
              <w:bottom w:val="single" w:sz="4" w:space="0" w:color="365F91"/>
            </w:tcBorders>
          </w:tcPr>
          <w:p w14:paraId="4CDD529E" w14:textId="77777777" w:rsidR="00A10636" w:rsidRPr="00D9348B" w:rsidRDefault="00A10636" w:rsidP="00DB330E">
            <w:pPr>
              <w:pStyle w:val="TableText"/>
              <w:rPr>
                <w:szCs w:val="16"/>
              </w:rPr>
            </w:pPr>
            <w:r w:rsidRPr="00D9348B">
              <w:rPr>
                <w:szCs w:val="16"/>
              </w:rPr>
              <w:t>1</w:t>
            </w:r>
          </w:p>
        </w:tc>
        <w:tc>
          <w:tcPr>
            <w:tcW w:w="1509" w:type="dxa"/>
            <w:tcBorders>
              <w:top w:val="single" w:sz="4" w:space="0" w:color="365F91"/>
              <w:bottom w:val="single" w:sz="4" w:space="0" w:color="365F91"/>
            </w:tcBorders>
          </w:tcPr>
          <w:p w14:paraId="61B74FD0" w14:textId="77777777" w:rsidR="00A10636" w:rsidRPr="00D9348B" w:rsidRDefault="00A10636" w:rsidP="00DB330E">
            <w:pPr>
              <w:pStyle w:val="TableText"/>
              <w:rPr>
                <w:szCs w:val="16"/>
              </w:rPr>
            </w:pPr>
            <w:r w:rsidRPr="00D9348B">
              <w:rPr>
                <w:szCs w:val="16"/>
              </w:rPr>
              <w:t>Above- and below-ground biomass</w:t>
            </w:r>
          </w:p>
        </w:tc>
        <w:tc>
          <w:tcPr>
            <w:tcW w:w="1524" w:type="dxa"/>
            <w:tcBorders>
              <w:top w:val="single" w:sz="4" w:space="0" w:color="365F91"/>
              <w:bottom w:val="single" w:sz="4" w:space="0" w:color="365F91"/>
            </w:tcBorders>
          </w:tcPr>
          <w:p w14:paraId="507DC54A" w14:textId="77777777" w:rsidR="00A10636" w:rsidRPr="00D9348B" w:rsidRDefault="00A10636" w:rsidP="00DB330E">
            <w:pPr>
              <w:pStyle w:val="TableText"/>
              <w:rPr>
                <w:szCs w:val="16"/>
              </w:rPr>
            </w:pPr>
            <w:r w:rsidRPr="00D9348B">
              <w:rPr>
                <w:szCs w:val="16"/>
              </w:rPr>
              <w:t>IPCC (table 5.9, 2006a)</w:t>
            </w:r>
          </w:p>
        </w:tc>
      </w:tr>
      <w:tr w:rsidR="00A10636" w:rsidRPr="00D9348B" w14:paraId="13EC0A6E" w14:textId="77777777" w:rsidTr="00022513">
        <w:tc>
          <w:tcPr>
            <w:tcW w:w="1141" w:type="dxa"/>
            <w:vMerge/>
            <w:tcBorders>
              <w:top w:val="single" w:sz="4" w:space="0" w:color="365F91"/>
              <w:bottom w:val="single" w:sz="4" w:space="0" w:color="365F91"/>
            </w:tcBorders>
          </w:tcPr>
          <w:p w14:paraId="08D685F1" w14:textId="77777777" w:rsidR="00A10636" w:rsidRPr="00D9348B" w:rsidRDefault="00A10636" w:rsidP="00DB330E">
            <w:pPr>
              <w:pStyle w:val="TableText"/>
              <w:rPr>
                <w:szCs w:val="16"/>
              </w:rPr>
            </w:pPr>
          </w:p>
        </w:tc>
        <w:tc>
          <w:tcPr>
            <w:tcW w:w="1428" w:type="dxa"/>
            <w:tcBorders>
              <w:top w:val="single" w:sz="4" w:space="0" w:color="365F91"/>
              <w:bottom w:val="single" w:sz="4" w:space="0" w:color="365F91"/>
            </w:tcBorders>
          </w:tcPr>
          <w:p w14:paraId="28DD307D" w14:textId="77777777" w:rsidR="00A10636" w:rsidRPr="00D9348B" w:rsidRDefault="00A10636" w:rsidP="00DB330E">
            <w:pPr>
              <w:pStyle w:val="TableText"/>
              <w:rPr>
                <w:szCs w:val="16"/>
              </w:rPr>
            </w:pPr>
            <w:r w:rsidRPr="00D9348B">
              <w:rPr>
                <w:szCs w:val="16"/>
              </w:rPr>
              <w:t>Perennial</w:t>
            </w:r>
          </w:p>
        </w:tc>
        <w:tc>
          <w:tcPr>
            <w:tcW w:w="1737" w:type="dxa"/>
            <w:tcBorders>
              <w:top w:val="single" w:sz="4" w:space="0" w:color="365F91"/>
              <w:bottom w:val="single" w:sz="4" w:space="0" w:color="365F91"/>
            </w:tcBorders>
          </w:tcPr>
          <w:p w14:paraId="4899FF41" w14:textId="77777777" w:rsidR="00A10636" w:rsidRPr="00D9348B" w:rsidRDefault="00A10636" w:rsidP="00DB330E">
            <w:pPr>
              <w:pStyle w:val="TableText"/>
              <w:rPr>
                <w:szCs w:val="16"/>
              </w:rPr>
            </w:pPr>
            <w:r w:rsidRPr="00D9348B">
              <w:rPr>
                <w:szCs w:val="16"/>
              </w:rPr>
              <w:t>0.67</w:t>
            </w:r>
          </w:p>
        </w:tc>
        <w:tc>
          <w:tcPr>
            <w:tcW w:w="1223" w:type="dxa"/>
            <w:tcBorders>
              <w:top w:val="single" w:sz="4" w:space="0" w:color="365F91"/>
              <w:bottom w:val="single" w:sz="4" w:space="0" w:color="365F91"/>
            </w:tcBorders>
          </w:tcPr>
          <w:p w14:paraId="56E24444" w14:textId="77777777" w:rsidR="00A10636" w:rsidRPr="00D9348B" w:rsidRDefault="00A10636" w:rsidP="00DB330E">
            <w:pPr>
              <w:pStyle w:val="TableText"/>
              <w:rPr>
                <w:szCs w:val="16"/>
              </w:rPr>
            </w:pPr>
            <w:r w:rsidRPr="00D9348B">
              <w:rPr>
                <w:szCs w:val="16"/>
              </w:rPr>
              <w:t>28</w:t>
            </w:r>
          </w:p>
        </w:tc>
        <w:tc>
          <w:tcPr>
            <w:tcW w:w="1509" w:type="dxa"/>
            <w:tcBorders>
              <w:top w:val="single" w:sz="4" w:space="0" w:color="365F91"/>
              <w:bottom w:val="single" w:sz="4" w:space="0" w:color="365F91"/>
            </w:tcBorders>
          </w:tcPr>
          <w:p w14:paraId="4161D4DF" w14:textId="77777777" w:rsidR="00A10636" w:rsidRPr="00D9348B" w:rsidRDefault="00A10636" w:rsidP="00DB330E">
            <w:pPr>
              <w:pStyle w:val="TableText"/>
              <w:rPr>
                <w:szCs w:val="16"/>
              </w:rPr>
            </w:pPr>
            <w:r w:rsidRPr="00D9348B">
              <w:rPr>
                <w:szCs w:val="16"/>
              </w:rPr>
              <w:t>Above-ground biomass</w:t>
            </w:r>
          </w:p>
        </w:tc>
        <w:tc>
          <w:tcPr>
            <w:tcW w:w="1524" w:type="dxa"/>
            <w:tcBorders>
              <w:top w:val="single" w:sz="4" w:space="0" w:color="365F91"/>
              <w:bottom w:val="single" w:sz="4" w:space="0" w:color="365F91"/>
            </w:tcBorders>
          </w:tcPr>
          <w:p w14:paraId="613045A1" w14:textId="77777777" w:rsidR="00A10636" w:rsidRPr="00D9348B" w:rsidRDefault="00A10636" w:rsidP="00DB330E">
            <w:pPr>
              <w:pStyle w:val="TableText"/>
              <w:rPr>
                <w:szCs w:val="16"/>
              </w:rPr>
            </w:pPr>
            <w:r w:rsidRPr="00D9348B">
              <w:rPr>
                <w:szCs w:val="16"/>
              </w:rPr>
              <w:t>Davis and Wakelin (unpublished)</w:t>
            </w:r>
          </w:p>
        </w:tc>
      </w:tr>
      <w:tr w:rsidR="00A10636" w:rsidRPr="00D9348B" w14:paraId="6D0FF7AE" w14:textId="77777777" w:rsidTr="00022513">
        <w:tc>
          <w:tcPr>
            <w:tcW w:w="1141" w:type="dxa"/>
            <w:vMerge w:val="restart"/>
            <w:tcBorders>
              <w:top w:val="single" w:sz="4" w:space="0" w:color="365F91"/>
              <w:bottom w:val="single" w:sz="4" w:space="0" w:color="365F91"/>
            </w:tcBorders>
          </w:tcPr>
          <w:p w14:paraId="6158E8BD" w14:textId="77777777" w:rsidR="00A10636" w:rsidRPr="00D9348B" w:rsidRDefault="00A10636" w:rsidP="00DB330E">
            <w:pPr>
              <w:pStyle w:val="TableText"/>
              <w:keepNext/>
              <w:rPr>
                <w:szCs w:val="16"/>
              </w:rPr>
            </w:pPr>
            <w:r w:rsidRPr="00D9348B">
              <w:rPr>
                <w:szCs w:val="16"/>
              </w:rPr>
              <w:t>Grassland</w:t>
            </w:r>
          </w:p>
        </w:tc>
        <w:tc>
          <w:tcPr>
            <w:tcW w:w="1428" w:type="dxa"/>
            <w:tcBorders>
              <w:top w:val="single" w:sz="4" w:space="0" w:color="365F91"/>
              <w:bottom w:val="single" w:sz="4" w:space="0" w:color="365F91"/>
            </w:tcBorders>
          </w:tcPr>
          <w:p w14:paraId="2AE57F24" w14:textId="77777777" w:rsidR="00A10636" w:rsidRPr="00D9348B" w:rsidRDefault="00A10636" w:rsidP="00DB330E">
            <w:pPr>
              <w:pStyle w:val="TableText"/>
              <w:rPr>
                <w:szCs w:val="16"/>
              </w:rPr>
            </w:pPr>
            <w:r w:rsidRPr="00D9348B">
              <w:rPr>
                <w:szCs w:val="16"/>
              </w:rPr>
              <w:t>High producing</w:t>
            </w:r>
          </w:p>
        </w:tc>
        <w:tc>
          <w:tcPr>
            <w:tcW w:w="1737" w:type="dxa"/>
            <w:tcBorders>
              <w:top w:val="single" w:sz="4" w:space="0" w:color="365F91"/>
              <w:bottom w:val="single" w:sz="4" w:space="0" w:color="365F91"/>
            </w:tcBorders>
          </w:tcPr>
          <w:p w14:paraId="414B51CF" w14:textId="77777777" w:rsidR="00A10636" w:rsidRPr="00D9348B" w:rsidRDefault="00A10636" w:rsidP="00DB330E">
            <w:pPr>
              <w:pStyle w:val="TableText"/>
              <w:rPr>
                <w:szCs w:val="16"/>
              </w:rPr>
            </w:pPr>
            <w:r w:rsidRPr="00D9348B">
              <w:rPr>
                <w:szCs w:val="16"/>
              </w:rPr>
              <w:t>6.345</w:t>
            </w:r>
          </w:p>
        </w:tc>
        <w:tc>
          <w:tcPr>
            <w:tcW w:w="1223" w:type="dxa"/>
            <w:tcBorders>
              <w:top w:val="single" w:sz="4" w:space="0" w:color="365F91"/>
              <w:bottom w:val="single" w:sz="4" w:space="0" w:color="365F91"/>
            </w:tcBorders>
          </w:tcPr>
          <w:p w14:paraId="018E41DA" w14:textId="77777777" w:rsidR="00A10636" w:rsidRPr="00D9348B" w:rsidRDefault="00A10636" w:rsidP="00DB330E">
            <w:pPr>
              <w:pStyle w:val="TableText"/>
              <w:rPr>
                <w:szCs w:val="16"/>
              </w:rPr>
            </w:pPr>
            <w:r w:rsidRPr="00D9348B">
              <w:rPr>
                <w:szCs w:val="16"/>
              </w:rPr>
              <w:t>1</w:t>
            </w:r>
          </w:p>
        </w:tc>
        <w:tc>
          <w:tcPr>
            <w:tcW w:w="1509" w:type="dxa"/>
            <w:tcBorders>
              <w:top w:val="single" w:sz="4" w:space="0" w:color="365F91"/>
              <w:bottom w:val="single" w:sz="4" w:space="0" w:color="365F91"/>
            </w:tcBorders>
          </w:tcPr>
          <w:p w14:paraId="4980FEE5" w14:textId="77777777" w:rsidR="00A10636" w:rsidRPr="00D9348B" w:rsidRDefault="00A10636" w:rsidP="00DB330E">
            <w:pPr>
              <w:pStyle w:val="TableText"/>
              <w:rPr>
                <w:szCs w:val="16"/>
              </w:rPr>
            </w:pPr>
            <w:r w:rsidRPr="00D9348B">
              <w:rPr>
                <w:szCs w:val="16"/>
              </w:rPr>
              <w:t>Above- and below-ground biomass</w:t>
            </w:r>
          </w:p>
        </w:tc>
        <w:tc>
          <w:tcPr>
            <w:tcW w:w="1524" w:type="dxa"/>
            <w:tcBorders>
              <w:top w:val="single" w:sz="4" w:space="0" w:color="365F91"/>
              <w:bottom w:val="single" w:sz="4" w:space="0" w:color="365F91"/>
            </w:tcBorders>
          </w:tcPr>
          <w:p w14:paraId="74BF6198" w14:textId="77777777" w:rsidR="00A10636" w:rsidRPr="00D9348B" w:rsidRDefault="00A10636" w:rsidP="00DB330E">
            <w:pPr>
              <w:pStyle w:val="TableText"/>
              <w:rPr>
                <w:szCs w:val="16"/>
              </w:rPr>
            </w:pPr>
            <w:r w:rsidRPr="00D9348B">
              <w:rPr>
                <w:szCs w:val="16"/>
              </w:rPr>
              <w:t>IPCC (table 6.4, 2006a)</w:t>
            </w:r>
          </w:p>
        </w:tc>
      </w:tr>
      <w:tr w:rsidR="00A10636" w:rsidRPr="00D9348B" w14:paraId="18F67671" w14:textId="77777777" w:rsidTr="00022513">
        <w:tc>
          <w:tcPr>
            <w:tcW w:w="1141" w:type="dxa"/>
            <w:vMerge/>
            <w:tcBorders>
              <w:top w:val="single" w:sz="4" w:space="0" w:color="365F91"/>
              <w:bottom w:val="single" w:sz="4" w:space="0" w:color="365F91"/>
            </w:tcBorders>
          </w:tcPr>
          <w:p w14:paraId="189DCAF8" w14:textId="77777777" w:rsidR="00A10636" w:rsidRPr="00D9348B" w:rsidRDefault="00A10636" w:rsidP="00DB330E">
            <w:pPr>
              <w:pStyle w:val="TableText"/>
              <w:rPr>
                <w:szCs w:val="16"/>
              </w:rPr>
            </w:pPr>
          </w:p>
        </w:tc>
        <w:tc>
          <w:tcPr>
            <w:tcW w:w="1428" w:type="dxa"/>
            <w:tcBorders>
              <w:top w:val="single" w:sz="4" w:space="0" w:color="365F91"/>
              <w:bottom w:val="single" w:sz="4" w:space="0" w:color="365F91"/>
            </w:tcBorders>
          </w:tcPr>
          <w:p w14:paraId="78805033" w14:textId="77777777" w:rsidR="00A10636" w:rsidRPr="00D9348B" w:rsidRDefault="00A10636" w:rsidP="00DB330E">
            <w:pPr>
              <w:pStyle w:val="TableText"/>
              <w:rPr>
                <w:szCs w:val="16"/>
              </w:rPr>
            </w:pPr>
            <w:r w:rsidRPr="00D9348B">
              <w:rPr>
                <w:szCs w:val="16"/>
              </w:rPr>
              <w:t>Low producing</w:t>
            </w:r>
          </w:p>
        </w:tc>
        <w:tc>
          <w:tcPr>
            <w:tcW w:w="1737" w:type="dxa"/>
            <w:tcBorders>
              <w:top w:val="single" w:sz="4" w:space="0" w:color="365F91"/>
              <w:bottom w:val="single" w:sz="4" w:space="0" w:color="365F91"/>
            </w:tcBorders>
          </w:tcPr>
          <w:p w14:paraId="6D91B900" w14:textId="77777777" w:rsidR="00A10636" w:rsidRPr="00D9348B" w:rsidRDefault="00A10636" w:rsidP="00DB330E">
            <w:pPr>
              <w:pStyle w:val="TableText"/>
              <w:rPr>
                <w:szCs w:val="16"/>
              </w:rPr>
            </w:pPr>
            <w:r w:rsidRPr="00D9348B">
              <w:rPr>
                <w:szCs w:val="16"/>
              </w:rPr>
              <w:t>2.867</w:t>
            </w:r>
          </w:p>
        </w:tc>
        <w:tc>
          <w:tcPr>
            <w:tcW w:w="1223" w:type="dxa"/>
            <w:tcBorders>
              <w:top w:val="single" w:sz="4" w:space="0" w:color="365F91"/>
              <w:bottom w:val="single" w:sz="4" w:space="0" w:color="365F91"/>
            </w:tcBorders>
          </w:tcPr>
          <w:p w14:paraId="0A73143D" w14:textId="77777777" w:rsidR="00A10636" w:rsidRPr="00D9348B" w:rsidRDefault="00A10636" w:rsidP="00DB330E">
            <w:pPr>
              <w:pStyle w:val="TableText"/>
              <w:rPr>
                <w:szCs w:val="16"/>
              </w:rPr>
            </w:pPr>
            <w:r w:rsidRPr="00D9348B">
              <w:rPr>
                <w:szCs w:val="16"/>
              </w:rPr>
              <w:t>1</w:t>
            </w:r>
          </w:p>
        </w:tc>
        <w:tc>
          <w:tcPr>
            <w:tcW w:w="1509" w:type="dxa"/>
            <w:tcBorders>
              <w:top w:val="single" w:sz="4" w:space="0" w:color="365F91"/>
              <w:bottom w:val="single" w:sz="4" w:space="0" w:color="365F91"/>
            </w:tcBorders>
          </w:tcPr>
          <w:p w14:paraId="7BDC168A" w14:textId="77777777" w:rsidR="00A10636" w:rsidRPr="00D9348B" w:rsidRDefault="00A10636" w:rsidP="00DB330E">
            <w:pPr>
              <w:pStyle w:val="TableText"/>
              <w:rPr>
                <w:szCs w:val="16"/>
              </w:rPr>
            </w:pPr>
            <w:r w:rsidRPr="00D9348B">
              <w:rPr>
                <w:szCs w:val="16"/>
              </w:rPr>
              <w:t>Above- and below-ground biomass</w:t>
            </w:r>
          </w:p>
        </w:tc>
        <w:tc>
          <w:tcPr>
            <w:tcW w:w="1524" w:type="dxa"/>
            <w:tcBorders>
              <w:top w:val="single" w:sz="4" w:space="0" w:color="365F91"/>
              <w:bottom w:val="single" w:sz="4" w:space="0" w:color="365F91"/>
            </w:tcBorders>
          </w:tcPr>
          <w:p w14:paraId="455996AE" w14:textId="77777777" w:rsidR="00A10636" w:rsidRPr="00D9348B" w:rsidRDefault="00A10636" w:rsidP="00DB330E">
            <w:pPr>
              <w:pStyle w:val="TableText"/>
              <w:rPr>
                <w:szCs w:val="16"/>
              </w:rPr>
            </w:pPr>
            <w:r w:rsidRPr="00D9348B">
              <w:rPr>
                <w:szCs w:val="16"/>
              </w:rPr>
              <w:t>IPCC (table 6.4, 2006a)</w:t>
            </w:r>
          </w:p>
        </w:tc>
      </w:tr>
      <w:tr w:rsidR="00A10636" w:rsidRPr="00D9348B" w14:paraId="1DFEA4DC" w14:textId="77777777" w:rsidTr="00022513">
        <w:tc>
          <w:tcPr>
            <w:tcW w:w="1141" w:type="dxa"/>
            <w:vMerge/>
            <w:tcBorders>
              <w:top w:val="single" w:sz="4" w:space="0" w:color="365F91"/>
              <w:bottom w:val="single" w:sz="4" w:space="0" w:color="365F91"/>
            </w:tcBorders>
          </w:tcPr>
          <w:p w14:paraId="422A8FBD" w14:textId="77777777" w:rsidR="00A10636" w:rsidRPr="00D9348B" w:rsidRDefault="00A10636" w:rsidP="00DB330E">
            <w:pPr>
              <w:pStyle w:val="TableText"/>
              <w:rPr>
                <w:szCs w:val="16"/>
              </w:rPr>
            </w:pPr>
          </w:p>
        </w:tc>
        <w:tc>
          <w:tcPr>
            <w:tcW w:w="1428" w:type="dxa"/>
            <w:tcBorders>
              <w:top w:val="single" w:sz="4" w:space="0" w:color="365F91"/>
              <w:bottom w:val="single" w:sz="4" w:space="0" w:color="365F91"/>
            </w:tcBorders>
          </w:tcPr>
          <w:p w14:paraId="75D91275" w14:textId="77777777" w:rsidR="00A10636" w:rsidRPr="00D9348B" w:rsidRDefault="00A10636" w:rsidP="00DB330E">
            <w:pPr>
              <w:pStyle w:val="TableText"/>
              <w:rPr>
                <w:szCs w:val="16"/>
              </w:rPr>
            </w:pPr>
            <w:r w:rsidRPr="00D9348B">
              <w:rPr>
                <w:szCs w:val="16"/>
              </w:rPr>
              <w:t>With woody biomass – transitional</w:t>
            </w:r>
          </w:p>
        </w:tc>
        <w:tc>
          <w:tcPr>
            <w:tcW w:w="1737" w:type="dxa"/>
            <w:tcBorders>
              <w:top w:val="single" w:sz="4" w:space="0" w:color="365F91"/>
              <w:bottom w:val="single" w:sz="4" w:space="0" w:color="365F91"/>
            </w:tcBorders>
          </w:tcPr>
          <w:p w14:paraId="23A619AD" w14:textId="77777777" w:rsidR="00A10636" w:rsidRPr="00D9348B" w:rsidRDefault="00A10636" w:rsidP="00DB330E">
            <w:pPr>
              <w:pStyle w:val="TableText"/>
              <w:rPr>
                <w:szCs w:val="16"/>
              </w:rPr>
            </w:pPr>
            <w:r w:rsidRPr="00D9348B">
              <w:rPr>
                <w:szCs w:val="16"/>
              </w:rPr>
              <w:t>0.47</w:t>
            </w:r>
          </w:p>
        </w:tc>
        <w:tc>
          <w:tcPr>
            <w:tcW w:w="1223" w:type="dxa"/>
            <w:tcBorders>
              <w:top w:val="single" w:sz="4" w:space="0" w:color="365F91"/>
              <w:bottom w:val="single" w:sz="4" w:space="0" w:color="365F91"/>
            </w:tcBorders>
          </w:tcPr>
          <w:p w14:paraId="3633CF66" w14:textId="77777777" w:rsidR="00A10636" w:rsidRPr="00D9348B" w:rsidRDefault="00A10636" w:rsidP="00DB330E">
            <w:pPr>
              <w:pStyle w:val="TableText"/>
              <w:rPr>
                <w:szCs w:val="16"/>
              </w:rPr>
            </w:pPr>
            <w:r w:rsidRPr="00D9348B">
              <w:rPr>
                <w:szCs w:val="16"/>
              </w:rPr>
              <w:t>28</w:t>
            </w:r>
          </w:p>
        </w:tc>
        <w:tc>
          <w:tcPr>
            <w:tcW w:w="1509" w:type="dxa"/>
            <w:tcBorders>
              <w:top w:val="single" w:sz="4" w:space="0" w:color="365F91"/>
              <w:bottom w:val="single" w:sz="4" w:space="0" w:color="365F91"/>
            </w:tcBorders>
          </w:tcPr>
          <w:p w14:paraId="7CA855D1" w14:textId="77777777" w:rsidR="00A10636" w:rsidRPr="00D9348B" w:rsidRDefault="00A10636" w:rsidP="00DB330E">
            <w:pPr>
              <w:pStyle w:val="TableText"/>
              <w:rPr>
                <w:szCs w:val="16"/>
              </w:rPr>
            </w:pPr>
            <w:r w:rsidRPr="00D9348B">
              <w:rPr>
                <w:szCs w:val="16"/>
              </w:rPr>
              <w:t>All biomass pools</w:t>
            </w:r>
          </w:p>
        </w:tc>
        <w:tc>
          <w:tcPr>
            <w:tcW w:w="1524" w:type="dxa"/>
            <w:tcBorders>
              <w:top w:val="single" w:sz="4" w:space="0" w:color="365F91"/>
              <w:bottom w:val="single" w:sz="4" w:space="0" w:color="365F91"/>
            </w:tcBorders>
          </w:tcPr>
          <w:p w14:paraId="60F123FE" w14:textId="77777777" w:rsidR="00A10636" w:rsidRPr="00D9348B" w:rsidRDefault="00A10636" w:rsidP="00DB330E">
            <w:pPr>
              <w:pStyle w:val="TableText"/>
              <w:rPr>
                <w:szCs w:val="16"/>
              </w:rPr>
            </w:pPr>
            <w:r w:rsidRPr="00D9348B">
              <w:rPr>
                <w:szCs w:val="16"/>
              </w:rPr>
              <w:t>Wakelin and Beets (unpublished)</w:t>
            </w:r>
          </w:p>
        </w:tc>
      </w:tr>
      <w:tr w:rsidR="00A10636" w:rsidRPr="00D9348B" w14:paraId="401B1DF1" w14:textId="77777777" w:rsidTr="00022513">
        <w:tc>
          <w:tcPr>
            <w:tcW w:w="1141" w:type="dxa"/>
            <w:vMerge/>
            <w:tcBorders>
              <w:top w:val="single" w:sz="4" w:space="0" w:color="365F91"/>
              <w:bottom w:val="single" w:sz="4" w:space="0" w:color="365F91"/>
            </w:tcBorders>
          </w:tcPr>
          <w:p w14:paraId="4D0760BD" w14:textId="77777777" w:rsidR="00A10636" w:rsidRPr="00D9348B" w:rsidRDefault="00A10636" w:rsidP="00DB330E">
            <w:pPr>
              <w:pStyle w:val="TableText"/>
              <w:rPr>
                <w:szCs w:val="16"/>
              </w:rPr>
            </w:pPr>
          </w:p>
        </w:tc>
        <w:tc>
          <w:tcPr>
            <w:tcW w:w="1428" w:type="dxa"/>
            <w:tcBorders>
              <w:top w:val="single" w:sz="4" w:space="0" w:color="365F91"/>
              <w:bottom w:val="single" w:sz="4" w:space="0" w:color="365F91"/>
            </w:tcBorders>
          </w:tcPr>
          <w:p w14:paraId="2F17242E" w14:textId="77777777" w:rsidR="00A10636" w:rsidRPr="00D9348B" w:rsidRDefault="00A10636" w:rsidP="00DB330E">
            <w:pPr>
              <w:pStyle w:val="TableText"/>
              <w:rPr>
                <w:szCs w:val="16"/>
              </w:rPr>
            </w:pPr>
            <w:r w:rsidRPr="00D9348B">
              <w:rPr>
                <w:szCs w:val="16"/>
              </w:rPr>
              <w:t>With woody biomass – permanent</w:t>
            </w:r>
          </w:p>
        </w:tc>
        <w:tc>
          <w:tcPr>
            <w:tcW w:w="1737" w:type="dxa"/>
            <w:tcBorders>
              <w:top w:val="single" w:sz="4" w:space="0" w:color="365F91"/>
              <w:bottom w:val="single" w:sz="4" w:space="0" w:color="365F91"/>
            </w:tcBorders>
          </w:tcPr>
          <w:p w14:paraId="25D3B34F" w14:textId="77777777" w:rsidR="00A10636" w:rsidRPr="00D9348B" w:rsidRDefault="00A10636" w:rsidP="00DB330E">
            <w:pPr>
              <w:pStyle w:val="TableText"/>
              <w:rPr>
                <w:szCs w:val="16"/>
              </w:rPr>
            </w:pPr>
            <w:r w:rsidRPr="00D9348B">
              <w:rPr>
                <w:szCs w:val="16"/>
              </w:rPr>
              <w:t>NO</w:t>
            </w:r>
          </w:p>
        </w:tc>
        <w:tc>
          <w:tcPr>
            <w:tcW w:w="1223" w:type="dxa"/>
            <w:tcBorders>
              <w:top w:val="single" w:sz="4" w:space="0" w:color="365F91"/>
              <w:bottom w:val="single" w:sz="4" w:space="0" w:color="365F91"/>
            </w:tcBorders>
          </w:tcPr>
          <w:p w14:paraId="459292D3" w14:textId="77777777" w:rsidR="00A10636" w:rsidRPr="00D9348B" w:rsidRDefault="00A10636" w:rsidP="00DB330E">
            <w:pPr>
              <w:pStyle w:val="TableText"/>
              <w:rPr>
                <w:szCs w:val="16"/>
              </w:rPr>
            </w:pPr>
            <w:r w:rsidRPr="00D9348B">
              <w:rPr>
                <w:szCs w:val="16"/>
              </w:rPr>
              <w:t>NA</w:t>
            </w:r>
          </w:p>
        </w:tc>
        <w:tc>
          <w:tcPr>
            <w:tcW w:w="1509" w:type="dxa"/>
            <w:tcBorders>
              <w:top w:val="single" w:sz="4" w:space="0" w:color="365F91"/>
              <w:bottom w:val="single" w:sz="4" w:space="0" w:color="365F91"/>
            </w:tcBorders>
          </w:tcPr>
          <w:p w14:paraId="23177A2D" w14:textId="77777777" w:rsidR="00A10636" w:rsidRPr="00D9348B" w:rsidRDefault="00A10636" w:rsidP="00DB330E">
            <w:pPr>
              <w:pStyle w:val="TableText"/>
              <w:rPr>
                <w:szCs w:val="16"/>
              </w:rPr>
            </w:pPr>
            <w:r w:rsidRPr="00D9348B">
              <w:rPr>
                <w:szCs w:val="16"/>
              </w:rPr>
              <w:t>NA</w:t>
            </w:r>
          </w:p>
        </w:tc>
        <w:tc>
          <w:tcPr>
            <w:tcW w:w="1524" w:type="dxa"/>
            <w:tcBorders>
              <w:top w:val="single" w:sz="4" w:space="0" w:color="365F91"/>
              <w:bottom w:val="single" w:sz="4" w:space="0" w:color="365F91"/>
            </w:tcBorders>
          </w:tcPr>
          <w:p w14:paraId="56B6DBCD" w14:textId="77777777" w:rsidR="00A10636" w:rsidRPr="00D9348B" w:rsidRDefault="00A10636" w:rsidP="00DB330E">
            <w:pPr>
              <w:pStyle w:val="TableText"/>
              <w:rPr>
                <w:szCs w:val="16"/>
              </w:rPr>
            </w:pPr>
            <w:r w:rsidRPr="00D9348B">
              <w:rPr>
                <w:szCs w:val="16"/>
              </w:rPr>
              <w:t>NA</w:t>
            </w:r>
          </w:p>
        </w:tc>
      </w:tr>
      <w:tr w:rsidR="00A10636" w:rsidRPr="00D9348B" w14:paraId="41B0336E" w14:textId="77777777" w:rsidTr="00022513">
        <w:tc>
          <w:tcPr>
            <w:tcW w:w="1141" w:type="dxa"/>
            <w:tcBorders>
              <w:top w:val="single" w:sz="4" w:space="0" w:color="365F91"/>
              <w:bottom w:val="single" w:sz="4" w:space="0" w:color="365F91"/>
            </w:tcBorders>
          </w:tcPr>
          <w:p w14:paraId="6B58718D" w14:textId="77777777" w:rsidR="00A10636" w:rsidRPr="00D9348B" w:rsidRDefault="00A10636" w:rsidP="00DB330E">
            <w:pPr>
              <w:pStyle w:val="TableText"/>
              <w:rPr>
                <w:szCs w:val="16"/>
              </w:rPr>
            </w:pPr>
            <w:r w:rsidRPr="00D9348B">
              <w:rPr>
                <w:szCs w:val="16"/>
              </w:rPr>
              <w:t>Wetlands</w:t>
            </w:r>
          </w:p>
        </w:tc>
        <w:tc>
          <w:tcPr>
            <w:tcW w:w="1428" w:type="dxa"/>
            <w:tcBorders>
              <w:top w:val="single" w:sz="4" w:space="0" w:color="365F91"/>
              <w:bottom w:val="single" w:sz="4" w:space="0" w:color="365F91"/>
            </w:tcBorders>
          </w:tcPr>
          <w:p w14:paraId="3B09279B" w14:textId="77777777" w:rsidR="00A10636" w:rsidRPr="00D9348B" w:rsidRDefault="00A10636" w:rsidP="00DB330E">
            <w:pPr>
              <w:pStyle w:val="TableText"/>
              <w:rPr>
                <w:szCs w:val="16"/>
              </w:rPr>
            </w:pPr>
          </w:p>
        </w:tc>
        <w:tc>
          <w:tcPr>
            <w:tcW w:w="1737" w:type="dxa"/>
            <w:tcBorders>
              <w:top w:val="single" w:sz="4" w:space="0" w:color="365F91"/>
              <w:bottom w:val="single" w:sz="4" w:space="0" w:color="365F91"/>
            </w:tcBorders>
          </w:tcPr>
          <w:p w14:paraId="69414909" w14:textId="77777777" w:rsidR="00A10636" w:rsidRPr="00D9348B" w:rsidRDefault="00A10636" w:rsidP="00DB330E">
            <w:pPr>
              <w:pStyle w:val="TableText"/>
              <w:rPr>
                <w:szCs w:val="16"/>
              </w:rPr>
            </w:pPr>
            <w:r w:rsidRPr="00D9348B">
              <w:rPr>
                <w:szCs w:val="16"/>
              </w:rPr>
              <w:t>0</w:t>
            </w:r>
          </w:p>
        </w:tc>
        <w:tc>
          <w:tcPr>
            <w:tcW w:w="1223" w:type="dxa"/>
            <w:tcBorders>
              <w:top w:val="single" w:sz="4" w:space="0" w:color="365F91"/>
              <w:bottom w:val="single" w:sz="4" w:space="0" w:color="365F91"/>
            </w:tcBorders>
          </w:tcPr>
          <w:p w14:paraId="089BD569" w14:textId="77777777" w:rsidR="00A10636" w:rsidRPr="00D9348B" w:rsidRDefault="00A10636" w:rsidP="00DB330E">
            <w:pPr>
              <w:pStyle w:val="TableText"/>
              <w:rPr>
                <w:szCs w:val="16"/>
              </w:rPr>
            </w:pPr>
            <w:r w:rsidRPr="00D9348B">
              <w:rPr>
                <w:szCs w:val="16"/>
              </w:rPr>
              <w:t>NA</w:t>
            </w:r>
          </w:p>
        </w:tc>
        <w:tc>
          <w:tcPr>
            <w:tcW w:w="1509" w:type="dxa"/>
            <w:tcBorders>
              <w:top w:val="single" w:sz="4" w:space="0" w:color="365F91"/>
              <w:bottom w:val="single" w:sz="4" w:space="0" w:color="365F91"/>
            </w:tcBorders>
          </w:tcPr>
          <w:p w14:paraId="5D56C947" w14:textId="77777777" w:rsidR="00A10636" w:rsidRPr="00D9348B" w:rsidRDefault="00A10636" w:rsidP="00DB330E">
            <w:pPr>
              <w:pStyle w:val="TableText"/>
              <w:rPr>
                <w:szCs w:val="16"/>
              </w:rPr>
            </w:pPr>
            <w:r w:rsidRPr="00D9348B">
              <w:rPr>
                <w:szCs w:val="16"/>
              </w:rPr>
              <w:t>All biomass pools</w:t>
            </w:r>
          </w:p>
        </w:tc>
        <w:tc>
          <w:tcPr>
            <w:tcW w:w="1524" w:type="dxa"/>
            <w:tcBorders>
              <w:top w:val="single" w:sz="4" w:space="0" w:color="365F91"/>
              <w:bottom w:val="single" w:sz="4" w:space="0" w:color="365F91"/>
            </w:tcBorders>
          </w:tcPr>
          <w:p w14:paraId="6574821B" w14:textId="77777777" w:rsidR="00A10636" w:rsidRPr="00D9348B" w:rsidRDefault="00A10636" w:rsidP="00DB330E">
            <w:pPr>
              <w:pStyle w:val="TableText"/>
              <w:rPr>
                <w:szCs w:val="16"/>
              </w:rPr>
            </w:pPr>
            <w:r w:rsidRPr="00D9348B">
              <w:rPr>
                <w:szCs w:val="16"/>
              </w:rPr>
              <w:t>IPCC (section 7.2.1.1, 2006a)</w:t>
            </w:r>
          </w:p>
        </w:tc>
      </w:tr>
      <w:tr w:rsidR="00A10636" w:rsidRPr="00D9348B" w14:paraId="5697BD9D" w14:textId="77777777" w:rsidTr="00022513">
        <w:tc>
          <w:tcPr>
            <w:tcW w:w="1141" w:type="dxa"/>
            <w:tcBorders>
              <w:top w:val="single" w:sz="4" w:space="0" w:color="365F91"/>
              <w:bottom w:val="single" w:sz="4" w:space="0" w:color="365F91"/>
            </w:tcBorders>
          </w:tcPr>
          <w:p w14:paraId="1FB1D2D6" w14:textId="77777777" w:rsidR="00A10636" w:rsidRPr="00D9348B" w:rsidRDefault="00A10636" w:rsidP="00DB330E">
            <w:pPr>
              <w:pStyle w:val="TableText"/>
              <w:rPr>
                <w:szCs w:val="16"/>
              </w:rPr>
            </w:pPr>
            <w:r w:rsidRPr="00D9348B">
              <w:rPr>
                <w:szCs w:val="16"/>
              </w:rPr>
              <w:t>Settlements</w:t>
            </w:r>
          </w:p>
        </w:tc>
        <w:tc>
          <w:tcPr>
            <w:tcW w:w="1428" w:type="dxa"/>
            <w:tcBorders>
              <w:top w:val="single" w:sz="4" w:space="0" w:color="365F91"/>
              <w:bottom w:val="single" w:sz="4" w:space="0" w:color="365F91"/>
            </w:tcBorders>
          </w:tcPr>
          <w:p w14:paraId="03F22759" w14:textId="77777777" w:rsidR="00A10636" w:rsidRPr="00D9348B" w:rsidRDefault="00A10636" w:rsidP="00DB330E">
            <w:pPr>
              <w:pStyle w:val="TableText"/>
              <w:rPr>
                <w:szCs w:val="16"/>
              </w:rPr>
            </w:pPr>
          </w:p>
        </w:tc>
        <w:tc>
          <w:tcPr>
            <w:tcW w:w="1737" w:type="dxa"/>
            <w:tcBorders>
              <w:top w:val="single" w:sz="4" w:space="0" w:color="365F91"/>
              <w:bottom w:val="single" w:sz="4" w:space="0" w:color="365F91"/>
            </w:tcBorders>
          </w:tcPr>
          <w:p w14:paraId="7BDC3F5F" w14:textId="77777777" w:rsidR="00A10636" w:rsidRPr="00D9348B" w:rsidRDefault="00A10636" w:rsidP="00DB330E">
            <w:pPr>
              <w:pStyle w:val="TableText"/>
              <w:rPr>
                <w:szCs w:val="16"/>
              </w:rPr>
            </w:pPr>
            <w:r w:rsidRPr="00D9348B">
              <w:rPr>
                <w:szCs w:val="16"/>
              </w:rPr>
              <w:t>0</w:t>
            </w:r>
          </w:p>
        </w:tc>
        <w:tc>
          <w:tcPr>
            <w:tcW w:w="1223" w:type="dxa"/>
            <w:tcBorders>
              <w:top w:val="single" w:sz="4" w:space="0" w:color="365F91"/>
              <w:bottom w:val="single" w:sz="4" w:space="0" w:color="365F91"/>
            </w:tcBorders>
          </w:tcPr>
          <w:p w14:paraId="4B7808A3" w14:textId="77777777" w:rsidR="00A10636" w:rsidRPr="00D9348B" w:rsidRDefault="00A10636" w:rsidP="00DB330E">
            <w:pPr>
              <w:pStyle w:val="TableText"/>
              <w:rPr>
                <w:szCs w:val="16"/>
              </w:rPr>
            </w:pPr>
            <w:r w:rsidRPr="00D9348B">
              <w:rPr>
                <w:szCs w:val="16"/>
              </w:rPr>
              <w:t>NA</w:t>
            </w:r>
          </w:p>
        </w:tc>
        <w:tc>
          <w:tcPr>
            <w:tcW w:w="1509" w:type="dxa"/>
            <w:tcBorders>
              <w:top w:val="single" w:sz="4" w:space="0" w:color="365F91"/>
              <w:bottom w:val="single" w:sz="4" w:space="0" w:color="365F91"/>
            </w:tcBorders>
          </w:tcPr>
          <w:p w14:paraId="56F0290F" w14:textId="77777777" w:rsidR="00A10636" w:rsidRPr="00D9348B" w:rsidRDefault="00A10636" w:rsidP="00DB330E">
            <w:pPr>
              <w:pStyle w:val="TableText"/>
              <w:rPr>
                <w:szCs w:val="16"/>
              </w:rPr>
            </w:pPr>
            <w:r w:rsidRPr="00D9348B">
              <w:rPr>
                <w:szCs w:val="16"/>
              </w:rPr>
              <w:t>All biomass pools</w:t>
            </w:r>
          </w:p>
        </w:tc>
        <w:tc>
          <w:tcPr>
            <w:tcW w:w="1524" w:type="dxa"/>
            <w:tcBorders>
              <w:top w:val="single" w:sz="4" w:space="0" w:color="365F91"/>
              <w:bottom w:val="single" w:sz="4" w:space="0" w:color="365F91"/>
            </w:tcBorders>
          </w:tcPr>
          <w:p w14:paraId="5664081A" w14:textId="77777777" w:rsidR="00A10636" w:rsidRPr="00D9348B" w:rsidRDefault="00A10636" w:rsidP="00DB330E">
            <w:pPr>
              <w:pStyle w:val="TableText"/>
              <w:rPr>
                <w:szCs w:val="16"/>
              </w:rPr>
            </w:pPr>
            <w:r w:rsidRPr="00D9348B">
              <w:rPr>
                <w:szCs w:val="16"/>
              </w:rPr>
              <w:t>IPCC (section 8.2.1.1, 2006a)</w:t>
            </w:r>
          </w:p>
        </w:tc>
      </w:tr>
      <w:tr w:rsidR="00A10636" w:rsidRPr="00D9348B" w14:paraId="76BFB87A" w14:textId="77777777" w:rsidTr="00022513">
        <w:tc>
          <w:tcPr>
            <w:tcW w:w="1141" w:type="dxa"/>
            <w:tcBorders>
              <w:top w:val="single" w:sz="4" w:space="0" w:color="365F91"/>
              <w:bottom w:val="single" w:sz="4" w:space="0" w:color="365F91"/>
            </w:tcBorders>
          </w:tcPr>
          <w:p w14:paraId="165206A8" w14:textId="77777777" w:rsidR="00A10636" w:rsidRPr="00D9348B" w:rsidRDefault="00A10636" w:rsidP="00DB330E">
            <w:pPr>
              <w:pStyle w:val="TableText"/>
              <w:rPr>
                <w:szCs w:val="16"/>
              </w:rPr>
            </w:pPr>
            <w:r w:rsidRPr="00D9348B">
              <w:rPr>
                <w:szCs w:val="16"/>
              </w:rPr>
              <w:t>Other land</w:t>
            </w:r>
          </w:p>
        </w:tc>
        <w:tc>
          <w:tcPr>
            <w:tcW w:w="1428" w:type="dxa"/>
            <w:tcBorders>
              <w:top w:val="single" w:sz="4" w:space="0" w:color="365F91"/>
              <w:bottom w:val="single" w:sz="4" w:space="0" w:color="365F91"/>
            </w:tcBorders>
          </w:tcPr>
          <w:p w14:paraId="63D60D9B" w14:textId="77777777" w:rsidR="00A10636" w:rsidRPr="00D9348B" w:rsidRDefault="00A10636" w:rsidP="00DB330E">
            <w:pPr>
              <w:pStyle w:val="TableText"/>
              <w:rPr>
                <w:szCs w:val="16"/>
              </w:rPr>
            </w:pPr>
          </w:p>
        </w:tc>
        <w:tc>
          <w:tcPr>
            <w:tcW w:w="1737" w:type="dxa"/>
            <w:tcBorders>
              <w:top w:val="single" w:sz="4" w:space="0" w:color="365F91"/>
              <w:bottom w:val="single" w:sz="4" w:space="0" w:color="365F91"/>
            </w:tcBorders>
          </w:tcPr>
          <w:p w14:paraId="25D4E474" w14:textId="77777777" w:rsidR="00A10636" w:rsidRPr="00D9348B" w:rsidRDefault="00A10636" w:rsidP="00DB330E">
            <w:pPr>
              <w:pStyle w:val="TableText"/>
              <w:rPr>
                <w:szCs w:val="16"/>
              </w:rPr>
            </w:pPr>
            <w:r w:rsidRPr="00D9348B">
              <w:rPr>
                <w:szCs w:val="16"/>
              </w:rPr>
              <w:t>0</w:t>
            </w:r>
          </w:p>
        </w:tc>
        <w:tc>
          <w:tcPr>
            <w:tcW w:w="1223" w:type="dxa"/>
            <w:tcBorders>
              <w:top w:val="single" w:sz="4" w:space="0" w:color="365F91"/>
              <w:bottom w:val="single" w:sz="4" w:space="0" w:color="365F91"/>
            </w:tcBorders>
          </w:tcPr>
          <w:p w14:paraId="734CF441" w14:textId="77777777" w:rsidR="00A10636" w:rsidRPr="00D9348B" w:rsidRDefault="00A10636" w:rsidP="00DB330E">
            <w:pPr>
              <w:pStyle w:val="TableText"/>
              <w:rPr>
                <w:szCs w:val="16"/>
              </w:rPr>
            </w:pPr>
            <w:r w:rsidRPr="00D9348B">
              <w:rPr>
                <w:szCs w:val="16"/>
              </w:rPr>
              <w:t>NA</w:t>
            </w:r>
          </w:p>
        </w:tc>
        <w:tc>
          <w:tcPr>
            <w:tcW w:w="1509" w:type="dxa"/>
            <w:tcBorders>
              <w:top w:val="single" w:sz="4" w:space="0" w:color="365F91"/>
              <w:bottom w:val="single" w:sz="4" w:space="0" w:color="365F91"/>
            </w:tcBorders>
          </w:tcPr>
          <w:p w14:paraId="6A4351B4" w14:textId="77777777" w:rsidR="00A10636" w:rsidRPr="00D9348B" w:rsidRDefault="00A10636" w:rsidP="00DB330E">
            <w:pPr>
              <w:pStyle w:val="TableText"/>
              <w:rPr>
                <w:szCs w:val="16"/>
              </w:rPr>
            </w:pPr>
            <w:r w:rsidRPr="00D9348B">
              <w:rPr>
                <w:szCs w:val="16"/>
              </w:rPr>
              <w:t>All biomass pools</w:t>
            </w:r>
          </w:p>
        </w:tc>
        <w:tc>
          <w:tcPr>
            <w:tcW w:w="1524" w:type="dxa"/>
            <w:tcBorders>
              <w:top w:val="single" w:sz="4" w:space="0" w:color="365F91"/>
              <w:bottom w:val="single" w:sz="4" w:space="0" w:color="365F91"/>
            </w:tcBorders>
          </w:tcPr>
          <w:p w14:paraId="33A25C67" w14:textId="77777777" w:rsidR="00A10636" w:rsidRPr="00D9348B" w:rsidRDefault="00A10636" w:rsidP="00DB330E">
            <w:pPr>
              <w:pStyle w:val="TableText"/>
              <w:rPr>
                <w:szCs w:val="16"/>
              </w:rPr>
            </w:pPr>
            <w:r w:rsidRPr="00D9348B">
              <w:rPr>
                <w:szCs w:val="16"/>
              </w:rPr>
              <w:t>IPCC (section 9.2, 2006a)</w:t>
            </w:r>
          </w:p>
        </w:tc>
      </w:tr>
    </w:tbl>
    <w:p w14:paraId="34151117" w14:textId="77777777" w:rsidR="00A10636" w:rsidRPr="00D9348B" w:rsidRDefault="00A10636" w:rsidP="00A10636">
      <w:pPr>
        <w:pStyle w:val="Noteundertable"/>
      </w:pPr>
      <w:r w:rsidRPr="00D9348B">
        <w:rPr>
          <w:b/>
        </w:rPr>
        <w:t>Note:</w:t>
      </w:r>
      <w:r w:rsidRPr="00D9348B">
        <w:tab/>
        <w:t>NA = not applicable; NO = not occurring. ‘All biomass pools’ includes above- and below-ground biomass, litter and dead organic matter.</w:t>
      </w:r>
    </w:p>
    <w:p w14:paraId="273D6112" w14:textId="77777777" w:rsidR="00A10636" w:rsidRPr="00D9348B" w:rsidRDefault="00A10636" w:rsidP="00A10636">
      <w:pPr>
        <w:pStyle w:val="BodyText"/>
      </w:pPr>
      <w:r w:rsidRPr="00D9348B">
        <w:t>New Zealand estimates carbon stock change for each of the five Kyoto Protocol carbon pools (to meet Kyoto Protocol reporting requirements) and aggregates the results to the three pools required for reporting under the United Nations Framework Convention on Climate Change (the Convention). Table 6.1.5 summarises the methods being used to estimate carbon (C) by pool for each land use.</w:t>
      </w:r>
    </w:p>
    <w:p w14:paraId="78C1AE7A" w14:textId="77777777" w:rsidR="00A10636" w:rsidRPr="00D9348B" w:rsidRDefault="00A10636" w:rsidP="00A10636">
      <w:pPr>
        <w:pStyle w:val="Table"/>
      </w:pPr>
      <w:bookmarkStart w:id="1202" w:name="_Toc280630449"/>
      <w:bookmarkStart w:id="1203" w:name="_Toc310423392"/>
      <w:bookmarkStart w:id="1204" w:name="_Toc318362685"/>
      <w:bookmarkStart w:id="1205" w:name="_Toc342470747"/>
      <w:bookmarkStart w:id="1206" w:name="_Toc352504987"/>
      <w:bookmarkStart w:id="1207" w:name="_Toc378853276"/>
      <w:bookmarkStart w:id="1208" w:name="_Toc391024074"/>
      <w:bookmarkStart w:id="1209" w:name="_Toc410028817"/>
      <w:bookmarkStart w:id="1210" w:name="_Toc414531445"/>
      <w:bookmarkStart w:id="1211" w:name="_Toc443645357"/>
      <w:bookmarkStart w:id="1212" w:name="_Toc474914576"/>
      <w:bookmarkStart w:id="1213" w:name="_Toc481751540"/>
      <w:bookmarkStart w:id="1214" w:name="_Toc522010597"/>
      <w:bookmarkStart w:id="1215" w:name="_Toc5269502"/>
      <w:bookmarkStart w:id="1216" w:name="_Toc33529378"/>
      <w:bookmarkStart w:id="1217" w:name="_Toc36224584"/>
      <w:r w:rsidRPr="00D9348B">
        <w:lastRenderedPageBreak/>
        <w:t>Table 6.1.5</w:t>
      </w:r>
      <w:r w:rsidRPr="00D9348B">
        <w:tab/>
        <w:t>Relationships between land-use, carbon pool and method of calculation used by New Zealand</w:t>
      </w:r>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p>
    <w:tbl>
      <w:tblPr>
        <w:tblW w:w="856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29"/>
        <w:gridCol w:w="1359"/>
        <w:gridCol w:w="1046"/>
        <w:gridCol w:w="12"/>
        <w:gridCol w:w="722"/>
        <w:gridCol w:w="435"/>
        <w:gridCol w:w="1062"/>
        <w:gridCol w:w="1062"/>
        <w:gridCol w:w="1214"/>
        <w:gridCol w:w="1221"/>
      </w:tblGrid>
      <w:tr w:rsidR="00A10636" w:rsidRPr="00D9348B" w14:paraId="75791CAB" w14:textId="77777777" w:rsidTr="00445A02">
        <w:trPr>
          <w:tblHeader/>
        </w:trPr>
        <w:tc>
          <w:tcPr>
            <w:tcW w:w="1776" w:type="dxa"/>
            <w:gridSpan w:val="2"/>
            <w:tcBorders>
              <w:top w:val="single" w:sz="4" w:space="0" w:color="365F91"/>
              <w:left w:val="nil"/>
              <w:bottom w:val="single" w:sz="4" w:space="0" w:color="365F91"/>
              <w:right w:val="single" w:sz="4" w:space="0" w:color="365F91"/>
            </w:tcBorders>
            <w:shd w:val="clear" w:color="auto" w:fill="365F91"/>
            <w:vAlign w:val="bottom"/>
          </w:tcPr>
          <w:p w14:paraId="394F6E57" w14:textId="77777777" w:rsidR="00A10636" w:rsidRPr="00D9348B" w:rsidRDefault="00A10636" w:rsidP="00DB330E">
            <w:pPr>
              <w:pStyle w:val="TableTextBold"/>
              <w:keepNext/>
              <w:rPr>
                <w:rFonts w:cs="Calibri"/>
                <w:noProof w:val="0"/>
                <w:color w:val="FFFFFF"/>
                <w:szCs w:val="16"/>
              </w:rPr>
            </w:pPr>
            <w:r w:rsidRPr="00D9348B">
              <w:rPr>
                <w:rFonts w:cs="Calibri"/>
                <w:noProof w:val="0"/>
                <w:color w:val="FFFFFF"/>
                <w:szCs w:val="16"/>
              </w:rPr>
              <w:t>Convention reporting pool</w:t>
            </w:r>
          </w:p>
        </w:tc>
        <w:tc>
          <w:tcPr>
            <w:tcW w:w="2200" w:type="dxa"/>
            <w:gridSpan w:val="4"/>
            <w:tcBorders>
              <w:top w:val="single" w:sz="4" w:space="0" w:color="365F91"/>
              <w:left w:val="single" w:sz="4" w:space="0" w:color="365F91"/>
              <w:bottom w:val="single" w:sz="4" w:space="0" w:color="365F91"/>
              <w:right w:val="single" w:sz="4" w:space="0" w:color="365F91"/>
            </w:tcBorders>
            <w:shd w:val="clear" w:color="auto" w:fill="365F91"/>
            <w:vAlign w:val="bottom"/>
          </w:tcPr>
          <w:p w14:paraId="3748C85D" w14:textId="77777777" w:rsidR="00A10636" w:rsidRPr="00D9348B" w:rsidRDefault="00A10636" w:rsidP="00DB330E">
            <w:pPr>
              <w:pStyle w:val="TableTextBold"/>
              <w:keepNext/>
              <w:jc w:val="center"/>
              <w:rPr>
                <w:rFonts w:cs="Calibri"/>
                <w:noProof w:val="0"/>
                <w:color w:val="FFFFFF"/>
                <w:szCs w:val="16"/>
              </w:rPr>
            </w:pPr>
            <w:r w:rsidRPr="00D9348B">
              <w:rPr>
                <w:rFonts w:cs="Calibri"/>
                <w:noProof w:val="0"/>
                <w:color w:val="FFFFFF"/>
                <w:szCs w:val="16"/>
              </w:rPr>
              <w:t>Living biomass</w:t>
            </w:r>
          </w:p>
        </w:tc>
        <w:tc>
          <w:tcPr>
            <w:tcW w:w="2110" w:type="dxa"/>
            <w:gridSpan w:val="2"/>
            <w:tcBorders>
              <w:top w:val="single" w:sz="4" w:space="0" w:color="365F91"/>
              <w:left w:val="single" w:sz="4" w:space="0" w:color="365F91"/>
              <w:bottom w:val="single" w:sz="4" w:space="0" w:color="365F91"/>
              <w:right w:val="single" w:sz="4" w:space="0" w:color="365F91"/>
            </w:tcBorders>
            <w:shd w:val="clear" w:color="auto" w:fill="365F91"/>
            <w:vAlign w:val="bottom"/>
          </w:tcPr>
          <w:p w14:paraId="7E3B5992" w14:textId="77777777" w:rsidR="00A10636" w:rsidRPr="00D9348B" w:rsidRDefault="00A10636" w:rsidP="00DB330E">
            <w:pPr>
              <w:pStyle w:val="TableTextBold"/>
              <w:keepNext/>
              <w:jc w:val="center"/>
              <w:rPr>
                <w:rFonts w:cs="Calibri"/>
                <w:noProof w:val="0"/>
                <w:color w:val="FFFFFF"/>
                <w:szCs w:val="16"/>
              </w:rPr>
            </w:pPr>
            <w:r w:rsidRPr="00D9348B">
              <w:rPr>
                <w:rFonts w:cs="Calibri"/>
                <w:noProof w:val="0"/>
                <w:color w:val="FFFFFF"/>
                <w:szCs w:val="16"/>
              </w:rPr>
              <w:t>Dead organic matter</w:t>
            </w:r>
          </w:p>
        </w:tc>
        <w:tc>
          <w:tcPr>
            <w:tcW w:w="2419" w:type="dxa"/>
            <w:gridSpan w:val="2"/>
            <w:tcBorders>
              <w:top w:val="single" w:sz="4" w:space="0" w:color="365F91"/>
              <w:left w:val="single" w:sz="4" w:space="0" w:color="365F91"/>
              <w:bottom w:val="single" w:sz="4" w:space="0" w:color="365F91"/>
              <w:right w:val="single" w:sz="4" w:space="0" w:color="365F91"/>
            </w:tcBorders>
            <w:shd w:val="clear" w:color="auto" w:fill="365F91"/>
            <w:vAlign w:val="bottom"/>
          </w:tcPr>
          <w:p w14:paraId="45E8224F" w14:textId="77777777" w:rsidR="00A10636" w:rsidRPr="00D9348B" w:rsidRDefault="00A10636" w:rsidP="00DB330E">
            <w:pPr>
              <w:pStyle w:val="TableTextBold"/>
              <w:keepNext/>
              <w:jc w:val="center"/>
              <w:rPr>
                <w:rFonts w:cs="Calibri"/>
                <w:noProof w:val="0"/>
                <w:color w:val="FFFFFF"/>
                <w:szCs w:val="16"/>
              </w:rPr>
            </w:pPr>
            <w:r w:rsidRPr="00D9348B">
              <w:rPr>
                <w:rFonts w:cs="Calibri"/>
                <w:noProof w:val="0"/>
                <w:color w:val="FFFFFF"/>
                <w:szCs w:val="16"/>
              </w:rPr>
              <w:t>Soils</w:t>
            </w:r>
          </w:p>
        </w:tc>
      </w:tr>
      <w:tr w:rsidR="00A10636" w:rsidRPr="00D9348B" w14:paraId="19368203" w14:textId="77777777" w:rsidTr="00445A02">
        <w:trPr>
          <w:tblHeader/>
        </w:trPr>
        <w:tc>
          <w:tcPr>
            <w:tcW w:w="1776" w:type="dxa"/>
            <w:gridSpan w:val="2"/>
            <w:vMerge w:val="restart"/>
            <w:tcBorders>
              <w:top w:val="single" w:sz="4" w:space="0" w:color="365F91"/>
              <w:left w:val="nil"/>
              <w:bottom w:val="single" w:sz="4" w:space="0" w:color="365F91"/>
              <w:right w:val="single" w:sz="4" w:space="0" w:color="365F91"/>
            </w:tcBorders>
            <w:vAlign w:val="bottom"/>
          </w:tcPr>
          <w:p w14:paraId="424DC282" w14:textId="77777777" w:rsidR="00A10636" w:rsidRPr="00D9348B" w:rsidRDefault="00A10636" w:rsidP="00DB330E">
            <w:pPr>
              <w:pStyle w:val="TableTextBold"/>
              <w:keepNext/>
              <w:rPr>
                <w:rFonts w:cs="Calibri"/>
                <w:noProof w:val="0"/>
                <w:szCs w:val="16"/>
              </w:rPr>
            </w:pPr>
            <w:r w:rsidRPr="00D9348B">
              <w:rPr>
                <w:rFonts w:cs="Calibri"/>
                <w:noProof w:val="0"/>
                <w:szCs w:val="16"/>
              </w:rPr>
              <w:t>Kyoto Protocol reporting pool</w:t>
            </w:r>
          </w:p>
        </w:tc>
        <w:tc>
          <w:tcPr>
            <w:tcW w:w="1039" w:type="dxa"/>
            <w:vMerge w:val="restart"/>
            <w:tcBorders>
              <w:top w:val="single" w:sz="4" w:space="0" w:color="365F91"/>
              <w:left w:val="single" w:sz="4" w:space="0" w:color="365F91"/>
              <w:bottom w:val="single" w:sz="4" w:space="0" w:color="365F91"/>
              <w:right w:val="nil"/>
            </w:tcBorders>
            <w:vAlign w:val="bottom"/>
          </w:tcPr>
          <w:p w14:paraId="3C2BCEC4" w14:textId="77777777" w:rsidR="00A10636" w:rsidRPr="00D9348B" w:rsidRDefault="00A10636" w:rsidP="00DB330E">
            <w:pPr>
              <w:pStyle w:val="TableTextBold"/>
              <w:keepNext/>
              <w:jc w:val="center"/>
              <w:rPr>
                <w:rFonts w:cs="Calibri"/>
                <w:noProof w:val="0"/>
                <w:szCs w:val="16"/>
              </w:rPr>
            </w:pPr>
            <w:r w:rsidRPr="00D9348B">
              <w:rPr>
                <w:rFonts w:cs="Calibri"/>
                <w:noProof w:val="0"/>
                <w:szCs w:val="16"/>
              </w:rPr>
              <w:t>Above-ground biomass</w:t>
            </w:r>
          </w:p>
        </w:tc>
        <w:tc>
          <w:tcPr>
            <w:tcW w:w="1161" w:type="dxa"/>
            <w:gridSpan w:val="3"/>
            <w:vMerge w:val="restart"/>
            <w:tcBorders>
              <w:top w:val="single" w:sz="4" w:space="0" w:color="365F91"/>
              <w:left w:val="nil"/>
              <w:bottom w:val="single" w:sz="4" w:space="0" w:color="365F91"/>
              <w:right w:val="single" w:sz="4" w:space="0" w:color="365F91"/>
            </w:tcBorders>
            <w:vAlign w:val="bottom"/>
          </w:tcPr>
          <w:p w14:paraId="77A8115D" w14:textId="77777777" w:rsidR="00A10636" w:rsidRPr="00D9348B" w:rsidRDefault="00A10636" w:rsidP="00DB330E">
            <w:pPr>
              <w:pStyle w:val="TableTextBold"/>
              <w:keepNext/>
              <w:jc w:val="center"/>
              <w:rPr>
                <w:rFonts w:cs="Calibri"/>
                <w:noProof w:val="0"/>
                <w:szCs w:val="16"/>
              </w:rPr>
            </w:pPr>
            <w:r w:rsidRPr="00D9348B">
              <w:rPr>
                <w:rFonts w:cs="Calibri"/>
                <w:noProof w:val="0"/>
                <w:szCs w:val="16"/>
              </w:rPr>
              <w:t>Below-ground biomass</w:t>
            </w:r>
          </w:p>
        </w:tc>
        <w:tc>
          <w:tcPr>
            <w:tcW w:w="1055" w:type="dxa"/>
            <w:vMerge w:val="restart"/>
            <w:tcBorders>
              <w:top w:val="single" w:sz="4" w:space="0" w:color="365F91"/>
              <w:left w:val="single" w:sz="4" w:space="0" w:color="365F91"/>
              <w:bottom w:val="single" w:sz="4" w:space="0" w:color="365F91"/>
              <w:right w:val="nil"/>
            </w:tcBorders>
            <w:vAlign w:val="bottom"/>
          </w:tcPr>
          <w:p w14:paraId="05AF06AA" w14:textId="77777777" w:rsidR="00A10636" w:rsidRPr="00D9348B" w:rsidRDefault="00A10636" w:rsidP="00DB330E">
            <w:pPr>
              <w:pStyle w:val="TableTextBold"/>
              <w:keepNext/>
              <w:jc w:val="center"/>
              <w:rPr>
                <w:rFonts w:cs="Calibri"/>
                <w:noProof w:val="0"/>
                <w:szCs w:val="16"/>
              </w:rPr>
            </w:pPr>
            <w:r w:rsidRPr="00D9348B">
              <w:rPr>
                <w:rFonts w:cs="Calibri"/>
                <w:noProof w:val="0"/>
                <w:szCs w:val="16"/>
              </w:rPr>
              <w:t>Dead wood</w:t>
            </w:r>
          </w:p>
        </w:tc>
        <w:tc>
          <w:tcPr>
            <w:tcW w:w="1055" w:type="dxa"/>
            <w:vMerge w:val="restart"/>
            <w:tcBorders>
              <w:top w:val="single" w:sz="4" w:space="0" w:color="365F91"/>
              <w:left w:val="nil"/>
              <w:bottom w:val="single" w:sz="4" w:space="0" w:color="365F91"/>
              <w:right w:val="single" w:sz="4" w:space="0" w:color="365F91"/>
            </w:tcBorders>
            <w:vAlign w:val="bottom"/>
          </w:tcPr>
          <w:p w14:paraId="269F4E33" w14:textId="77777777" w:rsidR="00A10636" w:rsidRPr="00D9348B" w:rsidRDefault="00A10636" w:rsidP="00DB330E">
            <w:pPr>
              <w:pStyle w:val="TableTextBold"/>
              <w:keepNext/>
              <w:jc w:val="center"/>
              <w:rPr>
                <w:rFonts w:cs="Calibri"/>
                <w:noProof w:val="0"/>
                <w:szCs w:val="16"/>
              </w:rPr>
            </w:pPr>
            <w:r w:rsidRPr="00D9348B">
              <w:rPr>
                <w:rFonts w:cs="Calibri"/>
                <w:noProof w:val="0"/>
                <w:szCs w:val="16"/>
              </w:rPr>
              <w:t>Litter</w:t>
            </w:r>
          </w:p>
        </w:tc>
        <w:tc>
          <w:tcPr>
            <w:tcW w:w="2419" w:type="dxa"/>
            <w:gridSpan w:val="2"/>
            <w:tcBorders>
              <w:top w:val="single" w:sz="4" w:space="0" w:color="365F91"/>
              <w:left w:val="single" w:sz="4" w:space="0" w:color="365F91"/>
              <w:bottom w:val="single" w:sz="4" w:space="0" w:color="365F91"/>
              <w:right w:val="nil"/>
            </w:tcBorders>
            <w:vAlign w:val="bottom"/>
          </w:tcPr>
          <w:p w14:paraId="4887B4F9" w14:textId="77777777" w:rsidR="00A10636" w:rsidRPr="00D9348B" w:rsidRDefault="00A10636" w:rsidP="00DB330E">
            <w:pPr>
              <w:pStyle w:val="TableTextBold"/>
              <w:keepNext/>
              <w:jc w:val="center"/>
              <w:rPr>
                <w:rFonts w:cs="Calibri"/>
                <w:noProof w:val="0"/>
                <w:szCs w:val="16"/>
              </w:rPr>
            </w:pPr>
            <w:r w:rsidRPr="00D9348B">
              <w:rPr>
                <w:rFonts w:cs="Calibri"/>
                <w:noProof w:val="0"/>
                <w:szCs w:val="16"/>
              </w:rPr>
              <w:t>Soil organic matter</w:t>
            </w:r>
          </w:p>
        </w:tc>
      </w:tr>
      <w:tr w:rsidR="00A10636" w:rsidRPr="00D9348B" w14:paraId="3EDFFF29" w14:textId="77777777" w:rsidTr="00445A02">
        <w:tc>
          <w:tcPr>
            <w:tcW w:w="1776" w:type="dxa"/>
            <w:gridSpan w:val="2"/>
            <w:vMerge/>
            <w:tcBorders>
              <w:top w:val="single" w:sz="4" w:space="0" w:color="365F91"/>
              <w:left w:val="nil"/>
              <w:bottom w:val="single" w:sz="4" w:space="0" w:color="365F91"/>
              <w:right w:val="single" w:sz="4" w:space="0" w:color="365F91"/>
            </w:tcBorders>
            <w:vAlign w:val="bottom"/>
          </w:tcPr>
          <w:p w14:paraId="5B26607D" w14:textId="77777777" w:rsidR="00A10636" w:rsidRPr="00D9348B" w:rsidRDefault="00A10636" w:rsidP="00DB330E">
            <w:pPr>
              <w:pStyle w:val="TableTextBold"/>
              <w:keepNext/>
              <w:jc w:val="center"/>
              <w:rPr>
                <w:rFonts w:cs="Calibri"/>
                <w:noProof w:val="0"/>
                <w:szCs w:val="16"/>
              </w:rPr>
            </w:pPr>
          </w:p>
        </w:tc>
        <w:tc>
          <w:tcPr>
            <w:tcW w:w="1039" w:type="dxa"/>
            <w:vMerge/>
            <w:tcBorders>
              <w:top w:val="single" w:sz="4" w:space="0" w:color="365F91"/>
              <w:left w:val="single" w:sz="4" w:space="0" w:color="365F91"/>
              <w:bottom w:val="single" w:sz="4" w:space="0" w:color="365F91"/>
            </w:tcBorders>
            <w:vAlign w:val="bottom"/>
          </w:tcPr>
          <w:p w14:paraId="6A508C7A" w14:textId="77777777" w:rsidR="00A10636" w:rsidRPr="00D9348B" w:rsidRDefault="00A10636" w:rsidP="00DB330E">
            <w:pPr>
              <w:pStyle w:val="TableTextBold"/>
              <w:keepNext/>
              <w:jc w:val="center"/>
              <w:rPr>
                <w:rFonts w:cs="Calibri"/>
                <w:noProof w:val="0"/>
                <w:szCs w:val="16"/>
              </w:rPr>
            </w:pPr>
          </w:p>
        </w:tc>
        <w:tc>
          <w:tcPr>
            <w:tcW w:w="1161" w:type="dxa"/>
            <w:gridSpan w:val="3"/>
            <w:vMerge/>
            <w:tcBorders>
              <w:top w:val="single" w:sz="4" w:space="0" w:color="365F91"/>
              <w:bottom w:val="single" w:sz="4" w:space="0" w:color="365F91"/>
              <w:right w:val="single" w:sz="4" w:space="0" w:color="auto"/>
            </w:tcBorders>
            <w:vAlign w:val="bottom"/>
          </w:tcPr>
          <w:p w14:paraId="2F2A01D5" w14:textId="77777777" w:rsidR="00A10636" w:rsidRPr="00D9348B" w:rsidRDefault="00A10636" w:rsidP="00DB330E">
            <w:pPr>
              <w:pStyle w:val="TableTextBold"/>
              <w:keepNext/>
              <w:jc w:val="center"/>
              <w:rPr>
                <w:rFonts w:cs="Calibri"/>
                <w:noProof w:val="0"/>
                <w:szCs w:val="16"/>
              </w:rPr>
            </w:pPr>
          </w:p>
        </w:tc>
        <w:tc>
          <w:tcPr>
            <w:tcW w:w="1055" w:type="dxa"/>
            <w:vMerge/>
            <w:tcBorders>
              <w:top w:val="single" w:sz="4" w:space="0" w:color="365F91"/>
              <w:left w:val="single" w:sz="4" w:space="0" w:color="auto"/>
              <w:bottom w:val="single" w:sz="4" w:space="0" w:color="365F91"/>
            </w:tcBorders>
            <w:vAlign w:val="bottom"/>
          </w:tcPr>
          <w:p w14:paraId="7995163A" w14:textId="77777777" w:rsidR="00A10636" w:rsidRPr="00D9348B" w:rsidRDefault="00A10636" w:rsidP="00DB330E">
            <w:pPr>
              <w:pStyle w:val="TableTextBold"/>
              <w:keepNext/>
              <w:jc w:val="center"/>
              <w:rPr>
                <w:rFonts w:cs="Calibri"/>
                <w:noProof w:val="0"/>
                <w:szCs w:val="16"/>
              </w:rPr>
            </w:pPr>
          </w:p>
        </w:tc>
        <w:tc>
          <w:tcPr>
            <w:tcW w:w="1055" w:type="dxa"/>
            <w:vMerge/>
            <w:tcBorders>
              <w:top w:val="single" w:sz="4" w:space="0" w:color="365F91"/>
              <w:bottom w:val="single" w:sz="4" w:space="0" w:color="365F91"/>
              <w:right w:val="single" w:sz="4" w:space="0" w:color="auto"/>
            </w:tcBorders>
            <w:vAlign w:val="bottom"/>
          </w:tcPr>
          <w:p w14:paraId="6782A4B5" w14:textId="77777777" w:rsidR="00A10636" w:rsidRPr="00D9348B" w:rsidRDefault="00A10636" w:rsidP="00DB330E">
            <w:pPr>
              <w:pStyle w:val="TableTextBold"/>
              <w:keepNext/>
              <w:jc w:val="center"/>
              <w:rPr>
                <w:rFonts w:cs="Calibri"/>
                <w:noProof w:val="0"/>
                <w:szCs w:val="16"/>
              </w:rPr>
            </w:pPr>
          </w:p>
        </w:tc>
        <w:tc>
          <w:tcPr>
            <w:tcW w:w="1206" w:type="dxa"/>
            <w:tcBorders>
              <w:top w:val="single" w:sz="4" w:space="0" w:color="365F91"/>
              <w:bottom w:val="single" w:sz="4" w:space="0" w:color="365F91"/>
              <w:right w:val="single" w:sz="4" w:space="0" w:color="auto"/>
            </w:tcBorders>
            <w:vAlign w:val="bottom"/>
          </w:tcPr>
          <w:p w14:paraId="19F5947D" w14:textId="77777777" w:rsidR="00A10636" w:rsidRPr="00D9348B" w:rsidRDefault="00A10636" w:rsidP="00DB330E">
            <w:pPr>
              <w:pStyle w:val="TableTextBold"/>
              <w:keepNext/>
              <w:jc w:val="center"/>
              <w:rPr>
                <w:rFonts w:cs="Calibri"/>
                <w:noProof w:val="0"/>
                <w:szCs w:val="16"/>
              </w:rPr>
            </w:pPr>
            <w:r w:rsidRPr="00D9348B">
              <w:rPr>
                <w:rFonts w:cs="Calibri"/>
                <w:noProof w:val="0"/>
                <w:szCs w:val="16"/>
              </w:rPr>
              <w:t>Mineral soils</w:t>
            </w:r>
          </w:p>
        </w:tc>
        <w:tc>
          <w:tcPr>
            <w:tcW w:w="1213" w:type="dxa"/>
            <w:tcBorders>
              <w:top w:val="single" w:sz="4" w:space="0" w:color="365F91"/>
              <w:left w:val="single" w:sz="4" w:space="0" w:color="auto"/>
              <w:bottom w:val="single" w:sz="4" w:space="0" w:color="365F91"/>
              <w:right w:val="nil"/>
            </w:tcBorders>
            <w:tcMar>
              <w:right w:w="57" w:type="dxa"/>
            </w:tcMar>
            <w:vAlign w:val="bottom"/>
          </w:tcPr>
          <w:p w14:paraId="7D4E45FD" w14:textId="77777777" w:rsidR="00A10636" w:rsidRPr="00D9348B" w:rsidRDefault="00A10636" w:rsidP="00DB330E">
            <w:pPr>
              <w:pStyle w:val="TableTextBold"/>
              <w:keepNext/>
              <w:jc w:val="center"/>
              <w:rPr>
                <w:rFonts w:cs="Calibri"/>
                <w:noProof w:val="0"/>
                <w:szCs w:val="16"/>
              </w:rPr>
            </w:pPr>
            <w:r w:rsidRPr="00D9348B">
              <w:rPr>
                <w:rFonts w:cs="Calibri"/>
                <w:noProof w:val="0"/>
                <w:szCs w:val="16"/>
              </w:rPr>
              <w:t>Organic soils</w:t>
            </w:r>
          </w:p>
        </w:tc>
      </w:tr>
      <w:tr w:rsidR="00A10636" w:rsidRPr="00D9348B" w14:paraId="10D25F8F" w14:textId="77777777" w:rsidTr="00445A02">
        <w:tc>
          <w:tcPr>
            <w:tcW w:w="426" w:type="dxa"/>
            <w:vMerge w:val="restart"/>
            <w:tcBorders>
              <w:top w:val="single" w:sz="4" w:space="0" w:color="365F91"/>
              <w:left w:val="nil"/>
              <w:bottom w:val="single" w:sz="4" w:space="0" w:color="365F91"/>
              <w:right w:val="single" w:sz="4" w:space="0" w:color="365F91"/>
            </w:tcBorders>
            <w:textDirection w:val="btLr"/>
            <w:vAlign w:val="center"/>
          </w:tcPr>
          <w:p w14:paraId="324C924D" w14:textId="77777777" w:rsidR="00A10636" w:rsidRPr="00D9348B" w:rsidRDefault="00A10636" w:rsidP="00DB330E">
            <w:pPr>
              <w:pStyle w:val="TableTextBold"/>
              <w:keepNext/>
              <w:jc w:val="center"/>
              <w:rPr>
                <w:rFonts w:cs="Calibri"/>
                <w:b w:val="0"/>
                <w:noProof w:val="0"/>
                <w:szCs w:val="16"/>
              </w:rPr>
            </w:pPr>
            <w:r w:rsidRPr="00D9348B">
              <w:rPr>
                <w:rFonts w:cs="Calibri"/>
                <w:b w:val="0"/>
                <w:noProof w:val="0"/>
                <w:szCs w:val="16"/>
              </w:rPr>
              <w:t>Land uses</w:t>
            </w:r>
          </w:p>
        </w:tc>
        <w:tc>
          <w:tcPr>
            <w:tcW w:w="1350" w:type="dxa"/>
            <w:tcBorders>
              <w:top w:val="single" w:sz="4" w:space="0" w:color="365F91"/>
              <w:left w:val="single" w:sz="4" w:space="0" w:color="365F91"/>
              <w:bottom w:val="nil"/>
              <w:right w:val="single" w:sz="4" w:space="0" w:color="365F91"/>
            </w:tcBorders>
          </w:tcPr>
          <w:p w14:paraId="3E95559C" w14:textId="77777777" w:rsidR="00A10636" w:rsidRPr="00D9348B" w:rsidRDefault="00A10636" w:rsidP="00DB330E">
            <w:pPr>
              <w:pStyle w:val="TableText"/>
              <w:keepNext/>
              <w:rPr>
                <w:rFonts w:cs="Calibri"/>
                <w:szCs w:val="16"/>
              </w:rPr>
            </w:pPr>
            <w:r w:rsidRPr="00D9348B">
              <w:rPr>
                <w:rFonts w:cs="Calibri"/>
                <w:szCs w:val="16"/>
              </w:rPr>
              <w:t xml:space="preserve">Pre-1990 natural forest </w:t>
            </w:r>
          </w:p>
        </w:tc>
        <w:tc>
          <w:tcPr>
            <w:tcW w:w="1039" w:type="dxa"/>
            <w:tcBorders>
              <w:top w:val="single" w:sz="4" w:space="0" w:color="365F91"/>
              <w:left w:val="single" w:sz="4" w:space="0" w:color="365F91"/>
              <w:bottom w:val="nil"/>
              <w:right w:val="nil"/>
            </w:tcBorders>
            <w:tcMar>
              <w:right w:w="28" w:type="dxa"/>
            </w:tcMar>
          </w:tcPr>
          <w:p w14:paraId="02022003" w14:textId="77777777" w:rsidR="00A10636" w:rsidRPr="00D9348B" w:rsidRDefault="00A10636" w:rsidP="00DB330E">
            <w:pPr>
              <w:pStyle w:val="TableText"/>
              <w:keepNext/>
              <w:rPr>
                <w:rFonts w:cs="Calibri"/>
                <w:szCs w:val="16"/>
              </w:rPr>
            </w:pPr>
            <w:r w:rsidRPr="00D9348B">
              <w:rPr>
                <w:rFonts w:cs="Calibri"/>
                <w:szCs w:val="16"/>
              </w:rPr>
              <w:t>Allometric equations</w:t>
            </w:r>
          </w:p>
        </w:tc>
        <w:tc>
          <w:tcPr>
            <w:tcW w:w="1161" w:type="dxa"/>
            <w:gridSpan w:val="3"/>
            <w:tcBorders>
              <w:top w:val="single" w:sz="4" w:space="0" w:color="365F91"/>
              <w:left w:val="nil"/>
              <w:bottom w:val="nil"/>
              <w:right w:val="nil"/>
            </w:tcBorders>
            <w:tcMar>
              <w:right w:w="28" w:type="dxa"/>
            </w:tcMar>
          </w:tcPr>
          <w:p w14:paraId="2692BA81" w14:textId="77777777" w:rsidR="00A10636" w:rsidRPr="00D9348B" w:rsidRDefault="00A10636" w:rsidP="00DB330E">
            <w:pPr>
              <w:pStyle w:val="TableText"/>
              <w:keepNext/>
              <w:rPr>
                <w:rFonts w:cs="Calibri"/>
                <w:szCs w:val="16"/>
              </w:rPr>
            </w:pPr>
            <w:r w:rsidRPr="00D9348B">
              <w:rPr>
                <w:rFonts w:cs="Calibri"/>
                <w:szCs w:val="16"/>
              </w:rPr>
              <w:t>Percentage of above-ground biomass</w:t>
            </w:r>
          </w:p>
        </w:tc>
        <w:tc>
          <w:tcPr>
            <w:tcW w:w="1055" w:type="dxa"/>
            <w:tcBorders>
              <w:top w:val="single" w:sz="4" w:space="0" w:color="365F91"/>
              <w:left w:val="nil"/>
              <w:bottom w:val="nil"/>
              <w:right w:val="nil"/>
            </w:tcBorders>
            <w:tcMar>
              <w:right w:w="28" w:type="dxa"/>
            </w:tcMar>
          </w:tcPr>
          <w:p w14:paraId="6609AF2B" w14:textId="77777777" w:rsidR="00A10636" w:rsidRPr="00D9348B" w:rsidRDefault="00A10636" w:rsidP="00DB330E">
            <w:pPr>
              <w:pStyle w:val="TableText"/>
              <w:keepNext/>
              <w:rPr>
                <w:rFonts w:cs="Calibri"/>
                <w:szCs w:val="16"/>
              </w:rPr>
            </w:pPr>
            <w:r w:rsidRPr="00D9348B">
              <w:rPr>
                <w:rFonts w:cs="Calibri"/>
                <w:szCs w:val="16"/>
              </w:rPr>
              <w:t>Allometric equations</w:t>
            </w:r>
          </w:p>
        </w:tc>
        <w:tc>
          <w:tcPr>
            <w:tcW w:w="1055" w:type="dxa"/>
            <w:tcBorders>
              <w:top w:val="single" w:sz="4" w:space="0" w:color="365F91"/>
              <w:left w:val="nil"/>
              <w:bottom w:val="nil"/>
              <w:right w:val="single" w:sz="4" w:space="0" w:color="365F91"/>
            </w:tcBorders>
            <w:tcMar>
              <w:right w:w="28" w:type="dxa"/>
            </w:tcMar>
          </w:tcPr>
          <w:p w14:paraId="1C920055" w14:textId="77777777" w:rsidR="00A10636" w:rsidRPr="00D9348B" w:rsidRDefault="00A10636" w:rsidP="00DB330E">
            <w:pPr>
              <w:pStyle w:val="TableText"/>
              <w:keepNext/>
              <w:rPr>
                <w:rFonts w:cs="Calibri"/>
                <w:szCs w:val="16"/>
              </w:rPr>
            </w:pPr>
            <w:r w:rsidRPr="00D9348B">
              <w:rPr>
                <w:rFonts w:cs="Calibri"/>
                <w:szCs w:val="16"/>
              </w:rPr>
              <w:t>Lab analysis</w:t>
            </w:r>
          </w:p>
        </w:tc>
        <w:tc>
          <w:tcPr>
            <w:tcW w:w="1206" w:type="dxa"/>
            <w:vMerge w:val="restart"/>
            <w:tcBorders>
              <w:top w:val="single" w:sz="4" w:space="0" w:color="365F91"/>
              <w:left w:val="single" w:sz="4" w:space="0" w:color="365F91"/>
              <w:bottom w:val="single" w:sz="4" w:space="0" w:color="365F91"/>
              <w:right w:val="single" w:sz="4" w:space="0" w:color="365F91"/>
            </w:tcBorders>
          </w:tcPr>
          <w:p w14:paraId="28236C16" w14:textId="77777777" w:rsidR="00A10636" w:rsidRPr="00D9348B" w:rsidRDefault="00A10636" w:rsidP="00DB330E">
            <w:pPr>
              <w:pStyle w:val="TableText"/>
              <w:keepNext/>
              <w:rPr>
                <w:rFonts w:cs="Calibri"/>
                <w:szCs w:val="16"/>
              </w:rPr>
            </w:pPr>
            <w:r w:rsidRPr="00D9348B">
              <w:rPr>
                <w:rFonts w:cs="Calibri"/>
                <w:szCs w:val="16"/>
              </w:rPr>
              <w:t>Tier 2, country-specific data and model</w:t>
            </w:r>
          </w:p>
        </w:tc>
        <w:tc>
          <w:tcPr>
            <w:tcW w:w="1213" w:type="dxa"/>
            <w:vMerge w:val="restart"/>
            <w:tcBorders>
              <w:top w:val="single" w:sz="4" w:space="0" w:color="365F91"/>
              <w:left w:val="single" w:sz="4" w:space="0" w:color="365F91"/>
              <w:bottom w:val="single" w:sz="4" w:space="0" w:color="365F91"/>
              <w:right w:val="nil"/>
            </w:tcBorders>
          </w:tcPr>
          <w:p w14:paraId="71F64C19" w14:textId="77777777" w:rsidR="00A10636" w:rsidRPr="00D9348B" w:rsidRDefault="00A10636" w:rsidP="00DB330E">
            <w:pPr>
              <w:pStyle w:val="TableText"/>
              <w:keepNext/>
              <w:rPr>
                <w:rFonts w:cs="Calibri"/>
                <w:szCs w:val="16"/>
              </w:rPr>
            </w:pPr>
            <w:r w:rsidRPr="00D9348B">
              <w:rPr>
                <w:rFonts w:cs="Calibri"/>
                <w:szCs w:val="16"/>
              </w:rPr>
              <w:t>Not applicable</w:t>
            </w:r>
          </w:p>
        </w:tc>
      </w:tr>
      <w:tr w:rsidR="00A10636" w:rsidRPr="00D9348B" w14:paraId="2FF4157A" w14:textId="77777777" w:rsidTr="00445A02">
        <w:tc>
          <w:tcPr>
            <w:tcW w:w="426" w:type="dxa"/>
            <w:vMerge/>
            <w:tcBorders>
              <w:top w:val="single" w:sz="4" w:space="0" w:color="365F91"/>
              <w:left w:val="nil"/>
              <w:bottom w:val="single" w:sz="4" w:space="0" w:color="365F91"/>
              <w:right w:val="single" w:sz="4" w:space="0" w:color="365F91"/>
            </w:tcBorders>
          </w:tcPr>
          <w:p w14:paraId="71A8A9D1" w14:textId="77777777" w:rsidR="00A10636" w:rsidRPr="00D9348B" w:rsidRDefault="00A10636" w:rsidP="00DB330E">
            <w:pPr>
              <w:rPr>
                <w:rFonts w:cs="Calibri"/>
                <w:sz w:val="16"/>
                <w:szCs w:val="16"/>
              </w:rPr>
            </w:pPr>
          </w:p>
        </w:tc>
        <w:tc>
          <w:tcPr>
            <w:tcW w:w="1350" w:type="dxa"/>
            <w:tcBorders>
              <w:top w:val="nil"/>
              <w:left w:val="single" w:sz="4" w:space="0" w:color="365F91"/>
              <w:bottom w:val="single" w:sz="4" w:space="0" w:color="365F91"/>
              <w:right w:val="single" w:sz="4" w:space="0" w:color="365F91"/>
            </w:tcBorders>
          </w:tcPr>
          <w:p w14:paraId="6E87B1F5" w14:textId="77777777" w:rsidR="00A10636" w:rsidRPr="00D9348B" w:rsidRDefault="00A10636" w:rsidP="00DB330E">
            <w:pPr>
              <w:pStyle w:val="TableText"/>
              <w:rPr>
                <w:rFonts w:cs="Calibri"/>
                <w:szCs w:val="16"/>
              </w:rPr>
            </w:pPr>
            <w:r w:rsidRPr="00D9348B">
              <w:rPr>
                <w:rFonts w:cs="Calibri"/>
                <w:szCs w:val="16"/>
              </w:rPr>
              <w:t>Pre-1990 natural forest [D]</w:t>
            </w:r>
          </w:p>
        </w:tc>
        <w:tc>
          <w:tcPr>
            <w:tcW w:w="4310" w:type="dxa"/>
            <w:gridSpan w:val="6"/>
            <w:tcBorders>
              <w:top w:val="nil"/>
              <w:left w:val="single" w:sz="4" w:space="0" w:color="365F91"/>
              <w:bottom w:val="single" w:sz="4" w:space="0" w:color="365F91"/>
              <w:right w:val="single" w:sz="4" w:space="0" w:color="365F91"/>
            </w:tcBorders>
          </w:tcPr>
          <w:p w14:paraId="66C2E7BB" w14:textId="77777777" w:rsidR="00A10636" w:rsidRPr="00D9348B" w:rsidRDefault="00A10636" w:rsidP="00DB330E">
            <w:pPr>
              <w:pStyle w:val="TableText"/>
              <w:rPr>
                <w:rFonts w:cs="Calibri"/>
                <w:szCs w:val="16"/>
              </w:rPr>
            </w:pPr>
            <w:r w:rsidRPr="00D9348B">
              <w:rPr>
                <w:rFonts w:cs="Calibri"/>
                <w:szCs w:val="16"/>
              </w:rPr>
              <w:t>Emission factor based on the vegetation type present (tall forest or regenerating) before deforestation occurring since 1 January 1990</w:t>
            </w:r>
          </w:p>
        </w:tc>
        <w:tc>
          <w:tcPr>
            <w:tcW w:w="1206" w:type="dxa"/>
            <w:vMerge/>
            <w:tcBorders>
              <w:top w:val="single" w:sz="4" w:space="0" w:color="365F91"/>
              <w:left w:val="single" w:sz="4" w:space="0" w:color="365F91"/>
              <w:bottom w:val="single" w:sz="4" w:space="0" w:color="365F91"/>
              <w:right w:val="single" w:sz="4" w:space="0" w:color="365F91"/>
            </w:tcBorders>
          </w:tcPr>
          <w:p w14:paraId="5E40E825" w14:textId="77777777" w:rsidR="00A10636" w:rsidRPr="00D9348B" w:rsidRDefault="00A10636" w:rsidP="00DB330E">
            <w:pPr>
              <w:pStyle w:val="TableText"/>
              <w:rPr>
                <w:rFonts w:cs="Calibri"/>
                <w:szCs w:val="16"/>
              </w:rPr>
            </w:pPr>
          </w:p>
        </w:tc>
        <w:tc>
          <w:tcPr>
            <w:tcW w:w="1213" w:type="dxa"/>
            <w:vMerge/>
            <w:tcBorders>
              <w:top w:val="single" w:sz="4" w:space="0" w:color="365F91"/>
              <w:left w:val="single" w:sz="4" w:space="0" w:color="365F91"/>
              <w:bottom w:val="single" w:sz="4" w:space="0" w:color="365F91"/>
              <w:right w:val="nil"/>
            </w:tcBorders>
          </w:tcPr>
          <w:p w14:paraId="7B16ACE7" w14:textId="77777777" w:rsidR="00A10636" w:rsidRPr="00D9348B" w:rsidRDefault="00A10636" w:rsidP="00DB330E">
            <w:pPr>
              <w:pStyle w:val="TableText"/>
              <w:rPr>
                <w:rFonts w:cs="Calibri"/>
                <w:szCs w:val="16"/>
              </w:rPr>
            </w:pPr>
          </w:p>
        </w:tc>
      </w:tr>
      <w:tr w:rsidR="00A10636" w:rsidRPr="00D9348B" w14:paraId="6F5D7E9A" w14:textId="77777777" w:rsidTr="00445A02">
        <w:tc>
          <w:tcPr>
            <w:tcW w:w="426" w:type="dxa"/>
            <w:vMerge/>
            <w:tcBorders>
              <w:top w:val="single" w:sz="4" w:space="0" w:color="365F91"/>
              <w:left w:val="nil"/>
              <w:bottom w:val="single" w:sz="4" w:space="0" w:color="365F91"/>
              <w:right w:val="single" w:sz="4" w:space="0" w:color="365F91"/>
            </w:tcBorders>
          </w:tcPr>
          <w:p w14:paraId="41E8B107" w14:textId="77777777" w:rsidR="00A10636" w:rsidRPr="00D9348B" w:rsidRDefault="00A10636" w:rsidP="00DB330E">
            <w:pPr>
              <w:rPr>
                <w:rFonts w:cs="Calibri"/>
                <w:sz w:val="16"/>
                <w:szCs w:val="16"/>
              </w:rPr>
            </w:pPr>
          </w:p>
        </w:tc>
        <w:tc>
          <w:tcPr>
            <w:tcW w:w="1350" w:type="dxa"/>
            <w:tcBorders>
              <w:top w:val="single" w:sz="4" w:space="0" w:color="365F91"/>
              <w:left w:val="single" w:sz="4" w:space="0" w:color="365F91"/>
              <w:bottom w:val="single" w:sz="4" w:space="0" w:color="365F91"/>
              <w:right w:val="single" w:sz="4" w:space="0" w:color="365F91"/>
            </w:tcBorders>
          </w:tcPr>
          <w:p w14:paraId="16DC2CDE" w14:textId="77777777" w:rsidR="00A10636" w:rsidRPr="00D9348B" w:rsidRDefault="00A10636" w:rsidP="00DB330E">
            <w:pPr>
              <w:pStyle w:val="TableText"/>
              <w:rPr>
                <w:rFonts w:cs="Calibri"/>
                <w:szCs w:val="16"/>
              </w:rPr>
            </w:pPr>
            <w:r w:rsidRPr="00D9348B">
              <w:rPr>
                <w:rFonts w:cs="Calibri"/>
                <w:szCs w:val="16"/>
              </w:rPr>
              <w:t>Pre-1990 planted forest</w:t>
            </w:r>
          </w:p>
        </w:tc>
        <w:tc>
          <w:tcPr>
            <w:tcW w:w="4310" w:type="dxa"/>
            <w:gridSpan w:val="6"/>
            <w:tcBorders>
              <w:top w:val="single" w:sz="4" w:space="0" w:color="365F91"/>
              <w:left w:val="single" w:sz="4" w:space="0" w:color="365F91"/>
              <w:bottom w:val="single" w:sz="4" w:space="0" w:color="365F91"/>
              <w:right w:val="single" w:sz="4" w:space="0" w:color="365F91"/>
            </w:tcBorders>
          </w:tcPr>
          <w:p w14:paraId="17B1F387" w14:textId="77777777" w:rsidR="00A10636" w:rsidRPr="00D9348B" w:rsidRDefault="00A10636" w:rsidP="00DB330E">
            <w:pPr>
              <w:pStyle w:val="TableText"/>
              <w:rPr>
                <w:rFonts w:cs="Calibri"/>
                <w:szCs w:val="16"/>
              </w:rPr>
            </w:pPr>
            <w:r w:rsidRPr="00D9348B">
              <w:rPr>
                <w:rFonts w:cs="Calibri"/>
                <w:szCs w:val="16"/>
              </w:rPr>
              <w:t>Age-based carbon yield table by biomass pool derived from the LUCAS plot network and the Forest Carbon Predictor model</w:t>
            </w:r>
          </w:p>
        </w:tc>
        <w:tc>
          <w:tcPr>
            <w:tcW w:w="1206" w:type="dxa"/>
            <w:tcBorders>
              <w:top w:val="single" w:sz="4" w:space="0" w:color="365F91"/>
              <w:left w:val="single" w:sz="4" w:space="0" w:color="365F91"/>
              <w:bottom w:val="single" w:sz="4" w:space="0" w:color="365F91"/>
              <w:right w:val="single" w:sz="4" w:space="0" w:color="365F91"/>
            </w:tcBorders>
          </w:tcPr>
          <w:p w14:paraId="20D84255" w14:textId="77777777" w:rsidR="00A10636" w:rsidRPr="00D9348B" w:rsidRDefault="00A10636" w:rsidP="00DB330E">
            <w:pPr>
              <w:pStyle w:val="TableText"/>
              <w:rPr>
                <w:rFonts w:cs="Calibri"/>
                <w:szCs w:val="16"/>
              </w:rPr>
            </w:pPr>
            <w:r w:rsidRPr="00D9348B">
              <w:rPr>
                <w:rFonts w:cs="Calibri"/>
                <w:szCs w:val="16"/>
              </w:rPr>
              <w:t>Tier 2, country-specific data and model</w:t>
            </w:r>
          </w:p>
        </w:tc>
        <w:tc>
          <w:tcPr>
            <w:tcW w:w="1213" w:type="dxa"/>
            <w:tcBorders>
              <w:top w:val="single" w:sz="4" w:space="0" w:color="365F91"/>
              <w:left w:val="single" w:sz="4" w:space="0" w:color="365F91"/>
              <w:bottom w:val="single" w:sz="4" w:space="0" w:color="365F91"/>
              <w:right w:val="nil"/>
            </w:tcBorders>
          </w:tcPr>
          <w:p w14:paraId="23758AE0" w14:textId="77777777" w:rsidR="00A10636" w:rsidRPr="00D9348B" w:rsidRDefault="00A10636" w:rsidP="00DB330E">
            <w:pPr>
              <w:pStyle w:val="TableText"/>
              <w:rPr>
                <w:rFonts w:cs="Calibri"/>
                <w:szCs w:val="16"/>
              </w:rPr>
            </w:pPr>
            <w:r w:rsidRPr="00D9348B">
              <w:rPr>
                <w:rFonts w:cs="Calibri"/>
                <w:szCs w:val="16"/>
              </w:rPr>
              <w:t>IPCC Tier 1 default parameters</w:t>
            </w:r>
          </w:p>
        </w:tc>
      </w:tr>
      <w:tr w:rsidR="00A10636" w:rsidRPr="00D9348B" w14:paraId="4D45ED1B" w14:textId="77777777" w:rsidTr="00445A02">
        <w:tc>
          <w:tcPr>
            <w:tcW w:w="426" w:type="dxa"/>
            <w:vMerge/>
            <w:tcBorders>
              <w:top w:val="single" w:sz="4" w:space="0" w:color="365F91"/>
              <w:left w:val="nil"/>
              <w:bottom w:val="single" w:sz="4" w:space="0" w:color="365F91"/>
              <w:right w:val="single" w:sz="4" w:space="0" w:color="365F91"/>
            </w:tcBorders>
          </w:tcPr>
          <w:p w14:paraId="70CEC1DE" w14:textId="77777777" w:rsidR="00A10636" w:rsidRPr="00D9348B" w:rsidRDefault="00A10636" w:rsidP="00DB330E">
            <w:pPr>
              <w:rPr>
                <w:rFonts w:cs="Calibri"/>
                <w:sz w:val="16"/>
                <w:szCs w:val="16"/>
              </w:rPr>
            </w:pPr>
          </w:p>
        </w:tc>
        <w:tc>
          <w:tcPr>
            <w:tcW w:w="1350" w:type="dxa"/>
            <w:tcBorders>
              <w:top w:val="single" w:sz="4" w:space="0" w:color="365F91"/>
              <w:left w:val="single" w:sz="4" w:space="0" w:color="365F91"/>
              <w:bottom w:val="nil"/>
              <w:right w:val="single" w:sz="4" w:space="0" w:color="365F91"/>
            </w:tcBorders>
          </w:tcPr>
          <w:p w14:paraId="46F05F74" w14:textId="77777777" w:rsidR="00A10636" w:rsidRPr="00D9348B" w:rsidRDefault="00A10636" w:rsidP="00DB330E">
            <w:pPr>
              <w:pStyle w:val="TableText"/>
              <w:rPr>
                <w:rFonts w:cs="Calibri"/>
                <w:szCs w:val="16"/>
              </w:rPr>
            </w:pPr>
            <w:r w:rsidRPr="00D9348B">
              <w:rPr>
                <w:rFonts w:cs="Calibri"/>
                <w:szCs w:val="16"/>
              </w:rPr>
              <w:t>Post-1989 natural forest [AR and D]</w:t>
            </w:r>
          </w:p>
        </w:tc>
        <w:tc>
          <w:tcPr>
            <w:tcW w:w="1051" w:type="dxa"/>
            <w:gridSpan w:val="2"/>
            <w:tcBorders>
              <w:top w:val="single" w:sz="4" w:space="0" w:color="365F91"/>
              <w:left w:val="single" w:sz="4" w:space="0" w:color="365F91"/>
              <w:bottom w:val="nil"/>
              <w:right w:val="nil"/>
            </w:tcBorders>
          </w:tcPr>
          <w:p w14:paraId="0E8ABE15" w14:textId="77777777" w:rsidR="00A10636" w:rsidRPr="00D9348B" w:rsidRDefault="00A10636" w:rsidP="00DB330E">
            <w:pPr>
              <w:pStyle w:val="TableText"/>
              <w:rPr>
                <w:rFonts w:cs="Calibri"/>
                <w:szCs w:val="16"/>
              </w:rPr>
            </w:pPr>
            <w:r w:rsidRPr="00D9348B">
              <w:rPr>
                <w:rFonts w:cs="Calibri"/>
                <w:szCs w:val="16"/>
              </w:rPr>
              <w:t>Allometric model</w:t>
            </w:r>
          </w:p>
        </w:tc>
        <w:tc>
          <w:tcPr>
            <w:tcW w:w="1149" w:type="dxa"/>
            <w:gridSpan w:val="2"/>
            <w:tcBorders>
              <w:top w:val="single" w:sz="4" w:space="0" w:color="365F91"/>
              <w:left w:val="nil"/>
              <w:bottom w:val="nil"/>
              <w:right w:val="nil"/>
            </w:tcBorders>
          </w:tcPr>
          <w:p w14:paraId="7BAAF667" w14:textId="77777777" w:rsidR="00A10636" w:rsidRPr="00D9348B" w:rsidRDefault="00A10636" w:rsidP="00DB330E">
            <w:pPr>
              <w:pStyle w:val="TableText"/>
              <w:rPr>
                <w:rFonts w:cs="Calibri"/>
                <w:szCs w:val="16"/>
              </w:rPr>
            </w:pPr>
            <w:r w:rsidRPr="00D9348B">
              <w:rPr>
                <w:rFonts w:cs="Calibri"/>
                <w:szCs w:val="16"/>
              </w:rPr>
              <w:t>Percentage of above-ground biomass</w:t>
            </w:r>
          </w:p>
        </w:tc>
        <w:tc>
          <w:tcPr>
            <w:tcW w:w="1055" w:type="dxa"/>
            <w:tcBorders>
              <w:top w:val="single" w:sz="4" w:space="0" w:color="365F91"/>
              <w:left w:val="nil"/>
              <w:bottom w:val="nil"/>
              <w:right w:val="nil"/>
            </w:tcBorders>
            <w:tcMar>
              <w:right w:w="57" w:type="dxa"/>
            </w:tcMar>
          </w:tcPr>
          <w:p w14:paraId="68BBD842" w14:textId="77777777" w:rsidR="00A10636" w:rsidRPr="00D9348B" w:rsidRDefault="00A10636" w:rsidP="00DB330E">
            <w:pPr>
              <w:pStyle w:val="TableText"/>
              <w:rPr>
                <w:rFonts w:cs="Calibri"/>
                <w:szCs w:val="16"/>
              </w:rPr>
            </w:pPr>
            <w:r w:rsidRPr="00D9348B">
              <w:rPr>
                <w:rFonts w:cs="Calibri"/>
                <w:szCs w:val="16"/>
              </w:rPr>
              <w:t>Allometric model</w:t>
            </w:r>
          </w:p>
        </w:tc>
        <w:tc>
          <w:tcPr>
            <w:tcW w:w="1055" w:type="dxa"/>
            <w:tcBorders>
              <w:top w:val="single" w:sz="4" w:space="0" w:color="365F91"/>
              <w:left w:val="nil"/>
              <w:bottom w:val="nil"/>
              <w:right w:val="single" w:sz="4" w:space="0" w:color="365F91"/>
            </w:tcBorders>
            <w:tcMar>
              <w:right w:w="57" w:type="dxa"/>
            </w:tcMar>
          </w:tcPr>
          <w:p w14:paraId="09644C26" w14:textId="77777777" w:rsidR="00A10636" w:rsidRPr="00D9348B" w:rsidRDefault="00A10636" w:rsidP="00DB330E">
            <w:pPr>
              <w:pStyle w:val="TableText"/>
              <w:rPr>
                <w:rFonts w:cs="Calibri"/>
                <w:szCs w:val="16"/>
              </w:rPr>
            </w:pPr>
            <w:r w:rsidRPr="00D9348B">
              <w:rPr>
                <w:rFonts w:cs="Calibri"/>
                <w:szCs w:val="16"/>
              </w:rPr>
              <w:t>Allometric model</w:t>
            </w:r>
          </w:p>
        </w:tc>
        <w:tc>
          <w:tcPr>
            <w:tcW w:w="1206" w:type="dxa"/>
            <w:tcBorders>
              <w:top w:val="single" w:sz="4" w:space="0" w:color="365F91"/>
              <w:left w:val="single" w:sz="4" w:space="0" w:color="365F91"/>
              <w:bottom w:val="single" w:sz="4" w:space="0" w:color="365F91"/>
              <w:right w:val="single" w:sz="4" w:space="0" w:color="365F91"/>
            </w:tcBorders>
          </w:tcPr>
          <w:p w14:paraId="67C9FE0E" w14:textId="77777777" w:rsidR="00A10636" w:rsidRPr="00D9348B" w:rsidRDefault="00A10636" w:rsidP="00DB330E">
            <w:pPr>
              <w:pStyle w:val="TableText"/>
              <w:rPr>
                <w:rFonts w:cs="Calibri"/>
                <w:szCs w:val="16"/>
              </w:rPr>
            </w:pPr>
            <w:r w:rsidRPr="00D9348B">
              <w:rPr>
                <w:rFonts w:cs="Calibri"/>
                <w:szCs w:val="16"/>
              </w:rPr>
              <w:t>Tier 2, country-specific data and model</w:t>
            </w:r>
          </w:p>
        </w:tc>
        <w:tc>
          <w:tcPr>
            <w:tcW w:w="1213" w:type="dxa"/>
            <w:tcBorders>
              <w:top w:val="single" w:sz="4" w:space="0" w:color="365F91"/>
              <w:left w:val="single" w:sz="4" w:space="0" w:color="365F91"/>
              <w:bottom w:val="single" w:sz="4" w:space="0" w:color="365F91"/>
              <w:right w:val="nil"/>
            </w:tcBorders>
          </w:tcPr>
          <w:p w14:paraId="4B245E64" w14:textId="77777777" w:rsidR="00A10636" w:rsidRPr="00D9348B" w:rsidRDefault="00A10636" w:rsidP="00DB330E">
            <w:pPr>
              <w:pStyle w:val="TableText"/>
              <w:rPr>
                <w:rFonts w:cs="Calibri"/>
                <w:szCs w:val="16"/>
              </w:rPr>
            </w:pPr>
            <w:r w:rsidRPr="00D9348B">
              <w:rPr>
                <w:rFonts w:cs="Calibri"/>
                <w:szCs w:val="16"/>
              </w:rPr>
              <w:t>IPCC Tier 1 default parameters</w:t>
            </w:r>
          </w:p>
        </w:tc>
      </w:tr>
      <w:tr w:rsidR="00A10636" w:rsidRPr="00D9348B" w14:paraId="3797B966" w14:textId="77777777" w:rsidTr="00445A02">
        <w:tc>
          <w:tcPr>
            <w:tcW w:w="426" w:type="dxa"/>
            <w:vMerge/>
            <w:tcBorders>
              <w:top w:val="single" w:sz="4" w:space="0" w:color="365F91"/>
              <w:left w:val="nil"/>
              <w:bottom w:val="single" w:sz="4" w:space="0" w:color="365F91"/>
              <w:right w:val="single" w:sz="4" w:space="0" w:color="365F91"/>
            </w:tcBorders>
          </w:tcPr>
          <w:p w14:paraId="0EA6094A" w14:textId="77777777" w:rsidR="00A10636" w:rsidRPr="00D9348B" w:rsidRDefault="00A10636" w:rsidP="00DB330E">
            <w:pPr>
              <w:rPr>
                <w:rFonts w:cs="Calibri"/>
                <w:sz w:val="16"/>
                <w:szCs w:val="16"/>
              </w:rPr>
            </w:pPr>
          </w:p>
        </w:tc>
        <w:tc>
          <w:tcPr>
            <w:tcW w:w="1350" w:type="dxa"/>
            <w:tcBorders>
              <w:top w:val="nil"/>
              <w:left w:val="single" w:sz="4" w:space="0" w:color="365F91"/>
              <w:bottom w:val="single" w:sz="4" w:space="0" w:color="365F91"/>
              <w:right w:val="single" w:sz="4" w:space="0" w:color="365F91"/>
            </w:tcBorders>
          </w:tcPr>
          <w:p w14:paraId="12BF259E" w14:textId="77777777" w:rsidR="00A10636" w:rsidRPr="00D9348B" w:rsidRDefault="00A10636" w:rsidP="00DB330E">
            <w:pPr>
              <w:pStyle w:val="TableText"/>
              <w:rPr>
                <w:rFonts w:cs="Calibri"/>
                <w:szCs w:val="16"/>
              </w:rPr>
            </w:pPr>
            <w:r w:rsidRPr="00D9348B">
              <w:rPr>
                <w:rFonts w:cs="Calibri"/>
                <w:szCs w:val="16"/>
              </w:rPr>
              <w:t>Post-1989 planted forest [AR and D]</w:t>
            </w:r>
          </w:p>
        </w:tc>
        <w:tc>
          <w:tcPr>
            <w:tcW w:w="4310" w:type="dxa"/>
            <w:gridSpan w:val="6"/>
            <w:tcBorders>
              <w:top w:val="nil"/>
              <w:left w:val="single" w:sz="4" w:space="0" w:color="365F91"/>
              <w:bottom w:val="single" w:sz="4" w:space="0" w:color="365F91"/>
              <w:right w:val="single" w:sz="4" w:space="0" w:color="365F91"/>
            </w:tcBorders>
          </w:tcPr>
          <w:p w14:paraId="4A12C7AF" w14:textId="77777777" w:rsidR="00A10636" w:rsidRPr="00D9348B" w:rsidRDefault="00A10636" w:rsidP="00DB330E">
            <w:pPr>
              <w:pStyle w:val="TableText"/>
              <w:rPr>
                <w:rFonts w:cs="Calibri"/>
                <w:szCs w:val="16"/>
              </w:rPr>
            </w:pPr>
            <w:r w:rsidRPr="00D9348B">
              <w:rPr>
                <w:rFonts w:cs="Calibri"/>
                <w:szCs w:val="16"/>
              </w:rPr>
              <w:t>Age-based carbon yield table by biomass pool derived from the LUCAS plot network and the Forest Carbon Predictor model</w:t>
            </w:r>
          </w:p>
        </w:tc>
        <w:tc>
          <w:tcPr>
            <w:tcW w:w="1206" w:type="dxa"/>
            <w:tcBorders>
              <w:top w:val="single" w:sz="4" w:space="0" w:color="365F91"/>
              <w:left w:val="single" w:sz="4" w:space="0" w:color="365F91"/>
              <w:bottom w:val="single" w:sz="4" w:space="0" w:color="365F91"/>
              <w:right w:val="single" w:sz="4" w:space="0" w:color="365F91"/>
            </w:tcBorders>
          </w:tcPr>
          <w:p w14:paraId="4D8361A2" w14:textId="77777777" w:rsidR="00A10636" w:rsidRPr="00D9348B" w:rsidRDefault="00A10636" w:rsidP="00DB330E">
            <w:pPr>
              <w:pStyle w:val="TableText"/>
              <w:rPr>
                <w:rFonts w:cs="Calibri"/>
                <w:szCs w:val="16"/>
              </w:rPr>
            </w:pPr>
            <w:r w:rsidRPr="00D9348B">
              <w:rPr>
                <w:rFonts w:cs="Calibri"/>
                <w:szCs w:val="16"/>
              </w:rPr>
              <w:t>Tier 2, country-specific data and model</w:t>
            </w:r>
          </w:p>
        </w:tc>
        <w:tc>
          <w:tcPr>
            <w:tcW w:w="1213" w:type="dxa"/>
            <w:tcBorders>
              <w:top w:val="single" w:sz="4" w:space="0" w:color="365F91"/>
              <w:left w:val="single" w:sz="4" w:space="0" w:color="365F91"/>
              <w:bottom w:val="single" w:sz="4" w:space="0" w:color="365F91"/>
              <w:right w:val="nil"/>
            </w:tcBorders>
          </w:tcPr>
          <w:p w14:paraId="4445749E" w14:textId="77777777" w:rsidR="00A10636" w:rsidRPr="00D9348B" w:rsidRDefault="00A10636" w:rsidP="00DB330E">
            <w:pPr>
              <w:pStyle w:val="TableText"/>
              <w:rPr>
                <w:rFonts w:cs="Calibri"/>
                <w:szCs w:val="16"/>
              </w:rPr>
            </w:pPr>
            <w:r w:rsidRPr="00D9348B">
              <w:rPr>
                <w:rFonts w:cs="Calibri"/>
                <w:szCs w:val="16"/>
              </w:rPr>
              <w:t>IPCC Tier 1 default parameters</w:t>
            </w:r>
          </w:p>
        </w:tc>
      </w:tr>
      <w:tr w:rsidR="00A10636" w:rsidRPr="00D9348B" w14:paraId="054BB6E1" w14:textId="77777777" w:rsidTr="00445A02">
        <w:tc>
          <w:tcPr>
            <w:tcW w:w="426" w:type="dxa"/>
            <w:vMerge/>
            <w:tcBorders>
              <w:top w:val="single" w:sz="4" w:space="0" w:color="365F91"/>
              <w:left w:val="nil"/>
              <w:bottom w:val="single" w:sz="4" w:space="0" w:color="365F91"/>
              <w:right w:val="single" w:sz="4" w:space="0" w:color="365F91"/>
            </w:tcBorders>
          </w:tcPr>
          <w:p w14:paraId="52B05C63" w14:textId="77777777" w:rsidR="00A10636" w:rsidRPr="00D9348B" w:rsidRDefault="00A10636" w:rsidP="00DB330E">
            <w:pPr>
              <w:rPr>
                <w:rFonts w:cs="Calibri"/>
                <w:sz w:val="16"/>
                <w:szCs w:val="16"/>
              </w:rPr>
            </w:pPr>
          </w:p>
        </w:tc>
        <w:tc>
          <w:tcPr>
            <w:tcW w:w="1350" w:type="dxa"/>
            <w:tcBorders>
              <w:top w:val="single" w:sz="4" w:space="0" w:color="365F91"/>
              <w:left w:val="single" w:sz="4" w:space="0" w:color="365F91"/>
              <w:bottom w:val="single" w:sz="4" w:space="0" w:color="365F91"/>
              <w:right w:val="single" w:sz="4" w:space="0" w:color="365F91"/>
            </w:tcBorders>
          </w:tcPr>
          <w:p w14:paraId="52D5361A" w14:textId="77777777" w:rsidR="00A10636" w:rsidRPr="00D9348B" w:rsidRDefault="00A10636" w:rsidP="00DB330E">
            <w:pPr>
              <w:pStyle w:val="TableText"/>
              <w:keepNext/>
              <w:rPr>
                <w:rFonts w:cs="Calibri"/>
                <w:szCs w:val="16"/>
              </w:rPr>
            </w:pPr>
            <w:r w:rsidRPr="00D9348B">
              <w:rPr>
                <w:rFonts w:cs="Calibri"/>
                <w:szCs w:val="16"/>
              </w:rPr>
              <w:t>Cropland –annual</w:t>
            </w:r>
          </w:p>
        </w:tc>
        <w:tc>
          <w:tcPr>
            <w:tcW w:w="1768" w:type="dxa"/>
            <w:gridSpan w:val="3"/>
            <w:tcBorders>
              <w:top w:val="single" w:sz="4" w:space="0" w:color="365F91"/>
              <w:left w:val="single" w:sz="4" w:space="0" w:color="365F91"/>
              <w:bottom w:val="single" w:sz="4" w:space="0" w:color="365F91"/>
              <w:right w:val="nil"/>
            </w:tcBorders>
          </w:tcPr>
          <w:p w14:paraId="5889721D" w14:textId="77777777" w:rsidR="00A10636" w:rsidRPr="00D9348B" w:rsidRDefault="00A10636" w:rsidP="00DB330E">
            <w:pPr>
              <w:pStyle w:val="TableText"/>
              <w:keepNext/>
              <w:rPr>
                <w:rFonts w:cs="Calibri"/>
                <w:szCs w:val="16"/>
              </w:rPr>
            </w:pPr>
            <w:r w:rsidRPr="00D9348B">
              <w:rPr>
                <w:rFonts w:cs="Calibri"/>
                <w:szCs w:val="16"/>
              </w:rPr>
              <w:t>IPCC Tier 1 default parameters</w:t>
            </w:r>
          </w:p>
        </w:tc>
        <w:tc>
          <w:tcPr>
            <w:tcW w:w="2542" w:type="dxa"/>
            <w:gridSpan w:val="3"/>
            <w:tcBorders>
              <w:top w:val="single" w:sz="4" w:space="0" w:color="365F91"/>
              <w:left w:val="nil"/>
              <w:bottom w:val="single" w:sz="4" w:space="0" w:color="365F91"/>
              <w:right w:val="single" w:sz="4" w:space="0" w:color="365F91"/>
            </w:tcBorders>
          </w:tcPr>
          <w:p w14:paraId="2BEBA73E" w14:textId="77777777" w:rsidR="00A10636" w:rsidRPr="00D9348B" w:rsidRDefault="00A10636" w:rsidP="00DB330E">
            <w:pPr>
              <w:pStyle w:val="TableText"/>
              <w:keepNext/>
              <w:rPr>
                <w:rFonts w:cs="Calibri"/>
                <w:szCs w:val="16"/>
              </w:rPr>
            </w:pPr>
            <w:r w:rsidRPr="00D9348B">
              <w:rPr>
                <w:rFonts w:cs="Calibri"/>
                <w:szCs w:val="16"/>
              </w:rPr>
              <w:t>IPCC Tier 1 default parameters (NE)</w:t>
            </w:r>
          </w:p>
        </w:tc>
        <w:tc>
          <w:tcPr>
            <w:tcW w:w="1206" w:type="dxa"/>
            <w:tcBorders>
              <w:top w:val="single" w:sz="4" w:space="0" w:color="365F91"/>
              <w:left w:val="single" w:sz="4" w:space="0" w:color="365F91"/>
              <w:bottom w:val="single" w:sz="4" w:space="0" w:color="365F91"/>
              <w:right w:val="single" w:sz="4" w:space="0" w:color="365F91"/>
            </w:tcBorders>
          </w:tcPr>
          <w:p w14:paraId="0A7BADCC" w14:textId="77777777" w:rsidR="00A10636" w:rsidRPr="00D9348B" w:rsidRDefault="00A10636" w:rsidP="00DB330E">
            <w:pPr>
              <w:pStyle w:val="TableText"/>
              <w:keepNext/>
              <w:rPr>
                <w:rFonts w:cs="Calibri"/>
                <w:szCs w:val="16"/>
              </w:rPr>
            </w:pPr>
            <w:r w:rsidRPr="00D9348B">
              <w:rPr>
                <w:rFonts w:cs="Calibri"/>
                <w:szCs w:val="16"/>
              </w:rPr>
              <w:t>Tier 2, country-specific data and model</w:t>
            </w:r>
          </w:p>
        </w:tc>
        <w:tc>
          <w:tcPr>
            <w:tcW w:w="1213" w:type="dxa"/>
            <w:tcBorders>
              <w:top w:val="single" w:sz="4" w:space="0" w:color="365F91"/>
              <w:left w:val="single" w:sz="4" w:space="0" w:color="365F91"/>
              <w:bottom w:val="single" w:sz="4" w:space="0" w:color="365F91"/>
              <w:right w:val="nil"/>
            </w:tcBorders>
          </w:tcPr>
          <w:p w14:paraId="45C72E65" w14:textId="77777777" w:rsidR="00A10636" w:rsidRPr="00D9348B" w:rsidRDefault="00A10636" w:rsidP="00DB330E">
            <w:pPr>
              <w:pStyle w:val="TableText"/>
              <w:keepNext/>
              <w:rPr>
                <w:rFonts w:cs="Calibri"/>
                <w:szCs w:val="16"/>
              </w:rPr>
            </w:pPr>
            <w:r w:rsidRPr="00D9348B">
              <w:rPr>
                <w:rFonts w:cs="Calibri"/>
                <w:szCs w:val="16"/>
              </w:rPr>
              <w:t>IPCC Tier 1 default parameters</w:t>
            </w:r>
          </w:p>
        </w:tc>
      </w:tr>
      <w:tr w:rsidR="00A10636" w:rsidRPr="00D9348B" w14:paraId="32CAF81A" w14:textId="77777777" w:rsidTr="00445A02">
        <w:tc>
          <w:tcPr>
            <w:tcW w:w="426" w:type="dxa"/>
            <w:vMerge/>
            <w:tcBorders>
              <w:top w:val="single" w:sz="4" w:space="0" w:color="365F91"/>
              <w:left w:val="nil"/>
              <w:bottom w:val="single" w:sz="4" w:space="0" w:color="365F91"/>
              <w:right w:val="single" w:sz="4" w:space="0" w:color="365F91"/>
            </w:tcBorders>
          </w:tcPr>
          <w:p w14:paraId="44B39594" w14:textId="77777777" w:rsidR="00A10636" w:rsidRPr="00D9348B" w:rsidRDefault="00A10636" w:rsidP="00DB330E">
            <w:pPr>
              <w:rPr>
                <w:rFonts w:cs="Calibri"/>
                <w:sz w:val="16"/>
                <w:szCs w:val="16"/>
              </w:rPr>
            </w:pPr>
          </w:p>
        </w:tc>
        <w:tc>
          <w:tcPr>
            <w:tcW w:w="1350" w:type="dxa"/>
            <w:tcBorders>
              <w:top w:val="single" w:sz="4" w:space="0" w:color="365F91"/>
              <w:left w:val="single" w:sz="4" w:space="0" w:color="365F91"/>
              <w:bottom w:val="single" w:sz="4" w:space="0" w:color="365F91"/>
              <w:right w:val="single" w:sz="4" w:space="0" w:color="365F91"/>
            </w:tcBorders>
          </w:tcPr>
          <w:p w14:paraId="387E1F50" w14:textId="77777777" w:rsidR="00A10636" w:rsidRPr="00D9348B" w:rsidRDefault="00A10636" w:rsidP="00DB330E">
            <w:pPr>
              <w:pStyle w:val="TableText"/>
              <w:rPr>
                <w:rFonts w:cs="Calibri"/>
                <w:szCs w:val="16"/>
              </w:rPr>
            </w:pPr>
            <w:r w:rsidRPr="00D9348B">
              <w:rPr>
                <w:rFonts w:cs="Calibri"/>
                <w:szCs w:val="16"/>
              </w:rPr>
              <w:t>Cropland – perennial</w:t>
            </w:r>
          </w:p>
        </w:tc>
        <w:tc>
          <w:tcPr>
            <w:tcW w:w="1768" w:type="dxa"/>
            <w:gridSpan w:val="3"/>
            <w:tcBorders>
              <w:top w:val="single" w:sz="4" w:space="0" w:color="365F91"/>
              <w:left w:val="single" w:sz="4" w:space="0" w:color="365F91"/>
              <w:bottom w:val="single" w:sz="4" w:space="0" w:color="365F91"/>
              <w:right w:val="nil"/>
            </w:tcBorders>
          </w:tcPr>
          <w:p w14:paraId="59842404" w14:textId="77777777" w:rsidR="00A10636" w:rsidRPr="00D9348B" w:rsidRDefault="00A10636" w:rsidP="00DB330E">
            <w:pPr>
              <w:pStyle w:val="TableText"/>
              <w:rPr>
                <w:rFonts w:cs="Calibri"/>
                <w:szCs w:val="16"/>
              </w:rPr>
            </w:pPr>
            <w:r w:rsidRPr="00D9348B">
              <w:rPr>
                <w:rFonts w:cs="Calibri"/>
                <w:szCs w:val="16"/>
              </w:rPr>
              <w:t>Country-specific emission factor</w:t>
            </w:r>
          </w:p>
        </w:tc>
        <w:tc>
          <w:tcPr>
            <w:tcW w:w="2542" w:type="dxa"/>
            <w:gridSpan w:val="3"/>
            <w:tcBorders>
              <w:top w:val="single" w:sz="4" w:space="0" w:color="365F91"/>
              <w:left w:val="nil"/>
              <w:bottom w:val="single" w:sz="4" w:space="0" w:color="365F91"/>
              <w:right w:val="single" w:sz="4" w:space="0" w:color="365F91"/>
            </w:tcBorders>
          </w:tcPr>
          <w:p w14:paraId="3D669322" w14:textId="77777777" w:rsidR="00A10636" w:rsidRPr="00D9348B" w:rsidRDefault="00A10636" w:rsidP="00DB330E">
            <w:pPr>
              <w:pStyle w:val="TableText"/>
              <w:rPr>
                <w:rFonts w:cs="Calibri"/>
                <w:szCs w:val="16"/>
              </w:rPr>
            </w:pPr>
            <w:r w:rsidRPr="00D9348B">
              <w:rPr>
                <w:rFonts w:cs="Calibri"/>
                <w:szCs w:val="16"/>
              </w:rPr>
              <w:t>IPCC Tier 1 default parameters (NE)</w:t>
            </w:r>
          </w:p>
        </w:tc>
        <w:tc>
          <w:tcPr>
            <w:tcW w:w="1206" w:type="dxa"/>
            <w:tcBorders>
              <w:top w:val="single" w:sz="4" w:space="0" w:color="365F91"/>
              <w:left w:val="single" w:sz="4" w:space="0" w:color="365F91"/>
              <w:bottom w:val="single" w:sz="4" w:space="0" w:color="365F91"/>
              <w:right w:val="single" w:sz="4" w:space="0" w:color="365F91"/>
            </w:tcBorders>
          </w:tcPr>
          <w:p w14:paraId="2327457D" w14:textId="77777777" w:rsidR="00A10636" w:rsidRPr="00D9348B" w:rsidRDefault="00A10636" w:rsidP="00DB330E">
            <w:pPr>
              <w:pStyle w:val="TableText"/>
              <w:rPr>
                <w:rFonts w:cs="Calibri"/>
                <w:szCs w:val="16"/>
              </w:rPr>
            </w:pPr>
            <w:r w:rsidRPr="00D9348B">
              <w:rPr>
                <w:rFonts w:cs="Calibri"/>
                <w:szCs w:val="16"/>
              </w:rPr>
              <w:t>Tier 2, country-specific data and model</w:t>
            </w:r>
          </w:p>
        </w:tc>
        <w:tc>
          <w:tcPr>
            <w:tcW w:w="1213" w:type="dxa"/>
            <w:tcBorders>
              <w:top w:val="single" w:sz="4" w:space="0" w:color="365F91"/>
              <w:left w:val="single" w:sz="4" w:space="0" w:color="365F91"/>
              <w:bottom w:val="single" w:sz="4" w:space="0" w:color="365F91"/>
              <w:right w:val="nil"/>
            </w:tcBorders>
          </w:tcPr>
          <w:p w14:paraId="34A1807D" w14:textId="77777777" w:rsidR="00A10636" w:rsidRPr="00D9348B" w:rsidRDefault="00A10636" w:rsidP="00DB330E">
            <w:pPr>
              <w:pStyle w:val="TableText"/>
              <w:rPr>
                <w:rFonts w:cs="Calibri"/>
                <w:szCs w:val="16"/>
              </w:rPr>
            </w:pPr>
            <w:r w:rsidRPr="00D9348B">
              <w:rPr>
                <w:rFonts w:cs="Calibri"/>
                <w:szCs w:val="16"/>
              </w:rPr>
              <w:t>IPCC Tier 1 default parameters</w:t>
            </w:r>
          </w:p>
        </w:tc>
      </w:tr>
      <w:tr w:rsidR="00A10636" w:rsidRPr="00D9348B" w14:paraId="5DE2D35A" w14:textId="77777777" w:rsidTr="00445A02">
        <w:tc>
          <w:tcPr>
            <w:tcW w:w="426" w:type="dxa"/>
            <w:vMerge/>
            <w:tcBorders>
              <w:top w:val="single" w:sz="4" w:space="0" w:color="365F91"/>
              <w:left w:val="nil"/>
              <w:bottom w:val="single" w:sz="4" w:space="0" w:color="365F91"/>
              <w:right w:val="single" w:sz="4" w:space="0" w:color="365F91"/>
            </w:tcBorders>
          </w:tcPr>
          <w:p w14:paraId="2F9CDC3B" w14:textId="77777777" w:rsidR="00A10636" w:rsidRPr="00D9348B" w:rsidRDefault="00A10636" w:rsidP="00DB330E">
            <w:pPr>
              <w:rPr>
                <w:rFonts w:cs="Calibri"/>
                <w:sz w:val="16"/>
                <w:szCs w:val="16"/>
              </w:rPr>
            </w:pPr>
          </w:p>
        </w:tc>
        <w:tc>
          <w:tcPr>
            <w:tcW w:w="1350" w:type="dxa"/>
            <w:tcBorders>
              <w:top w:val="single" w:sz="4" w:space="0" w:color="365F91"/>
              <w:left w:val="single" w:sz="4" w:space="0" w:color="365F91"/>
              <w:bottom w:val="single" w:sz="4" w:space="0" w:color="365F91"/>
              <w:right w:val="single" w:sz="4" w:space="0" w:color="365F91"/>
            </w:tcBorders>
          </w:tcPr>
          <w:p w14:paraId="2FB994A8" w14:textId="77777777" w:rsidR="00A10636" w:rsidRPr="00D9348B" w:rsidRDefault="00A10636" w:rsidP="00DB330E">
            <w:pPr>
              <w:pStyle w:val="TableText"/>
              <w:rPr>
                <w:rFonts w:cs="Calibri"/>
                <w:szCs w:val="16"/>
              </w:rPr>
            </w:pPr>
            <w:r w:rsidRPr="00D9348B">
              <w:rPr>
                <w:rFonts w:cs="Calibri"/>
                <w:szCs w:val="16"/>
              </w:rPr>
              <w:t>Grassland (high and low producing)</w:t>
            </w:r>
          </w:p>
        </w:tc>
        <w:tc>
          <w:tcPr>
            <w:tcW w:w="1768" w:type="dxa"/>
            <w:gridSpan w:val="3"/>
            <w:tcBorders>
              <w:top w:val="single" w:sz="4" w:space="0" w:color="365F91"/>
              <w:left w:val="single" w:sz="4" w:space="0" w:color="365F91"/>
              <w:bottom w:val="single" w:sz="4" w:space="0" w:color="365F91"/>
              <w:right w:val="nil"/>
            </w:tcBorders>
          </w:tcPr>
          <w:p w14:paraId="7D88C6F8" w14:textId="77777777" w:rsidR="00A10636" w:rsidRPr="00D9348B" w:rsidRDefault="00A10636" w:rsidP="00DB330E">
            <w:pPr>
              <w:pStyle w:val="TableText"/>
              <w:rPr>
                <w:rFonts w:cs="Calibri"/>
                <w:szCs w:val="16"/>
              </w:rPr>
            </w:pPr>
            <w:r w:rsidRPr="00D9348B">
              <w:rPr>
                <w:rFonts w:cs="Calibri"/>
                <w:szCs w:val="16"/>
              </w:rPr>
              <w:t>IPCC Tier 1 default parameters</w:t>
            </w:r>
          </w:p>
        </w:tc>
        <w:tc>
          <w:tcPr>
            <w:tcW w:w="2542" w:type="dxa"/>
            <w:gridSpan w:val="3"/>
            <w:tcBorders>
              <w:top w:val="single" w:sz="4" w:space="0" w:color="365F91"/>
              <w:left w:val="nil"/>
              <w:bottom w:val="single" w:sz="4" w:space="0" w:color="365F91"/>
              <w:right w:val="single" w:sz="4" w:space="0" w:color="365F91"/>
            </w:tcBorders>
          </w:tcPr>
          <w:p w14:paraId="0346256A" w14:textId="77777777" w:rsidR="00A10636" w:rsidRPr="00D9348B" w:rsidRDefault="00A10636" w:rsidP="00DB330E">
            <w:pPr>
              <w:pStyle w:val="TableText"/>
              <w:rPr>
                <w:rFonts w:cs="Calibri"/>
                <w:szCs w:val="16"/>
              </w:rPr>
            </w:pPr>
            <w:r w:rsidRPr="00D9348B">
              <w:rPr>
                <w:rFonts w:cs="Calibri"/>
                <w:szCs w:val="16"/>
              </w:rPr>
              <w:t>IPCC Tier 1 default parameters (NE)</w:t>
            </w:r>
          </w:p>
        </w:tc>
        <w:tc>
          <w:tcPr>
            <w:tcW w:w="1206" w:type="dxa"/>
            <w:tcBorders>
              <w:top w:val="single" w:sz="4" w:space="0" w:color="365F91"/>
              <w:left w:val="single" w:sz="4" w:space="0" w:color="365F91"/>
              <w:bottom w:val="single" w:sz="4" w:space="0" w:color="365F91"/>
              <w:right w:val="single" w:sz="4" w:space="0" w:color="365F91"/>
            </w:tcBorders>
          </w:tcPr>
          <w:p w14:paraId="3515F6CD" w14:textId="77777777" w:rsidR="00A10636" w:rsidRPr="00D9348B" w:rsidRDefault="00A10636" w:rsidP="00DB330E">
            <w:pPr>
              <w:pStyle w:val="TableText"/>
              <w:rPr>
                <w:rFonts w:cs="Calibri"/>
                <w:szCs w:val="16"/>
              </w:rPr>
            </w:pPr>
            <w:r w:rsidRPr="00D9348B">
              <w:rPr>
                <w:rFonts w:cs="Calibri"/>
                <w:szCs w:val="16"/>
              </w:rPr>
              <w:t>Tier 2, country-specific data and model</w:t>
            </w:r>
          </w:p>
        </w:tc>
        <w:tc>
          <w:tcPr>
            <w:tcW w:w="1213" w:type="dxa"/>
            <w:tcBorders>
              <w:top w:val="single" w:sz="4" w:space="0" w:color="365F91"/>
              <w:left w:val="single" w:sz="4" w:space="0" w:color="365F91"/>
              <w:bottom w:val="single" w:sz="4" w:space="0" w:color="365F91"/>
              <w:right w:val="nil"/>
            </w:tcBorders>
          </w:tcPr>
          <w:p w14:paraId="26A9DF28" w14:textId="77777777" w:rsidR="00A10636" w:rsidRPr="00D9348B" w:rsidRDefault="00A10636" w:rsidP="00DB330E">
            <w:pPr>
              <w:pStyle w:val="TableText"/>
              <w:rPr>
                <w:rFonts w:cs="Calibri"/>
                <w:szCs w:val="16"/>
              </w:rPr>
            </w:pPr>
            <w:r w:rsidRPr="00D9348B">
              <w:rPr>
                <w:rFonts w:cs="Calibri"/>
                <w:szCs w:val="16"/>
              </w:rPr>
              <w:t>IPCC Tier 1 default parameters</w:t>
            </w:r>
          </w:p>
        </w:tc>
      </w:tr>
      <w:tr w:rsidR="00A10636" w:rsidRPr="00D9348B" w14:paraId="522CBDE3" w14:textId="77777777" w:rsidTr="00445A02">
        <w:tc>
          <w:tcPr>
            <w:tcW w:w="426" w:type="dxa"/>
            <w:vMerge/>
            <w:tcBorders>
              <w:top w:val="single" w:sz="4" w:space="0" w:color="365F91"/>
              <w:left w:val="nil"/>
              <w:bottom w:val="single" w:sz="4" w:space="0" w:color="365F91"/>
              <w:right w:val="single" w:sz="4" w:space="0" w:color="365F91"/>
            </w:tcBorders>
          </w:tcPr>
          <w:p w14:paraId="61D30B05" w14:textId="77777777" w:rsidR="00A10636" w:rsidRPr="00D9348B" w:rsidRDefault="00A10636" w:rsidP="00DB330E">
            <w:pPr>
              <w:rPr>
                <w:rFonts w:cs="Calibri"/>
                <w:sz w:val="16"/>
                <w:szCs w:val="16"/>
              </w:rPr>
            </w:pPr>
          </w:p>
        </w:tc>
        <w:tc>
          <w:tcPr>
            <w:tcW w:w="1350" w:type="dxa"/>
            <w:tcBorders>
              <w:top w:val="single" w:sz="4" w:space="0" w:color="365F91"/>
              <w:left w:val="single" w:sz="4" w:space="0" w:color="365F91"/>
              <w:bottom w:val="single" w:sz="4" w:space="0" w:color="365F91"/>
              <w:right w:val="single" w:sz="4" w:space="0" w:color="365F91"/>
            </w:tcBorders>
          </w:tcPr>
          <w:p w14:paraId="785AAB29" w14:textId="77777777" w:rsidR="00A10636" w:rsidRPr="00D9348B" w:rsidRDefault="00A10636" w:rsidP="00DB330E">
            <w:pPr>
              <w:pStyle w:val="TableText"/>
              <w:rPr>
                <w:rFonts w:cs="Calibri"/>
                <w:szCs w:val="16"/>
              </w:rPr>
            </w:pPr>
            <w:r w:rsidRPr="00D9348B">
              <w:rPr>
                <w:rFonts w:cs="Calibri"/>
                <w:szCs w:val="16"/>
              </w:rPr>
              <w:t>Grassland with woody biomass – transitional and permanent</w:t>
            </w:r>
          </w:p>
        </w:tc>
        <w:tc>
          <w:tcPr>
            <w:tcW w:w="4310" w:type="dxa"/>
            <w:gridSpan w:val="6"/>
            <w:tcBorders>
              <w:top w:val="single" w:sz="4" w:space="0" w:color="365F91"/>
              <w:left w:val="single" w:sz="4" w:space="0" w:color="365F91"/>
              <w:bottom w:val="single" w:sz="4" w:space="0" w:color="365F91"/>
              <w:right w:val="single" w:sz="4" w:space="0" w:color="365F91"/>
            </w:tcBorders>
          </w:tcPr>
          <w:p w14:paraId="496536C2" w14:textId="77777777" w:rsidR="00A10636" w:rsidRPr="00D9348B" w:rsidRDefault="00A10636" w:rsidP="00DB330E">
            <w:pPr>
              <w:pStyle w:val="TableText"/>
              <w:rPr>
                <w:rFonts w:cs="Calibri"/>
                <w:szCs w:val="16"/>
              </w:rPr>
            </w:pPr>
            <w:r w:rsidRPr="00D9348B">
              <w:rPr>
                <w:rFonts w:cs="Calibri"/>
                <w:szCs w:val="16"/>
              </w:rPr>
              <w:t>Country-specific emission factor</w:t>
            </w:r>
          </w:p>
        </w:tc>
        <w:tc>
          <w:tcPr>
            <w:tcW w:w="1206" w:type="dxa"/>
            <w:tcBorders>
              <w:top w:val="single" w:sz="4" w:space="0" w:color="365F91"/>
              <w:left w:val="single" w:sz="4" w:space="0" w:color="365F91"/>
              <w:bottom w:val="single" w:sz="4" w:space="0" w:color="365F91"/>
              <w:right w:val="single" w:sz="4" w:space="0" w:color="365F91"/>
            </w:tcBorders>
          </w:tcPr>
          <w:p w14:paraId="4AF29BD9" w14:textId="77777777" w:rsidR="00A10636" w:rsidRPr="00D9348B" w:rsidRDefault="00A10636" w:rsidP="00DB330E">
            <w:pPr>
              <w:pStyle w:val="TableText"/>
              <w:rPr>
                <w:rFonts w:cs="Calibri"/>
                <w:szCs w:val="16"/>
              </w:rPr>
            </w:pPr>
            <w:r w:rsidRPr="00D9348B">
              <w:rPr>
                <w:rFonts w:cs="Calibri"/>
                <w:szCs w:val="16"/>
              </w:rPr>
              <w:t>Tier 2, country-specific data and model</w:t>
            </w:r>
          </w:p>
        </w:tc>
        <w:tc>
          <w:tcPr>
            <w:tcW w:w="1213" w:type="dxa"/>
            <w:tcBorders>
              <w:top w:val="single" w:sz="4" w:space="0" w:color="365F91"/>
              <w:left w:val="single" w:sz="4" w:space="0" w:color="365F91"/>
              <w:bottom w:val="single" w:sz="4" w:space="0" w:color="365F91"/>
              <w:right w:val="nil"/>
            </w:tcBorders>
          </w:tcPr>
          <w:p w14:paraId="5851B8D6" w14:textId="77777777" w:rsidR="00A10636" w:rsidRPr="00D9348B" w:rsidRDefault="00A10636" w:rsidP="00DB330E">
            <w:pPr>
              <w:pStyle w:val="TableText"/>
              <w:rPr>
                <w:rFonts w:cs="Calibri"/>
                <w:szCs w:val="16"/>
              </w:rPr>
            </w:pPr>
            <w:r w:rsidRPr="00D9348B">
              <w:rPr>
                <w:rFonts w:cs="Calibri"/>
                <w:szCs w:val="16"/>
              </w:rPr>
              <w:t>IPCC Tier 1 default parameters</w:t>
            </w:r>
          </w:p>
        </w:tc>
      </w:tr>
      <w:tr w:rsidR="00A10636" w:rsidRPr="00D9348B" w14:paraId="5F5B2635" w14:textId="77777777" w:rsidTr="00445A02">
        <w:tc>
          <w:tcPr>
            <w:tcW w:w="426" w:type="dxa"/>
            <w:vMerge/>
            <w:tcBorders>
              <w:top w:val="single" w:sz="4" w:space="0" w:color="365F91"/>
              <w:left w:val="nil"/>
              <w:bottom w:val="single" w:sz="4" w:space="0" w:color="365F91"/>
              <w:right w:val="single" w:sz="4" w:space="0" w:color="365F91"/>
            </w:tcBorders>
          </w:tcPr>
          <w:p w14:paraId="197D86A2" w14:textId="77777777" w:rsidR="00A10636" w:rsidRPr="00D9348B" w:rsidRDefault="00A10636" w:rsidP="00DB330E">
            <w:pPr>
              <w:rPr>
                <w:rFonts w:cs="Calibri"/>
                <w:sz w:val="16"/>
                <w:szCs w:val="16"/>
              </w:rPr>
            </w:pPr>
          </w:p>
        </w:tc>
        <w:tc>
          <w:tcPr>
            <w:tcW w:w="1350" w:type="dxa"/>
            <w:tcBorders>
              <w:top w:val="single" w:sz="4" w:space="0" w:color="365F91"/>
              <w:left w:val="single" w:sz="4" w:space="0" w:color="365F91"/>
              <w:bottom w:val="single" w:sz="4" w:space="0" w:color="365F91"/>
              <w:right w:val="single" w:sz="4" w:space="0" w:color="365F91"/>
            </w:tcBorders>
          </w:tcPr>
          <w:p w14:paraId="7FA2AE2B" w14:textId="77777777" w:rsidR="00A10636" w:rsidRPr="00D9348B" w:rsidRDefault="00A10636" w:rsidP="00DB330E">
            <w:pPr>
              <w:pStyle w:val="TableText"/>
              <w:rPr>
                <w:rFonts w:cs="Calibri"/>
                <w:szCs w:val="16"/>
              </w:rPr>
            </w:pPr>
            <w:r w:rsidRPr="00D9348B">
              <w:rPr>
                <w:rFonts w:cs="Calibri"/>
                <w:szCs w:val="16"/>
              </w:rPr>
              <w:t>Wetlands</w:t>
            </w:r>
          </w:p>
        </w:tc>
        <w:tc>
          <w:tcPr>
            <w:tcW w:w="4310" w:type="dxa"/>
            <w:gridSpan w:val="6"/>
            <w:tcBorders>
              <w:top w:val="single" w:sz="4" w:space="0" w:color="365F91"/>
              <w:left w:val="single" w:sz="4" w:space="0" w:color="365F91"/>
              <w:bottom w:val="single" w:sz="4" w:space="0" w:color="365F91"/>
              <w:right w:val="single" w:sz="4" w:space="0" w:color="365F91"/>
            </w:tcBorders>
          </w:tcPr>
          <w:p w14:paraId="1F00A61A" w14:textId="77777777" w:rsidR="00A10636" w:rsidRPr="00D9348B" w:rsidRDefault="00A10636" w:rsidP="00DB330E">
            <w:pPr>
              <w:pStyle w:val="TableText"/>
              <w:rPr>
                <w:rFonts w:cs="Calibri"/>
                <w:szCs w:val="16"/>
              </w:rPr>
            </w:pPr>
            <w:r w:rsidRPr="00D9348B">
              <w:rPr>
                <w:rFonts w:cs="Calibri"/>
                <w:szCs w:val="16"/>
              </w:rPr>
              <w:t>IPCC Tier 1 default parameters (NE)</w:t>
            </w:r>
          </w:p>
        </w:tc>
        <w:tc>
          <w:tcPr>
            <w:tcW w:w="1206" w:type="dxa"/>
            <w:tcBorders>
              <w:top w:val="single" w:sz="4" w:space="0" w:color="365F91"/>
              <w:left w:val="single" w:sz="4" w:space="0" w:color="365F91"/>
              <w:bottom w:val="single" w:sz="4" w:space="0" w:color="365F91"/>
              <w:right w:val="single" w:sz="4" w:space="0" w:color="365F91"/>
            </w:tcBorders>
          </w:tcPr>
          <w:p w14:paraId="76F0FE4C" w14:textId="77777777" w:rsidR="00A10636" w:rsidRPr="00D9348B" w:rsidRDefault="00A10636" w:rsidP="00DB330E">
            <w:pPr>
              <w:pStyle w:val="TableText"/>
              <w:rPr>
                <w:rFonts w:cs="Calibri"/>
                <w:szCs w:val="16"/>
              </w:rPr>
            </w:pPr>
            <w:r w:rsidRPr="00D9348B">
              <w:rPr>
                <w:rFonts w:cs="Calibri"/>
                <w:szCs w:val="16"/>
              </w:rPr>
              <w:t>Tier 2, country-specific data and model</w:t>
            </w:r>
          </w:p>
        </w:tc>
        <w:tc>
          <w:tcPr>
            <w:tcW w:w="1213" w:type="dxa"/>
            <w:tcBorders>
              <w:top w:val="single" w:sz="4" w:space="0" w:color="365F91"/>
              <w:left w:val="single" w:sz="4" w:space="0" w:color="365F91"/>
              <w:bottom w:val="single" w:sz="4" w:space="0" w:color="365F91"/>
              <w:right w:val="nil"/>
            </w:tcBorders>
          </w:tcPr>
          <w:p w14:paraId="1658950F" w14:textId="77777777" w:rsidR="00A10636" w:rsidRPr="00D9348B" w:rsidRDefault="00A10636" w:rsidP="00DB330E">
            <w:pPr>
              <w:pStyle w:val="TableText"/>
              <w:rPr>
                <w:rFonts w:cs="Calibri"/>
                <w:szCs w:val="16"/>
              </w:rPr>
            </w:pPr>
            <w:r w:rsidRPr="00D9348B">
              <w:rPr>
                <w:rFonts w:cs="Calibri"/>
                <w:szCs w:val="16"/>
              </w:rPr>
              <w:t xml:space="preserve">IPCC Tier 1 default parameters </w:t>
            </w:r>
          </w:p>
        </w:tc>
      </w:tr>
      <w:tr w:rsidR="00A10636" w:rsidRPr="00D9348B" w14:paraId="01D0B015" w14:textId="77777777" w:rsidTr="00445A02">
        <w:tc>
          <w:tcPr>
            <w:tcW w:w="426" w:type="dxa"/>
            <w:vMerge/>
            <w:tcBorders>
              <w:top w:val="single" w:sz="4" w:space="0" w:color="365F91"/>
              <w:left w:val="nil"/>
              <w:bottom w:val="single" w:sz="4" w:space="0" w:color="365F91"/>
              <w:right w:val="single" w:sz="4" w:space="0" w:color="365F91"/>
            </w:tcBorders>
          </w:tcPr>
          <w:p w14:paraId="46D59D37" w14:textId="77777777" w:rsidR="00A10636" w:rsidRPr="00D9348B" w:rsidRDefault="00A10636" w:rsidP="00DB330E">
            <w:pPr>
              <w:rPr>
                <w:rFonts w:cs="Calibri"/>
                <w:sz w:val="16"/>
                <w:szCs w:val="16"/>
              </w:rPr>
            </w:pPr>
          </w:p>
        </w:tc>
        <w:tc>
          <w:tcPr>
            <w:tcW w:w="1350" w:type="dxa"/>
            <w:tcBorders>
              <w:top w:val="single" w:sz="4" w:space="0" w:color="365F91"/>
              <w:left w:val="single" w:sz="4" w:space="0" w:color="365F91"/>
              <w:bottom w:val="single" w:sz="4" w:space="0" w:color="365F91"/>
              <w:right w:val="single" w:sz="4" w:space="0" w:color="365F91"/>
            </w:tcBorders>
          </w:tcPr>
          <w:p w14:paraId="0BFD1848" w14:textId="77777777" w:rsidR="00A10636" w:rsidRPr="00D9348B" w:rsidRDefault="00A10636" w:rsidP="00DB330E">
            <w:pPr>
              <w:pStyle w:val="TableText"/>
              <w:rPr>
                <w:rFonts w:cs="Calibri"/>
                <w:szCs w:val="16"/>
              </w:rPr>
            </w:pPr>
            <w:r w:rsidRPr="00D9348B">
              <w:rPr>
                <w:rFonts w:cs="Calibri"/>
                <w:szCs w:val="16"/>
              </w:rPr>
              <w:t>Settlements</w:t>
            </w:r>
          </w:p>
        </w:tc>
        <w:tc>
          <w:tcPr>
            <w:tcW w:w="4310" w:type="dxa"/>
            <w:gridSpan w:val="6"/>
            <w:tcBorders>
              <w:top w:val="single" w:sz="4" w:space="0" w:color="365F91"/>
              <w:left w:val="single" w:sz="4" w:space="0" w:color="365F91"/>
              <w:bottom w:val="single" w:sz="4" w:space="0" w:color="365F91"/>
              <w:right w:val="single" w:sz="4" w:space="0" w:color="365F91"/>
            </w:tcBorders>
          </w:tcPr>
          <w:p w14:paraId="079938B5" w14:textId="77777777" w:rsidR="00A10636" w:rsidRPr="00D9348B" w:rsidRDefault="00A10636" w:rsidP="00DB330E">
            <w:pPr>
              <w:pStyle w:val="TableText"/>
              <w:rPr>
                <w:rFonts w:cs="Calibri"/>
                <w:szCs w:val="16"/>
              </w:rPr>
            </w:pPr>
            <w:r w:rsidRPr="00D9348B">
              <w:rPr>
                <w:rFonts w:cs="Calibri"/>
                <w:szCs w:val="16"/>
              </w:rPr>
              <w:t>IPCC Tier 1 default parameter (NE)</w:t>
            </w:r>
          </w:p>
        </w:tc>
        <w:tc>
          <w:tcPr>
            <w:tcW w:w="1206" w:type="dxa"/>
            <w:tcBorders>
              <w:top w:val="single" w:sz="4" w:space="0" w:color="365F91"/>
              <w:left w:val="single" w:sz="4" w:space="0" w:color="365F91"/>
              <w:bottom w:val="single" w:sz="4" w:space="0" w:color="365F91"/>
              <w:right w:val="single" w:sz="4" w:space="0" w:color="365F91"/>
            </w:tcBorders>
          </w:tcPr>
          <w:p w14:paraId="1C213439" w14:textId="77777777" w:rsidR="00A10636" w:rsidRPr="00D9348B" w:rsidRDefault="00A10636" w:rsidP="00DB330E">
            <w:pPr>
              <w:pStyle w:val="TableText"/>
              <w:rPr>
                <w:rFonts w:cs="Calibri"/>
                <w:szCs w:val="16"/>
              </w:rPr>
            </w:pPr>
            <w:r w:rsidRPr="00D9348B">
              <w:rPr>
                <w:rFonts w:cs="Calibri"/>
                <w:szCs w:val="16"/>
              </w:rPr>
              <w:t>Tier 2, country-specific data and model</w:t>
            </w:r>
          </w:p>
        </w:tc>
        <w:tc>
          <w:tcPr>
            <w:tcW w:w="1213" w:type="dxa"/>
            <w:tcBorders>
              <w:top w:val="single" w:sz="4" w:space="0" w:color="365F91"/>
              <w:left w:val="single" w:sz="4" w:space="0" w:color="365F91"/>
              <w:bottom w:val="single" w:sz="4" w:space="0" w:color="365F91"/>
              <w:right w:val="nil"/>
            </w:tcBorders>
          </w:tcPr>
          <w:p w14:paraId="40DD3896" w14:textId="77777777" w:rsidR="00A10636" w:rsidRPr="00D9348B" w:rsidRDefault="00A10636" w:rsidP="00DB330E">
            <w:pPr>
              <w:pStyle w:val="TableText"/>
              <w:rPr>
                <w:rFonts w:cs="Calibri"/>
                <w:szCs w:val="16"/>
              </w:rPr>
            </w:pPr>
            <w:r w:rsidRPr="00D9348B">
              <w:rPr>
                <w:rFonts w:cs="Calibri"/>
                <w:szCs w:val="16"/>
              </w:rPr>
              <w:t>Not estimated</w:t>
            </w:r>
          </w:p>
        </w:tc>
      </w:tr>
      <w:tr w:rsidR="00A10636" w:rsidRPr="00D9348B" w14:paraId="27F3A285" w14:textId="77777777" w:rsidTr="00445A02">
        <w:tc>
          <w:tcPr>
            <w:tcW w:w="426" w:type="dxa"/>
            <w:vMerge/>
            <w:tcBorders>
              <w:top w:val="single" w:sz="4" w:space="0" w:color="365F91"/>
              <w:left w:val="nil"/>
              <w:bottom w:val="single" w:sz="4" w:space="0" w:color="365F91"/>
              <w:right w:val="single" w:sz="4" w:space="0" w:color="365F91"/>
            </w:tcBorders>
          </w:tcPr>
          <w:p w14:paraId="3DFFC416" w14:textId="77777777" w:rsidR="00A10636" w:rsidRPr="00D9348B" w:rsidRDefault="00A10636" w:rsidP="00DB330E">
            <w:pPr>
              <w:rPr>
                <w:rFonts w:cs="Calibri"/>
                <w:sz w:val="16"/>
                <w:szCs w:val="16"/>
              </w:rPr>
            </w:pPr>
          </w:p>
        </w:tc>
        <w:tc>
          <w:tcPr>
            <w:tcW w:w="1350" w:type="dxa"/>
            <w:tcBorders>
              <w:top w:val="single" w:sz="4" w:space="0" w:color="365F91"/>
              <w:left w:val="single" w:sz="4" w:space="0" w:color="365F91"/>
              <w:bottom w:val="single" w:sz="4" w:space="0" w:color="365F91"/>
              <w:right w:val="single" w:sz="4" w:space="0" w:color="365F91"/>
            </w:tcBorders>
          </w:tcPr>
          <w:p w14:paraId="18124B26" w14:textId="77777777" w:rsidR="00A10636" w:rsidRPr="00D9348B" w:rsidRDefault="00A10636" w:rsidP="00DB330E">
            <w:pPr>
              <w:pStyle w:val="TableText"/>
              <w:rPr>
                <w:rFonts w:cs="Calibri"/>
                <w:szCs w:val="16"/>
              </w:rPr>
            </w:pPr>
            <w:r w:rsidRPr="00D9348B">
              <w:rPr>
                <w:rFonts w:cs="Calibri"/>
                <w:szCs w:val="16"/>
              </w:rPr>
              <w:t>Other land</w:t>
            </w:r>
          </w:p>
        </w:tc>
        <w:tc>
          <w:tcPr>
            <w:tcW w:w="4310" w:type="dxa"/>
            <w:gridSpan w:val="6"/>
            <w:tcBorders>
              <w:top w:val="single" w:sz="4" w:space="0" w:color="365F91"/>
              <w:left w:val="single" w:sz="4" w:space="0" w:color="365F91"/>
              <w:bottom w:val="single" w:sz="4" w:space="0" w:color="365F91"/>
              <w:right w:val="single" w:sz="4" w:space="0" w:color="365F91"/>
            </w:tcBorders>
          </w:tcPr>
          <w:p w14:paraId="10D9C268" w14:textId="77777777" w:rsidR="00A10636" w:rsidRPr="00D9348B" w:rsidRDefault="00A10636" w:rsidP="00DB330E">
            <w:pPr>
              <w:pStyle w:val="TableText"/>
              <w:rPr>
                <w:rFonts w:cs="Calibri"/>
                <w:szCs w:val="16"/>
              </w:rPr>
            </w:pPr>
            <w:r w:rsidRPr="00D9348B">
              <w:rPr>
                <w:rFonts w:cs="Calibri"/>
                <w:szCs w:val="16"/>
              </w:rPr>
              <w:t>IPCC Tier 1 default parameter (NE)</w:t>
            </w:r>
          </w:p>
        </w:tc>
        <w:tc>
          <w:tcPr>
            <w:tcW w:w="1206" w:type="dxa"/>
            <w:tcBorders>
              <w:top w:val="single" w:sz="4" w:space="0" w:color="365F91"/>
              <w:left w:val="single" w:sz="4" w:space="0" w:color="365F91"/>
              <w:bottom w:val="single" w:sz="4" w:space="0" w:color="365F91"/>
              <w:right w:val="single" w:sz="4" w:space="0" w:color="365F91"/>
            </w:tcBorders>
          </w:tcPr>
          <w:p w14:paraId="0D03BBD8" w14:textId="77777777" w:rsidR="00A10636" w:rsidRPr="00D9348B" w:rsidRDefault="00A10636" w:rsidP="00DB330E">
            <w:pPr>
              <w:pStyle w:val="TableText"/>
              <w:rPr>
                <w:rFonts w:cs="Calibri"/>
                <w:szCs w:val="16"/>
              </w:rPr>
            </w:pPr>
            <w:r w:rsidRPr="00D9348B">
              <w:rPr>
                <w:rFonts w:cs="Calibri"/>
                <w:szCs w:val="16"/>
              </w:rPr>
              <w:t>Tier 2, country-specific data and model</w:t>
            </w:r>
          </w:p>
        </w:tc>
        <w:tc>
          <w:tcPr>
            <w:tcW w:w="1213" w:type="dxa"/>
            <w:tcBorders>
              <w:top w:val="single" w:sz="4" w:space="0" w:color="365F91"/>
              <w:left w:val="single" w:sz="4" w:space="0" w:color="365F91"/>
              <w:bottom w:val="single" w:sz="4" w:space="0" w:color="365F91"/>
              <w:right w:val="nil"/>
            </w:tcBorders>
          </w:tcPr>
          <w:p w14:paraId="6349F973" w14:textId="77777777" w:rsidR="00A10636" w:rsidRPr="00D9348B" w:rsidRDefault="00A10636" w:rsidP="00DB330E">
            <w:pPr>
              <w:pStyle w:val="TableText"/>
              <w:rPr>
                <w:rFonts w:cs="Calibri"/>
                <w:szCs w:val="16"/>
              </w:rPr>
            </w:pPr>
            <w:r w:rsidRPr="00D9348B">
              <w:rPr>
                <w:rFonts w:cs="Calibri"/>
                <w:szCs w:val="16"/>
              </w:rPr>
              <w:t xml:space="preserve">Not estimated </w:t>
            </w:r>
          </w:p>
        </w:tc>
      </w:tr>
    </w:tbl>
    <w:p w14:paraId="48AE97D1" w14:textId="77777777" w:rsidR="00A10636" w:rsidRPr="00D9348B" w:rsidRDefault="00A10636" w:rsidP="00A10636">
      <w:pPr>
        <w:pStyle w:val="Noteundertable"/>
      </w:pPr>
      <w:r w:rsidRPr="00D9348B">
        <w:rPr>
          <w:b/>
        </w:rPr>
        <w:t>Note:</w:t>
      </w:r>
      <w:r w:rsidRPr="00D9348B">
        <w:tab/>
        <w:t xml:space="preserve">AR = afforestation/reforestation; D = deforestation; LUCAS = Land Use Carbon Analysis System; NE = not estimated. See the methodology sections for an explanation of soil carbon calculations (section 6.3) and forest models, C_Change and Forest Carbon Predictor (section 6.4.2). </w:t>
      </w:r>
    </w:p>
    <w:p w14:paraId="6D02FC0C" w14:textId="77777777" w:rsidR="00A10636" w:rsidRPr="00D9348B" w:rsidRDefault="00A10636" w:rsidP="00A10636">
      <w:pPr>
        <w:pStyle w:val="Heading5"/>
      </w:pPr>
      <w:bookmarkStart w:id="1218" w:name="_Toc255466296"/>
      <w:bookmarkStart w:id="1219" w:name="_Toc261513103"/>
      <w:bookmarkStart w:id="1220" w:name="_Toc261513716"/>
      <w:bookmarkStart w:id="1221" w:name="_Toc280630207"/>
      <w:r w:rsidRPr="00D9348B">
        <w:t>Pre-1990 natural forest</w:t>
      </w:r>
    </w:p>
    <w:p w14:paraId="268C515F" w14:textId="77777777" w:rsidR="00A10636" w:rsidRPr="00D9348B" w:rsidRDefault="00A10636" w:rsidP="00A10636">
      <w:pPr>
        <w:pStyle w:val="BodyText"/>
      </w:pPr>
      <w:r w:rsidRPr="00D9348B">
        <w:t xml:space="preserve">As described in table 6.1.3, the methods for calculating emissions from </w:t>
      </w:r>
      <w:r w:rsidRPr="00D9348B">
        <w:rPr>
          <w:i/>
        </w:rPr>
        <w:t>Forest land</w:t>
      </w:r>
      <w:r w:rsidRPr="00D9348B">
        <w:t xml:space="preserve"> biomass differ from those that apply a single reference carbon stock value. </w:t>
      </w:r>
    </w:p>
    <w:p w14:paraId="701A6A79" w14:textId="77777777" w:rsidR="00A10636" w:rsidRPr="00D9348B" w:rsidRDefault="00A10636" w:rsidP="00A10636">
      <w:pPr>
        <w:pStyle w:val="BodyText"/>
        <w:spacing w:before="100" w:after="100"/>
      </w:pPr>
      <w:r w:rsidRPr="00D9348B">
        <w:t>Estimates of deforestation emissions for pre-1990 natural forest are based on the type of vegetation deforested (tall forest or regenerating). The area of pre-1990 natural forest deforestation is sub-classified as tall forest or regenerating using spatial data on land cover, sourced from the national land cover database (LCDB).</w:t>
      </w:r>
    </w:p>
    <w:p w14:paraId="4073904E" w14:textId="77777777" w:rsidR="00A10636" w:rsidRPr="00D9348B" w:rsidRDefault="00A10636" w:rsidP="00A10636">
      <w:pPr>
        <w:pStyle w:val="BodyText"/>
        <w:spacing w:before="100" w:after="100"/>
      </w:pPr>
      <w:r w:rsidRPr="00D9348B">
        <w:lastRenderedPageBreak/>
        <w:t xml:space="preserve">Tall forest deforestation emissions are determined from the average carbon stock per hectare in biomass for tall forests. Regenerating forest deforestation emissions are determined from the average carbon stock per hectare in biomass for regenerating forests. All carbon in biomass, for both tall and regenerating forest, is assumed to be an instantaneous emission at the time of deforestation (see the Deforestation section in 6.4, for further information on this assumption). </w:t>
      </w:r>
    </w:p>
    <w:p w14:paraId="2C73CCFD" w14:textId="77777777" w:rsidR="00A10636" w:rsidRPr="00D9348B" w:rsidRDefault="00A10636" w:rsidP="00A10636">
      <w:pPr>
        <w:pStyle w:val="BodyText"/>
        <w:spacing w:before="100" w:after="100"/>
      </w:pPr>
      <w:r w:rsidRPr="00D9348B">
        <w:t>Table 6.1.6 shows the areas of pre-1990 natural forest deforestation split by these two types (tall forest and regenerating).</w:t>
      </w:r>
    </w:p>
    <w:p w14:paraId="718BD8C7" w14:textId="77777777" w:rsidR="00A10636" w:rsidRPr="00D9348B" w:rsidRDefault="00A10636" w:rsidP="00A10636">
      <w:pPr>
        <w:pStyle w:val="Table"/>
        <w:spacing w:before="100" w:after="100"/>
      </w:pPr>
      <w:bookmarkStart w:id="1222" w:name="_Toc310423443"/>
      <w:bookmarkStart w:id="1223" w:name="_Toc318362736"/>
      <w:bookmarkStart w:id="1224" w:name="_Toc342470815"/>
      <w:bookmarkStart w:id="1225" w:name="_Toc352505068"/>
      <w:bookmarkStart w:id="1226" w:name="_Toc377043704"/>
      <w:bookmarkStart w:id="1227" w:name="_Toc391023556"/>
      <w:bookmarkStart w:id="1228" w:name="_Toc414531530"/>
      <w:bookmarkStart w:id="1229" w:name="_Toc443645358"/>
      <w:bookmarkStart w:id="1230" w:name="_Toc474914577"/>
      <w:bookmarkStart w:id="1231" w:name="_Toc481751541"/>
      <w:bookmarkStart w:id="1232" w:name="_Toc522010598"/>
      <w:bookmarkStart w:id="1233" w:name="_Toc5269503"/>
      <w:bookmarkStart w:id="1234" w:name="_Toc33529379"/>
      <w:bookmarkStart w:id="1235" w:name="_Toc36224585"/>
      <w:r w:rsidRPr="00D9348B">
        <w:t>Table 6.1.6</w:t>
      </w:r>
      <w:r w:rsidRPr="00D9348B">
        <w:tab/>
        <w:t>New Zealand’s areas of pre-1990 natural forest deforestation estimated by type</w:t>
      </w:r>
      <w:bookmarkEnd w:id="1222"/>
      <w:bookmarkEnd w:id="1223"/>
      <w:bookmarkEnd w:id="1224"/>
      <w:bookmarkEnd w:id="1225"/>
      <w:bookmarkEnd w:id="1226"/>
      <w:bookmarkEnd w:id="1227"/>
      <w:bookmarkEnd w:id="1228"/>
      <w:bookmarkEnd w:id="1229"/>
      <w:bookmarkEnd w:id="1230"/>
      <w:bookmarkEnd w:id="1231"/>
      <w:r w:rsidRPr="00D9348B">
        <w:t xml:space="preserve"> </w:t>
      </w:r>
      <w:r w:rsidRPr="00D9348B">
        <w:br/>
        <w:t>from 1990 to 201</w:t>
      </w:r>
      <w:bookmarkEnd w:id="1232"/>
      <w:bookmarkEnd w:id="1233"/>
      <w:r w:rsidRPr="00D9348B">
        <w:t>8</w:t>
      </w:r>
      <w:bookmarkEnd w:id="1234"/>
      <w:bookmarkEnd w:id="1235"/>
    </w:p>
    <w:tbl>
      <w:tblPr>
        <w:tblW w:w="8562" w:type="dxa"/>
        <w:tblInd w:w="108" w:type="dxa"/>
        <w:tblLayout w:type="fixed"/>
        <w:tblCellMar>
          <w:left w:w="57" w:type="dxa"/>
          <w:right w:w="57" w:type="dxa"/>
        </w:tblCellMar>
        <w:tblLook w:val="04A0" w:firstRow="1" w:lastRow="0" w:firstColumn="1" w:lastColumn="0" w:noHBand="0" w:noVBand="1"/>
      </w:tblPr>
      <w:tblGrid>
        <w:gridCol w:w="1524"/>
        <w:gridCol w:w="1098"/>
        <w:gridCol w:w="822"/>
        <w:gridCol w:w="863"/>
        <w:gridCol w:w="828"/>
        <w:gridCol w:w="830"/>
        <w:gridCol w:w="830"/>
        <w:gridCol w:w="830"/>
        <w:gridCol w:w="937"/>
      </w:tblGrid>
      <w:tr w:rsidR="00A10636" w:rsidRPr="00D9348B" w14:paraId="0D40575E" w14:textId="77777777" w:rsidTr="00445A02">
        <w:trPr>
          <w:tblHeader/>
        </w:trPr>
        <w:tc>
          <w:tcPr>
            <w:tcW w:w="1503" w:type="dxa"/>
            <w:tcBorders>
              <w:top w:val="single" w:sz="4" w:space="0" w:color="365F91"/>
              <w:bottom w:val="single" w:sz="4" w:space="0" w:color="365F91"/>
            </w:tcBorders>
            <w:shd w:val="clear" w:color="auto" w:fill="365F91"/>
          </w:tcPr>
          <w:p w14:paraId="1D084674" w14:textId="77777777" w:rsidR="00A10636" w:rsidRPr="00D9348B" w:rsidRDefault="00A10636" w:rsidP="00DB330E">
            <w:pPr>
              <w:pStyle w:val="TableTextBold"/>
              <w:spacing w:before="40" w:after="0"/>
              <w:rPr>
                <w:rFonts w:cs="Arial"/>
                <w:noProof w:val="0"/>
                <w:color w:val="FFFFFF"/>
                <w:szCs w:val="16"/>
              </w:rPr>
            </w:pPr>
          </w:p>
        </w:tc>
        <w:tc>
          <w:tcPr>
            <w:tcW w:w="6945" w:type="dxa"/>
            <w:gridSpan w:val="8"/>
            <w:tcBorders>
              <w:top w:val="single" w:sz="4" w:space="0" w:color="365F91"/>
              <w:bottom w:val="single" w:sz="4" w:space="0" w:color="365F91"/>
            </w:tcBorders>
            <w:shd w:val="clear" w:color="auto" w:fill="365F91"/>
            <w:vAlign w:val="bottom"/>
          </w:tcPr>
          <w:p w14:paraId="618382DE" w14:textId="77777777" w:rsidR="00A10636" w:rsidRPr="00D9348B" w:rsidRDefault="00A10636" w:rsidP="00DB330E">
            <w:pPr>
              <w:pStyle w:val="TableTextBold"/>
              <w:spacing w:before="40" w:after="0"/>
              <w:jc w:val="center"/>
              <w:rPr>
                <w:rFonts w:cs="Arial"/>
                <w:bCs/>
                <w:noProof w:val="0"/>
                <w:color w:val="FFFFFF"/>
                <w:szCs w:val="16"/>
              </w:rPr>
            </w:pPr>
            <w:r w:rsidRPr="00D9348B">
              <w:rPr>
                <w:rFonts w:cs="Arial"/>
                <w:bCs/>
                <w:noProof w:val="0"/>
                <w:color w:val="FFFFFF"/>
                <w:szCs w:val="16"/>
              </w:rPr>
              <w:t>Area of natural forest deforestation (ha)</w:t>
            </w:r>
          </w:p>
        </w:tc>
      </w:tr>
      <w:tr w:rsidR="00A10636" w:rsidRPr="00D9348B" w14:paraId="26C8BD0B" w14:textId="77777777" w:rsidTr="00445A02">
        <w:trPr>
          <w:tblHeader/>
        </w:trPr>
        <w:tc>
          <w:tcPr>
            <w:tcW w:w="1503" w:type="dxa"/>
            <w:tcBorders>
              <w:top w:val="single" w:sz="4" w:space="0" w:color="365F91"/>
              <w:bottom w:val="single" w:sz="4" w:space="0" w:color="365F91"/>
            </w:tcBorders>
            <w:shd w:val="clear" w:color="auto" w:fill="365F91"/>
            <w:vAlign w:val="bottom"/>
          </w:tcPr>
          <w:p w14:paraId="78646705" w14:textId="77777777" w:rsidR="00A10636" w:rsidRPr="00D9348B" w:rsidRDefault="00A10636" w:rsidP="00DB330E">
            <w:pPr>
              <w:pStyle w:val="TableTextBold"/>
              <w:spacing w:before="40" w:after="40"/>
              <w:rPr>
                <w:rFonts w:cs="Arial"/>
                <w:noProof w:val="0"/>
                <w:color w:val="FFFFFF"/>
                <w:szCs w:val="16"/>
              </w:rPr>
            </w:pPr>
            <w:r w:rsidRPr="00D9348B">
              <w:rPr>
                <w:rFonts w:cs="Arial"/>
                <w:noProof w:val="0"/>
                <w:color w:val="FFFFFF"/>
                <w:szCs w:val="16"/>
              </w:rPr>
              <w:t>Natural forest type</w:t>
            </w:r>
          </w:p>
        </w:tc>
        <w:tc>
          <w:tcPr>
            <w:tcW w:w="1083" w:type="dxa"/>
            <w:tcBorders>
              <w:top w:val="single" w:sz="4" w:space="0" w:color="365F91"/>
              <w:bottom w:val="single" w:sz="4" w:space="0" w:color="365F91"/>
            </w:tcBorders>
            <w:shd w:val="clear" w:color="auto" w:fill="365F91"/>
            <w:vAlign w:val="bottom"/>
          </w:tcPr>
          <w:p w14:paraId="3ED11BA9" w14:textId="77777777" w:rsidR="00A10636" w:rsidRPr="00D9348B" w:rsidRDefault="00A10636" w:rsidP="00DB330E">
            <w:pPr>
              <w:pStyle w:val="TableTextBold"/>
              <w:spacing w:before="40" w:after="40"/>
              <w:jc w:val="center"/>
              <w:rPr>
                <w:rFonts w:cs="Arial"/>
                <w:noProof w:val="0"/>
                <w:color w:val="FFFFFF"/>
                <w:szCs w:val="16"/>
              </w:rPr>
            </w:pPr>
            <w:r w:rsidRPr="00D9348B">
              <w:rPr>
                <w:rFonts w:cs="Arial"/>
                <w:noProof w:val="0"/>
                <w:color w:val="FFFFFF"/>
                <w:szCs w:val="16"/>
              </w:rPr>
              <w:t>1990–2007</w:t>
            </w:r>
          </w:p>
        </w:tc>
        <w:tc>
          <w:tcPr>
            <w:tcW w:w="811" w:type="dxa"/>
            <w:tcBorders>
              <w:top w:val="single" w:sz="4" w:space="0" w:color="365F91"/>
              <w:bottom w:val="single" w:sz="4" w:space="0" w:color="365F91"/>
            </w:tcBorders>
            <w:shd w:val="clear" w:color="auto" w:fill="365F91"/>
            <w:vAlign w:val="bottom"/>
          </w:tcPr>
          <w:p w14:paraId="771EEB26" w14:textId="77777777" w:rsidR="00A10636" w:rsidRPr="00D9348B" w:rsidRDefault="00A10636" w:rsidP="00DB330E">
            <w:pPr>
              <w:pStyle w:val="TableTextBold"/>
              <w:spacing w:before="40" w:after="40"/>
              <w:jc w:val="center"/>
              <w:rPr>
                <w:rFonts w:cs="Arial"/>
                <w:noProof w:val="0"/>
                <w:color w:val="FFFFFF"/>
                <w:szCs w:val="16"/>
              </w:rPr>
            </w:pPr>
            <w:r w:rsidRPr="00D9348B">
              <w:rPr>
                <w:rFonts w:cs="Arial"/>
                <w:noProof w:val="0"/>
                <w:color w:val="FFFFFF"/>
                <w:szCs w:val="16"/>
              </w:rPr>
              <w:t>2008–12</w:t>
            </w:r>
          </w:p>
        </w:tc>
        <w:tc>
          <w:tcPr>
            <w:tcW w:w="852" w:type="dxa"/>
            <w:tcBorders>
              <w:top w:val="single" w:sz="4" w:space="0" w:color="365F91"/>
              <w:bottom w:val="single" w:sz="4" w:space="0" w:color="365F91"/>
            </w:tcBorders>
            <w:shd w:val="clear" w:color="auto" w:fill="365F91"/>
            <w:vAlign w:val="bottom"/>
          </w:tcPr>
          <w:p w14:paraId="782FF8F4" w14:textId="77777777" w:rsidR="00A10636" w:rsidRPr="00D9348B" w:rsidRDefault="00A10636" w:rsidP="00DB330E">
            <w:pPr>
              <w:pStyle w:val="TableTextBold"/>
              <w:spacing w:before="40" w:after="40"/>
              <w:jc w:val="center"/>
              <w:rPr>
                <w:rFonts w:cs="Arial"/>
                <w:noProof w:val="0"/>
                <w:color w:val="FFFFFF"/>
                <w:szCs w:val="16"/>
              </w:rPr>
            </w:pPr>
            <w:r w:rsidRPr="00D9348B">
              <w:rPr>
                <w:rFonts w:cs="Arial"/>
                <w:noProof w:val="0"/>
                <w:color w:val="FFFFFF"/>
                <w:szCs w:val="16"/>
              </w:rPr>
              <w:t>2013</w:t>
            </w:r>
          </w:p>
        </w:tc>
        <w:tc>
          <w:tcPr>
            <w:tcW w:w="817" w:type="dxa"/>
            <w:tcBorders>
              <w:top w:val="single" w:sz="4" w:space="0" w:color="365F91"/>
              <w:bottom w:val="single" w:sz="4" w:space="0" w:color="365F91"/>
            </w:tcBorders>
            <w:shd w:val="clear" w:color="auto" w:fill="365F91"/>
            <w:vAlign w:val="bottom"/>
          </w:tcPr>
          <w:p w14:paraId="636E950F" w14:textId="77777777" w:rsidR="00A10636" w:rsidRPr="00D9348B" w:rsidRDefault="00A10636" w:rsidP="00DB330E">
            <w:pPr>
              <w:pStyle w:val="TableTextBold"/>
              <w:spacing w:before="40" w:after="40"/>
              <w:jc w:val="center"/>
              <w:rPr>
                <w:rFonts w:cs="Arial"/>
                <w:noProof w:val="0"/>
                <w:color w:val="FFFFFF"/>
                <w:szCs w:val="16"/>
              </w:rPr>
            </w:pPr>
            <w:r w:rsidRPr="00D9348B">
              <w:rPr>
                <w:rFonts w:cs="Arial"/>
                <w:noProof w:val="0"/>
                <w:color w:val="FFFFFF"/>
                <w:szCs w:val="16"/>
              </w:rPr>
              <w:t>2014</w:t>
            </w:r>
          </w:p>
        </w:tc>
        <w:tc>
          <w:tcPr>
            <w:tcW w:w="819" w:type="dxa"/>
            <w:tcBorders>
              <w:top w:val="single" w:sz="4" w:space="0" w:color="365F91"/>
              <w:bottom w:val="single" w:sz="4" w:space="0" w:color="365F91"/>
            </w:tcBorders>
            <w:shd w:val="clear" w:color="auto" w:fill="365F91"/>
            <w:vAlign w:val="bottom"/>
          </w:tcPr>
          <w:p w14:paraId="24595A5C" w14:textId="77777777" w:rsidR="00A10636" w:rsidRPr="00D9348B" w:rsidRDefault="00A10636" w:rsidP="00DB330E">
            <w:pPr>
              <w:pStyle w:val="TableTextBold"/>
              <w:spacing w:before="40" w:after="40"/>
              <w:jc w:val="center"/>
              <w:rPr>
                <w:rFonts w:cs="Arial"/>
                <w:noProof w:val="0"/>
                <w:color w:val="FFFFFF"/>
                <w:szCs w:val="16"/>
              </w:rPr>
            </w:pPr>
            <w:r w:rsidRPr="00D9348B">
              <w:rPr>
                <w:rFonts w:cs="Arial"/>
                <w:noProof w:val="0"/>
                <w:color w:val="FFFFFF"/>
                <w:szCs w:val="16"/>
              </w:rPr>
              <w:t>2015</w:t>
            </w:r>
          </w:p>
        </w:tc>
        <w:tc>
          <w:tcPr>
            <w:tcW w:w="819" w:type="dxa"/>
            <w:tcBorders>
              <w:top w:val="single" w:sz="4" w:space="0" w:color="365F91"/>
              <w:bottom w:val="single" w:sz="4" w:space="0" w:color="365F91"/>
            </w:tcBorders>
            <w:shd w:val="clear" w:color="auto" w:fill="365F91"/>
            <w:vAlign w:val="bottom"/>
          </w:tcPr>
          <w:p w14:paraId="12EC4335" w14:textId="77777777" w:rsidR="00A10636" w:rsidRPr="00D9348B" w:rsidRDefault="00A10636" w:rsidP="00DB330E">
            <w:pPr>
              <w:pStyle w:val="TableTextBold"/>
              <w:spacing w:before="40" w:after="40"/>
              <w:jc w:val="center"/>
              <w:rPr>
                <w:rFonts w:cs="Arial"/>
                <w:noProof w:val="0"/>
                <w:color w:val="FFFFFF"/>
                <w:szCs w:val="16"/>
              </w:rPr>
            </w:pPr>
            <w:r w:rsidRPr="00D9348B">
              <w:rPr>
                <w:rFonts w:cs="Arial"/>
                <w:noProof w:val="0"/>
                <w:color w:val="FFFFFF"/>
                <w:szCs w:val="16"/>
              </w:rPr>
              <w:t>2016</w:t>
            </w:r>
          </w:p>
        </w:tc>
        <w:tc>
          <w:tcPr>
            <w:tcW w:w="819" w:type="dxa"/>
            <w:tcBorders>
              <w:top w:val="single" w:sz="4" w:space="0" w:color="365F91"/>
              <w:bottom w:val="single" w:sz="4" w:space="0" w:color="365F91"/>
            </w:tcBorders>
            <w:shd w:val="clear" w:color="auto" w:fill="365F91"/>
            <w:vAlign w:val="bottom"/>
          </w:tcPr>
          <w:p w14:paraId="0CDAFC2F" w14:textId="77777777" w:rsidR="00A10636" w:rsidRPr="00D9348B" w:rsidRDefault="00A10636" w:rsidP="00DB330E">
            <w:pPr>
              <w:pStyle w:val="TableTextBold"/>
              <w:spacing w:before="40" w:after="40"/>
              <w:jc w:val="center"/>
              <w:rPr>
                <w:rFonts w:cs="Arial"/>
                <w:noProof w:val="0"/>
                <w:color w:val="FFFFFF"/>
                <w:szCs w:val="16"/>
              </w:rPr>
            </w:pPr>
            <w:r w:rsidRPr="00D9348B">
              <w:rPr>
                <w:rFonts w:cs="Arial"/>
                <w:noProof w:val="0"/>
                <w:color w:val="FFFFFF"/>
                <w:szCs w:val="16"/>
              </w:rPr>
              <w:t>2017</w:t>
            </w:r>
          </w:p>
        </w:tc>
        <w:tc>
          <w:tcPr>
            <w:tcW w:w="925" w:type="dxa"/>
            <w:tcBorders>
              <w:top w:val="single" w:sz="4" w:space="0" w:color="365F91"/>
              <w:bottom w:val="single" w:sz="4" w:space="0" w:color="365F91"/>
            </w:tcBorders>
            <w:shd w:val="clear" w:color="auto" w:fill="365F91"/>
            <w:vAlign w:val="bottom"/>
          </w:tcPr>
          <w:p w14:paraId="480945D4" w14:textId="77777777" w:rsidR="00A10636" w:rsidRPr="00D9348B" w:rsidRDefault="00A10636" w:rsidP="00DB330E">
            <w:pPr>
              <w:pStyle w:val="TableTextBold"/>
              <w:spacing w:before="40" w:after="40"/>
              <w:jc w:val="center"/>
              <w:rPr>
                <w:rFonts w:cs="Arial"/>
                <w:noProof w:val="0"/>
                <w:color w:val="FFFFFF"/>
                <w:szCs w:val="16"/>
              </w:rPr>
            </w:pPr>
            <w:r w:rsidRPr="00D9348B">
              <w:rPr>
                <w:rFonts w:cs="Arial"/>
                <w:noProof w:val="0"/>
                <w:color w:val="FFFFFF"/>
                <w:szCs w:val="16"/>
              </w:rPr>
              <w:t>2018</w:t>
            </w:r>
          </w:p>
        </w:tc>
      </w:tr>
      <w:tr w:rsidR="00A10636" w:rsidRPr="00D9348B" w14:paraId="7FDDCB11" w14:textId="77777777" w:rsidTr="00445A02">
        <w:tc>
          <w:tcPr>
            <w:tcW w:w="1503" w:type="dxa"/>
            <w:tcBorders>
              <w:top w:val="single" w:sz="4" w:space="0" w:color="365F91"/>
              <w:bottom w:val="single" w:sz="4" w:space="0" w:color="365F91"/>
            </w:tcBorders>
          </w:tcPr>
          <w:p w14:paraId="7E091F77" w14:textId="77777777" w:rsidR="00A10636" w:rsidRPr="00D9348B" w:rsidRDefault="00A10636" w:rsidP="00DB330E">
            <w:pPr>
              <w:pStyle w:val="TableText"/>
              <w:spacing w:before="40" w:after="40"/>
              <w:rPr>
                <w:rFonts w:cs="Arial"/>
                <w:szCs w:val="16"/>
              </w:rPr>
            </w:pPr>
            <w:r w:rsidRPr="00D9348B">
              <w:rPr>
                <w:rFonts w:cs="Arial"/>
                <w:szCs w:val="16"/>
              </w:rPr>
              <w:t xml:space="preserve">Tall forest </w:t>
            </w:r>
          </w:p>
        </w:tc>
        <w:tc>
          <w:tcPr>
            <w:tcW w:w="1083" w:type="dxa"/>
            <w:tcBorders>
              <w:top w:val="single" w:sz="4" w:space="0" w:color="365F91"/>
              <w:bottom w:val="single" w:sz="4" w:space="0" w:color="365F91"/>
            </w:tcBorders>
          </w:tcPr>
          <w:p w14:paraId="3F091B95" w14:textId="77777777" w:rsidR="00A10636" w:rsidRPr="00D9348B" w:rsidRDefault="00A10636" w:rsidP="00DB330E">
            <w:pPr>
              <w:pStyle w:val="TableText"/>
              <w:spacing w:before="40" w:after="40"/>
              <w:jc w:val="center"/>
              <w:rPr>
                <w:rFonts w:cs="Arial"/>
                <w:szCs w:val="16"/>
              </w:rPr>
            </w:pPr>
            <w:r w:rsidRPr="00D9348B">
              <w:rPr>
                <w:szCs w:val="16"/>
              </w:rPr>
              <w:t>9,024</w:t>
            </w:r>
          </w:p>
        </w:tc>
        <w:tc>
          <w:tcPr>
            <w:tcW w:w="811" w:type="dxa"/>
            <w:tcBorders>
              <w:top w:val="single" w:sz="4" w:space="0" w:color="365F91"/>
              <w:bottom w:val="single" w:sz="4" w:space="0" w:color="365F91"/>
            </w:tcBorders>
          </w:tcPr>
          <w:p w14:paraId="5B73E6A3" w14:textId="77777777" w:rsidR="00A10636" w:rsidRPr="00D9348B" w:rsidRDefault="00A10636" w:rsidP="00DB330E">
            <w:pPr>
              <w:pStyle w:val="TableText"/>
              <w:spacing w:before="40" w:after="40"/>
              <w:jc w:val="center"/>
              <w:rPr>
                <w:rFonts w:cs="Arial"/>
                <w:szCs w:val="16"/>
              </w:rPr>
            </w:pPr>
            <w:r w:rsidRPr="00D9348B">
              <w:rPr>
                <w:szCs w:val="16"/>
              </w:rPr>
              <w:t>2,488</w:t>
            </w:r>
          </w:p>
        </w:tc>
        <w:tc>
          <w:tcPr>
            <w:tcW w:w="852" w:type="dxa"/>
            <w:tcBorders>
              <w:top w:val="single" w:sz="4" w:space="0" w:color="365F91"/>
              <w:bottom w:val="single" w:sz="4" w:space="0" w:color="365F91"/>
            </w:tcBorders>
          </w:tcPr>
          <w:p w14:paraId="0863EE4F" w14:textId="77777777" w:rsidR="00A10636" w:rsidRPr="00D9348B" w:rsidRDefault="00A10636" w:rsidP="00DB330E">
            <w:pPr>
              <w:pStyle w:val="TableText"/>
              <w:spacing w:before="40" w:after="40"/>
              <w:jc w:val="center"/>
              <w:rPr>
                <w:rFonts w:cs="Arial"/>
                <w:szCs w:val="16"/>
              </w:rPr>
            </w:pPr>
            <w:r w:rsidRPr="00D9348B">
              <w:rPr>
                <w:szCs w:val="16"/>
              </w:rPr>
              <w:t>405</w:t>
            </w:r>
          </w:p>
        </w:tc>
        <w:tc>
          <w:tcPr>
            <w:tcW w:w="817" w:type="dxa"/>
            <w:tcBorders>
              <w:top w:val="single" w:sz="4" w:space="0" w:color="365F91"/>
              <w:bottom w:val="single" w:sz="4" w:space="0" w:color="365F91"/>
            </w:tcBorders>
          </w:tcPr>
          <w:p w14:paraId="7CBA002C" w14:textId="77777777" w:rsidR="00A10636" w:rsidRPr="00D9348B" w:rsidRDefault="00A10636" w:rsidP="00DB330E">
            <w:pPr>
              <w:pStyle w:val="TableText"/>
              <w:spacing w:before="40" w:after="40"/>
              <w:jc w:val="center"/>
              <w:rPr>
                <w:rFonts w:cs="Arial"/>
                <w:szCs w:val="16"/>
              </w:rPr>
            </w:pPr>
            <w:r w:rsidRPr="00D9348B">
              <w:rPr>
                <w:szCs w:val="16"/>
              </w:rPr>
              <w:t>283</w:t>
            </w:r>
          </w:p>
        </w:tc>
        <w:tc>
          <w:tcPr>
            <w:tcW w:w="819" w:type="dxa"/>
            <w:tcBorders>
              <w:top w:val="single" w:sz="4" w:space="0" w:color="365F91"/>
              <w:bottom w:val="single" w:sz="4" w:space="0" w:color="365F91"/>
            </w:tcBorders>
          </w:tcPr>
          <w:p w14:paraId="06A59006" w14:textId="77777777" w:rsidR="00A10636" w:rsidRPr="00D9348B" w:rsidRDefault="00A10636" w:rsidP="00DB330E">
            <w:pPr>
              <w:pStyle w:val="TableText"/>
              <w:spacing w:before="40" w:after="40"/>
              <w:jc w:val="center"/>
              <w:rPr>
                <w:rFonts w:cs="Arial"/>
                <w:szCs w:val="16"/>
              </w:rPr>
            </w:pPr>
            <w:r w:rsidRPr="00D9348B">
              <w:rPr>
                <w:szCs w:val="16"/>
              </w:rPr>
              <w:t>357</w:t>
            </w:r>
          </w:p>
        </w:tc>
        <w:tc>
          <w:tcPr>
            <w:tcW w:w="819" w:type="dxa"/>
            <w:tcBorders>
              <w:top w:val="single" w:sz="4" w:space="0" w:color="365F91"/>
              <w:bottom w:val="single" w:sz="4" w:space="0" w:color="365F91"/>
            </w:tcBorders>
          </w:tcPr>
          <w:p w14:paraId="1892E95C" w14:textId="77777777" w:rsidR="00A10636" w:rsidRPr="00D9348B" w:rsidRDefault="00A10636" w:rsidP="00DB330E">
            <w:pPr>
              <w:pStyle w:val="TableText"/>
              <w:spacing w:before="40" w:after="40"/>
              <w:jc w:val="center"/>
              <w:rPr>
                <w:rFonts w:cs="Arial"/>
                <w:szCs w:val="16"/>
              </w:rPr>
            </w:pPr>
            <w:r w:rsidRPr="00D9348B">
              <w:rPr>
                <w:szCs w:val="16"/>
              </w:rPr>
              <w:t>259</w:t>
            </w:r>
          </w:p>
        </w:tc>
        <w:tc>
          <w:tcPr>
            <w:tcW w:w="819" w:type="dxa"/>
            <w:tcBorders>
              <w:top w:val="single" w:sz="4" w:space="0" w:color="365F91"/>
              <w:bottom w:val="single" w:sz="4" w:space="0" w:color="365F91"/>
            </w:tcBorders>
          </w:tcPr>
          <w:p w14:paraId="570F2438" w14:textId="77777777" w:rsidR="00A10636" w:rsidRPr="00D9348B" w:rsidRDefault="00A10636" w:rsidP="00DB330E">
            <w:pPr>
              <w:pStyle w:val="TableText"/>
              <w:spacing w:before="40" w:after="40"/>
              <w:jc w:val="center"/>
              <w:rPr>
                <w:rFonts w:cs="Arial"/>
                <w:szCs w:val="16"/>
              </w:rPr>
            </w:pPr>
            <w:r w:rsidRPr="00D9348B">
              <w:rPr>
                <w:szCs w:val="16"/>
              </w:rPr>
              <w:t>367</w:t>
            </w:r>
          </w:p>
        </w:tc>
        <w:tc>
          <w:tcPr>
            <w:tcW w:w="925" w:type="dxa"/>
            <w:tcBorders>
              <w:top w:val="single" w:sz="4" w:space="0" w:color="365F91"/>
              <w:bottom w:val="single" w:sz="4" w:space="0" w:color="365F91"/>
            </w:tcBorders>
          </w:tcPr>
          <w:p w14:paraId="7AED6237" w14:textId="77777777" w:rsidR="00A10636" w:rsidRPr="00D9348B" w:rsidRDefault="00A10636" w:rsidP="00DB330E">
            <w:pPr>
              <w:pStyle w:val="TableText"/>
              <w:spacing w:before="40" w:after="40"/>
              <w:jc w:val="center"/>
              <w:rPr>
                <w:rFonts w:cs="Arial"/>
                <w:szCs w:val="16"/>
              </w:rPr>
            </w:pPr>
            <w:r w:rsidRPr="00D9348B">
              <w:rPr>
                <w:szCs w:val="16"/>
              </w:rPr>
              <w:t>367</w:t>
            </w:r>
          </w:p>
        </w:tc>
      </w:tr>
      <w:tr w:rsidR="00A10636" w:rsidRPr="00D9348B" w14:paraId="6F104DD5" w14:textId="77777777" w:rsidTr="00445A02">
        <w:tc>
          <w:tcPr>
            <w:tcW w:w="1503" w:type="dxa"/>
            <w:tcBorders>
              <w:top w:val="single" w:sz="4" w:space="0" w:color="365F91"/>
              <w:bottom w:val="single" w:sz="4" w:space="0" w:color="365F91"/>
            </w:tcBorders>
          </w:tcPr>
          <w:p w14:paraId="7AC44B60" w14:textId="77777777" w:rsidR="00A10636" w:rsidRPr="00D9348B" w:rsidRDefault="00A10636" w:rsidP="00DB330E">
            <w:pPr>
              <w:pStyle w:val="TableText"/>
              <w:spacing w:before="40" w:after="40"/>
              <w:rPr>
                <w:rFonts w:cs="Arial"/>
                <w:szCs w:val="16"/>
              </w:rPr>
            </w:pPr>
            <w:r w:rsidRPr="00D9348B">
              <w:rPr>
                <w:rFonts w:cs="Arial"/>
                <w:szCs w:val="16"/>
              </w:rPr>
              <w:t>Regenerating</w:t>
            </w:r>
          </w:p>
        </w:tc>
        <w:tc>
          <w:tcPr>
            <w:tcW w:w="1083" w:type="dxa"/>
            <w:tcBorders>
              <w:top w:val="single" w:sz="4" w:space="0" w:color="365F91"/>
              <w:bottom w:val="single" w:sz="4" w:space="0" w:color="365F91"/>
            </w:tcBorders>
          </w:tcPr>
          <w:p w14:paraId="578C99FC" w14:textId="77777777" w:rsidR="00A10636" w:rsidRPr="00D9348B" w:rsidRDefault="00A10636" w:rsidP="00DB330E">
            <w:pPr>
              <w:pStyle w:val="TableText"/>
              <w:spacing w:before="40" w:after="40"/>
              <w:jc w:val="center"/>
              <w:rPr>
                <w:rFonts w:cs="Arial"/>
                <w:szCs w:val="16"/>
              </w:rPr>
            </w:pPr>
            <w:r w:rsidRPr="00D9348B">
              <w:rPr>
                <w:szCs w:val="16"/>
              </w:rPr>
              <w:t>24,929</w:t>
            </w:r>
          </w:p>
        </w:tc>
        <w:tc>
          <w:tcPr>
            <w:tcW w:w="811" w:type="dxa"/>
            <w:tcBorders>
              <w:top w:val="single" w:sz="4" w:space="0" w:color="365F91"/>
              <w:bottom w:val="single" w:sz="4" w:space="0" w:color="365F91"/>
            </w:tcBorders>
          </w:tcPr>
          <w:p w14:paraId="47FC38FB" w14:textId="77777777" w:rsidR="00A10636" w:rsidRPr="00D9348B" w:rsidRDefault="00A10636" w:rsidP="00DB330E">
            <w:pPr>
              <w:pStyle w:val="TableText"/>
              <w:spacing w:before="40" w:after="40"/>
              <w:jc w:val="center"/>
              <w:rPr>
                <w:rFonts w:cs="Arial"/>
                <w:szCs w:val="16"/>
              </w:rPr>
            </w:pPr>
            <w:r w:rsidRPr="00D9348B">
              <w:rPr>
                <w:szCs w:val="16"/>
              </w:rPr>
              <w:t>4,856</w:t>
            </w:r>
          </w:p>
        </w:tc>
        <w:tc>
          <w:tcPr>
            <w:tcW w:w="852" w:type="dxa"/>
            <w:tcBorders>
              <w:top w:val="single" w:sz="4" w:space="0" w:color="365F91"/>
              <w:bottom w:val="single" w:sz="4" w:space="0" w:color="365F91"/>
            </w:tcBorders>
          </w:tcPr>
          <w:p w14:paraId="3222C642" w14:textId="77777777" w:rsidR="00A10636" w:rsidRPr="00D9348B" w:rsidRDefault="00A10636" w:rsidP="00DB330E">
            <w:pPr>
              <w:pStyle w:val="TableText"/>
              <w:spacing w:before="40" w:after="40"/>
              <w:jc w:val="center"/>
              <w:rPr>
                <w:rFonts w:cs="Arial"/>
                <w:szCs w:val="16"/>
              </w:rPr>
            </w:pPr>
            <w:r w:rsidRPr="00D9348B">
              <w:rPr>
                <w:szCs w:val="16"/>
              </w:rPr>
              <w:t>715</w:t>
            </w:r>
          </w:p>
        </w:tc>
        <w:tc>
          <w:tcPr>
            <w:tcW w:w="817" w:type="dxa"/>
            <w:tcBorders>
              <w:top w:val="single" w:sz="4" w:space="0" w:color="365F91"/>
              <w:bottom w:val="single" w:sz="4" w:space="0" w:color="365F91"/>
            </w:tcBorders>
          </w:tcPr>
          <w:p w14:paraId="7B1C99FB" w14:textId="77777777" w:rsidR="00A10636" w:rsidRPr="00D9348B" w:rsidRDefault="00A10636" w:rsidP="00DB330E">
            <w:pPr>
              <w:pStyle w:val="TableText"/>
              <w:spacing w:before="40" w:after="40"/>
              <w:jc w:val="center"/>
              <w:rPr>
                <w:rFonts w:cs="Arial"/>
                <w:szCs w:val="16"/>
              </w:rPr>
            </w:pPr>
            <w:r w:rsidRPr="00D9348B">
              <w:rPr>
                <w:szCs w:val="16"/>
              </w:rPr>
              <w:t>188</w:t>
            </w:r>
          </w:p>
        </w:tc>
        <w:tc>
          <w:tcPr>
            <w:tcW w:w="819" w:type="dxa"/>
            <w:tcBorders>
              <w:top w:val="single" w:sz="4" w:space="0" w:color="365F91"/>
              <w:bottom w:val="single" w:sz="4" w:space="0" w:color="365F91"/>
            </w:tcBorders>
          </w:tcPr>
          <w:p w14:paraId="134C2161" w14:textId="77777777" w:rsidR="00A10636" w:rsidRPr="00D9348B" w:rsidRDefault="00A10636" w:rsidP="00DB330E">
            <w:pPr>
              <w:pStyle w:val="TableText"/>
              <w:spacing w:before="40" w:after="40"/>
              <w:jc w:val="center"/>
              <w:rPr>
                <w:rFonts w:cs="Arial"/>
                <w:szCs w:val="16"/>
              </w:rPr>
            </w:pPr>
            <w:r w:rsidRPr="00D9348B">
              <w:rPr>
                <w:szCs w:val="16"/>
              </w:rPr>
              <w:t>255</w:t>
            </w:r>
          </w:p>
        </w:tc>
        <w:tc>
          <w:tcPr>
            <w:tcW w:w="819" w:type="dxa"/>
            <w:tcBorders>
              <w:top w:val="single" w:sz="4" w:space="0" w:color="365F91"/>
              <w:bottom w:val="single" w:sz="4" w:space="0" w:color="365F91"/>
            </w:tcBorders>
          </w:tcPr>
          <w:p w14:paraId="6AA94EFE" w14:textId="77777777" w:rsidR="00A10636" w:rsidRPr="00D9348B" w:rsidRDefault="00A10636" w:rsidP="00DB330E">
            <w:pPr>
              <w:pStyle w:val="TableText"/>
              <w:spacing w:before="40" w:after="40"/>
              <w:jc w:val="center"/>
              <w:rPr>
                <w:rFonts w:cs="Arial"/>
                <w:szCs w:val="16"/>
              </w:rPr>
            </w:pPr>
            <w:r w:rsidRPr="00D9348B">
              <w:rPr>
                <w:szCs w:val="16"/>
              </w:rPr>
              <w:t>116</w:t>
            </w:r>
          </w:p>
        </w:tc>
        <w:tc>
          <w:tcPr>
            <w:tcW w:w="819" w:type="dxa"/>
            <w:tcBorders>
              <w:top w:val="single" w:sz="4" w:space="0" w:color="365F91"/>
              <w:bottom w:val="single" w:sz="4" w:space="0" w:color="365F91"/>
            </w:tcBorders>
          </w:tcPr>
          <w:p w14:paraId="7C484E6C" w14:textId="77777777" w:rsidR="00A10636" w:rsidRPr="00D9348B" w:rsidRDefault="00A10636" w:rsidP="00DB330E">
            <w:pPr>
              <w:pStyle w:val="TableText"/>
              <w:spacing w:before="40" w:after="40"/>
              <w:jc w:val="center"/>
              <w:rPr>
                <w:rFonts w:cs="Arial"/>
                <w:szCs w:val="16"/>
              </w:rPr>
            </w:pPr>
            <w:r w:rsidRPr="00D9348B">
              <w:rPr>
                <w:szCs w:val="16"/>
              </w:rPr>
              <w:t>373</w:t>
            </w:r>
          </w:p>
        </w:tc>
        <w:tc>
          <w:tcPr>
            <w:tcW w:w="925" w:type="dxa"/>
            <w:tcBorders>
              <w:top w:val="single" w:sz="4" w:space="0" w:color="365F91"/>
              <w:bottom w:val="single" w:sz="4" w:space="0" w:color="365F91"/>
            </w:tcBorders>
          </w:tcPr>
          <w:p w14:paraId="7CF57181" w14:textId="77777777" w:rsidR="00A10636" w:rsidRPr="00D9348B" w:rsidRDefault="00A10636" w:rsidP="00DB330E">
            <w:pPr>
              <w:pStyle w:val="TableText"/>
              <w:spacing w:before="40" w:after="40"/>
              <w:jc w:val="center"/>
              <w:rPr>
                <w:rFonts w:cs="Arial"/>
                <w:szCs w:val="16"/>
              </w:rPr>
            </w:pPr>
            <w:r w:rsidRPr="00D9348B">
              <w:rPr>
                <w:szCs w:val="16"/>
              </w:rPr>
              <w:t>373</w:t>
            </w:r>
          </w:p>
        </w:tc>
      </w:tr>
      <w:tr w:rsidR="00A10636" w:rsidRPr="00D9348B" w14:paraId="3C9A796D" w14:textId="77777777" w:rsidTr="00445A02">
        <w:tc>
          <w:tcPr>
            <w:tcW w:w="1503" w:type="dxa"/>
            <w:tcBorders>
              <w:top w:val="single" w:sz="4" w:space="0" w:color="365F91"/>
              <w:bottom w:val="single" w:sz="4" w:space="0" w:color="365F91"/>
            </w:tcBorders>
            <w:shd w:val="clear" w:color="auto" w:fill="FFFFFF"/>
          </w:tcPr>
          <w:p w14:paraId="5F86DAD7" w14:textId="77777777" w:rsidR="00A10636" w:rsidRPr="00D9348B" w:rsidRDefault="00A10636" w:rsidP="00DB330E">
            <w:pPr>
              <w:pStyle w:val="Tableboldblue"/>
            </w:pPr>
            <w:r w:rsidRPr="00D9348B">
              <w:t>Total</w:t>
            </w:r>
          </w:p>
        </w:tc>
        <w:tc>
          <w:tcPr>
            <w:tcW w:w="1083" w:type="dxa"/>
            <w:tcBorders>
              <w:top w:val="single" w:sz="4" w:space="0" w:color="365F91"/>
              <w:bottom w:val="single" w:sz="4" w:space="0" w:color="365F91"/>
            </w:tcBorders>
            <w:shd w:val="clear" w:color="auto" w:fill="auto"/>
          </w:tcPr>
          <w:p w14:paraId="53864AB0" w14:textId="77777777" w:rsidR="00A10636" w:rsidRPr="00D9348B" w:rsidRDefault="00A10636" w:rsidP="00445A02">
            <w:pPr>
              <w:pStyle w:val="Tableboldblue"/>
              <w:jc w:val="center"/>
              <w:rPr>
                <w:rFonts w:cs="Arial"/>
              </w:rPr>
            </w:pPr>
            <w:r w:rsidRPr="00D9348B">
              <w:t>33,953</w:t>
            </w:r>
          </w:p>
        </w:tc>
        <w:tc>
          <w:tcPr>
            <w:tcW w:w="811" w:type="dxa"/>
            <w:tcBorders>
              <w:top w:val="single" w:sz="4" w:space="0" w:color="365F91"/>
              <w:bottom w:val="single" w:sz="4" w:space="0" w:color="365F91"/>
            </w:tcBorders>
            <w:shd w:val="clear" w:color="auto" w:fill="auto"/>
          </w:tcPr>
          <w:p w14:paraId="61EC20F2" w14:textId="77777777" w:rsidR="00A10636" w:rsidRPr="00D9348B" w:rsidRDefault="00A10636" w:rsidP="00445A02">
            <w:pPr>
              <w:pStyle w:val="Tableboldblue"/>
              <w:jc w:val="center"/>
              <w:rPr>
                <w:rFonts w:eastAsia="Calibri" w:cs="Arial"/>
              </w:rPr>
            </w:pPr>
            <w:r w:rsidRPr="00D9348B">
              <w:t>7,344</w:t>
            </w:r>
          </w:p>
        </w:tc>
        <w:tc>
          <w:tcPr>
            <w:tcW w:w="852" w:type="dxa"/>
            <w:tcBorders>
              <w:top w:val="single" w:sz="4" w:space="0" w:color="365F91"/>
              <w:bottom w:val="single" w:sz="4" w:space="0" w:color="365F91"/>
            </w:tcBorders>
          </w:tcPr>
          <w:p w14:paraId="3AB8CA0B" w14:textId="77777777" w:rsidR="00A10636" w:rsidRPr="00D9348B" w:rsidRDefault="00A10636" w:rsidP="00445A02">
            <w:pPr>
              <w:pStyle w:val="Tableboldblue"/>
              <w:jc w:val="center"/>
              <w:rPr>
                <w:rFonts w:eastAsia="Calibri" w:cs="Arial"/>
              </w:rPr>
            </w:pPr>
            <w:r w:rsidRPr="00D9348B">
              <w:t>1,120</w:t>
            </w:r>
          </w:p>
        </w:tc>
        <w:tc>
          <w:tcPr>
            <w:tcW w:w="817" w:type="dxa"/>
            <w:tcBorders>
              <w:top w:val="single" w:sz="4" w:space="0" w:color="365F91"/>
              <w:bottom w:val="single" w:sz="4" w:space="0" w:color="365F91"/>
            </w:tcBorders>
          </w:tcPr>
          <w:p w14:paraId="5E2BD193" w14:textId="77777777" w:rsidR="00A10636" w:rsidRPr="00D9348B" w:rsidRDefault="00A10636" w:rsidP="00445A02">
            <w:pPr>
              <w:pStyle w:val="Tableboldblue"/>
              <w:jc w:val="center"/>
              <w:rPr>
                <w:rFonts w:eastAsia="Calibri" w:cs="Arial"/>
              </w:rPr>
            </w:pPr>
            <w:r w:rsidRPr="00D9348B">
              <w:t>471</w:t>
            </w:r>
          </w:p>
        </w:tc>
        <w:tc>
          <w:tcPr>
            <w:tcW w:w="819" w:type="dxa"/>
            <w:tcBorders>
              <w:top w:val="single" w:sz="4" w:space="0" w:color="365F91"/>
              <w:bottom w:val="single" w:sz="4" w:space="0" w:color="365F91"/>
            </w:tcBorders>
          </w:tcPr>
          <w:p w14:paraId="5213DC7A" w14:textId="77777777" w:rsidR="00A10636" w:rsidRPr="00D9348B" w:rsidRDefault="00A10636" w:rsidP="00445A02">
            <w:pPr>
              <w:pStyle w:val="Tableboldblue"/>
              <w:jc w:val="center"/>
              <w:rPr>
                <w:rFonts w:eastAsia="Calibri" w:cs="Arial"/>
              </w:rPr>
            </w:pPr>
            <w:r w:rsidRPr="00D9348B">
              <w:t>612</w:t>
            </w:r>
          </w:p>
        </w:tc>
        <w:tc>
          <w:tcPr>
            <w:tcW w:w="819" w:type="dxa"/>
            <w:tcBorders>
              <w:top w:val="single" w:sz="4" w:space="0" w:color="365F91"/>
              <w:bottom w:val="single" w:sz="4" w:space="0" w:color="365F91"/>
            </w:tcBorders>
          </w:tcPr>
          <w:p w14:paraId="5EFE199F" w14:textId="77777777" w:rsidR="00A10636" w:rsidRPr="00D9348B" w:rsidRDefault="00A10636" w:rsidP="00445A02">
            <w:pPr>
              <w:pStyle w:val="Tableboldblue"/>
              <w:jc w:val="center"/>
              <w:rPr>
                <w:rFonts w:eastAsia="Calibri" w:cs="Arial"/>
              </w:rPr>
            </w:pPr>
            <w:r w:rsidRPr="00D9348B">
              <w:t>375</w:t>
            </w:r>
          </w:p>
        </w:tc>
        <w:tc>
          <w:tcPr>
            <w:tcW w:w="819" w:type="dxa"/>
            <w:tcBorders>
              <w:top w:val="single" w:sz="4" w:space="0" w:color="365F91"/>
              <w:bottom w:val="single" w:sz="4" w:space="0" w:color="365F91"/>
            </w:tcBorders>
            <w:shd w:val="clear" w:color="auto" w:fill="auto"/>
          </w:tcPr>
          <w:p w14:paraId="5529D8C7" w14:textId="77777777" w:rsidR="00A10636" w:rsidRPr="00D9348B" w:rsidRDefault="00A10636" w:rsidP="00445A02">
            <w:pPr>
              <w:pStyle w:val="Tableboldblue"/>
              <w:jc w:val="center"/>
              <w:rPr>
                <w:rFonts w:eastAsia="Calibri" w:cs="Arial"/>
              </w:rPr>
            </w:pPr>
            <w:r w:rsidRPr="00D9348B">
              <w:t>740</w:t>
            </w:r>
          </w:p>
        </w:tc>
        <w:tc>
          <w:tcPr>
            <w:tcW w:w="925" w:type="dxa"/>
            <w:tcBorders>
              <w:top w:val="single" w:sz="4" w:space="0" w:color="365F91"/>
              <w:bottom w:val="single" w:sz="4" w:space="0" w:color="365F91"/>
            </w:tcBorders>
            <w:shd w:val="clear" w:color="auto" w:fill="auto"/>
          </w:tcPr>
          <w:p w14:paraId="416E3956" w14:textId="77777777" w:rsidR="00A10636" w:rsidRPr="00D9348B" w:rsidRDefault="00A10636" w:rsidP="00445A02">
            <w:pPr>
              <w:pStyle w:val="Tableboldblue"/>
              <w:jc w:val="center"/>
              <w:rPr>
                <w:rFonts w:eastAsia="Calibri" w:cs="Arial"/>
              </w:rPr>
            </w:pPr>
            <w:r w:rsidRPr="00D9348B">
              <w:t>740</w:t>
            </w:r>
          </w:p>
        </w:tc>
      </w:tr>
    </w:tbl>
    <w:p w14:paraId="0D3114A1" w14:textId="77777777" w:rsidR="00A10636" w:rsidRPr="00D9348B" w:rsidRDefault="00A10636" w:rsidP="00A10636">
      <w:pPr>
        <w:pStyle w:val="Noteundertable"/>
      </w:pPr>
      <w:r w:rsidRPr="00D9348B">
        <w:rPr>
          <w:b/>
        </w:rPr>
        <w:t xml:space="preserve">Note: </w:t>
      </w:r>
      <w:r w:rsidRPr="00D9348B">
        <w:tab/>
        <w:t>Columns may not total due to rounding.</w:t>
      </w:r>
    </w:p>
    <w:p w14:paraId="2EF129A6" w14:textId="77777777" w:rsidR="00A10636" w:rsidRPr="00D9348B" w:rsidRDefault="00A10636" w:rsidP="00A10636">
      <w:pPr>
        <w:pStyle w:val="Heading5"/>
        <w:spacing w:before="160"/>
      </w:pPr>
      <w:r w:rsidRPr="00D9348B">
        <w:t>Pre-1990 planted forest</w:t>
      </w:r>
    </w:p>
    <w:p w14:paraId="74D791E1" w14:textId="77777777" w:rsidR="00A10636" w:rsidRPr="00D9348B" w:rsidRDefault="00A10636" w:rsidP="00A10636">
      <w:pPr>
        <w:pStyle w:val="BodyText"/>
        <w:spacing w:before="80" w:after="100"/>
      </w:pPr>
      <w:r w:rsidRPr="00D9348B">
        <w:t>Deforestation emissions for pre-1990 planted forest are calculated based, where possible, on the planting date from Ministry for Primary Industries’ Emissions Trading Scheme data and/or estimated from historical imagery. In the absence of date information, the deforestation age is based on the average age at which the forests are harvested, which is derived from the National Exotic Forest Description (NEFD) (Ministry for Primary Industries, 2018b).</w:t>
      </w:r>
    </w:p>
    <w:p w14:paraId="0D045702" w14:textId="77777777" w:rsidR="00A10636" w:rsidRPr="00D9348B" w:rsidRDefault="00A10636" w:rsidP="00A10636">
      <w:pPr>
        <w:pStyle w:val="Heading5"/>
        <w:spacing w:before="200"/>
      </w:pPr>
      <w:r w:rsidRPr="00D9348B">
        <w:t>Post-1989 forest</w:t>
      </w:r>
    </w:p>
    <w:p w14:paraId="7A8A9B59" w14:textId="77777777" w:rsidR="00A10636" w:rsidRPr="00D9348B" w:rsidRDefault="00A10636" w:rsidP="00A10636">
      <w:pPr>
        <w:pStyle w:val="BodyText"/>
        <w:spacing w:before="80" w:after="100"/>
      </w:pPr>
      <w:r w:rsidRPr="00D9348B">
        <w:t xml:space="preserve">Harvest and deforestation in post-1989 forests includes a mix of short rotation crops and the early harvest of longer rotation crops that have not reached their normal harvest ages. New Zealand assumes a baseline harvest of 500 hectares a year at age 12. Longer rotation crops are assumed to be harvested at the oldest possible age in a given year (e.g., the age of 28 years in 2018). The deforestation age in post-1989 forests is derived from the planting date estimated from historical satellite imagery. </w:t>
      </w:r>
    </w:p>
    <w:p w14:paraId="3276AB4E" w14:textId="77777777" w:rsidR="00A10636" w:rsidRPr="00D9348B" w:rsidRDefault="00A10636" w:rsidP="00865BDB">
      <w:pPr>
        <w:pStyle w:val="Heading4"/>
      </w:pPr>
      <w:r w:rsidRPr="00D9348B">
        <w:t>Calculation of national emission estimates</w:t>
      </w:r>
      <w:bookmarkEnd w:id="1218"/>
      <w:bookmarkEnd w:id="1219"/>
      <w:bookmarkEnd w:id="1220"/>
      <w:bookmarkEnd w:id="1221"/>
    </w:p>
    <w:p w14:paraId="0D96A07D" w14:textId="77777777" w:rsidR="00A10636" w:rsidRPr="00D9348B" w:rsidRDefault="00A10636" w:rsidP="00A10636">
      <w:pPr>
        <w:pStyle w:val="BodyText"/>
        <w:spacing w:before="80" w:after="80"/>
      </w:pPr>
      <w:r w:rsidRPr="00D9348B">
        <w:t xml:space="preserve">To calculate emissions for the New Zealand LULUCF sector, the following data are used: </w:t>
      </w:r>
    </w:p>
    <w:p w14:paraId="66978405" w14:textId="77777777" w:rsidR="00A10636" w:rsidRPr="00D9348B" w:rsidRDefault="00A10636" w:rsidP="00771A8F">
      <w:pPr>
        <w:pStyle w:val="Bullet"/>
        <w:numPr>
          <w:ilvl w:val="0"/>
          <w:numId w:val="20"/>
        </w:numPr>
        <w:spacing w:after="60"/>
      </w:pPr>
      <w:r w:rsidRPr="00D9348B">
        <w:t>land use and land-use change area data from 1962 to 1989, which provide land in a transition state as at 1990 for each land use</w:t>
      </w:r>
    </w:p>
    <w:p w14:paraId="5DB09EE3" w14:textId="77777777" w:rsidR="00A10636" w:rsidRPr="00D9348B" w:rsidRDefault="00A10636" w:rsidP="00771A8F">
      <w:pPr>
        <w:pStyle w:val="Bullet"/>
        <w:numPr>
          <w:ilvl w:val="0"/>
          <w:numId w:val="20"/>
        </w:numPr>
        <w:spacing w:after="60"/>
      </w:pPr>
      <w:r w:rsidRPr="00D9348B">
        <w:t>annual land use and land-use change area data from 1990 to 2018 (see section 6.2)</w:t>
      </w:r>
    </w:p>
    <w:p w14:paraId="5BCC59F5" w14:textId="77777777" w:rsidR="00A10636" w:rsidRPr="00D9348B" w:rsidRDefault="00A10636" w:rsidP="00771A8F">
      <w:pPr>
        <w:pStyle w:val="Bullet"/>
        <w:numPr>
          <w:ilvl w:val="0"/>
          <w:numId w:val="20"/>
        </w:numPr>
        <w:spacing w:after="60"/>
      </w:pPr>
      <w:r w:rsidRPr="00D9348B">
        <w:t>biomass carbon stocks per hectare prior to land-use conversion, and annual growth in biomass carbon stocks per hectare following conversion (see tables 6.1.3 and 6.1.4)</w:t>
      </w:r>
    </w:p>
    <w:p w14:paraId="49A3F0A2" w14:textId="77777777" w:rsidR="00A10636" w:rsidRPr="00D9348B" w:rsidRDefault="00A10636" w:rsidP="00771A8F">
      <w:pPr>
        <w:pStyle w:val="Bullet"/>
        <w:numPr>
          <w:ilvl w:val="0"/>
          <w:numId w:val="20"/>
        </w:numPr>
        <w:spacing w:after="60"/>
      </w:pPr>
      <w:r w:rsidRPr="00D9348B">
        <w:t xml:space="preserve">estimates of planted forest harvest area and harvest age class distribution (see section 6.2) </w:t>
      </w:r>
    </w:p>
    <w:p w14:paraId="31534E85" w14:textId="77777777" w:rsidR="00A10636" w:rsidRPr="00D9348B" w:rsidRDefault="00A10636" w:rsidP="00771A8F">
      <w:pPr>
        <w:pStyle w:val="Bullet"/>
        <w:numPr>
          <w:ilvl w:val="0"/>
          <w:numId w:val="20"/>
        </w:numPr>
        <w:spacing w:after="60"/>
      </w:pPr>
      <w:r w:rsidRPr="00D9348B">
        <w:t>age-based biomass carbon yield tables for pre-1990 planted forests and post-1989 forests (see section 6.4.2)</w:t>
      </w:r>
    </w:p>
    <w:p w14:paraId="63F80BB9" w14:textId="77777777" w:rsidR="00A10636" w:rsidRPr="00D9348B" w:rsidRDefault="00A10636" w:rsidP="00771A8F">
      <w:pPr>
        <w:pStyle w:val="Bullet"/>
        <w:numPr>
          <w:ilvl w:val="0"/>
          <w:numId w:val="20"/>
        </w:numPr>
        <w:spacing w:after="60"/>
      </w:pPr>
      <w:r w:rsidRPr="00D9348B">
        <w:t>growth increment for pre-1990 natural forest (see section 6.4.2)</w:t>
      </w:r>
    </w:p>
    <w:p w14:paraId="3DE69605" w14:textId="77777777" w:rsidR="00A10636" w:rsidRPr="00D9348B" w:rsidRDefault="00A10636" w:rsidP="00771A8F">
      <w:pPr>
        <w:pStyle w:val="Bullet"/>
        <w:numPr>
          <w:ilvl w:val="0"/>
          <w:numId w:val="20"/>
        </w:numPr>
        <w:spacing w:after="60"/>
      </w:pPr>
      <w:r w:rsidRPr="00D9348B">
        <w:t>emission factors and country-level activity data on biomass burning (see section 6.11.5)</w:t>
      </w:r>
    </w:p>
    <w:p w14:paraId="5216012D" w14:textId="77777777" w:rsidR="00A10636" w:rsidRPr="00D9348B" w:rsidRDefault="00A10636" w:rsidP="00771A8F">
      <w:pPr>
        <w:pStyle w:val="Bullet"/>
        <w:numPr>
          <w:ilvl w:val="0"/>
          <w:numId w:val="20"/>
        </w:numPr>
      </w:pPr>
      <w:r w:rsidRPr="00D9348B">
        <w:t>IPCC default conversion factors for converting C to CO</w:t>
      </w:r>
      <w:r w:rsidRPr="00D9348B">
        <w:rPr>
          <w:vertAlign w:val="subscript"/>
        </w:rPr>
        <w:t>2</w:t>
      </w:r>
      <w:r w:rsidRPr="00D9348B">
        <w:t xml:space="preserve">. </w:t>
      </w:r>
    </w:p>
    <w:p w14:paraId="31380081" w14:textId="77777777" w:rsidR="00A10636" w:rsidRPr="00D9348B" w:rsidRDefault="00A10636" w:rsidP="00A10636">
      <w:pPr>
        <w:pStyle w:val="BodyText"/>
        <w:spacing w:after="0"/>
      </w:pPr>
      <w:r w:rsidRPr="00D9348B">
        <w:lastRenderedPageBreak/>
        <w:t>The formula used to calculate emissions from biomass changes on land-use conversion is:</w:t>
      </w:r>
    </w:p>
    <w:tbl>
      <w:tblPr>
        <w:tblW w:w="7700" w:type="dxa"/>
        <w:jc w:val="center"/>
        <w:tblLayout w:type="fixed"/>
        <w:tblCellMar>
          <w:left w:w="28" w:type="dxa"/>
          <w:right w:w="28" w:type="dxa"/>
        </w:tblCellMar>
        <w:tblLook w:val="04A0" w:firstRow="1" w:lastRow="0" w:firstColumn="1" w:lastColumn="0" w:noHBand="0" w:noVBand="1"/>
      </w:tblPr>
      <w:tblGrid>
        <w:gridCol w:w="310"/>
        <w:gridCol w:w="1420"/>
        <w:gridCol w:w="283"/>
        <w:gridCol w:w="1134"/>
        <w:gridCol w:w="284"/>
        <w:gridCol w:w="290"/>
        <w:gridCol w:w="284"/>
        <w:gridCol w:w="1694"/>
        <w:gridCol w:w="290"/>
        <w:gridCol w:w="992"/>
        <w:gridCol w:w="284"/>
        <w:gridCol w:w="435"/>
      </w:tblGrid>
      <w:tr w:rsidR="00A10636" w:rsidRPr="00D9348B" w14:paraId="09F161DB" w14:textId="77777777" w:rsidTr="00DB330E">
        <w:trPr>
          <w:trHeight w:val="1130"/>
          <w:jc w:val="center"/>
        </w:trPr>
        <w:tc>
          <w:tcPr>
            <w:tcW w:w="310" w:type="dxa"/>
            <w:vAlign w:val="center"/>
          </w:tcPr>
          <w:p w14:paraId="4C781095" w14:textId="77777777" w:rsidR="00A10636" w:rsidRPr="00D9348B" w:rsidRDefault="00A10636" w:rsidP="00DB330E">
            <w:pPr>
              <w:rPr>
                <w:rFonts w:cs="Calibri"/>
                <w:sz w:val="144"/>
                <w:szCs w:val="144"/>
              </w:rPr>
            </w:pPr>
            <w:r w:rsidRPr="00D9348B">
              <w:rPr>
                <w:rFonts w:cs="Calibri"/>
                <w:sz w:val="56"/>
                <w:szCs w:val="144"/>
              </w:rPr>
              <w:t>(</w:t>
            </w:r>
          </w:p>
        </w:tc>
        <w:tc>
          <w:tcPr>
            <w:tcW w:w="1420" w:type="dxa"/>
            <w:vAlign w:val="center"/>
          </w:tcPr>
          <w:p w14:paraId="3520F50D" w14:textId="77777777" w:rsidR="00A10636" w:rsidRPr="00D9348B" w:rsidRDefault="00A10636" w:rsidP="00DB330E">
            <w:pPr>
              <w:jc w:val="center"/>
              <w:rPr>
                <w:rFonts w:cs="Calibri"/>
                <w:i/>
                <w:sz w:val="18"/>
              </w:rPr>
            </w:pPr>
            <w:r w:rsidRPr="00D9348B">
              <w:rPr>
                <w:rFonts w:cs="Calibri"/>
                <w:i/>
                <w:sz w:val="18"/>
              </w:rPr>
              <w:t>Loss of biomass present in previous crop</w:t>
            </w:r>
          </w:p>
        </w:tc>
        <w:tc>
          <w:tcPr>
            <w:tcW w:w="283" w:type="dxa"/>
            <w:vAlign w:val="center"/>
          </w:tcPr>
          <w:p w14:paraId="4C65D428" w14:textId="77777777" w:rsidR="00A10636" w:rsidRPr="00D9348B" w:rsidRDefault="00A10636" w:rsidP="00DB330E">
            <w:pPr>
              <w:rPr>
                <w:rFonts w:cs="Calibri"/>
                <w:i/>
                <w:sz w:val="18"/>
              </w:rPr>
            </w:pPr>
            <w:r w:rsidRPr="00D9348B">
              <w:rPr>
                <w:rFonts w:cs="Calibri"/>
                <w:i/>
                <w:sz w:val="18"/>
              </w:rPr>
              <w:t xml:space="preserve"> ×</w:t>
            </w:r>
          </w:p>
        </w:tc>
        <w:tc>
          <w:tcPr>
            <w:tcW w:w="1134" w:type="dxa"/>
            <w:vAlign w:val="center"/>
          </w:tcPr>
          <w:p w14:paraId="7988D39A" w14:textId="77777777" w:rsidR="00A10636" w:rsidRPr="00D9348B" w:rsidRDefault="00A10636" w:rsidP="00DB330E">
            <w:pPr>
              <w:jc w:val="center"/>
              <w:rPr>
                <w:rFonts w:cs="Calibri"/>
                <w:i/>
                <w:sz w:val="18"/>
              </w:rPr>
            </w:pPr>
          </w:p>
          <w:p w14:paraId="112AA951" w14:textId="77777777" w:rsidR="00A10636" w:rsidRPr="00D9348B" w:rsidRDefault="00A10636" w:rsidP="00DB330E">
            <w:pPr>
              <w:jc w:val="center"/>
              <w:rPr>
                <w:rFonts w:cs="Calibri"/>
                <w:i/>
                <w:sz w:val="18"/>
              </w:rPr>
            </w:pPr>
            <w:r w:rsidRPr="00D9348B">
              <w:rPr>
                <w:rFonts w:cs="Calibri"/>
                <w:i/>
                <w:sz w:val="18"/>
              </w:rPr>
              <w:t>Activity data (Area)</w:t>
            </w:r>
          </w:p>
        </w:tc>
        <w:tc>
          <w:tcPr>
            <w:tcW w:w="284" w:type="dxa"/>
            <w:vAlign w:val="center"/>
          </w:tcPr>
          <w:p w14:paraId="2CAE5155" w14:textId="77777777" w:rsidR="00A10636" w:rsidRPr="00D9348B" w:rsidRDefault="00A10636" w:rsidP="00DB330E">
            <w:pPr>
              <w:rPr>
                <w:rFonts w:cs="Calibri"/>
                <w:i/>
              </w:rPr>
            </w:pPr>
            <w:r w:rsidRPr="00D9348B">
              <w:rPr>
                <w:rFonts w:cs="Calibri"/>
                <w:sz w:val="56"/>
                <w:szCs w:val="144"/>
              </w:rPr>
              <w:t>)</w:t>
            </w:r>
          </w:p>
        </w:tc>
        <w:tc>
          <w:tcPr>
            <w:tcW w:w="290" w:type="dxa"/>
            <w:vAlign w:val="center"/>
          </w:tcPr>
          <w:p w14:paraId="3672F99B" w14:textId="77777777" w:rsidR="00A10636" w:rsidRPr="00D9348B" w:rsidRDefault="00A10636" w:rsidP="00DB330E">
            <w:pPr>
              <w:rPr>
                <w:rFonts w:cs="Calibri"/>
                <w:i/>
              </w:rPr>
            </w:pPr>
            <w:r w:rsidRPr="00D9348B">
              <w:rPr>
                <w:rFonts w:cs="Calibri"/>
                <w:i/>
              </w:rPr>
              <w:t>+</w:t>
            </w:r>
          </w:p>
        </w:tc>
        <w:tc>
          <w:tcPr>
            <w:tcW w:w="284" w:type="dxa"/>
            <w:vAlign w:val="center"/>
          </w:tcPr>
          <w:p w14:paraId="73DE6CF9" w14:textId="77777777" w:rsidR="00A10636" w:rsidRPr="00D9348B" w:rsidRDefault="00A10636" w:rsidP="00DB330E">
            <w:pPr>
              <w:rPr>
                <w:rFonts w:cs="Calibri"/>
                <w:i/>
              </w:rPr>
            </w:pPr>
            <w:r w:rsidRPr="00D9348B">
              <w:rPr>
                <w:rFonts w:cs="Calibri"/>
                <w:sz w:val="56"/>
                <w:szCs w:val="144"/>
              </w:rPr>
              <w:t>(</w:t>
            </w:r>
          </w:p>
        </w:tc>
        <w:tc>
          <w:tcPr>
            <w:tcW w:w="1694" w:type="dxa"/>
            <w:vAlign w:val="center"/>
          </w:tcPr>
          <w:p w14:paraId="3707791B" w14:textId="77777777" w:rsidR="00A10636" w:rsidRPr="00D9348B" w:rsidRDefault="00A10636" w:rsidP="00DB330E">
            <w:pPr>
              <w:jc w:val="center"/>
              <w:rPr>
                <w:rFonts w:cs="Calibri"/>
                <w:i/>
                <w:sz w:val="18"/>
              </w:rPr>
            </w:pPr>
            <w:r w:rsidRPr="00D9348B">
              <w:rPr>
                <w:rFonts w:cs="Calibri"/>
                <w:i/>
                <w:sz w:val="18"/>
              </w:rPr>
              <w:t>Annual growth in biomass carbon stocks in new land use</w:t>
            </w:r>
          </w:p>
        </w:tc>
        <w:tc>
          <w:tcPr>
            <w:tcW w:w="290" w:type="dxa"/>
            <w:vAlign w:val="center"/>
          </w:tcPr>
          <w:p w14:paraId="34BDC2F9" w14:textId="77777777" w:rsidR="00A10636" w:rsidRPr="00D9348B" w:rsidRDefault="00A10636" w:rsidP="00DB330E">
            <w:pPr>
              <w:jc w:val="center"/>
              <w:rPr>
                <w:rFonts w:cs="Calibri"/>
                <w:i/>
                <w:sz w:val="18"/>
              </w:rPr>
            </w:pPr>
            <w:r w:rsidRPr="00D9348B">
              <w:rPr>
                <w:rFonts w:cs="Calibri"/>
                <w:i/>
                <w:sz w:val="18"/>
              </w:rPr>
              <w:t>×</w:t>
            </w:r>
          </w:p>
        </w:tc>
        <w:tc>
          <w:tcPr>
            <w:tcW w:w="992" w:type="dxa"/>
            <w:vAlign w:val="center"/>
          </w:tcPr>
          <w:p w14:paraId="6EED8CD7" w14:textId="77777777" w:rsidR="00A10636" w:rsidRPr="00D9348B" w:rsidRDefault="00A10636" w:rsidP="00DB330E">
            <w:pPr>
              <w:spacing w:before="120"/>
              <w:jc w:val="center"/>
              <w:rPr>
                <w:rFonts w:cs="Calibri"/>
                <w:i/>
                <w:iCs/>
                <w:sz w:val="18"/>
              </w:rPr>
            </w:pPr>
            <w:r w:rsidRPr="00D9348B">
              <w:rPr>
                <w:rFonts w:cs="Calibri"/>
                <w:i/>
                <w:iCs/>
                <w:sz w:val="18"/>
              </w:rPr>
              <w:t>Activity data (Area)</w:t>
            </w:r>
          </w:p>
        </w:tc>
        <w:tc>
          <w:tcPr>
            <w:tcW w:w="284" w:type="dxa"/>
            <w:vAlign w:val="center"/>
          </w:tcPr>
          <w:p w14:paraId="2A4111C3" w14:textId="77777777" w:rsidR="00A10636" w:rsidRPr="00D9348B" w:rsidRDefault="00A10636" w:rsidP="00DB330E">
            <w:pPr>
              <w:jc w:val="center"/>
              <w:rPr>
                <w:rFonts w:cs="Calibri"/>
                <w:i/>
              </w:rPr>
            </w:pPr>
            <w:r w:rsidRPr="00D9348B">
              <w:rPr>
                <w:rFonts w:cs="Calibri"/>
                <w:sz w:val="56"/>
                <w:szCs w:val="144"/>
              </w:rPr>
              <w:t>)</w:t>
            </w:r>
          </w:p>
        </w:tc>
        <w:tc>
          <w:tcPr>
            <w:tcW w:w="435" w:type="dxa"/>
          </w:tcPr>
          <w:p w14:paraId="1D5330D8" w14:textId="77777777" w:rsidR="00A10636" w:rsidRPr="00D9348B" w:rsidRDefault="00A10636" w:rsidP="00DB330E">
            <w:pPr>
              <w:rPr>
                <w:rFonts w:cs="Calibri"/>
                <w:i/>
              </w:rPr>
            </w:pPr>
          </w:p>
          <w:p w14:paraId="1B85A17E" w14:textId="77777777" w:rsidR="00A10636" w:rsidRPr="00D9348B" w:rsidRDefault="00A10636" w:rsidP="00DB330E">
            <w:pPr>
              <w:rPr>
                <w:rFonts w:cs="Calibri"/>
                <w:i/>
              </w:rPr>
            </w:pPr>
          </w:p>
          <w:p w14:paraId="70911C23" w14:textId="77777777" w:rsidR="00A10636" w:rsidRPr="00D9348B" w:rsidRDefault="00A10636" w:rsidP="00DB330E">
            <w:pPr>
              <w:rPr>
                <w:rFonts w:cs="Calibri"/>
                <w:sz w:val="56"/>
                <w:szCs w:val="144"/>
              </w:rPr>
            </w:pPr>
            <w:r w:rsidRPr="00D9348B">
              <w:rPr>
                <w:rFonts w:cs="Calibri"/>
                <w:i/>
              </w:rPr>
              <w:t>(1)</w:t>
            </w:r>
          </w:p>
        </w:tc>
      </w:tr>
    </w:tbl>
    <w:p w14:paraId="0C43BAD8" w14:textId="77777777" w:rsidR="00A10636" w:rsidRPr="00D9348B" w:rsidRDefault="00A10636" w:rsidP="00A10636">
      <w:pPr>
        <w:pStyle w:val="BodyText"/>
        <w:spacing w:before="240" w:after="240"/>
      </w:pPr>
      <w:r w:rsidRPr="00D9348B">
        <w:t xml:space="preserve">The formula used to calculate emissions from mineral soil changes on land-use conversion is: </w:t>
      </w:r>
    </w:p>
    <w:tbl>
      <w:tblPr>
        <w:tblW w:w="7479" w:type="dxa"/>
        <w:jc w:val="center"/>
        <w:tblLayout w:type="fixed"/>
        <w:tblLook w:val="04A0" w:firstRow="1" w:lastRow="0" w:firstColumn="1" w:lastColumn="0" w:noHBand="0" w:noVBand="1"/>
      </w:tblPr>
      <w:tblGrid>
        <w:gridCol w:w="2093"/>
        <w:gridCol w:w="425"/>
        <w:gridCol w:w="2268"/>
        <w:gridCol w:w="284"/>
        <w:gridCol w:w="425"/>
        <w:gridCol w:w="850"/>
        <w:gridCol w:w="426"/>
        <w:gridCol w:w="708"/>
      </w:tblGrid>
      <w:tr w:rsidR="00A10636" w:rsidRPr="00D9348B" w14:paraId="40662752" w14:textId="77777777" w:rsidTr="00DB330E">
        <w:trPr>
          <w:jc w:val="center"/>
        </w:trPr>
        <w:tc>
          <w:tcPr>
            <w:tcW w:w="2093" w:type="dxa"/>
          </w:tcPr>
          <w:p w14:paraId="1D63B15C" w14:textId="77777777" w:rsidR="00A10636" w:rsidRPr="00D9348B" w:rsidRDefault="00A10636" w:rsidP="00DB330E">
            <w:pPr>
              <w:jc w:val="center"/>
              <w:rPr>
                <w:rFonts w:cs="Calibri"/>
                <w:i/>
                <w:sz w:val="18"/>
              </w:rPr>
            </w:pPr>
            <w:r w:rsidRPr="00D9348B">
              <w:rPr>
                <w:rFonts w:cs="Calibri"/>
                <w:i/>
                <w:sz w:val="18"/>
              </w:rPr>
              <w:t>Mineral soil carbon at steady state in the new land use</w:t>
            </w:r>
          </w:p>
        </w:tc>
        <w:tc>
          <w:tcPr>
            <w:tcW w:w="425" w:type="dxa"/>
            <w:vAlign w:val="center"/>
          </w:tcPr>
          <w:p w14:paraId="1497D571" w14:textId="77777777" w:rsidR="00A10636" w:rsidRPr="00D9348B" w:rsidRDefault="00A10636" w:rsidP="00DB330E">
            <w:pPr>
              <w:jc w:val="center"/>
              <w:rPr>
                <w:rFonts w:cs="Calibri"/>
                <w:i/>
                <w:sz w:val="18"/>
              </w:rPr>
            </w:pPr>
            <w:r w:rsidRPr="00D9348B">
              <w:rPr>
                <w:rFonts w:cs="Calibri"/>
                <w:i/>
                <w:sz w:val="18"/>
              </w:rPr>
              <w:t>—</w:t>
            </w:r>
          </w:p>
        </w:tc>
        <w:tc>
          <w:tcPr>
            <w:tcW w:w="2268" w:type="dxa"/>
          </w:tcPr>
          <w:p w14:paraId="1FE3FA50" w14:textId="77777777" w:rsidR="00A10636" w:rsidRPr="00D9348B" w:rsidRDefault="00A10636" w:rsidP="00DB330E">
            <w:pPr>
              <w:jc w:val="center"/>
              <w:rPr>
                <w:rFonts w:cs="Calibri"/>
                <w:i/>
                <w:sz w:val="18"/>
              </w:rPr>
            </w:pPr>
            <w:r w:rsidRPr="00D9348B">
              <w:rPr>
                <w:rFonts w:cs="Calibri"/>
                <w:i/>
                <w:sz w:val="18"/>
              </w:rPr>
              <w:t>Mineral soil carbon at steady state in the previous land use</w:t>
            </w:r>
          </w:p>
        </w:tc>
        <w:tc>
          <w:tcPr>
            <w:tcW w:w="284" w:type="dxa"/>
            <w:vMerge w:val="restart"/>
            <w:vAlign w:val="center"/>
          </w:tcPr>
          <w:p w14:paraId="080693A0" w14:textId="77777777" w:rsidR="00A10636" w:rsidRPr="00D9348B" w:rsidRDefault="00A10636" w:rsidP="00DB330E">
            <w:pPr>
              <w:jc w:val="center"/>
              <w:rPr>
                <w:rFonts w:cs="Calibri"/>
                <w:i/>
                <w:sz w:val="18"/>
              </w:rPr>
            </w:pPr>
            <w:r w:rsidRPr="00D9348B">
              <w:rPr>
                <w:rFonts w:cs="Calibri"/>
                <w:i/>
                <w:sz w:val="18"/>
              </w:rPr>
              <w:t>×</w:t>
            </w:r>
          </w:p>
        </w:tc>
        <w:tc>
          <w:tcPr>
            <w:tcW w:w="425" w:type="dxa"/>
            <w:vMerge w:val="restart"/>
            <w:vAlign w:val="center"/>
          </w:tcPr>
          <w:p w14:paraId="7F5A1C51" w14:textId="77777777" w:rsidR="00A10636" w:rsidRPr="00D9348B" w:rsidRDefault="00A10636" w:rsidP="00DB330E">
            <w:pPr>
              <w:jc w:val="center"/>
              <w:rPr>
                <w:rFonts w:cs="Calibri"/>
                <w:i/>
                <w:sz w:val="18"/>
              </w:rPr>
            </w:pPr>
            <w:r w:rsidRPr="00D9348B">
              <w:rPr>
                <w:rFonts w:cs="Calibri"/>
                <w:sz w:val="56"/>
                <w:szCs w:val="144"/>
              </w:rPr>
              <w:t>(</w:t>
            </w:r>
          </w:p>
        </w:tc>
        <w:tc>
          <w:tcPr>
            <w:tcW w:w="850" w:type="dxa"/>
            <w:vMerge w:val="restart"/>
            <w:vAlign w:val="center"/>
          </w:tcPr>
          <w:p w14:paraId="3EFD3C4C" w14:textId="77777777" w:rsidR="00A10636" w:rsidRPr="00D9348B" w:rsidRDefault="00A10636" w:rsidP="00DB330E">
            <w:pPr>
              <w:jc w:val="center"/>
              <w:rPr>
                <w:rFonts w:cs="Calibri"/>
                <w:i/>
                <w:sz w:val="18"/>
              </w:rPr>
            </w:pPr>
            <w:r w:rsidRPr="00D9348B">
              <w:rPr>
                <w:rFonts w:cs="Calibri"/>
                <w:i/>
                <w:sz w:val="18"/>
              </w:rPr>
              <w:t>Activity data (Area)</w:t>
            </w:r>
          </w:p>
        </w:tc>
        <w:tc>
          <w:tcPr>
            <w:tcW w:w="426" w:type="dxa"/>
            <w:vMerge w:val="restart"/>
            <w:vAlign w:val="center"/>
          </w:tcPr>
          <w:p w14:paraId="13FF069B" w14:textId="77777777" w:rsidR="00A10636" w:rsidRPr="00D9348B" w:rsidRDefault="00A10636" w:rsidP="00DB330E">
            <w:pPr>
              <w:jc w:val="center"/>
              <w:rPr>
                <w:rFonts w:cs="Calibri"/>
                <w:i/>
                <w:sz w:val="18"/>
              </w:rPr>
            </w:pPr>
            <w:r w:rsidRPr="00D9348B">
              <w:rPr>
                <w:rFonts w:cs="Calibri"/>
                <w:sz w:val="56"/>
                <w:szCs w:val="144"/>
              </w:rPr>
              <w:t>)</w:t>
            </w:r>
          </w:p>
        </w:tc>
        <w:tc>
          <w:tcPr>
            <w:tcW w:w="708" w:type="dxa"/>
            <w:vMerge w:val="restart"/>
            <w:vAlign w:val="center"/>
          </w:tcPr>
          <w:p w14:paraId="39AD175D" w14:textId="77777777" w:rsidR="00A10636" w:rsidRPr="00D9348B" w:rsidRDefault="00A10636" w:rsidP="00DB330E">
            <w:pPr>
              <w:jc w:val="right"/>
              <w:rPr>
                <w:rFonts w:cs="Calibri"/>
                <w:sz w:val="56"/>
                <w:szCs w:val="144"/>
              </w:rPr>
            </w:pPr>
            <w:r w:rsidRPr="00D9348B">
              <w:rPr>
                <w:rFonts w:cs="Calibri"/>
                <w:i/>
              </w:rPr>
              <w:t>(2)</w:t>
            </w:r>
          </w:p>
        </w:tc>
      </w:tr>
      <w:tr w:rsidR="00A10636" w:rsidRPr="00D9348B" w14:paraId="25D2DFC4" w14:textId="77777777" w:rsidTr="00DB330E">
        <w:trPr>
          <w:trHeight w:val="99"/>
          <w:jc w:val="center"/>
        </w:trPr>
        <w:tc>
          <w:tcPr>
            <w:tcW w:w="4786" w:type="dxa"/>
            <w:gridSpan w:val="3"/>
          </w:tcPr>
          <w:p w14:paraId="29FF5B25" w14:textId="77777777" w:rsidR="00A10636" w:rsidRPr="00D9348B" w:rsidRDefault="00A10636" w:rsidP="00DB330E">
            <w:pPr>
              <w:jc w:val="center"/>
              <w:rPr>
                <w:rFonts w:cs="Calibri"/>
                <w:i/>
                <w:sz w:val="18"/>
                <w:szCs w:val="16"/>
              </w:rPr>
            </w:pPr>
            <w:r w:rsidRPr="00D9348B">
              <w:rPr>
                <w:rFonts w:cs="Calibri"/>
                <w:i/>
                <w:sz w:val="18"/>
                <w:szCs w:val="16"/>
              </w:rPr>
              <w:t>________________________________________________</w:t>
            </w:r>
          </w:p>
        </w:tc>
        <w:tc>
          <w:tcPr>
            <w:tcW w:w="284" w:type="dxa"/>
            <w:vMerge/>
          </w:tcPr>
          <w:p w14:paraId="44585290" w14:textId="77777777" w:rsidR="00A10636" w:rsidRPr="00D9348B" w:rsidRDefault="00A10636" w:rsidP="00DB330E">
            <w:pPr>
              <w:jc w:val="center"/>
              <w:rPr>
                <w:rFonts w:cs="Calibri"/>
                <w:i/>
                <w:sz w:val="18"/>
              </w:rPr>
            </w:pPr>
          </w:p>
        </w:tc>
        <w:tc>
          <w:tcPr>
            <w:tcW w:w="425" w:type="dxa"/>
            <w:vMerge/>
          </w:tcPr>
          <w:p w14:paraId="0B643A07" w14:textId="77777777" w:rsidR="00A10636" w:rsidRPr="00D9348B" w:rsidRDefault="00A10636" w:rsidP="00DB330E">
            <w:pPr>
              <w:jc w:val="center"/>
              <w:rPr>
                <w:rFonts w:cs="Calibri"/>
                <w:i/>
                <w:sz w:val="18"/>
              </w:rPr>
            </w:pPr>
          </w:p>
        </w:tc>
        <w:tc>
          <w:tcPr>
            <w:tcW w:w="850" w:type="dxa"/>
            <w:vMerge/>
          </w:tcPr>
          <w:p w14:paraId="1F12DE9C" w14:textId="77777777" w:rsidR="00A10636" w:rsidRPr="00D9348B" w:rsidRDefault="00A10636" w:rsidP="00DB330E">
            <w:pPr>
              <w:jc w:val="center"/>
              <w:rPr>
                <w:rFonts w:cs="Calibri"/>
                <w:i/>
                <w:sz w:val="18"/>
              </w:rPr>
            </w:pPr>
          </w:p>
        </w:tc>
        <w:tc>
          <w:tcPr>
            <w:tcW w:w="426" w:type="dxa"/>
            <w:vMerge/>
          </w:tcPr>
          <w:p w14:paraId="31F2C5C3" w14:textId="77777777" w:rsidR="00A10636" w:rsidRPr="00D9348B" w:rsidRDefault="00A10636" w:rsidP="00DB330E">
            <w:pPr>
              <w:jc w:val="center"/>
              <w:rPr>
                <w:rFonts w:cs="Calibri"/>
                <w:i/>
                <w:sz w:val="18"/>
              </w:rPr>
            </w:pPr>
          </w:p>
        </w:tc>
        <w:tc>
          <w:tcPr>
            <w:tcW w:w="708" w:type="dxa"/>
            <w:vMerge/>
          </w:tcPr>
          <w:p w14:paraId="4999A16E" w14:textId="77777777" w:rsidR="00A10636" w:rsidRPr="00D9348B" w:rsidRDefault="00A10636" w:rsidP="00DB330E">
            <w:pPr>
              <w:jc w:val="center"/>
              <w:rPr>
                <w:rFonts w:cs="Calibri"/>
                <w:i/>
                <w:sz w:val="18"/>
              </w:rPr>
            </w:pPr>
          </w:p>
        </w:tc>
      </w:tr>
      <w:tr w:rsidR="00A10636" w:rsidRPr="00D9348B" w14:paraId="7BACE732" w14:textId="77777777" w:rsidTr="00DB330E">
        <w:trPr>
          <w:jc w:val="center"/>
        </w:trPr>
        <w:tc>
          <w:tcPr>
            <w:tcW w:w="4786" w:type="dxa"/>
            <w:gridSpan w:val="3"/>
            <w:vAlign w:val="bottom"/>
          </w:tcPr>
          <w:p w14:paraId="25DF1DC6" w14:textId="77777777" w:rsidR="00A10636" w:rsidRPr="00D9348B" w:rsidRDefault="00A10636" w:rsidP="00DB330E">
            <w:pPr>
              <w:spacing w:before="120"/>
              <w:jc w:val="center"/>
              <w:rPr>
                <w:rFonts w:cs="Calibri"/>
                <w:i/>
                <w:sz w:val="18"/>
              </w:rPr>
            </w:pPr>
            <w:r w:rsidRPr="00D9348B">
              <w:rPr>
                <w:rFonts w:cs="Calibri"/>
                <w:i/>
                <w:sz w:val="18"/>
              </w:rPr>
              <w:t>20 years (transition period)</w:t>
            </w:r>
          </w:p>
        </w:tc>
        <w:tc>
          <w:tcPr>
            <w:tcW w:w="284" w:type="dxa"/>
            <w:vMerge/>
          </w:tcPr>
          <w:p w14:paraId="7B85F7EA" w14:textId="77777777" w:rsidR="00A10636" w:rsidRPr="00D9348B" w:rsidRDefault="00A10636" w:rsidP="00DB330E">
            <w:pPr>
              <w:jc w:val="center"/>
              <w:rPr>
                <w:rFonts w:cs="Calibri"/>
                <w:i/>
                <w:sz w:val="18"/>
              </w:rPr>
            </w:pPr>
          </w:p>
        </w:tc>
        <w:tc>
          <w:tcPr>
            <w:tcW w:w="425" w:type="dxa"/>
            <w:vMerge/>
          </w:tcPr>
          <w:p w14:paraId="5D84B4AE" w14:textId="77777777" w:rsidR="00A10636" w:rsidRPr="00D9348B" w:rsidRDefault="00A10636" w:rsidP="00DB330E">
            <w:pPr>
              <w:jc w:val="center"/>
              <w:rPr>
                <w:rFonts w:cs="Calibri"/>
                <w:i/>
                <w:sz w:val="18"/>
              </w:rPr>
            </w:pPr>
          </w:p>
        </w:tc>
        <w:tc>
          <w:tcPr>
            <w:tcW w:w="850" w:type="dxa"/>
            <w:vMerge/>
          </w:tcPr>
          <w:p w14:paraId="47146DF9" w14:textId="77777777" w:rsidR="00A10636" w:rsidRPr="00D9348B" w:rsidRDefault="00A10636" w:rsidP="00DB330E">
            <w:pPr>
              <w:jc w:val="center"/>
              <w:rPr>
                <w:rFonts w:cs="Calibri"/>
                <w:i/>
                <w:sz w:val="18"/>
              </w:rPr>
            </w:pPr>
          </w:p>
        </w:tc>
        <w:tc>
          <w:tcPr>
            <w:tcW w:w="426" w:type="dxa"/>
            <w:vMerge/>
          </w:tcPr>
          <w:p w14:paraId="75CBBF79" w14:textId="77777777" w:rsidR="00A10636" w:rsidRPr="00D9348B" w:rsidRDefault="00A10636" w:rsidP="00DB330E">
            <w:pPr>
              <w:jc w:val="center"/>
              <w:rPr>
                <w:rFonts w:cs="Calibri"/>
                <w:i/>
                <w:sz w:val="18"/>
              </w:rPr>
            </w:pPr>
          </w:p>
        </w:tc>
        <w:tc>
          <w:tcPr>
            <w:tcW w:w="708" w:type="dxa"/>
            <w:vMerge/>
          </w:tcPr>
          <w:p w14:paraId="247D72E1" w14:textId="77777777" w:rsidR="00A10636" w:rsidRPr="00D9348B" w:rsidRDefault="00A10636" w:rsidP="00DB330E">
            <w:pPr>
              <w:jc w:val="center"/>
              <w:rPr>
                <w:rFonts w:cs="Calibri"/>
                <w:i/>
                <w:sz w:val="18"/>
              </w:rPr>
            </w:pPr>
          </w:p>
        </w:tc>
      </w:tr>
    </w:tbl>
    <w:p w14:paraId="332E519D" w14:textId="77777777" w:rsidR="00A10636" w:rsidRPr="00D9348B" w:rsidRDefault="00A10636" w:rsidP="00A10636">
      <w:pPr>
        <w:pStyle w:val="BodyText"/>
        <w:spacing w:before="240"/>
      </w:pPr>
      <w:r w:rsidRPr="00D9348B">
        <w:t>For example, the annual change in carbon stock in the first year of conversion of 100 hectares of low</w:t>
      </w:r>
      <w:r w:rsidRPr="00D9348B">
        <w:rPr>
          <w:i/>
        </w:rPr>
        <w:t xml:space="preserve"> </w:t>
      </w:r>
      <w:r w:rsidRPr="00D9348B">
        <w:t>producing grassland to perennial cropland would be calculated as follows:</w:t>
      </w:r>
    </w:p>
    <w:p w14:paraId="12FDD5F8" w14:textId="77777777" w:rsidR="00A10636" w:rsidRPr="00D9348B" w:rsidRDefault="00A10636" w:rsidP="00A10636">
      <w:pPr>
        <w:pStyle w:val="BodyText"/>
        <w:tabs>
          <w:tab w:val="right" w:pos="7938"/>
        </w:tabs>
        <w:spacing w:before="60" w:after="0"/>
        <w:ind w:left="851"/>
      </w:pPr>
      <w:r w:rsidRPr="00D9348B">
        <w:t xml:space="preserve">Biomass change = (–2.867 </w:t>
      </w:r>
      <w:r w:rsidRPr="00D9348B">
        <w:rPr>
          <w:i/>
          <w:sz w:val="18"/>
        </w:rPr>
        <w:t>×</w:t>
      </w:r>
      <w:r w:rsidRPr="00D9348B">
        <w:t xml:space="preserve"> 100) + (0.67 </w:t>
      </w:r>
      <w:r w:rsidRPr="00D9348B">
        <w:rPr>
          <w:i/>
          <w:sz w:val="18"/>
        </w:rPr>
        <w:t>×</w:t>
      </w:r>
      <w:r w:rsidRPr="00D9348B">
        <w:t xml:space="preserve"> 100) = –219.7 tonnes C</w:t>
      </w:r>
      <w:r w:rsidRPr="00D9348B">
        <w:tab/>
      </w:r>
      <w:r w:rsidRPr="00D9348B">
        <w:rPr>
          <w:i/>
        </w:rPr>
        <w:t>(1)</w:t>
      </w:r>
    </w:p>
    <w:p w14:paraId="2F064E15" w14:textId="77777777" w:rsidR="00A10636" w:rsidRPr="00D9348B" w:rsidRDefault="00A10636" w:rsidP="00A10636">
      <w:pPr>
        <w:pStyle w:val="BodyText"/>
        <w:tabs>
          <w:tab w:val="right" w:pos="7938"/>
        </w:tabs>
        <w:spacing w:after="0"/>
        <w:ind w:left="851"/>
      </w:pPr>
      <w:r w:rsidRPr="00D9348B">
        <w:t xml:space="preserve">Mineral soil change = (((88.44 – 105.98) / 20) </w:t>
      </w:r>
      <w:r w:rsidRPr="00D9348B">
        <w:rPr>
          <w:i/>
          <w:sz w:val="18"/>
        </w:rPr>
        <w:t>×</w:t>
      </w:r>
      <w:r w:rsidRPr="00D9348B">
        <w:t xml:space="preserve"> 100) = –87.7 tonnes C </w:t>
      </w:r>
      <w:r w:rsidRPr="00D9348B">
        <w:tab/>
      </w:r>
      <w:r w:rsidRPr="00D9348B">
        <w:rPr>
          <w:i/>
        </w:rPr>
        <w:t>(2)</w:t>
      </w:r>
    </w:p>
    <w:p w14:paraId="1FEE3DF1" w14:textId="77777777" w:rsidR="00A10636" w:rsidRPr="00D9348B" w:rsidRDefault="00A10636" w:rsidP="00A10636">
      <w:pPr>
        <w:pStyle w:val="BodyText"/>
        <w:tabs>
          <w:tab w:val="right" w:pos="7938"/>
        </w:tabs>
        <w:spacing w:after="0"/>
        <w:ind w:left="851"/>
      </w:pPr>
      <w:r w:rsidRPr="00D9348B">
        <w:t>Total carbon stock change = –307.4 tonnes C</w:t>
      </w:r>
    </w:p>
    <w:p w14:paraId="11CB16E1" w14:textId="77777777" w:rsidR="00A10636" w:rsidRPr="00D9348B" w:rsidRDefault="00A10636" w:rsidP="00A10636">
      <w:pPr>
        <w:pStyle w:val="BodyText"/>
        <w:tabs>
          <w:tab w:val="right" w:pos="7938"/>
        </w:tabs>
        <w:spacing w:after="0"/>
        <w:ind w:left="851"/>
      </w:pPr>
      <w:r w:rsidRPr="00D9348B">
        <w:t xml:space="preserve">Total emissions = (carbon stock change / 1,000 </w:t>
      </w:r>
      <w:r w:rsidRPr="00D9348B">
        <w:rPr>
          <w:i/>
          <w:sz w:val="18"/>
        </w:rPr>
        <w:t>×</w:t>
      </w:r>
      <w:r w:rsidRPr="00D9348B">
        <w:t xml:space="preserve"> –1) </w:t>
      </w:r>
      <w:r w:rsidRPr="00D9348B">
        <w:rPr>
          <w:i/>
          <w:sz w:val="18"/>
        </w:rPr>
        <w:t>×</w:t>
      </w:r>
      <w:r w:rsidRPr="00D9348B">
        <w:t xml:space="preserve"> (44/12)</w:t>
      </w:r>
    </w:p>
    <w:p w14:paraId="37395E6D" w14:textId="77777777" w:rsidR="00A10636" w:rsidRPr="00D9348B" w:rsidRDefault="00A10636" w:rsidP="00A10636">
      <w:pPr>
        <w:pStyle w:val="BodyText"/>
        <w:tabs>
          <w:tab w:val="right" w:pos="7938"/>
        </w:tabs>
        <w:ind w:left="851"/>
      </w:pPr>
      <w:r w:rsidRPr="00D9348B">
        <w:t>Total emissions = 1.127 kt CO</w:t>
      </w:r>
      <w:r w:rsidRPr="00D9348B">
        <w:rPr>
          <w:vertAlign w:val="subscript"/>
        </w:rPr>
        <w:t>2</w:t>
      </w:r>
    </w:p>
    <w:p w14:paraId="2EE84747" w14:textId="77777777" w:rsidR="00A10636" w:rsidRPr="00D9348B" w:rsidRDefault="00A10636" w:rsidP="00A10636">
      <w:pPr>
        <w:pStyle w:val="BodyText"/>
      </w:pPr>
      <w:r w:rsidRPr="00D9348B">
        <w:t>Note: New Zealand follows the Tier 1 guidance in the 2006 IPCC Guidelines for calculating emissions for organic soils (IPCC, 2006a).</w:t>
      </w:r>
    </w:p>
    <w:p w14:paraId="200333CE" w14:textId="77777777" w:rsidR="00A10636" w:rsidRPr="00D9348B" w:rsidRDefault="00A10636" w:rsidP="00A10636">
      <w:pPr>
        <w:pStyle w:val="BodyText"/>
      </w:pPr>
      <w:r w:rsidRPr="00D9348B">
        <w:t xml:space="preserve">These calculations have been performed to produce estimates of annual carbon stock and carbon stock changes since 1990 to inform the Convention and Kyoto Protocol reporting. </w:t>
      </w:r>
    </w:p>
    <w:p w14:paraId="35E7247A" w14:textId="77777777" w:rsidR="00A10636" w:rsidRPr="00D9348B" w:rsidRDefault="00A10636" w:rsidP="00865BDB">
      <w:pPr>
        <w:pStyle w:val="Heading4"/>
      </w:pPr>
      <w:bookmarkStart w:id="1236" w:name="_Toc280630208"/>
      <w:bookmarkStart w:id="1237" w:name="_Toc255466297"/>
      <w:bookmarkStart w:id="1238" w:name="_Toc261513104"/>
      <w:bookmarkStart w:id="1239" w:name="_Toc261513717"/>
      <w:r w:rsidRPr="00D9348B">
        <w:t>New Zealand Land Use and Carbon Analysis System</w:t>
      </w:r>
      <w:bookmarkEnd w:id="1236"/>
    </w:p>
    <w:p w14:paraId="7F6F3076" w14:textId="77777777" w:rsidR="00A10636" w:rsidRPr="00D9348B" w:rsidRDefault="00A10636" w:rsidP="00A10636">
      <w:pPr>
        <w:pStyle w:val="BodyText"/>
      </w:pPr>
      <w:r w:rsidRPr="00D9348B">
        <w:t>New Zealand’s LULUCF estimates are calculated using a programme of data collection and modelling called the LUCAS</w:t>
      </w:r>
      <w:r w:rsidRPr="00D9348B">
        <w:rPr>
          <w:color w:val="000000"/>
        </w:rPr>
        <w:t>.</w:t>
      </w:r>
      <w:r w:rsidRPr="00D9348B">
        <w:t xml:space="preserve"> The LUCAS data management system stores, manages and retrieves data for international greenhouse gas reporting for the LULUCF sector. The data management system comprises: the Geospatial System, a data warehousing ‘Gateway’ and the Calculation and Reporting Application. These systems are used for managing the land use spatial databases and the plot and reference data, and for combining the two sets of data to calculate the numbers required for reporting under the Convention and the Kyoto Protocol. Details on these databases and applications are provided in annex 3.2.4. </w:t>
      </w:r>
      <w:bookmarkEnd w:id="1237"/>
      <w:bookmarkEnd w:id="1238"/>
      <w:bookmarkEnd w:id="1239"/>
    </w:p>
    <w:p w14:paraId="67A31E65" w14:textId="77777777" w:rsidR="00A10636" w:rsidRPr="00D9348B" w:rsidRDefault="00A10636" w:rsidP="00A10636">
      <w:pPr>
        <w:pStyle w:val="Heading3"/>
      </w:pPr>
      <w:bookmarkStart w:id="1240" w:name="_Toc280630220"/>
      <w:r w:rsidRPr="00D9348B">
        <w:t>6.1.3</w:t>
      </w:r>
      <w:r w:rsidRPr="00D9348B">
        <w:tab/>
        <w:t>Uncertainties in LULUCF</w:t>
      </w:r>
      <w:bookmarkEnd w:id="1240"/>
    </w:p>
    <w:p w14:paraId="77D1E886" w14:textId="25375044" w:rsidR="00A10636" w:rsidRPr="00D9348B" w:rsidRDefault="00A10636" w:rsidP="00A10636">
      <w:pPr>
        <w:pStyle w:val="BodyText"/>
      </w:pPr>
      <w:r w:rsidRPr="00D9348B">
        <w:t>Uncertainty for the LULUCF sector has been calculated as 48.4 per cent. Given this uncertainty, net emissions from the LULUCF sector could range from –12,070.0 kt CO</w:t>
      </w:r>
      <w:r w:rsidRPr="00D9348B">
        <w:rPr>
          <w:vertAlign w:val="subscript"/>
        </w:rPr>
        <w:t>2</w:t>
      </w:r>
      <w:r w:rsidRPr="00D9348B">
        <w:t>-e to –34,718.2 kt CO</w:t>
      </w:r>
      <w:r w:rsidRPr="00D9348B">
        <w:rPr>
          <w:vertAlign w:val="subscript"/>
        </w:rPr>
        <w:t>2</w:t>
      </w:r>
      <w:r w:rsidRPr="00D9348B">
        <w:t xml:space="preserve">-e. Table 6.1.7 shows the four </w:t>
      </w:r>
      <w:r w:rsidR="00766DDA">
        <w:t>land-use</w:t>
      </w:r>
      <w:r w:rsidRPr="00D9348B">
        <w:t xml:space="preserve"> categories within the LULUCF sector that make the greatest contribution to uncertainty in the net carbon emissions for the sector. These are given in descending order. </w:t>
      </w:r>
    </w:p>
    <w:p w14:paraId="4AD242BB" w14:textId="161678BE" w:rsidR="00A10636" w:rsidRPr="00D9348B" w:rsidRDefault="00A10636" w:rsidP="00A10636">
      <w:pPr>
        <w:pStyle w:val="Table"/>
      </w:pPr>
      <w:bookmarkStart w:id="1241" w:name="_Toc310423396"/>
      <w:bookmarkStart w:id="1242" w:name="_Toc318362689"/>
      <w:bookmarkStart w:id="1243" w:name="_Toc342470751"/>
      <w:bookmarkStart w:id="1244" w:name="_Toc352504991"/>
      <w:bookmarkStart w:id="1245" w:name="_Toc378853277"/>
      <w:bookmarkStart w:id="1246" w:name="_Toc391024075"/>
      <w:bookmarkStart w:id="1247" w:name="_Toc410028818"/>
      <w:bookmarkStart w:id="1248" w:name="_Toc414531446"/>
      <w:bookmarkStart w:id="1249" w:name="_Toc443645359"/>
      <w:bookmarkStart w:id="1250" w:name="_Toc474914578"/>
      <w:bookmarkStart w:id="1251" w:name="_Toc481751542"/>
      <w:bookmarkStart w:id="1252" w:name="_Toc522010599"/>
      <w:bookmarkStart w:id="1253" w:name="_Toc5269504"/>
      <w:bookmarkStart w:id="1254" w:name="_Toc33529380"/>
      <w:bookmarkStart w:id="1255" w:name="_Toc36224586"/>
      <w:r w:rsidRPr="00D9348B">
        <w:lastRenderedPageBreak/>
        <w:t>Table 6.1.7</w:t>
      </w:r>
      <w:r w:rsidRPr="00D9348B">
        <w:tab/>
      </w:r>
      <w:r w:rsidR="00766DDA">
        <w:t>Land-use</w:t>
      </w:r>
      <w:r w:rsidRPr="00D9348B">
        <w:t xml:space="preserve"> categories making the greatest contribution to uncertainty</w:t>
      </w:r>
      <w:r w:rsidR="00213955" w:rsidRPr="00D9348B">
        <w:t xml:space="preserve"> </w:t>
      </w:r>
      <w:r w:rsidRPr="00D9348B">
        <w:t>in the LULUCF</w:t>
      </w:r>
      <w:r w:rsidR="00142ADB" w:rsidRPr="00D9348B">
        <w:t> </w:t>
      </w:r>
      <w:r w:rsidRPr="00D9348B">
        <w:t>sector</w:t>
      </w:r>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p>
    <w:tbl>
      <w:tblPr>
        <w:tblW w:w="8562" w:type="dxa"/>
        <w:tblInd w:w="108" w:type="dxa"/>
        <w:tblBorders>
          <w:bottom w:val="single" w:sz="8" w:space="0" w:color="365F91"/>
          <w:insideH w:val="single" w:sz="8" w:space="0" w:color="365F91"/>
        </w:tblBorders>
        <w:tblLook w:val="04A0" w:firstRow="1" w:lastRow="0" w:firstColumn="1" w:lastColumn="0" w:noHBand="0" w:noVBand="1"/>
      </w:tblPr>
      <w:tblGrid>
        <w:gridCol w:w="4316"/>
        <w:gridCol w:w="1821"/>
        <w:gridCol w:w="2425"/>
      </w:tblGrid>
      <w:tr w:rsidR="00A10636" w:rsidRPr="00D9348B" w14:paraId="1409D593" w14:textId="77777777" w:rsidTr="006A0275">
        <w:tc>
          <w:tcPr>
            <w:tcW w:w="4287" w:type="dxa"/>
            <w:tcBorders>
              <w:top w:val="single" w:sz="4" w:space="0" w:color="365F91"/>
              <w:bottom w:val="single" w:sz="4" w:space="0" w:color="365F91"/>
            </w:tcBorders>
            <w:shd w:val="clear" w:color="auto" w:fill="365F91"/>
            <w:noWrap/>
            <w:vAlign w:val="bottom"/>
            <w:hideMark/>
          </w:tcPr>
          <w:p w14:paraId="7F56E90E" w14:textId="6E37A495" w:rsidR="00A10636" w:rsidRPr="00D9348B" w:rsidRDefault="00766DDA" w:rsidP="00DB330E">
            <w:pPr>
              <w:pStyle w:val="TableTextBold"/>
              <w:keepNext/>
              <w:rPr>
                <w:rFonts w:eastAsia="Arial"/>
                <w:noProof w:val="0"/>
                <w:color w:val="FFFFFF"/>
              </w:rPr>
            </w:pPr>
            <w:r>
              <w:rPr>
                <w:rFonts w:eastAsia="Arial"/>
                <w:noProof w:val="0"/>
                <w:color w:val="FFFFFF"/>
              </w:rPr>
              <w:t>Land-use</w:t>
            </w:r>
            <w:r w:rsidR="00A10636" w:rsidRPr="00D9348B">
              <w:rPr>
                <w:rFonts w:eastAsia="Arial"/>
                <w:noProof w:val="0"/>
                <w:color w:val="FFFFFF"/>
              </w:rPr>
              <w:t xml:space="preserve"> category</w:t>
            </w:r>
          </w:p>
        </w:tc>
        <w:tc>
          <w:tcPr>
            <w:tcW w:w="1809" w:type="dxa"/>
            <w:tcBorders>
              <w:top w:val="single" w:sz="4" w:space="0" w:color="365F91"/>
              <w:bottom w:val="single" w:sz="4" w:space="0" w:color="365F91"/>
            </w:tcBorders>
            <w:shd w:val="clear" w:color="auto" w:fill="365F91"/>
            <w:noWrap/>
            <w:vAlign w:val="bottom"/>
            <w:hideMark/>
          </w:tcPr>
          <w:p w14:paraId="4437B838" w14:textId="77777777" w:rsidR="00A10636" w:rsidRPr="00D9348B" w:rsidRDefault="00A10636" w:rsidP="00DB330E">
            <w:pPr>
              <w:pStyle w:val="TableTextBold"/>
              <w:keepNext/>
              <w:jc w:val="center"/>
              <w:rPr>
                <w:rFonts w:eastAsia="Arial"/>
                <w:noProof w:val="0"/>
                <w:color w:val="FFFFFF"/>
              </w:rPr>
            </w:pPr>
            <w:r w:rsidRPr="00D9348B">
              <w:rPr>
                <w:rFonts w:eastAsia="Arial"/>
                <w:noProof w:val="0"/>
                <w:color w:val="FFFFFF"/>
              </w:rPr>
              <w:t>Absolute emissions by category (kt CO</w:t>
            </w:r>
            <w:r w:rsidRPr="00D9348B">
              <w:rPr>
                <w:rFonts w:eastAsia="Arial"/>
                <w:noProof w:val="0"/>
                <w:color w:val="FFFFFF"/>
                <w:vertAlign w:val="subscript"/>
              </w:rPr>
              <w:t>2</w:t>
            </w:r>
            <w:r w:rsidRPr="00D9348B">
              <w:rPr>
                <w:rFonts w:eastAsia="Arial"/>
                <w:noProof w:val="0"/>
                <w:color w:val="FFFFFF"/>
              </w:rPr>
              <w:t>)</w:t>
            </w:r>
          </w:p>
        </w:tc>
        <w:tc>
          <w:tcPr>
            <w:tcW w:w="2409" w:type="dxa"/>
            <w:tcBorders>
              <w:top w:val="single" w:sz="4" w:space="0" w:color="365F91"/>
              <w:bottom w:val="single" w:sz="4" w:space="0" w:color="365F91"/>
            </w:tcBorders>
            <w:shd w:val="clear" w:color="auto" w:fill="365F91"/>
            <w:noWrap/>
            <w:vAlign w:val="bottom"/>
            <w:hideMark/>
          </w:tcPr>
          <w:p w14:paraId="28A3192F" w14:textId="77777777" w:rsidR="00A10636" w:rsidRPr="00D9348B" w:rsidRDefault="00A10636" w:rsidP="00DB330E">
            <w:pPr>
              <w:pStyle w:val="TableTextBold"/>
              <w:keepNext/>
              <w:jc w:val="center"/>
              <w:rPr>
                <w:rFonts w:eastAsia="Arial"/>
                <w:noProof w:val="0"/>
                <w:color w:val="FFFFFF"/>
              </w:rPr>
            </w:pPr>
            <w:r w:rsidRPr="00D9348B">
              <w:rPr>
                <w:rFonts w:eastAsia="Arial"/>
                <w:noProof w:val="0"/>
                <w:color w:val="FFFFFF"/>
              </w:rPr>
              <w:t>Uncertainty introduced into emissions for LULUCF (%)</w:t>
            </w:r>
          </w:p>
        </w:tc>
      </w:tr>
      <w:tr w:rsidR="00A10636" w:rsidRPr="00D9348B" w14:paraId="138E76C7" w14:textId="77777777" w:rsidTr="006A0275">
        <w:tc>
          <w:tcPr>
            <w:tcW w:w="4287" w:type="dxa"/>
            <w:tcBorders>
              <w:top w:val="single" w:sz="4" w:space="0" w:color="365F91"/>
              <w:left w:val="nil"/>
              <w:bottom w:val="single" w:sz="8" w:space="0" w:color="365F91"/>
              <w:right w:val="nil"/>
            </w:tcBorders>
            <w:shd w:val="clear" w:color="auto" w:fill="auto"/>
            <w:noWrap/>
            <w:hideMark/>
          </w:tcPr>
          <w:p w14:paraId="58533667" w14:textId="77777777" w:rsidR="00A10636" w:rsidRPr="00D9348B" w:rsidRDefault="00A10636" w:rsidP="00DB330E">
            <w:pPr>
              <w:pStyle w:val="TableText"/>
              <w:keepNext/>
              <w:spacing w:before="40" w:after="40"/>
              <w:rPr>
                <w:rFonts w:eastAsia="Arial"/>
              </w:rPr>
            </w:pPr>
            <w:r w:rsidRPr="00D9348B">
              <w:rPr>
                <w:rFonts w:eastAsia="Arial"/>
              </w:rPr>
              <w:t xml:space="preserve">Pre-1990 planted forest remaining pre-1990 planted forest </w:t>
            </w:r>
          </w:p>
        </w:tc>
        <w:tc>
          <w:tcPr>
            <w:tcW w:w="1809" w:type="dxa"/>
            <w:tcBorders>
              <w:top w:val="single" w:sz="4" w:space="0" w:color="365F91"/>
              <w:left w:val="nil"/>
              <w:bottom w:val="single" w:sz="8" w:space="0" w:color="365F91"/>
              <w:right w:val="nil"/>
            </w:tcBorders>
            <w:shd w:val="clear" w:color="auto" w:fill="auto"/>
            <w:noWrap/>
            <w:vAlign w:val="bottom"/>
            <w:hideMark/>
          </w:tcPr>
          <w:p w14:paraId="0B5AEAA2" w14:textId="77777777" w:rsidR="00A10636" w:rsidRPr="00D9348B" w:rsidRDefault="00A10636" w:rsidP="00DB330E">
            <w:pPr>
              <w:pStyle w:val="TableText"/>
              <w:keepNext/>
              <w:tabs>
                <w:tab w:val="decimal" w:pos="511"/>
              </w:tabs>
              <w:spacing w:before="40" w:after="40"/>
              <w:jc w:val="center"/>
              <w:rPr>
                <w:rFonts w:eastAsia="Arial" w:cs="Arial"/>
                <w:szCs w:val="16"/>
              </w:rPr>
            </w:pPr>
            <w:r w:rsidRPr="00D9348B">
              <w:rPr>
                <w:rFonts w:cs="Arial"/>
                <w:szCs w:val="16"/>
              </w:rPr>
              <w:t>1,379.8</w:t>
            </w:r>
          </w:p>
        </w:tc>
        <w:tc>
          <w:tcPr>
            <w:tcW w:w="2409" w:type="dxa"/>
            <w:tcBorders>
              <w:top w:val="single" w:sz="4" w:space="0" w:color="365F91"/>
              <w:left w:val="nil"/>
              <w:bottom w:val="single" w:sz="8" w:space="0" w:color="365F91"/>
              <w:right w:val="nil"/>
            </w:tcBorders>
            <w:shd w:val="clear" w:color="auto" w:fill="auto"/>
            <w:noWrap/>
            <w:vAlign w:val="bottom"/>
            <w:hideMark/>
          </w:tcPr>
          <w:p w14:paraId="39E7FAD4" w14:textId="77777777" w:rsidR="00A10636" w:rsidRPr="00D9348B" w:rsidRDefault="00A10636" w:rsidP="00DB330E">
            <w:pPr>
              <w:pStyle w:val="TableText"/>
              <w:keepNext/>
              <w:tabs>
                <w:tab w:val="decimal" w:pos="511"/>
              </w:tabs>
              <w:spacing w:before="40" w:after="40"/>
              <w:jc w:val="center"/>
              <w:rPr>
                <w:rFonts w:eastAsia="Arial"/>
              </w:rPr>
            </w:pPr>
            <w:r w:rsidRPr="00D9348B">
              <w:rPr>
                <w:rFonts w:eastAsia="Arial"/>
              </w:rPr>
              <w:t>±</w:t>
            </w:r>
            <w:r w:rsidRPr="00D9348B">
              <w:rPr>
                <w:rFonts w:cs="Arial"/>
                <w:szCs w:val="16"/>
              </w:rPr>
              <w:t>34.9</w:t>
            </w:r>
          </w:p>
        </w:tc>
      </w:tr>
      <w:tr w:rsidR="00A10636" w:rsidRPr="00D9348B" w14:paraId="038904A5" w14:textId="77777777" w:rsidTr="006A0275">
        <w:tc>
          <w:tcPr>
            <w:tcW w:w="4287" w:type="dxa"/>
            <w:tcBorders>
              <w:top w:val="single" w:sz="4" w:space="0" w:color="365F91"/>
              <w:left w:val="nil"/>
              <w:bottom w:val="single" w:sz="8" w:space="0" w:color="2E74B5"/>
              <w:right w:val="nil"/>
              <w:tl2br w:val="nil"/>
              <w:tr2bl w:val="nil"/>
            </w:tcBorders>
            <w:shd w:val="clear" w:color="auto" w:fill="auto"/>
            <w:noWrap/>
            <w:hideMark/>
          </w:tcPr>
          <w:p w14:paraId="5B6F6903" w14:textId="77777777" w:rsidR="00A10636" w:rsidRPr="00D9348B" w:rsidRDefault="00A10636" w:rsidP="00DB330E">
            <w:pPr>
              <w:pStyle w:val="TableText"/>
              <w:keepNext/>
              <w:spacing w:before="40" w:after="40"/>
              <w:rPr>
                <w:rFonts w:eastAsia="Arial"/>
              </w:rPr>
            </w:pPr>
            <w:r w:rsidRPr="00D9348B">
              <w:rPr>
                <w:rFonts w:eastAsia="Arial"/>
              </w:rPr>
              <w:t>Harvested wood products</w:t>
            </w:r>
          </w:p>
        </w:tc>
        <w:tc>
          <w:tcPr>
            <w:tcW w:w="1809" w:type="dxa"/>
            <w:tcBorders>
              <w:top w:val="single" w:sz="4" w:space="0" w:color="365F91"/>
              <w:left w:val="nil"/>
              <w:bottom w:val="single" w:sz="8" w:space="0" w:color="2E74B5"/>
              <w:right w:val="nil"/>
              <w:tl2br w:val="nil"/>
              <w:tr2bl w:val="nil"/>
            </w:tcBorders>
            <w:shd w:val="clear" w:color="auto" w:fill="auto"/>
            <w:noWrap/>
            <w:vAlign w:val="bottom"/>
            <w:hideMark/>
          </w:tcPr>
          <w:p w14:paraId="5C1C852F" w14:textId="77777777" w:rsidR="00A10636" w:rsidRPr="00D9348B" w:rsidRDefault="00A10636" w:rsidP="00DB330E">
            <w:pPr>
              <w:pStyle w:val="TableText"/>
              <w:keepNext/>
              <w:tabs>
                <w:tab w:val="decimal" w:pos="511"/>
              </w:tabs>
              <w:spacing w:before="40" w:after="40"/>
              <w:jc w:val="center"/>
              <w:rPr>
                <w:rFonts w:eastAsia="Arial" w:cs="Arial"/>
                <w:szCs w:val="16"/>
              </w:rPr>
            </w:pPr>
            <w:r w:rsidRPr="00D9348B">
              <w:rPr>
                <w:rFonts w:cs="Arial"/>
                <w:szCs w:val="16"/>
              </w:rPr>
              <w:t>10,746.7</w:t>
            </w:r>
          </w:p>
        </w:tc>
        <w:tc>
          <w:tcPr>
            <w:tcW w:w="2409" w:type="dxa"/>
            <w:tcBorders>
              <w:top w:val="single" w:sz="4" w:space="0" w:color="365F91"/>
              <w:left w:val="nil"/>
              <w:bottom w:val="single" w:sz="8" w:space="0" w:color="2E74B5"/>
              <w:right w:val="nil"/>
              <w:tl2br w:val="nil"/>
              <w:tr2bl w:val="nil"/>
            </w:tcBorders>
            <w:shd w:val="clear" w:color="auto" w:fill="auto"/>
            <w:noWrap/>
            <w:vAlign w:val="bottom"/>
            <w:hideMark/>
          </w:tcPr>
          <w:p w14:paraId="4D2E47E5" w14:textId="77777777" w:rsidR="00A10636" w:rsidRPr="00D9348B" w:rsidRDefault="00A10636" w:rsidP="00DB330E">
            <w:pPr>
              <w:pStyle w:val="TableText"/>
              <w:keepNext/>
              <w:tabs>
                <w:tab w:val="decimal" w:pos="511"/>
              </w:tabs>
              <w:spacing w:before="40" w:after="40"/>
              <w:jc w:val="center"/>
              <w:rPr>
                <w:rFonts w:eastAsia="Arial"/>
              </w:rPr>
            </w:pPr>
            <w:r w:rsidRPr="00D9348B">
              <w:rPr>
                <w:rFonts w:eastAsia="Arial"/>
              </w:rPr>
              <w:t>±</w:t>
            </w:r>
            <w:r w:rsidRPr="00D9348B">
              <w:rPr>
                <w:rFonts w:cs="Arial"/>
                <w:szCs w:val="16"/>
              </w:rPr>
              <w:t>31.3</w:t>
            </w:r>
          </w:p>
        </w:tc>
      </w:tr>
      <w:tr w:rsidR="00A10636" w:rsidRPr="00D9348B" w14:paraId="2FA67042" w14:textId="77777777" w:rsidTr="006A0275">
        <w:tc>
          <w:tcPr>
            <w:tcW w:w="4287" w:type="dxa"/>
            <w:tcBorders>
              <w:top w:val="nil"/>
              <w:left w:val="nil"/>
              <w:bottom w:val="single" w:sz="8" w:space="0" w:color="365F91"/>
              <w:right w:val="nil"/>
              <w:tl2br w:val="nil"/>
              <w:tr2bl w:val="nil"/>
            </w:tcBorders>
            <w:shd w:val="clear" w:color="auto" w:fill="auto"/>
            <w:noWrap/>
            <w:hideMark/>
          </w:tcPr>
          <w:p w14:paraId="3A83E95C" w14:textId="77777777" w:rsidR="00A10636" w:rsidRPr="00D9348B" w:rsidRDefault="00A10636" w:rsidP="00DB330E">
            <w:pPr>
              <w:pStyle w:val="TableText"/>
              <w:spacing w:before="40" w:after="40"/>
              <w:rPr>
                <w:rFonts w:eastAsia="Arial"/>
              </w:rPr>
            </w:pPr>
            <w:r w:rsidRPr="00D9348B">
              <w:rPr>
                <w:rFonts w:eastAsia="Arial"/>
              </w:rPr>
              <w:t>Low producing grassland converted to post-1989 forest</w:t>
            </w:r>
          </w:p>
        </w:tc>
        <w:tc>
          <w:tcPr>
            <w:tcW w:w="1809" w:type="dxa"/>
            <w:tcBorders>
              <w:top w:val="nil"/>
              <w:left w:val="nil"/>
              <w:bottom w:val="single" w:sz="8" w:space="0" w:color="365F91"/>
              <w:right w:val="nil"/>
              <w:tl2br w:val="nil"/>
              <w:tr2bl w:val="nil"/>
            </w:tcBorders>
            <w:shd w:val="clear" w:color="auto" w:fill="auto"/>
            <w:noWrap/>
            <w:vAlign w:val="bottom"/>
            <w:hideMark/>
          </w:tcPr>
          <w:p w14:paraId="719C49D5" w14:textId="77777777" w:rsidR="00A10636" w:rsidRPr="00D9348B" w:rsidRDefault="00A10636" w:rsidP="00DB330E">
            <w:pPr>
              <w:pStyle w:val="TableText"/>
              <w:tabs>
                <w:tab w:val="decimal" w:pos="511"/>
              </w:tabs>
              <w:spacing w:before="40" w:after="40"/>
              <w:jc w:val="center"/>
              <w:rPr>
                <w:rFonts w:eastAsia="Arial" w:cs="Arial"/>
                <w:szCs w:val="16"/>
              </w:rPr>
            </w:pPr>
            <w:r w:rsidRPr="00D9348B">
              <w:rPr>
                <w:rFonts w:cs="Arial"/>
                <w:szCs w:val="16"/>
              </w:rPr>
              <w:t>7,963.6</w:t>
            </w:r>
          </w:p>
        </w:tc>
        <w:tc>
          <w:tcPr>
            <w:tcW w:w="2409" w:type="dxa"/>
            <w:tcBorders>
              <w:top w:val="nil"/>
              <w:left w:val="nil"/>
              <w:bottom w:val="single" w:sz="8" w:space="0" w:color="365F91"/>
              <w:right w:val="nil"/>
              <w:tl2br w:val="nil"/>
              <w:tr2bl w:val="nil"/>
            </w:tcBorders>
            <w:shd w:val="clear" w:color="auto" w:fill="auto"/>
            <w:noWrap/>
            <w:vAlign w:val="bottom"/>
            <w:hideMark/>
          </w:tcPr>
          <w:p w14:paraId="13C9614D" w14:textId="77777777" w:rsidR="00A10636" w:rsidRPr="00D9348B" w:rsidRDefault="00A10636" w:rsidP="00DB330E">
            <w:pPr>
              <w:pStyle w:val="TableText"/>
              <w:tabs>
                <w:tab w:val="decimal" w:pos="511"/>
              </w:tabs>
              <w:spacing w:before="40" w:after="40"/>
              <w:jc w:val="center"/>
              <w:rPr>
                <w:rFonts w:eastAsia="Arial"/>
              </w:rPr>
            </w:pPr>
            <w:r w:rsidRPr="00D9348B">
              <w:rPr>
                <w:rFonts w:eastAsia="Arial"/>
              </w:rPr>
              <w:t>±</w:t>
            </w:r>
            <w:r w:rsidRPr="00D9348B">
              <w:rPr>
                <w:rFonts w:cs="Arial"/>
                <w:szCs w:val="16"/>
              </w:rPr>
              <w:t>9.3</w:t>
            </w:r>
          </w:p>
        </w:tc>
      </w:tr>
    </w:tbl>
    <w:p w14:paraId="1F2D710A" w14:textId="77777777" w:rsidR="00A10636" w:rsidRPr="00D9348B" w:rsidRDefault="00A10636" w:rsidP="00A10636">
      <w:pPr>
        <w:pStyle w:val="BodyText"/>
        <w:spacing w:before="240"/>
      </w:pPr>
      <w:r w:rsidRPr="00D9348B">
        <w:t>The greatest contribution of uncertainty to the LULUCF sector arises from pre-1990 planted forest remaining pre-1990 planted forest in the</w:t>
      </w:r>
      <w:r w:rsidRPr="00D9348B">
        <w:rPr>
          <w:i/>
        </w:rPr>
        <w:t xml:space="preserve"> Forest land </w:t>
      </w:r>
      <w:r w:rsidRPr="00D9348B">
        <w:t>category</w:t>
      </w:r>
      <w:r w:rsidRPr="00D9348B">
        <w:rPr>
          <w:i/>
        </w:rPr>
        <w:t>.</w:t>
      </w:r>
      <w:r w:rsidRPr="00D9348B">
        <w:t xml:space="preserve"> The age structure of the pre-1990 planted forest estate results in large removals from growth and large emissions from harvesting, leaving a relatively small net change. The uncertainties are calculated on emissions and removals relative to net change. This results in high uncertainty introduced into emissions for LULUCF, despite relatively low uncertainty in carbon stocks (±11.4 per cent). </w:t>
      </w:r>
    </w:p>
    <w:p w14:paraId="2D56570A" w14:textId="77777777" w:rsidR="00A10636" w:rsidRPr="00D9348B" w:rsidRDefault="00A10636" w:rsidP="00A10636">
      <w:pPr>
        <w:pStyle w:val="BodyText"/>
      </w:pPr>
      <w:r w:rsidRPr="00D9348B">
        <w:rPr>
          <w:i/>
        </w:rPr>
        <w:t>Harvested wood products</w:t>
      </w:r>
      <w:r w:rsidRPr="00D9348B">
        <w:t xml:space="preserve"> provides the second-greatest contribution to uncertainty in the LULUCF sector. This is driven by large removals in the category and relatively high uncertainty associated with the end-use and discard rates of New Zealand wood (±67.4 per cent). </w:t>
      </w:r>
    </w:p>
    <w:p w14:paraId="6455DC45" w14:textId="77777777" w:rsidR="00A10636" w:rsidRPr="00D9348B" w:rsidRDefault="00A10636" w:rsidP="00A10636">
      <w:pPr>
        <w:pStyle w:val="BodyText"/>
        <w:spacing w:before="240"/>
      </w:pPr>
      <w:r w:rsidRPr="00D9348B">
        <w:t xml:space="preserve">The third-largest contribution to uncertainty in the LULUCF sector comes from low producing grassland converted to post-1989 forest. The uncertainty for this category is derived from emissions from harvesting and relatively large removals from forest growth, which overall contribute to large net removals. This results in high uncertainty introduced into emissions for LULUCF, despite relatively low uncertainty in carbon stocks (±12.2 per cent). </w:t>
      </w:r>
    </w:p>
    <w:p w14:paraId="4CF02167" w14:textId="77777777" w:rsidR="00A10636" w:rsidRPr="00D9348B" w:rsidRDefault="00A10636" w:rsidP="00A10636">
      <w:pPr>
        <w:pStyle w:val="BodyText"/>
      </w:pPr>
      <w:r w:rsidRPr="00D9348B">
        <w:t>Further details on the emission factor and activity data uncertainties for specific land uses and non-carbon emissions are given within the relevant sections of this chapter. Further detailed analysis of LULUCF uncertainties is presented in annex 3.2.3.</w:t>
      </w:r>
    </w:p>
    <w:p w14:paraId="333E3A32" w14:textId="77777777" w:rsidR="00A10636" w:rsidRPr="00D9348B" w:rsidRDefault="00A10636" w:rsidP="00A10636">
      <w:pPr>
        <w:pStyle w:val="Heading3"/>
      </w:pPr>
      <w:bookmarkStart w:id="1256" w:name="_Toc280630221"/>
      <w:r w:rsidRPr="00D9348B">
        <w:t>6.1.4</w:t>
      </w:r>
      <w:r w:rsidRPr="00D9348B">
        <w:tab/>
        <w:t>Recalculations in LULUCF</w:t>
      </w:r>
      <w:bookmarkEnd w:id="1256"/>
    </w:p>
    <w:p w14:paraId="754B5878" w14:textId="7CD125D9" w:rsidR="00A10636" w:rsidRPr="00D9348B" w:rsidRDefault="00A10636" w:rsidP="00A10636">
      <w:pPr>
        <w:pStyle w:val="BodyText"/>
      </w:pPr>
      <w:r w:rsidRPr="00D9348B">
        <w:t xml:space="preserve">For the 2020 submission, New Zealand has recalculated its emission estimates for the LULUCF sector from 1990 to 2017, to incorporate new activity data from the creation of a new </w:t>
      </w:r>
      <w:r w:rsidR="00766DDA">
        <w:t>land-use</w:t>
      </w:r>
      <w:r w:rsidRPr="00D9348B">
        <w:t xml:space="preserve"> map and updated emission factors. These recalculations have improved the accuracy, consistency and completeness of the LULUCF estimates. </w:t>
      </w:r>
    </w:p>
    <w:p w14:paraId="668DD84C" w14:textId="77777777" w:rsidR="00A10636" w:rsidRPr="00D9348B" w:rsidRDefault="00A10636" w:rsidP="00A10636">
      <w:pPr>
        <w:pStyle w:val="BodyText"/>
      </w:pPr>
      <w:r w:rsidRPr="00D9348B">
        <w:t>As a result of the recalculations, estimates of net emissions in 1990 have increased by 9.2 per cent, and net emissions in 2017 have increased by 4.4 per cent (see table 6.1.8).</w:t>
      </w:r>
    </w:p>
    <w:p w14:paraId="6AAFBA3E" w14:textId="77777777" w:rsidR="00A10636" w:rsidRPr="00D9348B" w:rsidRDefault="00A10636" w:rsidP="00A10636">
      <w:pPr>
        <w:pStyle w:val="Table"/>
      </w:pPr>
      <w:bookmarkStart w:id="1257" w:name="_Toc310423397"/>
      <w:bookmarkStart w:id="1258" w:name="_Toc318362690"/>
      <w:bookmarkStart w:id="1259" w:name="_Toc342470752"/>
      <w:bookmarkStart w:id="1260" w:name="_Toc352504992"/>
      <w:bookmarkStart w:id="1261" w:name="_Toc378853278"/>
      <w:bookmarkStart w:id="1262" w:name="_Toc391024076"/>
      <w:bookmarkStart w:id="1263" w:name="_Toc410028819"/>
      <w:bookmarkStart w:id="1264" w:name="_Toc414531447"/>
      <w:bookmarkStart w:id="1265" w:name="_Toc443645360"/>
      <w:bookmarkStart w:id="1266" w:name="_Toc474914579"/>
      <w:bookmarkStart w:id="1267" w:name="_Toc481751543"/>
      <w:bookmarkStart w:id="1268" w:name="_Toc522010600"/>
      <w:bookmarkStart w:id="1269" w:name="_Toc5269505"/>
      <w:bookmarkStart w:id="1270" w:name="_Toc33529381"/>
      <w:bookmarkStart w:id="1271" w:name="_Toc36224587"/>
      <w:r w:rsidRPr="00D9348B">
        <w:t>Table 6.1.8</w:t>
      </w:r>
      <w:r w:rsidRPr="00D9348B">
        <w:tab/>
        <w:t>Recalculations to New Zealand’s total net LULUCF emissions</w:t>
      </w:r>
      <w:bookmarkEnd w:id="1257"/>
      <w:bookmarkEnd w:id="1258"/>
      <w:bookmarkEnd w:id="1259"/>
      <w:bookmarkEnd w:id="1260"/>
      <w:bookmarkEnd w:id="1261"/>
      <w:r w:rsidRPr="00D9348B">
        <w:t xml:space="preserve"> for 1990 and</w:t>
      </w:r>
      <w:bookmarkEnd w:id="1262"/>
      <w:r w:rsidRPr="00D9348B">
        <w:t> 201</w:t>
      </w:r>
      <w:bookmarkEnd w:id="1263"/>
      <w:bookmarkEnd w:id="1264"/>
      <w:bookmarkEnd w:id="1265"/>
      <w:bookmarkEnd w:id="1266"/>
      <w:bookmarkEnd w:id="1267"/>
      <w:r w:rsidRPr="00D9348B">
        <w:t>7</w:t>
      </w:r>
      <w:bookmarkEnd w:id="1268"/>
      <w:bookmarkEnd w:id="1269"/>
      <w:bookmarkEnd w:id="1270"/>
      <w:bookmarkEnd w:id="1271"/>
    </w:p>
    <w:tbl>
      <w:tblPr>
        <w:tblW w:w="8562" w:type="dxa"/>
        <w:tblInd w:w="108" w:type="dxa"/>
        <w:tblLook w:val="04A0" w:firstRow="1" w:lastRow="0" w:firstColumn="1" w:lastColumn="0" w:noHBand="0" w:noVBand="1"/>
      </w:tblPr>
      <w:tblGrid>
        <w:gridCol w:w="1696"/>
        <w:gridCol w:w="1891"/>
        <w:gridCol w:w="1892"/>
        <w:gridCol w:w="1541"/>
        <w:gridCol w:w="1542"/>
      </w:tblGrid>
      <w:tr w:rsidR="00A10636" w:rsidRPr="00D9348B" w14:paraId="43E16E12" w14:textId="77777777" w:rsidTr="005A6F84">
        <w:tc>
          <w:tcPr>
            <w:tcW w:w="1685" w:type="dxa"/>
            <w:tcBorders>
              <w:top w:val="single" w:sz="4" w:space="0" w:color="365F91"/>
            </w:tcBorders>
            <w:shd w:val="clear" w:color="auto" w:fill="365F91"/>
          </w:tcPr>
          <w:p w14:paraId="7288C62B" w14:textId="77777777" w:rsidR="00A10636" w:rsidRPr="00D9348B" w:rsidRDefault="00A10636" w:rsidP="00DB330E">
            <w:pPr>
              <w:pStyle w:val="TableTextBold"/>
              <w:spacing w:after="0"/>
              <w:rPr>
                <w:noProof w:val="0"/>
                <w:color w:val="FFFFFF"/>
              </w:rPr>
            </w:pPr>
          </w:p>
        </w:tc>
        <w:tc>
          <w:tcPr>
            <w:tcW w:w="3757" w:type="dxa"/>
            <w:gridSpan w:val="2"/>
            <w:tcBorders>
              <w:top w:val="single" w:sz="4" w:space="0" w:color="365F91"/>
            </w:tcBorders>
            <w:shd w:val="clear" w:color="auto" w:fill="365F91"/>
          </w:tcPr>
          <w:p w14:paraId="0427642C" w14:textId="77777777" w:rsidR="00A10636" w:rsidRPr="00D9348B" w:rsidRDefault="00A10636" w:rsidP="00DB330E">
            <w:pPr>
              <w:pStyle w:val="TableTextBold"/>
              <w:spacing w:after="0"/>
              <w:jc w:val="center"/>
              <w:rPr>
                <w:noProof w:val="0"/>
                <w:color w:val="FFFFFF"/>
              </w:rPr>
            </w:pPr>
            <w:r w:rsidRPr="00D9348B">
              <w:rPr>
                <w:noProof w:val="0"/>
                <w:color w:val="FFFFFF"/>
              </w:rPr>
              <w:t>Reported net emissions</w:t>
            </w:r>
          </w:p>
        </w:tc>
        <w:tc>
          <w:tcPr>
            <w:tcW w:w="3063" w:type="dxa"/>
            <w:gridSpan w:val="2"/>
            <w:tcBorders>
              <w:top w:val="single" w:sz="4" w:space="0" w:color="365F91"/>
            </w:tcBorders>
            <w:shd w:val="clear" w:color="auto" w:fill="365F91"/>
          </w:tcPr>
          <w:p w14:paraId="763AABE5" w14:textId="77777777" w:rsidR="00A10636" w:rsidRPr="00D9348B" w:rsidRDefault="00A10636" w:rsidP="00DB330E">
            <w:pPr>
              <w:pStyle w:val="TableTextBold"/>
              <w:spacing w:after="0"/>
              <w:jc w:val="center"/>
              <w:rPr>
                <w:noProof w:val="0"/>
                <w:color w:val="FFFFFF"/>
              </w:rPr>
            </w:pPr>
            <w:r w:rsidRPr="00D9348B">
              <w:rPr>
                <w:noProof w:val="0"/>
                <w:color w:val="FFFFFF"/>
              </w:rPr>
              <w:t>Change in estimate</w:t>
            </w:r>
          </w:p>
        </w:tc>
      </w:tr>
      <w:tr w:rsidR="00A10636" w:rsidRPr="00D9348B" w14:paraId="711ECD51" w14:textId="77777777" w:rsidTr="005A6F84">
        <w:tc>
          <w:tcPr>
            <w:tcW w:w="1685" w:type="dxa"/>
            <w:tcBorders>
              <w:bottom w:val="single" w:sz="4" w:space="0" w:color="365F91"/>
            </w:tcBorders>
            <w:shd w:val="clear" w:color="auto" w:fill="365F91"/>
            <w:vAlign w:val="bottom"/>
          </w:tcPr>
          <w:p w14:paraId="3A48885F" w14:textId="77777777" w:rsidR="00A10636" w:rsidRPr="00D9348B" w:rsidRDefault="00A10636" w:rsidP="00DB330E">
            <w:pPr>
              <w:pStyle w:val="TableTextBold"/>
              <w:spacing w:before="40" w:after="40"/>
              <w:rPr>
                <w:noProof w:val="0"/>
                <w:color w:val="FFFFFF"/>
              </w:rPr>
            </w:pPr>
            <w:r w:rsidRPr="00D9348B">
              <w:rPr>
                <w:noProof w:val="0"/>
                <w:color w:val="FFFFFF"/>
              </w:rPr>
              <w:t>Year</w:t>
            </w:r>
          </w:p>
        </w:tc>
        <w:tc>
          <w:tcPr>
            <w:tcW w:w="1878" w:type="dxa"/>
            <w:tcBorders>
              <w:bottom w:val="single" w:sz="4" w:space="0" w:color="365F91"/>
            </w:tcBorders>
            <w:shd w:val="clear" w:color="auto" w:fill="365F91"/>
            <w:vAlign w:val="bottom"/>
          </w:tcPr>
          <w:p w14:paraId="0BA48A91" w14:textId="77777777" w:rsidR="00A10636" w:rsidRPr="00D9348B" w:rsidRDefault="00A10636" w:rsidP="00DB330E">
            <w:pPr>
              <w:pStyle w:val="TableTextBold"/>
              <w:spacing w:before="40" w:after="40"/>
              <w:jc w:val="center"/>
              <w:rPr>
                <w:noProof w:val="0"/>
                <w:color w:val="FFFFFF"/>
              </w:rPr>
            </w:pPr>
            <w:r w:rsidRPr="00D9348B">
              <w:rPr>
                <w:noProof w:val="0"/>
                <w:color w:val="FFFFFF"/>
              </w:rPr>
              <w:t xml:space="preserve">2019 submission </w:t>
            </w:r>
            <w:r w:rsidRPr="00D9348B">
              <w:rPr>
                <w:noProof w:val="0"/>
                <w:color w:val="FFFFFF"/>
              </w:rPr>
              <w:br/>
              <w:t>(kt CO</w:t>
            </w:r>
            <w:r w:rsidRPr="00D9348B">
              <w:rPr>
                <w:noProof w:val="0"/>
                <w:color w:val="FFFFFF"/>
                <w:vertAlign w:val="subscript"/>
              </w:rPr>
              <w:t>2</w:t>
            </w:r>
            <w:r w:rsidRPr="00D9348B">
              <w:rPr>
                <w:noProof w:val="0"/>
                <w:color w:val="FFFFFF"/>
              </w:rPr>
              <w:t>-e)</w:t>
            </w:r>
          </w:p>
        </w:tc>
        <w:tc>
          <w:tcPr>
            <w:tcW w:w="1879" w:type="dxa"/>
            <w:tcBorders>
              <w:bottom w:val="single" w:sz="4" w:space="0" w:color="365F91"/>
            </w:tcBorders>
            <w:shd w:val="clear" w:color="auto" w:fill="365F91"/>
            <w:vAlign w:val="bottom"/>
          </w:tcPr>
          <w:p w14:paraId="42649F4A" w14:textId="77777777" w:rsidR="00A10636" w:rsidRPr="00D9348B" w:rsidRDefault="00A10636" w:rsidP="00DB330E">
            <w:pPr>
              <w:pStyle w:val="TableTextBold"/>
              <w:spacing w:before="40" w:after="40"/>
              <w:jc w:val="center"/>
              <w:rPr>
                <w:noProof w:val="0"/>
                <w:color w:val="FFFFFF"/>
              </w:rPr>
            </w:pPr>
            <w:r w:rsidRPr="00D9348B">
              <w:rPr>
                <w:noProof w:val="0"/>
                <w:color w:val="FFFFFF"/>
              </w:rPr>
              <w:t xml:space="preserve">2020 submission </w:t>
            </w:r>
            <w:r w:rsidRPr="00D9348B">
              <w:rPr>
                <w:noProof w:val="0"/>
                <w:color w:val="FFFFFF"/>
              </w:rPr>
              <w:br/>
              <w:t>(kt CO</w:t>
            </w:r>
            <w:r w:rsidRPr="00D9348B">
              <w:rPr>
                <w:noProof w:val="0"/>
                <w:color w:val="FFFFFF"/>
                <w:vertAlign w:val="subscript"/>
              </w:rPr>
              <w:t>2</w:t>
            </w:r>
            <w:r w:rsidRPr="00D9348B">
              <w:rPr>
                <w:noProof w:val="0"/>
                <w:color w:val="FFFFFF"/>
              </w:rPr>
              <w:t>-e)</w:t>
            </w:r>
          </w:p>
        </w:tc>
        <w:tc>
          <w:tcPr>
            <w:tcW w:w="1531" w:type="dxa"/>
            <w:tcBorders>
              <w:bottom w:val="single" w:sz="4" w:space="0" w:color="365F91"/>
            </w:tcBorders>
            <w:shd w:val="clear" w:color="auto" w:fill="365F91"/>
            <w:vAlign w:val="bottom"/>
          </w:tcPr>
          <w:p w14:paraId="293F9FB8" w14:textId="77777777" w:rsidR="00A10636" w:rsidRPr="00D9348B" w:rsidRDefault="00A10636" w:rsidP="00DB330E">
            <w:pPr>
              <w:pStyle w:val="TableTextBold"/>
              <w:spacing w:before="40" w:after="40"/>
              <w:jc w:val="center"/>
              <w:rPr>
                <w:noProof w:val="0"/>
                <w:color w:val="FFFFFF"/>
              </w:rPr>
            </w:pPr>
            <w:r w:rsidRPr="00D9348B">
              <w:rPr>
                <w:noProof w:val="0"/>
                <w:color w:val="FFFFFF"/>
              </w:rPr>
              <w:t>(kt CO</w:t>
            </w:r>
            <w:r w:rsidRPr="00D9348B">
              <w:rPr>
                <w:noProof w:val="0"/>
                <w:color w:val="FFFFFF"/>
                <w:vertAlign w:val="subscript"/>
              </w:rPr>
              <w:t>2</w:t>
            </w:r>
            <w:r w:rsidRPr="00D9348B">
              <w:rPr>
                <w:noProof w:val="0"/>
                <w:color w:val="FFFFFF"/>
              </w:rPr>
              <w:t>-e)</w:t>
            </w:r>
          </w:p>
        </w:tc>
        <w:tc>
          <w:tcPr>
            <w:tcW w:w="1532" w:type="dxa"/>
            <w:tcBorders>
              <w:bottom w:val="single" w:sz="4" w:space="0" w:color="365F91"/>
            </w:tcBorders>
            <w:shd w:val="clear" w:color="auto" w:fill="365F91"/>
            <w:vAlign w:val="bottom"/>
          </w:tcPr>
          <w:p w14:paraId="08DF146A" w14:textId="77777777" w:rsidR="00A10636" w:rsidRPr="00D9348B" w:rsidRDefault="00A10636" w:rsidP="00DB330E">
            <w:pPr>
              <w:pStyle w:val="TableTextBold"/>
              <w:spacing w:before="40" w:after="40"/>
              <w:jc w:val="center"/>
              <w:rPr>
                <w:noProof w:val="0"/>
                <w:color w:val="FFFFFF"/>
              </w:rPr>
            </w:pPr>
            <w:r w:rsidRPr="00D9348B">
              <w:rPr>
                <w:noProof w:val="0"/>
                <w:color w:val="FFFFFF"/>
              </w:rPr>
              <w:t>(%)</w:t>
            </w:r>
          </w:p>
        </w:tc>
      </w:tr>
      <w:tr w:rsidR="00A10636" w:rsidRPr="00D9348B" w14:paraId="1ECFEEFE" w14:textId="77777777" w:rsidTr="006A0275">
        <w:tc>
          <w:tcPr>
            <w:tcW w:w="1685" w:type="dxa"/>
            <w:tcBorders>
              <w:top w:val="single" w:sz="4" w:space="0" w:color="365F91"/>
              <w:bottom w:val="single" w:sz="4" w:space="0" w:color="365F91"/>
            </w:tcBorders>
          </w:tcPr>
          <w:p w14:paraId="45B7A013" w14:textId="77777777" w:rsidR="00A10636" w:rsidRPr="00D9348B" w:rsidRDefault="00A10636" w:rsidP="00DB330E">
            <w:pPr>
              <w:pStyle w:val="TableText"/>
            </w:pPr>
            <w:r w:rsidRPr="00D9348B">
              <w:t>1990</w:t>
            </w:r>
          </w:p>
        </w:tc>
        <w:tc>
          <w:tcPr>
            <w:tcW w:w="1878" w:type="dxa"/>
            <w:tcBorders>
              <w:top w:val="single" w:sz="4" w:space="0" w:color="365F91"/>
              <w:bottom w:val="single" w:sz="4" w:space="0" w:color="365F91"/>
            </w:tcBorders>
          </w:tcPr>
          <w:p w14:paraId="3084D84A" w14:textId="77777777" w:rsidR="00A10636" w:rsidRPr="00D9348B" w:rsidRDefault="00A10636" w:rsidP="00DB330E">
            <w:pPr>
              <w:pStyle w:val="TableText"/>
              <w:jc w:val="center"/>
            </w:pPr>
            <w:r w:rsidRPr="00D9348B">
              <w:rPr>
                <w:rFonts w:cs="Arial"/>
                <w:color w:val="000000"/>
                <w:szCs w:val="16"/>
              </w:rPr>
              <w:t>–</w:t>
            </w:r>
            <w:r w:rsidRPr="00D9348B">
              <w:t>31,161.8</w:t>
            </w:r>
          </w:p>
        </w:tc>
        <w:tc>
          <w:tcPr>
            <w:tcW w:w="1879" w:type="dxa"/>
            <w:tcBorders>
              <w:top w:val="single" w:sz="4" w:space="0" w:color="365F91"/>
              <w:bottom w:val="single" w:sz="4" w:space="0" w:color="365F91"/>
            </w:tcBorders>
          </w:tcPr>
          <w:p w14:paraId="736A4B1F" w14:textId="77777777" w:rsidR="00A10636" w:rsidRPr="00D9348B" w:rsidRDefault="00A10636" w:rsidP="00DB330E">
            <w:pPr>
              <w:pStyle w:val="TableText"/>
              <w:jc w:val="center"/>
            </w:pPr>
            <w:r w:rsidRPr="00D9348B">
              <w:rPr>
                <w:rFonts w:cs="Arial"/>
                <w:color w:val="000000"/>
                <w:szCs w:val="16"/>
              </w:rPr>
              <w:t>–</w:t>
            </w:r>
            <w:r w:rsidRPr="00D9348B">
              <w:t>28,297.0</w:t>
            </w:r>
          </w:p>
        </w:tc>
        <w:tc>
          <w:tcPr>
            <w:tcW w:w="1531" w:type="dxa"/>
            <w:tcBorders>
              <w:top w:val="single" w:sz="4" w:space="0" w:color="365F91"/>
              <w:bottom w:val="single" w:sz="4" w:space="0" w:color="365F91"/>
            </w:tcBorders>
          </w:tcPr>
          <w:p w14:paraId="4FD0E5F6" w14:textId="77777777" w:rsidR="00A10636" w:rsidRPr="00D9348B" w:rsidRDefault="00A10636" w:rsidP="00DB330E">
            <w:pPr>
              <w:pStyle w:val="TableText"/>
              <w:jc w:val="center"/>
            </w:pPr>
            <w:r w:rsidRPr="00D9348B">
              <w:rPr>
                <w:rFonts w:cs="Arial"/>
                <w:color w:val="000000"/>
                <w:szCs w:val="16"/>
              </w:rPr>
              <w:t>2,864.7</w:t>
            </w:r>
          </w:p>
        </w:tc>
        <w:tc>
          <w:tcPr>
            <w:tcW w:w="1532" w:type="dxa"/>
            <w:tcBorders>
              <w:top w:val="single" w:sz="4" w:space="0" w:color="365F91"/>
              <w:bottom w:val="single" w:sz="4" w:space="0" w:color="365F91"/>
            </w:tcBorders>
          </w:tcPr>
          <w:p w14:paraId="1C12F865" w14:textId="77777777" w:rsidR="00A10636" w:rsidRPr="00D9348B" w:rsidRDefault="00A10636" w:rsidP="00DB330E">
            <w:pPr>
              <w:pStyle w:val="TableText"/>
              <w:jc w:val="center"/>
            </w:pPr>
            <w:r w:rsidRPr="00D9348B">
              <w:rPr>
                <w:rFonts w:cs="Arial"/>
                <w:color w:val="000000"/>
                <w:szCs w:val="16"/>
              </w:rPr>
              <w:t>9.2</w:t>
            </w:r>
          </w:p>
        </w:tc>
      </w:tr>
      <w:tr w:rsidR="00A10636" w:rsidRPr="00D9348B" w14:paraId="69DF7C24" w14:textId="77777777" w:rsidTr="006A0275">
        <w:tc>
          <w:tcPr>
            <w:tcW w:w="1685" w:type="dxa"/>
            <w:tcBorders>
              <w:top w:val="single" w:sz="4" w:space="0" w:color="365F91"/>
              <w:bottom w:val="single" w:sz="4" w:space="0" w:color="365F91"/>
            </w:tcBorders>
          </w:tcPr>
          <w:p w14:paraId="2A1057DF" w14:textId="77777777" w:rsidR="00A10636" w:rsidRPr="00D9348B" w:rsidRDefault="00A10636" w:rsidP="00DB330E">
            <w:pPr>
              <w:pStyle w:val="TableText"/>
            </w:pPr>
            <w:r w:rsidRPr="00D9348B">
              <w:t>2017</w:t>
            </w:r>
          </w:p>
        </w:tc>
        <w:tc>
          <w:tcPr>
            <w:tcW w:w="1878" w:type="dxa"/>
            <w:tcBorders>
              <w:top w:val="single" w:sz="4" w:space="0" w:color="365F91"/>
              <w:bottom w:val="single" w:sz="4" w:space="0" w:color="365F91"/>
            </w:tcBorders>
          </w:tcPr>
          <w:p w14:paraId="5007D86F" w14:textId="77777777" w:rsidR="00A10636" w:rsidRPr="00D9348B" w:rsidRDefault="00A10636" w:rsidP="00DB330E">
            <w:pPr>
              <w:pStyle w:val="TableText"/>
              <w:jc w:val="center"/>
            </w:pPr>
            <w:r w:rsidRPr="00D9348B">
              <w:rPr>
                <w:rFonts w:cs="Arial"/>
                <w:color w:val="000000"/>
                <w:szCs w:val="16"/>
              </w:rPr>
              <w:t>–</w:t>
            </w:r>
            <w:r w:rsidRPr="00D9348B">
              <w:t>23,958.4</w:t>
            </w:r>
          </w:p>
        </w:tc>
        <w:tc>
          <w:tcPr>
            <w:tcW w:w="1879" w:type="dxa"/>
            <w:tcBorders>
              <w:top w:val="single" w:sz="4" w:space="0" w:color="365F91"/>
              <w:bottom w:val="single" w:sz="4" w:space="0" w:color="365F91"/>
            </w:tcBorders>
          </w:tcPr>
          <w:p w14:paraId="5806ECAB" w14:textId="77777777" w:rsidR="00A10636" w:rsidRPr="00D9348B" w:rsidRDefault="00A10636" w:rsidP="00DB330E">
            <w:pPr>
              <w:pStyle w:val="TableText"/>
              <w:jc w:val="center"/>
            </w:pPr>
            <w:r w:rsidRPr="00D9348B">
              <w:rPr>
                <w:rFonts w:cs="Arial"/>
                <w:color w:val="000000"/>
                <w:szCs w:val="16"/>
              </w:rPr>
              <w:t>–</w:t>
            </w:r>
            <w:r w:rsidRPr="00D9348B">
              <w:t>22,710.1</w:t>
            </w:r>
          </w:p>
        </w:tc>
        <w:tc>
          <w:tcPr>
            <w:tcW w:w="1531" w:type="dxa"/>
            <w:tcBorders>
              <w:top w:val="single" w:sz="4" w:space="0" w:color="365F91"/>
              <w:bottom w:val="single" w:sz="4" w:space="0" w:color="365F91"/>
            </w:tcBorders>
          </w:tcPr>
          <w:p w14:paraId="1CB24DDD" w14:textId="77777777" w:rsidR="00A10636" w:rsidRPr="00D9348B" w:rsidRDefault="00A10636" w:rsidP="00DB330E">
            <w:pPr>
              <w:pStyle w:val="TableText"/>
              <w:jc w:val="center"/>
            </w:pPr>
            <w:r w:rsidRPr="00D9348B">
              <w:rPr>
                <w:rFonts w:cs="Arial"/>
                <w:color w:val="000000"/>
                <w:szCs w:val="16"/>
              </w:rPr>
              <w:t>1,248.3</w:t>
            </w:r>
          </w:p>
        </w:tc>
        <w:tc>
          <w:tcPr>
            <w:tcW w:w="1532" w:type="dxa"/>
            <w:tcBorders>
              <w:top w:val="single" w:sz="4" w:space="0" w:color="365F91"/>
              <w:bottom w:val="single" w:sz="4" w:space="0" w:color="365F91"/>
            </w:tcBorders>
          </w:tcPr>
          <w:p w14:paraId="7F61E6C8" w14:textId="77777777" w:rsidR="00A10636" w:rsidRPr="00D9348B" w:rsidRDefault="00A10636" w:rsidP="00DB330E">
            <w:pPr>
              <w:pStyle w:val="TableText"/>
              <w:jc w:val="center"/>
            </w:pPr>
            <w:r w:rsidRPr="00D9348B">
              <w:rPr>
                <w:rFonts w:cs="Arial"/>
                <w:color w:val="000000"/>
                <w:szCs w:val="16"/>
              </w:rPr>
              <w:t>5.2</w:t>
            </w:r>
          </w:p>
        </w:tc>
      </w:tr>
    </w:tbl>
    <w:p w14:paraId="3DAA6A16" w14:textId="77777777" w:rsidR="00A10636" w:rsidRPr="00D9348B" w:rsidRDefault="00A10636" w:rsidP="00A10636">
      <w:pPr>
        <w:pStyle w:val="BodyText"/>
        <w:spacing w:before="240"/>
      </w:pPr>
      <w:r w:rsidRPr="00D9348B">
        <w:t>The main differences between this submission and previous estimates of New Zealand’s LULUCF emissions reported in the 2019 submission are the result of the following changes (in decreasing order of magnitude).</w:t>
      </w:r>
    </w:p>
    <w:p w14:paraId="4DB4B53E" w14:textId="77777777" w:rsidR="00A10636" w:rsidRPr="00D9348B" w:rsidRDefault="00A10636" w:rsidP="00A10636">
      <w:pPr>
        <w:pStyle w:val="BodyText"/>
        <w:spacing w:before="240"/>
      </w:pPr>
      <w:r w:rsidRPr="00D9348B">
        <w:lastRenderedPageBreak/>
        <w:t xml:space="preserve">A revised analysis of the pre-1990 natural forest plot data was undertaken for the 2020 submission (Paul et al., unpublished (b)). This resulted in a 55.4 per cent reduction in the estimate for carbon stock change in the regenerating component of pre-1990 natural forest, compared with the previous submission. Details of the revised analysis and the drivers of this reduction can be found in section 6.4.5 under </w:t>
      </w:r>
      <w:r w:rsidRPr="00D9348B">
        <w:rPr>
          <w:i/>
        </w:rPr>
        <w:t>Forest land</w:t>
      </w:r>
      <w:r w:rsidRPr="00D9348B">
        <w:t xml:space="preserve">. </w:t>
      </w:r>
    </w:p>
    <w:p w14:paraId="2899F0E7" w14:textId="77777777" w:rsidR="00A10636" w:rsidRPr="00D9348B" w:rsidRDefault="00A10636" w:rsidP="00A10636">
      <w:pPr>
        <w:pStyle w:val="Bullet"/>
        <w:numPr>
          <w:ilvl w:val="0"/>
          <w:numId w:val="0"/>
        </w:numPr>
      </w:pPr>
      <w:r w:rsidRPr="00D9348B">
        <w:t>The post-1989 planted forest yield table has been revised for the 2020 submission. The revised yield table uses data from the annual national forest inventories of 2016, 2017 and 2018 and previous periodic national forest inventories between 2007 and 2015. The analysis of the data collected has provided a plot-based estimate of carbon stock and mean carbon density within this forest type, which leads to more accurate estimates.</w:t>
      </w:r>
    </w:p>
    <w:p w14:paraId="34BB9E8B" w14:textId="4140A711" w:rsidR="00A10636" w:rsidRPr="00D9348B" w:rsidRDefault="00A10636" w:rsidP="00A10636">
      <w:pPr>
        <w:pStyle w:val="BodyText"/>
      </w:pPr>
      <w:r w:rsidRPr="00D9348B">
        <w:t>The impact of these recalculations on net CO</w:t>
      </w:r>
      <w:r w:rsidRPr="00D9348B">
        <w:rPr>
          <w:vertAlign w:val="subscript"/>
        </w:rPr>
        <w:t>2</w:t>
      </w:r>
      <w:r w:rsidRPr="00D9348B">
        <w:t xml:space="preserve">-e emissions in each </w:t>
      </w:r>
      <w:r w:rsidR="00766DDA">
        <w:t>land-use</w:t>
      </w:r>
      <w:r w:rsidRPr="00D9348B">
        <w:t xml:space="preserve"> category is provided in table 6.1.9. </w:t>
      </w:r>
    </w:p>
    <w:p w14:paraId="1CBDFF0F" w14:textId="77777777" w:rsidR="00A10636" w:rsidRPr="00D9348B" w:rsidRDefault="00A10636" w:rsidP="00A10636">
      <w:pPr>
        <w:pStyle w:val="Table"/>
      </w:pPr>
      <w:bookmarkStart w:id="1272" w:name="_Toc310423398"/>
      <w:bookmarkStart w:id="1273" w:name="_Toc318362691"/>
      <w:bookmarkStart w:id="1274" w:name="_Toc342470753"/>
      <w:bookmarkStart w:id="1275" w:name="_Toc352504993"/>
      <w:bookmarkStart w:id="1276" w:name="_Toc378853279"/>
      <w:bookmarkStart w:id="1277" w:name="_Toc391024077"/>
      <w:bookmarkStart w:id="1278" w:name="_Toc410028820"/>
      <w:bookmarkStart w:id="1279" w:name="_Toc414531448"/>
      <w:bookmarkStart w:id="1280" w:name="_Toc443645361"/>
      <w:bookmarkStart w:id="1281" w:name="_Toc474914580"/>
      <w:bookmarkStart w:id="1282" w:name="_Toc481751544"/>
      <w:bookmarkStart w:id="1283" w:name="_Toc522010601"/>
      <w:bookmarkStart w:id="1284" w:name="_Toc5269506"/>
      <w:bookmarkStart w:id="1285" w:name="_Toc33529382"/>
      <w:bookmarkStart w:id="1286" w:name="_Toc36224588"/>
      <w:r w:rsidRPr="00D9348B">
        <w:t>Table 6.1.9</w:t>
      </w:r>
      <w:r w:rsidRPr="00D9348B">
        <w:tab/>
        <w:t>Recalculations to New Zealand’s net LULUCF emissions for 1990 and</w:t>
      </w:r>
      <w:bookmarkEnd w:id="1272"/>
      <w:bookmarkEnd w:id="1273"/>
      <w:bookmarkEnd w:id="1274"/>
      <w:bookmarkEnd w:id="1275"/>
      <w:r w:rsidRPr="00D9348B">
        <w:t> 201</w:t>
      </w:r>
      <w:bookmarkEnd w:id="1276"/>
      <w:bookmarkEnd w:id="1277"/>
      <w:bookmarkEnd w:id="1278"/>
      <w:bookmarkEnd w:id="1279"/>
      <w:r w:rsidRPr="00D9348B">
        <w:t xml:space="preserve">7 by </w:t>
      </w:r>
      <w:bookmarkEnd w:id="1280"/>
      <w:r w:rsidRPr="00D9348B">
        <w:t>category</w:t>
      </w:r>
      <w:bookmarkEnd w:id="1281"/>
      <w:bookmarkEnd w:id="1282"/>
      <w:bookmarkEnd w:id="1283"/>
      <w:bookmarkEnd w:id="1284"/>
      <w:bookmarkEnd w:id="1285"/>
      <w:bookmarkEnd w:id="1286"/>
    </w:p>
    <w:tbl>
      <w:tblPr>
        <w:tblW w:w="8562" w:type="dxa"/>
        <w:tblInd w:w="108" w:type="dxa"/>
        <w:tblBorders>
          <w:bottom w:val="single" w:sz="8" w:space="0" w:color="365F91"/>
          <w:insideH w:val="single" w:sz="8" w:space="0" w:color="365F91"/>
        </w:tblBorders>
        <w:tblLayout w:type="fixed"/>
        <w:tblCellMar>
          <w:left w:w="85" w:type="dxa"/>
          <w:right w:w="85" w:type="dxa"/>
        </w:tblCellMar>
        <w:tblLook w:val="04A0" w:firstRow="1" w:lastRow="0" w:firstColumn="1" w:lastColumn="0" w:noHBand="0" w:noVBand="1"/>
      </w:tblPr>
      <w:tblGrid>
        <w:gridCol w:w="1891"/>
        <w:gridCol w:w="1144"/>
        <w:gridCol w:w="1145"/>
        <w:gridCol w:w="1157"/>
        <w:gridCol w:w="1134"/>
        <w:gridCol w:w="1031"/>
        <w:gridCol w:w="1060"/>
      </w:tblGrid>
      <w:tr w:rsidR="00A10636" w:rsidRPr="00D9348B" w14:paraId="6745B731" w14:textId="77777777" w:rsidTr="006A0275">
        <w:tc>
          <w:tcPr>
            <w:tcW w:w="1871" w:type="dxa"/>
            <w:vMerge w:val="restart"/>
            <w:tcBorders>
              <w:top w:val="single" w:sz="4" w:space="0" w:color="365F91"/>
              <w:bottom w:val="nil"/>
            </w:tcBorders>
            <w:shd w:val="clear" w:color="auto" w:fill="365F91"/>
            <w:vAlign w:val="bottom"/>
          </w:tcPr>
          <w:p w14:paraId="3FEE9DA5" w14:textId="3E374A3A" w:rsidR="00A10636" w:rsidRPr="00D9348B" w:rsidRDefault="00766DDA" w:rsidP="00DB330E">
            <w:pPr>
              <w:pStyle w:val="TableTextBold"/>
              <w:keepNext/>
              <w:spacing w:before="40" w:after="40"/>
              <w:rPr>
                <w:rFonts w:cs="Calibri"/>
                <w:noProof w:val="0"/>
                <w:color w:val="FFFFFF"/>
                <w:szCs w:val="16"/>
              </w:rPr>
            </w:pPr>
            <w:r>
              <w:rPr>
                <w:rFonts w:cs="Calibri"/>
                <w:noProof w:val="0"/>
                <w:color w:val="FFFFFF"/>
                <w:szCs w:val="16"/>
              </w:rPr>
              <w:t>Land-use</w:t>
            </w:r>
            <w:r w:rsidR="00A10636" w:rsidRPr="00D9348B">
              <w:rPr>
                <w:rFonts w:cs="Calibri"/>
                <w:noProof w:val="0"/>
                <w:color w:val="FFFFFF"/>
                <w:szCs w:val="16"/>
              </w:rPr>
              <w:t xml:space="preserve"> category</w:t>
            </w:r>
          </w:p>
        </w:tc>
        <w:tc>
          <w:tcPr>
            <w:tcW w:w="4536" w:type="dxa"/>
            <w:gridSpan w:val="4"/>
            <w:tcBorders>
              <w:top w:val="single" w:sz="4" w:space="0" w:color="365F91"/>
              <w:bottom w:val="nil"/>
            </w:tcBorders>
            <w:shd w:val="clear" w:color="auto" w:fill="365F91"/>
            <w:noWrap/>
            <w:vAlign w:val="bottom"/>
          </w:tcPr>
          <w:p w14:paraId="40228973" w14:textId="77777777" w:rsidR="00A10636" w:rsidRPr="00D9348B" w:rsidRDefault="00A10636" w:rsidP="00DB330E">
            <w:pPr>
              <w:pStyle w:val="TableTextBold"/>
              <w:keepNext/>
              <w:spacing w:after="0"/>
              <w:jc w:val="center"/>
              <w:rPr>
                <w:rFonts w:cs="Calibri"/>
                <w:noProof w:val="0"/>
                <w:color w:val="FFFFFF"/>
                <w:szCs w:val="16"/>
              </w:rPr>
            </w:pPr>
            <w:r w:rsidRPr="00D9348B">
              <w:rPr>
                <w:rFonts w:cs="Calibri"/>
                <w:noProof w:val="0"/>
                <w:color w:val="FFFFFF"/>
                <w:szCs w:val="16"/>
              </w:rPr>
              <w:t>Net emissions (kt CO</w:t>
            </w:r>
            <w:r w:rsidRPr="00D9348B">
              <w:rPr>
                <w:rFonts w:cs="Calibri"/>
                <w:noProof w:val="0"/>
                <w:color w:val="FFFFFF"/>
                <w:szCs w:val="16"/>
                <w:vertAlign w:val="subscript"/>
              </w:rPr>
              <w:t>2</w:t>
            </w:r>
            <w:r w:rsidRPr="00D9348B">
              <w:rPr>
                <w:rFonts w:cs="Calibri"/>
                <w:noProof w:val="0"/>
                <w:color w:val="FFFFFF"/>
                <w:szCs w:val="16"/>
              </w:rPr>
              <w:t>-e)</w:t>
            </w:r>
          </w:p>
        </w:tc>
        <w:tc>
          <w:tcPr>
            <w:tcW w:w="1021" w:type="dxa"/>
            <w:vMerge w:val="restart"/>
            <w:tcBorders>
              <w:top w:val="single" w:sz="4" w:space="0" w:color="365F91"/>
              <w:bottom w:val="nil"/>
            </w:tcBorders>
            <w:shd w:val="clear" w:color="auto" w:fill="365F91"/>
            <w:vAlign w:val="bottom"/>
          </w:tcPr>
          <w:p w14:paraId="07FFD7B3" w14:textId="77777777" w:rsidR="00A10636" w:rsidRPr="00D9348B" w:rsidRDefault="00A10636" w:rsidP="00DB330E">
            <w:pPr>
              <w:pStyle w:val="TableTextBold"/>
              <w:keepNext/>
              <w:spacing w:before="40" w:after="40"/>
              <w:jc w:val="right"/>
              <w:rPr>
                <w:rFonts w:cs="Calibri"/>
                <w:noProof w:val="0"/>
                <w:color w:val="FFFFFF"/>
                <w:szCs w:val="16"/>
              </w:rPr>
            </w:pPr>
            <w:r w:rsidRPr="00D9348B">
              <w:rPr>
                <w:rFonts w:cs="Calibri"/>
                <w:noProof w:val="0"/>
                <w:color w:val="FFFFFF"/>
                <w:szCs w:val="16"/>
              </w:rPr>
              <w:t xml:space="preserve">Change in 1990 </w:t>
            </w:r>
            <w:r w:rsidRPr="00D9348B">
              <w:rPr>
                <w:rFonts w:cs="Calibri"/>
                <w:noProof w:val="0"/>
                <w:color w:val="FFFFFF"/>
                <w:szCs w:val="16"/>
              </w:rPr>
              <w:br/>
              <w:t>estimate (%)</w:t>
            </w:r>
          </w:p>
        </w:tc>
        <w:tc>
          <w:tcPr>
            <w:tcW w:w="1050" w:type="dxa"/>
            <w:vMerge w:val="restart"/>
            <w:tcBorders>
              <w:top w:val="single" w:sz="4" w:space="0" w:color="365F91"/>
              <w:bottom w:val="nil"/>
            </w:tcBorders>
            <w:shd w:val="clear" w:color="auto" w:fill="365F91"/>
            <w:vAlign w:val="bottom"/>
          </w:tcPr>
          <w:p w14:paraId="7D02961C" w14:textId="77777777" w:rsidR="00A10636" w:rsidRPr="00D9348B" w:rsidRDefault="00A10636" w:rsidP="00DB330E">
            <w:pPr>
              <w:pStyle w:val="TableTextBold"/>
              <w:keepNext/>
              <w:spacing w:before="40" w:after="40"/>
              <w:jc w:val="right"/>
              <w:rPr>
                <w:rFonts w:cs="Calibri"/>
                <w:noProof w:val="0"/>
                <w:color w:val="FFFFFF"/>
                <w:szCs w:val="16"/>
              </w:rPr>
            </w:pPr>
            <w:r w:rsidRPr="00D9348B">
              <w:rPr>
                <w:rFonts w:cs="Calibri"/>
                <w:noProof w:val="0"/>
                <w:color w:val="FFFFFF"/>
                <w:szCs w:val="16"/>
              </w:rPr>
              <w:t>Change in 2017 estimate (%)</w:t>
            </w:r>
          </w:p>
        </w:tc>
      </w:tr>
      <w:tr w:rsidR="00A10636" w:rsidRPr="00D9348B" w14:paraId="6F01400F" w14:textId="77777777" w:rsidTr="006A0275">
        <w:tc>
          <w:tcPr>
            <w:tcW w:w="1871" w:type="dxa"/>
            <w:vMerge/>
            <w:tcBorders>
              <w:top w:val="nil"/>
              <w:left w:val="nil"/>
              <w:bottom w:val="nil"/>
              <w:right w:val="nil"/>
              <w:tl2br w:val="nil"/>
              <w:tr2bl w:val="nil"/>
            </w:tcBorders>
            <w:shd w:val="clear" w:color="auto" w:fill="365F91"/>
            <w:noWrap/>
            <w:vAlign w:val="bottom"/>
          </w:tcPr>
          <w:p w14:paraId="7891B8ED" w14:textId="77777777" w:rsidR="00A10636" w:rsidRPr="00D9348B" w:rsidRDefault="00A10636" w:rsidP="00DB330E">
            <w:pPr>
              <w:pStyle w:val="TableTextBold"/>
              <w:keepNext/>
              <w:spacing w:before="40" w:after="40"/>
              <w:rPr>
                <w:rFonts w:eastAsia="Arial" w:cs="Calibri"/>
                <w:noProof w:val="0"/>
                <w:color w:val="FFFFFF"/>
                <w:szCs w:val="16"/>
              </w:rPr>
            </w:pPr>
          </w:p>
        </w:tc>
        <w:tc>
          <w:tcPr>
            <w:tcW w:w="1133" w:type="dxa"/>
            <w:tcBorders>
              <w:top w:val="nil"/>
              <w:left w:val="nil"/>
              <w:bottom w:val="single" w:sz="4" w:space="0" w:color="365F91"/>
              <w:right w:val="nil"/>
              <w:tl2br w:val="nil"/>
              <w:tr2bl w:val="nil"/>
            </w:tcBorders>
            <w:shd w:val="clear" w:color="auto" w:fill="365F91"/>
            <w:vAlign w:val="bottom"/>
          </w:tcPr>
          <w:p w14:paraId="09704C0B" w14:textId="77777777" w:rsidR="00A10636" w:rsidRPr="00D9348B" w:rsidRDefault="00A10636" w:rsidP="00DB330E">
            <w:pPr>
              <w:pStyle w:val="TableTextBold"/>
              <w:keepNext/>
              <w:spacing w:before="40" w:after="40"/>
              <w:jc w:val="right"/>
              <w:rPr>
                <w:rFonts w:cs="Calibri"/>
                <w:noProof w:val="0"/>
                <w:color w:val="FFFFFF"/>
                <w:szCs w:val="16"/>
              </w:rPr>
            </w:pPr>
            <w:r w:rsidRPr="00D9348B">
              <w:rPr>
                <w:rFonts w:cs="Calibri"/>
                <w:noProof w:val="0"/>
                <w:color w:val="FFFFFF"/>
                <w:szCs w:val="16"/>
              </w:rPr>
              <w:t>2019 submission:</w:t>
            </w:r>
            <w:r w:rsidRPr="00D9348B">
              <w:rPr>
                <w:rFonts w:cs="Calibri"/>
                <w:noProof w:val="0"/>
                <w:color w:val="FFFFFF"/>
                <w:szCs w:val="16"/>
              </w:rPr>
              <w:br/>
              <w:t>1990 estimate</w:t>
            </w:r>
          </w:p>
        </w:tc>
        <w:tc>
          <w:tcPr>
            <w:tcW w:w="1134" w:type="dxa"/>
            <w:tcBorders>
              <w:top w:val="nil"/>
              <w:left w:val="nil"/>
              <w:bottom w:val="single" w:sz="4" w:space="0" w:color="365F91"/>
              <w:right w:val="nil"/>
              <w:tl2br w:val="nil"/>
              <w:tr2bl w:val="nil"/>
            </w:tcBorders>
            <w:shd w:val="clear" w:color="auto" w:fill="365F91"/>
            <w:vAlign w:val="bottom"/>
          </w:tcPr>
          <w:p w14:paraId="342203DC" w14:textId="77777777" w:rsidR="00A10636" w:rsidRPr="00D9348B" w:rsidRDefault="00A10636" w:rsidP="00DB330E">
            <w:pPr>
              <w:pStyle w:val="TableTextBold"/>
              <w:keepNext/>
              <w:spacing w:before="40" w:after="40"/>
              <w:jc w:val="right"/>
              <w:rPr>
                <w:rFonts w:cs="Calibri"/>
                <w:noProof w:val="0"/>
                <w:color w:val="FFFFFF"/>
                <w:szCs w:val="16"/>
              </w:rPr>
            </w:pPr>
            <w:r w:rsidRPr="00D9348B">
              <w:rPr>
                <w:rFonts w:cs="Calibri"/>
                <w:noProof w:val="0"/>
                <w:color w:val="FFFFFF"/>
                <w:szCs w:val="16"/>
              </w:rPr>
              <w:t xml:space="preserve">2020 submission: </w:t>
            </w:r>
            <w:r w:rsidRPr="00D9348B">
              <w:rPr>
                <w:rFonts w:cs="Calibri"/>
                <w:noProof w:val="0"/>
                <w:color w:val="FFFFFF"/>
                <w:szCs w:val="16"/>
              </w:rPr>
              <w:br/>
              <w:t>1990 estimate</w:t>
            </w:r>
          </w:p>
        </w:tc>
        <w:tc>
          <w:tcPr>
            <w:tcW w:w="1146" w:type="dxa"/>
            <w:tcBorders>
              <w:top w:val="nil"/>
              <w:left w:val="nil"/>
              <w:bottom w:val="single" w:sz="4" w:space="0" w:color="365F91"/>
              <w:right w:val="nil"/>
              <w:tl2br w:val="nil"/>
              <w:tr2bl w:val="nil"/>
            </w:tcBorders>
            <w:shd w:val="clear" w:color="auto" w:fill="365F91"/>
            <w:vAlign w:val="bottom"/>
          </w:tcPr>
          <w:p w14:paraId="17FADBCD" w14:textId="77777777" w:rsidR="00A10636" w:rsidRPr="00D9348B" w:rsidRDefault="00A10636" w:rsidP="00DB330E">
            <w:pPr>
              <w:pStyle w:val="TableTextBold"/>
              <w:keepNext/>
              <w:spacing w:before="40" w:after="40"/>
              <w:jc w:val="right"/>
              <w:rPr>
                <w:rFonts w:cs="Calibri"/>
                <w:noProof w:val="0"/>
                <w:color w:val="FFFFFF"/>
                <w:szCs w:val="16"/>
              </w:rPr>
            </w:pPr>
            <w:r w:rsidRPr="00D9348B">
              <w:rPr>
                <w:rFonts w:cs="Calibri"/>
                <w:noProof w:val="0"/>
                <w:color w:val="FFFFFF"/>
                <w:szCs w:val="16"/>
              </w:rPr>
              <w:t>2019 submission:</w:t>
            </w:r>
            <w:r w:rsidRPr="00D9348B">
              <w:rPr>
                <w:rFonts w:cs="Calibri"/>
                <w:noProof w:val="0"/>
                <w:color w:val="FFFFFF"/>
                <w:szCs w:val="16"/>
              </w:rPr>
              <w:br/>
              <w:t>2017 estimate</w:t>
            </w:r>
          </w:p>
        </w:tc>
        <w:tc>
          <w:tcPr>
            <w:tcW w:w="1123" w:type="dxa"/>
            <w:tcBorders>
              <w:top w:val="nil"/>
              <w:left w:val="nil"/>
              <w:bottom w:val="single" w:sz="4" w:space="0" w:color="365F91"/>
              <w:right w:val="nil"/>
              <w:tl2br w:val="nil"/>
              <w:tr2bl w:val="nil"/>
            </w:tcBorders>
            <w:shd w:val="clear" w:color="auto" w:fill="365F91"/>
            <w:vAlign w:val="bottom"/>
          </w:tcPr>
          <w:p w14:paraId="0DCF08E3" w14:textId="77777777" w:rsidR="00A10636" w:rsidRPr="00D9348B" w:rsidRDefault="00A10636" w:rsidP="00DB330E">
            <w:pPr>
              <w:pStyle w:val="TableTextBold"/>
              <w:keepNext/>
              <w:spacing w:before="40" w:after="40"/>
              <w:jc w:val="right"/>
              <w:rPr>
                <w:rFonts w:cs="Calibri"/>
                <w:noProof w:val="0"/>
                <w:color w:val="FFFFFF"/>
                <w:szCs w:val="16"/>
              </w:rPr>
            </w:pPr>
            <w:r w:rsidRPr="00D9348B">
              <w:rPr>
                <w:rFonts w:cs="Calibri"/>
                <w:noProof w:val="0"/>
                <w:color w:val="FFFFFF"/>
                <w:szCs w:val="16"/>
              </w:rPr>
              <w:t xml:space="preserve">2020 submission: </w:t>
            </w:r>
            <w:r w:rsidRPr="00D9348B">
              <w:rPr>
                <w:rFonts w:cs="Calibri"/>
                <w:noProof w:val="0"/>
                <w:color w:val="FFFFFF"/>
                <w:szCs w:val="16"/>
              </w:rPr>
              <w:br/>
              <w:t>2017 estimate</w:t>
            </w:r>
          </w:p>
        </w:tc>
        <w:tc>
          <w:tcPr>
            <w:tcW w:w="1021" w:type="dxa"/>
            <w:vMerge/>
            <w:tcBorders>
              <w:top w:val="nil"/>
              <w:left w:val="nil"/>
              <w:bottom w:val="nil"/>
              <w:right w:val="nil"/>
              <w:tl2br w:val="nil"/>
              <w:tr2bl w:val="nil"/>
            </w:tcBorders>
            <w:shd w:val="clear" w:color="auto" w:fill="365F91"/>
            <w:noWrap/>
            <w:vAlign w:val="bottom"/>
          </w:tcPr>
          <w:p w14:paraId="5A94B5E5" w14:textId="77777777" w:rsidR="00A10636" w:rsidRPr="00D9348B" w:rsidRDefault="00A10636" w:rsidP="00DB330E">
            <w:pPr>
              <w:pStyle w:val="TableTextBold"/>
              <w:keepNext/>
              <w:spacing w:before="40" w:after="40"/>
              <w:jc w:val="right"/>
              <w:rPr>
                <w:rFonts w:eastAsia="Arial" w:cs="Calibri"/>
                <w:noProof w:val="0"/>
                <w:color w:val="FFFFFF"/>
                <w:szCs w:val="16"/>
              </w:rPr>
            </w:pPr>
          </w:p>
        </w:tc>
        <w:tc>
          <w:tcPr>
            <w:tcW w:w="1050" w:type="dxa"/>
            <w:vMerge/>
            <w:tcBorders>
              <w:top w:val="nil"/>
              <w:left w:val="nil"/>
              <w:bottom w:val="nil"/>
              <w:right w:val="nil"/>
              <w:tl2br w:val="nil"/>
              <w:tr2bl w:val="nil"/>
            </w:tcBorders>
            <w:shd w:val="clear" w:color="auto" w:fill="365F91"/>
            <w:noWrap/>
            <w:vAlign w:val="bottom"/>
          </w:tcPr>
          <w:p w14:paraId="1612EC55" w14:textId="77777777" w:rsidR="00A10636" w:rsidRPr="00D9348B" w:rsidRDefault="00A10636" w:rsidP="00DB330E">
            <w:pPr>
              <w:pStyle w:val="TableTextBold"/>
              <w:keepNext/>
              <w:spacing w:before="40" w:after="40"/>
              <w:jc w:val="right"/>
              <w:rPr>
                <w:rFonts w:eastAsia="Arial" w:cs="Calibri"/>
                <w:noProof w:val="0"/>
                <w:color w:val="FFFFFF"/>
                <w:szCs w:val="16"/>
              </w:rPr>
            </w:pPr>
          </w:p>
        </w:tc>
      </w:tr>
      <w:tr w:rsidR="00A10636" w:rsidRPr="00D9348B" w14:paraId="2E5C46A4" w14:textId="77777777" w:rsidTr="006A0275">
        <w:tc>
          <w:tcPr>
            <w:tcW w:w="1871" w:type="dxa"/>
            <w:tcBorders>
              <w:top w:val="single" w:sz="8" w:space="0" w:color="365F91"/>
              <w:left w:val="nil"/>
              <w:bottom w:val="single" w:sz="4" w:space="0" w:color="2E74B5"/>
              <w:right w:val="nil"/>
            </w:tcBorders>
            <w:shd w:val="clear" w:color="auto" w:fill="auto"/>
          </w:tcPr>
          <w:p w14:paraId="1E036EB8" w14:textId="77777777" w:rsidR="00A10636" w:rsidRPr="00D9348B" w:rsidRDefault="00A10636" w:rsidP="00DB330E">
            <w:pPr>
              <w:pStyle w:val="TableText"/>
              <w:keepNext/>
              <w:spacing w:before="50" w:after="50"/>
              <w:rPr>
                <w:rFonts w:eastAsia="Arial" w:cs="Calibri"/>
                <w:szCs w:val="16"/>
              </w:rPr>
            </w:pPr>
            <w:r w:rsidRPr="00D9348B">
              <w:rPr>
                <w:rFonts w:eastAsia="Arial" w:cs="Calibri"/>
                <w:szCs w:val="16"/>
              </w:rPr>
              <w:t>Forest land</w:t>
            </w:r>
          </w:p>
        </w:tc>
        <w:tc>
          <w:tcPr>
            <w:tcW w:w="1133" w:type="dxa"/>
            <w:tcBorders>
              <w:top w:val="single" w:sz="4" w:space="0" w:color="365F91"/>
              <w:left w:val="nil"/>
              <w:bottom w:val="single" w:sz="4" w:space="0" w:color="2E74B5"/>
              <w:right w:val="nil"/>
            </w:tcBorders>
            <w:shd w:val="clear" w:color="auto" w:fill="auto"/>
          </w:tcPr>
          <w:p w14:paraId="04BB58A5" w14:textId="77777777" w:rsidR="00A10636" w:rsidRPr="00D9348B" w:rsidRDefault="00A10636" w:rsidP="00DB330E">
            <w:pPr>
              <w:pStyle w:val="TableText"/>
              <w:spacing w:before="50" w:after="50"/>
              <w:jc w:val="right"/>
              <w:rPr>
                <w:rFonts w:cs="Calibri"/>
                <w:szCs w:val="16"/>
              </w:rPr>
            </w:pPr>
            <w:r w:rsidRPr="00D9348B">
              <w:rPr>
                <w:rFonts w:cs="Calibri"/>
                <w:szCs w:val="16"/>
              </w:rPr>
              <w:t xml:space="preserve">–29,891.0 </w:t>
            </w:r>
          </w:p>
        </w:tc>
        <w:tc>
          <w:tcPr>
            <w:tcW w:w="1134" w:type="dxa"/>
            <w:tcBorders>
              <w:top w:val="single" w:sz="4" w:space="0" w:color="365F91"/>
              <w:left w:val="nil"/>
              <w:bottom w:val="single" w:sz="4" w:space="0" w:color="2E74B5"/>
              <w:right w:val="nil"/>
            </w:tcBorders>
            <w:shd w:val="clear" w:color="auto" w:fill="auto"/>
          </w:tcPr>
          <w:p w14:paraId="22447694" w14:textId="77777777" w:rsidR="00A10636" w:rsidRPr="00D9348B" w:rsidRDefault="00A10636" w:rsidP="00DB330E">
            <w:pPr>
              <w:pStyle w:val="TableText"/>
              <w:spacing w:before="50" w:after="50"/>
              <w:jc w:val="right"/>
              <w:rPr>
                <w:rFonts w:cs="Calibri"/>
                <w:szCs w:val="16"/>
              </w:rPr>
            </w:pPr>
            <w:r w:rsidRPr="00D9348B">
              <w:rPr>
                <w:rFonts w:cs="Calibri"/>
                <w:szCs w:val="16"/>
              </w:rPr>
              <w:t xml:space="preserve">–26,961.3 </w:t>
            </w:r>
          </w:p>
        </w:tc>
        <w:tc>
          <w:tcPr>
            <w:tcW w:w="1146" w:type="dxa"/>
            <w:tcBorders>
              <w:top w:val="single" w:sz="4" w:space="0" w:color="365F91"/>
              <w:left w:val="nil"/>
              <w:bottom w:val="single" w:sz="4" w:space="0" w:color="2E74B5"/>
              <w:right w:val="nil"/>
            </w:tcBorders>
            <w:shd w:val="clear" w:color="auto" w:fill="auto"/>
          </w:tcPr>
          <w:p w14:paraId="3785CDEE" w14:textId="77777777" w:rsidR="00A10636" w:rsidRPr="00D9348B" w:rsidRDefault="00A10636" w:rsidP="00DB330E">
            <w:pPr>
              <w:pStyle w:val="TableText"/>
              <w:spacing w:before="50" w:after="50"/>
              <w:jc w:val="right"/>
              <w:rPr>
                <w:rFonts w:cs="Calibri"/>
                <w:szCs w:val="16"/>
              </w:rPr>
            </w:pPr>
            <w:r w:rsidRPr="00D9348B">
              <w:rPr>
                <w:rFonts w:cs="Calibri"/>
                <w:szCs w:val="16"/>
              </w:rPr>
              <w:t xml:space="preserve">–21,760.7 </w:t>
            </w:r>
          </w:p>
        </w:tc>
        <w:tc>
          <w:tcPr>
            <w:tcW w:w="1123" w:type="dxa"/>
            <w:tcBorders>
              <w:top w:val="single" w:sz="4" w:space="0" w:color="365F91"/>
              <w:left w:val="nil"/>
              <w:bottom w:val="single" w:sz="4" w:space="0" w:color="2E74B5"/>
              <w:right w:val="nil"/>
            </w:tcBorders>
            <w:shd w:val="clear" w:color="auto" w:fill="auto"/>
          </w:tcPr>
          <w:p w14:paraId="2339E5D9" w14:textId="77777777" w:rsidR="00A10636" w:rsidRPr="00D9348B" w:rsidRDefault="00A10636" w:rsidP="00DB330E">
            <w:pPr>
              <w:pStyle w:val="TableText"/>
              <w:spacing w:before="50" w:after="50"/>
              <w:jc w:val="right"/>
              <w:rPr>
                <w:rFonts w:cs="Calibri"/>
                <w:szCs w:val="16"/>
              </w:rPr>
            </w:pPr>
            <w:r w:rsidRPr="00D9348B">
              <w:rPr>
                <w:rFonts w:cs="Calibri"/>
                <w:szCs w:val="16"/>
              </w:rPr>
              <w:t xml:space="preserve">–19,058.0 </w:t>
            </w:r>
          </w:p>
        </w:tc>
        <w:tc>
          <w:tcPr>
            <w:tcW w:w="1021" w:type="dxa"/>
            <w:tcBorders>
              <w:top w:val="single" w:sz="8" w:space="0" w:color="365F91"/>
              <w:left w:val="nil"/>
              <w:bottom w:val="single" w:sz="4" w:space="0" w:color="2E74B5"/>
              <w:right w:val="nil"/>
            </w:tcBorders>
            <w:shd w:val="clear" w:color="auto" w:fill="auto"/>
          </w:tcPr>
          <w:p w14:paraId="7F338D1F" w14:textId="77777777" w:rsidR="00A10636" w:rsidRPr="00D9348B" w:rsidRDefault="00A10636" w:rsidP="00DB330E">
            <w:pPr>
              <w:pStyle w:val="TableText"/>
              <w:spacing w:before="50" w:after="50"/>
              <w:jc w:val="right"/>
              <w:rPr>
                <w:rFonts w:cs="Calibri"/>
                <w:szCs w:val="16"/>
              </w:rPr>
            </w:pPr>
            <w:r w:rsidRPr="00D9348B">
              <w:rPr>
                <w:rFonts w:cs="Calibri"/>
                <w:szCs w:val="16"/>
              </w:rPr>
              <w:t>+9.8</w:t>
            </w:r>
          </w:p>
        </w:tc>
        <w:tc>
          <w:tcPr>
            <w:tcW w:w="1050" w:type="dxa"/>
            <w:tcBorders>
              <w:top w:val="single" w:sz="8" w:space="0" w:color="365F91"/>
              <w:left w:val="nil"/>
              <w:bottom w:val="single" w:sz="4" w:space="0" w:color="2E74B5"/>
              <w:right w:val="nil"/>
            </w:tcBorders>
            <w:shd w:val="clear" w:color="auto" w:fill="auto"/>
          </w:tcPr>
          <w:p w14:paraId="77B9CF8D" w14:textId="77777777" w:rsidR="00A10636" w:rsidRPr="00D9348B" w:rsidRDefault="00A10636" w:rsidP="00DB330E">
            <w:pPr>
              <w:pStyle w:val="TableText"/>
              <w:spacing w:before="50" w:after="50"/>
              <w:jc w:val="right"/>
              <w:rPr>
                <w:rFonts w:cs="Calibri"/>
                <w:szCs w:val="16"/>
              </w:rPr>
            </w:pPr>
            <w:r w:rsidRPr="00D9348B">
              <w:rPr>
                <w:rFonts w:cs="Calibri"/>
                <w:szCs w:val="16"/>
              </w:rPr>
              <w:t>+12.4</w:t>
            </w:r>
          </w:p>
        </w:tc>
      </w:tr>
      <w:tr w:rsidR="00A10636" w:rsidRPr="00D9348B" w14:paraId="52875719" w14:textId="77777777" w:rsidTr="006A0275">
        <w:tc>
          <w:tcPr>
            <w:tcW w:w="1871" w:type="dxa"/>
            <w:tcBorders>
              <w:top w:val="single" w:sz="4" w:space="0" w:color="2E74B5"/>
              <w:left w:val="nil"/>
              <w:bottom w:val="single" w:sz="4" w:space="0" w:color="2E74B5"/>
              <w:right w:val="nil"/>
              <w:tl2br w:val="nil"/>
              <w:tr2bl w:val="nil"/>
            </w:tcBorders>
            <w:shd w:val="clear" w:color="auto" w:fill="auto"/>
          </w:tcPr>
          <w:p w14:paraId="250EC324" w14:textId="77777777" w:rsidR="00A10636" w:rsidRPr="00D9348B" w:rsidRDefault="00A10636" w:rsidP="00DB330E">
            <w:pPr>
              <w:pStyle w:val="TableText"/>
              <w:keepNext/>
              <w:spacing w:before="50" w:after="50"/>
              <w:rPr>
                <w:rFonts w:eastAsia="Arial" w:cs="Calibri"/>
                <w:szCs w:val="16"/>
              </w:rPr>
            </w:pPr>
            <w:r w:rsidRPr="00D9348B">
              <w:rPr>
                <w:rFonts w:eastAsia="Arial" w:cs="Calibri"/>
                <w:szCs w:val="16"/>
              </w:rPr>
              <w:t>Cropland</w:t>
            </w:r>
          </w:p>
        </w:tc>
        <w:tc>
          <w:tcPr>
            <w:tcW w:w="1133" w:type="dxa"/>
            <w:tcBorders>
              <w:top w:val="single" w:sz="4" w:space="0" w:color="2E74B5"/>
              <w:left w:val="nil"/>
              <w:bottom w:val="single" w:sz="4" w:space="0" w:color="2E74B5"/>
              <w:right w:val="nil"/>
              <w:tl2br w:val="nil"/>
              <w:tr2bl w:val="nil"/>
            </w:tcBorders>
            <w:shd w:val="clear" w:color="auto" w:fill="auto"/>
          </w:tcPr>
          <w:p w14:paraId="42611372" w14:textId="77777777" w:rsidR="00A10636" w:rsidRPr="00D9348B" w:rsidRDefault="00A10636" w:rsidP="00DB330E">
            <w:pPr>
              <w:pStyle w:val="TableText"/>
              <w:spacing w:before="50" w:after="50"/>
              <w:jc w:val="right"/>
              <w:rPr>
                <w:rFonts w:cs="Calibri"/>
                <w:szCs w:val="16"/>
              </w:rPr>
            </w:pPr>
            <w:r w:rsidRPr="00D9348B">
              <w:rPr>
                <w:rFonts w:cs="Calibri"/>
                <w:szCs w:val="16"/>
              </w:rPr>
              <w:t xml:space="preserve">476.9 </w:t>
            </w:r>
          </w:p>
        </w:tc>
        <w:tc>
          <w:tcPr>
            <w:tcW w:w="1134" w:type="dxa"/>
            <w:tcBorders>
              <w:top w:val="single" w:sz="4" w:space="0" w:color="2E74B5"/>
              <w:left w:val="nil"/>
              <w:bottom w:val="single" w:sz="4" w:space="0" w:color="2E74B5"/>
              <w:right w:val="nil"/>
              <w:tl2br w:val="nil"/>
              <w:tr2bl w:val="nil"/>
            </w:tcBorders>
            <w:shd w:val="clear" w:color="auto" w:fill="auto"/>
          </w:tcPr>
          <w:p w14:paraId="2133CE50" w14:textId="77777777" w:rsidR="00A10636" w:rsidRPr="00D9348B" w:rsidRDefault="00A10636" w:rsidP="00DB330E">
            <w:pPr>
              <w:pStyle w:val="TableText"/>
              <w:spacing w:before="50" w:after="50"/>
              <w:jc w:val="right"/>
              <w:rPr>
                <w:rFonts w:cs="Calibri"/>
                <w:szCs w:val="16"/>
              </w:rPr>
            </w:pPr>
            <w:r w:rsidRPr="00D9348B">
              <w:rPr>
                <w:rFonts w:cs="Calibri"/>
                <w:szCs w:val="16"/>
              </w:rPr>
              <w:t xml:space="preserve">476.2 </w:t>
            </w:r>
          </w:p>
        </w:tc>
        <w:tc>
          <w:tcPr>
            <w:tcW w:w="1146" w:type="dxa"/>
            <w:tcBorders>
              <w:top w:val="single" w:sz="4" w:space="0" w:color="2E74B5"/>
              <w:left w:val="nil"/>
              <w:bottom w:val="single" w:sz="4" w:space="0" w:color="2E74B5"/>
              <w:right w:val="nil"/>
              <w:tl2br w:val="nil"/>
              <w:tr2bl w:val="nil"/>
            </w:tcBorders>
            <w:shd w:val="clear" w:color="auto" w:fill="auto"/>
          </w:tcPr>
          <w:p w14:paraId="5B7E9AFE" w14:textId="77777777" w:rsidR="00A10636" w:rsidRPr="00D9348B" w:rsidRDefault="00A10636" w:rsidP="00DB330E">
            <w:pPr>
              <w:pStyle w:val="TableText"/>
              <w:spacing w:before="50" w:after="50"/>
              <w:jc w:val="right"/>
              <w:rPr>
                <w:rFonts w:cs="Calibri"/>
                <w:szCs w:val="16"/>
              </w:rPr>
            </w:pPr>
            <w:r w:rsidRPr="00D9348B">
              <w:rPr>
                <w:rFonts w:cs="Calibri"/>
                <w:szCs w:val="16"/>
              </w:rPr>
              <w:t xml:space="preserve">396.3 </w:t>
            </w:r>
          </w:p>
        </w:tc>
        <w:tc>
          <w:tcPr>
            <w:tcW w:w="1123" w:type="dxa"/>
            <w:tcBorders>
              <w:top w:val="single" w:sz="4" w:space="0" w:color="2E74B5"/>
              <w:left w:val="nil"/>
              <w:bottom w:val="single" w:sz="4" w:space="0" w:color="2E74B5"/>
              <w:right w:val="nil"/>
              <w:tl2br w:val="nil"/>
              <w:tr2bl w:val="nil"/>
            </w:tcBorders>
            <w:shd w:val="clear" w:color="auto" w:fill="auto"/>
          </w:tcPr>
          <w:p w14:paraId="230CEA80" w14:textId="77777777" w:rsidR="00A10636" w:rsidRPr="00D9348B" w:rsidRDefault="00A10636" w:rsidP="00DB330E">
            <w:pPr>
              <w:pStyle w:val="TableText"/>
              <w:spacing w:before="50" w:after="50"/>
              <w:jc w:val="right"/>
              <w:rPr>
                <w:rFonts w:cs="Calibri"/>
                <w:szCs w:val="16"/>
              </w:rPr>
            </w:pPr>
            <w:r w:rsidRPr="00D9348B">
              <w:rPr>
                <w:rFonts w:cs="Calibri"/>
                <w:szCs w:val="16"/>
              </w:rPr>
              <w:t xml:space="preserve">395.7 </w:t>
            </w:r>
          </w:p>
        </w:tc>
        <w:tc>
          <w:tcPr>
            <w:tcW w:w="1021" w:type="dxa"/>
            <w:tcBorders>
              <w:top w:val="single" w:sz="4" w:space="0" w:color="2E74B5"/>
              <w:left w:val="nil"/>
              <w:bottom w:val="single" w:sz="4" w:space="0" w:color="2E74B5"/>
              <w:right w:val="nil"/>
              <w:tl2br w:val="nil"/>
              <w:tr2bl w:val="nil"/>
            </w:tcBorders>
            <w:shd w:val="clear" w:color="auto" w:fill="auto"/>
          </w:tcPr>
          <w:p w14:paraId="418CFD60" w14:textId="77777777" w:rsidR="00A10636" w:rsidRPr="00D9348B" w:rsidRDefault="00A10636" w:rsidP="00DB330E">
            <w:pPr>
              <w:pStyle w:val="TableText"/>
              <w:spacing w:before="50" w:after="50"/>
              <w:jc w:val="right"/>
              <w:rPr>
                <w:rFonts w:cs="Calibri"/>
                <w:szCs w:val="16"/>
              </w:rPr>
            </w:pPr>
            <w:r w:rsidRPr="00D9348B">
              <w:rPr>
                <w:rFonts w:cs="Calibri"/>
                <w:szCs w:val="16"/>
              </w:rPr>
              <w:t>–0.2</w:t>
            </w:r>
          </w:p>
        </w:tc>
        <w:tc>
          <w:tcPr>
            <w:tcW w:w="1050" w:type="dxa"/>
            <w:tcBorders>
              <w:top w:val="single" w:sz="4" w:space="0" w:color="2E74B5"/>
              <w:left w:val="nil"/>
              <w:bottom w:val="single" w:sz="4" w:space="0" w:color="2E74B5"/>
              <w:right w:val="nil"/>
              <w:tl2br w:val="nil"/>
              <w:tr2bl w:val="nil"/>
            </w:tcBorders>
            <w:shd w:val="clear" w:color="auto" w:fill="auto"/>
          </w:tcPr>
          <w:p w14:paraId="58E133A6" w14:textId="77777777" w:rsidR="00A10636" w:rsidRPr="00D9348B" w:rsidRDefault="00A10636" w:rsidP="00DB330E">
            <w:pPr>
              <w:pStyle w:val="TableText"/>
              <w:spacing w:before="50" w:after="50"/>
              <w:jc w:val="right"/>
              <w:rPr>
                <w:rFonts w:cs="Calibri"/>
                <w:szCs w:val="16"/>
              </w:rPr>
            </w:pPr>
            <w:r w:rsidRPr="00D9348B">
              <w:rPr>
                <w:rFonts w:cs="Calibri"/>
                <w:szCs w:val="16"/>
              </w:rPr>
              <w:t>–0.1</w:t>
            </w:r>
          </w:p>
        </w:tc>
      </w:tr>
      <w:tr w:rsidR="00A10636" w:rsidRPr="00D9348B" w14:paraId="7741F774" w14:textId="77777777" w:rsidTr="006A0275">
        <w:tc>
          <w:tcPr>
            <w:tcW w:w="1871" w:type="dxa"/>
            <w:tcBorders>
              <w:top w:val="single" w:sz="4" w:space="0" w:color="2E74B5"/>
              <w:left w:val="nil"/>
              <w:bottom w:val="single" w:sz="4" w:space="0" w:color="2E74B5"/>
              <w:right w:val="nil"/>
            </w:tcBorders>
            <w:shd w:val="clear" w:color="auto" w:fill="auto"/>
          </w:tcPr>
          <w:p w14:paraId="2D253439" w14:textId="77777777" w:rsidR="00A10636" w:rsidRPr="00D9348B" w:rsidRDefault="00A10636" w:rsidP="00DB330E">
            <w:pPr>
              <w:pStyle w:val="TableText"/>
              <w:spacing w:before="50" w:after="50"/>
              <w:rPr>
                <w:rFonts w:eastAsia="Arial" w:cs="Calibri"/>
                <w:szCs w:val="16"/>
              </w:rPr>
            </w:pPr>
            <w:r w:rsidRPr="00D9348B">
              <w:rPr>
                <w:rFonts w:eastAsia="Arial" w:cs="Calibri"/>
                <w:szCs w:val="16"/>
              </w:rPr>
              <w:t>Grassland</w:t>
            </w:r>
          </w:p>
        </w:tc>
        <w:tc>
          <w:tcPr>
            <w:tcW w:w="1133" w:type="dxa"/>
            <w:tcBorders>
              <w:top w:val="single" w:sz="4" w:space="0" w:color="2E74B5"/>
              <w:left w:val="nil"/>
              <w:bottom w:val="single" w:sz="4" w:space="0" w:color="2E74B5"/>
              <w:right w:val="nil"/>
            </w:tcBorders>
            <w:shd w:val="clear" w:color="auto" w:fill="auto"/>
          </w:tcPr>
          <w:p w14:paraId="075135E5" w14:textId="77777777" w:rsidR="00A10636" w:rsidRPr="00D9348B" w:rsidRDefault="00A10636" w:rsidP="00DB330E">
            <w:pPr>
              <w:pStyle w:val="TableText"/>
              <w:spacing w:before="50" w:after="50"/>
              <w:jc w:val="right"/>
              <w:rPr>
                <w:rFonts w:cs="Calibri"/>
                <w:szCs w:val="16"/>
              </w:rPr>
            </w:pPr>
            <w:r w:rsidRPr="00D9348B">
              <w:rPr>
                <w:rFonts w:cs="Calibri"/>
                <w:szCs w:val="16"/>
              </w:rPr>
              <w:t xml:space="preserve">249.0 </w:t>
            </w:r>
          </w:p>
        </w:tc>
        <w:tc>
          <w:tcPr>
            <w:tcW w:w="1134" w:type="dxa"/>
            <w:tcBorders>
              <w:top w:val="single" w:sz="4" w:space="0" w:color="2E74B5"/>
              <w:left w:val="nil"/>
              <w:bottom w:val="single" w:sz="4" w:space="0" w:color="2E74B5"/>
              <w:right w:val="nil"/>
            </w:tcBorders>
            <w:shd w:val="clear" w:color="auto" w:fill="auto"/>
          </w:tcPr>
          <w:p w14:paraId="518D34BC" w14:textId="77777777" w:rsidR="00A10636" w:rsidRPr="00D9348B" w:rsidRDefault="00A10636" w:rsidP="00DB330E">
            <w:pPr>
              <w:pStyle w:val="TableText"/>
              <w:spacing w:before="50" w:after="50"/>
              <w:jc w:val="right"/>
              <w:rPr>
                <w:rFonts w:cs="Calibri"/>
                <w:szCs w:val="16"/>
              </w:rPr>
            </w:pPr>
            <w:r w:rsidRPr="00D9348B">
              <w:rPr>
                <w:rFonts w:cs="Calibri"/>
                <w:szCs w:val="16"/>
              </w:rPr>
              <w:t xml:space="preserve">186.3 </w:t>
            </w:r>
          </w:p>
        </w:tc>
        <w:tc>
          <w:tcPr>
            <w:tcW w:w="1146" w:type="dxa"/>
            <w:tcBorders>
              <w:top w:val="single" w:sz="4" w:space="0" w:color="2E74B5"/>
              <w:left w:val="nil"/>
              <w:bottom w:val="single" w:sz="4" w:space="0" w:color="2E74B5"/>
              <w:right w:val="nil"/>
            </w:tcBorders>
            <w:shd w:val="clear" w:color="auto" w:fill="auto"/>
          </w:tcPr>
          <w:p w14:paraId="312CE006" w14:textId="77777777" w:rsidR="00A10636" w:rsidRPr="00D9348B" w:rsidRDefault="00A10636" w:rsidP="00DB330E">
            <w:pPr>
              <w:pStyle w:val="TableText"/>
              <w:spacing w:before="50" w:after="50"/>
              <w:jc w:val="right"/>
              <w:rPr>
                <w:rFonts w:cs="Calibri"/>
                <w:szCs w:val="16"/>
              </w:rPr>
            </w:pPr>
            <w:r w:rsidRPr="00D9348B">
              <w:rPr>
                <w:rFonts w:cs="Calibri"/>
                <w:szCs w:val="16"/>
              </w:rPr>
              <w:t xml:space="preserve">3,760.6 </w:t>
            </w:r>
          </w:p>
        </w:tc>
        <w:tc>
          <w:tcPr>
            <w:tcW w:w="1123" w:type="dxa"/>
            <w:tcBorders>
              <w:top w:val="single" w:sz="4" w:space="0" w:color="2E74B5"/>
              <w:left w:val="nil"/>
              <w:bottom w:val="single" w:sz="4" w:space="0" w:color="2E74B5"/>
              <w:right w:val="nil"/>
            </w:tcBorders>
            <w:shd w:val="clear" w:color="auto" w:fill="auto"/>
          </w:tcPr>
          <w:p w14:paraId="219B03D9" w14:textId="77777777" w:rsidR="00A10636" w:rsidRPr="00D9348B" w:rsidRDefault="00A10636" w:rsidP="00DB330E">
            <w:pPr>
              <w:pStyle w:val="TableText"/>
              <w:spacing w:before="50" w:after="50"/>
              <w:jc w:val="right"/>
              <w:rPr>
                <w:rFonts w:cs="Calibri"/>
                <w:szCs w:val="16"/>
              </w:rPr>
            </w:pPr>
            <w:r w:rsidRPr="00D9348B">
              <w:rPr>
                <w:rFonts w:cs="Calibri"/>
                <w:szCs w:val="16"/>
              </w:rPr>
              <w:t xml:space="preserve">4,164.3 </w:t>
            </w:r>
          </w:p>
        </w:tc>
        <w:tc>
          <w:tcPr>
            <w:tcW w:w="1021" w:type="dxa"/>
            <w:tcBorders>
              <w:top w:val="single" w:sz="4" w:space="0" w:color="2E74B5"/>
              <w:left w:val="nil"/>
              <w:bottom w:val="single" w:sz="4" w:space="0" w:color="2E74B5"/>
              <w:right w:val="nil"/>
            </w:tcBorders>
            <w:shd w:val="clear" w:color="auto" w:fill="auto"/>
          </w:tcPr>
          <w:p w14:paraId="52EF621D" w14:textId="77777777" w:rsidR="00A10636" w:rsidRPr="00D9348B" w:rsidRDefault="00A10636" w:rsidP="00DB330E">
            <w:pPr>
              <w:pStyle w:val="TableText"/>
              <w:spacing w:before="50" w:after="50"/>
              <w:jc w:val="right"/>
              <w:rPr>
                <w:rFonts w:cs="Calibri"/>
                <w:szCs w:val="16"/>
              </w:rPr>
            </w:pPr>
            <w:r w:rsidRPr="00D9348B">
              <w:rPr>
                <w:rFonts w:cs="Calibri"/>
                <w:szCs w:val="16"/>
              </w:rPr>
              <w:t>–25.17</w:t>
            </w:r>
          </w:p>
        </w:tc>
        <w:tc>
          <w:tcPr>
            <w:tcW w:w="1050" w:type="dxa"/>
            <w:tcBorders>
              <w:top w:val="single" w:sz="4" w:space="0" w:color="2E74B5"/>
              <w:left w:val="nil"/>
              <w:bottom w:val="single" w:sz="4" w:space="0" w:color="2E74B5"/>
              <w:right w:val="nil"/>
            </w:tcBorders>
            <w:shd w:val="clear" w:color="auto" w:fill="auto"/>
          </w:tcPr>
          <w:p w14:paraId="4493DAE9" w14:textId="77777777" w:rsidR="00A10636" w:rsidRPr="00D9348B" w:rsidRDefault="00A10636" w:rsidP="00DB330E">
            <w:pPr>
              <w:pStyle w:val="TableText"/>
              <w:spacing w:before="50" w:after="50"/>
              <w:jc w:val="right"/>
              <w:rPr>
                <w:rFonts w:cs="Calibri"/>
                <w:szCs w:val="16"/>
              </w:rPr>
            </w:pPr>
            <w:r w:rsidRPr="00D9348B">
              <w:rPr>
                <w:rFonts w:cs="Calibri"/>
                <w:szCs w:val="16"/>
              </w:rPr>
              <w:t>+10.7</w:t>
            </w:r>
          </w:p>
        </w:tc>
      </w:tr>
      <w:tr w:rsidR="00A10636" w:rsidRPr="00D9348B" w14:paraId="036AB3CF" w14:textId="77777777" w:rsidTr="006A0275">
        <w:tc>
          <w:tcPr>
            <w:tcW w:w="1871" w:type="dxa"/>
            <w:tcBorders>
              <w:top w:val="single" w:sz="4" w:space="0" w:color="2E74B5"/>
              <w:left w:val="nil"/>
              <w:bottom w:val="single" w:sz="4" w:space="0" w:color="2E74B5"/>
              <w:right w:val="nil"/>
              <w:tl2br w:val="nil"/>
              <w:tr2bl w:val="nil"/>
            </w:tcBorders>
            <w:shd w:val="clear" w:color="auto" w:fill="auto"/>
          </w:tcPr>
          <w:p w14:paraId="38BF230A" w14:textId="77777777" w:rsidR="00A10636" w:rsidRPr="00D9348B" w:rsidRDefault="00A10636" w:rsidP="00DB330E">
            <w:pPr>
              <w:pStyle w:val="TableText"/>
              <w:spacing w:before="50" w:after="50"/>
              <w:rPr>
                <w:rFonts w:eastAsia="Arial" w:cs="Calibri"/>
                <w:szCs w:val="16"/>
              </w:rPr>
            </w:pPr>
            <w:r w:rsidRPr="00D9348B">
              <w:rPr>
                <w:rFonts w:eastAsia="Arial" w:cs="Calibri"/>
                <w:szCs w:val="16"/>
              </w:rPr>
              <w:t>Wetlands</w:t>
            </w:r>
          </w:p>
        </w:tc>
        <w:tc>
          <w:tcPr>
            <w:tcW w:w="1133" w:type="dxa"/>
            <w:tcBorders>
              <w:top w:val="single" w:sz="4" w:space="0" w:color="2E74B5"/>
              <w:left w:val="nil"/>
              <w:bottom w:val="single" w:sz="4" w:space="0" w:color="2E74B5"/>
              <w:right w:val="nil"/>
              <w:tl2br w:val="nil"/>
              <w:tr2bl w:val="nil"/>
            </w:tcBorders>
            <w:shd w:val="clear" w:color="auto" w:fill="auto"/>
          </w:tcPr>
          <w:p w14:paraId="17B000E4" w14:textId="77777777" w:rsidR="00A10636" w:rsidRPr="00D9348B" w:rsidRDefault="00A10636" w:rsidP="00DB330E">
            <w:pPr>
              <w:pStyle w:val="TableText"/>
              <w:spacing w:before="50" w:after="50"/>
              <w:jc w:val="right"/>
              <w:rPr>
                <w:rFonts w:cs="Calibri"/>
                <w:szCs w:val="16"/>
              </w:rPr>
            </w:pPr>
            <w:r w:rsidRPr="00D9348B">
              <w:rPr>
                <w:rFonts w:cs="Calibri"/>
                <w:szCs w:val="16"/>
              </w:rPr>
              <w:t xml:space="preserve">–10.0 </w:t>
            </w:r>
          </w:p>
        </w:tc>
        <w:tc>
          <w:tcPr>
            <w:tcW w:w="1134" w:type="dxa"/>
            <w:tcBorders>
              <w:top w:val="single" w:sz="4" w:space="0" w:color="2E74B5"/>
              <w:left w:val="nil"/>
              <w:bottom w:val="single" w:sz="4" w:space="0" w:color="2E74B5"/>
              <w:right w:val="nil"/>
              <w:tl2br w:val="nil"/>
              <w:tr2bl w:val="nil"/>
            </w:tcBorders>
            <w:shd w:val="clear" w:color="auto" w:fill="auto"/>
            <w:noWrap/>
          </w:tcPr>
          <w:p w14:paraId="561EDE87" w14:textId="77777777" w:rsidR="00A10636" w:rsidRPr="00D9348B" w:rsidRDefault="00A10636" w:rsidP="00DB330E">
            <w:pPr>
              <w:pStyle w:val="TableText"/>
              <w:spacing w:before="50" w:after="50"/>
              <w:jc w:val="right"/>
              <w:rPr>
                <w:rFonts w:cs="Calibri"/>
                <w:szCs w:val="16"/>
              </w:rPr>
            </w:pPr>
            <w:r w:rsidRPr="00D9348B">
              <w:rPr>
                <w:rFonts w:cs="Calibri"/>
                <w:szCs w:val="16"/>
              </w:rPr>
              <w:t xml:space="preserve">–10.7 </w:t>
            </w:r>
          </w:p>
        </w:tc>
        <w:tc>
          <w:tcPr>
            <w:tcW w:w="1146" w:type="dxa"/>
            <w:tcBorders>
              <w:top w:val="single" w:sz="4" w:space="0" w:color="2E74B5"/>
              <w:left w:val="nil"/>
              <w:bottom w:val="single" w:sz="4" w:space="0" w:color="2E74B5"/>
              <w:right w:val="nil"/>
              <w:tl2br w:val="nil"/>
              <w:tr2bl w:val="nil"/>
            </w:tcBorders>
            <w:shd w:val="clear" w:color="auto" w:fill="auto"/>
            <w:noWrap/>
          </w:tcPr>
          <w:p w14:paraId="794BC79E" w14:textId="77777777" w:rsidR="00A10636" w:rsidRPr="00D9348B" w:rsidRDefault="00A10636" w:rsidP="00DB330E">
            <w:pPr>
              <w:pStyle w:val="TableText"/>
              <w:spacing w:before="50" w:after="50"/>
              <w:jc w:val="right"/>
              <w:rPr>
                <w:rFonts w:cs="Calibri"/>
                <w:szCs w:val="16"/>
              </w:rPr>
            </w:pPr>
            <w:r w:rsidRPr="00D9348B">
              <w:rPr>
                <w:rFonts w:cs="Calibri"/>
                <w:szCs w:val="16"/>
              </w:rPr>
              <w:t xml:space="preserve">13.9 </w:t>
            </w:r>
          </w:p>
        </w:tc>
        <w:tc>
          <w:tcPr>
            <w:tcW w:w="1123" w:type="dxa"/>
            <w:tcBorders>
              <w:top w:val="single" w:sz="4" w:space="0" w:color="2E74B5"/>
              <w:left w:val="nil"/>
              <w:bottom w:val="single" w:sz="4" w:space="0" w:color="2E74B5"/>
              <w:right w:val="nil"/>
              <w:tl2br w:val="nil"/>
              <w:tr2bl w:val="nil"/>
            </w:tcBorders>
            <w:shd w:val="clear" w:color="auto" w:fill="auto"/>
          </w:tcPr>
          <w:p w14:paraId="6B35EBC9" w14:textId="77777777" w:rsidR="00A10636" w:rsidRPr="00D9348B" w:rsidRDefault="00A10636" w:rsidP="00DB330E">
            <w:pPr>
              <w:pStyle w:val="TableText"/>
              <w:spacing w:before="50" w:after="50"/>
              <w:jc w:val="right"/>
              <w:rPr>
                <w:rFonts w:cs="Calibri"/>
                <w:szCs w:val="16"/>
              </w:rPr>
            </w:pPr>
            <w:r w:rsidRPr="00D9348B">
              <w:rPr>
                <w:rFonts w:cs="Calibri"/>
                <w:szCs w:val="16"/>
              </w:rPr>
              <w:t xml:space="preserve">13.7 </w:t>
            </w:r>
          </w:p>
        </w:tc>
        <w:tc>
          <w:tcPr>
            <w:tcW w:w="1021" w:type="dxa"/>
            <w:tcBorders>
              <w:top w:val="single" w:sz="4" w:space="0" w:color="2E74B5"/>
              <w:left w:val="nil"/>
              <w:bottom w:val="single" w:sz="4" w:space="0" w:color="2E74B5"/>
              <w:right w:val="nil"/>
              <w:tl2br w:val="nil"/>
              <w:tr2bl w:val="nil"/>
            </w:tcBorders>
            <w:shd w:val="clear" w:color="auto" w:fill="auto"/>
          </w:tcPr>
          <w:p w14:paraId="0EA373BC" w14:textId="77777777" w:rsidR="00A10636" w:rsidRPr="00D9348B" w:rsidRDefault="00A10636" w:rsidP="00DB330E">
            <w:pPr>
              <w:pStyle w:val="TableText"/>
              <w:spacing w:before="50" w:after="50"/>
              <w:jc w:val="right"/>
              <w:rPr>
                <w:rFonts w:cs="Calibri"/>
                <w:szCs w:val="16"/>
              </w:rPr>
            </w:pPr>
            <w:r w:rsidRPr="00D9348B">
              <w:rPr>
                <w:rFonts w:cs="Calibri"/>
                <w:szCs w:val="16"/>
              </w:rPr>
              <w:t>–7.1</w:t>
            </w:r>
          </w:p>
        </w:tc>
        <w:tc>
          <w:tcPr>
            <w:tcW w:w="1050" w:type="dxa"/>
            <w:tcBorders>
              <w:top w:val="single" w:sz="4" w:space="0" w:color="2E74B5"/>
              <w:left w:val="nil"/>
              <w:bottom w:val="single" w:sz="4" w:space="0" w:color="2E74B5"/>
              <w:right w:val="nil"/>
              <w:tl2br w:val="nil"/>
              <w:tr2bl w:val="nil"/>
            </w:tcBorders>
            <w:shd w:val="clear" w:color="auto" w:fill="auto"/>
          </w:tcPr>
          <w:p w14:paraId="2F9BB490" w14:textId="77777777" w:rsidR="00A10636" w:rsidRPr="00D9348B" w:rsidRDefault="00A10636" w:rsidP="00DB330E">
            <w:pPr>
              <w:pStyle w:val="TableText"/>
              <w:spacing w:before="50" w:after="50"/>
              <w:jc w:val="right"/>
              <w:rPr>
                <w:rFonts w:cs="Calibri"/>
                <w:szCs w:val="16"/>
              </w:rPr>
            </w:pPr>
            <w:r w:rsidRPr="00D9348B">
              <w:rPr>
                <w:rFonts w:cs="Calibri"/>
                <w:szCs w:val="16"/>
              </w:rPr>
              <w:t>–1.7</w:t>
            </w:r>
          </w:p>
        </w:tc>
      </w:tr>
      <w:tr w:rsidR="00A10636" w:rsidRPr="00D9348B" w14:paraId="79C22232" w14:textId="77777777" w:rsidTr="006A0275">
        <w:tc>
          <w:tcPr>
            <w:tcW w:w="1871" w:type="dxa"/>
            <w:tcBorders>
              <w:top w:val="single" w:sz="4" w:space="0" w:color="2E74B5"/>
              <w:left w:val="nil"/>
              <w:bottom w:val="single" w:sz="4" w:space="0" w:color="2E74B5"/>
              <w:right w:val="nil"/>
            </w:tcBorders>
            <w:shd w:val="clear" w:color="auto" w:fill="auto"/>
          </w:tcPr>
          <w:p w14:paraId="2F80C838" w14:textId="77777777" w:rsidR="00A10636" w:rsidRPr="00D9348B" w:rsidRDefault="00A10636" w:rsidP="00DB330E">
            <w:pPr>
              <w:pStyle w:val="TableText"/>
              <w:spacing w:before="50" w:after="50"/>
              <w:rPr>
                <w:rFonts w:eastAsia="Arial" w:cs="Calibri"/>
                <w:szCs w:val="16"/>
              </w:rPr>
            </w:pPr>
            <w:r w:rsidRPr="00D9348B">
              <w:rPr>
                <w:rFonts w:eastAsia="Arial" w:cs="Calibri"/>
                <w:szCs w:val="16"/>
              </w:rPr>
              <w:t>Settlements</w:t>
            </w:r>
          </w:p>
        </w:tc>
        <w:tc>
          <w:tcPr>
            <w:tcW w:w="1133" w:type="dxa"/>
            <w:tcBorders>
              <w:top w:val="single" w:sz="4" w:space="0" w:color="2E74B5"/>
              <w:left w:val="nil"/>
              <w:bottom w:val="single" w:sz="4" w:space="0" w:color="2E74B5"/>
              <w:right w:val="nil"/>
            </w:tcBorders>
            <w:shd w:val="clear" w:color="auto" w:fill="auto"/>
          </w:tcPr>
          <w:p w14:paraId="7A8DD2C6" w14:textId="77777777" w:rsidR="00A10636" w:rsidRPr="00D9348B" w:rsidRDefault="00A10636" w:rsidP="00DB330E">
            <w:pPr>
              <w:pStyle w:val="TableText"/>
              <w:spacing w:before="50" w:after="50"/>
              <w:jc w:val="right"/>
              <w:rPr>
                <w:rFonts w:cs="Calibri"/>
                <w:szCs w:val="16"/>
              </w:rPr>
            </w:pPr>
            <w:r w:rsidRPr="00D9348B">
              <w:rPr>
                <w:rFonts w:cs="Calibri"/>
                <w:szCs w:val="16"/>
              </w:rPr>
              <w:t xml:space="preserve">72.7 </w:t>
            </w:r>
          </w:p>
        </w:tc>
        <w:tc>
          <w:tcPr>
            <w:tcW w:w="1134" w:type="dxa"/>
            <w:tcBorders>
              <w:top w:val="single" w:sz="4" w:space="0" w:color="2E74B5"/>
              <w:left w:val="nil"/>
              <w:bottom w:val="single" w:sz="4" w:space="0" w:color="2E74B5"/>
              <w:right w:val="nil"/>
            </w:tcBorders>
            <w:shd w:val="clear" w:color="auto" w:fill="auto"/>
          </w:tcPr>
          <w:p w14:paraId="2DDBEC3E" w14:textId="77777777" w:rsidR="00A10636" w:rsidRPr="00D9348B" w:rsidRDefault="00A10636" w:rsidP="00DB330E">
            <w:pPr>
              <w:pStyle w:val="TableText"/>
              <w:spacing w:before="50" w:after="50"/>
              <w:jc w:val="right"/>
              <w:rPr>
                <w:rFonts w:cs="Calibri"/>
                <w:szCs w:val="16"/>
              </w:rPr>
            </w:pPr>
            <w:r w:rsidRPr="00D9348B">
              <w:rPr>
                <w:rFonts w:cs="Calibri"/>
                <w:szCs w:val="16"/>
              </w:rPr>
              <w:t xml:space="preserve">72.4 </w:t>
            </w:r>
          </w:p>
        </w:tc>
        <w:tc>
          <w:tcPr>
            <w:tcW w:w="1146" w:type="dxa"/>
            <w:tcBorders>
              <w:top w:val="single" w:sz="4" w:space="0" w:color="2E74B5"/>
              <w:left w:val="nil"/>
              <w:bottom w:val="single" w:sz="4" w:space="0" w:color="2E74B5"/>
              <w:right w:val="nil"/>
            </w:tcBorders>
            <w:shd w:val="clear" w:color="auto" w:fill="auto"/>
          </w:tcPr>
          <w:p w14:paraId="6902D92B" w14:textId="77777777" w:rsidR="00A10636" w:rsidRPr="00D9348B" w:rsidRDefault="00A10636" w:rsidP="00DB330E">
            <w:pPr>
              <w:pStyle w:val="TableText"/>
              <w:spacing w:before="50" w:after="50"/>
              <w:jc w:val="right"/>
              <w:rPr>
                <w:rFonts w:cs="Calibri"/>
                <w:szCs w:val="16"/>
              </w:rPr>
            </w:pPr>
            <w:r w:rsidRPr="00D9348B">
              <w:rPr>
                <w:rFonts w:cs="Calibri"/>
                <w:szCs w:val="16"/>
              </w:rPr>
              <w:t xml:space="preserve">100.7 </w:t>
            </w:r>
          </w:p>
        </w:tc>
        <w:tc>
          <w:tcPr>
            <w:tcW w:w="1123" w:type="dxa"/>
            <w:tcBorders>
              <w:top w:val="single" w:sz="4" w:space="0" w:color="2E74B5"/>
              <w:left w:val="nil"/>
              <w:bottom w:val="single" w:sz="4" w:space="0" w:color="2E74B5"/>
              <w:right w:val="nil"/>
            </w:tcBorders>
            <w:shd w:val="clear" w:color="auto" w:fill="auto"/>
          </w:tcPr>
          <w:p w14:paraId="2D522DE0" w14:textId="77777777" w:rsidR="00A10636" w:rsidRPr="00D9348B" w:rsidRDefault="00A10636" w:rsidP="00DB330E">
            <w:pPr>
              <w:pStyle w:val="TableText"/>
              <w:spacing w:before="50" w:after="50"/>
              <w:jc w:val="right"/>
              <w:rPr>
                <w:rFonts w:cs="Calibri"/>
                <w:szCs w:val="16"/>
              </w:rPr>
            </w:pPr>
            <w:r w:rsidRPr="00D9348B">
              <w:rPr>
                <w:rFonts w:cs="Calibri"/>
                <w:szCs w:val="16"/>
              </w:rPr>
              <w:t xml:space="preserve">101.9 </w:t>
            </w:r>
          </w:p>
        </w:tc>
        <w:tc>
          <w:tcPr>
            <w:tcW w:w="1021" w:type="dxa"/>
            <w:tcBorders>
              <w:top w:val="single" w:sz="4" w:space="0" w:color="2E74B5"/>
              <w:left w:val="nil"/>
              <w:bottom w:val="single" w:sz="4" w:space="0" w:color="2E74B5"/>
              <w:right w:val="nil"/>
            </w:tcBorders>
            <w:shd w:val="clear" w:color="auto" w:fill="auto"/>
          </w:tcPr>
          <w:p w14:paraId="44B6A964" w14:textId="77777777" w:rsidR="00A10636" w:rsidRPr="00D9348B" w:rsidRDefault="00A10636" w:rsidP="00DB330E">
            <w:pPr>
              <w:pStyle w:val="TableText"/>
              <w:spacing w:before="50" w:after="50"/>
              <w:jc w:val="right"/>
              <w:rPr>
                <w:rFonts w:cs="Calibri"/>
                <w:szCs w:val="16"/>
              </w:rPr>
            </w:pPr>
            <w:r w:rsidRPr="00D9348B">
              <w:rPr>
                <w:rFonts w:cs="Calibri"/>
                <w:szCs w:val="16"/>
              </w:rPr>
              <w:t>–0.3</w:t>
            </w:r>
          </w:p>
        </w:tc>
        <w:tc>
          <w:tcPr>
            <w:tcW w:w="1050" w:type="dxa"/>
            <w:tcBorders>
              <w:top w:val="single" w:sz="4" w:space="0" w:color="2E74B5"/>
              <w:left w:val="nil"/>
              <w:bottom w:val="single" w:sz="4" w:space="0" w:color="2E74B5"/>
              <w:right w:val="nil"/>
            </w:tcBorders>
            <w:shd w:val="clear" w:color="auto" w:fill="auto"/>
          </w:tcPr>
          <w:p w14:paraId="2E8D31F4" w14:textId="77777777" w:rsidR="00A10636" w:rsidRPr="00D9348B" w:rsidRDefault="00A10636" w:rsidP="00DB330E">
            <w:pPr>
              <w:pStyle w:val="TableText"/>
              <w:spacing w:before="50" w:after="50"/>
              <w:jc w:val="right"/>
              <w:rPr>
                <w:rFonts w:cs="Calibri"/>
                <w:szCs w:val="16"/>
              </w:rPr>
            </w:pPr>
            <w:r w:rsidRPr="00D9348B">
              <w:rPr>
                <w:rFonts w:cs="Calibri"/>
                <w:szCs w:val="16"/>
              </w:rPr>
              <w:t>+1.2</w:t>
            </w:r>
          </w:p>
        </w:tc>
      </w:tr>
      <w:tr w:rsidR="00A10636" w:rsidRPr="00D9348B" w14:paraId="7DDD0280" w14:textId="77777777" w:rsidTr="006A0275">
        <w:tc>
          <w:tcPr>
            <w:tcW w:w="1871" w:type="dxa"/>
            <w:tcBorders>
              <w:top w:val="single" w:sz="4" w:space="0" w:color="2E74B5"/>
              <w:left w:val="nil"/>
              <w:bottom w:val="single" w:sz="4" w:space="0" w:color="2E74B5"/>
              <w:right w:val="nil"/>
              <w:tl2br w:val="nil"/>
              <w:tr2bl w:val="nil"/>
            </w:tcBorders>
            <w:shd w:val="clear" w:color="auto" w:fill="auto"/>
          </w:tcPr>
          <w:p w14:paraId="27A6E016" w14:textId="77777777" w:rsidR="00A10636" w:rsidRPr="00D9348B" w:rsidRDefault="00A10636" w:rsidP="00DB330E">
            <w:pPr>
              <w:pStyle w:val="TableText"/>
              <w:spacing w:before="50" w:after="50"/>
              <w:rPr>
                <w:rFonts w:eastAsia="Arial" w:cs="Calibri"/>
                <w:szCs w:val="16"/>
              </w:rPr>
            </w:pPr>
            <w:r w:rsidRPr="00D9348B">
              <w:rPr>
                <w:rFonts w:eastAsia="Arial" w:cs="Calibri"/>
                <w:szCs w:val="16"/>
              </w:rPr>
              <w:t>Other land</w:t>
            </w:r>
          </w:p>
        </w:tc>
        <w:tc>
          <w:tcPr>
            <w:tcW w:w="1133" w:type="dxa"/>
            <w:tcBorders>
              <w:top w:val="single" w:sz="4" w:space="0" w:color="2E74B5"/>
              <w:left w:val="nil"/>
              <w:bottom w:val="single" w:sz="4" w:space="0" w:color="2E74B5"/>
              <w:right w:val="nil"/>
              <w:tl2br w:val="nil"/>
              <w:tr2bl w:val="nil"/>
            </w:tcBorders>
            <w:shd w:val="clear" w:color="auto" w:fill="auto"/>
            <w:noWrap/>
          </w:tcPr>
          <w:p w14:paraId="47EF72A6" w14:textId="77777777" w:rsidR="00A10636" w:rsidRPr="00D9348B" w:rsidRDefault="00A10636" w:rsidP="00DB330E">
            <w:pPr>
              <w:pStyle w:val="TableText"/>
              <w:spacing w:before="50" w:after="50"/>
              <w:jc w:val="right"/>
              <w:rPr>
                <w:rFonts w:cs="Calibri"/>
                <w:szCs w:val="16"/>
              </w:rPr>
            </w:pPr>
            <w:r w:rsidRPr="00D9348B">
              <w:rPr>
                <w:rFonts w:cs="Calibri"/>
                <w:szCs w:val="16"/>
              </w:rPr>
              <w:t xml:space="preserve">13.6 </w:t>
            </w:r>
          </w:p>
        </w:tc>
        <w:tc>
          <w:tcPr>
            <w:tcW w:w="1134" w:type="dxa"/>
            <w:tcBorders>
              <w:top w:val="single" w:sz="4" w:space="0" w:color="2E74B5"/>
              <w:left w:val="nil"/>
              <w:bottom w:val="single" w:sz="4" w:space="0" w:color="2E74B5"/>
              <w:right w:val="nil"/>
              <w:tl2br w:val="nil"/>
              <w:tr2bl w:val="nil"/>
            </w:tcBorders>
            <w:shd w:val="clear" w:color="auto" w:fill="auto"/>
          </w:tcPr>
          <w:p w14:paraId="480E2F28" w14:textId="77777777" w:rsidR="00A10636" w:rsidRPr="00D9348B" w:rsidRDefault="00A10636" w:rsidP="00DB330E">
            <w:pPr>
              <w:pStyle w:val="TableText"/>
              <w:spacing w:before="50" w:after="50"/>
              <w:jc w:val="right"/>
              <w:rPr>
                <w:rFonts w:cs="Calibri"/>
                <w:szCs w:val="16"/>
              </w:rPr>
            </w:pPr>
            <w:r w:rsidRPr="00D9348B">
              <w:rPr>
                <w:rFonts w:cs="Calibri"/>
                <w:szCs w:val="16"/>
              </w:rPr>
              <w:t xml:space="preserve">12.9 </w:t>
            </w:r>
          </w:p>
        </w:tc>
        <w:tc>
          <w:tcPr>
            <w:tcW w:w="1146" w:type="dxa"/>
            <w:tcBorders>
              <w:top w:val="single" w:sz="4" w:space="0" w:color="2E74B5"/>
              <w:left w:val="nil"/>
              <w:bottom w:val="single" w:sz="4" w:space="0" w:color="2E74B5"/>
              <w:right w:val="nil"/>
              <w:tl2br w:val="nil"/>
              <w:tr2bl w:val="nil"/>
            </w:tcBorders>
            <w:shd w:val="clear" w:color="auto" w:fill="auto"/>
          </w:tcPr>
          <w:p w14:paraId="6333FE1A" w14:textId="77777777" w:rsidR="00A10636" w:rsidRPr="00D9348B" w:rsidRDefault="00A10636" w:rsidP="00DB330E">
            <w:pPr>
              <w:pStyle w:val="TableText"/>
              <w:spacing w:before="50" w:after="50"/>
              <w:jc w:val="right"/>
              <w:rPr>
                <w:rFonts w:cs="Calibri"/>
                <w:szCs w:val="16"/>
              </w:rPr>
            </w:pPr>
            <w:r w:rsidRPr="00D9348B">
              <w:rPr>
                <w:rFonts w:cs="Calibri"/>
                <w:szCs w:val="16"/>
              </w:rPr>
              <w:t xml:space="preserve">49.2 </w:t>
            </w:r>
          </w:p>
        </w:tc>
        <w:tc>
          <w:tcPr>
            <w:tcW w:w="1123" w:type="dxa"/>
            <w:tcBorders>
              <w:top w:val="single" w:sz="4" w:space="0" w:color="2E74B5"/>
              <w:left w:val="nil"/>
              <w:bottom w:val="single" w:sz="4" w:space="0" w:color="2E74B5"/>
              <w:right w:val="nil"/>
              <w:tl2br w:val="nil"/>
              <w:tr2bl w:val="nil"/>
            </w:tcBorders>
            <w:shd w:val="clear" w:color="auto" w:fill="auto"/>
          </w:tcPr>
          <w:p w14:paraId="5CA80CDA" w14:textId="77777777" w:rsidR="00A10636" w:rsidRPr="00D9348B" w:rsidRDefault="00A10636" w:rsidP="00DB330E">
            <w:pPr>
              <w:pStyle w:val="TableText"/>
              <w:spacing w:before="50" w:after="50"/>
              <w:jc w:val="right"/>
              <w:rPr>
                <w:rFonts w:cs="Calibri"/>
                <w:szCs w:val="16"/>
              </w:rPr>
            </w:pPr>
            <w:r w:rsidRPr="00D9348B">
              <w:rPr>
                <w:rFonts w:cs="Calibri"/>
                <w:szCs w:val="16"/>
              </w:rPr>
              <w:t xml:space="preserve">52.2 </w:t>
            </w:r>
          </w:p>
        </w:tc>
        <w:tc>
          <w:tcPr>
            <w:tcW w:w="1021" w:type="dxa"/>
            <w:tcBorders>
              <w:top w:val="single" w:sz="4" w:space="0" w:color="2E74B5"/>
              <w:left w:val="nil"/>
              <w:bottom w:val="single" w:sz="4" w:space="0" w:color="2E74B5"/>
              <w:right w:val="nil"/>
              <w:tl2br w:val="nil"/>
              <w:tr2bl w:val="nil"/>
            </w:tcBorders>
            <w:shd w:val="clear" w:color="auto" w:fill="auto"/>
          </w:tcPr>
          <w:p w14:paraId="3601E621" w14:textId="77777777" w:rsidR="00A10636" w:rsidRPr="00D9348B" w:rsidRDefault="00A10636" w:rsidP="00DB330E">
            <w:pPr>
              <w:pStyle w:val="TableText"/>
              <w:spacing w:before="50" w:after="50"/>
              <w:jc w:val="right"/>
              <w:rPr>
                <w:rFonts w:cs="Calibri"/>
                <w:szCs w:val="16"/>
              </w:rPr>
            </w:pPr>
            <w:r w:rsidRPr="00D9348B">
              <w:rPr>
                <w:rFonts w:cs="Calibri"/>
                <w:szCs w:val="16"/>
              </w:rPr>
              <w:t>–5.05</w:t>
            </w:r>
          </w:p>
        </w:tc>
        <w:tc>
          <w:tcPr>
            <w:tcW w:w="1050" w:type="dxa"/>
            <w:tcBorders>
              <w:top w:val="single" w:sz="4" w:space="0" w:color="2E74B5"/>
              <w:left w:val="nil"/>
              <w:bottom w:val="single" w:sz="4" w:space="0" w:color="2E74B5"/>
              <w:right w:val="nil"/>
              <w:tl2br w:val="nil"/>
              <w:tr2bl w:val="nil"/>
            </w:tcBorders>
            <w:shd w:val="clear" w:color="auto" w:fill="auto"/>
          </w:tcPr>
          <w:p w14:paraId="01E65F27" w14:textId="77777777" w:rsidR="00A10636" w:rsidRPr="00D9348B" w:rsidRDefault="00A10636" w:rsidP="00DB330E">
            <w:pPr>
              <w:pStyle w:val="TableText"/>
              <w:spacing w:before="50" w:after="50"/>
              <w:jc w:val="right"/>
              <w:rPr>
                <w:rFonts w:cs="Calibri"/>
                <w:szCs w:val="16"/>
              </w:rPr>
            </w:pPr>
            <w:r w:rsidRPr="00D9348B">
              <w:rPr>
                <w:rFonts w:cs="Calibri"/>
                <w:szCs w:val="16"/>
              </w:rPr>
              <w:t>+6.0</w:t>
            </w:r>
          </w:p>
        </w:tc>
      </w:tr>
      <w:tr w:rsidR="00A10636" w:rsidRPr="00D9348B" w14:paraId="56F6F684" w14:textId="77777777" w:rsidTr="006A0275">
        <w:tc>
          <w:tcPr>
            <w:tcW w:w="1871" w:type="dxa"/>
            <w:tcBorders>
              <w:top w:val="single" w:sz="4" w:space="0" w:color="2E74B5"/>
              <w:left w:val="nil"/>
              <w:bottom w:val="single" w:sz="4" w:space="0" w:color="2E74B5"/>
              <w:right w:val="nil"/>
            </w:tcBorders>
            <w:shd w:val="clear" w:color="auto" w:fill="auto"/>
          </w:tcPr>
          <w:p w14:paraId="22B5F692" w14:textId="77777777" w:rsidR="00A10636" w:rsidRPr="00D9348B" w:rsidRDefault="00A10636" w:rsidP="00DB330E">
            <w:pPr>
              <w:pStyle w:val="Tableboldblue"/>
              <w:rPr>
                <w:rFonts w:eastAsia="Arial" w:cs="Calibri"/>
                <w:szCs w:val="16"/>
              </w:rPr>
            </w:pPr>
            <w:r w:rsidRPr="00D9348B">
              <w:rPr>
                <w:rFonts w:eastAsia="Arial" w:cs="Calibri"/>
                <w:szCs w:val="16"/>
              </w:rPr>
              <w:t>Harvested wood products</w:t>
            </w:r>
          </w:p>
        </w:tc>
        <w:tc>
          <w:tcPr>
            <w:tcW w:w="1133" w:type="dxa"/>
            <w:tcBorders>
              <w:top w:val="single" w:sz="4" w:space="0" w:color="2E74B5"/>
              <w:left w:val="nil"/>
              <w:bottom w:val="single" w:sz="4" w:space="0" w:color="2E74B5"/>
              <w:right w:val="nil"/>
            </w:tcBorders>
            <w:shd w:val="clear" w:color="auto" w:fill="auto"/>
            <w:noWrap/>
          </w:tcPr>
          <w:p w14:paraId="39C0F237" w14:textId="77777777" w:rsidR="00A10636" w:rsidRPr="00D9348B" w:rsidRDefault="00A10636" w:rsidP="00DB330E">
            <w:pPr>
              <w:pStyle w:val="TableText"/>
              <w:spacing w:before="50" w:after="50"/>
              <w:jc w:val="right"/>
              <w:rPr>
                <w:rFonts w:cs="Calibri"/>
                <w:szCs w:val="16"/>
              </w:rPr>
            </w:pPr>
            <w:r w:rsidRPr="00D9348B">
              <w:rPr>
                <w:rFonts w:cs="Calibri"/>
                <w:szCs w:val="16"/>
              </w:rPr>
              <w:t xml:space="preserve">–2,072.9 </w:t>
            </w:r>
          </w:p>
        </w:tc>
        <w:tc>
          <w:tcPr>
            <w:tcW w:w="1134" w:type="dxa"/>
            <w:tcBorders>
              <w:top w:val="single" w:sz="4" w:space="0" w:color="2E74B5"/>
              <w:left w:val="nil"/>
              <w:bottom w:val="single" w:sz="4" w:space="0" w:color="2E74B5"/>
              <w:right w:val="nil"/>
            </w:tcBorders>
            <w:shd w:val="clear" w:color="auto" w:fill="auto"/>
            <w:noWrap/>
          </w:tcPr>
          <w:p w14:paraId="3A190425" w14:textId="77777777" w:rsidR="00A10636" w:rsidRPr="00D9348B" w:rsidRDefault="00A10636" w:rsidP="00DB330E">
            <w:pPr>
              <w:pStyle w:val="TableText"/>
              <w:spacing w:before="50" w:after="50"/>
              <w:jc w:val="right"/>
              <w:rPr>
                <w:rFonts w:cs="Calibri"/>
                <w:szCs w:val="16"/>
              </w:rPr>
            </w:pPr>
            <w:r w:rsidRPr="00D9348B">
              <w:rPr>
                <w:rFonts w:cs="Calibri"/>
                <w:szCs w:val="16"/>
              </w:rPr>
              <w:t xml:space="preserve">–2,072.9 </w:t>
            </w:r>
          </w:p>
        </w:tc>
        <w:tc>
          <w:tcPr>
            <w:tcW w:w="1146" w:type="dxa"/>
            <w:tcBorders>
              <w:top w:val="single" w:sz="4" w:space="0" w:color="2E74B5"/>
              <w:left w:val="nil"/>
              <w:bottom w:val="single" w:sz="4" w:space="0" w:color="2E74B5"/>
              <w:right w:val="nil"/>
            </w:tcBorders>
            <w:shd w:val="clear" w:color="auto" w:fill="auto"/>
            <w:noWrap/>
          </w:tcPr>
          <w:p w14:paraId="6CC0C2F3" w14:textId="77777777" w:rsidR="00A10636" w:rsidRPr="00D9348B" w:rsidRDefault="00A10636" w:rsidP="00DB330E">
            <w:pPr>
              <w:pStyle w:val="TableText"/>
              <w:spacing w:before="50" w:after="50"/>
              <w:jc w:val="right"/>
              <w:rPr>
                <w:rFonts w:cs="Calibri"/>
                <w:szCs w:val="16"/>
              </w:rPr>
            </w:pPr>
            <w:r w:rsidRPr="00D9348B">
              <w:rPr>
                <w:rFonts w:cs="Calibri"/>
                <w:szCs w:val="16"/>
              </w:rPr>
              <w:t xml:space="preserve">–6,518.5 </w:t>
            </w:r>
          </w:p>
        </w:tc>
        <w:tc>
          <w:tcPr>
            <w:tcW w:w="1123" w:type="dxa"/>
            <w:tcBorders>
              <w:top w:val="single" w:sz="4" w:space="0" w:color="2E74B5"/>
              <w:left w:val="nil"/>
              <w:bottom w:val="single" w:sz="4" w:space="0" w:color="2E74B5"/>
              <w:right w:val="nil"/>
            </w:tcBorders>
            <w:shd w:val="clear" w:color="auto" w:fill="auto"/>
            <w:noWrap/>
          </w:tcPr>
          <w:p w14:paraId="3A03D75E" w14:textId="77777777" w:rsidR="00A10636" w:rsidRPr="00D9348B" w:rsidRDefault="00A10636" w:rsidP="00DB330E">
            <w:pPr>
              <w:pStyle w:val="TableText"/>
              <w:spacing w:before="50" w:after="50"/>
              <w:jc w:val="right"/>
              <w:rPr>
                <w:rFonts w:cs="Calibri"/>
                <w:szCs w:val="16"/>
              </w:rPr>
            </w:pPr>
            <w:r w:rsidRPr="00D9348B">
              <w:rPr>
                <w:rFonts w:cs="Calibri"/>
                <w:szCs w:val="16"/>
              </w:rPr>
              <w:t xml:space="preserve">–8,379.9 </w:t>
            </w:r>
          </w:p>
        </w:tc>
        <w:tc>
          <w:tcPr>
            <w:tcW w:w="1021" w:type="dxa"/>
            <w:tcBorders>
              <w:top w:val="single" w:sz="4" w:space="0" w:color="2E74B5"/>
              <w:left w:val="nil"/>
              <w:bottom w:val="single" w:sz="4" w:space="0" w:color="2E74B5"/>
              <w:right w:val="nil"/>
            </w:tcBorders>
            <w:shd w:val="clear" w:color="auto" w:fill="auto"/>
          </w:tcPr>
          <w:p w14:paraId="406A0AFD" w14:textId="77777777" w:rsidR="00A10636" w:rsidRPr="00D9348B" w:rsidRDefault="00A10636" w:rsidP="00DB330E">
            <w:pPr>
              <w:pStyle w:val="TableText"/>
              <w:spacing w:before="50" w:after="50"/>
              <w:jc w:val="right"/>
              <w:rPr>
                <w:rFonts w:cs="Calibri"/>
                <w:szCs w:val="16"/>
              </w:rPr>
            </w:pPr>
            <w:r w:rsidRPr="00D9348B">
              <w:rPr>
                <w:rFonts w:cs="Calibri"/>
                <w:szCs w:val="16"/>
              </w:rPr>
              <w:t>+0.0</w:t>
            </w:r>
          </w:p>
        </w:tc>
        <w:tc>
          <w:tcPr>
            <w:tcW w:w="1050" w:type="dxa"/>
            <w:tcBorders>
              <w:top w:val="single" w:sz="4" w:space="0" w:color="2E74B5"/>
              <w:left w:val="nil"/>
              <w:bottom w:val="single" w:sz="4" w:space="0" w:color="2E74B5"/>
              <w:right w:val="nil"/>
            </w:tcBorders>
            <w:shd w:val="clear" w:color="auto" w:fill="auto"/>
          </w:tcPr>
          <w:p w14:paraId="3F345D95" w14:textId="77777777" w:rsidR="00A10636" w:rsidRPr="00D9348B" w:rsidRDefault="00A10636" w:rsidP="00DB330E">
            <w:pPr>
              <w:pStyle w:val="TableText"/>
              <w:spacing w:before="50" w:after="50"/>
              <w:jc w:val="right"/>
              <w:rPr>
                <w:rFonts w:cs="Calibri"/>
                <w:szCs w:val="16"/>
              </w:rPr>
            </w:pPr>
            <w:r w:rsidRPr="00D9348B">
              <w:rPr>
                <w:rFonts w:cs="Calibri"/>
                <w:szCs w:val="16"/>
              </w:rPr>
              <w:t>–28.6</w:t>
            </w:r>
          </w:p>
        </w:tc>
      </w:tr>
      <w:tr w:rsidR="00A10636" w:rsidRPr="00D9348B" w14:paraId="3B967620" w14:textId="77777777" w:rsidTr="006A0275">
        <w:tc>
          <w:tcPr>
            <w:tcW w:w="1871" w:type="dxa"/>
            <w:tcBorders>
              <w:top w:val="single" w:sz="4" w:space="0" w:color="2E74B5"/>
              <w:left w:val="nil"/>
              <w:bottom w:val="single" w:sz="4" w:space="0" w:color="2E74B5"/>
              <w:right w:val="nil"/>
            </w:tcBorders>
            <w:shd w:val="clear" w:color="auto" w:fill="auto"/>
          </w:tcPr>
          <w:p w14:paraId="5B5C1A8A" w14:textId="77777777" w:rsidR="00A10636" w:rsidRPr="00D9348B" w:rsidRDefault="00A10636" w:rsidP="00DB330E">
            <w:pPr>
              <w:pStyle w:val="Tableboldblue"/>
              <w:jc w:val="right"/>
              <w:rPr>
                <w:rFonts w:eastAsia="Arial" w:cs="Calibri"/>
                <w:szCs w:val="16"/>
              </w:rPr>
            </w:pPr>
            <w:r w:rsidRPr="00D9348B">
              <w:rPr>
                <w:rFonts w:eastAsia="Arial" w:cs="Calibri"/>
                <w:szCs w:val="16"/>
              </w:rPr>
              <w:t>Total</w:t>
            </w:r>
          </w:p>
        </w:tc>
        <w:tc>
          <w:tcPr>
            <w:tcW w:w="1133" w:type="dxa"/>
            <w:tcBorders>
              <w:top w:val="single" w:sz="4" w:space="0" w:color="2E74B5"/>
              <w:left w:val="nil"/>
              <w:bottom w:val="single" w:sz="4" w:space="0" w:color="2E74B5"/>
              <w:right w:val="nil"/>
            </w:tcBorders>
            <w:shd w:val="clear" w:color="auto" w:fill="auto"/>
            <w:noWrap/>
          </w:tcPr>
          <w:p w14:paraId="7773123F" w14:textId="77777777" w:rsidR="00A10636" w:rsidRPr="00D9348B" w:rsidRDefault="00A10636" w:rsidP="00DB330E">
            <w:pPr>
              <w:pStyle w:val="Tableboldblue"/>
              <w:jc w:val="right"/>
              <w:rPr>
                <w:rFonts w:eastAsia="Arial" w:cs="Calibri"/>
                <w:szCs w:val="16"/>
              </w:rPr>
            </w:pPr>
            <w:r w:rsidRPr="00D9348B">
              <w:rPr>
                <w:rFonts w:cs="Calibri"/>
                <w:szCs w:val="16"/>
              </w:rPr>
              <w:t xml:space="preserve">–31,161.8 </w:t>
            </w:r>
          </w:p>
        </w:tc>
        <w:tc>
          <w:tcPr>
            <w:tcW w:w="1134" w:type="dxa"/>
            <w:tcBorders>
              <w:top w:val="single" w:sz="4" w:space="0" w:color="2E74B5"/>
              <w:left w:val="nil"/>
              <w:bottom w:val="single" w:sz="4" w:space="0" w:color="2E74B5"/>
              <w:right w:val="nil"/>
            </w:tcBorders>
            <w:shd w:val="clear" w:color="auto" w:fill="auto"/>
            <w:noWrap/>
          </w:tcPr>
          <w:p w14:paraId="148FED3B" w14:textId="77777777" w:rsidR="00A10636" w:rsidRPr="00D9348B" w:rsidRDefault="00A10636" w:rsidP="00DB330E">
            <w:pPr>
              <w:pStyle w:val="Tableboldblue"/>
              <w:jc w:val="right"/>
              <w:rPr>
                <w:rFonts w:eastAsia="Arial" w:cs="Calibri"/>
                <w:szCs w:val="16"/>
              </w:rPr>
            </w:pPr>
            <w:r w:rsidRPr="00D9348B">
              <w:rPr>
                <w:rFonts w:cs="Calibri"/>
                <w:szCs w:val="16"/>
              </w:rPr>
              <w:t xml:space="preserve">–28,297.0 </w:t>
            </w:r>
          </w:p>
        </w:tc>
        <w:tc>
          <w:tcPr>
            <w:tcW w:w="1146" w:type="dxa"/>
            <w:tcBorders>
              <w:top w:val="single" w:sz="4" w:space="0" w:color="2E74B5"/>
              <w:left w:val="nil"/>
              <w:bottom w:val="single" w:sz="4" w:space="0" w:color="2E74B5"/>
              <w:right w:val="nil"/>
            </w:tcBorders>
            <w:shd w:val="clear" w:color="auto" w:fill="auto"/>
            <w:noWrap/>
          </w:tcPr>
          <w:p w14:paraId="708CAB1A" w14:textId="77777777" w:rsidR="00A10636" w:rsidRPr="00D9348B" w:rsidRDefault="00A10636" w:rsidP="00DB330E">
            <w:pPr>
              <w:pStyle w:val="Tableboldblue"/>
              <w:jc w:val="right"/>
              <w:rPr>
                <w:rFonts w:eastAsia="Arial" w:cs="Calibri"/>
                <w:szCs w:val="16"/>
              </w:rPr>
            </w:pPr>
            <w:r w:rsidRPr="00D9348B">
              <w:rPr>
                <w:rFonts w:cs="Calibri"/>
                <w:szCs w:val="16"/>
              </w:rPr>
              <w:t xml:space="preserve">–23,958.4 </w:t>
            </w:r>
          </w:p>
        </w:tc>
        <w:tc>
          <w:tcPr>
            <w:tcW w:w="1123" w:type="dxa"/>
            <w:tcBorders>
              <w:top w:val="single" w:sz="4" w:space="0" w:color="2E74B5"/>
              <w:left w:val="nil"/>
              <w:bottom w:val="single" w:sz="4" w:space="0" w:color="2E74B5"/>
              <w:right w:val="nil"/>
            </w:tcBorders>
            <w:shd w:val="clear" w:color="auto" w:fill="auto"/>
            <w:noWrap/>
            <w:vAlign w:val="bottom"/>
          </w:tcPr>
          <w:p w14:paraId="5F8CE6E6" w14:textId="77777777" w:rsidR="00A10636" w:rsidRPr="00D9348B" w:rsidRDefault="00A10636" w:rsidP="00DB330E">
            <w:pPr>
              <w:pStyle w:val="Tableboldblue"/>
              <w:jc w:val="right"/>
              <w:rPr>
                <w:rFonts w:eastAsia="Arial" w:cs="Calibri"/>
                <w:szCs w:val="16"/>
              </w:rPr>
            </w:pPr>
            <w:r w:rsidRPr="00D9348B">
              <w:rPr>
                <w:rFonts w:cs="Calibri"/>
                <w:szCs w:val="16"/>
              </w:rPr>
              <w:t xml:space="preserve">–22,710.1 </w:t>
            </w:r>
          </w:p>
        </w:tc>
        <w:tc>
          <w:tcPr>
            <w:tcW w:w="1021" w:type="dxa"/>
            <w:tcBorders>
              <w:top w:val="single" w:sz="4" w:space="0" w:color="2E74B5"/>
              <w:left w:val="nil"/>
              <w:bottom w:val="single" w:sz="4" w:space="0" w:color="2E74B5"/>
              <w:right w:val="nil"/>
            </w:tcBorders>
            <w:shd w:val="clear" w:color="auto" w:fill="auto"/>
          </w:tcPr>
          <w:p w14:paraId="3B82F978" w14:textId="77777777" w:rsidR="00A10636" w:rsidRPr="00D9348B" w:rsidRDefault="00A10636" w:rsidP="00DB330E">
            <w:pPr>
              <w:pStyle w:val="Tableboldblue"/>
              <w:jc w:val="right"/>
              <w:rPr>
                <w:rFonts w:eastAsia="Arial" w:cs="Calibri"/>
                <w:szCs w:val="16"/>
              </w:rPr>
            </w:pPr>
            <w:r w:rsidRPr="00D9348B">
              <w:rPr>
                <w:rFonts w:cs="Calibri"/>
                <w:szCs w:val="16"/>
              </w:rPr>
              <w:t>9.2</w:t>
            </w:r>
          </w:p>
        </w:tc>
        <w:tc>
          <w:tcPr>
            <w:tcW w:w="1050" w:type="dxa"/>
            <w:tcBorders>
              <w:top w:val="single" w:sz="4" w:space="0" w:color="2E74B5"/>
              <w:left w:val="nil"/>
              <w:bottom w:val="single" w:sz="4" w:space="0" w:color="2E74B5"/>
              <w:right w:val="nil"/>
            </w:tcBorders>
            <w:shd w:val="clear" w:color="auto" w:fill="auto"/>
            <w:vAlign w:val="center"/>
          </w:tcPr>
          <w:p w14:paraId="2AA94A5C" w14:textId="77777777" w:rsidR="00A10636" w:rsidRPr="00D9348B" w:rsidRDefault="00A10636" w:rsidP="00DB330E">
            <w:pPr>
              <w:pStyle w:val="Tableboldblue"/>
              <w:jc w:val="right"/>
              <w:rPr>
                <w:rFonts w:eastAsia="Arial" w:cs="Calibri"/>
                <w:szCs w:val="16"/>
              </w:rPr>
            </w:pPr>
            <w:r w:rsidRPr="00D9348B">
              <w:rPr>
                <w:rFonts w:cs="Calibri"/>
                <w:szCs w:val="16"/>
              </w:rPr>
              <w:t>+5.2</w:t>
            </w:r>
          </w:p>
        </w:tc>
      </w:tr>
    </w:tbl>
    <w:p w14:paraId="163E8723" w14:textId="77777777" w:rsidR="00A10636" w:rsidRPr="00D9348B" w:rsidRDefault="00A10636" w:rsidP="00A10636">
      <w:pPr>
        <w:pStyle w:val="Noteundertable"/>
      </w:pPr>
      <w:r w:rsidRPr="00D9348B">
        <w:rPr>
          <w:b/>
        </w:rPr>
        <w:t>Note:</w:t>
      </w:r>
      <w:r w:rsidRPr="00D9348B">
        <w:tab/>
        <w:t>Net removals are expressed as a negative value in the table to help clarify that the value is a removal (of CO</w:t>
      </w:r>
      <w:r w:rsidRPr="00D9348B">
        <w:rPr>
          <w:vertAlign w:val="subscript"/>
        </w:rPr>
        <w:t>2</w:t>
      </w:r>
      <w:r w:rsidRPr="00D9348B">
        <w:t xml:space="preserve">-e from the atmosphere) and not an emission. Columns may not total due to rounding. </w:t>
      </w:r>
    </w:p>
    <w:p w14:paraId="77D31790" w14:textId="77777777" w:rsidR="00A10636" w:rsidRPr="00D9348B" w:rsidRDefault="00A10636" w:rsidP="00A10636">
      <w:pPr>
        <w:pStyle w:val="BodyText"/>
      </w:pPr>
      <w:r w:rsidRPr="00D9348B">
        <w:t>Detailed information on the recalculations is provided below in the relevant source-specific recalculations sections and in chapter 10.</w:t>
      </w:r>
    </w:p>
    <w:p w14:paraId="783BE4F2" w14:textId="77777777" w:rsidR="00A10636" w:rsidRPr="00D9348B" w:rsidRDefault="00A10636" w:rsidP="00A10636">
      <w:pPr>
        <w:pStyle w:val="Heading3"/>
      </w:pPr>
      <w:bookmarkStart w:id="1287" w:name="_Toc280630222"/>
      <w:r w:rsidRPr="00D9348B">
        <w:t>6.1.5</w:t>
      </w:r>
      <w:r w:rsidRPr="00D9348B">
        <w:tab/>
        <w:t>LULUCF planned improvements</w:t>
      </w:r>
      <w:bookmarkEnd w:id="1287"/>
    </w:p>
    <w:p w14:paraId="2CCB1F03" w14:textId="77777777" w:rsidR="00A10636" w:rsidRPr="00D9348B" w:rsidRDefault="00A10636" w:rsidP="00A10636">
      <w:pPr>
        <w:pStyle w:val="BodyText"/>
        <w:spacing w:after="80"/>
      </w:pPr>
      <w:r w:rsidRPr="00D9348B">
        <w:t>Category-specific planned improvements are reported separately under each of the relevant sections of this chapter. The major themes are to:</w:t>
      </w:r>
    </w:p>
    <w:p w14:paraId="07717CC0" w14:textId="77777777" w:rsidR="00A10636" w:rsidRPr="00D9348B" w:rsidRDefault="00A10636" w:rsidP="00771A8F">
      <w:pPr>
        <w:pStyle w:val="Bullet"/>
        <w:numPr>
          <w:ilvl w:val="0"/>
          <w:numId w:val="20"/>
        </w:numPr>
      </w:pPr>
      <w:proofErr w:type="gramStart"/>
      <w:r w:rsidRPr="00D9348B">
        <w:t>continue</w:t>
      </w:r>
      <w:proofErr w:type="gramEnd"/>
      <w:r w:rsidRPr="00D9348B">
        <w:t xml:space="preserve"> with method development to implement the 2006 IPCC Guidelines (IPCC, 2006a). Research is currently under way to improve carbon stock change estimates in natural forests</w:t>
      </w:r>
    </w:p>
    <w:p w14:paraId="27CB903E" w14:textId="77777777" w:rsidR="00A10636" w:rsidRPr="00D9348B" w:rsidRDefault="00A10636" w:rsidP="00771A8F">
      <w:pPr>
        <w:pStyle w:val="Bullet"/>
        <w:numPr>
          <w:ilvl w:val="0"/>
          <w:numId w:val="20"/>
        </w:numPr>
      </w:pPr>
      <w:r w:rsidRPr="00D9348B">
        <w:t xml:space="preserve">revisit the assumption that controlled burning of post-harvest residues on land converted to forest land does not occur, due to the increasing harvest rate in these forests as they reach maturity </w:t>
      </w:r>
    </w:p>
    <w:p w14:paraId="476960BB" w14:textId="77777777" w:rsidR="00A10636" w:rsidRPr="00D9348B" w:rsidRDefault="00A10636" w:rsidP="00771A8F">
      <w:pPr>
        <w:pStyle w:val="Bullet"/>
        <w:numPr>
          <w:ilvl w:val="0"/>
          <w:numId w:val="20"/>
        </w:numPr>
      </w:pPr>
      <w:r w:rsidRPr="00D9348B">
        <w:t>analyse the data collected from re-measurement of the post-1989 natural forest ground plot network to develop new emissions factors for this forest type</w:t>
      </w:r>
    </w:p>
    <w:p w14:paraId="30B0C757" w14:textId="77777777" w:rsidR="00A10636" w:rsidRPr="00D9348B" w:rsidRDefault="00A10636" w:rsidP="00771A8F">
      <w:pPr>
        <w:pStyle w:val="Bullet"/>
        <w:numPr>
          <w:ilvl w:val="0"/>
          <w:numId w:val="20"/>
        </w:numPr>
      </w:pPr>
      <w:proofErr w:type="gramStart"/>
      <w:r w:rsidRPr="00D9348B">
        <w:t>continue</w:t>
      </w:r>
      <w:proofErr w:type="gramEnd"/>
      <w:r w:rsidRPr="00D9348B">
        <w:t xml:space="preserve"> to re-measure the pre-1990 natural forest ground plot inventory on a continuous basis (on a 10-year cycle). These data will be analysed and incorporated into the National Inventory Report on a periodic basis</w:t>
      </w:r>
    </w:p>
    <w:p w14:paraId="08DC338B" w14:textId="77777777" w:rsidR="00A10636" w:rsidRPr="00D9348B" w:rsidRDefault="00A10636" w:rsidP="00771A8F">
      <w:pPr>
        <w:pStyle w:val="Bullet"/>
        <w:numPr>
          <w:ilvl w:val="0"/>
          <w:numId w:val="20"/>
        </w:numPr>
      </w:pPr>
      <w:proofErr w:type="gramStart"/>
      <w:r w:rsidRPr="00D9348B">
        <w:lastRenderedPageBreak/>
        <w:t>continue</w:t>
      </w:r>
      <w:proofErr w:type="gramEnd"/>
      <w:r w:rsidRPr="00D9348B">
        <w:t xml:space="preserve"> to re-measure the complete planted forest plot network (pre-1990 and post</w:t>
      </w:r>
      <w:r w:rsidRPr="00D9348B">
        <w:noBreakHyphen/>
        <w:t>1989) on a continuous basis (on a five-year cycle). These data will be incorporated into the National Inventory Report as they become available and on a regular basis</w:t>
      </w:r>
    </w:p>
    <w:p w14:paraId="02B2144C" w14:textId="74553983" w:rsidR="00A10636" w:rsidRPr="00D9348B" w:rsidRDefault="00A10636" w:rsidP="00771A8F">
      <w:pPr>
        <w:pStyle w:val="Bullet"/>
        <w:numPr>
          <w:ilvl w:val="0"/>
          <w:numId w:val="20"/>
        </w:numPr>
      </w:pPr>
      <w:proofErr w:type="gramStart"/>
      <w:r w:rsidRPr="00D9348B">
        <w:t>continue</w:t>
      </w:r>
      <w:proofErr w:type="gramEnd"/>
      <w:r w:rsidRPr="00D9348B">
        <w:t xml:space="preserve"> to improve mapping land use by using information collected through the New Zealand Emissions Trading Scheme (NZ ETS). The NZ ETS provides an ongoing source of mapping information on forest extent and age along with information on deforestation activity and carbon equivalent forest activities. This will be used as part of a continuous improvement programme to update the 1990, 2008, 2012 and 2016 </w:t>
      </w:r>
      <w:r w:rsidR="00766DDA">
        <w:t>land-use</w:t>
      </w:r>
      <w:r w:rsidRPr="00D9348B">
        <w:t xml:space="preserve"> maps </w:t>
      </w:r>
    </w:p>
    <w:p w14:paraId="04C14EF3" w14:textId="77777777" w:rsidR="00A10636" w:rsidRPr="00D9348B" w:rsidRDefault="00A10636" w:rsidP="00771A8F">
      <w:pPr>
        <w:pStyle w:val="Bullet"/>
        <w:numPr>
          <w:ilvl w:val="0"/>
          <w:numId w:val="20"/>
        </w:numPr>
      </w:pPr>
      <w:r w:rsidRPr="00D9348B">
        <w:t>develop a methodology for mapping age cohorts for forest planted after 1990</w:t>
      </w:r>
    </w:p>
    <w:p w14:paraId="06FE819F" w14:textId="77777777" w:rsidR="00A10636" w:rsidRPr="00D9348B" w:rsidRDefault="00A10636" w:rsidP="00771A8F">
      <w:pPr>
        <w:pStyle w:val="Bullet"/>
        <w:numPr>
          <w:ilvl w:val="0"/>
          <w:numId w:val="20"/>
        </w:numPr>
      </w:pPr>
      <w:proofErr w:type="gramStart"/>
      <w:r w:rsidRPr="00D9348B">
        <w:t>revisit</w:t>
      </w:r>
      <w:proofErr w:type="gramEnd"/>
      <w:r w:rsidRPr="00D9348B">
        <w:t xml:space="preserve"> the justification for New Zealand’s chosen 28-year transition period. New Zealand is planning to move back to the 2006 IPCC Guidelines default transition period of 20 years (IPCC, 2006a). </w:t>
      </w:r>
    </w:p>
    <w:p w14:paraId="6CBF63DA" w14:textId="77777777" w:rsidR="00A10636" w:rsidRPr="00D9348B" w:rsidRDefault="00A10636" w:rsidP="00A10636">
      <w:pPr>
        <w:pStyle w:val="Heading2"/>
        <w:spacing w:before="280"/>
      </w:pPr>
      <w:bookmarkStart w:id="1288" w:name="_Toc361645361"/>
      <w:bookmarkStart w:id="1289" w:name="_Toc391024698"/>
      <w:bookmarkStart w:id="1290" w:name="_Toc414531315"/>
      <w:bookmarkStart w:id="1291" w:name="_Toc474335457"/>
      <w:bookmarkStart w:id="1292" w:name="_Toc481751397"/>
      <w:bookmarkStart w:id="1293" w:name="_Toc522013949"/>
      <w:bookmarkStart w:id="1294" w:name="_Toc5269374"/>
      <w:bookmarkStart w:id="1295" w:name="_Toc36224414"/>
      <w:r w:rsidRPr="00D9348B">
        <w:t>6.2</w:t>
      </w:r>
      <w:r w:rsidRPr="00D9348B">
        <w:tab/>
        <w:t>Representation of land areas</w:t>
      </w:r>
      <w:bookmarkEnd w:id="1288"/>
      <w:bookmarkEnd w:id="1289"/>
      <w:bookmarkEnd w:id="1290"/>
      <w:bookmarkEnd w:id="1291"/>
      <w:bookmarkEnd w:id="1292"/>
      <w:bookmarkEnd w:id="1293"/>
      <w:bookmarkEnd w:id="1294"/>
      <w:bookmarkEnd w:id="1295"/>
    </w:p>
    <w:p w14:paraId="05668E80" w14:textId="77777777" w:rsidR="00A10636" w:rsidRPr="00D9348B" w:rsidRDefault="00A10636" w:rsidP="00A10636">
      <w:pPr>
        <w:pStyle w:val="BodyText"/>
      </w:pPr>
      <w:r w:rsidRPr="00D9348B">
        <w:t xml:space="preserve">The total land area of New Zealand is 26,925.2 kilohectares. This includes all significant New Zealand land masses: the two main islands, the North Island and South Island, as well as Stewart Island, Great Barrier Island, Little Barrier Island, the Chatham Islands, the Subantarctic Islands and other, small outlying islands. </w:t>
      </w:r>
    </w:p>
    <w:p w14:paraId="4A756B16" w14:textId="5462F503" w:rsidR="00A10636" w:rsidRPr="00D9348B" w:rsidRDefault="00A10636" w:rsidP="00A10636">
      <w:pPr>
        <w:pStyle w:val="BodyText"/>
      </w:pPr>
      <w:r w:rsidRPr="00D9348B">
        <w:t xml:space="preserve">New Zealand has used a combination of Reporting Methods 1 and 2, and Approaches 2 and 3 to determine land-use changes occurring between 1 January 1990 and 31 December 2018 (section 3.1.1, IPCC, 2006a). The total </w:t>
      </w:r>
      <w:r w:rsidR="00766DDA">
        <w:t>land-use</w:t>
      </w:r>
      <w:r w:rsidRPr="00D9348B">
        <w:t xml:space="preserve"> areas as at 1 January 1990, 1 January 2008, 31 December 2012 and 31 December 2016 are based on wall-to-wall mapping of satellite and aircraft remotely sensed imagery taken in, or close to the start of, 1990, 2008, 2013 and 2017 respectively, as described in section 6.2.2. The mapping of forest areas in these four maps includes improvements made up to August 2019 using aerial photography and data from the NZ ETS. Deforestation occurring between 2008 and 2016 has been mapped by year using ancillary satellite imagery and aerial photography. All other land-use changes occurring between the four major mapping years have been interpolated from other sources. This is described in further detail in section 6.2.3.</w:t>
      </w:r>
    </w:p>
    <w:p w14:paraId="159A19BD" w14:textId="2A06D435" w:rsidR="00A10636" w:rsidRPr="00D9348B" w:rsidRDefault="00A10636" w:rsidP="00A10636">
      <w:pPr>
        <w:pStyle w:val="Heading3"/>
      </w:pPr>
      <w:bookmarkStart w:id="1296" w:name="_Toc280630224"/>
      <w:bookmarkStart w:id="1297" w:name="_Toc361645362"/>
      <w:r w:rsidRPr="00D9348B">
        <w:t>6.2.1</w:t>
      </w:r>
      <w:r w:rsidRPr="00D9348B">
        <w:tab/>
      </w:r>
      <w:r w:rsidR="00766DDA">
        <w:t>Land-use</w:t>
      </w:r>
      <w:r w:rsidRPr="00D9348B">
        <w:t xml:space="preserve"> category definitions</w:t>
      </w:r>
      <w:bookmarkEnd w:id="1296"/>
      <w:bookmarkEnd w:id="1297"/>
    </w:p>
    <w:p w14:paraId="53DA2CF8" w14:textId="3D45A81D" w:rsidR="00A10636" w:rsidRPr="00D9348B" w:rsidRDefault="00A10636" w:rsidP="00A10636">
      <w:pPr>
        <w:pStyle w:val="BodyText"/>
      </w:pPr>
      <w:r w:rsidRPr="00D9348B">
        <w:t xml:space="preserve">The </w:t>
      </w:r>
      <w:r w:rsidR="00766DDA">
        <w:t>land-use</w:t>
      </w:r>
      <w:r w:rsidRPr="00D9348B">
        <w:t xml:space="preserve"> categories and matching land uses New Zealand reports for are shown in table 6.2.1.</w:t>
      </w:r>
    </w:p>
    <w:p w14:paraId="73FC009B" w14:textId="2A6113F5" w:rsidR="00A10636" w:rsidRPr="00D9348B" w:rsidRDefault="00A10636" w:rsidP="00A10636">
      <w:pPr>
        <w:pStyle w:val="Table"/>
      </w:pPr>
      <w:bookmarkStart w:id="1298" w:name="_Toc310423399"/>
      <w:bookmarkStart w:id="1299" w:name="_Toc318362692"/>
      <w:bookmarkStart w:id="1300" w:name="_Toc342470754"/>
      <w:bookmarkStart w:id="1301" w:name="_Toc352504994"/>
      <w:bookmarkStart w:id="1302" w:name="_Toc361645342"/>
      <w:bookmarkStart w:id="1303" w:name="_Toc378853280"/>
      <w:bookmarkStart w:id="1304" w:name="_Toc391024078"/>
      <w:bookmarkStart w:id="1305" w:name="_Toc410028821"/>
      <w:bookmarkStart w:id="1306" w:name="_Toc414531449"/>
      <w:bookmarkStart w:id="1307" w:name="_Toc443645362"/>
      <w:bookmarkStart w:id="1308" w:name="_Toc474914581"/>
      <w:bookmarkStart w:id="1309" w:name="_Toc481751545"/>
      <w:bookmarkStart w:id="1310" w:name="_Toc522010602"/>
      <w:bookmarkStart w:id="1311" w:name="_Toc5269507"/>
      <w:bookmarkStart w:id="1312" w:name="_Toc33529383"/>
      <w:bookmarkStart w:id="1313" w:name="_Toc36224589"/>
      <w:r w:rsidRPr="00D9348B">
        <w:t>Table 6.2.1</w:t>
      </w:r>
      <w:r w:rsidRPr="00D9348B">
        <w:tab/>
        <w:t xml:space="preserve">New Zealand’s </w:t>
      </w:r>
      <w:r w:rsidR="00766DDA">
        <w:t>land-use</w:t>
      </w:r>
      <w:r w:rsidRPr="00D9348B">
        <w:t xml:space="preserve"> categories and </w:t>
      </w:r>
      <w:bookmarkEnd w:id="1298"/>
      <w:bookmarkEnd w:id="1299"/>
      <w:bookmarkEnd w:id="1300"/>
      <w:bookmarkEnd w:id="1301"/>
      <w:bookmarkEnd w:id="1302"/>
      <w:bookmarkEnd w:id="1303"/>
      <w:bookmarkEnd w:id="1304"/>
      <w:bookmarkEnd w:id="1305"/>
      <w:bookmarkEnd w:id="1306"/>
      <w:bookmarkEnd w:id="1307"/>
      <w:r w:rsidRPr="00D9348B">
        <w:t>land uses</w:t>
      </w:r>
      <w:bookmarkEnd w:id="1308"/>
      <w:bookmarkEnd w:id="1309"/>
      <w:bookmarkEnd w:id="1310"/>
      <w:bookmarkEnd w:id="1311"/>
      <w:bookmarkEnd w:id="1312"/>
      <w:bookmarkEnd w:id="1313"/>
    </w:p>
    <w:tbl>
      <w:tblPr>
        <w:tblW w:w="8505" w:type="dxa"/>
        <w:tblInd w:w="108" w:type="dxa"/>
        <w:tblBorders>
          <w:bottom w:val="single" w:sz="8" w:space="0" w:color="365F91"/>
        </w:tblBorders>
        <w:tblLook w:val="04A0" w:firstRow="1" w:lastRow="0" w:firstColumn="1" w:lastColumn="0" w:noHBand="0" w:noVBand="1"/>
      </w:tblPr>
      <w:tblGrid>
        <w:gridCol w:w="3114"/>
        <w:gridCol w:w="5391"/>
      </w:tblGrid>
      <w:tr w:rsidR="00A10636" w:rsidRPr="00D9348B" w14:paraId="3DBAA4F7" w14:textId="77777777" w:rsidTr="00036FB1">
        <w:trPr>
          <w:tblHeader/>
        </w:trPr>
        <w:tc>
          <w:tcPr>
            <w:tcW w:w="2427" w:type="dxa"/>
            <w:tcBorders>
              <w:top w:val="single" w:sz="4" w:space="0" w:color="365F91"/>
              <w:bottom w:val="single" w:sz="4" w:space="0" w:color="365F91"/>
              <w:right w:val="nil"/>
            </w:tcBorders>
            <w:shd w:val="clear" w:color="auto" w:fill="365F91"/>
          </w:tcPr>
          <w:p w14:paraId="25B02456" w14:textId="77777777" w:rsidR="00A10636" w:rsidRPr="00D9348B" w:rsidRDefault="00A10636" w:rsidP="00DB330E">
            <w:pPr>
              <w:pStyle w:val="TableTextBold"/>
              <w:keepNext/>
              <w:spacing w:before="50" w:after="40"/>
              <w:rPr>
                <w:rFonts w:eastAsia="Arial"/>
                <w:noProof w:val="0"/>
                <w:color w:val="FFFFFF"/>
              </w:rPr>
            </w:pPr>
            <w:r w:rsidRPr="00D9348B">
              <w:rPr>
                <w:rFonts w:eastAsia="Arial"/>
                <w:noProof w:val="0"/>
                <w:color w:val="FFFFFF"/>
              </w:rPr>
              <w:t xml:space="preserve">IPCC category </w:t>
            </w:r>
          </w:p>
        </w:tc>
        <w:tc>
          <w:tcPr>
            <w:tcW w:w="4202" w:type="dxa"/>
            <w:tcBorders>
              <w:top w:val="single" w:sz="4" w:space="0" w:color="365F91"/>
              <w:bottom w:val="single" w:sz="4" w:space="0" w:color="365F91"/>
            </w:tcBorders>
            <w:shd w:val="clear" w:color="auto" w:fill="365F91"/>
          </w:tcPr>
          <w:p w14:paraId="716EAB9D" w14:textId="77777777" w:rsidR="00A10636" w:rsidRPr="00D9348B" w:rsidRDefault="00A10636" w:rsidP="00DB330E">
            <w:pPr>
              <w:pStyle w:val="TableTextBold"/>
              <w:spacing w:before="50" w:after="40"/>
              <w:rPr>
                <w:rFonts w:eastAsia="Arial"/>
                <w:noProof w:val="0"/>
                <w:color w:val="FFFFFF"/>
              </w:rPr>
            </w:pPr>
            <w:r w:rsidRPr="00D9348B">
              <w:rPr>
                <w:rFonts w:eastAsia="Arial"/>
                <w:noProof w:val="0"/>
                <w:color w:val="FFFFFF"/>
              </w:rPr>
              <w:t xml:space="preserve">New Zealand land use </w:t>
            </w:r>
          </w:p>
        </w:tc>
      </w:tr>
      <w:tr w:rsidR="00A10636" w:rsidRPr="00D9348B" w14:paraId="6174A320" w14:textId="77777777" w:rsidTr="00036FB1">
        <w:tc>
          <w:tcPr>
            <w:tcW w:w="2427" w:type="dxa"/>
            <w:tcBorders>
              <w:top w:val="single" w:sz="4" w:space="0" w:color="365F91"/>
              <w:bottom w:val="nil"/>
              <w:right w:val="nil"/>
            </w:tcBorders>
            <w:shd w:val="clear" w:color="auto" w:fill="auto"/>
          </w:tcPr>
          <w:p w14:paraId="3C57662E" w14:textId="77777777" w:rsidR="00A10636" w:rsidRPr="00D9348B" w:rsidRDefault="00A10636" w:rsidP="00DB330E">
            <w:pPr>
              <w:pStyle w:val="TableText"/>
              <w:spacing w:before="40" w:after="40"/>
              <w:rPr>
                <w:rFonts w:eastAsia="Arial"/>
              </w:rPr>
            </w:pPr>
            <w:r w:rsidRPr="00D9348B">
              <w:rPr>
                <w:rFonts w:eastAsia="Arial"/>
              </w:rPr>
              <w:t xml:space="preserve">Forest land </w:t>
            </w:r>
          </w:p>
        </w:tc>
        <w:tc>
          <w:tcPr>
            <w:tcW w:w="4202" w:type="dxa"/>
            <w:tcBorders>
              <w:top w:val="single" w:sz="4" w:space="0" w:color="365F91"/>
            </w:tcBorders>
            <w:shd w:val="clear" w:color="auto" w:fill="auto"/>
          </w:tcPr>
          <w:p w14:paraId="7FF7D35D" w14:textId="77777777" w:rsidR="00A10636" w:rsidRPr="00D9348B" w:rsidRDefault="00A10636" w:rsidP="00DB330E">
            <w:pPr>
              <w:pStyle w:val="TableText"/>
              <w:spacing w:before="40" w:after="40"/>
              <w:rPr>
                <w:rFonts w:eastAsia="Arial"/>
              </w:rPr>
            </w:pPr>
            <w:r w:rsidRPr="00D9348B">
              <w:rPr>
                <w:rFonts w:eastAsia="Arial"/>
              </w:rPr>
              <w:t xml:space="preserve">Pre-1990 natural forest </w:t>
            </w:r>
          </w:p>
        </w:tc>
      </w:tr>
      <w:tr w:rsidR="00A10636" w:rsidRPr="00D9348B" w14:paraId="26820148" w14:textId="77777777" w:rsidTr="00036FB1">
        <w:tc>
          <w:tcPr>
            <w:tcW w:w="2427" w:type="dxa"/>
            <w:tcBorders>
              <w:top w:val="nil"/>
              <w:bottom w:val="nil"/>
              <w:right w:val="nil"/>
            </w:tcBorders>
            <w:shd w:val="clear" w:color="auto" w:fill="auto"/>
          </w:tcPr>
          <w:p w14:paraId="52A2E4B5" w14:textId="77777777" w:rsidR="00A10636" w:rsidRPr="00D9348B" w:rsidRDefault="00A10636" w:rsidP="00DB330E">
            <w:pPr>
              <w:pStyle w:val="TableText"/>
              <w:spacing w:before="40" w:after="40"/>
              <w:rPr>
                <w:rFonts w:eastAsia="Arial"/>
              </w:rPr>
            </w:pPr>
          </w:p>
        </w:tc>
        <w:tc>
          <w:tcPr>
            <w:tcW w:w="4202" w:type="dxa"/>
            <w:tcBorders>
              <w:top w:val="single" w:sz="8" w:space="0" w:color="365F91"/>
              <w:bottom w:val="single" w:sz="8" w:space="0" w:color="365F91"/>
            </w:tcBorders>
            <w:shd w:val="clear" w:color="auto" w:fill="auto"/>
          </w:tcPr>
          <w:p w14:paraId="4E2CC4AD" w14:textId="77777777" w:rsidR="00A10636" w:rsidRPr="00D9348B" w:rsidRDefault="00A10636" w:rsidP="00DB330E">
            <w:pPr>
              <w:pStyle w:val="TableText"/>
              <w:spacing w:before="40" w:after="40"/>
              <w:rPr>
                <w:rFonts w:eastAsia="Arial"/>
              </w:rPr>
            </w:pPr>
            <w:r w:rsidRPr="00D9348B">
              <w:rPr>
                <w:rFonts w:eastAsia="Arial"/>
              </w:rPr>
              <w:t>Pre-1990 planted forest</w:t>
            </w:r>
          </w:p>
        </w:tc>
      </w:tr>
      <w:tr w:rsidR="00A10636" w:rsidRPr="00D9348B" w14:paraId="23DC32E2" w14:textId="77777777" w:rsidTr="00036FB1">
        <w:tc>
          <w:tcPr>
            <w:tcW w:w="2427" w:type="dxa"/>
            <w:tcBorders>
              <w:bottom w:val="single" w:sz="8" w:space="0" w:color="365F91"/>
              <w:right w:val="nil"/>
            </w:tcBorders>
            <w:shd w:val="clear" w:color="auto" w:fill="auto"/>
          </w:tcPr>
          <w:p w14:paraId="6477F83A" w14:textId="77777777" w:rsidR="00A10636" w:rsidRPr="00D9348B" w:rsidRDefault="00A10636" w:rsidP="00DB330E">
            <w:pPr>
              <w:pStyle w:val="TableText"/>
              <w:spacing w:before="40" w:after="40"/>
              <w:rPr>
                <w:rFonts w:eastAsia="Arial"/>
              </w:rPr>
            </w:pPr>
          </w:p>
        </w:tc>
        <w:tc>
          <w:tcPr>
            <w:tcW w:w="4202" w:type="dxa"/>
            <w:shd w:val="clear" w:color="auto" w:fill="auto"/>
          </w:tcPr>
          <w:p w14:paraId="697AB770" w14:textId="77777777" w:rsidR="00A10636" w:rsidRPr="00D9348B" w:rsidRDefault="00A10636" w:rsidP="00DB330E">
            <w:pPr>
              <w:pStyle w:val="TableText"/>
              <w:spacing w:before="40" w:after="40"/>
              <w:rPr>
                <w:rFonts w:eastAsia="Arial"/>
              </w:rPr>
            </w:pPr>
            <w:r w:rsidRPr="00D9348B">
              <w:rPr>
                <w:rFonts w:eastAsia="Arial"/>
              </w:rPr>
              <w:t>Post-1989 forest</w:t>
            </w:r>
            <w:r w:rsidRPr="00D9348B">
              <w:rPr>
                <w:rFonts w:eastAsia="Arial"/>
                <w:vertAlign w:val="superscript"/>
              </w:rPr>
              <w:t>(1)</w:t>
            </w:r>
          </w:p>
        </w:tc>
      </w:tr>
      <w:tr w:rsidR="00A10636" w:rsidRPr="00D9348B" w14:paraId="56C59106" w14:textId="77777777" w:rsidTr="00036FB1">
        <w:tc>
          <w:tcPr>
            <w:tcW w:w="2427" w:type="dxa"/>
            <w:tcBorders>
              <w:top w:val="single" w:sz="8" w:space="0" w:color="365F91"/>
              <w:bottom w:val="nil"/>
              <w:right w:val="nil"/>
            </w:tcBorders>
            <w:shd w:val="clear" w:color="auto" w:fill="auto"/>
          </w:tcPr>
          <w:p w14:paraId="5198D0DB" w14:textId="77777777" w:rsidR="00A10636" w:rsidRPr="00D9348B" w:rsidRDefault="00A10636" w:rsidP="00DB330E">
            <w:pPr>
              <w:pStyle w:val="TableText"/>
              <w:spacing w:before="40" w:after="40"/>
              <w:rPr>
                <w:rFonts w:eastAsia="Arial"/>
              </w:rPr>
            </w:pPr>
            <w:r w:rsidRPr="00D9348B">
              <w:rPr>
                <w:rFonts w:eastAsia="Arial"/>
              </w:rPr>
              <w:t xml:space="preserve">Cropland </w:t>
            </w:r>
          </w:p>
        </w:tc>
        <w:tc>
          <w:tcPr>
            <w:tcW w:w="4202" w:type="dxa"/>
            <w:tcBorders>
              <w:top w:val="single" w:sz="8" w:space="0" w:color="365F91"/>
              <w:bottom w:val="single" w:sz="8" w:space="0" w:color="365F91"/>
            </w:tcBorders>
            <w:shd w:val="clear" w:color="auto" w:fill="auto"/>
          </w:tcPr>
          <w:p w14:paraId="6E9149B5" w14:textId="77777777" w:rsidR="00A10636" w:rsidRPr="00D9348B" w:rsidRDefault="00A10636" w:rsidP="00DB330E">
            <w:pPr>
              <w:pStyle w:val="TableText"/>
              <w:spacing w:before="40" w:after="40"/>
              <w:rPr>
                <w:rFonts w:eastAsia="Arial"/>
              </w:rPr>
            </w:pPr>
            <w:r w:rsidRPr="00D9348B">
              <w:rPr>
                <w:rFonts w:eastAsia="Arial"/>
              </w:rPr>
              <w:t>Annual cropland</w:t>
            </w:r>
          </w:p>
        </w:tc>
      </w:tr>
      <w:tr w:rsidR="00A10636" w:rsidRPr="00D9348B" w14:paraId="63D2F057" w14:textId="77777777" w:rsidTr="00036FB1">
        <w:tc>
          <w:tcPr>
            <w:tcW w:w="2427" w:type="dxa"/>
            <w:tcBorders>
              <w:bottom w:val="single" w:sz="8" w:space="0" w:color="365F91"/>
              <w:right w:val="nil"/>
            </w:tcBorders>
            <w:shd w:val="clear" w:color="auto" w:fill="auto"/>
          </w:tcPr>
          <w:p w14:paraId="74597F26" w14:textId="77777777" w:rsidR="00A10636" w:rsidRPr="00D9348B" w:rsidRDefault="00A10636" w:rsidP="00DB330E">
            <w:pPr>
              <w:pStyle w:val="TableText"/>
              <w:spacing w:before="40" w:after="40"/>
              <w:rPr>
                <w:rFonts w:eastAsia="Arial"/>
              </w:rPr>
            </w:pPr>
          </w:p>
        </w:tc>
        <w:tc>
          <w:tcPr>
            <w:tcW w:w="4202" w:type="dxa"/>
            <w:shd w:val="clear" w:color="auto" w:fill="auto"/>
          </w:tcPr>
          <w:p w14:paraId="286FCB31" w14:textId="77777777" w:rsidR="00A10636" w:rsidRPr="00D9348B" w:rsidRDefault="00A10636" w:rsidP="00DB330E">
            <w:pPr>
              <w:pStyle w:val="TableText"/>
              <w:spacing w:before="40" w:after="40"/>
              <w:rPr>
                <w:rFonts w:eastAsia="Arial"/>
              </w:rPr>
            </w:pPr>
            <w:r w:rsidRPr="00D9348B">
              <w:rPr>
                <w:rFonts w:eastAsia="Arial"/>
              </w:rPr>
              <w:t xml:space="preserve">Perennial cropland </w:t>
            </w:r>
          </w:p>
        </w:tc>
      </w:tr>
      <w:tr w:rsidR="00A10636" w:rsidRPr="00D9348B" w14:paraId="0F46CDFF" w14:textId="77777777" w:rsidTr="00036FB1">
        <w:tc>
          <w:tcPr>
            <w:tcW w:w="2427" w:type="dxa"/>
            <w:tcBorders>
              <w:top w:val="single" w:sz="8" w:space="0" w:color="365F91"/>
              <w:bottom w:val="nil"/>
              <w:right w:val="nil"/>
            </w:tcBorders>
            <w:shd w:val="clear" w:color="auto" w:fill="auto"/>
          </w:tcPr>
          <w:p w14:paraId="2E5B15C5" w14:textId="77777777" w:rsidR="00A10636" w:rsidRPr="00D9348B" w:rsidRDefault="00A10636" w:rsidP="00DB330E">
            <w:pPr>
              <w:pStyle w:val="TableText"/>
              <w:spacing w:before="40" w:after="40"/>
              <w:rPr>
                <w:rFonts w:eastAsia="Arial"/>
              </w:rPr>
            </w:pPr>
            <w:r w:rsidRPr="00D9348B">
              <w:rPr>
                <w:rFonts w:eastAsia="Arial"/>
              </w:rPr>
              <w:t xml:space="preserve">Grassland </w:t>
            </w:r>
          </w:p>
        </w:tc>
        <w:tc>
          <w:tcPr>
            <w:tcW w:w="4202" w:type="dxa"/>
            <w:tcBorders>
              <w:top w:val="single" w:sz="8" w:space="0" w:color="365F91"/>
              <w:bottom w:val="single" w:sz="8" w:space="0" w:color="365F91"/>
            </w:tcBorders>
            <w:shd w:val="clear" w:color="auto" w:fill="auto"/>
          </w:tcPr>
          <w:p w14:paraId="775EEA13" w14:textId="77777777" w:rsidR="00A10636" w:rsidRPr="00D9348B" w:rsidRDefault="00A10636" w:rsidP="00DB330E">
            <w:pPr>
              <w:pStyle w:val="TableText"/>
              <w:spacing w:before="40" w:after="40"/>
              <w:rPr>
                <w:rFonts w:eastAsia="Arial"/>
              </w:rPr>
            </w:pPr>
            <w:r w:rsidRPr="00D9348B">
              <w:rPr>
                <w:rFonts w:eastAsia="Arial"/>
              </w:rPr>
              <w:t>High producing grassland</w:t>
            </w:r>
          </w:p>
        </w:tc>
      </w:tr>
      <w:tr w:rsidR="00A10636" w:rsidRPr="00D9348B" w14:paraId="17D2C7A5" w14:textId="77777777" w:rsidTr="00036FB1">
        <w:tc>
          <w:tcPr>
            <w:tcW w:w="2427" w:type="dxa"/>
            <w:tcBorders>
              <w:bottom w:val="nil"/>
              <w:right w:val="nil"/>
            </w:tcBorders>
            <w:shd w:val="clear" w:color="auto" w:fill="auto"/>
          </w:tcPr>
          <w:p w14:paraId="2A59631D" w14:textId="77777777" w:rsidR="00A10636" w:rsidRPr="00D9348B" w:rsidRDefault="00A10636" w:rsidP="00DB330E">
            <w:pPr>
              <w:pStyle w:val="TableText"/>
              <w:spacing w:before="40" w:after="40"/>
              <w:rPr>
                <w:rFonts w:eastAsia="Arial"/>
              </w:rPr>
            </w:pPr>
          </w:p>
        </w:tc>
        <w:tc>
          <w:tcPr>
            <w:tcW w:w="4202" w:type="dxa"/>
            <w:shd w:val="clear" w:color="auto" w:fill="auto"/>
          </w:tcPr>
          <w:p w14:paraId="423C2135" w14:textId="77777777" w:rsidR="00A10636" w:rsidRPr="00D9348B" w:rsidRDefault="00A10636" w:rsidP="00DB330E">
            <w:pPr>
              <w:pStyle w:val="TableText"/>
              <w:spacing w:before="40" w:after="40"/>
              <w:rPr>
                <w:rFonts w:eastAsia="Arial"/>
              </w:rPr>
            </w:pPr>
            <w:r w:rsidRPr="00D9348B">
              <w:rPr>
                <w:rFonts w:eastAsia="Arial"/>
              </w:rPr>
              <w:t>Low producing grassland</w:t>
            </w:r>
          </w:p>
        </w:tc>
      </w:tr>
      <w:tr w:rsidR="00A10636" w:rsidRPr="00D9348B" w14:paraId="719C02D9" w14:textId="77777777" w:rsidTr="00036FB1">
        <w:tc>
          <w:tcPr>
            <w:tcW w:w="2427" w:type="dxa"/>
            <w:tcBorders>
              <w:top w:val="nil"/>
              <w:bottom w:val="single" w:sz="8" w:space="0" w:color="365F91"/>
              <w:right w:val="nil"/>
            </w:tcBorders>
            <w:shd w:val="clear" w:color="auto" w:fill="auto"/>
          </w:tcPr>
          <w:p w14:paraId="0C41D32C" w14:textId="77777777" w:rsidR="00A10636" w:rsidRPr="00D9348B" w:rsidRDefault="00A10636" w:rsidP="00DB330E">
            <w:pPr>
              <w:pStyle w:val="TableText"/>
              <w:spacing w:before="40" w:after="40"/>
              <w:rPr>
                <w:rFonts w:eastAsia="Arial"/>
              </w:rPr>
            </w:pPr>
          </w:p>
        </w:tc>
        <w:tc>
          <w:tcPr>
            <w:tcW w:w="4202" w:type="dxa"/>
            <w:tcBorders>
              <w:top w:val="single" w:sz="8" w:space="0" w:color="365F91"/>
              <w:bottom w:val="single" w:sz="8" w:space="0" w:color="365F91"/>
            </w:tcBorders>
            <w:shd w:val="clear" w:color="auto" w:fill="auto"/>
          </w:tcPr>
          <w:p w14:paraId="544EE45F" w14:textId="77777777" w:rsidR="00A10636" w:rsidRPr="00D9348B" w:rsidRDefault="00A10636" w:rsidP="00DB330E">
            <w:pPr>
              <w:pStyle w:val="TableText"/>
              <w:spacing w:before="40" w:after="40"/>
              <w:rPr>
                <w:rFonts w:eastAsia="Arial"/>
              </w:rPr>
            </w:pPr>
            <w:r w:rsidRPr="00D9348B">
              <w:rPr>
                <w:rFonts w:eastAsia="Arial"/>
              </w:rPr>
              <w:t>Grassland with woody biomass</w:t>
            </w:r>
          </w:p>
        </w:tc>
      </w:tr>
      <w:tr w:rsidR="00A10636" w:rsidRPr="00D9348B" w14:paraId="73FA7188" w14:textId="77777777" w:rsidTr="00036FB1">
        <w:tc>
          <w:tcPr>
            <w:tcW w:w="2427" w:type="dxa"/>
            <w:tcBorders>
              <w:top w:val="single" w:sz="8" w:space="0" w:color="365F91"/>
              <w:bottom w:val="nil"/>
              <w:right w:val="nil"/>
            </w:tcBorders>
            <w:shd w:val="clear" w:color="auto" w:fill="auto"/>
          </w:tcPr>
          <w:p w14:paraId="09264615" w14:textId="77777777" w:rsidR="00A10636" w:rsidRPr="00D9348B" w:rsidRDefault="00A10636" w:rsidP="00DB330E">
            <w:pPr>
              <w:pStyle w:val="TableText"/>
              <w:keepNext/>
              <w:spacing w:before="40" w:after="40"/>
              <w:rPr>
                <w:rFonts w:eastAsia="Arial"/>
              </w:rPr>
            </w:pPr>
            <w:r w:rsidRPr="00D9348B">
              <w:rPr>
                <w:rFonts w:eastAsia="Arial"/>
              </w:rPr>
              <w:lastRenderedPageBreak/>
              <w:t>Wetlands</w:t>
            </w:r>
          </w:p>
        </w:tc>
        <w:tc>
          <w:tcPr>
            <w:tcW w:w="4202" w:type="dxa"/>
            <w:shd w:val="clear" w:color="auto" w:fill="auto"/>
          </w:tcPr>
          <w:p w14:paraId="1C5B41DD" w14:textId="77777777" w:rsidR="00A10636" w:rsidRPr="00D9348B" w:rsidRDefault="00A10636" w:rsidP="00DB330E">
            <w:pPr>
              <w:pStyle w:val="TableText"/>
              <w:keepNext/>
              <w:spacing w:before="40" w:after="40"/>
              <w:rPr>
                <w:rFonts w:eastAsia="Arial"/>
              </w:rPr>
            </w:pPr>
            <w:r w:rsidRPr="00D9348B">
              <w:rPr>
                <w:rFonts w:eastAsia="Arial"/>
              </w:rPr>
              <w:t xml:space="preserve">Open water </w:t>
            </w:r>
          </w:p>
        </w:tc>
      </w:tr>
      <w:tr w:rsidR="00A10636" w:rsidRPr="00D9348B" w14:paraId="295D34C9" w14:textId="77777777" w:rsidTr="00036FB1">
        <w:tc>
          <w:tcPr>
            <w:tcW w:w="2427" w:type="dxa"/>
            <w:tcBorders>
              <w:top w:val="nil"/>
              <w:bottom w:val="single" w:sz="8" w:space="0" w:color="365F91"/>
              <w:right w:val="nil"/>
            </w:tcBorders>
            <w:shd w:val="clear" w:color="auto" w:fill="auto"/>
          </w:tcPr>
          <w:p w14:paraId="69E25BB9" w14:textId="77777777" w:rsidR="00A10636" w:rsidRPr="00D9348B" w:rsidRDefault="00A10636" w:rsidP="00DB330E">
            <w:pPr>
              <w:pStyle w:val="TableText"/>
              <w:keepNext/>
              <w:spacing w:before="40" w:after="40"/>
              <w:rPr>
                <w:rFonts w:eastAsia="Arial"/>
              </w:rPr>
            </w:pPr>
          </w:p>
        </w:tc>
        <w:tc>
          <w:tcPr>
            <w:tcW w:w="4202" w:type="dxa"/>
            <w:tcBorders>
              <w:top w:val="single" w:sz="8" w:space="0" w:color="365F91"/>
              <w:bottom w:val="single" w:sz="8" w:space="0" w:color="365F91"/>
            </w:tcBorders>
            <w:shd w:val="clear" w:color="auto" w:fill="auto"/>
          </w:tcPr>
          <w:p w14:paraId="2BE5C903" w14:textId="77777777" w:rsidR="00A10636" w:rsidRPr="00D9348B" w:rsidRDefault="00A10636" w:rsidP="00DB330E">
            <w:pPr>
              <w:pStyle w:val="TableText"/>
              <w:keepNext/>
              <w:spacing w:before="40" w:after="40"/>
              <w:rPr>
                <w:rFonts w:eastAsia="Arial"/>
              </w:rPr>
            </w:pPr>
            <w:r w:rsidRPr="00D9348B">
              <w:rPr>
                <w:rFonts w:eastAsia="Arial"/>
              </w:rPr>
              <w:t>Vegetated wetland</w:t>
            </w:r>
          </w:p>
        </w:tc>
      </w:tr>
      <w:tr w:rsidR="00A10636" w:rsidRPr="00D9348B" w14:paraId="3935E660" w14:textId="77777777" w:rsidTr="00036FB1">
        <w:tc>
          <w:tcPr>
            <w:tcW w:w="2427" w:type="dxa"/>
            <w:tcBorders>
              <w:right w:val="nil"/>
            </w:tcBorders>
            <w:shd w:val="clear" w:color="auto" w:fill="auto"/>
          </w:tcPr>
          <w:p w14:paraId="77BEBB70" w14:textId="77777777" w:rsidR="00A10636" w:rsidRPr="00D9348B" w:rsidRDefault="00A10636" w:rsidP="00DB330E">
            <w:pPr>
              <w:pStyle w:val="TableText"/>
              <w:spacing w:before="40" w:after="40"/>
              <w:rPr>
                <w:rFonts w:eastAsia="Arial"/>
              </w:rPr>
            </w:pPr>
            <w:r w:rsidRPr="00D9348B">
              <w:rPr>
                <w:rFonts w:eastAsia="Arial"/>
              </w:rPr>
              <w:t>Settlements</w:t>
            </w:r>
          </w:p>
        </w:tc>
        <w:tc>
          <w:tcPr>
            <w:tcW w:w="4202" w:type="dxa"/>
            <w:shd w:val="clear" w:color="auto" w:fill="auto"/>
          </w:tcPr>
          <w:p w14:paraId="6B29AF45" w14:textId="77777777" w:rsidR="00A10636" w:rsidRPr="00D9348B" w:rsidRDefault="00A10636" w:rsidP="00DB330E">
            <w:pPr>
              <w:pStyle w:val="TableText"/>
              <w:spacing w:before="40" w:after="40"/>
              <w:rPr>
                <w:rFonts w:eastAsia="Arial"/>
              </w:rPr>
            </w:pPr>
            <w:r w:rsidRPr="00D9348B">
              <w:rPr>
                <w:rFonts w:eastAsia="Arial"/>
              </w:rPr>
              <w:t>Settlements</w:t>
            </w:r>
          </w:p>
        </w:tc>
      </w:tr>
      <w:tr w:rsidR="00A10636" w:rsidRPr="00D9348B" w14:paraId="28E5D64C" w14:textId="77777777" w:rsidTr="00036FB1">
        <w:tc>
          <w:tcPr>
            <w:tcW w:w="2427" w:type="dxa"/>
            <w:tcBorders>
              <w:top w:val="single" w:sz="8" w:space="0" w:color="365F91"/>
              <w:bottom w:val="single" w:sz="8" w:space="0" w:color="365F91"/>
              <w:right w:val="nil"/>
            </w:tcBorders>
            <w:shd w:val="clear" w:color="auto" w:fill="auto"/>
          </w:tcPr>
          <w:p w14:paraId="63D3B189" w14:textId="77777777" w:rsidR="00A10636" w:rsidRPr="00D9348B" w:rsidRDefault="00A10636" w:rsidP="00DB330E">
            <w:pPr>
              <w:pStyle w:val="TableText"/>
              <w:spacing w:before="40" w:after="40"/>
              <w:rPr>
                <w:rFonts w:eastAsia="Arial"/>
              </w:rPr>
            </w:pPr>
            <w:r w:rsidRPr="00D9348B">
              <w:rPr>
                <w:rFonts w:eastAsia="Arial"/>
              </w:rPr>
              <w:t>Other land</w:t>
            </w:r>
          </w:p>
        </w:tc>
        <w:tc>
          <w:tcPr>
            <w:tcW w:w="4202" w:type="dxa"/>
            <w:tcBorders>
              <w:top w:val="single" w:sz="8" w:space="0" w:color="365F91"/>
              <w:bottom w:val="single" w:sz="8" w:space="0" w:color="365F91"/>
            </w:tcBorders>
            <w:shd w:val="clear" w:color="auto" w:fill="auto"/>
          </w:tcPr>
          <w:p w14:paraId="4B4ECB9B" w14:textId="77777777" w:rsidR="00A10636" w:rsidRPr="00D9348B" w:rsidRDefault="00A10636" w:rsidP="00DB330E">
            <w:pPr>
              <w:pStyle w:val="TableText"/>
              <w:spacing w:before="40" w:after="40"/>
              <w:rPr>
                <w:rFonts w:eastAsia="Arial"/>
              </w:rPr>
            </w:pPr>
            <w:r w:rsidRPr="00D9348B">
              <w:rPr>
                <w:rFonts w:eastAsia="Arial"/>
              </w:rPr>
              <w:t>Other land</w:t>
            </w:r>
          </w:p>
        </w:tc>
      </w:tr>
    </w:tbl>
    <w:p w14:paraId="145AE50C" w14:textId="77777777" w:rsidR="00A10636" w:rsidRPr="00D9348B" w:rsidRDefault="00A10636" w:rsidP="00A10636">
      <w:pPr>
        <w:pStyle w:val="Noteundertable"/>
      </w:pPr>
      <w:r w:rsidRPr="00D9348B">
        <w:rPr>
          <w:b/>
        </w:rPr>
        <w:t>Note:</w:t>
      </w:r>
      <w:r w:rsidRPr="00D9348B">
        <w:tab/>
        <w:t>(1) Mapped as a single land use but stratified into ‘post-1989 natural forest’ and ‘post-1989 planted forest’ for calculating carbon using data from the plot network.</w:t>
      </w:r>
    </w:p>
    <w:p w14:paraId="7E11C31D" w14:textId="1DC89C94" w:rsidR="00A10636" w:rsidRPr="00D9348B" w:rsidRDefault="00A10636" w:rsidP="00A10636">
      <w:pPr>
        <w:pStyle w:val="BodyText"/>
      </w:pPr>
      <w:r w:rsidRPr="00D9348B">
        <w:t xml:space="preserve">The land uses were chosen for their conformance with the dominant types in New Zealand, while still enabling reporting under the </w:t>
      </w:r>
      <w:r w:rsidR="00766DDA">
        <w:t>land-use</w:t>
      </w:r>
      <w:r w:rsidRPr="00D9348B">
        <w:t xml:space="preserve"> categories specified in the 2006 IPCC Guidelines</w:t>
      </w:r>
      <w:r w:rsidRPr="00D9348B" w:rsidDel="00663F9D">
        <w:t xml:space="preserve"> </w:t>
      </w:r>
      <w:r w:rsidRPr="00D9348B">
        <w:t xml:space="preserve">(IPCC, 2006a). </w:t>
      </w:r>
    </w:p>
    <w:p w14:paraId="0A7733DD" w14:textId="77777777" w:rsidR="00A10636" w:rsidRPr="00D9348B" w:rsidRDefault="00A10636" w:rsidP="00A10636">
      <w:pPr>
        <w:pStyle w:val="BodyText"/>
        <w:spacing w:after="100"/>
      </w:pPr>
      <w:r w:rsidRPr="00D9348B">
        <w:t xml:space="preserve">The national thresholds used by New Zealand to define </w:t>
      </w:r>
      <w:r w:rsidRPr="00D9348B">
        <w:rPr>
          <w:i/>
        </w:rPr>
        <w:t>Forest land</w:t>
      </w:r>
      <w:r w:rsidRPr="00D9348B">
        <w:t xml:space="preserve"> for both the Convention and Kyoto Protocol reporting are: </w:t>
      </w:r>
    </w:p>
    <w:p w14:paraId="1A0D505F" w14:textId="77777777" w:rsidR="00A10636" w:rsidRPr="00D9348B" w:rsidRDefault="00A10636" w:rsidP="00A10636">
      <w:pPr>
        <w:pStyle w:val="Bullet"/>
        <w:spacing w:after="100"/>
      </w:pPr>
      <w:r w:rsidRPr="00D9348B">
        <w:t>a minimum area of 1 hectare</w:t>
      </w:r>
    </w:p>
    <w:p w14:paraId="0BD11100" w14:textId="77777777" w:rsidR="00A10636" w:rsidRPr="00D9348B" w:rsidRDefault="00A10636" w:rsidP="00A10636">
      <w:pPr>
        <w:pStyle w:val="Bullet"/>
        <w:spacing w:after="100"/>
      </w:pPr>
      <w:r w:rsidRPr="00D9348B">
        <w:t>a crown cover of at least 30 per cent</w:t>
      </w:r>
    </w:p>
    <w:p w14:paraId="6E85E139" w14:textId="77777777" w:rsidR="00A10636" w:rsidRPr="00D9348B" w:rsidRDefault="00A10636" w:rsidP="00A10636">
      <w:pPr>
        <w:numPr>
          <w:ilvl w:val="0"/>
          <w:numId w:val="3"/>
        </w:numPr>
        <w:tabs>
          <w:tab w:val="clear" w:pos="567"/>
        </w:tabs>
        <w:spacing w:after="120"/>
      </w:pPr>
      <w:proofErr w:type="gramStart"/>
      <w:r w:rsidRPr="00D9348B">
        <w:t>a</w:t>
      </w:r>
      <w:proofErr w:type="gramEnd"/>
      <w:r w:rsidRPr="00D9348B">
        <w:t xml:space="preserve"> minimum height of 5 metres at maturity </w:t>
      </w:r>
      <w:r w:rsidRPr="00D9348B">
        <w:rPr>
          <w:i/>
        </w:rPr>
        <w:t>in situ</w:t>
      </w:r>
      <w:r w:rsidRPr="00D9348B">
        <w:t xml:space="preserve"> (Ministry for the Environment, 2006).</w:t>
      </w:r>
    </w:p>
    <w:p w14:paraId="211E38B3" w14:textId="442A07B9" w:rsidR="00A10636" w:rsidRPr="00D9348B" w:rsidRDefault="00A10636" w:rsidP="00A10636">
      <w:pPr>
        <w:pStyle w:val="BodyText"/>
      </w:pPr>
      <w:r w:rsidRPr="00D9348B">
        <w:t xml:space="preserve">The definitions of New Zealand’s land uses, as they have been mapped, are provided in table 6.2.2. Further details are included in </w:t>
      </w:r>
      <w:r w:rsidRPr="00D9348B">
        <w:rPr>
          <w:i/>
        </w:rPr>
        <w:t>Land Use and Carbon Analysis System:</w:t>
      </w:r>
      <w:r w:rsidRPr="00D9348B">
        <w:t xml:space="preserve"> </w:t>
      </w:r>
      <w:r w:rsidRPr="00D9348B">
        <w:rPr>
          <w:i/>
        </w:rPr>
        <w:t xml:space="preserve">Satellite imagery interpretation guide for </w:t>
      </w:r>
      <w:r w:rsidR="00766DDA">
        <w:rPr>
          <w:i/>
        </w:rPr>
        <w:t>land-use</w:t>
      </w:r>
      <w:r w:rsidRPr="00D9348B">
        <w:rPr>
          <w:i/>
        </w:rPr>
        <w:t xml:space="preserve"> classes </w:t>
      </w:r>
      <w:r w:rsidRPr="00D9348B">
        <w:t>(2nd edition) (Ministry for the Environment, 2012).</w:t>
      </w:r>
    </w:p>
    <w:p w14:paraId="1F720192" w14:textId="77777777" w:rsidR="00A10636" w:rsidRPr="00D9348B" w:rsidRDefault="00A10636" w:rsidP="00A10636">
      <w:pPr>
        <w:pStyle w:val="Table"/>
      </w:pPr>
      <w:bookmarkStart w:id="1314" w:name="_Toc280630452"/>
      <w:bookmarkStart w:id="1315" w:name="_Toc310423400"/>
      <w:bookmarkStart w:id="1316" w:name="_Toc318362693"/>
      <w:bookmarkStart w:id="1317" w:name="_Toc342470755"/>
      <w:bookmarkStart w:id="1318" w:name="_Toc352504995"/>
      <w:bookmarkStart w:id="1319" w:name="_Toc361645343"/>
      <w:bookmarkStart w:id="1320" w:name="_Toc378853281"/>
      <w:bookmarkStart w:id="1321" w:name="_Toc391024079"/>
      <w:bookmarkStart w:id="1322" w:name="_Toc410028822"/>
      <w:bookmarkStart w:id="1323" w:name="_Toc414531450"/>
      <w:bookmarkStart w:id="1324" w:name="_Toc443645363"/>
      <w:bookmarkStart w:id="1325" w:name="_Toc474914582"/>
      <w:bookmarkStart w:id="1326" w:name="_Toc481751546"/>
      <w:bookmarkStart w:id="1327" w:name="_Toc522010603"/>
      <w:bookmarkStart w:id="1328" w:name="_Toc5269508"/>
      <w:bookmarkStart w:id="1329" w:name="_Toc33529384"/>
      <w:bookmarkStart w:id="1330" w:name="_Toc36224590"/>
      <w:r w:rsidRPr="00D9348B">
        <w:t>Table 6.2.2</w:t>
      </w:r>
      <w:r w:rsidRPr="00D9348B">
        <w:tab/>
        <w:t>New Zealand’s mapping definitions for each land use</w:t>
      </w:r>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p>
    <w:tbl>
      <w:tblPr>
        <w:tblW w:w="8505" w:type="dxa"/>
        <w:tblInd w:w="108" w:type="dxa"/>
        <w:tblLook w:val="01E0" w:firstRow="1" w:lastRow="1" w:firstColumn="1" w:lastColumn="1" w:noHBand="0" w:noVBand="0"/>
      </w:tblPr>
      <w:tblGrid>
        <w:gridCol w:w="1276"/>
        <w:gridCol w:w="7229"/>
      </w:tblGrid>
      <w:tr w:rsidR="00A10636" w:rsidRPr="00D9348B" w14:paraId="6110FB16" w14:textId="77777777" w:rsidTr="00126411">
        <w:trPr>
          <w:tblHeader/>
        </w:trPr>
        <w:tc>
          <w:tcPr>
            <w:tcW w:w="1276" w:type="dxa"/>
            <w:tcBorders>
              <w:top w:val="single" w:sz="4" w:space="0" w:color="365F91"/>
              <w:bottom w:val="single" w:sz="4" w:space="0" w:color="365F91"/>
            </w:tcBorders>
            <w:shd w:val="clear" w:color="auto" w:fill="365F91"/>
          </w:tcPr>
          <w:p w14:paraId="73B31002" w14:textId="77777777" w:rsidR="00A10636" w:rsidRPr="00D9348B" w:rsidRDefault="00A10636" w:rsidP="00DB330E">
            <w:pPr>
              <w:pStyle w:val="TableTextBold"/>
              <w:rPr>
                <w:noProof w:val="0"/>
                <w:color w:val="FFFFFF"/>
              </w:rPr>
            </w:pPr>
            <w:r w:rsidRPr="00D9348B">
              <w:rPr>
                <w:noProof w:val="0"/>
                <w:color w:val="FFFFFF"/>
              </w:rPr>
              <w:t>Land use</w:t>
            </w:r>
          </w:p>
        </w:tc>
        <w:tc>
          <w:tcPr>
            <w:tcW w:w="7229" w:type="dxa"/>
            <w:tcBorders>
              <w:top w:val="single" w:sz="4" w:space="0" w:color="365F91"/>
              <w:bottom w:val="single" w:sz="4" w:space="0" w:color="365F91"/>
            </w:tcBorders>
            <w:shd w:val="clear" w:color="auto" w:fill="365F91"/>
            <w:vAlign w:val="bottom"/>
          </w:tcPr>
          <w:p w14:paraId="377A11FD" w14:textId="77777777" w:rsidR="00A10636" w:rsidRPr="00D9348B" w:rsidRDefault="00A10636" w:rsidP="00DB330E">
            <w:pPr>
              <w:pStyle w:val="TableTextBold"/>
              <w:rPr>
                <w:noProof w:val="0"/>
                <w:color w:val="FFFFFF"/>
              </w:rPr>
            </w:pPr>
            <w:r w:rsidRPr="00D9348B">
              <w:rPr>
                <w:noProof w:val="0"/>
                <w:color w:val="FFFFFF"/>
              </w:rPr>
              <w:t>Definition</w:t>
            </w:r>
          </w:p>
        </w:tc>
      </w:tr>
      <w:tr w:rsidR="00A10636" w:rsidRPr="00D9348B" w14:paraId="1F121C09" w14:textId="77777777" w:rsidTr="00126411">
        <w:tc>
          <w:tcPr>
            <w:tcW w:w="1276" w:type="dxa"/>
            <w:tcBorders>
              <w:top w:val="single" w:sz="4" w:space="0" w:color="365F91"/>
              <w:bottom w:val="single" w:sz="4" w:space="0" w:color="365F91"/>
            </w:tcBorders>
          </w:tcPr>
          <w:p w14:paraId="637D7593" w14:textId="77777777" w:rsidR="00A10636" w:rsidRPr="00D9348B" w:rsidRDefault="00A10636" w:rsidP="00DB330E">
            <w:pPr>
              <w:pStyle w:val="TableText"/>
              <w:rPr>
                <w:b/>
              </w:rPr>
            </w:pPr>
            <w:r w:rsidRPr="00D9348B">
              <w:rPr>
                <w:b/>
              </w:rPr>
              <w:t xml:space="preserve">Pre-1990 natural forest </w:t>
            </w:r>
          </w:p>
        </w:tc>
        <w:tc>
          <w:tcPr>
            <w:tcW w:w="7229" w:type="dxa"/>
            <w:tcBorders>
              <w:top w:val="single" w:sz="4" w:space="0" w:color="365F91"/>
              <w:bottom w:val="single" w:sz="4" w:space="0" w:color="365F91"/>
            </w:tcBorders>
          </w:tcPr>
          <w:p w14:paraId="5F146889" w14:textId="77777777" w:rsidR="00A10636" w:rsidRPr="00D9348B" w:rsidRDefault="00A10636" w:rsidP="00DB330E">
            <w:pPr>
              <w:pStyle w:val="TableText"/>
              <w:spacing w:after="0"/>
            </w:pPr>
            <w:r w:rsidRPr="00D9348B">
              <w:t>Areas that, on 1 January 1990, were and presently include:</w:t>
            </w:r>
          </w:p>
          <w:p w14:paraId="2CFB2B55" w14:textId="77777777" w:rsidR="00A10636" w:rsidRPr="00D9348B" w:rsidRDefault="00A10636" w:rsidP="00771A8F">
            <w:pPr>
              <w:pStyle w:val="TableBullet"/>
              <w:numPr>
                <w:ilvl w:val="0"/>
                <w:numId w:val="24"/>
              </w:numPr>
              <w:tabs>
                <w:tab w:val="left" w:pos="284"/>
              </w:tabs>
              <w:spacing w:before="40" w:after="0"/>
              <w:ind w:left="284" w:hanging="284"/>
            </w:pPr>
            <w:r w:rsidRPr="00D9348B">
              <w:t xml:space="preserve">tall indigenous forest </w:t>
            </w:r>
          </w:p>
          <w:p w14:paraId="3ABA345F" w14:textId="77777777" w:rsidR="00A10636" w:rsidRPr="00D9348B" w:rsidRDefault="00A10636" w:rsidP="00771A8F">
            <w:pPr>
              <w:pStyle w:val="TableBullet"/>
              <w:numPr>
                <w:ilvl w:val="0"/>
                <w:numId w:val="24"/>
              </w:numPr>
              <w:tabs>
                <w:tab w:val="left" w:pos="284"/>
              </w:tabs>
              <w:spacing w:before="40" w:after="0"/>
              <w:ind w:left="284" w:hanging="284"/>
            </w:pPr>
            <w:r w:rsidRPr="00D9348B">
              <w:t>self-sown exotic trees, such as wilding pines and grey willows (where managed as forest)</w:t>
            </w:r>
          </w:p>
          <w:p w14:paraId="1477E7D9" w14:textId="77777777" w:rsidR="00A10636" w:rsidRPr="00D9348B" w:rsidRDefault="00A10636" w:rsidP="00771A8F">
            <w:pPr>
              <w:pStyle w:val="TableBullet"/>
              <w:numPr>
                <w:ilvl w:val="0"/>
                <w:numId w:val="24"/>
              </w:numPr>
              <w:tabs>
                <w:tab w:val="left" w:pos="284"/>
              </w:tabs>
              <w:spacing w:before="40" w:after="0"/>
              <w:ind w:left="284" w:hanging="284"/>
            </w:pPr>
            <w:r w:rsidRPr="00D9348B">
              <w:t>broadleaved hardwood shrubland, m</w:t>
            </w:r>
            <w:r w:rsidRPr="00D9348B">
              <w:rPr>
                <w:rFonts w:cs="Arial"/>
              </w:rPr>
              <w:t>ā</w:t>
            </w:r>
            <w:r w:rsidRPr="00D9348B">
              <w:t>nuka–k</w:t>
            </w:r>
            <w:r w:rsidRPr="00D9348B">
              <w:rPr>
                <w:rFonts w:cs="Arial"/>
              </w:rPr>
              <w:t>ā</w:t>
            </w:r>
            <w:r w:rsidRPr="00D9348B">
              <w:t>nuka (</w:t>
            </w:r>
            <w:r w:rsidRPr="00D9348B">
              <w:rPr>
                <w:i/>
              </w:rPr>
              <w:t>Leptospermum</w:t>
            </w:r>
            <w:r w:rsidRPr="00D9348B">
              <w:t xml:space="preserve"> </w:t>
            </w:r>
            <w:r w:rsidRPr="00D9348B">
              <w:rPr>
                <w:i/>
              </w:rPr>
              <w:t>scoparium</w:t>
            </w:r>
            <w:r w:rsidRPr="00D9348B">
              <w:t>–</w:t>
            </w:r>
            <w:r w:rsidRPr="00D9348B">
              <w:rPr>
                <w:i/>
              </w:rPr>
              <w:t>Kunzea</w:t>
            </w:r>
            <w:r w:rsidRPr="00D9348B">
              <w:t xml:space="preserve"> spp.) shrubland and other woody shrubland (≥30 per cent cover, with potential to reach ≥5 metres at maturity </w:t>
            </w:r>
            <w:r w:rsidRPr="00D9348B">
              <w:rPr>
                <w:i/>
              </w:rPr>
              <w:t>in situ</w:t>
            </w:r>
            <w:r w:rsidRPr="00D9348B">
              <w:t xml:space="preserve"> under current land management within 30–40 years)</w:t>
            </w:r>
          </w:p>
          <w:p w14:paraId="5706204F" w14:textId="77777777" w:rsidR="00A10636" w:rsidRPr="00D9348B" w:rsidRDefault="00A10636" w:rsidP="00771A8F">
            <w:pPr>
              <w:pStyle w:val="TableBullet"/>
              <w:numPr>
                <w:ilvl w:val="0"/>
                <w:numId w:val="24"/>
              </w:numPr>
              <w:tabs>
                <w:tab w:val="left" w:pos="284"/>
              </w:tabs>
              <w:spacing w:before="40" w:after="0"/>
              <w:ind w:left="284" w:hanging="284"/>
            </w:pPr>
            <w:r w:rsidRPr="00D9348B">
              <w:t xml:space="preserve">areas of bare ground of any size that were previously forested but, due to natural disturbances (e.g., erosion, storms, fire), have temporarily lost vegetation cover </w:t>
            </w:r>
          </w:p>
          <w:p w14:paraId="2112648C" w14:textId="77777777" w:rsidR="00A10636" w:rsidRPr="00D9348B" w:rsidRDefault="00A10636" w:rsidP="00771A8F">
            <w:pPr>
              <w:pStyle w:val="TableBullet"/>
              <w:numPr>
                <w:ilvl w:val="0"/>
                <w:numId w:val="24"/>
              </w:numPr>
              <w:tabs>
                <w:tab w:val="left" w:pos="284"/>
              </w:tabs>
              <w:spacing w:before="40" w:after="0"/>
              <w:ind w:left="284" w:hanging="284"/>
            </w:pPr>
            <w:r w:rsidRPr="00D9348B">
              <w:t xml:space="preserve">areas that were planted forest at 1990 but are subsequently managed to regenerate with natural species that will meet the forest definition </w:t>
            </w:r>
          </w:p>
          <w:p w14:paraId="59A80D46" w14:textId="77777777" w:rsidR="00A10636" w:rsidRPr="00D9348B" w:rsidRDefault="00A10636" w:rsidP="00771A8F">
            <w:pPr>
              <w:pStyle w:val="TableBullet"/>
              <w:numPr>
                <w:ilvl w:val="0"/>
                <w:numId w:val="24"/>
              </w:numPr>
              <w:tabs>
                <w:tab w:val="left" w:pos="284"/>
              </w:tabs>
              <w:spacing w:before="40"/>
              <w:ind w:left="284" w:hanging="284"/>
            </w:pPr>
            <w:proofErr w:type="gramStart"/>
            <w:r w:rsidRPr="00D9348B">
              <w:t>roads</w:t>
            </w:r>
            <w:proofErr w:type="gramEnd"/>
            <w:r w:rsidRPr="00D9348B">
              <w:t xml:space="preserve"> and tracks less than 30 metres in width and other temporarily unstocked areas associated with a forest land use.</w:t>
            </w:r>
          </w:p>
        </w:tc>
      </w:tr>
      <w:tr w:rsidR="00A10636" w:rsidRPr="00D9348B" w14:paraId="5868F535" w14:textId="77777777" w:rsidTr="00126411">
        <w:tc>
          <w:tcPr>
            <w:tcW w:w="1276" w:type="dxa"/>
            <w:tcBorders>
              <w:top w:val="single" w:sz="4" w:space="0" w:color="365F91"/>
              <w:bottom w:val="single" w:sz="4" w:space="0" w:color="365F91"/>
            </w:tcBorders>
          </w:tcPr>
          <w:p w14:paraId="14CA4470" w14:textId="77777777" w:rsidR="00A10636" w:rsidRPr="00D9348B" w:rsidRDefault="00A10636" w:rsidP="00DB330E">
            <w:pPr>
              <w:pStyle w:val="TableText"/>
              <w:rPr>
                <w:b/>
              </w:rPr>
            </w:pPr>
            <w:r w:rsidRPr="00D9348B">
              <w:rPr>
                <w:b/>
              </w:rPr>
              <w:t>Pre-1990 planted forest</w:t>
            </w:r>
          </w:p>
        </w:tc>
        <w:tc>
          <w:tcPr>
            <w:tcW w:w="7229" w:type="dxa"/>
            <w:tcBorders>
              <w:top w:val="single" w:sz="4" w:space="0" w:color="365F91"/>
              <w:bottom w:val="single" w:sz="4" w:space="0" w:color="365F91"/>
            </w:tcBorders>
          </w:tcPr>
          <w:p w14:paraId="2EB034E3" w14:textId="77777777" w:rsidR="00A10636" w:rsidRPr="00D9348B" w:rsidRDefault="00A10636" w:rsidP="00DB330E">
            <w:pPr>
              <w:pStyle w:val="TableText"/>
              <w:spacing w:after="0"/>
            </w:pPr>
            <w:r w:rsidRPr="00D9348B">
              <w:t>Areas that, on 1 January 1990, were and presently include:</w:t>
            </w:r>
          </w:p>
          <w:p w14:paraId="38E9A4C8" w14:textId="783F1BEA" w:rsidR="00A10636" w:rsidRPr="00D9348B" w:rsidRDefault="00A10636" w:rsidP="00DB330E">
            <w:pPr>
              <w:pStyle w:val="TableBullet"/>
              <w:spacing w:before="40" w:after="0"/>
            </w:pPr>
            <w:r w:rsidRPr="00D9348B">
              <w:t>radiata pine (</w:t>
            </w:r>
            <w:r w:rsidRPr="00D9348B">
              <w:rPr>
                <w:i/>
              </w:rPr>
              <w:t>Pinus radiata</w:t>
            </w:r>
            <w:r w:rsidRPr="00D9348B">
              <w:t>), Douglas fir (</w:t>
            </w:r>
            <w:r w:rsidRPr="00D9348B">
              <w:rPr>
                <w:i/>
              </w:rPr>
              <w:t>Pseudotsuga menziesii</w:t>
            </w:r>
            <w:r w:rsidRPr="00D9348B">
              <w:t>), eucalypts (</w:t>
            </w:r>
            <w:r w:rsidRPr="00D9348B">
              <w:rPr>
                <w:i/>
              </w:rPr>
              <w:t xml:space="preserve">Eucalyptus </w:t>
            </w:r>
            <w:r w:rsidRPr="00D9348B">
              <w:t>spp.) or other</w:t>
            </w:r>
            <w:r w:rsidR="00292C83" w:rsidRPr="00D9348B">
              <w:t xml:space="preserve"> </w:t>
            </w:r>
            <w:r w:rsidR="007345A0">
              <w:t>p</w:t>
            </w:r>
            <w:r w:rsidRPr="00D9348B">
              <w:t xml:space="preserve">lanted species (with potential to reach ≥5 metre height at maturity </w:t>
            </w:r>
            <w:r w:rsidRPr="00D9348B">
              <w:rPr>
                <w:i/>
              </w:rPr>
              <w:t>in situ</w:t>
            </w:r>
            <w:r w:rsidRPr="00D9348B">
              <w:t>) established before 1 January 1990 or replanted on land that was forest land as at 31 December 1989</w:t>
            </w:r>
          </w:p>
          <w:p w14:paraId="76636EF6" w14:textId="77777777" w:rsidR="00A10636" w:rsidRPr="00D9348B" w:rsidRDefault="00A10636" w:rsidP="00DB330E">
            <w:pPr>
              <w:pStyle w:val="TableBullet"/>
              <w:spacing w:before="40" w:after="0"/>
            </w:pPr>
            <w:r w:rsidRPr="00D9348B">
              <w:t>exotic forest species that were planted after 31 December 1989 on land that was natural forest</w:t>
            </w:r>
          </w:p>
          <w:p w14:paraId="5FA4B931" w14:textId="101A9B0C" w:rsidR="00A10636" w:rsidRPr="00D9348B" w:rsidRDefault="00A10636" w:rsidP="00771A8F">
            <w:pPr>
              <w:pStyle w:val="TableBullet"/>
              <w:numPr>
                <w:ilvl w:val="0"/>
                <w:numId w:val="24"/>
              </w:numPr>
              <w:tabs>
                <w:tab w:val="left" w:pos="284"/>
              </w:tabs>
              <w:spacing w:before="40" w:after="0"/>
              <w:ind w:left="284" w:hanging="284"/>
            </w:pPr>
            <w:r w:rsidRPr="00D9348B">
              <w:t>riparian or erosion control plantings that meet the forest definition and that were planted before 1</w:t>
            </w:r>
            <w:r w:rsidR="00292C83" w:rsidRPr="00D9348B">
              <w:t xml:space="preserve"> </w:t>
            </w:r>
            <w:r w:rsidRPr="00D9348B">
              <w:t>January 1990</w:t>
            </w:r>
          </w:p>
          <w:p w14:paraId="4D61874F" w14:textId="77777777" w:rsidR="00A10636" w:rsidRPr="00D9348B" w:rsidRDefault="00A10636" w:rsidP="00771A8F">
            <w:pPr>
              <w:pStyle w:val="TableBullet"/>
              <w:numPr>
                <w:ilvl w:val="0"/>
                <w:numId w:val="24"/>
              </w:numPr>
              <w:tabs>
                <w:tab w:val="left" w:pos="284"/>
              </w:tabs>
              <w:spacing w:before="40" w:after="0"/>
              <w:ind w:left="284" w:hanging="284"/>
            </w:pPr>
            <w:r w:rsidRPr="00D9348B">
              <w:t>harvested areas within pre-1990 planted forest (assumes these will be replanted, unless deforestation is later detected)</w:t>
            </w:r>
          </w:p>
          <w:p w14:paraId="3190BADD" w14:textId="77777777" w:rsidR="00A10636" w:rsidRPr="00D9348B" w:rsidRDefault="00A10636" w:rsidP="00771A8F">
            <w:pPr>
              <w:pStyle w:val="TableBullet"/>
              <w:numPr>
                <w:ilvl w:val="0"/>
                <w:numId w:val="24"/>
              </w:numPr>
              <w:tabs>
                <w:tab w:val="left" w:pos="284"/>
              </w:tabs>
              <w:spacing w:before="40" w:after="0"/>
              <w:ind w:left="284" w:hanging="284"/>
            </w:pPr>
            <w:r w:rsidRPr="00D9348B">
              <w:t xml:space="preserve">roads, tracks, skid sites and other temporarily unstocked areas less than 30 metres in width associated with a forest land use </w:t>
            </w:r>
          </w:p>
          <w:p w14:paraId="185D8FF9" w14:textId="77777777" w:rsidR="00A10636" w:rsidRPr="00D9348B" w:rsidRDefault="00A10636" w:rsidP="00771A8F">
            <w:pPr>
              <w:pStyle w:val="TableBullet"/>
              <w:numPr>
                <w:ilvl w:val="0"/>
                <w:numId w:val="24"/>
              </w:numPr>
              <w:tabs>
                <w:tab w:val="left" w:pos="284"/>
              </w:tabs>
              <w:spacing w:before="40"/>
              <w:ind w:left="284" w:hanging="284"/>
            </w:pPr>
            <w:proofErr w:type="gramStart"/>
            <w:r w:rsidRPr="00D9348B">
              <w:t>areas</w:t>
            </w:r>
            <w:proofErr w:type="gramEnd"/>
            <w:r w:rsidRPr="00D9348B">
              <w:t xml:space="preserve"> of bare ground of any size that were previously forested at 31 December 1989 but, due to natural disturbances (e.g., erosion, storms, fire), have lost vegetation cover.</w:t>
            </w:r>
          </w:p>
        </w:tc>
      </w:tr>
      <w:tr w:rsidR="00A10636" w:rsidRPr="00D9348B" w14:paraId="4F9CFC9B" w14:textId="77777777" w:rsidTr="00126411">
        <w:tc>
          <w:tcPr>
            <w:tcW w:w="1276" w:type="dxa"/>
            <w:tcBorders>
              <w:top w:val="single" w:sz="4" w:space="0" w:color="365F91"/>
              <w:bottom w:val="single" w:sz="4" w:space="0" w:color="365F91"/>
            </w:tcBorders>
          </w:tcPr>
          <w:p w14:paraId="4D93E378" w14:textId="77777777" w:rsidR="00A10636" w:rsidRPr="00D9348B" w:rsidRDefault="00A10636" w:rsidP="00DB330E">
            <w:pPr>
              <w:pStyle w:val="TableText"/>
              <w:rPr>
                <w:b/>
              </w:rPr>
            </w:pPr>
            <w:r w:rsidRPr="00D9348B">
              <w:rPr>
                <w:b/>
              </w:rPr>
              <w:t xml:space="preserve">Post-1989 forest </w:t>
            </w:r>
          </w:p>
        </w:tc>
        <w:tc>
          <w:tcPr>
            <w:tcW w:w="7229" w:type="dxa"/>
            <w:tcBorders>
              <w:top w:val="single" w:sz="4" w:space="0" w:color="365F91"/>
              <w:bottom w:val="single" w:sz="4" w:space="0" w:color="365F91"/>
            </w:tcBorders>
          </w:tcPr>
          <w:p w14:paraId="3D8A5E0B" w14:textId="77777777" w:rsidR="00A10636" w:rsidRPr="00D9348B" w:rsidRDefault="00A10636" w:rsidP="00DB330E">
            <w:pPr>
              <w:pStyle w:val="TableText"/>
              <w:spacing w:after="0"/>
            </w:pPr>
            <w:r w:rsidRPr="00D9348B">
              <w:t>Includes post-1989 planted forest, which consists of:</w:t>
            </w:r>
          </w:p>
          <w:p w14:paraId="0046919C" w14:textId="4C606973" w:rsidR="00A10636" w:rsidRPr="00D9348B" w:rsidRDefault="00A10636" w:rsidP="00771A8F">
            <w:pPr>
              <w:pStyle w:val="TableBullet"/>
              <w:numPr>
                <w:ilvl w:val="0"/>
                <w:numId w:val="24"/>
              </w:numPr>
              <w:tabs>
                <w:tab w:val="left" w:pos="284"/>
              </w:tabs>
              <w:spacing w:before="40" w:after="0"/>
              <w:ind w:left="284" w:hanging="284"/>
            </w:pPr>
            <w:r w:rsidRPr="00D9348B">
              <w:t>exotic forest (with the potential to reach ≥5 metre height at maturity</w:t>
            </w:r>
            <w:r w:rsidRPr="00D9348B">
              <w:rPr>
                <w:i/>
              </w:rPr>
              <w:t xml:space="preserve"> in situ</w:t>
            </w:r>
            <w:r w:rsidRPr="00D9348B">
              <w:t>) planted or established on land that was non-forest land as at 31 December 1989 (e.g., radiata pine, Douglas fir, eucalypts or other planted species)</w:t>
            </w:r>
            <w:r w:rsidR="007C102A" w:rsidRPr="00D9348B">
              <w:br/>
            </w:r>
          </w:p>
          <w:p w14:paraId="2E4CB755" w14:textId="77777777" w:rsidR="00A10636" w:rsidRPr="00D9348B" w:rsidRDefault="00A10636" w:rsidP="00771A8F">
            <w:pPr>
              <w:pStyle w:val="TableBullet"/>
              <w:numPr>
                <w:ilvl w:val="0"/>
                <w:numId w:val="24"/>
              </w:numPr>
              <w:tabs>
                <w:tab w:val="left" w:pos="284"/>
              </w:tabs>
              <w:spacing w:before="40" w:after="0"/>
              <w:ind w:left="284" w:hanging="284"/>
            </w:pPr>
            <w:r w:rsidRPr="00D9348B">
              <w:lastRenderedPageBreak/>
              <w:t>riparian or erosion control plantings that meet the forest definition and that were planted after 31 December 1989</w:t>
            </w:r>
          </w:p>
          <w:p w14:paraId="5022116B" w14:textId="77777777" w:rsidR="00A10636" w:rsidRPr="00D9348B" w:rsidRDefault="00A10636" w:rsidP="00771A8F">
            <w:pPr>
              <w:pStyle w:val="TableBullet"/>
              <w:numPr>
                <w:ilvl w:val="0"/>
                <w:numId w:val="24"/>
              </w:numPr>
              <w:tabs>
                <w:tab w:val="left" w:pos="284"/>
              </w:tabs>
              <w:spacing w:before="40" w:after="0"/>
              <w:ind w:left="284" w:hanging="284"/>
            </w:pPr>
            <w:proofErr w:type="gramStart"/>
            <w:r w:rsidRPr="00D9348B">
              <w:t>harvested</w:t>
            </w:r>
            <w:proofErr w:type="gramEnd"/>
            <w:r w:rsidRPr="00D9348B">
              <w:t xml:space="preserve"> areas within post-1989 forest land (assuming these will be replanted, unless deforestation is later detected).</w:t>
            </w:r>
          </w:p>
          <w:p w14:paraId="4603206B" w14:textId="77777777" w:rsidR="00A10636" w:rsidRPr="00D9348B" w:rsidRDefault="00A10636" w:rsidP="00DB330E">
            <w:pPr>
              <w:pStyle w:val="TableText"/>
              <w:spacing w:after="0"/>
            </w:pPr>
            <w:r w:rsidRPr="00D9348B">
              <w:t>Includes post-1989 natural forest, which consists of:</w:t>
            </w:r>
          </w:p>
          <w:p w14:paraId="00FF8DF4" w14:textId="77777777" w:rsidR="00A10636" w:rsidRPr="00D9348B" w:rsidRDefault="00A10636" w:rsidP="00771A8F">
            <w:pPr>
              <w:pStyle w:val="TableBullet"/>
              <w:numPr>
                <w:ilvl w:val="0"/>
                <w:numId w:val="24"/>
              </w:numPr>
              <w:tabs>
                <w:tab w:val="left" w:pos="284"/>
              </w:tabs>
              <w:spacing w:before="40" w:after="0"/>
              <w:ind w:left="284" w:hanging="284"/>
            </w:pPr>
            <w:r w:rsidRPr="00D9348B">
              <w:t>forests arising from natural regeneration of indigenous tree species as a result of management change after 31 December 1989</w:t>
            </w:r>
          </w:p>
          <w:p w14:paraId="66F57E63" w14:textId="77777777" w:rsidR="00A10636" w:rsidRPr="00D9348B" w:rsidRDefault="00A10636" w:rsidP="00771A8F">
            <w:pPr>
              <w:pStyle w:val="TableBullet"/>
              <w:numPr>
                <w:ilvl w:val="0"/>
                <w:numId w:val="24"/>
              </w:numPr>
              <w:tabs>
                <w:tab w:val="left" w:pos="284"/>
              </w:tabs>
              <w:spacing w:before="40" w:after="0"/>
              <w:ind w:left="284" w:hanging="284"/>
            </w:pPr>
            <w:r w:rsidRPr="00D9348B">
              <w:t>self-sown exotic trees, such as wilding conifers or grey willows, established after 31 December 1989.(where managed as forest)</w:t>
            </w:r>
          </w:p>
          <w:p w14:paraId="72FE975F" w14:textId="77777777" w:rsidR="00A10636" w:rsidRPr="00D9348B" w:rsidRDefault="00A10636" w:rsidP="00DB330E">
            <w:pPr>
              <w:pStyle w:val="TableText"/>
              <w:spacing w:after="0"/>
            </w:pPr>
            <w:r w:rsidRPr="00D9348B">
              <w:t>Includes areas within post-1989 natural forest or post-1989 planted forest that are:</w:t>
            </w:r>
          </w:p>
          <w:p w14:paraId="2C020309" w14:textId="77777777" w:rsidR="00A10636" w:rsidRPr="00D9348B" w:rsidRDefault="00A10636" w:rsidP="00771A8F">
            <w:pPr>
              <w:pStyle w:val="TableBullet"/>
              <w:numPr>
                <w:ilvl w:val="0"/>
                <w:numId w:val="24"/>
              </w:numPr>
              <w:tabs>
                <w:tab w:val="left" w:pos="284"/>
              </w:tabs>
              <w:spacing w:before="0" w:after="0"/>
              <w:ind w:left="284" w:hanging="284"/>
            </w:pPr>
            <w:r w:rsidRPr="00D9348B">
              <w:t>roads, tracks, skid sites and other temporarily unstocked areas associated with a forest land use</w:t>
            </w:r>
          </w:p>
          <w:p w14:paraId="643B3CEB" w14:textId="77777777" w:rsidR="00A10636" w:rsidRPr="00D9348B" w:rsidRDefault="00A10636" w:rsidP="00771A8F">
            <w:pPr>
              <w:pStyle w:val="TableBullet"/>
              <w:numPr>
                <w:ilvl w:val="0"/>
                <w:numId w:val="24"/>
              </w:numPr>
              <w:tabs>
                <w:tab w:val="left" w:pos="284"/>
              </w:tabs>
              <w:spacing w:before="0"/>
              <w:ind w:left="284" w:hanging="284"/>
            </w:pPr>
            <w:proofErr w:type="gramStart"/>
            <w:r w:rsidRPr="00D9348B">
              <w:t>areas</w:t>
            </w:r>
            <w:proofErr w:type="gramEnd"/>
            <w:r w:rsidRPr="00D9348B">
              <w:t xml:space="preserve"> of bare ground of any size that were previously forested (established after 31 December 1989) but, due to natural disturbances (e.g., erosion, storms, fire), have lost vegetation cover.</w:t>
            </w:r>
          </w:p>
        </w:tc>
      </w:tr>
      <w:tr w:rsidR="00A10636" w:rsidRPr="00D9348B" w14:paraId="4DE5033C" w14:textId="77777777" w:rsidTr="00126411">
        <w:tc>
          <w:tcPr>
            <w:tcW w:w="1276" w:type="dxa"/>
            <w:tcBorders>
              <w:top w:val="single" w:sz="4" w:space="0" w:color="365F91"/>
              <w:bottom w:val="single" w:sz="4" w:space="0" w:color="365F91"/>
            </w:tcBorders>
          </w:tcPr>
          <w:p w14:paraId="54939C1A" w14:textId="77777777" w:rsidR="00A10636" w:rsidRPr="00D9348B" w:rsidRDefault="00A10636" w:rsidP="00DB330E">
            <w:pPr>
              <w:pStyle w:val="TableText"/>
              <w:rPr>
                <w:b/>
              </w:rPr>
            </w:pPr>
            <w:r w:rsidRPr="00D9348B">
              <w:rPr>
                <w:b/>
              </w:rPr>
              <w:lastRenderedPageBreak/>
              <w:t>Annual cropland</w:t>
            </w:r>
          </w:p>
        </w:tc>
        <w:tc>
          <w:tcPr>
            <w:tcW w:w="7229" w:type="dxa"/>
            <w:tcBorders>
              <w:top w:val="single" w:sz="4" w:space="0" w:color="365F91"/>
              <w:bottom w:val="single" w:sz="4" w:space="0" w:color="365F91"/>
            </w:tcBorders>
          </w:tcPr>
          <w:p w14:paraId="3DD86A76" w14:textId="77777777" w:rsidR="00A10636" w:rsidRPr="00D9348B" w:rsidRDefault="00A10636" w:rsidP="00DB330E">
            <w:pPr>
              <w:pStyle w:val="TableBullet"/>
              <w:numPr>
                <w:ilvl w:val="0"/>
                <w:numId w:val="0"/>
              </w:numPr>
              <w:spacing w:after="0"/>
            </w:pPr>
            <w:r w:rsidRPr="00D9348B">
              <w:t>Includes:</w:t>
            </w:r>
          </w:p>
          <w:p w14:paraId="3279029D" w14:textId="77777777" w:rsidR="00A10636" w:rsidRPr="00D9348B" w:rsidRDefault="00A10636" w:rsidP="00771A8F">
            <w:pPr>
              <w:pStyle w:val="TableBullet"/>
              <w:numPr>
                <w:ilvl w:val="0"/>
                <w:numId w:val="24"/>
              </w:numPr>
              <w:tabs>
                <w:tab w:val="left" w:pos="284"/>
              </w:tabs>
              <w:spacing w:before="0" w:after="40"/>
              <w:ind w:left="284" w:hanging="284"/>
            </w:pPr>
            <w:r w:rsidRPr="00D9348B">
              <w:t>all annual crops</w:t>
            </w:r>
          </w:p>
          <w:p w14:paraId="67662164" w14:textId="77777777" w:rsidR="00A10636" w:rsidRPr="00D9348B" w:rsidRDefault="00A10636" w:rsidP="00771A8F">
            <w:pPr>
              <w:pStyle w:val="TableBullet"/>
              <w:numPr>
                <w:ilvl w:val="0"/>
                <w:numId w:val="24"/>
              </w:numPr>
              <w:tabs>
                <w:tab w:val="left" w:pos="284"/>
              </w:tabs>
              <w:spacing w:before="0" w:after="40"/>
              <w:ind w:left="284" w:hanging="284"/>
            </w:pPr>
            <w:r w:rsidRPr="00D9348B">
              <w:t>all cultivated bare ground</w:t>
            </w:r>
          </w:p>
          <w:p w14:paraId="541BE9CB" w14:textId="77777777" w:rsidR="00A10636" w:rsidRPr="00D9348B" w:rsidRDefault="00A10636" w:rsidP="00771A8F">
            <w:pPr>
              <w:pStyle w:val="TableBullet"/>
              <w:numPr>
                <w:ilvl w:val="0"/>
                <w:numId w:val="24"/>
              </w:numPr>
              <w:tabs>
                <w:tab w:val="left" w:pos="284"/>
              </w:tabs>
              <w:spacing w:before="0"/>
              <w:ind w:left="284" w:hanging="284"/>
            </w:pPr>
            <w:proofErr w:type="gramStart"/>
            <w:r w:rsidRPr="00D9348B">
              <w:t>linear</w:t>
            </w:r>
            <w:proofErr w:type="gramEnd"/>
            <w:r w:rsidRPr="00D9348B">
              <w:t xml:space="preserve"> shelterbelts associated with annual cropland.</w:t>
            </w:r>
          </w:p>
        </w:tc>
      </w:tr>
      <w:tr w:rsidR="00A10636" w:rsidRPr="00D9348B" w14:paraId="29EF4618" w14:textId="77777777" w:rsidTr="00126411">
        <w:tc>
          <w:tcPr>
            <w:tcW w:w="1276" w:type="dxa"/>
            <w:tcBorders>
              <w:top w:val="single" w:sz="4" w:space="0" w:color="365F91"/>
              <w:bottom w:val="single" w:sz="4" w:space="0" w:color="365F91"/>
            </w:tcBorders>
          </w:tcPr>
          <w:p w14:paraId="65BA039D" w14:textId="77777777" w:rsidR="00A10636" w:rsidRPr="00D9348B" w:rsidRDefault="00A10636" w:rsidP="00DB330E">
            <w:pPr>
              <w:pStyle w:val="TableText"/>
              <w:rPr>
                <w:b/>
              </w:rPr>
            </w:pPr>
            <w:r w:rsidRPr="00D9348B">
              <w:rPr>
                <w:b/>
              </w:rPr>
              <w:t>Perennial cropland</w:t>
            </w:r>
          </w:p>
        </w:tc>
        <w:tc>
          <w:tcPr>
            <w:tcW w:w="7229" w:type="dxa"/>
            <w:tcBorders>
              <w:top w:val="single" w:sz="4" w:space="0" w:color="365F91"/>
              <w:bottom w:val="single" w:sz="4" w:space="0" w:color="365F91"/>
            </w:tcBorders>
          </w:tcPr>
          <w:p w14:paraId="2C2990AD" w14:textId="77777777" w:rsidR="00A10636" w:rsidRPr="00D9348B" w:rsidRDefault="00A10636" w:rsidP="00DB330E">
            <w:pPr>
              <w:pStyle w:val="TableBullet"/>
              <w:numPr>
                <w:ilvl w:val="0"/>
                <w:numId w:val="0"/>
              </w:numPr>
              <w:spacing w:after="0"/>
            </w:pPr>
            <w:r w:rsidRPr="00D9348B">
              <w:t>Includes:</w:t>
            </w:r>
          </w:p>
          <w:p w14:paraId="51A0133D" w14:textId="77777777" w:rsidR="00A10636" w:rsidRPr="00D9348B" w:rsidRDefault="00A10636" w:rsidP="00771A8F">
            <w:pPr>
              <w:pStyle w:val="TableBullet"/>
              <w:numPr>
                <w:ilvl w:val="0"/>
                <w:numId w:val="24"/>
              </w:numPr>
              <w:tabs>
                <w:tab w:val="left" w:pos="284"/>
              </w:tabs>
              <w:spacing w:before="0" w:after="40"/>
              <w:ind w:left="284" w:hanging="284"/>
            </w:pPr>
            <w:r w:rsidRPr="00D9348B">
              <w:t>all orchards and vineyards</w:t>
            </w:r>
          </w:p>
          <w:p w14:paraId="050EF590" w14:textId="77777777" w:rsidR="00A10636" w:rsidRPr="00D9348B" w:rsidRDefault="00A10636" w:rsidP="00771A8F">
            <w:pPr>
              <w:pStyle w:val="TableBullet"/>
              <w:numPr>
                <w:ilvl w:val="0"/>
                <w:numId w:val="24"/>
              </w:numPr>
              <w:tabs>
                <w:tab w:val="left" w:pos="284"/>
              </w:tabs>
              <w:spacing w:before="0"/>
              <w:ind w:left="284" w:hanging="284"/>
            </w:pPr>
            <w:proofErr w:type="gramStart"/>
            <w:r w:rsidRPr="00D9348B">
              <w:t>linear</w:t>
            </w:r>
            <w:proofErr w:type="gramEnd"/>
            <w:r w:rsidRPr="00D9348B">
              <w:t xml:space="preserve"> shelterbelts associated with perennial cropland.</w:t>
            </w:r>
          </w:p>
        </w:tc>
      </w:tr>
      <w:tr w:rsidR="00A10636" w:rsidRPr="00D9348B" w14:paraId="295C3E6A" w14:textId="77777777" w:rsidTr="00126411">
        <w:tc>
          <w:tcPr>
            <w:tcW w:w="1276" w:type="dxa"/>
            <w:tcBorders>
              <w:top w:val="single" w:sz="4" w:space="0" w:color="365F91"/>
              <w:bottom w:val="single" w:sz="4" w:space="0" w:color="365F91"/>
            </w:tcBorders>
          </w:tcPr>
          <w:p w14:paraId="5B60C3B6" w14:textId="77777777" w:rsidR="00A10636" w:rsidRPr="00D9348B" w:rsidRDefault="00A10636" w:rsidP="00DB330E">
            <w:pPr>
              <w:pStyle w:val="TableText"/>
              <w:rPr>
                <w:b/>
              </w:rPr>
            </w:pPr>
            <w:r w:rsidRPr="00D9348B">
              <w:rPr>
                <w:b/>
              </w:rPr>
              <w:t>High producing grassland</w:t>
            </w:r>
          </w:p>
        </w:tc>
        <w:tc>
          <w:tcPr>
            <w:tcW w:w="7229" w:type="dxa"/>
            <w:tcBorders>
              <w:top w:val="single" w:sz="4" w:space="0" w:color="365F91"/>
              <w:bottom w:val="single" w:sz="4" w:space="0" w:color="365F91"/>
            </w:tcBorders>
          </w:tcPr>
          <w:p w14:paraId="2A40F16A" w14:textId="77777777" w:rsidR="00A10636" w:rsidRPr="00D9348B" w:rsidRDefault="00A10636" w:rsidP="00DB330E">
            <w:pPr>
              <w:pStyle w:val="TableBullet"/>
              <w:numPr>
                <w:ilvl w:val="0"/>
                <w:numId w:val="0"/>
              </w:numPr>
              <w:spacing w:before="40" w:after="0"/>
            </w:pPr>
            <w:r w:rsidRPr="00D9348B">
              <w:t>Includes:</w:t>
            </w:r>
          </w:p>
          <w:p w14:paraId="187A3040" w14:textId="77777777" w:rsidR="00A10636" w:rsidRPr="00D9348B" w:rsidRDefault="00A10636" w:rsidP="00771A8F">
            <w:pPr>
              <w:pStyle w:val="TableBullet"/>
              <w:numPr>
                <w:ilvl w:val="0"/>
                <w:numId w:val="24"/>
              </w:numPr>
              <w:tabs>
                <w:tab w:val="left" w:pos="284"/>
              </w:tabs>
              <w:spacing w:before="0" w:after="40"/>
              <w:ind w:left="284" w:hanging="284"/>
            </w:pPr>
            <w:r w:rsidRPr="00D9348B">
              <w:t>grassland with high-quality pasture species</w:t>
            </w:r>
          </w:p>
          <w:p w14:paraId="2299B855" w14:textId="77777777" w:rsidR="00A10636" w:rsidRPr="00D9348B" w:rsidRDefault="00A10636" w:rsidP="00771A8F">
            <w:pPr>
              <w:pStyle w:val="TableBullet"/>
              <w:numPr>
                <w:ilvl w:val="0"/>
                <w:numId w:val="24"/>
              </w:numPr>
              <w:tabs>
                <w:tab w:val="left" w:pos="284"/>
              </w:tabs>
              <w:spacing w:before="0" w:after="40"/>
              <w:ind w:left="284" w:hanging="284"/>
            </w:pPr>
            <w:r w:rsidRPr="00D9348B">
              <w:t>linear shelterbelts that are &lt;1 hectare in area or &lt;30 metres in mean width (larger shelterbelts are mapped separately as grassland with woody biomass)</w:t>
            </w:r>
          </w:p>
          <w:p w14:paraId="7E414761" w14:textId="77777777" w:rsidR="00A10636" w:rsidRPr="00D9348B" w:rsidRDefault="00A10636" w:rsidP="00771A8F">
            <w:pPr>
              <w:pStyle w:val="TableBullet"/>
              <w:numPr>
                <w:ilvl w:val="0"/>
                <w:numId w:val="24"/>
              </w:numPr>
              <w:tabs>
                <w:tab w:val="left" w:pos="284"/>
              </w:tabs>
              <w:spacing w:before="0" w:after="40"/>
              <w:ind w:left="284" w:hanging="284"/>
            </w:pPr>
            <w:proofErr w:type="gramStart"/>
            <w:r w:rsidRPr="00D9348B">
              <w:t>areas</w:t>
            </w:r>
            <w:proofErr w:type="gramEnd"/>
            <w:r w:rsidRPr="00D9348B">
              <w:t xml:space="preserve"> of bare ground of any size that were previously grassland but, due to natural disturbances (e.g., erosion), have lost vegetation cover.</w:t>
            </w:r>
          </w:p>
        </w:tc>
      </w:tr>
      <w:tr w:rsidR="00A10636" w:rsidRPr="00D9348B" w14:paraId="3303FBDA" w14:textId="77777777" w:rsidTr="00126411">
        <w:tc>
          <w:tcPr>
            <w:tcW w:w="1276" w:type="dxa"/>
            <w:tcBorders>
              <w:top w:val="single" w:sz="4" w:space="0" w:color="365F91"/>
              <w:bottom w:val="single" w:sz="4" w:space="0" w:color="365F91"/>
            </w:tcBorders>
          </w:tcPr>
          <w:p w14:paraId="52D32AD2" w14:textId="77777777" w:rsidR="00A10636" w:rsidRPr="00D9348B" w:rsidRDefault="00A10636" w:rsidP="00DB330E">
            <w:pPr>
              <w:pStyle w:val="TableText"/>
              <w:rPr>
                <w:b/>
              </w:rPr>
            </w:pPr>
            <w:r w:rsidRPr="00D9348B">
              <w:rPr>
                <w:b/>
              </w:rPr>
              <w:t>Low producing grassland</w:t>
            </w:r>
          </w:p>
        </w:tc>
        <w:tc>
          <w:tcPr>
            <w:tcW w:w="7229" w:type="dxa"/>
            <w:tcBorders>
              <w:top w:val="single" w:sz="4" w:space="0" w:color="365F91"/>
              <w:bottom w:val="single" w:sz="4" w:space="0" w:color="365F91"/>
            </w:tcBorders>
          </w:tcPr>
          <w:p w14:paraId="0A1E8A9E" w14:textId="77777777" w:rsidR="00A10636" w:rsidRPr="00D9348B" w:rsidRDefault="00A10636" w:rsidP="00DB330E">
            <w:pPr>
              <w:pStyle w:val="TableBullet"/>
              <w:numPr>
                <w:ilvl w:val="0"/>
                <w:numId w:val="0"/>
              </w:numPr>
              <w:spacing w:before="40" w:after="0"/>
            </w:pPr>
            <w:r w:rsidRPr="00D9348B">
              <w:t>Includes:</w:t>
            </w:r>
          </w:p>
          <w:p w14:paraId="50B87815" w14:textId="77777777" w:rsidR="00A10636" w:rsidRPr="00D9348B" w:rsidRDefault="00A10636" w:rsidP="00771A8F">
            <w:pPr>
              <w:pStyle w:val="TableBullet"/>
              <w:numPr>
                <w:ilvl w:val="0"/>
                <w:numId w:val="24"/>
              </w:numPr>
              <w:tabs>
                <w:tab w:val="left" w:pos="284"/>
              </w:tabs>
              <w:spacing w:before="0" w:after="40"/>
              <w:ind w:left="284" w:hanging="284"/>
            </w:pPr>
            <w:proofErr w:type="gramStart"/>
            <w:r w:rsidRPr="00D9348B">
              <w:t>low-fertility</w:t>
            </w:r>
            <w:proofErr w:type="gramEnd"/>
            <w:r w:rsidRPr="00D9348B">
              <w:t xml:space="preserve"> grassland and tussock grasslands (e.g., </w:t>
            </w:r>
            <w:r w:rsidRPr="00D9348B">
              <w:rPr>
                <w:i/>
              </w:rPr>
              <w:t>Chionochloa</w:t>
            </w:r>
            <w:r w:rsidRPr="00D9348B">
              <w:t xml:space="preserve"> and </w:t>
            </w:r>
            <w:r w:rsidRPr="00D9348B">
              <w:rPr>
                <w:i/>
              </w:rPr>
              <w:t xml:space="preserve">Festuca </w:t>
            </w:r>
            <w:r w:rsidRPr="00D9348B">
              <w:t>spp.)</w:t>
            </w:r>
          </w:p>
          <w:p w14:paraId="4FE3AFAB" w14:textId="77777777" w:rsidR="00A10636" w:rsidRPr="00D9348B" w:rsidRDefault="00A10636" w:rsidP="00771A8F">
            <w:pPr>
              <w:pStyle w:val="TableBullet"/>
              <w:numPr>
                <w:ilvl w:val="0"/>
                <w:numId w:val="24"/>
              </w:numPr>
              <w:tabs>
                <w:tab w:val="left" w:pos="284"/>
              </w:tabs>
              <w:spacing w:before="0" w:after="40"/>
              <w:ind w:left="284" w:hanging="284"/>
            </w:pPr>
            <w:r w:rsidRPr="00D9348B">
              <w:t>mostly hill country</w:t>
            </w:r>
          </w:p>
          <w:p w14:paraId="6CD71E7E" w14:textId="77777777" w:rsidR="00A10636" w:rsidRPr="00D9348B" w:rsidRDefault="00A10636" w:rsidP="00771A8F">
            <w:pPr>
              <w:pStyle w:val="TableBullet"/>
              <w:numPr>
                <w:ilvl w:val="0"/>
                <w:numId w:val="24"/>
              </w:numPr>
              <w:tabs>
                <w:tab w:val="left" w:pos="284"/>
              </w:tabs>
              <w:spacing w:before="0" w:after="40"/>
              <w:ind w:left="284" w:hanging="284"/>
            </w:pPr>
            <w:r w:rsidRPr="00D9348B">
              <w:t>montane herbfields either at an altitude higher than above-timberline vegetation or where the herbfields are not mixed up with woody vegetation</w:t>
            </w:r>
          </w:p>
          <w:p w14:paraId="13B9ACC8" w14:textId="77777777" w:rsidR="00A10636" w:rsidRPr="00D9348B" w:rsidRDefault="00A10636" w:rsidP="00771A8F">
            <w:pPr>
              <w:pStyle w:val="TableBullet"/>
              <w:numPr>
                <w:ilvl w:val="0"/>
                <w:numId w:val="24"/>
              </w:numPr>
              <w:tabs>
                <w:tab w:val="left" w:pos="284"/>
              </w:tabs>
              <w:spacing w:before="0" w:after="40"/>
              <w:ind w:left="284" w:hanging="284"/>
            </w:pPr>
            <w:r w:rsidRPr="00D9348B">
              <w:t>linear shelterbelts that are &lt;1 hectare in area or &lt;30 metres in mean width (larger shelterbelts are mapped separately as grassland with woody biomass)</w:t>
            </w:r>
          </w:p>
          <w:p w14:paraId="55262270" w14:textId="77777777" w:rsidR="00A10636" w:rsidRPr="00D9348B" w:rsidRDefault="00A10636" w:rsidP="00771A8F">
            <w:pPr>
              <w:pStyle w:val="TableBullet"/>
              <w:numPr>
                <w:ilvl w:val="0"/>
                <w:numId w:val="24"/>
              </w:numPr>
              <w:tabs>
                <w:tab w:val="left" w:pos="284"/>
              </w:tabs>
              <w:spacing w:before="0"/>
              <w:ind w:left="284" w:hanging="284"/>
            </w:pPr>
            <w:proofErr w:type="gramStart"/>
            <w:r w:rsidRPr="00D9348B">
              <w:t>other</w:t>
            </w:r>
            <w:proofErr w:type="gramEnd"/>
            <w:r w:rsidRPr="00D9348B">
              <w:t xml:space="preserve"> areas of limited vegetation cover and significant bare soil, including erosion and coastal herbaceous sand-dune vegetation.</w:t>
            </w:r>
          </w:p>
        </w:tc>
      </w:tr>
      <w:tr w:rsidR="00A10636" w:rsidRPr="00D9348B" w14:paraId="767451D8" w14:textId="77777777" w:rsidTr="00126411">
        <w:tc>
          <w:tcPr>
            <w:tcW w:w="1276" w:type="dxa"/>
            <w:tcBorders>
              <w:top w:val="single" w:sz="4" w:space="0" w:color="365F91"/>
              <w:bottom w:val="single" w:sz="4" w:space="0" w:color="365F91"/>
            </w:tcBorders>
          </w:tcPr>
          <w:p w14:paraId="3AE1B9E1" w14:textId="77777777" w:rsidR="00A10636" w:rsidRPr="00D9348B" w:rsidRDefault="00A10636" w:rsidP="00DB330E">
            <w:pPr>
              <w:pStyle w:val="TableText"/>
              <w:rPr>
                <w:b/>
              </w:rPr>
            </w:pPr>
            <w:r w:rsidRPr="00D9348B">
              <w:rPr>
                <w:b/>
              </w:rPr>
              <w:t>Grassland with woody biomass</w:t>
            </w:r>
          </w:p>
        </w:tc>
        <w:tc>
          <w:tcPr>
            <w:tcW w:w="7229" w:type="dxa"/>
            <w:tcBorders>
              <w:top w:val="single" w:sz="4" w:space="0" w:color="365F91"/>
              <w:bottom w:val="single" w:sz="4" w:space="0" w:color="365F91"/>
            </w:tcBorders>
          </w:tcPr>
          <w:p w14:paraId="00A4C4DC" w14:textId="77777777" w:rsidR="00A10636" w:rsidRPr="00D9348B" w:rsidRDefault="00A10636" w:rsidP="00DB330E">
            <w:pPr>
              <w:pStyle w:val="TableBullet"/>
              <w:numPr>
                <w:ilvl w:val="0"/>
                <w:numId w:val="0"/>
              </w:numPr>
              <w:spacing w:before="40" w:after="0"/>
            </w:pPr>
            <w:r w:rsidRPr="00D9348B">
              <w:t>Includes:</w:t>
            </w:r>
          </w:p>
          <w:p w14:paraId="4C20D069" w14:textId="77777777" w:rsidR="00A10636" w:rsidRPr="00D9348B" w:rsidRDefault="00A10636" w:rsidP="00771A8F">
            <w:pPr>
              <w:pStyle w:val="TableBullet"/>
              <w:numPr>
                <w:ilvl w:val="0"/>
                <w:numId w:val="24"/>
              </w:numPr>
              <w:tabs>
                <w:tab w:val="left" w:pos="284"/>
              </w:tabs>
              <w:spacing w:before="0" w:after="40"/>
              <w:ind w:left="284" w:hanging="284"/>
            </w:pPr>
            <w:r w:rsidRPr="00D9348B">
              <w:t>grassland with matagouri (</w:t>
            </w:r>
            <w:r w:rsidRPr="00D9348B">
              <w:rPr>
                <w:i/>
              </w:rPr>
              <w:t>Discaria toumatou</w:t>
            </w:r>
            <w:r w:rsidRPr="00D9348B">
              <w:t>) and sweet briar (</w:t>
            </w:r>
            <w:r w:rsidRPr="00D9348B">
              <w:rPr>
                <w:i/>
              </w:rPr>
              <w:t>Rosa rubiginosa</w:t>
            </w:r>
            <w:r w:rsidRPr="00D9348B">
              <w:t>), broadleaved hardwood shrubland (e.g., m</w:t>
            </w:r>
            <w:r w:rsidRPr="00D9348B">
              <w:rPr>
                <w:rFonts w:cs="Arial"/>
              </w:rPr>
              <w:t>ā</w:t>
            </w:r>
            <w:r w:rsidRPr="00D9348B">
              <w:t xml:space="preserve">hoe – </w:t>
            </w:r>
            <w:r w:rsidRPr="00D9348B">
              <w:rPr>
                <w:i/>
              </w:rPr>
              <w:t>Melicytus ramiflorus</w:t>
            </w:r>
            <w:r w:rsidRPr="00D9348B">
              <w:t>), wineberry (</w:t>
            </w:r>
            <w:r w:rsidRPr="00D9348B">
              <w:rPr>
                <w:i/>
              </w:rPr>
              <w:t>Aristotelia serrata</w:t>
            </w:r>
            <w:r w:rsidRPr="00D9348B">
              <w:t xml:space="preserve">), </w:t>
            </w:r>
            <w:r w:rsidRPr="00D9348B">
              <w:rPr>
                <w:i/>
              </w:rPr>
              <w:t>Pseudopanax</w:t>
            </w:r>
            <w:r w:rsidRPr="00D9348B">
              <w:t xml:space="preserve"> spp., </w:t>
            </w:r>
            <w:r w:rsidRPr="00D9348B">
              <w:rPr>
                <w:i/>
              </w:rPr>
              <w:t>Pittosporum</w:t>
            </w:r>
            <w:r w:rsidRPr="00D9348B">
              <w:t xml:space="preserve"> spp.), mānuka–kānuka (</w:t>
            </w:r>
            <w:r w:rsidRPr="00D9348B">
              <w:rPr>
                <w:i/>
              </w:rPr>
              <w:t>Leptospermum</w:t>
            </w:r>
            <w:r w:rsidRPr="00D9348B">
              <w:t xml:space="preserve"> </w:t>
            </w:r>
            <w:r w:rsidRPr="00D9348B">
              <w:rPr>
                <w:i/>
              </w:rPr>
              <w:t>scoparium</w:t>
            </w:r>
            <w:r w:rsidRPr="00D9348B">
              <w:t>–</w:t>
            </w:r>
            <w:r w:rsidRPr="00D9348B">
              <w:rPr>
                <w:i/>
              </w:rPr>
              <w:t>Kunzea</w:t>
            </w:r>
            <w:r w:rsidRPr="00D9348B">
              <w:t xml:space="preserve"> </w:t>
            </w:r>
            <w:r w:rsidRPr="00D9348B">
              <w:rPr>
                <w:i/>
              </w:rPr>
              <w:t>ericoides</w:t>
            </w:r>
            <w:r w:rsidRPr="00D9348B">
              <w:t>) shrubland, coastal and other woody shrubland (&lt;5 metres tall and any percentage of cover) where, under current management or environmental conditions (climate and/or soil), it is expected that the forest criteria will not be met over a 30- to 40-year period</w:t>
            </w:r>
          </w:p>
          <w:p w14:paraId="21E83798" w14:textId="77777777" w:rsidR="00A10636" w:rsidRPr="00D9348B" w:rsidRDefault="00A10636" w:rsidP="00771A8F">
            <w:pPr>
              <w:pStyle w:val="TableBullet"/>
              <w:numPr>
                <w:ilvl w:val="0"/>
                <w:numId w:val="24"/>
              </w:numPr>
              <w:tabs>
                <w:tab w:val="left" w:pos="284"/>
              </w:tabs>
              <w:spacing w:before="0" w:after="40"/>
              <w:ind w:left="284" w:hanging="284"/>
            </w:pPr>
            <w:r w:rsidRPr="00D9348B">
              <w:t>above-timberline shrubland vegetation intermixed with montane herbfields (does not have the potential to reach &gt;5 metres in height</w:t>
            </w:r>
            <w:r w:rsidRPr="00D9348B">
              <w:rPr>
                <w:i/>
              </w:rPr>
              <w:t xml:space="preserve"> in situ</w:t>
            </w:r>
            <w:r w:rsidRPr="00D9348B">
              <w:t>)</w:t>
            </w:r>
          </w:p>
          <w:p w14:paraId="64A9934A" w14:textId="77777777" w:rsidR="00A10636" w:rsidRPr="00D9348B" w:rsidRDefault="00A10636" w:rsidP="00771A8F">
            <w:pPr>
              <w:pStyle w:val="TableBullet"/>
              <w:numPr>
                <w:ilvl w:val="0"/>
                <w:numId w:val="24"/>
              </w:numPr>
              <w:tabs>
                <w:tab w:val="left" w:pos="284"/>
              </w:tabs>
              <w:spacing w:before="0" w:after="40"/>
              <w:ind w:left="284" w:hanging="284"/>
            </w:pPr>
            <w:r w:rsidRPr="00D9348B">
              <w:t>grassland with tall tree species (&lt;30 per cent cover), such as golf courses in rural areas (except where the Land Cover Database has classified these as settlements)</w:t>
            </w:r>
          </w:p>
          <w:p w14:paraId="58846C40" w14:textId="77777777" w:rsidR="00A10636" w:rsidRPr="00D9348B" w:rsidRDefault="00A10636" w:rsidP="00771A8F">
            <w:pPr>
              <w:pStyle w:val="TableBullet"/>
              <w:numPr>
                <w:ilvl w:val="0"/>
                <w:numId w:val="24"/>
              </w:numPr>
              <w:tabs>
                <w:tab w:val="left" w:pos="284"/>
              </w:tabs>
              <w:spacing w:before="0" w:after="40"/>
              <w:ind w:left="284" w:hanging="284"/>
            </w:pPr>
            <w:r w:rsidRPr="00D9348B">
              <w:t>grassland with riparian or erosion control plantings (&lt;30 per cent cover)</w:t>
            </w:r>
          </w:p>
          <w:p w14:paraId="6B39C271" w14:textId="77777777" w:rsidR="00A10636" w:rsidRPr="00D9348B" w:rsidRDefault="00A10636" w:rsidP="00771A8F">
            <w:pPr>
              <w:pStyle w:val="TableBullet"/>
              <w:numPr>
                <w:ilvl w:val="0"/>
                <w:numId w:val="24"/>
              </w:numPr>
              <w:tabs>
                <w:tab w:val="left" w:pos="284"/>
              </w:tabs>
              <w:spacing w:before="0" w:after="40"/>
              <w:ind w:left="284" w:hanging="284"/>
            </w:pPr>
            <w:r w:rsidRPr="00D9348B">
              <w:t>linear shelterbelts that are &gt;1 hectare in area and &lt;30 metres in mean width</w:t>
            </w:r>
          </w:p>
          <w:p w14:paraId="21E5582C" w14:textId="77777777" w:rsidR="00A10636" w:rsidRPr="00D9348B" w:rsidRDefault="00A10636" w:rsidP="00771A8F">
            <w:pPr>
              <w:pStyle w:val="TableBullet"/>
              <w:numPr>
                <w:ilvl w:val="0"/>
                <w:numId w:val="24"/>
              </w:numPr>
              <w:tabs>
                <w:tab w:val="left" w:pos="284"/>
              </w:tabs>
              <w:spacing w:before="0"/>
              <w:ind w:left="284" w:hanging="284"/>
            </w:pPr>
            <w:proofErr w:type="gramStart"/>
            <w:r w:rsidRPr="00D9348B">
              <w:t>areas</w:t>
            </w:r>
            <w:proofErr w:type="gramEnd"/>
            <w:r w:rsidRPr="00D9348B">
              <w:t xml:space="preserve"> of bare ground of any size that previously contained grassland with woody biomass but, due to natural disturbances (e.g., erosion, fire), have lost vegetation cover.</w:t>
            </w:r>
          </w:p>
        </w:tc>
      </w:tr>
      <w:tr w:rsidR="00A10636" w:rsidRPr="00D9348B" w14:paraId="0C07DFB1" w14:textId="77777777" w:rsidTr="00126411">
        <w:tc>
          <w:tcPr>
            <w:tcW w:w="1276" w:type="dxa"/>
            <w:tcBorders>
              <w:top w:val="single" w:sz="4" w:space="0" w:color="365F91"/>
              <w:bottom w:val="single" w:sz="4" w:space="0" w:color="365F91"/>
            </w:tcBorders>
          </w:tcPr>
          <w:p w14:paraId="6774BEB5" w14:textId="77777777" w:rsidR="00A10636" w:rsidRPr="00D9348B" w:rsidRDefault="00A10636" w:rsidP="00DB330E">
            <w:pPr>
              <w:pStyle w:val="TableText"/>
              <w:rPr>
                <w:b/>
              </w:rPr>
            </w:pPr>
            <w:r w:rsidRPr="00D9348B">
              <w:rPr>
                <w:b/>
              </w:rPr>
              <w:t>Open water</w:t>
            </w:r>
          </w:p>
        </w:tc>
        <w:tc>
          <w:tcPr>
            <w:tcW w:w="7229" w:type="dxa"/>
            <w:tcBorders>
              <w:top w:val="single" w:sz="4" w:space="0" w:color="365F91"/>
              <w:bottom w:val="single" w:sz="4" w:space="0" w:color="365F91"/>
            </w:tcBorders>
          </w:tcPr>
          <w:p w14:paraId="04C50DAF" w14:textId="77777777" w:rsidR="00A10636" w:rsidRPr="00D9348B" w:rsidRDefault="00A10636" w:rsidP="00DB330E">
            <w:pPr>
              <w:pStyle w:val="TableBullet"/>
              <w:numPr>
                <w:ilvl w:val="0"/>
                <w:numId w:val="0"/>
              </w:numPr>
              <w:spacing w:before="40" w:after="0"/>
            </w:pPr>
            <w:r w:rsidRPr="00D9348B">
              <w:t>Includes:</w:t>
            </w:r>
          </w:p>
          <w:p w14:paraId="16AAA395" w14:textId="77777777" w:rsidR="00A10636" w:rsidRPr="00D9348B" w:rsidRDefault="00A10636" w:rsidP="00771A8F">
            <w:pPr>
              <w:pStyle w:val="TableBullet"/>
              <w:numPr>
                <w:ilvl w:val="0"/>
                <w:numId w:val="24"/>
              </w:numPr>
              <w:tabs>
                <w:tab w:val="left" w:pos="284"/>
              </w:tabs>
              <w:spacing w:before="0" w:after="20"/>
              <w:ind w:left="284" w:hanging="284"/>
            </w:pPr>
            <w:r w:rsidRPr="00D9348B">
              <w:t xml:space="preserve">lakes, rivers, dams and reservoirs </w:t>
            </w:r>
          </w:p>
          <w:p w14:paraId="2B5236AA" w14:textId="77777777" w:rsidR="00A10636" w:rsidRPr="00D9348B" w:rsidRDefault="00A10636" w:rsidP="00771A8F">
            <w:pPr>
              <w:pStyle w:val="TableBullet"/>
              <w:numPr>
                <w:ilvl w:val="0"/>
                <w:numId w:val="24"/>
              </w:numPr>
              <w:tabs>
                <w:tab w:val="left" w:pos="284"/>
              </w:tabs>
              <w:spacing w:before="0"/>
              <w:ind w:left="284" w:hanging="284"/>
            </w:pPr>
            <w:proofErr w:type="gramStart"/>
            <w:r w:rsidRPr="00D9348B">
              <w:t>estuarine–tidal</w:t>
            </w:r>
            <w:proofErr w:type="gramEnd"/>
            <w:r w:rsidRPr="00D9348B">
              <w:t xml:space="preserve"> areas including mangroves.</w:t>
            </w:r>
          </w:p>
        </w:tc>
      </w:tr>
      <w:tr w:rsidR="00A10636" w:rsidRPr="00D9348B" w14:paraId="434CD508" w14:textId="77777777" w:rsidTr="00126411">
        <w:tc>
          <w:tcPr>
            <w:tcW w:w="1276" w:type="dxa"/>
            <w:tcBorders>
              <w:top w:val="single" w:sz="4" w:space="0" w:color="365F91"/>
              <w:bottom w:val="single" w:sz="4" w:space="0" w:color="365F91"/>
            </w:tcBorders>
          </w:tcPr>
          <w:p w14:paraId="251D4B2A" w14:textId="77777777" w:rsidR="00A10636" w:rsidRPr="00D9348B" w:rsidRDefault="00A10636" w:rsidP="00DB330E">
            <w:pPr>
              <w:pStyle w:val="TableText"/>
              <w:rPr>
                <w:b/>
              </w:rPr>
            </w:pPr>
            <w:r w:rsidRPr="00D9348B">
              <w:rPr>
                <w:b/>
              </w:rPr>
              <w:t>Vegetated wetland</w:t>
            </w:r>
          </w:p>
        </w:tc>
        <w:tc>
          <w:tcPr>
            <w:tcW w:w="7229" w:type="dxa"/>
            <w:tcBorders>
              <w:top w:val="single" w:sz="4" w:space="0" w:color="365F91"/>
              <w:bottom w:val="single" w:sz="4" w:space="0" w:color="365F91"/>
            </w:tcBorders>
          </w:tcPr>
          <w:p w14:paraId="6FD95722" w14:textId="77777777" w:rsidR="00A10636" w:rsidRPr="00D9348B" w:rsidRDefault="00A10636" w:rsidP="00DB330E">
            <w:pPr>
              <w:pStyle w:val="TableBullet"/>
              <w:numPr>
                <w:ilvl w:val="0"/>
                <w:numId w:val="0"/>
              </w:numPr>
              <w:spacing w:before="40" w:after="0"/>
            </w:pPr>
            <w:r w:rsidRPr="00D9348B">
              <w:t>Includes:</w:t>
            </w:r>
          </w:p>
          <w:p w14:paraId="7FF09B20" w14:textId="77777777" w:rsidR="00A10636" w:rsidRPr="00D9348B" w:rsidRDefault="00A10636" w:rsidP="00771A8F">
            <w:pPr>
              <w:pStyle w:val="TableBullet"/>
              <w:numPr>
                <w:ilvl w:val="0"/>
                <w:numId w:val="24"/>
              </w:numPr>
              <w:tabs>
                <w:tab w:val="left" w:pos="284"/>
              </w:tabs>
              <w:spacing w:before="0" w:after="0"/>
              <w:ind w:left="284" w:hanging="284"/>
            </w:pPr>
            <w:r w:rsidRPr="00D9348B">
              <w:t xml:space="preserve">herbaceous and/or non-forest woody vegetation, including trees of any stature, in a wetland context (periodically or permanently flooded) </w:t>
            </w:r>
          </w:p>
          <w:p w14:paraId="4C7C0A7E" w14:textId="77777777" w:rsidR="00A10636" w:rsidRPr="00D9348B" w:rsidRDefault="00A10636" w:rsidP="00771A8F">
            <w:pPr>
              <w:pStyle w:val="TableBullet"/>
              <w:numPr>
                <w:ilvl w:val="0"/>
                <w:numId w:val="24"/>
              </w:numPr>
              <w:tabs>
                <w:tab w:val="left" w:pos="284"/>
              </w:tabs>
              <w:spacing w:before="40" w:after="0"/>
              <w:ind w:left="284" w:hanging="284"/>
            </w:pPr>
            <w:r w:rsidRPr="00D9348B">
              <w:t>areas under peat extraction</w:t>
            </w:r>
          </w:p>
          <w:p w14:paraId="4DAB64F4" w14:textId="77777777" w:rsidR="00A10636" w:rsidRPr="00D9348B" w:rsidRDefault="00A10636" w:rsidP="00771A8F">
            <w:pPr>
              <w:pStyle w:val="TableBullet"/>
              <w:numPr>
                <w:ilvl w:val="0"/>
                <w:numId w:val="24"/>
              </w:numPr>
              <w:tabs>
                <w:tab w:val="left" w:pos="284"/>
              </w:tabs>
              <w:spacing w:before="40"/>
              <w:ind w:left="284" w:hanging="284"/>
            </w:pPr>
            <w:proofErr w:type="gramStart"/>
            <w:r w:rsidRPr="00D9348B">
              <w:t>estuarine–tidal</w:t>
            </w:r>
            <w:proofErr w:type="gramEnd"/>
            <w:r w:rsidRPr="00D9348B">
              <w:t xml:space="preserve"> areas including mangroves.</w:t>
            </w:r>
          </w:p>
        </w:tc>
      </w:tr>
      <w:tr w:rsidR="00A10636" w:rsidRPr="00D9348B" w14:paraId="1CB4906D" w14:textId="77777777" w:rsidTr="00126411">
        <w:tc>
          <w:tcPr>
            <w:tcW w:w="1276" w:type="dxa"/>
            <w:tcBorders>
              <w:top w:val="single" w:sz="4" w:space="0" w:color="365F91"/>
              <w:bottom w:val="single" w:sz="4" w:space="0" w:color="365F91"/>
            </w:tcBorders>
          </w:tcPr>
          <w:p w14:paraId="75957F6D" w14:textId="77777777" w:rsidR="00A10636" w:rsidRPr="00D9348B" w:rsidRDefault="00A10636" w:rsidP="00DB330E">
            <w:pPr>
              <w:pStyle w:val="TableText"/>
              <w:keepNext/>
              <w:rPr>
                <w:b/>
              </w:rPr>
            </w:pPr>
            <w:r w:rsidRPr="00D9348B">
              <w:rPr>
                <w:b/>
              </w:rPr>
              <w:lastRenderedPageBreak/>
              <w:t>Settlements</w:t>
            </w:r>
          </w:p>
        </w:tc>
        <w:tc>
          <w:tcPr>
            <w:tcW w:w="7229" w:type="dxa"/>
            <w:tcBorders>
              <w:top w:val="single" w:sz="4" w:space="0" w:color="365F91"/>
              <w:bottom w:val="single" w:sz="4" w:space="0" w:color="365F91"/>
            </w:tcBorders>
          </w:tcPr>
          <w:p w14:paraId="03466B8B" w14:textId="77777777" w:rsidR="00A10636" w:rsidRPr="00D9348B" w:rsidRDefault="00A10636" w:rsidP="00DB330E">
            <w:pPr>
              <w:pStyle w:val="TableBullet"/>
              <w:numPr>
                <w:ilvl w:val="0"/>
                <w:numId w:val="0"/>
              </w:numPr>
              <w:spacing w:before="40" w:after="0"/>
            </w:pPr>
            <w:r w:rsidRPr="00D9348B">
              <w:t>Includes:</w:t>
            </w:r>
          </w:p>
          <w:p w14:paraId="3F98592F" w14:textId="77777777" w:rsidR="00A10636" w:rsidRPr="00D9348B" w:rsidRDefault="00A10636" w:rsidP="00771A8F">
            <w:pPr>
              <w:pStyle w:val="TableBullet"/>
              <w:numPr>
                <w:ilvl w:val="0"/>
                <w:numId w:val="24"/>
              </w:numPr>
              <w:tabs>
                <w:tab w:val="left" w:pos="284"/>
              </w:tabs>
              <w:spacing w:before="0" w:after="0"/>
              <w:ind w:left="284" w:hanging="284"/>
            </w:pPr>
            <w:r w:rsidRPr="00D9348B">
              <w:t>built-up areas and impervious surfaces</w:t>
            </w:r>
          </w:p>
          <w:p w14:paraId="52A247ED" w14:textId="77777777" w:rsidR="00A10636" w:rsidRPr="00D9348B" w:rsidRDefault="00A10636" w:rsidP="00771A8F">
            <w:pPr>
              <w:pStyle w:val="TableBullet"/>
              <w:numPr>
                <w:ilvl w:val="0"/>
                <w:numId w:val="24"/>
              </w:numPr>
              <w:tabs>
                <w:tab w:val="left" w:pos="284"/>
              </w:tabs>
              <w:spacing w:before="40" w:after="0"/>
              <w:ind w:left="284" w:hanging="284"/>
            </w:pPr>
            <w:r w:rsidRPr="00D9348B">
              <w:t>grassland within ‘settlements’ including recreational areas, urban parklands and open spaces that do not meet the forest definition</w:t>
            </w:r>
          </w:p>
          <w:p w14:paraId="36AE3680" w14:textId="77777777" w:rsidR="00A10636" w:rsidRPr="00D9348B" w:rsidRDefault="00A10636" w:rsidP="00771A8F">
            <w:pPr>
              <w:pStyle w:val="TableBullet"/>
              <w:numPr>
                <w:ilvl w:val="0"/>
                <w:numId w:val="24"/>
              </w:numPr>
              <w:tabs>
                <w:tab w:val="left" w:pos="284"/>
              </w:tabs>
              <w:spacing w:before="40" w:after="0"/>
              <w:ind w:left="284" w:hanging="284"/>
            </w:pPr>
            <w:r w:rsidRPr="00D9348B">
              <w:t>major roading infrastructure</w:t>
            </w:r>
          </w:p>
          <w:p w14:paraId="546D9973" w14:textId="77777777" w:rsidR="00A10636" w:rsidRPr="00D9348B" w:rsidRDefault="00A10636" w:rsidP="00771A8F">
            <w:pPr>
              <w:pStyle w:val="TableBullet"/>
              <w:numPr>
                <w:ilvl w:val="0"/>
                <w:numId w:val="24"/>
              </w:numPr>
              <w:tabs>
                <w:tab w:val="left" w:pos="284"/>
              </w:tabs>
              <w:spacing w:before="40" w:after="0"/>
              <w:ind w:left="284" w:hanging="284"/>
            </w:pPr>
            <w:r w:rsidRPr="00D9348B">
              <w:t>airports and runways</w:t>
            </w:r>
          </w:p>
          <w:p w14:paraId="0BA4BF86" w14:textId="77777777" w:rsidR="00A10636" w:rsidRPr="00D9348B" w:rsidRDefault="00A10636" w:rsidP="00771A8F">
            <w:pPr>
              <w:pStyle w:val="TableBullet"/>
              <w:numPr>
                <w:ilvl w:val="0"/>
                <w:numId w:val="24"/>
              </w:numPr>
              <w:tabs>
                <w:tab w:val="left" w:pos="284"/>
              </w:tabs>
              <w:spacing w:before="40" w:after="0"/>
              <w:ind w:left="284" w:hanging="284"/>
            </w:pPr>
            <w:r w:rsidRPr="00D9348B">
              <w:t xml:space="preserve">dam infrastructure </w:t>
            </w:r>
          </w:p>
          <w:p w14:paraId="4A543CFD" w14:textId="77777777" w:rsidR="00A10636" w:rsidRPr="00D9348B" w:rsidRDefault="00A10636" w:rsidP="00771A8F">
            <w:pPr>
              <w:pStyle w:val="TableBullet"/>
              <w:numPr>
                <w:ilvl w:val="0"/>
                <w:numId w:val="24"/>
              </w:numPr>
              <w:tabs>
                <w:tab w:val="left" w:pos="284"/>
              </w:tabs>
              <w:spacing w:before="40"/>
              <w:ind w:left="284" w:hanging="284"/>
            </w:pPr>
            <w:proofErr w:type="gramStart"/>
            <w:r w:rsidRPr="00D9348B">
              <w:t>urban</w:t>
            </w:r>
            <w:proofErr w:type="gramEnd"/>
            <w:r w:rsidRPr="00D9348B">
              <w:t xml:space="preserve"> subdivisions under construction.</w:t>
            </w:r>
          </w:p>
        </w:tc>
      </w:tr>
      <w:tr w:rsidR="00A10636" w:rsidRPr="00D9348B" w14:paraId="30A94C77" w14:textId="77777777" w:rsidTr="00126411">
        <w:tc>
          <w:tcPr>
            <w:tcW w:w="1276" w:type="dxa"/>
            <w:tcBorders>
              <w:top w:val="single" w:sz="4" w:space="0" w:color="365F91"/>
              <w:bottom w:val="single" w:sz="4" w:space="0" w:color="365F91"/>
            </w:tcBorders>
          </w:tcPr>
          <w:p w14:paraId="56156942" w14:textId="77777777" w:rsidR="00A10636" w:rsidRPr="00D9348B" w:rsidRDefault="00A10636" w:rsidP="00DB330E">
            <w:pPr>
              <w:pStyle w:val="TableText"/>
              <w:rPr>
                <w:b/>
              </w:rPr>
            </w:pPr>
            <w:r w:rsidRPr="00D9348B">
              <w:rPr>
                <w:b/>
              </w:rPr>
              <w:t>Other land</w:t>
            </w:r>
          </w:p>
        </w:tc>
        <w:tc>
          <w:tcPr>
            <w:tcW w:w="7229" w:type="dxa"/>
            <w:tcBorders>
              <w:top w:val="single" w:sz="4" w:space="0" w:color="365F91"/>
              <w:bottom w:val="single" w:sz="4" w:space="0" w:color="365F91"/>
            </w:tcBorders>
          </w:tcPr>
          <w:p w14:paraId="0E73E3A5" w14:textId="77777777" w:rsidR="00A10636" w:rsidRPr="00D9348B" w:rsidRDefault="00A10636" w:rsidP="00DB330E">
            <w:pPr>
              <w:pStyle w:val="TableBullet"/>
              <w:numPr>
                <w:ilvl w:val="0"/>
                <w:numId w:val="0"/>
              </w:numPr>
              <w:spacing w:before="40" w:after="0"/>
            </w:pPr>
            <w:r w:rsidRPr="00D9348B">
              <w:t>Includes:</w:t>
            </w:r>
          </w:p>
          <w:p w14:paraId="0EF0DC2E" w14:textId="77777777" w:rsidR="00A10636" w:rsidRPr="00D9348B" w:rsidRDefault="00A10636" w:rsidP="00771A8F">
            <w:pPr>
              <w:pStyle w:val="TableBullet"/>
              <w:numPr>
                <w:ilvl w:val="0"/>
                <w:numId w:val="24"/>
              </w:numPr>
              <w:tabs>
                <w:tab w:val="left" w:pos="284"/>
              </w:tabs>
              <w:spacing w:before="0" w:after="0"/>
              <w:ind w:left="284" w:hanging="284"/>
            </w:pPr>
            <w:r w:rsidRPr="00D9348B">
              <w:t>montane rock and/or scree</w:t>
            </w:r>
          </w:p>
          <w:p w14:paraId="493B7CC5" w14:textId="77777777" w:rsidR="00A10636" w:rsidRPr="00D9348B" w:rsidRDefault="00A10636" w:rsidP="00771A8F">
            <w:pPr>
              <w:pStyle w:val="TableBullet"/>
              <w:numPr>
                <w:ilvl w:val="0"/>
                <w:numId w:val="24"/>
              </w:numPr>
              <w:tabs>
                <w:tab w:val="left" w:pos="284"/>
              </w:tabs>
              <w:spacing w:before="40" w:after="0"/>
              <w:ind w:left="284" w:hanging="284"/>
            </w:pPr>
            <w:r w:rsidRPr="00D9348B">
              <w:t>river gravels, rocky outcrops, sand dunes and beaches, coastal cliffs, mines (including spoil), quarries</w:t>
            </w:r>
          </w:p>
          <w:p w14:paraId="0A2E63EB" w14:textId="77777777" w:rsidR="00A10636" w:rsidRPr="00D9348B" w:rsidRDefault="00A10636" w:rsidP="00771A8F">
            <w:pPr>
              <w:pStyle w:val="TableBullet"/>
              <w:numPr>
                <w:ilvl w:val="0"/>
                <w:numId w:val="24"/>
              </w:numPr>
              <w:tabs>
                <w:tab w:val="left" w:pos="284"/>
              </w:tabs>
              <w:spacing w:before="40" w:after="0"/>
              <w:ind w:left="284" w:hanging="284"/>
            </w:pPr>
            <w:r w:rsidRPr="00D9348B">
              <w:t>permanent ice and/or snow and glaciers</w:t>
            </w:r>
          </w:p>
          <w:p w14:paraId="30BBD363" w14:textId="60B66EA0" w:rsidR="00A10636" w:rsidRPr="00D9348B" w:rsidRDefault="00A10636" w:rsidP="00771A8F">
            <w:pPr>
              <w:pStyle w:val="TableText"/>
              <w:numPr>
                <w:ilvl w:val="0"/>
                <w:numId w:val="24"/>
              </w:numPr>
            </w:pPr>
            <w:proofErr w:type="gramStart"/>
            <w:r w:rsidRPr="00D9348B">
              <w:t>any</w:t>
            </w:r>
            <w:proofErr w:type="gramEnd"/>
            <w:r w:rsidRPr="00D9348B">
              <w:t xml:space="preserve"> other remaining land that does not fall into any of the other </w:t>
            </w:r>
            <w:r w:rsidR="00766DDA">
              <w:t>land-use</w:t>
            </w:r>
            <w:r w:rsidRPr="00D9348B">
              <w:t xml:space="preserve"> categories.</w:t>
            </w:r>
          </w:p>
        </w:tc>
      </w:tr>
    </w:tbl>
    <w:p w14:paraId="69E7405A" w14:textId="32D9C675" w:rsidR="00A10636" w:rsidRPr="00D9348B" w:rsidRDefault="00A10636" w:rsidP="00A10636">
      <w:pPr>
        <w:pStyle w:val="BodyText"/>
        <w:spacing w:before="240" w:after="100"/>
      </w:pPr>
      <w:r w:rsidRPr="00D9348B">
        <w:t xml:space="preserve">Further refinements are planned to improve New Zealand’s estimates of land-use change, as stated in section 6.2.7. Land areas reported as ‘converted’ and ‘remaining’ within each </w:t>
      </w:r>
      <w:r w:rsidR="00766DDA">
        <w:t>land-use</w:t>
      </w:r>
      <w:r w:rsidRPr="00D9348B">
        <w:t xml:space="preserve"> category are the best current estimates and will be improved, should additional activity data become available. </w:t>
      </w:r>
    </w:p>
    <w:p w14:paraId="679CB5B4" w14:textId="3890B6D2" w:rsidR="00A10636" w:rsidRPr="00D9348B" w:rsidRDefault="00A10636" w:rsidP="00126411">
      <w:pPr>
        <w:pStyle w:val="Heading3"/>
        <w:spacing w:before="280"/>
      </w:pPr>
      <w:bookmarkStart w:id="1331" w:name="_Toc255466299"/>
      <w:bookmarkStart w:id="1332" w:name="_Toc261513106"/>
      <w:bookmarkStart w:id="1333" w:name="_Toc261513719"/>
      <w:bookmarkStart w:id="1334" w:name="_Toc280630225"/>
      <w:bookmarkStart w:id="1335" w:name="_Ref308792794"/>
      <w:bookmarkStart w:id="1336" w:name="_Ref308792807"/>
      <w:bookmarkStart w:id="1337" w:name="_Toc361645363"/>
      <w:r w:rsidRPr="00D9348B">
        <w:t>6.2.2</w:t>
      </w:r>
      <w:r w:rsidRPr="00D9348B">
        <w:tab/>
      </w:r>
      <w:r w:rsidR="00766DDA">
        <w:t>Land-use</w:t>
      </w:r>
      <w:r w:rsidRPr="00D9348B">
        <w:t xml:space="preserve"> mapping</w:t>
      </w:r>
      <w:bookmarkEnd w:id="1331"/>
      <w:bookmarkEnd w:id="1332"/>
      <w:bookmarkEnd w:id="1333"/>
      <w:bookmarkEnd w:id="1334"/>
      <w:bookmarkEnd w:id="1335"/>
      <w:bookmarkEnd w:id="1336"/>
      <w:bookmarkEnd w:id="1337"/>
      <w:r w:rsidRPr="00D9348B">
        <w:t xml:space="preserve"> methodology</w:t>
      </w:r>
    </w:p>
    <w:p w14:paraId="01F3A1A5" w14:textId="3248877E" w:rsidR="00A10636" w:rsidRPr="00D9348B" w:rsidRDefault="00A10636" w:rsidP="00A10636">
      <w:pPr>
        <w:pStyle w:val="BodyText"/>
      </w:pPr>
      <w:r w:rsidRPr="00D9348B">
        <w:t xml:space="preserve">Areas of land use and land-use change between 1990 and 2018 are based on four wall-to-wall </w:t>
      </w:r>
      <w:r w:rsidR="00766DDA">
        <w:t>land-use</w:t>
      </w:r>
      <w:r w:rsidRPr="00D9348B">
        <w:t xml:space="preserve"> maps derived from satellite imagery at nominal mapping dates of 1 January 1990, 1 January 2008, 31 December 2012 and 31 December 2016. Area information from these maps is interpolated and extrapolated to obtain a complete time series of land-use change occurring between 1990 and 2018 (see section 6.2.3).</w:t>
      </w:r>
    </w:p>
    <w:p w14:paraId="7A8CF5F4" w14:textId="77777777" w:rsidR="00A10636" w:rsidRPr="00D9348B" w:rsidRDefault="00A10636" w:rsidP="00865BDB">
      <w:pPr>
        <w:pStyle w:val="Heading4"/>
      </w:pPr>
      <w:r w:rsidRPr="00D9348B">
        <w:t>Satellite image acquisition an</w:t>
      </w:r>
      <w:r w:rsidRPr="00D9348B">
        <w:rPr>
          <w:rFonts w:ascii="Arial Bold" w:hAnsi="Arial Bold"/>
        </w:rPr>
        <w:t>d pre-pro</w:t>
      </w:r>
      <w:r w:rsidRPr="00D9348B">
        <w:t>cessing</w:t>
      </w:r>
    </w:p>
    <w:p w14:paraId="0CC488A2" w14:textId="75DFA586" w:rsidR="00A10636" w:rsidRPr="00D9348B" w:rsidRDefault="00A10636" w:rsidP="00A10636">
      <w:pPr>
        <w:pStyle w:val="BodyText"/>
      </w:pPr>
      <w:r w:rsidRPr="00D9348B">
        <w:t xml:space="preserve">Each of the national </w:t>
      </w:r>
      <w:r w:rsidR="00766DDA">
        <w:t>land-use</w:t>
      </w:r>
      <w:r w:rsidRPr="00D9348B">
        <w:t xml:space="preserve"> maps is based on a collection of either Landsat, SPOT or Sentinel-2 satellite imagery acquired over the summer periods (October to March) as described in table 6.2.3.</w:t>
      </w:r>
      <w:r w:rsidRPr="00D9348B">
        <w:rPr>
          <w:color w:val="1F497D"/>
        </w:rPr>
        <w:t xml:space="preserve"> </w:t>
      </w:r>
      <w:r w:rsidRPr="00D9348B">
        <w:t>Acquisition is limited to the summer months because a high sun angle is required to reduce shadowing and increase the dynamic range of the signal received from the ground.</w:t>
      </w:r>
    </w:p>
    <w:p w14:paraId="6ABA6420" w14:textId="45C8D480" w:rsidR="00A10636" w:rsidRPr="00D9348B" w:rsidRDefault="00A10636" w:rsidP="00A10636">
      <w:pPr>
        <w:pStyle w:val="Table"/>
      </w:pPr>
      <w:bookmarkStart w:id="1338" w:name="_Toc378853282"/>
      <w:bookmarkStart w:id="1339" w:name="_Toc391024080"/>
      <w:bookmarkStart w:id="1340" w:name="_Toc410028823"/>
      <w:bookmarkStart w:id="1341" w:name="_Toc414531451"/>
      <w:bookmarkStart w:id="1342" w:name="_Toc443645364"/>
      <w:bookmarkStart w:id="1343" w:name="_Toc474914583"/>
      <w:bookmarkStart w:id="1344" w:name="_Toc481751547"/>
      <w:bookmarkStart w:id="1345" w:name="_Toc522010604"/>
      <w:bookmarkStart w:id="1346" w:name="_Toc5269509"/>
      <w:bookmarkStart w:id="1347" w:name="_Toc33529385"/>
      <w:bookmarkStart w:id="1348" w:name="_Toc36224591"/>
      <w:r w:rsidRPr="00D9348B">
        <w:t>Table 6.2.3</w:t>
      </w:r>
      <w:r w:rsidRPr="00D9348B">
        <w:tab/>
        <w:t xml:space="preserve">Satellite imagery used for </w:t>
      </w:r>
      <w:r w:rsidR="00766DDA">
        <w:t>land-use</w:t>
      </w:r>
      <w:r w:rsidRPr="00D9348B">
        <w:t xml:space="preserve"> mapping</w:t>
      </w:r>
      <w:bookmarkEnd w:id="1338"/>
      <w:r w:rsidRPr="00D9348B">
        <w:t xml:space="preserve"> in 1990, 2008 and 2012</w:t>
      </w:r>
      <w:bookmarkEnd w:id="1339"/>
      <w:bookmarkEnd w:id="1340"/>
      <w:bookmarkEnd w:id="1341"/>
      <w:bookmarkEnd w:id="1342"/>
      <w:bookmarkEnd w:id="1343"/>
      <w:bookmarkEnd w:id="1344"/>
      <w:bookmarkEnd w:id="1345"/>
      <w:bookmarkEnd w:id="1346"/>
      <w:bookmarkEnd w:id="1347"/>
      <w:bookmarkEnd w:id="1348"/>
    </w:p>
    <w:tbl>
      <w:tblPr>
        <w:tblW w:w="8505" w:type="dxa"/>
        <w:tblInd w:w="108" w:type="dxa"/>
        <w:tblLook w:val="04A0" w:firstRow="1" w:lastRow="0" w:firstColumn="1" w:lastColumn="0" w:noHBand="0" w:noVBand="1"/>
      </w:tblPr>
      <w:tblGrid>
        <w:gridCol w:w="1562"/>
        <w:gridCol w:w="2124"/>
        <w:gridCol w:w="1875"/>
        <w:gridCol w:w="2944"/>
      </w:tblGrid>
      <w:tr w:rsidR="00A10636" w:rsidRPr="00D9348B" w14:paraId="7ECCF285" w14:textId="77777777" w:rsidTr="007C102A">
        <w:tc>
          <w:tcPr>
            <w:tcW w:w="1468" w:type="dxa"/>
            <w:tcBorders>
              <w:top w:val="single" w:sz="4" w:space="0" w:color="365F91"/>
              <w:bottom w:val="single" w:sz="4" w:space="0" w:color="365F91"/>
            </w:tcBorders>
            <w:shd w:val="clear" w:color="auto" w:fill="365F91"/>
          </w:tcPr>
          <w:p w14:paraId="0B9FFF16" w14:textId="62E7246F" w:rsidR="00A10636" w:rsidRPr="00D9348B" w:rsidRDefault="00766DDA" w:rsidP="00DB330E">
            <w:pPr>
              <w:pStyle w:val="TableTextBold"/>
              <w:keepNext/>
              <w:spacing w:before="40" w:after="40"/>
              <w:rPr>
                <w:noProof w:val="0"/>
                <w:color w:val="FFFFFF"/>
              </w:rPr>
            </w:pPr>
            <w:r>
              <w:rPr>
                <w:noProof w:val="0"/>
                <w:color w:val="FFFFFF"/>
              </w:rPr>
              <w:t>Land-use</w:t>
            </w:r>
            <w:r w:rsidR="00A10636" w:rsidRPr="00D9348B">
              <w:rPr>
                <w:noProof w:val="0"/>
                <w:color w:val="FFFFFF"/>
              </w:rPr>
              <w:t xml:space="preserve"> map</w:t>
            </w:r>
          </w:p>
        </w:tc>
        <w:tc>
          <w:tcPr>
            <w:tcW w:w="1997" w:type="dxa"/>
            <w:tcBorders>
              <w:top w:val="single" w:sz="4" w:space="0" w:color="365F91"/>
              <w:bottom w:val="single" w:sz="4" w:space="0" w:color="365F91"/>
            </w:tcBorders>
            <w:shd w:val="clear" w:color="auto" w:fill="365F91"/>
          </w:tcPr>
          <w:p w14:paraId="1409B235" w14:textId="77777777" w:rsidR="00A10636" w:rsidRPr="00D9348B" w:rsidRDefault="00A10636" w:rsidP="00DB330E">
            <w:pPr>
              <w:pStyle w:val="TableTextBold"/>
              <w:keepNext/>
              <w:spacing w:before="40" w:after="40"/>
              <w:rPr>
                <w:noProof w:val="0"/>
                <w:color w:val="FFFFFF"/>
              </w:rPr>
            </w:pPr>
            <w:r w:rsidRPr="00D9348B">
              <w:rPr>
                <w:noProof w:val="0"/>
                <w:color w:val="FFFFFF"/>
              </w:rPr>
              <w:t>Satellite imagery</w:t>
            </w:r>
          </w:p>
        </w:tc>
        <w:tc>
          <w:tcPr>
            <w:tcW w:w="1763" w:type="dxa"/>
            <w:tcBorders>
              <w:top w:val="single" w:sz="4" w:space="0" w:color="365F91"/>
              <w:bottom w:val="single" w:sz="4" w:space="0" w:color="365F91"/>
            </w:tcBorders>
            <w:shd w:val="clear" w:color="auto" w:fill="365F91"/>
          </w:tcPr>
          <w:p w14:paraId="53064C1B" w14:textId="77777777" w:rsidR="00A10636" w:rsidRPr="00D9348B" w:rsidRDefault="00A10636" w:rsidP="00DB330E">
            <w:pPr>
              <w:pStyle w:val="TableTextBold"/>
              <w:keepNext/>
              <w:spacing w:before="40" w:after="40"/>
              <w:rPr>
                <w:noProof w:val="0"/>
                <w:color w:val="FFFFFF"/>
              </w:rPr>
            </w:pPr>
            <w:r w:rsidRPr="00D9348B">
              <w:rPr>
                <w:noProof w:val="0"/>
                <w:color w:val="FFFFFF"/>
              </w:rPr>
              <w:t>Resolution (metres)</w:t>
            </w:r>
          </w:p>
        </w:tc>
        <w:tc>
          <w:tcPr>
            <w:tcW w:w="2767" w:type="dxa"/>
            <w:tcBorders>
              <w:top w:val="single" w:sz="4" w:space="0" w:color="365F91"/>
              <w:bottom w:val="single" w:sz="4" w:space="0" w:color="365F91"/>
            </w:tcBorders>
            <w:shd w:val="clear" w:color="auto" w:fill="365F91"/>
          </w:tcPr>
          <w:p w14:paraId="33A29222" w14:textId="77777777" w:rsidR="00A10636" w:rsidRPr="00D9348B" w:rsidRDefault="00A10636" w:rsidP="00DB330E">
            <w:pPr>
              <w:pStyle w:val="TableTextBold"/>
              <w:keepNext/>
              <w:spacing w:before="40" w:after="40"/>
              <w:rPr>
                <w:noProof w:val="0"/>
                <w:color w:val="FFFFFF"/>
              </w:rPr>
            </w:pPr>
            <w:r w:rsidRPr="00D9348B">
              <w:rPr>
                <w:noProof w:val="0"/>
                <w:color w:val="FFFFFF"/>
              </w:rPr>
              <w:t>Acquisition period</w:t>
            </w:r>
          </w:p>
        </w:tc>
      </w:tr>
      <w:tr w:rsidR="00A10636" w:rsidRPr="00D9348B" w14:paraId="2C6803B7" w14:textId="77777777" w:rsidTr="007C102A">
        <w:tc>
          <w:tcPr>
            <w:tcW w:w="1468" w:type="dxa"/>
            <w:tcBorders>
              <w:top w:val="single" w:sz="4" w:space="0" w:color="365F91"/>
              <w:bottom w:val="single" w:sz="4" w:space="0" w:color="365F91"/>
            </w:tcBorders>
          </w:tcPr>
          <w:p w14:paraId="1780E629" w14:textId="77777777" w:rsidR="00A10636" w:rsidRPr="00D9348B" w:rsidRDefault="00A10636" w:rsidP="00DB330E">
            <w:pPr>
              <w:pStyle w:val="TableText"/>
              <w:spacing w:before="50" w:after="50"/>
            </w:pPr>
            <w:r w:rsidRPr="00D9348B">
              <w:t>1990</w:t>
            </w:r>
          </w:p>
        </w:tc>
        <w:tc>
          <w:tcPr>
            <w:tcW w:w="1997" w:type="dxa"/>
            <w:tcBorders>
              <w:top w:val="single" w:sz="4" w:space="0" w:color="365F91"/>
              <w:bottom w:val="single" w:sz="4" w:space="0" w:color="365F91"/>
            </w:tcBorders>
          </w:tcPr>
          <w:p w14:paraId="470A6087" w14:textId="77777777" w:rsidR="00A10636" w:rsidRPr="00D9348B" w:rsidRDefault="00A10636" w:rsidP="00DB330E">
            <w:pPr>
              <w:pStyle w:val="TableText"/>
              <w:spacing w:before="50" w:after="50"/>
            </w:pPr>
            <w:r w:rsidRPr="00D9348B">
              <w:t>Landsat 4 and Landsat 5</w:t>
            </w:r>
          </w:p>
        </w:tc>
        <w:tc>
          <w:tcPr>
            <w:tcW w:w="1763" w:type="dxa"/>
            <w:tcBorders>
              <w:top w:val="single" w:sz="4" w:space="0" w:color="365F91"/>
              <w:bottom w:val="single" w:sz="4" w:space="0" w:color="365F91"/>
            </w:tcBorders>
          </w:tcPr>
          <w:p w14:paraId="7425E645" w14:textId="77777777" w:rsidR="00A10636" w:rsidRPr="00D9348B" w:rsidRDefault="00A10636" w:rsidP="00DB330E">
            <w:pPr>
              <w:pStyle w:val="TableText"/>
              <w:spacing w:before="50" w:after="50"/>
            </w:pPr>
            <w:r w:rsidRPr="00D9348B">
              <w:t>30</w:t>
            </w:r>
          </w:p>
        </w:tc>
        <w:tc>
          <w:tcPr>
            <w:tcW w:w="2767" w:type="dxa"/>
            <w:tcBorders>
              <w:top w:val="single" w:sz="4" w:space="0" w:color="365F91"/>
              <w:bottom w:val="single" w:sz="4" w:space="0" w:color="365F91"/>
            </w:tcBorders>
          </w:tcPr>
          <w:p w14:paraId="6CFFCCFD" w14:textId="77777777" w:rsidR="00A10636" w:rsidRPr="00D9348B" w:rsidRDefault="00A10636" w:rsidP="00DB330E">
            <w:pPr>
              <w:pStyle w:val="TableText"/>
              <w:spacing w:before="50" w:after="50"/>
            </w:pPr>
            <w:r w:rsidRPr="00D9348B">
              <w:t>November 1988 – February 1993</w:t>
            </w:r>
          </w:p>
        </w:tc>
      </w:tr>
      <w:tr w:rsidR="00A10636" w:rsidRPr="00D9348B" w14:paraId="5CB56437" w14:textId="77777777" w:rsidTr="007C102A">
        <w:tc>
          <w:tcPr>
            <w:tcW w:w="1468" w:type="dxa"/>
            <w:tcBorders>
              <w:top w:val="single" w:sz="4" w:space="0" w:color="365F91"/>
              <w:bottom w:val="single" w:sz="4" w:space="0" w:color="365F91"/>
            </w:tcBorders>
          </w:tcPr>
          <w:p w14:paraId="2D635C6C" w14:textId="77777777" w:rsidR="00A10636" w:rsidRPr="00D9348B" w:rsidRDefault="00A10636" w:rsidP="00DB330E">
            <w:pPr>
              <w:pStyle w:val="TableText"/>
              <w:spacing w:before="50" w:after="50"/>
            </w:pPr>
            <w:r w:rsidRPr="00D9348B">
              <w:t>2008</w:t>
            </w:r>
          </w:p>
        </w:tc>
        <w:tc>
          <w:tcPr>
            <w:tcW w:w="1997" w:type="dxa"/>
            <w:tcBorders>
              <w:top w:val="single" w:sz="4" w:space="0" w:color="365F91"/>
              <w:bottom w:val="single" w:sz="4" w:space="0" w:color="365F91"/>
            </w:tcBorders>
          </w:tcPr>
          <w:p w14:paraId="57DD6603" w14:textId="77777777" w:rsidR="00A10636" w:rsidRPr="00D9348B" w:rsidRDefault="00A10636" w:rsidP="00DB330E">
            <w:pPr>
              <w:pStyle w:val="TableText"/>
              <w:spacing w:before="50" w:after="50"/>
            </w:pPr>
            <w:r w:rsidRPr="00D9348B">
              <w:t>SPOT 5</w:t>
            </w:r>
          </w:p>
        </w:tc>
        <w:tc>
          <w:tcPr>
            <w:tcW w:w="1763" w:type="dxa"/>
            <w:tcBorders>
              <w:top w:val="single" w:sz="4" w:space="0" w:color="365F91"/>
              <w:bottom w:val="single" w:sz="4" w:space="0" w:color="365F91"/>
            </w:tcBorders>
          </w:tcPr>
          <w:p w14:paraId="639F6591" w14:textId="77777777" w:rsidR="00A10636" w:rsidRPr="00D9348B" w:rsidRDefault="00A10636" w:rsidP="00DB330E">
            <w:pPr>
              <w:pStyle w:val="TableText"/>
              <w:spacing w:before="50" w:after="50"/>
            </w:pPr>
            <w:r w:rsidRPr="00D9348B">
              <w:t>10</w:t>
            </w:r>
          </w:p>
        </w:tc>
        <w:tc>
          <w:tcPr>
            <w:tcW w:w="2767" w:type="dxa"/>
            <w:tcBorders>
              <w:top w:val="single" w:sz="4" w:space="0" w:color="365F91"/>
              <w:bottom w:val="single" w:sz="4" w:space="0" w:color="365F91"/>
            </w:tcBorders>
          </w:tcPr>
          <w:p w14:paraId="75085BC4" w14:textId="77777777" w:rsidR="00A10636" w:rsidRPr="00D9348B" w:rsidRDefault="00A10636" w:rsidP="00DB330E">
            <w:pPr>
              <w:pStyle w:val="TableText"/>
              <w:spacing w:before="50" w:after="50"/>
            </w:pPr>
            <w:r w:rsidRPr="00D9348B">
              <w:t>November 2006 – April 2008</w:t>
            </w:r>
          </w:p>
        </w:tc>
      </w:tr>
      <w:tr w:rsidR="00A10636" w:rsidRPr="00D9348B" w14:paraId="7164D760" w14:textId="77777777" w:rsidTr="007C102A">
        <w:tc>
          <w:tcPr>
            <w:tcW w:w="1468" w:type="dxa"/>
            <w:tcBorders>
              <w:top w:val="single" w:sz="4" w:space="0" w:color="365F91"/>
              <w:bottom w:val="single" w:sz="4" w:space="0" w:color="365F91"/>
            </w:tcBorders>
          </w:tcPr>
          <w:p w14:paraId="35D26F1E" w14:textId="77777777" w:rsidR="00A10636" w:rsidRPr="00D9348B" w:rsidRDefault="00A10636" w:rsidP="00DB330E">
            <w:pPr>
              <w:pStyle w:val="TableText"/>
              <w:spacing w:before="50" w:after="50"/>
            </w:pPr>
            <w:r w:rsidRPr="00D9348B">
              <w:t>2012</w:t>
            </w:r>
          </w:p>
        </w:tc>
        <w:tc>
          <w:tcPr>
            <w:tcW w:w="1997" w:type="dxa"/>
            <w:tcBorders>
              <w:top w:val="single" w:sz="4" w:space="0" w:color="365F91"/>
              <w:bottom w:val="single" w:sz="4" w:space="0" w:color="365F91"/>
            </w:tcBorders>
          </w:tcPr>
          <w:p w14:paraId="64FDA345" w14:textId="77777777" w:rsidR="00A10636" w:rsidRPr="00D9348B" w:rsidRDefault="00A10636" w:rsidP="00DB330E">
            <w:pPr>
              <w:pStyle w:val="TableText"/>
              <w:spacing w:before="50" w:after="50"/>
            </w:pPr>
            <w:r w:rsidRPr="00D9348B">
              <w:t>SPOT 5</w:t>
            </w:r>
          </w:p>
        </w:tc>
        <w:tc>
          <w:tcPr>
            <w:tcW w:w="1763" w:type="dxa"/>
            <w:tcBorders>
              <w:top w:val="single" w:sz="4" w:space="0" w:color="365F91"/>
              <w:bottom w:val="single" w:sz="4" w:space="0" w:color="365F91"/>
            </w:tcBorders>
          </w:tcPr>
          <w:p w14:paraId="716D71F1" w14:textId="77777777" w:rsidR="00A10636" w:rsidRPr="00D9348B" w:rsidRDefault="00A10636" w:rsidP="00DB330E">
            <w:pPr>
              <w:pStyle w:val="TableText"/>
              <w:spacing w:before="50" w:after="50"/>
            </w:pPr>
            <w:r w:rsidRPr="00D9348B">
              <w:t>10</w:t>
            </w:r>
          </w:p>
        </w:tc>
        <w:tc>
          <w:tcPr>
            <w:tcW w:w="2767" w:type="dxa"/>
            <w:tcBorders>
              <w:top w:val="single" w:sz="4" w:space="0" w:color="365F91"/>
              <w:bottom w:val="single" w:sz="4" w:space="0" w:color="365F91"/>
            </w:tcBorders>
          </w:tcPr>
          <w:p w14:paraId="0EB92FA0" w14:textId="77777777" w:rsidR="00A10636" w:rsidRPr="00D9348B" w:rsidRDefault="00A10636" w:rsidP="00DB330E">
            <w:pPr>
              <w:pStyle w:val="TableText"/>
              <w:spacing w:before="50" w:after="50"/>
            </w:pPr>
            <w:r w:rsidRPr="00D9348B">
              <w:t>October 2011 – March 2013</w:t>
            </w:r>
          </w:p>
        </w:tc>
      </w:tr>
      <w:tr w:rsidR="00A10636" w:rsidRPr="00D9348B" w14:paraId="57C76F8A" w14:textId="77777777" w:rsidTr="007C102A">
        <w:tc>
          <w:tcPr>
            <w:tcW w:w="1468" w:type="dxa"/>
            <w:tcBorders>
              <w:top w:val="single" w:sz="4" w:space="0" w:color="365F91"/>
              <w:bottom w:val="single" w:sz="4" w:space="0" w:color="365F91"/>
            </w:tcBorders>
          </w:tcPr>
          <w:p w14:paraId="44A77E4D" w14:textId="77777777" w:rsidR="00A10636" w:rsidRPr="00D9348B" w:rsidRDefault="00A10636" w:rsidP="00DB330E">
            <w:pPr>
              <w:pStyle w:val="TableText"/>
              <w:spacing w:before="50" w:after="50"/>
            </w:pPr>
            <w:r w:rsidRPr="00D9348B">
              <w:t>2016</w:t>
            </w:r>
          </w:p>
        </w:tc>
        <w:tc>
          <w:tcPr>
            <w:tcW w:w="1997" w:type="dxa"/>
            <w:tcBorders>
              <w:top w:val="single" w:sz="4" w:space="0" w:color="365F91"/>
              <w:bottom w:val="single" w:sz="4" w:space="0" w:color="365F91"/>
            </w:tcBorders>
          </w:tcPr>
          <w:p w14:paraId="68A536B2" w14:textId="77777777" w:rsidR="00A10636" w:rsidRPr="00D9348B" w:rsidRDefault="00A10636" w:rsidP="00DB330E">
            <w:pPr>
              <w:pStyle w:val="TableText"/>
              <w:spacing w:before="50" w:after="50"/>
            </w:pPr>
            <w:r w:rsidRPr="00D9348B">
              <w:t>Sentinel-2</w:t>
            </w:r>
          </w:p>
        </w:tc>
        <w:tc>
          <w:tcPr>
            <w:tcW w:w="1763" w:type="dxa"/>
            <w:tcBorders>
              <w:top w:val="single" w:sz="4" w:space="0" w:color="365F91"/>
              <w:bottom w:val="single" w:sz="4" w:space="0" w:color="365F91"/>
            </w:tcBorders>
          </w:tcPr>
          <w:p w14:paraId="25304BFE" w14:textId="77777777" w:rsidR="00A10636" w:rsidRPr="00D9348B" w:rsidRDefault="00A10636" w:rsidP="00DB330E">
            <w:pPr>
              <w:pStyle w:val="TableText"/>
              <w:spacing w:before="50" w:after="50"/>
            </w:pPr>
            <w:r w:rsidRPr="00D9348B">
              <w:t>10</w:t>
            </w:r>
          </w:p>
        </w:tc>
        <w:tc>
          <w:tcPr>
            <w:tcW w:w="2767" w:type="dxa"/>
            <w:tcBorders>
              <w:top w:val="single" w:sz="4" w:space="0" w:color="365F91"/>
              <w:bottom w:val="single" w:sz="4" w:space="0" w:color="365F91"/>
            </w:tcBorders>
          </w:tcPr>
          <w:p w14:paraId="48E01661" w14:textId="77777777" w:rsidR="00A10636" w:rsidRPr="00D9348B" w:rsidRDefault="00A10636" w:rsidP="00DB330E">
            <w:pPr>
              <w:pStyle w:val="TableText"/>
              <w:spacing w:before="50" w:after="50"/>
            </w:pPr>
            <w:r w:rsidRPr="00D9348B">
              <w:t>October 2016 – March 2017</w:t>
            </w:r>
          </w:p>
        </w:tc>
      </w:tr>
    </w:tbl>
    <w:p w14:paraId="190ED4FB" w14:textId="77777777" w:rsidR="00A10636" w:rsidRPr="00D9348B" w:rsidRDefault="00A10636" w:rsidP="00A10636">
      <w:pPr>
        <w:pStyle w:val="BodyText"/>
        <w:spacing w:before="240"/>
      </w:pPr>
      <w:r w:rsidRPr="00D9348B">
        <w:t>All the imagery was orthorectified and atmospherically corrected and then standardised for spectral reflectance using the Ecosat algorithms documented in Dymond et al. (2001), Shepherd and Dymond (2003) and Dymond and Shepherd (2004). This standardisation process removes the effect of terrain slope from the imagery and effectively ‘flattens’ the imagery so that individual land cover types are a more consistent colour across the whole image. By minimising the effects of terrain, a more accurate and consistent classification of land use is possible. This is particularly important in New Zealand, due to the extensive areas of steep terrain.</w:t>
      </w:r>
    </w:p>
    <w:p w14:paraId="690D5E79" w14:textId="77777777" w:rsidR="00A10636" w:rsidRPr="00D9348B" w:rsidRDefault="00A10636" w:rsidP="00A10636">
      <w:pPr>
        <w:pStyle w:val="BodyText"/>
        <w:spacing w:before="100" w:after="100"/>
      </w:pPr>
      <w:r w:rsidRPr="00D9348B">
        <w:lastRenderedPageBreak/>
        <w:t>The final step in image preparation was the mosaicking of the satellite image scenes into a seamless national image. To minimise the effect of cloud and cloud shadows in the mosaic, cloud masks were generated for each scene. These masks were then used to prioritise the order of inclusion of each scene in the mosaic to obtain a near cloud-free image of New Zealand at each mapping date.</w:t>
      </w:r>
    </w:p>
    <w:p w14:paraId="40EE3820" w14:textId="443F7B93" w:rsidR="00A10636" w:rsidRPr="00D9348B" w:rsidRDefault="00A10636" w:rsidP="00865BDB">
      <w:pPr>
        <w:pStyle w:val="Heading4"/>
      </w:pPr>
      <w:r w:rsidRPr="00D9348B">
        <w:t xml:space="preserve">Creating the first two </w:t>
      </w:r>
      <w:r w:rsidR="00766DDA">
        <w:t>land-use</w:t>
      </w:r>
      <w:r w:rsidRPr="00D9348B">
        <w:t xml:space="preserve"> maps: 1990 and 2008</w:t>
      </w:r>
    </w:p>
    <w:p w14:paraId="0DEBFA3F" w14:textId="77777777" w:rsidR="00A10636" w:rsidRPr="00D9348B" w:rsidRDefault="00A10636" w:rsidP="00A10636">
      <w:pPr>
        <w:pStyle w:val="Heading5"/>
        <w:spacing w:before="160"/>
      </w:pPr>
      <w:r w:rsidRPr="00D9348B">
        <w:t>Mapping approach</w:t>
      </w:r>
    </w:p>
    <w:p w14:paraId="30EBF577" w14:textId="636FD80F" w:rsidR="00A10636" w:rsidRPr="00D9348B" w:rsidRDefault="00A10636" w:rsidP="00A10636">
      <w:pPr>
        <w:pStyle w:val="BodyText"/>
      </w:pPr>
      <w:r w:rsidRPr="00D9348B">
        <w:t xml:space="preserve">The 1990 and 2008 </w:t>
      </w:r>
      <w:r w:rsidR="00766DDA">
        <w:t>land-use</w:t>
      </w:r>
      <w:r w:rsidRPr="00D9348B">
        <w:t xml:space="preserve"> maps were created using a common mapping approach based on difference detection from an intermediate reference land-cover layer that was derived from Landsat 7 ETM+ imagery acquired in 2000–01. A semi-automated approach was used to classify woody land cover</w:t>
      </w:r>
      <w:r w:rsidRPr="00D9348B">
        <w:rPr>
          <w:rStyle w:val="FootnoteReference"/>
        </w:rPr>
        <w:footnoteReference w:id="63"/>
      </w:r>
      <w:r w:rsidRPr="00D9348B">
        <w:t xml:space="preserve"> in the 1990 and 2008 image mosaics. These layers were then differenced from the 2001 reference layer to create a 1990–2001 potential woody change layer and a 2001–08 potential woody change layer.</w:t>
      </w:r>
    </w:p>
    <w:p w14:paraId="6734A102" w14:textId="77777777" w:rsidR="00A10636" w:rsidRPr="00D9348B" w:rsidRDefault="00A10636" w:rsidP="00A10636">
      <w:pPr>
        <w:pStyle w:val="BodyText"/>
        <w:spacing w:before="100" w:after="100"/>
      </w:pPr>
      <w:r w:rsidRPr="00D9348B">
        <w:t xml:space="preserve">The potential woody change layers were visually checked to confirm change and then the changes were combined with the 2001 reference layer to create the 1990 and 2008 woody land cover layers. By using this approach, it was possible to obtain a consistent resolution of change detection even though there was a significant difference between the resolutions of the source imagery at the two mapping dates – 30 metres at 1990 versus 10 metres at 2008. </w:t>
      </w:r>
    </w:p>
    <w:p w14:paraId="6911AE34" w14:textId="77777777" w:rsidR="00A10636" w:rsidRPr="00D9348B" w:rsidRDefault="00A10636" w:rsidP="00A10636">
      <w:pPr>
        <w:pStyle w:val="BodyText"/>
        <w:spacing w:before="100" w:after="100"/>
      </w:pPr>
      <w:r w:rsidRPr="00D9348B">
        <w:t>Area and proximity rules were used to convert these layers from woody land cover to woody land use, making allowances for unstocked areas within forest extents and areas of regenerating vegetation in a forest context. This process is described in Shepherd and Newsome (</w:t>
      </w:r>
      <w:proofErr w:type="gramStart"/>
      <w:r w:rsidRPr="00D9348B">
        <w:t>unpublished(</w:t>
      </w:r>
      <w:proofErr w:type="gramEnd"/>
      <w:r w:rsidRPr="00D9348B">
        <w:t>b)).</w:t>
      </w:r>
    </w:p>
    <w:p w14:paraId="6654F0FB" w14:textId="77777777" w:rsidR="00A10636" w:rsidRPr="00D9348B" w:rsidRDefault="00A10636" w:rsidP="00A10636">
      <w:pPr>
        <w:pStyle w:val="BodyText"/>
        <w:spacing w:before="100" w:after="100"/>
      </w:pPr>
      <w:r w:rsidRPr="00D9348B">
        <w:t>To determine the spatial location of the other land uses</w:t>
      </w:r>
      <w:r w:rsidRPr="00D9348B" w:rsidDel="004A6701">
        <w:t xml:space="preserve"> </w:t>
      </w:r>
      <w:r w:rsidRPr="00D9348B">
        <w:t>as at 1990 and 2008, information from two Land Cover Databases, LCDB1 (1996) and LCDB2 (2001) (Thompson et al., 2004), hydrological data from Land Information New Zealand (a government agency) and the New Zealand Land Resource Inventory (NZLRI) (Eyles, 1977) were used (Shepherd and Newsome, unpublished(a)).</w:t>
      </w:r>
    </w:p>
    <w:p w14:paraId="63ADC332" w14:textId="25EA97F9" w:rsidR="00A10636" w:rsidRPr="00D9348B" w:rsidRDefault="00A10636" w:rsidP="00A10636">
      <w:pPr>
        <w:pStyle w:val="BodyText"/>
        <w:spacing w:before="100" w:after="100"/>
      </w:pPr>
      <w:r w:rsidRPr="00D9348B">
        <w:t xml:space="preserve">The NZLRI database defined the area of high and low producing grassland. Areas tagged as ‘improved pasture’ in the NZLRI vegetation records were classified as high producing grassland in the </w:t>
      </w:r>
      <w:r w:rsidR="00766DDA">
        <w:t>land-use</w:t>
      </w:r>
      <w:r w:rsidRPr="00D9348B">
        <w:t xml:space="preserve"> maps. All other areas were classified as low producing grassland. Figure 6.2.1 illustrates this mapping process.</w:t>
      </w:r>
    </w:p>
    <w:p w14:paraId="1C26323A" w14:textId="0B60E05D" w:rsidR="00A10636" w:rsidRPr="00D9348B" w:rsidRDefault="00A10636" w:rsidP="00A10636">
      <w:pPr>
        <w:pStyle w:val="Figure"/>
      </w:pPr>
      <w:bookmarkStart w:id="1349" w:name="_Toc378853333"/>
      <w:bookmarkStart w:id="1350" w:name="_Toc405448083"/>
      <w:bookmarkStart w:id="1351" w:name="_Toc414531615"/>
      <w:bookmarkStart w:id="1352" w:name="_Toc474914638"/>
      <w:bookmarkStart w:id="1353" w:name="_Toc481752020"/>
      <w:bookmarkStart w:id="1354" w:name="_Toc522010698"/>
      <w:bookmarkStart w:id="1355" w:name="_Toc5269701"/>
      <w:bookmarkStart w:id="1356" w:name="_Toc33529472"/>
      <w:bookmarkStart w:id="1357" w:name="_Toc36292802"/>
      <w:r w:rsidRPr="00D9348B">
        <w:lastRenderedPageBreak/>
        <w:t>Figure 6.2.1</w:t>
      </w:r>
      <w:r w:rsidRPr="00D9348B">
        <w:tab/>
        <w:t xml:space="preserve">New Zealand’s </w:t>
      </w:r>
      <w:r w:rsidR="00766DDA">
        <w:t>land-use</w:t>
      </w:r>
      <w:r w:rsidRPr="00D9348B">
        <w:t xml:space="preserve"> mapping process</w:t>
      </w:r>
      <w:bookmarkEnd w:id="1349"/>
      <w:bookmarkEnd w:id="1350"/>
      <w:bookmarkEnd w:id="1351"/>
      <w:bookmarkEnd w:id="1352"/>
      <w:bookmarkEnd w:id="1353"/>
      <w:bookmarkEnd w:id="1354"/>
      <w:bookmarkEnd w:id="1355"/>
      <w:r w:rsidRPr="00D9348B">
        <w:t xml:space="preserve"> for 1990 and 2008 </w:t>
      </w:r>
      <w:r w:rsidR="00766DDA">
        <w:t>land-use</w:t>
      </w:r>
      <w:r w:rsidRPr="00D9348B">
        <w:t xml:space="preserve"> maps</w:t>
      </w:r>
      <w:bookmarkEnd w:id="1356"/>
      <w:bookmarkEnd w:id="1357"/>
    </w:p>
    <w:p w14:paraId="0061A57A" w14:textId="72F1AEB4" w:rsidR="00A10636" w:rsidRPr="00D9348B" w:rsidRDefault="007165CF" w:rsidP="00A10636">
      <w:pPr>
        <w:pStyle w:val="BodyText"/>
        <w:spacing w:before="40"/>
      </w:pPr>
      <w:r>
        <w:pict w14:anchorId="4D72F66F">
          <v:shape id="_x0000_i1122" type="#_x0000_t75" alt="!990_2008_mapping_process" style="width:420.75pt;height:521.55pt;visibility:visible;mso-wrap-style:square">
            <v:imagedata r:id="rId203" o:title="!990_2008_mapping_process"/>
          </v:shape>
        </w:pict>
      </w:r>
    </w:p>
    <w:p w14:paraId="3D15FAF5" w14:textId="77777777" w:rsidR="00A10636" w:rsidRPr="00D9348B" w:rsidRDefault="00A10636" w:rsidP="00A10636">
      <w:pPr>
        <w:pStyle w:val="Noteundertable"/>
        <w:spacing w:before="240"/>
      </w:pPr>
      <w:r w:rsidRPr="00D9348B">
        <w:rPr>
          <w:b/>
          <w:bCs/>
        </w:rPr>
        <w:t>Note:</w:t>
      </w:r>
      <w:r w:rsidRPr="00D9348B">
        <w:t xml:space="preserve"> LINZ = Land Information New Zealand.</w:t>
      </w:r>
    </w:p>
    <w:p w14:paraId="0F496758" w14:textId="77777777" w:rsidR="00A10636" w:rsidRPr="00D9348B" w:rsidRDefault="00A10636" w:rsidP="00A10636">
      <w:pPr>
        <w:pStyle w:val="BodyText"/>
      </w:pPr>
      <w:r w:rsidRPr="00D9348B">
        <w:t xml:space="preserve">An interpretation guide for automated and visual interpretation of satellite imagery was prepared and used to ensure a consistent basis for all mapping processes (Ministry for the Environment, 2012). During the mapping process, independent quality control checks were performed to ensure consistent image interpretation. This involved an independent agency looking at randomly selected points across New Zealand and using the same data as the original operator to decide within what land use the point fell. The two operators were in agreement at least 95 per cent of the time. This is described in more detail in Joyce (unpublished). </w:t>
      </w:r>
    </w:p>
    <w:p w14:paraId="0E0E50C5" w14:textId="06F577D2" w:rsidR="00A10636" w:rsidRPr="00D9348B" w:rsidRDefault="00A10636" w:rsidP="00A10636">
      <w:pPr>
        <w:pStyle w:val="BodyText"/>
      </w:pPr>
      <w:r w:rsidRPr="00D9348B">
        <w:lastRenderedPageBreak/>
        <w:t xml:space="preserve">Figure 6.2.2 and figure 6.2.3 show the </w:t>
      </w:r>
      <w:r w:rsidR="00766DDA">
        <w:t>land-use</w:t>
      </w:r>
      <w:r w:rsidRPr="00D9348B">
        <w:t xml:space="preserve"> map of New Zealand as at 1 January 1990 and 1 January 2008 respectively.</w:t>
      </w:r>
    </w:p>
    <w:p w14:paraId="563D5913" w14:textId="58FE0789" w:rsidR="00A10636" w:rsidRPr="00D9348B" w:rsidRDefault="00A10636" w:rsidP="00A10636">
      <w:pPr>
        <w:pStyle w:val="Figure"/>
        <w:spacing w:after="0"/>
      </w:pPr>
      <w:bookmarkStart w:id="1358" w:name="_Toc378853334"/>
      <w:bookmarkStart w:id="1359" w:name="_Toc405448084"/>
      <w:bookmarkStart w:id="1360" w:name="_Toc414531616"/>
      <w:bookmarkStart w:id="1361" w:name="_Toc474914639"/>
      <w:bookmarkStart w:id="1362" w:name="_Toc481752021"/>
      <w:bookmarkStart w:id="1363" w:name="_Toc522010699"/>
      <w:bookmarkStart w:id="1364" w:name="_Toc5269702"/>
      <w:bookmarkStart w:id="1365" w:name="_Toc33529473"/>
      <w:bookmarkStart w:id="1366" w:name="_Toc36292803"/>
      <w:r w:rsidRPr="00D9348B">
        <w:t>Figure 6.2.2</w:t>
      </w:r>
      <w:r w:rsidRPr="00D9348B">
        <w:tab/>
      </w:r>
      <w:r w:rsidR="00766DDA">
        <w:t>Land-use</w:t>
      </w:r>
      <w:r w:rsidRPr="00D9348B">
        <w:t xml:space="preserve"> map of New Zealand as at 1 January 1990</w:t>
      </w:r>
      <w:bookmarkEnd w:id="1358"/>
      <w:bookmarkEnd w:id="1359"/>
      <w:bookmarkEnd w:id="1360"/>
      <w:bookmarkEnd w:id="1361"/>
      <w:bookmarkEnd w:id="1362"/>
      <w:bookmarkEnd w:id="1363"/>
      <w:bookmarkEnd w:id="1364"/>
      <w:bookmarkEnd w:id="1365"/>
      <w:bookmarkEnd w:id="1366"/>
    </w:p>
    <w:p w14:paraId="0A8F20FF" w14:textId="6EAAE5B9" w:rsidR="00A10636" w:rsidRPr="00D9348B" w:rsidRDefault="007165CF" w:rsidP="00A10636">
      <w:pPr>
        <w:spacing w:after="60"/>
      </w:pPr>
      <w:r>
        <w:pict w14:anchorId="44619556">
          <v:shape id="_x0000_i1123" type="#_x0000_t75" style="width:408.85pt;height:564.1pt;visibility:visible;mso-wrap-style:square">
            <v:imagedata r:id="rId204" o:title=""/>
          </v:shape>
        </w:pict>
      </w:r>
    </w:p>
    <w:p w14:paraId="2FF18A1D" w14:textId="77777777" w:rsidR="00A10636" w:rsidRPr="00D9348B" w:rsidRDefault="00A10636" w:rsidP="00A10636">
      <w:pPr>
        <w:pStyle w:val="Noteundertable"/>
      </w:pPr>
      <w:r w:rsidRPr="00D9348B">
        <w:rPr>
          <w:b/>
        </w:rPr>
        <w:t>Note:</w:t>
      </w:r>
      <w:r w:rsidRPr="00D9348B">
        <w:tab/>
        <w:t>The inset map is of the Chatham Islands, which lie approximately 660 kilometres south-east of the south</w:t>
      </w:r>
      <w:r w:rsidRPr="00D9348B">
        <w:noBreakHyphen/>
        <w:t>eastern corner of the North Island.</w:t>
      </w:r>
    </w:p>
    <w:p w14:paraId="604C4C35" w14:textId="273A04AF" w:rsidR="00A10636" w:rsidRPr="00D9348B" w:rsidRDefault="00A10636" w:rsidP="00A10636">
      <w:pPr>
        <w:pStyle w:val="Figure"/>
        <w:spacing w:after="0"/>
      </w:pPr>
      <w:bookmarkStart w:id="1367" w:name="_Toc378853335"/>
      <w:bookmarkStart w:id="1368" w:name="_Toc405448085"/>
      <w:bookmarkStart w:id="1369" w:name="_Toc414531617"/>
      <w:bookmarkStart w:id="1370" w:name="_Toc474914640"/>
      <w:bookmarkStart w:id="1371" w:name="_Toc481752022"/>
      <w:bookmarkStart w:id="1372" w:name="_Toc522010700"/>
      <w:bookmarkStart w:id="1373" w:name="_Toc5269703"/>
      <w:bookmarkStart w:id="1374" w:name="_Toc33529474"/>
      <w:bookmarkStart w:id="1375" w:name="_Toc36292804"/>
      <w:r w:rsidRPr="00D9348B">
        <w:lastRenderedPageBreak/>
        <w:t>Figure 6.2.3</w:t>
      </w:r>
      <w:r w:rsidRPr="00D9348B">
        <w:tab/>
      </w:r>
      <w:r w:rsidR="00766DDA">
        <w:t>Land-use</w:t>
      </w:r>
      <w:r w:rsidRPr="00D9348B">
        <w:t xml:space="preserve"> map of New Zealand as at 1 January 2008</w:t>
      </w:r>
      <w:bookmarkEnd w:id="1367"/>
      <w:bookmarkEnd w:id="1368"/>
      <w:bookmarkEnd w:id="1369"/>
      <w:bookmarkEnd w:id="1370"/>
      <w:bookmarkEnd w:id="1371"/>
      <w:bookmarkEnd w:id="1372"/>
      <w:bookmarkEnd w:id="1373"/>
      <w:bookmarkEnd w:id="1374"/>
      <w:bookmarkEnd w:id="1375"/>
    </w:p>
    <w:p w14:paraId="6A1466A4" w14:textId="52E390B1" w:rsidR="00A10636" w:rsidRPr="00D9348B" w:rsidRDefault="007165CF" w:rsidP="00A10636">
      <w:pPr>
        <w:spacing w:after="60"/>
      </w:pPr>
      <w:r>
        <w:pict w14:anchorId="48E34BE6">
          <v:shape id="_x0000_i1124" type="#_x0000_t75" style="width:410.1pt;height:565.35pt;visibility:visible;mso-wrap-style:square">
            <v:imagedata r:id="rId205" o:title=""/>
          </v:shape>
        </w:pict>
      </w:r>
    </w:p>
    <w:p w14:paraId="2BB2962B" w14:textId="77777777" w:rsidR="00A10636" w:rsidRPr="00D9348B" w:rsidRDefault="00A10636" w:rsidP="00A10636">
      <w:pPr>
        <w:pStyle w:val="Noteundertable"/>
      </w:pPr>
      <w:r w:rsidRPr="00D9348B">
        <w:rPr>
          <w:b/>
        </w:rPr>
        <w:t>Note:</w:t>
      </w:r>
      <w:r w:rsidRPr="00D9348B">
        <w:tab/>
        <w:t>The inset map is of the Chatham Islands, which lie approximately 660 kilometres south-east of the south</w:t>
      </w:r>
      <w:r w:rsidRPr="00D9348B">
        <w:noBreakHyphen/>
        <w:t>eastern corner of the North Island.</w:t>
      </w:r>
    </w:p>
    <w:p w14:paraId="7D37BB5F" w14:textId="77777777" w:rsidR="00A10636" w:rsidRPr="00D9348B" w:rsidRDefault="00A10636" w:rsidP="00A10636">
      <w:pPr>
        <w:pStyle w:val="Heading5"/>
      </w:pPr>
      <w:r w:rsidRPr="00D9348B">
        <w:lastRenderedPageBreak/>
        <w:t>Decision process for mapping post-1989 forests</w:t>
      </w:r>
    </w:p>
    <w:p w14:paraId="5E1C1DDA" w14:textId="3C12A422" w:rsidR="00A10636" w:rsidRPr="00D9348B" w:rsidRDefault="00A10636" w:rsidP="00B5608D">
      <w:pPr>
        <w:pStyle w:val="BodyText"/>
        <w:keepLines/>
      </w:pPr>
      <w:r w:rsidRPr="00D9348B">
        <w:t xml:space="preserve">The use of remotely sensed imagery has some limitations; in particular, a limited ability to map young planted forest of less than three years of age. Where trees are planted within three years of the image acquisition date, they (and their surrounding vegetation) are unlikely to show a distinguishable spectral signature in satellite imagery. This occurs particularly with coarse-resolution (30 metres) Landsat 4 and 5 imagery captured around 1990. This situation is compounded by the lack of ancillary data at 1990 to support </w:t>
      </w:r>
      <w:r w:rsidR="00766DDA">
        <w:t>land-use</w:t>
      </w:r>
      <w:r w:rsidRPr="00D9348B">
        <w:t xml:space="preserve"> classification decisions. However, since 2009, the NZ ETS has provided valuable spatial information that has been used to confirm 1990 forest </w:t>
      </w:r>
      <w:r w:rsidR="00766DDA">
        <w:t>land-use</w:t>
      </w:r>
      <w:r w:rsidRPr="00D9348B">
        <w:t xml:space="preserve"> classifications.</w:t>
      </w:r>
    </w:p>
    <w:p w14:paraId="77B21539" w14:textId="04ACCA24" w:rsidR="00A10636" w:rsidRPr="00D9348B" w:rsidRDefault="00A10636" w:rsidP="00A10636">
      <w:pPr>
        <w:pStyle w:val="BodyText"/>
      </w:pPr>
      <w:r w:rsidRPr="00D9348B">
        <w:t xml:space="preserve">Owners of post-1989 forest are able to lodge their forests with the NZ ETS to obtain credit for increases in carbon stock since 1 January 2008. Mapping received by the Ministry for Primary Industries for these applications is used to improve LUCAS </w:t>
      </w:r>
      <w:r w:rsidR="00766DDA">
        <w:t>land-use</w:t>
      </w:r>
      <w:r w:rsidRPr="00D9348B">
        <w:t xml:space="preserve"> maps.</w:t>
      </w:r>
    </w:p>
    <w:p w14:paraId="05E53488" w14:textId="77862A8C" w:rsidR="00A10636" w:rsidRPr="00D9348B" w:rsidRDefault="00A10636" w:rsidP="00A10636">
      <w:pPr>
        <w:pStyle w:val="BodyText"/>
      </w:pPr>
      <w:r w:rsidRPr="00D9348B">
        <w:t xml:space="preserve">Mapping from the NZ ETS has also provided a significant source of planting date information, which helps determine the correct classification of planted forest. The Forestry Allocation Plan, which forms part of the NZ ETS, compensates private owners of pre-1990 planted forest for the loss in land value arising from the introduction of penalties for deforesting pre-1990 forest land. Forest owners must apply for this compensation, providing detailed mapping and evidence of their forest planting date. These mapping data are used regularly to improve the classification accuracy of the LUCAS </w:t>
      </w:r>
      <w:r w:rsidR="00766DDA">
        <w:t>land-use</w:t>
      </w:r>
      <w:r w:rsidRPr="00D9348B">
        <w:t xml:space="preserve"> maps.</w:t>
      </w:r>
    </w:p>
    <w:p w14:paraId="451CEC98" w14:textId="77777777" w:rsidR="00A10636" w:rsidRPr="00D9348B" w:rsidRDefault="00A10636" w:rsidP="00A10636">
      <w:pPr>
        <w:pStyle w:val="BodyText"/>
      </w:pPr>
      <w:r w:rsidRPr="00D9348B">
        <w:t>To help the decision-making process, nationwide cloud-free 1996 SPOT and 2001 Landsat 7 satellite image mosaics are also used to determine the age of forests that have been planted within two to three years of 1990. Figure 6.2.4 shows how mapping operators use the spectral signature in later imagery and ancillary information, to determine the status of an area of planted forest established around 1990.</w:t>
      </w:r>
    </w:p>
    <w:p w14:paraId="01AD5CFD" w14:textId="77777777" w:rsidR="00A10636" w:rsidRPr="00D9348B" w:rsidRDefault="00A10636" w:rsidP="00A10636">
      <w:pPr>
        <w:pStyle w:val="BodyText"/>
      </w:pPr>
      <w:r w:rsidRPr="00D9348B">
        <w:t>Where possible, information obtained directly from forest owners and the national planted forest plot network is also used to improve the accuracy of the pre-1990 and post-1989 forest classification.</w:t>
      </w:r>
    </w:p>
    <w:p w14:paraId="72D4FA3F" w14:textId="77777777" w:rsidR="00A10636" w:rsidRPr="00D9348B" w:rsidRDefault="00A10636" w:rsidP="00A10636">
      <w:pPr>
        <w:pStyle w:val="Figure"/>
      </w:pPr>
      <w:bookmarkStart w:id="1376" w:name="_Toc33529475"/>
      <w:bookmarkStart w:id="1377" w:name="_Toc36292805"/>
      <w:r w:rsidRPr="00D9348B">
        <w:lastRenderedPageBreak/>
        <w:t>Figure 6.2.4</w:t>
      </w:r>
      <w:r w:rsidRPr="00D9348B">
        <w:tab/>
        <w:t>Identification of post-1989 forest in New Zealand</w:t>
      </w:r>
      <w:bookmarkEnd w:id="1376"/>
      <w:bookmarkEnd w:id="1377"/>
    </w:p>
    <w:p w14:paraId="6F9146C3" w14:textId="13076A75" w:rsidR="00A10636" w:rsidRPr="00D9348B" w:rsidRDefault="007165CF" w:rsidP="00A10636">
      <w:pPr>
        <w:keepNext/>
        <w:jc w:val="center"/>
      </w:pPr>
      <w:r>
        <w:pict w14:anchorId="5939A1F7">
          <v:shape id="_x0000_i1125" type="#_x0000_t75" alt="1990 - P89" style="width:166.55pt;height:151.5pt;visibility:visible;mso-wrap-style:square">
            <v:imagedata r:id="rId206" o:title="1990 - P89"/>
          </v:shape>
        </w:pict>
      </w:r>
      <w:r>
        <w:pict w14:anchorId="783C1F71">
          <v:shape id="_x0000_i1126" type="#_x0000_t75" alt="1996 - P89.jpg" style="width:167.15pt;height:151.5pt;visibility:visible;mso-wrap-style:square">
            <v:imagedata r:id="rId207" o:title="1996 - P89"/>
          </v:shape>
        </w:pict>
      </w:r>
    </w:p>
    <w:p w14:paraId="33548BC5" w14:textId="77777777" w:rsidR="00A10636" w:rsidRPr="00D9348B" w:rsidRDefault="00A10636" w:rsidP="00A10636">
      <w:pPr>
        <w:pStyle w:val="BodyText"/>
        <w:keepNext/>
        <w:tabs>
          <w:tab w:val="left" w:pos="2127"/>
          <w:tab w:val="left" w:pos="5245"/>
        </w:tabs>
        <w:spacing w:before="80" w:after="80"/>
        <w:rPr>
          <w:rFonts w:cs="Calibri"/>
          <w:sz w:val="18"/>
          <w:szCs w:val="18"/>
        </w:rPr>
      </w:pPr>
      <w:r w:rsidRPr="00D9348B">
        <w:rPr>
          <w:rFonts w:cs="Calibri"/>
          <w:sz w:val="18"/>
          <w:szCs w:val="18"/>
        </w:rPr>
        <w:tab/>
        <w:t>1990</w:t>
      </w:r>
      <w:r w:rsidRPr="00D9348B">
        <w:rPr>
          <w:rFonts w:cs="Calibri"/>
          <w:sz w:val="18"/>
          <w:szCs w:val="18"/>
        </w:rPr>
        <w:tab/>
        <w:t>1996</w:t>
      </w:r>
    </w:p>
    <w:p w14:paraId="4D82D1D1" w14:textId="2757AA38" w:rsidR="00A10636" w:rsidRPr="00D9348B" w:rsidRDefault="007165CF" w:rsidP="00A10636">
      <w:pPr>
        <w:keepNext/>
        <w:jc w:val="center"/>
      </w:pPr>
      <w:r>
        <w:pict w14:anchorId="3ADF65F8">
          <v:shape id="_x0000_i1127" type="#_x0000_t75" alt="2001 -P89.jpg" style="width:166.55pt;height:151.5pt;visibility:visible;mso-wrap-style:square">
            <v:imagedata r:id="rId208" o:title="2001 -P89"/>
          </v:shape>
        </w:pict>
      </w:r>
      <w:r>
        <w:pict w14:anchorId="3471F7BB">
          <v:shape id="_x0000_i1128" type="#_x0000_t75" alt="2008 - P89.jpg" style="width:166.55pt;height:151.5pt;visibility:visible;mso-wrap-style:square">
            <v:imagedata r:id="rId209" o:title="2008 - P89"/>
          </v:shape>
        </w:pict>
      </w:r>
    </w:p>
    <w:p w14:paraId="2EB8232E" w14:textId="77777777" w:rsidR="00A10636" w:rsidRPr="00D9348B" w:rsidRDefault="00A10636" w:rsidP="00A10636">
      <w:pPr>
        <w:tabs>
          <w:tab w:val="left" w:pos="2127"/>
          <w:tab w:val="left" w:pos="5245"/>
        </w:tabs>
        <w:spacing w:before="120" w:after="120"/>
        <w:rPr>
          <w:rFonts w:cs="Calibri"/>
          <w:sz w:val="18"/>
          <w:szCs w:val="18"/>
        </w:rPr>
      </w:pPr>
      <w:r w:rsidRPr="00D9348B">
        <w:rPr>
          <w:rFonts w:cs="Calibri"/>
          <w:sz w:val="18"/>
          <w:szCs w:val="18"/>
        </w:rPr>
        <w:tab/>
        <w:t>2000</w:t>
      </w:r>
      <w:r w:rsidRPr="00D9348B">
        <w:rPr>
          <w:rFonts w:cs="Calibri"/>
          <w:sz w:val="18"/>
          <w:szCs w:val="18"/>
        </w:rPr>
        <w:tab/>
        <w:t>2008</w:t>
      </w:r>
    </w:p>
    <w:tbl>
      <w:tblPr>
        <w:tblW w:w="0" w:type="auto"/>
        <w:jc w:val="center"/>
        <w:shd w:val="clear" w:color="auto" w:fill="D6E3BC"/>
        <w:tblLook w:val="04A0" w:firstRow="1" w:lastRow="0" w:firstColumn="1" w:lastColumn="0" w:noHBand="0" w:noVBand="1"/>
      </w:tblPr>
      <w:tblGrid>
        <w:gridCol w:w="1560"/>
        <w:gridCol w:w="5386"/>
      </w:tblGrid>
      <w:tr w:rsidR="00A10636" w:rsidRPr="00D9348B" w14:paraId="320AC899" w14:textId="77777777" w:rsidTr="00DB330E">
        <w:trPr>
          <w:jc w:val="center"/>
        </w:trPr>
        <w:tc>
          <w:tcPr>
            <w:tcW w:w="1560" w:type="dxa"/>
            <w:shd w:val="clear" w:color="auto" w:fill="D6E3BC"/>
          </w:tcPr>
          <w:p w14:paraId="692A76E5" w14:textId="77777777" w:rsidR="00A10636" w:rsidRPr="00D9348B" w:rsidRDefault="00A10636" w:rsidP="00DB330E">
            <w:pPr>
              <w:pStyle w:val="TableTextBold"/>
              <w:spacing w:before="120" w:after="40"/>
              <w:rPr>
                <w:noProof w:val="0"/>
                <w:sz w:val="17"/>
                <w:szCs w:val="17"/>
              </w:rPr>
            </w:pPr>
            <w:r w:rsidRPr="00D9348B">
              <w:rPr>
                <w:noProof w:val="0"/>
                <w:sz w:val="17"/>
                <w:szCs w:val="17"/>
              </w:rPr>
              <w:t>Images:</w:t>
            </w:r>
          </w:p>
        </w:tc>
        <w:tc>
          <w:tcPr>
            <w:tcW w:w="5386" w:type="dxa"/>
            <w:shd w:val="clear" w:color="auto" w:fill="D6E3BC"/>
          </w:tcPr>
          <w:p w14:paraId="1D203192" w14:textId="77777777" w:rsidR="00A10636" w:rsidRPr="00D9348B" w:rsidRDefault="00A10636" w:rsidP="00DB330E">
            <w:pPr>
              <w:pStyle w:val="TableText"/>
              <w:spacing w:before="120" w:after="40"/>
              <w:rPr>
                <w:sz w:val="17"/>
                <w:szCs w:val="17"/>
              </w:rPr>
            </w:pPr>
            <w:r w:rsidRPr="00D9348B">
              <w:rPr>
                <w:sz w:val="17"/>
                <w:szCs w:val="17"/>
              </w:rPr>
              <w:t xml:space="preserve">1990 Landsat 4 (top left) </w:t>
            </w:r>
          </w:p>
          <w:p w14:paraId="771A639C" w14:textId="77777777" w:rsidR="00A10636" w:rsidRPr="00D9348B" w:rsidRDefault="00A10636" w:rsidP="00DB330E">
            <w:pPr>
              <w:pStyle w:val="TableText"/>
              <w:spacing w:after="40"/>
              <w:rPr>
                <w:sz w:val="17"/>
                <w:szCs w:val="17"/>
              </w:rPr>
            </w:pPr>
            <w:r w:rsidRPr="00D9348B">
              <w:rPr>
                <w:sz w:val="17"/>
                <w:szCs w:val="17"/>
              </w:rPr>
              <w:t xml:space="preserve">1996 SPOT 2 (top right) </w:t>
            </w:r>
          </w:p>
          <w:p w14:paraId="4A6C5301" w14:textId="77777777" w:rsidR="00A10636" w:rsidRPr="00D9348B" w:rsidRDefault="00A10636" w:rsidP="00DB330E">
            <w:pPr>
              <w:pStyle w:val="TableText"/>
              <w:spacing w:after="40"/>
              <w:rPr>
                <w:sz w:val="17"/>
                <w:szCs w:val="17"/>
              </w:rPr>
            </w:pPr>
            <w:r w:rsidRPr="00D9348B">
              <w:rPr>
                <w:sz w:val="17"/>
                <w:szCs w:val="17"/>
              </w:rPr>
              <w:t xml:space="preserve">2000 Landsat 7 ETM+ (bottom left) </w:t>
            </w:r>
          </w:p>
          <w:p w14:paraId="38B9269B" w14:textId="77777777" w:rsidR="00A10636" w:rsidRPr="00D9348B" w:rsidRDefault="00A10636" w:rsidP="00DB330E">
            <w:pPr>
              <w:pStyle w:val="TableText"/>
              <w:spacing w:after="40"/>
              <w:rPr>
                <w:sz w:val="17"/>
                <w:szCs w:val="17"/>
              </w:rPr>
            </w:pPr>
            <w:r w:rsidRPr="00D9348B">
              <w:rPr>
                <w:sz w:val="17"/>
                <w:szCs w:val="17"/>
              </w:rPr>
              <w:t>2008 SPOT 5 (bottom right)</w:t>
            </w:r>
          </w:p>
        </w:tc>
      </w:tr>
      <w:tr w:rsidR="00A10636" w:rsidRPr="00D9348B" w14:paraId="19BC8134" w14:textId="77777777" w:rsidTr="00DB330E">
        <w:trPr>
          <w:jc w:val="center"/>
        </w:trPr>
        <w:tc>
          <w:tcPr>
            <w:tcW w:w="1560" w:type="dxa"/>
            <w:shd w:val="clear" w:color="auto" w:fill="D6E3BC"/>
          </w:tcPr>
          <w:p w14:paraId="62BE6993" w14:textId="77777777" w:rsidR="00A10636" w:rsidRPr="00D9348B" w:rsidRDefault="00A10636" w:rsidP="00DB330E">
            <w:pPr>
              <w:pStyle w:val="TableTextBold"/>
              <w:spacing w:before="120"/>
              <w:rPr>
                <w:noProof w:val="0"/>
                <w:sz w:val="17"/>
                <w:szCs w:val="17"/>
              </w:rPr>
            </w:pPr>
            <w:r w:rsidRPr="00D9348B">
              <w:rPr>
                <w:noProof w:val="0"/>
                <w:sz w:val="17"/>
                <w:szCs w:val="17"/>
              </w:rPr>
              <w:t>Location:</w:t>
            </w:r>
          </w:p>
        </w:tc>
        <w:tc>
          <w:tcPr>
            <w:tcW w:w="5386" w:type="dxa"/>
            <w:shd w:val="clear" w:color="auto" w:fill="D6E3BC"/>
          </w:tcPr>
          <w:p w14:paraId="3DE51DFE" w14:textId="77777777" w:rsidR="00A10636" w:rsidRPr="00D9348B" w:rsidRDefault="00A10636" w:rsidP="00DB330E">
            <w:pPr>
              <w:pStyle w:val="TableText"/>
              <w:spacing w:before="120"/>
              <w:rPr>
                <w:sz w:val="17"/>
                <w:szCs w:val="17"/>
              </w:rPr>
            </w:pPr>
            <w:r w:rsidRPr="00D9348B">
              <w:rPr>
                <w:sz w:val="17"/>
                <w:szCs w:val="17"/>
              </w:rPr>
              <w:t>2,017,800, 5,730,677 (NZTM)</w:t>
            </w:r>
          </w:p>
        </w:tc>
      </w:tr>
      <w:tr w:rsidR="00A10636" w:rsidRPr="00D9348B" w14:paraId="39BC095D" w14:textId="77777777" w:rsidTr="00DB330E">
        <w:trPr>
          <w:jc w:val="center"/>
        </w:trPr>
        <w:tc>
          <w:tcPr>
            <w:tcW w:w="1560" w:type="dxa"/>
            <w:shd w:val="clear" w:color="auto" w:fill="D6E3BC"/>
          </w:tcPr>
          <w:p w14:paraId="6FB558E4" w14:textId="77777777" w:rsidR="00A10636" w:rsidRPr="00D9348B" w:rsidRDefault="00A10636" w:rsidP="00DB330E">
            <w:pPr>
              <w:pStyle w:val="TableTextBold"/>
              <w:spacing w:before="120"/>
              <w:rPr>
                <w:noProof w:val="0"/>
                <w:sz w:val="17"/>
                <w:szCs w:val="17"/>
              </w:rPr>
            </w:pPr>
            <w:r w:rsidRPr="00D9348B">
              <w:rPr>
                <w:noProof w:val="0"/>
                <w:sz w:val="17"/>
                <w:szCs w:val="17"/>
              </w:rPr>
              <w:t>1990 land use:</w:t>
            </w:r>
          </w:p>
        </w:tc>
        <w:tc>
          <w:tcPr>
            <w:tcW w:w="5386" w:type="dxa"/>
            <w:shd w:val="clear" w:color="auto" w:fill="D6E3BC"/>
          </w:tcPr>
          <w:p w14:paraId="1B201B17" w14:textId="77777777" w:rsidR="00A10636" w:rsidRPr="00D9348B" w:rsidRDefault="00A10636" w:rsidP="00DB330E">
            <w:pPr>
              <w:pStyle w:val="TableText"/>
              <w:spacing w:before="120"/>
              <w:rPr>
                <w:sz w:val="17"/>
                <w:szCs w:val="17"/>
              </w:rPr>
            </w:pPr>
            <w:r w:rsidRPr="00D9348B">
              <w:rPr>
                <w:sz w:val="17"/>
                <w:szCs w:val="17"/>
              </w:rPr>
              <w:t>Low producing grassland</w:t>
            </w:r>
          </w:p>
        </w:tc>
      </w:tr>
      <w:tr w:rsidR="00A10636" w:rsidRPr="00D9348B" w14:paraId="1D5C4365" w14:textId="77777777" w:rsidTr="00DB330E">
        <w:trPr>
          <w:jc w:val="center"/>
        </w:trPr>
        <w:tc>
          <w:tcPr>
            <w:tcW w:w="1560" w:type="dxa"/>
            <w:shd w:val="clear" w:color="auto" w:fill="D6E3BC"/>
          </w:tcPr>
          <w:p w14:paraId="7DBFFD9D" w14:textId="77777777" w:rsidR="00A10636" w:rsidRPr="00D9348B" w:rsidRDefault="00A10636" w:rsidP="00DB330E">
            <w:pPr>
              <w:pStyle w:val="TableTextBold"/>
              <w:spacing w:before="120"/>
              <w:rPr>
                <w:noProof w:val="0"/>
                <w:sz w:val="17"/>
                <w:szCs w:val="17"/>
              </w:rPr>
            </w:pPr>
            <w:r w:rsidRPr="00D9348B">
              <w:rPr>
                <w:noProof w:val="0"/>
                <w:sz w:val="17"/>
                <w:szCs w:val="17"/>
              </w:rPr>
              <w:t>2008 land use:</w:t>
            </w:r>
          </w:p>
        </w:tc>
        <w:tc>
          <w:tcPr>
            <w:tcW w:w="5386" w:type="dxa"/>
            <w:shd w:val="clear" w:color="auto" w:fill="D6E3BC"/>
          </w:tcPr>
          <w:p w14:paraId="49715F27" w14:textId="77777777" w:rsidR="00A10636" w:rsidRPr="00D9348B" w:rsidRDefault="00A10636" w:rsidP="00DB330E">
            <w:pPr>
              <w:pStyle w:val="TableText"/>
              <w:spacing w:before="120"/>
              <w:rPr>
                <w:sz w:val="17"/>
                <w:szCs w:val="17"/>
              </w:rPr>
            </w:pPr>
            <w:r w:rsidRPr="00D9348B">
              <w:rPr>
                <w:sz w:val="17"/>
                <w:szCs w:val="17"/>
              </w:rPr>
              <w:t>Post-1989 forest</w:t>
            </w:r>
          </w:p>
        </w:tc>
      </w:tr>
      <w:tr w:rsidR="00A10636" w:rsidRPr="00D9348B" w14:paraId="3445FBA5" w14:textId="77777777" w:rsidTr="00DB330E">
        <w:trPr>
          <w:jc w:val="center"/>
        </w:trPr>
        <w:tc>
          <w:tcPr>
            <w:tcW w:w="1560" w:type="dxa"/>
            <w:shd w:val="clear" w:color="auto" w:fill="D6E3BC"/>
          </w:tcPr>
          <w:p w14:paraId="77924691" w14:textId="77777777" w:rsidR="00A10636" w:rsidRPr="00D9348B" w:rsidRDefault="00A10636" w:rsidP="00DB330E">
            <w:pPr>
              <w:pStyle w:val="TableTextBold"/>
              <w:spacing w:before="120"/>
              <w:rPr>
                <w:noProof w:val="0"/>
                <w:sz w:val="17"/>
                <w:szCs w:val="17"/>
              </w:rPr>
            </w:pPr>
            <w:r w:rsidRPr="00D9348B">
              <w:rPr>
                <w:noProof w:val="0"/>
                <w:sz w:val="17"/>
                <w:szCs w:val="17"/>
              </w:rPr>
              <w:t>Explanation:</w:t>
            </w:r>
          </w:p>
        </w:tc>
        <w:tc>
          <w:tcPr>
            <w:tcW w:w="5386" w:type="dxa"/>
            <w:shd w:val="clear" w:color="auto" w:fill="D6E3BC"/>
            <w:tcMar>
              <w:left w:w="142" w:type="dxa"/>
              <w:right w:w="142" w:type="dxa"/>
            </w:tcMar>
          </w:tcPr>
          <w:p w14:paraId="41AA1074" w14:textId="77777777" w:rsidR="00A10636" w:rsidRPr="00D9348B" w:rsidRDefault="00A10636" w:rsidP="00DB330E">
            <w:pPr>
              <w:pStyle w:val="TableText"/>
              <w:spacing w:before="120" w:after="120"/>
              <w:rPr>
                <w:sz w:val="17"/>
                <w:szCs w:val="17"/>
              </w:rPr>
            </w:pPr>
            <w:r w:rsidRPr="00D9348B">
              <w:rPr>
                <w:sz w:val="17"/>
                <w:szCs w:val="17"/>
              </w:rPr>
              <w:t>In the Landsat 1990 imagery acquired on 2 December 1990, there is little evidence of the forest within the blue box that is clearly apparent in later imagery. The strength of the spectral response in the SPOT 1996 imagery suggests that the forest must have been planted near to 1990. Final confirmation of the planting date is provided via the NZ ETS application (delineated in green in the 2008 imagery), which states that the forest was planted in 1990 and, therefore, is classed as a post-1989 forest.</w:t>
            </w:r>
          </w:p>
        </w:tc>
      </w:tr>
    </w:tbl>
    <w:p w14:paraId="7BD3CA0C" w14:textId="3931E237" w:rsidR="00A10636" w:rsidRPr="00D9348B" w:rsidRDefault="00A10636" w:rsidP="005E6AE2">
      <w:pPr>
        <w:pStyle w:val="Heading4"/>
        <w:spacing w:before="360"/>
      </w:pPr>
      <w:r w:rsidRPr="00D9348B">
        <w:t xml:space="preserve">Adding </w:t>
      </w:r>
      <w:r w:rsidR="00766DDA">
        <w:t>land-use</w:t>
      </w:r>
      <w:r w:rsidRPr="00D9348B">
        <w:t xml:space="preserve"> maps to the time series: 2012 and 2016 </w:t>
      </w:r>
      <w:r w:rsidR="00766DDA">
        <w:t>land-use</w:t>
      </w:r>
      <w:r w:rsidRPr="00D9348B">
        <w:t xml:space="preserve"> maps</w:t>
      </w:r>
    </w:p>
    <w:p w14:paraId="06FB17CA" w14:textId="481E1D99" w:rsidR="00A10636" w:rsidRPr="00D9348B" w:rsidRDefault="00A10636" w:rsidP="005E6AE2">
      <w:pPr>
        <w:pStyle w:val="BodyText"/>
      </w:pPr>
      <w:r w:rsidRPr="00D9348B">
        <w:t xml:space="preserve">The 2012 and 2016 </w:t>
      </w:r>
      <w:r w:rsidR="00766DDA">
        <w:t>land-use</w:t>
      </w:r>
      <w:r w:rsidRPr="00D9348B">
        <w:t xml:space="preserve"> maps were created by detecting change between satellite imagery acquired for each mapping year (2008, 2012 and 2016) (Newsome et al., 2013; 2018). The 2012 map was created by using the 2008 map as a starting point and mapping in all the change detected between 2008 and 2012. Similarly, the 2012 map was used as a starting point for the 2016 map, with all areas of change detected between 2012 and 2016 mapped in to the </w:t>
      </w:r>
      <w:r w:rsidRPr="00D9348B">
        <w:lastRenderedPageBreak/>
        <w:t>2012 map to create a snapshot of land use as at 2016. Figure 6.2.5 illustrates this mapping process.</w:t>
      </w:r>
    </w:p>
    <w:p w14:paraId="69CC435F" w14:textId="503646E2" w:rsidR="00A10636" w:rsidRPr="00D9348B" w:rsidRDefault="00A10636" w:rsidP="00A10636">
      <w:pPr>
        <w:pStyle w:val="Figure"/>
      </w:pPr>
      <w:bookmarkStart w:id="1378" w:name="_Toc33529476"/>
      <w:bookmarkStart w:id="1379" w:name="_Toc36292806"/>
      <w:r w:rsidRPr="00D9348B">
        <w:t>Figure 6.2.5</w:t>
      </w:r>
      <w:r w:rsidRPr="00D9348B">
        <w:tab/>
        <w:t xml:space="preserve">New Zealand’s </w:t>
      </w:r>
      <w:r w:rsidR="00766DDA">
        <w:t>land-use</w:t>
      </w:r>
      <w:r w:rsidRPr="00D9348B">
        <w:t xml:space="preserve"> mapping process for 2012 and 2016 </w:t>
      </w:r>
      <w:r w:rsidR="00766DDA">
        <w:t>land-use</w:t>
      </w:r>
      <w:r w:rsidRPr="00D9348B">
        <w:t xml:space="preserve"> maps</w:t>
      </w:r>
      <w:bookmarkEnd w:id="1378"/>
      <w:bookmarkEnd w:id="1379"/>
    </w:p>
    <w:p w14:paraId="5C418D0B" w14:textId="4C981023" w:rsidR="00A10636" w:rsidRPr="00D9348B" w:rsidRDefault="007165CF" w:rsidP="00A10636">
      <w:pPr>
        <w:pStyle w:val="BodyText"/>
      </w:pPr>
      <w:r>
        <w:pict w14:anchorId="28B1EB2E">
          <v:shape id="_x0000_i1129" type="#_x0000_t75" alt="2012_2016_mapping_process" style="width:418.25pt;height:261.7pt;visibility:visible;mso-wrap-style:square">
            <v:imagedata r:id="rId210" o:title="2012_2016_mapping_process"/>
          </v:shape>
        </w:pict>
      </w:r>
    </w:p>
    <w:p w14:paraId="59CCD0A9" w14:textId="77777777" w:rsidR="00A10636" w:rsidRPr="00D9348B" w:rsidRDefault="00A10636" w:rsidP="00265955">
      <w:pPr>
        <w:pStyle w:val="BodyText"/>
        <w:spacing w:before="240" w:after="100"/>
      </w:pPr>
      <w:r w:rsidRPr="00D9348B">
        <w:t>A multi-date image segmentation process was used to identify areas of potential change. This process is described in Shepherd et al. (2013). These areas of potential change were confirmed using two separate approaches: one for areas mapped as non-forest at the start of the period and one for areas mapped as forest at the start of the period.</w:t>
      </w:r>
    </w:p>
    <w:p w14:paraId="216DD24A" w14:textId="77777777" w:rsidR="00A10636" w:rsidRPr="00D9348B" w:rsidRDefault="00A10636" w:rsidP="005E6AE2">
      <w:pPr>
        <w:pStyle w:val="Heading5"/>
        <w:spacing w:before="160"/>
      </w:pPr>
      <w:r w:rsidRPr="00D9348B">
        <w:t>Mapping approach: non-forest areas</w:t>
      </w:r>
    </w:p>
    <w:p w14:paraId="0D293422" w14:textId="3A9949E9" w:rsidR="00A10636" w:rsidRPr="00D9348B" w:rsidRDefault="00A10636" w:rsidP="00A10636">
      <w:pPr>
        <w:pStyle w:val="BodyText"/>
        <w:spacing w:before="100" w:after="100"/>
      </w:pPr>
      <w:r w:rsidRPr="00D9348B">
        <w:t xml:space="preserve">Potential changes in areas mapped as non-forest were manually checked in the satellite imagery to determine whether a land-use change had occurred since the previous </w:t>
      </w:r>
      <w:r w:rsidR="00766DDA">
        <w:t>land-use</w:t>
      </w:r>
      <w:r w:rsidRPr="00D9348B">
        <w:t xml:space="preserve"> map. Operators used the 2008 and 2012 SPOT imagery and 2016 Sentinel-2 imagery, along with other imagery data sets as listed in table 6.2.4, to establish whether land-use change had occurred. Once change was confirmed, the area of change was delineated in the </w:t>
      </w:r>
      <w:r w:rsidR="00766DDA">
        <w:t>land-use</w:t>
      </w:r>
      <w:r w:rsidRPr="00D9348B">
        <w:t xml:space="preserve"> map.</w:t>
      </w:r>
    </w:p>
    <w:p w14:paraId="00C1A844" w14:textId="7101A4C1" w:rsidR="00A10636" w:rsidRPr="00D9348B" w:rsidRDefault="00A10636" w:rsidP="00A10636">
      <w:pPr>
        <w:pStyle w:val="Table"/>
      </w:pPr>
      <w:bookmarkStart w:id="1380" w:name="_Toc378853283"/>
      <w:bookmarkStart w:id="1381" w:name="_Toc391024081"/>
      <w:bookmarkStart w:id="1382" w:name="_Toc410028824"/>
      <w:bookmarkStart w:id="1383" w:name="_Toc414531452"/>
      <w:bookmarkStart w:id="1384" w:name="_Toc443645365"/>
      <w:bookmarkStart w:id="1385" w:name="_Toc474914584"/>
      <w:bookmarkStart w:id="1386" w:name="_Toc481751548"/>
      <w:bookmarkStart w:id="1387" w:name="_Toc522010605"/>
      <w:bookmarkStart w:id="1388" w:name="_Toc5269510"/>
      <w:bookmarkStart w:id="1389" w:name="_Toc33529386"/>
      <w:bookmarkStart w:id="1390" w:name="_Toc36224592"/>
      <w:r w:rsidRPr="00D9348B">
        <w:t>Table 6.2.4</w:t>
      </w:r>
      <w:r w:rsidRPr="00D9348B">
        <w:tab/>
        <w:t xml:space="preserve">Ancillary mosaicked imagery data sets used in </w:t>
      </w:r>
      <w:r w:rsidR="00766DDA">
        <w:t>land-use</w:t>
      </w:r>
      <w:r w:rsidRPr="00D9348B">
        <w:t xml:space="preserve"> mapping</w:t>
      </w:r>
      <w:bookmarkEnd w:id="1380"/>
      <w:bookmarkEnd w:id="1381"/>
      <w:bookmarkEnd w:id="1382"/>
      <w:bookmarkEnd w:id="1383"/>
      <w:bookmarkEnd w:id="1384"/>
      <w:bookmarkEnd w:id="1385"/>
      <w:bookmarkEnd w:id="1386"/>
      <w:bookmarkEnd w:id="1387"/>
      <w:bookmarkEnd w:id="1388"/>
      <w:bookmarkEnd w:id="1389"/>
      <w:bookmarkEnd w:id="1390"/>
    </w:p>
    <w:tbl>
      <w:tblPr>
        <w:tblW w:w="8562" w:type="dxa"/>
        <w:tblInd w:w="108" w:type="dxa"/>
        <w:tblLook w:val="04A0" w:firstRow="1" w:lastRow="0" w:firstColumn="1" w:lastColumn="0" w:noHBand="0" w:noVBand="1"/>
      </w:tblPr>
      <w:tblGrid>
        <w:gridCol w:w="1604"/>
        <w:gridCol w:w="1231"/>
        <w:gridCol w:w="3261"/>
        <w:gridCol w:w="2466"/>
      </w:tblGrid>
      <w:tr w:rsidR="00A10636" w:rsidRPr="00D9348B" w14:paraId="32C4F4DF" w14:textId="77777777" w:rsidTr="007C102A">
        <w:trPr>
          <w:tblHeader/>
        </w:trPr>
        <w:tc>
          <w:tcPr>
            <w:tcW w:w="1604" w:type="dxa"/>
            <w:tcBorders>
              <w:top w:val="single" w:sz="4" w:space="0" w:color="365F91"/>
              <w:bottom w:val="single" w:sz="4" w:space="0" w:color="365F91"/>
            </w:tcBorders>
            <w:shd w:val="clear" w:color="auto" w:fill="365F91"/>
          </w:tcPr>
          <w:p w14:paraId="2060D6C0" w14:textId="77777777" w:rsidR="00A10636" w:rsidRPr="00D9348B" w:rsidRDefault="00A10636" w:rsidP="008104F5">
            <w:pPr>
              <w:pStyle w:val="TableTextBold"/>
              <w:keepNext/>
              <w:spacing w:before="40" w:after="40"/>
              <w:rPr>
                <w:noProof w:val="0"/>
                <w:color w:val="FFFFFF"/>
              </w:rPr>
            </w:pPr>
            <w:r w:rsidRPr="00D9348B">
              <w:rPr>
                <w:noProof w:val="0"/>
                <w:color w:val="FFFFFF"/>
              </w:rPr>
              <w:t>Satellite imagery</w:t>
            </w:r>
          </w:p>
        </w:tc>
        <w:tc>
          <w:tcPr>
            <w:tcW w:w="1231" w:type="dxa"/>
            <w:tcBorders>
              <w:top w:val="single" w:sz="4" w:space="0" w:color="365F91"/>
              <w:bottom w:val="single" w:sz="4" w:space="0" w:color="365F91"/>
            </w:tcBorders>
            <w:shd w:val="clear" w:color="auto" w:fill="365F91"/>
          </w:tcPr>
          <w:p w14:paraId="3E1B575F" w14:textId="77777777" w:rsidR="00A10636" w:rsidRPr="00D9348B" w:rsidRDefault="00A10636" w:rsidP="008104F5">
            <w:pPr>
              <w:pStyle w:val="TableTextBold"/>
              <w:keepNext/>
              <w:spacing w:before="40" w:after="40"/>
              <w:jc w:val="center"/>
              <w:rPr>
                <w:noProof w:val="0"/>
                <w:color w:val="FFFFFF"/>
              </w:rPr>
            </w:pPr>
            <w:r w:rsidRPr="00D9348B">
              <w:rPr>
                <w:noProof w:val="0"/>
                <w:color w:val="FFFFFF"/>
              </w:rPr>
              <w:t>Resolution (m)</w:t>
            </w:r>
          </w:p>
        </w:tc>
        <w:tc>
          <w:tcPr>
            <w:tcW w:w="3261" w:type="dxa"/>
            <w:tcBorders>
              <w:top w:val="single" w:sz="4" w:space="0" w:color="365F91"/>
              <w:bottom w:val="single" w:sz="4" w:space="0" w:color="365F91"/>
            </w:tcBorders>
            <w:shd w:val="clear" w:color="auto" w:fill="365F91"/>
          </w:tcPr>
          <w:p w14:paraId="39F3B1C3" w14:textId="77777777" w:rsidR="00A10636" w:rsidRPr="00D9348B" w:rsidRDefault="00A10636" w:rsidP="008104F5">
            <w:pPr>
              <w:pStyle w:val="TableTextBold"/>
              <w:keepNext/>
              <w:spacing w:before="40" w:after="40"/>
              <w:rPr>
                <w:noProof w:val="0"/>
                <w:color w:val="FFFFFF"/>
              </w:rPr>
            </w:pPr>
            <w:r w:rsidRPr="00D9348B">
              <w:rPr>
                <w:noProof w:val="0"/>
                <w:color w:val="FFFFFF"/>
              </w:rPr>
              <w:t>Coverage</w:t>
            </w:r>
          </w:p>
        </w:tc>
        <w:tc>
          <w:tcPr>
            <w:tcW w:w="2466" w:type="dxa"/>
            <w:tcBorders>
              <w:top w:val="single" w:sz="4" w:space="0" w:color="365F91"/>
              <w:bottom w:val="single" w:sz="4" w:space="0" w:color="365F91"/>
            </w:tcBorders>
            <w:shd w:val="clear" w:color="auto" w:fill="365F91"/>
          </w:tcPr>
          <w:p w14:paraId="54F76AB1" w14:textId="77777777" w:rsidR="00A10636" w:rsidRPr="00D9348B" w:rsidRDefault="00A10636" w:rsidP="008104F5">
            <w:pPr>
              <w:pStyle w:val="TableTextBold"/>
              <w:keepNext/>
              <w:spacing w:before="40" w:after="40"/>
              <w:rPr>
                <w:noProof w:val="0"/>
                <w:color w:val="FFFFFF"/>
              </w:rPr>
            </w:pPr>
            <w:r w:rsidRPr="00D9348B">
              <w:rPr>
                <w:noProof w:val="0"/>
                <w:color w:val="FFFFFF"/>
              </w:rPr>
              <w:t>Acquisition period</w:t>
            </w:r>
          </w:p>
        </w:tc>
      </w:tr>
      <w:tr w:rsidR="00A10636" w:rsidRPr="00D9348B" w14:paraId="5777FEE5" w14:textId="77777777" w:rsidTr="007C102A">
        <w:tc>
          <w:tcPr>
            <w:tcW w:w="1604" w:type="dxa"/>
            <w:tcBorders>
              <w:top w:val="single" w:sz="4" w:space="0" w:color="365F91"/>
              <w:bottom w:val="single" w:sz="4" w:space="0" w:color="365F91"/>
            </w:tcBorders>
          </w:tcPr>
          <w:p w14:paraId="48F2F06B" w14:textId="77777777" w:rsidR="00A10636" w:rsidRPr="00D9348B" w:rsidRDefault="00A10636" w:rsidP="005E6AE2">
            <w:pPr>
              <w:pStyle w:val="TableText"/>
            </w:pPr>
            <w:r w:rsidRPr="00D9348B">
              <w:t>Landsat 7</w:t>
            </w:r>
          </w:p>
        </w:tc>
        <w:tc>
          <w:tcPr>
            <w:tcW w:w="1231" w:type="dxa"/>
            <w:tcBorders>
              <w:top w:val="single" w:sz="4" w:space="0" w:color="365F91"/>
              <w:bottom w:val="single" w:sz="4" w:space="0" w:color="365F91"/>
            </w:tcBorders>
          </w:tcPr>
          <w:p w14:paraId="2AFE17CF" w14:textId="77777777" w:rsidR="00A10636" w:rsidRPr="00D9348B" w:rsidRDefault="00A10636" w:rsidP="008104F5">
            <w:pPr>
              <w:pStyle w:val="TableText"/>
              <w:keepNext/>
              <w:spacing w:before="40"/>
              <w:jc w:val="center"/>
            </w:pPr>
            <w:r w:rsidRPr="00D9348B">
              <w:t>30</w:t>
            </w:r>
          </w:p>
        </w:tc>
        <w:tc>
          <w:tcPr>
            <w:tcW w:w="3261" w:type="dxa"/>
            <w:tcBorders>
              <w:top w:val="single" w:sz="4" w:space="0" w:color="365F91"/>
              <w:bottom w:val="single" w:sz="4" w:space="0" w:color="365F91"/>
            </w:tcBorders>
          </w:tcPr>
          <w:p w14:paraId="70E418FE" w14:textId="77777777" w:rsidR="00A10636" w:rsidRPr="00D9348B" w:rsidRDefault="00A10636" w:rsidP="008104F5">
            <w:pPr>
              <w:pStyle w:val="TableText"/>
              <w:keepNext/>
              <w:spacing w:before="40"/>
            </w:pPr>
            <w:r w:rsidRPr="00D9348B">
              <w:t>North Island, South Island and Stewart Island</w:t>
            </w:r>
          </w:p>
        </w:tc>
        <w:tc>
          <w:tcPr>
            <w:tcW w:w="2466" w:type="dxa"/>
            <w:tcBorders>
              <w:top w:val="single" w:sz="4" w:space="0" w:color="365F91"/>
              <w:bottom w:val="single" w:sz="4" w:space="0" w:color="365F91"/>
            </w:tcBorders>
          </w:tcPr>
          <w:p w14:paraId="799FBC56" w14:textId="77777777" w:rsidR="00A10636" w:rsidRPr="00D9348B" w:rsidRDefault="00A10636" w:rsidP="008104F5">
            <w:pPr>
              <w:pStyle w:val="TableText"/>
              <w:keepNext/>
              <w:spacing w:before="40"/>
            </w:pPr>
            <w:r w:rsidRPr="00D9348B">
              <w:t xml:space="preserve">September 1999 – February 2003 </w:t>
            </w:r>
          </w:p>
          <w:p w14:paraId="00091706" w14:textId="77777777" w:rsidR="00A10636" w:rsidRPr="00D9348B" w:rsidRDefault="00A10636" w:rsidP="008104F5">
            <w:pPr>
              <w:pStyle w:val="TableText"/>
              <w:keepNext/>
              <w:spacing w:before="0" w:after="0"/>
            </w:pPr>
            <w:r w:rsidRPr="00D9348B">
              <w:t>October 2011 – February 2012</w:t>
            </w:r>
          </w:p>
          <w:p w14:paraId="77C4E451" w14:textId="77777777" w:rsidR="00A10636" w:rsidRPr="00D9348B" w:rsidRDefault="00A10636" w:rsidP="008104F5">
            <w:pPr>
              <w:pStyle w:val="TableText"/>
              <w:keepNext/>
              <w:spacing w:before="40"/>
            </w:pPr>
            <w:r w:rsidRPr="00D9348B">
              <w:t>October 2012 – March 2013</w:t>
            </w:r>
          </w:p>
        </w:tc>
      </w:tr>
      <w:tr w:rsidR="00A10636" w:rsidRPr="00D9348B" w14:paraId="4EBEECBC" w14:textId="77777777" w:rsidTr="007C102A">
        <w:tc>
          <w:tcPr>
            <w:tcW w:w="1604" w:type="dxa"/>
            <w:tcBorders>
              <w:top w:val="single" w:sz="4" w:space="0" w:color="365F91"/>
              <w:bottom w:val="single" w:sz="4" w:space="0" w:color="365F91"/>
            </w:tcBorders>
          </w:tcPr>
          <w:p w14:paraId="317A8E67" w14:textId="77777777" w:rsidR="00A10636" w:rsidRPr="00D9348B" w:rsidRDefault="00A10636" w:rsidP="005E6AE2">
            <w:pPr>
              <w:pStyle w:val="TableText"/>
            </w:pPr>
            <w:r w:rsidRPr="00D9348B">
              <w:t>SPOT maps products</w:t>
            </w:r>
          </w:p>
        </w:tc>
        <w:tc>
          <w:tcPr>
            <w:tcW w:w="1231" w:type="dxa"/>
            <w:tcBorders>
              <w:top w:val="single" w:sz="4" w:space="0" w:color="365F91"/>
              <w:bottom w:val="single" w:sz="4" w:space="0" w:color="365F91"/>
            </w:tcBorders>
          </w:tcPr>
          <w:p w14:paraId="45B5DEE2" w14:textId="77777777" w:rsidR="00A10636" w:rsidRPr="00D9348B" w:rsidRDefault="00A10636" w:rsidP="008104F5">
            <w:pPr>
              <w:pStyle w:val="TableText"/>
              <w:keepNext/>
              <w:spacing w:before="40" w:after="40"/>
              <w:jc w:val="center"/>
            </w:pPr>
            <w:r w:rsidRPr="00D9348B">
              <w:t>2.5 and 1.5</w:t>
            </w:r>
          </w:p>
        </w:tc>
        <w:tc>
          <w:tcPr>
            <w:tcW w:w="3261" w:type="dxa"/>
            <w:tcBorders>
              <w:top w:val="single" w:sz="4" w:space="0" w:color="365F91"/>
              <w:bottom w:val="single" w:sz="4" w:space="0" w:color="365F91"/>
            </w:tcBorders>
          </w:tcPr>
          <w:p w14:paraId="6D34594B" w14:textId="77777777" w:rsidR="00A10636" w:rsidRPr="00D9348B" w:rsidRDefault="00A10636" w:rsidP="008104F5">
            <w:pPr>
              <w:pStyle w:val="TableText"/>
              <w:keepNext/>
              <w:spacing w:before="40" w:after="40"/>
            </w:pPr>
            <w:r w:rsidRPr="00D9348B">
              <w:t>North Island, South Island and Stewart Island</w:t>
            </w:r>
          </w:p>
        </w:tc>
        <w:tc>
          <w:tcPr>
            <w:tcW w:w="2466" w:type="dxa"/>
            <w:tcBorders>
              <w:top w:val="single" w:sz="4" w:space="0" w:color="365F91"/>
              <w:bottom w:val="single" w:sz="4" w:space="0" w:color="365F91"/>
            </w:tcBorders>
          </w:tcPr>
          <w:p w14:paraId="0C52803F" w14:textId="77777777" w:rsidR="00A10636" w:rsidRPr="00D9348B" w:rsidRDefault="00A10636" w:rsidP="008104F5">
            <w:pPr>
              <w:pStyle w:val="TableText"/>
              <w:keepNext/>
              <w:spacing w:before="40" w:after="40"/>
            </w:pPr>
            <w:r w:rsidRPr="00D9348B">
              <w:t>January 2008 – June 2009</w:t>
            </w:r>
          </w:p>
          <w:p w14:paraId="540E96E0" w14:textId="77777777" w:rsidR="00A10636" w:rsidRPr="00D9348B" w:rsidRDefault="00A10636" w:rsidP="008104F5">
            <w:pPr>
              <w:pStyle w:val="TableText"/>
              <w:keepNext/>
              <w:spacing w:before="0" w:after="40"/>
            </w:pPr>
            <w:r w:rsidRPr="00D9348B">
              <w:t>October 2012 – April 2014</w:t>
            </w:r>
          </w:p>
        </w:tc>
      </w:tr>
      <w:tr w:rsidR="00A10636" w:rsidRPr="00D9348B" w14:paraId="3C896979" w14:textId="77777777" w:rsidTr="007C102A">
        <w:tc>
          <w:tcPr>
            <w:tcW w:w="1604" w:type="dxa"/>
            <w:tcBorders>
              <w:top w:val="single" w:sz="4" w:space="0" w:color="365F91"/>
              <w:bottom w:val="single" w:sz="4" w:space="0" w:color="365F91"/>
            </w:tcBorders>
          </w:tcPr>
          <w:p w14:paraId="0D8CCE94" w14:textId="77777777" w:rsidR="00A10636" w:rsidRPr="00D9348B" w:rsidRDefault="00A10636" w:rsidP="00DB330E">
            <w:pPr>
              <w:pStyle w:val="TableText"/>
              <w:spacing w:before="40" w:after="40"/>
            </w:pPr>
            <w:r w:rsidRPr="00D9348B">
              <w:t xml:space="preserve">Disaster Monitoring Constellation </w:t>
            </w:r>
          </w:p>
        </w:tc>
        <w:tc>
          <w:tcPr>
            <w:tcW w:w="1231" w:type="dxa"/>
            <w:tcBorders>
              <w:top w:val="single" w:sz="4" w:space="0" w:color="365F91"/>
              <w:bottom w:val="single" w:sz="4" w:space="0" w:color="365F91"/>
            </w:tcBorders>
          </w:tcPr>
          <w:p w14:paraId="6DDDB4EB" w14:textId="77777777" w:rsidR="00A10636" w:rsidRPr="00D9348B" w:rsidRDefault="00A10636" w:rsidP="00DB330E">
            <w:pPr>
              <w:pStyle w:val="TableText"/>
              <w:spacing w:before="40" w:after="40"/>
              <w:jc w:val="center"/>
            </w:pPr>
            <w:r w:rsidRPr="00D9348B">
              <w:t>22</w:t>
            </w:r>
          </w:p>
        </w:tc>
        <w:tc>
          <w:tcPr>
            <w:tcW w:w="3261" w:type="dxa"/>
            <w:tcBorders>
              <w:top w:val="single" w:sz="4" w:space="0" w:color="365F91"/>
              <w:bottom w:val="single" w:sz="4" w:space="0" w:color="365F91"/>
            </w:tcBorders>
          </w:tcPr>
          <w:p w14:paraId="6D727B34" w14:textId="77777777" w:rsidR="00A10636" w:rsidRPr="00D9348B" w:rsidRDefault="00A10636" w:rsidP="00DB330E">
            <w:pPr>
              <w:pStyle w:val="TableText"/>
              <w:spacing w:before="40" w:after="40"/>
            </w:pPr>
            <w:r w:rsidRPr="00D9348B">
              <w:t>North Island, South Island and Stewart Island</w:t>
            </w:r>
          </w:p>
        </w:tc>
        <w:tc>
          <w:tcPr>
            <w:tcW w:w="2466" w:type="dxa"/>
            <w:tcBorders>
              <w:top w:val="single" w:sz="4" w:space="0" w:color="365F91"/>
              <w:bottom w:val="single" w:sz="4" w:space="0" w:color="365F91"/>
            </w:tcBorders>
          </w:tcPr>
          <w:p w14:paraId="5BED6004" w14:textId="77777777" w:rsidR="00A10636" w:rsidRPr="00D9348B" w:rsidRDefault="00A10636" w:rsidP="00DB330E">
            <w:pPr>
              <w:pStyle w:val="TableText"/>
              <w:spacing w:before="40" w:after="40"/>
            </w:pPr>
            <w:r w:rsidRPr="00D9348B">
              <w:t>November 2009 – March 2010</w:t>
            </w:r>
          </w:p>
        </w:tc>
      </w:tr>
      <w:tr w:rsidR="00A10636" w:rsidRPr="00D9348B" w14:paraId="0E26EBA4" w14:textId="77777777" w:rsidTr="007C102A">
        <w:tc>
          <w:tcPr>
            <w:tcW w:w="1604" w:type="dxa"/>
            <w:tcBorders>
              <w:top w:val="single" w:sz="4" w:space="0" w:color="365F91"/>
              <w:bottom w:val="single" w:sz="4" w:space="0" w:color="365F91"/>
            </w:tcBorders>
          </w:tcPr>
          <w:p w14:paraId="7EA00FA2" w14:textId="77777777" w:rsidR="00A10636" w:rsidRPr="00D9348B" w:rsidRDefault="00A10636" w:rsidP="00DB330E">
            <w:pPr>
              <w:pStyle w:val="TableText"/>
              <w:spacing w:before="40" w:after="40"/>
            </w:pPr>
            <w:r w:rsidRPr="00D9348B">
              <w:t xml:space="preserve">SPOT 5 </w:t>
            </w:r>
          </w:p>
        </w:tc>
        <w:tc>
          <w:tcPr>
            <w:tcW w:w="1231" w:type="dxa"/>
            <w:tcBorders>
              <w:top w:val="single" w:sz="4" w:space="0" w:color="365F91"/>
              <w:bottom w:val="single" w:sz="4" w:space="0" w:color="365F91"/>
            </w:tcBorders>
          </w:tcPr>
          <w:p w14:paraId="5D84C165" w14:textId="77777777" w:rsidR="00A10636" w:rsidRPr="00D9348B" w:rsidRDefault="00A10636" w:rsidP="00DB330E">
            <w:pPr>
              <w:pStyle w:val="TableText"/>
              <w:spacing w:before="40" w:after="40"/>
              <w:jc w:val="center"/>
            </w:pPr>
            <w:r w:rsidRPr="00D9348B">
              <w:t>10</w:t>
            </w:r>
          </w:p>
        </w:tc>
        <w:tc>
          <w:tcPr>
            <w:tcW w:w="3261" w:type="dxa"/>
            <w:tcBorders>
              <w:top w:val="single" w:sz="4" w:space="0" w:color="365F91"/>
              <w:bottom w:val="single" w:sz="4" w:space="0" w:color="365F91"/>
            </w:tcBorders>
          </w:tcPr>
          <w:p w14:paraId="48FC3029" w14:textId="77777777" w:rsidR="00A10636" w:rsidRPr="00D9348B" w:rsidRDefault="00A10636" w:rsidP="00DB330E">
            <w:pPr>
              <w:pStyle w:val="TableText"/>
              <w:spacing w:before="40" w:after="40"/>
            </w:pPr>
            <w:r w:rsidRPr="00D9348B">
              <w:t>Four priority areas: Northland, Waikato, Marlborough and Southland</w:t>
            </w:r>
          </w:p>
        </w:tc>
        <w:tc>
          <w:tcPr>
            <w:tcW w:w="2466" w:type="dxa"/>
            <w:tcBorders>
              <w:top w:val="single" w:sz="4" w:space="0" w:color="365F91"/>
              <w:bottom w:val="single" w:sz="4" w:space="0" w:color="365F91"/>
            </w:tcBorders>
          </w:tcPr>
          <w:p w14:paraId="0DD06106" w14:textId="77777777" w:rsidR="00A10636" w:rsidRPr="00D9348B" w:rsidRDefault="00A10636" w:rsidP="00DB330E">
            <w:pPr>
              <w:pStyle w:val="TableText"/>
              <w:spacing w:before="40" w:after="40"/>
            </w:pPr>
            <w:r w:rsidRPr="00D9348B">
              <w:t>October 2010 – March 2011</w:t>
            </w:r>
          </w:p>
        </w:tc>
      </w:tr>
      <w:tr w:rsidR="00A10636" w:rsidRPr="00D9348B" w14:paraId="54888365" w14:textId="77777777" w:rsidTr="007C102A">
        <w:tc>
          <w:tcPr>
            <w:tcW w:w="1604" w:type="dxa"/>
            <w:tcBorders>
              <w:top w:val="single" w:sz="4" w:space="0" w:color="365F91"/>
              <w:bottom w:val="single" w:sz="4" w:space="0" w:color="365F91"/>
            </w:tcBorders>
          </w:tcPr>
          <w:p w14:paraId="062A987F" w14:textId="77777777" w:rsidR="00A10636" w:rsidRPr="00D9348B" w:rsidRDefault="00A10636" w:rsidP="00DB330E">
            <w:pPr>
              <w:pStyle w:val="TableText"/>
              <w:spacing w:before="40" w:after="40"/>
            </w:pPr>
            <w:r w:rsidRPr="00D9348B">
              <w:t>Landsat 8</w:t>
            </w:r>
          </w:p>
        </w:tc>
        <w:tc>
          <w:tcPr>
            <w:tcW w:w="1231" w:type="dxa"/>
            <w:tcBorders>
              <w:top w:val="single" w:sz="4" w:space="0" w:color="365F91"/>
              <w:bottom w:val="single" w:sz="4" w:space="0" w:color="365F91"/>
            </w:tcBorders>
          </w:tcPr>
          <w:p w14:paraId="2B28F02B" w14:textId="77777777" w:rsidR="00A10636" w:rsidRPr="00D9348B" w:rsidRDefault="00A10636" w:rsidP="00DB330E">
            <w:pPr>
              <w:pStyle w:val="TableText"/>
              <w:spacing w:before="40" w:after="40"/>
              <w:jc w:val="center"/>
            </w:pPr>
            <w:r w:rsidRPr="00D9348B">
              <w:t>30</w:t>
            </w:r>
          </w:p>
        </w:tc>
        <w:tc>
          <w:tcPr>
            <w:tcW w:w="3261" w:type="dxa"/>
            <w:tcBorders>
              <w:top w:val="single" w:sz="4" w:space="0" w:color="365F91"/>
              <w:bottom w:val="single" w:sz="4" w:space="0" w:color="365F91"/>
            </w:tcBorders>
          </w:tcPr>
          <w:p w14:paraId="5C9265A8" w14:textId="77777777" w:rsidR="00A10636" w:rsidRPr="00D9348B" w:rsidRDefault="00A10636" w:rsidP="00DB330E">
            <w:pPr>
              <w:pStyle w:val="TableText"/>
              <w:spacing w:before="40" w:after="40"/>
            </w:pPr>
            <w:r w:rsidRPr="00D9348B">
              <w:t>North Island, South Island and Stewart Island</w:t>
            </w:r>
          </w:p>
        </w:tc>
        <w:tc>
          <w:tcPr>
            <w:tcW w:w="2466" w:type="dxa"/>
            <w:tcBorders>
              <w:top w:val="single" w:sz="4" w:space="0" w:color="365F91"/>
              <w:bottom w:val="single" w:sz="4" w:space="0" w:color="365F91"/>
            </w:tcBorders>
          </w:tcPr>
          <w:p w14:paraId="7752B52B" w14:textId="77777777" w:rsidR="00A10636" w:rsidRPr="00D9348B" w:rsidRDefault="00A10636" w:rsidP="00DB330E">
            <w:pPr>
              <w:pStyle w:val="TableText"/>
              <w:spacing w:before="40" w:after="40"/>
            </w:pPr>
            <w:r w:rsidRPr="00D9348B">
              <w:t>November 2013 – February 2014</w:t>
            </w:r>
          </w:p>
          <w:p w14:paraId="3AFD3C57" w14:textId="77777777" w:rsidR="00A10636" w:rsidRPr="00D9348B" w:rsidRDefault="00A10636" w:rsidP="00DB330E">
            <w:pPr>
              <w:pStyle w:val="TableText"/>
              <w:spacing w:before="0" w:after="40"/>
            </w:pPr>
            <w:r w:rsidRPr="00D9348B">
              <w:t>October 2014 – March 2015</w:t>
            </w:r>
          </w:p>
          <w:p w14:paraId="2000AA0D" w14:textId="77777777" w:rsidR="00A10636" w:rsidRPr="00D9348B" w:rsidRDefault="00A10636" w:rsidP="00DB330E">
            <w:pPr>
              <w:pStyle w:val="TableText"/>
              <w:spacing w:before="0" w:after="40"/>
            </w:pPr>
            <w:r w:rsidRPr="00D9348B">
              <w:t>October 2015 – March 2016</w:t>
            </w:r>
          </w:p>
        </w:tc>
      </w:tr>
      <w:tr w:rsidR="00A10636" w:rsidRPr="00D9348B" w14:paraId="3AD4BF42" w14:textId="77777777" w:rsidTr="007C102A">
        <w:tc>
          <w:tcPr>
            <w:tcW w:w="1604" w:type="dxa"/>
            <w:tcBorders>
              <w:top w:val="single" w:sz="4" w:space="0" w:color="365F91"/>
              <w:bottom w:val="single" w:sz="4" w:space="0" w:color="365F91"/>
            </w:tcBorders>
          </w:tcPr>
          <w:p w14:paraId="1425AF42" w14:textId="77777777" w:rsidR="00A10636" w:rsidRPr="00D9348B" w:rsidRDefault="00A10636" w:rsidP="00DB330E">
            <w:pPr>
              <w:pStyle w:val="TableText"/>
              <w:spacing w:before="40" w:after="40"/>
            </w:pPr>
            <w:r w:rsidRPr="00D9348B">
              <w:lastRenderedPageBreak/>
              <w:t>Sentinel-2</w:t>
            </w:r>
          </w:p>
        </w:tc>
        <w:tc>
          <w:tcPr>
            <w:tcW w:w="1231" w:type="dxa"/>
            <w:tcBorders>
              <w:top w:val="single" w:sz="4" w:space="0" w:color="365F91"/>
              <w:bottom w:val="single" w:sz="4" w:space="0" w:color="365F91"/>
            </w:tcBorders>
          </w:tcPr>
          <w:p w14:paraId="04C12A3B" w14:textId="77777777" w:rsidR="00A10636" w:rsidRPr="00D9348B" w:rsidRDefault="00A10636" w:rsidP="00DB330E">
            <w:pPr>
              <w:pStyle w:val="TableText"/>
              <w:spacing w:before="40" w:after="40"/>
              <w:jc w:val="center"/>
            </w:pPr>
            <w:r w:rsidRPr="00D9348B">
              <w:t>10</w:t>
            </w:r>
          </w:p>
        </w:tc>
        <w:tc>
          <w:tcPr>
            <w:tcW w:w="3261" w:type="dxa"/>
            <w:tcBorders>
              <w:top w:val="single" w:sz="4" w:space="0" w:color="365F91"/>
              <w:bottom w:val="single" w:sz="4" w:space="0" w:color="365F91"/>
            </w:tcBorders>
          </w:tcPr>
          <w:p w14:paraId="017DD634" w14:textId="77777777" w:rsidR="00A10636" w:rsidRPr="00D9348B" w:rsidRDefault="00A10636" w:rsidP="00DB330E">
            <w:pPr>
              <w:pStyle w:val="TableText"/>
              <w:spacing w:before="40" w:after="40"/>
            </w:pPr>
            <w:r w:rsidRPr="00D9348B">
              <w:t>North Island, South Island and Stewart Island</w:t>
            </w:r>
          </w:p>
        </w:tc>
        <w:tc>
          <w:tcPr>
            <w:tcW w:w="2466" w:type="dxa"/>
            <w:tcBorders>
              <w:top w:val="single" w:sz="4" w:space="0" w:color="365F91"/>
              <w:bottom w:val="single" w:sz="4" w:space="0" w:color="365F91"/>
            </w:tcBorders>
          </w:tcPr>
          <w:p w14:paraId="538F4847" w14:textId="77777777" w:rsidR="00A10636" w:rsidRPr="00D9348B" w:rsidRDefault="00A10636" w:rsidP="00DB330E">
            <w:pPr>
              <w:pStyle w:val="TableText"/>
              <w:spacing w:before="40" w:after="40"/>
            </w:pPr>
            <w:r w:rsidRPr="00D9348B">
              <w:t>November 2015 – March 2016</w:t>
            </w:r>
          </w:p>
        </w:tc>
      </w:tr>
      <w:tr w:rsidR="00A10636" w:rsidRPr="00D9348B" w14:paraId="62B65D70" w14:textId="77777777" w:rsidTr="007C102A">
        <w:tc>
          <w:tcPr>
            <w:tcW w:w="1604" w:type="dxa"/>
            <w:tcBorders>
              <w:top w:val="single" w:sz="4" w:space="0" w:color="365F91"/>
              <w:bottom w:val="single" w:sz="4" w:space="0" w:color="365F91"/>
            </w:tcBorders>
          </w:tcPr>
          <w:p w14:paraId="0EBA28C3" w14:textId="77777777" w:rsidR="00A10636" w:rsidRPr="00D9348B" w:rsidRDefault="00A10636" w:rsidP="00DB330E">
            <w:pPr>
              <w:pStyle w:val="TableText"/>
              <w:spacing w:before="40" w:after="40"/>
            </w:pPr>
            <w:r w:rsidRPr="00D9348B">
              <w:t>Aerial photography</w:t>
            </w:r>
          </w:p>
        </w:tc>
        <w:tc>
          <w:tcPr>
            <w:tcW w:w="1231" w:type="dxa"/>
            <w:tcBorders>
              <w:top w:val="single" w:sz="4" w:space="0" w:color="365F91"/>
              <w:bottom w:val="single" w:sz="4" w:space="0" w:color="365F91"/>
            </w:tcBorders>
          </w:tcPr>
          <w:p w14:paraId="16BA75E4" w14:textId="77777777" w:rsidR="00A10636" w:rsidRPr="00D9348B" w:rsidRDefault="00A10636" w:rsidP="00DB330E">
            <w:pPr>
              <w:pStyle w:val="TableText"/>
              <w:spacing w:before="40" w:after="40"/>
              <w:jc w:val="center"/>
            </w:pPr>
            <w:r w:rsidRPr="00D9348B">
              <w:t>Variable</w:t>
            </w:r>
          </w:p>
        </w:tc>
        <w:tc>
          <w:tcPr>
            <w:tcW w:w="3261" w:type="dxa"/>
            <w:tcBorders>
              <w:top w:val="single" w:sz="4" w:space="0" w:color="365F91"/>
              <w:bottom w:val="single" w:sz="4" w:space="0" w:color="365F91"/>
            </w:tcBorders>
          </w:tcPr>
          <w:p w14:paraId="0A497663" w14:textId="77777777" w:rsidR="00A10636" w:rsidRPr="00D9348B" w:rsidRDefault="00A10636" w:rsidP="00DB330E">
            <w:pPr>
              <w:pStyle w:val="TableText"/>
              <w:spacing w:before="40" w:after="40"/>
            </w:pPr>
            <w:r w:rsidRPr="00D9348B">
              <w:t>All of North Island and Stewart Island and most of South Island</w:t>
            </w:r>
          </w:p>
        </w:tc>
        <w:tc>
          <w:tcPr>
            <w:tcW w:w="2466" w:type="dxa"/>
            <w:tcBorders>
              <w:top w:val="single" w:sz="4" w:space="0" w:color="365F91"/>
              <w:bottom w:val="single" w:sz="4" w:space="0" w:color="365F91"/>
            </w:tcBorders>
          </w:tcPr>
          <w:p w14:paraId="3F4F5D2D" w14:textId="77777777" w:rsidR="00A10636" w:rsidRPr="00D9348B" w:rsidRDefault="00A10636" w:rsidP="00DB330E">
            <w:pPr>
              <w:pStyle w:val="TableText"/>
              <w:spacing w:before="40" w:after="40"/>
            </w:pPr>
            <w:r w:rsidRPr="00D9348B">
              <w:t>Various</w:t>
            </w:r>
          </w:p>
        </w:tc>
      </w:tr>
    </w:tbl>
    <w:p w14:paraId="092B8694" w14:textId="0EF3ACEB" w:rsidR="00A10636" w:rsidRPr="00D9348B" w:rsidRDefault="00A10636" w:rsidP="008104F5">
      <w:pPr>
        <w:pStyle w:val="BodyText"/>
        <w:spacing w:before="240"/>
      </w:pPr>
      <w:r w:rsidRPr="00D9348B">
        <w:t xml:space="preserve">As part of the 2016 mapping process, high and low producing grassland classes were mapped at 2008, 2012 and 2016 using a data fusion technique described in Manderson et al. (2018). This technique brought together a range of biophysical and </w:t>
      </w:r>
      <w:r w:rsidR="00766DDA">
        <w:t>land-use</w:t>
      </w:r>
      <w:r w:rsidRPr="00D9348B">
        <w:t xml:space="preserve"> data sets to create a probability map for high producing grassland at each mapping date. This map was used to classify grassland into high and low producing areas in the 2016 </w:t>
      </w:r>
      <w:r w:rsidR="00766DDA">
        <w:t>land-use</w:t>
      </w:r>
      <w:r w:rsidRPr="00D9348B">
        <w:t xml:space="preserve"> map and back-correct the 2012 and 2008 maps to maintain time-series consistency. (The 1990 </w:t>
      </w:r>
      <w:r w:rsidR="00766DDA">
        <w:t>land-use</w:t>
      </w:r>
      <w:r w:rsidRPr="00D9348B">
        <w:t xml:space="preserve"> map was assumed to contain a fair representation of the split between high and low producing grassland, based on the original mapping of this data set using the NZLRI as described in section 6.2.2.) </w:t>
      </w:r>
    </w:p>
    <w:p w14:paraId="65D69D07" w14:textId="77777777" w:rsidR="00A10636" w:rsidRPr="00D9348B" w:rsidRDefault="00A10636" w:rsidP="005E6AE2">
      <w:pPr>
        <w:pStyle w:val="Heading5"/>
        <w:spacing w:before="160"/>
      </w:pPr>
      <w:r w:rsidRPr="00D9348B">
        <w:t>Mapping approach: forest areas</w:t>
      </w:r>
    </w:p>
    <w:p w14:paraId="7552F765" w14:textId="77777777" w:rsidR="00A10636" w:rsidRPr="00D9348B" w:rsidRDefault="00A10636" w:rsidP="00A10636">
      <w:pPr>
        <w:pStyle w:val="BodyText"/>
      </w:pPr>
      <w:r w:rsidRPr="00D9348B">
        <w:t>Areas of potential change within the forest extent were considered to be potential destocking.</w:t>
      </w:r>
      <w:r w:rsidRPr="00D9348B">
        <w:rPr>
          <w:rStyle w:val="FootnoteReference"/>
        </w:rPr>
        <w:footnoteReference w:id="64"/>
      </w:r>
      <w:r w:rsidRPr="00D9348B">
        <w:t xml:space="preserve"> These areas were first screened, to ensure they represented actual change as opposed to false change due to cloud contamination or image misregistration.</w:t>
      </w:r>
    </w:p>
    <w:p w14:paraId="0AE9E670" w14:textId="77777777" w:rsidR="00A10636" w:rsidRPr="00D9348B" w:rsidRDefault="00A10636" w:rsidP="00A10636">
      <w:pPr>
        <w:pStyle w:val="BodyText"/>
      </w:pPr>
      <w:r w:rsidRPr="00D9348B">
        <w:t xml:space="preserve">The next step was to determine which areas of destocking represented land-use change (deforestation) as opposed to temporary forest loss (e.g., harvesting activity occurring as part of ongoing forestry land use). </w:t>
      </w:r>
    </w:p>
    <w:p w14:paraId="4A3A1D32" w14:textId="77777777" w:rsidR="00A10636" w:rsidRPr="00D9348B" w:rsidRDefault="00A10636" w:rsidP="00A10636">
      <w:pPr>
        <w:pStyle w:val="BodyText"/>
      </w:pPr>
      <w:r w:rsidRPr="00D9348B">
        <w:t>Where possible, areas of destocking were first checked in available aerial photography to determine whether replanting had occurred. Cases of replanting were then removed from the destocking layer.</w:t>
      </w:r>
    </w:p>
    <w:p w14:paraId="327EDE15" w14:textId="3B233724" w:rsidR="00A10636" w:rsidRPr="00D9348B" w:rsidRDefault="00A10636" w:rsidP="00A10636">
      <w:pPr>
        <w:pStyle w:val="BodyText"/>
      </w:pPr>
      <w:r w:rsidRPr="00D9348B">
        <w:t xml:space="preserve">Because it is not possible to determine whether deforestation has occurred using currently available satellite imagery alone, vertical or oblique aerial photography is obtained to provide a high-resolution view of </w:t>
      </w:r>
      <w:r w:rsidR="00766DDA">
        <w:t>land-use</w:t>
      </w:r>
      <w:r w:rsidRPr="00D9348B">
        <w:t xml:space="preserve"> activity occurring on the ground.</w:t>
      </w:r>
    </w:p>
    <w:p w14:paraId="481A9A14" w14:textId="77777777" w:rsidR="00A10636" w:rsidRPr="00D9348B" w:rsidRDefault="00A10636" w:rsidP="00A10636">
      <w:pPr>
        <w:pStyle w:val="BodyText"/>
      </w:pPr>
      <w:r w:rsidRPr="00D9348B">
        <w:t xml:space="preserve">All remaining areas were field checked, with vertical or aerial photography acquired over each site, to determine the current land use for each area. </w:t>
      </w:r>
    </w:p>
    <w:p w14:paraId="3F95D1EC" w14:textId="77777777" w:rsidR="00A10636" w:rsidRPr="00D9348B" w:rsidRDefault="00A10636" w:rsidP="00A10636">
      <w:pPr>
        <w:pStyle w:val="BodyText"/>
      </w:pPr>
      <w:r w:rsidRPr="00D9348B">
        <w:t>Based on the aerial photographic evidence and supporting evidence from the NZ ETS, each area was given one of the following destock classifications.</w:t>
      </w:r>
    </w:p>
    <w:p w14:paraId="71A330B6" w14:textId="77777777" w:rsidR="00A10636" w:rsidRPr="00D9348B" w:rsidRDefault="00A10636" w:rsidP="00771A8F">
      <w:pPr>
        <w:pStyle w:val="Bullet"/>
        <w:numPr>
          <w:ilvl w:val="0"/>
          <w:numId w:val="20"/>
        </w:numPr>
      </w:pPr>
      <w:r w:rsidRPr="00D9348B">
        <w:t>Harvested: the area shows evidence of ongoing forestry land use such as replanting, preparation for planting or a context consistent with replanting, such as being surrounded by plantation forestry.</w:t>
      </w:r>
    </w:p>
    <w:p w14:paraId="1C909820" w14:textId="77777777" w:rsidR="00A10636" w:rsidRPr="00D9348B" w:rsidRDefault="00A10636" w:rsidP="00771A8F">
      <w:pPr>
        <w:pStyle w:val="Bullet"/>
        <w:numPr>
          <w:ilvl w:val="0"/>
          <w:numId w:val="20"/>
        </w:numPr>
      </w:pPr>
      <w:r w:rsidRPr="00D9348B">
        <w:t>Deforested: the area shows evidence of land-use change such as the removal of stumps, pasture establishment, fencing and stock.</w:t>
      </w:r>
    </w:p>
    <w:p w14:paraId="7228CD94" w14:textId="77777777" w:rsidR="00A10636" w:rsidRPr="00D9348B" w:rsidRDefault="00A10636" w:rsidP="00771A8F">
      <w:pPr>
        <w:pStyle w:val="Bullet"/>
        <w:numPr>
          <w:ilvl w:val="0"/>
          <w:numId w:val="20"/>
        </w:numPr>
      </w:pPr>
      <w:r w:rsidRPr="00D9348B">
        <w:t>Awaiting: the area has been destocked for less than four years</w:t>
      </w:r>
      <w:r w:rsidRPr="00D9348B">
        <w:rPr>
          <w:rStyle w:val="FootnoteReference"/>
        </w:rPr>
        <w:footnoteReference w:id="65"/>
      </w:r>
      <w:r w:rsidRPr="00D9348B">
        <w:t xml:space="preserve"> and/or there is no evidence of land-use change. That is, the area is lying fallow or, in the case of natural forest areas, the vegetation has been sprayed but not cleared.</w:t>
      </w:r>
      <w:r w:rsidRPr="00D9348B">
        <w:rPr>
          <w:rStyle w:val="FootnoteReference"/>
        </w:rPr>
        <w:footnoteReference w:id="66"/>
      </w:r>
    </w:p>
    <w:p w14:paraId="22638B52" w14:textId="77777777" w:rsidR="00A10636" w:rsidRPr="00D9348B" w:rsidRDefault="00A10636" w:rsidP="00771A8F">
      <w:pPr>
        <w:pStyle w:val="Bullet"/>
        <w:numPr>
          <w:ilvl w:val="0"/>
          <w:numId w:val="20"/>
        </w:numPr>
      </w:pPr>
      <w:r w:rsidRPr="00D9348B">
        <w:lastRenderedPageBreak/>
        <w:t>No change: the area has not been destocked and was incorrectly identified as change.</w:t>
      </w:r>
    </w:p>
    <w:p w14:paraId="5FE499A3" w14:textId="7B62A257" w:rsidR="00A10636" w:rsidRPr="00D9348B" w:rsidRDefault="00A10636" w:rsidP="00771A8F">
      <w:pPr>
        <w:pStyle w:val="Bullet"/>
        <w:numPr>
          <w:ilvl w:val="0"/>
          <w:numId w:val="20"/>
        </w:numPr>
      </w:pPr>
      <w:r w:rsidRPr="00D9348B">
        <w:t xml:space="preserve">Not forest: the area was not forested at the beginning of the change period. These areas required correction to a non-forest land use in the </w:t>
      </w:r>
      <w:r w:rsidR="00766DDA">
        <w:t>land-use</w:t>
      </w:r>
      <w:r w:rsidRPr="00D9348B">
        <w:t xml:space="preserve"> map from the beginning of the change period.</w:t>
      </w:r>
    </w:p>
    <w:p w14:paraId="5FE6DBAD" w14:textId="77777777" w:rsidR="00A10636" w:rsidRPr="00D9348B" w:rsidRDefault="00A10636" w:rsidP="00771A8F">
      <w:pPr>
        <w:pStyle w:val="Bullet"/>
        <w:numPr>
          <w:ilvl w:val="0"/>
          <w:numId w:val="20"/>
        </w:numPr>
      </w:pPr>
      <w:r w:rsidRPr="00D9348B">
        <w:t xml:space="preserve">Non-anthropogenic change: destocking was not human induced – for example, erosion </w:t>
      </w:r>
      <w:r w:rsidRPr="00D9348B">
        <w:br/>
        <w:t>– and there has been no land-use change.</w:t>
      </w:r>
    </w:p>
    <w:p w14:paraId="36867768" w14:textId="77777777" w:rsidR="00A10636" w:rsidRPr="00D9348B" w:rsidRDefault="00A10636" w:rsidP="00A10636">
      <w:pPr>
        <w:pStyle w:val="BodyText"/>
      </w:pPr>
      <w:r w:rsidRPr="00D9348B">
        <w:t xml:space="preserve">For each deforested area, further information was then recorded, such as the year in which the deforestation occurred. This was determined by examining the ancillary imagery data sets listed in table 6.2.4. Figure 6.2.6 shows the process of confirming deforestation and establishing the year in which it occurred. Further information on the mapping of forest change can be found in Indufor Asia Pacific (2018). </w:t>
      </w:r>
    </w:p>
    <w:p w14:paraId="5F9F9869" w14:textId="681B8836" w:rsidR="00A10636" w:rsidRPr="00D9348B" w:rsidRDefault="00A10636" w:rsidP="00A10636">
      <w:pPr>
        <w:pStyle w:val="BodyText"/>
      </w:pPr>
      <w:r w:rsidRPr="00D9348B">
        <w:t xml:space="preserve">The final step in the 2012 and 2016 </w:t>
      </w:r>
      <w:r w:rsidR="00766DDA">
        <w:t>land-use</w:t>
      </w:r>
      <w:r w:rsidRPr="00D9348B">
        <w:t xml:space="preserve"> mapping process was to add the confirmed areas of deforestation into the </w:t>
      </w:r>
      <w:r w:rsidR="00766DDA">
        <w:t>land-use</w:t>
      </w:r>
      <w:r w:rsidRPr="00D9348B">
        <w:t xml:space="preserve"> map. Figure 6.2.7 shows the </w:t>
      </w:r>
      <w:r w:rsidR="00766DDA">
        <w:t>land-use</w:t>
      </w:r>
      <w:r w:rsidRPr="00D9348B">
        <w:t xml:space="preserve"> map of New Zealand as at 31 December 2016.</w:t>
      </w:r>
    </w:p>
    <w:p w14:paraId="08A6E6DD" w14:textId="77777777" w:rsidR="00A10636" w:rsidRPr="00D9348B" w:rsidRDefault="00A10636" w:rsidP="00A10636">
      <w:pPr>
        <w:pStyle w:val="Figure"/>
      </w:pPr>
      <w:bookmarkStart w:id="1391" w:name="_Toc378853337"/>
      <w:bookmarkStart w:id="1392" w:name="_Toc405448087"/>
      <w:bookmarkStart w:id="1393" w:name="_Toc414531619"/>
      <w:bookmarkStart w:id="1394" w:name="_Toc474914642"/>
      <w:bookmarkStart w:id="1395" w:name="_Toc481752024"/>
      <w:bookmarkStart w:id="1396" w:name="_Toc522010702"/>
      <w:bookmarkStart w:id="1397" w:name="_Toc5269705"/>
      <w:bookmarkStart w:id="1398" w:name="_Toc33529477"/>
      <w:bookmarkStart w:id="1399" w:name="_Toc36292807"/>
      <w:r w:rsidRPr="00D9348B">
        <w:lastRenderedPageBreak/>
        <w:t>Figure 6.2.6</w:t>
      </w:r>
      <w:r w:rsidRPr="00D9348B">
        <w:tab/>
        <w:t>New Zealand’s identification of deforestation</w:t>
      </w:r>
      <w:bookmarkEnd w:id="1391"/>
      <w:bookmarkEnd w:id="1392"/>
      <w:bookmarkEnd w:id="1393"/>
      <w:bookmarkEnd w:id="1394"/>
      <w:bookmarkEnd w:id="1395"/>
      <w:bookmarkEnd w:id="1396"/>
      <w:bookmarkEnd w:id="1397"/>
      <w:bookmarkEnd w:id="1398"/>
      <w:bookmarkEnd w:id="1399"/>
    </w:p>
    <w:p w14:paraId="05F36349" w14:textId="7F72B507" w:rsidR="00A10636" w:rsidRPr="00D9348B" w:rsidRDefault="007165CF" w:rsidP="00A10636">
      <w:pPr>
        <w:jc w:val="center"/>
      </w:pPr>
      <w:r>
        <w:pict w14:anchorId="6F1E7B72">
          <v:shape id="_x0000_i1130" type="#_x0000_t75" style="width:396.95pt;height:578.5pt;visibility:visible;mso-wrap-style:square">
            <v:imagedata r:id="rId211" o:title=""/>
          </v:shape>
        </w:pict>
      </w:r>
    </w:p>
    <w:p w14:paraId="6534A76E" w14:textId="77777777" w:rsidR="00A10636" w:rsidRPr="00D9348B" w:rsidRDefault="00A10636" w:rsidP="00A10636">
      <w:pPr>
        <w:pStyle w:val="Noteundertable"/>
      </w:pPr>
      <w:r w:rsidRPr="00D9348B">
        <w:rPr>
          <w:b/>
        </w:rPr>
        <w:t>Note:</w:t>
      </w:r>
      <w:r w:rsidRPr="00D9348B">
        <w:t xml:space="preserve"> </w:t>
      </w:r>
      <w:r w:rsidRPr="00D9348B">
        <w:tab/>
        <w:t>DMC = Disaster Monitoring Constellation.</w:t>
      </w:r>
    </w:p>
    <w:p w14:paraId="300824D7" w14:textId="6B97223E" w:rsidR="00A10636" w:rsidRPr="00D9348B" w:rsidRDefault="00A10636" w:rsidP="00A10636">
      <w:pPr>
        <w:pStyle w:val="Figure"/>
        <w:spacing w:after="0"/>
      </w:pPr>
      <w:bookmarkStart w:id="1400" w:name="_Toc378853338"/>
      <w:bookmarkStart w:id="1401" w:name="_Toc405448088"/>
      <w:bookmarkStart w:id="1402" w:name="_Toc414531620"/>
      <w:bookmarkStart w:id="1403" w:name="_Toc474914643"/>
      <w:bookmarkStart w:id="1404" w:name="_Toc481752025"/>
      <w:bookmarkStart w:id="1405" w:name="_Toc522010703"/>
      <w:bookmarkStart w:id="1406" w:name="_Toc5269706"/>
      <w:bookmarkStart w:id="1407" w:name="_Toc33529478"/>
      <w:bookmarkStart w:id="1408" w:name="_Toc36292808"/>
      <w:r w:rsidRPr="00D9348B">
        <w:lastRenderedPageBreak/>
        <w:t>Figure 6.2.7</w:t>
      </w:r>
      <w:r w:rsidRPr="00D9348B">
        <w:tab/>
      </w:r>
      <w:r w:rsidR="00766DDA">
        <w:t>Land-use</w:t>
      </w:r>
      <w:r w:rsidRPr="00D9348B">
        <w:t xml:space="preserve"> map of New Zealand as at 31 December 2016</w:t>
      </w:r>
      <w:bookmarkEnd w:id="1400"/>
      <w:bookmarkEnd w:id="1401"/>
      <w:bookmarkEnd w:id="1402"/>
      <w:bookmarkEnd w:id="1403"/>
      <w:bookmarkEnd w:id="1404"/>
      <w:bookmarkEnd w:id="1405"/>
      <w:bookmarkEnd w:id="1406"/>
      <w:bookmarkEnd w:id="1407"/>
      <w:bookmarkEnd w:id="1408"/>
    </w:p>
    <w:p w14:paraId="437A2BF0" w14:textId="4670AF93" w:rsidR="00A10636" w:rsidRPr="00D9348B" w:rsidRDefault="007165CF" w:rsidP="00A10636">
      <w:r>
        <w:rPr>
          <w:b/>
        </w:rPr>
        <w:pict w14:anchorId="4236ABFC">
          <v:shape id="_x0000_i1131" type="#_x0000_t75" style="width:418.25pt;height:593.55pt;visibility:visible;mso-wrap-style:square">
            <v:imagedata r:id="rId212" o:title=""/>
          </v:shape>
        </w:pict>
      </w:r>
    </w:p>
    <w:p w14:paraId="40F47C3D" w14:textId="77777777" w:rsidR="00A10636" w:rsidRPr="00D9348B" w:rsidRDefault="00A10636" w:rsidP="00A10636">
      <w:pPr>
        <w:pStyle w:val="Noteundertable"/>
      </w:pPr>
      <w:r w:rsidRPr="00D9348B">
        <w:rPr>
          <w:b/>
        </w:rPr>
        <w:t>Note:</w:t>
      </w:r>
      <w:r w:rsidRPr="00D9348B">
        <w:tab/>
        <w:t>The inset map is of the Chatham Islands, which lie approximately 660 kilometres south-east of the south eastern corner of the North Island.</w:t>
      </w:r>
    </w:p>
    <w:p w14:paraId="7E4F1922" w14:textId="77777777" w:rsidR="00A10636" w:rsidRPr="00D9348B" w:rsidRDefault="00A10636" w:rsidP="00A10636">
      <w:pPr>
        <w:pStyle w:val="Heading3"/>
      </w:pPr>
      <w:bookmarkStart w:id="1409" w:name="_Toc255466303"/>
      <w:bookmarkStart w:id="1410" w:name="_Toc261513110"/>
      <w:bookmarkStart w:id="1411" w:name="_Toc261513723"/>
      <w:bookmarkStart w:id="1412" w:name="_Toc280630232"/>
      <w:bookmarkStart w:id="1413" w:name="_Toc361645364"/>
      <w:r w:rsidRPr="00D9348B">
        <w:lastRenderedPageBreak/>
        <w:t>6.2.3</w:t>
      </w:r>
      <w:r w:rsidRPr="00D9348B">
        <w:tab/>
        <w:t>Annual land-use change</w:t>
      </w:r>
      <w:bookmarkEnd w:id="1409"/>
      <w:bookmarkEnd w:id="1410"/>
      <w:bookmarkEnd w:id="1411"/>
      <w:bookmarkEnd w:id="1412"/>
      <w:bookmarkEnd w:id="1413"/>
    </w:p>
    <w:p w14:paraId="3B84198C" w14:textId="2D02A997" w:rsidR="00A10636" w:rsidRPr="00D9348B" w:rsidRDefault="00A10636" w:rsidP="00A10636">
      <w:pPr>
        <w:pStyle w:val="BodyText"/>
      </w:pPr>
      <w:bookmarkStart w:id="1414" w:name="_Toc280630233"/>
      <w:bookmarkStart w:id="1415" w:name="_Toc255466304"/>
      <w:bookmarkStart w:id="1416" w:name="_Toc261513111"/>
      <w:bookmarkStart w:id="1417" w:name="_Toc261513724"/>
      <w:r w:rsidRPr="00D9348B">
        <w:t xml:space="preserve">Annual land-use change areas are interpolated and extrapolated from the four national </w:t>
      </w:r>
      <w:r w:rsidR="00766DDA">
        <w:t>land-use</w:t>
      </w:r>
      <w:r w:rsidRPr="00D9348B">
        <w:t xml:space="preserve"> maps using a number of supporting data sets to inform the trends occurring between the wall-to-wall mapping dates of 1990, 2008, 2012 and 2016.</w:t>
      </w:r>
    </w:p>
    <w:p w14:paraId="55D4F4C9" w14:textId="77777777" w:rsidR="00A10636" w:rsidRPr="00D9348B" w:rsidRDefault="00A10636" w:rsidP="00865BDB">
      <w:pPr>
        <w:pStyle w:val="Heading4"/>
      </w:pPr>
      <w:r w:rsidRPr="00D9348B">
        <w:t>Land-use change prior to 1990</w:t>
      </w:r>
    </w:p>
    <w:p w14:paraId="65BFB68F" w14:textId="77777777" w:rsidR="00A10636" w:rsidRPr="00D9348B" w:rsidRDefault="00A10636" w:rsidP="00A10636">
      <w:pPr>
        <w:pStyle w:val="BodyText"/>
      </w:pPr>
      <w:r w:rsidRPr="00D9348B">
        <w:t>Data from a variety of sources were used to determine land areas prior to 1990. Data sources suitable for determining land use at a national level typically comprise one of the following:</w:t>
      </w:r>
    </w:p>
    <w:p w14:paraId="06CB693D" w14:textId="77777777" w:rsidR="00A10636" w:rsidRPr="00D9348B" w:rsidRDefault="00A10636" w:rsidP="00A10636">
      <w:pPr>
        <w:pStyle w:val="Bullet"/>
      </w:pPr>
      <w:r w:rsidRPr="00D9348B">
        <w:t xml:space="preserve">maps or scaled images depicting land use or proxies for land use (e.g., a ‘map of forest areas’) </w:t>
      </w:r>
    </w:p>
    <w:p w14:paraId="4491021B" w14:textId="14071A33" w:rsidR="00A10636" w:rsidRPr="00D9348B" w:rsidRDefault="00A10636" w:rsidP="00A10636">
      <w:pPr>
        <w:pStyle w:val="Bullet"/>
      </w:pPr>
      <w:r w:rsidRPr="00D9348B">
        <w:t xml:space="preserve">tabulated </w:t>
      </w:r>
      <w:r w:rsidR="00766DDA">
        <w:t>land-use</w:t>
      </w:r>
      <w:r w:rsidRPr="00D9348B">
        <w:t xml:space="preserve"> area data collected for an administrative area (e.g., county, district or region) </w:t>
      </w:r>
    </w:p>
    <w:p w14:paraId="0A0AA173" w14:textId="77777777" w:rsidR="00A10636" w:rsidRPr="00D9348B" w:rsidRDefault="00A10636" w:rsidP="00A10636">
      <w:pPr>
        <w:pStyle w:val="Bullet"/>
      </w:pPr>
      <w:proofErr w:type="gramStart"/>
      <w:r w:rsidRPr="00D9348B">
        <w:t>production</w:t>
      </w:r>
      <w:proofErr w:type="gramEnd"/>
      <w:r w:rsidRPr="00D9348B">
        <w:t xml:space="preserve"> sector (e.g., the area of orchard crops).</w:t>
      </w:r>
    </w:p>
    <w:p w14:paraId="54E071DF" w14:textId="77777777" w:rsidR="00A10636" w:rsidRPr="00D9348B" w:rsidRDefault="00A10636" w:rsidP="00A10636">
      <w:pPr>
        <w:pStyle w:val="BodyText"/>
      </w:pPr>
      <w:r w:rsidRPr="00D9348B">
        <w:t xml:space="preserve">This methodology was peer reviewed by Hunter and McNeill (unpublished), who provided independent subject-matter expertise. </w:t>
      </w:r>
    </w:p>
    <w:p w14:paraId="417D6196" w14:textId="77777777" w:rsidR="00A10636" w:rsidRPr="00D9348B" w:rsidRDefault="00A10636" w:rsidP="00865BDB">
      <w:pPr>
        <w:pStyle w:val="Heading4"/>
      </w:pPr>
      <w:bookmarkStart w:id="1418" w:name="_Toc255466305"/>
      <w:bookmarkStart w:id="1419" w:name="_Toc261513112"/>
      <w:bookmarkStart w:id="1420" w:name="_Toc261513725"/>
      <w:bookmarkStart w:id="1421" w:name="_Toc280630234"/>
      <w:bookmarkEnd w:id="1414"/>
      <w:bookmarkEnd w:id="1415"/>
      <w:bookmarkEnd w:id="1416"/>
      <w:bookmarkEnd w:id="1417"/>
      <w:r w:rsidRPr="00D9348B">
        <w:t xml:space="preserve">Annual land-use changes from 1990 to </w:t>
      </w:r>
      <w:bookmarkEnd w:id="1418"/>
      <w:bookmarkEnd w:id="1419"/>
      <w:bookmarkEnd w:id="1420"/>
      <w:r w:rsidRPr="00D9348B">
        <w:t>2007</w:t>
      </w:r>
      <w:bookmarkEnd w:id="1421"/>
    </w:p>
    <w:p w14:paraId="02158EB6" w14:textId="2EFE8DDB" w:rsidR="00A10636" w:rsidRPr="00D9348B" w:rsidRDefault="00A10636" w:rsidP="00A10636">
      <w:pPr>
        <w:pStyle w:val="BodyText"/>
        <w:spacing w:after="100"/>
      </w:pPr>
      <w:r w:rsidRPr="00D9348B">
        <w:t xml:space="preserve">Annual land-use changes from 1990 to 2007 are interpolated between the 1990 and 2008 </w:t>
      </w:r>
      <w:r w:rsidR="00766DDA">
        <w:t>land-use</w:t>
      </w:r>
      <w:r w:rsidRPr="00D9348B">
        <w:t xml:space="preserve"> maps, which provide the total area of change over that period. Most of the land-use changes are interpolated linearly between mapping dates; however, some of the land-use changes make use of surrogate data sets to better reflect land-use change trends within this period. This approach follows methodology outlined in section 3.3.1 of the 2006 IPCC Guidelines</w:t>
      </w:r>
      <w:r w:rsidRPr="00D9348B" w:rsidDel="00663F9D">
        <w:t xml:space="preserve"> </w:t>
      </w:r>
      <w:r w:rsidRPr="00D9348B">
        <w:t>(IPCC, 2006a).</w:t>
      </w:r>
    </w:p>
    <w:p w14:paraId="1010A015" w14:textId="77777777" w:rsidR="00A10636" w:rsidRPr="00D9348B" w:rsidRDefault="00A10636" w:rsidP="00A10636">
      <w:pPr>
        <w:pStyle w:val="BodyText"/>
        <w:spacing w:after="100"/>
      </w:pPr>
      <w:r w:rsidRPr="00D9348B">
        <w:t>The surrogate data sets used between 1 January 1990 and 31 December 2007 are as follows.</w:t>
      </w:r>
    </w:p>
    <w:p w14:paraId="68D9EF70" w14:textId="77777777" w:rsidR="00A10636" w:rsidRPr="00D9348B" w:rsidRDefault="00A10636" w:rsidP="00A10636">
      <w:pPr>
        <w:pStyle w:val="Bullet"/>
      </w:pPr>
      <w:r w:rsidRPr="00D9348B">
        <w:t>Deforestation trends between 1990 and 1 January 2008 for pre-1990 planted forest and post-1989 forest are based on the 2008 Deforestation Intentions Survey (Manley, 2009) and unpublished work by Scion (the New Zealand Forest Research Institute). The work by Scion is referred to in Wakelin (unpublished(c)).</w:t>
      </w:r>
    </w:p>
    <w:p w14:paraId="0BC39A2C" w14:textId="77777777" w:rsidR="00A10636" w:rsidRPr="00D9348B" w:rsidRDefault="00A10636" w:rsidP="00A10636">
      <w:pPr>
        <w:pStyle w:val="Bullet"/>
      </w:pPr>
      <w:r w:rsidRPr="00D9348B">
        <w:t>Afforestation trends for post-1989 planted forest are based on estimates from the NEFD (Ministry for Primary Industries, 2018b).</w:t>
      </w:r>
    </w:p>
    <w:p w14:paraId="69FE2E79" w14:textId="77777777" w:rsidR="00A10636" w:rsidRPr="00D9348B" w:rsidRDefault="00A10636" w:rsidP="00A10636">
      <w:pPr>
        <w:pStyle w:val="Bullet"/>
      </w:pPr>
      <w:r w:rsidRPr="00D9348B">
        <w:t>Afforestation trends for post-1989 natural forest are based on plot analysis as described in Beets et al. (unpublished).</w:t>
      </w:r>
    </w:p>
    <w:p w14:paraId="5749C367" w14:textId="77777777" w:rsidR="00A10636" w:rsidRPr="00D9348B" w:rsidRDefault="00A10636" w:rsidP="00865BDB">
      <w:pPr>
        <w:pStyle w:val="Heading4"/>
      </w:pPr>
      <w:r w:rsidRPr="00D9348B">
        <w:t>Annual land-use changes from 2008 to 2016</w:t>
      </w:r>
    </w:p>
    <w:p w14:paraId="43DA3264" w14:textId="6D1A2145" w:rsidR="00A10636" w:rsidRPr="00D9348B" w:rsidRDefault="00A10636" w:rsidP="00A10636">
      <w:pPr>
        <w:pStyle w:val="BodyText"/>
        <w:spacing w:after="100"/>
      </w:pPr>
      <w:r w:rsidRPr="00D9348B">
        <w:t xml:space="preserve">Annual land-use changes from 2008 to 2016 are generally linearly interpolated between the 2008, 2012 and 2016 </w:t>
      </w:r>
      <w:r w:rsidR="00766DDA">
        <w:t>land-use</w:t>
      </w:r>
      <w:r w:rsidRPr="00D9348B">
        <w:t xml:space="preserve"> maps. The only exceptions to this are:</w:t>
      </w:r>
    </w:p>
    <w:p w14:paraId="24CBF65B" w14:textId="77777777" w:rsidR="00A10636" w:rsidRPr="00D9348B" w:rsidRDefault="00A10636" w:rsidP="00A10636">
      <w:pPr>
        <w:pStyle w:val="Bullet"/>
      </w:pPr>
      <w:r w:rsidRPr="00D9348B">
        <w:t>deforestation occurring between 2008 and 2016, which is mapped annually (see section 6.2.2 for a description of annual deforestation mapping)</w:t>
      </w:r>
    </w:p>
    <w:p w14:paraId="3FB6B43C" w14:textId="77777777" w:rsidR="00A10636" w:rsidRPr="00D9348B" w:rsidRDefault="00A10636" w:rsidP="00A10636">
      <w:pPr>
        <w:pStyle w:val="Bullet"/>
      </w:pPr>
      <w:proofErr w:type="gramStart"/>
      <w:r w:rsidRPr="00D9348B">
        <w:t>afforestation</w:t>
      </w:r>
      <w:proofErr w:type="gramEnd"/>
      <w:r w:rsidRPr="00D9348B">
        <w:t>, which uses a mixture of mapped and surveyed data as detailed in table 6.2.5. This is because not all new planting will have been detected in satellite imagery and mapped into the 2016 map yet. New planting can take up to four years to be visible in satellite imagery, therefore, afforestation mapping up to 2016 will not be finalised until 2020.</w:t>
      </w:r>
    </w:p>
    <w:p w14:paraId="5F2D3DF5" w14:textId="52AB3F13" w:rsidR="00A10636" w:rsidRPr="00D9348B" w:rsidRDefault="00A10636" w:rsidP="00A10636">
      <w:pPr>
        <w:pStyle w:val="Table"/>
      </w:pPr>
      <w:bookmarkStart w:id="1422" w:name="_Toc33529387"/>
      <w:bookmarkStart w:id="1423" w:name="_Toc36224593"/>
      <w:r w:rsidRPr="00D9348B">
        <w:lastRenderedPageBreak/>
        <w:t>Table 6.2.5</w:t>
      </w:r>
      <w:r w:rsidRPr="00D9348B">
        <w:tab/>
        <w:t>Methods used to estimate Afforestation total area and trends between 2008</w:t>
      </w:r>
      <w:r w:rsidR="002F6E5E" w:rsidRPr="00D9348B">
        <w:t> </w:t>
      </w:r>
      <w:r w:rsidRPr="00D9348B">
        <w:t>and</w:t>
      </w:r>
      <w:r w:rsidR="00164ECC" w:rsidRPr="00D9348B">
        <w:t> </w:t>
      </w:r>
      <w:r w:rsidRPr="00D9348B">
        <w:t>2016</w:t>
      </w:r>
      <w:bookmarkEnd w:id="1422"/>
      <w:bookmarkEnd w:id="1423"/>
    </w:p>
    <w:tbl>
      <w:tblPr>
        <w:tblW w:w="8505" w:type="dxa"/>
        <w:tblInd w:w="108" w:type="dxa"/>
        <w:tblBorders>
          <w:top w:val="single" w:sz="4" w:space="0" w:color="auto"/>
          <w:bottom w:val="single" w:sz="4" w:space="0" w:color="auto"/>
          <w:insideH w:val="single" w:sz="4" w:space="0" w:color="auto"/>
        </w:tblBorders>
        <w:tblCellMar>
          <w:left w:w="85" w:type="dxa"/>
          <w:right w:w="85" w:type="dxa"/>
        </w:tblCellMar>
        <w:tblLook w:val="04A0" w:firstRow="1" w:lastRow="0" w:firstColumn="1" w:lastColumn="0" w:noHBand="0" w:noVBand="1"/>
      </w:tblPr>
      <w:tblGrid>
        <w:gridCol w:w="1418"/>
        <w:gridCol w:w="1701"/>
        <w:gridCol w:w="1984"/>
        <w:gridCol w:w="1843"/>
        <w:gridCol w:w="1559"/>
      </w:tblGrid>
      <w:tr w:rsidR="00965711" w:rsidRPr="00D9348B" w14:paraId="629AA849" w14:textId="77777777" w:rsidTr="009B639F">
        <w:tc>
          <w:tcPr>
            <w:tcW w:w="1418" w:type="dxa"/>
            <w:tcBorders>
              <w:top w:val="single" w:sz="4" w:space="0" w:color="365F91"/>
              <w:bottom w:val="single" w:sz="4" w:space="0" w:color="365F91"/>
              <w:right w:val="single" w:sz="4" w:space="0" w:color="365F91"/>
            </w:tcBorders>
            <w:shd w:val="clear" w:color="auto" w:fill="365F91"/>
          </w:tcPr>
          <w:p w14:paraId="65AEC9E0" w14:textId="77777777" w:rsidR="00A10636" w:rsidRPr="00D9348B" w:rsidRDefault="00A10636" w:rsidP="00965711">
            <w:pPr>
              <w:pStyle w:val="TableTextBold"/>
              <w:jc w:val="both"/>
              <w:rPr>
                <w:noProof w:val="0"/>
                <w:color w:val="FFFFFF"/>
              </w:rPr>
            </w:pPr>
          </w:p>
        </w:tc>
        <w:tc>
          <w:tcPr>
            <w:tcW w:w="3685" w:type="dxa"/>
            <w:gridSpan w:val="2"/>
            <w:tcBorders>
              <w:top w:val="single" w:sz="4" w:space="0" w:color="365F91"/>
              <w:left w:val="single" w:sz="4" w:space="0" w:color="365F91"/>
              <w:bottom w:val="single" w:sz="4" w:space="0" w:color="365F91"/>
              <w:right w:val="single" w:sz="4" w:space="0" w:color="365F91"/>
            </w:tcBorders>
            <w:shd w:val="clear" w:color="auto" w:fill="365F91"/>
          </w:tcPr>
          <w:p w14:paraId="7D838976" w14:textId="77777777" w:rsidR="00A10636" w:rsidRPr="00D9348B" w:rsidRDefault="00A10636" w:rsidP="00965711">
            <w:pPr>
              <w:pStyle w:val="TableTextBold"/>
              <w:jc w:val="center"/>
              <w:rPr>
                <w:noProof w:val="0"/>
                <w:color w:val="FFFFFF"/>
              </w:rPr>
            </w:pPr>
            <w:r w:rsidRPr="00D9348B">
              <w:rPr>
                <w:noProof w:val="0"/>
                <w:color w:val="FFFFFF"/>
              </w:rPr>
              <w:t>Reporting years: 2008 to 2012</w:t>
            </w:r>
          </w:p>
        </w:tc>
        <w:tc>
          <w:tcPr>
            <w:tcW w:w="3402" w:type="dxa"/>
            <w:gridSpan w:val="2"/>
            <w:tcBorders>
              <w:top w:val="single" w:sz="4" w:space="0" w:color="365F91"/>
              <w:left w:val="single" w:sz="4" w:space="0" w:color="365F91"/>
              <w:bottom w:val="single" w:sz="4" w:space="0" w:color="365F91"/>
            </w:tcBorders>
            <w:shd w:val="clear" w:color="auto" w:fill="365F91"/>
          </w:tcPr>
          <w:p w14:paraId="3A3D7412" w14:textId="77777777" w:rsidR="00A10636" w:rsidRPr="00D9348B" w:rsidRDefault="00A10636" w:rsidP="00965711">
            <w:pPr>
              <w:pStyle w:val="TableTextBold"/>
              <w:jc w:val="center"/>
              <w:rPr>
                <w:noProof w:val="0"/>
                <w:color w:val="FFFFFF"/>
              </w:rPr>
            </w:pPr>
            <w:r w:rsidRPr="00D9348B">
              <w:rPr>
                <w:noProof w:val="0"/>
                <w:color w:val="FFFFFF"/>
              </w:rPr>
              <w:t>Reporting years: 2013 to 2016</w:t>
            </w:r>
          </w:p>
        </w:tc>
      </w:tr>
      <w:tr w:rsidR="00965711" w:rsidRPr="00D9348B" w14:paraId="7DE10109" w14:textId="77777777" w:rsidTr="009B639F">
        <w:tc>
          <w:tcPr>
            <w:tcW w:w="1418" w:type="dxa"/>
            <w:tcBorders>
              <w:top w:val="single" w:sz="4" w:space="0" w:color="365F91"/>
            </w:tcBorders>
            <w:shd w:val="clear" w:color="auto" w:fill="auto"/>
          </w:tcPr>
          <w:p w14:paraId="6236D8E0" w14:textId="77777777" w:rsidR="00A10636" w:rsidRPr="00D9348B" w:rsidRDefault="00A10636" w:rsidP="00DB330E">
            <w:pPr>
              <w:pStyle w:val="TableText"/>
            </w:pPr>
            <w:r w:rsidRPr="00D9348B">
              <w:t>Afforestation type</w:t>
            </w:r>
          </w:p>
        </w:tc>
        <w:tc>
          <w:tcPr>
            <w:tcW w:w="1701" w:type="dxa"/>
            <w:tcBorders>
              <w:top w:val="single" w:sz="4" w:space="0" w:color="365F91"/>
            </w:tcBorders>
            <w:shd w:val="clear" w:color="auto" w:fill="auto"/>
          </w:tcPr>
          <w:p w14:paraId="6D2AF9D7" w14:textId="77777777" w:rsidR="00A10636" w:rsidRPr="00D9348B" w:rsidRDefault="00A10636" w:rsidP="00DB330E">
            <w:pPr>
              <w:pStyle w:val="TableText"/>
            </w:pPr>
            <w:r w:rsidRPr="00D9348B">
              <w:t>Estimate of total afforestation for the period</w:t>
            </w:r>
          </w:p>
        </w:tc>
        <w:tc>
          <w:tcPr>
            <w:tcW w:w="1984" w:type="dxa"/>
            <w:tcBorders>
              <w:top w:val="single" w:sz="4" w:space="0" w:color="365F91"/>
            </w:tcBorders>
            <w:shd w:val="clear" w:color="auto" w:fill="auto"/>
          </w:tcPr>
          <w:p w14:paraId="24BF9F99" w14:textId="77777777" w:rsidR="00A10636" w:rsidRPr="00D9348B" w:rsidRDefault="00A10636" w:rsidP="00DB330E">
            <w:pPr>
              <w:pStyle w:val="TableText"/>
            </w:pPr>
            <w:r w:rsidRPr="00D9348B">
              <w:t>Trend in afforestation within the period</w:t>
            </w:r>
          </w:p>
        </w:tc>
        <w:tc>
          <w:tcPr>
            <w:tcW w:w="1843" w:type="dxa"/>
            <w:tcBorders>
              <w:top w:val="single" w:sz="4" w:space="0" w:color="365F91"/>
            </w:tcBorders>
            <w:shd w:val="clear" w:color="auto" w:fill="auto"/>
          </w:tcPr>
          <w:p w14:paraId="665A7909" w14:textId="77777777" w:rsidR="00A10636" w:rsidRPr="00D9348B" w:rsidRDefault="00A10636" w:rsidP="00DB330E">
            <w:pPr>
              <w:pStyle w:val="TableText"/>
            </w:pPr>
            <w:r w:rsidRPr="00D9348B">
              <w:t>Estimate of total afforestation for the period</w:t>
            </w:r>
          </w:p>
        </w:tc>
        <w:tc>
          <w:tcPr>
            <w:tcW w:w="1559" w:type="dxa"/>
            <w:tcBorders>
              <w:top w:val="single" w:sz="4" w:space="0" w:color="365F91"/>
            </w:tcBorders>
            <w:shd w:val="clear" w:color="auto" w:fill="auto"/>
          </w:tcPr>
          <w:p w14:paraId="37E240E9" w14:textId="77777777" w:rsidR="00A10636" w:rsidRPr="00D9348B" w:rsidRDefault="00A10636" w:rsidP="00DB330E">
            <w:pPr>
              <w:pStyle w:val="TableText"/>
            </w:pPr>
            <w:r w:rsidRPr="00D9348B">
              <w:t>Trend in afforestation within the period</w:t>
            </w:r>
          </w:p>
        </w:tc>
      </w:tr>
      <w:tr w:rsidR="00965711" w:rsidRPr="00D9348B" w14:paraId="5122BCC0" w14:textId="77777777" w:rsidTr="009B639F">
        <w:tc>
          <w:tcPr>
            <w:tcW w:w="1418" w:type="dxa"/>
            <w:shd w:val="clear" w:color="auto" w:fill="auto"/>
          </w:tcPr>
          <w:p w14:paraId="3BF1A0AB" w14:textId="77777777" w:rsidR="00A10636" w:rsidRPr="00D9348B" w:rsidRDefault="00A10636" w:rsidP="00DB330E">
            <w:pPr>
              <w:pStyle w:val="TableText"/>
            </w:pPr>
            <w:r w:rsidRPr="00D9348B">
              <w:t>Post-1989 planted forest</w:t>
            </w:r>
          </w:p>
        </w:tc>
        <w:tc>
          <w:tcPr>
            <w:tcW w:w="1701" w:type="dxa"/>
            <w:shd w:val="clear" w:color="auto" w:fill="auto"/>
          </w:tcPr>
          <w:p w14:paraId="3FAD9743" w14:textId="77777777" w:rsidR="00A10636" w:rsidRPr="00D9348B" w:rsidRDefault="00A10636" w:rsidP="00DB330E">
            <w:pPr>
              <w:pStyle w:val="TableText"/>
            </w:pPr>
            <w:r w:rsidRPr="00D9348B">
              <w:t>Based on mapped change between 2008 and 2012</w:t>
            </w:r>
          </w:p>
        </w:tc>
        <w:tc>
          <w:tcPr>
            <w:tcW w:w="1984" w:type="dxa"/>
            <w:shd w:val="clear" w:color="auto" w:fill="auto"/>
          </w:tcPr>
          <w:p w14:paraId="0190C8B3" w14:textId="77777777" w:rsidR="00A10636" w:rsidRPr="00D9348B" w:rsidRDefault="00A10636" w:rsidP="00DB330E">
            <w:pPr>
              <w:pStyle w:val="TableText"/>
            </w:pPr>
            <w:r w:rsidRPr="00D9348B">
              <w:t>Based on trend in afforestation reported in 2018 National Exotic Forest Description (NEFD) (Ministry for Primary Industries, 2018b)</w:t>
            </w:r>
          </w:p>
        </w:tc>
        <w:tc>
          <w:tcPr>
            <w:tcW w:w="1843" w:type="dxa"/>
            <w:shd w:val="clear" w:color="auto" w:fill="auto"/>
          </w:tcPr>
          <w:p w14:paraId="2A7028F6" w14:textId="77777777" w:rsidR="00A10636" w:rsidRPr="00D9348B" w:rsidRDefault="00A10636" w:rsidP="00DB330E">
            <w:pPr>
              <w:pStyle w:val="TableText"/>
            </w:pPr>
            <w:r w:rsidRPr="00D9348B">
              <w:t>Based on annual afforestation areas reported in the 2018 NEFD scaled up from net to gross area as described in section 6.4.1</w:t>
            </w:r>
          </w:p>
        </w:tc>
        <w:tc>
          <w:tcPr>
            <w:tcW w:w="1559" w:type="dxa"/>
            <w:shd w:val="clear" w:color="auto" w:fill="auto"/>
          </w:tcPr>
          <w:p w14:paraId="2BE0261C" w14:textId="77777777" w:rsidR="00A10636" w:rsidRPr="00D9348B" w:rsidRDefault="00A10636" w:rsidP="00DB330E">
            <w:pPr>
              <w:pStyle w:val="TableText"/>
            </w:pPr>
            <w:r w:rsidRPr="00D9348B">
              <w:t>From NEFD 2018 since using annual area totals from that data set</w:t>
            </w:r>
          </w:p>
        </w:tc>
      </w:tr>
      <w:tr w:rsidR="00965711" w:rsidRPr="00D9348B" w14:paraId="4E743A8A" w14:textId="77777777" w:rsidTr="009B639F">
        <w:tc>
          <w:tcPr>
            <w:tcW w:w="1418" w:type="dxa"/>
            <w:shd w:val="clear" w:color="auto" w:fill="auto"/>
          </w:tcPr>
          <w:p w14:paraId="3CAFF944" w14:textId="77777777" w:rsidR="00A10636" w:rsidRPr="00D9348B" w:rsidRDefault="00A10636" w:rsidP="00DB330E">
            <w:pPr>
              <w:pStyle w:val="TableText"/>
            </w:pPr>
            <w:r w:rsidRPr="00D9348B">
              <w:t>Post-1989 natural forest</w:t>
            </w:r>
          </w:p>
        </w:tc>
        <w:tc>
          <w:tcPr>
            <w:tcW w:w="1701" w:type="dxa"/>
            <w:shd w:val="clear" w:color="auto" w:fill="auto"/>
          </w:tcPr>
          <w:p w14:paraId="45FA69E3" w14:textId="77777777" w:rsidR="00A10636" w:rsidRPr="00D9348B" w:rsidRDefault="00A10636" w:rsidP="00DB330E">
            <w:pPr>
              <w:pStyle w:val="TableText"/>
            </w:pPr>
            <w:r w:rsidRPr="00D9348B">
              <w:t>Based on mapped change between 2008 and 2012</w:t>
            </w:r>
          </w:p>
        </w:tc>
        <w:tc>
          <w:tcPr>
            <w:tcW w:w="1984" w:type="dxa"/>
            <w:shd w:val="clear" w:color="auto" w:fill="auto"/>
          </w:tcPr>
          <w:p w14:paraId="32BD0E8B" w14:textId="77777777" w:rsidR="00A10636" w:rsidRPr="00D9348B" w:rsidRDefault="00A10636" w:rsidP="00DB330E">
            <w:pPr>
              <w:pStyle w:val="TableText"/>
            </w:pPr>
            <w:r w:rsidRPr="00D9348B">
              <w:t>Linear interpolation</w:t>
            </w:r>
          </w:p>
        </w:tc>
        <w:tc>
          <w:tcPr>
            <w:tcW w:w="1843" w:type="dxa"/>
            <w:shd w:val="clear" w:color="auto" w:fill="auto"/>
          </w:tcPr>
          <w:p w14:paraId="19E3C59D" w14:textId="77777777" w:rsidR="00A10636" w:rsidRPr="00D9348B" w:rsidRDefault="00A10636" w:rsidP="00DB330E">
            <w:pPr>
              <w:pStyle w:val="TableText"/>
            </w:pPr>
            <w:r w:rsidRPr="00D9348B">
              <w:t>Based on Ministry for Primary Industries Forestry Scheme applications for funding to support planting and regeneration of indigenous forest</w:t>
            </w:r>
          </w:p>
        </w:tc>
        <w:tc>
          <w:tcPr>
            <w:tcW w:w="1559" w:type="dxa"/>
            <w:shd w:val="clear" w:color="auto" w:fill="auto"/>
          </w:tcPr>
          <w:p w14:paraId="5220C6B7" w14:textId="77777777" w:rsidR="00A10636" w:rsidRPr="00D9348B" w:rsidRDefault="00A10636" w:rsidP="00DB330E">
            <w:pPr>
              <w:pStyle w:val="TableText"/>
            </w:pPr>
            <w:r w:rsidRPr="00D9348B">
              <w:t>Based on actual planting dates supplied in Ministry for Primary Industries Forestry Scheme data</w:t>
            </w:r>
          </w:p>
        </w:tc>
      </w:tr>
    </w:tbl>
    <w:p w14:paraId="5BF694BA" w14:textId="77777777" w:rsidR="00A10636" w:rsidRPr="00D9348B" w:rsidRDefault="00A10636" w:rsidP="009B639F">
      <w:pPr>
        <w:pStyle w:val="Heading4"/>
        <w:spacing w:before="360"/>
      </w:pPr>
      <w:r w:rsidRPr="00D9348B">
        <w:t>Estimating land-use change in 2017 and 2018</w:t>
      </w:r>
    </w:p>
    <w:p w14:paraId="1DB4802F" w14:textId="77777777" w:rsidR="00A10636" w:rsidRPr="00D9348B" w:rsidRDefault="00A10636" w:rsidP="00B82F1A">
      <w:pPr>
        <w:pStyle w:val="BodyText"/>
      </w:pPr>
      <w:r w:rsidRPr="00D9348B">
        <w:t xml:space="preserve">Activity data for the two most recent years of this inventory, 2017 and 2018, have been estimated from surveys for deforestation (Manley, 2019) and afforestation (Ministry for Primary Industries, 2018b) and extrapolated from the most recent mapped period of </w:t>
      </w:r>
      <w:r w:rsidRPr="00D9348B">
        <w:br/>
        <w:t>2012–16 for all other land-use changes.</w:t>
      </w:r>
    </w:p>
    <w:p w14:paraId="30A65208" w14:textId="77777777" w:rsidR="00A10636" w:rsidRPr="00D9348B" w:rsidRDefault="00A10636" w:rsidP="009B639F">
      <w:pPr>
        <w:pStyle w:val="Heading5"/>
        <w:spacing w:before="160"/>
      </w:pPr>
      <w:r w:rsidRPr="00D9348B">
        <w:t>Deforestation</w:t>
      </w:r>
    </w:p>
    <w:p w14:paraId="77A5D744" w14:textId="77777777" w:rsidR="00A10636" w:rsidRPr="00D9348B" w:rsidRDefault="00A10636" w:rsidP="00B82F1A">
      <w:pPr>
        <w:pStyle w:val="BodyText"/>
      </w:pPr>
      <w:r w:rsidRPr="00D9348B">
        <w:t>Deforestation of pre-1990 planted forest and post-1989 forest occurring during 2017 and 2018 has been estimated based on the Deforestation Intentions Surveys for 2018 (Manley, 2019). This report does not distinguish between pre-1990 and post-1989 forest deforestation, therefore, the proportion of deforestation from each forest type has been estimated based on the relative proportions of deforestation of these forest types in the most recently mapped five-year period (2012–16). This ratio provides the most up-to-date estimate of the ratio of deforestation of these forest types.</w:t>
      </w:r>
    </w:p>
    <w:p w14:paraId="30404E28" w14:textId="77777777" w:rsidR="00A10636" w:rsidRPr="00D9348B" w:rsidRDefault="00A10636" w:rsidP="00B82F1A">
      <w:pPr>
        <w:pStyle w:val="BodyText"/>
      </w:pPr>
      <w:r w:rsidRPr="00D9348B">
        <w:t xml:space="preserve">The destination land use for areas of estimated deforestation has been pro-rated between the low producing and high producing grassland classes in the same proportion as the mapped destination land uses of deforestation occurring in the period 2012–16. </w:t>
      </w:r>
    </w:p>
    <w:p w14:paraId="2E031126" w14:textId="77777777" w:rsidR="00A10636" w:rsidRPr="00D9348B" w:rsidRDefault="00A10636" w:rsidP="00B82F1A">
      <w:pPr>
        <w:pStyle w:val="BodyText"/>
      </w:pPr>
      <w:r w:rsidRPr="00D9348B">
        <w:t>Deforestation of pre-1990 natural forest for 2017 and 2018 has been estimated as occurring at the same annual rate as the most recently mapped five-year period (2012–16). The destination land use has been estimated in the same manner as for pre-1990 planted forest and post-1989 forest deforestation (described above).</w:t>
      </w:r>
    </w:p>
    <w:p w14:paraId="46B5B69F" w14:textId="77777777" w:rsidR="00A10636" w:rsidRPr="00D9348B" w:rsidRDefault="00A10636" w:rsidP="009B639F">
      <w:pPr>
        <w:pStyle w:val="Heading5"/>
        <w:spacing w:before="160"/>
      </w:pPr>
      <w:r w:rsidRPr="00D9348B">
        <w:t>Afforestation</w:t>
      </w:r>
    </w:p>
    <w:p w14:paraId="442BC71B" w14:textId="77777777" w:rsidR="00A10636" w:rsidRPr="00D9348B" w:rsidRDefault="00A10636" w:rsidP="00B82F1A">
      <w:pPr>
        <w:pStyle w:val="BodyText"/>
      </w:pPr>
      <w:r w:rsidRPr="00D9348B">
        <w:t>The annual area of afforestation of post-1989 planted forest for 2017 and 2018 is based on estimates from the NEFD (Ministry for Primary Industries, 2018b).</w:t>
      </w:r>
    </w:p>
    <w:p w14:paraId="5E822C60" w14:textId="77777777" w:rsidR="00A10636" w:rsidRPr="00D9348B" w:rsidRDefault="00A10636" w:rsidP="00B82F1A">
      <w:pPr>
        <w:pStyle w:val="BodyText"/>
      </w:pPr>
      <w:r w:rsidRPr="00D9348B">
        <w:t>The land use prior to afforestation has been pro-rated across all non-forest land uses in the same proportions as for post-1989 afforestation that has been mapped between 2012 and 2016.</w:t>
      </w:r>
    </w:p>
    <w:p w14:paraId="42ED4959" w14:textId="77777777" w:rsidR="00A10636" w:rsidRPr="00D9348B" w:rsidRDefault="00A10636" w:rsidP="0047613C">
      <w:pPr>
        <w:pStyle w:val="Heading5"/>
        <w:spacing w:before="160"/>
      </w:pPr>
      <w:r w:rsidRPr="00D9348B">
        <w:lastRenderedPageBreak/>
        <w:t>Other land-use changes</w:t>
      </w:r>
    </w:p>
    <w:p w14:paraId="2423B972" w14:textId="77777777" w:rsidR="00A10636" w:rsidRPr="00D9348B" w:rsidRDefault="00A10636" w:rsidP="00A10636">
      <w:pPr>
        <w:pStyle w:val="BodyText"/>
        <w:spacing w:before="100" w:after="100"/>
      </w:pPr>
      <w:r w:rsidRPr="00D9348B">
        <w:t xml:space="preserve">All other land-use changes for 2017 and 2018 have been linearly extrapolated from the changes mapped between 2012 and 2016. </w:t>
      </w:r>
    </w:p>
    <w:p w14:paraId="098E034A" w14:textId="77777777" w:rsidR="00A10636" w:rsidRPr="00D9348B" w:rsidRDefault="00A10636" w:rsidP="00103A6C">
      <w:pPr>
        <w:pStyle w:val="Heading4"/>
        <w:spacing w:before="200"/>
      </w:pPr>
      <w:r w:rsidRPr="00D9348B">
        <w:t>Prominent land-use changes from 1990 to 2018</w:t>
      </w:r>
    </w:p>
    <w:p w14:paraId="2820DC31" w14:textId="77777777" w:rsidR="00A10636" w:rsidRPr="00D9348B" w:rsidRDefault="00A10636" w:rsidP="00A10636">
      <w:pPr>
        <w:pStyle w:val="BodyText"/>
        <w:spacing w:after="100"/>
      </w:pPr>
      <w:r w:rsidRPr="00D9348B">
        <w:t>Prominent land-use changes between 1 January 1990 and 31 December 2018 include:</w:t>
      </w:r>
    </w:p>
    <w:p w14:paraId="0FAC0105" w14:textId="77777777" w:rsidR="00A10636" w:rsidRPr="00D9348B" w:rsidRDefault="00A10636" w:rsidP="00A10636">
      <w:pPr>
        <w:pStyle w:val="Bullet"/>
      </w:pPr>
      <w:proofErr w:type="gramStart"/>
      <w:r w:rsidRPr="00D9348B">
        <w:t>forest</w:t>
      </w:r>
      <w:proofErr w:type="gramEnd"/>
      <w:r w:rsidRPr="00D9348B">
        <w:t xml:space="preserve"> establishment of 733,862 hectares (classified as post-1989 forest) that has occurred mostly on land that was previously grassland, primarily low producing grassland. Of this area, 31,272 hectares has since been deforested</w:t>
      </w:r>
    </w:p>
    <w:p w14:paraId="54AFDFA7" w14:textId="77777777" w:rsidR="00A10636" w:rsidRPr="00D9348B" w:rsidRDefault="00A10636" w:rsidP="00A10636">
      <w:pPr>
        <w:pStyle w:val="Bullet"/>
      </w:pPr>
      <w:proofErr w:type="gramStart"/>
      <w:r w:rsidRPr="00D9348B">
        <w:t>deforestation</w:t>
      </w:r>
      <w:proofErr w:type="gramEnd"/>
      <w:r w:rsidRPr="00D9348B">
        <w:t xml:space="preserve"> of 204,628 hectares. This includes the 31,272 hectares of post-1989 forest that was planted and then deforested between 1990 and 2018. Deforestation has occurred mainly in planted forests since 2004. Between 1990 and 2004, there was little deforestation of planted forests in New Zealand, due to market conditions.</w:t>
      </w:r>
    </w:p>
    <w:p w14:paraId="7A23E467" w14:textId="77777777" w:rsidR="00A10636" w:rsidRPr="00D9348B" w:rsidRDefault="00A10636" w:rsidP="00103A6C">
      <w:pPr>
        <w:pStyle w:val="Heading3"/>
        <w:spacing w:before="240"/>
      </w:pPr>
      <w:bookmarkStart w:id="1424" w:name="_Toc361645365"/>
      <w:r w:rsidRPr="00D9348B">
        <w:t>6.2.4</w:t>
      </w:r>
      <w:r w:rsidRPr="00D9348B">
        <w:tab/>
        <w:t>Methodological change</w:t>
      </w:r>
      <w:bookmarkEnd w:id="1424"/>
    </w:p>
    <w:p w14:paraId="4DFE4259" w14:textId="46F52A77" w:rsidR="00A10636" w:rsidRPr="00D9348B" w:rsidRDefault="00A10636" w:rsidP="00A10636">
      <w:pPr>
        <w:pStyle w:val="BodyText"/>
      </w:pPr>
      <w:r w:rsidRPr="00D9348B">
        <w:t xml:space="preserve">For this submission, improvements have been made to the 1990, 2008, 2012 and 2016 </w:t>
      </w:r>
      <w:r w:rsidR="00766DDA">
        <w:t>land-use</w:t>
      </w:r>
      <w:r w:rsidRPr="00D9348B">
        <w:t xml:space="preserve"> maps. This year, improvements have focused on:</w:t>
      </w:r>
    </w:p>
    <w:p w14:paraId="2E441EC9" w14:textId="77777777" w:rsidR="00A10636" w:rsidRPr="00D9348B" w:rsidRDefault="00A10636" w:rsidP="00A10636">
      <w:pPr>
        <w:pStyle w:val="Bullet"/>
      </w:pPr>
      <w:r w:rsidRPr="00D9348B">
        <w:t>better delineation of the extent of vegetated wetland and wetland loss</w:t>
      </w:r>
    </w:p>
    <w:p w14:paraId="065DBF51" w14:textId="77777777" w:rsidR="00A10636" w:rsidRPr="00D9348B" w:rsidRDefault="00A10636" w:rsidP="00A10636">
      <w:pPr>
        <w:pStyle w:val="Bullet"/>
      </w:pPr>
      <w:proofErr w:type="gramStart"/>
      <w:r w:rsidRPr="00D9348B">
        <w:t>identification</w:t>
      </w:r>
      <w:proofErr w:type="gramEnd"/>
      <w:r w:rsidRPr="00D9348B">
        <w:t xml:space="preserve"> of tree weed areas. These areas should be mapped as pre-1990 natural forest or post-1989 natural forest, if the infestation occurred after 1990. In some cases, they were incorrectly mapped as pre-1990 planted forest because they have a similar spectral signature to New Zealand plantation forest species and sometimes </w:t>
      </w:r>
      <w:r w:rsidRPr="00D9348B">
        <w:rPr>
          <w:i/>
        </w:rPr>
        <w:t>are</w:t>
      </w:r>
      <w:r w:rsidRPr="00D9348B">
        <w:t xml:space="preserve"> the same species; for example, </w:t>
      </w:r>
      <w:r w:rsidRPr="00D9348B">
        <w:rPr>
          <w:i/>
        </w:rPr>
        <w:t>Pseudotsuga menziesii</w:t>
      </w:r>
      <w:r w:rsidRPr="00D9348B">
        <w:t xml:space="preserve"> (Douglas fir) is grown in plantations in the South Island but has also become a tree weed, spreading into nearby tussock high</w:t>
      </w:r>
      <w:r w:rsidRPr="00D9348B">
        <w:noBreakHyphen/>
        <w:t>country.</w:t>
      </w:r>
    </w:p>
    <w:p w14:paraId="5581460A" w14:textId="77777777" w:rsidR="00A10636" w:rsidRPr="00D9348B" w:rsidRDefault="00A10636" w:rsidP="00103A6C">
      <w:pPr>
        <w:pStyle w:val="Heading3"/>
        <w:spacing w:before="240"/>
      </w:pPr>
      <w:bookmarkStart w:id="1425" w:name="_Toc255466307"/>
      <w:bookmarkStart w:id="1426" w:name="_Toc261513114"/>
      <w:bookmarkStart w:id="1427" w:name="_Toc261513727"/>
      <w:bookmarkStart w:id="1428" w:name="_Toc280630237"/>
      <w:bookmarkStart w:id="1429" w:name="_Toc361645366"/>
      <w:r w:rsidRPr="00D9348B">
        <w:t>6.2.5</w:t>
      </w:r>
      <w:r w:rsidRPr="00D9348B">
        <w:tab/>
        <w:t>Uncertainties and time-series consistency</w:t>
      </w:r>
      <w:bookmarkEnd w:id="1425"/>
      <w:bookmarkEnd w:id="1426"/>
      <w:bookmarkEnd w:id="1427"/>
      <w:bookmarkEnd w:id="1428"/>
      <w:bookmarkEnd w:id="1429"/>
    </w:p>
    <w:p w14:paraId="5B68CFA3" w14:textId="79FEE7FF" w:rsidR="00A10636" w:rsidRPr="00D9348B" w:rsidRDefault="00A10636" w:rsidP="00A10636">
      <w:pPr>
        <w:pStyle w:val="BodyText"/>
        <w:spacing w:after="100"/>
      </w:pPr>
      <w:r w:rsidRPr="00D9348B">
        <w:t xml:space="preserve">In 2014 an accuracy assessment was completed for the 2012 </w:t>
      </w:r>
      <w:r w:rsidR="00766DDA">
        <w:t>land-use</w:t>
      </w:r>
      <w:r w:rsidRPr="00D9348B">
        <w:t xml:space="preserve"> map. A stratified random sample of 2,000 points was made, and the </w:t>
      </w:r>
      <w:r w:rsidR="00766DDA">
        <w:t>land-use</w:t>
      </w:r>
      <w:r w:rsidRPr="00D9348B">
        <w:t xml:space="preserve"> classification was independently assessed at each point location. SPOT-6 natural colour 1.5-metre resolution imagery was used as the reference data source. This imagery met the criteria for a reference data source, having better resolution than the SPOT-5 10-metre resolution imagery used to create the 2012 </w:t>
      </w:r>
      <w:r w:rsidR="00766DDA">
        <w:t>land-use</w:t>
      </w:r>
      <w:r w:rsidRPr="00D9348B">
        <w:t xml:space="preserve"> map, and being acquired over a similar period.</w:t>
      </w:r>
      <w:r w:rsidRPr="00D9348B">
        <w:rPr>
          <w:rStyle w:val="FootnoteReference"/>
        </w:rPr>
        <w:footnoteReference w:id="67"/>
      </w:r>
      <w:r w:rsidRPr="00D9348B">
        <w:t xml:space="preserve"> </w:t>
      </w:r>
    </w:p>
    <w:p w14:paraId="5EF29088" w14:textId="77777777" w:rsidR="00A10636" w:rsidRPr="00D9348B" w:rsidRDefault="00A10636" w:rsidP="00A10636">
      <w:pPr>
        <w:pStyle w:val="BodyText"/>
        <w:spacing w:after="100"/>
      </w:pPr>
      <w:r w:rsidRPr="00D9348B">
        <w:t xml:space="preserve">The overall map accuracy was found to be 95.2 per cent (Poyry Management Consulting </w:t>
      </w:r>
      <w:r w:rsidRPr="00D9348B">
        <w:rPr>
          <w:spacing w:val="-2"/>
        </w:rPr>
        <w:t>(NZ) Ltd, unpublished). The user and producer accuracies for the three forest classes were all over 94 per cent. For all forest classes, the total mapped area fell within the 95 per</w:t>
      </w:r>
      <w:r w:rsidRPr="00D9348B">
        <w:t xml:space="preserve"> cent confidence interval of the total class area as determined by the accuracy assessment.</w:t>
      </w:r>
    </w:p>
    <w:p w14:paraId="1A9F95F6" w14:textId="77777777" w:rsidR="00A10636" w:rsidRPr="00D9348B" w:rsidRDefault="00A10636" w:rsidP="00A10636">
      <w:pPr>
        <w:pStyle w:val="BodyText"/>
        <w:spacing w:after="100"/>
      </w:pPr>
      <w:r w:rsidRPr="00D9348B">
        <w:t xml:space="preserve">Non-forest land uses generally had user and producer accuracies of over 90 per cent. Exceptions were the </w:t>
      </w:r>
      <w:r w:rsidRPr="00D9348B">
        <w:rPr>
          <w:i/>
        </w:rPr>
        <w:t>Wetlands</w:t>
      </w:r>
      <w:r w:rsidRPr="00D9348B">
        <w:t xml:space="preserve"> and </w:t>
      </w:r>
      <w:r w:rsidRPr="00D9348B">
        <w:rPr>
          <w:i/>
        </w:rPr>
        <w:t xml:space="preserve">Grassland with woody biomass </w:t>
      </w:r>
      <w:r w:rsidRPr="00D9348B">
        <w:t xml:space="preserve">categories, for which producer accuracies were 85 per cent and 60 per cent respectively (Poyry Management Consulting (NZ) Ltd, unpublished). The </w:t>
      </w:r>
      <w:r w:rsidRPr="00D9348B">
        <w:rPr>
          <w:i/>
        </w:rPr>
        <w:t>Wetlands</w:t>
      </w:r>
      <w:r w:rsidRPr="00D9348B">
        <w:t xml:space="preserve"> category was slightly under-mapped. This </w:t>
      </w:r>
      <w:r w:rsidRPr="00D9348B">
        <w:lastRenderedPageBreak/>
        <w:t>is because vegetated wetland</w:t>
      </w:r>
      <w:r w:rsidRPr="00D9348B">
        <w:rPr>
          <w:i/>
        </w:rPr>
        <w:t xml:space="preserve"> </w:t>
      </w:r>
      <w:r w:rsidRPr="00D9348B">
        <w:t>and grassland with woody biomass, are sometimes difficult to distinguish in imagery where the extent of flooding varies seasonally. Grassland with woody biomass</w:t>
      </w:r>
      <w:r w:rsidRPr="00D9348B">
        <w:rPr>
          <w:i/>
        </w:rPr>
        <w:t xml:space="preserve"> </w:t>
      </w:r>
      <w:r w:rsidRPr="00D9348B">
        <w:t>appears to be more substantially under-mapped, with accuracy assessment operators identifying areas of high and low producing grassland that should have been mapped as grassland with woody biomass. This is also a difficult judgement call, because the boundary between areas of low producing and high producing grassland and grassland with woody biomass can be hard to define.</w:t>
      </w:r>
    </w:p>
    <w:p w14:paraId="7748CF10" w14:textId="77777777" w:rsidR="00A10636" w:rsidRPr="00D9348B" w:rsidRDefault="00A10636" w:rsidP="001C0BC6">
      <w:pPr>
        <w:pStyle w:val="Heading3"/>
        <w:spacing w:before="280"/>
      </w:pPr>
      <w:bookmarkStart w:id="1430" w:name="_Toc255466308"/>
      <w:bookmarkStart w:id="1431" w:name="_Toc261513115"/>
      <w:bookmarkStart w:id="1432" w:name="_Toc261513728"/>
      <w:bookmarkStart w:id="1433" w:name="_Toc280630238"/>
      <w:bookmarkStart w:id="1434" w:name="_Toc361645367"/>
      <w:r w:rsidRPr="00D9348B">
        <w:t>6.2.6</w:t>
      </w:r>
      <w:r w:rsidRPr="00D9348B">
        <w:tab/>
        <w:t>Quality assurance/quality control (QA/QC) and verification</w:t>
      </w:r>
      <w:bookmarkEnd w:id="1430"/>
      <w:bookmarkEnd w:id="1431"/>
      <w:bookmarkEnd w:id="1432"/>
      <w:bookmarkEnd w:id="1433"/>
      <w:bookmarkEnd w:id="1434"/>
    </w:p>
    <w:p w14:paraId="3F3C8AB4" w14:textId="77777777" w:rsidR="00A10636" w:rsidRPr="00D9348B" w:rsidRDefault="00A10636" w:rsidP="00A10636">
      <w:pPr>
        <w:pStyle w:val="BodyText"/>
      </w:pPr>
      <w:r w:rsidRPr="00D9348B">
        <w:t>Quality-control and quality-assurance procedures have been adopted for all data collection and data analyses, consistent with the 2006 IPCC Guidelines</w:t>
      </w:r>
      <w:r w:rsidRPr="00D9348B" w:rsidDel="00663F9D">
        <w:t xml:space="preserve"> </w:t>
      </w:r>
      <w:r w:rsidRPr="00D9348B">
        <w:t>(IPCC, 2006a) and New Zealand’s inventory quality-control and quality-assurance plan. Data quality and data assurance plans are established for each type of data used to determine carbon stock and stock changes, as well as for the mapping of the areal extent and spatial location of land-use changes.</w:t>
      </w:r>
    </w:p>
    <w:p w14:paraId="10A1F8D4" w14:textId="5503E341" w:rsidR="00A10636" w:rsidRPr="00D9348B" w:rsidRDefault="00A10636" w:rsidP="00A10636">
      <w:pPr>
        <w:pStyle w:val="BodyText"/>
      </w:pPr>
      <w:r w:rsidRPr="00D9348B">
        <w:t xml:space="preserve">The 1990, 2008, 2012 and 2016 </w:t>
      </w:r>
      <w:r w:rsidR="00766DDA">
        <w:t>land-use</w:t>
      </w:r>
      <w:r w:rsidRPr="00D9348B">
        <w:t xml:space="preserve"> mapping data have been checked to determine the level of consistency in satellite image classification with the requirements set out in </w:t>
      </w:r>
      <w:r w:rsidRPr="00D9348B">
        <w:rPr>
          <w:i/>
        </w:rPr>
        <w:t xml:space="preserve">Land Use and Carbon Analysis System: Satellite imagery interpretation guide for </w:t>
      </w:r>
      <w:r w:rsidR="00766DDA">
        <w:rPr>
          <w:i/>
        </w:rPr>
        <w:t>land-use</w:t>
      </w:r>
      <w:r w:rsidRPr="00D9348B">
        <w:rPr>
          <w:i/>
        </w:rPr>
        <w:t xml:space="preserve"> classes</w:t>
      </w:r>
      <w:r w:rsidRPr="00D9348B">
        <w:t xml:space="preserve"> (Ministry for the Environment, 2012). </w:t>
      </w:r>
    </w:p>
    <w:p w14:paraId="30D3A3E6" w14:textId="06A46DAB" w:rsidR="00A10636" w:rsidRPr="00D9348B" w:rsidRDefault="00A10636" w:rsidP="00A10636">
      <w:pPr>
        <w:pStyle w:val="BodyText"/>
      </w:pPr>
      <w:r w:rsidRPr="00D9348B">
        <w:t xml:space="preserve">The quality-control checks performed on the 1990 and 2008 </w:t>
      </w:r>
      <w:r w:rsidR="00766DDA">
        <w:t>land-use</w:t>
      </w:r>
      <w:r w:rsidRPr="00D9348B">
        <w:t xml:space="preserve"> maps included checking approximately 28,000 randomly selected points in areas mapped as forest and grassland with woody biomass. These were evaluated by independent assessors. In this exercise, independent assessors agreed with the original classification 91 per cent of the time. Where there was disagreement, the points were recorded in a register and this was used to plan improvements to the 1990 and 2008 </w:t>
      </w:r>
      <w:r w:rsidR="00766DDA">
        <w:t>land-use</w:t>
      </w:r>
      <w:r w:rsidRPr="00D9348B">
        <w:t xml:space="preserve"> maps. These improvements have now been completed.</w:t>
      </w:r>
    </w:p>
    <w:p w14:paraId="424381F3" w14:textId="19DFB8E2" w:rsidR="00A10636" w:rsidRPr="00D9348B" w:rsidRDefault="00A10636" w:rsidP="00A10636">
      <w:pPr>
        <w:pStyle w:val="BodyText"/>
      </w:pPr>
      <w:r w:rsidRPr="00D9348B">
        <w:t xml:space="preserve">Two distinct quality-control checks were performed on the 2012 </w:t>
      </w:r>
      <w:r w:rsidR="00766DDA">
        <w:t>land-use</w:t>
      </w:r>
      <w:r w:rsidRPr="00D9348B">
        <w:t xml:space="preserve"> map. The first of these checked every polygon where land-use change had occurred from a non-forest land use between 2008 and 2012. The acceptance criterion for this check was that the </w:t>
      </w:r>
      <w:r w:rsidR="00766DDA">
        <w:t>land-use</w:t>
      </w:r>
      <w:r w:rsidRPr="00D9348B">
        <w:t xml:space="preserve"> classification had to be correct at both mapping dates at least 90 per cent of the time. This means that the land use both at the start of the land-use change event and at the end of the land-use change event had to be correct. The second quality-control measure was to check the accuracy of destock detection in areas that were in a forest land use at 2008. Sampling for this check was designed to test that at least 90 per cent of the destocking had been detected at the 95 per cent confidence level. Checks were completed on each of the 16 regions of New Zealand individually and all regions passed. During this process, 14,443 points were checked. </w:t>
      </w:r>
    </w:p>
    <w:p w14:paraId="32DD277D" w14:textId="5072A3C5" w:rsidR="00A10636" w:rsidRPr="00D9348B" w:rsidRDefault="00A10636" w:rsidP="00A10636">
      <w:pPr>
        <w:pStyle w:val="BodyText"/>
      </w:pPr>
      <w:r w:rsidRPr="00D9348B">
        <w:t xml:space="preserve">Quality-control checking for the 2016 </w:t>
      </w:r>
      <w:r w:rsidR="00766DDA">
        <w:t>land-use</w:t>
      </w:r>
      <w:r w:rsidRPr="00D9348B">
        <w:t xml:space="preserve"> map was carried out region by region looking at all areas of expected change (based on mapping targets sent to the mapping supplier) and actual change supplied in the map. Checks were also made for invalid change, for example, a pre-1990 planted forest cannot change to a post-1989 forest. Spatial checks were performed to ensure that the integrity of the map had been maintained. These included checking for gaps and overlaps as well as that the total area of the map had not changed.</w:t>
      </w:r>
    </w:p>
    <w:p w14:paraId="6940A293" w14:textId="7B285027" w:rsidR="00A10636" w:rsidRPr="00D9348B" w:rsidRDefault="00A10636" w:rsidP="00A10636">
      <w:pPr>
        <w:pStyle w:val="BodyText"/>
      </w:pPr>
      <w:r w:rsidRPr="00D9348B">
        <w:t>Each mapping improvement activity carried out on the 1990, 2008, 2012 and 2016 maps has been subjected to quality-assurance checks to ensure accuracy and consistency. Quality</w:t>
      </w:r>
      <w:r w:rsidRPr="00D9348B">
        <w:noBreakHyphen/>
        <w:t>assurance strategies have been tailored to each improvement activity, usually including a combination of random sampling of updated areas and analysis of the changes in </w:t>
      </w:r>
      <w:r w:rsidR="00766DDA">
        <w:t>land-use</w:t>
      </w:r>
      <w:r w:rsidRPr="00D9348B">
        <w:t> areas.</w:t>
      </w:r>
    </w:p>
    <w:p w14:paraId="6FA9DC22" w14:textId="77777777" w:rsidR="00A10636" w:rsidRPr="00D9348B" w:rsidRDefault="00A10636" w:rsidP="00A10636">
      <w:pPr>
        <w:pStyle w:val="BodyText"/>
        <w:spacing w:before="100" w:after="100"/>
      </w:pPr>
      <w:r w:rsidRPr="00D9348B">
        <w:lastRenderedPageBreak/>
        <w:t xml:space="preserve">The approach used to implement quality-assurance processes is documented in the LUCAS Data Quality Framework (PricewaterhouseCoopers, unpublished). </w:t>
      </w:r>
    </w:p>
    <w:p w14:paraId="626EF26B" w14:textId="77777777" w:rsidR="00A10636" w:rsidRPr="00D9348B" w:rsidRDefault="00A10636" w:rsidP="00103A6C">
      <w:pPr>
        <w:pStyle w:val="Heading3"/>
        <w:spacing w:before="280"/>
      </w:pPr>
      <w:bookmarkStart w:id="1435" w:name="_Toc255466309"/>
      <w:bookmarkStart w:id="1436" w:name="_Toc261513116"/>
      <w:bookmarkStart w:id="1437" w:name="_Toc261513729"/>
      <w:bookmarkStart w:id="1438" w:name="_Toc280630239"/>
      <w:bookmarkStart w:id="1439" w:name="_Toc361645368"/>
      <w:r w:rsidRPr="00D9348B">
        <w:t>6.2.7</w:t>
      </w:r>
      <w:r w:rsidRPr="00D9348B">
        <w:tab/>
        <w:t>Planned improvements</w:t>
      </w:r>
      <w:bookmarkEnd w:id="1435"/>
      <w:bookmarkEnd w:id="1436"/>
      <w:bookmarkEnd w:id="1437"/>
      <w:bookmarkEnd w:id="1438"/>
      <w:bookmarkEnd w:id="1439"/>
    </w:p>
    <w:p w14:paraId="5556ECA1" w14:textId="77777777" w:rsidR="00A10636" w:rsidRPr="00D9348B" w:rsidRDefault="00A10636" w:rsidP="00A10636">
      <w:pPr>
        <w:pStyle w:val="BodyText"/>
      </w:pPr>
      <w:r w:rsidRPr="00D9348B">
        <w:t>During 2020, the following mapping improvements will be undertaken:</w:t>
      </w:r>
    </w:p>
    <w:p w14:paraId="02C0BCB3" w14:textId="77777777" w:rsidR="00A10636" w:rsidRPr="00D9348B" w:rsidRDefault="00A10636" w:rsidP="00771A8F">
      <w:pPr>
        <w:pStyle w:val="Bullet"/>
        <w:numPr>
          <w:ilvl w:val="0"/>
          <w:numId w:val="20"/>
        </w:numPr>
      </w:pPr>
      <w:r w:rsidRPr="00D9348B">
        <w:t>improvement to the accuracy of the mapping of pre-1990 planted forest through scrutiny of the areas not included in the Forestry Allocation Plan</w:t>
      </w:r>
      <w:r w:rsidRPr="00D9348B" w:rsidDel="00ED4271">
        <w:t xml:space="preserve"> </w:t>
      </w:r>
    </w:p>
    <w:p w14:paraId="3713DB32" w14:textId="77777777" w:rsidR="00A10636" w:rsidRPr="00D9348B" w:rsidRDefault="00A10636" w:rsidP="00771A8F">
      <w:pPr>
        <w:pStyle w:val="Bullet"/>
        <w:numPr>
          <w:ilvl w:val="0"/>
          <w:numId w:val="20"/>
        </w:numPr>
        <w:spacing w:after="100"/>
      </w:pPr>
      <w:r w:rsidRPr="00D9348B">
        <w:t>determining planting or establishment cohorts geospatially for post-1989 forests, which will improve the accuracy of post-1989 forest reporting and support future reporting requirements post 2020</w:t>
      </w:r>
    </w:p>
    <w:p w14:paraId="0FCCE18A" w14:textId="77777777" w:rsidR="00A10636" w:rsidRPr="00D9348B" w:rsidRDefault="00A10636" w:rsidP="00771A8F">
      <w:pPr>
        <w:pStyle w:val="Bullet"/>
        <w:numPr>
          <w:ilvl w:val="0"/>
          <w:numId w:val="20"/>
        </w:numPr>
        <w:spacing w:after="100"/>
      </w:pPr>
      <w:proofErr w:type="gramStart"/>
      <w:r w:rsidRPr="00D9348B">
        <w:t>during</w:t>
      </w:r>
      <w:proofErr w:type="gramEnd"/>
      <w:r w:rsidRPr="00D9348B">
        <w:t xml:space="preserve"> the 2020 summer, an aerial deforestation survey will be undertaken to complete mapping of deforestation for forest loss events occurring in 2017 and 2018. This mapped area will replace the deforestation estimates for those years that are included in this inventory.</w:t>
      </w:r>
    </w:p>
    <w:p w14:paraId="41F5237B" w14:textId="77777777" w:rsidR="00A10636" w:rsidRPr="00D9348B" w:rsidRDefault="00A10636" w:rsidP="00A10636">
      <w:pPr>
        <w:pStyle w:val="Heading2"/>
        <w:spacing w:before="320"/>
      </w:pPr>
      <w:bookmarkStart w:id="1440" w:name="_Toc361644862"/>
      <w:bookmarkStart w:id="1441" w:name="_Toc391024699"/>
      <w:bookmarkStart w:id="1442" w:name="_Toc414531316"/>
      <w:bookmarkStart w:id="1443" w:name="_Toc474335458"/>
      <w:bookmarkStart w:id="1444" w:name="_Toc481751398"/>
      <w:bookmarkStart w:id="1445" w:name="_Toc522013950"/>
      <w:bookmarkStart w:id="1446" w:name="_Toc5269375"/>
      <w:bookmarkStart w:id="1447" w:name="_Toc36224415"/>
      <w:r w:rsidRPr="00D9348B">
        <w:t>6.3</w:t>
      </w:r>
      <w:r w:rsidRPr="00D9348B">
        <w:tab/>
        <w:t>Soils</w:t>
      </w:r>
      <w:bookmarkEnd w:id="1440"/>
      <w:bookmarkEnd w:id="1441"/>
      <w:bookmarkEnd w:id="1442"/>
      <w:bookmarkEnd w:id="1443"/>
      <w:bookmarkEnd w:id="1444"/>
      <w:bookmarkEnd w:id="1445"/>
      <w:bookmarkEnd w:id="1446"/>
      <w:bookmarkEnd w:id="1447"/>
    </w:p>
    <w:p w14:paraId="745EEFEF" w14:textId="77777777" w:rsidR="00A10636" w:rsidRPr="00D9348B" w:rsidRDefault="00A10636" w:rsidP="00A10636">
      <w:pPr>
        <w:pStyle w:val="BodyText"/>
        <w:spacing w:after="100"/>
      </w:pPr>
      <w:r w:rsidRPr="00D9348B">
        <w:t>In this submission, New Zealand uses a Tier 2 method to estimate soil carbon changes in mineral soils and follows the Tier 1 approach for organic soils.</w:t>
      </w:r>
    </w:p>
    <w:p w14:paraId="7927A440" w14:textId="77777777" w:rsidR="00A10636" w:rsidRPr="00D9348B" w:rsidRDefault="00A10636" w:rsidP="00103A6C">
      <w:pPr>
        <w:pStyle w:val="Heading3"/>
        <w:spacing w:before="280"/>
      </w:pPr>
      <w:bookmarkStart w:id="1448" w:name="_Toc280630210"/>
      <w:r w:rsidRPr="00D9348B">
        <w:t>6.3.1</w:t>
      </w:r>
      <w:r w:rsidRPr="00D9348B">
        <w:tab/>
        <w:t>Mineral soils</w:t>
      </w:r>
      <w:bookmarkEnd w:id="1448"/>
    </w:p>
    <w:p w14:paraId="00D511FB" w14:textId="77777777" w:rsidR="00A10636" w:rsidRPr="00D9348B" w:rsidRDefault="00A10636" w:rsidP="00A10636">
      <w:pPr>
        <w:pStyle w:val="BodyText"/>
        <w:spacing w:after="60"/>
      </w:pPr>
      <w:r w:rsidRPr="00D9348B">
        <w:t>New Zealand’s Tier 2 method for mineral soils involves estimating steady state soil organic carbon (SOC) stocks for each land use based on New Zealand soil data (described in more detail below). Changes in SOC stocks associated with land-use change are calculated according to the IPCC default method (IPCC, 2006a) using the equation:</w:t>
      </w:r>
    </w:p>
    <w:p w14:paraId="091F7EDD" w14:textId="77777777" w:rsidR="00A10636" w:rsidRPr="00D9348B" w:rsidRDefault="00A10636" w:rsidP="00A10636">
      <w:pPr>
        <w:pStyle w:val="BodyText"/>
        <w:spacing w:before="80" w:after="80"/>
        <w:jc w:val="center"/>
        <w:rPr>
          <w:rFonts w:cs="Calibri"/>
          <w:i/>
        </w:rPr>
      </w:pPr>
      <w:r w:rsidRPr="00D9348B">
        <w:rPr>
          <w:rFonts w:cs="Calibri"/>
          <w:sz w:val="24"/>
          <w:szCs w:val="24"/>
        </w:rPr>
        <w:t>∆</w:t>
      </w:r>
      <w:r w:rsidRPr="00D9348B">
        <w:rPr>
          <w:rFonts w:cs="Calibri"/>
          <w:i/>
          <w:sz w:val="24"/>
          <w:szCs w:val="24"/>
        </w:rPr>
        <w:t>C</w:t>
      </w:r>
      <w:r w:rsidRPr="00D9348B">
        <w:rPr>
          <w:rFonts w:cs="Calibri"/>
          <w:sz w:val="24"/>
          <w:szCs w:val="24"/>
        </w:rPr>
        <w:t xml:space="preserve"> = [(SOC</w:t>
      </w:r>
      <w:r w:rsidRPr="00D9348B">
        <w:rPr>
          <w:rFonts w:cs="Calibri"/>
          <w:sz w:val="24"/>
          <w:szCs w:val="24"/>
          <w:vertAlign w:val="subscript"/>
        </w:rPr>
        <w:t xml:space="preserve">0 </w:t>
      </w:r>
      <w:r w:rsidRPr="00D9348B">
        <w:rPr>
          <w:rFonts w:cs="Calibri"/>
          <w:sz w:val="24"/>
          <w:szCs w:val="24"/>
        </w:rPr>
        <w:t xml:space="preserve">– </w:t>
      </w:r>
      <w:proofErr w:type="gramStart"/>
      <w:r w:rsidRPr="00D9348B">
        <w:rPr>
          <w:rFonts w:cs="Calibri"/>
          <w:sz w:val="24"/>
          <w:szCs w:val="24"/>
        </w:rPr>
        <w:t>SOC</w:t>
      </w:r>
      <w:r w:rsidRPr="00D9348B">
        <w:rPr>
          <w:rFonts w:cs="Calibri"/>
          <w:sz w:val="24"/>
          <w:szCs w:val="24"/>
          <w:vertAlign w:val="subscript"/>
        </w:rPr>
        <w:t>(</w:t>
      </w:r>
      <w:proofErr w:type="gramEnd"/>
      <w:r w:rsidRPr="00D9348B">
        <w:rPr>
          <w:rFonts w:cs="Calibri"/>
          <w:sz w:val="24"/>
          <w:szCs w:val="24"/>
          <w:vertAlign w:val="subscript"/>
        </w:rPr>
        <w:t>0-T)</w:t>
      </w:r>
      <w:r w:rsidRPr="00D9348B">
        <w:rPr>
          <w:rFonts w:cs="Calibri"/>
          <w:sz w:val="24"/>
          <w:szCs w:val="24"/>
        </w:rPr>
        <w:t xml:space="preserve">)/20] </w:t>
      </w:r>
      <w:r w:rsidRPr="00D9348B">
        <w:rPr>
          <w:rFonts w:cs="Calibri"/>
          <w:i/>
        </w:rPr>
        <w:t>×</w:t>
      </w:r>
      <w:r w:rsidRPr="00D9348B">
        <w:rPr>
          <w:rFonts w:cs="Calibri"/>
          <w:sz w:val="24"/>
          <w:szCs w:val="24"/>
        </w:rPr>
        <w:t xml:space="preserve"> </w:t>
      </w:r>
      <w:r w:rsidRPr="00D9348B">
        <w:rPr>
          <w:rFonts w:cs="Calibri"/>
          <w:i/>
          <w:sz w:val="24"/>
          <w:szCs w:val="24"/>
        </w:rPr>
        <w:t>A</w:t>
      </w:r>
      <w:r w:rsidRPr="00D9348B">
        <w:rPr>
          <w:rFonts w:cs="Calibri"/>
        </w:rPr>
        <w:t xml:space="preserve"> </w:t>
      </w:r>
      <w:r w:rsidRPr="00D9348B">
        <w:rPr>
          <w:rFonts w:cs="Calibri"/>
        </w:rPr>
        <w:tab/>
      </w:r>
      <w:r w:rsidRPr="00D9348B">
        <w:rPr>
          <w:rFonts w:cs="Calibri"/>
          <w:i/>
        </w:rPr>
        <w:t>(3)</w:t>
      </w:r>
    </w:p>
    <w:p w14:paraId="18528C00" w14:textId="77777777" w:rsidR="00A10636" w:rsidRPr="00D9348B" w:rsidRDefault="00A10636" w:rsidP="00A10636">
      <w:pPr>
        <w:pStyle w:val="BodyText"/>
        <w:spacing w:after="0"/>
        <w:ind w:left="964" w:hanging="964"/>
      </w:pPr>
      <w:r w:rsidRPr="00D9348B">
        <w:t xml:space="preserve">Where: </w:t>
      </w:r>
      <w:r w:rsidRPr="00D9348B">
        <w:tab/>
        <w:t>∆</w:t>
      </w:r>
      <w:r w:rsidRPr="00D9348B">
        <w:rPr>
          <w:i/>
        </w:rPr>
        <w:t>C</w:t>
      </w:r>
      <w:r w:rsidRPr="00D9348B">
        <w:t xml:space="preserve"> = change in carbon stocks (tonnes)</w:t>
      </w:r>
    </w:p>
    <w:p w14:paraId="31D1A552" w14:textId="77777777" w:rsidR="00A10636" w:rsidRPr="00D9348B" w:rsidRDefault="00A10636" w:rsidP="00A10636">
      <w:pPr>
        <w:pStyle w:val="BodyText"/>
        <w:spacing w:before="100" w:after="0"/>
        <w:ind w:left="964" w:hanging="964"/>
      </w:pPr>
      <w:r w:rsidRPr="00D9348B">
        <w:tab/>
        <w:t>SOC</w:t>
      </w:r>
      <w:r w:rsidRPr="00D9348B">
        <w:rPr>
          <w:vertAlign w:val="subscript"/>
        </w:rPr>
        <w:t xml:space="preserve">0 </w:t>
      </w:r>
      <w:r w:rsidRPr="00D9348B">
        <w:t>= stable SOC stock in the inventory year (tonnes C ha</w:t>
      </w:r>
      <w:r w:rsidRPr="00D9348B">
        <w:rPr>
          <w:vertAlign w:val="superscript"/>
        </w:rPr>
        <w:t>–1</w:t>
      </w:r>
      <w:r w:rsidRPr="00D9348B">
        <w:t>)</w:t>
      </w:r>
    </w:p>
    <w:p w14:paraId="52BFF74B" w14:textId="77777777" w:rsidR="00A10636" w:rsidRPr="00D9348B" w:rsidRDefault="00A10636" w:rsidP="00A10636">
      <w:pPr>
        <w:pStyle w:val="BodyText"/>
        <w:spacing w:before="100" w:after="0"/>
        <w:ind w:left="964" w:hanging="964"/>
      </w:pPr>
      <w:r w:rsidRPr="00D9348B">
        <w:tab/>
      </w:r>
      <w:proofErr w:type="gramStart"/>
      <w:r w:rsidRPr="00D9348B">
        <w:t>SOC</w:t>
      </w:r>
      <w:r w:rsidRPr="00D9348B">
        <w:rPr>
          <w:vertAlign w:val="subscript"/>
        </w:rPr>
        <w:t>(</w:t>
      </w:r>
      <w:proofErr w:type="gramEnd"/>
      <w:r w:rsidRPr="00D9348B">
        <w:rPr>
          <w:vertAlign w:val="subscript"/>
        </w:rPr>
        <w:t xml:space="preserve">0-T) </w:t>
      </w:r>
      <w:r w:rsidRPr="00D9348B">
        <w:t>= stable SOC stock T years prior to the inventory year (tonnes C ha</w:t>
      </w:r>
      <w:r w:rsidRPr="00D9348B">
        <w:rPr>
          <w:vertAlign w:val="superscript"/>
        </w:rPr>
        <w:t>–1</w:t>
      </w:r>
      <w:r w:rsidRPr="00D9348B">
        <w:t>)</w:t>
      </w:r>
    </w:p>
    <w:p w14:paraId="297ED8CB" w14:textId="77777777" w:rsidR="00A10636" w:rsidRPr="00D9348B" w:rsidRDefault="00A10636" w:rsidP="00A10636">
      <w:pPr>
        <w:pStyle w:val="BodyText"/>
        <w:spacing w:before="100" w:after="0"/>
        <w:ind w:left="964" w:hanging="964"/>
      </w:pPr>
      <w:r w:rsidRPr="00D9348B">
        <w:tab/>
      </w:r>
      <w:r w:rsidRPr="00D9348B">
        <w:rPr>
          <w:i/>
        </w:rPr>
        <w:t>A</w:t>
      </w:r>
      <w:r w:rsidRPr="00D9348B">
        <w:t xml:space="preserve"> = land area of parcels with these SOC terms (hectares)</w:t>
      </w:r>
    </w:p>
    <w:p w14:paraId="024FAC22" w14:textId="77777777" w:rsidR="00A10636" w:rsidRPr="00D9348B" w:rsidRDefault="00A10636" w:rsidP="00A10636">
      <w:pPr>
        <w:pStyle w:val="BodyText"/>
        <w:ind w:left="964" w:hanging="964"/>
      </w:pPr>
      <w:r w:rsidRPr="00D9348B">
        <w:tab/>
        <w:t>20 = default SOC stock transition period (year).</w:t>
      </w:r>
    </w:p>
    <w:p w14:paraId="458B334C" w14:textId="373B0411" w:rsidR="00A10636" w:rsidRPr="00D9348B" w:rsidRDefault="00A10636" w:rsidP="00A10636">
      <w:pPr>
        <w:pStyle w:val="BodyText"/>
        <w:spacing w:before="100" w:after="100"/>
      </w:pPr>
      <w:r w:rsidRPr="00D9348B">
        <w:t>The SOC stock for each land use is characterised with country-specific data via the Soil Carbon Monitoring System (Soil CMS) model (McNeill and Barringer, unpublished; McNeill et al., unpublished</w:t>
      </w:r>
      <w:r w:rsidRPr="00D9348B">
        <w:rPr>
          <w:b/>
        </w:rPr>
        <w:t>)</w:t>
      </w:r>
      <w:r w:rsidRPr="00D9348B">
        <w:t xml:space="preserve">. The correct operation of the Soil CMS model involves fitting the model to the soil carbon data set and then using the coefficients for the different </w:t>
      </w:r>
      <w:r w:rsidR="00766DDA">
        <w:t>land-use</w:t>
      </w:r>
      <w:r w:rsidRPr="00D9348B">
        <w:t xml:space="preserve"> categories for each </w:t>
      </w:r>
      <w:r w:rsidR="00766DDA">
        <w:t>land-use</w:t>
      </w:r>
      <w:r w:rsidRPr="00D9348B">
        <w:t xml:space="preserve"> transition (equation 3). The interpretation of the different </w:t>
      </w:r>
      <w:r w:rsidR="00766DDA">
        <w:t>land-use</w:t>
      </w:r>
      <w:r w:rsidRPr="00D9348B">
        <w:t xml:space="preserve"> effects is informed by multi-comparison significance. </w:t>
      </w:r>
    </w:p>
    <w:p w14:paraId="083BC521" w14:textId="77777777" w:rsidR="00A10636" w:rsidRPr="00D9348B" w:rsidRDefault="00A10636" w:rsidP="00A10636">
      <w:pPr>
        <w:pStyle w:val="Heading5"/>
      </w:pPr>
      <w:r w:rsidRPr="00D9348B">
        <w:t>Characterising SOC stocks: New Zealand’s Soil Carbon Monitoring System</w:t>
      </w:r>
    </w:p>
    <w:p w14:paraId="78063749" w14:textId="3FBD3CDC" w:rsidR="00A10636" w:rsidRPr="00D9348B" w:rsidRDefault="00A10636" w:rsidP="00A10636">
      <w:pPr>
        <w:pStyle w:val="BodyText"/>
        <w:spacing w:before="100" w:after="100"/>
      </w:pPr>
      <w:r w:rsidRPr="00D9348B">
        <w:t xml:space="preserve">Unbiased estimates of SOC stocks associated with each land use in New Zealand are calculated by using country-specific data in the Soil CMS model. The operation of the Soil CMS model to produce SOC pool estimates involves applying a linear statistical model to key factors of land use, climate and soil order, which together regulate net SOC storage. The model also includes </w:t>
      </w:r>
      <w:r w:rsidRPr="00D9348B">
        <w:lastRenderedPageBreak/>
        <w:t xml:space="preserve">an additional environmental factor consisting of the product of slope and rainfall (hereafter, slope </w:t>
      </w:r>
      <w:r w:rsidRPr="00D9348B">
        <w:rPr>
          <w:i/>
          <w:sz w:val="18"/>
        </w:rPr>
        <w:t>×</w:t>
      </w:r>
      <w:r w:rsidRPr="00D9348B">
        <w:t xml:space="preserve"> rainfall) – a term used as a proxy for erosivity, the potential for surface soil erosion to occur (Giltrap et al., unpublished). The end result is that the explanatory effect of the </w:t>
      </w:r>
      <w:r w:rsidR="00766DDA">
        <w:t>land-use</w:t>
      </w:r>
      <w:r w:rsidRPr="00D9348B">
        <w:t xml:space="preserve"> category on SOC stocks is isolated from other factors that affect SOC.</w:t>
      </w:r>
    </w:p>
    <w:p w14:paraId="2183E37B" w14:textId="5D3982F2" w:rsidR="00A10636" w:rsidRPr="00D9348B" w:rsidRDefault="00A10636" w:rsidP="00A10636">
      <w:pPr>
        <w:pStyle w:val="BodyText"/>
        <w:spacing w:before="100" w:after="100"/>
      </w:pPr>
      <w:r w:rsidRPr="00D9348B">
        <w:t xml:space="preserve">Two key assumptions underpin the operation of the Soil CMS model: first, the SOC values in the sample data set represent equilibrium SOC values for each stratified soil, climate and </w:t>
      </w:r>
      <w:r w:rsidR="00766DDA">
        <w:t>land-use</w:t>
      </w:r>
      <w:r w:rsidRPr="00D9348B">
        <w:t xml:space="preserve"> cell, and erosivity index; and, second, changes in land use are the key drivers of change in SOC at the decadal scale, while all other changes due to soil type, climate or erosivity are assumed to be constant (McNeill et al., 2014). The model allows for an explanatory effect by </w:t>
      </w:r>
      <w:r w:rsidR="00766DDA">
        <w:t>land-use</w:t>
      </w:r>
      <w:r w:rsidRPr="00D9348B">
        <w:t xml:space="preserve"> category, so that estimates grouped by land use are unbiased where a specific </w:t>
      </w:r>
      <w:r w:rsidR="00766DDA">
        <w:t>land-use</w:t>
      </w:r>
      <w:r w:rsidRPr="00D9348B">
        <w:t xml:space="preserve"> category has an effect significantly different from the pooled soil carbon value from all </w:t>
      </w:r>
      <w:r w:rsidR="00766DDA">
        <w:t>land-use</w:t>
      </w:r>
      <w:r w:rsidRPr="00D9348B">
        <w:t xml:space="preserve"> categories. Where </w:t>
      </w:r>
      <w:r w:rsidR="00766DDA">
        <w:t>land-use</w:t>
      </w:r>
      <w:r w:rsidRPr="00D9348B">
        <w:t xml:space="preserve"> category is a significant explanatory variable of SOC, incorporating land use in the model reduces the overall residual standard error associated with soil carbon</w:t>
      </w:r>
      <w:r w:rsidRPr="00D9348B" w:rsidDel="00C55BF0">
        <w:t xml:space="preserve"> </w:t>
      </w:r>
      <w:r w:rsidRPr="00D9348B">
        <w:t>(McNeill and Barringer, unpublished).</w:t>
      </w:r>
    </w:p>
    <w:p w14:paraId="5BBAB82E" w14:textId="77777777" w:rsidR="00A10636" w:rsidRPr="00D9348B" w:rsidRDefault="00A10636" w:rsidP="00A10636">
      <w:pPr>
        <w:pStyle w:val="Heading5"/>
        <w:spacing w:before="200"/>
      </w:pPr>
      <w:r w:rsidRPr="00D9348B">
        <w:t>Soil carbon linear parametric model</w:t>
      </w:r>
    </w:p>
    <w:p w14:paraId="25389607" w14:textId="77777777" w:rsidR="00A10636" w:rsidRPr="00D9348B" w:rsidRDefault="00A10636" w:rsidP="00A10636">
      <w:pPr>
        <w:pStyle w:val="BodyText"/>
        <w:spacing w:before="100" w:after="100"/>
        <w:rPr>
          <w:spacing w:val="-2"/>
        </w:rPr>
      </w:pPr>
      <w:r w:rsidRPr="00D9348B">
        <w:rPr>
          <w:spacing w:val="-2"/>
        </w:rPr>
        <w:t xml:space="preserve">The generalised least squares model used for the Soil CMS is a minimum variance unbiased estimator (Draper and Smith, 1998). This approach is consistent with the physically based soil carbon model outlined in the literature (Baisden et al., </w:t>
      </w:r>
      <w:proofErr w:type="gramStart"/>
      <w:r w:rsidRPr="00D9348B">
        <w:rPr>
          <w:spacing w:val="-2"/>
        </w:rPr>
        <w:t>unpublished(</w:t>
      </w:r>
      <w:proofErr w:type="gramEnd"/>
      <w:r w:rsidRPr="00D9348B">
        <w:rPr>
          <w:spacing w:val="-2"/>
        </w:rPr>
        <w:t>b); Kirschbaum et al., unpublished; Scott et al., 2002; Tate et al., 2005).</w:t>
      </w:r>
    </w:p>
    <w:p w14:paraId="06E051CE" w14:textId="24F1F163" w:rsidR="00A10636" w:rsidRPr="00D9348B" w:rsidRDefault="00A10636" w:rsidP="00A10636">
      <w:pPr>
        <w:pStyle w:val="BodyText"/>
        <w:spacing w:before="100" w:after="100" w:line="240" w:lineRule="exact"/>
      </w:pPr>
      <w:r w:rsidRPr="00D9348B">
        <w:rPr>
          <w:rFonts w:eastAsia="Calibri"/>
        </w:rPr>
        <w:t xml:space="preserve">The </w:t>
      </w:r>
      <w:r w:rsidRPr="00D9348B">
        <w:t>generalised least squares</w:t>
      </w:r>
      <w:r w:rsidRPr="00D9348B">
        <w:rPr>
          <w:rFonts w:eastAsia="Calibri"/>
        </w:rPr>
        <w:t xml:space="preserve"> regression model for soil carbon in the 0–30-centimetre layer uses explanatory variables of the soil–climate factor, the </w:t>
      </w:r>
      <w:r w:rsidR="00766DDA">
        <w:rPr>
          <w:rFonts w:eastAsia="Calibri"/>
        </w:rPr>
        <w:t>land-use</w:t>
      </w:r>
      <w:r w:rsidRPr="00D9348B">
        <w:rPr>
          <w:rFonts w:eastAsia="Calibri"/>
        </w:rPr>
        <w:t xml:space="preserve"> category and slope </w:t>
      </w:r>
      <w:r w:rsidRPr="00D9348B">
        <w:rPr>
          <w:rFonts w:eastAsia="Calibri"/>
          <w:i/>
          <w:sz w:val="18"/>
        </w:rPr>
        <w:t>×</w:t>
      </w:r>
      <w:r w:rsidRPr="00D9348B">
        <w:rPr>
          <w:rFonts w:eastAsia="Calibri"/>
        </w:rPr>
        <w:t xml:space="preserve"> rainfall. This model is represented as an equation for the soil carbon </w:t>
      </w:r>
      <w:r w:rsidRPr="00D9348B">
        <w:fldChar w:fldCharType="begin"/>
      </w:r>
      <w:r w:rsidRPr="00D9348B">
        <w:instrText xml:space="preserve"> QUOTE </w:instrText>
      </w:r>
      <w:r w:rsidR="007165CF">
        <w:rPr>
          <w:rFonts w:eastAsia="Calibri"/>
          <w:position w:val="-9"/>
        </w:rPr>
        <w:pict w14:anchorId="1FD860F9">
          <v:shape id="_x0000_i1132" type="#_x0000_t75" style="width:39.45pt;height:2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activeWritingStyle w:lang=&quot;EN-NZ&quot; w:vendorID=&quot;64&quot; w:dllVersion=&quot;6&quot; w:nlCheck=&quot;on&quot; w:optionSet=&quot;1&quot;/&gt;&lt;w:stylePaneFormatFilter w:val=&quot;5804&quot;/&gt;&lt;w:defaultTabStop w:val=&quot;397&quot;/&gt;&lt;w:evenAndOddHeaders/&gt;&lt;w:drawingGridHorizontalSpacing w:val=&quot;187&quot;/&gt;&lt;w:displayVerticalDrawingGridEvery w:val=&quot;2&quot;/&gt;&lt;w:characterSpacingControl w:val=&quot;DontCompress&quot;/&gt;&lt;w:optimizeForBrowser/&gt;&lt;w:validateAgainstSchema/&gt;&lt;w:saveInvalidXML w:val=&quot;off&quot;/&gt;&lt;w:ignoreMixedContent w:val=&quot;off&quot;/&gt;&lt;w:alwaysShowPlaceholderText w:val=&quot;off&quot;/&gt;&lt;w:compat&gt;&lt;w:suppressBottomSpacing/&gt;&lt;w:suppressTopSpacing/&gt;&lt;w:doNotUseHTMLParagraphAutoSpacing/&gt;&lt;w:breakWrappedTables/&gt;&lt;w:snapToGridInCell/&gt;&lt;w:wrapTextWithPunct/&gt;&lt;w:useAsianBreakRules/&gt;&lt;w:useWord2002TableStyleRules/&gt;&lt;/w:compat&gt;&lt;wsp:rsids&gt;&lt;wsp:rsidRoot wsp:val=&quot;007A30E8&quot;/&gt;&lt;wsp:rsid wsp:val=&quot;00001716&quot;/&gt;&lt;wsp:rsid wsp:val=&quot;00007ABB&quot;/&gt;&lt;wsp:rsid wsp:val=&quot;00021ACF&quot;/&gt;&lt;wsp:rsid wsp:val=&quot;00027E55&quot;/&gt;&lt;wsp:rsid wsp:val=&quot;00032A28&quot;/&gt;&lt;wsp:rsid wsp:val=&quot;00035185&quot;/&gt;&lt;wsp:rsid wsp:val=&quot;0004051F&quot;/&gt;&lt;wsp:rsid wsp:val=&quot;00050008&quot;/&gt;&lt;wsp:rsid wsp:val=&quot;000576EC&quot;/&gt;&lt;wsp:rsid wsp:val=&quot;00082902&quot;/&gt;&lt;wsp:rsid wsp:val=&quot;000959CB&quot;/&gt;&lt;wsp:rsid wsp:val=&quot;000B1212&quot;/&gt;&lt;wsp:rsid wsp:val=&quot;000B5C5F&quot;/&gt;&lt;wsp:rsid wsp:val=&quot;000C20A6&quot;/&gt;&lt;wsp:rsid wsp:val=&quot;000D120B&quot;/&gt;&lt;wsp:rsid wsp:val=&quot;000F4DEF&quot;/&gt;&lt;wsp:rsid wsp:val=&quot;00103A70&quot;/&gt;&lt;wsp:rsid wsp:val=&quot;00116E1B&quot;/&gt;&lt;wsp:rsid wsp:val=&quot;001221C3&quot;/&gt;&lt;wsp:rsid wsp:val=&quot;00122A63&quot;/&gt;&lt;wsp:rsid wsp:val=&quot;00124792&quot;/&gt;&lt;wsp:rsid wsp:val=&quot;00130604&quot;/&gt;&lt;wsp:rsid wsp:val=&quot;00153F5A&quot;/&gt;&lt;wsp:rsid wsp:val=&quot;00156D4F&quot;/&gt;&lt;wsp:rsid wsp:val=&quot;001577FD&quot;/&gt;&lt;wsp:rsid wsp:val=&quot;00177C9C&quot;/&gt;&lt;wsp:rsid wsp:val=&quot;00180C1C&quot;/&gt;&lt;wsp:rsid wsp:val=&quot;001970E1&quot;/&gt;&lt;wsp:rsid wsp:val=&quot;001A1997&quot;/&gt;&lt;wsp:rsid wsp:val=&quot;001B6FD2&quot;/&gt;&lt;wsp:rsid wsp:val=&quot;001D366E&quot;/&gt;&lt;wsp:rsid wsp:val=&quot;001D4675&quot;/&gt;&lt;wsp:rsid wsp:val=&quot;001E584F&quot;/&gt;&lt;wsp:rsid wsp:val=&quot;00207ABF&quot;/&gt;&lt;wsp:rsid wsp:val=&quot;00224522&quot;/&gt;&lt;wsp:rsid wsp:val=&quot;002253F5&quot;/&gt;&lt;wsp:rsid wsp:val=&quot;002278D8&quot;/&gt;&lt;wsp:rsid wsp:val=&quot;00240B42&quot;/&gt;&lt;wsp:rsid wsp:val=&quot;00244E0E&quot;/&gt;&lt;wsp:rsid wsp:val=&quot;00260B48&quot;/&gt;&lt;wsp:rsid wsp:val=&quot;00274AE4&quot;/&gt;&lt;wsp:rsid wsp:val=&quot;00276A11&quot;/&gt;&lt;wsp:rsid wsp:val=&quot;0028581A&quot;/&gt;&lt;wsp:rsid wsp:val=&quot;002868D3&quot;/&gt;&lt;wsp:rsid wsp:val=&quot;00295B2A&quot;/&gt;&lt;wsp:rsid wsp:val=&quot;002A1361&quot;/&gt;&lt;wsp:rsid wsp:val=&quot;002A49D7&quot;/&gt;&lt;wsp:rsid wsp:val=&quot;002B1C5A&quot;/&gt;&lt;wsp:rsid wsp:val=&quot;002B3284&quot;/&gt;&lt;wsp:rsid wsp:val=&quot;002B3633&quot;/&gt;&lt;wsp:rsid wsp:val=&quot;002D60DB&quot;/&gt;&lt;wsp:rsid wsp:val=&quot;002D6A54&quot;/&gt;&lt;wsp:rsid wsp:val=&quot;002D6AB5&quot;/&gt;&lt;wsp:rsid wsp:val=&quot;002F134A&quot;/&gt;&lt;wsp:rsid wsp:val=&quot;002F6369&quot;/&gt;&lt;wsp:rsid wsp:val=&quot;00302D84&quot;/&gt;&lt;wsp:rsid wsp:val=&quot;00306B8F&quot;/&gt;&lt;wsp:rsid wsp:val=&quot;00315760&quot;/&gt;&lt;wsp:rsid wsp:val=&quot;0032349D&quot;/&gt;&lt;wsp:rsid wsp:val=&quot;00330809&quot;/&gt;&lt;wsp:rsid wsp:val=&quot;00353362&quot;/&gt;&lt;wsp:rsid wsp:val=&quot;0036324D&quot;/&gt;&lt;wsp:rsid wsp:val=&quot;00365854&quot;/&gt;&lt;wsp:rsid wsp:val=&quot;0037590E&quot;/&gt;&lt;wsp:rsid wsp:val=&quot;00377186&quot;/&gt;&lt;wsp:rsid wsp:val=&quot;00383207&quot;/&gt;&lt;wsp:rsid wsp:val=&quot;00395B45&quot;/&gt;&lt;wsp:rsid wsp:val=&quot;003972EF&quot;/&gt;&lt;wsp:rsid wsp:val=&quot;00397D2B&quot;/&gt;&lt;wsp:rsid wsp:val=&quot;003A5006&quot;/&gt;&lt;wsp:rsid wsp:val=&quot;003C2615&quot;/&gt;&lt;wsp:rsid wsp:val=&quot;003D0318&quot;/&gt;&lt;wsp:rsid wsp:val=&quot;003D4BDF&quot;/&gt;&lt;wsp:rsid wsp:val=&quot;003D5417&quot;/&gt;&lt;wsp:rsid wsp:val=&quot;003E4A42&quot;/&gt;&lt;wsp:rsid wsp:val=&quot;00400F92&quot;/&gt;&lt;wsp:rsid wsp:val=&quot;004044F1&quot;/&gt;&lt;wsp:rsid wsp:val=&quot;0042424B&quot;/&gt;&lt;wsp:rsid wsp:val=&quot;00430D5D&quot;/&gt;&lt;wsp:rsid wsp:val=&quot;00444336&quot;/&gt;&lt;wsp:rsid wsp:val=&quot;00455788&quot;/&gt;&lt;wsp:rsid wsp:val=&quot;0045652C&quot;/&gt;&lt;wsp:rsid wsp:val=&quot;00462497&quot;/&gt;&lt;wsp:rsid wsp:val=&quot;004805A3&quot;/&gt;&lt;wsp:rsid wsp:val=&quot;00490EB0&quot;/&gt;&lt;wsp:rsid wsp:val=&quot;004A39F8&quot;/&gt;&lt;wsp:rsid wsp:val=&quot;004A3C2C&quot;/&gt;&lt;wsp:rsid wsp:val=&quot;004A618E&quot;/&gt;&lt;wsp:rsid wsp:val=&quot;004E4B2C&quot;/&gt;&lt;wsp:rsid wsp:val=&quot;004E517A&quot;/&gt;&lt;wsp:rsid wsp:val=&quot;004F1572&quot;/&gt;&lt;wsp:rsid wsp:val=&quot;004F483D&quot;/&gt;&lt;wsp:rsid wsp:val=&quot;00502D87&quot;/&gt;&lt;wsp:rsid wsp:val=&quot;0052105D&quot;/&gt;&lt;wsp:rsid wsp:val=&quot;00526270&quot;/&gt;&lt;wsp:rsid wsp:val=&quot;005338F3&quot;/&gt;&lt;wsp:rsid wsp:val=&quot;00534210&quot;/&gt;&lt;wsp:rsid wsp:val=&quot;00540271&quot;/&gt;&lt;wsp:rsid wsp:val=&quot;00543478&quot;/&gt;&lt;wsp:rsid wsp:val=&quot;00545600&quot;/&gt;&lt;wsp:rsid wsp:val=&quot;00546A6A&quot;/&gt;&lt;wsp:rsid wsp:val=&quot;00562240&quot;/&gt;&lt;wsp:rsid wsp:val=&quot;005630B0&quot;/&gt;&lt;wsp:rsid wsp:val=&quot;005660CD&quot;/&gt;&lt;wsp:rsid wsp:val=&quot;005720F2&quot;/&gt;&lt;wsp:rsid wsp:val=&quot;005812D6&quot;/&gt;&lt;wsp:rsid wsp:val=&quot;00591646&quot;/&gt;&lt;wsp:rsid wsp:val=&quot;00596603&quot;/&gt;&lt;wsp:rsid wsp:val=&quot;005B76A4&quot;/&gt;&lt;wsp:rsid wsp:val=&quot;005C3384&quot;/&gt;&lt;wsp:rsid wsp:val=&quot;005C416E&quot;/&gt;&lt;wsp:rsid wsp:val=&quot;005C6E3E&quot;/&gt;&lt;wsp:rsid wsp:val=&quot;005D1C3A&quot;/&gt;&lt;wsp:rsid wsp:val=&quot;005E43DD&quot;/&gt;&lt;wsp:rsid wsp:val=&quot;005E77C4&quot;/&gt;&lt;wsp:rsid wsp:val=&quot;005E7AB9&quot;/&gt;&lt;wsp:rsid wsp:val=&quot;00600179&quot;/&gt;&lt;wsp:rsid wsp:val=&quot;00603FC0&quot;/&gt;&lt;wsp:rsid wsp:val=&quot;006167DD&quot;/&gt;&lt;wsp:rsid wsp:val=&quot;00636BF0&quot;/&gt;&lt;wsp:rsid wsp:val=&quot;00637524&quot;/&gt;&lt;wsp:rsid wsp:val=&quot;00646B6D&quot;/&gt;&lt;wsp:rsid wsp:val=&quot;00647697&quot;/&gt;&lt;wsp:rsid wsp:val=&quot;00655908&quot;/&gt;&lt;wsp:rsid wsp:val=&quot;006654F8&quot;/&gt;&lt;wsp:rsid wsp:val=&quot;00665768&quot;/&gt;&lt;wsp:rsid wsp:val=&quot;00667291&quot;/&gt;&lt;wsp:rsid wsp:val=&quot;00671024&quot;/&gt;&lt;wsp:rsid wsp:val=&quot;00686249&quot;/&gt;&lt;wsp:rsid wsp:val=&quot;00687504&quot;/&gt;&lt;wsp:rsid wsp:val=&quot;00691AFF&quot;/&gt;&lt;wsp:rsid wsp:val=&quot;006A171F&quot;/&gt;&lt;wsp:rsid wsp:val=&quot;006A36A8&quot;/&gt;&lt;wsp:rsid wsp:val=&quot;006A4209&quot;/&gt;&lt;wsp:rsid wsp:val=&quot;006A4E5F&quot;/&gt;&lt;wsp:rsid wsp:val=&quot;006B44DA&quot;/&gt;&lt;wsp:rsid wsp:val=&quot;006C5461&quot;/&gt;&lt;wsp:rsid wsp:val=&quot;006D2536&quot;/&gt;&lt;wsp:rsid wsp:val=&quot;006D3FAE&quot;/&gt;&lt;wsp:rsid wsp:val=&quot;006D4600&quot;/&gt;&lt;wsp:rsid wsp:val=&quot;006E0A2C&quot;/&gt;&lt;wsp:rsid wsp:val=&quot;006E202B&quot;/&gt;&lt;wsp:rsid wsp:val=&quot;006E57B5&quot;/&gt;&lt;wsp:rsid wsp:val=&quot;00702FA0&quot;/&gt;&lt;wsp:rsid wsp:val=&quot;00715D39&quot;/&gt;&lt;wsp:rsid wsp:val=&quot;00724218&quot;/&gt;&lt;wsp:rsid wsp:val=&quot;00737E65&quot;/&gt;&lt;wsp:rsid wsp:val=&quot;0074030A&quot;/&gt;&lt;wsp:rsid wsp:val=&quot;007409A3&quot;/&gt;&lt;wsp:rsid wsp:val=&quot;007575A8&quot;/&gt;&lt;wsp:rsid wsp:val=&quot;00762043&quot;/&gt;&lt;wsp:rsid wsp:val=&quot;007633C2&quot;/&gt;&lt;wsp:rsid wsp:val=&quot;00765A47&quot;/&gt;&lt;wsp:rsid wsp:val=&quot;00770E82&quot;/&gt;&lt;wsp:rsid wsp:val=&quot;00772E94&quot;/&gt;&lt;wsp:rsid wsp:val=&quot;007A30E8&quot;/&gt;&lt;wsp:rsid wsp:val=&quot;007A5E1C&quot;/&gt;&lt;wsp:rsid wsp:val=&quot;007B028B&quot;/&gt;&lt;wsp:rsid wsp:val=&quot;007B1D71&quot;/&gt;&lt;wsp:rsid wsp:val=&quot;007B7BF7&quot;/&gt;&lt;wsp:rsid wsp:val=&quot;007C00D0&quot;/&gt;&lt;wsp:rsid wsp:val=&quot;007C2186&quot;/&gt;&lt;wsp:rsid wsp:val=&quot;007D185B&quot;/&gt;&lt;wsp:rsid wsp:val=&quot;007F2233&quot;/&gt;&lt;wsp:rsid wsp:val=&quot;00804C17&quot;/&gt;&lt;wsp:rsid wsp:val=&quot;008053BA&quot;/&gt;&lt;wsp:rsid wsp:val=&quot;0080694B&quot;/&gt;&lt;wsp:rsid wsp:val=&quot;00810AB6&quot;/&gt;&lt;wsp:rsid wsp:val=&quot;0081779C&quot;/&gt;&lt;wsp:rsid wsp:val=&quot;00831D0D&quot;/&gt;&lt;wsp:rsid wsp:val=&quot;00832DEE&quot;/&gt;&lt;wsp:rsid wsp:val=&quot;00835B98&quot;/&gt;&lt;wsp:rsid wsp:val=&quot;00840713&quot;/&gt;&lt;wsp:rsid wsp:val=&quot;00854B9D&quot;/&gt;&lt;wsp:rsid wsp:val=&quot;00855A8A&quot;/&gt;&lt;wsp:rsid wsp:val=&quot;00872795&quot;/&gt;&lt;wsp:rsid wsp:val=&quot;008936D4&quot;/&gt;&lt;wsp:rsid wsp:val=&quot;008A2EC5&quot;/&gt;&lt;wsp:rsid wsp:val=&quot;008B77F5&quot;/&gt;&lt;wsp:rsid wsp:val=&quot;008C0279&quot;/&gt;&lt;wsp:rsid wsp:val=&quot;008C7C6D&quot;/&gt;&lt;wsp:rsid wsp:val=&quot;008C7F68&quot;/&gt;&lt;wsp:rsid wsp:val=&quot;008E380C&quot;/&gt;&lt;wsp:rsid wsp:val=&quot;008E405A&quot;/&gt;&lt;wsp:rsid wsp:val=&quot;008F25D2&quot;/&gt;&lt;wsp:rsid wsp:val=&quot;008F50EC&quot;/&gt;&lt;wsp:rsid wsp:val=&quot;008F587A&quot;/&gt;&lt;wsp:rsid wsp:val=&quot;0090054C&quot;/&gt;&lt;wsp:rsid wsp:val=&quot;00900565&quot;/&gt;&lt;wsp:rsid wsp:val=&quot;009010F8&quot;/&gt;&lt;wsp:rsid wsp:val=&quot;009134CA&quot;/&gt;&lt;wsp:rsid wsp:val=&quot;00914CC6&quot;/&gt;&lt;wsp:rsid wsp:val=&quot;00925AA2&quot;/&gt;&lt;wsp:rsid wsp:val=&quot;0092751F&quot;/&gt;&lt;wsp:rsid wsp:val=&quot;00932067&quot;/&gt;&lt;wsp:rsid wsp:val=&quot;0093594A&quot;/&gt;&lt;wsp:rsid wsp:val=&quot;009451C4&quot;/&gt;&lt;wsp:rsid wsp:val=&quot;00955D73&quot;/&gt;&lt;wsp:rsid wsp:val=&quot;0096512C&quot;/&gt;&lt;wsp:rsid wsp:val=&quot;0096540A&quot;/&gt;&lt;wsp:rsid wsp:val=&quot;009C0F3A&quot;/&gt;&lt;wsp:rsid wsp:val=&quot;009C5D2A&quot;/&gt;&lt;wsp:rsid wsp:val=&quot;00A02252&quot;/&gt;&lt;wsp:rsid wsp:val=&quot;00A06700&quot;/&gt;&lt;wsp:rsid wsp:val=&quot;00A10636&quot;/&gt;&lt;wsp:rsid wsp:val=&quot;00A331E7&quot;/&gt;&lt;wsp:rsid wsp:val=&quot;00A34169&quot;/&gt;&lt;wsp:rsid wsp:val=&quot;00A37D9B&quot;/&gt;&lt;wsp:rsid wsp:val=&quot;00A41C3C&quot;/&gt;&lt;wsp:rsid wsp:val=&quot;00A4725A&quot;/&gt;&lt;wsp:rsid wsp:val=&quot;00A5060F&quot;/&gt;&lt;wsp:rsid wsp:val=&quot;00A628DC&quot;/&gt;&lt;wsp:rsid wsp:val=&quot;00A76984&quot;/&gt;&lt;wsp:rsid wsp:val=&quot;00AA0A87&quot;/&gt;&lt;wsp:rsid wsp:val=&quot;00AA7B1E&quot;/&gt;&lt;wsp:rsid wsp:val=&quot;00AB2710&quot;/&gt;&lt;wsp:rsid wsp:val=&quot;00AC555A&quot;/&gt;&lt;wsp:rsid wsp:val=&quot;00AD184B&quot;/&gt;&lt;wsp:rsid wsp:val=&quot;00AE02E6&quot;/&gt;&lt;wsp:rsid wsp:val=&quot;00B0566D&quot;/&gt;&lt;wsp:rsid wsp:val=&quot;00B35BD9&quot;/&gt;&lt;wsp:rsid wsp:val=&quot;00B37DE8&quot;/&gt;&lt;wsp:rsid wsp:val=&quot;00B43898&quot;/&gt;&lt;wsp:rsid wsp:val=&quot;00B44BA5&quot;/&gt;&lt;wsp:rsid wsp:val=&quot;00B84125&quot;/&gt;&lt;wsp:rsid wsp:val=&quot;00B928E7&quot;/&gt;&lt;wsp:rsid wsp:val=&quot;00B961F6&quot;/&gt;&lt;wsp:rsid wsp:val=&quot;00BA5F7E&quot;/&gt;&lt;wsp:rsid wsp:val=&quot;00BB7F2F&quot;/&gt;&lt;wsp:rsid wsp:val=&quot;00BC7E76&quot;/&gt;&lt;wsp:rsid wsp:val=&quot;00BD3902&quot;/&gt;&lt;wsp:rsid wsp:val=&quot;00BE472F&quot;/&gt;&lt;wsp:rsid wsp:val=&quot;00BE5513&quot;/&gt;&lt;wsp:rsid wsp:val=&quot;00BF12F6&quot;/&gt;&lt;wsp:rsid wsp:val=&quot;00C00765&quot;/&gt;&lt;wsp:rsid wsp:val=&quot;00C10464&quot;/&gt;&lt;wsp:rsid wsp:val=&quot;00C119C2&quot;/&gt;&lt;wsp:rsid wsp:val=&quot;00C15758&quot;/&gt;&lt;wsp:rsid wsp:val=&quot;00C21B54&quot;/&gt;&lt;wsp:rsid wsp:val=&quot;00C27E02&quot;/&gt;&lt;wsp:rsid wsp:val=&quot;00C40967&quot;/&gt;&lt;wsp:rsid wsp:val=&quot;00C42C64&quot;/&gt;&lt;wsp:rsid wsp:val=&quot;00C4400C&quot;/&gt;&lt;wsp:rsid wsp:val=&quot;00C600E2&quot;/&gt;&lt;wsp:rsid wsp:val=&quot;00C63D43&quot;/&gt;&lt;wsp:rsid wsp:val=&quot;00C74134&quot;/&gt;&lt;wsp:rsid wsp:val=&quot;00C823B1&quot;/&gt;&lt;wsp:rsid wsp:val=&quot;00C93D19&quot;/&gt;&lt;wsp:rsid wsp:val=&quot;00CA271E&quot;/&gt;&lt;wsp:rsid wsp:val=&quot;00CB1488&quot;/&gt;&lt;wsp:rsid wsp:val=&quot;00CB7414&quot;/&gt;&lt;wsp:rsid wsp:val=&quot;00CD5933&quot;/&gt;&lt;wsp:rsid wsp:val=&quot;00CE19C1&quot;/&gt;&lt;wsp:rsid wsp:val=&quot;00CF364B&quot;/&gt;&lt;wsp:rsid wsp:val=&quot;00CF3D81&quot;/&gt;&lt;wsp:rsid wsp:val=&quot;00D01CFE&quot;/&gt;&lt;wsp:rsid wsp:val=&quot;00D07C4B&quot;/&gt;&lt;wsp:rsid wsp:val=&quot;00D201C9&quot;/&gt;&lt;wsp:rsid wsp:val=&quot;00D225D8&quot;/&gt;&lt;wsp:rsid wsp:val=&quot;00D2503C&quot;/&gt;&lt;wsp:rsid wsp:val=&quot;00D30983&quot;/&gt;&lt;wsp:rsid wsp:val=&quot;00D33A2E&quot;/&gt;&lt;wsp:rsid wsp:val=&quot;00D34954&quot;/&gt;&lt;wsp:rsid wsp:val=&quot;00D367F2&quot;/&gt;&lt;wsp:rsid wsp:val=&quot;00D4214D&quot;/&gt;&lt;wsp:rsid wsp:val=&quot;00D511A1&quot;/&gt;&lt;wsp:rsid wsp:val=&quot;00D56CF9&quot;/&gt;&lt;wsp:rsid wsp:val=&quot;00D608D5&quot;/&gt;&lt;wsp:rsid wsp:val=&quot;00D651CA&quot;/&gt;&lt;wsp:rsid wsp:val=&quot;00D872BF&quot;/&gt;&lt;wsp:rsid wsp:val=&quot;00DA4C87&quot;/&gt;&lt;wsp:rsid wsp:val=&quot;00DB4CF4&quot;/&gt;&lt;wsp:rsid wsp:val=&quot;00DB5613&quot;/&gt;&lt;wsp:rsid wsp:val=&quot;00DE01F6&quot;/&gt;&lt;wsp:rsid wsp:val=&quot;00DE15BD&quot;/&gt;&lt;wsp:rsid wsp:val=&quot;00DE1FAA&quot;/&gt;&lt;wsp:rsid wsp:val=&quot;00DE2998&quot;/&gt;&lt;wsp:rsid wsp:val=&quot;00DE4223&quot;/&gt;&lt;wsp:rsid wsp:val=&quot;00DE6B60&quot;/&gt;&lt;wsp:rsid wsp:val=&quot;00DF14FA&quot;/&gt;&lt;wsp:rsid wsp:val=&quot;00DF1B90&quot;/&gt;&lt;wsp:rsid wsp:val=&quot;00E06D10&quot;/&gt;&lt;wsp:rsid wsp:val=&quot;00E07624&quot;/&gt;&lt;wsp:rsid wsp:val=&quot;00E20138&quot;/&gt;&lt;wsp:rsid wsp:val=&quot;00E20458&quot;/&gt;&lt;wsp:rsid wsp:val=&quot;00E22F51&quot;/&gt;&lt;wsp:rsid wsp:val=&quot;00E3344E&quot;/&gt;&lt;wsp:rsid wsp:val=&quot;00E47019&quot;/&gt;&lt;wsp:rsid wsp:val=&quot;00E55420&quot;/&gt;&lt;wsp:rsid wsp:val=&quot;00E56487&quot;/&gt;&lt;wsp:rsid wsp:val=&quot;00E62277&quot;/&gt;&lt;wsp:rsid wsp:val=&quot;00E81646&quot;/&gt;&lt;wsp:rsid wsp:val=&quot;00E83F08&quot;/&gt;&lt;wsp:rsid wsp:val=&quot;00E853F3&quot;/&gt;&lt;wsp:rsid wsp:val=&quot;00EC2491&quot;/&gt;&lt;wsp:rsid wsp:val=&quot;00ED2C42&quot;/&gt;&lt;wsp:rsid wsp:val=&quot;00EF0E0D&quot;/&gt;&lt;wsp:rsid wsp:val=&quot;00EF3B2B&quot;/&gt;&lt;wsp:rsid wsp:val=&quot;00F00EE9&quot;/&gt;&lt;wsp:rsid wsp:val=&quot;00F332EE&quot;/&gt;&lt;wsp:rsid wsp:val=&quot;00F379DD&quot;/&gt;&lt;wsp:rsid wsp:val=&quot;00F44640&quot;/&gt;&lt;wsp:rsid wsp:val=&quot;00F47244&quot;/&gt;&lt;wsp:rsid wsp:val=&quot;00F511A7&quot;/&gt;&lt;wsp:rsid wsp:val=&quot;00F660F9&quot;/&gt;&lt;wsp:rsid wsp:val=&quot;00F849A7&quot;/&gt;&lt;wsp:rsid wsp:val=&quot;00F902E2&quot;/&gt;&lt;wsp:rsid wsp:val=&quot;00FA5F45&quot;/&gt;&lt;wsp:rsid wsp:val=&quot;00FA7522&quot;/&gt;&lt;wsp:rsid wsp:val=&quot;00FB2D36&quot;/&gt;&lt;wsp:rsid wsp:val=&quot;00FB71DC&quot;/&gt;&lt;wsp:rsid wsp:val=&quot;00FC2C59&quot;/&gt;&lt;wsp:rsid wsp:val=&quot;00FD178C&quot;/&gt;&lt;/wsp:rsids&gt;&lt;/w:docPr&gt;&lt;w:body&gt;&lt;wx:sect&gt;&lt;w:p wsp:rsidR=&quot;00000000&quot; wsp:rsidRDefault=&quot;00122A63&quot; wsp:rsidP=&quot;00122A63&quot;&gt;&lt;m:oMathPara&gt;&lt;m:oMath&gt;&lt;m:sSubSup&gt;&lt;m:sSubSupPr&gt;&lt;m:ctrlPr&gt;&lt;w:rPr&gt;&lt;w:rFonts w:ascii=&quot;Cambria Math&quot; w:fareast=&quot;Calibri&quot; w:h-ansi=&quot;Cambria Math&quot;/&gt;&lt;wx:font wx:val=&quot;Cambria Math&quot;/&gt;&lt;w:i/&gt;&lt;/w:rPr&gt;&lt;/m:ctrlPr&gt;&lt;/m:sSubSupPr&gt;&lt;m:e&gt;&lt;m:r&gt;&lt;w:rPr&gt;&lt;w:rFonts w:ascii=&quot;Cambria Math&quot; w:fareast=&quot;Calibri&quot; w:h-ansi=&quot;Cambria Math&quot;/&gt;&lt;wx:font wx:val=&quot;Cambria Math&quot;/&gt;&lt;w:i/&gt;&lt;/w:rPr&gt;&lt;m:t&gt;C&lt;/m:t&gt;&lt;/m:r&gt;&lt;/m:e&gt;&lt;m:sub&gt;&lt;m:r&gt;&lt;w:rPr&gt;&lt;w:rFonts w:ascii=&quot;Cambria Math&quot; w:fareast=&quot;Calibri&quot; w:h-ansi=&quot;Cambria Math&quot;/&gt;&lt;wx:font wx:val=&quot;Cambria Math&quot;/&gt;&lt;w:i/&gt;&lt;/w:rPr&gt;&lt;m:t&gt;i,j&lt;/m:t&gt;&lt;/m:r&gt;&lt;/m:sub&gt;&lt;m:sup&gt;&lt;m:r&gt;&lt;w:rPr&gt;&lt;w:rFonts w:ascii=&quot;Cambria Math&quot; w:fareast=&quot;Calibri&quot; w:h-ansi=&quot;Cambria Math&quot;/&gt;&lt;wx:font wx:val=&quot;Cambria Math&quot;/&gt;&lt;w:i/&gt;&lt;/w:rPr&gt;&lt;m:t&gt;0-30cm&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3" o:title="" chromakey="white"/>
          </v:shape>
        </w:pict>
      </w:r>
      <w:r w:rsidRPr="00D9348B">
        <w:instrText xml:space="preserve"> </w:instrText>
      </w:r>
      <w:r w:rsidRPr="00D9348B">
        <w:fldChar w:fldCharType="separate"/>
      </w:r>
      <w:r w:rsidR="007165CF">
        <w:rPr>
          <w:rFonts w:eastAsia="Calibri"/>
          <w:position w:val="-9"/>
        </w:rPr>
        <w:pict w14:anchorId="583DEF6A">
          <v:shape id="_x0000_i1133" type="#_x0000_t75" style="width:39.45pt;height:2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activeWritingStyle w:lang=&quot;EN-NZ&quot; w:vendorID=&quot;64&quot; w:dllVersion=&quot;6&quot; w:nlCheck=&quot;on&quot; w:optionSet=&quot;1&quot;/&gt;&lt;w:stylePaneFormatFilter w:val=&quot;5804&quot;/&gt;&lt;w:defaultTabStop w:val=&quot;397&quot;/&gt;&lt;w:evenAndOddHeaders/&gt;&lt;w:drawingGridHorizontalSpacing w:val=&quot;187&quot;/&gt;&lt;w:displayVerticalDrawingGridEvery w:val=&quot;2&quot;/&gt;&lt;w:characterSpacingControl w:val=&quot;DontCompress&quot;/&gt;&lt;w:optimizeForBrowser/&gt;&lt;w:validateAgainstSchema/&gt;&lt;w:saveInvalidXML w:val=&quot;off&quot;/&gt;&lt;w:ignoreMixedContent w:val=&quot;off&quot;/&gt;&lt;w:alwaysShowPlaceholderText w:val=&quot;off&quot;/&gt;&lt;w:compat&gt;&lt;w:suppressBottomSpacing/&gt;&lt;w:suppressTopSpacing/&gt;&lt;w:doNotUseHTMLParagraphAutoSpacing/&gt;&lt;w:breakWrappedTables/&gt;&lt;w:snapToGridInCell/&gt;&lt;w:wrapTextWithPunct/&gt;&lt;w:useAsianBreakRules/&gt;&lt;w:useWord2002TableStyleRules/&gt;&lt;/w:compat&gt;&lt;wsp:rsids&gt;&lt;wsp:rsidRoot wsp:val=&quot;007A30E8&quot;/&gt;&lt;wsp:rsid wsp:val=&quot;00001716&quot;/&gt;&lt;wsp:rsid wsp:val=&quot;00007ABB&quot;/&gt;&lt;wsp:rsid wsp:val=&quot;00021ACF&quot;/&gt;&lt;wsp:rsid wsp:val=&quot;00027E55&quot;/&gt;&lt;wsp:rsid wsp:val=&quot;00032A28&quot;/&gt;&lt;wsp:rsid wsp:val=&quot;00035185&quot;/&gt;&lt;wsp:rsid wsp:val=&quot;0004051F&quot;/&gt;&lt;wsp:rsid wsp:val=&quot;00050008&quot;/&gt;&lt;wsp:rsid wsp:val=&quot;000576EC&quot;/&gt;&lt;wsp:rsid wsp:val=&quot;00082902&quot;/&gt;&lt;wsp:rsid wsp:val=&quot;000959CB&quot;/&gt;&lt;wsp:rsid wsp:val=&quot;000B1212&quot;/&gt;&lt;wsp:rsid wsp:val=&quot;000B5C5F&quot;/&gt;&lt;wsp:rsid wsp:val=&quot;000C20A6&quot;/&gt;&lt;wsp:rsid wsp:val=&quot;000D120B&quot;/&gt;&lt;wsp:rsid wsp:val=&quot;000F4DEF&quot;/&gt;&lt;wsp:rsid wsp:val=&quot;00103A70&quot;/&gt;&lt;wsp:rsid wsp:val=&quot;00116E1B&quot;/&gt;&lt;wsp:rsid wsp:val=&quot;001221C3&quot;/&gt;&lt;wsp:rsid wsp:val=&quot;00122A63&quot;/&gt;&lt;wsp:rsid wsp:val=&quot;00124792&quot;/&gt;&lt;wsp:rsid wsp:val=&quot;00130604&quot;/&gt;&lt;wsp:rsid wsp:val=&quot;00153F5A&quot;/&gt;&lt;wsp:rsid wsp:val=&quot;00156D4F&quot;/&gt;&lt;wsp:rsid wsp:val=&quot;001577FD&quot;/&gt;&lt;wsp:rsid wsp:val=&quot;00177C9C&quot;/&gt;&lt;wsp:rsid wsp:val=&quot;00180C1C&quot;/&gt;&lt;wsp:rsid wsp:val=&quot;001970E1&quot;/&gt;&lt;wsp:rsid wsp:val=&quot;001A1997&quot;/&gt;&lt;wsp:rsid wsp:val=&quot;001B6FD2&quot;/&gt;&lt;wsp:rsid wsp:val=&quot;001D366E&quot;/&gt;&lt;wsp:rsid wsp:val=&quot;001D4675&quot;/&gt;&lt;wsp:rsid wsp:val=&quot;001E584F&quot;/&gt;&lt;wsp:rsid wsp:val=&quot;00207ABF&quot;/&gt;&lt;wsp:rsid wsp:val=&quot;00224522&quot;/&gt;&lt;wsp:rsid wsp:val=&quot;002253F5&quot;/&gt;&lt;wsp:rsid wsp:val=&quot;002278D8&quot;/&gt;&lt;wsp:rsid wsp:val=&quot;00240B42&quot;/&gt;&lt;wsp:rsid wsp:val=&quot;00244E0E&quot;/&gt;&lt;wsp:rsid wsp:val=&quot;00260B48&quot;/&gt;&lt;wsp:rsid wsp:val=&quot;00274AE4&quot;/&gt;&lt;wsp:rsid wsp:val=&quot;00276A11&quot;/&gt;&lt;wsp:rsid wsp:val=&quot;0028581A&quot;/&gt;&lt;wsp:rsid wsp:val=&quot;002868D3&quot;/&gt;&lt;wsp:rsid wsp:val=&quot;00295B2A&quot;/&gt;&lt;wsp:rsid wsp:val=&quot;002A1361&quot;/&gt;&lt;wsp:rsid wsp:val=&quot;002A49D7&quot;/&gt;&lt;wsp:rsid wsp:val=&quot;002B1C5A&quot;/&gt;&lt;wsp:rsid wsp:val=&quot;002B3284&quot;/&gt;&lt;wsp:rsid wsp:val=&quot;002B3633&quot;/&gt;&lt;wsp:rsid wsp:val=&quot;002D60DB&quot;/&gt;&lt;wsp:rsid wsp:val=&quot;002D6A54&quot;/&gt;&lt;wsp:rsid wsp:val=&quot;002D6AB5&quot;/&gt;&lt;wsp:rsid wsp:val=&quot;002F134A&quot;/&gt;&lt;wsp:rsid wsp:val=&quot;002F6369&quot;/&gt;&lt;wsp:rsid wsp:val=&quot;00302D84&quot;/&gt;&lt;wsp:rsid wsp:val=&quot;00306B8F&quot;/&gt;&lt;wsp:rsid wsp:val=&quot;00315760&quot;/&gt;&lt;wsp:rsid wsp:val=&quot;0032349D&quot;/&gt;&lt;wsp:rsid wsp:val=&quot;00330809&quot;/&gt;&lt;wsp:rsid wsp:val=&quot;00353362&quot;/&gt;&lt;wsp:rsid wsp:val=&quot;0036324D&quot;/&gt;&lt;wsp:rsid wsp:val=&quot;00365854&quot;/&gt;&lt;wsp:rsid wsp:val=&quot;0037590E&quot;/&gt;&lt;wsp:rsid wsp:val=&quot;00377186&quot;/&gt;&lt;wsp:rsid wsp:val=&quot;00383207&quot;/&gt;&lt;wsp:rsid wsp:val=&quot;00395B45&quot;/&gt;&lt;wsp:rsid wsp:val=&quot;003972EF&quot;/&gt;&lt;wsp:rsid wsp:val=&quot;00397D2B&quot;/&gt;&lt;wsp:rsid wsp:val=&quot;003A5006&quot;/&gt;&lt;wsp:rsid wsp:val=&quot;003C2615&quot;/&gt;&lt;wsp:rsid wsp:val=&quot;003D0318&quot;/&gt;&lt;wsp:rsid wsp:val=&quot;003D4BDF&quot;/&gt;&lt;wsp:rsid wsp:val=&quot;003D5417&quot;/&gt;&lt;wsp:rsid wsp:val=&quot;003E4A42&quot;/&gt;&lt;wsp:rsid wsp:val=&quot;00400F92&quot;/&gt;&lt;wsp:rsid wsp:val=&quot;004044F1&quot;/&gt;&lt;wsp:rsid wsp:val=&quot;0042424B&quot;/&gt;&lt;wsp:rsid wsp:val=&quot;00430D5D&quot;/&gt;&lt;wsp:rsid wsp:val=&quot;00444336&quot;/&gt;&lt;wsp:rsid wsp:val=&quot;00455788&quot;/&gt;&lt;wsp:rsid wsp:val=&quot;0045652C&quot;/&gt;&lt;wsp:rsid wsp:val=&quot;00462497&quot;/&gt;&lt;wsp:rsid wsp:val=&quot;004805A3&quot;/&gt;&lt;wsp:rsid wsp:val=&quot;00490EB0&quot;/&gt;&lt;wsp:rsid wsp:val=&quot;004A39F8&quot;/&gt;&lt;wsp:rsid wsp:val=&quot;004A3C2C&quot;/&gt;&lt;wsp:rsid wsp:val=&quot;004A618E&quot;/&gt;&lt;wsp:rsid wsp:val=&quot;004E4B2C&quot;/&gt;&lt;wsp:rsid wsp:val=&quot;004E517A&quot;/&gt;&lt;wsp:rsid wsp:val=&quot;004F1572&quot;/&gt;&lt;wsp:rsid wsp:val=&quot;004F483D&quot;/&gt;&lt;wsp:rsid wsp:val=&quot;00502D87&quot;/&gt;&lt;wsp:rsid wsp:val=&quot;0052105D&quot;/&gt;&lt;wsp:rsid wsp:val=&quot;00526270&quot;/&gt;&lt;wsp:rsid wsp:val=&quot;005338F3&quot;/&gt;&lt;wsp:rsid wsp:val=&quot;00534210&quot;/&gt;&lt;wsp:rsid wsp:val=&quot;00540271&quot;/&gt;&lt;wsp:rsid wsp:val=&quot;00543478&quot;/&gt;&lt;wsp:rsid wsp:val=&quot;00545600&quot;/&gt;&lt;wsp:rsid wsp:val=&quot;00546A6A&quot;/&gt;&lt;wsp:rsid wsp:val=&quot;00562240&quot;/&gt;&lt;wsp:rsid wsp:val=&quot;005630B0&quot;/&gt;&lt;wsp:rsid wsp:val=&quot;005660CD&quot;/&gt;&lt;wsp:rsid wsp:val=&quot;005720F2&quot;/&gt;&lt;wsp:rsid wsp:val=&quot;005812D6&quot;/&gt;&lt;wsp:rsid wsp:val=&quot;00591646&quot;/&gt;&lt;wsp:rsid wsp:val=&quot;00596603&quot;/&gt;&lt;wsp:rsid wsp:val=&quot;005B76A4&quot;/&gt;&lt;wsp:rsid wsp:val=&quot;005C3384&quot;/&gt;&lt;wsp:rsid wsp:val=&quot;005C416E&quot;/&gt;&lt;wsp:rsid wsp:val=&quot;005C6E3E&quot;/&gt;&lt;wsp:rsid wsp:val=&quot;005D1C3A&quot;/&gt;&lt;wsp:rsid wsp:val=&quot;005E43DD&quot;/&gt;&lt;wsp:rsid wsp:val=&quot;005E77C4&quot;/&gt;&lt;wsp:rsid wsp:val=&quot;005E7AB9&quot;/&gt;&lt;wsp:rsid wsp:val=&quot;00600179&quot;/&gt;&lt;wsp:rsid wsp:val=&quot;00603FC0&quot;/&gt;&lt;wsp:rsid wsp:val=&quot;006167DD&quot;/&gt;&lt;wsp:rsid wsp:val=&quot;00636BF0&quot;/&gt;&lt;wsp:rsid wsp:val=&quot;00637524&quot;/&gt;&lt;wsp:rsid wsp:val=&quot;00646B6D&quot;/&gt;&lt;wsp:rsid wsp:val=&quot;00647697&quot;/&gt;&lt;wsp:rsid wsp:val=&quot;00655908&quot;/&gt;&lt;wsp:rsid wsp:val=&quot;006654F8&quot;/&gt;&lt;wsp:rsid wsp:val=&quot;00665768&quot;/&gt;&lt;wsp:rsid wsp:val=&quot;00667291&quot;/&gt;&lt;wsp:rsid wsp:val=&quot;00671024&quot;/&gt;&lt;wsp:rsid wsp:val=&quot;00686249&quot;/&gt;&lt;wsp:rsid wsp:val=&quot;00687504&quot;/&gt;&lt;wsp:rsid wsp:val=&quot;00691AFF&quot;/&gt;&lt;wsp:rsid wsp:val=&quot;006A171F&quot;/&gt;&lt;wsp:rsid wsp:val=&quot;006A36A8&quot;/&gt;&lt;wsp:rsid wsp:val=&quot;006A4209&quot;/&gt;&lt;wsp:rsid wsp:val=&quot;006A4E5F&quot;/&gt;&lt;wsp:rsid wsp:val=&quot;006B44DA&quot;/&gt;&lt;wsp:rsid wsp:val=&quot;006C5461&quot;/&gt;&lt;wsp:rsid wsp:val=&quot;006D2536&quot;/&gt;&lt;wsp:rsid wsp:val=&quot;006D3FAE&quot;/&gt;&lt;wsp:rsid wsp:val=&quot;006D4600&quot;/&gt;&lt;wsp:rsid wsp:val=&quot;006E0A2C&quot;/&gt;&lt;wsp:rsid wsp:val=&quot;006E202B&quot;/&gt;&lt;wsp:rsid wsp:val=&quot;006E57B5&quot;/&gt;&lt;wsp:rsid wsp:val=&quot;00702FA0&quot;/&gt;&lt;wsp:rsid wsp:val=&quot;00715D39&quot;/&gt;&lt;wsp:rsid wsp:val=&quot;00724218&quot;/&gt;&lt;wsp:rsid wsp:val=&quot;00737E65&quot;/&gt;&lt;wsp:rsid wsp:val=&quot;0074030A&quot;/&gt;&lt;wsp:rsid wsp:val=&quot;007409A3&quot;/&gt;&lt;wsp:rsid wsp:val=&quot;007575A8&quot;/&gt;&lt;wsp:rsid wsp:val=&quot;00762043&quot;/&gt;&lt;wsp:rsid wsp:val=&quot;007633C2&quot;/&gt;&lt;wsp:rsid wsp:val=&quot;00765A47&quot;/&gt;&lt;wsp:rsid wsp:val=&quot;00770E82&quot;/&gt;&lt;wsp:rsid wsp:val=&quot;00772E94&quot;/&gt;&lt;wsp:rsid wsp:val=&quot;007A30E8&quot;/&gt;&lt;wsp:rsid wsp:val=&quot;007A5E1C&quot;/&gt;&lt;wsp:rsid wsp:val=&quot;007B028B&quot;/&gt;&lt;wsp:rsid wsp:val=&quot;007B1D71&quot;/&gt;&lt;wsp:rsid wsp:val=&quot;007B7BF7&quot;/&gt;&lt;wsp:rsid wsp:val=&quot;007C00D0&quot;/&gt;&lt;wsp:rsid wsp:val=&quot;007C2186&quot;/&gt;&lt;wsp:rsid wsp:val=&quot;007D185B&quot;/&gt;&lt;wsp:rsid wsp:val=&quot;007F2233&quot;/&gt;&lt;wsp:rsid wsp:val=&quot;00804C17&quot;/&gt;&lt;wsp:rsid wsp:val=&quot;008053BA&quot;/&gt;&lt;wsp:rsid wsp:val=&quot;0080694B&quot;/&gt;&lt;wsp:rsid wsp:val=&quot;00810AB6&quot;/&gt;&lt;wsp:rsid wsp:val=&quot;0081779C&quot;/&gt;&lt;wsp:rsid wsp:val=&quot;00831D0D&quot;/&gt;&lt;wsp:rsid wsp:val=&quot;00832DEE&quot;/&gt;&lt;wsp:rsid wsp:val=&quot;00835B98&quot;/&gt;&lt;wsp:rsid wsp:val=&quot;00840713&quot;/&gt;&lt;wsp:rsid wsp:val=&quot;00854B9D&quot;/&gt;&lt;wsp:rsid wsp:val=&quot;00855A8A&quot;/&gt;&lt;wsp:rsid wsp:val=&quot;00872795&quot;/&gt;&lt;wsp:rsid wsp:val=&quot;008936D4&quot;/&gt;&lt;wsp:rsid wsp:val=&quot;008A2EC5&quot;/&gt;&lt;wsp:rsid wsp:val=&quot;008B77F5&quot;/&gt;&lt;wsp:rsid wsp:val=&quot;008C0279&quot;/&gt;&lt;wsp:rsid wsp:val=&quot;008C7C6D&quot;/&gt;&lt;wsp:rsid wsp:val=&quot;008C7F68&quot;/&gt;&lt;wsp:rsid wsp:val=&quot;008E380C&quot;/&gt;&lt;wsp:rsid wsp:val=&quot;008E405A&quot;/&gt;&lt;wsp:rsid wsp:val=&quot;008F25D2&quot;/&gt;&lt;wsp:rsid wsp:val=&quot;008F50EC&quot;/&gt;&lt;wsp:rsid wsp:val=&quot;008F587A&quot;/&gt;&lt;wsp:rsid wsp:val=&quot;0090054C&quot;/&gt;&lt;wsp:rsid wsp:val=&quot;00900565&quot;/&gt;&lt;wsp:rsid wsp:val=&quot;009010F8&quot;/&gt;&lt;wsp:rsid wsp:val=&quot;009134CA&quot;/&gt;&lt;wsp:rsid wsp:val=&quot;00914CC6&quot;/&gt;&lt;wsp:rsid wsp:val=&quot;00925AA2&quot;/&gt;&lt;wsp:rsid wsp:val=&quot;0092751F&quot;/&gt;&lt;wsp:rsid wsp:val=&quot;00932067&quot;/&gt;&lt;wsp:rsid wsp:val=&quot;0093594A&quot;/&gt;&lt;wsp:rsid wsp:val=&quot;009451C4&quot;/&gt;&lt;wsp:rsid wsp:val=&quot;00955D73&quot;/&gt;&lt;wsp:rsid wsp:val=&quot;0096512C&quot;/&gt;&lt;wsp:rsid wsp:val=&quot;0096540A&quot;/&gt;&lt;wsp:rsid wsp:val=&quot;009C0F3A&quot;/&gt;&lt;wsp:rsid wsp:val=&quot;009C5D2A&quot;/&gt;&lt;wsp:rsid wsp:val=&quot;00A02252&quot;/&gt;&lt;wsp:rsid wsp:val=&quot;00A06700&quot;/&gt;&lt;wsp:rsid wsp:val=&quot;00A10636&quot;/&gt;&lt;wsp:rsid wsp:val=&quot;00A331E7&quot;/&gt;&lt;wsp:rsid wsp:val=&quot;00A34169&quot;/&gt;&lt;wsp:rsid wsp:val=&quot;00A37D9B&quot;/&gt;&lt;wsp:rsid wsp:val=&quot;00A41C3C&quot;/&gt;&lt;wsp:rsid wsp:val=&quot;00A4725A&quot;/&gt;&lt;wsp:rsid wsp:val=&quot;00A5060F&quot;/&gt;&lt;wsp:rsid wsp:val=&quot;00A628DC&quot;/&gt;&lt;wsp:rsid wsp:val=&quot;00A76984&quot;/&gt;&lt;wsp:rsid wsp:val=&quot;00AA0A87&quot;/&gt;&lt;wsp:rsid wsp:val=&quot;00AA7B1E&quot;/&gt;&lt;wsp:rsid wsp:val=&quot;00AB2710&quot;/&gt;&lt;wsp:rsid wsp:val=&quot;00AC555A&quot;/&gt;&lt;wsp:rsid wsp:val=&quot;00AD184B&quot;/&gt;&lt;wsp:rsid wsp:val=&quot;00AE02E6&quot;/&gt;&lt;wsp:rsid wsp:val=&quot;00B0566D&quot;/&gt;&lt;wsp:rsid wsp:val=&quot;00B35BD9&quot;/&gt;&lt;wsp:rsid wsp:val=&quot;00B37DE8&quot;/&gt;&lt;wsp:rsid wsp:val=&quot;00B43898&quot;/&gt;&lt;wsp:rsid wsp:val=&quot;00B44BA5&quot;/&gt;&lt;wsp:rsid wsp:val=&quot;00B84125&quot;/&gt;&lt;wsp:rsid wsp:val=&quot;00B928E7&quot;/&gt;&lt;wsp:rsid wsp:val=&quot;00B961F6&quot;/&gt;&lt;wsp:rsid wsp:val=&quot;00BA5F7E&quot;/&gt;&lt;wsp:rsid wsp:val=&quot;00BB7F2F&quot;/&gt;&lt;wsp:rsid wsp:val=&quot;00BC7E76&quot;/&gt;&lt;wsp:rsid wsp:val=&quot;00BD3902&quot;/&gt;&lt;wsp:rsid wsp:val=&quot;00BE472F&quot;/&gt;&lt;wsp:rsid wsp:val=&quot;00BE5513&quot;/&gt;&lt;wsp:rsid wsp:val=&quot;00BF12F6&quot;/&gt;&lt;wsp:rsid wsp:val=&quot;00C00765&quot;/&gt;&lt;wsp:rsid wsp:val=&quot;00C10464&quot;/&gt;&lt;wsp:rsid wsp:val=&quot;00C119C2&quot;/&gt;&lt;wsp:rsid wsp:val=&quot;00C15758&quot;/&gt;&lt;wsp:rsid wsp:val=&quot;00C21B54&quot;/&gt;&lt;wsp:rsid wsp:val=&quot;00C27E02&quot;/&gt;&lt;wsp:rsid wsp:val=&quot;00C40967&quot;/&gt;&lt;wsp:rsid wsp:val=&quot;00C42C64&quot;/&gt;&lt;wsp:rsid wsp:val=&quot;00C4400C&quot;/&gt;&lt;wsp:rsid wsp:val=&quot;00C600E2&quot;/&gt;&lt;wsp:rsid wsp:val=&quot;00C63D43&quot;/&gt;&lt;wsp:rsid wsp:val=&quot;00C74134&quot;/&gt;&lt;wsp:rsid wsp:val=&quot;00C823B1&quot;/&gt;&lt;wsp:rsid wsp:val=&quot;00C93D19&quot;/&gt;&lt;wsp:rsid wsp:val=&quot;00CA271E&quot;/&gt;&lt;wsp:rsid wsp:val=&quot;00CB1488&quot;/&gt;&lt;wsp:rsid wsp:val=&quot;00CB7414&quot;/&gt;&lt;wsp:rsid wsp:val=&quot;00CD5933&quot;/&gt;&lt;wsp:rsid wsp:val=&quot;00CE19C1&quot;/&gt;&lt;wsp:rsid wsp:val=&quot;00CF364B&quot;/&gt;&lt;wsp:rsid wsp:val=&quot;00CF3D81&quot;/&gt;&lt;wsp:rsid wsp:val=&quot;00D01CFE&quot;/&gt;&lt;wsp:rsid wsp:val=&quot;00D07C4B&quot;/&gt;&lt;wsp:rsid wsp:val=&quot;00D201C9&quot;/&gt;&lt;wsp:rsid wsp:val=&quot;00D225D8&quot;/&gt;&lt;wsp:rsid wsp:val=&quot;00D2503C&quot;/&gt;&lt;wsp:rsid wsp:val=&quot;00D30983&quot;/&gt;&lt;wsp:rsid wsp:val=&quot;00D33A2E&quot;/&gt;&lt;wsp:rsid wsp:val=&quot;00D34954&quot;/&gt;&lt;wsp:rsid wsp:val=&quot;00D367F2&quot;/&gt;&lt;wsp:rsid wsp:val=&quot;00D4214D&quot;/&gt;&lt;wsp:rsid wsp:val=&quot;00D511A1&quot;/&gt;&lt;wsp:rsid wsp:val=&quot;00D56CF9&quot;/&gt;&lt;wsp:rsid wsp:val=&quot;00D608D5&quot;/&gt;&lt;wsp:rsid wsp:val=&quot;00D651CA&quot;/&gt;&lt;wsp:rsid wsp:val=&quot;00D872BF&quot;/&gt;&lt;wsp:rsid wsp:val=&quot;00DA4C87&quot;/&gt;&lt;wsp:rsid wsp:val=&quot;00DB4CF4&quot;/&gt;&lt;wsp:rsid wsp:val=&quot;00DB5613&quot;/&gt;&lt;wsp:rsid wsp:val=&quot;00DE01F6&quot;/&gt;&lt;wsp:rsid wsp:val=&quot;00DE15BD&quot;/&gt;&lt;wsp:rsid wsp:val=&quot;00DE1FAA&quot;/&gt;&lt;wsp:rsid wsp:val=&quot;00DE2998&quot;/&gt;&lt;wsp:rsid wsp:val=&quot;00DE4223&quot;/&gt;&lt;wsp:rsid wsp:val=&quot;00DE6B60&quot;/&gt;&lt;wsp:rsid wsp:val=&quot;00DF14FA&quot;/&gt;&lt;wsp:rsid wsp:val=&quot;00DF1B90&quot;/&gt;&lt;wsp:rsid wsp:val=&quot;00E06D10&quot;/&gt;&lt;wsp:rsid wsp:val=&quot;00E07624&quot;/&gt;&lt;wsp:rsid wsp:val=&quot;00E20138&quot;/&gt;&lt;wsp:rsid wsp:val=&quot;00E20458&quot;/&gt;&lt;wsp:rsid wsp:val=&quot;00E22F51&quot;/&gt;&lt;wsp:rsid wsp:val=&quot;00E3344E&quot;/&gt;&lt;wsp:rsid wsp:val=&quot;00E47019&quot;/&gt;&lt;wsp:rsid wsp:val=&quot;00E55420&quot;/&gt;&lt;wsp:rsid wsp:val=&quot;00E56487&quot;/&gt;&lt;wsp:rsid wsp:val=&quot;00E62277&quot;/&gt;&lt;wsp:rsid wsp:val=&quot;00E81646&quot;/&gt;&lt;wsp:rsid wsp:val=&quot;00E83F08&quot;/&gt;&lt;wsp:rsid wsp:val=&quot;00E853F3&quot;/&gt;&lt;wsp:rsid wsp:val=&quot;00EC2491&quot;/&gt;&lt;wsp:rsid wsp:val=&quot;00ED2C42&quot;/&gt;&lt;wsp:rsid wsp:val=&quot;00EF0E0D&quot;/&gt;&lt;wsp:rsid wsp:val=&quot;00EF3B2B&quot;/&gt;&lt;wsp:rsid wsp:val=&quot;00F00EE9&quot;/&gt;&lt;wsp:rsid wsp:val=&quot;00F332EE&quot;/&gt;&lt;wsp:rsid wsp:val=&quot;00F379DD&quot;/&gt;&lt;wsp:rsid wsp:val=&quot;00F44640&quot;/&gt;&lt;wsp:rsid wsp:val=&quot;00F47244&quot;/&gt;&lt;wsp:rsid wsp:val=&quot;00F511A7&quot;/&gt;&lt;wsp:rsid wsp:val=&quot;00F660F9&quot;/&gt;&lt;wsp:rsid wsp:val=&quot;00F849A7&quot;/&gt;&lt;wsp:rsid wsp:val=&quot;00F902E2&quot;/&gt;&lt;wsp:rsid wsp:val=&quot;00FA5F45&quot;/&gt;&lt;wsp:rsid wsp:val=&quot;00FA7522&quot;/&gt;&lt;wsp:rsid wsp:val=&quot;00FB2D36&quot;/&gt;&lt;wsp:rsid wsp:val=&quot;00FB71DC&quot;/&gt;&lt;wsp:rsid wsp:val=&quot;00FC2C59&quot;/&gt;&lt;wsp:rsid wsp:val=&quot;00FD178C&quot;/&gt;&lt;/wsp:rsids&gt;&lt;/w:docPr&gt;&lt;w:body&gt;&lt;wx:sect&gt;&lt;w:p wsp:rsidR=&quot;00000000&quot; wsp:rsidRDefault=&quot;00122A63&quot; wsp:rsidP=&quot;00122A63&quot;&gt;&lt;m:oMathPara&gt;&lt;m:oMath&gt;&lt;m:sSubSup&gt;&lt;m:sSubSupPr&gt;&lt;m:ctrlPr&gt;&lt;w:rPr&gt;&lt;w:rFonts w:ascii=&quot;Cambria Math&quot; w:fareast=&quot;Calibri&quot; w:h-ansi=&quot;Cambria Math&quot;/&gt;&lt;wx:font wx:val=&quot;Cambria Math&quot;/&gt;&lt;w:i/&gt;&lt;/w:rPr&gt;&lt;/m:ctrlPr&gt;&lt;/m:sSubSupPr&gt;&lt;m:e&gt;&lt;m:r&gt;&lt;w:rPr&gt;&lt;w:rFonts w:ascii=&quot;Cambria Math&quot; w:fareast=&quot;Calibri&quot; w:h-ansi=&quot;Cambria Math&quot;/&gt;&lt;wx:font wx:val=&quot;Cambria Math&quot;/&gt;&lt;w:i/&gt;&lt;/w:rPr&gt;&lt;m:t&gt;C&lt;/m:t&gt;&lt;/m:r&gt;&lt;/m:e&gt;&lt;m:sub&gt;&lt;m:r&gt;&lt;w:rPr&gt;&lt;w:rFonts w:ascii=&quot;Cambria Math&quot; w:fareast=&quot;Calibri&quot; w:h-ansi=&quot;Cambria Math&quot;/&gt;&lt;wx:font wx:val=&quot;Cambria Math&quot;/&gt;&lt;w:i/&gt;&lt;/w:rPr&gt;&lt;m:t&gt;i,j&lt;/m:t&gt;&lt;/m:r&gt;&lt;/m:sub&gt;&lt;m:sup&gt;&lt;m:r&gt;&lt;w:rPr&gt;&lt;w:rFonts w:ascii=&quot;Cambria Math&quot; w:fareast=&quot;Calibri&quot; w:h-ansi=&quot;Cambria Math&quot;/&gt;&lt;wx:font wx:val=&quot;Cambria Math&quot;/&gt;&lt;w:i/&gt;&lt;/w:rPr&gt;&lt;m:t&gt;0-30cm&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3" o:title="" chromakey="white"/>
          </v:shape>
        </w:pict>
      </w:r>
      <w:r w:rsidRPr="00D9348B">
        <w:fldChar w:fldCharType="end"/>
      </w:r>
      <w:r w:rsidRPr="00D9348B">
        <w:t xml:space="preserve"> </w:t>
      </w:r>
      <w:r w:rsidRPr="00D9348B">
        <w:rPr>
          <w:rFonts w:eastAsia="Calibri"/>
        </w:rPr>
        <w:t xml:space="preserve">in </w:t>
      </w:r>
      <w:r w:rsidR="00766DDA">
        <w:rPr>
          <w:rFonts w:eastAsia="Calibri"/>
        </w:rPr>
        <w:t>land-use</w:t>
      </w:r>
      <w:r w:rsidRPr="00D9348B">
        <w:rPr>
          <w:rFonts w:eastAsia="Calibri"/>
        </w:rPr>
        <w:t xml:space="preserve"> category </w:t>
      </w:r>
      <w:r w:rsidRPr="00D9348B">
        <w:rPr>
          <w:rFonts w:eastAsia="Calibri"/>
          <w:i/>
        </w:rPr>
        <w:t>i</w:t>
      </w:r>
      <w:r w:rsidRPr="00D9348B">
        <w:rPr>
          <w:rFonts w:eastAsia="Calibri"/>
        </w:rPr>
        <w:t xml:space="preserve"> and soil–climate class </w:t>
      </w:r>
      <w:r w:rsidRPr="00D9348B">
        <w:rPr>
          <w:rFonts w:eastAsia="Calibri"/>
          <w:i/>
        </w:rPr>
        <w:t>j</w:t>
      </w:r>
      <w:r w:rsidRPr="00D9348B">
        <w:rPr>
          <w:rFonts w:eastAsia="Calibri"/>
        </w:rPr>
        <w:t xml:space="preserve"> as:</w:t>
      </w:r>
    </w:p>
    <w:tbl>
      <w:tblPr>
        <w:tblW w:w="7953" w:type="dxa"/>
        <w:tblInd w:w="199" w:type="dxa"/>
        <w:tblLook w:val="04A0" w:firstRow="1" w:lastRow="0" w:firstColumn="1" w:lastColumn="0" w:noHBand="0" w:noVBand="1"/>
      </w:tblPr>
      <w:tblGrid>
        <w:gridCol w:w="673"/>
        <w:gridCol w:w="6249"/>
        <w:gridCol w:w="1031"/>
      </w:tblGrid>
      <w:tr w:rsidR="00A10636" w:rsidRPr="00D9348B" w14:paraId="07590D33" w14:textId="77777777" w:rsidTr="00EE3E10">
        <w:trPr>
          <w:trHeight w:val="869"/>
        </w:trPr>
        <w:tc>
          <w:tcPr>
            <w:tcW w:w="423" w:type="pct"/>
            <w:shd w:val="clear" w:color="auto" w:fill="auto"/>
            <w:tcMar>
              <w:top w:w="57" w:type="dxa"/>
              <w:left w:w="57" w:type="dxa"/>
              <w:bottom w:w="57" w:type="dxa"/>
              <w:right w:w="57" w:type="dxa"/>
            </w:tcMar>
          </w:tcPr>
          <w:p w14:paraId="66AEF558" w14:textId="77777777" w:rsidR="00A10636" w:rsidRPr="00D9348B" w:rsidRDefault="00A10636" w:rsidP="00DB330E">
            <w:pPr>
              <w:pStyle w:val="BodyText"/>
              <w:spacing w:before="0" w:after="0"/>
              <w:rPr>
                <w:rFonts w:eastAsia="Calibri" w:cs="Calibri"/>
                <w:i/>
              </w:rPr>
            </w:pPr>
          </w:p>
        </w:tc>
        <w:tc>
          <w:tcPr>
            <w:tcW w:w="3929" w:type="pct"/>
            <w:shd w:val="clear" w:color="auto" w:fill="auto"/>
            <w:tcMar>
              <w:top w:w="57" w:type="dxa"/>
              <w:left w:w="57" w:type="dxa"/>
              <w:bottom w:w="57" w:type="dxa"/>
              <w:right w:w="57" w:type="dxa"/>
            </w:tcMar>
          </w:tcPr>
          <w:p w14:paraId="610722EF" w14:textId="235FA86C" w:rsidR="00A10636" w:rsidRPr="00D9348B" w:rsidRDefault="007165CF" w:rsidP="00DB330E">
            <w:pPr>
              <w:pStyle w:val="BodyText"/>
              <w:spacing w:before="0" w:after="0"/>
              <w:jc w:val="center"/>
              <w:rPr>
                <w:rFonts w:eastAsia="Calibri" w:cs="Calibri"/>
                <w:i/>
              </w:rPr>
            </w:pPr>
            <w:r>
              <w:rPr>
                <w:rFonts w:eastAsia="Calibri"/>
              </w:rPr>
              <w:pict w14:anchorId="65B4F2A4">
                <v:shape id="_x0000_i1134" type="#_x0000_t75" style="width:224.15pt;height:30.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activeWritingStyle w:lang=&quot;EN-NZ&quot; w:vendorID=&quot;64&quot; w:dllVersion=&quot;6&quot; w:nlCheck=&quot;on&quot; w:optionSet=&quot;1&quot;/&gt;&lt;w:stylePaneFormatFilter w:val=&quot;5804&quot;/&gt;&lt;w:defaultTabStop w:val=&quot;397&quot;/&gt;&lt;w:evenAndOddHeaders/&gt;&lt;w:drawingGridHorizontalSpacing w:val=&quot;187&quot;/&gt;&lt;w:displayVerticalDrawingGridEvery w:val=&quot;2&quot;/&gt;&lt;w:characterSpacingControl w:val=&quot;DontCompress&quot;/&gt;&lt;w:optimizeForBrowser/&gt;&lt;w:validateAgainstSchema/&gt;&lt;w:saveInvalidXML w:val=&quot;off&quot;/&gt;&lt;w:ignoreMixedContent w:val=&quot;off&quot;/&gt;&lt;w:alwaysShowPlaceholderText w:val=&quot;off&quot;/&gt;&lt;w:compat&gt;&lt;w:suppressBottomSpacing/&gt;&lt;w:suppressTopSpacing/&gt;&lt;w:doNotUseHTMLParagraphAutoSpacing/&gt;&lt;w:breakWrappedTables/&gt;&lt;w:snapToGridInCell/&gt;&lt;w:wrapTextWithPunct/&gt;&lt;w:useAsianBreakRules/&gt;&lt;w:useWord2002TableStyleRules/&gt;&lt;/w:compat&gt;&lt;wsp:rsids&gt;&lt;wsp:rsidRoot wsp:val=&quot;007A30E8&quot;/&gt;&lt;wsp:rsid wsp:val=&quot;00001716&quot;/&gt;&lt;wsp:rsid wsp:val=&quot;00007ABB&quot;/&gt;&lt;wsp:rsid wsp:val=&quot;00021ACF&quot;/&gt;&lt;wsp:rsid wsp:val=&quot;00027E55&quot;/&gt;&lt;wsp:rsid wsp:val=&quot;00032A28&quot;/&gt;&lt;wsp:rsid wsp:val=&quot;00035185&quot;/&gt;&lt;wsp:rsid wsp:val=&quot;0004051F&quot;/&gt;&lt;wsp:rsid wsp:val=&quot;00050008&quot;/&gt;&lt;wsp:rsid wsp:val=&quot;000576EC&quot;/&gt;&lt;wsp:rsid wsp:val=&quot;00082902&quot;/&gt;&lt;wsp:rsid wsp:val=&quot;000959CB&quot;/&gt;&lt;wsp:rsid wsp:val=&quot;000B1212&quot;/&gt;&lt;wsp:rsid wsp:val=&quot;000B5C5F&quot;/&gt;&lt;wsp:rsid wsp:val=&quot;000C20A6&quot;/&gt;&lt;wsp:rsid wsp:val=&quot;000D120B&quot;/&gt;&lt;wsp:rsid wsp:val=&quot;000F4DEF&quot;/&gt;&lt;wsp:rsid wsp:val=&quot;00103A70&quot;/&gt;&lt;wsp:rsid wsp:val=&quot;00116E1B&quot;/&gt;&lt;wsp:rsid wsp:val=&quot;001221C3&quot;/&gt;&lt;wsp:rsid wsp:val=&quot;00124792&quot;/&gt;&lt;wsp:rsid wsp:val=&quot;00130604&quot;/&gt;&lt;wsp:rsid wsp:val=&quot;00153F5A&quot;/&gt;&lt;wsp:rsid wsp:val=&quot;00156D4F&quot;/&gt;&lt;wsp:rsid wsp:val=&quot;001577FD&quot;/&gt;&lt;wsp:rsid wsp:val=&quot;00177C9C&quot;/&gt;&lt;wsp:rsid wsp:val=&quot;00180C1C&quot;/&gt;&lt;wsp:rsid wsp:val=&quot;001970E1&quot;/&gt;&lt;wsp:rsid wsp:val=&quot;001A1997&quot;/&gt;&lt;wsp:rsid wsp:val=&quot;001B6FD2&quot;/&gt;&lt;wsp:rsid wsp:val=&quot;001D366E&quot;/&gt;&lt;wsp:rsid wsp:val=&quot;001D4675&quot;/&gt;&lt;wsp:rsid wsp:val=&quot;001E584F&quot;/&gt;&lt;wsp:rsid wsp:val=&quot;00207ABF&quot;/&gt;&lt;wsp:rsid wsp:val=&quot;00224522&quot;/&gt;&lt;wsp:rsid wsp:val=&quot;002253F5&quot;/&gt;&lt;wsp:rsid wsp:val=&quot;002278D8&quot;/&gt;&lt;wsp:rsid wsp:val=&quot;00240B42&quot;/&gt;&lt;wsp:rsid wsp:val=&quot;00244E0E&quot;/&gt;&lt;wsp:rsid wsp:val=&quot;00260B48&quot;/&gt;&lt;wsp:rsid wsp:val=&quot;00274AE4&quot;/&gt;&lt;wsp:rsid wsp:val=&quot;00276A11&quot;/&gt;&lt;wsp:rsid wsp:val=&quot;0028581A&quot;/&gt;&lt;wsp:rsid wsp:val=&quot;002868D3&quot;/&gt;&lt;wsp:rsid wsp:val=&quot;00295B2A&quot;/&gt;&lt;wsp:rsid wsp:val=&quot;002A1361&quot;/&gt;&lt;wsp:rsid wsp:val=&quot;002A49D7&quot;/&gt;&lt;wsp:rsid wsp:val=&quot;002B1C5A&quot;/&gt;&lt;wsp:rsid wsp:val=&quot;002B3284&quot;/&gt;&lt;wsp:rsid wsp:val=&quot;002B3633&quot;/&gt;&lt;wsp:rsid wsp:val=&quot;002D60DB&quot;/&gt;&lt;wsp:rsid wsp:val=&quot;002D6A54&quot;/&gt;&lt;wsp:rsid wsp:val=&quot;002D6AB5&quot;/&gt;&lt;wsp:rsid wsp:val=&quot;002F134A&quot;/&gt;&lt;wsp:rsid wsp:val=&quot;002F6369&quot;/&gt;&lt;wsp:rsid wsp:val=&quot;00302D84&quot;/&gt;&lt;wsp:rsid wsp:val=&quot;00306B8F&quot;/&gt;&lt;wsp:rsid wsp:val=&quot;00315760&quot;/&gt;&lt;wsp:rsid wsp:val=&quot;0032349D&quot;/&gt;&lt;wsp:rsid wsp:val=&quot;00330809&quot;/&gt;&lt;wsp:rsid wsp:val=&quot;00353362&quot;/&gt;&lt;wsp:rsid wsp:val=&quot;0036324D&quot;/&gt;&lt;wsp:rsid wsp:val=&quot;00365854&quot;/&gt;&lt;wsp:rsid wsp:val=&quot;0037590E&quot;/&gt;&lt;wsp:rsid wsp:val=&quot;00377186&quot;/&gt;&lt;wsp:rsid wsp:val=&quot;00383207&quot;/&gt;&lt;wsp:rsid wsp:val=&quot;00395B45&quot;/&gt;&lt;wsp:rsid wsp:val=&quot;003972EF&quot;/&gt;&lt;wsp:rsid wsp:val=&quot;00397D2B&quot;/&gt;&lt;wsp:rsid wsp:val=&quot;003A5006&quot;/&gt;&lt;wsp:rsid wsp:val=&quot;003C2615&quot;/&gt;&lt;wsp:rsid wsp:val=&quot;003D0318&quot;/&gt;&lt;wsp:rsid wsp:val=&quot;003D4BDF&quot;/&gt;&lt;wsp:rsid wsp:val=&quot;003D5417&quot;/&gt;&lt;wsp:rsid wsp:val=&quot;003E4A42&quot;/&gt;&lt;wsp:rsid wsp:val=&quot;00400F92&quot;/&gt;&lt;wsp:rsid wsp:val=&quot;004044F1&quot;/&gt;&lt;wsp:rsid wsp:val=&quot;0042424B&quot;/&gt;&lt;wsp:rsid wsp:val=&quot;00430D5D&quot;/&gt;&lt;wsp:rsid wsp:val=&quot;00444336&quot;/&gt;&lt;wsp:rsid wsp:val=&quot;00455788&quot;/&gt;&lt;wsp:rsid wsp:val=&quot;0045652C&quot;/&gt;&lt;wsp:rsid wsp:val=&quot;00462497&quot;/&gt;&lt;wsp:rsid wsp:val=&quot;004805A3&quot;/&gt;&lt;wsp:rsid wsp:val=&quot;00490EB0&quot;/&gt;&lt;wsp:rsid wsp:val=&quot;004A39F8&quot;/&gt;&lt;wsp:rsid wsp:val=&quot;004A3C2C&quot;/&gt;&lt;wsp:rsid wsp:val=&quot;004A618E&quot;/&gt;&lt;wsp:rsid wsp:val=&quot;004E4B2C&quot;/&gt;&lt;wsp:rsid wsp:val=&quot;004E517A&quot;/&gt;&lt;wsp:rsid wsp:val=&quot;004F1572&quot;/&gt;&lt;wsp:rsid wsp:val=&quot;004F483D&quot;/&gt;&lt;wsp:rsid wsp:val=&quot;00502D87&quot;/&gt;&lt;wsp:rsid wsp:val=&quot;0052105D&quot;/&gt;&lt;wsp:rsid wsp:val=&quot;00526270&quot;/&gt;&lt;wsp:rsid wsp:val=&quot;005338F3&quot;/&gt;&lt;wsp:rsid wsp:val=&quot;00534210&quot;/&gt;&lt;wsp:rsid wsp:val=&quot;00540271&quot;/&gt;&lt;wsp:rsid wsp:val=&quot;00543478&quot;/&gt;&lt;wsp:rsid wsp:val=&quot;00545600&quot;/&gt;&lt;wsp:rsid wsp:val=&quot;00546A6A&quot;/&gt;&lt;wsp:rsid wsp:val=&quot;00562240&quot;/&gt;&lt;wsp:rsid wsp:val=&quot;005630B0&quot;/&gt;&lt;wsp:rsid wsp:val=&quot;005660CD&quot;/&gt;&lt;wsp:rsid wsp:val=&quot;005720F2&quot;/&gt;&lt;wsp:rsid wsp:val=&quot;005812D6&quot;/&gt;&lt;wsp:rsid wsp:val=&quot;00591646&quot;/&gt;&lt;wsp:rsid wsp:val=&quot;00596603&quot;/&gt;&lt;wsp:rsid wsp:val=&quot;005B76A4&quot;/&gt;&lt;wsp:rsid wsp:val=&quot;005C3384&quot;/&gt;&lt;wsp:rsid wsp:val=&quot;005C416E&quot;/&gt;&lt;wsp:rsid wsp:val=&quot;005C6E3E&quot;/&gt;&lt;wsp:rsid wsp:val=&quot;005D1C3A&quot;/&gt;&lt;wsp:rsid wsp:val=&quot;005E43DD&quot;/&gt;&lt;wsp:rsid wsp:val=&quot;005E77C4&quot;/&gt;&lt;wsp:rsid wsp:val=&quot;005E7AB9&quot;/&gt;&lt;wsp:rsid wsp:val=&quot;00600179&quot;/&gt;&lt;wsp:rsid wsp:val=&quot;00603FC0&quot;/&gt;&lt;wsp:rsid wsp:val=&quot;006167DD&quot;/&gt;&lt;wsp:rsid wsp:val=&quot;00636BF0&quot;/&gt;&lt;wsp:rsid wsp:val=&quot;00637524&quot;/&gt;&lt;wsp:rsid wsp:val=&quot;00646B6D&quot;/&gt;&lt;wsp:rsid wsp:val=&quot;00647697&quot;/&gt;&lt;wsp:rsid wsp:val=&quot;00655908&quot;/&gt;&lt;wsp:rsid wsp:val=&quot;006654F8&quot;/&gt;&lt;wsp:rsid wsp:val=&quot;00665768&quot;/&gt;&lt;wsp:rsid wsp:val=&quot;00667291&quot;/&gt;&lt;wsp:rsid wsp:val=&quot;00671024&quot;/&gt;&lt;wsp:rsid wsp:val=&quot;00686249&quot;/&gt;&lt;wsp:rsid wsp:val=&quot;00687504&quot;/&gt;&lt;wsp:rsid wsp:val=&quot;00691AFF&quot;/&gt;&lt;wsp:rsid wsp:val=&quot;006A171F&quot;/&gt;&lt;wsp:rsid wsp:val=&quot;006A36A8&quot;/&gt;&lt;wsp:rsid wsp:val=&quot;006A4209&quot;/&gt;&lt;wsp:rsid wsp:val=&quot;006A4E5F&quot;/&gt;&lt;wsp:rsid wsp:val=&quot;006B44DA&quot;/&gt;&lt;wsp:rsid wsp:val=&quot;006C5461&quot;/&gt;&lt;wsp:rsid wsp:val=&quot;006D2536&quot;/&gt;&lt;wsp:rsid wsp:val=&quot;006D3FAE&quot;/&gt;&lt;wsp:rsid wsp:val=&quot;006D4600&quot;/&gt;&lt;wsp:rsid wsp:val=&quot;006E0A2C&quot;/&gt;&lt;wsp:rsid wsp:val=&quot;006E202B&quot;/&gt;&lt;wsp:rsid wsp:val=&quot;006E57B5&quot;/&gt;&lt;wsp:rsid wsp:val=&quot;00702FA0&quot;/&gt;&lt;wsp:rsid wsp:val=&quot;00715D39&quot;/&gt;&lt;wsp:rsid wsp:val=&quot;00724218&quot;/&gt;&lt;wsp:rsid wsp:val=&quot;00737E65&quot;/&gt;&lt;wsp:rsid wsp:val=&quot;0074030A&quot;/&gt;&lt;wsp:rsid wsp:val=&quot;007409A3&quot;/&gt;&lt;wsp:rsid wsp:val=&quot;007575A8&quot;/&gt;&lt;wsp:rsid wsp:val=&quot;00762043&quot;/&gt;&lt;wsp:rsid wsp:val=&quot;007633C2&quot;/&gt;&lt;wsp:rsid wsp:val=&quot;00765A47&quot;/&gt;&lt;wsp:rsid wsp:val=&quot;00770E82&quot;/&gt;&lt;wsp:rsid wsp:val=&quot;00772E94&quot;/&gt;&lt;wsp:rsid wsp:val=&quot;007A30E8&quot;/&gt;&lt;wsp:rsid wsp:val=&quot;007A5E1C&quot;/&gt;&lt;wsp:rsid wsp:val=&quot;007B028B&quot;/&gt;&lt;wsp:rsid wsp:val=&quot;007B1D71&quot;/&gt;&lt;wsp:rsid wsp:val=&quot;007B7BF7&quot;/&gt;&lt;wsp:rsid wsp:val=&quot;007C00D0&quot;/&gt;&lt;wsp:rsid wsp:val=&quot;007C2186&quot;/&gt;&lt;wsp:rsid wsp:val=&quot;007D185B&quot;/&gt;&lt;wsp:rsid wsp:val=&quot;007F2233&quot;/&gt;&lt;wsp:rsid wsp:val=&quot;00804C17&quot;/&gt;&lt;wsp:rsid wsp:val=&quot;008053BA&quot;/&gt;&lt;wsp:rsid wsp:val=&quot;0080694B&quot;/&gt;&lt;wsp:rsid wsp:val=&quot;00810AB6&quot;/&gt;&lt;wsp:rsid wsp:val=&quot;0081779C&quot;/&gt;&lt;wsp:rsid wsp:val=&quot;00831D0D&quot;/&gt;&lt;wsp:rsid wsp:val=&quot;00832DEE&quot;/&gt;&lt;wsp:rsid wsp:val=&quot;00835B98&quot;/&gt;&lt;wsp:rsid wsp:val=&quot;00840713&quot;/&gt;&lt;wsp:rsid wsp:val=&quot;00854B9D&quot;/&gt;&lt;wsp:rsid wsp:val=&quot;00855A8A&quot;/&gt;&lt;wsp:rsid wsp:val=&quot;00872795&quot;/&gt;&lt;wsp:rsid wsp:val=&quot;008936D4&quot;/&gt;&lt;wsp:rsid wsp:val=&quot;008A2EC5&quot;/&gt;&lt;wsp:rsid wsp:val=&quot;008B77F5&quot;/&gt;&lt;wsp:rsid wsp:val=&quot;008C0279&quot;/&gt;&lt;wsp:rsid wsp:val=&quot;008C7C6D&quot;/&gt;&lt;wsp:rsid wsp:val=&quot;008C7F68&quot;/&gt;&lt;wsp:rsid wsp:val=&quot;008E380C&quot;/&gt;&lt;wsp:rsid wsp:val=&quot;008E405A&quot;/&gt;&lt;wsp:rsid wsp:val=&quot;008F25D2&quot;/&gt;&lt;wsp:rsid wsp:val=&quot;008F50EC&quot;/&gt;&lt;wsp:rsid wsp:val=&quot;008F587A&quot;/&gt;&lt;wsp:rsid wsp:val=&quot;0090054C&quot;/&gt;&lt;wsp:rsid wsp:val=&quot;00900565&quot;/&gt;&lt;wsp:rsid wsp:val=&quot;009010F8&quot;/&gt;&lt;wsp:rsid wsp:val=&quot;009134CA&quot;/&gt;&lt;wsp:rsid wsp:val=&quot;00914CC6&quot;/&gt;&lt;wsp:rsid wsp:val=&quot;00925AA2&quot;/&gt;&lt;wsp:rsid wsp:val=&quot;0092751F&quot;/&gt;&lt;wsp:rsid wsp:val=&quot;00932067&quot;/&gt;&lt;wsp:rsid wsp:val=&quot;0093594A&quot;/&gt;&lt;wsp:rsid wsp:val=&quot;009451C4&quot;/&gt;&lt;wsp:rsid wsp:val=&quot;00955D73&quot;/&gt;&lt;wsp:rsid wsp:val=&quot;0096512C&quot;/&gt;&lt;wsp:rsid wsp:val=&quot;0096540A&quot;/&gt;&lt;wsp:rsid wsp:val=&quot;009C0F3A&quot;/&gt;&lt;wsp:rsid wsp:val=&quot;009C5D2A&quot;/&gt;&lt;wsp:rsid wsp:val=&quot;00A02252&quot;/&gt;&lt;wsp:rsid wsp:val=&quot;00A06700&quot;/&gt;&lt;wsp:rsid wsp:val=&quot;00A10636&quot;/&gt;&lt;wsp:rsid wsp:val=&quot;00A331E7&quot;/&gt;&lt;wsp:rsid wsp:val=&quot;00A34169&quot;/&gt;&lt;wsp:rsid wsp:val=&quot;00A37D9B&quot;/&gt;&lt;wsp:rsid wsp:val=&quot;00A41C3C&quot;/&gt;&lt;wsp:rsid wsp:val=&quot;00A4725A&quot;/&gt;&lt;wsp:rsid wsp:val=&quot;00A5060F&quot;/&gt;&lt;wsp:rsid wsp:val=&quot;00A628DC&quot;/&gt;&lt;wsp:rsid wsp:val=&quot;00A76984&quot;/&gt;&lt;wsp:rsid wsp:val=&quot;00AA0A87&quot;/&gt;&lt;wsp:rsid wsp:val=&quot;00AA7B1E&quot;/&gt;&lt;wsp:rsid wsp:val=&quot;00AB2710&quot;/&gt;&lt;wsp:rsid wsp:val=&quot;00AC555A&quot;/&gt;&lt;wsp:rsid wsp:val=&quot;00AD184B&quot;/&gt;&lt;wsp:rsid wsp:val=&quot;00AE02E6&quot;/&gt;&lt;wsp:rsid wsp:val=&quot;00B0566D&quot;/&gt;&lt;wsp:rsid wsp:val=&quot;00B35BD9&quot;/&gt;&lt;wsp:rsid wsp:val=&quot;00B37DE8&quot;/&gt;&lt;wsp:rsid wsp:val=&quot;00B43898&quot;/&gt;&lt;wsp:rsid wsp:val=&quot;00B44BA5&quot;/&gt;&lt;wsp:rsid wsp:val=&quot;00B84125&quot;/&gt;&lt;wsp:rsid wsp:val=&quot;00B928E7&quot;/&gt;&lt;wsp:rsid wsp:val=&quot;00B961F6&quot;/&gt;&lt;wsp:rsid wsp:val=&quot;00BA5F7E&quot;/&gt;&lt;wsp:rsid wsp:val=&quot;00BB7F2F&quot;/&gt;&lt;wsp:rsid wsp:val=&quot;00BC7E76&quot;/&gt;&lt;wsp:rsid wsp:val=&quot;00BD3902&quot;/&gt;&lt;wsp:rsid wsp:val=&quot;00BE472F&quot;/&gt;&lt;wsp:rsid wsp:val=&quot;00BE5513&quot;/&gt;&lt;wsp:rsid wsp:val=&quot;00BE5BED&quot;/&gt;&lt;wsp:rsid wsp:val=&quot;00BF12F6&quot;/&gt;&lt;wsp:rsid wsp:val=&quot;00C00765&quot;/&gt;&lt;wsp:rsid wsp:val=&quot;00C10464&quot;/&gt;&lt;wsp:rsid wsp:val=&quot;00C119C2&quot;/&gt;&lt;wsp:rsid wsp:val=&quot;00C15758&quot;/&gt;&lt;wsp:rsid wsp:val=&quot;00C21B54&quot;/&gt;&lt;wsp:rsid wsp:val=&quot;00C27E02&quot;/&gt;&lt;wsp:rsid wsp:val=&quot;00C40967&quot;/&gt;&lt;wsp:rsid wsp:val=&quot;00C42C64&quot;/&gt;&lt;wsp:rsid wsp:val=&quot;00C4400C&quot;/&gt;&lt;wsp:rsid wsp:val=&quot;00C600E2&quot;/&gt;&lt;wsp:rsid wsp:val=&quot;00C63D43&quot;/&gt;&lt;wsp:rsid wsp:val=&quot;00C74134&quot;/&gt;&lt;wsp:rsid wsp:val=&quot;00C823B1&quot;/&gt;&lt;wsp:rsid wsp:val=&quot;00C93D19&quot;/&gt;&lt;wsp:rsid wsp:val=&quot;00CA271E&quot;/&gt;&lt;wsp:rsid wsp:val=&quot;00CB1488&quot;/&gt;&lt;wsp:rsid wsp:val=&quot;00CB7414&quot;/&gt;&lt;wsp:rsid wsp:val=&quot;00CD5933&quot;/&gt;&lt;wsp:rsid wsp:val=&quot;00CE19C1&quot;/&gt;&lt;wsp:rsid wsp:val=&quot;00CF364B&quot;/&gt;&lt;wsp:rsid wsp:val=&quot;00CF3D81&quot;/&gt;&lt;wsp:rsid wsp:val=&quot;00D01CFE&quot;/&gt;&lt;wsp:rsid wsp:val=&quot;00D07C4B&quot;/&gt;&lt;wsp:rsid wsp:val=&quot;00D201C9&quot;/&gt;&lt;wsp:rsid wsp:val=&quot;00D225D8&quot;/&gt;&lt;wsp:rsid wsp:val=&quot;00D2503C&quot;/&gt;&lt;wsp:rsid wsp:val=&quot;00D30983&quot;/&gt;&lt;wsp:rsid wsp:val=&quot;00D33A2E&quot;/&gt;&lt;wsp:rsid wsp:val=&quot;00D34954&quot;/&gt;&lt;wsp:rsid wsp:val=&quot;00D367F2&quot;/&gt;&lt;wsp:rsid wsp:val=&quot;00D4214D&quot;/&gt;&lt;wsp:rsid wsp:val=&quot;00D511A1&quot;/&gt;&lt;wsp:rsid wsp:val=&quot;00D56CF9&quot;/&gt;&lt;wsp:rsid wsp:val=&quot;00D608D5&quot;/&gt;&lt;wsp:rsid wsp:val=&quot;00D651CA&quot;/&gt;&lt;wsp:rsid wsp:val=&quot;00D872BF&quot;/&gt;&lt;wsp:rsid wsp:val=&quot;00DA4C87&quot;/&gt;&lt;wsp:rsid wsp:val=&quot;00DB4CF4&quot;/&gt;&lt;wsp:rsid wsp:val=&quot;00DB5613&quot;/&gt;&lt;wsp:rsid wsp:val=&quot;00DE01F6&quot;/&gt;&lt;wsp:rsid wsp:val=&quot;00DE15BD&quot;/&gt;&lt;wsp:rsid wsp:val=&quot;00DE1FAA&quot;/&gt;&lt;wsp:rsid wsp:val=&quot;00DE2998&quot;/&gt;&lt;wsp:rsid wsp:val=&quot;00DE4223&quot;/&gt;&lt;wsp:rsid wsp:val=&quot;00DE6B60&quot;/&gt;&lt;wsp:rsid wsp:val=&quot;00DF14FA&quot;/&gt;&lt;wsp:rsid wsp:val=&quot;00DF1B90&quot;/&gt;&lt;wsp:rsid wsp:val=&quot;00E06D10&quot;/&gt;&lt;wsp:rsid wsp:val=&quot;00E07624&quot;/&gt;&lt;wsp:rsid wsp:val=&quot;00E20138&quot;/&gt;&lt;wsp:rsid wsp:val=&quot;00E20458&quot;/&gt;&lt;wsp:rsid wsp:val=&quot;00E22F51&quot;/&gt;&lt;wsp:rsid wsp:val=&quot;00E3344E&quot;/&gt;&lt;wsp:rsid wsp:val=&quot;00E47019&quot;/&gt;&lt;wsp:rsid wsp:val=&quot;00E55420&quot;/&gt;&lt;wsp:rsid wsp:val=&quot;00E56487&quot;/&gt;&lt;wsp:rsid wsp:val=&quot;00E62277&quot;/&gt;&lt;wsp:rsid wsp:val=&quot;00E81646&quot;/&gt;&lt;wsp:rsid wsp:val=&quot;00E83F08&quot;/&gt;&lt;wsp:rsid wsp:val=&quot;00E853F3&quot;/&gt;&lt;wsp:rsid wsp:val=&quot;00EC2491&quot;/&gt;&lt;wsp:rsid wsp:val=&quot;00ED2C42&quot;/&gt;&lt;wsp:rsid wsp:val=&quot;00EF0E0D&quot;/&gt;&lt;wsp:rsid wsp:val=&quot;00EF3B2B&quot;/&gt;&lt;wsp:rsid wsp:val=&quot;00F00EE9&quot;/&gt;&lt;wsp:rsid wsp:val=&quot;00F332EE&quot;/&gt;&lt;wsp:rsid wsp:val=&quot;00F379DD&quot;/&gt;&lt;wsp:rsid wsp:val=&quot;00F44640&quot;/&gt;&lt;wsp:rsid wsp:val=&quot;00F47244&quot;/&gt;&lt;wsp:rsid wsp:val=&quot;00F511A7&quot;/&gt;&lt;wsp:rsid wsp:val=&quot;00F660F9&quot;/&gt;&lt;wsp:rsid wsp:val=&quot;00F849A7&quot;/&gt;&lt;wsp:rsid wsp:val=&quot;00F902E2&quot;/&gt;&lt;wsp:rsid wsp:val=&quot;00FA5F45&quot;/&gt;&lt;wsp:rsid wsp:val=&quot;00FA7522&quot;/&gt;&lt;wsp:rsid wsp:val=&quot;00FB2D36&quot;/&gt;&lt;wsp:rsid wsp:val=&quot;00FB71DC&quot;/&gt;&lt;wsp:rsid wsp:val=&quot;00FC2C59&quot;/&gt;&lt;wsp:rsid wsp:val=&quot;00FD178C&quot;/&gt;&lt;/wsp:rsids&gt;&lt;/w:docPr&gt;&lt;w:body&gt;&lt;wx:sect&gt;&lt;w:p wsp:rsidR=&quot;00000000&quot; wsp:rsidRPr=&quot;00BE5BED&quot; wsp:rsidRDefault=&quot;00BE5BED&quot; wsp:rsidP=&quot;00BE5BED&quot;&gt;&lt;m:oMathPara&gt;&lt;m:oMath&gt;&lt;m:sSubSup&gt;&lt;m:sSubSupPr&gt;&lt;m:ctrlPr&gt;&lt;w:rPr&gt;&lt;w:rFonts w:ascii=&quot;Cambria Math&quot; w:fareast=&quot;Calibri&quot; w:h-ansi=&quot;Cambria Math&quot; w:cs=&quot;Calibri&quot;/&gt;&lt;wx:font wx:val=&quot;Cambria Math&quot;/&gt;&lt;w:i/&gt;&lt;/w:rPr&gt;&lt;/m:ctrlPr&gt;&lt;/m:sSubSupPr&gt;&lt;m:e&gt;&lt;m:r&gt;&lt;w:rPr&gt;&lt;w:rFonts w:ascii=&quot;Cambria Math&quot; w:fareast=&quot;Calibri&quot; w:h-ansi=&quot;Cambria Math&quot; w:cs=&quot;Calibri&quot;/&gt;&lt;wx:font wx:val=&quot;Cambria Math&quot;/&gt;&lt;w:i/&gt;&lt;/w:rPr&gt;&lt;m:t&gt;C&lt;/m:t&gt;&lt;/m:r&gt;&lt;/m:e&gt;&lt;m:sub&gt;&lt;m:r&gt;&lt;w:rPr&gt;&lt;w:rFonts w:ascii=&quot;Cambria Math&quot; w:fareast=&quot;Calibri&quot; w:h-ansi=&quot;Cambria Math&quot; w:cs=&quot;Calibri&quot;/&gt;&lt;wx:font wx:val=&quot;Cambria Math&quot;/&gt;&lt;w:i/&gt;&lt;/w:rPr&gt;&lt;m:t&gt;i,j&lt;/m:t&gt;&lt;/m:r&gt;&lt;/m:sub&gt;&lt;m:sup&gt;&lt;m:r&gt;&lt;w:rPr&gt;&lt;w:rFonts w:ascii=&quot;Cambria Math&quot; w:fareast=&quot;Calibri&quot; w:h-ansi=&quot;Cambria Math&quot; w:cs=&quot;Calibri&quot;/&gt;&lt;wx:font wx:val=&quot;Cambria Math&quot;/&gt;&lt;w:i/&gt;&lt;/w:rPr&gt;&lt;m:t&gt;0-30&lt;/m:t&gt;&lt;/m:r&gt;&lt;m:r&gt;&lt;m:rPr&gt;&lt;m:sty m:val=&quot;p&quot;/&gt;&lt;/m:rPr&gt;&lt;w:rPr&gt;&lt;w:rFonts w:ascii=&quot;Cambria Math&quot; w:fareast=&quot;Calibri&quot; w:h-ansi=&quot;Cambria Math&quot; w:cs=&quot;Calibri&quot;/&gt;&lt;wx:font wx:val=&quot;Cambria Math&quot;/&gt;&lt;/w:rPr&gt;&lt;m:t&gt;cm&lt;/m:t&gt;&lt;/m:r&gt;&lt;/m:sup&gt;&lt;/m:sSubSup&gt;&lt;m:r&gt;&lt;w:rPr&gt;&lt;w:rFonts w:ascii=&quot;Cambria Math&quot; w:fareast=&quot;Calibri&quot; w:h-ansi=&quot;Cambria Math&quot; w:cs=&quot;Calibri&quot;/&gt;&lt;wx:font wx:val=&quot;Cambria Math&quot;/&gt;&lt;w:i/&gt;&lt;/w:rPr&gt;&lt;m:t&gt;=M+&lt;/m:t&gt;&lt;/m:r&gt;&lt;m:sSub&gt;&lt;m:sSubPr&gt;&lt;m:ctrlPr&gt;&lt;w:rPr&gt;&lt;w:rFonts w:ascii=&quot;Cambria Math&quot; w:fareast=&quot;Calibri&quot; w:h-ansi=&quot;Cambria Math&quot; w:cs=&quot;Calibri&quot;/&gt;&lt;wx:font wx:val=&quot;Cambria Math&quot;/&gt;&lt;w:i/&gt;&lt;/w:rPr&gt;&lt;/m:ctrlPr&gt;&lt;/m:sSubPr&gt;&lt;m:e&gt;&lt;m:r&gt;&lt;w:rPr&gt;&lt;w:rFonts w:ascii=&quot;Cambria Math&quot; w:fareast=&quot;Calibri&quot; w:h-ansi=&quot;Cambria Math&quot; w:cs=&quot;Calibri&quot;/&gt;&lt;wx:font wx:val=&quot;Cambria Math&quot;/&gt;&lt;w:i/&gt;&lt;/w:rPr&gt;&lt;m:t&gt;L&lt;/m:t&gt;&lt;/m:r&gt;&lt;/m:e&gt;&lt;m:sub&gt;&lt;m:r&gt;&lt;w:rPr&gt;&lt;w:rFonts w:ascii=&quot;Cambria Math&quot; w:fareast=&quot;Calibri&quot; w:h-ansi=&quot;Cambria Math&quot; w:cs=&quot;Calibri&quot;/&gt;&lt;wx:font wx:val=&quot;Cambria Math&quot;/&gt;&lt;w:i/&gt;&lt;/w:rPr&gt;&lt;m:t&gt;i&lt;/m:t&gt;&lt;/m:r&gt;&lt;/m:sub&gt;&lt;/m:sSub&gt;&lt;m:r&gt;&lt;w:rPr&gt;&lt;w:rFonts w:ascii=&quot;Cambria Math&quot; w:fareast=&quot;Calibri&quot; w:h-ansi=&quot;Cambria Math&quot; w:cs=&quot;Calibri&quot;/&gt;&lt;wx:font wx:val=&quot;Cambria Math&quot;/&gt;&lt;w:i/&gt;&lt;/w:rPr&gt;&lt;m:t&gt;+&lt;/m:t&gt;&lt;/m:r&gt;&lt;m:sSub&gt;&lt;m:sSubPr&gt;&lt;m:ctrlPr&gt;&lt;w:rPr&gt;&lt;w:rFonts w:ascii=&quot;Cambria Math&quot; w:fareast=&quot;Calibri&quot; w:h-ansi=&quot;Cambria Math&quot; w:cs=&quot;Calibri&quot;/&gt;&lt;wx:font wx:val=&quot;Cambria Math&quot;/&gt;&lt;w:i/&gt;&lt;/w:rPr&gt;&lt;/m:ctrlPr&gt;&lt;/m:sSubPr&gt;&lt;m:e&gt;&lt;m:r&gt;&lt;w:rPr&gt;&lt;w:rFonts w:ascii=&quot;Cambria Math&quot; w:fareast=&quot;Calibri&quot; w:h-ansi=&quot;Cambria Math&quot; w:cs=&quot;Calibri&quot;/&gt;&lt;wx:font wx:val=&quot;Cambria Math&quot;/&gt;&lt;w:i/&gt;&lt;/w:rPr&gt;&lt;m:t&gt;S&lt;/m:t&gt;&lt;/m:r&gt;&lt;/m:e&gt;&lt;m:sub&gt;&lt;m:r&gt;&lt;w:rPr&gt;&lt;w:rFonts w:ascii=&quot;Cambria Math&quot; w:fareast=&quot;Calibri&quot; w:h-ansi=&quot;Cambria Math&quot; w:cs=&quot;Calibri&quot;/&gt;&lt;wx:font wx:val=&quot;Cambria Math&quot;/&gt;&lt;w:i/&gt;&lt;/w:rPr&gt;&lt;m:t&gt;j&lt;/m:t&gt;&lt;/m:r&gt;&lt;/m:sub&gt;&lt;/m:sSub&gt;&lt;m:r&gt;&lt;w:rPr&gt;&lt;w:rFonts w:ascii=&quot;Cambria Math&quot; w:fareast=&quot;Calibri&quot; w:h-ansi=&quot;Cambria Math&quot; w:cs=&quot;Calibri&quot;/&gt;&lt;wx:font wx:val=&quot;Cambria Math&quot;/&gt;&lt;w:i/&gt;&lt;/w:rPr&gt;&lt;m:t&gt;+b.SR+Îµ&lt;/m:t&gt;&lt;/m:r&gt;&lt;/m:oMath&gt;&lt;/m:oMathPara&gt;&lt;/w:p&gt;&lt;w:sectPr wsp:rsidR=&quot;00000000&quot; wsp:rsidRPr=&quot;00BE5BED&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4" o:title="" chromakey="white"/>
                </v:shape>
              </w:pict>
            </w:r>
          </w:p>
        </w:tc>
        <w:tc>
          <w:tcPr>
            <w:tcW w:w="648" w:type="pct"/>
            <w:shd w:val="clear" w:color="auto" w:fill="auto"/>
            <w:tcMar>
              <w:top w:w="57" w:type="dxa"/>
              <w:left w:w="57" w:type="dxa"/>
              <w:bottom w:w="57" w:type="dxa"/>
              <w:right w:w="57" w:type="dxa"/>
            </w:tcMar>
            <w:vAlign w:val="center"/>
          </w:tcPr>
          <w:p w14:paraId="69D40F3A" w14:textId="77777777" w:rsidR="00A10636" w:rsidRPr="00D9348B" w:rsidRDefault="00A10636" w:rsidP="00DB330E">
            <w:pPr>
              <w:pStyle w:val="BodyText"/>
              <w:spacing w:before="0" w:after="0"/>
              <w:rPr>
                <w:rFonts w:eastAsia="Calibri" w:cs="Calibri"/>
                <w:i/>
              </w:rPr>
            </w:pPr>
            <w:r w:rsidRPr="00D9348B">
              <w:rPr>
                <w:rFonts w:eastAsia="Calibri" w:cs="Calibri"/>
                <w:i/>
              </w:rPr>
              <w:t>(4)</w:t>
            </w:r>
          </w:p>
        </w:tc>
      </w:tr>
    </w:tbl>
    <w:p w14:paraId="7E5C0AEE" w14:textId="77777777" w:rsidR="00A10636" w:rsidRPr="00D9348B" w:rsidRDefault="00A10636" w:rsidP="00A10636">
      <w:pPr>
        <w:pStyle w:val="BodyText"/>
        <w:spacing w:after="0" w:line="240" w:lineRule="atLeast"/>
        <w:ind w:left="851" w:hanging="851"/>
        <w:rPr>
          <w:rFonts w:eastAsia="Calibri"/>
        </w:rPr>
      </w:pPr>
      <w:r w:rsidRPr="00D9348B">
        <w:rPr>
          <w:rFonts w:eastAsia="Calibri"/>
        </w:rPr>
        <w:t>Where:</w:t>
      </w:r>
      <w:r w:rsidRPr="00D9348B">
        <w:rPr>
          <w:rFonts w:eastAsia="Calibri"/>
        </w:rPr>
        <w:tab/>
      </w:r>
      <w:r w:rsidRPr="00D9348B">
        <w:rPr>
          <w:rFonts w:eastAsia="Calibri"/>
          <w:i/>
        </w:rPr>
        <w:t>M</w:t>
      </w:r>
      <w:r w:rsidRPr="00D9348B">
        <w:rPr>
          <w:rFonts w:eastAsia="Calibri"/>
        </w:rPr>
        <w:t xml:space="preserve"> = </w:t>
      </w:r>
      <w:r w:rsidRPr="00D9348B">
        <w:t>the mean soil carbon in the 0–30-centimetre layer for the combination of the reference level of land use (low producing grassland), the reference level for soil climate (MstTempHAC, i.e., ‘moist temperate high activity clay’), and level ground</w:t>
      </w:r>
    </w:p>
    <w:p w14:paraId="2C1C4F83" w14:textId="77777777" w:rsidR="00A10636" w:rsidRPr="00D9348B" w:rsidRDefault="00A10636" w:rsidP="00A10636">
      <w:pPr>
        <w:pStyle w:val="BodyText"/>
        <w:spacing w:after="0" w:line="240" w:lineRule="atLeast"/>
        <w:ind w:left="851" w:hanging="851"/>
        <w:rPr>
          <w:rFonts w:eastAsia="Calibri"/>
          <w:spacing w:val="-2"/>
        </w:rPr>
      </w:pPr>
      <w:r w:rsidRPr="00D9348B">
        <w:rPr>
          <w:rFonts w:eastAsia="Calibri"/>
          <w:i/>
        </w:rPr>
        <w:tab/>
      </w:r>
      <w:r w:rsidRPr="00D9348B">
        <w:rPr>
          <w:rFonts w:eastAsia="Calibri"/>
          <w:i/>
          <w:spacing w:val="-2"/>
        </w:rPr>
        <w:t>L</w:t>
      </w:r>
      <w:r w:rsidRPr="00D9348B">
        <w:rPr>
          <w:rFonts w:eastAsia="Calibri"/>
          <w:i/>
          <w:spacing w:val="-2"/>
          <w:vertAlign w:val="subscript"/>
        </w:rPr>
        <w:t xml:space="preserve">i </w:t>
      </w:r>
      <w:r w:rsidRPr="00D9348B">
        <w:rPr>
          <w:rFonts w:eastAsia="Calibri"/>
          <w:spacing w:val="-2"/>
        </w:rPr>
        <w:t xml:space="preserve">= the effect of the </w:t>
      </w:r>
      <w:r w:rsidRPr="00D9348B">
        <w:rPr>
          <w:rFonts w:eastAsia="Calibri"/>
          <w:i/>
          <w:spacing w:val="-2"/>
        </w:rPr>
        <w:t>i</w:t>
      </w:r>
      <w:r w:rsidRPr="00D9348B">
        <w:rPr>
          <w:rFonts w:eastAsia="Calibri"/>
          <w:spacing w:val="-2"/>
        </w:rPr>
        <w:t>-th land use, specifying the difference in soil carbon relative to the reference land use (low producing grassland), in tonnes per hectare</w:t>
      </w:r>
    </w:p>
    <w:p w14:paraId="55232297" w14:textId="77777777" w:rsidR="00A10636" w:rsidRPr="00D9348B" w:rsidRDefault="00A10636" w:rsidP="00A10636">
      <w:pPr>
        <w:pStyle w:val="BodyText"/>
        <w:spacing w:after="0" w:line="240" w:lineRule="atLeast"/>
        <w:ind w:left="851" w:hanging="851"/>
        <w:rPr>
          <w:rFonts w:eastAsia="Calibri"/>
        </w:rPr>
      </w:pPr>
      <w:r w:rsidRPr="00D9348B">
        <w:rPr>
          <w:rFonts w:eastAsia="Calibri"/>
          <w:i/>
        </w:rPr>
        <w:tab/>
        <w:t>S</w:t>
      </w:r>
      <w:r w:rsidRPr="00D9348B">
        <w:rPr>
          <w:rFonts w:eastAsia="Calibri"/>
          <w:i/>
          <w:vertAlign w:val="subscript"/>
        </w:rPr>
        <w:t>j</w:t>
      </w:r>
      <w:r w:rsidRPr="00D9348B">
        <w:rPr>
          <w:rFonts w:eastAsia="Calibri"/>
        </w:rPr>
        <w:t xml:space="preserve"> = the effect of the </w:t>
      </w:r>
      <w:r w:rsidRPr="00D9348B">
        <w:rPr>
          <w:rFonts w:eastAsia="Calibri"/>
          <w:i/>
        </w:rPr>
        <w:t>j</w:t>
      </w:r>
      <w:r w:rsidRPr="00D9348B">
        <w:rPr>
          <w:rFonts w:eastAsia="Calibri"/>
        </w:rPr>
        <w:t xml:space="preserve">-th soil–climate class relative to the reference level </w:t>
      </w:r>
    </w:p>
    <w:p w14:paraId="3FF2D811" w14:textId="77777777" w:rsidR="00A10636" w:rsidRPr="00D9348B" w:rsidRDefault="00A10636" w:rsidP="00A10636">
      <w:pPr>
        <w:pStyle w:val="BodyText"/>
        <w:spacing w:after="0" w:line="240" w:lineRule="atLeast"/>
        <w:ind w:left="851" w:hanging="851"/>
        <w:rPr>
          <w:rFonts w:eastAsia="Calibri"/>
        </w:rPr>
      </w:pPr>
      <w:r w:rsidRPr="00D9348B">
        <w:rPr>
          <w:rFonts w:eastAsia="Calibri"/>
          <w:i/>
        </w:rPr>
        <w:tab/>
        <w:t>b.SR</w:t>
      </w:r>
      <w:r w:rsidRPr="00D9348B">
        <w:rPr>
          <w:rFonts w:eastAsia="Calibri"/>
        </w:rPr>
        <w:t xml:space="preserve"> = the additional soil carbon for each unit of erosivity (slope </w:t>
      </w:r>
      <w:r w:rsidRPr="00D9348B">
        <w:rPr>
          <w:rFonts w:eastAsia="Calibri"/>
          <w:i/>
        </w:rPr>
        <w:t>×</w:t>
      </w:r>
      <w:r w:rsidRPr="00D9348B">
        <w:rPr>
          <w:rFonts w:eastAsia="Calibri"/>
        </w:rPr>
        <w:t xml:space="preserve"> rainfall)</w:t>
      </w:r>
      <w:r w:rsidRPr="00D9348B">
        <w:rPr>
          <w:rFonts w:eastAsia="Calibri"/>
          <w:i/>
        </w:rPr>
        <w:t xml:space="preserve"> </w:t>
      </w:r>
      <w:r w:rsidRPr="00D9348B">
        <w:rPr>
          <w:rFonts w:eastAsia="Calibri"/>
        </w:rPr>
        <w:t xml:space="preserve">(millidegree </w:t>
      </w:r>
      <w:r w:rsidRPr="00D9348B">
        <w:rPr>
          <w:rFonts w:eastAsia="Calibri"/>
          <w:i/>
        </w:rPr>
        <w:t>×</w:t>
      </w:r>
      <w:r w:rsidRPr="00D9348B">
        <w:rPr>
          <w:rFonts w:eastAsia="Calibri"/>
        </w:rPr>
        <w:t xml:space="preserve"> 10</w:t>
      </w:r>
      <w:r w:rsidRPr="00D9348B">
        <w:rPr>
          <w:rFonts w:eastAsia="Calibri"/>
          <w:vertAlign w:val="superscript"/>
        </w:rPr>
        <w:t>–1</w:t>
      </w:r>
      <w:r w:rsidRPr="00D9348B">
        <w:rPr>
          <w:rFonts w:eastAsia="Calibri"/>
        </w:rPr>
        <w:t>)</w:t>
      </w:r>
    </w:p>
    <w:p w14:paraId="6257DC84" w14:textId="77777777" w:rsidR="00A10636" w:rsidRPr="00D9348B" w:rsidRDefault="00A10636" w:rsidP="00A10636">
      <w:pPr>
        <w:pStyle w:val="BodyText"/>
        <w:spacing w:line="240" w:lineRule="atLeast"/>
        <w:ind w:left="851" w:hanging="851"/>
        <w:rPr>
          <w:rFonts w:eastAsia="Calibri"/>
        </w:rPr>
      </w:pPr>
      <w:r w:rsidRPr="00D9348B">
        <w:rPr>
          <w:rFonts w:eastAsia="Calibri"/>
          <w:i/>
          <w:sz w:val="20"/>
        </w:rPr>
        <w:tab/>
        <w:t>Ɛ</w:t>
      </w:r>
      <w:r w:rsidRPr="00D9348B">
        <w:rPr>
          <w:rFonts w:eastAsia="Calibri"/>
        </w:rPr>
        <w:t xml:space="preserve"> = the model uncertainty.</w:t>
      </w:r>
    </w:p>
    <w:p w14:paraId="5FB393B6" w14:textId="77777777" w:rsidR="00A10636" w:rsidRPr="00D9348B" w:rsidRDefault="00A10636" w:rsidP="00A10636">
      <w:pPr>
        <w:pStyle w:val="BodyText"/>
        <w:rPr>
          <w:rFonts w:eastAsia="Calibri"/>
        </w:rPr>
      </w:pPr>
      <w:r w:rsidRPr="00D9348B">
        <w:rPr>
          <w:rFonts w:eastAsia="Calibri"/>
        </w:rPr>
        <w:t xml:space="preserve">The quantities </w:t>
      </w:r>
      <w:r w:rsidRPr="00D9348B">
        <w:rPr>
          <w:rFonts w:eastAsia="Calibri"/>
          <w:i/>
        </w:rPr>
        <w:t>M</w:t>
      </w:r>
      <w:r w:rsidRPr="00D9348B">
        <w:rPr>
          <w:rFonts w:eastAsia="Calibri"/>
        </w:rPr>
        <w:t xml:space="preserve">, </w:t>
      </w:r>
      <w:r w:rsidRPr="00D9348B">
        <w:rPr>
          <w:rFonts w:eastAsia="Calibri"/>
          <w:i/>
        </w:rPr>
        <w:t>L</w:t>
      </w:r>
      <w:r w:rsidRPr="00D9348B">
        <w:rPr>
          <w:rFonts w:eastAsia="Calibri"/>
          <w:i/>
          <w:vertAlign w:val="subscript"/>
        </w:rPr>
        <w:t>i</w:t>
      </w:r>
      <w:r w:rsidRPr="00D9348B">
        <w:rPr>
          <w:rFonts w:eastAsia="Calibri"/>
        </w:rPr>
        <w:t xml:space="preserve">, </w:t>
      </w:r>
      <w:r w:rsidRPr="00D9348B">
        <w:rPr>
          <w:rFonts w:eastAsia="Calibri"/>
          <w:i/>
        </w:rPr>
        <w:t>S</w:t>
      </w:r>
      <w:r w:rsidRPr="00D9348B">
        <w:rPr>
          <w:rFonts w:eastAsia="Calibri"/>
          <w:i/>
          <w:vertAlign w:val="subscript"/>
        </w:rPr>
        <w:t>j</w:t>
      </w:r>
      <w:r w:rsidRPr="00D9348B">
        <w:rPr>
          <w:rFonts w:eastAsia="Calibri"/>
        </w:rPr>
        <w:t xml:space="preserve">, as well as the slope </w:t>
      </w:r>
      <w:r w:rsidRPr="00D9348B">
        <w:rPr>
          <w:rFonts w:eastAsia="Calibri"/>
          <w:i/>
        </w:rPr>
        <w:t>×</w:t>
      </w:r>
      <w:r w:rsidRPr="00D9348B">
        <w:rPr>
          <w:rFonts w:eastAsia="Calibri"/>
        </w:rPr>
        <w:t xml:space="preserve"> rainfall coefficient </w:t>
      </w:r>
      <w:r w:rsidRPr="00D9348B">
        <w:rPr>
          <w:rFonts w:eastAsia="Calibri"/>
          <w:i/>
        </w:rPr>
        <w:t>b.SR</w:t>
      </w:r>
      <w:r w:rsidRPr="00D9348B">
        <w:rPr>
          <w:rFonts w:eastAsia="Calibri"/>
        </w:rPr>
        <w:t xml:space="preserve">, are obtained by fitting a statistical model to the Soil CMS calibration data set; all other quantities are obtained from other data sets or from separate analyses (McNeill and Barringer, </w:t>
      </w:r>
      <w:r w:rsidRPr="00D9348B">
        <w:t>unpublished</w:t>
      </w:r>
      <w:r w:rsidRPr="00D9348B">
        <w:rPr>
          <w:rFonts w:eastAsia="Calibri"/>
        </w:rPr>
        <w:t xml:space="preserve">). For example, the mean value of the slope </w:t>
      </w:r>
      <w:r w:rsidRPr="00D9348B">
        <w:rPr>
          <w:rFonts w:eastAsia="Calibri"/>
          <w:i/>
        </w:rPr>
        <w:t>×</w:t>
      </w:r>
      <w:r w:rsidRPr="00D9348B">
        <w:rPr>
          <w:rFonts w:eastAsia="Calibri"/>
        </w:rPr>
        <w:t xml:space="preserve"> rainfall must be obtained from national statistics of rainfall and a terrain slope map, which has been calculated from geographic information system (GIS) layers (Giltrap et al., </w:t>
      </w:r>
      <w:r w:rsidRPr="00D9348B">
        <w:t>unpublished</w:t>
      </w:r>
      <w:r w:rsidRPr="00D9348B">
        <w:rPr>
          <w:rFonts w:eastAsia="Calibri"/>
        </w:rPr>
        <w:t>).</w:t>
      </w:r>
    </w:p>
    <w:p w14:paraId="07368C34" w14:textId="77777777" w:rsidR="00A10636" w:rsidRPr="00D9348B" w:rsidRDefault="00A10636" w:rsidP="00A10636">
      <w:pPr>
        <w:pStyle w:val="BodyText"/>
      </w:pPr>
      <w:r w:rsidRPr="00D9348B">
        <w:t xml:space="preserve">More elaborate alternatives to the model have been considered but were not found to be significantly better than the simple model given in equation 4 above (McNeill and Barringer, unpublished). </w:t>
      </w:r>
    </w:p>
    <w:p w14:paraId="52AD6D9F" w14:textId="77777777" w:rsidR="00A10636" w:rsidRPr="00D9348B" w:rsidRDefault="00A10636" w:rsidP="00A10636">
      <w:pPr>
        <w:pStyle w:val="Heading5"/>
      </w:pPr>
      <w:r w:rsidRPr="00D9348B">
        <w:lastRenderedPageBreak/>
        <w:t>Soil data sets</w:t>
      </w:r>
    </w:p>
    <w:p w14:paraId="62535895" w14:textId="77777777" w:rsidR="00A10636" w:rsidRPr="00D9348B" w:rsidRDefault="00A10636" w:rsidP="00A10636">
      <w:pPr>
        <w:pStyle w:val="BodyText"/>
        <w:spacing w:before="100" w:after="100"/>
      </w:pPr>
      <w:r w:rsidRPr="00D9348B">
        <w:t xml:space="preserve">Soil data for the Soil CMS inventory model come from five sources. </w:t>
      </w:r>
    </w:p>
    <w:p w14:paraId="327A3495" w14:textId="77777777" w:rsidR="00A10636" w:rsidRPr="00D9348B" w:rsidRDefault="00A10636" w:rsidP="00A10636">
      <w:pPr>
        <w:pStyle w:val="BodyText"/>
        <w:spacing w:before="100" w:after="100"/>
      </w:pPr>
      <w:r w:rsidRPr="00D9348B">
        <w:rPr>
          <w:b/>
        </w:rPr>
        <w:t>Historic soils</w:t>
      </w:r>
      <w:r w:rsidRPr="00D9348B">
        <w:t xml:space="preserve">: This data set is derived primarily from the National Soils Database (NSD, </w:t>
      </w:r>
      <w:hyperlink r:id="rId215" w:history="1">
        <w:r w:rsidRPr="00D9348B">
          <w:rPr>
            <w:spacing w:val="-2"/>
          </w:rPr>
          <w:t>www.soils.landcareresearch.co.nz/soil-data/national-soils-data-repository-and-the-national-soils-database</w:t>
        </w:r>
      </w:hyperlink>
      <w:r w:rsidRPr="00D9348B">
        <w:t xml:space="preserve">), with a small number of samples from various supplementary data sets; data from all sources were collected between 1935 and 2005. The NSD represents soil profile data for over 1,500 soil pits scattered throughout New Zealand. These data contain the soil description following either the Soil Survey Method (Taylor and Pohlen, 1962) or </w:t>
      </w:r>
      <w:r w:rsidRPr="00D9348B">
        <w:rPr>
          <w:i/>
        </w:rPr>
        <w:t xml:space="preserve">Soil Description Handbook </w:t>
      </w:r>
      <w:r w:rsidRPr="00D9348B">
        <w:t xml:space="preserve">(Milne et al., 1995), as well as physical and chemical analyses from either the Landcare Research Environmental Chemistry Laboratory or the Department of Scientific and Industrial Research Soil Bureau Laboratory. This data set was collated as the first stocktake of available soil data for national greenhouse gas reporting and, as such, underwent substantial quality-assurance and quality-control checks (Baisden et al., </w:t>
      </w:r>
      <w:proofErr w:type="gramStart"/>
      <w:r w:rsidRPr="00D9348B">
        <w:t>unpublished(</w:t>
      </w:r>
      <w:proofErr w:type="gramEnd"/>
      <w:r w:rsidRPr="00D9348B">
        <w:t xml:space="preserve">b); Scott et al., 2002; Tate et al., 2005). </w:t>
      </w:r>
    </w:p>
    <w:p w14:paraId="153FF38D" w14:textId="77777777" w:rsidR="00A10636" w:rsidRPr="00D9348B" w:rsidRDefault="00A10636" w:rsidP="00A10636">
      <w:pPr>
        <w:pStyle w:val="BodyText"/>
        <w:spacing w:before="100" w:after="100"/>
      </w:pPr>
      <w:r w:rsidRPr="00D9348B">
        <w:rPr>
          <w:b/>
        </w:rPr>
        <w:t>Natural forest soils</w:t>
      </w:r>
      <w:r w:rsidRPr="00D9348B">
        <w:t xml:space="preserve">: This data set was gathered between 2001 and 2007 as part of the Natural Forest Survey, with soil subsampled on an 8-kilometre grid across the country (Garrett, unpublished; see section 6.4.2 for more details of the 8-kilometre national grid system). The natural forest soils were important in the development of the Soil CMS model because they provided spatial balancing in areas of New Zealand not adequately covered by the historic soils data set. </w:t>
      </w:r>
    </w:p>
    <w:p w14:paraId="516F1D45" w14:textId="77777777" w:rsidR="00A10636" w:rsidRPr="00D9348B" w:rsidRDefault="00A10636" w:rsidP="00A10636">
      <w:pPr>
        <w:pStyle w:val="BodyText"/>
        <w:spacing w:before="100" w:after="100"/>
        <w:rPr>
          <w:spacing w:val="-4"/>
        </w:rPr>
      </w:pPr>
      <w:r w:rsidRPr="00D9348B">
        <w:rPr>
          <w:b/>
          <w:spacing w:val="-4"/>
        </w:rPr>
        <w:t>Cropland data set</w:t>
      </w:r>
      <w:r w:rsidRPr="00D9348B">
        <w:rPr>
          <w:spacing w:val="-4"/>
        </w:rPr>
        <w:t>: The third source of data originated as a set of intensively spatially sampled high</w:t>
      </w:r>
      <w:r w:rsidRPr="00D9348B">
        <w:rPr>
          <w:i/>
          <w:spacing w:val="-4"/>
        </w:rPr>
        <w:t xml:space="preserve"> </w:t>
      </w:r>
      <w:r w:rsidRPr="00D9348B">
        <w:rPr>
          <w:spacing w:val="-4"/>
        </w:rPr>
        <w:t>producing grassland, annual cropland and perennial cropland records collected for other purposes, referred to as the cropland data set (Lawrence-Smith et al., 2010).</w:t>
      </w:r>
    </w:p>
    <w:p w14:paraId="2EC2D0FC" w14:textId="77777777" w:rsidR="00A10636" w:rsidRPr="00D9348B" w:rsidRDefault="00A10636" w:rsidP="00A10636">
      <w:pPr>
        <w:pStyle w:val="BodyText"/>
        <w:spacing w:before="100" w:after="100"/>
      </w:pPr>
      <w:r w:rsidRPr="00D9348B">
        <w:rPr>
          <w:b/>
        </w:rPr>
        <w:t>Wetlands</w:t>
      </w:r>
      <w:r w:rsidRPr="00D9348B">
        <w:t>: The fourth source of data comprises wetland soil data from a recent research effort to combine field data with analysis of the spatial distribution of current wetlands in New Zealand (Ausseil et al., 2015). This resulted in the addition of 21 wetland mineral soil samples to the Soil CMS data set (McNeill et al., 2014).</w:t>
      </w:r>
    </w:p>
    <w:p w14:paraId="02D82320" w14:textId="77777777" w:rsidR="00A10636" w:rsidRPr="00D9348B" w:rsidRDefault="00A10636" w:rsidP="00A10636">
      <w:pPr>
        <w:pStyle w:val="BodyText"/>
        <w:spacing w:before="100" w:after="100"/>
      </w:pPr>
      <w:r w:rsidRPr="00D9348B">
        <w:rPr>
          <w:b/>
        </w:rPr>
        <w:t>Post-1989 forest data</w:t>
      </w:r>
      <w:r w:rsidRPr="00D9348B">
        <w:t xml:space="preserve">: This data set was added to the analysis in 2014. It contains data collected specifically for Convention reporting from 90 post-1989 forest sites across New Zealand (Basher et al., unpublished; Interpine Forestry Limited, unpublished). </w:t>
      </w:r>
    </w:p>
    <w:p w14:paraId="38C8325B" w14:textId="77777777" w:rsidR="00A10636" w:rsidRPr="00D9348B" w:rsidRDefault="00A10636" w:rsidP="00A10636">
      <w:pPr>
        <w:pStyle w:val="BodyText"/>
        <w:spacing w:before="100" w:after="100"/>
      </w:pPr>
      <w:r w:rsidRPr="00D9348B">
        <w:t>Together, the five combined data sets cover most of New Zealand (see figure 6.3.1), including Stewart Island. Coverage does not extend to the Chatham Islands and other offshore islands. In addition to soil data, each record contains the site-specific climate, slope and rainfall attributes that are used in the analysis.</w:t>
      </w:r>
    </w:p>
    <w:p w14:paraId="73409B95" w14:textId="77777777" w:rsidR="00A10636" w:rsidRPr="00D9348B" w:rsidRDefault="00A10636" w:rsidP="00A10636">
      <w:pPr>
        <w:pStyle w:val="BodyText"/>
        <w:spacing w:before="100" w:after="100"/>
      </w:pPr>
      <w:r w:rsidRPr="00D9348B">
        <w:t>Due to a reliance on available data, coverage is dense in areas of agricultural activity, and the density of points varies widely between different regions (see figure 6.3.1). In addition, types of land use vary geographically: some are widespread (e.g., high</w:t>
      </w:r>
      <w:r w:rsidRPr="00D9348B">
        <w:rPr>
          <w:i/>
        </w:rPr>
        <w:t xml:space="preserve"> </w:t>
      </w:r>
      <w:r w:rsidRPr="00D9348B">
        <w:t xml:space="preserve">producing grassland), whereas others are spatially constrained (e.g., cropland), so that the number of soil samples needed varies by land use (McNeill et al., unpublished). </w:t>
      </w:r>
    </w:p>
    <w:p w14:paraId="109DA1C3" w14:textId="4DA23235" w:rsidR="00A10636" w:rsidRPr="00D9348B" w:rsidRDefault="00A10636" w:rsidP="00A10636">
      <w:pPr>
        <w:pStyle w:val="BodyText"/>
        <w:spacing w:before="100" w:after="100"/>
        <w:rPr>
          <w:spacing w:val="-2"/>
        </w:rPr>
      </w:pPr>
      <w:r w:rsidRPr="00D9348B">
        <w:rPr>
          <w:spacing w:val="-2"/>
        </w:rPr>
        <w:t xml:space="preserve">The number of records associated with the different </w:t>
      </w:r>
      <w:r w:rsidR="00766DDA">
        <w:rPr>
          <w:spacing w:val="-2"/>
        </w:rPr>
        <w:t>land-use</w:t>
      </w:r>
      <w:r w:rsidRPr="00D9348B">
        <w:rPr>
          <w:spacing w:val="-2"/>
        </w:rPr>
        <w:t xml:space="preserve"> categories and soil orders varies widely, with the largest </w:t>
      </w:r>
      <w:r w:rsidR="00766DDA">
        <w:rPr>
          <w:spacing w:val="-2"/>
        </w:rPr>
        <w:t>land-use</w:t>
      </w:r>
      <w:r w:rsidRPr="00D9348B">
        <w:rPr>
          <w:spacing w:val="-2"/>
        </w:rPr>
        <w:t xml:space="preserve"> category </w:t>
      </w:r>
      <w:r w:rsidRPr="00D9348B">
        <w:rPr>
          <w:i/>
          <w:spacing w:val="-2"/>
        </w:rPr>
        <w:t>Grassland</w:t>
      </w:r>
      <w:r w:rsidRPr="00D9348B">
        <w:rPr>
          <w:spacing w:val="-2"/>
        </w:rPr>
        <w:t xml:space="preserve"> having 1,216 samples and the smallest (</w:t>
      </w:r>
      <w:r w:rsidRPr="00D9348B">
        <w:rPr>
          <w:i/>
          <w:spacing w:val="-2"/>
        </w:rPr>
        <w:t>Other land</w:t>
      </w:r>
      <w:r w:rsidRPr="00D9348B">
        <w:rPr>
          <w:spacing w:val="-2"/>
        </w:rPr>
        <w:t xml:space="preserve">) only three samples. While efforts to collect or obtain additional data in under-sampled </w:t>
      </w:r>
      <w:r w:rsidR="00766DDA">
        <w:rPr>
          <w:spacing w:val="-2"/>
        </w:rPr>
        <w:t>land-use</w:t>
      </w:r>
      <w:r w:rsidRPr="00D9348B">
        <w:rPr>
          <w:spacing w:val="-2"/>
        </w:rPr>
        <w:t xml:space="preserve"> categories have been made since LUCAS was established, helping to reduce uncertainties, the effect on uncertainty due to the considerable variability of sampling points among the different </w:t>
      </w:r>
      <w:r w:rsidR="00766DDA">
        <w:rPr>
          <w:spacing w:val="-2"/>
        </w:rPr>
        <w:t>land-use</w:t>
      </w:r>
      <w:r w:rsidRPr="00D9348B">
        <w:rPr>
          <w:spacing w:val="-2"/>
        </w:rPr>
        <w:t xml:space="preserve"> types still remains. </w:t>
      </w:r>
    </w:p>
    <w:p w14:paraId="0A53686C" w14:textId="77777777" w:rsidR="00A10636" w:rsidRPr="00D9348B" w:rsidRDefault="00A10636" w:rsidP="00A10636">
      <w:pPr>
        <w:pStyle w:val="Figure"/>
        <w:spacing w:after="0"/>
      </w:pPr>
      <w:bookmarkStart w:id="1449" w:name="_Toc378853339"/>
      <w:bookmarkStart w:id="1450" w:name="_Toc405448089"/>
      <w:bookmarkStart w:id="1451" w:name="_Toc414531621"/>
      <w:bookmarkStart w:id="1452" w:name="_Toc474914644"/>
      <w:bookmarkStart w:id="1453" w:name="_Toc481752026"/>
      <w:bookmarkStart w:id="1454" w:name="_Toc522010704"/>
      <w:bookmarkStart w:id="1455" w:name="_Toc5269707"/>
      <w:bookmarkStart w:id="1456" w:name="_Toc33529479"/>
      <w:bookmarkStart w:id="1457" w:name="_Toc36292809"/>
      <w:r w:rsidRPr="00D9348B">
        <w:lastRenderedPageBreak/>
        <w:t>Figure 6.3.1</w:t>
      </w:r>
      <w:r w:rsidRPr="00D9348B">
        <w:tab/>
        <w:t>Soil samples in the Soil CMS model calibration data set</w:t>
      </w:r>
      <w:bookmarkEnd w:id="1449"/>
      <w:bookmarkEnd w:id="1450"/>
      <w:bookmarkEnd w:id="1451"/>
      <w:bookmarkEnd w:id="1452"/>
      <w:bookmarkEnd w:id="1453"/>
      <w:bookmarkEnd w:id="1454"/>
      <w:bookmarkEnd w:id="1455"/>
      <w:bookmarkEnd w:id="1456"/>
      <w:bookmarkEnd w:id="1457"/>
    </w:p>
    <w:p w14:paraId="3CD99BA6" w14:textId="0110E3C6" w:rsidR="00A10636" w:rsidRPr="00D9348B" w:rsidRDefault="007165CF" w:rsidP="00682D89">
      <w:pPr>
        <w:pStyle w:val="BodyText"/>
        <w:jc w:val="center"/>
      </w:pPr>
      <w:r>
        <w:pict w14:anchorId="2E7607AA">
          <v:shape id="_x0000_i1135" type="#_x0000_t75" style="width:391.95pt;height:502.1pt;visibility:visible;mso-wrap-style:square">
            <v:imagedata r:id="rId216" o:title=""/>
          </v:shape>
        </w:pict>
      </w:r>
    </w:p>
    <w:p w14:paraId="033513CA" w14:textId="2AC9571C" w:rsidR="00A10636" w:rsidRPr="00D9348B" w:rsidRDefault="00A10636" w:rsidP="00A10636">
      <w:pPr>
        <w:pStyle w:val="BodyText"/>
      </w:pPr>
      <w:r w:rsidRPr="00D9348B">
        <w:rPr>
          <w:i/>
        </w:rPr>
        <w:t>Settlements</w:t>
      </w:r>
      <w:r w:rsidRPr="00D9348B">
        <w:t xml:space="preserve"> and the open water component of </w:t>
      </w:r>
      <w:r w:rsidRPr="00D9348B">
        <w:rPr>
          <w:i/>
        </w:rPr>
        <w:t>Wetlands</w:t>
      </w:r>
      <w:r w:rsidRPr="00D9348B">
        <w:t xml:space="preserve"> were not used in the model due to lack of soil carbon data. Both land uses are assigned the reference level carbon stock, which is the same as low producing grassland, because no data are available for these land uses. The basis for using the reference level for </w:t>
      </w:r>
      <w:r w:rsidRPr="00D9348B">
        <w:rPr>
          <w:i/>
        </w:rPr>
        <w:t>Settlements</w:t>
      </w:r>
      <w:r w:rsidRPr="00D9348B">
        <w:t xml:space="preserve"> is supported by the </w:t>
      </w:r>
      <w:r w:rsidR="00766DDA">
        <w:t>land-use</w:t>
      </w:r>
      <w:r w:rsidRPr="00D9348B">
        <w:t xml:space="preserve"> definition used for the category because it includes not only impervious surfaces but also green spaces (urban park land, golf courses and other recreational areas, as explained in table 6.2.2). These areas are likely to have elevated carbon stock levels compared with low producing grassland</w:t>
      </w:r>
      <w:r w:rsidRPr="00D9348B">
        <w:rPr>
          <w:i/>
        </w:rPr>
        <w:t xml:space="preserve"> </w:t>
      </w:r>
      <w:r w:rsidRPr="00D9348B">
        <w:t xml:space="preserve">due to the treatments they receive. The </w:t>
      </w:r>
      <w:r w:rsidRPr="00D9348B">
        <w:rPr>
          <w:i/>
        </w:rPr>
        <w:t>Settlements</w:t>
      </w:r>
      <w:r w:rsidRPr="00D9348B">
        <w:t xml:space="preserve"> category makes up only 0.9 per cent of New Zealand’s total land area and is not a key category for New Zealand (in either the level or trend analysis); therefore, it is not an area prioritised for improvement within the National Inventory Report. </w:t>
      </w:r>
    </w:p>
    <w:p w14:paraId="2644CFC0" w14:textId="77777777" w:rsidR="00A10636" w:rsidRPr="00D9348B" w:rsidRDefault="00A10636" w:rsidP="00A10636">
      <w:pPr>
        <w:pStyle w:val="Heading5"/>
      </w:pPr>
      <w:r w:rsidRPr="00D9348B">
        <w:lastRenderedPageBreak/>
        <w:t>Ancillary data</w:t>
      </w:r>
    </w:p>
    <w:p w14:paraId="38E2C867" w14:textId="77777777" w:rsidR="00A10636" w:rsidRPr="00D9348B" w:rsidRDefault="00A10636" w:rsidP="00A10636">
      <w:pPr>
        <w:pStyle w:val="BodyText"/>
      </w:pPr>
      <w:r w:rsidRPr="00D9348B">
        <w:t>In addition to the soil data, the following ancillary data are used in the Soil CMS Model.</w:t>
      </w:r>
    </w:p>
    <w:p w14:paraId="6F2EE51E" w14:textId="77777777" w:rsidR="00A10636" w:rsidRPr="00D9348B" w:rsidRDefault="00A10636" w:rsidP="00A10636">
      <w:pPr>
        <w:pStyle w:val="BodyText"/>
      </w:pPr>
      <w:r w:rsidRPr="00D9348B">
        <w:rPr>
          <w:b/>
        </w:rPr>
        <w:t>S-map</w:t>
      </w:r>
      <w:r w:rsidRPr="00D9348B">
        <w:t xml:space="preserve">: S-map is a contemporary digital soil spatial information system for New Zealand (Lilburne et al., 2012), which provides the best-available knowledge of the classification of the soil order consistent with the </w:t>
      </w:r>
      <w:r w:rsidRPr="00D9348B">
        <w:rPr>
          <w:i/>
        </w:rPr>
        <w:t>New Zealand Soil Classification</w:t>
      </w:r>
      <w:r w:rsidRPr="00D9348B">
        <w:t xml:space="preserve"> (Hewitt, 2010). S</w:t>
      </w:r>
      <w:r w:rsidRPr="00D9348B">
        <w:noBreakHyphen/>
        <w:t xml:space="preserve">map coverage is not available for all the land area, because its focus is on regions of intensive agricultural use. </w:t>
      </w:r>
    </w:p>
    <w:p w14:paraId="75189799" w14:textId="36AC22CB" w:rsidR="00A10636" w:rsidRPr="00D9348B" w:rsidRDefault="00A10636" w:rsidP="00A10636">
      <w:pPr>
        <w:pStyle w:val="BodyText"/>
      </w:pPr>
      <w:r w:rsidRPr="00D9348B">
        <w:rPr>
          <w:b/>
        </w:rPr>
        <w:t>Fundamental Soils Layer</w:t>
      </w:r>
      <w:r w:rsidRPr="00D9348B">
        <w:t>: Where data on soil order were unavailable in S-map, data from the Fundamental Soils Layer were used instead. The Fundamental Soils Layer (</w:t>
      </w:r>
      <w:hyperlink r:id="rId217" w:history="1">
        <w:r w:rsidRPr="00D9348B">
          <w:t>soils.landcareresearch.co.nz/soil-data/fundamental-soil-layers</w:t>
        </w:r>
      </w:hyperlink>
      <w:r w:rsidRPr="00D9348B">
        <w:t>) provides GIS information on the expert-assessed classification of soil order and other soil or landscape attributes over New Zealand. It is generated from the NZLRI and NSD.</w:t>
      </w:r>
    </w:p>
    <w:p w14:paraId="4B7CB168" w14:textId="77777777" w:rsidR="00A10636" w:rsidRPr="00D9348B" w:rsidRDefault="00A10636" w:rsidP="00A10636">
      <w:pPr>
        <w:pStyle w:val="BodyText"/>
      </w:pPr>
      <w:r w:rsidRPr="00D9348B">
        <w:rPr>
          <w:b/>
        </w:rPr>
        <w:t>Topographic information</w:t>
      </w:r>
      <w:r w:rsidRPr="00D9348B">
        <w:t>: Topographic slope information was estimated from a digital elevation model generated from Land Information New Zealand 1:50,000 scale topographic data layers including 20-metre contours, spot heights, lake shorelines and coastline.</w:t>
      </w:r>
    </w:p>
    <w:p w14:paraId="09AEC11F" w14:textId="15E01F4E" w:rsidR="00A10636" w:rsidRPr="00D9348B" w:rsidRDefault="00766DDA" w:rsidP="00A10636">
      <w:pPr>
        <w:pStyle w:val="Heading5"/>
      </w:pPr>
      <w:r>
        <w:t>Land-use</w:t>
      </w:r>
      <w:r w:rsidR="00A10636" w:rsidRPr="00D9348B">
        <w:t xml:space="preserve"> effects: Characterising soil carbon stocks</w:t>
      </w:r>
    </w:p>
    <w:p w14:paraId="103369AD" w14:textId="0D35441C" w:rsidR="00A10636" w:rsidRPr="00D9348B" w:rsidRDefault="00A10636" w:rsidP="00A10636">
      <w:pPr>
        <w:pStyle w:val="BodyText"/>
        <w:spacing w:after="160"/>
      </w:pPr>
      <w:r w:rsidRPr="00D9348B">
        <w:t>The 2014 version of the Soil CMS model used in this report builds on previous model versions (McNeill and Barringer, unpublished). The ‘</w:t>
      </w:r>
      <w:r w:rsidR="00766DDA">
        <w:t>land-use</w:t>
      </w:r>
      <w:r w:rsidRPr="00D9348B">
        <w:t xml:space="preserve"> effect’ (LUE) denotes the influence of land use on SOC stocks and corresponds to the model coefficients calculated for each land use. The LUE for a transition from low</w:t>
      </w:r>
      <w:r w:rsidRPr="00D9348B">
        <w:rPr>
          <w:i/>
        </w:rPr>
        <w:t xml:space="preserve"> </w:t>
      </w:r>
      <w:r w:rsidRPr="00D9348B">
        <w:t>producing grassland to one of the other land uses can be obtained by using the coefficients of the soil carbon model (see table 6.3.1). Steady state SOC stocks for each land use (see table 6.3.2) are derived from the LUE coefficient in relation to the intercept (the reference of low producing grassland on high activity soils in a moist temperate climate – table 6.3.1). These values are used in equation 3 (as SOC</w:t>
      </w:r>
      <w:r w:rsidRPr="00D9348B">
        <w:rPr>
          <w:vertAlign w:val="subscript"/>
        </w:rPr>
        <w:t>0</w:t>
      </w:r>
      <w:r w:rsidRPr="00D9348B">
        <w:t xml:space="preserve"> and </w:t>
      </w:r>
      <w:proofErr w:type="gramStart"/>
      <w:r w:rsidRPr="00D9348B">
        <w:t>SOC</w:t>
      </w:r>
      <w:r w:rsidRPr="00D9348B">
        <w:rPr>
          <w:vertAlign w:val="subscript"/>
        </w:rPr>
        <w:t>(</w:t>
      </w:r>
      <w:proofErr w:type="gramEnd"/>
      <w:r w:rsidRPr="00D9348B">
        <w:rPr>
          <w:vertAlign w:val="subscript"/>
        </w:rPr>
        <w:t>0-T)</w:t>
      </w:r>
      <w:r w:rsidRPr="00D9348B">
        <w:t>) to calculate soil carbon changes due to land-use change.</w:t>
      </w:r>
    </w:p>
    <w:p w14:paraId="1F69DA28" w14:textId="11FEC3D4" w:rsidR="00A10636" w:rsidRPr="00D9348B" w:rsidRDefault="00A10636" w:rsidP="00A10636">
      <w:pPr>
        <w:pStyle w:val="Table"/>
      </w:pPr>
      <w:bookmarkStart w:id="1458" w:name="_Toc378853287"/>
      <w:bookmarkStart w:id="1459" w:name="_Toc391024085"/>
      <w:bookmarkStart w:id="1460" w:name="_Toc410028828"/>
      <w:bookmarkStart w:id="1461" w:name="_Toc414531456"/>
      <w:bookmarkStart w:id="1462" w:name="_Toc443645369"/>
      <w:bookmarkStart w:id="1463" w:name="_Toc474914588"/>
      <w:bookmarkStart w:id="1464" w:name="_Toc481751552"/>
      <w:bookmarkStart w:id="1465" w:name="_Toc522010609"/>
      <w:bookmarkStart w:id="1466" w:name="_Toc5269514"/>
      <w:bookmarkStart w:id="1467" w:name="_Toc33529388"/>
      <w:bookmarkStart w:id="1468" w:name="_Toc36224594"/>
      <w:r w:rsidRPr="00D9348B">
        <w:t>Table 6.3.1</w:t>
      </w:r>
      <w:r w:rsidRPr="00D9348B">
        <w:tab/>
      </w:r>
      <w:r w:rsidR="00766DDA">
        <w:t>Land-use</w:t>
      </w:r>
      <w:r w:rsidRPr="00D9348B">
        <w:t xml:space="preserve"> effect coefficients with standard errors, </w:t>
      </w:r>
      <w:r w:rsidRPr="00D9348B">
        <w:rPr>
          <w:i/>
        </w:rPr>
        <w:t>t</w:t>
      </w:r>
      <w:r w:rsidRPr="00D9348B">
        <w:t>-values, and corresponding</w:t>
      </w:r>
      <w:r w:rsidRPr="00D9348B">
        <w:br/>
      </w:r>
      <w:r w:rsidRPr="00D9348B">
        <w:rPr>
          <w:i/>
        </w:rPr>
        <w:t>p</w:t>
      </w:r>
      <w:r w:rsidR="00142ADB" w:rsidRPr="00D9348B">
        <w:noBreakHyphen/>
      </w:r>
      <w:r w:rsidRPr="00D9348B">
        <w:t>value significance estimates, extracted from full model results</w:t>
      </w:r>
      <w:bookmarkEnd w:id="1458"/>
      <w:bookmarkEnd w:id="1459"/>
      <w:bookmarkEnd w:id="1460"/>
      <w:bookmarkEnd w:id="1461"/>
      <w:bookmarkEnd w:id="1462"/>
      <w:bookmarkEnd w:id="1463"/>
      <w:bookmarkEnd w:id="1464"/>
      <w:bookmarkEnd w:id="1465"/>
      <w:bookmarkEnd w:id="1466"/>
      <w:bookmarkEnd w:id="1467"/>
      <w:bookmarkEnd w:id="1468"/>
    </w:p>
    <w:tbl>
      <w:tblPr>
        <w:tblW w:w="8505" w:type="dxa"/>
        <w:tblInd w:w="108" w:type="dxa"/>
        <w:tblBorders>
          <w:bottom w:val="single" w:sz="8" w:space="0" w:color="365F91"/>
        </w:tblBorders>
        <w:tblLook w:val="04A0" w:firstRow="1" w:lastRow="0" w:firstColumn="1" w:lastColumn="0" w:noHBand="0" w:noVBand="1"/>
      </w:tblPr>
      <w:tblGrid>
        <w:gridCol w:w="2921"/>
        <w:gridCol w:w="1356"/>
        <w:gridCol w:w="1685"/>
        <w:gridCol w:w="1271"/>
        <w:gridCol w:w="1272"/>
      </w:tblGrid>
      <w:tr w:rsidR="00A10636" w:rsidRPr="00D9348B" w14:paraId="7E226849" w14:textId="77777777" w:rsidTr="00FD6935">
        <w:trPr>
          <w:tblHeader/>
        </w:trPr>
        <w:tc>
          <w:tcPr>
            <w:tcW w:w="2745" w:type="dxa"/>
            <w:tcBorders>
              <w:top w:val="single" w:sz="4" w:space="0" w:color="365F91"/>
              <w:bottom w:val="single" w:sz="4" w:space="0" w:color="365F91"/>
              <w:right w:val="nil"/>
            </w:tcBorders>
            <w:shd w:val="clear" w:color="auto" w:fill="376092"/>
            <w:vAlign w:val="bottom"/>
          </w:tcPr>
          <w:p w14:paraId="3AE2EEDF" w14:textId="77777777" w:rsidR="00A10636" w:rsidRPr="00D9348B" w:rsidRDefault="00A10636" w:rsidP="00DB330E">
            <w:pPr>
              <w:pStyle w:val="TableTextBold"/>
              <w:keepNext/>
              <w:rPr>
                <w:rFonts w:eastAsia="Arial" w:cs="Calibri"/>
                <w:noProof w:val="0"/>
                <w:color w:val="FFFFFF"/>
                <w:szCs w:val="16"/>
              </w:rPr>
            </w:pPr>
            <w:r w:rsidRPr="00D9348B">
              <w:rPr>
                <w:rFonts w:eastAsia="Arial" w:cs="Calibri"/>
                <w:noProof w:val="0"/>
                <w:color w:val="FFFFFF"/>
                <w:szCs w:val="16"/>
              </w:rPr>
              <w:t>Land use</w:t>
            </w:r>
          </w:p>
        </w:tc>
        <w:tc>
          <w:tcPr>
            <w:tcW w:w="1275" w:type="dxa"/>
            <w:tcBorders>
              <w:top w:val="single" w:sz="4" w:space="0" w:color="365F91"/>
              <w:bottom w:val="single" w:sz="4" w:space="0" w:color="365F91"/>
            </w:tcBorders>
            <w:shd w:val="clear" w:color="auto" w:fill="376092"/>
            <w:vAlign w:val="bottom"/>
          </w:tcPr>
          <w:p w14:paraId="2EF2BFA6" w14:textId="77777777" w:rsidR="00A10636" w:rsidRPr="00D9348B" w:rsidRDefault="00A10636" w:rsidP="00DB330E">
            <w:pPr>
              <w:pStyle w:val="TableTextBold"/>
              <w:keepNext/>
              <w:jc w:val="center"/>
              <w:rPr>
                <w:rFonts w:eastAsia="Arial" w:cs="Calibri"/>
                <w:noProof w:val="0"/>
                <w:color w:val="FFFFFF"/>
                <w:szCs w:val="16"/>
              </w:rPr>
            </w:pPr>
            <w:r w:rsidRPr="00D9348B">
              <w:rPr>
                <w:rFonts w:eastAsia="Arial" w:cs="Calibri"/>
                <w:noProof w:val="0"/>
                <w:color w:val="FFFFFF"/>
                <w:szCs w:val="16"/>
              </w:rPr>
              <w:t>Value</w:t>
            </w:r>
          </w:p>
        </w:tc>
        <w:tc>
          <w:tcPr>
            <w:tcW w:w="1584" w:type="dxa"/>
            <w:tcBorders>
              <w:top w:val="single" w:sz="4" w:space="0" w:color="365F91"/>
              <w:bottom w:val="single" w:sz="4" w:space="0" w:color="365F91"/>
            </w:tcBorders>
            <w:shd w:val="clear" w:color="auto" w:fill="376092"/>
            <w:vAlign w:val="bottom"/>
          </w:tcPr>
          <w:p w14:paraId="31AF0697" w14:textId="77777777" w:rsidR="00A10636" w:rsidRPr="00D9348B" w:rsidRDefault="00A10636" w:rsidP="00DB330E">
            <w:pPr>
              <w:pStyle w:val="TableTextBold"/>
              <w:keepNext/>
              <w:jc w:val="center"/>
              <w:rPr>
                <w:rFonts w:eastAsia="Arial" w:cs="Calibri"/>
                <w:noProof w:val="0"/>
                <w:color w:val="FFFFFF"/>
                <w:szCs w:val="16"/>
              </w:rPr>
            </w:pPr>
            <w:r w:rsidRPr="00D9348B">
              <w:rPr>
                <w:rFonts w:eastAsia="Arial" w:cs="Calibri"/>
                <w:noProof w:val="0"/>
                <w:color w:val="FFFFFF"/>
                <w:szCs w:val="16"/>
              </w:rPr>
              <w:t>Standard error</w:t>
            </w:r>
          </w:p>
        </w:tc>
        <w:tc>
          <w:tcPr>
            <w:tcW w:w="1195" w:type="dxa"/>
            <w:tcBorders>
              <w:top w:val="single" w:sz="4" w:space="0" w:color="365F91"/>
              <w:bottom w:val="single" w:sz="4" w:space="0" w:color="365F91"/>
            </w:tcBorders>
            <w:shd w:val="clear" w:color="auto" w:fill="376092"/>
            <w:vAlign w:val="bottom"/>
          </w:tcPr>
          <w:p w14:paraId="229CAD0B" w14:textId="77777777" w:rsidR="00A10636" w:rsidRPr="00D9348B" w:rsidRDefault="00A10636" w:rsidP="00DB330E">
            <w:pPr>
              <w:pStyle w:val="TableTextBold"/>
              <w:keepNext/>
              <w:jc w:val="center"/>
              <w:rPr>
                <w:rFonts w:eastAsia="Arial" w:cs="Calibri"/>
                <w:noProof w:val="0"/>
                <w:color w:val="FFFFFF"/>
                <w:szCs w:val="16"/>
              </w:rPr>
            </w:pPr>
            <w:r w:rsidRPr="00D9348B">
              <w:rPr>
                <w:rFonts w:eastAsia="Arial" w:cs="Calibri"/>
                <w:i/>
                <w:noProof w:val="0"/>
                <w:color w:val="FFFFFF"/>
                <w:szCs w:val="16"/>
              </w:rPr>
              <w:t>t</w:t>
            </w:r>
            <w:r w:rsidRPr="00D9348B">
              <w:rPr>
                <w:rFonts w:eastAsia="Arial" w:cs="Calibri"/>
                <w:noProof w:val="0"/>
                <w:color w:val="FFFFFF"/>
                <w:szCs w:val="16"/>
              </w:rPr>
              <w:t>-value</w:t>
            </w:r>
          </w:p>
        </w:tc>
        <w:tc>
          <w:tcPr>
            <w:tcW w:w="1196" w:type="dxa"/>
            <w:tcBorders>
              <w:top w:val="single" w:sz="4" w:space="0" w:color="365F91"/>
              <w:bottom w:val="single" w:sz="4" w:space="0" w:color="365F91"/>
            </w:tcBorders>
            <w:shd w:val="clear" w:color="auto" w:fill="376092"/>
            <w:vAlign w:val="bottom"/>
          </w:tcPr>
          <w:p w14:paraId="6FA73ED5" w14:textId="77777777" w:rsidR="00A10636" w:rsidRPr="00D9348B" w:rsidRDefault="00A10636" w:rsidP="00DB330E">
            <w:pPr>
              <w:pStyle w:val="TableTextBold"/>
              <w:keepNext/>
              <w:jc w:val="center"/>
              <w:rPr>
                <w:rFonts w:eastAsia="Arial" w:cs="Calibri"/>
                <w:noProof w:val="0"/>
                <w:color w:val="FFFFFF"/>
                <w:szCs w:val="16"/>
              </w:rPr>
            </w:pPr>
            <w:r w:rsidRPr="00D9348B">
              <w:rPr>
                <w:rFonts w:eastAsia="Arial" w:cs="Calibri"/>
                <w:i/>
                <w:noProof w:val="0"/>
                <w:color w:val="FFFFFF"/>
                <w:szCs w:val="16"/>
              </w:rPr>
              <w:t>p</w:t>
            </w:r>
            <w:r w:rsidRPr="00D9348B">
              <w:rPr>
                <w:rFonts w:eastAsia="Arial" w:cs="Calibri"/>
                <w:noProof w:val="0"/>
                <w:color w:val="FFFFFF"/>
                <w:szCs w:val="16"/>
              </w:rPr>
              <w:t>-value</w:t>
            </w:r>
          </w:p>
        </w:tc>
      </w:tr>
      <w:tr w:rsidR="00A10636" w:rsidRPr="00D9348B" w14:paraId="68DC36EB" w14:textId="77777777" w:rsidTr="00FD6935">
        <w:tc>
          <w:tcPr>
            <w:tcW w:w="2745" w:type="dxa"/>
            <w:tcBorders>
              <w:top w:val="single" w:sz="4" w:space="0" w:color="365F91"/>
              <w:bottom w:val="single" w:sz="4" w:space="0" w:color="365F91"/>
              <w:right w:val="nil"/>
            </w:tcBorders>
            <w:shd w:val="clear" w:color="auto" w:fill="auto"/>
          </w:tcPr>
          <w:p w14:paraId="0907C2EA" w14:textId="77777777" w:rsidR="00A10636" w:rsidRPr="00D9348B" w:rsidRDefault="00A10636" w:rsidP="00DB330E">
            <w:pPr>
              <w:pStyle w:val="TableText"/>
              <w:keepNext/>
              <w:rPr>
                <w:rFonts w:eastAsia="Arial" w:cs="Calibri"/>
                <w:szCs w:val="16"/>
              </w:rPr>
            </w:pPr>
            <w:r w:rsidRPr="00D9348B">
              <w:rPr>
                <w:rFonts w:eastAsia="Arial" w:cs="Calibri"/>
                <w:szCs w:val="16"/>
              </w:rPr>
              <w:t>Intercept: Low producing grassland</w:t>
            </w:r>
          </w:p>
        </w:tc>
        <w:tc>
          <w:tcPr>
            <w:tcW w:w="1275" w:type="dxa"/>
            <w:tcBorders>
              <w:top w:val="single" w:sz="4" w:space="0" w:color="365F91"/>
              <w:left w:val="nil"/>
              <w:bottom w:val="single" w:sz="4" w:space="0" w:color="365F91"/>
              <w:right w:val="nil"/>
            </w:tcBorders>
            <w:shd w:val="clear" w:color="auto" w:fill="auto"/>
          </w:tcPr>
          <w:p w14:paraId="09CD515E" w14:textId="77777777" w:rsidR="00A10636" w:rsidRPr="00D9348B" w:rsidRDefault="00A10636" w:rsidP="00DB330E">
            <w:pPr>
              <w:pStyle w:val="TableText"/>
              <w:keepNext/>
              <w:jc w:val="right"/>
              <w:rPr>
                <w:rFonts w:eastAsia="Arial" w:cs="Calibri"/>
                <w:szCs w:val="16"/>
              </w:rPr>
            </w:pPr>
            <w:r w:rsidRPr="00D9348B">
              <w:rPr>
                <w:rFonts w:eastAsia="Arial" w:cs="Calibri"/>
                <w:szCs w:val="16"/>
              </w:rPr>
              <w:t>105.98</w:t>
            </w:r>
          </w:p>
        </w:tc>
        <w:tc>
          <w:tcPr>
            <w:tcW w:w="1584" w:type="dxa"/>
            <w:tcBorders>
              <w:top w:val="single" w:sz="4" w:space="0" w:color="365F91"/>
              <w:left w:val="nil"/>
              <w:bottom w:val="single" w:sz="4" w:space="0" w:color="365F91"/>
              <w:right w:val="nil"/>
            </w:tcBorders>
            <w:shd w:val="clear" w:color="auto" w:fill="auto"/>
          </w:tcPr>
          <w:p w14:paraId="24B74C21" w14:textId="77777777" w:rsidR="00A10636" w:rsidRPr="00D9348B" w:rsidRDefault="00A10636" w:rsidP="00DB330E">
            <w:pPr>
              <w:pStyle w:val="TableText"/>
              <w:keepNext/>
              <w:jc w:val="right"/>
              <w:rPr>
                <w:rFonts w:eastAsia="Arial" w:cs="Calibri"/>
                <w:szCs w:val="16"/>
              </w:rPr>
            </w:pPr>
            <w:r w:rsidRPr="00D9348B">
              <w:rPr>
                <w:rFonts w:eastAsia="Arial" w:cs="Calibri"/>
                <w:szCs w:val="16"/>
              </w:rPr>
              <w:t>3.96</w:t>
            </w:r>
          </w:p>
        </w:tc>
        <w:tc>
          <w:tcPr>
            <w:tcW w:w="1195" w:type="dxa"/>
            <w:tcBorders>
              <w:top w:val="single" w:sz="4" w:space="0" w:color="365F91"/>
              <w:left w:val="nil"/>
              <w:bottom w:val="single" w:sz="4" w:space="0" w:color="365F91"/>
              <w:right w:val="nil"/>
            </w:tcBorders>
            <w:shd w:val="clear" w:color="auto" w:fill="auto"/>
          </w:tcPr>
          <w:p w14:paraId="26F064AF" w14:textId="77777777" w:rsidR="00A10636" w:rsidRPr="00D9348B" w:rsidRDefault="00A10636" w:rsidP="00DB330E">
            <w:pPr>
              <w:pStyle w:val="TableText"/>
              <w:keepNext/>
              <w:jc w:val="right"/>
              <w:rPr>
                <w:rFonts w:eastAsia="Arial" w:cs="Calibri"/>
                <w:szCs w:val="16"/>
              </w:rPr>
            </w:pPr>
            <w:r w:rsidRPr="00D9348B">
              <w:rPr>
                <w:rFonts w:eastAsia="Arial" w:cs="Calibri"/>
                <w:szCs w:val="16"/>
              </w:rPr>
              <w:t>26.79</w:t>
            </w:r>
          </w:p>
        </w:tc>
        <w:tc>
          <w:tcPr>
            <w:tcW w:w="1196" w:type="dxa"/>
            <w:tcBorders>
              <w:top w:val="single" w:sz="4" w:space="0" w:color="365F91"/>
              <w:left w:val="nil"/>
              <w:bottom w:val="single" w:sz="4" w:space="0" w:color="365F91"/>
            </w:tcBorders>
            <w:shd w:val="clear" w:color="auto" w:fill="auto"/>
          </w:tcPr>
          <w:p w14:paraId="6F53471E" w14:textId="77777777" w:rsidR="00A10636" w:rsidRPr="00D9348B" w:rsidRDefault="00A10636" w:rsidP="00DB330E">
            <w:pPr>
              <w:pStyle w:val="TableText"/>
              <w:keepNext/>
              <w:jc w:val="right"/>
              <w:rPr>
                <w:rFonts w:eastAsia="Arial" w:cs="Calibri"/>
                <w:szCs w:val="16"/>
              </w:rPr>
            </w:pPr>
            <w:r w:rsidRPr="00D9348B">
              <w:rPr>
                <w:rFonts w:eastAsia="Arial" w:cs="Calibri"/>
                <w:szCs w:val="16"/>
              </w:rPr>
              <w:t>0.000</w:t>
            </w:r>
          </w:p>
        </w:tc>
      </w:tr>
      <w:tr w:rsidR="00A10636" w:rsidRPr="00D9348B" w14:paraId="50B38027" w14:textId="77777777" w:rsidTr="00FD6935">
        <w:tc>
          <w:tcPr>
            <w:tcW w:w="2745" w:type="dxa"/>
            <w:tcBorders>
              <w:top w:val="single" w:sz="4" w:space="0" w:color="365F91"/>
              <w:bottom w:val="single" w:sz="4" w:space="0" w:color="365F91"/>
              <w:right w:val="nil"/>
            </w:tcBorders>
            <w:shd w:val="clear" w:color="auto" w:fill="auto"/>
          </w:tcPr>
          <w:p w14:paraId="6333BA4C" w14:textId="77777777" w:rsidR="00A10636" w:rsidRPr="00D9348B" w:rsidRDefault="00A10636" w:rsidP="00DB330E">
            <w:pPr>
              <w:pStyle w:val="TableText"/>
              <w:rPr>
                <w:rFonts w:eastAsia="Arial" w:cs="Calibri"/>
                <w:szCs w:val="16"/>
              </w:rPr>
            </w:pPr>
            <w:r w:rsidRPr="00D9348B">
              <w:rPr>
                <w:rFonts w:eastAsia="Arial" w:cs="Calibri"/>
                <w:szCs w:val="16"/>
              </w:rPr>
              <w:t>High producing grassland</w:t>
            </w:r>
          </w:p>
        </w:tc>
        <w:tc>
          <w:tcPr>
            <w:tcW w:w="1275" w:type="dxa"/>
            <w:tcBorders>
              <w:top w:val="single" w:sz="4" w:space="0" w:color="365F91"/>
              <w:left w:val="nil"/>
              <w:bottom w:val="single" w:sz="4" w:space="0" w:color="365F91"/>
              <w:right w:val="nil"/>
            </w:tcBorders>
            <w:shd w:val="clear" w:color="auto" w:fill="auto"/>
          </w:tcPr>
          <w:p w14:paraId="527EE926" w14:textId="77777777" w:rsidR="00A10636" w:rsidRPr="00D9348B" w:rsidRDefault="00A10636" w:rsidP="00DB330E">
            <w:pPr>
              <w:pStyle w:val="TableText"/>
              <w:jc w:val="right"/>
              <w:rPr>
                <w:rFonts w:eastAsia="Arial" w:cs="Calibri"/>
                <w:szCs w:val="16"/>
              </w:rPr>
            </w:pPr>
            <w:r w:rsidRPr="00D9348B">
              <w:rPr>
                <w:rFonts w:eastAsia="Arial" w:cs="Calibri"/>
                <w:szCs w:val="16"/>
              </w:rPr>
              <w:t>–0.64</w:t>
            </w:r>
          </w:p>
        </w:tc>
        <w:tc>
          <w:tcPr>
            <w:tcW w:w="1584" w:type="dxa"/>
            <w:tcBorders>
              <w:top w:val="single" w:sz="4" w:space="0" w:color="365F91"/>
              <w:left w:val="nil"/>
              <w:bottom w:val="single" w:sz="4" w:space="0" w:color="365F91"/>
              <w:right w:val="nil"/>
            </w:tcBorders>
            <w:shd w:val="clear" w:color="auto" w:fill="auto"/>
          </w:tcPr>
          <w:p w14:paraId="69C33417" w14:textId="77777777" w:rsidR="00A10636" w:rsidRPr="00D9348B" w:rsidRDefault="00A10636" w:rsidP="00DB330E">
            <w:pPr>
              <w:pStyle w:val="TableText"/>
              <w:jc w:val="right"/>
              <w:rPr>
                <w:rFonts w:eastAsia="Arial" w:cs="Calibri"/>
                <w:szCs w:val="16"/>
              </w:rPr>
            </w:pPr>
            <w:r w:rsidRPr="00D9348B">
              <w:rPr>
                <w:rFonts w:eastAsia="Arial" w:cs="Calibri"/>
                <w:szCs w:val="16"/>
              </w:rPr>
              <w:t>3.13</w:t>
            </w:r>
          </w:p>
        </w:tc>
        <w:tc>
          <w:tcPr>
            <w:tcW w:w="1195" w:type="dxa"/>
            <w:tcBorders>
              <w:top w:val="single" w:sz="4" w:space="0" w:color="365F91"/>
              <w:left w:val="nil"/>
              <w:bottom w:val="single" w:sz="4" w:space="0" w:color="365F91"/>
              <w:right w:val="nil"/>
            </w:tcBorders>
            <w:shd w:val="clear" w:color="auto" w:fill="auto"/>
          </w:tcPr>
          <w:p w14:paraId="00B235AB" w14:textId="77777777" w:rsidR="00A10636" w:rsidRPr="00D9348B" w:rsidRDefault="00A10636" w:rsidP="00DB330E">
            <w:pPr>
              <w:pStyle w:val="TableText"/>
              <w:jc w:val="right"/>
              <w:rPr>
                <w:rFonts w:eastAsia="Arial" w:cs="Calibri"/>
                <w:szCs w:val="16"/>
              </w:rPr>
            </w:pPr>
            <w:r w:rsidRPr="00D9348B">
              <w:rPr>
                <w:rFonts w:eastAsia="Arial" w:cs="Calibri"/>
                <w:szCs w:val="16"/>
              </w:rPr>
              <w:t>–0.21</w:t>
            </w:r>
          </w:p>
        </w:tc>
        <w:tc>
          <w:tcPr>
            <w:tcW w:w="1196" w:type="dxa"/>
            <w:tcBorders>
              <w:top w:val="single" w:sz="4" w:space="0" w:color="365F91"/>
              <w:left w:val="nil"/>
              <w:bottom w:val="single" w:sz="4" w:space="0" w:color="365F91"/>
            </w:tcBorders>
            <w:shd w:val="clear" w:color="auto" w:fill="auto"/>
          </w:tcPr>
          <w:p w14:paraId="4FC19665" w14:textId="77777777" w:rsidR="00A10636" w:rsidRPr="00D9348B" w:rsidRDefault="00A10636" w:rsidP="00DB330E">
            <w:pPr>
              <w:pStyle w:val="TableText"/>
              <w:jc w:val="right"/>
              <w:rPr>
                <w:rFonts w:eastAsia="Arial" w:cs="Calibri"/>
                <w:szCs w:val="16"/>
              </w:rPr>
            </w:pPr>
            <w:r w:rsidRPr="00D9348B">
              <w:rPr>
                <w:rFonts w:eastAsia="Arial" w:cs="Calibri"/>
                <w:szCs w:val="16"/>
              </w:rPr>
              <w:t>0.8370</w:t>
            </w:r>
          </w:p>
        </w:tc>
      </w:tr>
      <w:tr w:rsidR="00A10636" w:rsidRPr="00D9348B" w14:paraId="3DC2C7F2" w14:textId="77777777" w:rsidTr="00FD6935">
        <w:tc>
          <w:tcPr>
            <w:tcW w:w="2745" w:type="dxa"/>
            <w:tcBorders>
              <w:top w:val="single" w:sz="4" w:space="0" w:color="365F91"/>
              <w:bottom w:val="single" w:sz="4" w:space="0" w:color="365F91"/>
              <w:right w:val="nil"/>
            </w:tcBorders>
            <w:shd w:val="clear" w:color="auto" w:fill="auto"/>
          </w:tcPr>
          <w:p w14:paraId="114826D9" w14:textId="77777777" w:rsidR="00A10636" w:rsidRPr="00D9348B" w:rsidRDefault="00A10636" w:rsidP="00DB330E">
            <w:pPr>
              <w:pStyle w:val="TableText"/>
              <w:rPr>
                <w:rFonts w:eastAsia="Arial" w:cs="Calibri"/>
                <w:szCs w:val="16"/>
              </w:rPr>
            </w:pPr>
            <w:r w:rsidRPr="00D9348B">
              <w:rPr>
                <w:rFonts w:eastAsia="Arial" w:cs="Calibri"/>
                <w:szCs w:val="16"/>
              </w:rPr>
              <w:t>Grassland with woody biomass</w:t>
            </w:r>
          </w:p>
        </w:tc>
        <w:tc>
          <w:tcPr>
            <w:tcW w:w="1275" w:type="dxa"/>
            <w:tcBorders>
              <w:top w:val="single" w:sz="4" w:space="0" w:color="365F91"/>
              <w:left w:val="nil"/>
              <w:bottom w:val="single" w:sz="4" w:space="0" w:color="365F91"/>
              <w:right w:val="nil"/>
            </w:tcBorders>
            <w:shd w:val="clear" w:color="auto" w:fill="auto"/>
          </w:tcPr>
          <w:p w14:paraId="1806FBAC" w14:textId="77777777" w:rsidR="00A10636" w:rsidRPr="00D9348B" w:rsidRDefault="00A10636" w:rsidP="00DB330E">
            <w:pPr>
              <w:pStyle w:val="TableText"/>
              <w:jc w:val="right"/>
              <w:rPr>
                <w:rFonts w:eastAsia="Arial" w:cs="Calibri"/>
                <w:szCs w:val="16"/>
              </w:rPr>
            </w:pPr>
            <w:r w:rsidRPr="00D9348B">
              <w:rPr>
                <w:rFonts w:eastAsia="Arial" w:cs="Calibri"/>
                <w:szCs w:val="16"/>
              </w:rPr>
              <w:t>–7.75</w:t>
            </w:r>
          </w:p>
        </w:tc>
        <w:tc>
          <w:tcPr>
            <w:tcW w:w="1584" w:type="dxa"/>
            <w:tcBorders>
              <w:top w:val="single" w:sz="4" w:space="0" w:color="365F91"/>
              <w:left w:val="nil"/>
              <w:bottom w:val="single" w:sz="4" w:space="0" w:color="365F91"/>
              <w:right w:val="nil"/>
            </w:tcBorders>
            <w:shd w:val="clear" w:color="auto" w:fill="auto"/>
          </w:tcPr>
          <w:p w14:paraId="5EF1A8BC" w14:textId="77777777" w:rsidR="00A10636" w:rsidRPr="00D9348B" w:rsidRDefault="00A10636" w:rsidP="00DB330E">
            <w:pPr>
              <w:pStyle w:val="TableText"/>
              <w:jc w:val="right"/>
              <w:rPr>
                <w:rFonts w:eastAsia="Arial" w:cs="Calibri"/>
                <w:szCs w:val="16"/>
              </w:rPr>
            </w:pPr>
            <w:r w:rsidRPr="00D9348B">
              <w:rPr>
                <w:rFonts w:eastAsia="Arial" w:cs="Calibri"/>
                <w:szCs w:val="16"/>
              </w:rPr>
              <w:t>3.68</w:t>
            </w:r>
          </w:p>
        </w:tc>
        <w:tc>
          <w:tcPr>
            <w:tcW w:w="1195" w:type="dxa"/>
            <w:tcBorders>
              <w:top w:val="single" w:sz="4" w:space="0" w:color="365F91"/>
              <w:left w:val="nil"/>
              <w:bottom w:val="single" w:sz="4" w:space="0" w:color="365F91"/>
              <w:right w:val="nil"/>
            </w:tcBorders>
            <w:shd w:val="clear" w:color="auto" w:fill="auto"/>
          </w:tcPr>
          <w:p w14:paraId="77E3176D" w14:textId="77777777" w:rsidR="00A10636" w:rsidRPr="00D9348B" w:rsidRDefault="00A10636" w:rsidP="00DB330E">
            <w:pPr>
              <w:pStyle w:val="TableText"/>
              <w:jc w:val="right"/>
              <w:rPr>
                <w:rFonts w:eastAsia="Arial" w:cs="Calibri"/>
                <w:szCs w:val="16"/>
              </w:rPr>
            </w:pPr>
            <w:r w:rsidRPr="00D9348B">
              <w:rPr>
                <w:rFonts w:eastAsia="Arial" w:cs="Calibri"/>
                <w:szCs w:val="16"/>
              </w:rPr>
              <w:t>–2.11</w:t>
            </w:r>
          </w:p>
        </w:tc>
        <w:tc>
          <w:tcPr>
            <w:tcW w:w="1196" w:type="dxa"/>
            <w:tcBorders>
              <w:top w:val="single" w:sz="4" w:space="0" w:color="365F91"/>
              <w:left w:val="nil"/>
              <w:bottom w:val="single" w:sz="4" w:space="0" w:color="365F91"/>
            </w:tcBorders>
            <w:shd w:val="clear" w:color="auto" w:fill="auto"/>
          </w:tcPr>
          <w:p w14:paraId="5E069659" w14:textId="77777777" w:rsidR="00A10636" w:rsidRPr="00D9348B" w:rsidRDefault="00A10636" w:rsidP="00DB330E">
            <w:pPr>
              <w:pStyle w:val="TableText"/>
              <w:jc w:val="right"/>
              <w:rPr>
                <w:rFonts w:eastAsia="Arial" w:cs="Calibri"/>
                <w:szCs w:val="16"/>
              </w:rPr>
            </w:pPr>
            <w:r w:rsidRPr="00D9348B">
              <w:rPr>
                <w:rFonts w:eastAsia="Arial" w:cs="Calibri"/>
                <w:szCs w:val="16"/>
              </w:rPr>
              <w:t>0.0350</w:t>
            </w:r>
          </w:p>
        </w:tc>
      </w:tr>
      <w:tr w:rsidR="00A10636" w:rsidRPr="00D9348B" w14:paraId="55644FE1" w14:textId="77777777" w:rsidTr="00FD6935">
        <w:tc>
          <w:tcPr>
            <w:tcW w:w="2745" w:type="dxa"/>
            <w:tcBorders>
              <w:top w:val="single" w:sz="4" w:space="0" w:color="365F91"/>
              <w:bottom w:val="single" w:sz="4" w:space="0" w:color="365F91"/>
              <w:right w:val="nil"/>
            </w:tcBorders>
            <w:shd w:val="clear" w:color="auto" w:fill="auto"/>
          </w:tcPr>
          <w:p w14:paraId="747D732A" w14:textId="77777777" w:rsidR="00A10636" w:rsidRPr="00D9348B" w:rsidRDefault="00A10636" w:rsidP="00DB330E">
            <w:pPr>
              <w:pStyle w:val="TableText"/>
              <w:rPr>
                <w:rFonts w:eastAsia="Arial" w:cs="Calibri"/>
                <w:szCs w:val="16"/>
              </w:rPr>
            </w:pPr>
            <w:r w:rsidRPr="00D9348B">
              <w:rPr>
                <w:rFonts w:eastAsia="Arial" w:cs="Calibri"/>
                <w:szCs w:val="16"/>
              </w:rPr>
              <w:t>Perennial cropland</w:t>
            </w:r>
          </w:p>
        </w:tc>
        <w:tc>
          <w:tcPr>
            <w:tcW w:w="1275" w:type="dxa"/>
            <w:tcBorders>
              <w:top w:val="single" w:sz="4" w:space="0" w:color="365F91"/>
              <w:left w:val="nil"/>
              <w:bottom w:val="single" w:sz="4" w:space="0" w:color="365F91"/>
              <w:right w:val="nil"/>
            </w:tcBorders>
            <w:shd w:val="clear" w:color="auto" w:fill="auto"/>
          </w:tcPr>
          <w:p w14:paraId="0BB813D0" w14:textId="77777777" w:rsidR="00A10636" w:rsidRPr="00D9348B" w:rsidRDefault="00A10636" w:rsidP="00DB330E">
            <w:pPr>
              <w:pStyle w:val="TableText"/>
              <w:jc w:val="right"/>
              <w:rPr>
                <w:rFonts w:eastAsia="Arial" w:cs="Calibri"/>
                <w:szCs w:val="16"/>
              </w:rPr>
            </w:pPr>
            <w:r w:rsidRPr="00D9348B">
              <w:rPr>
                <w:rFonts w:eastAsia="Arial" w:cs="Calibri"/>
                <w:szCs w:val="16"/>
              </w:rPr>
              <w:t>–17.54</w:t>
            </w:r>
          </w:p>
        </w:tc>
        <w:tc>
          <w:tcPr>
            <w:tcW w:w="1584" w:type="dxa"/>
            <w:tcBorders>
              <w:top w:val="single" w:sz="4" w:space="0" w:color="365F91"/>
              <w:left w:val="nil"/>
              <w:bottom w:val="single" w:sz="4" w:space="0" w:color="365F91"/>
              <w:right w:val="nil"/>
            </w:tcBorders>
            <w:shd w:val="clear" w:color="auto" w:fill="auto"/>
          </w:tcPr>
          <w:p w14:paraId="2FDCC84A" w14:textId="77777777" w:rsidR="00A10636" w:rsidRPr="00D9348B" w:rsidRDefault="00A10636" w:rsidP="00DB330E">
            <w:pPr>
              <w:pStyle w:val="TableText"/>
              <w:jc w:val="right"/>
              <w:rPr>
                <w:rFonts w:eastAsia="Arial" w:cs="Calibri"/>
                <w:szCs w:val="16"/>
              </w:rPr>
            </w:pPr>
            <w:r w:rsidRPr="00D9348B">
              <w:rPr>
                <w:rFonts w:eastAsia="Arial" w:cs="Calibri"/>
                <w:szCs w:val="16"/>
              </w:rPr>
              <w:t>6.37</w:t>
            </w:r>
          </w:p>
        </w:tc>
        <w:tc>
          <w:tcPr>
            <w:tcW w:w="1195" w:type="dxa"/>
            <w:tcBorders>
              <w:top w:val="single" w:sz="4" w:space="0" w:color="365F91"/>
              <w:left w:val="nil"/>
              <w:bottom w:val="single" w:sz="4" w:space="0" w:color="365F91"/>
              <w:right w:val="nil"/>
            </w:tcBorders>
            <w:shd w:val="clear" w:color="auto" w:fill="auto"/>
          </w:tcPr>
          <w:p w14:paraId="43FC7B6D" w14:textId="77777777" w:rsidR="00A10636" w:rsidRPr="00D9348B" w:rsidRDefault="00A10636" w:rsidP="00DB330E">
            <w:pPr>
              <w:pStyle w:val="TableText"/>
              <w:jc w:val="right"/>
              <w:rPr>
                <w:rFonts w:eastAsia="Arial" w:cs="Calibri"/>
                <w:szCs w:val="16"/>
              </w:rPr>
            </w:pPr>
            <w:r w:rsidRPr="00D9348B">
              <w:rPr>
                <w:rFonts w:eastAsia="Arial" w:cs="Calibri"/>
                <w:szCs w:val="16"/>
              </w:rPr>
              <w:t>–2.76</w:t>
            </w:r>
          </w:p>
        </w:tc>
        <w:tc>
          <w:tcPr>
            <w:tcW w:w="1196" w:type="dxa"/>
            <w:tcBorders>
              <w:top w:val="single" w:sz="4" w:space="0" w:color="365F91"/>
              <w:left w:val="nil"/>
              <w:bottom w:val="single" w:sz="4" w:space="0" w:color="365F91"/>
            </w:tcBorders>
            <w:shd w:val="clear" w:color="auto" w:fill="auto"/>
          </w:tcPr>
          <w:p w14:paraId="4817D572" w14:textId="77777777" w:rsidR="00A10636" w:rsidRPr="00D9348B" w:rsidRDefault="00A10636" w:rsidP="00DB330E">
            <w:pPr>
              <w:pStyle w:val="TableText"/>
              <w:jc w:val="right"/>
              <w:rPr>
                <w:rFonts w:eastAsia="Arial" w:cs="Calibri"/>
                <w:szCs w:val="16"/>
              </w:rPr>
            </w:pPr>
            <w:r w:rsidRPr="00D9348B">
              <w:rPr>
                <w:rFonts w:eastAsia="Arial" w:cs="Calibri"/>
                <w:szCs w:val="16"/>
              </w:rPr>
              <w:t>0.0059</w:t>
            </w:r>
          </w:p>
        </w:tc>
      </w:tr>
      <w:tr w:rsidR="00A10636" w:rsidRPr="00D9348B" w14:paraId="0877632E" w14:textId="77777777" w:rsidTr="00FD6935">
        <w:tc>
          <w:tcPr>
            <w:tcW w:w="2745" w:type="dxa"/>
            <w:tcBorders>
              <w:top w:val="single" w:sz="4" w:space="0" w:color="365F91"/>
              <w:bottom w:val="single" w:sz="4" w:space="0" w:color="365F91"/>
              <w:right w:val="nil"/>
            </w:tcBorders>
            <w:shd w:val="clear" w:color="auto" w:fill="auto"/>
          </w:tcPr>
          <w:p w14:paraId="04593FF0" w14:textId="77777777" w:rsidR="00A10636" w:rsidRPr="00D9348B" w:rsidRDefault="00A10636" w:rsidP="00DB330E">
            <w:pPr>
              <w:pStyle w:val="TableText"/>
              <w:rPr>
                <w:rFonts w:eastAsia="Arial" w:cs="Calibri"/>
                <w:szCs w:val="16"/>
              </w:rPr>
            </w:pPr>
            <w:r w:rsidRPr="00D9348B">
              <w:rPr>
                <w:rFonts w:eastAsia="Arial" w:cs="Calibri"/>
                <w:szCs w:val="16"/>
              </w:rPr>
              <w:t>Annual cropland</w:t>
            </w:r>
          </w:p>
        </w:tc>
        <w:tc>
          <w:tcPr>
            <w:tcW w:w="1275" w:type="dxa"/>
            <w:tcBorders>
              <w:top w:val="single" w:sz="4" w:space="0" w:color="365F91"/>
              <w:left w:val="nil"/>
              <w:bottom w:val="single" w:sz="4" w:space="0" w:color="365F91"/>
              <w:right w:val="nil"/>
            </w:tcBorders>
            <w:shd w:val="clear" w:color="auto" w:fill="auto"/>
          </w:tcPr>
          <w:p w14:paraId="6EF67B74" w14:textId="77777777" w:rsidR="00A10636" w:rsidRPr="00D9348B" w:rsidRDefault="00A10636" w:rsidP="00DB330E">
            <w:pPr>
              <w:pStyle w:val="TableText"/>
              <w:jc w:val="right"/>
              <w:rPr>
                <w:rFonts w:eastAsia="Arial" w:cs="Calibri"/>
                <w:szCs w:val="16"/>
              </w:rPr>
            </w:pPr>
            <w:r w:rsidRPr="00D9348B">
              <w:rPr>
                <w:rFonts w:eastAsia="Arial" w:cs="Calibri"/>
                <w:szCs w:val="16"/>
              </w:rPr>
              <w:t>–16.21</w:t>
            </w:r>
          </w:p>
        </w:tc>
        <w:tc>
          <w:tcPr>
            <w:tcW w:w="1584" w:type="dxa"/>
            <w:tcBorders>
              <w:top w:val="single" w:sz="4" w:space="0" w:color="365F91"/>
              <w:left w:val="nil"/>
              <w:bottom w:val="single" w:sz="4" w:space="0" w:color="365F91"/>
              <w:right w:val="nil"/>
            </w:tcBorders>
            <w:shd w:val="clear" w:color="auto" w:fill="auto"/>
          </w:tcPr>
          <w:p w14:paraId="00EB03DC" w14:textId="77777777" w:rsidR="00A10636" w:rsidRPr="00D9348B" w:rsidRDefault="00A10636" w:rsidP="00DB330E">
            <w:pPr>
              <w:pStyle w:val="TableText"/>
              <w:jc w:val="right"/>
              <w:rPr>
                <w:rFonts w:eastAsia="Arial" w:cs="Calibri"/>
                <w:szCs w:val="16"/>
              </w:rPr>
            </w:pPr>
            <w:r w:rsidRPr="00D9348B">
              <w:rPr>
                <w:rFonts w:eastAsia="Arial" w:cs="Calibri"/>
                <w:szCs w:val="16"/>
              </w:rPr>
              <w:t>4.45</w:t>
            </w:r>
          </w:p>
        </w:tc>
        <w:tc>
          <w:tcPr>
            <w:tcW w:w="1195" w:type="dxa"/>
            <w:tcBorders>
              <w:top w:val="single" w:sz="4" w:space="0" w:color="365F91"/>
              <w:left w:val="nil"/>
              <w:bottom w:val="single" w:sz="4" w:space="0" w:color="365F91"/>
              <w:right w:val="nil"/>
            </w:tcBorders>
            <w:shd w:val="clear" w:color="auto" w:fill="auto"/>
          </w:tcPr>
          <w:p w14:paraId="52FFC5FE" w14:textId="77777777" w:rsidR="00A10636" w:rsidRPr="00D9348B" w:rsidRDefault="00A10636" w:rsidP="00DB330E">
            <w:pPr>
              <w:pStyle w:val="TableText"/>
              <w:jc w:val="right"/>
              <w:rPr>
                <w:rFonts w:eastAsia="Arial" w:cs="Calibri"/>
                <w:szCs w:val="16"/>
              </w:rPr>
            </w:pPr>
            <w:r w:rsidRPr="00D9348B">
              <w:rPr>
                <w:rFonts w:eastAsia="Arial" w:cs="Calibri"/>
                <w:szCs w:val="16"/>
              </w:rPr>
              <w:t>–3.64</w:t>
            </w:r>
          </w:p>
        </w:tc>
        <w:tc>
          <w:tcPr>
            <w:tcW w:w="1196" w:type="dxa"/>
            <w:tcBorders>
              <w:top w:val="single" w:sz="4" w:space="0" w:color="365F91"/>
              <w:left w:val="nil"/>
              <w:bottom w:val="single" w:sz="4" w:space="0" w:color="365F91"/>
            </w:tcBorders>
            <w:shd w:val="clear" w:color="auto" w:fill="auto"/>
          </w:tcPr>
          <w:p w14:paraId="395B8E85" w14:textId="77777777" w:rsidR="00A10636" w:rsidRPr="00D9348B" w:rsidRDefault="00A10636" w:rsidP="00DB330E">
            <w:pPr>
              <w:pStyle w:val="TableText"/>
              <w:jc w:val="right"/>
              <w:rPr>
                <w:rFonts w:eastAsia="Arial" w:cs="Calibri"/>
                <w:szCs w:val="16"/>
              </w:rPr>
            </w:pPr>
            <w:r w:rsidRPr="00D9348B">
              <w:rPr>
                <w:rFonts w:eastAsia="Arial" w:cs="Calibri"/>
                <w:szCs w:val="16"/>
              </w:rPr>
              <w:t>0.0003</w:t>
            </w:r>
          </w:p>
        </w:tc>
      </w:tr>
      <w:tr w:rsidR="00A10636" w:rsidRPr="00D9348B" w14:paraId="7F5933B8" w14:textId="77777777" w:rsidTr="00FD6935">
        <w:tc>
          <w:tcPr>
            <w:tcW w:w="2745" w:type="dxa"/>
            <w:tcBorders>
              <w:top w:val="single" w:sz="4" w:space="0" w:color="365F91"/>
              <w:bottom w:val="single" w:sz="4" w:space="0" w:color="365F91"/>
              <w:right w:val="nil"/>
            </w:tcBorders>
            <w:shd w:val="clear" w:color="auto" w:fill="auto"/>
          </w:tcPr>
          <w:p w14:paraId="67248D89" w14:textId="77777777" w:rsidR="00A10636" w:rsidRPr="00D9348B" w:rsidRDefault="00A10636" w:rsidP="00DB330E">
            <w:pPr>
              <w:pStyle w:val="TableText"/>
              <w:rPr>
                <w:rFonts w:eastAsia="Arial" w:cs="Calibri"/>
                <w:szCs w:val="16"/>
              </w:rPr>
            </w:pPr>
            <w:r w:rsidRPr="00D9348B">
              <w:rPr>
                <w:rFonts w:eastAsia="Arial" w:cs="Calibri"/>
                <w:szCs w:val="16"/>
              </w:rPr>
              <w:t>Vegetated wetland</w:t>
            </w:r>
          </w:p>
        </w:tc>
        <w:tc>
          <w:tcPr>
            <w:tcW w:w="1275" w:type="dxa"/>
            <w:tcBorders>
              <w:top w:val="single" w:sz="4" w:space="0" w:color="365F91"/>
              <w:left w:val="nil"/>
              <w:bottom w:val="single" w:sz="4" w:space="0" w:color="365F91"/>
              <w:right w:val="nil"/>
            </w:tcBorders>
            <w:shd w:val="clear" w:color="auto" w:fill="auto"/>
          </w:tcPr>
          <w:p w14:paraId="0056B8F5" w14:textId="77777777" w:rsidR="00A10636" w:rsidRPr="00D9348B" w:rsidRDefault="00A10636" w:rsidP="00DB330E">
            <w:pPr>
              <w:pStyle w:val="TableText"/>
              <w:jc w:val="right"/>
              <w:rPr>
                <w:rFonts w:eastAsia="Arial" w:cs="Calibri"/>
                <w:szCs w:val="16"/>
              </w:rPr>
            </w:pPr>
            <w:r w:rsidRPr="00D9348B">
              <w:rPr>
                <w:rFonts w:eastAsia="Arial" w:cs="Calibri"/>
                <w:szCs w:val="16"/>
              </w:rPr>
              <w:t>30.08</w:t>
            </w:r>
          </w:p>
        </w:tc>
        <w:tc>
          <w:tcPr>
            <w:tcW w:w="1584" w:type="dxa"/>
            <w:tcBorders>
              <w:top w:val="single" w:sz="4" w:space="0" w:color="365F91"/>
              <w:left w:val="nil"/>
              <w:bottom w:val="single" w:sz="4" w:space="0" w:color="365F91"/>
              <w:right w:val="nil"/>
            </w:tcBorders>
            <w:shd w:val="clear" w:color="auto" w:fill="auto"/>
          </w:tcPr>
          <w:p w14:paraId="1A024FF8" w14:textId="77777777" w:rsidR="00A10636" w:rsidRPr="00D9348B" w:rsidRDefault="00A10636" w:rsidP="00DB330E">
            <w:pPr>
              <w:pStyle w:val="TableText"/>
              <w:jc w:val="right"/>
              <w:rPr>
                <w:rFonts w:eastAsia="Arial" w:cs="Calibri"/>
                <w:szCs w:val="16"/>
              </w:rPr>
            </w:pPr>
            <w:r w:rsidRPr="00D9348B">
              <w:rPr>
                <w:rFonts w:eastAsia="Arial" w:cs="Calibri"/>
                <w:szCs w:val="16"/>
              </w:rPr>
              <w:t>8.53</w:t>
            </w:r>
          </w:p>
        </w:tc>
        <w:tc>
          <w:tcPr>
            <w:tcW w:w="1195" w:type="dxa"/>
            <w:tcBorders>
              <w:top w:val="single" w:sz="4" w:space="0" w:color="365F91"/>
              <w:left w:val="nil"/>
              <w:bottom w:val="single" w:sz="4" w:space="0" w:color="365F91"/>
              <w:right w:val="nil"/>
            </w:tcBorders>
            <w:shd w:val="clear" w:color="auto" w:fill="auto"/>
          </w:tcPr>
          <w:p w14:paraId="65C2A314" w14:textId="77777777" w:rsidR="00A10636" w:rsidRPr="00D9348B" w:rsidRDefault="00A10636" w:rsidP="00DB330E">
            <w:pPr>
              <w:pStyle w:val="TableText"/>
              <w:jc w:val="right"/>
              <w:rPr>
                <w:rFonts w:eastAsia="Arial" w:cs="Calibri"/>
                <w:szCs w:val="16"/>
              </w:rPr>
            </w:pPr>
            <w:r w:rsidRPr="00D9348B">
              <w:rPr>
                <w:rFonts w:eastAsia="Arial" w:cs="Calibri"/>
                <w:szCs w:val="16"/>
              </w:rPr>
              <w:t>3.52</w:t>
            </w:r>
          </w:p>
        </w:tc>
        <w:tc>
          <w:tcPr>
            <w:tcW w:w="1196" w:type="dxa"/>
            <w:tcBorders>
              <w:top w:val="single" w:sz="4" w:space="0" w:color="365F91"/>
              <w:left w:val="nil"/>
              <w:bottom w:val="single" w:sz="4" w:space="0" w:color="365F91"/>
            </w:tcBorders>
            <w:shd w:val="clear" w:color="auto" w:fill="auto"/>
          </w:tcPr>
          <w:p w14:paraId="76F71122" w14:textId="77777777" w:rsidR="00A10636" w:rsidRPr="00D9348B" w:rsidRDefault="00A10636" w:rsidP="00DB330E">
            <w:pPr>
              <w:pStyle w:val="TableText"/>
              <w:jc w:val="right"/>
              <w:rPr>
                <w:rFonts w:eastAsia="Arial" w:cs="Calibri"/>
                <w:szCs w:val="16"/>
              </w:rPr>
            </w:pPr>
            <w:r w:rsidRPr="00D9348B">
              <w:rPr>
                <w:rFonts w:eastAsia="Arial" w:cs="Calibri"/>
                <w:szCs w:val="16"/>
              </w:rPr>
              <w:t>0.0004</w:t>
            </w:r>
          </w:p>
        </w:tc>
      </w:tr>
      <w:tr w:rsidR="00A10636" w:rsidRPr="00D9348B" w14:paraId="5090A8A0" w14:textId="77777777" w:rsidTr="00FD6935">
        <w:tc>
          <w:tcPr>
            <w:tcW w:w="2745" w:type="dxa"/>
            <w:tcBorders>
              <w:top w:val="single" w:sz="4" w:space="0" w:color="365F91"/>
              <w:bottom w:val="single" w:sz="4" w:space="0" w:color="365F91"/>
              <w:right w:val="nil"/>
            </w:tcBorders>
            <w:shd w:val="clear" w:color="auto" w:fill="auto"/>
          </w:tcPr>
          <w:p w14:paraId="1C22091D" w14:textId="77777777" w:rsidR="00A10636" w:rsidRPr="00D9348B" w:rsidRDefault="00A10636" w:rsidP="00DB330E">
            <w:pPr>
              <w:pStyle w:val="TableText"/>
              <w:rPr>
                <w:rFonts w:eastAsia="Arial" w:cs="Calibri"/>
                <w:szCs w:val="16"/>
              </w:rPr>
            </w:pPr>
            <w:r w:rsidRPr="00D9348B">
              <w:rPr>
                <w:rFonts w:eastAsia="Arial" w:cs="Calibri"/>
                <w:szCs w:val="16"/>
              </w:rPr>
              <w:t>Pre-1990 planted forest</w:t>
            </w:r>
          </w:p>
        </w:tc>
        <w:tc>
          <w:tcPr>
            <w:tcW w:w="1275" w:type="dxa"/>
            <w:tcBorders>
              <w:top w:val="single" w:sz="4" w:space="0" w:color="365F91"/>
              <w:left w:val="nil"/>
              <w:bottom w:val="single" w:sz="4" w:space="0" w:color="365F91"/>
              <w:right w:val="nil"/>
            </w:tcBorders>
            <w:shd w:val="clear" w:color="auto" w:fill="auto"/>
          </w:tcPr>
          <w:p w14:paraId="60C46D55" w14:textId="77777777" w:rsidR="00A10636" w:rsidRPr="00D9348B" w:rsidRDefault="00A10636" w:rsidP="00DB330E">
            <w:pPr>
              <w:pStyle w:val="TableText"/>
              <w:jc w:val="right"/>
              <w:rPr>
                <w:rFonts w:eastAsia="Arial" w:cs="Calibri"/>
                <w:szCs w:val="16"/>
              </w:rPr>
            </w:pPr>
            <w:r w:rsidRPr="00D9348B">
              <w:rPr>
                <w:rFonts w:eastAsia="Arial" w:cs="Calibri"/>
                <w:szCs w:val="16"/>
              </w:rPr>
              <w:t>–13.54</w:t>
            </w:r>
          </w:p>
        </w:tc>
        <w:tc>
          <w:tcPr>
            <w:tcW w:w="1584" w:type="dxa"/>
            <w:tcBorders>
              <w:top w:val="single" w:sz="4" w:space="0" w:color="365F91"/>
              <w:left w:val="nil"/>
              <w:bottom w:val="single" w:sz="4" w:space="0" w:color="365F91"/>
              <w:right w:val="nil"/>
            </w:tcBorders>
            <w:shd w:val="clear" w:color="auto" w:fill="auto"/>
          </w:tcPr>
          <w:p w14:paraId="6AA340E0" w14:textId="77777777" w:rsidR="00A10636" w:rsidRPr="00D9348B" w:rsidRDefault="00A10636" w:rsidP="00DB330E">
            <w:pPr>
              <w:pStyle w:val="TableText"/>
              <w:jc w:val="right"/>
              <w:rPr>
                <w:rFonts w:eastAsia="Arial" w:cs="Calibri"/>
                <w:szCs w:val="16"/>
              </w:rPr>
            </w:pPr>
            <w:r w:rsidRPr="00D9348B">
              <w:rPr>
                <w:rFonts w:eastAsia="Arial" w:cs="Calibri"/>
                <w:szCs w:val="16"/>
              </w:rPr>
              <w:t>5.78</w:t>
            </w:r>
          </w:p>
        </w:tc>
        <w:tc>
          <w:tcPr>
            <w:tcW w:w="1195" w:type="dxa"/>
            <w:tcBorders>
              <w:top w:val="single" w:sz="4" w:space="0" w:color="365F91"/>
              <w:left w:val="nil"/>
              <w:bottom w:val="single" w:sz="4" w:space="0" w:color="365F91"/>
              <w:right w:val="nil"/>
            </w:tcBorders>
            <w:shd w:val="clear" w:color="auto" w:fill="auto"/>
          </w:tcPr>
          <w:p w14:paraId="13FCB9E7" w14:textId="77777777" w:rsidR="00A10636" w:rsidRPr="00D9348B" w:rsidRDefault="00A10636" w:rsidP="00DB330E">
            <w:pPr>
              <w:pStyle w:val="TableText"/>
              <w:jc w:val="right"/>
              <w:rPr>
                <w:rFonts w:eastAsia="Arial" w:cs="Calibri"/>
                <w:szCs w:val="16"/>
              </w:rPr>
            </w:pPr>
            <w:r w:rsidRPr="00D9348B">
              <w:rPr>
                <w:rFonts w:eastAsia="Arial" w:cs="Calibri"/>
                <w:szCs w:val="16"/>
              </w:rPr>
              <w:t>–2.34</w:t>
            </w:r>
          </w:p>
        </w:tc>
        <w:tc>
          <w:tcPr>
            <w:tcW w:w="1196" w:type="dxa"/>
            <w:tcBorders>
              <w:top w:val="single" w:sz="4" w:space="0" w:color="365F91"/>
              <w:left w:val="nil"/>
              <w:bottom w:val="single" w:sz="4" w:space="0" w:color="365F91"/>
            </w:tcBorders>
            <w:shd w:val="clear" w:color="auto" w:fill="auto"/>
          </w:tcPr>
          <w:p w14:paraId="6174954D" w14:textId="77777777" w:rsidR="00A10636" w:rsidRPr="00D9348B" w:rsidRDefault="00A10636" w:rsidP="00DB330E">
            <w:pPr>
              <w:pStyle w:val="TableText"/>
              <w:jc w:val="right"/>
              <w:rPr>
                <w:rFonts w:eastAsia="Arial" w:cs="Calibri"/>
                <w:szCs w:val="16"/>
              </w:rPr>
            </w:pPr>
            <w:r w:rsidRPr="00D9348B">
              <w:rPr>
                <w:rFonts w:eastAsia="Arial" w:cs="Calibri"/>
                <w:szCs w:val="16"/>
              </w:rPr>
              <w:t>0.0193</w:t>
            </w:r>
          </w:p>
        </w:tc>
      </w:tr>
      <w:tr w:rsidR="00A10636" w:rsidRPr="00D9348B" w14:paraId="06A7CA64" w14:textId="77777777" w:rsidTr="00FD6935">
        <w:tc>
          <w:tcPr>
            <w:tcW w:w="2745" w:type="dxa"/>
            <w:tcBorders>
              <w:top w:val="single" w:sz="4" w:space="0" w:color="365F91"/>
              <w:bottom w:val="single" w:sz="4" w:space="0" w:color="365F91"/>
              <w:right w:val="nil"/>
            </w:tcBorders>
            <w:shd w:val="clear" w:color="auto" w:fill="auto"/>
          </w:tcPr>
          <w:p w14:paraId="58A1F36A" w14:textId="77777777" w:rsidR="00A10636" w:rsidRPr="00D9348B" w:rsidRDefault="00A10636" w:rsidP="00DB330E">
            <w:pPr>
              <w:pStyle w:val="TableText"/>
              <w:rPr>
                <w:rFonts w:eastAsia="Arial" w:cs="Calibri"/>
                <w:szCs w:val="16"/>
              </w:rPr>
            </w:pPr>
            <w:r w:rsidRPr="00D9348B">
              <w:rPr>
                <w:rFonts w:eastAsia="Arial" w:cs="Calibri"/>
                <w:szCs w:val="16"/>
              </w:rPr>
              <w:t>Post-1989 planted forest</w:t>
            </w:r>
          </w:p>
        </w:tc>
        <w:tc>
          <w:tcPr>
            <w:tcW w:w="1275" w:type="dxa"/>
            <w:tcBorders>
              <w:top w:val="single" w:sz="4" w:space="0" w:color="365F91"/>
              <w:left w:val="nil"/>
              <w:bottom w:val="single" w:sz="4" w:space="0" w:color="365F91"/>
              <w:right w:val="nil"/>
            </w:tcBorders>
            <w:shd w:val="clear" w:color="auto" w:fill="auto"/>
          </w:tcPr>
          <w:p w14:paraId="58041BEC" w14:textId="77777777" w:rsidR="00A10636" w:rsidRPr="00D9348B" w:rsidRDefault="00A10636" w:rsidP="00DB330E">
            <w:pPr>
              <w:pStyle w:val="TableText"/>
              <w:jc w:val="right"/>
              <w:rPr>
                <w:rFonts w:eastAsia="Arial" w:cs="Calibri"/>
                <w:szCs w:val="16"/>
              </w:rPr>
            </w:pPr>
            <w:r w:rsidRPr="00D9348B">
              <w:rPr>
                <w:rFonts w:eastAsia="Arial" w:cs="Calibri"/>
                <w:szCs w:val="16"/>
              </w:rPr>
              <w:t>–14.06</w:t>
            </w:r>
          </w:p>
        </w:tc>
        <w:tc>
          <w:tcPr>
            <w:tcW w:w="1584" w:type="dxa"/>
            <w:tcBorders>
              <w:top w:val="single" w:sz="4" w:space="0" w:color="365F91"/>
              <w:left w:val="nil"/>
              <w:bottom w:val="single" w:sz="4" w:space="0" w:color="365F91"/>
              <w:right w:val="nil"/>
            </w:tcBorders>
            <w:shd w:val="clear" w:color="auto" w:fill="auto"/>
          </w:tcPr>
          <w:p w14:paraId="30B01496" w14:textId="77777777" w:rsidR="00A10636" w:rsidRPr="00D9348B" w:rsidRDefault="00A10636" w:rsidP="00DB330E">
            <w:pPr>
              <w:pStyle w:val="TableText"/>
              <w:jc w:val="right"/>
              <w:rPr>
                <w:rFonts w:eastAsia="Arial" w:cs="Calibri"/>
                <w:szCs w:val="16"/>
              </w:rPr>
            </w:pPr>
            <w:r w:rsidRPr="00D9348B">
              <w:rPr>
                <w:rFonts w:eastAsia="Arial" w:cs="Calibri"/>
                <w:szCs w:val="16"/>
              </w:rPr>
              <w:t>4.86</w:t>
            </w:r>
          </w:p>
        </w:tc>
        <w:tc>
          <w:tcPr>
            <w:tcW w:w="1195" w:type="dxa"/>
            <w:tcBorders>
              <w:top w:val="single" w:sz="4" w:space="0" w:color="365F91"/>
              <w:left w:val="nil"/>
              <w:bottom w:val="single" w:sz="4" w:space="0" w:color="365F91"/>
              <w:right w:val="nil"/>
            </w:tcBorders>
            <w:shd w:val="clear" w:color="auto" w:fill="auto"/>
          </w:tcPr>
          <w:p w14:paraId="6E128EE3" w14:textId="77777777" w:rsidR="00A10636" w:rsidRPr="00D9348B" w:rsidRDefault="00A10636" w:rsidP="00DB330E">
            <w:pPr>
              <w:pStyle w:val="TableText"/>
              <w:jc w:val="right"/>
              <w:rPr>
                <w:rFonts w:eastAsia="Arial" w:cs="Calibri"/>
                <w:szCs w:val="16"/>
              </w:rPr>
            </w:pPr>
            <w:r w:rsidRPr="00D9348B">
              <w:rPr>
                <w:rFonts w:eastAsia="Arial" w:cs="Calibri"/>
                <w:szCs w:val="16"/>
              </w:rPr>
              <w:t>–2.90</w:t>
            </w:r>
          </w:p>
        </w:tc>
        <w:tc>
          <w:tcPr>
            <w:tcW w:w="1196" w:type="dxa"/>
            <w:tcBorders>
              <w:top w:val="single" w:sz="4" w:space="0" w:color="365F91"/>
              <w:left w:val="nil"/>
              <w:bottom w:val="single" w:sz="4" w:space="0" w:color="365F91"/>
            </w:tcBorders>
            <w:shd w:val="clear" w:color="auto" w:fill="auto"/>
          </w:tcPr>
          <w:p w14:paraId="590096D8" w14:textId="77777777" w:rsidR="00A10636" w:rsidRPr="00D9348B" w:rsidRDefault="00A10636" w:rsidP="00DB330E">
            <w:pPr>
              <w:pStyle w:val="TableText"/>
              <w:jc w:val="right"/>
              <w:rPr>
                <w:rFonts w:eastAsia="Arial" w:cs="Calibri"/>
                <w:szCs w:val="16"/>
              </w:rPr>
            </w:pPr>
            <w:r w:rsidRPr="00D9348B">
              <w:rPr>
                <w:rFonts w:eastAsia="Arial" w:cs="Calibri"/>
                <w:szCs w:val="16"/>
              </w:rPr>
              <w:t>0.0038</w:t>
            </w:r>
          </w:p>
        </w:tc>
      </w:tr>
      <w:tr w:rsidR="00A10636" w:rsidRPr="00D9348B" w14:paraId="1E647F8F" w14:textId="77777777" w:rsidTr="00FD6935">
        <w:tc>
          <w:tcPr>
            <w:tcW w:w="2745" w:type="dxa"/>
            <w:tcBorders>
              <w:top w:val="single" w:sz="4" w:space="0" w:color="365F91"/>
              <w:bottom w:val="single" w:sz="4" w:space="0" w:color="365F91"/>
              <w:right w:val="nil"/>
            </w:tcBorders>
            <w:shd w:val="clear" w:color="auto" w:fill="auto"/>
          </w:tcPr>
          <w:p w14:paraId="6E0C23B6" w14:textId="77777777" w:rsidR="00A10636" w:rsidRPr="00D9348B" w:rsidRDefault="00A10636" w:rsidP="00DB330E">
            <w:pPr>
              <w:pStyle w:val="TableText"/>
              <w:rPr>
                <w:rFonts w:eastAsia="Arial" w:cs="Calibri"/>
                <w:szCs w:val="16"/>
              </w:rPr>
            </w:pPr>
            <w:r w:rsidRPr="00D9348B">
              <w:rPr>
                <w:rFonts w:eastAsia="Arial" w:cs="Calibri"/>
                <w:szCs w:val="16"/>
              </w:rPr>
              <w:t>Pre-1990 natural forest</w:t>
            </w:r>
          </w:p>
        </w:tc>
        <w:tc>
          <w:tcPr>
            <w:tcW w:w="1275" w:type="dxa"/>
            <w:tcBorders>
              <w:top w:val="single" w:sz="4" w:space="0" w:color="365F91"/>
              <w:left w:val="nil"/>
              <w:bottom w:val="single" w:sz="4" w:space="0" w:color="365F91"/>
              <w:right w:val="nil"/>
            </w:tcBorders>
            <w:shd w:val="clear" w:color="auto" w:fill="auto"/>
          </w:tcPr>
          <w:p w14:paraId="62C2DE99" w14:textId="77777777" w:rsidR="00A10636" w:rsidRPr="00D9348B" w:rsidRDefault="00A10636" w:rsidP="00DB330E">
            <w:pPr>
              <w:pStyle w:val="TableText"/>
              <w:jc w:val="right"/>
              <w:rPr>
                <w:rFonts w:eastAsia="Arial" w:cs="Calibri"/>
                <w:szCs w:val="16"/>
              </w:rPr>
            </w:pPr>
            <w:r w:rsidRPr="00D9348B">
              <w:rPr>
                <w:rFonts w:eastAsia="Arial" w:cs="Calibri"/>
                <w:szCs w:val="16"/>
              </w:rPr>
              <w:t>–13.73</w:t>
            </w:r>
          </w:p>
        </w:tc>
        <w:tc>
          <w:tcPr>
            <w:tcW w:w="1584" w:type="dxa"/>
            <w:tcBorders>
              <w:top w:val="single" w:sz="4" w:space="0" w:color="365F91"/>
              <w:left w:val="nil"/>
              <w:bottom w:val="single" w:sz="4" w:space="0" w:color="365F91"/>
              <w:right w:val="nil"/>
            </w:tcBorders>
            <w:shd w:val="clear" w:color="auto" w:fill="auto"/>
          </w:tcPr>
          <w:p w14:paraId="68E2798F" w14:textId="77777777" w:rsidR="00A10636" w:rsidRPr="00D9348B" w:rsidRDefault="00A10636" w:rsidP="00DB330E">
            <w:pPr>
              <w:pStyle w:val="TableText"/>
              <w:jc w:val="right"/>
              <w:rPr>
                <w:rFonts w:eastAsia="Arial" w:cs="Calibri"/>
                <w:szCs w:val="16"/>
              </w:rPr>
            </w:pPr>
            <w:r w:rsidRPr="00D9348B">
              <w:rPr>
                <w:rFonts w:eastAsia="Arial" w:cs="Calibri"/>
                <w:szCs w:val="16"/>
              </w:rPr>
              <w:t>3.70</w:t>
            </w:r>
          </w:p>
        </w:tc>
        <w:tc>
          <w:tcPr>
            <w:tcW w:w="1195" w:type="dxa"/>
            <w:tcBorders>
              <w:top w:val="single" w:sz="4" w:space="0" w:color="365F91"/>
              <w:left w:val="nil"/>
              <w:bottom w:val="single" w:sz="4" w:space="0" w:color="365F91"/>
              <w:right w:val="nil"/>
            </w:tcBorders>
            <w:shd w:val="clear" w:color="auto" w:fill="auto"/>
          </w:tcPr>
          <w:p w14:paraId="535E44F4" w14:textId="77777777" w:rsidR="00A10636" w:rsidRPr="00D9348B" w:rsidRDefault="00A10636" w:rsidP="00DB330E">
            <w:pPr>
              <w:pStyle w:val="TableText"/>
              <w:jc w:val="right"/>
              <w:rPr>
                <w:rFonts w:eastAsia="Arial" w:cs="Calibri"/>
                <w:szCs w:val="16"/>
              </w:rPr>
            </w:pPr>
            <w:r w:rsidRPr="00D9348B">
              <w:rPr>
                <w:rFonts w:eastAsia="Arial" w:cs="Calibri"/>
                <w:szCs w:val="16"/>
              </w:rPr>
              <w:t>–3.71</w:t>
            </w:r>
          </w:p>
        </w:tc>
        <w:tc>
          <w:tcPr>
            <w:tcW w:w="1196" w:type="dxa"/>
            <w:tcBorders>
              <w:top w:val="single" w:sz="4" w:space="0" w:color="365F91"/>
              <w:left w:val="nil"/>
              <w:bottom w:val="single" w:sz="4" w:space="0" w:color="365F91"/>
            </w:tcBorders>
            <w:shd w:val="clear" w:color="auto" w:fill="auto"/>
          </w:tcPr>
          <w:p w14:paraId="628834F5" w14:textId="77777777" w:rsidR="00A10636" w:rsidRPr="00D9348B" w:rsidRDefault="00A10636" w:rsidP="00DB330E">
            <w:pPr>
              <w:pStyle w:val="TableText"/>
              <w:jc w:val="right"/>
              <w:rPr>
                <w:rFonts w:eastAsia="Arial" w:cs="Calibri"/>
                <w:szCs w:val="16"/>
              </w:rPr>
            </w:pPr>
            <w:r w:rsidRPr="00D9348B">
              <w:rPr>
                <w:rFonts w:eastAsia="Arial" w:cs="Calibri"/>
                <w:szCs w:val="16"/>
              </w:rPr>
              <w:t>0.0002</w:t>
            </w:r>
          </w:p>
        </w:tc>
      </w:tr>
      <w:tr w:rsidR="00A10636" w:rsidRPr="00D9348B" w14:paraId="5761476D" w14:textId="77777777" w:rsidTr="00FD6935">
        <w:tc>
          <w:tcPr>
            <w:tcW w:w="2745" w:type="dxa"/>
            <w:tcBorders>
              <w:top w:val="single" w:sz="4" w:space="0" w:color="365F91"/>
              <w:bottom w:val="single" w:sz="4" w:space="0" w:color="365F91"/>
              <w:right w:val="nil"/>
            </w:tcBorders>
            <w:shd w:val="clear" w:color="auto" w:fill="auto"/>
          </w:tcPr>
          <w:p w14:paraId="107E61A6" w14:textId="77777777" w:rsidR="00A10636" w:rsidRPr="00D9348B" w:rsidRDefault="00A10636" w:rsidP="00DB330E">
            <w:pPr>
              <w:pStyle w:val="TableText"/>
              <w:rPr>
                <w:rFonts w:eastAsia="Arial" w:cs="Calibri"/>
                <w:szCs w:val="16"/>
              </w:rPr>
            </w:pPr>
            <w:r w:rsidRPr="00D9348B">
              <w:rPr>
                <w:rFonts w:eastAsia="Arial" w:cs="Calibri"/>
                <w:szCs w:val="16"/>
              </w:rPr>
              <w:t>Other land</w:t>
            </w:r>
          </w:p>
        </w:tc>
        <w:tc>
          <w:tcPr>
            <w:tcW w:w="1275" w:type="dxa"/>
            <w:tcBorders>
              <w:top w:val="single" w:sz="4" w:space="0" w:color="365F91"/>
              <w:left w:val="nil"/>
              <w:bottom w:val="single" w:sz="4" w:space="0" w:color="365F91"/>
              <w:right w:val="nil"/>
            </w:tcBorders>
            <w:shd w:val="clear" w:color="auto" w:fill="auto"/>
          </w:tcPr>
          <w:p w14:paraId="5B74E8D5" w14:textId="77777777" w:rsidR="00A10636" w:rsidRPr="00D9348B" w:rsidRDefault="00A10636" w:rsidP="00DB330E">
            <w:pPr>
              <w:pStyle w:val="TableText"/>
              <w:jc w:val="right"/>
              <w:rPr>
                <w:rFonts w:eastAsia="Arial" w:cs="Calibri"/>
                <w:szCs w:val="16"/>
              </w:rPr>
            </w:pPr>
            <w:r w:rsidRPr="00D9348B">
              <w:rPr>
                <w:rFonts w:eastAsia="Arial" w:cs="Calibri"/>
                <w:szCs w:val="16"/>
              </w:rPr>
              <w:t>–47.61</w:t>
            </w:r>
          </w:p>
        </w:tc>
        <w:tc>
          <w:tcPr>
            <w:tcW w:w="1584" w:type="dxa"/>
            <w:tcBorders>
              <w:top w:val="single" w:sz="4" w:space="0" w:color="365F91"/>
              <w:left w:val="nil"/>
              <w:bottom w:val="single" w:sz="4" w:space="0" w:color="365F91"/>
              <w:right w:val="nil"/>
            </w:tcBorders>
            <w:shd w:val="clear" w:color="auto" w:fill="auto"/>
          </w:tcPr>
          <w:p w14:paraId="2F1510D1" w14:textId="77777777" w:rsidR="00A10636" w:rsidRPr="00D9348B" w:rsidRDefault="00A10636" w:rsidP="00DB330E">
            <w:pPr>
              <w:pStyle w:val="TableText"/>
              <w:jc w:val="right"/>
              <w:rPr>
                <w:rFonts w:eastAsia="Arial" w:cs="Calibri"/>
                <w:szCs w:val="16"/>
              </w:rPr>
            </w:pPr>
            <w:r w:rsidRPr="00D9348B">
              <w:rPr>
                <w:rFonts w:eastAsia="Arial" w:cs="Calibri"/>
                <w:szCs w:val="16"/>
              </w:rPr>
              <w:t>21.05</w:t>
            </w:r>
          </w:p>
        </w:tc>
        <w:tc>
          <w:tcPr>
            <w:tcW w:w="1195" w:type="dxa"/>
            <w:tcBorders>
              <w:top w:val="single" w:sz="4" w:space="0" w:color="365F91"/>
              <w:left w:val="nil"/>
              <w:bottom w:val="single" w:sz="4" w:space="0" w:color="365F91"/>
              <w:right w:val="nil"/>
            </w:tcBorders>
            <w:shd w:val="clear" w:color="auto" w:fill="auto"/>
          </w:tcPr>
          <w:p w14:paraId="5632E8CF" w14:textId="77777777" w:rsidR="00A10636" w:rsidRPr="00D9348B" w:rsidRDefault="00A10636" w:rsidP="00DB330E">
            <w:pPr>
              <w:pStyle w:val="TableText"/>
              <w:jc w:val="right"/>
              <w:rPr>
                <w:rFonts w:eastAsia="Arial" w:cs="Calibri"/>
                <w:szCs w:val="16"/>
              </w:rPr>
            </w:pPr>
            <w:r w:rsidRPr="00D9348B">
              <w:rPr>
                <w:rFonts w:eastAsia="Arial" w:cs="Calibri"/>
                <w:szCs w:val="16"/>
              </w:rPr>
              <w:t>–2.26</w:t>
            </w:r>
          </w:p>
        </w:tc>
        <w:tc>
          <w:tcPr>
            <w:tcW w:w="1196" w:type="dxa"/>
            <w:tcBorders>
              <w:top w:val="single" w:sz="4" w:space="0" w:color="365F91"/>
              <w:left w:val="nil"/>
              <w:bottom w:val="single" w:sz="4" w:space="0" w:color="365F91"/>
            </w:tcBorders>
            <w:shd w:val="clear" w:color="auto" w:fill="auto"/>
          </w:tcPr>
          <w:p w14:paraId="7A1A2097" w14:textId="77777777" w:rsidR="00A10636" w:rsidRPr="00D9348B" w:rsidRDefault="00A10636" w:rsidP="00DB330E">
            <w:pPr>
              <w:pStyle w:val="TableText"/>
              <w:jc w:val="right"/>
              <w:rPr>
                <w:rFonts w:eastAsia="Arial" w:cs="Calibri"/>
                <w:szCs w:val="16"/>
              </w:rPr>
            </w:pPr>
            <w:r w:rsidRPr="00D9348B">
              <w:rPr>
                <w:rFonts w:eastAsia="Arial" w:cs="Calibri"/>
                <w:szCs w:val="16"/>
              </w:rPr>
              <w:t>0.0238</w:t>
            </w:r>
          </w:p>
        </w:tc>
      </w:tr>
    </w:tbl>
    <w:p w14:paraId="49FE0321" w14:textId="77777777" w:rsidR="00A10636" w:rsidRPr="00D9348B" w:rsidRDefault="00A10636" w:rsidP="00A10636">
      <w:pPr>
        <w:pStyle w:val="Source"/>
      </w:pPr>
      <w:r w:rsidRPr="00D9348B">
        <w:rPr>
          <w:b/>
          <w:bCs/>
        </w:rPr>
        <w:t>Source</w:t>
      </w:r>
      <w:r w:rsidRPr="00D9348B">
        <w:rPr>
          <w:b/>
        </w:rPr>
        <w:t xml:space="preserve">: </w:t>
      </w:r>
      <w:r w:rsidRPr="00D9348B">
        <w:t>McNeill and Barringer (unpublished)</w:t>
      </w:r>
    </w:p>
    <w:p w14:paraId="30CADD5C" w14:textId="7B0FEE7C" w:rsidR="00A10636" w:rsidRPr="00D9348B" w:rsidRDefault="00A10636" w:rsidP="00A10636">
      <w:pPr>
        <w:pStyle w:val="Noteundertable"/>
      </w:pPr>
      <w:r w:rsidRPr="00D9348B">
        <w:rPr>
          <w:b/>
        </w:rPr>
        <w:t>Note:</w:t>
      </w:r>
      <w:r w:rsidRPr="00D9348B">
        <w:tab/>
        <w:t xml:space="preserve">The model intercept (estimate for low producing grassland) is used for </w:t>
      </w:r>
      <w:r w:rsidRPr="00D9348B">
        <w:rPr>
          <w:i/>
        </w:rPr>
        <w:t>Settlements</w:t>
      </w:r>
      <w:r w:rsidRPr="00D9348B">
        <w:t xml:space="preserve"> and </w:t>
      </w:r>
      <w:r w:rsidRPr="00D9348B">
        <w:rPr>
          <w:i/>
        </w:rPr>
        <w:t>Wetlands – open water</w:t>
      </w:r>
      <w:r w:rsidRPr="00D9348B">
        <w:t xml:space="preserve"> </w:t>
      </w:r>
      <w:r w:rsidR="00766DDA">
        <w:t>land-use</w:t>
      </w:r>
      <w:r w:rsidRPr="00D9348B">
        <w:t xml:space="preserve"> categories due to lack of data.</w:t>
      </w:r>
    </w:p>
    <w:p w14:paraId="719ADA20" w14:textId="77777777" w:rsidR="00A10636" w:rsidRPr="00D9348B" w:rsidRDefault="00A10636" w:rsidP="00A10636">
      <w:pPr>
        <w:pStyle w:val="Table"/>
      </w:pPr>
      <w:bookmarkStart w:id="1469" w:name="_Toc443645370"/>
      <w:bookmarkStart w:id="1470" w:name="_Toc474914589"/>
      <w:bookmarkStart w:id="1471" w:name="_Toc481751553"/>
      <w:bookmarkStart w:id="1472" w:name="_Toc522010610"/>
      <w:bookmarkStart w:id="1473" w:name="_Toc5269515"/>
      <w:bookmarkStart w:id="1474" w:name="_Toc33529389"/>
      <w:bookmarkStart w:id="1475" w:name="_Toc36224595"/>
      <w:bookmarkStart w:id="1476" w:name="_Toc378853288"/>
      <w:bookmarkStart w:id="1477" w:name="_Toc391024086"/>
      <w:bookmarkStart w:id="1478" w:name="_Toc410028829"/>
      <w:bookmarkStart w:id="1479" w:name="_Toc414531457"/>
      <w:r w:rsidRPr="00D9348B">
        <w:lastRenderedPageBreak/>
        <w:t>Table 6.3.2</w:t>
      </w:r>
      <w:r w:rsidRPr="00D9348B">
        <w:tab/>
        <w:t>Steady state soil organic carbon stocks, with 95 per cent confidence intervals</w:t>
      </w:r>
      <w:proofErr w:type="gramStart"/>
      <w:r w:rsidRPr="00D9348B">
        <w:t>,</w:t>
      </w:r>
      <w:proofErr w:type="gramEnd"/>
      <w:r w:rsidRPr="00D9348B">
        <w:br/>
        <w:t>calculated from Soil CMS model</w:t>
      </w:r>
      <w:bookmarkEnd w:id="1469"/>
      <w:bookmarkEnd w:id="1470"/>
      <w:bookmarkEnd w:id="1471"/>
      <w:bookmarkEnd w:id="1472"/>
      <w:bookmarkEnd w:id="1473"/>
      <w:bookmarkEnd w:id="1474"/>
      <w:bookmarkEnd w:id="1475"/>
      <w:r w:rsidRPr="00D9348B">
        <w:t xml:space="preserve"> </w:t>
      </w:r>
      <w:bookmarkEnd w:id="1476"/>
      <w:bookmarkEnd w:id="1477"/>
      <w:bookmarkEnd w:id="1478"/>
      <w:bookmarkEnd w:id="1479"/>
    </w:p>
    <w:tbl>
      <w:tblPr>
        <w:tblW w:w="8505" w:type="dxa"/>
        <w:tblInd w:w="108" w:type="dxa"/>
        <w:tblLayout w:type="fixed"/>
        <w:tblLook w:val="04A0" w:firstRow="1" w:lastRow="0" w:firstColumn="1" w:lastColumn="0" w:noHBand="0" w:noVBand="1"/>
      </w:tblPr>
      <w:tblGrid>
        <w:gridCol w:w="2552"/>
        <w:gridCol w:w="1701"/>
        <w:gridCol w:w="2126"/>
        <w:gridCol w:w="2126"/>
      </w:tblGrid>
      <w:tr w:rsidR="00A10636" w:rsidRPr="00D9348B" w14:paraId="62B28F19" w14:textId="77777777" w:rsidTr="00FD6935">
        <w:tc>
          <w:tcPr>
            <w:tcW w:w="2552" w:type="dxa"/>
            <w:vMerge w:val="restart"/>
            <w:tcBorders>
              <w:top w:val="single" w:sz="4" w:space="0" w:color="365F91"/>
            </w:tcBorders>
            <w:shd w:val="clear" w:color="auto" w:fill="376092"/>
            <w:noWrap/>
            <w:vAlign w:val="bottom"/>
          </w:tcPr>
          <w:p w14:paraId="5CAEF74F" w14:textId="77777777" w:rsidR="00A10636" w:rsidRPr="00D9348B" w:rsidRDefault="00A10636" w:rsidP="00DB330E">
            <w:pPr>
              <w:pStyle w:val="TableTextBold"/>
              <w:keepNext/>
              <w:rPr>
                <w:rFonts w:cs="Calibri"/>
                <w:noProof w:val="0"/>
                <w:color w:val="FFFFFF"/>
                <w:szCs w:val="16"/>
              </w:rPr>
            </w:pPr>
            <w:r w:rsidRPr="00D9348B">
              <w:rPr>
                <w:rFonts w:cs="Calibri"/>
                <w:noProof w:val="0"/>
                <w:color w:val="FFFFFF"/>
                <w:szCs w:val="16"/>
              </w:rPr>
              <w:t>Land use</w:t>
            </w:r>
          </w:p>
        </w:tc>
        <w:tc>
          <w:tcPr>
            <w:tcW w:w="1701" w:type="dxa"/>
            <w:vMerge w:val="restart"/>
            <w:tcBorders>
              <w:top w:val="single" w:sz="4" w:space="0" w:color="365F91"/>
            </w:tcBorders>
            <w:shd w:val="clear" w:color="auto" w:fill="376092"/>
            <w:noWrap/>
            <w:vAlign w:val="bottom"/>
          </w:tcPr>
          <w:p w14:paraId="3F526AF0" w14:textId="77777777" w:rsidR="00A10636" w:rsidRPr="00D9348B" w:rsidRDefault="00A10636" w:rsidP="00DB330E">
            <w:pPr>
              <w:pStyle w:val="TableTextBold"/>
              <w:keepNext/>
              <w:jc w:val="center"/>
              <w:rPr>
                <w:rFonts w:cs="Calibri"/>
                <w:noProof w:val="0"/>
                <w:color w:val="FFFFFF"/>
                <w:szCs w:val="16"/>
              </w:rPr>
            </w:pPr>
            <w:r w:rsidRPr="00D9348B">
              <w:rPr>
                <w:rFonts w:cs="Calibri"/>
                <w:noProof w:val="0"/>
                <w:color w:val="FFFFFF"/>
                <w:szCs w:val="16"/>
              </w:rPr>
              <w:t>Steady state carbon SOC stock (t C ha</w:t>
            </w:r>
            <w:r w:rsidRPr="00D9348B">
              <w:rPr>
                <w:rFonts w:cs="Calibri"/>
                <w:noProof w:val="0"/>
                <w:color w:val="FFFFFF"/>
                <w:szCs w:val="16"/>
                <w:vertAlign w:val="superscript"/>
              </w:rPr>
              <w:t>-1</w:t>
            </w:r>
            <w:r w:rsidRPr="00D9348B">
              <w:rPr>
                <w:rFonts w:cs="Calibri"/>
                <w:noProof w:val="0"/>
                <w:color w:val="FFFFFF"/>
                <w:szCs w:val="16"/>
              </w:rPr>
              <w:t>)</w:t>
            </w:r>
          </w:p>
        </w:tc>
        <w:tc>
          <w:tcPr>
            <w:tcW w:w="4252" w:type="dxa"/>
            <w:gridSpan w:val="2"/>
            <w:tcBorders>
              <w:top w:val="single" w:sz="4" w:space="0" w:color="365F91"/>
            </w:tcBorders>
            <w:shd w:val="clear" w:color="auto" w:fill="376092"/>
            <w:noWrap/>
            <w:vAlign w:val="bottom"/>
          </w:tcPr>
          <w:p w14:paraId="57DD5FD7" w14:textId="77777777" w:rsidR="00A10636" w:rsidRPr="00D9348B" w:rsidRDefault="00A10636" w:rsidP="00DB330E">
            <w:pPr>
              <w:pStyle w:val="TableTextBold"/>
              <w:keepNext/>
              <w:spacing w:after="0"/>
              <w:jc w:val="center"/>
              <w:rPr>
                <w:rFonts w:cs="Calibri"/>
                <w:noProof w:val="0"/>
                <w:color w:val="FFFFFF"/>
                <w:szCs w:val="16"/>
              </w:rPr>
            </w:pPr>
            <w:r w:rsidRPr="00D9348B">
              <w:rPr>
                <w:rFonts w:cs="Calibri"/>
                <w:noProof w:val="0"/>
                <w:color w:val="FFFFFF"/>
                <w:szCs w:val="16"/>
              </w:rPr>
              <w:t>95% confidence intervals (CI)</w:t>
            </w:r>
          </w:p>
        </w:tc>
      </w:tr>
      <w:tr w:rsidR="00A10636" w:rsidRPr="00D9348B" w14:paraId="6FAE781A" w14:textId="77777777" w:rsidTr="00FD6935">
        <w:tc>
          <w:tcPr>
            <w:tcW w:w="2552" w:type="dxa"/>
            <w:vMerge/>
            <w:tcBorders>
              <w:bottom w:val="single" w:sz="4" w:space="0" w:color="365F91"/>
            </w:tcBorders>
            <w:shd w:val="clear" w:color="auto" w:fill="376092"/>
            <w:noWrap/>
            <w:vAlign w:val="bottom"/>
            <w:hideMark/>
          </w:tcPr>
          <w:p w14:paraId="7728A3AC" w14:textId="77777777" w:rsidR="00A10636" w:rsidRPr="00D9348B" w:rsidRDefault="00A10636" w:rsidP="00DB330E">
            <w:pPr>
              <w:pStyle w:val="TableTextBold"/>
              <w:keepNext/>
              <w:rPr>
                <w:rFonts w:cs="Calibri"/>
                <w:noProof w:val="0"/>
                <w:color w:val="FFFFFF"/>
                <w:szCs w:val="16"/>
              </w:rPr>
            </w:pPr>
          </w:p>
        </w:tc>
        <w:tc>
          <w:tcPr>
            <w:tcW w:w="1701" w:type="dxa"/>
            <w:vMerge/>
            <w:tcBorders>
              <w:bottom w:val="single" w:sz="4" w:space="0" w:color="365F91"/>
            </w:tcBorders>
            <w:shd w:val="clear" w:color="auto" w:fill="376092"/>
            <w:noWrap/>
            <w:vAlign w:val="bottom"/>
            <w:hideMark/>
          </w:tcPr>
          <w:p w14:paraId="6D1BE568" w14:textId="77777777" w:rsidR="00A10636" w:rsidRPr="00D9348B" w:rsidRDefault="00A10636" w:rsidP="00DB330E">
            <w:pPr>
              <w:pStyle w:val="TableTextBold"/>
              <w:keepNext/>
              <w:jc w:val="center"/>
              <w:rPr>
                <w:rFonts w:cs="Calibri"/>
                <w:noProof w:val="0"/>
                <w:color w:val="FFFFFF"/>
                <w:szCs w:val="16"/>
              </w:rPr>
            </w:pPr>
          </w:p>
        </w:tc>
        <w:tc>
          <w:tcPr>
            <w:tcW w:w="2126" w:type="dxa"/>
            <w:tcBorders>
              <w:bottom w:val="single" w:sz="4" w:space="0" w:color="365F91"/>
            </w:tcBorders>
            <w:shd w:val="clear" w:color="auto" w:fill="376092"/>
            <w:noWrap/>
            <w:vAlign w:val="bottom"/>
            <w:hideMark/>
          </w:tcPr>
          <w:p w14:paraId="623CC496" w14:textId="77777777" w:rsidR="00A10636" w:rsidRPr="00D9348B" w:rsidRDefault="00A10636" w:rsidP="00DB330E">
            <w:pPr>
              <w:pStyle w:val="TableTextBold"/>
              <w:keepNext/>
              <w:jc w:val="center"/>
              <w:rPr>
                <w:rFonts w:cs="Calibri"/>
                <w:noProof w:val="0"/>
                <w:color w:val="FFFFFF"/>
                <w:szCs w:val="16"/>
              </w:rPr>
            </w:pPr>
            <w:r w:rsidRPr="00D9348B">
              <w:rPr>
                <w:rFonts w:cs="Calibri"/>
                <w:noProof w:val="0"/>
                <w:color w:val="FFFFFF"/>
                <w:szCs w:val="16"/>
              </w:rPr>
              <w:t>2.5% CI SOC stock (t C ha</w:t>
            </w:r>
            <w:r w:rsidRPr="00D9348B">
              <w:rPr>
                <w:rFonts w:cs="Calibri"/>
                <w:noProof w:val="0"/>
                <w:color w:val="FFFFFF"/>
                <w:szCs w:val="16"/>
                <w:vertAlign w:val="superscript"/>
              </w:rPr>
              <w:t>-1</w:t>
            </w:r>
            <w:r w:rsidRPr="00D9348B">
              <w:rPr>
                <w:rFonts w:cs="Calibri"/>
                <w:noProof w:val="0"/>
                <w:color w:val="FFFFFF"/>
                <w:szCs w:val="16"/>
              </w:rPr>
              <w:t>)</w:t>
            </w:r>
          </w:p>
        </w:tc>
        <w:tc>
          <w:tcPr>
            <w:tcW w:w="2126" w:type="dxa"/>
            <w:tcBorders>
              <w:bottom w:val="single" w:sz="4" w:space="0" w:color="365F91"/>
            </w:tcBorders>
            <w:shd w:val="clear" w:color="auto" w:fill="376092"/>
            <w:noWrap/>
            <w:vAlign w:val="bottom"/>
            <w:hideMark/>
          </w:tcPr>
          <w:p w14:paraId="504E876E" w14:textId="77777777" w:rsidR="00A10636" w:rsidRPr="00D9348B" w:rsidRDefault="00A10636" w:rsidP="00DB330E">
            <w:pPr>
              <w:pStyle w:val="TableTextBold"/>
              <w:keepNext/>
              <w:jc w:val="center"/>
              <w:rPr>
                <w:rFonts w:cs="Calibri"/>
                <w:noProof w:val="0"/>
                <w:color w:val="FFFFFF"/>
                <w:szCs w:val="16"/>
              </w:rPr>
            </w:pPr>
            <w:r w:rsidRPr="00D9348B">
              <w:rPr>
                <w:rFonts w:cs="Calibri"/>
                <w:noProof w:val="0"/>
                <w:color w:val="FFFFFF"/>
                <w:szCs w:val="16"/>
              </w:rPr>
              <w:t>97.5% CI SOC stock (t C ha</w:t>
            </w:r>
            <w:r w:rsidRPr="00D9348B">
              <w:rPr>
                <w:rFonts w:cs="Calibri"/>
                <w:noProof w:val="0"/>
                <w:color w:val="FFFFFF"/>
                <w:szCs w:val="16"/>
                <w:vertAlign w:val="superscript"/>
              </w:rPr>
              <w:t>-1</w:t>
            </w:r>
            <w:r w:rsidRPr="00D9348B">
              <w:rPr>
                <w:rFonts w:cs="Calibri"/>
                <w:noProof w:val="0"/>
                <w:color w:val="FFFFFF"/>
                <w:szCs w:val="16"/>
              </w:rPr>
              <w:t>)</w:t>
            </w:r>
          </w:p>
        </w:tc>
      </w:tr>
      <w:tr w:rsidR="00A10636" w:rsidRPr="00D9348B" w14:paraId="20BFB6E6" w14:textId="77777777" w:rsidTr="00FD6935">
        <w:tc>
          <w:tcPr>
            <w:tcW w:w="2552" w:type="dxa"/>
            <w:tcBorders>
              <w:top w:val="single" w:sz="4" w:space="0" w:color="365F91"/>
              <w:bottom w:val="single" w:sz="4" w:space="0" w:color="365F91"/>
            </w:tcBorders>
            <w:noWrap/>
            <w:hideMark/>
          </w:tcPr>
          <w:p w14:paraId="134261ED" w14:textId="77777777" w:rsidR="00A10636" w:rsidRPr="00D9348B" w:rsidRDefault="00A10636" w:rsidP="00DB330E">
            <w:pPr>
              <w:pStyle w:val="TableText"/>
              <w:rPr>
                <w:rFonts w:cs="Calibri"/>
                <w:szCs w:val="16"/>
              </w:rPr>
            </w:pPr>
            <w:r w:rsidRPr="00D9348B">
              <w:rPr>
                <w:rFonts w:cs="Calibri"/>
                <w:szCs w:val="16"/>
              </w:rPr>
              <w:t>Pre-1990 natural forest</w:t>
            </w:r>
          </w:p>
        </w:tc>
        <w:tc>
          <w:tcPr>
            <w:tcW w:w="1701" w:type="dxa"/>
            <w:tcBorders>
              <w:top w:val="single" w:sz="4" w:space="0" w:color="365F91"/>
              <w:bottom w:val="single" w:sz="4" w:space="0" w:color="365F91"/>
            </w:tcBorders>
            <w:noWrap/>
            <w:hideMark/>
          </w:tcPr>
          <w:p w14:paraId="74B38AE6" w14:textId="77777777" w:rsidR="00A10636" w:rsidRPr="00D9348B" w:rsidRDefault="00A10636" w:rsidP="00DB330E">
            <w:pPr>
              <w:pStyle w:val="TableText"/>
              <w:tabs>
                <w:tab w:val="decimal" w:pos="577"/>
              </w:tabs>
              <w:jc w:val="center"/>
              <w:rPr>
                <w:rFonts w:cs="Calibri"/>
                <w:szCs w:val="16"/>
              </w:rPr>
            </w:pPr>
            <w:r w:rsidRPr="00D9348B">
              <w:rPr>
                <w:rFonts w:cs="Calibri"/>
                <w:szCs w:val="16"/>
              </w:rPr>
              <w:t>92.25</w:t>
            </w:r>
          </w:p>
        </w:tc>
        <w:tc>
          <w:tcPr>
            <w:tcW w:w="2126" w:type="dxa"/>
            <w:tcBorders>
              <w:top w:val="single" w:sz="4" w:space="0" w:color="365F91"/>
              <w:bottom w:val="single" w:sz="4" w:space="0" w:color="365F91"/>
            </w:tcBorders>
            <w:noWrap/>
            <w:hideMark/>
          </w:tcPr>
          <w:p w14:paraId="26E49689" w14:textId="77777777" w:rsidR="00A10636" w:rsidRPr="00D9348B" w:rsidRDefault="00A10636" w:rsidP="00DB330E">
            <w:pPr>
              <w:pStyle w:val="TableText"/>
              <w:tabs>
                <w:tab w:val="decimal" w:pos="577"/>
              </w:tabs>
              <w:jc w:val="center"/>
              <w:rPr>
                <w:rFonts w:cs="Calibri"/>
                <w:szCs w:val="16"/>
              </w:rPr>
            </w:pPr>
            <w:r w:rsidRPr="00D9348B">
              <w:rPr>
                <w:rFonts w:cs="Calibri"/>
                <w:szCs w:val="16"/>
              </w:rPr>
              <w:t>84.99</w:t>
            </w:r>
          </w:p>
        </w:tc>
        <w:tc>
          <w:tcPr>
            <w:tcW w:w="2126" w:type="dxa"/>
            <w:tcBorders>
              <w:top w:val="single" w:sz="4" w:space="0" w:color="365F91"/>
              <w:bottom w:val="single" w:sz="4" w:space="0" w:color="365F91"/>
            </w:tcBorders>
            <w:noWrap/>
            <w:hideMark/>
          </w:tcPr>
          <w:p w14:paraId="2A6FDEB6" w14:textId="77777777" w:rsidR="00A10636" w:rsidRPr="00D9348B" w:rsidRDefault="00A10636" w:rsidP="00DB330E">
            <w:pPr>
              <w:pStyle w:val="TableText"/>
              <w:tabs>
                <w:tab w:val="decimal" w:pos="577"/>
              </w:tabs>
              <w:jc w:val="center"/>
              <w:rPr>
                <w:rFonts w:cs="Calibri"/>
                <w:szCs w:val="16"/>
              </w:rPr>
            </w:pPr>
            <w:r w:rsidRPr="00D9348B">
              <w:rPr>
                <w:rFonts w:cs="Calibri"/>
                <w:szCs w:val="16"/>
              </w:rPr>
              <w:t>99.51</w:t>
            </w:r>
          </w:p>
        </w:tc>
      </w:tr>
      <w:tr w:rsidR="00A10636" w:rsidRPr="00D9348B" w14:paraId="6D819CA0" w14:textId="77777777" w:rsidTr="00FD6935">
        <w:tc>
          <w:tcPr>
            <w:tcW w:w="2552" w:type="dxa"/>
            <w:tcBorders>
              <w:top w:val="single" w:sz="4" w:space="0" w:color="365F91"/>
              <w:bottom w:val="single" w:sz="4" w:space="0" w:color="365F91"/>
            </w:tcBorders>
            <w:noWrap/>
            <w:hideMark/>
          </w:tcPr>
          <w:p w14:paraId="75D853AB" w14:textId="77777777" w:rsidR="00A10636" w:rsidRPr="00D9348B" w:rsidRDefault="00A10636" w:rsidP="00DB330E">
            <w:pPr>
              <w:pStyle w:val="TableText"/>
              <w:rPr>
                <w:rFonts w:cs="Calibri"/>
                <w:szCs w:val="16"/>
              </w:rPr>
            </w:pPr>
            <w:r w:rsidRPr="00D9348B">
              <w:rPr>
                <w:rFonts w:cs="Calibri"/>
                <w:szCs w:val="16"/>
              </w:rPr>
              <w:t>Pre-1990 planted forest</w:t>
            </w:r>
          </w:p>
        </w:tc>
        <w:tc>
          <w:tcPr>
            <w:tcW w:w="1701" w:type="dxa"/>
            <w:tcBorders>
              <w:top w:val="single" w:sz="4" w:space="0" w:color="365F91"/>
              <w:bottom w:val="single" w:sz="4" w:space="0" w:color="365F91"/>
            </w:tcBorders>
            <w:noWrap/>
            <w:hideMark/>
          </w:tcPr>
          <w:p w14:paraId="070EB738" w14:textId="77777777" w:rsidR="00A10636" w:rsidRPr="00D9348B" w:rsidRDefault="00A10636" w:rsidP="00DB330E">
            <w:pPr>
              <w:pStyle w:val="TableText"/>
              <w:tabs>
                <w:tab w:val="decimal" w:pos="577"/>
              </w:tabs>
              <w:jc w:val="center"/>
              <w:rPr>
                <w:rFonts w:cs="Calibri"/>
                <w:szCs w:val="16"/>
              </w:rPr>
            </w:pPr>
            <w:r w:rsidRPr="00D9348B">
              <w:rPr>
                <w:rFonts w:cs="Calibri"/>
                <w:szCs w:val="16"/>
              </w:rPr>
              <w:t>92.44</w:t>
            </w:r>
          </w:p>
        </w:tc>
        <w:tc>
          <w:tcPr>
            <w:tcW w:w="2126" w:type="dxa"/>
            <w:tcBorders>
              <w:top w:val="single" w:sz="4" w:space="0" w:color="365F91"/>
              <w:bottom w:val="single" w:sz="4" w:space="0" w:color="365F91"/>
            </w:tcBorders>
            <w:noWrap/>
            <w:hideMark/>
          </w:tcPr>
          <w:p w14:paraId="5A9788A1" w14:textId="77777777" w:rsidR="00A10636" w:rsidRPr="00D9348B" w:rsidRDefault="00A10636" w:rsidP="00DB330E">
            <w:pPr>
              <w:pStyle w:val="TableText"/>
              <w:tabs>
                <w:tab w:val="decimal" w:pos="577"/>
              </w:tabs>
              <w:jc w:val="center"/>
              <w:rPr>
                <w:rFonts w:cs="Calibri"/>
                <w:szCs w:val="16"/>
              </w:rPr>
            </w:pPr>
            <w:r w:rsidRPr="00D9348B">
              <w:rPr>
                <w:rFonts w:cs="Calibri"/>
                <w:szCs w:val="16"/>
              </w:rPr>
              <w:t>81.12</w:t>
            </w:r>
          </w:p>
        </w:tc>
        <w:tc>
          <w:tcPr>
            <w:tcW w:w="2126" w:type="dxa"/>
            <w:tcBorders>
              <w:top w:val="single" w:sz="4" w:space="0" w:color="365F91"/>
              <w:bottom w:val="single" w:sz="4" w:space="0" w:color="365F91"/>
            </w:tcBorders>
            <w:noWrap/>
            <w:hideMark/>
          </w:tcPr>
          <w:p w14:paraId="0261658E" w14:textId="77777777" w:rsidR="00A10636" w:rsidRPr="00D9348B" w:rsidRDefault="00A10636" w:rsidP="00DB330E">
            <w:pPr>
              <w:pStyle w:val="TableText"/>
              <w:tabs>
                <w:tab w:val="decimal" w:pos="577"/>
              </w:tabs>
              <w:jc w:val="center"/>
              <w:rPr>
                <w:rFonts w:cs="Calibri"/>
                <w:szCs w:val="16"/>
              </w:rPr>
            </w:pPr>
            <w:r w:rsidRPr="00D9348B">
              <w:rPr>
                <w:rFonts w:cs="Calibri"/>
                <w:szCs w:val="16"/>
              </w:rPr>
              <w:t>103.77</w:t>
            </w:r>
          </w:p>
        </w:tc>
      </w:tr>
      <w:tr w:rsidR="00A10636" w:rsidRPr="00D9348B" w14:paraId="31306749" w14:textId="77777777" w:rsidTr="00FD6935">
        <w:tc>
          <w:tcPr>
            <w:tcW w:w="2552" w:type="dxa"/>
            <w:tcBorders>
              <w:top w:val="single" w:sz="4" w:space="0" w:color="365F91"/>
              <w:bottom w:val="single" w:sz="4" w:space="0" w:color="365F91"/>
            </w:tcBorders>
            <w:noWrap/>
            <w:hideMark/>
          </w:tcPr>
          <w:p w14:paraId="20628E21" w14:textId="77777777" w:rsidR="00A10636" w:rsidRPr="00D9348B" w:rsidRDefault="00A10636" w:rsidP="00DB330E">
            <w:pPr>
              <w:pStyle w:val="TableText"/>
              <w:rPr>
                <w:rFonts w:cs="Calibri"/>
                <w:szCs w:val="16"/>
              </w:rPr>
            </w:pPr>
            <w:r w:rsidRPr="00D9348B">
              <w:rPr>
                <w:rFonts w:cs="Calibri"/>
                <w:szCs w:val="16"/>
              </w:rPr>
              <w:t>Post-1989 forest</w:t>
            </w:r>
          </w:p>
        </w:tc>
        <w:tc>
          <w:tcPr>
            <w:tcW w:w="1701" w:type="dxa"/>
            <w:tcBorders>
              <w:top w:val="single" w:sz="4" w:space="0" w:color="365F91"/>
              <w:bottom w:val="single" w:sz="4" w:space="0" w:color="365F91"/>
            </w:tcBorders>
            <w:noWrap/>
            <w:hideMark/>
          </w:tcPr>
          <w:p w14:paraId="7FF35709" w14:textId="77777777" w:rsidR="00A10636" w:rsidRPr="00D9348B" w:rsidRDefault="00A10636" w:rsidP="00DB330E">
            <w:pPr>
              <w:pStyle w:val="TableText"/>
              <w:tabs>
                <w:tab w:val="decimal" w:pos="577"/>
              </w:tabs>
              <w:jc w:val="center"/>
              <w:rPr>
                <w:rFonts w:cs="Calibri"/>
                <w:szCs w:val="16"/>
              </w:rPr>
            </w:pPr>
            <w:r w:rsidRPr="00D9348B">
              <w:rPr>
                <w:rFonts w:cs="Calibri"/>
                <w:szCs w:val="16"/>
              </w:rPr>
              <w:t>91.92</w:t>
            </w:r>
          </w:p>
        </w:tc>
        <w:tc>
          <w:tcPr>
            <w:tcW w:w="2126" w:type="dxa"/>
            <w:tcBorders>
              <w:top w:val="single" w:sz="4" w:space="0" w:color="365F91"/>
              <w:bottom w:val="single" w:sz="4" w:space="0" w:color="365F91"/>
            </w:tcBorders>
            <w:noWrap/>
            <w:hideMark/>
          </w:tcPr>
          <w:p w14:paraId="355EE650" w14:textId="77777777" w:rsidR="00A10636" w:rsidRPr="00D9348B" w:rsidRDefault="00A10636" w:rsidP="00DB330E">
            <w:pPr>
              <w:pStyle w:val="TableText"/>
              <w:tabs>
                <w:tab w:val="decimal" w:pos="577"/>
              </w:tabs>
              <w:jc w:val="center"/>
              <w:rPr>
                <w:rFonts w:cs="Calibri"/>
                <w:szCs w:val="16"/>
              </w:rPr>
            </w:pPr>
            <w:r w:rsidRPr="00D9348B">
              <w:rPr>
                <w:rFonts w:cs="Calibri"/>
                <w:szCs w:val="16"/>
              </w:rPr>
              <w:t>82.40</w:t>
            </w:r>
          </w:p>
        </w:tc>
        <w:tc>
          <w:tcPr>
            <w:tcW w:w="2126" w:type="dxa"/>
            <w:tcBorders>
              <w:top w:val="single" w:sz="4" w:space="0" w:color="365F91"/>
              <w:bottom w:val="single" w:sz="4" w:space="0" w:color="365F91"/>
            </w:tcBorders>
            <w:noWrap/>
            <w:hideMark/>
          </w:tcPr>
          <w:p w14:paraId="14B65039" w14:textId="77777777" w:rsidR="00A10636" w:rsidRPr="00D9348B" w:rsidRDefault="00A10636" w:rsidP="00DB330E">
            <w:pPr>
              <w:pStyle w:val="TableText"/>
              <w:tabs>
                <w:tab w:val="decimal" w:pos="577"/>
              </w:tabs>
              <w:jc w:val="center"/>
              <w:rPr>
                <w:rFonts w:cs="Calibri"/>
                <w:szCs w:val="16"/>
              </w:rPr>
            </w:pPr>
            <w:r w:rsidRPr="00D9348B">
              <w:rPr>
                <w:rFonts w:cs="Calibri"/>
                <w:szCs w:val="16"/>
              </w:rPr>
              <w:t>101.44</w:t>
            </w:r>
          </w:p>
        </w:tc>
      </w:tr>
      <w:tr w:rsidR="00A10636" w:rsidRPr="00D9348B" w14:paraId="31426853" w14:textId="77777777" w:rsidTr="00FD6935">
        <w:tc>
          <w:tcPr>
            <w:tcW w:w="2552" w:type="dxa"/>
            <w:tcBorders>
              <w:top w:val="single" w:sz="4" w:space="0" w:color="365F91"/>
              <w:bottom w:val="single" w:sz="4" w:space="0" w:color="365F91"/>
            </w:tcBorders>
            <w:noWrap/>
            <w:hideMark/>
          </w:tcPr>
          <w:p w14:paraId="28F7276C" w14:textId="77777777" w:rsidR="00A10636" w:rsidRPr="00D9348B" w:rsidRDefault="00A10636" w:rsidP="00DB330E">
            <w:pPr>
              <w:pStyle w:val="TableText"/>
              <w:rPr>
                <w:rFonts w:cs="Calibri"/>
                <w:szCs w:val="16"/>
              </w:rPr>
            </w:pPr>
            <w:r w:rsidRPr="00D9348B">
              <w:rPr>
                <w:rFonts w:cs="Calibri"/>
                <w:szCs w:val="16"/>
              </w:rPr>
              <w:t>Grassland with woody biomass</w:t>
            </w:r>
          </w:p>
        </w:tc>
        <w:tc>
          <w:tcPr>
            <w:tcW w:w="1701" w:type="dxa"/>
            <w:tcBorders>
              <w:top w:val="single" w:sz="4" w:space="0" w:color="365F91"/>
              <w:bottom w:val="single" w:sz="4" w:space="0" w:color="365F91"/>
            </w:tcBorders>
            <w:noWrap/>
            <w:hideMark/>
          </w:tcPr>
          <w:p w14:paraId="2CB03426" w14:textId="77777777" w:rsidR="00A10636" w:rsidRPr="00D9348B" w:rsidRDefault="00A10636" w:rsidP="00DB330E">
            <w:pPr>
              <w:pStyle w:val="TableText"/>
              <w:tabs>
                <w:tab w:val="decimal" w:pos="577"/>
              </w:tabs>
              <w:jc w:val="center"/>
              <w:rPr>
                <w:rFonts w:cs="Calibri"/>
                <w:szCs w:val="16"/>
              </w:rPr>
            </w:pPr>
            <w:r w:rsidRPr="00D9348B">
              <w:rPr>
                <w:rFonts w:cs="Calibri"/>
                <w:szCs w:val="16"/>
              </w:rPr>
              <w:t>98.23</w:t>
            </w:r>
          </w:p>
        </w:tc>
        <w:tc>
          <w:tcPr>
            <w:tcW w:w="2126" w:type="dxa"/>
            <w:tcBorders>
              <w:top w:val="single" w:sz="4" w:space="0" w:color="365F91"/>
              <w:bottom w:val="single" w:sz="4" w:space="0" w:color="365F91"/>
            </w:tcBorders>
            <w:noWrap/>
            <w:hideMark/>
          </w:tcPr>
          <w:p w14:paraId="7ECD6E71" w14:textId="77777777" w:rsidR="00A10636" w:rsidRPr="00D9348B" w:rsidRDefault="00A10636" w:rsidP="00DB330E">
            <w:pPr>
              <w:pStyle w:val="TableText"/>
              <w:tabs>
                <w:tab w:val="decimal" w:pos="577"/>
              </w:tabs>
              <w:jc w:val="center"/>
              <w:rPr>
                <w:rFonts w:cs="Calibri"/>
                <w:szCs w:val="16"/>
              </w:rPr>
            </w:pPr>
            <w:r w:rsidRPr="00D9348B">
              <w:rPr>
                <w:rFonts w:cs="Calibri"/>
                <w:szCs w:val="16"/>
              </w:rPr>
              <w:t>91.02</w:t>
            </w:r>
          </w:p>
        </w:tc>
        <w:tc>
          <w:tcPr>
            <w:tcW w:w="2126" w:type="dxa"/>
            <w:tcBorders>
              <w:top w:val="single" w:sz="4" w:space="0" w:color="365F91"/>
              <w:bottom w:val="single" w:sz="4" w:space="0" w:color="365F91"/>
            </w:tcBorders>
            <w:noWrap/>
            <w:hideMark/>
          </w:tcPr>
          <w:p w14:paraId="2A12E0AF" w14:textId="77777777" w:rsidR="00A10636" w:rsidRPr="00D9348B" w:rsidRDefault="00A10636" w:rsidP="00DB330E">
            <w:pPr>
              <w:pStyle w:val="TableText"/>
              <w:tabs>
                <w:tab w:val="decimal" w:pos="577"/>
              </w:tabs>
              <w:jc w:val="center"/>
              <w:rPr>
                <w:rFonts w:cs="Calibri"/>
                <w:szCs w:val="16"/>
              </w:rPr>
            </w:pPr>
            <w:r w:rsidRPr="00D9348B">
              <w:rPr>
                <w:rFonts w:cs="Calibri"/>
                <w:szCs w:val="16"/>
              </w:rPr>
              <w:t>105.43</w:t>
            </w:r>
          </w:p>
        </w:tc>
      </w:tr>
      <w:tr w:rsidR="00A10636" w:rsidRPr="00D9348B" w14:paraId="458FF7FC" w14:textId="77777777" w:rsidTr="00FD6935">
        <w:tc>
          <w:tcPr>
            <w:tcW w:w="2552" w:type="dxa"/>
            <w:tcBorders>
              <w:top w:val="single" w:sz="4" w:space="0" w:color="365F91"/>
              <w:bottom w:val="single" w:sz="4" w:space="0" w:color="365F91"/>
            </w:tcBorders>
            <w:noWrap/>
            <w:hideMark/>
          </w:tcPr>
          <w:p w14:paraId="5BA90E52" w14:textId="77777777" w:rsidR="00A10636" w:rsidRPr="00D9348B" w:rsidRDefault="00A10636" w:rsidP="00DB330E">
            <w:pPr>
              <w:pStyle w:val="TableText"/>
              <w:rPr>
                <w:rFonts w:cs="Calibri"/>
                <w:szCs w:val="16"/>
              </w:rPr>
            </w:pPr>
            <w:r w:rsidRPr="00D9348B">
              <w:rPr>
                <w:rFonts w:cs="Calibri"/>
                <w:szCs w:val="16"/>
              </w:rPr>
              <w:t>High producing grassland</w:t>
            </w:r>
          </w:p>
        </w:tc>
        <w:tc>
          <w:tcPr>
            <w:tcW w:w="1701" w:type="dxa"/>
            <w:tcBorders>
              <w:top w:val="single" w:sz="4" w:space="0" w:color="365F91"/>
              <w:bottom w:val="single" w:sz="4" w:space="0" w:color="365F91"/>
            </w:tcBorders>
            <w:noWrap/>
            <w:hideMark/>
          </w:tcPr>
          <w:p w14:paraId="7F973547" w14:textId="77777777" w:rsidR="00A10636" w:rsidRPr="00D9348B" w:rsidRDefault="00A10636" w:rsidP="00DB330E">
            <w:pPr>
              <w:pStyle w:val="TableText"/>
              <w:tabs>
                <w:tab w:val="decimal" w:pos="577"/>
              </w:tabs>
              <w:jc w:val="center"/>
              <w:rPr>
                <w:rFonts w:cs="Calibri"/>
                <w:szCs w:val="16"/>
              </w:rPr>
            </w:pPr>
            <w:r w:rsidRPr="00D9348B">
              <w:rPr>
                <w:rFonts w:cs="Calibri"/>
                <w:szCs w:val="16"/>
              </w:rPr>
              <w:t>105.34</w:t>
            </w:r>
          </w:p>
        </w:tc>
        <w:tc>
          <w:tcPr>
            <w:tcW w:w="2126" w:type="dxa"/>
            <w:tcBorders>
              <w:top w:val="single" w:sz="4" w:space="0" w:color="365F91"/>
              <w:bottom w:val="single" w:sz="4" w:space="0" w:color="365F91"/>
            </w:tcBorders>
            <w:noWrap/>
            <w:hideMark/>
          </w:tcPr>
          <w:p w14:paraId="66E3EEA9" w14:textId="77777777" w:rsidR="00A10636" w:rsidRPr="00D9348B" w:rsidRDefault="00A10636" w:rsidP="00DB330E">
            <w:pPr>
              <w:pStyle w:val="TableText"/>
              <w:tabs>
                <w:tab w:val="decimal" w:pos="577"/>
              </w:tabs>
              <w:jc w:val="center"/>
              <w:rPr>
                <w:rFonts w:cs="Calibri"/>
                <w:szCs w:val="16"/>
              </w:rPr>
            </w:pPr>
            <w:r w:rsidRPr="00D9348B">
              <w:rPr>
                <w:rFonts w:cs="Calibri"/>
                <w:szCs w:val="16"/>
              </w:rPr>
              <w:t>99.21</w:t>
            </w:r>
          </w:p>
        </w:tc>
        <w:tc>
          <w:tcPr>
            <w:tcW w:w="2126" w:type="dxa"/>
            <w:tcBorders>
              <w:top w:val="single" w:sz="4" w:space="0" w:color="365F91"/>
              <w:bottom w:val="single" w:sz="4" w:space="0" w:color="365F91"/>
            </w:tcBorders>
            <w:noWrap/>
            <w:hideMark/>
          </w:tcPr>
          <w:p w14:paraId="5147ABA0" w14:textId="77777777" w:rsidR="00A10636" w:rsidRPr="00D9348B" w:rsidRDefault="00A10636" w:rsidP="00DB330E">
            <w:pPr>
              <w:pStyle w:val="TableText"/>
              <w:tabs>
                <w:tab w:val="decimal" w:pos="577"/>
              </w:tabs>
              <w:jc w:val="center"/>
              <w:rPr>
                <w:rFonts w:cs="Calibri"/>
                <w:szCs w:val="16"/>
              </w:rPr>
            </w:pPr>
            <w:r w:rsidRPr="00D9348B">
              <w:rPr>
                <w:rFonts w:cs="Calibri"/>
                <w:szCs w:val="16"/>
              </w:rPr>
              <w:t>111.47</w:t>
            </w:r>
          </w:p>
        </w:tc>
      </w:tr>
      <w:tr w:rsidR="00A10636" w:rsidRPr="00D9348B" w14:paraId="47B2CA67" w14:textId="77777777" w:rsidTr="00FD6935">
        <w:tc>
          <w:tcPr>
            <w:tcW w:w="2552" w:type="dxa"/>
            <w:tcBorders>
              <w:top w:val="single" w:sz="4" w:space="0" w:color="365F91"/>
              <w:bottom w:val="single" w:sz="4" w:space="0" w:color="365F91"/>
            </w:tcBorders>
            <w:noWrap/>
            <w:hideMark/>
          </w:tcPr>
          <w:p w14:paraId="3F2956BD" w14:textId="77777777" w:rsidR="00A10636" w:rsidRPr="00D9348B" w:rsidRDefault="00A10636" w:rsidP="00DB330E">
            <w:pPr>
              <w:pStyle w:val="TableText"/>
              <w:rPr>
                <w:rFonts w:cs="Calibri"/>
                <w:szCs w:val="16"/>
              </w:rPr>
            </w:pPr>
            <w:r w:rsidRPr="00D9348B">
              <w:rPr>
                <w:rFonts w:cs="Calibri"/>
                <w:szCs w:val="16"/>
              </w:rPr>
              <w:t>Low producing grassland</w:t>
            </w:r>
          </w:p>
        </w:tc>
        <w:tc>
          <w:tcPr>
            <w:tcW w:w="1701" w:type="dxa"/>
            <w:tcBorders>
              <w:top w:val="single" w:sz="4" w:space="0" w:color="365F91"/>
              <w:bottom w:val="single" w:sz="4" w:space="0" w:color="365F91"/>
            </w:tcBorders>
            <w:noWrap/>
            <w:hideMark/>
          </w:tcPr>
          <w:p w14:paraId="2FF1627C" w14:textId="77777777" w:rsidR="00A10636" w:rsidRPr="00D9348B" w:rsidRDefault="00A10636" w:rsidP="00DB330E">
            <w:pPr>
              <w:pStyle w:val="TableText"/>
              <w:tabs>
                <w:tab w:val="decimal" w:pos="577"/>
              </w:tabs>
              <w:jc w:val="center"/>
              <w:rPr>
                <w:rFonts w:cs="Calibri"/>
                <w:szCs w:val="16"/>
              </w:rPr>
            </w:pPr>
            <w:r w:rsidRPr="00D9348B">
              <w:rPr>
                <w:rFonts w:cs="Calibri"/>
                <w:szCs w:val="16"/>
              </w:rPr>
              <w:t>105.98</w:t>
            </w:r>
          </w:p>
        </w:tc>
        <w:tc>
          <w:tcPr>
            <w:tcW w:w="2126" w:type="dxa"/>
            <w:tcBorders>
              <w:top w:val="single" w:sz="4" w:space="0" w:color="365F91"/>
              <w:bottom w:val="single" w:sz="4" w:space="0" w:color="365F91"/>
            </w:tcBorders>
            <w:noWrap/>
            <w:hideMark/>
          </w:tcPr>
          <w:p w14:paraId="5A5BF002" w14:textId="77777777" w:rsidR="00A10636" w:rsidRPr="00D9348B" w:rsidRDefault="00A10636" w:rsidP="00DB330E">
            <w:pPr>
              <w:pStyle w:val="TableText"/>
              <w:tabs>
                <w:tab w:val="decimal" w:pos="577"/>
              </w:tabs>
              <w:jc w:val="center"/>
              <w:rPr>
                <w:rFonts w:cs="Calibri"/>
                <w:szCs w:val="16"/>
              </w:rPr>
            </w:pPr>
            <w:r w:rsidRPr="00D9348B">
              <w:rPr>
                <w:rFonts w:cs="Calibri"/>
                <w:szCs w:val="16"/>
              </w:rPr>
              <w:t>98.23</w:t>
            </w:r>
          </w:p>
        </w:tc>
        <w:tc>
          <w:tcPr>
            <w:tcW w:w="2126" w:type="dxa"/>
            <w:tcBorders>
              <w:top w:val="single" w:sz="4" w:space="0" w:color="365F91"/>
              <w:bottom w:val="single" w:sz="4" w:space="0" w:color="365F91"/>
            </w:tcBorders>
            <w:noWrap/>
            <w:hideMark/>
          </w:tcPr>
          <w:p w14:paraId="14136913" w14:textId="77777777" w:rsidR="00A10636" w:rsidRPr="00D9348B" w:rsidRDefault="00A10636" w:rsidP="00DB330E">
            <w:pPr>
              <w:pStyle w:val="TableText"/>
              <w:tabs>
                <w:tab w:val="decimal" w:pos="577"/>
              </w:tabs>
              <w:jc w:val="center"/>
              <w:rPr>
                <w:rFonts w:cs="Calibri"/>
                <w:szCs w:val="16"/>
              </w:rPr>
            </w:pPr>
            <w:r w:rsidRPr="00D9348B">
              <w:rPr>
                <w:rFonts w:cs="Calibri"/>
                <w:szCs w:val="16"/>
              </w:rPr>
              <w:t>113.73</w:t>
            </w:r>
          </w:p>
        </w:tc>
      </w:tr>
      <w:tr w:rsidR="00A10636" w:rsidRPr="00D9348B" w14:paraId="1E66B28F" w14:textId="77777777" w:rsidTr="00FD6935">
        <w:tc>
          <w:tcPr>
            <w:tcW w:w="2552" w:type="dxa"/>
            <w:tcBorders>
              <w:top w:val="single" w:sz="4" w:space="0" w:color="365F91"/>
              <w:bottom w:val="single" w:sz="4" w:space="0" w:color="365F91"/>
            </w:tcBorders>
            <w:noWrap/>
            <w:hideMark/>
          </w:tcPr>
          <w:p w14:paraId="310BBCB7" w14:textId="77777777" w:rsidR="00A10636" w:rsidRPr="00D9348B" w:rsidRDefault="00A10636" w:rsidP="00DB330E">
            <w:pPr>
              <w:pStyle w:val="TableText"/>
              <w:rPr>
                <w:rFonts w:cs="Calibri"/>
                <w:szCs w:val="16"/>
              </w:rPr>
            </w:pPr>
            <w:r w:rsidRPr="00D9348B">
              <w:rPr>
                <w:rFonts w:cs="Calibri"/>
                <w:szCs w:val="16"/>
              </w:rPr>
              <w:t>Perennial cropland</w:t>
            </w:r>
          </w:p>
        </w:tc>
        <w:tc>
          <w:tcPr>
            <w:tcW w:w="1701" w:type="dxa"/>
            <w:tcBorders>
              <w:top w:val="single" w:sz="4" w:space="0" w:color="365F91"/>
              <w:bottom w:val="single" w:sz="4" w:space="0" w:color="365F91"/>
            </w:tcBorders>
            <w:noWrap/>
            <w:hideMark/>
          </w:tcPr>
          <w:p w14:paraId="2A539684" w14:textId="77777777" w:rsidR="00A10636" w:rsidRPr="00D9348B" w:rsidRDefault="00A10636" w:rsidP="00DB330E">
            <w:pPr>
              <w:pStyle w:val="TableText"/>
              <w:tabs>
                <w:tab w:val="decimal" w:pos="577"/>
              </w:tabs>
              <w:jc w:val="center"/>
              <w:rPr>
                <w:rFonts w:cs="Calibri"/>
                <w:szCs w:val="16"/>
              </w:rPr>
            </w:pPr>
            <w:r w:rsidRPr="00D9348B">
              <w:rPr>
                <w:rFonts w:cs="Calibri"/>
                <w:szCs w:val="16"/>
              </w:rPr>
              <w:t>88.44</w:t>
            </w:r>
          </w:p>
        </w:tc>
        <w:tc>
          <w:tcPr>
            <w:tcW w:w="2126" w:type="dxa"/>
            <w:tcBorders>
              <w:top w:val="single" w:sz="4" w:space="0" w:color="365F91"/>
              <w:bottom w:val="single" w:sz="4" w:space="0" w:color="365F91"/>
            </w:tcBorders>
            <w:noWrap/>
            <w:hideMark/>
          </w:tcPr>
          <w:p w14:paraId="63C21E37" w14:textId="77777777" w:rsidR="00A10636" w:rsidRPr="00D9348B" w:rsidRDefault="00A10636" w:rsidP="00DB330E">
            <w:pPr>
              <w:pStyle w:val="TableText"/>
              <w:tabs>
                <w:tab w:val="decimal" w:pos="577"/>
              </w:tabs>
              <w:jc w:val="center"/>
              <w:rPr>
                <w:rFonts w:cs="Calibri"/>
                <w:szCs w:val="16"/>
              </w:rPr>
            </w:pPr>
            <w:r w:rsidRPr="00D9348B">
              <w:rPr>
                <w:rFonts w:cs="Calibri"/>
                <w:szCs w:val="16"/>
              </w:rPr>
              <w:t>75.96</w:t>
            </w:r>
          </w:p>
        </w:tc>
        <w:tc>
          <w:tcPr>
            <w:tcW w:w="2126" w:type="dxa"/>
            <w:tcBorders>
              <w:top w:val="single" w:sz="4" w:space="0" w:color="365F91"/>
              <w:bottom w:val="single" w:sz="4" w:space="0" w:color="365F91"/>
            </w:tcBorders>
            <w:noWrap/>
            <w:hideMark/>
          </w:tcPr>
          <w:p w14:paraId="290E2323" w14:textId="77777777" w:rsidR="00A10636" w:rsidRPr="00D9348B" w:rsidRDefault="00A10636" w:rsidP="00DB330E">
            <w:pPr>
              <w:pStyle w:val="TableText"/>
              <w:tabs>
                <w:tab w:val="decimal" w:pos="577"/>
              </w:tabs>
              <w:jc w:val="center"/>
              <w:rPr>
                <w:rFonts w:cs="Calibri"/>
                <w:szCs w:val="16"/>
              </w:rPr>
            </w:pPr>
            <w:r w:rsidRPr="00D9348B">
              <w:rPr>
                <w:rFonts w:cs="Calibri"/>
                <w:szCs w:val="16"/>
              </w:rPr>
              <w:t>100.92</w:t>
            </w:r>
          </w:p>
        </w:tc>
      </w:tr>
      <w:tr w:rsidR="00A10636" w:rsidRPr="00D9348B" w14:paraId="30E33EAD" w14:textId="77777777" w:rsidTr="00FD6935">
        <w:tc>
          <w:tcPr>
            <w:tcW w:w="2552" w:type="dxa"/>
            <w:tcBorders>
              <w:top w:val="single" w:sz="4" w:space="0" w:color="365F91"/>
              <w:bottom w:val="single" w:sz="4" w:space="0" w:color="365F91"/>
            </w:tcBorders>
            <w:noWrap/>
            <w:hideMark/>
          </w:tcPr>
          <w:p w14:paraId="64DCDE4E" w14:textId="77777777" w:rsidR="00A10636" w:rsidRPr="00D9348B" w:rsidRDefault="00A10636" w:rsidP="00DB330E">
            <w:pPr>
              <w:pStyle w:val="TableText"/>
              <w:rPr>
                <w:rFonts w:cs="Calibri"/>
                <w:szCs w:val="16"/>
              </w:rPr>
            </w:pPr>
            <w:r w:rsidRPr="00D9348B">
              <w:rPr>
                <w:rFonts w:cs="Calibri"/>
                <w:szCs w:val="16"/>
              </w:rPr>
              <w:t>Annual cropland</w:t>
            </w:r>
          </w:p>
        </w:tc>
        <w:tc>
          <w:tcPr>
            <w:tcW w:w="1701" w:type="dxa"/>
            <w:tcBorders>
              <w:top w:val="single" w:sz="4" w:space="0" w:color="365F91"/>
              <w:bottom w:val="single" w:sz="4" w:space="0" w:color="365F91"/>
            </w:tcBorders>
            <w:noWrap/>
            <w:hideMark/>
          </w:tcPr>
          <w:p w14:paraId="084945AF" w14:textId="77777777" w:rsidR="00A10636" w:rsidRPr="00D9348B" w:rsidRDefault="00A10636" w:rsidP="00DB330E">
            <w:pPr>
              <w:pStyle w:val="TableText"/>
              <w:tabs>
                <w:tab w:val="decimal" w:pos="577"/>
              </w:tabs>
              <w:jc w:val="center"/>
              <w:rPr>
                <w:rFonts w:cs="Calibri"/>
                <w:szCs w:val="16"/>
              </w:rPr>
            </w:pPr>
            <w:r w:rsidRPr="00D9348B">
              <w:rPr>
                <w:rFonts w:cs="Calibri"/>
                <w:szCs w:val="16"/>
              </w:rPr>
              <w:t>89.77</w:t>
            </w:r>
          </w:p>
        </w:tc>
        <w:tc>
          <w:tcPr>
            <w:tcW w:w="2126" w:type="dxa"/>
            <w:tcBorders>
              <w:top w:val="single" w:sz="4" w:space="0" w:color="365F91"/>
              <w:bottom w:val="single" w:sz="4" w:space="0" w:color="365F91"/>
            </w:tcBorders>
            <w:noWrap/>
            <w:hideMark/>
          </w:tcPr>
          <w:p w14:paraId="7E02FAE6" w14:textId="77777777" w:rsidR="00A10636" w:rsidRPr="00D9348B" w:rsidRDefault="00A10636" w:rsidP="00DB330E">
            <w:pPr>
              <w:pStyle w:val="TableText"/>
              <w:tabs>
                <w:tab w:val="decimal" w:pos="577"/>
              </w:tabs>
              <w:jc w:val="center"/>
              <w:rPr>
                <w:rFonts w:cs="Calibri"/>
                <w:szCs w:val="16"/>
              </w:rPr>
            </w:pPr>
            <w:r w:rsidRPr="00D9348B">
              <w:rPr>
                <w:rFonts w:cs="Calibri"/>
                <w:szCs w:val="16"/>
              </w:rPr>
              <w:t>81.04</w:t>
            </w:r>
          </w:p>
        </w:tc>
        <w:tc>
          <w:tcPr>
            <w:tcW w:w="2126" w:type="dxa"/>
            <w:tcBorders>
              <w:top w:val="single" w:sz="4" w:space="0" w:color="365F91"/>
              <w:bottom w:val="single" w:sz="4" w:space="0" w:color="365F91"/>
            </w:tcBorders>
            <w:noWrap/>
            <w:hideMark/>
          </w:tcPr>
          <w:p w14:paraId="53604FD3" w14:textId="77777777" w:rsidR="00A10636" w:rsidRPr="00D9348B" w:rsidRDefault="00A10636" w:rsidP="00DB330E">
            <w:pPr>
              <w:pStyle w:val="TableText"/>
              <w:tabs>
                <w:tab w:val="decimal" w:pos="577"/>
              </w:tabs>
              <w:jc w:val="center"/>
              <w:rPr>
                <w:rFonts w:cs="Calibri"/>
                <w:szCs w:val="16"/>
              </w:rPr>
            </w:pPr>
            <w:r w:rsidRPr="00D9348B">
              <w:rPr>
                <w:rFonts w:cs="Calibri"/>
                <w:szCs w:val="16"/>
              </w:rPr>
              <w:t>98.49</w:t>
            </w:r>
          </w:p>
        </w:tc>
      </w:tr>
      <w:tr w:rsidR="00A10636" w:rsidRPr="00D9348B" w14:paraId="6782A8B3" w14:textId="77777777" w:rsidTr="00FD6935">
        <w:tc>
          <w:tcPr>
            <w:tcW w:w="2552" w:type="dxa"/>
            <w:tcBorders>
              <w:top w:val="single" w:sz="4" w:space="0" w:color="365F91"/>
              <w:bottom w:val="single" w:sz="4" w:space="0" w:color="365F91"/>
            </w:tcBorders>
            <w:noWrap/>
            <w:hideMark/>
          </w:tcPr>
          <w:p w14:paraId="18E83157" w14:textId="77777777" w:rsidR="00A10636" w:rsidRPr="00D9348B" w:rsidRDefault="00A10636" w:rsidP="00DB330E">
            <w:pPr>
              <w:pStyle w:val="TableText"/>
              <w:rPr>
                <w:rFonts w:cs="Calibri"/>
                <w:szCs w:val="16"/>
              </w:rPr>
            </w:pPr>
            <w:r w:rsidRPr="00D9348B">
              <w:rPr>
                <w:rFonts w:cs="Calibri"/>
                <w:szCs w:val="16"/>
              </w:rPr>
              <w:t xml:space="preserve">Wetlands – open water </w:t>
            </w:r>
          </w:p>
        </w:tc>
        <w:tc>
          <w:tcPr>
            <w:tcW w:w="1701" w:type="dxa"/>
            <w:tcBorders>
              <w:top w:val="single" w:sz="4" w:space="0" w:color="365F91"/>
              <w:bottom w:val="single" w:sz="4" w:space="0" w:color="365F91"/>
            </w:tcBorders>
            <w:noWrap/>
            <w:hideMark/>
          </w:tcPr>
          <w:p w14:paraId="1EB99CD1" w14:textId="77777777" w:rsidR="00A10636" w:rsidRPr="00D9348B" w:rsidRDefault="00A10636" w:rsidP="00DB330E">
            <w:pPr>
              <w:pStyle w:val="TableText"/>
              <w:tabs>
                <w:tab w:val="decimal" w:pos="577"/>
              </w:tabs>
              <w:jc w:val="center"/>
              <w:rPr>
                <w:rFonts w:cs="Calibri"/>
                <w:szCs w:val="16"/>
              </w:rPr>
            </w:pPr>
            <w:r w:rsidRPr="00D9348B">
              <w:rPr>
                <w:rFonts w:cs="Calibri"/>
                <w:szCs w:val="16"/>
              </w:rPr>
              <w:t>105.98</w:t>
            </w:r>
          </w:p>
        </w:tc>
        <w:tc>
          <w:tcPr>
            <w:tcW w:w="2126" w:type="dxa"/>
            <w:tcBorders>
              <w:top w:val="single" w:sz="4" w:space="0" w:color="365F91"/>
              <w:bottom w:val="single" w:sz="4" w:space="0" w:color="365F91"/>
            </w:tcBorders>
            <w:noWrap/>
            <w:hideMark/>
          </w:tcPr>
          <w:p w14:paraId="51C1B8F8" w14:textId="77777777" w:rsidR="00A10636" w:rsidRPr="00D9348B" w:rsidRDefault="00A10636" w:rsidP="00DB330E">
            <w:pPr>
              <w:pStyle w:val="TableText"/>
              <w:tabs>
                <w:tab w:val="decimal" w:pos="577"/>
              </w:tabs>
              <w:jc w:val="center"/>
              <w:rPr>
                <w:rFonts w:cs="Calibri"/>
                <w:szCs w:val="16"/>
              </w:rPr>
            </w:pPr>
            <w:r w:rsidRPr="00D9348B">
              <w:rPr>
                <w:rFonts w:cs="Calibri"/>
                <w:szCs w:val="16"/>
              </w:rPr>
              <w:t>98.23</w:t>
            </w:r>
          </w:p>
        </w:tc>
        <w:tc>
          <w:tcPr>
            <w:tcW w:w="2126" w:type="dxa"/>
            <w:tcBorders>
              <w:top w:val="single" w:sz="4" w:space="0" w:color="365F91"/>
              <w:bottom w:val="single" w:sz="4" w:space="0" w:color="365F91"/>
            </w:tcBorders>
            <w:noWrap/>
            <w:hideMark/>
          </w:tcPr>
          <w:p w14:paraId="0FE1E108" w14:textId="77777777" w:rsidR="00A10636" w:rsidRPr="00D9348B" w:rsidRDefault="00A10636" w:rsidP="00DB330E">
            <w:pPr>
              <w:pStyle w:val="TableText"/>
              <w:tabs>
                <w:tab w:val="decimal" w:pos="577"/>
              </w:tabs>
              <w:jc w:val="center"/>
              <w:rPr>
                <w:rFonts w:cs="Calibri"/>
                <w:szCs w:val="16"/>
              </w:rPr>
            </w:pPr>
            <w:r w:rsidRPr="00D9348B">
              <w:rPr>
                <w:rFonts w:cs="Calibri"/>
                <w:szCs w:val="16"/>
              </w:rPr>
              <w:t>113.73</w:t>
            </w:r>
          </w:p>
        </w:tc>
      </w:tr>
      <w:tr w:rsidR="00A10636" w:rsidRPr="00D9348B" w14:paraId="24449CF6" w14:textId="77777777" w:rsidTr="00FD6935">
        <w:tc>
          <w:tcPr>
            <w:tcW w:w="2552" w:type="dxa"/>
            <w:tcBorders>
              <w:top w:val="single" w:sz="4" w:space="0" w:color="365F91"/>
              <w:bottom w:val="single" w:sz="4" w:space="0" w:color="365F91"/>
            </w:tcBorders>
            <w:noWrap/>
            <w:hideMark/>
          </w:tcPr>
          <w:p w14:paraId="1A8ECF18" w14:textId="77777777" w:rsidR="00A10636" w:rsidRPr="00D9348B" w:rsidRDefault="00A10636" w:rsidP="00DB330E">
            <w:pPr>
              <w:pStyle w:val="TableText"/>
              <w:rPr>
                <w:rFonts w:cs="Calibri"/>
                <w:szCs w:val="16"/>
              </w:rPr>
            </w:pPr>
            <w:r w:rsidRPr="00D9348B">
              <w:rPr>
                <w:rFonts w:cs="Calibri"/>
                <w:szCs w:val="16"/>
              </w:rPr>
              <w:t>Wetlands – vegetated</w:t>
            </w:r>
          </w:p>
        </w:tc>
        <w:tc>
          <w:tcPr>
            <w:tcW w:w="1701" w:type="dxa"/>
            <w:tcBorders>
              <w:top w:val="single" w:sz="4" w:space="0" w:color="365F91"/>
              <w:bottom w:val="single" w:sz="4" w:space="0" w:color="365F91"/>
            </w:tcBorders>
            <w:noWrap/>
            <w:hideMark/>
          </w:tcPr>
          <w:p w14:paraId="73AB8D0E" w14:textId="77777777" w:rsidR="00A10636" w:rsidRPr="00D9348B" w:rsidRDefault="00A10636" w:rsidP="00DB330E">
            <w:pPr>
              <w:pStyle w:val="TableText"/>
              <w:tabs>
                <w:tab w:val="decimal" w:pos="577"/>
              </w:tabs>
              <w:jc w:val="center"/>
              <w:rPr>
                <w:rFonts w:cs="Calibri"/>
                <w:szCs w:val="16"/>
              </w:rPr>
            </w:pPr>
            <w:r w:rsidRPr="00D9348B">
              <w:rPr>
                <w:rFonts w:cs="Calibri"/>
                <w:szCs w:val="16"/>
              </w:rPr>
              <w:t>136.06</w:t>
            </w:r>
          </w:p>
        </w:tc>
        <w:tc>
          <w:tcPr>
            <w:tcW w:w="2126" w:type="dxa"/>
            <w:tcBorders>
              <w:top w:val="single" w:sz="4" w:space="0" w:color="365F91"/>
              <w:bottom w:val="single" w:sz="4" w:space="0" w:color="365F91"/>
            </w:tcBorders>
            <w:noWrap/>
            <w:hideMark/>
          </w:tcPr>
          <w:p w14:paraId="174F3AEA" w14:textId="77777777" w:rsidR="00A10636" w:rsidRPr="00D9348B" w:rsidRDefault="00A10636" w:rsidP="00DB330E">
            <w:pPr>
              <w:pStyle w:val="TableText"/>
              <w:tabs>
                <w:tab w:val="decimal" w:pos="577"/>
              </w:tabs>
              <w:jc w:val="center"/>
              <w:rPr>
                <w:rFonts w:cs="Calibri"/>
                <w:szCs w:val="16"/>
              </w:rPr>
            </w:pPr>
            <w:r w:rsidRPr="00D9348B">
              <w:rPr>
                <w:rFonts w:cs="Calibri"/>
                <w:szCs w:val="16"/>
              </w:rPr>
              <w:t>119.33</w:t>
            </w:r>
          </w:p>
        </w:tc>
        <w:tc>
          <w:tcPr>
            <w:tcW w:w="2126" w:type="dxa"/>
            <w:tcBorders>
              <w:top w:val="single" w:sz="4" w:space="0" w:color="365F91"/>
              <w:bottom w:val="single" w:sz="4" w:space="0" w:color="365F91"/>
            </w:tcBorders>
            <w:noWrap/>
            <w:hideMark/>
          </w:tcPr>
          <w:p w14:paraId="5593DAFA" w14:textId="77777777" w:rsidR="00A10636" w:rsidRPr="00D9348B" w:rsidRDefault="00A10636" w:rsidP="00DB330E">
            <w:pPr>
              <w:pStyle w:val="TableText"/>
              <w:tabs>
                <w:tab w:val="decimal" w:pos="577"/>
              </w:tabs>
              <w:jc w:val="center"/>
              <w:rPr>
                <w:rFonts w:cs="Calibri"/>
                <w:szCs w:val="16"/>
              </w:rPr>
            </w:pPr>
            <w:r w:rsidRPr="00D9348B">
              <w:rPr>
                <w:rFonts w:cs="Calibri"/>
                <w:szCs w:val="16"/>
              </w:rPr>
              <w:t>152.78</w:t>
            </w:r>
          </w:p>
        </w:tc>
      </w:tr>
      <w:tr w:rsidR="00A10636" w:rsidRPr="00D9348B" w14:paraId="3CD0C39F" w14:textId="77777777" w:rsidTr="00FD6935">
        <w:tc>
          <w:tcPr>
            <w:tcW w:w="2552" w:type="dxa"/>
            <w:tcBorders>
              <w:top w:val="single" w:sz="4" w:space="0" w:color="365F91"/>
              <w:bottom w:val="single" w:sz="4" w:space="0" w:color="365F91"/>
            </w:tcBorders>
            <w:noWrap/>
            <w:hideMark/>
          </w:tcPr>
          <w:p w14:paraId="774651AC" w14:textId="77777777" w:rsidR="00A10636" w:rsidRPr="00D9348B" w:rsidRDefault="00A10636" w:rsidP="00DB330E">
            <w:pPr>
              <w:pStyle w:val="TableText"/>
              <w:rPr>
                <w:rFonts w:cs="Calibri"/>
                <w:szCs w:val="16"/>
              </w:rPr>
            </w:pPr>
            <w:r w:rsidRPr="00D9348B">
              <w:rPr>
                <w:rFonts w:cs="Calibri"/>
                <w:szCs w:val="16"/>
              </w:rPr>
              <w:t>Settlements</w:t>
            </w:r>
          </w:p>
        </w:tc>
        <w:tc>
          <w:tcPr>
            <w:tcW w:w="1701" w:type="dxa"/>
            <w:tcBorders>
              <w:top w:val="single" w:sz="4" w:space="0" w:color="365F91"/>
              <w:bottom w:val="single" w:sz="4" w:space="0" w:color="365F91"/>
            </w:tcBorders>
            <w:noWrap/>
            <w:hideMark/>
          </w:tcPr>
          <w:p w14:paraId="5FB81830" w14:textId="77777777" w:rsidR="00A10636" w:rsidRPr="00D9348B" w:rsidRDefault="00A10636" w:rsidP="00DB330E">
            <w:pPr>
              <w:pStyle w:val="TableText"/>
              <w:tabs>
                <w:tab w:val="decimal" w:pos="577"/>
              </w:tabs>
              <w:jc w:val="center"/>
              <w:rPr>
                <w:rFonts w:cs="Calibri"/>
                <w:szCs w:val="16"/>
              </w:rPr>
            </w:pPr>
            <w:r w:rsidRPr="00D9348B">
              <w:rPr>
                <w:rFonts w:cs="Calibri"/>
                <w:szCs w:val="16"/>
              </w:rPr>
              <w:t>105.98</w:t>
            </w:r>
          </w:p>
        </w:tc>
        <w:tc>
          <w:tcPr>
            <w:tcW w:w="2126" w:type="dxa"/>
            <w:tcBorders>
              <w:top w:val="single" w:sz="4" w:space="0" w:color="365F91"/>
              <w:bottom w:val="single" w:sz="4" w:space="0" w:color="365F91"/>
            </w:tcBorders>
            <w:noWrap/>
            <w:hideMark/>
          </w:tcPr>
          <w:p w14:paraId="3484C813" w14:textId="77777777" w:rsidR="00A10636" w:rsidRPr="00D9348B" w:rsidRDefault="00A10636" w:rsidP="00DB330E">
            <w:pPr>
              <w:pStyle w:val="TableText"/>
              <w:tabs>
                <w:tab w:val="decimal" w:pos="577"/>
              </w:tabs>
              <w:jc w:val="center"/>
              <w:rPr>
                <w:rFonts w:cs="Calibri"/>
                <w:szCs w:val="16"/>
              </w:rPr>
            </w:pPr>
            <w:r w:rsidRPr="00D9348B">
              <w:rPr>
                <w:rFonts w:cs="Calibri"/>
                <w:szCs w:val="16"/>
              </w:rPr>
              <w:t>98.23</w:t>
            </w:r>
          </w:p>
        </w:tc>
        <w:tc>
          <w:tcPr>
            <w:tcW w:w="2126" w:type="dxa"/>
            <w:tcBorders>
              <w:top w:val="single" w:sz="4" w:space="0" w:color="365F91"/>
              <w:bottom w:val="single" w:sz="4" w:space="0" w:color="365F91"/>
            </w:tcBorders>
            <w:noWrap/>
            <w:hideMark/>
          </w:tcPr>
          <w:p w14:paraId="64FC4430" w14:textId="77777777" w:rsidR="00A10636" w:rsidRPr="00D9348B" w:rsidRDefault="00A10636" w:rsidP="00DB330E">
            <w:pPr>
              <w:pStyle w:val="TableText"/>
              <w:tabs>
                <w:tab w:val="decimal" w:pos="577"/>
              </w:tabs>
              <w:jc w:val="center"/>
              <w:rPr>
                <w:rFonts w:cs="Calibri"/>
                <w:szCs w:val="16"/>
              </w:rPr>
            </w:pPr>
            <w:r w:rsidRPr="00D9348B">
              <w:rPr>
                <w:rFonts w:cs="Calibri"/>
                <w:szCs w:val="16"/>
              </w:rPr>
              <w:t>113.73</w:t>
            </w:r>
          </w:p>
        </w:tc>
      </w:tr>
      <w:tr w:rsidR="00A10636" w:rsidRPr="00D9348B" w14:paraId="6782564E" w14:textId="77777777" w:rsidTr="00FD6935">
        <w:tc>
          <w:tcPr>
            <w:tcW w:w="2552" w:type="dxa"/>
            <w:tcBorders>
              <w:top w:val="single" w:sz="4" w:space="0" w:color="365F91"/>
              <w:bottom w:val="single" w:sz="4" w:space="0" w:color="365F91"/>
            </w:tcBorders>
            <w:noWrap/>
            <w:hideMark/>
          </w:tcPr>
          <w:p w14:paraId="2FED90F7" w14:textId="77777777" w:rsidR="00A10636" w:rsidRPr="00D9348B" w:rsidRDefault="00A10636" w:rsidP="00DB330E">
            <w:pPr>
              <w:pStyle w:val="TableText"/>
              <w:rPr>
                <w:rFonts w:cs="Calibri"/>
                <w:szCs w:val="16"/>
              </w:rPr>
            </w:pPr>
            <w:r w:rsidRPr="00D9348B">
              <w:rPr>
                <w:rFonts w:cs="Calibri"/>
                <w:szCs w:val="16"/>
              </w:rPr>
              <w:t>Other land</w:t>
            </w:r>
          </w:p>
        </w:tc>
        <w:tc>
          <w:tcPr>
            <w:tcW w:w="1701" w:type="dxa"/>
            <w:tcBorders>
              <w:top w:val="single" w:sz="4" w:space="0" w:color="365F91"/>
              <w:bottom w:val="single" w:sz="4" w:space="0" w:color="365F91"/>
            </w:tcBorders>
            <w:noWrap/>
            <w:hideMark/>
          </w:tcPr>
          <w:p w14:paraId="47DF2447" w14:textId="77777777" w:rsidR="00A10636" w:rsidRPr="00D9348B" w:rsidRDefault="00A10636" w:rsidP="00DB330E">
            <w:pPr>
              <w:pStyle w:val="TableText"/>
              <w:tabs>
                <w:tab w:val="decimal" w:pos="577"/>
              </w:tabs>
              <w:jc w:val="center"/>
              <w:rPr>
                <w:rFonts w:cs="Calibri"/>
                <w:szCs w:val="16"/>
              </w:rPr>
            </w:pPr>
            <w:r w:rsidRPr="00D9348B">
              <w:rPr>
                <w:rFonts w:cs="Calibri"/>
                <w:szCs w:val="16"/>
              </w:rPr>
              <w:t>58.37</w:t>
            </w:r>
          </w:p>
        </w:tc>
        <w:tc>
          <w:tcPr>
            <w:tcW w:w="2126" w:type="dxa"/>
            <w:tcBorders>
              <w:top w:val="single" w:sz="4" w:space="0" w:color="365F91"/>
              <w:bottom w:val="single" w:sz="4" w:space="0" w:color="365F91"/>
            </w:tcBorders>
            <w:noWrap/>
            <w:hideMark/>
          </w:tcPr>
          <w:p w14:paraId="567F9BBF" w14:textId="77777777" w:rsidR="00A10636" w:rsidRPr="00D9348B" w:rsidRDefault="00A10636" w:rsidP="00DB330E">
            <w:pPr>
              <w:pStyle w:val="TableText"/>
              <w:tabs>
                <w:tab w:val="decimal" w:pos="577"/>
              </w:tabs>
              <w:jc w:val="center"/>
              <w:rPr>
                <w:rFonts w:cs="Calibri"/>
                <w:szCs w:val="16"/>
              </w:rPr>
            </w:pPr>
            <w:r w:rsidRPr="00D9348B">
              <w:rPr>
                <w:rFonts w:cs="Calibri"/>
                <w:szCs w:val="16"/>
              </w:rPr>
              <w:t>17.12</w:t>
            </w:r>
          </w:p>
        </w:tc>
        <w:tc>
          <w:tcPr>
            <w:tcW w:w="2126" w:type="dxa"/>
            <w:tcBorders>
              <w:top w:val="single" w:sz="4" w:space="0" w:color="365F91"/>
              <w:bottom w:val="single" w:sz="4" w:space="0" w:color="365F91"/>
            </w:tcBorders>
            <w:noWrap/>
            <w:hideMark/>
          </w:tcPr>
          <w:p w14:paraId="7886D410" w14:textId="77777777" w:rsidR="00A10636" w:rsidRPr="00D9348B" w:rsidRDefault="00A10636" w:rsidP="00DB330E">
            <w:pPr>
              <w:pStyle w:val="TableText"/>
              <w:tabs>
                <w:tab w:val="decimal" w:pos="577"/>
              </w:tabs>
              <w:jc w:val="center"/>
              <w:rPr>
                <w:rFonts w:cs="Calibri"/>
                <w:szCs w:val="16"/>
              </w:rPr>
            </w:pPr>
            <w:r w:rsidRPr="00D9348B">
              <w:rPr>
                <w:rFonts w:cs="Calibri"/>
                <w:szCs w:val="16"/>
              </w:rPr>
              <w:t>99.62</w:t>
            </w:r>
          </w:p>
        </w:tc>
      </w:tr>
    </w:tbl>
    <w:p w14:paraId="0E35EF24" w14:textId="77777777" w:rsidR="00A10636" w:rsidRPr="00D9348B" w:rsidRDefault="00A10636" w:rsidP="00A10636">
      <w:pPr>
        <w:pStyle w:val="Source"/>
        <w:spacing w:after="120"/>
      </w:pPr>
      <w:r w:rsidRPr="00D9348B">
        <w:rPr>
          <w:b/>
        </w:rPr>
        <w:t>Source</w:t>
      </w:r>
      <w:r w:rsidRPr="00D9348B">
        <w:t>: Calculated from McNeill and Barringer (unpublished)</w:t>
      </w:r>
    </w:p>
    <w:p w14:paraId="4623F4C5" w14:textId="77777777" w:rsidR="00A10636" w:rsidRPr="00D9348B" w:rsidRDefault="00A10636" w:rsidP="00A10636">
      <w:pPr>
        <w:pStyle w:val="BodyText"/>
      </w:pPr>
      <w:r w:rsidRPr="00D9348B">
        <w:t>An Akaike information criterion (AIC) model selection procedure was used for the Soil CMS model. AIC is used to select the model that is the best trade-off between the complexity of the model and the goodness of fit. The use of the AIC value as a model selection and comparison mechanism is widely supported in the literature in soil modelling (Burnham and Anderson, 2002; Elsgaard et al., 2012; Ogle et al., 2007).</w:t>
      </w:r>
    </w:p>
    <w:p w14:paraId="6C720859" w14:textId="77777777" w:rsidR="00A10636" w:rsidRPr="00D9348B" w:rsidRDefault="00A10636" w:rsidP="00A10636">
      <w:pPr>
        <w:pStyle w:val="BodyText"/>
      </w:pPr>
      <w:r w:rsidRPr="00D9348B">
        <w:t xml:space="preserve">The selected model residual standard error is 41.3 tonnes per hectare. The spatial autocorrelation scale distance is 18.1 kilometres, with a nugget of 0.47 (McNeill and Barringer, unpublished). A correction for spatial correlation is necessary because the samples are located close to one another rather than evenly spread throughout New Zealand (because land use is not distributed evenly throughout New Zealand). These values are consistent with earlier analyses (McNeill, </w:t>
      </w:r>
      <w:proofErr w:type="gramStart"/>
      <w:r w:rsidRPr="00D9348B">
        <w:t>unpublished(</w:t>
      </w:r>
      <w:proofErr w:type="gramEnd"/>
      <w:r w:rsidRPr="00D9348B">
        <w:t xml:space="preserve">a), (b)). </w:t>
      </w:r>
    </w:p>
    <w:p w14:paraId="6DB735EA" w14:textId="77777777" w:rsidR="00A10636" w:rsidRPr="00D9348B" w:rsidRDefault="00A10636" w:rsidP="00A10636">
      <w:pPr>
        <w:pStyle w:val="Heading5"/>
      </w:pPr>
      <w:r w:rsidRPr="00D9348B">
        <w:t>Measures of statistical validity: Assessing significant differences among SOC stocks</w:t>
      </w:r>
    </w:p>
    <w:p w14:paraId="289C4E51" w14:textId="4B288B78" w:rsidR="00A10636" w:rsidRPr="00D9348B" w:rsidRDefault="00A10636" w:rsidP="00A10636">
      <w:pPr>
        <w:spacing w:before="120" w:after="120"/>
        <w:rPr>
          <w:rFonts w:eastAsia="Arial"/>
        </w:rPr>
      </w:pPr>
      <w:r w:rsidRPr="00D9348B">
        <w:rPr>
          <w:rFonts w:eastAsia="Arial"/>
        </w:rPr>
        <w:t xml:space="preserve">The uncertainty of the LUE (the change in soil carbon, assuming the transition is stable) between two </w:t>
      </w:r>
      <w:r w:rsidR="00766DDA">
        <w:rPr>
          <w:rFonts w:eastAsia="Arial"/>
        </w:rPr>
        <w:t>land-use</w:t>
      </w:r>
      <w:r w:rsidRPr="00D9348B">
        <w:rPr>
          <w:rFonts w:eastAsia="Arial"/>
        </w:rPr>
        <w:t xml:space="preserve"> categories in isolation is conceptually straightforward: two estimates of LUE are more likely to be significantly separated if their point estimates are farther apart after taking account of the covariance between the two </w:t>
      </w:r>
      <w:r w:rsidR="00766DDA">
        <w:rPr>
          <w:rFonts w:eastAsia="Arial"/>
        </w:rPr>
        <w:t>land-use</w:t>
      </w:r>
      <w:r w:rsidRPr="00D9348B">
        <w:rPr>
          <w:rFonts w:eastAsia="Arial"/>
        </w:rPr>
        <w:t xml:space="preserve"> effects. The standard error </w:t>
      </w:r>
      <w:r w:rsidRPr="00D9348B">
        <w:rPr>
          <w:rFonts w:eastAsia="Arial"/>
          <w:i/>
        </w:rPr>
        <w:t>ơ</w:t>
      </w:r>
      <w:r w:rsidRPr="00D9348B">
        <w:rPr>
          <w:rFonts w:eastAsia="Arial"/>
          <w:i/>
          <w:vertAlign w:val="subscript"/>
        </w:rPr>
        <w:t>i</w:t>
      </w:r>
      <w:proofErr w:type="gramStart"/>
      <w:r w:rsidRPr="00D9348B">
        <w:rPr>
          <w:rFonts w:eastAsia="Arial"/>
          <w:i/>
          <w:vertAlign w:val="subscript"/>
        </w:rPr>
        <w:t>,j</w:t>
      </w:r>
      <w:proofErr w:type="gramEnd"/>
      <w:r w:rsidRPr="00D9348B">
        <w:rPr>
          <w:rFonts w:eastAsia="Arial"/>
        </w:rPr>
        <w:t xml:space="preserve"> of the LUE change for a transition between two </w:t>
      </w:r>
      <w:r w:rsidR="00766DDA">
        <w:rPr>
          <w:rFonts w:eastAsia="Arial"/>
        </w:rPr>
        <w:t>land-use</w:t>
      </w:r>
      <w:r w:rsidRPr="00D9348B">
        <w:rPr>
          <w:rFonts w:eastAsia="Arial"/>
        </w:rPr>
        <w:t xml:space="preserve"> categories with effects</w:t>
      </w:r>
      <w:r w:rsidRPr="00D9348B">
        <w:rPr>
          <w:rFonts w:eastAsia="Arial"/>
          <w:i/>
        </w:rPr>
        <w:t xml:space="preserve"> L</w:t>
      </w:r>
      <w:r w:rsidRPr="00D9348B">
        <w:rPr>
          <w:rFonts w:eastAsia="Arial"/>
          <w:i/>
          <w:vertAlign w:val="subscript"/>
        </w:rPr>
        <w:t>i</w:t>
      </w:r>
      <w:r w:rsidRPr="00D9348B">
        <w:rPr>
          <w:rFonts w:eastAsia="Arial"/>
        </w:rPr>
        <w:t xml:space="preserve"> and </w:t>
      </w:r>
      <w:r w:rsidRPr="00D9348B">
        <w:rPr>
          <w:rFonts w:eastAsia="Arial"/>
          <w:i/>
        </w:rPr>
        <w:t>L</w:t>
      </w:r>
      <w:r w:rsidRPr="00D9348B">
        <w:rPr>
          <w:rFonts w:eastAsia="Arial"/>
          <w:i/>
          <w:vertAlign w:val="subscript"/>
        </w:rPr>
        <w:t>j</w:t>
      </w:r>
      <w:r w:rsidRPr="00D9348B">
        <w:rPr>
          <w:rFonts w:eastAsia="Arial"/>
        </w:rPr>
        <w:t xml:space="preserve"> is then estimated from:</w:t>
      </w:r>
    </w:p>
    <w:tbl>
      <w:tblPr>
        <w:tblW w:w="5000" w:type="pct"/>
        <w:tblLook w:val="04A0" w:firstRow="1" w:lastRow="0" w:firstColumn="1" w:lastColumn="0" w:noHBand="0" w:noVBand="1"/>
      </w:tblPr>
      <w:tblGrid>
        <w:gridCol w:w="862"/>
        <w:gridCol w:w="6895"/>
        <w:gridCol w:w="862"/>
      </w:tblGrid>
      <w:tr w:rsidR="00A10636" w:rsidRPr="00D9348B" w14:paraId="4967B7CC" w14:textId="77777777" w:rsidTr="00DB330E">
        <w:tc>
          <w:tcPr>
            <w:tcW w:w="500" w:type="pct"/>
            <w:shd w:val="clear" w:color="auto" w:fill="auto"/>
            <w:tcMar>
              <w:top w:w="57" w:type="dxa"/>
              <w:left w:w="57" w:type="dxa"/>
              <w:bottom w:w="57" w:type="dxa"/>
              <w:right w:w="57" w:type="dxa"/>
            </w:tcMar>
            <w:vAlign w:val="center"/>
          </w:tcPr>
          <w:p w14:paraId="0F753A18" w14:textId="77777777" w:rsidR="00A10636" w:rsidRPr="00D9348B" w:rsidRDefault="00A10636" w:rsidP="00DB330E">
            <w:pPr>
              <w:rPr>
                <w:rFonts w:eastAsia="Calibri" w:cs="Calibri"/>
                <w:i/>
                <w:sz w:val="20"/>
              </w:rPr>
            </w:pPr>
          </w:p>
        </w:tc>
        <w:tc>
          <w:tcPr>
            <w:tcW w:w="4000" w:type="pct"/>
            <w:shd w:val="clear" w:color="auto" w:fill="auto"/>
            <w:tcMar>
              <w:top w:w="57" w:type="dxa"/>
              <w:left w:w="57" w:type="dxa"/>
              <w:bottom w:w="57" w:type="dxa"/>
              <w:right w:w="57" w:type="dxa"/>
            </w:tcMar>
            <w:vAlign w:val="center"/>
          </w:tcPr>
          <w:p w14:paraId="1F4254D5" w14:textId="082A3E27" w:rsidR="00A10636" w:rsidRPr="00D9348B" w:rsidRDefault="007165CF" w:rsidP="00DB330E">
            <w:pPr>
              <w:spacing w:before="120"/>
              <w:rPr>
                <w:rFonts w:eastAsia="Calibri" w:cs="Calibri"/>
                <w:i/>
                <w:sz w:val="24"/>
                <w:szCs w:val="24"/>
              </w:rPr>
            </w:pPr>
            <w:r>
              <w:rPr>
                <w:rFonts w:eastAsia="Calibri"/>
              </w:rPr>
              <w:pict w14:anchorId="7E827CAF">
                <v:shape id="_x0000_i1136" type="#_x0000_t75" style="width:295.5pt;height:38.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activeWritingStyle w:lang=&quot;EN-NZ&quot; w:vendorID=&quot;64&quot; w:dllVersion=&quot;6&quot; w:nlCheck=&quot;on&quot; w:optionSet=&quot;1&quot;/&gt;&lt;w:stylePaneFormatFilter w:val=&quot;5804&quot;/&gt;&lt;w:defaultTabStop w:val=&quot;397&quot;/&gt;&lt;w:evenAndOddHeaders/&gt;&lt;w:drawingGridHorizontalSpacing w:val=&quot;187&quot;/&gt;&lt;w:displayVerticalDrawingGridEvery w:val=&quot;2&quot;/&gt;&lt;w:characterSpacingControl w:val=&quot;DontCompress&quot;/&gt;&lt;w:optimizeForBrowser/&gt;&lt;w:validateAgainstSchema/&gt;&lt;w:saveInvalidXML w:val=&quot;off&quot;/&gt;&lt;w:ignoreMixedContent w:val=&quot;off&quot;/&gt;&lt;w:alwaysShowPlaceholderText w:val=&quot;off&quot;/&gt;&lt;w:compat&gt;&lt;w:suppressBottomSpacing/&gt;&lt;w:suppressTopSpacing/&gt;&lt;w:doNotUseHTMLParagraphAutoSpacing/&gt;&lt;w:breakWrappedTables/&gt;&lt;w:snapToGridInCell/&gt;&lt;w:wrapTextWithPunct/&gt;&lt;w:useAsianBreakRules/&gt;&lt;w:useWord2002TableStyleRules/&gt;&lt;/w:compat&gt;&lt;wsp:rsids&gt;&lt;wsp:rsidRoot wsp:val=&quot;007A30E8&quot;/&gt;&lt;wsp:rsid wsp:val=&quot;00001716&quot;/&gt;&lt;wsp:rsid wsp:val=&quot;00007ABB&quot;/&gt;&lt;wsp:rsid wsp:val=&quot;00021ACF&quot;/&gt;&lt;wsp:rsid wsp:val=&quot;00027E55&quot;/&gt;&lt;wsp:rsid wsp:val=&quot;00032A28&quot;/&gt;&lt;wsp:rsid wsp:val=&quot;00035185&quot;/&gt;&lt;wsp:rsid wsp:val=&quot;0004051F&quot;/&gt;&lt;wsp:rsid wsp:val=&quot;00050008&quot;/&gt;&lt;wsp:rsid wsp:val=&quot;000576EC&quot;/&gt;&lt;wsp:rsid wsp:val=&quot;00082902&quot;/&gt;&lt;wsp:rsid wsp:val=&quot;000959CB&quot;/&gt;&lt;wsp:rsid wsp:val=&quot;000B1212&quot;/&gt;&lt;wsp:rsid wsp:val=&quot;000B5C5F&quot;/&gt;&lt;wsp:rsid wsp:val=&quot;000C20A6&quot;/&gt;&lt;wsp:rsid wsp:val=&quot;000D120B&quot;/&gt;&lt;wsp:rsid wsp:val=&quot;000F4DEF&quot;/&gt;&lt;wsp:rsid wsp:val=&quot;00103A70&quot;/&gt;&lt;wsp:rsid wsp:val=&quot;00116E1B&quot;/&gt;&lt;wsp:rsid wsp:val=&quot;001221C3&quot;/&gt;&lt;wsp:rsid wsp:val=&quot;00124792&quot;/&gt;&lt;wsp:rsid wsp:val=&quot;00130604&quot;/&gt;&lt;wsp:rsid wsp:val=&quot;00153F5A&quot;/&gt;&lt;wsp:rsid wsp:val=&quot;00156D4F&quot;/&gt;&lt;wsp:rsid wsp:val=&quot;001577FD&quot;/&gt;&lt;wsp:rsid wsp:val=&quot;00177C9C&quot;/&gt;&lt;wsp:rsid wsp:val=&quot;00180C1C&quot;/&gt;&lt;wsp:rsid wsp:val=&quot;001970E1&quot;/&gt;&lt;wsp:rsid wsp:val=&quot;001A1997&quot;/&gt;&lt;wsp:rsid wsp:val=&quot;001B6FD2&quot;/&gt;&lt;wsp:rsid wsp:val=&quot;001D366E&quot;/&gt;&lt;wsp:rsid wsp:val=&quot;001D4675&quot;/&gt;&lt;wsp:rsid wsp:val=&quot;001E584F&quot;/&gt;&lt;wsp:rsid wsp:val=&quot;00207ABF&quot;/&gt;&lt;wsp:rsid wsp:val=&quot;00224522&quot;/&gt;&lt;wsp:rsid wsp:val=&quot;002253F5&quot;/&gt;&lt;wsp:rsid wsp:val=&quot;002278D8&quot;/&gt;&lt;wsp:rsid wsp:val=&quot;00240B42&quot;/&gt;&lt;wsp:rsid wsp:val=&quot;00244E0E&quot;/&gt;&lt;wsp:rsid wsp:val=&quot;00260B48&quot;/&gt;&lt;wsp:rsid wsp:val=&quot;00274AE4&quot;/&gt;&lt;wsp:rsid wsp:val=&quot;00276A11&quot;/&gt;&lt;wsp:rsid wsp:val=&quot;0028581A&quot;/&gt;&lt;wsp:rsid wsp:val=&quot;002868D3&quot;/&gt;&lt;wsp:rsid wsp:val=&quot;00295B2A&quot;/&gt;&lt;wsp:rsid wsp:val=&quot;002A1361&quot;/&gt;&lt;wsp:rsid wsp:val=&quot;002A49D7&quot;/&gt;&lt;wsp:rsid wsp:val=&quot;002B1C5A&quot;/&gt;&lt;wsp:rsid wsp:val=&quot;002B3284&quot;/&gt;&lt;wsp:rsid wsp:val=&quot;002B3633&quot;/&gt;&lt;wsp:rsid wsp:val=&quot;002D60DB&quot;/&gt;&lt;wsp:rsid wsp:val=&quot;002D6A54&quot;/&gt;&lt;wsp:rsid wsp:val=&quot;002D6AB5&quot;/&gt;&lt;wsp:rsid wsp:val=&quot;002F134A&quot;/&gt;&lt;wsp:rsid wsp:val=&quot;002F6369&quot;/&gt;&lt;wsp:rsid wsp:val=&quot;00302D84&quot;/&gt;&lt;wsp:rsid wsp:val=&quot;00306B8F&quot;/&gt;&lt;wsp:rsid wsp:val=&quot;00315760&quot;/&gt;&lt;wsp:rsid wsp:val=&quot;0032349D&quot;/&gt;&lt;wsp:rsid wsp:val=&quot;00330809&quot;/&gt;&lt;wsp:rsid wsp:val=&quot;00353362&quot;/&gt;&lt;wsp:rsid wsp:val=&quot;0036324D&quot;/&gt;&lt;wsp:rsid wsp:val=&quot;00365854&quot;/&gt;&lt;wsp:rsid wsp:val=&quot;0037590E&quot;/&gt;&lt;wsp:rsid wsp:val=&quot;00377186&quot;/&gt;&lt;wsp:rsid wsp:val=&quot;00383207&quot;/&gt;&lt;wsp:rsid wsp:val=&quot;00395B45&quot;/&gt;&lt;wsp:rsid wsp:val=&quot;003972EF&quot;/&gt;&lt;wsp:rsid wsp:val=&quot;00397D2B&quot;/&gt;&lt;wsp:rsid wsp:val=&quot;003A5006&quot;/&gt;&lt;wsp:rsid wsp:val=&quot;003C2615&quot;/&gt;&lt;wsp:rsid wsp:val=&quot;003D0318&quot;/&gt;&lt;wsp:rsid wsp:val=&quot;003D4BDF&quot;/&gt;&lt;wsp:rsid wsp:val=&quot;003D5417&quot;/&gt;&lt;wsp:rsid wsp:val=&quot;003E4A42&quot;/&gt;&lt;wsp:rsid wsp:val=&quot;00400F92&quot;/&gt;&lt;wsp:rsid wsp:val=&quot;004044F1&quot;/&gt;&lt;wsp:rsid wsp:val=&quot;0042424B&quot;/&gt;&lt;wsp:rsid wsp:val=&quot;00430D5D&quot;/&gt;&lt;wsp:rsid wsp:val=&quot;00444336&quot;/&gt;&lt;wsp:rsid wsp:val=&quot;00455788&quot;/&gt;&lt;wsp:rsid wsp:val=&quot;0045652C&quot;/&gt;&lt;wsp:rsid wsp:val=&quot;00462497&quot;/&gt;&lt;wsp:rsid wsp:val=&quot;004805A3&quot;/&gt;&lt;wsp:rsid wsp:val=&quot;00490EB0&quot;/&gt;&lt;wsp:rsid wsp:val=&quot;004A39F8&quot;/&gt;&lt;wsp:rsid wsp:val=&quot;004A3C2C&quot;/&gt;&lt;wsp:rsid wsp:val=&quot;004A618E&quot;/&gt;&lt;wsp:rsid wsp:val=&quot;004E4B2C&quot;/&gt;&lt;wsp:rsid wsp:val=&quot;004E517A&quot;/&gt;&lt;wsp:rsid wsp:val=&quot;004F1572&quot;/&gt;&lt;wsp:rsid wsp:val=&quot;004F483D&quot;/&gt;&lt;wsp:rsid wsp:val=&quot;00502D87&quot;/&gt;&lt;wsp:rsid wsp:val=&quot;0052105D&quot;/&gt;&lt;wsp:rsid wsp:val=&quot;00526270&quot;/&gt;&lt;wsp:rsid wsp:val=&quot;005338F3&quot;/&gt;&lt;wsp:rsid wsp:val=&quot;00534210&quot;/&gt;&lt;wsp:rsid wsp:val=&quot;00540271&quot;/&gt;&lt;wsp:rsid wsp:val=&quot;00543478&quot;/&gt;&lt;wsp:rsid wsp:val=&quot;00545600&quot;/&gt;&lt;wsp:rsid wsp:val=&quot;00546A6A&quot;/&gt;&lt;wsp:rsid wsp:val=&quot;00562240&quot;/&gt;&lt;wsp:rsid wsp:val=&quot;005630B0&quot;/&gt;&lt;wsp:rsid wsp:val=&quot;005660CD&quot;/&gt;&lt;wsp:rsid wsp:val=&quot;005720F2&quot;/&gt;&lt;wsp:rsid wsp:val=&quot;005812D6&quot;/&gt;&lt;wsp:rsid wsp:val=&quot;00591646&quot;/&gt;&lt;wsp:rsid wsp:val=&quot;00596603&quot;/&gt;&lt;wsp:rsid wsp:val=&quot;005B76A4&quot;/&gt;&lt;wsp:rsid wsp:val=&quot;005C3384&quot;/&gt;&lt;wsp:rsid wsp:val=&quot;005C416E&quot;/&gt;&lt;wsp:rsid wsp:val=&quot;005C6E3E&quot;/&gt;&lt;wsp:rsid wsp:val=&quot;005D1C3A&quot;/&gt;&lt;wsp:rsid wsp:val=&quot;005E43DD&quot;/&gt;&lt;wsp:rsid wsp:val=&quot;005E77C4&quot;/&gt;&lt;wsp:rsid wsp:val=&quot;005E7AB9&quot;/&gt;&lt;wsp:rsid wsp:val=&quot;00600179&quot;/&gt;&lt;wsp:rsid wsp:val=&quot;00603FC0&quot;/&gt;&lt;wsp:rsid wsp:val=&quot;006167DD&quot;/&gt;&lt;wsp:rsid wsp:val=&quot;00636BF0&quot;/&gt;&lt;wsp:rsid wsp:val=&quot;00637524&quot;/&gt;&lt;wsp:rsid wsp:val=&quot;00646B6D&quot;/&gt;&lt;wsp:rsid wsp:val=&quot;00647697&quot;/&gt;&lt;wsp:rsid wsp:val=&quot;00655908&quot;/&gt;&lt;wsp:rsid wsp:val=&quot;006654F8&quot;/&gt;&lt;wsp:rsid wsp:val=&quot;00665768&quot;/&gt;&lt;wsp:rsid wsp:val=&quot;00667291&quot;/&gt;&lt;wsp:rsid wsp:val=&quot;00671024&quot;/&gt;&lt;wsp:rsid wsp:val=&quot;00686249&quot;/&gt;&lt;wsp:rsid wsp:val=&quot;00687504&quot;/&gt;&lt;wsp:rsid wsp:val=&quot;00691AFF&quot;/&gt;&lt;wsp:rsid wsp:val=&quot;006A171F&quot;/&gt;&lt;wsp:rsid wsp:val=&quot;006A36A8&quot;/&gt;&lt;wsp:rsid wsp:val=&quot;006A4209&quot;/&gt;&lt;wsp:rsid wsp:val=&quot;006A4E5F&quot;/&gt;&lt;wsp:rsid wsp:val=&quot;006B44DA&quot;/&gt;&lt;wsp:rsid wsp:val=&quot;006C5461&quot;/&gt;&lt;wsp:rsid wsp:val=&quot;006D2536&quot;/&gt;&lt;wsp:rsid wsp:val=&quot;006D3FAE&quot;/&gt;&lt;wsp:rsid wsp:val=&quot;006D4600&quot;/&gt;&lt;wsp:rsid wsp:val=&quot;006E0A2C&quot;/&gt;&lt;wsp:rsid wsp:val=&quot;006E202B&quot;/&gt;&lt;wsp:rsid wsp:val=&quot;006E57B5&quot;/&gt;&lt;wsp:rsid wsp:val=&quot;00702FA0&quot;/&gt;&lt;wsp:rsid wsp:val=&quot;00715D39&quot;/&gt;&lt;wsp:rsid wsp:val=&quot;00724218&quot;/&gt;&lt;wsp:rsid wsp:val=&quot;00737E65&quot;/&gt;&lt;wsp:rsid wsp:val=&quot;0074030A&quot;/&gt;&lt;wsp:rsid wsp:val=&quot;007409A3&quot;/&gt;&lt;wsp:rsid wsp:val=&quot;007575A8&quot;/&gt;&lt;wsp:rsid wsp:val=&quot;00762043&quot;/&gt;&lt;wsp:rsid wsp:val=&quot;007633C2&quot;/&gt;&lt;wsp:rsid wsp:val=&quot;00765A47&quot;/&gt;&lt;wsp:rsid wsp:val=&quot;00770E82&quot;/&gt;&lt;wsp:rsid wsp:val=&quot;00772E94&quot;/&gt;&lt;wsp:rsid wsp:val=&quot;007A30E8&quot;/&gt;&lt;wsp:rsid wsp:val=&quot;007A5E1C&quot;/&gt;&lt;wsp:rsid wsp:val=&quot;007B028B&quot;/&gt;&lt;wsp:rsid wsp:val=&quot;007B1D71&quot;/&gt;&lt;wsp:rsid wsp:val=&quot;007B7BF7&quot;/&gt;&lt;wsp:rsid wsp:val=&quot;007C00D0&quot;/&gt;&lt;wsp:rsid wsp:val=&quot;007C2186&quot;/&gt;&lt;wsp:rsid wsp:val=&quot;007D185B&quot;/&gt;&lt;wsp:rsid wsp:val=&quot;007F2233&quot;/&gt;&lt;wsp:rsid wsp:val=&quot;00804C17&quot;/&gt;&lt;wsp:rsid wsp:val=&quot;008053BA&quot;/&gt;&lt;wsp:rsid wsp:val=&quot;0080694B&quot;/&gt;&lt;wsp:rsid wsp:val=&quot;00810AB6&quot;/&gt;&lt;wsp:rsid wsp:val=&quot;0081779C&quot;/&gt;&lt;wsp:rsid wsp:val=&quot;00831D0D&quot;/&gt;&lt;wsp:rsid wsp:val=&quot;00832DEE&quot;/&gt;&lt;wsp:rsid wsp:val=&quot;00835B98&quot;/&gt;&lt;wsp:rsid wsp:val=&quot;00840713&quot;/&gt;&lt;wsp:rsid wsp:val=&quot;00854B9D&quot;/&gt;&lt;wsp:rsid wsp:val=&quot;00855A8A&quot;/&gt;&lt;wsp:rsid wsp:val=&quot;00872795&quot;/&gt;&lt;wsp:rsid wsp:val=&quot;008936D4&quot;/&gt;&lt;wsp:rsid wsp:val=&quot;008A2EC5&quot;/&gt;&lt;wsp:rsid wsp:val=&quot;008B77F5&quot;/&gt;&lt;wsp:rsid wsp:val=&quot;008C0279&quot;/&gt;&lt;wsp:rsid wsp:val=&quot;008C7C6D&quot;/&gt;&lt;wsp:rsid wsp:val=&quot;008C7F68&quot;/&gt;&lt;wsp:rsid wsp:val=&quot;008E380C&quot;/&gt;&lt;wsp:rsid wsp:val=&quot;008E405A&quot;/&gt;&lt;wsp:rsid wsp:val=&quot;008F25D2&quot;/&gt;&lt;wsp:rsid wsp:val=&quot;008F50EC&quot;/&gt;&lt;wsp:rsid wsp:val=&quot;008F587A&quot;/&gt;&lt;wsp:rsid wsp:val=&quot;0090054C&quot;/&gt;&lt;wsp:rsid wsp:val=&quot;00900565&quot;/&gt;&lt;wsp:rsid wsp:val=&quot;009010F8&quot;/&gt;&lt;wsp:rsid wsp:val=&quot;009134CA&quot;/&gt;&lt;wsp:rsid wsp:val=&quot;00914CC6&quot;/&gt;&lt;wsp:rsid wsp:val=&quot;00925AA2&quot;/&gt;&lt;wsp:rsid wsp:val=&quot;0092751F&quot;/&gt;&lt;wsp:rsid wsp:val=&quot;00932067&quot;/&gt;&lt;wsp:rsid wsp:val=&quot;0093594A&quot;/&gt;&lt;wsp:rsid wsp:val=&quot;009451C4&quot;/&gt;&lt;wsp:rsid wsp:val=&quot;00955D73&quot;/&gt;&lt;wsp:rsid wsp:val=&quot;0096512C&quot;/&gt;&lt;wsp:rsid wsp:val=&quot;0096540A&quot;/&gt;&lt;wsp:rsid wsp:val=&quot;009C0F3A&quot;/&gt;&lt;wsp:rsid wsp:val=&quot;009C5D2A&quot;/&gt;&lt;wsp:rsid wsp:val=&quot;00A02252&quot;/&gt;&lt;wsp:rsid wsp:val=&quot;00A06700&quot;/&gt;&lt;wsp:rsid wsp:val=&quot;00A10636&quot;/&gt;&lt;wsp:rsid wsp:val=&quot;00A331E7&quot;/&gt;&lt;wsp:rsid wsp:val=&quot;00A34169&quot;/&gt;&lt;wsp:rsid wsp:val=&quot;00A37D9B&quot;/&gt;&lt;wsp:rsid wsp:val=&quot;00A41C3C&quot;/&gt;&lt;wsp:rsid wsp:val=&quot;00A4725A&quot;/&gt;&lt;wsp:rsid wsp:val=&quot;00A5060F&quot;/&gt;&lt;wsp:rsid wsp:val=&quot;00A628DC&quot;/&gt;&lt;wsp:rsid wsp:val=&quot;00A76984&quot;/&gt;&lt;wsp:rsid wsp:val=&quot;00AA0A87&quot;/&gt;&lt;wsp:rsid wsp:val=&quot;00AA7B1E&quot;/&gt;&lt;wsp:rsid wsp:val=&quot;00AB2710&quot;/&gt;&lt;wsp:rsid wsp:val=&quot;00AC555A&quot;/&gt;&lt;wsp:rsid wsp:val=&quot;00AD184B&quot;/&gt;&lt;wsp:rsid wsp:val=&quot;00AE02E6&quot;/&gt;&lt;wsp:rsid wsp:val=&quot;00B0566D&quot;/&gt;&lt;wsp:rsid wsp:val=&quot;00B35BD9&quot;/&gt;&lt;wsp:rsid wsp:val=&quot;00B37DE8&quot;/&gt;&lt;wsp:rsid wsp:val=&quot;00B43898&quot;/&gt;&lt;wsp:rsid wsp:val=&quot;00B44BA5&quot;/&gt;&lt;wsp:rsid wsp:val=&quot;00B838DE&quot;/&gt;&lt;wsp:rsid wsp:val=&quot;00B84125&quot;/&gt;&lt;wsp:rsid wsp:val=&quot;00B928E7&quot;/&gt;&lt;wsp:rsid wsp:val=&quot;00B961F6&quot;/&gt;&lt;wsp:rsid wsp:val=&quot;00BA5F7E&quot;/&gt;&lt;wsp:rsid wsp:val=&quot;00BB7F2F&quot;/&gt;&lt;wsp:rsid wsp:val=&quot;00BC7E76&quot;/&gt;&lt;wsp:rsid wsp:val=&quot;00BD3902&quot;/&gt;&lt;wsp:rsid wsp:val=&quot;00BE472F&quot;/&gt;&lt;wsp:rsid wsp:val=&quot;00BE5513&quot;/&gt;&lt;wsp:rsid wsp:val=&quot;00BF12F6&quot;/&gt;&lt;wsp:rsid wsp:val=&quot;00C00765&quot;/&gt;&lt;wsp:rsid wsp:val=&quot;00C10464&quot;/&gt;&lt;wsp:rsid wsp:val=&quot;00C119C2&quot;/&gt;&lt;wsp:rsid wsp:val=&quot;00C15758&quot;/&gt;&lt;wsp:rsid wsp:val=&quot;00C21B54&quot;/&gt;&lt;wsp:rsid wsp:val=&quot;00C27E02&quot;/&gt;&lt;wsp:rsid wsp:val=&quot;00C40967&quot;/&gt;&lt;wsp:rsid wsp:val=&quot;00C42C64&quot;/&gt;&lt;wsp:rsid wsp:val=&quot;00C4400C&quot;/&gt;&lt;wsp:rsid wsp:val=&quot;00C600E2&quot;/&gt;&lt;wsp:rsid wsp:val=&quot;00C63D43&quot;/&gt;&lt;wsp:rsid wsp:val=&quot;00C74134&quot;/&gt;&lt;wsp:rsid wsp:val=&quot;00C823B1&quot;/&gt;&lt;wsp:rsid wsp:val=&quot;00C93D19&quot;/&gt;&lt;wsp:rsid wsp:val=&quot;00CA271E&quot;/&gt;&lt;wsp:rsid wsp:val=&quot;00CB1488&quot;/&gt;&lt;wsp:rsid wsp:val=&quot;00CB7414&quot;/&gt;&lt;wsp:rsid wsp:val=&quot;00CD5933&quot;/&gt;&lt;wsp:rsid wsp:val=&quot;00CE19C1&quot;/&gt;&lt;wsp:rsid wsp:val=&quot;00CF364B&quot;/&gt;&lt;wsp:rsid wsp:val=&quot;00CF3D81&quot;/&gt;&lt;wsp:rsid wsp:val=&quot;00D01CFE&quot;/&gt;&lt;wsp:rsid wsp:val=&quot;00D07C4B&quot;/&gt;&lt;wsp:rsid wsp:val=&quot;00D201C9&quot;/&gt;&lt;wsp:rsid wsp:val=&quot;00D225D8&quot;/&gt;&lt;wsp:rsid wsp:val=&quot;00D2503C&quot;/&gt;&lt;wsp:rsid wsp:val=&quot;00D30983&quot;/&gt;&lt;wsp:rsid wsp:val=&quot;00D33A2E&quot;/&gt;&lt;wsp:rsid wsp:val=&quot;00D34954&quot;/&gt;&lt;wsp:rsid wsp:val=&quot;00D367F2&quot;/&gt;&lt;wsp:rsid wsp:val=&quot;00D4214D&quot;/&gt;&lt;wsp:rsid wsp:val=&quot;00D511A1&quot;/&gt;&lt;wsp:rsid wsp:val=&quot;00D56CF9&quot;/&gt;&lt;wsp:rsid wsp:val=&quot;00D608D5&quot;/&gt;&lt;wsp:rsid wsp:val=&quot;00D651CA&quot;/&gt;&lt;wsp:rsid wsp:val=&quot;00D872BF&quot;/&gt;&lt;wsp:rsid wsp:val=&quot;00DA4C87&quot;/&gt;&lt;wsp:rsid wsp:val=&quot;00DB4CF4&quot;/&gt;&lt;wsp:rsid wsp:val=&quot;00DB5613&quot;/&gt;&lt;wsp:rsid wsp:val=&quot;00DE01F6&quot;/&gt;&lt;wsp:rsid wsp:val=&quot;00DE15BD&quot;/&gt;&lt;wsp:rsid wsp:val=&quot;00DE1FAA&quot;/&gt;&lt;wsp:rsid wsp:val=&quot;00DE2998&quot;/&gt;&lt;wsp:rsid wsp:val=&quot;00DE4223&quot;/&gt;&lt;wsp:rsid wsp:val=&quot;00DE6B60&quot;/&gt;&lt;wsp:rsid wsp:val=&quot;00DF14FA&quot;/&gt;&lt;wsp:rsid wsp:val=&quot;00DF1B90&quot;/&gt;&lt;wsp:rsid wsp:val=&quot;00E06D10&quot;/&gt;&lt;wsp:rsid wsp:val=&quot;00E07624&quot;/&gt;&lt;wsp:rsid wsp:val=&quot;00E20138&quot;/&gt;&lt;wsp:rsid wsp:val=&quot;00E20458&quot;/&gt;&lt;wsp:rsid wsp:val=&quot;00E22F51&quot;/&gt;&lt;wsp:rsid wsp:val=&quot;00E3344E&quot;/&gt;&lt;wsp:rsid wsp:val=&quot;00E47019&quot;/&gt;&lt;wsp:rsid wsp:val=&quot;00E55420&quot;/&gt;&lt;wsp:rsid wsp:val=&quot;00E56487&quot;/&gt;&lt;wsp:rsid wsp:val=&quot;00E62277&quot;/&gt;&lt;wsp:rsid wsp:val=&quot;00E81646&quot;/&gt;&lt;wsp:rsid wsp:val=&quot;00E83F08&quot;/&gt;&lt;wsp:rsid wsp:val=&quot;00E853F3&quot;/&gt;&lt;wsp:rsid wsp:val=&quot;00EC2491&quot;/&gt;&lt;wsp:rsid wsp:val=&quot;00ED2C42&quot;/&gt;&lt;wsp:rsid wsp:val=&quot;00EF0E0D&quot;/&gt;&lt;wsp:rsid wsp:val=&quot;00EF3B2B&quot;/&gt;&lt;wsp:rsid wsp:val=&quot;00F00EE9&quot;/&gt;&lt;wsp:rsid wsp:val=&quot;00F332EE&quot;/&gt;&lt;wsp:rsid wsp:val=&quot;00F379DD&quot;/&gt;&lt;wsp:rsid wsp:val=&quot;00F44640&quot;/&gt;&lt;wsp:rsid wsp:val=&quot;00F47244&quot;/&gt;&lt;wsp:rsid wsp:val=&quot;00F511A7&quot;/&gt;&lt;wsp:rsid wsp:val=&quot;00F660F9&quot;/&gt;&lt;wsp:rsid wsp:val=&quot;00F849A7&quot;/&gt;&lt;wsp:rsid wsp:val=&quot;00F902E2&quot;/&gt;&lt;wsp:rsid wsp:val=&quot;00FA5F45&quot;/&gt;&lt;wsp:rsid wsp:val=&quot;00FA7522&quot;/&gt;&lt;wsp:rsid wsp:val=&quot;00FB2D36&quot;/&gt;&lt;wsp:rsid wsp:val=&quot;00FB71DC&quot;/&gt;&lt;wsp:rsid wsp:val=&quot;00FC2C59&quot;/&gt;&lt;wsp:rsid wsp:val=&quot;00FD178C&quot;/&gt;&lt;/wsp:rsids&gt;&lt;/w:docPr&gt;&lt;w:body&gt;&lt;wx:sect&gt;&lt;w:p wsp:rsidR=&quot;00000000&quot; wsp:rsidRPr=&quot;00B838DE&quot; wsp:rsidRDefault=&quot;00B838DE&quot; wsp:rsidP=&quot;00B838DE&quot;&gt;&lt;m:oMathPara&gt;&lt;m:oMathParaPr&gt;&lt;m:jc m:val=&quot;left&quot;/&gt;&lt;/m:oMathParaPr&gt;&lt;m:oMath&gt;&lt;m:sSub&gt;&lt;m:sSubPr&gt;&lt;m:ctrlPr&gt;&lt;w:rPr&gt;&lt;w:rFonts w:ascii=&quot;Cambria Math&quot; w:fareast=&quot;Calibri&quot; w:h-ansi=&quot;Cambria Math&quot; w:cs=&quot;Calibri&quot;/&gt;&lt;wx:font wx:val=&quot;Cambria Math&quot;/&gt;&lt;w:i/&gt;&lt;w:sz w:val=&quot;24&quot;/&gt;&lt;w:sz-cs w:val=&quot;24&quot;/&gt;&lt;/w:rPr&gt;&lt;/m:ctrlPr&gt;&lt;/m:sSubPr&gt;&lt;m:e&gt;&lt;m:r&gt;&lt;w:rPr&gt;&lt;w:rFonts w:ascii=&quot;Cambria Math&quot; w:fareast=&quot;Calibri&quot; w:h-ansi=&quot;Cambria Math&quot; w:cs=&quot;Calibri&quot;/&gt;&lt;wx:font wx:val=&quot;Cambria Math&quot;/&gt;&lt;w:i/&gt;&lt;w:sz w:val=&quot;24&quot;/&gt;&lt;w:sz-cs w:val=&quot;24&quot;/&gt;&lt;/w:rPr&gt;&lt;m:t&gt;Ïƒ&lt;/m:t&gt;&lt;/m:r&gt;&lt;/m:e&gt;&lt;m:sub&gt;&lt;m:r&gt;&lt;w:rPr&gt;&lt;w:rFonts w:ascii=&quot;Cambria Math&quot; w:fareast=&quot;Calibri&quot; w:h-ansi=&quot;Cambria Math&quot; w:cs=&quot;Calibri&quot;/&gt;&lt;wx:font wx:val=&quot;Cambria Math&quot;/&gt;&lt;w:i/&gt;&lt;w:sz w:val=&quot;24&quot;/&gt;&lt;w:sz-cs w:val=&quot;24&quot;/&gt;&lt;/w:rPr&gt;&lt;m:t&gt;i,j&lt;/m:t&gt;&lt;/m:r&gt;&lt;/m:sub&gt;&lt;/m:sSub&gt;&lt;m:r&gt;&lt;w:rPr&gt;&lt;w:rFonts w:ascii=&quot;Cambria Math&quot; w:fareast=&quot;Calibri&quot; w:h-ansi=&quot;Cambria Math&quot; w:cs=&quot;Calibri&quot;/&gt;&lt;wx:font wx:val=&quot;Cambria Math&quot;/&gt;&lt;w:i/&gt;&lt;w:sz w:val=&quot;24&quot;/&gt;&lt;w:sz-cs w:val=&quot;24&quot;/&gt;&lt;/w:rPr&gt;&lt;m:t&gt;=&lt;/m:t&gt;&lt;/m:r&gt;&lt;m:rad&gt;&lt;m:radPr&gt;&lt;m:degHide m:val=&quot;1&quot;/&gt;&lt;m:ctrlPr&gt;&lt;w:rPr&gt;&lt;w:rFonts w:ascii=&quot;Cambria Math&quot; w:fareast=&quot;Calibri&quot; w:h-ansi=&quot;Cambria Math&quot; w:cs=&quot;Calibri&quot;/&gt;&lt;wx:font wx:val=&quot;Cambria Math&quot;/&gt;&lt;w:i/&gt;&lt;w:sz w:val=&quot;24&quot;/&gt;&lt;w:sz-cs w:val=&quot;24&quot;/&gt;&lt;/w:rPr&gt;&lt;/m:ctrlPr&gt;&lt;/m:radPr&gt;&lt;m:deg/&gt;&lt;m:e&gt;&lt;m:r&gt;&lt;w:rPr&gt;&lt;w:rFonts w:ascii=&quot;Cambria Math&quot; w:fareast=&quot;Calibri&quot; w:h-ansi=&quot;Cambria Math&quot; w:cs=&quot;Calibri&quot;/&gt;&lt;wx:font wx:val=&quot;Cambria Math&quot;/&gt;&lt;w:i/&gt;&lt;w:sz w:val=&quot;24&quot;/&gt;&lt;w:sz-cs w:val=&quot;24&quot;/&gt;&lt;/w:rPr&gt;&lt;m:t&gt;Var &lt;/m:t&gt;&lt;/m:r&gt;&lt;m:d&gt;&lt;m:dPr&gt;&lt;m:ctrlPr&gt;&lt;w:rPr&gt;&lt;w:rFonts w:ascii=&quot;Cambria Math&quot; w:fareast=&quot;Calibri&quot; w:h-ansi=&quot;Cambria Math&quot; w:cs=&quot;Calibri&quot;/&gt;&lt;wx:font wx:val=&quot;Cambria Math&quot;/&gt;&lt;w:i/&gt;&lt;w:sz w:val=&quot;24&quot;/&gt;&lt;w:sz-cs w:val=&quot;24&quot;/&gt;&lt;/w:rPr&gt;&lt;/m:ctrlPr&gt;&lt;/m:dPr&gt;&lt;m:e&gt;&lt;m:sSub&gt;&lt;m:sSubPr&gt;&lt;m:ctrlPr&gt;&lt;w:rPr&gt;&lt;w:rFonts w:ascii=&quot;Cambria Math&quot; w:fareast=&quot;Calibri&quot; w:h-ansi=&quot;Cambria Math&quot; w:cs=&quot;Calibri&quot;/&gt;&lt;wx:font wx:val=&quot;Cambria Math&quot;/&gt;&lt;w:i/&gt;&lt;w:sz w:val=&quot;24&quot;/&gt;&lt;w:sz-cs w:val=&quot;24&quot;/&gt;&lt;/w:rPr&gt;&lt;/m:ctrlPr&gt;&lt;/m:sSubPr&gt;&lt;m:e&gt;&lt;m:r&gt;&lt;w:rPr&gt;&lt;w:rFonts w:ascii=&quot;Cambria Math&quot; w:fareast=&quot;Calibri&quot; w:h-ansi=&quot;Cambria Math&quot; w:cs=&quot;Calibri&quot;/&gt;&lt;wx:font wx:val=&quot;Cambria Math&quot;/&gt;&lt;w:i/&gt;&lt;w:sz w:val=&quot;24&quot;/&gt;&lt;w:sz-cs w:val=&quot;24&quot;/&gt;&lt;/w:rPr&gt;&lt;m:t&gt;L&lt;/m:t&gt;&lt;/m:r&gt;&lt;/m:e&gt;&lt;m:sub&gt;&lt;m:r&gt;&lt;w:rPr&gt;&lt;w:rFonts w:ascii=&quot;Cambria Math&quot; w:fareast=&quot;Calibri&quot; w:h-ansi=&quot;Cambria Math&quot; w:cs=&quot;Calibri&quot;/&gt;&lt;wx:font wx:val=&quot;Cambria Math&quot;/&gt;&lt;w:i/&gt;&lt;w:sz w:val=&quot;24&quot;/&gt;&lt;w:sz-cs w:val=&quot;24&quot;/&gt;&lt;/w:rPr&gt;&lt;m:t&gt;i&lt;/m:t&gt;&lt;/m:r&gt;&lt;/m:sub&gt;&lt;/m:sSub&gt;&lt;/m:e&gt;&lt;/m:d&gt;&lt;m:r&gt;&lt;w:rPr&gt;&lt;w:rFonts w:ascii=&quot;Cambria Math&quot; w:fareast=&quot;Calibri&quot; w:h-ansi=&quot;Cambria Math&quot; w:cs=&quot;Calibri&quot;/&gt;&lt;wx:font wx:val=&quot;Cambria Math&quot;/&gt;&lt;w:i/&gt;&lt;w:sz w:val=&quot;24&quot;/&gt;&lt;w:sz-cs w:val=&quot;24&quot;/&gt;&lt;/w:rPr&gt;&lt;m:t&gt;+Var &lt;/m:t&gt;&lt;/m:r&gt;&lt;m:d&gt;&lt;m:dPr&gt;&lt;m:ctrlPr&gt;&lt;w:rPr&gt;&lt;w:rFonts w:ascii=&quot;Cambria Math&quot; w:fareast=&quot;Calibri&quot; w:h-ansi=&quot;Cambria Math&quot; w:cs=&quot;Calibri&quot;/&gt;&lt;wx:font wx:val=&quot;Cambria Math&quot;/&gt;&lt;w:i/&gt;&lt;w:sz w:val=&quot;24&quot;/&gt;&lt;w:sz-cs w:val=&quot;24&quot;/&gt;&lt;/w:rPr&gt;&lt;/m:ctrlPr&gt;&lt;/m:dPr&gt;&lt;m:e&gt;&lt;m:sSub&gt;&lt;m:sSubPr&gt;&lt;m:ctrlPr&gt;&lt;w:rPr&gt;&lt;w:rFonts w:ascii=&quot;Cambria Math&quot; w:fareast=&quot;Calibri&quot; w:h-ansi=&quot;Cambria Math&quot; w:cs=&quot;Calibri&quot;/&gt;&lt;wx:font wx:val=&quot;Cambria Math&quot;/&gt;&lt;w:i/&gt;&lt;w:sz w:val=&quot;24&quot;/&gt;&lt;w:sz-cs w:val=&quot;24&quot;/&gt;&lt;/w:rPr&gt;&lt;/m:ctrlPr&gt;&lt;/m:sSubPr&gt;&lt;m:e&gt;&lt;m:r&gt;&lt;w:rPr&gt;&lt;w:rFonts w:ascii=&quot;Cambria Math&quot; w:fareast=&quot;Calibri&quot; w:h-ansi=&quot;Cambria Math&quot; w:cs=&quot;Calibri&quot;/&gt;&lt;wx:font wx:val=&quot;Cambria Math&quot;/&gt;&lt;w:i/&gt;&lt;w:sz w:val=&quot;24&quot;/&gt;&lt;w:sz-cs w:val=&quot;24&quot;/&gt;&lt;/w:rPr&gt;&lt;m:t&gt;L&lt;/m:t&gt;&lt;/m:r&gt;&lt;/m:e&gt;&lt;m:sub&gt;&lt;m:r&gt;&lt;w:rPr&gt;&lt;w:rFonts w:ascii=&quot;Cambria Math&quot; w:fareast=&quot;Calibri&quot; w:h-ansi=&quot;Cambria Math&quot; w:cs=&quot;Calibri&quot;/&gt;&lt;wx:font wx:val=&quot;Cambria Math&quot;/&gt;&lt;w:i/&gt;&lt;w:sz w:val=&quot;24&quot;/&gt;&lt;w:sz-cs w:val=&quot;24&quot;/&gt;&lt;/w:rPr&gt;&lt;m:t&gt;j&lt;/m:t&gt;&lt;/m:r&gt;&lt;/m:sub&gt;&lt;/m:sSub&gt;&lt;/m:e&gt;&lt;/m:d&gt;&lt;m:r&gt;&lt;w:rPr&gt;&lt;w:rFonts w:ascii=&quot;Cambria Math&quot; w:fareast=&quot;Calibri&quot; w:h-ansi=&quot;Cambria Math&quot; w:cs=&quot;Calibri&quot;/&gt;&lt;wx:font wx:val=&quot;Cambria Math&quot;/&gt;&lt;w:i/&gt;&lt;w:sz w:val=&quot;24&quot;/&gt;&lt;w:sz-cs w:val=&quot;24&quot;/&gt;&lt;/w:rPr&gt;&lt;m:t&gt;-2.Cov &lt;/m:t&gt;&lt;/m:r&gt;&lt;m:d&gt;&lt;m:dPr&gt;&lt;m:ctrlPr&gt;&lt;w:rPr&gt;&lt;w:rFonts w:ascii=&quot;Cambria Math&quot; w:fareast=&quot;Calibri&quot; w:h-ansi=&quot;Cambria Math&quot; w:cs=&quot;Calibri&quot;/&gt;&lt;wx:font wx:val=&quot;Cambria Math&quot;/&gt;&lt;w:i/&gt;&lt;w:sz w:val=&quot;24&quot;/&gt;&lt;w:sz-cs w:val=&quot;24&quot;/&gt;&lt;/w:rPr&gt;&lt;/m:ctrlPr&gt;&lt;/m:dPr&gt;&lt;m:e&gt;&lt;m:sSub&gt;&lt;m:sSubPr&gt;&lt;m:ctrlPr&gt;&lt;w:rPr&gt;&lt;w:rFonts w:ascii=&quot;Cambria Math&quot; w:fareast=&quot;Calibri&quot; w:h-ansi=&quot;Cambria Math&quot; w:cs=&quot;Calibri&quot;/&gt;&lt;wx:font wx:val=&quot;Cambria Math&quot;/&gt;&lt;w:i/&gt;&lt;w:sz w:val=&quot;24&quot;/&gt;&lt;w:sz-cs w:val=&quot;24&quot;/&gt;&lt;/w:rPr&gt;&lt;/m:ctrlPr&gt;&lt;/m:sSubPr&gt;&lt;m:e&gt;&lt;m:r&gt;&lt;w:rPr&gt;&lt;w:rFonts w:ascii=&quot;Cambria Math&quot; w:fareast=&quot;Calibri&quot; w:h-ansi=&quot;Cambria Math&quot; w:cs=&quot;Calibri&quot;/&gt;&lt;wx:font wx:val=&quot;Cambria Math&quot;/&gt;&lt;w:i/&gt;&lt;w:sz w:val=&quot;24&quot;/&gt;&lt;w:sz-cs w:val=&quot;24&quot;/&gt;&lt;/w:rPr&gt;&lt;m:t&gt;L&lt;/m:t&gt;&lt;/m:r&gt;&lt;/m:e&gt;&lt;m:sub&gt;&lt;m:r&gt;&lt;w:rPr&gt;&lt;w:rFonts w:ascii=&quot;Cambria Math&quot; w:fareast=&quot;Calibri&quot; w:h-ansi=&quot;Cambria Math&quot; w:cs=&quot;Calibri&quot;/&gt;&lt;wx:font wx:val=&quot;Cambria Math&quot;/&gt;&lt;w:i/&gt;&lt;w:sz w:val=&quot;24&quot;/&gt;&lt;w:sz-cs w:val=&quot;24&quot;/&gt;&lt;/w:rPr&gt;&lt;m:t&gt;i&lt;/m:t&gt;&lt;/m:r&gt;&lt;/m:sub&gt;&lt;/m:sSub&gt;&lt;m:r&gt;&lt;w:rPr&gt;&lt;w:rFonts w:ascii=&quot;Cambria Math&quot; w:fareast=&quot;Calibri&quot; w:h-ansi=&quot;Cambria Math&quot; w:cs=&quot;Calibri&quot;/&gt;&lt;wx:font wx:val=&quot;Cambria Math&quot;/&gt;&lt;w:i/&gt;&lt;w:sz w:val=&quot;24&quot;/&gt;&lt;w:sz-cs w:val=&quot;24&quot;/&gt;&lt;/w:rPr&gt;&lt;m:t&gt;,&lt;/m:t&gt;&lt;/m:r&gt;&lt;m:sSub&gt;&lt;m:sSubPr&gt;&lt;m:ctrlPr&gt;&lt;w:rPr&gt;&lt;w:rFonts w:ascii=&quot;Cambria Math&quot; w:fareast=&quot;Calibri&quot; w:h-ansi=&quot;Cambria Math&quot; w:cs=&quot;Calibri&quot;/&gt;&lt;wx:font wx:val=&quot;Cambria Math&quot;/&gt;&lt;w:i/&gt;&lt;w:sz w:val=&quot;24&quot;/&gt;&lt;w:sz-cs w:val=&quot;24&quot;/&gt;&lt;/w:rPr&gt;&lt;/m:ctrlPr&gt;&lt;/m:sSubPr&gt;&lt;m:e&gt;&lt;m:r&gt;&lt;w:rPr&gt;&lt;w:rFonts w:ascii=&quot;Cambria Math&quot; w:fareast=&quot;Calibri&quot; w:h-ansi=&quot;Cambria Math&quot; w:cs=&quot;Calibri&quot;/&gt;&lt;wx:font wx:val=&quot;Cambria Math&quot;/&gt;&lt;w:i/&gt;&lt;w:sz w:val=&quot;24&quot;/&gt;&lt;w:sz-cs w:val=&quot;24&quot;/&gt;&lt;/w:rPr&gt;&lt;m:t&gt;L&lt;/m:t&gt;&lt;/m:r&gt;&lt;/m:e&gt;&lt;m:sub&gt;&lt;m:r&gt;&lt;w:rPr&gt;&lt;w:rFonts w:ascii=&quot;Cambria Math&quot; w:fareast=&quot;Calibri&quot; w:h-ansi=&quot;Cambria Math&quot; w:cs=&quot;Calibri&quot;/&gt;&lt;wx:font wx:val=&quot;Cambria Math&quot;/&gt;&lt;w:i/&gt;&lt;w:sz w:val=&quot;24&quot;/&gt;&lt;w:sz-cs w:val=&quot;24&quot;/&gt;&lt;/w:rPr&gt;&lt;m:t&gt;j&lt;/m:t&gt;&lt;/m:r&gt;&lt;/m:sub&gt;&lt;/m:sSub&gt;&lt;/m:e&gt;&lt;/m:d&gt;&lt;/m:e&gt;&lt;/m:rad&gt;&lt;/m:oMath&gt;&lt;/m:oMathPara&gt;&lt;/w:p&gt;&lt;w:sectPr wsp:rsidR=&quot;00000000&quot; wsp:rsidRPr=&quot;00B838DE&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8" o:title="" chromakey="white"/>
                </v:shape>
              </w:pict>
            </w:r>
          </w:p>
        </w:tc>
        <w:tc>
          <w:tcPr>
            <w:tcW w:w="500" w:type="pct"/>
            <w:shd w:val="clear" w:color="auto" w:fill="auto"/>
            <w:tcMar>
              <w:top w:w="57" w:type="dxa"/>
              <w:left w:w="57" w:type="dxa"/>
              <w:bottom w:w="57" w:type="dxa"/>
              <w:right w:w="57" w:type="dxa"/>
            </w:tcMar>
            <w:vAlign w:val="center"/>
          </w:tcPr>
          <w:p w14:paraId="4EBD2600" w14:textId="77777777" w:rsidR="00A10636" w:rsidRPr="00D9348B" w:rsidRDefault="00A10636" w:rsidP="00DB330E">
            <w:pPr>
              <w:spacing w:before="120"/>
              <w:rPr>
                <w:rFonts w:eastAsia="Calibri" w:cs="Calibri"/>
                <w:i/>
              </w:rPr>
            </w:pPr>
            <w:r w:rsidRPr="00D9348B">
              <w:rPr>
                <w:rFonts w:eastAsia="Calibri" w:cs="Calibri"/>
                <w:i/>
              </w:rPr>
              <w:t>(5)</w:t>
            </w:r>
          </w:p>
        </w:tc>
      </w:tr>
    </w:tbl>
    <w:p w14:paraId="2B02F93C" w14:textId="6479A917" w:rsidR="00A10636" w:rsidRPr="00D9348B" w:rsidRDefault="00A10636" w:rsidP="00A10636">
      <w:pPr>
        <w:spacing w:before="240" w:after="120"/>
        <w:ind w:left="993" w:hanging="993"/>
        <w:rPr>
          <w:rFonts w:eastAsia="Arial"/>
        </w:rPr>
      </w:pPr>
      <w:r w:rsidRPr="00D9348B">
        <w:rPr>
          <w:rFonts w:eastAsia="Arial"/>
        </w:rPr>
        <w:t>Where:</w:t>
      </w:r>
      <w:r w:rsidRPr="00D9348B">
        <w:rPr>
          <w:rFonts w:eastAsia="Arial"/>
        </w:rPr>
        <w:tab/>
      </w:r>
      <w:proofErr w:type="gramStart"/>
      <w:r w:rsidRPr="00D9348B">
        <w:rPr>
          <w:rFonts w:eastAsia="Arial"/>
          <w:i/>
        </w:rPr>
        <w:t>Var(</w:t>
      </w:r>
      <w:proofErr w:type="gramEnd"/>
      <w:r w:rsidRPr="00D9348B">
        <w:rPr>
          <w:rFonts w:eastAsia="Arial"/>
          <w:i/>
        </w:rPr>
        <w:t>L</w:t>
      </w:r>
      <w:r w:rsidRPr="00D9348B">
        <w:rPr>
          <w:rFonts w:eastAsia="Arial"/>
          <w:i/>
          <w:vertAlign w:val="subscript"/>
        </w:rPr>
        <w:t>i</w:t>
      </w:r>
      <w:r w:rsidRPr="00D9348B">
        <w:rPr>
          <w:rFonts w:eastAsia="Arial"/>
          <w:i/>
        </w:rPr>
        <w:t>)</w:t>
      </w:r>
      <w:r w:rsidRPr="00D9348B">
        <w:rPr>
          <w:rFonts w:eastAsia="Arial"/>
        </w:rPr>
        <w:t xml:space="preserve"> = the variance of </w:t>
      </w:r>
      <w:r w:rsidR="00766DDA">
        <w:rPr>
          <w:rFonts w:eastAsia="Arial"/>
        </w:rPr>
        <w:t>land-use</w:t>
      </w:r>
      <w:r w:rsidRPr="00D9348B">
        <w:rPr>
          <w:rFonts w:eastAsia="Arial"/>
        </w:rPr>
        <w:t xml:space="preserve"> effect</w:t>
      </w:r>
      <w:r w:rsidRPr="00D9348B">
        <w:rPr>
          <w:rFonts w:eastAsia="Arial"/>
        </w:rPr>
        <w:fldChar w:fldCharType="begin"/>
      </w:r>
      <w:r w:rsidRPr="00D9348B">
        <w:rPr>
          <w:rFonts w:eastAsia="Arial"/>
        </w:rPr>
        <w:instrText xml:space="preserve"> QUOTE </w:instrText>
      </w:r>
      <w:r w:rsidR="007165CF">
        <w:rPr>
          <w:rFonts w:eastAsia="Arial"/>
          <w:position w:val="-5"/>
        </w:rPr>
        <w:pict w14:anchorId="258DC661">
          <v:shape id="_x0000_i1137" type="#_x0000_t75" style="width:6.25pt;height:1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activeWritingStyle w:lang=&quot;EN-NZ&quot; w:vendorID=&quot;64&quot; w:dllVersion=&quot;6&quot; w:nlCheck=&quot;on&quot; w:optionSet=&quot;1&quot;/&gt;&lt;w:stylePaneFormatFilter w:val=&quot;5804&quot;/&gt;&lt;w:defaultTabStop w:val=&quot;397&quot;/&gt;&lt;w:evenAndOddHeaders/&gt;&lt;w:drawingGridHorizontalSpacing w:val=&quot;187&quot;/&gt;&lt;w:displayVerticalDrawingGridEvery w:val=&quot;2&quot;/&gt;&lt;w:characterSpacingControl w:val=&quot;DontCompress&quot;/&gt;&lt;w:optimizeForBrowser/&gt;&lt;w:validateAgainstSchema/&gt;&lt;w:saveInvalidXML w:val=&quot;off&quot;/&gt;&lt;w:ignoreMixedContent w:val=&quot;off&quot;/&gt;&lt;w:alwaysShowPlaceholderText w:val=&quot;off&quot;/&gt;&lt;w:compat&gt;&lt;w:suppressBottomSpacing/&gt;&lt;w:suppressTopSpacing/&gt;&lt;w:doNotUseHTMLParagraphAutoSpacing/&gt;&lt;w:breakWrappedTables/&gt;&lt;w:snapToGridInCell/&gt;&lt;w:wrapTextWithPunct/&gt;&lt;w:useAsianBreakRules/&gt;&lt;w:useWord2002TableStyleRules/&gt;&lt;/w:compat&gt;&lt;wsp:rsids&gt;&lt;wsp:rsidRoot wsp:val=&quot;007A30E8&quot;/&gt;&lt;wsp:rsid wsp:val=&quot;00001716&quot;/&gt;&lt;wsp:rsid wsp:val=&quot;00007ABB&quot;/&gt;&lt;wsp:rsid wsp:val=&quot;00021ACF&quot;/&gt;&lt;wsp:rsid wsp:val=&quot;00027E55&quot;/&gt;&lt;wsp:rsid wsp:val=&quot;00032A28&quot;/&gt;&lt;wsp:rsid wsp:val=&quot;00035185&quot;/&gt;&lt;wsp:rsid wsp:val=&quot;0004051F&quot;/&gt;&lt;wsp:rsid wsp:val=&quot;00050008&quot;/&gt;&lt;wsp:rsid wsp:val=&quot;000576EC&quot;/&gt;&lt;wsp:rsid wsp:val=&quot;00082902&quot;/&gt;&lt;wsp:rsid wsp:val=&quot;000959CB&quot;/&gt;&lt;wsp:rsid wsp:val=&quot;000B1212&quot;/&gt;&lt;wsp:rsid wsp:val=&quot;000B5C5F&quot;/&gt;&lt;wsp:rsid wsp:val=&quot;000C20A6&quot;/&gt;&lt;wsp:rsid wsp:val=&quot;000D120B&quot;/&gt;&lt;wsp:rsid wsp:val=&quot;000F4DEF&quot;/&gt;&lt;wsp:rsid wsp:val=&quot;00103A70&quot;/&gt;&lt;wsp:rsid wsp:val=&quot;00116E1B&quot;/&gt;&lt;wsp:rsid wsp:val=&quot;001221C3&quot;/&gt;&lt;wsp:rsid wsp:val=&quot;00124792&quot;/&gt;&lt;wsp:rsid wsp:val=&quot;00130604&quot;/&gt;&lt;wsp:rsid wsp:val=&quot;00153F5A&quot;/&gt;&lt;wsp:rsid wsp:val=&quot;00156D4F&quot;/&gt;&lt;wsp:rsid wsp:val=&quot;001577FD&quot;/&gt;&lt;wsp:rsid wsp:val=&quot;00177C9C&quot;/&gt;&lt;wsp:rsid wsp:val=&quot;00180C1C&quot;/&gt;&lt;wsp:rsid wsp:val=&quot;001970E1&quot;/&gt;&lt;wsp:rsid wsp:val=&quot;001A1997&quot;/&gt;&lt;wsp:rsid wsp:val=&quot;001B6FD2&quot;/&gt;&lt;wsp:rsid wsp:val=&quot;001D366E&quot;/&gt;&lt;wsp:rsid wsp:val=&quot;001D4675&quot;/&gt;&lt;wsp:rsid wsp:val=&quot;001E584F&quot;/&gt;&lt;wsp:rsid wsp:val=&quot;00207ABF&quot;/&gt;&lt;wsp:rsid wsp:val=&quot;00224522&quot;/&gt;&lt;wsp:rsid wsp:val=&quot;002253F5&quot;/&gt;&lt;wsp:rsid wsp:val=&quot;002278D8&quot;/&gt;&lt;wsp:rsid wsp:val=&quot;00240B42&quot;/&gt;&lt;wsp:rsid wsp:val=&quot;00244E0E&quot;/&gt;&lt;wsp:rsid wsp:val=&quot;00260B48&quot;/&gt;&lt;wsp:rsid wsp:val=&quot;00274AE4&quot;/&gt;&lt;wsp:rsid wsp:val=&quot;00276A11&quot;/&gt;&lt;wsp:rsid wsp:val=&quot;0028581A&quot;/&gt;&lt;wsp:rsid wsp:val=&quot;002868D3&quot;/&gt;&lt;wsp:rsid wsp:val=&quot;00295B2A&quot;/&gt;&lt;wsp:rsid wsp:val=&quot;002A1361&quot;/&gt;&lt;wsp:rsid wsp:val=&quot;002A49D7&quot;/&gt;&lt;wsp:rsid wsp:val=&quot;002B1C5A&quot;/&gt;&lt;wsp:rsid wsp:val=&quot;002B3284&quot;/&gt;&lt;wsp:rsid wsp:val=&quot;002B3633&quot;/&gt;&lt;wsp:rsid wsp:val=&quot;002D60DB&quot;/&gt;&lt;wsp:rsid wsp:val=&quot;002D6A54&quot;/&gt;&lt;wsp:rsid wsp:val=&quot;002D6AB5&quot;/&gt;&lt;wsp:rsid wsp:val=&quot;002F134A&quot;/&gt;&lt;wsp:rsid wsp:val=&quot;002F6369&quot;/&gt;&lt;wsp:rsid wsp:val=&quot;00302D84&quot;/&gt;&lt;wsp:rsid wsp:val=&quot;00306B8F&quot;/&gt;&lt;wsp:rsid wsp:val=&quot;00315760&quot;/&gt;&lt;wsp:rsid wsp:val=&quot;0032349D&quot;/&gt;&lt;wsp:rsid wsp:val=&quot;00330809&quot;/&gt;&lt;wsp:rsid wsp:val=&quot;00353362&quot;/&gt;&lt;wsp:rsid wsp:val=&quot;0036324D&quot;/&gt;&lt;wsp:rsid wsp:val=&quot;00365854&quot;/&gt;&lt;wsp:rsid wsp:val=&quot;0037590E&quot;/&gt;&lt;wsp:rsid wsp:val=&quot;00377186&quot;/&gt;&lt;wsp:rsid wsp:val=&quot;00383207&quot;/&gt;&lt;wsp:rsid wsp:val=&quot;00395B45&quot;/&gt;&lt;wsp:rsid wsp:val=&quot;003972EF&quot;/&gt;&lt;wsp:rsid wsp:val=&quot;00397D2B&quot;/&gt;&lt;wsp:rsid wsp:val=&quot;003A5006&quot;/&gt;&lt;wsp:rsid wsp:val=&quot;003C2615&quot;/&gt;&lt;wsp:rsid wsp:val=&quot;003D0318&quot;/&gt;&lt;wsp:rsid wsp:val=&quot;003D4BDF&quot;/&gt;&lt;wsp:rsid wsp:val=&quot;003D5417&quot;/&gt;&lt;wsp:rsid wsp:val=&quot;003E4A42&quot;/&gt;&lt;wsp:rsid wsp:val=&quot;00400F92&quot;/&gt;&lt;wsp:rsid wsp:val=&quot;004044F1&quot;/&gt;&lt;wsp:rsid wsp:val=&quot;0042424B&quot;/&gt;&lt;wsp:rsid wsp:val=&quot;00430D5D&quot;/&gt;&lt;wsp:rsid wsp:val=&quot;00444336&quot;/&gt;&lt;wsp:rsid wsp:val=&quot;00455788&quot;/&gt;&lt;wsp:rsid wsp:val=&quot;0045652C&quot;/&gt;&lt;wsp:rsid wsp:val=&quot;00462497&quot;/&gt;&lt;wsp:rsid wsp:val=&quot;004805A3&quot;/&gt;&lt;wsp:rsid wsp:val=&quot;00490EB0&quot;/&gt;&lt;wsp:rsid wsp:val=&quot;004A39F8&quot;/&gt;&lt;wsp:rsid wsp:val=&quot;004A3C2C&quot;/&gt;&lt;wsp:rsid wsp:val=&quot;004A618E&quot;/&gt;&lt;wsp:rsid wsp:val=&quot;004E4B2C&quot;/&gt;&lt;wsp:rsid wsp:val=&quot;004E517A&quot;/&gt;&lt;wsp:rsid wsp:val=&quot;004F1572&quot;/&gt;&lt;wsp:rsid wsp:val=&quot;004F483D&quot;/&gt;&lt;wsp:rsid wsp:val=&quot;00502D87&quot;/&gt;&lt;wsp:rsid wsp:val=&quot;0052105D&quot;/&gt;&lt;wsp:rsid wsp:val=&quot;00526270&quot;/&gt;&lt;wsp:rsid wsp:val=&quot;005338F3&quot;/&gt;&lt;wsp:rsid wsp:val=&quot;00534210&quot;/&gt;&lt;wsp:rsid wsp:val=&quot;00540271&quot;/&gt;&lt;wsp:rsid wsp:val=&quot;00543478&quot;/&gt;&lt;wsp:rsid wsp:val=&quot;00545600&quot;/&gt;&lt;wsp:rsid wsp:val=&quot;00546A6A&quot;/&gt;&lt;wsp:rsid wsp:val=&quot;00562240&quot;/&gt;&lt;wsp:rsid wsp:val=&quot;005630B0&quot;/&gt;&lt;wsp:rsid wsp:val=&quot;005660CD&quot;/&gt;&lt;wsp:rsid wsp:val=&quot;005720F2&quot;/&gt;&lt;wsp:rsid wsp:val=&quot;005812D6&quot;/&gt;&lt;wsp:rsid wsp:val=&quot;00591646&quot;/&gt;&lt;wsp:rsid wsp:val=&quot;00596603&quot;/&gt;&lt;wsp:rsid wsp:val=&quot;005B76A4&quot;/&gt;&lt;wsp:rsid wsp:val=&quot;005C3384&quot;/&gt;&lt;wsp:rsid wsp:val=&quot;005C416E&quot;/&gt;&lt;wsp:rsid wsp:val=&quot;005C6E3E&quot;/&gt;&lt;wsp:rsid wsp:val=&quot;005D1C3A&quot;/&gt;&lt;wsp:rsid wsp:val=&quot;005E43DD&quot;/&gt;&lt;wsp:rsid wsp:val=&quot;005E77C4&quot;/&gt;&lt;wsp:rsid wsp:val=&quot;005E7AB9&quot;/&gt;&lt;wsp:rsid wsp:val=&quot;00600179&quot;/&gt;&lt;wsp:rsid wsp:val=&quot;00603FC0&quot;/&gt;&lt;wsp:rsid wsp:val=&quot;006167DD&quot;/&gt;&lt;wsp:rsid wsp:val=&quot;00636BF0&quot;/&gt;&lt;wsp:rsid wsp:val=&quot;00637524&quot;/&gt;&lt;wsp:rsid wsp:val=&quot;00646B6D&quot;/&gt;&lt;wsp:rsid wsp:val=&quot;00647697&quot;/&gt;&lt;wsp:rsid wsp:val=&quot;00655908&quot;/&gt;&lt;wsp:rsid wsp:val=&quot;006654F8&quot;/&gt;&lt;wsp:rsid wsp:val=&quot;00665768&quot;/&gt;&lt;wsp:rsid wsp:val=&quot;00667291&quot;/&gt;&lt;wsp:rsid wsp:val=&quot;00671024&quot;/&gt;&lt;wsp:rsid wsp:val=&quot;00686249&quot;/&gt;&lt;wsp:rsid wsp:val=&quot;00687504&quot;/&gt;&lt;wsp:rsid wsp:val=&quot;00691AFF&quot;/&gt;&lt;wsp:rsid wsp:val=&quot;006A171F&quot;/&gt;&lt;wsp:rsid wsp:val=&quot;006A36A8&quot;/&gt;&lt;wsp:rsid wsp:val=&quot;006A4209&quot;/&gt;&lt;wsp:rsid wsp:val=&quot;006A4E5F&quot;/&gt;&lt;wsp:rsid wsp:val=&quot;006B44DA&quot;/&gt;&lt;wsp:rsid wsp:val=&quot;006C5461&quot;/&gt;&lt;wsp:rsid wsp:val=&quot;006D2536&quot;/&gt;&lt;wsp:rsid wsp:val=&quot;006D3FAE&quot;/&gt;&lt;wsp:rsid wsp:val=&quot;006D4600&quot;/&gt;&lt;wsp:rsid wsp:val=&quot;006E0A2C&quot;/&gt;&lt;wsp:rsid wsp:val=&quot;006E202B&quot;/&gt;&lt;wsp:rsid wsp:val=&quot;006E57B5&quot;/&gt;&lt;wsp:rsid wsp:val=&quot;00702FA0&quot;/&gt;&lt;wsp:rsid wsp:val=&quot;00715D39&quot;/&gt;&lt;wsp:rsid wsp:val=&quot;00724218&quot;/&gt;&lt;wsp:rsid wsp:val=&quot;00737E65&quot;/&gt;&lt;wsp:rsid wsp:val=&quot;0074030A&quot;/&gt;&lt;wsp:rsid wsp:val=&quot;007409A3&quot;/&gt;&lt;wsp:rsid wsp:val=&quot;007575A8&quot;/&gt;&lt;wsp:rsid wsp:val=&quot;00762043&quot;/&gt;&lt;wsp:rsid wsp:val=&quot;007633C2&quot;/&gt;&lt;wsp:rsid wsp:val=&quot;00765A47&quot;/&gt;&lt;wsp:rsid wsp:val=&quot;00770E82&quot;/&gt;&lt;wsp:rsid wsp:val=&quot;00772E94&quot;/&gt;&lt;wsp:rsid wsp:val=&quot;007A30E8&quot;/&gt;&lt;wsp:rsid wsp:val=&quot;007A5E1C&quot;/&gt;&lt;wsp:rsid wsp:val=&quot;007B028B&quot;/&gt;&lt;wsp:rsid wsp:val=&quot;007B1D71&quot;/&gt;&lt;wsp:rsid wsp:val=&quot;007B7BF7&quot;/&gt;&lt;wsp:rsid wsp:val=&quot;007C00D0&quot;/&gt;&lt;wsp:rsid wsp:val=&quot;007C2186&quot;/&gt;&lt;wsp:rsid wsp:val=&quot;007D185B&quot;/&gt;&lt;wsp:rsid wsp:val=&quot;007F2233&quot;/&gt;&lt;wsp:rsid wsp:val=&quot;00804C17&quot;/&gt;&lt;wsp:rsid wsp:val=&quot;008053BA&quot;/&gt;&lt;wsp:rsid wsp:val=&quot;0080694B&quot;/&gt;&lt;wsp:rsid wsp:val=&quot;00810AB6&quot;/&gt;&lt;wsp:rsid wsp:val=&quot;0081779C&quot;/&gt;&lt;wsp:rsid wsp:val=&quot;00831D0D&quot;/&gt;&lt;wsp:rsid wsp:val=&quot;00832DEE&quot;/&gt;&lt;wsp:rsid wsp:val=&quot;00835B98&quot;/&gt;&lt;wsp:rsid wsp:val=&quot;00840713&quot;/&gt;&lt;wsp:rsid wsp:val=&quot;00854B9D&quot;/&gt;&lt;wsp:rsid wsp:val=&quot;00855A8A&quot;/&gt;&lt;wsp:rsid wsp:val=&quot;00872795&quot;/&gt;&lt;wsp:rsid wsp:val=&quot;008936D4&quot;/&gt;&lt;wsp:rsid wsp:val=&quot;008A2EC5&quot;/&gt;&lt;wsp:rsid wsp:val=&quot;008B77F5&quot;/&gt;&lt;wsp:rsid wsp:val=&quot;008C0279&quot;/&gt;&lt;wsp:rsid wsp:val=&quot;008C7C6D&quot;/&gt;&lt;wsp:rsid wsp:val=&quot;008C7F68&quot;/&gt;&lt;wsp:rsid wsp:val=&quot;008E380C&quot;/&gt;&lt;wsp:rsid wsp:val=&quot;008E405A&quot;/&gt;&lt;wsp:rsid wsp:val=&quot;008F25D2&quot;/&gt;&lt;wsp:rsid wsp:val=&quot;008F50EC&quot;/&gt;&lt;wsp:rsid wsp:val=&quot;008F587A&quot;/&gt;&lt;wsp:rsid wsp:val=&quot;0090054C&quot;/&gt;&lt;wsp:rsid wsp:val=&quot;00900565&quot;/&gt;&lt;wsp:rsid wsp:val=&quot;009010F8&quot;/&gt;&lt;wsp:rsid wsp:val=&quot;009134CA&quot;/&gt;&lt;wsp:rsid wsp:val=&quot;00914CC6&quot;/&gt;&lt;wsp:rsid wsp:val=&quot;00925AA2&quot;/&gt;&lt;wsp:rsid wsp:val=&quot;0092751F&quot;/&gt;&lt;wsp:rsid wsp:val=&quot;00932067&quot;/&gt;&lt;wsp:rsid wsp:val=&quot;0093594A&quot;/&gt;&lt;wsp:rsid wsp:val=&quot;009451C4&quot;/&gt;&lt;wsp:rsid wsp:val=&quot;00955D73&quot;/&gt;&lt;wsp:rsid wsp:val=&quot;0096512C&quot;/&gt;&lt;wsp:rsid wsp:val=&quot;0096540A&quot;/&gt;&lt;wsp:rsid wsp:val=&quot;009C0F3A&quot;/&gt;&lt;wsp:rsid wsp:val=&quot;009C5D2A&quot;/&gt;&lt;wsp:rsid wsp:val=&quot;00A02252&quot;/&gt;&lt;wsp:rsid wsp:val=&quot;00A06700&quot;/&gt;&lt;wsp:rsid wsp:val=&quot;00A10636&quot;/&gt;&lt;wsp:rsid wsp:val=&quot;00A331E7&quot;/&gt;&lt;wsp:rsid wsp:val=&quot;00A34169&quot;/&gt;&lt;wsp:rsid wsp:val=&quot;00A37D9B&quot;/&gt;&lt;wsp:rsid wsp:val=&quot;00A41C3C&quot;/&gt;&lt;wsp:rsid wsp:val=&quot;00A4725A&quot;/&gt;&lt;wsp:rsid wsp:val=&quot;00A5060F&quot;/&gt;&lt;wsp:rsid wsp:val=&quot;00A628DC&quot;/&gt;&lt;wsp:rsid wsp:val=&quot;00A76984&quot;/&gt;&lt;wsp:rsid wsp:val=&quot;00AA0A87&quot;/&gt;&lt;wsp:rsid wsp:val=&quot;00AA7B1E&quot;/&gt;&lt;wsp:rsid wsp:val=&quot;00AB2710&quot;/&gt;&lt;wsp:rsid wsp:val=&quot;00AC555A&quot;/&gt;&lt;wsp:rsid wsp:val=&quot;00AD184B&quot;/&gt;&lt;wsp:rsid wsp:val=&quot;00AE02E6&quot;/&gt;&lt;wsp:rsid wsp:val=&quot;00B0566D&quot;/&gt;&lt;wsp:rsid wsp:val=&quot;00B35BD9&quot;/&gt;&lt;wsp:rsid wsp:val=&quot;00B37DE8&quot;/&gt;&lt;wsp:rsid wsp:val=&quot;00B43898&quot;/&gt;&lt;wsp:rsid wsp:val=&quot;00B44BA5&quot;/&gt;&lt;wsp:rsid wsp:val=&quot;00B84125&quot;/&gt;&lt;wsp:rsid wsp:val=&quot;00B928E7&quot;/&gt;&lt;wsp:rsid wsp:val=&quot;00B961F6&quot;/&gt;&lt;wsp:rsid wsp:val=&quot;00BA5F7E&quot;/&gt;&lt;wsp:rsid wsp:val=&quot;00BB7F2F&quot;/&gt;&lt;wsp:rsid wsp:val=&quot;00BC7E76&quot;/&gt;&lt;wsp:rsid wsp:val=&quot;00BD3902&quot;/&gt;&lt;wsp:rsid wsp:val=&quot;00BE472F&quot;/&gt;&lt;wsp:rsid wsp:val=&quot;00BE5513&quot;/&gt;&lt;wsp:rsid wsp:val=&quot;00BF12F6&quot;/&gt;&lt;wsp:rsid wsp:val=&quot;00C00765&quot;/&gt;&lt;wsp:rsid wsp:val=&quot;00C10464&quot;/&gt;&lt;wsp:rsid wsp:val=&quot;00C119C2&quot;/&gt;&lt;wsp:rsid wsp:val=&quot;00C15758&quot;/&gt;&lt;wsp:rsid wsp:val=&quot;00C21B54&quot;/&gt;&lt;wsp:rsid wsp:val=&quot;00C27E02&quot;/&gt;&lt;wsp:rsid wsp:val=&quot;00C40967&quot;/&gt;&lt;wsp:rsid wsp:val=&quot;00C42C64&quot;/&gt;&lt;wsp:rsid wsp:val=&quot;00C4400C&quot;/&gt;&lt;wsp:rsid wsp:val=&quot;00C600E2&quot;/&gt;&lt;wsp:rsid wsp:val=&quot;00C63D43&quot;/&gt;&lt;wsp:rsid wsp:val=&quot;00C74134&quot;/&gt;&lt;wsp:rsid wsp:val=&quot;00C823B1&quot;/&gt;&lt;wsp:rsid wsp:val=&quot;00C86A71&quot;/&gt;&lt;wsp:rsid wsp:val=&quot;00C93D19&quot;/&gt;&lt;wsp:rsid wsp:val=&quot;00CA271E&quot;/&gt;&lt;wsp:rsid wsp:val=&quot;00CB1488&quot;/&gt;&lt;wsp:rsid wsp:val=&quot;00CB7414&quot;/&gt;&lt;wsp:rsid wsp:val=&quot;00CD5933&quot;/&gt;&lt;wsp:rsid wsp:val=&quot;00CE19C1&quot;/&gt;&lt;wsp:rsid wsp:val=&quot;00CF364B&quot;/&gt;&lt;wsp:rsid wsp:val=&quot;00CF3D81&quot;/&gt;&lt;wsp:rsid wsp:val=&quot;00D01CFE&quot;/&gt;&lt;wsp:rsid wsp:val=&quot;00D07C4B&quot;/&gt;&lt;wsp:rsid wsp:val=&quot;00D201C9&quot;/&gt;&lt;wsp:rsid wsp:val=&quot;00D225D8&quot;/&gt;&lt;wsp:rsid wsp:val=&quot;00D2503C&quot;/&gt;&lt;wsp:rsid wsp:val=&quot;00D30983&quot;/&gt;&lt;wsp:rsid wsp:val=&quot;00D33A2E&quot;/&gt;&lt;wsp:rsid wsp:val=&quot;00D34954&quot;/&gt;&lt;wsp:rsid wsp:val=&quot;00D367F2&quot;/&gt;&lt;wsp:rsid wsp:val=&quot;00D4214D&quot;/&gt;&lt;wsp:rsid wsp:val=&quot;00D511A1&quot;/&gt;&lt;wsp:rsid wsp:val=&quot;00D56CF9&quot;/&gt;&lt;wsp:rsid wsp:val=&quot;00D608D5&quot;/&gt;&lt;wsp:rsid wsp:val=&quot;00D651CA&quot;/&gt;&lt;wsp:rsid wsp:val=&quot;00D872BF&quot;/&gt;&lt;wsp:rsid wsp:val=&quot;00DA4C87&quot;/&gt;&lt;wsp:rsid wsp:val=&quot;00DB4CF4&quot;/&gt;&lt;wsp:rsid wsp:val=&quot;00DB5613&quot;/&gt;&lt;wsp:rsid wsp:val=&quot;00DE01F6&quot;/&gt;&lt;wsp:rsid wsp:val=&quot;00DE15BD&quot;/&gt;&lt;wsp:rsid wsp:val=&quot;00DE1FAA&quot;/&gt;&lt;wsp:rsid wsp:val=&quot;00DE2998&quot;/&gt;&lt;wsp:rsid wsp:val=&quot;00DE4223&quot;/&gt;&lt;wsp:rsid wsp:val=&quot;00DE6B60&quot;/&gt;&lt;wsp:rsid wsp:val=&quot;00DF14FA&quot;/&gt;&lt;wsp:rsid wsp:val=&quot;00DF1B90&quot;/&gt;&lt;wsp:rsid wsp:val=&quot;00E06D10&quot;/&gt;&lt;wsp:rsid wsp:val=&quot;00E07624&quot;/&gt;&lt;wsp:rsid wsp:val=&quot;00E20138&quot;/&gt;&lt;wsp:rsid wsp:val=&quot;00E20458&quot;/&gt;&lt;wsp:rsid wsp:val=&quot;00E22F51&quot;/&gt;&lt;wsp:rsid wsp:val=&quot;00E3344E&quot;/&gt;&lt;wsp:rsid wsp:val=&quot;00E47019&quot;/&gt;&lt;wsp:rsid wsp:val=&quot;00E55420&quot;/&gt;&lt;wsp:rsid wsp:val=&quot;00E56487&quot;/&gt;&lt;wsp:rsid wsp:val=&quot;00E62277&quot;/&gt;&lt;wsp:rsid wsp:val=&quot;00E81646&quot;/&gt;&lt;wsp:rsid wsp:val=&quot;00E83F08&quot;/&gt;&lt;wsp:rsid wsp:val=&quot;00E853F3&quot;/&gt;&lt;wsp:rsid wsp:val=&quot;00EC2491&quot;/&gt;&lt;wsp:rsid wsp:val=&quot;00ED2C42&quot;/&gt;&lt;wsp:rsid wsp:val=&quot;00EF0E0D&quot;/&gt;&lt;wsp:rsid wsp:val=&quot;00EF3B2B&quot;/&gt;&lt;wsp:rsid wsp:val=&quot;00F00EE9&quot;/&gt;&lt;wsp:rsid wsp:val=&quot;00F332EE&quot;/&gt;&lt;wsp:rsid wsp:val=&quot;00F379DD&quot;/&gt;&lt;wsp:rsid wsp:val=&quot;00F44640&quot;/&gt;&lt;wsp:rsid wsp:val=&quot;00F47244&quot;/&gt;&lt;wsp:rsid wsp:val=&quot;00F511A7&quot;/&gt;&lt;wsp:rsid wsp:val=&quot;00F660F9&quot;/&gt;&lt;wsp:rsid wsp:val=&quot;00F849A7&quot;/&gt;&lt;wsp:rsid wsp:val=&quot;00F902E2&quot;/&gt;&lt;wsp:rsid wsp:val=&quot;00FA5F45&quot;/&gt;&lt;wsp:rsid wsp:val=&quot;00FA7522&quot;/&gt;&lt;wsp:rsid wsp:val=&quot;00FB2D36&quot;/&gt;&lt;wsp:rsid wsp:val=&quot;00FB71DC&quot;/&gt;&lt;wsp:rsid wsp:val=&quot;00FC2C59&quot;/&gt;&lt;wsp:rsid wsp:val=&quot;00FD178C&quot;/&gt;&lt;/wsp:rsids&gt;&lt;/w:docPr&gt;&lt;w:body&gt;&lt;wx:sect&gt;&lt;w:p wsp:rsidR=&quot;00000000&quot; wsp:rsidRDefault=&quot;00C86A71&quot; wsp:rsidP=&quot;00C86A71&quot;&gt;&lt;m:oMathPara&gt;&lt;m:oMath&gt;&lt;m:r&gt;&lt;w:rPr&gt;&lt;w:rFonts w:ascii=&quot;Cambria Math&quot; w:fareast=&quot;Arial&quot; w:h-ansi=&quot;Cambria Math&quot;/&gt;&lt;wx:font wx:val=&quot;Cambria Math&quot;/&gt;&lt;w:i/&gt;&lt;/w:rPr&gt;&lt;m:t&gt; 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9" o:title="" chromakey="white"/>
          </v:shape>
        </w:pict>
      </w:r>
      <w:r w:rsidRPr="00D9348B">
        <w:rPr>
          <w:rFonts w:eastAsia="Arial"/>
        </w:rPr>
        <w:instrText xml:space="preserve"> </w:instrText>
      </w:r>
      <w:r w:rsidRPr="00D9348B">
        <w:rPr>
          <w:rFonts w:eastAsia="Arial"/>
        </w:rPr>
        <w:fldChar w:fldCharType="separate"/>
      </w:r>
      <w:r w:rsidR="007165CF">
        <w:rPr>
          <w:rFonts w:eastAsia="Arial"/>
          <w:position w:val="-5"/>
        </w:rPr>
        <w:pict w14:anchorId="0508E056">
          <v:shape id="_x0000_i1138" type="#_x0000_t75" style="width:6.25pt;height:1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activeWritingStyle w:lang=&quot;EN-NZ&quot; w:vendorID=&quot;64&quot; w:dllVersion=&quot;6&quot; w:nlCheck=&quot;on&quot; w:optionSet=&quot;1&quot;/&gt;&lt;w:stylePaneFormatFilter w:val=&quot;5804&quot;/&gt;&lt;w:defaultTabStop w:val=&quot;397&quot;/&gt;&lt;w:evenAndOddHeaders/&gt;&lt;w:drawingGridHorizontalSpacing w:val=&quot;187&quot;/&gt;&lt;w:displayVerticalDrawingGridEvery w:val=&quot;2&quot;/&gt;&lt;w:characterSpacingControl w:val=&quot;DontCompress&quot;/&gt;&lt;w:optimizeForBrowser/&gt;&lt;w:validateAgainstSchema/&gt;&lt;w:saveInvalidXML w:val=&quot;off&quot;/&gt;&lt;w:ignoreMixedContent w:val=&quot;off&quot;/&gt;&lt;w:alwaysShowPlaceholderText w:val=&quot;off&quot;/&gt;&lt;w:compat&gt;&lt;w:suppressBottomSpacing/&gt;&lt;w:suppressTopSpacing/&gt;&lt;w:doNotUseHTMLParagraphAutoSpacing/&gt;&lt;w:breakWrappedTables/&gt;&lt;w:snapToGridInCell/&gt;&lt;w:wrapTextWithPunct/&gt;&lt;w:useAsianBreakRules/&gt;&lt;w:useWord2002TableStyleRules/&gt;&lt;/w:compat&gt;&lt;wsp:rsids&gt;&lt;wsp:rsidRoot wsp:val=&quot;007A30E8&quot;/&gt;&lt;wsp:rsid wsp:val=&quot;00001716&quot;/&gt;&lt;wsp:rsid wsp:val=&quot;00007ABB&quot;/&gt;&lt;wsp:rsid wsp:val=&quot;00021ACF&quot;/&gt;&lt;wsp:rsid wsp:val=&quot;00027E55&quot;/&gt;&lt;wsp:rsid wsp:val=&quot;00032A28&quot;/&gt;&lt;wsp:rsid wsp:val=&quot;00035185&quot;/&gt;&lt;wsp:rsid wsp:val=&quot;0004051F&quot;/&gt;&lt;wsp:rsid wsp:val=&quot;00050008&quot;/&gt;&lt;wsp:rsid wsp:val=&quot;000576EC&quot;/&gt;&lt;wsp:rsid wsp:val=&quot;00082902&quot;/&gt;&lt;wsp:rsid wsp:val=&quot;000959CB&quot;/&gt;&lt;wsp:rsid wsp:val=&quot;000B1212&quot;/&gt;&lt;wsp:rsid wsp:val=&quot;000B5C5F&quot;/&gt;&lt;wsp:rsid wsp:val=&quot;000C20A6&quot;/&gt;&lt;wsp:rsid wsp:val=&quot;000D120B&quot;/&gt;&lt;wsp:rsid wsp:val=&quot;000F4DEF&quot;/&gt;&lt;wsp:rsid wsp:val=&quot;00103A70&quot;/&gt;&lt;wsp:rsid wsp:val=&quot;00116E1B&quot;/&gt;&lt;wsp:rsid wsp:val=&quot;001221C3&quot;/&gt;&lt;wsp:rsid wsp:val=&quot;00124792&quot;/&gt;&lt;wsp:rsid wsp:val=&quot;00130604&quot;/&gt;&lt;wsp:rsid wsp:val=&quot;00153F5A&quot;/&gt;&lt;wsp:rsid wsp:val=&quot;00156D4F&quot;/&gt;&lt;wsp:rsid wsp:val=&quot;001577FD&quot;/&gt;&lt;wsp:rsid wsp:val=&quot;00177C9C&quot;/&gt;&lt;wsp:rsid wsp:val=&quot;00180C1C&quot;/&gt;&lt;wsp:rsid wsp:val=&quot;001970E1&quot;/&gt;&lt;wsp:rsid wsp:val=&quot;001A1997&quot;/&gt;&lt;wsp:rsid wsp:val=&quot;001B6FD2&quot;/&gt;&lt;wsp:rsid wsp:val=&quot;001D366E&quot;/&gt;&lt;wsp:rsid wsp:val=&quot;001D4675&quot;/&gt;&lt;wsp:rsid wsp:val=&quot;001E584F&quot;/&gt;&lt;wsp:rsid wsp:val=&quot;00207ABF&quot;/&gt;&lt;wsp:rsid wsp:val=&quot;00224522&quot;/&gt;&lt;wsp:rsid wsp:val=&quot;002253F5&quot;/&gt;&lt;wsp:rsid wsp:val=&quot;002278D8&quot;/&gt;&lt;wsp:rsid wsp:val=&quot;00240B42&quot;/&gt;&lt;wsp:rsid wsp:val=&quot;00244E0E&quot;/&gt;&lt;wsp:rsid wsp:val=&quot;00260B48&quot;/&gt;&lt;wsp:rsid wsp:val=&quot;00274AE4&quot;/&gt;&lt;wsp:rsid wsp:val=&quot;00276A11&quot;/&gt;&lt;wsp:rsid wsp:val=&quot;0028581A&quot;/&gt;&lt;wsp:rsid wsp:val=&quot;002868D3&quot;/&gt;&lt;wsp:rsid wsp:val=&quot;00295B2A&quot;/&gt;&lt;wsp:rsid wsp:val=&quot;002A1361&quot;/&gt;&lt;wsp:rsid wsp:val=&quot;002A49D7&quot;/&gt;&lt;wsp:rsid wsp:val=&quot;002B1C5A&quot;/&gt;&lt;wsp:rsid wsp:val=&quot;002B3284&quot;/&gt;&lt;wsp:rsid wsp:val=&quot;002B3633&quot;/&gt;&lt;wsp:rsid wsp:val=&quot;002D60DB&quot;/&gt;&lt;wsp:rsid wsp:val=&quot;002D6A54&quot;/&gt;&lt;wsp:rsid wsp:val=&quot;002D6AB5&quot;/&gt;&lt;wsp:rsid wsp:val=&quot;002F134A&quot;/&gt;&lt;wsp:rsid wsp:val=&quot;002F6369&quot;/&gt;&lt;wsp:rsid wsp:val=&quot;00302D84&quot;/&gt;&lt;wsp:rsid wsp:val=&quot;00306B8F&quot;/&gt;&lt;wsp:rsid wsp:val=&quot;00315760&quot;/&gt;&lt;wsp:rsid wsp:val=&quot;0032349D&quot;/&gt;&lt;wsp:rsid wsp:val=&quot;00330809&quot;/&gt;&lt;wsp:rsid wsp:val=&quot;00353362&quot;/&gt;&lt;wsp:rsid wsp:val=&quot;0036324D&quot;/&gt;&lt;wsp:rsid wsp:val=&quot;00365854&quot;/&gt;&lt;wsp:rsid wsp:val=&quot;0037590E&quot;/&gt;&lt;wsp:rsid wsp:val=&quot;00377186&quot;/&gt;&lt;wsp:rsid wsp:val=&quot;00383207&quot;/&gt;&lt;wsp:rsid wsp:val=&quot;00395B45&quot;/&gt;&lt;wsp:rsid wsp:val=&quot;003972EF&quot;/&gt;&lt;wsp:rsid wsp:val=&quot;00397D2B&quot;/&gt;&lt;wsp:rsid wsp:val=&quot;003A5006&quot;/&gt;&lt;wsp:rsid wsp:val=&quot;003C2615&quot;/&gt;&lt;wsp:rsid wsp:val=&quot;003D0318&quot;/&gt;&lt;wsp:rsid wsp:val=&quot;003D4BDF&quot;/&gt;&lt;wsp:rsid wsp:val=&quot;003D5417&quot;/&gt;&lt;wsp:rsid wsp:val=&quot;003E4A42&quot;/&gt;&lt;wsp:rsid wsp:val=&quot;00400F92&quot;/&gt;&lt;wsp:rsid wsp:val=&quot;004044F1&quot;/&gt;&lt;wsp:rsid wsp:val=&quot;0042424B&quot;/&gt;&lt;wsp:rsid wsp:val=&quot;00430D5D&quot;/&gt;&lt;wsp:rsid wsp:val=&quot;00444336&quot;/&gt;&lt;wsp:rsid wsp:val=&quot;00455788&quot;/&gt;&lt;wsp:rsid wsp:val=&quot;0045652C&quot;/&gt;&lt;wsp:rsid wsp:val=&quot;00462497&quot;/&gt;&lt;wsp:rsid wsp:val=&quot;004805A3&quot;/&gt;&lt;wsp:rsid wsp:val=&quot;00490EB0&quot;/&gt;&lt;wsp:rsid wsp:val=&quot;004A39F8&quot;/&gt;&lt;wsp:rsid wsp:val=&quot;004A3C2C&quot;/&gt;&lt;wsp:rsid wsp:val=&quot;004A618E&quot;/&gt;&lt;wsp:rsid wsp:val=&quot;004E4B2C&quot;/&gt;&lt;wsp:rsid wsp:val=&quot;004E517A&quot;/&gt;&lt;wsp:rsid wsp:val=&quot;004F1572&quot;/&gt;&lt;wsp:rsid wsp:val=&quot;004F483D&quot;/&gt;&lt;wsp:rsid wsp:val=&quot;00502D87&quot;/&gt;&lt;wsp:rsid wsp:val=&quot;0052105D&quot;/&gt;&lt;wsp:rsid wsp:val=&quot;00526270&quot;/&gt;&lt;wsp:rsid wsp:val=&quot;005338F3&quot;/&gt;&lt;wsp:rsid wsp:val=&quot;00534210&quot;/&gt;&lt;wsp:rsid wsp:val=&quot;00540271&quot;/&gt;&lt;wsp:rsid wsp:val=&quot;00543478&quot;/&gt;&lt;wsp:rsid wsp:val=&quot;00545600&quot;/&gt;&lt;wsp:rsid wsp:val=&quot;00546A6A&quot;/&gt;&lt;wsp:rsid wsp:val=&quot;00562240&quot;/&gt;&lt;wsp:rsid wsp:val=&quot;005630B0&quot;/&gt;&lt;wsp:rsid wsp:val=&quot;005660CD&quot;/&gt;&lt;wsp:rsid wsp:val=&quot;005720F2&quot;/&gt;&lt;wsp:rsid wsp:val=&quot;005812D6&quot;/&gt;&lt;wsp:rsid wsp:val=&quot;00591646&quot;/&gt;&lt;wsp:rsid wsp:val=&quot;00596603&quot;/&gt;&lt;wsp:rsid wsp:val=&quot;005B76A4&quot;/&gt;&lt;wsp:rsid wsp:val=&quot;005C3384&quot;/&gt;&lt;wsp:rsid wsp:val=&quot;005C416E&quot;/&gt;&lt;wsp:rsid wsp:val=&quot;005C6E3E&quot;/&gt;&lt;wsp:rsid wsp:val=&quot;005D1C3A&quot;/&gt;&lt;wsp:rsid wsp:val=&quot;005E43DD&quot;/&gt;&lt;wsp:rsid wsp:val=&quot;005E77C4&quot;/&gt;&lt;wsp:rsid wsp:val=&quot;005E7AB9&quot;/&gt;&lt;wsp:rsid wsp:val=&quot;00600179&quot;/&gt;&lt;wsp:rsid wsp:val=&quot;00603FC0&quot;/&gt;&lt;wsp:rsid wsp:val=&quot;006167DD&quot;/&gt;&lt;wsp:rsid wsp:val=&quot;00636BF0&quot;/&gt;&lt;wsp:rsid wsp:val=&quot;00637524&quot;/&gt;&lt;wsp:rsid wsp:val=&quot;00646B6D&quot;/&gt;&lt;wsp:rsid wsp:val=&quot;00647697&quot;/&gt;&lt;wsp:rsid wsp:val=&quot;00655908&quot;/&gt;&lt;wsp:rsid wsp:val=&quot;006654F8&quot;/&gt;&lt;wsp:rsid wsp:val=&quot;00665768&quot;/&gt;&lt;wsp:rsid wsp:val=&quot;00667291&quot;/&gt;&lt;wsp:rsid wsp:val=&quot;00671024&quot;/&gt;&lt;wsp:rsid wsp:val=&quot;00686249&quot;/&gt;&lt;wsp:rsid wsp:val=&quot;00687504&quot;/&gt;&lt;wsp:rsid wsp:val=&quot;00691AFF&quot;/&gt;&lt;wsp:rsid wsp:val=&quot;006A171F&quot;/&gt;&lt;wsp:rsid wsp:val=&quot;006A36A8&quot;/&gt;&lt;wsp:rsid wsp:val=&quot;006A4209&quot;/&gt;&lt;wsp:rsid wsp:val=&quot;006A4E5F&quot;/&gt;&lt;wsp:rsid wsp:val=&quot;006B44DA&quot;/&gt;&lt;wsp:rsid wsp:val=&quot;006C5461&quot;/&gt;&lt;wsp:rsid wsp:val=&quot;006D2536&quot;/&gt;&lt;wsp:rsid wsp:val=&quot;006D3FAE&quot;/&gt;&lt;wsp:rsid wsp:val=&quot;006D4600&quot;/&gt;&lt;wsp:rsid wsp:val=&quot;006E0A2C&quot;/&gt;&lt;wsp:rsid wsp:val=&quot;006E202B&quot;/&gt;&lt;wsp:rsid wsp:val=&quot;006E57B5&quot;/&gt;&lt;wsp:rsid wsp:val=&quot;00702FA0&quot;/&gt;&lt;wsp:rsid wsp:val=&quot;00715D39&quot;/&gt;&lt;wsp:rsid wsp:val=&quot;00724218&quot;/&gt;&lt;wsp:rsid wsp:val=&quot;00737E65&quot;/&gt;&lt;wsp:rsid wsp:val=&quot;0074030A&quot;/&gt;&lt;wsp:rsid wsp:val=&quot;007409A3&quot;/&gt;&lt;wsp:rsid wsp:val=&quot;007575A8&quot;/&gt;&lt;wsp:rsid wsp:val=&quot;00762043&quot;/&gt;&lt;wsp:rsid wsp:val=&quot;007633C2&quot;/&gt;&lt;wsp:rsid wsp:val=&quot;00765A47&quot;/&gt;&lt;wsp:rsid wsp:val=&quot;00770E82&quot;/&gt;&lt;wsp:rsid wsp:val=&quot;00772E94&quot;/&gt;&lt;wsp:rsid wsp:val=&quot;007A30E8&quot;/&gt;&lt;wsp:rsid wsp:val=&quot;007A5E1C&quot;/&gt;&lt;wsp:rsid wsp:val=&quot;007B028B&quot;/&gt;&lt;wsp:rsid wsp:val=&quot;007B1D71&quot;/&gt;&lt;wsp:rsid wsp:val=&quot;007B7BF7&quot;/&gt;&lt;wsp:rsid wsp:val=&quot;007C00D0&quot;/&gt;&lt;wsp:rsid wsp:val=&quot;007C2186&quot;/&gt;&lt;wsp:rsid wsp:val=&quot;007D185B&quot;/&gt;&lt;wsp:rsid wsp:val=&quot;007F2233&quot;/&gt;&lt;wsp:rsid wsp:val=&quot;00804C17&quot;/&gt;&lt;wsp:rsid wsp:val=&quot;008053BA&quot;/&gt;&lt;wsp:rsid wsp:val=&quot;0080694B&quot;/&gt;&lt;wsp:rsid wsp:val=&quot;00810AB6&quot;/&gt;&lt;wsp:rsid wsp:val=&quot;0081779C&quot;/&gt;&lt;wsp:rsid wsp:val=&quot;00831D0D&quot;/&gt;&lt;wsp:rsid wsp:val=&quot;00832DEE&quot;/&gt;&lt;wsp:rsid wsp:val=&quot;00835B98&quot;/&gt;&lt;wsp:rsid wsp:val=&quot;00840713&quot;/&gt;&lt;wsp:rsid wsp:val=&quot;00854B9D&quot;/&gt;&lt;wsp:rsid wsp:val=&quot;00855A8A&quot;/&gt;&lt;wsp:rsid wsp:val=&quot;00872795&quot;/&gt;&lt;wsp:rsid wsp:val=&quot;008936D4&quot;/&gt;&lt;wsp:rsid wsp:val=&quot;008A2EC5&quot;/&gt;&lt;wsp:rsid wsp:val=&quot;008B77F5&quot;/&gt;&lt;wsp:rsid wsp:val=&quot;008C0279&quot;/&gt;&lt;wsp:rsid wsp:val=&quot;008C7C6D&quot;/&gt;&lt;wsp:rsid wsp:val=&quot;008C7F68&quot;/&gt;&lt;wsp:rsid wsp:val=&quot;008E380C&quot;/&gt;&lt;wsp:rsid wsp:val=&quot;008E405A&quot;/&gt;&lt;wsp:rsid wsp:val=&quot;008F25D2&quot;/&gt;&lt;wsp:rsid wsp:val=&quot;008F50EC&quot;/&gt;&lt;wsp:rsid wsp:val=&quot;008F587A&quot;/&gt;&lt;wsp:rsid wsp:val=&quot;0090054C&quot;/&gt;&lt;wsp:rsid wsp:val=&quot;00900565&quot;/&gt;&lt;wsp:rsid wsp:val=&quot;009010F8&quot;/&gt;&lt;wsp:rsid wsp:val=&quot;009134CA&quot;/&gt;&lt;wsp:rsid wsp:val=&quot;00914CC6&quot;/&gt;&lt;wsp:rsid wsp:val=&quot;00925AA2&quot;/&gt;&lt;wsp:rsid wsp:val=&quot;0092751F&quot;/&gt;&lt;wsp:rsid wsp:val=&quot;00932067&quot;/&gt;&lt;wsp:rsid wsp:val=&quot;0093594A&quot;/&gt;&lt;wsp:rsid wsp:val=&quot;009451C4&quot;/&gt;&lt;wsp:rsid wsp:val=&quot;00955D73&quot;/&gt;&lt;wsp:rsid wsp:val=&quot;0096512C&quot;/&gt;&lt;wsp:rsid wsp:val=&quot;0096540A&quot;/&gt;&lt;wsp:rsid wsp:val=&quot;009C0F3A&quot;/&gt;&lt;wsp:rsid wsp:val=&quot;009C5D2A&quot;/&gt;&lt;wsp:rsid wsp:val=&quot;00A02252&quot;/&gt;&lt;wsp:rsid wsp:val=&quot;00A06700&quot;/&gt;&lt;wsp:rsid wsp:val=&quot;00A10636&quot;/&gt;&lt;wsp:rsid wsp:val=&quot;00A331E7&quot;/&gt;&lt;wsp:rsid wsp:val=&quot;00A34169&quot;/&gt;&lt;wsp:rsid wsp:val=&quot;00A37D9B&quot;/&gt;&lt;wsp:rsid wsp:val=&quot;00A41C3C&quot;/&gt;&lt;wsp:rsid wsp:val=&quot;00A4725A&quot;/&gt;&lt;wsp:rsid wsp:val=&quot;00A5060F&quot;/&gt;&lt;wsp:rsid wsp:val=&quot;00A628DC&quot;/&gt;&lt;wsp:rsid wsp:val=&quot;00A76984&quot;/&gt;&lt;wsp:rsid wsp:val=&quot;00AA0A87&quot;/&gt;&lt;wsp:rsid wsp:val=&quot;00AA7B1E&quot;/&gt;&lt;wsp:rsid wsp:val=&quot;00AB2710&quot;/&gt;&lt;wsp:rsid wsp:val=&quot;00AC555A&quot;/&gt;&lt;wsp:rsid wsp:val=&quot;00AD184B&quot;/&gt;&lt;wsp:rsid wsp:val=&quot;00AE02E6&quot;/&gt;&lt;wsp:rsid wsp:val=&quot;00B0566D&quot;/&gt;&lt;wsp:rsid wsp:val=&quot;00B35BD9&quot;/&gt;&lt;wsp:rsid wsp:val=&quot;00B37DE8&quot;/&gt;&lt;wsp:rsid wsp:val=&quot;00B43898&quot;/&gt;&lt;wsp:rsid wsp:val=&quot;00B44BA5&quot;/&gt;&lt;wsp:rsid wsp:val=&quot;00B84125&quot;/&gt;&lt;wsp:rsid wsp:val=&quot;00B928E7&quot;/&gt;&lt;wsp:rsid wsp:val=&quot;00B961F6&quot;/&gt;&lt;wsp:rsid wsp:val=&quot;00BA5F7E&quot;/&gt;&lt;wsp:rsid wsp:val=&quot;00BB7F2F&quot;/&gt;&lt;wsp:rsid wsp:val=&quot;00BC7E76&quot;/&gt;&lt;wsp:rsid wsp:val=&quot;00BD3902&quot;/&gt;&lt;wsp:rsid wsp:val=&quot;00BE472F&quot;/&gt;&lt;wsp:rsid wsp:val=&quot;00BE5513&quot;/&gt;&lt;wsp:rsid wsp:val=&quot;00BF12F6&quot;/&gt;&lt;wsp:rsid wsp:val=&quot;00C00765&quot;/&gt;&lt;wsp:rsid wsp:val=&quot;00C10464&quot;/&gt;&lt;wsp:rsid wsp:val=&quot;00C119C2&quot;/&gt;&lt;wsp:rsid wsp:val=&quot;00C15758&quot;/&gt;&lt;wsp:rsid wsp:val=&quot;00C21B54&quot;/&gt;&lt;wsp:rsid wsp:val=&quot;00C27E02&quot;/&gt;&lt;wsp:rsid wsp:val=&quot;00C40967&quot;/&gt;&lt;wsp:rsid wsp:val=&quot;00C42C64&quot;/&gt;&lt;wsp:rsid wsp:val=&quot;00C4400C&quot;/&gt;&lt;wsp:rsid wsp:val=&quot;00C600E2&quot;/&gt;&lt;wsp:rsid wsp:val=&quot;00C63D43&quot;/&gt;&lt;wsp:rsid wsp:val=&quot;00C74134&quot;/&gt;&lt;wsp:rsid wsp:val=&quot;00C823B1&quot;/&gt;&lt;wsp:rsid wsp:val=&quot;00C86A71&quot;/&gt;&lt;wsp:rsid wsp:val=&quot;00C93D19&quot;/&gt;&lt;wsp:rsid wsp:val=&quot;00CA271E&quot;/&gt;&lt;wsp:rsid wsp:val=&quot;00CB1488&quot;/&gt;&lt;wsp:rsid wsp:val=&quot;00CB7414&quot;/&gt;&lt;wsp:rsid wsp:val=&quot;00CD5933&quot;/&gt;&lt;wsp:rsid wsp:val=&quot;00CE19C1&quot;/&gt;&lt;wsp:rsid wsp:val=&quot;00CF364B&quot;/&gt;&lt;wsp:rsid wsp:val=&quot;00CF3D81&quot;/&gt;&lt;wsp:rsid wsp:val=&quot;00D01CFE&quot;/&gt;&lt;wsp:rsid wsp:val=&quot;00D07C4B&quot;/&gt;&lt;wsp:rsid wsp:val=&quot;00D201C9&quot;/&gt;&lt;wsp:rsid wsp:val=&quot;00D225D8&quot;/&gt;&lt;wsp:rsid wsp:val=&quot;00D2503C&quot;/&gt;&lt;wsp:rsid wsp:val=&quot;00D30983&quot;/&gt;&lt;wsp:rsid wsp:val=&quot;00D33A2E&quot;/&gt;&lt;wsp:rsid wsp:val=&quot;00D34954&quot;/&gt;&lt;wsp:rsid wsp:val=&quot;00D367F2&quot;/&gt;&lt;wsp:rsid wsp:val=&quot;00D4214D&quot;/&gt;&lt;wsp:rsid wsp:val=&quot;00D511A1&quot;/&gt;&lt;wsp:rsid wsp:val=&quot;00D56CF9&quot;/&gt;&lt;wsp:rsid wsp:val=&quot;00D608D5&quot;/&gt;&lt;wsp:rsid wsp:val=&quot;00D651CA&quot;/&gt;&lt;wsp:rsid wsp:val=&quot;00D872BF&quot;/&gt;&lt;wsp:rsid wsp:val=&quot;00DA4C87&quot;/&gt;&lt;wsp:rsid wsp:val=&quot;00DB4CF4&quot;/&gt;&lt;wsp:rsid wsp:val=&quot;00DB5613&quot;/&gt;&lt;wsp:rsid wsp:val=&quot;00DE01F6&quot;/&gt;&lt;wsp:rsid wsp:val=&quot;00DE15BD&quot;/&gt;&lt;wsp:rsid wsp:val=&quot;00DE1FAA&quot;/&gt;&lt;wsp:rsid wsp:val=&quot;00DE2998&quot;/&gt;&lt;wsp:rsid wsp:val=&quot;00DE4223&quot;/&gt;&lt;wsp:rsid wsp:val=&quot;00DE6B60&quot;/&gt;&lt;wsp:rsid wsp:val=&quot;00DF14FA&quot;/&gt;&lt;wsp:rsid wsp:val=&quot;00DF1B90&quot;/&gt;&lt;wsp:rsid wsp:val=&quot;00E06D10&quot;/&gt;&lt;wsp:rsid wsp:val=&quot;00E07624&quot;/&gt;&lt;wsp:rsid wsp:val=&quot;00E20138&quot;/&gt;&lt;wsp:rsid wsp:val=&quot;00E20458&quot;/&gt;&lt;wsp:rsid wsp:val=&quot;00E22F51&quot;/&gt;&lt;wsp:rsid wsp:val=&quot;00E3344E&quot;/&gt;&lt;wsp:rsid wsp:val=&quot;00E47019&quot;/&gt;&lt;wsp:rsid wsp:val=&quot;00E55420&quot;/&gt;&lt;wsp:rsid wsp:val=&quot;00E56487&quot;/&gt;&lt;wsp:rsid wsp:val=&quot;00E62277&quot;/&gt;&lt;wsp:rsid wsp:val=&quot;00E81646&quot;/&gt;&lt;wsp:rsid wsp:val=&quot;00E83F08&quot;/&gt;&lt;wsp:rsid wsp:val=&quot;00E853F3&quot;/&gt;&lt;wsp:rsid wsp:val=&quot;00EC2491&quot;/&gt;&lt;wsp:rsid wsp:val=&quot;00ED2C42&quot;/&gt;&lt;wsp:rsid wsp:val=&quot;00EF0E0D&quot;/&gt;&lt;wsp:rsid wsp:val=&quot;00EF3B2B&quot;/&gt;&lt;wsp:rsid wsp:val=&quot;00F00EE9&quot;/&gt;&lt;wsp:rsid wsp:val=&quot;00F332EE&quot;/&gt;&lt;wsp:rsid wsp:val=&quot;00F379DD&quot;/&gt;&lt;wsp:rsid wsp:val=&quot;00F44640&quot;/&gt;&lt;wsp:rsid wsp:val=&quot;00F47244&quot;/&gt;&lt;wsp:rsid wsp:val=&quot;00F511A7&quot;/&gt;&lt;wsp:rsid wsp:val=&quot;00F660F9&quot;/&gt;&lt;wsp:rsid wsp:val=&quot;00F849A7&quot;/&gt;&lt;wsp:rsid wsp:val=&quot;00F902E2&quot;/&gt;&lt;wsp:rsid wsp:val=&quot;00FA5F45&quot;/&gt;&lt;wsp:rsid wsp:val=&quot;00FA7522&quot;/&gt;&lt;wsp:rsid wsp:val=&quot;00FB2D36&quot;/&gt;&lt;wsp:rsid wsp:val=&quot;00FB71DC&quot;/&gt;&lt;wsp:rsid wsp:val=&quot;00FC2C59&quot;/&gt;&lt;wsp:rsid wsp:val=&quot;00FD178C&quot;/&gt;&lt;/wsp:rsids&gt;&lt;/w:docPr&gt;&lt;w:body&gt;&lt;wx:sect&gt;&lt;w:p wsp:rsidR=&quot;00000000&quot; wsp:rsidRDefault=&quot;00C86A71&quot; wsp:rsidP=&quot;00C86A71&quot;&gt;&lt;m:oMathPara&gt;&lt;m:oMath&gt;&lt;m:r&gt;&lt;w:rPr&gt;&lt;w:rFonts w:ascii=&quot;Cambria Math&quot; w:fareast=&quot;Arial&quot; w:h-ansi=&quot;Cambria Math&quot;/&gt;&lt;wx:font wx:val=&quot;Cambria Math&quot;/&gt;&lt;w:i/&gt;&lt;/w:rPr&gt;&lt;m:t&gt; 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9" o:title="" chromakey="white"/>
          </v:shape>
        </w:pict>
      </w:r>
      <w:r w:rsidRPr="00D9348B">
        <w:rPr>
          <w:rFonts w:eastAsia="Arial"/>
        </w:rPr>
        <w:fldChar w:fldCharType="end"/>
      </w:r>
    </w:p>
    <w:p w14:paraId="2C202A65" w14:textId="4798044D" w:rsidR="00A10636" w:rsidRPr="00D9348B" w:rsidRDefault="00A10636" w:rsidP="00A10636">
      <w:pPr>
        <w:spacing w:after="120"/>
        <w:ind w:left="993"/>
        <w:rPr>
          <w:rFonts w:eastAsia="Arial"/>
        </w:rPr>
      </w:pPr>
      <w:proofErr w:type="gramStart"/>
      <w:r w:rsidRPr="00D9348B">
        <w:rPr>
          <w:rFonts w:eastAsia="Arial"/>
          <w:i/>
        </w:rPr>
        <w:t>Cov(</w:t>
      </w:r>
      <w:proofErr w:type="gramEnd"/>
      <w:r w:rsidRPr="00D9348B">
        <w:rPr>
          <w:rFonts w:eastAsia="Arial"/>
          <w:i/>
        </w:rPr>
        <w:t>L</w:t>
      </w:r>
      <w:r w:rsidRPr="00D9348B">
        <w:rPr>
          <w:rFonts w:eastAsia="Arial"/>
          <w:i/>
          <w:vertAlign w:val="subscript"/>
        </w:rPr>
        <w:t>i</w:t>
      </w:r>
      <w:r w:rsidRPr="00D9348B">
        <w:rPr>
          <w:rFonts w:eastAsia="Arial"/>
          <w:i/>
        </w:rPr>
        <w:t>,L</w:t>
      </w:r>
      <w:r w:rsidRPr="00D9348B">
        <w:rPr>
          <w:rFonts w:eastAsia="Arial"/>
          <w:i/>
          <w:vertAlign w:val="subscript"/>
        </w:rPr>
        <w:t>j</w:t>
      </w:r>
      <w:r w:rsidRPr="00D9348B">
        <w:rPr>
          <w:rFonts w:eastAsia="Arial"/>
          <w:i/>
        </w:rPr>
        <w:t>)</w:t>
      </w:r>
      <w:r w:rsidRPr="00D9348B">
        <w:rPr>
          <w:rFonts w:eastAsia="Arial"/>
        </w:rPr>
        <w:t xml:space="preserve"> = the covariance between </w:t>
      </w:r>
      <w:r w:rsidR="00766DDA">
        <w:rPr>
          <w:rFonts w:eastAsia="Arial"/>
        </w:rPr>
        <w:t>land-use</w:t>
      </w:r>
      <w:r w:rsidRPr="00D9348B">
        <w:rPr>
          <w:rFonts w:eastAsia="Arial"/>
        </w:rPr>
        <w:t xml:space="preserve"> effects </w:t>
      </w:r>
      <w:r w:rsidRPr="00D9348B">
        <w:rPr>
          <w:rFonts w:eastAsia="Arial"/>
          <w:i/>
        </w:rPr>
        <w:t>L</w:t>
      </w:r>
      <w:r w:rsidRPr="00D9348B">
        <w:rPr>
          <w:rFonts w:eastAsia="Arial"/>
          <w:i/>
          <w:vertAlign w:val="subscript"/>
        </w:rPr>
        <w:t>i</w:t>
      </w:r>
      <w:r w:rsidRPr="00D9348B">
        <w:rPr>
          <w:rFonts w:eastAsia="Arial"/>
        </w:rPr>
        <w:t xml:space="preserve"> and </w:t>
      </w:r>
      <w:r w:rsidRPr="00D9348B">
        <w:rPr>
          <w:rFonts w:eastAsia="Arial"/>
          <w:i/>
        </w:rPr>
        <w:t>L</w:t>
      </w:r>
      <w:r w:rsidRPr="00D9348B">
        <w:rPr>
          <w:rFonts w:eastAsia="Arial"/>
          <w:i/>
          <w:vertAlign w:val="subscript"/>
        </w:rPr>
        <w:t>j</w:t>
      </w:r>
      <w:r w:rsidRPr="00D9348B">
        <w:rPr>
          <w:rFonts w:eastAsia="Arial"/>
        </w:rPr>
        <w:t xml:space="preserve"> (McNeill and Barringer, </w:t>
      </w:r>
      <w:r w:rsidRPr="00D9348B">
        <w:t>unpublished</w:t>
      </w:r>
      <w:r w:rsidRPr="00D9348B">
        <w:rPr>
          <w:rFonts w:eastAsia="Arial"/>
        </w:rPr>
        <w:t>; McNeill et al., unpublished).</w:t>
      </w:r>
    </w:p>
    <w:p w14:paraId="690735FD" w14:textId="72DB23DA" w:rsidR="00A10636" w:rsidRPr="00D9348B" w:rsidRDefault="00A10636" w:rsidP="00A10636">
      <w:pPr>
        <w:pStyle w:val="BodyText"/>
      </w:pPr>
      <w:r w:rsidRPr="00D9348B">
        <w:lastRenderedPageBreak/>
        <w:t xml:space="preserve">Although equation 5 provides a mathematically straightforward way to estimate the significance of a single transition from one </w:t>
      </w:r>
      <w:r w:rsidR="00766DDA">
        <w:t>land-use</w:t>
      </w:r>
      <w:r w:rsidRPr="00D9348B">
        <w:t xml:space="preserve"> category to another (a comparison-wise significance), it is often desirable to be able to determine whether a number of </w:t>
      </w:r>
      <w:r w:rsidR="00766DDA">
        <w:t>land-use</w:t>
      </w:r>
      <w:r w:rsidRPr="00D9348B">
        <w:t xml:space="preserve"> categories are likely to be significantly different or essentially the same as an ensemble. As more comparisons are made between many different </w:t>
      </w:r>
      <w:r w:rsidR="00766DDA">
        <w:t>land-use</w:t>
      </w:r>
      <w:r w:rsidRPr="00D9348B">
        <w:t xml:space="preserve"> types, it becomes more likely that at least one of the LUE changes will be different as a result of random chance alone, resulting in an increase in the Type 1 error. Thus, the significance of all possible </w:t>
      </w:r>
      <w:r w:rsidR="00766DDA">
        <w:t>land-use</w:t>
      </w:r>
      <w:r w:rsidRPr="00D9348B">
        <w:t xml:space="preserve"> transitions must be calculated as a family of simultaneous comparisons (multiple comparison significance), rather than one at a time (McNeill and Barringer, unpublished).</w:t>
      </w:r>
    </w:p>
    <w:p w14:paraId="54AF07D2" w14:textId="602EF9B8" w:rsidR="00A10636" w:rsidRPr="00D9348B" w:rsidRDefault="00A10636" w:rsidP="00A10636">
      <w:pPr>
        <w:pStyle w:val="BodyText"/>
      </w:pPr>
      <w:r w:rsidRPr="00D9348B">
        <w:t xml:space="preserve">To control the Type 1 error rate in multiple comparison significance testing for the soil carbon change model, all possible combinations of the </w:t>
      </w:r>
      <w:r w:rsidR="00766DDA">
        <w:t>land-use</w:t>
      </w:r>
      <w:r w:rsidRPr="00D9348B">
        <w:t xml:space="preserve"> categories were tested for equality (a two-sided test) simultaneously. For the Soil CMS model (McNeill and Barringer, unpublished), a closed-testing procedure described by Marcus et al. (1976) was used; this procedure is a general method for performing a number of hypothesis tests simultaneously implemented in the multi-comparison package in R (Bretz et al., 2010).</w:t>
      </w:r>
    </w:p>
    <w:p w14:paraId="59CBE61E" w14:textId="483962E0" w:rsidR="00A10636" w:rsidRPr="00D9348B" w:rsidRDefault="00A10636" w:rsidP="00A10636">
      <w:pPr>
        <w:pStyle w:val="BodyText"/>
      </w:pPr>
      <w:r w:rsidRPr="00D9348B">
        <w:t xml:space="preserve">The closed-testing procedure described by Marcus et al. (1976) yielded point estimates and confidence intervals of a test statistic for each distinct combination of </w:t>
      </w:r>
      <w:r w:rsidR="00766DDA">
        <w:t>land-use</w:t>
      </w:r>
      <w:r w:rsidRPr="00D9348B">
        <w:t xml:space="preserve"> transitions, and the critical test is whether the confidence intervals include zero. All </w:t>
      </w:r>
      <w:r w:rsidR="00766DDA">
        <w:t>land-use</w:t>
      </w:r>
      <w:r w:rsidRPr="00D9348B">
        <w:t xml:space="preserve"> transition pairs were significant, except those involving </w:t>
      </w:r>
      <w:proofErr w:type="gramStart"/>
      <w:r w:rsidRPr="00D9348B">
        <w:rPr>
          <w:i/>
        </w:rPr>
        <w:t>Other</w:t>
      </w:r>
      <w:proofErr w:type="gramEnd"/>
      <w:r w:rsidRPr="00D9348B">
        <w:rPr>
          <w:i/>
        </w:rPr>
        <w:t xml:space="preserve"> land</w:t>
      </w:r>
      <w:r w:rsidRPr="00D9348B">
        <w:t xml:space="preserve"> (see figure 6.3.2).</w:t>
      </w:r>
    </w:p>
    <w:p w14:paraId="7E47FD23" w14:textId="77777777" w:rsidR="00A10636" w:rsidRPr="00D9348B" w:rsidRDefault="00A10636" w:rsidP="00A10636">
      <w:pPr>
        <w:pStyle w:val="Figure"/>
      </w:pPr>
      <w:bookmarkStart w:id="1480" w:name="_Toc378853340"/>
      <w:bookmarkStart w:id="1481" w:name="_Toc405448090"/>
      <w:bookmarkStart w:id="1482" w:name="_Toc414531622"/>
      <w:bookmarkStart w:id="1483" w:name="_Toc474914645"/>
      <w:bookmarkStart w:id="1484" w:name="_Toc481752027"/>
      <w:bookmarkStart w:id="1485" w:name="_Toc522010705"/>
      <w:bookmarkStart w:id="1486" w:name="_Toc5269708"/>
      <w:bookmarkStart w:id="1487" w:name="_Toc33529480"/>
      <w:bookmarkStart w:id="1488" w:name="_Toc36292810"/>
      <w:r w:rsidRPr="00D9348B">
        <w:t>Figure 6.3.2</w:t>
      </w:r>
      <w:r w:rsidRPr="00D9348B">
        <w:tab/>
        <w:t>Result of applying the Marcus multi-comparison test to the adopted model</w:t>
      </w:r>
      <w:bookmarkEnd w:id="1480"/>
      <w:bookmarkEnd w:id="1481"/>
      <w:bookmarkEnd w:id="1482"/>
      <w:bookmarkEnd w:id="1483"/>
      <w:bookmarkEnd w:id="1484"/>
      <w:bookmarkEnd w:id="1485"/>
      <w:bookmarkEnd w:id="1486"/>
      <w:bookmarkEnd w:id="1487"/>
      <w:bookmarkEnd w:id="1488"/>
    </w:p>
    <w:p w14:paraId="2AC72BAA" w14:textId="7469ABE6" w:rsidR="00A10636" w:rsidRPr="00D9348B" w:rsidRDefault="007165CF" w:rsidP="00A10636">
      <w:pPr>
        <w:pStyle w:val="BodyText"/>
        <w:spacing w:before="0"/>
        <w:jc w:val="center"/>
      </w:pPr>
      <w:r>
        <w:pict w14:anchorId="4753C998">
          <v:shape id="_x0000_i1139" type="#_x0000_t75" style="width:408.2pt;height:310.55pt;visibility:visible;mso-wrap-style:square">
            <v:imagedata r:id="rId220" o:title=""/>
          </v:shape>
        </w:pict>
      </w:r>
    </w:p>
    <w:p w14:paraId="35E2EDA7" w14:textId="77777777" w:rsidR="00A10636" w:rsidRPr="00D9348B" w:rsidRDefault="00A10636" w:rsidP="00A10636">
      <w:pPr>
        <w:pStyle w:val="Source"/>
      </w:pPr>
      <w:r w:rsidRPr="00D9348B">
        <w:rPr>
          <w:b/>
          <w:bCs/>
        </w:rPr>
        <w:t>Source</w:t>
      </w:r>
      <w:r w:rsidRPr="00D9348B">
        <w:t>: McNeill and Barringer (unpublished)</w:t>
      </w:r>
    </w:p>
    <w:p w14:paraId="5DC3F1CA" w14:textId="18481E2A" w:rsidR="00A10636" w:rsidRPr="00D9348B" w:rsidRDefault="00A10636" w:rsidP="00A10636">
      <w:pPr>
        <w:pStyle w:val="Noteundertable"/>
      </w:pPr>
      <w:r w:rsidRPr="00D9348B">
        <w:rPr>
          <w:b/>
          <w:bCs/>
        </w:rPr>
        <w:t>Note:</w:t>
      </w:r>
      <w:r w:rsidRPr="00D9348B">
        <w:tab/>
        <w:t xml:space="preserve">The marker is the estimated value for the specified transition to indicate significance, and the error bars represent the 95 per cent confidence interval of the test statistic. </w:t>
      </w:r>
      <w:r w:rsidR="00766DDA">
        <w:t>Land-use</w:t>
      </w:r>
      <w:r w:rsidRPr="00D9348B">
        <w:t xml:space="preserve"> transitions with point estimates and confidence intervals marked with a grey square are considered highly significant differences within the set of all possible </w:t>
      </w:r>
      <w:r w:rsidR="00766DDA">
        <w:t>land-use</w:t>
      </w:r>
      <w:r w:rsidRPr="00D9348B">
        <w:t xml:space="preserve"> transitions.</w:t>
      </w:r>
    </w:p>
    <w:p w14:paraId="411FAF38" w14:textId="55892E4F" w:rsidR="00A10636" w:rsidRPr="00D9348B" w:rsidRDefault="00A10636" w:rsidP="00A10636">
      <w:pPr>
        <w:pStyle w:val="BodyText"/>
      </w:pPr>
      <w:r w:rsidRPr="00D9348B">
        <w:rPr>
          <w:rFonts w:eastAsia="Arial"/>
        </w:rPr>
        <w:lastRenderedPageBreak/>
        <w:t xml:space="preserve">As the model results show (see figure 6.3.2), all transitions are significant in the multi-comparison sense, except those involving </w:t>
      </w:r>
      <w:proofErr w:type="gramStart"/>
      <w:r w:rsidRPr="00D9348B">
        <w:rPr>
          <w:rFonts w:eastAsia="Arial"/>
          <w:i/>
        </w:rPr>
        <w:t>Other</w:t>
      </w:r>
      <w:proofErr w:type="gramEnd"/>
      <w:r w:rsidRPr="00D9348B">
        <w:rPr>
          <w:rFonts w:eastAsia="Arial"/>
          <w:i/>
        </w:rPr>
        <w:t xml:space="preserve"> land</w:t>
      </w:r>
      <w:r w:rsidRPr="00D9348B">
        <w:rPr>
          <w:rFonts w:eastAsia="Arial"/>
        </w:rPr>
        <w:t xml:space="preserve">. </w:t>
      </w:r>
      <w:r w:rsidR="00766DDA">
        <w:t>Land-use</w:t>
      </w:r>
      <w:r w:rsidRPr="00D9348B">
        <w:t xml:space="preserve"> transitions involving </w:t>
      </w:r>
      <w:proofErr w:type="gramStart"/>
      <w:r w:rsidRPr="00D9348B">
        <w:rPr>
          <w:i/>
        </w:rPr>
        <w:t>Other</w:t>
      </w:r>
      <w:proofErr w:type="gramEnd"/>
      <w:r w:rsidRPr="00D9348B">
        <w:rPr>
          <w:i/>
        </w:rPr>
        <w:t xml:space="preserve"> land</w:t>
      </w:r>
      <w:r w:rsidRPr="00D9348B">
        <w:t xml:space="preserve"> contribute relatively little to the carbon change estimates, because they make up approximately 1.0 per cent of all land-use change detected between 1990 and 2016. </w:t>
      </w:r>
    </w:p>
    <w:p w14:paraId="7791D334" w14:textId="11AE3B9D" w:rsidR="00A10636" w:rsidRPr="00D9348B" w:rsidRDefault="00A10636" w:rsidP="00A10636">
      <w:pPr>
        <w:pStyle w:val="BodyText"/>
      </w:pPr>
      <w:r w:rsidRPr="00D9348B">
        <w:t xml:space="preserve">It is important to note that this interpretation of significance does not alter the method of calculation of the soil carbon change as a result of </w:t>
      </w:r>
      <w:r w:rsidR="00766DDA">
        <w:t>land-use</w:t>
      </w:r>
      <w:r w:rsidRPr="00D9348B">
        <w:t xml:space="preserve"> transition. In particular, it would not be correct to substitute a value of zero for the effect of a </w:t>
      </w:r>
      <w:r w:rsidR="00766DDA">
        <w:t>land-use</w:t>
      </w:r>
      <w:r w:rsidRPr="00D9348B">
        <w:t xml:space="preserve"> transition where the transition itself is not significant in the multi-comparison sense, because, if such a substitution were to be carried out, the calculation of the soil carbon would no longer be unbiased. Avoiding the bias in this manner also reduces the residual uncertainty of the soil carbon estimates. For this reason, the effect of all </w:t>
      </w:r>
      <w:r w:rsidR="00766DDA">
        <w:t>land-use</w:t>
      </w:r>
      <w:r w:rsidRPr="00D9348B">
        <w:t xml:space="preserve"> transitions ought to be included in calculations of soil carbon change (McNeill and Barringer, unpublished; McNeill et al., 2014).</w:t>
      </w:r>
    </w:p>
    <w:p w14:paraId="30606641" w14:textId="77777777" w:rsidR="00A10636" w:rsidRPr="00D9348B" w:rsidRDefault="00A10636" w:rsidP="00A10636">
      <w:pPr>
        <w:pStyle w:val="Heading3"/>
      </w:pPr>
      <w:r w:rsidRPr="00D9348B">
        <w:t>6.3.2</w:t>
      </w:r>
      <w:r w:rsidRPr="00D9348B">
        <w:tab/>
        <w:t>Organic soils</w:t>
      </w:r>
    </w:p>
    <w:p w14:paraId="7D3FA8E5" w14:textId="77777777" w:rsidR="00A10636" w:rsidRPr="00D9348B" w:rsidRDefault="00A10636" w:rsidP="00A10636">
      <w:pPr>
        <w:pStyle w:val="BodyText"/>
        <w:rPr>
          <w:spacing w:val="-2"/>
        </w:rPr>
      </w:pPr>
      <w:r w:rsidRPr="00D9348B">
        <w:rPr>
          <w:bCs/>
          <w:spacing w:val="-2"/>
        </w:rPr>
        <w:t>Organic soils occupy a small proportion of New Zealand’s total land area (</w:t>
      </w:r>
      <w:r w:rsidRPr="00D9348B">
        <w:rPr>
          <w:spacing w:val="-2"/>
        </w:rPr>
        <w:t>1.0 per cent), and the area of organic soils subject to land-use change is approximately 0.7 per cent of New Zealand’s total land area. New Zealand uses a Tier 1 method to estimate SOC stock change in organic soils.</w:t>
      </w:r>
    </w:p>
    <w:p w14:paraId="0E3F5EDE" w14:textId="77777777" w:rsidR="00A10636" w:rsidRPr="00D9348B" w:rsidRDefault="00A10636" w:rsidP="00A10636">
      <w:pPr>
        <w:pStyle w:val="BodyText"/>
      </w:pPr>
      <w:r w:rsidRPr="00D9348B">
        <w:t xml:space="preserve">The definition of organic soils is derived from the </w:t>
      </w:r>
      <w:r w:rsidRPr="00D9348B">
        <w:rPr>
          <w:i/>
        </w:rPr>
        <w:t>New Zealand Soil Classification</w:t>
      </w:r>
      <w:r w:rsidRPr="00D9348B">
        <w:t xml:space="preserve"> (Hewitt, 2010), which defines organic soils as those soils with at least 18 per cent organic carbon in horizons at least 30 centimetres thick and within 60 centimetres of the soil surface. New Zealand-specific climate and soil data are used to estimate the areas of organic soil found in each climate zone. Climate data are based on the temperature data layer of the Land Environments New Zealand classification (Leathwick et al., 2002). Soil-type data are based on the Fundamental Soils Layer associated with the NZLRI (Newsome et al., 2008) and converted to the IPCC classification (Daly and Wilde, unpublished). These data layers have been analysed in a GIS system to determine the areas of organic soils in warm and cold climatic zones. These areas are compared with the land use to determine the area of organic soils in each. </w:t>
      </w:r>
    </w:p>
    <w:p w14:paraId="30271FEC" w14:textId="77777777" w:rsidR="00A10636" w:rsidRPr="00D9348B" w:rsidRDefault="00A10636" w:rsidP="00A10636">
      <w:pPr>
        <w:pStyle w:val="BodyText"/>
      </w:pPr>
      <w:r w:rsidRPr="00D9348B">
        <w:t xml:space="preserve">The LULUCF organic soils definition is the same as that used for reporting under the Agriculture sector (Dresser et al., 2011). </w:t>
      </w:r>
    </w:p>
    <w:p w14:paraId="68008031" w14:textId="32BFCD15" w:rsidR="00A10636" w:rsidRPr="00D9348B" w:rsidRDefault="00A10636" w:rsidP="00A10636">
      <w:pPr>
        <w:pStyle w:val="BodyText"/>
      </w:pPr>
      <w:r w:rsidRPr="00D9348B">
        <w:t xml:space="preserve">New Zealand has used IPCC default emission factors for organic soils under the </w:t>
      </w:r>
      <w:r w:rsidRPr="00D9348B">
        <w:rPr>
          <w:i/>
        </w:rPr>
        <w:t>Forest land</w:t>
      </w:r>
      <w:r w:rsidRPr="00D9348B">
        <w:t xml:space="preserve">, </w:t>
      </w:r>
      <w:r w:rsidRPr="00D9348B">
        <w:rPr>
          <w:i/>
        </w:rPr>
        <w:t>Grassland</w:t>
      </w:r>
      <w:r w:rsidRPr="00D9348B">
        <w:t xml:space="preserve">, </w:t>
      </w:r>
      <w:r w:rsidRPr="00D9348B">
        <w:rPr>
          <w:i/>
        </w:rPr>
        <w:t>Cropland, Wetlands</w:t>
      </w:r>
      <w:r w:rsidRPr="00D9348B">
        <w:t xml:space="preserve"> and </w:t>
      </w:r>
      <w:r w:rsidRPr="00D9348B">
        <w:rPr>
          <w:i/>
        </w:rPr>
        <w:t>Settlements</w:t>
      </w:r>
      <w:r w:rsidRPr="00D9348B">
        <w:t xml:space="preserve"> categories (IPCC, 2006a) to estimate organic soil emissions (see table 6.3.3). IPCC guidance for organic soils under forest is limited to estimates associated with the drainage of organic soils in managed forests. In New Zealand, the drainage of natural forests does not occur and therefore no emissions are estimated from organic soils under natural forest. It is assumed that all planted forests on organic soils are drained prior to forest establishment. The temperate default for forest land is applied to the area of organic soils under planted forests to estimate emissions. The warm temperate and cold temperate defaults for the </w:t>
      </w:r>
      <w:r w:rsidRPr="00D9348B">
        <w:rPr>
          <w:i/>
        </w:rPr>
        <w:t>Grassland</w:t>
      </w:r>
      <w:r w:rsidRPr="00D9348B">
        <w:t xml:space="preserve">, </w:t>
      </w:r>
      <w:r w:rsidRPr="00D9348B">
        <w:rPr>
          <w:i/>
        </w:rPr>
        <w:t>Cropland</w:t>
      </w:r>
      <w:r w:rsidRPr="00D9348B">
        <w:t xml:space="preserve"> and </w:t>
      </w:r>
      <w:r w:rsidRPr="00D9348B">
        <w:rPr>
          <w:i/>
        </w:rPr>
        <w:t>Settlements</w:t>
      </w:r>
      <w:r w:rsidRPr="00D9348B">
        <w:t xml:space="preserve"> categories are applied in proportion to the area of land in New Zealand where the mean annual temperature is above or below 10</w:t>
      </w:r>
      <w:r w:rsidRPr="00D9348B">
        <w:sym w:font="Symbol" w:char="F0B0"/>
      </w:r>
      <w:r w:rsidRPr="00D9348B">
        <w:t xml:space="preserve">C respectively. New Zealand applies IPCC default emission factors for organic soils in the </w:t>
      </w:r>
      <w:r w:rsidRPr="00D9348B">
        <w:rPr>
          <w:i/>
        </w:rPr>
        <w:t>Wetlands</w:t>
      </w:r>
      <w:r w:rsidRPr="00D9348B">
        <w:t xml:space="preserve"> category for areas under peat extraction. There are no default emission factors for organic soils under </w:t>
      </w:r>
      <w:proofErr w:type="gramStart"/>
      <w:r w:rsidRPr="00D9348B">
        <w:rPr>
          <w:i/>
        </w:rPr>
        <w:t>Other</w:t>
      </w:r>
      <w:proofErr w:type="gramEnd"/>
      <w:r w:rsidRPr="00D9348B">
        <w:rPr>
          <w:i/>
        </w:rPr>
        <w:t xml:space="preserve"> land</w:t>
      </w:r>
      <w:r w:rsidRPr="00D9348B">
        <w:t xml:space="preserve">; therefore, emissions from organic soils under this </w:t>
      </w:r>
      <w:r w:rsidR="00766DDA">
        <w:t>land-use</w:t>
      </w:r>
      <w:r w:rsidRPr="00D9348B">
        <w:t xml:space="preserve"> category are not estimated. </w:t>
      </w:r>
    </w:p>
    <w:p w14:paraId="7642C15F" w14:textId="77777777" w:rsidR="00A10636" w:rsidRPr="00D9348B" w:rsidRDefault="00A10636" w:rsidP="00A10636">
      <w:pPr>
        <w:pStyle w:val="Table"/>
      </w:pPr>
      <w:bookmarkStart w:id="1489" w:name="_Toc310423395"/>
      <w:bookmarkStart w:id="1490" w:name="_Toc318362688"/>
      <w:bookmarkStart w:id="1491" w:name="_Toc342470750"/>
      <w:bookmarkStart w:id="1492" w:name="_Toc352504990"/>
      <w:bookmarkStart w:id="1493" w:name="_Toc361644888"/>
      <w:bookmarkStart w:id="1494" w:name="_Toc378853289"/>
      <w:bookmarkStart w:id="1495" w:name="_Toc391024087"/>
      <w:bookmarkStart w:id="1496" w:name="_Toc410028830"/>
      <w:bookmarkStart w:id="1497" w:name="_Toc414531458"/>
      <w:bookmarkStart w:id="1498" w:name="_Toc443645371"/>
      <w:bookmarkStart w:id="1499" w:name="_Toc474914590"/>
      <w:bookmarkStart w:id="1500" w:name="_Toc481751554"/>
      <w:bookmarkStart w:id="1501" w:name="_Toc522010611"/>
      <w:bookmarkStart w:id="1502" w:name="_Toc5269516"/>
      <w:bookmarkStart w:id="1503" w:name="_Toc33529390"/>
      <w:bookmarkStart w:id="1504" w:name="_Toc36224596"/>
      <w:r w:rsidRPr="00D9348B">
        <w:lastRenderedPageBreak/>
        <w:t>Table 6.3.3</w:t>
      </w:r>
      <w:r w:rsidRPr="00D9348B">
        <w:tab/>
        <w:t>New Zealand emission factors for organic soils</w:t>
      </w:r>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p>
    <w:tbl>
      <w:tblPr>
        <w:tblW w:w="8562" w:type="dxa"/>
        <w:tblInd w:w="108" w:type="dxa"/>
        <w:tblBorders>
          <w:bottom w:val="single" w:sz="8" w:space="0" w:color="365F91"/>
        </w:tblBorders>
        <w:tblLook w:val="04A0" w:firstRow="1" w:lastRow="0" w:firstColumn="1" w:lastColumn="0" w:noHBand="0" w:noVBand="1"/>
      </w:tblPr>
      <w:tblGrid>
        <w:gridCol w:w="1551"/>
        <w:gridCol w:w="1666"/>
        <w:gridCol w:w="2069"/>
        <w:gridCol w:w="3276"/>
      </w:tblGrid>
      <w:tr w:rsidR="00FC4905" w:rsidRPr="00D9348B" w14:paraId="07302614" w14:textId="77777777" w:rsidTr="00FC4905">
        <w:trPr>
          <w:tblHeader/>
        </w:trPr>
        <w:tc>
          <w:tcPr>
            <w:tcW w:w="1531" w:type="dxa"/>
            <w:tcBorders>
              <w:top w:val="single" w:sz="4" w:space="0" w:color="365F91"/>
              <w:bottom w:val="single" w:sz="4" w:space="0" w:color="365F91"/>
              <w:right w:val="nil"/>
            </w:tcBorders>
            <w:shd w:val="clear" w:color="auto" w:fill="365F91"/>
            <w:vAlign w:val="bottom"/>
          </w:tcPr>
          <w:p w14:paraId="7A015717" w14:textId="77777777" w:rsidR="00A10636" w:rsidRPr="00D9348B" w:rsidRDefault="00A10636" w:rsidP="00AF19B6">
            <w:pPr>
              <w:pStyle w:val="TableTextBold"/>
              <w:keepNext/>
              <w:spacing w:before="40" w:after="40"/>
              <w:rPr>
                <w:rFonts w:eastAsia="Arial"/>
                <w:noProof w:val="0"/>
                <w:color w:val="FFFFFF"/>
              </w:rPr>
            </w:pPr>
            <w:r w:rsidRPr="00D9348B">
              <w:rPr>
                <w:rFonts w:eastAsia="Arial"/>
                <w:noProof w:val="0"/>
                <w:color w:val="FFFFFF"/>
              </w:rPr>
              <w:t>Land use</w:t>
            </w:r>
          </w:p>
        </w:tc>
        <w:tc>
          <w:tcPr>
            <w:tcW w:w="1644" w:type="dxa"/>
            <w:tcBorders>
              <w:top w:val="single" w:sz="4" w:space="0" w:color="365F91"/>
              <w:bottom w:val="single" w:sz="4" w:space="0" w:color="365F91"/>
            </w:tcBorders>
            <w:shd w:val="clear" w:color="auto" w:fill="365F91"/>
            <w:vAlign w:val="bottom"/>
          </w:tcPr>
          <w:p w14:paraId="2076F7AE" w14:textId="7B69243D" w:rsidR="00A10636" w:rsidRPr="00D9348B" w:rsidRDefault="00A10636" w:rsidP="00AF19B6">
            <w:pPr>
              <w:pStyle w:val="TableTextBold"/>
              <w:keepNext/>
              <w:spacing w:before="40" w:after="40"/>
              <w:rPr>
                <w:rFonts w:eastAsia="Arial"/>
                <w:noProof w:val="0"/>
                <w:color w:val="FFFFFF"/>
              </w:rPr>
            </w:pPr>
            <w:r w:rsidRPr="00D9348B">
              <w:rPr>
                <w:rFonts w:eastAsia="Arial"/>
                <w:noProof w:val="0"/>
                <w:color w:val="FFFFFF"/>
              </w:rPr>
              <w:t xml:space="preserve">Climatic </w:t>
            </w:r>
            <w:r w:rsidR="00FC4905" w:rsidRPr="00D9348B">
              <w:rPr>
                <w:rFonts w:eastAsia="Arial"/>
                <w:noProof w:val="0"/>
                <w:color w:val="FFFFFF"/>
              </w:rPr>
              <w:br/>
            </w:r>
            <w:r w:rsidRPr="00D9348B">
              <w:rPr>
                <w:rFonts w:eastAsia="Arial"/>
                <w:noProof w:val="0"/>
                <w:color w:val="FFFFFF"/>
              </w:rPr>
              <w:t>temperature regime</w:t>
            </w:r>
          </w:p>
        </w:tc>
        <w:tc>
          <w:tcPr>
            <w:tcW w:w="2041" w:type="dxa"/>
            <w:tcBorders>
              <w:top w:val="single" w:sz="4" w:space="0" w:color="365F91"/>
              <w:bottom w:val="single" w:sz="4" w:space="0" w:color="365F91"/>
            </w:tcBorders>
            <w:shd w:val="clear" w:color="auto" w:fill="365F91"/>
            <w:vAlign w:val="bottom"/>
          </w:tcPr>
          <w:p w14:paraId="0F089E76" w14:textId="25E7597D" w:rsidR="00A10636" w:rsidRPr="00D9348B" w:rsidRDefault="00A10636" w:rsidP="00AF19B6">
            <w:pPr>
              <w:pStyle w:val="TableTextBold"/>
              <w:keepNext/>
              <w:spacing w:before="40" w:after="40"/>
              <w:rPr>
                <w:rFonts w:eastAsia="Arial"/>
                <w:noProof w:val="0"/>
                <w:color w:val="FFFFFF"/>
              </w:rPr>
            </w:pPr>
            <w:r w:rsidRPr="00D9348B">
              <w:rPr>
                <w:rFonts w:eastAsia="Arial"/>
                <w:noProof w:val="0"/>
                <w:color w:val="FFFFFF"/>
              </w:rPr>
              <w:t>IPCC Tier 1 default emission factor applied and ranges (t</w:t>
            </w:r>
            <w:r w:rsidR="007822F5" w:rsidRPr="00D9348B">
              <w:rPr>
                <w:rFonts w:eastAsia="Arial"/>
                <w:noProof w:val="0"/>
                <w:color w:val="FFFFFF"/>
              </w:rPr>
              <w:t> </w:t>
            </w:r>
            <w:r w:rsidRPr="00D9348B">
              <w:rPr>
                <w:rFonts w:eastAsia="Arial"/>
                <w:noProof w:val="0"/>
                <w:color w:val="FFFFFF"/>
              </w:rPr>
              <w:t>C ha</w:t>
            </w:r>
            <w:r w:rsidRPr="00D9348B">
              <w:rPr>
                <w:rFonts w:eastAsia="Arial"/>
                <w:noProof w:val="0"/>
                <w:color w:val="FFFFFF"/>
                <w:vertAlign w:val="superscript"/>
              </w:rPr>
              <w:t xml:space="preserve">–1 </w:t>
            </w:r>
            <w:r w:rsidRPr="00D9348B">
              <w:rPr>
                <w:rFonts w:eastAsia="Arial"/>
                <w:noProof w:val="0"/>
                <w:color w:val="FFFFFF"/>
              </w:rPr>
              <w:t>yr</w:t>
            </w:r>
            <w:r w:rsidRPr="00D9348B">
              <w:rPr>
                <w:rFonts w:eastAsia="Arial"/>
                <w:noProof w:val="0"/>
                <w:color w:val="FFFFFF"/>
                <w:vertAlign w:val="superscript"/>
              </w:rPr>
              <w:t>–1</w:t>
            </w:r>
            <w:r w:rsidRPr="00D9348B">
              <w:rPr>
                <w:rFonts w:eastAsia="Arial"/>
                <w:noProof w:val="0"/>
                <w:color w:val="FFFFFF"/>
              </w:rPr>
              <w:t>)</w:t>
            </w:r>
          </w:p>
        </w:tc>
        <w:tc>
          <w:tcPr>
            <w:tcW w:w="3232" w:type="dxa"/>
            <w:tcBorders>
              <w:top w:val="single" w:sz="4" w:space="0" w:color="365F91"/>
              <w:bottom w:val="single" w:sz="4" w:space="0" w:color="365F91"/>
            </w:tcBorders>
            <w:shd w:val="clear" w:color="auto" w:fill="365F91"/>
            <w:vAlign w:val="bottom"/>
          </w:tcPr>
          <w:p w14:paraId="58B3DCF2" w14:textId="77777777" w:rsidR="00A10636" w:rsidRPr="00D9348B" w:rsidRDefault="00A10636" w:rsidP="00AF19B6">
            <w:pPr>
              <w:pStyle w:val="TableTextBold"/>
              <w:keepNext/>
              <w:spacing w:before="40" w:after="40"/>
              <w:rPr>
                <w:rFonts w:eastAsia="Arial"/>
                <w:noProof w:val="0"/>
                <w:color w:val="FFFFFF"/>
              </w:rPr>
            </w:pPr>
            <w:r w:rsidRPr="00D9348B">
              <w:rPr>
                <w:rFonts w:eastAsia="Arial"/>
                <w:noProof w:val="0"/>
                <w:color w:val="FFFFFF"/>
              </w:rPr>
              <w:t>Reference</w:t>
            </w:r>
          </w:p>
        </w:tc>
      </w:tr>
      <w:tr w:rsidR="00FC4905" w:rsidRPr="00D9348B" w14:paraId="552B8364" w14:textId="77777777" w:rsidTr="00FC4905">
        <w:tc>
          <w:tcPr>
            <w:tcW w:w="1531" w:type="dxa"/>
            <w:tcBorders>
              <w:top w:val="single" w:sz="4" w:space="0" w:color="365F91"/>
              <w:right w:val="nil"/>
            </w:tcBorders>
            <w:shd w:val="clear" w:color="auto" w:fill="auto"/>
          </w:tcPr>
          <w:p w14:paraId="5D3191E6" w14:textId="77777777" w:rsidR="00A10636" w:rsidRPr="00D9348B" w:rsidRDefault="00A10636" w:rsidP="00AF19B6">
            <w:pPr>
              <w:pStyle w:val="TableText"/>
              <w:keepNext/>
              <w:spacing w:before="40" w:after="40"/>
              <w:rPr>
                <w:rFonts w:eastAsia="Arial"/>
              </w:rPr>
            </w:pPr>
            <w:r w:rsidRPr="00D9348B">
              <w:rPr>
                <w:rFonts w:eastAsia="Arial"/>
              </w:rPr>
              <w:t>Pre-1990 natural forest</w:t>
            </w:r>
          </w:p>
        </w:tc>
        <w:tc>
          <w:tcPr>
            <w:tcW w:w="1644" w:type="dxa"/>
            <w:tcBorders>
              <w:top w:val="single" w:sz="4" w:space="0" w:color="365F91"/>
            </w:tcBorders>
            <w:shd w:val="clear" w:color="auto" w:fill="auto"/>
          </w:tcPr>
          <w:p w14:paraId="51B70D14" w14:textId="77777777" w:rsidR="00A10636" w:rsidRPr="00D9348B" w:rsidRDefault="00A10636" w:rsidP="00AF19B6">
            <w:pPr>
              <w:pStyle w:val="TableText"/>
              <w:spacing w:before="40" w:after="40"/>
              <w:rPr>
                <w:rFonts w:eastAsia="Arial"/>
              </w:rPr>
            </w:pPr>
            <w:r w:rsidRPr="00D9348B">
              <w:rPr>
                <w:rFonts w:eastAsia="Arial"/>
              </w:rPr>
              <w:t>Temperate</w:t>
            </w:r>
          </w:p>
        </w:tc>
        <w:tc>
          <w:tcPr>
            <w:tcW w:w="2041" w:type="dxa"/>
            <w:tcBorders>
              <w:top w:val="single" w:sz="4" w:space="0" w:color="365F91"/>
            </w:tcBorders>
            <w:shd w:val="clear" w:color="auto" w:fill="auto"/>
          </w:tcPr>
          <w:p w14:paraId="767DA103" w14:textId="77777777" w:rsidR="00A10636" w:rsidRPr="00D9348B" w:rsidRDefault="00A10636" w:rsidP="00AF19B6">
            <w:pPr>
              <w:pStyle w:val="TableText"/>
              <w:spacing w:before="40" w:after="40"/>
              <w:rPr>
                <w:rFonts w:eastAsia="Arial"/>
              </w:rPr>
            </w:pPr>
            <w:r w:rsidRPr="00D9348B">
              <w:rPr>
                <w:rFonts w:eastAsia="Arial"/>
              </w:rPr>
              <w:t>NA</w:t>
            </w:r>
          </w:p>
        </w:tc>
        <w:tc>
          <w:tcPr>
            <w:tcW w:w="3232" w:type="dxa"/>
            <w:tcBorders>
              <w:top w:val="single" w:sz="4" w:space="0" w:color="365F91"/>
            </w:tcBorders>
            <w:shd w:val="clear" w:color="auto" w:fill="auto"/>
          </w:tcPr>
          <w:p w14:paraId="4C96EDBF" w14:textId="77777777" w:rsidR="00A10636" w:rsidRPr="00D9348B" w:rsidDel="008E37A0" w:rsidRDefault="00A10636" w:rsidP="00AF19B6">
            <w:pPr>
              <w:pStyle w:val="TableText"/>
              <w:spacing w:before="40" w:after="40"/>
              <w:rPr>
                <w:rFonts w:eastAsia="Arial"/>
              </w:rPr>
            </w:pPr>
            <w:r w:rsidRPr="00D9348B">
              <w:rPr>
                <w:rFonts w:eastAsia="Arial"/>
              </w:rPr>
              <w:t>IPCC guidance applies only to drained forest organic soils, which do not occur in natural forests in New Zealand (IPCC, 2006a,</w:t>
            </w:r>
            <w:r w:rsidRPr="00D9348B">
              <w:rPr>
                <w:rFonts w:eastAsia="Arial"/>
              </w:rPr>
              <w:fldChar w:fldCharType="begin"/>
            </w:r>
            <w:r w:rsidRPr="00D9348B">
              <w:rPr>
                <w:rFonts w:eastAsia="Arial"/>
              </w:rPr>
              <w:fldChar w:fldCharType="begin"/>
            </w:r>
            <w:r w:rsidRPr="00D9348B">
              <w:rPr>
                <w:rFonts w:eastAsia="Arial"/>
              </w:rPr>
              <w:instrText xml:space="preserve"> CITATION Pen03 \l 5129 </w:instrText>
            </w:r>
            <w:r w:rsidRPr="00D9348B">
              <w:rPr>
                <w:rFonts w:eastAsia="Arial"/>
              </w:rPr>
              <w:fldChar w:fldCharType="separate"/>
            </w:r>
            <w:r w:rsidRPr="00D9348B">
              <w:rPr>
                <w:rFonts w:eastAsia="Arial"/>
              </w:rPr>
              <w:instrText xml:space="preserve"> IPCC, 2003</w:instrText>
            </w:r>
            <w:r w:rsidRPr="00D9348B">
              <w:rPr>
                <w:rFonts w:eastAsia="Arial"/>
              </w:rPr>
              <w:fldChar w:fldCharType="end"/>
            </w:r>
            <w:r w:rsidRPr="00D9348B">
              <w:rPr>
                <w:rFonts w:eastAsia="Arial"/>
              </w:rPr>
              <w:fldChar w:fldCharType="end"/>
            </w:r>
            <w:r w:rsidRPr="00D9348B">
              <w:rPr>
                <w:rFonts w:eastAsia="Arial"/>
              </w:rPr>
              <w:t xml:space="preserve"> section 4.2.3.2).</w:t>
            </w:r>
          </w:p>
        </w:tc>
      </w:tr>
      <w:tr w:rsidR="00FC4905" w:rsidRPr="00D9348B" w14:paraId="5620F970" w14:textId="77777777" w:rsidTr="00FC4905">
        <w:tc>
          <w:tcPr>
            <w:tcW w:w="1531" w:type="dxa"/>
            <w:tcBorders>
              <w:top w:val="single" w:sz="8" w:space="0" w:color="365F91"/>
              <w:bottom w:val="single" w:sz="8" w:space="0" w:color="365F91"/>
              <w:right w:val="nil"/>
            </w:tcBorders>
            <w:shd w:val="clear" w:color="auto" w:fill="auto"/>
          </w:tcPr>
          <w:p w14:paraId="015C665A" w14:textId="77777777" w:rsidR="00A10636" w:rsidRPr="00D9348B" w:rsidRDefault="00A10636" w:rsidP="00AF19B6">
            <w:pPr>
              <w:pStyle w:val="TableText"/>
              <w:spacing w:before="40" w:after="40"/>
              <w:rPr>
                <w:rFonts w:eastAsia="Arial"/>
              </w:rPr>
            </w:pPr>
            <w:r w:rsidRPr="00D9348B">
              <w:rPr>
                <w:rFonts w:eastAsia="Arial"/>
              </w:rPr>
              <w:t xml:space="preserve">Pre-1990 and post-1989 planted forest </w:t>
            </w:r>
          </w:p>
        </w:tc>
        <w:tc>
          <w:tcPr>
            <w:tcW w:w="1644" w:type="dxa"/>
            <w:tcBorders>
              <w:top w:val="single" w:sz="8" w:space="0" w:color="365F91"/>
              <w:bottom w:val="single" w:sz="8" w:space="0" w:color="365F91"/>
            </w:tcBorders>
            <w:shd w:val="clear" w:color="auto" w:fill="auto"/>
          </w:tcPr>
          <w:p w14:paraId="50CF4810" w14:textId="77777777" w:rsidR="00A10636" w:rsidRPr="00D9348B" w:rsidRDefault="00A10636" w:rsidP="00AF19B6">
            <w:pPr>
              <w:pStyle w:val="TableText"/>
              <w:spacing w:before="40" w:after="40"/>
              <w:rPr>
                <w:rFonts w:eastAsia="Arial"/>
              </w:rPr>
            </w:pPr>
            <w:r w:rsidRPr="00D9348B">
              <w:rPr>
                <w:rFonts w:eastAsia="Arial"/>
              </w:rPr>
              <w:t>Temperate</w:t>
            </w:r>
          </w:p>
        </w:tc>
        <w:tc>
          <w:tcPr>
            <w:tcW w:w="2041" w:type="dxa"/>
            <w:tcBorders>
              <w:top w:val="single" w:sz="8" w:space="0" w:color="365F91"/>
              <w:bottom w:val="single" w:sz="8" w:space="0" w:color="365F91"/>
            </w:tcBorders>
            <w:shd w:val="clear" w:color="auto" w:fill="auto"/>
          </w:tcPr>
          <w:p w14:paraId="3B0C5E96" w14:textId="77777777" w:rsidR="00A10636" w:rsidRPr="00D9348B" w:rsidRDefault="00A10636" w:rsidP="00AF19B6">
            <w:pPr>
              <w:pStyle w:val="TableText"/>
              <w:spacing w:before="40" w:after="40"/>
              <w:rPr>
                <w:rFonts w:eastAsia="Arial"/>
              </w:rPr>
            </w:pPr>
            <w:r w:rsidRPr="00D9348B">
              <w:rPr>
                <w:rFonts w:eastAsia="Arial"/>
              </w:rPr>
              <w:t>0.68 (range 0.41–1.91)</w:t>
            </w:r>
          </w:p>
        </w:tc>
        <w:tc>
          <w:tcPr>
            <w:tcW w:w="3232" w:type="dxa"/>
            <w:tcBorders>
              <w:top w:val="single" w:sz="8" w:space="0" w:color="365F91"/>
              <w:bottom w:val="single" w:sz="8" w:space="0" w:color="365F91"/>
            </w:tcBorders>
            <w:shd w:val="clear" w:color="auto" w:fill="auto"/>
          </w:tcPr>
          <w:p w14:paraId="64957E73" w14:textId="77777777" w:rsidR="00A10636" w:rsidRPr="00D9348B" w:rsidRDefault="00A10636" w:rsidP="00AF19B6">
            <w:pPr>
              <w:pStyle w:val="TableText"/>
              <w:spacing w:before="40" w:after="40"/>
              <w:rPr>
                <w:rFonts w:eastAsia="Arial"/>
              </w:rPr>
            </w:pPr>
            <w:r w:rsidRPr="00D9348B">
              <w:rPr>
                <w:rFonts w:eastAsia="Arial"/>
              </w:rPr>
              <w:t>IPCC (2006a, section 4.2.3.2, table 4.6)</w:t>
            </w:r>
          </w:p>
        </w:tc>
      </w:tr>
      <w:tr w:rsidR="00FC4905" w:rsidRPr="00D9348B" w14:paraId="5DC6CAC3" w14:textId="77777777" w:rsidTr="00FC4905">
        <w:tc>
          <w:tcPr>
            <w:tcW w:w="1531" w:type="dxa"/>
            <w:tcBorders>
              <w:right w:val="nil"/>
            </w:tcBorders>
            <w:shd w:val="clear" w:color="auto" w:fill="auto"/>
          </w:tcPr>
          <w:p w14:paraId="4A0E1A99" w14:textId="77777777" w:rsidR="00A10636" w:rsidRPr="00D9348B" w:rsidRDefault="00A10636" w:rsidP="00AF19B6">
            <w:pPr>
              <w:pStyle w:val="TableText"/>
              <w:spacing w:before="40"/>
              <w:rPr>
                <w:rFonts w:eastAsia="Arial"/>
              </w:rPr>
            </w:pPr>
            <w:r w:rsidRPr="00D9348B">
              <w:rPr>
                <w:rFonts w:eastAsia="Arial"/>
              </w:rPr>
              <w:t>Cropland</w:t>
            </w:r>
          </w:p>
        </w:tc>
        <w:tc>
          <w:tcPr>
            <w:tcW w:w="1644" w:type="dxa"/>
            <w:shd w:val="clear" w:color="auto" w:fill="auto"/>
          </w:tcPr>
          <w:p w14:paraId="1A1F426A" w14:textId="77777777" w:rsidR="00A10636" w:rsidRPr="00D9348B" w:rsidRDefault="00A10636" w:rsidP="00AF19B6">
            <w:pPr>
              <w:pStyle w:val="TableText"/>
              <w:spacing w:before="40" w:after="0"/>
              <w:rPr>
                <w:rFonts w:eastAsia="Arial"/>
              </w:rPr>
            </w:pPr>
            <w:r w:rsidRPr="00D9348B">
              <w:rPr>
                <w:rFonts w:eastAsia="Arial"/>
              </w:rPr>
              <w:t>Cold temperate</w:t>
            </w:r>
          </w:p>
          <w:p w14:paraId="3C43A663" w14:textId="77777777" w:rsidR="00A10636" w:rsidRPr="00D9348B" w:rsidRDefault="00A10636" w:rsidP="00AF19B6">
            <w:pPr>
              <w:pStyle w:val="TableText"/>
              <w:spacing w:before="40" w:after="40"/>
              <w:rPr>
                <w:rFonts w:eastAsia="Arial"/>
              </w:rPr>
            </w:pPr>
            <w:r w:rsidRPr="00D9348B">
              <w:rPr>
                <w:rFonts w:eastAsia="Arial"/>
              </w:rPr>
              <w:t>Warm temperate</w:t>
            </w:r>
          </w:p>
        </w:tc>
        <w:tc>
          <w:tcPr>
            <w:tcW w:w="2041" w:type="dxa"/>
            <w:shd w:val="clear" w:color="auto" w:fill="auto"/>
          </w:tcPr>
          <w:p w14:paraId="0A53018E" w14:textId="77777777" w:rsidR="00A10636" w:rsidRPr="00D9348B" w:rsidRDefault="00A10636" w:rsidP="00AF19B6">
            <w:pPr>
              <w:pStyle w:val="TableText"/>
              <w:spacing w:before="40" w:after="40"/>
              <w:rPr>
                <w:rFonts w:eastAsia="Arial"/>
              </w:rPr>
            </w:pPr>
            <w:r w:rsidRPr="00D9348B">
              <w:rPr>
                <w:rFonts w:eastAsia="Arial"/>
              </w:rPr>
              <w:t>5.0 ± 90%</w:t>
            </w:r>
          </w:p>
          <w:p w14:paraId="2D6F530B" w14:textId="77777777" w:rsidR="00A10636" w:rsidRPr="00D9348B" w:rsidRDefault="00A10636" w:rsidP="00AF19B6">
            <w:pPr>
              <w:pStyle w:val="TableText"/>
              <w:spacing w:before="0" w:after="40"/>
              <w:rPr>
                <w:rFonts w:eastAsia="Arial"/>
              </w:rPr>
            </w:pPr>
            <w:r w:rsidRPr="00D9348B">
              <w:rPr>
                <w:rFonts w:eastAsia="Arial"/>
              </w:rPr>
              <w:t>10.0 ± 90%</w:t>
            </w:r>
          </w:p>
        </w:tc>
        <w:tc>
          <w:tcPr>
            <w:tcW w:w="3232" w:type="dxa"/>
            <w:shd w:val="clear" w:color="auto" w:fill="auto"/>
          </w:tcPr>
          <w:p w14:paraId="22D19827" w14:textId="77777777" w:rsidR="00A10636" w:rsidRPr="00D9348B" w:rsidRDefault="00A10636" w:rsidP="00AF19B6">
            <w:pPr>
              <w:pStyle w:val="TableText"/>
              <w:spacing w:before="40"/>
              <w:rPr>
                <w:rFonts w:eastAsia="Arial"/>
              </w:rPr>
            </w:pPr>
            <w:r w:rsidRPr="00D9348B">
              <w:rPr>
                <w:rFonts w:eastAsia="Arial"/>
              </w:rPr>
              <w:t>IPCC (2006a, section 5.2.3.2, table 5.6)</w:t>
            </w:r>
          </w:p>
        </w:tc>
      </w:tr>
      <w:tr w:rsidR="00FC4905" w:rsidRPr="00D9348B" w14:paraId="7BEF50A2" w14:textId="77777777" w:rsidTr="00FC4905">
        <w:tc>
          <w:tcPr>
            <w:tcW w:w="1531" w:type="dxa"/>
            <w:tcBorders>
              <w:top w:val="single" w:sz="8" w:space="0" w:color="365F91"/>
              <w:bottom w:val="single" w:sz="8" w:space="0" w:color="365F91"/>
              <w:right w:val="nil"/>
            </w:tcBorders>
            <w:shd w:val="clear" w:color="auto" w:fill="auto"/>
          </w:tcPr>
          <w:p w14:paraId="2E5D7654" w14:textId="77777777" w:rsidR="00A10636" w:rsidRPr="00D9348B" w:rsidRDefault="00A10636" w:rsidP="00AF19B6">
            <w:pPr>
              <w:pStyle w:val="TableText"/>
              <w:spacing w:before="40"/>
              <w:rPr>
                <w:rFonts w:eastAsia="Arial"/>
              </w:rPr>
            </w:pPr>
            <w:r w:rsidRPr="00D9348B">
              <w:rPr>
                <w:rFonts w:eastAsia="Arial"/>
              </w:rPr>
              <w:t>Grassland</w:t>
            </w:r>
          </w:p>
        </w:tc>
        <w:tc>
          <w:tcPr>
            <w:tcW w:w="1644" w:type="dxa"/>
            <w:tcBorders>
              <w:top w:val="single" w:sz="8" w:space="0" w:color="365F91"/>
              <w:bottom w:val="single" w:sz="8" w:space="0" w:color="365F91"/>
            </w:tcBorders>
            <w:shd w:val="clear" w:color="auto" w:fill="auto"/>
          </w:tcPr>
          <w:p w14:paraId="52914609" w14:textId="77777777" w:rsidR="00A10636" w:rsidRPr="00D9348B" w:rsidRDefault="00A10636" w:rsidP="00AF19B6">
            <w:pPr>
              <w:pStyle w:val="TableText"/>
              <w:spacing w:before="40" w:after="0"/>
              <w:rPr>
                <w:rFonts w:eastAsia="Arial"/>
              </w:rPr>
            </w:pPr>
            <w:r w:rsidRPr="00D9348B">
              <w:rPr>
                <w:rFonts w:eastAsia="Arial"/>
              </w:rPr>
              <w:t>Cold temperate</w:t>
            </w:r>
          </w:p>
          <w:p w14:paraId="2A38B916" w14:textId="77777777" w:rsidR="00A10636" w:rsidRPr="00D9348B" w:rsidRDefault="00A10636" w:rsidP="00AF19B6">
            <w:pPr>
              <w:pStyle w:val="TableText"/>
              <w:spacing w:after="40"/>
              <w:rPr>
                <w:rFonts w:eastAsia="Arial"/>
              </w:rPr>
            </w:pPr>
            <w:r w:rsidRPr="00D9348B">
              <w:rPr>
                <w:rFonts w:eastAsia="Arial"/>
              </w:rPr>
              <w:t>Warm temperate</w:t>
            </w:r>
          </w:p>
        </w:tc>
        <w:tc>
          <w:tcPr>
            <w:tcW w:w="2041" w:type="dxa"/>
            <w:tcBorders>
              <w:top w:val="single" w:sz="8" w:space="0" w:color="365F91"/>
              <w:bottom w:val="single" w:sz="8" w:space="0" w:color="365F91"/>
            </w:tcBorders>
            <w:shd w:val="clear" w:color="auto" w:fill="auto"/>
          </w:tcPr>
          <w:p w14:paraId="5D215775" w14:textId="77777777" w:rsidR="00A10636" w:rsidRPr="00D9348B" w:rsidRDefault="00A10636" w:rsidP="00AF19B6">
            <w:pPr>
              <w:pStyle w:val="TableText"/>
              <w:spacing w:before="40"/>
              <w:rPr>
                <w:rFonts w:eastAsia="Arial"/>
              </w:rPr>
            </w:pPr>
            <w:r w:rsidRPr="00D9348B">
              <w:rPr>
                <w:rFonts w:eastAsia="Arial"/>
              </w:rPr>
              <w:t>0.25 ± 90%</w:t>
            </w:r>
          </w:p>
          <w:p w14:paraId="632514DE" w14:textId="77777777" w:rsidR="00A10636" w:rsidRPr="00D9348B" w:rsidRDefault="00A10636" w:rsidP="00DB330E">
            <w:pPr>
              <w:pStyle w:val="TableText"/>
              <w:spacing w:before="0"/>
              <w:rPr>
                <w:rFonts w:eastAsia="Arial"/>
              </w:rPr>
            </w:pPr>
            <w:r w:rsidRPr="00D9348B">
              <w:rPr>
                <w:rFonts w:eastAsia="Arial"/>
              </w:rPr>
              <w:t>2.5 ± 90%</w:t>
            </w:r>
          </w:p>
        </w:tc>
        <w:tc>
          <w:tcPr>
            <w:tcW w:w="3232" w:type="dxa"/>
            <w:tcBorders>
              <w:top w:val="single" w:sz="8" w:space="0" w:color="365F91"/>
              <w:bottom w:val="single" w:sz="8" w:space="0" w:color="365F91"/>
            </w:tcBorders>
            <w:shd w:val="clear" w:color="auto" w:fill="auto"/>
          </w:tcPr>
          <w:p w14:paraId="209E8209" w14:textId="77777777" w:rsidR="00A10636" w:rsidRPr="00D9348B" w:rsidRDefault="00A10636" w:rsidP="00AF19B6">
            <w:pPr>
              <w:pStyle w:val="TableText"/>
              <w:spacing w:before="40"/>
              <w:rPr>
                <w:rFonts w:eastAsia="Arial"/>
              </w:rPr>
            </w:pPr>
            <w:r w:rsidRPr="00D9348B">
              <w:rPr>
                <w:rFonts w:eastAsia="Arial"/>
              </w:rPr>
              <w:t>IPCC (2006a, section 6.2.3.2, table 6.3)</w:t>
            </w:r>
          </w:p>
        </w:tc>
      </w:tr>
      <w:tr w:rsidR="00FC4905" w:rsidRPr="00D9348B" w14:paraId="41F9D7E3" w14:textId="77777777" w:rsidTr="00FC4905">
        <w:tc>
          <w:tcPr>
            <w:tcW w:w="1531" w:type="dxa"/>
            <w:tcBorders>
              <w:right w:val="nil"/>
            </w:tcBorders>
            <w:shd w:val="clear" w:color="auto" w:fill="auto"/>
          </w:tcPr>
          <w:p w14:paraId="26F54DFD" w14:textId="77777777" w:rsidR="00A10636" w:rsidRPr="00D9348B" w:rsidRDefault="00A10636" w:rsidP="00AF19B6">
            <w:pPr>
              <w:pStyle w:val="TableText"/>
              <w:spacing w:before="40" w:after="40"/>
              <w:rPr>
                <w:rFonts w:eastAsia="Arial"/>
              </w:rPr>
            </w:pPr>
            <w:r w:rsidRPr="00D9348B">
              <w:rPr>
                <w:rFonts w:eastAsia="Arial"/>
              </w:rPr>
              <w:t xml:space="preserve">Wetlands </w:t>
            </w:r>
          </w:p>
        </w:tc>
        <w:tc>
          <w:tcPr>
            <w:tcW w:w="1644" w:type="dxa"/>
            <w:shd w:val="clear" w:color="auto" w:fill="auto"/>
          </w:tcPr>
          <w:p w14:paraId="2BBDB58F" w14:textId="77777777" w:rsidR="00A10636" w:rsidRPr="00D9348B" w:rsidRDefault="00A10636" w:rsidP="00AF19B6">
            <w:pPr>
              <w:pStyle w:val="TableText"/>
              <w:spacing w:before="40" w:after="40"/>
              <w:rPr>
                <w:rFonts w:eastAsia="Arial"/>
              </w:rPr>
            </w:pPr>
            <w:r w:rsidRPr="00D9348B">
              <w:rPr>
                <w:rFonts w:eastAsia="Arial"/>
              </w:rPr>
              <w:t>NA</w:t>
            </w:r>
          </w:p>
        </w:tc>
        <w:tc>
          <w:tcPr>
            <w:tcW w:w="2041" w:type="dxa"/>
            <w:shd w:val="clear" w:color="auto" w:fill="auto"/>
          </w:tcPr>
          <w:p w14:paraId="27EAEFD7" w14:textId="77777777" w:rsidR="00A10636" w:rsidRPr="00D9348B" w:rsidRDefault="00A10636" w:rsidP="00AF19B6">
            <w:pPr>
              <w:pStyle w:val="TableText"/>
              <w:spacing w:before="40" w:after="40"/>
              <w:rPr>
                <w:rFonts w:eastAsia="Arial"/>
              </w:rPr>
            </w:pPr>
            <w:r w:rsidRPr="00D9348B">
              <w:rPr>
                <w:rFonts w:eastAsia="Arial"/>
              </w:rPr>
              <w:t>0.2 ± 90%</w:t>
            </w:r>
          </w:p>
        </w:tc>
        <w:tc>
          <w:tcPr>
            <w:tcW w:w="3232" w:type="dxa"/>
            <w:shd w:val="clear" w:color="auto" w:fill="auto"/>
          </w:tcPr>
          <w:p w14:paraId="7AFFCA1E" w14:textId="77777777" w:rsidR="00A10636" w:rsidRPr="00D9348B" w:rsidRDefault="00A10636" w:rsidP="00AF19B6">
            <w:pPr>
              <w:pStyle w:val="TableText"/>
              <w:spacing w:before="40" w:after="40"/>
              <w:rPr>
                <w:rFonts w:eastAsia="Arial"/>
              </w:rPr>
            </w:pPr>
            <w:r w:rsidRPr="00D9348B">
              <w:rPr>
                <w:rFonts w:eastAsia="Arial"/>
              </w:rPr>
              <w:t>IPCC guidance applies to managed peatlands and flooded lands to which separate methodologies apply for soils. See IPCC, 2006a, chapter 7.</w:t>
            </w:r>
          </w:p>
        </w:tc>
      </w:tr>
      <w:tr w:rsidR="00FC4905" w:rsidRPr="00D9348B" w14:paraId="09D10D4C" w14:textId="77777777" w:rsidTr="00FC4905">
        <w:tc>
          <w:tcPr>
            <w:tcW w:w="1531" w:type="dxa"/>
            <w:tcBorders>
              <w:top w:val="single" w:sz="8" w:space="0" w:color="365F91"/>
              <w:bottom w:val="single" w:sz="8" w:space="0" w:color="365F91"/>
              <w:right w:val="nil"/>
            </w:tcBorders>
            <w:shd w:val="clear" w:color="auto" w:fill="auto"/>
          </w:tcPr>
          <w:p w14:paraId="28DBE407" w14:textId="77777777" w:rsidR="00A10636" w:rsidRPr="00D9348B" w:rsidRDefault="00A10636" w:rsidP="00AF19B6">
            <w:pPr>
              <w:pStyle w:val="TableText"/>
              <w:spacing w:before="40"/>
              <w:rPr>
                <w:rFonts w:eastAsia="Arial"/>
              </w:rPr>
            </w:pPr>
            <w:r w:rsidRPr="00D9348B">
              <w:rPr>
                <w:rFonts w:eastAsia="Arial"/>
              </w:rPr>
              <w:t xml:space="preserve">Settlements </w:t>
            </w:r>
          </w:p>
        </w:tc>
        <w:tc>
          <w:tcPr>
            <w:tcW w:w="1644" w:type="dxa"/>
            <w:tcBorders>
              <w:top w:val="single" w:sz="8" w:space="0" w:color="365F91"/>
              <w:bottom w:val="single" w:sz="8" w:space="0" w:color="365F91"/>
            </w:tcBorders>
            <w:shd w:val="clear" w:color="auto" w:fill="auto"/>
          </w:tcPr>
          <w:p w14:paraId="16C79BBD" w14:textId="77777777" w:rsidR="00A10636" w:rsidRPr="00D9348B" w:rsidRDefault="00A10636" w:rsidP="00AF19B6">
            <w:pPr>
              <w:pStyle w:val="TableText"/>
              <w:spacing w:before="40" w:after="0"/>
              <w:rPr>
                <w:rFonts w:eastAsia="Arial"/>
              </w:rPr>
            </w:pPr>
            <w:r w:rsidRPr="00D9348B">
              <w:rPr>
                <w:rFonts w:eastAsia="Arial"/>
              </w:rPr>
              <w:t>Cold temperate</w:t>
            </w:r>
          </w:p>
          <w:p w14:paraId="02AE682C" w14:textId="77777777" w:rsidR="00A10636" w:rsidRPr="00D9348B" w:rsidRDefault="00A10636" w:rsidP="00AF19B6">
            <w:pPr>
              <w:pStyle w:val="TableText"/>
              <w:spacing w:before="40" w:after="40"/>
              <w:rPr>
                <w:rFonts w:eastAsia="Arial"/>
              </w:rPr>
            </w:pPr>
            <w:r w:rsidRPr="00D9348B">
              <w:rPr>
                <w:rFonts w:eastAsia="Arial"/>
              </w:rPr>
              <w:t>Warm temperate</w:t>
            </w:r>
          </w:p>
        </w:tc>
        <w:tc>
          <w:tcPr>
            <w:tcW w:w="2041" w:type="dxa"/>
            <w:tcBorders>
              <w:top w:val="single" w:sz="8" w:space="0" w:color="365F91"/>
              <w:bottom w:val="single" w:sz="8" w:space="0" w:color="365F91"/>
            </w:tcBorders>
            <w:shd w:val="clear" w:color="auto" w:fill="auto"/>
          </w:tcPr>
          <w:p w14:paraId="77DF1089" w14:textId="77777777" w:rsidR="00A10636" w:rsidRPr="00D9348B" w:rsidRDefault="00A10636" w:rsidP="00AF19B6">
            <w:pPr>
              <w:pStyle w:val="TableText"/>
              <w:spacing w:before="40" w:after="40"/>
              <w:rPr>
                <w:rFonts w:eastAsia="Arial"/>
              </w:rPr>
            </w:pPr>
            <w:r w:rsidRPr="00D9348B">
              <w:rPr>
                <w:rFonts w:eastAsia="Arial"/>
              </w:rPr>
              <w:t>5.0 ± 90%</w:t>
            </w:r>
          </w:p>
          <w:p w14:paraId="438A4C96" w14:textId="77777777" w:rsidR="00A10636" w:rsidRPr="00D9348B" w:rsidRDefault="00A10636" w:rsidP="00AF19B6">
            <w:pPr>
              <w:pStyle w:val="TableText"/>
              <w:spacing w:before="0" w:after="40"/>
              <w:rPr>
                <w:rFonts w:eastAsia="Arial"/>
              </w:rPr>
            </w:pPr>
            <w:r w:rsidRPr="00D9348B">
              <w:rPr>
                <w:rFonts w:eastAsia="Arial"/>
              </w:rPr>
              <w:t>10.0 ± 90%</w:t>
            </w:r>
          </w:p>
        </w:tc>
        <w:tc>
          <w:tcPr>
            <w:tcW w:w="3232" w:type="dxa"/>
            <w:tcBorders>
              <w:top w:val="single" w:sz="8" w:space="0" w:color="365F91"/>
              <w:bottom w:val="single" w:sz="8" w:space="0" w:color="365F91"/>
            </w:tcBorders>
            <w:shd w:val="clear" w:color="auto" w:fill="auto"/>
          </w:tcPr>
          <w:p w14:paraId="2BA8E7CA" w14:textId="77777777" w:rsidR="00A10636" w:rsidRPr="00D9348B" w:rsidRDefault="00A10636" w:rsidP="00AF19B6">
            <w:pPr>
              <w:pStyle w:val="TableText"/>
              <w:spacing w:before="40" w:after="40"/>
              <w:rPr>
                <w:rFonts w:eastAsia="Arial"/>
              </w:rPr>
            </w:pPr>
            <w:r w:rsidRPr="00D9348B">
              <w:rPr>
                <w:rFonts w:eastAsia="Arial"/>
              </w:rPr>
              <w:t>Cropland emission factors used (IPCC, 2006a, section 8.2.3.2)</w:t>
            </w:r>
          </w:p>
        </w:tc>
      </w:tr>
      <w:tr w:rsidR="00FC4905" w:rsidRPr="00D9348B" w14:paraId="7B82FEEF" w14:textId="77777777" w:rsidTr="00FC4905">
        <w:tc>
          <w:tcPr>
            <w:tcW w:w="1531" w:type="dxa"/>
            <w:tcBorders>
              <w:right w:val="nil"/>
            </w:tcBorders>
            <w:shd w:val="clear" w:color="auto" w:fill="auto"/>
          </w:tcPr>
          <w:p w14:paraId="33F7D914" w14:textId="77777777" w:rsidR="00A10636" w:rsidRPr="00D9348B" w:rsidRDefault="00A10636" w:rsidP="00AF19B6">
            <w:pPr>
              <w:pStyle w:val="TableText"/>
              <w:spacing w:before="40" w:after="40"/>
              <w:rPr>
                <w:rFonts w:eastAsia="Arial"/>
              </w:rPr>
            </w:pPr>
            <w:r w:rsidRPr="00D9348B">
              <w:rPr>
                <w:rFonts w:eastAsia="Arial"/>
              </w:rPr>
              <w:t>Other land</w:t>
            </w:r>
          </w:p>
        </w:tc>
        <w:tc>
          <w:tcPr>
            <w:tcW w:w="1644" w:type="dxa"/>
            <w:shd w:val="clear" w:color="auto" w:fill="auto"/>
          </w:tcPr>
          <w:p w14:paraId="464F9E25" w14:textId="77777777" w:rsidR="00A10636" w:rsidRPr="00D9348B" w:rsidRDefault="00A10636" w:rsidP="00AF19B6">
            <w:pPr>
              <w:pStyle w:val="TableText"/>
              <w:spacing w:before="40" w:after="40"/>
              <w:rPr>
                <w:rFonts w:eastAsia="Arial"/>
              </w:rPr>
            </w:pPr>
            <w:r w:rsidRPr="00D9348B">
              <w:rPr>
                <w:rFonts w:eastAsia="Arial"/>
              </w:rPr>
              <w:t>NA</w:t>
            </w:r>
          </w:p>
        </w:tc>
        <w:tc>
          <w:tcPr>
            <w:tcW w:w="2041" w:type="dxa"/>
            <w:shd w:val="clear" w:color="auto" w:fill="auto"/>
          </w:tcPr>
          <w:p w14:paraId="7772CF06" w14:textId="77777777" w:rsidR="00A10636" w:rsidRPr="00D9348B" w:rsidRDefault="00A10636" w:rsidP="00AF19B6">
            <w:pPr>
              <w:pStyle w:val="TableText"/>
              <w:spacing w:before="40" w:after="40"/>
              <w:rPr>
                <w:rFonts w:eastAsia="Arial"/>
              </w:rPr>
            </w:pPr>
            <w:r w:rsidRPr="00D9348B">
              <w:rPr>
                <w:rFonts w:eastAsia="Arial"/>
              </w:rPr>
              <w:t>NE</w:t>
            </w:r>
          </w:p>
        </w:tc>
        <w:tc>
          <w:tcPr>
            <w:tcW w:w="3232" w:type="dxa"/>
            <w:shd w:val="clear" w:color="auto" w:fill="auto"/>
          </w:tcPr>
          <w:p w14:paraId="0A7D145E" w14:textId="77777777" w:rsidR="00A10636" w:rsidRPr="00D9348B" w:rsidRDefault="00A10636" w:rsidP="00AF19B6">
            <w:pPr>
              <w:pStyle w:val="TableText"/>
              <w:spacing w:before="40" w:after="40"/>
              <w:rPr>
                <w:rFonts w:eastAsia="Arial"/>
              </w:rPr>
            </w:pPr>
            <w:r w:rsidRPr="00D9348B">
              <w:rPr>
                <w:rFonts w:eastAsia="Arial"/>
              </w:rPr>
              <w:t>No IPCC guidance is available (IPCC, 2006a, chapter 9.3.3)</w:t>
            </w:r>
          </w:p>
        </w:tc>
      </w:tr>
    </w:tbl>
    <w:p w14:paraId="6B7B1E24" w14:textId="77777777" w:rsidR="00A10636" w:rsidRPr="00D9348B" w:rsidRDefault="00A10636" w:rsidP="00A10636">
      <w:pPr>
        <w:pStyle w:val="Noteundertable"/>
      </w:pPr>
      <w:r w:rsidRPr="00D9348B">
        <w:rPr>
          <w:b/>
        </w:rPr>
        <w:t>Note:</w:t>
      </w:r>
      <w:r w:rsidRPr="00D9348B">
        <w:tab/>
        <w:t xml:space="preserve">NA = not applicable; NE = not estimated. </w:t>
      </w:r>
    </w:p>
    <w:p w14:paraId="6D404D14" w14:textId="77777777" w:rsidR="00A10636" w:rsidRPr="00D9348B" w:rsidRDefault="00A10636" w:rsidP="009B3E28">
      <w:pPr>
        <w:pStyle w:val="Heading3"/>
        <w:spacing w:before="240"/>
      </w:pPr>
      <w:bookmarkStart w:id="1505" w:name="_Toc255466316"/>
      <w:bookmarkStart w:id="1506" w:name="_Toc261513123"/>
      <w:bookmarkStart w:id="1507" w:name="_Toc261513736"/>
      <w:bookmarkStart w:id="1508" w:name="_Toc280630217"/>
      <w:r w:rsidRPr="00D9348B">
        <w:t>6.3.3</w:t>
      </w:r>
      <w:r w:rsidRPr="00D9348B">
        <w:tab/>
        <w:t>Uncertainties and time-series consistency</w:t>
      </w:r>
      <w:bookmarkEnd w:id="1505"/>
      <w:bookmarkEnd w:id="1506"/>
      <w:bookmarkEnd w:id="1507"/>
      <w:bookmarkEnd w:id="1508"/>
    </w:p>
    <w:p w14:paraId="56D9D7CC" w14:textId="77777777" w:rsidR="00A10636" w:rsidRPr="00D9348B" w:rsidRDefault="00A10636" w:rsidP="00FC4905">
      <w:pPr>
        <w:pStyle w:val="Heading5"/>
        <w:spacing w:before="160"/>
        <w:rPr>
          <w:rFonts w:eastAsia="Calibri"/>
        </w:rPr>
      </w:pPr>
      <w:r w:rsidRPr="00D9348B">
        <w:rPr>
          <w:rFonts w:eastAsia="Calibri"/>
        </w:rPr>
        <w:t>Mineral soils</w:t>
      </w:r>
    </w:p>
    <w:p w14:paraId="7E389DB9" w14:textId="77777777" w:rsidR="00A10636" w:rsidRPr="00D9348B" w:rsidRDefault="00A10636" w:rsidP="00AF19B6">
      <w:pPr>
        <w:pStyle w:val="BodyText"/>
        <w:spacing w:before="80" w:after="100"/>
      </w:pPr>
      <w:r w:rsidRPr="00D9348B">
        <w:t xml:space="preserve">For the most part, uncertainties associated with the model coefficients (see table 6.3.2) are substantially reduced from the Tier 1 default value of 95 per cent. Land uses with higher uncertainties are those with few data points, such as </w:t>
      </w:r>
      <w:proofErr w:type="gramStart"/>
      <w:r w:rsidRPr="00D9348B">
        <w:t>Other</w:t>
      </w:r>
      <w:proofErr w:type="gramEnd"/>
      <w:r w:rsidRPr="00D9348B">
        <w:t xml:space="preserve"> land, or are dominant land uses in the country and, thus, occur across a wide range of environmental conditions, such as low producing grassland. </w:t>
      </w:r>
    </w:p>
    <w:p w14:paraId="5D07C2A2" w14:textId="1FC7DAB6" w:rsidR="00A10636" w:rsidRPr="00D9348B" w:rsidRDefault="00A10636" w:rsidP="00AF19B6">
      <w:pPr>
        <w:pStyle w:val="BodyText"/>
        <w:spacing w:before="100" w:after="100"/>
      </w:pPr>
      <w:r w:rsidRPr="00D9348B">
        <w:t xml:space="preserve">Uncertainties also arise from lack of soil carbon data for some soil, climate and </w:t>
      </w:r>
      <w:r w:rsidR="00766DDA">
        <w:t>land-use</w:t>
      </w:r>
      <w:r w:rsidRPr="00D9348B">
        <w:t xml:space="preserve"> combinations (Scott et al., 2002), and from variations in site selection, sample collection and laboratory analysis with data from different sources and time periods (Baisden et al., unpublished(b)). Other uncertainties in the Soil CMS model include: the assumption that soil carbon reaches steady state in all land uses and that there is a 20-year linear transition period to reach steady state; lack of soil carbon data and soil carbon change estimates below 0.3 metres; potential carbon losses from mass-movement erosion; and a possible interaction between land use and the soil–climate classification (Tate et al., 2004, 2005).</w:t>
      </w:r>
    </w:p>
    <w:p w14:paraId="0DC2A795" w14:textId="7AA86926" w:rsidR="00A10636" w:rsidRPr="00D9348B" w:rsidRDefault="00A10636" w:rsidP="00AF19B6">
      <w:pPr>
        <w:pStyle w:val="BodyText"/>
        <w:spacing w:before="100" w:after="100"/>
      </w:pPr>
      <w:r w:rsidRPr="00D9348B">
        <w:t xml:space="preserve">Work completed since 2005 has increased the number and distribution of soil samples that are included in the model. This has led to a reduction in the uncertainties for the </w:t>
      </w:r>
      <w:r w:rsidR="00766DDA">
        <w:t>land-use</w:t>
      </w:r>
      <w:r w:rsidRPr="00D9348B">
        <w:t xml:space="preserve"> effects, meaning all </w:t>
      </w:r>
      <w:r w:rsidR="00766DDA">
        <w:t>land-use</w:t>
      </w:r>
      <w:r w:rsidRPr="00D9348B">
        <w:t xml:space="preserve"> transitions, except for those involving </w:t>
      </w:r>
      <w:proofErr w:type="gramStart"/>
      <w:r w:rsidRPr="00D9348B">
        <w:rPr>
          <w:i/>
        </w:rPr>
        <w:t>Other</w:t>
      </w:r>
      <w:proofErr w:type="gramEnd"/>
      <w:r w:rsidRPr="00D9348B">
        <w:rPr>
          <w:i/>
        </w:rPr>
        <w:t xml:space="preserve"> land</w:t>
      </w:r>
      <w:r w:rsidRPr="00D9348B">
        <w:t xml:space="preserve">, are now significant in the multi-comparison sense (McNeill and Barringer, unpublished). </w:t>
      </w:r>
    </w:p>
    <w:p w14:paraId="7FA3B3BA" w14:textId="77777777" w:rsidR="00A10636" w:rsidRPr="00D9348B" w:rsidRDefault="00A10636" w:rsidP="00FC4905">
      <w:pPr>
        <w:pStyle w:val="Heading5"/>
        <w:spacing w:before="160"/>
        <w:rPr>
          <w:rFonts w:eastAsia="Calibri"/>
        </w:rPr>
      </w:pPr>
      <w:r w:rsidRPr="00D9348B">
        <w:rPr>
          <w:rFonts w:eastAsia="Calibri"/>
        </w:rPr>
        <w:t>Organic soils</w:t>
      </w:r>
    </w:p>
    <w:p w14:paraId="4632D40A" w14:textId="77777777" w:rsidR="00A10636" w:rsidRPr="00D9348B" w:rsidRDefault="00A10636" w:rsidP="00AF19B6">
      <w:pPr>
        <w:pStyle w:val="BodyText"/>
        <w:spacing w:before="80" w:after="100"/>
      </w:pPr>
      <w:r w:rsidRPr="00D9348B">
        <w:t xml:space="preserve">New Zealand uses the IPCC Tier 1 default value for uncertainty of organic soils under the categories Forest </w:t>
      </w:r>
      <w:r w:rsidRPr="00D9348B">
        <w:rPr>
          <w:i/>
        </w:rPr>
        <w:t>land</w:t>
      </w:r>
      <w:r w:rsidRPr="00D9348B">
        <w:t xml:space="preserve">, </w:t>
      </w:r>
      <w:r w:rsidRPr="00D9348B">
        <w:rPr>
          <w:i/>
        </w:rPr>
        <w:t>Grassland</w:t>
      </w:r>
      <w:r w:rsidRPr="00D9348B">
        <w:t xml:space="preserve">, </w:t>
      </w:r>
      <w:r w:rsidRPr="00D9348B">
        <w:rPr>
          <w:i/>
        </w:rPr>
        <w:t>Cropland, Wetlands</w:t>
      </w:r>
      <w:r w:rsidRPr="00D9348B">
        <w:t xml:space="preserve"> and </w:t>
      </w:r>
      <w:r w:rsidRPr="00D9348B">
        <w:rPr>
          <w:i/>
        </w:rPr>
        <w:t>Settlements</w:t>
      </w:r>
      <w:r w:rsidRPr="00D9348B">
        <w:t>, as given in the 2006 IPCC Guidelines (2006a, tables 4.6, 5.6, 6.3 and 7.4). These values vary from 40 per cent for managed forests to 90 per cent for the other land uses.</w:t>
      </w:r>
    </w:p>
    <w:p w14:paraId="26FD6C03" w14:textId="77777777" w:rsidR="00A10636" w:rsidRPr="00D9348B" w:rsidRDefault="00A10636" w:rsidP="00A10636">
      <w:pPr>
        <w:pStyle w:val="BodyText"/>
      </w:pPr>
      <w:r w:rsidRPr="00D9348B">
        <w:lastRenderedPageBreak/>
        <w:t>Further detail on uncertainty for each land use is discussed in the appropriate category sections. The same method is used for all years of reporting to ensure time-series consistency.</w:t>
      </w:r>
    </w:p>
    <w:p w14:paraId="6325638A" w14:textId="77777777" w:rsidR="00A10636" w:rsidRPr="00D9348B" w:rsidRDefault="00A10636" w:rsidP="00673C8A">
      <w:pPr>
        <w:pStyle w:val="Heading3"/>
        <w:spacing w:before="280"/>
      </w:pPr>
      <w:bookmarkStart w:id="1509" w:name="_Toc255466317"/>
      <w:bookmarkStart w:id="1510" w:name="_Toc261513124"/>
      <w:bookmarkStart w:id="1511" w:name="_Toc261513737"/>
      <w:bookmarkStart w:id="1512" w:name="_Toc280630218"/>
      <w:r w:rsidRPr="00D9348B">
        <w:t>6.3.4</w:t>
      </w:r>
      <w:r w:rsidRPr="00D9348B">
        <w:tab/>
        <w:t>Source-specific QA/QC and verification</w:t>
      </w:r>
      <w:bookmarkEnd w:id="1509"/>
      <w:bookmarkEnd w:id="1510"/>
      <w:bookmarkEnd w:id="1511"/>
      <w:bookmarkEnd w:id="1512"/>
    </w:p>
    <w:p w14:paraId="2C6884AB" w14:textId="77777777" w:rsidR="00A10636" w:rsidRPr="00D9348B" w:rsidRDefault="00A10636" w:rsidP="00A10636">
      <w:pPr>
        <w:pStyle w:val="BodyText"/>
      </w:pPr>
      <w:r w:rsidRPr="00D9348B">
        <w:t>Quality-control and quality-assurance procedures have been adopted for all data collection and data analyses, to be consistent with 2006 IPCC Guidelines</w:t>
      </w:r>
      <w:r w:rsidRPr="00D9348B" w:rsidDel="00663F9D">
        <w:t xml:space="preserve"> </w:t>
      </w:r>
      <w:r w:rsidRPr="00D9348B">
        <w:t>(IPCC, 2006a) and New Zealand’s inventory quality-control and quality-assurance plan:</w:t>
      </w:r>
    </w:p>
    <w:p w14:paraId="40B65E4D" w14:textId="77777777" w:rsidR="00A10636" w:rsidRPr="00D9348B" w:rsidRDefault="00A10636" w:rsidP="00A10636">
      <w:pPr>
        <w:pStyle w:val="Bullet"/>
      </w:pPr>
      <w:r w:rsidRPr="00D9348B">
        <w:t>details of the quality-management system for data collection, laboratory analyses and database management of the NSD are given in Wilde (2003)</w:t>
      </w:r>
    </w:p>
    <w:p w14:paraId="2F4C8312" w14:textId="77777777" w:rsidR="00A10636" w:rsidRPr="00D9348B" w:rsidRDefault="00A10636" w:rsidP="00A10636">
      <w:pPr>
        <w:pStyle w:val="Bullet"/>
      </w:pPr>
      <w:r w:rsidRPr="00D9348B">
        <w:t>recent data collection, analyses and management methods are subject to the soils quality-control and quality-assurance plan</w:t>
      </w:r>
    </w:p>
    <w:p w14:paraId="254D0DE0" w14:textId="77777777" w:rsidR="00A10636" w:rsidRPr="00D9348B" w:rsidRDefault="00A10636" w:rsidP="00A10636">
      <w:pPr>
        <w:pStyle w:val="Bullet"/>
        <w:rPr>
          <w:rFonts w:eastAsia="Calibri"/>
        </w:rPr>
      </w:pPr>
      <w:proofErr w:type="gramStart"/>
      <w:r w:rsidRPr="00D9348B">
        <w:t>the</w:t>
      </w:r>
      <w:proofErr w:type="gramEnd"/>
      <w:r w:rsidRPr="00D9348B">
        <w:t xml:space="preserve"> consolidated soils data set used within the Soil CMS model has been subject to further quality-assurance</w:t>
      </w:r>
      <w:r w:rsidRPr="00D9348B">
        <w:rPr>
          <w:rFonts w:eastAsia="Calibri"/>
        </w:rPr>
        <w:t xml:space="preserve"> procedures (Fraser et al., </w:t>
      </w:r>
      <w:r w:rsidRPr="00D9348B">
        <w:t>unpublished</w:t>
      </w:r>
      <w:r w:rsidRPr="00D9348B">
        <w:rPr>
          <w:rFonts w:eastAsia="Calibri"/>
        </w:rPr>
        <w:t>).</w:t>
      </w:r>
    </w:p>
    <w:p w14:paraId="181A1708" w14:textId="77777777" w:rsidR="00A10636" w:rsidRPr="00D9348B" w:rsidRDefault="00A10636" w:rsidP="00A10636">
      <w:pPr>
        <w:pStyle w:val="BodyText"/>
      </w:pPr>
      <w:r w:rsidRPr="00D9348B">
        <w:t>The Soil CMS model has been subject to various forms of testing, validation and recalibration. Testing of the Soil CMS model was completed to evaluate its ability to predict SOC stocks at regional and local scales. The results from the Soil CMS have been compared against independent, stratified soil sampling for South Island low</w:t>
      </w:r>
      <w:r w:rsidRPr="00D9348B">
        <w:rPr>
          <w:i/>
        </w:rPr>
        <w:t xml:space="preserve"> </w:t>
      </w:r>
      <w:r w:rsidRPr="00D9348B">
        <w:t>producing grassland (Scott et al., 2002) and for an area of the South Island containing a range of land-cover and soil-climate categories (Tate et al., 2003a, 2003b). A regional-scale validation exercise has also been performed using the largest climate–soil–land use combination cell, moist temperate and volcanic × high producing grassland, within dependent random sampling of 12 profiles taken on a fixed grid over a large area (2,000 square kilometres). Mean values derived from the random sampling were well within the 95 per cent confidence limits of the database values (Tate et al., 2005; Wilde et al., 2004). A second study validated the Soil CMS model for a different cell, dry temperate – high-activity clay – low</w:t>
      </w:r>
      <w:r w:rsidRPr="00D9348B">
        <w:rPr>
          <w:i/>
        </w:rPr>
        <w:t xml:space="preserve"> </w:t>
      </w:r>
      <w:r w:rsidRPr="00D9348B">
        <w:t>producing grassland, finding no significant differences among field data, calibration data and model estimates (Hedley et al., 2012). Overall, tests have indicated that the Soil CMS model estimates SOC stocks reasonably well at a range of scales (Tate et al., 2005).</w:t>
      </w:r>
    </w:p>
    <w:p w14:paraId="3BF23A6A" w14:textId="53B04853" w:rsidR="00A10636" w:rsidRPr="00D9348B" w:rsidRDefault="00A10636" w:rsidP="003526C7">
      <w:pPr>
        <w:pStyle w:val="BodyText"/>
        <w:spacing w:before="100" w:after="100"/>
      </w:pPr>
      <w:r w:rsidRPr="00D9348B">
        <w:t xml:space="preserve">The system has also been validated for its ability to predict soil carbon changes between land uses at steady state for New Zealand’s main land-use change, grassland converted to planted forest. This was done by comparing the Soil CMS results with estimates based on paired sites (Baisden et al., </w:t>
      </w:r>
      <w:proofErr w:type="gramStart"/>
      <w:r w:rsidRPr="00D9348B">
        <w:t>unpublished(</w:t>
      </w:r>
      <w:proofErr w:type="gramEnd"/>
      <w:r w:rsidRPr="00D9348B">
        <w:t xml:space="preserve">a); Tate et al., 2003a). This validation approach compares two nearby sites that have reasonably uniform morphological properties and were previously under a single land use, for which one site has changed to a different land use and sufficient time has elapsed for it to reach steady state values for soil carbon (Baisden et al., </w:t>
      </w:r>
      <w:proofErr w:type="gramStart"/>
      <w:r w:rsidRPr="00D9348B">
        <w:t>unpublished(</w:t>
      </w:r>
      <w:proofErr w:type="gramEnd"/>
      <w:r w:rsidRPr="00D9348B">
        <w:t xml:space="preserve">a), unpublished(b)). This removes the influence that differing soil types, differing climatic conditions and previous </w:t>
      </w:r>
      <w:r w:rsidR="00766DDA">
        <w:t>land-use</w:t>
      </w:r>
      <w:r w:rsidRPr="00D9348B">
        <w:t xml:space="preserve"> regimes may have on soil carbon. Therefore, any resulting changes in soil carbon can be attributed to the most recent change in land use. In one study, results indicated that, once a weighting for forest species type was applied to the paired-site data set (to remove potential bias because </w:t>
      </w:r>
      <w:r w:rsidRPr="00D9348B">
        <w:rPr>
          <w:i/>
          <w:iCs/>
        </w:rPr>
        <w:t xml:space="preserve">Pinus radiata </w:t>
      </w:r>
      <w:r w:rsidRPr="00D9348B">
        <w:t>was under</w:t>
      </w:r>
      <w:r w:rsidR="00970AEA" w:rsidRPr="00D9348B">
        <w:noBreakHyphen/>
      </w:r>
      <w:r w:rsidRPr="00D9348B">
        <w:t>represented in the analysis), the predictions of mean soil carbon from the Soil CMS model and paired sites were in agreement within 95 per cent confidence intervals (Baisden et</w:t>
      </w:r>
      <w:r w:rsidR="00970AEA" w:rsidRPr="00D9348B">
        <w:t> </w:t>
      </w:r>
      <w:r w:rsidRPr="00D9348B">
        <w:t xml:space="preserve">al., </w:t>
      </w:r>
      <w:proofErr w:type="gramStart"/>
      <w:r w:rsidRPr="00D9348B">
        <w:t>unpublished(</w:t>
      </w:r>
      <w:proofErr w:type="gramEnd"/>
      <w:r w:rsidRPr="00D9348B">
        <w:t>a), unpublished(b)). In a more recent study comparing low</w:t>
      </w:r>
      <w:r w:rsidRPr="00D9348B">
        <w:rPr>
          <w:i/>
        </w:rPr>
        <w:t xml:space="preserve"> </w:t>
      </w:r>
      <w:r w:rsidRPr="00D9348B">
        <w:t>producing grassland and pre-1990 planted forests (Hewitt et al., 2012), the measured decrease in SOC under pre</w:t>
      </w:r>
      <w:r w:rsidRPr="00D9348B">
        <w:noBreakHyphen/>
        <w:t>1990 planted forest (–17.4 tonnes ha</w:t>
      </w:r>
      <w:r w:rsidRPr="00D9348B">
        <w:rPr>
          <w:vertAlign w:val="superscript"/>
        </w:rPr>
        <w:t>–1</w:t>
      </w:r>
      <w:r w:rsidRPr="00D9348B">
        <w:t xml:space="preserve">) matched that determined by the Soil CMS model (McNeill et al., unpublished). This supported the Soil CMS model estimate (both in magnitude and direction) that forests planted pre-1990 have significantly lower SOC stocks </w:t>
      </w:r>
      <w:r w:rsidRPr="00D9348B">
        <w:lastRenderedPageBreak/>
        <w:t>than the low</w:t>
      </w:r>
      <w:r w:rsidRPr="00D9348B">
        <w:rPr>
          <w:i/>
        </w:rPr>
        <w:t xml:space="preserve"> </w:t>
      </w:r>
      <w:r w:rsidRPr="00D9348B">
        <w:t>producing grassland and that the sampling depth of 0.3 metres was adequate for the estimation of SOC stock change.</w:t>
      </w:r>
    </w:p>
    <w:p w14:paraId="56B7CA4D" w14:textId="17A249F3" w:rsidR="00A10636" w:rsidRPr="00D9348B" w:rsidRDefault="00A10636" w:rsidP="003526C7">
      <w:pPr>
        <w:pStyle w:val="BodyText"/>
        <w:spacing w:before="100" w:after="100"/>
      </w:pPr>
      <w:r w:rsidRPr="00D9348B">
        <w:t>The carbon stock estimates produced by the Soil CMS model reflect the type of soils in New</w:t>
      </w:r>
      <w:r w:rsidR="00970AEA" w:rsidRPr="00D9348B">
        <w:t> </w:t>
      </w:r>
      <w:r w:rsidRPr="00D9348B">
        <w:t>Zealand (over 50 per cent being high activity clay soils) and the history of land use (fairly recent human settlement and forest clearance when compared with many other countries). As</w:t>
      </w:r>
      <w:r w:rsidR="00970AEA" w:rsidRPr="00D9348B">
        <w:t> </w:t>
      </w:r>
      <w:r w:rsidRPr="00D9348B">
        <w:t xml:space="preserve">a comparison, when New Zealand reported using the Tier 1 default methodology (as in the 2011 submission), low producing grassland had the second highest SOC stock of all land uses (the highest being high producing grassland). The SOC stock for low producing grassland was also higher than for pre-1990 natural forests in that analysis. </w:t>
      </w:r>
    </w:p>
    <w:p w14:paraId="63D8C4FC" w14:textId="77777777" w:rsidR="00A10636" w:rsidRPr="00D9348B" w:rsidRDefault="00A10636" w:rsidP="003526C7">
      <w:pPr>
        <w:pStyle w:val="Heading3"/>
        <w:spacing w:before="280"/>
      </w:pPr>
      <w:bookmarkStart w:id="1513" w:name="_Toc255466318"/>
      <w:bookmarkStart w:id="1514" w:name="_Toc261513125"/>
      <w:bookmarkStart w:id="1515" w:name="_Toc261513738"/>
      <w:bookmarkStart w:id="1516" w:name="_Toc280630219"/>
      <w:r w:rsidRPr="00D9348B">
        <w:t>6.3.5</w:t>
      </w:r>
      <w:r w:rsidRPr="00D9348B">
        <w:tab/>
        <w:t>Source-specific planned improvements</w:t>
      </w:r>
      <w:bookmarkEnd w:id="1513"/>
      <w:bookmarkEnd w:id="1514"/>
      <w:bookmarkEnd w:id="1515"/>
      <w:bookmarkEnd w:id="1516"/>
    </w:p>
    <w:p w14:paraId="0E09EFA9" w14:textId="0EF3325B" w:rsidR="00A10636" w:rsidRPr="00D9348B" w:rsidRDefault="00A10636" w:rsidP="00A10636">
      <w:pPr>
        <w:pStyle w:val="BodyText"/>
      </w:pPr>
      <w:r w:rsidRPr="00D9348B">
        <w:t xml:space="preserve">Following the 2019 in-country review of the 2019 submission, significant changes were found to be required in order for New Zealand’s inventory to more closely align with the 2006 IPCC Guidelines (IPCC, 2006a). New Zealand is currently identifying a strategy for addressing the expert review team’s concerns and this will be included in the improvement plan in the 2021 submission. Part of this strategy will include the ongoing sourcing of empirical SOC data for under-represented </w:t>
      </w:r>
      <w:r w:rsidR="00766DDA">
        <w:t>land-use</w:t>
      </w:r>
      <w:r w:rsidRPr="00D9348B">
        <w:t xml:space="preserve"> categories and activity data. A longitudinal study of soil carbon in </w:t>
      </w:r>
      <w:r w:rsidRPr="00D9348B">
        <w:rPr>
          <w:i/>
        </w:rPr>
        <w:t>Grasslands</w:t>
      </w:r>
      <w:r w:rsidRPr="00D9348B">
        <w:t xml:space="preserve"> and </w:t>
      </w:r>
      <w:r w:rsidRPr="00D9348B">
        <w:rPr>
          <w:i/>
        </w:rPr>
        <w:t>Croplands</w:t>
      </w:r>
      <w:r w:rsidRPr="00D9348B">
        <w:t xml:space="preserve"> is due to start in the 2020 calendar year. Results from this study will not be available for several years. </w:t>
      </w:r>
    </w:p>
    <w:p w14:paraId="2E3BE064" w14:textId="77777777" w:rsidR="00A10636" w:rsidRPr="00D9348B" w:rsidRDefault="00A10636" w:rsidP="00A10636">
      <w:pPr>
        <w:pStyle w:val="Heading2"/>
        <w:spacing w:before="280"/>
      </w:pPr>
      <w:bookmarkStart w:id="1517" w:name="_Toc373395710"/>
      <w:bookmarkStart w:id="1518" w:name="_Toc391024700"/>
      <w:bookmarkStart w:id="1519" w:name="_Toc414531317"/>
      <w:bookmarkStart w:id="1520" w:name="_Toc474335459"/>
      <w:bookmarkStart w:id="1521" w:name="_Toc481751399"/>
      <w:bookmarkStart w:id="1522" w:name="_Toc522013951"/>
      <w:bookmarkStart w:id="1523" w:name="_Toc5269376"/>
      <w:bookmarkStart w:id="1524" w:name="_Toc36224416"/>
      <w:r w:rsidRPr="00D9348B">
        <w:t>6.4</w:t>
      </w:r>
      <w:r w:rsidRPr="00D9348B">
        <w:tab/>
        <w:t>Forest land (CRF 4A)</w:t>
      </w:r>
      <w:bookmarkEnd w:id="1517"/>
      <w:bookmarkEnd w:id="1518"/>
      <w:bookmarkEnd w:id="1519"/>
      <w:bookmarkEnd w:id="1520"/>
      <w:bookmarkEnd w:id="1521"/>
      <w:bookmarkEnd w:id="1522"/>
      <w:bookmarkEnd w:id="1523"/>
      <w:bookmarkEnd w:id="1524"/>
    </w:p>
    <w:p w14:paraId="4A1C266F" w14:textId="77777777" w:rsidR="00A10636" w:rsidRPr="00D9348B" w:rsidRDefault="00A10636" w:rsidP="00970AEA">
      <w:pPr>
        <w:pStyle w:val="Heading3"/>
        <w:spacing w:before="160"/>
      </w:pPr>
      <w:bookmarkStart w:id="1525" w:name="_Toc255466325"/>
      <w:bookmarkStart w:id="1526" w:name="_Toc261513132"/>
      <w:bookmarkStart w:id="1527" w:name="_Toc261513745"/>
      <w:bookmarkStart w:id="1528" w:name="_Toc280630241"/>
      <w:bookmarkStart w:id="1529" w:name="_Toc373395711"/>
      <w:r w:rsidRPr="00D9348B">
        <w:t>6.4.1</w:t>
      </w:r>
      <w:r w:rsidRPr="00D9348B">
        <w:tab/>
        <w:t>Description</w:t>
      </w:r>
      <w:bookmarkEnd w:id="1525"/>
      <w:bookmarkEnd w:id="1526"/>
      <w:bookmarkEnd w:id="1527"/>
      <w:bookmarkEnd w:id="1528"/>
      <w:bookmarkEnd w:id="1529"/>
    </w:p>
    <w:p w14:paraId="34FB3C74" w14:textId="77777777" w:rsidR="00A10636" w:rsidRPr="00D9348B" w:rsidRDefault="00A10636" w:rsidP="00A10636">
      <w:pPr>
        <w:pStyle w:val="BodyText"/>
        <w:spacing w:before="100" w:after="100"/>
      </w:pPr>
      <w:r w:rsidRPr="00D9348B">
        <w:t xml:space="preserve">In </w:t>
      </w:r>
      <w:r w:rsidRPr="00D9348B">
        <w:rPr>
          <w:i/>
        </w:rPr>
        <w:t>New Zealand’s</w:t>
      </w:r>
      <w:r w:rsidRPr="00D9348B">
        <w:t xml:space="preserve"> </w:t>
      </w:r>
      <w:r w:rsidRPr="00D9348B">
        <w:rPr>
          <w:i/>
        </w:rPr>
        <w:t>Initial Report under the Kyoto Protocol</w:t>
      </w:r>
      <w:r w:rsidRPr="00D9348B">
        <w:t xml:space="preserve"> (Ministry for the Environment, 2006), national forest definition parameters were specified as required by Decision 16/CMP.1 (UNFCCC, 2006). The New Zealand parameters are a minimum area of 1 hectare, the potential to reach a minimum height of 5 metres and a minimum crown cover of 30 per cent. Where the height and canopy cover parameters are not met at the time of mapping, the land has been classified as </w:t>
      </w:r>
      <w:r w:rsidRPr="00D9348B">
        <w:rPr>
          <w:i/>
        </w:rPr>
        <w:t>Forest land</w:t>
      </w:r>
      <w:r w:rsidRPr="00D9348B">
        <w:t xml:space="preserve"> if the land-management practice(s) and local site conditions (including climate) are such that the forest parameters will be met over a 30- to 40</w:t>
      </w:r>
      <w:r w:rsidRPr="00D9348B">
        <w:noBreakHyphen/>
        <w:t xml:space="preserve">year timeframe. </w:t>
      </w:r>
    </w:p>
    <w:p w14:paraId="254AF699" w14:textId="77777777" w:rsidR="00A10636" w:rsidRPr="00D9348B" w:rsidRDefault="00A10636" w:rsidP="00A10636">
      <w:pPr>
        <w:pStyle w:val="BodyText"/>
        <w:spacing w:before="100" w:after="100"/>
      </w:pPr>
      <w:r w:rsidRPr="00D9348B">
        <w:t xml:space="preserve">New Zealand also uses a minimum forest width of 30 metres from canopy edge to canopy edge. This removes linear shelterbelts from the </w:t>
      </w:r>
      <w:r w:rsidRPr="00D9348B">
        <w:rPr>
          <w:i/>
        </w:rPr>
        <w:t>Forest land</w:t>
      </w:r>
      <w:r w:rsidRPr="00D9348B">
        <w:t xml:space="preserve"> category because they are not on land managed as forest. The width and height of linear shelterbelts can vary because they are trimmed and topped from time to time. Furthermore, they form part of non-forest land uses, namely </w:t>
      </w:r>
      <w:r w:rsidRPr="00D9348B">
        <w:rPr>
          <w:i/>
        </w:rPr>
        <w:t>Cropland</w:t>
      </w:r>
      <w:r w:rsidRPr="00D9348B">
        <w:t xml:space="preserve"> and </w:t>
      </w:r>
      <w:r w:rsidRPr="00D9348B">
        <w:rPr>
          <w:i/>
        </w:rPr>
        <w:t>Grassland</w:t>
      </w:r>
      <w:r w:rsidRPr="00D9348B">
        <w:t xml:space="preserve"> (as shelter to crops and/or animals). </w:t>
      </w:r>
    </w:p>
    <w:p w14:paraId="47E317DC" w14:textId="77777777" w:rsidR="00A10636" w:rsidRPr="00D9348B" w:rsidRDefault="00A10636" w:rsidP="00A10636">
      <w:pPr>
        <w:pStyle w:val="BodyText"/>
        <w:spacing w:before="100" w:after="100"/>
      </w:pPr>
      <w:r w:rsidRPr="00D9348B">
        <w:t xml:space="preserve">New Zealand has adopted the definition of managed </w:t>
      </w:r>
      <w:r w:rsidRPr="00D9348B">
        <w:rPr>
          <w:i/>
        </w:rPr>
        <w:t>Forest land</w:t>
      </w:r>
      <w:r w:rsidRPr="00D9348B">
        <w:t xml:space="preserve"> as provided in the 2006 IPCC Guidelines (IPCC, 2006a, p 1.5): “Managed land is land where human interventions and practices have been applied to perform production, ecological or social functions”. Accordingly, all of New Zealand’s forests, both those planted for timber production and natural forests managed for conservation values, are considered managed forests.</w:t>
      </w:r>
    </w:p>
    <w:p w14:paraId="6E172950" w14:textId="77777777" w:rsidR="00A10636" w:rsidRPr="00D9348B" w:rsidRDefault="00A10636" w:rsidP="00A10636">
      <w:pPr>
        <w:pStyle w:val="BodyText"/>
        <w:spacing w:before="100" w:after="100"/>
      </w:pPr>
      <w:r w:rsidRPr="00D9348B">
        <w:t>Between 1990 and 2018,</w:t>
      </w:r>
      <w:r w:rsidRPr="00D9348B">
        <w:rPr>
          <w:i/>
        </w:rPr>
        <w:t xml:space="preserve"> Forest land</w:t>
      </w:r>
      <w:r w:rsidRPr="00D9348B">
        <w:t xml:space="preserve"> is the most significant contributor to carbon stock changes in the LULUCF sector. In 2018, forests covered 36.8 per cent (just under 10 million hectares) of New Zealand’s total land area. In 2018, </w:t>
      </w:r>
      <w:r w:rsidRPr="00D9348B">
        <w:rPr>
          <w:i/>
        </w:rPr>
        <w:t>Forest land</w:t>
      </w:r>
      <w:r w:rsidRPr="00D9348B">
        <w:t xml:space="preserve"> contributed –16,907.2</w:t>
      </w:r>
      <w:r w:rsidRPr="00D9348B">
        <w:rPr>
          <w:rFonts w:cs="Arial"/>
          <w:bCs/>
          <w:szCs w:val="16"/>
        </w:rPr>
        <w:t xml:space="preserve"> </w:t>
      </w:r>
      <w:r w:rsidRPr="00D9348B">
        <w:t>kt CO</w:t>
      </w:r>
      <w:r w:rsidRPr="00D9348B">
        <w:rPr>
          <w:vertAlign w:val="subscript"/>
        </w:rPr>
        <w:t>2</w:t>
      </w:r>
      <w:r w:rsidRPr="00D9348B">
        <w:t xml:space="preserve">-e of net emissions. This does not include emissions for the </w:t>
      </w:r>
      <w:r w:rsidRPr="00D9348B">
        <w:rPr>
          <w:i/>
        </w:rPr>
        <w:t>Harvested wood products</w:t>
      </w:r>
      <w:r w:rsidRPr="00D9348B">
        <w:t xml:space="preserve"> category, which are reported separately within the CRF Reporter. The </w:t>
      </w:r>
      <w:r w:rsidRPr="00D9348B">
        <w:rPr>
          <w:i/>
        </w:rPr>
        <w:t>Harvested wood products</w:t>
      </w:r>
      <w:r w:rsidRPr="00D9348B">
        <w:t xml:space="preserve"> category and calculation of emissions are reported in section 6.10. </w:t>
      </w:r>
    </w:p>
    <w:p w14:paraId="0998CC77" w14:textId="77777777" w:rsidR="00A10636" w:rsidRPr="00D9348B" w:rsidRDefault="00A10636" w:rsidP="00A10636">
      <w:pPr>
        <w:pStyle w:val="BodyText"/>
      </w:pPr>
      <w:r w:rsidRPr="00D9348B">
        <w:lastRenderedPageBreak/>
        <w:t xml:space="preserve">Net emissions from </w:t>
      </w:r>
      <w:r w:rsidRPr="00D9348B">
        <w:rPr>
          <w:i/>
        </w:rPr>
        <w:t>Forest land</w:t>
      </w:r>
      <w:r w:rsidRPr="00D9348B">
        <w:t xml:space="preserve"> have increased by 10,054.1 kt CO</w:t>
      </w:r>
      <w:r w:rsidRPr="00D9348B">
        <w:rPr>
          <w:vertAlign w:val="subscript"/>
        </w:rPr>
        <w:t>2</w:t>
      </w:r>
      <w:r w:rsidRPr="00D9348B">
        <w:t>-e (37.3 per cent) from the 1990 level of –26,961.3 kt CO</w:t>
      </w:r>
      <w:r w:rsidRPr="00D9348B">
        <w:rPr>
          <w:vertAlign w:val="subscript"/>
        </w:rPr>
        <w:t>2</w:t>
      </w:r>
      <w:r w:rsidRPr="00D9348B">
        <w:t xml:space="preserve">-e (see table 6.4.1). </w:t>
      </w:r>
    </w:p>
    <w:p w14:paraId="45E8A202" w14:textId="77777777" w:rsidR="00A10636" w:rsidRPr="00D9348B" w:rsidRDefault="00A10636" w:rsidP="00A10636">
      <w:pPr>
        <w:pStyle w:val="BodyText"/>
        <w:spacing w:before="100"/>
      </w:pPr>
      <w:r w:rsidRPr="00D9348B">
        <w:t xml:space="preserve">In 2018, </w:t>
      </w:r>
      <w:r w:rsidRPr="00D9348B">
        <w:rPr>
          <w:i/>
        </w:rPr>
        <w:t>Forest land remaining forest land</w:t>
      </w:r>
      <w:r w:rsidRPr="00D9348B">
        <w:t xml:space="preserve"> and </w:t>
      </w:r>
      <w:r w:rsidRPr="00D9348B">
        <w:rPr>
          <w:i/>
        </w:rPr>
        <w:t>Land converted to forest land</w:t>
      </w:r>
      <w:r w:rsidRPr="00D9348B">
        <w:t xml:space="preserve"> were key categories (trend and level assessment). </w:t>
      </w:r>
    </w:p>
    <w:p w14:paraId="089C0A16" w14:textId="77777777" w:rsidR="00A10636" w:rsidRPr="00D9348B" w:rsidRDefault="00A10636" w:rsidP="00A10636">
      <w:pPr>
        <w:pStyle w:val="Table"/>
      </w:pPr>
      <w:bookmarkStart w:id="1530" w:name="_Toc280630453"/>
      <w:bookmarkStart w:id="1531" w:name="_Toc310423404"/>
      <w:bookmarkStart w:id="1532" w:name="_Toc318362697"/>
      <w:bookmarkStart w:id="1533" w:name="_Toc342470759"/>
      <w:bookmarkStart w:id="1534" w:name="_Toc352504999"/>
      <w:bookmarkStart w:id="1535" w:name="_Toc373395724"/>
      <w:bookmarkStart w:id="1536" w:name="_Toc378853290"/>
      <w:bookmarkStart w:id="1537" w:name="_Toc391024088"/>
      <w:bookmarkStart w:id="1538" w:name="_Toc410028831"/>
      <w:bookmarkStart w:id="1539" w:name="_Toc414531459"/>
      <w:bookmarkStart w:id="1540" w:name="_Toc443645372"/>
      <w:bookmarkStart w:id="1541" w:name="_Toc474914591"/>
      <w:bookmarkStart w:id="1542" w:name="_Toc481751555"/>
      <w:bookmarkStart w:id="1543" w:name="_Toc522010612"/>
      <w:bookmarkStart w:id="1544" w:name="_Toc5269517"/>
      <w:bookmarkStart w:id="1545" w:name="_Toc33529391"/>
      <w:bookmarkStart w:id="1546" w:name="_Toc36224597"/>
      <w:r w:rsidRPr="00D9348B">
        <w:t>Table 6.4.1</w:t>
      </w:r>
      <w:r w:rsidRPr="00D9348B">
        <w:tab/>
        <w:t>New Zealand’s land-use change for the Forest land category, and associated</w:t>
      </w:r>
      <w:r w:rsidRPr="00D9348B">
        <w:br/>
        <w:t>CO</w:t>
      </w:r>
      <w:r w:rsidRPr="00D9348B">
        <w:rPr>
          <w:vertAlign w:val="subscript"/>
        </w:rPr>
        <w:t>2</w:t>
      </w:r>
      <w:r w:rsidRPr="00D9348B">
        <w:t>-e emissions</w:t>
      </w:r>
      <w:bookmarkEnd w:id="1530"/>
      <w:bookmarkEnd w:id="1531"/>
      <w:bookmarkEnd w:id="1532"/>
      <w:bookmarkEnd w:id="1533"/>
      <w:bookmarkEnd w:id="1534"/>
      <w:bookmarkEnd w:id="1535"/>
      <w:bookmarkEnd w:id="1536"/>
      <w:r w:rsidRPr="00D9348B">
        <w:t>, in 1990 and 201</w:t>
      </w:r>
      <w:bookmarkEnd w:id="1537"/>
      <w:bookmarkEnd w:id="1538"/>
      <w:bookmarkEnd w:id="1539"/>
      <w:bookmarkEnd w:id="1540"/>
      <w:bookmarkEnd w:id="1541"/>
      <w:bookmarkEnd w:id="1542"/>
      <w:bookmarkEnd w:id="1543"/>
      <w:bookmarkEnd w:id="1544"/>
      <w:r w:rsidRPr="00D9348B">
        <w:t>8</w:t>
      </w:r>
      <w:bookmarkEnd w:id="1545"/>
      <w:bookmarkEnd w:id="1546"/>
    </w:p>
    <w:tbl>
      <w:tblPr>
        <w:tblW w:w="8505" w:type="dxa"/>
        <w:tblInd w:w="108" w:type="dxa"/>
        <w:tblBorders>
          <w:bottom w:val="single" w:sz="8" w:space="0" w:color="365F91"/>
        </w:tblBorders>
        <w:tblLayout w:type="fixed"/>
        <w:tblLook w:val="04A0" w:firstRow="1" w:lastRow="0" w:firstColumn="1" w:lastColumn="0" w:noHBand="0" w:noVBand="1"/>
      </w:tblPr>
      <w:tblGrid>
        <w:gridCol w:w="2694"/>
        <w:gridCol w:w="1275"/>
        <w:gridCol w:w="1276"/>
        <w:gridCol w:w="992"/>
        <w:gridCol w:w="993"/>
        <w:gridCol w:w="1275"/>
      </w:tblGrid>
      <w:tr w:rsidR="00A10636" w:rsidRPr="00D9348B" w14:paraId="2A253A06" w14:textId="77777777" w:rsidTr="007D6B43">
        <w:tc>
          <w:tcPr>
            <w:tcW w:w="2694" w:type="dxa"/>
            <w:vMerge w:val="restart"/>
            <w:tcBorders>
              <w:top w:val="single" w:sz="4" w:space="0" w:color="365F91"/>
              <w:bottom w:val="nil"/>
              <w:right w:val="nil"/>
            </w:tcBorders>
            <w:shd w:val="clear" w:color="auto" w:fill="365F91"/>
            <w:noWrap/>
            <w:vAlign w:val="bottom"/>
          </w:tcPr>
          <w:p w14:paraId="653B9BEC" w14:textId="1BC3754C" w:rsidR="00A10636" w:rsidRPr="00D9348B" w:rsidRDefault="00766DDA" w:rsidP="00DB330E">
            <w:pPr>
              <w:pStyle w:val="TableTextBold"/>
              <w:keepNext/>
              <w:keepLines/>
              <w:rPr>
                <w:rFonts w:eastAsia="Arial"/>
                <w:noProof w:val="0"/>
                <w:color w:val="FFFFFF"/>
              </w:rPr>
            </w:pPr>
            <w:r>
              <w:rPr>
                <w:rFonts w:eastAsia="Arial"/>
                <w:noProof w:val="0"/>
                <w:color w:val="FFFFFF"/>
              </w:rPr>
              <w:t>Land-use</w:t>
            </w:r>
            <w:r w:rsidR="00A10636" w:rsidRPr="00D9348B">
              <w:rPr>
                <w:rFonts w:eastAsia="Arial"/>
                <w:noProof w:val="0"/>
                <w:color w:val="FFFFFF"/>
              </w:rPr>
              <w:t xml:space="preserve"> category</w:t>
            </w:r>
          </w:p>
        </w:tc>
        <w:tc>
          <w:tcPr>
            <w:tcW w:w="1275" w:type="dxa"/>
            <w:vMerge w:val="restart"/>
            <w:tcBorders>
              <w:top w:val="single" w:sz="4" w:space="0" w:color="365F91"/>
              <w:bottom w:val="nil"/>
            </w:tcBorders>
            <w:shd w:val="clear" w:color="auto" w:fill="365F91"/>
            <w:noWrap/>
            <w:vAlign w:val="bottom"/>
          </w:tcPr>
          <w:p w14:paraId="3AD993D6" w14:textId="77777777" w:rsidR="00A10636" w:rsidRPr="00D9348B" w:rsidRDefault="00A10636" w:rsidP="00DB330E">
            <w:pPr>
              <w:pStyle w:val="TableTextBold"/>
              <w:keepNext/>
              <w:keepLines/>
              <w:jc w:val="right"/>
              <w:rPr>
                <w:rFonts w:eastAsia="Arial"/>
                <w:noProof w:val="0"/>
                <w:color w:val="FFFFFF"/>
              </w:rPr>
            </w:pPr>
            <w:r w:rsidRPr="00D9348B">
              <w:rPr>
                <w:rFonts w:eastAsia="Arial"/>
                <w:noProof w:val="0"/>
                <w:color w:val="FFFFFF"/>
              </w:rPr>
              <w:t>Net area as at 1990 (ha)</w:t>
            </w:r>
          </w:p>
        </w:tc>
        <w:tc>
          <w:tcPr>
            <w:tcW w:w="1276" w:type="dxa"/>
            <w:vMerge w:val="restart"/>
            <w:tcBorders>
              <w:top w:val="single" w:sz="4" w:space="0" w:color="365F91"/>
              <w:bottom w:val="nil"/>
            </w:tcBorders>
            <w:shd w:val="clear" w:color="auto" w:fill="365F91"/>
            <w:noWrap/>
            <w:vAlign w:val="bottom"/>
          </w:tcPr>
          <w:p w14:paraId="4809502F" w14:textId="77777777" w:rsidR="00A10636" w:rsidRPr="00D9348B" w:rsidRDefault="00A10636" w:rsidP="00DB330E">
            <w:pPr>
              <w:pStyle w:val="TableTextBold"/>
              <w:keepNext/>
              <w:keepLines/>
              <w:jc w:val="right"/>
              <w:rPr>
                <w:rFonts w:eastAsia="Arial"/>
                <w:noProof w:val="0"/>
                <w:color w:val="FFFFFF"/>
              </w:rPr>
            </w:pPr>
            <w:r w:rsidRPr="00D9348B">
              <w:rPr>
                <w:rFonts w:eastAsia="Arial"/>
                <w:noProof w:val="0"/>
                <w:color w:val="FFFFFF"/>
              </w:rPr>
              <w:t>Net area as at 2018 (ha)</w:t>
            </w:r>
          </w:p>
        </w:tc>
        <w:tc>
          <w:tcPr>
            <w:tcW w:w="1985" w:type="dxa"/>
            <w:gridSpan w:val="2"/>
            <w:tcBorders>
              <w:top w:val="single" w:sz="4" w:space="0" w:color="365F91"/>
              <w:bottom w:val="nil"/>
            </w:tcBorders>
            <w:shd w:val="clear" w:color="auto" w:fill="365F91"/>
            <w:noWrap/>
            <w:vAlign w:val="bottom"/>
          </w:tcPr>
          <w:p w14:paraId="2855F3F1" w14:textId="77777777" w:rsidR="00A10636" w:rsidRPr="00D9348B" w:rsidRDefault="00A10636" w:rsidP="00DB330E">
            <w:pPr>
              <w:pStyle w:val="TableTextBold"/>
              <w:keepNext/>
              <w:keepLines/>
              <w:jc w:val="center"/>
              <w:rPr>
                <w:rFonts w:eastAsia="Arial"/>
                <w:noProof w:val="0"/>
                <w:color w:val="FFFFFF"/>
              </w:rPr>
            </w:pPr>
            <w:r w:rsidRPr="00D9348B">
              <w:rPr>
                <w:rFonts w:eastAsia="Arial"/>
                <w:noProof w:val="0"/>
                <w:color w:val="FFFFFF"/>
              </w:rPr>
              <w:t xml:space="preserve">Net emissions </w:t>
            </w:r>
            <w:r w:rsidRPr="00D9348B">
              <w:rPr>
                <w:rFonts w:eastAsia="Arial"/>
                <w:noProof w:val="0"/>
                <w:color w:val="FFFFFF"/>
              </w:rPr>
              <w:br/>
              <w:t>(kt CO</w:t>
            </w:r>
            <w:r w:rsidRPr="00D9348B">
              <w:rPr>
                <w:rFonts w:eastAsia="Arial"/>
                <w:noProof w:val="0"/>
                <w:color w:val="FFFFFF"/>
                <w:vertAlign w:val="subscript"/>
              </w:rPr>
              <w:t>2</w:t>
            </w:r>
            <w:r w:rsidRPr="00D9348B">
              <w:rPr>
                <w:rFonts w:eastAsia="Arial"/>
                <w:noProof w:val="0"/>
                <w:color w:val="FFFFFF"/>
              </w:rPr>
              <w:t>-e)</w:t>
            </w:r>
          </w:p>
        </w:tc>
        <w:tc>
          <w:tcPr>
            <w:tcW w:w="1275" w:type="dxa"/>
            <w:vMerge w:val="restart"/>
            <w:tcBorders>
              <w:top w:val="single" w:sz="4" w:space="0" w:color="365F91"/>
              <w:bottom w:val="nil"/>
            </w:tcBorders>
            <w:shd w:val="clear" w:color="auto" w:fill="365F91"/>
            <w:noWrap/>
            <w:vAlign w:val="bottom"/>
          </w:tcPr>
          <w:p w14:paraId="047C285D" w14:textId="77777777" w:rsidR="00A10636" w:rsidRPr="00D9348B" w:rsidRDefault="00A10636" w:rsidP="00DB330E">
            <w:pPr>
              <w:pStyle w:val="TableTextBold"/>
              <w:keepNext/>
              <w:keepLines/>
              <w:jc w:val="right"/>
              <w:rPr>
                <w:rFonts w:eastAsia="Arial"/>
                <w:noProof w:val="0"/>
                <w:color w:val="FFFFFF"/>
              </w:rPr>
            </w:pPr>
            <w:r w:rsidRPr="00D9348B">
              <w:rPr>
                <w:rFonts w:eastAsia="Arial"/>
                <w:noProof w:val="0"/>
                <w:color w:val="FFFFFF"/>
              </w:rPr>
              <w:t>Change from 1990 (%)</w:t>
            </w:r>
          </w:p>
        </w:tc>
      </w:tr>
      <w:tr w:rsidR="00A10636" w:rsidRPr="00D9348B" w14:paraId="7428277D" w14:textId="77777777" w:rsidTr="007D6B43">
        <w:tc>
          <w:tcPr>
            <w:tcW w:w="2694" w:type="dxa"/>
            <w:vMerge/>
            <w:tcBorders>
              <w:top w:val="nil"/>
              <w:bottom w:val="nil"/>
              <w:right w:val="nil"/>
            </w:tcBorders>
            <w:shd w:val="clear" w:color="auto" w:fill="376092"/>
            <w:noWrap/>
            <w:vAlign w:val="bottom"/>
          </w:tcPr>
          <w:p w14:paraId="712FC188" w14:textId="77777777" w:rsidR="00A10636" w:rsidRPr="00D9348B" w:rsidRDefault="00A10636" w:rsidP="00DB330E">
            <w:pPr>
              <w:pStyle w:val="TableTextBold"/>
              <w:keepNext/>
              <w:jc w:val="center"/>
              <w:rPr>
                <w:rFonts w:eastAsia="Arial"/>
                <w:noProof w:val="0"/>
                <w:color w:val="FFFFFF"/>
              </w:rPr>
            </w:pPr>
          </w:p>
        </w:tc>
        <w:tc>
          <w:tcPr>
            <w:tcW w:w="1275" w:type="dxa"/>
            <w:vMerge/>
            <w:tcBorders>
              <w:top w:val="nil"/>
              <w:bottom w:val="nil"/>
            </w:tcBorders>
            <w:shd w:val="clear" w:color="auto" w:fill="376092"/>
            <w:noWrap/>
            <w:vAlign w:val="bottom"/>
          </w:tcPr>
          <w:p w14:paraId="502077F0" w14:textId="77777777" w:rsidR="00A10636" w:rsidRPr="00D9348B" w:rsidRDefault="00A10636" w:rsidP="00DB330E">
            <w:pPr>
              <w:pStyle w:val="TableTextBold"/>
              <w:jc w:val="right"/>
              <w:rPr>
                <w:rFonts w:eastAsia="Arial"/>
                <w:noProof w:val="0"/>
                <w:color w:val="FFFFFF"/>
              </w:rPr>
            </w:pPr>
          </w:p>
        </w:tc>
        <w:tc>
          <w:tcPr>
            <w:tcW w:w="1276" w:type="dxa"/>
            <w:vMerge/>
            <w:tcBorders>
              <w:top w:val="nil"/>
              <w:bottom w:val="nil"/>
            </w:tcBorders>
            <w:shd w:val="clear" w:color="auto" w:fill="376092"/>
            <w:noWrap/>
            <w:vAlign w:val="bottom"/>
          </w:tcPr>
          <w:p w14:paraId="08A62402" w14:textId="77777777" w:rsidR="00A10636" w:rsidRPr="00D9348B" w:rsidRDefault="00A10636" w:rsidP="00DB330E">
            <w:pPr>
              <w:pStyle w:val="TableTextBold"/>
              <w:jc w:val="right"/>
              <w:rPr>
                <w:rFonts w:eastAsia="Arial"/>
                <w:noProof w:val="0"/>
                <w:color w:val="FFFFFF"/>
              </w:rPr>
            </w:pPr>
          </w:p>
        </w:tc>
        <w:tc>
          <w:tcPr>
            <w:tcW w:w="992" w:type="dxa"/>
            <w:tcBorders>
              <w:top w:val="nil"/>
              <w:bottom w:val="nil"/>
            </w:tcBorders>
            <w:shd w:val="clear" w:color="auto" w:fill="376092"/>
            <w:noWrap/>
            <w:vAlign w:val="bottom"/>
          </w:tcPr>
          <w:p w14:paraId="68C010D4" w14:textId="77777777" w:rsidR="00A10636" w:rsidRPr="00D9348B" w:rsidRDefault="00A10636" w:rsidP="00DB330E">
            <w:pPr>
              <w:pStyle w:val="TableTextBold"/>
              <w:jc w:val="right"/>
              <w:rPr>
                <w:rFonts w:eastAsia="Arial"/>
                <w:noProof w:val="0"/>
                <w:color w:val="FFFFFF"/>
              </w:rPr>
            </w:pPr>
            <w:r w:rsidRPr="00D9348B">
              <w:rPr>
                <w:rFonts w:eastAsia="Arial"/>
                <w:noProof w:val="0"/>
                <w:color w:val="FFFFFF"/>
              </w:rPr>
              <w:t>1990</w:t>
            </w:r>
          </w:p>
        </w:tc>
        <w:tc>
          <w:tcPr>
            <w:tcW w:w="993" w:type="dxa"/>
            <w:tcBorders>
              <w:top w:val="nil"/>
              <w:bottom w:val="nil"/>
            </w:tcBorders>
            <w:shd w:val="clear" w:color="auto" w:fill="376092"/>
            <w:noWrap/>
            <w:vAlign w:val="bottom"/>
          </w:tcPr>
          <w:p w14:paraId="2B528662" w14:textId="77777777" w:rsidR="00A10636" w:rsidRPr="00D9348B" w:rsidRDefault="00A10636" w:rsidP="00DB330E">
            <w:pPr>
              <w:pStyle w:val="TableTextBold"/>
              <w:jc w:val="right"/>
              <w:rPr>
                <w:rFonts w:eastAsia="Arial"/>
                <w:noProof w:val="0"/>
                <w:color w:val="FFFFFF"/>
              </w:rPr>
            </w:pPr>
            <w:r w:rsidRPr="00D9348B">
              <w:rPr>
                <w:rFonts w:eastAsia="Arial"/>
                <w:noProof w:val="0"/>
                <w:color w:val="FFFFFF"/>
              </w:rPr>
              <w:t>2018</w:t>
            </w:r>
          </w:p>
        </w:tc>
        <w:tc>
          <w:tcPr>
            <w:tcW w:w="1275" w:type="dxa"/>
            <w:vMerge/>
            <w:tcBorders>
              <w:top w:val="nil"/>
              <w:bottom w:val="nil"/>
            </w:tcBorders>
            <w:shd w:val="clear" w:color="auto" w:fill="376092"/>
            <w:noWrap/>
            <w:vAlign w:val="bottom"/>
          </w:tcPr>
          <w:p w14:paraId="17FA30A0" w14:textId="77777777" w:rsidR="00A10636" w:rsidRPr="00D9348B" w:rsidRDefault="00A10636" w:rsidP="00DB330E">
            <w:pPr>
              <w:pStyle w:val="TableTextBold"/>
              <w:jc w:val="right"/>
              <w:rPr>
                <w:rFonts w:eastAsia="Arial"/>
                <w:noProof w:val="0"/>
                <w:color w:val="FFFFFF"/>
              </w:rPr>
            </w:pPr>
          </w:p>
        </w:tc>
      </w:tr>
      <w:tr w:rsidR="00A10636" w:rsidRPr="00D9348B" w14:paraId="7E3ED0C6" w14:textId="77777777" w:rsidTr="007D6B43">
        <w:tc>
          <w:tcPr>
            <w:tcW w:w="2694" w:type="dxa"/>
            <w:tcBorders>
              <w:top w:val="nil"/>
              <w:bottom w:val="single" w:sz="8" w:space="0" w:color="365F91"/>
              <w:right w:val="nil"/>
            </w:tcBorders>
            <w:shd w:val="clear" w:color="auto" w:fill="auto"/>
            <w:noWrap/>
          </w:tcPr>
          <w:p w14:paraId="437FDD8C" w14:textId="77777777" w:rsidR="00A10636" w:rsidRPr="00D9348B" w:rsidRDefault="00A10636" w:rsidP="00DB330E">
            <w:pPr>
              <w:pStyle w:val="TableText"/>
              <w:keepNext/>
              <w:rPr>
                <w:rFonts w:eastAsia="Arial"/>
              </w:rPr>
            </w:pPr>
            <w:bookmarkStart w:id="1547" w:name="_Hlk311101605"/>
            <w:r w:rsidRPr="00D9348B">
              <w:rPr>
                <w:rFonts w:eastAsia="Arial"/>
              </w:rPr>
              <w:t>Forest land remaining forest land</w:t>
            </w:r>
          </w:p>
        </w:tc>
        <w:tc>
          <w:tcPr>
            <w:tcW w:w="1275" w:type="dxa"/>
            <w:tcBorders>
              <w:top w:val="nil"/>
              <w:bottom w:val="single" w:sz="8" w:space="0" w:color="365F91"/>
            </w:tcBorders>
            <w:shd w:val="clear" w:color="auto" w:fill="auto"/>
            <w:noWrap/>
          </w:tcPr>
          <w:p w14:paraId="1B631682" w14:textId="77777777" w:rsidR="00A10636" w:rsidRPr="00D9348B" w:rsidRDefault="00A10636" w:rsidP="00DB330E">
            <w:pPr>
              <w:pStyle w:val="TableText"/>
              <w:keepNext/>
              <w:jc w:val="right"/>
              <w:rPr>
                <w:rFonts w:eastAsia="Arial"/>
              </w:rPr>
            </w:pPr>
            <w:r w:rsidRPr="00D9348B">
              <w:t>8,538,328</w:t>
            </w:r>
          </w:p>
        </w:tc>
        <w:tc>
          <w:tcPr>
            <w:tcW w:w="1276" w:type="dxa"/>
            <w:tcBorders>
              <w:top w:val="nil"/>
              <w:bottom w:val="single" w:sz="8" w:space="0" w:color="365F91"/>
            </w:tcBorders>
            <w:shd w:val="clear" w:color="auto" w:fill="auto"/>
            <w:noWrap/>
          </w:tcPr>
          <w:p w14:paraId="43633A1D" w14:textId="77777777" w:rsidR="00A10636" w:rsidRPr="00D9348B" w:rsidRDefault="00A10636" w:rsidP="00DB330E">
            <w:pPr>
              <w:pStyle w:val="TableText"/>
              <w:keepNext/>
              <w:jc w:val="right"/>
              <w:rPr>
                <w:rFonts w:eastAsia="Arial"/>
              </w:rPr>
            </w:pPr>
            <w:r w:rsidRPr="00D9348B">
              <w:t>9,216,142</w:t>
            </w:r>
          </w:p>
        </w:tc>
        <w:tc>
          <w:tcPr>
            <w:tcW w:w="992" w:type="dxa"/>
            <w:tcBorders>
              <w:top w:val="nil"/>
              <w:bottom w:val="single" w:sz="8" w:space="0" w:color="365F91"/>
            </w:tcBorders>
            <w:shd w:val="clear" w:color="auto" w:fill="auto"/>
            <w:noWrap/>
          </w:tcPr>
          <w:p w14:paraId="50B94FEA" w14:textId="77777777" w:rsidR="00A10636" w:rsidRPr="00D9348B" w:rsidRDefault="00A10636" w:rsidP="00DB330E">
            <w:pPr>
              <w:pStyle w:val="TableText"/>
              <w:keepNext/>
              <w:jc w:val="right"/>
              <w:rPr>
                <w:rFonts w:eastAsia="Arial"/>
              </w:rPr>
            </w:pPr>
            <w:r w:rsidRPr="00D9348B">
              <w:t xml:space="preserve">–7,487.5 </w:t>
            </w:r>
          </w:p>
        </w:tc>
        <w:tc>
          <w:tcPr>
            <w:tcW w:w="993" w:type="dxa"/>
            <w:tcBorders>
              <w:top w:val="nil"/>
              <w:bottom w:val="single" w:sz="8" w:space="0" w:color="365F91"/>
            </w:tcBorders>
            <w:shd w:val="clear" w:color="auto" w:fill="auto"/>
            <w:noWrap/>
          </w:tcPr>
          <w:p w14:paraId="703B94A1" w14:textId="77777777" w:rsidR="00A10636" w:rsidRPr="00D9348B" w:rsidRDefault="00A10636" w:rsidP="00DB330E">
            <w:pPr>
              <w:pStyle w:val="TableText"/>
              <w:keepNext/>
              <w:jc w:val="right"/>
              <w:rPr>
                <w:rFonts w:eastAsia="Arial"/>
              </w:rPr>
            </w:pPr>
            <w:r w:rsidRPr="00D9348B">
              <w:t xml:space="preserve">–1,368.6 </w:t>
            </w:r>
          </w:p>
        </w:tc>
        <w:tc>
          <w:tcPr>
            <w:tcW w:w="1275" w:type="dxa"/>
            <w:tcBorders>
              <w:top w:val="nil"/>
              <w:bottom w:val="single" w:sz="8" w:space="0" w:color="365F91"/>
            </w:tcBorders>
            <w:shd w:val="clear" w:color="auto" w:fill="auto"/>
            <w:noWrap/>
          </w:tcPr>
          <w:p w14:paraId="38C1CF69" w14:textId="77777777" w:rsidR="00A10636" w:rsidRPr="00D9348B" w:rsidRDefault="00A10636" w:rsidP="00DB330E">
            <w:pPr>
              <w:pStyle w:val="TableText"/>
              <w:keepNext/>
              <w:jc w:val="right"/>
              <w:rPr>
                <w:rFonts w:eastAsia="Arial"/>
              </w:rPr>
            </w:pPr>
            <w:r w:rsidRPr="00D9348B">
              <w:t>+81.7</w:t>
            </w:r>
          </w:p>
        </w:tc>
      </w:tr>
      <w:bookmarkEnd w:id="1547"/>
      <w:tr w:rsidR="00A10636" w:rsidRPr="00D9348B" w14:paraId="04DFD44E" w14:textId="77777777" w:rsidTr="007D6B43">
        <w:tc>
          <w:tcPr>
            <w:tcW w:w="2694" w:type="dxa"/>
            <w:tcBorders>
              <w:right w:val="nil"/>
            </w:tcBorders>
            <w:shd w:val="clear" w:color="auto" w:fill="auto"/>
            <w:noWrap/>
          </w:tcPr>
          <w:p w14:paraId="4ADC2FC5" w14:textId="77777777" w:rsidR="00A10636" w:rsidRPr="00D9348B" w:rsidRDefault="00A10636" w:rsidP="00DB330E">
            <w:pPr>
              <w:pStyle w:val="TableText"/>
              <w:keepNext/>
              <w:rPr>
                <w:rFonts w:eastAsia="Arial"/>
              </w:rPr>
            </w:pPr>
            <w:r w:rsidRPr="00D9348B">
              <w:rPr>
                <w:rFonts w:eastAsia="Arial"/>
              </w:rPr>
              <w:t>Land converted to forest land</w:t>
            </w:r>
          </w:p>
        </w:tc>
        <w:tc>
          <w:tcPr>
            <w:tcW w:w="1275" w:type="dxa"/>
            <w:shd w:val="clear" w:color="auto" w:fill="auto"/>
            <w:noWrap/>
          </w:tcPr>
          <w:p w14:paraId="7C216B82" w14:textId="77777777" w:rsidR="00A10636" w:rsidRPr="00D9348B" w:rsidRDefault="00A10636" w:rsidP="00DB330E">
            <w:pPr>
              <w:pStyle w:val="TableText"/>
              <w:keepNext/>
              <w:jc w:val="right"/>
              <w:rPr>
                <w:rFonts w:eastAsia="Arial"/>
              </w:rPr>
            </w:pPr>
            <w:r w:rsidRPr="00D9348B">
              <w:t>836,446</w:t>
            </w:r>
          </w:p>
        </w:tc>
        <w:tc>
          <w:tcPr>
            <w:tcW w:w="1276" w:type="dxa"/>
            <w:shd w:val="clear" w:color="auto" w:fill="auto"/>
            <w:noWrap/>
          </w:tcPr>
          <w:p w14:paraId="29265D5A" w14:textId="77777777" w:rsidR="00A10636" w:rsidRPr="00D9348B" w:rsidRDefault="00A10636" w:rsidP="00DB330E">
            <w:pPr>
              <w:pStyle w:val="TableText"/>
              <w:keepNext/>
              <w:jc w:val="right"/>
              <w:rPr>
                <w:rFonts w:eastAsia="Arial"/>
              </w:rPr>
            </w:pPr>
            <w:r w:rsidRPr="00D9348B">
              <w:t>689,021</w:t>
            </w:r>
          </w:p>
        </w:tc>
        <w:tc>
          <w:tcPr>
            <w:tcW w:w="992" w:type="dxa"/>
            <w:shd w:val="clear" w:color="auto" w:fill="auto"/>
            <w:noWrap/>
          </w:tcPr>
          <w:p w14:paraId="3FD81ABD" w14:textId="77777777" w:rsidR="00A10636" w:rsidRPr="00D9348B" w:rsidRDefault="00A10636" w:rsidP="00DB330E">
            <w:pPr>
              <w:pStyle w:val="TableText"/>
              <w:keepNext/>
              <w:jc w:val="right"/>
              <w:rPr>
                <w:rFonts w:eastAsia="Arial"/>
              </w:rPr>
            </w:pPr>
            <w:r w:rsidRPr="00D9348B">
              <w:t xml:space="preserve">–19,473.7 </w:t>
            </w:r>
          </w:p>
        </w:tc>
        <w:tc>
          <w:tcPr>
            <w:tcW w:w="993" w:type="dxa"/>
            <w:shd w:val="clear" w:color="auto" w:fill="auto"/>
            <w:noWrap/>
          </w:tcPr>
          <w:p w14:paraId="6086A4B7" w14:textId="77777777" w:rsidR="00A10636" w:rsidRPr="00D9348B" w:rsidRDefault="00A10636" w:rsidP="00DB330E">
            <w:pPr>
              <w:pStyle w:val="TableText"/>
              <w:keepNext/>
              <w:jc w:val="right"/>
              <w:rPr>
                <w:rFonts w:eastAsia="Arial"/>
              </w:rPr>
            </w:pPr>
            <w:r w:rsidRPr="00D9348B">
              <w:t xml:space="preserve">–15,538.6 </w:t>
            </w:r>
          </w:p>
        </w:tc>
        <w:tc>
          <w:tcPr>
            <w:tcW w:w="1275" w:type="dxa"/>
            <w:shd w:val="clear" w:color="auto" w:fill="auto"/>
            <w:noWrap/>
          </w:tcPr>
          <w:p w14:paraId="2869FB71" w14:textId="77777777" w:rsidR="00A10636" w:rsidRPr="00D9348B" w:rsidRDefault="00A10636" w:rsidP="00DB330E">
            <w:pPr>
              <w:pStyle w:val="TableText"/>
              <w:keepNext/>
              <w:jc w:val="right"/>
              <w:rPr>
                <w:rFonts w:eastAsia="Arial"/>
              </w:rPr>
            </w:pPr>
            <w:r w:rsidRPr="00D9348B">
              <w:t>+20.2</w:t>
            </w:r>
          </w:p>
        </w:tc>
      </w:tr>
      <w:tr w:rsidR="00A10636" w:rsidRPr="00D9348B" w14:paraId="0DB904A3" w14:textId="77777777" w:rsidTr="007D6B43">
        <w:tc>
          <w:tcPr>
            <w:tcW w:w="2694" w:type="dxa"/>
            <w:tcBorders>
              <w:top w:val="single" w:sz="8" w:space="0" w:color="365F91"/>
              <w:bottom w:val="single" w:sz="8" w:space="0" w:color="365F91"/>
              <w:right w:val="nil"/>
            </w:tcBorders>
            <w:shd w:val="clear" w:color="auto" w:fill="auto"/>
            <w:noWrap/>
          </w:tcPr>
          <w:p w14:paraId="19E054EF" w14:textId="77777777" w:rsidR="00A10636" w:rsidRPr="00D9348B" w:rsidRDefault="00A10636" w:rsidP="00DB330E">
            <w:pPr>
              <w:pStyle w:val="Tableboldblue"/>
              <w:jc w:val="right"/>
              <w:rPr>
                <w:rFonts w:eastAsia="Arial"/>
              </w:rPr>
            </w:pPr>
            <w:r w:rsidRPr="00D9348B">
              <w:rPr>
                <w:rFonts w:eastAsia="Arial"/>
              </w:rPr>
              <w:t>Total</w:t>
            </w:r>
          </w:p>
        </w:tc>
        <w:tc>
          <w:tcPr>
            <w:tcW w:w="1275" w:type="dxa"/>
            <w:tcBorders>
              <w:top w:val="single" w:sz="8" w:space="0" w:color="365F91"/>
              <w:bottom w:val="single" w:sz="8" w:space="0" w:color="365F91"/>
            </w:tcBorders>
            <w:shd w:val="clear" w:color="auto" w:fill="auto"/>
            <w:noWrap/>
          </w:tcPr>
          <w:p w14:paraId="4E2708D3" w14:textId="77777777" w:rsidR="00A10636" w:rsidRPr="00D9348B" w:rsidRDefault="00A10636" w:rsidP="00DB330E">
            <w:pPr>
              <w:pStyle w:val="Tableboldblue"/>
              <w:jc w:val="right"/>
              <w:rPr>
                <w:rFonts w:eastAsia="Arial"/>
              </w:rPr>
            </w:pPr>
            <w:r w:rsidRPr="00D9348B">
              <w:t>9,374,774</w:t>
            </w:r>
          </w:p>
        </w:tc>
        <w:tc>
          <w:tcPr>
            <w:tcW w:w="1276" w:type="dxa"/>
            <w:tcBorders>
              <w:top w:val="single" w:sz="8" w:space="0" w:color="365F91"/>
              <w:bottom w:val="single" w:sz="8" w:space="0" w:color="365F91"/>
            </w:tcBorders>
            <w:shd w:val="clear" w:color="auto" w:fill="auto"/>
            <w:noWrap/>
          </w:tcPr>
          <w:p w14:paraId="4A8A62BD" w14:textId="77777777" w:rsidR="00A10636" w:rsidRPr="00D9348B" w:rsidRDefault="00A10636" w:rsidP="00DB330E">
            <w:pPr>
              <w:pStyle w:val="Tableboldblue"/>
              <w:jc w:val="right"/>
              <w:rPr>
                <w:rFonts w:eastAsia="Arial"/>
              </w:rPr>
            </w:pPr>
            <w:r w:rsidRPr="00D9348B">
              <w:t>9,905,163</w:t>
            </w:r>
          </w:p>
        </w:tc>
        <w:tc>
          <w:tcPr>
            <w:tcW w:w="992" w:type="dxa"/>
            <w:tcBorders>
              <w:top w:val="single" w:sz="8" w:space="0" w:color="365F91"/>
              <w:bottom w:val="single" w:sz="8" w:space="0" w:color="365F91"/>
            </w:tcBorders>
            <w:shd w:val="clear" w:color="auto" w:fill="auto"/>
            <w:noWrap/>
          </w:tcPr>
          <w:p w14:paraId="39FACF91" w14:textId="77777777" w:rsidR="00A10636" w:rsidRPr="00D9348B" w:rsidRDefault="00A10636" w:rsidP="00DB330E">
            <w:pPr>
              <w:pStyle w:val="Tableboldblue"/>
              <w:jc w:val="right"/>
              <w:rPr>
                <w:rFonts w:eastAsia="Arial"/>
              </w:rPr>
            </w:pPr>
            <w:r w:rsidRPr="00D9348B">
              <w:t xml:space="preserve">–26,961.3 </w:t>
            </w:r>
          </w:p>
        </w:tc>
        <w:tc>
          <w:tcPr>
            <w:tcW w:w="993" w:type="dxa"/>
            <w:tcBorders>
              <w:top w:val="single" w:sz="8" w:space="0" w:color="365F91"/>
              <w:bottom w:val="single" w:sz="8" w:space="0" w:color="365F91"/>
            </w:tcBorders>
            <w:shd w:val="clear" w:color="auto" w:fill="auto"/>
            <w:noWrap/>
          </w:tcPr>
          <w:p w14:paraId="65F9BE85" w14:textId="77777777" w:rsidR="00A10636" w:rsidRPr="00D9348B" w:rsidRDefault="00A10636" w:rsidP="00DB330E">
            <w:pPr>
              <w:pStyle w:val="Tableboldblue"/>
              <w:jc w:val="right"/>
              <w:rPr>
                <w:rFonts w:eastAsia="Arial"/>
              </w:rPr>
            </w:pPr>
            <w:r w:rsidRPr="00D9348B">
              <w:t xml:space="preserve">–16,907.2 </w:t>
            </w:r>
          </w:p>
        </w:tc>
        <w:tc>
          <w:tcPr>
            <w:tcW w:w="1275" w:type="dxa"/>
            <w:tcBorders>
              <w:top w:val="single" w:sz="8" w:space="0" w:color="365F91"/>
              <w:bottom w:val="single" w:sz="8" w:space="0" w:color="365F91"/>
            </w:tcBorders>
            <w:shd w:val="clear" w:color="auto" w:fill="auto"/>
            <w:noWrap/>
          </w:tcPr>
          <w:p w14:paraId="390EF425" w14:textId="77777777" w:rsidR="00A10636" w:rsidRPr="00D9348B" w:rsidRDefault="00A10636" w:rsidP="00DB330E">
            <w:pPr>
              <w:pStyle w:val="Tableboldblue"/>
              <w:jc w:val="right"/>
              <w:rPr>
                <w:rFonts w:eastAsia="Arial"/>
              </w:rPr>
            </w:pPr>
            <w:r w:rsidRPr="00D9348B">
              <w:t>+37.3</w:t>
            </w:r>
          </w:p>
        </w:tc>
      </w:tr>
    </w:tbl>
    <w:p w14:paraId="0DF3A8DA" w14:textId="77777777" w:rsidR="00A10636" w:rsidRPr="00D9348B" w:rsidRDefault="00A10636" w:rsidP="00A10636">
      <w:pPr>
        <w:pStyle w:val="Noteundertable"/>
      </w:pPr>
      <w:r w:rsidRPr="00D9348B">
        <w:rPr>
          <w:b/>
        </w:rPr>
        <w:t>Note:</w:t>
      </w:r>
      <w:r w:rsidRPr="00D9348B">
        <w:tab/>
        <w:t xml:space="preserve">Net area in 1990 is as at 1 January 1990; net area in 2018 is as at 31 December. The area of </w:t>
      </w:r>
      <w:r w:rsidRPr="00D9348B">
        <w:rPr>
          <w:i/>
        </w:rPr>
        <w:t>Land converted to forest</w:t>
      </w:r>
      <w:r w:rsidRPr="00D9348B">
        <w:t xml:space="preserve"> includes land converted up to 28 years prior, and net area values include land in a state of conversion (due to land-use change prior to 1990) and afforestation since 1990. Net emission estimates are for the whole year indicated. Columns may not total due to rounding, and percentages presented are calculated from unrounded values.</w:t>
      </w:r>
    </w:p>
    <w:p w14:paraId="57A1592F" w14:textId="77777777" w:rsidR="00A10636" w:rsidRPr="00D9348B" w:rsidRDefault="00A10636" w:rsidP="00A10636">
      <w:pPr>
        <w:pStyle w:val="BodyText"/>
        <w:spacing w:before="100"/>
      </w:pPr>
      <w:r w:rsidRPr="00D9348B">
        <w:t xml:space="preserve">When reporting under the Convention and the Kyoto Protocol for </w:t>
      </w:r>
      <w:r w:rsidRPr="00D9348B">
        <w:rPr>
          <w:i/>
        </w:rPr>
        <w:t>Forest land</w:t>
      </w:r>
      <w:r w:rsidRPr="00D9348B">
        <w:t xml:space="preserve">, New Zealand uses three </w:t>
      </w:r>
      <w:r w:rsidRPr="00D9348B">
        <w:rPr>
          <w:i/>
        </w:rPr>
        <w:t>Forest land</w:t>
      </w:r>
      <w:r w:rsidRPr="00D9348B">
        <w:t xml:space="preserve"> types: pre-1990 natural forest (predominantly native forest), pre-1990 planted forest (predominantly </w:t>
      </w:r>
      <w:r w:rsidRPr="00D9348B">
        <w:rPr>
          <w:i/>
        </w:rPr>
        <w:t>Pinus radiata</w:t>
      </w:r>
      <w:r w:rsidRPr="00D9348B">
        <w:t>) and post-1989 forest (natural and planted forests established after 31 December 1989). The definitions used for mapping these land uses are given in table 6.2.2.</w:t>
      </w:r>
    </w:p>
    <w:p w14:paraId="63E73D6F" w14:textId="77777777" w:rsidR="00A10636" w:rsidRPr="00D9348B" w:rsidRDefault="00A10636" w:rsidP="00A10636">
      <w:pPr>
        <w:pStyle w:val="BodyText"/>
        <w:spacing w:before="100"/>
      </w:pPr>
      <w:r w:rsidRPr="00D9348B">
        <w:t>While the change in total area of forest land between 1990 and 2018 is relatively small (5.7 per cent increase in area), the change in net emissions for this land is large. This is due to the disproportionate influence that plantation forests have on the emissions profile for this category. Key factors include the timing of afforestation that has occurred since 1990 and the increased level of harvesting in 2018, compared with 1990, due to existing planted forests reaching maturity. Afforestation since 1990 is shown in figure 6.4.1 and the change in the amount of harvesting is displayed in figure 6.4.4.</w:t>
      </w:r>
    </w:p>
    <w:p w14:paraId="392CB19A" w14:textId="77777777" w:rsidR="00A10636" w:rsidRPr="00D9348B" w:rsidRDefault="00A10636" w:rsidP="00A10636">
      <w:pPr>
        <w:pStyle w:val="BodyText"/>
        <w:spacing w:before="100"/>
        <w:rPr>
          <w:spacing w:val="-2"/>
        </w:rPr>
      </w:pPr>
      <w:r w:rsidRPr="00D9348B">
        <w:rPr>
          <w:spacing w:val="-2"/>
        </w:rPr>
        <w:t>Table 6.4.2 shows land-use change by forest land type since 1990 and the associated CO</w:t>
      </w:r>
      <w:r w:rsidRPr="00D9348B">
        <w:rPr>
          <w:spacing w:val="-2"/>
          <w:vertAlign w:val="subscript"/>
        </w:rPr>
        <w:t>2</w:t>
      </w:r>
      <w:r w:rsidRPr="00D9348B">
        <w:rPr>
          <w:spacing w:val="-2"/>
        </w:rPr>
        <w:t xml:space="preserve"> emissions from carbon stock change (note: non-CO</w:t>
      </w:r>
      <w:r w:rsidRPr="00D9348B">
        <w:rPr>
          <w:spacing w:val="-2"/>
          <w:vertAlign w:val="subscript"/>
        </w:rPr>
        <w:t>2</w:t>
      </w:r>
      <w:r w:rsidRPr="00D9348B">
        <w:rPr>
          <w:spacing w:val="-2"/>
        </w:rPr>
        <w:t xml:space="preserve"> emissions are reported elsewhere). The change in the amount of harvesting is reflected in the change in net emissions from 1990 in the pre-1990 planted forest land use. The figures for post-1989 forest also vary greatly between 1990 and 2018 because, in 1990, only one year’s worth of planting was contributing to the emissions figures whereas, by 2018, there is much more land included and a greater biomass on this land.</w:t>
      </w:r>
    </w:p>
    <w:p w14:paraId="02A63877" w14:textId="77777777" w:rsidR="00A10636" w:rsidRPr="00D9348B" w:rsidRDefault="00A10636" w:rsidP="00A10636">
      <w:pPr>
        <w:pStyle w:val="Table"/>
      </w:pPr>
      <w:bookmarkStart w:id="1548" w:name="_Toc310423405"/>
      <w:bookmarkStart w:id="1549" w:name="_Toc318362698"/>
      <w:bookmarkStart w:id="1550" w:name="_Toc342470760"/>
      <w:bookmarkStart w:id="1551" w:name="_Toc352505000"/>
      <w:bookmarkStart w:id="1552" w:name="_Toc373395725"/>
      <w:bookmarkStart w:id="1553" w:name="_Toc378853291"/>
      <w:bookmarkStart w:id="1554" w:name="_Toc474914592"/>
      <w:bookmarkStart w:id="1555" w:name="_Toc481751556"/>
      <w:bookmarkStart w:id="1556" w:name="_Toc522010613"/>
      <w:bookmarkStart w:id="1557" w:name="_Toc5269518"/>
      <w:bookmarkStart w:id="1558" w:name="_Toc33529392"/>
      <w:bookmarkStart w:id="1559" w:name="_Toc36224598"/>
      <w:bookmarkStart w:id="1560" w:name="_Toc391024089"/>
      <w:bookmarkStart w:id="1561" w:name="_Toc410028832"/>
      <w:bookmarkStart w:id="1562" w:name="_Toc414531460"/>
      <w:bookmarkStart w:id="1563" w:name="_Toc443645373"/>
      <w:r w:rsidRPr="00D9348B">
        <w:t>Table 6.4.2</w:t>
      </w:r>
      <w:r w:rsidRPr="00D9348B">
        <w:tab/>
        <w:t>Change in land area and associated CO</w:t>
      </w:r>
      <w:r w:rsidRPr="00D9348B">
        <w:rPr>
          <w:vertAlign w:val="subscript"/>
        </w:rPr>
        <w:t>2</w:t>
      </w:r>
      <w:r w:rsidRPr="00D9348B">
        <w:t xml:space="preserve"> emissions from carbon stock change</w:t>
      </w:r>
      <w:bookmarkEnd w:id="1548"/>
      <w:bookmarkEnd w:id="1549"/>
      <w:bookmarkEnd w:id="1550"/>
      <w:bookmarkEnd w:id="1551"/>
      <w:bookmarkEnd w:id="1552"/>
      <w:bookmarkEnd w:id="1553"/>
      <w:r w:rsidRPr="00D9348B">
        <w:br/>
        <w:t>between 1990 and 2018 for New Zealand’s Forest land</w:t>
      </w:r>
      <w:bookmarkEnd w:id="1554"/>
      <w:bookmarkEnd w:id="1555"/>
      <w:bookmarkEnd w:id="1556"/>
      <w:bookmarkEnd w:id="1557"/>
      <w:bookmarkEnd w:id="1558"/>
      <w:bookmarkEnd w:id="1559"/>
      <w:r w:rsidRPr="00D9348B">
        <w:t xml:space="preserve"> </w:t>
      </w:r>
      <w:bookmarkEnd w:id="1560"/>
      <w:bookmarkEnd w:id="1561"/>
      <w:bookmarkEnd w:id="1562"/>
      <w:bookmarkEnd w:id="1563"/>
    </w:p>
    <w:tbl>
      <w:tblPr>
        <w:tblW w:w="8505" w:type="dxa"/>
        <w:tblInd w:w="108" w:type="dxa"/>
        <w:tblLayout w:type="fixed"/>
        <w:tblLook w:val="04A0" w:firstRow="1" w:lastRow="0" w:firstColumn="1" w:lastColumn="0" w:noHBand="0" w:noVBand="1"/>
      </w:tblPr>
      <w:tblGrid>
        <w:gridCol w:w="1985"/>
        <w:gridCol w:w="1276"/>
        <w:gridCol w:w="1275"/>
        <w:gridCol w:w="993"/>
        <w:gridCol w:w="992"/>
        <w:gridCol w:w="992"/>
        <w:gridCol w:w="992"/>
      </w:tblGrid>
      <w:tr w:rsidR="00A10636" w:rsidRPr="00D9348B" w14:paraId="4F391C4D" w14:textId="77777777" w:rsidTr="00163488">
        <w:trPr>
          <w:tblHeader/>
        </w:trPr>
        <w:tc>
          <w:tcPr>
            <w:tcW w:w="1985" w:type="dxa"/>
            <w:vMerge w:val="restart"/>
            <w:tcBorders>
              <w:top w:val="single" w:sz="4" w:space="0" w:color="365F91"/>
            </w:tcBorders>
            <w:shd w:val="clear" w:color="auto" w:fill="376092"/>
            <w:vAlign w:val="bottom"/>
          </w:tcPr>
          <w:p w14:paraId="3DD0E6B3" w14:textId="77777777" w:rsidR="00A10636" w:rsidRPr="00D9348B" w:rsidRDefault="00A10636" w:rsidP="00DB330E">
            <w:pPr>
              <w:pStyle w:val="TableTextBold"/>
              <w:spacing w:before="40" w:after="40"/>
              <w:rPr>
                <w:rFonts w:eastAsia="Arial"/>
                <w:noProof w:val="0"/>
                <w:color w:val="FFFFFF"/>
              </w:rPr>
            </w:pPr>
            <w:r w:rsidRPr="00D9348B">
              <w:rPr>
                <w:rFonts w:eastAsia="Arial"/>
                <w:noProof w:val="0"/>
                <w:color w:val="FFFFFF"/>
              </w:rPr>
              <w:t xml:space="preserve">Land use </w:t>
            </w:r>
          </w:p>
        </w:tc>
        <w:tc>
          <w:tcPr>
            <w:tcW w:w="1276" w:type="dxa"/>
            <w:tcBorders>
              <w:top w:val="single" w:sz="4" w:space="0" w:color="365F91"/>
            </w:tcBorders>
            <w:shd w:val="clear" w:color="auto" w:fill="376092"/>
            <w:vAlign w:val="bottom"/>
          </w:tcPr>
          <w:p w14:paraId="122F4716" w14:textId="77777777" w:rsidR="00A10636" w:rsidRPr="00D9348B" w:rsidRDefault="00A10636" w:rsidP="00DB330E">
            <w:pPr>
              <w:pStyle w:val="TableTextBold"/>
              <w:spacing w:before="40" w:after="40"/>
              <w:jc w:val="center"/>
              <w:rPr>
                <w:rFonts w:eastAsia="Arial"/>
                <w:noProof w:val="0"/>
                <w:color w:val="FFFFFF"/>
              </w:rPr>
            </w:pPr>
            <w:r w:rsidRPr="00D9348B">
              <w:rPr>
                <w:rFonts w:eastAsia="Arial"/>
                <w:noProof w:val="0"/>
                <w:color w:val="FFFFFF"/>
              </w:rPr>
              <w:t>Net area (ha)</w:t>
            </w:r>
          </w:p>
        </w:tc>
        <w:tc>
          <w:tcPr>
            <w:tcW w:w="1275" w:type="dxa"/>
            <w:tcBorders>
              <w:top w:val="single" w:sz="4" w:space="0" w:color="365F91"/>
            </w:tcBorders>
            <w:shd w:val="clear" w:color="auto" w:fill="376092"/>
            <w:vAlign w:val="bottom"/>
          </w:tcPr>
          <w:p w14:paraId="3AC6CA3E" w14:textId="77777777" w:rsidR="00A10636" w:rsidRPr="00D9348B" w:rsidRDefault="00A10636" w:rsidP="00DB330E">
            <w:pPr>
              <w:pStyle w:val="TableTextBold"/>
              <w:spacing w:before="40" w:after="40"/>
              <w:jc w:val="center"/>
              <w:rPr>
                <w:rFonts w:eastAsia="Arial"/>
                <w:noProof w:val="0"/>
                <w:color w:val="FFFFFF"/>
              </w:rPr>
            </w:pPr>
            <w:r w:rsidRPr="00D9348B">
              <w:rPr>
                <w:rFonts w:eastAsia="Arial"/>
                <w:noProof w:val="0"/>
                <w:color w:val="FFFFFF"/>
              </w:rPr>
              <w:t>Net area (ha)</w:t>
            </w:r>
          </w:p>
        </w:tc>
        <w:tc>
          <w:tcPr>
            <w:tcW w:w="993" w:type="dxa"/>
            <w:vMerge w:val="restart"/>
            <w:tcBorders>
              <w:top w:val="single" w:sz="4" w:space="0" w:color="365F91"/>
            </w:tcBorders>
            <w:shd w:val="clear" w:color="auto" w:fill="376092"/>
            <w:vAlign w:val="bottom"/>
          </w:tcPr>
          <w:p w14:paraId="77498FA7" w14:textId="77777777" w:rsidR="00A10636" w:rsidRPr="00D9348B" w:rsidRDefault="00A10636" w:rsidP="00DB330E">
            <w:pPr>
              <w:pStyle w:val="TableTextBold"/>
              <w:spacing w:before="40" w:after="40"/>
              <w:jc w:val="right"/>
              <w:rPr>
                <w:rFonts w:eastAsia="Arial"/>
                <w:noProof w:val="0"/>
                <w:color w:val="FFFFFF"/>
              </w:rPr>
            </w:pPr>
            <w:r w:rsidRPr="00D9348B">
              <w:rPr>
                <w:rFonts w:eastAsia="Arial"/>
                <w:noProof w:val="0"/>
                <w:color w:val="FFFFFF"/>
              </w:rPr>
              <w:t>Change from 1990 (%)</w:t>
            </w:r>
          </w:p>
        </w:tc>
        <w:tc>
          <w:tcPr>
            <w:tcW w:w="1984" w:type="dxa"/>
            <w:gridSpan w:val="2"/>
            <w:tcBorders>
              <w:top w:val="single" w:sz="4" w:space="0" w:color="365F91"/>
            </w:tcBorders>
            <w:shd w:val="clear" w:color="auto" w:fill="376092"/>
            <w:vAlign w:val="bottom"/>
          </w:tcPr>
          <w:p w14:paraId="5C18DF6B" w14:textId="77777777" w:rsidR="00A10636" w:rsidRPr="00D9348B" w:rsidRDefault="00A10636" w:rsidP="00DB330E">
            <w:pPr>
              <w:pStyle w:val="TableTextBold"/>
              <w:spacing w:before="40" w:after="40"/>
              <w:jc w:val="center"/>
              <w:rPr>
                <w:rFonts w:eastAsia="Arial"/>
                <w:noProof w:val="0"/>
                <w:color w:val="FFFFFF"/>
              </w:rPr>
            </w:pPr>
            <w:r w:rsidRPr="00D9348B">
              <w:rPr>
                <w:rFonts w:eastAsia="Arial"/>
                <w:noProof w:val="0"/>
                <w:color w:val="FFFFFF"/>
              </w:rPr>
              <w:t xml:space="preserve">Net emissions </w:t>
            </w:r>
            <w:r w:rsidRPr="00D9348B">
              <w:rPr>
                <w:rFonts w:eastAsia="Arial"/>
                <w:noProof w:val="0"/>
                <w:color w:val="FFFFFF"/>
              </w:rPr>
              <w:br/>
              <w:t>(kt CO</w:t>
            </w:r>
            <w:r w:rsidRPr="00D9348B">
              <w:rPr>
                <w:rFonts w:eastAsia="Arial"/>
                <w:noProof w:val="0"/>
                <w:color w:val="FFFFFF"/>
                <w:vertAlign w:val="subscript"/>
              </w:rPr>
              <w:t xml:space="preserve">2 </w:t>
            </w:r>
            <w:r w:rsidRPr="00D9348B">
              <w:rPr>
                <w:rFonts w:eastAsia="Arial"/>
                <w:noProof w:val="0"/>
                <w:color w:val="FFFFFF"/>
              </w:rPr>
              <w:t>only)</w:t>
            </w:r>
          </w:p>
        </w:tc>
        <w:tc>
          <w:tcPr>
            <w:tcW w:w="992" w:type="dxa"/>
            <w:vMerge w:val="restart"/>
            <w:tcBorders>
              <w:top w:val="single" w:sz="4" w:space="0" w:color="365F91"/>
            </w:tcBorders>
            <w:shd w:val="clear" w:color="auto" w:fill="376092"/>
            <w:vAlign w:val="bottom"/>
          </w:tcPr>
          <w:p w14:paraId="413FFF7C" w14:textId="77777777" w:rsidR="00A10636" w:rsidRPr="00D9348B" w:rsidRDefault="00A10636" w:rsidP="00DB330E">
            <w:pPr>
              <w:pStyle w:val="TableTextBold"/>
              <w:spacing w:before="40" w:after="40"/>
              <w:jc w:val="right"/>
              <w:rPr>
                <w:rFonts w:eastAsia="Arial"/>
                <w:noProof w:val="0"/>
                <w:color w:val="FFFFFF"/>
              </w:rPr>
            </w:pPr>
            <w:r w:rsidRPr="00D9348B">
              <w:rPr>
                <w:rFonts w:eastAsia="Arial"/>
                <w:noProof w:val="0"/>
                <w:color w:val="FFFFFF"/>
              </w:rPr>
              <w:t>Change from 1990 (%)</w:t>
            </w:r>
          </w:p>
        </w:tc>
      </w:tr>
      <w:tr w:rsidR="00A10636" w:rsidRPr="00D9348B" w14:paraId="57625215" w14:textId="77777777" w:rsidTr="00163488">
        <w:tc>
          <w:tcPr>
            <w:tcW w:w="1985" w:type="dxa"/>
            <w:vMerge/>
            <w:tcBorders>
              <w:bottom w:val="single" w:sz="4" w:space="0" w:color="365F91"/>
            </w:tcBorders>
            <w:shd w:val="clear" w:color="auto" w:fill="376092"/>
          </w:tcPr>
          <w:p w14:paraId="5CFF9129" w14:textId="77777777" w:rsidR="00A10636" w:rsidRPr="00D9348B" w:rsidRDefault="00A10636" w:rsidP="00DB330E">
            <w:pPr>
              <w:pStyle w:val="TableTextBold"/>
              <w:spacing w:before="40" w:after="40"/>
              <w:jc w:val="center"/>
              <w:rPr>
                <w:rFonts w:eastAsia="Arial"/>
                <w:noProof w:val="0"/>
                <w:color w:val="FFFFFF"/>
              </w:rPr>
            </w:pPr>
          </w:p>
        </w:tc>
        <w:tc>
          <w:tcPr>
            <w:tcW w:w="1276" w:type="dxa"/>
            <w:tcBorders>
              <w:bottom w:val="single" w:sz="4" w:space="0" w:color="365F91"/>
            </w:tcBorders>
            <w:shd w:val="clear" w:color="auto" w:fill="376092"/>
          </w:tcPr>
          <w:p w14:paraId="5370ADE8" w14:textId="77777777" w:rsidR="00A10636" w:rsidRPr="00D9348B" w:rsidRDefault="00A10636" w:rsidP="00DB330E">
            <w:pPr>
              <w:pStyle w:val="TableTextBold"/>
              <w:spacing w:before="40" w:after="40"/>
              <w:jc w:val="right"/>
              <w:rPr>
                <w:rFonts w:eastAsia="Arial"/>
                <w:noProof w:val="0"/>
                <w:color w:val="FFFFFF"/>
              </w:rPr>
            </w:pPr>
            <w:r w:rsidRPr="00D9348B">
              <w:rPr>
                <w:rFonts w:eastAsia="Arial"/>
                <w:noProof w:val="0"/>
                <w:color w:val="FFFFFF"/>
              </w:rPr>
              <w:t>1990</w:t>
            </w:r>
          </w:p>
        </w:tc>
        <w:tc>
          <w:tcPr>
            <w:tcW w:w="1275" w:type="dxa"/>
            <w:tcBorders>
              <w:bottom w:val="single" w:sz="4" w:space="0" w:color="365F91"/>
            </w:tcBorders>
            <w:shd w:val="clear" w:color="auto" w:fill="376092"/>
          </w:tcPr>
          <w:p w14:paraId="24CC7938" w14:textId="77777777" w:rsidR="00A10636" w:rsidRPr="00D9348B" w:rsidRDefault="00A10636" w:rsidP="00DB330E">
            <w:pPr>
              <w:pStyle w:val="TableTextBold"/>
              <w:spacing w:before="40" w:after="40"/>
              <w:jc w:val="right"/>
              <w:rPr>
                <w:rFonts w:eastAsia="Arial"/>
                <w:noProof w:val="0"/>
                <w:color w:val="FFFFFF"/>
              </w:rPr>
            </w:pPr>
            <w:r w:rsidRPr="00D9348B">
              <w:rPr>
                <w:rFonts w:eastAsia="Arial"/>
                <w:noProof w:val="0"/>
                <w:color w:val="FFFFFF"/>
              </w:rPr>
              <w:t>2018</w:t>
            </w:r>
          </w:p>
        </w:tc>
        <w:tc>
          <w:tcPr>
            <w:tcW w:w="993" w:type="dxa"/>
            <w:vMerge/>
            <w:tcBorders>
              <w:bottom w:val="single" w:sz="4" w:space="0" w:color="365F91"/>
            </w:tcBorders>
            <w:shd w:val="clear" w:color="auto" w:fill="376092"/>
          </w:tcPr>
          <w:p w14:paraId="53532E50" w14:textId="77777777" w:rsidR="00A10636" w:rsidRPr="00D9348B" w:rsidRDefault="00A10636" w:rsidP="00DB330E">
            <w:pPr>
              <w:pStyle w:val="TableTextBold"/>
              <w:spacing w:before="40" w:after="40"/>
              <w:jc w:val="center"/>
              <w:rPr>
                <w:rFonts w:eastAsia="Arial"/>
                <w:noProof w:val="0"/>
                <w:color w:val="FFFFFF"/>
              </w:rPr>
            </w:pPr>
          </w:p>
        </w:tc>
        <w:tc>
          <w:tcPr>
            <w:tcW w:w="992" w:type="dxa"/>
            <w:tcBorders>
              <w:bottom w:val="single" w:sz="4" w:space="0" w:color="365F91"/>
            </w:tcBorders>
            <w:shd w:val="clear" w:color="auto" w:fill="376092"/>
          </w:tcPr>
          <w:p w14:paraId="39248C27" w14:textId="77777777" w:rsidR="00A10636" w:rsidRPr="00D9348B" w:rsidRDefault="00A10636" w:rsidP="00DB330E">
            <w:pPr>
              <w:pStyle w:val="TableTextBold"/>
              <w:spacing w:before="40" w:after="40"/>
              <w:jc w:val="right"/>
              <w:rPr>
                <w:rFonts w:eastAsia="Arial"/>
                <w:noProof w:val="0"/>
                <w:color w:val="FFFFFF"/>
              </w:rPr>
            </w:pPr>
            <w:r w:rsidRPr="00D9348B">
              <w:rPr>
                <w:rFonts w:eastAsia="Arial"/>
                <w:noProof w:val="0"/>
                <w:color w:val="FFFFFF"/>
              </w:rPr>
              <w:t>1990</w:t>
            </w:r>
          </w:p>
        </w:tc>
        <w:tc>
          <w:tcPr>
            <w:tcW w:w="992" w:type="dxa"/>
            <w:tcBorders>
              <w:bottom w:val="single" w:sz="4" w:space="0" w:color="365F91"/>
            </w:tcBorders>
            <w:shd w:val="clear" w:color="auto" w:fill="376092"/>
          </w:tcPr>
          <w:p w14:paraId="4A218CE2" w14:textId="77777777" w:rsidR="00A10636" w:rsidRPr="00D9348B" w:rsidRDefault="00A10636" w:rsidP="00DB330E">
            <w:pPr>
              <w:pStyle w:val="TableTextBold"/>
              <w:spacing w:before="40" w:after="40"/>
              <w:jc w:val="right"/>
              <w:rPr>
                <w:rFonts w:eastAsia="Arial"/>
                <w:noProof w:val="0"/>
                <w:color w:val="FFFFFF"/>
              </w:rPr>
            </w:pPr>
            <w:r w:rsidRPr="00D9348B">
              <w:rPr>
                <w:rFonts w:eastAsia="Arial"/>
                <w:noProof w:val="0"/>
                <w:color w:val="FFFFFF"/>
              </w:rPr>
              <w:t>2018</w:t>
            </w:r>
          </w:p>
        </w:tc>
        <w:tc>
          <w:tcPr>
            <w:tcW w:w="992" w:type="dxa"/>
            <w:vMerge/>
            <w:tcBorders>
              <w:bottom w:val="single" w:sz="4" w:space="0" w:color="365F91"/>
            </w:tcBorders>
            <w:shd w:val="clear" w:color="auto" w:fill="376092"/>
          </w:tcPr>
          <w:p w14:paraId="04269658" w14:textId="77777777" w:rsidR="00A10636" w:rsidRPr="00D9348B" w:rsidRDefault="00A10636" w:rsidP="00DB330E">
            <w:pPr>
              <w:pStyle w:val="TableTextBold"/>
              <w:spacing w:before="40" w:after="40"/>
              <w:jc w:val="center"/>
              <w:rPr>
                <w:rFonts w:eastAsia="Arial"/>
                <w:noProof w:val="0"/>
                <w:color w:val="FFFFFF"/>
              </w:rPr>
            </w:pPr>
          </w:p>
        </w:tc>
      </w:tr>
      <w:tr w:rsidR="00A10636" w:rsidRPr="00D9348B" w14:paraId="17F8D8F9" w14:textId="77777777" w:rsidTr="00163488">
        <w:tc>
          <w:tcPr>
            <w:tcW w:w="1985" w:type="dxa"/>
            <w:tcBorders>
              <w:top w:val="single" w:sz="4" w:space="0" w:color="365F91"/>
              <w:bottom w:val="single" w:sz="4" w:space="0" w:color="365F91"/>
            </w:tcBorders>
            <w:shd w:val="clear" w:color="auto" w:fill="auto"/>
          </w:tcPr>
          <w:p w14:paraId="71F3DE98" w14:textId="77777777" w:rsidR="00A10636" w:rsidRPr="00D9348B" w:rsidRDefault="00A10636" w:rsidP="00DB330E">
            <w:pPr>
              <w:pStyle w:val="TableText"/>
              <w:keepNext/>
              <w:rPr>
                <w:rFonts w:eastAsia="Arial"/>
              </w:rPr>
            </w:pPr>
            <w:r w:rsidRPr="00D9348B">
              <w:rPr>
                <w:rFonts w:eastAsia="Arial"/>
              </w:rPr>
              <w:t>Pre-1990 natural forest</w:t>
            </w:r>
          </w:p>
        </w:tc>
        <w:tc>
          <w:tcPr>
            <w:tcW w:w="1276" w:type="dxa"/>
            <w:tcBorders>
              <w:top w:val="single" w:sz="4" w:space="0" w:color="365F91"/>
              <w:bottom w:val="single" w:sz="4" w:space="0" w:color="365F91"/>
            </w:tcBorders>
            <w:shd w:val="clear" w:color="auto" w:fill="auto"/>
          </w:tcPr>
          <w:p w14:paraId="33AF6DCC" w14:textId="77777777" w:rsidR="00A10636" w:rsidRPr="00D9348B" w:rsidRDefault="00A10636" w:rsidP="00DB330E">
            <w:pPr>
              <w:pStyle w:val="TableText"/>
              <w:keepNext/>
              <w:jc w:val="right"/>
              <w:rPr>
                <w:rFonts w:eastAsia="Arial"/>
              </w:rPr>
            </w:pPr>
            <w:r w:rsidRPr="00D9348B">
              <w:t>7,826,472</w:t>
            </w:r>
          </w:p>
        </w:tc>
        <w:tc>
          <w:tcPr>
            <w:tcW w:w="1275" w:type="dxa"/>
            <w:tcBorders>
              <w:top w:val="single" w:sz="4" w:space="0" w:color="365F91"/>
              <w:bottom w:val="single" w:sz="4" w:space="0" w:color="365F91"/>
            </w:tcBorders>
            <w:shd w:val="clear" w:color="auto" w:fill="auto"/>
          </w:tcPr>
          <w:p w14:paraId="6C13F942" w14:textId="77777777" w:rsidR="00A10636" w:rsidRPr="00D9348B" w:rsidRDefault="00A10636" w:rsidP="00DB330E">
            <w:pPr>
              <w:pStyle w:val="TableText"/>
              <w:keepNext/>
              <w:jc w:val="right"/>
              <w:rPr>
                <w:rFonts w:eastAsia="Arial"/>
              </w:rPr>
            </w:pPr>
            <w:r w:rsidRPr="00D9348B">
              <w:t>7,756,584</w:t>
            </w:r>
          </w:p>
        </w:tc>
        <w:tc>
          <w:tcPr>
            <w:tcW w:w="993" w:type="dxa"/>
            <w:tcBorders>
              <w:top w:val="single" w:sz="4" w:space="0" w:color="365F91"/>
              <w:bottom w:val="single" w:sz="4" w:space="0" w:color="365F91"/>
            </w:tcBorders>
            <w:shd w:val="clear" w:color="auto" w:fill="auto"/>
          </w:tcPr>
          <w:p w14:paraId="554E4420" w14:textId="77777777" w:rsidR="00A10636" w:rsidRPr="00D9348B" w:rsidRDefault="00A10636" w:rsidP="00DB330E">
            <w:pPr>
              <w:pStyle w:val="TableText"/>
              <w:keepNext/>
              <w:jc w:val="right"/>
              <w:rPr>
                <w:rFonts w:eastAsia="Arial"/>
              </w:rPr>
            </w:pPr>
            <w:r w:rsidRPr="00D9348B">
              <w:t>–0.9</w:t>
            </w:r>
          </w:p>
        </w:tc>
        <w:tc>
          <w:tcPr>
            <w:tcW w:w="992" w:type="dxa"/>
            <w:tcBorders>
              <w:top w:val="single" w:sz="4" w:space="0" w:color="365F91"/>
              <w:bottom w:val="single" w:sz="4" w:space="0" w:color="365F91"/>
            </w:tcBorders>
            <w:shd w:val="clear" w:color="auto" w:fill="auto"/>
          </w:tcPr>
          <w:p w14:paraId="36984FE0" w14:textId="77777777" w:rsidR="00A10636" w:rsidRPr="00D9348B" w:rsidRDefault="00A10636" w:rsidP="00DB330E">
            <w:pPr>
              <w:pStyle w:val="TableText"/>
              <w:keepNext/>
              <w:jc w:val="right"/>
              <w:rPr>
                <w:rFonts w:eastAsia="Arial"/>
              </w:rPr>
            </w:pPr>
            <w:r w:rsidRPr="00D9348B">
              <w:t xml:space="preserve">–2,753.1 </w:t>
            </w:r>
          </w:p>
        </w:tc>
        <w:tc>
          <w:tcPr>
            <w:tcW w:w="992" w:type="dxa"/>
            <w:tcBorders>
              <w:top w:val="single" w:sz="4" w:space="0" w:color="365F91"/>
              <w:bottom w:val="single" w:sz="4" w:space="0" w:color="365F91"/>
            </w:tcBorders>
            <w:shd w:val="clear" w:color="auto" w:fill="auto"/>
          </w:tcPr>
          <w:p w14:paraId="0C3D0C76" w14:textId="77777777" w:rsidR="00A10636" w:rsidRPr="00D9348B" w:rsidRDefault="00A10636" w:rsidP="00DB330E">
            <w:pPr>
              <w:pStyle w:val="TableText"/>
              <w:keepNext/>
              <w:jc w:val="right"/>
              <w:rPr>
                <w:rFonts w:eastAsia="Arial"/>
              </w:rPr>
            </w:pPr>
            <w:r w:rsidRPr="00D9348B">
              <w:t>–2,684.6</w:t>
            </w:r>
          </w:p>
        </w:tc>
        <w:tc>
          <w:tcPr>
            <w:tcW w:w="992" w:type="dxa"/>
            <w:tcBorders>
              <w:top w:val="single" w:sz="4" w:space="0" w:color="365F91"/>
              <w:bottom w:val="single" w:sz="4" w:space="0" w:color="365F91"/>
            </w:tcBorders>
            <w:shd w:val="clear" w:color="auto" w:fill="auto"/>
          </w:tcPr>
          <w:p w14:paraId="1D13B44E" w14:textId="77777777" w:rsidR="00A10636" w:rsidRPr="00D9348B" w:rsidRDefault="00A10636" w:rsidP="00DB330E">
            <w:pPr>
              <w:pStyle w:val="TableText"/>
              <w:keepNext/>
              <w:jc w:val="right"/>
              <w:rPr>
                <w:rFonts w:eastAsia="Arial"/>
              </w:rPr>
            </w:pPr>
            <w:r w:rsidRPr="00D9348B">
              <w:t>+2.5</w:t>
            </w:r>
          </w:p>
        </w:tc>
      </w:tr>
      <w:tr w:rsidR="00A10636" w:rsidRPr="00D9348B" w14:paraId="5C817DF0" w14:textId="77777777" w:rsidTr="00163488">
        <w:tc>
          <w:tcPr>
            <w:tcW w:w="1985" w:type="dxa"/>
            <w:tcBorders>
              <w:top w:val="single" w:sz="4" w:space="0" w:color="365F91"/>
              <w:bottom w:val="single" w:sz="4" w:space="0" w:color="365F91"/>
            </w:tcBorders>
            <w:shd w:val="clear" w:color="auto" w:fill="auto"/>
          </w:tcPr>
          <w:p w14:paraId="40A88A9E" w14:textId="77777777" w:rsidR="00A10636" w:rsidRPr="00D9348B" w:rsidRDefault="00A10636" w:rsidP="00DB330E">
            <w:pPr>
              <w:pStyle w:val="TableText"/>
              <w:rPr>
                <w:rFonts w:eastAsia="Arial"/>
              </w:rPr>
            </w:pPr>
            <w:r w:rsidRPr="00D9348B">
              <w:rPr>
                <w:rFonts w:eastAsia="Arial"/>
              </w:rPr>
              <w:t>Pre-1990 planted forest</w:t>
            </w:r>
          </w:p>
        </w:tc>
        <w:tc>
          <w:tcPr>
            <w:tcW w:w="1276" w:type="dxa"/>
            <w:tcBorders>
              <w:top w:val="single" w:sz="4" w:space="0" w:color="365F91"/>
              <w:bottom w:val="single" w:sz="4" w:space="0" w:color="365F91"/>
            </w:tcBorders>
            <w:shd w:val="clear" w:color="auto" w:fill="auto"/>
          </w:tcPr>
          <w:p w14:paraId="1CDAB827" w14:textId="77777777" w:rsidR="00A10636" w:rsidRPr="00D9348B" w:rsidRDefault="00A10636" w:rsidP="00DB330E">
            <w:pPr>
              <w:pStyle w:val="TableText"/>
              <w:jc w:val="right"/>
              <w:rPr>
                <w:rFonts w:eastAsia="Arial"/>
              </w:rPr>
            </w:pPr>
            <w:r w:rsidRPr="00D9348B">
              <w:t>1,548,302</w:t>
            </w:r>
          </w:p>
        </w:tc>
        <w:tc>
          <w:tcPr>
            <w:tcW w:w="1275" w:type="dxa"/>
            <w:tcBorders>
              <w:top w:val="single" w:sz="4" w:space="0" w:color="365F91"/>
              <w:bottom w:val="single" w:sz="4" w:space="0" w:color="365F91"/>
            </w:tcBorders>
            <w:shd w:val="clear" w:color="auto" w:fill="auto"/>
          </w:tcPr>
          <w:p w14:paraId="0DD76119" w14:textId="77777777" w:rsidR="00A10636" w:rsidRPr="00D9348B" w:rsidRDefault="00A10636" w:rsidP="00DB330E">
            <w:pPr>
              <w:pStyle w:val="TableText"/>
              <w:jc w:val="right"/>
              <w:rPr>
                <w:rFonts w:eastAsia="Arial"/>
              </w:rPr>
            </w:pPr>
            <w:r w:rsidRPr="00D9348B">
              <w:t>1,445,989</w:t>
            </w:r>
          </w:p>
        </w:tc>
        <w:tc>
          <w:tcPr>
            <w:tcW w:w="993" w:type="dxa"/>
            <w:tcBorders>
              <w:top w:val="single" w:sz="4" w:space="0" w:color="365F91"/>
              <w:bottom w:val="single" w:sz="4" w:space="0" w:color="365F91"/>
            </w:tcBorders>
            <w:shd w:val="clear" w:color="auto" w:fill="auto"/>
          </w:tcPr>
          <w:p w14:paraId="1AB4C703" w14:textId="77777777" w:rsidR="00A10636" w:rsidRPr="00D9348B" w:rsidRDefault="00A10636" w:rsidP="00DB330E">
            <w:pPr>
              <w:pStyle w:val="TableText"/>
              <w:jc w:val="right"/>
              <w:rPr>
                <w:rFonts w:eastAsia="Arial"/>
              </w:rPr>
            </w:pPr>
            <w:r w:rsidRPr="00D9348B">
              <w:t>–6.6</w:t>
            </w:r>
          </w:p>
        </w:tc>
        <w:tc>
          <w:tcPr>
            <w:tcW w:w="992" w:type="dxa"/>
            <w:tcBorders>
              <w:top w:val="single" w:sz="4" w:space="0" w:color="365F91"/>
              <w:bottom w:val="single" w:sz="4" w:space="0" w:color="365F91"/>
            </w:tcBorders>
            <w:shd w:val="clear" w:color="auto" w:fill="auto"/>
          </w:tcPr>
          <w:p w14:paraId="24438A25" w14:textId="77777777" w:rsidR="00A10636" w:rsidRPr="00D9348B" w:rsidRDefault="00A10636" w:rsidP="00DB330E">
            <w:pPr>
              <w:pStyle w:val="TableText"/>
              <w:jc w:val="right"/>
              <w:rPr>
                <w:rFonts w:eastAsia="Arial"/>
              </w:rPr>
            </w:pPr>
            <w:r w:rsidRPr="00D9348B">
              <w:t>–24,450.1</w:t>
            </w:r>
          </w:p>
        </w:tc>
        <w:tc>
          <w:tcPr>
            <w:tcW w:w="992" w:type="dxa"/>
            <w:tcBorders>
              <w:top w:val="single" w:sz="4" w:space="0" w:color="365F91"/>
              <w:bottom w:val="single" w:sz="4" w:space="0" w:color="365F91"/>
            </w:tcBorders>
            <w:shd w:val="clear" w:color="auto" w:fill="auto"/>
          </w:tcPr>
          <w:p w14:paraId="4E176EEE" w14:textId="77777777" w:rsidR="00A10636" w:rsidRPr="00D9348B" w:rsidRDefault="00A10636" w:rsidP="00DB330E">
            <w:pPr>
              <w:pStyle w:val="TableText"/>
              <w:jc w:val="right"/>
              <w:rPr>
                <w:rFonts w:eastAsia="Arial"/>
              </w:rPr>
            </w:pPr>
            <w:r w:rsidRPr="00D9348B">
              <w:t>+562.5</w:t>
            </w:r>
          </w:p>
        </w:tc>
        <w:tc>
          <w:tcPr>
            <w:tcW w:w="992" w:type="dxa"/>
            <w:tcBorders>
              <w:top w:val="single" w:sz="4" w:space="0" w:color="365F91"/>
              <w:bottom w:val="single" w:sz="4" w:space="0" w:color="365F91"/>
            </w:tcBorders>
            <w:shd w:val="clear" w:color="auto" w:fill="auto"/>
          </w:tcPr>
          <w:p w14:paraId="740770DB" w14:textId="77777777" w:rsidR="00A10636" w:rsidRPr="00D9348B" w:rsidRDefault="00A10636" w:rsidP="00DB330E">
            <w:pPr>
              <w:pStyle w:val="TableText"/>
              <w:jc w:val="right"/>
              <w:rPr>
                <w:rFonts w:eastAsia="Arial"/>
              </w:rPr>
            </w:pPr>
            <w:r w:rsidRPr="00D9348B">
              <w:t>+102.3</w:t>
            </w:r>
          </w:p>
        </w:tc>
      </w:tr>
      <w:tr w:rsidR="00A10636" w:rsidRPr="00D9348B" w14:paraId="510FA62F" w14:textId="77777777" w:rsidTr="00163488">
        <w:tc>
          <w:tcPr>
            <w:tcW w:w="1985" w:type="dxa"/>
            <w:tcBorders>
              <w:top w:val="single" w:sz="4" w:space="0" w:color="365F91"/>
              <w:bottom w:val="single" w:sz="4" w:space="0" w:color="365F91"/>
            </w:tcBorders>
            <w:shd w:val="clear" w:color="auto" w:fill="auto"/>
          </w:tcPr>
          <w:p w14:paraId="6EC94E1B" w14:textId="77777777" w:rsidR="00A10636" w:rsidRPr="00D9348B" w:rsidRDefault="00A10636" w:rsidP="00DB330E">
            <w:pPr>
              <w:pStyle w:val="TableText"/>
              <w:rPr>
                <w:rFonts w:eastAsia="Arial"/>
              </w:rPr>
            </w:pPr>
            <w:r w:rsidRPr="00D9348B">
              <w:rPr>
                <w:rFonts w:eastAsia="Arial"/>
              </w:rPr>
              <w:t>Post-1989 forest</w:t>
            </w:r>
          </w:p>
        </w:tc>
        <w:tc>
          <w:tcPr>
            <w:tcW w:w="1276" w:type="dxa"/>
            <w:tcBorders>
              <w:top w:val="single" w:sz="4" w:space="0" w:color="365F91"/>
              <w:bottom w:val="single" w:sz="4" w:space="0" w:color="365F91"/>
            </w:tcBorders>
            <w:shd w:val="clear" w:color="auto" w:fill="auto"/>
          </w:tcPr>
          <w:p w14:paraId="3BC64D8E" w14:textId="77777777" w:rsidR="00A10636" w:rsidRPr="00D9348B" w:rsidRDefault="00A10636" w:rsidP="00DB330E">
            <w:pPr>
              <w:pStyle w:val="TableText"/>
              <w:jc w:val="right"/>
              <w:rPr>
                <w:rFonts w:eastAsia="Arial"/>
              </w:rPr>
            </w:pPr>
            <w:r w:rsidRPr="00D9348B">
              <w:t>0</w:t>
            </w:r>
          </w:p>
        </w:tc>
        <w:tc>
          <w:tcPr>
            <w:tcW w:w="1275" w:type="dxa"/>
            <w:tcBorders>
              <w:top w:val="single" w:sz="4" w:space="0" w:color="365F91"/>
              <w:bottom w:val="single" w:sz="4" w:space="0" w:color="365F91"/>
            </w:tcBorders>
            <w:shd w:val="clear" w:color="auto" w:fill="auto"/>
          </w:tcPr>
          <w:p w14:paraId="419A2238" w14:textId="77777777" w:rsidR="00A10636" w:rsidRPr="00D9348B" w:rsidRDefault="00A10636" w:rsidP="00DB330E">
            <w:pPr>
              <w:pStyle w:val="TableText"/>
              <w:jc w:val="right"/>
              <w:rPr>
                <w:rFonts w:eastAsia="Arial"/>
              </w:rPr>
            </w:pPr>
            <w:r w:rsidRPr="00D9348B">
              <w:t>702,590</w:t>
            </w:r>
          </w:p>
        </w:tc>
        <w:tc>
          <w:tcPr>
            <w:tcW w:w="993" w:type="dxa"/>
            <w:tcBorders>
              <w:top w:val="single" w:sz="4" w:space="0" w:color="365F91"/>
              <w:bottom w:val="single" w:sz="4" w:space="0" w:color="365F91"/>
            </w:tcBorders>
            <w:shd w:val="clear" w:color="auto" w:fill="auto"/>
            <w:vAlign w:val="center"/>
          </w:tcPr>
          <w:p w14:paraId="511F8BD2" w14:textId="77777777" w:rsidR="00A10636" w:rsidRPr="00D9348B" w:rsidRDefault="00A10636" w:rsidP="00DB330E">
            <w:pPr>
              <w:pStyle w:val="TableText"/>
              <w:jc w:val="right"/>
              <w:rPr>
                <w:rFonts w:eastAsia="Arial"/>
              </w:rPr>
            </w:pPr>
            <w:r w:rsidRPr="00D9348B">
              <w:t>NA</w:t>
            </w:r>
          </w:p>
        </w:tc>
        <w:tc>
          <w:tcPr>
            <w:tcW w:w="992" w:type="dxa"/>
            <w:tcBorders>
              <w:top w:val="single" w:sz="4" w:space="0" w:color="365F91"/>
              <w:bottom w:val="single" w:sz="4" w:space="0" w:color="365F91"/>
            </w:tcBorders>
            <w:shd w:val="clear" w:color="auto" w:fill="auto"/>
          </w:tcPr>
          <w:p w14:paraId="4243CA16" w14:textId="77777777" w:rsidR="00A10636" w:rsidRPr="00D9348B" w:rsidRDefault="00A10636" w:rsidP="00DB330E">
            <w:pPr>
              <w:pStyle w:val="TableText"/>
              <w:jc w:val="right"/>
              <w:rPr>
                <w:rFonts w:eastAsia="Arial"/>
              </w:rPr>
            </w:pPr>
            <w:r w:rsidRPr="00D9348B">
              <w:t xml:space="preserve">31.0 </w:t>
            </w:r>
          </w:p>
        </w:tc>
        <w:tc>
          <w:tcPr>
            <w:tcW w:w="992" w:type="dxa"/>
            <w:tcBorders>
              <w:top w:val="single" w:sz="4" w:space="0" w:color="365F91"/>
              <w:bottom w:val="single" w:sz="4" w:space="0" w:color="365F91"/>
            </w:tcBorders>
            <w:shd w:val="clear" w:color="auto" w:fill="auto"/>
          </w:tcPr>
          <w:p w14:paraId="3DAC7CD1" w14:textId="77777777" w:rsidR="00A10636" w:rsidRPr="00D9348B" w:rsidRDefault="00A10636" w:rsidP="00DB330E">
            <w:pPr>
              <w:pStyle w:val="TableText"/>
              <w:jc w:val="right"/>
              <w:rPr>
                <w:rFonts w:eastAsia="Arial"/>
              </w:rPr>
            </w:pPr>
            <w:r w:rsidRPr="00D9348B">
              <w:t xml:space="preserve">–14,854.8 </w:t>
            </w:r>
          </w:p>
        </w:tc>
        <w:tc>
          <w:tcPr>
            <w:tcW w:w="992" w:type="dxa"/>
            <w:tcBorders>
              <w:top w:val="single" w:sz="4" w:space="0" w:color="365F91"/>
              <w:bottom w:val="single" w:sz="4" w:space="0" w:color="365F91"/>
            </w:tcBorders>
            <w:shd w:val="clear" w:color="auto" w:fill="auto"/>
          </w:tcPr>
          <w:p w14:paraId="1D3D3B10" w14:textId="77777777" w:rsidR="00A10636" w:rsidRPr="00D9348B" w:rsidRDefault="00A10636" w:rsidP="00DB330E">
            <w:pPr>
              <w:pStyle w:val="TableText"/>
              <w:jc w:val="right"/>
              <w:rPr>
                <w:rFonts w:eastAsia="Arial"/>
              </w:rPr>
            </w:pPr>
            <w:r w:rsidRPr="00D9348B">
              <w:t>–48,052.7</w:t>
            </w:r>
          </w:p>
        </w:tc>
      </w:tr>
      <w:tr w:rsidR="00A10636" w:rsidRPr="00D9348B" w14:paraId="5FF8780E" w14:textId="77777777" w:rsidTr="00163488">
        <w:tc>
          <w:tcPr>
            <w:tcW w:w="1985" w:type="dxa"/>
            <w:tcBorders>
              <w:top w:val="single" w:sz="4" w:space="0" w:color="365F91"/>
              <w:bottom w:val="single" w:sz="4" w:space="0" w:color="365F91"/>
            </w:tcBorders>
            <w:shd w:val="clear" w:color="auto" w:fill="auto"/>
          </w:tcPr>
          <w:p w14:paraId="60673CF4" w14:textId="77777777" w:rsidR="00A10636" w:rsidRPr="00D9348B" w:rsidRDefault="00A10636" w:rsidP="00DB330E">
            <w:pPr>
              <w:pStyle w:val="Tableboldblue"/>
              <w:jc w:val="right"/>
              <w:rPr>
                <w:rFonts w:eastAsia="Arial"/>
              </w:rPr>
            </w:pPr>
            <w:r w:rsidRPr="00D9348B">
              <w:rPr>
                <w:rFonts w:eastAsia="Arial"/>
              </w:rPr>
              <w:t>Total</w:t>
            </w:r>
          </w:p>
        </w:tc>
        <w:tc>
          <w:tcPr>
            <w:tcW w:w="1276" w:type="dxa"/>
            <w:tcBorders>
              <w:top w:val="single" w:sz="4" w:space="0" w:color="365F91"/>
              <w:bottom w:val="single" w:sz="4" w:space="0" w:color="365F91"/>
            </w:tcBorders>
            <w:shd w:val="clear" w:color="auto" w:fill="auto"/>
          </w:tcPr>
          <w:p w14:paraId="739A3B59" w14:textId="77777777" w:rsidR="00A10636" w:rsidRPr="00D9348B" w:rsidRDefault="00A10636" w:rsidP="00DB330E">
            <w:pPr>
              <w:pStyle w:val="Tableboldblue"/>
              <w:jc w:val="right"/>
            </w:pPr>
            <w:r w:rsidRPr="00D9348B">
              <w:t>9,374,774</w:t>
            </w:r>
          </w:p>
        </w:tc>
        <w:tc>
          <w:tcPr>
            <w:tcW w:w="1275" w:type="dxa"/>
            <w:tcBorders>
              <w:top w:val="single" w:sz="4" w:space="0" w:color="365F91"/>
              <w:bottom w:val="single" w:sz="4" w:space="0" w:color="365F91"/>
            </w:tcBorders>
            <w:shd w:val="clear" w:color="auto" w:fill="auto"/>
          </w:tcPr>
          <w:p w14:paraId="7EE3B5F2" w14:textId="77777777" w:rsidR="00A10636" w:rsidRPr="00D9348B" w:rsidRDefault="00A10636" w:rsidP="00DB330E">
            <w:pPr>
              <w:pStyle w:val="Tableboldblue"/>
              <w:jc w:val="right"/>
            </w:pPr>
            <w:r w:rsidRPr="00D9348B">
              <w:t>9,905,163</w:t>
            </w:r>
          </w:p>
        </w:tc>
        <w:tc>
          <w:tcPr>
            <w:tcW w:w="993" w:type="dxa"/>
            <w:tcBorders>
              <w:top w:val="single" w:sz="4" w:space="0" w:color="365F91"/>
              <w:bottom w:val="single" w:sz="4" w:space="0" w:color="365F91"/>
            </w:tcBorders>
            <w:shd w:val="clear" w:color="auto" w:fill="auto"/>
            <w:vAlign w:val="center"/>
          </w:tcPr>
          <w:p w14:paraId="00C8056C" w14:textId="77777777" w:rsidR="00A10636" w:rsidRPr="00D9348B" w:rsidRDefault="00A10636" w:rsidP="00DB330E">
            <w:pPr>
              <w:pStyle w:val="Tableboldblue"/>
              <w:jc w:val="right"/>
            </w:pPr>
            <w:r w:rsidRPr="00D9348B">
              <w:t>+5.7</w:t>
            </w:r>
          </w:p>
        </w:tc>
        <w:tc>
          <w:tcPr>
            <w:tcW w:w="992" w:type="dxa"/>
            <w:tcBorders>
              <w:top w:val="single" w:sz="4" w:space="0" w:color="365F91"/>
              <w:bottom w:val="single" w:sz="4" w:space="0" w:color="365F91"/>
            </w:tcBorders>
            <w:shd w:val="clear" w:color="auto" w:fill="auto"/>
          </w:tcPr>
          <w:p w14:paraId="1484A122" w14:textId="77777777" w:rsidR="00A10636" w:rsidRPr="00D9348B" w:rsidRDefault="00A10636" w:rsidP="00DB330E">
            <w:pPr>
              <w:pStyle w:val="Tableboldblue"/>
              <w:jc w:val="right"/>
              <w:rPr>
                <w:rFonts w:eastAsia="Arial"/>
              </w:rPr>
            </w:pPr>
            <w:r w:rsidRPr="00D9348B">
              <w:t xml:space="preserve">–27,172.2 </w:t>
            </w:r>
          </w:p>
        </w:tc>
        <w:tc>
          <w:tcPr>
            <w:tcW w:w="992" w:type="dxa"/>
            <w:tcBorders>
              <w:top w:val="single" w:sz="4" w:space="0" w:color="365F91"/>
              <w:bottom w:val="single" w:sz="4" w:space="0" w:color="365F91"/>
            </w:tcBorders>
            <w:shd w:val="clear" w:color="auto" w:fill="auto"/>
          </w:tcPr>
          <w:p w14:paraId="3F263EDD" w14:textId="77777777" w:rsidR="00A10636" w:rsidRPr="00D9348B" w:rsidRDefault="00A10636" w:rsidP="00DB330E">
            <w:pPr>
              <w:pStyle w:val="Tableboldblue"/>
              <w:jc w:val="right"/>
              <w:rPr>
                <w:rFonts w:eastAsia="Arial"/>
              </w:rPr>
            </w:pPr>
            <w:r w:rsidRPr="00D9348B">
              <w:t xml:space="preserve">–16,976.9 </w:t>
            </w:r>
          </w:p>
        </w:tc>
        <w:tc>
          <w:tcPr>
            <w:tcW w:w="992" w:type="dxa"/>
            <w:tcBorders>
              <w:top w:val="single" w:sz="4" w:space="0" w:color="365F91"/>
              <w:bottom w:val="single" w:sz="4" w:space="0" w:color="365F91"/>
            </w:tcBorders>
            <w:shd w:val="clear" w:color="auto" w:fill="auto"/>
          </w:tcPr>
          <w:p w14:paraId="39467B64" w14:textId="77777777" w:rsidR="00A10636" w:rsidRPr="00D9348B" w:rsidRDefault="00A10636" w:rsidP="00DB330E">
            <w:pPr>
              <w:pStyle w:val="Tableboldblue"/>
              <w:jc w:val="right"/>
              <w:rPr>
                <w:rFonts w:eastAsia="Arial"/>
              </w:rPr>
            </w:pPr>
            <w:r w:rsidRPr="00D9348B">
              <w:t>+37.5</w:t>
            </w:r>
          </w:p>
        </w:tc>
      </w:tr>
    </w:tbl>
    <w:p w14:paraId="5A228AEC" w14:textId="466CEC49" w:rsidR="00A10636" w:rsidRPr="00D9348B" w:rsidRDefault="00A10636" w:rsidP="00A10636">
      <w:pPr>
        <w:pStyle w:val="Noteundertable"/>
      </w:pPr>
      <w:r w:rsidRPr="00D9348B">
        <w:rPr>
          <w:b/>
        </w:rPr>
        <w:lastRenderedPageBreak/>
        <w:t>Note:</w:t>
      </w:r>
      <w:r w:rsidRPr="00D9348B">
        <w:tab/>
        <w:t xml:space="preserve">NA = not applicable. Net area in 1990 is as at 1 January 1990; net area in 2018 is as at 31 December. Net area values include land in a state of conversion to forest (due to land-use change prior to 1990) and afforestation since 1990. Net emissions estimates are for the whole year indicated. Columns may not total due to rounding. Emissions associated with the conversion of forest to other land uses are reported in the </w:t>
      </w:r>
      <w:r w:rsidR="00766DDA">
        <w:t>land-use</w:t>
      </w:r>
      <w:r w:rsidRPr="00D9348B">
        <w:t xml:space="preserve"> category the land is converted to.</w:t>
      </w:r>
    </w:p>
    <w:p w14:paraId="7A3877C4" w14:textId="77777777" w:rsidR="00A10636" w:rsidRPr="00D9348B" w:rsidRDefault="00A10636" w:rsidP="00A10636">
      <w:pPr>
        <w:pStyle w:val="BodyText"/>
        <w:spacing w:after="240"/>
      </w:pPr>
      <w:r w:rsidRPr="00D9348B">
        <w:t>Table 6.4.3 shows New Zealand’s carbon stock change by carbon pool within the</w:t>
      </w:r>
      <w:r w:rsidRPr="00D9348B">
        <w:rPr>
          <w:rFonts w:cs="Arial"/>
        </w:rPr>
        <w:t xml:space="preserve"> </w:t>
      </w:r>
      <w:r w:rsidRPr="00D9348B">
        <w:rPr>
          <w:rFonts w:cs="Arial"/>
          <w:i/>
        </w:rPr>
        <w:t>Forest</w:t>
      </w:r>
      <w:r w:rsidRPr="00D9348B">
        <w:rPr>
          <w:i/>
        </w:rPr>
        <w:t xml:space="preserve"> land</w:t>
      </w:r>
      <w:r w:rsidRPr="00D9348B">
        <w:t xml:space="preserve"> category from 1990 to 2018. Over this period, the total carbon stock stored in </w:t>
      </w:r>
      <w:r w:rsidRPr="00D9348B">
        <w:rPr>
          <w:i/>
        </w:rPr>
        <w:t>Forest land</w:t>
      </w:r>
      <w:r w:rsidRPr="00D9348B">
        <w:t xml:space="preserve"> has increased by 207,182.2 kt C, equivalent to emissions of –759,668.0 tonnes CO</w:t>
      </w:r>
      <w:r w:rsidRPr="00D9348B">
        <w:rPr>
          <w:vertAlign w:val="subscript"/>
        </w:rPr>
        <w:t>2</w:t>
      </w:r>
      <w:r w:rsidRPr="00D9348B">
        <w:t xml:space="preserve"> since 1990.</w:t>
      </w:r>
    </w:p>
    <w:p w14:paraId="635799F4" w14:textId="77777777" w:rsidR="00A10636" w:rsidRPr="00D9348B" w:rsidRDefault="00A10636" w:rsidP="00A10636">
      <w:pPr>
        <w:pStyle w:val="Table"/>
      </w:pPr>
      <w:bookmarkStart w:id="1564" w:name="_Toc280630454"/>
      <w:bookmarkStart w:id="1565" w:name="_Toc310423406"/>
      <w:bookmarkStart w:id="1566" w:name="_Toc318362699"/>
      <w:bookmarkStart w:id="1567" w:name="_Toc342470761"/>
      <w:bookmarkStart w:id="1568" w:name="_Toc352505001"/>
      <w:bookmarkStart w:id="1569" w:name="_Toc373395726"/>
      <w:bookmarkStart w:id="1570" w:name="_Toc378853292"/>
      <w:bookmarkStart w:id="1571" w:name="_Toc391024090"/>
      <w:bookmarkStart w:id="1572" w:name="_Toc410028833"/>
      <w:bookmarkStart w:id="1573" w:name="_Toc414531461"/>
      <w:bookmarkStart w:id="1574" w:name="_Toc443645374"/>
      <w:bookmarkStart w:id="1575" w:name="_Toc474914593"/>
      <w:bookmarkStart w:id="1576" w:name="_Toc481751557"/>
      <w:bookmarkStart w:id="1577" w:name="_Toc522010614"/>
      <w:bookmarkStart w:id="1578" w:name="_Toc5269519"/>
      <w:bookmarkStart w:id="1579" w:name="_Toc33529393"/>
      <w:bookmarkStart w:id="1580" w:name="_Toc36224599"/>
      <w:r w:rsidRPr="00D9348B">
        <w:t>Table 6.4.3</w:t>
      </w:r>
      <w:r w:rsidRPr="00D9348B">
        <w:tab/>
        <w:t>New Zealand’s net carbon stock change by carbon pool for the</w:t>
      </w:r>
      <w:r w:rsidRPr="00D9348B">
        <w:rPr>
          <w:rFonts w:cs="Arial"/>
        </w:rPr>
        <w:t xml:space="preserve"> Forest</w:t>
      </w:r>
      <w:r w:rsidRPr="00D9348B">
        <w:t xml:space="preserve"> land category</w:t>
      </w:r>
      <w:r w:rsidRPr="00D9348B">
        <w:br/>
        <w:t>from 1990 to</w:t>
      </w:r>
      <w:bookmarkEnd w:id="1564"/>
      <w:bookmarkEnd w:id="1565"/>
      <w:bookmarkEnd w:id="1566"/>
      <w:bookmarkEnd w:id="1567"/>
      <w:bookmarkEnd w:id="1568"/>
      <w:bookmarkEnd w:id="1569"/>
      <w:bookmarkEnd w:id="1570"/>
      <w:bookmarkEnd w:id="1571"/>
      <w:r w:rsidRPr="00D9348B">
        <w:t> 201</w:t>
      </w:r>
      <w:bookmarkEnd w:id="1572"/>
      <w:bookmarkEnd w:id="1573"/>
      <w:bookmarkEnd w:id="1574"/>
      <w:bookmarkEnd w:id="1575"/>
      <w:bookmarkEnd w:id="1576"/>
      <w:r w:rsidRPr="00D9348B">
        <w:t>8</w:t>
      </w:r>
      <w:bookmarkEnd w:id="1577"/>
      <w:bookmarkEnd w:id="1578"/>
      <w:bookmarkEnd w:id="1579"/>
      <w:bookmarkEnd w:id="1580"/>
    </w:p>
    <w:tbl>
      <w:tblPr>
        <w:tblW w:w="8505" w:type="dxa"/>
        <w:tblInd w:w="108" w:type="dxa"/>
        <w:tblBorders>
          <w:bottom w:val="single" w:sz="8" w:space="0" w:color="365F91"/>
        </w:tblBorders>
        <w:tblLayout w:type="fixed"/>
        <w:tblLook w:val="04A0" w:firstRow="1" w:lastRow="0" w:firstColumn="1" w:lastColumn="0" w:noHBand="0" w:noVBand="1"/>
      </w:tblPr>
      <w:tblGrid>
        <w:gridCol w:w="2049"/>
        <w:gridCol w:w="1251"/>
        <w:gridCol w:w="1662"/>
        <w:gridCol w:w="1134"/>
        <w:gridCol w:w="1134"/>
        <w:gridCol w:w="1275"/>
      </w:tblGrid>
      <w:tr w:rsidR="00A10636" w:rsidRPr="00D9348B" w14:paraId="16807999" w14:textId="77777777" w:rsidTr="00163488">
        <w:tc>
          <w:tcPr>
            <w:tcW w:w="2049" w:type="dxa"/>
            <w:vMerge w:val="restart"/>
            <w:tcBorders>
              <w:top w:val="single" w:sz="4" w:space="0" w:color="365F91"/>
              <w:bottom w:val="nil"/>
              <w:right w:val="nil"/>
            </w:tcBorders>
            <w:shd w:val="clear" w:color="auto" w:fill="376092"/>
            <w:vAlign w:val="bottom"/>
          </w:tcPr>
          <w:p w14:paraId="32BA1A4E" w14:textId="77777777" w:rsidR="00A10636" w:rsidRPr="00D9348B" w:rsidRDefault="00A10636" w:rsidP="00DB330E">
            <w:pPr>
              <w:pStyle w:val="TableTextBold"/>
              <w:keepNext/>
              <w:spacing w:before="40" w:after="40"/>
              <w:rPr>
                <w:rFonts w:eastAsia="Arial"/>
                <w:noProof w:val="0"/>
                <w:color w:val="FFFFFF"/>
              </w:rPr>
            </w:pPr>
            <w:r w:rsidRPr="00D9348B">
              <w:rPr>
                <w:rFonts w:eastAsia="Arial"/>
                <w:noProof w:val="0"/>
                <w:color w:val="FFFFFF"/>
              </w:rPr>
              <w:t>Land use</w:t>
            </w:r>
          </w:p>
        </w:tc>
        <w:tc>
          <w:tcPr>
            <w:tcW w:w="5181" w:type="dxa"/>
            <w:gridSpan w:val="4"/>
            <w:tcBorders>
              <w:top w:val="single" w:sz="4" w:space="0" w:color="365F91"/>
              <w:bottom w:val="nil"/>
            </w:tcBorders>
            <w:shd w:val="clear" w:color="auto" w:fill="376092"/>
            <w:vAlign w:val="bottom"/>
          </w:tcPr>
          <w:p w14:paraId="288FF50F" w14:textId="77777777" w:rsidR="00A10636" w:rsidRPr="00D9348B" w:rsidRDefault="00A10636" w:rsidP="00DB330E">
            <w:pPr>
              <w:pStyle w:val="TableTextBold"/>
              <w:spacing w:before="40" w:after="40"/>
              <w:jc w:val="center"/>
              <w:rPr>
                <w:rFonts w:eastAsia="Arial"/>
                <w:noProof w:val="0"/>
                <w:color w:val="FFFFFF"/>
              </w:rPr>
            </w:pPr>
            <w:r w:rsidRPr="00D9348B">
              <w:rPr>
                <w:rFonts w:eastAsia="Arial"/>
                <w:noProof w:val="0"/>
                <w:color w:val="FFFFFF"/>
              </w:rPr>
              <w:t>Net carbon stock change 1990–2018 (kt C)</w:t>
            </w:r>
          </w:p>
        </w:tc>
        <w:tc>
          <w:tcPr>
            <w:tcW w:w="1275" w:type="dxa"/>
            <w:vMerge w:val="restart"/>
            <w:tcBorders>
              <w:top w:val="single" w:sz="4" w:space="0" w:color="365F91"/>
              <w:bottom w:val="nil"/>
            </w:tcBorders>
            <w:shd w:val="clear" w:color="auto" w:fill="376092"/>
            <w:vAlign w:val="bottom"/>
          </w:tcPr>
          <w:p w14:paraId="35B9084E" w14:textId="77777777" w:rsidR="00A10636" w:rsidRPr="00D9348B" w:rsidRDefault="00A10636" w:rsidP="00DB330E">
            <w:pPr>
              <w:pStyle w:val="TableTextBold"/>
              <w:spacing w:before="40" w:after="40"/>
              <w:jc w:val="right"/>
              <w:rPr>
                <w:rFonts w:eastAsia="Arial"/>
                <w:noProof w:val="0"/>
                <w:color w:val="FFFFFF"/>
              </w:rPr>
            </w:pPr>
            <w:r w:rsidRPr="00D9348B">
              <w:rPr>
                <w:rFonts w:eastAsia="Arial"/>
                <w:noProof w:val="0"/>
                <w:color w:val="FFFFFF"/>
              </w:rPr>
              <w:t>Emissions 1990–2018</w:t>
            </w:r>
            <w:r w:rsidRPr="00D9348B">
              <w:rPr>
                <w:rFonts w:eastAsia="Arial"/>
                <w:noProof w:val="0"/>
                <w:color w:val="FFFFFF"/>
              </w:rPr>
              <w:br/>
              <w:t>(kt CO</w:t>
            </w:r>
            <w:r w:rsidRPr="00D9348B">
              <w:rPr>
                <w:rFonts w:eastAsia="Arial"/>
                <w:noProof w:val="0"/>
                <w:color w:val="FFFFFF"/>
                <w:vertAlign w:val="subscript"/>
              </w:rPr>
              <w:t>2</w:t>
            </w:r>
            <w:r w:rsidRPr="00D9348B">
              <w:rPr>
                <w:rFonts w:eastAsia="Arial"/>
                <w:noProof w:val="0"/>
                <w:color w:val="FFFFFF"/>
              </w:rPr>
              <w:t>)</w:t>
            </w:r>
          </w:p>
        </w:tc>
      </w:tr>
      <w:tr w:rsidR="00A10636" w:rsidRPr="00D9348B" w14:paraId="28454D7C" w14:textId="77777777" w:rsidTr="00163488">
        <w:tc>
          <w:tcPr>
            <w:tcW w:w="2049" w:type="dxa"/>
            <w:vMerge/>
            <w:tcBorders>
              <w:top w:val="nil"/>
              <w:bottom w:val="single" w:sz="4" w:space="0" w:color="365F91"/>
              <w:right w:val="nil"/>
            </w:tcBorders>
            <w:shd w:val="clear" w:color="auto" w:fill="376092"/>
            <w:vAlign w:val="bottom"/>
          </w:tcPr>
          <w:p w14:paraId="59C58D37" w14:textId="77777777" w:rsidR="00A10636" w:rsidRPr="00D9348B" w:rsidRDefault="00A10636" w:rsidP="00DB330E">
            <w:pPr>
              <w:pStyle w:val="TableTextBold"/>
              <w:keepNext/>
              <w:spacing w:before="40" w:after="40"/>
              <w:jc w:val="center"/>
              <w:rPr>
                <w:rFonts w:eastAsia="Arial"/>
                <w:noProof w:val="0"/>
                <w:color w:val="FFFFFF"/>
              </w:rPr>
            </w:pPr>
          </w:p>
        </w:tc>
        <w:tc>
          <w:tcPr>
            <w:tcW w:w="1251" w:type="dxa"/>
            <w:tcBorders>
              <w:top w:val="nil"/>
              <w:bottom w:val="single" w:sz="4" w:space="0" w:color="365F91"/>
            </w:tcBorders>
            <w:shd w:val="clear" w:color="auto" w:fill="376092"/>
            <w:vAlign w:val="bottom"/>
          </w:tcPr>
          <w:p w14:paraId="0AC75E63" w14:textId="77777777" w:rsidR="00A10636" w:rsidRPr="00D9348B" w:rsidRDefault="00A10636" w:rsidP="00DB330E">
            <w:pPr>
              <w:pStyle w:val="TableTextBold"/>
              <w:spacing w:before="40" w:after="40"/>
              <w:jc w:val="center"/>
              <w:rPr>
                <w:rFonts w:eastAsia="Arial"/>
                <w:noProof w:val="0"/>
                <w:color w:val="FFFFFF"/>
              </w:rPr>
            </w:pPr>
            <w:r w:rsidRPr="00D9348B">
              <w:rPr>
                <w:rFonts w:eastAsia="Arial"/>
                <w:noProof w:val="0"/>
                <w:color w:val="FFFFFF"/>
              </w:rPr>
              <w:t>Living biomass</w:t>
            </w:r>
          </w:p>
        </w:tc>
        <w:tc>
          <w:tcPr>
            <w:tcW w:w="1662" w:type="dxa"/>
            <w:tcBorders>
              <w:top w:val="nil"/>
              <w:bottom w:val="single" w:sz="4" w:space="0" w:color="365F91"/>
            </w:tcBorders>
            <w:shd w:val="clear" w:color="auto" w:fill="376092"/>
            <w:vAlign w:val="bottom"/>
          </w:tcPr>
          <w:p w14:paraId="1D7CA28E" w14:textId="77777777" w:rsidR="00A10636" w:rsidRPr="00D9348B" w:rsidRDefault="00A10636" w:rsidP="00DB330E">
            <w:pPr>
              <w:pStyle w:val="TableTextBold"/>
              <w:spacing w:before="40" w:after="40"/>
              <w:jc w:val="right"/>
              <w:rPr>
                <w:rFonts w:eastAsia="Arial"/>
                <w:noProof w:val="0"/>
                <w:color w:val="FFFFFF"/>
              </w:rPr>
            </w:pPr>
            <w:r w:rsidRPr="00D9348B">
              <w:rPr>
                <w:rFonts w:eastAsia="Arial"/>
                <w:noProof w:val="0"/>
                <w:color w:val="FFFFFF"/>
              </w:rPr>
              <w:t>Dead organic matter</w:t>
            </w:r>
          </w:p>
        </w:tc>
        <w:tc>
          <w:tcPr>
            <w:tcW w:w="1134" w:type="dxa"/>
            <w:tcBorders>
              <w:top w:val="nil"/>
              <w:bottom w:val="single" w:sz="4" w:space="0" w:color="365F91"/>
            </w:tcBorders>
            <w:shd w:val="clear" w:color="auto" w:fill="376092"/>
            <w:vAlign w:val="bottom"/>
          </w:tcPr>
          <w:p w14:paraId="5174E9F7" w14:textId="77777777" w:rsidR="00A10636" w:rsidRPr="00D9348B" w:rsidRDefault="00A10636" w:rsidP="00DB330E">
            <w:pPr>
              <w:pStyle w:val="TableTextBold"/>
              <w:spacing w:before="40" w:after="40"/>
              <w:jc w:val="right"/>
              <w:rPr>
                <w:rFonts w:eastAsia="Arial"/>
                <w:noProof w:val="0"/>
                <w:color w:val="FFFFFF"/>
              </w:rPr>
            </w:pPr>
            <w:r w:rsidRPr="00D9348B">
              <w:rPr>
                <w:rFonts w:eastAsia="Arial"/>
                <w:noProof w:val="0"/>
                <w:color w:val="FFFFFF"/>
              </w:rPr>
              <w:t>Soils</w:t>
            </w:r>
          </w:p>
        </w:tc>
        <w:tc>
          <w:tcPr>
            <w:tcW w:w="1134" w:type="dxa"/>
            <w:tcBorders>
              <w:top w:val="nil"/>
              <w:bottom w:val="single" w:sz="4" w:space="0" w:color="365F91"/>
            </w:tcBorders>
            <w:shd w:val="clear" w:color="auto" w:fill="376092"/>
            <w:vAlign w:val="bottom"/>
          </w:tcPr>
          <w:p w14:paraId="0D409468" w14:textId="77777777" w:rsidR="00A10636" w:rsidRPr="00D9348B" w:rsidRDefault="00A10636" w:rsidP="00DB330E">
            <w:pPr>
              <w:pStyle w:val="TableTextBold"/>
              <w:spacing w:before="40" w:after="40"/>
              <w:jc w:val="right"/>
              <w:rPr>
                <w:rFonts w:eastAsia="Arial"/>
                <w:noProof w:val="0"/>
                <w:color w:val="FFFFFF"/>
              </w:rPr>
            </w:pPr>
            <w:r w:rsidRPr="00D9348B">
              <w:rPr>
                <w:rFonts w:eastAsia="Arial"/>
                <w:noProof w:val="0"/>
                <w:color w:val="FFFFFF"/>
              </w:rPr>
              <w:t>Total</w:t>
            </w:r>
          </w:p>
        </w:tc>
        <w:tc>
          <w:tcPr>
            <w:tcW w:w="1275" w:type="dxa"/>
            <w:vMerge/>
            <w:tcBorders>
              <w:top w:val="nil"/>
              <w:bottom w:val="single" w:sz="4" w:space="0" w:color="365F91"/>
            </w:tcBorders>
            <w:shd w:val="clear" w:color="auto" w:fill="376092"/>
            <w:vAlign w:val="bottom"/>
          </w:tcPr>
          <w:p w14:paraId="018A0DEF" w14:textId="77777777" w:rsidR="00A10636" w:rsidRPr="00D9348B" w:rsidRDefault="00A10636" w:rsidP="00DB330E">
            <w:pPr>
              <w:pStyle w:val="TableTextBold"/>
              <w:spacing w:before="40" w:after="40"/>
              <w:jc w:val="center"/>
              <w:rPr>
                <w:rFonts w:eastAsia="Arial"/>
                <w:noProof w:val="0"/>
                <w:color w:val="FFFFFF"/>
              </w:rPr>
            </w:pPr>
          </w:p>
        </w:tc>
      </w:tr>
      <w:tr w:rsidR="00A10636" w:rsidRPr="00D9348B" w14:paraId="7DEDD525" w14:textId="77777777" w:rsidTr="00163488">
        <w:tc>
          <w:tcPr>
            <w:tcW w:w="2049" w:type="dxa"/>
            <w:tcBorders>
              <w:top w:val="single" w:sz="4" w:space="0" w:color="365F91"/>
              <w:bottom w:val="single" w:sz="4" w:space="0" w:color="365F91"/>
              <w:right w:val="nil"/>
            </w:tcBorders>
            <w:shd w:val="clear" w:color="auto" w:fill="auto"/>
          </w:tcPr>
          <w:p w14:paraId="05BA68B7" w14:textId="77777777" w:rsidR="00A10636" w:rsidRPr="00D9348B" w:rsidRDefault="00A10636" w:rsidP="00DB330E">
            <w:pPr>
              <w:pStyle w:val="TableText"/>
              <w:rPr>
                <w:rFonts w:eastAsia="Arial"/>
              </w:rPr>
            </w:pPr>
            <w:r w:rsidRPr="00D9348B">
              <w:rPr>
                <w:rFonts w:eastAsia="Arial"/>
              </w:rPr>
              <w:t>Pre-1990 natural forest</w:t>
            </w:r>
          </w:p>
        </w:tc>
        <w:tc>
          <w:tcPr>
            <w:tcW w:w="1251" w:type="dxa"/>
            <w:tcBorders>
              <w:top w:val="single" w:sz="4" w:space="0" w:color="365F91"/>
              <w:bottom w:val="single" w:sz="4" w:space="0" w:color="365F91"/>
            </w:tcBorders>
            <w:shd w:val="clear" w:color="auto" w:fill="auto"/>
          </w:tcPr>
          <w:p w14:paraId="5B4FEB37" w14:textId="77777777" w:rsidR="00A10636" w:rsidRPr="00D9348B" w:rsidRDefault="00A10636" w:rsidP="00DB330E">
            <w:pPr>
              <w:pStyle w:val="TableText"/>
              <w:jc w:val="right"/>
              <w:rPr>
                <w:rFonts w:eastAsia="Arial"/>
              </w:rPr>
            </w:pPr>
            <w:r w:rsidRPr="00D9348B">
              <w:t>18,856.4</w:t>
            </w:r>
          </w:p>
        </w:tc>
        <w:tc>
          <w:tcPr>
            <w:tcW w:w="1662" w:type="dxa"/>
            <w:tcBorders>
              <w:top w:val="single" w:sz="4" w:space="0" w:color="365F91"/>
              <w:bottom w:val="single" w:sz="4" w:space="0" w:color="365F91"/>
            </w:tcBorders>
            <w:shd w:val="clear" w:color="auto" w:fill="auto"/>
          </w:tcPr>
          <w:p w14:paraId="23FF7E0D" w14:textId="77777777" w:rsidR="00A10636" w:rsidRPr="00D9348B" w:rsidRDefault="00A10636" w:rsidP="00DB330E">
            <w:pPr>
              <w:pStyle w:val="TableText"/>
              <w:jc w:val="right"/>
              <w:rPr>
                <w:rFonts w:eastAsia="Arial"/>
              </w:rPr>
            </w:pPr>
            <w:r w:rsidRPr="00D9348B">
              <w:t>2,505.4</w:t>
            </w:r>
          </w:p>
        </w:tc>
        <w:tc>
          <w:tcPr>
            <w:tcW w:w="1134" w:type="dxa"/>
            <w:tcBorders>
              <w:top w:val="single" w:sz="4" w:space="0" w:color="365F91"/>
              <w:bottom w:val="single" w:sz="4" w:space="0" w:color="365F91"/>
            </w:tcBorders>
            <w:shd w:val="clear" w:color="auto" w:fill="auto"/>
          </w:tcPr>
          <w:p w14:paraId="1B938B72" w14:textId="77777777" w:rsidR="00A10636" w:rsidRPr="00D9348B" w:rsidRDefault="00A10636" w:rsidP="00DB330E">
            <w:pPr>
              <w:pStyle w:val="TableText"/>
              <w:jc w:val="right"/>
              <w:rPr>
                <w:rFonts w:eastAsia="Arial"/>
              </w:rPr>
            </w:pPr>
            <w:r w:rsidRPr="00D9348B">
              <w:t>–134.7</w:t>
            </w:r>
          </w:p>
        </w:tc>
        <w:tc>
          <w:tcPr>
            <w:tcW w:w="1134" w:type="dxa"/>
            <w:tcBorders>
              <w:top w:val="single" w:sz="4" w:space="0" w:color="365F91"/>
              <w:bottom w:val="single" w:sz="4" w:space="0" w:color="365F91"/>
            </w:tcBorders>
            <w:shd w:val="clear" w:color="auto" w:fill="auto"/>
          </w:tcPr>
          <w:p w14:paraId="06595C46" w14:textId="77777777" w:rsidR="00A10636" w:rsidRPr="00D9348B" w:rsidRDefault="00A10636" w:rsidP="00DB330E">
            <w:pPr>
              <w:pStyle w:val="TableText"/>
              <w:jc w:val="right"/>
              <w:rPr>
                <w:rFonts w:eastAsia="Arial"/>
              </w:rPr>
            </w:pPr>
            <w:r w:rsidRPr="00D9348B">
              <w:t>21,226.8</w:t>
            </w:r>
          </w:p>
        </w:tc>
        <w:tc>
          <w:tcPr>
            <w:tcW w:w="1275" w:type="dxa"/>
            <w:tcBorders>
              <w:top w:val="single" w:sz="4" w:space="0" w:color="365F91"/>
              <w:bottom w:val="single" w:sz="4" w:space="0" w:color="365F91"/>
            </w:tcBorders>
            <w:shd w:val="clear" w:color="auto" w:fill="auto"/>
          </w:tcPr>
          <w:p w14:paraId="2D35A453" w14:textId="77777777" w:rsidR="00A10636" w:rsidRPr="00D9348B" w:rsidRDefault="00A10636" w:rsidP="00DB330E">
            <w:pPr>
              <w:pStyle w:val="TableText"/>
              <w:jc w:val="right"/>
              <w:rPr>
                <w:rFonts w:eastAsia="Arial"/>
              </w:rPr>
            </w:pPr>
            <w:r w:rsidRPr="00D9348B">
              <w:t>–77,831.5</w:t>
            </w:r>
          </w:p>
        </w:tc>
      </w:tr>
      <w:tr w:rsidR="00A10636" w:rsidRPr="00D9348B" w14:paraId="18017A36" w14:textId="77777777" w:rsidTr="00163488">
        <w:tc>
          <w:tcPr>
            <w:tcW w:w="2049" w:type="dxa"/>
            <w:tcBorders>
              <w:top w:val="single" w:sz="4" w:space="0" w:color="365F91"/>
              <w:bottom w:val="single" w:sz="4" w:space="0" w:color="365F91"/>
              <w:right w:val="nil"/>
            </w:tcBorders>
            <w:shd w:val="clear" w:color="auto" w:fill="auto"/>
          </w:tcPr>
          <w:p w14:paraId="2816FA35" w14:textId="77777777" w:rsidR="00A10636" w:rsidRPr="00D9348B" w:rsidRDefault="00A10636" w:rsidP="00DB330E">
            <w:pPr>
              <w:pStyle w:val="TableText"/>
              <w:rPr>
                <w:rFonts w:eastAsia="Arial"/>
              </w:rPr>
            </w:pPr>
            <w:r w:rsidRPr="00D9348B">
              <w:rPr>
                <w:rFonts w:eastAsia="Arial"/>
              </w:rPr>
              <w:t>Pre-1990 planted forest</w:t>
            </w:r>
          </w:p>
        </w:tc>
        <w:tc>
          <w:tcPr>
            <w:tcW w:w="1251" w:type="dxa"/>
            <w:tcBorders>
              <w:top w:val="single" w:sz="4" w:space="0" w:color="365F91"/>
              <w:bottom w:val="single" w:sz="4" w:space="0" w:color="365F91"/>
            </w:tcBorders>
            <w:shd w:val="clear" w:color="auto" w:fill="auto"/>
          </w:tcPr>
          <w:p w14:paraId="14899035" w14:textId="77777777" w:rsidR="00A10636" w:rsidRPr="00D9348B" w:rsidRDefault="00A10636" w:rsidP="00DB330E">
            <w:pPr>
              <w:pStyle w:val="TableText"/>
              <w:jc w:val="right"/>
              <w:rPr>
                <w:rFonts w:eastAsia="Arial"/>
              </w:rPr>
            </w:pPr>
            <w:r w:rsidRPr="00D9348B">
              <w:t>86,042.3</w:t>
            </w:r>
          </w:p>
        </w:tc>
        <w:tc>
          <w:tcPr>
            <w:tcW w:w="1662" w:type="dxa"/>
            <w:tcBorders>
              <w:top w:val="single" w:sz="4" w:space="0" w:color="365F91"/>
              <w:bottom w:val="single" w:sz="4" w:space="0" w:color="365F91"/>
            </w:tcBorders>
            <w:shd w:val="clear" w:color="auto" w:fill="auto"/>
          </w:tcPr>
          <w:p w14:paraId="7C6E09A2" w14:textId="77777777" w:rsidR="00A10636" w:rsidRPr="00D9348B" w:rsidRDefault="00A10636" w:rsidP="00DB330E">
            <w:pPr>
              <w:pStyle w:val="TableText"/>
              <w:jc w:val="right"/>
              <w:rPr>
                <w:rFonts w:eastAsia="Arial"/>
              </w:rPr>
            </w:pPr>
            <w:r w:rsidRPr="00D9348B">
              <w:t>19,814.4</w:t>
            </w:r>
          </w:p>
        </w:tc>
        <w:tc>
          <w:tcPr>
            <w:tcW w:w="1134" w:type="dxa"/>
            <w:tcBorders>
              <w:top w:val="single" w:sz="4" w:space="0" w:color="365F91"/>
              <w:bottom w:val="single" w:sz="4" w:space="0" w:color="365F91"/>
            </w:tcBorders>
            <w:shd w:val="clear" w:color="auto" w:fill="auto"/>
          </w:tcPr>
          <w:p w14:paraId="24747787" w14:textId="77777777" w:rsidR="00A10636" w:rsidRPr="00D9348B" w:rsidRDefault="00A10636" w:rsidP="00DB330E">
            <w:pPr>
              <w:pStyle w:val="TableText"/>
              <w:jc w:val="right"/>
              <w:rPr>
                <w:rFonts w:eastAsia="Arial"/>
              </w:rPr>
            </w:pPr>
            <w:r w:rsidRPr="00D9348B">
              <w:t>–4,244.2</w:t>
            </w:r>
          </w:p>
        </w:tc>
        <w:tc>
          <w:tcPr>
            <w:tcW w:w="1134" w:type="dxa"/>
            <w:tcBorders>
              <w:top w:val="single" w:sz="4" w:space="0" w:color="365F91"/>
              <w:bottom w:val="single" w:sz="4" w:space="0" w:color="365F91"/>
            </w:tcBorders>
            <w:shd w:val="clear" w:color="auto" w:fill="auto"/>
          </w:tcPr>
          <w:p w14:paraId="231A2A45" w14:textId="77777777" w:rsidR="00A10636" w:rsidRPr="00D9348B" w:rsidRDefault="00A10636" w:rsidP="00DB330E">
            <w:pPr>
              <w:pStyle w:val="TableText"/>
              <w:jc w:val="right"/>
              <w:rPr>
                <w:rFonts w:eastAsia="Arial"/>
              </w:rPr>
            </w:pPr>
            <w:r w:rsidRPr="00D9348B">
              <w:t>101,612.6</w:t>
            </w:r>
          </w:p>
        </w:tc>
        <w:tc>
          <w:tcPr>
            <w:tcW w:w="1275" w:type="dxa"/>
            <w:tcBorders>
              <w:top w:val="single" w:sz="4" w:space="0" w:color="365F91"/>
              <w:bottom w:val="single" w:sz="4" w:space="0" w:color="365F91"/>
            </w:tcBorders>
            <w:shd w:val="clear" w:color="auto" w:fill="auto"/>
          </w:tcPr>
          <w:p w14:paraId="3DD463B2" w14:textId="77777777" w:rsidR="00A10636" w:rsidRPr="00D9348B" w:rsidRDefault="00A10636" w:rsidP="00DB330E">
            <w:pPr>
              <w:pStyle w:val="TableText"/>
              <w:jc w:val="right"/>
              <w:rPr>
                <w:rFonts w:eastAsia="Arial"/>
              </w:rPr>
            </w:pPr>
            <w:r w:rsidRPr="00D9348B">
              <w:t>–372,579.5</w:t>
            </w:r>
          </w:p>
        </w:tc>
      </w:tr>
      <w:tr w:rsidR="00A10636" w:rsidRPr="00D9348B" w14:paraId="4A988F5F" w14:textId="77777777" w:rsidTr="00471B23">
        <w:tc>
          <w:tcPr>
            <w:tcW w:w="2049" w:type="dxa"/>
            <w:tcBorders>
              <w:top w:val="single" w:sz="4" w:space="0" w:color="365F91"/>
              <w:bottom w:val="single" w:sz="4" w:space="0" w:color="365F91"/>
              <w:right w:val="nil"/>
            </w:tcBorders>
            <w:shd w:val="clear" w:color="auto" w:fill="auto"/>
          </w:tcPr>
          <w:p w14:paraId="0BBA153B" w14:textId="77777777" w:rsidR="00A10636" w:rsidRPr="00D9348B" w:rsidRDefault="00A10636" w:rsidP="00DB330E">
            <w:pPr>
              <w:pStyle w:val="TableText"/>
              <w:rPr>
                <w:rFonts w:eastAsia="Arial"/>
              </w:rPr>
            </w:pPr>
            <w:r w:rsidRPr="00D9348B">
              <w:rPr>
                <w:rFonts w:eastAsia="Arial"/>
              </w:rPr>
              <w:t xml:space="preserve">Post-1989 forest </w:t>
            </w:r>
          </w:p>
        </w:tc>
        <w:tc>
          <w:tcPr>
            <w:tcW w:w="1251" w:type="dxa"/>
            <w:tcBorders>
              <w:top w:val="single" w:sz="4" w:space="0" w:color="365F91"/>
              <w:bottom w:val="single" w:sz="4" w:space="0" w:color="365F91"/>
            </w:tcBorders>
            <w:shd w:val="clear" w:color="auto" w:fill="auto"/>
          </w:tcPr>
          <w:p w14:paraId="7CCD20F7" w14:textId="77777777" w:rsidR="00A10636" w:rsidRPr="00D9348B" w:rsidRDefault="00A10636" w:rsidP="00DB330E">
            <w:pPr>
              <w:pStyle w:val="TableText"/>
              <w:jc w:val="right"/>
              <w:rPr>
                <w:rFonts w:eastAsia="Arial"/>
              </w:rPr>
            </w:pPr>
            <w:r w:rsidRPr="00D9348B">
              <w:t>81,199.8</w:t>
            </w:r>
          </w:p>
        </w:tc>
        <w:tc>
          <w:tcPr>
            <w:tcW w:w="1662" w:type="dxa"/>
            <w:tcBorders>
              <w:top w:val="single" w:sz="4" w:space="0" w:color="365F91"/>
              <w:bottom w:val="single" w:sz="4" w:space="0" w:color="365F91"/>
            </w:tcBorders>
            <w:shd w:val="clear" w:color="auto" w:fill="auto"/>
          </w:tcPr>
          <w:p w14:paraId="6476AE32" w14:textId="77777777" w:rsidR="00A10636" w:rsidRPr="00D9348B" w:rsidRDefault="00A10636" w:rsidP="00DB330E">
            <w:pPr>
              <w:pStyle w:val="TableText"/>
              <w:jc w:val="right"/>
              <w:rPr>
                <w:rFonts w:eastAsia="Arial"/>
              </w:rPr>
            </w:pPr>
            <w:r w:rsidRPr="00D9348B">
              <w:t>10,767.7</w:t>
            </w:r>
          </w:p>
        </w:tc>
        <w:tc>
          <w:tcPr>
            <w:tcW w:w="1134" w:type="dxa"/>
            <w:tcBorders>
              <w:top w:val="single" w:sz="4" w:space="0" w:color="365F91"/>
              <w:bottom w:val="single" w:sz="4" w:space="0" w:color="365F91"/>
            </w:tcBorders>
            <w:shd w:val="clear" w:color="auto" w:fill="auto"/>
          </w:tcPr>
          <w:p w14:paraId="3805A7C7" w14:textId="77777777" w:rsidR="00A10636" w:rsidRPr="00D9348B" w:rsidRDefault="00A10636" w:rsidP="00DB330E">
            <w:pPr>
              <w:pStyle w:val="TableText"/>
              <w:jc w:val="right"/>
              <w:rPr>
                <w:rFonts w:eastAsia="Arial"/>
              </w:rPr>
            </w:pPr>
            <w:r w:rsidRPr="00D9348B">
              <w:t>–7,624.7</w:t>
            </w:r>
          </w:p>
        </w:tc>
        <w:tc>
          <w:tcPr>
            <w:tcW w:w="1134" w:type="dxa"/>
            <w:tcBorders>
              <w:top w:val="single" w:sz="4" w:space="0" w:color="365F91"/>
              <w:bottom w:val="single" w:sz="4" w:space="0" w:color="365F91"/>
            </w:tcBorders>
            <w:shd w:val="clear" w:color="auto" w:fill="auto"/>
          </w:tcPr>
          <w:p w14:paraId="4C02618C" w14:textId="77777777" w:rsidR="00A10636" w:rsidRPr="00D9348B" w:rsidRDefault="00A10636" w:rsidP="00DB330E">
            <w:pPr>
              <w:pStyle w:val="TableText"/>
              <w:jc w:val="right"/>
              <w:rPr>
                <w:rFonts w:eastAsia="Arial"/>
              </w:rPr>
            </w:pPr>
            <w:r w:rsidRPr="00D9348B">
              <w:t>84,342.8</w:t>
            </w:r>
          </w:p>
        </w:tc>
        <w:tc>
          <w:tcPr>
            <w:tcW w:w="1275" w:type="dxa"/>
            <w:tcBorders>
              <w:top w:val="single" w:sz="4" w:space="0" w:color="365F91"/>
              <w:bottom w:val="single" w:sz="4" w:space="0" w:color="365F91"/>
            </w:tcBorders>
            <w:shd w:val="clear" w:color="auto" w:fill="auto"/>
          </w:tcPr>
          <w:p w14:paraId="1265130D" w14:textId="77777777" w:rsidR="00A10636" w:rsidRPr="00D9348B" w:rsidRDefault="00A10636" w:rsidP="00DB330E">
            <w:pPr>
              <w:pStyle w:val="TableText"/>
              <w:jc w:val="right"/>
              <w:rPr>
                <w:rFonts w:eastAsia="Arial"/>
              </w:rPr>
            </w:pPr>
            <w:r w:rsidRPr="00D9348B">
              <w:t>–309,257.0</w:t>
            </w:r>
          </w:p>
        </w:tc>
      </w:tr>
      <w:tr w:rsidR="00A10636" w:rsidRPr="00D9348B" w14:paraId="514D165C" w14:textId="77777777" w:rsidTr="00163488">
        <w:tc>
          <w:tcPr>
            <w:tcW w:w="2049" w:type="dxa"/>
            <w:tcBorders>
              <w:top w:val="single" w:sz="4" w:space="0" w:color="365F91"/>
              <w:bottom w:val="single" w:sz="4" w:space="0" w:color="365F91"/>
              <w:right w:val="nil"/>
            </w:tcBorders>
            <w:shd w:val="clear" w:color="auto" w:fill="auto"/>
          </w:tcPr>
          <w:p w14:paraId="59C10B73" w14:textId="77777777" w:rsidR="00A10636" w:rsidRPr="00D9348B" w:rsidRDefault="00A10636" w:rsidP="00DB330E">
            <w:pPr>
              <w:pStyle w:val="Tableboldblue"/>
              <w:jc w:val="right"/>
              <w:rPr>
                <w:rFonts w:eastAsia="Arial"/>
              </w:rPr>
            </w:pPr>
            <w:r w:rsidRPr="00D9348B">
              <w:rPr>
                <w:rFonts w:eastAsia="Arial"/>
              </w:rPr>
              <w:t>Total</w:t>
            </w:r>
          </w:p>
        </w:tc>
        <w:tc>
          <w:tcPr>
            <w:tcW w:w="1251" w:type="dxa"/>
            <w:tcBorders>
              <w:top w:val="single" w:sz="4" w:space="0" w:color="365F91"/>
              <w:bottom w:val="single" w:sz="4" w:space="0" w:color="365F91"/>
            </w:tcBorders>
            <w:shd w:val="clear" w:color="auto" w:fill="auto"/>
          </w:tcPr>
          <w:p w14:paraId="5DE10FBF" w14:textId="77777777" w:rsidR="00A10636" w:rsidRPr="00D9348B" w:rsidRDefault="00A10636" w:rsidP="00DB330E">
            <w:pPr>
              <w:pStyle w:val="Tableboldblue"/>
              <w:jc w:val="right"/>
              <w:rPr>
                <w:rFonts w:eastAsia="Arial"/>
              </w:rPr>
            </w:pPr>
            <w:r w:rsidRPr="00D9348B">
              <w:t>186,098.1</w:t>
            </w:r>
          </w:p>
        </w:tc>
        <w:tc>
          <w:tcPr>
            <w:tcW w:w="1662" w:type="dxa"/>
            <w:tcBorders>
              <w:top w:val="single" w:sz="4" w:space="0" w:color="365F91"/>
              <w:bottom w:val="single" w:sz="4" w:space="0" w:color="365F91"/>
            </w:tcBorders>
            <w:shd w:val="clear" w:color="auto" w:fill="auto"/>
          </w:tcPr>
          <w:p w14:paraId="1E25EB7B" w14:textId="77777777" w:rsidR="00A10636" w:rsidRPr="00D9348B" w:rsidRDefault="00A10636" w:rsidP="00DB330E">
            <w:pPr>
              <w:pStyle w:val="Tableboldblue"/>
              <w:jc w:val="right"/>
              <w:rPr>
                <w:rFonts w:eastAsia="Arial"/>
              </w:rPr>
            </w:pPr>
            <w:r w:rsidRPr="00D9348B">
              <w:t>33,087.6</w:t>
            </w:r>
          </w:p>
        </w:tc>
        <w:tc>
          <w:tcPr>
            <w:tcW w:w="1134" w:type="dxa"/>
            <w:tcBorders>
              <w:top w:val="single" w:sz="4" w:space="0" w:color="365F91"/>
              <w:bottom w:val="single" w:sz="4" w:space="0" w:color="365F91"/>
            </w:tcBorders>
            <w:shd w:val="clear" w:color="auto" w:fill="auto"/>
          </w:tcPr>
          <w:p w14:paraId="2FC78009" w14:textId="77777777" w:rsidR="00A10636" w:rsidRPr="00D9348B" w:rsidRDefault="00A10636" w:rsidP="00DB330E">
            <w:pPr>
              <w:pStyle w:val="Tableboldblue"/>
              <w:jc w:val="right"/>
              <w:rPr>
                <w:rFonts w:eastAsia="Arial"/>
              </w:rPr>
            </w:pPr>
            <w:r w:rsidRPr="00D9348B">
              <w:t>–12,003.6</w:t>
            </w:r>
          </w:p>
        </w:tc>
        <w:tc>
          <w:tcPr>
            <w:tcW w:w="1134" w:type="dxa"/>
            <w:tcBorders>
              <w:top w:val="single" w:sz="4" w:space="0" w:color="365F91"/>
              <w:bottom w:val="single" w:sz="4" w:space="0" w:color="365F91"/>
            </w:tcBorders>
            <w:shd w:val="clear" w:color="auto" w:fill="auto"/>
          </w:tcPr>
          <w:p w14:paraId="1387B582" w14:textId="77777777" w:rsidR="00A10636" w:rsidRPr="00D9348B" w:rsidRDefault="00A10636" w:rsidP="00DB330E">
            <w:pPr>
              <w:pStyle w:val="Tableboldblue"/>
              <w:jc w:val="right"/>
              <w:rPr>
                <w:rFonts w:eastAsia="Arial"/>
              </w:rPr>
            </w:pPr>
            <w:r w:rsidRPr="00D9348B">
              <w:t>207,182.2</w:t>
            </w:r>
          </w:p>
        </w:tc>
        <w:tc>
          <w:tcPr>
            <w:tcW w:w="1275" w:type="dxa"/>
            <w:tcBorders>
              <w:top w:val="single" w:sz="4" w:space="0" w:color="365F91"/>
              <w:bottom w:val="single" w:sz="4" w:space="0" w:color="365F91"/>
            </w:tcBorders>
            <w:shd w:val="clear" w:color="auto" w:fill="auto"/>
          </w:tcPr>
          <w:p w14:paraId="584B06B4" w14:textId="77777777" w:rsidR="00A10636" w:rsidRPr="00D9348B" w:rsidRDefault="00A10636" w:rsidP="00DB330E">
            <w:pPr>
              <w:pStyle w:val="Tableboldblue"/>
              <w:jc w:val="right"/>
              <w:rPr>
                <w:rFonts w:eastAsia="Arial"/>
              </w:rPr>
            </w:pPr>
            <w:r w:rsidRPr="00D9348B">
              <w:t>–759,668.0</w:t>
            </w:r>
          </w:p>
        </w:tc>
      </w:tr>
    </w:tbl>
    <w:p w14:paraId="155FA1A3" w14:textId="74E2ED51" w:rsidR="00A10636" w:rsidRPr="00D9348B" w:rsidRDefault="00A10636" w:rsidP="00A10636">
      <w:pPr>
        <w:pStyle w:val="Noteundertable"/>
      </w:pPr>
      <w:r w:rsidRPr="00D9348B">
        <w:rPr>
          <w:b/>
        </w:rPr>
        <w:t>Note:</w:t>
      </w:r>
      <w:r w:rsidRPr="00D9348B">
        <w:tab/>
        <w:t xml:space="preserve">Emissions associated with the conversion of forest are reported in the </w:t>
      </w:r>
      <w:r w:rsidR="00766DDA">
        <w:t>land-use</w:t>
      </w:r>
      <w:r w:rsidRPr="00D9348B">
        <w:t xml:space="preserve"> category the land is converted to. Columns may not total due to rounding.</w:t>
      </w:r>
    </w:p>
    <w:p w14:paraId="10C8B85E" w14:textId="77777777" w:rsidR="00A10636" w:rsidRPr="00D9348B" w:rsidRDefault="00A10636" w:rsidP="00030690">
      <w:pPr>
        <w:pStyle w:val="Heading5"/>
        <w:spacing w:before="120"/>
      </w:pPr>
      <w:bookmarkStart w:id="1581" w:name="_Toc255466326"/>
      <w:bookmarkStart w:id="1582" w:name="_Toc261513133"/>
      <w:bookmarkStart w:id="1583" w:name="_Toc261513746"/>
      <w:bookmarkStart w:id="1584" w:name="_Toc280630242"/>
      <w:r w:rsidRPr="00D9348B">
        <w:t>Pre-1990 natural forest</w:t>
      </w:r>
      <w:bookmarkEnd w:id="1581"/>
      <w:bookmarkEnd w:id="1582"/>
      <w:bookmarkEnd w:id="1583"/>
      <w:bookmarkEnd w:id="1584"/>
    </w:p>
    <w:p w14:paraId="7F55B2EE" w14:textId="77777777" w:rsidR="00A10636" w:rsidRPr="00D9348B" w:rsidRDefault="00A10636" w:rsidP="00A10636">
      <w:pPr>
        <w:pStyle w:val="BodyText"/>
      </w:pPr>
      <w:r w:rsidRPr="00D9348B">
        <w:t>Pre-1990 natural forest is the term used to distinguish New Zealand’s native and unplanted (self-sown or naturally regenerated) forests that existed prior to 1990. This land use includes mature forest as well as areas of regenerating vegetation that has the potential to return to forest under the management regime that existed prior to 1990. Pre-1990 natural forest ecosystems comprise of a range of indigenous and some naturalised exotic species. In New Zealand, two principal types of natural forest exist: beech forests (</w:t>
      </w:r>
      <w:r w:rsidRPr="00D9348B">
        <w:rPr>
          <w:i/>
        </w:rPr>
        <w:t xml:space="preserve">Fuscospora </w:t>
      </w:r>
      <w:r w:rsidRPr="00D9348B">
        <w:t xml:space="preserve">and </w:t>
      </w:r>
      <w:r w:rsidRPr="00D9348B">
        <w:rPr>
          <w:i/>
        </w:rPr>
        <w:t>Lophozonia</w:t>
      </w:r>
      <w:r w:rsidRPr="00D9348B">
        <w:t xml:space="preserve"> species) and mixed podocarp–broadleaf forests. In addition, a wide range of seral plant communities fits into the natural forest land use where they have the potential to succeed to forest </w:t>
      </w:r>
      <w:r w:rsidRPr="00D9348B">
        <w:rPr>
          <w:i/>
        </w:rPr>
        <w:t>in situ</w:t>
      </w:r>
      <w:r w:rsidRPr="00D9348B">
        <w:t>. At present, New Zealand has just under 7.8 million hectares of pre</w:t>
      </w:r>
      <w:r w:rsidRPr="00D9348B">
        <w:noBreakHyphen/>
        <w:t>1990 natural forest (including these seral plant communities). Pre-1990 natural forest equates to 28.8 per cent of New Zealand’s total land area.</w:t>
      </w:r>
    </w:p>
    <w:p w14:paraId="15BE4AED" w14:textId="77777777" w:rsidR="00A10636" w:rsidRPr="00D9348B" w:rsidRDefault="00A10636" w:rsidP="00471B23">
      <w:pPr>
        <w:pStyle w:val="Heading5"/>
        <w:spacing w:before="160"/>
      </w:pPr>
      <w:bookmarkStart w:id="1585" w:name="_Toc255466327"/>
      <w:bookmarkStart w:id="1586" w:name="_Toc261513134"/>
      <w:bookmarkStart w:id="1587" w:name="_Toc261513747"/>
      <w:bookmarkStart w:id="1588" w:name="_Toc280630243"/>
      <w:r w:rsidRPr="00D9348B">
        <w:t>Pre-1990 planted forest</w:t>
      </w:r>
      <w:bookmarkEnd w:id="1585"/>
      <w:bookmarkEnd w:id="1586"/>
      <w:bookmarkEnd w:id="1587"/>
      <w:bookmarkEnd w:id="1588"/>
    </w:p>
    <w:p w14:paraId="404D2051" w14:textId="77777777" w:rsidR="00A10636" w:rsidRPr="00D9348B" w:rsidRDefault="00A10636" w:rsidP="00A10636">
      <w:pPr>
        <w:pStyle w:val="BodyText"/>
      </w:pPr>
      <w:r w:rsidRPr="00D9348B">
        <w:t>New Zealand has a substantial estate of planted forests created specifically for timber-supply purposes. In 2018, pre-1990 planted forests covered an estimated 1.45 million hectares of New Zealand (5.4 per cent of the total land area). New Zealand’s planted forests are intensively managed and there are well-established data on the estate’s extent and characteristics. The supply of a renewable timber resource has allowed New Zealand to protect and sustainably manage its pre</w:t>
      </w:r>
      <w:r w:rsidRPr="00D9348B">
        <w:noBreakHyphen/>
        <w:t xml:space="preserve">1990 natural forests. </w:t>
      </w:r>
      <w:r w:rsidRPr="00D9348B">
        <w:rPr>
          <w:i/>
        </w:rPr>
        <w:t xml:space="preserve">Pinus radiata </w:t>
      </w:r>
      <w:r w:rsidRPr="00D9348B">
        <w:t>is the dominant planted forest species, making up 90 per cent of the planted forest area. These forests are usually composed of stands of trees of a single age class, and all forests are subject to relatively standard silvicultural management regimes.</w:t>
      </w:r>
    </w:p>
    <w:p w14:paraId="69DDA26F" w14:textId="77777777" w:rsidR="00A10636" w:rsidRPr="00D9348B" w:rsidRDefault="00A10636" w:rsidP="00A10636">
      <w:pPr>
        <w:pStyle w:val="Heading5"/>
      </w:pPr>
      <w:bookmarkStart w:id="1589" w:name="_Toc255466328"/>
      <w:bookmarkStart w:id="1590" w:name="_Toc261513135"/>
      <w:bookmarkStart w:id="1591" w:name="_Toc261513748"/>
      <w:bookmarkStart w:id="1592" w:name="_Toc280630244"/>
      <w:r w:rsidRPr="00D9348B">
        <w:t>Post-1989 forest</w:t>
      </w:r>
      <w:bookmarkEnd w:id="1589"/>
      <w:bookmarkEnd w:id="1590"/>
      <w:bookmarkEnd w:id="1591"/>
      <w:bookmarkEnd w:id="1592"/>
    </w:p>
    <w:p w14:paraId="76AD6273" w14:textId="77777777" w:rsidR="00A10636" w:rsidRPr="00D9348B" w:rsidRDefault="00A10636" w:rsidP="00A10636">
      <w:pPr>
        <w:pStyle w:val="BodyText"/>
      </w:pPr>
      <w:r w:rsidRPr="00D9348B">
        <w:t xml:space="preserve">Between 1 January 1990 and 31 December 2018, the net area of forest established as a result of reforestation activities was 702,590 hectares (accounting for deforestation of post-1989 forests). It is estimated that 93 per cent of this forest type is planted forest, with the remaining </w:t>
      </w:r>
      <w:r w:rsidRPr="00D9348B">
        <w:lastRenderedPageBreak/>
        <w:t xml:space="preserve">area comprising natural forest. </w:t>
      </w:r>
      <w:r w:rsidRPr="00D9348B">
        <w:rPr>
          <w:i/>
        </w:rPr>
        <w:t xml:space="preserve">Pinus radiata </w:t>
      </w:r>
      <w:r w:rsidRPr="00D9348B">
        <w:t>comprises 90 per cent of the planted tree species in this forest type, with Douglas fir (</w:t>
      </w:r>
      <w:r w:rsidRPr="00D9348B">
        <w:rPr>
          <w:i/>
          <w:iCs/>
        </w:rPr>
        <w:t>Pseudotsuga menziesii</w:t>
      </w:r>
      <w:r w:rsidRPr="00D9348B">
        <w:t xml:space="preserve">) and </w:t>
      </w:r>
      <w:r w:rsidRPr="00D9348B">
        <w:rPr>
          <w:i/>
        </w:rPr>
        <w:t>Eucalyptus</w:t>
      </w:r>
      <w:r w:rsidRPr="00D9348B">
        <w:t xml:space="preserve"> species the majority of the remainder (Paul et al., </w:t>
      </w:r>
      <w:proofErr w:type="gramStart"/>
      <w:r w:rsidRPr="00D9348B">
        <w:t>unpublished(</w:t>
      </w:r>
      <w:proofErr w:type="gramEnd"/>
      <w:r w:rsidRPr="00D9348B">
        <w:t>d)). The natural forest component of post</w:t>
      </w:r>
      <w:r w:rsidRPr="00D9348B">
        <w:noBreakHyphen/>
        <w:t>1989 forest comprises early successional vegetation, similar to the seral plant communities in pre</w:t>
      </w:r>
      <w:r w:rsidRPr="00D9348B">
        <w:noBreakHyphen/>
        <w:t>1990 natural forest but at earlier successional stages.</w:t>
      </w:r>
    </w:p>
    <w:p w14:paraId="74A6C5B8" w14:textId="77777777" w:rsidR="00A10636" w:rsidRPr="00D9348B" w:rsidRDefault="00A10636" w:rsidP="00A10636">
      <w:pPr>
        <w:pStyle w:val="BodyText"/>
      </w:pPr>
      <w:r w:rsidRPr="00D9348B">
        <w:t>The new forest planting rate (afforestation) between 1990 and 2018 was, on average, 25,306 hectares per year. New planting rates were high from 1992 to 1998, averaging 62,152 hectares per year (see figure 6.4.1). A change in the taxation regime, an unprecedented price spike for forest products (with subsequent favourable publicity), a government focus on forestry as an instrument for regional development, and the conclusion of the state forest assets sale all contributed to high planting rates in the mid-1990s. The removal of agricultural subsidies and the generally poor performance of the New Zealand and international share markets also encouraged investors to seek alternatives (Rhodes and Novis, 2002).</w:t>
      </w:r>
    </w:p>
    <w:p w14:paraId="3CFC0C12" w14:textId="77777777" w:rsidR="00A10636" w:rsidRPr="00D9348B" w:rsidRDefault="00A10636" w:rsidP="00A10636">
      <w:pPr>
        <w:pStyle w:val="BodyText"/>
      </w:pPr>
      <w:r w:rsidRPr="00D9348B">
        <w:t>The rate of new planting declined from 1996, reaching an estimated low of 3,447 hectares in 2014. Afforestation has remained relatively low since then. The increase in planting between 2008 and 2012 is largely attributable to the NZ ETS (Ministry for Primary Industries, 2015b) and the Afforestation Grant Scheme (Ministry for Primary Industries, 2015a), both of which were introduced by the New Zealand Government to encourage new planting and regeneration of natural ecosystems. A total of 11,238 hectares of new forest was planted in 2018. The reduction in planting rates since the 1990s has likely been caused by the relative profitability of other forms of land use, high rural land prices and a lack of confidence in the carbon market. However, the exclusion of international units from the NZ ETS on 31 May 2015, the recent NZ ETS review, and implementation of some of its findings have all contributed to higher carbon prices, which are expected to encourage larger areas of afforestation in the future. The One Billion Trees Fund is also expected to increase afforestation rates in future. The fund was established in 2018 to work in partnership with landowners and organisations to achieve the goal of planting 1 billion trees by 2028 (Te Uru Rākau, 2018).</w:t>
      </w:r>
    </w:p>
    <w:p w14:paraId="2C67DB7E" w14:textId="690EEE7B" w:rsidR="00A10636" w:rsidRPr="00D9348B" w:rsidRDefault="00A10636" w:rsidP="00A10636">
      <w:pPr>
        <w:pStyle w:val="BodyText"/>
      </w:pPr>
      <w:r w:rsidRPr="00D9348B">
        <w:t xml:space="preserve">The area defined and reported as planted forest under the Convention differs from the area captured by the NEFD from which the new planting (post-1989 planted forest) statistics are sourced for 2013 onwards. Convention reporting uses a </w:t>
      </w:r>
      <w:r w:rsidR="00766DDA">
        <w:t>land-use</w:t>
      </w:r>
      <w:r w:rsidRPr="00D9348B">
        <w:t xml:space="preserve"> classification based on the gross stocked area standard, which includes forest tracks, skid sites and unstocked areas. This is the standard used for all mapped areas of new planting reported in the period of 1990 to 2012. The NEFD reports to a net stocked area standard. To account for these area differences, the net productive forest area has been identified and modelled separately. This ensures harvesting data used for Convention reporting are consistent with those reported by the Ministry for Primary Industries. Furthermore, an unstocked area component was added to the new planting statistics between 2013 and 2018 to maintain consistency with the mapped area used up to 2012. This ensures the planted forest areas used for Convention reporting are consistent with those reported by the Ministry for Primary Industries and that time-series consistency is maintained for Convention reporting. The individual emission factors for the productive and unstocked areas are derived from appropriate plots in the national forest plot network, as described in section 6.4.2.</w:t>
      </w:r>
    </w:p>
    <w:p w14:paraId="275C3928" w14:textId="77777777" w:rsidR="00A10636" w:rsidRPr="00D9348B" w:rsidRDefault="00A10636" w:rsidP="00A10636">
      <w:pPr>
        <w:pStyle w:val="Figure"/>
      </w:pPr>
      <w:bookmarkStart w:id="1593" w:name="_Toc474914646"/>
      <w:bookmarkStart w:id="1594" w:name="_Toc481752028"/>
      <w:bookmarkStart w:id="1595" w:name="_Toc522010706"/>
      <w:bookmarkStart w:id="1596" w:name="_Toc5269709"/>
      <w:bookmarkStart w:id="1597" w:name="_Toc33529481"/>
      <w:bookmarkStart w:id="1598" w:name="_Toc36292811"/>
      <w:r w:rsidRPr="00D9348B">
        <w:lastRenderedPageBreak/>
        <w:t>Figure 6.4.1</w:t>
      </w:r>
      <w:r w:rsidRPr="00D9348B">
        <w:tab/>
        <w:t>Annual areas of afforestation/reforestation in New Zealand from 1990 to 201</w:t>
      </w:r>
      <w:bookmarkEnd w:id="1593"/>
      <w:bookmarkEnd w:id="1594"/>
      <w:r w:rsidRPr="00D9348B">
        <w:t>8</w:t>
      </w:r>
      <w:bookmarkEnd w:id="1595"/>
      <w:bookmarkEnd w:id="1596"/>
      <w:bookmarkEnd w:id="1597"/>
      <w:bookmarkEnd w:id="1598"/>
    </w:p>
    <w:p w14:paraId="180978D8" w14:textId="7821EBAC" w:rsidR="00A10636" w:rsidRPr="00D9348B" w:rsidRDefault="007165CF" w:rsidP="00A10636">
      <w:pPr>
        <w:pStyle w:val="BodyText"/>
        <w:spacing w:before="0" w:after="0"/>
        <w:rPr>
          <w:rFonts w:ascii="Arial" w:hAnsi="Arial" w:cs="Arial"/>
        </w:rPr>
      </w:pPr>
      <w:r>
        <w:rPr>
          <w:rFonts w:ascii="Arial" w:hAnsi="Arial" w:cs="Arial"/>
        </w:rPr>
        <w:pict w14:anchorId="6F38FBD4">
          <v:shape id="_x0000_i1140" type="#_x0000_t75" style="width:395.7pt;height:249.8pt;visibility:visible;mso-wrap-style:square">
            <v:imagedata r:id="rId221" o:title=""/>
          </v:shape>
        </w:pict>
      </w:r>
    </w:p>
    <w:p w14:paraId="3E6DAA9F" w14:textId="77777777" w:rsidR="00A10636" w:rsidRPr="00D9348B" w:rsidRDefault="00A10636" w:rsidP="00A10636">
      <w:pPr>
        <w:pStyle w:val="Noteundertable"/>
      </w:pPr>
      <w:r w:rsidRPr="00D9348B">
        <w:rPr>
          <w:b/>
        </w:rPr>
        <w:t>Note:</w:t>
      </w:r>
      <w:r w:rsidRPr="00D9348B">
        <w:tab/>
        <w:t>Annual planting estimates are derived from annual surveys of forest nurseries, as published in the NEFD</w:t>
      </w:r>
      <w:r w:rsidRPr="00D9348B">
        <w:rPr>
          <w:i/>
        </w:rPr>
        <w:t xml:space="preserve"> </w:t>
      </w:r>
      <w:r w:rsidRPr="00D9348B">
        <w:t xml:space="preserve">(Ministry for Primary Industries, 2018b), and have been scaled using a ratio derived from the LUCAS mapping of post-1989 forest area. </w:t>
      </w:r>
    </w:p>
    <w:p w14:paraId="1037596D" w14:textId="77777777" w:rsidR="00A10636" w:rsidRPr="00D9348B" w:rsidRDefault="00A10636" w:rsidP="00A10636">
      <w:pPr>
        <w:pStyle w:val="BodyText"/>
      </w:pPr>
      <w:r w:rsidRPr="00D9348B">
        <w:t>Post-1989 forests did not become a net sink until 1996 (see figure 6.4.2) when net removals from forest growth surpassed net emissions. This was due to the loss of biomass in carbon stocks associated with the previous land use, in addition to the loss of soil carbon associated with a land-use change to forestry.</w:t>
      </w:r>
    </w:p>
    <w:p w14:paraId="366E5EE6" w14:textId="77777777" w:rsidR="00A10636" w:rsidRPr="00D9348B" w:rsidRDefault="00A10636" w:rsidP="00A10636">
      <w:pPr>
        <w:pStyle w:val="Figure"/>
      </w:pPr>
      <w:bookmarkStart w:id="1599" w:name="_Toc280630493"/>
      <w:bookmarkStart w:id="1600" w:name="_Toc318362751"/>
      <w:bookmarkStart w:id="1601" w:name="_Toc342470831"/>
      <w:bookmarkStart w:id="1602" w:name="_Toc352505159"/>
      <w:bookmarkStart w:id="1603" w:name="_Toc373395719"/>
      <w:bookmarkStart w:id="1604" w:name="_Toc378853342"/>
      <w:bookmarkStart w:id="1605" w:name="_Toc405448092"/>
      <w:bookmarkStart w:id="1606" w:name="_Toc414531624"/>
      <w:bookmarkStart w:id="1607" w:name="_Toc474914647"/>
      <w:bookmarkStart w:id="1608" w:name="_Toc481752029"/>
      <w:bookmarkStart w:id="1609" w:name="_Toc522010707"/>
      <w:bookmarkStart w:id="1610" w:name="_Toc5269710"/>
      <w:bookmarkStart w:id="1611" w:name="_Toc33529482"/>
      <w:bookmarkStart w:id="1612" w:name="_Toc36292812"/>
      <w:r w:rsidRPr="00D9348B">
        <w:t>Figure 6.4.2</w:t>
      </w:r>
      <w:r w:rsidRPr="00D9348B">
        <w:tab/>
        <w:t>New Zealand’s net carbon dioxide removals by post-1989 forests from 1990 to </w:t>
      </w:r>
      <w:bookmarkEnd w:id="1599"/>
      <w:bookmarkEnd w:id="1600"/>
      <w:bookmarkEnd w:id="1601"/>
      <w:bookmarkEnd w:id="1602"/>
      <w:bookmarkEnd w:id="1603"/>
      <w:bookmarkEnd w:id="1604"/>
      <w:r w:rsidRPr="00D9348B">
        <w:t>201</w:t>
      </w:r>
      <w:bookmarkEnd w:id="1605"/>
      <w:bookmarkEnd w:id="1606"/>
      <w:bookmarkEnd w:id="1607"/>
      <w:bookmarkEnd w:id="1608"/>
      <w:bookmarkEnd w:id="1609"/>
      <w:bookmarkEnd w:id="1610"/>
      <w:r w:rsidRPr="00D9348B">
        <w:t>8</w:t>
      </w:r>
      <w:bookmarkEnd w:id="1611"/>
      <w:bookmarkEnd w:id="1612"/>
    </w:p>
    <w:p w14:paraId="433B6F27" w14:textId="0B36C8ED" w:rsidR="00A10636" w:rsidRPr="00D9348B" w:rsidRDefault="007165CF" w:rsidP="00A10636">
      <w:pPr>
        <w:pStyle w:val="BodyText"/>
        <w:spacing w:before="0" w:after="0"/>
      </w:pPr>
      <w:r>
        <w:pict w14:anchorId="32DAB3F7">
          <v:shape id="_x0000_i1141" type="#_x0000_t75" style="width:417.6pt;height:218.5pt;visibility:visible;mso-wrap-style:square">
            <v:imagedata r:id="rId222" o:title=""/>
          </v:shape>
        </w:pict>
      </w:r>
    </w:p>
    <w:p w14:paraId="5A23FD96" w14:textId="77777777" w:rsidR="00A10636" w:rsidRPr="00D9348B" w:rsidRDefault="00A10636" w:rsidP="00A10636">
      <w:pPr>
        <w:pStyle w:val="Heading5"/>
        <w:spacing w:before="360"/>
      </w:pPr>
      <w:bookmarkStart w:id="1613" w:name="_Toc255466329"/>
      <w:bookmarkStart w:id="1614" w:name="_Toc261513136"/>
      <w:bookmarkStart w:id="1615" w:name="_Toc261513749"/>
      <w:bookmarkStart w:id="1616" w:name="_Toc280630245"/>
      <w:r w:rsidRPr="00D9348B">
        <w:lastRenderedPageBreak/>
        <w:t>Deforestation</w:t>
      </w:r>
      <w:bookmarkEnd w:id="1613"/>
      <w:bookmarkEnd w:id="1614"/>
      <w:bookmarkEnd w:id="1615"/>
      <w:bookmarkEnd w:id="1616"/>
    </w:p>
    <w:p w14:paraId="31C45C34" w14:textId="77777777" w:rsidR="00A10636" w:rsidRPr="00D9348B" w:rsidRDefault="00A10636" w:rsidP="00A10636">
      <w:pPr>
        <w:pStyle w:val="BodyText"/>
      </w:pPr>
      <w:r w:rsidRPr="00D9348B">
        <w:t xml:space="preserve">In 2018, an estimated 4,061 hectares of </w:t>
      </w:r>
      <w:r w:rsidRPr="00D9348B">
        <w:rPr>
          <w:i/>
        </w:rPr>
        <w:t>Forest land</w:t>
      </w:r>
      <w:r w:rsidRPr="00D9348B">
        <w:t xml:space="preserve"> were converted to other land uses, primarily </w:t>
      </w:r>
      <w:r w:rsidRPr="00D9348B">
        <w:rPr>
          <w:i/>
        </w:rPr>
        <w:t>Grassland</w:t>
      </w:r>
      <w:r w:rsidRPr="00D9348B">
        <w:t xml:space="preserve">. Table 6.4.4 shows the areas of </w:t>
      </w:r>
      <w:r w:rsidRPr="00D9348B">
        <w:rPr>
          <w:i/>
        </w:rPr>
        <w:t>Forest land</w:t>
      </w:r>
      <w:r w:rsidRPr="00D9348B">
        <w:t xml:space="preserve"> subject to deforestation in 2018 and since 1990. </w:t>
      </w:r>
    </w:p>
    <w:p w14:paraId="55120244" w14:textId="77777777" w:rsidR="00A10636" w:rsidRPr="00D9348B" w:rsidRDefault="00A10636" w:rsidP="00A10636">
      <w:pPr>
        <w:pStyle w:val="Table"/>
      </w:pPr>
      <w:bookmarkStart w:id="1617" w:name="_Toc280630455"/>
      <w:bookmarkStart w:id="1618" w:name="_Toc310423407"/>
      <w:bookmarkStart w:id="1619" w:name="_Toc318362700"/>
      <w:bookmarkStart w:id="1620" w:name="_Toc342470762"/>
      <w:bookmarkStart w:id="1621" w:name="_Toc352505002"/>
      <w:bookmarkStart w:id="1622" w:name="_Toc373395727"/>
      <w:bookmarkStart w:id="1623" w:name="_Toc378853293"/>
      <w:bookmarkStart w:id="1624" w:name="_Toc391024091"/>
      <w:bookmarkStart w:id="1625" w:name="_Toc410028834"/>
      <w:bookmarkStart w:id="1626" w:name="_Toc414531462"/>
      <w:bookmarkStart w:id="1627" w:name="_Toc443645375"/>
      <w:bookmarkStart w:id="1628" w:name="_Toc474914594"/>
      <w:bookmarkStart w:id="1629" w:name="_Toc481751558"/>
      <w:bookmarkStart w:id="1630" w:name="_Toc522010615"/>
      <w:bookmarkStart w:id="1631" w:name="_Toc5269520"/>
      <w:bookmarkStart w:id="1632" w:name="_Toc33529394"/>
      <w:bookmarkStart w:id="1633" w:name="_Toc36224600"/>
      <w:r w:rsidRPr="00D9348B">
        <w:t>Table 6.4.4</w:t>
      </w:r>
      <w:r w:rsidRPr="00D9348B">
        <w:tab/>
        <w:t>New Zealand’s Forest land subject to deforestation</w:t>
      </w:r>
      <w:bookmarkEnd w:id="1617"/>
      <w:bookmarkEnd w:id="1618"/>
      <w:bookmarkEnd w:id="1619"/>
      <w:bookmarkEnd w:id="1620"/>
      <w:bookmarkEnd w:id="1621"/>
      <w:bookmarkEnd w:id="1622"/>
      <w:bookmarkEnd w:id="1623"/>
      <w:bookmarkEnd w:id="1624"/>
      <w:bookmarkEnd w:id="1625"/>
      <w:r w:rsidRPr="00D9348B">
        <w:t>, 1990 and 201</w:t>
      </w:r>
      <w:bookmarkEnd w:id="1626"/>
      <w:bookmarkEnd w:id="1627"/>
      <w:r w:rsidRPr="00D9348B">
        <w:t>8</w:t>
      </w:r>
      <w:bookmarkEnd w:id="1628"/>
      <w:bookmarkEnd w:id="1629"/>
      <w:bookmarkEnd w:id="1630"/>
      <w:bookmarkEnd w:id="1631"/>
      <w:bookmarkEnd w:id="1632"/>
      <w:bookmarkEnd w:id="1633"/>
    </w:p>
    <w:tbl>
      <w:tblPr>
        <w:tblW w:w="8505" w:type="dxa"/>
        <w:tblInd w:w="108" w:type="dxa"/>
        <w:tblLook w:val="04A0" w:firstRow="1" w:lastRow="0" w:firstColumn="1" w:lastColumn="0" w:noHBand="0" w:noVBand="1"/>
      </w:tblPr>
      <w:tblGrid>
        <w:gridCol w:w="1764"/>
        <w:gridCol w:w="1351"/>
        <w:gridCol w:w="1138"/>
        <w:gridCol w:w="1559"/>
        <w:gridCol w:w="992"/>
        <w:gridCol w:w="1701"/>
      </w:tblGrid>
      <w:tr w:rsidR="008C1276" w:rsidRPr="00D9348B" w14:paraId="2863350E" w14:textId="77777777" w:rsidTr="008C1276">
        <w:tc>
          <w:tcPr>
            <w:tcW w:w="1764" w:type="dxa"/>
            <w:vMerge w:val="restart"/>
            <w:tcBorders>
              <w:top w:val="single" w:sz="4" w:space="0" w:color="365F91"/>
            </w:tcBorders>
            <w:shd w:val="clear" w:color="auto" w:fill="376092"/>
            <w:vAlign w:val="bottom"/>
          </w:tcPr>
          <w:p w14:paraId="2EEDE091" w14:textId="77777777" w:rsidR="00A10636" w:rsidRPr="00D9348B" w:rsidRDefault="00A10636" w:rsidP="00DB330E">
            <w:pPr>
              <w:pStyle w:val="TableTextBold"/>
              <w:keepNext/>
              <w:rPr>
                <w:noProof w:val="0"/>
                <w:color w:val="FFFFFF"/>
              </w:rPr>
            </w:pPr>
            <w:r w:rsidRPr="00D9348B">
              <w:rPr>
                <w:noProof w:val="0"/>
                <w:color w:val="FFFFFF"/>
              </w:rPr>
              <w:t>Land use</w:t>
            </w:r>
          </w:p>
        </w:tc>
        <w:tc>
          <w:tcPr>
            <w:tcW w:w="1351" w:type="dxa"/>
            <w:vMerge w:val="restart"/>
            <w:tcBorders>
              <w:top w:val="single" w:sz="4" w:space="0" w:color="365F91"/>
            </w:tcBorders>
            <w:shd w:val="clear" w:color="auto" w:fill="376092"/>
            <w:vAlign w:val="bottom"/>
          </w:tcPr>
          <w:p w14:paraId="76CCE9CC" w14:textId="77777777" w:rsidR="00A10636" w:rsidRPr="00D9348B" w:rsidRDefault="00A10636" w:rsidP="00DB330E">
            <w:pPr>
              <w:pStyle w:val="TableTextBold"/>
              <w:keepNext/>
              <w:jc w:val="right"/>
              <w:rPr>
                <w:noProof w:val="0"/>
                <w:color w:val="FFFFFF"/>
              </w:rPr>
            </w:pPr>
            <w:r w:rsidRPr="00D9348B">
              <w:rPr>
                <w:noProof w:val="0"/>
                <w:color w:val="FFFFFF"/>
              </w:rPr>
              <w:t>Area of forest in 1990 (ha)</w:t>
            </w:r>
          </w:p>
        </w:tc>
        <w:tc>
          <w:tcPr>
            <w:tcW w:w="2697" w:type="dxa"/>
            <w:gridSpan w:val="2"/>
            <w:tcBorders>
              <w:top w:val="single" w:sz="4" w:space="0" w:color="365F91"/>
            </w:tcBorders>
            <w:shd w:val="clear" w:color="auto" w:fill="376092"/>
            <w:vAlign w:val="bottom"/>
          </w:tcPr>
          <w:p w14:paraId="2E32301F" w14:textId="77777777" w:rsidR="00A10636" w:rsidRPr="00D9348B" w:rsidRDefault="00A10636" w:rsidP="00DB330E">
            <w:pPr>
              <w:pStyle w:val="TableTextBold"/>
              <w:keepNext/>
              <w:jc w:val="center"/>
              <w:rPr>
                <w:noProof w:val="0"/>
                <w:color w:val="FFFFFF"/>
              </w:rPr>
            </w:pPr>
            <w:r w:rsidRPr="00D9348B">
              <w:rPr>
                <w:noProof w:val="0"/>
                <w:color w:val="FFFFFF"/>
              </w:rPr>
              <w:t>Deforestation since 1990</w:t>
            </w:r>
          </w:p>
        </w:tc>
        <w:tc>
          <w:tcPr>
            <w:tcW w:w="2693" w:type="dxa"/>
            <w:gridSpan w:val="2"/>
            <w:tcBorders>
              <w:top w:val="single" w:sz="4" w:space="0" w:color="365F91"/>
            </w:tcBorders>
            <w:shd w:val="clear" w:color="auto" w:fill="376092"/>
            <w:vAlign w:val="bottom"/>
          </w:tcPr>
          <w:p w14:paraId="566CD639" w14:textId="77777777" w:rsidR="00A10636" w:rsidRPr="00D9348B" w:rsidRDefault="00A10636" w:rsidP="00DB330E">
            <w:pPr>
              <w:pStyle w:val="TableTextBold"/>
              <w:keepNext/>
              <w:jc w:val="center"/>
              <w:rPr>
                <w:noProof w:val="0"/>
                <w:color w:val="FFFFFF"/>
              </w:rPr>
            </w:pPr>
            <w:r w:rsidRPr="00D9348B">
              <w:rPr>
                <w:noProof w:val="0"/>
                <w:color w:val="FFFFFF"/>
              </w:rPr>
              <w:t>Deforestation in 2018</w:t>
            </w:r>
          </w:p>
        </w:tc>
      </w:tr>
      <w:tr w:rsidR="008C1276" w:rsidRPr="00D9348B" w14:paraId="62F9F126" w14:textId="77777777" w:rsidTr="008C1276">
        <w:tc>
          <w:tcPr>
            <w:tcW w:w="1764" w:type="dxa"/>
            <w:vMerge/>
            <w:tcBorders>
              <w:bottom w:val="single" w:sz="4" w:space="0" w:color="365F91"/>
            </w:tcBorders>
            <w:shd w:val="clear" w:color="auto" w:fill="376092"/>
            <w:vAlign w:val="bottom"/>
          </w:tcPr>
          <w:p w14:paraId="00F72698" w14:textId="77777777" w:rsidR="00A10636" w:rsidRPr="00D9348B" w:rsidRDefault="00A10636" w:rsidP="00DB330E">
            <w:pPr>
              <w:pStyle w:val="TableTextBold"/>
              <w:keepNext/>
              <w:jc w:val="center"/>
              <w:rPr>
                <w:noProof w:val="0"/>
                <w:color w:val="FFFFFF"/>
              </w:rPr>
            </w:pPr>
          </w:p>
        </w:tc>
        <w:tc>
          <w:tcPr>
            <w:tcW w:w="1351" w:type="dxa"/>
            <w:vMerge/>
            <w:tcBorders>
              <w:bottom w:val="single" w:sz="4" w:space="0" w:color="365F91"/>
            </w:tcBorders>
            <w:shd w:val="clear" w:color="auto" w:fill="376092"/>
            <w:vAlign w:val="bottom"/>
          </w:tcPr>
          <w:p w14:paraId="249033CB" w14:textId="77777777" w:rsidR="00A10636" w:rsidRPr="00D9348B" w:rsidRDefault="00A10636" w:rsidP="00DB330E">
            <w:pPr>
              <w:pStyle w:val="TableTextBold"/>
              <w:keepNext/>
              <w:jc w:val="right"/>
              <w:rPr>
                <w:noProof w:val="0"/>
                <w:color w:val="FFFFFF"/>
              </w:rPr>
            </w:pPr>
          </w:p>
        </w:tc>
        <w:tc>
          <w:tcPr>
            <w:tcW w:w="1138" w:type="dxa"/>
            <w:tcBorders>
              <w:bottom w:val="single" w:sz="4" w:space="0" w:color="365F91"/>
            </w:tcBorders>
            <w:shd w:val="clear" w:color="auto" w:fill="376092"/>
            <w:vAlign w:val="bottom"/>
          </w:tcPr>
          <w:p w14:paraId="4B1FAA6B" w14:textId="67D9B76B" w:rsidR="00A10636" w:rsidRPr="00D9348B" w:rsidRDefault="00A10636" w:rsidP="00DB330E">
            <w:pPr>
              <w:pStyle w:val="TableTextBold"/>
              <w:keepNext/>
              <w:jc w:val="right"/>
              <w:rPr>
                <w:noProof w:val="0"/>
                <w:color w:val="FFFFFF"/>
              </w:rPr>
            </w:pPr>
            <w:r w:rsidRPr="00D9348B">
              <w:rPr>
                <w:noProof w:val="0"/>
                <w:color w:val="FFFFFF"/>
              </w:rPr>
              <w:t>Area (ha)</w:t>
            </w:r>
          </w:p>
        </w:tc>
        <w:tc>
          <w:tcPr>
            <w:tcW w:w="1559" w:type="dxa"/>
            <w:tcBorders>
              <w:bottom w:val="single" w:sz="4" w:space="0" w:color="365F91"/>
            </w:tcBorders>
            <w:shd w:val="clear" w:color="auto" w:fill="376092"/>
            <w:vAlign w:val="bottom"/>
          </w:tcPr>
          <w:p w14:paraId="18D9AEA4" w14:textId="77777777" w:rsidR="00A10636" w:rsidRPr="00D9348B" w:rsidRDefault="00A10636" w:rsidP="00DB330E">
            <w:pPr>
              <w:pStyle w:val="TableTextBold"/>
              <w:keepNext/>
              <w:jc w:val="right"/>
              <w:rPr>
                <w:noProof w:val="0"/>
                <w:color w:val="FFFFFF"/>
              </w:rPr>
            </w:pPr>
            <w:r w:rsidRPr="00D9348B">
              <w:rPr>
                <w:noProof w:val="0"/>
                <w:color w:val="FFFFFF"/>
              </w:rPr>
              <w:t>Proportion of 1990 area (%)</w:t>
            </w:r>
          </w:p>
        </w:tc>
        <w:tc>
          <w:tcPr>
            <w:tcW w:w="992" w:type="dxa"/>
            <w:tcBorders>
              <w:bottom w:val="single" w:sz="4" w:space="0" w:color="365F91"/>
            </w:tcBorders>
            <w:shd w:val="clear" w:color="auto" w:fill="376092"/>
            <w:vAlign w:val="bottom"/>
          </w:tcPr>
          <w:p w14:paraId="720D8A9D" w14:textId="51E1DA51" w:rsidR="00A10636" w:rsidRPr="00D9348B" w:rsidRDefault="00A10636" w:rsidP="00DB330E">
            <w:pPr>
              <w:pStyle w:val="TableTextBold"/>
              <w:keepNext/>
              <w:jc w:val="right"/>
              <w:rPr>
                <w:noProof w:val="0"/>
                <w:color w:val="FFFFFF"/>
              </w:rPr>
            </w:pPr>
            <w:r w:rsidRPr="00D9348B">
              <w:rPr>
                <w:noProof w:val="0"/>
                <w:color w:val="FFFFFF"/>
              </w:rPr>
              <w:t>Area (ha)</w:t>
            </w:r>
          </w:p>
        </w:tc>
        <w:tc>
          <w:tcPr>
            <w:tcW w:w="1701" w:type="dxa"/>
            <w:tcBorders>
              <w:bottom w:val="single" w:sz="4" w:space="0" w:color="365F91"/>
            </w:tcBorders>
            <w:shd w:val="clear" w:color="auto" w:fill="376092"/>
            <w:vAlign w:val="bottom"/>
          </w:tcPr>
          <w:p w14:paraId="0C8B9C5A" w14:textId="77777777" w:rsidR="00A10636" w:rsidRPr="00D9348B" w:rsidRDefault="00A10636" w:rsidP="00DB330E">
            <w:pPr>
              <w:pStyle w:val="TableTextBold"/>
              <w:keepNext/>
              <w:jc w:val="right"/>
              <w:rPr>
                <w:noProof w:val="0"/>
                <w:color w:val="FFFFFF"/>
              </w:rPr>
            </w:pPr>
            <w:r w:rsidRPr="00D9348B">
              <w:rPr>
                <w:noProof w:val="0"/>
                <w:color w:val="FFFFFF"/>
              </w:rPr>
              <w:t>Proportion of 1990 area (%)</w:t>
            </w:r>
          </w:p>
        </w:tc>
      </w:tr>
      <w:tr w:rsidR="008C1276" w:rsidRPr="00D9348B" w14:paraId="4E8BB34D" w14:textId="77777777" w:rsidTr="008C1276">
        <w:tc>
          <w:tcPr>
            <w:tcW w:w="1764" w:type="dxa"/>
            <w:tcBorders>
              <w:top w:val="single" w:sz="4" w:space="0" w:color="365F91"/>
              <w:bottom w:val="single" w:sz="4" w:space="0" w:color="365F91"/>
            </w:tcBorders>
          </w:tcPr>
          <w:p w14:paraId="29A53172" w14:textId="77777777" w:rsidR="00A10636" w:rsidRPr="00D9348B" w:rsidRDefault="00A10636" w:rsidP="00DB330E">
            <w:pPr>
              <w:pStyle w:val="TableText"/>
              <w:spacing w:before="50" w:after="50"/>
            </w:pPr>
            <w:r w:rsidRPr="00D9348B">
              <w:t>Pre-1990 natural forest</w:t>
            </w:r>
          </w:p>
        </w:tc>
        <w:tc>
          <w:tcPr>
            <w:tcW w:w="1351" w:type="dxa"/>
            <w:tcBorders>
              <w:top w:val="single" w:sz="4" w:space="0" w:color="365F91"/>
              <w:bottom w:val="single" w:sz="4" w:space="0" w:color="365F91"/>
            </w:tcBorders>
          </w:tcPr>
          <w:p w14:paraId="4166B8CE" w14:textId="77777777" w:rsidR="00A10636" w:rsidRPr="00D9348B" w:rsidRDefault="00A10636" w:rsidP="00DB330E">
            <w:pPr>
              <w:pStyle w:val="TableText"/>
              <w:spacing w:before="50" w:after="50"/>
              <w:jc w:val="right"/>
            </w:pPr>
            <w:r w:rsidRPr="00D9348B">
              <w:t>7,826,472</w:t>
            </w:r>
          </w:p>
        </w:tc>
        <w:tc>
          <w:tcPr>
            <w:tcW w:w="1138" w:type="dxa"/>
            <w:tcBorders>
              <w:top w:val="single" w:sz="4" w:space="0" w:color="365F91"/>
              <w:bottom w:val="single" w:sz="4" w:space="0" w:color="365F91"/>
            </w:tcBorders>
          </w:tcPr>
          <w:p w14:paraId="1CCCA13D" w14:textId="77777777" w:rsidR="00A10636" w:rsidRPr="00D9348B" w:rsidRDefault="00A10636" w:rsidP="00DB330E">
            <w:pPr>
              <w:pStyle w:val="TableText"/>
              <w:spacing w:before="50" w:after="50"/>
              <w:jc w:val="right"/>
            </w:pPr>
            <w:r w:rsidRPr="00D9348B">
              <w:t>45,355</w:t>
            </w:r>
          </w:p>
        </w:tc>
        <w:tc>
          <w:tcPr>
            <w:tcW w:w="1559" w:type="dxa"/>
            <w:tcBorders>
              <w:top w:val="single" w:sz="4" w:space="0" w:color="365F91"/>
              <w:bottom w:val="single" w:sz="4" w:space="0" w:color="365F91"/>
            </w:tcBorders>
          </w:tcPr>
          <w:p w14:paraId="715251F0" w14:textId="77777777" w:rsidR="00A10636" w:rsidRPr="00D9348B" w:rsidRDefault="00A10636" w:rsidP="00DB330E">
            <w:pPr>
              <w:pStyle w:val="TableText"/>
              <w:spacing w:before="50" w:after="50"/>
              <w:jc w:val="right"/>
            </w:pPr>
            <w:r w:rsidRPr="00D9348B">
              <w:t>0.58</w:t>
            </w:r>
          </w:p>
        </w:tc>
        <w:tc>
          <w:tcPr>
            <w:tcW w:w="992" w:type="dxa"/>
            <w:tcBorders>
              <w:top w:val="single" w:sz="4" w:space="0" w:color="365F91"/>
              <w:bottom w:val="single" w:sz="4" w:space="0" w:color="365F91"/>
            </w:tcBorders>
          </w:tcPr>
          <w:p w14:paraId="7E1E478A" w14:textId="77777777" w:rsidR="00A10636" w:rsidRPr="00D9348B" w:rsidRDefault="00A10636" w:rsidP="00DB330E">
            <w:pPr>
              <w:pStyle w:val="TableText"/>
              <w:spacing w:before="50" w:after="50"/>
              <w:jc w:val="right"/>
            </w:pPr>
            <w:r w:rsidRPr="00D9348B">
              <w:t>740</w:t>
            </w:r>
          </w:p>
        </w:tc>
        <w:tc>
          <w:tcPr>
            <w:tcW w:w="1701" w:type="dxa"/>
            <w:tcBorders>
              <w:top w:val="single" w:sz="4" w:space="0" w:color="365F91"/>
              <w:bottom w:val="single" w:sz="4" w:space="0" w:color="365F91"/>
            </w:tcBorders>
          </w:tcPr>
          <w:p w14:paraId="6AAB73F0" w14:textId="77777777" w:rsidR="00A10636" w:rsidRPr="00D9348B" w:rsidRDefault="00A10636" w:rsidP="00DB330E">
            <w:pPr>
              <w:pStyle w:val="TableText"/>
              <w:spacing w:before="50" w:after="50"/>
              <w:jc w:val="right"/>
            </w:pPr>
            <w:r w:rsidRPr="00D9348B">
              <w:t>0.01</w:t>
            </w:r>
          </w:p>
        </w:tc>
      </w:tr>
      <w:tr w:rsidR="008C1276" w:rsidRPr="00D9348B" w14:paraId="3C17AEFD" w14:textId="77777777" w:rsidTr="008C1276">
        <w:tc>
          <w:tcPr>
            <w:tcW w:w="1764" w:type="dxa"/>
            <w:tcBorders>
              <w:top w:val="single" w:sz="4" w:space="0" w:color="365F91"/>
              <w:bottom w:val="single" w:sz="4" w:space="0" w:color="365F91"/>
            </w:tcBorders>
          </w:tcPr>
          <w:p w14:paraId="606A6723" w14:textId="77777777" w:rsidR="00A10636" w:rsidRPr="00D9348B" w:rsidRDefault="00A10636" w:rsidP="00DB330E">
            <w:pPr>
              <w:pStyle w:val="TableText"/>
              <w:spacing w:before="50" w:after="50"/>
            </w:pPr>
            <w:r w:rsidRPr="00D9348B">
              <w:t>Pre-1990 planted forest</w:t>
            </w:r>
          </w:p>
        </w:tc>
        <w:tc>
          <w:tcPr>
            <w:tcW w:w="1351" w:type="dxa"/>
            <w:tcBorders>
              <w:top w:val="single" w:sz="4" w:space="0" w:color="365F91"/>
              <w:bottom w:val="single" w:sz="4" w:space="0" w:color="365F91"/>
            </w:tcBorders>
          </w:tcPr>
          <w:p w14:paraId="6D03A592" w14:textId="77777777" w:rsidR="00A10636" w:rsidRPr="00D9348B" w:rsidRDefault="00A10636" w:rsidP="00DB330E">
            <w:pPr>
              <w:pStyle w:val="TableText"/>
              <w:spacing w:before="50" w:after="50"/>
              <w:jc w:val="right"/>
              <w:rPr>
                <w:i/>
                <w:iCs/>
                <w:szCs w:val="24"/>
              </w:rPr>
            </w:pPr>
            <w:r w:rsidRPr="00D9348B">
              <w:t>1,548,302</w:t>
            </w:r>
          </w:p>
        </w:tc>
        <w:tc>
          <w:tcPr>
            <w:tcW w:w="1138" w:type="dxa"/>
            <w:tcBorders>
              <w:top w:val="single" w:sz="4" w:space="0" w:color="365F91"/>
              <w:bottom w:val="single" w:sz="4" w:space="0" w:color="365F91"/>
            </w:tcBorders>
          </w:tcPr>
          <w:p w14:paraId="3FF3B58B" w14:textId="77777777" w:rsidR="00A10636" w:rsidRPr="00D9348B" w:rsidRDefault="00A10636" w:rsidP="00DB330E">
            <w:pPr>
              <w:pStyle w:val="TableText"/>
              <w:spacing w:before="50" w:after="50"/>
              <w:jc w:val="right"/>
              <w:rPr>
                <w:bCs/>
                <w:i/>
                <w:iCs/>
                <w:szCs w:val="24"/>
              </w:rPr>
            </w:pPr>
            <w:r w:rsidRPr="00D9348B">
              <w:t>128,001</w:t>
            </w:r>
          </w:p>
        </w:tc>
        <w:tc>
          <w:tcPr>
            <w:tcW w:w="1559" w:type="dxa"/>
            <w:tcBorders>
              <w:top w:val="single" w:sz="4" w:space="0" w:color="365F91"/>
              <w:bottom w:val="single" w:sz="4" w:space="0" w:color="365F91"/>
            </w:tcBorders>
          </w:tcPr>
          <w:p w14:paraId="038877BB" w14:textId="77777777" w:rsidR="00A10636" w:rsidRPr="00D9348B" w:rsidRDefault="00A10636" w:rsidP="00DB330E">
            <w:pPr>
              <w:pStyle w:val="TableText"/>
              <w:spacing w:before="50" w:after="50"/>
              <w:jc w:val="right"/>
              <w:rPr>
                <w:bCs/>
                <w:i/>
                <w:iCs/>
                <w:szCs w:val="24"/>
              </w:rPr>
            </w:pPr>
            <w:r w:rsidRPr="00D9348B">
              <w:t>8.27</w:t>
            </w:r>
          </w:p>
        </w:tc>
        <w:tc>
          <w:tcPr>
            <w:tcW w:w="992" w:type="dxa"/>
            <w:tcBorders>
              <w:top w:val="single" w:sz="4" w:space="0" w:color="365F91"/>
              <w:bottom w:val="single" w:sz="4" w:space="0" w:color="365F91"/>
            </w:tcBorders>
          </w:tcPr>
          <w:p w14:paraId="2565F96E" w14:textId="77777777" w:rsidR="00A10636" w:rsidRPr="00D9348B" w:rsidRDefault="00A10636" w:rsidP="00DB330E">
            <w:pPr>
              <w:pStyle w:val="TableText"/>
              <w:spacing w:before="50" w:after="50"/>
              <w:jc w:val="right"/>
              <w:rPr>
                <w:bCs/>
                <w:i/>
                <w:iCs/>
                <w:szCs w:val="24"/>
              </w:rPr>
            </w:pPr>
            <w:r w:rsidRPr="00D9348B">
              <w:t>2,629</w:t>
            </w:r>
          </w:p>
        </w:tc>
        <w:tc>
          <w:tcPr>
            <w:tcW w:w="1701" w:type="dxa"/>
            <w:tcBorders>
              <w:top w:val="single" w:sz="4" w:space="0" w:color="365F91"/>
              <w:bottom w:val="single" w:sz="4" w:space="0" w:color="365F91"/>
            </w:tcBorders>
          </w:tcPr>
          <w:p w14:paraId="541EC927" w14:textId="77777777" w:rsidR="00A10636" w:rsidRPr="00D9348B" w:rsidRDefault="00A10636" w:rsidP="00DB330E">
            <w:pPr>
              <w:pStyle w:val="TableText"/>
              <w:spacing w:before="50" w:after="50"/>
              <w:jc w:val="right"/>
              <w:rPr>
                <w:bCs/>
                <w:i/>
                <w:iCs/>
                <w:szCs w:val="24"/>
              </w:rPr>
            </w:pPr>
            <w:r w:rsidRPr="00D9348B">
              <w:t>0.17</w:t>
            </w:r>
          </w:p>
        </w:tc>
      </w:tr>
      <w:tr w:rsidR="008C1276" w:rsidRPr="00D9348B" w14:paraId="1A10368A" w14:textId="77777777" w:rsidTr="008C1276">
        <w:tc>
          <w:tcPr>
            <w:tcW w:w="1764" w:type="dxa"/>
            <w:tcBorders>
              <w:top w:val="single" w:sz="4" w:space="0" w:color="365F91"/>
              <w:bottom w:val="single" w:sz="4" w:space="0" w:color="365F91"/>
            </w:tcBorders>
          </w:tcPr>
          <w:p w14:paraId="73A1073C" w14:textId="77777777" w:rsidR="00A10636" w:rsidRPr="00D9348B" w:rsidRDefault="00A10636" w:rsidP="00DB330E">
            <w:pPr>
              <w:pStyle w:val="TableText"/>
              <w:spacing w:before="50" w:after="50"/>
            </w:pPr>
            <w:r w:rsidRPr="00D9348B">
              <w:t>Post-1989 forest</w:t>
            </w:r>
          </w:p>
        </w:tc>
        <w:tc>
          <w:tcPr>
            <w:tcW w:w="1351" w:type="dxa"/>
            <w:tcBorders>
              <w:top w:val="single" w:sz="4" w:space="0" w:color="365F91"/>
              <w:bottom w:val="single" w:sz="4" w:space="0" w:color="365F91"/>
            </w:tcBorders>
          </w:tcPr>
          <w:p w14:paraId="039F7526" w14:textId="77777777" w:rsidR="00A10636" w:rsidRPr="00D9348B" w:rsidRDefault="00A10636" w:rsidP="00DB330E">
            <w:pPr>
              <w:pStyle w:val="TableText"/>
              <w:spacing w:before="50" w:after="50"/>
              <w:jc w:val="right"/>
              <w:rPr>
                <w:szCs w:val="24"/>
              </w:rPr>
            </w:pPr>
            <w:r w:rsidRPr="00D9348B">
              <w:t>0</w:t>
            </w:r>
          </w:p>
        </w:tc>
        <w:tc>
          <w:tcPr>
            <w:tcW w:w="1138" w:type="dxa"/>
            <w:tcBorders>
              <w:top w:val="single" w:sz="4" w:space="0" w:color="365F91"/>
              <w:bottom w:val="single" w:sz="4" w:space="0" w:color="365F91"/>
            </w:tcBorders>
          </w:tcPr>
          <w:p w14:paraId="175DD919" w14:textId="77777777" w:rsidR="00A10636" w:rsidRPr="00D9348B" w:rsidRDefault="00A10636" w:rsidP="00DB330E">
            <w:pPr>
              <w:pStyle w:val="TableText"/>
              <w:spacing w:before="50" w:after="50"/>
              <w:jc w:val="right"/>
              <w:rPr>
                <w:i/>
                <w:iCs/>
                <w:szCs w:val="24"/>
              </w:rPr>
            </w:pPr>
            <w:r w:rsidRPr="00D9348B">
              <w:t>31,272</w:t>
            </w:r>
          </w:p>
        </w:tc>
        <w:tc>
          <w:tcPr>
            <w:tcW w:w="1559" w:type="dxa"/>
            <w:tcBorders>
              <w:top w:val="single" w:sz="4" w:space="0" w:color="365F91"/>
              <w:bottom w:val="single" w:sz="4" w:space="0" w:color="365F91"/>
            </w:tcBorders>
          </w:tcPr>
          <w:p w14:paraId="065E4098" w14:textId="77777777" w:rsidR="00A10636" w:rsidRPr="00D9348B" w:rsidRDefault="00A10636" w:rsidP="00DB330E">
            <w:pPr>
              <w:pStyle w:val="TableText"/>
              <w:spacing w:before="50" w:after="50"/>
              <w:jc w:val="right"/>
              <w:rPr>
                <w:i/>
                <w:iCs/>
                <w:szCs w:val="24"/>
              </w:rPr>
            </w:pPr>
            <w:r w:rsidRPr="00D9348B">
              <w:t>NA</w:t>
            </w:r>
          </w:p>
        </w:tc>
        <w:tc>
          <w:tcPr>
            <w:tcW w:w="992" w:type="dxa"/>
            <w:tcBorders>
              <w:top w:val="single" w:sz="4" w:space="0" w:color="365F91"/>
              <w:bottom w:val="single" w:sz="4" w:space="0" w:color="365F91"/>
            </w:tcBorders>
          </w:tcPr>
          <w:p w14:paraId="68E0B6A5" w14:textId="77777777" w:rsidR="00A10636" w:rsidRPr="00D9348B" w:rsidRDefault="00A10636" w:rsidP="00DB330E">
            <w:pPr>
              <w:pStyle w:val="TableText"/>
              <w:spacing w:before="50" w:after="50"/>
              <w:jc w:val="right"/>
              <w:rPr>
                <w:i/>
                <w:iCs/>
                <w:szCs w:val="24"/>
              </w:rPr>
            </w:pPr>
            <w:r w:rsidRPr="00D9348B">
              <w:t>692</w:t>
            </w:r>
          </w:p>
        </w:tc>
        <w:tc>
          <w:tcPr>
            <w:tcW w:w="1701" w:type="dxa"/>
            <w:tcBorders>
              <w:top w:val="single" w:sz="4" w:space="0" w:color="365F91"/>
              <w:bottom w:val="single" w:sz="4" w:space="0" w:color="365F91"/>
            </w:tcBorders>
          </w:tcPr>
          <w:p w14:paraId="0FCBD753" w14:textId="77777777" w:rsidR="00A10636" w:rsidRPr="00D9348B" w:rsidRDefault="00A10636" w:rsidP="00DB330E">
            <w:pPr>
              <w:pStyle w:val="TableText"/>
              <w:spacing w:before="50" w:after="50"/>
              <w:jc w:val="right"/>
              <w:rPr>
                <w:i/>
                <w:iCs/>
                <w:szCs w:val="24"/>
              </w:rPr>
            </w:pPr>
            <w:r w:rsidRPr="00D9348B">
              <w:t>NA</w:t>
            </w:r>
          </w:p>
        </w:tc>
      </w:tr>
      <w:tr w:rsidR="008C1276" w:rsidRPr="00D9348B" w14:paraId="761CE349" w14:textId="77777777" w:rsidTr="008C1276">
        <w:tc>
          <w:tcPr>
            <w:tcW w:w="1764" w:type="dxa"/>
            <w:tcBorders>
              <w:top w:val="single" w:sz="4" w:space="0" w:color="365F91"/>
              <w:bottom w:val="single" w:sz="4" w:space="0" w:color="365F91"/>
            </w:tcBorders>
          </w:tcPr>
          <w:p w14:paraId="7B090620" w14:textId="77777777" w:rsidR="00A10636" w:rsidRPr="00D9348B" w:rsidRDefault="00A10636" w:rsidP="00DB330E">
            <w:pPr>
              <w:pStyle w:val="Tableboldblue"/>
              <w:jc w:val="right"/>
            </w:pPr>
            <w:r w:rsidRPr="00D9348B">
              <w:t>Total</w:t>
            </w:r>
          </w:p>
        </w:tc>
        <w:tc>
          <w:tcPr>
            <w:tcW w:w="1351" w:type="dxa"/>
            <w:tcBorders>
              <w:top w:val="single" w:sz="4" w:space="0" w:color="365F91"/>
              <w:bottom w:val="single" w:sz="4" w:space="0" w:color="365F91"/>
            </w:tcBorders>
          </w:tcPr>
          <w:p w14:paraId="243CEA18" w14:textId="77777777" w:rsidR="00A10636" w:rsidRPr="00D9348B" w:rsidRDefault="00A10636" w:rsidP="00DB330E">
            <w:pPr>
              <w:pStyle w:val="Tableboldblue"/>
              <w:jc w:val="right"/>
            </w:pPr>
            <w:r w:rsidRPr="00D9348B">
              <w:t>9,374,774</w:t>
            </w:r>
          </w:p>
        </w:tc>
        <w:tc>
          <w:tcPr>
            <w:tcW w:w="1138" w:type="dxa"/>
            <w:tcBorders>
              <w:top w:val="single" w:sz="4" w:space="0" w:color="365F91"/>
              <w:bottom w:val="single" w:sz="4" w:space="0" w:color="365F91"/>
            </w:tcBorders>
          </w:tcPr>
          <w:p w14:paraId="4FED66EC" w14:textId="77777777" w:rsidR="00A10636" w:rsidRPr="00D9348B" w:rsidRDefault="00A10636" w:rsidP="00DB330E">
            <w:pPr>
              <w:pStyle w:val="Tableboldblue"/>
              <w:jc w:val="right"/>
            </w:pPr>
            <w:r w:rsidRPr="00D9348B">
              <w:t>204,628</w:t>
            </w:r>
          </w:p>
        </w:tc>
        <w:tc>
          <w:tcPr>
            <w:tcW w:w="1559" w:type="dxa"/>
            <w:tcBorders>
              <w:top w:val="single" w:sz="4" w:space="0" w:color="365F91"/>
              <w:bottom w:val="single" w:sz="4" w:space="0" w:color="365F91"/>
            </w:tcBorders>
          </w:tcPr>
          <w:p w14:paraId="61923B28" w14:textId="77777777" w:rsidR="00A10636" w:rsidRPr="00D9348B" w:rsidRDefault="00A10636" w:rsidP="00DB330E">
            <w:pPr>
              <w:pStyle w:val="Tableboldblue"/>
              <w:jc w:val="right"/>
            </w:pPr>
            <w:r w:rsidRPr="00D9348B">
              <w:t>2.18</w:t>
            </w:r>
          </w:p>
        </w:tc>
        <w:tc>
          <w:tcPr>
            <w:tcW w:w="992" w:type="dxa"/>
            <w:tcBorders>
              <w:top w:val="single" w:sz="4" w:space="0" w:color="365F91"/>
              <w:bottom w:val="single" w:sz="4" w:space="0" w:color="365F91"/>
            </w:tcBorders>
          </w:tcPr>
          <w:p w14:paraId="41F45C0D" w14:textId="77777777" w:rsidR="00A10636" w:rsidRPr="00D9348B" w:rsidRDefault="00A10636" w:rsidP="00DB330E">
            <w:pPr>
              <w:pStyle w:val="Tableboldblue"/>
              <w:jc w:val="right"/>
            </w:pPr>
            <w:r w:rsidRPr="00D9348B">
              <w:t>4,061</w:t>
            </w:r>
          </w:p>
        </w:tc>
        <w:tc>
          <w:tcPr>
            <w:tcW w:w="1701" w:type="dxa"/>
            <w:tcBorders>
              <w:top w:val="single" w:sz="4" w:space="0" w:color="365F91"/>
              <w:bottom w:val="single" w:sz="4" w:space="0" w:color="365F91"/>
            </w:tcBorders>
          </w:tcPr>
          <w:p w14:paraId="567C357D" w14:textId="77777777" w:rsidR="00A10636" w:rsidRPr="00D9348B" w:rsidRDefault="00A10636" w:rsidP="00DB330E">
            <w:pPr>
              <w:pStyle w:val="Tableboldblue"/>
              <w:jc w:val="right"/>
            </w:pPr>
            <w:r w:rsidRPr="00D9348B">
              <w:t>0.04</w:t>
            </w:r>
          </w:p>
        </w:tc>
      </w:tr>
    </w:tbl>
    <w:p w14:paraId="4D48506B" w14:textId="77777777" w:rsidR="00A10636" w:rsidRPr="00D9348B" w:rsidRDefault="00A10636" w:rsidP="00A10636">
      <w:pPr>
        <w:pStyle w:val="Noteundertable"/>
      </w:pPr>
      <w:r w:rsidRPr="00D9348B">
        <w:rPr>
          <w:b/>
        </w:rPr>
        <w:t>Note:</w:t>
      </w:r>
      <w:r w:rsidRPr="00D9348B">
        <w:tab/>
        <w:t>NA = not applicable. The 2018 areas are as at 31 December 2018; 1990 areas are as at 1 January 1990 and, therefore, differ from 1990 area values in the CRF tables, which are as at 31 December 1990. Columns may not total due to rounding.</w:t>
      </w:r>
    </w:p>
    <w:p w14:paraId="6A41FE19" w14:textId="77777777" w:rsidR="00A10636" w:rsidRPr="00D9348B" w:rsidRDefault="00A10636" w:rsidP="00A10636">
      <w:pPr>
        <w:pStyle w:val="BodyText"/>
      </w:pPr>
      <w:r w:rsidRPr="00D9348B">
        <w:t xml:space="preserve">The conversion of </w:t>
      </w:r>
      <w:r w:rsidRPr="00D9348B">
        <w:rPr>
          <w:i/>
        </w:rPr>
        <w:t>Forest land</w:t>
      </w:r>
      <w:r w:rsidRPr="00D9348B">
        <w:t xml:space="preserve"> to </w:t>
      </w:r>
      <w:r w:rsidRPr="00D9348B">
        <w:rPr>
          <w:i/>
        </w:rPr>
        <w:t>Grassland</w:t>
      </w:r>
      <w:r w:rsidRPr="00D9348B">
        <w:t xml:space="preserve"> is due in part to the relative profitability of some forms of pastoral farming (particularly dairy farming) compared with forestry. </w:t>
      </w:r>
    </w:p>
    <w:p w14:paraId="00BDEE23" w14:textId="77777777" w:rsidR="00A10636" w:rsidRPr="00D9348B" w:rsidRDefault="00A10636" w:rsidP="00A10636">
      <w:pPr>
        <w:pStyle w:val="BodyText"/>
      </w:pPr>
      <w:r w:rsidRPr="00D9348B">
        <w:t>Figure 6.4.3 illustrates the increase in planted forest deforestation that occurred leading up to 2008 and the decrease after the introduction of the NZ ETS in 2008.</w:t>
      </w:r>
    </w:p>
    <w:p w14:paraId="11655B28" w14:textId="77777777" w:rsidR="00A10636" w:rsidRPr="00D9348B" w:rsidRDefault="00A10636" w:rsidP="00A10636">
      <w:pPr>
        <w:pStyle w:val="BodyText"/>
      </w:pPr>
      <w:r w:rsidRPr="00D9348B">
        <w:t>During the first Kyoto Protocol commitment period (2008–12), it was expected that the level of deforestation would continue to be less than that seen prior to the introduction of the NZ ETS in 2008 (Manley, 2009). However, since the introduction of the NZ ETS, and throughout the first commitment period of the Kyoto Protocol, the carbon price was in steady decline and deforestation rates during this period were higher than expected. The low carbon price reduced the liability on forest owners for deforestation. More recently, the exclusion of international units from the NZ ETS on 31 May 2015, the recent NZ ETS review, and implementation of some of its findings have all contributed to higher carbon prices. These higher carbon prices have contributed to a reduction in deforestation and increased the uptake of the carbon equivalent forests provision from 2015.</w:t>
      </w:r>
      <w:bookmarkStart w:id="1634" w:name="_Toc318362752"/>
      <w:bookmarkStart w:id="1635" w:name="_Toc342470832"/>
      <w:bookmarkStart w:id="1636" w:name="_Toc352505160"/>
      <w:bookmarkStart w:id="1637" w:name="_Toc373395720"/>
      <w:bookmarkStart w:id="1638" w:name="_Toc378853343"/>
      <w:bookmarkStart w:id="1639" w:name="_Toc405448093"/>
      <w:bookmarkStart w:id="1640" w:name="_Toc414531625"/>
      <w:bookmarkStart w:id="1641" w:name="_Toc474914648"/>
      <w:bookmarkStart w:id="1642" w:name="_Toc481752030"/>
      <w:bookmarkStart w:id="1643" w:name="_Toc522010708"/>
    </w:p>
    <w:p w14:paraId="7866C7F9" w14:textId="77777777" w:rsidR="00A10636" w:rsidRPr="00D9348B" w:rsidRDefault="00A10636" w:rsidP="00A10636">
      <w:pPr>
        <w:pStyle w:val="Figure"/>
        <w:spacing w:after="0"/>
      </w:pPr>
      <w:bookmarkStart w:id="1644" w:name="_Toc33529483"/>
      <w:bookmarkStart w:id="1645" w:name="_Toc36292813"/>
      <w:r w:rsidRPr="00D9348B">
        <w:t>Figure 6.4.3</w:t>
      </w:r>
      <w:r w:rsidRPr="00D9348B">
        <w:tab/>
        <w:t xml:space="preserve">New Zealand’s area of deforestation since 1990, by Forest land </w:t>
      </w:r>
      <w:bookmarkEnd w:id="1634"/>
      <w:bookmarkEnd w:id="1635"/>
      <w:bookmarkEnd w:id="1636"/>
      <w:bookmarkEnd w:id="1637"/>
      <w:bookmarkEnd w:id="1638"/>
      <w:bookmarkEnd w:id="1639"/>
      <w:bookmarkEnd w:id="1640"/>
      <w:r w:rsidRPr="00D9348B">
        <w:t>category</w:t>
      </w:r>
      <w:bookmarkEnd w:id="1641"/>
      <w:bookmarkEnd w:id="1642"/>
      <w:bookmarkEnd w:id="1643"/>
      <w:bookmarkEnd w:id="1644"/>
      <w:bookmarkEnd w:id="1645"/>
    </w:p>
    <w:p w14:paraId="1A129AE0" w14:textId="30BFDF03" w:rsidR="00A10636" w:rsidRPr="00D9348B" w:rsidRDefault="007165CF" w:rsidP="00A10636">
      <w:pPr>
        <w:pStyle w:val="BodyText"/>
        <w:spacing w:before="0" w:after="0"/>
        <w:rPr>
          <w:rFonts w:ascii="Arial" w:hAnsi="Arial" w:cs="Arial"/>
        </w:rPr>
      </w:pPr>
      <w:r>
        <w:rPr>
          <w:rFonts w:ascii="Arial" w:hAnsi="Arial" w:cs="Arial"/>
        </w:rPr>
        <w:pict w14:anchorId="6B658583">
          <v:shape id="_x0000_i1142" type="#_x0000_t75" style="width:410.7pt;height:209.75pt;visibility:visible;mso-wrap-style:square">
            <v:imagedata r:id="rId223" o:title=""/>
          </v:shape>
        </w:pict>
      </w:r>
    </w:p>
    <w:p w14:paraId="56CC4589" w14:textId="77777777" w:rsidR="00A10636" w:rsidRPr="00D9348B" w:rsidRDefault="00A10636" w:rsidP="009E573D">
      <w:pPr>
        <w:pStyle w:val="BodyText"/>
      </w:pPr>
      <w:r w:rsidRPr="00D9348B">
        <w:lastRenderedPageBreak/>
        <w:t xml:space="preserve">No data are available on the deforestation profile of pre-1990 natural forests between 1990 and 2007 and, as a result, the total area of deforestation detected over this period is allocated evenly across the years. The rate of pre-1990 natural forest deforestation has been confirmed between 2008 and 2012 through satellite image mapping of deforestation (see figure 6.2.6). </w:t>
      </w:r>
    </w:p>
    <w:p w14:paraId="75948184" w14:textId="77777777" w:rsidR="00A10636" w:rsidRPr="00D9348B" w:rsidRDefault="00A10636" w:rsidP="009E573D">
      <w:pPr>
        <w:pStyle w:val="BodyText"/>
      </w:pPr>
      <w:r w:rsidRPr="00D9348B">
        <w:t>New Zealand assumes instant emissions of all biomass carbon at the time of deforestation, based on the following.</w:t>
      </w:r>
    </w:p>
    <w:p w14:paraId="5D39A29B" w14:textId="77777777" w:rsidR="00A10636" w:rsidRPr="00D9348B" w:rsidRDefault="00A10636" w:rsidP="009E573D">
      <w:pPr>
        <w:pStyle w:val="Bullet"/>
      </w:pPr>
      <w:r w:rsidRPr="00D9348B">
        <w:t>The majority of deforestation since 2000 has resulted from land conversion to Grassland, leading to the rapid removal of all biomass as the land is prepared for farming.</w:t>
      </w:r>
    </w:p>
    <w:p w14:paraId="072005AE" w14:textId="77777777" w:rsidR="00A10636" w:rsidRPr="00D9348B" w:rsidRDefault="00A10636" w:rsidP="009E573D">
      <w:pPr>
        <w:pStyle w:val="Bullet"/>
      </w:pPr>
      <w:r w:rsidRPr="00D9348B">
        <w:t>It is not practical to estimate emissions from residues following deforestation activity given the rapid conversion from one land use to another and the multiple methods of removing residues. Furthermore, estimating biomass residue and decay rates for multiple disposal methods is difficult and costly.</w:t>
      </w:r>
    </w:p>
    <w:p w14:paraId="728690DE" w14:textId="77777777" w:rsidR="00A10636" w:rsidRPr="00D9348B" w:rsidRDefault="00A10636" w:rsidP="009E573D">
      <w:pPr>
        <w:pStyle w:val="BodyText"/>
      </w:pPr>
      <w:r w:rsidRPr="00D9348B">
        <w:t>Estimates of biomass burning emissions associated with deforestation are provided in the National Inventory Report (see section 6.11.5).</w:t>
      </w:r>
    </w:p>
    <w:p w14:paraId="2F707861" w14:textId="77777777" w:rsidR="00A10636" w:rsidRPr="00D9348B" w:rsidRDefault="00A10636" w:rsidP="009E573D">
      <w:pPr>
        <w:pStyle w:val="BodyText"/>
      </w:pPr>
      <w:r w:rsidRPr="00D9348B">
        <w:t>Soil carbon changes associated with deforestation are modelled over a 20-year period using a linear change profile (see section 6.3).</w:t>
      </w:r>
    </w:p>
    <w:p w14:paraId="08C6F217" w14:textId="4154551B" w:rsidR="00A10636" w:rsidRPr="00D9348B" w:rsidRDefault="00A10636" w:rsidP="009E573D">
      <w:pPr>
        <w:pStyle w:val="BodyText"/>
      </w:pPr>
      <w:r w:rsidRPr="00D9348B">
        <w:t xml:space="preserve">Deforestation emissions are reported in the relevant </w:t>
      </w:r>
      <w:r w:rsidRPr="00D9348B">
        <w:rPr>
          <w:i/>
        </w:rPr>
        <w:t>Land converted to</w:t>
      </w:r>
      <w:r w:rsidRPr="00D9348B">
        <w:t xml:space="preserve"> category, as are all</w:t>
      </w:r>
      <w:r w:rsidR="009E573D" w:rsidRPr="00D9348B">
        <w:t> </w:t>
      </w:r>
      <w:r w:rsidRPr="00D9348B">
        <w:t>emissions from land-use change. See sections 6.2.2 and 11.3.3 for further information on</w:t>
      </w:r>
      <w:r w:rsidR="009E573D" w:rsidRPr="00D9348B">
        <w:t> </w:t>
      </w:r>
      <w:r w:rsidRPr="00D9348B">
        <w:t xml:space="preserve">deforestation. </w:t>
      </w:r>
    </w:p>
    <w:p w14:paraId="53420F75" w14:textId="77777777" w:rsidR="00A10636" w:rsidRPr="00D9348B" w:rsidRDefault="00A10636" w:rsidP="009E573D">
      <w:pPr>
        <w:pStyle w:val="Heading5"/>
      </w:pPr>
      <w:r w:rsidRPr="00D9348B">
        <w:t>Harvesting</w:t>
      </w:r>
    </w:p>
    <w:p w14:paraId="2857D0B3" w14:textId="6BF697B3" w:rsidR="00A10636" w:rsidRPr="00D9348B" w:rsidRDefault="00A10636" w:rsidP="009E573D">
      <w:pPr>
        <w:pStyle w:val="BodyText"/>
      </w:pPr>
      <w:r w:rsidRPr="00D9348B">
        <w:t>The estimated area across all planted forest (both pre-1990 and post-1989 planted forest) harvested each year between 1990 and 2018 is shown in figure 6.4.4. The estimated area between 1990 and 2009 is based on the harvested area reported in the NEFD, adjusted to calendar years. From 2011 onwards, roundwood harvesting statistics, sourced annually from the Ministry for Primary Industries (2018), were used to estimate the harvest area. This adjustment is made due to an inconsistency in which an increased harvesting volume did</w:t>
      </w:r>
      <w:r w:rsidR="009E573D" w:rsidRPr="00D9348B">
        <w:t> </w:t>
      </w:r>
      <w:r w:rsidRPr="00D9348B">
        <w:t>not correspond to the harvesting area reported in the NEFD, and so that an estimate of harvesting area in calendar years could be created for the most recent reporting year. Using this approach, the harvest area for a given year is estimated by multiplying the roundwood volume by the average ratio of roundwood volume to the NEFD area harvested over the previous four years.</w:t>
      </w:r>
    </w:p>
    <w:p w14:paraId="4BEE2AA9" w14:textId="77777777" w:rsidR="00A10636" w:rsidRPr="00D9348B" w:rsidRDefault="00A10636" w:rsidP="00A10636">
      <w:pPr>
        <w:pStyle w:val="Figure"/>
        <w:spacing w:after="0"/>
      </w:pPr>
      <w:bookmarkStart w:id="1646" w:name="_Toc474914649"/>
      <w:bookmarkStart w:id="1647" w:name="_Toc481752031"/>
      <w:bookmarkStart w:id="1648" w:name="_Toc522010709"/>
      <w:bookmarkStart w:id="1649" w:name="_Toc5269711"/>
      <w:bookmarkStart w:id="1650" w:name="_Toc33529484"/>
      <w:bookmarkStart w:id="1651" w:name="_Toc36292814"/>
      <w:r w:rsidRPr="00D9348B">
        <w:lastRenderedPageBreak/>
        <w:t>Figure 6.4.4</w:t>
      </w:r>
      <w:r w:rsidRPr="00D9348B">
        <w:tab/>
        <w:t>New Zealand’s area of planted forest harvest (inclusive of deforestation) from 1990</w:t>
      </w:r>
      <w:bookmarkEnd w:id="1646"/>
      <w:bookmarkEnd w:id="1647"/>
      <w:r w:rsidRPr="00D9348B">
        <w:t> to 2018</w:t>
      </w:r>
      <w:bookmarkEnd w:id="1648"/>
      <w:bookmarkEnd w:id="1649"/>
      <w:bookmarkEnd w:id="1650"/>
      <w:bookmarkEnd w:id="1651"/>
    </w:p>
    <w:p w14:paraId="0AE761C0" w14:textId="4ACB15AC" w:rsidR="00A10636" w:rsidRPr="00D9348B" w:rsidRDefault="007165CF" w:rsidP="009E573D">
      <w:pPr>
        <w:pStyle w:val="BodyText"/>
      </w:pPr>
      <w:r>
        <w:pict w14:anchorId="038813ED">
          <v:shape id="_x0000_i1143" type="#_x0000_t75" style="width:415.7pt;height:242.9pt;visibility:visible;mso-wrap-style:square">
            <v:imagedata r:id="rId224" o:title="" croptop="2679f" cropbottom="6297f" cropleft="1464f"/>
          </v:shape>
        </w:pict>
      </w:r>
    </w:p>
    <w:p w14:paraId="699DB9BF" w14:textId="77777777" w:rsidR="00A10636" w:rsidRPr="00D9348B" w:rsidRDefault="00A10636" w:rsidP="009E573D">
      <w:pPr>
        <w:pStyle w:val="BodyText"/>
      </w:pPr>
      <w:r w:rsidRPr="00D9348B">
        <w:t>The total area harvested is then split by forest type into:</w:t>
      </w:r>
    </w:p>
    <w:p w14:paraId="62EBBAA9" w14:textId="77777777" w:rsidR="00A10636" w:rsidRPr="00D9348B" w:rsidRDefault="00A10636" w:rsidP="00A10636">
      <w:pPr>
        <w:pStyle w:val="Bullet"/>
      </w:pPr>
      <w:r w:rsidRPr="00D9348B">
        <w:t>pre-1990 planted forest harvesting</w:t>
      </w:r>
    </w:p>
    <w:p w14:paraId="0864E347" w14:textId="77777777" w:rsidR="00A10636" w:rsidRPr="00D9348B" w:rsidRDefault="00A10636" w:rsidP="00A10636">
      <w:pPr>
        <w:pStyle w:val="Bullet"/>
      </w:pPr>
      <w:proofErr w:type="gramStart"/>
      <w:r w:rsidRPr="00D9348B">
        <w:t>post-1989</w:t>
      </w:r>
      <w:proofErr w:type="gramEnd"/>
      <w:r w:rsidRPr="00D9348B">
        <w:t xml:space="preserve"> forest harvesting.</w:t>
      </w:r>
    </w:p>
    <w:p w14:paraId="216FD444" w14:textId="77777777" w:rsidR="00A10636" w:rsidRPr="00D9348B" w:rsidRDefault="00A10636" w:rsidP="00A10636">
      <w:pPr>
        <w:pStyle w:val="BodyText"/>
      </w:pPr>
      <w:r w:rsidRPr="00D9348B">
        <w:t>Pre-1990 planted forest harvesting is estimated as the difference between total harvesting (based on statistics from the Ministry for Primary Industries, as outlined above) and the amount of post-1989 forest harvesting estimated from mapping. Post-1989 forest harvesting is estimated from the harvested area mapped between 2008 and 2018.</w:t>
      </w:r>
    </w:p>
    <w:p w14:paraId="5A2EF464" w14:textId="77777777" w:rsidR="00A10636" w:rsidRPr="00D9348B" w:rsidRDefault="00A10636" w:rsidP="00A10636">
      <w:pPr>
        <w:pStyle w:val="BodyText"/>
      </w:pPr>
      <w:r w:rsidRPr="00D9348B">
        <w:t>The harvest area in pre-1990 planted forests is profiled to accurately reflect the actual ages at which harvesting takes place. The harvest profile is derived from the NEFD (Ministry for Primary Industries, 2018b). The profiled harvesting approach is used because harvesting at a single age (e.g., 28 years) can lead to the harvest area exceeding the available area in a single age class. The profiling of harvest also maintains the integrity of the underlying age class by preventing over-mature ages from growing on unharvested. The profiling of harvest does not affect emissions because the average harvest age remains consistent between the single age class and profiled harvesting approaches.</w:t>
      </w:r>
    </w:p>
    <w:p w14:paraId="5662894D" w14:textId="77777777" w:rsidR="00A10636" w:rsidRPr="00D9348B" w:rsidRDefault="00A10636" w:rsidP="00A10636">
      <w:pPr>
        <w:pStyle w:val="BodyText"/>
      </w:pPr>
      <w:r w:rsidRPr="00D9348B">
        <w:t xml:space="preserve">In 2018, it is estimated that 0.06 per cent of New Zealand’s total forest timber production was from the harvesting of natural forests (calculated from Ministry for Primary Industries, 2018a). </w:t>
      </w:r>
    </w:p>
    <w:p w14:paraId="1D3A3B2C" w14:textId="77777777" w:rsidR="00A10636" w:rsidRPr="00D9348B" w:rsidRDefault="00A10636" w:rsidP="00A10636">
      <w:pPr>
        <w:pStyle w:val="BodyText"/>
      </w:pPr>
      <w:r w:rsidRPr="00D9348B">
        <w:t xml:space="preserve">No timber is legally harvested from the natural forests in the publicly owned conservation estate (an area approximately 5.5 million hectares in size; Ministry for Primary Industries, 2015d) other than in exceptional circumstances where legislation allows. For example, on 17 April 2014, Cyclone Ita caused significant windfall damage to forests on the West Coast of the South Island. The West Coast Wind-blown Timber (Conservation Lands) Act 2014 was passed to allow the removal of timber from trees that were irreversibly damaged by Cyclone Ita. The Act does not allow timber removal from ecological areas, national parks, the Waitangiroto Nature Reserve and land covered by Te Wāhipounamu (the South West New Zealand World Heritage Area). The timber removal must be completed within a five-year </w:t>
      </w:r>
      <w:r w:rsidRPr="00D9348B">
        <w:lastRenderedPageBreak/>
        <w:t xml:space="preserve">period and there are restrictions on the amount of timber allowed to be salvaged from any particular area. The timber removed under the Act did not result in a significant increase in natural forest harvest volume in 2014 and 2015. Most other harvesting of natural forests is required by law to be undertaken on a sustainable basis (Forests Act 1949). </w:t>
      </w:r>
    </w:p>
    <w:p w14:paraId="5DFCC58C" w14:textId="77777777" w:rsidR="00A10636" w:rsidRPr="00D9348B" w:rsidRDefault="00A10636" w:rsidP="00A10636">
      <w:pPr>
        <w:pStyle w:val="BodyText"/>
      </w:pPr>
      <w:r w:rsidRPr="00D9348B">
        <w:t>Any harvesting that occurs in natural forests is captured within the natural forest carbon stock and stock change estimates.</w:t>
      </w:r>
    </w:p>
    <w:p w14:paraId="45337F66" w14:textId="77777777" w:rsidR="00A10636" w:rsidRPr="00D9348B" w:rsidRDefault="00A10636" w:rsidP="00471B23">
      <w:pPr>
        <w:pStyle w:val="Heading3"/>
        <w:spacing w:before="280"/>
      </w:pPr>
      <w:bookmarkStart w:id="1652" w:name="_Toc255466330"/>
      <w:bookmarkStart w:id="1653" w:name="_Toc261513137"/>
      <w:bookmarkStart w:id="1654" w:name="_Toc261513750"/>
      <w:bookmarkStart w:id="1655" w:name="_Toc280630246"/>
      <w:bookmarkStart w:id="1656" w:name="_Toc373395712"/>
      <w:r w:rsidRPr="00D9348B">
        <w:t>6.4.2</w:t>
      </w:r>
      <w:r w:rsidRPr="00D9348B">
        <w:tab/>
        <w:t>Methodological issues</w:t>
      </w:r>
      <w:bookmarkEnd w:id="1652"/>
      <w:bookmarkEnd w:id="1653"/>
      <w:bookmarkEnd w:id="1654"/>
      <w:bookmarkEnd w:id="1655"/>
      <w:bookmarkEnd w:id="1656"/>
    </w:p>
    <w:p w14:paraId="63AB4957" w14:textId="77777777" w:rsidR="00A10636" w:rsidRPr="00D9348B" w:rsidRDefault="00A10636" w:rsidP="00471B23">
      <w:pPr>
        <w:pStyle w:val="Heading4"/>
        <w:spacing w:before="160"/>
      </w:pPr>
      <w:bookmarkStart w:id="1657" w:name="_Toc255466331"/>
      <w:bookmarkStart w:id="1658" w:name="_Toc261513138"/>
      <w:bookmarkStart w:id="1659" w:name="_Toc261513751"/>
      <w:bookmarkStart w:id="1660" w:name="_Toc280630247"/>
      <w:r w:rsidRPr="00D9348B">
        <w:t>Forest land remaining forest land</w:t>
      </w:r>
      <w:bookmarkEnd w:id="1657"/>
      <w:bookmarkEnd w:id="1658"/>
      <w:bookmarkEnd w:id="1659"/>
      <w:bookmarkEnd w:id="1660"/>
      <w:r w:rsidRPr="00D9348B">
        <w:t xml:space="preserve"> (CRF 4.A.1)</w:t>
      </w:r>
    </w:p>
    <w:p w14:paraId="3D296DEA" w14:textId="77777777" w:rsidR="00A10636" w:rsidRPr="00D9348B" w:rsidRDefault="00A10636" w:rsidP="00A10636">
      <w:pPr>
        <w:pStyle w:val="BodyText"/>
      </w:pPr>
      <w:r w:rsidRPr="00D9348B">
        <w:t xml:space="preserve">This section describes pre-1990 natural forest, pre-1990 planted forest, post-1989 natural forest and post-1989 planted forest. Post-1989 forest makes up only a minor component (0.2 per cent) of </w:t>
      </w:r>
      <w:r w:rsidRPr="00D9348B">
        <w:rPr>
          <w:i/>
        </w:rPr>
        <w:t>Forest land remaining forest land</w:t>
      </w:r>
      <w:r w:rsidRPr="00D9348B">
        <w:t xml:space="preserve">; however, this proportion will increase over time as these forests mature and transition from </w:t>
      </w:r>
      <w:r w:rsidRPr="00D9348B">
        <w:rPr>
          <w:i/>
        </w:rPr>
        <w:t>Land converted to forest land.</w:t>
      </w:r>
      <w:r w:rsidRPr="00D9348B">
        <w:t xml:space="preserve"> New Zealand uses a 28-year transition period for conversion to </w:t>
      </w:r>
      <w:r w:rsidRPr="00D9348B">
        <w:rPr>
          <w:i/>
        </w:rPr>
        <w:t>Forest land remaining forest land</w:t>
      </w:r>
      <w:r w:rsidRPr="00D9348B">
        <w:t>. This is the average age at which the majority of planted radiata pine forests are harvested (Ministry for Primary Industries, 2018a). The 2018 year is, therefore, the first year in which some post</w:t>
      </w:r>
      <w:r w:rsidRPr="00D9348B">
        <w:noBreakHyphen/>
        <w:t xml:space="preserve">1989 forest has fallen in the </w:t>
      </w:r>
      <w:r w:rsidRPr="00D9348B">
        <w:rPr>
          <w:i/>
        </w:rPr>
        <w:t xml:space="preserve">Forest land remaining forest land </w:t>
      </w:r>
      <w:r w:rsidRPr="00D9348B">
        <w:t xml:space="preserve">category. The majority of post-1989 forest is included in the </w:t>
      </w:r>
      <w:r w:rsidRPr="00D9348B">
        <w:rPr>
          <w:i/>
        </w:rPr>
        <w:t>Land converted to forest land</w:t>
      </w:r>
      <w:r w:rsidRPr="00D9348B">
        <w:t xml:space="preserve"> category. Where there has been a land-use change between natural forest and planted forest, the associated carbon changes are reported under </w:t>
      </w:r>
      <w:r w:rsidRPr="00D9348B">
        <w:rPr>
          <w:i/>
        </w:rPr>
        <w:t>Forest land remaining forest land</w:t>
      </w:r>
      <w:r w:rsidRPr="00D9348B">
        <w:t xml:space="preserve">. </w:t>
      </w:r>
    </w:p>
    <w:p w14:paraId="796A85A4" w14:textId="77777777" w:rsidR="00A10636" w:rsidRPr="00D9348B" w:rsidRDefault="00A10636" w:rsidP="00A10636">
      <w:pPr>
        <w:pStyle w:val="BodyText"/>
      </w:pPr>
      <w:r w:rsidRPr="00D9348B">
        <w:t>New Zealand has established a sampling framework for forest inventory purposes based on an 8</w:t>
      </w:r>
      <w:r w:rsidRPr="00D9348B">
        <w:noBreakHyphen/>
        <w:t>kilometre national grid system (8-kilometres north–south by 8</w:t>
      </w:r>
      <w:r w:rsidRPr="00D9348B">
        <w:noBreakHyphen/>
        <w:t>kilometres east–west). The grid has a randomly selected origin and provides an unbiased framework for establishing plots for field and/or Light Detection and Ranging (LiDAR) measurements. The network is subdivided into a 4-kilometre grid for measurement of post-1989 forest. Forest monitoring plots are established and measured where a grid point falls in the land use to be sampled. Figures 6.4.5 and 6.4.6 show the distribution of the pre-1990 natural and planted forest, post-1989 natural and planted forest, and the carbon monitoring plots throughout New Zealand.</w:t>
      </w:r>
    </w:p>
    <w:p w14:paraId="0695EA67" w14:textId="77777777" w:rsidR="00A10636" w:rsidRPr="00D9348B" w:rsidRDefault="00A10636" w:rsidP="00A10636">
      <w:pPr>
        <w:pStyle w:val="Figure"/>
      </w:pPr>
      <w:bookmarkStart w:id="1661" w:name="_Toc280630494"/>
      <w:bookmarkStart w:id="1662" w:name="_Toc318362753"/>
      <w:bookmarkStart w:id="1663" w:name="_Toc342470833"/>
      <w:bookmarkStart w:id="1664" w:name="_Toc352505161"/>
      <w:bookmarkStart w:id="1665" w:name="_Toc373395721"/>
      <w:bookmarkStart w:id="1666" w:name="_Toc378853344"/>
      <w:bookmarkStart w:id="1667" w:name="_Toc405448094"/>
      <w:bookmarkStart w:id="1668" w:name="_Toc414531626"/>
      <w:bookmarkStart w:id="1669" w:name="_Toc474914650"/>
      <w:bookmarkStart w:id="1670" w:name="_Toc481752032"/>
      <w:bookmarkStart w:id="1671" w:name="_Toc522010710"/>
      <w:bookmarkStart w:id="1672" w:name="_Toc5269712"/>
      <w:bookmarkStart w:id="1673" w:name="_Toc33529485"/>
      <w:bookmarkStart w:id="1674" w:name="_Toc36292815"/>
      <w:r w:rsidRPr="00D9348B">
        <w:lastRenderedPageBreak/>
        <w:t>Figure 6.4.5</w:t>
      </w:r>
      <w:r w:rsidRPr="00D9348B">
        <w:tab/>
        <w:t>Location of New Zealand’s pre-1990 forest carbon monitoring plots</w:t>
      </w:r>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p>
    <w:p w14:paraId="404E34C7" w14:textId="642C93A5" w:rsidR="00A10636" w:rsidRPr="00D9348B" w:rsidRDefault="007165CF" w:rsidP="00A10636">
      <w:pPr>
        <w:pStyle w:val="BodyText"/>
      </w:pPr>
      <w:r>
        <w:pict w14:anchorId="5B83A3B7">
          <v:shape id="_x0000_i1144" type="#_x0000_t75" style="width:401.95pt;height:522.8pt;visibility:visible;mso-wrap-style:square">
            <v:imagedata r:id="rId225" o:title=""/>
          </v:shape>
        </w:pict>
      </w:r>
    </w:p>
    <w:p w14:paraId="134B9B73" w14:textId="77777777" w:rsidR="00A10636" w:rsidRPr="00D9348B" w:rsidRDefault="00A10636" w:rsidP="00A10636">
      <w:pPr>
        <w:pStyle w:val="Figure"/>
        <w:spacing w:after="0"/>
      </w:pPr>
      <w:bookmarkStart w:id="1675" w:name="_Toc33529486"/>
      <w:bookmarkStart w:id="1676" w:name="_Toc36292816"/>
      <w:bookmarkStart w:id="1677" w:name="_Toc255466332"/>
      <w:bookmarkStart w:id="1678" w:name="_Toc261513139"/>
      <w:bookmarkStart w:id="1679" w:name="_Toc261513752"/>
      <w:bookmarkStart w:id="1680" w:name="_Toc280630248"/>
      <w:r w:rsidRPr="00D9348B">
        <w:lastRenderedPageBreak/>
        <w:t>Figure 6.4.6</w:t>
      </w:r>
      <w:r w:rsidRPr="00D9348B">
        <w:tab/>
        <w:t>Location of New Zealand’s post-1989 forest plots</w:t>
      </w:r>
      <w:bookmarkEnd w:id="1675"/>
      <w:bookmarkEnd w:id="1676"/>
    </w:p>
    <w:p w14:paraId="5697467F" w14:textId="203680F9" w:rsidR="00A10636" w:rsidRPr="00D9348B" w:rsidRDefault="007165CF" w:rsidP="009E225F">
      <w:pPr>
        <w:pStyle w:val="BodyText"/>
        <w:spacing w:after="0"/>
      </w:pPr>
      <w:r>
        <w:pict w14:anchorId="6BF7E5C4">
          <v:shape id="_x0000_i1145" type="#_x0000_t75" style="width:396.95pt;height:510.9pt;visibility:visible;mso-wrap-style:square">
            <v:imagedata r:id="rId226" o:title=""/>
          </v:shape>
        </w:pict>
      </w:r>
    </w:p>
    <w:p w14:paraId="04784710" w14:textId="77777777" w:rsidR="00A10636" w:rsidRPr="00D9348B" w:rsidRDefault="00A10636" w:rsidP="00A10636">
      <w:pPr>
        <w:pStyle w:val="Heading5"/>
        <w:spacing w:before="360"/>
      </w:pPr>
      <w:r w:rsidRPr="00D9348B">
        <w:t>Pre-1990 natural forest</w:t>
      </w:r>
      <w:bookmarkEnd w:id="1677"/>
      <w:bookmarkEnd w:id="1678"/>
      <w:bookmarkEnd w:id="1679"/>
      <w:bookmarkEnd w:id="1680"/>
    </w:p>
    <w:p w14:paraId="154AEAE3" w14:textId="77777777" w:rsidR="00A10636" w:rsidRPr="00D9348B" w:rsidRDefault="00A10636" w:rsidP="0056715F">
      <w:pPr>
        <w:pStyle w:val="Heading6"/>
        <w:spacing w:before="120"/>
      </w:pPr>
      <w:r w:rsidRPr="00D9348B">
        <w:t>Plot network</w:t>
      </w:r>
    </w:p>
    <w:p w14:paraId="7621B12C" w14:textId="77777777" w:rsidR="00A10636" w:rsidRPr="00D9348B" w:rsidRDefault="00A10636" w:rsidP="00A10636">
      <w:pPr>
        <w:pStyle w:val="BodyText"/>
        <w:rPr>
          <w:spacing w:val="-2"/>
        </w:rPr>
      </w:pPr>
      <w:r w:rsidRPr="00D9348B">
        <w:rPr>
          <w:spacing w:val="-2"/>
        </w:rPr>
        <w:t>A national monitoring programme designed to enable unbiased estimates of carbon stock and change for New Zealand’s natural forests was developed between 1998 and 2001 (Coomes et al., 2002). Permanent sample plots of 0.13 hectares were installed systematically on the 8</w:t>
      </w:r>
      <w:r w:rsidRPr="00D9348B">
        <w:rPr>
          <w:spacing w:val="-2"/>
        </w:rPr>
        <w:noBreakHyphen/>
        <w:t>kilometre grid across New Zealand’s natural forests (see figure 6.4.5) and these were first measured (</w:t>
      </w:r>
      <w:r w:rsidRPr="00D9348B">
        <w:rPr>
          <w:i/>
        </w:rPr>
        <w:t>t</w:t>
      </w:r>
      <w:r w:rsidRPr="00D9348B">
        <w:rPr>
          <w:i/>
          <w:vertAlign w:val="subscript"/>
        </w:rPr>
        <w:t>1</w:t>
      </w:r>
      <w:r w:rsidRPr="00D9348B">
        <w:rPr>
          <w:iCs/>
        </w:rPr>
        <w:t>)</w:t>
      </w:r>
      <w:r w:rsidRPr="00D9348B">
        <w:rPr>
          <w:iCs/>
          <w:spacing w:val="-2"/>
        </w:rPr>
        <w:t xml:space="preserve"> </w:t>
      </w:r>
      <w:r w:rsidRPr="00D9348B">
        <w:rPr>
          <w:spacing w:val="-2"/>
        </w:rPr>
        <w:t>over five years between 2002 and 2007.</w:t>
      </w:r>
    </w:p>
    <w:p w14:paraId="0596D35C" w14:textId="77777777" w:rsidR="00A10636" w:rsidRPr="00D9348B" w:rsidRDefault="00A10636" w:rsidP="00A10636">
      <w:pPr>
        <w:pStyle w:val="BodyText"/>
      </w:pPr>
      <w:r w:rsidRPr="00D9348B">
        <w:t>The plots were sampled using vegetation monitoring methods designed specifically for the purpose of calculating carbon stocks (Payton et al., 2004).</w:t>
      </w:r>
    </w:p>
    <w:p w14:paraId="063712F8" w14:textId="77777777" w:rsidR="00A10636" w:rsidRPr="00D9348B" w:rsidRDefault="00A10636" w:rsidP="00A10636">
      <w:pPr>
        <w:pStyle w:val="BodyText"/>
      </w:pPr>
      <w:r w:rsidRPr="00D9348B">
        <w:lastRenderedPageBreak/>
        <w:t xml:space="preserve">Re-measurement of the plot network provides repeat measures data suitable for calculating carbon stock change in natural forest. The first re-measurement of the plot network was completed between 2009 and 2014 </w:t>
      </w:r>
      <w:r w:rsidRPr="00D9348B">
        <w:rPr>
          <w:spacing w:val="-2"/>
        </w:rPr>
        <w:t>(</w:t>
      </w:r>
      <w:r w:rsidRPr="00D9348B">
        <w:rPr>
          <w:i/>
        </w:rPr>
        <w:t>t</w:t>
      </w:r>
      <w:r w:rsidRPr="00D9348B">
        <w:rPr>
          <w:i/>
          <w:vertAlign w:val="subscript"/>
        </w:rPr>
        <w:t>2</w:t>
      </w:r>
      <w:r w:rsidRPr="00D9348B">
        <w:rPr>
          <w:i/>
        </w:rPr>
        <w:t>)</w:t>
      </w:r>
      <w:r w:rsidRPr="00D9348B">
        <w:rPr>
          <w:spacing w:val="-2"/>
        </w:rPr>
        <w:t xml:space="preserve"> </w:t>
      </w:r>
      <w:r w:rsidRPr="00D9348B">
        <w:t>following a revised methodology for re-measurement purposes (Ministry for the Environment, unpublished). For the third round of measurement, the programme is continuing at a reduced rate, with plots being measured on a 10-year cycle. Measurement of plots for this round began in 2014 and is scheduled for completion in 2024.</w:t>
      </w:r>
    </w:p>
    <w:p w14:paraId="09DF5D75" w14:textId="77777777" w:rsidR="00A10636" w:rsidRPr="00D9348B" w:rsidRDefault="00A10636" w:rsidP="00A10636">
      <w:pPr>
        <w:pStyle w:val="BodyText"/>
        <w:rPr>
          <w:spacing w:val="-2"/>
        </w:rPr>
      </w:pPr>
      <w:r w:rsidRPr="00D9348B">
        <w:rPr>
          <w:spacing w:val="-2"/>
        </w:rPr>
        <w:t>At each plot, data are collected to calculate the volumes of trees, shrubs and dead organic matter present. These measurements are then used to estimate the carbon stocks for the biomass pools of:</w:t>
      </w:r>
    </w:p>
    <w:p w14:paraId="59110F2B" w14:textId="77777777" w:rsidR="00A10636" w:rsidRPr="00D9348B" w:rsidRDefault="00A10636" w:rsidP="00771A8F">
      <w:pPr>
        <w:pStyle w:val="Bullet"/>
        <w:numPr>
          <w:ilvl w:val="0"/>
          <w:numId w:val="20"/>
        </w:numPr>
      </w:pPr>
      <w:r w:rsidRPr="00D9348B">
        <w:t>living biomass (comprising above-ground biomass and below-ground biomass)</w:t>
      </w:r>
    </w:p>
    <w:p w14:paraId="7E7FD143" w14:textId="77777777" w:rsidR="00A10636" w:rsidRPr="00D9348B" w:rsidRDefault="00A10636" w:rsidP="00771A8F">
      <w:pPr>
        <w:pStyle w:val="Bullet"/>
        <w:numPr>
          <w:ilvl w:val="0"/>
          <w:numId w:val="20"/>
        </w:numPr>
      </w:pPr>
      <w:proofErr w:type="gramStart"/>
      <w:r w:rsidRPr="00D9348B">
        <w:t>dead</w:t>
      </w:r>
      <w:proofErr w:type="gramEnd"/>
      <w:r w:rsidRPr="00D9348B">
        <w:t xml:space="preserve"> organic matter (comprising dead wood and litter).</w:t>
      </w:r>
    </w:p>
    <w:p w14:paraId="088C0615" w14:textId="77777777" w:rsidR="00A10636" w:rsidRPr="00D9348B" w:rsidRDefault="00A10636" w:rsidP="00A10636">
      <w:pPr>
        <w:pStyle w:val="BodyText"/>
      </w:pPr>
      <w:r w:rsidRPr="00D9348B">
        <w:t>Table 6.4.5 summarises the method used to calculate the carbon stock in each biomass pool from the information collected at each plot.</w:t>
      </w:r>
    </w:p>
    <w:p w14:paraId="7ED20826" w14:textId="77777777" w:rsidR="00A10636" w:rsidRPr="00D9348B" w:rsidRDefault="00A10636" w:rsidP="00A10636">
      <w:pPr>
        <w:pStyle w:val="Table"/>
      </w:pPr>
      <w:bookmarkStart w:id="1681" w:name="_Toc280630456"/>
      <w:bookmarkStart w:id="1682" w:name="_Toc310423408"/>
      <w:bookmarkStart w:id="1683" w:name="_Toc318362701"/>
      <w:bookmarkStart w:id="1684" w:name="_Toc342470763"/>
      <w:bookmarkStart w:id="1685" w:name="_Toc352505003"/>
      <w:bookmarkStart w:id="1686" w:name="_Toc373395728"/>
      <w:bookmarkStart w:id="1687" w:name="_Toc378853294"/>
      <w:bookmarkStart w:id="1688" w:name="_Toc391024092"/>
      <w:bookmarkStart w:id="1689" w:name="_Toc410028835"/>
      <w:bookmarkStart w:id="1690" w:name="_Toc414531463"/>
      <w:bookmarkStart w:id="1691" w:name="_Toc443645376"/>
      <w:bookmarkStart w:id="1692" w:name="_Toc474914595"/>
      <w:bookmarkStart w:id="1693" w:name="_Toc481751559"/>
      <w:bookmarkStart w:id="1694" w:name="_Toc522010616"/>
      <w:bookmarkStart w:id="1695" w:name="_Toc5269521"/>
      <w:bookmarkStart w:id="1696" w:name="_Toc33529395"/>
      <w:bookmarkStart w:id="1697" w:name="_Toc36224601"/>
      <w:r w:rsidRPr="00D9348B">
        <w:t>Table 6.4.5</w:t>
      </w:r>
      <w:r w:rsidRPr="00D9348B">
        <w:tab/>
        <w:t>Summary of methods used to calculate New Zealand’s natural forest biomass</w:t>
      </w:r>
      <w:r w:rsidRPr="00D9348B">
        <w:br/>
        <w:t>carbon stock from plot data</w:t>
      </w:r>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p>
    <w:tbl>
      <w:tblPr>
        <w:tblW w:w="8562" w:type="dxa"/>
        <w:tblInd w:w="108" w:type="dxa"/>
        <w:tblLayout w:type="fixed"/>
        <w:tblLook w:val="04A0" w:firstRow="1" w:lastRow="0" w:firstColumn="1" w:lastColumn="0" w:noHBand="0" w:noVBand="1"/>
      </w:tblPr>
      <w:tblGrid>
        <w:gridCol w:w="1134"/>
        <w:gridCol w:w="1863"/>
        <w:gridCol w:w="2957"/>
        <w:gridCol w:w="2608"/>
      </w:tblGrid>
      <w:tr w:rsidR="00A10636" w:rsidRPr="00D9348B" w14:paraId="0053BFE9" w14:textId="77777777" w:rsidTr="009E225F">
        <w:tc>
          <w:tcPr>
            <w:tcW w:w="1750" w:type="pct"/>
            <w:gridSpan w:val="2"/>
            <w:tcBorders>
              <w:top w:val="single" w:sz="4" w:space="0" w:color="365F91"/>
              <w:bottom w:val="single" w:sz="4" w:space="0" w:color="365F91"/>
            </w:tcBorders>
            <w:shd w:val="clear" w:color="auto" w:fill="365F91"/>
          </w:tcPr>
          <w:p w14:paraId="5A8FA6AB" w14:textId="77777777" w:rsidR="00A10636" w:rsidRPr="00D9348B" w:rsidRDefault="00A10636" w:rsidP="00DB330E">
            <w:pPr>
              <w:pStyle w:val="TableTextBold"/>
              <w:rPr>
                <w:noProof w:val="0"/>
                <w:color w:val="FFFFFF"/>
              </w:rPr>
            </w:pPr>
            <w:r w:rsidRPr="00D9348B">
              <w:rPr>
                <w:noProof w:val="0"/>
                <w:color w:val="FFFFFF"/>
              </w:rPr>
              <w:t>Pool</w:t>
            </w:r>
          </w:p>
        </w:tc>
        <w:tc>
          <w:tcPr>
            <w:tcW w:w="1727" w:type="pct"/>
            <w:tcBorders>
              <w:top w:val="single" w:sz="4" w:space="0" w:color="365F91"/>
              <w:bottom w:val="single" w:sz="4" w:space="0" w:color="365F91"/>
            </w:tcBorders>
            <w:shd w:val="clear" w:color="auto" w:fill="365F91"/>
          </w:tcPr>
          <w:p w14:paraId="53F9DA8B" w14:textId="77777777" w:rsidR="00A10636" w:rsidRPr="00D9348B" w:rsidRDefault="00A10636" w:rsidP="00DB330E">
            <w:pPr>
              <w:pStyle w:val="TableTextBold"/>
              <w:rPr>
                <w:noProof w:val="0"/>
                <w:color w:val="FFFFFF"/>
              </w:rPr>
            </w:pPr>
            <w:r w:rsidRPr="00D9348B">
              <w:rPr>
                <w:noProof w:val="0"/>
                <w:color w:val="FFFFFF"/>
              </w:rPr>
              <w:t>Method</w:t>
            </w:r>
          </w:p>
        </w:tc>
        <w:tc>
          <w:tcPr>
            <w:tcW w:w="1523" w:type="pct"/>
            <w:tcBorders>
              <w:top w:val="single" w:sz="4" w:space="0" w:color="365F91"/>
              <w:bottom w:val="single" w:sz="4" w:space="0" w:color="365F91"/>
            </w:tcBorders>
            <w:shd w:val="clear" w:color="auto" w:fill="365F91"/>
          </w:tcPr>
          <w:p w14:paraId="3341D9F8" w14:textId="77777777" w:rsidR="00A10636" w:rsidRPr="00D9348B" w:rsidRDefault="00A10636" w:rsidP="00DB330E">
            <w:pPr>
              <w:pStyle w:val="TableTextBold"/>
              <w:rPr>
                <w:noProof w:val="0"/>
                <w:color w:val="FFFFFF"/>
              </w:rPr>
            </w:pPr>
            <w:r w:rsidRPr="00D9348B">
              <w:rPr>
                <w:noProof w:val="0"/>
                <w:color w:val="FFFFFF"/>
              </w:rPr>
              <w:t>Source</w:t>
            </w:r>
          </w:p>
        </w:tc>
      </w:tr>
      <w:tr w:rsidR="00A10636" w:rsidRPr="00D9348B" w14:paraId="1F216E86" w14:textId="77777777" w:rsidTr="009E225F">
        <w:tc>
          <w:tcPr>
            <w:tcW w:w="662" w:type="pct"/>
            <w:vMerge w:val="restart"/>
            <w:tcBorders>
              <w:top w:val="single" w:sz="4" w:space="0" w:color="365F91"/>
              <w:bottom w:val="single" w:sz="4" w:space="0" w:color="365F91"/>
            </w:tcBorders>
          </w:tcPr>
          <w:p w14:paraId="27F605B1" w14:textId="77777777" w:rsidR="00A10636" w:rsidRPr="00D9348B" w:rsidRDefault="00A10636" w:rsidP="00DB330E">
            <w:pPr>
              <w:pStyle w:val="TableText"/>
              <w:rPr>
                <w:b/>
              </w:rPr>
            </w:pPr>
            <w:r w:rsidRPr="00D9348B">
              <w:rPr>
                <w:b/>
              </w:rPr>
              <w:t>Living biomass</w:t>
            </w:r>
          </w:p>
        </w:tc>
        <w:tc>
          <w:tcPr>
            <w:tcW w:w="1088" w:type="pct"/>
            <w:tcBorders>
              <w:top w:val="single" w:sz="4" w:space="0" w:color="365F91"/>
              <w:bottom w:val="single" w:sz="4" w:space="0" w:color="365F91"/>
            </w:tcBorders>
          </w:tcPr>
          <w:p w14:paraId="24452C0C" w14:textId="77777777" w:rsidR="00A10636" w:rsidRPr="00D9348B" w:rsidRDefault="00A10636" w:rsidP="00DB330E">
            <w:pPr>
              <w:pStyle w:val="TableText"/>
            </w:pPr>
            <w:r w:rsidRPr="00D9348B">
              <w:t>Above-ground biomass</w:t>
            </w:r>
          </w:p>
        </w:tc>
        <w:tc>
          <w:tcPr>
            <w:tcW w:w="1727" w:type="pct"/>
            <w:tcBorders>
              <w:top w:val="single" w:sz="4" w:space="0" w:color="365F91"/>
              <w:bottom w:val="single" w:sz="4" w:space="0" w:color="365F91"/>
            </w:tcBorders>
          </w:tcPr>
          <w:p w14:paraId="0CB79AEF" w14:textId="77777777" w:rsidR="00A10636" w:rsidRPr="00D9348B" w:rsidRDefault="00A10636" w:rsidP="00DB330E">
            <w:pPr>
              <w:pStyle w:val="TableText"/>
            </w:pPr>
            <w:r w:rsidRPr="00D9348B">
              <w:t>Plot measurements; allometric equations</w:t>
            </w:r>
          </w:p>
        </w:tc>
        <w:tc>
          <w:tcPr>
            <w:tcW w:w="1523" w:type="pct"/>
            <w:tcBorders>
              <w:top w:val="single" w:sz="4" w:space="0" w:color="365F91"/>
              <w:bottom w:val="single" w:sz="4" w:space="0" w:color="365F91"/>
            </w:tcBorders>
          </w:tcPr>
          <w:p w14:paraId="7ABF7CBE" w14:textId="77777777" w:rsidR="00A10636" w:rsidRPr="00D9348B" w:rsidRDefault="00A10636" w:rsidP="00DB330E">
            <w:pPr>
              <w:pStyle w:val="TableText"/>
            </w:pPr>
            <w:r w:rsidRPr="00D9348B">
              <w:t>Paul et al. (unpublished(b))</w:t>
            </w:r>
          </w:p>
        </w:tc>
      </w:tr>
      <w:tr w:rsidR="00A10636" w:rsidRPr="00D9348B" w14:paraId="639DB30C" w14:textId="77777777" w:rsidTr="009E225F">
        <w:tc>
          <w:tcPr>
            <w:tcW w:w="662" w:type="pct"/>
            <w:vMerge/>
            <w:tcBorders>
              <w:bottom w:val="single" w:sz="4" w:space="0" w:color="365F91"/>
            </w:tcBorders>
          </w:tcPr>
          <w:p w14:paraId="6099DAED" w14:textId="77777777" w:rsidR="00A10636" w:rsidRPr="00D9348B" w:rsidRDefault="00A10636" w:rsidP="00DB330E">
            <w:pPr>
              <w:pStyle w:val="TableText"/>
              <w:rPr>
                <w:b/>
              </w:rPr>
            </w:pPr>
          </w:p>
        </w:tc>
        <w:tc>
          <w:tcPr>
            <w:tcW w:w="1088" w:type="pct"/>
            <w:tcBorders>
              <w:top w:val="single" w:sz="4" w:space="0" w:color="365F91"/>
              <w:bottom w:val="single" w:sz="4" w:space="0" w:color="365F91"/>
            </w:tcBorders>
          </w:tcPr>
          <w:p w14:paraId="0970A48C" w14:textId="77777777" w:rsidR="00A10636" w:rsidRPr="00D9348B" w:rsidRDefault="00A10636" w:rsidP="00DB330E">
            <w:pPr>
              <w:pStyle w:val="TableText"/>
            </w:pPr>
            <w:r w:rsidRPr="00D9348B">
              <w:t>Below-ground biomass</w:t>
            </w:r>
          </w:p>
        </w:tc>
        <w:tc>
          <w:tcPr>
            <w:tcW w:w="1727" w:type="pct"/>
            <w:tcBorders>
              <w:top w:val="single" w:sz="4" w:space="0" w:color="365F91"/>
              <w:bottom w:val="single" w:sz="4" w:space="0" w:color="365F91"/>
            </w:tcBorders>
          </w:tcPr>
          <w:p w14:paraId="4165384C" w14:textId="77777777" w:rsidR="00A10636" w:rsidRPr="00D9348B" w:rsidRDefault="00A10636" w:rsidP="00DB330E">
            <w:pPr>
              <w:pStyle w:val="TableText"/>
            </w:pPr>
            <w:r w:rsidRPr="00D9348B">
              <w:t xml:space="preserve">Estimated as the ratio of below-ground biomass to above-ground biomass </w:t>
            </w:r>
          </w:p>
        </w:tc>
        <w:tc>
          <w:tcPr>
            <w:tcW w:w="1523" w:type="pct"/>
            <w:tcBorders>
              <w:top w:val="single" w:sz="4" w:space="0" w:color="365F91"/>
              <w:bottom w:val="single" w:sz="4" w:space="0" w:color="365F91"/>
            </w:tcBorders>
          </w:tcPr>
          <w:p w14:paraId="632D803E" w14:textId="77777777" w:rsidR="00A10636" w:rsidRPr="00D9348B" w:rsidRDefault="00A10636" w:rsidP="00DB330E">
            <w:pPr>
              <w:pStyle w:val="TableText"/>
            </w:pPr>
            <w:r w:rsidRPr="00D9348B">
              <w:t>Paul et al. (unpublished(b)); Easdale et al. (2019)</w:t>
            </w:r>
          </w:p>
        </w:tc>
      </w:tr>
      <w:tr w:rsidR="00A10636" w:rsidRPr="00D9348B" w14:paraId="1D82A4C4" w14:textId="77777777" w:rsidTr="009E225F">
        <w:tc>
          <w:tcPr>
            <w:tcW w:w="662" w:type="pct"/>
            <w:vMerge w:val="restart"/>
            <w:tcBorders>
              <w:top w:val="single" w:sz="4" w:space="0" w:color="365F91"/>
              <w:bottom w:val="single" w:sz="4" w:space="0" w:color="365F91"/>
            </w:tcBorders>
          </w:tcPr>
          <w:p w14:paraId="33EABC1C" w14:textId="77777777" w:rsidR="00A10636" w:rsidRPr="00D9348B" w:rsidRDefault="00A10636" w:rsidP="00DB330E">
            <w:pPr>
              <w:pStyle w:val="TableText"/>
              <w:rPr>
                <w:b/>
              </w:rPr>
            </w:pPr>
            <w:r w:rsidRPr="00D9348B">
              <w:rPr>
                <w:b/>
              </w:rPr>
              <w:t>Dead organic matter</w:t>
            </w:r>
          </w:p>
        </w:tc>
        <w:tc>
          <w:tcPr>
            <w:tcW w:w="1088" w:type="pct"/>
            <w:tcBorders>
              <w:top w:val="single" w:sz="4" w:space="0" w:color="365F91"/>
            </w:tcBorders>
          </w:tcPr>
          <w:p w14:paraId="4F3F5576" w14:textId="77777777" w:rsidR="00A10636" w:rsidRPr="00D9348B" w:rsidRDefault="00A10636" w:rsidP="00DB330E">
            <w:pPr>
              <w:pStyle w:val="TableText"/>
            </w:pPr>
            <w:r w:rsidRPr="00D9348B">
              <w:t>Dead wood</w:t>
            </w:r>
          </w:p>
        </w:tc>
        <w:tc>
          <w:tcPr>
            <w:tcW w:w="1727" w:type="pct"/>
            <w:tcBorders>
              <w:top w:val="single" w:sz="4" w:space="0" w:color="365F91"/>
            </w:tcBorders>
          </w:tcPr>
          <w:p w14:paraId="4BBE8129" w14:textId="77777777" w:rsidR="00A10636" w:rsidRPr="00D9348B" w:rsidRDefault="00A10636" w:rsidP="00DB330E">
            <w:pPr>
              <w:pStyle w:val="TableText"/>
            </w:pPr>
            <w:r w:rsidRPr="00D9348B">
              <w:t xml:space="preserve">Modelled from plot measurements; allometric equations </w:t>
            </w:r>
          </w:p>
        </w:tc>
        <w:tc>
          <w:tcPr>
            <w:tcW w:w="1523" w:type="pct"/>
            <w:tcBorders>
              <w:top w:val="single" w:sz="4" w:space="0" w:color="365F91"/>
            </w:tcBorders>
          </w:tcPr>
          <w:p w14:paraId="666DCDF2" w14:textId="77777777" w:rsidR="00A10636" w:rsidRPr="00D9348B" w:rsidRDefault="00A10636" w:rsidP="00DB330E">
            <w:pPr>
              <w:pStyle w:val="TableText"/>
            </w:pPr>
            <w:r w:rsidRPr="00D9348B">
              <w:t xml:space="preserve">Garrett et al. (2019); Paul et al. (unpublished(b)); Kimberley et al. (2019) </w:t>
            </w:r>
          </w:p>
        </w:tc>
      </w:tr>
      <w:tr w:rsidR="00A10636" w:rsidRPr="00D9348B" w14:paraId="70D8212F" w14:textId="77777777" w:rsidTr="009E225F">
        <w:tc>
          <w:tcPr>
            <w:tcW w:w="662" w:type="pct"/>
            <w:vMerge/>
            <w:tcBorders>
              <w:bottom w:val="single" w:sz="4" w:space="0" w:color="365F91"/>
            </w:tcBorders>
          </w:tcPr>
          <w:p w14:paraId="37F7C39A" w14:textId="77777777" w:rsidR="00A10636" w:rsidRPr="00D9348B" w:rsidRDefault="00A10636" w:rsidP="00DB330E">
            <w:pPr>
              <w:pStyle w:val="TableText"/>
            </w:pPr>
          </w:p>
        </w:tc>
        <w:tc>
          <w:tcPr>
            <w:tcW w:w="1088" w:type="pct"/>
            <w:tcBorders>
              <w:bottom w:val="single" w:sz="4" w:space="0" w:color="365F91"/>
            </w:tcBorders>
          </w:tcPr>
          <w:p w14:paraId="3717C0F7" w14:textId="77777777" w:rsidR="00A10636" w:rsidRPr="00D9348B" w:rsidRDefault="00A10636" w:rsidP="00DB330E">
            <w:pPr>
              <w:pStyle w:val="TableText"/>
            </w:pPr>
            <w:r w:rsidRPr="00D9348B">
              <w:t>Litter</w:t>
            </w:r>
          </w:p>
        </w:tc>
        <w:tc>
          <w:tcPr>
            <w:tcW w:w="1727" w:type="pct"/>
            <w:tcBorders>
              <w:bottom w:val="single" w:sz="4" w:space="0" w:color="365F91"/>
            </w:tcBorders>
          </w:tcPr>
          <w:p w14:paraId="25528B4A" w14:textId="77777777" w:rsidR="00A10636" w:rsidRPr="00D9348B" w:rsidRDefault="00A10636" w:rsidP="00DB330E">
            <w:pPr>
              <w:pStyle w:val="TableText"/>
            </w:pPr>
            <w:r w:rsidRPr="00D9348B">
              <w:t xml:space="preserve">Plot samples; laboratory analysis of samples collected at plots </w:t>
            </w:r>
          </w:p>
        </w:tc>
        <w:tc>
          <w:tcPr>
            <w:tcW w:w="1523" w:type="pct"/>
            <w:tcBorders>
              <w:bottom w:val="single" w:sz="4" w:space="0" w:color="365F91"/>
            </w:tcBorders>
          </w:tcPr>
          <w:p w14:paraId="6AB65B44" w14:textId="77777777" w:rsidR="00A10636" w:rsidRPr="00D9348B" w:rsidRDefault="00A10636" w:rsidP="00DB330E">
            <w:pPr>
              <w:pStyle w:val="TableText"/>
            </w:pPr>
            <w:r w:rsidRPr="00D9348B">
              <w:t>Paul et al. (unpublished(b)); Garrett (unpublished)</w:t>
            </w:r>
          </w:p>
        </w:tc>
      </w:tr>
    </w:tbl>
    <w:p w14:paraId="2E7DEDFA" w14:textId="77777777" w:rsidR="00A10636" w:rsidRPr="00D9348B" w:rsidRDefault="00A10636" w:rsidP="00A10636">
      <w:pPr>
        <w:pStyle w:val="Heading6"/>
        <w:spacing w:before="360"/>
      </w:pPr>
      <w:bookmarkStart w:id="1698" w:name="_Toc255466334"/>
      <w:bookmarkStart w:id="1699" w:name="_Toc261513141"/>
      <w:bookmarkStart w:id="1700" w:name="_Toc261513754"/>
      <w:r w:rsidRPr="00D9348B">
        <w:t>Living biomass</w:t>
      </w:r>
    </w:p>
    <w:p w14:paraId="301F6ADC" w14:textId="77777777" w:rsidR="00A10636" w:rsidRPr="00D9348B" w:rsidRDefault="00A10636" w:rsidP="00A10636">
      <w:pPr>
        <w:pStyle w:val="BodyText"/>
      </w:pPr>
      <w:r w:rsidRPr="00D9348B">
        <w:t>Living biomass is separated into two carbon pools.</w:t>
      </w:r>
    </w:p>
    <w:p w14:paraId="405347FF" w14:textId="77777777" w:rsidR="00A10636" w:rsidRPr="00D9348B" w:rsidRDefault="00A10636" w:rsidP="00771A8F">
      <w:pPr>
        <w:pStyle w:val="BodyText"/>
        <w:numPr>
          <w:ilvl w:val="0"/>
          <w:numId w:val="25"/>
        </w:numPr>
        <w:spacing w:before="0"/>
        <w:ind w:left="397" w:hanging="397"/>
      </w:pPr>
      <w:r w:rsidRPr="00D9348B">
        <w:t>Above-ground biomass. The carbon content of individual trees and shrubs is calculated using species-specific allometric relationships between diameter, height and wood density (for trees), a non-specific conversion factor with diameter and height (for tree ferns) or volume and biomass (for shrubs) (Beets et al., 2012b; Paul et al., unpublished(b)). Shrub volumes are converted to carbon stocks using species- and/or site</w:t>
      </w:r>
      <w:r w:rsidRPr="00D9348B">
        <w:noBreakHyphen/>
        <w:t>specific conversion factors determined from the destructive harvesting of reference samples.</w:t>
      </w:r>
    </w:p>
    <w:p w14:paraId="55FDE5D1" w14:textId="77777777" w:rsidR="00A10636" w:rsidRPr="00D9348B" w:rsidRDefault="00A10636" w:rsidP="00771A8F">
      <w:pPr>
        <w:pStyle w:val="BodyText"/>
        <w:numPr>
          <w:ilvl w:val="0"/>
          <w:numId w:val="25"/>
        </w:numPr>
        <w:spacing w:before="0"/>
        <w:ind w:left="397" w:hanging="397"/>
      </w:pPr>
      <w:r w:rsidRPr="00D9348B">
        <w:t>Below-ground biomass. The below-ground biomass was estimated for each individual tree based on an estimate of the root</w:t>
      </w:r>
      <w:proofErr w:type="gramStart"/>
      <w:r w:rsidRPr="00D9348B">
        <w:t>:shoot</w:t>
      </w:r>
      <w:proofErr w:type="gramEnd"/>
      <w:r w:rsidRPr="00D9348B">
        <w:t xml:space="preserve"> ratio for that species (the ratio of the below-ground biomass to above-ground biomass). Tree and shrub species in different taxonomic groups were assigned different root</w:t>
      </w:r>
      <w:proofErr w:type="gramStart"/>
      <w:r w:rsidRPr="00D9348B">
        <w:t>:shoot</w:t>
      </w:r>
      <w:proofErr w:type="gramEnd"/>
      <w:r w:rsidRPr="00D9348B">
        <w:t xml:space="preserve"> ratios, as outlined in (Easdale et al., 2019). Applying the root:shoot ratios as published in Easdale et al., 2019 has been included to address the expert review team recommendation L.5, 2017 </w:t>
      </w:r>
      <w:r w:rsidRPr="00D9348B">
        <w:rPr>
          <w:spacing w:val="-2"/>
        </w:rPr>
        <w:t>(FCCC/ARR/2017/NZL).</w:t>
      </w:r>
      <w:r w:rsidRPr="00D9348B">
        <w:t xml:space="preserve"> </w:t>
      </w:r>
    </w:p>
    <w:p w14:paraId="08665726" w14:textId="77777777" w:rsidR="00A10636" w:rsidRPr="00D9348B" w:rsidRDefault="00A10636" w:rsidP="00A10636">
      <w:pPr>
        <w:pStyle w:val="Heading6"/>
      </w:pPr>
      <w:r w:rsidRPr="00D9348B">
        <w:t>Dead organic matter</w:t>
      </w:r>
      <w:bookmarkEnd w:id="1698"/>
      <w:bookmarkEnd w:id="1699"/>
      <w:bookmarkEnd w:id="1700"/>
    </w:p>
    <w:p w14:paraId="592A0693" w14:textId="77777777" w:rsidR="00A10636" w:rsidRPr="00D9348B" w:rsidRDefault="00A10636" w:rsidP="00A10636">
      <w:pPr>
        <w:pStyle w:val="BodyText"/>
      </w:pPr>
      <w:r w:rsidRPr="00D9348B">
        <w:t>Dead organic matter is separated into two carbon pools.</w:t>
      </w:r>
    </w:p>
    <w:p w14:paraId="3C4B10F7" w14:textId="77777777" w:rsidR="00A10636" w:rsidRPr="00D9348B" w:rsidRDefault="00A10636" w:rsidP="00A10636">
      <w:pPr>
        <w:pStyle w:val="BodyText"/>
        <w:spacing w:before="0"/>
        <w:ind w:left="397" w:hanging="397"/>
      </w:pPr>
      <w:r w:rsidRPr="00D9348B">
        <w:t>1.</w:t>
      </w:r>
      <w:r w:rsidRPr="00D9348B">
        <w:tab/>
        <w:t xml:space="preserve">Dead wood. The carbon content of dead standing trees is determined in the same way as live trees but excludes branch and foliage biomass calculations. The carbon content of the fallen wood and stumps is derived from the volume of the piece of wood, its species </w:t>
      </w:r>
      <w:r w:rsidRPr="00D9348B">
        <w:lastRenderedPageBreak/>
        <w:t xml:space="preserve">(if able to be identified) and what stage of decay it is at. Dead wood comprises woody debris with a diameter greater than 10 centimetres. The dead wood pool is very difficult to measure in the field (particularly wood that is in an advanced state of decay) and is currently being underestimated by the monitoring programme (Beets et al., 2019). An adjustment factor, derived by an approach developed by Beets et al. (2019), was applied to correct for this (Paul et al </w:t>
      </w:r>
      <w:proofErr w:type="gramStart"/>
      <w:r w:rsidRPr="00D9348B">
        <w:t>unpublished(</w:t>
      </w:r>
      <w:proofErr w:type="gramEnd"/>
      <w:r w:rsidRPr="00D9348B">
        <w:t>b)).</w:t>
      </w:r>
    </w:p>
    <w:p w14:paraId="26D6AC39" w14:textId="77777777" w:rsidR="00A10636" w:rsidRPr="00D9348B" w:rsidRDefault="00A10636" w:rsidP="00A10636">
      <w:pPr>
        <w:pStyle w:val="BodyText"/>
        <w:spacing w:before="0"/>
        <w:ind w:left="397" w:hanging="397"/>
      </w:pPr>
      <w:r w:rsidRPr="00D9348B">
        <w:t>2.</w:t>
      </w:r>
      <w:r w:rsidRPr="00D9348B">
        <w:tab/>
        <w:t>Litter. The carbon content of the fine debris is calculated by laboratory analysis of sampled material. Litter comprises fine woody debris (dead wood from 2.5 centimetres to 10.0 centimetres in diameter), the litter (all material less than 2.5 centimetres in diameter) and the fermented humic horizons. Samples were taken at approximately one</w:t>
      </w:r>
      <w:r w:rsidRPr="00D9348B">
        <w:noBreakHyphen/>
        <w:t>third of the natural forest plots.</w:t>
      </w:r>
    </w:p>
    <w:p w14:paraId="1499CE0B" w14:textId="77777777" w:rsidR="00A10636" w:rsidRPr="00D9348B" w:rsidRDefault="00A10636" w:rsidP="009E225F">
      <w:pPr>
        <w:pStyle w:val="Heading6"/>
      </w:pPr>
      <w:r w:rsidRPr="00D9348B">
        <w:t>Carbon stock change</w:t>
      </w:r>
    </w:p>
    <w:p w14:paraId="6B822C79" w14:textId="77777777" w:rsidR="00A10636" w:rsidRPr="00D9348B" w:rsidRDefault="00A10636" w:rsidP="00A56E11">
      <w:pPr>
        <w:pStyle w:val="BodyText"/>
      </w:pPr>
      <w:r w:rsidRPr="00D9348B">
        <w:t>Carbon stock change in the living biomass pool is calculated using a ‘stem-following’ method described in Paul et al. (</w:t>
      </w:r>
      <w:proofErr w:type="gramStart"/>
      <w:r w:rsidRPr="00D9348B">
        <w:t>unpublished(</w:t>
      </w:r>
      <w:proofErr w:type="gramEnd"/>
      <w:r w:rsidRPr="00D9348B">
        <w:t xml:space="preserve">b)). In this method, carbon stock change for each plot is calculated by summing the stock change for each individual live stem and subtracting the summed carbon at </w:t>
      </w:r>
      <w:r w:rsidRPr="00D9348B">
        <w:rPr>
          <w:i/>
        </w:rPr>
        <w:t>t</w:t>
      </w:r>
      <w:r w:rsidRPr="00D9348B">
        <w:rPr>
          <w:i/>
          <w:vertAlign w:val="subscript"/>
        </w:rPr>
        <w:t>1</w:t>
      </w:r>
      <w:r w:rsidRPr="00D9348B">
        <w:t xml:space="preserve"> for individual stems that died in the period between </w:t>
      </w:r>
      <w:r w:rsidRPr="00D9348B">
        <w:rPr>
          <w:i/>
        </w:rPr>
        <w:t>t</w:t>
      </w:r>
      <w:r w:rsidRPr="00D9348B">
        <w:rPr>
          <w:i/>
          <w:vertAlign w:val="subscript"/>
        </w:rPr>
        <w:t>1</w:t>
      </w:r>
      <w:r w:rsidRPr="00D9348B">
        <w:rPr>
          <w:iCs/>
          <w:vertAlign w:val="subscript"/>
        </w:rPr>
        <w:t xml:space="preserve"> </w:t>
      </w:r>
      <w:r w:rsidRPr="00D9348B">
        <w:rPr>
          <w:iCs/>
        </w:rPr>
        <w:t xml:space="preserve">and </w:t>
      </w:r>
      <w:r w:rsidRPr="00D9348B">
        <w:rPr>
          <w:i/>
        </w:rPr>
        <w:t>t</w:t>
      </w:r>
      <w:r w:rsidRPr="00D9348B">
        <w:rPr>
          <w:i/>
          <w:vertAlign w:val="subscript"/>
        </w:rPr>
        <w:t>2</w:t>
      </w:r>
      <w:r w:rsidRPr="00D9348B">
        <w:rPr>
          <w:iCs/>
        </w:rPr>
        <w:t>.</w:t>
      </w:r>
      <w:r w:rsidRPr="00D9348B">
        <w:t xml:space="preserve"> To account for ingrowth and missing measurements, the diameter of trees measured at </w:t>
      </w:r>
      <w:r w:rsidRPr="00D9348B">
        <w:rPr>
          <w:i/>
        </w:rPr>
        <w:t>t</w:t>
      </w:r>
      <w:r w:rsidRPr="00D9348B">
        <w:rPr>
          <w:i/>
          <w:vertAlign w:val="subscript"/>
        </w:rPr>
        <w:t>2</w:t>
      </w:r>
      <w:r w:rsidRPr="00D9348B">
        <w:t xml:space="preserve"> that were not measured at </w:t>
      </w:r>
      <w:r w:rsidRPr="00D9348B">
        <w:rPr>
          <w:i/>
        </w:rPr>
        <w:t>t</w:t>
      </w:r>
      <w:r w:rsidRPr="00D9348B">
        <w:rPr>
          <w:i/>
          <w:vertAlign w:val="subscript"/>
        </w:rPr>
        <w:t>1</w:t>
      </w:r>
      <w:r w:rsidRPr="00D9348B">
        <w:t xml:space="preserve"> were predicted and used in the calculation of stock change, provided that the diameter at </w:t>
      </w:r>
      <w:r w:rsidRPr="00D9348B">
        <w:rPr>
          <w:i/>
        </w:rPr>
        <w:t>t</w:t>
      </w:r>
      <w:r w:rsidRPr="00D9348B">
        <w:rPr>
          <w:i/>
          <w:vertAlign w:val="subscript"/>
        </w:rPr>
        <w:t>2</w:t>
      </w:r>
      <w:r w:rsidRPr="00D9348B">
        <w:t xml:space="preserve"> was above the threshold for field measurement (e.g., 2.5 centimetres for the embedded 0.04 hectare square plot, and 60 centimetres for the 0.13 hectare circular plot). The total summed carbon is calculated for each plot, and the mean change across all plots is used as the national average. New Zealand has inventoried its pre-1990 natural forest at two points in time: 2002–07 and 2009–14 (the third round of measurements is under way and due for completion in 2024). The average measurement date of the first measurement period is 2004 and average measurement date of the second measurement period is 2011.</w:t>
      </w:r>
    </w:p>
    <w:p w14:paraId="7BF10BCC" w14:textId="77777777" w:rsidR="00A10636" w:rsidRPr="00D9348B" w:rsidRDefault="00A10636" w:rsidP="00A56E11">
      <w:pPr>
        <w:pStyle w:val="BodyText"/>
      </w:pPr>
      <w:r w:rsidRPr="00D9348B">
        <w:t>Between 2002–07 and 2009–14, the regenerating forest component of New Zealand’s pre</w:t>
      </w:r>
      <w:r w:rsidRPr="00D9348B">
        <w:noBreakHyphen/>
        <w:t>1990 natural forest was a net sink of carbon, sequestering 0.62 ± 0.25 tonnes C ha</w:t>
      </w:r>
      <w:r w:rsidRPr="00D9348B">
        <w:rPr>
          <w:vertAlign w:val="superscript"/>
        </w:rPr>
        <w:t xml:space="preserve">-1 </w:t>
      </w:r>
      <w:r w:rsidRPr="00D9348B">
        <w:t>yr</w:t>
      </w:r>
      <w:r w:rsidRPr="00D9348B">
        <w:rPr>
          <w:vertAlign w:val="superscript"/>
        </w:rPr>
        <w:t>-1</w:t>
      </w:r>
      <w:r w:rsidRPr="00D9348B">
        <w:t xml:space="preserve"> (Paul et al., </w:t>
      </w:r>
      <w:proofErr w:type="gramStart"/>
      <w:r w:rsidRPr="00D9348B">
        <w:t>unpublished(</w:t>
      </w:r>
      <w:proofErr w:type="gramEnd"/>
      <w:r w:rsidRPr="00D9348B">
        <w:t>b)). The data are extrapolated back to 1990 and forward to the current inventory year to calculate stock changes for all years. Due to the dominance of tall forest types, the combined overall net change across all pre-1990 natural forest was indistinguishable from zero (+0.04 ± 0.21 tonnes C ha</w:t>
      </w:r>
      <w:r w:rsidRPr="00D9348B">
        <w:rPr>
          <w:vertAlign w:val="superscript"/>
        </w:rPr>
        <w:t>–1</w:t>
      </w:r>
      <w:r w:rsidRPr="00D9348B">
        <w:t xml:space="preserve"> yr</w:t>
      </w:r>
      <w:r w:rsidRPr="00D9348B">
        <w:rPr>
          <w:vertAlign w:val="superscript"/>
        </w:rPr>
        <w:t>–1</w:t>
      </w:r>
      <w:r w:rsidRPr="00D9348B">
        <w:t>; Paul et al., unpublished(b)). Carbon stock change in regenerating forest was driven primarily by an increase in live above-ground biomass of 0.48 ± 0.21 tonnes C ha</w:t>
      </w:r>
      <w:r w:rsidRPr="00D9348B">
        <w:rPr>
          <w:vertAlign w:val="superscript"/>
        </w:rPr>
        <w:t>–1</w:t>
      </w:r>
      <w:r w:rsidRPr="00D9348B">
        <w:t xml:space="preserve"> yr</w:t>
      </w:r>
      <w:r w:rsidRPr="00D9348B">
        <w:rPr>
          <w:vertAlign w:val="superscript"/>
        </w:rPr>
        <w:t xml:space="preserve">–1 </w:t>
      </w:r>
      <w:r w:rsidRPr="00D9348B">
        <w:t xml:space="preserve">(Paul et al., </w:t>
      </w:r>
      <w:proofErr w:type="gramStart"/>
      <w:r w:rsidRPr="00D9348B">
        <w:t>unpublished(</w:t>
      </w:r>
      <w:proofErr w:type="gramEnd"/>
      <w:r w:rsidRPr="00D9348B">
        <w:t>b)).</w:t>
      </w:r>
    </w:p>
    <w:p w14:paraId="695E9C66" w14:textId="77777777" w:rsidR="00A10636" w:rsidRPr="00D9348B" w:rsidRDefault="00A10636" w:rsidP="00A10636">
      <w:pPr>
        <w:pStyle w:val="Heading6"/>
      </w:pPr>
      <w:bookmarkStart w:id="1701" w:name="_Toc255466335"/>
      <w:bookmarkStart w:id="1702" w:name="_Toc261513142"/>
      <w:bookmarkStart w:id="1703" w:name="_Toc261513755"/>
      <w:r w:rsidRPr="00D9348B">
        <w:t>Soil organic carbon</w:t>
      </w:r>
      <w:bookmarkEnd w:id="1701"/>
      <w:bookmarkEnd w:id="1702"/>
      <w:bookmarkEnd w:id="1703"/>
    </w:p>
    <w:p w14:paraId="6DA2E8AB" w14:textId="77777777" w:rsidR="00A10636" w:rsidRPr="00D9348B" w:rsidRDefault="00A10636" w:rsidP="00A56E11">
      <w:pPr>
        <w:pStyle w:val="BodyText"/>
      </w:pPr>
      <w:r w:rsidRPr="00D9348B">
        <w:t>Mineral SOC stocks in pre-1990 natural forest land remaining pre-1990 natural forest land are estimated using a Tier 2 method. The steady state mineral SOC stock in pre-1990 natural forest is estimated to be 92.25 tonnes C ha</w:t>
      </w:r>
      <w:r w:rsidRPr="00D9348B">
        <w:rPr>
          <w:vertAlign w:val="superscript"/>
        </w:rPr>
        <w:t>–1</w:t>
      </w:r>
      <w:r w:rsidRPr="00D9348B">
        <w:t xml:space="preserve"> (see table 6.3.2).</w:t>
      </w:r>
    </w:p>
    <w:p w14:paraId="1DC4CC61" w14:textId="77777777" w:rsidR="00A10636" w:rsidRPr="00D9348B" w:rsidRDefault="00A10636" w:rsidP="00A56E11">
      <w:pPr>
        <w:pStyle w:val="BodyText"/>
      </w:pPr>
      <w:r w:rsidRPr="00D9348B">
        <w:t>For organic soils, IPCC good practice guidance is limited to the estimation of carbon emissions associated with the drainage of organic soils in managed forests (IPCC, 2006a, section 4.2.3.1). In New Zealand, natural forests are not drained and, therefore, oxidation processes associated with drainage are not occurring. It is therefore assumed that there are no carbon emissions from organic soils in pre-1990 natural forest land remaining pre</w:t>
      </w:r>
      <w:r w:rsidRPr="00D9348B">
        <w:noBreakHyphen/>
        <w:t>1990 natural forest land.</w:t>
      </w:r>
    </w:p>
    <w:p w14:paraId="21E15A37" w14:textId="77777777" w:rsidR="00A10636" w:rsidRPr="00D9348B" w:rsidRDefault="00A10636" w:rsidP="00A10636">
      <w:pPr>
        <w:pStyle w:val="Heading5"/>
      </w:pPr>
      <w:r w:rsidRPr="00D9348B">
        <w:lastRenderedPageBreak/>
        <w:t>Non-CO</w:t>
      </w:r>
      <w:r w:rsidRPr="00D9348B">
        <w:rPr>
          <w:vertAlign w:val="subscript"/>
        </w:rPr>
        <w:t>2</w:t>
      </w:r>
      <w:r w:rsidRPr="00D9348B">
        <w:t xml:space="preserve"> emissions for pre-1990 natural forest </w:t>
      </w:r>
    </w:p>
    <w:p w14:paraId="5D4EB390" w14:textId="77777777" w:rsidR="00A10636" w:rsidRPr="00D9348B" w:rsidRDefault="00A10636" w:rsidP="00A10636">
      <w:pPr>
        <w:pStyle w:val="Heading6"/>
        <w:spacing w:before="120"/>
      </w:pPr>
      <w:r w:rsidRPr="00D9348B">
        <w:t>Direct N</w:t>
      </w:r>
      <w:r w:rsidRPr="00D9348B">
        <w:rPr>
          <w:vertAlign w:val="subscript"/>
        </w:rPr>
        <w:t>2</w:t>
      </w:r>
      <w:r w:rsidRPr="00D9348B">
        <w:t>O emissions from nitrogen fertilisation of forest land and other land</w:t>
      </w:r>
    </w:p>
    <w:p w14:paraId="2F4B955F" w14:textId="77777777" w:rsidR="00A10636" w:rsidRPr="00D9348B" w:rsidRDefault="00A10636" w:rsidP="009431D1">
      <w:pPr>
        <w:pStyle w:val="BodyText"/>
      </w:pPr>
      <w:r w:rsidRPr="00D9348B">
        <w:t>New Zealand activity data on nitrogen fertilisation are not currently disaggregated by land use, and, therefore, all direct N</w:t>
      </w:r>
      <w:r w:rsidRPr="00D9348B">
        <w:rPr>
          <w:vertAlign w:val="subscript"/>
        </w:rPr>
        <w:t>2</w:t>
      </w:r>
      <w:r w:rsidRPr="00D9348B">
        <w:t>O emissions from nitrogen fertilisation of</w:t>
      </w:r>
      <w:r w:rsidRPr="00D9348B">
        <w:rPr>
          <w:i/>
        </w:rPr>
        <w:t xml:space="preserve"> Forest land </w:t>
      </w:r>
      <w:r w:rsidRPr="00D9348B">
        <w:t>and</w:t>
      </w:r>
      <w:r w:rsidRPr="00D9348B">
        <w:rPr>
          <w:i/>
        </w:rPr>
        <w:t xml:space="preserve"> </w:t>
      </w:r>
      <w:proofErr w:type="gramStart"/>
      <w:r w:rsidRPr="00D9348B">
        <w:rPr>
          <w:i/>
        </w:rPr>
        <w:t>Other</w:t>
      </w:r>
      <w:proofErr w:type="gramEnd"/>
      <w:r w:rsidRPr="00D9348B">
        <w:rPr>
          <w:i/>
        </w:rPr>
        <w:t xml:space="preserve"> land </w:t>
      </w:r>
      <w:r w:rsidRPr="00D9348B">
        <w:t xml:space="preserve">are reported in the Agriculture sector under the category </w:t>
      </w:r>
      <w:r w:rsidRPr="00D9348B">
        <w:rPr>
          <w:i/>
        </w:rPr>
        <w:t>Direct N</w:t>
      </w:r>
      <w:r w:rsidRPr="00D9348B">
        <w:rPr>
          <w:i/>
          <w:vertAlign w:val="subscript"/>
        </w:rPr>
        <w:t>2</w:t>
      </w:r>
      <w:r w:rsidRPr="00D9348B">
        <w:rPr>
          <w:i/>
        </w:rPr>
        <w:t>O emissions from managed soils</w:t>
      </w:r>
      <w:r w:rsidRPr="00D9348B">
        <w:t>.</w:t>
      </w:r>
    </w:p>
    <w:p w14:paraId="01AE333C" w14:textId="77777777" w:rsidR="00A10636" w:rsidRPr="00D9348B" w:rsidRDefault="00A10636" w:rsidP="00A10636">
      <w:pPr>
        <w:pStyle w:val="Heading5"/>
      </w:pPr>
      <w:r w:rsidRPr="00D9348B">
        <w:t>Post-1989 natural forest</w:t>
      </w:r>
    </w:p>
    <w:p w14:paraId="12F0307C" w14:textId="77777777" w:rsidR="00A10636" w:rsidRPr="00D9348B" w:rsidRDefault="00A10636" w:rsidP="009431D1">
      <w:pPr>
        <w:pStyle w:val="BodyText"/>
        <w:spacing w:before="100" w:after="100"/>
      </w:pPr>
      <w:r w:rsidRPr="00D9348B">
        <w:t xml:space="preserve">Post-1989 natural forest consists of forest land established since 1 January 1990 and has resulted from direct human-induced changes in land-management practice. The resulting vegetation is a seral plant community, generally comprising a mix of native and introduced species, which is in the early successional stages of reversion to mature forest. As the vegetation matures, it generally becomes increasingly dominated by native species and in most cases will become native forest. The active facilitation of tree species’ regeneration through the removal of grazing stock would, for example, result in a land-use change from </w:t>
      </w:r>
      <w:r w:rsidRPr="00D9348B">
        <w:rPr>
          <w:i/>
        </w:rPr>
        <w:t>Grassland</w:t>
      </w:r>
      <w:r w:rsidRPr="00D9348B">
        <w:t xml:space="preserve"> to </w:t>
      </w:r>
      <w:r w:rsidRPr="00D9348B">
        <w:rPr>
          <w:i/>
        </w:rPr>
        <w:t>Forest land</w:t>
      </w:r>
      <w:r w:rsidRPr="00D9348B">
        <w:t>. In 2018, the post-1989 natural forest area covers an estimated 49,067 hectares.</w:t>
      </w:r>
    </w:p>
    <w:p w14:paraId="2380B48E" w14:textId="77777777" w:rsidR="00A10636" w:rsidRPr="00D9348B" w:rsidRDefault="00A10636" w:rsidP="009431D1">
      <w:pPr>
        <w:pStyle w:val="BodyText"/>
        <w:spacing w:before="100" w:after="100"/>
      </w:pPr>
      <w:r w:rsidRPr="00D9348B">
        <w:t>Estimates of carbon stock and stock change in post-1989 natural forest are calculated using measurements taken from the field inventory. The inventory samples post-1989 natural forest using 0.04 hectare permanent sample plots on a systematic 4-kilometre grid (consistent with the post-1989 planted forest inventory). Twenty plots in post-1989 natural forest have been established and were measured for the first time in 2012. The plot network design is described in Beets et al. (2012a, 2014b), and detailed methods for plot measurement are given in the data collection manual (Ministry for the Environment, unpublished). The second round of plot measurements was completed in 2019 with the analysis currently under way.</w:t>
      </w:r>
    </w:p>
    <w:p w14:paraId="1B9B7C36" w14:textId="77777777" w:rsidR="00A10636" w:rsidRPr="00D9348B" w:rsidRDefault="00A10636" w:rsidP="00A10636">
      <w:pPr>
        <w:pStyle w:val="Heading6"/>
      </w:pPr>
      <w:r w:rsidRPr="00D9348B">
        <w:t>Living biomass and dead organic matter</w:t>
      </w:r>
    </w:p>
    <w:p w14:paraId="36F8E82D" w14:textId="77777777" w:rsidR="00A10636" w:rsidRPr="00D9348B" w:rsidRDefault="00A10636" w:rsidP="009431D1">
      <w:pPr>
        <w:pStyle w:val="BodyText"/>
        <w:spacing w:before="100" w:after="100"/>
      </w:pPr>
      <w:r w:rsidRPr="00D9348B">
        <w:t>At permanent sample plots within post-1989 natural forest, measurements are taken of standing and fallen, live and dead plants. Destructive biomass samples have also been taken outside of the plots and are used to create plot-specific allometric equations, which are then applied to these measurements to calculate above-ground live biomass.</w:t>
      </w:r>
    </w:p>
    <w:p w14:paraId="05EFE7E8" w14:textId="77777777" w:rsidR="00A10636" w:rsidRPr="00D9348B" w:rsidRDefault="00A10636" w:rsidP="009431D1">
      <w:pPr>
        <w:pStyle w:val="BodyText"/>
        <w:spacing w:before="100" w:after="100"/>
      </w:pPr>
      <w:r w:rsidRPr="00D9348B">
        <w:t>The biomass of standing dead wood (woody debris with a diameter greater than 10 centimetres) and litter (woody debris with a diameter of less than 10 centimetres) is calculated as for living biomass but is then adjusted for decay using decay functions. Biomass of fallen dead wood is calculated from plot measurements of volume in combination with species-specific wood densities and then also adjusted for decay in the same way.</w:t>
      </w:r>
    </w:p>
    <w:p w14:paraId="5FA075CA" w14:textId="77777777" w:rsidR="00A10636" w:rsidRPr="00D9348B" w:rsidRDefault="00A10636" w:rsidP="009431D1">
      <w:pPr>
        <w:pStyle w:val="BodyText"/>
        <w:spacing w:before="100" w:after="100"/>
        <w:rPr>
          <w:spacing w:val="-2"/>
        </w:rPr>
      </w:pPr>
      <w:r w:rsidRPr="00D9348B">
        <w:rPr>
          <w:spacing w:val="-2"/>
        </w:rPr>
        <w:t>Biomass sampling on post-1989 natural forest plots includes the determination of plant age, which enables the back-casting of biomass through time. Back-cast estimates of biomass are used to calculate carbon stock change. The method used to do this was developed and validated using plots for which multiple measurements in time had been obtained and for which carbon stock change was able to be measured directly (Beets et al., 2014a). Full methods for the calculation of carbon stock and stock change in post-1989 natural forest are described in Beets et al. (2014b).</w:t>
      </w:r>
    </w:p>
    <w:p w14:paraId="29D39D4D" w14:textId="77777777" w:rsidR="00A10636" w:rsidRPr="00D9348B" w:rsidRDefault="00A10636" w:rsidP="009431D1">
      <w:pPr>
        <w:pStyle w:val="BodyText"/>
        <w:spacing w:before="100"/>
      </w:pPr>
      <w:r w:rsidRPr="00D9348B">
        <w:t>The carbon stock estimate for post-1989 natural forest is 28.73 ± 7.14 tonnes C ha</w:t>
      </w:r>
      <w:r w:rsidRPr="00D9348B">
        <w:rPr>
          <w:vertAlign w:val="superscript"/>
        </w:rPr>
        <w:t>–1</w:t>
      </w:r>
      <w:r w:rsidRPr="00D9348B">
        <w:t xml:space="preserve"> (at the 95 per cent confidence interval) as at 31 December 2012 (Beets et al., 2014b). The average rate of carbon sequestration in post-1989 natural forest over the first commitment period </w:t>
      </w:r>
      <w:r w:rsidRPr="00D9348B">
        <w:lastRenderedPageBreak/>
        <w:t>was 2.4 tonnes C ha</w:t>
      </w:r>
      <w:r w:rsidRPr="00D9348B">
        <w:rPr>
          <w:vertAlign w:val="superscript"/>
        </w:rPr>
        <w:t>–1</w:t>
      </w:r>
      <w:r w:rsidRPr="00D9348B">
        <w:t xml:space="preserve"> yr</w:t>
      </w:r>
      <w:r w:rsidRPr="00D9348B">
        <w:rPr>
          <w:vertAlign w:val="superscript"/>
        </w:rPr>
        <w:t>–1</w:t>
      </w:r>
      <w:r w:rsidRPr="00D9348B">
        <w:t xml:space="preserve"> (calculated from Beets et al., 2014b). This rate is similar to previously reported rates of carbon sequestration in regenerating forest in New Zealand (Carswell et al., 2012; Trotter and MacKay, unpublished).</w:t>
      </w:r>
    </w:p>
    <w:p w14:paraId="3646616C" w14:textId="77777777" w:rsidR="00A10636" w:rsidRPr="00D9348B" w:rsidRDefault="00A10636" w:rsidP="00A10636">
      <w:pPr>
        <w:pStyle w:val="Heading6"/>
      </w:pPr>
      <w:r w:rsidRPr="00D9348B">
        <w:t>Soil organic carbon</w:t>
      </w:r>
    </w:p>
    <w:p w14:paraId="45144CE4" w14:textId="77777777" w:rsidR="00A10636" w:rsidRPr="00D9348B" w:rsidRDefault="00A10636" w:rsidP="00A10636">
      <w:pPr>
        <w:pStyle w:val="BodyText"/>
      </w:pPr>
      <w:r w:rsidRPr="00D9348B">
        <w:t>SOC stocks in land converted to post-1989 forest are estimated using a Tier 2 method for mineral soils and a Tier 1 method for organic soils, as described in section 6.3. The steady state mineral SOC stock in post-1989 forest is estimated to be 91.92 tonnes C ha</w:t>
      </w:r>
      <w:r w:rsidRPr="00D9348B">
        <w:rPr>
          <w:vertAlign w:val="superscript"/>
        </w:rPr>
        <w:t>–1</w:t>
      </w:r>
      <w:r w:rsidRPr="00D9348B">
        <w:t xml:space="preserve"> (see table 6.3.2). </w:t>
      </w:r>
    </w:p>
    <w:p w14:paraId="36D6ACCE" w14:textId="77777777" w:rsidR="00A10636" w:rsidRPr="00D9348B" w:rsidRDefault="00A10636" w:rsidP="00A10636">
      <w:pPr>
        <w:pStyle w:val="BodyText"/>
      </w:pPr>
      <w:r w:rsidRPr="00D9348B">
        <w:t>In the absence of data on the rate of change specific to country and land use, the IPCC default method of a linear change over a 20-year period is used to estimate the change in SOC stocks between the original land use and post-1989 forest land for any given period. For example, the soil carbon change associated with a land-use change from low producing grassland (SOC stock 105.98 tonnes C ha</w:t>
      </w:r>
      <w:r w:rsidRPr="00D9348B">
        <w:rPr>
          <w:vertAlign w:val="superscript"/>
        </w:rPr>
        <w:t>–1</w:t>
      </w:r>
      <w:r w:rsidRPr="00D9348B">
        <w:t>) to post-1989 forest (SOC stock 91.92 tonnes C ha</w:t>
      </w:r>
      <w:r w:rsidRPr="00D9348B">
        <w:rPr>
          <w:vertAlign w:val="superscript"/>
        </w:rPr>
        <w:t>–1</w:t>
      </w:r>
      <w:r w:rsidRPr="00D9348B">
        <w:t>) would be a loss of 14.06 tonnes C ha</w:t>
      </w:r>
      <w:r w:rsidRPr="00D9348B">
        <w:rPr>
          <w:vertAlign w:val="superscript"/>
        </w:rPr>
        <w:t>–1</w:t>
      </w:r>
      <w:r w:rsidRPr="00D9348B">
        <w:t xml:space="preserve"> over the 20-year period.</w:t>
      </w:r>
    </w:p>
    <w:p w14:paraId="64B03CD7" w14:textId="1BD0FFC9" w:rsidR="00A10636" w:rsidRPr="00D9348B" w:rsidRDefault="00A10636" w:rsidP="00A10636">
      <w:pPr>
        <w:pStyle w:val="BodyText"/>
        <w:rPr>
          <w:spacing w:val="-2"/>
        </w:rPr>
      </w:pPr>
      <w:r w:rsidRPr="00D9348B">
        <w:rPr>
          <w:spacing w:val="-2"/>
        </w:rPr>
        <w:t>The IPCC default emission factor for organic soils under planted forest is 0.68 tonnes C ha</w:t>
      </w:r>
      <w:r w:rsidRPr="00D9348B">
        <w:rPr>
          <w:spacing w:val="-2"/>
          <w:vertAlign w:val="superscript"/>
        </w:rPr>
        <w:t>–1</w:t>
      </w:r>
      <w:r w:rsidRPr="00D9348B">
        <w:rPr>
          <w:spacing w:val="-2"/>
        </w:rPr>
        <w:t xml:space="preserve"> per annum (see table 6.3.3). This is also applied to organic soils on land converted to post</w:t>
      </w:r>
      <w:r w:rsidRPr="00D9348B">
        <w:rPr>
          <w:spacing w:val="-2"/>
        </w:rPr>
        <w:noBreakHyphen/>
        <w:t>1989 forest.</w:t>
      </w:r>
    </w:p>
    <w:p w14:paraId="581AF46C" w14:textId="77777777" w:rsidR="00A10636" w:rsidRPr="00D9348B" w:rsidRDefault="00A10636" w:rsidP="00A10636">
      <w:pPr>
        <w:pStyle w:val="Heading6"/>
      </w:pPr>
      <w:r w:rsidRPr="00D9348B">
        <w:t>Quality assurance and quality control</w:t>
      </w:r>
    </w:p>
    <w:p w14:paraId="1D1FB7CA" w14:textId="77777777" w:rsidR="00A10636" w:rsidRPr="00D9348B" w:rsidRDefault="00A10636" w:rsidP="00A10636">
      <w:pPr>
        <w:pStyle w:val="BodyText"/>
      </w:pPr>
      <w:r w:rsidRPr="00D9348B">
        <w:t>Quality-assurance and quality-control activities were conducted throughout the post-1989 planted and natural forest data capture and processing steps. These activities were associated with the following: inventory design (Beets et al., 2014b; Brack, unpublished; Moore and Goulding, unpublished); acquisition of raw LiDAR data and LiDAR processing; checking eligibility of plots; independent audits of field plot measurements (Beets and Holt, unpublished); data processing and modelling; regression analysis and double-sampling procedures (Woollens, unpublished); and investigating LiDAR and ground plot co</w:t>
      </w:r>
      <w:r w:rsidRPr="00D9348B">
        <w:noBreakHyphen/>
        <w:t>location (Brack and Broadley, unpublished). These activities, along with those undertaken within the post-1989 natural forest, are described in more detail in section 6.4.4.</w:t>
      </w:r>
    </w:p>
    <w:p w14:paraId="64DA9114" w14:textId="77777777" w:rsidR="00A10636" w:rsidRPr="00D9348B" w:rsidRDefault="00A10636" w:rsidP="00A10636">
      <w:pPr>
        <w:pStyle w:val="Heading5"/>
      </w:pPr>
      <w:r w:rsidRPr="00D9348B">
        <w:t>Non-CO</w:t>
      </w:r>
      <w:r w:rsidRPr="00D9348B">
        <w:rPr>
          <w:vertAlign w:val="subscript"/>
        </w:rPr>
        <w:t>2</w:t>
      </w:r>
      <w:r w:rsidRPr="00D9348B">
        <w:t xml:space="preserve"> emissions for post-1989 forest</w:t>
      </w:r>
    </w:p>
    <w:p w14:paraId="2FFC9E28" w14:textId="77777777" w:rsidR="00A10636" w:rsidRPr="00D9348B" w:rsidRDefault="00A10636" w:rsidP="00A10636">
      <w:pPr>
        <w:pStyle w:val="Heading6"/>
        <w:spacing w:before="120"/>
      </w:pPr>
      <w:r w:rsidRPr="00D9348B">
        <w:t>Direct N</w:t>
      </w:r>
      <w:r w:rsidRPr="00D9348B">
        <w:rPr>
          <w:vertAlign w:val="subscript"/>
        </w:rPr>
        <w:t>2</w:t>
      </w:r>
      <w:r w:rsidRPr="00D9348B">
        <w:t>O emissions from nitrogen fertilisation of forest land and other land</w:t>
      </w:r>
    </w:p>
    <w:p w14:paraId="094C41F8" w14:textId="77777777" w:rsidR="00A10636" w:rsidRPr="00D9348B" w:rsidRDefault="00A10636" w:rsidP="00A10636">
      <w:pPr>
        <w:pStyle w:val="BodyText"/>
      </w:pPr>
      <w:r w:rsidRPr="00D9348B">
        <w:t>New Zealand activity data on nitrogen fertilisation are not currently disaggregated by land use, therefore, all direct N</w:t>
      </w:r>
      <w:r w:rsidRPr="00D9348B">
        <w:rPr>
          <w:vertAlign w:val="subscript"/>
        </w:rPr>
        <w:t>2</w:t>
      </w:r>
      <w:r w:rsidRPr="00D9348B">
        <w:t>O emissions from nitrogen fertilisation of</w:t>
      </w:r>
      <w:r w:rsidRPr="00D9348B">
        <w:rPr>
          <w:i/>
        </w:rPr>
        <w:t xml:space="preserve"> Forest land </w:t>
      </w:r>
      <w:r w:rsidRPr="00D9348B">
        <w:t>and</w:t>
      </w:r>
      <w:r w:rsidRPr="00D9348B">
        <w:rPr>
          <w:i/>
        </w:rPr>
        <w:t xml:space="preserve"> </w:t>
      </w:r>
      <w:proofErr w:type="gramStart"/>
      <w:r w:rsidRPr="00D9348B">
        <w:rPr>
          <w:i/>
        </w:rPr>
        <w:t>Other</w:t>
      </w:r>
      <w:proofErr w:type="gramEnd"/>
      <w:r w:rsidRPr="00D9348B">
        <w:rPr>
          <w:i/>
        </w:rPr>
        <w:t xml:space="preserve"> land</w:t>
      </w:r>
      <w:r w:rsidRPr="00D9348B">
        <w:t xml:space="preserve"> are reported in the Agriculture sector under the category </w:t>
      </w:r>
      <w:r w:rsidRPr="00D9348B">
        <w:rPr>
          <w:i/>
        </w:rPr>
        <w:t>Direct N</w:t>
      </w:r>
      <w:r w:rsidRPr="00D9348B">
        <w:rPr>
          <w:i/>
          <w:vertAlign w:val="subscript"/>
        </w:rPr>
        <w:t>2</w:t>
      </w:r>
      <w:r w:rsidRPr="00D9348B">
        <w:rPr>
          <w:i/>
        </w:rPr>
        <w:t>O emissions from managed soils</w:t>
      </w:r>
      <w:r w:rsidRPr="00D9348B">
        <w:t>.</w:t>
      </w:r>
    </w:p>
    <w:p w14:paraId="4D8B8DFA" w14:textId="77777777" w:rsidR="00A10636" w:rsidRPr="00D9348B" w:rsidRDefault="00A10636" w:rsidP="00A10636">
      <w:pPr>
        <w:pStyle w:val="Heading5"/>
      </w:pPr>
      <w:bookmarkStart w:id="1704" w:name="_Toc255466337"/>
      <w:bookmarkStart w:id="1705" w:name="_Toc261513144"/>
      <w:bookmarkStart w:id="1706" w:name="_Toc261513757"/>
      <w:bookmarkStart w:id="1707" w:name="_Toc280630249"/>
      <w:r w:rsidRPr="00D9348B">
        <w:t>Pre-1990 planted forest</w:t>
      </w:r>
      <w:bookmarkEnd w:id="1704"/>
      <w:bookmarkEnd w:id="1705"/>
      <w:bookmarkEnd w:id="1706"/>
      <w:bookmarkEnd w:id="1707"/>
    </w:p>
    <w:p w14:paraId="7DD28336" w14:textId="77777777" w:rsidR="00A10636" w:rsidRPr="00D9348B" w:rsidRDefault="00A10636" w:rsidP="00A10636">
      <w:pPr>
        <w:pStyle w:val="BodyText"/>
        <w:spacing w:before="100" w:after="100"/>
      </w:pPr>
      <w:r w:rsidRPr="00D9348B">
        <w:t xml:space="preserve">All planted forest land established prior to 1990, whether established for wood production or ecosystem services, is included as pre-1990 planted forest. This category also includes areas that were natural forest in 1990 but have since been planted with exotic forest. The emissions associated with this area are calculated as the removal of biomass associated with pre-1990 natural forest and the subsequent growth of pre-1990 planted forest. The pre-1990 planted forest yield table best represents the growth on ex-natural forest land because it remains in the </w:t>
      </w:r>
      <w:r w:rsidRPr="00D9348B">
        <w:rPr>
          <w:i/>
        </w:rPr>
        <w:t>Forest land</w:t>
      </w:r>
      <w:r w:rsidRPr="00D9348B">
        <w:t xml:space="preserve"> category. </w:t>
      </w:r>
    </w:p>
    <w:p w14:paraId="1000B531" w14:textId="77777777" w:rsidR="00A10636" w:rsidRPr="00D9348B" w:rsidRDefault="00A10636" w:rsidP="00A10636">
      <w:pPr>
        <w:pStyle w:val="Heading6"/>
        <w:spacing w:before="200"/>
      </w:pPr>
      <w:r w:rsidRPr="00D9348B">
        <w:lastRenderedPageBreak/>
        <w:t>Pre-1990 planted forest inventory</w:t>
      </w:r>
    </w:p>
    <w:p w14:paraId="0633D4F9" w14:textId="77777777" w:rsidR="00A10636" w:rsidRPr="00D9348B" w:rsidRDefault="00A10636" w:rsidP="00A10636">
      <w:pPr>
        <w:pStyle w:val="BodyText"/>
        <w:spacing w:before="100"/>
      </w:pPr>
      <w:r w:rsidRPr="00D9348B">
        <w:t>New Zealand’s pre-1990 planted forest was sampled in 2010, again in 2015, and has now moved onto a continuous measurement cycle from 2016 onwards. The analysis of the data collected has provided a plot-based estimate of carbon stock and mean carbon density within this forest type (Beets et al., 2012a). The pre-1990 planted forest inventory is closely linked, in terms of design and methodology, with the post-1989 planted forest inventory described later in this section.</w:t>
      </w:r>
    </w:p>
    <w:p w14:paraId="0D7E0277" w14:textId="77777777" w:rsidR="00A10636" w:rsidRPr="00D9348B" w:rsidRDefault="00A10636" w:rsidP="00A10636">
      <w:pPr>
        <w:pStyle w:val="BodyText"/>
        <w:rPr>
          <w:spacing w:val="-2"/>
        </w:rPr>
      </w:pPr>
      <w:r w:rsidRPr="00D9348B">
        <w:rPr>
          <w:spacing w:val="-2"/>
        </w:rPr>
        <w:t>The pre-1990 planted forest inventory consists of 212 circular 0.06-hectare plots (see figure 6.4.5) established on a systematic 8-kilometre grid (consistent with that used for all forest categories). These plots are ground measured using procedures described in Herries et al. (unpublished). Stand records and ground measurements are recorded between June and September at each plot. Measurements include: tree age; stocking (stems per hectare); stem diameters at breast height of live and dead trees; a sample of tree total heights for each tree species; pruned heights; and the timing of pruning and thinning activities. Ground plot centres were located using a 12</w:t>
      </w:r>
      <w:r w:rsidRPr="00D9348B">
        <w:rPr>
          <w:spacing w:val="-2"/>
        </w:rPr>
        <w:noBreakHyphen/>
        <w:t xml:space="preserve">channel differential global positioning system (GPS) for accurate LiDAR co-location and relocation for future measurements (Beets et al., 2012a). </w:t>
      </w:r>
    </w:p>
    <w:p w14:paraId="363156F0" w14:textId="77777777" w:rsidR="00A10636" w:rsidRPr="00D9348B" w:rsidRDefault="00A10636" w:rsidP="00A10636">
      <w:pPr>
        <w:pStyle w:val="BodyText"/>
      </w:pPr>
      <w:r w:rsidRPr="00D9348B">
        <w:t xml:space="preserve">Airborne scanning LiDAR data were collected from 351 plots. LiDAR plots included those that were ground measured in addition to LiDAR-only plots, which are at 1 kilometre intervals nested within the 8 kilometre grid (Paul et al., </w:t>
      </w:r>
      <w:proofErr w:type="gramStart"/>
      <w:r w:rsidRPr="00D9348B">
        <w:t>unpublished(</w:t>
      </w:r>
      <w:proofErr w:type="gramEnd"/>
      <w:r w:rsidRPr="00D9348B">
        <w:t>e)).</w:t>
      </w:r>
    </w:p>
    <w:p w14:paraId="1DE10883" w14:textId="77777777" w:rsidR="00A10636" w:rsidRPr="00D9348B" w:rsidRDefault="00A10636" w:rsidP="00A10636">
      <w:pPr>
        <w:pStyle w:val="Heading6"/>
        <w:spacing w:before="200"/>
      </w:pPr>
      <w:r w:rsidRPr="00D9348B">
        <w:t>Living biomass and dead organic matter</w:t>
      </w:r>
    </w:p>
    <w:p w14:paraId="5D103C77" w14:textId="77777777" w:rsidR="00A10636" w:rsidRPr="00D9348B" w:rsidRDefault="00A10636" w:rsidP="00A10636">
      <w:pPr>
        <w:pStyle w:val="BodyText"/>
        <w:spacing w:after="100"/>
        <w:rPr>
          <w:spacing w:val="-2"/>
        </w:rPr>
      </w:pPr>
      <w:r w:rsidRPr="00D9348B">
        <w:rPr>
          <w:spacing w:val="-2"/>
        </w:rPr>
        <w:t xml:space="preserve">The crop tree plot data collected from the planted forest inventories are modelled using a forest carbon modelling system (the Forest Carbon Predictor, version 4.12; Beets and Garrett, 2018; Beets et al., 2018a, 2018b; Paul et al., unpublished(a)) developed for the two most common plantation tree species in New Zealand: </w:t>
      </w:r>
      <w:r w:rsidRPr="00D9348B">
        <w:rPr>
          <w:i/>
          <w:spacing w:val="-2"/>
        </w:rPr>
        <w:t>Pinus radiata</w:t>
      </w:r>
      <w:r w:rsidRPr="00D9348B">
        <w:rPr>
          <w:spacing w:val="-2"/>
        </w:rPr>
        <w:t xml:space="preserve"> and </w:t>
      </w:r>
      <w:r w:rsidRPr="00D9348B">
        <w:rPr>
          <w:i/>
          <w:spacing w:val="-2"/>
        </w:rPr>
        <w:t>Pseudotsuga menziesii</w:t>
      </w:r>
      <w:r w:rsidRPr="00D9348B">
        <w:rPr>
          <w:spacing w:val="-2"/>
        </w:rPr>
        <w:t>. To enable predictions of carbon stocks and changes in New Zealand’s planted forests, this system integrates:</w:t>
      </w:r>
    </w:p>
    <w:p w14:paraId="52EC87E2" w14:textId="77777777" w:rsidR="00A10636" w:rsidRPr="00D9348B" w:rsidRDefault="00A10636" w:rsidP="00771A8F">
      <w:pPr>
        <w:pStyle w:val="Bullet"/>
        <w:numPr>
          <w:ilvl w:val="0"/>
          <w:numId w:val="20"/>
        </w:numPr>
      </w:pPr>
      <w:r w:rsidRPr="00D9348B">
        <w:t xml:space="preserve">the 300 Index growth model (Kimberley and Dean, 2006) for </w:t>
      </w:r>
      <w:r w:rsidRPr="00D9348B">
        <w:rPr>
          <w:i/>
        </w:rPr>
        <w:t>Pinus radiata</w:t>
      </w:r>
    </w:p>
    <w:p w14:paraId="5725BD18" w14:textId="77777777" w:rsidR="00A10636" w:rsidRPr="00D9348B" w:rsidRDefault="00A10636" w:rsidP="00771A8F">
      <w:pPr>
        <w:pStyle w:val="Bullet"/>
        <w:numPr>
          <w:ilvl w:val="0"/>
          <w:numId w:val="20"/>
        </w:numPr>
      </w:pPr>
      <w:r w:rsidRPr="00D9348B">
        <w:t>the 500 Index growth model for Douglas fir (Knowles, 2005)</w:t>
      </w:r>
    </w:p>
    <w:p w14:paraId="5DD4334F" w14:textId="77777777" w:rsidR="00A10636" w:rsidRPr="00D9348B" w:rsidRDefault="00A10636" w:rsidP="00771A8F">
      <w:pPr>
        <w:pStyle w:val="Bullet"/>
        <w:numPr>
          <w:ilvl w:val="0"/>
          <w:numId w:val="20"/>
        </w:numPr>
      </w:pPr>
      <w:r w:rsidRPr="00D9348B">
        <w:t>a wood density model (Beets et al., 2007)</w:t>
      </w:r>
    </w:p>
    <w:p w14:paraId="30C145A0" w14:textId="77777777" w:rsidR="00A10636" w:rsidRPr="00D9348B" w:rsidRDefault="00A10636" w:rsidP="00771A8F">
      <w:pPr>
        <w:pStyle w:val="Bullet"/>
        <w:numPr>
          <w:ilvl w:val="0"/>
          <w:numId w:val="20"/>
        </w:numPr>
      </w:pPr>
      <w:r w:rsidRPr="00D9348B">
        <w:t xml:space="preserve">a stand tending model (Beets and Kimberley, unpublished) </w:t>
      </w:r>
    </w:p>
    <w:p w14:paraId="0198E27F" w14:textId="77777777" w:rsidR="00A10636" w:rsidRPr="00D9348B" w:rsidRDefault="00A10636" w:rsidP="00771A8F">
      <w:pPr>
        <w:pStyle w:val="Bullet"/>
        <w:numPr>
          <w:ilvl w:val="0"/>
          <w:numId w:val="20"/>
        </w:numPr>
      </w:pPr>
      <w:proofErr w:type="gramStart"/>
      <w:r w:rsidRPr="00D9348B">
        <w:t>the</w:t>
      </w:r>
      <w:proofErr w:type="gramEnd"/>
      <w:r w:rsidRPr="00D9348B">
        <w:t xml:space="preserve"> C_Change carbon allocation model (Beets et al., 1999).</w:t>
      </w:r>
    </w:p>
    <w:p w14:paraId="6135CDAB" w14:textId="77777777" w:rsidR="00A10636" w:rsidRPr="00D9348B" w:rsidRDefault="00A10636" w:rsidP="00A10636">
      <w:pPr>
        <w:pStyle w:val="BodyText"/>
      </w:pPr>
      <w:r w:rsidRPr="00D9348B">
        <w:t xml:space="preserve">The individual components of the Forest Carbon Predictor are explained below and illustrated in figure 6.4.7. </w:t>
      </w:r>
    </w:p>
    <w:p w14:paraId="6820076A" w14:textId="77777777" w:rsidR="00A10636" w:rsidRPr="00D9348B" w:rsidRDefault="00A10636" w:rsidP="00A10636">
      <w:pPr>
        <w:pStyle w:val="BodyText"/>
      </w:pPr>
      <w:r w:rsidRPr="00D9348B">
        <w:rPr>
          <w:b/>
        </w:rPr>
        <w:t>The 300 Index and 500 Index growth models</w:t>
      </w:r>
      <w:r w:rsidRPr="00D9348B">
        <w:t xml:space="preserve"> produce a productivity index for forest plots derived from stand parameters. These stand parameters include: stand age, mean top height, basal area, stocking and stand silvicultural history. Plot latitude and altitude are also required to run the models. The growth models use these parameters to predict stem volume under bark over a full rotation (planting to harvest). A specific productivity index is produced for each plot, which is then used to estimate the total live and dead stem volume by annual increment. The growth models account for past and future silvicultural treatments using plot data, information on past silvicultural treatments and assumptions of future management events based on plot observations and standard regimes (Beets and Kimberley, unpublished).</w:t>
      </w:r>
    </w:p>
    <w:p w14:paraId="2FC96133" w14:textId="77777777" w:rsidR="00A10636" w:rsidRPr="00D9348B" w:rsidRDefault="00A10636" w:rsidP="00C85A4A">
      <w:pPr>
        <w:pStyle w:val="BodyText"/>
      </w:pPr>
      <w:r w:rsidRPr="00D9348B">
        <w:rPr>
          <w:b/>
        </w:rPr>
        <w:lastRenderedPageBreak/>
        <w:t>The wood density model</w:t>
      </w:r>
      <w:r w:rsidRPr="00D9348B">
        <w:t xml:space="preserve"> within the Forest Carbon Predictor uses site mean annual temperature, soil nitrogen fertility, ring age and stocking to determine the mean density of stem wood growth sheaths produced annually in </w:t>
      </w:r>
      <w:r w:rsidRPr="00D9348B">
        <w:rPr>
          <w:i/>
        </w:rPr>
        <w:t>Pinus radiata</w:t>
      </w:r>
      <w:r w:rsidRPr="00D9348B">
        <w:t>. Wood density is an important variable in the estimation of carbon. Of the parameters entered into the wood density model, temperature and stand age have the greatest influence on wood density, followed by site fertility and stocking. The combined result of these individual effects can be substantial, as shown in table 6.4.6 (Beets et al., 2007).</w:t>
      </w:r>
    </w:p>
    <w:p w14:paraId="5BA2A663" w14:textId="0B97E78B" w:rsidR="00A10636" w:rsidRPr="00D9348B" w:rsidRDefault="00A10636" w:rsidP="00A10636">
      <w:pPr>
        <w:pStyle w:val="Table"/>
      </w:pPr>
      <w:bookmarkStart w:id="1708" w:name="_Toc310423409"/>
      <w:bookmarkStart w:id="1709" w:name="_Toc318362702"/>
      <w:bookmarkStart w:id="1710" w:name="_Toc342470764"/>
      <w:bookmarkStart w:id="1711" w:name="_Toc352505004"/>
      <w:bookmarkStart w:id="1712" w:name="_Toc373395729"/>
      <w:bookmarkStart w:id="1713" w:name="_Toc378853295"/>
      <w:bookmarkStart w:id="1714" w:name="_Toc391024093"/>
      <w:bookmarkStart w:id="1715" w:name="_Toc410028836"/>
      <w:bookmarkStart w:id="1716" w:name="_Toc414531464"/>
      <w:bookmarkStart w:id="1717" w:name="_Toc443645377"/>
      <w:bookmarkStart w:id="1718" w:name="_Toc474914596"/>
      <w:bookmarkStart w:id="1719" w:name="_Toc481751560"/>
      <w:bookmarkStart w:id="1720" w:name="_Toc522010617"/>
      <w:bookmarkStart w:id="1721" w:name="_Toc5269522"/>
      <w:bookmarkStart w:id="1722" w:name="_Toc33529396"/>
      <w:bookmarkStart w:id="1723" w:name="_Toc36224602"/>
      <w:r w:rsidRPr="00D9348B">
        <w:t xml:space="preserve">Table 6.4.6 </w:t>
      </w:r>
      <w:r w:rsidRPr="00D9348B">
        <w:tab/>
        <w:t>Influence of individual site and management factors on predicted wood density</w:t>
      </w:r>
      <w:r w:rsidRPr="00D9348B">
        <w:br/>
        <w:t>for</w:t>
      </w:r>
      <w:r w:rsidR="002F6E5E" w:rsidRPr="00D9348B">
        <w:t> </w:t>
      </w:r>
      <w:r w:rsidRPr="00D9348B">
        <w:t>New Zealand planted forest</w:t>
      </w:r>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p>
    <w:tbl>
      <w:tblPr>
        <w:tblW w:w="8505" w:type="dxa"/>
        <w:tblInd w:w="108" w:type="dxa"/>
        <w:tblLook w:val="04A0" w:firstRow="1" w:lastRow="0" w:firstColumn="1" w:lastColumn="0" w:noHBand="0" w:noVBand="1"/>
      </w:tblPr>
      <w:tblGrid>
        <w:gridCol w:w="4951"/>
        <w:gridCol w:w="1805"/>
        <w:gridCol w:w="1749"/>
      </w:tblGrid>
      <w:tr w:rsidR="00A10636" w:rsidRPr="00D9348B" w14:paraId="7DBE9BA8" w14:textId="77777777" w:rsidTr="004F229D">
        <w:tc>
          <w:tcPr>
            <w:tcW w:w="4654" w:type="dxa"/>
            <w:vMerge w:val="restart"/>
            <w:tcBorders>
              <w:top w:val="single" w:sz="4" w:space="0" w:color="365F91"/>
            </w:tcBorders>
            <w:shd w:val="clear" w:color="auto" w:fill="365F91"/>
            <w:vAlign w:val="bottom"/>
          </w:tcPr>
          <w:p w14:paraId="09D5FB09" w14:textId="77777777" w:rsidR="00A10636" w:rsidRPr="00D9348B" w:rsidRDefault="00A10636" w:rsidP="00DB330E">
            <w:pPr>
              <w:pStyle w:val="TableTextBold"/>
              <w:keepNext/>
              <w:rPr>
                <w:noProof w:val="0"/>
                <w:color w:val="FFFFFF"/>
              </w:rPr>
            </w:pPr>
            <w:r w:rsidRPr="00D9348B">
              <w:rPr>
                <w:noProof w:val="0"/>
                <w:color w:val="FFFFFF"/>
              </w:rPr>
              <w:t>Factor affecting wood density</w:t>
            </w:r>
          </w:p>
        </w:tc>
        <w:tc>
          <w:tcPr>
            <w:tcW w:w="3341" w:type="dxa"/>
            <w:gridSpan w:val="2"/>
            <w:tcBorders>
              <w:top w:val="single" w:sz="4" w:space="0" w:color="365F91"/>
            </w:tcBorders>
            <w:shd w:val="clear" w:color="auto" w:fill="365F91"/>
            <w:vAlign w:val="bottom"/>
          </w:tcPr>
          <w:p w14:paraId="710C3E4A" w14:textId="77777777" w:rsidR="00A10636" w:rsidRPr="00D9348B" w:rsidRDefault="00A10636" w:rsidP="00DB330E">
            <w:pPr>
              <w:pStyle w:val="TableTextBold"/>
              <w:keepNext/>
              <w:spacing w:after="0"/>
              <w:jc w:val="center"/>
              <w:rPr>
                <w:noProof w:val="0"/>
                <w:color w:val="FFFFFF"/>
              </w:rPr>
            </w:pPr>
            <w:r w:rsidRPr="00D9348B">
              <w:rPr>
                <w:noProof w:val="0"/>
                <w:color w:val="FFFFFF"/>
              </w:rPr>
              <w:t>Range in predicted density</w:t>
            </w:r>
          </w:p>
        </w:tc>
      </w:tr>
      <w:tr w:rsidR="00A10636" w:rsidRPr="00D9348B" w14:paraId="283CD58A" w14:textId="77777777" w:rsidTr="004F229D">
        <w:tc>
          <w:tcPr>
            <w:tcW w:w="0" w:type="auto"/>
            <w:vMerge/>
            <w:tcBorders>
              <w:bottom w:val="single" w:sz="4" w:space="0" w:color="365F91"/>
            </w:tcBorders>
            <w:shd w:val="clear" w:color="auto" w:fill="365F91"/>
          </w:tcPr>
          <w:p w14:paraId="14668920" w14:textId="77777777" w:rsidR="00A10636" w:rsidRPr="00D9348B" w:rsidRDefault="00A10636" w:rsidP="00DB330E">
            <w:pPr>
              <w:pStyle w:val="TableTextBold"/>
              <w:keepNext/>
              <w:rPr>
                <w:noProof w:val="0"/>
              </w:rPr>
            </w:pPr>
          </w:p>
        </w:tc>
        <w:tc>
          <w:tcPr>
            <w:tcW w:w="1697" w:type="dxa"/>
            <w:tcBorders>
              <w:bottom w:val="single" w:sz="4" w:space="0" w:color="365F91"/>
            </w:tcBorders>
            <w:shd w:val="clear" w:color="auto" w:fill="365F91"/>
          </w:tcPr>
          <w:p w14:paraId="3CA7454D" w14:textId="77777777" w:rsidR="00A10636" w:rsidRPr="00D9348B" w:rsidRDefault="00A10636" w:rsidP="00DB330E">
            <w:pPr>
              <w:pStyle w:val="TableTextBold"/>
              <w:keepNext/>
              <w:jc w:val="center"/>
              <w:rPr>
                <w:noProof w:val="0"/>
                <w:color w:val="FFFFFF"/>
              </w:rPr>
            </w:pPr>
            <w:r w:rsidRPr="00D9348B">
              <w:rPr>
                <w:noProof w:val="0"/>
                <w:color w:val="FFFFFF"/>
              </w:rPr>
              <w:t>(kg m</w:t>
            </w:r>
            <w:r w:rsidRPr="00D9348B">
              <w:rPr>
                <w:noProof w:val="0"/>
                <w:color w:val="FFFFFF"/>
                <w:vertAlign w:val="superscript"/>
              </w:rPr>
              <w:t>–3</w:t>
            </w:r>
            <w:r w:rsidRPr="00D9348B">
              <w:rPr>
                <w:noProof w:val="0"/>
                <w:color w:val="FFFFFF"/>
              </w:rPr>
              <w:t>)</w:t>
            </w:r>
          </w:p>
        </w:tc>
        <w:tc>
          <w:tcPr>
            <w:tcW w:w="1644" w:type="dxa"/>
            <w:tcBorders>
              <w:bottom w:val="single" w:sz="4" w:space="0" w:color="365F91"/>
            </w:tcBorders>
            <w:shd w:val="clear" w:color="auto" w:fill="365F91"/>
          </w:tcPr>
          <w:p w14:paraId="781A690B" w14:textId="77777777" w:rsidR="00A10636" w:rsidRPr="00D9348B" w:rsidRDefault="00A10636" w:rsidP="00DB330E">
            <w:pPr>
              <w:pStyle w:val="TableTextBold"/>
              <w:keepNext/>
              <w:rPr>
                <w:noProof w:val="0"/>
                <w:color w:val="FFFFFF"/>
              </w:rPr>
            </w:pPr>
            <w:r w:rsidRPr="00D9348B">
              <w:rPr>
                <w:noProof w:val="0"/>
                <w:color w:val="FFFFFF"/>
              </w:rPr>
              <w:t>(% difference)</w:t>
            </w:r>
          </w:p>
        </w:tc>
      </w:tr>
      <w:tr w:rsidR="00A10636" w:rsidRPr="00D9348B" w14:paraId="4D982175" w14:textId="77777777" w:rsidTr="004F229D">
        <w:tc>
          <w:tcPr>
            <w:tcW w:w="4654" w:type="dxa"/>
            <w:tcBorders>
              <w:top w:val="single" w:sz="4" w:space="0" w:color="365F91"/>
              <w:bottom w:val="single" w:sz="4" w:space="0" w:color="365F91"/>
            </w:tcBorders>
          </w:tcPr>
          <w:p w14:paraId="40D8E36D" w14:textId="77777777" w:rsidR="00A10636" w:rsidRPr="00D9348B" w:rsidRDefault="00A10636" w:rsidP="00DB330E">
            <w:pPr>
              <w:pStyle w:val="TableText"/>
              <w:keepNext/>
              <w:spacing w:before="40" w:after="40"/>
            </w:pPr>
            <w:r w:rsidRPr="00D9348B">
              <w:t>Temperature: 8°C versus 16°C</w:t>
            </w:r>
          </w:p>
        </w:tc>
        <w:tc>
          <w:tcPr>
            <w:tcW w:w="1697" w:type="dxa"/>
            <w:tcBorders>
              <w:top w:val="single" w:sz="4" w:space="0" w:color="365F91"/>
              <w:bottom w:val="single" w:sz="4" w:space="0" w:color="365F91"/>
            </w:tcBorders>
          </w:tcPr>
          <w:p w14:paraId="5B99B3B3" w14:textId="77777777" w:rsidR="00A10636" w:rsidRPr="00D9348B" w:rsidRDefault="00A10636" w:rsidP="00DB330E">
            <w:pPr>
              <w:pStyle w:val="TableText"/>
              <w:keepNext/>
              <w:spacing w:before="40" w:after="40"/>
              <w:jc w:val="center"/>
            </w:pPr>
            <w:r w:rsidRPr="00D9348B">
              <w:t>359–439</w:t>
            </w:r>
          </w:p>
        </w:tc>
        <w:tc>
          <w:tcPr>
            <w:tcW w:w="1644" w:type="dxa"/>
            <w:tcBorders>
              <w:top w:val="single" w:sz="4" w:space="0" w:color="365F91"/>
              <w:bottom w:val="single" w:sz="4" w:space="0" w:color="365F91"/>
            </w:tcBorders>
          </w:tcPr>
          <w:p w14:paraId="328FB178" w14:textId="77777777" w:rsidR="00A10636" w:rsidRPr="00D9348B" w:rsidRDefault="00A10636" w:rsidP="00DB330E">
            <w:pPr>
              <w:pStyle w:val="TableText"/>
              <w:keepNext/>
              <w:spacing w:before="40" w:after="40"/>
              <w:jc w:val="center"/>
            </w:pPr>
            <w:r w:rsidRPr="00D9348B">
              <w:t>22</w:t>
            </w:r>
          </w:p>
        </w:tc>
      </w:tr>
      <w:tr w:rsidR="00A10636" w:rsidRPr="00D9348B" w14:paraId="46982486" w14:textId="77777777" w:rsidTr="004F229D">
        <w:tc>
          <w:tcPr>
            <w:tcW w:w="4654" w:type="dxa"/>
            <w:tcBorders>
              <w:top w:val="single" w:sz="4" w:space="0" w:color="365F91"/>
              <w:bottom w:val="single" w:sz="4" w:space="0" w:color="365F91"/>
            </w:tcBorders>
          </w:tcPr>
          <w:p w14:paraId="60486FAD" w14:textId="77777777" w:rsidR="00A10636" w:rsidRPr="00D9348B" w:rsidRDefault="00A10636" w:rsidP="00DB330E">
            <w:pPr>
              <w:pStyle w:val="TableText"/>
              <w:spacing w:before="40" w:after="40"/>
            </w:pPr>
            <w:r w:rsidRPr="00D9348B">
              <w:t>Age: 10-year-old versus 30-year-old</w:t>
            </w:r>
          </w:p>
        </w:tc>
        <w:tc>
          <w:tcPr>
            <w:tcW w:w="1697" w:type="dxa"/>
            <w:tcBorders>
              <w:top w:val="single" w:sz="4" w:space="0" w:color="365F91"/>
              <w:bottom w:val="single" w:sz="4" w:space="0" w:color="365F91"/>
            </w:tcBorders>
          </w:tcPr>
          <w:p w14:paraId="55F12872" w14:textId="77777777" w:rsidR="00A10636" w:rsidRPr="00D9348B" w:rsidRDefault="00A10636" w:rsidP="00DB330E">
            <w:pPr>
              <w:pStyle w:val="TableText"/>
              <w:spacing w:before="40" w:after="40"/>
              <w:jc w:val="center"/>
            </w:pPr>
            <w:r w:rsidRPr="00D9348B">
              <w:t>380–446</w:t>
            </w:r>
          </w:p>
        </w:tc>
        <w:tc>
          <w:tcPr>
            <w:tcW w:w="1644" w:type="dxa"/>
            <w:tcBorders>
              <w:top w:val="single" w:sz="4" w:space="0" w:color="365F91"/>
              <w:bottom w:val="single" w:sz="4" w:space="0" w:color="365F91"/>
            </w:tcBorders>
          </w:tcPr>
          <w:p w14:paraId="1FA98D22" w14:textId="77777777" w:rsidR="00A10636" w:rsidRPr="00D9348B" w:rsidRDefault="00A10636" w:rsidP="00DB330E">
            <w:pPr>
              <w:pStyle w:val="TableText"/>
              <w:spacing w:before="40" w:after="40"/>
              <w:jc w:val="center"/>
            </w:pPr>
            <w:r w:rsidRPr="00D9348B">
              <w:t>17</w:t>
            </w:r>
          </w:p>
        </w:tc>
      </w:tr>
      <w:tr w:rsidR="00A10636" w:rsidRPr="00D9348B" w14:paraId="44A568F0" w14:textId="77777777" w:rsidTr="004F229D">
        <w:tc>
          <w:tcPr>
            <w:tcW w:w="4654" w:type="dxa"/>
            <w:tcBorders>
              <w:top w:val="single" w:sz="4" w:space="0" w:color="365F91"/>
              <w:bottom w:val="single" w:sz="4" w:space="0" w:color="365F91"/>
            </w:tcBorders>
          </w:tcPr>
          <w:p w14:paraId="55BDF3FB" w14:textId="77777777" w:rsidR="00A10636" w:rsidRPr="00D9348B" w:rsidRDefault="00A10636" w:rsidP="00DB330E">
            <w:pPr>
              <w:pStyle w:val="TableText"/>
              <w:spacing w:before="40" w:after="40"/>
            </w:pPr>
            <w:r w:rsidRPr="00D9348B">
              <w:t>C:N ratio: 12 versus 25</w:t>
            </w:r>
          </w:p>
        </w:tc>
        <w:tc>
          <w:tcPr>
            <w:tcW w:w="1697" w:type="dxa"/>
            <w:tcBorders>
              <w:top w:val="single" w:sz="4" w:space="0" w:color="365F91"/>
              <w:bottom w:val="single" w:sz="4" w:space="0" w:color="365F91"/>
            </w:tcBorders>
          </w:tcPr>
          <w:p w14:paraId="7345D313" w14:textId="77777777" w:rsidR="00A10636" w:rsidRPr="00D9348B" w:rsidRDefault="00A10636" w:rsidP="00DB330E">
            <w:pPr>
              <w:pStyle w:val="TableText"/>
              <w:spacing w:before="40" w:after="40"/>
              <w:jc w:val="center"/>
            </w:pPr>
            <w:r w:rsidRPr="00D9348B">
              <w:t>384–418</w:t>
            </w:r>
          </w:p>
        </w:tc>
        <w:tc>
          <w:tcPr>
            <w:tcW w:w="1644" w:type="dxa"/>
            <w:tcBorders>
              <w:top w:val="single" w:sz="4" w:space="0" w:color="365F91"/>
              <w:bottom w:val="single" w:sz="4" w:space="0" w:color="365F91"/>
            </w:tcBorders>
          </w:tcPr>
          <w:p w14:paraId="58BF7983" w14:textId="77777777" w:rsidR="00A10636" w:rsidRPr="00D9348B" w:rsidRDefault="00A10636" w:rsidP="00DB330E">
            <w:pPr>
              <w:pStyle w:val="TableText"/>
              <w:spacing w:before="40" w:after="40"/>
              <w:jc w:val="center"/>
            </w:pPr>
            <w:r w:rsidRPr="00D9348B">
              <w:t>9</w:t>
            </w:r>
          </w:p>
        </w:tc>
      </w:tr>
      <w:tr w:rsidR="00A10636" w:rsidRPr="00D9348B" w14:paraId="398D399B" w14:textId="77777777" w:rsidTr="004F229D">
        <w:tc>
          <w:tcPr>
            <w:tcW w:w="4654" w:type="dxa"/>
            <w:tcBorders>
              <w:top w:val="single" w:sz="4" w:space="0" w:color="365F91"/>
              <w:bottom w:val="single" w:sz="4" w:space="0" w:color="365F91"/>
            </w:tcBorders>
          </w:tcPr>
          <w:p w14:paraId="18B78A91" w14:textId="77777777" w:rsidR="00A10636" w:rsidRPr="00D9348B" w:rsidRDefault="00A10636" w:rsidP="00DB330E">
            <w:pPr>
              <w:pStyle w:val="TableText"/>
              <w:spacing w:before="40" w:after="40"/>
            </w:pPr>
            <w:r w:rsidRPr="00D9348B">
              <w:t>Stocking: 200 versus 500 stems ha</w:t>
            </w:r>
            <w:r w:rsidRPr="00D9348B">
              <w:rPr>
                <w:vertAlign w:val="superscript"/>
              </w:rPr>
              <w:t>–1</w:t>
            </w:r>
          </w:p>
        </w:tc>
        <w:tc>
          <w:tcPr>
            <w:tcW w:w="1697" w:type="dxa"/>
            <w:tcBorders>
              <w:top w:val="single" w:sz="4" w:space="0" w:color="365F91"/>
              <w:bottom w:val="single" w:sz="4" w:space="0" w:color="365F91"/>
            </w:tcBorders>
          </w:tcPr>
          <w:p w14:paraId="544BAC2C" w14:textId="77777777" w:rsidR="00A10636" w:rsidRPr="00D9348B" w:rsidRDefault="00A10636" w:rsidP="00DB330E">
            <w:pPr>
              <w:pStyle w:val="TableText"/>
              <w:spacing w:before="40" w:after="40"/>
              <w:jc w:val="center"/>
            </w:pPr>
            <w:r w:rsidRPr="00D9348B">
              <w:t>395–411</w:t>
            </w:r>
          </w:p>
        </w:tc>
        <w:tc>
          <w:tcPr>
            <w:tcW w:w="1644" w:type="dxa"/>
            <w:tcBorders>
              <w:top w:val="single" w:sz="4" w:space="0" w:color="365F91"/>
              <w:bottom w:val="single" w:sz="4" w:space="0" w:color="365F91"/>
            </w:tcBorders>
          </w:tcPr>
          <w:p w14:paraId="76190978" w14:textId="77777777" w:rsidR="00A10636" w:rsidRPr="00D9348B" w:rsidRDefault="00A10636" w:rsidP="00DB330E">
            <w:pPr>
              <w:pStyle w:val="TableText"/>
              <w:spacing w:before="40" w:after="40"/>
              <w:jc w:val="center"/>
            </w:pPr>
            <w:r w:rsidRPr="00D9348B">
              <w:t>4</w:t>
            </w:r>
          </w:p>
        </w:tc>
      </w:tr>
    </w:tbl>
    <w:p w14:paraId="79E7B045" w14:textId="77777777" w:rsidR="00A10636" w:rsidRPr="00D9348B" w:rsidRDefault="00A10636" w:rsidP="005932BB">
      <w:pPr>
        <w:pStyle w:val="Noteundertable"/>
        <w:spacing w:after="100"/>
      </w:pPr>
      <w:r w:rsidRPr="00D9348B">
        <w:rPr>
          <w:b/>
        </w:rPr>
        <w:t>Note:</w:t>
      </w:r>
      <w:r w:rsidRPr="00D9348B">
        <w:t xml:space="preserve"> </w:t>
      </w:r>
      <w:r w:rsidRPr="00D9348B">
        <w:tab/>
        <w:t>C</w:t>
      </w:r>
      <w:proofErr w:type="gramStart"/>
      <w:r w:rsidRPr="00D9348B">
        <w:t>:N</w:t>
      </w:r>
      <w:proofErr w:type="gramEnd"/>
      <w:r w:rsidRPr="00D9348B">
        <w:t xml:space="preserve"> = carbon:nitrogen.</w:t>
      </w:r>
    </w:p>
    <w:p w14:paraId="4862336A" w14:textId="77777777" w:rsidR="00A10636" w:rsidRPr="00D9348B" w:rsidRDefault="00A10636" w:rsidP="005932BB">
      <w:pPr>
        <w:pStyle w:val="BodyText"/>
        <w:spacing w:before="100" w:after="100"/>
      </w:pPr>
      <w:r w:rsidRPr="00D9348B">
        <w:rPr>
          <w:b/>
        </w:rPr>
        <w:t xml:space="preserve">The stand tending model: </w:t>
      </w:r>
      <w:r w:rsidRPr="00D9348B">
        <w:t>New Zealand’s plantation forests are intensively managed and, therefore, pruning and thinning provide the majority of the inputs to the dead wood and litter pools. The Forest Carbon Predictor requires silvicultural history inputs to predict changes between biomass pools over time. The information required includes initial stocking, the timing of management events, stocking following each thinning operation and the pruned height and number of stems pruned for each pruning lift. Information on silvicultural events prior to the plot measurement date is normally gathered from forest owners but sometimes these data are incomplete. A history module has been incorporated into the Forest Carbon Predictor that makes use of existing data to identify potential gaps in the stand history. Within the history module, assumptions are made to complete the stand history based on field observations, standard management regimes and known silviculture to date (Beets and Kimberley, unpublished). The history module enables reasonable estimates of stand history and, therefore, biomass transfers between pools resulting from past silvicultural events.</w:t>
      </w:r>
    </w:p>
    <w:p w14:paraId="7A5B3628" w14:textId="77777777" w:rsidR="00A10636" w:rsidRPr="00D9348B" w:rsidRDefault="00A10636" w:rsidP="005932BB">
      <w:pPr>
        <w:pStyle w:val="BodyText"/>
        <w:spacing w:before="100" w:after="100"/>
      </w:pPr>
      <w:r w:rsidRPr="00D9348B">
        <w:rPr>
          <w:b/>
        </w:rPr>
        <w:t>The C_Change carbon allocation model</w:t>
      </w:r>
      <w:r w:rsidRPr="00D9348B">
        <w:t xml:space="preserve"> is designed to apportion carbon to needles, branches, stems, roots and reproductive parts via growth partitioning functions and is integrated into the Forest Carbon Predictor. Dead wood and litter pools are estimated by accounting for losses to the live pools from natural mortality, disease effects on needle retention, branch and crown mortality and silvicultural management activities, for example, pruning and thinning. Component-specific and temperature-dependent decay functions are used to estimate losses of carbon to the atmosphere (Beets et al., 1999). The Forest Carbon Predictor also takes into account biomass removals during production thinning. </w:t>
      </w:r>
    </w:p>
    <w:p w14:paraId="183995C5" w14:textId="77777777" w:rsidR="00A10636" w:rsidRPr="00D9348B" w:rsidRDefault="00A10636" w:rsidP="005932BB">
      <w:pPr>
        <w:pStyle w:val="BodyText"/>
        <w:spacing w:before="100" w:after="100"/>
      </w:pPr>
      <w:r w:rsidRPr="00D9348B">
        <w:t>The individual plot yield curves generated by the Forest Carbon Predictor are combined into estimates of above-ground live biomass, below-ground live biomass, dead wood and litter in an area-weighted and age-based carbon yield table for the productive area of each type of planted forest. Plots that are located outside the productive area within the mapped forest boundary are used to provide emission factors for unstocked areas in both post-1989 forest and pre-1990 planted forest</w:t>
      </w:r>
      <w:r w:rsidRPr="00D9348B">
        <w:rPr>
          <w:i/>
        </w:rPr>
        <w:t xml:space="preserve"> </w:t>
      </w:r>
      <w:r w:rsidRPr="00D9348B">
        <w:t xml:space="preserve">(Paul et al., </w:t>
      </w:r>
      <w:proofErr w:type="gramStart"/>
      <w:r w:rsidRPr="00D9348B">
        <w:t>unpublished(</w:t>
      </w:r>
      <w:proofErr w:type="gramEnd"/>
      <w:r w:rsidRPr="00D9348B">
        <w:t>e)).</w:t>
      </w:r>
    </w:p>
    <w:p w14:paraId="74335625" w14:textId="77777777" w:rsidR="00A10636" w:rsidRPr="00D9348B" w:rsidRDefault="00A10636" w:rsidP="005932BB">
      <w:pPr>
        <w:pStyle w:val="BodyText"/>
        <w:spacing w:before="80" w:after="100"/>
      </w:pPr>
      <w:r w:rsidRPr="00D9348B">
        <w:t xml:space="preserve">Below-ground biomass is derived from the above-ground biomass estimates. For plantation crop trees, below-ground biomass is assumed to be 15 per cent to 20 per cent of total production, depending on stand age (Beets et al., 1999). The ratio for non-crop trees and shrubs is 25 per cent (Coomes et al., 2002). </w:t>
      </w:r>
    </w:p>
    <w:p w14:paraId="707CB064" w14:textId="77777777" w:rsidR="00A10636" w:rsidRPr="00D9348B" w:rsidRDefault="00A10636" w:rsidP="00A10636">
      <w:pPr>
        <w:pStyle w:val="BodyText"/>
        <w:spacing w:after="100"/>
      </w:pPr>
      <w:r w:rsidRPr="00D9348B">
        <w:lastRenderedPageBreak/>
        <w:t>The carbon content of the dead wood pool within a rotation is estimated using the Forest Carbon Predictor model as described above. Immediately following harvesting, 30 per cent of the above-ground biomass pool is transferred to the dead wood pool; the other 70 per cent is instantaneously emitted. All material in the dead wood and litter pools is decayed using an empirically derived, temperature-dependent decay profile as described in Garrett et al. (2010).</w:t>
      </w:r>
    </w:p>
    <w:p w14:paraId="7A87DC58" w14:textId="77777777" w:rsidR="00A10636" w:rsidRPr="00D9348B" w:rsidRDefault="00A10636" w:rsidP="005932BB">
      <w:pPr>
        <w:pStyle w:val="Figure"/>
        <w:spacing w:after="160"/>
      </w:pPr>
      <w:bookmarkStart w:id="1724" w:name="_Toc318362755"/>
      <w:bookmarkStart w:id="1725" w:name="_Toc342470835"/>
      <w:bookmarkStart w:id="1726" w:name="_Toc352505163"/>
      <w:bookmarkStart w:id="1727" w:name="_Toc373395722"/>
      <w:bookmarkStart w:id="1728" w:name="_Toc378853345"/>
      <w:bookmarkStart w:id="1729" w:name="_Toc405448095"/>
      <w:bookmarkStart w:id="1730" w:name="_Toc414531627"/>
      <w:bookmarkStart w:id="1731" w:name="_Toc474914651"/>
      <w:bookmarkStart w:id="1732" w:name="_Toc481752033"/>
      <w:bookmarkStart w:id="1733" w:name="_Toc522010711"/>
      <w:bookmarkStart w:id="1734" w:name="_Toc5269713"/>
      <w:bookmarkStart w:id="1735" w:name="_Toc33529487"/>
      <w:bookmarkStart w:id="1736" w:name="_Toc36292817"/>
      <w:r w:rsidRPr="00D9348B">
        <w:t>Figure 6.4.7</w:t>
      </w:r>
      <w:r w:rsidRPr="00D9348B">
        <w:tab/>
        <w:t>New Zealand’s planted forest inventory modelling process</w:t>
      </w:r>
      <w:bookmarkEnd w:id="1724"/>
      <w:bookmarkEnd w:id="1725"/>
      <w:bookmarkEnd w:id="1726"/>
      <w:bookmarkEnd w:id="1727"/>
      <w:bookmarkEnd w:id="1728"/>
      <w:bookmarkEnd w:id="1729"/>
      <w:bookmarkEnd w:id="1730"/>
      <w:bookmarkEnd w:id="1731"/>
      <w:bookmarkEnd w:id="1732"/>
      <w:bookmarkEnd w:id="1733"/>
      <w:bookmarkEnd w:id="1734"/>
      <w:bookmarkEnd w:id="1735"/>
      <w:bookmarkEnd w:id="1736"/>
    </w:p>
    <w:p w14:paraId="491D0B16" w14:textId="77EDC47D" w:rsidR="00A10636" w:rsidRPr="00D9348B" w:rsidRDefault="007165CF" w:rsidP="00225AF5">
      <w:pPr>
        <w:pStyle w:val="BodyText"/>
        <w:spacing w:before="0" w:after="60"/>
        <w:jc w:val="center"/>
      </w:pPr>
      <w:r>
        <w:pict w14:anchorId="4170985E">
          <v:shape id="_x0000_i1146" type="#_x0000_t75" alt="FCP2.jpg" style="width:376.9pt;height:347.5pt;visibility:visible;mso-wrap-style:square">
            <v:imagedata r:id="rId227" o:title="FCP2"/>
          </v:shape>
        </w:pict>
      </w:r>
    </w:p>
    <w:p w14:paraId="7A3F3337" w14:textId="77777777" w:rsidR="00A10636" w:rsidRPr="00D9348B" w:rsidRDefault="00A10636" w:rsidP="005932BB">
      <w:pPr>
        <w:pStyle w:val="Noteundertable"/>
        <w:spacing w:after="80"/>
      </w:pPr>
      <w:r w:rsidRPr="00D9348B">
        <w:rPr>
          <w:b/>
        </w:rPr>
        <w:t>Note:</w:t>
      </w:r>
      <w:r w:rsidRPr="00D9348B">
        <w:rPr>
          <w:b/>
        </w:rPr>
        <w:tab/>
      </w:r>
      <w:r w:rsidRPr="00D9348B">
        <w:t xml:space="preserve">CRF = common reporting format; LiDAR = Light Detection and Ranging. </w:t>
      </w:r>
      <w:r w:rsidRPr="00D9348B">
        <w:rPr>
          <w:b/>
        </w:rPr>
        <w:t xml:space="preserve">* </w:t>
      </w:r>
      <w:r w:rsidRPr="00D9348B">
        <w:t>LiDAR data are used for pre-1990 planted forests and were obtained in 2015.</w:t>
      </w:r>
    </w:p>
    <w:p w14:paraId="659CB838" w14:textId="77777777" w:rsidR="00A10636" w:rsidRPr="00D9348B" w:rsidRDefault="00A10636" w:rsidP="005932BB">
      <w:pPr>
        <w:pStyle w:val="BodyText"/>
        <w:spacing w:before="100" w:after="100"/>
      </w:pPr>
      <w:r w:rsidRPr="00D9348B">
        <w:t xml:space="preserve">For shrubs and non-crop tree species measured within the planted forest plot network, the carbon content is estimated using species-specific allometric equations. These equations estimate carbon content from diameter and height measurements, and wood density by species (Beets et al., 2012a). </w:t>
      </w:r>
    </w:p>
    <w:p w14:paraId="48542445" w14:textId="77777777" w:rsidR="00A10636" w:rsidRPr="00D9348B" w:rsidRDefault="00A10636" w:rsidP="005932BB">
      <w:pPr>
        <w:pStyle w:val="BodyText"/>
        <w:spacing w:before="100" w:after="100"/>
      </w:pPr>
      <w:r w:rsidRPr="00D9348B">
        <w:t xml:space="preserve">Stock change in the productive area of pre-1990 planted forests is estimated using a forest type-specific national yield table. Plots that are located outside the productive area within the mapped forest boundary are used to provide emission factors for unstocked areas of pre-1990 planted forests (Paul et al., </w:t>
      </w:r>
      <w:proofErr w:type="gramStart"/>
      <w:r w:rsidRPr="00D9348B">
        <w:t>unpublished(</w:t>
      </w:r>
      <w:proofErr w:type="gramEnd"/>
      <w:r w:rsidRPr="00D9348B">
        <w:t xml:space="preserve">a)). </w:t>
      </w:r>
    </w:p>
    <w:p w14:paraId="5F00426E" w14:textId="77777777" w:rsidR="00A10636" w:rsidRPr="00D9348B" w:rsidRDefault="00A10636" w:rsidP="005932BB">
      <w:pPr>
        <w:pStyle w:val="BodyText"/>
        <w:spacing w:before="100" w:after="100"/>
      </w:pPr>
      <w:r w:rsidRPr="00D9348B">
        <w:t>To utilise both plot measurements described above under the pre-1990 planted forest inventory, a single yield table per plot was developed using:</w:t>
      </w:r>
    </w:p>
    <w:p w14:paraId="28016E39" w14:textId="77777777" w:rsidR="00A10636" w:rsidRPr="00D9348B" w:rsidRDefault="00A10636" w:rsidP="00771A8F">
      <w:pPr>
        <w:pStyle w:val="Bullet"/>
        <w:numPr>
          <w:ilvl w:val="0"/>
          <w:numId w:val="20"/>
        </w:numPr>
        <w:spacing w:after="80"/>
      </w:pPr>
      <w:r w:rsidRPr="00D9348B">
        <w:t>the earlier measurement for ages below the first measurement age</w:t>
      </w:r>
    </w:p>
    <w:p w14:paraId="59EE48A3" w14:textId="77777777" w:rsidR="00A10636" w:rsidRPr="00D9348B" w:rsidRDefault="00A10636" w:rsidP="00771A8F">
      <w:pPr>
        <w:pStyle w:val="Bullet"/>
        <w:numPr>
          <w:ilvl w:val="0"/>
          <w:numId w:val="20"/>
        </w:numPr>
        <w:spacing w:after="80"/>
      </w:pPr>
      <w:r w:rsidRPr="00D9348B">
        <w:t>the later measurement for ages above the later measurement age</w:t>
      </w:r>
    </w:p>
    <w:p w14:paraId="25657D71" w14:textId="77777777" w:rsidR="00A10636" w:rsidRPr="00D9348B" w:rsidRDefault="00A10636" w:rsidP="00771A8F">
      <w:pPr>
        <w:pStyle w:val="Bullet"/>
        <w:numPr>
          <w:ilvl w:val="0"/>
          <w:numId w:val="20"/>
        </w:numPr>
      </w:pPr>
      <w:proofErr w:type="gramStart"/>
      <w:r w:rsidRPr="00D9348B">
        <w:t>an</w:t>
      </w:r>
      <w:proofErr w:type="gramEnd"/>
      <w:r w:rsidRPr="00D9348B">
        <w:t xml:space="preserve"> interpolated estimate for the ages between the earlier and later measurements. </w:t>
      </w:r>
    </w:p>
    <w:p w14:paraId="418A24ED" w14:textId="77777777" w:rsidR="00A10636" w:rsidRPr="00D9348B" w:rsidRDefault="00A10636" w:rsidP="008E3FE6">
      <w:pPr>
        <w:pStyle w:val="BodyText"/>
        <w:spacing w:after="100"/>
      </w:pPr>
      <w:r w:rsidRPr="00D9348B">
        <w:lastRenderedPageBreak/>
        <w:t xml:space="preserve">For plots that have been measured once, a ratio estimator derived from plots that have been measured twice is applied to the predicted stocks at the missing measurement date (assuming that the correction for possible bias was the same in both strata) (Paul et al., </w:t>
      </w:r>
      <w:proofErr w:type="gramStart"/>
      <w:r w:rsidRPr="00D9348B">
        <w:t>unpublished(</w:t>
      </w:r>
      <w:proofErr w:type="gramEnd"/>
      <w:r w:rsidRPr="00D9348B">
        <w:t xml:space="preserve">a)). </w:t>
      </w:r>
    </w:p>
    <w:p w14:paraId="6BB77FDF" w14:textId="77777777" w:rsidR="00A10636" w:rsidRPr="00D9348B" w:rsidRDefault="00A10636" w:rsidP="008E3FE6">
      <w:pPr>
        <w:pStyle w:val="BodyText"/>
        <w:spacing w:after="100"/>
      </w:pPr>
      <w:r w:rsidRPr="00D9348B">
        <w:t>The following approach is used to develop a LiDAR-adjusted yield table for pre-1990 planted forests. For LiDAR plots that were not coincident with a ground-measured plot, forest age is obtained from forest owners’ stand records. A regression model was developed for predicting carbon stocks using LiDAR metrics and forest age. A ratio estimator was developed using the LiDAR-derived estimate of age 20 carbon and the estimate obtained from the ground measured plots. This ratio estimator is used to adjust the yield table. The adjustment is used for all ages in the yield table and is also applied to all carbon pools in the table (Paul et al., </w:t>
      </w:r>
      <w:proofErr w:type="gramStart"/>
      <w:r w:rsidRPr="00D9348B">
        <w:t>unpublished(</w:t>
      </w:r>
      <w:proofErr w:type="gramEnd"/>
      <w:r w:rsidRPr="00D9348B">
        <w:t>a)).</w:t>
      </w:r>
    </w:p>
    <w:p w14:paraId="79B17DCD" w14:textId="77777777" w:rsidR="00A10636" w:rsidRPr="00D9348B" w:rsidRDefault="00A10636" w:rsidP="008E3FE6">
      <w:pPr>
        <w:pStyle w:val="BodyText"/>
        <w:spacing w:after="100"/>
      </w:pPr>
      <w:r w:rsidRPr="00D9348B">
        <w:t>The carbon stock in pre-1990 planted forest as at 31 December 2014, estimated directly from the national forest plot network, is 130.72 ± 11.4 tonnes C ha</w:t>
      </w:r>
      <w:r w:rsidRPr="00D9348B">
        <w:rPr>
          <w:vertAlign w:val="superscript"/>
        </w:rPr>
        <w:t>–1</w:t>
      </w:r>
      <w:r w:rsidRPr="00D9348B">
        <w:t xml:space="preserve"> (at the 95 per cent confidence interval) (Paul et al., unpublished(a)). </w:t>
      </w:r>
    </w:p>
    <w:p w14:paraId="293421FA" w14:textId="77777777" w:rsidR="00A10636" w:rsidRPr="00D9348B" w:rsidRDefault="00A10636" w:rsidP="005D0C94">
      <w:pPr>
        <w:pStyle w:val="Heading6"/>
        <w:spacing w:before="160"/>
      </w:pPr>
      <w:bookmarkStart w:id="1737" w:name="_Toc255466339"/>
      <w:bookmarkStart w:id="1738" w:name="_Toc261513146"/>
      <w:bookmarkStart w:id="1739" w:name="_Toc261513759"/>
      <w:r w:rsidRPr="00D9348B">
        <w:t>Soil organic carbon</w:t>
      </w:r>
      <w:bookmarkEnd w:id="1737"/>
      <w:bookmarkEnd w:id="1738"/>
      <w:bookmarkEnd w:id="1739"/>
    </w:p>
    <w:p w14:paraId="50083B14" w14:textId="77777777" w:rsidR="00A10636" w:rsidRPr="00D9348B" w:rsidRDefault="00A10636" w:rsidP="008E3FE6">
      <w:pPr>
        <w:pStyle w:val="BodyText"/>
        <w:spacing w:after="100"/>
      </w:pPr>
      <w:r w:rsidRPr="00D9348B">
        <w:t>SOC stocks in pre-1990 planted forests</w:t>
      </w:r>
      <w:r w:rsidRPr="00D9348B">
        <w:rPr>
          <w:i/>
        </w:rPr>
        <w:t xml:space="preserve"> </w:t>
      </w:r>
      <w:r w:rsidRPr="00D9348B">
        <w:t>are estimated using a Tier 2 method for mineral soils and a Tier 1 method for organic soils (see section 6.3). The steady state mineral SOC stock in pre-1990 planted forest is estimated to be 92.44 tonnes C ha</w:t>
      </w:r>
      <w:r w:rsidRPr="00D9348B">
        <w:rPr>
          <w:vertAlign w:val="superscript"/>
        </w:rPr>
        <w:t>–1</w:t>
      </w:r>
      <w:r w:rsidRPr="00D9348B">
        <w:t xml:space="preserve"> (see table 6.3.2). </w:t>
      </w:r>
    </w:p>
    <w:p w14:paraId="66CF3E23" w14:textId="77777777" w:rsidR="00A10636" w:rsidRPr="00D9348B" w:rsidRDefault="00A10636" w:rsidP="00A10636">
      <w:pPr>
        <w:pStyle w:val="BodyText"/>
      </w:pPr>
      <w:r w:rsidRPr="00D9348B">
        <w:t>The IPCC (2006a) default emission factor for organic soils under planted forest is 0.68 tonnes C ha</w:t>
      </w:r>
      <w:r w:rsidRPr="00D9348B">
        <w:rPr>
          <w:vertAlign w:val="superscript"/>
        </w:rPr>
        <w:t>–1</w:t>
      </w:r>
      <w:r w:rsidRPr="00D9348B">
        <w:t xml:space="preserve"> per annum (see table 6.3.3). Soil carbon change with harvesting is not explicitly estimated because the long-term SOC stock for this land use includes any emissions associated with harvesting.</w:t>
      </w:r>
    </w:p>
    <w:p w14:paraId="378FB6AE" w14:textId="77777777" w:rsidR="00A10636" w:rsidRPr="00D9348B" w:rsidRDefault="00A10636" w:rsidP="005D0C94">
      <w:pPr>
        <w:pStyle w:val="Heading5"/>
        <w:spacing w:before="160"/>
      </w:pPr>
      <w:bookmarkStart w:id="1740" w:name="_Toc280630250"/>
      <w:bookmarkStart w:id="1741" w:name="_Toc255466340"/>
      <w:bookmarkStart w:id="1742" w:name="_Toc261513147"/>
      <w:bookmarkStart w:id="1743" w:name="_Toc261513760"/>
      <w:r w:rsidRPr="00D9348B">
        <w:t>Non-CO</w:t>
      </w:r>
      <w:r w:rsidRPr="00D9348B">
        <w:rPr>
          <w:vertAlign w:val="subscript"/>
        </w:rPr>
        <w:t>2</w:t>
      </w:r>
      <w:r w:rsidRPr="00D9348B">
        <w:t xml:space="preserve"> emissions</w:t>
      </w:r>
      <w:bookmarkEnd w:id="1740"/>
      <w:r w:rsidRPr="00D9348B">
        <w:t xml:space="preserve"> for pre-1990 planted forest </w:t>
      </w:r>
      <w:bookmarkEnd w:id="1741"/>
      <w:bookmarkEnd w:id="1742"/>
      <w:bookmarkEnd w:id="1743"/>
    </w:p>
    <w:p w14:paraId="1F60159E" w14:textId="77777777" w:rsidR="00A10636" w:rsidRPr="00D9348B" w:rsidRDefault="00A10636" w:rsidP="00A10636">
      <w:pPr>
        <w:pStyle w:val="Heading6"/>
        <w:spacing w:before="120"/>
      </w:pPr>
      <w:bookmarkStart w:id="1744" w:name="_Toc255466341"/>
      <w:bookmarkStart w:id="1745" w:name="_Toc261513148"/>
      <w:bookmarkStart w:id="1746" w:name="_Toc261513761"/>
      <w:r w:rsidRPr="00D9348B">
        <w:t>Direct N</w:t>
      </w:r>
      <w:r w:rsidRPr="00D9348B">
        <w:rPr>
          <w:vertAlign w:val="subscript"/>
        </w:rPr>
        <w:t>2</w:t>
      </w:r>
      <w:r w:rsidRPr="00D9348B">
        <w:t>O emissions from nitrogen fertilisation of forest land and other land</w:t>
      </w:r>
    </w:p>
    <w:p w14:paraId="442A1129" w14:textId="77777777" w:rsidR="00A10636" w:rsidRPr="00D9348B" w:rsidRDefault="00A10636" w:rsidP="00A10636">
      <w:pPr>
        <w:pStyle w:val="BodyText"/>
      </w:pPr>
      <w:r w:rsidRPr="00D9348B">
        <w:t>New Zealand activity data on nitrogen fertilisation are not currently disaggregated by land use and, therefore, all direct N</w:t>
      </w:r>
      <w:r w:rsidRPr="00D9348B">
        <w:rPr>
          <w:vertAlign w:val="subscript"/>
        </w:rPr>
        <w:t>2</w:t>
      </w:r>
      <w:r w:rsidRPr="00D9348B">
        <w:t>O</w:t>
      </w:r>
      <w:r w:rsidRPr="00D9348B">
        <w:rPr>
          <w:i/>
        </w:rPr>
        <w:t xml:space="preserve"> </w:t>
      </w:r>
      <w:r w:rsidRPr="00D9348B">
        <w:t>emissions from nitrogen fertilisation of</w:t>
      </w:r>
      <w:r w:rsidRPr="00D9348B">
        <w:rPr>
          <w:i/>
        </w:rPr>
        <w:t xml:space="preserve"> Forest land </w:t>
      </w:r>
      <w:r w:rsidRPr="00D9348B">
        <w:t>and</w:t>
      </w:r>
      <w:r w:rsidRPr="00D9348B">
        <w:rPr>
          <w:i/>
        </w:rPr>
        <w:t> </w:t>
      </w:r>
      <w:proofErr w:type="gramStart"/>
      <w:r w:rsidRPr="00D9348B">
        <w:rPr>
          <w:i/>
        </w:rPr>
        <w:t>Other</w:t>
      </w:r>
      <w:proofErr w:type="gramEnd"/>
      <w:r w:rsidRPr="00D9348B">
        <w:rPr>
          <w:i/>
        </w:rPr>
        <w:t> land</w:t>
      </w:r>
      <w:r w:rsidRPr="00D9348B">
        <w:t xml:space="preserve"> are reported in the Agriculture sector under the category </w:t>
      </w:r>
      <w:r w:rsidRPr="00D9348B">
        <w:rPr>
          <w:i/>
        </w:rPr>
        <w:t>Direct N</w:t>
      </w:r>
      <w:r w:rsidRPr="00D9348B">
        <w:rPr>
          <w:i/>
          <w:vertAlign w:val="subscript"/>
        </w:rPr>
        <w:t>2</w:t>
      </w:r>
      <w:r w:rsidRPr="00D9348B">
        <w:rPr>
          <w:i/>
        </w:rPr>
        <w:t>O emissions from managed soils</w:t>
      </w:r>
      <w:r w:rsidRPr="00D9348B">
        <w:t>.</w:t>
      </w:r>
    </w:p>
    <w:p w14:paraId="1CE125AB" w14:textId="77777777" w:rsidR="00A10636" w:rsidRPr="00D9348B" w:rsidRDefault="00A10636" w:rsidP="005D0C94">
      <w:pPr>
        <w:pStyle w:val="Heading5"/>
        <w:spacing w:before="160"/>
      </w:pPr>
      <w:r w:rsidRPr="00D9348B">
        <w:t>Post-1989 planted forest</w:t>
      </w:r>
    </w:p>
    <w:p w14:paraId="046EC773" w14:textId="77777777" w:rsidR="00A10636" w:rsidRPr="00D9348B" w:rsidRDefault="00A10636" w:rsidP="00A10636">
      <w:pPr>
        <w:pStyle w:val="BodyText"/>
      </w:pPr>
      <w:r w:rsidRPr="00D9348B">
        <w:t>All forest land planted since 1 January 1990, whether established for wood production or soil control purposes, is included as post-1989 forest.</w:t>
      </w:r>
    </w:p>
    <w:p w14:paraId="28E62E57" w14:textId="77777777" w:rsidR="00A10636" w:rsidRPr="00D9348B" w:rsidRDefault="00A10636" w:rsidP="005D0C94">
      <w:pPr>
        <w:pStyle w:val="Heading6"/>
        <w:spacing w:before="160"/>
      </w:pPr>
      <w:r w:rsidRPr="00D9348B">
        <w:t>Living biomass and dead organic matter</w:t>
      </w:r>
    </w:p>
    <w:p w14:paraId="218C95DA" w14:textId="77777777" w:rsidR="00A10636" w:rsidRPr="00D9348B" w:rsidRDefault="00A10636" w:rsidP="008E3FE6">
      <w:pPr>
        <w:pStyle w:val="BodyText"/>
        <w:spacing w:before="100" w:after="100"/>
      </w:pPr>
      <w:r w:rsidRPr="00D9348B">
        <w:t>A plot-based forest inventory system has been developed for carbon estimation in New Zealand’s post-1989 planted forest (see Beets et al., 2011a). In the post-1989 planted forest inventory, circular 0.06 hectare permanent sample plots have been established within forests on a systematic 4-kilometre grid coincident with that used for the pre-1990 natural forest and pre-1990 planted forest inventories (Moore and Goulding, unpublished). Permanent sample plots were selected over temporary sample plots because change over time is more easily analysed when there are multiple measurements of the same plot set (Beets et al., 2011a).</w:t>
      </w:r>
    </w:p>
    <w:p w14:paraId="295D824C" w14:textId="31FA8C29" w:rsidR="00A10636" w:rsidRPr="00D9348B" w:rsidRDefault="00A10636" w:rsidP="008E3FE6">
      <w:pPr>
        <w:pStyle w:val="BodyText"/>
        <w:spacing w:before="100"/>
      </w:pPr>
      <w:r w:rsidRPr="00D9348B">
        <w:t xml:space="preserve">The initial post-1989 planted forest inventory carried out during the winters of 2007 and 2008 at 246 sites consisted of up to four sample plots in a cluster arrangement. The plots were </w:t>
      </w:r>
      <w:r w:rsidRPr="00D9348B">
        <w:lastRenderedPageBreak/>
        <w:t xml:space="preserve">sampled using the methods as described in Payton et al. (unpublished). A second inventory was carried out during the winters of 2011 and 2012 where the centre plot of the earlier established cluster plots was re-measured and additional new plots were established. In total, 342 plots were ground measured from the mapped area of post-1989 planted forest in the second inventory. Importantly, the additional plots in the later inventory addressed a bias in the earlier estimates caused by incomplete sampling of the forest area. This was due to the initial field inventory beginning prior to the completion of the 2008 </w:t>
      </w:r>
      <w:r w:rsidR="00766DDA">
        <w:t>land-use</w:t>
      </w:r>
      <w:r w:rsidRPr="00D9348B">
        <w:t xml:space="preserve"> map. The planted forest inventory shifted from a periodic to a continuous inventory in 2016. The continuous inventory measures around 140 permanent sample plots annually over a five-year re-measurement cycle. The continuous inventory provides annual data on forest management (e.g., harvest age and thinning), natural disturbance and growth that can be incorporated into planted forest carbon stock estimates.</w:t>
      </w:r>
    </w:p>
    <w:p w14:paraId="035C56A2" w14:textId="77777777" w:rsidR="00A10636" w:rsidRPr="00D9348B" w:rsidRDefault="00A10636" w:rsidP="005E6405">
      <w:pPr>
        <w:pStyle w:val="BodyText"/>
      </w:pPr>
      <w:r w:rsidRPr="00D9348B">
        <w:t>The ground measurements in the post-1989 planted forest inventory include: stem diameters of live and dead trees at breast height; a sample of tree heights for each tree species; pruned heights; measurement of dead wood and soil fertility samples for predicting wood density (Beets et al., 2011a). Silvicultural information, including tree age, stocking (stems per hectare) and timing of pruning and thinning activities, is gathered from forest owners and estimated by field teams on site. Ground plot centres are located using a 12-channel differential GPS for relocation in future inventories (Beets et al., 2011a).</w:t>
      </w:r>
    </w:p>
    <w:p w14:paraId="08744119" w14:textId="77777777" w:rsidR="00A10636" w:rsidRPr="00D9348B" w:rsidRDefault="00A10636" w:rsidP="005E6405">
      <w:pPr>
        <w:pStyle w:val="BodyText"/>
      </w:pPr>
      <w:r w:rsidRPr="00D9348B">
        <w:t xml:space="preserve">Stock change in the productive area of post-1989 planted forest is estimated using a forest type-specific national yield table approach similar to that described above under ‘Living biomass and dead organic matter’ within pre-1990 planted forest. Plots that are located outside the productive area within the mapped forest boundary are used to provide carbon stock estimates for unstocked areas of post-1989 planted forests (Paul et al., </w:t>
      </w:r>
      <w:proofErr w:type="gramStart"/>
      <w:r w:rsidRPr="00D9348B">
        <w:t>unpublished(</w:t>
      </w:r>
      <w:proofErr w:type="gramEnd"/>
      <w:r w:rsidRPr="00D9348B">
        <w:t>d)). It has been demonstrated in the development of the post-1989 forest yield table that forests planted on grassland are more productive than those planted on forest land (Paul et al., unpublished(c)).</w:t>
      </w:r>
    </w:p>
    <w:p w14:paraId="6EF2110E" w14:textId="77777777" w:rsidR="00A10636" w:rsidRPr="00D9348B" w:rsidRDefault="00A10636" w:rsidP="005E6405">
      <w:pPr>
        <w:pStyle w:val="BodyText"/>
      </w:pPr>
      <w:r w:rsidRPr="00D9348B">
        <w:t xml:space="preserve">To utilise all plot measurements described above, a single yield table per plot was developed using the estimated carbon stock at each measurement date. An interpolated estimate is used to provide carbon stock at all ages between the measurement dates. The advantage of the interpolation method is that it maintains the actual carbon stock values at individual measurement dates. Individual yield tables are combined as weighted means in a national yield table for the productive area of post-1989 planted forest (Paul et al., </w:t>
      </w:r>
      <w:proofErr w:type="gramStart"/>
      <w:r w:rsidRPr="00D9348B">
        <w:t>unpublished(</w:t>
      </w:r>
      <w:proofErr w:type="gramEnd"/>
      <w:r w:rsidRPr="00D9348B">
        <w:t>d)).</w:t>
      </w:r>
    </w:p>
    <w:p w14:paraId="57853009" w14:textId="77777777" w:rsidR="00A10636" w:rsidRPr="00D9348B" w:rsidRDefault="00A10636" w:rsidP="005E6405">
      <w:pPr>
        <w:pStyle w:val="BodyText"/>
      </w:pPr>
      <w:r w:rsidRPr="00D9348B">
        <w:t xml:space="preserve">New Zealand plantation forests are actively managed, with thinning and pruning activities undertaken early in the rotation. The majority of these activities are completed before trees reach the age of 13 years. Thus the dead wood and litter pools from these management practices gradually increase leading up to this age. After the age of 13 years, when pruning and thinning cease and decay exceeds inputs, these pools decline. Due to the age-class structure of post-1989 forest in New Zealand, this can be seen as a rapid increase in the dead wood and litter pools over consecutive years. </w:t>
      </w:r>
    </w:p>
    <w:p w14:paraId="2B909D1E" w14:textId="77777777" w:rsidR="00A10636" w:rsidRPr="00D9348B" w:rsidRDefault="00A10636" w:rsidP="00A10636">
      <w:pPr>
        <w:pStyle w:val="BodyText"/>
      </w:pPr>
      <w:r w:rsidRPr="00D9348B">
        <w:t>The carbon stock estimate for the productive area of post-1989 planted forest is 163.4 ± 21.5 tonnes C ha</w:t>
      </w:r>
      <w:r w:rsidRPr="00D9348B">
        <w:rPr>
          <w:vertAlign w:val="superscript"/>
        </w:rPr>
        <w:t>–1</w:t>
      </w:r>
      <w:r w:rsidRPr="00D9348B">
        <w:t xml:space="preserve"> (at the 95 per cent confidence interval) as at 31 December 2018 (Paul et al., </w:t>
      </w:r>
      <w:proofErr w:type="gramStart"/>
      <w:r w:rsidRPr="00D9348B">
        <w:t>unpublished(</w:t>
      </w:r>
      <w:proofErr w:type="gramEnd"/>
      <w:r w:rsidRPr="00D9348B">
        <w:t>d)). This carbon stock estimate, while high, is consistent with the international comparisons provided in table 4.8 of the 2006 IPCC Guidelines (IPCC, 2006a) and reflects the composition of this forest type, which involves fast-growing and actively managed production forestry.</w:t>
      </w:r>
    </w:p>
    <w:p w14:paraId="65E84530" w14:textId="77777777" w:rsidR="00A10636" w:rsidRPr="00D9348B" w:rsidRDefault="00A10636" w:rsidP="00865BDB">
      <w:pPr>
        <w:pStyle w:val="Heading4"/>
      </w:pPr>
      <w:bookmarkStart w:id="1747" w:name="_Toc255466343"/>
      <w:bookmarkStart w:id="1748" w:name="_Toc261513150"/>
      <w:bookmarkStart w:id="1749" w:name="_Toc261513763"/>
      <w:bookmarkStart w:id="1750" w:name="_Toc280630251"/>
      <w:bookmarkEnd w:id="1744"/>
      <w:bookmarkEnd w:id="1745"/>
      <w:bookmarkEnd w:id="1746"/>
      <w:r w:rsidRPr="00D9348B">
        <w:lastRenderedPageBreak/>
        <w:t>Land converted to forest land</w:t>
      </w:r>
      <w:bookmarkEnd w:id="1747"/>
      <w:bookmarkEnd w:id="1748"/>
      <w:bookmarkEnd w:id="1749"/>
      <w:bookmarkEnd w:id="1750"/>
      <w:r w:rsidRPr="00D9348B">
        <w:t xml:space="preserve"> (CRF 4.A.2)</w:t>
      </w:r>
    </w:p>
    <w:p w14:paraId="1AB3329C" w14:textId="77777777" w:rsidR="00A10636" w:rsidRPr="00D9348B" w:rsidRDefault="00A10636" w:rsidP="00A10636">
      <w:pPr>
        <w:pStyle w:val="BodyText"/>
      </w:pPr>
      <w:r w:rsidRPr="00D9348B">
        <w:t xml:space="preserve">All </w:t>
      </w:r>
      <w:r w:rsidRPr="00D9348B">
        <w:rPr>
          <w:i/>
        </w:rPr>
        <w:t>Land converted to forest land</w:t>
      </w:r>
      <w:r w:rsidRPr="00D9348B">
        <w:t xml:space="preserve"> since 1 January 1990, either by planting or as a result of human-induced changes in land-management practice (e.g., removing grazing stock and actively facilitating the regeneration of tree species), is included as post-1989 forest. Post-1989 forest is split into two divisions for calculating emissions and removals: post-1989 natural forest and post-1989 planted forest. Reporting is at the aggregate level of post-1989 forest in the National Inventory Report. Where there has been a land-use change between natural forest and planted forest, the associated carbon changes are reported under </w:t>
      </w:r>
      <w:r w:rsidRPr="00D9348B">
        <w:rPr>
          <w:i/>
        </w:rPr>
        <w:t>Forest land remaining forest land</w:t>
      </w:r>
      <w:r w:rsidRPr="00D9348B">
        <w:rPr>
          <w:iCs/>
        </w:rPr>
        <w:t>,</w:t>
      </w:r>
      <w:r w:rsidRPr="00D9348B">
        <w:rPr>
          <w:i/>
        </w:rPr>
        <w:t xml:space="preserve"> </w:t>
      </w:r>
      <w:r w:rsidRPr="00D9348B">
        <w:t xml:space="preserve">provided the forest has already been established for 28 years. </w:t>
      </w:r>
    </w:p>
    <w:p w14:paraId="67A93AEC" w14:textId="77777777" w:rsidR="00A10636" w:rsidRPr="00D9348B" w:rsidRDefault="00A10636" w:rsidP="00A10636">
      <w:pPr>
        <w:pStyle w:val="BodyText"/>
        <w:rPr>
          <w:spacing w:val="-2"/>
        </w:rPr>
      </w:pPr>
      <w:r w:rsidRPr="00D9348B">
        <w:rPr>
          <w:spacing w:val="-2"/>
        </w:rPr>
        <w:t>When non-forest land is converted to forest land, all living biomass that was present at the time of forest establishment is assumed to be instantly emitted as a result of forest establishment preparation. Between 1990 and 2018, approximately 58 per cent of the non-forest land converted to post-1989 forest has been from low producing grassland, with 23 per cent converted from grassland with woody biomass and a further 18 per cent converted from high producing grassland. Grassland with woody biomass provides the largest source of emissions associated with land-use change to forest due to the amount of biomass present prior to land</w:t>
      </w:r>
      <w:r w:rsidRPr="00D9348B">
        <w:rPr>
          <w:spacing w:val="-2"/>
        </w:rPr>
        <w:noBreakHyphen/>
        <w:t>use conversion.</w:t>
      </w:r>
    </w:p>
    <w:p w14:paraId="62466F09" w14:textId="77777777" w:rsidR="00A10636" w:rsidRPr="00D9348B" w:rsidRDefault="00A10636" w:rsidP="00A10636">
      <w:pPr>
        <w:pStyle w:val="BodyText"/>
      </w:pPr>
      <w:r w:rsidRPr="00D9348B">
        <w:t>Details on the methods, plot network, sampling framework and biomass pools for both post</w:t>
      </w:r>
      <w:r w:rsidRPr="00D9348B">
        <w:noBreakHyphen/>
        <w:t xml:space="preserve">1989 planted and post-1989 natural forest are described in the </w:t>
      </w:r>
      <w:r w:rsidRPr="00D9348B">
        <w:rPr>
          <w:i/>
        </w:rPr>
        <w:t>Forest land remaining forest land</w:t>
      </w:r>
      <w:r w:rsidRPr="00D9348B">
        <w:rPr>
          <w:iCs/>
        </w:rPr>
        <w:t xml:space="preserve"> </w:t>
      </w:r>
      <w:r w:rsidRPr="00D9348B">
        <w:t xml:space="preserve">section above. </w:t>
      </w:r>
    </w:p>
    <w:p w14:paraId="431E9D69" w14:textId="77777777" w:rsidR="00A10636" w:rsidRPr="00D9348B" w:rsidRDefault="00A10636" w:rsidP="00A10636">
      <w:pPr>
        <w:pStyle w:val="Heading3"/>
      </w:pPr>
      <w:bookmarkStart w:id="1751" w:name="_Toc255466354"/>
      <w:bookmarkStart w:id="1752" w:name="_Toc261513161"/>
      <w:bookmarkStart w:id="1753" w:name="_Toc261513774"/>
      <w:bookmarkStart w:id="1754" w:name="_Toc280630254"/>
      <w:bookmarkStart w:id="1755" w:name="_Toc373395713"/>
      <w:r w:rsidRPr="00D9348B">
        <w:t>6.4.3</w:t>
      </w:r>
      <w:r w:rsidRPr="00D9348B">
        <w:tab/>
        <w:t>Uncertainties and time-series consistency</w:t>
      </w:r>
      <w:bookmarkEnd w:id="1751"/>
      <w:bookmarkEnd w:id="1752"/>
      <w:bookmarkEnd w:id="1753"/>
      <w:bookmarkEnd w:id="1754"/>
      <w:bookmarkEnd w:id="1755"/>
    </w:p>
    <w:p w14:paraId="0889A9A1" w14:textId="77777777" w:rsidR="00A10636" w:rsidRPr="00D9348B" w:rsidRDefault="00A10636" w:rsidP="00A10636">
      <w:pPr>
        <w:pStyle w:val="BodyText"/>
      </w:pPr>
      <w:r w:rsidRPr="00D9348B">
        <w:t xml:space="preserve">Emissions from </w:t>
      </w:r>
      <w:r w:rsidRPr="00D9348B">
        <w:rPr>
          <w:i/>
        </w:rPr>
        <w:t>Forest land</w:t>
      </w:r>
      <w:r w:rsidRPr="00D9348B">
        <w:t xml:space="preserve"> are 7.8 per cent of New Zealand’s net emissions uncertainty in 2018 (annex 2). </w:t>
      </w:r>
      <w:r w:rsidRPr="00D9348B">
        <w:rPr>
          <w:i/>
        </w:rPr>
        <w:t>Forest land</w:t>
      </w:r>
      <w:r w:rsidRPr="00D9348B">
        <w:t xml:space="preserve"> introduces 8.3 per cent uncertainty into the trend in the national total from 1990 to 2018. </w:t>
      </w:r>
    </w:p>
    <w:p w14:paraId="243D28DB" w14:textId="77777777" w:rsidR="00A10636" w:rsidRPr="00D9348B" w:rsidRDefault="00A10636" w:rsidP="00A10636">
      <w:pPr>
        <w:pStyle w:val="Heading5"/>
      </w:pPr>
      <w:bookmarkStart w:id="1756" w:name="_Toc249147596"/>
      <w:bookmarkStart w:id="1757" w:name="_Toc255466355"/>
      <w:bookmarkStart w:id="1758" w:name="_Toc261513162"/>
      <w:bookmarkStart w:id="1759" w:name="_Toc261513775"/>
      <w:bookmarkStart w:id="1760" w:name="_Toc280630255"/>
      <w:r w:rsidRPr="00D9348B">
        <w:t>Pre-1990 natural forest</w:t>
      </w:r>
      <w:bookmarkEnd w:id="1756"/>
      <w:bookmarkEnd w:id="1757"/>
      <w:bookmarkEnd w:id="1758"/>
      <w:bookmarkEnd w:id="1759"/>
      <w:bookmarkEnd w:id="1760"/>
    </w:p>
    <w:p w14:paraId="59552935" w14:textId="77777777" w:rsidR="00A10636" w:rsidRPr="00D9348B" w:rsidRDefault="00A10636" w:rsidP="00A10636">
      <w:pPr>
        <w:pStyle w:val="BodyText"/>
      </w:pPr>
      <w:r w:rsidRPr="00D9348B">
        <w:t>The uncertainty in mapping pre-1990 natural forest is ±5.0 per cent (see table 6.4.7). Further details are given in section 6.2.5.</w:t>
      </w:r>
    </w:p>
    <w:p w14:paraId="331AB351" w14:textId="77777777" w:rsidR="00A10636" w:rsidRPr="00D9348B" w:rsidRDefault="00A10636" w:rsidP="00A10636">
      <w:pPr>
        <w:pStyle w:val="BodyText"/>
      </w:pPr>
      <w:r w:rsidRPr="00D9348B">
        <w:t xml:space="preserve">The estimates for carbon stock and carbon stock change in pre-1990 natural forests were adapted from Paul et al. </w:t>
      </w:r>
      <w:proofErr w:type="gramStart"/>
      <w:r w:rsidRPr="00D9348B">
        <w:t>unpublished(</w:t>
      </w:r>
      <w:proofErr w:type="gramEnd"/>
      <w:r w:rsidRPr="00D9348B">
        <w:t>b). The uncertainty in carbon stock estimates for pre</w:t>
      </w:r>
      <w:r w:rsidRPr="00D9348B">
        <w:noBreakHyphen/>
        <w:t>1990 natural forests was ± 4.1 per cent at the 95 per cent confidence interval for tall forests (250 ± 5.3 tonnes C ha</w:t>
      </w:r>
      <w:r w:rsidRPr="00D9348B">
        <w:rPr>
          <w:vertAlign w:val="superscript"/>
        </w:rPr>
        <w:t>–1</w:t>
      </w:r>
      <w:r w:rsidRPr="00D9348B">
        <w:t>) and ± 14 per cent for regenerating forests (61.7 ± 8.4 tonnes C ha</w:t>
      </w:r>
      <w:r w:rsidRPr="00D9348B">
        <w:rPr>
          <w:vertAlign w:val="superscript"/>
        </w:rPr>
        <w:t>–1</w:t>
      </w:r>
      <w:r w:rsidRPr="00D9348B">
        <w:t>; adapted from Paul et al. unpublished(b)). The uncertainty in the estimate of carbon stock change was ± 40 per cent for regenerating forest (0.62 ± 1.6 tonnes C ha</w:t>
      </w:r>
      <w:r w:rsidRPr="00D9348B">
        <w:rPr>
          <w:vertAlign w:val="superscript"/>
        </w:rPr>
        <w:t xml:space="preserve">–1 </w:t>
      </w:r>
      <w:r w:rsidRPr="00D9348B">
        <w:t>yr</w:t>
      </w:r>
      <w:r w:rsidRPr="00D9348B">
        <w:rPr>
          <w:vertAlign w:val="superscript"/>
        </w:rPr>
        <w:t>-1</w:t>
      </w:r>
      <w:r w:rsidRPr="00D9348B">
        <w:t>) and ± 533 per cent for tall forest (–0.04 ± 0.21 tonnes C ha</w:t>
      </w:r>
      <w:r w:rsidRPr="00D9348B">
        <w:rPr>
          <w:vertAlign w:val="superscript"/>
        </w:rPr>
        <w:t xml:space="preserve">–1 </w:t>
      </w:r>
      <w:r w:rsidRPr="00D9348B">
        <w:t>yr</w:t>
      </w:r>
      <w:r w:rsidRPr="00D9348B">
        <w:rPr>
          <w:vertAlign w:val="superscript"/>
        </w:rPr>
        <w:t>–1</w:t>
      </w:r>
      <w:r w:rsidRPr="00D9348B">
        <w:t xml:space="preserve">). Due to the small estimate of change in carbon stocks in tall forest with a very high associated uncertainty, this estimate was considered to not be significantly different from zero and so no emissions factor was applied (i.e., a rate of zero sequestration was applied to tall forest). </w:t>
      </w:r>
    </w:p>
    <w:p w14:paraId="225DF4D5" w14:textId="77777777" w:rsidR="00A10636" w:rsidRPr="00D9348B" w:rsidRDefault="00A10636" w:rsidP="00A10636">
      <w:pPr>
        <w:pStyle w:val="Table"/>
      </w:pPr>
      <w:bookmarkStart w:id="1761" w:name="_Toc280630457"/>
      <w:bookmarkStart w:id="1762" w:name="_Toc310423410"/>
      <w:bookmarkStart w:id="1763" w:name="_Toc318362703"/>
      <w:bookmarkStart w:id="1764" w:name="_Toc342470765"/>
      <w:bookmarkStart w:id="1765" w:name="_Toc352505005"/>
      <w:bookmarkStart w:id="1766" w:name="_Toc373395730"/>
      <w:bookmarkStart w:id="1767" w:name="_Toc378853296"/>
      <w:bookmarkStart w:id="1768" w:name="_Toc391024094"/>
      <w:bookmarkStart w:id="1769" w:name="_Toc410028837"/>
      <w:bookmarkStart w:id="1770" w:name="_Toc414531465"/>
      <w:bookmarkStart w:id="1771" w:name="_Toc443645378"/>
      <w:bookmarkStart w:id="1772" w:name="_Toc474914597"/>
      <w:bookmarkStart w:id="1773" w:name="_Toc481751561"/>
      <w:bookmarkStart w:id="1774" w:name="_Toc522010618"/>
      <w:bookmarkStart w:id="1775" w:name="_Toc5269523"/>
      <w:bookmarkStart w:id="1776" w:name="_Toc33529397"/>
      <w:bookmarkStart w:id="1777" w:name="_Toc36224603"/>
      <w:r w:rsidRPr="00D9348B">
        <w:lastRenderedPageBreak/>
        <w:t xml:space="preserve">Table 6.4.7 </w:t>
      </w:r>
      <w:r w:rsidRPr="00D9348B">
        <w:tab/>
        <w:t xml:space="preserve">Uncertainty in New Zealand’s 2018 estimates from pre-1990 natural </w:t>
      </w:r>
      <w:proofErr w:type="gramStart"/>
      <w:r w:rsidRPr="00D9348B">
        <w:t>forest</w:t>
      </w:r>
      <w:bookmarkEnd w:id="1761"/>
      <w:bookmarkEnd w:id="1762"/>
      <w:bookmarkEnd w:id="1763"/>
      <w:bookmarkEnd w:id="1764"/>
      <w:proofErr w:type="gramEnd"/>
      <w:r w:rsidRPr="00D9348B">
        <w:br/>
        <w:t>(including land in transition)</w:t>
      </w:r>
      <w:bookmarkEnd w:id="1765"/>
      <w:bookmarkEnd w:id="1766"/>
      <w:bookmarkEnd w:id="1767"/>
      <w:bookmarkEnd w:id="1768"/>
      <w:bookmarkEnd w:id="1769"/>
      <w:bookmarkEnd w:id="1770"/>
      <w:bookmarkEnd w:id="1771"/>
      <w:bookmarkEnd w:id="1772"/>
      <w:bookmarkEnd w:id="1773"/>
      <w:bookmarkEnd w:id="1774"/>
      <w:bookmarkEnd w:id="1775"/>
      <w:bookmarkEnd w:id="1776"/>
      <w:bookmarkEnd w:id="1777"/>
    </w:p>
    <w:tbl>
      <w:tblPr>
        <w:tblW w:w="8505" w:type="dxa"/>
        <w:tblInd w:w="108" w:type="dxa"/>
        <w:tblLook w:val="04A0" w:firstRow="1" w:lastRow="0" w:firstColumn="1" w:lastColumn="0" w:noHBand="0" w:noVBand="1"/>
      </w:tblPr>
      <w:tblGrid>
        <w:gridCol w:w="4668"/>
        <w:gridCol w:w="3837"/>
      </w:tblGrid>
      <w:tr w:rsidR="00A10636" w:rsidRPr="00D9348B" w14:paraId="01FBE72A" w14:textId="77777777" w:rsidTr="007A1322">
        <w:trPr>
          <w:tblHeader/>
        </w:trPr>
        <w:tc>
          <w:tcPr>
            <w:tcW w:w="4413" w:type="dxa"/>
            <w:tcBorders>
              <w:top w:val="single" w:sz="4" w:space="0" w:color="365F91"/>
              <w:bottom w:val="single" w:sz="4" w:space="0" w:color="365F91"/>
            </w:tcBorders>
            <w:shd w:val="clear" w:color="auto" w:fill="365F91"/>
            <w:noWrap/>
            <w:hideMark/>
          </w:tcPr>
          <w:p w14:paraId="09865105" w14:textId="77777777" w:rsidR="00A10636" w:rsidRPr="00D9348B" w:rsidRDefault="00A10636" w:rsidP="007A1322">
            <w:pPr>
              <w:pStyle w:val="TableTextBold"/>
              <w:keepNext/>
              <w:rPr>
                <w:noProof w:val="0"/>
                <w:color w:val="FFFFFF"/>
              </w:rPr>
            </w:pPr>
            <w:r w:rsidRPr="00D9348B">
              <w:rPr>
                <w:noProof w:val="0"/>
                <w:color w:val="FFFFFF"/>
              </w:rPr>
              <w:t>Variable</w:t>
            </w:r>
          </w:p>
        </w:tc>
        <w:tc>
          <w:tcPr>
            <w:tcW w:w="3628" w:type="dxa"/>
            <w:tcBorders>
              <w:top w:val="single" w:sz="4" w:space="0" w:color="365F91"/>
              <w:bottom w:val="single" w:sz="4" w:space="0" w:color="365F91"/>
            </w:tcBorders>
            <w:shd w:val="clear" w:color="auto" w:fill="365F91"/>
            <w:noWrap/>
            <w:hideMark/>
          </w:tcPr>
          <w:p w14:paraId="00DEE4CB" w14:textId="77777777" w:rsidR="00A10636" w:rsidRPr="00D9348B" w:rsidRDefault="00A10636" w:rsidP="007A1322">
            <w:pPr>
              <w:pStyle w:val="TableTextBold"/>
              <w:keepNext/>
              <w:rPr>
                <w:noProof w:val="0"/>
                <w:color w:val="FFFFFF"/>
              </w:rPr>
            </w:pPr>
            <w:r w:rsidRPr="00D9348B">
              <w:rPr>
                <w:noProof w:val="0"/>
                <w:color w:val="FFFFFF"/>
              </w:rPr>
              <w:t>Uncertainty at a 95% confidence interval (%)</w:t>
            </w:r>
          </w:p>
        </w:tc>
      </w:tr>
      <w:tr w:rsidR="00A10636" w:rsidRPr="00D9348B" w14:paraId="48D33840" w14:textId="77777777" w:rsidTr="007A1322">
        <w:tc>
          <w:tcPr>
            <w:tcW w:w="4413" w:type="dxa"/>
            <w:tcBorders>
              <w:top w:val="single" w:sz="4" w:space="0" w:color="365F91"/>
              <w:bottom w:val="single" w:sz="4" w:space="0" w:color="365F91"/>
            </w:tcBorders>
            <w:noWrap/>
            <w:hideMark/>
          </w:tcPr>
          <w:p w14:paraId="37DFD834" w14:textId="77777777" w:rsidR="00A10636" w:rsidRPr="00D9348B" w:rsidRDefault="00A10636" w:rsidP="00DB330E">
            <w:pPr>
              <w:pStyle w:val="TableTextBold"/>
              <w:keepNext/>
              <w:rPr>
                <w:noProof w:val="0"/>
              </w:rPr>
            </w:pPr>
            <w:r w:rsidRPr="00D9348B">
              <w:rPr>
                <w:noProof w:val="0"/>
              </w:rPr>
              <w:t>Activity data</w:t>
            </w:r>
          </w:p>
        </w:tc>
        <w:tc>
          <w:tcPr>
            <w:tcW w:w="3628" w:type="dxa"/>
            <w:tcBorders>
              <w:top w:val="single" w:sz="4" w:space="0" w:color="365F91"/>
              <w:bottom w:val="single" w:sz="4" w:space="0" w:color="365F91"/>
            </w:tcBorders>
            <w:noWrap/>
            <w:hideMark/>
          </w:tcPr>
          <w:p w14:paraId="21760CBB" w14:textId="77777777" w:rsidR="00A10636" w:rsidRPr="00D9348B" w:rsidRDefault="00A10636" w:rsidP="00DB330E">
            <w:pPr>
              <w:pStyle w:val="TableTextBold"/>
              <w:keepNext/>
              <w:rPr>
                <w:noProof w:val="0"/>
              </w:rPr>
            </w:pPr>
          </w:p>
        </w:tc>
      </w:tr>
      <w:tr w:rsidR="00A10636" w:rsidRPr="00D9348B" w14:paraId="3A2F5CF0" w14:textId="77777777" w:rsidTr="007A1322">
        <w:tc>
          <w:tcPr>
            <w:tcW w:w="4413" w:type="dxa"/>
            <w:tcBorders>
              <w:top w:val="single" w:sz="4" w:space="0" w:color="365F91"/>
              <w:bottom w:val="single" w:sz="4" w:space="0" w:color="365F91"/>
            </w:tcBorders>
            <w:noWrap/>
            <w:hideMark/>
          </w:tcPr>
          <w:p w14:paraId="6A21D2AD" w14:textId="77777777" w:rsidR="00A10636" w:rsidRPr="00D9348B" w:rsidRDefault="00A10636" w:rsidP="00DB330E">
            <w:pPr>
              <w:pStyle w:val="TableText"/>
              <w:keepNext/>
            </w:pPr>
            <w:r w:rsidRPr="00D9348B">
              <w:t>Uncertainty in land area</w:t>
            </w:r>
          </w:p>
        </w:tc>
        <w:tc>
          <w:tcPr>
            <w:tcW w:w="3628" w:type="dxa"/>
            <w:tcBorders>
              <w:top w:val="single" w:sz="4" w:space="0" w:color="365F91"/>
              <w:bottom w:val="single" w:sz="4" w:space="0" w:color="365F91"/>
            </w:tcBorders>
            <w:noWrap/>
            <w:hideMark/>
          </w:tcPr>
          <w:p w14:paraId="2E9C387A" w14:textId="77777777" w:rsidR="00A10636" w:rsidRPr="00D9348B" w:rsidRDefault="00A10636" w:rsidP="00DB330E">
            <w:pPr>
              <w:pStyle w:val="TableText"/>
              <w:keepNext/>
              <w:jc w:val="center"/>
            </w:pPr>
            <w:r w:rsidRPr="00D9348B">
              <w:t>±5.0</w:t>
            </w:r>
          </w:p>
        </w:tc>
      </w:tr>
      <w:tr w:rsidR="00A10636" w:rsidRPr="00D9348B" w14:paraId="26137753" w14:textId="77777777" w:rsidTr="007A1322">
        <w:tc>
          <w:tcPr>
            <w:tcW w:w="4413" w:type="dxa"/>
            <w:tcBorders>
              <w:top w:val="single" w:sz="4" w:space="0" w:color="365F91"/>
              <w:bottom w:val="single" w:sz="4" w:space="0" w:color="365F91"/>
            </w:tcBorders>
            <w:noWrap/>
            <w:hideMark/>
          </w:tcPr>
          <w:p w14:paraId="460D3B01" w14:textId="77777777" w:rsidR="00A10636" w:rsidRPr="00D9348B" w:rsidRDefault="00A10636" w:rsidP="00DB330E">
            <w:pPr>
              <w:pStyle w:val="TableTextBold"/>
              <w:rPr>
                <w:noProof w:val="0"/>
              </w:rPr>
            </w:pPr>
            <w:r w:rsidRPr="00D9348B">
              <w:rPr>
                <w:noProof w:val="0"/>
              </w:rPr>
              <w:t>Emission factors</w:t>
            </w:r>
          </w:p>
        </w:tc>
        <w:tc>
          <w:tcPr>
            <w:tcW w:w="3628" w:type="dxa"/>
            <w:tcBorders>
              <w:top w:val="single" w:sz="4" w:space="0" w:color="365F91"/>
              <w:bottom w:val="single" w:sz="4" w:space="0" w:color="365F91"/>
            </w:tcBorders>
            <w:noWrap/>
            <w:hideMark/>
          </w:tcPr>
          <w:p w14:paraId="049D6AB6" w14:textId="77777777" w:rsidR="00A10636" w:rsidRPr="00D9348B" w:rsidRDefault="00A10636" w:rsidP="00DB330E">
            <w:pPr>
              <w:pStyle w:val="TableTextBold"/>
              <w:jc w:val="center"/>
              <w:rPr>
                <w:noProof w:val="0"/>
              </w:rPr>
            </w:pPr>
          </w:p>
        </w:tc>
      </w:tr>
      <w:tr w:rsidR="00A10636" w:rsidRPr="00D9348B" w14:paraId="0F678A04" w14:textId="77777777" w:rsidTr="007A1322">
        <w:tc>
          <w:tcPr>
            <w:tcW w:w="4413" w:type="dxa"/>
            <w:tcBorders>
              <w:top w:val="single" w:sz="4" w:space="0" w:color="365F91"/>
              <w:bottom w:val="single" w:sz="4" w:space="0" w:color="365F91"/>
            </w:tcBorders>
            <w:noWrap/>
            <w:hideMark/>
          </w:tcPr>
          <w:p w14:paraId="53D56F43" w14:textId="77777777" w:rsidR="00A10636" w:rsidRPr="00D9348B" w:rsidRDefault="00A10636" w:rsidP="00DB330E">
            <w:pPr>
              <w:pStyle w:val="TableText"/>
            </w:pPr>
            <w:r w:rsidRPr="00D9348B">
              <w:t>Uncertainty in tall forest biomass carbon stocks</w:t>
            </w:r>
          </w:p>
        </w:tc>
        <w:tc>
          <w:tcPr>
            <w:tcW w:w="3628" w:type="dxa"/>
            <w:tcBorders>
              <w:top w:val="single" w:sz="4" w:space="0" w:color="365F91"/>
              <w:bottom w:val="single" w:sz="4" w:space="0" w:color="365F91"/>
            </w:tcBorders>
            <w:noWrap/>
            <w:hideMark/>
          </w:tcPr>
          <w:p w14:paraId="3E1A3B73" w14:textId="77777777" w:rsidR="00A10636" w:rsidRPr="00D9348B" w:rsidRDefault="00A10636" w:rsidP="00DB330E">
            <w:pPr>
              <w:pStyle w:val="TableText"/>
              <w:jc w:val="center"/>
            </w:pPr>
            <w:r w:rsidRPr="00D9348B">
              <w:t>±6.5</w:t>
            </w:r>
          </w:p>
        </w:tc>
      </w:tr>
      <w:tr w:rsidR="00A10636" w:rsidRPr="00D9348B" w14:paraId="267ED14A" w14:textId="77777777" w:rsidTr="007A1322">
        <w:tc>
          <w:tcPr>
            <w:tcW w:w="4413" w:type="dxa"/>
            <w:tcBorders>
              <w:top w:val="single" w:sz="4" w:space="0" w:color="365F91"/>
              <w:bottom w:val="single" w:sz="4" w:space="0" w:color="365F91"/>
            </w:tcBorders>
            <w:noWrap/>
          </w:tcPr>
          <w:p w14:paraId="122669C3" w14:textId="77777777" w:rsidR="00A10636" w:rsidRPr="00D9348B" w:rsidRDefault="00A10636" w:rsidP="00DB330E">
            <w:pPr>
              <w:pStyle w:val="TableText"/>
            </w:pPr>
            <w:r w:rsidRPr="00D9348B">
              <w:t>Uncertainty in regenerating forest biomass carbon change</w:t>
            </w:r>
          </w:p>
        </w:tc>
        <w:tc>
          <w:tcPr>
            <w:tcW w:w="3628" w:type="dxa"/>
            <w:tcBorders>
              <w:top w:val="single" w:sz="4" w:space="0" w:color="365F91"/>
              <w:bottom w:val="single" w:sz="4" w:space="0" w:color="365F91"/>
            </w:tcBorders>
            <w:noWrap/>
          </w:tcPr>
          <w:p w14:paraId="66B41B0E" w14:textId="77777777" w:rsidR="00A10636" w:rsidRPr="00D9348B" w:rsidRDefault="00A10636" w:rsidP="00DB330E">
            <w:pPr>
              <w:pStyle w:val="TableText"/>
              <w:jc w:val="center"/>
            </w:pPr>
            <w:r w:rsidRPr="00D9348B">
              <w:t>±40.3</w:t>
            </w:r>
          </w:p>
        </w:tc>
      </w:tr>
      <w:tr w:rsidR="00A10636" w:rsidRPr="00D9348B" w14:paraId="349B66CC" w14:textId="77777777" w:rsidTr="007A1322">
        <w:tc>
          <w:tcPr>
            <w:tcW w:w="4413" w:type="dxa"/>
            <w:tcBorders>
              <w:top w:val="single" w:sz="4" w:space="0" w:color="365F91"/>
              <w:bottom w:val="single" w:sz="4" w:space="0" w:color="365F91"/>
            </w:tcBorders>
            <w:noWrap/>
            <w:hideMark/>
          </w:tcPr>
          <w:p w14:paraId="6A2FB841" w14:textId="77777777" w:rsidR="00A10636" w:rsidRPr="00D9348B" w:rsidRDefault="00A10636" w:rsidP="00DB330E">
            <w:pPr>
              <w:pStyle w:val="TableText"/>
            </w:pPr>
            <w:r w:rsidRPr="00D9348B">
              <w:t>Uncertainty in soil carbon stocks</w:t>
            </w:r>
          </w:p>
        </w:tc>
        <w:tc>
          <w:tcPr>
            <w:tcW w:w="3628" w:type="dxa"/>
            <w:tcBorders>
              <w:top w:val="single" w:sz="4" w:space="0" w:color="365F91"/>
              <w:bottom w:val="single" w:sz="4" w:space="0" w:color="365F91"/>
            </w:tcBorders>
            <w:noWrap/>
            <w:hideMark/>
          </w:tcPr>
          <w:p w14:paraId="43BC948B" w14:textId="77777777" w:rsidR="00A10636" w:rsidRPr="00D9348B" w:rsidRDefault="00A10636" w:rsidP="00DB330E">
            <w:pPr>
              <w:pStyle w:val="TableText"/>
              <w:jc w:val="center"/>
            </w:pPr>
            <w:r w:rsidRPr="00D9348B">
              <w:t>±7.9</w:t>
            </w:r>
          </w:p>
        </w:tc>
      </w:tr>
      <w:tr w:rsidR="00A10636" w:rsidRPr="00D9348B" w14:paraId="1783680E" w14:textId="77777777" w:rsidTr="007A1322">
        <w:tc>
          <w:tcPr>
            <w:tcW w:w="4413" w:type="dxa"/>
            <w:tcBorders>
              <w:top w:val="single" w:sz="4" w:space="0" w:color="365F91"/>
              <w:bottom w:val="single" w:sz="4" w:space="0" w:color="365F91"/>
            </w:tcBorders>
            <w:noWrap/>
            <w:hideMark/>
          </w:tcPr>
          <w:p w14:paraId="48C372D4" w14:textId="77777777" w:rsidR="00A10636" w:rsidRPr="00D9348B" w:rsidRDefault="00A10636" w:rsidP="00DB330E">
            <w:pPr>
              <w:pStyle w:val="Tableboldblue"/>
              <w:jc w:val="right"/>
            </w:pPr>
            <w:r w:rsidRPr="00D9348B">
              <w:t>Uncertainty introduced into net emissions for LULUCF</w:t>
            </w:r>
          </w:p>
        </w:tc>
        <w:tc>
          <w:tcPr>
            <w:tcW w:w="3628" w:type="dxa"/>
            <w:tcBorders>
              <w:top w:val="single" w:sz="4" w:space="0" w:color="365F91"/>
              <w:bottom w:val="single" w:sz="4" w:space="0" w:color="365F91"/>
            </w:tcBorders>
            <w:noWrap/>
            <w:hideMark/>
          </w:tcPr>
          <w:p w14:paraId="0D191D3D" w14:textId="77777777" w:rsidR="00A10636" w:rsidRPr="00D9348B" w:rsidRDefault="00A10636" w:rsidP="00DB330E">
            <w:pPr>
              <w:pStyle w:val="Tableboldblue"/>
            </w:pPr>
            <w:r w:rsidRPr="00D9348B">
              <w:t>±4.7</w:t>
            </w:r>
          </w:p>
        </w:tc>
      </w:tr>
    </w:tbl>
    <w:p w14:paraId="273BB216" w14:textId="675373BD" w:rsidR="00A10636" w:rsidRPr="00D9348B" w:rsidRDefault="00A10636" w:rsidP="00A10636">
      <w:pPr>
        <w:pStyle w:val="Noteundertable"/>
      </w:pPr>
      <w:r w:rsidRPr="00D9348B">
        <w:rPr>
          <w:b/>
        </w:rPr>
        <w:t>Note:</w:t>
      </w:r>
      <w:r w:rsidRPr="00D9348B">
        <w:tab/>
        <w:t>Land area includes land in transition in 2018. The activity data and combined emission factor uncertainty are</w:t>
      </w:r>
      <w:r w:rsidR="007A1322" w:rsidRPr="00D9348B">
        <w:t> </w:t>
      </w:r>
      <w:r w:rsidRPr="00D9348B">
        <w:t>weighted values and have been calculated using equations 3.1 and 3.2 from IPCC General Guidance and Reporting (IPCC, 2006b). As the emission factor for carbon stock change in tall forests is reported to be zero, the uncertainty associated with this figure is effectively zero when following the IPCC guidelines for the propagation of uncertainty (IPCC, 2006a).</w:t>
      </w:r>
    </w:p>
    <w:p w14:paraId="382BB708" w14:textId="77777777" w:rsidR="00A10636" w:rsidRPr="00D9348B" w:rsidRDefault="00A10636" w:rsidP="00A10636">
      <w:pPr>
        <w:pStyle w:val="Heading5"/>
      </w:pPr>
      <w:bookmarkStart w:id="1778" w:name="_Toc249147597"/>
      <w:bookmarkStart w:id="1779" w:name="_Toc255466356"/>
      <w:bookmarkStart w:id="1780" w:name="_Toc261513163"/>
      <w:bookmarkStart w:id="1781" w:name="_Toc261513776"/>
      <w:bookmarkStart w:id="1782" w:name="_Toc280630256"/>
      <w:r w:rsidRPr="00D9348B">
        <w:t>Pre-1990 planted forest</w:t>
      </w:r>
      <w:bookmarkEnd w:id="1778"/>
      <w:bookmarkEnd w:id="1779"/>
      <w:bookmarkEnd w:id="1780"/>
      <w:bookmarkEnd w:id="1781"/>
      <w:bookmarkEnd w:id="1782"/>
    </w:p>
    <w:p w14:paraId="00197ADD" w14:textId="77777777" w:rsidR="00A10636" w:rsidRPr="00D9348B" w:rsidRDefault="00A10636" w:rsidP="00A10636">
      <w:pPr>
        <w:pStyle w:val="BodyText"/>
      </w:pPr>
      <w:r w:rsidRPr="00D9348B">
        <w:t>A national plot-based inventory system, in conjunction with a suite of models, is used to estimate carbon stock and carbon stock change within New Zealand’s planted forest (see Beets et al., 2012a). The models are collectively called the Forest Carbon Predictor version 4.1 (Beets and Kimberley, unpublished) and are described in further detail in section 6.4.2 under ‘Living biomass and dead organic matter’. Extensive work has been carried out to reduce the uncertainty in the estimates, including the use of a specifically designed plot network and research-based improvements to the models.</w:t>
      </w:r>
    </w:p>
    <w:p w14:paraId="6C8B124D" w14:textId="77777777" w:rsidR="00A10636" w:rsidRPr="00D9348B" w:rsidRDefault="00A10636" w:rsidP="00A10636">
      <w:pPr>
        <w:pStyle w:val="BodyText"/>
      </w:pPr>
      <w:r w:rsidRPr="00D9348B">
        <w:t>Beets et al. (2011b) discuss the validation of the Forest Carbon Predictor model used to produce carbon yield tables for the LULUCF sector. For the plots in this study, the estimates of total carbon stock per plot made using the Forest Carbon Predictor were found to be within 5 per cent of measured values. When just above-ground biomass per plot was considered, accuracy was within approximately 1 per cent. Carbon stock change was estimated within 5 per cent accuracy when linked with plot data at the start and end of each five-year period, linking closely with the scheduled duration between the national plot-based inventories (Moore and Goulding, unpublished).</w:t>
      </w:r>
    </w:p>
    <w:p w14:paraId="2E49FFA6" w14:textId="77777777" w:rsidR="00A10636" w:rsidRPr="00D9348B" w:rsidRDefault="00A10636" w:rsidP="00A10636">
      <w:pPr>
        <w:pStyle w:val="BodyText"/>
      </w:pPr>
      <w:r w:rsidRPr="00D9348B">
        <w:t>New Zealand’s pre-1990 planted forests were sampled in 2010 and 2015, and the analysis of the data collected has provided an unbiased plot-based estimate of carbon stock and change within this forest type. The uncertainty of the pre-1990 planted forest biomass estimate at the 95 per cent confidence interval is ±11.4 per cent (see table 6.4.8).</w:t>
      </w:r>
    </w:p>
    <w:p w14:paraId="67E1452A" w14:textId="77777777" w:rsidR="00A10636" w:rsidRPr="00D9348B" w:rsidRDefault="00A10636" w:rsidP="00A10636">
      <w:pPr>
        <w:pStyle w:val="BodyText"/>
      </w:pPr>
      <w:r w:rsidRPr="00D9348B">
        <w:t xml:space="preserve">The uncertainty in the estimates of pre-1990 planted forest for the 2020 submission is provided in table 6.4.8. </w:t>
      </w:r>
    </w:p>
    <w:p w14:paraId="48274F7F" w14:textId="77777777" w:rsidR="00A10636" w:rsidRPr="00D9348B" w:rsidRDefault="00A10636" w:rsidP="00A10636">
      <w:pPr>
        <w:pStyle w:val="Table"/>
        <w:rPr>
          <w:rFonts w:cs="Arial"/>
          <w:szCs w:val="16"/>
        </w:rPr>
      </w:pPr>
      <w:bookmarkStart w:id="1783" w:name="_Toc280630458"/>
      <w:bookmarkStart w:id="1784" w:name="_Toc310423411"/>
      <w:bookmarkStart w:id="1785" w:name="_Toc318362704"/>
      <w:bookmarkStart w:id="1786" w:name="_Toc342470766"/>
      <w:bookmarkStart w:id="1787" w:name="_Toc352505006"/>
      <w:bookmarkStart w:id="1788" w:name="_Toc373395731"/>
      <w:bookmarkStart w:id="1789" w:name="_Toc378853297"/>
      <w:bookmarkStart w:id="1790" w:name="_Toc391024095"/>
      <w:bookmarkStart w:id="1791" w:name="_Toc410028838"/>
      <w:bookmarkStart w:id="1792" w:name="_Toc414531466"/>
      <w:bookmarkStart w:id="1793" w:name="_Toc443645379"/>
      <w:bookmarkStart w:id="1794" w:name="_Toc474914598"/>
      <w:bookmarkStart w:id="1795" w:name="_Toc481751562"/>
      <w:bookmarkStart w:id="1796" w:name="_Toc522010619"/>
      <w:bookmarkStart w:id="1797" w:name="_Toc5269524"/>
      <w:bookmarkStart w:id="1798" w:name="_Toc33529398"/>
      <w:bookmarkStart w:id="1799" w:name="_Toc36224604"/>
      <w:r w:rsidRPr="00D9348B">
        <w:lastRenderedPageBreak/>
        <w:t>Table 6.4.8</w:t>
      </w:r>
      <w:r w:rsidRPr="00D9348B">
        <w:tab/>
        <w:t xml:space="preserve">Uncertainty in New Zealand’s 2018 estimates from </w:t>
      </w:r>
      <w:r w:rsidRPr="00D9348B">
        <w:rPr>
          <w:rFonts w:cs="Arial"/>
          <w:szCs w:val="16"/>
        </w:rPr>
        <w:t>pre-1990 planted </w:t>
      </w:r>
      <w:proofErr w:type="gramStart"/>
      <w:r w:rsidRPr="00D9348B">
        <w:rPr>
          <w:rFonts w:cs="Arial"/>
          <w:szCs w:val="16"/>
        </w:rPr>
        <w:t>forest</w:t>
      </w:r>
      <w:bookmarkEnd w:id="1783"/>
      <w:bookmarkEnd w:id="1784"/>
      <w:bookmarkEnd w:id="1785"/>
      <w:bookmarkEnd w:id="1786"/>
      <w:proofErr w:type="gramEnd"/>
      <w:r w:rsidRPr="00D9348B">
        <w:rPr>
          <w:rFonts w:cs="Arial"/>
          <w:szCs w:val="16"/>
        </w:rPr>
        <w:br/>
        <w:t>(including land in transition)</w:t>
      </w:r>
      <w:bookmarkEnd w:id="1787"/>
      <w:bookmarkEnd w:id="1788"/>
      <w:bookmarkEnd w:id="1789"/>
      <w:bookmarkEnd w:id="1790"/>
      <w:bookmarkEnd w:id="1791"/>
      <w:bookmarkEnd w:id="1792"/>
      <w:bookmarkEnd w:id="1793"/>
      <w:bookmarkEnd w:id="1794"/>
      <w:bookmarkEnd w:id="1795"/>
      <w:bookmarkEnd w:id="1796"/>
      <w:bookmarkEnd w:id="1797"/>
      <w:bookmarkEnd w:id="1798"/>
      <w:bookmarkEnd w:id="1799"/>
    </w:p>
    <w:tbl>
      <w:tblPr>
        <w:tblW w:w="8505" w:type="dxa"/>
        <w:tblInd w:w="108" w:type="dxa"/>
        <w:tblLook w:val="04A0" w:firstRow="1" w:lastRow="0" w:firstColumn="1" w:lastColumn="0" w:noHBand="0" w:noVBand="1"/>
      </w:tblPr>
      <w:tblGrid>
        <w:gridCol w:w="4625"/>
        <w:gridCol w:w="3880"/>
      </w:tblGrid>
      <w:tr w:rsidR="00A10636" w:rsidRPr="00D9348B" w14:paraId="01DE06D5" w14:textId="77777777" w:rsidTr="007A1322">
        <w:trPr>
          <w:tblHeader/>
        </w:trPr>
        <w:tc>
          <w:tcPr>
            <w:tcW w:w="4366" w:type="dxa"/>
            <w:tcBorders>
              <w:top w:val="single" w:sz="4" w:space="0" w:color="365F91"/>
              <w:bottom w:val="single" w:sz="4" w:space="0" w:color="365F91"/>
            </w:tcBorders>
            <w:shd w:val="clear" w:color="auto" w:fill="365F91"/>
            <w:noWrap/>
            <w:hideMark/>
          </w:tcPr>
          <w:p w14:paraId="2721A2EA" w14:textId="77777777" w:rsidR="00A10636" w:rsidRPr="00D9348B" w:rsidRDefault="00A10636" w:rsidP="00DB330E">
            <w:pPr>
              <w:pStyle w:val="TableTextBold"/>
              <w:keepNext/>
              <w:rPr>
                <w:noProof w:val="0"/>
                <w:color w:val="FFFFFF"/>
              </w:rPr>
            </w:pPr>
            <w:r w:rsidRPr="00D9348B">
              <w:rPr>
                <w:noProof w:val="0"/>
                <w:color w:val="FFFFFF"/>
              </w:rPr>
              <w:t>Variable</w:t>
            </w:r>
          </w:p>
        </w:tc>
        <w:tc>
          <w:tcPr>
            <w:tcW w:w="3662" w:type="dxa"/>
            <w:tcBorders>
              <w:top w:val="single" w:sz="4" w:space="0" w:color="365F91"/>
              <w:bottom w:val="single" w:sz="4" w:space="0" w:color="365F91"/>
            </w:tcBorders>
            <w:shd w:val="clear" w:color="auto" w:fill="365F91"/>
            <w:noWrap/>
            <w:hideMark/>
          </w:tcPr>
          <w:p w14:paraId="5073B470" w14:textId="77777777" w:rsidR="00A10636" w:rsidRPr="00D9348B" w:rsidRDefault="00A10636" w:rsidP="00DB330E">
            <w:pPr>
              <w:pStyle w:val="TableTextBold"/>
              <w:keepNext/>
              <w:jc w:val="center"/>
              <w:rPr>
                <w:noProof w:val="0"/>
                <w:color w:val="FFFFFF"/>
              </w:rPr>
            </w:pPr>
            <w:r w:rsidRPr="00D9348B">
              <w:rPr>
                <w:noProof w:val="0"/>
                <w:color w:val="FFFFFF"/>
              </w:rPr>
              <w:t>Uncertainty at a 95% confidence interval (%)</w:t>
            </w:r>
          </w:p>
        </w:tc>
      </w:tr>
      <w:tr w:rsidR="00A10636" w:rsidRPr="00D9348B" w14:paraId="17132C0E" w14:textId="77777777" w:rsidTr="007A1322">
        <w:tc>
          <w:tcPr>
            <w:tcW w:w="4366" w:type="dxa"/>
            <w:tcBorders>
              <w:top w:val="single" w:sz="4" w:space="0" w:color="365F91"/>
              <w:bottom w:val="single" w:sz="4" w:space="0" w:color="365F91"/>
            </w:tcBorders>
            <w:noWrap/>
            <w:hideMark/>
          </w:tcPr>
          <w:p w14:paraId="3DB8BA33" w14:textId="77777777" w:rsidR="00A10636" w:rsidRPr="00D9348B" w:rsidRDefault="00A10636" w:rsidP="00DB330E">
            <w:pPr>
              <w:pStyle w:val="TableTextBold"/>
              <w:keepNext/>
              <w:rPr>
                <w:noProof w:val="0"/>
              </w:rPr>
            </w:pPr>
            <w:r w:rsidRPr="00D9348B">
              <w:rPr>
                <w:noProof w:val="0"/>
              </w:rPr>
              <w:t>Activity data</w:t>
            </w:r>
          </w:p>
        </w:tc>
        <w:tc>
          <w:tcPr>
            <w:tcW w:w="3662" w:type="dxa"/>
            <w:tcBorders>
              <w:top w:val="single" w:sz="4" w:space="0" w:color="365F91"/>
              <w:bottom w:val="single" w:sz="4" w:space="0" w:color="365F91"/>
            </w:tcBorders>
            <w:noWrap/>
            <w:hideMark/>
          </w:tcPr>
          <w:p w14:paraId="72CBFF6F" w14:textId="77777777" w:rsidR="00A10636" w:rsidRPr="00D9348B" w:rsidRDefault="00A10636" w:rsidP="00DB330E">
            <w:pPr>
              <w:pStyle w:val="TableTextBold"/>
              <w:keepNext/>
              <w:rPr>
                <w:noProof w:val="0"/>
              </w:rPr>
            </w:pPr>
          </w:p>
        </w:tc>
      </w:tr>
      <w:tr w:rsidR="00A10636" w:rsidRPr="00D9348B" w14:paraId="070FF431" w14:textId="77777777" w:rsidTr="007A1322">
        <w:tc>
          <w:tcPr>
            <w:tcW w:w="4366" w:type="dxa"/>
            <w:tcBorders>
              <w:top w:val="single" w:sz="4" w:space="0" w:color="365F91"/>
              <w:bottom w:val="single" w:sz="4" w:space="0" w:color="365F91"/>
            </w:tcBorders>
            <w:noWrap/>
            <w:hideMark/>
          </w:tcPr>
          <w:p w14:paraId="558DC9C2" w14:textId="77777777" w:rsidR="00A10636" w:rsidRPr="00D9348B" w:rsidRDefault="00A10636" w:rsidP="00DB330E">
            <w:pPr>
              <w:pStyle w:val="TableText"/>
              <w:keepNext/>
            </w:pPr>
            <w:r w:rsidRPr="00D9348B">
              <w:t>Uncertainty in land area</w:t>
            </w:r>
          </w:p>
        </w:tc>
        <w:tc>
          <w:tcPr>
            <w:tcW w:w="3662" w:type="dxa"/>
            <w:tcBorders>
              <w:top w:val="single" w:sz="4" w:space="0" w:color="365F91"/>
              <w:bottom w:val="single" w:sz="4" w:space="0" w:color="365F91"/>
            </w:tcBorders>
            <w:noWrap/>
            <w:hideMark/>
          </w:tcPr>
          <w:p w14:paraId="3B820BEA" w14:textId="77777777" w:rsidR="00A10636" w:rsidRPr="00D9348B" w:rsidRDefault="00A10636" w:rsidP="00DB330E">
            <w:pPr>
              <w:pStyle w:val="TableText"/>
              <w:keepNext/>
              <w:jc w:val="center"/>
            </w:pPr>
            <w:r w:rsidRPr="00D9348B">
              <w:t>±5.0</w:t>
            </w:r>
          </w:p>
        </w:tc>
      </w:tr>
      <w:tr w:rsidR="00A10636" w:rsidRPr="00D9348B" w14:paraId="192C90D3" w14:textId="77777777" w:rsidTr="007A1322">
        <w:tc>
          <w:tcPr>
            <w:tcW w:w="4366" w:type="dxa"/>
            <w:tcBorders>
              <w:top w:val="single" w:sz="4" w:space="0" w:color="365F91"/>
              <w:bottom w:val="single" w:sz="4" w:space="0" w:color="365F91"/>
            </w:tcBorders>
            <w:noWrap/>
            <w:hideMark/>
          </w:tcPr>
          <w:p w14:paraId="0A17A9A9" w14:textId="77777777" w:rsidR="00A10636" w:rsidRPr="00D9348B" w:rsidRDefault="00A10636" w:rsidP="00DB330E">
            <w:pPr>
              <w:pStyle w:val="TableTextBold"/>
              <w:keepNext/>
              <w:rPr>
                <w:noProof w:val="0"/>
              </w:rPr>
            </w:pPr>
            <w:r w:rsidRPr="00D9348B">
              <w:rPr>
                <w:noProof w:val="0"/>
              </w:rPr>
              <w:t>Emission factors</w:t>
            </w:r>
          </w:p>
        </w:tc>
        <w:tc>
          <w:tcPr>
            <w:tcW w:w="3662" w:type="dxa"/>
            <w:tcBorders>
              <w:top w:val="single" w:sz="4" w:space="0" w:color="365F91"/>
              <w:bottom w:val="single" w:sz="4" w:space="0" w:color="365F91"/>
            </w:tcBorders>
            <w:noWrap/>
            <w:hideMark/>
          </w:tcPr>
          <w:p w14:paraId="48D4722A" w14:textId="77777777" w:rsidR="00A10636" w:rsidRPr="00D9348B" w:rsidRDefault="00A10636" w:rsidP="00DB330E">
            <w:pPr>
              <w:pStyle w:val="TableTextBold"/>
              <w:keepNext/>
              <w:jc w:val="center"/>
              <w:rPr>
                <w:noProof w:val="0"/>
              </w:rPr>
            </w:pPr>
          </w:p>
        </w:tc>
      </w:tr>
      <w:tr w:rsidR="00A10636" w:rsidRPr="00D9348B" w14:paraId="0D4DC3C1" w14:textId="77777777" w:rsidTr="007A1322">
        <w:tc>
          <w:tcPr>
            <w:tcW w:w="4366" w:type="dxa"/>
            <w:tcBorders>
              <w:top w:val="single" w:sz="4" w:space="0" w:color="365F91"/>
              <w:bottom w:val="single" w:sz="4" w:space="0" w:color="365F91"/>
            </w:tcBorders>
            <w:noWrap/>
            <w:hideMark/>
          </w:tcPr>
          <w:p w14:paraId="5DBCA0C7" w14:textId="77777777" w:rsidR="00A10636" w:rsidRPr="00D9348B" w:rsidRDefault="00A10636" w:rsidP="00DB330E">
            <w:pPr>
              <w:pStyle w:val="TableText"/>
              <w:keepNext/>
            </w:pPr>
            <w:r w:rsidRPr="00D9348B">
              <w:t>Uncertainty in biomass carbon stocks</w:t>
            </w:r>
          </w:p>
        </w:tc>
        <w:tc>
          <w:tcPr>
            <w:tcW w:w="3662" w:type="dxa"/>
            <w:tcBorders>
              <w:top w:val="single" w:sz="4" w:space="0" w:color="365F91"/>
              <w:bottom w:val="single" w:sz="4" w:space="0" w:color="365F91"/>
            </w:tcBorders>
            <w:noWrap/>
            <w:hideMark/>
          </w:tcPr>
          <w:p w14:paraId="2870DFFD" w14:textId="77777777" w:rsidR="00A10636" w:rsidRPr="00D9348B" w:rsidRDefault="00A10636" w:rsidP="00DB330E">
            <w:pPr>
              <w:pStyle w:val="TableText"/>
              <w:keepNext/>
              <w:jc w:val="center"/>
            </w:pPr>
            <w:r w:rsidRPr="00D9348B">
              <w:t>±11.4</w:t>
            </w:r>
          </w:p>
        </w:tc>
      </w:tr>
      <w:tr w:rsidR="00A10636" w:rsidRPr="00D9348B" w14:paraId="284B9551" w14:textId="77777777" w:rsidTr="007A1322">
        <w:tc>
          <w:tcPr>
            <w:tcW w:w="4366" w:type="dxa"/>
            <w:tcBorders>
              <w:top w:val="single" w:sz="4" w:space="0" w:color="365F91"/>
              <w:bottom w:val="single" w:sz="4" w:space="0" w:color="365F91"/>
            </w:tcBorders>
            <w:noWrap/>
          </w:tcPr>
          <w:p w14:paraId="7B5B8A97" w14:textId="77777777" w:rsidR="00A10636" w:rsidRPr="00D9348B" w:rsidRDefault="00A10636" w:rsidP="00DB330E">
            <w:pPr>
              <w:pStyle w:val="TableText"/>
            </w:pPr>
            <w:r w:rsidRPr="00D9348B">
              <w:t>Uncertainty in unstocked forest biomass carbon stocks</w:t>
            </w:r>
          </w:p>
        </w:tc>
        <w:tc>
          <w:tcPr>
            <w:tcW w:w="3662" w:type="dxa"/>
            <w:tcBorders>
              <w:top w:val="single" w:sz="4" w:space="0" w:color="365F91"/>
              <w:bottom w:val="single" w:sz="4" w:space="0" w:color="365F91"/>
            </w:tcBorders>
            <w:noWrap/>
          </w:tcPr>
          <w:p w14:paraId="01E0CE00" w14:textId="77777777" w:rsidR="00A10636" w:rsidRPr="00D9348B" w:rsidRDefault="00A10636" w:rsidP="00DB330E">
            <w:pPr>
              <w:pStyle w:val="TableText"/>
              <w:jc w:val="center"/>
            </w:pPr>
            <w:r w:rsidRPr="00D9348B">
              <w:t>±146.0</w:t>
            </w:r>
          </w:p>
        </w:tc>
      </w:tr>
      <w:tr w:rsidR="00A10636" w:rsidRPr="00D9348B" w14:paraId="37283378" w14:textId="77777777" w:rsidTr="007A1322">
        <w:tc>
          <w:tcPr>
            <w:tcW w:w="4366" w:type="dxa"/>
            <w:tcBorders>
              <w:top w:val="single" w:sz="4" w:space="0" w:color="365F91"/>
              <w:bottom w:val="single" w:sz="4" w:space="0" w:color="365F91"/>
            </w:tcBorders>
            <w:noWrap/>
          </w:tcPr>
          <w:p w14:paraId="76AC0A8F" w14:textId="77777777" w:rsidR="00A10636" w:rsidRPr="00D9348B" w:rsidRDefault="00A10636" w:rsidP="00DB330E">
            <w:pPr>
              <w:pStyle w:val="TableText"/>
            </w:pPr>
            <w:r w:rsidRPr="00D9348B">
              <w:t>Uncertainty in riparian forest biomass carbon stocks</w:t>
            </w:r>
          </w:p>
        </w:tc>
        <w:tc>
          <w:tcPr>
            <w:tcW w:w="3662" w:type="dxa"/>
            <w:tcBorders>
              <w:top w:val="single" w:sz="4" w:space="0" w:color="365F91"/>
              <w:bottom w:val="single" w:sz="4" w:space="0" w:color="365F91"/>
            </w:tcBorders>
            <w:noWrap/>
          </w:tcPr>
          <w:p w14:paraId="411E0164" w14:textId="77777777" w:rsidR="00A10636" w:rsidRPr="00D9348B" w:rsidRDefault="00A10636" w:rsidP="00DB330E">
            <w:pPr>
              <w:pStyle w:val="TableText"/>
              <w:jc w:val="center"/>
            </w:pPr>
            <w:r w:rsidRPr="00D9348B">
              <w:t>±75.0</w:t>
            </w:r>
          </w:p>
        </w:tc>
      </w:tr>
      <w:tr w:rsidR="00A10636" w:rsidRPr="00D9348B" w14:paraId="0F921441" w14:textId="77777777" w:rsidTr="007A1322">
        <w:tc>
          <w:tcPr>
            <w:tcW w:w="4366" w:type="dxa"/>
            <w:tcBorders>
              <w:top w:val="single" w:sz="4" w:space="0" w:color="365F91"/>
              <w:bottom w:val="single" w:sz="4" w:space="0" w:color="365F91"/>
            </w:tcBorders>
            <w:noWrap/>
            <w:hideMark/>
          </w:tcPr>
          <w:p w14:paraId="1C4B49C7" w14:textId="77777777" w:rsidR="00A10636" w:rsidRPr="00D9348B" w:rsidRDefault="00A10636" w:rsidP="00DB330E">
            <w:pPr>
              <w:pStyle w:val="TableText"/>
            </w:pPr>
            <w:r w:rsidRPr="00D9348B">
              <w:t>Uncertainty in soil carbon stocks</w:t>
            </w:r>
          </w:p>
        </w:tc>
        <w:tc>
          <w:tcPr>
            <w:tcW w:w="3662" w:type="dxa"/>
            <w:tcBorders>
              <w:top w:val="single" w:sz="4" w:space="0" w:color="365F91"/>
              <w:bottom w:val="single" w:sz="4" w:space="0" w:color="365F91"/>
            </w:tcBorders>
            <w:noWrap/>
            <w:hideMark/>
          </w:tcPr>
          <w:p w14:paraId="0F5A2034" w14:textId="77777777" w:rsidR="00A10636" w:rsidRPr="00D9348B" w:rsidRDefault="00A10636" w:rsidP="00DB330E">
            <w:pPr>
              <w:pStyle w:val="TableText"/>
              <w:jc w:val="center"/>
            </w:pPr>
            <w:r w:rsidRPr="00D9348B">
              <w:t>±12.3</w:t>
            </w:r>
          </w:p>
        </w:tc>
      </w:tr>
      <w:tr w:rsidR="00A10636" w:rsidRPr="00D9348B" w14:paraId="7DFCF836" w14:textId="77777777" w:rsidTr="007A1322">
        <w:tc>
          <w:tcPr>
            <w:tcW w:w="4366" w:type="dxa"/>
            <w:tcBorders>
              <w:top w:val="single" w:sz="4" w:space="0" w:color="365F91"/>
              <w:bottom w:val="single" w:sz="4" w:space="0" w:color="365F91"/>
            </w:tcBorders>
            <w:noWrap/>
            <w:hideMark/>
          </w:tcPr>
          <w:p w14:paraId="721FBF47" w14:textId="77777777" w:rsidR="00A10636" w:rsidRPr="00D9348B" w:rsidRDefault="00A10636" w:rsidP="00DB330E">
            <w:pPr>
              <w:pStyle w:val="Tableboldblue"/>
              <w:jc w:val="right"/>
            </w:pPr>
            <w:r w:rsidRPr="00D9348B">
              <w:t>Uncertainty introduced into net emissions for LULUCF</w:t>
            </w:r>
          </w:p>
        </w:tc>
        <w:tc>
          <w:tcPr>
            <w:tcW w:w="3662" w:type="dxa"/>
            <w:tcBorders>
              <w:top w:val="single" w:sz="4" w:space="0" w:color="365F91"/>
              <w:bottom w:val="single" w:sz="4" w:space="0" w:color="365F91"/>
            </w:tcBorders>
            <w:noWrap/>
            <w:hideMark/>
          </w:tcPr>
          <w:p w14:paraId="46F9F370" w14:textId="77777777" w:rsidR="00A10636" w:rsidRPr="00D9348B" w:rsidRDefault="00A10636" w:rsidP="00BB3033">
            <w:pPr>
              <w:pStyle w:val="Tableboldblue"/>
              <w:jc w:val="center"/>
            </w:pPr>
            <w:r w:rsidRPr="00D9348B">
              <w:t>±34.9</w:t>
            </w:r>
          </w:p>
        </w:tc>
      </w:tr>
    </w:tbl>
    <w:p w14:paraId="6CCB185D" w14:textId="77777777" w:rsidR="00A10636" w:rsidRPr="00D9348B" w:rsidRDefault="00A10636" w:rsidP="00A10636">
      <w:pPr>
        <w:pStyle w:val="Noteundertable"/>
      </w:pPr>
      <w:r w:rsidRPr="00D9348B">
        <w:rPr>
          <w:b/>
        </w:rPr>
        <w:t>Note:</w:t>
      </w:r>
      <w:r w:rsidRPr="00D9348B">
        <w:tab/>
        <w:t xml:space="preserve">The biomass uncertainties are low for pre-1990 planted forest (±11.4 per cent). However, the total uncertainty for the category is calculated on the net change. The age structure of the estate in 2018 results in large removals from growth and large emissions from harvesting, leaving a relatively small net change. Therefore, uncertainty is high in this category. Land area includes land in transition in 2018. The activity data and combined emission factor uncertainty are weighted values and have been calculated using equations 3.1 and 3.2 from IPCC General Guidance and Reporting (IPCC, 2006b). </w:t>
      </w:r>
    </w:p>
    <w:p w14:paraId="4672A597" w14:textId="77777777" w:rsidR="00A10636" w:rsidRPr="00D9348B" w:rsidRDefault="00A10636" w:rsidP="00A10636">
      <w:pPr>
        <w:pStyle w:val="Heading5"/>
      </w:pPr>
      <w:bookmarkStart w:id="1800" w:name="_Toc249147598"/>
      <w:bookmarkStart w:id="1801" w:name="_Toc255466357"/>
      <w:bookmarkStart w:id="1802" w:name="_Toc261513164"/>
      <w:bookmarkStart w:id="1803" w:name="_Toc261513777"/>
      <w:bookmarkStart w:id="1804" w:name="_Toc280630257"/>
      <w:r w:rsidRPr="00D9348B">
        <w:t>Post-1989 forest</w:t>
      </w:r>
      <w:bookmarkEnd w:id="1800"/>
      <w:bookmarkEnd w:id="1801"/>
      <w:bookmarkEnd w:id="1802"/>
      <w:bookmarkEnd w:id="1803"/>
      <w:bookmarkEnd w:id="1804"/>
    </w:p>
    <w:p w14:paraId="37476ACC" w14:textId="77777777" w:rsidR="00A10636" w:rsidRPr="00D9348B" w:rsidRDefault="00A10636" w:rsidP="00A10636">
      <w:pPr>
        <w:pStyle w:val="BodyText"/>
        <w:spacing w:after="100"/>
      </w:pPr>
      <w:r w:rsidRPr="00D9348B">
        <w:t>As described in section 6.4.2, post-1989 forest is split into post-1989 natural and post-1989 planted forest. The modelling process for post-1989 planted forest is similar to pre-1990 planted forest, and the uncertainty in the modelling process is outlined above. Additionally, the Forest Carbon Predictor validation is described in Beets et al. (2011b) and New Zealand’s inventory approach is described in Beets et al. (2011a).</w:t>
      </w:r>
    </w:p>
    <w:p w14:paraId="49D8DEE3" w14:textId="77777777" w:rsidR="00A10636" w:rsidRPr="00D9348B" w:rsidRDefault="00A10636" w:rsidP="00A10636">
      <w:pPr>
        <w:pStyle w:val="BodyText"/>
        <w:spacing w:after="100"/>
      </w:pPr>
      <w:r w:rsidRPr="00D9348B">
        <w:t>New Zealand’s post-1989 planted forests were first sampled in 2007 and 2008 and then re</w:t>
      </w:r>
      <w:r w:rsidRPr="00D9348B">
        <w:noBreakHyphen/>
        <w:t xml:space="preserve">measured in 2011 and 2012. The planted forest inventory shifted from a periodic to a continuous inventory in 2016. The inventory provides a plot-based estimate of carbon stock within this forest type. The uncertainty of the post-1989 planted forest biomass estimate at the 95 per cent confidence interval is ±12.25 per cent (Paul et al., </w:t>
      </w:r>
      <w:proofErr w:type="gramStart"/>
      <w:r w:rsidRPr="00D9348B">
        <w:t>unpublished(</w:t>
      </w:r>
      <w:proofErr w:type="gramEnd"/>
      <w:r w:rsidRPr="00D9348B">
        <w:t>d)).</w:t>
      </w:r>
    </w:p>
    <w:p w14:paraId="1FEB8EF2" w14:textId="77777777" w:rsidR="00A10636" w:rsidRPr="00D9348B" w:rsidRDefault="00A10636" w:rsidP="00A10636">
      <w:pPr>
        <w:pStyle w:val="BodyText"/>
        <w:spacing w:after="100"/>
      </w:pPr>
      <w:r w:rsidRPr="00D9348B">
        <w:t>When post-1989 forests were initially inventoried in 2007 and 2008, the mapping of the forest extent had yet to be completed. Consequently, the initial post-1989 forest sample was incomplete. When the national forest map had been completed, additional plots were measured in 2012 and 2013. The continuous inventory initiated in 2016 includes new planted forest plots as they are identified. The inclusion of these plots in the analysis provided an unbiased and representative sample of post-1989 planted and natural forests.</w:t>
      </w:r>
    </w:p>
    <w:p w14:paraId="2AD7A3A5" w14:textId="77777777" w:rsidR="00A10636" w:rsidRPr="00D9348B" w:rsidRDefault="00A10636" w:rsidP="00A10636">
      <w:pPr>
        <w:pStyle w:val="BodyText"/>
        <w:spacing w:after="100"/>
      </w:pPr>
      <w:r w:rsidRPr="00D9348B">
        <w:t>The continuous planted forest inventory provides annual data on forest management (e.g., harvest age and thinning), natural disturbance and growth that can be incorporated into planted forest emission factors.</w:t>
      </w:r>
    </w:p>
    <w:p w14:paraId="2DADC097" w14:textId="77777777" w:rsidR="00A10636" w:rsidRPr="00D9348B" w:rsidRDefault="00A10636" w:rsidP="00A10636">
      <w:pPr>
        <w:pStyle w:val="BodyText"/>
        <w:rPr>
          <w:spacing w:val="-2"/>
        </w:rPr>
      </w:pPr>
      <w:r w:rsidRPr="00D9348B">
        <w:rPr>
          <w:spacing w:val="-2"/>
        </w:rPr>
        <w:t>The inventory of post-1989 natural forest provides estimates of carbon stock that are within 24.9 per cent of the mean at the 95 per cent confidence level as at 2012 (Beets et al., 2014b).</w:t>
      </w:r>
    </w:p>
    <w:p w14:paraId="7DC23DEA" w14:textId="77777777" w:rsidR="00A10636" w:rsidRPr="00D9348B" w:rsidRDefault="00A10636" w:rsidP="00A10636">
      <w:pPr>
        <w:pStyle w:val="BodyText"/>
      </w:pPr>
      <w:bookmarkStart w:id="1805" w:name="_Toc280630459"/>
      <w:bookmarkStart w:id="1806" w:name="_Toc310423412"/>
      <w:bookmarkStart w:id="1807" w:name="_Toc318362705"/>
      <w:bookmarkStart w:id="1808" w:name="_Toc342470767"/>
      <w:bookmarkStart w:id="1809" w:name="_Toc352505007"/>
      <w:bookmarkStart w:id="1810" w:name="_Toc373395732"/>
      <w:bookmarkStart w:id="1811" w:name="_Toc378853298"/>
      <w:bookmarkStart w:id="1812" w:name="_Toc391024096"/>
      <w:bookmarkStart w:id="1813" w:name="_Toc410028839"/>
      <w:bookmarkStart w:id="1814" w:name="_Toc414531467"/>
      <w:bookmarkStart w:id="1815" w:name="_Toc443645380"/>
      <w:bookmarkStart w:id="1816" w:name="_Toc474914599"/>
      <w:bookmarkStart w:id="1817" w:name="_Toc481751563"/>
      <w:r w:rsidRPr="00D9348B">
        <w:t xml:space="preserve">The uncertainty in the estimates of post-1989 forest for the 2020 submission is provided in table 6.4.9. </w:t>
      </w:r>
    </w:p>
    <w:p w14:paraId="1FCE2AC7" w14:textId="77777777" w:rsidR="00A10636" w:rsidRPr="00D9348B" w:rsidRDefault="00A10636" w:rsidP="00A10636">
      <w:pPr>
        <w:pStyle w:val="Table"/>
      </w:pPr>
      <w:bookmarkStart w:id="1818" w:name="_Toc522010620"/>
      <w:bookmarkStart w:id="1819" w:name="_Toc5269525"/>
      <w:bookmarkStart w:id="1820" w:name="_Toc33529399"/>
      <w:bookmarkStart w:id="1821" w:name="_Toc36224605"/>
      <w:r w:rsidRPr="00D9348B">
        <w:lastRenderedPageBreak/>
        <w:t xml:space="preserve">Table 6.4.9 </w:t>
      </w:r>
      <w:r w:rsidRPr="00D9348B">
        <w:tab/>
        <w:t>Uncertainty in New Zealand’s 2018 estimates from post-1989 forest</w:t>
      </w:r>
      <w:bookmarkEnd w:id="1805"/>
      <w:bookmarkEnd w:id="1806"/>
      <w:bookmarkEnd w:id="1807"/>
      <w:bookmarkEnd w:id="1808"/>
      <w:r w:rsidRPr="00D9348B">
        <w:t xml:space="preserve"> (including land in transition)</w:t>
      </w:r>
      <w:bookmarkEnd w:id="1809"/>
      <w:bookmarkEnd w:id="1810"/>
      <w:bookmarkEnd w:id="1811"/>
      <w:bookmarkEnd w:id="1812"/>
      <w:bookmarkEnd w:id="1813"/>
      <w:bookmarkEnd w:id="1814"/>
      <w:bookmarkEnd w:id="1815"/>
      <w:bookmarkEnd w:id="1816"/>
      <w:bookmarkEnd w:id="1817"/>
      <w:bookmarkEnd w:id="1818"/>
      <w:bookmarkEnd w:id="1819"/>
      <w:bookmarkEnd w:id="1820"/>
      <w:bookmarkEnd w:id="1821"/>
    </w:p>
    <w:tbl>
      <w:tblPr>
        <w:tblW w:w="8505" w:type="dxa"/>
        <w:tblInd w:w="108" w:type="dxa"/>
        <w:tblLook w:val="04A0" w:firstRow="1" w:lastRow="0" w:firstColumn="1" w:lastColumn="0" w:noHBand="0" w:noVBand="1"/>
      </w:tblPr>
      <w:tblGrid>
        <w:gridCol w:w="4669"/>
        <w:gridCol w:w="3836"/>
      </w:tblGrid>
      <w:tr w:rsidR="00A10636" w:rsidRPr="00D9348B" w14:paraId="5C0E6EC6" w14:textId="77777777" w:rsidTr="00D0530B">
        <w:tc>
          <w:tcPr>
            <w:tcW w:w="4368" w:type="dxa"/>
            <w:tcBorders>
              <w:top w:val="single" w:sz="4" w:space="0" w:color="365F91"/>
              <w:bottom w:val="single" w:sz="4" w:space="0" w:color="365F91"/>
            </w:tcBorders>
            <w:shd w:val="clear" w:color="auto" w:fill="365F91"/>
            <w:noWrap/>
            <w:hideMark/>
          </w:tcPr>
          <w:p w14:paraId="434BD601" w14:textId="77777777" w:rsidR="00A10636" w:rsidRPr="00D9348B" w:rsidRDefault="00A10636" w:rsidP="00DB330E">
            <w:pPr>
              <w:pStyle w:val="TableTextBold"/>
              <w:keepNext/>
              <w:spacing w:before="50" w:after="50"/>
              <w:rPr>
                <w:noProof w:val="0"/>
                <w:color w:val="FFFFFF"/>
              </w:rPr>
            </w:pPr>
            <w:r w:rsidRPr="00D9348B">
              <w:rPr>
                <w:noProof w:val="0"/>
                <w:color w:val="FFFFFF"/>
              </w:rPr>
              <w:t>Variable</w:t>
            </w:r>
          </w:p>
        </w:tc>
        <w:tc>
          <w:tcPr>
            <w:tcW w:w="3589" w:type="dxa"/>
            <w:tcBorders>
              <w:top w:val="single" w:sz="4" w:space="0" w:color="365F91"/>
              <w:bottom w:val="single" w:sz="4" w:space="0" w:color="365F91"/>
            </w:tcBorders>
            <w:shd w:val="clear" w:color="auto" w:fill="365F91"/>
            <w:noWrap/>
            <w:hideMark/>
          </w:tcPr>
          <w:p w14:paraId="4F5DC9AA" w14:textId="77777777" w:rsidR="00A10636" w:rsidRPr="00D9348B" w:rsidRDefault="00A10636" w:rsidP="00DB330E">
            <w:pPr>
              <w:pStyle w:val="TableTextBold"/>
              <w:keepNext/>
              <w:spacing w:before="50" w:after="50"/>
              <w:jc w:val="center"/>
              <w:rPr>
                <w:noProof w:val="0"/>
                <w:color w:val="FFFFFF"/>
              </w:rPr>
            </w:pPr>
            <w:r w:rsidRPr="00D9348B">
              <w:rPr>
                <w:noProof w:val="0"/>
                <w:color w:val="FFFFFF"/>
              </w:rPr>
              <w:t>Uncertainty at a 95% confidence interval (%)</w:t>
            </w:r>
          </w:p>
        </w:tc>
      </w:tr>
      <w:tr w:rsidR="00A10636" w:rsidRPr="00D9348B" w14:paraId="5A043A9B" w14:textId="77777777" w:rsidTr="00D0530B">
        <w:tc>
          <w:tcPr>
            <w:tcW w:w="4368" w:type="dxa"/>
            <w:tcBorders>
              <w:top w:val="single" w:sz="4" w:space="0" w:color="365F91"/>
              <w:bottom w:val="single" w:sz="4" w:space="0" w:color="365F91"/>
            </w:tcBorders>
            <w:noWrap/>
            <w:hideMark/>
          </w:tcPr>
          <w:p w14:paraId="30BC90FA" w14:textId="77777777" w:rsidR="00A10636" w:rsidRPr="00D9348B" w:rsidRDefault="00A10636" w:rsidP="00DB330E">
            <w:pPr>
              <w:pStyle w:val="TableTextBold"/>
              <w:keepNext/>
              <w:spacing w:before="50" w:after="50"/>
              <w:rPr>
                <w:noProof w:val="0"/>
              </w:rPr>
            </w:pPr>
            <w:r w:rsidRPr="00D9348B">
              <w:rPr>
                <w:noProof w:val="0"/>
              </w:rPr>
              <w:t>Activity data</w:t>
            </w:r>
          </w:p>
        </w:tc>
        <w:tc>
          <w:tcPr>
            <w:tcW w:w="3589" w:type="dxa"/>
            <w:tcBorders>
              <w:top w:val="single" w:sz="4" w:space="0" w:color="365F91"/>
              <w:bottom w:val="single" w:sz="4" w:space="0" w:color="365F91"/>
            </w:tcBorders>
            <w:noWrap/>
            <w:hideMark/>
          </w:tcPr>
          <w:p w14:paraId="4D1281A3" w14:textId="77777777" w:rsidR="00A10636" w:rsidRPr="00D9348B" w:rsidRDefault="00A10636" w:rsidP="00DB330E">
            <w:pPr>
              <w:pStyle w:val="TableTextBold"/>
              <w:keepNext/>
              <w:tabs>
                <w:tab w:val="decimal" w:pos="373"/>
              </w:tabs>
              <w:spacing w:before="50" w:after="50"/>
              <w:jc w:val="center"/>
              <w:rPr>
                <w:noProof w:val="0"/>
              </w:rPr>
            </w:pPr>
          </w:p>
        </w:tc>
      </w:tr>
      <w:tr w:rsidR="00A10636" w:rsidRPr="00D9348B" w14:paraId="14B12D0F" w14:textId="77777777" w:rsidTr="00D0530B">
        <w:tc>
          <w:tcPr>
            <w:tcW w:w="4368" w:type="dxa"/>
            <w:tcBorders>
              <w:top w:val="single" w:sz="4" w:space="0" w:color="365F91"/>
              <w:bottom w:val="single" w:sz="4" w:space="0" w:color="365F91"/>
            </w:tcBorders>
            <w:noWrap/>
            <w:hideMark/>
          </w:tcPr>
          <w:p w14:paraId="6F4937D4" w14:textId="77777777" w:rsidR="00A10636" w:rsidRPr="00D9348B" w:rsidRDefault="00A10636" w:rsidP="00DB330E">
            <w:pPr>
              <w:pStyle w:val="TableText"/>
              <w:keepNext/>
              <w:spacing w:before="50" w:after="50"/>
            </w:pPr>
            <w:r w:rsidRPr="00D9348B">
              <w:t>Uncertainty in land area</w:t>
            </w:r>
          </w:p>
        </w:tc>
        <w:tc>
          <w:tcPr>
            <w:tcW w:w="3589" w:type="dxa"/>
            <w:tcBorders>
              <w:top w:val="single" w:sz="4" w:space="0" w:color="365F91"/>
              <w:bottom w:val="single" w:sz="4" w:space="0" w:color="365F91"/>
            </w:tcBorders>
            <w:noWrap/>
            <w:hideMark/>
          </w:tcPr>
          <w:p w14:paraId="66EFB2F4" w14:textId="77777777" w:rsidR="00A10636" w:rsidRPr="00D9348B" w:rsidRDefault="00A10636" w:rsidP="00DB330E">
            <w:pPr>
              <w:pStyle w:val="TableText"/>
              <w:keepNext/>
              <w:tabs>
                <w:tab w:val="decimal" w:pos="373"/>
              </w:tabs>
              <w:spacing w:before="50" w:after="50"/>
              <w:jc w:val="center"/>
              <w:rPr>
                <w:szCs w:val="16"/>
              </w:rPr>
            </w:pPr>
            <w:r w:rsidRPr="00D9348B">
              <w:rPr>
                <w:szCs w:val="16"/>
              </w:rPr>
              <w:t>±8.0</w:t>
            </w:r>
          </w:p>
        </w:tc>
      </w:tr>
      <w:tr w:rsidR="00A10636" w:rsidRPr="00D9348B" w14:paraId="74CA7C95" w14:textId="77777777" w:rsidTr="00D0530B">
        <w:tc>
          <w:tcPr>
            <w:tcW w:w="4368" w:type="dxa"/>
            <w:tcBorders>
              <w:top w:val="single" w:sz="4" w:space="0" w:color="365F91"/>
              <w:bottom w:val="single" w:sz="4" w:space="0" w:color="365F91"/>
            </w:tcBorders>
            <w:noWrap/>
            <w:hideMark/>
          </w:tcPr>
          <w:p w14:paraId="6C1A59EF" w14:textId="77777777" w:rsidR="00A10636" w:rsidRPr="00D9348B" w:rsidRDefault="00A10636" w:rsidP="00DB330E">
            <w:pPr>
              <w:pStyle w:val="TableTextBold"/>
              <w:keepNext/>
              <w:spacing w:before="50" w:after="50"/>
              <w:rPr>
                <w:noProof w:val="0"/>
              </w:rPr>
            </w:pPr>
            <w:r w:rsidRPr="00D9348B">
              <w:rPr>
                <w:noProof w:val="0"/>
              </w:rPr>
              <w:t>Emission factors</w:t>
            </w:r>
          </w:p>
        </w:tc>
        <w:tc>
          <w:tcPr>
            <w:tcW w:w="3589" w:type="dxa"/>
            <w:tcBorders>
              <w:top w:val="single" w:sz="4" w:space="0" w:color="365F91"/>
              <w:bottom w:val="single" w:sz="4" w:space="0" w:color="365F91"/>
            </w:tcBorders>
            <w:noWrap/>
            <w:hideMark/>
          </w:tcPr>
          <w:p w14:paraId="49F91C96" w14:textId="77777777" w:rsidR="00A10636" w:rsidRPr="00D9348B" w:rsidRDefault="00A10636" w:rsidP="00DB330E">
            <w:pPr>
              <w:pStyle w:val="TableTextBold"/>
              <w:keepNext/>
              <w:tabs>
                <w:tab w:val="decimal" w:pos="373"/>
              </w:tabs>
              <w:spacing w:before="50" w:after="50"/>
              <w:jc w:val="center"/>
              <w:rPr>
                <w:noProof w:val="0"/>
                <w:szCs w:val="16"/>
              </w:rPr>
            </w:pPr>
          </w:p>
        </w:tc>
      </w:tr>
      <w:tr w:rsidR="00A10636" w:rsidRPr="00D9348B" w14:paraId="6F8B7B1F" w14:textId="77777777" w:rsidTr="00D0530B">
        <w:tc>
          <w:tcPr>
            <w:tcW w:w="4368" w:type="dxa"/>
            <w:tcBorders>
              <w:top w:val="single" w:sz="4" w:space="0" w:color="365F91"/>
              <w:bottom w:val="single" w:sz="4" w:space="0" w:color="365F91"/>
            </w:tcBorders>
            <w:noWrap/>
            <w:hideMark/>
          </w:tcPr>
          <w:p w14:paraId="171A5505" w14:textId="77777777" w:rsidR="00A10636" w:rsidRPr="00D9348B" w:rsidRDefault="00A10636" w:rsidP="00DB330E">
            <w:pPr>
              <w:pStyle w:val="TableText"/>
              <w:spacing w:before="50" w:after="50"/>
            </w:pPr>
            <w:r w:rsidRPr="00D9348B">
              <w:t>Uncertainty in biomass carbon stocks</w:t>
            </w:r>
          </w:p>
        </w:tc>
        <w:tc>
          <w:tcPr>
            <w:tcW w:w="3589" w:type="dxa"/>
            <w:tcBorders>
              <w:top w:val="single" w:sz="4" w:space="0" w:color="365F91"/>
              <w:bottom w:val="single" w:sz="4" w:space="0" w:color="365F91"/>
            </w:tcBorders>
            <w:noWrap/>
            <w:hideMark/>
          </w:tcPr>
          <w:p w14:paraId="683C6214" w14:textId="77777777" w:rsidR="00A10636" w:rsidRPr="00D9348B" w:rsidRDefault="00A10636" w:rsidP="00DB330E">
            <w:pPr>
              <w:pStyle w:val="TableText"/>
              <w:tabs>
                <w:tab w:val="decimal" w:pos="373"/>
              </w:tabs>
              <w:spacing w:before="50" w:after="50"/>
              <w:jc w:val="center"/>
              <w:rPr>
                <w:szCs w:val="16"/>
              </w:rPr>
            </w:pPr>
            <w:r w:rsidRPr="00D9348B">
              <w:rPr>
                <w:szCs w:val="16"/>
              </w:rPr>
              <w:t>±12.2</w:t>
            </w:r>
          </w:p>
        </w:tc>
      </w:tr>
      <w:tr w:rsidR="00A10636" w:rsidRPr="00D9348B" w14:paraId="79FCF8B1" w14:textId="77777777" w:rsidTr="00D0530B">
        <w:tc>
          <w:tcPr>
            <w:tcW w:w="4368" w:type="dxa"/>
            <w:tcBorders>
              <w:top w:val="single" w:sz="4" w:space="0" w:color="365F91"/>
              <w:bottom w:val="single" w:sz="4" w:space="0" w:color="365F91"/>
            </w:tcBorders>
            <w:noWrap/>
            <w:hideMark/>
          </w:tcPr>
          <w:p w14:paraId="54FF36A4" w14:textId="77777777" w:rsidR="00A10636" w:rsidRPr="00D9348B" w:rsidRDefault="00A10636" w:rsidP="00DB330E">
            <w:pPr>
              <w:pStyle w:val="TableText"/>
              <w:spacing w:before="50" w:after="50"/>
            </w:pPr>
            <w:r w:rsidRPr="00D9348B">
              <w:t>Uncertainty in soil carbon stocks</w:t>
            </w:r>
          </w:p>
        </w:tc>
        <w:tc>
          <w:tcPr>
            <w:tcW w:w="3589" w:type="dxa"/>
            <w:tcBorders>
              <w:top w:val="single" w:sz="4" w:space="0" w:color="365F91"/>
              <w:bottom w:val="single" w:sz="4" w:space="0" w:color="365F91"/>
            </w:tcBorders>
            <w:noWrap/>
            <w:hideMark/>
          </w:tcPr>
          <w:p w14:paraId="5DE01E73" w14:textId="77777777" w:rsidR="00A10636" w:rsidRPr="00D9348B" w:rsidRDefault="00A10636" w:rsidP="00DB330E">
            <w:pPr>
              <w:pStyle w:val="TableText"/>
              <w:tabs>
                <w:tab w:val="decimal" w:pos="373"/>
              </w:tabs>
              <w:spacing w:before="50" w:after="50"/>
              <w:jc w:val="center"/>
              <w:rPr>
                <w:szCs w:val="16"/>
              </w:rPr>
            </w:pPr>
            <w:r w:rsidRPr="00D9348B">
              <w:rPr>
                <w:szCs w:val="16"/>
              </w:rPr>
              <w:t>±10.4</w:t>
            </w:r>
          </w:p>
        </w:tc>
      </w:tr>
      <w:tr w:rsidR="00A10636" w:rsidRPr="00D9348B" w14:paraId="274E3DBA" w14:textId="77777777" w:rsidTr="00D0530B">
        <w:tc>
          <w:tcPr>
            <w:tcW w:w="4368" w:type="dxa"/>
            <w:tcBorders>
              <w:top w:val="single" w:sz="4" w:space="0" w:color="365F91"/>
              <w:bottom w:val="single" w:sz="4" w:space="0" w:color="365F91"/>
            </w:tcBorders>
            <w:noWrap/>
            <w:hideMark/>
          </w:tcPr>
          <w:p w14:paraId="78DD931C" w14:textId="77777777" w:rsidR="00A10636" w:rsidRPr="00D9348B" w:rsidRDefault="00A10636" w:rsidP="00DB330E">
            <w:pPr>
              <w:pStyle w:val="Tableboldblue"/>
            </w:pPr>
            <w:r w:rsidRPr="00D9348B">
              <w:t>Uncertainty introduced into net emissions for LULUCF</w:t>
            </w:r>
          </w:p>
        </w:tc>
        <w:tc>
          <w:tcPr>
            <w:tcW w:w="3589" w:type="dxa"/>
            <w:tcBorders>
              <w:top w:val="single" w:sz="4" w:space="0" w:color="365F91"/>
              <w:bottom w:val="single" w:sz="4" w:space="0" w:color="365F91"/>
            </w:tcBorders>
            <w:noWrap/>
            <w:hideMark/>
          </w:tcPr>
          <w:p w14:paraId="6761A044" w14:textId="77777777" w:rsidR="00A10636" w:rsidRPr="00D9348B" w:rsidRDefault="00A10636" w:rsidP="00DB330E">
            <w:pPr>
              <w:pStyle w:val="Tableboldblue"/>
            </w:pPr>
            <w:r w:rsidRPr="00D9348B">
              <w:t>±10.0</w:t>
            </w:r>
          </w:p>
        </w:tc>
      </w:tr>
    </w:tbl>
    <w:p w14:paraId="7FA2C70F" w14:textId="5CA9C65D" w:rsidR="00A10636" w:rsidRPr="00D9348B" w:rsidRDefault="00A10636" w:rsidP="00A10636">
      <w:pPr>
        <w:pStyle w:val="Noteundertable"/>
      </w:pPr>
      <w:r w:rsidRPr="00D9348B">
        <w:rPr>
          <w:b/>
        </w:rPr>
        <w:t>Note:</w:t>
      </w:r>
      <w:r w:rsidRPr="00D9348B">
        <w:rPr>
          <w:i/>
        </w:rPr>
        <w:tab/>
      </w:r>
      <w:r w:rsidRPr="00D9348B">
        <w:t>Land area includes land in transition in 2018. The biomass carbon stocks value is the weighted value for</w:t>
      </w:r>
      <w:r w:rsidR="00D0530B" w:rsidRPr="00D9348B">
        <w:t> </w:t>
      </w:r>
      <w:r w:rsidRPr="00D9348B">
        <w:t>post-1989 natural and post-1989 planted forests. The activity data and combined emission factor uncertainty are weighted values and have been calculated using equations 3.1 and 3.2 from IPCC General</w:t>
      </w:r>
      <w:r w:rsidR="00D0530B" w:rsidRPr="00D9348B">
        <w:t> </w:t>
      </w:r>
      <w:r w:rsidRPr="00D9348B">
        <w:t>Guidance and Reporting (IPCC, 2006b).</w:t>
      </w:r>
    </w:p>
    <w:p w14:paraId="22BB7706" w14:textId="77777777" w:rsidR="00A10636" w:rsidRPr="00D9348B" w:rsidRDefault="00A10636" w:rsidP="00A10636">
      <w:pPr>
        <w:pStyle w:val="Heading3"/>
      </w:pPr>
      <w:bookmarkStart w:id="1822" w:name="_Toc255466360"/>
      <w:bookmarkStart w:id="1823" w:name="_Toc261513167"/>
      <w:bookmarkStart w:id="1824" w:name="_Toc261513780"/>
      <w:bookmarkStart w:id="1825" w:name="_Toc280630258"/>
      <w:bookmarkStart w:id="1826" w:name="_Toc373395714"/>
      <w:r w:rsidRPr="00D9348B">
        <w:t>6.4.4</w:t>
      </w:r>
      <w:r w:rsidRPr="00D9348B">
        <w:tab/>
        <w:t>Category-specific QA/QC and verification</w:t>
      </w:r>
      <w:bookmarkEnd w:id="1822"/>
      <w:bookmarkEnd w:id="1823"/>
      <w:bookmarkEnd w:id="1824"/>
      <w:bookmarkEnd w:id="1825"/>
      <w:bookmarkEnd w:id="1826"/>
    </w:p>
    <w:p w14:paraId="0CD1DC4D" w14:textId="77777777" w:rsidR="00A10636" w:rsidRPr="00D9348B" w:rsidRDefault="00A10636" w:rsidP="00A10636">
      <w:pPr>
        <w:pStyle w:val="BodyText"/>
        <w:spacing w:after="100"/>
      </w:pPr>
      <w:r w:rsidRPr="00D9348B">
        <w:t xml:space="preserve">Carbon dioxide emissions from both </w:t>
      </w:r>
      <w:r w:rsidRPr="00D9348B">
        <w:rPr>
          <w:i/>
        </w:rPr>
        <w:t>Forest land remaining forest land</w:t>
      </w:r>
      <w:r w:rsidRPr="00D9348B">
        <w:t xml:space="preserve"> and </w:t>
      </w:r>
      <w:r w:rsidRPr="00D9348B">
        <w:rPr>
          <w:i/>
        </w:rPr>
        <w:t xml:space="preserve">Land converted to forest land </w:t>
      </w:r>
      <w:r w:rsidRPr="00D9348B">
        <w:t>are key categories for both level and trend assessments. In the preparation of this inventory, the data for these emissions underwent Tier 1 quality-assurance and quality-control checks as well as Tier 2, category-specific quality-assurance and quality-control checks. Details of these checks are provided below.</w:t>
      </w:r>
    </w:p>
    <w:p w14:paraId="69FD3582" w14:textId="77777777" w:rsidR="00A10636" w:rsidRPr="00D9348B" w:rsidRDefault="00A10636" w:rsidP="00A10636">
      <w:pPr>
        <w:pStyle w:val="Heading5"/>
      </w:pPr>
      <w:r w:rsidRPr="00D9348B">
        <w:t>Pre-1990 natural forest</w:t>
      </w:r>
    </w:p>
    <w:p w14:paraId="31FABDA1" w14:textId="77777777" w:rsidR="00A10636" w:rsidRPr="00D9348B" w:rsidRDefault="00A10636" w:rsidP="00A10636">
      <w:pPr>
        <w:pStyle w:val="BodyText"/>
        <w:spacing w:before="100" w:after="100"/>
      </w:pPr>
      <w:r w:rsidRPr="00D9348B">
        <w:t>Quality control and assurance are undertaken at the data collection, data entry and data analysis stages for natural forest.</w:t>
      </w:r>
    </w:p>
    <w:p w14:paraId="7B49978F" w14:textId="77777777" w:rsidR="00A10636" w:rsidRPr="00D9348B" w:rsidRDefault="00A10636" w:rsidP="00A10636">
      <w:pPr>
        <w:pStyle w:val="BodyText"/>
        <w:spacing w:before="100" w:after="100"/>
      </w:pPr>
      <w:r w:rsidRPr="00D9348B">
        <w:t>During the initial measurement of the natural forest plot network (2002–07), 5 per cent of plots measured in the first field season were subject to audit (Beets and Payton, unpublished). In all subsequent field seasons, data collection followed quality-assurance and quality-control processes, as described in Payton et al. (unpublished, 2004). This included on-site quality-control checks of field data and review by senior ecologists. Data were collected in the field and recorded by hand on paper field sheets. The electronic entry of all data has been subject to ongoing quality assurance and quality control, including line-by-line checking of the transcription of all data used in carbon calculations.</w:t>
      </w:r>
    </w:p>
    <w:p w14:paraId="5148537E" w14:textId="77777777" w:rsidR="00A10636" w:rsidRPr="00D9348B" w:rsidRDefault="00A10636" w:rsidP="00A10636">
      <w:pPr>
        <w:pStyle w:val="BodyText"/>
        <w:spacing w:before="100" w:after="100"/>
      </w:pPr>
      <w:r w:rsidRPr="00D9348B">
        <w:t xml:space="preserve">During the re-measurement of the plot network from 2009–14, 10 per cent of plots measured were subject to independent audit. For the current re-measurement of the plot network, this has been reduced to 5 per cent of plots measured. This audit involves a partial re-measure of randomly selected plots, and the assessment of measurements against data quality standards as described in the data collection manual (Ministry for the Environment, unpublished). Data entry of all data is subject to quality assurance by the Ministry for the Environment for 10 per cent of plots. The data are also subject to further checking for measurement and data entry errors prior to analysis (Paul et al., </w:t>
      </w:r>
      <w:proofErr w:type="gramStart"/>
      <w:r w:rsidRPr="00D9348B">
        <w:t>unpublished(</w:t>
      </w:r>
      <w:proofErr w:type="gramEnd"/>
      <w:r w:rsidRPr="00D9348B">
        <w:t xml:space="preserve">b)). </w:t>
      </w:r>
    </w:p>
    <w:p w14:paraId="5EB7DD11" w14:textId="77777777" w:rsidR="00A10636" w:rsidRPr="00D9348B" w:rsidRDefault="00A10636" w:rsidP="00A10636">
      <w:pPr>
        <w:pStyle w:val="Heading5"/>
      </w:pPr>
      <w:bookmarkStart w:id="1827" w:name="_Toc139253960"/>
      <w:r w:rsidRPr="00D9348B">
        <w:t>Pre-1990 planted forest and post-1989 planted forest</w:t>
      </w:r>
    </w:p>
    <w:p w14:paraId="4EA8BC47" w14:textId="77777777" w:rsidR="00A10636" w:rsidRPr="00D9348B" w:rsidRDefault="00A10636" w:rsidP="00D0530B">
      <w:pPr>
        <w:pStyle w:val="BodyText"/>
      </w:pPr>
      <w:r w:rsidRPr="00D9348B">
        <w:t xml:space="preserve">Of the planted forest inventory plots, 7.5 per cent are randomly audited without the prior knowledge of the inventory teams. Plots are fully and partially re-measured, with feedback supplied no later than one month after measurement to ensure prompt identification of any data collection errors and/or procedural issues. Differences between the inventory and audit measurements are objectively and quantitatively scored. Measurements that exceed </w:t>
      </w:r>
      <w:r w:rsidRPr="00D9348B">
        <w:lastRenderedPageBreak/>
        <w:t>predefined tolerances incur incremental demerit points. Demerit severity depends on the size of error and the type of measurement. Special attention is given to the most influential measurements; for example, tree diameter, tree height and the number of trees in a plot. Plots that fail quality control would have to be re</w:t>
      </w:r>
      <w:r w:rsidRPr="00D9348B">
        <w:noBreakHyphen/>
        <w:t xml:space="preserve">measured </w:t>
      </w:r>
      <w:r w:rsidRPr="00D9348B">
        <w:rPr>
          <w:spacing w:val="-2"/>
        </w:rPr>
        <w:t>(Beets et al., 2011a, 2012a). Following each inventory season, the data collection manual (Herries et al., unpublished) is revised to clarify any potential sources of error or ambiguity.</w:t>
      </w:r>
    </w:p>
    <w:p w14:paraId="3A4BC73C" w14:textId="77777777" w:rsidR="00A10636" w:rsidRPr="00D9348B" w:rsidRDefault="00A10636" w:rsidP="00D0530B">
      <w:pPr>
        <w:pStyle w:val="BodyText"/>
      </w:pPr>
      <w:r w:rsidRPr="00D9348B">
        <w:t>The inventory data are pre-processed using Scion’s Permanent Sample Plot (PSP) system. The PSP system has been programmed to check for erroneous values over a wide range of attributes. The system automatically identifies fields that do not meet predetermined validation rules so these can be repaired manually before plot data are modelled by the Forest Carbon Predictor. The PSP data validation system and the Forest Carbon Predictor model were independently reviewed by Woollens (unpublished). The Forest Carbon Predictor has been recently validated in Beets et al. (2011b).</w:t>
      </w:r>
    </w:p>
    <w:p w14:paraId="082721AA" w14:textId="77777777" w:rsidR="00A10636" w:rsidRPr="00D9348B" w:rsidRDefault="00A10636" w:rsidP="00D0530B">
      <w:pPr>
        <w:pStyle w:val="BodyText"/>
      </w:pPr>
      <w:r w:rsidRPr="00D9348B">
        <w:t>Quality-assurance and quality-control procedures for LiDAR data collected during the planted forest inventories involved the checking of data as they were acquired following the methodology outlined in Stephens et al. (2008). To ensure that the data were supplied within the predetermined specifications, the following activities were carried out: LiDAR sensor calibration and bore-sight alignment, checking of LiDAR point positional accuracy and point densities, correct point cloud classification and accuracy of digital terrain mapping. For example, the post-1989 forest inventory LiDAR acquisition included four individual sensor calibrations; six LiDAR point positional accuracy tests; and a summary of returns describing LiDAR specifications, which were provided for all data deliveries. Sites that failed to meet the required specifications were re-flown. These analyses were carried out using the LiDAR analysis software FUSION (McGaughey, 2010) and the Esri Arc Map GIS application. LiDAR metrics or parameters describing the forest from the canopy to the ground were extracted using FUSION. The process of extracting LiDAR metrics and the extracted metrics were audited by an organisation independent of the data capture and analysis (Stephens et al., 2008).</w:t>
      </w:r>
    </w:p>
    <w:p w14:paraId="60433A91" w14:textId="77777777" w:rsidR="00A10636" w:rsidRPr="00D9348B" w:rsidRDefault="00A10636" w:rsidP="00D0530B">
      <w:pPr>
        <w:pStyle w:val="BodyText"/>
      </w:pPr>
      <w:r w:rsidRPr="00D9348B">
        <w:t>The New Zealand estimates are 163.4 ± 21.0 tonnes C ha</w:t>
      </w:r>
      <w:r w:rsidRPr="00D9348B">
        <w:rPr>
          <w:vertAlign w:val="superscript"/>
        </w:rPr>
        <w:t>–1</w:t>
      </w:r>
      <w:r w:rsidRPr="00D9348B">
        <w:t xml:space="preserve"> for post-1989 planted forest as at 31 December 2018 (Paul et al., unpublished(d)) and 130.72 ± 11.4 tonnes C ha</w:t>
      </w:r>
      <w:r w:rsidRPr="00D9348B">
        <w:rPr>
          <w:vertAlign w:val="superscript"/>
        </w:rPr>
        <w:t>–1</w:t>
      </w:r>
      <w:r w:rsidRPr="00D9348B">
        <w:t xml:space="preserve"> for pre</w:t>
      </w:r>
      <w:r w:rsidRPr="00D9348B">
        <w:noBreakHyphen/>
        <w:t>1990 planted forest as at 31 December 2014 (Paul et al., unpublished(a)). These carbon stock estimates, while high, are consistent with the international comparisons provided in table 4.8 of the 2006 IPCC Guidelines (IPCC, 2006a) and reflect that this forest category is made up of fast-growing and actively managed production forestry.</w:t>
      </w:r>
    </w:p>
    <w:p w14:paraId="0E2AB547" w14:textId="77777777" w:rsidR="00A10636" w:rsidRPr="00D9348B" w:rsidRDefault="00A10636" w:rsidP="00A10636">
      <w:pPr>
        <w:pStyle w:val="Heading5"/>
      </w:pPr>
      <w:r w:rsidRPr="00D9348B">
        <w:t>Post-1989 natural forest</w:t>
      </w:r>
    </w:p>
    <w:p w14:paraId="17792E27" w14:textId="77777777" w:rsidR="00A10636" w:rsidRPr="00D9348B" w:rsidRDefault="00A10636" w:rsidP="00D0530B">
      <w:pPr>
        <w:pStyle w:val="BodyText"/>
      </w:pPr>
      <w:r w:rsidRPr="00D9348B">
        <w:t>As for pre-1990 natural forest, quality control and assurance were undertaken at the data collection, entry and analysis stages.</w:t>
      </w:r>
    </w:p>
    <w:p w14:paraId="1EEC3AFA" w14:textId="77777777" w:rsidR="00A10636" w:rsidRPr="00D9348B" w:rsidRDefault="00A10636" w:rsidP="00A10636">
      <w:pPr>
        <w:pStyle w:val="BodyText"/>
      </w:pPr>
      <w:r w:rsidRPr="00D9348B">
        <w:t>During field data collection in 2012, 10 per cent of plots were subject to an independent field audit. The audit involved randomly selected sites being re-measured by an audit field team, and the assessment of differences between inventory and audit measurements against set data quality standards as set out in Ministry for the Environment (2012). Audit results are described in Beets and Holt (unpublished). The same audit process was conducted for the re</w:t>
      </w:r>
      <w:r w:rsidRPr="00D9348B">
        <w:noBreakHyphen/>
        <w:t xml:space="preserve">measurement of the post-1989 natural forest plot network. These results are described in Paul and Dowling (unpublished). Further checks for data entry and measurement were also undertaken prior to the data analysis stage, as described in Beets et al. (unpublished). </w:t>
      </w:r>
    </w:p>
    <w:p w14:paraId="679F541F" w14:textId="77777777" w:rsidR="00A10636" w:rsidRPr="00D9348B" w:rsidRDefault="00A10636" w:rsidP="00A10636">
      <w:pPr>
        <w:pStyle w:val="Heading3"/>
      </w:pPr>
      <w:bookmarkStart w:id="1828" w:name="_Toc255466361"/>
      <w:bookmarkStart w:id="1829" w:name="_Toc261513168"/>
      <w:bookmarkStart w:id="1830" w:name="_Toc261513781"/>
      <w:bookmarkStart w:id="1831" w:name="_Toc280630259"/>
      <w:bookmarkStart w:id="1832" w:name="_Toc373395715"/>
      <w:r w:rsidRPr="00D9348B">
        <w:lastRenderedPageBreak/>
        <w:t>6.4.5</w:t>
      </w:r>
      <w:r w:rsidRPr="00D9348B">
        <w:tab/>
        <w:t>Category-specific recalculations</w:t>
      </w:r>
      <w:bookmarkEnd w:id="1828"/>
      <w:bookmarkEnd w:id="1829"/>
      <w:bookmarkEnd w:id="1830"/>
      <w:bookmarkEnd w:id="1831"/>
      <w:bookmarkEnd w:id="1832"/>
    </w:p>
    <w:bookmarkEnd w:id="1827"/>
    <w:p w14:paraId="666B1827" w14:textId="77777777" w:rsidR="00A10636" w:rsidRPr="00D9348B" w:rsidRDefault="00A10636" w:rsidP="00A10636">
      <w:pPr>
        <w:pStyle w:val="BodyText"/>
      </w:pPr>
      <w:r w:rsidRPr="00D9348B">
        <w:t xml:space="preserve">In this submission, New Zealand has recalculated its emission estimates for the whole LULUCF sector from 1990, including the </w:t>
      </w:r>
      <w:r w:rsidRPr="00D9348B">
        <w:rPr>
          <w:i/>
        </w:rPr>
        <w:t>Forest land</w:t>
      </w:r>
      <w:r w:rsidRPr="00D9348B">
        <w:t xml:space="preserve"> category. These recalculations have involved improved country-specific methods, activity data and emission factors. The impact of the recalculations on net CO</w:t>
      </w:r>
      <w:r w:rsidRPr="00D9348B">
        <w:rPr>
          <w:vertAlign w:val="subscript"/>
        </w:rPr>
        <w:t>2</w:t>
      </w:r>
      <w:r w:rsidRPr="00D9348B">
        <w:t xml:space="preserve">-e emission estimates for the </w:t>
      </w:r>
      <w:r w:rsidRPr="00D9348B">
        <w:rPr>
          <w:i/>
        </w:rPr>
        <w:t>Forest land</w:t>
      </w:r>
      <w:r w:rsidRPr="00D9348B">
        <w:t xml:space="preserve"> category is provided in table 6.4.10. The differences shown are a result of recalculations for all carbon pools used in reporting under the Convention and the Kyoto Protocol for the whole time series for the LULUCF sector. </w:t>
      </w:r>
    </w:p>
    <w:p w14:paraId="358A89C7" w14:textId="77777777" w:rsidR="00A10636" w:rsidRPr="00D9348B" w:rsidRDefault="00A10636" w:rsidP="00A10636">
      <w:pPr>
        <w:pStyle w:val="Table"/>
      </w:pPr>
      <w:bookmarkStart w:id="1833" w:name="_Toc280630460"/>
      <w:bookmarkStart w:id="1834" w:name="_Toc310423413"/>
      <w:bookmarkStart w:id="1835" w:name="_Toc318362706"/>
      <w:bookmarkStart w:id="1836" w:name="_Toc342470768"/>
      <w:bookmarkStart w:id="1837" w:name="_Toc352505008"/>
      <w:bookmarkStart w:id="1838" w:name="_Toc373395733"/>
      <w:bookmarkStart w:id="1839" w:name="_Toc378853299"/>
      <w:bookmarkStart w:id="1840" w:name="_Toc391024097"/>
      <w:bookmarkStart w:id="1841" w:name="_Toc410028840"/>
      <w:bookmarkStart w:id="1842" w:name="_Toc414531468"/>
      <w:bookmarkStart w:id="1843" w:name="_Toc443645381"/>
      <w:bookmarkStart w:id="1844" w:name="_Toc474914600"/>
      <w:bookmarkStart w:id="1845" w:name="_Toc481751564"/>
      <w:bookmarkStart w:id="1846" w:name="_Toc522010621"/>
      <w:bookmarkStart w:id="1847" w:name="_Toc5269526"/>
      <w:bookmarkStart w:id="1848" w:name="_Toc33529400"/>
      <w:bookmarkStart w:id="1849" w:name="_Toc36224606"/>
      <w:r w:rsidRPr="00D9348B">
        <w:t xml:space="preserve">Table 6.4.10 </w:t>
      </w:r>
      <w:r w:rsidRPr="00D9348B">
        <w:tab/>
        <w:t>Recalculations of New Zealand’s estimates for the Forest land category in 1990 and</w:t>
      </w:r>
      <w:bookmarkEnd w:id="1833"/>
      <w:bookmarkEnd w:id="1834"/>
      <w:bookmarkEnd w:id="1835"/>
      <w:bookmarkEnd w:id="1836"/>
      <w:bookmarkEnd w:id="1837"/>
      <w:bookmarkEnd w:id="1838"/>
      <w:bookmarkEnd w:id="1839"/>
      <w:bookmarkEnd w:id="1840"/>
      <w:r w:rsidRPr="00D9348B">
        <w:t> 201</w:t>
      </w:r>
      <w:bookmarkEnd w:id="1841"/>
      <w:bookmarkEnd w:id="1842"/>
      <w:bookmarkEnd w:id="1843"/>
      <w:bookmarkEnd w:id="1844"/>
      <w:bookmarkEnd w:id="1845"/>
      <w:bookmarkEnd w:id="1846"/>
      <w:bookmarkEnd w:id="1847"/>
      <w:r w:rsidRPr="00D9348B">
        <w:t>7</w:t>
      </w:r>
      <w:bookmarkEnd w:id="1848"/>
      <w:bookmarkEnd w:id="1849"/>
    </w:p>
    <w:tbl>
      <w:tblPr>
        <w:tblW w:w="8505" w:type="dxa"/>
        <w:tblInd w:w="108" w:type="dxa"/>
        <w:tblLayout w:type="fixed"/>
        <w:tblLook w:val="04A0" w:firstRow="1" w:lastRow="0" w:firstColumn="1" w:lastColumn="0" w:noHBand="0" w:noVBand="1"/>
      </w:tblPr>
      <w:tblGrid>
        <w:gridCol w:w="1503"/>
        <w:gridCol w:w="1637"/>
        <w:gridCol w:w="1637"/>
        <w:gridCol w:w="2027"/>
        <w:gridCol w:w="1701"/>
      </w:tblGrid>
      <w:tr w:rsidR="00A10636" w:rsidRPr="00D9348B" w14:paraId="0D146144" w14:textId="77777777" w:rsidTr="00D0530B">
        <w:trPr>
          <w:tblHeader/>
        </w:trPr>
        <w:tc>
          <w:tcPr>
            <w:tcW w:w="1503" w:type="dxa"/>
            <w:vMerge w:val="restart"/>
            <w:tcBorders>
              <w:top w:val="single" w:sz="4" w:space="0" w:color="365F91"/>
            </w:tcBorders>
            <w:shd w:val="clear" w:color="auto" w:fill="365F91"/>
            <w:vAlign w:val="bottom"/>
          </w:tcPr>
          <w:p w14:paraId="1ED46991" w14:textId="77777777" w:rsidR="00A10636" w:rsidRPr="00D9348B" w:rsidRDefault="00A10636" w:rsidP="00DB330E">
            <w:pPr>
              <w:pStyle w:val="TableTextBold"/>
              <w:keepNext/>
              <w:rPr>
                <w:rFonts w:cs="Calibri"/>
                <w:noProof w:val="0"/>
                <w:color w:val="FFFFFF"/>
                <w:szCs w:val="16"/>
              </w:rPr>
            </w:pPr>
            <w:r w:rsidRPr="00D9348B">
              <w:rPr>
                <w:rFonts w:cs="Calibri"/>
                <w:noProof w:val="0"/>
                <w:color w:val="FFFFFF"/>
                <w:szCs w:val="16"/>
              </w:rPr>
              <w:t>Net emissions (kt CO</w:t>
            </w:r>
            <w:r w:rsidRPr="00D9348B">
              <w:rPr>
                <w:rFonts w:cs="Calibri"/>
                <w:noProof w:val="0"/>
                <w:color w:val="FFFFFF"/>
                <w:szCs w:val="16"/>
                <w:vertAlign w:val="subscript"/>
              </w:rPr>
              <w:t>2</w:t>
            </w:r>
            <w:r w:rsidRPr="00D9348B">
              <w:rPr>
                <w:rFonts w:cs="Calibri"/>
                <w:noProof w:val="0"/>
                <w:color w:val="FFFFFF"/>
                <w:szCs w:val="16"/>
              </w:rPr>
              <w:t>-e)</w:t>
            </w:r>
          </w:p>
        </w:tc>
        <w:tc>
          <w:tcPr>
            <w:tcW w:w="3274" w:type="dxa"/>
            <w:gridSpan w:val="2"/>
            <w:tcBorders>
              <w:top w:val="single" w:sz="4" w:space="0" w:color="365F91"/>
              <w:bottom w:val="single" w:sz="4" w:space="0" w:color="365F91"/>
            </w:tcBorders>
            <w:shd w:val="clear" w:color="auto" w:fill="365F91"/>
            <w:vAlign w:val="bottom"/>
          </w:tcPr>
          <w:p w14:paraId="55E2A416" w14:textId="77777777" w:rsidR="00A10636" w:rsidRPr="00D9348B" w:rsidRDefault="00A10636" w:rsidP="00DB330E">
            <w:pPr>
              <w:pStyle w:val="TableTextBold"/>
              <w:keepNext/>
              <w:spacing w:after="0"/>
              <w:jc w:val="center"/>
              <w:rPr>
                <w:rFonts w:cs="Calibri"/>
                <w:noProof w:val="0"/>
                <w:color w:val="FFFFFF"/>
                <w:szCs w:val="16"/>
              </w:rPr>
            </w:pPr>
          </w:p>
        </w:tc>
        <w:tc>
          <w:tcPr>
            <w:tcW w:w="2027" w:type="dxa"/>
            <w:vMerge w:val="restart"/>
            <w:tcBorders>
              <w:top w:val="single" w:sz="4" w:space="0" w:color="365F91"/>
            </w:tcBorders>
            <w:shd w:val="clear" w:color="auto" w:fill="365F91"/>
            <w:vAlign w:val="bottom"/>
          </w:tcPr>
          <w:p w14:paraId="72BDB39C" w14:textId="77777777" w:rsidR="00A10636" w:rsidRPr="00D9348B" w:rsidRDefault="00A10636" w:rsidP="00DB330E">
            <w:pPr>
              <w:pStyle w:val="TableTextBold"/>
              <w:keepNext/>
              <w:jc w:val="center"/>
              <w:rPr>
                <w:rFonts w:cs="Calibri"/>
                <w:noProof w:val="0"/>
                <w:color w:val="FFFFFF"/>
                <w:szCs w:val="16"/>
              </w:rPr>
            </w:pPr>
            <w:r w:rsidRPr="00D9348B">
              <w:rPr>
                <w:rFonts w:cs="Calibri"/>
                <w:noProof w:val="0"/>
                <w:color w:val="FFFFFF"/>
                <w:szCs w:val="16"/>
              </w:rPr>
              <w:t>Change from the 2019 submission (kt CO</w:t>
            </w:r>
            <w:r w:rsidRPr="00D9348B">
              <w:rPr>
                <w:rFonts w:cs="Calibri"/>
                <w:noProof w:val="0"/>
                <w:color w:val="FFFFFF"/>
                <w:szCs w:val="16"/>
                <w:vertAlign w:val="subscript"/>
              </w:rPr>
              <w:t>2</w:t>
            </w:r>
            <w:r w:rsidRPr="00D9348B">
              <w:rPr>
                <w:rFonts w:cs="Calibri"/>
                <w:noProof w:val="0"/>
                <w:color w:val="FFFFFF"/>
                <w:szCs w:val="16"/>
              </w:rPr>
              <w:t>-e)</w:t>
            </w:r>
          </w:p>
        </w:tc>
        <w:tc>
          <w:tcPr>
            <w:tcW w:w="1701" w:type="dxa"/>
            <w:vMerge w:val="restart"/>
            <w:tcBorders>
              <w:top w:val="single" w:sz="4" w:space="0" w:color="365F91"/>
            </w:tcBorders>
            <w:shd w:val="clear" w:color="auto" w:fill="365F91"/>
            <w:vAlign w:val="bottom"/>
          </w:tcPr>
          <w:p w14:paraId="72A05CC8" w14:textId="77777777" w:rsidR="00A10636" w:rsidRPr="00D9348B" w:rsidRDefault="00A10636" w:rsidP="00DB330E">
            <w:pPr>
              <w:pStyle w:val="TableTextBold"/>
              <w:keepNext/>
              <w:jc w:val="center"/>
              <w:rPr>
                <w:rFonts w:cs="Calibri"/>
                <w:noProof w:val="0"/>
                <w:color w:val="FFFFFF"/>
                <w:szCs w:val="16"/>
              </w:rPr>
            </w:pPr>
            <w:r w:rsidRPr="00D9348B">
              <w:rPr>
                <w:rFonts w:cs="Calibri"/>
                <w:noProof w:val="0"/>
                <w:color w:val="FFFFFF"/>
                <w:szCs w:val="16"/>
              </w:rPr>
              <w:t>% change</w:t>
            </w:r>
          </w:p>
        </w:tc>
      </w:tr>
      <w:tr w:rsidR="00A10636" w:rsidRPr="00D9348B" w14:paraId="6F91DD4B" w14:textId="77777777" w:rsidTr="00D0530B">
        <w:trPr>
          <w:tblHeader/>
        </w:trPr>
        <w:tc>
          <w:tcPr>
            <w:tcW w:w="1503" w:type="dxa"/>
            <w:vMerge/>
            <w:tcBorders>
              <w:bottom w:val="single" w:sz="4" w:space="0" w:color="365F91"/>
            </w:tcBorders>
            <w:shd w:val="clear" w:color="auto" w:fill="365F91"/>
          </w:tcPr>
          <w:p w14:paraId="61E423E0" w14:textId="77777777" w:rsidR="00A10636" w:rsidRPr="00D9348B" w:rsidRDefault="00A10636" w:rsidP="00DB330E">
            <w:pPr>
              <w:pStyle w:val="TableTextBold"/>
              <w:keepNext/>
              <w:rPr>
                <w:rFonts w:cs="Calibri"/>
                <w:noProof w:val="0"/>
                <w:color w:val="FFFFFF"/>
                <w:szCs w:val="16"/>
              </w:rPr>
            </w:pPr>
          </w:p>
        </w:tc>
        <w:tc>
          <w:tcPr>
            <w:tcW w:w="1637" w:type="dxa"/>
            <w:tcBorders>
              <w:top w:val="single" w:sz="4" w:space="0" w:color="365F91"/>
              <w:bottom w:val="single" w:sz="4" w:space="0" w:color="365F91"/>
            </w:tcBorders>
            <w:shd w:val="clear" w:color="auto" w:fill="365F91"/>
            <w:vAlign w:val="bottom"/>
          </w:tcPr>
          <w:p w14:paraId="08412EBB" w14:textId="77777777" w:rsidR="00A10636" w:rsidRPr="00D9348B" w:rsidRDefault="00A10636" w:rsidP="00DB330E">
            <w:pPr>
              <w:pStyle w:val="TableTextBold"/>
              <w:keepNext/>
              <w:jc w:val="center"/>
              <w:rPr>
                <w:rFonts w:cs="Calibri"/>
                <w:noProof w:val="0"/>
                <w:color w:val="FFFFFF"/>
                <w:szCs w:val="16"/>
              </w:rPr>
            </w:pPr>
            <w:r w:rsidRPr="00D9348B">
              <w:rPr>
                <w:rFonts w:cs="Calibri"/>
                <w:noProof w:val="0"/>
                <w:color w:val="FFFFFF"/>
                <w:szCs w:val="16"/>
              </w:rPr>
              <w:t>2019 submission</w:t>
            </w:r>
          </w:p>
        </w:tc>
        <w:tc>
          <w:tcPr>
            <w:tcW w:w="1637" w:type="dxa"/>
            <w:tcBorders>
              <w:top w:val="single" w:sz="4" w:space="0" w:color="365F91"/>
              <w:bottom w:val="single" w:sz="4" w:space="0" w:color="365F91"/>
            </w:tcBorders>
            <w:shd w:val="clear" w:color="auto" w:fill="365F91"/>
            <w:vAlign w:val="bottom"/>
          </w:tcPr>
          <w:p w14:paraId="47AA740E" w14:textId="77777777" w:rsidR="00A10636" w:rsidRPr="00D9348B" w:rsidRDefault="00A10636" w:rsidP="00DB330E">
            <w:pPr>
              <w:pStyle w:val="TableTextBold"/>
              <w:keepNext/>
              <w:jc w:val="center"/>
              <w:rPr>
                <w:rFonts w:cs="Calibri"/>
                <w:noProof w:val="0"/>
                <w:color w:val="FFFFFF"/>
                <w:szCs w:val="16"/>
              </w:rPr>
            </w:pPr>
            <w:r w:rsidRPr="00D9348B">
              <w:rPr>
                <w:rFonts w:cs="Calibri"/>
                <w:noProof w:val="0"/>
                <w:color w:val="FFFFFF"/>
                <w:szCs w:val="16"/>
              </w:rPr>
              <w:t>2020 submission</w:t>
            </w:r>
          </w:p>
        </w:tc>
        <w:tc>
          <w:tcPr>
            <w:tcW w:w="2027" w:type="dxa"/>
            <w:vMerge/>
            <w:tcBorders>
              <w:bottom w:val="single" w:sz="4" w:space="0" w:color="365F91"/>
            </w:tcBorders>
            <w:shd w:val="clear" w:color="auto" w:fill="365F91"/>
            <w:vAlign w:val="bottom"/>
          </w:tcPr>
          <w:p w14:paraId="713318CC" w14:textId="77777777" w:rsidR="00A10636" w:rsidRPr="00D9348B" w:rsidRDefault="00A10636" w:rsidP="00DB330E">
            <w:pPr>
              <w:pStyle w:val="TableTextBold"/>
              <w:keepNext/>
              <w:jc w:val="center"/>
              <w:rPr>
                <w:rFonts w:cs="Calibri"/>
                <w:noProof w:val="0"/>
                <w:color w:val="FFFFFF"/>
                <w:szCs w:val="16"/>
              </w:rPr>
            </w:pPr>
          </w:p>
        </w:tc>
        <w:tc>
          <w:tcPr>
            <w:tcW w:w="1701" w:type="dxa"/>
            <w:vMerge/>
            <w:tcBorders>
              <w:bottom w:val="single" w:sz="4" w:space="0" w:color="365F91"/>
            </w:tcBorders>
            <w:shd w:val="clear" w:color="auto" w:fill="365F91"/>
            <w:vAlign w:val="bottom"/>
          </w:tcPr>
          <w:p w14:paraId="504B3089" w14:textId="77777777" w:rsidR="00A10636" w:rsidRPr="00D9348B" w:rsidRDefault="00A10636" w:rsidP="00DB330E">
            <w:pPr>
              <w:pStyle w:val="TableTextBold"/>
              <w:keepNext/>
              <w:jc w:val="center"/>
              <w:rPr>
                <w:rFonts w:cs="Calibri"/>
                <w:noProof w:val="0"/>
                <w:color w:val="FFFFFF"/>
                <w:szCs w:val="16"/>
              </w:rPr>
            </w:pPr>
          </w:p>
        </w:tc>
      </w:tr>
      <w:tr w:rsidR="00A10636" w:rsidRPr="00D9348B" w14:paraId="4F520750" w14:textId="77777777" w:rsidTr="00D0530B">
        <w:tc>
          <w:tcPr>
            <w:tcW w:w="1503" w:type="dxa"/>
            <w:tcBorders>
              <w:top w:val="single" w:sz="4" w:space="0" w:color="365F91"/>
              <w:bottom w:val="single" w:sz="4" w:space="0" w:color="365F91"/>
            </w:tcBorders>
          </w:tcPr>
          <w:p w14:paraId="49E38B2B" w14:textId="77777777" w:rsidR="00A10636" w:rsidRPr="00D9348B" w:rsidRDefault="00A10636" w:rsidP="00DB330E">
            <w:pPr>
              <w:pStyle w:val="TableText"/>
            </w:pPr>
            <w:r w:rsidRPr="00D9348B">
              <w:t xml:space="preserve">1990 </w:t>
            </w:r>
          </w:p>
        </w:tc>
        <w:tc>
          <w:tcPr>
            <w:tcW w:w="1637" w:type="dxa"/>
            <w:tcBorders>
              <w:top w:val="single" w:sz="4" w:space="0" w:color="365F91"/>
              <w:bottom w:val="single" w:sz="4" w:space="0" w:color="365F91"/>
            </w:tcBorders>
          </w:tcPr>
          <w:p w14:paraId="395ED374" w14:textId="77777777" w:rsidR="00A10636" w:rsidRPr="00D9348B" w:rsidRDefault="00A10636" w:rsidP="00DB330E">
            <w:pPr>
              <w:pStyle w:val="TableText"/>
              <w:keepNext/>
              <w:jc w:val="center"/>
              <w:rPr>
                <w:rFonts w:cs="Calibri"/>
                <w:szCs w:val="16"/>
              </w:rPr>
            </w:pPr>
            <w:r w:rsidRPr="00D9348B">
              <w:rPr>
                <w:rFonts w:cs="Calibri"/>
                <w:szCs w:val="16"/>
              </w:rPr>
              <w:t xml:space="preserve">–29,891.0 </w:t>
            </w:r>
          </w:p>
        </w:tc>
        <w:tc>
          <w:tcPr>
            <w:tcW w:w="1637" w:type="dxa"/>
            <w:tcBorders>
              <w:top w:val="single" w:sz="4" w:space="0" w:color="365F91"/>
              <w:bottom w:val="single" w:sz="4" w:space="0" w:color="365F91"/>
            </w:tcBorders>
          </w:tcPr>
          <w:p w14:paraId="05E2D306" w14:textId="77777777" w:rsidR="00A10636" w:rsidRPr="00D9348B" w:rsidRDefault="00A10636" w:rsidP="00DB330E">
            <w:pPr>
              <w:pStyle w:val="TableText"/>
              <w:keepNext/>
              <w:jc w:val="center"/>
              <w:rPr>
                <w:rFonts w:cs="Calibri"/>
                <w:szCs w:val="16"/>
              </w:rPr>
            </w:pPr>
            <w:r w:rsidRPr="00D9348B">
              <w:rPr>
                <w:rFonts w:cs="Calibri"/>
                <w:szCs w:val="16"/>
              </w:rPr>
              <w:t>–26,961.3</w:t>
            </w:r>
          </w:p>
        </w:tc>
        <w:tc>
          <w:tcPr>
            <w:tcW w:w="2027" w:type="dxa"/>
            <w:tcBorders>
              <w:top w:val="single" w:sz="4" w:space="0" w:color="365F91"/>
              <w:bottom w:val="single" w:sz="4" w:space="0" w:color="365F91"/>
            </w:tcBorders>
          </w:tcPr>
          <w:p w14:paraId="69C64466" w14:textId="77777777" w:rsidR="00A10636" w:rsidRPr="00D9348B" w:rsidRDefault="00A10636" w:rsidP="00DB330E">
            <w:pPr>
              <w:pStyle w:val="TableText"/>
              <w:keepNext/>
              <w:tabs>
                <w:tab w:val="decimal" w:pos="556"/>
              </w:tabs>
              <w:jc w:val="center"/>
              <w:rPr>
                <w:rFonts w:cs="Calibri"/>
                <w:szCs w:val="16"/>
              </w:rPr>
            </w:pPr>
            <w:r w:rsidRPr="00D9348B">
              <w:rPr>
                <w:rFonts w:cs="Calibri"/>
                <w:szCs w:val="16"/>
              </w:rPr>
              <w:t>2,929.7</w:t>
            </w:r>
          </w:p>
        </w:tc>
        <w:tc>
          <w:tcPr>
            <w:tcW w:w="1701" w:type="dxa"/>
            <w:tcBorders>
              <w:top w:val="single" w:sz="4" w:space="0" w:color="365F91"/>
              <w:bottom w:val="single" w:sz="4" w:space="0" w:color="365F91"/>
            </w:tcBorders>
          </w:tcPr>
          <w:p w14:paraId="763AF83C" w14:textId="77777777" w:rsidR="00A10636" w:rsidRPr="00D9348B" w:rsidRDefault="00A10636" w:rsidP="00DB330E">
            <w:pPr>
              <w:pStyle w:val="TableText"/>
              <w:keepNext/>
              <w:tabs>
                <w:tab w:val="decimal" w:pos="556"/>
              </w:tabs>
              <w:jc w:val="center"/>
              <w:rPr>
                <w:rFonts w:cs="Calibri"/>
                <w:szCs w:val="16"/>
              </w:rPr>
            </w:pPr>
            <w:r w:rsidRPr="00D9348B">
              <w:rPr>
                <w:rFonts w:cs="Calibri"/>
                <w:szCs w:val="16"/>
              </w:rPr>
              <w:t>+9.8</w:t>
            </w:r>
          </w:p>
        </w:tc>
      </w:tr>
      <w:tr w:rsidR="00A10636" w:rsidRPr="00D9348B" w14:paraId="173A52E2" w14:textId="77777777" w:rsidTr="00D0530B">
        <w:tc>
          <w:tcPr>
            <w:tcW w:w="1503" w:type="dxa"/>
            <w:tcBorders>
              <w:top w:val="single" w:sz="4" w:space="0" w:color="365F91"/>
              <w:bottom w:val="single" w:sz="4" w:space="0" w:color="365F91"/>
            </w:tcBorders>
          </w:tcPr>
          <w:p w14:paraId="18EF6919" w14:textId="77777777" w:rsidR="00A10636" w:rsidRPr="00D9348B" w:rsidRDefault="00A10636" w:rsidP="00DB330E">
            <w:pPr>
              <w:pStyle w:val="TableText"/>
            </w:pPr>
            <w:r w:rsidRPr="00D9348B">
              <w:t>2017</w:t>
            </w:r>
          </w:p>
        </w:tc>
        <w:tc>
          <w:tcPr>
            <w:tcW w:w="1637" w:type="dxa"/>
            <w:tcBorders>
              <w:top w:val="single" w:sz="4" w:space="0" w:color="365F91"/>
              <w:bottom w:val="single" w:sz="4" w:space="0" w:color="365F91"/>
            </w:tcBorders>
          </w:tcPr>
          <w:p w14:paraId="339FA02D" w14:textId="77777777" w:rsidR="00A10636" w:rsidRPr="00D9348B" w:rsidRDefault="00A10636" w:rsidP="00DB330E">
            <w:pPr>
              <w:pStyle w:val="TableText"/>
              <w:keepNext/>
              <w:jc w:val="center"/>
              <w:rPr>
                <w:rFonts w:cs="Calibri"/>
                <w:szCs w:val="16"/>
              </w:rPr>
            </w:pPr>
            <w:r w:rsidRPr="00D9348B">
              <w:rPr>
                <w:rFonts w:cs="Calibri"/>
                <w:szCs w:val="16"/>
              </w:rPr>
              <w:t xml:space="preserve">–21,760.7 </w:t>
            </w:r>
          </w:p>
        </w:tc>
        <w:tc>
          <w:tcPr>
            <w:tcW w:w="1637" w:type="dxa"/>
            <w:tcBorders>
              <w:top w:val="single" w:sz="4" w:space="0" w:color="365F91"/>
              <w:bottom w:val="single" w:sz="4" w:space="0" w:color="365F91"/>
            </w:tcBorders>
          </w:tcPr>
          <w:p w14:paraId="0DD0ABC1" w14:textId="77777777" w:rsidR="00A10636" w:rsidRPr="00D9348B" w:rsidRDefault="00A10636" w:rsidP="00DB330E">
            <w:pPr>
              <w:pStyle w:val="TableText"/>
              <w:keepNext/>
              <w:jc w:val="center"/>
              <w:rPr>
                <w:rFonts w:cs="Calibri"/>
                <w:szCs w:val="16"/>
              </w:rPr>
            </w:pPr>
            <w:r w:rsidRPr="00D9348B">
              <w:rPr>
                <w:rFonts w:cs="Calibri"/>
                <w:szCs w:val="16"/>
              </w:rPr>
              <w:t>–19,058.0</w:t>
            </w:r>
          </w:p>
        </w:tc>
        <w:tc>
          <w:tcPr>
            <w:tcW w:w="2027" w:type="dxa"/>
            <w:tcBorders>
              <w:top w:val="single" w:sz="4" w:space="0" w:color="365F91"/>
              <w:bottom w:val="single" w:sz="4" w:space="0" w:color="365F91"/>
            </w:tcBorders>
          </w:tcPr>
          <w:p w14:paraId="1959B095" w14:textId="77777777" w:rsidR="00A10636" w:rsidRPr="00D9348B" w:rsidRDefault="00A10636" w:rsidP="00DB330E">
            <w:pPr>
              <w:pStyle w:val="TableText"/>
              <w:keepNext/>
              <w:tabs>
                <w:tab w:val="decimal" w:pos="556"/>
              </w:tabs>
              <w:jc w:val="center"/>
              <w:rPr>
                <w:rFonts w:cs="Calibri"/>
                <w:szCs w:val="16"/>
              </w:rPr>
            </w:pPr>
            <w:r w:rsidRPr="00D9348B">
              <w:rPr>
                <w:rFonts w:cs="Calibri"/>
                <w:szCs w:val="16"/>
              </w:rPr>
              <w:t>2,702.6</w:t>
            </w:r>
          </w:p>
        </w:tc>
        <w:tc>
          <w:tcPr>
            <w:tcW w:w="1701" w:type="dxa"/>
            <w:tcBorders>
              <w:top w:val="single" w:sz="4" w:space="0" w:color="365F91"/>
              <w:bottom w:val="single" w:sz="4" w:space="0" w:color="365F91"/>
            </w:tcBorders>
          </w:tcPr>
          <w:p w14:paraId="20D7F0B7" w14:textId="77777777" w:rsidR="00A10636" w:rsidRPr="00D9348B" w:rsidRDefault="00A10636" w:rsidP="00DB330E">
            <w:pPr>
              <w:pStyle w:val="TableText"/>
              <w:keepNext/>
              <w:tabs>
                <w:tab w:val="decimal" w:pos="556"/>
              </w:tabs>
              <w:jc w:val="center"/>
              <w:rPr>
                <w:rFonts w:cs="Calibri"/>
                <w:szCs w:val="16"/>
              </w:rPr>
            </w:pPr>
            <w:r w:rsidRPr="00D9348B">
              <w:rPr>
                <w:rFonts w:cs="Calibri"/>
                <w:szCs w:val="16"/>
              </w:rPr>
              <w:t>+12.4</w:t>
            </w:r>
          </w:p>
        </w:tc>
      </w:tr>
      <w:tr w:rsidR="00A10636" w:rsidRPr="00D9348B" w14:paraId="462A182C" w14:textId="77777777" w:rsidTr="00D0530B">
        <w:tc>
          <w:tcPr>
            <w:tcW w:w="1503" w:type="dxa"/>
            <w:tcBorders>
              <w:top w:val="single" w:sz="4" w:space="0" w:color="365F91"/>
              <w:bottom w:val="single" w:sz="4" w:space="0" w:color="365F91"/>
            </w:tcBorders>
            <w:shd w:val="clear" w:color="auto" w:fill="FFFFFF"/>
            <w:vAlign w:val="bottom"/>
          </w:tcPr>
          <w:p w14:paraId="338A56A2" w14:textId="77777777" w:rsidR="00A10636" w:rsidRPr="00D9348B" w:rsidRDefault="00A10636" w:rsidP="00DB330E">
            <w:pPr>
              <w:pStyle w:val="Tableboldblue"/>
              <w:rPr>
                <w:rFonts w:cs="Calibri"/>
              </w:rPr>
            </w:pPr>
            <w:r w:rsidRPr="00D9348B">
              <w:rPr>
                <w:rFonts w:cs="Calibri"/>
              </w:rPr>
              <w:t>Area (hectares)</w:t>
            </w:r>
          </w:p>
        </w:tc>
        <w:tc>
          <w:tcPr>
            <w:tcW w:w="3274" w:type="dxa"/>
            <w:gridSpan w:val="2"/>
            <w:tcBorders>
              <w:top w:val="single" w:sz="4" w:space="0" w:color="365F91"/>
              <w:bottom w:val="single" w:sz="4" w:space="0" w:color="365F91"/>
            </w:tcBorders>
            <w:shd w:val="clear" w:color="auto" w:fill="auto"/>
            <w:vAlign w:val="bottom"/>
          </w:tcPr>
          <w:p w14:paraId="5D2A56F9" w14:textId="77777777" w:rsidR="00A10636" w:rsidRPr="00D9348B" w:rsidRDefault="00A10636" w:rsidP="00DB330E">
            <w:pPr>
              <w:pStyle w:val="TableText"/>
              <w:keepNext/>
              <w:rPr>
                <w:rFonts w:cs="Calibri"/>
                <w:b/>
                <w:szCs w:val="16"/>
              </w:rPr>
            </w:pPr>
          </w:p>
        </w:tc>
        <w:tc>
          <w:tcPr>
            <w:tcW w:w="2027" w:type="dxa"/>
            <w:tcBorders>
              <w:top w:val="single" w:sz="4" w:space="0" w:color="365F91"/>
              <w:bottom w:val="single" w:sz="4" w:space="0" w:color="365F91"/>
            </w:tcBorders>
            <w:shd w:val="clear" w:color="auto" w:fill="auto"/>
            <w:vAlign w:val="bottom"/>
          </w:tcPr>
          <w:p w14:paraId="3C576B4B" w14:textId="77777777" w:rsidR="00A10636" w:rsidRPr="00D9348B" w:rsidRDefault="00A10636" w:rsidP="00DB330E">
            <w:pPr>
              <w:pStyle w:val="TableText"/>
              <w:keepNext/>
              <w:tabs>
                <w:tab w:val="decimal" w:pos="556"/>
              </w:tabs>
              <w:jc w:val="center"/>
              <w:rPr>
                <w:rFonts w:cs="Calibri"/>
                <w:szCs w:val="16"/>
              </w:rPr>
            </w:pPr>
          </w:p>
        </w:tc>
        <w:tc>
          <w:tcPr>
            <w:tcW w:w="1701" w:type="dxa"/>
            <w:tcBorders>
              <w:top w:val="single" w:sz="4" w:space="0" w:color="365F91"/>
              <w:bottom w:val="single" w:sz="4" w:space="0" w:color="365F91"/>
            </w:tcBorders>
            <w:shd w:val="clear" w:color="auto" w:fill="auto"/>
            <w:vAlign w:val="bottom"/>
          </w:tcPr>
          <w:p w14:paraId="00BBF81D" w14:textId="77777777" w:rsidR="00A10636" w:rsidRPr="00D9348B" w:rsidRDefault="00A10636" w:rsidP="00DB330E">
            <w:pPr>
              <w:pStyle w:val="TableText"/>
              <w:keepNext/>
              <w:tabs>
                <w:tab w:val="decimal" w:pos="556"/>
              </w:tabs>
              <w:jc w:val="center"/>
              <w:rPr>
                <w:rFonts w:cs="Calibri"/>
                <w:szCs w:val="16"/>
              </w:rPr>
            </w:pPr>
          </w:p>
        </w:tc>
      </w:tr>
      <w:tr w:rsidR="00A10636" w:rsidRPr="00D9348B" w14:paraId="5C19DB68" w14:textId="77777777" w:rsidTr="00D0530B">
        <w:tc>
          <w:tcPr>
            <w:tcW w:w="1503" w:type="dxa"/>
            <w:tcBorders>
              <w:top w:val="single" w:sz="4" w:space="0" w:color="365F91"/>
              <w:bottom w:val="single" w:sz="4" w:space="0" w:color="365F91"/>
            </w:tcBorders>
          </w:tcPr>
          <w:p w14:paraId="57EE2D32" w14:textId="77777777" w:rsidR="00A10636" w:rsidRPr="00D9348B" w:rsidRDefault="00A10636" w:rsidP="00DB330E">
            <w:pPr>
              <w:pStyle w:val="TableText"/>
            </w:pPr>
            <w:r w:rsidRPr="00D9348B">
              <w:t xml:space="preserve">1990 </w:t>
            </w:r>
          </w:p>
        </w:tc>
        <w:tc>
          <w:tcPr>
            <w:tcW w:w="1637" w:type="dxa"/>
            <w:tcBorders>
              <w:top w:val="single" w:sz="4" w:space="0" w:color="365F91"/>
              <w:bottom w:val="single" w:sz="4" w:space="0" w:color="365F91"/>
            </w:tcBorders>
          </w:tcPr>
          <w:p w14:paraId="6748BAF7" w14:textId="77777777" w:rsidR="00A10636" w:rsidRPr="00D9348B" w:rsidRDefault="00A10636" w:rsidP="00DB330E">
            <w:pPr>
              <w:pStyle w:val="TableText"/>
              <w:keepNext/>
              <w:jc w:val="center"/>
              <w:rPr>
                <w:rFonts w:cs="Calibri"/>
                <w:szCs w:val="16"/>
              </w:rPr>
            </w:pPr>
            <w:r w:rsidRPr="00D9348B">
              <w:rPr>
                <w:rFonts w:cs="Calibri"/>
                <w:szCs w:val="16"/>
              </w:rPr>
              <w:t xml:space="preserve"> 9,425,570 </w:t>
            </w:r>
          </w:p>
        </w:tc>
        <w:tc>
          <w:tcPr>
            <w:tcW w:w="1637" w:type="dxa"/>
            <w:tcBorders>
              <w:top w:val="single" w:sz="4" w:space="0" w:color="365F91"/>
              <w:bottom w:val="single" w:sz="4" w:space="0" w:color="365F91"/>
            </w:tcBorders>
          </w:tcPr>
          <w:p w14:paraId="6C3993D5" w14:textId="77777777" w:rsidR="00A10636" w:rsidRPr="00D9348B" w:rsidRDefault="00A10636" w:rsidP="00DB330E">
            <w:pPr>
              <w:pStyle w:val="TableText"/>
              <w:keepNext/>
              <w:jc w:val="center"/>
              <w:rPr>
                <w:rFonts w:cs="Calibri"/>
                <w:szCs w:val="16"/>
              </w:rPr>
            </w:pPr>
            <w:r w:rsidRPr="00D9348B">
              <w:rPr>
                <w:rFonts w:cs="Calibri"/>
                <w:szCs w:val="16"/>
              </w:rPr>
              <w:t>9,387,694</w:t>
            </w:r>
          </w:p>
        </w:tc>
        <w:tc>
          <w:tcPr>
            <w:tcW w:w="2027" w:type="dxa"/>
            <w:tcBorders>
              <w:top w:val="single" w:sz="4" w:space="0" w:color="365F91"/>
              <w:bottom w:val="single" w:sz="4" w:space="0" w:color="365F91"/>
            </w:tcBorders>
          </w:tcPr>
          <w:p w14:paraId="77E9471D" w14:textId="77777777" w:rsidR="00A10636" w:rsidRPr="00D9348B" w:rsidRDefault="00A10636" w:rsidP="00DB330E">
            <w:pPr>
              <w:pStyle w:val="TableText"/>
              <w:keepNext/>
              <w:tabs>
                <w:tab w:val="decimal" w:pos="556"/>
              </w:tabs>
              <w:jc w:val="center"/>
              <w:rPr>
                <w:rFonts w:cs="Calibri"/>
                <w:szCs w:val="16"/>
              </w:rPr>
            </w:pPr>
            <w:r w:rsidRPr="00D9348B">
              <w:rPr>
                <w:rFonts w:cs="Calibri"/>
                <w:szCs w:val="16"/>
              </w:rPr>
              <w:t>–37,876</w:t>
            </w:r>
          </w:p>
        </w:tc>
        <w:tc>
          <w:tcPr>
            <w:tcW w:w="1701" w:type="dxa"/>
            <w:tcBorders>
              <w:top w:val="single" w:sz="4" w:space="0" w:color="365F91"/>
              <w:bottom w:val="single" w:sz="4" w:space="0" w:color="365F91"/>
            </w:tcBorders>
          </w:tcPr>
          <w:p w14:paraId="4B5A23BD" w14:textId="77777777" w:rsidR="00A10636" w:rsidRPr="00D9348B" w:rsidRDefault="00A10636" w:rsidP="00DB330E">
            <w:pPr>
              <w:pStyle w:val="TableText"/>
              <w:keepNext/>
              <w:tabs>
                <w:tab w:val="decimal" w:pos="556"/>
              </w:tabs>
              <w:jc w:val="center"/>
              <w:rPr>
                <w:rFonts w:cs="Calibri"/>
                <w:szCs w:val="16"/>
              </w:rPr>
            </w:pPr>
            <w:r w:rsidRPr="00D9348B">
              <w:rPr>
                <w:rFonts w:cs="Calibri"/>
                <w:szCs w:val="16"/>
              </w:rPr>
              <w:t>–0.4</w:t>
            </w:r>
          </w:p>
        </w:tc>
      </w:tr>
      <w:tr w:rsidR="00A10636" w:rsidRPr="00D9348B" w14:paraId="77F40EEF" w14:textId="77777777" w:rsidTr="00D0530B">
        <w:tc>
          <w:tcPr>
            <w:tcW w:w="1503" w:type="dxa"/>
            <w:tcBorders>
              <w:top w:val="single" w:sz="4" w:space="0" w:color="365F91"/>
              <w:bottom w:val="single" w:sz="4" w:space="0" w:color="365F91"/>
            </w:tcBorders>
          </w:tcPr>
          <w:p w14:paraId="67030523" w14:textId="77777777" w:rsidR="00A10636" w:rsidRPr="00D9348B" w:rsidRDefault="00A10636" w:rsidP="00DB330E">
            <w:pPr>
              <w:pStyle w:val="TableText"/>
            </w:pPr>
            <w:r w:rsidRPr="00D9348B">
              <w:t>2017</w:t>
            </w:r>
          </w:p>
        </w:tc>
        <w:tc>
          <w:tcPr>
            <w:tcW w:w="1637" w:type="dxa"/>
            <w:tcBorders>
              <w:top w:val="single" w:sz="4" w:space="0" w:color="365F91"/>
              <w:bottom w:val="single" w:sz="4" w:space="0" w:color="365F91"/>
            </w:tcBorders>
          </w:tcPr>
          <w:p w14:paraId="79E9002E" w14:textId="77777777" w:rsidR="00A10636" w:rsidRPr="00D9348B" w:rsidRDefault="00A10636" w:rsidP="00DB330E">
            <w:pPr>
              <w:pStyle w:val="TableText"/>
              <w:keepNext/>
              <w:jc w:val="center"/>
              <w:rPr>
                <w:rFonts w:cs="Calibri"/>
                <w:szCs w:val="16"/>
              </w:rPr>
            </w:pPr>
            <w:r w:rsidRPr="00D9348B">
              <w:rPr>
                <w:rFonts w:cs="Calibri"/>
                <w:szCs w:val="16"/>
              </w:rPr>
              <w:t xml:space="preserve"> 9,923,595 </w:t>
            </w:r>
          </w:p>
        </w:tc>
        <w:tc>
          <w:tcPr>
            <w:tcW w:w="1637" w:type="dxa"/>
            <w:tcBorders>
              <w:top w:val="single" w:sz="4" w:space="0" w:color="365F91"/>
              <w:bottom w:val="single" w:sz="4" w:space="0" w:color="365F91"/>
            </w:tcBorders>
          </w:tcPr>
          <w:p w14:paraId="7AB8D733" w14:textId="77777777" w:rsidR="00A10636" w:rsidRPr="00D9348B" w:rsidRDefault="00A10636" w:rsidP="00DB330E">
            <w:pPr>
              <w:pStyle w:val="TableText"/>
              <w:keepNext/>
              <w:jc w:val="center"/>
              <w:rPr>
                <w:rFonts w:cs="Calibri"/>
                <w:szCs w:val="16"/>
              </w:rPr>
            </w:pPr>
            <w:r w:rsidRPr="00D9348B">
              <w:rPr>
                <w:rFonts w:cs="Calibri"/>
                <w:szCs w:val="16"/>
              </w:rPr>
              <w:t>9,897,987</w:t>
            </w:r>
          </w:p>
        </w:tc>
        <w:tc>
          <w:tcPr>
            <w:tcW w:w="2027" w:type="dxa"/>
            <w:tcBorders>
              <w:top w:val="single" w:sz="4" w:space="0" w:color="365F91"/>
              <w:bottom w:val="single" w:sz="4" w:space="0" w:color="365F91"/>
            </w:tcBorders>
          </w:tcPr>
          <w:p w14:paraId="2024AE59" w14:textId="77777777" w:rsidR="00A10636" w:rsidRPr="00D9348B" w:rsidRDefault="00A10636" w:rsidP="00DB330E">
            <w:pPr>
              <w:pStyle w:val="TableText"/>
              <w:keepNext/>
              <w:tabs>
                <w:tab w:val="decimal" w:pos="556"/>
              </w:tabs>
              <w:jc w:val="center"/>
              <w:rPr>
                <w:rFonts w:cs="Calibri"/>
                <w:szCs w:val="16"/>
              </w:rPr>
            </w:pPr>
            <w:r w:rsidRPr="00D9348B">
              <w:rPr>
                <w:rFonts w:cs="Calibri"/>
                <w:szCs w:val="16"/>
              </w:rPr>
              <w:t>–25,608</w:t>
            </w:r>
          </w:p>
        </w:tc>
        <w:tc>
          <w:tcPr>
            <w:tcW w:w="1701" w:type="dxa"/>
            <w:tcBorders>
              <w:top w:val="single" w:sz="4" w:space="0" w:color="365F91"/>
              <w:bottom w:val="single" w:sz="4" w:space="0" w:color="365F91"/>
            </w:tcBorders>
          </w:tcPr>
          <w:p w14:paraId="3A4158AF" w14:textId="77777777" w:rsidR="00A10636" w:rsidRPr="00D9348B" w:rsidRDefault="00A10636" w:rsidP="00DB330E">
            <w:pPr>
              <w:pStyle w:val="TableText"/>
              <w:keepNext/>
              <w:tabs>
                <w:tab w:val="decimal" w:pos="556"/>
              </w:tabs>
              <w:jc w:val="center"/>
              <w:rPr>
                <w:rFonts w:cs="Calibri"/>
                <w:szCs w:val="16"/>
              </w:rPr>
            </w:pPr>
            <w:r w:rsidRPr="00D9348B">
              <w:rPr>
                <w:rFonts w:cs="Calibri"/>
                <w:szCs w:val="16"/>
              </w:rPr>
              <w:t>–0.3</w:t>
            </w:r>
          </w:p>
        </w:tc>
      </w:tr>
    </w:tbl>
    <w:p w14:paraId="68EDCD19" w14:textId="77777777" w:rsidR="00A10636" w:rsidRPr="00D9348B" w:rsidRDefault="00A10636" w:rsidP="00A10636">
      <w:pPr>
        <w:pStyle w:val="Noteundertable"/>
      </w:pPr>
      <w:r w:rsidRPr="00D9348B">
        <w:rPr>
          <w:b/>
        </w:rPr>
        <w:t>Note:</w:t>
      </w:r>
      <w:r w:rsidRPr="00D9348B">
        <w:tab/>
        <w:t xml:space="preserve">Areas are as at the end of the year indicated. </w:t>
      </w:r>
    </w:p>
    <w:p w14:paraId="05E2360A" w14:textId="21EFF932" w:rsidR="00A10636" w:rsidRPr="00D9348B" w:rsidRDefault="00A10636" w:rsidP="00A10636">
      <w:pPr>
        <w:pStyle w:val="BodyText"/>
      </w:pPr>
      <w:r w:rsidRPr="00D9348B">
        <w:t xml:space="preserve">For </w:t>
      </w:r>
      <w:r w:rsidRPr="00D9348B">
        <w:rPr>
          <w:i/>
        </w:rPr>
        <w:t>Forest land</w:t>
      </w:r>
      <w:r w:rsidRPr="00D9348B">
        <w:t xml:space="preserve">, the recalculation differences are due to the updated yield table for post-1989 planted forest, updated natural forest yield tables and </w:t>
      </w:r>
      <w:r w:rsidR="00766DDA">
        <w:t>land-use</w:t>
      </w:r>
      <w:r w:rsidRPr="00D9348B">
        <w:t xml:space="preserve"> mapping improvements across the time series, as explained below.</w:t>
      </w:r>
      <w:bookmarkStart w:id="1850" w:name="_Toc255466362"/>
      <w:bookmarkStart w:id="1851" w:name="_Toc261513169"/>
      <w:bookmarkStart w:id="1852" w:name="_Toc261513782"/>
      <w:bookmarkStart w:id="1853" w:name="_Toc280630260"/>
    </w:p>
    <w:p w14:paraId="523FDE12" w14:textId="77777777" w:rsidR="00A10636" w:rsidRPr="00D9348B" w:rsidRDefault="00A10636" w:rsidP="00A10636">
      <w:pPr>
        <w:pStyle w:val="Heading5"/>
        <w:spacing w:before="160"/>
      </w:pPr>
      <w:r w:rsidRPr="00D9348B">
        <w:t>Activity data</w:t>
      </w:r>
      <w:bookmarkEnd w:id="1850"/>
      <w:bookmarkEnd w:id="1851"/>
      <w:bookmarkEnd w:id="1852"/>
      <w:bookmarkEnd w:id="1853"/>
    </w:p>
    <w:p w14:paraId="77373A78" w14:textId="77777777" w:rsidR="00A10636" w:rsidRPr="00D9348B" w:rsidRDefault="00A10636" w:rsidP="00A10636">
      <w:pPr>
        <w:pStyle w:val="BodyText"/>
      </w:pPr>
      <w:bookmarkStart w:id="1854" w:name="_Toc255466366"/>
      <w:bookmarkStart w:id="1855" w:name="_Toc261513173"/>
      <w:bookmarkStart w:id="1856" w:name="_Toc261513786"/>
      <w:r w:rsidRPr="00D9348B">
        <w:t xml:space="preserve">The total area of </w:t>
      </w:r>
      <w:r w:rsidRPr="00D9348B">
        <w:rPr>
          <w:i/>
        </w:rPr>
        <w:t>Forest land</w:t>
      </w:r>
      <w:r w:rsidRPr="00D9348B">
        <w:t>, as at 1 January 1990, has been reduced by –37,876 hectares as a result of reassessment of some areas of tree species, previously classed as pre-1990 natural forest, occurring within vegetated wetlands. These areas have been remapped as vegetated wetland throughout the time series, in recognition that this is the dominant land use of the vegetation.</w:t>
      </w:r>
    </w:p>
    <w:p w14:paraId="1CCAF6F2" w14:textId="77777777" w:rsidR="00A10636" w:rsidRPr="00D9348B" w:rsidRDefault="00A10636" w:rsidP="00A10636">
      <w:pPr>
        <w:pStyle w:val="BodyText"/>
      </w:pPr>
      <w:r w:rsidRPr="00D9348B">
        <w:t xml:space="preserve">The area estimates of afforestation and deforestation have been updated from the previous submission. These areas and the associated emissions are reported in the relevant </w:t>
      </w:r>
      <w:r w:rsidRPr="00D9348B">
        <w:rPr>
          <w:i/>
        </w:rPr>
        <w:t>Land converted to</w:t>
      </w:r>
      <w:r w:rsidRPr="00D9348B">
        <w:t xml:space="preserve"> category.</w:t>
      </w:r>
    </w:p>
    <w:p w14:paraId="31706460" w14:textId="77777777" w:rsidR="00A10636" w:rsidRPr="00D9348B" w:rsidRDefault="00A10636" w:rsidP="00A10636">
      <w:pPr>
        <w:pStyle w:val="Heading5"/>
        <w:spacing w:before="160"/>
      </w:pPr>
      <w:bookmarkStart w:id="1857" w:name="_Toc280630261"/>
      <w:r w:rsidRPr="00D9348B">
        <w:t>Emission factors</w:t>
      </w:r>
      <w:bookmarkEnd w:id="1857"/>
    </w:p>
    <w:p w14:paraId="3FC79523" w14:textId="77777777" w:rsidR="00A10636" w:rsidRPr="00D9348B" w:rsidRDefault="00A10636" w:rsidP="00A10636">
      <w:pPr>
        <w:pStyle w:val="BodyText"/>
      </w:pPr>
      <w:r w:rsidRPr="00D9348B">
        <w:t>The post-1989 planted forest yield table has been revised for the 2020 submission. The revised yield table is based on two full measurement inventories of permanent sample plots in post-1989 planted forest carried out in 2008–09 and 2011–12, and a partial re-measure in 2016, 2017 and 2018 (due to the transition to the continuous five-year inventory cycle). The analysis of the data collected has provided a plot-based estimate of carbon stock and mean carbon density within this forest type, and is further described in section 6.4.2.</w:t>
      </w:r>
    </w:p>
    <w:p w14:paraId="66B12685" w14:textId="77777777" w:rsidR="00A10636" w:rsidRPr="00D9348B" w:rsidRDefault="00A10636" w:rsidP="00A10636">
      <w:pPr>
        <w:pStyle w:val="BodyText"/>
        <w:spacing w:before="240"/>
      </w:pPr>
      <w:r w:rsidRPr="00D9348B">
        <w:t xml:space="preserve">The pre-1990 natural forest emissions factors have also been revised for the 2020 submission. A revised analysis of the pre-1990 natural forest plot data was undertaken for the 2020 submission (Paul et al., </w:t>
      </w:r>
      <w:proofErr w:type="gramStart"/>
      <w:r w:rsidRPr="00D9348B">
        <w:t>unpublished(</w:t>
      </w:r>
      <w:proofErr w:type="gramEnd"/>
      <w:r w:rsidRPr="00D9348B">
        <w:t>b)). Improvements included:</w:t>
      </w:r>
    </w:p>
    <w:p w14:paraId="351FAF1C" w14:textId="77777777" w:rsidR="00A10636" w:rsidRPr="00D9348B" w:rsidRDefault="00A10636" w:rsidP="00A10636">
      <w:pPr>
        <w:pStyle w:val="Bullet"/>
      </w:pPr>
      <w:r w:rsidRPr="00D9348B">
        <w:t>using an updated vegetation classification system (Wiser and De Cáceres, 2018) to determine the split between tall and regenerating pre-1990 natural forest</w:t>
      </w:r>
    </w:p>
    <w:p w14:paraId="1B8D8324" w14:textId="77777777" w:rsidR="00A10636" w:rsidRPr="00D9348B" w:rsidRDefault="00A10636" w:rsidP="00A10636">
      <w:pPr>
        <w:pStyle w:val="Bullet"/>
      </w:pPr>
      <w:proofErr w:type="gramStart"/>
      <w:r w:rsidRPr="00D9348B">
        <w:lastRenderedPageBreak/>
        <w:t>including</w:t>
      </w:r>
      <w:proofErr w:type="gramEnd"/>
      <w:r w:rsidRPr="00D9348B">
        <w:t xml:space="preserve"> stem data from circular measurement plots. This eliminated the bias caused by the over-sampling of large stems in the inner 20 metre × 20 metre plots (Paul et al., 2019)</w:t>
      </w:r>
    </w:p>
    <w:p w14:paraId="1EECB7E0" w14:textId="77777777" w:rsidR="00A10636" w:rsidRPr="00D9348B" w:rsidRDefault="00A10636" w:rsidP="00A10636">
      <w:pPr>
        <w:pStyle w:val="Bullet"/>
      </w:pPr>
      <w:proofErr w:type="gramStart"/>
      <w:r w:rsidRPr="00D9348B">
        <w:t>updating</w:t>
      </w:r>
      <w:proofErr w:type="gramEnd"/>
      <w:r w:rsidRPr="00D9348B">
        <w:t xml:space="preserve"> the method of calculating carbon stock and carbon stock changes in the above-ground biomass pool, by applying a ‘stem following’ method rather than a ‘stock change’ method (as outlined in Paul et al., unpublished(b)). See section 6.4.2 for further detail</w:t>
      </w:r>
    </w:p>
    <w:p w14:paraId="7A56BDE6" w14:textId="77777777" w:rsidR="00A10636" w:rsidRPr="00D9348B" w:rsidRDefault="00A10636" w:rsidP="00A10636">
      <w:pPr>
        <w:pStyle w:val="Bullet"/>
      </w:pPr>
      <w:r w:rsidRPr="00D9348B">
        <w:t>adding 44 plots measured during 2013–14, as well as including unmeasured plots, using imputation from regression analysis</w:t>
      </w:r>
    </w:p>
    <w:p w14:paraId="6CC0233A" w14:textId="1F200F77" w:rsidR="00A10636" w:rsidRPr="00D9348B" w:rsidRDefault="00A10636" w:rsidP="00A10636">
      <w:pPr>
        <w:pStyle w:val="Bullet"/>
      </w:pPr>
      <w:proofErr w:type="gramStart"/>
      <w:r w:rsidRPr="00D9348B">
        <w:t>updating</w:t>
      </w:r>
      <w:proofErr w:type="gramEnd"/>
      <w:r w:rsidRPr="00D9348B">
        <w:t xml:space="preserve"> the method for estimating the dead wood pool, to account for under-sampling in</w:t>
      </w:r>
      <w:r w:rsidR="00614578" w:rsidRPr="00D9348B">
        <w:t> </w:t>
      </w:r>
      <w:r w:rsidRPr="00D9348B">
        <w:t xml:space="preserve">the field measurements (as outlined in Kimberley et al., 2019). See section 6.4.2 for further detail. </w:t>
      </w:r>
    </w:p>
    <w:p w14:paraId="22145FE2" w14:textId="77777777" w:rsidR="00A10636" w:rsidRPr="00D9348B" w:rsidRDefault="00A10636" w:rsidP="00A10636">
      <w:pPr>
        <w:pStyle w:val="Heading3"/>
      </w:pPr>
      <w:bookmarkStart w:id="1858" w:name="_Toc255466368"/>
      <w:bookmarkStart w:id="1859" w:name="_Toc261513175"/>
      <w:bookmarkStart w:id="1860" w:name="_Toc261513788"/>
      <w:bookmarkStart w:id="1861" w:name="_Toc280630262"/>
      <w:bookmarkStart w:id="1862" w:name="_Toc373395716"/>
      <w:bookmarkStart w:id="1863" w:name="_Toc139253961"/>
      <w:bookmarkEnd w:id="1854"/>
      <w:bookmarkEnd w:id="1855"/>
      <w:bookmarkEnd w:id="1856"/>
      <w:r w:rsidRPr="00D9348B">
        <w:t>6.4.6</w:t>
      </w:r>
      <w:r w:rsidRPr="00D9348B">
        <w:tab/>
        <w:t>Category-specific planned improvements</w:t>
      </w:r>
      <w:bookmarkEnd w:id="1858"/>
      <w:bookmarkEnd w:id="1859"/>
      <w:bookmarkEnd w:id="1860"/>
      <w:bookmarkEnd w:id="1861"/>
      <w:bookmarkEnd w:id="1862"/>
      <w:bookmarkEnd w:id="1863"/>
    </w:p>
    <w:p w14:paraId="02AF25AA" w14:textId="77777777" w:rsidR="00A10636" w:rsidRPr="00D9348B" w:rsidRDefault="00A10636" w:rsidP="00A10636">
      <w:pPr>
        <w:pStyle w:val="BodyText"/>
      </w:pPr>
      <w:r w:rsidRPr="00D9348B">
        <w:t xml:space="preserve">New Zealand will continue to measure the pre-1990 natural forest plot network on a 10-year cycle and analyse the data collected as they become available. Work is also under way to improve the classification of pre-1990 natural forest into its tall and regenerating components. These data will be incorporated into the National Inventory Report as they become available. </w:t>
      </w:r>
    </w:p>
    <w:p w14:paraId="1444A5F4" w14:textId="77777777" w:rsidR="00A10636" w:rsidRPr="00D9348B" w:rsidRDefault="00A10636" w:rsidP="00A10636">
      <w:pPr>
        <w:pStyle w:val="BodyText"/>
      </w:pPr>
      <w:r w:rsidRPr="00D9348B">
        <w:t xml:space="preserve">The re-measurement of the post-1989 natural forest ground plot inventory has recently been completed. These data are currently being analysed, and revised emissions factors for this forest type will be available for inclusion in the 2021 submission. </w:t>
      </w:r>
    </w:p>
    <w:p w14:paraId="289F4827" w14:textId="7B14C59C" w:rsidR="00A10636" w:rsidRPr="00D9348B" w:rsidRDefault="00A10636" w:rsidP="00A10636">
      <w:pPr>
        <w:pStyle w:val="BodyText"/>
      </w:pPr>
      <w:r w:rsidRPr="00D9348B">
        <w:t xml:space="preserve">Mapping of forest areas will be improved through improvements to the 2016 </w:t>
      </w:r>
      <w:r w:rsidR="00766DDA">
        <w:t>land-use</w:t>
      </w:r>
      <w:r w:rsidRPr="00D9348B">
        <w:t xml:space="preserve"> map, which includes a number of forest-specific mapping improvement tasks such as:</w:t>
      </w:r>
    </w:p>
    <w:p w14:paraId="019FC7BB" w14:textId="77777777" w:rsidR="00A10636" w:rsidRPr="00D9348B" w:rsidRDefault="00A10636" w:rsidP="00771A8F">
      <w:pPr>
        <w:pStyle w:val="Bullet"/>
        <w:numPr>
          <w:ilvl w:val="0"/>
          <w:numId w:val="20"/>
        </w:numPr>
      </w:pPr>
      <w:r w:rsidRPr="00D9348B">
        <w:t>mapping of newly planted forests through data supplied from the NZ ETS</w:t>
      </w:r>
    </w:p>
    <w:p w14:paraId="69BDEFF4" w14:textId="77777777" w:rsidR="00A10636" w:rsidRPr="00D9348B" w:rsidRDefault="00A10636" w:rsidP="00771A8F">
      <w:pPr>
        <w:pStyle w:val="Bullet"/>
        <w:numPr>
          <w:ilvl w:val="0"/>
          <w:numId w:val="20"/>
        </w:numPr>
      </w:pPr>
      <w:r w:rsidRPr="00D9348B">
        <w:t>developing a methodology for mapping age cohorts for forest planted after 1990</w:t>
      </w:r>
    </w:p>
    <w:p w14:paraId="36AB4520" w14:textId="1CB38849" w:rsidR="00A10636" w:rsidRPr="00D9348B" w:rsidRDefault="00A10636" w:rsidP="00771A8F">
      <w:pPr>
        <w:pStyle w:val="Bullet"/>
        <w:numPr>
          <w:ilvl w:val="0"/>
          <w:numId w:val="20"/>
        </w:numPr>
      </w:pPr>
      <w:proofErr w:type="gramStart"/>
      <w:r w:rsidRPr="00D9348B">
        <w:t>tracking</w:t>
      </w:r>
      <w:proofErr w:type="gramEnd"/>
      <w:r w:rsidRPr="00D9348B">
        <w:t xml:space="preserve"> of carbon equivalent forests within the </w:t>
      </w:r>
      <w:r w:rsidR="00766DDA">
        <w:t>land-use</w:t>
      </w:r>
      <w:r w:rsidRPr="00D9348B">
        <w:t xml:space="preserve"> maps.</w:t>
      </w:r>
    </w:p>
    <w:p w14:paraId="6387A7A0" w14:textId="77777777" w:rsidR="00A10636" w:rsidRPr="00D9348B" w:rsidRDefault="00A10636" w:rsidP="00A10636">
      <w:pPr>
        <w:pStyle w:val="BodyText"/>
      </w:pPr>
      <w:r w:rsidRPr="00D9348B">
        <w:t>Currently, pre-1990 forest is disaggregated into natural and planted forest and reported as such. However, post-1989 forest is not disaggregated into natural and planted at the reporting level. In the next submission, New Zealand intends to report on planted and natural post-1989 forest separately, to improve transparency.</w:t>
      </w:r>
    </w:p>
    <w:p w14:paraId="66369E82" w14:textId="77777777" w:rsidR="00A10636" w:rsidRPr="00D9348B" w:rsidRDefault="00A10636" w:rsidP="00A10636">
      <w:pPr>
        <w:pStyle w:val="BodyText"/>
      </w:pPr>
      <w:r w:rsidRPr="00D9348B">
        <w:t xml:space="preserve">The assumption that controlled burning of post-harvest residues on afforested land does not occur will be revisited for a future submission, due to the increasing harvest rate in these forests as they reach maturity. </w:t>
      </w:r>
    </w:p>
    <w:p w14:paraId="586BC4F4" w14:textId="77777777" w:rsidR="00A10636" w:rsidRPr="00D9348B" w:rsidRDefault="00A10636" w:rsidP="00A10636">
      <w:pPr>
        <w:pStyle w:val="BodyText"/>
      </w:pPr>
      <w:r w:rsidRPr="00D9348B">
        <w:t>In the 2019 in-country review, it was suggested that the approach New Zealand had taken to determine the country-specific transition period was not in line with the 2006 IPCC Guidelines. To address this, New Zealand will be moving to the 20-year</w:t>
      </w:r>
      <w:r w:rsidRPr="00D9348B" w:rsidDel="008D71D1">
        <w:t xml:space="preserve"> </w:t>
      </w:r>
      <w:r w:rsidRPr="00D9348B">
        <w:t xml:space="preserve">default transition period of the 2006 IPCC Guidelines (IPCC, 2006a). </w:t>
      </w:r>
    </w:p>
    <w:p w14:paraId="396FBBC7" w14:textId="77777777" w:rsidR="00A10636" w:rsidRPr="00D9348B" w:rsidRDefault="00A10636" w:rsidP="00A10636">
      <w:pPr>
        <w:pStyle w:val="BodyText"/>
      </w:pPr>
      <w:r w:rsidRPr="00D9348B">
        <w:t>The complete planted forest plot network (pre-1990 and post-1989) is being re</w:t>
      </w:r>
      <w:r w:rsidRPr="00D9348B">
        <w:noBreakHyphen/>
        <w:t>measured on a continuous basis (at five-year intervals). These data will be incorporated into the National Inventory Report as they become available. Work is also under way to improve the pre-1990 planted forest back-casting estimates through the use of multiple yield tables. This will involve using a stratified analysis based on rotation, age class and historic inventory data.</w:t>
      </w:r>
    </w:p>
    <w:p w14:paraId="0E8393CB" w14:textId="77777777" w:rsidR="00A10636" w:rsidRPr="00D9348B" w:rsidRDefault="00A10636" w:rsidP="00A10636">
      <w:pPr>
        <w:pStyle w:val="Heading2"/>
        <w:spacing w:before="280"/>
      </w:pPr>
      <w:bookmarkStart w:id="1864" w:name="_Toc255466369"/>
      <w:bookmarkStart w:id="1865" w:name="_Toc261513176"/>
      <w:bookmarkStart w:id="1866" w:name="_Toc261513789"/>
      <w:bookmarkStart w:id="1867" w:name="_Toc280630263"/>
      <w:bookmarkStart w:id="1868" w:name="_Toc310423453"/>
      <w:bookmarkStart w:id="1869" w:name="_Toc342470719"/>
      <w:bookmarkStart w:id="1870" w:name="_Toc352504871"/>
      <w:bookmarkStart w:id="1871" w:name="_Toc391024701"/>
      <w:bookmarkStart w:id="1872" w:name="_Toc414531318"/>
      <w:bookmarkStart w:id="1873" w:name="_Toc474335460"/>
      <w:bookmarkStart w:id="1874" w:name="_Toc481751400"/>
      <w:bookmarkStart w:id="1875" w:name="_Toc522013952"/>
      <w:bookmarkStart w:id="1876" w:name="_Toc5269377"/>
      <w:bookmarkStart w:id="1877" w:name="_Toc36224417"/>
      <w:r w:rsidRPr="00D9348B">
        <w:lastRenderedPageBreak/>
        <w:t>6.5</w:t>
      </w:r>
      <w:r w:rsidRPr="00D9348B">
        <w:tab/>
        <w:t>Cropland (CRF 4B)</w:t>
      </w:r>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p>
    <w:p w14:paraId="68C985B2" w14:textId="77777777" w:rsidR="00A10636" w:rsidRPr="00D9348B" w:rsidRDefault="00A10636" w:rsidP="00614578">
      <w:pPr>
        <w:pStyle w:val="Heading3"/>
        <w:spacing w:before="160"/>
      </w:pPr>
      <w:bookmarkStart w:id="1878" w:name="_Toc139253963"/>
      <w:bookmarkStart w:id="1879" w:name="_Toc255466370"/>
      <w:bookmarkStart w:id="1880" w:name="_Toc261513177"/>
      <w:bookmarkStart w:id="1881" w:name="_Toc261513790"/>
      <w:bookmarkStart w:id="1882" w:name="_Toc280630264"/>
      <w:r w:rsidRPr="00D9348B">
        <w:t>6.5.1</w:t>
      </w:r>
      <w:r w:rsidRPr="00D9348B">
        <w:tab/>
        <w:t>Description</w:t>
      </w:r>
      <w:bookmarkEnd w:id="1878"/>
      <w:bookmarkEnd w:id="1879"/>
      <w:bookmarkEnd w:id="1880"/>
      <w:bookmarkEnd w:id="1881"/>
      <w:bookmarkEnd w:id="1882"/>
    </w:p>
    <w:p w14:paraId="161AEB49" w14:textId="77777777" w:rsidR="00A10636" w:rsidRPr="00D9348B" w:rsidRDefault="00A10636" w:rsidP="00A10636">
      <w:pPr>
        <w:pStyle w:val="BodyText"/>
      </w:pPr>
      <w:r w:rsidRPr="00D9348B">
        <w:rPr>
          <w:spacing w:val="-2"/>
        </w:rPr>
        <w:t xml:space="preserve">In 2018, the net emissions from </w:t>
      </w:r>
      <w:r w:rsidRPr="00D9348B">
        <w:rPr>
          <w:i/>
          <w:spacing w:val="-2"/>
        </w:rPr>
        <w:t>Cropland</w:t>
      </w:r>
      <w:r w:rsidRPr="00D9348B">
        <w:rPr>
          <w:spacing w:val="-2"/>
        </w:rPr>
        <w:t xml:space="preserve"> were </w:t>
      </w:r>
      <w:r w:rsidRPr="00D9348B">
        <w:rPr>
          <w:bCs/>
          <w:spacing w:val="-2"/>
        </w:rPr>
        <w:t xml:space="preserve">391.3 </w:t>
      </w:r>
      <w:r w:rsidRPr="00D9348B">
        <w:rPr>
          <w:spacing w:val="-2"/>
        </w:rPr>
        <w:t>kt CO</w:t>
      </w:r>
      <w:r w:rsidRPr="00D9348B">
        <w:rPr>
          <w:spacing w:val="-2"/>
          <w:vertAlign w:val="subscript"/>
        </w:rPr>
        <w:t>2</w:t>
      </w:r>
      <w:r w:rsidRPr="00D9348B">
        <w:rPr>
          <w:spacing w:val="-2"/>
        </w:rPr>
        <w:t>-e, comprising 383.1 kt </w:t>
      </w:r>
      <w:r w:rsidRPr="00D9348B">
        <w:t>CO</w:t>
      </w:r>
      <w:r w:rsidRPr="00D9348B">
        <w:rPr>
          <w:spacing w:val="-2"/>
          <w:vertAlign w:val="subscript"/>
        </w:rPr>
        <w:t>2</w:t>
      </w:r>
      <w:r w:rsidRPr="00D9348B">
        <w:t xml:space="preserve"> from carbon stock change and 0.03 kt N</w:t>
      </w:r>
      <w:r w:rsidRPr="00D9348B">
        <w:rPr>
          <w:vertAlign w:val="subscript"/>
        </w:rPr>
        <w:t>2</w:t>
      </w:r>
      <w:r w:rsidRPr="00D9348B">
        <w:t>O (8.2 kt CO</w:t>
      </w:r>
      <w:r w:rsidRPr="00D9348B">
        <w:rPr>
          <w:vertAlign w:val="subscript"/>
        </w:rPr>
        <w:t>2</w:t>
      </w:r>
      <w:r w:rsidRPr="00D9348B">
        <w:t xml:space="preserve">-e) from the nitrogen mineralisation on </w:t>
      </w:r>
      <w:r w:rsidRPr="00D9348B">
        <w:rPr>
          <w:i/>
        </w:rPr>
        <w:t>Land converted to cropland</w:t>
      </w:r>
      <w:r w:rsidRPr="00D9348B">
        <w:t xml:space="preserve">. Net emissions from </w:t>
      </w:r>
      <w:r w:rsidRPr="00D9348B">
        <w:rPr>
          <w:i/>
        </w:rPr>
        <w:t>Cropland</w:t>
      </w:r>
      <w:r w:rsidRPr="00D9348B">
        <w:t xml:space="preserve"> have decreased by 84.9 kt CO</w:t>
      </w:r>
      <w:r w:rsidRPr="00D9348B">
        <w:rPr>
          <w:vertAlign w:val="subscript"/>
        </w:rPr>
        <w:t>2</w:t>
      </w:r>
      <w:r w:rsidRPr="00D9348B">
        <w:t>-e (</w:t>
      </w:r>
      <w:r w:rsidRPr="00D9348B">
        <w:rPr>
          <w:bCs/>
        </w:rPr>
        <w:t>17.8 </w:t>
      </w:r>
      <w:r w:rsidRPr="00D9348B">
        <w:t xml:space="preserve">per cent) from the 1990 level when net emissions were </w:t>
      </w:r>
      <w:r w:rsidRPr="00D9348B">
        <w:rPr>
          <w:bCs/>
        </w:rPr>
        <w:t>476.2</w:t>
      </w:r>
      <w:r w:rsidRPr="00D9348B">
        <w:t xml:space="preserve"> kt CO</w:t>
      </w:r>
      <w:r w:rsidRPr="00D9348B">
        <w:rPr>
          <w:vertAlign w:val="subscript"/>
        </w:rPr>
        <w:t>2</w:t>
      </w:r>
      <w:r w:rsidRPr="00D9348B">
        <w:t xml:space="preserve">-e (see table 6.5.1). </w:t>
      </w:r>
    </w:p>
    <w:p w14:paraId="21C11F65" w14:textId="77777777" w:rsidR="00A10636" w:rsidRPr="00D9348B" w:rsidRDefault="00A10636" w:rsidP="00A10636">
      <w:pPr>
        <w:pStyle w:val="Table"/>
      </w:pPr>
      <w:bookmarkStart w:id="1883" w:name="_Toc280630461"/>
      <w:bookmarkStart w:id="1884" w:name="_Toc310423414"/>
      <w:bookmarkStart w:id="1885" w:name="_Toc318362707"/>
      <w:bookmarkStart w:id="1886" w:name="_Toc342470769"/>
      <w:bookmarkStart w:id="1887" w:name="_Toc352505009"/>
      <w:bookmarkStart w:id="1888" w:name="_Toc378853300"/>
      <w:bookmarkStart w:id="1889" w:name="_Toc391024098"/>
      <w:bookmarkStart w:id="1890" w:name="_Toc410028841"/>
      <w:bookmarkStart w:id="1891" w:name="_Toc414531469"/>
      <w:bookmarkStart w:id="1892" w:name="_Toc443645382"/>
      <w:bookmarkStart w:id="1893" w:name="_Toc474914601"/>
      <w:bookmarkStart w:id="1894" w:name="_Toc481751565"/>
      <w:bookmarkStart w:id="1895" w:name="_Toc522010622"/>
      <w:bookmarkStart w:id="1896" w:name="_Toc5269527"/>
      <w:bookmarkStart w:id="1897" w:name="_Toc33529401"/>
      <w:bookmarkStart w:id="1898" w:name="_Toc36224607"/>
      <w:r w:rsidRPr="00D9348B">
        <w:t>Table 6.5.1</w:t>
      </w:r>
      <w:r w:rsidRPr="00D9348B">
        <w:tab/>
        <w:t xml:space="preserve">New Zealand’s land-use change by Cropland category, and associated </w:t>
      </w:r>
      <w:r w:rsidRPr="00D9348B">
        <w:br/>
        <w:t>CO</w:t>
      </w:r>
      <w:r w:rsidRPr="00D9348B">
        <w:rPr>
          <w:vertAlign w:val="subscript"/>
        </w:rPr>
        <w:t>2</w:t>
      </w:r>
      <w:r w:rsidRPr="00D9348B">
        <w:t>-e emissions</w:t>
      </w:r>
      <w:bookmarkEnd w:id="1883"/>
      <w:bookmarkEnd w:id="1884"/>
      <w:bookmarkEnd w:id="1885"/>
      <w:bookmarkEnd w:id="1886"/>
      <w:bookmarkEnd w:id="1887"/>
      <w:bookmarkEnd w:id="1888"/>
      <w:r w:rsidRPr="00D9348B">
        <w:t xml:space="preserve">, 1990 </w:t>
      </w:r>
      <w:bookmarkEnd w:id="1889"/>
      <w:r w:rsidRPr="00D9348B">
        <w:t>and 201</w:t>
      </w:r>
      <w:bookmarkEnd w:id="1890"/>
      <w:bookmarkEnd w:id="1891"/>
      <w:bookmarkEnd w:id="1892"/>
      <w:bookmarkEnd w:id="1893"/>
      <w:bookmarkEnd w:id="1894"/>
      <w:r w:rsidRPr="00D9348B">
        <w:t>8</w:t>
      </w:r>
      <w:bookmarkEnd w:id="1895"/>
      <w:bookmarkEnd w:id="1896"/>
      <w:bookmarkEnd w:id="1897"/>
      <w:bookmarkEnd w:id="1898"/>
    </w:p>
    <w:tbl>
      <w:tblPr>
        <w:tblW w:w="8505" w:type="dxa"/>
        <w:tblInd w:w="108" w:type="dxa"/>
        <w:tblLayout w:type="fixed"/>
        <w:tblLook w:val="04A0" w:firstRow="1" w:lastRow="0" w:firstColumn="1" w:lastColumn="0" w:noHBand="0" w:noVBand="1"/>
      </w:tblPr>
      <w:tblGrid>
        <w:gridCol w:w="2797"/>
        <w:gridCol w:w="1359"/>
        <w:gridCol w:w="1207"/>
        <w:gridCol w:w="905"/>
        <w:gridCol w:w="904"/>
        <w:gridCol w:w="1333"/>
      </w:tblGrid>
      <w:tr w:rsidR="00A10636" w:rsidRPr="00D9348B" w14:paraId="444EFDC3" w14:textId="77777777" w:rsidTr="001423C4">
        <w:tc>
          <w:tcPr>
            <w:tcW w:w="2797" w:type="dxa"/>
            <w:vMerge w:val="restart"/>
            <w:tcBorders>
              <w:top w:val="single" w:sz="4" w:space="0" w:color="365F91"/>
            </w:tcBorders>
            <w:shd w:val="clear" w:color="auto" w:fill="365F91"/>
            <w:vAlign w:val="bottom"/>
          </w:tcPr>
          <w:p w14:paraId="08DE314C" w14:textId="0DF24113" w:rsidR="00A10636" w:rsidRPr="00D9348B" w:rsidRDefault="00A10636" w:rsidP="00DB330E">
            <w:pPr>
              <w:pStyle w:val="TableTextBold"/>
              <w:keepNext/>
              <w:spacing w:before="40" w:after="40"/>
              <w:rPr>
                <w:noProof w:val="0"/>
                <w:color w:val="FFFFFF"/>
                <w:szCs w:val="16"/>
              </w:rPr>
            </w:pPr>
            <w:r w:rsidRPr="00D9348B">
              <w:rPr>
                <w:noProof w:val="0"/>
                <w:color w:val="FFFFFF"/>
                <w:szCs w:val="16"/>
              </w:rPr>
              <w:t xml:space="preserve">Cropland </w:t>
            </w:r>
            <w:r w:rsidR="00766DDA">
              <w:rPr>
                <w:noProof w:val="0"/>
                <w:color w:val="FFFFFF"/>
                <w:szCs w:val="16"/>
              </w:rPr>
              <w:t>land-use</w:t>
            </w:r>
            <w:r w:rsidRPr="00D9348B">
              <w:rPr>
                <w:noProof w:val="0"/>
                <w:color w:val="FFFFFF"/>
                <w:szCs w:val="16"/>
              </w:rPr>
              <w:t xml:space="preserve"> category</w:t>
            </w:r>
          </w:p>
        </w:tc>
        <w:tc>
          <w:tcPr>
            <w:tcW w:w="1359" w:type="dxa"/>
            <w:vMerge w:val="restart"/>
            <w:tcBorders>
              <w:top w:val="single" w:sz="4" w:space="0" w:color="365F91"/>
            </w:tcBorders>
            <w:shd w:val="clear" w:color="auto" w:fill="365F91"/>
            <w:vAlign w:val="bottom"/>
          </w:tcPr>
          <w:p w14:paraId="4F15EEA6" w14:textId="77777777" w:rsidR="00A10636" w:rsidRPr="00D9348B" w:rsidRDefault="00A10636" w:rsidP="00DB330E">
            <w:pPr>
              <w:pStyle w:val="TableTextBold"/>
              <w:spacing w:before="40" w:after="40"/>
              <w:jc w:val="center"/>
              <w:rPr>
                <w:noProof w:val="0"/>
                <w:color w:val="FFFFFF"/>
                <w:szCs w:val="16"/>
              </w:rPr>
            </w:pPr>
            <w:r w:rsidRPr="00D9348B">
              <w:rPr>
                <w:noProof w:val="0"/>
                <w:color w:val="FFFFFF"/>
                <w:szCs w:val="16"/>
              </w:rPr>
              <w:t>Net area as at 1990 (ha)</w:t>
            </w:r>
          </w:p>
        </w:tc>
        <w:tc>
          <w:tcPr>
            <w:tcW w:w="1207" w:type="dxa"/>
            <w:vMerge w:val="restart"/>
            <w:tcBorders>
              <w:top w:val="single" w:sz="4" w:space="0" w:color="365F91"/>
            </w:tcBorders>
            <w:shd w:val="clear" w:color="auto" w:fill="365F91"/>
            <w:vAlign w:val="bottom"/>
          </w:tcPr>
          <w:p w14:paraId="17713F6F" w14:textId="77777777" w:rsidR="00A10636" w:rsidRPr="00D9348B" w:rsidRDefault="00A10636" w:rsidP="00DB330E">
            <w:pPr>
              <w:pStyle w:val="TableTextBold"/>
              <w:spacing w:before="40" w:after="40"/>
              <w:jc w:val="center"/>
              <w:rPr>
                <w:noProof w:val="0"/>
                <w:color w:val="FFFFFF"/>
                <w:szCs w:val="16"/>
              </w:rPr>
            </w:pPr>
            <w:r w:rsidRPr="00D9348B">
              <w:rPr>
                <w:noProof w:val="0"/>
                <w:color w:val="FFFFFF"/>
                <w:szCs w:val="16"/>
              </w:rPr>
              <w:t>Net area as at 2018 (ha)</w:t>
            </w:r>
          </w:p>
        </w:tc>
        <w:tc>
          <w:tcPr>
            <w:tcW w:w="1809" w:type="dxa"/>
            <w:gridSpan w:val="2"/>
            <w:tcBorders>
              <w:top w:val="single" w:sz="4" w:space="0" w:color="365F91"/>
            </w:tcBorders>
            <w:shd w:val="clear" w:color="auto" w:fill="365F91"/>
            <w:vAlign w:val="bottom"/>
          </w:tcPr>
          <w:p w14:paraId="6E9B32BA" w14:textId="77777777" w:rsidR="00A10636" w:rsidRPr="00D9348B" w:rsidRDefault="00A10636" w:rsidP="00DB330E">
            <w:pPr>
              <w:pStyle w:val="TableTextBold"/>
              <w:spacing w:before="40" w:after="40"/>
              <w:jc w:val="center"/>
              <w:rPr>
                <w:noProof w:val="0"/>
                <w:color w:val="FFFFFF"/>
                <w:szCs w:val="16"/>
              </w:rPr>
            </w:pPr>
            <w:r w:rsidRPr="00D9348B">
              <w:rPr>
                <w:noProof w:val="0"/>
                <w:color w:val="FFFFFF"/>
                <w:szCs w:val="16"/>
              </w:rPr>
              <w:t xml:space="preserve">Net emissions </w:t>
            </w:r>
            <w:r w:rsidRPr="00D9348B">
              <w:rPr>
                <w:noProof w:val="0"/>
                <w:color w:val="FFFFFF"/>
                <w:szCs w:val="16"/>
              </w:rPr>
              <w:br/>
              <w:t>(kt CO</w:t>
            </w:r>
            <w:r w:rsidRPr="00D9348B">
              <w:rPr>
                <w:noProof w:val="0"/>
                <w:color w:val="FFFFFF"/>
                <w:szCs w:val="16"/>
                <w:vertAlign w:val="subscript"/>
              </w:rPr>
              <w:t>2</w:t>
            </w:r>
            <w:r w:rsidRPr="00D9348B">
              <w:rPr>
                <w:noProof w:val="0"/>
                <w:color w:val="FFFFFF"/>
                <w:szCs w:val="16"/>
              </w:rPr>
              <w:t>-e)</w:t>
            </w:r>
          </w:p>
        </w:tc>
        <w:tc>
          <w:tcPr>
            <w:tcW w:w="1333" w:type="dxa"/>
            <w:vMerge w:val="restart"/>
            <w:tcBorders>
              <w:top w:val="single" w:sz="4" w:space="0" w:color="365F91"/>
            </w:tcBorders>
            <w:shd w:val="clear" w:color="auto" w:fill="365F91"/>
            <w:vAlign w:val="bottom"/>
          </w:tcPr>
          <w:p w14:paraId="52F60C9E" w14:textId="77777777" w:rsidR="00A10636" w:rsidRPr="00D9348B" w:rsidRDefault="00A10636" w:rsidP="00DB330E">
            <w:pPr>
              <w:pStyle w:val="TableTextBold"/>
              <w:spacing w:before="40" w:after="40"/>
              <w:jc w:val="center"/>
              <w:rPr>
                <w:noProof w:val="0"/>
                <w:color w:val="FFFFFF"/>
                <w:szCs w:val="16"/>
              </w:rPr>
            </w:pPr>
            <w:r w:rsidRPr="00D9348B">
              <w:rPr>
                <w:noProof w:val="0"/>
                <w:color w:val="FFFFFF"/>
                <w:szCs w:val="16"/>
              </w:rPr>
              <w:t>Change from 1990 (%)</w:t>
            </w:r>
          </w:p>
        </w:tc>
      </w:tr>
      <w:tr w:rsidR="00A10636" w:rsidRPr="00D9348B" w14:paraId="024E6399" w14:textId="77777777" w:rsidTr="001423C4">
        <w:tc>
          <w:tcPr>
            <w:tcW w:w="2797" w:type="dxa"/>
            <w:vMerge/>
            <w:tcBorders>
              <w:bottom w:val="single" w:sz="4" w:space="0" w:color="365F91"/>
            </w:tcBorders>
            <w:shd w:val="clear" w:color="auto" w:fill="365F91"/>
          </w:tcPr>
          <w:p w14:paraId="2569FF0D" w14:textId="77777777" w:rsidR="00A10636" w:rsidRPr="00D9348B" w:rsidRDefault="00A10636" w:rsidP="00DB330E">
            <w:pPr>
              <w:pStyle w:val="TableTextBold"/>
              <w:keepNext/>
              <w:spacing w:before="40" w:after="40"/>
              <w:rPr>
                <w:noProof w:val="0"/>
                <w:color w:val="FFFFFF"/>
                <w:szCs w:val="16"/>
              </w:rPr>
            </w:pPr>
          </w:p>
        </w:tc>
        <w:tc>
          <w:tcPr>
            <w:tcW w:w="1359" w:type="dxa"/>
            <w:vMerge/>
            <w:tcBorders>
              <w:bottom w:val="single" w:sz="4" w:space="0" w:color="365F91"/>
            </w:tcBorders>
            <w:shd w:val="clear" w:color="auto" w:fill="365F91"/>
          </w:tcPr>
          <w:p w14:paraId="6E6A6E10" w14:textId="77777777" w:rsidR="00A10636" w:rsidRPr="00D9348B" w:rsidRDefault="00A10636" w:rsidP="00DB330E">
            <w:pPr>
              <w:pStyle w:val="TableTextBold"/>
              <w:spacing w:before="40" w:after="40"/>
              <w:rPr>
                <w:noProof w:val="0"/>
                <w:color w:val="FFFFFF"/>
                <w:szCs w:val="16"/>
              </w:rPr>
            </w:pPr>
          </w:p>
        </w:tc>
        <w:tc>
          <w:tcPr>
            <w:tcW w:w="1207" w:type="dxa"/>
            <w:vMerge/>
            <w:tcBorders>
              <w:bottom w:val="single" w:sz="4" w:space="0" w:color="365F91"/>
            </w:tcBorders>
            <w:shd w:val="clear" w:color="auto" w:fill="365F91"/>
          </w:tcPr>
          <w:p w14:paraId="040D3B93" w14:textId="77777777" w:rsidR="00A10636" w:rsidRPr="00D9348B" w:rsidRDefault="00A10636" w:rsidP="00DB330E">
            <w:pPr>
              <w:pStyle w:val="TableTextBold"/>
              <w:spacing w:before="40" w:after="40"/>
              <w:rPr>
                <w:noProof w:val="0"/>
                <w:color w:val="FFFFFF"/>
                <w:szCs w:val="16"/>
              </w:rPr>
            </w:pPr>
          </w:p>
        </w:tc>
        <w:tc>
          <w:tcPr>
            <w:tcW w:w="905" w:type="dxa"/>
            <w:tcBorders>
              <w:bottom w:val="single" w:sz="4" w:space="0" w:color="365F91"/>
            </w:tcBorders>
            <w:shd w:val="clear" w:color="auto" w:fill="365F91"/>
          </w:tcPr>
          <w:p w14:paraId="0AB32F47" w14:textId="77777777" w:rsidR="00A10636" w:rsidRPr="00D9348B" w:rsidRDefault="00A10636" w:rsidP="00DB330E">
            <w:pPr>
              <w:pStyle w:val="TableTextBold"/>
              <w:spacing w:before="40" w:after="40"/>
              <w:jc w:val="center"/>
              <w:rPr>
                <w:noProof w:val="0"/>
                <w:color w:val="FFFFFF"/>
                <w:szCs w:val="16"/>
              </w:rPr>
            </w:pPr>
            <w:r w:rsidRPr="00D9348B">
              <w:rPr>
                <w:noProof w:val="0"/>
                <w:color w:val="FFFFFF"/>
                <w:szCs w:val="16"/>
              </w:rPr>
              <w:t>1990</w:t>
            </w:r>
          </w:p>
        </w:tc>
        <w:tc>
          <w:tcPr>
            <w:tcW w:w="904" w:type="dxa"/>
            <w:tcBorders>
              <w:bottom w:val="single" w:sz="4" w:space="0" w:color="365F91"/>
            </w:tcBorders>
            <w:shd w:val="clear" w:color="auto" w:fill="365F91"/>
          </w:tcPr>
          <w:p w14:paraId="1729651A" w14:textId="77777777" w:rsidR="00A10636" w:rsidRPr="00D9348B" w:rsidRDefault="00A10636" w:rsidP="00DB330E">
            <w:pPr>
              <w:pStyle w:val="TableTextBold"/>
              <w:spacing w:before="40" w:after="40"/>
              <w:jc w:val="center"/>
              <w:rPr>
                <w:noProof w:val="0"/>
                <w:color w:val="FFFFFF"/>
                <w:szCs w:val="16"/>
              </w:rPr>
            </w:pPr>
            <w:r w:rsidRPr="00D9348B">
              <w:rPr>
                <w:noProof w:val="0"/>
                <w:color w:val="FFFFFF"/>
                <w:szCs w:val="16"/>
              </w:rPr>
              <w:t>2018</w:t>
            </w:r>
          </w:p>
        </w:tc>
        <w:tc>
          <w:tcPr>
            <w:tcW w:w="1333" w:type="dxa"/>
            <w:vMerge/>
            <w:tcBorders>
              <w:bottom w:val="single" w:sz="4" w:space="0" w:color="365F91"/>
            </w:tcBorders>
            <w:shd w:val="clear" w:color="auto" w:fill="365F91"/>
          </w:tcPr>
          <w:p w14:paraId="2A1853AA" w14:textId="77777777" w:rsidR="00A10636" w:rsidRPr="00D9348B" w:rsidRDefault="00A10636" w:rsidP="00DB330E">
            <w:pPr>
              <w:pStyle w:val="TableTextBold"/>
              <w:spacing w:before="40" w:after="40"/>
              <w:rPr>
                <w:noProof w:val="0"/>
                <w:color w:val="FFFFFF"/>
                <w:szCs w:val="16"/>
              </w:rPr>
            </w:pPr>
          </w:p>
        </w:tc>
      </w:tr>
      <w:tr w:rsidR="00A10636" w:rsidRPr="00D9348B" w14:paraId="6D11C3BC" w14:textId="77777777" w:rsidTr="001423C4">
        <w:tc>
          <w:tcPr>
            <w:tcW w:w="2797" w:type="dxa"/>
            <w:tcBorders>
              <w:top w:val="single" w:sz="4" w:space="0" w:color="365F91"/>
              <w:bottom w:val="single" w:sz="4" w:space="0" w:color="365F91"/>
            </w:tcBorders>
          </w:tcPr>
          <w:p w14:paraId="144F98F6" w14:textId="77777777" w:rsidR="00A10636" w:rsidRPr="00D9348B" w:rsidRDefault="00A10636" w:rsidP="00DB330E">
            <w:pPr>
              <w:pStyle w:val="TableText"/>
              <w:keepNext/>
              <w:spacing w:before="40" w:after="40"/>
              <w:rPr>
                <w:szCs w:val="16"/>
              </w:rPr>
            </w:pPr>
            <w:r w:rsidRPr="00D9348B">
              <w:rPr>
                <w:szCs w:val="16"/>
              </w:rPr>
              <w:t>Cropland remaining cropland</w:t>
            </w:r>
          </w:p>
        </w:tc>
        <w:tc>
          <w:tcPr>
            <w:tcW w:w="1359" w:type="dxa"/>
            <w:tcBorders>
              <w:top w:val="single" w:sz="4" w:space="0" w:color="365F91"/>
              <w:bottom w:val="single" w:sz="4" w:space="0" w:color="365F91"/>
            </w:tcBorders>
          </w:tcPr>
          <w:p w14:paraId="4CABC792" w14:textId="77777777" w:rsidR="00A10636" w:rsidRPr="00D9348B" w:rsidRDefault="00A10636" w:rsidP="00DB330E">
            <w:pPr>
              <w:pStyle w:val="TableText"/>
              <w:spacing w:before="40" w:after="40"/>
              <w:jc w:val="center"/>
              <w:rPr>
                <w:szCs w:val="16"/>
              </w:rPr>
            </w:pPr>
            <w:r w:rsidRPr="00D9348B">
              <w:rPr>
                <w:szCs w:val="16"/>
              </w:rPr>
              <w:t>384,444</w:t>
            </w:r>
          </w:p>
        </w:tc>
        <w:tc>
          <w:tcPr>
            <w:tcW w:w="1207" w:type="dxa"/>
            <w:tcBorders>
              <w:top w:val="single" w:sz="4" w:space="0" w:color="365F91"/>
              <w:bottom w:val="single" w:sz="4" w:space="0" w:color="365F91"/>
            </w:tcBorders>
          </w:tcPr>
          <w:p w14:paraId="75141157" w14:textId="77777777" w:rsidR="00A10636" w:rsidRPr="00D9348B" w:rsidRDefault="00A10636" w:rsidP="00DB330E">
            <w:pPr>
              <w:pStyle w:val="TableText"/>
              <w:spacing w:before="40" w:after="40"/>
              <w:jc w:val="center"/>
              <w:rPr>
                <w:szCs w:val="16"/>
              </w:rPr>
            </w:pPr>
            <w:r w:rsidRPr="00D9348B">
              <w:rPr>
                <w:szCs w:val="16"/>
              </w:rPr>
              <w:t>417,779</w:t>
            </w:r>
          </w:p>
        </w:tc>
        <w:tc>
          <w:tcPr>
            <w:tcW w:w="905" w:type="dxa"/>
            <w:tcBorders>
              <w:top w:val="single" w:sz="4" w:space="0" w:color="365F91"/>
              <w:bottom w:val="single" w:sz="4" w:space="0" w:color="365F91"/>
            </w:tcBorders>
          </w:tcPr>
          <w:p w14:paraId="1DEA26A0" w14:textId="77777777" w:rsidR="00A10636" w:rsidRPr="00D9348B" w:rsidRDefault="00A10636" w:rsidP="00DB330E">
            <w:pPr>
              <w:pStyle w:val="TableText"/>
              <w:spacing w:before="40" w:after="40"/>
              <w:jc w:val="center"/>
              <w:rPr>
                <w:szCs w:val="16"/>
              </w:rPr>
            </w:pPr>
            <w:r w:rsidRPr="00D9348B">
              <w:rPr>
                <w:szCs w:val="16"/>
              </w:rPr>
              <w:t xml:space="preserve">357.8 </w:t>
            </w:r>
          </w:p>
        </w:tc>
        <w:tc>
          <w:tcPr>
            <w:tcW w:w="904" w:type="dxa"/>
            <w:tcBorders>
              <w:top w:val="single" w:sz="4" w:space="0" w:color="365F91"/>
              <w:bottom w:val="single" w:sz="4" w:space="0" w:color="365F91"/>
            </w:tcBorders>
          </w:tcPr>
          <w:p w14:paraId="3AD890E2" w14:textId="77777777" w:rsidR="00A10636" w:rsidRPr="00D9348B" w:rsidRDefault="00A10636" w:rsidP="00DB330E">
            <w:pPr>
              <w:pStyle w:val="TableText"/>
              <w:spacing w:before="40" w:after="40"/>
              <w:jc w:val="center"/>
              <w:rPr>
                <w:szCs w:val="16"/>
              </w:rPr>
            </w:pPr>
            <w:r w:rsidRPr="00D9348B">
              <w:rPr>
                <w:szCs w:val="16"/>
              </w:rPr>
              <w:t xml:space="preserve">333.6 </w:t>
            </w:r>
          </w:p>
        </w:tc>
        <w:tc>
          <w:tcPr>
            <w:tcW w:w="1333" w:type="dxa"/>
            <w:tcBorders>
              <w:top w:val="single" w:sz="4" w:space="0" w:color="365F91"/>
              <w:bottom w:val="single" w:sz="4" w:space="0" w:color="365F91"/>
            </w:tcBorders>
          </w:tcPr>
          <w:p w14:paraId="213AEFE4" w14:textId="77777777" w:rsidR="00A10636" w:rsidRPr="00D9348B" w:rsidRDefault="00A10636" w:rsidP="00DB330E">
            <w:pPr>
              <w:pStyle w:val="TableText"/>
              <w:spacing w:before="40" w:after="40"/>
              <w:jc w:val="center"/>
              <w:rPr>
                <w:szCs w:val="16"/>
              </w:rPr>
            </w:pPr>
            <w:r w:rsidRPr="00D9348B">
              <w:rPr>
                <w:szCs w:val="16"/>
              </w:rPr>
              <w:t>–6.7</w:t>
            </w:r>
          </w:p>
        </w:tc>
      </w:tr>
      <w:tr w:rsidR="00A10636" w:rsidRPr="00D9348B" w14:paraId="082AF5E4" w14:textId="77777777" w:rsidTr="001423C4">
        <w:tc>
          <w:tcPr>
            <w:tcW w:w="2797" w:type="dxa"/>
            <w:tcBorders>
              <w:top w:val="single" w:sz="4" w:space="0" w:color="365F91"/>
              <w:bottom w:val="single" w:sz="4" w:space="0" w:color="365F91"/>
            </w:tcBorders>
          </w:tcPr>
          <w:p w14:paraId="5D8EEF31" w14:textId="77777777" w:rsidR="00A10636" w:rsidRPr="00D9348B" w:rsidRDefault="00A10636" w:rsidP="00DB330E">
            <w:pPr>
              <w:pStyle w:val="TableText"/>
              <w:keepNext/>
              <w:spacing w:before="40" w:after="40"/>
              <w:rPr>
                <w:szCs w:val="16"/>
              </w:rPr>
            </w:pPr>
            <w:r w:rsidRPr="00D9348B">
              <w:rPr>
                <w:szCs w:val="16"/>
              </w:rPr>
              <w:t>Land converted to cropland</w:t>
            </w:r>
          </w:p>
        </w:tc>
        <w:tc>
          <w:tcPr>
            <w:tcW w:w="1359" w:type="dxa"/>
            <w:tcBorders>
              <w:top w:val="single" w:sz="4" w:space="0" w:color="365F91"/>
              <w:bottom w:val="single" w:sz="4" w:space="0" w:color="365F91"/>
            </w:tcBorders>
          </w:tcPr>
          <w:p w14:paraId="4F7B1A38" w14:textId="77777777" w:rsidR="00A10636" w:rsidRPr="00D9348B" w:rsidRDefault="00A10636" w:rsidP="00DB330E">
            <w:pPr>
              <w:pStyle w:val="TableText"/>
              <w:spacing w:before="40" w:after="40"/>
              <w:jc w:val="center"/>
              <w:rPr>
                <w:szCs w:val="16"/>
              </w:rPr>
            </w:pPr>
            <w:r w:rsidRPr="00D9348B">
              <w:rPr>
                <w:szCs w:val="16"/>
              </w:rPr>
              <w:t>39,511</w:t>
            </w:r>
          </w:p>
        </w:tc>
        <w:tc>
          <w:tcPr>
            <w:tcW w:w="1207" w:type="dxa"/>
            <w:tcBorders>
              <w:top w:val="single" w:sz="4" w:space="0" w:color="365F91"/>
              <w:bottom w:val="single" w:sz="4" w:space="0" w:color="365F91"/>
            </w:tcBorders>
          </w:tcPr>
          <w:p w14:paraId="40A9B401" w14:textId="77777777" w:rsidR="00A10636" w:rsidRPr="00D9348B" w:rsidRDefault="00A10636" w:rsidP="00DB330E">
            <w:pPr>
              <w:pStyle w:val="TableText"/>
              <w:spacing w:before="40" w:after="40"/>
              <w:jc w:val="center"/>
              <w:rPr>
                <w:szCs w:val="16"/>
              </w:rPr>
            </w:pPr>
            <w:r w:rsidRPr="00D9348B">
              <w:rPr>
                <w:szCs w:val="16"/>
              </w:rPr>
              <w:t>58,274</w:t>
            </w:r>
          </w:p>
        </w:tc>
        <w:tc>
          <w:tcPr>
            <w:tcW w:w="905" w:type="dxa"/>
            <w:tcBorders>
              <w:top w:val="single" w:sz="4" w:space="0" w:color="365F91"/>
              <w:bottom w:val="single" w:sz="4" w:space="0" w:color="365F91"/>
            </w:tcBorders>
          </w:tcPr>
          <w:p w14:paraId="496B6626" w14:textId="77777777" w:rsidR="00A10636" w:rsidRPr="00D9348B" w:rsidRDefault="00A10636" w:rsidP="00DB330E">
            <w:pPr>
              <w:pStyle w:val="TableText"/>
              <w:spacing w:before="40" w:after="40"/>
              <w:jc w:val="center"/>
              <w:rPr>
                <w:szCs w:val="16"/>
              </w:rPr>
            </w:pPr>
            <w:r w:rsidRPr="00D9348B">
              <w:rPr>
                <w:szCs w:val="16"/>
              </w:rPr>
              <w:t xml:space="preserve">118.4 </w:t>
            </w:r>
          </w:p>
        </w:tc>
        <w:tc>
          <w:tcPr>
            <w:tcW w:w="904" w:type="dxa"/>
            <w:tcBorders>
              <w:top w:val="single" w:sz="4" w:space="0" w:color="365F91"/>
              <w:bottom w:val="single" w:sz="4" w:space="0" w:color="365F91"/>
            </w:tcBorders>
          </w:tcPr>
          <w:p w14:paraId="383AAD33" w14:textId="77777777" w:rsidR="00A10636" w:rsidRPr="00D9348B" w:rsidRDefault="00A10636" w:rsidP="00DB330E">
            <w:pPr>
              <w:pStyle w:val="TableText"/>
              <w:spacing w:before="40" w:after="40"/>
              <w:jc w:val="center"/>
              <w:rPr>
                <w:szCs w:val="16"/>
              </w:rPr>
            </w:pPr>
            <w:r w:rsidRPr="00D9348B">
              <w:rPr>
                <w:szCs w:val="16"/>
              </w:rPr>
              <w:t xml:space="preserve">57.7 </w:t>
            </w:r>
          </w:p>
        </w:tc>
        <w:tc>
          <w:tcPr>
            <w:tcW w:w="1333" w:type="dxa"/>
            <w:tcBorders>
              <w:top w:val="single" w:sz="4" w:space="0" w:color="365F91"/>
              <w:bottom w:val="single" w:sz="4" w:space="0" w:color="365F91"/>
            </w:tcBorders>
          </w:tcPr>
          <w:p w14:paraId="3E135EDC" w14:textId="77777777" w:rsidR="00A10636" w:rsidRPr="00D9348B" w:rsidRDefault="00A10636" w:rsidP="00DB330E">
            <w:pPr>
              <w:pStyle w:val="TableText"/>
              <w:spacing w:before="40" w:after="40"/>
              <w:jc w:val="center"/>
              <w:rPr>
                <w:szCs w:val="16"/>
              </w:rPr>
            </w:pPr>
            <w:r w:rsidRPr="00D9348B">
              <w:rPr>
                <w:szCs w:val="16"/>
              </w:rPr>
              <w:t>–51.3</w:t>
            </w:r>
          </w:p>
        </w:tc>
      </w:tr>
      <w:tr w:rsidR="00A10636" w:rsidRPr="00D9348B" w14:paraId="0FE3CA54" w14:textId="77777777" w:rsidTr="001423C4">
        <w:tc>
          <w:tcPr>
            <w:tcW w:w="2797" w:type="dxa"/>
            <w:tcBorders>
              <w:top w:val="single" w:sz="4" w:space="0" w:color="365F91"/>
              <w:bottom w:val="single" w:sz="4" w:space="0" w:color="365F91"/>
            </w:tcBorders>
          </w:tcPr>
          <w:p w14:paraId="7327E8BE" w14:textId="77777777" w:rsidR="00A10636" w:rsidRPr="00D9348B" w:rsidRDefault="00A10636" w:rsidP="00DB330E">
            <w:pPr>
              <w:pStyle w:val="Tableboldblue"/>
            </w:pPr>
            <w:r w:rsidRPr="00D9348B">
              <w:t>Total</w:t>
            </w:r>
          </w:p>
        </w:tc>
        <w:tc>
          <w:tcPr>
            <w:tcW w:w="1359" w:type="dxa"/>
            <w:tcBorders>
              <w:top w:val="single" w:sz="4" w:space="0" w:color="365F91"/>
              <w:bottom w:val="single" w:sz="4" w:space="0" w:color="365F91"/>
            </w:tcBorders>
          </w:tcPr>
          <w:p w14:paraId="5D18B4B6" w14:textId="77777777" w:rsidR="00A10636" w:rsidRPr="00D9348B" w:rsidRDefault="00A10636" w:rsidP="001423C4">
            <w:pPr>
              <w:pStyle w:val="Tableboldblue"/>
              <w:jc w:val="center"/>
            </w:pPr>
            <w:r w:rsidRPr="00D9348B">
              <w:t>423,955</w:t>
            </w:r>
          </w:p>
        </w:tc>
        <w:tc>
          <w:tcPr>
            <w:tcW w:w="1207" w:type="dxa"/>
            <w:tcBorders>
              <w:top w:val="single" w:sz="4" w:space="0" w:color="365F91"/>
              <w:bottom w:val="single" w:sz="4" w:space="0" w:color="365F91"/>
            </w:tcBorders>
          </w:tcPr>
          <w:p w14:paraId="17D99558" w14:textId="77777777" w:rsidR="00A10636" w:rsidRPr="00D9348B" w:rsidRDefault="00A10636" w:rsidP="001423C4">
            <w:pPr>
              <w:pStyle w:val="Tableboldblue"/>
              <w:jc w:val="center"/>
            </w:pPr>
            <w:r w:rsidRPr="00D9348B">
              <w:t>476,053</w:t>
            </w:r>
          </w:p>
        </w:tc>
        <w:tc>
          <w:tcPr>
            <w:tcW w:w="905" w:type="dxa"/>
            <w:tcBorders>
              <w:top w:val="single" w:sz="4" w:space="0" w:color="365F91"/>
              <w:bottom w:val="single" w:sz="4" w:space="0" w:color="365F91"/>
            </w:tcBorders>
          </w:tcPr>
          <w:p w14:paraId="114301AD" w14:textId="76DB19AF" w:rsidR="00A10636" w:rsidRPr="00D9348B" w:rsidRDefault="00A10636" w:rsidP="001423C4">
            <w:pPr>
              <w:pStyle w:val="Tableboldblue"/>
              <w:jc w:val="center"/>
            </w:pPr>
            <w:r w:rsidRPr="00D9348B">
              <w:t>476.2</w:t>
            </w:r>
          </w:p>
        </w:tc>
        <w:tc>
          <w:tcPr>
            <w:tcW w:w="904" w:type="dxa"/>
            <w:tcBorders>
              <w:top w:val="single" w:sz="4" w:space="0" w:color="365F91"/>
              <w:bottom w:val="single" w:sz="4" w:space="0" w:color="365F91"/>
            </w:tcBorders>
          </w:tcPr>
          <w:p w14:paraId="52A3FFDF" w14:textId="4E755751" w:rsidR="00A10636" w:rsidRPr="00D9348B" w:rsidRDefault="00A10636" w:rsidP="001423C4">
            <w:pPr>
              <w:pStyle w:val="Tableboldblue"/>
              <w:jc w:val="center"/>
            </w:pPr>
            <w:r w:rsidRPr="00D9348B">
              <w:t>391.3</w:t>
            </w:r>
          </w:p>
        </w:tc>
        <w:tc>
          <w:tcPr>
            <w:tcW w:w="1333" w:type="dxa"/>
            <w:tcBorders>
              <w:top w:val="single" w:sz="4" w:space="0" w:color="365F91"/>
              <w:bottom w:val="single" w:sz="4" w:space="0" w:color="365F91"/>
            </w:tcBorders>
          </w:tcPr>
          <w:p w14:paraId="789BE66D" w14:textId="77777777" w:rsidR="00A10636" w:rsidRPr="00D9348B" w:rsidRDefault="00A10636" w:rsidP="001423C4">
            <w:pPr>
              <w:pStyle w:val="Tableboldblue"/>
              <w:jc w:val="center"/>
            </w:pPr>
            <w:r w:rsidRPr="00D9348B">
              <w:t>–17.8</w:t>
            </w:r>
          </w:p>
        </w:tc>
      </w:tr>
    </w:tbl>
    <w:p w14:paraId="30D5AD31" w14:textId="77777777" w:rsidR="00A10636" w:rsidRPr="00D9348B" w:rsidRDefault="00A10636" w:rsidP="00A10636">
      <w:pPr>
        <w:pStyle w:val="Noteundertable"/>
      </w:pPr>
      <w:r w:rsidRPr="00D9348B">
        <w:rPr>
          <w:b/>
        </w:rPr>
        <w:t>Note:</w:t>
      </w:r>
      <w:r w:rsidRPr="00D9348B">
        <w:tab/>
        <w:t xml:space="preserve">Net area in 1990 is as at 1 January 1990; net area in 2018 is as at 31 December. </w:t>
      </w:r>
      <w:r w:rsidRPr="00D9348B">
        <w:rPr>
          <w:i/>
        </w:rPr>
        <w:t>Land area converted to cropland</w:t>
      </w:r>
      <w:r w:rsidRPr="00D9348B">
        <w:t xml:space="preserve"> includes land converted up to 28 years prior. Net emission values are for the whole year indicated. Values include CO</w:t>
      </w:r>
      <w:r w:rsidRPr="00D9348B">
        <w:rPr>
          <w:vertAlign w:val="subscript"/>
        </w:rPr>
        <w:t>2</w:t>
      </w:r>
      <w:r w:rsidRPr="00D9348B">
        <w:t>-e emissions from N</w:t>
      </w:r>
      <w:r w:rsidRPr="00D9348B">
        <w:rPr>
          <w:vertAlign w:val="subscript"/>
        </w:rPr>
        <w:t>2</w:t>
      </w:r>
      <w:r w:rsidRPr="00D9348B">
        <w:t>O from cultivation of land.</w:t>
      </w:r>
    </w:p>
    <w:p w14:paraId="1061FEE1" w14:textId="77777777" w:rsidR="00A10636" w:rsidRPr="00D9348B" w:rsidRDefault="00A10636" w:rsidP="00A10636">
      <w:pPr>
        <w:pStyle w:val="BodyText"/>
        <w:spacing w:before="100" w:after="100"/>
      </w:pPr>
      <w:r w:rsidRPr="00D9348B">
        <w:t xml:space="preserve">The </w:t>
      </w:r>
      <w:r w:rsidRPr="00D9348B">
        <w:rPr>
          <w:i/>
        </w:rPr>
        <w:t>Cropland remaining cropland</w:t>
      </w:r>
      <w:r w:rsidRPr="00D9348B">
        <w:t xml:space="preserve"> category is responsible for the majority of </w:t>
      </w:r>
      <w:r w:rsidRPr="00D9348B">
        <w:rPr>
          <w:i/>
        </w:rPr>
        <w:t>Cropland</w:t>
      </w:r>
      <w:r w:rsidRPr="00D9348B">
        <w:t xml:space="preserve"> emissions. This category comprised 85.2 per cent of all </w:t>
      </w:r>
      <w:r w:rsidRPr="00D9348B">
        <w:rPr>
          <w:i/>
        </w:rPr>
        <w:t>Cropland</w:t>
      </w:r>
      <w:r w:rsidRPr="00D9348B">
        <w:t xml:space="preserve"> area in 2018. </w:t>
      </w:r>
    </w:p>
    <w:p w14:paraId="1A7BBB8F" w14:textId="77777777" w:rsidR="00A10636" w:rsidRPr="00D9348B" w:rsidRDefault="00A10636" w:rsidP="00A10636">
      <w:pPr>
        <w:pStyle w:val="BodyText"/>
        <w:spacing w:before="100" w:after="100"/>
      </w:pPr>
      <w:r w:rsidRPr="00D9348B">
        <w:t xml:space="preserve">The majority of emissions due to carbon stock change that have occurred in the </w:t>
      </w:r>
      <w:r w:rsidRPr="00D9348B">
        <w:rPr>
          <w:i/>
        </w:rPr>
        <w:t>Cropland</w:t>
      </w:r>
      <w:r w:rsidRPr="00D9348B">
        <w:t xml:space="preserve"> category since 1990 are in the SOC pool (</w:t>
      </w:r>
      <w:r w:rsidRPr="00D9348B">
        <w:rPr>
          <w:bCs/>
        </w:rPr>
        <w:t>3,997.7</w:t>
      </w:r>
      <w:r w:rsidRPr="00D9348B">
        <w:rPr>
          <w:b/>
          <w:bCs/>
        </w:rPr>
        <w:t xml:space="preserve"> </w:t>
      </w:r>
      <w:r w:rsidRPr="00D9348B">
        <w:t>kt C or 14,218.2 kt CO</w:t>
      </w:r>
      <w:r w:rsidRPr="00D9348B">
        <w:rPr>
          <w:vertAlign w:val="subscript"/>
        </w:rPr>
        <w:t>2</w:t>
      </w:r>
      <w:r w:rsidRPr="00D9348B">
        <w:t>) (see table 6.5.2). Within the SOC pool, the majority of emissions result from organic soils (10,078.6 kt CO</w:t>
      </w:r>
      <w:r w:rsidRPr="00D9348B">
        <w:rPr>
          <w:vertAlign w:val="subscript"/>
        </w:rPr>
        <w:t>2</w:t>
      </w:r>
      <w:r w:rsidRPr="00D9348B">
        <w:t xml:space="preserve">). This is because organic soils continue to lose carbon even after the 20-year transition period (IPCC, 2006a). </w:t>
      </w:r>
    </w:p>
    <w:p w14:paraId="17D70ACF" w14:textId="77777777" w:rsidR="00A10636" w:rsidRPr="00D9348B" w:rsidRDefault="00A10636" w:rsidP="00A10636">
      <w:pPr>
        <w:pStyle w:val="Table"/>
      </w:pPr>
      <w:bookmarkStart w:id="1899" w:name="_Toc378853301"/>
      <w:bookmarkStart w:id="1900" w:name="_Toc391024099"/>
      <w:bookmarkStart w:id="1901" w:name="_Toc410028842"/>
      <w:bookmarkStart w:id="1902" w:name="_Toc414531470"/>
      <w:bookmarkStart w:id="1903" w:name="_Toc443645383"/>
      <w:bookmarkStart w:id="1904" w:name="_Toc474914602"/>
      <w:bookmarkStart w:id="1905" w:name="_Toc481751566"/>
      <w:bookmarkStart w:id="1906" w:name="_Toc522010623"/>
      <w:bookmarkStart w:id="1907" w:name="_Toc5269528"/>
      <w:bookmarkStart w:id="1908" w:name="_Toc33529402"/>
      <w:bookmarkStart w:id="1909" w:name="_Toc36224608"/>
      <w:r w:rsidRPr="00D9348B">
        <w:t>Table 6.5.2</w:t>
      </w:r>
      <w:r w:rsidRPr="00D9348B">
        <w:tab/>
        <w:t>New Zealand’s carbon stock change by carbon pool for the</w:t>
      </w:r>
      <w:r w:rsidRPr="00D9348B">
        <w:rPr>
          <w:rFonts w:cs="Arial"/>
        </w:rPr>
        <w:t xml:space="preserve"> Crop</w:t>
      </w:r>
      <w:r w:rsidRPr="00D9348B">
        <w:t>land category</w:t>
      </w:r>
      <w:r w:rsidRPr="00D9348B">
        <w:br/>
        <w:t>from 1990 to</w:t>
      </w:r>
      <w:bookmarkEnd w:id="1899"/>
      <w:bookmarkEnd w:id="1900"/>
      <w:r w:rsidRPr="00D9348B">
        <w:t> 201</w:t>
      </w:r>
      <w:bookmarkEnd w:id="1901"/>
      <w:bookmarkEnd w:id="1902"/>
      <w:bookmarkEnd w:id="1903"/>
      <w:bookmarkEnd w:id="1904"/>
      <w:bookmarkEnd w:id="1905"/>
      <w:bookmarkEnd w:id="1906"/>
      <w:bookmarkEnd w:id="1907"/>
      <w:r w:rsidRPr="00D9348B">
        <w:t>8</w:t>
      </w:r>
      <w:bookmarkEnd w:id="1908"/>
      <w:bookmarkEnd w:id="1909"/>
    </w:p>
    <w:tbl>
      <w:tblPr>
        <w:tblW w:w="8505" w:type="dxa"/>
        <w:tblInd w:w="108" w:type="dxa"/>
        <w:tblLook w:val="04A0" w:firstRow="1" w:lastRow="0" w:firstColumn="1" w:lastColumn="0" w:noHBand="0" w:noVBand="1"/>
      </w:tblPr>
      <w:tblGrid>
        <w:gridCol w:w="1700"/>
        <w:gridCol w:w="1350"/>
        <w:gridCol w:w="1455"/>
        <w:gridCol w:w="1269"/>
        <w:gridCol w:w="1269"/>
        <w:gridCol w:w="1462"/>
      </w:tblGrid>
      <w:tr w:rsidR="00A10636" w:rsidRPr="00D9348B" w14:paraId="29857A03" w14:textId="77777777" w:rsidTr="001423C4">
        <w:tc>
          <w:tcPr>
            <w:tcW w:w="1700" w:type="dxa"/>
            <w:vMerge w:val="restart"/>
            <w:tcBorders>
              <w:top w:val="single" w:sz="4" w:space="0" w:color="365F91"/>
            </w:tcBorders>
            <w:shd w:val="clear" w:color="auto" w:fill="365F91"/>
            <w:vAlign w:val="bottom"/>
          </w:tcPr>
          <w:p w14:paraId="2FC660F8" w14:textId="77777777" w:rsidR="00A10636" w:rsidRPr="00D9348B" w:rsidRDefault="00A10636" w:rsidP="00DB330E">
            <w:pPr>
              <w:pStyle w:val="TableTextBold"/>
              <w:keepNext/>
              <w:spacing w:before="40" w:after="40"/>
              <w:rPr>
                <w:noProof w:val="0"/>
                <w:color w:val="FFFFFF"/>
                <w:szCs w:val="16"/>
              </w:rPr>
            </w:pPr>
            <w:r w:rsidRPr="00D9348B">
              <w:rPr>
                <w:noProof w:val="0"/>
                <w:color w:val="FFFFFF"/>
                <w:szCs w:val="16"/>
              </w:rPr>
              <w:t>Land use</w:t>
            </w:r>
          </w:p>
        </w:tc>
        <w:tc>
          <w:tcPr>
            <w:tcW w:w="5343" w:type="dxa"/>
            <w:gridSpan w:val="4"/>
            <w:tcBorders>
              <w:top w:val="single" w:sz="4" w:space="0" w:color="365F91"/>
            </w:tcBorders>
            <w:shd w:val="clear" w:color="auto" w:fill="365F91"/>
            <w:vAlign w:val="bottom"/>
          </w:tcPr>
          <w:p w14:paraId="6882E5A7" w14:textId="77777777" w:rsidR="00A10636" w:rsidRPr="00D9348B" w:rsidRDefault="00A10636" w:rsidP="00DB330E">
            <w:pPr>
              <w:pStyle w:val="TableTextBold"/>
              <w:keepNext/>
              <w:spacing w:before="40" w:after="40"/>
              <w:jc w:val="center"/>
              <w:rPr>
                <w:noProof w:val="0"/>
                <w:color w:val="FFFFFF"/>
                <w:szCs w:val="16"/>
              </w:rPr>
            </w:pPr>
            <w:r w:rsidRPr="00D9348B">
              <w:rPr>
                <w:noProof w:val="0"/>
                <w:color w:val="FFFFFF"/>
                <w:szCs w:val="16"/>
              </w:rPr>
              <w:t>Net carbon stock change 1990–2018 (kt C)</w:t>
            </w:r>
          </w:p>
        </w:tc>
        <w:tc>
          <w:tcPr>
            <w:tcW w:w="1462" w:type="dxa"/>
            <w:vMerge w:val="restart"/>
            <w:tcBorders>
              <w:top w:val="single" w:sz="4" w:space="0" w:color="365F91"/>
            </w:tcBorders>
            <w:shd w:val="clear" w:color="auto" w:fill="365F91"/>
            <w:vAlign w:val="bottom"/>
          </w:tcPr>
          <w:p w14:paraId="00B13687" w14:textId="77777777" w:rsidR="00A10636" w:rsidRPr="00D9348B" w:rsidRDefault="00A10636" w:rsidP="00DB330E">
            <w:pPr>
              <w:pStyle w:val="TableTextBold"/>
              <w:keepNext/>
              <w:spacing w:before="40" w:after="40"/>
              <w:jc w:val="center"/>
              <w:rPr>
                <w:noProof w:val="0"/>
                <w:color w:val="FFFFFF"/>
                <w:szCs w:val="16"/>
              </w:rPr>
            </w:pPr>
            <w:r w:rsidRPr="00D9348B">
              <w:rPr>
                <w:noProof w:val="0"/>
                <w:color w:val="FFFFFF"/>
                <w:szCs w:val="16"/>
              </w:rPr>
              <w:t xml:space="preserve">Emissions </w:t>
            </w:r>
            <w:r w:rsidRPr="00D9348B">
              <w:rPr>
                <w:noProof w:val="0"/>
                <w:color w:val="FFFFFF"/>
                <w:szCs w:val="16"/>
              </w:rPr>
              <w:br/>
              <w:t>1990–2018</w:t>
            </w:r>
            <w:r w:rsidRPr="00D9348B">
              <w:rPr>
                <w:noProof w:val="0"/>
                <w:color w:val="FFFFFF"/>
                <w:szCs w:val="16"/>
              </w:rPr>
              <w:br/>
              <w:t>(kt CO</w:t>
            </w:r>
            <w:r w:rsidRPr="00D9348B">
              <w:rPr>
                <w:noProof w:val="0"/>
                <w:color w:val="FFFFFF"/>
                <w:szCs w:val="16"/>
                <w:vertAlign w:val="subscript"/>
              </w:rPr>
              <w:t>2</w:t>
            </w:r>
            <w:r w:rsidRPr="00D9348B">
              <w:rPr>
                <w:noProof w:val="0"/>
                <w:color w:val="FFFFFF"/>
                <w:szCs w:val="16"/>
              </w:rPr>
              <w:t>)</w:t>
            </w:r>
          </w:p>
        </w:tc>
      </w:tr>
      <w:tr w:rsidR="00A10636" w:rsidRPr="00D9348B" w14:paraId="3F351C93" w14:textId="77777777" w:rsidTr="001423C4">
        <w:tc>
          <w:tcPr>
            <w:tcW w:w="1700" w:type="dxa"/>
            <w:vMerge/>
            <w:tcBorders>
              <w:top w:val="single" w:sz="8" w:space="0" w:color="2E74B5"/>
              <w:bottom w:val="single" w:sz="4" w:space="0" w:color="365F91"/>
            </w:tcBorders>
            <w:shd w:val="clear" w:color="auto" w:fill="365F91"/>
            <w:vAlign w:val="bottom"/>
          </w:tcPr>
          <w:p w14:paraId="00A69BF0" w14:textId="77777777" w:rsidR="00A10636" w:rsidRPr="00D9348B" w:rsidRDefault="00A10636" w:rsidP="00DB330E">
            <w:pPr>
              <w:pStyle w:val="TableText"/>
              <w:keepNext/>
              <w:spacing w:before="40" w:after="40"/>
              <w:rPr>
                <w:color w:val="FFFFFF"/>
                <w:szCs w:val="16"/>
              </w:rPr>
            </w:pPr>
          </w:p>
        </w:tc>
        <w:tc>
          <w:tcPr>
            <w:tcW w:w="1350" w:type="dxa"/>
            <w:tcBorders>
              <w:bottom w:val="single" w:sz="4" w:space="0" w:color="365F91"/>
            </w:tcBorders>
            <w:shd w:val="clear" w:color="auto" w:fill="365F91"/>
            <w:vAlign w:val="bottom"/>
          </w:tcPr>
          <w:p w14:paraId="12B8F2CF" w14:textId="77777777" w:rsidR="00A10636" w:rsidRPr="00D9348B" w:rsidRDefault="00A10636" w:rsidP="00DB330E">
            <w:pPr>
              <w:pStyle w:val="TableTextBold"/>
              <w:keepNext/>
              <w:spacing w:before="40" w:after="40"/>
              <w:jc w:val="center"/>
              <w:rPr>
                <w:noProof w:val="0"/>
                <w:color w:val="FFFFFF"/>
                <w:szCs w:val="16"/>
              </w:rPr>
            </w:pPr>
            <w:r w:rsidRPr="00D9348B">
              <w:rPr>
                <w:noProof w:val="0"/>
                <w:color w:val="FFFFFF"/>
                <w:szCs w:val="16"/>
              </w:rPr>
              <w:t>Living biomass</w:t>
            </w:r>
          </w:p>
        </w:tc>
        <w:tc>
          <w:tcPr>
            <w:tcW w:w="1455" w:type="dxa"/>
            <w:tcBorders>
              <w:bottom w:val="single" w:sz="4" w:space="0" w:color="365F91"/>
            </w:tcBorders>
            <w:shd w:val="clear" w:color="auto" w:fill="365F91"/>
            <w:vAlign w:val="bottom"/>
          </w:tcPr>
          <w:p w14:paraId="5C47BC43" w14:textId="77777777" w:rsidR="00A10636" w:rsidRPr="00D9348B" w:rsidRDefault="00A10636" w:rsidP="00DB330E">
            <w:pPr>
              <w:pStyle w:val="TableTextBold"/>
              <w:keepNext/>
              <w:spacing w:before="40" w:after="40"/>
              <w:jc w:val="center"/>
              <w:rPr>
                <w:noProof w:val="0"/>
                <w:color w:val="FFFFFF"/>
                <w:szCs w:val="16"/>
              </w:rPr>
            </w:pPr>
            <w:r w:rsidRPr="00D9348B">
              <w:rPr>
                <w:noProof w:val="0"/>
                <w:color w:val="FFFFFF"/>
                <w:szCs w:val="16"/>
              </w:rPr>
              <w:t>Dead organic matter</w:t>
            </w:r>
          </w:p>
        </w:tc>
        <w:tc>
          <w:tcPr>
            <w:tcW w:w="1269" w:type="dxa"/>
            <w:tcBorders>
              <w:bottom w:val="single" w:sz="4" w:space="0" w:color="365F91"/>
            </w:tcBorders>
            <w:shd w:val="clear" w:color="auto" w:fill="365F91"/>
            <w:vAlign w:val="bottom"/>
          </w:tcPr>
          <w:p w14:paraId="470E47DB" w14:textId="77777777" w:rsidR="00A10636" w:rsidRPr="00D9348B" w:rsidRDefault="00A10636" w:rsidP="00DB330E">
            <w:pPr>
              <w:pStyle w:val="TableTextBold"/>
              <w:keepNext/>
              <w:spacing w:before="40" w:after="40"/>
              <w:jc w:val="center"/>
              <w:rPr>
                <w:noProof w:val="0"/>
                <w:color w:val="FFFFFF"/>
                <w:szCs w:val="16"/>
              </w:rPr>
            </w:pPr>
            <w:r w:rsidRPr="00D9348B">
              <w:rPr>
                <w:noProof w:val="0"/>
                <w:color w:val="FFFFFF"/>
                <w:szCs w:val="16"/>
              </w:rPr>
              <w:t>Soils</w:t>
            </w:r>
          </w:p>
        </w:tc>
        <w:tc>
          <w:tcPr>
            <w:tcW w:w="1269" w:type="dxa"/>
            <w:tcBorders>
              <w:bottom w:val="single" w:sz="4" w:space="0" w:color="365F91"/>
            </w:tcBorders>
            <w:shd w:val="clear" w:color="auto" w:fill="365F91"/>
            <w:vAlign w:val="bottom"/>
          </w:tcPr>
          <w:p w14:paraId="09E77D85" w14:textId="77777777" w:rsidR="00A10636" w:rsidRPr="00D9348B" w:rsidRDefault="00A10636" w:rsidP="00DB330E">
            <w:pPr>
              <w:pStyle w:val="TableTextBold"/>
              <w:keepNext/>
              <w:spacing w:before="40" w:after="40"/>
              <w:jc w:val="center"/>
              <w:rPr>
                <w:noProof w:val="0"/>
                <w:color w:val="FFFFFF"/>
                <w:szCs w:val="16"/>
              </w:rPr>
            </w:pPr>
            <w:r w:rsidRPr="00D9348B">
              <w:rPr>
                <w:noProof w:val="0"/>
                <w:color w:val="FFFFFF"/>
                <w:szCs w:val="16"/>
              </w:rPr>
              <w:t>Total</w:t>
            </w:r>
          </w:p>
        </w:tc>
        <w:tc>
          <w:tcPr>
            <w:tcW w:w="1462" w:type="dxa"/>
            <w:vMerge/>
            <w:tcBorders>
              <w:bottom w:val="single" w:sz="4" w:space="0" w:color="365F91"/>
            </w:tcBorders>
            <w:shd w:val="clear" w:color="auto" w:fill="365F91"/>
            <w:vAlign w:val="bottom"/>
          </w:tcPr>
          <w:p w14:paraId="10C70C72" w14:textId="77777777" w:rsidR="00A10636" w:rsidRPr="00D9348B" w:rsidRDefault="00A10636" w:rsidP="00DB330E">
            <w:pPr>
              <w:pStyle w:val="TableText"/>
              <w:keepNext/>
              <w:spacing w:before="40" w:after="40"/>
              <w:jc w:val="center"/>
              <w:rPr>
                <w:szCs w:val="16"/>
              </w:rPr>
            </w:pPr>
          </w:p>
        </w:tc>
      </w:tr>
      <w:tr w:rsidR="00A10636" w:rsidRPr="00D9348B" w14:paraId="67244461" w14:textId="77777777" w:rsidTr="001423C4">
        <w:tc>
          <w:tcPr>
            <w:tcW w:w="1700" w:type="dxa"/>
            <w:tcBorders>
              <w:top w:val="single" w:sz="4" w:space="0" w:color="365F91"/>
              <w:bottom w:val="single" w:sz="4" w:space="0" w:color="365F91"/>
            </w:tcBorders>
          </w:tcPr>
          <w:p w14:paraId="7395FEDA" w14:textId="77777777" w:rsidR="00A10636" w:rsidRPr="00D9348B" w:rsidRDefault="00A10636" w:rsidP="00DB330E">
            <w:pPr>
              <w:pStyle w:val="TableText"/>
              <w:spacing w:before="40" w:after="40"/>
              <w:rPr>
                <w:szCs w:val="16"/>
              </w:rPr>
            </w:pPr>
            <w:r w:rsidRPr="00D9348B">
              <w:rPr>
                <w:szCs w:val="16"/>
              </w:rPr>
              <w:t>Annual cropland</w:t>
            </w:r>
          </w:p>
        </w:tc>
        <w:tc>
          <w:tcPr>
            <w:tcW w:w="1350" w:type="dxa"/>
            <w:tcBorders>
              <w:top w:val="single" w:sz="4" w:space="0" w:color="365F91"/>
              <w:bottom w:val="single" w:sz="4" w:space="0" w:color="365F91"/>
            </w:tcBorders>
          </w:tcPr>
          <w:p w14:paraId="5C5EEE06" w14:textId="77777777" w:rsidR="00A10636" w:rsidRPr="00D9348B" w:rsidRDefault="00A10636" w:rsidP="00DB330E">
            <w:pPr>
              <w:pStyle w:val="TableText"/>
              <w:keepNext/>
              <w:spacing w:before="40" w:after="40"/>
              <w:jc w:val="center"/>
              <w:rPr>
                <w:szCs w:val="16"/>
              </w:rPr>
            </w:pPr>
            <w:r w:rsidRPr="00D9348B">
              <w:rPr>
                <w:szCs w:val="16"/>
              </w:rPr>
              <w:t>–177.9</w:t>
            </w:r>
          </w:p>
        </w:tc>
        <w:tc>
          <w:tcPr>
            <w:tcW w:w="1455" w:type="dxa"/>
            <w:tcBorders>
              <w:top w:val="single" w:sz="4" w:space="0" w:color="365F91"/>
              <w:bottom w:val="single" w:sz="4" w:space="0" w:color="365F91"/>
            </w:tcBorders>
          </w:tcPr>
          <w:p w14:paraId="40DE4DB2" w14:textId="77777777" w:rsidR="00A10636" w:rsidRPr="00D9348B" w:rsidRDefault="00A10636" w:rsidP="00DB330E">
            <w:pPr>
              <w:pStyle w:val="TableText"/>
              <w:keepNext/>
              <w:spacing w:before="40" w:after="40"/>
              <w:jc w:val="center"/>
              <w:rPr>
                <w:szCs w:val="16"/>
              </w:rPr>
            </w:pPr>
            <w:r w:rsidRPr="00D9348B">
              <w:rPr>
                <w:szCs w:val="16"/>
              </w:rPr>
              <w:t>–10.6</w:t>
            </w:r>
          </w:p>
        </w:tc>
        <w:tc>
          <w:tcPr>
            <w:tcW w:w="1269" w:type="dxa"/>
            <w:tcBorders>
              <w:top w:val="single" w:sz="4" w:space="0" w:color="365F91"/>
              <w:bottom w:val="single" w:sz="4" w:space="0" w:color="365F91"/>
            </w:tcBorders>
          </w:tcPr>
          <w:p w14:paraId="2B57869F" w14:textId="77777777" w:rsidR="00A10636" w:rsidRPr="00D9348B" w:rsidRDefault="00A10636" w:rsidP="00DB330E">
            <w:pPr>
              <w:pStyle w:val="TableText"/>
              <w:keepNext/>
              <w:spacing w:before="40" w:after="40"/>
              <w:jc w:val="center"/>
              <w:rPr>
                <w:szCs w:val="16"/>
              </w:rPr>
            </w:pPr>
            <w:r w:rsidRPr="00D9348B">
              <w:rPr>
                <w:szCs w:val="16"/>
              </w:rPr>
              <w:t>–2,689.6</w:t>
            </w:r>
          </w:p>
        </w:tc>
        <w:tc>
          <w:tcPr>
            <w:tcW w:w="1269" w:type="dxa"/>
            <w:tcBorders>
              <w:top w:val="single" w:sz="4" w:space="0" w:color="365F91"/>
              <w:bottom w:val="single" w:sz="4" w:space="0" w:color="365F91"/>
            </w:tcBorders>
          </w:tcPr>
          <w:p w14:paraId="57D45D3F" w14:textId="77777777" w:rsidR="00A10636" w:rsidRPr="00D9348B" w:rsidRDefault="00A10636" w:rsidP="00DB330E">
            <w:pPr>
              <w:pStyle w:val="TableText"/>
              <w:keepNext/>
              <w:spacing w:before="40" w:after="40"/>
              <w:jc w:val="center"/>
              <w:rPr>
                <w:szCs w:val="16"/>
              </w:rPr>
            </w:pPr>
            <w:r w:rsidRPr="00D9348B">
              <w:rPr>
                <w:szCs w:val="16"/>
              </w:rPr>
              <w:t>–2,878.0</w:t>
            </w:r>
          </w:p>
        </w:tc>
        <w:tc>
          <w:tcPr>
            <w:tcW w:w="1462" w:type="dxa"/>
            <w:tcBorders>
              <w:top w:val="single" w:sz="4" w:space="0" w:color="365F91"/>
              <w:bottom w:val="single" w:sz="4" w:space="0" w:color="365F91"/>
            </w:tcBorders>
          </w:tcPr>
          <w:p w14:paraId="090A31C7" w14:textId="77777777" w:rsidR="00A10636" w:rsidRPr="00D9348B" w:rsidRDefault="00A10636" w:rsidP="00DB330E">
            <w:pPr>
              <w:pStyle w:val="TableText"/>
              <w:keepNext/>
              <w:spacing w:before="40" w:after="40"/>
              <w:jc w:val="center"/>
              <w:rPr>
                <w:szCs w:val="16"/>
              </w:rPr>
            </w:pPr>
            <w:r w:rsidRPr="00D9348B">
              <w:rPr>
                <w:szCs w:val="16"/>
              </w:rPr>
              <w:t>10,552.7</w:t>
            </w:r>
          </w:p>
        </w:tc>
      </w:tr>
      <w:tr w:rsidR="00A10636" w:rsidRPr="00D9348B" w14:paraId="2FD4E8DA" w14:textId="77777777" w:rsidTr="001423C4">
        <w:tc>
          <w:tcPr>
            <w:tcW w:w="1700" w:type="dxa"/>
            <w:tcBorders>
              <w:top w:val="single" w:sz="4" w:space="0" w:color="365F91"/>
              <w:bottom w:val="single" w:sz="4" w:space="0" w:color="365F91"/>
            </w:tcBorders>
          </w:tcPr>
          <w:p w14:paraId="75603A11" w14:textId="77777777" w:rsidR="00A10636" w:rsidRPr="00D9348B" w:rsidRDefault="00A10636" w:rsidP="00DB330E">
            <w:pPr>
              <w:pStyle w:val="TableText"/>
              <w:spacing w:before="40" w:after="40"/>
              <w:rPr>
                <w:szCs w:val="16"/>
              </w:rPr>
            </w:pPr>
            <w:r w:rsidRPr="00D9348B">
              <w:rPr>
                <w:szCs w:val="16"/>
              </w:rPr>
              <w:t xml:space="preserve">Perennial cropland </w:t>
            </w:r>
          </w:p>
        </w:tc>
        <w:tc>
          <w:tcPr>
            <w:tcW w:w="1350" w:type="dxa"/>
            <w:tcBorders>
              <w:top w:val="single" w:sz="4" w:space="0" w:color="365F91"/>
              <w:bottom w:val="single" w:sz="4" w:space="0" w:color="365F91"/>
            </w:tcBorders>
          </w:tcPr>
          <w:p w14:paraId="07A08F8C" w14:textId="77777777" w:rsidR="00A10636" w:rsidRPr="00D9348B" w:rsidRDefault="00A10636" w:rsidP="00DB330E">
            <w:pPr>
              <w:pStyle w:val="TableText"/>
              <w:keepNext/>
              <w:spacing w:before="40" w:after="40"/>
              <w:jc w:val="center"/>
              <w:rPr>
                <w:szCs w:val="16"/>
              </w:rPr>
            </w:pPr>
            <w:r w:rsidRPr="00D9348B">
              <w:rPr>
                <w:szCs w:val="16"/>
              </w:rPr>
              <w:t>315.0</w:t>
            </w:r>
          </w:p>
        </w:tc>
        <w:tc>
          <w:tcPr>
            <w:tcW w:w="1455" w:type="dxa"/>
            <w:tcBorders>
              <w:top w:val="single" w:sz="4" w:space="0" w:color="365F91"/>
              <w:bottom w:val="single" w:sz="4" w:space="0" w:color="365F91"/>
            </w:tcBorders>
          </w:tcPr>
          <w:p w14:paraId="35AF9A98" w14:textId="77777777" w:rsidR="00A10636" w:rsidRPr="00D9348B" w:rsidRDefault="00A10636" w:rsidP="00DB330E">
            <w:pPr>
              <w:pStyle w:val="TableText"/>
              <w:keepNext/>
              <w:spacing w:before="40" w:after="40"/>
              <w:jc w:val="center"/>
              <w:rPr>
                <w:szCs w:val="16"/>
              </w:rPr>
            </w:pPr>
            <w:r w:rsidRPr="00D9348B">
              <w:rPr>
                <w:szCs w:val="16"/>
              </w:rPr>
              <w:t>–6.6</w:t>
            </w:r>
          </w:p>
        </w:tc>
        <w:tc>
          <w:tcPr>
            <w:tcW w:w="1269" w:type="dxa"/>
            <w:tcBorders>
              <w:top w:val="single" w:sz="4" w:space="0" w:color="365F91"/>
              <w:bottom w:val="single" w:sz="4" w:space="0" w:color="365F91"/>
            </w:tcBorders>
          </w:tcPr>
          <w:p w14:paraId="2CCA7D8E" w14:textId="77777777" w:rsidR="00A10636" w:rsidRPr="00D9348B" w:rsidRDefault="00A10636" w:rsidP="00DB330E">
            <w:pPr>
              <w:pStyle w:val="TableText"/>
              <w:keepNext/>
              <w:spacing w:before="40" w:after="40"/>
              <w:jc w:val="center"/>
              <w:rPr>
                <w:szCs w:val="16"/>
              </w:rPr>
            </w:pPr>
            <w:r w:rsidRPr="00D9348B">
              <w:rPr>
                <w:szCs w:val="16"/>
              </w:rPr>
              <w:t>–1,308.1</w:t>
            </w:r>
          </w:p>
        </w:tc>
        <w:tc>
          <w:tcPr>
            <w:tcW w:w="1269" w:type="dxa"/>
            <w:tcBorders>
              <w:top w:val="single" w:sz="4" w:space="0" w:color="365F91"/>
              <w:bottom w:val="single" w:sz="4" w:space="0" w:color="365F91"/>
            </w:tcBorders>
          </w:tcPr>
          <w:p w14:paraId="6F3F7D3C" w14:textId="77777777" w:rsidR="00A10636" w:rsidRPr="00D9348B" w:rsidRDefault="00A10636" w:rsidP="00DB330E">
            <w:pPr>
              <w:pStyle w:val="TableText"/>
              <w:keepNext/>
              <w:spacing w:before="40" w:after="40"/>
              <w:jc w:val="center"/>
              <w:rPr>
                <w:szCs w:val="16"/>
              </w:rPr>
            </w:pPr>
            <w:r w:rsidRPr="00D9348B">
              <w:rPr>
                <w:szCs w:val="16"/>
              </w:rPr>
              <w:t>–999.7</w:t>
            </w:r>
          </w:p>
        </w:tc>
        <w:tc>
          <w:tcPr>
            <w:tcW w:w="1462" w:type="dxa"/>
            <w:tcBorders>
              <w:top w:val="single" w:sz="4" w:space="0" w:color="365F91"/>
              <w:bottom w:val="single" w:sz="4" w:space="0" w:color="365F91"/>
            </w:tcBorders>
          </w:tcPr>
          <w:p w14:paraId="71B46007" w14:textId="77777777" w:rsidR="00A10636" w:rsidRPr="00D9348B" w:rsidRDefault="00A10636" w:rsidP="00DB330E">
            <w:pPr>
              <w:pStyle w:val="TableText"/>
              <w:keepNext/>
              <w:spacing w:before="40" w:after="40"/>
              <w:jc w:val="center"/>
              <w:rPr>
                <w:szCs w:val="16"/>
              </w:rPr>
            </w:pPr>
            <w:r w:rsidRPr="00D9348B">
              <w:rPr>
                <w:szCs w:val="16"/>
              </w:rPr>
              <w:t>3,665.5</w:t>
            </w:r>
          </w:p>
        </w:tc>
      </w:tr>
      <w:tr w:rsidR="00A10636" w:rsidRPr="00D9348B" w14:paraId="2DDC2A3A" w14:textId="77777777" w:rsidTr="001423C4">
        <w:tc>
          <w:tcPr>
            <w:tcW w:w="1700" w:type="dxa"/>
            <w:tcBorders>
              <w:top w:val="single" w:sz="4" w:space="0" w:color="365F91"/>
              <w:bottom w:val="single" w:sz="4" w:space="0" w:color="365F91"/>
            </w:tcBorders>
          </w:tcPr>
          <w:p w14:paraId="15F5B3DC" w14:textId="77777777" w:rsidR="00A10636" w:rsidRPr="00D9348B" w:rsidRDefault="00A10636" w:rsidP="00DB330E">
            <w:pPr>
              <w:pStyle w:val="Tableboldblue"/>
              <w:jc w:val="right"/>
            </w:pPr>
            <w:r w:rsidRPr="00D9348B">
              <w:t>Total</w:t>
            </w:r>
          </w:p>
        </w:tc>
        <w:tc>
          <w:tcPr>
            <w:tcW w:w="1350" w:type="dxa"/>
            <w:tcBorders>
              <w:top w:val="single" w:sz="4" w:space="0" w:color="365F91"/>
              <w:bottom w:val="single" w:sz="4" w:space="0" w:color="365F91"/>
            </w:tcBorders>
          </w:tcPr>
          <w:p w14:paraId="0E01CF66" w14:textId="77777777" w:rsidR="00A10636" w:rsidRPr="00D9348B" w:rsidRDefault="00A10636" w:rsidP="001423C4">
            <w:pPr>
              <w:pStyle w:val="Tableboldblue"/>
              <w:jc w:val="center"/>
            </w:pPr>
            <w:r w:rsidRPr="00D9348B">
              <w:t>137.1</w:t>
            </w:r>
          </w:p>
        </w:tc>
        <w:tc>
          <w:tcPr>
            <w:tcW w:w="1455" w:type="dxa"/>
            <w:tcBorders>
              <w:top w:val="single" w:sz="4" w:space="0" w:color="365F91"/>
              <w:bottom w:val="single" w:sz="4" w:space="0" w:color="365F91"/>
            </w:tcBorders>
          </w:tcPr>
          <w:p w14:paraId="767E32AD" w14:textId="77777777" w:rsidR="00A10636" w:rsidRPr="00D9348B" w:rsidRDefault="00A10636" w:rsidP="001423C4">
            <w:pPr>
              <w:pStyle w:val="Tableboldblue"/>
              <w:jc w:val="center"/>
            </w:pPr>
            <w:r w:rsidRPr="00D9348B">
              <w:t>–17.2</w:t>
            </w:r>
          </w:p>
        </w:tc>
        <w:tc>
          <w:tcPr>
            <w:tcW w:w="1269" w:type="dxa"/>
            <w:tcBorders>
              <w:top w:val="single" w:sz="4" w:space="0" w:color="365F91"/>
              <w:bottom w:val="single" w:sz="4" w:space="0" w:color="365F91"/>
            </w:tcBorders>
          </w:tcPr>
          <w:p w14:paraId="626B00A5" w14:textId="77777777" w:rsidR="00A10636" w:rsidRPr="00D9348B" w:rsidRDefault="00A10636" w:rsidP="001423C4">
            <w:pPr>
              <w:pStyle w:val="Tableboldblue"/>
              <w:jc w:val="center"/>
            </w:pPr>
            <w:r w:rsidRPr="00D9348B">
              <w:t>–3,997.7</w:t>
            </w:r>
          </w:p>
        </w:tc>
        <w:tc>
          <w:tcPr>
            <w:tcW w:w="1269" w:type="dxa"/>
            <w:tcBorders>
              <w:top w:val="single" w:sz="4" w:space="0" w:color="365F91"/>
              <w:bottom w:val="single" w:sz="4" w:space="0" w:color="365F91"/>
            </w:tcBorders>
          </w:tcPr>
          <w:p w14:paraId="3E04A610" w14:textId="77777777" w:rsidR="00A10636" w:rsidRPr="00D9348B" w:rsidRDefault="00A10636" w:rsidP="001423C4">
            <w:pPr>
              <w:pStyle w:val="Tableboldblue"/>
              <w:jc w:val="center"/>
            </w:pPr>
            <w:r w:rsidRPr="00D9348B">
              <w:t>–3,877.7</w:t>
            </w:r>
          </w:p>
        </w:tc>
        <w:tc>
          <w:tcPr>
            <w:tcW w:w="1462" w:type="dxa"/>
            <w:tcBorders>
              <w:top w:val="single" w:sz="4" w:space="0" w:color="365F91"/>
              <w:bottom w:val="single" w:sz="4" w:space="0" w:color="365F91"/>
            </w:tcBorders>
          </w:tcPr>
          <w:p w14:paraId="536391C6" w14:textId="77777777" w:rsidR="00A10636" w:rsidRPr="00D9348B" w:rsidRDefault="00A10636" w:rsidP="001423C4">
            <w:pPr>
              <w:pStyle w:val="Tableboldblue"/>
              <w:jc w:val="center"/>
            </w:pPr>
            <w:r w:rsidRPr="00D9348B">
              <w:t>14,218.2</w:t>
            </w:r>
          </w:p>
        </w:tc>
      </w:tr>
    </w:tbl>
    <w:p w14:paraId="724CCFFB" w14:textId="7DA729F9" w:rsidR="00A10636" w:rsidRPr="00D9348B" w:rsidRDefault="00A10636" w:rsidP="00A10636">
      <w:pPr>
        <w:pStyle w:val="Noteundertable"/>
      </w:pPr>
      <w:r w:rsidRPr="00D9348B">
        <w:rPr>
          <w:b/>
        </w:rPr>
        <w:t>Note:</w:t>
      </w:r>
      <w:r w:rsidRPr="00D9348B">
        <w:tab/>
        <w:t>This table includes CO</w:t>
      </w:r>
      <w:r w:rsidRPr="00D9348B">
        <w:rPr>
          <w:vertAlign w:val="subscript"/>
        </w:rPr>
        <w:t>2</w:t>
      </w:r>
      <w:r w:rsidRPr="00D9348B">
        <w:t xml:space="preserve"> emissions from carbon stock change only (emissions from N</w:t>
      </w:r>
      <w:r w:rsidRPr="00D9348B">
        <w:rPr>
          <w:vertAlign w:val="subscript"/>
        </w:rPr>
        <w:t>2</w:t>
      </w:r>
      <w:r w:rsidRPr="00D9348B">
        <w:t xml:space="preserve">O disturbance are not included in this table). The reported dead organic matter losses result from the loss of dead organic matter of woody </w:t>
      </w:r>
      <w:r w:rsidR="00766DDA">
        <w:t>land-use</w:t>
      </w:r>
      <w:r w:rsidRPr="00D9348B">
        <w:t xml:space="preserve"> categories on conversion to cropland. Columns may not total due to rounding. </w:t>
      </w:r>
    </w:p>
    <w:p w14:paraId="07D3B305" w14:textId="7C9D4CAB" w:rsidR="00A10636" w:rsidRPr="00D9348B" w:rsidRDefault="00A10636" w:rsidP="00A10636">
      <w:pPr>
        <w:pStyle w:val="BodyText"/>
        <w:spacing w:before="100" w:after="100"/>
      </w:pPr>
      <w:r w:rsidRPr="00D9348B">
        <w:t xml:space="preserve">Table 6.5.3 shows land-use change by </w:t>
      </w:r>
      <w:r w:rsidRPr="00D9348B">
        <w:rPr>
          <w:i/>
        </w:rPr>
        <w:t>Cropland</w:t>
      </w:r>
      <w:r w:rsidRPr="00D9348B">
        <w:t xml:space="preserve"> land use since 1990, and the associated CO</w:t>
      </w:r>
      <w:r w:rsidRPr="00D9348B">
        <w:rPr>
          <w:vertAlign w:val="subscript"/>
        </w:rPr>
        <w:t>2</w:t>
      </w:r>
      <w:r w:rsidRPr="00D9348B">
        <w:t xml:space="preserve"> emissions from carbon stock change. The </w:t>
      </w:r>
      <w:r w:rsidRPr="00D9348B">
        <w:rPr>
          <w:i/>
        </w:rPr>
        <w:t>Cropland</w:t>
      </w:r>
      <w:r w:rsidRPr="00D9348B">
        <w:t xml:space="preserve"> category in New Zealand is separated into two </w:t>
      </w:r>
      <w:r w:rsidR="00766DDA">
        <w:t>land-use</w:t>
      </w:r>
      <w:r w:rsidRPr="00D9348B">
        <w:t xml:space="preserve"> types: annual and perennial. In 2018, annual cropland accounted for 1.4 per cent of total land area, and perennial cropland accounted for 0.4 per cent of total land area in New Zealand. </w:t>
      </w:r>
    </w:p>
    <w:p w14:paraId="5F876A68" w14:textId="77777777" w:rsidR="00A10636" w:rsidRPr="00D9348B" w:rsidRDefault="00A10636" w:rsidP="00A10636">
      <w:pPr>
        <w:pStyle w:val="BodyText"/>
        <w:spacing w:before="100" w:after="100"/>
      </w:pPr>
      <w:r w:rsidRPr="00D9348B">
        <w:t xml:space="preserve">Annual crops include cereals, grains, oil seeds, vegetables, root crops and forages. Perennial crops include orchards, vineyards and their associated shelterbelts except where these shelterbelts meet the criteria for the </w:t>
      </w:r>
      <w:r w:rsidRPr="00D9348B">
        <w:rPr>
          <w:i/>
        </w:rPr>
        <w:t>Forest land</w:t>
      </w:r>
      <w:r w:rsidRPr="00D9348B">
        <w:t xml:space="preserve"> category. </w:t>
      </w:r>
    </w:p>
    <w:p w14:paraId="6909FC55" w14:textId="77777777" w:rsidR="00A10636" w:rsidRPr="00D9348B" w:rsidRDefault="00A10636" w:rsidP="00A10636">
      <w:pPr>
        <w:pStyle w:val="BodyText"/>
        <w:spacing w:before="100" w:after="100"/>
      </w:pPr>
      <w:r w:rsidRPr="00D9348B">
        <w:lastRenderedPageBreak/>
        <w:t xml:space="preserve">The amount of carbon stored in, emitted by or removed from permanent cropland depends on crop type, management practices, soil properties and climate variables. Annual crops are harvested each year, with no long-term storage of carbon in biomass. However, the amount of carbon stored in woody vegetation in orchards can be significant, with the amount depending on the species, density, growth rates, and harvesting and pruning practices. </w:t>
      </w:r>
    </w:p>
    <w:p w14:paraId="3F223FF1" w14:textId="560A442B" w:rsidR="00A10636" w:rsidRPr="00D9348B" w:rsidRDefault="00A10636" w:rsidP="00A10636">
      <w:pPr>
        <w:pStyle w:val="Table"/>
      </w:pPr>
      <w:bookmarkStart w:id="1910" w:name="_Toc310423415"/>
      <w:bookmarkStart w:id="1911" w:name="_Toc318362708"/>
      <w:bookmarkStart w:id="1912" w:name="_Toc342470770"/>
      <w:bookmarkStart w:id="1913" w:name="_Toc352505010"/>
      <w:bookmarkStart w:id="1914" w:name="_Toc378853302"/>
      <w:bookmarkStart w:id="1915" w:name="_Toc391024100"/>
      <w:bookmarkStart w:id="1916" w:name="_Toc410028843"/>
      <w:bookmarkStart w:id="1917" w:name="_Toc414531471"/>
      <w:bookmarkStart w:id="1918" w:name="_Toc443645384"/>
      <w:bookmarkStart w:id="1919" w:name="_Toc474914603"/>
      <w:bookmarkStart w:id="1920" w:name="_Toc481751567"/>
      <w:bookmarkStart w:id="1921" w:name="_Toc522010624"/>
      <w:bookmarkStart w:id="1922" w:name="_Toc5269529"/>
      <w:bookmarkStart w:id="1923" w:name="_Toc33529403"/>
      <w:bookmarkStart w:id="1924" w:name="_Toc36224609"/>
      <w:r w:rsidRPr="00D9348B">
        <w:t>Table 6.5.3</w:t>
      </w:r>
      <w:r w:rsidRPr="00D9348B">
        <w:tab/>
        <w:t>New Zealand’s land-use change by Cropland land use, and associated CO</w:t>
      </w:r>
      <w:r w:rsidRPr="00D9348B">
        <w:rPr>
          <w:vertAlign w:val="subscript"/>
        </w:rPr>
        <w:t>2</w:t>
      </w:r>
      <w:r w:rsidRPr="00D9348B">
        <w:t xml:space="preserve"> emissions</w:t>
      </w:r>
      <w:r w:rsidR="00330F6B" w:rsidRPr="00D9348B">
        <w:t> </w:t>
      </w:r>
      <w:r w:rsidRPr="00D9348B">
        <w:t>from</w:t>
      </w:r>
      <w:r w:rsidR="00582587" w:rsidRPr="00D9348B">
        <w:br/>
      </w:r>
      <w:r w:rsidRPr="00D9348B">
        <w:t>carbon stock change</w:t>
      </w:r>
      <w:bookmarkEnd w:id="1910"/>
      <w:bookmarkEnd w:id="1911"/>
      <w:bookmarkEnd w:id="1912"/>
      <w:bookmarkEnd w:id="1913"/>
      <w:bookmarkEnd w:id="1914"/>
      <w:r w:rsidRPr="00D9348B">
        <w:t>, from 1990 to</w:t>
      </w:r>
      <w:bookmarkEnd w:id="1915"/>
      <w:r w:rsidRPr="00D9348B">
        <w:t> 201</w:t>
      </w:r>
      <w:bookmarkEnd w:id="1916"/>
      <w:bookmarkEnd w:id="1917"/>
      <w:bookmarkEnd w:id="1918"/>
      <w:bookmarkEnd w:id="1919"/>
      <w:bookmarkEnd w:id="1920"/>
      <w:bookmarkEnd w:id="1921"/>
      <w:bookmarkEnd w:id="1922"/>
      <w:r w:rsidRPr="00D9348B">
        <w:t>8</w:t>
      </w:r>
      <w:bookmarkEnd w:id="1923"/>
      <w:bookmarkEnd w:id="1924"/>
    </w:p>
    <w:tbl>
      <w:tblPr>
        <w:tblW w:w="8505" w:type="dxa"/>
        <w:tblInd w:w="108" w:type="dxa"/>
        <w:tblLook w:val="04A0" w:firstRow="1" w:lastRow="0" w:firstColumn="1" w:lastColumn="0" w:noHBand="0" w:noVBand="1"/>
      </w:tblPr>
      <w:tblGrid>
        <w:gridCol w:w="1560"/>
        <w:gridCol w:w="1275"/>
        <w:gridCol w:w="1294"/>
        <w:gridCol w:w="1172"/>
        <w:gridCol w:w="1091"/>
        <w:gridCol w:w="1082"/>
        <w:gridCol w:w="1031"/>
      </w:tblGrid>
      <w:tr w:rsidR="00A10636" w:rsidRPr="00D9348B" w14:paraId="400FEAAB" w14:textId="77777777" w:rsidTr="001423C4">
        <w:tc>
          <w:tcPr>
            <w:tcW w:w="1560" w:type="dxa"/>
            <w:vMerge w:val="restart"/>
            <w:tcBorders>
              <w:top w:val="single" w:sz="4" w:space="0" w:color="365F91"/>
            </w:tcBorders>
            <w:shd w:val="clear" w:color="auto" w:fill="365F91"/>
            <w:vAlign w:val="bottom"/>
          </w:tcPr>
          <w:p w14:paraId="1FFBCC15" w14:textId="77777777" w:rsidR="00A10636" w:rsidRPr="00D9348B" w:rsidRDefault="00A10636" w:rsidP="00DB330E">
            <w:pPr>
              <w:pStyle w:val="TableTextBold"/>
              <w:spacing w:before="40" w:after="40"/>
              <w:rPr>
                <w:rFonts w:cs="Calibri"/>
                <w:noProof w:val="0"/>
                <w:color w:val="FFFFFF"/>
                <w:szCs w:val="16"/>
              </w:rPr>
            </w:pPr>
            <w:r w:rsidRPr="00D9348B">
              <w:rPr>
                <w:rFonts w:cs="Calibri"/>
                <w:noProof w:val="0"/>
                <w:color w:val="FFFFFF"/>
                <w:szCs w:val="16"/>
              </w:rPr>
              <w:t>Land use</w:t>
            </w:r>
          </w:p>
        </w:tc>
        <w:tc>
          <w:tcPr>
            <w:tcW w:w="1275" w:type="dxa"/>
            <w:vMerge w:val="restart"/>
            <w:tcBorders>
              <w:top w:val="single" w:sz="4" w:space="0" w:color="365F91"/>
            </w:tcBorders>
            <w:shd w:val="clear" w:color="auto" w:fill="365F91"/>
            <w:vAlign w:val="bottom"/>
          </w:tcPr>
          <w:p w14:paraId="19D0F8B4" w14:textId="77777777" w:rsidR="00A10636" w:rsidRPr="00D9348B" w:rsidRDefault="00A10636" w:rsidP="00DB330E">
            <w:pPr>
              <w:pStyle w:val="TableTextBold"/>
              <w:keepNext/>
              <w:spacing w:before="40" w:after="40"/>
              <w:jc w:val="center"/>
              <w:rPr>
                <w:rFonts w:cs="Calibri"/>
                <w:noProof w:val="0"/>
                <w:color w:val="FFFFFF"/>
                <w:szCs w:val="16"/>
              </w:rPr>
            </w:pPr>
            <w:r w:rsidRPr="00D9348B">
              <w:rPr>
                <w:rFonts w:cs="Calibri"/>
                <w:noProof w:val="0"/>
                <w:color w:val="FFFFFF"/>
                <w:szCs w:val="16"/>
              </w:rPr>
              <w:t>Net area in 1990 (ha)</w:t>
            </w:r>
          </w:p>
        </w:tc>
        <w:tc>
          <w:tcPr>
            <w:tcW w:w="1294" w:type="dxa"/>
            <w:vMerge w:val="restart"/>
            <w:tcBorders>
              <w:top w:val="single" w:sz="4" w:space="0" w:color="365F91"/>
            </w:tcBorders>
            <w:shd w:val="clear" w:color="auto" w:fill="365F91"/>
            <w:vAlign w:val="bottom"/>
          </w:tcPr>
          <w:p w14:paraId="00E1D847" w14:textId="77777777" w:rsidR="00A10636" w:rsidRPr="00D9348B" w:rsidRDefault="00A10636" w:rsidP="00DB330E">
            <w:pPr>
              <w:pStyle w:val="TableTextBold"/>
              <w:keepNext/>
              <w:spacing w:before="40" w:after="40"/>
              <w:jc w:val="center"/>
              <w:rPr>
                <w:rFonts w:cs="Calibri"/>
                <w:noProof w:val="0"/>
                <w:color w:val="FFFFFF"/>
                <w:szCs w:val="16"/>
              </w:rPr>
            </w:pPr>
            <w:r w:rsidRPr="00D9348B">
              <w:rPr>
                <w:rFonts w:cs="Calibri"/>
                <w:noProof w:val="0"/>
                <w:color w:val="FFFFFF"/>
                <w:szCs w:val="16"/>
              </w:rPr>
              <w:t>Net area in 2018 (ha)</w:t>
            </w:r>
          </w:p>
        </w:tc>
        <w:tc>
          <w:tcPr>
            <w:tcW w:w="1172" w:type="dxa"/>
            <w:vMerge w:val="restart"/>
            <w:tcBorders>
              <w:top w:val="single" w:sz="4" w:space="0" w:color="365F91"/>
            </w:tcBorders>
            <w:shd w:val="clear" w:color="auto" w:fill="365F91"/>
            <w:vAlign w:val="bottom"/>
          </w:tcPr>
          <w:p w14:paraId="7332C8D2" w14:textId="77777777" w:rsidR="00A10636" w:rsidRPr="00D9348B" w:rsidRDefault="00A10636" w:rsidP="00DB330E">
            <w:pPr>
              <w:pStyle w:val="TableTextBold"/>
              <w:keepNext/>
              <w:spacing w:before="40" w:after="40"/>
              <w:jc w:val="center"/>
              <w:rPr>
                <w:rFonts w:cs="Calibri"/>
                <w:noProof w:val="0"/>
                <w:color w:val="FFFFFF"/>
                <w:szCs w:val="16"/>
              </w:rPr>
            </w:pPr>
            <w:r w:rsidRPr="00D9348B">
              <w:rPr>
                <w:rFonts w:cs="Calibri"/>
                <w:noProof w:val="0"/>
                <w:color w:val="FFFFFF"/>
                <w:szCs w:val="16"/>
              </w:rPr>
              <w:t>Change from 1990 (%)</w:t>
            </w:r>
          </w:p>
        </w:tc>
        <w:tc>
          <w:tcPr>
            <w:tcW w:w="2173" w:type="dxa"/>
            <w:gridSpan w:val="2"/>
            <w:tcBorders>
              <w:top w:val="single" w:sz="4" w:space="0" w:color="365F91"/>
            </w:tcBorders>
            <w:shd w:val="clear" w:color="auto" w:fill="365F91"/>
            <w:vAlign w:val="bottom"/>
          </w:tcPr>
          <w:p w14:paraId="7E4F26DC" w14:textId="77777777" w:rsidR="00A10636" w:rsidRPr="00D9348B" w:rsidRDefault="00A10636" w:rsidP="00DB330E">
            <w:pPr>
              <w:pStyle w:val="TableTextBold"/>
              <w:keepNext/>
              <w:spacing w:before="40" w:after="40"/>
              <w:jc w:val="center"/>
              <w:rPr>
                <w:rFonts w:cs="Calibri"/>
                <w:noProof w:val="0"/>
                <w:color w:val="FFFFFF"/>
                <w:szCs w:val="16"/>
              </w:rPr>
            </w:pPr>
            <w:r w:rsidRPr="00D9348B">
              <w:rPr>
                <w:rFonts w:cs="Calibri"/>
                <w:noProof w:val="0"/>
                <w:color w:val="FFFFFF"/>
                <w:szCs w:val="16"/>
              </w:rPr>
              <w:t xml:space="preserve">Net emissions </w:t>
            </w:r>
            <w:r w:rsidRPr="00D9348B">
              <w:rPr>
                <w:rFonts w:cs="Calibri"/>
                <w:noProof w:val="0"/>
                <w:color w:val="FFFFFF"/>
                <w:szCs w:val="16"/>
              </w:rPr>
              <w:br/>
              <w:t>(kt CO</w:t>
            </w:r>
            <w:r w:rsidRPr="00D9348B">
              <w:rPr>
                <w:rFonts w:cs="Calibri"/>
                <w:noProof w:val="0"/>
                <w:color w:val="FFFFFF"/>
                <w:szCs w:val="16"/>
                <w:vertAlign w:val="subscript"/>
              </w:rPr>
              <w:t>2</w:t>
            </w:r>
            <w:r w:rsidRPr="00D9348B">
              <w:rPr>
                <w:rFonts w:cs="Calibri"/>
                <w:noProof w:val="0"/>
                <w:color w:val="FFFFFF"/>
                <w:szCs w:val="16"/>
              </w:rPr>
              <w:t xml:space="preserve"> only)</w:t>
            </w:r>
          </w:p>
        </w:tc>
        <w:tc>
          <w:tcPr>
            <w:tcW w:w="1031" w:type="dxa"/>
            <w:vMerge w:val="restart"/>
            <w:tcBorders>
              <w:top w:val="single" w:sz="4" w:space="0" w:color="365F91"/>
            </w:tcBorders>
            <w:shd w:val="clear" w:color="auto" w:fill="365F91"/>
            <w:vAlign w:val="bottom"/>
          </w:tcPr>
          <w:p w14:paraId="3D92B3FE" w14:textId="77777777" w:rsidR="00A10636" w:rsidRPr="00D9348B" w:rsidRDefault="00A10636" w:rsidP="00DB330E">
            <w:pPr>
              <w:pStyle w:val="TableTextBold"/>
              <w:keepNext/>
              <w:spacing w:before="40" w:after="40"/>
              <w:jc w:val="center"/>
              <w:rPr>
                <w:rFonts w:cs="Calibri"/>
                <w:noProof w:val="0"/>
                <w:color w:val="FFFFFF"/>
                <w:szCs w:val="16"/>
              </w:rPr>
            </w:pPr>
            <w:r w:rsidRPr="00D9348B">
              <w:rPr>
                <w:rFonts w:cs="Calibri"/>
                <w:noProof w:val="0"/>
                <w:color w:val="FFFFFF"/>
                <w:szCs w:val="16"/>
              </w:rPr>
              <w:t>Change from 1990 (%)</w:t>
            </w:r>
          </w:p>
        </w:tc>
      </w:tr>
      <w:tr w:rsidR="00A10636" w:rsidRPr="00D9348B" w14:paraId="5261AD0C" w14:textId="77777777" w:rsidTr="001423C4">
        <w:tc>
          <w:tcPr>
            <w:tcW w:w="1560" w:type="dxa"/>
            <w:vMerge/>
            <w:tcBorders>
              <w:bottom w:val="single" w:sz="4" w:space="0" w:color="2E74B5"/>
            </w:tcBorders>
            <w:shd w:val="clear" w:color="auto" w:fill="365F91"/>
          </w:tcPr>
          <w:p w14:paraId="3DAA8254" w14:textId="77777777" w:rsidR="00A10636" w:rsidRPr="00D9348B" w:rsidRDefault="00A10636" w:rsidP="00DB330E">
            <w:pPr>
              <w:pStyle w:val="TableText"/>
              <w:keepNext/>
              <w:spacing w:before="40" w:after="40"/>
              <w:rPr>
                <w:rFonts w:cs="Calibri"/>
                <w:szCs w:val="16"/>
              </w:rPr>
            </w:pPr>
          </w:p>
        </w:tc>
        <w:tc>
          <w:tcPr>
            <w:tcW w:w="1275" w:type="dxa"/>
            <w:vMerge/>
            <w:tcBorders>
              <w:bottom w:val="single" w:sz="4" w:space="0" w:color="2E74B5"/>
            </w:tcBorders>
            <w:shd w:val="clear" w:color="auto" w:fill="365F91"/>
          </w:tcPr>
          <w:p w14:paraId="5156B30C" w14:textId="77777777" w:rsidR="00A10636" w:rsidRPr="00D9348B" w:rsidRDefault="00A10636" w:rsidP="00DB330E">
            <w:pPr>
              <w:pStyle w:val="TableText"/>
              <w:keepNext/>
              <w:spacing w:before="40" w:after="40"/>
              <w:rPr>
                <w:rFonts w:cs="Calibri"/>
                <w:szCs w:val="16"/>
              </w:rPr>
            </w:pPr>
          </w:p>
        </w:tc>
        <w:tc>
          <w:tcPr>
            <w:tcW w:w="1294" w:type="dxa"/>
            <w:vMerge/>
            <w:tcBorders>
              <w:bottom w:val="single" w:sz="4" w:space="0" w:color="2E74B5"/>
            </w:tcBorders>
            <w:shd w:val="clear" w:color="auto" w:fill="365F91"/>
          </w:tcPr>
          <w:p w14:paraId="061FA7BC" w14:textId="77777777" w:rsidR="00A10636" w:rsidRPr="00D9348B" w:rsidRDefault="00A10636" w:rsidP="00DB330E">
            <w:pPr>
              <w:pStyle w:val="TableText"/>
              <w:keepNext/>
              <w:spacing w:before="40" w:after="40"/>
              <w:rPr>
                <w:rFonts w:cs="Calibri"/>
                <w:szCs w:val="16"/>
              </w:rPr>
            </w:pPr>
          </w:p>
        </w:tc>
        <w:tc>
          <w:tcPr>
            <w:tcW w:w="1172" w:type="dxa"/>
            <w:vMerge/>
            <w:tcBorders>
              <w:bottom w:val="single" w:sz="4" w:space="0" w:color="2E74B5"/>
            </w:tcBorders>
            <w:shd w:val="clear" w:color="auto" w:fill="365F91"/>
          </w:tcPr>
          <w:p w14:paraId="077278A5" w14:textId="77777777" w:rsidR="00A10636" w:rsidRPr="00D9348B" w:rsidRDefault="00A10636" w:rsidP="00DB330E">
            <w:pPr>
              <w:pStyle w:val="TableTextBold"/>
              <w:keepNext/>
              <w:spacing w:before="40" w:after="40"/>
              <w:jc w:val="center"/>
              <w:rPr>
                <w:rFonts w:cs="Calibri"/>
                <w:b w:val="0"/>
                <w:noProof w:val="0"/>
                <w:color w:val="FFFFFF"/>
                <w:szCs w:val="16"/>
              </w:rPr>
            </w:pPr>
          </w:p>
        </w:tc>
        <w:tc>
          <w:tcPr>
            <w:tcW w:w="1091" w:type="dxa"/>
            <w:tcBorders>
              <w:bottom w:val="single" w:sz="4" w:space="0" w:color="2E74B5"/>
            </w:tcBorders>
            <w:shd w:val="clear" w:color="auto" w:fill="365F91"/>
          </w:tcPr>
          <w:p w14:paraId="4D8AFEE6" w14:textId="77777777" w:rsidR="00A10636" w:rsidRPr="00D9348B" w:rsidRDefault="00A10636" w:rsidP="00DB330E">
            <w:pPr>
              <w:pStyle w:val="TableText"/>
              <w:keepNext/>
              <w:spacing w:before="40" w:after="40"/>
              <w:jc w:val="center"/>
              <w:rPr>
                <w:rFonts w:cs="Calibri"/>
                <w:b/>
                <w:color w:val="FFFFFF"/>
                <w:szCs w:val="16"/>
              </w:rPr>
            </w:pPr>
            <w:r w:rsidRPr="00D9348B">
              <w:rPr>
                <w:rFonts w:cs="Calibri"/>
                <w:b/>
                <w:color w:val="FFFFFF"/>
                <w:szCs w:val="16"/>
              </w:rPr>
              <w:t>1990</w:t>
            </w:r>
          </w:p>
        </w:tc>
        <w:tc>
          <w:tcPr>
            <w:tcW w:w="1082" w:type="dxa"/>
            <w:tcBorders>
              <w:bottom w:val="single" w:sz="4" w:space="0" w:color="2E74B5"/>
            </w:tcBorders>
            <w:shd w:val="clear" w:color="auto" w:fill="365F91"/>
          </w:tcPr>
          <w:p w14:paraId="686196CB" w14:textId="77777777" w:rsidR="00A10636" w:rsidRPr="00D9348B" w:rsidRDefault="00A10636" w:rsidP="00DB330E">
            <w:pPr>
              <w:pStyle w:val="TableText"/>
              <w:keepNext/>
              <w:spacing w:before="40" w:after="40"/>
              <w:jc w:val="center"/>
              <w:rPr>
                <w:rFonts w:cs="Calibri"/>
                <w:b/>
                <w:color w:val="FFFFFF"/>
                <w:szCs w:val="16"/>
              </w:rPr>
            </w:pPr>
            <w:r w:rsidRPr="00D9348B">
              <w:rPr>
                <w:rFonts w:cs="Calibri"/>
                <w:b/>
                <w:color w:val="FFFFFF"/>
                <w:szCs w:val="16"/>
              </w:rPr>
              <w:t>2018</w:t>
            </w:r>
          </w:p>
        </w:tc>
        <w:tc>
          <w:tcPr>
            <w:tcW w:w="1031" w:type="dxa"/>
            <w:vMerge/>
            <w:tcBorders>
              <w:bottom w:val="single" w:sz="4" w:space="0" w:color="2E74B5"/>
            </w:tcBorders>
            <w:shd w:val="clear" w:color="auto" w:fill="365F91"/>
          </w:tcPr>
          <w:p w14:paraId="02E2D067" w14:textId="77777777" w:rsidR="00A10636" w:rsidRPr="00D9348B" w:rsidRDefault="00A10636" w:rsidP="00DB330E">
            <w:pPr>
              <w:pStyle w:val="TableText"/>
              <w:keepNext/>
              <w:spacing w:before="40" w:after="40"/>
              <w:rPr>
                <w:rFonts w:cs="Calibri"/>
                <w:szCs w:val="16"/>
              </w:rPr>
            </w:pPr>
          </w:p>
        </w:tc>
      </w:tr>
      <w:tr w:rsidR="00A10636" w:rsidRPr="00D9348B" w14:paraId="508C2835" w14:textId="77777777" w:rsidTr="001423C4">
        <w:tc>
          <w:tcPr>
            <w:tcW w:w="1560" w:type="dxa"/>
            <w:tcBorders>
              <w:top w:val="single" w:sz="4" w:space="0" w:color="2E74B5"/>
              <w:bottom w:val="single" w:sz="4" w:space="0" w:color="365F91"/>
            </w:tcBorders>
          </w:tcPr>
          <w:p w14:paraId="083896F5" w14:textId="77777777" w:rsidR="00A10636" w:rsidRPr="00D9348B" w:rsidRDefault="00A10636" w:rsidP="00DB330E">
            <w:pPr>
              <w:pStyle w:val="TableText"/>
              <w:spacing w:before="40" w:after="40"/>
              <w:rPr>
                <w:rFonts w:cs="Calibri"/>
                <w:szCs w:val="16"/>
              </w:rPr>
            </w:pPr>
            <w:r w:rsidRPr="00D9348B">
              <w:rPr>
                <w:rFonts w:cs="Calibri"/>
                <w:szCs w:val="16"/>
              </w:rPr>
              <w:t>Annual cropland</w:t>
            </w:r>
          </w:p>
        </w:tc>
        <w:tc>
          <w:tcPr>
            <w:tcW w:w="1275" w:type="dxa"/>
            <w:tcBorders>
              <w:top w:val="single" w:sz="4" w:space="0" w:color="2E74B5"/>
              <w:bottom w:val="single" w:sz="4" w:space="0" w:color="365F91"/>
            </w:tcBorders>
          </w:tcPr>
          <w:p w14:paraId="7E03E734" w14:textId="77777777" w:rsidR="00A10636" w:rsidRPr="00D9348B" w:rsidRDefault="00A10636" w:rsidP="00DB330E">
            <w:pPr>
              <w:pStyle w:val="TableText"/>
              <w:keepNext/>
              <w:spacing w:before="40" w:after="40"/>
              <w:jc w:val="center"/>
              <w:rPr>
                <w:rFonts w:cs="Calibri"/>
                <w:szCs w:val="16"/>
              </w:rPr>
            </w:pPr>
            <w:r w:rsidRPr="00D9348B">
              <w:rPr>
                <w:rFonts w:cs="Calibri"/>
                <w:szCs w:val="16"/>
              </w:rPr>
              <w:t>354,900</w:t>
            </w:r>
          </w:p>
        </w:tc>
        <w:tc>
          <w:tcPr>
            <w:tcW w:w="1294" w:type="dxa"/>
            <w:tcBorders>
              <w:top w:val="single" w:sz="4" w:space="0" w:color="2E74B5"/>
              <w:bottom w:val="single" w:sz="4" w:space="0" w:color="365F91"/>
            </w:tcBorders>
          </w:tcPr>
          <w:p w14:paraId="76C9AA8D" w14:textId="77777777" w:rsidR="00A10636" w:rsidRPr="00D9348B" w:rsidRDefault="00A10636" w:rsidP="00DB330E">
            <w:pPr>
              <w:pStyle w:val="TableText"/>
              <w:keepNext/>
              <w:spacing w:before="40" w:after="40"/>
              <w:jc w:val="center"/>
              <w:rPr>
                <w:rFonts w:cs="Calibri"/>
                <w:szCs w:val="16"/>
              </w:rPr>
            </w:pPr>
            <w:r w:rsidRPr="00D9348B">
              <w:rPr>
                <w:rFonts w:cs="Calibri"/>
                <w:szCs w:val="16"/>
              </w:rPr>
              <w:t>371,357</w:t>
            </w:r>
          </w:p>
        </w:tc>
        <w:tc>
          <w:tcPr>
            <w:tcW w:w="1172" w:type="dxa"/>
            <w:tcBorders>
              <w:top w:val="single" w:sz="4" w:space="0" w:color="2E74B5"/>
              <w:bottom w:val="single" w:sz="4" w:space="0" w:color="365F91"/>
            </w:tcBorders>
          </w:tcPr>
          <w:p w14:paraId="31A0DC62" w14:textId="77777777" w:rsidR="00A10636" w:rsidRPr="00D9348B" w:rsidRDefault="00A10636" w:rsidP="00DB330E">
            <w:pPr>
              <w:pStyle w:val="TableText"/>
              <w:keepNext/>
              <w:spacing w:before="40" w:after="40"/>
              <w:jc w:val="center"/>
              <w:rPr>
                <w:rFonts w:cs="Calibri"/>
                <w:szCs w:val="16"/>
              </w:rPr>
            </w:pPr>
            <w:r w:rsidRPr="00D9348B">
              <w:rPr>
                <w:rFonts w:cs="Calibri"/>
                <w:szCs w:val="16"/>
              </w:rPr>
              <w:t>+4.6</w:t>
            </w:r>
          </w:p>
        </w:tc>
        <w:tc>
          <w:tcPr>
            <w:tcW w:w="1091" w:type="dxa"/>
            <w:tcBorders>
              <w:top w:val="single" w:sz="4" w:space="0" w:color="2E74B5"/>
              <w:bottom w:val="single" w:sz="4" w:space="0" w:color="365F91"/>
            </w:tcBorders>
          </w:tcPr>
          <w:p w14:paraId="03336A81" w14:textId="77777777" w:rsidR="00A10636" w:rsidRPr="00D9348B" w:rsidRDefault="00A10636" w:rsidP="00DB330E">
            <w:pPr>
              <w:pStyle w:val="TableText"/>
              <w:keepNext/>
              <w:spacing w:before="40" w:after="40"/>
              <w:jc w:val="center"/>
              <w:rPr>
                <w:rFonts w:cs="Calibri"/>
                <w:szCs w:val="16"/>
              </w:rPr>
            </w:pPr>
            <w:r w:rsidRPr="00D9348B">
              <w:rPr>
                <w:rFonts w:cs="Calibri"/>
                <w:szCs w:val="16"/>
              </w:rPr>
              <w:t>342.9</w:t>
            </w:r>
          </w:p>
        </w:tc>
        <w:tc>
          <w:tcPr>
            <w:tcW w:w="1082" w:type="dxa"/>
            <w:tcBorders>
              <w:top w:val="single" w:sz="4" w:space="0" w:color="2E74B5"/>
              <w:bottom w:val="single" w:sz="4" w:space="0" w:color="365F91"/>
            </w:tcBorders>
          </w:tcPr>
          <w:p w14:paraId="6689949A" w14:textId="77777777" w:rsidR="00A10636" w:rsidRPr="00D9348B" w:rsidRDefault="00A10636" w:rsidP="00DB330E">
            <w:pPr>
              <w:pStyle w:val="TableText"/>
              <w:keepNext/>
              <w:spacing w:before="40" w:after="40"/>
              <w:jc w:val="center"/>
              <w:rPr>
                <w:rFonts w:cs="Calibri"/>
                <w:szCs w:val="16"/>
              </w:rPr>
            </w:pPr>
            <w:r w:rsidRPr="00D9348B">
              <w:rPr>
                <w:rFonts w:cs="Calibri"/>
                <w:szCs w:val="16"/>
              </w:rPr>
              <w:t>317.2</w:t>
            </w:r>
          </w:p>
        </w:tc>
        <w:tc>
          <w:tcPr>
            <w:tcW w:w="1031" w:type="dxa"/>
            <w:tcBorders>
              <w:top w:val="single" w:sz="4" w:space="0" w:color="2E74B5"/>
              <w:bottom w:val="single" w:sz="4" w:space="0" w:color="365F91"/>
            </w:tcBorders>
          </w:tcPr>
          <w:p w14:paraId="4716CB90" w14:textId="77777777" w:rsidR="00A10636" w:rsidRPr="00D9348B" w:rsidRDefault="00A10636" w:rsidP="00DB330E">
            <w:pPr>
              <w:pStyle w:val="TableText"/>
              <w:keepNext/>
              <w:spacing w:before="40" w:after="40"/>
              <w:jc w:val="center"/>
              <w:rPr>
                <w:rFonts w:cs="Calibri"/>
                <w:szCs w:val="16"/>
              </w:rPr>
            </w:pPr>
            <w:r w:rsidRPr="00D9348B">
              <w:rPr>
                <w:rFonts w:cs="Calibri"/>
                <w:szCs w:val="16"/>
              </w:rPr>
              <w:t>–7.5</w:t>
            </w:r>
          </w:p>
        </w:tc>
      </w:tr>
      <w:tr w:rsidR="00A10636" w:rsidRPr="00D9348B" w14:paraId="7FE7D34B" w14:textId="77777777" w:rsidTr="001423C4">
        <w:tc>
          <w:tcPr>
            <w:tcW w:w="1560" w:type="dxa"/>
            <w:tcBorders>
              <w:top w:val="single" w:sz="4" w:space="0" w:color="365F91"/>
              <w:bottom w:val="single" w:sz="4" w:space="0" w:color="365F91"/>
            </w:tcBorders>
          </w:tcPr>
          <w:p w14:paraId="2BEF4B60" w14:textId="77777777" w:rsidR="00A10636" w:rsidRPr="00D9348B" w:rsidRDefault="00A10636" w:rsidP="00DB330E">
            <w:pPr>
              <w:pStyle w:val="TableText"/>
              <w:spacing w:before="40" w:after="40"/>
              <w:rPr>
                <w:rFonts w:cs="Calibri"/>
                <w:szCs w:val="16"/>
              </w:rPr>
            </w:pPr>
            <w:r w:rsidRPr="00D9348B">
              <w:rPr>
                <w:rFonts w:cs="Calibri"/>
                <w:szCs w:val="16"/>
              </w:rPr>
              <w:t>Perennial cropland</w:t>
            </w:r>
          </w:p>
        </w:tc>
        <w:tc>
          <w:tcPr>
            <w:tcW w:w="1275" w:type="dxa"/>
            <w:tcBorders>
              <w:top w:val="single" w:sz="4" w:space="0" w:color="365F91"/>
              <w:bottom w:val="single" w:sz="4" w:space="0" w:color="365F91"/>
            </w:tcBorders>
          </w:tcPr>
          <w:p w14:paraId="162B7EB7" w14:textId="77777777" w:rsidR="00A10636" w:rsidRPr="00D9348B" w:rsidRDefault="00A10636" w:rsidP="00DB330E">
            <w:pPr>
              <w:pStyle w:val="TableText"/>
              <w:keepNext/>
              <w:spacing w:before="40" w:after="40"/>
              <w:jc w:val="center"/>
              <w:rPr>
                <w:rFonts w:cs="Calibri"/>
                <w:szCs w:val="16"/>
              </w:rPr>
            </w:pPr>
            <w:r w:rsidRPr="00D9348B">
              <w:rPr>
                <w:rFonts w:cs="Calibri"/>
                <w:szCs w:val="16"/>
              </w:rPr>
              <w:t>69,055</w:t>
            </w:r>
          </w:p>
        </w:tc>
        <w:tc>
          <w:tcPr>
            <w:tcW w:w="1294" w:type="dxa"/>
            <w:tcBorders>
              <w:top w:val="single" w:sz="4" w:space="0" w:color="365F91"/>
              <w:bottom w:val="single" w:sz="4" w:space="0" w:color="365F91"/>
            </w:tcBorders>
          </w:tcPr>
          <w:p w14:paraId="1DA8E7FB" w14:textId="77777777" w:rsidR="00A10636" w:rsidRPr="00D9348B" w:rsidRDefault="00A10636" w:rsidP="00DB330E">
            <w:pPr>
              <w:pStyle w:val="TableText"/>
              <w:keepNext/>
              <w:spacing w:before="40" w:after="40"/>
              <w:jc w:val="center"/>
              <w:rPr>
                <w:rFonts w:cs="Calibri"/>
                <w:szCs w:val="16"/>
              </w:rPr>
            </w:pPr>
            <w:r w:rsidRPr="00D9348B">
              <w:rPr>
                <w:rFonts w:cs="Calibri"/>
                <w:szCs w:val="16"/>
              </w:rPr>
              <w:t>104,696</w:t>
            </w:r>
          </w:p>
        </w:tc>
        <w:tc>
          <w:tcPr>
            <w:tcW w:w="1172" w:type="dxa"/>
            <w:tcBorders>
              <w:top w:val="single" w:sz="4" w:space="0" w:color="365F91"/>
              <w:bottom w:val="single" w:sz="4" w:space="0" w:color="365F91"/>
            </w:tcBorders>
          </w:tcPr>
          <w:p w14:paraId="73D8562E" w14:textId="77777777" w:rsidR="00A10636" w:rsidRPr="00D9348B" w:rsidRDefault="00A10636" w:rsidP="00DB330E">
            <w:pPr>
              <w:pStyle w:val="TableText"/>
              <w:keepNext/>
              <w:spacing w:before="40" w:after="40"/>
              <w:jc w:val="center"/>
              <w:rPr>
                <w:rFonts w:cs="Calibri"/>
                <w:szCs w:val="16"/>
              </w:rPr>
            </w:pPr>
            <w:r w:rsidRPr="00D9348B">
              <w:rPr>
                <w:rFonts w:cs="Calibri"/>
                <w:szCs w:val="16"/>
              </w:rPr>
              <w:t>+51.6</w:t>
            </w:r>
          </w:p>
        </w:tc>
        <w:tc>
          <w:tcPr>
            <w:tcW w:w="1091" w:type="dxa"/>
            <w:tcBorders>
              <w:top w:val="single" w:sz="4" w:space="0" w:color="365F91"/>
              <w:bottom w:val="single" w:sz="4" w:space="0" w:color="365F91"/>
            </w:tcBorders>
          </w:tcPr>
          <w:p w14:paraId="4D6F2649" w14:textId="77777777" w:rsidR="00A10636" w:rsidRPr="00D9348B" w:rsidRDefault="00A10636" w:rsidP="00DB330E">
            <w:pPr>
              <w:pStyle w:val="TableText"/>
              <w:keepNext/>
              <w:spacing w:before="40" w:after="40"/>
              <w:jc w:val="center"/>
              <w:rPr>
                <w:rFonts w:cs="Calibri"/>
                <w:szCs w:val="16"/>
              </w:rPr>
            </w:pPr>
            <w:r w:rsidRPr="00D9348B">
              <w:rPr>
                <w:rFonts w:cs="Calibri"/>
                <w:szCs w:val="16"/>
              </w:rPr>
              <w:t>125.7</w:t>
            </w:r>
          </w:p>
        </w:tc>
        <w:tc>
          <w:tcPr>
            <w:tcW w:w="1082" w:type="dxa"/>
            <w:tcBorders>
              <w:top w:val="single" w:sz="4" w:space="0" w:color="365F91"/>
              <w:bottom w:val="single" w:sz="4" w:space="0" w:color="365F91"/>
            </w:tcBorders>
          </w:tcPr>
          <w:p w14:paraId="3C1C96DC" w14:textId="77777777" w:rsidR="00A10636" w:rsidRPr="00D9348B" w:rsidRDefault="00A10636" w:rsidP="00DB330E">
            <w:pPr>
              <w:pStyle w:val="TableText"/>
              <w:keepNext/>
              <w:spacing w:before="40" w:after="40"/>
              <w:jc w:val="center"/>
              <w:rPr>
                <w:rFonts w:cs="Calibri"/>
                <w:szCs w:val="16"/>
              </w:rPr>
            </w:pPr>
            <w:r w:rsidRPr="00D9348B">
              <w:rPr>
                <w:rFonts w:cs="Calibri"/>
                <w:szCs w:val="16"/>
              </w:rPr>
              <w:t>65.9</w:t>
            </w:r>
          </w:p>
        </w:tc>
        <w:tc>
          <w:tcPr>
            <w:tcW w:w="1031" w:type="dxa"/>
            <w:tcBorders>
              <w:top w:val="single" w:sz="4" w:space="0" w:color="365F91"/>
              <w:bottom w:val="single" w:sz="4" w:space="0" w:color="365F91"/>
            </w:tcBorders>
          </w:tcPr>
          <w:p w14:paraId="2FD455AE" w14:textId="77777777" w:rsidR="00A10636" w:rsidRPr="00D9348B" w:rsidRDefault="00A10636" w:rsidP="00DB330E">
            <w:pPr>
              <w:pStyle w:val="TableText"/>
              <w:keepNext/>
              <w:spacing w:before="40" w:after="40"/>
              <w:jc w:val="center"/>
              <w:rPr>
                <w:rFonts w:cs="Calibri"/>
                <w:szCs w:val="16"/>
              </w:rPr>
            </w:pPr>
            <w:r w:rsidRPr="00D9348B">
              <w:rPr>
                <w:rFonts w:cs="Calibri"/>
                <w:szCs w:val="16"/>
              </w:rPr>
              <w:t>–47.6</w:t>
            </w:r>
          </w:p>
        </w:tc>
      </w:tr>
      <w:tr w:rsidR="00A10636" w:rsidRPr="00D9348B" w14:paraId="1C006B5B" w14:textId="77777777" w:rsidTr="001423C4">
        <w:tc>
          <w:tcPr>
            <w:tcW w:w="1560" w:type="dxa"/>
            <w:tcBorders>
              <w:top w:val="single" w:sz="4" w:space="0" w:color="365F91"/>
              <w:bottom w:val="single" w:sz="4" w:space="0" w:color="365F91"/>
            </w:tcBorders>
          </w:tcPr>
          <w:p w14:paraId="7BA1D157" w14:textId="77777777" w:rsidR="00A10636" w:rsidRPr="00D9348B" w:rsidRDefault="00A10636" w:rsidP="00DB330E">
            <w:pPr>
              <w:pStyle w:val="Tableboldblue"/>
              <w:jc w:val="right"/>
              <w:rPr>
                <w:rFonts w:cs="Calibri"/>
              </w:rPr>
            </w:pPr>
            <w:r w:rsidRPr="00D9348B">
              <w:rPr>
                <w:rFonts w:cs="Calibri"/>
              </w:rPr>
              <w:t>Total</w:t>
            </w:r>
          </w:p>
        </w:tc>
        <w:tc>
          <w:tcPr>
            <w:tcW w:w="1275" w:type="dxa"/>
            <w:tcBorders>
              <w:top w:val="single" w:sz="4" w:space="0" w:color="365F91"/>
              <w:bottom w:val="single" w:sz="4" w:space="0" w:color="365F91"/>
            </w:tcBorders>
          </w:tcPr>
          <w:p w14:paraId="09E8E26E" w14:textId="77777777" w:rsidR="00A10636" w:rsidRPr="00D9348B" w:rsidRDefault="00A10636" w:rsidP="001423C4">
            <w:pPr>
              <w:pStyle w:val="Tableboldblue"/>
              <w:jc w:val="center"/>
              <w:rPr>
                <w:rFonts w:cs="Calibri"/>
              </w:rPr>
            </w:pPr>
            <w:r w:rsidRPr="00D9348B">
              <w:rPr>
                <w:rFonts w:cs="Calibri"/>
              </w:rPr>
              <w:t>423,955</w:t>
            </w:r>
          </w:p>
        </w:tc>
        <w:tc>
          <w:tcPr>
            <w:tcW w:w="1294" w:type="dxa"/>
            <w:tcBorders>
              <w:top w:val="single" w:sz="4" w:space="0" w:color="365F91"/>
              <w:bottom w:val="single" w:sz="4" w:space="0" w:color="365F91"/>
            </w:tcBorders>
          </w:tcPr>
          <w:p w14:paraId="4643581F" w14:textId="77777777" w:rsidR="00A10636" w:rsidRPr="00D9348B" w:rsidRDefault="00A10636" w:rsidP="001423C4">
            <w:pPr>
              <w:pStyle w:val="Tableboldblue"/>
              <w:jc w:val="center"/>
              <w:rPr>
                <w:rFonts w:cs="Calibri"/>
              </w:rPr>
            </w:pPr>
            <w:r w:rsidRPr="00D9348B">
              <w:rPr>
                <w:rFonts w:cs="Calibri"/>
              </w:rPr>
              <w:t>476,053</w:t>
            </w:r>
          </w:p>
        </w:tc>
        <w:tc>
          <w:tcPr>
            <w:tcW w:w="1172" w:type="dxa"/>
            <w:tcBorders>
              <w:top w:val="single" w:sz="4" w:space="0" w:color="365F91"/>
              <w:bottom w:val="single" w:sz="4" w:space="0" w:color="365F91"/>
            </w:tcBorders>
          </w:tcPr>
          <w:p w14:paraId="20988604" w14:textId="77777777" w:rsidR="00A10636" w:rsidRPr="00D9348B" w:rsidRDefault="00A10636" w:rsidP="001423C4">
            <w:pPr>
              <w:pStyle w:val="Tableboldblue"/>
              <w:jc w:val="center"/>
              <w:rPr>
                <w:rFonts w:cs="Calibri"/>
              </w:rPr>
            </w:pPr>
            <w:r w:rsidRPr="00D9348B">
              <w:rPr>
                <w:rFonts w:cs="Calibri"/>
              </w:rPr>
              <w:t>+12.3</w:t>
            </w:r>
          </w:p>
        </w:tc>
        <w:tc>
          <w:tcPr>
            <w:tcW w:w="1091" w:type="dxa"/>
            <w:tcBorders>
              <w:top w:val="single" w:sz="4" w:space="0" w:color="365F91"/>
              <w:bottom w:val="single" w:sz="4" w:space="0" w:color="365F91"/>
            </w:tcBorders>
          </w:tcPr>
          <w:p w14:paraId="1659F862" w14:textId="77777777" w:rsidR="00A10636" w:rsidRPr="00D9348B" w:rsidRDefault="00A10636" w:rsidP="001423C4">
            <w:pPr>
              <w:pStyle w:val="Tableboldblue"/>
              <w:jc w:val="center"/>
              <w:rPr>
                <w:rFonts w:cs="Calibri"/>
              </w:rPr>
            </w:pPr>
            <w:r w:rsidRPr="00D9348B">
              <w:rPr>
                <w:rFonts w:cs="Calibri"/>
              </w:rPr>
              <w:t>468.7</w:t>
            </w:r>
          </w:p>
        </w:tc>
        <w:tc>
          <w:tcPr>
            <w:tcW w:w="1082" w:type="dxa"/>
            <w:tcBorders>
              <w:top w:val="single" w:sz="4" w:space="0" w:color="365F91"/>
              <w:bottom w:val="single" w:sz="4" w:space="0" w:color="365F91"/>
            </w:tcBorders>
          </w:tcPr>
          <w:p w14:paraId="149A9288" w14:textId="77777777" w:rsidR="00A10636" w:rsidRPr="00D9348B" w:rsidRDefault="00A10636" w:rsidP="001423C4">
            <w:pPr>
              <w:pStyle w:val="Tableboldblue"/>
              <w:jc w:val="center"/>
              <w:rPr>
                <w:rFonts w:cs="Calibri"/>
              </w:rPr>
            </w:pPr>
            <w:r w:rsidRPr="00D9348B">
              <w:rPr>
                <w:rFonts w:cs="Calibri"/>
              </w:rPr>
              <w:t>383.1</w:t>
            </w:r>
          </w:p>
        </w:tc>
        <w:tc>
          <w:tcPr>
            <w:tcW w:w="1031" w:type="dxa"/>
            <w:tcBorders>
              <w:top w:val="single" w:sz="4" w:space="0" w:color="365F91"/>
              <w:bottom w:val="single" w:sz="4" w:space="0" w:color="365F91"/>
            </w:tcBorders>
          </w:tcPr>
          <w:p w14:paraId="08F43776" w14:textId="77777777" w:rsidR="00A10636" w:rsidRPr="00D9348B" w:rsidRDefault="00A10636" w:rsidP="001423C4">
            <w:pPr>
              <w:pStyle w:val="Tableboldblue"/>
              <w:jc w:val="center"/>
              <w:rPr>
                <w:rFonts w:cs="Calibri"/>
              </w:rPr>
            </w:pPr>
            <w:r w:rsidRPr="00D9348B">
              <w:rPr>
                <w:rFonts w:cs="Calibri"/>
              </w:rPr>
              <w:t>–18.3</w:t>
            </w:r>
          </w:p>
        </w:tc>
      </w:tr>
    </w:tbl>
    <w:p w14:paraId="57235275" w14:textId="77777777" w:rsidR="00A10636" w:rsidRPr="00D9348B" w:rsidRDefault="00A10636" w:rsidP="00A10636">
      <w:pPr>
        <w:pStyle w:val="Noteundertable"/>
      </w:pPr>
      <w:r w:rsidRPr="00D9348B">
        <w:rPr>
          <w:b/>
        </w:rPr>
        <w:t>Note:</w:t>
      </w:r>
      <w:r w:rsidRPr="00D9348B">
        <w:rPr>
          <w:b/>
        </w:rPr>
        <w:tab/>
      </w:r>
      <w:r w:rsidRPr="00D9348B">
        <w:t>Net area in 1990 is as at 1 January 1990; net area in 2018 is as at 31 December. This table includes CO</w:t>
      </w:r>
      <w:r w:rsidRPr="00D9348B">
        <w:rPr>
          <w:vertAlign w:val="subscript"/>
        </w:rPr>
        <w:t>2</w:t>
      </w:r>
      <w:r w:rsidRPr="00D9348B">
        <w:t xml:space="preserve"> emissions from carbon stock change only. Columns may not total due to rounding.</w:t>
      </w:r>
    </w:p>
    <w:p w14:paraId="011F2887" w14:textId="65E83046" w:rsidR="00A10636" w:rsidRPr="00D9348B" w:rsidRDefault="00A10636" w:rsidP="00A10636">
      <w:pPr>
        <w:pStyle w:val="BodyText"/>
      </w:pPr>
      <w:r w:rsidRPr="00D9348B">
        <w:t xml:space="preserve">A summary of land-use change within the </w:t>
      </w:r>
      <w:r w:rsidRPr="00D9348B">
        <w:rPr>
          <w:i/>
        </w:rPr>
        <w:t>Cropland</w:t>
      </w:r>
      <w:r w:rsidRPr="00D9348B">
        <w:t xml:space="preserve"> category, by </w:t>
      </w:r>
      <w:r w:rsidR="00766DDA">
        <w:t>land-use</w:t>
      </w:r>
      <w:r w:rsidRPr="00D9348B">
        <w:t xml:space="preserve"> type and land conversion status, is provided in table 6.5.4. This shows that land-use change within the </w:t>
      </w:r>
      <w:r w:rsidRPr="00D9348B">
        <w:rPr>
          <w:i/>
        </w:rPr>
        <w:t>Cropland</w:t>
      </w:r>
      <w:r w:rsidRPr="00D9348B">
        <w:t xml:space="preserve"> category has been dominated by conversions to perennial cropland, both from within the </w:t>
      </w:r>
      <w:r w:rsidRPr="00D9348B">
        <w:rPr>
          <w:i/>
        </w:rPr>
        <w:t>Cropland</w:t>
      </w:r>
      <w:r w:rsidRPr="00D9348B">
        <w:t xml:space="preserve"> category and from other </w:t>
      </w:r>
      <w:r w:rsidR="00766DDA">
        <w:t>land-use</w:t>
      </w:r>
      <w:r w:rsidRPr="00D9348B">
        <w:t xml:space="preserve"> categories. This conversion has predominantly been for the establishment of vineyards (Davis and Wakelin, unpublished).</w:t>
      </w:r>
    </w:p>
    <w:p w14:paraId="2362643D" w14:textId="77777777" w:rsidR="00A10636" w:rsidRPr="00D9348B" w:rsidRDefault="00A10636" w:rsidP="00A10636">
      <w:pPr>
        <w:pStyle w:val="Table"/>
      </w:pPr>
      <w:bookmarkStart w:id="1925" w:name="_Toc310423416"/>
      <w:bookmarkStart w:id="1926" w:name="_Toc318362709"/>
      <w:bookmarkStart w:id="1927" w:name="_Toc342470771"/>
      <w:bookmarkStart w:id="1928" w:name="_Toc352505011"/>
      <w:bookmarkStart w:id="1929" w:name="_Toc378853303"/>
      <w:bookmarkStart w:id="1930" w:name="_Toc391024101"/>
      <w:bookmarkStart w:id="1931" w:name="_Toc410028844"/>
      <w:bookmarkStart w:id="1932" w:name="_Toc414531472"/>
      <w:bookmarkStart w:id="1933" w:name="_Toc443645385"/>
      <w:bookmarkStart w:id="1934" w:name="_Toc474914604"/>
      <w:bookmarkStart w:id="1935" w:name="_Toc481751568"/>
      <w:bookmarkStart w:id="1936" w:name="_Toc522010625"/>
      <w:bookmarkStart w:id="1937" w:name="_Toc5269530"/>
      <w:bookmarkStart w:id="1938" w:name="_Toc33529404"/>
      <w:bookmarkStart w:id="1939" w:name="_Toc36224610"/>
      <w:r w:rsidRPr="00D9348B">
        <w:t>Table 6.5.4</w:t>
      </w:r>
      <w:r w:rsidRPr="00D9348B">
        <w:tab/>
        <w:t>New Zealand’s land-use change for the Cropland category from 1990 to</w:t>
      </w:r>
      <w:bookmarkEnd w:id="1925"/>
      <w:bookmarkEnd w:id="1926"/>
      <w:bookmarkEnd w:id="1927"/>
      <w:bookmarkEnd w:id="1928"/>
      <w:bookmarkEnd w:id="1929"/>
      <w:bookmarkEnd w:id="1930"/>
      <w:r w:rsidRPr="00D9348B">
        <w:t> 201</w:t>
      </w:r>
      <w:bookmarkEnd w:id="1931"/>
      <w:bookmarkEnd w:id="1932"/>
      <w:bookmarkEnd w:id="1933"/>
      <w:bookmarkEnd w:id="1934"/>
      <w:bookmarkEnd w:id="1935"/>
      <w:bookmarkEnd w:id="1936"/>
      <w:bookmarkEnd w:id="1937"/>
      <w:r w:rsidRPr="00D9348B">
        <w:t>8</w:t>
      </w:r>
      <w:bookmarkEnd w:id="1938"/>
      <w:bookmarkEnd w:id="1939"/>
    </w:p>
    <w:tbl>
      <w:tblPr>
        <w:tblW w:w="8505" w:type="dxa"/>
        <w:tblInd w:w="108" w:type="dxa"/>
        <w:tblLook w:val="04A0" w:firstRow="1" w:lastRow="0" w:firstColumn="1" w:lastColumn="0" w:noHBand="0" w:noVBand="1"/>
      </w:tblPr>
      <w:tblGrid>
        <w:gridCol w:w="1726"/>
        <w:gridCol w:w="2487"/>
        <w:gridCol w:w="1461"/>
        <w:gridCol w:w="1508"/>
        <w:gridCol w:w="1323"/>
      </w:tblGrid>
      <w:tr w:rsidR="00A10636" w:rsidRPr="00D9348B" w14:paraId="225C73D2" w14:textId="77777777" w:rsidTr="001423C4">
        <w:trPr>
          <w:tblHeader/>
        </w:trPr>
        <w:tc>
          <w:tcPr>
            <w:tcW w:w="1726" w:type="dxa"/>
            <w:tcBorders>
              <w:top w:val="single" w:sz="4" w:space="0" w:color="365F91"/>
              <w:bottom w:val="single" w:sz="4" w:space="0" w:color="365F91"/>
            </w:tcBorders>
            <w:shd w:val="clear" w:color="auto" w:fill="365F91"/>
            <w:vAlign w:val="bottom"/>
          </w:tcPr>
          <w:p w14:paraId="10AC3D8C" w14:textId="77777777" w:rsidR="00A10636" w:rsidRPr="00D9348B" w:rsidRDefault="00A10636" w:rsidP="00DB330E">
            <w:pPr>
              <w:pStyle w:val="TableTextBold"/>
              <w:spacing w:before="50" w:after="50"/>
              <w:rPr>
                <w:rFonts w:cs="Calibri"/>
                <w:noProof w:val="0"/>
                <w:color w:val="FFFFFF"/>
                <w:szCs w:val="16"/>
              </w:rPr>
            </w:pPr>
            <w:r w:rsidRPr="00D9348B">
              <w:rPr>
                <w:rFonts w:cs="Calibri"/>
                <w:noProof w:val="0"/>
                <w:color w:val="FFFFFF"/>
                <w:szCs w:val="16"/>
              </w:rPr>
              <w:t>Cropland category</w:t>
            </w:r>
          </w:p>
        </w:tc>
        <w:tc>
          <w:tcPr>
            <w:tcW w:w="2487" w:type="dxa"/>
            <w:tcBorders>
              <w:top w:val="single" w:sz="4" w:space="0" w:color="365F91"/>
              <w:bottom w:val="single" w:sz="4" w:space="0" w:color="365F91"/>
            </w:tcBorders>
            <w:shd w:val="clear" w:color="auto" w:fill="365F91"/>
            <w:vAlign w:val="bottom"/>
          </w:tcPr>
          <w:p w14:paraId="3AC1EA7B" w14:textId="77777777" w:rsidR="00A10636" w:rsidRPr="00D9348B" w:rsidRDefault="00A10636" w:rsidP="00DB330E">
            <w:pPr>
              <w:pStyle w:val="TableTextBold"/>
              <w:spacing w:before="50" w:after="50"/>
              <w:rPr>
                <w:rFonts w:cs="Calibri"/>
                <w:noProof w:val="0"/>
                <w:color w:val="FFFFFF"/>
                <w:szCs w:val="16"/>
              </w:rPr>
            </w:pPr>
          </w:p>
        </w:tc>
        <w:tc>
          <w:tcPr>
            <w:tcW w:w="1461" w:type="dxa"/>
            <w:tcBorders>
              <w:top w:val="single" w:sz="4" w:space="0" w:color="365F91"/>
              <w:bottom w:val="single" w:sz="4" w:space="0" w:color="365F91"/>
            </w:tcBorders>
            <w:shd w:val="clear" w:color="auto" w:fill="365F91"/>
            <w:vAlign w:val="bottom"/>
          </w:tcPr>
          <w:p w14:paraId="3C4D3EDF" w14:textId="77777777" w:rsidR="00A10636" w:rsidRPr="00D9348B" w:rsidRDefault="00A10636" w:rsidP="00DB330E">
            <w:pPr>
              <w:pStyle w:val="TableTextBold"/>
              <w:spacing w:before="50" w:after="50"/>
              <w:jc w:val="center"/>
              <w:rPr>
                <w:rFonts w:cs="Calibri"/>
                <w:noProof w:val="0"/>
                <w:color w:val="FFFFFF"/>
                <w:szCs w:val="16"/>
              </w:rPr>
            </w:pPr>
            <w:r w:rsidRPr="00D9348B">
              <w:rPr>
                <w:rFonts w:cs="Calibri"/>
                <w:noProof w:val="0"/>
                <w:color w:val="FFFFFF"/>
                <w:szCs w:val="16"/>
              </w:rPr>
              <w:t>Net area in 1990 (ha)</w:t>
            </w:r>
          </w:p>
        </w:tc>
        <w:tc>
          <w:tcPr>
            <w:tcW w:w="1508" w:type="dxa"/>
            <w:tcBorders>
              <w:top w:val="single" w:sz="4" w:space="0" w:color="365F91"/>
              <w:bottom w:val="single" w:sz="4" w:space="0" w:color="365F91"/>
            </w:tcBorders>
            <w:shd w:val="clear" w:color="auto" w:fill="365F91"/>
            <w:vAlign w:val="bottom"/>
          </w:tcPr>
          <w:p w14:paraId="7A71CC6C" w14:textId="77777777" w:rsidR="00A10636" w:rsidRPr="00D9348B" w:rsidRDefault="00A10636" w:rsidP="00DB330E">
            <w:pPr>
              <w:pStyle w:val="TableTextBold"/>
              <w:spacing w:before="50" w:after="50"/>
              <w:jc w:val="center"/>
              <w:rPr>
                <w:rFonts w:cs="Calibri"/>
                <w:noProof w:val="0"/>
                <w:color w:val="FFFFFF"/>
                <w:szCs w:val="16"/>
              </w:rPr>
            </w:pPr>
            <w:r w:rsidRPr="00D9348B">
              <w:rPr>
                <w:rFonts w:cs="Calibri"/>
                <w:noProof w:val="0"/>
                <w:color w:val="FFFFFF"/>
                <w:szCs w:val="16"/>
              </w:rPr>
              <w:t>Net area in 2018 (ha)</w:t>
            </w:r>
          </w:p>
        </w:tc>
        <w:tc>
          <w:tcPr>
            <w:tcW w:w="1323" w:type="dxa"/>
            <w:tcBorders>
              <w:top w:val="single" w:sz="4" w:space="0" w:color="365F91"/>
              <w:bottom w:val="single" w:sz="4" w:space="0" w:color="365F91"/>
            </w:tcBorders>
            <w:shd w:val="clear" w:color="auto" w:fill="365F91"/>
            <w:vAlign w:val="bottom"/>
          </w:tcPr>
          <w:p w14:paraId="7ABC3C26" w14:textId="77777777" w:rsidR="00A10636" w:rsidRPr="00D9348B" w:rsidRDefault="00A10636" w:rsidP="00DB330E">
            <w:pPr>
              <w:pStyle w:val="TableTextBold"/>
              <w:spacing w:before="50" w:after="50"/>
              <w:jc w:val="center"/>
              <w:rPr>
                <w:rFonts w:cs="Calibri"/>
                <w:noProof w:val="0"/>
                <w:color w:val="FFFFFF"/>
                <w:szCs w:val="16"/>
              </w:rPr>
            </w:pPr>
            <w:r w:rsidRPr="00D9348B">
              <w:rPr>
                <w:rFonts w:cs="Calibri"/>
                <w:noProof w:val="0"/>
                <w:color w:val="FFFFFF"/>
                <w:szCs w:val="16"/>
              </w:rPr>
              <w:t>Change from 1990 (%)</w:t>
            </w:r>
          </w:p>
        </w:tc>
      </w:tr>
      <w:tr w:rsidR="00A10636" w:rsidRPr="00D9348B" w14:paraId="21A72458" w14:textId="77777777" w:rsidTr="001423C4">
        <w:tc>
          <w:tcPr>
            <w:tcW w:w="1726" w:type="dxa"/>
            <w:vMerge w:val="restart"/>
            <w:tcBorders>
              <w:top w:val="single" w:sz="4" w:space="0" w:color="365F91"/>
              <w:bottom w:val="single" w:sz="4" w:space="0" w:color="365F91"/>
            </w:tcBorders>
          </w:tcPr>
          <w:p w14:paraId="4FD3F610" w14:textId="77777777" w:rsidR="00A10636" w:rsidRPr="00D9348B" w:rsidRDefault="00A10636" w:rsidP="00412BA2">
            <w:pPr>
              <w:pStyle w:val="TableText"/>
              <w:spacing w:before="40" w:after="40"/>
              <w:rPr>
                <w:rFonts w:cs="Calibri"/>
                <w:szCs w:val="16"/>
              </w:rPr>
            </w:pPr>
            <w:r w:rsidRPr="00D9348B">
              <w:rPr>
                <w:rFonts w:cs="Calibri"/>
                <w:szCs w:val="16"/>
              </w:rPr>
              <w:t>Cropland remaining cropland</w:t>
            </w:r>
          </w:p>
        </w:tc>
        <w:tc>
          <w:tcPr>
            <w:tcW w:w="2487" w:type="dxa"/>
            <w:tcBorders>
              <w:top w:val="single" w:sz="4" w:space="0" w:color="365F91"/>
              <w:bottom w:val="single" w:sz="4" w:space="0" w:color="365F91"/>
            </w:tcBorders>
          </w:tcPr>
          <w:p w14:paraId="11939530" w14:textId="77777777" w:rsidR="00A10636" w:rsidRPr="00D9348B" w:rsidRDefault="00A10636" w:rsidP="00412BA2">
            <w:pPr>
              <w:pStyle w:val="TableText"/>
              <w:spacing w:before="40" w:after="40"/>
              <w:rPr>
                <w:rFonts w:cs="Calibri"/>
                <w:szCs w:val="16"/>
              </w:rPr>
            </w:pPr>
            <w:r w:rsidRPr="00D9348B">
              <w:rPr>
                <w:rFonts w:cs="Calibri"/>
                <w:szCs w:val="16"/>
              </w:rPr>
              <w:t>Annual remaining annual</w:t>
            </w:r>
          </w:p>
        </w:tc>
        <w:tc>
          <w:tcPr>
            <w:tcW w:w="1461" w:type="dxa"/>
            <w:tcBorders>
              <w:top w:val="single" w:sz="4" w:space="0" w:color="365F91"/>
              <w:bottom w:val="single" w:sz="4" w:space="0" w:color="365F91"/>
            </w:tcBorders>
          </w:tcPr>
          <w:p w14:paraId="65CF0FF4" w14:textId="77777777" w:rsidR="00A10636" w:rsidRPr="00D9348B" w:rsidRDefault="00A10636" w:rsidP="00412BA2">
            <w:pPr>
              <w:pStyle w:val="TableText"/>
              <w:spacing w:before="40" w:after="40"/>
              <w:jc w:val="center"/>
              <w:rPr>
                <w:rFonts w:cs="Calibri"/>
                <w:szCs w:val="16"/>
              </w:rPr>
            </w:pPr>
            <w:r w:rsidRPr="00D9348B">
              <w:rPr>
                <w:rFonts w:cs="Calibri"/>
                <w:szCs w:val="16"/>
              </w:rPr>
              <w:t>324,888</w:t>
            </w:r>
          </w:p>
        </w:tc>
        <w:tc>
          <w:tcPr>
            <w:tcW w:w="1508" w:type="dxa"/>
            <w:tcBorders>
              <w:top w:val="single" w:sz="4" w:space="0" w:color="365F91"/>
              <w:bottom w:val="single" w:sz="4" w:space="0" w:color="365F91"/>
            </w:tcBorders>
            <w:vAlign w:val="center"/>
          </w:tcPr>
          <w:p w14:paraId="53A3E259" w14:textId="77777777" w:rsidR="00A10636" w:rsidRPr="00D9348B" w:rsidRDefault="00A10636" w:rsidP="00412BA2">
            <w:pPr>
              <w:pStyle w:val="TableText"/>
              <w:spacing w:before="40" w:after="40"/>
              <w:jc w:val="center"/>
              <w:rPr>
                <w:rFonts w:cs="Calibri"/>
                <w:szCs w:val="16"/>
              </w:rPr>
            </w:pPr>
            <w:r w:rsidRPr="00D9348B">
              <w:rPr>
                <w:rFonts w:cs="Calibri"/>
                <w:color w:val="000000"/>
                <w:szCs w:val="16"/>
              </w:rPr>
              <w:t>346,086</w:t>
            </w:r>
          </w:p>
        </w:tc>
        <w:tc>
          <w:tcPr>
            <w:tcW w:w="1323" w:type="dxa"/>
            <w:tcBorders>
              <w:top w:val="single" w:sz="4" w:space="0" w:color="365F91"/>
              <w:bottom w:val="single" w:sz="4" w:space="0" w:color="365F91"/>
            </w:tcBorders>
            <w:vAlign w:val="center"/>
          </w:tcPr>
          <w:p w14:paraId="512F60F3" w14:textId="77777777" w:rsidR="00A10636" w:rsidRPr="00D9348B" w:rsidRDefault="00A10636" w:rsidP="00412BA2">
            <w:pPr>
              <w:pStyle w:val="TableText"/>
              <w:spacing w:before="40" w:after="40"/>
              <w:jc w:val="center"/>
              <w:rPr>
                <w:rFonts w:cs="Calibri"/>
                <w:szCs w:val="16"/>
              </w:rPr>
            </w:pPr>
            <w:r w:rsidRPr="00D9348B">
              <w:rPr>
                <w:rFonts w:cs="Calibri"/>
                <w:color w:val="000000"/>
                <w:szCs w:val="16"/>
              </w:rPr>
              <w:t>6.5</w:t>
            </w:r>
          </w:p>
        </w:tc>
      </w:tr>
      <w:tr w:rsidR="00A10636" w:rsidRPr="00D9348B" w14:paraId="4D989987" w14:textId="77777777" w:rsidTr="001423C4">
        <w:tc>
          <w:tcPr>
            <w:tcW w:w="1726" w:type="dxa"/>
            <w:vMerge/>
            <w:tcBorders>
              <w:top w:val="single" w:sz="4" w:space="0" w:color="365F91"/>
            </w:tcBorders>
          </w:tcPr>
          <w:p w14:paraId="242A042F" w14:textId="77777777" w:rsidR="00A10636" w:rsidRPr="00D9348B" w:rsidRDefault="00A10636" w:rsidP="00412BA2">
            <w:pPr>
              <w:pStyle w:val="TableText"/>
              <w:spacing w:before="40" w:after="40"/>
              <w:rPr>
                <w:rFonts w:cs="Calibri"/>
                <w:szCs w:val="16"/>
              </w:rPr>
            </w:pPr>
          </w:p>
        </w:tc>
        <w:tc>
          <w:tcPr>
            <w:tcW w:w="2487" w:type="dxa"/>
            <w:tcBorders>
              <w:top w:val="single" w:sz="4" w:space="0" w:color="365F91"/>
              <w:bottom w:val="single" w:sz="4" w:space="0" w:color="365F91"/>
            </w:tcBorders>
          </w:tcPr>
          <w:p w14:paraId="7AEF4C19" w14:textId="77777777" w:rsidR="00A10636" w:rsidRPr="00D9348B" w:rsidRDefault="00A10636" w:rsidP="00412BA2">
            <w:pPr>
              <w:pStyle w:val="TableText"/>
              <w:spacing w:before="40" w:after="40"/>
              <w:rPr>
                <w:rFonts w:cs="Calibri"/>
                <w:szCs w:val="16"/>
              </w:rPr>
            </w:pPr>
            <w:r w:rsidRPr="00D9348B">
              <w:rPr>
                <w:rFonts w:cs="Calibri"/>
                <w:szCs w:val="16"/>
              </w:rPr>
              <w:t>Perennial remaining perennial</w:t>
            </w:r>
          </w:p>
        </w:tc>
        <w:tc>
          <w:tcPr>
            <w:tcW w:w="1461" w:type="dxa"/>
            <w:tcBorders>
              <w:top w:val="single" w:sz="4" w:space="0" w:color="365F91"/>
              <w:bottom w:val="single" w:sz="4" w:space="0" w:color="365F91"/>
            </w:tcBorders>
          </w:tcPr>
          <w:p w14:paraId="494750CB" w14:textId="77777777" w:rsidR="00A10636" w:rsidRPr="00D9348B" w:rsidRDefault="00A10636" w:rsidP="00412BA2">
            <w:pPr>
              <w:pStyle w:val="TableText"/>
              <w:spacing w:before="40" w:after="40"/>
              <w:jc w:val="center"/>
              <w:rPr>
                <w:rFonts w:cs="Calibri"/>
                <w:szCs w:val="16"/>
              </w:rPr>
            </w:pPr>
            <w:r w:rsidRPr="00D9348B">
              <w:rPr>
                <w:rFonts w:cs="Calibri"/>
                <w:szCs w:val="16"/>
              </w:rPr>
              <w:t>58,656</w:t>
            </w:r>
          </w:p>
        </w:tc>
        <w:tc>
          <w:tcPr>
            <w:tcW w:w="1508" w:type="dxa"/>
            <w:tcBorders>
              <w:top w:val="single" w:sz="4" w:space="0" w:color="365F91"/>
              <w:bottom w:val="single" w:sz="4" w:space="0" w:color="365F91"/>
            </w:tcBorders>
            <w:vAlign w:val="center"/>
          </w:tcPr>
          <w:p w14:paraId="4FF3635F" w14:textId="77777777" w:rsidR="00A10636" w:rsidRPr="00D9348B" w:rsidRDefault="00A10636" w:rsidP="00412BA2">
            <w:pPr>
              <w:pStyle w:val="TableText"/>
              <w:spacing w:before="40" w:after="40"/>
              <w:jc w:val="center"/>
              <w:rPr>
                <w:rFonts w:cs="Calibri"/>
                <w:szCs w:val="16"/>
              </w:rPr>
            </w:pPr>
            <w:r w:rsidRPr="00D9348B">
              <w:rPr>
                <w:rFonts w:cs="Calibri"/>
                <w:color w:val="000000"/>
                <w:szCs w:val="16"/>
              </w:rPr>
              <w:t>63,231</w:t>
            </w:r>
          </w:p>
        </w:tc>
        <w:tc>
          <w:tcPr>
            <w:tcW w:w="1323" w:type="dxa"/>
            <w:tcBorders>
              <w:top w:val="single" w:sz="4" w:space="0" w:color="365F91"/>
              <w:bottom w:val="single" w:sz="4" w:space="0" w:color="365F91"/>
            </w:tcBorders>
            <w:vAlign w:val="center"/>
          </w:tcPr>
          <w:p w14:paraId="4738155E" w14:textId="77777777" w:rsidR="00A10636" w:rsidRPr="00D9348B" w:rsidRDefault="00A10636" w:rsidP="00412BA2">
            <w:pPr>
              <w:pStyle w:val="TableText"/>
              <w:spacing w:before="40" w:after="40"/>
              <w:jc w:val="center"/>
              <w:rPr>
                <w:rFonts w:cs="Calibri"/>
                <w:szCs w:val="16"/>
              </w:rPr>
            </w:pPr>
            <w:r w:rsidRPr="00D9348B">
              <w:rPr>
                <w:rFonts w:cs="Calibri"/>
                <w:color w:val="000000"/>
                <w:szCs w:val="16"/>
              </w:rPr>
              <w:t>7.8</w:t>
            </w:r>
          </w:p>
        </w:tc>
      </w:tr>
      <w:tr w:rsidR="00A10636" w:rsidRPr="00D9348B" w14:paraId="7781A2C3" w14:textId="77777777" w:rsidTr="001423C4">
        <w:tc>
          <w:tcPr>
            <w:tcW w:w="1726" w:type="dxa"/>
            <w:vMerge/>
          </w:tcPr>
          <w:p w14:paraId="7246BCD6" w14:textId="77777777" w:rsidR="00A10636" w:rsidRPr="00D9348B" w:rsidRDefault="00A10636" w:rsidP="00412BA2">
            <w:pPr>
              <w:pStyle w:val="TableText"/>
              <w:spacing w:before="40" w:after="40"/>
              <w:rPr>
                <w:rFonts w:cs="Calibri"/>
                <w:szCs w:val="16"/>
              </w:rPr>
            </w:pPr>
          </w:p>
        </w:tc>
        <w:tc>
          <w:tcPr>
            <w:tcW w:w="2487" w:type="dxa"/>
            <w:tcBorders>
              <w:top w:val="single" w:sz="4" w:space="0" w:color="365F91"/>
              <w:bottom w:val="single" w:sz="4" w:space="0" w:color="365F91"/>
            </w:tcBorders>
          </w:tcPr>
          <w:p w14:paraId="1EC7540E" w14:textId="77777777" w:rsidR="00A10636" w:rsidRPr="00D9348B" w:rsidRDefault="00A10636" w:rsidP="00412BA2">
            <w:pPr>
              <w:pStyle w:val="TableText"/>
              <w:spacing w:before="40" w:after="40"/>
              <w:rPr>
                <w:rFonts w:cs="Calibri"/>
                <w:szCs w:val="16"/>
              </w:rPr>
            </w:pPr>
            <w:r w:rsidRPr="00D9348B">
              <w:rPr>
                <w:rFonts w:cs="Calibri"/>
                <w:szCs w:val="16"/>
              </w:rPr>
              <w:t>Annual to perennial</w:t>
            </w:r>
          </w:p>
        </w:tc>
        <w:tc>
          <w:tcPr>
            <w:tcW w:w="1461" w:type="dxa"/>
            <w:tcBorders>
              <w:top w:val="single" w:sz="4" w:space="0" w:color="365F91"/>
              <w:bottom w:val="single" w:sz="4" w:space="0" w:color="365F91"/>
            </w:tcBorders>
          </w:tcPr>
          <w:p w14:paraId="5FF06FBB" w14:textId="77777777" w:rsidR="00A10636" w:rsidRPr="00D9348B" w:rsidRDefault="00A10636" w:rsidP="00412BA2">
            <w:pPr>
              <w:pStyle w:val="TableText"/>
              <w:spacing w:before="40" w:after="40"/>
              <w:jc w:val="center"/>
              <w:rPr>
                <w:rFonts w:cs="Calibri"/>
                <w:szCs w:val="16"/>
              </w:rPr>
            </w:pPr>
            <w:r w:rsidRPr="00D9348B">
              <w:rPr>
                <w:rFonts w:cs="Calibri"/>
                <w:szCs w:val="16"/>
              </w:rPr>
              <w:t>900</w:t>
            </w:r>
          </w:p>
        </w:tc>
        <w:tc>
          <w:tcPr>
            <w:tcW w:w="1508" w:type="dxa"/>
            <w:tcBorders>
              <w:top w:val="single" w:sz="4" w:space="0" w:color="365F91"/>
              <w:bottom w:val="single" w:sz="4" w:space="0" w:color="365F91"/>
            </w:tcBorders>
          </w:tcPr>
          <w:p w14:paraId="25FB4030" w14:textId="77777777" w:rsidR="00A10636" w:rsidRPr="00D9348B" w:rsidRDefault="00A10636" w:rsidP="00412BA2">
            <w:pPr>
              <w:pStyle w:val="TableText"/>
              <w:spacing w:before="40" w:after="40"/>
              <w:jc w:val="center"/>
              <w:rPr>
                <w:rFonts w:cs="Calibri"/>
                <w:szCs w:val="16"/>
              </w:rPr>
            </w:pPr>
            <w:r w:rsidRPr="00D9348B">
              <w:rPr>
                <w:rFonts w:cs="Calibri"/>
                <w:szCs w:val="16"/>
              </w:rPr>
              <w:t>6,188</w:t>
            </w:r>
          </w:p>
        </w:tc>
        <w:tc>
          <w:tcPr>
            <w:tcW w:w="1323" w:type="dxa"/>
            <w:tcBorders>
              <w:top w:val="single" w:sz="4" w:space="0" w:color="365F91"/>
              <w:bottom w:val="single" w:sz="4" w:space="0" w:color="365F91"/>
            </w:tcBorders>
            <w:vAlign w:val="center"/>
          </w:tcPr>
          <w:p w14:paraId="32DA3074" w14:textId="77777777" w:rsidR="00A10636" w:rsidRPr="00D9348B" w:rsidRDefault="00A10636" w:rsidP="00412BA2">
            <w:pPr>
              <w:pStyle w:val="TableText"/>
              <w:spacing w:before="40" w:after="40"/>
              <w:jc w:val="center"/>
              <w:rPr>
                <w:rFonts w:cs="Calibri"/>
                <w:szCs w:val="16"/>
              </w:rPr>
            </w:pPr>
            <w:r w:rsidRPr="00D9348B">
              <w:rPr>
                <w:rFonts w:cs="Calibri"/>
                <w:color w:val="000000"/>
                <w:szCs w:val="16"/>
              </w:rPr>
              <w:t>587.6</w:t>
            </w:r>
          </w:p>
        </w:tc>
      </w:tr>
      <w:tr w:rsidR="00A10636" w:rsidRPr="00D9348B" w14:paraId="74484820" w14:textId="77777777" w:rsidTr="001423C4">
        <w:tc>
          <w:tcPr>
            <w:tcW w:w="1726" w:type="dxa"/>
            <w:vMerge/>
            <w:tcBorders>
              <w:bottom w:val="nil"/>
            </w:tcBorders>
          </w:tcPr>
          <w:p w14:paraId="434DFDC3" w14:textId="77777777" w:rsidR="00A10636" w:rsidRPr="00D9348B" w:rsidRDefault="00A10636" w:rsidP="00412BA2">
            <w:pPr>
              <w:pStyle w:val="TableText"/>
              <w:spacing w:before="40" w:after="40"/>
              <w:rPr>
                <w:rFonts w:cs="Calibri"/>
                <w:szCs w:val="16"/>
              </w:rPr>
            </w:pPr>
          </w:p>
        </w:tc>
        <w:tc>
          <w:tcPr>
            <w:tcW w:w="2487" w:type="dxa"/>
            <w:tcBorders>
              <w:top w:val="single" w:sz="4" w:space="0" w:color="365F91"/>
              <w:bottom w:val="single" w:sz="4" w:space="0" w:color="365F91"/>
            </w:tcBorders>
          </w:tcPr>
          <w:p w14:paraId="220D0379" w14:textId="77777777" w:rsidR="00A10636" w:rsidRPr="00D9348B" w:rsidRDefault="00A10636" w:rsidP="00412BA2">
            <w:pPr>
              <w:pStyle w:val="TableText"/>
              <w:spacing w:before="40" w:after="40"/>
              <w:rPr>
                <w:rFonts w:cs="Calibri"/>
                <w:szCs w:val="16"/>
              </w:rPr>
            </w:pPr>
            <w:r w:rsidRPr="00D9348B">
              <w:rPr>
                <w:rFonts w:cs="Calibri"/>
                <w:szCs w:val="16"/>
              </w:rPr>
              <w:t>Perennial to annual</w:t>
            </w:r>
          </w:p>
        </w:tc>
        <w:tc>
          <w:tcPr>
            <w:tcW w:w="1461" w:type="dxa"/>
            <w:tcBorders>
              <w:top w:val="single" w:sz="4" w:space="0" w:color="365F91"/>
              <w:bottom w:val="single" w:sz="4" w:space="0" w:color="365F91"/>
            </w:tcBorders>
          </w:tcPr>
          <w:p w14:paraId="684B066E" w14:textId="77777777" w:rsidR="00A10636" w:rsidRPr="00D9348B" w:rsidRDefault="00A10636" w:rsidP="00412BA2">
            <w:pPr>
              <w:pStyle w:val="TableText"/>
              <w:spacing w:before="40" w:after="40"/>
              <w:jc w:val="center"/>
              <w:rPr>
                <w:rFonts w:cs="Calibri"/>
                <w:szCs w:val="16"/>
              </w:rPr>
            </w:pPr>
            <w:r w:rsidRPr="00D9348B">
              <w:rPr>
                <w:rFonts w:cs="Calibri"/>
                <w:szCs w:val="16"/>
              </w:rPr>
              <w:t>0</w:t>
            </w:r>
          </w:p>
        </w:tc>
        <w:tc>
          <w:tcPr>
            <w:tcW w:w="1508" w:type="dxa"/>
            <w:tcBorders>
              <w:top w:val="single" w:sz="4" w:space="0" w:color="365F91"/>
              <w:bottom w:val="single" w:sz="4" w:space="0" w:color="365F91"/>
            </w:tcBorders>
          </w:tcPr>
          <w:p w14:paraId="2142A31F" w14:textId="77777777" w:rsidR="00A10636" w:rsidRPr="00D9348B" w:rsidRDefault="00A10636" w:rsidP="00412BA2">
            <w:pPr>
              <w:pStyle w:val="TableText"/>
              <w:spacing w:before="40" w:after="40"/>
              <w:jc w:val="center"/>
              <w:rPr>
                <w:rFonts w:cs="Calibri"/>
                <w:szCs w:val="16"/>
              </w:rPr>
            </w:pPr>
            <w:r w:rsidRPr="00D9348B">
              <w:rPr>
                <w:rFonts w:cs="Calibri"/>
                <w:szCs w:val="16"/>
              </w:rPr>
              <w:t>2,274</w:t>
            </w:r>
          </w:p>
        </w:tc>
        <w:tc>
          <w:tcPr>
            <w:tcW w:w="1323" w:type="dxa"/>
            <w:tcBorders>
              <w:top w:val="single" w:sz="4" w:space="0" w:color="365F91"/>
              <w:bottom w:val="single" w:sz="4" w:space="0" w:color="365F91"/>
            </w:tcBorders>
          </w:tcPr>
          <w:p w14:paraId="1478AB17" w14:textId="77777777" w:rsidR="00A10636" w:rsidRPr="00D9348B" w:rsidRDefault="00A10636" w:rsidP="00412BA2">
            <w:pPr>
              <w:pStyle w:val="TableText"/>
              <w:spacing w:before="40" w:after="40"/>
              <w:jc w:val="center"/>
              <w:rPr>
                <w:rFonts w:cs="Calibri"/>
                <w:szCs w:val="16"/>
              </w:rPr>
            </w:pPr>
            <w:r w:rsidRPr="00D9348B">
              <w:rPr>
                <w:rFonts w:cs="Calibri"/>
                <w:szCs w:val="16"/>
              </w:rPr>
              <w:t>NA</w:t>
            </w:r>
          </w:p>
        </w:tc>
      </w:tr>
      <w:tr w:rsidR="00A10636" w:rsidRPr="00D9348B" w14:paraId="4ED75A5C" w14:textId="77777777" w:rsidTr="001423C4">
        <w:tc>
          <w:tcPr>
            <w:tcW w:w="1726" w:type="dxa"/>
            <w:tcBorders>
              <w:top w:val="nil"/>
              <w:bottom w:val="single" w:sz="4" w:space="0" w:color="365F91"/>
            </w:tcBorders>
          </w:tcPr>
          <w:p w14:paraId="1403EB5D" w14:textId="77777777" w:rsidR="00A10636" w:rsidRPr="00D9348B" w:rsidRDefault="00A10636" w:rsidP="00412BA2">
            <w:pPr>
              <w:pStyle w:val="TableText"/>
              <w:spacing w:before="40" w:after="40"/>
              <w:rPr>
                <w:rFonts w:cs="Calibri"/>
                <w:szCs w:val="16"/>
              </w:rPr>
            </w:pPr>
          </w:p>
        </w:tc>
        <w:tc>
          <w:tcPr>
            <w:tcW w:w="2487" w:type="dxa"/>
            <w:tcBorders>
              <w:top w:val="single" w:sz="4" w:space="0" w:color="365F91"/>
              <w:bottom w:val="single" w:sz="4" w:space="0" w:color="365F91"/>
            </w:tcBorders>
          </w:tcPr>
          <w:p w14:paraId="75690C73" w14:textId="77777777" w:rsidR="00A10636" w:rsidRPr="00D9348B" w:rsidRDefault="00A10636" w:rsidP="00412BA2">
            <w:pPr>
              <w:pStyle w:val="TableText"/>
              <w:spacing w:before="40" w:after="40"/>
              <w:rPr>
                <w:rFonts w:cs="Calibri"/>
                <w:i/>
                <w:szCs w:val="16"/>
              </w:rPr>
            </w:pPr>
            <w:r w:rsidRPr="00D9348B">
              <w:rPr>
                <w:rFonts w:cs="Calibri"/>
                <w:i/>
                <w:szCs w:val="16"/>
              </w:rPr>
              <w:t>Subtotal</w:t>
            </w:r>
          </w:p>
        </w:tc>
        <w:tc>
          <w:tcPr>
            <w:tcW w:w="1461" w:type="dxa"/>
            <w:tcBorders>
              <w:top w:val="single" w:sz="4" w:space="0" w:color="365F91"/>
              <w:bottom w:val="single" w:sz="4" w:space="0" w:color="365F91"/>
            </w:tcBorders>
          </w:tcPr>
          <w:p w14:paraId="5A0F846C" w14:textId="77777777" w:rsidR="00A10636" w:rsidRPr="00D9348B" w:rsidRDefault="00A10636" w:rsidP="00412BA2">
            <w:pPr>
              <w:pStyle w:val="TableText"/>
              <w:spacing w:before="40" w:after="40"/>
              <w:jc w:val="center"/>
              <w:rPr>
                <w:rFonts w:cs="Calibri"/>
                <w:i/>
                <w:szCs w:val="16"/>
              </w:rPr>
            </w:pPr>
            <w:r w:rsidRPr="00D9348B">
              <w:rPr>
                <w:rFonts w:cs="Calibri"/>
                <w:szCs w:val="16"/>
              </w:rPr>
              <w:t>384,444</w:t>
            </w:r>
          </w:p>
        </w:tc>
        <w:tc>
          <w:tcPr>
            <w:tcW w:w="1508" w:type="dxa"/>
            <w:tcBorders>
              <w:top w:val="single" w:sz="4" w:space="0" w:color="365F91"/>
              <w:bottom w:val="single" w:sz="4" w:space="0" w:color="365F91"/>
            </w:tcBorders>
            <w:vAlign w:val="center"/>
          </w:tcPr>
          <w:p w14:paraId="20580BC3" w14:textId="77777777" w:rsidR="00A10636" w:rsidRPr="00D9348B" w:rsidRDefault="00A10636" w:rsidP="00412BA2">
            <w:pPr>
              <w:pStyle w:val="TableText"/>
              <w:spacing w:before="40" w:after="40"/>
              <w:jc w:val="center"/>
              <w:rPr>
                <w:rFonts w:cs="Calibri"/>
                <w:szCs w:val="16"/>
              </w:rPr>
            </w:pPr>
            <w:r w:rsidRPr="00D9348B">
              <w:rPr>
                <w:rFonts w:cs="Calibri"/>
                <w:color w:val="000000"/>
                <w:szCs w:val="16"/>
              </w:rPr>
              <w:t>417,779</w:t>
            </w:r>
          </w:p>
        </w:tc>
        <w:tc>
          <w:tcPr>
            <w:tcW w:w="1323" w:type="dxa"/>
            <w:tcBorders>
              <w:top w:val="single" w:sz="4" w:space="0" w:color="365F91"/>
              <w:bottom w:val="single" w:sz="4" w:space="0" w:color="365F91"/>
            </w:tcBorders>
            <w:vAlign w:val="center"/>
          </w:tcPr>
          <w:p w14:paraId="6CC7FA39" w14:textId="77777777" w:rsidR="00A10636" w:rsidRPr="00D9348B" w:rsidRDefault="00A10636" w:rsidP="00412BA2">
            <w:pPr>
              <w:pStyle w:val="TableText"/>
              <w:spacing w:before="40" w:after="40"/>
              <w:jc w:val="center"/>
              <w:rPr>
                <w:rFonts w:cs="Calibri"/>
                <w:szCs w:val="16"/>
              </w:rPr>
            </w:pPr>
            <w:r w:rsidRPr="00D9348B">
              <w:rPr>
                <w:rFonts w:cs="Calibri"/>
                <w:color w:val="000000"/>
                <w:szCs w:val="16"/>
              </w:rPr>
              <w:t>8.7</w:t>
            </w:r>
          </w:p>
        </w:tc>
      </w:tr>
      <w:tr w:rsidR="00A10636" w:rsidRPr="00D9348B" w14:paraId="2950928C" w14:textId="77777777" w:rsidTr="001423C4">
        <w:tc>
          <w:tcPr>
            <w:tcW w:w="1726" w:type="dxa"/>
            <w:vMerge w:val="restart"/>
            <w:tcBorders>
              <w:top w:val="single" w:sz="4" w:space="0" w:color="365F91"/>
            </w:tcBorders>
          </w:tcPr>
          <w:p w14:paraId="36B26CCA" w14:textId="77777777" w:rsidR="00A10636" w:rsidRPr="00D9348B" w:rsidRDefault="00A10636" w:rsidP="00412BA2">
            <w:pPr>
              <w:pStyle w:val="TableText"/>
              <w:spacing w:before="40" w:after="40"/>
              <w:rPr>
                <w:rFonts w:cs="Calibri"/>
                <w:szCs w:val="16"/>
              </w:rPr>
            </w:pPr>
            <w:r w:rsidRPr="00D9348B">
              <w:rPr>
                <w:rFonts w:cs="Calibri"/>
                <w:szCs w:val="16"/>
              </w:rPr>
              <w:t>Land in conversion to cropland</w:t>
            </w:r>
          </w:p>
        </w:tc>
        <w:tc>
          <w:tcPr>
            <w:tcW w:w="2487" w:type="dxa"/>
            <w:tcBorders>
              <w:top w:val="single" w:sz="4" w:space="0" w:color="365F91"/>
              <w:bottom w:val="single" w:sz="4" w:space="0" w:color="365F91"/>
            </w:tcBorders>
          </w:tcPr>
          <w:p w14:paraId="76045466" w14:textId="77777777" w:rsidR="00A10636" w:rsidRPr="00D9348B" w:rsidRDefault="00A10636" w:rsidP="00412BA2">
            <w:pPr>
              <w:pStyle w:val="TableText"/>
              <w:spacing w:before="40" w:after="40"/>
              <w:rPr>
                <w:rFonts w:cs="Calibri"/>
                <w:szCs w:val="16"/>
              </w:rPr>
            </w:pPr>
            <w:r w:rsidRPr="00D9348B">
              <w:rPr>
                <w:rFonts w:cs="Calibri"/>
                <w:szCs w:val="16"/>
              </w:rPr>
              <w:t>Annual cropland</w:t>
            </w:r>
          </w:p>
        </w:tc>
        <w:tc>
          <w:tcPr>
            <w:tcW w:w="1461" w:type="dxa"/>
            <w:tcBorders>
              <w:top w:val="single" w:sz="4" w:space="0" w:color="365F91"/>
              <w:bottom w:val="single" w:sz="4" w:space="0" w:color="365F91"/>
            </w:tcBorders>
          </w:tcPr>
          <w:p w14:paraId="1F26D726" w14:textId="77777777" w:rsidR="00A10636" w:rsidRPr="00D9348B" w:rsidRDefault="00A10636" w:rsidP="00412BA2">
            <w:pPr>
              <w:pStyle w:val="TableText"/>
              <w:spacing w:before="40" w:after="40"/>
              <w:jc w:val="center"/>
              <w:rPr>
                <w:rFonts w:cs="Calibri"/>
                <w:szCs w:val="16"/>
              </w:rPr>
            </w:pPr>
            <w:r w:rsidRPr="00D9348B">
              <w:rPr>
                <w:rFonts w:cs="Calibri"/>
                <w:szCs w:val="16"/>
              </w:rPr>
              <w:t>30,012</w:t>
            </w:r>
          </w:p>
        </w:tc>
        <w:tc>
          <w:tcPr>
            <w:tcW w:w="1508" w:type="dxa"/>
            <w:tcBorders>
              <w:top w:val="single" w:sz="4" w:space="0" w:color="365F91"/>
              <w:bottom w:val="single" w:sz="4" w:space="0" w:color="365F91"/>
            </w:tcBorders>
            <w:vAlign w:val="center"/>
          </w:tcPr>
          <w:p w14:paraId="30189DA7" w14:textId="77777777" w:rsidR="00A10636" w:rsidRPr="00D9348B" w:rsidRDefault="00A10636" w:rsidP="00412BA2">
            <w:pPr>
              <w:pStyle w:val="TableText"/>
              <w:spacing w:before="40" w:after="40"/>
              <w:jc w:val="center"/>
              <w:rPr>
                <w:rFonts w:cs="Calibri"/>
                <w:szCs w:val="16"/>
              </w:rPr>
            </w:pPr>
            <w:r w:rsidRPr="00D9348B">
              <w:rPr>
                <w:rFonts w:cs="Calibri"/>
                <w:color w:val="000000"/>
                <w:szCs w:val="16"/>
              </w:rPr>
              <w:t>22,997.2</w:t>
            </w:r>
          </w:p>
        </w:tc>
        <w:tc>
          <w:tcPr>
            <w:tcW w:w="1323" w:type="dxa"/>
            <w:tcBorders>
              <w:top w:val="single" w:sz="4" w:space="0" w:color="365F91"/>
              <w:bottom w:val="single" w:sz="4" w:space="0" w:color="365F91"/>
            </w:tcBorders>
            <w:vAlign w:val="center"/>
          </w:tcPr>
          <w:p w14:paraId="3B64E922" w14:textId="77777777" w:rsidR="00A10636" w:rsidRPr="00D9348B" w:rsidRDefault="00A10636" w:rsidP="00412BA2">
            <w:pPr>
              <w:pStyle w:val="TableText"/>
              <w:spacing w:before="40" w:after="40"/>
              <w:jc w:val="center"/>
              <w:rPr>
                <w:rFonts w:cs="Calibri"/>
                <w:szCs w:val="16"/>
              </w:rPr>
            </w:pPr>
            <w:r w:rsidRPr="00D9348B">
              <w:rPr>
                <w:rFonts w:cs="Calibri"/>
                <w:color w:val="000000"/>
                <w:szCs w:val="16"/>
              </w:rPr>
              <w:t>–23.4</w:t>
            </w:r>
          </w:p>
        </w:tc>
      </w:tr>
      <w:tr w:rsidR="00A10636" w:rsidRPr="00D9348B" w14:paraId="78F81274" w14:textId="77777777" w:rsidTr="001423C4">
        <w:tc>
          <w:tcPr>
            <w:tcW w:w="1726" w:type="dxa"/>
            <w:vMerge/>
            <w:tcBorders>
              <w:bottom w:val="nil"/>
            </w:tcBorders>
          </w:tcPr>
          <w:p w14:paraId="1312CC7E" w14:textId="77777777" w:rsidR="00A10636" w:rsidRPr="00D9348B" w:rsidRDefault="00A10636" w:rsidP="00412BA2">
            <w:pPr>
              <w:pStyle w:val="TableText"/>
              <w:spacing w:before="40" w:after="40"/>
              <w:rPr>
                <w:rFonts w:cs="Calibri"/>
                <w:szCs w:val="16"/>
              </w:rPr>
            </w:pPr>
          </w:p>
        </w:tc>
        <w:tc>
          <w:tcPr>
            <w:tcW w:w="2487" w:type="dxa"/>
            <w:tcBorders>
              <w:top w:val="single" w:sz="4" w:space="0" w:color="365F91"/>
              <w:bottom w:val="single" w:sz="4" w:space="0" w:color="365F91"/>
            </w:tcBorders>
          </w:tcPr>
          <w:p w14:paraId="533BCA20" w14:textId="77777777" w:rsidR="00A10636" w:rsidRPr="00D9348B" w:rsidRDefault="00A10636" w:rsidP="00412BA2">
            <w:pPr>
              <w:pStyle w:val="TableText"/>
              <w:spacing w:before="40" w:after="40"/>
              <w:rPr>
                <w:rFonts w:cs="Calibri"/>
                <w:szCs w:val="16"/>
              </w:rPr>
            </w:pPr>
            <w:r w:rsidRPr="00D9348B">
              <w:rPr>
                <w:rFonts w:cs="Calibri"/>
                <w:szCs w:val="16"/>
              </w:rPr>
              <w:t>Perennial cropland</w:t>
            </w:r>
          </w:p>
        </w:tc>
        <w:tc>
          <w:tcPr>
            <w:tcW w:w="1461" w:type="dxa"/>
            <w:tcBorders>
              <w:top w:val="single" w:sz="4" w:space="0" w:color="365F91"/>
              <w:bottom w:val="single" w:sz="4" w:space="0" w:color="365F91"/>
            </w:tcBorders>
          </w:tcPr>
          <w:p w14:paraId="37C60AFD" w14:textId="77777777" w:rsidR="00A10636" w:rsidRPr="00D9348B" w:rsidRDefault="00A10636" w:rsidP="00412BA2">
            <w:pPr>
              <w:pStyle w:val="TableText"/>
              <w:spacing w:before="40" w:after="40"/>
              <w:jc w:val="center"/>
              <w:rPr>
                <w:rFonts w:cs="Calibri"/>
                <w:szCs w:val="16"/>
              </w:rPr>
            </w:pPr>
            <w:r w:rsidRPr="00D9348B">
              <w:rPr>
                <w:rFonts w:cs="Calibri"/>
                <w:szCs w:val="16"/>
              </w:rPr>
              <w:t>9,499</w:t>
            </w:r>
          </w:p>
        </w:tc>
        <w:tc>
          <w:tcPr>
            <w:tcW w:w="1508" w:type="dxa"/>
            <w:tcBorders>
              <w:top w:val="single" w:sz="4" w:space="0" w:color="365F91"/>
              <w:bottom w:val="single" w:sz="4" w:space="0" w:color="365F91"/>
            </w:tcBorders>
            <w:vAlign w:val="center"/>
          </w:tcPr>
          <w:p w14:paraId="43A04BD3" w14:textId="77777777" w:rsidR="00A10636" w:rsidRPr="00D9348B" w:rsidRDefault="00A10636" w:rsidP="00412BA2">
            <w:pPr>
              <w:pStyle w:val="TableText"/>
              <w:spacing w:before="40" w:after="40"/>
              <w:jc w:val="center"/>
              <w:rPr>
                <w:rFonts w:cs="Calibri"/>
                <w:szCs w:val="16"/>
              </w:rPr>
            </w:pPr>
            <w:r w:rsidRPr="00D9348B">
              <w:rPr>
                <w:rFonts w:cs="Calibri"/>
                <w:color w:val="000000"/>
                <w:szCs w:val="16"/>
              </w:rPr>
              <w:t>35,276</w:t>
            </w:r>
          </w:p>
        </w:tc>
        <w:tc>
          <w:tcPr>
            <w:tcW w:w="1323" w:type="dxa"/>
            <w:tcBorders>
              <w:top w:val="single" w:sz="4" w:space="0" w:color="365F91"/>
              <w:bottom w:val="single" w:sz="4" w:space="0" w:color="365F91"/>
            </w:tcBorders>
            <w:vAlign w:val="center"/>
          </w:tcPr>
          <w:p w14:paraId="7789B52A" w14:textId="77777777" w:rsidR="00A10636" w:rsidRPr="00D9348B" w:rsidRDefault="00A10636" w:rsidP="00412BA2">
            <w:pPr>
              <w:pStyle w:val="TableText"/>
              <w:spacing w:before="40" w:after="40"/>
              <w:jc w:val="center"/>
              <w:rPr>
                <w:rFonts w:cs="Calibri"/>
                <w:szCs w:val="16"/>
              </w:rPr>
            </w:pPr>
            <w:r w:rsidRPr="00D9348B">
              <w:rPr>
                <w:rFonts w:cs="Calibri"/>
                <w:color w:val="000000"/>
                <w:szCs w:val="16"/>
              </w:rPr>
              <w:t>+271.4</w:t>
            </w:r>
          </w:p>
        </w:tc>
      </w:tr>
      <w:tr w:rsidR="00A10636" w:rsidRPr="00D9348B" w14:paraId="506FBEB3" w14:textId="77777777" w:rsidTr="001423C4">
        <w:tc>
          <w:tcPr>
            <w:tcW w:w="1726" w:type="dxa"/>
            <w:tcBorders>
              <w:top w:val="nil"/>
              <w:bottom w:val="single" w:sz="4" w:space="0" w:color="365F91"/>
            </w:tcBorders>
          </w:tcPr>
          <w:p w14:paraId="5FE8D244" w14:textId="77777777" w:rsidR="00A10636" w:rsidRPr="00D9348B" w:rsidRDefault="00A10636" w:rsidP="00412BA2">
            <w:pPr>
              <w:pStyle w:val="TableTextBold"/>
              <w:spacing w:before="40" w:after="40"/>
              <w:rPr>
                <w:rFonts w:cs="Calibri"/>
                <w:noProof w:val="0"/>
                <w:szCs w:val="16"/>
              </w:rPr>
            </w:pPr>
          </w:p>
        </w:tc>
        <w:tc>
          <w:tcPr>
            <w:tcW w:w="2487" w:type="dxa"/>
            <w:tcBorders>
              <w:top w:val="single" w:sz="4" w:space="0" w:color="365F91"/>
              <w:bottom w:val="single" w:sz="4" w:space="0" w:color="365F91"/>
            </w:tcBorders>
          </w:tcPr>
          <w:p w14:paraId="01D76ABA" w14:textId="77777777" w:rsidR="00A10636" w:rsidRPr="00D9348B" w:rsidRDefault="00A10636" w:rsidP="00412BA2">
            <w:pPr>
              <w:pStyle w:val="TableText"/>
              <w:spacing w:before="40" w:after="40"/>
              <w:rPr>
                <w:rFonts w:cs="Calibri"/>
                <w:i/>
                <w:szCs w:val="16"/>
              </w:rPr>
            </w:pPr>
            <w:r w:rsidRPr="00D9348B">
              <w:rPr>
                <w:rFonts w:cs="Calibri"/>
                <w:i/>
                <w:szCs w:val="16"/>
              </w:rPr>
              <w:t>Subtotal</w:t>
            </w:r>
          </w:p>
        </w:tc>
        <w:tc>
          <w:tcPr>
            <w:tcW w:w="1461" w:type="dxa"/>
            <w:tcBorders>
              <w:top w:val="single" w:sz="4" w:space="0" w:color="365F91"/>
              <w:bottom w:val="single" w:sz="4" w:space="0" w:color="365F91"/>
            </w:tcBorders>
          </w:tcPr>
          <w:p w14:paraId="402603E3" w14:textId="77777777" w:rsidR="00A10636" w:rsidRPr="00D9348B" w:rsidRDefault="00A10636" w:rsidP="00412BA2">
            <w:pPr>
              <w:pStyle w:val="TableText"/>
              <w:spacing w:before="40" w:after="40"/>
              <w:jc w:val="center"/>
              <w:rPr>
                <w:rFonts w:cs="Calibri"/>
                <w:i/>
                <w:szCs w:val="16"/>
              </w:rPr>
            </w:pPr>
            <w:r w:rsidRPr="00D9348B">
              <w:rPr>
                <w:rFonts w:cs="Calibri"/>
                <w:szCs w:val="16"/>
              </w:rPr>
              <w:t>39,511</w:t>
            </w:r>
          </w:p>
        </w:tc>
        <w:tc>
          <w:tcPr>
            <w:tcW w:w="1508" w:type="dxa"/>
            <w:tcBorders>
              <w:top w:val="single" w:sz="4" w:space="0" w:color="365F91"/>
              <w:bottom w:val="single" w:sz="4" w:space="0" w:color="365F91"/>
            </w:tcBorders>
            <w:vAlign w:val="center"/>
          </w:tcPr>
          <w:p w14:paraId="0D6FFCA7" w14:textId="77777777" w:rsidR="00A10636" w:rsidRPr="00D9348B" w:rsidRDefault="00A10636" w:rsidP="00412BA2">
            <w:pPr>
              <w:pStyle w:val="TableText"/>
              <w:spacing w:before="40" w:after="40"/>
              <w:jc w:val="center"/>
              <w:rPr>
                <w:rFonts w:cs="Calibri"/>
                <w:i/>
                <w:szCs w:val="16"/>
              </w:rPr>
            </w:pPr>
            <w:r w:rsidRPr="00D9348B">
              <w:rPr>
                <w:rFonts w:cs="Calibri"/>
                <w:color w:val="000000"/>
                <w:szCs w:val="16"/>
              </w:rPr>
              <w:t>58,274</w:t>
            </w:r>
          </w:p>
        </w:tc>
        <w:tc>
          <w:tcPr>
            <w:tcW w:w="1323" w:type="dxa"/>
            <w:tcBorders>
              <w:top w:val="single" w:sz="4" w:space="0" w:color="365F91"/>
              <w:bottom w:val="single" w:sz="4" w:space="0" w:color="365F91"/>
            </w:tcBorders>
            <w:vAlign w:val="center"/>
          </w:tcPr>
          <w:p w14:paraId="1C3C4D57" w14:textId="77777777" w:rsidR="00A10636" w:rsidRPr="00D9348B" w:rsidRDefault="00A10636" w:rsidP="00412BA2">
            <w:pPr>
              <w:pStyle w:val="TableText"/>
              <w:spacing w:before="40" w:after="40"/>
              <w:jc w:val="center"/>
              <w:rPr>
                <w:rFonts w:cs="Calibri"/>
                <w:i/>
                <w:szCs w:val="16"/>
              </w:rPr>
            </w:pPr>
            <w:r w:rsidRPr="00D9348B">
              <w:rPr>
                <w:rFonts w:cs="Calibri"/>
                <w:color w:val="000000"/>
                <w:szCs w:val="16"/>
              </w:rPr>
              <w:t>+47.5</w:t>
            </w:r>
          </w:p>
        </w:tc>
      </w:tr>
      <w:tr w:rsidR="00A10636" w:rsidRPr="00D9348B" w14:paraId="69E83222" w14:textId="77777777" w:rsidTr="001423C4">
        <w:tc>
          <w:tcPr>
            <w:tcW w:w="1726" w:type="dxa"/>
            <w:tcBorders>
              <w:top w:val="single" w:sz="4" w:space="0" w:color="365F91"/>
              <w:bottom w:val="single" w:sz="4" w:space="0" w:color="365F91"/>
            </w:tcBorders>
          </w:tcPr>
          <w:p w14:paraId="69F3A66D" w14:textId="77777777" w:rsidR="00A10636" w:rsidRPr="00D9348B" w:rsidRDefault="00A10636" w:rsidP="00412BA2">
            <w:pPr>
              <w:pStyle w:val="Tableboldblue"/>
              <w:spacing w:before="40" w:after="40"/>
              <w:jc w:val="right"/>
              <w:rPr>
                <w:rFonts w:cs="Calibri"/>
              </w:rPr>
            </w:pPr>
            <w:r w:rsidRPr="00D9348B">
              <w:rPr>
                <w:rFonts w:cs="Calibri"/>
              </w:rPr>
              <w:t>Total</w:t>
            </w:r>
          </w:p>
        </w:tc>
        <w:tc>
          <w:tcPr>
            <w:tcW w:w="2487" w:type="dxa"/>
            <w:tcBorders>
              <w:top w:val="single" w:sz="4" w:space="0" w:color="365F91"/>
              <w:bottom w:val="single" w:sz="4" w:space="0" w:color="365F91"/>
            </w:tcBorders>
          </w:tcPr>
          <w:p w14:paraId="434495CA" w14:textId="77777777" w:rsidR="00A10636" w:rsidRPr="00D9348B" w:rsidRDefault="00A10636" w:rsidP="00412BA2">
            <w:pPr>
              <w:pStyle w:val="Tableboldblue"/>
              <w:spacing w:before="40" w:after="40"/>
              <w:rPr>
                <w:rFonts w:cs="Calibri"/>
              </w:rPr>
            </w:pPr>
          </w:p>
        </w:tc>
        <w:tc>
          <w:tcPr>
            <w:tcW w:w="1461" w:type="dxa"/>
            <w:tcBorders>
              <w:top w:val="single" w:sz="4" w:space="0" w:color="365F91"/>
              <w:bottom w:val="single" w:sz="4" w:space="0" w:color="365F91"/>
            </w:tcBorders>
          </w:tcPr>
          <w:p w14:paraId="39333954" w14:textId="77777777" w:rsidR="00A10636" w:rsidRPr="00D9348B" w:rsidRDefault="00A10636" w:rsidP="00412BA2">
            <w:pPr>
              <w:pStyle w:val="Tableboldblue"/>
              <w:spacing w:before="40" w:after="40"/>
              <w:jc w:val="center"/>
              <w:rPr>
                <w:rFonts w:cs="Calibri"/>
              </w:rPr>
            </w:pPr>
            <w:r w:rsidRPr="00D9348B">
              <w:rPr>
                <w:rFonts w:cs="Calibri"/>
              </w:rPr>
              <w:t>423,955</w:t>
            </w:r>
          </w:p>
        </w:tc>
        <w:tc>
          <w:tcPr>
            <w:tcW w:w="1508" w:type="dxa"/>
            <w:tcBorders>
              <w:top w:val="single" w:sz="4" w:space="0" w:color="365F91"/>
              <w:bottom w:val="single" w:sz="4" w:space="0" w:color="365F91"/>
            </w:tcBorders>
            <w:vAlign w:val="center"/>
          </w:tcPr>
          <w:p w14:paraId="7D2B2846" w14:textId="77777777" w:rsidR="00A10636" w:rsidRPr="00D9348B" w:rsidRDefault="00A10636" w:rsidP="00412BA2">
            <w:pPr>
              <w:pStyle w:val="Tableboldblue"/>
              <w:spacing w:before="40" w:after="40"/>
              <w:jc w:val="center"/>
              <w:rPr>
                <w:rFonts w:cs="Calibri"/>
              </w:rPr>
            </w:pPr>
            <w:r w:rsidRPr="00D9348B">
              <w:rPr>
                <w:rFonts w:cs="Calibri"/>
              </w:rPr>
              <w:t>476,053</w:t>
            </w:r>
          </w:p>
        </w:tc>
        <w:tc>
          <w:tcPr>
            <w:tcW w:w="1323" w:type="dxa"/>
            <w:tcBorders>
              <w:top w:val="single" w:sz="4" w:space="0" w:color="365F91"/>
              <w:bottom w:val="single" w:sz="4" w:space="0" w:color="365F91"/>
            </w:tcBorders>
            <w:vAlign w:val="center"/>
          </w:tcPr>
          <w:p w14:paraId="7BB500AF" w14:textId="77777777" w:rsidR="00A10636" w:rsidRPr="00D9348B" w:rsidRDefault="00A10636" w:rsidP="00412BA2">
            <w:pPr>
              <w:pStyle w:val="Tableboldblue"/>
              <w:spacing w:before="40" w:after="40"/>
              <w:jc w:val="center"/>
              <w:rPr>
                <w:rFonts w:cs="Calibri"/>
              </w:rPr>
            </w:pPr>
            <w:r w:rsidRPr="00D9348B">
              <w:rPr>
                <w:rFonts w:cs="Calibri"/>
              </w:rPr>
              <w:t>+12.3</w:t>
            </w:r>
          </w:p>
        </w:tc>
      </w:tr>
    </w:tbl>
    <w:p w14:paraId="0BD8263C" w14:textId="77777777" w:rsidR="00A10636" w:rsidRPr="00D9348B" w:rsidRDefault="00A10636" w:rsidP="00A10636">
      <w:pPr>
        <w:pStyle w:val="Noteundertable"/>
      </w:pPr>
      <w:r w:rsidRPr="00D9348B">
        <w:rPr>
          <w:b/>
        </w:rPr>
        <w:t>Note:</w:t>
      </w:r>
      <w:r w:rsidRPr="00D9348B">
        <w:tab/>
        <w:t>NA = not applicable. This table shows the change between 1 January 1990 and 31 December 2018. Columns may not total due to rounding.</w:t>
      </w:r>
    </w:p>
    <w:p w14:paraId="7E3F8424" w14:textId="77777777" w:rsidR="00A10636" w:rsidRPr="00D9348B" w:rsidRDefault="00A10636" w:rsidP="00A10636">
      <w:pPr>
        <w:pStyle w:val="BodyText"/>
      </w:pPr>
      <w:r w:rsidRPr="00D9348B">
        <w:t xml:space="preserve">In 2018, </w:t>
      </w:r>
      <w:r w:rsidRPr="00D9348B">
        <w:rPr>
          <w:i/>
        </w:rPr>
        <w:t>Cropland remaining cropland</w:t>
      </w:r>
      <w:r w:rsidRPr="00D9348B">
        <w:t xml:space="preserve"> was a key category (level assessment). </w:t>
      </w:r>
    </w:p>
    <w:p w14:paraId="65BD49B2" w14:textId="77777777" w:rsidR="00A10636" w:rsidRPr="00D9348B" w:rsidRDefault="00A10636" w:rsidP="00A10636">
      <w:pPr>
        <w:pStyle w:val="Heading3"/>
      </w:pPr>
      <w:bookmarkStart w:id="1940" w:name="_Toc139253964"/>
      <w:bookmarkStart w:id="1941" w:name="_Toc255466373"/>
      <w:bookmarkStart w:id="1942" w:name="_Toc261513180"/>
      <w:bookmarkStart w:id="1943" w:name="_Toc261513793"/>
      <w:bookmarkStart w:id="1944" w:name="_Toc280630265"/>
      <w:r w:rsidRPr="00D9348B">
        <w:t>6.5.2</w:t>
      </w:r>
      <w:r w:rsidRPr="00D9348B">
        <w:tab/>
        <w:t>Methodological issues</w:t>
      </w:r>
      <w:bookmarkEnd w:id="1940"/>
      <w:bookmarkEnd w:id="1941"/>
      <w:bookmarkEnd w:id="1942"/>
      <w:bookmarkEnd w:id="1943"/>
      <w:bookmarkEnd w:id="1944"/>
      <w:r w:rsidRPr="00D9348B">
        <w:t xml:space="preserve"> </w:t>
      </w:r>
    </w:p>
    <w:p w14:paraId="29C10BCE" w14:textId="77777777" w:rsidR="00A10636" w:rsidRPr="00D9348B" w:rsidRDefault="00A10636" w:rsidP="00A10636">
      <w:pPr>
        <w:pStyle w:val="BodyText"/>
      </w:pPr>
      <w:r w:rsidRPr="00D9348B">
        <w:t xml:space="preserve">Emissions and removals for the living biomass and dead organic matter pools have been calculated using IPCC Tier 1 emission factors for annual cropland, Tier 2 emission factors for perennial cropland (Davis and Wakelin, unpublished) and activity data as described in section 6.2. Emissions and removals by the SOC pool are estimated using a Tier 2 method for mineral soils and IPCC Tier 1 defaults for organic soils (section 6.3, IPCC, 2006a). </w:t>
      </w:r>
    </w:p>
    <w:p w14:paraId="6DEEA504" w14:textId="77777777" w:rsidR="00A10636" w:rsidRPr="00D9348B" w:rsidRDefault="00A10636" w:rsidP="00412BA2">
      <w:pPr>
        <w:pStyle w:val="BodyText"/>
      </w:pPr>
      <w:r w:rsidRPr="00D9348B">
        <w:t xml:space="preserve">A summary of the New Zealand emission factors and other parameters used to estimate greenhouse gas emissions for the </w:t>
      </w:r>
      <w:r w:rsidRPr="00D9348B">
        <w:rPr>
          <w:i/>
        </w:rPr>
        <w:t>Cropland</w:t>
      </w:r>
      <w:r w:rsidRPr="00D9348B">
        <w:t xml:space="preserve"> category is provided in table 6.5.5. </w:t>
      </w:r>
      <w:bookmarkStart w:id="1945" w:name="_Toc310423418"/>
      <w:bookmarkStart w:id="1946" w:name="_Toc318362711"/>
      <w:bookmarkStart w:id="1947" w:name="_Toc342470773"/>
      <w:bookmarkStart w:id="1948" w:name="_Toc352505013"/>
      <w:bookmarkStart w:id="1949" w:name="_Toc378853304"/>
    </w:p>
    <w:p w14:paraId="773D79B8" w14:textId="77777777" w:rsidR="00A10636" w:rsidRPr="00D9348B" w:rsidRDefault="00A10636" w:rsidP="00A10636">
      <w:pPr>
        <w:pStyle w:val="Table"/>
      </w:pPr>
      <w:bookmarkStart w:id="1950" w:name="_Toc391024102"/>
      <w:bookmarkStart w:id="1951" w:name="_Toc410028845"/>
      <w:bookmarkStart w:id="1952" w:name="_Toc414531473"/>
      <w:bookmarkStart w:id="1953" w:name="_Toc443645386"/>
      <w:bookmarkStart w:id="1954" w:name="_Toc474914605"/>
      <w:bookmarkStart w:id="1955" w:name="_Toc481751569"/>
      <w:bookmarkStart w:id="1956" w:name="_Toc522010626"/>
      <w:bookmarkStart w:id="1957" w:name="_Toc5269531"/>
      <w:bookmarkStart w:id="1958" w:name="_Toc33529405"/>
      <w:bookmarkStart w:id="1959" w:name="_Toc36224611"/>
      <w:r w:rsidRPr="00D9348B">
        <w:lastRenderedPageBreak/>
        <w:t>Table 6.5.5</w:t>
      </w:r>
      <w:r w:rsidRPr="00D9348B">
        <w:tab/>
        <w:t>Summary of New Zealand’s carbon stock change emission factors for Cropland</w:t>
      </w:r>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p>
    <w:tbl>
      <w:tblPr>
        <w:tblW w:w="8505" w:type="dxa"/>
        <w:tblInd w:w="108" w:type="dxa"/>
        <w:tblLayout w:type="fixed"/>
        <w:tblCellMar>
          <w:left w:w="85" w:type="dxa"/>
          <w:right w:w="57" w:type="dxa"/>
        </w:tblCellMar>
        <w:tblLook w:val="04A0" w:firstRow="1" w:lastRow="0" w:firstColumn="1" w:lastColumn="0" w:noHBand="0" w:noVBand="1"/>
      </w:tblPr>
      <w:tblGrid>
        <w:gridCol w:w="949"/>
        <w:gridCol w:w="1722"/>
        <w:gridCol w:w="1275"/>
        <w:gridCol w:w="1276"/>
        <w:gridCol w:w="1142"/>
        <w:gridCol w:w="2141"/>
      </w:tblGrid>
      <w:tr w:rsidR="00A10636" w:rsidRPr="00D9348B" w14:paraId="49B129AB" w14:textId="77777777" w:rsidTr="001C5A35">
        <w:trPr>
          <w:tblHeader/>
        </w:trPr>
        <w:tc>
          <w:tcPr>
            <w:tcW w:w="949" w:type="dxa"/>
            <w:tcBorders>
              <w:top w:val="single" w:sz="4" w:space="0" w:color="365F91"/>
              <w:bottom w:val="single" w:sz="4" w:space="0" w:color="365F91"/>
            </w:tcBorders>
            <w:shd w:val="clear" w:color="auto" w:fill="365F91"/>
            <w:vAlign w:val="bottom"/>
          </w:tcPr>
          <w:p w14:paraId="0C737E02" w14:textId="77777777" w:rsidR="00A10636" w:rsidRPr="00D9348B" w:rsidRDefault="00A10636" w:rsidP="00DB330E">
            <w:pPr>
              <w:pStyle w:val="TableTextBold"/>
              <w:keepNext/>
              <w:rPr>
                <w:rFonts w:cs="Calibri"/>
                <w:noProof w:val="0"/>
                <w:color w:val="FFFFFF"/>
                <w:szCs w:val="16"/>
              </w:rPr>
            </w:pPr>
            <w:r w:rsidRPr="00D9348B">
              <w:rPr>
                <w:rFonts w:cs="Calibri"/>
                <w:noProof w:val="0"/>
                <w:color w:val="FFFFFF"/>
                <w:szCs w:val="16"/>
              </w:rPr>
              <w:t>Land use</w:t>
            </w:r>
          </w:p>
        </w:tc>
        <w:tc>
          <w:tcPr>
            <w:tcW w:w="1722" w:type="dxa"/>
            <w:tcBorders>
              <w:top w:val="single" w:sz="4" w:space="0" w:color="365F91"/>
              <w:bottom w:val="single" w:sz="4" w:space="0" w:color="365F91"/>
            </w:tcBorders>
            <w:shd w:val="clear" w:color="auto" w:fill="365F91"/>
            <w:vAlign w:val="bottom"/>
          </w:tcPr>
          <w:p w14:paraId="45B5D770" w14:textId="77777777" w:rsidR="00A10636" w:rsidRPr="00D9348B" w:rsidRDefault="00A10636" w:rsidP="00DB330E">
            <w:pPr>
              <w:pStyle w:val="TableTextBold"/>
              <w:keepNext/>
              <w:rPr>
                <w:rFonts w:cs="Calibri"/>
                <w:noProof w:val="0"/>
                <w:color w:val="FFFFFF"/>
                <w:szCs w:val="16"/>
              </w:rPr>
            </w:pPr>
            <w:r w:rsidRPr="00D9348B">
              <w:rPr>
                <w:rFonts w:cs="Calibri"/>
                <w:noProof w:val="0"/>
                <w:color w:val="FFFFFF"/>
                <w:szCs w:val="16"/>
              </w:rPr>
              <w:t>Carbon pool</w:t>
            </w:r>
          </w:p>
        </w:tc>
        <w:tc>
          <w:tcPr>
            <w:tcW w:w="1275" w:type="dxa"/>
            <w:tcBorders>
              <w:top w:val="single" w:sz="4" w:space="0" w:color="365F91"/>
              <w:bottom w:val="single" w:sz="4" w:space="0" w:color="365F91"/>
            </w:tcBorders>
            <w:shd w:val="clear" w:color="auto" w:fill="365F91"/>
            <w:vAlign w:val="bottom"/>
          </w:tcPr>
          <w:p w14:paraId="6C16ACD1" w14:textId="77777777" w:rsidR="00A10636" w:rsidRPr="00D9348B" w:rsidRDefault="00A10636" w:rsidP="00DB330E">
            <w:pPr>
              <w:pStyle w:val="TableTextBold"/>
              <w:keepNext/>
              <w:rPr>
                <w:rFonts w:cs="Calibri"/>
                <w:noProof w:val="0"/>
                <w:color w:val="FFFFFF"/>
                <w:szCs w:val="16"/>
              </w:rPr>
            </w:pPr>
            <w:r w:rsidRPr="00D9348B">
              <w:rPr>
                <w:rFonts w:cs="Calibri"/>
                <w:noProof w:val="0"/>
                <w:color w:val="FFFFFF"/>
                <w:szCs w:val="16"/>
              </w:rPr>
              <w:t xml:space="preserve">Steady state carbon stock </w:t>
            </w:r>
            <w:r w:rsidRPr="00D9348B">
              <w:rPr>
                <w:rFonts w:cs="Calibri"/>
                <w:noProof w:val="0"/>
                <w:color w:val="FFFFFF"/>
                <w:szCs w:val="16"/>
              </w:rPr>
              <w:br/>
              <w:t>(t C ha</w:t>
            </w:r>
            <w:r w:rsidRPr="00D9348B">
              <w:rPr>
                <w:rFonts w:cs="Calibri"/>
                <w:noProof w:val="0"/>
                <w:color w:val="FFFFFF"/>
                <w:szCs w:val="16"/>
                <w:vertAlign w:val="superscript"/>
              </w:rPr>
              <w:t>–1</w:t>
            </w:r>
            <w:r w:rsidRPr="00D9348B">
              <w:rPr>
                <w:rFonts w:cs="Calibri"/>
                <w:noProof w:val="0"/>
                <w:color w:val="FFFFFF"/>
                <w:szCs w:val="16"/>
              </w:rPr>
              <w:t>)</w:t>
            </w:r>
          </w:p>
        </w:tc>
        <w:tc>
          <w:tcPr>
            <w:tcW w:w="1276" w:type="dxa"/>
            <w:tcBorders>
              <w:top w:val="single" w:sz="4" w:space="0" w:color="365F91"/>
              <w:bottom w:val="single" w:sz="4" w:space="0" w:color="365F91"/>
            </w:tcBorders>
            <w:shd w:val="clear" w:color="auto" w:fill="365F91"/>
            <w:vAlign w:val="bottom"/>
          </w:tcPr>
          <w:p w14:paraId="3CF0B28E" w14:textId="77777777" w:rsidR="00A10636" w:rsidRPr="00D9348B" w:rsidRDefault="00A10636" w:rsidP="00DB330E">
            <w:pPr>
              <w:pStyle w:val="TableTextBold"/>
              <w:keepNext/>
              <w:rPr>
                <w:rFonts w:cs="Calibri"/>
                <w:noProof w:val="0"/>
                <w:color w:val="FFFFFF"/>
                <w:szCs w:val="16"/>
              </w:rPr>
            </w:pPr>
            <w:r w:rsidRPr="00D9348B">
              <w:rPr>
                <w:rFonts w:cs="Calibri"/>
                <w:noProof w:val="0"/>
                <w:color w:val="FFFFFF"/>
                <w:szCs w:val="16"/>
              </w:rPr>
              <w:t xml:space="preserve">Annual carbon stock change </w:t>
            </w:r>
            <w:r w:rsidRPr="00D9348B">
              <w:rPr>
                <w:rFonts w:cs="Calibri"/>
                <w:noProof w:val="0"/>
                <w:color w:val="FFFFFF"/>
                <w:szCs w:val="16"/>
              </w:rPr>
              <w:br/>
              <w:t>(t C ha</w:t>
            </w:r>
            <w:r w:rsidRPr="00D9348B">
              <w:rPr>
                <w:rFonts w:cs="Calibri"/>
                <w:noProof w:val="0"/>
                <w:color w:val="FFFFFF"/>
                <w:szCs w:val="16"/>
                <w:vertAlign w:val="superscript"/>
              </w:rPr>
              <w:t>–1</w:t>
            </w:r>
            <w:r w:rsidRPr="00D9348B">
              <w:rPr>
                <w:rFonts w:cs="Calibri"/>
                <w:noProof w:val="0"/>
                <w:color w:val="FFFFFF"/>
                <w:szCs w:val="16"/>
              </w:rPr>
              <w:t>)</w:t>
            </w:r>
          </w:p>
        </w:tc>
        <w:tc>
          <w:tcPr>
            <w:tcW w:w="1142" w:type="dxa"/>
            <w:tcBorders>
              <w:top w:val="single" w:sz="4" w:space="0" w:color="365F91"/>
              <w:bottom w:val="single" w:sz="4" w:space="0" w:color="365F91"/>
            </w:tcBorders>
            <w:shd w:val="clear" w:color="auto" w:fill="365F91"/>
            <w:vAlign w:val="bottom"/>
          </w:tcPr>
          <w:p w14:paraId="78FEC953" w14:textId="77777777" w:rsidR="00A10636" w:rsidRPr="00D9348B" w:rsidRDefault="00A10636" w:rsidP="00DB330E">
            <w:pPr>
              <w:pStyle w:val="TableTextBold"/>
              <w:keepNext/>
              <w:rPr>
                <w:rFonts w:cs="Calibri"/>
                <w:noProof w:val="0"/>
                <w:color w:val="FFFFFF"/>
                <w:szCs w:val="16"/>
              </w:rPr>
            </w:pPr>
            <w:r w:rsidRPr="00D9348B">
              <w:rPr>
                <w:rFonts w:cs="Calibri"/>
                <w:noProof w:val="0"/>
                <w:color w:val="FFFFFF"/>
                <w:szCs w:val="16"/>
              </w:rPr>
              <w:t>Years to reach steady state</w:t>
            </w:r>
          </w:p>
        </w:tc>
        <w:tc>
          <w:tcPr>
            <w:tcW w:w="2141" w:type="dxa"/>
            <w:tcBorders>
              <w:top w:val="single" w:sz="4" w:space="0" w:color="365F91"/>
              <w:bottom w:val="single" w:sz="4" w:space="0" w:color="365F91"/>
            </w:tcBorders>
            <w:shd w:val="clear" w:color="auto" w:fill="365F91"/>
            <w:vAlign w:val="bottom"/>
          </w:tcPr>
          <w:p w14:paraId="617E69E4" w14:textId="77777777" w:rsidR="00A10636" w:rsidRPr="00D9348B" w:rsidRDefault="00A10636" w:rsidP="00DB330E">
            <w:pPr>
              <w:pStyle w:val="TableTextBold"/>
              <w:keepNext/>
              <w:rPr>
                <w:rFonts w:cs="Calibri"/>
                <w:noProof w:val="0"/>
                <w:color w:val="FFFFFF"/>
                <w:szCs w:val="16"/>
              </w:rPr>
            </w:pPr>
            <w:r w:rsidRPr="00D9348B">
              <w:rPr>
                <w:rFonts w:cs="Calibri"/>
                <w:noProof w:val="0"/>
                <w:color w:val="FFFFFF"/>
                <w:szCs w:val="16"/>
              </w:rPr>
              <w:t>Source</w:t>
            </w:r>
          </w:p>
        </w:tc>
      </w:tr>
      <w:tr w:rsidR="00A10636" w:rsidRPr="00D9348B" w14:paraId="49D45D82" w14:textId="77777777" w:rsidTr="001C5A35">
        <w:tc>
          <w:tcPr>
            <w:tcW w:w="949" w:type="dxa"/>
            <w:tcBorders>
              <w:top w:val="single" w:sz="4" w:space="0" w:color="365F91"/>
            </w:tcBorders>
          </w:tcPr>
          <w:p w14:paraId="2C9856CB" w14:textId="77777777" w:rsidR="00A10636" w:rsidRPr="00D9348B" w:rsidRDefault="00A10636" w:rsidP="00DB330E">
            <w:pPr>
              <w:pStyle w:val="TableTextBold"/>
              <w:keepNext/>
              <w:rPr>
                <w:rFonts w:cs="Calibri"/>
                <w:noProof w:val="0"/>
                <w:szCs w:val="16"/>
              </w:rPr>
            </w:pPr>
            <w:r w:rsidRPr="00D9348B">
              <w:rPr>
                <w:rFonts w:cs="Calibri"/>
                <w:noProof w:val="0"/>
                <w:szCs w:val="16"/>
              </w:rPr>
              <w:t>Annual</w:t>
            </w:r>
          </w:p>
        </w:tc>
        <w:tc>
          <w:tcPr>
            <w:tcW w:w="1722" w:type="dxa"/>
            <w:tcBorders>
              <w:top w:val="single" w:sz="4" w:space="0" w:color="365F91"/>
              <w:bottom w:val="single" w:sz="4" w:space="0" w:color="365F91"/>
            </w:tcBorders>
          </w:tcPr>
          <w:p w14:paraId="6B468322" w14:textId="77777777" w:rsidR="00A10636" w:rsidRPr="00D9348B" w:rsidRDefault="00A10636" w:rsidP="00DB330E">
            <w:pPr>
              <w:pStyle w:val="TableText"/>
              <w:keepNext/>
              <w:rPr>
                <w:rFonts w:cs="Calibri"/>
                <w:szCs w:val="16"/>
              </w:rPr>
            </w:pPr>
            <w:r w:rsidRPr="00D9348B">
              <w:rPr>
                <w:rFonts w:cs="Calibri"/>
                <w:szCs w:val="16"/>
              </w:rPr>
              <w:t>Biomass</w:t>
            </w:r>
          </w:p>
        </w:tc>
        <w:tc>
          <w:tcPr>
            <w:tcW w:w="1275" w:type="dxa"/>
            <w:tcBorders>
              <w:top w:val="single" w:sz="4" w:space="0" w:color="365F91"/>
              <w:bottom w:val="single" w:sz="4" w:space="0" w:color="365F91"/>
            </w:tcBorders>
          </w:tcPr>
          <w:p w14:paraId="0B21A3F2" w14:textId="77777777" w:rsidR="00A10636" w:rsidRPr="00D9348B" w:rsidRDefault="00A10636" w:rsidP="00DB330E">
            <w:pPr>
              <w:pStyle w:val="TableText"/>
              <w:keepNext/>
              <w:rPr>
                <w:rFonts w:cs="Calibri"/>
                <w:szCs w:val="16"/>
              </w:rPr>
            </w:pPr>
          </w:p>
        </w:tc>
        <w:tc>
          <w:tcPr>
            <w:tcW w:w="1276" w:type="dxa"/>
            <w:tcBorders>
              <w:top w:val="single" w:sz="4" w:space="0" w:color="365F91"/>
              <w:bottom w:val="single" w:sz="4" w:space="0" w:color="365F91"/>
            </w:tcBorders>
          </w:tcPr>
          <w:p w14:paraId="249B204E" w14:textId="77777777" w:rsidR="00A10636" w:rsidRPr="00D9348B" w:rsidRDefault="00A10636" w:rsidP="00DB330E">
            <w:pPr>
              <w:pStyle w:val="TableText"/>
              <w:keepNext/>
              <w:rPr>
                <w:rFonts w:cs="Calibri"/>
                <w:szCs w:val="16"/>
              </w:rPr>
            </w:pPr>
          </w:p>
        </w:tc>
        <w:tc>
          <w:tcPr>
            <w:tcW w:w="1142" w:type="dxa"/>
            <w:tcBorders>
              <w:top w:val="single" w:sz="4" w:space="0" w:color="365F91"/>
              <w:bottom w:val="single" w:sz="4" w:space="0" w:color="365F91"/>
            </w:tcBorders>
          </w:tcPr>
          <w:p w14:paraId="6E331C50" w14:textId="77777777" w:rsidR="00A10636" w:rsidRPr="00D9348B" w:rsidRDefault="00A10636" w:rsidP="00DB330E">
            <w:pPr>
              <w:pStyle w:val="TableText"/>
              <w:keepNext/>
              <w:rPr>
                <w:rFonts w:cs="Calibri"/>
                <w:szCs w:val="16"/>
              </w:rPr>
            </w:pPr>
          </w:p>
        </w:tc>
        <w:tc>
          <w:tcPr>
            <w:tcW w:w="2141" w:type="dxa"/>
            <w:tcBorders>
              <w:top w:val="single" w:sz="4" w:space="0" w:color="365F91"/>
              <w:bottom w:val="single" w:sz="4" w:space="0" w:color="365F91"/>
            </w:tcBorders>
          </w:tcPr>
          <w:p w14:paraId="39D209F2" w14:textId="77777777" w:rsidR="00A10636" w:rsidRPr="00D9348B" w:rsidRDefault="00A10636" w:rsidP="00DB330E">
            <w:pPr>
              <w:pStyle w:val="TableText"/>
              <w:keepNext/>
              <w:rPr>
                <w:rFonts w:cs="Calibri"/>
                <w:szCs w:val="16"/>
              </w:rPr>
            </w:pPr>
          </w:p>
        </w:tc>
      </w:tr>
      <w:tr w:rsidR="00A10636" w:rsidRPr="00D9348B" w14:paraId="3CAD64FD" w14:textId="77777777" w:rsidTr="001C5A35">
        <w:tc>
          <w:tcPr>
            <w:tcW w:w="949" w:type="dxa"/>
          </w:tcPr>
          <w:p w14:paraId="731420D6" w14:textId="77777777" w:rsidR="00A10636" w:rsidRPr="00D9348B" w:rsidRDefault="00A10636" w:rsidP="00DB330E">
            <w:pPr>
              <w:pStyle w:val="TableText"/>
              <w:rPr>
                <w:rFonts w:cs="Calibri"/>
                <w:szCs w:val="16"/>
              </w:rPr>
            </w:pPr>
            <w:r w:rsidRPr="00D9348B">
              <w:rPr>
                <w:rFonts w:cs="Calibri"/>
                <w:szCs w:val="16"/>
              </w:rPr>
              <w:t> </w:t>
            </w:r>
          </w:p>
        </w:tc>
        <w:tc>
          <w:tcPr>
            <w:tcW w:w="1722" w:type="dxa"/>
            <w:tcBorders>
              <w:top w:val="single" w:sz="4" w:space="0" w:color="365F91"/>
              <w:bottom w:val="single" w:sz="4" w:space="0" w:color="365F91"/>
            </w:tcBorders>
          </w:tcPr>
          <w:p w14:paraId="663C9F10" w14:textId="77777777" w:rsidR="00A10636" w:rsidRPr="00D9348B" w:rsidRDefault="00A10636" w:rsidP="00DB330E">
            <w:pPr>
              <w:pStyle w:val="TableText"/>
              <w:keepNext/>
              <w:rPr>
                <w:rFonts w:cs="Calibri"/>
                <w:szCs w:val="16"/>
              </w:rPr>
            </w:pPr>
            <w:r w:rsidRPr="00D9348B">
              <w:rPr>
                <w:rFonts w:cs="Calibri"/>
                <w:szCs w:val="16"/>
              </w:rPr>
              <w:t>Living biomass</w:t>
            </w:r>
          </w:p>
        </w:tc>
        <w:tc>
          <w:tcPr>
            <w:tcW w:w="1275" w:type="dxa"/>
            <w:tcBorders>
              <w:top w:val="single" w:sz="4" w:space="0" w:color="365F91"/>
              <w:bottom w:val="single" w:sz="4" w:space="0" w:color="365F91"/>
            </w:tcBorders>
          </w:tcPr>
          <w:p w14:paraId="3EAF0340" w14:textId="77777777" w:rsidR="00A10636" w:rsidRPr="00D9348B" w:rsidRDefault="00A10636" w:rsidP="00DB330E">
            <w:pPr>
              <w:pStyle w:val="TableText"/>
              <w:keepNext/>
              <w:rPr>
                <w:rFonts w:cs="Calibri"/>
                <w:szCs w:val="16"/>
              </w:rPr>
            </w:pPr>
            <w:r w:rsidRPr="00D9348B">
              <w:rPr>
                <w:rFonts w:cs="Calibri"/>
                <w:szCs w:val="16"/>
              </w:rPr>
              <w:t>5.0</w:t>
            </w:r>
          </w:p>
        </w:tc>
        <w:tc>
          <w:tcPr>
            <w:tcW w:w="1276" w:type="dxa"/>
            <w:tcBorders>
              <w:top w:val="single" w:sz="4" w:space="0" w:color="365F91"/>
              <w:bottom w:val="single" w:sz="4" w:space="0" w:color="365F91"/>
            </w:tcBorders>
          </w:tcPr>
          <w:p w14:paraId="5B1C914E" w14:textId="77777777" w:rsidR="00A10636" w:rsidRPr="00D9348B" w:rsidRDefault="00A10636" w:rsidP="00DB330E">
            <w:pPr>
              <w:pStyle w:val="TableText"/>
              <w:keepNext/>
              <w:rPr>
                <w:rFonts w:cs="Calibri"/>
                <w:szCs w:val="16"/>
              </w:rPr>
            </w:pPr>
            <w:r w:rsidRPr="00D9348B">
              <w:rPr>
                <w:rFonts w:cs="Calibri"/>
                <w:szCs w:val="16"/>
              </w:rPr>
              <w:t>NA</w:t>
            </w:r>
          </w:p>
        </w:tc>
        <w:tc>
          <w:tcPr>
            <w:tcW w:w="1142" w:type="dxa"/>
            <w:tcBorders>
              <w:top w:val="single" w:sz="4" w:space="0" w:color="365F91"/>
              <w:bottom w:val="single" w:sz="4" w:space="0" w:color="365F91"/>
            </w:tcBorders>
          </w:tcPr>
          <w:p w14:paraId="71FF3C1E" w14:textId="77777777" w:rsidR="00A10636" w:rsidRPr="00D9348B" w:rsidRDefault="00A10636" w:rsidP="00DB330E">
            <w:pPr>
              <w:pStyle w:val="TableText"/>
              <w:keepNext/>
              <w:rPr>
                <w:rFonts w:cs="Calibri"/>
                <w:szCs w:val="16"/>
              </w:rPr>
            </w:pPr>
            <w:r w:rsidRPr="00D9348B">
              <w:rPr>
                <w:rFonts w:cs="Calibri"/>
                <w:szCs w:val="16"/>
              </w:rPr>
              <w:t>1</w:t>
            </w:r>
          </w:p>
        </w:tc>
        <w:tc>
          <w:tcPr>
            <w:tcW w:w="2141" w:type="dxa"/>
            <w:tcBorders>
              <w:top w:val="single" w:sz="4" w:space="0" w:color="365F91"/>
              <w:bottom w:val="single" w:sz="4" w:space="0" w:color="365F91"/>
            </w:tcBorders>
          </w:tcPr>
          <w:p w14:paraId="67B2427B" w14:textId="77777777" w:rsidR="00A10636" w:rsidRPr="00D9348B" w:rsidRDefault="00A10636" w:rsidP="00DB330E">
            <w:pPr>
              <w:pStyle w:val="TableText"/>
              <w:keepNext/>
              <w:rPr>
                <w:rFonts w:cs="Calibri"/>
                <w:szCs w:val="16"/>
              </w:rPr>
            </w:pPr>
            <w:r w:rsidRPr="00D9348B">
              <w:rPr>
                <w:rFonts w:cs="Calibri"/>
                <w:szCs w:val="16"/>
              </w:rPr>
              <w:t>IPCC default (table 5.9, IPCC, 2006a)</w:t>
            </w:r>
          </w:p>
        </w:tc>
      </w:tr>
      <w:tr w:rsidR="00A10636" w:rsidRPr="00D9348B" w14:paraId="5321FEC9" w14:textId="77777777" w:rsidTr="001C5A35">
        <w:tc>
          <w:tcPr>
            <w:tcW w:w="949" w:type="dxa"/>
          </w:tcPr>
          <w:p w14:paraId="630824DC" w14:textId="77777777" w:rsidR="00A10636" w:rsidRPr="00D9348B" w:rsidRDefault="00A10636" w:rsidP="00DB330E">
            <w:pPr>
              <w:pStyle w:val="TableText"/>
              <w:rPr>
                <w:rFonts w:cs="Calibri"/>
                <w:szCs w:val="16"/>
              </w:rPr>
            </w:pPr>
            <w:r w:rsidRPr="00D9348B">
              <w:rPr>
                <w:rFonts w:cs="Calibri"/>
                <w:szCs w:val="16"/>
              </w:rPr>
              <w:t> </w:t>
            </w:r>
          </w:p>
        </w:tc>
        <w:tc>
          <w:tcPr>
            <w:tcW w:w="1722" w:type="dxa"/>
            <w:tcBorders>
              <w:top w:val="single" w:sz="4" w:space="0" w:color="365F91"/>
              <w:bottom w:val="single" w:sz="4" w:space="0" w:color="365F91"/>
            </w:tcBorders>
          </w:tcPr>
          <w:p w14:paraId="4A7AFBCA" w14:textId="77777777" w:rsidR="00A10636" w:rsidRPr="00D9348B" w:rsidRDefault="00A10636" w:rsidP="00DB330E">
            <w:pPr>
              <w:pStyle w:val="TableText"/>
              <w:rPr>
                <w:rFonts w:cs="Calibri"/>
                <w:szCs w:val="16"/>
              </w:rPr>
            </w:pPr>
            <w:r w:rsidRPr="00D9348B">
              <w:rPr>
                <w:rFonts w:cs="Calibri"/>
                <w:szCs w:val="16"/>
              </w:rPr>
              <w:t>Dead organic matter</w:t>
            </w:r>
          </w:p>
        </w:tc>
        <w:tc>
          <w:tcPr>
            <w:tcW w:w="1275" w:type="dxa"/>
            <w:tcBorders>
              <w:top w:val="single" w:sz="4" w:space="0" w:color="365F91"/>
              <w:bottom w:val="single" w:sz="4" w:space="0" w:color="365F91"/>
            </w:tcBorders>
          </w:tcPr>
          <w:p w14:paraId="6B1A557D" w14:textId="77777777" w:rsidR="00A10636" w:rsidRPr="00D9348B" w:rsidRDefault="00A10636" w:rsidP="00DB330E">
            <w:pPr>
              <w:pStyle w:val="TableText"/>
              <w:rPr>
                <w:rFonts w:cs="Calibri"/>
                <w:szCs w:val="16"/>
              </w:rPr>
            </w:pPr>
            <w:r w:rsidRPr="00D9348B">
              <w:rPr>
                <w:rFonts w:cs="Calibri"/>
                <w:szCs w:val="16"/>
              </w:rPr>
              <w:t>NE</w:t>
            </w:r>
          </w:p>
        </w:tc>
        <w:tc>
          <w:tcPr>
            <w:tcW w:w="1276" w:type="dxa"/>
            <w:tcBorders>
              <w:top w:val="single" w:sz="4" w:space="0" w:color="365F91"/>
              <w:bottom w:val="single" w:sz="4" w:space="0" w:color="365F91"/>
            </w:tcBorders>
          </w:tcPr>
          <w:p w14:paraId="6C4E85D5" w14:textId="77777777" w:rsidR="00A10636" w:rsidRPr="00D9348B" w:rsidRDefault="00A10636" w:rsidP="00DB330E">
            <w:pPr>
              <w:pStyle w:val="TableText"/>
              <w:rPr>
                <w:rFonts w:cs="Calibri"/>
                <w:szCs w:val="16"/>
              </w:rPr>
            </w:pPr>
            <w:r w:rsidRPr="00D9348B">
              <w:rPr>
                <w:rFonts w:cs="Calibri"/>
                <w:szCs w:val="16"/>
              </w:rPr>
              <w:t>NE</w:t>
            </w:r>
          </w:p>
        </w:tc>
        <w:tc>
          <w:tcPr>
            <w:tcW w:w="1142" w:type="dxa"/>
            <w:tcBorders>
              <w:top w:val="single" w:sz="4" w:space="0" w:color="365F91"/>
              <w:bottom w:val="single" w:sz="4" w:space="0" w:color="365F91"/>
            </w:tcBorders>
          </w:tcPr>
          <w:p w14:paraId="1B712C19" w14:textId="77777777" w:rsidR="00A10636" w:rsidRPr="00D9348B" w:rsidRDefault="00A10636" w:rsidP="00DB330E">
            <w:pPr>
              <w:pStyle w:val="TableText"/>
              <w:rPr>
                <w:rFonts w:cs="Calibri"/>
                <w:szCs w:val="16"/>
              </w:rPr>
            </w:pPr>
            <w:r w:rsidRPr="00D9348B">
              <w:rPr>
                <w:rFonts w:cs="Calibri"/>
                <w:szCs w:val="16"/>
              </w:rPr>
              <w:t>NA</w:t>
            </w:r>
          </w:p>
        </w:tc>
        <w:tc>
          <w:tcPr>
            <w:tcW w:w="2141" w:type="dxa"/>
            <w:tcBorders>
              <w:top w:val="single" w:sz="4" w:space="0" w:color="365F91"/>
              <w:bottom w:val="single" w:sz="4" w:space="0" w:color="365F91"/>
            </w:tcBorders>
          </w:tcPr>
          <w:p w14:paraId="5FB58E53" w14:textId="77777777" w:rsidR="00A10636" w:rsidRPr="00D9348B" w:rsidRDefault="00A10636" w:rsidP="00DB330E">
            <w:pPr>
              <w:pStyle w:val="TableText"/>
              <w:rPr>
                <w:rFonts w:cs="Calibri"/>
                <w:szCs w:val="16"/>
              </w:rPr>
            </w:pPr>
            <w:r w:rsidRPr="00D9348B">
              <w:rPr>
                <w:rFonts w:cs="Calibri"/>
                <w:szCs w:val="16"/>
              </w:rPr>
              <w:t>No IPCC guidelines</w:t>
            </w:r>
          </w:p>
        </w:tc>
      </w:tr>
      <w:tr w:rsidR="00A10636" w:rsidRPr="00D9348B" w14:paraId="4F018EA3" w14:textId="77777777" w:rsidTr="001C5A35">
        <w:tc>
          <w:tcPr>
            <w:tcW w:w="949" w:type="dxa"/>
          </w:tcPr>
          <w:p w14:paraId="5A384FCB" w14:textId="77777777" w:rsidR="00A10636" w:rsidRPr="00D9348B" w:rsidRDefault="00A10636" w:rsidP="00DB330E">
            <w:pPr>
              <w:pStyle w:val="TableText"/>
              <w:rPr>
                <w:rFonts w:cs="Calibri"/>
                <w:szCs w:val="16"/>
              </w:rPr>
            </w:pPr>
            <w:r w:rsidRPr="00D9348B">
              <w:rPr>
                <w:rFonts w:cs="Calibri"/>
                <w:szCs w:val="16"/>
              </w:rPr>
              <w:t> </w:t>
            </w:r>
          </w:p>
        </w:tc>
        <w:tc>
          <w:tcPr>
            <w:tcW w:w="1722" w:type="dxa"/>
            <w:tcBorders>
              <w:top w:val="single" w:sz="4" w:space="0" w:color="365F91"/>
              <w:bottom w:val="single" w:sz="4" w:space="0" w:color="365F91"/>
            </w:tcBorders>
          </w:tcPr>
          <w:p w14:paraId="3D59F25E" w14:textId="77777777" w:rsidR="00A10636" w:rsidRPr="00D9348B" w:rsidRDefault="00A10636" w:rsidP="00DB330E">
            <w:pPr>
              <w:pStyle w:val="TableText"/>
              <w:rPr>
                <w:rFonts w:cs="Calibri"/>
                <w:szCs w:val="16"/>
              </w:rPr>
            </w:pPr>
            <w:r w:rsidRPr="00D9348B">
              <w:rPr>
                <w:rFonts w:cs="Calibri"/>
                <w:szCs w:val="16"/>
              </w:rPr>
              <w:t>Soils</w:t>
            </w:r>
          </w:p>
        </w:tc>
        <w:tc>
          <w:tcPr>
            <w:tcW w:w="1275" w:type="dxa"/>
            <w:tcBorders>
              <w:top w:val="single" w:sz="4" w:space="0" w:color="365F91"/>
              <w:bottom w:val="single" w:sz="4" w:space="0" w:color="365F91"/>
            </w:tcBorders>
          </w:tcPr>
          <w:p w14:paraId="3EB3CEE6" w14:textId="77777777" w:rsidR="00A10636" w:rsidRPr="00D9348B" w:rsidRDefault="00A10636" w:rsidP="00DB330E">
            <w:pPr>
              <w:pStyle w:val="TableText"/>
              <w:rPr>
                <w:rFonts w:cs="Calibri"/>
                <w:szCs w:val="16"/>
              </w:rPr>
            </w:pPr>
          </w:p>
        </w:tc>
        <w:tc>
          <w:tcPr>
            <w:tcW w:w="1276" w:type="dxa"/>
            <w:tcBorders>
              <w:top w:val="single" w:sz="4" w:space="0" w:color="365F91"/>
              <w:bottom w:val="single" w:sz="4" w:space="0" w:color="365F91"/>
            </w:tcBorders>
          </w:tcPr>
          <w:p w14:paraId="131523BA" w14:textId="77777777" w:rsidR="00A10636" w:rsidRPr="00D9348B" w:rsidRDefault="00A10636" w:rsidP="00DB330E">
            <w:pPr>
              <w:pStyle w:val="TableText"/>
              <w:rPr>
                <w:rFonts w:cs="Calibri"/>
                <w:szCs w:val="16"/>
              </w:rPr>
            </w:pPr>
          </w:p>
        </w:tc>
        <w:tc>
          <w:tcPr>
            <w:tcW w:w="1142" w:type="dxa"/>
            <w:tcBorders>
              <w:top w:val="single" w:sz="4" w:space="0" w:color="365F91"/>
              <w:bottom w:val="single" w:sz="4" w:space="0" w:color="365F91"/>
            </w:tcBorders>
          </w:tcPr>
          <w:p w14:paraId="2D0845B4" w14:textId="77777777" w:rsidR="00A10636" w:rsidRPr="00D9348B" w:rsidRDefault="00A10636" w:rsidP="00DB330E">
            <w:pPr>
              <w:pStyle w:val="TableText"/>
              <w:rPr>
                <w:rFonts w:cs="Calibri"/>
                <w:szCs w:val="16"/>
              </w:rPr>
            </w:pPr>
          </w:p>
        </w:tc>
        <w:tc>
          <w:tcPr>
            <w:tcW w:w="2141" w:type="dxa"/>
            <w:tcBorders>
              <w:top w:val="single" w:sz="4" w:space="0" w:color="365F91"/>
              <w:bottom w:val="single" w:sz="4" w:space="0" w:color="365F91"/>
            </w:tcBorders>
          </w:tcPr>
          <w:p w14:paraId="3166C789" w14:textId="77777777" w:rsidR="00A10636" w:rsidRPr="00D9348B" w:rsidRDefault="00A10636" w:rsidP="00DB330E">
            <w:pPr>
              <w:pStyle w:val="TableText"/>
              <w:rPr>
                <w:rFonts w:cs="Calibri"/>
                <w:szCs w:val="16"/>
              </w:rPr>
            </w:pPr>
          </w:p>
        </w:tc>
      </w:tr>
      <w:tr w:rsidR="00A10636" w:rsidRPr="00D9348B" w14:paraId="5ADF08B4" w14:textId="77777777" w:rsidTr="001C5A35">
        <w:tc>
          <w:tcPr>
            <w:tcW w:w="949" w:type="dxa"/>
          </w:tcPr>
          <w:p w14:paraId="09C9E214" w14:textId="77777777" w:rsidR="00A10636" w:rsidRPr="00D9348B" w:rsidRDefault="00A10636" w:rsidP="00DB330E">
            <w:pPr>
              <w:pStyle w:val="TableText"/>
              <w:rPr>
                <w:rFonts w:cs="Calibri"/>
                <w:szCs w:val="16"/>
              </w:rPr>
            </w:pPr>
          </w:p>
        </w:tc>
        <w:tc>
          <w:tcPr>
            <w:tcW w:w="1722" w:type="dxa"/>
            <w:tcBorders>
              <w:top w:val="single" w:sz="4" w:space="0" w:color="365F91"/>
              <w:bottom w:val="single" w:sz="4" w:space="0" w:color="365F91"/>
            </w:tcBorders>
          </w:tcPr>
          <w:p w14:paraId="20F2CB18" w14:textId="77777777" w:rsidR="00A10636" w:rsidRPr="00D9348B" w:rsidRDefault="00A10636" w:rsidP="00DB330E">
            <w:pPr>
              <w:pStyle w:val="TableText"/>
              <w:rPr>
                <w:rFonts w:cs="Calibri"/>
                <w:szCs w:val="16"/>
              </w:rPr>
            </w:pPr>
            <w:r w:rsidRPr="00D9348B">
              <w:rPr>
                <w:rFonts w:cs="Calibri"/>
                <w:szCs w:val="16"/>
              </w:rPr>
              <w:t xml:space="preserve">Mineral </w:t>
            </w:r>
          </w:p>
        </w:tc>
        <w:tc>
          <w:tcPr>
            <w:tcW w:w="1275" w:type="dxa"/>
            <w:tcBorders>
              <w:top w:val="single" w:sz="4" w:space="0" w:color="365F91"/>
              <w:bottom w:val="single" w:sz="4" w:space="0" w:color="365F91"/>
            </w:tcBorders>
          </w:tcPr>
          <w:p w14:paraId="1D66298B" w14:textId="77777777" w:rsidR="00A10636" w:rsidRPr="00D9348B" w:rsidRDefault="00A10636" w:rsidP="00DB330E">
            <w:pPr>
              <w:pStyle w:val="TableText"/>
              <w:rPr>
                <w:rFonts w:cs="Calibri"/>
                <w:szCs w:val="16"/>
              </w:rPr>
            </w:pPr>
            <w:r w:rsidRPr="00D9348B">
              <w:rPr>
                <w:rFonts w:cs="Calibri"/>
                <w:szCs w:val="16"/>
              </w:rPr>
              <w:t>89.77</w:t>
            </w:r>
          </w:p>
        </w:tc>
        <w:tc>
          <w:tcPr>
            <w:tcW w:w="1276" w:type="dxa"/>
            <w:tcBorders>
              <w:top w:val="single" w:sz="4" w:space="0" w:color="365F91"/>
              <w:bottom w:val="single" w:sz="4" w:space="0" w:color="365F91"/>
            </w:tcBorders>
          </w:tcPr>
          <w:p w14:paraId="73547A75" w14:textId="77777777" w:rsidR="00A10636" w:rsidRPr="00D9348B" w:rsidRDefault="00A10636" w:rsidP="00DB330E">
            <w:pPr>
              <w:pStyle w:val="TableText"/>
              <w:rPr>
                <w:rFonts w:cs="Calibri"/>
                <w:szCs w:val="16"/>
              </w:rPr>
            </w:pPr>
            <w:r w:rsidRPr="00D9348B">
              <w:rPr>
                <w:rFonts w:cs="Calibri"/>
                <w:szCs w:val="16"/>
              </w:rPr>
              <w:t>*</w:t>
            </w:r>
          </w:p>
        </w:tc>
        <w:tc>
          <w:tcPr>
            <w:tcW w:w="1142" w:type="dxa"/>
            <w:tcBorders>
              <w:top w:val="single" w:sz="4" w:space="0" w:color="365F91"/>
              <w:bottom w:val="single" w:sz="4" w:space="0" w:color="365F91"/>
            </w:tcBorders>
          </w:tcPr>
          <w:p w14:paraId="0AEAC6DB" w14:textId="77777777" w:rsidR="00A10636" w:rsidRPr="00D9348B" w:rsidRDefault="00A10636" w:rsidP="00DB330E">
            <w:pPr>
              <w:pStyle w:val="TableText"/>
              <w:rPr>
                <w:rFonts w:cs="Calibri"/>
                <w:szCs w:val="16"/>
              </w:rPr>
            </w:pPr>
            <w:r w:rsidRPr="00D9348B">
              <w:rPr>
                <w:rFonts w:cs="Calibri"/>
                <w:szCs w:val="16"/>
              </w:rPr>
              <w:t>20</w:t>
            </w:r>
          </w:p>
        </w:tc>
        <w:tc>
          <w:tcPr>
            <w:tcW w:w="2141" w:type="dxa"/>
            <w:tcBorders>
              <w:top w:val="single" w:sz="4" w:space="0" w:color="365F91"/>
              <w:bottom w:val="single" w:sz="4" w:space="0" w:color="365F91"/>
            </w:tcBorders>
          </w:tcPr>
          <w:p w14:paraId="6BDB65D8" w14:textId="77777777" w:rsidR="00A10636" w:rsidRPr="00D9348B" w:rsidRDefault="00A10636" w:rsidP="00DB330E">
            <w:pPr>
              <w:pStyle w:val="TableText"/>
              <w:rPr>
                <w:rFonts w:cs="Calibri"/>
                <w:szCs w:val="16"/>
              </w:rPr>
            </w:pPr>
            <w:r w:rsidRPr="00D9348B">
              <w:rPr>
                <w:rFonts w:cs="Calibri"/>
                <w:szCs w:val="16"/>
              </w:rPr>
              <w:t>NZ-specific EF (McNeill and Barringer, unpublished)</w:t>
            </w:r>
          </w:p>
        </w:tc>
      </w:tr>
      <w:tr w:rsidR="00A10636" w:rsidRPr="00D9348B" w14:paraId="378A38FA" w14:textId="77777777" w:rsidTr="001C5A35">
        <w:tc>
          <w:tcPr>
            <w:tcW w:w="949" w:type="dxa"/>
            <w:tcBorders>
              <w:bottom w:val="single" w:sz="4" w:space="0" w:color="365F91"/>
            </w:tcBorders>
          </w:tcPr>
          <w:p w14:paraId="395DB756" w14:textId="77777777" w:rsidR="00A10636" w:rsidRPr="00D9348B" w:rsidRDefault="00A10636" w:rsidP="00DB330E">
            <w:pPr>
              <w:pStyle w:val="TableText"/>
              <w:rPr>
                <w:rFonts w:cs="Calibri"/>
                <w:szCs w:val="16"/>
              </w:rPr>
            </w:pPr>
          </w:p>
        </w:tc>
        <w:tc>
          <w:tcPr>
            <w:tcW w:w="1722" w:type="dxa"/>
            <w:tcBorders>
              <w:top w:val="single" w:sz="4" w:space="0" w:color="365F91"/>
              <w:bottom w:val="single" w:sz="4" w:space="0" w:color="365F91"/>
            </w:tcBorders>
          </w:tcPr>
          <w:p w14:paraId="5B4F1ED4" w14:textId="77777777" w:rsidR="00A10636" w:rsidRPr="00D9348B" w:rsidRDefault="00A10636" w:rsidP="00DB330E">
            <w:pPr>
              <w:pStyle w:val="TableText"/>
              <w:rPr>
                <w:rFonts w:cs="Calibri"/>
                <w:szCs w:val="16"/>
              </w:rPr>
            </w:pPr>
            <w:r w:rsidRPr="00D9348B">
              <w:rPr>
                <w:rFonts w:cs="Calibri"/>
                <w:szCs w:val="16"/>
              </w:rPr>
              <w:t xml:space="preserve">Organic </w:t>
            </w:r>
          </w:p>
        </w:tc>
        <w:tc>
          <w:tcPr>
            <w:tcW w:w="1275" w:type="dxa"/>
            <w:tcBorders>
              <w:top w:val="single" w:sz="4" w:space="0" w:color="365F91"/>
              <w:bottom w:val="single" w:sz="4" w:space="0" w:color="365F91"/>
            </w:tcBorders>
          </w:tcPr>
          <w:p w14:paraId="055E9AE3" w14:textId="77777777" w:rsidR="00A10636" w:rsidRPr="00D9348B" w:rsidRDefault="00A10636" w:rsidP="00DB330E">
            <w:pPr>
              <w:pStyle w:val="TableText"/>
              <w:rPr>
                <w:rFonts w:cs="Calibri"/>
                <w:szCs w:val="16"/>
              </w:rPr>
            </w:pPr>
            <w:r w:rsidRPr="00D9348B">
              <w:rPr>
                <w:rFonts w:cs="Calibri"/>
                <w:szCs w:val="16"/>
              </w:rPr>
              <w:t>NE</w:t>
            </w:r>
          </w:p>
        </w:tc>
        <w:tc>
          <w:tcPr>
            <w:tcW w:w="1276" w:type="dxa"/>
            <w:tcBorders>
              <w:top w:val="single" w:sz="4" w:space="0" w:color="365F91"/>
              <w:bottom w:val="single" w:sz="4" w:space="0" w:color="365F91"/>
            </w:tcBorders>
          </w:tcPr>
          <w:p w14:paraId="1968B136" w14:textId="77777777" w:rsidR="00A10636" w:rsidRPr="00D9348B" w:rsidRDefault="00A10636" w:rsidP="00DB330E">
            <w:pPr>
              <w:pStyle w:val="TableText"/>
              <w:rPr>
                <w:rFonts w:cs="Calibri"/>
                <w:szCs w:val="16"/>
              </w:rPr>
            </w:pPr>
            <w:r w:rsidRPr="00D9348B">
              <w:rPr>
                <w:rFonts w:cs="Calibri"/>
                <w:szCs w:val="16"/>
              </w:rPr>
              <w:t>–5.0 / –10.0</w:t>
            </w:r>
          </w:p>
        </w:tc>
        <w:tc>
          <w:tcPr>
            <w:tcW w:w="1142" w:type="dxa"/>
            <w:tcBorders>
              <w:top w:val="single" w:sz="4" w:space="0" w:color="365F91"/>
              <w:bottom w:val="single" w:sz="4" w:space="0" w:color="365F91"/>
            </w:tcBorders>
          </w:tcPr>
          <w:p w14:paraId="606327AD" w14:textId="77777777" w:rsidR="00A10636" w:rsidRPr="00D9348B" w:rsidRDefault="00A10636" w:rsidP="00DB330E">
            <w:pPr>
              <w:pStyle w:val="TableText"/>
              <w:rPr>
                <w:rFonts w:cs="Calibri"/>
                <w:szCs w:val="16"/>
              </w:rPr>
            </w:pPr>
          </w:p>
        </w:tc>
        <w:tc>
          <w:tcPr>
            <w:tcW w:w="2141" w:type="dxa"/>
            <w:tcBorders>
              <w:top w:val="single" w:sz="4" w:space="0" w:color="365F91"/>
              <w:bottom w:val="single" w:sz="4" w:space="0" w:color="365F91"/>
            </w:tcBorders>
          </w:tcPr>
          <w:p w14:paraId="56F6077D" w14:textId="77777777" w:rsidR="00A10636" w:rsidRPr="00D9348B" w:rsidRDefault="00A10636" w:rsidP="00DB330E">
            <w:pPr>
              <w:pStyle w:val="TableText"/>
              <w:rPr>
                <w:rFonts w:cs="Calibri"/>
                <w:szCs w:val="16"/>
              </w:rPr>
            </w:pPr>
            <w:r w:rsidRPr="00D9348B">
              <w:rPr>
                <w:rFonts w:cs="Calibri"/>
                <w:szCs w:val="16"/>
              </w:rPr>
              <w:t>IPCC Tier 1 default, (table 5.6, IPCC, 2006a)</w:t>
            </w:r>
          </w:p>
        </w:tc>
      </w:tr>
      <w:tr w:rsidR="00A10636" w:rsidRPr="00D9348B" w14:paraId="2A6D7B48" w14:textId="77777777" w:rsidTr="001C5A35">
        <w:tc>
          <w:tcPr>
            <w:tcW w:w="949" w:type="dxa"/>
            <w:tcBorders>
              <w:top w:val="single" w:sz="4" w:space="0" w:color="365F91"/>
            </w:tcBorders>
          </w:tcPr>
          <w:p w14:paraId="4CB89E3E" w14:textId="77777777" w:rsidR="00A10636" w:rsidRPr="00D9348B" w:rsidRDefault="00A10636" w:rsidP="00DB330E">
            <w:pPr>
              <w:pStyle w:val="TableTextBold"/>
              <w:keepNext/>
              <w:rPr>
                <w:rFonts w:cs="Calibri"/>
                <w:noProof w:val="0"/>
                <w:szCs w:val="16"/>
              </w:rPr>
            </w:pPr>
            <w:r w:rsidRPr="00D9348B">
              <w:rPr>
                <w:rFonts w:cs="Calibri"/>
                <w:noProof w:val="0"/>
                <w:szCs w:val="16"/>
              </w:rPr>
              <w:t>Perennial</w:t>
            </w:r>
          </w:p>
        </w:tc>
        <w:tc>
          <w:tcPr>
            <w:tcW w:w="1722" w:type="dxa"/>
            <w:tcBorders>
              <w:top w:val="single" w:sz="4" w:space="0" w:color="365F91"/>
              <w:bottom w:val="single" w:sz="4" w:space="0" w:color="365F91"/>
            </w:tcBorders>
          </w:tcPr>
          <w:p w14:paraId="619B9F0A" w14:textId="77777777" w:rsidR="00A10636" w:rsidRPr="00D9348B" w:rsidRDefault="00A10636" w:rsidP="00DB330E">
            <w:pPr>
              <w:pStyle w:val="TableText"/>
              <w:keepNext/>
              <w:rPr>
                <w:rFonts w:cs="Calibri"/>
                <w:szCs w:val="16"/>
              </w:rPr>
            </w:pPr>
            <w:r w:rsidRPr="00D9348B">
              <w:rPr>
                <w:rFonts w:cs="Calibri"/>
                <w:szCs w:val="16"/>
              </w:rPr>
              <w:t>Biomass</w:t>
            </w:r>
          </w:p>
        </w:tc>
        <w:tc>
          <w:tcPr>
            <w:tcW w:w="1275" w:type="dxa"/>
            <w:tcBorders>
              <w:top w:val="single" w:sz="4" w:space="0" w:color="365F91"/>
              <w:bottom w:val="single" w:sz="4" w:space="0" w:color="365F91"/>
            </w:tcBorders>
          </w:tcPr>
          <w:p w14:paraId="2A313FC4" w14:textId="77777777" w:rsidR="00A10636" w:rsidRPr="00D9348B" w:rsidRDefault="00A10636" w:rsidP="00DB330E">
            <w:pPr>
              <w:pStyle w:val="TableText"/>
              <w:keepNext/>
              <w:rPr>
                <w:rFonts w:cs="Calibri"/>
                <w:szCs w:val="16"/>
              </w:rPr>
            </w:pPr>
          </w:p>
        </w:tc>
        <w:tc>
          <w:tcPr>
            <w:tcW w:w="1276" w:type="dxa"/>
            <w:tcBorders>
              <w:top w:val="single" w:sz="4" w:space="0" w:color="365F91"/>
              <w:bottom w:val="single" w:sz="4" w:space="0" w:color="365F91"/>
            </w:tcBorders>
          </w:tcPr>
          <w:p w14:paraId="3E6802B8" w14:textId="77777777" w:rsidR="00A10636" w:rsidRPr="00D9348B" w:rsidRDefault="00A10636" w:rsidP="00DB330E">
            <w:pPr>
              <w:pStyle w:val="TableText"/>
              <w:keepNext/>
              <w:rPr>
                <w:rFonts w:cs="Calibri"/>
                <w:szCs w:val="16"/>
              </w:rPr>
            </w:pPr>
          </w:p>
        </w:tc>
        <w:tc>
          <w:tcPr>
            <w:tcW w:w="1142" w:type="dxa"/>
            <w:tcBorders>
              <w:top w:val="single" w:sz="4" w:space="0" w:color="365F91"/>
              <w:bottom w:val="single" w:sz="4" w:space="0" w:color="365F91"/>
            </w:tcBorders>
          </w:tcPr>
          <w:p w14:paraId="373D0F62" w14:textId="77777777" w:rsidR="00A10636" w:rsidRPr="00D9348B" w:rsidRDefault="00A10636" w:rsidP="00DB330E">
            <w:pPr>
              <w:pStyle w:val="TableText"/>
              <w:keepNext/>
              <w:rPr>
                <w:rFonts w:cs="Calibri"/>
                <w:szCs w:val="16"/>
              </w:rPr>
            </w:pPr>
          </w:p>
        </w:tc>
        <w:tc>
          <w:tcPr>
            <w:tcW w:w="2141" w:type="dxa"/>
            <w:tcBorders>
              <w:top w:val="single" w:sz="4" w:space="0" w:color="365F91"/>
              <w:bottom w:val="single" w:sz="4" w:space="0" w:color="365F91"/>
            </w:tcBorders>
          </w:tcPr>
          <w:p w14:paraId="3C83E178" w14:textId="77777777" w:rsidR="00A10636" w:rsidRPr="00D9348B" w:rsidRDefault="00A10636" w:rsidP="00DB330E">
            <w:pPr>
              <w:pStyle w:val="TableText"/>
              <w:keepNext/>
              <w:rPr>
                <w:rFonts w:cs="Calibri"/>
                <w:szCs w:val="16"/>
              </w:rPr>
            </w:pPr>
          </w:p>
        </w:tc>
      </w:tr>
      <w:tr w:rsidR="00A10636" w:rsidRPr="00D9348B" w14:paraId="09B1B847" w14:textId="77777777" w:rsidTr="001C5A35">
        <w:tc>
          <w:tcPr>
            <w:tcW w:w="949" w:type="dxa"/>
          </w:tcPr>
          <w:p w14:paraId="451F45F5" w14:textId="77777777" w:rsidR="00A10636" w:rsidRPr="00D9348B" w:rsidRDefault="00A10636" w:rsidP="00DB330E">
            <w:pPr>
              <w:pStyle w:val="TableText"/>
              <w:keepNext/>
              <w:rPr>
                <w:rFonts w:cs="Calibri"/>
                <w:szCs w:val="16"/>
              </w:rPr>
            </w:pPr>
            <w:r w:rsidRPr="00D9348B">
              <w:rPr>
                <w:rFonts w:cs="Calibri"/>
                <w:szCs w:val="16"/>
              </w:rPr>
              <w:t> </w:t>
            </w:r>
          </w:p>
        </w:tc>
        <w:tc>
          <w:tcPr>
            <w:tcW w:w="1722" w:type="dxa"/>
            <w:tcBorders>
              <w:top w:val="single" w:sz="4" w:space="0" w:color="365F91"/>
              <w:bottom w:val="single" w:sz="4" w:space="0" w:color="365F91"/>
            </w:tcBorders>
          </w:tcPr>
          <w:p w14:paraId="5BCBA8CF" w14:textId="77777777" w:rsidR="00A10636" w:rsidRPr="00D9348B" w:rsidRDefault="00A10636" w:rsidP="00DB330E">
            <w:pPr>
              <w:pStyle w:val="TableText"/>
              <w:keepNext/>
              <w:rPr>
                <w:rFonts w:cs="Calibri"/>
                <w:szCs w:val="16"/>
              </w:rPr>
            </w:pPr>
            <w:r w:rsidRPr="00D9348B">
              <w:rPr>
                <w:rFonts w:cs="Calibri"/>
                <w:szCs w:val="16"/>
              </w:rPr>
              <w:t>Living biomass</w:t>
            </w:r>
          </w:p>
        </w:tc>
        <w:tc>
          <w:tcPr>
            <w:tcW w:w="1275" w:type="dxa"/>
            <w:tcBorders>
              <w:top w:val="single" w:sz="4" w:space="0" w:color="365F91"/>
              <w:bottom w:val="single" w:sz="4" w:space="0" w:color="365F91"/>
            </w:tcBorders>
          </w:tcPr>
          <w:p w14:paraId="2F18011D" w14:textId="77777777" w:rsidR="00A10636" w:rsidRPr="00D9348B" w:rsidRDefault="00A10636" w:rsidP="00DB330E">
            <w:pPr>
              <w:pStyle w:val="TableText"/>
              <w:keepNext/>
              <w:rPr>
                <w:rFonts w:cs="Calibri"/>
                <w:szCs w:val="16"/>
              </w:rPr>
            </w:pPr>
            <w:r w:rsidRPr="00D9348B">
              <w:rPr>
                <w:rFonts w:cs="Calibri"/>
                <w:szCs w:val="16"/>
              </w:rPr>
              <w:t>18.76</w:t>
            </w:r>
          </w:p>
        </w:tc>
        <w:tc>
          <w:tcPr>
            <w:tcW w:w="1276" w:type="dxa"/>
            <w:tcBorders>
              <w:top w:val="single" w:sz="4" w:space="0" w:color="365F91"/>
              <w:bottom w:val="single" w:sz="4" w:space="0" w:color="365F91"/>
            </w:tcBorders>
          </w:tcPr>
          <w:p w14:paraId="46EF8F4D" w14:textId="77777777" w:rsidR="00A10636" w:rsidRPr="00D9348B" w:rsidRDefault="00A10636" w:rsidP="00DB330E">
            <w:pPr>
              <w:pStyle w:val="TableText"/>
              <w:keepNext/>
              <w:rPr>
                <w:rFonts w:cs="Calibri"/>
                <w:szCs w:val="16"/>
              </w:rPr>
            </w:pPr>
            <w:r w:rsidRPr="00D9348B">
              <w:rPr>
                <w:rFonts w:cs="Calibri"/>
                <w:szCs w:val="16"/>
              </w:rPr>
              <w:t>0.67</w:t>
            </w:r>
          </w:p>
        </w:tc>
        <w:tc>
          <w:tcPr>
            <w:tcW w:w="1142" w:type="dxa"/>
            <w:tcBorders>
              <w:top w:val="single" w:sz="4" w:space="0" w:color="365F91"/>
              <w:bottom w:val="single" w:sz="4" w:space="0" w:color="365F91"/>
            </w:tcBorders>
          </w:tcPr>
          <w:p w14:paraId="6F5947AC" w14:textId="77777777" w:rsidR="00A10636" w:rsidRPr="00D9348B" w:rsidRDefault="00A10636" w:rsidP="00DB330E">
            <w:pPr>
              <w:pStyle w:val="TableText"/>
              <w:keepNext/>
              <w:rPr>
                <w:rFonts w:cs="Calibri"/>
                <w:szCs w:val="16"/>
              </w:rPr>
            </w:pPr>
            <w:r w:rsidRPr="00D9348B">
              <w:rPr>
                <w:rFonts w:cs="Calibri"/>
                <w:szCs w:val="16"/>
              </w:rPr>
              <w:t>28</w:t>
            </w:r>
          </w:p>
        </w:tc>
        <w:tc>
          <w:tcPr>
            <w:tcW w:w="2141" w:type="dxa"/>
            <w:tcBorders>
              <w:top w:val="single" w:sz="4" w:space="0" w:color="365F91"/>
              <w:bottom w:val="single" w:sz="4" w:space="0" w:color="365F91"/>
            </w:tcBorders>
          </w:tcPr>
          <w:p w14:paraId="4F1F955C" w14:textId="77777777" w:rsidR="00A10636" w:rsidRPr="00D9348B" w:rsidRDefault="00A10636" w:rsidP="00DB330E">
            <w:pPr>
              <w:pStyle w:val="TableText"/>
              <w:keepNext/>
              <w:rPr>
                <w:rFonts w:cs="Calibri"/>
                <w:szCs w:val="16"/>
              </w:rPr>
            </w:pPr>
            <w:r w:rsidRPr="00D9348B">
              <w:rPr>
                <w:rFonts w:cs="Calibri"/>
                <w:szCs w:val="16"/>
              </w:rPr>
              <w:t>NZ-specific EF (Davis and Wakelin, unpublished)</w:t>
            </w:r>
          </w:p>
        </w:tc>
      </w:tr>
      <w:tr w:rsidR="00A10636" w:rsidRPr="00D9348B" w14:paraId="0356CC52" w14:textId="77777777" w:rsidTr="001C5A35">
        <w:tc>
          <w:tcPr>
            <w:tcW w:w="949" w:type="dxa"/>
          </w:tcPr>
          <w:p w14:paraId="01F724B5" w14:textId="77777777" w:rsidR="00A10636" w:rsidRPr="00D9348B" w:rsidRDefault="00A10636" w:rsidP="00DB330E">
            <w:pPr>
              <w:pStyle w:val="TableText"/>
              <w:rPr>
                <w:rFonts w:cs="Calibri"/>
                <w:szCs w:val="16"/>
              </w:rPr>
            </w:pPr>
            <w:r w:rsidRPr="00D9348B">
              <w:rPr>
                <w:rFonts w:cs="Calibri"/>
                <w:szCs w:val="16"/>
              </w:rPr>
              <w:t> </w:t>
            </w:r>
          </w:p>
        </w:tc>
        <w:tc>
          <w:tcPr>
            <w:tcW w:w="1722" w:type="dxa"/>
            <w:tcBorders>
              <w:top w:val="single" w:sz="4" w:space="0" w:color="365F91"/>
              <w:bottom w:val="single" w:sz="4" w:space="0" w:color="365F91"/>
            </w:tcBorders>
          </w:tcPr>
          <w:p w14:paraId="0147EDFA" w14:textId="77777777" w:rsidR="00A10636" w:rsidRPr="00D9348B" w:rsidRDefault="00A10636" w:rsidP="00DB330E">
            <w:pPr>
              <w:pStyle w:val="TableText"/>
              <w:rPr>
                <w:rFonts w:cs="Calibri"/>
                <w:szCs w:val="16"/>
              </w:rPr>
            </w:pPr>
            <w:r w:rsidRPr="00D9348B">
              <w:rPr>
                <w:rFonts w:cs="Calibri"/>
                <w:szCs w:val="16"/>
              </w:rPr>
              <w:t>Dead organic matter</w:t>
            </w:r>
          </w:p>
        </w:tc>
        <w:tc>
          <w:tcPr>
            <w:tcW w:w="1275" w:type="dxa"/>
            <w:tcBorders>
              <w:top w:val="single" w:sz="4" w:space="0" w:color="365F91"/>
              <w:bottom w:val="single" w:sz="4" w:space="0" w:color="365F91"/>
            </w:tcBorders>
          </w:tcPr>
          <w:p w14:paraId="3F814878" w14:textId="77777777" w:rsidR="00A10636" w:rsidRPr="00D9348B" w:rsidRDefault="00A10636" w:rsidP="00DB330E">
            <w:pPr>
              <w:pStyle w:val="TableText"/>
              <w:rPr>
                <w:rFonts w:cs="Calibri"/>
                <w:szCs w:val="16"/>
              </w:rPr>
            </w:pPr>
            <w:r w:rsidRPr="00D9348B">
              <w:rPr>
                <w:rFonts w:cs="Calibri"/>
                <w:szCs w:val="16"/>
              </w:rPr>
              <w:t>NE</w:t>
            </w:r>
          </w:p>
        </w:tc>
        <w:tc>
          <w:tcPr>
            <w:tcW w:w="1276" w:type="dxa"/>
            <w:tcBorders>
              <w:top w:val="single" w:sz="4" w:space="0" w:color="365F91"/>
              <w:bottom w:val="single" w:sz="4" w:space="0" w:color="365F91"/>
            </w:tcBorders>
          </w:tcPr>
          <w:p w14:paraId="5DC5FA5A" w14:textId="77777777" w:rsidR="00A10636" w:rsidRPr="00D9348B" w:rsidRDefault="00A10636" w:rsidP="00DB330E">
            <w:pPr>
              <w:pStyle w:val="TableText"/>
              <w:rPr>
                <w:rFonts w:cs="Calibri"/>
                <w:szCs w:val="16"/>
              </w:rPr>
            </w:pPr>
            <w:r w:rsidRPr="00D9348B">
              <w:rPr>
                <w:rFonts w:cs="Calibri"/>
                <w:szCs w:val="16"/>
              </w:rPr>
              <w:t>NE</w:t>
            </w:r>
          </w:p>
        </w:tc>
        <w:tc>
          <w:tcPr>
            <w:tcW w:w="1142" w:type="dxa"/>
            <w:tcBorders>
              <w:top w:val="single" w:sz="4" w:space="0" w:color="365F91"/>
              <w:bottom w:val="single" w:sz="4" w:space="0" w:color="365F91"/>
            </w:tcBorders>
          </w:tcPr>
          <w:p w14:paraId="0F2248D5" w14:textId="77777777" w:rsidR="00A10636" w:rsidRPr="00D9348B" w:rsidRDefault="00A10636" w:rsidP="00DB330E">
            <w:pPr>
              <w:pStyle w:val="TableText"/>
              <w:rPr>
                <w:rFonts w:cs="Calibri"/>
                <w:szCs w:val="16"/>
              </w:rPr>
            </w:pPr>
            <w:r w:rsidRPr="00D9348B">
              <w:rPr>
                <w:rFonts w:cs="Calibri"/>
                <w:szCs w:val="16"/>
              </w:rPr>
              <w:t>NA</w:t>
            </w:r>
          </w:p>
        </w:tc>
        <w:tc>
          <w:tcPr>
            <w:tcW w:w="2141" w:type="dxa"/>
            <w:tcBorders>
              <w:top w:val="single" w:sz="4" w:space="0" w:color="365F91"/>
              <w:bottom w:val="single" w:sz="4" w:space="0" w:color="365F91"/>
            </w:tcBorders>
          </w:tcPr>
          <w:p w14:paraId="3150C9B4" w14:textId="77777777" w:rsidR="00A10636" w:rsidRPr="00D9348B" w:rsidRDefault="00A10636" w:rsidP="00DB330E">
            <w:pPr>
              <w:pStyle w:val="TableText"/>
              <w:rPr>
                <w:rFonts w:cs="Calibri"/>
                <w:szCs w:val="16"/>
              </w:rPr>
            </w:pPr>
            <w:r w:rsidRPr="00D9348B">
              <w:rPr>
                <w:rFonts w:cs="Calibri"/>
                <w:szCs w:val="16"/>
              </w:rPr>
              <w:t>No IPCC guidelines</w:t>
            </w:r>
          </w:p>
        </w:tc>
      </w:tr>
      <w:tr w:rsidR="00A10636" w:rsidRPr="00D9348B" w14:paraId="5E8DB879" w14:textId="77777777" w:rsidTr="001C5A35">
        <w:tc>
          <w:tcPr>
            <w:tcW w:w="949" w:type="dxa"/>
          </w:tcPr>
          <w:p w14:paraId="33E915AB" w14:textId="77777777" w:rsidR="00A10636" w:rsidRPr="00D9348B" w:rsidRDefault="00A10636" w:rsidP="00DB330E">
            <w:pPr>
              <w:pStyle w:val="TableText"/>
              <w:rPr>
                <w:rFonts w:cs="Calibri"/>
                <w:szCs w:val="16"/>
              </w:rPr>
            </w:pPr>
            <w:r w:rsidRPr="00D9348B">
              <w:rPr>
                <w:rFonts w:cs="Calibri"/>
                <w:szCs w:val="16"/>
              </w:rPr>
              <w:t> </w:t>
            </w:r>
          </w:p>
        </w:tc>
        <w:tc>
          <w:tcPr>
            <w:tcW w:w="1722" w:type="dxa"/>
            <w:tcBorders>
              <w:top w:val="single" w:sz="4" w:space="0" w:color="365F91"/>
              <w:bottom w:val="single" w:sz="4" w:space="0" w:color="365F91"/>
            </w:tcBorders>
          </w:tcPr>
          <w:p w14:paraId="0FF11D96" w14:textId="77777777" w:rsidR="00A10636" w:rsidRPr="00D9348B" w:rsidRDefault="00A10636" w:rsidP="00DB330E">
            <w:pPr>
              <w:pStyle w:val="TableText"/>
              <w:keepNext/>
              <w:rPr>
                <w:rFonts w:cs="Calibri"/>
                <w:szCs w:val="16"/>
              </w:rPr>
            </w:pPr>
            <w:r w:rsidRPr="00D9348B">
              <w:rPr>
                <w:rFonts w:cs="Calibri"/>
                <w:szCs w:val="16"/>
              </w:rPr>
              <w:t>Soils</w:t>
            </w:r>
          </w:p>
        </w:tc>
        <w:tc>
          <w:tcPr>
            <w:tcW w:w="1275" w:type="dxa"/>
            <w:tcBorders>
              <w:top w:val="single" w:sz="4" w:space="0" w:color="365F91"/>
              <w:bottom w:val="single" w:sz="4" w:space="0" w:color="365F91"/>
            </w:tcBorders>
          </w:tcPr>
          <w:p w14:paraId="3008BC84" w14:textId="77777777" w:rsidR="00A10636" w:rsidRPr="00D9348B" w:rsidRDefault="00A10636" w:rsidP="00DB330E">
            <w:pPr>
              <w:pStyle w:val="TableText"/>
              <w:keepNext/>
              <w:rPr>
                <w:rFonts w:cs="Calibri"/>
                <w:szCs w:val="16"/>
              </w:rPr>
            </w:pPr>
          </w:p>
        </w:tc>
        <w:tc>
          <w:tcPr>
            <w:tcW w:w="1276" w:type="dxa"/>
            <w:tcBorders>
              <w:top w:val="single" w:sz="4" w:space="0" w:color="365F91"/>
              <w:bottom w:val="single" w:sz="4" w:space="0" w:color="365F91"/>
            </w:tcBorders>
          </w:tcPr>
          <w:p w14:paraId="5A34D032" w14:textId="77777777" w:rsidR="00A10636" w:rsidRPr="00D9348B" w:rsidRDefault="00A10636" w:rsidP="00DB330E">
            <w:pPr>
              <w:pStyle w:val="TableText"/>
              <w:keepNext/>
              <w:rPr>
                <w:rFonts w:cs="Calibri"/>
                <w:szCs w:val="16"/>
              </w:rPr>
            </w:pPr>
          </w:p>
        </w:tc>
        <w:tc>
          <w:tcPr>
            <w:tcW w:w="1142" w:type="dxa"/>
            <w:tcBorders>
              <w:top w:val="single" w:sz="4" w:space="0" w:color="365F91"/>
              <w:bottom w:val="single" w:sz="4" w:space="0" w:color="365F91"/>
            </w:tcBorders>
          </w:tcPr>
          <w:p w14:paraId="3723E981" w14:textId="77777777" w:rsidR="00A10636" w:rsidRPr="00D9348B" w:rsidRDefault="00A10636" w:rsidP="00DB330E">
            <w:pPr>
              <w:pStyle w:val="TableText"/>
              <w:keepNext/>
              <w:rPr>
                <w:rFonts w:cs="Calibri"/>
                <w:szCs w:val="16"/>
              </w:rPr>
            </w:pPr>
          </w:p>
        </w:tc>
        <w:tc>
          <w:tcPr>
            <w:tcW w:w="2141" w:type="dxa"/>
            <w:tcBorders>
              <w:top w:val="single" w:sz="4" w:space="0" w:color="365F91"/>
              <w:bottom w:val="single" w:sz="4" w:space="0" w:color="365F91"/>
            </w:tcBorders>
          </w:tcPr>
          <w:p w14:paraId="77C1BD72" w14:textId="77777777" w:rsidR="00A10636" w:rsidRPr="00D9348B" w:rsidRDefault="00A10636" w:rsidP="00DB330E">
            <w:pPr>
              <w:pStyle w:val="TableText"/>
              <w:keepNext/>
              <w:rPr>
                <w:rFonts w:cs="Calibri"/>
                <w:szCs w:val="16"/>
              </w:rPr>
            </w:pPr>
          </w:p>
        </w:tc>
      </w:tr>
      <w:tr w:rsidR="00A10636" w:rsidRPr="00D9348B" w14:paraId="6672EED4" w14:textId="77777777" w:rsidTr="001C5A35">
        <w:tc>
          <w:tcPr>
            <w:tcW w:w="949" w:type="dxa"/>
          </w:tcPr>
          <w:p w14:paraId="7DEACFBF" w14:textId="77777777" w:rsidR="00A10636" w:rsidRPr="00D9348B" w:rsidRDefault="00A10636" w:rsidP="00DB330E">
            <w:pPr>
              <w:pStyle w:val="TableText"/>
              <w:keepNext/>
              <w:rPr>
                <w:rFonts w:cs="Calibri"/>
                <w:szCs w:val="16"/>
              </w:rPr>
            </w:pPr>
          </w:p>
        </w:tc>
        <w:tc>
          <w:tcPr>
            <w:tcW w:w="1722" w:type="dxa"/>
            <w:tcBorders>
              <w:top w:val="single" w:sz="4" w:space="0" w:color="365F91"/>
              <w:bottom w:val="single" w:sz="4" w:space="0" w:color="365F91"/>
            </w:tcBorders>
          </w:tcPr>
          <w:p w14:paraId="3430D1C4" w14:textId="77777777" w:rsidR="00A10636" w:rsidRPr="00D9348B" w:rsidRDefault="00A10636" w:rsidP="00DB330E">
            <w:pPr>
              <w:pStyle w:val="TableText"/>
              <w:keepNext/>
              <w:rPr>
                <w:rFonts w:cs="Calibri"/>
                <w:szCs w:val="16"/>
              </w:rPr>
            </w:pPr>
            <w:r w:rsidRPr="00D9348B">
              <w:rPr>
                <w:rFonts w:cs="Calibri"/>
                <w:szCs w:val="16"/>
              </w:rPr>
              <w:t xml:space="preserve">Mineral </w:t>
            </w:r>
          </w:p>
        </w:tc>
        <w:tc>
          <w:tcPr>
            <w:tcW w:w="1275" w:type="dxa"/>
            <w:tcBorders>
              <w:top w:val="single" w:sz="4" w:space="0" w:color="365F91"/>
              <w:bottom w:val="single" w:sz="4" w:space="0" w:color="365F91"/>
            </w:tcBorders>
          </w:tcPr>
          <w:p w14:paraId="4FEC1DF3" w14:textId="77777777" w:rsidR="00A10636" w:rsidRPr="00D9348B" w:rsidRDefault="00A10636" w:rsidP="00DB330E">
            <w:pPr>
              <w:pStyle w:val="TableText"/>
              <w:keepNext/>
              <w:rPr>
                <w:rFonts w:cs="Calibri"/>
                <w:szCs w:val="16"/>
              </w:rPr>
            </w:pPr>
            <w:r w:rsidRPr="00D9348B">
              <w:rPr>
                <w:rFonts w:cs="Calibri"/>
                <w:szCs w:val="16"/>
              </w:rPr>
              <w:t>88.44</w:t>
            </w:r>
          </w:p>
        </w:tc>
        <w:tc>
          <w:tcPr>
            <w:tcW w:w="1276" w:type="dxa"/>
            <w:tcBorders>
              <w:top w:val="single" w:sz="4" w:space="0" w:color="365F91"/>
              <w:bottom w:val="single" w:sz="4" w:space="0" w:color="365F91"/>
            </w:tcBorders>
          </w:tcPr>
          <w:p w14:paraId="3045D3A3" w14:textId="77777777" w:rsidR="00A10636" w:rsidRPr="00D9348B" w:rsidRDefault="00A10636" w:rsidP="00DB330E">
            <w:pPr>
              <w:pStyle w:val="TableText"/>
              <w:keepNext/>
              <w:rPr>
                <w:rFonts w:cs="Calibri"/>
                <w:szCs w:val="16"/>
              </w:rPr>
            </w:pPr>
            <w:r w:rsidRPr="00D9348B">
              <w:rPr>
                <w:rFonts w:cs="Calibri"/>
                <w:szCs w:val="16"/>
              </w:rPr>
              <w:t>*</w:t>
            </w:r>
          </w:p>
        </w:tc>
        <w:tc>
          <w:tcPr>
            <w:tcW w:w="1142" w:type="dxa"/>
            <w:tcBorders>
              <w:top w:val="single" w:sz="4" w:space="0" w:color="365F91"/>
              <w:bottom w:val="single" w:sz="4" w:space="0" w:color="365F91"/>
            </w:tcBorders>
          </w:tcPr>
          <w:p w14:paraId="01D4DE53" w14:textId="77777777" w:rsidR="00A10636" w:rsidRPr="00D9348B" w:rsidRDefault="00A10636" w:rsidP="00DB330E">
            <w:pPr>
              <w:pStyle w:val="TableText"/>
              <w:keepNext/>
              <w:rPr>
                <w:rFonts w:cs="Calibri"/>
                <w:szCs w:val="16"/>
              </w:rPr>
            </w:pPr>
            <w:r w:rsidRPr="00D9348B">
              <w:rPr>
                <w:rFonts w:cs="Calibri"/>
                <w:szCs w:val="16"/>
              </w:rPr>
              <w:t>20</w:t>
            </w:r>
          </w:p>
        </w:tc>
        <w:tc>
          <w:tcPr>
            <w:tcW w:w="2141" w:type="dxa"/>
            <w:tcBorders>
              <w:top w:val="single" w:sz="4" w:space="0" w:color="365F91"/>
              <w:bottom w:val="single" w:sz="4" w:space="0" w:color="365F91"/>
            </w:tcBorders>
          </w:tcPr>
          <w:p w14:paraId="5E61BBEA" w14:textId="77777777" w:rsidR="00A10636" w:rsidRPr="00D9348B" w:rsidRDefault="00A10636" w:rsidP="00DB330E">
            <w:pPr>
              <w:pStyle w:val="TableText"/>
              <w:keepNext/>
              <w:rPr>
                <w:rFonts w:cs="Calibri"/>
                <w:szCs w:val="16"/>
              </w:rPr>
            </w:pPr>
            <w:r w:rsidRPr="00D9348B">
              <w:rPr>
                <w:rFonts w:cs="Calibri"/>
                <w:szCs w:val="16"/>
              </w:rPr>
              <w:t>NZ-specific EF (McNeill and Barringer, unpublished)</w:t>
            </w:r>
          </w:p>
        </w:tc>
      </w:tr>
      <w:tr w:rsidR="00A10636" w:rsidRPr="00D9348B" w14:paraId="1669E54D" w14:textId="77777777" w:rsidTr="001C5A35">
        <w:tc>
          <w:tcPr>
            <w:tcW w:w="949" w:type="dxa"/>
            <w:tcBorders>
              <w:bottom w:val="single" w:sz="4" w:space="0" w:color="365F91"/>
            </w:tcBorders>
          </w:tcPr>
          <w:p w14:paraId="62411E4B" w14:textId="77777777" w:rsidR="00A10636" w:rsidRPr="00D9348B" w:rsidRDefault="00A10636" w:rsidP="00DB330E">
            <w:pPr>
              <w:pStyle w:val="TableText"/>
              <w:rPr>
                <w:rFonts w:cs="Calibri"/>
                <w:szCs w:val="16"/>
              </w:rPr>
            </w:pPr>
          </w:p>
        </w:tc>
        <w:tc>
          <w:tcPr>
            <w:tcW w:w="1722" w:type="dxa"/>
            <w:tcBorders>
              <w:top w:val="single" w:sz="4" w:space="0" w:color="365F91"/>
              <w:bottom w:val="single" w:sz="4" w:space="0" w:color="365F91"/>
            </w:tcBorders>
          </w:tcPr>
          <w:p w14:paraId="773416EF" w14:textId="77777777" w:rsidR="00A10636" w:rsidRPr="00D9348B" w:rsidRDefault="00A10636" w:rsidP="00DB330E">
            <w:pPr>
              <w:pStyle w:val="TableText"/>
              <w:rPr>
                <w:rFonts w:cs="Calibri"/>
                <w:szCs w:val="16"/>
              </w:rPr>
            </w:pPr>
            <w:r w:rsidRPr="00D9348B">
              <w:rPr>
                <w:rFonts w:cs="Calibri"/>
                <w:szCs w:val="16"/>
              </w:rPr>
              <w:t>Organic</w:t>
            </w:r>
          </w:p>
        </w:tc>
        <w:tc>
          <w:tcPr>
            <w:tcW w:w="1275" w:type="dxa"/>
            <w:tcBorders>
              <w:top w:val="single" w:sz="4" w:space="0" w:color="365F91"/>
              <w:bottom w:val="single" w:sz="4" w:space="0" w:color="365F91"/>
            </w:tcBorders>
          </w:tcPr>
          <w:p w14:paraId="2460BA0C" w14:textId="77777777" w:rsidR="00A10636" w:rsidRPr="00D9348B" w:rsidRDefault="00A10636" w:rsidP="00DB330E">
            <w:pPr>
              <w:pStyle w:val="TableText"/>
              <w:rPr>
                <w:rFonts w:cs="Calibri"/>
                <w:szCs w:val="16"/>
              </w:rPr>
            </w:pPr>
            <w:r w:rsidRPr="00D9348B">
              <w:rPr>
                <w:rFonts w:cs="Calibri"/>
                <w:szCs w:val="16"/>
              </w:rPr>
              <w:t>NE</w:t>
            </w:r>
          </w:p>
        </w:tc>
        <w:tc>
          <w:tcPr>
            <w:tcW w:w="1276" w:type="dxa"/>
            <w:tcBorders>
              <w:top w:val="single" w:sz="4" w:space="0" w:color="365F91"/>
              <w:bottom w:val="single" w:sz="4" w:space="0" w:color="365F91"/>
            </w:tcBorders>
          </w:tcPr>
          <w:p w14:paraId="2DCE3581" w14:textId="77777777" w:rsidR="00A10636" w:rsidRPr="00D9348B" w:rsidRDefault="00A10636" w:rsidP="00DB330E">
            <w:pPr>
              <w:pStyle w:val="TableText"/>
              <w:rPr>
                <w:rFonts w:cs="Calibri"/>
                <w:szCs w:val="16"/>
              </w:rPr>
            </w:pPr>
            <w:r w:rsidRPr="00D9348B">
              <w:rPr>
                <w:rFonts w:cs="Calibri"/>
                <w:szCs w:val="16"/>
              </w:rPr>
              <w:t>–5.0 / 10.0</w:t>
            </w:r>
          </w:p>
        </w:tc>
        <w:tc>
          <w:tcPr>
            <w:tcW w:w="1142" w:type="dxa"/>
            <w:tcBorders>
              <w:top w:val="single" w:sz="4" w:space="0" w:color="365F91"/>
              <w:bottom w:val="single" w:sz="4" w:space="0" w:color="365F91"/>
            </w:tcBorders>
          </w:tcPr>
          <w:p w14:paraId="5AE752DB" w14:textId="77777777" w:rsidR="00A10636" w:rsidRPr="00D9348B" w:rsidRDefault="00A10636" w:rsidP="00DB330E">
            <w:pPr>
              <w:pStyle w:val="TableText"/>
              <w:rPr>
                <w:rFonts w:cs="Calibri"/>
                <w:szCs w:val="16"/>
              </w:rPr>
            </w:pPr>
          </w:p>
        </w:tc>
        <w:tc>
          <w:tcPr>
            <w:tcW w:w="2141" w:type="dxa"/>
            <w:tcBorders>
              <w:top w:val="single" w:sz="4" w:space="0" w:color="365F91"/>
              <w:bottom w:val="single" w:sz="4" w:space="0" w:color="365F91"/>
            </w:tcBorders>
          </w:tcPr>
          <w:p w14:paraId="77626FDA" w14:textId="77777777" w:rsidR="00A10636" w:rsidRPr="00D9348B" w:rsidRDefault="00A10636" w:rsidP="00DB330E">
            <w:pPr>
              <w:pStyle w:val="TableText"/>
              <w:rPr>
                <w:rFonts w:cs="Calibri"/>
                <w:szCs w:val="16"/>
              </w:rPr>
            </w:pPr>
            <w:r w:rsidRPr="00D9348B">
              <w:rPr>
                <w:rFonts w:cs="Calibri"/>
                <w:szCs w:val="16"/>
              </w:rPr>
              <w:t>IPCC Tier 1 default (table 5.6, IPCC, 2006a)</w:t>
            </w:r>
          </w:p>
        </w:tc>
      </w:tr>
    </w:tbl>
    <w:p w14:paraId="778E6C0C" w14:textId="233733EB" w:rsidR="00A10636" w:rsidRPr="00D9348B" w:rsidRDefault="00A10636" w:rsidP="00A10636">
      <w:pPr>
        <w:pStyle w:val="Noteundertable"/>
      </w:pPr>
      <w:r w:rsidRPr="00D9348B">
        <w:rPr>
          <w:b/>
        </w:rPr>
        <w:t>Note:</w:t>
      </w:r>
      <w:r w:rsidRPr="00D9348B">
        <w:tab/>
        <w:t xml:space="preserve">EF = emission factor; NA = not applicable; NE = not estimated. * Annual carbon stock change in mineral soils on land undergoing land-use change will depend on the </w:t>
      </w:r>
      <w:r w:rsidR="00766DDA">
        <w:t>land-use</w:t>
      </w:r>
      <w:r w:rsidRPr="00D9348B">
        <w:t xml:space="preserve"> category the land has been converted to or from; see section 6.3</w:t>
      </w:r>
      <w:r w:rsidRPr="00D9348B">
        <w:rPr>
          <w:sz w:val="16"/>
          <w:szCs w:val="16"/>
        </w:rPr>
        <w:t>.</w:t>
      </w:r>
      <w:bookmarkStart w:id="1960" w:name="_Toc255466374"/>
      <w:bookmarkStart w:id="1961" w:name="_Toc261513181"/>
      <w:bookmarkStart w:id="1962" w:name="_Toc261513794"/>
    </w:p>
    <w:p w14:paraId="2DD40797" w14:textId="77777777" w:rsidR="00A10636" w:rsidRPr="00D9348B" w:rsidRDefault="00A10636" w:rsidP="00865BDB">
      <w:pPr>
        <w:pStyle w:val="Heading4"/>
      </w:pPr>
      <w:bookmarkStart w:id="1963" w:name="_Toc280630266"/>
      <w:r w:rsidRPr="00D9348B">
        <w:t>Cropland remaining cropland</w:t>
      </w:r>
      <w:bookmarkEnd w:id="1960"/>
      <w:bookmarkEnd w:id="1961"/>
      <w:bookmarkEnd w:id="1962"/>
      <w:bookmarkEnd w:id="1963"/>
      <w:r w:rsidRPr="00D9348B">
        <w:t xml:space="preserve"> (CRF 4.B.1)</w:t>
      </w:r>
    </w:p>
    <w:p w14:paraId="3A33EFD1" w14:textId="676B6627" w:rsidR="00A10636" w:rsidRPr="00D9348B" w:rsidRDefault="00A10636" w:rsidP="00A10636">
      <w:pPr>
        <w:pStyle w:val="BodyText"/>
      </w:pPr>
      <w:r w:rsidRPr="00D9348B">
        <w:t xml:space="preserve">For </w:t>
      </w:r>
      <w:r w:rsidRPr="00D9348B">
        <w:rPr>
          <w:i/>
        </w:rPr>
        <w:t>Cropland remaining cropland</w:t>
      </w:r>
      <w:r w:rsidRPr="00D9348B">
        <w:t xml:space="preserve">, the Tier 1 assumption is that for annual cropland there is no change in biomass carbon stocks after the first year (section 5.2.1, IPCC, 2006a). The rationale is that the increase in biomass stocks in a single year is equal to the biomass losses from harvest and mortality in that same year. For perennial cropland, there is a change in carbon stocks associated with a land-use change. Where there has been land-use change between the </w:t>
      </w:r>
      <w:r w:rsidRPr="00D9348B">
        <w:rPr>
          <w:i/>
        </w:rPr>
        <w:t>Cropland</w:t>
      </w:r>
      <w:r w:rsidRPr="00D9348B">
        <w:t xml:space="preserve"> </w:t>
      </w:r>
      <w:r w:rsidR="00766DDA">
        <w:t>land-use</w:t>
      </w:r>
      <w:r w:rsidRPr="00D9348B">
        <w:t xml:space="preserve"> categories, carbon stock changes are reported under </w:t>
      </w:r>
      <w:r w:rsidRPr="00D9348B">
        <w:rPr>
          <w:i/>
        </w:rPr>
        <w:t>Cropland remaining cropland</w:t>
      </w:r>
      <w:r w:rsidRPr="00D9348B">
        <w:t xml:space="preserve">. </w:t>
      </w:r>
    </w:p>
    <w:p w14:paraId="7583F519" w14:textId="77777777" w:rsidR="00A10636" w:rsidRPr="00D9348B" w:rsidRDefault="00A10636" w:rsidP="00A10636">
      <w:pPr>
        <w:pStyle w:val="Heading5"/>
      </w:pPr>
      <w:bookmarkStart w:id="1964" w:name="_Toc255466375"/>
      <w:bookmarkStart w:id="1965" w:name="_Toc261513182"/>
      <w:bookmarkStart w:id="1966" w:name="_Toc261513795"/>
      <w:bookmarkStart w:id="1967" w:name="_Toc280630267"/>
      <w:r w:rsidRPr="00D9348B">
        <w:t>Living biomass</w:t>
      </w:r>
      <w:bookmarkEnd w:id="1964"/>
      <w:bookmarkEnd w:id="1965"/>
      <w:bookmarkEnd w:id="1966"/>
      <w:bookmarkEnd w:id="1967"/>
    </w:p>
    <w:p w14:paraId="625EA78E" w14:textId="77777777" w:rsidR="00A10636" w:rsidRPr="00D9348B" w:rsidRDefault="00A10636" w:rsidP="00A10636">
      <w:pPr>
        <w:pStyle w:val="BodyText"/>
      </w:pPr>
      <w:r w:rsidRPr="00D9348B">
        <w:t>To estimate carbon stock change in living biomass for annual cropland converted to perennial cropland, New Zealand is using Tier 1 defaults for biomass carbon stocks at harvest. The value being used for annual cropland is 5.0 tonnes C ha</w:t>
      </w:r>
      <w:r w:rsidRPr="00D9348B">
        <w:rPr>
          <w:vertAlign w:val="superscript"/>
        </w:rPr>
        <w:t>–1</w:t>
      </w:r>
      <w:r w:rsidRPr="00D9348B">
        <w:t xml:space="preserve"> (table 5.9, IPCC, 2006a). The Tier 1 method for estimating carbon change assumes carbon stocks in biomass immediately after conversion are zero; that is, the land is cleared of all vegetation before planting crops (5.0 tonnes C ha</w:t>
      </w:r>
      <w:r w:rsidRPr="00D9348B">
        <w:rPr>
          <w:vertAlign w:val="superscript"/>
        </w:rPr>
        <w:t>–1</w:t>
      </w:r>
      <w:r w:rsidRPr="00D9348B">
        <w:t xml:space="preserve"> is instantly oxidised in the year of conversion). </w:t>
      </w:r>
    </w:p>
    <w:p w14:paraId="644EECF1" w14:textId="77777777" w:rsidR="00A10636" w:rsidRPr="00D9348B" w:rsidRDefault="00A10636" w:rsidP="00A10636">
      <w:pPr>
        <w:pStyle w:val="BodyText"/>
      </w:pPr>
      <w:r w:rsidRPr="00D9348B">
        <w:t>To estimate growth after conversion of annual cropland to perennial cropland, New Zealand uses the biomass accumulation rate of 0.67 tonnes C ha</w:t>
      </w:r>
      <w:r w:rsidRPr="00D9348B">
        <w:rPr>
          <w:vertAlign w:val="superscript"/>
        </w:rPr>
        <w:t xml:space="preserve">–1 </w:t>
      </w:r>
      <w:r w:rsidRPr="00D9348B">
        <w:t>yr</w:t>
      </w:r>
      <w:r w:rsidRPr="00D9348B">
        <w:rPr>
          <w:vertAlign w:val="superscript"/>
        </w:rPr>
        <w:t>–1</w:t>
      </w:r>
      <w:r w:rsidRPr="00D9348B">
        <w:t>. This value is based on the New Zealand-specific value of 18.76 tonnes C ha</w:t>
      </w:r>
      <w:r w:rsidRPr="00D9348B">
        <w:rPr>
          <w:spacing w:val="-2"/>
          <w:vertAlign w:val="superscript"/>
        </w:rPr>
        <w:t>–1</w:t>
      </w:r>
      <w:r w:rsidRPr="00D9348B">
        <w:t xml:space="preserve"> (</w:t>
      </w:r>
      <w:r w:rsidRPr="00D9348B">
        <w:rPr>
          <w:spacing w:val="-2"/>
        </w:rPr>
        <w:t xml:space="preserve">Davis and Wakelin, </w:t>
      </w:r>
      <w:r w:rsidRPr="00D9348B">
        <w:t>unpublished), sequestered over 28 years, which is the maturity period New Zealand uses for its lands to reach steady state.</w:t>
      </w:r>
    </w:p>
    <w:p w14:paraId="42E4CB24" w14:textId="77777777" w:rsidR="00A10636" w:rsidRPr="00D9348B" w:rsidRDefault="00A10636" w:rsidP="00A10636">
      <w:pPr>
        <w:pStyle w:val="BodyText"/>
      </w:pPr>
      <w:r w:rsidRPr="00D9348B">
        <w:lastRenderedPageBreak/>
        <w:t xml:space="preserve">The available activity data do not provide information on areas of perennial cropland temporarily destocked; therefore, no losses in carbon stock due to temporary destocking are reported. </w:t>
      </w:r>
    </w:p>
    <w:p w14:paraId="5E520C01" w14:textId="77777777" w:rsidR="00A10636" w:rsidRPr="00D9348B" w:rsidRDefault="00A10636" w:rsidP="00A10636">
      <w:pPr>
        <w:pStyle w:val="Heading5"/>
        <w:spacing w:before="200"/>
      </w:pPr>
      <w:bookmarkStart w:id="1968" w:name="_Toc255466376"/>
      <w:bookmarkStart w:id="1969" w:name="_Toc261513183"/>
      <w:bookmarkStart w:id="1970" w:name="_Toc261513796"/>
      <w:bookmarkStart w:id="1971" w:name="_Toc280630268"/>
      <w:r w:rsidRPr="00D9348B">
        <w:t>Dead organic matter</w:t>
      </w:r>
      <w:bookmarkEnd w:id="1968"/>
      <w:bookmarkEnd w:id="1969"/>
      <w:bookmarkEnd w:id="1970"/>
      <w:bookmarkEnd w:id="1971"/>
    </w:p>
    <w:p w14:paraId="0CA359BC" w14:textId="77777777" w:rsidR="00A10636" w:rsidRPr="00D9348B" w:rsidRDefault="00A10636" w:rsidP="00A10636">
      <w:pPr>
        <w:pStyle w:val="BodyText"/>
      </w:pPr>
      <w:r w:rsidRPr="00D9348B">
        <w:t xml:space="preserve">New Zealand does not report estimates of dead organic matter in this category. The notation key NE (not estimated) is used in the CRF tables in accordance with paragraph 37(b) of Decision 24/CP.19 (UNFCCC, 2014). There is insufficient information to provide a basic approach with default parameters to estimate carbon stock change in dead organic matter pools in </w:t>
      </w:r>
      <w:r w:rsidRPr="00D9348B">
        <w:rPr>
          <w:i/>
        </w:rPr>
        <w:t>Cropland</w:t>
      </w:r>
      <w:r w:rsidRPr="00D9348B">
        <w:t xml:space="preserve"> </w:t>
      </w:r>
      <w:r w:rsidRPr="00D9348B">
        <w:rPr>
          <w:i/>
        </w:rPr>
        <w:t>remaining cropland</w:t>
      </w:r>
      <w:r w:rsidRPr="00D9348B">
        <w:t xml:space="preserve"> and, consequently, no Tier 1 method is provided (IPCC, 2006a).</w:t>
      </w:r>
    </w:p>
    <w:p w14:paraId="71B62CD4" w14:textId="77777777" w:rsidR="00A10636" w:rsidRPr="00D9348B" w:rsidRDefault="00A10636" w:rsidP="00A10636">
      <w:pPr>
        <w:pStyle w:val="Heading5"/>
        <w:spacing w:before="200"/>
      </w:pPr>
      <w:bookmarkStart w:id="1972" w:name="_Toc255466377"/>
      <w:bookmarkStart w:id="1973" w:name="_Toc261513184"/>
      <w:bookmarkStart w:id="1974" w:name="_Toc261513797"/>
      <w:bookmarkStart w:id="1975" w:name="_Toc280630269"/>
      <w:r w:rsidRPr="00D9348B">
        <w:t>Soil organic carbon</w:t>
      </w:r>
      <w:bookmarkEnd w:id="1972"/>
      <w:bookmarkEnd w:id="1973"/>
      <w:bookmarkEnd w:id="1974"/>
      <w:bookmarkEnd w:id="1975"/>
    </w:p>
    <w:p w14:paraId="74E2AF4F" w14:textId="77777777" w:rsidR="00A10636" w:rsidRPr="00D9348B" w:rsidRDefault="00A10636" w:rsidP="00A10636">
      <w:pPr>
        <w:pStyle w:val="BodyText"/>
      </w:pPr>
      <w:bookmarkStart w:id="1976" w:name="_Toc255466378"/>
      <w:bookmarkStart w:id="1977" w:name="_Toc261513185"/>
      <w:bookmarkStart w:id="1978" w:name="_Toc261513798"/>
      <w:bookmarkStart w:id="1979" w:name="_Toc280630270"/>
      <w:r w:rsidRPr="00D9348B">
        <w:t xml:space="preserve">SOC stocks in </w:t>
      </w:r>
      <w:r w:rsidRPr="00D9348B">
        <w:rPr>
          <w:i/>
        </w:rPr>
        <w:t>Cropland</w:t>
      </w:r>
      <w:r w:rsidRPr="00D9348B">
        <w:t xml:space="preserve"> </w:t>
      </w:r>
      <w:r w:rsidRPr="00D9348B">
        <w:rPr>
          <w:i/>
        </w:rPr>
        <w:t>remaining cropland</w:t>
      </w:r>
      <w:r w:rsidRPr="00D9348B">
        <w:t xml:space="preserve"> are estimated using a Tier 2 method for mineral soils and a Tier 1 method for organic soils, as described in section 6.3. The steady state mineral SOC stock for annual cropland is estimated to be 89.77 tonnes C ha</w:t>
      </w:r>
      <w:r w:rsidRPr="00D9348B">
        <w:rPr>
          <w:vertAlign w:val="superscript"/>
        </w:rPr>
        <w:t>–1</w:t>
      </w:r>
      <w:r w:rsidRPr="00D9348B">
        <w:t>; for perennial cropland, it is estimated to be 88.44 tonnes C ha</w:t>
      </w:r>
      <w:r w:rsidRPr="00D9348B">
        <w:rPr>
          <w:vertAlign w:val="superscript"/>
        </w:rPr>
        <w:t>–1</w:t>
      </w:r>
      <w:r w:rsidRPr="00D9348B">
        <w:t xml:space="preserve"> (see table 6.3.2).</w:t>
      </w:r>
    </w:p>
    <w:p w14:paraId="376C51ED" w14:textId="77777777" w:rsidR="00A10636" w:rsidRPr="00D9348B" w:rsidRDefault="00A10636" w:rsidP="00A10636">
      <w:pPr>
        <w:pStyle w:val="BodyText"/>
      </w:pPr>
      <w:r w:rsidRPr="00D9348B">
        <w:t xml:space="preserve">Mineral soil carbon change for annual cropland converted to perennial cropland and vice versa is estimated using the IPCC default method of applying a linear rate of change over 20 years (equation 2.2.5, IPCC, 2006a). </w:t>
      </w:r>
    </w:p>
    <w:p w14:paraId="518FBE0C" w14:textId="77777777" w:rsidR="00A10636" w:rsidRPr="00D9348B" w:rsidRDefault="00A10636" w:rsidP="00A10636">
      <w:pPr>
        <w:pStyle w:val="BodyText"/>
      </w:pPr>
      <w:r w:rsidRPr="00D9348B">
        <w:t xml:space="preserve">The IPCC default emission factors for organic soils under </w:t>
      </w:r>
      <w:r w:rsidRPr="00D9348B">
        <w:rPr>
          <w:i/>
        </w:rPr>
        <w:t>Cropland</w:t>
      </w:r>
      <w:r w:rsidRPr="00D9348B">
        <w:t xml:space="preserve"> are 5.0 tonnes C ha</w:t>
      </w:r>
      <w:r w:rsidRPr="00D9348B">
        <w:rPr>
          <w:vertAlign w:val="superscript"/>
        </w:rPr>
        <w:t xml:space="preserve">–1 </w:t>
      </w:r>
      <w:r w:rsidRPr="00D9348B">
        <w:t>and 10.0 tonnes C ha</w:t>
      </w:r>
      <w:r w:rsidRPr="00D9348B">
        <w:rPr>
          <w:vertAlign w:val="superscript"/>
        </w:rPr>
        <w:t>–1</w:t>
      </w:r>
      <w:r w:rsidRPr="00D9348B">
        <w:t xml:space="preserve"> per annum for cold temperate and warm temperate regimes, respectively (see table 6.3.3).</w:t>
      </w:r>
    </w:p>
    <w:p w14:paraId="127AC11B" w14:textId="77777777" w:rsidR="00A10636" w:rsidRPr="00D9348B" w:rsidRDefault="00A10636" w:rsidP="00865BDB">
      <w:pPr>
        <w:pStyle w:val="Heading4"/>
      </w:pPr>
      <w:bookmarkStart w:id="1980" w:name="_Toc255466381"/>
      <w:bookmarkStart w:id="1981" w:name="_Toc261513188"/>
      <w:bookmarkStart w:id="1982" w:name="_Toc261513801"/>
      <w:bookmarkStart w:id="1983" w:name="_Toc280630272"/>
      <w:r w:rsidRPr="00D9348B">
        <w:t>Land converted to cropland</w:t>
      </w:r>
      <w:bookmarkEnd w:id="1980"/>
      <w:bookmarkEnd w:id="1981"/>
      <w:bookmarkEnd w:id="1982"/>
      <w:bookmarkEnd w:id="1983"/>
      <w:r w:rsidRPr="00D9348B">
        <w:t xml:space="preserve"> (CRF 4.B.2)</w:t>
      </w:r>
    </w:p>
    <w:p w14:paraId="0A4EEE1F" w14:textId="77777777" w:rsidR="00A10636" w:rsidRPr="00D9348B" w:rsidRDefault="00A10636" w:rsidP="00A10636">
      <w:pPr>
        <w:pStyle w:val="Heading5"/>
        <w:spacing w:before="120"/>
      </w:pPr>
      <w:bookmarkStart w:id="1984" w:name="_Toc255466382"/>
      <w:bookmarkStart w:id="1985" w:name="_Toc261513189"/>
      <w:bookmarkStart w:id="1986" w:name="_Toc261513802"/>
      <w:bookmarkStart w:id="1987" w:name="_Toc280630273"/>
      <w:r w:rsidRPr="00D9348B">
        <w:t>Living biomass</w:t>
      </w:r>
      <w:bookmarkEnd w:id="1984"/>
      <w:bookmarkEnd w:id="1985"/>
      <w:bookmarkEnd w:id="1986"/>
      <w:bookmarkEnd w:id="1987"/>
    </w:p>
    <w:p w14:paraId="1111CF6A" w14:textId="77777777" w:rsidR="00A10636" w:rsidRPr="00D9348B" w:rsidRDefault="00A10636" w:rsidP="00A10636">
      <w:pPr>
        <w:pStyle w:val="BodyText"/>
      </w:pPr>
      <w:r w:rsidRPr="00D9348B">
        <w:t xml:space="preserve">New Zealand uses a Tier 1 method, and a combination of IPCC default and New Zealand-specific emission factors, to calculate emissions for </w:t>
      </w:r>
      <w:r w:rsidRPr="00D9348B">
        <w:rPr>
          <w:i/>
        </w:rPr>
        <w:t>Land converted to cropland</w:t>
      </w:r>
      <w:r w:rsidRPr="00D9348B">
        <w:t xml:space="preserve">. The Tier 1 method multiplies the area of </w:t>
      </w:r>
      <w:r w:rsidRPr="00D9348B">
        <w:rPr>
          <w:i/>
        </w:rPr>
        <w:t>Land converted to cropland</w:t>
      </w:r>
      <w:r w:rsidRPr="00D9348B">
        <w:t xml:space="preserve"> annually by the carbon stock change per area for that type of conversion. </w:t>
      </w:r>
    </w:p>
    <w:p w14:paraId="734ED92A" w14:textId="77777777" w:rsidR="00A10636" w:rsidRPr="00D9348B" w:rsidRDefault="00A10636" w:rsidP="00A10636">
      <w:pPr>
        <w:pStyle w:val="BodyText"/>
        <w:rPr>
          <w:spacing w:val="-2"/>
        </w:rPr>
      </w:pPr>
      <w:r w:rsidRPr="00D9348B">
        <w:rPr>
          <w:spacing w:val="-2"/>
        </w:rPr>
        <w:t>The Tier 1 method assumes carbon in living biomass and dead organic matter immediately after conversion is zero; that is, the land is cleared of all vegetation before planting crops. The amount of biomass cleared when land at steady state is converted is shown in tables 6.1.3 and 6.1.4.</w:t>
      </w:r>
    </w:p>
    <w:p w14:paraId="32EE2149" w14:textId="77777777" w:rsidR="00A10636" w:rsidRPr="00D9348B" w:rsidRDefault="00A10636" w:rsidP="00A10636">
      <w:pPr>
        <w:pStyle w:val="BodyText"/>
      </w:pPr>
      <w:r w:rsidRPr="00D9348B">
        <w:t>The Tier 1 method also includes changes in carbon stocks from one year of growth in the year conversion takes place, as outlined in equation 2.5 of the 2006 IPCC Guidelines (IPCC, 2006a).</w:t>
      </w:r>
    </w:p>
    <w:p w14:paraId="747FBF43" w14:textId="77777777" w:rsidR="00A10636" w:rsidRPr="00D9348B" w:rsidRDefault="00A10636" w:rsidP="00A10636">
      <w:pPr>
        <w:pStyle w:val="BodyText"/>
      </w:pPr>
      <w:r w:rsidRPr="00D9348B">
        <w:t>To estimate growth after conversion to annual cropland, New Zealand uses the IPCC default biomass accumulation rate of 5.0 tonnes C ha</w:t>
      </w:r>
      <w:r w:rsidRPr="00D9348B">
        <w:rPr>
          <w:vertAlign w:val="superscript"/>
        </w:rPr>
        <w:t>–1</w:t>
      </w:r>
      <w:r w:rsidRPr="00D9348B">
        <w:t xml:space="preserve"> for the first year following conversion (table 5.9, IPCC, 2006a). After the first year, any increase in biomass stocks in annual cropland is assumed equal to biomass losses from harvest and mortality in that same year and, therefore, after the first year there is no net accumulation of biomass carbon stocks in </w:t>
      </w:r>
      <w:r w:rsidRPr="00D9348B">
        <w:rPr>
          <w:i/>
        </w:rPr>
        <w:t>Annual cropland remaining annual cropland</w:t>
      </w:r>
      <w:r w:rsidRPr="00D9348B">
        <w:t xml:space="preserve"> (IPCC, 2006a, section 5.2.1).</w:t>
      </w:r>
    </w:p>
    <w:p w14:paraId="63D9740F" w14:textId="77777777" w:rsidR="00A10636" w:rsidRPr="00D9348B" w:rsidRDefault="00A10636" w:rsidP="00A10636">
      <w:pPr>
        <w:pStyle w:val="BodyText"/>
      </w:pPr>
      <w:r w:rsidRPr="00D9348B">
        <w:t>To estimate growth after conversion to perennial cropland, New Zealand uses the biomass accumulation rate of 0.67 tonnes C ha</w:t>
      </w:r>
      <w:r w:rsidRPr="00D9348B">
        <w:rPr>
          <w:vertAlign w:val="superscript"/>
        </w:rPr>
        <w:t xml:space="preserve">–1 </w:t>
      </w:r>
      <w:r w:rsidRPr="00D9348B">
        <w:t>yr</w:t>
      </w:r>
      <w:r w:rsidRPr="00D9348B">
        <w:rPr>
          <w:vertAlign w:val="superscript"/>
        </w:rPr>
        <w:t>–1</w:t>
      </w:r>
      <w:r w:rsidRPr="00D9348B">
        <w:t xml:space="preserve">. This value is based on the New Zealand-specific </w:t>
      </w:r>
      <w:r w:rsidRPr="00D9348B">
        <w:lastRenderedPageBreak/>
        <w:t>value of 18.76 tonnes C ha</w:t>
      </w:r>
      <w:r w:rsidRPr="00D9348B">
        <w:rPr>
          <w:spacing w:val="-2"/>
          <w:vertAlign w:val="superscript"/>
        </w:rPr>
        <w:t>–1</w:t>
      </w:r>
      <w:r w:rsidRPr="00D9348B">
        <w:t xml:space="preserve"> (</w:t>
      </w:r>
      <w:r w:rsidRPr="00D9348B">
        <w:rPr>
          <w:spacing w:val="-2"/>
        </w:rPr>
        <w:t xml:space="preserve">Davis and Wakelin, </w:t>
      </w:r>
      <w:r w:rsidRPr="00D9348B">
        <w:t>unpublished). Biomass accumulation stops at the end of the transition period, 28 years. It is assumed that any biomass gains after the 28</w:t>
      </w:r>
      <w:r w:rsidRPr="00D9348B">
        <w:noBreakHyphen/>
        <w:t>year transition period are compensated for by biomass loss from pruning and other management practices, resulting in a net zero change in biomass stock of perennial cropland remaining perennial cropland. This assumption, while applied to the 2020 submission, is being reviewed for the 2021 submission (see section 6.5.6 below).</w:t>
      </w:r>
    </w:p>
    <w:p w14:paraId="28465411" w14:textId="77777777" w:rsidR="00A10636" w:rsidRPr="00D9348B" w:rsidRDefault="00A10636" w:rsidP="00A10636">
      <w:pPr>
        <w:pStyle w:val="Heading5"/>
      </w:pPr>
      <w:bookmarkStart w:id="1988" w:name="_Toc255466383"/>
      <w:bookmarkStart w:id="1989" w:name="_Toc261513190"/>
      <w:bookmarkStart w:id="1990" w:name="_Toc261513803"/>
      <w:bookmarkStart w:id="1991" w:name="_Toc280630274"/>
      <w:r w:rsidRPr="00D9348B">
        <w:t>Dead organic matter</w:t>
      </w:r>
      <w:bookmarkEnd w:id="1988"/>
      <w:bookmarkEnd w:id="1989"/>
      <w:bookmarkEnd w:id="1990"/>
      <w:bookmarkEnd w:id="1991"/>
    </w:p>
    <w:p w14:paraId="2D13EA3E" w14:textId="77777777" w:rsidR="00A10636" w:rsidRPr="00D9348B" w:rsidRDefault="00A10636" w:rsidP="00A10636">
      <w:pPr>
        <w:pStyle w:val="BodyText"/>
        <w:rPr>
          <w:spacing w:val="-2"/>
        </w:rPr>
      </w:pPr>
      <w:r w:rsidRPr="00D9348B">
        <w:rPr>
          <w:spacing w:val="-2"/>
        </w:rPr>
        <w:t>New Zealand reports only losses in dead organic matter associated with the previous land use for this category. The losses are calculated based on the carbon in dead organic matter at the site prior to conversion to cropland. It is assumed that, immediately after conversion, dead organic matter is zero (all carbon in dead organic matter prior to conversion is instantly oxidised in the year of conversion). There is insufficient information to estimate gain in carbon stock in dead organic matter pools after land is converted to cropland (IPCC, 2006a). Consequently, where there are no dead organic matter losses associated with the previous land use, the notation key NE (not estimated) is used in the CRF tables in accordance with Decision 24/CP.19 (UNFCCC, 2014).</w:t>
      </w:r>
    </w:p>
    <w:p w14:paraId="700E0CBC" w14:textId="77777777" w:rsidR="00A10636" w:rsidRPr="00D9348B" w:rsidRDefault="00A10636" w:rsidP="00A10636">
      <w:pPr>
        <w:pStyle w:val="Heading5"/>
      </w:pPr>
      <w:bookmarkStart w:id="1992" w:name="_Toc255466384"/>
      <w:bookmarkStart w:id="1993" w:name="_Toc261513191"/>
      <w:bookmarkStart w:id="1994" w:name="_Toc261513804"/>
      <w:bookmarkStart w:id="1995" w:name="_Toc280630275"/>
      <w:r w:rsidRPr="00D9348B">
        <w:t>Soil organic carbon</w:t>
      </w:r>
      <w:bookmarkEnd w:id="1992"/>
      <w:bookmarkEnd w:id="1993"/>
      <w:bookmarkEnd w:id="1994"/>
      <w:bookmarkEnd w:id="1995"/>
    </w:p>
    <w:p w14:paraId="660B7BAF" w14:textId="77777777" w:rsidR="00A10636" w:rsidRPr="00D9348B" w:rsidRDefault="00A10636" w:rsidP="00A10636">
      <w:pPr>
        <w:pStyle w:val="BodyText"/>
      </w:pPr>
      <w:bookmarkStart w:id="1996" w:name="_Toc255466385"/>
      <w:bookmarkStart w:id="1997" w:name="_Toc261513192"/>
      <w:bookmarkStart w:id="1998" w:name="_Toc261513805"/>
      <w:bookmarkStart w:id="1999" w:name="_Toc280630276"/>
      <w:r w:rsidRPr="00D9348B">
        <w:t xml:space="preserve">SOC stocks in land converted to annual and perennial cropland are estimated using a Tier 2 method for mineral soils and a Tier 1 method for organic soils, as described in section 6.3. In the absence of data on the rate of change specific to country and land use, the IPCC default of a linear change over a 20-year period is used to estimate the change in SOC stocks between the original and new land uses. </w:t>
      </w:r>
    </w:p>
    <w:p w14:paraId="6194DE49" w14:textId="77777777" w:rsidR="00A10636" w:rsidRPr="00D9348B" w:rsidRDefault="00A10636" w:rsidP="00A10636">
      <w:pPr>
        <w:pStyle w:val="BodyText"/>
      </w:pPr>
      <w:r w:rsidRPr="00D9348B">
        <w:t xml:space="preserve">The IPCC default emission factors for organic soils under </w:t>
      </w:r>
      <w:r w:rsidRPr="00D9348B">
        <w:rPr>
          <w:i/>
        </w:rPr>
        <w:t>Cropland</w:t>
      </w:r>
      <w:r w:rsidRPr="00D9348B">
        <w:t xml:space="preserve"> are also applied to </w:t>
      </w:r>
      <w:r w:rsidRPr="00D9348B">
        <w:rPr>
          <w:i/>
        </w:rPr>
        <w:t>Land converted to cropland</w:t>
      </w:r>
      <w:r w:rsidRPr="00D9348B">
        <w:t>.</w:t>
      </w:r>
    </w:p>
    <w:p w14:paraId="27207E13" w14:textId="77777777" w:rsidR="00A10636" w:rsidRPr="00D9348B" w:rsidRDefault="00A10636" w:rsidP="00412BA2">
      <w:pPr>
        <w:pStyle w:val="Heading5"/>
        <w:spacing w:before="160"/>
      </w:pPr>
      <w:r w:rsidRPr="00D9348B">
        <w:t>Non-CO</w:t>
      </w:r>
      <w:r w:rsidRPr="00D9348B">
        <w:rPr>
          <w:vertAlign w:val="subscript"/>
        </w:rPr>
        <w:t>2</w:t>
      </w:r>
      <w:r w:rsidRPr="00D9348B">
        <w:t xml:space="preserve"> emissions</w:t>
      </w:r>
      <w:bookmarkEnd w:id="1996"/>
      <w:bookmarkEnd w:id="1997"/>
      <w:bookmarkEnd w:id="1998"/>
      <w:bookmarkEnd w:id="1999"/>
    </w:p>
    <w:p w14:paraId="2491536E" w14:textId="77777777" w:rsidR="00A10636" w:rsidRPr="00D9348B" w:rsidRDefault="00A10636" w:rsidP="00A10636">
      <w:pPr>
        <w:pStyle w:val="Heading6"/>
        <w:spacing w:before="120"/>
      </w:pPr>
      <w:bookmarkStart w:id="2000" w:name="_Toc255466386"/>
      <w:bookmarkStart w:id="2001" w:name="_Toc261513193"/>
      <w:bookmarkStart w:id="2002" w:name="_Toc261513806"/>
      <w:r w:rsidRPr="00D9348B">
        <w:t>Nitrous oxide emissions from disturbance associated with land-use conversion to cropland</w:t>
      </w:r>
      <w:bookmarkEnd w:id="2000"/>
      <w:bookmarkEnd w:id="2001"/>
      <w:bookmarkEnd w:id="2002"/>
    </w:p>
    <w:p w14:paraId="763A6319" w14:textId="77777777" w:rsidR="00A10636" w:rsidRPr="00D9348B" w:rsidRDefault="00A10636" w:rsidP="00A10636">
      <w:pPr>
        <w:pStyle w:val="BodyText"/>
      </w:pPr>
      <w:r w:rsidRPr="00D9348B">
        <w:t xml:space="preserve">Nitrous oxide emissions from disturbance associated with land-use conversion to cropland are described in section 6.11.3. </w:t>
      </w:r>
    </w:p>
    <w:p w14:paraId="38F8A281" w14:textId="77777777" w:rsidR="00A10636" w:rsidRPr="00D9348B" w:rsidRDefault="00A10636" w:rsidP="00412BA2">
      <w:pPr>
        <w:pStyle w:val="Heading3"/>
        <w:spacing w:before="280"/>
      </w:pPr>
      <w:bookmarkStart w:id="2003" w:name="_Toc139253965"/>
      <w:bookmarkStart w:id="2004" w:name="_Toc255466388"/>
      <w:bookmarkStart w:id="2005" w:name="_Toc261513195"/>
      <w:bookmarkStart w:id="2006" w:name="_Toc261513808"/>
      <w:bookmarkStart w:id="2007" w:name="_Toc280630277"/>
      <w:r w:rsidRPr="00D9348B">
        <w:t>6.5.3</w:t>
      </w:r>
      <w:r w:rsidRPr="00D9348B">
        <w:tab/>
        <w:t>Uncertainties and time-series consistency</w:t>
      </w:r>
      <w:bookmarkEnd w:id="2003"/>
      <w:bookmarkEnd w:id="2004"/>
      <w:bookmarkEnd w:id="2005"/>
      <w:bookmarkEnd w:id="2006"/>
      <w:bookmarkEnd w:id="2007"/>
    </w:p>
    <w:p w14:paraId="357F0269" w14:textId="77777777" w:rsidR="00A10636" w:rsidRPr="00D9348B" w:rsidRDefault="00A10636" w:rsidP="00A10636">
      <w:pPr>
        <w:pStyle w:val="BodyText"/>
      </w:pPr>
      <w:r w:rsidRPr="00D9348B">
        <w:t xml:space="preserve">The uncertainty in mapping </w:t>
      </w:r>
      <w:r w:rsidRPr="00D9348B">
        <w:rPr>
          <w:i/>
        </w:rPr>
        <w:t>Cropland</w:t>
      </w:r>
      <w:r w:rsidRPr="00D9348B">
        <w:t xml:space="preserve"> is </w:t>
      </w:r>
      <w:r w:rsidRPr="00D9348B">
        <w:sym w:font="Symbol" w:char="F0B1"/>
      </w:r>
      <w:r w:rsidRPr="00D9348B">
        <w:t>8.0 per cent (see table 6.5.6). Further details are given in section 6.2.5 and Dymond et al. (2008).</w:t>
      </w:r>
    </w:p>
    <w:p w14:paraId="648C3DED" w14:textId="46CAABE9" w:rsidR="00A10636" w:rsidRPr="00D9348B" w:rsidRDefault="00A10636" w:rsidP="00A10636">
      <w:pPr>
        <w:pStyle w:val="BodyText"/>
      </w:pPr>
      <w:r w:rsidRPr="00D9348B">
        <w:t xml:space="preserve">New Zealand uses IPCC default values for biomass accumulation in annual cropland. For perennial cropland, a New Zealand-specific emission factor is used (Davis and Wakelin, unpublished). As the perennial and annual cropland emission factors are based on only a limited number of biomass studies, the uncertainty in these figures is estimated as </w:t>
      </w:r>
      <w:r w:rsidRPr="00D9348B">
        <w:sym w:font="Symbol" w:char="F0B1"/>
      </w:r>
      <w:r w:rsidRPr="00D9348B">
        <w:t>75</w:t>
      </w:r>
      <w:r w:rsidR="0081078E" w:rsidRPr="00D9348B">
        <w:t> </w:t>
      </w:r>
      <w:r w:rsidRPr="00D9348B">
        <w:t>per</w:t>
      </w:r>
      <w:r w:rsidR="0081078E" w:rsidRPr="00D9348B">
        <w:t> </w:t>
      </w:r>
      <w:r w:rsidRPr="00D9348B">
        <w:t>cent (table 5.9, IPCC, 2006a).</w:t>
      </w:r>
    </w:p>
    <w:p w14:paraId="73308762" w14:textId="77777777" w:rsidR="00A10636" w:rsidRPr="00D9348B" w:rsidRDefault="00A10636" w:rsidP="00A10636">
      <w:pPr>
        <w:pStyle w:val="BodyText"/>
      </w:pPr>
      <w:r w:rsidRPr="00D9348B">
        <w:t xml:space="preserve">For mineral soils, the uncertainty is </w:t>
      </w:r>
      <w:r w:rsidRPr="00D9348B">
        <w:sym w:font="Symbol" w:char="F0B1"/>
      </w:r>
      <w:r w:rsidRPr="00D9348B">
        <w:t xml:space="preserve">9.7 per cent for SOC in annual cropland and </w:t>
      </w:r>
      <w:r w:rsidRPr="00D9348B">
        <w:sym w:font="Symbol" w:char="F0B1"/>
      </w:r>
      <w:r w:rsidRPr="00D9348B">
        <w:t>14.1 per cent for SOC in perennial cropland, as calculated from the Tier 2 method estimates of SOC (see table 6.5.6). For organic soils, New Zealand uses IPCC default values for annual and perennial cropland. The uncertainty associated with the IPCC default values is 95 per cent (based on table 2.3, IPCC, 2006a).</w:t>
      </w:r>
    </w:p>
    <w:p w14:paraId="27C6B616" w14:textId="77777777" w:rsidR="00A10636" w:rsidRPr="00D9348B" w:rsidRDefault="00A10636" w:rsidP="00A10636">
      <w:pPr>
        <w:pStyle w:val="BodyText"/>
      </w:pPr>
      <w:r w:rsidRPr="00D9348B">
        <w:lastRenderedPageBreak/>
        <w:t>As shown in table 6.5.6, while uncertainty in activity data is low, the uncertainty in the IPCC default variables dominates the overall uncertainty in the estimate provided by New Zealand.</w:t>
      </w:r>
    </w:p>
    <w:p w14:paraId="0D442AA9" w14:textId="77777777" w:rsidR="00A10636" w:rsidRPr="00D9348B" w:rsidRDefault="00A10636" w:rsidP="00A10636">
      <w:pPr>
        <w:pStyle w:val="Table"/>
      </w:pPr>
      <w:bookmarkStart w:id="2008" w:name="_Toc280630463"/>
      <w:bookmarkStart w:id="2009" w:name="_Toc310423419"/>
      <w:bookmarkStart w:id="2010" w:name="_Toc318362712"/>
      <w:bookmarkStart w:id="2011" w:name="_Toc342470774"/>
      <w:bookmarkStart w:id="2012" w:name="_Toc352505014"/>
      <w:bookmarkStart w:id="2013" w:name="_Toc378853305"/>
      <w:bookmarkStart w:id="2014" w:name="_Toc391024103"/>
      <w:bookmarkStart w:id="2015" w:name="_Toc410028846"/>
      <w:bookmarkStart w:id="2016" w:name="_Toc414531474"/>
      <w:bookmarkStart w:id="2017" w:name="_Toc443645387"/>
      <w:bookmarkStart w:id="2018" w:name="_Toc474914606"/>
      <w:bookmarkStart w:id="2019" w:name="_Toc481751570"/>
      <w:bookmarkStart w:id="2020" w:name="_Toc522010627"/>
      <w:bookmarkStart w:id="2021" w:name="_Toc5269532"/>
      <w:bookmarkStart w:id="2022" w:name="_Toc33529406"/>
      <w:bookmarkStart w:id="2023" w:name="_Toc36224612"/>
      <w:r w:rsidRPr="00D9348B">
        <w:t>Table 6.5.6</w:t>
      </w:r>
      <w:r w:rsidRPr="00D9348B">
        <w:tab/>
        <w:t>Uncertainty in New Zealand’s 2018 Cropland estimates</w:t>
      </w:r>
      <w:bookmarkEnd w:id="2008"/>
      <w:bookmarkEnd w:id="2009"/>
      <w:bookmarkEnd w:id="2010"/>
      <w:bookmarkEnd w:id="2011"/>
      <w:r w:rsidRPr="00D9348B">
        <w:t xml:space="preserve"> (including land in transition)</w:t>
      </w:r>
      <w:bookmarkEnd w:id="2012"/>
      <w:bookmarkEnd w:id="2013"/>
      <w:bookmarkEnd w:id="2014"/>
      <w:bookmarkEnd w:id="2015"/>
      <w:bookmarkEnd w:id="2016"/>
      <w:bookmarkEnd w:id="2017"/>
      <w:bookmarkEnd w:id="2018"/>
      <w:bookmarkEnd w:id="2019"/>
      <w:bookmarkEnd w:id="2020"/>
      <w:bookmarkEnd w:id="2021"/>
      <w:bookmarkEnd w:id="2022"/>
      <w:bookmarkEnd w:id="2023"/>
    </w:p>
    <w:tbl>
      <w:tblPr>
        <w:tblW w:w="8505" w:type="dxa"/>
        <w:tblInd w:w="108" w:type="dxa"/>
        <w:tblLook w:val="04A0" w:firstRow="1" w:lastRow="0" w:firstColumn="1" w:lastColumn="0" w:noHBand="0" w:noVBand="1"/>
      </w:tblPr>
      <w:tblGrid>
        <w:gridCol w:w="4719"/>
        <w:gridCol w:w="1788"/>
        <w:gridCol w:w="1998"/>
      </w:tblGrid>
      <w:tr w:rsidR="00A10636" w:rsidRPr="00D9348B" w14:paraId="7DE6B2A1" w14:textId="77777777" w:rsidTr="00412BA2">
        <w:tc>
          <w:tcPr>
            <w:tcW w:w="4404" w:type="dxa"/>
            <w:tcBorders>
              <w:top w:val="single" w:sz="4" w:space="0" w:color="365F91"/>
            </w:tcBorders>
            <w:shd w:val="clear" w:color="auto" w:fill="365F91"/>
            <w:noWrap/>
            <w:vAlign w:val="bottom"/>
            <w:hideMark/>
          </w:tcPr>
          <w:p w14:paraId="0B253F82" w14:textId="77777777" w:rsidR="00A10636" w:rsidRPr="00D9348B" w:rsidRDefault="00A10636" w:rsidP="00DB330E">
            <w:pPr>
              <w:pStyle w:val="TableTextBold"/>
              <w:keepNext/>
              <w:rPr>
                <w:noProof w:val="0"/>
                <w:color w:val="FFFFFF"/>
              </w:rPr>
            </w:pPr>
            <w:bookmarkStart w:id="2024" w:name="_Toc139253966"/>
            <w:bookmarkStart w:id="2025" w:name="_Toc255466389"/>
            <w:bookmarkStart w:id="2026" w:name="_Toc261513196"/>
            <w:bookmarkStart w:id="2027" w:name="_Toc261513809"/>
            <w:bookmarkStart w:id="2028" w:name="_Toc280630278"/>
          </w:p>
        </w:tc>
        <w:tc>
          <w:tcPr>
            <w:tcW w:w="3534" w:type="dxa"/>
            <w:gridSpan w:val="2"/>
            <w:tcBorders>
              <w:top w:val="single" w:sz="4" w:space="0" w:color="365F91"/>
            </w:tcBorders>
            <w:shd w:val="clear" w:color="auto" w:fill="365F91"/>
            <w:noWrap/>
            <w:hideMark/>
          </w:tcPr>
          <w:p w14:paraId="2F0214DA" w14:textId="77777777" w:rsidR="00A10636" w:rsidRPr="00D9348B" w:rsidRDefault="00A10636" w:rsidP="00DB330E">
            <w:pPr>
              <w:pStyle w:val="TableTextBold"/>
              <w:keepNext/>
              <w:spacing w:after="0"/>
              <w:jc w:val="center"/>
              <w:rPr>
                <w:noProof w:val="0"/>
                <w:color w:val="FFFFFF"/>
              </w:rPr>
            </w:pPr>
            <w:r w:rsidRPr="00D9348B">
              <w:rPr>
                <w:noProof w:val="0"/>
                <w:color w:val="FFFFFF"/>
              </w:rPr>
              <w:t>Uncertainty at a 95% confidence interval</w:t>
            </w:r>
          </w:p>
        </w:tc>
      </w:tr>
      <w:tr w:rsidR="00A10636" w:rsidRPr="00D9348B" w14:paraId="72ABECC1" w14:textId="77777777" w:rsidTr="00412BA2">
        <w:tc>
          <w:tcPr>
            <w:tcW w:w="4404" w:type="dxa"/>
            <w:tcBorders>
              <w:bottom w:val="single" w:sz="4" w:space="0" w:color="365F91"/>
            </w:tcBorders>
            <w:shd w:val="clear" w:color="auto" w:fill="365F91"/>
            <w:noWrap/>
            <w:vAlign w:val="bottom"/>
          </w:tcPr>
          <w:p w14:paraId="165FB69D" w14:textId="77777777" w:rsidR="00A10636" w:rsidRPr="00D9348B" w:rsidRDefault="00A10636" w:rsidP="00DB330E">
            <w:pPr>
              <w:pStyle w:val="TableTextBold"/>
              <w:keepNext/>
              <w:spacing w:before="0"/>
              <w:rPr>
                <w:noProof w:val="0"/>
                <w:color w:val="FFFFFF"/>
              </w:rPr>
            </w:pPr>
          </w:p>
        </w:tc>
        <w:tc>
          <w:tcPr>
            <w:tcW w:w="1669" w:type="dxa"/>
            <w:tcBorders>
              <w:bottom w:val="single" w:sz="4" w:space="0" w:color="365F91"/>
            </w:tcBorders>
            <w:shd w:val="clear" w:color="auto" w:fill="365F91"/>
            <w:noWrap/>
            <w:vAlign w:val="bottom"/>
          </w:tcPr>
          <w:p w14:paraId="70ED5CB4" w14:textId="77777777" w:rsidR="00A10636" w:rsidRPr="00D9348B" w:rsidRDefault="00A10636" w:rsidP="00DB330E">
            <w:pPr>
              <w:pStyle w:val="TableTextBold"/>
              <w:keepNext/>
              <w:spacing w:before="0"/>
              <w:jc w:val="center"/>
              <w:rPr>
                <w:noProof w:val="0"/>
                <w:color w:val="FFFFFF"/>
              </w:rPr>
            </w:pPr>
            <w:r w:rsidRPr="00D9348B">
              <w:rPr>
                <w:noProof w:val="0"/>
                <w:color w:val="FFFFFF"/>
              </w:rPr>
              <w:t>Annual cropland (%)</w:t>
            </w:r>
          </w:p>
        </w:tc>
        <w:tc>
          <w:tcPr>
            <w:tcW w:w="1865" w:type="dxa"/>
            <w:tcBorders>
              <w:bottom w:val="single" w:sz="4" w:space="0" w:color="365F91"/>
            </w:tcBorders>
            <w:shd w:val="clear" w:color="auto" w:fill="365F91"/>
            <w:noWrap/>
            <w:vAlign w:val="bottom"/>
          </w:tcPr>
          <w:p w14:paraId="5D0A6405" w14:textId="77777777" w:rsidR="00A10636" w:rsidRPr="00D9348B" w:rsidRDefault="00A10636" w:rsidP="00DB330E">
            <w:pPr>
              <w:pStyle w:val="TableTextBold"/>
              <w:keepNext/>
              <w:spacing w:before="0"/>
              <w:jc w:val="center"/>
              <w:rPr>
                <w:noProof w:val="0"/>
                <w:color w:val="FFFFFF"/>
              </w:rPr>
            </w:pPr>
            <w:r w:rsidRPr="00D9348B">
              <w:rPr>
                <w:noProof w:val="0"/>
                <w:color w:val="FFFFFF"/>
              </w:rPr>
              <w:t>Perennial cropland (%)</w:t>
            </w:r>
          </w:p>
        </w:tc>
      </w:tr>
      <w:tr w:rsidR="00A10636" w:rsidRPr="00D9348B" w14:paraId="4152A835" w14:textId="77777777" w:rsidTr="00412BA2">
        <w:tc>
          <w:tcPr>
            <w:tcW w:w="4404" w:type="dxa"/>
            <w:tcBorders>
              <w:top w:val="single" w:sz="4" w:space="0" w:color="365F91"/>
              <w:bottom w:val="single" w:sz="4" w:space="0" w:color="365F91"/>
            </w:tcBorders>
            <w:noWrap/>
            <w:hideMark/>
          </w:tcPr>
          <w:p w14:paraId="48A69941" w14:textId="77777777" w:rsidR="00A10636" w:rsidRPr="00D9348B" w:rsidRDefault="00A10636" w:rsidP="00DB330E">
            <w:pPr>
              <w:pStyle w:val="TableTextBold"/>
              <w:rPr>
                <w:noProof w:val="0"/>
              </w:rPr>
            </w:pPr>
            <w:r w:rsidRPr="00D9348B">
              <w:rPr>
                <w:noProof w:val="0"/>
              </w:rPr>
              <w:t>Activity data</w:t>
            </w:r>
          </w:p>
        </w:tc>
        <w:tc>
          <w:tcPr>
            <w:tcW w:w="1669" w:type="dxa"/>
            <w:tcBorders>
              <w:top w:val="single" w:sz="4" w:space="0" w:color="365F91"/>
              <w:bottom w:val="single" w:sz="4" w:space="0" w:color="365F91"/>
            </w:tcBorders>
            <w:noWrap/>
            <w:hideMark/>
          </w:tcPr>
          <w:p w14:paraId="3A52373E" w14:textId="77777777" w:rsidR="00A10636" w:rsidRPr="00D9348B" w:rsidRDefault="00A10636" w:rsidP="00DB330E">
            <w:pPr>
              <w:pStyle w:val="TableTextBold"/>
              <w:tabs>
                <w:tab w:val="decimal" w:pos="325"/>
              </w:tabs>
              <w:jc w:val="center"/>
              <w:rPr>
                <w:noProof w:val="0"/>
              </w:rPr>
            </w:pPr>
          </w:p>
        </w:tc>
        <w:tc>
          <w:tcPr>
            <w:tcW w:w="1865" w:type="dxa"/>
            <w:tcBorders>
              <w:top w:val="single" w:sz="4" w:space="0" w:color="365F91"/>
              <w:bottom w:val="single" w:sz="4" w:space="0" w:color="365F91"/>
            </w:tcBorders>
            <w:noWrap/>
            <w:hideMark/>
          </w:tcPr>
          <w:p w14:paraId="7F1E1D30" w14:textId="77777777" w:rsidR="00A10636" w:rsidRPr="00D9348B" w:rsidRDefault="00A10636" w:rsidP="00DB330E">
            <w:pPr>
              <w:pStyle w:val="TableTextBold"/>
              <w:tabs>
                <w:tab w:val="decimal" w:pos="325"/>
              </w:tabs>
              <w:jc w:val="center"/>
              <w:rPr>
                <w:noProof w:val="0"/>
              </w:rPr>
            </w:pPr>
          </w:p>
        </w:tc>
      </w:tr>
      <w:tr w:rsidR="00A10636" w:rsidRPr="00D9348B" w14:paraId="69340604" w14:textId="77777777" w:rsidTr="00412BA2">
        <w:tc>
          <w:tcPr>
            <w:tcW w:w="4404" w:type="dxa"/>
            <w:tcBorders>
              <w:top w:val="single" w:sz="4" w:space="0" w:color="365F91"/>
              <w:bottom w:val="single" w:sz="4" w:space="0" w:color="365F91"/>
            </w:tcBorders>
            <w:noWrap/>
            <w:hideMark/>
          </w:tcPr>
          <w:p w14:paraId="1B0BD724" w14:textId="77777777" w:rsidR="00A10636" w:rsidRPr="00D9348B" w:rsidRDefault="00A10636" w:rsidP="00DB330E">
            <w:pPr>
              <w:pStyle w:val="TableText"/>
            </w:pPr>
            <w:r w:rsidRPr="00D9348B">
              <w:t>Uncertainty in land area</w:t>
            </w:r>
          </w:p>
        </w:tc>
        <w:tc>
          <w:tcPr>
            <w:tcW w:w="1669" w:type="dxa"/>
            <w:tcBorders>
              <w:top w:val="single" w:sz="4" w:space="0" w:color="365F91"/>
              <w:bottom w:val="single" w:sz="4" w:space="0" w:color="365F91"/>
            </w:tcBorders>
            <w:noWrap/>
            <w:hideMark/>
          </w:tcPr>
          <w:p w14:paraId="30494A69" w14:textId="77777777" w:rsidR="00A10636" w:rsidRPr="00D9348B" w:rsidRDefault="00A10636" w:rsidP="00DB330E">
            <w:pPr>
              <w:pStyle w:val="TableText"/>
              <w:tabs>
                <w:tab w:val="decimal" w:pos="325"/>
              </w:tabs>
              <w:jc w:val="center"/>
            </w:pPr>
            <w:r w:rsidRPr="00D9348B">
              <w:t>±8.0</w:t>
            </w:r>
          </w:p>
        </w:tc>
        <w:tc>
          <w:tcPr>
            <w:tcW w:w="1865" w:type="dxa"/>
            <w:tcBorders>
              <w:top w:val="single" w:sz="4" w:space="0" w:color="365F91"/>
              <w:bottom w:val="single" w:sz="4" w:space="0" w:color="365F91"/>
            </w:tcBorders>
            <w:noWrap/>
            <w:hideMark/>
          </w:tcPr>
          <w:p w14:paraId="06B858D1" w14:textId="77777777" w:rsidR="00A10636" w:rsidRPr="00D9348B" w:rsidRDefault="00A10636" w:rsidP="00DB330E">
            <w:pPr>
              <w:pStyle w:val="TableText"/>
              <w:tabs>
                <w:tab w:val="decimal" w:pos="325"/>
              </w:tabs>
              <w:jc w:val="center"/>
            </w:pPr>
            <w:r w:rsidRPr="00D9348B">
              <w:t>±8.0</w:t>
            </w:r>
          </w:p>
        </w:tc>
      </w:tr>
      <w:tr w:rsidR="00A10636" w:rsidRPr="00D9348B" w14:paraId="715B604B" w14:textId="77777777" w:rsidTr="00412BA2">
        <w:tc>
          <w:tcPr>
            <w:tcW w:w="4404" w:type="dxa"/>
            <w:tcBorders>
              <w:top w:val="single" w:sz="4" w:space="0" w:color="365F91"/>
              <w:bottom w:val="single" w:sz="4" w:space="0" w:color="365F91"/>
            </w:tcBorders>
            <w:noWrap/>
            <w:hideMark/>
          </w:tcPr>
          <w:p w14:paraId="0BD7BB39" w14:textId="77777777" w:rsidR="00A10636" w:rsidRPr="00D9348B" w:rsidRDefault="00A10636" w:rsidP="00DB330E">
            <w:pPr>
              <w:pStyle w:val="TableTextBold"/>
              <w:rPr>
                <w:noProof w:val="0"/>
              </w:rPr>
            </w:pPr>
            <w:r w:rsidRPr="00D9348B">
              <w:rPr>
                <w:noProof w:val="0"/>
              </w:rPr>
              <w:t>Emission factors</w:t>
            </w:r>
          </w:p>
        </w:tc>
        <w:tc>
          <w:tcPr>
            <w:tcW w:w="1669" w:type="dxa"/>
            <w:tcBorders>
              <w:top w:val="single" w:sz="4" w:space="0" w:color="365F91"/>
              <w:bottom w:val="single" w:sz="4" w:space="0" w:color="365F91"/>
            </w:tcBorders>
            <w:noWrap/>
            <w:hideMark/>
          </w:tcPr>
          <w:p w14:paraId="6E361F2B" w14:textId="77777777" w:rsidR="00A10636" w:rsidRPr="00D9348B" w:rsidRDefault="00A10636" w:rsidP="00DB330E">
            <w:pPr>
              <w:pStyle w:val="TableTextBold"/>
              <w:tabs>
                <w:tab w:val="decimal" w:pos="325"/>
              </w:tabs>
              <w:jc w:val="center"/>
              <w:rPr>
                <w:noProof w:val="0"/>
              </w:rPr>
            </w:pPr>
          </w:p>
        </w:tc>
        <w:tc>
          <w:tcPr>
            <w:tcW w:w="1865" w:type="dxa"/>
            <w:tcBorders>
              <w:top w:val="single" w:sz="4" w:space="0" w:color="365F91"/>
              <w:bottom w:val="single" w:sz="4" w:space="0" w:color="365F91"/>
            </w:tcBorders>
            <w:noWrap/>
            <w:hideMark/>
          </w:tcPr>
          <w:p w14:paraId="2D56ADEE" w14:textId="77777777" w:rsidR="00A10636" w:rsidRPr="00D9348B" w:rsidRDefault="00A10636" w:rsidP="00DB330E">
            <w:pPr>
              <w:pStyle w:val="TableTextBold"/>
              <w:tabs>
                <w:tab w:val="decimal" w:pos="325"/>
              </w:tabs>
              <w:jc w:val="center"/>
              <w:rPr>
                <w:noProof w:val="0"/>
              </w:rPr>
            </w:pPr>
          </w:p>
        </w:tc>
      </w:tr>
      <w:tr w:rsidR="00A10636" w:rsidRPr="00D9348B" w14:paraId="5C43F01A" w14:textId="77777777" w:rsidTr="00412BA2">
        <w:tc>
          <w:tcPr>
            <w:tcW w:w="4404" w:type="dxa"/>
            <w:tcBorders>
              <w:top w:val="single" w:sz="4" w:space="0" w:color="365F91"/>
              <w:bottom w:val="single" w:sz="4" w:space="0" w:color="365F91"/>
            </w:tcBorders>
            <w:noWrap/>
            <w:hideMark/>
          </w:tcPr>
          <w:p w14:paraId="598A1F78" w14:textId="77777777" w:rsidR="00A10636" w:rsidRPr="00D9348B" w:rsidRDefault="00A10636" w:rsidP="00DB330E">
            <w:pPr>
              <w:pStyle w:val="TableText"/>
            </w:pPr>
            <w:r w:rsidRPr="00D9348B">
              <w:t>Uncertainty in biomass carbon stocks</w:t>
            </w:r>
          </w:p>
        </w:tc>
        <w:tc>
          <w:tcPr>
            <w:tcW w:w="1669" w:type="dxa"/>
            <w:tcBorders>
              <w:top w:val="single" w:sz="4" w:space="0" w:color="365F91"/>
              <w:bottom w:val="single" w:sz="4" w:space="0" w:color="365F91"/>
            </w:tcBorders>
            <w:noWrap/>
            <w:hideMark/>
          </w:tcPr>
          <w:p w14:paraId="22E6331C" w14:textId="77777777" w:rsidR="00A10636" w:rsidRPr="00D9348B" w:rsidRDefault="00A10636" w:rsidP="00DB330E">
            <w:pPr>
              <w:pStyle w:val="TableText"/>
              <w:tabs>
                <w:tab w:val="decimal" w:pos="325"/>
              </w:tabs>
              <w:jc w:val="center"/>
            </w:pPr>
            <w:r w:rsidRPr="00D9348B">
              <w:t>±75.0</w:t>
            </w:r>
          </w:p>
        </w:tc>
        <w:tc>
          <w:tcPr>
            <w:tcW w:w="1865" w:type="dxa"/>
            <w:tcBorders>
              <w:top w:val="single" w:sz="4" w:space="0" w:color="365F91"/>
              <w:bottom w:val="single" w:sz="4" w:space="0" w:color="365F91"/>
            </w:tcBorders>
            <w:noWrap/>
            <w:hideMark/>
          </w:tcPr>
          <w:p w14:paraId="74437DF4" w14:textId="77777777" w:rsidR="00A10636" w:rsidRPr="00D9348B" w:rsidRDefault="00A10636" w:rsidP="00DB330E">
            <w:pPr>
              <w:pStyle w:val="TableText"/>
              <w:tabs>
                <w:tab w:val="decimal" w:pos="325"/>
              </w:tabs>
              <w:jc w:val="center"/>
            </w:pPr>
            <w:r w:rsidRPr="00D9348B">
              <w:t>±75.0</w:t>
            </w:r>
          </w:p>
        </w:tc>
      </w:tr>
      <w:tr w:rsidR="00A10636" w:rsidRPr="00D9348B" w14:paraId="59F82246" w14:textId="77777777" w:rsidTr="00412BA2">
        <w:tc>
          <w:tcPr>
            <w:tcW w:w="4404" w:type="dxa"/>
            <w:tcBorders>
              <w:top w:val="single" w:sz="4" w:space="0" w:color="365F91"/>
              <w:bottom w:val="single" w:sz="4" w:space="0" w:color="365F91"/>
            </w:tcBorders>
            <w:noWrap/>
            <w:hideMark/>
          </w:tcPr>
          <w:p w14:paraId="355EF607" w14:textId="77777777" w:rsidR="00A10636" w:rsidRPr="00D9348B" w:rsidRDefault="00A10636" w:rsidP="00DB330E">
            <w:pPr>
              <w:pStyle w:val="TableText"/>
            </w:pPr>
            <w:r w:rsidRPr="00D9348B">
              <w:t>Uncertainty in soil carbon stocks</w:t>
            </w:r>
          </w:p>
        </w:tc>
        <w:tc>
          <w:tcPr>
            <w:tcW w:w="1669" w:type="dxa"/>
            <w:tcBorders>
              <w:top w:val="single" w:sz="4" w:space="0" w:color="365F91"/>
              <w:bottom w:val="single" w:sz="4" w:space="0" w:color="365F91"/>
            </w:tcBorders>
            <w:noWrap/>
            <w:hideMark/>
          </w:tcPr>
          <w:p w14:paraId="1711498E" w14:textId="77777777" w:rsidR="00A10636" w:rsidRPr="00D9348B" w:rsidRDefault="00A10636" w:rsidP="00DB330E">
            <w:pPr>
              <w:pStyle w:val="TableText"/>
              <w:tabs>
                <w:tab w:val="decimal" w:pos="325"/>
              </w:tabs>
              <w:jc w:val="center"/>
            </w:pPr>
            <w:r w:rsidRPr="00D9348B">
              <w:t>±9.7</w:t>
            </w:r>
          </w:p>
        </w:tc>
        <w:tc>
          <w:tcPr>
            <w:tcW w:w="1865" w:type="dxa"/>
            <w:tcBorders>
              <w:top w:val="single" w:sz="4" w:space="0" w:color="365F91"/>
              <w:bottom w:val="single" w:sz="4" w:space="0" w:color="365F91"/>
            </w:tcBorders>
            <w:noWrap/>
            <w:hideMark/>
          </w:tcPr>
          <w:p w14:paraId="0D3F8C5A" w14:textId="77777777" w:rsidR="00A10636" w:rsidRPr="00D9348B" w:rsidRDefault="00A10636" w:rsidP="00DB330E">
            <w:pPr>
              <w:pStyle w:val="TableText"/>
              <w:tabs>
                <w:tab w:val="decimal" w:pos="325"/>
              </w:tabs>
              <w:jc w:val="center"/>
            </w:pPr>
            <w:r w:rsidRPr="00D9348B">
              <w:t>±14.1</w:t>
            </w:r>
          </w:p>
        </w:tc>
      </w:tr>
      <w:tr w:rsidR="00A10636" w:rsidRPr="00D9348B" w14:paraId="3F942079" w14:textId="77777777" w:rsidTr="00412BA2">
        <w:tc>
          <w:tcPr>
            <w:tcW w:w="4404" w:type="dxa"/>
            <w:tcBorders>
              <w:top w:val="single" w:sz="4" w:space="0" w:color="365F91"/>
              <w:bottom w:val="single" w:sz="4" w:space="0" w:color="365F91"/>
            </w:tcBorders>
            <w:noWrap/>
            <w:hideMark/>
          </w:tcPr>
          <w:p w14:paraId="1F47BF82" w14:textId="77777777" w:rsidR="00A10636" w:rsidRPr="00D9348B" w:rsidRDefault="00A10636" w:rsidP="00DB330E">
            <w:pPr>
              <w:pStyle w:val="Tableboldblue"/>
              <w:jc w:val="right"/>
            </w:pPr>
            <w:r w:rsidRPr="00D9348B">
              <w:t>Uncertainty introduced into net emissions for LULUCF</w:t>
            </w:r>
          </w:p>
        </w:tc>
        <w:tc>
          <w:tcPr>
            <w:tcW w:w="1669" w:type="dxa"/>
            <w:tcBorders>
              <w:top w:val="single" w:sz="4" w:space="0" w:color="365F91"/>
              <w:bottom w:val="single" w:sz="4" w:space="0" w:color="365F91"/>
            </w:tcBorders>
            <w:noWrap/>
            <w:hideMark/>
          </w:tcPr>
          <w:p w14:paraId="1E8A9D2B" w14:textId="77777777" w:rsidR="00A10636" w:rsidRPr="00D9348B" w:rsidRDefault="00A10636" w:rsidP="00BE7500">
            <w:pPr>
              <w:pStyle w:val="Tableboldblue"/>
              <w:tabs>
                <w:tab w:val="decimal" w:pos="323"/>
              </w:tabs>
              <w:jc w:val="center"/>
            </w:pPr>
            <w:r w:rsidRPr="00D9348B">
              <w:t>±1.0</w:t>
            </w:r>
          </w:p>
        </w:tc>
        <w:tc>
          <w:tcPr>
            <w:tcW w:w="1865" w:type="dxa"/>
            <w:tcBorders>
              <w:top w:val="single" w:sz="4" w:space="0" w:color="365F91"/>
              <w:bottom w:val="single" w:sz="4" w:space="0" w:color="365F91"/>
            </w:tcBorders>
            <w:noWrap/>
            <w:hideMark/>
          </w:tcPr>
          <w:p w14:paraId="46BC4447" w14:textId="77777777" w:rsidR="00A10636" w:rsidRPr="00D9348B" w:rsidRDefault="00A10636" w:rsidP="00BE7500">
            <w:pPr>
              <w:pStyle w:val="Tableboldblue"/>
              <w:tabs>
                <w:tab w:val="decimal" w:pos="323"/>
              </w:tabs>
              <w:jc w:val="center"/>
            </w:pPr>
            <w:r w:rsidRPr="00D9348B">
              <w:t>±0.4</w:t>
            </w:r>
          </w:p>
        </w:tc>
      </w:tr>
    </w:tbl>
    <w:p w14:paraId="30AEA324" w14:textId="77777777" w:rsidR="00A10636" w:rsidRPr="00D9348B" w:rsidRDefault="00A10636" w:rsidP="00A10636">
      <w:pPr>
        <w:pStyle w:val="Heading3"/>
      </w:pPr>
      <w:r w:rsidRPr="00D9348B">
        <w:t>6.5.4</w:t>
      </w:r>
      <w:r w:rsidRPr="00D9348B">
        <w:tab/>
        <w:t>Category-specific QA/QC and verification</w:t>
      </w:r>
      <w:bookmarkEnd w:id="2024"/>
      <w:bookmarkEnd w:id="2025"/>
      <w:bookmarkEnd w:id="2026"/>
      <w:bookmarkEnd w:id="2027"/>
      <w:bookmarkEnd w:id="2028"/>
    </w:p>
    <w:p w14:paraId="36B5661C" w14:textId="77777777" w:rsidR="00A10636" w:rsidRPr="00D9348B" w:rsidRDefault="00A10636" w:rsidP="00A10636">
      <w:pPr>
        <w:pStyle w:val="BodyText"/>
      </w:pPr>
      <w:r w:rsidRPr="00D9348B">
        <w:t>In the preparation of this inventory, the data for CO</w:t>
      </w:r>
      <w:r w:rsidRPr="00D9348B">
        <w:rPr>
          <w:vertAlign w:val="subscript"/>
        </w:rPr>
        <w:t>2</w:t>
      </w:r>
      <w:r w:rsidRPr="00D9348B">
        <w:t xml:space="preserve"> emissions from the conversion to </w:t>
      </w:r>
      <w:r w:rsidRPr="00D9348B">
        <w:rPr>
          <w:i/>
        </w:rPr>
        <w:t>Cropland</w:t>
      </w:r>
      <w:r w:rsidRPr="00D9348B">
        <w:t xml:space="preserve"> category underwent Tier 1 quality checks. </w:t>
      </w:r>
      <w:r w:rsidRPr="00D9348B">
        <w:rPr>
          <w:i/>
        </w:rPr>
        <w:t>Cropland remaining cropland</w:t>
      </w:r>
      <w:r w:rsidRPr="00D9348B">
        <w:t xml:space="preserve"> was a key category in 2018 (level assessment). </w:t>
      </w:r>
    </w:p>
    <w:p w14:paraId="681B0554" w14:textId="77777777" w:rsidR="00A10636" w:rsidRPr="00D9348B" w:rsidRDefault="00A10636" w:rsidP="00A10636">
      <w:pPr>
        <w:pStyle w:val="BodyText"/>
        <w:rPr>
          <w:spacing w:val="-2"/>
        </w:rPr>
      </w:pPr>
      <w:r w:rsidRPr="00D9348B">
        <w:rPr>
          <w:spacing w:val="-2"/>
        </w:rPr>
        <w:t>As part of verification of the New Zealand-specific above-ground biomass emission factor for perennial cropland, this factor has been compared with the IPCC default for temperate perennial cropland (table 5.1, IPCC, 2006a). The New Zealand value for above-ground biomass of 18.76 tonnes C ha</w:t>
      </w:r>
      <w:r w:rsidRPr="00D9348B">
        <w:rPr>
          <w:spacing w:val="-2"/>
          <w:vertAlign w:val="superscript"/>
        </w:rPr>
        <w:t xml:space="preserve">–1 </w:t>
      </w:r>
      <w:r w:rsidRPr="00D9348B">
        <w:rPr>
          <w:spacing w:val="-2"/>
        </w:rPr>
        <w:t>is much lower than the default value of 63 tonnes C ha</w:t>
      </w:r>
      <w:r w:rsidRPr="00D9348B">
        <w:rPr>
          <w:spacing w:val="-2"/>
          <w:vertAlign w:val="superscript"/>
        </w:rPr>
        <w:t>–1</w:t>
      </w:r>
      <w:r w:rsidRPr="00D9348B">
        <w:rPr>
          <w:spacing w:val="-2"/>
        </w:rPr>
        <w:t xml:space="preserve"> provided in the 2006 IPCC Guidelines (IPCC, 2006a). Further research into the differences between the values has shown the IPCC default value is based on just four studies of agroforestry systems where crops are grown in rotation with trees, and none of these studies is New Zealand specific. While the country-specific emission factor used is based on a New Zealand study, it takes into account that New Zealand’s main perennial crops are not grown in rotation with trees (i.e., are not part of an agroforestry system) and that a proportion of New Zealand’s main perennial crops is vine fruit (i.e., kiwifruit and grapes). This means it has lower carbon content per area in living biomass at maturity than the cropland types included in the study on which the IPCC default value is based. </w:t>
      </w:r>
    </w:p>
    <w:p w14:paraId="6FA85A74" w14:textId="77777777" w:rsidR="00A10636" w:rsidRPr="00D9348B" w:rsidRDefault="00A10636" w:rsidP="00A10636">
      <w:pPr>
        <w:pStyle w:val="Heading3"/>
      </w:pPr>
      <w:bookmarkStart w:id="2029" w:name="_Toc139253967"/>
      <w:bookmarkStart w:id="2030" w:name="_Toc255466390"/>
      <w:bookmarkStart w:id="2031" w:name="_Toc261513197"/>
      <w:bookmarkStart w:id="2032" w:name="_Toc261513810"/>
      <w:bookmarkStart w:id="2033" w:name="_Toc280630279"/>
      <w:r w:rsidRPr="00D9348B">
        <w:t>6.5.5</w:t>
      </w:r>
      <w:r w:rsidRPr="00D9348B">
        <w:tab/>
        <w:t>Category-specific recalculations</w:t>
      </w:r>
      <w:bookmarkEnd w:id="2029"/>
      <w:bookmarkEnd w:id="2030"/>
      <w:bookmarkEnd w:id="2031"/>
      <w:bookmarkEnd w:id="2032"/>
      <w:bookmarkEnd w:id="2033"/>
    </w:p>
    <w:p w14:paraId="28A30668" w14:textId="6CAC4011" w:rsidR="00A10636" w:rsidRPr="00D9348B" w:rsidRDefault="00A10636" w:rsidP="00A10636">
      <w:pPr>
        <w:pStyle w:val="BodyText"/>
      </w:pPr>
      <w:r w:rsidRPr="00D9348B">
        <w:rPr>
          <w:spacing w:val="-2"/>
        </w:rPr>
        <w:t>The impact of recalculations on net CO</w:t>
      </w:r>
      <w:r w:rsidRPr="00D9348B">
        <w:rPr>
          <w:spacing w:val="-2"/>
          <w:vertAlign w:val="subscript"/>
        </w:rPr>
        <w:t>2</w:t>
      </w:r>
      <w:r w:rsidRPr="00D9348B">
        <w:rPr>
          <w:spacing w:val="-2"/>
        </w:rPr>
        <w:t xml:space="preserve">-e emission estimates for the </w:t>
      </w:r>
      <w:r w:rsidRPr="00D9348B">
        <w:rPr>
          <w:i/>
          <w:spacing w:val="-2"/>
        </w:rPr>
        <w:t>Cropland</w:t>
      </w:r>
      <w:r w:rsidRPr="00D9348B">
        <w:rPr>
          <w:spacing w:val="-2"/>
        </w:rPr>
        <w:t xml:space="preserve"> category is shown in table 6.5.7. Recalculations of the entire time series were carried out for this category as a result of updated activity data resulting from improvements made to the </w:t>
      </w:r>
      <w:r w:rsidR="00766DDA">
        <w:rPr>
          <w:spacing w:val="-2"/>
        </w:rPr>
        <w:t>land-use</w:t>
      </w:r>
      <w:r w:rsidRPr="00D9348B">
        <w:rPr>
          <w:spacing w:val="-2"/>
        </w:rPr>
        <w:t xml:space="preserve"> maps. However, none of the mapping improvement activities carried out this year were targeted at the </w:t>
      </w:r>
      <w:r w:rsidRPr="00D9348B">
        <w:rPr>
          <w:i/>
          <w:spacing w:val="-2"/>
        </w:rPr>
        <w:t>Cropland</w:t>
      </w:r>
      <w:r w:rsidRPr="00D9348B">
        <w:rPr>
          <w:spacing w:val="-2"/>
        </w:rPr>
        <w:t xml:space="preserve"> category.</w:t>
      </w:r>
      <w:r w:rsidRPr="00D9348B" w:rsidDel="00FC029E">
        <w:rPr>
          <w:spacing w:val="-2"/>
        </w:rPr>
        <w:t xml:space="preserve"> </w:t>
      </w:r>
    </w:p>
    <w:p w14:paraId="11399DC6" w14:textId="77777777" w:rsidR="00A10636" w:rsidRPr="00D9348B" w:rsidRDefault="00A10636" w:rsidP="00A10636">
      <w:pPr>
        <w:pStyle w:val="Table"/>
      </w:pPr>
      <w:bookmarkStart w:id="2034" w:name="_Toc280630464"/>
      <w:bookmarkStart w:id="2035" w:name="_Toc310423420"/>
      <w:bookmarkStart w:id="2036" w:name="_Toc318362713"/>
      <w:bookmarkStart w:id="2037" w:name="_Toc342470775"/>
      <w:bookmarkStart w:id="2038" w:name="_Toc352505015"/>
      <w:bookmarkStart w:id="2039" w:name="_Toc378853306"/>
      <w:bookmarkStart w:id="2040" w:name="_Toc391024104"/>
      <w:bookmarkStart w:id="2041" w:name="_Toc410028847"/>
      <w:bookmarkStart w:id="2042" w:name="_Toc414531475"/>
      <w:bookmarkStart w:id="2043" w:name="_Toc443645388"/>
      <w:bookmarkStart w:id="2044" w:name="_Toc474914607"/>
      <w:bookmarkStart w:id="2045" w:name="_Toc481751571"/>
      <w:bookmarkStart w:id="2046" w:name="_Toc522010628"/>
      <w:bookmarkStart w:id="2047" w:name="_Toc5269533"/>
      <w:bookmarkStart w:id="2048" w:name="_Toc33529407"/>
      <w:bookmarkStart w:id="2049" w:name="_Toc36224613"/>
      <w:r w:rsidRPr="00D9348B">
        <w:t>Table 6.5.7</w:t>
      </w:r>
      <w:r w:rsidRPr="00D9348B">
        <w:tab/>
        <w:t>Recalculations of New Zealand’s net emissions from the Cropland category in 1990 and</w:t>
      </w:r>
      <w:bookmarkEnd w:id="2034"/>
      <w:bookmarkEnd w:id="2035"/>
      <w:bookmarkEnd w:id="2036"/>
      <w:bookmarkEnd w:id="2037"/>
      <w:bookmarkEnd w:id="2038"/>
      <w:bookmarkEnd w:id="2039"/>
      <w:bookmarkEnd w:id="2040"/>
      <w:r w:rsidRPr="00D9348B">
        <w:t> 201</w:t>
      </w:r>
      <w:bookmarkEnd w:id="2041"/>
      <w:bookmarkEnd w:id="2042"/>
      <w:bookmarkEnd w:id="2043"/>
      <w:r w:rsidRPr="00D9348B">
        <w:t>7</w:t>
      </w:r>
      <w:bookmarkEnd w:id="2044"/>
      <w:bookmarkEnd w:id="2045"/>
      <w:bookmarkEnd w:id="2046"/>
      <w:bookmarkEnd w:id="2047"/>
      <w:bookmarkEnd w:id="2048"/>
      <w:bookmarkEnd w:id="2049"/>
    </w:p>
    <w:tbl>
      <w:tblPr>
        <w:tblW w:w="8505" w:type="dxa"/>
        <w:tblInd w:w="108" w:type="dxa"/>
        <w:tblLayout w:type="fixed"/>
        <w:tblLook w:val="04A0" w:firstRow="1" w:lastRow="0" w:firstColumn="1" w:lastColumn="0" w:noHBand="0" w:noVBand="1"/>
      </w:tblPr>
      <w:tblGrid>
        <w:gridCol w:w="1109"/>
        <w:gridCol w:w="1849"/>
        <w:gridCol w:w="1849"/>
        <w:gridCol w:w="1849"/>
        <w:gridCol w:w="1849"/>
      </w:tblGrid>
      <w:tr w:rsidR="00A10636" w:rsidRPr="00D9348B" w14:paraId="576AA565" w14:textId="77777777" w:rsidTr="00BE7500">
        <w:tc>
          <w:tcPr>
            <w:tcW w:w="1109" w:type="dxa"/>
            <w:vMerge w:val="restart"/>
            <w:tcBorders>
              <w:top w:val="single" w:sz="4" w:space="0" w:color="365F91"/>
            </w:tcBorders>
            <w:shd w:val="clear" w:color="auto" w:fill="365F91"/>
            <w:vAlign w:val="bottom"/>
          </w:tcPr>
          <w:p w14:paraId="6A666E2C" w14:textId="77777777" w:rsidR="00A10636" w:rsidRPr="00D9348B" w:rsidRDefault="00A10636" w:rsidP="00DB330E">
            <w:pPr>
              <w:pStyle w:val="TableTextBold"/>
              <w:rPr>
                <w:noProof w:val="0"/>
                <w:color w:val="FFFFFF"/>
              </w:rPr>
            </w:pPr>
            <w:r w:rsidRPr="00D9348B">
              <w:rPr>
                <w:noProof w:val="0"/>
                <w:color w:val="FFFFFF"/>
              </w:rPr>
              <w:t>Year</w:t>
            </w:r>
          </w:p>
        </w:tc>
        <w:tc>
          <w:tcPr>
            <w:tcW w:w="3698" w:type="dxa"/>
            <w:gridSpan w:val="2"/>
            <w:tcBorders>
              <w:top w:val="single" w:sz="4" w:space="0" w:color="365F91"/>
            </w:tcBorders>
            <w:shd w:val="clear" w:color="auto" w:fill="365F91"/>
            <w:noWrap/>
            <w:vAlign w:val="bottom"/>
          </w:tcPr>
          <w:p w14:paraId="769D857E" w14:textId="77777777" w:rsidR="00A10636" w:rsidRPr="00D9348B" w:rsidRDefault="00A10636" w:rsidP="00DB330E">
            <w:pPr>
              <w:pStyle w:val="TableTextBold"/>
              <w:spacing w:after="0"/>
              <w:jc w:val="center"/>
              <w:rPr>
                <w:noProof w:val="0"/>
                <w:color w:val="FFFFFF"/>
              </w:rPr>
            </w:pPr>
            <w:r w:rsidRPr="00D9348B">
              <w:rPr>
                <w:noProof w:val="0"/>
                <w:color w:val="FFFFFF"/>
              </w:rPr>
              <w:t>Net emissions (kt CO</w:t>
            </w:r>
            <w:r w:rsidRPr="00D9348B">
              <w:rPr>
                <w:noProof w:val="0"/>
                <w:color w:val="FFFFFF"/>
                <w:vertAlign w:val="subscript"/>
              </w:rPr>
              <w:t>2</w:t>
            </w:r>
            <w:r w:rsidRPr="00D9348B">
              <w:rPr>
                <w:noProof w:val="0"/>
                <w:color w:val="FFFFFF"/>
              </w:rPr>
              <w:t>-e)</w:t>
            </w:r>
          </w:p>
        </w:tc>
        <w:tc>
          <w:tcPr>
            <w:tcW w:w="3698" w:type="dxa"/>
            <w:gridSpan w:val="2"/>
            <w:tcBorders>
              <w:top w:val="single" w:sz="4" w:space="0" w:color="365F91"/>
            </w:tcBorders>
            <w:shd w:val="clear" w:color="auto" w:fill="365F91"/>
            <w:vAlign w:val="bottom"/>
          </w:tcPr>
          <w:p w14:paraId="1417281D" w14:textId="77777777" w:rsidR="00A10636" w:rsidRPr="00D9348B" w:rsidRDefault="00A10636" w:rsidP="00DB330E">
            <w:pPr>
              <w:pStyle w:val="TableTextBold"/>
              <w:spacing w:after="0"/>
              <w:jc w:val="center"/>
              <w:rPr>
                <w:noProof w:val="0"/>
                <w:color w:val="FFFFFF"/>
              </w:rPr>
            </w:pPr>
            <w:r w:rsidRPr="00D9348B">
              <w:rPr>
                <w:noProof w:val="0"/>
                <w:color w:val="FFFFFF"/>
              </w:rPr>
              <w:t>Change from the 2019 submission</w:t>
            </w:r>
          </w:p>
        </w:tc>
      </w:tr>
      <w:tr w:rsidR="00A10636" w:rsidRPr="00D9348B" w14:paraId="21DDF03F" w14:textId="77777777" w:rsidTr="00BE7500">
        <w:tc>
          <w:tcPr>
            <w:tcW w:w="1109" w:type="dxa"/>
            <w:vMerge/>
            <w:tcBorders>
              <w:bottom w:val="single" w:sz="4" w:space="0" w:color="365F91"/>
            </w:tcBorders>
            <w:shd w:val="clear" w:color="auto" w:fill="365F91"/>
          </w:tcPr>
          <w:p w14:paraId="3157EAC2" w14:textId="77777777" w:rsidR="00A10636" w:rsidRPr="00D9348B" w:rsidRDefault="00A10636" w:rsidP="00DB330E">
            <w:pPr>
              <w:pStyle w:val="TableText"/>
              <w:rPr>
                <w:color w:val="FFFFFF"/>
              </w:rPr>
            </w:pPr>
          </w:p>
        </w:tc>
        <w:tc>
          <w:tcPr>
            <w:tcW w:w="1849" w:type="dxa"/>
            <w:tcBorders>
              <w:bottom w:val="single" w:sz="4" w:space="0" w:color="365F91"/>
            </w:tcBorders>
            <w:shd w:val="clear" w:color="auto" w:fill="365F91"/>
          </w:tcPr>
          <w:p w14:paraId="14D5F0DE" w14:textId="77777777" w:rsidR="00A10636" w:rsidRPr="00D9348B" w:rsidRDefault="00A10636" w:rsidP="00DB330E">
            <w:pPr>
              <w:pStyle w:val="TableText"/>
              <w:jc w:val="center"/>
              <w:rPr>
                <w:b/>
                <w:color w:val="FFFFFF"/>
              </w:rPr>
            </w:pPr>
            <w:r w:rsidRPr="00D9348B">
              <w:rPr>
                <w:b/>
                <w:color w:val="FFFFFF"/>
              </w:rPr>
              <w:t>2019 submission</w:t>
            </w:r>
          </w:p>
        </w:tc>
        <w:tc>
          <w:tcPr>
            <w:tcW w:w="1849" w:type="dxa"/>
            <w:tcBorders>
              <w:bottom w:val="single" w:sz="4" w:space="0" w:color="365F91"/>
            </w:tcBorders>
            <w:shd w:val="clear" w:color="auto" w:fill="365F91"/>
          </w:tcPr>
          <w:p w14:paraId="6E8626B3" w14:textId="77777777" w:rsidR="00A10636" w:rsidRPr="00D9348B" w:rsidRDefault="00A10636" w:rsidP="00DB330E">
            <w:pPr>
              <w:pStyle w:val="TableText"/>
              <w:jc w:val="center"/>
              <w:rPr>
                <w:b/>
                <w:color w:val="FFFFFF"/>
              </w:rPr>
            </w:pPr>
            <w:r w:rsidRPr="00D9348B">
              <w:rPr>
                <w:b/>
                <w:color w:val="FFFFFF"/>
              </w:rPr>
              <w:t>2020 submission</w:t>
            </w:r>
          </w:p>
        </w:tc>
        <w:tc>
          <w:tcPr>
            <w:tcW w:w="1849" w:type="dxa"/>
            <w:tcBorders>
              <w:bottom w:val="single" w:sz="4" w:space="0" w:color="365F91"/>
            </w:tcBorders>
            <w:shd w:val="clear" w:color="auto" w:fill="365F91"/>
          </w:tcPr>
          <w:p w14:paraId="2B8787C1" w14:textId="77777777" w:rsidR="00A10636" w:rsidRPr="00D9348B" w:rsidRDefault="00A10636" w:rsidP="00DB330E">
            <w:pPr>
              <w:pStyle w:val="TableText"/>
              <w:jc w:val="center"/>
              <w:rPr>
                <w:b/>
                <w:color w:val="FFFFFF"/>
              </w:rPr>
            </w:pPr>
            <w:r w:rsidRPr="00D9348B">
              <w:rPr>
                <w:b/>
                <w:color w:val="FFFFFF"/>
              </w:rPr>
              <w:t>(kt CO</w:t>
            </w:r>
            <w:r w:rsidRPr="00D9348B">
              <w:rPr>
                <w:b/>
                <w:color w:val="FFFFFF"/>
                <w:vertAlign w:val="subscript"/>
              </w:rPr>
              <w:t>2</w:t>
            </w:r>
            <w:r w:rsidRPr="00D9348B">
              <w:rPr>
                <w:b/>
                <w:color w:val="FFFFFF"/>
              </w:rPr>
              <w:t>-e)</w:t>
            </w:r>
          </w:p>
        </w:tc>
        <w:tc>
          <w:tcPr>
            <w:tcW w:w="1849" w:type="dxa"/>
            <w:tcBorders>
              <w:bottom w:val="single" w:sz="4" w:space="0" w:color="365F91"/>
            </w:tcBorders>
            <w:shd w:val="clear" w:color="auto" w:fill="365F91"/>
          </w:tcPr>
          <w:p w14:paraId="096FD228" w14:textId="77777777" w:rsidR="00A10636" w:rsidRPr="00D9348B" w:rsidRDefault="00A10636" w:rsidP="00DB330E">
            <w:pPr>
              <w:pStyle w:val="TableText"/>
              <w:jc w:val="center"/>
              <w:rPr>
                <w:b/>
                <w:color w:val="FFFFFF"/>
              </w:rPr>
            </w:pPr>
            <w:r w:rsidRPr="00D9348B">
              <w:rPr>
                <w:b/>
                <w:color w:val="FFFFFF"/>
              </w:rPr>
              <w:t>(%)</w:t>
            </w:r>
          </w:p>
        </w:tc>
      </w:tr>
      <w:tr w:rsidR="00A10636" w:rsidRPr="00D9348B" w14:paraId="60926C30" w14:textId="77777777" w:rsidTr="00BE7500">
        <w:tc>
          <w:tcPr>
            <w:tcW w:w="1109" w:type="dxa"/>
            <w:tcBorders>
              <w:top w:val="single" w:sz="4" w:space="0" w:color="365F91"/>
              <w:bottom w:val="single" w:sz="4" w:space="0" w:color="365F91"/>
            </w:tcBorders>
          </w:tcPr>
          <w:p w14:paraId="5A565EB4" w14:textId="77777777" w:rsidR="00A10636" w:rsidRPr="00D9348B" w:rsidRDefault="00A10636" w:rsidP="00DB330E">
            <w:pPr>
              <w:pStyle w:val="TableText"/>
            </w:pPr>
            <w:r w:rsidRPr="00D9348B">
              <w:t xml:space="preserve">1990 </w:t>
            </w:r>
          </w:p>
        </w:tc>
        <w:tc>
          <w:tcPr>
            <w:tcW w:w="1849" w:type="dxa"/>
            <w:tcBorders>
              <w:top w:val="single" w:sz="4" w:space="0" w:color="365F91"/>
              <w:bottom w:val="single" w:sz="4" w:space="0" w:color="365F91"/>
            </w:tcBorders>
          </w:tcPr>
          <w:p w14:paraId="3E7BF39C" w14:textId="77777777" w:rsidR="00A10636" w:rsidRPr="00D9348B" w:rsidRDefault="00A10636" w:rsidP="00DB330E">
            <w:pPr>
              <w:pStyle w:val="TableText"/>
              <w:jc w:val="center"/>
            </w:pPr>
            <w:r w:rsidRPr="00D9348B">
              <w:t xml:space="preserve">476.9 </w:t>
            </w:r>
          </w:p>
        </w:tc>
        <w:tc>
          <w:tcPr>
            <w:tcW w:w="1849" w:type="dxa"/>
            <w:tcBorders>
              <w:top w:val="single" w:sz="4" w:space="0" w:color="365F91"/>
              <w:bottom w:val="single" w:sz="4" w:space="0" w:color="365F91"/>
            </w:tcBorders>
          </w:tcPr>
          <w:p w14:paraId="343D87CE" w14:textId="77777777" w:rsidR="00A10636" w:rsidRPr="00D9348B" w:rsidRDefault="00A10636" w:rsidP="00DB330E">
            <w:pPr>
              <w:pStyle w:val="TableText"/>
              <w:jc w:val="center"/>
            </w:pPr>
            <w:r w:rsidRPr="00D9348B">
              <w:t xml:space="preserve">476.2 </w:t>
            </w:r>
          </w:p>
        </w:tc>
        <w:tc>
          <w:tcPr>
            <w:tcW w:w="1849" w:type="dxa"/>
            <w:tcBorders>
              <w:top w:val="single" w:sz="4" w:space="0" w:color="365F91"/>
              <w:bottom w:val="single" w:sz="4" w:space="0" w:color="365F91"/>
            </w:tcBorders>
          </w:tcPr>
          <w:p w14:paraId="378FC566" w14:textId="77777777" w:rsidR="00A10636" w:rsidRPr="00D9348B" w:rsidRDefault="00A10636" w:rsidP="00DB330E">
            <w:pPr>
              <w:pStyle w:val="TableText"/>
              <w:jc w:val="center"/>
            </w:pPr>
            <w:r w:rsidRPr="00D9348B">
              <w:t xml:space="preserve">–0.7 </w:t>
            </w:r>
          </w:p>
        </w:tc>
        <w:tc>
          <w:tcPr>
            <w:tcW w:w="1849" w:type="dxa"/>
            <w:tcBorders>
              <w:top w:val="single" w:sz="4" w:space="0" w:color="365F91"/>
              <w:bottom w:val="single" w:sz="4" w:space="0" w:color="365F91"/>
            </w:tcBorders>
          </w:tcPr>
          <w:p w14:paraId="2194B28C" w14:textId="77777777" w:rsidR="00A10636" w:rsidRPr="00D9348B" w:rsidRDefault="00A10636" w:rsidP="00DB330E">
            <w:pPr>
              <w:pStyle w:val="TableText"/>
              <w:jc w:val="center"/>
            </w:pPr>
            <w:r w:rsidRPr="00D9348B">
              <w:t>–0.15</w:t>
            </w:r>
          </w:p>
        </w:tc>
      </w:tr>
      <w:tr w:rsidR="00A10636" w:rsidRPr="00D9348B" w14:paraId="4BEB7C05" w14:textId="77777777" w:rsidTr="00BE7500">
        <w:tc>
          <w:tcPr>
            <w:tcW w:w="1109" w:type="dxa"/>
            <w:tcBorders>
              <w:top w:val="single" w:sz="4" w:space="0" w:color="365F91"/>
              <w:bottom w:val="single" w:sz="4" w:space="0" w:color="365F91"/>
            </w:tcBorders>
          </w:tcPr>
          <w:p w14:paraId="6C4D6AA4" w14:textId="77777777" w:rsidR="00A10636" w:rsidRPr="00D9348B" w:rsidRDefault="00A10636" w:rsidP="00DB330E">
            <w:pPr>
              <w:pStyle w:val="TableText"/>
            </w:pPr>
            <w:r w:rsidRPr="00D9348B">
              <w:t>2017</w:t>
            </w:r>
          </w:p>
        </w:tc>
        <w:tc>
          <w:tcPr>
            <w:tcW w:w="1849" w:type="dxa"/>
            <w:tcBorders>
              <w:top w:val="single" w:sz="4" w:space="0" w:color="365F91"/>
              <w:bottom w:val="single" w:sz="4" w:space="0" w:color="365F91"/>
            </w:tcBorders>
          </w:tcPr>
          <w:p w14:paraId="7101036C" w14:textId="77777777" w:rsidR="00A10636" w:rsidRPr="00D9348B" w:rsidRDefault="00A10636" w:rsidP="00DB330E">
            <w:pPr>
              <w:pStyle w:val="TableText"/>
              <w:jc w:val="center"/>
            </w:pPr>
            <w:r w:rsidRPr="00D9348B">
              <w:t xml:space="preserve">396.3 </w:t>
            </w:r>
          </w:p>
        </w:tc>
        <w:tc>
          <w:tcPr>
            <w:tcW w:w="1849" w:type="dxa"/>
            <w:tcBorders>
              <w:top w:val="single" w:sz="4" w:space="0" w:color="365F91"/>
              <w:bottom w:val="single" w:sz="4" w:space="0" w:color="365F91"/>
            </w:tcBorders>
          </w:tcPr>
          <w:p w14:paraId="4EED2B2A" w14:textId="77777777" w:rsidR="00A10636" w:rsidRPr="00D9348B" w:rsidRDefault="00A10636" w:rsidP="00DB330E">
            <w:pPr>
              <w:pStyle w:val="TableText"/>
              <w:jc w:val="center"/>
            </w:pPr>
            <w:r w:rsidRPr="00D9348B">
              <w:t xml:space="preserve">395.7 </w:t>
            </w:r>
          </w:p>
        </w:tc>
        <w:tc>
          <w:tcPr>
            <w:tcW w:w="1849" w:type="dxa"/>
            <w:tcBorders>
              <w:top w:val="single" w:sz="4" w:space="0" w:color="365F91"/>
              <w:bottom w:val="single" w:sz="4" w:space="0" w:color="365F91"/>
            </w:tcBorders>
          </w:tcPr>
          <w:p w14:paraId="7B9DB781" w14:textId="77777777" w:rsidR="00A10636" w:rsidRPr="00D9348B" w:rsidRDefault="00A10636" w:rsidP="00DB330E">
            <w:pPr>
              <w:pStyle w:val="TableText"/>
              <w:jc w:val="center"/>
            </w:pPr>
            <w:r w:rsidRPr="00D9348B">
              <w:t xml:space="preserve">–0.6 </w:t>
            </w:r>
          </w:p>
        </w:tc>
        <w:tc>
          <w:tcPr>
            <w:tcW w:w="1849" w:type="dxa"/>
            <w:tcBorders>
              <w:top w:val="single" w:sz="4" w:space="0" w:color="365F91"/>
              <w:bottom w:val="single" w:sz="4" w:space="0" w:color="365F91"/>
            </w:tcBorders>
          </w:tcPr>
          <w:p w14:paraId="6C95DA7A" w14:textId="77777777" w:rsidR="00A10636" w:rsidRPr="00D9348B" w:rsidRDefault="00A10636" w:rsidP="00DB330E">
            <w:pPr>
              <w:pStyle w:val="TableText"/>
              <w:jc w:val="center"/>
            </w:pPr>
            <w:r w:rsidRPr="00D9348B">
              <w:t>–0.1</w:t>
            </w:r>
          </w:p>
        </w:tc>
      </w:tr>
    </w:tbl>
    <w:p w14:paraId="2401B5D8" w14:textId="77777777" w:rsidR="00A10636" w:rsidRPr="00D9348B" w:rsidRDefault="00A10636" w:rsidP="00A10636">
      <w:pPr>
        <w:pStyle w:val="Heading3"/>
      </w:pPr>
      <w:bookmarkStart w:id="2050" w:name="_Toc139253968"/>
      <w:bookmarkStart w:id="2051" w:name="_Toc255466391"/>
      <w:bookmarkStart w:id="2052" w:name="_Toc261513198"/>
      <w:bookmarkStart w:id="2053" w:name="_Toc261513811"/>
      <w:bookmarkStart w:id="2054" w:name="_Toc280630283"/>
      <w:r w:rsidRPr="00D9348B">
        <w:lastRenderedPageBreak/>
        <w:t>6.5.6</w:t>
      </w:r>
      <w:r w:rsidRPr="00D9348B">
        <w:tab/>
        <w:t>Category-specific planned improvements</w:t>
      </w:r>
      <w:bookmarkEnd w:id="2050"/>
      <w:bookmarkEnd w:id="2051"/>
      <w:bookmarkEnd w:id="2052"/>
      <w:bookmarkEnd w:id="2053"/>
      <w:bookmarkEnd w:id="2054"/>
    </w:p>
    <w:p w14:paraId="70A9D3C4" w14:textId="77777777" w:rsidR="00A10636" w:rsidRPr="00D9348B" w:rsidRDefault="00A10636" w:rsidP="00A10636">
      <w:pPr>
        <w:pStyle w:val="BodyText"/>
      </w:pPr>
      <w:bookmarkStart w:id="2055" w:name="_Toc69611750"/>
      <w:bookmarkStart w:id="2056" w:name="_Toc69612706"/>
      <w:bookmarkStart w:id="2057" w:name="_Toc69612905"/>
      <w:bookmarkStart w:id="2058" w:name="_Toc69613165"/>
      <w:bookmarkStart w:id="2059" w:name="_Toc69633329"/>
      <w:bookmarkStart w:id="2060" w:name="_Toc69717494"/>
      <w:bookmarkStart w:id="2061" w:name="_Toc69802976"/>
      <w:bookmarkStart w:id="2062" w:name="_Toc69815113"/>
      <w:bookmarkStart w:id="2063" w:name="_Toc70492406"/>
      <w:bookmarkStart w:id="2064" w:name="_Toc101310612"/>
      <w:bookmarkStart w:id="2065" w:name="_Toc101318472"/>
      <w:bookmarkStart w:id="2066" w:name="_Toc101318577"/>
      <w:bookmarkStart w:id="2067" w:name="_Toc101318761"/>
      <w:bookmarkStart w:id="2068" w:name="_Toc101334037"/>
      <w:bookmarkStart w:id="2069" w:name="_Toc134847215"/>
      <w:bookmarkStart w:id="2070" w:name="_Toc139253969"/>
      <w:bookmarkStart w:id="2071" w:name="_Toc144710423"/>
      <w:bookmarkStart w:id="2072" w:name="_Toc165890377"/>
      <w:bookmarkStart w:id="2073" w:name="_Toc195322671"/>
      <w:bookmarkStart w:id="2074" w:name="_Toc255466392"/>
      <w:bookmarkStart w:id="2075" w:name="_Toc261513199"/>
      <w:bookmarkStart w:id="2076" w:name="_Toc261513812"/>
      <w:bookmarkStart w:id="2077" w:name="_Toc280630284"/>
      <w:bookmarkStart w:id="2078" w:name="_Toc310423454"/>
      <w:bookmarkStart w:id="2079" w:name="_Toc342470720"/>
      <w:bookmarkStart w:id="2080" w:name="_Toc352504872"/>
      <w:bookmarkStart w:id="2081" w:name="_Toc391024702"/>
      <w:bookmarkStart w:id="2082" w:name="_Toc414531319"/>
      <w:bookmarkStart w:id="2083" w:name="_Toc474335461"/>
      <w:bookmarkStart w:id="2084" w:name="_Toc481751401"/>
      <w:bookmarkStart w:id="2085" w:name="_Toc522013953"/>
      <w:bookmarkStart w:id="2086" w:name="_Toc5269378"/>
      <w:bookmarkEnd w:id="1976"/>
      <w:bookmarkEnd w:id="1977"/>
      <w:bookmarkEnd w:id="1978"/>
      <w:bookmarkEnd w:id="1979"/>
      <w:r w:rsidRPr="00D9348B">
        <w:t xml:space="preserve">In the 2019 in-country review, it was suggested that the approach New Zealand had taken to determine the country-specific transition period was not in line with the 2006 IPCC 2006 Guidelines. To address this, New Zealand will be moving to the 20-year default transition period of the 2006 IPCC Guidelines (IPCC, 2006a). </w:t>
      </w:r>
    </w:p>
    <w:p w14:paraId="3E2DFE2A" w14:textId="77777777" w:rsidR="00A10636" w:rsidRPr="00D9348B" w:rsidRDefault="00A10636" w:rsidP="00A10636">
      <w:pPr>
        <w:pStyle w:val="Heading2"/>
        <w:spacing w:before="280"/>
      </w:pPr>
      <w:bookmarkStart w:id="2087" w:name="_Toc36224418"/>
      <w:r w:rsidRPr="00D9348B">
        <w:t>6.6</w:t>
      </w:r>
      <w:r w:rsidRPr="00D9348B">
        <w:tab/>
        <w:t>Grassland (CRF 4C)</w:t>
      </w:r>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p>
    <w:p w14:paraId="057C63C2" w14:textId="77777777" w:rsidR="00A10636" w:rsidRPr="00D9348B" w:rsidRDefault="00A10636" w:rsidP="000F62D5">
      <w:pPr>
        <w:pStyle w:val="Heading3"/>
        <w:spacing w:before="160"/>
      </w:pPr>
      <w:bookmarkStart w:id="2088" w:name="_Toc139253970"/>
      <w:bookmarkStart w:id="2089" w:name="_Toc255466393"/>
      <w:bookmarkStart w:id="2090" w:name="_Toc261513200"/>
      <w:bookmarkStart w:id="2091" w:name="_Toc261513813"/>
      <w:bookmarkStart w:id="2092" w:name="_Toc280630285"/>
      <w:r w:rsidRPr="00D9348B">
        <w:t>6.6.1</w:t>
      </w:r>
      <w:r w:rsidRPr="00D9348B">
        <w:tab/>
        <w:t>Description</w:t>
      </w:r>
      <w:bookmarkEnd w:id="2088"/>
      <w:bookmarkEnd w:id="2089"/>
      <w:bookmarkEnd w:id="2090"/>
      <w:bookmarkEnd w:id="2091"/>
      <w:bookmarkEnd w:id="2092"/>
    </w:p>
    <w:p w14:paraId="100BBC6E" w14:textId="77777777" w:rsidR="00A10636" w:rsidRPr="00D9348B" w:rsidRDefault="00A10636" w:rsidP="00A10636">
      <w:pPr>
        <w:pStyle w:val="BodyText"/>
      </w:pPr>
      <w:r w:rsidRPr="00D9348B">
        <w:t xml:space="preserve">In New Zealand, the </w:t>
      </w:r>
      <w:r w:rsidRPr="00D9348B">
        <w:rPr>
          <w:i/>
        </w:rPr>
        <w:t>Grassland</w:t>
      </w:r>
      <w:r w:rsidRPr="00D9348B">
        <w:t xml:space="preserve"> category is used to describe a range of land cover types. In this submission, three types of </w:t>
      </w:r>
      <w:r w:rsidRPr="00D9348B">
        <w:rPr>
          <w:i/>
        </w:rPr>
        <w:t>Grassland</w:t>
      </w:r>
      <w:r w:rsidRPr="00D9348B">
        <w:t xml:space="preserve"> are used: high producing, low producing and with woody biomass. </w:t>
      </w:r>
    </w:p>
    <w:p w14:paraId="2D488F38" w14:textId="77777777" w:rsidR="00A10636" w:rsidRPr="00D9348B" w:rsidRDefault="00A10636" w:rsidP="00A10636">
      <w:pPr>
        <w:pStyle w:val="BodyText"/>
      </w:pPr>
      <w:r w:rsidRPr="00D9348B">
        <w:t xml:space="preserve">High producing grassland consists of intensively managed pasture land. Low producing grassland consists of low-fertility grasses on hill country, areas of native tussock and areas composed of low, shrubby vegetation, both above and below the timberline. Grassland with woody biomass consists of grassland areas where the cover of woody species is less than 30 per cent and/or does not meet, nor has the potential to meet, the New Zealand forest definition due to the current management regime (e.g., periodically cleared for grazing), characteristics of the vegetation or environmental constraints (e.g., alpine shrubland) (see table 6.2.2 for further details). Grassland with woody biomass is therefore a diverse land use. To account for these differences, grassland with woody biomass is subcategorised into two types, permanent and transitional, for modelling the effect of land-use change on carbon. Separate emission factors for each type of grassland with woody biomass are derived from the LUCAS plot network (Wakelin and Beets, unpublished). Within the CRF Reporter, reporting on grassland with woody biomass is at the aggregate level. </w:t>
      </w:r>
    </w:p>
    <w:p w14:paraId="53AB2737" w14:textId="77777777" w:rsidR="00A10636" w:rsidRPr="00D9348B" w:rsidRDefault="00A10636" w:rsidP="00A10636">
      <w:pPr>
        <w:pStyle w:val="BodyText"/>
      </w:pPr>
      <w:r w:rsidRPr="00D9348B">
        <w:t>Research indicates that under business-as-usual grassland farming operations in New Zealand, areas of woody shrublands (grassland with woody biomass – transitional) within farmland do not become forest over a 30- to 40-year timeframe (Trotter and MacKay, unpublished). This is the case as long as the farmer’s intention is to use the land for grazing animals. When it becomes evident that the farmer has modified land management in a way that encourages sustained growth of woody vegetation that will undergo succession to forest, such as by removing stock or planting, then these areas will be mapped as forest. A description of the land-management approaches that result in the sustained growth of woody vegetation is contained in the mapping interpretation guide (Ministry for the Environment, 2012).</w:t>
      </w:r>
    </w:p>
    <w:p w14:paraId="680C5AF2" w14:textId="77777777" w:rsidR="00A10636" w:rsidRPr="00D9348B" w:rsidRDefault="00A10636" w:rsidP="00A10636">
      <w:pPr>
        <w:pStyle w:val="BodyText"/>
      </w:pPr>
      <w:r w:rsidRPr="00D9348B">
        <w:t xml:space="preserve">In contrast, grassland with woody biomass – permanent consists of land covered by woody vegetation that does not meet the forest definition and is not expected to do so under current ecological, management or environmental conditions. This vegetation occurs where the abiotic conditions at a site are conducive to low-stature vegetation; for example, vegetation growing at high altitudes, on low fertility soil or on frost flats. </w:t>
      </w:r>
    </w:p>
    <w:p w14:paraId="3D09DA52" w14:textId="77777777" w:rsidR="00A10636" w:rsidRPr="00D9348B" w:rsidRDefault="00A10636" w:rsidP="00A10636">
      <w:pPr>
        <w:pStyle w:val="BodyText"/>
      </w:pPr>
      <w:r w:rsidRPr="00D9348B">
        <w:t xml:space="preserve">The net emissions from </w:t>
      </w:r>
      <w:r w:rsidRPr="00D9348B">
        <w:rPr>
          <w:i/>
        </w:rPr>
        <w:t>Grassland</w:t>
      </w:r>
      <w:r w:rsidRPr="00D9348B">
        <w:t xml:space="preserve"> were 3,699.9</w:t>
      </w:r>
      <w:r w:rsidRPr="00D9348B">
        <w:rPr>
          <w:rFonts w:ascii="Arial" w:hAnsi="Arial" w:cs="Arial"/>
          <w:bCs/>
          <w:sz w:val="16"/>
          <w:szCs w:val="16"/>
        </w:rPr>
        <w:t xml:space="preserve"> </w:t>
      </w:r>
      <w:r w:rsidRPr="00D9348B">
        <w:t>kt CO</w:t>
      </w:r>
      <w:r w:rsidRPr="00D9348B">
        <w:rPr>
          <w:vertAlign w:val="subscript"/>
        </w:rPr>
        <w:t>2</w:t>
      </w:r>
      <w:r w:rsidRPr="00D9348B">
        <w:t>-e in 2018 (see table 6.6.1). These emissions comprise 3,610.1 kt CO</w:t>
      </w:r>
      <w:r w:rsidRPr="00D9348B">
        <w:rPr>
          <w:vertAlign w:val="subscript"/>
        </w:rPr>
        <w:t>2</w:t>
      </w:r>
      <w:r w:rsidRPr="00D9348B">
        <w:t xml:space="preserve"> emissions from carbon stock change, 0.09 kt N</w:t>
      </w:r>
      <w:r w:rsidRPr="00D9348B">
        <w:rPr>
          <w:vertAlign w:val="subscript"/>
        </w:rPr>
        <w:t>2</w:t>
      </w:r>
      <w:r w:rsidRPr="00D9348B">
        <w:t>O (27.3 kt CO</w:t>
      </w:r>
      <w:r w:rsidRPr="00D9348B">
        <w:rPr>
          <w:vertAlign w:val="subscript"/>
        </w:rPr>
        <w:t>2</w:t>
      </w:r>
      <w:r w:rsidRPr="00D9348B">
        <w:noBreakHyphen/>
        <w:t>e) and 2.5 kt CH</w:t>
      </w:r>
      <w:r w:rsidRPr="00D9348B">
        <w:rPr>
          <w:vertAlign w:val="subscript"/>
        </w:rPr>
        <w:t>4</w:t>
      </w:r>
      <w:r w:rsidRPr="00D9348B">
        <w:t xml:space="preserve"> (62.5 kt CO</w:t>
      </w:r>
      <w:r w:rsidRPr="00D9348B">
        <w:rPr>
          <w:vertAlign w:val="subscript"/>
        </w:rPr>
        <w:t>2</w:t>
      </w:r>
      <w:r w:rsidRPr="00D9348B">
        <w:t xml:space="preserve">-e) emissions from </w:t>
      </w:r>
      <w:r w:rsidRPr="00D9348B">
        <w:rPr>
          <w:i/>
        </w:rPr>
        <w:t>Biomass burning</w:t>
      </w:r>
      <w:r w:rsidRPr="00D9348B">
        <w:t xml:space="preserve"> and nitrogen mineralisation on </w:t>
      </w:r>
      <w:r w:rsidRPr="00D9348B">
        <w:rPr>
          <w:i/>
        </w:rPr>
        <w:t>Land converted to grassland</w:t>
      </w:r>
      <w:r w:rsidRPr="00D9348B">
        <w:t>.</w:t>
      </w:r>
    </w:p>
    <w:p w14:paraId="3E093E8D" w14:textId="77777777" w:rsidR="00A10636" w:rsidRPr="00D9348B" w:rsidRDefault="00A10636" w:rsidP="00A10636">
      <w:pPr>
        <w:pStyle w:val="BodyText"/>
      </w:pPr>
      <w:r w:rsidRPr="00D9348B">
        <w:t xml:space="preserve">The </w:t>
      </w:r>
      <w:r w:rsidRPr="00D9348B">
        <w:rPr>
          <w:i/>
        </w:rPr>
        <w:t>Grassland remaining grassland</w:t>
      </w:r>
      <w:r w:rsidRPr="00D9348B">
        <w:t xml:space="preserve"> and </w:t>
      </w:r>
      <w:r w:rsidRPr="00D9348B">
        <w:rPr>
          <w:i/>
        </w:rPr>
        <w:t>Land converted to grassland</w:t>
      </w:r>
      <w:r w:rsidRPr="00D9348B">
        <w:t xml:space="preserve"> categories were identified as key categories for the level and trend assessment in 2018.</w:t>
      </w:r>
    </w:p>
    <w:p w14:paraId="03B17AFF" w14:textId="77777777" w:rsidR="00A10636" w:rsidRPr="00D9348B" w:rsidRDefault="00A10636" w:rsidP="00A10636">
      <w:pPr>
        <w:pStyle w:val="BodyText"/>
        <w:spacing w:after="100"/>
      </w:pPr>
      <w:r w:rsidRPr="00D9348B">
        <w:lastRenderedPageBreak/>
        <w:t xml:space="preserve">Net emissions from </w:t>
      </w:r>
      <w:r w:rsidRPr="00D9348B">
        <w:rPr>
          <w:i/>
        </w:rPr>
        <w:t xml:space="preserve">Grassland </w:t>
      </w:r>
      <w:r w:rsidRPr="00D9348B">
        <w:t>have increased by 3,513.6 kt CO</w:t>
      </w:r>
      <w:r w:rsidRPr="00D9348B">
        <w:rPr>
          <w:vertAlign w:val="subscript"/>
        </w:rPr>
        <w:t>2</w:t>
      </w:r>
      <w:r w:rsidRPr="00D9348B">
        <w:t>-e (1,885.9</w:t>
      </w:r>
      <w:r w:rsidRPr="00D9348B">
        <w:rPr>
          <w:bCs/>
        </w:rPr>
        <w:t xml:space="preserve"> </w:t>
      </w:r>
      <w:r w:rsidRPr="00D9348B">
        <w:t xml:space="preserve">per cent) from the 1990 level of </w:t>
      </w:r>
      <w:r w:rsidRPr="00D9348B">
        <w:rPr>
          <w:bCs/>
        </w:rPr>
        <w:t xml:space="preserve">186.3 </w:t>
      </w:r>
      <w:r w:rsidRPr="00D9348B">
        <w:t>kt CO</w:t>
      </w:r>
      <w:r w:rsidRPr="00D9348B">
        <w:rPr>
          <w:vertAlign w:val="subscript"/>
        </w:rPr>
        <w:t>2</w:t>
      </w:r>
      <w:r w:rsidRPr="00D9348B">
        <w:t>-e (see table 6.6.1). The majority of this change occurred in pre-1990 planted forest converted to high producing grassland and is the effect of deforestation that involves large losses in the living biomass pool.</w:t>
      </w:r>
    </w:p>
    <w:p w14:paraId="4AC83EF6" w14:textId="77777777" w:rsidR="00A10636" w:rsidRPr="00D9348B" w:rsidRDefault="00A10636" w:rsidP="00A10636">
      <w:pPr>
        <w:pStyle w:val="Table"/>
        <w:spacing w:before="100"/>
      </w:pPr>
      <w:bookmarkStart w:id="2093" w:name="_Toc280630465"/>
      <w:bookmarkStart w:id="2094" w:name="_Toc310423421"/>
      <w:bookmarkStart w:id="2095" w:name="_Toc318362714"/>
      <w:bookmarkStart w:id="2096" w:name="_Toc342470776"/>
      <w:bookmarkStart w:id="2097" w:name="_Toc352505016"/>
      <w:bookmarkStart w:id="2098" w:name="_Toc378853307"/>
      <w:bookmarkStart w:id="2099" w:name="_Toc391024105"/>
      <w:bookmarkStart w:id="2100" w:name="_Toc410028848"/>
      <w:bookmarkStart w:id="2101" w:name="_Toc414531476"/>
      <w:bookmarkStart w:id="2102" w:name="_Toc443645389"/>
      <w:bookmarkStart w:id="2103" w:name="_Toc474914608"/>
      <w:bookmarkStart w:id="2104" w:name="_Toc481751572"/>
      <w:bookmarkStart w:id="2105" w:name="_Toc522010629"/>
      <w:bookmarkStart w:id="2106" w:name="_Toc5269534"/>
      <w:bookmarkStart w:id="2107" w:name="_Toc33529408"/>
      <w:bookmarkStart w:id="2108" w:name="_Toc36224614"/>
      <w:r w:rsidRPr="00D9348B">
        <w:t>Table 6.6.1</w:t>
      </w:r>
      <w:r w:rsidRPr="00D9348B">
        <w:tab/>
        <w:t>New Zealand’s land-use change for the Grassland category, and associated</w:t>
      </w:r>
      <w:r w:rsidRPr="00D9348B">
        <w:br/>
        <w:t>CO</w:t>
      </w:r>
      <w:r w:rsidRPr="00D9348B">
        <w:rPr>
          <w:vertAlign w:val="subscript"/>
        </w:rPr>
        <w:t>2</w:t>
      </w:r>
      <w:r w:rsidRPr="00D9348B">
        <w:noBreakHyphen/>
        <w:t>e emissions, from 1990 to</w:t>
      </w:r>
      <w:bookmarkEnd w:id="2093"/>
      <w:bookmarkEnd w:id="2094"/>
      <w:bookmarkEnd w:id="2095"/>
      <w:bookmarkEnd w:id="2096"/>
      <w:bookmarkEnd w:id="2097"/>
      <w:r w:rsidRPr="00D9348B">
        <w:t> 201</w:t>
      </w:r>
      <w:bookmarkEnd w:id="2098"/>
      <w:bookmarkEnd w:id="2099"/>
      <w:bookmarkEnd w:id="2100"/>
      <w:bookmarkEnd w:id="2101"/>
      <w:bookmarkEnd w:id="2102"/>
      <w:bookmarkEnd w:id="2103"/>
      <w:bookmarkEnd w:id="2104"/>
      <w:r w:rsidRPr="00D9348B">
        <w:t>8</w:t>
      </w:r>
      <w:bookmarkEnd w:id="2105"/>
      <w:bookmarkEnd w:id="2106"/>
      <w:bookmarkEnd w:id="2107"/>
      <w:bookmarkEnd w:id="2108"/>
    </w:p>
    <w:tbl>
      <w:tblPr>
        <w:tblW w:w="8505" w:type="dxa"/>
        <w:tblInd w:w="108" w:type="dxa"/>
        <w:tblLayout w:type="fixed"/>
        <w:tblLook w:val="04A0" w:firstRow="1" w:lastRow="0" w:firstColumn="1" w:lastColumn="0" w:noHBand="0" w:noVBand="1"/>
      </w:tblPr>
      <w:tblGrid>
        <w:gridCol w:w="2619"/>
        <w:gridCol w:w="1357"/>
        <w:gridCol w:w="1357"/>
        <w:gridCol w:w="904"/>
        <w:gridCol w:w="1055"/>
        <w:gridCol w:w="1213"/>
      </w:tblGrid>
      <w:tr w:rsidR="00A10636" w:rsidRPr="00D9348B" w14:paraId="49AA4D26" w14:textId="77777777" w:rsidTr="008F0E45">
        <w:tc>
          <w:tcPr>
            <w:tcW w:w="2619" w:type="dxa"/>
            <w:vMerge w:val="restart"/>
            <w:tcBorders>
              <w:top w:val="single" w:sz="4" w:space="0" w:color="365F91"/>
            </w:tcBorders>
            <w:shd w:val="clear" w:color="auto" w:fill="365F91"/>
            <w:vAlign w:val="bottom"/>
          </w:tcPr>
          <w:p w14:paraId="7F24314A" w14:textId="3C435312" w:rsidR="00A10636" w:rsidRPr="00D9348B" w:rsidRDefault="00A10636" w:rsidP="005E60C7">
            <w:pPr>
              <w:pStyle w:val="TableText"/>
              <w:keepNext/>
              <w:spacing w:before="40" w:after="40"/>
              <w:rPr>
                <w:b/>
                <w:color w:val="FFFFFF"/>
              </w:rPr>
            </w:pPr>
            <w:r w:rsidRPr="00D9348B">
              <w:rPr>
                <w:b/>
                <w:color w:val="FFFFFF"/>
              </w:rPr>
              <w:t xml:space="preserve">Grassland </w:t>
            </w:r>
            <w:r w:rsidR="00766DDA">
              <w:rPr>
                <w:b/>
                <w:color w:val="FFFFFF"/>
              </w:rPr>
              <w:t>land-use</w:t>
            </w:r>
            <w:r w:rsidRPr="00D9348B">
              <w:rPr>
                <w:b/>
                <w:color w:val="FFFFFF"/>
              </w:rPr>
              <w:t xml:space="preserve"> category</w:t>
            </w:r>
          </w:p>
        </w:tc>
        <w:tc>
          <w:tcPr>
            <w:tcW w:w="1357" w:type="dxa"/>
            <w:vMerge w:val="restart"/>
            <w:tcBorders>
              <w:top w:val="single" w:sz="4" w:space="0" w:color="365F91"/>
            </w:tcBorders>
            <w:shd w:val="clear" w:color="auto" w:fill="365F91"/>
            <w:vAlign w:val="bottom"/>
          </w:tcPr>
          <w:p w14:paraId="2A83E07D" w14:textId="77777777" w:rsidR="00A10636" w:rsidRPr="00D9348B" w:rsidRDefault="00A10636" w:rsidP="005E60C7">
            <w:pPr>
              <w:pStyle w:val="TableText"/>
              <w:keepNext/>
              <w:spacing w:before="40" w:after="40"/>
              <w:jc w:val="right"/>
              <w:rPr>
                <w:b/>
                <w:color w:val="FFFFFF"/>
              </w:rPr>
            </w:pPr>
            <w:r w:rsidRPr="00D9348B">
              <w:rPr>
                <w:b/>
                <w:color w:val="FFFFFF"/>
              </w:rPr>
              <w:t>Area as at 1990 (ha)</w:t>
            </w:r>
          </w:p>
        </w:tc>
        <w:tc>
          <w:tcPr>
            <w:tcW w:w="1357" w:type="dxa"/>
            <w:vMerge w:val="restart"/>
            <w:tcBorders>
              <w:top w:val="single" w:sz="4" w:space="0" w:color="365F91"/>
            </w:tcBorders>
            <w:shd w:val="clear" w:color="auto" w:fill="365F91"/>
            <w:vAlign w:val="bottom"/>
          </w:tcPr>
          <w:p w14:paraId="2047F7F3" w14:textId="77777777" w:rsidR="00A10636" w:rsidRPr="00D9348B" w:rsidRDefault="00A10636" w:rsidP="005E60C7">
            <w:pPr>
              <w:pStyle w:val="TableText"/>
              <w:keepNext/>
              <w:spacing w:before="40" w:after="40"/>
              <w:jc w:val="right"/>
              <w:rPr>
                <w:b/>
                <w:color w:val="FFFFFF"/>
              </w:rPr>
            </w:pPr>
            <w:r w:rsidRPr="00D9348B">
              <w:rPr>
                <w:b/>
                <w:color w:val="FFFFFF"/>
              </w:rPr>
              <w:t>Area as at 2018 (ha)</w:t>
            </w:r>
          </w:p>
        </w:tc>
        <w:tc>
          <w:tcPr>
            <w:tcW w:w="1959" w:type="dxa"/>
            <w:gridSpan w:val="2"/>
            <w:tcBorders>
              <w:top w:val="single" w:sz="4" w:space="0" w:color="365F91"/>
            </w:tcBorders>
            <w:shd w:val="clear" w:color="auto" w:fill="365F91"/>
            <w:vAlign w:val="bottom"/>
          </w:tcPr>
          <w:p w14:paraId="03FFE545" w14:textId="77777777" w:rsidR="00A10636" w:rsidRPr="00D9348B" w:rsidRDefault="00A10636" w:rsidP="005E60C7">
            <w:pPr>
              <w:pStyle w:val="TableText"/>
              <w:keepNext/>
              <w:spacing w:before="40" w:after="40"/>
              <w:jc w:val="center"/>
              <w:rPr>
                <w:b/>
                <w:color w:val="FFFFFF"/>
              </w:rPr>
            </w:pPr>
            <w:r w:rsidRPr="00D9348B">
              <w:rPr>
                <w:b/>
                <w:color w:val="FFFFFF"/>
              </w:rPr>
              <w:t xml:space="preserve">Net emissions </w:t>
            </w:r>
            <w:r w:rsidRPr="00D9348B">
              <w:rPr>
                <w:b/>
                <w:color w:val="FFFFFF"/>
              </w:rPr>
              <w:br/>
              <w:t>(kt CO</w:t>
            </w:r>
            <w:r w:rsidRPr="00D9348B">
              <w:rPr>
                <w:b/>
                <w:color w:val="FFFFFF"/>
                <w:vertAlign w:val="subscript"/>
              </w:rPr>
              <w:t>2</w:t>
            </w:r>
            <w:r w:rsidRPr="00D9348B">
              <w:rPr>
                <w:b/>
                <w:color w:val="FFFFFF"/>
              </w:rPr>
              <w:t>-e)</w:t>
            </w:r>
          </w:p>
        </w:tc>
        <w:tc>
          <w:tcPr>
            <w:tcW w:w="1213" w:type="dxa"/>
            <w:vMerge w:val="restart"/>
            <w:tcBorders>
              <w:top w:val="single" w:sz="4" w:space="0" w:color="365F91"/>
            </w:tcBorders>
            <w:shd w:val="clear" w:color="auto" w:fill="365F91"/>
            <w:vAlign w:val="bottom"/>
          </w:tcPr>
          <w:p w14:paraId="0B0B4031" w14:textId="77777777" w:rsidR="00A10636" w:rsidRPr="00D9348B" w:rsidRDefault="00A10636" w:rsidP="005E60C7">
            <w:pPr>
              <w:pStyle w:val="TableText"/>
              <w:keepNext/>
              <w:spacing w:before="40" w:after="40"/>
              <w:jc w:val="right"/>
              <w:rPr>
                <w:b/>
                <w:color w:val="FFFFFF"/>
              </w:rPr>
            </w:pPr>
            <w:r w:rsidRPr="00D9348B">
              <w:rPr>
                <w:b/>
                <w:color w:val="FFFFFF"/>
              </w:rPr>
              <w:t>Change from 1990 (%)</w:t>
            </w:r>
          </w:p>
        </w:tc>
      </w:tr>
      <w:tr w:rsidR="00A10636" w:rsidRPr="00D9348B" w14:paraId="4C9D9E9B" w14:textId="77777777" w:rsidTr="008F0E45">
        <w:trPr>
          <w:trHeight w:val="300"/>
        </w:trPr>
        <w:tc>
          <w:tcPr>
            <w:tcW w:w="2619" w:type="dxa"/>
            <w:vMerge/>
            <w:tcBorders>
              <w:bottom w:val="single" w:sz="4" w:space="0" w:color="365F91"/>
            </w:tcBorders>
            <w:shd w:val="clear" w:color="auto" w:fill="365F91"/>
          </w:tcPr>
          <w:p w14:paraId="255E913C" w14:textId="77777777" w:rsidR="00A10636" w:rsidRPr="00D9348B" w:rsidRDefault="00A10636" w:rsidP="005E60C7">
            <w:pPr>
              <w:pStyle w:val="TableText"/>
              <w:keepNext/>
              <w:spacing w:before="40" w:after="40"/>
              <w:rPr>
                <w:rFonts w:eastAsia="Calibri"/>
              </w:rPr>
            </w:pPr>
          </w:p>
        </w:tc>
        <w:tc>
          <w:tcPr>
            <w:tcW w:w="1357" w:type="dxa"/>
            <w:vMerge/>
            <w:tcBorders>
              <w:bottom w:val="single" w:sz="4" w:space="0" w:color="365F91"/>
            </w:tcBorders>
            <w:shd w:val="clear" w:color="auto" w:fill="365F91"/>
          </w:tcPr>
          <w:p w14:paraId="37F669E3" w14:textId="77777777" w:rsidR="00A10636" w:rsidRPr="00D9348B" w:rsidRDefault="00A10636" w:rsidP="005E60C7">
            <w:pPr>
              <w:pStyle w:val="TableText"/>
              <w:keepNext/>
              <w:spacing w:before="40" w:after="40"/>
              <w:jc w:val="center"/>
              <w:rPr>
                <w:rFonts w:eastAsia="Calibri"/>
              </w:rPr>
            </w:pPr>
          </w:p>
        </w:tc>
        <w:tc>
          <w:tcPr>
            <w:tcW w:w="1357" w:type="dxa"/>
            <w:vMerge/>
            <w:tcBorders>
              <w:bottom w:val="single" w:sz="4" w:space="0" w:color="365F91"/>
            </w:tcBorders>
            <w:shd w:val="clear" w:color="auto" w:fill="365F91"/>
          </w:tcPr>
          <w:p w14:paraId="0349010F" w14:textId="77777777" w:rsidR="00A10636" w:rsidRPr="00D9348B" w:rsidRDefault="00A10636" w:rsidP="005E60C7">
            <w:pPr>
              <w:pStyle w:val="TableText"/>
              <w:keepNext/>
              <w:spacing w:before="40" w:after="40"/>
              <w:jc w:val="center"/>
              <w:rPr>
                <w:rFonts w:eastAsia="Calibri"/>
              </w:rPr>
            </w:pPr>
          </w:p>
        </w:tc>
        <w:tc>
          <w:tcPr>
            <w:tcW w:w="904" w:type="dxa"/>
            <w:tcBorders>
              <w:bottom w:val="single" w:sz="4" w:space="0" w:color="365F91"/>
            </w:tcBorders>
            <w:shd w:val="clear" w:color="auto" w:fill="365F91"/>
          </w:tcPr>
          <w:p w14:paraId="22BA5CE4" w14:textId="77777777" w:rsidR="00A10636" w:rsidRPr="00D9348B" w:rsidRDefault="00A10636" w:rsidP="005E60C7">
            <w:pPr>
              <w:pStyle w:val="TableText"/>
              <w:keepNext/>
              <w:spacing w:before="40" w:after="40"/>
              <w:jc w:val="right"/>
              <w:rPr>
                <w:b/>
                <w:color w:val="FFFFFF"/>
              </w:rPr>
            </w:pPr>
            <w:r w:rsidRPr="00D9348B">
              <w:rPr>
                <w:b/>
                <w:color w:val="FFFFFF"/>
              </w:rPr>
              <w:t>1990</w:t>
            </w:r>
          </w:p>
        </w:tc>
        <w:tc>
          <w:tcPr>
            <w:tcW w:w="1055" w:type="dxa"/>
            <w:tcBorders>
              <w:bottom w:val="single" w:sz="4" w:space="0" w:color="365F91"/>
            </w:tcBorders>
            <w:shd w:val="clear" w:color="auto" w:fill="365F91"/>
          </w:tcPr>
          <w:p w14:paraId="628A5266" w14:textId="77777777" w:rsidR="00A10636" w:rsidRPr="00D9348B" w:rsidRDefault="00A10636" w:rsidP="005E60C7">
            <w:pPr>
              <w:pStyle w:val="TableText"/>
              <w:keepNext/>
              <w:spacing w:before="40" w:after="40"/>
              <w:jc w:val="right"/>
              <w:rPr>
                <w:b/>
                <w:color w:val="FFFFFF"/>
              </w:rPr>
            </w:pPr>
            <w:r w:rsidRPr="00D9348B">
              <w:rPr>
                <w:b/>
                <w:color w:val="FFFFFF"/>
              </w:rPr>
              <w:t>2018</w:t>
            </w:r>
          </w:p>
        </w:tc>
        <w:tc>
          <w:tcPr>
            <w:tcW w:w="1213" w:type="dxa"/>
            <w:vMerge/>
            <w:tcBorders>
              <w:bottom w:val="single" w:sz="4" w:space="0" w:color="365F91"/>
            </w:tcBorders>
            <w:shd w:val="clear" w:color="auto" w:fill="365F91"/>
          </w:tcPr>
          <w:p w14:paraId="6F87ED0A" w14:textId="77777777" w:rsidR="00A10636" w:rsidRPr="00D9348B" w:rsidRDefault="00A10636" w:rsidP="005E60C7">
            <w:pPr>
              <w:pStyle w:val="TableText"/>
              <w:keepNext/>
              <w:spacing w:before="40" w:after="40"/>
              <w:jc w:val="center"/>
              <w:rPr>
                <w:rFonts w:eastAsia="Calibri"/>
              </w:rPr>
            </w:pPr>
          </w:p>
        </w:tc>
      </w:tr>
      <w:tr w:rsidR="00A10636" w:rsidRPr="00D9348B" w14:paraId="09BEC40B" w14:textId="77777777" w:rsidTr="008F0E45">
        <w:trPr>
          <w:trHeight w:val="20"/>
        </w:trPr>
        <w:tc>
          <w:tcPr>
            <w:tcW w:w="2619" w:type="dxa"/>
            <w:tcBorders>
              <w:top w:val="single" w:sz="4" w:space="0" w:color="365F91"/>
              <w:bottom w:val="single" w:sz="4" w:space="0" w:color="365F91"/>
            </w:tcBorders>
          </w:tcPr>
          <w:p w14:paraId="55DA7174" w14:textId="77777777" w:rsidR="00A10636" w:rsidRPr="00D9348B" w:rsidRDefault="00A10636" w:rsidP="005E60C7">
            <w:pPr>
              <w:pStyle w:val="TableText"/>
              <w:spacing w:before="40" w:after="40"/>
            </w:pPr>
            <w:r w:rsidRPr="00D9348B">
              <w:t>Grassland remaining grassland</w:t>
            </w:r>
          </w:p>
        </w:tc>
        <w:tc>
          <w:tcPr>
            <w:tcW w:w="1357" w:type="dxa"/>
            <w:tcBorders>
              <w:top w:val="single" w:sz="4" w:space="0" w:color="365F91"/>
              <w:bottom w:val="single" w:sz="4" w:space="0" w:color="365F91"/>
            </w:tcBorders>
          </w:tcPr>
          <w:p w14:paraId="383F647B" w14:textId="77777777" w:rsidR="00A10636" w:rsidRPr="00D9348B" w:rsidRDefault="00A10636" w:rsidP="005E60C7">
            <w:pPr>
              <w:pStyle w:val="TableText"/>
              <w:spacing w:before="40" w:after="40"/>
              <w:jc w:val="right"/>
            </w:pPr>
            <w:r w:rsidRPr="00D9348B">
              <w:t>14,545,481</w:t>
            </w:r>
          </w:p>
        </w:tc>
        <w:tc>
          <w:tcPr>
            <w:tcW w:w="1357" w:type="dxa"/>
            <w:tcBorders>
              <w:top w:val="single" w:sz="4" w:space="0" w:color="365F91"/>
              <w:bottom w:val="single" w:sz="4" w:space="0" w:color="365F91"/>
            </w:tcBorders>
            <w:vAlign w:val="center"/>
          </w:tcPr>
          <w:p w14:paraId="72FE8764" w14:textId="77777777" w:rsidR="00A10636" w:rsidRPr="00D9348B" w:rsidRDefault="00A10636" w:rsidP="005E60C7">
            <w:pPr>
              <w:pStyle w:val="TableText"/>
              <w:spacing w:before="40" w:after="40"/>
              <w:jc w:val="right"/>
            </w:pPr>
            <w:r w:rsidRPr="00D9348B">
              <w:rPr>
                <w:rFonts w:cs="Arial"/>
                <w:szCs w:val="16"/>
              </w:rPr>
              <w:t>14,443,202</w:t>
            </w:r>
          </w:p>
        </w:tc>
        <w:tc>
          <w:tcPr>
            <w:tcW w:w="904" w:type="dxa"/>
            <w:tcBorders>
              <w:top w:val="single" w:sz="4" w:space="0" w:color="365F91"/>
              <w:bottom w:val="single" w:sz="4" w:space="0" w:color="365F91"/>
            </w:tcBorders>
            <w:noWrap/>
          </w:tcPr>
          <w:p w14:paraId="299CF6D3" w14:textId="77777777" w:rsidR="00A10636" w:rsidRPr="00D9348B" w:rsidRDefault="00A10636" w:rsidP="005E60C7">
            <w:pPr>
              <w:pStyle w:val="TableText"/>
              <w:spacing w:before="40" w:after="40"/>
              <w:jc w:val="right"/>
            </w:pPr>
            <w:r w:rsidRPr="00D9348B">
              <w:t xml:space="preserve">–99.8 </w:t>
            </w:r>
          </w:p>
        </w:tc>
        <w:tc>
          <w:tcPr>
            <w:tcW w:w="1055" w:type="dxa"/>
            <w:tcBorders>
              <w:top w:val="single" w:sz="4" w:space="0" w:color="365F91"/>
              <w:bottom w:val="single" w:sz="4" w:space="0" w:color="365F91"/>
            </w:tcBorders>
            <w:noWrap/>
          </w:tcPr>
          <w:p w14:paraId="05B5BAEC" w14:textId="77777777" w:rsidR="00A10636" w:rsidRPr="00D9348B" w:rsidRDefault="00A10636" w:rsidP="005E60C7">
            <w:pPr>
              <w:pStyle w:val="TableText"/>
              <w:spacing w:before="40" w:after="40"/>
              <w:jc w:val="right"/>
            </w:pPr>
            <w:r w:rsidRPr="00D9348B">
              <w:t>1,250.3</w:t>
            </w:r>
          </w:p>
        </w:tc>
        <w:tc>
          <w:tcPr>
            <w:tcW w:w="1213" w:type="dxa"/>
            <w:tcBorders>
              <w:top w:val="single" w:sz="4" w:space="0" w:color="365F91"/>
              <w:bottom w:val="single" w:sz="4" w:space="0" w:color="365F91"/>
            </w:tcBorders>
            <w:vAlign w:val="center"/>
          </w:tcPr>
          <w:p w14:paraId="27D0A10A" w14:textId="77777777" w:rsidR="00A10636" w:rsidRPr="00D9348B" w:rsidRDefault="00A10636" w:rsidP="005E60C7">
            <w:pPr>
              <w:pStyle w:val="TableText"/>
              <w:spacing w:before="40" w:after="40"/>
              <w:jc w:val="right"/>
            </w:pPr>
            <w:r w:rsidRPr="00D9348B">
              <w:rPr>
                <w:rFonts w:cs="Arial"/>
                <w:szCs w:val="16"/>
              </w:rPr>
              <w:t>–1,353.2</w:t>
            </w:r>
          </w:p>
        </w:tc>
      </w:tr>
      <w:tr w:rsidR="00A10636" w:rsidRPr="00D9348B" w14:paraId="0DD7C89F" w14:textId="77777777" w:rsidTr="008F0E45">
        <w:trPr>
          <w:trHeight w:val="20"/>
        </w:trPr>
        <w:tc>
          <w:tcPr>
            <w:tcW w:w="2619" w:type="dxa"/>
            <w:tcBorders>
              <w:top w:val="single" w:sz="4" w:space="0" w:color="365F91"/>
              <w:bottom w:val="single" w:sz="4" w:space="0" w:color="365F91"/>
            </w:tcBorders>
          </w:tcPr>
          <w:p w14:paraId="76739171" w14:textId="77777777" w:rsidR="00A10636" w:rsidRPr="00D9348B" w:rsidRDefault="00A10636" w:rsidP="005E60C7">
            <w:pPr>
              <w:pStyle w:val="TableText"/>
              <w:spacing w:before="40" w:after="40"/>
            </w:pPr>
            <w:r w:rsidRPr="00D9348B">
              <w:t>Land converted to grassland</w:t>
            </w:r>
          </w:p>
        </w:tc>
        <w:tc>
          <w:tcPr>
            <w:tcW w:w="1357" w:type="dxa"/>
            <w:tcBorders>
              <w:top w:val="single" w:sz="4" w:space="0" w:color="365F91"/>
              <w:bottom w:val="single" w:sz="4" w:space="0" w:color="365F91"/>
            </w:tcBorders>
          </w:tcPr>
          <w:p w14:paraId="4A9F85C6" w14:textId="77777777" w:rsidR="00A10636" w:rsidRPr="00D9348B" w:rsidRDefault="00A10636" w:rsidP="005E60C7">
            <w:pPr>
              <w:pStyle w:val="TableText"/>
              <w:spacing w:before="40" w:after="40"/>
              <w:jc w:val="right"/>
            </w:pPr>
            <w:r w:rsidRPr="00D9348B">
              <w:t>713,037</w:t>
            </w:r>
          </w:p>
        </w:tc>
        <w:tc>
          <w:tcPr>
            <w:tcW w:w="1357" w:type="dxa"/>
            <w:tcBorders>
              <w:top w:val="single" w:sz="4" w:space="0" w:color="365F91"/>
              <w:bottom w:val="single" w:sz="4" w:space="0" w:color="365F91"/>
            </w:tcBorders>
            <w:vAlign w:val="center"/>
          </w:tcPr>
          <w:p w14:paraId="64DBE228" w14:textId="77777777" w:rsidR="00A10636" w:rsidRPr="00D9348B" w:rsidRDefault="00A10636" w:rsidP="005E60C7">
            <w:pPr>
              <w:pStyle w:val="TableText"/>
              <w:spacing w:before="40" w:after="40"/>
              <w:jc w:val="right"/>
            </w:pPr>
            <w:r w:rsidRPr="00D9348B">
              <w:rPr>
                <w:rFonts w:cs="Arial"/>
                <w:szCs w:val="16"/>
              </w:rPr>
              <w:t>206,608</w:t>
            </w:r>
          </w:p>
        </w:tc>
        <w:tc>
          <w:tcPr>
            <w:tcW w:w="904" w:type="dxa"/>
            <w:tcBorders>
              <w:top w:val="single" w:sz="4" w:space="0" w:color="365F91"/>
              <w:bottom w:val="single" w:sz="4" w:space="0" w:color="365F91"/>
            </w:tcBorders>
            <w:noWrap/>
          </w:tcPr>
          <w:p w14:paraId="62800194" w14:textId="77777777" w:rsidR="00A10636" w:rsidRPr="00D9348B" w:rsidRDefault="00A10636" w:rsidP="005E60C7">
            <w:pPr>
              <w:pStyle w:val="TableText"/>
              <w:spacing w:before="40" w:after="40"/>
              <w:jc w:val="right"/>
            </w:pPr>
            <w:r w:rsidRPr="00D9348B">
              <w:t xml:space="preserve">286.1 </w:t>
            </w:r>
          </w:p>
        </w:tc>
        <w:tc>
          <w:tcPr>
            <w:tcW w:w="1055" w:type="dxa"/>
            <w:tcBorders>
              <w:top w:val="single" w:sz="4" w:space="0" w:color="365F91"/>
              <w:bottom w:val="single" w:sz="4" w:space="0" w:color="365F91"/>
            </w:tcBorders>
            <w:noWrap/>
          </w:tcPr>
          <w:p w14:paraId="63C97DEE" w14:textId="77777777" w:rsidR="00A10636" w:rsidRPr="00D9348B" w:rsidRDefault="00A10636" w:rsidP="005E60C7">
            <w:pPr>
              <w:pStyle w:val="TableText"/>
              <w:spacing w:before="40" w:after="40"/>
              <w:jc w:val="right"/>
            </w:pPr>
            <w:r w:rsidRPr="00D9348B">
              <w:t xml:space="preserve">2,449.7 </w:t>
            </w:r>
          </w:p>
        </w:tc>
        <w:tc>
          <w:tcPr>
            <w:tcW w:w="1213" w:type="dxa"/>
            <w:tcBorders>
              <w:top w:val="single" w:sz="4" w:space="0" w:color="365F91"/>
              <w:bottom w:val="single" w:sz="4" w:space="0" w:color="365F91"/>
            </w:tcBorders>
            <w:vAlign w:val="center"/>
          </w:tcPr>
          <w:p w14:paraId="43F0F445" w14:textId="77777777" w:rsidR="00A10636" w:rsidRPr="00D9348B" w:rsidRDefault="00A10636" w:rsidP="005E60C7">
            <w:pPr>
              <w:pStyle w:val="TableText"/>
              <w:spacing w:before="40" w:after="40"/>
              <w:jc w:val="right"/>
            </w:pPr>
            <w:r w:rsidRPr="00D9348B">
              <w:rPr>
                <w:rFonts w:cs="Arial"/>
                <w:szCs w:val="16"/>
              </w:rPr>
              <w:t>+756.3</w:t>
            </w:r>
          </w:p>
        </w:tc>
      </w:tr>
      <w:tr w:rsidR="00A10636" w:rsidRPr="00D9348B" w14:paraId="0B93DEF1" w14:textId="77777777" w:rsidTr="008F0E45">
        <w:trPr>
          <w:trHeight w:val="20"/>
        </w:trPr>
        <w:tc>
          <w:tcPr>
            <w:tcW w:w="2619" w:type="dxa"/>
            <w:tcBorders>
              <w:top w:val="single" w:sz="4" w:space="0" w:color="365F91"/>
              <w:bottom w:val="single" w:sz="4" w:space="0" w:color="365F91"/>
            </w:tcBorders>
          </w:tcPr>
          <w:p w14:paraId="2A382F2A" w14:textId="77777777" w:rsidR="00A10636" w:rsidRPr="00D9348B" w:rsidRDefault="00A10636" w:rsidP="005E60C7">
            <w:pPr>
              <w:pStyle w:val="Tableboldblue"/>
              <w:spacing w:before="40" w:after="40"/>
              <w:jc w:val="right"/>
            </w:pPr>
            <w:r w:rsidRPr="00D9348B">
              <w:t>Total</w:t>
            </w:r>
          </w:p>
        </w:tc>
        <w:tc>
          <w:tcPr>
            <w:tcW w:w="1357" w:type="dxa"/>
            <w:tcBorders>
              <w:top w:val="single" w:sz="4" w:space="0" w:color="365F91"/>
              <w:bottom w:val="single" w:sz="4" w:space="0" w:color="365F91"/>
            </w:tcBorders>
          </w:tcPr>
          <w:p w14:paraId="487628F6" w14:textId="77777777" w:rsidR="00A10636" w:rsidRPr="00D9348B" w:rsidRDefault="00A10636" w:rsidP="005E60C7">
            <w:pPr>
              <w:pStyle w:val="Tableboldblue"/>
              <w:spacing w:before="40" w:after="40"/>
              <w:jc w:val="right"/>
            </w:pPr>
            <w:r w:rsidRPr="00D9348B">
              <w:t>15,258,518</w:t>
            </w:r>
          </w:p>
        </w:tc>
        <w:tc>
          <w:tcPr>
            <w:tcW w:w="1357" w:type="dxa"/>
            <w:tcBorders>
              <w:top w:val="single" w:sz="4" w:space="0" w:color="365F91"/>
              <w:bottom w:val="single" w:sz="4" w:space="0" w:color="365F91"/>
            </w:tcBorders>
          </w:tcPr>
          <w:p w14:paraId="780E42E0" w14:textId="77777777" w:rsidR="00A10636" w:rsidRPr="00D9348B" w:rsidRDefault="00A10636" w:rsidP="005E60C7">
            <w:pPr>
              <w:pStyle w:val="Tableboldblue"/>
              <w:spacing w:before="40" w:after="40"/>
              <w:jc w:val="right"/>
            </w:pPr>
            <w:r w:rsidRPr="00D9348B">
              <w:t>14,649,809</w:t>
            </w:r>
          </w:p>
        </w:tc>
        <w:tc>
          <w:tcPr>
            <w:tcW w:w="904" w:type="dxa"/>
            <w:tcBorders>
              <w:top w:val="single" w:sz="4" w:space="0" w:color="365F91"/>
              <w:bottom w:val="single" w:sz="4" w:space="0" w:color="365F91"/>
            </w:tcBorders>
            <w:noWrap/>
          </w:tcPr>
          <w:p w14:paraId="56287F96" w14:textId="77777777" w:rsidR="00A10636" w:rsidRPr="00D9348B" w:rsidRDefault="00A10636" w:rsidP="005E60C7">
            <w:pPr>
              <w:pStyle w:val="Tableboldblue"/>
              <w:spacing w:before="40" w:after="40"/>
              <w:jc w:val="right"/>
            </w:pPr>
            <w:r w:rsidRPr="00D9348B">
              <w:t xml:space="preserve">186.3 </w:t>
            </w:r>
          </w:p>
        </w:tc>
        <w:tc>
          <w:tcPr>
            <w:tcW w:w="1055" w:type="dxa"/>
            <w:tcBorders>
              <w:top w:val="single" w:sz="4" w:space="0" w:color="365F91"/>
              <w:bottom w:val="single" w:sz="4" w:space="0" w:color="365F91"/>
            </w:tcBorders>
            <w:noWrap/>
          </w:tcPr>
          <w:p w14:paraId="6AB39334" w14:textId="77777777" w:rsidR="00A10636" w:rsidRPr="00D9348B" w:rsidRDefault="00A10636" w:rsidP="005E60C7">
            <w:pPr>
              <w:pStyle w:val="Tableboldblue"/>
              <w:spacing w:before="40" w:after="40"/>
              <w:jc w:val="right"/>
            </w:pPr>
            <w:r w:rsidRPr="00D9348B">
              <w:t xml:space="preserve">3,699.9 </w:t>
            </w:r>
          </w:p>
        </w:tc>
        <w:tc>
          <w:tcPr>
            <w:tcW w:w="1213" w:type="dxa"/>
            <w:tcBorders>
              <w:top w:val="single" w:sz="4" w:space="0" w:color="365F91"/>
              <w:bottom w:val="single" w:sz="4" w:space="0" w:color="365F91"/>
            </w:tcBorders>
            <w:vAlign w:val="center"/>
          </w:tcPr>
          <w:p w14:paraId="06231972" w14:textId="77777777" w:rsidR="00A10636" w:rsidRPr="00D9348B" w:rsidRDefault="00A10636" w:rsidP="005E60C7">
            <w:pPr>
              <w:pStyle w:val="Tableboldblue"/>
              <w:spacing w:before="40" w:after="40"/>
              <w:jc w:val="right"/>
            </w:pPr>
            <w:r w:rsidRPr="00D9348B">
              <w:t>+1,885.9</w:t>
            </w:r>
          </w:p>
        </w:tc>
      </w:tr>
    </w:tbl>
    <w:p w14:paraId="42DC83B1" w14:textId="77777777" w:rsidR="00A10636" w:rsidRPr="00D9348B" w:rsidRDefault="00A10636" w:rsidP="00A10636">
      <w:pPr>
        <w:pStyle w:val="Noteundertable"/>
        <w:spacing w:after="60"/>
        <w:rPr>
          <w:rFonts w:eastAsia="Calibri"/>
        </w:rPr>
      </w:pPr>
      <w:r w:rsidRPr="00D9348B">
        <w:rPr>
          <w:rFonts w:eastAsia="Calibri"/>
          <w:b/>
          <w:bCs/>
        </w:rPr>
        <w:t>Note</w:t>
      </w:r>
      <w:r w:rsidRPr="00D9348B">
        <w:rPr>
          <w:rFonts w:eastAsia="Calibri"/>
          <w:b/>
        </w:rPr>
        <w:t>:</w:t>
      </w:r>
      <w:r w:rsidRPr="00D9348B">
        <w:rPr>
          <w:rFonts w:eastAsia="Calibri"/>
        </w:rPr>
        <w:tab/>
      </w:r>
      <w:r w:rsidRPr="00D9348B">
        <w:t xml:space="preserve">Net area in 1990 is as at 1 January 1990; net area in 2018 is as at 31 December. </w:t>
      </w:r>
      <w:r w:rsidRPr="00D9348B">
        <w:rPr>
          <w:i/>
        </w:rPr>
        <w:t>Land converted to grassland</w:t>
      </w:r>
      <w:r w:rsidRPr="00D9348B">
        <w:t xml:space="preserve"> includes land converted up to 28 years prior. Net emission estimates are for the whole year indicated. Columns may not total due to rounding.</w:t>
      </w:r>
    </w:p>
    <w:p w14:paraId="20B4E35C" w14:textId="77777777" w:rsidR="00A10636" w:rsidRPr="00D9348B" w:rsidRDefault="00A10636" w:rsidP="00A10636">
      <w:pPr>
        <w:pStyle w:val="BodyText"/>
        <w:spacing w:before="100" w:after="100"/>
      </w:pPr>
      <w:r w:rsidRPr="00D9348B">
        <w:t>In 2018, there were 6,872,829 hectares of high producing grassland (25.5 per cent of total land area), 6,400,945 hectares of low producing grassland (23.8 per cent of total land area) and 1,376,035 hectares of grassland with woody biomass (5.1 per cent of total land area).</w:t>
      </w:r>
    </w:p>
    <w:p w14:paraId="568313E4" w14:textId="77777777" w:rsidR="00A10636" w:rsidRPr="00D9348B" w:rsidRDefault="00A10636" w:rsidP="00A10636">
      <w:pPr>
        <w:pStyle w:val="BodyText"/>
      </w:pPr>
      <w:r w:rsidRPr="00D9348B">
        <w:t xml:space="preserve">From 1990 to 2018, the net carbon stock change attributed to </w:t>
      </w:r>
      <w:r w:rsidRPr="00D9348B">
        <w:rPr>
          <w:i/>
        </w:rPr>
        <w:t>Grassland</w:t>
      </w:r>
      <w:r w:rsidRPr="00D9348B">
        <w:t xml:space="preserve"> was a decrease of 37,107.5 kt C, equivalent to 136,060.7 kt CO</w:t>
      </w:r>
      <w:r w:rsidRPr="00D9348B">
        <w:rPr>
          <w:vertAlign w:val="subscript"/>
        </w:rPr>
        <w:t>2</w:t>
      </w:r>
      <w:r w:rsidRPr="00D9348B">
        <w:t xml:space="preserve"> emissions (see table 6.6.2). The majority of these emissions are due to the loss of living biomass carbon stock associated with </w:t>
      </w:r>
      <w:r w:rsidRPr="00D9348B">
        <w:rPr>
          <w:i/>
        </w:rPr>
        <w:t>Forest land</w:t>
      </w:r>
      <w:r w:rsidRPr="00D9348B">
        <w:t xml:space="preserve"> conversion to </w:t>
      </w:r>
      <w:r w:rsidRPr="00D9348B">
        <w:rPr>
          <w:i/>
        </w:rPr>
        <w:t>Grassland</w:t>
      </w:r>
      <w:r w:rsidRPr="00D9348B">
        <w:t xml:space="preserve"> (deforestation). </w:t>
      </w:r>
    </w:p>
    <w:p w14:paraId="7D9EF900" w14:textId="77777777" w:rsidR="00A10636" w:rsidRPr="00D9348B" w:rsidRDefault="00A10636" w:rsidP="00A10636">
      <w:pPr>
        <w:pStyle w:val="Table"/>
      </w:pPr>
      <w:bookmarkStart w:id="2109" w:name="_Toc280630467"/>
      <w:bookmarkStart w:id="2110" w:name="_Toc310423423"/>
      <w:bookmarkStart w:id="2111" w:name="_Toc318362716"/>
      <w:bookmarkStart w:id="2112" w:name="_Toc342470778"/>
      <w:bookmarkStart w:id="2113" w:name="_Toc352505018"/>
      <w:bookmarkStart w:id="2114" w:name="_Toc378853308"/>
      <w:bookmarkStart w:id="2115" w:name="_Toc391024106"/>
      <w:bookmarkStart w:id="2116" w:name="_Toc410028849"/>
      <w:bookmarkStart w:id="2117" w:name="_Toc414531477"/>
      <w:bookmarkStart w:id="2118" w:name="_Toc443645390"/>
      <w:bookmarkStart w:id="2119" w:name="_Toc474914609"/>
      <w:bookmarkStart w:id="2120" w:name="_Toc481751573"/>
      <w:bookmarkStart w:id="2121" w:name="_Toc522010630"/>
      <w:bookmarkStart w:id="2122" w:name="_Toc5269535"/>
      <w:bookmarkStart w:id="2123" w:name="_Toc33529409"/>
      <w:bookmarkStart w:id="2124" w:name="_Toc36224615"/>
      <w:r w:rsidRPr="00D9348B">
        <w:t>Table 6.6.2</w:t>
      </w:r>
      <w:r w:rsidRPr="00D9348B">
        <w:tab/>
        <w:t>New Zealand’s carbon stock change by carbon pool for the</w:t>
      </w:r>
      <w:r w:rsidRPr="00D9348B">
        <w:rPr>
          <w:rFonts w:cs="Arial"/>
        </w:rPr>
        <w:t xml:space="preserve"> Grassland</w:t>
      </w:r>
      <w:r w:rsidRPr="00D9348B">
        <w:t xml:space="preserve"> category</w:t>
      </w:r>
      <w:r w:rsidRPr="00D9348B">
        <w:br/>
        <w:t>from 1990 to</w:t>
      </w:r>
      <w:bookmarkEnd w:id="2109"/>
      <w:bookmarkEnd w:id="2110"/>
      <w:bookmarkEnd w:id="2111"/>
      <w:bookmarkEnd w:id="2112"/>
      <w:bookmarkEnd w:id="2113"/>
      <w:bookmarkEnd w:id="2114"/>
      <w:bookmarkEnd w:id="2115"/>
      <w:r w:rsidRPr="00D9348B">
        <w:t> 201</w:t>
      </w:r>
      <w:bookmarkEnd w:id="2116"/>
      <w:bookmarkEnd w:id="2117"/>
      <w:bookmarkEnd w:id="2118"/>
      <w:bookmarkEnd w:id="2119"/>
      <w:bookmarkEnd w:id="2120"/>
      <w:r w:rsidRPr="00D9348B">
        <w:t>8</w:t>
      </w:r>
      <w:bookmarkEnd w:id="2121"/>
      <w:bookmarkEnd w:id="2122"/>
      <w:bookmarkEnd w:id="2123"/>
      <w:bookmarkEnd w:id="2124"/>
    </w:p>
    <w:tbl>
      <w:tblPr>
        <w:tblW w:w="8505" w:type="dxa"/>
        <w:tblInd w:w="108" w:type="dxa"/>
        <w:tblBorders>
          <w:top w:val="single" w:sz="4" w:space="0" w:color="365F91"/>
          <w:bottom w:val="single" w:sz="4" w:space="0" w:color="365F91"/>
          <w:insideH w:val="single" w:sz="4" w:space="0" w:color="365F91"/>
        </w:tblBorders>
        <w:tblLayout w:type="fixed"/>
        <w:tblLook w:val="04A0" w:firstRow="1" w:lastRow="0" w:firstColumn="1" w:lastColumn="0" w:noHBand="0" w:noVBand="1"/>
      </w:tblPr>
      <w:tblGrid>
        <w:gridCol w:w="2772"/>
        <w:gridCol w:w="1056"/>
        <w:gridCol w:w="1358"/>
        <w:gridCol w:w="1056"/>
        <w:gridCol w:w="1056"/>
        <w:gridCol w:w="1207"/>
      </w:tblGrid>
      <w:tr w:rsidR="00A10636" w:rsidRPr="00D9348B" w14:paraId="0E9A41FD" w14:textId="77777777" w:rsidTr="009A13B6">
        <w:trPr>
          <w:trHeight w:val="287"/>
        </w:trPr>
        <w:tc>
          <w:tcPr>
            <w:tcW w:w="2772" w:type="dxa"/>
            <w:vMerge w:val="restart"/>
            <w:shd w:val="clear" w:color="auto" w:fill="365F91"/>
            <w:vAlign w:val="bottom"/>
          </w:tcPr>
          <w:p w14:paraId="56C379C6" w14:textId="77777777" w:rsidR="00A10636" w:rsidRPr="00D9348B" w:rsidRDefault="00A10636" w:rsidP="009A13B6">
            <w:pPr>
              <w:pStyle w:val="TableText"/>
              <w:keepNext/>
              <w:spacing w:before="50" w:after="50"/>
              <w:rPr>
                <w:b/>
                <w:color w:val="FFFFFF"/>
                <w:szCs w:val="16"/>
              </w:rPr>
            </w:pPr>
            <w:r w:rsidRPr="00D9348B">
              <w:rPr>
                <w:b/>
                <w:color w:val="FFFFFF"/>
                <w:szCs w:val="16"/>
              </w:rPr>
              <w:t>Grassland category</w:t>
            </w:r>
          </w:p>
        </w:tc>
        <w:tc>
          <w:tcPr>
            <w:tcW w:w="4526" w:type="dxa"/>
            <w:gridSpan w:val="4"/>
            <w:shd w:val="clear" w:color="auto" w:fill="365F91"/>
            <w:vAlign w:val="bottom"/>
          </w:tcPr>
          <w:p w14:paraId="242375AD" w14:textId="77777777" w:rsidR="00A10636" w:rsidRPr="00D9348B" w:rsidRDefault="00A10636" w:rsidP="005E60C7">
            <w:pPr>
              <w:pStyle w:val="TableText"/>
              <w:keepNext/>
              <w:spacing w:before="50" w:after="0"/>
              <w:jc w:val="center"/>
              <w:rPr>
                <w:b/>
                <w:color w:val="FFFFFF"/>
                <w:szCs w:val="16"/>
              </w:rPr>
            </w:pPr>
            <w:r w:rsidRPr="00D9348B">
              <w:rPr>
                <w:b/>
                <w:color w:val="FFFFFF"/>
                <w:szCs w:val="16"/>
              </w:rPr>
              <w:t>Net carbon stock change 1990–2018 (kt C)</w:t>
            </w:r>
          </w:p>
        </w:tc>
        <w:tc>
          <w:tcPr>
            <w:tcW w:w="1207" w:type="dxa"/>
            <w:vMerge w:val="restart"/>
            <w:shd w:val="clear" w:color="auto" w:fill="365F91"/>
            <w:vAlign w:val="bottom"/>
          </w:tcPr>
          <w:p w14:paraId="7F663207" w14:textId="77777777" w:rsidR="00A10636" w:rsidRPr="00D9348B" w:rsidRDefault="00A10636" w:rsidP="009A13B6">
            <w:pPr>
              <w:pStyle w:val="TableText"/>
              <w:keepNext/>
              <w:spacing w:before="50" w:after="50"/>
              <w:jc w:val="right"/>
              <w:rPr>
                <w:b/>
                <w:szCs w:val="16"/>
              </w:rPr>
            </w:pPr>
            <w:r w:rsidRPr="00D9348B">
              <w:rPr>
                <w:b/>
                <w:color w:val="FFFFFF"/>
                <w:szCs w:val="16"/>
                <w:shd w:val="clear" w:color="auto" w:fill="365F91"/>
              </w:rPr>
              <w:t xml:space="preserve">Emissions </w:t>
            </w:r>
            <w:r w:rsidRPr="00D9348B">
              <w:rPr>
                <w:b/>
                <w:color w:val="FFFFFF"/>
                <w:szCs w:val="16"/>
                <w:shd w:val="clear" w:color="auto" w:fill="365F91"/>
              </w:rPr>
              <w:br/>
              <w:t>1990–2017</w:t>
            </w:r>
            <w:r w:rsidRPr="00D9348B">
              <w:rPr>
                <w:b/>
                <w:color w:val="FFFFFF"/>
                <w:szCs w:val="16"/>
                <w:shd w:val="clear" w:color="auto" w:fill="365F91"/>
              </w:rPr>
              <w:br/>
              <w:t>(kt CO</w:t>
            </w:r>
            <w:r w:rsidRPr="00D9348B">
              <w:rPr>
                <w:b/>
                <w:color w:val="FFFFFF"/>
                <w:szCs w:val="16"/>
                <w:shd w:val="clear" w:color="auto" w:fill="365F91"/>
                <w:vertAlign w:val="subscript"/>
              </w:rPr>
              <w:t>2</w:t>
            </w:r>
            <w:r w:rsidRPr="00D9348B">
              <w:rPr>
                <w:b/>
                <w:color w:val="FFFFFF"/>
                <w:szCs w:val="16"/>
              </w:rPr>
              <w:t>)</w:t>
            </w:r>
          </w:p>
        </w:tc>
      </w:tr>
      <w:tr w:rsidR="00A10636" w:rsidRPr="00D9348B" w14:paraId="103FAEB2" w14:textId="77777777" w:rsidTr="009A13B6">
        <w:trPr>
          <w:trHeight w:val="262"/>
        </w:trPr>
        <w:tc>
          <w:tcPr>
            <w:tcW w:w="2772" w:type="dxa"/>
            <w:vMerge/>
            <w:shd w:val="clear" w:color="auto" w:fill="365F91"/>
            <w:vAlign w:val="bottom"/>
          </w:tcPr>
          <w:p w14:paraId="4EE23BBC" w14:textId="77777777" w:rsidR="00A10636" w:rsidRPr="00D9348B" w:rsidRDefault="00A10636" w:rsidP="009A13B6">
            <w:pPr>
              <w:pStyle w:val="TableText"/>
              <w:keepNext/>
              <w:spacing w:before="50" w:after="50"/>
              <w:rPr>
                <w:color w:val="FFFFFF"/>
                <w:szCs w:val="16"/>
              </w:rPr>
            </w:pPr>
          </w:p>
        </w:tc>
        <w:tc>
          <w:tcPr>
            <w:tcW w:w="1056" w:type="dxa"/>
            <w:shd w:val="clear" w:color="auto" w:fill="365F91"/>
            <w:vAlign w:val="bottom"/>
          </w:tcPr>
          <w:p w14:paraId="581A774F" w14:textId="77777777" w:rsidR="00A10636" w:rsidRPr="00D9348B" w:rsidRDefault="00A10636" w:rsidP="009A13B6">
            <w:pPr>
              <w:pStyle w:val="TableText"/>
              <w:keepNext/>
              <w:spacing w:before="50" w:after="50"/>
              <w:jc w:val="right"/>
              <w:rPr>
                <w:b/>
                <w:color w:val="FFFFFF"/>
                <w:szCs w:val="16"/>
              </w:rPr>
            </w:pPr>
            <w:r w:rsidRPr="00D9348B">
              <w:rPr>
                <w:b/>
                <w:color w:val="FFFFFF"/>
                <w:szCs w:val="16"/>
              </w:rPr>
              <w:t>Living biomass</w:t>
            </w:r>
          </w:p>
        </w:tc>
        <w:tc>
          <w:tcPr>
            <w:tcW w:w="1358" w:type="dxa"/>
            <w:shd w:val="clear" w:color="auto" w:fill="365F91"/>
            <w:vAlign w:val="bottom"/>
          </w:tcPr>
          <w:p w14:paraId="0A5FEDA4" w14:textId="77777777" w:rsidR="00A10636" w:rsidRPr="00D9348B" w:rsidRDefault="00A10636" w:rsidP="009A13B6">
            <w:pPr>
              <w:pStyle w:val="TableText"/>
              <w:keepNext/>
              <w:spacing w:before="50" w:after="50"/>
              <w:jc w:val="right"/>
              <w:rPr>
                <w:b/>
                <w:color w:val="FFFFFF"/>
                <w:szCs w:val="16"/>
              </w:rPr>
            </w:pPr>
            <w:r w:rsidRPr="00D9348B">
              <w:rPr>
                <w:b/>
                <w:color w:val="FFFFFF"/>
                <w:szCs w:val="16"/>
              </w:rPr>
              <w:t>Dead organic matter</w:t>
            </w:r>
          </w:p>
        </w:tc>
        <w:tc>
          <w:tcPr>
            <w:tcW w:w="1056" w:type="dxa"/>
            <w:shd w:val="clear" w:color="auto" w:fill="365F91"/>
            <w:vAlign w:val="bottom"/>
          </w:tcPr>
          <w:p w14:paraId="1D2C5B30" w14:textId="77777777" w:rsidR="00A10636" w:rsidRPr="00D9348B" w:rsidRDefault="00A10636" w:rsidP="009A13B6">
            <w:pPr>
              <w:pStyle w:val="TableText"/>
              <w:keepNext/>
              <w:spacing w:before="50" w:after="50"/>
              <w:jc w:val="right"/>
              <w:rPr>
                <w:b/>
                <w:color w:val="FFFFFF"/>
                <w:szCs w:val="16"/>
              </w:rPr>
            </w:pPr>
            <w:r w:rsidRPr="00D9348B">
              <w:rPr>
                <w:b/>
                <w:color w:val="FFFFFF"/>
                <w:szCs w:val="16"/>
              </w:rPr>
              <w:t>Soils</w:t>
            </w:r>
          </w:p>
        </w:tc>
        <w:tc>
          <w:tcPr>
            <w:tcW w:w="1056" w:type="dxa"/>
            <w:shd w:val="clear" w:color="auto" w:fill="365F91"/>
            <w:vAlign w:val="bottom"/>
          </w:tcPr>
          <w:p w14:paraId="49B2F32A" w14:textId="77777777" w:rsidR="00A10636" w:rsidRPr="00D9348B" w:rsidRDefault="00A10636" w:rsidP="009A13B6">
            <w:pPr>
              <w:pStyle w:val="TableText"/>
              <w:keepNext/>
              <w:spacing w:before="50" w:after="50"/>
              <w:jc w:val="right"/>
              <w:rPr>
                <w:b/>
                <w:color w:val="FFFFFF"/>
                <w:szCs w:val="16"/>
              </w:rPr>
            </w:pPr>
            <w:r w:rsidRPr="00D9348B">
              <w:rPr>
                <w:b/>
                <w:color w:val="FFFFFF"/>
                <w:szCs w:val="16"/>
              </w:rPr>
              <w:t>Total</w:t>
            </w:r>
          </w:p>
        </w:tc>
        <w:tc>
          <w:tcPr>
            <w:tcW w:w="1207" w:type="dxa"/>
            <w:vMerge/>
            <w:vAlign w:val="bottom"/>
          </w:tcPr>
          <w:p w14:paraId="71276AF8" w14:textId="77777777" w:rsidR="00A10636" w:rsidRPr="00D9348B" w:rsidRDefault="00A10636" w:rsidP="009A13B6">
            <w:pPr>
              <w:pStyle w:val="TableText"/>
              <w:keepNext/>
              <w:spacing w:before="50" w:after="50"/>
              <w:jc w:val="right"/>
              <w:rPr>
                <w:szCs w:val="16"/>
              </w:rPr>
            </w:pPr>
          </w:p>
        </w:tc>
      </w:tr>
      <w:tr w:rsidR="00A10636" w:rsidRPr="00D9348B" w14:paraId="14ED2048" w14:textId="77777777" w:rsidTr="009A13B6">
        <w:tc>
          <w:tcPr>
            <w:tcW w:w="2772" w:type="dxa"/>
          </w:tcPr>
          <w:p w14:paraId="761DAD37" w14:textId="77777777" w:rsidR="00A10636" w:rsidRPr="00D9348B" w:rsidRDefault="00A10636" w:rsidP="009A13B6">
            <w:pPr>
              <w:pStyle w:val="TableText"/>
              <w:keepNext/>
              <w:spacing w:before="50" w:after="50"/>
              <w:rPr>
                <w:szCs w:val="16"/>
              </w:rPr>
            </w:pPr>
            <w:r w:rsidRPr="00D9348B">
              <w:rPr>
                <w:szCs w:val="16"/>
              </w:rPr>
              <w:t>Grassland – high producing</w:t>
            </w:r>
          </w:p>
        </w:tc>
        <w:tc>
          <w:tcPr>
            <w:tcW w:w="1056" w:type="dxa"/>
          </w:tcPr>
          <w:p w14:paraId="6B8B0CEA" w14:textId="77777777" w:rsidR="00A10636" w:rsidRPr="00D9348B" w:rsidRDefault="00A10636" w:rsidP="009A13B6">
            <w:pPr>
              <w:pStyle w:val="TableText"/>
              <w:spacing w:before="50" w:after="50"/>
              <w:jc w:val="right"/>
              <w:rPr>
                <w:szCs w:val="16"/>
              </w:rPr>
            </w:pPr>
            <w:r w:rsidRPr="00D9348B">
              <w:rPr>
                <w:szCs w:val="16"/>
              </w:rPr>
              <w:t>–15,627.8</w:t>
            </w:r>
          </w:p>
        </w:tc>
        <w:tc>
          <w:tcPr>
            <w:tcW w:w="1358" w:type="dxa"/>
            <w:vAlign w:val="center"/>
          </w:tcPr>
          <w:p w14:paraId="507B699D" w14:textId="77777777" w:rsidR="00A10636" w:rsidRPr="00D9348B" w:rsidRDefault="00A10636" w:rsidP="009A13B6">
            <w:pPr>
              <w:pStyle w:val="TableText"/>
              <w:spacing w:before="50" w:after="50"/>
              <w:jc w:val="right"/>
              <w:rPr>
                <w:b/>
                <w:szCs w:val="16"/>
              </w:rPr>
            </w:pPr>
            <w:r w:rsidRPr="00D9348B">
              <w:rPr>
                <w:rFonts w:cs="Arial"/>
                <w:color w:val="000000"/>
                <w:szCs w:val="16"/>
              </w:rPr>
              <w:t>–1,824.7</w:t>
            </w:r>
          </w:p>
        </w:tc>
        <w:tc>
          <w:tcPr>
            <w:tcW w:w="1056" w:type="dxa"/>
          </w:tcPr>
          <w:p w14:paraId="298F8893" w14:textId="77777777" w:rsidR="00A10636" w:rsidRPr="00D9348B" w:rsidRDefault="00A10636" w:rsidP="009A13B6">
            <w:pPr>
              <w:pStyle w:val="TableText"/>
              <w:spacing w:before="50" w:after="50"/>
              <w:jc w:val="right"/>
              <w:rPr>
                <w:b/>
                <w:szCs w:val="16"/>
              </w:rPr>
            </w:pPr>
            <w:r w:rsidRPr="00D9348B">
              <w:rPr>
                <w:szCs w:val="16"/>
              </w:rPr>
              <w:t>–8,546.9</w:t>
            </w:r>
          </w:p>
        </w:tc>
        <w:tc>
          <w:tcPr>
            <w:tcW w:w="1056" w:type="dxa"/>
          </w:tcPr>
          <w:p w14:paraId="02772F65" w14:textId="77777777" w:rsidR="00A10636" w:rsidRPr="00D9348B" w:rsidRDefault="00A10636" w:rsidP="009A13B6">
            <w:pPr>
              <w:pStyle w:val="TableText"/>
              <w:spacing w:before="50" w:after="50"/>
              <w:jc w:val="right"/>
              <w:rPr>
                <w:b/>
                <w:szCs w:val="16"/>
              </w:rPr>
            </w:pPr>
            <w:r w:rsidRPr="00D9348B">
              <w:rPr>
                <w:szCs w:val="16"/>
              </w:rPr>
              <w:t>–25,999.4</w:t>
            </w:r>
          </w:p>
        </w:tc>
        <w:tc>
          <w:tcPr>
            <w:tcW w:w="1207" w:type="dxa"/>
          </w:tcPr>
          <w:p w14:paraId="3161EDD0" w14:textId="77777777" w:rsidR="00A10636" w:rsidRPr="00D9348B" w:rsidRDefault="00A10636" w:rsidP="009A13B6">
            <w:pPr>
              <w:pStyle w:val="TableText"/>
              <w:spacing w:before="50" w:after="50"/>
              <w:jc w:val="right"/>
              <w:rPr>
                <w:b/>
                <w:szCs w:val="16"/>
              </w:rPr>
            </w:pPr>
            <w:r w:rsidRPr="00D9348B">
              <w:rPr>
                <w:szCs w:val="16"/>
              </w:rPr>
              <w:t>95,331.2</w:t>
            </w:r>
          </w:p>
        </w:tc>
      </w:tr>
      <w:tr w:rsidR="00A10636" w:rsidRPr="00D9348B" w14:paraId="4CF6313E" w14:textId="77777777" w:rsidTr="009A13B6">
        <w:tc>
          <w:tcPr>
            <w:tcW w:w="2772" w:type="dxa"/>
          </w:tcPr>
          <w:p w14:paraId="67FC1ADC" w14:textId="77777777" w:rsidR="00A10636" w:rsidRPr="00D9348B" w:rsidRDefault="00A10636" w:rsidP="009A13B6">
            <w:pPr>
              <w:pStyle w:val="TableText"/>
              <w:keepNext/>
              <w:spacing w:before="50" w:after="50"/>
              <w:rPr>
                <w:szCs w:val="16"/>
              </w:rPr>
            </w:pPr>
            <w:r w:rsidRPr="00D9348B">
              <w:rPr>
                <w:szCs w:val="16"/>
              </w:rPr>
              <w:t>Grassland – low producing</w:t>
            </w:r>
          </w:p>
        </w:tc>
        <w:tc>
          <w:tcPr>
            <w:tcW w:w="1056" w:type="dxa"/>
          </w:tcPr>
          <w:p w14:paraId="4D9F464F" w14:textId="77777777" w:rsidR="00A10636" w:rsidRPr="00D9348B" w:rsidRDefault="00A10636" w:rsidP="009A13B6">
            <w:pPr>
              <w:pStyle w:val="TableText"/>
              <w:spacing w:before="50" w:after="50"/>
              <w:jc w:val="right"/>
              <w:rPr>
                <w:szCs w:val="16"/>
              </w:rPr>
            </w:pPr>
            <w:r w:rsidRPr="00D9348B">
              <w:rPr>
                <w:szCs w:val="16"/>
              </w:rPr>
              <w:t>–8,598.9</w:t>
            </w:r>
          </w:p>
        </w:tc>
        <w:tc>
          <w:tcPr>
            <w:tcW w:w="1358" w:type="dxa"/>
            <w:vAlign w:val="center"/>
          </w:tcPr>
          <w:p w14:paraId="72591D1D" w14:textId="77777777" w:rsidR="00A10636" w:rsidRPr="00D9348B" w:rsidRDefault="00A10636" w:rsidP="009A13B6">
            <w:pPr>
              <w:pStyle w:val="TableText"/>
              <w:spacing w:before="50" w:after="50"/>
              <w:jc w:val="right"/>
              <w:rPr>
                <w:b/>
                <w:szCs w:val="16"/>
              </w:rPr>
            </w:pPr>
            <w:r w:rsidRPr="00D9348B">
              <w:rPr>
                <w:rFonts w:cs="Arial"/>
                <w:color w:val="000000"/>
                <w:szCs w:val="16"/>
              </w:rPr>
              <w:t>–1,129.8</w:t>
            </w:r>
          </w:p>
        </w:tc>
        <w:tc>
          <w:tcPr>
            <w:tcW w:w="1056" w:type="dxa"/>
          </w:tcPr>
          <w:p w14:paraId="5FBEC843" w14:textId="77777777" w:rsidR="00A10636" w:rsidRPr="00D9348B" w:rsidRDefault="00A10636" w:rsidP="009A13B6">
            <w:pPr>
              <w:pStyle w:val="TableText"/>
              <w:spacing w:before="50" w:after="50"/>
              <w:jc w:val="right"/>
              <w:rPr>
                <w:b/>
                <w:szCs w:val="16"/>
              </w:rPr>
            </w:pPr>
            <w:r w:rsidRPr="00D9348B">
              <w:rPr>
                <w:szCs w:val="16"/>
              </w:rPr>
              <w:t>567.9</w:t>
            </w:r>
          </w:p>
        </w:tc>
        <w:tc>
          <w:tcPr>
            <w:tcW w:w="1056" w:type="dxa"/>
          </w:tcPr>
          <w:p w14:paraId="35158D61" w14:textId="77777777" w:rsidR="00A10636" w:rsidRPr="00D9348B" w:rsidRDefault="00A10636" w:rsidP="009A13B6">
            <w:pPr>
              <w:pStyle w:val="TableText"/>
              <w:spacing w:before="50" w:after="50"/>
              <w:jc w:val="right"/>
              <w:rPr>
                <w:b/>
                <w:szCs w:val="16"/>
              </w:rPr>
            </w:pPr>
            <w:r w:rsidRPr="00D9348B">
              <w:rPr>
                <w:szCs w:val="16"/>
              </w:rPr>
              <w:t>–9,160.9</w:t>
            </w:r>
          </w:p>
        </w:tc>
        <w:tc>
          <w:tcPr>
            <w:tcW w:w="1207" w:type="dxa"/>
          </w:tcPr>
          <w:p w14:paraId="16DD9051" w14:textId="77777777" w:rsidR="00A10636" w:rsidRPr="00D9348B" w:rsidRDefault="00A10636" w:rsidP="009A13B6">
            <w:pPr>
              <w:pStyle w:val="TableText"/>
              <w:spacing w:before="50" w:after="50"/>
              <w:jc w:val="right"/>
              <w:rPr>
                <w:b/>
                <w:szCs w:val="16"/>
              </w:rPr>
            </w:pPr>
            <w:r w:rsidRPr="00D9348B">
              <w:rPr>
                <w:szCs w:val="16"/>
              </w:rPr>
              <w:t>33,589.8</w:t>
            </w:r>
          </w:p>
        </w:tc>
      </w:tr>
      <w:tr w:rsidR="00A10636" w:rsidRPr="00D9348B" w14:paraId="0FAE7F27" w14:textId="77777777" w:rsidTr="009A13B6">
        <w:tc>
          <w:tcPr>
            <w:tcW w:w="2772" w:type="dxa"/>
          </w:tcPr>
          <w:p w14:paraId="1BCBEBBF" w14:textId="77777777" w:rsidR="00A10636" w:rsidRPr="00D9348B" w:rsidRDefault="00A10636" w:rsidP="009A13B6">
            <w:pPr>
              <w:pStyle w:val="TableText"/>
              <w:keepNext/>
              <w:spacing w:before="50" w:after="50"/>
              <w:rPr>
                <w:szCs w:val="16"/>
              </w:rPr>
            </w:pPr>
            <w:r w:rsidRPr="00D9348B">
              <w:rPr>
                <w:szCs w:val="16"/>
              </w:rPr>
              <w:t>Grassland – with woody biomass</w:t>
            </w:r>
          </w:p>
        </w:tc>
        <w:tc>
          <w:tcPr>
            <w:tcW w:w="1056" w:type="dxa"/>
          </w:tcPr>
          <w:p w14:paraId="791FB827" w14:textId="77777777" w:rsidR="00A10636" w:rsidRPr="00D9348B" w:rsidRDefault="00A10636" w:rsidP="009A13B6">
            <w:pPr>
              <w:pStyle w:val="TableText"/>
              <w:spacing w:before="50" w:after="50"/>
              <w:jc w:val="right"/>
              <w:rPr>
                <w:szCs w:val="16"/>
              </w:rPr>
            </w:pPr>
            <w:r w:rsidRPr="00D9348B">
              <w:rPr>
                <w:szCs w:val="16"/>
              </w:rPr>
              <w:t>–697.2</w:t>
            </w:r>
          </w:p>
        </w:tc>
        <w:tc>
          <w:tcPr>
            <w:tcW w:w="1358" w:type="dxa"/>
            <w:vAlign w:val="center"/>
          </w:tcPr>
          <w:p w14:paraId="50E8B218" w14:textId="77777777" w:rsidR="00A10636" w:rsidRPr="00D9348B" w:rsidRDefault="00A10636" w:rsidP="009A13B6">
            <w:pPr>
              <w:pStyle w:val="TableText"/>
              <w:spacing w:before="50" w:after="50"/>
              <w:jc w:val="right"/>
              <w:rPr>
                <w:b/>
                <w:szCs w:val="16"/>
              </w:rPr>
            </w:pPr>
            <w:r w:rsidRPr="00D9348B">
              <w:rPr>
                <w:rFonts w:cs="Arial"/>
                <w:color w:val="000000"/>
                <w:szCs w:val="16"/>
              </w:rPr>
              <w:t>–319.2</w:t>
            </w:r>
          </w:p>
        </w:tc>
        <w:tc>
          <w:tcPr>
            <w:tcW w:w="1056" w:type="dxa"/>
          </w:tcPr>
          <w:p w14:paraId="0A051B5D" w14:textId="77777777" w:rsidR="00A10636" w:rsidRPr="00D9348B" w:rsidRDefault="00A10636" w:rsidP="009A13B6">
            <w:pPr>
              <w:pStyle w:val="TableText"/>
              <w:spacing w:before="50" w:after="50"/>
              <w:jc w:val="right"/>
              <w:rPr>
                <w:b/>
                <w:szCs w:val="16"/>
              </w:rPr>
            </w:pPr>
            <w:r w:rsidRPr="00D9348B">
              <w:rPr>
                <w:szCs w:val="16"/>
              </w:rPr>
              <w:t>–930.8</w:t>
            </w:r>
          </w:p>
        </w:tc>
        <w:tc>
          <w:tcPr>
            <w:tcW w:w="1056" w:type="dxa"/>
          </w:tcPr>
          <w:p w14:paraId="00F76DB2" w14:textId="77777777" w:rsidR="00A10636" w:rsidRPr="00D9348B" w:rsidRDefault="00A10636" w:rsidP="009A13B6">
            <w:pPr>
              <w:pStyle w:val="TableText"/>
              <w:spacing w:before="50" w:after="50"/>
              <w:jc w:val="right"/>
              <w:rPr>
                <w:b/>
                <w:szCs w:val="16"/>
              </w:rPr>
            </w:pPr>
            <w:r w:rsidRPr="00D9348B">
              <w:rPr>
                <w:szCs w:val="16"/>
              </w:rPr>
              <w:t>–1,947.2</w:t>
            </w:r>
          </w:p>
        </w:tc>
        <w:tc>
          <w:tcPr>
            <w:tcW w:w="1207" w:type="dxa"/>
          </w:tcPr>
          <w:p w14:paraId="2F37EDE7" w14:textId="77777777" w:rsidR="00A10636" w:rsidRPr="00D9348B" w:rsidRDefault="00A10636" w:rsidP="009A13B6">
            <w:pPr>
              <w:pStyle w:val="TableText"/>
              <w:spacing w:before="50" w:after="50"/>
              <w:jc w:val="right"/>
              <w:rPr>
                <w:b/>
                <w:szCs w:val="16"/>
              </w:rPr>
            </w:pPr>
            <w:r w:rsidRPr="00D9348B">
              <w:rPr>
                <w:szCs w:val="16"/>
              </w:rPr>
              <w:t>7,139.7</w:t>
            </w:r>
          </w:p>
        </w:tc>
      </w:tr>
      <w:tr w:rsidR="00A10636" w:rsidRPr="00D9348B" w14:paraId="5A7FB5E8" w14:textId="77777777" w:rsidTr="009A13B6">
        <w:tc>
          <w:tcPr>
            <w:tcW w:w="2772" w:type="dxa"/>
          </w:tcPr>
          <w:p w14:paraId="3450BE0B" w14:textId="77777777" w:rsidR="00A10636" w:rsidRPr="00D9348B" w:rsidRDefault="00A10636" w:rsidP="009A13B6">
            <w:pPr>
              <w:pStyle w:val="Tableboldblue"/>
              <w:spacing w:before="50" w:after="50"/>
              <w:jc w:val="right"/>
            </w:pPr>
            <w:r w:rsidRPr="00D9348B">
              <w:t>Total</w:t>
            </w:r>
          </w:p>
        </w:tc>
        <w:tc>
          <w:tcPr>
            <w:tcW w:w="1056" w:type="dxa"/>
          </w:tcPr>
          <w:p w14:paraId="1897770A" w14:textId="77777777" w:rsidR="00A10636" w:rsidRPr="00D9348B" w:rsidRDefault="00A10636" w:rsidP="009A13B6">
            <w:pPr>
              <w:pStyle w:val="Tableboldblue"/>
              <w:spacing w:before="50" w:after="50"/>
              <w:jc w:val="right"/>
              <w:rPr>
                <w:rFonts w:cs="Arial"/>
                <w:bCs/>
              </w:rPr>
            </w:pPr>
            <w:r w:rsidRPr="00D9348B">
              <w:t>–24,924.0</w:t>
            </w:r>
          </w:p>
        </w:tc>
        <w:tc>
          <w:tcPr>
            <w:tcW w:w="1358" w:type="dxa"/>
            <w:vAlign w:val="center"/>
          </w:tcPr>
          <w:p w14:paraId="05BE7DF6" w14:textId="77777777" w:rsidR="00A10636" w:rsidRPr="00D9348B" w:rsidRDefault="00A10636" w:rsidP="009A13B6">
            <w:pPr>
              <w:pStyle w:val="Tableboldblue"/>
              <w:spacing w:before="50" w:after="50"/>
              <w:jc w:val="right"/>
            </w:pPr>
            <w:r w:rsidRPr="00D9348B">
              <w:t>–3,273.7</w:t>
            </w:r>
          </w:p>
        </w:tc>
        <w:tc>
          <w:tcPr>
            <w:tcW w:w="1056" w:type="dxa"/>
          </w:tcPr>
          <w:p w14:paraId="77F2EE7D" w14:textId="77777777" w:rsidR="00A10636" w:rsidRPr="00D9348B" w:rsidRDefault="00A10636" w:rsidP="009A13B6">
            <w:pPr>
              <w:pStyle w:val="Tableboldblue"/>
              <w:spacing w:before="50" w:after="50"/>
              <w:jc w:val="right"/>
              <w:rPr>
                <w:rFonts w:cs="Arial"/>
                <w:bCs/>
              </w:rPr>
            </w:pPr>
            <w:r w:rsidRPr="00D9348B">
              <w:t>–8,909.8</w:t>
            </w:r>
          </w:p>
        </w:tc>
        <w:tc>
          <w:tcPr>
            <w:tcW w:w="1056" w:type="dxa"/>
          </w:tcPr>
          <w:p w14:paraId="3DB428BC" w14:textId="77777777" w:rsidR="00A10636" w:rsidRPr="00D9348B" w:rsidRDefault="00A10636" w:rsidP="009A13B6">
            <w:pPr>
              <w:pStyle w:val="Tableboldblue"/>
              <w:spacing w:before="50" w:after="50"/>
              <w:jc w:val="right"/>
              <w:rPr>
                <w:rFonts w:cs="Arial"/>
                <w:bCs/>
              </w:rPr>
            </w:pPr>
            <w:r w:rsidRPr="00D9348B">
              <w:t>–37,107.5</w:t>
            </w:r>
          </w:p>
        </w:tc>
        <w:tc>
          <w:tcPr>
            <w:tcW w:w="1207" w:type="dxa"/>
          </w:tcPr>
          <w:p w14:paraId="438B8525" w14:textId="77777777" w:rsidR="00A10636" w:rsidRPr="00D9348B" w:rsidRDefault="00A10636" w:rsidP="009A13B6">
            <w:pPr>
              <w:pStyle w:val="Tableboldblue"/>
              <w:spacing w:before="50" w:after="50"/>
              <w:jc w:val="right"/>
              <w:rPr>
                <w:rFonts w:cs="Arial"/>
                <w:bCs/>
              </w:rPr>
            </w:pPr>
            <w:r w:rsidRPr="00D9348B">
              <w:t>136,060.7</w:t>
            </w:r>
          </w:p>
        </w:tc>
      </w:tr>
    </w:tbl>
    <w:p w14:paraId="70725A79" w14:textId="77777777" w:rsidR="00A10636" w:rsidRPr="00D9348B" w:rsidRDefault="00A10636" w:rsidP="009A13B6">
      <w:pPr>
        <w:pStyle w:val="Noteundertable"/>
        <w:spacing w:after="0"/>
      </w:pPr>
      <w:r w:rsidRPr="00D9348B">
        <w:rPr>
          <w:b/>
          <w:bCs/>
        </w:rPr>
        <w:t>Note</w:t>
      </w:r>
      <w:r w:rsidRPr="00D9348B">
        <w:rPr>
          <w:b/>
        </w:rPr>
        <w:t>:</w:t>
      </w:r>
      <w:r w:rsidRPr="00D9348B">
        <w:tab/>
        <w:t>Columns may not total due to rounding.</w:t>
      </w:r>
    </w:p>
    <w:p w14:paraId="6E05C1F3" w14:textId="77777777" w:rsidR="00A10636" w:rsidRPr="00D9348B" w:rsidRDefault="00A10636" w:rsidP="009A13B6">
      <w:pPr>
        <w:pStyle w:val="Heading5"/>
      </w:pPr>
      <w:bookmarkStart w:id="2125" w:name="_Toc255466394"/>
      <w:bookmarkStart w:id="2126" w:name="_Toc261513201"/>
      <w:bookmarkStart w:id="2127" w:name="_Toc261513814"/>
      <w:bookmarkStart w:id="2128" w:name="_Toc280630286"/>
      <w:r w:rsidRPr="00D9348B">
        <w:t>Grassland remaining grassland</w:t>
      </w:r>
      <w:bookmarkEnd w:id="2125"/>
      <w:bookmarkEnd w:id="2126"/>
      <w:bookmarkEnd w:id="2127"/>
      <w:bookmarkEnd w:id="2128"/>
    </w:p>
    <w:p w14:paraId="6DEE79FD" w14:textId="488132D7" w:rsidR="00A10636" w:rsidRPr="00D9348B" w:rsidRDefault="00A10636" w:rsidP="005E60C7">
      <w:pPr>
        <w:pStyle w:val="BodyText"/>
        <w:spacing w:before="100" w:after="100"/>
      </w:pPr>
      <w:r w:rsidRPr="00D9348B">
        <w:t xml:space="preserve">There were 14,443,202 hectares of </w:t>
      </w:r>
      <w:r w:rsidRPr="00D9348B">
        <w:rPr>
          <w:i/>
        </w:rPr>
        <w:t>Grassland remaining grassland</w:t>
      </w:r>
      <w:r w:rsidRPr="00D9348B">
        <w:t xml:space="preserve"> as at 2018, equivalent to 53.6 per cent of New Zealand’s total land area. For estimating carbon stock change with land</w:t>
      </w:r>
      <w:r w:rsidRPr="00D9348B">
        <w:noBreakHyphen/>
        <w:t xml:space="preserve">use change, this category has been subcategorised into </w:t>
      </w:r>
      <w:r w:rsidR="00766DDA">
        <w:t>land-use</w:t>
      </w:r>
      <w:r w:rsidRPr="00D9348B">
        <w:t xml:space="preserve"> types: high producing, low producing and with woody biomass. </w:t>
      </w:r>
    </w:p>
    <w:p w14:paraId="70CAE2B5" w14:textId="77777777" w:rsidR="00A10636" w:rsidRPr="00D9348B" w:rsidRDefault="00A10636" w:rsidP="009A13B6">
      <w:pPr>
        <w:pStyle w:val="Heading5"/>
        <w:spacing w:before="160"/>
      </w:pPr>
      <w:bookmarkStart w:id="2129" w:name="_Toc255466395"/>
      <w:bookmarkStart w:id="2130" w:name="_Toc261513202"/>
      <w:bookmarkStart w:id="2131" w:name="_Toc261513815"/>
      <w:bookmarkStart w:id="2132" w:name="_Toc280630287"/>
      <w:r w:rsidRPr="00D9348B">
        <w:t>Land converted to grassland</w:t>
      </w:r>
      <w:bookmarkEnd w:id="2129"/>
      <w:bookmarkEnd w:id="2130"/>
      <w:bookmarkEnd w:id="2131"/>
      <w:bookmarkEnd w:id="2132"/>
    </w:p>
    <w:p w14:paraId="32682713" w14:textId="77777777" w:rsidR="00A10636" w:rsidRPr="00D9348B" w:rsidRDefault="00A10636" w:rsidP="00A10636">
      <w:pPr>
        <w:pStyle w:val="BodyText"/>
        <w:spacing w:before="100" w:after="100"/>
      </w:pPr>
      <w:r w:rsidRPr="00D9348B">
        <w:t xml:space="preserve">Much of New Zealand’s grassland is grazed, with agriculture being the main land use. The majority of New Zealand’s agriculture is based on extensive pasture systems, with animals grazed outdoors year-round. Increased profitability of dairy farming relative to other land uses has seen a recent trend for conversion of planted forest to grassland (deforestation). </w:t>
      </w:r>
    </w:p>
    <w:p w14:paraId="60AFDE57" w14:textId="326DFF4A" w:rsidR="00A10636" w:rsidRPr="00D9348B" w:rsidRDefault="00A10636" w:rsidP="00A10636">
      <w:pPr>
        <w:pStyle w:val="BodyText"/>
        <w:spacing w:after="100"/>
      </w:pPr>
      <w:r w:rsidRPr="00D9348B">
        <w:t xml:space="preserve">Between 2017 and 2018, an estimated 4,214 hectares of land was converted to </w:t>
      </w:r>
      <w:r w:rsidRPr="00D9348B">
        <w:rPr>
          <w:i/>
        </w:rPr>
        <w:t>Grassland</w:t>
      </w:r>
      <w:r w:rsidRPr="00D9348B">
        <w:t xml:space="preserve">, while 12,494 hectares of </w:t>
      </w:r>
      <w:r w:rsidRPr="00D9348B">
        <w:rPr>
          <w:i/>
        </w:rPr>
        <w:t>Grassland</w:t>
      </w:r>
      <w:r w:rsidRPr="00D9348B">
        <w:t xml:space="preserve"> was converted to other </w:t>
      </w:r>
      <w:r w:rsidR="00766DDA">
        <w:t>land-use</w:t>
      </w:r>
      <w:r w:rsidRPr="00D9348B">
        <w:t xml:space="preserve"> categories.</w:t>
      </w:r>
    </w:p>
    <w:p w14:paraId="55F192A9" w14:textId="77777777" w:rsidR="00A10636" w:rsidRPr="00D9348B" w:rsidRDefault="00A10636" w:rsidP="00A10636">
      <w:pPr>
        <w:pStyle w:val="BodyText"/>
        <w:spacing w:before="100" w:after="100"/>
      </w:pPr>
      <w:r w:rsidRPr="00D9348B">
        <w:lastRenderedPageBreak/>
        <w:t xml:space="preserve">The majority (91.8 per cent) of </w:t>
      </w:r>
      <w:r w:rsidRPr="00D9348B">
        <w:rPr>
          <w:i/>
        </w:rPr>
        <w:t>Land converted to grassland</w:t>
      </w:r>
      <w:r w:rsidRPr="00D9348B">
        <w:t xml:space="preserve"> since 1 January 1990 is land that was previously </w:t>
      </w:r>
      <w:r w:rsidRPr="00D9348B">
        <w:rPr>
          <w:i/>
        </w:rPr>
        <w:t>Forest land</w:t>
      </w:r>
      <w:r w:rsidRPr="00D9348B">
        <w:t xml:space="preserve">. The 199,099 hectares of </w:t>
      </w:r>
      <w:r w:rsidRPr="00D9348B">
        <w:rPr>
          <w:i/>
        </w:rPr>
        <w:t>Forest land</w:t>
      </w:r>
      <w:r w:rsidRPr="00D9348B">
        <w:t xml:space="preserve"> converted to </w:t>
      </w:r>
      <w:r w:rsidRPr="00D9348B">
        <w:rPr>
          <w:i/>
        </w:rPr>
        <w:t>Grassland</w:t>
      </w:r>
      <w:r w:rsidRPr="00D9348B">
        <w:t xml:space="preserve"> since 1 January 1990 comprise an estimated 43,575 hectares of natural forest and 125,011 hectares of pre-1990 planted forest. A further 30,513 hectares of post-1989 forest (land that was not </w:t>
      </w:r>
      <w:r w:rsidRPr="00D9348B">
        <w:rPr>
          <w:i/>
        </w:rPr>
        <w:t>Forest land</w:t>
      </w:r>
      <w:r w:rsidRPr="00D9348B">
        <w:t xml:space="preserve"> at the start of 1990) has also been converted to </w:t>
      </w:r>
      <w:r w:rsidRPr="00D9348B">
        <w:rPr>
          <w:i/>
        </w:rPr>
        <w:t>Grassland</w:t>
      </w:r>
      <w:r w:rsidRPr="00D9348B">
        <w:t xml:space="preserve"> since 1 January 1990. (For more information on deforestation, see sections 6.2 and 6.4 and chapter 11.) Land-use change of </w:t>
      </w:r>
      <w:r w:rsidRPr="00D9348B">
        <w:rPr>
          <w:i/>
        </w:rPr>
        <w:t>Forest land</w:t>
      </w:r>
      <w:r w:rsidRPr="00D9348B">
        <w:t xml:space="preserve"> to </w:t>
      </w:r>
      <w:r w:rsidRPr="00D9348B">
        <w:rPr>
          <w:i/>
        </w:rPr>
        <w:t xml:space="preserve">Grassland </w:t>
      </w:r>
      <w:r w:rsidRPr="00D9348B">
        <w:t>resulted in net emissions of 3,090.6 kt CO</w:t>
      </w:r>
      <w:r w:rsidRPr="00D9348B">
        <w:rPr>
          <w:vertAlign w:val="subscript"/>
        </w:rPr>
        <w:t xml:space="preserve">2 </w:t>
      </w:r>
      <w:r w:rsidRPr="00D9348B">
        <w:t>in 2018.</w:t>
      </w:r>
    </w:p>
    <w:p w14:paraId="2F943C2E" w14:textId="77777777" w:rsidR="00A10636" w:rsidRPr="00D9348B" w:rsidRDefault="00A10636" w:rsidP="00A10636">
      <w:pPr>
        <w:pStyle w:val="Heading3"/>
      </w:pPr>
      <w:bookmarkStart w:id="2133" w:name="_Toc139253971"/>
      <w:bookmarkStart w:id="2134" w:name="_Toc255466396"/>
      <w:bookmarkStart w:id="2135" w:name="_Toc261513203"/>
      <w:bookmarkStart w:id="2136" w:name="_Toc261513816"/>
      <w:bookmarkStart w:id="2137" w:name="_Toc280630288"/>
      <w:r w:rsidRPr="00D9348B">
        <w:t>6.6.2</w:t>
      </w:r>
      <w:r w:rsidRPr="00D9348B">
        <w:tab/>
        <w:t>Methodological issues</w:t>
      </w:r>
      <w:bookmarkEnd w:id="2133"/>
      <w:bookmarkEnd w:id="2134"/>
      <w:bookmarkEnd w:id="2135"/>
      <w:bookmarkEnd w:id="2136"/>
      <w:bookmarkEnd w:id="2137"/>
    </w:p>
    <w:p w14:paraId="64D581EE" w14:textId="77777777" w:rsidR="00A10636" w:rsidRPr="00D9348B" w:rsidRDefault="00A10636" w:rsidP="00A10636">
      <w:pPr>
        <w:pStyle w:val="BodyText"/>
        <w:rPr>
          <w:spacing w:val="-2"/>
        </w:rPr>
      </w:pPr>
      <w:r w:rsidRPr="00D9348B">
        <w:t xml:space="preserve">Emissions and removals from living biomass and dead organic matter have been calculated using a combination of IPCC Tier 1 emission factors and country-specific factors (see table 6.6.3). Emissions and removals from mineral soils are estimated using a </w:t>
      </w:r>
      <w:r w:rsidRPr="00D9348B">
        <w:rPr>
          <w:spacing w:val="-2"/>
        </w:rPr>
        <w:t xml:space="preserve">Tier 2 method, whereas organic soils are estimated using a Tier 1 method (see section 6.3). </w:t>
      </w:r>
    </w:p>
    <w:p w14:paraId="6DE683C4" w14:textId="77777777" w:rsidR="00A10636" w:rsidRPr="00D9348B" w:rsidRDefault="00A10636" w:rsidP="00A10636">
      <w:pPr>
        <w:pStyle w:val="Table"/>
      </w:pPr>
      <w:bookmarkStart w:id="2138" w:name="_Toc310423425"/>
      <w:bookmarkStart w:id="2139" w:name="_Toc318362718"/>
      <w:bookmarkStart w:id="2140" w:name="_Toc342470780"/>
      <w:bookmarkStart w:id="2141" w:name="_Toc352505020"/>
      <w:bookmarkStart w:id="2142" w:name="_Toc378853309"/>
      <w:bookmarkStart w:id="2143" w:name="_Toc391024107"/>
      <w:bookmarkStart w:id="2144" w:name="_Toc410028850"/>
      <w:bookmarkStart w:id="2145" w:name="_Toc414531478"/>
      <w:bookmarkStart w:id="2146" w:name="_Toc443645391"/>
      <w:bookmarkStart w:id="2147" w:name="_Toc474914610"/>
      <w:bookmarkStart w:id="2148" w:name="_Toc481751574"/>
      <w:bookmarkStart w:id="2149" w:name="_Toc522010631"/>
      <w:bookmarkStart w:id="2150" w:name="_Toc5269536"/>
      <w:bookmarkStart w:id="2151" w:name="_Toc33529410"/>
      <w:bookmarkStart w:id="2152" w:name="_Toc36224616"/>
      <w:bookmarkStart w:id="2153" w:name="_Toc255466397"/>
      <w:bookmarkStart w:id="2154" w:name="_Toc261513204"/>
      <w:bookmarkStart w:id="2155" w:name="_Toc261513817"/>
      <w:r w:rsidRPr="00D9348B">
        <w:t>Table 6.6.3</w:t>
      </w:r>
      <w:r w:rsidRPr="00D9348B">
        <w:tab/>
        <w:t>Summary of New Zealand’s biomass emission factors for Grassland</w:t>
      </w:r>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p>
    <w:tbl>
      <w:tblPr>
        <w:tblW w:w="8505" w:type="dxa"/>
        <w:tblInd w:w="108" w:type="dxa"/>
        <w:tblLook w:val="04A0" w:firstRow="1" w:lastRow="0" w:firstColumn="1" w:lastColumn="0" w:noHBand="0" w:noVBand="1"/>
      </w:tblPr>
      <w:tblGrid>
        <w:gridCol w:w="1246"/>
        <w:gridCol w:w="1731"/>
        <w:gridCol w:w="1276"/>
        <w:gridCol w:w="1276"/>
        <w:gridCol w:w="1275"/>
        <w:gridCol w:w="1701"/>
      </w:tblGrid>
      <w:tr w:rsidR="00A10636" w:rsidRPr="00D9348B" w14:paraId="68ECCA91" w14:textId="77777777" w:rsidTr="008F0E45">
        <w:trPr>
          <w:trHeight w:val="20"/>
          <w:tblHeader/>
        </w:trPr>
        <w:tc>
          <w:tcPr>
            <w:tcW w:w="1246" w:type="dxa"/>
            <w:tcBorders>
              <w:top w:val="single" w:sz="4" w:space="0" w:color="365F91"/>
              <w:bottom w:val="single" w:sz="4" w:space="0" w:color="365F91"/>
            </w:tcBorders>
            <w:shd w:val="clear" w:color="auto" w:fill="365F91"/>
            <w:vAlign w:val="bottom"/>
          </w:tcPr>
          <w:p w14:paraId="3F59DD28" w14:textId="77777777" w:rsidR="00A10636" w:rsidRPr="00D9348B" w:rsidRDefault="00A10636" w:rsidP="00DB330E">
            <w:pPr>
              <w:pStyle w:val="TableTextBold"/>
              <w:keepNext/>
              <w:rPr>
                <w:noProof w:val="0"/>
                <w:color w:val="FFFFFF"/>
                <w:szCs w:val="16"/>
              </w:rPr>
            </w:pPr>
            <w:r w:rsidRPr="00D9348B">
              <w:rPr>
                <w:noProof w:val="0"/>
                <w:color w:val="FFFFFF"/>
                <w:szCs w:val="16"/>
              </w:rPr>
              <w:t>Land use</w:t>
            </w:r>
          </w:p>
        </w:tc>
        <w:tc>
          <w:tcPr>
            <w:tcW w:w="1731" w:type="dxa"/>
            <w:tcBorders>
              <w:top w:val="single" w:sz="4" w:space="0" w:color="365F91"/>
              <w:bottom w:val="single" w:sz="4" w:space="0" w:color="365F91"/>
            </w:tcBorders>
            <w:shd w:val="clear" w:color="auto" w:fill="365F91"/>
            <w:vAlign w:val="bottom"/>
          </w:tcPr>
          <w:p w14:paraId="7586112F" w14:textId="77777777" w:rsidR="00A10636" w:rsidRPr="00D9348B" w:rsidRDefault="00A10636" w:rsidP="00DB330E">
            <w:pPr>
              <w:pStyle w:val="TableTextBold"/>
              <w:rPr>
                <w:noProof w:val="0"/>
                <w:color w:val="FFFFFF"/>
                <w:szCs w:val="16"/>
              </w:rPr>
            </w:pPr>
            <w:r w:rsidRPr="00D9348B">
              <w:rPr>
                <w:noProof w:val="0"/>
                <w:color w:val="FFFFFF"/>
                <w:szCs w:val="16"/>
              </w:rPr>
              <w:t>Carbon pool</w:t>
            </w:r>
          </w:p>
        </w:tc>
        <w:tc>
          <w:tcPr>
            <w:tcW w:w="1276" w:type="dxa"/>
            <w:tcBorders>
              <w:top w:val="single" w:sz="4" w:space="0" w:color="365F91"/>
              <w:bottom w:val="single" w:sz="4" w:space="0" w:color="365F91"/>
            </w:tcBorders>
            <w:shd w:val="clear" w:color="auto" w:fill="365F91"/>
            <w:vAlign w:val="bottom"/>
          </w:tcPr>
          <w:p w14:paraId="334E271E" w14:textId="77777777" w:rsidR="00A10636" w:rsidRPr="00D9348B" w:rsidRDefault="00A10636" w:rsidP="00DB330E">
            <w:pPr>
              <w:pStyle w:val="TableTextBold"/>
              <w:jc w:val="center"/>
              <w:rPr>
                <w:noProof w:val="0"/>
                <w:color w:val="FFFFFF"/>
                <w:szCs w:val="16"/>
              </w:rPr>
            </w:pPr>
            <w:r w:rsidRPr="00D9348B">
              <w:rPr>
                <w:noProof w:val="0"/>
                <w:color w:val="FFFFFF"/>
                <w:szCs w:val="16"/>
              </w:rPr>
              <w:t>Steady state carbon stock</w:t>
            </w:r>
            <w:r w:rsidRPr="00D9348B">
              <w:rPr>
                <w:noProof w:val="0"/>
                <w:color w:val="FFFFFF"/>
                <w:szCs w:val="16"/>
              </w:rPr>
              <w:br/>
              <w:t>(t C ha</w:t>
            </w:r>
            <w:r w:rsidRPr="00D9348B">
              <w:rPr>
                <w:noProof w:val="0"/>
                <w:color w:val="FFFFFF"/>
                <w:szCs w:val="16"/>
                <w:vertAlign w:val="superscript"/>
              </w:rPr>
              <w:t>–1</w:t>
            </w:r>
            <w:r w:rsidRPr="00D9348B">
              <w:rPr>
                <w:noProof w:val="0"/>
                <w:color w:val="FFFFFF"/>
                <w:szCs w:val="16"/>
              </w:rPr>
              <w:t>)</w:t>
            </w:r>
          </w:p>
        </w:tc>
        <w:tc>
          <w:tcPr>
            <w:tcW w:w="1276" w:type="dxa"/>
            <w:tcBorders>
              <w:top w:val="single" w:sz="4" w:space="0" w:color="365F91"/>
              <w:bottom w:val="single" w:sz="4" w:space="0" w:color="365F91"/>
            </w:tcBorders>
            <w:shd w:val="clear" w:color="auto" w:fill="365F91"/>
            <w:vAlign w:val="bottom"/>
          </w:tcPr>
          <w:p w14:paraId="583F8B3B" w14:textId="77777777" w:rsidR="00A10636" w:rsidRPr="00D9348B" w:rsidRDefault="00A10636" w:rsidP="00DB330E">
            <w:pPr>
              <w:pStyle w:val="TableTextBold"/>
              <w:jc w:val="center"/>
              <w:rPr>
                <w:noProof w:val="0"/>
                <w:color w:val="FFFFFF"/>
                <w:szCs w:val="16"/>
              </w:rPr>
            </w:pPr>
            <w:r w:rsidRPr="00D9348B">
              <w:rPr>
                <w:noProof w:val="0"/>
                <w:color w:val="FFFFFF"/>
                <w:szCs w:val="16"/>
              </w:rPr>
              <w:t xml:space="preserve">Annual carbon accumulation </w:t>
            </w:r>
            <w:r w:rsidRPr="00D9348B">
              <w:rPr>
                <w:noProof w:val="0"/>
                <w:color w:val="FFFFFF"/>
                <w:szCs w:val="16"/>
              </w:rPr>
              <w:br/>
              <w:t>(t C ha</w:t>
            </w:r>
            <w:r w:rsidRPr="00D9348B">
              <w:rPr>
                <w:noProof w:val="0"/>
                <w:color w:val="FFFFFF"/>
                <w:szCs w:val="16"/>
                <w:vertAlign w:val="superscript"/>
              </w:rPr>
              <w:t>–1</w:t>
            </w:r>
            <w:r w:rsidRPr="00D9348B">
              <w:rPr>
                <w:noProof w:val="0"/>
                <w:color w:val="FFFFFF"/>
                <w:szCs w:val="16"/>
              </w:rPr>
              <w:t>)</w:t>
            </w:r>
          </w:p>
        </w:tc>
        <w:tc>
          <w:tcPr>
            <w:tcW w:w="1275" w:type="dxa"/>
            <w:tcBorders>
              <w:top w:val="single" w:sz="4" w:space="0" w:color="365F91"/>
              <w:bottom w:val="single" w:sz="4" w:space="0" w:color="365F91"/>
            </w:tcBorders>
            <w:shd w:val="clear" w:color="auto" w:fill="365F91"/>
            <w:vAlign w:val="bottom"/>
          </w:tcPr>
          <w:p w14:paraId="18CD2E67" w14:textId="77777777" w:rsidR="00A10636" w:rsidRPr="00D9348B" w:rsidRDefault="00A10636" w:rsidP="00DB330E">
            <w:pPr>
              <w:pStyle w:val="TableTextBold"/>
              <w:jc w:val="center"/>
              <w:rPr>
                <w:noProof w:val="0"/>
                <w:color w:val="FFFFFF"/>
                <w:szCs w:val="16"/>
              </w:rPr>
            </w:pPr>
            <w:r w:rsidRPr="00D9348B">
              <w:rPr>
                <w:noProof w:val="0"/>
                <w:color w:val="FFFFFF"/>
                <w:szCs w:val="16"/>
              </w:rPr>
              <w:t>Years to reach steady state</w:t>
            </w:r>
          </w:p>
        </w:tc>
        <w:tc>
          <w:tcPr>
            <w:tcW w:w="1701" w:type="dxa"/>
            <w:tcBorders>
              <w:top w:val="single" w:sz="4" w:space="0" w:color="365F91"/>
              <w:bottom w:val="single" w:sz="4" w:space="0" w:color="365F91"/>
            </w:tcBorders>
            <w:shd w:val="clear" w:color="auto" w:fill="365F91"/>
            <w:vAlign w:val="bottom"/>
          </w:tcPr>
          <w:p w14:paraId="1279E256" w14:textId="77777777" w:rsidR="00A10636" w:rsidRPr="00D9348B" w:rsidRDefault="00A10636" w:rsidP="00DB330E">
            <w:pPr>
              <w:pStyle w:val="TableTextBold"/>
              <w:rPr>
                <w:noProof w:val="0"/>
                <w:color w:val="FFFFFF"/>
                <w:szCs w:val="16"/>
              </w:rPr>
            </w:pPr>
            <w:r w:rsidRPr="00D9348B">
              <w:rPr>
                <w:noProof w:val="0"/>
                <w:color w:val="FFFFFF"/>
                <w:szCs w:val="16"/>
              </w:rPr>
              <w:t>Source</w:t>
            </w:r>
          </w:p>
        </w:tc>
      </w:tr>
      <w:tr w:rsidR="00A10636" w:rsidRPr="00D9348B" w14:paraId="7C037EF8" w14:textId="77777777" w:rsidTr="008F0E45">
        <w:trPr>
          <w:trHeight w:val="20"/>
        </w:trPr>
        <w:tc>
          <w:tcPr>
            <w:tcW w:w="1246" w:type="dxa"/>
            <w:vMerge w:val="restart"/>
            <w:tcBorders>
              <w:top w:val="single" w:sz="4" w:space="0" w:color="365F91"/>
            </w:tcBorders>
          </w:tcPr>
          <w:p w14:paraId="5F2407E6" w14:textId="77777777" w:rsidR="00A10636" w:rsidRPr="00D9348B" w:rsidRDefault="00A10636" w:rsidP="00DB330E">
            <w:pPr>
              <w:pStyle w:val="TableText"/>
              <w:spacing w:before="50" w:after="50"/>
              <w:rPr>
                <w:szCs w:val="16"/>
              </w:rPr>
            </w:pPr>
            <w:r w:rsidRPr="00D9348B">
              <w:rPr>
                <w:szCs w:val="16"/>
              </w:rPr>
              <w:t>High producing</w:t>
            </w:r>
          </w:p>
        </w:tc>
        <w:tc>
          <w:tcPr>
            <w:tcW w:w="1731" w:type="dxa"/>
            <w:tcBorders>
              <w:top w:val="single" w:sz="4" w:space="0" w:color="365F91"/>
              <w:bottom w:val="single" w:sz="4" w:space="0" w:color="365F91"/>
            </w:tcBorders>
          </w:tcPr>
          <w:p w14:paraId="044FD9A0" w14:textId="77777777" w:rsidR="00A10636" w:rsidRPr="00D9348B" w:rsidRDefault="00A10636" w:rsidP="00DB330E">
            <w:pPr>
              <w:pStyle w:val="TableText"/>
              <w:spacing w:before="50" w:after="50"/>
              <w:rPr>
                <w:b/>
                <w:szCs w:val="16"/>
              </w:rPr>
            </w:pPr>
            <w:r w:rsidRPr="00D9348B">
              <w:rPr>
                <w:b/>
                <w:szCs w:val="16"/>
              </w:rPr>
              <w:t>Total biomass</w:t>
            </w:r>
          </w:p>
        </w:tc>
        <w:tc>
          <w:tcPr>
            <w:tcW w:w="1276" w:type="dxa"/>
            <w:tcBorders>
              <w:top w:val="single" w:sz="4" w:space="0" w:color="365F91"/>
              <w:bottom w:val="single" w:sz="4" w:space="0" w:color="365F91"/>
            </w:tcBorders>
          </w:tcPr>
          <w:p w14:paraId="065C8527" w14:textId="77777777" w:rsidR="00A10636" w:rsidRPr="00D9348B" w:rsidRDefault="00A10636" w:rsidP="00DB330E">
            <w:pPr>
              <w:pStyle w:val="TableText"/>
              <w:spacing w:before="50" w:after="50"/>
              <w:jc w:val="center"/>
              <w:rPr>
                <w:b/>
                <w:szCs w:val="16"/>
              </w:rPr>
            </w:pPr>
            <w:r w:rsidRPr="00D9348B">
              <w:rPr>
                <w:b/>
                <w:szCs w:val="16"/>
              </w:rPr>
              <w:t>6.345</w:t>
            </w:r>
          </w:p>
        </w:tc>
        <w:tc>
          <w:tcPr>
            <w:tcW w:w="1276" w:type="dxa"/>
            <w:tcBorders>
              <w:top w:val="single" w:sz="4" w:space="0" w:color="365F91"/>
              <w:bottom w:val="single" w:sz="4" w:space="0" w:color="365F91"/>
            </w:tcBorders>
          </w:tcPr>
          <w:p w14:paraId="266CDB39" w14:textId="77777777" w:rsidR="00A10636" w:rsidRPr="00D9348B" w:rsidRDefault="00A10636" w:rsidP="00DB330E">
            <w:pPr>
              <w:pStyle w:val="TableText"/>
              <w:spacing w:before="50" w:after="50"/>
              <w:jc w:val="center"/>
              <w:rPr>
                <w:b/>
                <w:szCs w:val="16"/>
              </w:rPr>
            </w:pPr>
            <w:r w:rsidRPr="00D9348B">
              <w:rPr>
                <w:b/>
                <w:szCs w:val="16"/>
              </w:rPr>
              <w:t>6.345</w:t>
            </w:r>
          </w:p>
        </w:tc>
        <w:tc>
          <w:tcPr>
            <w:tcW w:w="1275" w:type="dxa"/>
            <w:tcBorders>
              <w:top w:val="single" w:sz="4" w:space="0" w:color="365F91"/>
              <w:bottom w:val="single" w:sz="4" w:space="0" w:color="365F91"/>
            </w:tcBorders>
          </w:tcPr>
          <w:p w14:paraId="3922DA12" w14:textId="77777777" w:rsidR="00A10636" w:rsidRPr="00D9348B" w:rsidRDefault="00A10636" w:rsidP="00DB330E">
            <w:pPr>
              <w:pStyle w:val="TableText"/>
              <w:spacing w:before="50" w:after="50"/>
              <w:jc w:val="center"/>
              <w:rPr>
                <w:b/>
                <w:szCs w:val="16"/>
              </w:rPr>
            </w:pPr>
            <w:r w:rsidRPr="00D9348B">
              <w:rPr>
                <w:b/>
                <w:szCs w:val="16"/>
              </w:rPr>
              <w:t>1</w:t>
            </w:r>
          </w:p>
        </w:tc>
        <w:tc>
          <w:tcPr>
            <w:tcW w:w="1701" w:type="dxa"/>
            <w:vMerge w:val="restart"/>
            <w:tcBorders>
              <w:top w:val="single" w:sz="4" w:space="0" w:color="365F91"/>
              <w:bottom w:val="single" w:sz="4" w:space="0" w:color="365F91"/>
            </w:tcBorders>
          </w:tcPr>
          <w:p w14:paraId="0914BF81" w14:textId="77777777" w:rsidR="00A10636" w:rsidRPr="00D9348B" w:rsidRDefault="00A10636" w:rsidP="00DB330E">
            <w:pPr>
              <w:pStyle w:val="TableText"/>
              <w:spacing w:before="50" w:after="50"/>
              <w:rPr>
                <w:szCs w:val="16"/>
              </w:rPr>
            </w:pPr>
            <w:r w:rsidRPr="00D9348B">
              <w:rPr>
                <w:szCs w:val="16"/>
              </w:rPr>
              <w:t>IPCC, 2006a, table 6.4</w:t>
            </w:r>
          </w:p>
        </w:tc>
      </w:tr>
      <w:tr w:rsidR="00A10636" w:rsidRPr="00D9348B" w14:paraId="00E2CE66" w14:textId="77777777" w:rsidTr="008F0E45">
        <w:trPr>
          <w:trHeight w:val="20"/>
        </w:trPr>
        <w:tc>
          <w:tcPr>
            <w:tcW w:w="1246" w:type="dxa"/>
            <w:vMerge/>
          </w:tcPr>
          <w:p w14:paraId="2D2AD865" w14:textId="77777777" w:rsidR="00A10636" w:rsidRPr="00D9348B" w:rsidRDefault="00A10636" w:rsidP="00DB330E">
            <w:pPr>
              <w:pStyle w:val="TableText"/>
              <w:spacing w:before="50" w:after="50"/>
              <w:rPr>
                <w:szCs w:val="16"/>
              </w:rPr>
            </w:pPr>
          </w:p>
        </w:tc>
        <w:tc>
          <w:tcPr>
            <w:tcW w:w="1731" w:type="dxa"/>
            <w:tcBorders>
              <w:top w:val="single" w:sz="4" w:space="0" w:color="365F91"/>
              <w:bottom w:val="single" w:sz="4" w:space="0" w:color="365F91"/>
            </w:tcBorders>
          </w:tcPr>
          <w:p w14:paraId="5FBC6E89" w14:textId="77777777" w:rsidR="00A10636" w:rsidRPr="00D9348B" w:rsidRDefault="00A10636" w:rsidP="00DB330E">
            <w:pPr>
              <w:pStyle w:val="TableText"/>
              <w:spacing w:before="50" w:after="50"/>
              <w:rPr>
                <w:i/>
                <w:szCs w:val="16"/>
              </w:rPr>
            </w:pPr>
            <w:r w:rsidRPr="00D9348B">
              <w:rPr>
                <w:i/>
                <w:szCs w:val="16"/>
              </w:rPr>
              <w:t>Living biomass</w:t>
            </w:r>
          </w:p>
        </w:tc>
        <w:tc>
          <w:tcPr>
            <w:tcW w:w="1276" w:type="dxa"/>
            <w:tcBorders>
              <w:top w:val="single" w:sz="4" w:space="0" w:color="365F91"/>
              <w:bottom w:val="single" w:sz="4" w:space="0" w:color="365F91"/>
            </w:tcBorders>
          </w:tcPr>
          <w:p w14:paraId="5AE9616C" w14:textId="77777777" w:rsidR="00A10636" w:rsidRPr="00D9348B" w:rsidRDefault="00A10636" w:rsidP="00DB330E">
            <w:pPr>
              <w:pStyle w:val="TableText"/>
              <w:spacing w:before="50" w:after="50"/>
              <w:jc w:val="center"/>
              <w:rPr>
                <w:szCs w:val="16"/>
              </w:rPr>
            </w:pPr>
          </w:p>
        </w:tc>
        <w:tc>
          <w:tcPr>
            <w:tcW w:w="1276" w:type="dxa"/>
            <w:tcBorders>
              <w:top w:val="single" w:sz="4" w:space="0" w:color="365F91"/>
              <w:bottom w:val="single" w:sz="4" w:space="0" w:color="365F91"/>
            </w:tcBorders>
          </w:tcPr>
          <w:p w14:paraId="464B5C67" w14:textId="77777777" w:rsidR="00A10636" w:rsidRPr="00D9348B" w:rsidRDefault="00A10636" w:rsidP="00DB330E">
            <w:pPr>
              <w:pStyle w:val="TableText"/>
              <w:spacing w:before="50" w:after="50"/>
              <w:jc w:val="center"/>
              <w:rPr>
                <w:szCs w:val="16"/>
              </w:rPr>
            </w:pPr>
          </w:p>
        </w:tc>
        <w:tc>
          <w:tcPr>
            <w:tcW w:w="1275" w:type="dxa"/>
            <w:tcBorders>
              <w:top w:val="single" w:sz="4" w:space="0" w:color="365F91"/>
              <w:bottom w:val="single" w:sz="4" w:space="0" w:color="365F91"/>
            </w:tcBorders>
          </w:tcPr>
          <w:p w14:paraId="5424B209" w14:textId="77777777" w:rsidR="00A10636" w:rsidRPr="00D9348B" w:rsidRDefault="00A10636" w:rsidP="00DB330E">
            <w:pPr>
              <w:pStyle w:val="TableText"/>
              <w:spacing w:before="50" w:after="50"/>
              <w:jc w:val="center"/>
              <w:rPr>
                <w:szCs w:val="16"/>
              </w:rPr>
            </w:pPr>
          </w:p>
        </w:tc>
        <w:tc>
          <w:tcPr>
            <w:tcW w:w="1701" w:type="dxa"/>
            <w:vMerge/>
            <w:tcBorders>
              <w:top w:val="single" w:sz="4" w:space="0" w:color="365F91"/>
              <w:bottom w:val="single" w:sz="4" w:space="0" w:color="365F91"/>
            </w:tcBorders>
          </w:tcPr>
          <w:p w14:paraId="1ECEDC36" w14:textId="77777777" w:rsidR="00A10636" w:rsidRPr="00D9348B" w:rsidRDefault="00A10636" w:rsidP="00DB330E">
            <w:pPr>
              <w:pStyle w:val="TableText"/>
              <w:spacing w:before="50" w:after="50"/>
              <w:rPr>
                <w:szCs w:val="16"/>
              </w:rPr>
            </w:pPr>
          </w:p>
        </w:tc>
      </w:tr>
      <w:tr w:rsidR="00A10636" w:rsidRPr="00D9348B" w14:paraId="357848E8" w14:textId="77777777" w:rsidTr="008F0E45">
        <w:trPr>
          <w:trHeight w:val="20"/>
        </w:trPr>
        <w:tc>
          <w:tcPr>
            <w:tcW w:w="1246" w:type="dxa"/>
            <w:vMerge/>
          </w:tcPr>
          <w:p w14:paraId="1814DD2C" w14:textId="77777777" w:rsidR="00A10636" w:rsidRPr="00D9348B" w:rsidRDefault="00A10636" w:rsidP="00DB330E">
            <w:pPr>
              <w:pStyle w:val="TableText"/>
              <w:spacing w:before="50" w:after="50"/>
              <w:rPr>
                <w:szCs w:val="16"/>
              </w:rPr>
            </w:pPr>
          </w:p>
        </w:tc>
        <w:tc>
          <w:tcPr>
            <w:tcW w:w="1731" w:type="dxa"/>
            <w:tcBorders>
              <w:top w:val="single" w:sz="4" w:space="0" w:color="365F91"/>
              <w:bottom w:val="single" w:sz="4" w:space="0" w:color="365F91"/>
            </w:tcBorders>
          </w:tcPr>
          <w:p w14:paraId="7375AAB6" w14:textId="77777777" w:rsidR="00A10636" w:rsidRPr="00D9348B" w:rsidRDefault="00A10636" w:rsidP="00DB330E">
            <w:pPr>
              <w:pStyle w:val="TableText"/>
              <w:spacing w:before="50" w:after="50"/>
              <w:rPr>
                <w:szCs w:val="16"/>
              </w:rPr>
            </w:pPr>
            <w:r w:rsidRPr="00D9348B">
              <w:rPr>
                <w:szCs w:val="16"/>
              </w:rPr>
              <w:tab/>
              <w:t>AGB</w:t>
            </w:r>
          </w:p>
        </w:tc>
        <w:tc>
          <w:tcPr>
            <w:tcW w:w="1276" w:type="dxa"/>
            <w:tcBorders>
              <w:top w:val="single" w:sz="4" w:space="0" w:color="365F91"/>
              <w:bottom w:val="single" w:sz="4" w:space="0" w:color="365F91"/>
            </w:tcBorders>
          </w:tcPr>
          <w:p w14:paraId="042309A2" w14:textId="77777777" w:rsidR="00A10636" w:rsidRPr="00D9348B" w:rsidRDefault="00A10636" w:rsidP="00DB330E">
            <w:pPr>
              <w:pStyle w:val="TableText"/>
              <w:spacing w:before="50" w:after="50"/>
              <w:jc w:val="center"/>
              <w:rPr>
                <w:szCs w:val="16"/>
              </w:rPr>
            </w:pPr>
            <w:r w:rsidRPr="00D9348B">
              <w:rPr>
                <w:szCs w:val="16"/>
              </w:rPr>
              <w:t>1.269</w:t>
            </w:r>
          </w:p>
        </w:tc>
        <w:tc>
          <w:tcPr>
            <w:tcW w:w="1276" w:type="dxa"/>
            <w:tcBorders>
              <w:top w:val="single" w:sz="4" w:space="0" w:color="365F91"/>
              <w:bottom w:val="single" w:sz="4" w:space="0" w:color="365F91"/>
            </w:tcBorders>
          </w:tcPr>
          <w:p w14:paraId="4F35514F" w14:textId="77777777" w:rsidR="00A10636" w:rsidRPr="00D9348B" w:rsidRDefault="00A10636" w:rsidP="00DB330E">
            <w:pPr>
              <w:pStyle w:val="TableText"/>
              <w:spacing w:before="50" w:after="50"/>
              <w:jc w:val="center"/>
              <w:rPr>
                <w:szCs w:val="16"/>
              </w:rPr>
            </w:pPr>
            <w:r w:rsidRPr="00D9348B">
              <w:rPr>
                <w:szCs w:val="16"/>
              </w:rPr>
              <w:t>1.269</w:t>
            </w:r>
          </w:p>
        </w:tc>
        <w:tc>
          <w:tcPr>
            <w:tcW w:w="1275" w:type="dxa"/>
            <w:tcBorders>
              <w:top w:val="single" w:sz="4" w:space="0" w:color="365F91"/>
              <w:bottom w:val="single" w:sz="4" w:space="0" w:color="365F91"/>
            </w:tcBorders>
          </w:tcPr>
          <w:p w14:paraId="4B7D2C26" w14:textId="77777777" w:rsidR="00A10636" w:rsidRPr="00D9348B" w:rsidRDefault="00A10636" w:rsidP="00DB330E">
            <w:pPr>
              <w:pStyle w:val="TableText"/>
              <w:spacing w:before="50" w:after="50"/>
              <w:jc w:val="center"/>
              <w:rPr>
                <w:szCs w:val="16"/>
              </w:rPr>
            </w:pPr>
            <w:r w:rsidRPr="00D9348B">
              <w:rPr>
                <w:szCs w:val="16"/>
              </w:rPr>
              <w:t>1</w:t>
            </w:r>
          </w:p>
        </w:tc>
        <w:tc>
          <w:tcPr>
            <w:tcW w:w="1701" w:type="dxa"/>
            <w:vMerge/>
            <w:tcBorders>
              <w:top w:val="single" w:sz="4" w:space="0" w:color="365F91"/>
              <w:bottom w:val="single" w:sz="4" w:space="0" w:color="365F91"/>
            </w:tcBorders>
          </w:tcPr>
          <w:p w14:paraId="1C138F97" w14:textId="77777777" w:rsidR="00A10636" w:rsidRPr="00D9348B" w:rsidRDefault="00A10636" w:rsidP="00DB330E">
            <w:pPr>
              <w:pStyle w:val="TableText"/>
              <w:spacing w:before="50" w:after="50"/>
              <w:rPr>
                <w:szCs w:val="16"/>
              </w:rPr>
            </w:pPr>
          </w:p>
        </w:tc>
      </w:tr>
      <w:tr w:rsidR="00A10636" w:rsidRPr="00D9348B" w14:paraId="4A9A71C3" w14:textId="77777777" w:rsidTr="008F0E45">
        <w:trPr>
          <w:trHeight w:val="20"/>
        </w:trPr>
        <w:tc>
          <w:tcPr>
            <w:tcW w:w="1246" w:type="dxa"/>
            <w:vMerge/>
          </w:tcPr>
          <w:p w14:paraId="6291B6D5" w14:textId="77777777" w:rsidR="00A10636" w:rsidRPr="00D9348B" w:rsidRDefault="00A10636" w:rsidP="00DB330E">
            <w:pPr>
              <w:pStyle w:val="TableText"/>
              <w:spacing w:before="50" w:after="50"/>
              <w:rPr>
                <w:szCs w:val="16"/>
              </w:rPr>
            </w:pPr>
          </w:p>
        </w:tc>
        <w:tc>
          <w:tcPr>
            <w:tcW w:w="1731" w:type="dxa"/>
            <w:tcBorders>
              <w:top w:val="single" w:sz="4" w:space="0" w:color="365F91"/>
              <w:bottom w:val="single" w:sz="4" w:space="0" w:color="365F91"/>
            </w:tcBorders>
          </w:tcPr>
          <w:p w14:paraId="0B1FFF52" w14:textId="77777777" w:rsidR="00A10636" w:rsidRPr="00D9348B" w:rsidRDefault="00A10636" w:rsidP="00DB330E">
            <w:pPr>
              <w:pStyle w:val="TableText"/>
              <w:spacing w:before="50" w:after="50"/>
              <w:rPr>
                <w:szCs w:val="16"/>
              </w:rPr>
            </w:pPr>
            <w:r w:rsidRPr="00D9348B">
              <w:rPr>
                <w:szCs w:val="16"/>
              </w:rPr>
              <w:tab/>
              <w:t>BGB</w:t>
            </w:r>
          </w:p>
        </w:tc>
        <w:tc>
          <w:tcPr>
            <w:tcW w:w="1276" w:type="dxa"/>
            <w:tcBorders>
              <w:top w:val="single" w:sz="4" w:space="0" w:color="365F91"/>
              <w:bottom w:val="single" w:sz="4" w:space="0" w:color="365F91"/>
            </w:tcBorders>
          </w:tcPr>
          <w:p w14:paraId="65929C84" w14:textId="77777777" w:rsidR="00A10636" w:rsidRPr="00D9348B" w:rsidRDefault="00A10636" w:rsidP="00DB330E">
            <w:pPr>
              <w:pStyle w:val="TableText"/>
              <w:spacing w:before="50" w:after="50"/>
              <w:jc w:val="center"/>
              <w:rPr>
                <w:szCs w:val="16"/>
              </w:rPr>
            </w:pPr>
            <w:r w:rsidRPr="00D9348B">
              <w:rPr>
                <w:szCs w:val="16"/>
              </w:rPr>
              <w:t>5.076</w:t>
            </w:r>
          </w:p>
        </w:tc>
        <w:tc>
          <w:tcPr>
            <w:tcW w:w="1276" w:type="dxa"/>
            <w:tcBorders>
              <w:top w:val="single" w:sz="4" w:space="0" w:color="365F91"/>
              <w:bottom w:val="single" w:sz="4" w:space="0" w:color="365F91"/>
            </w:tcBorders>
          </w:tcPr>
          <w:p w14:paraId="448B68D7" w14:textId="77777777" w:rsidR="00A10636" w:rsidRPr="00D9348B" w:rsidRDefault="00A10636" w:rsidP="00DB330E">
            <w:pPr>
              <w:pStyle w:val="TableText"/>
              <w:spacing w:before="50" w:after="50"/>
              <w:jc w:val="center"/>
              <w:rPr>
                <w:szCs w:val="16"/>
              </w:rPr>
            </w:pPr>
            <w:r w:rsidRPr="00D9348B">
              <w:rPr>
                <w:szCs w:val="16"/>
              </w:rPr>
              <w:t>5.076</w:t>
            </w:r>
          </w:p>
        </w:tc>
        <w:tc>
          <w:tcPr>
            <w:tcW w:w="1275" w:type="dxa"/>
            <w:tcBorders>
              <w:top w:val="single" w:sz="4" w:space="0" w:color="365F91"/>
              <w:bottom w:val="single" w:sz="4" w:space="0" w:color="365F91"/>
            </w:tcBorders>
          </w:tcPr>
          <w:p w14:paraId="3341E7BB" w14:textId="77777777" w:rsidR="00A10636" w:rsidRPr="00D9348B" w:rsidRDefault="00A10636" w:rsidP="00DB330E">
            <w:pPr>
              <w:pStyle w:val="TableText"/>
              <w:spacing w:before="50" w:after="50"/>
              <w:jc w:val="center"/>
              <w:rPr>
                <w:szCs w:val="16"/>
              </w:rPr>
            </w:pPr>
            <w:r w:rsidRPr="00D9348B">
              <w:rPr>
                <w:szCs w:val="16"/>
              </w:rPr>
              <w:t>1</w:t>
            </w:r>
          </w:p>
        </w:tc>
        <w:tc>
          <w:tcPr>
            <w:tcW w:w="1701" w:type="dxa"/>
            <w:vMerge/>
            <w:tcBorders>
              <w:top w:val="single" w:sz="4" w:space="0" w:color="365F91"/>
              <w:bottom w:val="single" w:sz="4" w:space="0" w:color="365F91"/>
            </w:tcBorders>
          </w:tcPr>
          <w:p w14:paraId="0263D2CB" w14:textId="77777777" w:rsidR="00A10636" w:rsidRPr="00D9348B" w:rsidRDefault="00A10636" w:rsidP="00DB330E">
            <w:pPr>
              <w:pStyle w:val="TableText"/>
              <w:spacing w:before="50" w:after="50"/>
              <w:rPr>
                <w:szCs w:val="16"/>
              </w:rPr>
            </w:pPr>
          </w:p>
        </w:tc>
      </w:tr>
      <w:tr w:rsidR="00A10636" w:rsidRPr="00D9348B" w14:paraId="1C338377" w14:textId="77777777" w:rsidTr="008F0E45">
        <w:trPr>
          <w:trHeight w:val="20"/>
        </w:trPr>
        <w:tc>
          <w:tcPr>
            <w:tcW w:w="1246" w:type="dxa"/>
            <w:vMerge/>
            <w:tcBorders>
              <w:bottom w:val="single" w:sz="4" w:space="0" w:color="365F91"/>
            </w:tcBorders>
          </w:tcPr>
          <w:p w14:paraId="220B32A4" w14:textId="77777777" w:rsidR="00A10636" w:rsidRPr="00D9348B" w:rsidRDefault="00A10636" w:rsidP="00DB330E">
            <w:pPr>
              <w:pStyle w:val="TableText"/>
              <w:spacing w:before="50" w:after="50"/>
              <w:rPr>
                <w:szCs w:val="16"/>
              </w:rPr>
            </w:pPr>
          </w:p>
        </w:tc>
        <w:tc>
          <w:tcPr>
            <w:tcW w:w="1731" w:type="dxa"/>
            <w:tcBorders>
              <w:top w:val="single" w:sz="4" w:space="0" w:color="365F91"/>
              <w:bottom w:val="single" w:sz="4" w:space="0" w:color="365F91"/>
            </w:tcBorders>
          </w:tcPr>
          <w:p w14:paraId="22A27E2B" w14:textId="77777777" w:rsidR="00A10636" w:rsidRPr="00D9348B" w:rsidRDefault="00A10636" w:rsidP="00DB330E">
            <w:pPr>
              <w:pStyle w:val="TableText"/>
              <w:spacing w:before="50" w:after="50"/>
              <w:rPr>
                <w:i/>
                <w:szCs w:val="16"/>
              </w:rPr>
            </w:pPr>
            <w:r w:rsidRPr="00D9348B">
              <w:rPr>
                <w:i/>
                <w:szCs w:val="16"/>
              </w:rPr>
              <w:t>Dead organic matter</w:t>
            </w:r>
          </w:p>
        </w:tc>
        <w:tc>
          <w:tcPr>
            <w:tcW w:w="1276" w:type="dxa"/>
            <w:tcBorders>
              <w:top w:val="single" w:sz="4" w:space="0" w:color="365F91"/>
              <w:bottom w:val="single" w:sz="4" w:space="0" w:color="365F91"/>
            </w:tcBorders>
          </w:tcPr>
          <w:p w14:paraId="4ECF0120" w14:textId="77777777" w:rsidR="00A10636" w:rsidRPr="00D9348B" w:rsidRDefault="00A10636" w:rsidP="00DB330E">
            <w:pPr>
              <w:pStyle w:val="TableText"/>
              <w:spacing w:before="50" w:after="50"/>
              <w:jc w:val="center"/>
              <w:rPr>
                <w:szCs w:val="16"/>
              </w:rPr>
            </w:pPr>
            <w:r w:rsidRPr="00D9348B">
              <w:rPr>
                <w:szCs w:val="16"/>
              </w:rPr>
              <w:t>NE</w:t>
            </w:r>
          </w:p>
        </w:tc>
        <w:tc>
          <w:tcPr>
            <w:tcW w:w="1276" w:type="dxa"/>
            <w:tcBorders>
              <w:top w:val="single" w:sz="4" w:space="0" w:color="365F91"/>
              <w:bottom w:val="single" w:sz="4" w:space="0" w:color="365F91"/>
            </w:tcBorders>
          </w:tcPr>
          <w:p w14:paraId="766B09BB" w14:textId="77777777" w:rsidR="00A10636" w:rsidRPr="00D9348B" w:rsidRDefault="00A10636" w:rsidP="00DB330E">
            <w:pPr>
              <w:pStyle w:val="TableText"/>
              <w:spacing w:before="50" w:after="50"/>
              <w:jc w:val="center"/>
              <w:rPr>
                <w:szCs w:val="16"/>
              </w:rPr>
            </w:pPr>
            <w:r w:rsidRPr="00D9348B">
              <w:rPr>
                <w:szCs w:val="16"/>
              </w:rPr>
              <w:t>NA</w:t>
            </w:r>
          </w:p>
        </w:tc>
        <w:tc>
          <w:tcPr>
            <w:tcW w:w="1275" w:type="dxa"/>
            <w:tcBorders>
              <w:top w:val="single" w:sz="4" w:space="0" w:color="365F91"/>
              <w:bottom w:val="single" w:sz="4" w:space="0" w:color="365F91"/>
            </w:tcBorders>
          </w:tcPr>
          <w:p w14:paraId="0361345D" w14:textId="77777777" w:rsidR="00A10636" w:rsidRPr="00D9348B" w:rsidRDefault="00A10636" w:rsidP="00DB330E">
            <w:pPr>
              <w:pStyle w:val="TableText"/>
              <w:spacing w:before="50" w:after="50"/>
              <w:jc w:val="center"/>
              <w:rPr>
                <w:szCs w:val="16"/>
              </w:rPr>
            </w:pPr>
            <w:r w:rsidRPr="00D9348B">
              <w:rPr>
                <w:szCs w:val="16"/>
              </w:rPr>
              <w:t>NA</w:t>
            </w:r>
          </w:p>
        </w:tc>
        <w:tc>
          <w:tcPr>
            <w:tcW w:w="1701" w:type="dxa"/>
            <w:tcBorders>
              <w:top w:val="single" w:sz="4" w:space="0" w:color="365F91"/>
              <w:bottom w:val="single" w:sz="4" w:space="0" w:color="365F91"/>
            </w:tcBorders>
          </w:tcPr>
          <w:p w14:paraId="432276C7" w14:textId="77777777" w:rsidR="00A10636" w:rsidRPr="00D9348B" w:rsidRDefault="00A10636" w:rsidP="00DB330E">
            <w:pPr>
              <w:pStyle w:val="TableText"/>
              <w:spacing w:before="50" w:after="50"/>
              <w:rPr>
                <w:szCs w:val="16"/>
              </w:rPr>
            </w:pPr>
            <w:r w:rsidRPr="00D9348B">
              <w:rPr>
                <w:szCs w:val="16"/>
              </w:rPr>
              <w:t>No IPCC guidelines</w:t>
            </w:r>
          </w:p>
        </w:tc>
      </w:tr>
      <w:tr w:rsidR="00A10636" w:rsidRPr="00D9348B" w14:paraId="58E4B5D2" w14:textId="77777777" w:rsidTr="008F0E45">
        <w:trPr>
          <w:trHeight w:val="20"/>
        </w:trPr>
        <w:tc>
          <w:tcPr>
            <w:tcW w:w="1246" w:type="dxa"/>
            <w:vMerge w:val="restart"/>
            <w:tcBorders>
              <w:top w:val="single" w:sz="4" w:space="0" w:color="365F91"/>
              <w:bottom w:val="single" w:sz="4" w:space="0" w:color="365F91"/>
            </w:tcBorders>
          </w:tcPr>
          <w:p w14:paraId="7F473788" w14:textId="77777777" w:rsidR="00A10636" w:rsidRPr="00D9348B" w:rsidRDefault="00A10636" w:rsidP="00DB330E">
            <w:pPr>
              <w:pStyle w:val="TableText"/>
              <w:spacing w:before="40" w:after="40"/>
              <w:rPr>
                <w:szCs w:val="16"/>
              </w:rPr>
            </w:pPr>
            <w:r w:rsidRPr="00D9348B">
              <w:rPr>
                <w:szCs w:val="16"/>
              </w:rPr>
              <w:t>Low producing</w:t>
            </w:r>
          </w:p>
        </w:tc>
        <w:tc>
          <w:tcPr>
            <w:tcW w:w="1731" w:type="dxa"/>
            <w:tcBorders>
              <w:top w:val="single" w:sz="4" w:space="0" w:color="365F91"/>
              <w:bottom w:val="single" w:sz="4" w:space="0" w:color="365F91"/>
            </w:tcBorders>
          </w:tcPr>
          <w:p w14:paraId="6A2A4B4C" w14:textId="77777777" w:rsidR="00A10636" w:rsidRPr="00D9348B" w:rsidRDefault="00A10636" w:rsidP="00DB330E">
            <w:pPr>
              <w:pStyle w:val="TableText"/>
              <w:spacing w:before="40" w:after="40"/>
              <w:rPr>
                <w:b/>
                <w:szCs w:val="16"/>
              </w:rPr>
            </w:pPr>
            <w:r w:rsidRPr="00D9348B">
              <w:rPr>
                <w:b/>
                <w:szCs w:val="16"/>
              </w:rPr>
              <w:t>Total biomass</w:t>
            </w:r>
          </w:p>
        </w:tc>
        <w:tc>
          <w:tcPr>
            <w:tcW w:w="1276" w:type="dxa"/>
            <w:tcBorders>
              <w:top w:val="single" w:sz="4" w:space="0" w:color="365F91"/>
              <w:bottom w:val="single" w:sz="4" w:space="0" w:color="365F91"/>
            </w:tcBorders>
          </w:tcPr>
          <w:p w14:paraId="73979C37" w14:textId="77777777" w:rsidR="00A10636" w:rsidRPr="00D9348B" w:rsidRDefault="00A10636" w:rsidP="00DB330E">
            <w:pPr>
              <w:pStyle w:val="TableText"/>
              <w:spacing w:before="40" w:after="40"/>
              <w:jc w:val="center"/>
              <w:rPr>
                <w:b/>
                <w:szCs w:val="16"/>
              </w:rPr>
            </w:pPr>
            <w:r w:rsidRPr="00D9348B">
              <w:rPr>
                <w:b/>
                <w:szCs w:val="16"/>
              </w:rPr>
              <w:t>2.867</w:t>
            </w:r>
          </w:p>
        </w:tc>
        <w:tc>
          <w:tcPr>
            <w:tcW w:w="1276" w:type="dxa"/>
            <w:tcBorders>
              <w:top w:val="single" w:sz="4" w:space="0" w:color="365F91"/>
              <w:bottom w:val="single" w:sz="4" w:space="0" w:color="365F91"/>
            </w:tcBorders>
          </w:tcPr>
          <w:p w14:paraId="1A50E29E" w14:textId="77777777" w:rsidR="00A10636" w:rsidRPr="00D9348B" w:rsidRDefault="00A10636" w:rsidP="00DB330E">
            <w:pPr>
              <w:pStyle w:val="TableText"/>
              <w:spacing w:before="40" w:after="40"/>
              <w:jc w:val="center"/>
              <w:rPr>
                <w:b/>
                <w:szCs w:val="16"/>
              </w:rPr>
            </w:pPr>
            <w:r w:rsidRPr="00D9348B">
              <w:rPr>
                <w:b/>
                <w:szCs w:val="16"/>
              </w:rPr>
              <w:t>2.867</w:t>
            </w:r>
          </w:p>
        </w:tc>
        <w:tc>
          <w:tcPr>
            <w:tcW w:w="1275" w:type="dxa"/>
            <w:tcBorders>
              <w:top w:val="single" w:sz="4" w:space="0" w:color="365F91"/>
              <w:bottom w:val="single" w:sz="4" w:space="0" w:color="365F91"/>
            </w:tcBorders>
          </w:tcPr>
          <w:p w14:paraId="2C128BF6" w14:textId="77777777" w:rsidR="00A10636" w:rsidRPr="00D9348B" w:rsidRDefault="00A10636" w:rsidP="00DB330E">
            <w:pPr>
              <w:pStyle w:val="TableText"/>
              <w:spacing w:before="40" w:after="40"/>
              <w:jc w:val="center"/>
              <w:rPr>
                <w:b/>
                <w:szCs w:val="16"/>
              </w:rPr>
            </w:pPr>
            <w:r w:rsidRPr="00D9348B">
              <w:rPr>
                <w:b/>
                <w:szCs w:val="16"/>
              </w:rPr>
              <w:t>1</w:t>
            </w:r>
          </w:p>
        </w:tc>
        <w:tc>
          <w:tcPr>
            <w:tcW w:w="1701" w:type="dxa"/>
            <w:vMerge w:val="restart"/>
            <w:tcBorders>
              <w:top w:val="single" w:sz="4" w:space="0" w:color="365F91"/>
              <w:bottom w:val="single" w:sz="4" w:space="0" w:color="365F91"/>
            </w:tcBorders>
          </w:tcPr>
          <w:p w14:paraId="5E90178F" w14:textId="77777777" w:rsidR="00A10636" w:rsidRPr="00D9348B" w:rsidRDefault="00A10636" w:rsidP="00DB330E">
            <w:pPr>
              <w:pStyle w:val="TableText"/>
              <w:spacing w:before="40" w:after="40"/>
              <w:rPr>
                <w:szCs w:val="16"/>
              </w:rPr>
            </w:pPr>
            <w:r w:rsidRPr="00D9348B">
              <w:rPr>
                <w:szCs w:val="16"/>
              </w:rPr>
              <w:t>IPCC, 2006a, table 6.4</w:t>
            </w:r>
          </w:p>
        </w:tc>
      </w:tr>
      <w:tr w:rsidR="00A10636" w:rsidRPr="00D9348B" w14:paraId="6B7B7071" w14:textId="77777777" w:rsidTr="008F0E45">
        <w:trPr>
          <w:trHeight w:val="20"/>
        </w:trPr>
        <w:tc>
          <w:tcPr>
            <w:tcW w:w="1246" w:type="dxa"/>
            <w:vMerge/>
            <w:tcBorders>
              <w:top w:val="single" w:sz="4" w:space="0" w:color="365F91"/>
            </w:tcBorders>
          </w:tcPr>
          <w:p w14:paraId="59201034" w14:textId="77777777" w:rsidR="00A10636" w:rsidRPr="00D9348B" w:rsidRDefault="00A10636" w:rsidP="00DB330E">
            <w:pPr>
              <w:pStyle w:val="TableText"/>
              <w:spacing w:before="40" w:after="40"/>
              <w:rPr>
                <w:szCs w:val="16"/>
              </w:rPr>
            </w:pPr>
          </w:p>
        </w:tc>
        <w:tc>
          <w:tcPr>
            <w:tcW w:w="1731" w:type="dxa"/>
            <w:tcBorders>
              <w:top w:val="single" w:sz="4" w:space="0" w:color="365F91"/>
              <w:bottom w:val="single" w:sz="4" w:space="0" w:color="365F91"/>
            </w:tcBorders>
          </w:tcPr>
          <w:p w14:paraId="3E1A8FB4" w14:textId="77777777" w:rsidR="00A10636" w:rsidRPr="00D9348B" w:rsidRDefault="00A10636" w:rsidP="00DB330E">
            <w:pPr>
              <w:pStyle w:val="TableText"/>
              <w:spacing w:before="40" w:after="40"/>
              <w:rPr>
                <w:i/>
                <w:szCs w:val="16"/>
              </w:rPr>
            </w:pPr>
            <w:r w:rsidRPr="00D9348B">
              <w:rPr>
                <w:i/>
                <w:szCs w:val="16"/>
              </w:rPr>
              <w:t>Living biomass</w:t>
            </w:r>
          </w:p>
        </w:tc>
        <w:tc>
          <w:tcPr>
            <w:tcW w:w="1276" w:type="dxa"/>
            <w:tcBorders>
              <w:top w:val="single" w:sz="4" w:space="0" w:color="365F91"/>
              <w:bottom w:val="single" w:sz="4" w:space="0" w:color="365F91"/>
            </w:tcBorders>
          </w:tcPr>
          <w:p w14:paraId="1C07CD0D" w14:textId="77777777" w:rsidR="00A10636" w:rsidRPr="00D9348B" w:rsidRDefault="00A10636" w:rsidP="00DB330E">
            <w:pPr>
              <w:pStyle w:val="TableText"/>
              <w:spacing w:before="40" w:after="40"/>
              <w:jc w:val="center"/>
              <w:rPr>
                <w:szCs w:val="16"/>
              </w:rPr>
            </w:pPr>
          </w:p>
        </w:tc>
        <w:tc>
          <w:tcPr>
            <w:tcW w:w="1276" w:type="dxa"/>
            <w:tcBorders>
              <w:top w:val="single" w:sz="4" w:space="0" w:color="365F91"/>
              <w:bottom w:val="single" w:sz="4" w:space="0" w:color="365F91"/>
            </w:tcBorders>
          </w:tcPr>
          <w:p w14:paraId="72522B56" w14:textId="77777777" w:rsidR="00A10636" w:rsidRPr="00D9348B" w:rsidRDefault="00A10636" w:rsidP="00DB330E">
            <w:pPr>
              <w:pStyle w:val="TableText"/>
              <w:spacing w:before="40" w:after="40"/>
              <w:jc w:val="center"/>
              <w:rPr>
                <w:szCs w:val="16"/>
              </w:rPr>
            </w:pPr>
          </w:p>
        </w:tc>
        <w:tc>
          <w:tcPr>
            <w:tcW w:w="1275" w:type="dxa"/>
            <w:tcBorders>
              <w:top w:val="single" w:sz="4" w:space="0" w:color="365F91"/>
              <w:bottom w:val="single" w:sz="4" w:space="0" w:color="365F91"/>
            </w:tcBorders>
          </w:tcPr>
          <w:p w14:paraId="5555643F" w14:textId="77777777" w:rsidR="00A10636" w:rsidRPr="00D9348B" w:rsidRDefault="00A10636" w:rsidP="00DB330E">
            <w:pPr>
              <w:pStyle w:val="TableText"/>
              <w:spacing w:before="40" w:after="40"/>
              <w:jc w:val="center"/>
              <w:rPr>
                <w:szCs w:val="16"/>
              </w:rPr>
            </w:pPr>
          </w:p>
        </w:tc>
        <w:tc>
          <w:tcPr>
            <w:tcW w:w="1701" w:type="dxa"/>
            <w:vMerge/>
            <w:tcBorders>
              <w:top w:val="single" w:sz="4" w:space="0" w:color="365F91"/>
              <w:bottom w:val="single" w:sz="4" w:space="0" w:color="365F91"/>
            </w:tcBorders>
          </w:tcPr>
          <w:p w14:paraId="47F3B534" w14:textId="77777777" w:rsidR="00A10636" w:rsidRPr="00D9348B" w:rsidRDefault="00A10636" w:rsidP="00DB330E">
            <w:pPr>
              <w:pStyle w:val="TableText"/>
              <w:spacing w:before="40" w:after="40"/>
              <w:rPr>
                <w:szCs w:val="16"/>
              </w:rPr>
            </w:pPr>
          </w:p>
        </w:tc>
      </w:tr>
      <w:tr w:rsidR="00A10636" w:rsidRPr="00D9348B" w14:paraId="50093D3A" w14:textId="77777777" w:rsidTr="008F0E45">
        <w:trPr>
          <w:trHeight w:val="20"/>
        </w:trPr>
        <w:tc>
          <w:tcPr>
            <w:tcW w:w="1246" w:type="dxa"/>
            <w:vMerge/>
          </w:tcPr>
          <w:p w14:paraId="7995961C" w14:textId="77777777" w:rsidR="00A10636" w:rsidRPr="00D9348B" w:rsidRDefault="00A10636" w:rsidP="00DB330E">
            <w:pPr>
              <w:pStyle w:val="TableText"/>
              <w:spacing w:before="40" w:after="40"/>
              <w:rPr>
                <w:szCs w:val="16"/>
              </w:rPr>
            </w:pPr>
          </w:p>
        </w:tc>
        <w:tc>
          <w:tcPr>
            <w:tcW w:w="1731" w:type="dxa"/>
            <w:tcBorders>
              <w:top w:val="single" w:sz="4" w:space="0" w:color="365F91"/>
              <w:bottom w:val="single" w:sz="4" w:space="0" w:color="365F91"/>
            </w:tcBorders>
          </w:tcPr>
          <w:p w14:paraId="7AACA222" w14:textId="77777777" w:rsidR="00A10636" w:rsidRPr="00D9348B" w:rsidRDefault="00A10636" w:rsidP="00DB330E">
            <w:pPr>
              <w:pStyle w:val="TableText"/>
              <w:spacing w:before="40" w:after="40"/>
              <w:rPr>
                <w:szCs w:val="16"/>
              </w:rPr>
            </w:pPr>
            <w:r w:rsidRPr="00D9348B">
              <w:rPr>
                <w:szCs w:val="16"/>
              </w:rPr>
              <w:tab/>
              <w:t>AGB</w:t>
            </w:r>
          </w:p>
        </w:tc>
        <w:tc>
          <w:tcPr>
            <w:tcW w:w="1276" w:type="dxa"/>
            <w:tcBorders>
              <w:top w:val="single" w:sz="4" w:space="0" w:color="365F91"/>
              <w:bottom w:val="single" w:sz="4" w:space="0" w:color="365F91"/>
            </w:tcBorders>
          </w:tcPr>
          <w:p w14:paraId="4BD4FD31" w14:textId="77777777" w:rsidR="00A10636" w:rsidRPr="00D9348B" w:rsidRDefault="00A10636" w:rsidP="00DB330E">
            <w:pPr>
              <w:pStyle w:val="TableText"/>
              <w:spacing w:before="40" w:after="40"/>
              <w:jc w:val="center"/>
              <w:rPr>
                <w:szCs w:val="16"/>
              </w:rPr>
            </w:pPr>
            <w:r w:rsidRPr="00D9348B">
              <w:rPr>
                <w:szCs w:val="16"/>
              </w:rPr>
              <w:t>0.752</w:t>
            </w:r>
          </w:p>
        </w:tc>
        <w:tc>
          <w:tcPr>
            <w:tcW w:w="1276" w:type="dxa"/>
            <w:tcBorders>
              <w:top w:val="single" w:sz="4" w:space="0" w:color="365F91"/>
              <w:bottom w:val="single" w:sz="4" w:space="0" w:color="365F91"/>
            </w:tcBorders>
          </w:tcPr>
          <w:p w14:paraId="450230F8" w14:textId="77777777" w:rsidR="00A10636" w:rsidRPr="00D9348B" w:rsidRDefault="00A10636" w:rsidP="00DB330E">
            <w:pPr>
              <w:pStyle w:val="TableText"/>
              <w:spacing w:before="40" w:after="40"/>
              <w:jc w:val="center"/>
              <w:rPr>
                <w:szCs w:val="16"/>
              </w:rPr>
            </w:pPr>
            <w:r w:rsidRPr="00D9348B">
              <w:rPr>
                <w:szCs w:val="16"/>
              </w:rPr>
              <w:t>0.752</w:t>
            </w:r>
          </w:p>
        </w:tc>
        <w:tc>
          <w:tcPr>
            <w:tcW w:w="1275" w:type="dxa"/>
            <w:tcBorders>
              <w:top w:val="single" w:sz="4" w:space="0" w:color="365F91"/>
              <w:bottom w:val="single" w:sz="4" w:space="0" w:color="365F91"/>
            </w:tcBorders>
          </w:tcPr>
          <w:p w14:paraId="001D70B7" w14:textId="77777777" w:rsidR="00A10636" w:rsidRPr="00D9348B" w:rsidRDefault="00A10636" w:rsidP="00DB330E">
            <w:pPr>
              <w:pStyle w:val="TableText"/>
              <w:spacing w:before="40" w:after="40"/>
              <w:jc w:val="center"/>
              <w:rPr>
                <w:szCs w:val="16"/>
              </w:rPr>
            </w:pPr>
            <w:r w:rsidRPr="00D9348B">
              <w:rPr>
                <w:szCs w:val="16"/>
              </w:rPr>
              <w:t>1</w:t>
            </w:r>
          </w:p>
        </w:tc>
        <w:tc>
          <w:tcPr>
            <w:tcW w:w="1701" w:type="dxa"/>
            <w:vMerge/>
            <w:tcBorders>
              <w:top w:val="single" w:sz="4" w:space="0" w:color="365F91"/>
              <w:bottom w:val="single" w:sz="4" w:space="0" w:color="365F91"/>
            </w:tcBorders>
          </w:tcPr>
          <w:p w14:paraId="0479CF10" w14:textId="77777777" w:rsidR="00A10636" w:rsidRPr="00D9348B" w:rsidRDefault="00A10636" w:rsidP="00DB330E">
            <w:pPr>
              <w:pStyle w:val="TableText"/>
              <w:spacing w:before="40" w:after="40"/>
              <w:rPr>
                <w:szCs w:val="16"/>
              </w:rPr>
            </w:pPr>
          </w:p>
        </w:tc>
      </w:tr>
      <w:tr w:rsidR="00A10636" w:rsidRPr="00D9348B" w14:paraId="011876D6" w14:textId="77777777" w:rsidTr="008F0E45">
        <w:trPr>
          <w:trHeight w:val="20"/>
        </w:trPr>
        <w:tc>
          <w:tcPr>
            <w:tcW w:w="1246" w:type="dxa"/>
            <w:vMerge/>
          </w:tcPr>
          <w:p w14:paraId="0D7ECCED" w14:textId="77777777" w:rsidR="00A10636" w:rsidRPr="00D9348B" w:rsidRDefault="00A10636" w:rsidP="00DB330E">
            <w:pPr>
              <w:pStyle w:val="TableText"/>
              <w:spacing w:before="40" w:after="40"/>
              <w:rPr>
                <w:szCs w:val="16"/>
              </w:rPr>
            </w:pPr>
          </w:p>
        </w:tc>
        <w:tc>
          <w:tcPr>
            <w:tcW w:w="1731" w:type="dxa"/>
            <w:tcBorders>
              <w:top w:val="single" w:sz="4" w:space="0" w:color="365F91"/>
              <w:bottom w:val="single" w:sz="4" w:space="0" w:color="365F91"/>
            </w:tcBorders>
          </w:tcPr>
          <w:p w14:paraId="54884E2D" w14:textId="77777777" w:rsidR="00A10636" w:rsidRPr="00D9348B" w:rsidRDefault="00A10636" w:rsidP="00DB330E">
            <w:pPr>
              <w:pStyle w:val="TableText"/>
              <w:spacing w:before="40" w:after="40"/>
              <w:rPr>
                <w:szCs w:val="16"/>
              </w:rPr>
            </w:pPr>
            <w:r w:rsidRPr="00D9348B">
              <w:rPr>
                <w:szCs w:val="16"/>
              </w:rPr>
              <w:tab/>
              <w:t>BGB</w:t>
            </w:r>
          </w:p>
        </w:tc>
        <w:tc>
          <w:tcPr>
            <w:tcW w:w="1276" w:type="dxa"/>
            <w:tcBorders>
              <w:top w:val="single" w:sz="4" w:space="0" w:color="365F91"/>
              <w:bottom w:val="single" w:sz="4" w:space="0" w:color="365F91"/>
            </w:tcBorders>
          </w:tcPr>
          <w:p w14:paraId="0C2C0964" w14:textId="77777777" w:rsidR="00A10636" w:rsidRPr="00D9348B" w:rsidRDefault="00A10636" w:rsidP="00DB330E">
            <w:pPr>
              <w:pStyle w:val="TableText"/>
              <w:spacing w:before="40" w:after="40"/>
              <w:jc w:val="center"/>
              <w:rPr>
                <w:szCs w:val="16"/>
              </w:rPr>
            </w:pPr>
            <w:r w:rsidRPr="00D9348B">
              <w:rPr>
                <w:szCs w:val="16"/>
              </w:rPr>
              <w:t>2.115</w:t>
            </w:r>
          </w:p>
        </w:tc>
        <w:tc>
          <w:tcPr>
            <w:tcW w:w="1276" w:type="dxa"/>
            <w:tcBorders>
              <w:top w:val="single" w:sz="4" w:space="0" w:color="365F91"/>
              <w:bottom w:val="single" w:sz="4" w:space="0" w:color="365F91"/>
            </w:tcBorders>
          </w:tcPr>
          <w:p w14:paraId="1070EA2B" w14:textId="77777777" w:rsidR="00A10636" w:rsidRPr="00D9348B" w:rsidRDefault="00A10636" w:rsidP="00DB330E">
            <w:pPr>
              <w:pStyle w:val="TableText"/>
              <w:spacing w:before="40" w:after="40"/>
              <w:jc w:val="center"/>
              <w:rPr>
                <w:szCs w:val="16"/>
              </w:rPr>
            </w:pPr>
            <w:r w:rsidRPr="00D9348B">
              <w:rPr>
                <w:szCs w:val="16"/>
              </w:rPr>
              <w:t>2.115</w:t>
            </w:r>
          </w:p>
        </w:tc>
        <w:tc>
          <w:tcPr>
            <w:tcW w:w="1275" w:type="dxa"/>
            <w:tcBorders>
              <w:top w:val="single" w:sz="4" w:space="0" w:color="365F91"/>
              <w:bottom w:val="single" w:sz="4" w:space="0" w:color="365F91"/>
            </w:tcBorders>
          </w:tcPr>
          <w:p w14:paraId="56D426DF" w14:textId="77777777" w:rsidR="00A10636" w:rsidRPr="00D9348B" w:rsidRDefault="00A10636" w:rsidP="00DB330E">
            <w:pPr>
              <w:pStyle w:val="TableText"/>
              <w:spacing w:before="40" w:after="40"/>
              <w:jc w:val="center"/>
              <w:rPr>
                <w:szCs w:val="16"/>
              </w:rPr>
            </w:pPr>
            <w:r w:rsidRPr="00D9348B">
              <w:rPr>
                <w:szCs w:val="16"/>
              </w:rPr>
              <w:t>1</w:t>
            </w:r>
          </w:p>
        </w:tc>
        <w:tc>
          <w:tcPr>
            <w:tcW w:w="1701" w:type="dxa"/>
            <w:vMerge/>
            <w:tcBorders>
              <w:top w:val="single" w:sz="4" w:space="0" w:color="365F91"/>
              <w:bottom w:val="single" w:sz="4" w:space="0" w:color="365F91"/>
            </w:tcBorders>
          </w:tcPr>
          <w:p w14:paraId="23E41C25" w14:textId="77777777" w:rsidR="00A10636" w:rsidRPr="00D9348B" w:rsidRDefault="00A10636" w:rsidP="00DB330E">
            <w:pPr>
              <w:pStyle w:val="TableText"/>
              <w:spacing w:before="40" w:after="40"/>
              <w:rPr>
                <w:szCs w:val="16"/>
              </w:rPr>
            </w:pPr>
          </w:p>
        </w:tc>
      </w:tr>
      <w:tr w:rsidR="00A10636" w:rsidRPr="00D9348B" w14:paraId="2A9E7189" w14:textId="77777777" w:rsidTr="008F0E45">
        <w:trPr>
          <w:trHeight w:val="20"/>
        </w:trPr>
        <w:tc>
          <w:tcPr>
            <w:tcW w:w="1246" w:type="dxa"/>
            <w:vMerge/>
            <w:tcBorders>
              <w:bottom w:val="single" w:sz="4" w:space="0" w:color="365F91"/>
            </w:tcBorders>
          </w:tcPr>
          <w:p w14:paraId="2293967B" w14:textId="77777777" w:rsidR="00A10636" w:rsidRPr="00D9348B" w:rsidRDefault="00A10636" w:rsidP="00DB330E">
            <w:pPr>
              <w:pStyle w:val="TableText"/>
              <w:spacing w:before="40" w:after="40"/>
              <w:rPr>
                <w:szCs w:val="16"/>
              </w:rPr>
            </w:pPr>
          </w:p>
        </w:tc>
        <w:tc>
          <w:tcPr>
            <w:tcW w:w="1731" w:type="dxa"/>
            <w:tcBorders>
              <w:top w:val="single" w:sz="4" w:space="0" w:color="365F91"/>
              <w:bottom w:val="single" w:sz="4" w:space="0" w:color="365F91"/>
            </w:tcBorders>
          </w:tcPr>
          <w:p w14:paraId="1300C301" w14:textId="77777777" w:rsidR="00A10636" w:rsidRPr="00D9348B" w:rsidRDefault="00A10636" w:rsidP="00DB330E">
            <w:pPr>
              <w:pStyle w:val="TableText"/>
              <w:spacing w:before="40" w:after="40"/>
              <w:rPr>
                <w:i/>
                <w:szCs w:val="16"/>
              </w:rPr>
            </w:pPr>
            <w:r w:rsidRPr="00D9348B">
              <w:rPr>
                <w:i/>
                <w:szCs w:val="16"/>
              </w:rPr>
              <w:t>Dead organic matter</w:t>
            </w:r>
          </w:p>
        </w:tc>
        <w:tc>
          <w:tcPr>
            <w:tcW w:w="1276" w:type="dxa"/>
            <w:tcBorders>
              <w:top w:val="single" w:sz="4" w:space="0" w:color="365F91"/>
              <w:bottom w:val="single" w:sz="4" w:space="0" w:color="365F91"/>
            </w:tcBorders>
          </w:tcPr>
          <w:p w14:paraId="1F45C5EF" w14:textId="77777777" w:rsidR="00A10636" w:rsidRPr="00D9348B" w:rsidRDefault="00A10636" w:rsidP="00DB330E">
            <w:pPr>
              <w:pStyle w:val="TableText"/>
              <w:spacing w:before="40" w:after="40"/>
              <w:jc w:val="center"/>
              <w:rPr>
                <w:szCs w:val="16"/>
              </w:rPr>
            </w:pPr>
            <w:r w:rsidRPr="00D9348B">
              <w:rPr>
                <w:szCs w:val="16"/>
              </w:rPr>
              <w:t>NE</w:t>
            </w:r>
          </w:p>
        </w:tc>
        <w:tc>
          <w:tcPr>
            <w:tcW w:w="1276" w:type="dxa"/>
            <w:tcBorders>
              <w:top w:val="single" w:sz="4" w:space="0" w:color="365F91"/>
              <w:bottom w:val="single" w:sz="4" w:space="0" w:color="365F91"/>
            </w:tcBorders>
          </w:tcPr>
          <w:p w14:paraId="52C7255F" w14:textId="77777777" w:rsidR="00A10636" w:rsidRPr="00D9348B" w:rsidRDefault="00A10636" w:rsidP="00DB330E">
            <w:pPr>
              <w:pStyle w:val="TableText"/>
              <w:spacing w:before="40" w:after="40"/>
              <w:jc w:val="center"/>
              <w:rPr>
                <w:szCs w:val="16"/>
              </w:rPr>
            </w:pPr>
            <w:r w:rsidRPr="00D9348B">
              <w:rPr>
                <w:szCs w:val="16"/>
              </w:rPr>
              <w:t>NA</w:t>
            </w:r>
          </w:p>
        </w:tc>
        <w:tc>
          <w:tcPr>
            <w:tcW w:w="1275" w:type="dxa"/>
            <w:tcBorders>
              <w:top w:val="single" w:sz="4" w:space="0" w:color="365F91"/>
              <w:bottom w:val="single" w:sz="4" w:space="0" w:color="365F91"/>
            </w:tcBorders>
          </w:tcPr>
          <w:p w14:paraId="3CF190E8" w14:textId="77777777" w:rsidR="00A10636" w:rsidRPr="00D9348B" w:rsidRDefault="00A10636" w:rsidP="00DB330E">
            <w:pPr>
              <w:pStyle w:val="TableText"/>
              <w:spacing w:before="40" w:after="40"/>
              <w:jc w:val="center"/>
              <w:rPr>
                <w:szCs w:val="16"/>
              </w:rPr>
            </w:pPr>
            <w:r w:rsidRPr="00D9348B">
              <w:rPr>
                <w:szCs w:val="16"/>
              </w:rPr>
              <w:t>NA</w:t>
            </w:r>
          </w:p>
        </w:tc>
        <w:tc>
          <w:tcPr>
            <w:tcW w:w="1701" w:type="dxa"/>
            <w:tcBorders>
              <w:top w:val="single" w:sz="4" w:space="0" w:color="365F91"/>
              <w:bottom w:val="single" w:sz="4" w:space="0" w:color="365F91"/>
            </w:tcBorders>
          </w:tcPr>
          <w:p w14:paraId="1A50D8EB" w14:textId="77777777" w:rsidR="00A10636" w:rsidRPr="00D9348B" w:rsidRDefault="00A10636" w:rsidP="00DB330E">
            <w:pPr>
              <w:pStyle w:val="TableText"/>
              <w:spacing w:before="40" w:after="40"/>
              <w:rPr>
                <w:szCs w:val="16"/>
              </w:rPr>
            </w:pPr>
            <w:r w:rsidRPr="00D9348B">
              <w:rPr>
                <w:szCs w:val="16"/>
              </w:rPr>
              <w:t>No IPCC guidelines</w:t>
            </w:r>
          </w:p>
        </w:tc>
      </w:tr>
      <w:tr w:rsidR="00A10636" w:rsidRPr="00D9348B" w14:paraId="5EEFA522" w14:textId="77777777" w:rsidTr="008F0E45">
        <w:trPr>
          <w:trHeight w:val="20"/>
        </w:trPr>
        <w:tc>
          <w:tcPr>
            <w:tcW w:w="1246" w:type="dxa"/>
            <w:vMerge w:val="restart"/>
            <w:tcBorders>
              <w:top w:val="single" w:sz="4" w:space="0" w:color="365F91"/>
              <w:bottom w:val="single" w:sz="4" w:space="0" w:color="365F91"/>
            </w:tcBorders>
          </w:tcPr>
          <w:p w14:paraId="1B765729" w14:textId="77777777" w:rsidR="00A10636" w:rsidRPr="00D9348B" w:rsidRDefault="00A10636" w:rsidP="00DB330E">
            <w:pPr>
              <w:pStyle w:val="TableText"/>
              <w:spacing w:before="40" w:after="40"/>
              <w:rPr>
                <w:szCs w:val="16"/>
              </w:rPr>
            </w:pPr>
            <w:r w:rsidRPr="00D9348B">
              <w:rPr>
                <w:szCs w:val="16"/>
              </w:rPr>
              <w:t>With woody biomass –transitional</w:t>
            </w:r>
          </w:p>
        </w:tc>
        <w:tc>
          <w:tcPr>
            <w:tcW w:w="1731" w:type="dxa"/>
            <w:tcBorders>
              <w:top w:val="single" w:sz="4" w:space="0" w:color="365F91"/>
              <w:bottom w:val="single" w:sz="4" w:space="0" w:color="365F91"/>
            </w:tcBorders>
          </w:tcPr>
          <w:p w14:paraId="25FA70D3" w14:textId="77777777" w:rsidR="00A10636" w:rsidRPr="00D9348B" w:rsidRDefault="00A10636" w:rsidP="00DB330E">
            <w:pPr>
              <w:pStyle w:val="TableText"/>
              <w:spacing w:before="40" w:after="40"/>
              <w:rPr>
                <w:b/>
                <w:szCs w:val="16"/>
              </w:rPr>
            </w:pPr>
            <w:r w:rsidRPr="00D9348B">
              <w:rPr>
                <w:b/>
                <w:szCs w:val="16"/>
              </w:rPr>
              <w:t>Total biomass</w:t>
            </w:r>
          </w:p>
        </w:tc>
        <w:tc>
          <w:tcPr>
            <w:tcW w:w="1276" w:type="dxa"/>
            <w:tcBorders>
              <w:top w:val="single" w:sz="4" w:space="0" w:color="365F91"/>
              <w:bottom w:val="single" w:sz="4" w:space="0" w:color="365F91"/>
            </w:tcBorders>
          </w:tcPr>
          <w:p w14:paraId="13C71995" w14:textId="77777777" w:rsidR="00A10636" w:rsidRPr="00D9348B" w:rsidRDefault="00A10636" w:rsidP="00DB330E">
            <w:pPr>
              <w:pStyle w:val="TableText"/>
              <w:spacing w:before="40" w:after="40"/>
              <w:jc w:val="center"/>
              <w:rPr>
                <w:b/>
                <w:szCs w:val="16"/>
              </w:rPr>
            </w:pPr>
            <w:r w:rsidRPr="00D9348B">
              <w:rPr>
                <w:b/>
                <w:szCs w:val="16"/>
              </w:rPr>
              <w:t>13.05</w:t>
            </w:r>
          </w:p>
        </w:tc>
        <w:tc>
          <w:tcPr>
            <w:tcW w:w="1276" w:type="dxa"/>
            <w:tcBorders>
              <w:top w:val="single" w:sz="4" w:space="0" w:color="365F91"/>
              <w:bottom w:val="single" w:sz="4" w:space="0" w:color="365F91"/>
            </w:tcBorders>
          </w:tcPr>
          <w:p w14:paraId="582D352E" w14:textId="77777777" w:rsidR="00A10636" w:rsidRPr="00D9348B" w:rsidRDefault="00A10636" w:rsidP="00DB330E">
            <w:pPr>
              <w:pStyle w:val="TableText"/>
              <w:spacing w:before="40" w:after="40"/>
              <w:jc w:val="center"/>
              <w:rPr>
                <w:b/>
                <w:szCs w:val="16"/>
              </w:rPr>
            </w:pPr>
            <w:r w:rsidRPr="00D9348B">
              <w:rPr>
                <w:b/>
                <w:szCs w:val="16"/>
              </w:rPr>
              <w:t>0.47</w:t>
            </w:r>
          </w:p>
        </w:tc>
        <w:tc>
          <w:tcPr>
            <w:tcW w:w="1275" w:type="dxa"/>
            <w:tcBorders>
              <w:top w:val="single" w:sz="4" w:space="0" w:color="365F91"/>
              <w:bottom w:val="single" w:sz="4" w:space="0" w:color="365F91"/>
            </w:tcBorders>
          </w:tcPr>
          <w:p w14:paraId="595E0D8F" w14:textId="77777777" w:rsidR="00A10636" w:rsidRPr="00D9348B" w:rsidRDefault="00A10636" w:rsidP="00DB330E">
            <w:pPr>
              <w:pStyle w:val="TableText"/>
              <w:spacing w:before="40" w:after="40"/>
              <w:jc w:val="center"/>
              <w:rPr>
                <w:b/>
                <w:szCs w:val="16"/>
              </w:rPr>
            </w:pPr>
            <w:r w:rsidRPr="00D9348B">
              <w:rPr>
                <w:b/>
                <w:szCs w:val="16"/>
              </w:rPr>
              <w:t>28</w:t>
            </w:r>
          </w:p>
        </w:tc>
        <w:tc>
          <w:tcPr>
            <w:tcW w:w="1701" w:type="dxa"/>
            <w:vMerge w:val="restart"/>
            <w:tcBorders>
              <w:top w:val="single" w:sz="4" w:space="0" w:color="365F91"/>
              <w:bottom w:val="single" w:sz="4" w:space="0" w:color="365F91"/>
            </w:tcBorders>
          </w:tcPr>
          <w:p w14:paraId="083B1DB7" w14:textId="77777777" w:rsidR="00A10636" w:rsidRPr="00D9348B" w:rsidRDefault="00A10636" w:rsidP="00DB330E">
            <w:pPr>
              <w:pStyle w:val="TableText"/>
              <w:spacing w:before="40" w:after="40"/>
              <w:rPr>
                <w:szCs w:val="16"/>
              </w:rPr>
            </w:pPr>
            <w:r w:rsidRPr="00D9348B">
              <w:rPr>
                <w:szCs w:val="16"/>
              </w:rPr>
              <w:t>Wakelin and Beets, unpublished</w:t>
            </w:r>
          </w:p>
        </w:tc>
      </w:tr>
      <w:tr w:rsidR="00A10636" w:rsidRPr="00D9348B" w14:paraId="5F8FA9B8" w14:textId="77777777" w:rsidTr="008F0E45">
        <w:trPr>
          <w:trHeight w:val="20"/>
        </w:trPr>
        <w:tc>
          <w:tcPr>
            <w:tcW w:w="1246" w:type="dxa"/>
            <w:vMerge/>
            <w:tcBorders>
              <w:top w:val="single" w:sz="4" w:space="0" w:color="365F91"/>
            </w:tcBorders>
          </w:tcPr>
          <w:p w14:paraId="2A9EF746" w14:textId="77777777" w:rsidR="00A10636" w:rsidRPr="00D9348B" w:rsidRDefault="00A10636" w:rsidP="00DB330E">
            <w:pPr>
              <w:pStyle w:val="TableText"/>
              <w:spacing w:before="40" w:after="40"/>
              <w:rPr>
                <w:szCs w:val="16"/>
              </w:rPr>
            </w:pPr>
          </w:p>
        </w:tc>
        <w:tc>
          <w:tcPr>
            <w:tcW w:w="1731" w:type="dxa"/>
            <w:tcBorders>
              <w:top w:val="single" w:sz="4" w:space="0" w:color="365F91"/>
              <w:bottom w:val="single" w:sz="4" w:space="0" w:color="365F91"/>
            </w:tcBorders>
          </w:tcPr>
          <w:p w14:paraId="2F80FDD1" w14:textId="77777777" w:rsidR="00A10636" w:rsidRPr="00D9348B" w:rsidRDefault="00A10636" w:rsidP="00DB330E">
            <w:pPr>
              <w:pStyle w:val="TableText"/>
              <w:spacing w:before="40" w:after="40"/>
              <w:rPr>
                <w:i/>
                <w:szCs w:val="16"/>
              </w:rPr>
            </w:pPr>
            <w:r w:rsidRPr="00D9348B">
              <w:rPr>
                <w:i/>
                <w:szCs w:val="16"/>
              </w:rPr>
              <w:t>Living biomass</w:t>
            </w:r>
          </w:p>
        </w:tc>
        <w:tc>
          <w:tcPr>
            <w:tcW w:w="1276" w:type="dxa"/>
            <w:tcBorders>
              <w:top w:val="single" w:sz="4" w:space="0" w:color="365F91"/>
              <w:bottom w:val="single" w:sz="4" w:space="0" w:color="365F91"/>
            </w:tcBorders>
          </w:tcPr>
          <w:p w14:paraId="0295F60C" w14:textId="77777777" w:rsidR="00A10636" w:rsidRPr="00D9348B" w:rsidRDefault="00A10636" w:rsidP="00DB330E">
            <w:pPr>
              <w:pStyle w:val="TableText"/>
              <w:spacing w:before="40" w:after="40"/>
              <w:jc w:val="center"/>
              <w:rPr>
                <w:szCs w:val="16"/>
              </w:rPr>
            </w:pPr>
          </w:p>
        </w:tc>
        <w:tc>
          <w:tcPr>
            <w:tcW w:w="1276" w:type="dxa"/>
            <w:tcBorders>
              <w:top w:val="single" w:sz="4" w:space="0" w:color="365F91"/>
              <w:bottom w:val="single" w:sz="4" w:space="0" w:color="365F91"/>
            </w:tcBorders>
          </w:tcPr>
          <w:p w14:paraId="4E0CE9E6" w14:textId="77777777" w:rsidR="00A10636" w:rsidRPr="00D9348B" w:rsidRDefault="00A10636" w:rsidP="00DB330E">
            <w:pPr>
              <w:pStyle w:val="TableText"/>
              <w:spacing w:before="40" w:after="40"/>
              <w:jc w:val="center"/>
              <w:rPr>
                <w:szCs w:val="16"/>
              </w:rPr>
            </w:pPr>
          </w:p>
        </w:tc>
        <w:tc>
          <w:tcPr>
            <w:tcW w:w="1275" w:type="dxa"/>
            <w:tcBorders>
              <w:top w:val="single" w:sz="4" w:space="0" w:color="365F91"/>
              <w:bottom w:val="single" w:sz="4" w:space="0" w:color="365F91"/>
            </w:tcBorders>
          </w:tcPr>
          <w:p w14:paraId="6075F798" w14:textId="77777777" w:rsidR="00A10636" w:rsidRPr="00D9348B" w:rsidRDefault="00A10636" w:rsidP="00DB330E">
            <w:pPr>
              <w:pStyle w:val="TableText"/>
              <w:spacing w:before="40" w:after="40"/>
              <w:jc w:val="center"/>
              <w:rPr>
                <w:szCs w:val="16"/>
              </w:rPr>
            </w:pPr>
          </w:p>
        </w:tc>
        <w:tc>
          <w:tcPr>
            <w:tcW w:w="1701" w:type="dxa"/>
            <w:vMerge/>
            <w:tcBorders>
              <w:top w:val="single" w:sz="4" w:space="0" w:color="365F91"/>
              <w:bottom w:val="single" w:sz="4" w:space="0" w:color="365F91"/>
            </w:tcBorders>
          </w:tcPr>
          <w:p w14:paraId="28A8674C" w14:textId="77777777" w:rsidR="00A10636" w:rsidRPr="00D9348B" w:rsidRDefault="00A10636" w:rsidP="00DB330E">
            <w:pPr>
              <w:pStyle w:val="TableText"/>
              <w:spacing w:before="40" w:after="40"/>
              <w:rPr>
                <w:szCs w:val="16"/>
              </w:rPr>
            </w:pPr>
          </w:p>
        </w:tc>
      </w:tr>
      <w:tr w:rsidR="00A10636" w:rsidRPr="00D9348B" w14:paraId="2641D768" w14:textId="77777777" w:rsidTr="008F0E45">
        <w:trPr>
          <w:trHeight w:val="20"/>
        </w:trPr>
        <w:tc>
          <w:tcPr>
            <w:tcW w:w="1246" w:type="dxa"/>
            <w:vMerge/>
          </w:tcPr>
          <w:p w14:paraId="256EF341" w14:textId="77777777" w:rsidR="00A10636" w:rsidRPr="00D9348B" w:rsidRDefault="00A10636" w:rsidP="00DB330E">
            <w:pPr>
              <w:pStyle w:val="TableText"/>
              <w:spacing w:before="40" w:after="40"/>
              <w:rPr>
                <w:szCs w:val="16"/>
              </w:rPr>
            </w:pPr>
          </w:p>
        </w:tc>
        <w:tc>
          <w:tcPr>
            <w:tcW w:w="1731" w:type="dxa"/>
            <w:tcBorders>
              <w:top w:val="single" w:sz="4" w:space="0" w:color="365F91"/>
              <w:bottom w:val="single" w:sz="4" w:space="0" w:color="365F91"/>
            </w:tcBorders>
          </w:tcPr>
          <w:p w14:paraId="2C76BE4F" w14:textId="77777777" w:rsidR="00A10636" w:rsidRPr="00D9348B" w:rsidRDefault="00A10636" w:rsidP="00DB330E">
            <w:pPr>
              <w:pStyle w:val="TableText"/>
              <w:spacing w:before="40" w:after="40"/>
              <w:rPr>
                <w:szCs w:val="16"/>
              </w:rPr>
            </w:pPr>
            <w:r w:rsidRPr="00D9348B">
              <w:rPr>
                <w:szCs w:val="16"/>
              </w:rPr>
              <w:tab/>
              <w:t>AGB</w:t>
            </w:r>
          </w:p>
        </w:tc>
        <w:tc>
          <w:tcPr>
            <w:tcW w:w="1276" w:type="dxa"/>
            <w:tcBorders>
              <w:top w:val="single" w:sz="4" w:space="0" w:color="365F91"/>
              <w:bottom w:val="single" w:sz="4" w:space="0" w:color="365F91"/>
            </w:tcBorders>
          </w:tcPr>
          <w:p w14:paraId="626FB14B" w14:textId="77777777" w:rsidR="00A10636" w:rsidRPr="00D9348B" w:rsidRDefault="00A10636" w:rsidP="00DB330E">
            <w:pPr>
              <w:pStyle w:val="TableText"/>
              <w:spacing w:before="40" w:after="40"/>
              <w:jc w:val="center"/>
              <w:rPr>
                <w:szCs w:val="16"/>
              </w:rPr>
            </w:pPr>
            <w:r w:rsidRPr="00D9348B">
              <w:rPr>
                <w:szCs w:val="16"/>
              </w:rPr>
              <w:t>9.35</w:t>
            </w:r>
          </w:p>
        </w:tc>
        <w:tc>
          <w:tcPr>
            <w:tcW w:w="1276" w:type="dxa"/>
            <w:tcBorders>
              <w:top w:val="single" w:sz="4" w:space="0" w:color="365F91"/>
              <w:bottom w:val="single" w:sz="4" w:space="0" w:color="365F91"/>
            </w:tcBorders>
          </w:tcPr>
          <w:p w14:paraId="71F166DB" w14:textId="77777777" w:rsidR="00A10636" w:rsidRPr="00D9348B" w:rsidRDefault="00A10636" w:rsidP="00DB330E">
            <w:pPr>
              <w:pStyle w:val="TableText"/>
              <w:spacing w:before="40" w:after="40"/>
              <w:jc w:val="center"/>
              <w:rPr>
                <w:szCs w:val="16"/>
              </w:rPr>
            </w:pPr>
            <w:r w:rsidRPr="00D9348B">
              <w:rPr>
                <w:szCs w:val="16"/>
              </w:rPr>
              <w:t>0.33</w:t>
            </w:r>
          </w:p>
        </w:tc>
        <w:tc>
          <w:tcPr>
            <w:tcW w:w="1275" w:type="dxa"/>
            <w:tcBorders>
              <w:top w:val="single" w:sz="4" w:space="0" w:color="365F91"/>
              <w:bottom w:val="single" w:sz="4" w:space="0" w:color="365F91"/>
            </w:tcBorders>
          </w:tcPr>
          <w:p w14:paraId="5503CCE1" w14:textId="77777777" w:rsidR="00A10636" w:rsidRPr="00D9348B" w:rsidRDefault="00A10636" w:rsidP="00DB330E">
            <w:pPr>
              <w:pStyle w:val="TableText"/>
              <w:spacing w:before="40" w:after="40"/>
              <w:jc w:val="center"/>
              <w:rPr>
                <w:szCs w:val="16"/>
              </w:rPr>
            </w:pPr>
            <w:r w:rsidRPr="00D9348B">
              <w:rPr>
                <w:szCs w:val="16"/>
              </w:rPr>
              <w:t>28</w:t>
            </w:r>
          </w:p>
        </w:tc>
        <w:tc>
          <w:tcPr>
            <w:tcW w:w="1701" w:type="dxa"/>
            <w:vMerge/>
            <w:tcBorders>
              <w:top w:val="single" w:sz="4" w:space="0" w:color="365F91"/>
            </w:tcBorders>
          </w:tcPr>
          <w:p w14:paraId="0DD7AE2E" w14:textId="77777777" w:rsidR="00A10636" w:rsidRPr="00D9348B" w:rsidRDefault="00A10636" w:rsidP="00DB330E">
            <w:pPr>
              <w:pStyle w:val="TableText"/>
              <w:spacing w:before="40" w:after="40"/>
              <w:rPr>
                <w:szCs w:val="16"/>
              </w:rPr>
            </w:pPr>
          </w:p>
        </w:tc>
      </w:tr>
      <w:tr w:rsidR="00A10636" w:rsidRPr="00D9348B" w14:paraId="247EFCE3" w14:textId="77777777" w:rsidTr="008F0E45">
        <w:trPr>
          <w:trHeight w:val="20"/>
        </w:trPr>
        <w:tc>
          <w:tcPr>
            <w:tcW w:w="1246" w:type="dxa"/>
            <w:vMerge/>
          </w:tcPr>
          <w:p w14:paraId="46F16934" w14:textId="77777777" w:rsidR="00A10636" w:rsidRPr="00D9348B" w:rsidRDefault="00A10636" w:rsidP="00DB330E">
            <w:pPr>
              <w:pStyle w:val="TableText"/>
              <w:spacing w:before="40" w:after="40"/>
              <w:rPr>
                <w:szCs w:val="16"/>
              </w:rPr>
            </w:pPr>
          </w:p>
        </w:tc>
        <w:tc>
          <w:tcPr>
            <w:tcW w:w="1731" w:type="dxa"/>
            <w:tcBorders>
              <w:top w:val="single" w:sz="4" w:space="0" w:color="365F91"/>
              <w:bottom w:val="single" w:sz="4" w:space="0" w:color="365F91"/>
            </w:tcBorders>
          </w:tcPr>
          <w:p w14:paraId="365DC11D" w14:textId="77777777" w:rsidR="00A10636" w:rsidRPr="00D9348B" w:rsidRDefault="00A10636" w:rsidP="00DB330E">
            <w:pPr>
              <w:pStyle w:val="TableText"/>
              <w:spacing w:before="40" w:after="40"/>
              <w:rPr>
                <w:szCs w:val="16"/>
              </w:rPr>
            </w:pPr>
            <w:r w:rsidRPr="00D9348B">
              <w:rPr>
                <w:szCs w:val="16"/>
              </w:rPr>
              <w:tab/>
              <w:t>BGB</w:t>
            </w:r>
          </w:p>
        </w:tc>
        <w:tc>
          <w:tcPr>
            <w:tcW w:w="1276" w:type="dxa"/>
            <w:tcBorders>
              <w:top w:val="single" w:sz="4" w:space="0" w:color="365F91"/>
              <w:bottom w:val="single" w:sz="4" w:space="0" w:color="365F91"/>
            </w:tcBorders>
          </w:tcPr>
          <w:p w14:paraId="45C64B7A" w14:textId="77777777" w:rsidR="00A10636" w:rsidRPr="00D9348B" w:rsidRDefault="00A10636" w:rsidP="00DB330E">
            <w:pPr>
              <w:pStyle w:val="TableText"/>
              <w:spacing w:before="40" w:after="40"/>
              <w:jc w:val="center"/>
              <w:rPr>
                <w:szCs w:val="16"/>
              </w:rPr>
            </w:pPr>
            <w:r w:rsidRPr="00D9348B">
              <w:rPr>
                <w:szCs w:val="16"/>
              </w:rPr>
              <w:t>3.05</w:t>
            </w:r>
          </w:p>
        </w:tc>
        <w:tc>
          <w:tcPr>
            <w:tcW w:w="1276" w:type="dxa"/>
            <w:tcBorders>
              <w:top w:val="single" w:sz="4" w:space="0" w:color="365F91"/>
              <w:bottom w:val="single" w:sz="4" w:space="0" w:color="365F91"/>
            </w:tcBorders>
          </w:tcPr>
          <w:p w14:paraId="634A6E45" w14:textId="77777777" w:rsidR="00A10636" w:rsidRPr="00D9348B" w:rsidRDefault="00A10636" w:rsidP="00DB330E">
            <w:pPr>
              <w:pStyle w:val="TableText"/>
              <w:spacing w:before="40" w:after="40"/>
              <w:jc w:val="center"/>
              <w:rPr>
                <w:szCs w:val="16"/>
              </w:rPr>
            </w:pPr>
            <w:r w:rsidRPr="00D9348B">
              <w:rPr>
                <w:szCs w:val="16"/>
              </w:rPr>
              <w:t>0.11</w:t>
            </w:r>
          </w:p>
        </w:tc>
        <w:tc>
          <w:tcPr>
            <w:tcW w:w="1275" w:type="dxa"/>
            <w:tcBorders>
              <w:top w:val="single" w:sz="4" w:space="0" w:color="365F91"/>
              <w:bottom w:val="single" w:sz="4" w:space="0" w:color="365F91"/>
            </w:tcBorders>
          </w:tcPr>
          <w:p w14:paraId="39753CEF" w14:textId="77777777" w:rsidR="00A10636" w:rsidRPr="00D9348B" w:rsidRDefault="00A10636" w:rsidP="00DB330E">
            <w:pPr>
              <w:pStyle w:val="TableText"/>
              <w:spacing w:before="40" w:after="40"/>
              <w:jc w:val="center"/>
              <w:rPr>
                <w:szCs w:val="16"/>
              </w:rPr>
            </w:pPr>
            <w:r w:rsidRPr="00D9348B">
              <w:rPr>
                <w:szCs w:val="16"/>
              </w:rPr>
              <w:t>28</w:t>
            </w:r>
          </w:p>
        </w:tc>
        <w:tc>
          <w:tcPr>
            <w:tcW w:w="1701" w:type="dxa"/>
            <w:vMerge/>
            <w:tcBorders>
              <w:top w:val="single" w:sz="4" w:space="0" w:color="365F91"/>
            </w:tcBorders>
          </w:tcPr>
          <w:p w14:paraId="61AF7DEE" w14:textId="77777777" w:rsidR="00A10636" w:rsidRPr="00D9348B" w:rsidRDefault="00A10636" w:rsidP="00DB330E">
            <w:pPr>
              <w:pStyle w:val="TableText"/>
              <w:spacing w:before="40" w:after="40"/>
              <w:rPr>
                <w:szCs w:val="16"/>
              </w:rPr>
            </w:pPr>
          </w:p>
        </w:tc>
      </w:tr>
      <w:tr w:rsidR="00A10636" w:rsidRPr="00D9348B" w14:paraId="7BD0E7B9" w14:textId="77777777" w:rsidTr="008F0E45">
        <w:trPr>
          <w:trHeight w:val="20"/>
        </w:trPr>
        <w:tc>
          <w:tcPr>
            <w:tcW w:w="1246" w:type="dxa"/>
            <w:vMerge/>
          </w:tcPr>
          <w:p w14:paraId="36B859BF" w14:textId="77777777" w:rsidR="00A10636" w:rsidRPr="00D9348B" w:rsidRDefault="00A10636" w:rsidP="00DB330E">
            <w:pPr>
              <w:pStyle w:val="TableText"/>
              <w:spacing w:before="40" w:after="40"/>
              <w:rPr>
                <w:szCs w:val="16"/>
              </w:rPr>
            </w:pPr>
          </w:p>
        </w:tc>
        <w:tc>
          <w:tcPr>
            <w:tcW w:w="1731" w:type="dxa"/>
            <w:tcBorders>
              <w:top w:val="single" w:sz="4" w:space="0" w:color="365F91"/>
              <w:bottom w:val="single" w:sz="4" w:space="0" w:color="365F91"/>
            </w:tcBorders>
          </w:tcPr>
          <w:p w14:paraId="5957C096" w14:textId="77777777" w:rsidR="00A10636" w:rsidRPr="00D9348B" w:rsidRDefault="00A10636" w:rsidP="00DB330E">
            <w:pPr>
              <w:pStyle w:val="TableText"/>
              <w:spacing w:before="40" w:after="40"/>
              <w:rPr>
                <w:i/>
                <w:szCs w:val="16"/>
              </w:rPr>
            </w:pPr>
            <w:r w:rsidRPr="00D9348B">
              <w:rPr>
                <w:i/>
                <w:szCs w:val="16"/>
              </w:rPr>
              <w:t>Dead organic matter</w:t>
            </w:r>
          </w:p>
        </w:tc>
        <w:tc>
          <w:tcPr>
            <w:tcW w:w="1276" w:type="dxa"/>
            <w:tcBorders>
              <w:top w:val="single" w:sz="4" w:space="0" w:color="365F91"/>
              <w:bottom w:val="single" w:sz="4" w:space="0" w:color="365F91"/>
            </w:tcBorders>
          </w:tcPr>
          <w:p w14:paraId="16843048" w14:textId="77777777" w:rsidR="00A10636" w:rsidRPr="00D9348B" w:rsidRDefault="00A10636" w:rsidP="00DB330E">
            <w:pPr>
              <w:pStyle w:val="TableText"/>
              <w:spacing w:before="40" w:after="40"/>
              <w:jc w:val="center"/>
              <w:rPr>
                <w:szCs w:val="16"/>
              </w:rPr>
            </w:pPr>
          </w:p>
        </w:tc>
        <w:tc>
          <w:tcPr>
            <w:tcW w:w="1276" w:type="dxa"/>
            <w:tcBorders>
              <w:top w:val="single" w:sz="4" w:space="0" w:color="365F91"/>
              <w:bottom w:val="single" w:sz="4" w:space="0" w:color="365F91"/>
            </w:tcBorders>
          </w:tcPr>
          <w:p w14:paraId="683D024F" w14:textId="77777777" w:rsidR="00A10636" w:rsidRPr="00D9348B" w:rsidRDefault="00A10636" w:rsidP="00DB330E">
            <w:pPr>
              <w:pStyle w:val="TableText"/>
              <w:spacing w:before="40" w:after="40"/>
              <w:jc w:val="center"/>
              <w:rPr>
                <w:szCs w:val="16"/>
              </w:rPr>
            </w:pPr>
          </w:p>
        </w:tc>
        <w:tc>
          <w:tcPr>
            <w:tcW w:w="1275" w:type="dxa"/>
            <w:tcBorders>
              <w:top w:val="single" w:sz="4" w:space="0" w:color="365F91"/>
              <w:bottom w:val="single" w:sz="4" w:space="0" w:color="365F91"/>
            </w:tcBorders>
          </w:tcPr>
          <w:p w14:paraId="078E8DD5" w14:textId="77777777" w:rsidR="00A10636" w:rsidRPr="00D9348B" w:rsidRDefault="00A10636" w:rsidP="00DB330E">
            <w:pPr>
              <w:pStyle w:val="TableText"/>
              <w:spacing w:before="40" w:after="40"/>
              <w:jc w:val="center"/>
              <w:rPr>
                <w:szCs w:val="16"/>
              </w:rPr>
            </w:pPr>
          </w:p>
        </w:tc>
        <w:tc>
          <w:tcPr>
            <w:tcW w:w="1701" w:type="dxa"/>
            <w:vMerge/>
          </w:tcPr>
          <w:p w14:paraId="02E3E4E5" w14:textId="77777777" w:rsidR="00A10636" w:rsidRPr="00D9348B" w:rsidRDefault="00A10636" w:rsidP="00DB330E">
            <w:pPr>
              <w:pStyle w:val="TableText"/>
              <w:spacing w:before="40" w:after="40"/>
              <w:rPr>
                <w:szCs w:val="16"/>
              </w:rPr>
            </w:pPr>
          </w:p>
        </w:tc>
      </w:tr>
      <w:tr w:rsidR="00A10636" w:rsidRPr="00D9348B" w14:paraId="6F5FBA40" w14:textId="77777777" w:rsidTr="008F0E45">
        <w:trPr>
          <w:trHeight w:val="20"/>
        </w:trPr>
        <w:tc>
          <w:tcPr>
            <w:tcW w:w="1246" w:type="dxa"/>
            <w:vMerge/>
          </w:tcPr>
          <w:p w14:paraId="1856AFCE" w14:textId="77777777" w:rsidR="00A10636" w:rsidRPr="00D9348B" w:rsidRDefault="00A10636" w:rsidP="00DB330E">
            <w:pPr>
              <w:pStyle w:val="TableText"/>
              <w:spacing w:before="40" w:after="40"/>
              <w:rPr>
                <w:szCs w:val="16"/>
              </w:rPr>
            </w:pPr>
          </w:p>
        </w:tc>
        <w:tc>
          <w:tcPr>
            <w:tcW w:w="1731" w:type="dxa"/>
            <w:tcBorders>
              <w:top w:val="single" w:sz="4" w:space="0" w:color="365F91"/>
              <w:bottom w:val="single" w:sz="4" w:space="0" w:color="365F91"/>
            </w:tcBorders>
          </w:tcPr>
          <w:p w14:paraId="50A32529" w14:textId="77777777" w:rsidR="00A10636" w:rsidRPr="00D9348B" w:rsidRDefault="00A10636" w:rsidP="00DB330E">
            <w:pPr>
              <w:pStyle w:val="TableText"/>
              <w:spacing w:before="40" w:after="40"/>
              <w:rPr>
                <w:szCs w:val="16"/>
              </w:rPr>
            </w:pPr>
            <w:r w:rsidRPr="00D9348B">
              <w:rPr>
                <w:szCs w:val="16"/>
              </w:rPr>
              <w:tab/>
              <w:t>Dead wood</w:t>
            </w:r>
          </w:p>
        </w:tc>
        <w:tc>
          <w:tcPr>
            <w:tcW w:w="1276" w:type="dxa"/>
            <w:tcBorders>
              <w:top w:val="single" w:sz="4" w:space="0" w:color="365F91"/>
              <w:bottom w:val="single" w:sz="4" w:space="0" w:color="365F91"/>
            </w:tcBorders>
          </w:tcPr>
          <w:p w14:paraId="1DD57FFF" w14:textId="77777777" w:rsidR="00A10636" w:rsidRPr="00D9348B" w:rsidRDefault="00A10636" w:rsidP="00DB330E">
            <w:pPr>
              <w:pStyle w:val="TableText"/>
              <w:spacing w:before="40" w:after="40"/>
              <w:jc w:val="center"/>
              <w:rPr>
                <w:szCs w:val="16"/>
              </w:rPr>
            </w:pPr>
            <w:r w:rsidRPr="00D9348B">
              <w:rPr>
                <w:szCs w:val="16"/>
              </w:rPr>
              <w:t>0.10</w:t>
            </w:r>
          </w:p>
        </w:tc>
        <w:tc>
          <w:tcPr>
            <w:tcW w:w="1276" w:type="dxa"/>
            <w:tcBorders>
              <w:top w:val="single" w:sz="4" w:space="0" w:color="365F91"/>
              <w:bottom w:val="single" w:sz="4" w:space="0" w:color="365F91"/>
            </w:tcBorders>
          </w:tcPr>
          <w:p w14:paraId="229C14E8" w14:textId="77777777" w:rsidR="00A10636" w:rsidRPr="00D9348B" w:rsidRDefault="00A10636" w:rsidP="00DB330E">
            <w:pPr>
              <w:pStyle w:val="TableText"/>
              <w:spacing w:before="40" w:after="40"/>
              <w:jc w:val="center"/>
              <w:rPr>
                <w:szCs w:val="16"/>
              </w:rPr>
            </w:pPr>
            <w:r w:rsidRPr="00D9348B">
              <w:rPr>
                <w:szCs w:val="16"/>
              </w:rPr>
              <w:t>0.004</w:t>
            </w:r>
          </w:p>
        </w:tc>
        <w:tc>
          <w:tcPr>
            <w:tcW w:w="1275" w:type="dxa"/>
            <w:tcBorders>
              <w:top w:val="single" w:sz="4" w:space="0" w:color="365F91"/>
              <w:bottom w:val="single" w:sz="4" w:space="0" w:color="365F91"/>
            </w:tcBorders>
          </w:tcPr>
          <w:p w14:paraId="58DAD5C2" w14:textId="77777777" w:rsidR="00A10636" w:rsidRPr="00D9348B" w:rsidRDefault="00A10636" w:rsidP="00DB330E">
            <w:pPr>
              <w:pStyle w:val="TableText"/>
              <w:spacing w:before="40" w:after="40"/>
              <w:jc w:val="center"/>
              <w:rPr>
                <w:szCs w:val="16"/>
              </w:rPr>
            </w:pPr>
            <w:r w:rsidRPr="00D9348B">
              <w:rPr>
                <w:szCs w:val="16"/>
              </w:rPr>
              <w:t>28</w:t>
            </w:r>
          </w:p>
        </w:tc>
        <w:tc>
          <w:tcPr>
            <w:tcW w:w="1701" w:type="dxa"/>
            <w:vMerge/>
          </w:tcPr>
          <w:p w14:paraId="5E474645" w14:textId="77777777" w:rsidR="00A10636" w:rsidRPr="00D9348B" w:rsidRDefault="00A10636" w:rsidP="00DB330E">
            <w:pPr>
              <w:pStyle w:val="TableText"/>
              <w:spacing w:before="40" w:after="40"/>
              <w:rPr>
                <w:szCs w:val="16"/>
              </w:rPr>
            </w:pPr>
          </w:p>
        </w:tc>
      </w:tr>
      <w:tr w:rsidR="00A10636" w:rsidRPr="00D9348B" w14:paraId="68919E46" w14:textId="77777777" w:rsidTr="008F0E45">
        <w:trPr>
          <w:trHeight w:val="20"/>
        </w:trPr>
        <w:tc>
          <w:tcPr>
            <w:tcW w:w="1246" w:type="dxa"/>
            <w:vMerge/>
            <w:tcBorders>
              <w:bottom w:val="single" w:sz="4" w:space="0" w:color="365F91"/>
            </w:tcBorders>
          </w:tcPr>
          <w:p w14:paraId="46792CC0" w14:textId="77777777" w:rsidR="00A10636" w:rsidRPr="00D9348B" w:rsidRDefault="00A10636" w:rsidP="00DB330E">
            <w:pPr>
              <w:pStyle w:val="TableText"/>
              <w:spacing w:before="40" w:after="40"/>
              <w:rPr>
                <w:szCs w:val="16"/>
              </w:rPr>
            </w:pPr>
          </w:p>
        </w:tc>
        <w:tc>
          <w:tcPr>
            <w:tcW w:w="1731" w:type="dxa"/>
            <w:tcBorders>
              <w:top w:val="single" w:sz="4" w:space="0" w:color="365F91"/>
              <w:bottom w:val="single" w:sz="4" w:space="0" w:color="365F91"/>
            </w:tcBorders>
          </w:tcPr>
          <w:p w14:paraId="31B69333" w14:textId="77777777" w:rsidR="00A10636" w:rsidRPr="00D9348B" w:rsidRDefault="00A10636" w:rsidP="00DB330E">
            <w:pPr>
              <w:pStyle w:val="TableText"/>
              <w:spacing w:before="40" w:after="40"/>
              <w:rPr>
                <w:szCs w:val="16"/>
              </w:rPr>
            </w:pPr>
            <w:r w:rsidRPr="00D9348B">
              <w:rPr>
                <w:szCs w:val="16"/>
              </w:rPr>
              <w:tab/>
              <w:t>Litter</w:t>
            </w:r>
          </w:p>
        </w:tc>
        <w:tc>
          <w:tcPr>
            <w:tcW w:w="1276" w:type="dxa"/>
            <w:tcBorders>
              <w:top w:val="single" w:sz="4" w:space="0" w:color="365F91"/>
              <w:bottom w:val="single" w:sz="4" w:space="0" w:color="365F91"/>
            </w:tcBorders>
          </w:tcPr>
          <w:p w14:paraId="4439D003" w14:textId="77777777" w:rsidR="00A10636" w:rsidRPr="00D9348B" w:rsidRDefault="00A10636" w:rsidP="00DB330E">
            <w:pPr>
              <w:pStyle w:val="TableText"/>
              <w:spacing w:before="40" w:after="40"/>
              <w:jc w:val="center"/>
              <w:rPr>
                <w:szCs w:val="16"/>
              </w:rPr>
            </w:pPr>
            <w:r w:rsidRPr="00D9348B">
              <w:rPr>
                <w:szCs w:val="16"/>
              </w:rPr>
              <w:t>0.55</w:t>
            </w:r>
          </w:p>
        </w:tc>
        <w:tc>
          <w:tcPr>
            <w:tcW w:w="1276" w:type="dxa"/>
            <w:tcBorders>
              <w:top w:val="single" w:sz="4" w:space="0" w:color="365F91"/>
              <w:bottom w:val="single" w:sz="4" w:space="0" w:color="365F91"/>
            </w:tcBorders>
          </w:tcPr>
          <w:p w14:paraId="78EDDDAD" w14:textId="77777777" w:rsidR="00A10636" w:rsidRPr="00D9348B" w:rsidRDefault="00A10636" w:rsidP="00DB330E">
            <w:pPr>
              <w:pStyle w:val="TableText"/>
              <w:spacing w:before="40" w:after="40"/>
              <w:jc w:val="center"/>
              <w:rPr>
                <w:szCs w:val="16"/>
              </w:rPr>
            </w:pPr>
            <w:r w:rsidRPr="00D9348B">
              <w:rPr>
                <w:szCs w:val="16"/>
              </w:rPr>
              <w:t>0.02</w:t>
            </w:r>
          </w:p>
        </w:tc>
        <w:tc>
          <w:tcPr>
            <w:tcW w:w="1275" w:type="dxa"/>
            <w:tcBorders>
              <w:top w:val="single" w:sz="4" w:space="0" w:color="365F91"/>
              <w:bottom w:val="single" w:sz="4" w:space="0" w:color="365F91"/>
            </w:tcBorders>
          </w:tcPr>
          <w:p w14:paraId="585E26D7" w14:textId="77777777" w:rsidR="00A10636" w:rsidRPr="00D9348B" w:rsidRDefault="00A10636" w:rsidP="00DB330E">
            <w:pPr>
              <w:pStyle w:val="TableText"/>
              <w:spacing w:before="40" w:after="40"/>
              <w:jc w:val="center"/>
              <w:rPr>
                <w:szCs w:val="16"/>
              </w:rPr>
            </w:pPr>
            <w:r w:rsidRPr="00D9348B">
              <w:rPr>
                <w:szCs w:val="16"/>
              </w:rPr>
              <w:t>28</w:t>
            </w:r>
          </w:p>
        </w:tc>
        <w:tc>
          <w:tcPr>
            <w:tcW w:w="1701" w:type="dxa"/>
            <w:vMerge/>
            <w:tcBorders>
              <w:bottom w:val="single" w:sz="4" w:space="0" w:color="365F91"/>
            </w:tcBorders>
          </w:tcPr>
          <w:p w14:paraId="2F04DCA6" w14:textId="77777777" w:rsidR="00A10636" w:rsidRPr="00D9348B" w:rsidRDefault="00A10636" w:rsidP="00DB330E">
            <w:pPr>
              <w:pStyle w:val="TableText"/>
              <w:spacing w:before="40" w:after="40"/>
              <w:rPr>
                <w:szCs w:val="16"/>
              </w:rPr>
            </w:pPr>
          </w:p>
        </w:tc>
      </w:tr>
      <w:tr w:rsidR="00A10636" w:rsidRPr="00D9348B" w14:paraId="07CD069D" w14:textId="77777777" w:rsidTr="008F0E45">
        <w:trPr>
          <w:trHeight w:val="20"/>
        </w:trPr>
        <w:tc>
          <w:tcPr>
            <w:tcW w:w="1246" w:type="dxa"/>
            <w:vMerge w:val="restart"/>
            <w:tcBorders>
              <w:top w:val="single" w:sz="4" w:space="0" w:color="365F91"/>
              <w:bottom w:val="single" w:sz="4" w:space="0" w:color="365F91"/>
            </w:tcBorders>
          </w:tcPr>
          <w:p w14:paraId="3571D8B2" w14:textId="77777777" w:rsidR="00A10636" w:rsidRPr="00D9348B" w:rsidRDefault="00A10636" w:rsidP="00DB330E">
            <w:pPr>
              <w:pStyle w:val="TableText"/>
              <w:spacing w:before="40" w:after="40"/>
              <w:rPr>
                <w:szCs w:val="16"/>
              </w:rPr>
            </w:pPr>
            <w:r w:rsidRPr="00D9348B">
              <w:rPr>
                <w:szCs w:val="16"/>
              </w:rPr>
              <w:t>With woody biomass – permanent</w:t>
            </w:r>
          </w:p>
        </w:tc>
        <w:tc>
          <w:tcPr>
            <w:tcW w:w="1731" w:type="dxa"/>
            <w:tcBorders>
              <w:top w:val="single" w:sz="4" w:space="0" w:color="365F91"/>
              <w:bottom w:val="single" w:sz="4" w:space="0" w:color="365F91"/>
            </w:tcBorders>
          </w:tcPr>
          <w:p w14:paraId="6B92E267" w14:textId="77777777" w:rsidR="00A10636" w:rsidRPr="00D9348B" w:rsidRDefault="00A10636" w:rsidP="00DB330E">
            <w:pPr>
              <w:pStyle w:val="TableText"/>
              <w:spacing w:before="40" w:after="40"/>
              <w:rPr>
                <w:b/>
                <w:szCs w:val="16"/>
              </w:rPr>
            </w:pPr>
            <w:r w:rsidRPr="00D9348B">
              <w:rPr>
                <w:b/>
                <w:szCs w:val="16"/>
              </w:rPr>
              <w:t>Total biomass</w:t>
            </w:r>
          </w:p>
        </w:tc>
        <w:tc>
          <w:tcPr>
            <w:tcW w:w="1276" w:type="dxa"/>
            <w:tcBorders>
              <w:top w:val="single" w:sz="4" w:space="0" w:color="365F91"/>
              <w:bottom w:val="single" w:sz="4" w:space="0" w:color="365F91"/>
            </w:tcBorders>
          </w:tcPr>
          <w:p w14:paraId="7D047D07" w14:textId="77777777" w:rsidR="00A10636" w:rsidRPr="00D9348B" w:rsidRDefault="00A10636" w:rsidP="00DB330E">
            <w:pPr>
              <w:pStyle w:val="TableText"/>
              <w:spacing w:before="40" w:after="40"/>
              <w:jc w:val="center"/>
              <w:rPr>
                <w:b/>
                <w:szCs w:val="16"/>
              </w:rPr>
            </w:pPr>
            <w:r w:rsidRPr="00D9348B">
              <w:rPr>
                <w:b/>
                <w:szCs w:val="16"/>
              </w:rPr>
              <w:t>60.57</w:t>
            </w:r>
          </w:p>
        </w:tc>
        <w:tc>
          <w:tcPr>
            <w:tcW w:w="1276" w:type="dxa"/>
            <w:tcBorders>
              <w:top w:val="single" w:sz="4" w:space="0" w:color="365F91"/>
              <w:bottom w:val="single" w:sz="4" w:space="0" w:color="365F91"/>
            </w:tcBorders>
          </w:tcPr>
          <w:p w14:paraId="303D803D" w14:textId="77777777" w:rsidR="00A10636" w:rsidRPr="00D9348B" w:rsidRDefault="00A10636" w:rsidP="00DB330E">
            <w:pPr>
              <w:pStyle w:val="TableText"/>
              <w:spacing w:before="40" w:after="40"/>
              <w:jc w:val="center"/>
              <w:rPr>
                <w:b/>
                <w:szCs w:val="16"/>
              </w:rPr>
            </w:pPr>
            <w:r w:rsidRPr="00D9348B">
              <w:rPr>
                <w:b/>
                <w:szCs w:val="16"/>
              </w:rPr>
              <w:t xml:space="preserve"> NO</w:t>
            </w:r>
          </w:p>
        </w:tc>
        <w:tc>
          <w:tcPr>
            <w:tcW w:w="1275" w:type="dxa"/>
            <w:tcBorders>
              <w:top w:val="single" w:sz="4" w:space="0" w:color="365F91"/>
              <w:bottom w:val="single" w:sz="4" w:space="0" w:color="365F91"/>
            </w:tcBorders>
          </w:tcPr>
          <w:p w14:paraId="426D6007" w14:textId="77777777" w:rsidR="00A10636" w:rsidRPr="00D9348B" w:rsidRDefault="00A10636" w:rsidP="00DB330E">
            <w:pPr>
              <w:pStyle w:val="TableText"/>
              <w:spacing w:before="40" w:after="40"/>
              <w:jc w:val="center"/>
              <w:rPr>
                <w:b/>
                <w:szCs w:val="16"/>
              </w:rPr>
            </w:pPr>
            <w:r w:rsidRPr="00D9348B">
              <w:rPr>
                <w:b/>
                <w:szCs w:val="16"/>
              </w:rPr>
              <w:t>28</w:t>
            </w:r>
          </w:p>
        </w:tc>
        <w:tc>
          <w:tcPr>
            <w:tcW w:w="1701" w:type="dxa"/>
            <w:vMerge w:val="restart"/>
            <w:tcBorders>
              <w:top w:val="single" w:sz="4" w:space="0" w:color="365F91"/>
              <w:bottom w:val="single" w:sz="4" w:space="0" w:color="365F91"/>
            </w:tcBorders>
          </w:tcPr>
          <w:p w14:paraId="7909CB66" w14:textId="77777777" w:rsidR="00A10636" w:rsidRPr="00D9348B" w:rsidRDefault="00A10636" w:rsidP="00DB330E">
            <w:pPr>
              <w:pStyle w:val="TableText"/>
              <w:spacing w:before="40" w:after="40"/>
              <w:rPr>
                <w:szCs w:val="16"/>
              </w:rPr>
            </w:pPr>
            <w:r w:rsidRPr="00D9348B">
              <w:rPr>
                <w:szCs w:val="16"/>
              </w:rPr>
              <w:t>Wakelin and Beets, unpublished</w:t>
            </w:r>
          </w:p>
        </w:tc>
      </w:tr>
      <w:tr w:rsidR="00A10636" w:rsidRPr="00D9348B" w14:paraId="7E0A1CAA" w14:textId="77777777" w:rsidTr="008F0E45">
        <w:trPr>
          <w:trHeight w:val="20"/>
        </w:trPr>
        <w:tc>
          <w:tcPr>
            <w:tcW w:w="1246" w:type="dxa"/>
            <w:vMerge/>
            <w:tcBorders>
              <w:top w:val="single" w:sz="4" w:space="0" w:color="365F91"/>
              <w:bottom w:val="single" w:sz="4" w:space="0" w:color="365F91"/>
            </w:tcBorders>
          </w:tcPr>
          <w:p w14:paraId="5F836091" w14:textId="77777777" w:rsidR="00A10636" w:rsidRPr="00D9348B" w:rsidRDefault="00A10636" w:rsidP="00DB330E">
            <w:pPr>
              <w:pStyle w:val="TableText"/>
              <w:spacing w:before="40" w:after="40"/>
              <w:rPr>
                <w:szCs w:val="16"/>
              </w:rPr>
            </w:pPr>
          </w:p>
        </w:tc>
        <w:tc>
          <w:tcPr>
            <w:tcW w:w="1731" w:type="dxa"/>
            <w:tcBorders>
              <w:top w:val="single" w:sz="4" w:space="0" w:color="365F91"/>
              <w:bottom w:val="single" w:sz="4" w:space="0" w:color="365F91"/>
            </w:tcBorders>
          </w:tcPr>
          <w:p w14:paraId="4E1C88F8" w14:textId="77777777" w:rsidR="00A10636" w:rsidRPr="00D9348B" w:rsidRDefault="00A10636" w:rsidP="00DB330E">
            <w:pPr>
              <w:pStyle w:val="TableText"/>
              <w:spacing w:before="40" w:after="40"/>
              <w:rPr>
                <w:i/>
                <w:szCs w:val="16"/>
              </w:rPr>
            </w:pPr>
            <w:r w:rsidRPr="00D9348B">
              <w:rPr>
                <w:i/>
                <w:szCs w:val="16"/>
              </w:rPr>
              <w:t>Living biomass</w:t>
            </w:r>
          </w:p>
        </w:tc>
        <w:tc>
          <w:tcPr>
            <w:tcW w:w="1276" w:type="dxa"/>
            <w:tcBorders>
              <w:top w:val="single" w:sz="4" w:space="0" w:color="365F91"/>
              <w:bottom w:val="single" w:sz="4" w:space="0" w:color="365F91"/>
            </w:tcBorders>
          </w:tcPr>
          <w:p w14:paraId="37BF7A52" w14:textId="77777777" w:rsidR="00A10636" w:rsidRPr="00D9348B" w:rsidRDefault="00A10636" w:rsidP="00DB330E">
            <w:pPr>
              <w:pStyle w:val="TableText"/>
              <w:spacing w:before="40" w:after="40"/>
              <w:jc w:val="center"/>
              <w:rPr>
                <w:szCs w:val="16"/>
              </w:rPr>
            </w:pPr>
          </w:p>
        </w:tc>
        <w:tc>
          <w:tcPr>
            <w:tcW w:w="1276" w:type="dxa"/>
            <w:tcBorders>
              <w:top w:val="single" w:sz="4" w:space="0" w:color="365F91"/>
              <w:bottom w:val="single" w:sz="4" w:space="0" w:color="365F91"/>
            </w:tcBorders>
          </w:tcPr>
          <w:p w14:paraId="47C468AA" w14:textId="77777777" w:rsidR="00A10636" w:rsidRPr="00D9348B" w:rsidRDefault="00A10636" w:rsidP="00DB330E">
            <w:pPr>
              <w:pStyle w:val="TableText"/>
              <w:spacing w:before="40" w:after="40"/>
              <w:jc w:val="center"/>
              <w:rPr>
                <w:szCs w:val="16"/>
              </w:rPr>
            </w:pPr>
          </w:p>
        </w:tc>
        <w:tc>
          <w:tcPr>
            <w:tcW w:w="1275" w:type="dxa"/>
            <w:tcBorders>
              <w:top w:val="single" w:sz="4" w:space="0" w:color="365F91"/>
              <w:bottom w:val="single" w:sz="4" w:space="0" w:color="365F91"/>
            </w:tcBorders>
          </w:tcPr>
          <w:p w14:paraId="54F02988" w14:textId="77777777" w:rsidR="00A10636" w:rsidRPr="00D9348B" w:rsidRDefault="00A10636" w:rsidP="00DB330E">
            <w:pPr>
              <w:pStyle w:val="TableText"/>
              <w:spacing w:before="40" w:after="40"/>
              <w:jc w:val="center"/>
              <w:rPr>
                <w:szCs w:val="16"/>
              </w:rPr>
            </w:pPr>
          </w:p>
        </w:tc>
        <w:tc>
          <w:tcPr>
            <w:tcW w:w="1701" w:type="dxa"/>
            <w:vMerge/>
            <w:tcBorders>
              <w:top w:val="single" w:sz="4" w:space="0" w:color="365F91"/>
              <w:bottom w:val="single" w:sz="4" w:space="0" w:color="365F91"/>
            </w:tcBorders>
          </w:tcPr>
          <w:p w14:paraId="1C763634" w14:textId="77777777" w:rsidR="00A10636" w:rsidRPr="00D9348B" w:rsidRDefault="00A10636" w:rsidP="00DB330E">
            <w:pPr>
              <w:pStyle w:val="TableText"/>
              <w:spacing w:before="40" w:after="40"/>
              <w:rPr>
                <w:szCs w:val="16"/>
              </w:rPr>
            </w:pPr>
          </w:p>
        </w:tc>
      </w:tr>
      <w:tr w:rsidR="00A10636" w:rsidRPr="00D9348B" w14:paraId="50295D07" w14:textId="77777777" w:rsidTr="008F0E45">
        <w:trPr>
          <w:trHeight w:val="20"/>
        </w:trPr>
        <w:tc>
          <w:tcPr>
            <w:tcW w:w="1246" w:type="dxa"/>
            <w:vMerge/>
            <w:tcBorders>
              <w:bottom w:val="single" w:sz="4" w:space="0" w:color="365F91"/>
            </w:tcBorders>
          </w:tcPr>
          <w:p w14:paraId="64FA934D" w14:textId="77777777" w:rsidR="00A10636" w:rsidRPr="00D9348B" w:rsidRDefault="00A10636" w:rsidP="00DB330E">
            <w:pPr>
              <w:pStyle w:val="TableText"/>
              <w:spacing w:before="40" w:after="40"/>
              <w:rPr>
                <w:szCs w:val="16"/>
              </w:rPr>
            </w:pPr>
          </w:p>
        </w:tc>
        <w:tc>
          <w:tcPr>
            <w:tcW w:w="1731" w:type="dxa"/>
            <w:tcBorders>
              <w:top w:val="single" w:sz="4" w:space="0" w:color="365F91"/>
              <w:bottom w:val="single" w:sz="4" w:space="0" w:color="365F91"/>
            </w:tcBorders>
          </w:tcPr>
          <w:p w14:paraId="7BF1E063" w14:textId="77777777" w:rsidR="00A10636" w:rsidRPr="00D9348B" w:rsidRDefault="00A10636" w:rsidP="00DB330E">
            <w:pPr>
              <w:pStyle w:val="TableText"/>
              <w:spacing w:before="40" w:after="40"/>
              <w:rPr>
                <w:szCs w:val="16"/>
              </w:rPr>
            </w:pPr>
            <w:r w:rsidRPr="00D9348B">
              <w:rPr>
                <w:szCs w:val="16"/>
              </w:rPr>
              <w:tab/>
              <w:t>AGB</w:t>
            </w:r>
          </w:p>
        </w:tc>
        <w:tc>
          <w:tcPr>
            <w:tcW w:w="1276" w:type="dxa"/>
            <w:tcBorders>
              <w:top w:val="single" w:sz="4" w:space="0" w:color="365F91"/>
              <w:bottom w:val="single" w:sz="4" w:space="0" w:color="365F91"/>
            </w:tcBorders>
          </w:tcPr>
          <w:p w14:paraId="093A39FE" w14:textId="77777777" w:rsidR="00A10636" w:rsidRPr="00D9348B" w:rsidRDefault="00A10636" w:rsidP="00DB330E">
            <w:pPr>
              <w:pStyle w:val="TableText"/>
              <w:spacing w:before="40" w:after="40"/>
              <w:jc w:val="center"/>
              <w:rPr>
                <w:szCs w:val="16"/>
              </w:rPr>
            </w:pPr>
            <w:r w:rsidRPr="00D9348B">
              <w:rPr>
                <w:szCs w:val="16"/>
              </w:rPr>
              <w:t>45.18</w:t>
            </w:r>
          </w:p>
        </w:tc>
        <w:tc>
          <w:tcPr>
            <w:tcW w:w="1276" w:type="dxa"/>
            <w:tcBorders>
              <w:top w:val="single" w:sz="4" w:space="0" w:color="365F91"/>
              <w:bottom w:val="single" w:sz="4" w:space="0" w:color="365F91"/>
            </w:tcBorders>
          </w:tcPr>
          <w:p w14:paraId="19CF7ADA" w14:textId="77777777" w:rsidR="00A10636" w:rsidRPr="00D9348B" w:rsidRDefault="00A10636" w:rsidP="00DB330E">
            <w:pPr>
              <w:pStyle w:val="TableText"/>
              <w:spacing w:before="40" w:after="40"/>
              <w:jc w:val="center"/>
              <w:rPr>
                <w:szCs w:val="16"/>
              </w:rPr>
            </w:pPr>
            <w:r w:rsidRPr="00D9348B">
              <w:rPr>
                <w:szCs w:val="16"/>
              </w:rPr>
              <w:t>NO</w:t>
            </w:r>
          </w:p>
        </w:tc>
        <w:tc>
          <w:tcPr>
            <w:tcW w:w="1275" w:type="dxa"/>
            <w:tcBorders>
              <w:top w:val="single" w:sz="4" w:space="0" w:color="365F91"/>
              <w:bottom w:val="single" w:sz="4" w:space="0" w:color="365F91"/>
            </w:tcBorders>
          </w:tcPr>
          <w:p w14:paraId="47A8ABCD" w14:textId="77777777" w:rsidR="00A10636" w:rsidRPr="00D9348B" w:rsidRDefault="00A10636" w:rsidP="00DB330E">
            <w:pPr>
              <w:pStyle w:val="TableText"/>
              <w:spacing w:before="40" w:after="40"/>
              <w:jc w:val="center"/>
              <w:rPr>
                <w:szCs w:val="16"/>
              </w:rPr>
            </w:pPr>
            <w:r w:rsidRPr="00D9348B">
              <w:rPr>
                <w:szCs w:val="16"/>
              </w:rPr>
              <w:t>28</w:t>
            </w:r>
          </w:p>
        </w:tc>
        <w:tc>
          <w:tcPr>
            <w:tcW w:w="1701" w:type="dxa"/>
            <w:vMerge/>
            <w:tcBorders>
              <w:bottom w:val="single" w:sz="4" w:space="0" w:color="365F91"/>
            </w:tcBorders>
          </w:tcPr>
          <w:p w14:paraId="2CD3B090" w14:textId="77777777" w:rsidR="00A10636" w:rsidRPr="00D9348B" w:rsidRDefault="00A10636" w:rsidP="00DB330E">
            <w:pPr>
              <w:pStyle w:val="TableText"/>
              <w:spacing w:before="40" w:after="40"/>
              <w:rPr>
                <w:szCs w:val="16"/>
              </w:rPr>
            </w:pPr>
          </w:p>
        </w:tc>
      </w:tr>
      <w:tr w:rsidR="00A10636" w:rsidRPr="00D9348B" w14:paraId="1DF7CDC3" w14:textId="77777777" w:rsidTr="008F0E45">
        <w:trPr>
          <w:trHeight w:val="20"/>
        </w:trPr>
        <w:tc>
          <w:tcPr>
            <w:tcW w:w="1246" w:type="dxa"/>
            <w:vMerge/>
            <w:tcBorders>
              <w:bottom w:val="single" w:sz="4" w:space="0" w:color="365F91"/>
            </w:tcBorders>
          </w:tcPr>
          <w:p w14:paraId="5DE2B1C7" w14:textId="77777777" w:rsidR="00A10636" w:rsidRPr="00D9348B" w:rsidRDefault="00A10636" w:rsidP="00DB330E">
            <w:pPr>
              <w:pStyle w:val="TableText"/>
              <w:spacing w:before="40" w:after="40"/>
              <w:rPr>
                <w:szCs w:val="16"/>
              </w:rPr>
            </w:pPr>
          </w:p>
        </w:tc>
        <w:tc>
          <w:tcPr>
            <w:tcW w:w="1731" w:type="dxa"/>
            <w:tcBorders>
              <w:top w:val="single" w:sz="4" w:space="0" w:color="365F91"/>
              <w:bottom w:val="single" w:sz="4" w:space="0" w:color="365F91"/>
            </w:tcBorders>
          </w:tcPr>
          <w:p w14:paraId="5CCB1022" w14:textId="77777777" w:rsidR="00A10636" w:rsidRPr="00D9348B" w:rsidRDefault="00A10636" w:rsidP="00DB330E">
            <w:pPr>
              <w:pStyle w:val="TableText"/>
              <w:spacing w:before="40" w:after="40"/>
              <w:rPr>
                <w:szCs w:val="16"/>
              </w:rPr>
            </w:pPr>
            <w:r w:rsidRPr="00D9348B">
              <w:rPr>
                <w:szCs w:val="16"/>
              </w:rPr>
              <w:tab/>
              <w:t>BGB</w:t>
            </w:r>
          </w:p>
        </w:tc>
        <w:tc>
          <w:tcPr>
            <w:tcW w:w="1276" w:type="dxa"/>
            <w:tcBorders>
              <w:top w:val="single" w:sz="4" w:space="0" w:color="365F91"/>
              <w:bottom w:val="single" w:sz="4" w:space="0" w:color="365F91"/>
            </w:tcBorders>
          </w:tcPr>
          <w:p w14:paraId="7536D751" w14:textId="77777777" w:rsidR="00A10636" w:rsidRPr="00D9348B" w:rsidRDefault="00A10636" w:rsidP="00DB330E">
            <w:pPr>
              <w:pStyle w:val="TableText"/>
              <w:spacing w:before="40" w:after="40"/>
              <w:jc w:val="center"/>
              <w:rPr>
                <w:szCs w:val="16"/>
              </w:rPr>
            </w:pPr>
            <w:r w:rsidRPr="00D9348B">
              <w:rPr>
                <w:szCs w:val="16"/>
              </w:rPr>
              <w:t>11.71</w:t>
            </w:r>
          </w:p>
        </w:tc>
        <w:tc>
          <w:tcPr>
            <w:tcW w:w="1276" w:type="dxa"/>
            <w:tcBorders>
              <w:top w:val="single" w:sz="4" w:space="0" w:color="365F91"/>
              <w:bottom w:val="single" w:sz="4" w:space="0" w:color="365F91"/>
            </w:tcBorders>
          </w:tcPr>
          <w:p w14:paraId="53EF3F00" w14:textId="77777777" w:rsidR="00A10636" w:rsidRPr="00D9348B" w:rsidRDefault="00A10636" w:rsidP="00DB330E">
            <w:pPr>
              <w:pStyle w:val="TableText"/>
              <w:spacing w:before="40" w:after="40"/>
              <w:jc w:val="center"/>
              <w:rPr>
                <w:szCs w:val="16"/>
              </w:rPr>
            </w:pPr>
            <w:r w:rsidRPr="00D9348B">
              <w:rPr>
                <w:szCs w:val="16"/>
              </w:rPr>
              <w:t>NO</w:t>
            </w:r>
          </w:p>
        </w:tc>
        <w:tc>
          <w:tcPr>
            <w:tcW w:w="1275" w:type="dxa"/>
            <w:tcBorders>
              <w:top w:val="single" w:sz="4" w:space="0" w:color="365F91"/>
              <w:bottom w:val="single" w:sz="4" w:space="0" w:color="365F91"/>
            </w:tcBorders>
          </w:tcPr>
          <w:p w14:paraId="1C50D784" w14:textId="77777777" w:rsidR="00A10636" w:rsidRPr="00D9348B" w:rsidRDefault="00A10636" w:rsidP="00DB330E">
            <w:pPr>
              <w:pStyle w:val="TableText"/>
              <w:spacing w:before="40" w:after="40"/>
              <w:jc w:val="center"/>
              <w:rPr>
                <w:szCs w:val="16"/>
              </w:rPr>
            </w:pPr>
            <w:r w:rsidRPr="00D9348B">
              <w:rPr>
                <w:szCs w:val="16"/>
              </w:rPr>
              <w:t>28</w:t>
            </w:r>
          </w:p>
        </w:tc>
        <w:tc>
          <w:tcPr>
            <w:tcW w:w="1701" w:type="dxa"/>
            <w:vMerge/>
            <w:tcBorders>
              <w:bottom w:val="single" w:sz="4" w:space="0" w:color="365F91"/>
            </w:tcBorders>
          </w:tcPr>
          <w:p w14:paraId="6468A7BC" w14:textId="77777777" w:rsidR="00A10636" w:rsidRPr="00D9348B" w:rsidRDefault="00A10636" w:rsidP="00DB330E">
            <w:pPr>
              <w:pStyle w:val="TableText"/>
              <w:spacing w:before="40" w:after="40"/>
              <w:rPr>
                <w:szCs w:val="16"/>
              </w:rPr>
            </w:pPr>
          </w:p>
        </w:tc>
      </w:tr>
      <w:tr w:rsidR="00A10636" w:rsidRPr="00D9348B" w14:paraId="5B15F4CB" w14:textId="77777777" w:rsidTr="008F0E45">
        <w:trPr>
          <w:trHeight w:val="20"/>
        </w:trPr>
        <w:tc>
          <w:tcPr>
            <w:tcW w:w="1246" w:type="dxa"/>
            <w:vMerge/>
            <w:tcBorders>
              <w:bottom w:val="single" w:sz="4" w:space="0" w:color="365F91"/>
            </w:tcBorders>
          </w:tcPr>
          <w:p w14:paraId="469D6BFC" w14:textId="77777777" w:rsidR="00A10636" w:rsidRPr="00D9348B" w:rsidRDefault="00A10636" w:rsidP="00DB330E">
            <w:pPr>
              <w:pStyle w:val="TableText"/>
              <w:spacing w:before="40" w:after="40"/>
              <w:rPr>
                <w:szCs w:val="16"/>
              </w:rPr>
            </w:pPr>
          </w:p>
        </w:tc>
        <w:tc>
          <w:tcPr>
            <w:tcW w:w="1731" w:type="dxa"/>
            <w:tcBorders>
              <w:top w:val="single" w:sz="4" w:space="0" w:color="365F91"/>
              <w:bottom w:val="single" w:sz="4" w:space="0" w:color="365F91"/>
            </w:tcBorders>
          </w:tcPr>
          <w:p w14:paraId="20447A97" w14:textId="77777777" w:rsidR="00A10636" w:rsidRPr="00D9348B" w:rsidRDefault="00A10636" w:rsidP="00DB330E">
            <w:pPr>
              <w:pStyle w:val="TableText"/>
              <w:spacing w:before="40" w:after="40"/>
              <w:rPr>
                <w:i/>
                <w:szCs w:val="16"/>
              </w:rPr>
            </w:pPr>
            <w:r w:rsidRPr="00D9348B">
              <w:rPr>
                <w:i/>
                <w:szCs w:val="16"/>
              </w:rPr>
              <w:t>Dead organic matter</w:t>
            </w:r>
          </w:p>
        </w:tc>
        <w:tc>
          <w:tcPr>
            <w:tcW w:w="1276" w:type="dxa"/>
            <w:tcBorders>
              <w:top w:val="single" w:sz="4" w:space="0" w:color="365F91"/>
              <w:bottom w:val="single" w:sz="4" w:space="0" w:color="365F91"/>
            </w:tcBorders>
          </w:tcPr>
          <w:p w14:paraId="7E1FB6BD" w14:textId="77777777" w:rsidR="00A10636" w:rsidRPr="00D9348B" w:rsidRDefault="00A10636" w:rsidP="00DB330E">
            <w:pPr>
              <w:pStyle w:val="TableText"/>
              <w:spacing w:before="40" w:after="40"/>
              <w:jc w:val="center"/>
              <w:rPr>
                <w:szCs w:val="16"/>
              </w:rPr>
            </w:pPr>
          </w:p>
        </w:tc>
        <w:tc>
          <w:tcPr>
            <w:tcW w:w="1276" w:type="dxa"/>
            <w:tcBorders>
              <w:top w:val="single" w:sz="4" w:space="0" w:color="365F91"/>
              <w:bottom w:val="single" w:sz="4" w:space="0" w:color="365F91"/>
            </w:tcBorders>
          </w:tcPr>
          <w:p w14:paraId="21B2603B" w14:textId="77777777" w:rsidR="00A10636" w:rsidRPr="00D9348B" w:rsidRDefault="00A10636" w:rsidP="00DB330E">
            <w:pPr>
              <w:pStyle w:val="TableText"/>
              <w:spacing w:before="40" w:after="40"/>
              <w:jc w:val="center"/>
              <w:rPr>
                <w:szCs w:val="16"/>
              </w:rPr>
            </w:pPr>
          </w:p>
        </w:tc>
        <w:tc>
          <w:tcPr>
            <w:tcW w:w="1275" w:type="dxa"/>
            <w:tcBorders>
              <w:top w:val="single" w:sz="4" w:space="0" w:color="365F91"/>
              <w:bottom w:val="single" w:sz="4" w:space="0" w:color="365F91"/>
            </w:tcBorders>
          </w:tcPr>
          <w:p w14:paraId="53227CBE" w14:textId="77777777" w:rsidR="00A10636" w:rsidRPr="00D9348B" w:rsidRDefault="00A10636" w:rsidP="00DB330E">
            <w:pPr>
              <w:pStyle w:val="TableText"/>
              <w:spacing w:before="40" w:after="40"/>
              <w:jc w:val="center"/>
              <w:rPr>
                <w:szCs w:val="16"/>
              </w:rPr>
            </w:pPr>
          </w:p>
        </w:tc>
        <w:tc>
          <w:tcPr>
            <w:tcW w:w="1701" w:type="dxa"/>
            <w:vMerge/>
            <w:tcBorders>
              <w:bottom w:val="single" w:sz="4" w:space="0" w:color="365F91"/>
            </w:tcBorders>
          </w:tcPr>
          <w:p w14:paraId="6D185F89" w14:textId="77777777" w:rsidR="00A10636" w:rsidRPr="00D9348B" w:rsidRDefault="00A10636" w:rsidP="00DB330E">
            <w:pPr>
              <w:pStyle w:val="TableText"/>
              <w:spacing w:before="40" w:after="40"/>
              <w:rPr>
                <w:szCs w:val="16"/>
              </w:rPr>
            </w:pPr>
          </w:p>
        </w:tc>
      </w:tr>
      <w:tr w:rsidR="00A10636" w:rsidRPr="00D9348B" w14:paraId="3BD8687C" w14:textId="77777777" w:rsidTr="008F0E45">
        <w:trPr>
          <w:trHeight w:val="20"/>
        </w:trPr>
        <w:tc>
          <w:tcPr>
            <w:tcW w:w="1246" w:type="dxa"/>
            <w:vMerge/>
            <w:tcBorders>
              <w:bottom w:val="single" w:sz="4" w:space="0" w:color="365F91"/>
            </w:tcBorders>
          </w:tcPr>
          <w:p w14:paraId="745CEA7B" w14:textId="77777777" w:rsidR="00A10636" w:rsidRPr="00D9348B" w:rsidRDefault="00A10636" w:rsidP="00DB330E">
            <w:pPr>
              <w:pStyle w:val="TableText"/>
              <w:spacing w:before="40" w:after="40"/>
              <w:rPr>
                <w:szCs w:val="16"/>
              </w:rPr>
            </w:pPr>
          </w:p>
        </w:tc>
        <w:tc>
          <w:tcPr>
            <w:tcW w:w="1731" w:type="dxa"/>
            <w:tcBorders>
              <w:top w:val="single" w:sz="4" w:space="0" w:color="365F91"/>
              <w:bottom w:val="single" w:sz="4" w:space="0" w:color="365F91"/>
            </w:tcBorders>
          </w:tcPr>
          <w:p w14:paraId="2B9C6F9D" w14:textId="77777777" w:rsidR="00A10636" w:rsidRPr="00D9348B" w:rsidRDefault="00A10636" w:rsidP="00DB330E">
            <w:pPr>
              <w:pStyle w:val="TableText"/>
              <w:spacing w:before="40" w:after="40"/>
              <w:rPr>
                <w:szCs w:val="16"/>
              </w:rPr>
            </w:pPr>
            <w:r w:rsidRPr="00D9348B">
              <w:rPr>
                <w:szCs w:val="16"/>
              </w:rPr>
              <w:tab/>
              <w:t>Dead wood</w:t>
            </w:r>
          </w:p>
        </w:tc>
        <w:tc>
          <w:tcPr>
            <w:tcW w:w="1276" w:type="dxa"/>
            <w:tcBorders>
              <w:top w:val="single" w:sz="4" w:space="0" w:color="365F91"/>
              <w:bottom w:val="single" w:sz="4" w:space="0" w:color="365F91"/>
            </w:tcBorders>
          </w:tcPr>
          <w:p w14:paraId="2B72A87D" w14:textId="77777777" w:rsidR="00A10636" w:rsidRPr="00D9348B" w:rsidRDefault="00A10636" w:rsidP="00DB330E">
            <w:pPr>
              <w:pStyle w:val="TableText"/>
              <w:spacing w:before="40" w:after="40"/>
              <w:jc w:val="center"/>
              <w:rPr>
                <w:szCs w:val="16"/>
              </w:rPr>
            </w:pPr>
            <w:r w:rsidRPr="00D9348B">
              <w:rPr>
                <w:szCs w:val="16"/>
              </w:rPr>
              <w:t>3.68</w:t>
            </w:r>
          </w:p>
        </w:tc>
        <w:tc>
          <w:tcPr>
            <w:tcW w:w="1276" w:type="dxa"/>
            <w:tcBorders>
              <w:top w:val="single" w:sz="4" w:space="0" w:color="365F91"/>
              <w:bottom w:val="single" w:sz="4" w:space="0" w:color="365F91"/>
            </w:tcBorders>
          </w:tcPr>
          <w:p w14:paraId="68B67DB4" w14:textId="77777777" w:rsidR="00A10636" w:rsidRPr="00D9348B" w:rsidRDefault="00A10636" w:rsidP="00DB330E">
            <w:pPr>
              <w:pStyle w:val="TableText"/>
              <w:spacing w:before="40" w:after="40"/>
              <w:jc w:val="center"/>
              <w:rPr>
                <w:szCs w:val="16"/>
              </w:rPr>
            </w:pPr>
            <w:r w:rsidRPr="00D9348B">
              <w:rPr>
                <w:szCs w:val="16"/>
              </w:rPr>
              <w:t>NO</w:t>
            </w:r>
          </w:p>
        </w:tc>
        <w:tc>
          <w:tcPr>
            <w:tcW w:w="1275" w:type="dxa"/>
            <w:tcBorders>
              <w:top w:val="single" w:sz="4" w:space="0" w:color="365F91"/>
              <w:bottom w:val="single" w:sz="4" w:space="0" w:color="365F91"/>
            </w:tcBorders>
          </w:tcPr>
          <w:p w14:paraId="3C01485E" w14:textId="77777777" w:rsidR="00A10636" w:rsidRPr="00D9348B" w:rsidRDefault="00A10636" w:rsidP="00DB330E">
            <w:pPr>
              <w:pStyle w:val="TableText"/>
              <w:spacing w:before="40" w:after="40"/>
              <w:jc w:val="center"/>
              <w:rPr>
                <w:szCs w:val="16"/>
              </w:rPr>
            </w:pPr>
            <w:r w:rsidRPr="00D9348B">
              <w:rPr>
                <w:szCs w:val="16"/>
              </w:rPr>
              <w:t>28</w:t>
            </w:r>
          </w:p>
        </w:tc>
        <w:tc>
          <w:tcPr>
            <w:tcW w:w="1701" w:type="dxa"/>
            <w:vMerge/>
            <w:tcBorders>
              <w:bottom w:val="single" w:sz="4" w:space="0" w:color="365F91"/>
            </w:tcBorders>
          </w:tcPr>
          <w:p w14:paraId="18422028" w14:textId="77777777" w:rsidR="00A10636" w:rsidRPr="00D9348B" w:rsidRDefault="00A10636" w:rsidP="00DB330E">
            <w:pPr>
              <w:pStyle w:val="TableText"/>
              <w:spacing w:before="40" w:after="40"/>
              <w:rPr>
                <w:szCs w:val="16"/>
              </w:rPr>
            </w:pPr>
          </w:p>
        </w:tc>
      </w:tr>
      <w:tr w:rsidR="00A10636" w:rsidRPr="00D9348B" w14:paraId="57495212" w14:textId="77777777" w:rsidTr="008F0E45">
        <w:trPr>
          <w:trHeight w:val="20"/>
        </w:trPr>
        <w:tc>
          <w:tcPr>
            <w:tcW w:w="1246" w:type="dxa"/>
            <w:vMerge/>
            <w:tcBorders>
              <w:bottom w:val="single" w:sz="4" w:space="0" w:color="365F91"/>
            </w:tcBorders>
          </w:tcPr>
          <w:p w14:paraId="782D4199" w14:textId="77777777" w:rsidR="00A10636" w:rsidRPr="00D9348B" w:rsidRDefault="00A10636" w:rsidP="00DB330E">
            <w:pPr>
              <w:pStyle w:val="TableText"/>
              <w:spacing w:before="40" w:after="40"/>
              <w:rPr>
                <w:szCs w:val="16"/>
              </w:rPr>
            </w:pPr>
          </w:p>
        </w:tc>
        <w:tc>
          <w:tcPr>
            <w:tcW w:w="1731" w:type="dxa"/>
            <w:tcBorders>
              <w:top w:val="single" w:sz="4" w:space="0" w:color="365F91"/>
              <w:bottom w:val="single" w:sz="4" w:space="0" w:color="365F91"/>
            </w:tcBorders>
          </w:tcPr>
          <w:p w14:paraId="7B3A81A4" w14:textId="77777777" w:rsidR="00A10636" w:rsidRPr="00D9348B" w:rsidRDefault="00A10636" w:rsidP="00DB330E">
            <w:pPr>
              <w:pStyle w:val="TableText"/>
              <w:spacing w:before="40" w:after="40"/>
              <w:rPr>
                <w:szCs w:val="16"/>
              </w:rPr>
            </w:pPr>
            <w:r w:rsidRPr="00D9348B">
              <w:rPr>
                <w:szCs w:val="16"/>
              </w:rPr>
              <w:tab/>
              <w:t>Litter</w:t>
            </w:r>
          </w:p>
        </w:tc>
        <w:tc>
          <w:tcPr>
            <w:tcW w:w="1276" w:type="dxa"/>
            <w:tcBorders>
              <w:top w:val="single" w:sz="4" w:space="0" w:color="365F91"/>
              <w:bottom w:val="single" w:sz="4" w:space="0" w:color="365F91"/>
            </w:tcBorders>
          </w:tcPr>
          <w:p w14:paraId="0E8C628C" w14:textId="77777777" w:rsidR="00A10636" w:rsidRPr="00D9348B" w:rsidRDefault="00A10636" w:rsidP="00DB330E">
            <w:pPr>
              <w:pStyle w:val="TableText"/>
              <w:spacing w:before="40" w:after="40"/>
              <w:jc w:val="center"/>
              <w:rPr>
                <w:szCs w:val="16"/>
              </w:rPr>
            </w:pPr>
            <w:r w:rsidRPr="00D9348B">
              <w:rPr>
                <w:szCs w:val="16"/>
              </w:rPr>
              <w:t>0.00</w:t>
            </w:r>
          </w:p>
        </w:tc>
        <w:tc>
          <w:tcPr>
            <w:tcW w:w="1276" w:type="dxa"/>
            <w:tcBorders>
              <w:top w:val="single" w:sz="4" w:space="0" w:color="365F91"/>
              <w:bottom w:val="single" w:sz="4" w:space="0" w:color="365F91"/>
            </w:tcBorders>
          </w:tcPr>
          <w:p w14:paraId="3AAD52FA" w14:textId="77777777" w:rsidR="00A10636" w:rsidRPr="00D9348B" w:rsidRDefault="00A10636" w:rsidP="00DB330E">
            <w:pPr>
              <w:pStyle w:val="TableText"/>
              <w:spacing w:before="40" w:after="40"/>
              <w:jc w:val="center"/>
              <w:rPr>
                <w:szCs w:val="16"/>
              </w:rPr>
            </w:pPr>
            <w:r w:rsidRPr="00D9348B">
              <w:rPr>
                <w:szCs w:val="16"/>
              </w:rPr>
              <w:t>NO</w:t>
            </w:r>
          </w:p>
        </w:tc>
        <w:tc>
          <w:tcPr>
            <w:tcW w:w="1275" w:type="dxa"/>
            <w:tcBorders>
              <w:top w:val="single" w:sz="4" w:space="0" w:color="365F91"/>
              <w:bottom w:val="single" w:sz="4" w:space="0" w:color="365F91"/>
            </w:tcBorders>
          </w:tcPr>
          <w:p w14:paraId="26550A8D" w14:textId="77777777" w:rsidR="00A10636" w:rsidRPr="00D9348B" w:rsidRDefault="00A10636" w:rsidP="00DB330E">
            <w:pPr>
              <w:pStyle w:val="TableText"/>
              <w:spacing w:before="40" w:after="40"/>
              <w:jc w:val="center"/>
              <w:rPr>
                <w:szCs w:val="16"/>
              </w:rPr>
            </w:pPr>
            <w:r w:rsidRPr="00D9348B">
              <w:rPr>
                <w:szCs w:val="16"/>
              </w:rPr>
              <w:t>28</w:t>
            </w:r>
          </w:p>
        </w:tc>
        <w:tc>
          <w:tcPr>
            <w:tcW w:w="1701" w:type="dxa"/>
            <w:vMerge/>
            <w:tcBorders>
              <w:bottom w:val="single" w:sz="4" w:space="0" w:color="365F91"/>
            </w:tcBorders>
          </w:tcPr>
          <w:p w14:paraId="278292E0" w14:textId="77777777" w:rsidR="00A10636" w:rsidRPr="00D9348B" w:rsidRDefault="00A10636" w:rsidP="00DB330E">
            <w:pPr>
              <w:pStyle w:val="TableText"/>
              <w:spacing w:before="40" w:after="40"/>
              <w:rPr>
                <w:szCs w:val="16"/>
              </w:rPr>
            </w:pPr>
          </w:p>
        </w:tc>
      </w:tr>
    </w:tbl>
    <w:p w14:paraId="32DE6D4F" w14:textId="17AC703F" w:rsidR="00A10636" w:rsidRPr="00D9348B" w:rsidRDefault="00A10636" w:rsidP="00A10636">
      <w:pPr>
        <w:pStyle w:val="Noteundertable"/>
      </w:pPr>
      <w:r w:rsidRPr="00D9348B">
        <w:rPr>
          <w:b/>
        </w:rPr>
        <w:t>Note:</w:t>
      </w:r>
      <w:r w:rsidRPr="00D9348B">
        <w:tab/>
        <w:t>AGB = above-ground biomass; BGB = below-ground biomass; NA = not applicable; NE = not estimated; NO =</w:t>
      </w:r>
      <w:r w:rsidR="009A13B6" w:rsidRPr="00D9348B">
        <w:t> </w:t>
      </w:r>
      <w:r w:rsidRPr="00D9348B">
        <w:t>not occurring. Columns may not total due to rounding. The high producing grassland figure is based on</w:t>
      </w:r>
      <w:r w:rsidR="00AD43E8" w:rsidRPr="00D9348B">
        <w:t> </w:t>
      </w:r>
      <w:r w:rsidRPr="00D9348B">
        <w:t xml:space="preserve">the Warm temperate – wet figure from table 6.4 of the 2006 IPCC Guidelines, and the low producing grassland figure is based on the Warm temperate – dry figure from the same table (IPCC, 2006a), with a carbon fraction of 0.47 applied to both. Note that carbon stock and carbon accumulation values have been rounded to two decimal places. </w:t>
      </w:r>
    </w:p>
    <w:p w14:paraId="1A143157" w14:textId="77777777" w:rsidR="00A10636" w:rsidRPr="00D9348B" w:rsidRDefault="00A10636" w:rsidP="00865BDB">
      <w:pPr>
        <w:pStyle w:val="Heading4"/>
      </w:pPr>
      <w:bookmarkStart w:id="2156" w:name="_Toc280630289"/>
      <w:r w:rsidRPr="00D9348B">
        <w:lastRenderedPageBreak/>
        <w:t>Grassland remaining grassland</w:t>
      </w:r>
      <w:bookmarkEnd w:id="2153"/>
      <w:bookmarkEnd w:id="2154"/>
      <w:bookmarkEnd w:id="2155"/>
      <w:bookmarkEnd w:id="2156"/>
      <w:r w:rsidRPr="00D9348B">
        <w:t xml:space="preserve"> (CRF 4.C.1)</w:t>
      </w:r>
    </w:p>
    <w:p w14:paraId="13B58E94" w14:textId="77777777" w:rsidR="00A10636" w:rsidRPr="00D9348B" w:rsidRDefault="00A10636" w:rsidP="00A10636">
      <w:pPr>
        <w:pStyle w:val="BodyText"/>
        <w:spacing w:before="100" w:after="100"/>
      </w:pPr>
      <w:r w:rsidRPr="00D9348B">
        <w:t xml:space="preserve">For </w:t>
      </w:r>
      <w:r w:rsidRPr="00D9348B">
        <w:rPr>
          <w:i/>
        </w:rPr>
        <w:t>Grassland remaining grassland</w:t>
      </w:r>
      <w:r w:rsidRPr="00D9348B">
        <w:t xml:space="preserve">, the Tier 1 assumption is there is no change in carbon stocks (section 6.2.1.1, IPCC, 2006a). The rationale is that, where management practices are static, carbon stocks will be in an approximately steady state; that is, carbon gain through plant growth is roughly balanced by losses. New Zealand has reported NA (not applicable) in the CRF tables where there is no land-use change at the category level because no emissions or removals are assumed to have occurred. However, a significant area (1,187,423 hectares) is currently in a state of conversion from one grassland type to another. The carbon stock changes for these land-use changes are reported under </w:t>
      </w:r>
      <w:r w:rsidRPr="00D9348B">
        <w:rPr>
          <w:i/>
        </w:rPr>
        <w:t>Grassland remaining grassland</w:t>
      </w:r>
      <w:r w:rsidRPr="00D9348B">
        <w:t>.</w:t>
      </w:r>
    </w:p>
    <w:p w14:paraId="372B918B" w14:textId="77777777" w:rsidR="00A10636" w:rsidRPr="00D9348B" w:rsidRDefault="00A10636" w:rsidP="00A10636">
      <w:pPr>
        <w:pStyle w:val="Heading5"/>
        <w:spacing w:before="200"/>
      </w:pPr>
      <w:bookmarkStart w:id="2157" w:name="_Toc255466398"/>
      <w:bookmarkStart w:id="2158" w:name="_Toc261513205"/>
      <w:bookmarkStart w:id="2159" w:name="_Toc261513818"/>
      <w:bookmarkStart w:id="2160" w:name="_Toc280630290"/>
      <w:r w:rsidRPr="00D9348B">
        <w:t>Living biomass</w:t>
      </w:r>
      <w:bookmarkEnd w:id="2157"/>
      <w:bookmarkEnd w:id="2158"/>
      <w:bookmarkEnd w:id="2159"/>
      <w:bookmarkEnd w:id="2160"/>
    </w:p>
    <w:p w14:paraId="1D7B49CE" w14:textId="77777777" w:rsidR="00A10636" w:rsidRPr="00D9348B" w:rsidRDefault="00A10636" w:rsidP="00A10636">
      <w:pPr>
        <w:pStyle w:val="BodyText"/>
        <w:spacing w:before="100" w:after="100"/>
      </w:pPr>
      <w:r w:rsidRPr="00D9348B">
        <w:t>To calculate carbon stock change in living biomass on land converted from one category to another (e.g., low producing grassland converted to high producing grassland), it is assumed the carbon in living biomass immediately after conversion is zero; that is, the land is cleared of all vegetation. In the same year, carbon stocks in living biomass increase by the amount given in table 6.6.3 representing the annual growth in biomass for land converted to another land use. The values used for high producing and low producing grassland are Tier 1 defaults (table 6.6.3). The values given for grassland with woody biomass are country-specific factors based on the LUCAS national forest plot network (Wakelin and Beets, unpublished).</w:t>
      </w:r>
    </w:p>
    <w:p w14:paraId="1DCB222E" w14:textId="77777777" w:rsidR="00A10636" w:rsidRPr="00D9348B" w:rsidRDefault="00A10636" w:rsidP="00A10636">
      <w:pPr>
        <w:pStyle w:val="Heading5"/>
        <w:spacing w:before="200"/>
      </w:pPr>
      <w:bookmarkStart w:id="2161" w:name="_Toc255466399"/>
      <w:bookmarkStart w:id="2162" w:name="_Toc261513206"/>
      <w:bookmarkStart w:id="2163" w:name="_Toc261513819"/>
      <w:bookmarkStart w:id="2164" w:name="_Toc280630291"/>
      <w:r w:rsidRPr="00D9348B">
        <w:t>Dead organic matter</w:t>
      </w:r>
      <w:bookmarkEnd w:id="2161"/>
      <w:bookmarkEnd w:id="2162"/>
      <w:bookmarkEnd w:id="2163"/>
      <w:bookmarkEnd w:id="2164"/>
    </w:p>
    <w:p w14:paraId="14EAF6FC" w14:textId="77777777" w:rsidR="00A10636" w:rsidRPr="00D9348B" w:rsidRDefault="00A10636" w:rsidP="00A10636">
      <w:pPr>
        <w:pStyle w:val="BodyText"/>
        <w:spacing w:before="100" w:after="100"/>
      </w:pPr>
      <w:r w:rsidRPr="00D9348B">
        <w:t xml:space="preserve">New Zealand does not report estimates of dead organic matter for high producing grassland or low producing grassland because there are no Tier 1 defaults provided in the 2006 IPCC Guidelines. There is insufficient information to develop default coefficients for estimating the dead organic matter pool for these two categories (IPCC, 2006a). The notation key NE (not estimated) is used in the CRF tables in accordance with paragraph 37(b) of Decision 24/CP.19 (UNFCCC, 2014). </w:t>
      </w:r>
    </w:p>
    <w:p w14:paraId="1511E4D6" w14:textId="77777777" w:rsidR="00A10636" w:rsidRPr="00D9348B" w:rsidRDefault="00A10636" w:rsidP="00A10636">
      <w:pPr>
        <w:pStyle w:val="BodyText"/>
        <w:spacing w:before="100" w:after="100"/>
      </w:pPr>
      <w:r w:rsidRPr="00D9348B">
        <w:t>For grassland with woody biomass, an estimate of dead organic matter is derived from the LUCAS national forest plot network (Wakelin and Beets, unpublished), and estimates of changes in dead organic matter stocks with conversion to and from this land use are reported.</w:t>
      </w:r>
    </w:p>
    <w:p w14:paraId="6A849D90" w14:textId="77777777" w:rsidR="00A10636" w:rsidRPr="00D9348B" w:rsidRDefault="00A10636" w:rsidP="00A10636">
      <w:pPr>
        <w:pStyle w:val="Heading5"/>
        <w:spacing w:before="200"/>
      </w:pPr>
      <w:bookmarkStart w:id="2165" w:name="_Toc255466400"/>
      <w:bookmarkStart w:id="2166" w:name="_Toc261513207"/>
      <w:bookmarkStart w:id="2167" w:name="_Toc261513820"/>
      <w:bookmarkStart w:id="2168" w:name="_Toc280630292"/>
      <w:r w:rsidRPr="00D9348B">
        <w:t>Soil carbon</w:t>
      </w:r>
      <w:bookmarkEnd w:id="2165"/>
      <w:bookmarkEnd w:id="2166"/>
      <w:bookmarkEnd w:id="2167"/>
      <w:bookmarkEnd w:id="2168"/>
    </w:p>
    <w:p w14:paraId="7C9D8383" w14:textId="77777777" w:rsidR="00A10636" w:rsidRPr="00D9348B" w:rsidRDefault="00A10636" w:rsidP="00A10636">
      <w:pPr>
        <w:pStyle w:val="BodyText"/>
        <w:spacing w:before="100" w:after="100"/>
      </w:pPr>
      <w:bookmarkStart w:id="2169" w:name="_Toc255466401"/>
      <w:bookmarkStart w:id="2170" w:name="_Toc261513208"/>
      <w:bookmarkStart w:id="2171" w:name="_Toc261513821"/>
      <w:r w:rsidRPr="00D9348B">
        <w:t xml:space="preserve">SOC stocks in </w:t>
      </w:r>
      <w:r w:rsidRPr="00D9348B">
        <w:rPr>
          <w:i/>
        </w:rPr>
        <w:t>Grassland remaining grassland</w:t>
      </w:r>
      <w:r w:rsidRPr="00D9348B">
        <w:t xml:space="preserve"> are estimated using a Tier 2 method for mineral soils (see table 6.6.4) and a Tier 1 method for organic soils (see section 6.3). The IPCC default emission factors for organic soils under </w:t>
      </w:r>
      <w:r w:rsidRPr="00D9348B">
        <w:rPr>
          <w:i/>
        </w:rPr>
        <w:t>Grassland</w:t>
      </w:r>
      <w:r w:rsidRPr="00D9348B">
        <w:t xml:space="preserve"> are 0.25 tonnes and 2.5 tonnes C ha</w:t>
      </w:r>
      <w:r w:rsidRPr="00D9348B">
        <w:rPr>
          <w:vertAlign w:val="superscript"/>
        </w:rPr>
        <w:t>–1</w:t>
      </w:r>
      <w:r w:rsidRPr="00D9348B">
        <w:t xml:space="preserve"> per annum for cold temperate and warm temperate regimes respectively (IPCC, 2006a). </w:t>
      </w:r>
    </w:p>
    <w:p w14:paraId="41CB2F80" w14:textId="77777777" w:rsidR="00A10636" w:rsidRPr="00D9348B" w:rsidRDefault="00A10636" w:rsidP="00A10636">
      <w:pPr>
        <w:pStyle w:val="Table"/>
      </w:pPr>
      <w:bookmarkStart w:id="2172" w:name="_Toc280630469"/>
      <w:bookmarkStart w:id="2173" w:name="_Toc310423426"/>
      <w:bookmarkStart w:id="2174" w:name="_Toc318362719"/>
      <w:bookmarkStart w:id="2175" w:name="_Toc342470781"/>
      <w:bookmarkStart w:id="2176" w:name="_Toc352505021"/>
      <w:bookmarkStart w:id="2177" w:name="_Toc378853310"/>
      <w:bookmarkStart w:id="2178" w:name="_Toc391024108"/>
      <w:bookmarkStart w:id="2179" w:name="_Toc410028851"/>
      <w:bookmarkStart w:id="2180" w:name="_Toc414531479"/>
      <w:bookmarkStart w:id="2181" w:name="_Toc443645392"/>
      <w:bookmarkStart w:id="2182" w:name="_Toc474914611"/>
      <w:bookmarkStart w:id="2183" w:name="_Toc481751575"/>
      <w:bookmarkStart w:id="2184" w:name="_Toc522010632"/>
      <w:bookmarkStart w:id="2185" w:name="_Toc5269537"/>
      <w:bookmarkStart w:id="2186" w:name="_Toc33529411"/>
      <w:bookmarkStart w:id="2187" w:name="_Toc36224617"/>
      <w:r w:rsidRPr="00D9348B">
        <w:t>Table 6.6.4</w:t>
      </w:r>
      <w:r w:rsidRPr="00D9348B">
        <w:tab/>
        <w:t>New Zealand’s soil carbon stock values by Grassland type</w:t>
      </w:r>
      <w:bookmarkEnd w:id="2172"/>
      <w:bookmarkEnd w:id="2173"/>
      <w:bookmarkEnd w:id="2174"/>
      <w:bookmarkEnd w:id="2175"/>
      <w:bookmarkEnd w:id="2176"/>
      <w:bookmarkEnd w:id="2177"/>
      <w:bookmarkEnd w:id="2178"/>
      <w:bookmarkEnd w:id="2179"/>
      <w:bookmarkEnd w:id="2180"/>
      <w:r w:rsidRPr="00D9348B">
        <w:t>: from table 6.3.2</w:t>
      </w:r>
      <w:bookmarkEnd w:id="2181"/>
      <w:bookmarkEnd w:id="2182"/>
      <w:bookmarkEnd w:id="2183"/>
      <w:bookmarkEnd w:id="2184"/>
      <w:bookmarkEnd w:id="2185"/>
      <w:bookmarkEnd w:id="2186"/>
      <w:bookmarkEnd w:id="2187"/>
    </w:p>
    <w:tbl>
      <w:tblPr>
        <w:tblW w:w="8505" w:type="dxa"/>
        <w:tblInd w:w="108" w:type="dxa"/>
        <w:tblBorders>
          <w:top w:val="single" w:sz="4" w:space="0" w:color="365F91"/>
          <w:bottom w:val="single" w:sz="4" w:space="0" w:color="365F91"/>
          <w:insideH w:val="single" w:sz="4" w:space="0" w:color="365F91"/>
        </w:tblBorders>
        <w:tblLayout w:type="fixed"/>
        <w:tblLook w:val="0000" w:firstRow="0" w:lastRow="0" w:firstColumn="0" w:lastColumn="0" w:noHBand="0" w:noVBand="0"/>
      </w:tblPr>
      <w:tblGrid>
        <w:gridCol w:w="4110"/>
        <w:gridCol w:w="4395"/>
      </w:tblGrid>
      <w:tr w:rsidR="00A10636" w:rsidRPr="00D9348B" w14:paraId="0C248051" w14:textId="77777777" w:rsidTr="00C23261">
        <w:tc>
          <w:tcPr>
            <w:tcW w:w="2977" w:type="dxa"/>
            <w:shd w:val="clear" w:color="auto" w:fill="365F91"/>
          </w:tcPr>
          <w:p w14:paraId="2AEA2588" w14:textId="77777777" w:rsidR="00A10636" w:rsidRPr="00D9348B" w:rsidRDefault="00A10636" w:rsidP="00DB330E">
            <w:pPr>
              <w:pStyle w:val="TableTextBold"/>
              <w:spacing w:before="50" w:after="50"/>
              <w:rPr>
                <w:noProof w:val="0"/>
                <w:color w:val="FFFFFF"/>
              </w:rPr>
            </w:pPr>
            <w:r w:rsidRPr="00D9348B">
              <w:rPr>
                <w:noProof w:val="0"/>
                <w:color w:val="FFFFFF"/>
              </w:rPr>
              <w:t>Grassland type</w:t>
            </w:r>
          </w:p>
        </w:tc>
        <w:tc>
          <w:tcPr>
            <w:tcW w:w="3183" w:type="dxa"/>
            <w:shd w:val="clear" w:color="auto" w:fill="365F91"/>
          </w:tcPr>
          <w:p w14:paraId="73AE98B0" w14:textId="77777777" w:rsidR="00A10636" w:rsidRPr="00D9348B" w:rsidRDefault="00A10636" w:rsidP="00DB330E">
            <w:pPr>
              <w:pStyle w:val="TableTextBold"/>
              <w:spacing w:before="50" w:after="50"/>
              <w:jc w:val="center"/>
              <w:rPr>
                <w:noProof w:val="0"/>
                <w:color w:val="FFFFFF"/>
              </w:rPr>
            </w:pPr>
            <w:r w:rsidRPr="00D9348B">
              <w:rPr>
                <w:noProof w:val="0"/>
                <w:color w:val="FFFFFF"/>
              </w:rPr>
              <w:t>Soil carbon stock (t C ha</w:t>
            </w:r>
            <w:r w:rsidRPr="00D9348B">
              <w:rPr>
                <w:rFonts w:ascii="Arial Bold" w:hAnsi="Arial Bold"/>
                <w:noProof w:val="0"/>
                <w:color w:val="FFFFFF"/>
                <w:vertAlign w:val="superscript"/>
              </w:rPr>
              <w:t>–1</w:t>
            </w:r>
            <w:r w:rsidRPr="00D9348B">
              <w:rPr>
                <w:noProof w:val="0"/>
                <w:color w:val="FFFFFF"/>
              </w:rPr>
              <w:t>)</w:t>
            </w:r>
          </w:p>
        </w:tc>
      </w:tr>
      <w:tr w:rsidR="00A10636" w:rsidRPr="00D9348B" w14:paraId="14E71DB8" w14:textId="77777777" w:rsidTr="00C23261">
        <w:tc>
          <w:tcPr>
            <w:tcW w:w="2977" w:type="dxa"/>
          </w:tcPr>
          <w:p w14:paraId="6F5B57F3" w14:textId="77777777" w:rsidR="00A10636" w:rsidRPr="00D9348B" w:rsidRDefault="00A10636" w:rsidP="00DB330E">
            <w:pPr>
              <w:pStyle w:val="TableText"/>
              <w:keepNext/>
              <w:spacing w:before="50" w:after="50"/>
            </w:pPr>
            <w:r w:rsidRPr="00D9348B">
              <w:t>High producing grassland</w:t>
            </w:r>
          </w:p>
        </w:tc>
        <w:tc>
          <w:tcPr>
            <w:tcW w:w="3183" w:type="dxa"/>
          </w:tcPr>
          <w:p w14:paraId="1E49EBC8" w14:textId="77777777" w:rsidR="00A10636" w:rsidRPr="00D9348B" w:rsidRDefault="00A10636" w:rsidP="00DB330E">
            <w:pPr>
              <w:pStyle w:val="TableText"/>
              <w:spacing w:before="50" w:after="50"/>
              <w:jc w:val="center"/>
            </w:pPr>
            <w:r w:rsidRPr="00D9348B">
              <w:t>105.34</w:t>
            </w:r>
          </w:p>
        </w:tc>
      </w:tr>
      <w:tr w:rsidR="00A10636" w:rsidRPr="00D9348B" w14:paraId="3656B58D" w14:textId="77777777" w:rsidTr="00C23261">
        <w:trPr>
          <w:trHeight w:val="252"/>
        </w:trPr>
        <w:tc>
          <w:tcPr>
            <w:tcW w:w="2977" w:type="dxa"/>
          </w:tcPr>
          <w:p w14:paraId="016BC8F4" w14:textId="77777777" w:rsidR="00A10636" w:rsidRPr="00D9348B" w:rsidRDefault="00A10636" w:rsidP="00DB330E">
            <w:pPr>
              <w:pStyle w:val="TableText"/>
              <w:spacing w:before="50" w:after="50"/>
            </w:pPr>
            <w:r w:rsidRPr="00D9348B">
              <w:t>Low producing grassland</w:t>
            </w:r>
          </w:p>
        </w:tc>
        <w:tc>
          <w:tcPr>
            <w:tcW w:w="3183" w:type="dxa"/>
          </w:tcPr>
          <w:p w14:paraId="1F08F975" w14:textId="77777777" w:rsidR="00A10636" w:rsidRPr="00D9348B" w:rsidRDefault="00A10636" w:rsidP="00DB330E">
            <w:pPr>
              <w:pStyle w:val="TableText"/>
              <w:spacing w:before="50" w:after="50"/>
              <w:jc w:val="center"/>
            </w:pPr>
            <w:r w:rsidRPr="00D9348B">
              <w:t>105.98</w:t>
            </w:r>
          </w:p>
        </w:tc>
      </w:tr>
      <w:tr w:rsidR="00A10636" w:rsidRPr="00D9348B" w14:paraId="2B6CD306" w14:textId="77777777" w:rsidTr="00C23261">
        <w:tc>
          <w:tcPr>
            <w:tcW w:w="2977" w:type="dxa"/>
          </w:tcPr>
          <w:p w14:paraId="377FC278" w14:textId="77777777" w:rsidR="00A10636" w:rsidRPr="00D9348B" w:rsidRDefault="00A10636" w:rsidP="00DB330E">
            <w:pPr>
              <w:pStyle w:val="TableText"/>
              <w:spacing w:before="50" w:after="50"/>
            </w:pPr>
            <w:r w:rsidRPr="00D9348B">
              <w:t>Grassland with woody biomass</w:t>
            </w:r>
          </w:p>
        </w:tc>
        <w:tc>
          <w:tcPr>
            <w:tcW w:w="3183" w:type="dxa"/>
          </w:tcPr>
          <w:p w14:paraId="3B544877" w14:textId="77777777" w:rsidR="00A10636" w:rsidRPr="00D9348B" w:rsidRDefault="00A10636" w:rsidP="00DB330E">
            <w:pPr>
              <w:pStyle w:val="TableText"/>
              <w:spacing w:before="50" w:after="50"/>
              <w:jc w:val="center"/>
            </w:pPr>
            <w:r w:rsidRPr="00D9348B">
              <w:t>98.23</w:t>
            </w:r>
          </w:p>
        </w:tc>
      </w:tr>
    </w:tbl>
    <w:p w14:paraId="08E86633" w14:textId="77777777" w:rsidR="00A10636" w:rsidRPr="00D9348B" w:rsidRDefault="00A10636" w:rsidP="00865BDB">
      <w:pPr>
        <w:pStyle w:val="Heading4"/>
      </w:pPr>
      <w:bookmarkStart w:id="2188" w:name="_Toc255466404"/>
      <w:bookmarkStart w:id="2189" w:name="_Toc261513211"/>
      <w:bookmarkStart w:id="2190" w:name="_Toc261513824"/>
      <w:bookmarkStart w:id="2191" w:name="_Toc280630295"/>
      <w:bookmarkEnd w:id="2169"/>
      <w:bookmarkEnd w:id="2170"/>
      <w:bookmarkEnd w:id="2171"/>
      <w:r w:rsidRPr="00D9348B">
        <w:lastRenderedPageBreak/>
        <w:t>Land converted to grassland</w:t>
      </w:r>
      <w:bookmarkEnd w:id="2188"/>
      <w:bookmarkEnd w:id="2189"/>
      <w:bookmarkEnd w:id="2190"/>
      <w:bookmarkEnd w:id="2191"/>
      <w:r w:rsidRPr="00D9348B">
        <w:t xml:space="preserve"> (CRF 4.C.2)</w:t>
      </w:r>
    </w:p>
    <w:p w14:paraId="56A55DE9" w14:textId="77777777" w:rsidR="00A10636" w:rsidRPr="00D9348B" w:rsidRDefault="00A10636" w:rsidP="00A10636">
      <w:pPr>
        <w:pStyle w:val="Heading5"/>
        <w:spacing w:before="160"/>
      </w:pPr>
      <w:bookmarkStart w:id="2192" w:name="_Toc255466405"/>
      <w:bookmarkStart w:id="2193" w:name="_Toc261513212"/>
      <w:bookmarkStart w:id="2194" w:name="_Toc261513825"/>
      <w:bookmarkStart w:id="2195" w:name="_Toc280630296"/>
      <w:r w:rsidRPr="00D9348B">
        <w:t>Living biomass</w:t>
      </w:r>
      <w:bookmarkEnd w:id="2192"/>
      <w:bookmarkEnd w:id="2193"/>
      <w:bookmarkEnd w:id="2194"/>
      <w:bookmarkEnd w:id="2195"/>
    </w:p>
    <w:p w14:paraId="21109401" w14:textId="77777777" w:rsidR="00A10636" w:rsidRPr="00D9348B" w:rsidRDefault="00A10636" w:rsidP="00AD43E8">
      <w:pPr>
        <w:pStyle w:val="BodyText"/>
        <w:spacing w:before="80"/>
      </w:pPr>
      <w:r w:rsidRPr="00D9348B">
        <w:t xml:space="preserve">New Zealand applies a Tier 1 method to calculate emissions for </w:t>
      </w:r>
      <w:r w:rsidRPr="00D9348B">
        <w:rPr>
          <w:i/>
        </w:rPr>
        <w:t>Land converted to grassland</w:t>
      </w:r>
      <w:r w:rsidRPr="00D9348B">
        <w:t xml:space="preserve">. The Tier 1 method multiplies the area of </w:t>
      </w:r>
      <w:r w:rsidRPr="00D9348B">
        <w:rPr>
          <w:i/>
        </w:rPr>
        <w:t>Land converted to grassland</w:t>
      </w:r>
      <w:r w:rsidRPr="00D9348B">
        <w:t xml:space="preserve"> annually by the carbon stock change per area for that type of conversion. </w:t>
      </w:r>
    </w:p>
    <w:p w14:paraId="140AB478" w14:textId="77777777" w:rsidR="00A10636" w:rsidRPr="00D9348B" w:rsidRDefault="00A10636" w:rsidP="00AD43E8">
      <w:pPr>
        <w:pStyle w:val="BodyText"/>
        <w:spacing w:before="100"/>
      </w:pPr>
      <w:r w:rsidRPr="00D9348B">
        <w:t>The Tier 1 method assumes carbon in living biomass immediately after conversion is zero; that is, the land is cleared of all vegetation at conversion and is instantly oxidised. The emission factors for estimating the amount of biomass that is cleared when land at steady state is converted to another land use is shown in table 6.1.3. The Tier 1 method also includes changes in carbon stocks from one year of growth from the grassland category that land was converted to in the year conversion takes place, as outlined in equation 2.9 of the 2006 IPCC Guidelines (IPCC, 2006a).</w:t>
      </w:r>
    </w:p>
    <w:p w14:paraId="79BA2BB8" w14:textId="77777777" w:rsidR="00A10636" w:rsidRPr="00D9348B" w:rsidRDefault="00A10636" w:rsidP="00AD43E8">
      <w:pPr>
        <w:pStyle w:val="Heading5"/>
        <w:spacing w:before="160"/>
      </w:pPr>
      <w:bookmarkStart w:id="2196" w:name="_Toc255466406"/>
      <w:bookmarkStart w:id="2197" w:name="_Toc261513213"/>
      <w:bookmarkStart w:id="2198" w:name="_Toc261513826"/>
      <w:bookmarkStart w:id="2199" w:name="_Toc280630297"/>
      <w:r w:rsidRPr="00D9348B">
        <w:t>Dead organic matter</w:t>
      </w:r>
      <w:bookmarkEnd w:id="2196"/>
      <w:bookmarkEnd w:id="2197"/>
      <w:bookmarkEnd w:id="2198"/>
      <w:bookmarkEnd w:id="2199"/>
    </w:p>
    <w:p w14:paraId="762C20A9" w14:textId="77777777" w:rsidR="00A10636" w:rsidRPr="00D9348B" w:rsidRDefault="00A10636" w:rsidP="00AD43E8">
      <w:pPr>
        <w:pStyle w:val="BodyText"/>
        <w:spacing w:before="80" w:after="100"/>
        <w:rPr>
          <w:spacing w:val="-2"/>
        </w:rPr>
      </w:pPr>
      <w:r w:rsidRPr="00D9348B">
        <w:rPr>
          <w:spacing w:val="-2"/>
        </w:rPr>
        <w:t xml:space="preserve">For land conversion to high and low producing grassland, New Zealand reports only losses in dead organic matter. The losses are calculated based on the carbon in dead organic matter at the site prior to conversion to </w:t>
      </w:r>
      <w:r w:rsidRPr="00D9348B">
        <w:rPr>
          <w:i/>
          <w:spacing w:val="-2"/>
        </w:rPr>
        <w:t>Grassland</w:t>
      </w:r>
      <w:r w:rsidRPr="00D9348B">
        <w:rPr>
          <w:spacing w:val="-2"/>
        </w:rPr>
        <w:t>. It is assumed that, immediately after conversion, the carbon in the dead organic matter pool is zero (all carbon in dead organic matter prior to conversion is instantly oxidised in the year of conversion). New Zealand applies the Tier 1 default method to high and low producing grassland land uses, which assumes there is no dead wood or litter accumulating in land converted to grassland (IPCC, 2006a). Therefore, where there are no dead organic matter losses associated with the previous land use, the notation key NE (not estimated) is used in the CRF tables in accordance with Decision 24/CP.19 (UNFCCC, 2014).</w:t>
      </w:r>
    </w:p>
    <w:p w14:paraId="15EDE61D" w14:textId="77777777" w:rsidR="00A10636" w:rsidRPr="00D9348B" w:rsidRDefault="00A10636" w:rsidP="00A10636">
      <w:pPr>
        <w:pStyle w:val="BodyText"/>
        <w:spacing w:before="100" w:after="100"/>
      </w:pPr>
      <w:r w:rsidRPr="00D9348B">
        <w:t>Where land is converted to grassland with woody biomass, dead organic matter accumulates to 0.65 tonnes C ha</w:t>
      </w:r>
      <w:r w:rsidRPr="00D9348B">
        <w:rPr>
          <w:vertAlign w:val="superscript"/>
        </w:rPr>
        <w:t>–1</w:t>
      </w:r>
      <w:r w:rsidRPr="00D9348B">
        <w:t xml:space="preserve"> (see table 6.6.3) over 28 years (the maturity period New Zealand has chosen for land to reach steady state).</w:t>
      </w:r>
    </w:p>
    <w:p w14:paraId="62A19D9B" w14:textId="77777777" w:rsidR="00A10636" w:rsidRPr="00D9348B" w:rsidRDefault="00A10636" w:rsidP="00AD43E8">
      <w:pPr>
        <w:pStyle w:val="Heading5"/>
        <w:spacing w:before="160"/>
      </w:pPr>
      <w:bookmarkStart w:id="2200" w:name="_Toc255466407"/>
      <w:bookmarkStart w:id="2201" w:name="_Toc261513214"/>
      <w:bookmarkStart w:id="2202" w:name="_Toc261513827"/>
      <w:bookmarkStart w:id="2203" w:name="_Toc280630298"/>
      <w:bookmarkStart w:id="2204" w:name="_Toc139253972"/>
      <w:r w:rsidRPr="00D9348B">
        <w:t>Soil organic carbon</w:t>
      </w:r>
      <w:bookmarkEnd w:id="2200"/>
      <w:bookmarkEnd w:id="2201"/>
      <w:bookmarkEnd w:id="2202"/>
      <w:bookmarkEnd w:id="2203"/>
    </w:p>
    <w:p w14:paraId="6D28308D" w14:textId="77777777" w:rsidR="00A10636" w:rsidRPr="00D9348B" w:rsidRDefault="00A10636" w:rsidP="00AD43E8">
      <w:pPr>
        <w:pStyle w:val="BodyText"/>
        <w:spacing w:before="80" w:after="100"/>
      </w:pPr>
      <w:r w:rsidRPr="00D9348B">
        <w:t xml:space="preserve">Soil carbon stocks in </w:t>
      </w:r>
      <w:r w:rsidRPr="00D9348B">
        <w:rPr>
          <w:i/>
        </w:rPr>
        <w:t>Land converted to grassland</w:t>
      </w:r>
      <w:r w:rsidRPr="00D9348B">
        <w:t xml:space="preserve"> are estimated using a Tier 2 method for mineral soils and a Tier 1 method for organic soils (see section 6.3). In the absence of data on the rate of change specific to country and land use, the IPCC default of a linear change over a 20</w:t>
      </w:r>
      <w:r w:rsidRPr="00D9348B">
        <w:noBreakHyphen/>
        <w:t xml:space="preserve">year period is used to estimate the change in SOC stocks between the original land use and the new land use. </w:t>
      </w:r>
    </w:p>
    <w:p w14:paraId="39DB8AFB" w14:textId="77777777" w:rsidR="00A10636" w:rsidRPr="00D9348B" w:rsidRDefault="00A10636" w:rsidP="00A10636">
      <w:pPr>
        <w:pStyle w:val="BodyText"/>
        <w:spacing w:before="100" w:after="100"/>
      </w:pPr>
      <w:r w:rsidRPr="00D9348B">
        <w:t xml:space="preserve">The IPCC default emission factors for organic soils under </w:t>
      </w:r>
      <w:r w:rsidRPr="00D9348B">
        <w:rPr>
          <w:i/>
        </w:rPr>
        <w:t xml:space="preserve">Grassland </w:t>
      </w:r>
      <w:r w:rsidRPr="00D9348B">
        <w:t xml:space="preserve">are also applied to </w:t>
      </w:r>
      <w:r w:rsidRPr="00D9348B">
        <w:rPr>
          <w:i/>
        </w:rPr>
        <w:t>Land converted to grassland</w:t>
      </w:r>
      <w:r w:rsidRPr="00D9348B">
        <w:t xml:space="preserve"> (IPCC, 2006a).</w:t>
      </w:r>
    </w:p>
    <w:p w14:paraId="366F9F78" w14:textId="77777777" w:rsidR="00A10636" w:rsidRPr="00D9348B" w:rsidRDefault="00A10636" w:rsidP="00AD43E8">
      <w:pPr>
        <w:pStyle w:val="Heading3"/>
        <w:spacing w:before="240"/>
      </w:pPr>
      <w:bookmarkStart w:id="2205" w:name="_Toc255466410"/>
      <w:bookmarkStart w:id="2206" w:name="_Toc261513217"/>
      <w:bookmarkStart w:id="2207" w:name="_Toc261513830"/>
      <w:bookmarkStart w:id="2208" w:name="_Toc280630300"/>
      <w:r w:rsidRPr="00D9348B">
        <w:t>6.6.3</w:t>
      </w:r>
      <w:r w:rsidRPr="00D9348B">
        <w:tab/>
        <w:t>Uncertainties and time-series consistency</w:t>
      </w:r>
      <w:bookmarkEnd w:id="2204"/>
      <w:bookmarkEnd w:id="2205"/>
      <w:bookmarkEnd w:id="2206"/>
      <w:bookmarkEnd w:id="2207"/>
      <w:bookmarkEnd w:id="2208"/>
    </w:p>
    <w:p w14:paraId="734581BA" w14:textId="77777777" w:rsidR="00A10636" w:rsidRPr="00D9348B" w:rsidRDefault="00A10636" w:rsidP="00A10636">
      <w:pPr>
        <w:pStyle w:val="BodyText"/>
        <w:spacing w:before="100" w:after="100"/>
      </w:pPr>
      <w:r w:rsidRPr="00D9348B">
        <w:t xml:space="preserve">The uncertainty in mapping </w:t>
      </w:r>
      <w:r w:rsidRPr="00D9348B">
        <w:rPr>
          <w:i/>
        </w:rPr>
        <w:t>Grassland</w:t>
      </w:r>
      <w:r w:rsidRPr="00D9348B">
        <w:t xml:space="preserve"> is ±8.0 per cent for high and low producing grassland, and ±83 per cent for grassland with woody biomass (table 6.6.5). Further details are given in section 6.2.5.</w:t>
      </w:r>
    </w:p>
    <w:p w14:paraId="4C8EB32E" w14:textId="77777777" w:rsidR="00A10636" w:rsidRPr="00D9348B" w:rsidRDefault="00A10636" w:rsidP="00A10636">
      <w:pPr>
        <w:pStyle w:val="BodyText"/>
        <w:spacing w:before="100" w:after="100"/>
      </w:pPr>
      <w:r w:rsidRPr="00D9348B">
        <w:t xml:space="preserve">New Zealand uses IPCC default values for biomass accumulation in high producing and low producing grassland. The uncertainty in these figures is given as </w:t>
      </w:r>
      <w:r w:rsidRPr="00D9348B">
        <w:sym w:font="Symbol" w:char="F0B1"/>
      </w:r>
      <w:r w:rsidRPr="00D9348B">
        <w:t>75 per cent (table 6.4, IPCC, 2006a). A New Zealand-specific value derived from the LUCAS national forest plot network is used for biomass accumulation in grassland with woody biomass. Grassland with woody biomass is a diverse land use; therefore, the IPCC default uncertainty value is used (Wakelin and Beets, unpublished).</w:t>
      </w:r>
    </w:p>
    <w:p w14:paraId="197CDA3C" w14:textId="77777777" w:rsidR="00A10636" w:rsidRPr="00D9348B" w:rsidRDefault="00A10636" w:rsidP="00A10636">
      <w:pPr>
        <w:pStyle w:val="Table"/>
      </w:pPr>
      <w:bookmarkStart w:id="2209" w:name="_Toc280630470"/>
      <w:bookmarkStart w:id="2210" w:name="_Toc310423427"/>
      <w:bookmarkStart w:id="2211" w:name="_Toc318362720"/>
      <w:bookmarkStart w:id="2212" w:name="_Toc342470782"/>
      <w:bookmarkStart w:id="2213" w:name="_Toc352505022"/>
      <w:bookmarkStart w:id="2214" w:name="_Toc378853311"/>
      <w:bookmarkStart w:id="2215" w:name="_Toc391024109"/>
      <w:bookmarkStart w:id="2216" w:name="_Toc410028852"/>
      <w:bookmarkStart w:id="2217" w:name="_Toc414531480"/>
      <w:bookmarkStart w:id="2218" w:name="_Toc443645393"/>
      <w:bookmarkStart w:id="2219" w:name="_Toc474914612"/>
      <w:bookmarkStart w:id="2220" w:name="_Toc481751576"/>
      <w:bookmarkStart w:id="2221" w:name="_Toc522010633"/>
      <w:bookmarkStart w:id="2222" w:name="_Toc5269538"/>
      <w:bookmarkStart w:id="2223" w:name="_Toc33529412"/>
      <w:bookmarkStart w:id="2224" w:name="_Toc36224618"/>
      <w:r w:rsidRPr="00D9348B">
        <w:lastRenderedPageBreak/>
        <w:t>Table 6.6.5</w:t>
      </w:r>
      <w:r w:rsidRPr="00D9348B">
        <w:tab/>
        <w:t>Uncertainty in New Zealand’s 2018 estimates for the Grassland </w:t>
      </w:r>
      <w:proofErr w:type="gramStart"/>
      <w:r w:rsidRPr="00D9348B">
        <w:t>category</w:t>
      </w:r>
      <w:bookmarkEnd w:id="2209"/>
      <w:bookmarkEnd w:id="2210"/>
      <w:bookmarkEnd w:id="2211"/>
      <w:bookmarkEnd w:id="2212"/>
      <w:proofErr w:type="gramEnd"/>
      <w:r w:rsidRPr="00D9348B">
        <w:br/>
        <w:t>(including land in transition)</w:t>
      </w:r>
      <w:bookmarkStart w:id="2225" w:name="_Toc139253973"/>
      <w:bookmarkStart w:id="2226" w:name="_Toc255466411"/>
      <w:bookmarkStart w:id="2227" w:name="_Toc261513218"/>
      <w:bookmarkStart w:id="2228" w:name="_Toc261513831"/>
      <w:bookmarkStart w:id="2229" w:name="_Toc280630301"/>
      <w:bookmarkEnd w:id="2213"/>
      <w:bookmarkEnd w:id="2214"/>
      <w:bookmarkEnd w:id="2215"/>
      <w:bookmarkEnd w:id="2216"/>
      <w:bookmarkEnd w:id="2217"/>
      <w:bookmarkEnd w:id="2218"/>
      <w:bookmarkEnd w:id="2219"/>
      <w:bookmarkEnd w:id="2220"/>
      <w:bookmarkEnd w:id="2221"/>
      <w:bookmarkEnd w:id="2222"/>
      <w:bookmarkEnd w:id="2223"/>
      <w:bookmarkEnd w:id="2224"/>
    </w:p>
    <w:tbl>
      <w:tblPr>
        <w:tblW w:w="8562" w:type="dxa"/>
        <w:tblInd w:w="108" w:type="dxa"/>
        <w:tblLayout w:type="fixed"/>
        <w:tblLook w:val="04A0" w:firstRow="1" w:lastRow="0" w:firstColumn="1" w:lastColumn="0" w:noHBand="0" w:noVBand="1"/>
      </w:tblPr>
      <w:tblGrid>
        <w:gridCol w:w="2998"/>
        <w:gridCol w:w="1712"/>
        <w:gridCol w:w="1712"/>
        <w:gridCol w:w="2140"/>
      </w:tblGrid>
      <w:tr w:rsidR="00A10636" w:rsidRPr="00D9348B" w14:paraId="4D70B751" w14:textId="77777777" w:rsidTr="00AD43E8">
        <w:tc>
          <w:tcPr>
            <w:tcW w:w="2977" w:type="dxa"/>
            <w:tcBorders>
              <w:top w:val="single" w:sz="4" w:space="0" w:color="365F91"/>
            </w:tcBorders>
            <w:shd w:val="clear" w:color="auto" w:fill="365F91"/>
            <w:noWrap/>
            <w:hideMark/>
          </w:tcPr>
          <w:p w14:paraId="65CCE033" w14:textId="77777777" w:rsidR="00A10636" w:rsidRPr="00D9348B" w:rsidRDefault="00A10636" w:rsidP="00AD43E8">
            <w:pPr>
              <w:pStyle w:val="TableTextBold"/>
              <w:keepNext/>
              <w:rPr>
                <w:noProof w:val="0"/>
                <w:color w:val="FFFFFF"/>
              </w:rPr>
            </w:pPr>
          </w:p>
        </w:tc>
        <w:tc>
          <w:tcPr>
            <w:tcW w:w="5528" w:type="dxa"/>
            <w:gridSpan w:val="3"/>
            <w:tcBorders>
              <w:top w:val="single" w:sz="4" w:space="0" w:color="365F91"/>
            </w:tcBorders>
            <w:shd w:val="clear" w:color="auto" w:fill="365F91"/>
            <w:noWrap/>
            <w:hideMark/>
          </w:tcPr>
          <w:p w14:paraId="7FC1EB66" w14:textId="77777777" w:rsidR="00A10636" w:rsidRPr="00D9348B" w:rsidRDefault="00A10636" w:rsidP="00AD43E8">
            <w:pPr>
              <w:pStyle w:val="TableTextBold"/>
              <w:keepNext/>
              <w:jc w:val="center"/>
              <w:rPr>
                <w:noProof w:val="0"/>
                <w:color w:val="FFFFFF"/>
              </w:rPr>
            </w:pPr>
            <w:r w:rsidRPr="00D9348B">
              <w:rPr>
                <w:noProof w:val="0"/>
                <w:color w:val="FFFFFF"/>
              </w:rPr>
              <w:t>Uncertainty at a 95% confidence interval</w:t>
            </w:r>
          </w:p>
        </w:tc>
      </w:tr>
      <w:tr w:rsidR="00A10636" w:rsidRPr="00D9348B" w14:paraId="1DEB8E16" w14:textId="77777777" w:rsidTr="00AD43E8">
        <w:tc>
          <w:tcPr>
            <w:tcW w:w="2977" w:type="dxa"/>
            <w:tcBorders>
              <w:bottom w:val="single" w:sz="4" w:space="0" w:color="2E74B5"/>
            </w:tcBorders>
            <w:shd w:val="clear" w:color="auto" w:fill="365F91"/>
            <w:noWrap/>
            <w:vAlign w:val="bottom"/>
            <w:hideMark/>
          </w:tcPr>
          <w:p w14:paraId="783583A7" w14:textId="77777777" w:rsidR="00A10636" w:rsidRPr="00D9348B" w:rsidRDefault="00A10636" w:rsidP="00AD43E8">
            <w:pPr>
              <w:pStyle w:val="TableTextBold"/>
              <w:keepNext/>
              <w:rPr>
                <w:noProof w:val="0"/>
                <w:color w:val="FFFFFF"/>
              </w:rPr>
            </w:pPr>
            <w:r w:rsidRPr="00D9348B">
              <w:rPr>
                <w:noProof w:val="0"/>
                <w:color w:val="FFFFFF"/>
              </w:rPr>
              <w:t>Land use</w:t>
            </w:r>
          </w:p>
        </w:tc>
        <w:tc>
          <w:tcPr>
            <w:tcW w:w="1701" w:type="dxa"/>
            <w:tcBorders>
              <w:bottom w:val="single" w:sz="4" w:space="0" w:color="2E74B5"/>
            </w:tcBorders>
            <w:shd w:val="clear" w:color="auto" w:fill="365F91"/>
            <w:noWrap/>
            <w:hideMark/>
          </w:tcPr>
          <w:p w14:paraId="380886B8" w14:textId="77777777" w:rsidR="00A10636" w:rsidRPr="00D9348B" w:rsidRDefault="00A10636" w:rsidP="00AD43E8">
            <w:pPr>
              <w:pStyle w:val="TableTextBold"/>
              <w:keepNext/>
              <w:jc w:val="center"/>
              <w:rPr>
                <w:noProof w:val="0"/>
                <w:color w:val="FFFFFF"/>
              </w:rPr>
            </w:pPr>
            <w:r w:rsidRPr="00D9348B">
              <w:rPr>
                <w:noProof w:val="0"/>
                <w:color w:val="FFFFFF"/>
              </w:rPr>
              <w:t>High producing (%)</w:t>
            </w:r>
          </w:p>
        </w:tc>
        <w:tc>
          <w:tcPr>
            <w:tcW w:w="1701" w:type="dxa"/>
            <w:tcBorders>
              <w:bottom w:val="single" w:sz="4" w:space="0" w:color="2E74B5"/>
            </w:tcBorders>
            <w:shd w:val="clear" w:color="auto" w:fill="365F91"/>
            <w:noWrap/>
            <w:hideMark/>
          </w:tcPr>
          <w:p w14:paraId="3A250DCC" w14:textId="77777777" w:rsidR="00A10636" w:rsidRPr="00D9348B" w:rsidRDefault="00A10636" w:rsidP="00AD43E8">
            <w:pPr>
              <w:pStyle w:val="TableTextBold"/>
              <w:keepNext/>
              <w:jc w:val="center"/>
              <w:rPr>
                <w:noProof w:val="0"/>
                <w:color w:val="FFFFFF"/>
              </w:rPr>
            </w:pPr>
            <w:r w:rsidRPr="00D9348B">
              <w:rPr>
                <w:noProof w:val="0"/>
                <w:color w:val="FFFFFF"/>
              </w:rPr>
              <w:t>Low producing (%)</w:t>
            </w:r>
          </w:p>
        </w:tc>
        <w:tc>
          <w:tcPr>
            <w:tcW w:w="2126" w:type="dxa"/>
            <w:tcBorders>
              <w:bottom w:val="single" w:sz="4" w:space="0" w:color="2E74B5"/>
            </w:tcBorders>
            <w:shd w:val="clear" w:color="auto" w:fill="365F91"/>
            <w:noWrap/>
            <w:hideMark/>
          </w:tcPr>
          <w:p w14:paraId="3A8F137E" w14:textId="77777777" w:rsidR="00A10636" w:rsidRPr="00D9348B" w:rsidRDefault="00A10636" w:rsidP="00AD43E8">
            <w:pPr>
              <w:pStyle w:val="TableTextBold"/>
              <w:keepNext/>
              <w:jc w:val="center"/>
              <w:rPr>
                <w:noProof w:val="0"/>
                <w:color w:val="FFFFFF"/>
              </w:rPr>
            </w:pPr>
            <w:r w:rsidRPr="00D9348B">
              <w:rPr>
                <w:noProof w:val="0"/>
                <w:color w:val="FFFFFF"/>
              </w:rPr>
              <w:t>With woody biomass (%)</w:t>
            </w:r>
          </w:p>
        </w:tc>
      </w:tr>
      <w:tr w:rsidR="00A10636" w:rsidRPr="00D9348B" w14:paraId="707599E0" w14:textId="77777777" w:rsidTr="00AD43E8">
        <w:tc>
          <w:tcPr>
            <w:tcW w:w="2977" w:type="dxa"/>
            <w:tcBorders>
              <w:top w:val="single" w:sz="4" w:space="0" w:color="2E74B5"/>
              <w:bottom w:val="single" w:sz="4" w:space="0" w:color="365F91"/>
            </w:tcBorders>
            <w:noWrap/>
            <w:hideMark/>
          </w:tcPr>
          <w:p w14:paraId="70B69624" w14:textId="77777777" w:rsidR="00A10636" w:rsidRPr="00D9348B" w:rsidRDefault="00A10636" w:rsidP="00AD43E8">
            <w:pPr>
              <w:pStyle w:val="TableTextBold"/>
              <w:keepNext/>
              <w:rPr>
                <w:noProof w:val="0"/>
              </w:rPr>
            </w:pPr>
            <w:r w:rsidRPr="00D9348B">
              <w:rPr>
                <w:noProof w:val="0"/>
              </w:rPr>
              <w:t>Activity data</w:t>
            </w:r>
          </w:p>
        </w:tc>
        <w:tc>
          <w:tcPr>
            <w:tcW w:w="1701" w:type="dxa"/>
            <w:tcBorders>
              <w:top w:val="single" w:sz="4" w:space="0" w:color="2E74B5"/>
              <w:bottom w:val="single" w:sz="4" w:space="0" w:color="365F91"/>
            </w:tcBorders>
            <w:noWrap/>
            <w:hideMark/>
          </w:tcPr>
          <w:p w14:paraId="27AACD1A" w14:textId="77777777" w:rsidR="00A10636" w:rsidRPr="00D9348B" w:rsidRDefault="00A10636" w:rsidP="00AD43E8">
            <w:pPr>
              <w:pStyle w:val="TableTextBold"/>
              <w:tabs>
                <w:tab w:val="decimal" w:pos="723"/>
              </w:tabs>
              <w:jc w:val="center"/>
              <w:rPr>
                <w:noProof w:val="0"/>
              </w:rPr>
            </w:pPr>
          </w:p>
        </w:tc>
        <w:tc>
          <w:tcPr>
            <w:tcW w:w="1701" w:type="dxa"/>
            <w:tcBorders>
              <w:top w:val="single" w:sz="4" w:space="0" w:color="2E74B5"/>
              <w:bottom w:val="single" w:sz="4" w:space="0" w:color="365F91"/>
            </w:tcBorders>
            <w:noWrap/>
            <w:hideMark/>
          </w:tcPr>
          <w:p w14:paraId="5E8B392F" w14:textId="77777777" w:rsidR="00A10636" w:rsidRPr="00D9348B" w:rsidRDefault="00A10636" w:rsidP="00AD43E8">
            <w:pPr>
              <w:pStyle w:val="TableTextBold"/>
              <w:tabs>
                <w:tab w:val="decimal" w:pos="723"/>
              </w:tabs>
              <w:jc w:val="center"/>
              <w:rPr>
                <w:noProof w:val="0"/>
              </w:rPr>
            </w:pPr>
          </w:p>
        </w:tc>
        <w:tc>
          <w:tcPr>
            <w:tcW w:w="2126" w:type="dxa"/>
            <w:tcBorders>
              <w:top w:val="single" w:sz="4" w:space="0" w:color="2E74B5"/>
              <w:bottom w:val="single" w:sz="4" w:space="0" w:color="365F91"/>
            </w:tcBorders>
            <w:noWrap/>
            <w:hideMark/>
          </w:tcPr>
          <w:p w14:paraId="1E1D98A4" w14:textId="77777777" w:rsidR="00A10636" w:rsidRPr="00D9348B" w:rsidRDefault="00A10636" w:rsidP="00AD43E8">
            <w:pPr>
              <w:pStyle w:val="TableTextBold"/>
              <w:tabs>
                <w:tab w:val="decimal" w:pos="723"/>
              </w:tabs>
              <w:jc w:val="center"/>
              <w:rPr>
                <w:noProof w:val="0"/>
              </w:rPr>
            </w:pPr>
          </w:p>
        </w:tc>
      </w:tr>
      <w:tr w:rsidR="00A10636" w:rsidRPr="00D9348B" w14:paraId="6BF66D78" w14:textId="77777777" w:rsidTr="00AD43E8">
        <w:tc>
          <w:tcPr>
            <w:tcW w:w="2977" w:type="dxa"/>
            <w:tcBorders>
              <w:top w:val="single" w:sz="4" w:space="0" w:color="365F91"/>
              <w:bottom w:val="single" w:sz="4" w:space="0" w:color="365F91"/>
            </w:tcBorders>
            <w:noWrap/>
            <w:hideMark/>
          </w:tcPr>
          <w:p w14:paraId="6A9D1F75" w14:textId="77777777" w:rsidR="00A10636" w:rsidRPr="00D9348B" w:rsidRDefault="00A10636" w:rsidP="00AD43E8">
            <w:pPr>
              <w:pStyle w:val="TableText"/>
            </w:pPr>
            <w:r w:rsidRPr="00D9348B">
              <w:t>Uncertainty in land area</w:t>
            </w:r>
          </w:p>
        </w:tc>
        <w:tc>
          <w:tcPr>
            <w:tcW w:w="1701" w:type="dxa"/>
            <w:tcBorders>
              <w:top w:val="single" w:sz="4" w:space="0" w:color="365F91"/>
              <w:bottom w:val="single" w:sz="4" w:space="0" w:color="365F91"/>
            </w:tcBorders>
            <w:noWrap/>
            <w:hideMark/>
          </w:tcPr>
          <w:p w14:paraId="28CCB9BA" w14:textId="77777777" w:rsidR="00A10636" w:rsidRPr="00D9348B" w:rsidRDefault="00A10636" w:rsidP="00AD43E8">
            <w:pPr>
              <w:pStyle w:val="TableText"/>
              <w:tabs>
                <w:tab w:val="decimal" w:pos="581"/>
                <w:tab w:val="decimal" w:pos="723"/>
              </w:tabs>
              <w:jc w:val="center"/>
            </w:pPr>
            <w:r w:rsidRPr="00D9348B">
              <w:t>±8.0</w:t>
            </w:r>
          </w:p>
        </w:tc>
        <w:tc>
          <w:tcPr>
            <w:tcW w:w="1701" w:type="dxa"/>
            <w:tcBorders>
              <w:top w:val="single" w:sz="4" w:space="0" w:color="365F91"/>
              <w:bottom w:val="single" w:sz="4" w:space="0" w:color="365F91"/>
            </w:tcBorders>
            <w:noWrap/>
            <w:hideMark/>
          </w:tcPr>
          <w:p w14:paraId="50FDCF77" w14:textId="77777777" w:rsidR="00A10636" w:rsidRPr="00D9348B" w:rsidRDefault="00A10636" w:rsidP="00AD43E8">
            <w:pPr>
              <w:pStyle w:val="TableText"/>
              <w:tabs>
                <w:tab w:val="decimal" w:pos="581"/>
                <w:tab w:val="decimal" w:pos="723"/>
              </w:tabs>
              <w:jc w:val="center"/>
            </w:pPr>
            <w:r w:rsidRPr="00D9348B">
              <w:t>±8.0</w:t>
            </w:r>
          </w:p>
        </w:tc>
        <w:tc>
          <w:tcPr>
            <w:tcW w:w="2126" w:type="dxa"/>
            <w:tcBorders>
              <w:top w:val="single" w:sz="4" w:space="0" w:color="365F91"/>
              <w:bottom w:val="single" w:sz="4" w:space="0" w:color="365F91"/>
            </w:tcBorders>
            <w:noWrap/>
            <w:hideMark/>
          </w:tcPr>
          <w:p w14:paraId="340CD93B" w14:textId="77777777" w:rsidR="00A10636" w:rsidRPr="00D9348B" w:rsidRDefault="00A10636" w:rsidP="00AD43E8">
            <w:pPr>
              <w:pStyle w:val="TableText"/>
              <w:tabs>
                <w:tab w:val="decimal" w:pos="581"/>
                <w:tab w:val="decimal" w:pos="723"/>
              </w:tabs>
              <w:jc w:val="center"/>
            </w:pPr>
            <w:r w:rsidRPr="00D9348B">
              <w:t>±83.0</w:t>
            </w:r>
          </w:p>
        </w:tc>
      </w:tr>
      <w:tr w:rsidR="00A10636" w:rsidRPr="00D9348B" w14:paraId="4BD979FB" w14:textId="77777777" w:rsidTr="00AD43E8">
        <w:tc>
          <w:tcPr>
            <w:tcW w:w="2977" w:type="dxa"/>
            <w:tcBorders>
              <w:top w:val="single" w:sz="4" w:space="0" w:color="365F91"/>
              <w:bottom w:val="single" w:sz="4" w:space="0" w:color="365F91"/>
            </w:tcBorders>
            <w:noWrap/>
            <w:hideMark/>
          </w:tcPr>
          <w:p w14:paraId="67D287E8" w14:textId="77777777" w:rsidR="00A10636" w:rsidRPr="00D9348B" w:rsidRDefault="00A10636" w:rsidP="00AD43E8">
            <w:pPr>
              <w:pStyle w:val="TableTextBold"/>
              <w:rPr>
                <w:noProof w:val="0"/>
              </w:rPr>
            </w:pPr>
            <w:r w:rsidRPr="00D9348B">
              <w:rPr>
                <w:noProof w:val="0"/>
              </w:rPr>
              <w:t>Emission factors</w:t>
            </w:r>
          </w:p>
        </w:tc>
        <w:tc>
          <w:tcPr>
            <w:tcW w:w="1701" w:type="dxa"/>
            <w:tcBorders>
              <w:top w:val="single" w:sz="4" w:space="0" w:color="365F91"/>
              <w:bottom w:val="single" w:sz="4" w:space="0" w:color="365F91"/>
            </w:tcBorders>
            <w:noWrap/>
            <w:hideMark/>
          </w:tcPr>
          <w:p w14:paraId="12B4BE1A" w14:textId="77777777" w:rsidR="00A10636" w:rsidRPr="00D9348B" w:rsidRDefault="00A10636" w:rsidP="00AD43E8">
            <w:pPr>
              <w:pStyle w:val="TableTextBold"/>
              <w:tabs>
                <w:tab w:val="decimal" w:pos="581"/>
                <w:tab w:val="decimal" w:pos="723"/>
              </w:tabs>
              <w:jc w:val="center"/>
              <w:rPr>
                <w:noProof w:val="0"/>
              </w:rPr>
            </w:pPr>
          </w:p>
        </w:tc>
        <w:tc>
          <w:tcPr>
            <w:tcW w:w="1701" w:type="dxa"/>
            <w:tcBorders>
              <w:top w:val="single" w:sz="4" w:space="0" w:color="365F91"/>
              <w:bottom w:val="single" w:sz="4" w:space="0" w:color="365F91"/>
            </w:tcBorders>
            <w:noWrap/>
            <w:hideMark/>
          </w:tcPr>
          <w:p w14:paraId="3AEDB7B9" w14:textId="77777777" w:rsidR="00A10636" w:rsidRPr="00D9348B" w:rsidRDefault="00A10636" w:rsidP="00AD43E8">
            <w:pPr>
              <w:pStyle w:val="TableTextBold"/>
              <w:tabs>
                <w:tab w:val="decimal" w:pos="581"/>
                <w:tab w:val="decimal" w:pos="723"/>
              </w:tabs>
              <w:jc w:val="center"/>
              <w:rPr>
                <w:noProof w:val="0"/>
              </w:rPr>
            </w:pPr>
          </w:p>
        </w:tc>
        <w:tc>
          <w:tcPr>
            <w:tcW w:w="2126" w:type="dxa"/>
            <w:tcBorders>
              <w:top w:val="single" w:sz="4" w:space="0" w:color="365F91"/>
              <w:bottom w:val="single" w:sz="4" w:space="0" w:color="365F91"/>
            </w:tcBorders>
            <w:noWrap/>
            <w:hideMark/>
          </w:tcPr>
          <w:p w14:paraId="4CAE0A99" w14:textId="77777777" w:rsidR="00A10636" w:rsidRPr="00D9348B" w:rsidRDefault="00A10636" w:rsidP="00AD43E8">
            <w:pPr>
              <w:pStyle w:val="TableTextBold"/>
              <w:tabs>
                <w:tab w:val="decimal" w:pos="581"/>
                <w:tab w:val="decimal" w:pos="723"/>
              </w:tabs>
              <w:jc w:val="center"/>
              <w:rPr>
                <w:noProof w:val="0"/>
              </w:rPr>
            </w:pPr>
          </w:p>
        </w:tc>
      </w:tr>
      <w:tr w:rsidR="00A10636" w:rsidRPr="00D9348B" w14:paraId="2F4A743F" w14:textId="77777777" w:rsidTr="00AD43E8">
        <w:tc>
          <w:tcPr>
            <w:tcW w:w="2977" w:type="dxa"/>
            <w:tcBorders>
              <w:top w:val="single" w:sz="4" w:space="0" w:color="365F91"/>
              <w:bottom w:val="single" w:sz="4" w:space="0" w:color="365F91"/>
            </w:tcBorders>
            <w:noWrap/>
            <w:hideMark/>
          </w:tcPr>
          <w:p w14:paraId="71296953" w14:textId="77777777" w:rsidR="00A10636" w:rsidRPr="00D9348B" w:rsidRDefault="00A10636" w:rsidP="00AD43E8">
            <w:pPr>
              <w:pStyle w:val="TableText"/>
            </w:pPr>
            <w:r w:rsidRPr="00D9348B">
              <w:t>Uncertainty in biomass carbon stocks</w:t>
            </w:r>
          </w:p>
        </w:tc>
        <w:tc>
          <w:tcPr>
            <w:tcW w:w="1701" w:type="dxa"/>
            <w:tcBorders>
              <w:top w:val="single" w:sz="4" w:space="0" w:color="365F91"/>
              <w:bottom w:val="single" w:sz="4" w:space="0" w:color="365F91"/>
            </w:tcBorders>
            <w:noWrap/>
            <w:hideMark/>
          </w:tcPr>
          <w:p w14:paraId="5CBA7881" w14:textId="77777777" w:rsidR="00A10636" w:rsidRPr="00D9348B" w:rsidRDefault="00A10636" w:rsidP="00AD43E8">
            <w:pPr>
              <w:pStyle w:val="TableText"/>
              <w:tabs>
                <w:tab w:val="decimal" w:pos="581"/>
                <w:tab w:val="decimal" w:pos="723"/>
              </w:tabs>
              <w:jc w:val="center"/>
            </w:pPr>
            <w:r w:rsidRPr="00D9348B">
              <w:t>±75.0</w:t>
            </w:r>
          </w:p>
        </w:tc>
        <w:tc>
          <w:tcPr>
            <w:tcW w:w="1701" w:type="dxa"/>
            <w:tcBorders>
              <w:top w:val="single" w:sz="4" w:space="0" w:color="365F91"/>
              <w:bottom w:val="single" w:sz="4" w:space="0" w:color="365F91"/>
            </w:tcBorders>
            <w:noWrap/>
            <w:hideMark/>
          </w:tcPr>
          <w:p w14:paraId="78ADE7AB" w14:textId="77777777" w:rsidR="00A10636" w:rsidRPr="00D9348B" w:rsidRDefault="00A10636" w:rsidP="00AD43E8">
            <w:pPr>
              <w:pStyle w:val="TableText"/>
              <w:tabs>
                <w:tab w:val="decimal" w:pos="581"/>
                <w:tab w:val="decimal" w:pos="723"/>
              </w:tabs>
              <w:jc w:val="center"/>
            </w:pPr>
            <w:r w:rsidRPr="00D9348B">
              <w:t>±75.0</w:t>
            </w:r>
          </w:p>
        </w:tc>
        <w:tc>
          <w:tcPr>
            <w:tcW w:w="2126" w:type="dxa"/>
            <w:tcBorders>
              <w:top w:val="single" w:sz="4" w:space="0" w:color="365F91"/>
              <w:bottom w:val="single" w:sz="4" w:space="0" w:color="365F91"/>
            </w:tcBorders>
            <w:noWrap/>
            <w:hideMark/>
          </w:tcPr>
          <w:p w14:paraId="429D8029" w14:textId="77777777" w:rsidR="00A10636" w:rsidRPr="00D9348B" w:rsidRDefault="00A10636" w:rsidP="00AD43E8">
            <w:pPr>
              <w:pStyle w:val="TableText"/>
              <w:tabs>
                <w:tab w:val="decimal" w:pos="581"/>
                <w:tab w:val="decimal" w:pos="723"/>
              </w:tabs>
              <w:jc w:val="center"/>
            </w:pPr>
            <w:r w:rsidRPr="00D9348B">
              <w:t>±75.0</w:t>
            </w:r>
          </w:p>
        </w:tc>
      </w:tr>
      <w:tr w:rsidR="00A10636" w:rsidRPr="00D9348B" w14:paraId="2240C23A" w14:textId="77777777" w:rsidTr="00AD43E8">
        <w:tc>
          <w:tcPr>
            <w:tcW w:w="2977" w:type="dxa"/>
            <w:tcBorders>
              <w:top w:val="single" w:sz="4" w:space="0" w:color="365F91"/>
              <w:bottom w:val="single" w:sz="4" w:space="0" w:color="365F91"/>
            </w:tcBorders>
            <w:noWrap/>
            <w:hideMark/>
          </w:tcPr>
          <w:p w14:paraId="565A5613" w14:textId="77777777" w:rsidR="00A10636" w:rsidRPr="00D9348B" w:rsidRDefault="00A10636" w:rsidP="00AD43E8">
            <w:pPr>
              <w:pStyle w:val="TableText"/>
            </w:pPr>
            <w:r w:rsidRPr="00D9348B">
              <w:t>Uncertainty in soil carbon stocks</w:t>
            </w:r>
          </w:p>
        </w:tc>
        <w:tc>
          <w:tcPr>
            <w:tcW w:w="1701" w:type="dxa"/>
            <w:tcBorders>
              <w:top w:val="single" w:sz="4" w:space="0" w:color="365F91"/>
              <w:bottom w:val="single" w:sz="4" w:space="0" w:color="365F91"/>
            </w:tcBorders>
            <w:noWrap/>
            <w:hideMark/>
          </w:tcPr>
          <w:p w14:paraId="62A4F1CA" w14:textId="77777777" w:rsidR="00A10636" w:rsidRPr="00D9348B" w:rsidRDefault="00A10636" w:rsidP="00AD43E8">
            <w:pPr>
              <w:pStyle w:val="TableText"/>
              <w:tabs>
                <w:tab w:val="decimal" w:pos="581"/>
                <w:tab w:val="decimal" w:pos="723"/>
              </w:tabs>
              <w:jc w:val="center"/>
            </w:pPr>
            <w:r w:rsidRPr="00D9348B">
              <w:t>±5.8</w:t>
            </w:r>
          </w:p>
        </w:tc>
        <w:tc>
          <w:tcPr>
            <w:tcW w:w="1701" w:type="dxa"/>
            <w:tcBorders>
              <w:top w:val="single" w:sz="4" w:space="0" w:color="365F91"/>
              <w:bottom w:val="single" w:sz="4" w:space="0" w:color="365F91"/>
            </w:tcBorders>
            <w:noWrap/>
            <w:hideMark/>
          </w:tcPr>
          <w:p w14:paraId="6CDCB8E2" w14:textId="77777777" w:rsidR="00A10636" w:rsidRPr="00D9348B" w:rsidRDefault="00A10636" w:rsidP="00AD43E8">
            <w:pPr>
              <w:pStyle w:val="TableText"/>
              <w:tabs>
                <w:tab w:val="decimal" w:pos="581"/>
                <w:tab w:val="decimal" w:pos="723"/>
              </w:tabs>
              <w:jc w:val="center"/>
            </w:pPr>
            <w:r w:rsidRPr="00D9348B">
              <w:t>±7.3</w:t>
            </w:r>
          </w:p>
        </w:tc>
        <w:tc>
          <w:tcPr>
            <w:tcW w:w="2126" w:type="dxa"/>
            <w:tcBorders>
              <w:top w:val="single" w:sz="4" w:space="0" w:color="365F91"/>
              <w:bottom w:val="single" w:sz="4" w:space="0" w:color="365F91"/>
            </w:tcBorders>
            <w:noWrap/>
            <w:hideMark/>
          </w:tcPr>
          <w:p w14:paraId="6AADA285" w14:textId="77777777" w:rsidR="00A10636" w:rsidRPr="00D9348B" w:rsidRDefault="00A10636" w:rsidP="00AD43E8">
            <w:pPr>
              <w:pStyle w:val="TableText"/>
              <w:tabs>
                <w:tab w:val="decimal" w:pos="581"/>
                <w:tab w:val="decimal" w:pos="723"/>
              </w:tabs>
              <w:jc w:val="center"/>
            </w:pPr>
            <w:r w:rsidRPr="00D9348B">
              <w:t>±7.3</w:t>
            </w:r>
          </w:p>
        </w:tc>
      </w:tr>
      <w:tr w:rsidR="00A10636" w:rsidRPr="00D9348B" w14:paraId="746F4FFD" w14:textId="77777777" w:rsidTr="00AD43E8">
        <w:tc>
          <w:tcPr>
            <w:tcW w:w="2977" w:type="dxa"/>
            <w:tcBorders>
              <w:top w:val="single" w:sz="4" w:space="0" w:color="365F91"/>
              <w:bottom w:val="single" w:sz="4" w:space="0" w:color="365F91"/>
            </w:tcBorders>
            <w:noWrap/>
            <w:hideMark/>
          </w:tcPr>
          <w:p w14:paraId="2967F2DA" w14:textId="77777777" w:rsidR="00A10636" w:rsidRPr="00D9348B" w:rsidRDefault="00A10636" w:rsidP="00AD43E8">
            <w:pPr>
              <w:pStyle w:val="Tableboldblue"/>
              <w:jc w:val="right"/>
            </w:pPr>
            <w:r w:rsidRPr="00D9348B">
              <w:t>Uncertainty introduced into net emissions for LULUCF</w:t>
            </w:r>
          </w:p>
        </w:tc>
        <w:tc>
          <w:tcPr>
            <w:tcW w:w="1701" w:type="dxa"/>
            <w:tcBorders>
              <w:top w:val="single" w:sz="4" w:space="0" w:color="365F91"/>
              <w:bottom w:val="single" w:sz="4" w:space="0" w:color="365F91"/>
            </w:tcBorders>
            <w:noWrap/>
            <w:hideMark/>
          </w:tcPr>
          <w:p w14:paraId="13DC6F7D" w14:textId="77777777" w:rsidR="00A10636" w:rsidRPr="00D9348B" w:rsidRDefault="00A10636" w:rsidP="00AA75EE">
            <w:pPr>
              <w:pStyle w:val="Tableboldblue"/>
              <w:jc w:val="center"/>
            </w:pPr>
            <w:r w:rsidRPr="00D9348B">
              <w:t>±4.5</w:t>
            </w:r>
          </w:p>
        </w:tc>
        <w:tc>
          <w:tcPr>
            <w:tcW w:w="1701" w:type="dxa"/>
            <w:tcBorders>
              <w:top w:val="single" w:sz="4" w:space="0" w:color="365F91"/>
              <w:bottom w:val="single" w:sz="4" w:space="0" w:color="365F91"/>
            </w:tcBorders>
            <w:noWrap/>
            <w:hideMark/>
          </w:tcPr>
          <w:p w14:paraId="0AADBD2B" w14:textId="77777777" w:rsidR="00A10636" w:rsidRPr="00D9348B" w:rsidRDefault="00A10636" w:rsidP="00AA75EE">
            <w:pPr>
              <w:pStyle w:val="Tableboldblue"/>
              <w:jc w:val="center"/>
            </w:pPr>
            <w:r w:rsidRPr="00D9348B">
              <w:t>±0.6</w:t>
            </w:r>
          </w:p>
        </w:tc>
        <w:tc>
          <w:tcPr>
            <w:tcW w:w="2126" w:type="dxa"/>
            <w:tcBorders>
              <w:top w:val="single" w:sz="4" w:space="0" w:color="365F91"/>
              <w:bottom w:val="single" w:sz="4" w:space="0" w:color="365F91"/>
            </w:tcBorders>
            <w:noWrap/>
            <w:hideMark/>
          </w:tcPr>
          <w:p w14:paraId="463EDB49" w14:textId="77777777" w:rsidR="00A10636" w:rsidRPr="00D9348B" w:rsidRDefault="00A10636" w:rsidP="00AA75EE">
            <w:pPr>
              <w:pStyle w:val="Tableboldblue"/>
              <w:jc w:val="center"/>
            </w:pPr>
            <w:r w:rsidRPr="00D9348B">
              <w:t>±0.4</w:t>
            </w:r>
          </w:p>
        </w:tc>
      </w:tr>
    </w:tbl>
    <w:p w14:paraId="6D5CA042" w14:textId="77777777" w:rsidR="00A10636" w:rsidRPr="00D9348B" w:rsidRDefault="00A10636" w:rsidP="00A10636">
      <w:pPr>
        <w:pStyle w:val="Noteundertable"/>
      </w:pPr>
      <w:r w:rsidRPr="00D9348B">
        <w:rPr>
          <w:b/>
        </w:rPr>
        <w:t>Note:</w:t>
      </w:r>
      <w:r w:rsidRPr="00D9348B">
        <w:tab/>
        <w:t>Uncertainty in biomass carbon stocks for grassland with woody biomass is estimated using the IPCC default uncertainty value because an independent estimate of uncertainty for this category is not available.</w:t>
      </w:r>
    </w:p>
    <w:p w14:paraId="157CEDDA" w14:textId="77777777" w:rsidR="00A10636" w:rsidRPr="00D9348B" w:rsidRDefault="00A10636" w:rsidP="00AD43E8">
      <w:pPr>
        <w:pStyle w:val="Heading3"/>
        <w:spacing w:before="280"/>
      </w:pPr>
      <w:r w:rsidRPr="00D9348B">
        <w:t>6.6.4</w:t>
      </w:r>
      <w:r w:rsidRPr="00D9348B">
        <w:tab/>
        <w:t>Category-specific QA/QC and verification</w:t>
      </w:r>
      <w:bookmarkEnd w:id="2225"/>
      <w:bookmarkEnd w:id="2226"/>
      <w:bookmarkEnd w:id="2227"/>
      <w:bookmarkEnd w:id="2228"/>
      <w:bookmarkEnd w:id="2229"/>
    </w:p>
    <w:p w14:paraId="74BD90FE" w14:textId="77777777" w:rsidR="00A10636" w:rsidRPr="00D9348B" w:rsidRDefault="00A10636" w:rsidP="00A10636">
      <w:pPr>
        <w:pStyle w:val="BodyText"/>
      </w:pPr>
      <w:bookmarkStart w:id="2230" w:name="_Toc139253974"/>
      <w:r w:rsidRPr="00D9348B">
        <w:t xml:space="preserve">Carbon dioxide emissions from the </w:t>
      </w:r>
      <w:r w:rsidRPr="00D9348B">
        <w:rPr>
          <w:i/>
        </w:rPr>
        <w:t>Grassland remaining grassland</w:t>
      </w:r>
      <w:r w:rsidRPr="00D9348B">
        <w:t xml:space="preserve"> and </w:t>
      </w:r>
      <w:r w:rsidRPr="00D9348B">
        <w:rPr>
          <w:i/>
        </w:rPr>
        <w:t>Land converted to grassland</w:t>
      </w:r>
      <w:r w:rsidRPr="00D9348B">
        <w:t xml:space="preserve"> categories are key categories (level and trend). In the preparation of this inventory, the data for these emissions underwent Tier 1 quality checks.</w:t>
      </w:r>
    </w:p>
    <w:p w14:paraId="27706772" w14:textId="77777777" w:rsidR="00A10636" w:rsidRPr="00D9348B" w:rsidRDefault="00A10636" w:rsidP="00AD43E8">
      <w:pPr>
        <w:pStyle w:val="Heading3"/>
        <w:spacing w:before="280"/>
      </w:pPr>
      <w:bookmarkStart w:id="2231" w:name="_Toc255466412"/>
      <w:bookmarkStart w:id="2232" w:name="_Toc261513219"/>
      <w:bookmarkStart w:id="2233" w:name="_Toc261513832"/>
      <w:bookmarkStart w:id="2234" w:name="_Toc280630302"/>
      <w:r w:rsidRPr="00D9348B">
        <w:t>6.6.5</w:t>
      </w:r>
      <w:r w:rsidRPr="00D9348B">
        <w:tab/>
        <w:t>Category-specific recalculations</w:t>
      </w:r>
      <w:bookmarkEnd w:id="2230"/>
      <w:bookmarkEnd w:id="2231"/>
      <w:bookmarkEnd w:id="2232"/>
      <w:bookmarkEnd w:id="2233"/>
      <w:bookmarkEnd w:id="2234"/>
    </w:p>
    <w:p w14:paraId="1E3D4DF8" w14:textId="77777777" w:rsidR="00A10636" w:rsidRPr="00D9348B" w:rsidRDefault="00A10636" w:rsidP="00A10636">
      <w:pPr>
        <w:pStyle w:val="BodyText"/>
      </w:pPr>
      <w:bookmarkStart w:id="2235" w:name="_Toc139253975"/>
      <w:r w:rsidRPr="00D9348B">
        <w:t>The impact of recalculations on net CO</w:t>
      </w:r>
      <w:r w:rsidRPr="00D9348B">
        <w:rPr>
          <w:vertAlign w:val="subscript"/>
        </w:rPr>
        <w:t>2</w:t>
      </w:r>
      <w:r w:rsidRPr="00D9348B">
        <w:t xml:space="preserve">-e emission estimates for the </w:t>
      </w:r>
      <w:r w:rsidRPr="00D9348B">
        <w:rPr>
          <w:i/>
        </w:rPr>
        <w:t>Grassland</w:t>
      </w:r>
      <w:r w:rsidRPr="00D9348B">
        <w:t xml:space="preserve"> category is shown in table 6.6.6. </w:t>
      </w:r>
    </w:p>
    <w:p w14:paraId="30E4D67F" w14:textId="77777777" w:rsidR="00A10636" w:rsidRPr="00D9348B" w:rsidRDefault="00A10636" w:rsidP="00A10636">
      <w:pPr>
        <w:pStyle w:val="Table"/>
      </w:pPr>
      <w:bookmarkStart w:id="2236" w:name="_Toc310423428"/>
      <w:bookmarkStart w:id="2237" w:name="_Toc318362721"/>
      <w:bookmarkStart w:id="2238" w:name="_Toc342470783"/>
      <w:bookmarkStart w:id="2239" w:name="_Toc352505023"/>
      <w:bookmarkStart w:id="2240" w:name="_Toc378853312"/>
      <w:bookmarkStart w:id="2241" w:name="_Toc391024110"/>
      <w:bookmarkStart w:id="2242" w:name="_Toc410028853"/>
      <w:bookmarkStart w:id="2243" w:name="_Toc414531481"/>
      <w:bookmarkStart w:id="2244" w:name="_Toc443645394"/>
      <w:bookmarkStart w:id="2245" w:name="_Toc474914613"/>
      <w:bookmarkStart w:id="2246" w:name="_Toc481751577"/>
      <w:bookmarkStart w:id="2247" w:name="_Toc522010634"/>
      <w:bookmarkStart w:id="2248" w:name="_Toc5269539"/>
      <w:bookmarkStart w:id="2249" w:name="_Toc33529413"/>
      <w:bookmarkStart w:id="2250" w:name="_Toc36224619"/>
      <w:r w:rsidRPr="00D9348B">
        <w:t>Table 6.6.6</w:t>
      </w:r>
      <w:r w:rsidRPr="00D9348B">
        <w:tab/>
        <w:t>Recalculations of New Zealand’s net emissions from the Grassland category in 1990 and</w:t>
      </w:r>
      <w:bookmarkEnd w:id="2236"/>
      <w:bookmarkEnd w:id="2237"/>
      <w:bookmarkEnd w:id="2238"/>
      <w:bookmarkEnd w:id="2239"/>
      <w:bookmarkEnd w:id="2240"/>
      <w:bookmarkEnd w:id="2241"/>
      <w:r w:rsidRPr="00D9348B">
        <w:t> </w:t>
      </w:r>
      <w:bookmarkEnd w:id="2242"/>
      <w:bookmarkEnd w:id="2243"/>
      <w:bookmarkEnd w:id="2244"/>
      <w:r w:rsidRPr="00D9348B">
        <w:t>201</w:t>
      </w:r>
      <w:bookmarkEnd w:id="2245"/>
      <w:bookmarkEnd w:id="2246"/>
      <w:bookmarkEnd w:id="2247"/>
      <w:bookmarkEnd w:id="2248"/>
      <w:r w:rsidRPr="00D9348B">
        <w:t>7</w:t>
      </w:r>
      <w:bookmarkEnd w:id="2249"/>
      <w:bookmarkEnd w:id="2250"/>
    </w:p>
    <w:tbl>
      <w:tblPr>
        <w:tblW w:w="8505" w:type="dxa"/>
        <w:tblInd w:w="108" w:type="dxa"/>
        <w:tblLayout w:type="fixed"/>
        <w:tblLook w:val="04A0" w:firstRow="1" w:lastRow="0" w:firstColumn="1" w:lastColumn="0" w:noHBand="0" w:noVBand="1"/>
      </w:tblPr>
      <w:tblGrid>
        <w:gridCol w:w="1203"/>
        <w:gridCol w:w="1825"/>
        <w:gridCol w:w="1825"/>
        <w:gridCol w:w="1825"/>
        <w:gridCol w:w="1827"/>
      </w:tblGrid>
      <w:tr w:rsidR="00A10636" w:rsidRPr="00D9348B" w14:paraId="621B6286" w14:textId="77777777" w:rsidTr="005F6829">
        <w:tc>
          <w:tcPr>
            <w:tcW w:w="1203" w:type="dxa"/>
            <w:vMerge w:val="restart"/>
            <w:tcBorders>
              <w:bottom w:val="single" w:sz="4" w:space="0" w:color="365F91"/>
            </w:tcBorders>
            <w:shd w:val="clear" w:color="auto" w:fill="365F91"/>
            <w:vAlign w:val="bottom"/>
          </w:tcPr>
          <w:p w14:paraId="560590D7" w14:textId="77777777" w:rsidR="00A10636" w:rsidRPr="00D9348B" w:rsidRDefault="00A10636" w:rsidP="00AD43E8">
            <w:pPr>
              <w:pStyle w:val="TableTextBold"/>
              <w:keepNext/>
              <w:spacing w:before="50" w:after="50"/>
              <w:rPr>
                <w:noProof w:val="0"/>
                <w:color w:val="FFFFFF"/>
              </w:rPr>
            </w:pPr>
            <w:r w:rsidRPr="00D9348B">
              <w:rPr>
                <w:noProof w:val="0"/>
                <w:color w:val="FFFFFF"/>
              </w:rPr>
              <w:t>Year</w:t>
            </w:r>
          </w:p>
        </w:tc>
        <w:tc>
          <w:tcPr>
            <w:tcW w:w="3650" w:type="dxa"/>
            <w:gridSpan w:val="2"/>
            <w:tcBorders>
              <w:top w:val="single" w:sz="4" w:space="0" w:color="365F91"/>
            </w:tcBorders>
            <w:shd w:val="clear" w:color="auto" w:fill="365F91"/>
            <w:noWrap/>
            <w:vAlign w:val="bottom"/>
          </w:tcPr>
          <w:p w14:paraId="2E92659E" w14:textId="77777777" w:rsidR="00A10636" w:rsidRPr="00D9348B" w:rsidRDefault="00A10636" w:rsidP="00AD43E8">
            <w:pPr>
              <w:pStyle w:val="TableTextBold"/>
              <w:keepNext/>
              <w:spacing w:before="50" w:after="50"/>
              <w:jc w:val="center"/>
              <w:rPr>
                <w:noProof w:val="0"/>
                <w:color w:val="FFFFFF"/>
              </w:rPr>
            </w:pPr>
            <w:r w:rsidRPr="00D9348B">
              <w:rPr>
                <w:noProof w:val="0"/>
                <w:color w:val="FFFFFF"/>
              </w:rPr>
              <w:t>Net emissions (kt CO</w:t>
            </w:r>
            <w:r w:rsidRPr="00D9348B">
              <w:rPr>
                <w:noProof w:val="0"/>
                <w:color w:val="FFFFFF"/>
                <w:vertAlign w:val="subscript"/>
              </w:rPr>
              <w:t>2</w:t>
            </w:r>
            <w:r w:rsidRPr="00D9348B">
              <w:rPr>
                <w:noProof w:val="0"/>
                <w:color w:val="FFFFFF"/>
              </w:rPr>
              <w:t>-e)</w:t>
            </w:r>
          </w:p>
        </w:tc>
        <w:tc>
          <w:tcPr>
            <w:tcW w:w="3652" w:type="dxa"/>
            <w:gridSpan w:val="2"/>
            <w:tcBorders>
              <w:top w:val="single" w:sz="4" w:space="0" w:color="365F91"/>
            </w:tcBorders>
            <w:shd w:val="clear" w:color="auto" w:fill="365F91"/>
            <w:vAlign w:val="bottom"/>
          </w:tcPr>
          <w:p w14:paraId="41512C40" w14:textId="77777777" w:rsidR="00A10636" w:rsidRPr="00D9348B" w:rsidRDefault="00A10636" w:rsidP="00AD43E8">
            <w:pPr>
              <w:pStyle w:val="TableTextBold"/>
              <w:keepNext/>
              <w:spacing w:before="50" w:after="50"/>
              <w:jc w:val="center"/>
              <w:rPr>
                <w:noProof w:val="0"/>
                <w:color w:val="FFFFFF"/>
              </w:rPr>
            </w:pPr>
            <w:r w:rsidRPr="00D9348B">
              <w:rPr>
                <w:noProof w:val="0"/>
                <w:color w:val="FFFFFF"/>
              </w:rPr>
              <w:t>Change from the 2019 submission</w:t>
            </w:r>
          </w:p>
        </w:tc>
      </w:tr>
      <w:tr w:rsidR="00A10636" w:rsidRPr="00D9348B" w14:paraId="3FA889CA" w14:textId="77777777" w:rsidTr="00AD43E8">
        <w:tc>
          <w:tcPr>
            <w:tcW w:w="1203" w:type="dxa"/>
            <w:vMerge/>
            <w:tcBorders>
              <w:bottom w:val="single" w:sz="4" w:space="0" w:color="365F91"/>
            </w:tcBorders>
            <w:shd w:val="clear" w:color="auto" w:fill="365F91"/>
            <w:vAlign w:val="bottom"/>
          </w:tcPr>
          <w:p w14:paraId="4F9F8F43" w14:textId="77777777" w:rsidR="00A10636" w:rsidRPr="00D9348B" w:rsidRDefault="00A10636" w:rsidP="00AD43E8">
            <w:pPr>
              <w:pStyle w:val="TableTextBold"/>
              <w:keepNext/>
              <w:spacing w:before="50" w:after="50"/>
              <w:jc w:val="center"/>
              <w:rPr>
                <w:noProof w:val="0"/>
                <w:color w:val="FFFFFF"/>
              </w:rPr>
            </w:pPr>
          </w:p>
        </w:tc>
        <w:tc>
          <w:tcPr>
            <w:tcW w:w="1825" w:type="dxa"/>
            <w:tcBorders>
              <w:bottom w:val="single" w:sz="4" w:space="0" w:color="365F91"/>
            </w:tcBorders>
            <w:shd w:val="clear" w:color="auto" w:fill="365F91"/>
            <w:vAlign w:val="bottom"/>
          </w:tcPr>
          <w:p w14:paraId="3747DC5A" w14:textId="77777777" w:rsidR="00A10636" w:rsidRPr="00D9348B" w:rsidRDefault="00A10636" w:rsidP="00AD43E8">
            <w:pPr>
              <w:pStyle w:val="TableTextBold"/>
              <w:keepNext/>
              <w:spacing w:before="50" w:after="50"/>
              <w:jc w:val="center"/>
              <w:rPr>
                <w:noProof w:val="0"/>
                <w:color w:val="FFFFFF"/>
              </w:rPr>
            </w:pPr>
            <w:r w:rsidRPr="00D9348B">
              <w:rPr>
                <w:noProof w:val="0"/>
                <w:color w:val="FFFFFF"/>
              </w:rPr>
              <w:t>2019 submission</w:t>
            </w:r>
          </w:p>
        </w:tc>
        <w:tc>
          <w:tcPr>
            <w:tcW w:w="1825" w:type="dxa"/>
            <w:tcBorders>
              <w:bottom w:val="single" w:sz="4" w:space="0" w:color="365F91"/>
            </w:tcBorders>
            <w:shd w:val="clear" w:color="auto" w:fill="365F91"/>
            <w:vAlign w:val="bottom"/>
          </w:tcPr>
          <w:p w14:paraId="5ADD2875" w14:textId="77777777" w:rsidR="00A10636" w:rsidRPr="00D9348B" w:rsidRDefault="00A10636" w:rsidP="00AD43E8">
            <w:pPr>
              <w:pStyle w:val="TableTextBold"/>
              <w:keepNext/>
              <w:spacing w:before="50" w:after="50"/>
              <w:jc w:val="center"/>
              <w:rPr>
                <w:noProof w:val="0"/>
                <w:color w:val="FFFFFF"/>
              </w:rPr>
            </w:pPr>
            <w:r w:rsidRPr="00D9348B">
              <w:rPr>
                <w:noProof w:val="0"/>
                <w:color w:val="FFFFFF"/>
              </w:rPr>
              <w:t>2020 submission</w:t>
            </w:r>
          </w:p>
        </w:tc>
        <w:tc>
          <w:tcPr>
            <w:tcW w:w="1825" w:type="dxa"/>
            <w:tcBorders>
              <w:bottom w:val="single" w:sz="4" w:space="0" w:color="365F91"/>
            </w:tcBorders>
            <w:shd w:val="clear" w:color="auto" w:fill="365F91"/>
            <w:vAlign w:val="bottom"/>
          </w:tcPr>
          <w:p w14:paraId="71660072" w14:textId="77777777" w:rsidR="00A10636" w:rsidRPr="00D9348B" w:rsidRDefault="00A10636" w:rsidP="00AD43E8">
            <w:pPr>
              <w:pStyle w:val="TableTextBold"/>
              <w:keepNext/>
              <w:spacing w:before="50" w:after="50"/>
              <w:jc w:val="center"/>
              <w:rPr>
                <w:noProof w:val="0"/>
                <w:color w:val="FFFFFF"/>
              </w:rPr>
            </w:pPr>
            <w:r w:rsidRPr="00D9348B">
              <w:rPr>
                <w:noProof w:val="0"/>
                <w:color w:val="FFFFFF"/>
              </w:rPr>
              <w:t>(kt CO</w:t>
            </w:r>
            <w:r w:rsidRPr="00D9348B">
              <w:rPr>
                <w:noProof w:val="0"/>
                <w:color w:val="FFFFFF"/>
                <w:vertAlign w:val="subscript"/>
              </w:rPr>
              <w:t>2</w:t>
            </w:r>
            <w:r w:rsidRPr="00D9348B">
              <w:rPr>
                <w:noProof w:val="0"/>
                <w:color w:val="FFFFFF"/>
              </w:rPr>
              <w:t>-e)</w:t>
            </w:r>
          </w:p>
        </w:tc>
        <w:tc>
          <w:tcPr>
            <w:tcW w:w="1827" w:type="dxa"/>
            <w:tcBorders>
              <w:bottom w:val="single" w:sz="4" w:space="0" w:color="365F91"/>
            </w:tcBorders>
            <w:shd w:val="clear" w:color="auto" w:fill="365F91"/>
            <w:vAlign w:val="bottom"/>
          </w:tcPr>
          <w:p w14:paraId="712BFD7D" w14:textId="77777777" w:rsidR="00A10636" w:rsidRPr="00D9348B" w:rsidRDefault="00A10636" w:rsidP="00AD43E8">
            <w:pPr>
              <w:pStyle w:val="TableTextBold"/>
              <w:keepNext/>
              <w:spacing w:before="50" w:after="50"/>
              <w:jc w:val="center"/>
              <w:rPr>
                <w:noProof w:val="0"/>
                <w:color w:val="FFFFFF"/>
              </w:rPr>
            </w:pPr>
            <w:r w:rsidRPr="00D9348B">
              <w:rPr>
                <w:noProof w:val="0"/>
                <w:color w:val="FFFFFF"/>
              </w:rPr>
              <w:t>(%)</w:t>
            </w:r>
          </w:p>
        </w:tc>
      </w:tr>
      <w:tr w:rsidR="00A10636" w:rsidRPr="00D9348B" w14:paraId="2243A115" w14:textId="77777777" w:rsidTr="00AD43E8">
        <w:tc>
          <w:tcPr>
            <w:tcW w:w="1203" w:type="dxa"/>
            <w:tcBorders>
              <w:top w:val="single" w:sz="4" w:space="0" w:color="365F91"/>
              <w:bottom w:val="single" w:sz="4" w:space="0" w:color="365F91"/>
            </w:tcBorders>
          </w:tcPr>
          <w:p w14:paraId="3FBADB15" w14:textId="77777777" w:rsidR="00A10636" w:rsidRPr="00D9348B" w:rsidRDefault="00A10636" w:rsidP="00AD43E8">
            <w:pPr>
              <w:pStyle w:val="TableText"/>
              <w:spacing w:before="50" w:after="50"/>
            </w:pPr>
            <w:r w:rsidRPr="00D9348B">
              <w:t xml:space="preserve">1990 </w:t>
            </w:r>
          </w:p>
        </w:tc>
        <w:tc>
          <w:tcPr>
            <w:tcW w:w="1825" w:type="dxa"/>
            <w:tcBorders>
              <w:top w:val="single" w:sz="4" w:space="0" w:color="365F91"/>
              <w:bottom w:val="single" w:sz="4" w:space="0" w:color="365F91"/>
            </w:tcBorders>
          </w:tcPr>
          <w:p w14:paraId="7E738027" w14:textId="77777777" w:rsidR="00A10636" w:rsidRPr="00D9348B" w:rsidRDefault="00A10636" w:rsidP="00AD43E8">
            <w:pPr>
              <w:pStyle w:val="TableText"/>
              <w:spacing w:before="50" w:after="50"/>
              <w:jc w:val="center"/>
              <w:rPr>
                <w:color w:val="000000"/>
              </w:rPr>
            </w:pPr>
            <w:r w:rsidRPr="00D9348B">
              <w:t>249.0</w:t>
            </w:r>
          </w:p>
        </w:tc>
        <w:tc>
          <w:tcPr>
            <w:tcW w:w="1825" w:type="dxa"/>
            <w:tcBorders>
              <w:top w:val="single" w:sz="4" w:space="0" w:color="365F91"/>
              <w:bottom w:val="single" w:sz="4" w:space="0" w:color="365F91"/>
            </w:tcBorders>
          </w:tcPr>
          <w:p w14:paraId="30085BF8" w14:textId="77777777" w:rsidR="00A10636" w:rsidRPr="00D9348B" w:rsidRDefault="00A10636" w:rsidP="00AD43E8">
            <w:pPr>
              <w:pStyle w:val="TableText"/>
              <w:spacing w:before="50" w:after="50"/>
              <w:jc w:val="center"/>
              <w:rPr>
                <w:color w:val="000000"/>
              </w:rPr>
            </w:pPr>
            <w:r w:rsidRPr="00D9348B">
              <w:t>186.3</w:t>
            </w:r>
          </w:p>
        </w:tc>
        <w:tc>
          <w:tcPr>
            <w:tcW w:w="1825" w:type="dxa"/>
            <w:tcBorders>
              <w:top w:val="single" w:sz="4" w:space="0" w:color="365F91"/>
              <w:bottom w:val="single" w:sz="4" w:space="0" w:color="365F91"/>
            </w:tcBorders>
          </w:tcPr>
          <w:p w14:paraId="4BBD000D" w14:textId="77777777" w:rsidR="00A10636" w:rsidRPr="00D9348B" w:rsidRDefault="00A10636" w:rsidP="00AD43E8">
            <w:pPr>
              <w:pStyle w:val="TableText"/>
              <w:spacing w:before="50" w:after="50"/>
              <w:jc w:val="center"/>
              <w:rPr>
                <w:color w:val="000000"/>
              </w:rPr>
            </w:pPr>
            <w:r w:rsidRPr="00D9348B">
              <w:t xml:space="preserve">–62.7 </w:t>
            </w:r>
          </w:p>
        </w:tc>
        <w:tc>
          <w:tcPr>
            <w:tcW w:w="1827" w:type="dxa"/>
            <w:tcBorders>
              <w:top w:val="single" w:sz="4" w:space="0" w:color="365F91"/>
              <w:bottom w:val="single" w:sz="4" w:space="0" w:color="365F91"/>
            </w:tcBorders>
          </w:tcPr>
          <w:p w14:paraId="2CB7CD16" w14:textId="77777777" w:rsidR="00A10636" w:rsidRPr="00D9348B" w:rsidRDefault="00A10636" w:rsidP="00AD43E8">
            <w:pPr>
              <w:pStyle w:val="TableText"/>
              <w:spacing w:before="50" w:after="50"/>
              <w:jc w:val="center"/>
              <w:rPr>
                <w:color w:val="000000"/>
              </w:rPr>
            </w:pPr>
            <w:r w:rsidRPr="00D9348B">
              <w:t>–25.2</w:t>
            </w:r>
          </w:p>
        </w:tc>
      </w:tr>
      <w:tr w:rsidR="00A10636" w:rsidRPr="00D9348B" w14:paraId="22921FAF" w14:textId="77777777" w:rsidTr="00AD43E8">
        <w:tc>
          <w:tcPr>
            <w:tcW w:w="1203" w:type="dxa"/>
            <w:tcBorders>
              <w:top w:val="single" w:sz="4" w:space="0" w:color="365F91"/>
              <w:bottom w:val="single" w:sz="4" w:space="0" w:color="365F91"/>
            </w:tcBorders>
          </w:tcPr>
          <w:p w14:paraId="17875F2C" w14:textId="77777777" w:rsidR="00A10636" w:rsidRPr="00D9348B" w:rsidRDefault="00A10636" w:rsidP="00AD43E8">
            <w:pPr>
              <w:pStyle w:val="TableText"/>
              <w:spacing w:before="50" w:after="50"/>
            </w:pPr>
            <w:r w:rsidRPr="00D9348B">
              <w:t>2017</w:t>
            </w:r>
          </w:p>
        </w:tc>
        <w:tc>
          <w:tcPr>
            <w:tcW w:w="1825" w:type="dxa"/>
            <w:tcBorders>
              <w:top w:val="single" w:sz="4" w:space="0" w:color="365F91"/>
              <w:bottom w:val="single" w:sz="4" w:space="0" w:color="365F91"/>
            </w:tcBorders>
          </w:tcPr>
          <w:p w14:paraId="3F5AEBD5" w14:textId="77777777" w:rsidR="00A10636" w:rsidRPr="00D9348B" w:rsidRDefault="00A10636" w:rsidP="00AD43E8">
            <w:pPr>
              <w:pStyle w:val="TableText"/>
              <w:spacing w:before="50" w:after="50"/>
              <w:jc w:val="center"/>
              <w:rPr>
                <w:color w:val="000000"/>
              </w:rPr>
            </w:pPr>
            <w:r w:rsidRPr="00D9348B">
              <w:t>3,760.6</w:t>
            </w:r>
          </w:p>
        </w:tc>
        <w:tc>
          <w:tcPr>
            <w:tcW w:w="1825" w:type="dxa"/>
            <w:tcBorders>
              <w:top w:val="single" w:sz="4" w:space="0" w:color="365F91"/>
              <w:bottom w:val="single" w:sz="4" w:space="0" w:color="365F91"/>
            </w:tcBorders>
          </w:tcPr>
          <w:p w14:paraId="1E1623D8" w14:textId="77777777" w:rsidR="00A10636" w:rsidRPr="00D9348B" w:rsidRDefault="00A10636" w:rsidP="00AD43E8">
            <w:pPr>
              <w:pStyle w:val="TableText"/>
              <w:spacing w:before="50" w:after="50"/>
              <w:jc w:val="center"/>
              <w:rPr>
                <w:color w:val="000000"/>
              </w:rPr>
            </w:pPr>
            <w:r w:rsidRPr="00D9348B">
              <w:t>4,164.3</w:t>
            </w:r>
          </w:p>
        </w:tc>
        <w:tc>
          <w:tcPr>
            <w:tcW w:w="1825" w:type="dxa"/>
            <w:tcBorders>
              <w:top w:val="single" w:sz="4" w:space="0" w:color="365F91"/>
              <w:bottom w:val="single" w:sz="4" w:space="0" w:color="365F91"/>
            </w:tcBorders>
          </w:tcPr>
          <w:p w14:paraId="5269EAA9" w14:textId="77777777" w:rsidR="00A10636" w:rsidRPr="00D9348B" w:rsidRDefault="00A10636" w:rsidP="00AD43E8">
            <w:pPr>
              <w:pStyle w:val="TableText"/>
              <w:spacing w:before="50" w:after="50"/>
              <w:jc w:val="center"/>
              <w:rPr>
                <w:color w:val="000000"/>
              </w:rPr>
            </w:pPr>
            <w:r w:rsidRPr="00D9348B">
              <w:t xml:space="preserve">403.7 </w:t>
            </w:r>
          </w:p>
        </w:tc>
        <w:tc>
          <w:tcPr>
            <w:tcW w:w="1827" w:type="dxa"/>
            <w:tcBorders>
              <w:top w:val="single" w:sz="4" w:space="0" w:color="365F91"/>
              <w:bottom w:val="single" w:sz="4" w:space="0" w:color="365F91"/>
            </w:tcBorders>
          </w:tcPr>
          <w:p w14:paraId="445C4364" w14:textId="77777777" w:rsidR="00A10636" w:rsidRPr="00D9348B" w:rsidRDefault="00A10636" w:rsidP="00AD43E8">
            <w:pPr>
              <w:pStyle w:val="TableText"/>
              <w:spacing w:before="50" w:after="50"/>
              <w:jc w:val="center"/>
              <w:rPr>
                <w:color w:val="000000"/>
              </w:rPr>
            </w:pPr>
            <w:r w:rsidRPr="00D9348B">
              <w:t>+10.7</w:t>
            </w:r>
          </w:p>
        </w:tc>
      </w:tr>
    </w:tbl>
    <w:p w14:paraId="5AD63392" w14:textId="77777777" w:rsidR="00A10636" w:rsidRPr="00D9348B" w:rsidRDefault="00A10636" w:rsidP="00A10636">
      <w:pPr>
        <w:pStyle w:val="BodyText"/>
        <w:spacing w:before="240"/>
      </w:pPr>
      <w:bookmarkStart w:id="2251" w:name="_Toc255466413"/>
      <w:bookmarkStart w:id="2252" w:name="_Toc261513220"/>
      <w:bookmarkStart w:id="2253" w:name="_Toc261513833"/>
      <w:r w:rsidRPr="00D9348B">
        <w:t xml:space="preserve">Recalculations of the entire time series were carried out for this category as a result of updates made to the activity data on the land area of the </w:t>
      </w:r>
      <w:r w:rsidRPr="00D9348B">
        <w:rPr>
          <w:i/>
        </w:rPr>
        <w:t>Grassland</w:t>
      </w:r>
      <w:r w:rsidRPr="00D9348B">
        <w:t xml:space="preserve"> categories. This resulted in an increase in the area of deforestation reported for 2017 and hence an increase in the emissions in the </w:t>
      </w:r>
      <w:r w:rsidRPr="00D9348B">
        <w:rPr>
          <w:i/>
        </w:rPr>
        <w:t>Land converted to grassland</w:t>
      </w:r>
      <w:r w:rsidRPr="00D9348B">
        <w:t xml:space="preserve"> category.</w:t>
      </w:r>
    </w:p>
    <w:p w14:paraId="66854E50" w14:textId="77777777" w:rsidR="00A10636" w:rsidRPr="00D9348B" w:rsidRDefault="00A10636" w:rsidP="00AD43E8">
      <w:pPr>
        <w:pStyle w:val="Heading3"/>
        <w:spacing w:before="280"/>
      </w:pPr>
      <w:bookmarkStart w:id="2254" w:name="_Toc280630305"/>
      <w:r w:rsidRPr="00D9348B">
        <w:t>6.6.6</w:t>
      </w:r>
      <w:r w:rsidRPr="00D9348B">
        <w:tab/>
        <w:t>Category-specific planned improvements</w:t>
      </w:r>
      <w:bookmarkEnd w:id="2235"/>
      <w:bookmarkEnd w:id="2251"/>
      <w:bookmarkEnd w:id="2252"/>
      <w:bookmarkEnd w:id="2253"/>
      <w:bookmarkEnd w:id="2254"/>
    </w:p>
    <w:p w14:paraId="231A50F2" w14:textId="77777777" w:rsidR="00A10636" w:rsidRPr="00D9348B" w:rsidRDefault="00A10636" w:rsidP="00A10636">
      <w:pPr>
        <w:pStyle w:val="BodyText"/>
      </w:pPr>
      <w:bookmarkStart w:id="2255" w:name="_Toc310423455"/>
      <w:bookmarkStart w:id="2256" w:name="_Toc342470721"/>
      <w:bookmarkStart w:id="2257" w:name="_Toc352504873"/>
      <w:bookmarkStart w:id="2258" w:name="_Toc391024703"/>
      <w:bookmarkStart w:id="2259" w:name="_Toc414531320"/>
      <w:bookmarkStart w:id="2260" w:name="_Toc474335462"/>
      <w:bookmarkStart w:id="2261" w:name="_Toc481751402"/>
      <w:bookmarkStart w:id="2262" w:name="_Toc522013954"/>
      <w:bookmarkStart w:id="2263" w:name="_Toc5269379"/>
      <w:r w:rsidRPr="00D9348B">
        <w:t xml:space="preserve">In the 2019 in-country review, it was suggested that the approach New Zealand had taken to determine the country-specific transition period was not in line with the 2006 IPCC Guidelines. To address this, New Zealand will be moving to the 20-year default transition period for grassland with woody biomass of the 2006 IPCC Guidelines (IPCC, 2006a). </w:t>
      </w:r>
    </w:p>
    <w:p w14:paraId="43A00D62" w14:textId="77777777" w:rsidR="00A10636" w:rsidRPr="00D9348B" w:rsidRDefault="00A10636" w:rsidP="00A10636">
      <w:pPr>
        <w:pStyle w:val="Heading2"/>
      </w:pPr>
      <w:bookmarkStart w:id="2264" w:name="_Toc36224419"/>
      <w:r w:rsidRPr="00D9348B">
        <w:lastRenderedPageBreak/>
        <w:t>6.7</w:t>
      </w:r>
      <w:r w:rsidRPr="00D9348B">
        <w:tab/>
        <w:t>Wetlands (CRF 4D)</w:t>
      </w:r>
      <w:bookmarkEnd w:id="2255"/>
      <w:bookmarkEnd w:id="2256"/>
      <w:bookmarkEnd w:id="2257"/>
      <w:bookmarkEnd w:id="2258"/>
      <w:bookmarkEnd w:id="2259"/>
      <w:bookmarkEnd w:id="2260"/>
      <w:bookmarkEnd w:id="2261"/>
      <w:bookmarkEnd w:id="2262"/>
      <w:bookmarkEnd w:id="2263"/>
      <w:bookmarkEnd w:id="2264"/>
    </w:p>
    <w:p w14:paraId="6E2E4EA7" w14:textId="77777777" w:rsidR="00A10636" w:rsidRPr="00D9348B" w:rsidRDefault="00A10636" w:rsidP="00AD43E8">
      <w:pPr>
        <w:pStyle w:val="Heading3"/>
        <w:spacing w:before="160"/>
      </w:pPr>
      <w:r w:rsidRPr="00D9348B">
        <w:t>6.7.1</w:t>
      </w:r>
      <w:r w:rsidRPr="00D9348B">
        <w:tab/>
        <w:t>Description</w:t>
      </w:r>
    </w:p>
    <w:p w14:paraId="018C45A6" w14:textId="77777777" w:rsidR="00A10636" w:rsidRPr="00D9348B" w:rsidRDefault="00A10636" w:rsidP="00AD43E8">
      <w:pPr>
        <w:pStyle w:val="BodyText"/>
        <w:spacing w:before="100" w:after="100"/>
      </w:pPr>
      <w:r w:rsidRPr="00D9348B">
        <w:t>New Zealand has around 425,000 kilometres of rivers and streams, and almost 4,000 lakes that are larger than a hectare (Ministry for the Environment and Stats NZ, 2017). Damming, diverting and extracting water for power generation, irrigation and human consumption have modified the nature of these waterways and can deplete flows and reduce groundwater levels. Demand for accessible land has also led to the modification of a large proportion of New Zealand’s vegetated wetland areas to provide pastoral land cover. Just over 10 per cent of wetlands present prior to European settlement remain across New Zealand (McGlone, 2009).</w:t>
      </w:r>
    </w:p>
    <w:p w14:paraId="7D5890D9" w14:textId="77777777" w:rsidR="00A10636" w:rsidRPr="00D9348B" w:rsidRDefault="00A10636" w:rsidP="00AD43E8">
      <w:pPr>
        <w:pStyle w:val="BodyText"/>
        <w:spacing w:before="100" w:after="100"/>
      </w:pPr>
      <w:r w:rsidRPr="00D9348B">
        <w:t>Section 3.2 of 2006 IPCC Guidelines</w:t>
      </w:r>
      <w:r w:rsidRPr="00D9348B">
        <w:rPr>
          <w:i/>
        </w:rPr>
        <w:t xml:space="preserve"> </w:t>
      </w:r>
      <w:r w:rsidRPr="00D9348B">
        <w:t xml:space="preserve">defines </w:t>
      </w:r>
      <w:r w:rsidRPr="00D9348B">
        <w:rPr>
          <w:i/>
        </w:rPr>
        <w:t>Wetlands</w:t>
      </w:r>
      <w:r w:rsidRPr="00D9348B">
        <w:t xml:space="preserve"> as “areas of peat extraction and land that is covered or saturated by water for all or part of the year (e.g., peatlands) and that does not fall into the </w:t>
      </w:r>
      <w:r w:rsidRPr="00D9348B">
        <w:rPr>
          <w:i/>
        </w:rPr>
        <w:t>Forest Land</w:t>
      </w:r>
      <w:r w:rsidRPr="00D9348B">
        <w:t xml:space="preserve">, </w:t>
      </w:r>
      <w:r w:rsidRPr="00D9348B">
        <w:rPr>
          <w:i/>
        </w:rPr>
        <w:t>Cropland</w:t>
      </w:r>
      <w:r w:rsidRPr="00D9348B">
        <w:t xml:space="preserve">, </w:t>
      </w:r>
      <w:r w:rsidRPr="00D9348B">
        <w:rPr>
          <w:i/>
        </w:rPr>
        <w:t>Grassland</w:t>
      </w:r>
      <w:r w:rsidRPr="00D9348B">
        <w:t xml:space="preserve"> or </w:t>
      </w:r>
      <w:r w:rsidRPr="00D9348B">
        <w:rPr>
          <w:i/>
        </w:rPr>
        <w:t>Settlements</w:t>
      </w:r>
      <w:r w:rsidRPr="00D9348B">
        <w:t xml:space="preserve"> categories” (IPCC, 2006a, p 3.6). The definition includes reservoirs as a managed subdivision (e.g., flooded lands), and natural rivers and lakes as unmanaged subdivisions. Flooded lands, a subcategory of </w:t>
      </w:r>
      <w:r w:rsidRPr="00D9348B">
        <w:rPr>
          <w:i/>
        </w:rPr>
        <w:t>Wetlands</w:t>
      </w:r>
      <w:r w:rsidRPr="00D9348B">
        <w:t>, are defined in the 2006 IPCC Guidelines</w:t>
      </w:r>
      <w:r w:rsidRPr="00D9348B" w:rsidDel="0015189E">
        <w:t xml:space="preserve"> </w:t>
      </w:r>
      <w:r w:rsidRPr="00D9348B">
        <w:t>(IPCC, 2006a, p 7.19) as:</w:t>
      </w:r>
    </w:p>
    <w:p w14:paraId="49B9C0BB" w14:textId="77777777" w:rsidR="00A10636" w:rsidRPr="00D9348B" w:rsidRDefault="00A10636" w:rsidP="00A10636">
      <w:pPr>
        <w:pStyle w:val="Quote"/>
        <w:spacing w:before="60"/>
      </w:pPr>
      <w:r w:rsidRPr="00D9348B">
        <w:t xml:space="preserve">… </w:t>
      </w:r>
      <w:proofErr w:type="gramStart"/>
      <w:r w:rsidRPr="00D9348B">
        <w:t>water</w:t>
      </w:r>
      <w:proofErr w:type="gramEnd"/>
      <w:r w:rsidRPr="00D9348B">
        <w:t xml:space="preserve"> bodies where human activities have caused changes in the amount of surface area covered by water, typically through water level regulation. ... Regulated lakes and rivers that do not have substantial changes in water area in comparison with the pre-flooded ecosystem are not considered as Flooded Lands.</w:t>
      </w:r>
      <w:r w:rsidRPr="00D9348B" w:rsidDel="00C52895">
        <w:t xml:space="preserve"> </w:t>
      </w:r>
    </w:p>
    <w:p w14:paraId="76239A86" w14:textId="77777777" w:rsidR="00A10636" w:rsidRPr="00D9348B" w:rsidRDefault="00A10636" w:rsidP="00A10636">
      <w:pPr>
        <w:pStyle w:val="BodyText"/>
      </w:pPr>
      <w:r w:rsidRPr="00D9348B">
        <w:t>The majority of New Zealand’s hydroelectric schemes are based on rivers and lakes where the main pre-flooded ecosystem was a natural lake or river; therefore, they are not defined as flooded lands.</w:t>
      </w:r>
      <w:r w:rsidRPr="00D9348B">
        <w:rPr>
          <w:rStyle w:val="FootnoteReference"/>
        </w:rPr>
        <w:footnoteReference w:id="68"/>
      </w:r>
      <w:r w:rsidRPr="00D9348B">
        <w:t xml:space="preserve"> </w:t>
      </w:r>
    </w:p>
    <w:p w14:paraId="4EEC09A7" w14:textId="77777777" w:rsidR="00A10636" w:rsidRPr="00D9348B" w:rsidRDefault="00A10636" w:rsidP="00AD43E8">
      <w:pPr>
        <w:pStyle w:val="BodyText"/>
        <w:spacing w:after="100"/>
      </w:pPr>
      <w:r w:rsidRPr="00D9348B">
        <w:t xml:space="preserve">New Zealand’s </w:t>
      </w:r>
      <w:r w:rsidRPr="00D9348B">
        <w:rPr>
          <w:i/>
        </w:rPr>
        <w:t>Wetlands</w:t>
      </w:r>
      <w:r w:rsidRPr="00D9348B">
        <w:t xml:space="preserve"> are currently mapped into two types: open water, which includes artificially flooded lands, lakes and rivers; and vegetated wetland, which includes herbaceous vegetation that is periodically flooded, and estuarine and tidal areas. New Zealand originally mapped its vegetated wetlands using existing LCDB data (see section 6.2, for more information). Areas of open water were originally mapped using hydrological boundaries defined by Land Information New Zealand. </w:t>
      </w:r>
    </w:p>
    <w:p w14:paraId="503B38FD" w14:textId="52E5CA1C" w:rsidR="00A10636" w:rsidRPr="00D9348B" w:rsidRDefault="00A10636" w:rsidP="00AD43E8">
      <w:pPr>
        <w:pStyle w:val="BodyText"/>
        <w:spacing w:after="100"/>
      </w:pPr>
      <w:r w:rsidRPr="00D9348B">
        <w:t xml:space="preserve">Improvements to the mapping of wetland extent have been made using ancillary national and regional data sets. Changes to wetland extent have been mapped into the 2008, 2012 and 2016 </w:t>
      </w:r>
      <w:r w:rsidR="00EA7212">
        <w:t>land-use</w:t>
      </w:r>
      <w:r w:rsidRPr="00D9348B">
        <w:t xml:space="preserve"> maps based on changes detected in satellite imagery. </w:t>
      </w:r>
    </w:p>
    <w:p w14:paraId="0B061C47" w14:textId="0D2318AD" w:rsidR="00A10636" w:rsidRPr="00D9348B" w:rsidRDefault="00A10636" w:rsidP="00AD43E8">
      <w:pPr>
        <w:pStyle w:val="BodyText"/>
        <w:spacing w:after="100"/>
      </w:pPr>
      <w:r w:rsidRPr="00D9348B">
        <w:t xml:space="preserve">Improvements in mapping that occurred in conjunction with the creation of the 2016 </w:t>
      </w:r>
      <w:r w:rsidR="00EA7212">
        <w:t>Land-use</w:t>
      </w:r>
      <w:r w:rsidRPr="00D9348B">
        <w:t> Map have enabled the area of artificially flooded land to be identified and distinguished from naturally occurring open water (e.g., natural lakes). Examples of artificially flooded lands in New Zealand include irrigation reservoirs and the Clyde Dam hydroelectric dam. The acquisition of this activity data will enable the associated stock changes for land converted to flooded land to be estimated once methods to interpolate and extrapolate to fill in the time series are developed.</w:t>
      </w:r>
    </w:p>
    <w:p w14:paraId="04778585" w14:textId="5A3988D0" w:rsidR="00A10636" w:rsidRPr="00D9348B" w:rsidRDefault="00A10636" w:rsidP="00AD43E8">
      <w:pPr>
        <w:pStyle w:val="BodyText"/>
        <w:spacing w:after="100"/>
      </w:pPr>
      <w:r w:rsidRPr="00D9348B">
        <w:t xml:space="preserve">In 2018, there were 534,688 hectares of open water and 226,933 hectares of vegetated wetlands. Together these two </w:t>
      </w:r>
      <w:r w:rsidR="00EA7212">
        <w:t>land-use</w:t>
      </w:r>
      <w:r w:rsidRPr="00D9348B">
        <w:t xml:space="preserve"> types make up 2.8 per cent of the total New Zealand land area.</w:t>
      </w:r>
    </w:p>
    <w:p w14:paraId="7849FBDB" w14:textId="5844AF98" w:rsidR="00A10636" w:rsidRPr="00D9348B" w:rsidRDefault="00A10636" w:rsidP="00DE3547">
      <w:pPr>
        <w:pStyle w:val="BodyText"/>
        <w:spacing w:before="100" w:after="100"/>
      </w:pPr>
      <w:r w:rsidRPr="00D9348B">
        <w:lastRenderedPageBreak/>
        <w:t xml:space="preserve">In 2016, a study was commissioned to identify and map current and historical (from 1990) horticultural peat mining areas, peat type and quantity, and post-mining activities (Clarkson unpublished). The results of this study have been incorporated into New Zealand’s 2016 </w:t>
      </w:r>
      <w:r w:rsidR="00EA7212">
        <w:t>land-use</w:t>
      </w:r>
      <w:r w:rsidRPr="00D9348B">
        <w:t xml:space="preserve"> map. In 2018, there were 273 hectares under peat extraction.</w:t>
      </w:r>
    </w:p>
    <w:p w14:paraId="494FF7C5" w14:textId="77777777" w:rsidR="00A10636" w:rsidRPr="00D9348B" w:rsidRDefault="00A10636" w:rsidP="00DE3547">
      <w:pPr>
        <w:pStyle w:val="BodyText"/>
        <w:spacing w:before="100" w:after="100"/>
      </w:pPr>
      <w:r w:rsidRPr="00D9348B">
        <w:t>In 2018, there were 13.6 kt CO</w:t>
      </w:r>
      <w:r w:rsidRPr="00D9348B">
        <w:rPr>
          <w:vertAlign w:val="subscript"/>
        </w:rPr>
        <w:t>2</w:t>
      </w:r>
      <w:r w:rsidRPr="00D9348B">
        <w:t xml:space="preserve">-e emissions from </w:t>
      </w:r>
      <w:r w:rsidRPr="00D9348B">
        <w:rPr>
          <w:i/>
        </w:rPr>
        <w:t>Wetlands</w:t>
      </w:r>
      <w:r w:rsidRPr="00D9348B">
        <w:t xml:space="preserve">, compared with emissions of </w:t>
      </w:r>
      <w:r w:rsidRPr="00D9348B">
        <w:br/>
        <w:t>–10.7 kt CO</w:t>
      </w:r>
      <w:r w:rsidRPr="00D9348B">
        <w:rPr>
          <w:vertAlign w:val="subscript"/>
        </w:rPr>
        <w:t>2</w:t>
      </w:r>
      <w:r w:rsidRPr="00D9348B">
        <w:t xml:space="preserve">-e from </w:t>
      </w:r>
      <w:r w:rsidRPr="00D9348B">
        <w:rPr>
          <w:i/>
        </w:rPr>
        <w:t>Wetlands</w:t>
      </w:r>
      <w:r w:rsidRPr="00D9348B">
        <w:t xml:space="preserve"> in 1990 (see table 6.7.1). This changing trend, from net remover in 1990 to net emitter in 2018 is due to the shift in land-use change patterns that have been observed since 1990, when compared with the changes that had occurred before 1990.</w:t>
      </w:r>
    </w:p>
    <w:p w14:paraId="1BE11A1C" w14:textId="77777777" w:rsidR="00A10636" w:rsidRPr="00D9348B" w:rsidRDefault="00A10636" w:rsidP="00DE3547">
      <w:pPr>
        <w:pStyle w:val="BodyText"/>
        <w:spacing w:before="100" w:after="100"/>
      </w:pPr>
      <w:r w:rsidRPr="00D9348B">
        <w:t>As at 2018, there were 7,524</w:t>
      </w:r>
      <w:r w:rsidRPr="00D9348B">
        <w:rPr>
          <w:rFonts w:cs="Arial"/>
          <w:szCs w:val="16"/>
        </w:rPr>
        <w:t xml:space="preserve"> </w:t>
      </w:r>
      <w:r w:rsidRPr="00D9348B">
        <w:t xml:space="preserve">hectares in a state of conversion to </w:t>
      </w:r>
      <w:r w:rsidRPr="00D9348B">
        <w:rPr>
          <w:i/>
        </w:rPr>
        <w:t>Wetlands</w:t>
      </w:r>
      <w:r w:rsidRPr="00D9348B">
        <w:t xml:space="preserve"> (table 6.7.1). These lands have been converted to </w:t>
      </w:r>
      <w:r w:rsidRPr="00D9348B">
        <w:rPr>
          <w:i/>
        </w:rPr>
        <w:t>Wetlands</w:t>
      </w:r>
      <w:r w:rsidRPr="00D9348B">
        <w:t xml:space="preserve"> during the previous 28 years but have not yet reached steady state.</w:t>
      </w:r>
    </w:p>
    <w:p w14:paraId="25B359F9" w14:textId="56CAA1E3" w:rsidR="00A10636" w:rsidRPr="00D9348B" w:rsidRDefault="00A10636" w:rsidP="00A10636">
      <w:pPr>
        <w:pStyle w:val="Table"/>
      </w:pPr>
      <w:bookmarkStart w:id="2265" w:name="_Toc342470784"/>
      <w:bookmarkStart w:id="2266" w:name="_Toc352505024"/>
      <w:bookmarkStart w:id="2267" w:name="_Toc378853313"/>
      <w:bookmarkStart w:id="2268" w:name="_Toc391024111"/>
      <w:bookmarkStart w:id="2269" w:name="_Toc410028854"/>
      <w:bookmarkStart w:id="2270" w:name="_Toc414531482"/>
      <w:bookmarkStart w:id="2271" w:name="_Toc443645395"/>
      <w:bookmarkStart w:id="2272" w:name="_Toc474914614"/>
      <w:bookmarkStart w:id="2273" w:name="_Toc481751578"/>
      <w:bookmarkStart w:id="2274" w:name="_Toc522010635"/>
      <w:bookmarkStart w:id="2275" w:name="_Toc5269540"/>
      <w:bookmarkStart w:id="2276" w:name="_Toc33529414"/>
      <w:bookmarkStart w:id="2277" w:name="_Toc36224620"/>
      <w:r w:rsidRPr="00D9348B">
        <w:t>Table 6.7.1</w:t>
      </w:r>
      <w:r w:rsidRPr="00D9348B">
        <w:tab/>
        <w:t>New Zealand’s land-use change for the Wetlands category, and associated</w:t>
      </w:r>
      <w:r w:rsidRPr="00D9348B">
        <w:br/>
        <w:t>CO</w:t>
      </w:r>
      <w:r w:rsidRPr="00D9348B">
        <w:rPr>
          <w:vertAlign w:val="subscript"/>
        </w:rPr>
        <w:t>2</w:t>
      </w:r>
      <w:r w:rsidR="00AB46B5" w:rsidRPr="00D9348B">
        <w:noBreakHyphen/>
      </w:r>
      <w:r w:rsidRPr="00D9348B">
        <w:t>e</w:t>
      </w:r>
      <w:r w:rsidR="00AB46B5" w:rsidRPr="00D9348B">
        <w:t> </w:t>
      </w:r>
      <w:r w:rsidRPr="00D9348B">
        <w:t>emissions</w:t>
      </w:r>
      <w:bookmarkEnd w:id="2265"/>
      <w:bookmarkEnd w:id="2266"/>
      <w:bookmarkEnd w:id="2267"/>
      <w:r w:rsidRPr="00D9348B">
        <w:t xml:space="preserve">, in 1990 and </w:t>
      </w:r>
      <w:bookmarkEnd w:id="2268"/>
      <w:bookmarkEnd w:id="2269"/>
      <w:bookmarkEnd w:id="2270"/>
      <w:r w:rsidRPr="00D9348B">
        <w:t>201</w:t>
      </w:r>
      <w:bookmarkEnd w:id="2271"/>
      <w:bookmarkEnd w:id="2272"/>
      <w:bookmarkEnd w:id="2273"/>
      <w:bookmarkEnd w:id="2274"/>
      <w:r w:rsidRPr="00D9348B">
        <w:t>8</w:t>
      </w:r>
      <w:bookmarkEnd w:id="2275"/>
      <w:bookmarkEnd w:id="2276"/>
      <w:bookmarkEnd w:id="2277"/>
    </w:p>
    <w:tbl>
      <w:tblPr>
        <w:tblW w:w="8505" w:type="dxa"/>
        <w:tblInd w:w="108" w:type="dxa"/>
        <w:tblLayout w:type="fixed"/>
        <w:tblLook w:val="04A0" w:firstRow="1" w:lastRow="0" w:firstColumn="1" w:lastColumn="0" w:noHBand="0" w:noVBand="1"/>
      </w:tblPr>
      <w:tblGrid>
        <w:gridCol w:w="2770"/>
        <w:gridCol w:w="1206"/>
        <w:gridCol w:w="1055"/>
        <w:gridCol w:w="1055"/>
        <w:gridCol w:w="1112"/>
        <w:gridCol w:w="1307"/>
      </w:tblGrid>
      <w:tr w:rsidR="00A10636" w:rsidRPr="00D9348B" w14:paraId="75F81BC8" w14:textId="77777777" w:rsidTr="00AD43E8">
        <w:tc>
          <w:tcPr>
            <w:tcW w:w="2770" w:type="dxa"/>
            <w:vMerge w:val="restart"/>
            <w:tcBorders>
              <w:top w:val="single" w:sz="4" w:space="0" w:color="365F91"/>
              <w:bottom w:val="single" w:sz="4" w:space="0" w:color="365F91"/>
            </w:tcBorders>
            <w:shd w:val="clear" w:color="auto" w:fill="365F91"/>
            <w:vAlign w:val="bottom"/>
          </w:tcPr>
          <w:p w14:paraId="6C8F68F7" w14:textId="71491611" w:rsidR="00A10636" w:rsidRPr="00D9348B" w:rsidRDefault="00A10636" w:rsidP="00DB330E">
            <w:pPr>
              <w:pStyle w:val="TableTextBold"/>
              <w:keepNext/>
              <w:spacing w:before="40" w:after="40"/>
              <w:rPr>
                <w:noProof w:val="0"/>
                <w:color w:val="FFFFFF"/>
              </w:rPr>
            </w:pPr>
            <w:r w:rsidRPr="00D9348B">
              <w:rPr>
                <w:noProof w:val="0"/>
                <w:color w:val="FFFFFF"/>
              </w:rPr>
              <w:t xml:space="preserve">Wetlands </w:t>
            </w:r>
            <w:r w:rsidR="00EA7212">
              <w:rPr>
                <w:noProof w:val="0"/>
                <w:color w:val="FFFFFF"/>
              </w:rPr>
              <w:t>land-use</w:t>
            </w:r>
            <w:r w:rsidRPr="00D9348B">
              <w:rPr>
                <w:noProof w:val="0"/>
                <w:color w:val="FFFFFF"/>
              </w:rPr>
              <w:t xml:space="preserve"> category</w:t>
            </w:r>
          </w:p>
        </w:tc>
        <w:tc>
          <w:tcPr>
            <w:tcW w:w="2261" w:type="dxa"/>
            <w:gridSpan w:val="2"/>
            <w:tcBorders>
              <w:top w:val="single" w:sz="4" w:space="0" w:color="365F91"/>
              <w:bottom w:val="single" w:sz="4" w:space="0" w:color="365F91"/>
            </w:tcBorders>
            <w:shd w:val="clear" w:color="auto" w:fill="365F91"/>
            <w:vAlign w:val="bottom"/>
          </w:tcPr>
          <w:p w14:paraId="54BABED2" w14:textId="77777777" w:rsidR="00A10636" w:rsidRPr="00D9348B" w:rsidRDefault="00A10636" w:rsidP="00DB330E">
            <w:pPr>
              <w:pStyle w:val="TableTextBold"/>
              <w:keepNext/>
              <w:spacing w:before="40" w:after="40"/>
              <w:jc w:val="center"/>
              <w:rPr>
                <w:noProof w:val="0"/>
                <w:color w:val="FFFFFF"/>
              </w:rPr>
            </w:pPr>
            <w:r w:rsidRPr="00D9348B">
              <w:rPr>
                <w:noProof w:val="0"/>
                <w:color w:val="FFFFFF"/>
              </w:rPr>
              <w:t>Net area (ha) as at</w:t>
            </w:r>
          </w:p>
        </w:tc>
        <w:tc>
          <w:tcPr>
            <w:tcW w:w="2167" w:type="dxa"/>
            <w:gridSpan w:val="2"/>
            <w:tcBorders>
              <w:top w:val="single" w:sz="4" w:space="0" w:color="365F91"/>
              <w:bottom w:val="single" w:sz="4" w:space="0" w:color="365F91"/>
            </w:tcBorders>
            <w:shd w:val="clear" w:color="auto" w:fill="365F91"/>
            <w:vAlign w:val="bottom"/>
          </w:tcPr>
          <w:p w14:paraId="1B375821" w14:textId="34C74D6C" w:rsidR="00A10636" w:rsidRPr="00D9348B" w:rsidRDefault="00A10636" w:rsidP="00DB330E">
            <w:pPr>
              <w:pStyle w:val="TableTextBold"/>
              <w:keepNext/>
              <w:spacing w:before="40" w:after="40"/>
              <w:jc w:val="center"/>
              <w:rPr>
                <w:noProof w:val="0"/>
                <w:color w:val="FFFFFF"/>
              </w:rPr>
            </w:pPr>
            <w:r w:rsidRPr="00D9348B">
              <w:rPr>
                <w:noProof w:val="0"/>
                <w:color w:val="FFFFFF"/>
              </w:rPr>
              <w:t>Net emissions</w:t>
            </w:r>
            <w:r w:rsidR="00211C55" w:rsidRPr="00D9348B">
              <w:rPr>
                <w:noProof w:val="0"/>
                <w:color w:val="FFFFFF"/>
              </w:rPr>
              <w:t xml:space="preserve"> </w:t>
            </w:r>
            <w:r w:rsidRPr="00D9348B">
              <w:rPr>
                <w:noProof w:val="0"/>
                <w:color w:val="FFFFFF"/>
              </w:rPr>
              <w:t>(kt CO</w:t>
            </w:r>
            <w:r w:rsidRPr="00D9348B">
              <w:rPr>
                <w:noProof w:val="0"/>
                <w:color w:val="FFFFFF"/>
                <w:vertAlign w:val="subscript"/>
              </w:rPr>
              <w:t>2</w:t>
            </w:r>
            <w:r w:rsidRPr="00D9348B">
              <w:rPr>
                <w:noProof w:val="0"/>
                <w:color w:val="FFFFFF"/>
              </w:rPr>
              <w:t>-e)</w:t>
            </w:r>
          </w:p>
        </w:tc>
        <w:tc>
          <w:tcPr>
            <w:tcW w:w="1307" w:type="dxa"/>
            <w:vMerge w:val="restart"/>
            <w:tcBorders>
              <w:top w:val="single" w:sz="4" w:space="0" w:color="365F91"/>
              <w:bottom w:val="single" w:sz="4" w:space="0" w:color="365F91"/>
            </w:tcBorders>
            <w:shd w:val="clear" w:color="auto" w:fill="365F91"/>
            <w:vAlign w:val="bottom"/>
          </w:tcPr>
          <w:p w14:paraId="353CBBA9" w14:textId="77777777" w:rsidR="00A10636" w:rsidRPr="00D9348B" w:rsidRDefault="00A10636" w:rsidP="00DB330E">
            <w:pPr>
              <w:pStyle w:val="TableTextBold"/>
              <w:keepNext/>
              <w:spacing w:before="40" w:after="40"/>
              <w:jc w:val="right"/>
              <w:rPr>
                <w:noProof w:val="0"/>
                <w:color w:val="FFFFFF"/>
              </w:rPr>
            </w:pPr>
            <w:r w:rsidRPr="00D9348B">
              <w:rPr>
                <w:noProof w:val="0"/>
                <w:color w:val="FFFFFF"/>
              </w:rPr>
              <w:t>Change from 1990 (%)</w:t>
            </w:r>
          </w:p>
        </w:tc>
      </w:tr>
      <w:tr w:rsidR="00A10636" w:rsidRPr="00D9348B" w14:paraId="7DE95EAE" w14:textId="77777777" w:rsidTr="00AD43E8">
        <w:tc>
          <w:tcPr>
            <w:tcW w:w="2770" w:type="dxa"/>
            <w:vMerge/>
            <w:tcBorders>
              <w:top w:val="single" w:sz="4" w:space="0" w:color="365F91"/>
              <w:bottom w:val="single" w:sz="4" w:space="0" w:color="365F91"/>
            </w:tcBorders>
            <w:shd w:val="clear" w:color="auto" w:fill="365F91"/>
            <w:vAlign w:val="bottom"/>
          </w:tcPr>
          <w:p w14:paraId="4A4EBC3F" w14:textId="77777777" w:rsidR="00A10636" w:rsidRPr="00D9348B" w:rsidRDefault="00A10636" w:rsidP="00DB330E">
            <w:pPr>
              <w:pStyle w:val="TableTextBold"/>
              <w:keepNext/>
              <w:spacing w:before="40" w:after="40"/>
              <w:rPr>
                <w:noProof w:val="0"/>
                <w:color w:val="FFFFFF"/>
              </w:rPr>
            </w:pPr>
          </w:p>
        </w:tc>
        <w:tc>
          <w:tcPr>
            <w:tcW w:w="1206" w:type="dxa"/>
            <w:tcBorders>
              <w:top w:val="single" w:sz="4" w:space="0" w:color="365F91"/>
              <w:bottom w:val="single" w:sz="4" w:space="0" w:color="365F91"/>
            </w:tcBorders>
            <w:shd w:val="clear" w:color="auto" w:fill="365F91"/>
            <w:vAlign w:val="bottom"/>
          </w:tcPr>
          <w:p w14:paraId="499888A4" w14:textId="77777777" w:rsidR="00A10636" w:rsidRPr="00D9348B" w:rsidRDefault="00A10636" w:rsidP="00DB330E">
            <w:pPr>
              <w:pStyle w:val="TableTextBold"/>
              <w:keepNext/>
              <w:spacing w:before="40" w:after="40"/>
              <w:jc w:val="right"/>
              <w:rPr>
                <w:noProof w:val="0"/>
                <w:color w:val="FFFFFF"/>
              </w:rPr>
            </w:pPr>
            <w:r w:rsidRPr="00D9348B">
              <w:rPr>
                <w:noProof w:val="0"/>
                <w:color w:val="FFFFFF"/>
              </w:rPr>
              <w:t>1990</w:t>
            </w:r>
          </w:p>
        </w:tc>
        <w:tc>
          <w:tcPr>
            <w:tcW w:w="1055" w:type="dxa"/>
            <w:tcBorders>
              <w:top w:val="single" w:sz="4" w:space="0" w:color="365F91"/>
              <w:bottom w:val="single" w:sz="4" w:space="0" w:color="365F91"/>
            </w:tcBorders>
            <w:shd w:val="clear" w:color="auto" w:fill="365F91"/>
            <w:vAlign w:val="bottom"/>
          </w:tcPr>
          <w:p w14:paraId="7BBEC78D" w14:textId="77777777" w:rsidR="00A10636" w:rsidRPr="00D9348B" w:rsidRDefault="00A10636" w:rsidP="00DB330E">
            <w:pPr>
              <w:pStyle w:val="TableTextBold"/>
              <w:keepNext/>
              <w:spacing w:before="40" w:after="40"/>
              <w:jc w:val="right"/>
              <w:rPr>
                <w:noProof w:val="0"/>
                <w:color w:val="FFFFFF"/>
              </w:rPr>
            </w:pPr>
            <w:r w:rsidRPr="00D9348B">
              <w:rPr>
                <w:noProof w:val="0"/>
                <w:color w:val="FFFFFF"/>
              </w:rPr>
              <w:t>2018</w:t>
            </w:r>
          </w:p>
        </w:tc>
        <w:tc>
          <w:tcPr>
            <w:tcW w:w="1055" w:type="dxa"/>
            <w:tcBorders>
              <w:top w:val="single" w:sz="4" w:space="0" w:color="365F91"/>
              <w:bottom w:val="single" w:sz="4" w:space="0" w:color="365F91"/>
            </w:tcBorders>
            <w:shd w:val="clear" w:color="auto" w:fill="365F91"/>
            <w:vAlign w:val="bottom"/>
          </w:tcPr>
          <w:p w14:paraId="60FA7377" w14:textId="77777777" w:rsidR="00A10636" w:rsidRPr="00D9348B" w:rsidRDefault="00A10636" w:rsidP="00DB330E">
            <w:pPr>
              <w:pStyle w:val="TableTextBold"/>
              <w:keepNext/>
              <w:spacing w:before="40" w:after="40"/>
              <w:jc w:val="right"/>
              <w:rPr>
                <w:noProof w:val="0"/>
                <w:color w:val="FFFFFF"/>
              </w:rPr>
            </w:pPr>
            <w:r w:rsidRPr="00D9348B">
              <w:rPr>
                <w:noProof w:val="0"/>
                <w:color w:val="FFFFFF"/>
              </w:rPr>
              <w:t>1990</w:t>
            </w:r>
          </w:p>
        </w:tc>
        <w:tc>
          <w:tcPr>
            <w:tcW w:w="1112" w:type="dxa"/>
            <w:tcBorders>
              <w:top w:val="single" w:sz="4" w:space="0" w:color="365F91"/>
              <w:bottom w:val="single" w:sz="4" w:space="0" w:color="365F91"/>
            </w:tcBorders>
            <w:shd w:val="clear" w:color="auto" w:fill="365F91"/>
            <w:vAlign w:val="bottom"/>
          </w:tcPr>
          <w:p w14:paraId="032C9731" w14:textId="77777777" w:rsidR="00A10636" w:rsidRPr="00D9348B" w:rsidRDefault="00A10636" w:rsidP="00DB330E">
            <w:pPr>
              <w:pStyle w:val="TableTextBold"/>
              <w:keepNext/>
              <w:spacing w:before="40" w:after="40"/>
              <w:jc w:val="right"/>
              <w:rPr>
                <w:noProof w:val="0"/>
                <w:color w:val="FFFFFF"/>
              </w:rPr>
            </w:pPr>
            <w:r w:rsidRPr="00D9348B">
              <w:rPr>
                <w:noProof w:val="0"/>
                <w:color w:val="FFFFFF"/>
              </w:rPr>
              <w:t>2018</w:t>
            </w:r>
          </w:p>
        </w:tc>
        <w:tc>
          <w:tcPr>
            <w:tcW w:w="1307" w:type="dxa"/>
            <w:vMerge/>
            <w:tcBorders>
              <w:top w:val="single" w:sz="4" w:space="0" w:color="365F91"/>
              <w:bottom w:val="single" w:sz="4" w:space="0" w:color="365F91"/>
            </w:tcBorders>
            <w:shd w:val="clear" w:color="auto" w:fill="365F91"/>
            <w:vAlign w:val="bottom"/>
          </w:tcPr>
          <w:p w14:paraId="60B0E90C" w14:textId="77777777" w:rsidR="00A10636" w:rsidRPr="00D9348B" w:rsidRDefault="00A10636" w:rsidP="00DB330E">
            <w:pPr>
              <w:pStyle w:val="TableTextBold"/>
              <w:keepNext/>
              <w:spacing w:before="40" w:after="40"/>
              <w:rPr>
                <w:noProof w:val="0"/>
                <w:color w:val="FFFFFF"/>
              </w:rPr>
            </w:pPr>
          </w:p>
        </w:tc>
      </w:tr>
      <w:tr w:rsidR="00A10636" w:rsidRPr="00D9348B" w14:paraId="159D3F4B" w14:textId="77777777" w:rsidTr="00AD43E8">
        <w:tc>
          <w:tcPr>
            <w:tcW w:w="2770" w:type="dxa"/>
            <w:tcBorders>
              <w:top w:val="single" w:sz="4" w:space="0" w:color="365F91"/>
              <w:bottom w:val="single" w:sz="4" w:space="0" w:color="365F91"/>
            </w:tcBorders>
          </w:tcPr>
          <w:p w14:paraId="7CE22A93" w14:textId="77777777" w:rsidR="00A10636" w:rsidRPr="00D9348B" w:rsidRDefault="00A10636" w:rsidP="00DE3547">
            <w:pPr>
              <w:pStyle w:val="TableText"/>
              <w:spacing w:before="50" w:after="50"/>
            </w:pPr>
            <w:r w:rsidRPr="00D9348B">
              <w:t>Wetlands remaining wetlands</w:t>
            </w:r>
          </w:p>
        </w:tc>
        <w:tc>
          <w:tcPr>
            <w:tcW w:w="1206" w:type="dxa"/>
            <w:tcBorders>
              <w:top w:val="single" w:sz="4" w:space="0" w:color="365F91"/>
              <w:bottom w:val="single" w:sz="4" w:space="0" w:color="365F91"/>
            </w:tcBorders>
            <w:vAlign w:val="center"/>
          </w:tcPr>
          <w:p w14:paraId="0B8842DD" w14:textId="77777777" w:rsidR="00A10636" w:rsidRPr="00D9348B" w:rsidRDefault="00A10636" w:rsidP="00DE3547">
            <w:pPr>
              <w:pStyle w:val="TableText"/>
              <w:spacing w:before="50" w:after="50"/>
              <w:jc w:val="right"/>
            </w:pPr>
            <w:r w:rsidRPr="00D9348B">
              <w:rPr>
                <w:rFonts w:cs="Arial"/>
                <w:szCs w:val="16"/>
              </w:rPr>
              <w:t>749,906</w:t>
            </w:r>
          </w:p>
        </w:tc>
        <w:tc>
          <w:tcPr>
            <w:tcW w:w="1055" w:type="dxa"/>
            <w:tcBorders>
              <w:top w:val="single" w:sz="4" w:space="0" w:color="365F91"/>
              <w:bottom w:val="single" w:sz="4" w:space="0" w:color="365F91"/>
            </w:tcBorders>
            <w:vAlign w:val="center"/>
          </w:tcPr>
          <w:p w14:paraId="0579DCB3" w14:textId="77777777" w:rsidR="00A10636" w:rsidRPr="00D9348B" w:rsidRDefault="00A10636" w:rsidP="00DE3547">
            <w:pPr>
              <w:pStyle w:val="TableText"/>
              <w:spacing w:before="50" w:after="50"/>
              <w:jc w:val="right"/>
            </w:pPr>
            <w:r w:rsidRPr="00D9348B">
              <w:rPr>
                <w:rFonts w:cs="Arial"/>
                <w:szCs w:val="16"/>
              </w:rPr>
              <w:t>754,096</w:t>
            </w:r>
          </w:p>
        </w:tc>
        <w:tc>
          <w:tcPr>
            <w:tcW w:w="1055" w:type="dxa"/>
            <w:tcBorders>
              <w:top w:val="single" w:sz="4" w:space="0" w:color="365F91"/>
              <w:bottom w:val="single" w:sz="4" w:space="0" w:color="365F91"/>
            </w:tcBorders>
            <w:vAlign w:val="center"/>
          </w:tcPr>
          <w:p w14:paraId="2F146C49" w14:textId="77777777" w:rsidR="00A10636" w:rsidRPr="00D9348B" w:rsidRDefault="00A10636" w:rsidP="00DE3547">
            <w:pPr>
              <w:pStyle w:val="TableText"/>
              <w:spacing w:before="50" w:after="50"/>
              <w:jc w:val="right"/>
            </w:pPr>
            <w:r w:rsidRPr="00D9348B">
              <w:rPr>
                <w:rFonts w:cs="Arial"/>
                <w:szCs w:val="16"/>
              </w:rPr>
              <w:t xml:space="preserve">9.4 </w:t>
            </w:r>
          </w:p>
        </w:tc>
        <w:tc>
          <w:tcPr>
            <w:tcW w:w="1112" w:type="dxa"/>
            <w:tcBorders>
              <w:top w:val="single" w:sz="4" w:space="0" w:color="365F91"/>
              <w:bottom w:val="single" w:sz="4" w:space="0" w:color="365F91"/>
            </w:tcBorders>
            <w:vAlign w:val="center"/>
          </w:tcPr>
          <w:p w14:paraId="3D8AFB45" w14:textId="77777777" w:rsidR="00A10636" w:rsidRPr="00D9348B" w:rsidRDefault="00A10636" w:rsidP="00DE3547">
            <w:pPr>
              <w:pStyle w:val="TableText"/>
              <w:spacing w:before="50" w:after="50"/>
              <w:jc w:val="right"/>
            </w:pPr>
            <w:r w:rsidRPr="00D9348B">
              <w:rPr>
                <w:rFonts w:cs="Arial"/>
                <w:szCs w:val="16"/>
              </w:rPr>
              <w:t xml:space="preserve">18.8 </w:t>
            </w:r>
          </w:p>
        </w:tc>
        <w:tc>
          <w:tcPr>
            <w:tcW w:w="1307" w:type="dxa"/>
            <w:tcBorders>
              <w:top w:val="single" w:sz="4" w:space="0" w:color="365F91"/>
              <w:bottom w:val="single" w:sz="4" w:space="0" w:color="365F91"/>
            </w:tcBorders>
            <w:vAlign w:val="center"/>
          </w:tcPr>
          <w:p w14:paraId="17D65C3D" w14:textId="77777777" w:rsidR="00A10636" w:rsidRPr="00D9348B" w:rsidRDefault="00A10636" w:rsidP="00DE3547">
            <w:pPr>
              <w:pStyle w:val="TableText"/>
              <w:spacing w:before="50" w:after="50"/>
              <w:jc w:val="right"/>
            </w:pPr>
            <w:r w:rsidRPr="00D9348B">
              <w:rPr>
                <w:rFonts w:cs="Arial"/>
                <w:szCs w:val="16"/>
              </w:rPr>
              <w:t>+99.3</w:t>
            </w:r>
          </w:p>
        </w:tc>
      </w:tr>
      <w:tr w:rsidR="00A10636" w:rsidRPr="00D9348B" w14:paraId="12A8D93D" w14:textId="77777777" w:rsidTr="00AD43E8">
        <w:tc>
          <w:tcPr>
            <w:tcW w:w="2770" w:type="dxa"/>
            <w:tcBorders>
              <w:top w:val="single" w:sz="4" w:space="0" w:color="365F91"/>
              <w:bottom w:val="single" w:sz="4" w:space="0" w:color="365F91"/>
            </w:tcBorders>
          </w:tcPr>
          <w:p w14:paraId="4C91DD63" w14:textId="77777777" w:rsidR="00A10636" w:rsidRPr="00D9348B" w:rsidRDefault="00A10636" w:rsidP="00DE3547">
            <w:pPr>
              <w:pStyle w:val="TableText"/>
              <w:spacing w:before="50" w:after="50"/>
            </w:pPr>
            <w:r w:rsidRPr="00D9348B">
              <w:t>Land converted to wetlands</w:t>
            </w:r>
          </w:p>
        </w:tc>
        <w:tc>
          <w:tcPr>
            <w:tcW w:w="1206" w:type="dxa"/>
            <w:tcBorders>
              <w:top w:val="single" w:sz="4" w:space="0" w:color="365F91"/>
              <w:bottom w:val="single" w:sz="4" w:space="0" w:color="365F91"/>
            </w:tcBorders>
            <w:vAlign w:val="center"/>
          </w:tcPr>
          <w:p w14:paraId="12E70133" w14:textId="77777777" w:rsidR="00A10636" w:rsidRPr="00D9348B" w:rsidRDefault="00A10636" w:rsidP="00DE3547">
            <w:pPr>
              <w:pStyle w:val="TableText"/>
              <w:spacing w:before="50" w:after="50"/>
              <w:jc w:val="right"/>
            </w:pPr>
            <w:r w:rsidRPr="00D9348B">
              <w:rPr>
                <w:rFonts w:cs="Arial"/>
                <w:szCs w:val="16"/>
              </w:rPr>
              <w:t>14,386</w:t>
            </w:r>
          </w:p>
        </w:tc>
        <w:tc>
          <w:tcPr>
            <w:tcW w:w="1055" w:type="dxa"/>
            <w:tcBorders>
              <w:top w:val="single" w:sz="4" w:space="0" w:color="365F91"/>
              <w:bottom w:val="single" w:sz="4" w:space="0" w:color="365F91"/>
            </w:tcBorders>
            <w:vAlign w:val="center"/>
          </w:tcPr>
          <w:p w14:paraId="4325BA06" w14:textId="77777777" w:rsidR="00A10636" w:rsidRPr="00D9348B" w:rsidRDefault="00A10636" w:rsidP="00DE3547">
            <w:pPr>
              <w:pStyle w:val="TableText"/>
              <w:spacing w:before="50" w:after="50"/>
              <w:jc w:val="right"/>
            </w:pPr>
            <w:r w:rsidRPr="00D9348B">
              <w:rPr>
                <w:rFonts w:cs="Arial"/>
                <w:szCs w:val="16"/>
              </w:rPr>
              <w:t>7,524</w:t>
            </w:r>
          </w:p>
        </w:tc>
        <w:tc>
          <w:tcPr>
            <w:tcW w:w="1055" w:type="dxa"/>
            <w:tcBorders>
              <w:top w:val="single" w:sz="4" w:space="0" w:color="365F91"/>
              <w:bottom w:val="single" w:sz="4" w:space="0" w:color="365F91"/>
            </w:tcBorders>
            <w:vAlign w:val="center"/>
          </w:tcPr>
          <w:p w14:paraId="195E505F" w14:textId="77777777" w:rsidR="00A10636" w:rsidRPr="00D9348B" w:rsidRDefault="00A10636" w:rsidP="00DE3547">
            <w:pPr>
              <w:pStyle w:val="TableText"/>
              <w:spacing w:before="50" w:after="50"/>
              <w:jc w:val="right"/>
            </w:pPr>
            <w:r w:rsidRPr="00D9348B">
              <w:rPr>
                <w:rFonts w:cs="Arial"/>
                <w:szCs w:val="16"/>
              </w:rPr>
              <w:t xml:space="preserve">–20.1 </w:t>
            </w:r>
          </w:p>
        </w:tc>
        <w:tc>
          <w:tcPr>
            <w:tcW w:w="1112" w:type="dxa"/>
            <w:tcBorders>
              <w:top w:val="single" w:sz="4" w:space="0" w:color="365F91"/>
              <w:bottom w:val="single" w:sz="4" w:space="0" w:color="365F91"/>
            </w:tcBorders>
            <w:vAlign w:val="center"/>
          </w:tcPr>
          <w:p w14:paraId="523E1E55" w14:textId="77777777" w:rsidR="00A10636" w:rsidRPr="00D9348B" w:rsidRDefault="00A10636" w:rsidP="00DE3547">
            <w:pPr>
              <w:pStyle w:val="TableText"/>
              <w:spacing w:before="50" w:after="50"/>
              <w:jc w:val="right"/>
            </w:pPr>
            <w:r w:rsidRPr="00D9348B">
              <w:rPr>
                <w:rFonts w:cs="Arial"/>
                <w:szCs w:val="16"/>
              </w:rPr>
              <w:t xml:space="preserve">–5.3 </w:t>
            </w:r>
          </w:p>
        </w:tc>
        <w:tc>
          <w:tcPr>
            <w:tcW w:w="1307" w:type="dxa"/>
            <w:tcBorders>
              <w:top w:val="single" w:sz="4" w:space="0" w:color="365F91"/>
              <w:bottom w:val="single" w:sz="4" w:space="0" w:color="365F91"/>
            </w:tcBorders>
            <w:vAlign w:val="center"/>
          </w:tcPr>
          <w:p w14:paraId="341E8A35" w14:textId="77777777" w:rsidR="00A10636" w:rsidRPr="00D9348B" w:rsidRDefault="00A10636" w:rsidP="00DE3547">
            <w:pPr>
              <w:pStyle w:val="TableText"/>
              <w:spacing w:before="50" w:after="50"/>
              <w:jc w:val="right"/>
            </w:pPr>
            <w:r w:rsidRPr="00D9348B">
              <w:rPr>
                <w:rFonts w:cs="Arial"/>
                <w:szCs w:val="16"/>
              </w:rPr>
              <w:t>+73.9</w:t>
            </w:r>
          </w:p>
        </w:tc>
      </w:tr>
      <w:tr w:rsidR="00A10636" w:rsidRPr="00D9348B" w14:paraId="33BC07C1" w14:textId="77777777" w:rsidTr="00AD43E8">
        <w:tc>
          <w:tcPr>
            <w:tcW w:w="2770" w:type="dxa"/>
            <w:tcBorders>
              <w:top w:val="single" w:sz="4" w:space="0" w:color="365F91"/>
              <w:bottom w:val="single" w:sz="4" w:space="0" w:color="365F91"/>
            </w:tcBorders>
          </w:tcPr>
          <w:p w14:paraId="72A2C5A9" w14:textId="77777777" w:rsidR="00A10636" w:rsidRPr="00D9348B" w:rsidRDefault="00A10636" w:rsidP="00DE3547">
            <w:pPr>
              <w:pStyle w:val="Tableboldblue"/>
              <w:spacing w:before="50" w:after="50"/>
              <w:jc w:val="right"/>
            </w:pPr>
            <w:r w:rsidRPr="00D9348B">
              <w:t>Total</w:t>
            </w:r>
          </w:p>
        </w:tc>
        <w:tc>
          <w:tcPr>
            <w:tcW w:w="1206" w:type="dxa"/>
            <w:tcBorders>
              <w:top w:val="single" w:sz="4" w:space="0" w:color="365F91"/>
              <w:bottom w:val="single" w:sz="4" w:space="0" w:color="365F91"/>
            </w:tcBorders>
          </w:tcPr>
          <w:p w14:paraId="6985CFB1" w14:textId="77777777" w:rsidR="00A10636" w:rsidRPr="00D9348B" w:rsidRDefault="00A10636" w:rsidP="00DE3547">
            <w:pPr>
              <w:pStyle w:val="Tableboldblue"/>
              <w:spacing w:before="50" w:after="50"/>
              <w:jc w:val="right"/>
            </w:pPr>
            <w:r w:rsidRPr="00D9348B">
              <w:t>764,292</w:t>
            </w:r>
          </w:p>
        </w:tc>
        <w:tc>
          <w:tcPr>
            <w:tcW w:w="1055" w:type="dxa"/>
            <w:tcBorders>
              <w:top w:val="single" w:sz="4" w:space="0" w:color="365F91"/>
              <w:bottom w:val="single" w:sz="4" w:space="0" w:color="365F91"/>
            </w:tcBorders>
          </w:tcPr>
          <w:p w14:paraId="4D7D9756" w14:textId="77777777" w:rsidR="00A10636" w:rsidRPr="00D9348B" w:rsidRDefault="00A10636" w:rsidP="00DE3547">
            <w:pPr>
              <w:pStyle w:val="Tableboldblue"/>
              <w:spacing w:before="50" w:after="50"/>
              <w:jc w:val="right"/>
            </w:pPr>
            <w:r w:rsidRPr="00D9348B">
              <w:t>761,621</w:t>
            </w:r>
          </w:p>
        </w:tc>
        <w:tc>
          <w:tcPr>
            <w:tcW w:w="1055" w:type="dxa"/>
            <w:tcBorders>
              <w:top w:val="single" w:sz="4" w:space="0" w:color="365F91"/>
              <w:bottom w:val="single" w:sz="4" w:space="0" w:color="365F91"/>
            </w:tcBorders>
            <w:vAlign w:val="center"/>
          </w:tcPr>
          <w:p w14:paraId="66239681" w14:textId="77777777" w:rsidR="00A10636" w:rsidRPr="00D9348B" w:rsidRDefault="00A10636" w:rsidP="00DE3547">
            <w:pPr>
              <w:pStyle w:val="Tableboldblue"/>
              <w:spacing w:before="50" w:after="50"/>
              <w:jc w:val="right"/>
            </w:pPr>
            <w:r w:rsidRPr="00D9348B">
              <w:t xml:space="preserve">–10.7 </w:t>
            </w:r>
          </w:p>
        </w:tc>
        <w:tc>
          <w:tcPr>
            <w:tcW w:w="1112" w:type="dxa"/>
            <w:tcBorders>
              <w:top w:val="single" w:sz="4" w:space="0" w:color="365F91"/>
              <w:bottom w:val="single" w:sz="4" w:space="0" w:color="365F91"/>
            </w:tcBorders>
            <w:vAlign w:val="center"/>
          </w:tcPr>
          <w:p w14:paraId="7E51D203" w14:textId="77777777" w:rsidR="00A10636" w:rsidRPr="00D9348B" w:rsidRDefault="00A10636" w:rsidP="00DE3547">
            <w:pPr>
              <w:pStyle w:val="Tableboldblue"/>
              <w:spacing w:before="50" w:after="50"/>
              <w:jc w:val="right"/>
            </w:pPr>
            <w:r w:rsidRPr="00D9348B">
              <w:t>+13.6</w:t>
            </w:r>
          </w:p>
        </w:tc>
        <w:tc>
          <w:tcPr>
            <w:tcW w:w="1307" w:type="dxa"/>
            <w:tcBorders>
              <w:top w:val="single" w:sz="4" w:space="0" w:color="365F91"/>
              <w:bottom w:val="single" w:sz="4" w:space="0" w:color="365F91"/>
            </w:tcBorders>
            <w:vAlign w:val="center"/>
          </w:tcPr>
          <w:p w14:paraId="23F2C6A9" w14:textId="77777777" w:rsidR="00A10636" w:rsidRPr="00D9348B" w:rsidRDefault="00A10636" w:rsidP="00DE3547">
            <w:pPr>
              <w:pStyle w:val="Tableboldblue"/>
              <w:spacing w:before="50" w:after="50"/>
              <w:jc w:val="right"/>
            </w:pPr>
            <w:r w:rsidRPr="00D9348B">
              <w:t>+227.2</w:t>
            </w:r>
          </w:p>
        </w:tc>
      </w:tr>
    </w:tbl>
    <w:p w14:paraId="4F824018" w14:textId="77777777" w:rsidR="00A10636" w:rsidRPr="00D9348B" w:rsidRDefault="00A10636" w:rsidP="00007F6A">
      <w:pPr>
        <w:pStyle w:val="Noteundertable"/>
        <w:spacing w:after="80"/>
      </w:pPr>
      <w:r w:rsidRPr="00D9348B">
        <w:rPr>
          <w:b/>
        </w:rPr>
        <w:t xml:space="preserve">Note: </w:t>
      </w:r>
      <w:r w:rsidRPr="00D9348B">
        <w:rPr>
          <w:b/>
        </w:rPr>
        <w:tab/>
      </w:r>
      <w:r w:rsidRPr="00D9348B">
        <w:t>Net area in 1990 is as at 1 January 1990; net area in 2018 is as at 31 December.</w:t>
      </w:r>
      <w:r w:rsidRPr="00D9348B">
        <w:rPr>
          <w:i/>
        </w:rPr>
        <w:t xml:space="preserve"> Land converted to wetlands</w:t>
      </w:r>
      <w:r w:rsidRPr="00D9348B">
        <w:t xml:space="preserve"> includes land converted up to 28 years prior. </w:t>
      </w:r>
      <w:r w:rsidRPr="00D9348B">
        <w:rPr>
          <w:i/>
        </w:rPr>
        <w:t>Land converted to wetlands</w:t>
      </w:r>
      <w:r w:rsidRPr="00D9348B">
        <w:t xml:space="preserve"> consists of land converted to hydro lakes prior to 1990. Net emission values are for the whole year indicated. Columns may not total due to rounding. </w:t>
      </w:r>
    </w:p>
    <w:p w14:paraId="52E1AF69" w14:textId="77777777" w:rsidR="00A10636" w:rsidRPr="00D9348B" w:rsidRDefault="00A10636" w:rsidP="00A10636">
      <w:pPr>
        <w:pStyle w:val="BodyText"/>
      </w:pPr>
      <w:r w:rsidRPr="00D9348B">
        <w:t xml:space="preserve">From 1990 to 2018, the net carbon stock in </w:t>
      </w:r>
      <w:r w:rsidRPr="00D9348B">
        <w:rPr>
          <w:i/>
        </w:rPr>
        <w:t>Wetlands</w:t>
      </w:r>
      <w:r w:rsidRPr="00D9348B">
        <w:t xml:space="preserve"> decreased by 3.5 kt C, equivalent to emissions of 12.7 kt CO</w:t>
      </w:r>
      <w:r w:rsidRPr="00D9348B">
        <w:rPr>
          <w:vertAlign w:val="subscript"/>
        </w:rPr>
        <w:t>2</w:t>
      </w:r>
      <w:r w:rsidRPr="00D9348B">
        <w:t xml:space="preserve"> in total since 1990 (see table 6.7.2).</w:t>
      </w:r>
    </w:p>
    <w:p w14:paraId="37132F0E" w14:textId="77777777" w:rsidR="00A10636" w:rsidRPr="00D9348B" w:rsidRDefault="00A10636" w:rsidP="00A10636">
      <w:pPr>
        <w:pStyle w:val="Table"/>
      </w:pPr>
      <w:bookmarkStart w:id="2278" w:name="_Toc342470785"/>
      <w:bookmarkStart w:id="2279" w:name="_Toc352505025"/>
      <w:bookmarkStart w:id="2280" w:name="_Toc378853314"/>
      <w:bookmarkStart w:id="2281" w:name="_Toc391024112"/>
      <w:bookmarkStart w:id="2282" w:name="_Toc410028855"/>
      <w:bookmarkStart w:id="2283" w:name="_Toc414531483"/>
      <w:bookmarkStart w:id="2284" w:name="_Toc443645396"/>
      <w:bookmarkStart w:id="2285" w:name="_Toc474914615"/>
      <w:bookmarkStart w:id="2286" w:name="_Toc481751579"/>
      <w:bookmarkStart w:id="2287" w:name="_Toc522010636"/>
      <w:bookmarkStart w:id="2288" w:name="_Toc5269541"/>
      <w:bookmarkStart w:id="2289" w:name="_Toc33529415"/>
      <w:bookmarkStart w:id="2290" w:name="_Toc36224621"/>
      <w:r w:rsidRPr="00D9348B">
        <w:t>Table 6.7.2</w:t>
      </w:r>
      <w:r w:rsidRPr="00D9348B">
        <w:tab/>
        <w:t>New Zealand’s carbon stock change by carbon pool for the Wetlands category from 1990 to</w:t>
      </w:r>
      <w:bookmarkEnd w:id="2278"/>
      <w:bookmarkEnd w:id="2279"/>
      <w:bookmarkEnd w:id="2280"/>
      <w:bookmarkEnd w:id="2281"/>
      <w:r w:rsidRPr="00D9348B">
        <w:t> 201</w:t>
      </w:r>
      <w:bookmarkEnd w:id="2282"/>
      <w:bookmarkEnd w:id="2283"/>
      <w:bookmarkEnd w:id="2284"/>
      <w:bookmarkEnd w:id="2285"/>
      <w:bookmarkEnd w:id="2286"/>
      <w:r w:rsidRPr="00D9348B">
        <w:t>8</w:t>
      </w:r>
      <w:bookmarkEnd w:id="2287"/>
      <w:bookmarkEnd w:id="2288"/>
      <w:bookmarkEnd w:id="2289"/>
      <w:bookmarkEnd w:id="2290"/>
    </w:p>
    <w:tbl>
      <w:tblPr>
        <w:tblW w:w="8165" w:type="dxa"/>
        <w:tblInd w:w="108" w:type="dxa"/>
        <w:tblLayout w:type="fixed"/>
        <w:tblLook w:val="04A0" w:firstRow="1" w:lastRow="0" w:firstColumn="1" w:lastColumn="0" w:noHBand="0" w:noVBand="1"/>
      </w:tblPr>
      <w:tblGrid>
        <w:gridCol w:w="2127"/>
        <w:gridCol w:w="1206"/>
        <w:gridCol w:w="1629"/>
        <w:gridCol w:w="866"/>
        <w:gridCol w:w="1150"/>
        <w:gridCol w:w="1187"/>
      </w:tblGrid>
      <w:tr w:rsidR="00A10636" w:rsidRPr="00D9348B" w14:paraId="22E00D10" w14:textId="77777777" w:rsidTr="003557B6">
        <w:tc>
          <w:tcPr>
            <w:tcW w:w="2127" w:type="dxa"/>
            <w:vMerge w:val="restart"/>
            <w:tcBorders>
              <w:top w:val="single" w:sz="4" w:space="0" w:color="365F91"/>
            </w:tcBorders>
            <w:shd w:val="clear" w:color="auto" w:fill="365F91"/>
            <w:vAlign w:val="bottom"/>
          </w:tcPr>
          <w:p w14:paraId="7600F2BE" w14:textId="77777777" w:rsidR="00A10636" w:rsidRPr="00D9348B" w:rsidRDefault="00A10636" w:rsidP="00DB330E">
            <w:pPr>
              <w:pStyle w:val="TableTextBold"/>
              <w:spacing w:before="40" w:after="40"/>
              <w:rPr>
                <w:noProof w:val="0"/>
                <w:color w:val="FFFFFF"/>
              </w:rPr>
            </w:pPr>
            <w:r w:rsidRPr="00D9348B">
              <w:rPr>
                <w:noProof w:val="0"/>
                <w:color w:val="FFFFFF"/>
              </w:rPr>
              <w:t>Land use</w:t>
            </w:r>
          </w:p>
        </w:tc>
        <w:tc>
          <w:tcPr>
            <w:tcW w:w="4851" w:type="dxa"/>
            <w:gridSpan w:val="4"/>
            <w:tcBorders>
              <w:top w:val="single" w:sz="4" w:space="0" w:color="365F91"/>
            </w:tcBorders>
            <w:shd w:val="clear" w:color="auto" w:fill="365F91"/>
            <w:vAlign w:val="bottom"/>
          </w:tcPr>
          <w:p w14:paraId="1D6D47E1" w14:textId="77777777" w:rsidR="00A10636" w:rsidRPr="00D9348B" w:rsidRDefault="00A10636" w:rsidP="00DB330E">
            <w:pPr>
              <w:pStyle w:val="TableTextBold"/>
              <w:spacing w:before="40" w:after="40"/>
              <w:jc w:val="center"/>
              <w:rPr>
                <w:noProof w:val="0"/>
                <w:color w:val="FFFFFF"/>
              </w:rPr>
            </w:pPr>
            <w:r w:rsidRPr="00D9348B">
              <w:rPr>
                <w:noProof w:val="0"/>
                <w:color w:val="FFFFFF"/>
              </w:rPr>
              <w:t>Net carbon stock change 1990–2018 (kt C)</w:t>
            </w:r>
          </w:p>
        </w:tc>
        <w:tc>
          <w:tcPr>
            <w:tcW w:w="1187" w:type="dxa"/>
            <w:vMerge w:val="restart"/>
            <w:tcBorders>
              <w:top w:val="single" w:sz="4" w:space="0" w:color="365F91"/>
            </w:tcBorders>
            <w:shd w:val="clear" w:color="auto" w:fill="365F91"/>
            <w:vAlign w:val="bottom"/>
          </w:tcPr>
          <w:p w14:paraId="046B491A" w14:textId="77777777" w:rsidR="00A10636" w:rsidRPr="00D9348B" w:rsidRDefault="00A10636" w:rsidP="00DB330E">
            <w:pPr>
              <w:pStyle w:val="TableTextBold"/>
              <w:spacing w:before="40" w:after="40"/>
              <w:jc w:val="right"/>
              <w:rPr>
                <w:noProof w:val="0"/>
                <w:color w:val="FFFFFF"/>
              </w:rPr>
            </w:pPr>
            <w:r w:rsidRPr="00D9348B">
              <w:rPr>
                <w:noProof w:val="0"/>
                <w:color w:val="FFFFFF"/>
              </w:rPr>
              <w:t>Emissions 1990–2018</w:t>
            </w:r>
            <w:r w:rsidRPr="00D9348B">
              <w:rPr>
                <w:noProof w:val="0"/>
                <w:color w:val="FFFFFF"/>
              </w:rPr>
              <w:br/>
              <w:t>(kt CO</w:t>
            </w:r>
            <w:r w:rsidRPr="00D9348B">
              <w:rPr>
                <w:noProof w:val="0"/>
                <w:color w:val="FFFFFF"/>
                <w:vertAlign w:val="subscript"/>
              </w:rPr>
              <w:t>2</w:t>
            </w:r>
            <w:r w:rsidRPr="00D9348B">
              <w:rPr>
                <w:noProof w:val="0"/>
                <w:color w:val="FFFFFF"/>
              </w:rPr>
              <w:t>)</w:t>
            </w:r>
          </w:p>
        </w:tc>
      </w:tr>
      <w:tr w:rsidR="00A10636" w:rsidRPr="00D9348B" w14:paraId="05544DDA" w14:textId="77777777" w:rsidTr="003557B6">
        <w:tc>
          <w:tcPr>
            <w:tcW w:w="2127" w:type="dxa"/>
            <w:vMerge/>
            <w:tcBorders>
              <w:bottom w:val="single" w:sz="4" w:space="0" w:color="365F91"/>
            </w:tcBorders>
          </w:tcPr>
          <w:p w14:paraId="0861F582" w14:textId="77777777" w:rsidR="00A10636" w:rsidRPr="00D9348B" w:rsidRDefault="00A10636" w:rsidP="00DB330E">
            <w:pPr>
              <w:pStyle w:val="TableTextBold"/>
              <w:spacing w:before="40" w:after="40"/>
              <w:rPr>
                <w:noProof w:val="0"/>
                <w:color w:val="FFFFFF"/>
              </w:rPr>
            </w:pPr>
          </w:p>
        </w:tc>
        <w:tc>
          <w:tcPr>
            <w:tcW w:w="1206" w:type="dxa"/>
            <w:tcBorders>
              <w:bottom w:val="single" w:sz="4" w:space="0" w:color="365F91"/>
            </w:tcBorders>
            <w:shd w:val="clear" w:color="auto" w:fill="365F91"/>
            <w:vAlign w:val="bottom"/>
          </w:tcPr>
          <w:p w14:paraId="311435C6" w14:textId="77777777" w:rsidR="00A10636" w:rsidRPr="00D9348B" w:rsidRDefault="00A10636" w:rsidP="00DB330E">
            <w:pPr>
              <w:pStyle w:val="TableTextBold"/>
              <w:spacing w:before="40" w:after="40"/>
              <w:jc w:val="right"/>
              <w:rPr>
                <w:noProof w:val="0"/>
                <w:color w:val="FFFFFF"/>
              </w:rPr>
            </w:pPr>
            <w:r w:rsidRPr="00D9348B">
              <w:rPr>
                <w:noProof w:val="0"/>
                <w:color w:val="FFFFFF"/>
              </w:rPr>
              <w:t>Living biomass</w:t>
            </w:r>
          </w:p>
        </w:tc>
        <w:tc>
          <w:tcPr>
            <w:tcW w:w="1629" w:type="dxa"/>
            <w:tcBorders>
              <w:bottom w:val="single" w:sz="4" w:space="0" w:color="365F91"/>
            </w:tcBorders>
            <w:shd w:val="clear" w:color="auto" w:fill="365F91"/>
            <w:vAlign w:val="bottom"/>
          </w:tcPr>
          <w:p w14:paraId="6F5FB396" w14:textId="77777777" w:rsidR="00A10636" w:rsidRPr="00D9348B" w:rsidRDefault="00A10636" w:rsidP="00DB330E">
            <w:pPr>
              <w:pStyle w:val="TableTextBold"/>
              <w:spacing w:before="40" w:after="40"/>
              <w:jc w:val="right"/>
              <w:rPr>
                <w:noProof w:val="0"/>
                <w:color w:val="FFFFFF"/>
              </w:rPr>
            </w:pPr>
            <w:r w:rsidRPr="00D9348B">
              <w:rPr>
                <w:noProof w:val="0"/>
                <w:color w:val="FFFFFF"/>
              </w:rPr>
              <w:t>Dead organic matter</w:t>
            </w:r>
          </w:p>
        </w:tc>
        <w:tc>
          <w:tcPr>
            <w:tcW w:w="866" w:type="dxa"/>
            <w:tcBorders>
              <w:bottom w:val="single" w:sz="4" w:space="0" w:color="365F91"/>
            </w:tcBorders>
            <w:shd w:val="clear" w:color="auto" w:fill="365F91"/>
            <w:vAlign w:val="bottom"/>
          </w:tcPr>
          <w:p w14:paraId="45796658" w14:textId="77777777" w:rsidR="00A10636" w:rsidRPr="00D9348B" w:rsidRDefault="00A10636" w:rsidP="00DB330E">
            <w:pPr>
              <w:pStyle w:val="TableTextBold"/>
              <w:spacing w:before="40" w:after="40"/>
              <w:jc w:val="right"/>
              <w:rPr>
                <w:noProof w:val="0"/>
                <w:color w:val="FFFFFF"/>
              </w:rPr>
            </w:pPr>
            <w:r w:rsidRPr="00D9348B">
              <w:rPr>
                <w:noProof w:val="0"/>
                <w:color w:val="FFFFFF"/>
              </w:rPr>
              <w:t>Soils</w:t>
            </w:r>
          </w:p>
        </w:tc>
        <w:tc>
          <w:tcPr>
            <w:tcW w:w="1150" w:type="dxa"/>
            <w:tcBorders>
              <w:bottom w:val="single" w:sz="4" w:space="0" w:color="365F91"/>
            </w:tcBorders>
            <w:shd w:val="clear" w:color="auto" w:fill="365F91"/>
            <w:vAlign w:val="bottom"/>
          </w:tcPr>
          <w:p w14:paraId="5D582AB0" w14:textId="77777777" w:rsidR="00A10636" w:rsidRPr="00D9348B" w:rsidRDefault="00A10636" w:rsidP="00DB330E">
            <w:pPr>
              <w:pStyle w:val="TableTextBold"/>
              <w:spacing w:before="40" w:after="40"/>
              <w:jc w:val="right"/>
              <w:rPr>
                <w:noProof w:val="0"/>
                <w:color w:val="FFFFFF"/>
              </w:rPr>
            </w:pPr>
            <w:r w:rsidRPr="00D9348B">
              <w:rPr>
                <w:noProof w:val="0"/>
                <w:color w:val="FFFFFF"/>
              </w:rPr>
              <w:t>Total</w:t>
            </w:r>
          </w:p>
        </w:tc>
        <w:tc>
          <w:tcPr>
            <w:tcW w:w="1187" w:type="dxa"/>
            <w:vMerge/>
            <w:tcBorders>
              <w:bottom w:val="single" w:sz="4" w:space="0" w:color="365F91"/>
            </w:tcBorders>
          </w:tcPr>
          <w:p w14:paraId="1A6A9149" w14:textId="77777777" w:rsidR="00A10636" w:rsidRPr="00D9348B" w:rsidRDefault="00A10636" w:rsidP="00DB330E">
            <w:pPr>
              <w:pStyle w:val="TableTextBold"/>
              <w:spacing w:before="40" w:after="40"/>
              <w:jc w:val="center"/>
              <w:rPr>
                <w:noProof w:val="0"/>
                <w:color w:val="FFFFFF"/>
              </w:rPr>
            </w:pPr>
          </w:p>
        </w:tc>
      </w:tr>
      <w:tr w:rsidR="00A10636" w:rsidRPr="00D9348B" w14:paraId="430D8E72" w14:textId="77777777" w:rsidTr="003557B6">
        <w:trPr>
          <w:trHeight w:val="221"/>
        </w:trPr>
        <w:tc>
          <w:tcPr>
            <w:tcW w:w="2127" w:type="dxa"/>
            <w:tcBorders>
              <w:top w:val="single" w:sz="4" w:space="0" w:color="365F91"/>
              <w:bottom w:val="single" w:sz="4" w:space="0" w:color="365F91"/>
            </w:tcBorders>
          </w:tcPr>
          <w:p w14:paraId="0E3B5DBE" w14:textId="77777777" w:rsidR="00A10636" w:rsidRPr="00D9348B" w:rsidRDefault="00A10636" w:rsidP="003557B6">
            <w:pPr>
              <w:pStyle w:val="TableText"/>
              <w:spacing w:before="40" w:after="40"/>
            </w:pPr>
            <w:r w:rsidRPr="00D9348B">
              <w:t>Wetlands – vegetated</w:t>
            </w:r>
          </w:p>
        </w:tc>
        <w:tc>
          <w:tcPr>
            <w:tcW w:w="1206" w:type="dxa"/>
            <w:tcBorders>
              <w:top w:val="single" w:sz="4" w:space="0" w:color="365F91"/>
              <w:bottom w:val="single" w:sz="4" w:space="0" w:color="365F91"/>
            </w:tcBorders>
          </w:tcPr>
          <w:p w14:paraId="168808AF" w14:textId="77777777" w:rsidR="00A10636" w:rsidRPr="00D9348B" w:rsidRDefault="00A10636" w:rsidP="003557B6">
            <w:pPr>
              <w:pStyle w:val="TableText"/>
              <w:spacing w:before="40" w:after="40"/>
              <w:jc w:val="right"/>
            </w:pPr>
            <w:r w:rsidRPr="00D9348B">
              <w:t>–22.7</w:t>
            </w:r>
          </w:p>
        </w:tc>
        <w:tc>
          <w:tcPr>
            <w:tcW w:w="1629" w:type="dxa"/>
            <w:tcBorders>
              <w:top w:val="single" w:sz="4" w:space="0" w:color="365F91"/>
              <w:bottom w:val="single" w:sz="4" w:space="0" w:color="365F91"/>
            </w:tcBorders>
          </w:tcPr>
          <w:p w14:paraId="7BC1E010" w14:textId="77777777" w:rsidR="00A10636" w:rsidRPr="00D9348B" w:rsidRDefault="00A10636" w:rsidP="003557B6">
            <w:pPr>
              <w:pStyle w:val="TableText"/>
              <w:spacing w:before="40" w:after="40"/>
              <w:jc w:val="right"/>
            </w:pPr>
            <w:r w:rsidRPr="00D9348B">
              <w:t>–1.6</w:t>
            </w:r>
          </w:p>
        </w:tc>
        <w:tc>
          <w:tcPr>
            <w:tcW w:w="866" w:type="dxa"/>
            <w:tcBorders>
              <w:top w:val="single" w:sz="4" w:space="0" w:color="365F91"/>
              <w:bottom w:val="single" w:sz="4" w:space="0" w:color="365F91"/>
            </w:tcBorders>
          </w:tcPr>
          <w:p w14:paraId="57BDB262" w14:textId="77777777" w:rsidR="00A10636" w:rsidRPr="00D9348B" w:rsidRDefault="00A10636" w:rsidP="003557B6">
            <w:pPr>
              <w:pStyle w:val="TableText"/>
              <w:spacing w:before="40" w:after="40"/>
              <w:jc w:val="right"/>
            </w:pPr>
            <w:r w:rsidRPr="00D9348B">
              <w:t>7.9</w:t>
            </w:r>
          </w:p>
        </w:tc>
        <w:tc>
          <w:tcPr>
            <w:tcW w:w="1150" w:type="dxa"/>
            <w:tcBorders>
              <w:top w:val="single" w:sz="4" w:space="0" w:color="365F91"/>
              <w:bottom w:val="single" w:sz="4" w:space="0" w:color="365F91"/>
            </w:tcBorders>
          </w:tcPr>
          <w:p w14:paraId="23713B16" w14:textId="77777777" w:rsidR="00A10636" w:rsidRPr="00D9348B" w:rsidRDefault="00A10636" w:rsidP="003557B6">
            <w:pPr>
              <w:pStyle w:val="TableText"/>
              <w:spacing w:before="40" w:after="40"/>
              <w:jc w:val="right"/>
            </w:pPr>
            <w:r w:rsidRPr="00D9348B">
              <w:t>–16.3</w:t>
            </w:r>
          </w:p>
        </w:tc>
        <w:tc>
          <w:tcPr>
            <w:tcW w:w="1187" w:type="dxa"/>
            <w:tcBorders>
              <w:top w:val="single" w:sz="4" w:space="0" w:color="365F91"/>
              <w:bottom w:val="single" w:sz="4" w:space="0" w:color="365F91"/>
            </w:tcBorders>
          </w:tcPr>
          <w:p w14:paraId="49F47A88" w14:textId="77777777" w:rsidR="00A10636" w:rsidRPr="00D9348B" w:rsidRDefault="00A10636" w:rsidP="003557B6">
            <w:pPr>
              <w:pStyle w:val="TableText"/>
              <w:spacing w:before="40" w:after="40"/>
              <w:jc w:val="right"/>
            </w:pPr>
            <w:r w:rsidRPr="00D9348B">
              <w:t>59.8</w:t>
            </w:r>
          </w:p>
        </w:tc>
      </w:tr>
      <w:tr w:rsidR="00A10636" w:rsidRPr="00D9348B" w14:paraId="7A0B2AE9" w14:textId="77777777" w:rsidTr="003557B6">
        <w:tc>
          <w:tcPr>
            <w:tcW w:w="2127" w:type="dxa"/>
            <w:tcBorders>
              <w:top w:val="single" w:sz="4" w:space="0" w:color="365F91"/>
              <w:bottom w:val="single" w:sz="4" w:space="0" w:color="365F91"/>
            </w:tcBorders>
          </w:tcPr>
          <w:p w14:paraId="7A1E797C" w14:textId="77777777" w:rsidR="00A10636" w:rsidRPr="00D9348B" w:rsidRDefault="00A10636" w:rsidP="003557B6">
            <w:pPr>
              <w:pStyle w:val="TableText"/>
              <w:spacing w:before="40" w:after="40"/>
            </w:pPr>
            <w:r w:rsidRPr="00D9348B">
              <w:t>Wetlands – open water</w:t>
            </w:r>
          </w:p>
        </w:tc>
        <w:tc>
          <w:tcPr>
            <w:tcW w:w="1206" w:type="dxa"/>
            <w:tcBorders>
              <w:top w:val="single" w:sz="4" w:space="0" w:color="365F91"/>
              <w:bottom w:val="single" w:sz="4" w:space="0" w:color="365F91"/>
            </w:tcBorders>
          </w:tcPr>
          <w:p w14:paraId="7E279496" w14:textId="77777777" w:rsidR="00A10636" w:rsidRPr="00D9348B" w:rsidRDefault="00A10636" w:rsidP="003557B6">
            <w:pPr>
              <w:pStyle w:val="TableText"/>
              <w:spacing w:before="40" w:after="40"/>
              <w:jc w:val="right"/>
            </w:pPr>
            <w:r w:rsidRPr="00D9348B">
              <w:t>–77.7</w:t>
            </w:r>
          </w:p>
        </w:tc>
        <w:tc>
          <w:tcPr>
            <w:tcW w:w="1629" w:type="dxa"/>
            <w:tcBorders>
              <w:top w:val="single" w:sz="4" w:space="0" w:color="365F91"/>
              <w:bottom w:val="single" w:sz="4" w:space="0" w:color="365F91"/>
            </w:tcBorders>
          </w:tcPr>
          <w:p w14:paraId="4F7C3926" w14:textId="77777777" w:rsidR="00A10636" w:rsidRPr="00D9348B" w:rsidRDefault="00A10636" w:rsidP="003557B6">
            <w:pPr>
              <w:pStyle w:val="TableText"/>
              <w:spacing w:before="40" w:after="40"/>
              <w:jc w:val="right"/>
            </w:pPr>
            <w:r w:rsidRPr="00D9348B">
              <w:t>–5.5</w:t>
            </w:r>
          </w:p>
        </w:tc>
        <w:tc>
          <w:tcPr>
            <w:tcW w:w="866" w:type="dxa"/>
            <w:tcBorders>
              <w:top w:val="single" w:sz="4" w:space="0" w:color="365F91"/>
              <w:bottom w:val="single" w:sz="4" w:space="0" w:color="365F91"/>
            </w:tcBorders>
          </w:tcPr>
          <w:p w14:paraId="6BA94DFB" w14:textId="77777777" w:rsidR="00A10636" w:rsidRPr="00D9348B" w:rsidRDefault="00A10636" w:rsidP="003557B6">
            <w:pPr>
              <w:pStyle w:val="TableText"/>
              <w:spacing w:before="40" w:after="40"/>
              <w:jc w:val="right"/>
            </w:pPr>
            <w:r w:rsidRPr="00D9348B">
              <w:t>96.0</w:t>
            </w:r>
          </w:p>
        </w:tc>
        <w:tc>
          <w:tcPr>
            <w:tcW w:w="1150" w:type="dxa"/>
            <w:tcBorders>
              <w:top w:val="single" w:sz="4" w:space="0" w:color="365F91"/>
              <w:bottom w:val="single" w:sz="4" w:space="0" w:color="365F91"/>
            </w:tcBorders>
          </w:tcPr>
          <w:p w14:paraId="59217498" w14:textId="77777777" w:rsidR="00A10636" w:rsidRPr="00D9348B" w:rsidRDefault="00A10636" w:rsidP="003557B6">
            <w:pPr>
              <w:pStyle w:val="TableText"/>
              <w:spacing w:before="40" w:after="40"/>
              <w:jc w:val="right"/>
            </w:pPr>
            <w:r w:rsidRPr="00D9348B">
              <w:t>12.8</w:t>
            </w:r>
          </w:p>
        </w:tc>
        <w:tc>
          <w:tcPr>
            <w:tcW w:w="1187" w:type="dxa"/>
            <w:tcBorders>
              <w:top w:val="single" w:sz="4" w:space="0" w:color="365F91"/>
              <w:bottom w:val="single" w:sz="4" w:space="0" w:color="365F91"/>
            </w:tcBorders>
          </w:tcPr>
          <w:p w14:paraId="7382BFF6" w14:textId="77777777" w:rsidR="00A10636" w:rsidRPr="00D9348B" w:rsidRDefault="00A10636" w:rsidP="003557B6">
            <w:pPr>
              <w:pStyle w:val="TableText"/>
              <w:spacing w:before="40" w:after="40"/>
              <w:jc w:val="right"/>
            </w:pPr>
            <w:r w:rsidRPr="00D9348B">
              <w:t>–47.1</w:t>
            </w:r>
          </w:p>
        </w:tc>
      </w:tr>
      <w:tr w:rsidR="00A10636" w:rsidRPr="00D9348B" w14:paraId="6ABC5D17" w14:textId="77777777" w:rsidTr="003557B6">
        <w:tc>
          <w:tcPr>
            <w:tcW w:w="2127" w:type="dxa"/>
            <w:tcBorders>
              <w:top w:val="single" w:sz="4" w:space="0" w:color="365F91"/>
              <w:bottom w:val="single" w:sz="4" w:space="0" w:color="365F91"/>
            </w:tcBorders>
          </w:tcPr>
          <w:p w14:paraId="197A383D" w14:textId="77777777" w:rsidR="00A10636" w:rsidRPr="00D9348B" w:rsidRDefault="00A10636" w:rsidP="003557B6">
            <w:pPr>
              <w:pStyle w:val="Tableboldblue"/>
              <w:spacing w:before="40" w:after="40"/>
              <w:jc w:val="right"/>
            </w:pPr>
            <w:r w:rsidRPr="00D9348B">
              <w:t>Total</w:t>
            </w:r>
          </w:p>
        </w:tc>
        <w:tc>
          <w:tcPr>
            <w:tcW w:w="1206" w:type="dxa"/>
            <w:tcBorders>
              <w:top w:val="single" w:sz="4" w:space="0" w:color="365F91"/>
              <w:bottom w:val="single" w:sz="4" w:space="0" w:color="365F91"/>
            </w:tcBorders>
          </w:tcPr>
          <w:p w14:paraId="00CC3EED" w14:textId="77777777" w:rsidR="00A10636" w:rsidRPr="00D9348B" w:rsidRDefault="00A10636" w:rsidP="003557B6">
            <w:pPr>
              <w:pStyle w:val="Tableboldblue"/>
              <w:spacing w:before="40" w:after="40"/>
              <w:jc w:val="right"/>
              <w:rPr>
                <w:color w:val="44546A"/>
              </w:rPr>
            </w:pPr>
            <w:r w:rsidRPr="00D9348B">
              <w:t>–100.3</w:t>
            </w:r>
          </w:p>
        </w:tc>
        <w:tc>
          <w:tcPr>
            <w:tcW w:w="1629" w:type="dxa"/>
            <w:tcBorders>
              <w:top w:val="single" w:sz="4" w:space="0" w:color="365F91"/>
              <w:bottom w:val="single" w:sz="4" w:space="0" w:color="365F91"/>
            </w:tcBorders>
          </w:tcPr>
          <w:p w14:paraId="3696B781" w14:textId="77777777" w:rsidR="00A10636" w:rsidRPr="00D9348B" w:rsidRDefault="00A10636" w:rsidP="003557B6">
            <w:pPr>
              <w:pStyle w:val="Tableboldblue"/>
              <w:spacing w:before="40" w:after="40"/>
              <w:jc w:val="right"/>
              <w:rPr>
                <w:color w:val="44546A"/>
              </w:rPr>
            </w:pPr>
            <w:r w:rsidRPr="00D9348B">
              <w:t>–7.1</w:t>
            </w:r>
          </w:p>
        </w:tc>
        <w:tc>
          <w:tcPr>
            <w:tcW w:w="866" w:type="dxa"/>
            <w:tcBorders>
              <w:top w:val="single" w:sz="4" w:space="0" w:color="365F91"/>
              <w:bottom w:val="single" w:sz="4" w:space="0" w:color="365F91"/>
            </w:tcBorders>
          </w:tcPr>
          <w:p w14:paraId="4F0AAC8D" w14:textId="77777777" w:rsidR="00A10636" w:rsidRPr="00D9348B" w:rsidRDefault="00A10636" w:rsidP="003557B6">
            <w:pPr>
              <w:pStyle w:val="Tableboldblue"/>
              <w:spacing w:before="40" w:after="40"/>
              <w:jc w:val="right"/>
              <w:rPr>
                <w:color w:val="44546A"/>
              </w:rPr>
            </w:pPr>
            <w:r w:rsidRPr="00D9348B">
              <w:t>104.0</w:t>
            </w:r>
          </w:p>
        </w:tc>
        <w:tc>
          <w:tcPr>
            <w:tcW w:w="1150" w:type="dxa"/>
            <w:tcBorders>
              <w:top w:val="single" w:sz="4" w:space="0" w:color="365F91"/>
              <w:bottom w:val="single" w:sz="4" w:space="0" w:color="365F91"/>
            </w:tcBorders>
          </w:tcPr>
          <w:p w14:paraId="678A769C" w14:textId="77777777" w:rsidR="00A10636" w:rsidRPr="00D9348B" w:rsidRDefault="00A10636" w:rsidP="003557B6">
            <w:pPr>
              <w:pStyle w:val="Tableboldblue"/>
              <w:spacing w:before="40" w:after="40"/>
              <w:jc w:val="right"/>
              <w:rPr>
                <w:color w:val="44546A"/>
              </w:rPr>
            </w:pPr>
            <w:r w:rsidRPr="00D9348B">
              <w:t>–3.5</w:t>
            </w:r>
          </w:p>
        </w:tc>
        <w:tc>
          <w:tcPr>
            <w:tcW w:w="1187" w:type="dxa"/>
            <w:tcBorders>
              <w:top w:val="single" w:sz="4" w:space="0" w:color="365F91"/>
              <w:bottom w:val="single" w:sz="4" w:space="0" w:color="365F91"/>
            </w:tcBorders>
          </w:tcPr>
          <w:p w14:paraId="45F53343" w14:textId="77777777" w:rsidR="00A10636" w:rsidRPr="00D9348B" w:rsidRDefault="00A10636" w:rsidP="003557B6">
            <w:pPr>
              <w:pStyle w:val="Tableboldblue"/>
              <w:spacing w:before="40" w:after="40"/>
              <w:jc w:val="right"/>
              <w:rPr>
                <w:color w:val="44546A"/>
              </w:rPr>
            </w:pPr>
            <w:r w:rsidRPr="00D9348B">
              <w:t>12.7</w:t>
            </w:r>
          </w:p>
        </w:tc>
      </w:tr>
    </w:tbl>
    <w:p w14:paraId="574C2DB2" w14:textId="77777777" w:rsidR="00A10636" w:rsidRPr="00D9348B" w:rsidRDefault="00A10636" w:rsidP="00007F6A">
      <w:pPr>
        <w:pStyle w:val="Noteundertable"/>
        <w:spacing w:after="80"/>
      </w:pPr>
      <w:r w:rsidRPr="00D9348B">
        <w:rPr>
          <w:b/>
        </w:rPr>
        <w:t xml:space="preserve">Note: </w:t>
      </w:r>
      <w:r w:rsidRPr="00D9348B">
        <w:rPr>
          <w:b/>
        </w:rPr>
        <w:tab/>
      </w:r>
      <w:r w:rsidRPr="00D9348B">
        <w:t>Columns may not total due to rounding.</w:t>
      </w:r>
    </w:p>
    <w:p w14:paraId="2081E68C" w14:textId="77777777" w:rsidR="00A10636" w:rsidRPr="00D9348B" w:rsidRDefault="00A10636" w:rsidP="00A10636">
      <w:pPr>
        <w:pStyle w:val="Heading3"/>
      </w:pPr>
      <w:r w:rsidRPr="00D9348B">
        <w:t>6.7.2</w:t>
      </w:r>
      <w:r w:rsidRPr="00D9348B">
        <w:tab/>
        <w:t>Methodological issues</w:t>
      </w:r>
    </w:p>
    <w:p w14:paraId="32765D61" w14:textId="77777777" w:rsidR="00A10636" w:rsidRPr="00D9348B" w:rsidRDefault="00A10636" w:rsidP="00DE20B8">
      <w:pPr>
        <w:pStyle w:val="Heading4"/>
        <w:spacing w:before="160"/>
      </w:pPr>
      <w:r w:rsidRPr="00D9348B">
        <w:t>Wetlands remaining wetlands (CRF 4.D.1)</w:t>
      </w:r>
    </w:p>
    <w:p w14:paraId="01E927E3" w14:textId="77777777" w:rsidR="00A10636" w:rsidRPr="00D9348B" w:rsidRDefault="00A10636" w:rsidP="00A10636">
      <w:pPr>
        <w:pStyle w:val="Heading5"/>
        <w:spacing w:before="160"/>
      </w:pPr>
      <w:r w:rsidRPr="00D9348B">
        <w:t xml:space="preserve">Living biomass and dead organic matter </w:t>
      </w:r>
    </w:p>
    <w:p w14:paraId="68ABD42D" w14:textId="77777777" w:rsidR="00A10636" w:rsidRPr="00D9348B" w:rsidRDefault="00A10636" w:rsidP="003557B6">
      <w:pPr>
        <w:pStyle w:val="BodyText"/>
        <w:spacing w:before="100" w:after="100"/>
        <w:rPr>
          <w:spacing w:val="-2"/>
        </w:rPr>
      </w:pPr>
      <w:r w:rsidRPr="00D9348B">
        <w:rPr>
          <w:spacing w:val="-2"/>
        </w:rPr>
        <w:t>New Zealand applies Tier 1 methods for estimating CO</w:t>
      </w:r>
      <w:r w:rsidRPr="00D9348B">
        <w:rPr>
          <w:spacing w:val="-2"/>
          <w:vertAlign w:val="subscript"/>
        </w:rPr>
        <w:t>2</w:t>
      </w:r>
      <w:r w:rsidRPr="00D9348B">
        <w:rPr>
          <w:spacing w:val="-2"/>
        </w:rPr>
        <w:t xml:space="preserve"> emissions in </w:t>
      </w:r>
      <w:r w:rsidRPr="00D9348B">
        <w:rPr>
          <w:i/>
          <w:spacing w:val="-2"/>
        </w:rPr>
        <w:t>Wetlands remaining wetlands</w:t>
      </w:r>
      <w:r w:rsidRPr="00D9348B">
        <w:rPr>
          <w:spacing w:val="-2"/>
        </w:rPr>
        <w:t xml:space="preserve"> (following the guidance provided in section 7.1 of the 2006 IPCC Guidelines</w:t>
      </w:r>
      <w:r w:rsidRPr="00D9348B" w:rsidDel="0015189E">
        <w:rPr>
          <w:spacing w:val="-2"/>
        </w:rPr>
        <w:t xml:space="preserve"> </w:t>
      </w:r>
      <w:r w:rsidRPr="00D9348B">
        <w:rPr>
          <w:spacing w:val="-2"/>
        </w:rPr>
        <w:t xml:space="preserve">(IPCC, 2006a)). Chapter 7 (IPCC, 2006a) provides guidance for estimating emissions from flooded land and extraction from peat land. Recultivation of peat land is included under the Agriculture sector. </w:t>
      </w:r>
    </w:p>
    <w:p w14:paraId="22F7C2B4" w14:textId="77777777" w:rsidR="00A10636" w:rsidRPr="00D9348B" w:rsidRDefault="00A10636" w:rsidP="00A10636">
      <w:pPr>
        <w:pStyle w:val="BodyText"/>
      </w:pPr>
      <w:r w:rsidRPr="00D9348B">
        <w:t xml:space="preserve">Due to the current lack of data on biomass carbon stock changes in </w:t>
      </w:r>
      <w:r w:rsidRPr="00D9348B">
        <w:rPr>
          <w:i/>
        </w:rPr>
        <w:t>Wetlands remaining wetlands</w:t>
      </w:r>
      <w:r w:rsidRPr="00D9348B">
        <w:t xml:space="preserve">, New Zealand has not prepared estimates for change in living biomass or dead </w:t>
      </w:r>
      <w:r w:rsidRPr="00D9348B">
        <w:lastRenderedPageBreak/>
        <w:t>organic matter for this category. New Zealand reports the notation key NE (not estimated) in the CRF table for this category.</w:t>
      </w:r>
    </w:p>
    <w:p w14:paraId="15F543A4" w14:textId="77777777" w:rsidR="00A10636" w:rsidRPr="00D9348B" w:rsidRDefault="00A10636" w:rsidP="00DE20B8">
      <w:pPr>
        <w:pStyle w:val="Heading5"/>
        <w:spacing w:before="160"/>
      </w:pPr>
      <w:r w:rsidRPr="00D9348B">
        <w:t>Soil carbon</w:t>
      </w:r>
    </w:p>
    <w:p w14:paraId="7D30B2A8" w14:textId="77777777" w:rsidR="00A10636" w:rsidRPr="00D9348B" w:rsidRDefault="00A10636" w:rsidP="003557B6">
      <w:pPr>
        <w:pStyle w:val="BodyText"/>
        <w:spacing w:before="100" w:after="100"/>
      </w:pPr>
      <w:r w:rsidRPr="00D9348B">
        <w:t xml:space="preserve">SOC stocks in </w:t>
      </w:r>
      <w:r w:rsidRPr="00D9348B">
        <w:rPr>
          <w:i/>
        </w:rPr>
        <w:t>Wetlands remaining wetlands</w:t>
      </w:r>
      <w:r w:rsidRPr="00D9348B">
        <w:t xml:space="preserve"> are estimated using a Tier 2 method for mineral soils (see section 6.3) and Tier 1 methods for organic soils. The mineral soil steady state carbon stock for vegetated wetlands is estimated to be </w:t>
      </w:r>
      <w:r w:rsidRPr="00D9348B">
        <w:rPr>
          <w:color w:val="000000"/>
        </w:rPr>
        <w:t xml:space="preserve">136.06 </w:t>
      </w:r>
      <w:r w:rsidRPr="00D9348B">
        <w:t>tonnes C ha</w:t>
      </w:r>
      <w:r w:rsidRPr="00D9348B">
        <w:rPr>
          <w:vertAlign w:val="superscript"/>
        </w:rPr>
        <w:t>–1</w:t>
      </w:r>
      <w:r w:rsidRPr="00D9348B">
        <w:t>, with an uncertainty of ±12.3 per cent (see table 6.3.2). For open water, the SOC stock at equilibrium is assumed to be the same value as that of low producing grassland (105.98 tonnes C ha</w:t>
      </w:r>
      <w:r w:rsidRPr="00D9348B">
        <w:rPr>
          <w:vertAlign w:val="superscript"/>
        </w:rPr>
        <w:t>–1</w:t>
      </w:r>
      <w:r w:rsidRPr="00D9348B">
        <w:t xml:space="preserve">, with an uncertainty of ±7.3 per cent). </w:t>
      </w:r>
    </w:p>
    <w:p w14:paraId="5042CD31" w14:textId="77777777" w:rsidR="00A10636" w:rsidRPr="00D9348B" w:rsidRDefault="00A10636" w:rsidP="003557B6">
      <w:pPr>
        <w:pStyle w:val="BodyText"/>
        <w:spacing w:before="100" w:after="100"/>
      </w:pPr>
      <w:r w:rsidRPr="00D9348B">
        <w:t xml:space="preserve">For mineral soils, as with living biomass and dead organic matter, there are no emissions for </w:t>
      </w:r>
      <w:r w:rsidRPr="00D9348B">
        <w:rPr>
          <w:i/>
        </w:rPr>
        <w:t xml:space="preserve">Wetlands </w:t>
      </w:r>
      <w:r w:rsidRPr="00D9348B">
        <w:t>in steady state so the notation key NE (not estimated) is used in accordance with Decision 24/CP.19 (UNFCCC, 2014).</w:t>
      </w:r>
    </w:p>
    <w:p w14:paraId="2DC6BBE0" w14:textId="12A811C3" w:rsidR="00A10636" w:rsidRPr="00D9348B" w:rsidRDefault="00A10636" w:rsidP="003557B6">
      <w:pPr>
        <w:pStyle w:val="BodyText"/>
        <w:spacing w:before="100" w:after="100"/>
      </w:pPr>
      <w:r w:rsidRPr="00D9348B">
        <w:t xml:space="preserve">For organic soils, IPCC good practice guidance is limited to the estimation of carbon emissions associated with peat extraction. In New Zealand, oligotrophic </w:t>
      </w:r>
      <w:r w:rsidRPr="00D9348B">
        <w:rPr>
          <w:i/>
        </w:rPr>
        <w:t>Sphagnum</w:t>
      </w:r>
      <w:r w:rsidRPr="00D9348B">
        <w:t xml:space="preserve"> peat is mined for horticultural use (Clarkson, unpublished). Carbon dioxide emissions from the extraction of horticultural peat are estimated from two sources: on-site emissions from peat production and off-site emissions from its subsequent use. Tier 1 default emission factors are applied. Non-CO</w:t>
      </w:r>
      <w:r w:rsidRPr="00D9348B">
        <w:rPr>
          <w:vertAlign w:val="subscript"/>
        </w:rPr>
        <w:t>2</w:t>
      </w:r>
      <w:r w:rsidRPr="00D9348B">
        <w:t xml:space="preserve"> emissions are not estimated because there is no method for estimating N</w:t>
      </w:r>
      <w:r w:rsidRPr="00D9348B">
        <w:rPr>
          <w:vertAlign w:val="subscript"/>
        </w:rPr>
        <w:t>2</w:t>
      </w:r>
      <w:r w:rsidRPr="00D9348B">
        <w:t>O emissions from the extraction of nutrient poor peat, and no CH</w:t>
      </w:r>
      <w:r w:rsidRPr="00D9348B">
        <w:rPr>
          <w:vertAlign w:val="subscript"/>
        </w:rPr>
        <w:t>4</w:t>
      </w:r>
      <w:r w:rsidRPr="00D9348B">
        <w:t xml:space="preserve"> emissions occur from this activity. As such, the expert review team recommendation, L.7, 2017 </w:t>
      </w:r>
      <w:r w:rsidRPr="00D9348B">
        <w:rPr>
          <w:spacing w:val="-2"/>
        </w:rPr>
        <w:t>(FCCC/ARR/2017/NZL), cannot be addressed. However, New Zealand is following the methodology for reporting N</w:t>
      </w:r>
      <w:r w:rsidRPr="00D9348B">
        <w:rPr>
          <w:spacing w:val="-2"/>
          <w:vertAlign w:val="subscript"/>
        </w:rPr>
        <w:t>2</w:t>
      </w:r>
      <w:r w:rsidRPr="00D9348B">
        <w:rPr>
          <w:spacing w:val="-2"/>
        </w:rPr>
        <w:t xml:space="preserve">O emissions from </w:t>
      </w:r>
      <w:r w:rsidRPr="00D9348B">
        <w:rPr>
          <w:i/>
          <w:spacing w:val="-2"/>
        </w:rPr>
        <w:t>Wetlands remaining wetlands</w:t>
      </w:r>
      <w:r w:rsidRPr="00D9348B">
        <w:rPr>
          <w:iCs/>
          <w:spacing w:val="-2"/>
        </w:rPr>
        <w:t>,</w:t>
      </w:r>
      <w:r w:rsidRPr="00D9348B">
        <w:rPr>
          <w:spacing w:val="-2"/>
        </w:rPr>
        <w:t xml:space="preserve"> in line with volume 4, section 7.2.1.2 of the 2006</w:t>
      </w:r>
      <w:r w:rsidR="004E67B3" w:rsidRPr="00D9348B">
        <w:rPr>
          <w:spacing w:val="-2"/>
        </w:rPr>
        <w:t> </w:t>
      </w:r>
      <w:r w:rsidRPr="00D9348B">
        <w:rPr>
          <w:spacing w:val="-2"/>
        </w:rPr>
        <w:t xml:space="preserve">IPCC Guidelines (IPCC, 2006a). </w:t>
      </w:r>
    </w:p>
    <w:p w14:paraId="3C224981" w14:textId="77777777" w:rsidR="00A10636" w:rsidRPr="00D9348B" w:rsidRDefault="00A10636" w:rsidP="00DE20B8">
      <w:pPr>
        <w:pStyle w:val="Heading5"/>
        <w:spacing w:before="160"/>
      </w:pPr>
      <w:r w:rsidRPr="00D9348B">
        <w:t>Activity data</w:t>
      </w:r>
    </w:p>
    <w:p w14:paraId="0A6ABE7F" w14:textId="1027E6F8" w:rsidR="00A10636" w:rsidRPr="00D9348B" w:rsidRDefault="00A10636" w:rsidP="003557B6">
      <w:pPr>
        <w:pStyle w:val="BodyText"/>
        <w:spacing w:before="100" w:after="100"/>
      </w:pPr>
      <w:r w:rsidRPr="00D9348B">
        <w:t xml:space="preserve">For this submission, the definition of the vegetated wetland subcategory has been amended to explicitly include areas of forest that are part of the wetland ecosystem. As a result of this redefinition, areas of forest associated with vegetated wetland have been reviewed in the time series of </w:t>
      </w:r>
      <w:r w:rsidR="00EA7212">
        <w:t>land-use</w:t>
      </w:r>
      <w:r w:rsidRPr="00D9348B">
        <w:t xml:space="preserve"> maps and, where the forest area has been judged to be part of the wetland ecosystem, it has been reclassed as vegetated wetland.</w:t>
      </w:r>
    </w:p>
    <w:p w14:paraId="3C1ABF71" w14:textId="77777777" w:rsidR="00A10636" w:rsidRPr="00D9348B" w:rsidRDefault="00A10636" w:rsidP="003557B6">
      <w:pPr>
        <w:pStyle w:val="Heading4"/>
        <w:spacing w:before="160"/>
      </w:pPr>
      <w:r w:rsidRPr="00D9348B">
        <w:t>Land converted to wetlands (CRF 4.D.2)</w:t>
      </w:r>
    </w:p>
    <w:p w14:paraId="692F1975" w14:textId="77777777" w:rsidR="00A10636" w:rsidRPr="00D9348B" w:rsidRDefault="00A10636" w:rsidP="003557B6">
      <w:pPr>
        <w:pStyle w:val="BodyText"/>
        <w:spacing w:before="100" w:after="100"/>
        <w:rPr>
          <w:spacing w:val="-2"/>
        </w:rPr>
      </w:pPr>
      <w:r w:rsidRPr="00D9348B">
        <w:rPr>
          <w:spacing w:val="-2"/>
        </w:rPr>
        <w:t>Between 1990 and 2018, 8,378.4 hectares of land were converted to</w:t>
      </w:r>
      <w:r w:rsidRPr="00D9348B">
        <w:rPr>
          <w:i/>
          <w:spacing w:val="-2"/>
        </w:rPr>
        <w:t xml:space="preserve"> Wetlands</w:t>
      </w:r>
      <w:r w:rsidRPr="00D9348B">
        <w:rPr>
          <w:spacing w:val="-2"/>
        </w:rPr>
        <w:t xml:space="preserve">, while 11,133.0 hectares of </w:t>
      </w:r>
      <w:r w:rsidRPr="00D9348B">
        <w:rPr>
          <w:i/>
          <w:spacing w:val="-2"/>
        </w:rPr>
        <w:t>Wetlands</w:t>
      </w:r>
      <w:r w:rsidRPr="00D9348B">
        <w:rPr>
          <w:spacing w:val="-2"/>
        </w:rPr>
        <w:t xml:space="preserve"> were converted to other land uses (mainly </w:t>
      </w:r>
      <w:r w:rsidRPr="00D9348B">
        <w:rPr>
          <w:i/>
          <w:spacing w:val="-2"/>
        </w:rPr>
        <w:t>Grassland</w:t>
      </w:r>
      <w:r w:rsidRPr="00D9348B">
        <w:rPr>
          <w:iCs/>
          <w:spacing w:val="-2"/>
        </w:rPr>
        <w:t>,</w:t>
      </w:r>
      <w:r w:rsidRPr="00D9348B">
        <w:rPr>
          <w:spacing w:val="-2"/>
        </w:rPr>
        <w:t xml:space="preserve"> at 9,279 hectares). This resulted in a net decrease in total area reported under </w:t>
      </w:r>
      <w:r w:rsidRPr="00D9348B">
        <w:rPr>
          <w:i/>
          <w:spacing w:val="-2"/>
        </w:rPr>
        <w:t>Wetlands</w:t>
      </w:r>
      <w:r w:rsidRPr="00D9348B">
        <w:rPr>
          <w:spacing w:val="-2"/>
        </w:rPr>
        <w:t xml:space="preserve"> of 2,755 hectares. The wetland losses were mainly related to the conversion of vegetated wetland to grassland (3,182 hectares), however, these losses were offset by gains in the area of wetland open water (6,823 hectares). This was mainly due to the development of irrigation ponds in the Canterbury and Otago regions, however, approximately 760 hectares of new open water has resulted from new lakes forming within the Southern Alps, often at the foot of glaciers. </w:t>
      </w:r>
    </w:p>
    <w:p w14:paraId="4EF07B50" w14:textId="77777777" w:rsidR="00A10636" w:rsidRPr="00D9348B" w:rsidRDefault="00A10636" w:rsidP="003557B6">
      <w:pPr>
        <w:pStyle w:val="BodyText"/>
        <w:spacing w:before="100" w:after="100"/>
      </w:pPr>
      <w:r w:rsidRPr="00D9348B">
        <w:rPr>
          <w:i/>
        </w:rPr>
        <w:t>Land converted to peat extraction</w:t>
      </w:r>
      <w:r w:rsidRPr="00D9348B">
        <w:t xml:space="preserve"> emissions are reported in the CRF tables as NO (not occurring) because the areas under peat extraction have remained static since 1990. For </w:t>
      </w:r>
      <w:r w:rsidRPr="00D9348B">
        <w:rPr>
          <w:i/>
        </w:rPr>
        <w:t>Land converted to flooded land</w:t>
      </w:r>
      <w:r w:rsidRPr="00D9348B">
        <w:t xml:space="preserve">, the area is included in the area mapped as </w:t>
      </w:r>
      <w:r w:rsidRPr="00D9348B">
        <w:rPr>
          <w:i/>
        </w:rPr>
        <w:t>Land converted to open water</w:t>
      </w:r>
      <w:r w:rsidRPr="00D9348B">
        <w:t xml:space="preserve"> (this category includes naturally occurring open water (natural lakes) as well as intentionally flooded land). This means emissions for </w:t>
      </w:r>
      <w:r w:rsidRPr="00D9348B">
        <w:rPr>
          <w:i/>
        </w:rPr>
        <w:t>Land converted to flooded land</w:t>
      </w:r>
      <w:r w:rsidRPr="00D9348B">
        <w:t xml:space="preserve"> are reported as IE (included elsewhere), and these emissions are captured under </w:t>
      </w:r>
      <w:r w:rsidRPr="00D9348B">
        <w:rPr>
          <w:i/>
        </w:rPr>
        <w:t>Land converted to open water</w:t>
      </w:r>
      <w:r w:rsidRPr="00D9348B">
        <w:t xml:space="preserve"> instead.</w:t>
      </w:r>
    </w:p>
    <w:p w14:paraId="7AB795C8" w14:textId="77777777" w:rsidR="00A10636" w:rsidRPr="00D9348B" w:rsidRDefault="00A10636" w:rsidP="00DE20B8">
      <w:pPr>
        <w:pStyle w:val="Heading5"/>
        <w:spacing w:before="160"/>
      </w:pPr>
      <w:r w:rsidRPr="00D9348B">
        <w:lastRenderedPageBreak/>
        <w:t xml:space="preserve">Living biomass and dead organic matter </w:t>
      </w:r>
    </w:p>
    <w:p w14:paraId="6FFA252C" w14:textId="77777777" w:rsidR="00A10636" w:rsidRPr="00D9348B" w:rsidRDefault="00A10636" w:rsidP="00A10636">
      <w:pPr>
        <w:pStyle w:val="BodyText"/>
        <w:spacing w:before="100"/>
        <w:rPr>
          <w:spacing w:val="-2"/>
        </w:rPr>
      </w:pPr>
      <w:r w:rsidRPr="00D9348B">
        <w:rPr>
          <w:spacing w:val="-2"/>
        </w:rPr>
        <w:t xml:space="preserve">New Zealand uses a Tier 1 method to calculate emissions from </w:t>
      </w:r>
      <w:r w:rsidRPr="00D9348B">
        <w:rPr>
          <w:i/>
          <w:spacing w:val="-2"/>
        </w:rPr>
        <w:t>Land converted to wetlands</w:t>
      </w:r>
      <w:r w:rsidRPr="00D9348B">
        <w:rPr>
          <w:spacing w:val="-2"/>
        </w:rPr>
        <w:t xml:space="preserve"> (equation 7.10, IPCC, 2006a). The Tier 1 method assumes the carbon in living biomass and dead organic matter present before conversion is lost in the same year as the conversion takes place. </w:t>
      </w:r>
    </w:p>
    <w:p w14:paraId="6A70EB37" w14:textId="77777777" w:rsidR="00A10636" w:rsidRPr="00D9348B" w:rsidRDefault="00A10636" w:rsidP="00A10636">
      <w:pPr>
        <w:pStyle w:val="BodyText"/>
        <w:spacing w:before="100"/>
      </w:pPr>
      <w:r w:rsidRPr="00D9348B">
        <w:t xml:space="preserve">For open water wetlands, the carbon stocks in living biomass and dead organic matter following conversions are equal to zero. For vegetated wetlands, the carbon stocks in living biomass and dead organic matter are not estimated because there is no guidance in the 2006 IPCC Guidelines (IPCC, 2006a) for estimating carbon stock following land-use change to </w:t>
      </w:r>
      <w:r w:rsidRPr="00D9348B">
        <w:rPr>
          <w:i/>
        </w:rPr>
        <w:t>Wetlands</w:t>
      </w:r>
      <w:r w:rsidRPr="00D9348B">
        <w:t xml:space="preserve">. All emissions from land-use change to </w:t>
      </w:r>
      <w:r w:rsidRPr="00D9348B">
        <w:rPr>
          <w:i/>
        </w:rPr>
        <w:t>Wetlands</w:t>
      </w:r>
      <w:r w:rsidRPr="00D9348B">
        <w:t xml:space="preserve"> from removal of the previous vegetation are instantly emitted. </w:t>
      </w:r>
    </w:p>
    <w:p w14:paraId="08FC7BEB" w14:textId="77777777" w:rsidR="00A10636" w:rsidRPr="00D9348B" w:rsidRDefault="00A10636" w:rsidP="00DE20B8">
      <w:pPr>
        <w:pStyle w:val="Heading5"/>
        <w:spacing w:before="160"/>
      </w:pPr>
      <w:r w:rsidRPr="00D9348B">
        <w:t>Soil carbon</w:t>
      </w:r>
    </w:p>
    <w:p w14:paraId="592A9F2A" w14:textId="77777777" w:rsidR="00A10636" w:rsidRPr="00D9348B" w:rsidRDefault="00A10636" w:rsidP="00A10636">
      <w:pPr>
        <w:pStyle w:val="BodyText"/>
        <w:spacing w:before="100"/>
      </w:pPr>
      <w:r w:rsidRPr="00D9348B">
        <w:t xml:space="preserve">SOC stocks in </w:t>
      </w:r>
      <w:r w:rsidRPr="00D9348B">
        <w:rPr>
          <w:i/>
        </w:rPr>
        <w:t>Land converted to wetlands</w:t>
      </w:r>
      <w:r w:rsidRPr="00D9348B">
        <w:t xml:space="preserve"> are estimated using a Tier 2 method, as described in section 6.3. In the absence of data on the rate of change specific to country and land use, the IPCC default method of a linear change over a 20-year period is used to estimate the change in SOC stocks between the original land use and </w:t>
      </w:r>
      <w:r w:rsidRPr="00D9348B">
        <w:rPr>
          <w:i/>
        </w:rPr>
        <w:t>Wetlands</w:t>
      </w:r>
      <w:r w:rsidRPr="00D9348B">
        <w:t xml:space="preserve"> for any given period. </w:t>
      </w:r>
    </w:p>
    <w:p w14:paraId="53290252" w14:textId="77777777" w:rsidR="00A10636" w:rsidRPr="00D9348B" w:rsidRDefault="00A10636" w:rsidP="00DE20B8">
      <w:pPr>
        <w:pStyle w:val="Heading5"/>
        <w:spacing w:before="160"/>
      </w:pPr>
      <w:r w:rsidRPr="00D9348B">
        <w:t>Non-CO</w:t>
      </w:r>
      <w:r w:rsidRPr="00D9348B">
        <w:rPr>
          <w:vertAlign w:val="subscript"/>
        </w:rPr>
        <w:t>2</w:t>
      </w:r>
      <w:r w:rsidRPr="00D9348B">
        <w:t xml:space="preserve"> emissions</w:t>
      </w:r>
    </w:p>
    <w:p w14:paraId="674AEB7D" w14:textId="77777777" w:rsidR="00A10636" w:rsidRPr="00D9348B" w:rsidRDefault="00A10636" w:rsidP="00A10636">
      <w:pPr>
        <w:pStyle w:val="Heading6"/>
        <w:spacing w:before="120"/>
      </w:pPr>
      <w:r w:rsidRPr="00D9348B">
        <w:t>Non-CO</w:t>
      </w:r>
      <w:r w:rsidRPr="00D9348B">
        <w:rPr>
          <w:vertAlign w:val="subscript"/>
        </w:rPr>
        <w:t>2</w:t>
      </w:r>
      <w:r w:rsidRPr="00D9348B">
        <w:t xml:space="preserve"> emissions from drainage of soils and wetlands</w:t>
      </w:r>
    </w:p>
    <w:p w14:paraId="4039033C" w14:textId="77777777" w:rsidR="00A10636" w:rsidRPr="00D9348B" w:rsidRDefault="00A10636" w:rsidP="00A10636">
      <w:pPr>
        <w:pStyle w:val="BodyText"/>
        <w:spacing w:before="100" w:after="100"/>
      </w:pPr>
      <w:r w:rsidRPr="00D9348B">
        <w:t xml:space="preserve">New Zealand has not prepared estimates for this category. The notation key NE (not estimated) is used in the CRF tables where either no activity data are available to report on this activity or no Tier 1 methodology exists within the accepted guidelines for providing estimates. Use of these notation keys is in accordance with Decision 24/CP.19 (UNFCCC, 2014). </w:t>
      </w:r>
    </w:p>
    <w:p w14:paraId="663DF30E" w14:textId="77777777" w:rsidR="00A10636" w:rsidRPr="00D9348B" w:rsidRDefault="00A10636" w:rsidP="00DE20B8">
      <w:pPr>
        <w:pStyle w:val="Heading3"/>
        <w:spacing w:before="240"/>
      </w:pPr>
      <w:r w:rsidRPr="00D9348B">
        <w:t>6.7.3</w:t>
      </w:r>
      <w:r w:rsidRPr="00D9348B">
        <w:tab/>
        <w:t>Uncertainties and time-series consistency</w:t>
      </w:r>
    </w:p>
    <w:p w14:paraId="71A24D41" w14:textId="77777777" w:rsidR="00A10636" w:rsidRPr="00D9348B" w:rsidRDefault="00A10636" w:rsidP="00A10636">
      <w:pPr>
        <w:pStyle w:val="BodyText"/>
        <w:spacing w:before="100" w:after="100"/>
      </w:pPr>
      <w:r w:rsidRPr="00D9348B">
        <w:t xml:space="preserve">The uncertainty in mapping </w:t>
      </w:r>
      <w:r w:rsidRPr="00D9348B">
        <w:rPr>
          <w:i/>
        </w:rPr>
        <w:t>Wetlands</w:t>
      </w:r>
      <w:r w:rsidRPr="00D9348B">
        <w:t xml:space="preserve"> is ±33.0 per cent (see table 6.7.3). Further details are given in section 6.2.5. The uncertainty for mineral SOC stocks in vegetated wetlands is ±12.3 per cent. The uncertainty in the emission factor for peat extracted for horticultural use is ±90 per cent, the default IPCC value provided in the 2006 IPCC Guidelines (IPCC, 2006a).</w:t>
      </w:r>
    </w:p>
    <w:p w14:paraId="7A7AA966" w14:textId="77777777" w:rsidR="00A10636" w:rsidRPr="00D9348B" w:rsidRDefault="00A10636" w:rsidP="00A10636">
      <w:pPr>
        <w:pStyle w:val="BodyText"/>
        <w:spacing w:before="100" w:after="100"/>
      </w:pPr>
      <w:r w:rsidRPr="00D9348B">
        <w:t xml:space="preserve">Because emissions from </w:t>
      </w:r>
      <w:r w:rsidRPr="00D9348B">
        <w:rPr>
          <w:i/>
        </w:rPr>
        <w:t>Wetlands</w:t>
      </w:r>
      <w:r w:rsidRPr="00D9348B">
        <w:t xml:space="preserve"> are very small, the uncertainty introduced into the total net emissions for LULUCF is also very small.</w:t>
      </w:r>
    </w:p>
    <w:p w14:paraId="4EC1B8BF" w14:textId="77777777" w:rsidR="00A10636" w:rsidRPr="00D9348B" w:rsidRDefault="00A10636" w:rsidP="00A10636">
      <w:pPr>
        <w:pStyle w:val="Table"/>
      </w:pPr>
      <w:bookmarkStart w:id="2291" w:name="_Toc342470786"/>
      <w:bookmarkStart w:id="2292" w:name="_Toc352505026"/>
      <w:bookmarkStart w:id="2293" w:name="_Toc378853315"/>
      <w:bookmarkStart w:id="2294" w:name="_Toc391024113"/>
      <w:bookmarkStart w:id="2295" w:name="_Toc410028856"/>
      <w:bookmarkStart w:id="2296" w:name="_Toc414531484"/>
      <w:bookmarkStart w:id="2297" w:name="_Toc443645397"/>
      <w:bookmarkStart w:id="2298" w:name="_Toc474914616"/>
      <w:bookmarkStart w:id="2299" w:name="_Toc481751580"/>
      <w:bookmarkStart w:id="2300" w:name="_Toc522010637"/>
      <w:bookmarkStart w:id="2301" w:name="_Toc5269542"/>
      <w:bookmarkStart w:id="2302" w:name="_Toc33529416"/>
      <w:bookmarkStart w:id="2303" w:name="_Toc36224622"/>
      <w:r w:rsidRPr="00D9348B">
        <w:t>Table 6.7.3</w:t>
      </w:r>
      <w:r w:rsidRPr="00D9348B">
        <w:tab/>
        <w:t>Uncertainty in New Zealand’s 2018 estimates for the Wetlands category</w:t>
      </w:r>
      <w:bookmarkEnd w:id="2291"/>
      <w:r w:rsidRPr="00D9348B">
        <w:t xml:space="preserve"> (including land in transition)</w:t>
      </w:r>
      <w:bookmarkEnd w:id="2292"/>
      <w:bookmarkEnd w:id="2293"/>
      <w:bookmarkEnd w:id="2294"/>
      <w:bookmarkEnd w:id="2295"/>
      <w:bookmarkEnd w:id="2296"/>
      <w:bookmarkEnd w:id="2297"/>
      <w:bookmarkEnd w:id="2298"/>
      <w:bookmarkEnd w:id="2299"/>
      <w:bookmarkEnd w:id="2300"/>
      <w:bookmarkEnd w:id="2301"/>
      <w:bookmarkEnd w:id="2302"/>
      <w:bookmarkEnd w:id="2303"/>
    </w:p>
    <w:tbl>
      <w:tblPr>
        <w:tblW w:w="8505" w:type="dxa"/>
        <w:tblInd w:w="108" w:type="dxa"/>
        <w:tblCellMar>
          <w:left w:w="85" w:type="dxa"/>
          <w:right w:w="57" w:type="dxa"/>
        </w:tblCellMar>
        <w:tblLook w:val="04A0" w:firstRow="1" w:lastRow="0" w:firstColumn="1" w:lastColumn="0" w:noHBand="0" w:noVBand="1"/>
      </w:tblPr>
      <w:tblGrid>
        <w:gridCol w:w="4088"/>
        <w:gridCol w:w="2126"/>
        <w:gridCol w:w="2291"/>
      </w:tblGrid>
      <w:tr w:rsidR="00A10636" w:rsidRPr="00D9348B" w14:paraId="24817952" w14:textId="77777777" w:rsidTr="00DE20B8">
        <w:trPr>
          <w:tblHeader/>
        </w:trPr>
        <w:tc>
          <w:tcPr>
            <w:tcW w:w="4088" w:type="dxa"/>
            <w:tcBorders>
              <w:top w:val="single" w:sz="4" w:space="0" w:color="365F91"/>
            </w:tcBorders>
            <w:shd w:val="clear" w:color="auto" w:fill="365F91"/>
            <w:noWrap/>
            <w:vAlign w:val="bottom"/>
            <w:hideMark/>
          </w:tcPr>
          <w:p w14:paraId="78D9599D" w14:textId="77777777" w:rsidR="00A10636" w:rsidRPr="00D9348B" w:rsidRDefault="00A10636" w:rsidP="00DB330E">
            <w:pPr>
              <w:pStyle w:val="TableTextBold"/>
              <w:keepNext/>
              <w:spacing w:after="0"/>
              <w:rPr>
                <w:noProof w:val="0"/>
                <w:color w:val="FFFFFF"/>
              </w:rPr>
            </w:pPr>
            <w:r w:rsidRPr="00D9348B">
              <w:rPr>
                <w:noProof w:val="0"/>
                <w:color w:val="FFFFFF"/>
              </w:rPr>
              <w:t xml:space="preserve">Variable </w:t>
            </w:r>
          </w:p>
        </w:tc>
        <w:tc>
          <w:tcPr>
            <w:tcW w:w="4417" w:type="dxa"/>
            <w:gridSpan w:val="2"/>
            <w:tcBorders>
              <w:top w:val="single" w:sz="4" w:space="0" w:color="365F91"/>
            </w:tcBorders>
            <w:shd w:val="clear" w:color="auto" w:fill="365F91"/>
            <w:noWrap/>
            <w:hideMark/>
          </w:tcPr>
          <w:p w14:paraId="454FE142" w14:textId="77777777" w:rsidR="00A10636" w:rsidRPr="00D9348B" w:rsidRDefault="00A10636" w:rsidP="00DB330E">
            <w:pPr>
              <w:pStyle w:val="TableTextBold"/>
              <w:keepNext/>
              <w:spacing w:after="0"/>
              <w:jc w:val="center"/>
              <w:rPr>
                <w:noProof w:val="0"/>
                <w:color w:val="FFFFFF"/>
              </w:rPr>
            </w:pPr>
            <w:r w:rsidRPr="00D9348B">
              <w:rPr>
                <w:noProof w:val="0"/>
                <w:color w:val="FFFFFF"/>
              </w:rPr>
              <w:t>Uncertainty at a 95% confidence interval</w:t>
            </w:r>
          </w:p>
        </w:tc>
      </w:tr>
      <w:tr w:rsidR="00A10636" w:rsidRPr="00D9348B" w14:paraId="5C82D6F2" w14:textId="77777777" w:rsidTr="00DE20B8">
        <w:trPr>
          <w:tblHeader/>
        </w:trPr>
        <w:tc>
          <w:tcPr>
            <w:tcW w:w="4088" w:type="dxa"/>
            <w:tcBorders>
              <w:bottom w:val="single" w:sz="4" w:space="0" w:color="365F91"/>
            </w:tcBorders>
            <w:shd w:val="clear" w:color="auto" w:fill="365F91"/>
            <w:noWrap/>
            <w:vAlign w:val="bottom"/>
          </w:tcPr>
          <w:p w14:paraId="1617F830" w14:textId="77777777" w:rsidR="00A10636" w:rsidRPr="00D9348B" w:rsidRDefault="00A10636" w:rsidP="00DB330E">
            <w:pPr>
              <w:pStyle w:val="TableTextBold"/>
              <w:keepNext/>
              <w:spacing w:before="0"/>
              <w:rPr>
                <w:noProof w:val="0"/>
                <w:color w:val="FFFFFF"/>
              </w:rPr>
            </w:pPr>
            <w:r w:rsidRPr="00D9348B">
              <w:rPr>
                <w:noProof w:val="0"/>
                <w:color w:val="FFFFFF"/>
              </w:rPr>
              <w:t>Land use</w:t>
            </w:r>
          </w:p>
        </w:tc>
        <w:tc>
          <w:tcPr>
            <w:tcW w:w="2126" w:type="dxa"/>
            <w:tcBorders>
              <w:bottom w:val="single" w:sz="4" w:space="0" w:color="365F91"/>
            </w:tcBorders>
            <w:shd w:val="clear" w:color="auto" w:fill="365F91"/>
            <w:noWrap/>
            <w:vAlign w:val="bottom"/>
          </w:tcPr>
          <w:p w14:paraId="30990229" w14:textId="77777777" w:rsidR="00A10636" w:rsidRPr="00D9348B" w:rsidRDefault="00A10636" w:rsidP="00DB330E">
            <w:pPr>
              <w:pStyle w:val="TableTextBold"/>
              <w:keepNext/>
              <w:jc w:val="center"/>
              <w:rPr>
                <w:noProof w:val="0"/>
                <w:color w:val="FFFFFF"/>
              </w:rPr>
            </w:pPr>
            <w:r w:rsidRPr="00D9348B">
              <w:rPr>
                <w:noProof w:val="0"/>
                <w:color w:val="FFFFFF"/>
              </w:rPr>
              <w:t>Wetlands –vegetated (%)</w:t>
            </w:r>
          </w:p>
        </w:tc>
        <w:tc>
          <w:tcPr>
            <w:tcW w:w="2291" w:type="dxa"/>
            <w:tcBorders>
              <w:bottom w:val="single" w:sz="4" w:space="0" w:color="365F91"/>
            </w:tcBorders>
            <w:shd w:val="clear" w:color="auto" w:fill="365F91"/>
            <w:noWrap/>
            <w:vAlign w:val="bottom"/>
          </w:tcPr>
          <w:p w14:paraId="78F4A5A0" w14:textId="77777777" w:rsidR="00A10636" w:rsidRPr="00D9348B" w:rsidRDefault="00A10636" w:rsidP="00DB330E">
            <w:pPr>
              <w:pStyle w:val="TableTextBold"/>
              <w:keepNext/>
              <w:jc w:val="center"/>
              <w:rPr>
                <w:noProof w:val="0"/>
                <w:color w:val="FFFFFF"/>
              </w:rPr>
            </w:pPr>
            <w:r w:rsidRPr="00D9348B">
              <w:rPr>
                <w:noProof w:val="0"/>
                <w:color w:val="FFFFFF"/>
              </w:rPr>
              <w:t>Wetlands – open water (%)</w:t>
            </w:r>
          </w:p>
        </w:tc>
      </w:tr>
      <w:tr w:rsidR="00A10636" w:rsidRPr="00D9348B" w14:paraId="40CCB61D" w14:textId="77777777" w:rsidTr="00DE20B8">
        <w:tc>
          <w:tcPr>
            <w:tcW w:w="4088" w:type="dxa"/>
            <w:tcBorders>
              <w:top w:val="single" w:sz="4" w:space="0" w:color="365F91"/>
              <w:bottom w:val="single" w:sz="4" w:space="0" w:color="365F91"/>
            </w:tcBorders>
            <w:noWrap/>
            <w:hideMark/>
          </w:tcPr>
          <w:p w14:paraId="227CEA71" w14:textId="77777777" w:rsidR="00A10636" w:rsidRPr="00D9348B" w:rsidRDefault="00A10636" w:rsidP="00DB330E">
            <w:pPr>
              <w:pStyle w:val="TableTextBold"/>
              <w:spacing w:before="40" w:after="40"/>
              <w:rPr>
                <w:noProof w:val="0"/>
              </w:rPr>
            </w:pPr>
            <w:r w:rsidRPr="00D9348B">
              <w:rPr>
                <w:noProof w:val="0"/>
              </w:rPr>
              <w:t>Activity data</w:t>
            </w:r>
          </w:p>
        </w:tc>
        <w:tc>
          <w:tcPr>
            <w:tcW w:w="2126" w:type="dxa"/>
            <w:tcBorders>
              <w:top w:val="single" w:sz="4" w:space="0" w:color="365F91"/>
              <w:bottom w:val="single" w:sz="4" w:space="0" w:color="365F91"/>
            </w:tcBorders>
            <w:noWrap/>
            <w:hideMark/>
          </w:tcPr>
          <w:p w14:paraId="2D3AB370" w14:textId="77777777" w:rsidR="00A10636" w:rsidRPr="00D9348B" w:rsidRDefault="00A10636" w:rsidP="00DB330E">
            <w:pPr>
              <w:pStyle w:val="TableTextBold"/>
              <w:spacing w:before="40" w:after="40"/>
              <w:jc w:val="center"/>
              <w:rPr>
                <w:noProof w:val="0"/>
              </w:rPr>
            </w:pPr>
          </w:p>
        </w:tc>
        <w:tc>
          <w:tcPr>
            <w:tcW w:w="2291" w:type="dxa"/>
            <w:tcBorders>
              <w:top w:val="single" w:sz="4" w:space="0" w:color="365F91"/>
              <w:bottom w:val="single" w:sz="4" w:space="0" w:color="365F91"/>
            </w:tcBorders>
            <w:noWrap/>
            <w:hideMark/>
          </w:tcPr>
          <w:p w14:paraId="4002A6FB" w14:textId="77777777" w:rsidR="00A10636" w:rsidRPr="00D9348B" w:rsidRDefault="00A10636" w:rsidP="00DB330E">
            <w:pPr>
              <w:pStyle w:val="TableTextBold"/>
              <w:spacing w:before="40" w:after="40"/>
              <w:jc w:val="center"/>
              <w:rPr>
                <w:noProof w:val="0"/>
              </w:rPr>
            </w:pPr>
          </w:p>
        </w:tc>
      </w:tr>
      <w:tr w:rsidR="00A10636" w:rsidRPr="00D9348B" w14:paraId="777F282A" w14:textId="77777777" w:rsidTr="00DE20B8">
        <w:tc>
          <w:tcPr>
            <w:tcW w:w="4088" w:type="dxa"/>
            <w:tcBorders>
              <w:top w:val="single" w:sz="4" w:space="0" w:color="365F91"/>
              <w:bottom w:val="single" w:sz="4" w:space="0" w:color="365F91"/>
            </w:tcBorders>
            <w:noWrap/>
            <w:hideMark/>
          </w:tcPr>
          <w:p w14:paraId="08734297" w14:textId="77777777" w:rsidR="00A10636" w:rsidRPr="00D9348B" w:rsidRDefault="00A10636" w:rsidP="00DB330E">
            <w:pPr>
              <w:pStyle w:val="TableText"/>
              <w:spacing w:before="40" w:after="40"/>
            </w:pPr>
            <w:r w:rsidRPr="00D9348B">
              <w:t>Uncertainty in land area</w:t>
            </w:r>
          </w:p>
        </w:tc>
        <w:tc>
          <w:tcPr>
            <w:tcW w:w="2126" w:type="dxa"/>
            <w:tcBorders>
              <w:top w:val="single" w:sz="4" w:space="0" w:color="365F91"/>
              <w:bottom w:val="single" w:sz="4" w:space="0" w:color="365F91"/>
            </w:tcBorders>
            <w:noWrap/>
            <w:hideMark/>
          </w:tcPr>
          <w:p w14:paraId="48CE5C58" w14:textId="77777777" w:rsidR="00A10636" w:rsidRPr="00D9348B" w:rsidRDefault="00A10636" w:rsidP="00DB330E">
            <w:pPr>
              <w:pStyle w:val="TableText"/>
              <w:spacing w:before="40" w:after="40"/>
              <w:jc w:val="center"/>
            </w:pPr>
            <w:r w:rsidRPr="00D9348B">
              <w:t>±33.0</w:t>
            </w:r>
          </w:p>
        </w:tc>
        <w:tc>
          <w:tcPr>
            <w:tcW w:w="2291" w:type="dxa"/>
            <w:tcBorders>
              <w:top w:val="single" w:sz="4" w:space="0" w:color="365F91"/>
              <w:bottom w:val="single" w:sz="4" w:space="0" w:color="365F91"/>
            </w:tcBorders>
            <w:noWrap/>
            <w:hideMark/>
          </w:tcPr>
          <w:p w14:paraId="2FB96C5E" w14:textId="77777777" w:rsidR="00A10636" w:rsidRPr="00D9348B" w:rsidRDefault="00A10636" w:rsidP="00DB330E">
            <w:pPr>
              <w:pStyle w:val="TableText"/>
              <w:spacing w:before="40" w:after="40"/>
              <w:jc w:val="center"/>
            </w:pPr>
            <w:r w:rsidRPr="00D9348B">
              <w:t>±33.0</w:t>
            </w:r>
          </w:p>
        </w:tc>
      </w:tr>
      <w:tr w:rsidR="00A10636" w:rsidRPr="00D9348B" w14:paraId="2C358552" w14:textId="77777777" w:rsidTr="00DE20B8">
        <w:tc>
          <w:tcPr>
            <w:tcW w:w="4088" w:type="dxa"/>
            <w:tcBorders>
              <w:top w:val="single" w:sz="4" w:space="0" w:color="365F91"/>
              <w:bottom w:val="single" w:sz="4" w:space="0" w:color="365F91"/>
            </w:tcBorders>
            <w:noWrap/>
            <w:hideMark/>
          </w:tcPr>
          <w:p w14:paraId="6434C12D" w14:textId="77777777" w:rsidR="00A10636" w:rsidRPr="00D9348B" w:rsidRDefault="00A10636" w:rsidP="00DB330E">
            <w:pPr>
              <w:pStyle w:val="TableTextBold"/>
              <w:spacing w:before="40" w:after="40"/>
              <w:rPr>
                <w:noProof w:val="0"/>
              </w:rPr>
            </w:pPr>
            <w:r w:rsidRPr="00D9348B">
              <w:rPr>
                <w:noProof w:val="0"/>
              </w:rPr>
              <w:t>Emission factors</w:t>
            </w:r>
          </w:p>
        </w:tc>
        <w:tc>
          <w:tcPr>
            <w:tcW w:w="2126" w:type="dxa"/>
            <w:tcBorders>
              <w:top w:val="single" w:sz="4" w:space="0" w:color="365F91"/>
              <w:bottom w:val="single" w:sz="4" w:space="0" w:color="365F91"/>
            </w:tcBorders>
            <w:noWrap/>
            <w:hideMark/>
          </w:tcPr>
          <w:p w14:paraId="56E3C72B" w14:textId="77777777" w:rsidR="00A10636" w:rsidRPr="00D9348B" w:rsidRDefault="00A10636" w:rsidP="00DB330E">
            <w:pPr>
              <w:pStyle w:val="TableTextBold"/>
              <w:spacing w:before="40" w:after="40"/>
              <w:jc w:val="center"/>
              <w:rPr>
                <w:noProof w:val="0"/>
              </w:rPr>
            </w:pPr>
          </w:p>
        </w:tc>
        <w:tc>
          <w:tcPr>
            <w:tcW w:w="2291" w:type="dxa"/>
            <w:tcBorders>
              <w:top w:val="single" w:sz="4" w:space="0" w:color="365F91"/>
              <w:bottom w:val="single" w:sz="4" w:space="0" w:color="365F91"/>
            </w:tcBorders>
            <w:noWrap/>
            <w:hideMark/>
          </w:tcPr>
          <w:p w14:paraId="7B5CA511" w14:textId="77777777" w:rsidR="00A10636" w:rsidRPr="00D9348B" w:rsidRDefault="00A10636" w:rsidP="00DB330E">
            <w:pPr>
              <w:pStyle w:val="TableTextBold"/>
              <w:spacing w:before="40" w:after="40"/>
              <w:jc w:val="center"/>
              <w:rPr>
                <w:noProof w:val="0"/>
              </w:rPr>
            </w:pPr>
          </w:p>
        </w:tc>
      </w:tr>
      <w:tr w:rsidR="00A10636" w:rsidRPr="00D9348B" w14:paraId="73F72F34" w14:textId="77777777" w:rsidTr="00DE20B8">
        <w:tc>
          <w:tcPr>
            <w:tcW w:w="4088" w:type="dxa"/>
            <w:tcBorders>
              <w:top w:val="single" w:sz="4" w:space="0" w:color="365F91"/>
              <w:bottom w:val="single" w:sz="4" w:space="0" w:color="365F91"/>
            </w:tcBorders>
            <w:noWrap/>
            <w:hideMark/>
          </w:tcPr>
          <w:p w14:paraId="1C487647" w14:textId="77777777" w:rsidR="00A10636" w:rsidRPr="00D9348B" w:rsidRDefault="00A10636" w:rsidP="00DB330E">
            <w:pPr>
              <w:pStyle w:val="TableText"/>
              <w:spacing w:before="40" w:after="40"/>
            </w:pPr>
            <w:r w:rsidRPr="00D9348B">
              <w:t>Uncertainty in biomass carbon stocks</w:t>
            </w:r>
          </w:p>
        </w:tc>
        <w:tc>
          <w:tcPr>
            <w:tcW w:w="2126" w:type="dxa"/>
            <w:tcBorders>
              <w:top w:val="single" w:sz="4" w:space="0" w:color="365F91"/>
              <w:bottom w:val="single" w:sz="4" w:space="0" w:color="365F91"/>
            </w:tcBorders>
            <w:noWrap/>
            <w:hideMark/>
          </w:tcPr>
          <w:p w14:paraId="22EE5351" w14:textId="77777777" w:rsidR="00A10636" w:rsidRPr="00D9348B" w:rsidRDefault="00A10636" w:rsidP="00DB330E">
            <w:pPr>
              <w:pStyle w:val="TableText"/>
              <w:spacing w:before="40" w:after="40"/>
              <w:jc w:val="center"/>
            </w:pPr>
            <w:r w:rsidRPr="00D9348B">
              <w:t>±75.0</w:t>
            </w:r>
          </w:p>
        </w:tc>
        <w:tc>
          <w:tcPr>
            <w:tcW w:w="2291" w:type="dxa"/>
            <w:tcBorders>
              <w:top w:val="single" w:sz="4" w:space="0" w:color="365F91"/>
              <w:bottom w:val="single" w:sz="4" w:space="0" w:color="365F91"/>
            </w:tcBorders>
            <w:noWrap/>
            <w:hideMark/>
          </w:tcPr>
          <w:p w14:paraId="2BFF15E1" w14:textId="77777777" w:rsidR="00A10636" w:rsidRPr="00D9348B" w:rsidRDefault="00A10636" w:rsidP="00DB330E">
            <w:pPr>
              <w:pStyle w:val="TableText"/>
              <w:spacing w:before="40" w:after="40"/>
              <w:jc w:val="center"/>
            </w:pPr>
            <w:r w:rsidRPr="00D9348B">
              <w:t>NA</w:t>
            </w:r>
          </w:p>
        </w:tc>
      </w:tr>
      <w:tr w:rsidR="00A10636" w:rsidRPr="00D9348B" w14:paraId="030193B0" w14:textId="77777777" w:rsidTr="00DE20B8">
        <w:tc>
          <w:tcPr>
            <w:tcW w:w="4088" w:type="dxa"/>
            <w:tcBorders>
              <w:top w:val="single" w:sz="4" w:space="0" w:color="365F91"/>
              <w:bottom w:val="single" w:sz="4" w:space="0" w:color="365F91"/>
            </w:tcBorders>
            <w:noWrap/>
            <w:hideMark/>
          </w:tcPr>
          <w:p w14:paraId="6CDACF41" w14:textId="77777777" w:rsidR="00A10636" w:rsidRPr="00D9348B" w:rsidRDefault="00A10636" w:rsidP="00DB330E">
            <w:pPr>
              <w:pStyle w:val="TableText"/>
              <w:spacing w:before="40" w:after="40"/>
            </w:pPr>
            <w:r w:rsidRPr="00D9348B">
              <w:t>Uncertainty in mineral soil carbon stocks</w:t>
            </w:r>
          </w:p>
        </w:tc>
        <w:tc>
          <w:tcPr>
            <w:tcW w:w="2126" w:type="dxa"/>
            <w:tcBorders>
              <w:top w:val="single" w:sz="4" w:space="0" w:color="365F91"/>
              <w:bottom w:val="single" w:sz="4" w:space="0" w:color="365F91"/>
            </w:tcBorders>
            <w:noWrap/>
            <w:hideMark/>
          </w:tcPr>
          <w:p w14:paraId="214DEA13" w14:textId="77777777" w:rsidR="00A10636" w:rsidRPr="00D9348B" w:rsidRDefault="00A10636" w:rsidP="00DB330E">
            <w:pPr>
              <w:pStyle w:val="TableText"/>
              <w:spacing w:before="40" w:after="40"/>
              <w:jc w:val="center"/>
            </w:pPr>
            <w:r w:rsidRPr="00D9348B">
              <w:t>±12.3</w:t>
            </w:r>
          </w:p>
        </w:tc>
        <w:tc>
          <w:tcPr>
            <w:tcW w:w="2291" w:type="dxa"/>
            <w:tcBorders>
              <w:top w:val="single" w:sz="4" w:space="0" w:color="365F91"/>
              <w:bottom w:val="single" w:sz="4" w:space="0" w:color="365F91"/>
            </w:tcBorders>
            <w:noWrap/>
            <w:hideMark/>
          </w:tcPr>
          <w:p w14:paraId="45199F50" w14:textId="77777777" w:rsidR="00A10636" w:rsidRPr="00D9348B" w:rsidRDefault="00A10636" w:rsidP="00DB330E">
            <w:pPr>
              <w:pStyle w:val="TableText"/>
              <w:spacing w:before="40" w:after="40"/>
              <w:jc w:val="center"/>
            </w:pPr>
            <w:r w:rsidRPr="00D9348B">
              <w:t>NA</w:t>
            </w:r>
          </w:p>
        </w:tc>
      </w:tr>
      <w:tr w:rsidR="00A10636" w:rsidRPr="00D9348B" w14:paraId="6F3E69E7" w14:textId="77777777" w:rsidTr="00DE20B8">
        <w:tc>
          <w:tcPr>
            <w:tcW w:w="4088" w:type="dxa"/>
            <w:tcBorders>
              <w:top w:val="single" w:sz="4" w:space="0" w:color="365F91"/>
              <w:bottom w:val="single" w:sz="4" w:space="0" w:color="365F91"/>
            </w:tcBorders>
            <w:noWrap/>
          </w:tcPr>
          <w:p w14:paraId="6E8B6F52" w14:textId="77777777" w:rsidR="00A10636" w:rsidRPr="00D9348B" w:rsidRDefault="00A10636" w:rsidP="00DB330E">
            <w:pPr>
              <w:pStyle w:val="TableText"/>
              <w:spacing w:before="40" w:after="40"/>
            </w:pPr>
            <w:r w:rsidRPr="00D9348B">
              <w:t>Uncertainty in organic soil carbon stocks (on-site CO</w:t>
            </w:r>
            <w:r w:rsidRPr="00D9348B">
              <w:rPr>
                <w:vertAlign w:val="subscript"/>
              </w:rPr>
              <w:t>2</w:t>
            </w:r>
            <w:r w:rsidRPr="00D9348B">
              <w:t xml:space="preserve"> emissions from peat extraction)</w:t>
            </w:r>
          </w:p>
        </w:tc>
        <w:tc>
          <w:tcPr>
            <w:tcW w:w="2126" w:type="dxa"/>
            <w:tcBorders>
              <w:top w:val="single" w:sz="4" w:space="0" w:color="365F91"/>
              <w:bottom w:val="single" w:sz="4" w:space="0" w:color="365F91"/>
            </w:tcBorders>
            <w:noWrap/>
          </w:tcPr>
          <w:p w14:paraId="763A9952" w14:textId="77777777" w:rsidR="00A10636" w:rsidRPr="00D9348B" w:rsidRDefault="00A10636" w:rsidP="00DB330E">
            <w:pPr>
              <w:pStyle w:val="TableText"/>
              <w:spacing w:before="40" w:after="40"/>
              <w:jc w:val="center"/>
            </w:pPr>
            <w:r w:rsidRPr="00D9348B">
              <w:t>±90.0</w:t>
            </w:r>
          </w:p>
        </w:tc>
        <w:tc>
          <w:tcPr>
            <w:tcW w:w="2291" w:type="dxa"/>
            <w:tcBorders>
              <w:top w:val="single" w:sz="4" w:space="0" w:color="365F91"/>
              <w:bottom w:val="single" w:sz="4" w:space="0" w:color="365F91"/>
            </w:tcBorders>
            <w:noWrap/>
          </w:tcPr>
          <w:p w14:paraId="4118CB5C" w14:textId="77777777" w:rsidR="00A10636" w:rsidRPr="00D9348B" w:rsidRDefault="00A10636" w:rsidP="00DB330E">
            <w:pPr>
              <w:pStyle w:val="TableText"/>
              <w:spacing w:before="40" w:after="40"/>
              <w:jc w:val="center"/>
            </w:pPr>
            <w:r w:rsidRPr="00D9348B">
              <w:t>NA</w:t>
            </w:r>
          </w:p>
        </w:tc>
      </w:tr>
      <w:tr w:rsidR="00A10636" w:rsidRPr="00D9348B" w14:paraId="61C14C08" w14:textId="77777777" w:rsidTr="00DE20B8">
        <w:tc>
          <w:tcPr>
            <w:tcW w:w="4088" w:type="dxa"/>
            <w:tcBorders>
              <w:top w:val="single" w:sz="4" w:space="0" w:color="365F91"/>
              <w:bottom w:val="single" w:sz="4" w:space="0" w:color="365F91"/>
            </w:tcBorders>
            <w:noWrap/>
            <w:hideMark/>
          </w:tcPr>
          <w:p w14:paraId="4871A8D2" w14:textId="77777777" w:rsidR="00A10636" w:rsidRPr="00D9348B" w:rsidRDefault="00A10636" w:rsidP="00DB330E">
            <w:pPr>
              <w:pStyle w:val="Tableboldblue"/>
              <w:jc w:val="right"/>
            </w:pPr>
            <w:r w:rsidRPr="00D9348B">
              <w:t>Uncertainty introduced into net emissions for LULUCF</w:t>
            </w:r>
          </w:p>
        </w:tc>
        <w:tc>
          <w:tcPr>
            <w:tcW w:w="2126" w:type="dxa"/>
            <w:tcBorders>
              <w:top w:val="single" w:sz="4" w:space="0" w:color="365F91"/>
              <w:bottom w:val="single" w:sz="4" w:space="0" w:color="365F91"/>
            </w:tcBorders>
            <w:noWrap/>
            <w:hideMark/>
          </w:tcPr>
          <w:p w14:paraId="4B665B54" w14:textId="77777777" w:rsidR="00A10636" w:rsidRPr="00D9348B" w:rsidRDefault="00A10636" w:rsidP="00AA75EE">
            <w:pPr>
              <w:pStyle w:val="Tableboldblue"/>
              <w:jc w:val="center"/>
            </w:pPr>
            <w:r w:rsidRPr="00D9348B">
              <w:t>±0.074</w:t>
            </w:r>
          </w:p>
        </w:tc>
        <w:tc>
          <w:tcPr>
            <w:tcW w:w="2291" w:type="dxa"/>
            <w:tcBorders>
              <w:top w:val="single" w:sz="4" w:space="0" w:color="365F91"/>
              <w:bottom w:val="single" w:sz="4" w:space="0" w:color="365F91"/>
            </w:tcBorders>
            <w:noWrap/>
            <w:hideMark/>
          </w:tcPr>
          <w:p w14:paraId="30CA7398" w14:textId="77777777" w:rsidR="00A10636" w:rsidRPr="00D9348B" w:rsidRDefault="00A10636" w:rsidP="00AA75EE">
            <w:pPr>
              <w:pStyle w:val="Tableboldblue"/>
              <w:jc w:val="center"/>
            </w:pPr>
            <w:r w:rsidRPr="00D9348B">
              <w:t>±0.008</w:t>
            </w:r>
          </w:p>
        </w:tc>
      </w:tr>
    </w:tbl>
    <w:p w14:paraId="4F8EC97D" w14:textId="77777777" w:rsidR="00A10636" w:rsidRPr="00D9348B" w:rsidRDefault="00A10636" w:rsidP="00A10636">
      <w:pPr>
        <w:pStyle w:val="Noteundertable"/>
      </w:pPr>
      <w:r w:rsidRPr="00D9348B">
        <w:rPr>
          <w:b/>
        </w:rPr>
        <w:t>Note:</w:t>
      </w:r>
      <w:r w:rsidRPr="00D9348B">
        <w:tab/>
        <w:t>NA = not applicable. The activity data and combined emission factor uncertainty are weighted values and have been calculated using equation 3.2 from IPCC General Guidance and Reporting (IPCC, 2006b).</w:t>
      </w:r>
    </w:p>
    <w:p w14:paraId="33D4A08B" w14:textId="77777777" w:rsidR="00A10636" w:rsidRPr="00D9348B" w:rsidRDefault="00A10636" w:rsidP="00D664F6">
      <w:pPr>
        <w:pStyle w:val="Heading3"/>
        <w:spacing w:before="280"/>
      </w:pPr>
      <w:r w:rsidRPr="00D9348B">
        <w:lastRenderedPageBreak/>
        <w:t>6.7.4</w:t>
      </w:r>
      <w:r w:rsidRPr="00D9348B">
        <w:tab/>
        <w:t>Category-specific QA/QC and verification</w:t>
      </w:r>
    </w:p>
    <w:p w14:paraId="7F1FD00E" w14:textId="77777777" w:rsidR="00A10636" w:rsidRPr="00D9348B" w:rsidRDefault="00A10636" w:rsidP="00A10636">
      <w:pPr>
        <w:pStyle w:val="BodyText"/>
        <w:spacing w:before="100"/>
      </w:pPr>
      <w:r w:rsidRPr="00D9348B">
        <w:t>In the preparation of this inventory, the activity data and emission factor for carbon change underwent Tier 1 quality checks.</w:t>
      </w:r>
    </w:p>
    <w:p w14:paraId="027DA7F2" w14:textId="77777777" w:rsidR="00A10636" w:rsidRPr="00D9348B" w:rsidRDefault="00A10636" w:rsidP="00D664F6">
      <w:pPr>
        <w:pStyle w:val="Heading3"/>
        <w:spacing w:before="280"/>
      </w:pPr>
      <w:r w:rsidRPr="00D9348B">
        <w:t>6.7.5</w:t>
      </w:r>
      <w:r w:rsidRPr="00D9348B">
        <w:tab/>
        <w:t>Category-specific recalculations</w:t>
      </w:r>
    </w:p>
    <w:p w14:paraId="29A08FF6" w14:textId="77777777" w:rsidR="00A10636" w:rsidRPr="00D9348B" w:rsidRDefault="00A10636" w:rsidP="00A10636">
      <w:pPr>
        <w:pStyle w:val="BodyText"/>
        <w:spacing w:before="100"/>
      </w:pPr>
      <w:r w:rsidRPr="00D9348B">
        <w:t>The impact of recalculations on net CO</w:t>
      </w:r>
      <w:r w:rsidRPr="00D9348B">
        <w:rPr>
          <w:vertAlign w:val="subscript"/>
        </w:rPr>
        <w:t>2</w:t>
      </w:r>
      <w:r w:rsidRPr="00D9348B">
        <w:t xml:space="preserve">-e emission estimates for </w:t>
      </w:r>
      <w:r w:rsidRPr="00D9348B">
        <w:rPr>
          <w:i/>
        </w:rPr>
        <w:t>Wetlands</w:t>
      </w:r>
      <w:r w:rsidRPr="00D9348B">
        <w:t xml:space="preserve"> is shown in table 6.7.4. Recalculations were carried out for this category as a result of updating activity data because of mapping improvements, as described in section 6.2.</w:t>
      </w:r>
    </w:p>
    <w:p w14:paraId="0FBF87D2" w14:textId="77777777" w:rsidR="00A10636" w:rsidRPr="00D9348B" w:rsidRDefault="00A10636" w:rsidP="00A10636">
      <w:pPr>
        <w:pStyle w:val="Table"/>
      </w:pPr>
      <w:bookmarkStart w:id="2304" w:name="_Toc342470787"/>
      <w:bookmarkStart w:id="2305" w:name="_Toc352505027"/>
      <w:bookmarkStart w:id="2306" w:name="_Toc378853316"/>
      <w:bookmarkStart w:id="2307" w:name="_Toc391024114"/>
      <w:bookmarkStart w:id="2308" w:name="_Toc410028857"/>
      <w:bookmarkStart w:id="2309" w:name="_Toc414531485"/>
      <w:bookmarkStart w:id="2310" w:name="_Toc443645398"/>
      <w:bookmarkStart w:id="2311" w:name="_Toc474914617"/>
      <w:bookmarkStart w:id="2312" w:name="_Toc481751581"/>
      <w:bookmarkStart w:id="2313" w:name="_Toc522010638"/>
      <w:bookmarkStart w:id="2314" w:name="_Toc5269543"/>
      <w:bookmarkStart w:id="2315" w:name="_Toc33529417"/>
      <w:bookmarkStart w:id="2316" w:name="_Toc36224623"/>
      <w:r w:rsidRPr="00D9348B">
        <w:t>Table 6.7.4</w:t>
      </w:r>
      <w:r w:rsidRPr="00D9348B">
        <w:tab/>
        <w:t>Recalculations for New Zealand’s net emissions from the Wetlands category in 1990 and</w:t>
      </w:r>
      <w:bookmarkEnd w:id="2304"/>
      <w:bookmarkEnd w:id="2305"/>
      <w:bookmarkEnd w:id="2306"/>
      <w:bookmarkEnd w:id="2307"/>
      <w:r w:rsidRPr="00D9348B">
        <w:t> 201</w:t>
      </w:r>
      <w:bookmarkEnd w:id="2308"/>
      <w:bookmarkEnd w:id="2309"/>
      <w:bookmarkEnd w:id="2310"/>
      <w:r w:rsidRPr="00D9348B">
        <w:t>7</w:t>
      </w:r>
      <w:bookmarkEnd w:id="2311"/>
      <w:bookmarkEnd w:id="2312"/>
      <w:bookmarkEnd w:id="2313"/>
      <w:bookmarkEnd w:id="2314"/>
      <w:bookmarkEnd w:id="2315"/>
      <w:bookmarkEnd w:id="2316"/>
    </w:p>
    <w:tbl>
      <w:tblPr>
        <w:tblW w:w="8505" w:type="dxa"/>
        <w:tblInd w:w="108" w:type="dxa"/>
        <w:tblLayout w:type="fixed"/>
        <w:tblLook w:val="04A0" w:firstRow="1" w:lastRow="0" w:firstColumn="1" w:lastColumn="0" w:noHBand="0" w:noVBand="1"/>
      </w:tblPr>
      <w:tblGrid>
        <w:gridCol w:w="1050"/>
        <w:gridCol w:w="1863"/>
        <w:gridCol w:w="1864"/>
        <w:gridCol w:w="1864"/>
        <w:gridCol w:w="1864"/>
      </w:tblGrid>
      <w:tr w:rsidR="00A10636" w:rsidRPr="00D9348B" w14:paraId="048B9EDA" w14:textId="77777777" w:rsidTr="00D664F6">
        <w:tc>
          <w:tcPr>
            <w:tcW w:w="1050" w:type="dxa"/>
            <w:vMerge w:val="restart"/>
            <w:tcBorders>
              <w:top w:val="single" w:sz="4" w:space="0" w:color="365F91"/>
            </w:tcBorders>
            <w:shd w:val="clear" w:color="auto" w:fill="365F91"/>
            <w:vAlign w:val="bottom"/>
          </w:tcPr>
          <w:p w14:paraId="41CA374A" w14:textId="77777777" w:rsidR="00A10636" w:rsidRPr="00D9348B" w:rsidRDefault="00A10636" w:rsidP="00DB330E">
            <w:pPr>
              <w:pStyle w:val="TableTextBold"/>
              <w:keepNext/>
              <w:spacing w:before="40" w:after="40"/>
              <w:rPr>
                <w:noProof w:val="0"/>
                <w:color w:val="FFFFFF"/>
              </w:rPr>
            </w:pPr>
            <w:r w:rsidRPr="00D9348B">
              <w:rPr>
                <w:noProof w:val="0"/>
                <w:color w:val="FFFFFF"/>
              </w:rPr>
              <w:t>Year</w:t>
            </w:r>
          </w:p>
        </w:tc>
        <w:tc>
          <w:tcPr>
            <w:tcW w:w="3727" w:type="dxa"/>
            <w:gridSpan w:val="2"/>
            <w:tcBorders>
              <w:top w:val="single" w:sz="4" w:space="0" w:color="365F91"/>
            </w:tcBorders>
            <w:shd w:val="clear" w:color="auto" w:fill="365F91"/>
            <w:noWrap/>
          </w:tcPr>
          <w:p w14:paraId="05B7EDF9" w14:textId="77777777" w:rsidR="00A10636" w:rsidRPr="00D9348B" w:rsidRDefault="00A10636" w:rsidP="00DB330E">
            <w:pPr>
              <w:pStyle w:val="TableTextBold"/>
              <w:keepNext/>
              <w:spacing w:before="40" w:after="40"/>
              <w:jc w:val="center"/>
              <w:rPr>
                <w:noProof w:val="0"/>
                <w:color w:val="FFFFFF"/>
              </w:rPr>
            </w:pPr>
            <w:r w:rsidRPr="00D9348B">
              <w:rPr>
                <w:noProof w:val="0"/>
                <w:color w:val="FFFFFF"/>
              </w:rPr>
              <w:t>Net emissions (kt CO</w:t>
            </w:r>
            <w:r w:rsidRPr="00D9348B">
              <w:rPr>
                <w:rFonts w:ascii="Arial Bold" w:hAnsi="Arial Bold"/>
                <w:noProof w:val="0"/>
                <w:color w:val="FFFFFF"/>
                <w:vertAlign w:val="subscript"/>
              </w:rPr>
              <w:t>2</w:t>
            </w:r>
            <w:r w:rsidRPr="00D9348B">
              <w:rPr>
                <w:noProof w:val="0"/>
                <w:color w:val="FFFFFF"/>
              </w:rPr>
              <w:t>-e)</w:t>
            </w:r>
          </w:p>
        </w:tc>
        <w:tc>
          <w:tcPr>
            <w:tcW w:w="3728" w:type="dxa"/>
            <w:gridSpan w:val="2"/>
            <w:tcBorders>
              <w:top w:val="single" w:sz="4" w:space="0" w:color="365F91"/>
            </w:tcBorders>
            <w:shd w:val="clear" w:color="auto" w:fill="365F91"/>
          </w:tcPr>
          <w:p w14:paraId="7C3125FF" w14:textId="77777777" w:rsidR="00A10636" w:rsidRPr="00D9348B" w:rsidRDefault="00A10636" w:rsidP="00DB330E">
            <w:pPr>
              <w:pStyle w:val="TableTextBold"/>
              <w:keepNext/>
              <w:spacing w:before="40" w:after="40"/>
              <w:jc w:val="center"/>
              <w:rPr>
                <w:noProof w:val="0"/>
                <w:color w:val="FFFFFF"/>
              </w:rPr>
            </w:pPr>
            <w:r w:rsidRPr="00D9348B">
              <w:rPr>
                <w:noProof w:val="0"/>
                <w:color w:val="FFFFFF"/>
              </w:rPr>
              <w:t>Change from the 2019 submission</w:t>
            </w:r>
          </w:p>
        </w:tc>
      </w:tr>
      <w:tr w:rsidR="00A10636" w:rsidRPr="00D9348B" w14:paraId="39CCED18" w14:textId="77777777" w:rsidTr="00D664F6">
        <w:tc>
          <w:tcPr>
            <w:tcW w:w="1050" w:type="dxa"/>
            <w:vMerge/>
            <w:tcBorders>
              <w:bottom w:val="single" w:sz="4" w:space="0" w:color="365F91"/>
            </w:tcBorders>
            <w:shd w:val="clear" w:color="auto" w:fill="365F91"/>
          </w:tcPr>
          <w:p w14:paraId="7B59C45E" w14:textId="77777777" w:rsidR="00A10636" w:rsidRPr="00D9348B" w:rsidRDefault="00A10636" w:rsidP="00DB330E">
            <w:pPr>
              <w:keepNext/>
              <w:spacing w:before="40" w:after="40"/>
              <w:rPr>
                <w:rFonts w:ascii="Arial" w:hAnsi="Arial"/>
                <w:color w:val="FFFFFF"/>
              </w:rPr>
            </w:pPr>
          </w:p>
        </w:tc>
        <w:tc>
          <w:tcPr>
            <w:tcW w:w="1863" w:type="dxa"/>
            <w:tcBorders>
              <w:bottom w:val="single" w:sz="4" w:space="0" w:color="365F91"/>
            </w:tcBorders>
            <w:shd w:val="clear" w:color="auto" w:fill="365F91"/>
          </w:tcPr>
          <w:p w14:paraId="3DCF4CAD" w14:textId="77777777" w:rsidR="00A10636" w:rsidRPr="00D9348B" w:rsidRDefault="00A10636" w:rsidP="00DB330E">
            <w:pPr>
              <w:pStyle w:val="TableText"/>
              <w:keepNext/>
              <w:spacing w:before="40" w:after="40"/>
              <w:jc w:val="center"/>
              <w:rPr>
                <w:b/>
                <w:color w:val="FFFFFF"/>
              </w:rPr>
            </w:pPr>
            <w:r w:rsidRPr="00D9348B">
              <w:rPr>
                <w:b/>
                <w:color w:val="FFFFFF"/>
              </w:rPr>
              <w:t>2019 submission</w:t>
            </w:r>
          </w:p>
        </w:tc>
        <w:tc>
          <w:tcPr>
            <w:tcW w:w="1864" w:type="dxa"/>
            <w:tcBorders>
              <w:bottom w:val="single" w:sz="4" w:space="0" w:color="365F91"/>
            </w:tcBorders>
            <w:shd w:val="clear" w:color="auto" w:fill="365F91"/>
          </w:tcPr>
          <w:p w14:paraId="54BD4C82" w14:textId="77777777" w:rsidR="00A10636" w:rsidRPr="00D9348B" w:rsidRDefault="00A10636" w:rsidP="00DB330E">
            <w:pPr>
              <w:pStyle w:val="TableText"/>
              <w:keepNext/>
              <w:spacing w:before="40" w:after="40"/>
              <w:jc w:val="center"/>
              <w:rPr>
                <w:b/>
                <w:color w:val="FFFFFF"/>
              </w:rPr>
            </w:pPr>
            <w:r w:rsidRPr="00D9348B">
              <w:rPr>
                <w:b/>
                <w:color w:val="FFFFFF"/>
              </w:rPr>
              <w:t>2020 submission</w:t>
            </w:r>
          </w:p>
        </w:tc>
        <w:tc>
          <w:tcPr>
            <w:tcW w:w="1864" w:type="dxa"/>
            <w:tcBorders>
              <w:bottom w:val="single" w:sz="4" w:space="0" w:color="365F91"/>
            </w:tcBorders>
            <w:shd w:val="clear" w:color="auto" w:fill="365F91"/>
          </w:tcPr>
          <w:p w14:paraId="7D2CF1E3" w14:textId="77777777" w:rsidR="00A10636" w:rsidRPr="00D9348B" w:rsidRDefault="00A10636" w:rsidP="00DB330E">
            <w:pPr>
              <w:pStyle w:val="TableText"/>
              <w:keepNext/>
              <w:spacing w:before="40" w:after="40"/>
              <w:jc w:val="center"/>
              <w:rPr>
                <w:b/>
                <w:color w:val="FFFFFF"/>
              </w:rPr>
            </w:pPr>
            <w:r w:rsidRPr="00D9348B">
              <w:rPr>
                <w:b/>
                <w:color w:val="FFFFFF"/>
              </w:rPr>
              <w:t>(kt CO</w:t>
            </w:r>
            <w:r w:rsidRPr="00D9348B">
              <w:rPr>
                <w:b/>
                <w:color w:val="FFFFFF"/>
                <w:vertAlign w:val="subscript"/>
              </w:rPr>
              <w:t>2</w:t>
            </w:r>
            <w:r w:rsidRPr="00D9348B">
              <w:rPr>
                <w:b/>
                <w:color w:val="FFFFFF"/>
              </w:rPr>
              <w:t>-e)</w:t>
            </w:r>
          </w:p>
        </w:tc>
        <w:tc>
          <w:tcPr>
            <w:tcW w:w="1864" w:type="dxa"/>
            <w:tcBorders>
              <w:bottom w:val="single" w:sz="4" w:space="0" w:color="365F91"/>
            </w:tcBorders>
            <w:shd w:val="clear" w:color="auto" w:fill="365F91"/>
          </w:tcPr>
          <w:p w14:paraId="4048896D" w14:textId="77777777" w:rsidR="00A10636" w:rsidRPr="00D9348B" w:rsidRDefault="00A10636" w:rsidP="00DB330E">
            <w:pPr>
              <w:pStyle w:val="TableText"/>
              <w:keepNext/>
              <w:spacing w:before="40" w:after="40"/>
              <w:jc w:val="center"/>
              <w:rPr>
                <w:b/>
                <w:color w:val="FFFFFF"/>
              </w:rPr>
            </w:pPr>
            <w:r w:rsidRPr="00D9348B">
              <w:rPr>
                <w:b/>
                <w:color w:val="FFFFFF"/>
              </w:rPr>
              <w:t>(%)</w:t>
            </w:r>
          </w:p>
        </w:tc>
      </w:tr>
      <w:tr w:rsidR="00A10636" w:rsidRPr="00D9348B" w14:paraId="77B0580B" w14:textId="77777777" w:rsidTr="00D664F6">
        <w:tc>
          <w:tcPr>
            <w:tcW w:w="1050" w:type="dxa"/>
            <w:tcBorders>
              <w:top w:val="single" w:sz="4" w:space="0" w:color="365F91"/>
              <w:bottom w:val="single" w:sz="4" w:space="0" w:color="365F91"/>
            </w:tcBorders>
          </w:tcPr>
          <w:p w14:paraId="05B08B0A" w14:textId="77777777" w:rsidR="00A10636" w:rsidRPr="00D9348B" w:rsidRDefault="00A10636" w:rsidP="00DB330E">
            <w:pPr>
              <w:pStyle w:val="TableText"/>
              <w:spacing w:before="40" w:after="40"/>
            </w:pPr>
            <w:r w:rsidRPr="00D9348B">
              <w:t xml:space="preserve">1990 </w:t>
            </w:r>
          </w:p>
        </w:tc>
        <w:tc>
          <w:tcPr>
            <w:tcW w:w="1863" w:type="dxa"/>
            <w:tcBorders>
              <w:top w:val="single" w:sz="4" w:space="0" w:color="365F91"/>
              <w:bottom w:val="single" w:sz="4" w:space="0" w:color="365F91"/>
            </w:tcBorders>
          </w:tcPr>
          <w:p w14:paraId="60D29F86" w14:textId="53BD8619" w:rsidR="00A10636" w:rsidRPr="00D9348B" w:rsidRDefault="00A10636" w:rsidP="00DB330E">
            <w:pPr>
              <w:pStyle w:val="TableText"/>
              <w:keepNext/>
              <w:tabs>
                <w:tab w:val="decimal" w:pos="369"/>
              </w:tabs>
              <w:spacing w:before="40" w:after="40"/>
              <w:jc w:val="center"/>
            </w:pPr>
            <w:r w:rsidRPr="00D9348B">
              <w:t xml:space="preserve">–10.0 </w:t>
            </w:r>
          </w:p>
        </w:tc>
        <w:tc>
          <w:tcPr>
            <w:tcW w:w="1864" w:type="dxa"/>
            <w:tcBorders>
              <w:top w:val="single" w:sz="4" w:space="0" w:color="365F91"/>
              <w:bottom w:val="single" w:sz="4" w:space="0" w:color="365F91"/>
            </w:tcBorders>
          </w:tcPr>
          <w:p w14:paraId="0B3ECDEC" w14:textId="77777777" w:rsidR="00A10636" w:rsidRPr="00D9348B" w:rsidRDefault="00A10636" w:rsidP="00DB330E">
            <w:pPr>
              <w:pStyle w:val="TableText"/>
              <w:keepNext/>
              <w:tabs>
                <w:tab w:val="decimal" w:pos="369"/>
              </w:tabs>
              <w:spacing w:before="40" w:after="40"/>
              <w:jc w:val="center"/>
            </w:pPr>
            <w:r w:rsidRPr="00D9348B">
              <w:t xml:space="preserve">–10.7 </w:t>
            </w:r>
          </w:p>
        </w:tc>
        <w:tc>
          <w:tcPr>
            <w:tcW w:w="1864" w:type="dxa"/>
            <w:tcBorders>
              <w:top w:val="single" w:sz="4" w:space="0" w:color="365F91"/>
              <w:bottom w:val="single" w:sz="4" w:space="0" w:color="365F91"/>
            </w:tcBorders>
          </w:tcPr>
          <w:p w14:paraId="036E7BFA" w14:textId="77777777" w:rsidR="00A10636" w:rsidRPr="00D9348B" w:rsidRDefault="00A10636" w:rsidP="00DB330E">
            <w:pPr>
              <w:pStyle w:val="TableText"/>
              <w:keepNext/>
              <w:tabs>
                <w:tab w:val="decimal" w:pos="369"/>
              </w:tabs>
              <w:spacing w:before="40" w:after="40"/>
              <w:jc w:val="center"/>
            </w:pPr>
            <w:r w:rsidRPr="00D9348B">
              <w:t xml:space="preserve">–0.7 </w:t>
            </w:r>
          </w:p>
        </w:tc>
        <w:tc>
          <w:tcPr>
            <w:tcW w:w="1864" w:type="dxa"/>
            <w:tcBorders>
              <w:top w:val="single" w:sz="4" w:space="0" w:color="365F91"/>
              <w:bottom w:val="single" w:sz="4" w:space="0" w:color="365F91"/>
            </w:tcBorders>
          </w:tcPr>
          <w:p w14:paraId="4096E3DC" w14:textId="77777777" w:rsidR="00A10636" w:rsidRPr="00D9348B" w:rsidRDefault="00A10636" w:rsidP="00DB330E">
            <w:pPr>
              <w:pStyle w:val="TableText"/>
              <w:keepNext/>
              <w:tabs>
                <w:tab w:val="decimal" w:pos="369"/>
              </w:tabs>
              <w:spacing w:before="40" w:after="40"/>
              <w:jc w:val="center"/>
            </w:pPr>
            <w:r w:rsidRPr="00D9348B">
              <w:t>–7.1</w:t>
            </w:r>
          </w:p>
        </w:tc>
      </w:tr>
      <w:tr w:rsidR="00A10636" w:rsidRPr="00D9348B" w14:paraId="46CF3551" w14:textId="77777777" w:rsidTr="00D664F6">
        <w:tc>
          <w:tcPr>
            <w:tcW w:w="1050" w:type="dxa"/>
            <w:tcBorders>
              <w:top w:val="single" w:sz="4" w:space="0" w:color="365F91"/>
              <w:bottom w:val="single" w:sz="4" w:space="0" w:color="365F91"/>
            </w:tcBorders>
          </w:tcPr>
          <w:p w14:paraId="432E9821" w14:textId="77777777" w:rsidR="00A10636" w:rsidRPr="00D9348B" w:rsidRDefault="00A10636" w:rsidP="00DB330E">
            <w:pPr>
              <w:pStyle w:val="TableText"/>
              <w:spacing w:before="40" w:after="40"/>
            </w:pPr>
            <w:r w:rsidRPr="00D9348B">
              <w:t>2017</w:t>
            </w:r>
          </w:p>
        </w:tc>
        <w:tc>
          <w:tcPr>
            <w:tcW w:w="1863" w:type="dxa"/>
            <w:tcBorders>
              <w:top w:val="single" w:sz="4" w:space="0" w:color="365F91"/>
              <w:bottom w:val="single" w:sz="4" w:space="0" w:color="365F91"/>
            </w:tcBorders>
          </w:tcPr>
          <w:p w14:paraId="6D8F06D2" w14:textId="77777777" w:rsidR="00A10636" w:rsidRPr="00D9348B" w:rsidRDefault="00A10636" w:rsidP="00DB330E">
            <w:pPr>
              <w:pStyle w:val="TableText"/>
              <w:tabs>
                <w:tab w:val="decimal" w:pos="369"/>
              </w:tabs>
              <w:spacing w:before="40" w:after="40"/>
              <w:jc w:val="center"/>
            </w:pPr>
            <w:r w:rsidRPr="00D9348B">
              <w:t xml:space="preserve">13.9 </w:t>
            </w:r>
          </w:p>
        </w:tc>
        <w:tc>
          <w:tcPr>
            <w:tcW w:w="1864" w:type="dxa"/>
            <w:tcBorders>
              <w:top w:val="single" w:sz="4" w:space="0" w:color="365F91"/>
              <w:bottom w:val="single" w:sz="4" w:space="0" w:color="365F91"/>
            </w:tcBorders>
          </w:tcPr>
          <w:p w14:paraId="2305A884" w14:textId="77777777" w:rsidR="00A10636" w:rsidRPr="00D9348B" w:rsidRDefault="00A10636" w:rsidP="00DB330E">
            <w:pPr>
              <w:pStyle w:val="TableText"/>
              <w:tabs>
                <w:tab w:val="decimal" w:pos="369"/>
              </w:tabs>
              <w:spacing w:before="40" w:after="40"/>
              <w:jc w:val="center"/>
            </w:pPr>
            <w:r w:rsidRPr="00D9348B">
              <w:t xml:space="preserve">13.7 </w:t>
            </w:r>
          </w:p>
        </w:tc>
        <w:tc>
          <w:tcPr>
            <w:tcW w:w="1864" w:type="dxa"/>
            <w:tcBorders>
              <w:top w:val="single" w:sz="4" w:space="0" w:color="365F91"/>
              <w:bottom w:val="single" w:sz="4" w:space="0" w:color="365F91"/>
            </w:tcBorders>
          </w:tcPr>
          <w:p w14:paraId="2B1E9E1B" w14:textId="77777777" w:rsidR="00A10636" w:rsidRPr="00D9348B" w:rsidRDefault="00A10636" w:rsidP="00DB330E">
            <w:pPr>
              <w:pStyle w:val="TableText"/>
              <w:tabs>
                <w:tab w:val="decimal" w:pos="369"/>
              </w:tabs>
              <w:spacing w:before="40" w:after="40"/>
              <w:jc w:val="center"/>
            </w:pPr>
            <w:r w:rsidRPr="00D9348B">
              <w:t xml:space="preserve">–0.2 </w:t>
            </w:r>
          </w:p>
        </w:tc>
        <w:tc>
          <w:tcPr>
            <w:tcW w:w="1864" w:type="dxa"/>
            <w:tcBorders>
              <w:top w:val="single" w:sz="4" w:space="0" w:color="365F91"/>
              <w:bottom w:val="single" w:sz="4" w:space="0" w:color="365F91"/>
            </w:tcBorders>
          </w:tcPr>
          <w:p w14:paraId="50A43698" w14:textId="77777777" w:rsidR="00A10636" w:rsidRPr="00D9348B" w:rsidRDefault="00A10636" w:rsidP="00DB330E">
            <w:pPr>
              <w:pStyle w:val="TableText"/>
              <w:tabs>
                <w:tab w:val="decimal" w:pos="369"/>
              </w:tabs>
              <w:spacing w:before="40" w:after="40"/>
              <w:jc w:val="center"/>
            </w:pPr>
            <w:r w:rsidRPr="00D9348B">
              <w:t>–1.7</w:t>
            </w:r>
          </w:p>
        </w:tc>
      </w:tr>
    </w:tbl>
    <w:p w14:paraId="163D44F0" w14:textId="77777777" w:rsidR="00A10636" w:rsidRPr="00D9348B" w:rsidRDefault="00A10636" w:rsidP="00A10636">
      <w:pPr>
        <w:pStyle w:val="Heading3"/>
      </w:pPr>
      <w:r w:rsidRPr="00D9348B">
        <w:t>6.7.6</w:t>
      </w:r>
      <w:r w:rsidRPr="00D9348B">
        <w:tab/>
        <w:t>Category-specific planned improvements</w:t>
      </w:r>
    </w:p>
    <w:p w14:paraId="478A5CDD" w14:textId="77777777" w:rsidR="00A10636" w:rsidRPr="00D9348B" w:rsidRDefault="00A10636" w:rsidP="00D664F6">
      <w:pPr>
        <w:pStyle w:val="BodyText"/>
        <w:spacing w:after="100"/>
      </w:pPr>
      <w:r w:rsidRPr="00D9348B">
        <w:t xml:space="preserve">The following improvements are planned for the </w:t>
      </w:r>
      <w:r w:rsidRPr="00D9348B">
        <w:rPr>
          <w:i/>
        </w:rPr>
        <w:t xml:space="preserve">Wetlands </w:t>
      </w:r>
      <w:r w:rsidRPr="00D9348B">
        <w:t>category:</w:t>
      </w:r>
    </w:p>
    <w:p w14:paraId="22197489" w14:textId="77777777" w:rsidR="00A10636" w:rsidRPr="00D9348B" w:rsidRDefault="00A10636" w:rsidP="00771A8F">
      <w:pPr>
        <w:pStyle w:val="Bullet"/>
        <w:numPr>
          <w:ilvl w:val="0"/>
          <w:numId w:val="20"/>
        </w:numPr>
        <w:spacing w:after="100"/>
      </w:pPr>
      <w:r w:rsidRPr="00D9348B">
        <w:t>estimating emissions from land converted to flooded land</w:t>
      </w:r>
    </w:p>
    <w:p w14:paraId="459874F9" w14:textId="77777777" w:rsidR="00A10636" w:rsidRPr="00D9348B" w:rsidRDefault="00A10636" w:rsidP="00771A8F">
      <w:pPr>
        <w:pStyle w:val="Bullet"/>
        <w:numPr>
          <w:ilvl w:val="0"/>
          <w:numId w:val="20"/>
        </w:numPr>
        <w:spacing w:after="100"/>
      </w:pPr>
      <w:proofErr w:type="gramStart"/>
      <w:r w:rsidRPr="00D9348B">
        <w:t>estimating</w:t>
      </w:r>
      <w:proofErr w:type="gramEnd"/>
      <w:r w:rsidRPr="00D9348B">
        <w:t xml:space="preserve"> non-CO</w:t>
      </w:r>
      <w:r w:rsidRPr="00D9348B">
        <w:rPr>
          <w:vertAlign w:val="subscript"/>
        </w:rPr>
        <w:t>2</w:t>
      </w:r>
      <w:r w:rsidRPr="00D9348B">
        <w:t xml:space="preserve"> emissions from the drainage of soils and wetlands.</w:t>
      </w:r>
    </w:p>
    <w:p w14:paraId="04CC600F" w14:textId="77777777" w:rsidR="00A10636" w:rsidRPr="00D9348B" w:rsidRDefault="00A10636" w:rsidP="00A10636">
      <w:pPr>
        <w:pStyle w:val="BodyText"/>
      </w:pPr>
      <w:r w:rsidRPr="00D9348B">
        <w:t xml:space="preserve">In the 2019 in-country review, it was suggested that the approach New Zealand had taken to determine the country-specific transition period was not in line with the 2006 IPCC Guidelines. To address this, New Zealand will be moving to the 20-year default transition period of the 2006 IPCC Guidelines (IPCC, 2006a). </w:t>
      </w:r>
    </w:p>
    <w:p w14:paraId="2F8DCCA2" w14:textId="77777777" w:rsidR="00A10636" w:rsidRPr="00D9348B" w:rsidRDefault="00A10636" w:rsidP="00A10636">
      <w:pPr>
        <w:pStyle w:val="Heading2"/>
        <w:spacing w:before="280"/>
      </w:pPr>
      <w:bookmarkStart w:id="2317" w:name="_Toc310423456"/>
      <w:bookmarkStart w:id="2318" w:name="_Toc342470722"/>
      <w:bookmarkStart w:id="2319" w:name="_Toc352504874"/>
      <w:bookmarkStart w:id="2320" w:name="_Toc391024704"/>
      <w:bookmarkStart w:id="2321" w:name="_Toc414531321"/>
      <w:bookmarkStart w:id="2322" w:name="_Toc474335463"/>
      <w:bookmarkStart w:id="2323" w:name="_Toc481751403"/>
      <w:bookmarkStart w:id="2324" w:name="_Toc522013955"/>
      <w:bookmarkStart w:id="2325" w:name="_Toc5269380"/>
      <w:bookmarkStart w:id="2326" w:name="_Toc36224420"/>
      <w:r w:rsidRPr="00D9348B">
        <w:t>6.8</w:t>
      </w:r>
      <w:r w:rsidRPr="00D9348B">
        <w:tab/>
        <w:t>Settlements (CRF 4E)</w:t>
      </w:r>
      <w:bookmarkEnd w:id="2317"/>
      <w:bookmarkEnd w:id="2318"/>
      <w:bookmarkEnd w:id="2319"/>
      <w:bookmarkEnd w:id="2320"/>
      <w:bookmarkEnd w:id="2321"/>
      <w:bookmarkEnd w:id="2322"/>
      <w:bookmarkEnd w:id="2323"/>
      <w:bookmarkEnd w:id="2324"/>
      <w:bookmarkEnd w:id="2325"/>
      <w:bookmarkEnd w:id="2326"/>
    </w:p>
    <w:p w14:paraId="6DF02AA1" w14:textId="77777777" w:rsidR="00A10636" w:rsidRPr="00D9348B" w:rsidRDefault="00A10636" w:rsidP="00D664F6">
      <w:pPr>
        <w:pStyle w:val="Heading3"/>
        <w:spacing w:before="160"/>
      </w:pPr>
      <w:r w:rsidRPr="00D9348B">
        <w:t>6.8.1</w:t>
      </w:r>
      <w:r w:rsidRPr="00D9348B">
        <w:tab/>
        <w:t>Description</w:t>
      </w:r>
    </w:p>
    <w:p w14:paraId="31A06324" w14:textId="50DD6A14" w:rsidR="00A10636" w:rsidRPr="00D9348B" w:rsidRDefault="00A10636" w:rsidP="00A10636">
      <w:pPr>
        <w:pStyle w:val="BodyText"/>
      </w:pPr>
      <w:r w:rsidRPr="00D9348B">
        <w:t xml:space="preserve">The </w:t>
      </w:r>
      <w:r w:rsidRPr="00D9348B">
        <w:rPr>
          <w:i/>
        </w:rPr>
        <w:t>Settlements</w:t>
      </w:r>
      <w:r w:rsidRPr="00D9348B">
        <w:t xml:space="preserve"> </w:t>
      </w:r>
      <w:r w:rsidR="00EA7212">
        <w:t>land-use</w:t>
      </w:r>
      <w:r w:rsidRPr="00D9348B">
        <w:t xml:space="preserve"> category, as described in chapter 3.2 of 2006 IPCC Guidelines, includes “all developed land, including transportation infrastructure and human settlements of</w:t>
      </w:r>
      <w:r w:rsidR="002C3AEC" w:rsidRPr="00D9348B">
        <w:t> </w:t>
      </w:r>
      <w:r w:rsidRPr="00D9348B">
        <w:t xml:space="preserve">any size, unless they are already included under other categories” (IPCC, 2006a, p 3.7). </w:t>
      </w:r>
      <w:r w:rsidRPr="00D9348B">
        <w:rPr>
          <w:i/>
        </w:rPr>
        <w:t>Settlements</w:t>
      </w:r>
      <w:r w:rsidRPr="00D9348B">
        <w:t xml:space="preserve"> include trees grown along streets, in public and private gardens, and in parks associated with urban areas. </w:t>
      </w:r>
    </w:p>
    <w:p w14:paraId="71083145" w14:textId="77777777" w:rsidR="00A10636" w:rsidRPr="00D9348B" w:rsidRDefault="00A10636" w:rsidP="00A10636">
      <w:pPr>
        <w:pStyle w:val="BodyText"/>
      </w:pPr>
      <w:r w:rsidRPr="00D9348B">
        <w:t xml:space="preserve">In 2018, there were 236,357 hectares of </w:t>
      </w:r>
      <w:r w:rsidRPr="00D9348B">
        <w:rPr>
          <w:i/>
        </w:rPr>
        <w:t>Settlements</w:t>
      </w:r>
      <w:r w:rsidRPr="00D9348B">
        <w:t xml:space="preserve"> in New Zealand, an increase of 28,810 hectares since 1990. This category comprised 0.9 per cent of New Zealand’s total land area in 2018. The largest area of change to </w:t>
      </w:r>
      <w:r w:rsidRPr="00D9348B">
        <w:rPr>
          <w:i/>
        </w:rPr>
        <w:t>Settlements</w:t>
      </w:r>
      <w:r w:rsidRPr="00D9348B">
        <w:t xml:space="preserve"> between 1990 and 2018 was from high producing grassland, with 21,618 hectares of high producing</w:t>
      </w:r>
      <w:r w:rsidRPr="00D9348B">
        <w:rPr>
          <w:i/>
        </w:rPr>
        <w:t xml:space="preserve"> </w:t>
      </w:r>
      <w:r w:rsidRPr="00D9348B">
        <w:t xml:space="preserve">grassland converted to </w:t>
      </w:r>
      <w:r w:rsidRPr="00D9348B">
        <w:rPr>
          <w:i/>
        </w:rPr>
        <w:t>Settlements</w:t>
      </w:r>
      <w:r w:rsidRPr="00D9348B">
        <w:t xml:space="preserve"> between 1990 and 2018.</w:t>
      </w:r>
    </w:p>
    <w:p w14:paraId="6257120F" w14:textId="77777777" w:rsidR="00A10636" w:rsidRPr="00D9348B" w:rsidRDefault="00A10636" w:rsidP="00A10636">
      <w:pPr>
        <w:pStyle w:val="BodyText"/>
      </w:pPr>
      <w:r w:rsidRPr="00D9348B">
        <w:t xml:space="preserve">In 2018, the net emissions from </w:t>
      </w:r>
      <w:r w:rsidRPr="00D9348B">
        <w:rPr>
          <w:i/>
        </w:rPr>
        <w:t>Settlements</w:t>
      </w:r>
      <w:r w:rsidRPr="00D9348B">
        <w:t xml:space="preserve"> were 103.4 kt CO</w:t>
      </w:r>
      <w:r w:rsidRPr="00D9348B">
        <w:rPr>
          <w:vertAlign w:val="subscript"/>
        </w:rPr>
        <w:t>2</w:t>
      </w:r>
      <w:r w:rsidRPr="00D9348B">
        <w:t xml:space="preserve">-e, an increase of 42.7 per cent from net emissions in 1990 (see table 6.8.1). This change in emissions is mainly from the category of </w:t>
      </w:r>
      <w:r w:rsidRPr="00D9348B">
        <w:rPr>
          <w:i/>
        </w:rPr>
        <w:t xml:space="preserve">Land converted to settlements </w:t>
      </w:r>
      <w:r w:rsidRPr="00D9348B">
        <w:t xml:space="preserve">and results from the drainage of organic soils. </w:t>
      </w:r>
      <w:r w:rsidRPr="00D9348B">
        <w:rPr>
          <w:i/>
        </w:rPr>
        <w:t>Settlements</w:t>
      </w:r>
      <w:r w:rsidRPr="00D9348B">
        <w:t xml:space="preserve"> was not a key category in 2018.</w:t>
      </w:r>
    </w:p>
    <w:p w14:paraId="415CBC2A" w14:textId="06F9E14E" w:rsidR="00A10636" w:rsidRPr="00D9348B" w:rsidRDefault="00A10636" w:rsidP="00A10636">
      <w:pPr>
        <w:pStyle w:val="Table"/>
      </w:pPr>
      <w:bookmarkStart w:id="2327" w:name="_Toc342470788"/>
      <w:bookmarkStart w:id="2328" w:name="_Toc352505028"/>
      <w:bookmarkStart w:id="2329" w:name="_Toc378853317"/>
      <w:bookmarkStart w:id="2330" w:name="_Toc391024115"/>
      <w:bookmarkStart w:id="2331" w:name="_Toc410028858"/>
      <w:bookmarkStart w:id="2332" w:name="_Toc414531486"/>
      <w:bookmarkStart w:id="2333" w:name="_Toc443645399"/>
      <w:bookmarkStart w:id="2334" w:name="_Toc474914618"/>
      <w:bookmarkStart w:id="2335" w:name="_Toc481751582"/>
      <w:bookmarkStart w:id="2336" w:name="_Toc522010639"/>
      <w:bookmarkStart w:id="2337" w:name="_Toc5269544"/>
      <w:bookmarkStart w:id="2338" w:name="_Toc33529418"/>
      <w:bookmarkStart w:id="2339" w:name="_Toc36224624"/>
      <w:r w:rsidRPr="00D9348B">
        <w:lastRenderedPageBreak/>
        <w:t>Table 6.8.1</w:t>
      </w:r>
      <w:r w:rsidRPr="00D9348B">
        <w:tab/>
        <w:t>New Zealand’s land-use change for the Settlements category, and</w:t>
      </w:r>
      <w:r w:rsidRPr="00D9348B">
        <w:br/>
        <w:t>associated CO</w:t>
      </w:r>
      <w:r w:rsidRPr="00D9348B">
        <w:rPr>
          <w:vertAlign w:val="subscript"/>
        </w:rPr>
        <w:t>2</w:t>
      </w:r>
      <w:r w:rsidR="00A10B40" w:rsidRPr="00D9348B">
        <w:noBreakHyphen/>
      </w:r>
      <w:r w:rsidRPr="00D9348B">
        <w:t>e</w:t>
      </w:r>
      <w:r w:rsidR="00A10B40" w:rsidRPr="00D9348B">
        <w:t> </w:t>
      </w:r>
      <w:r w:rsidRPr="00D9348B">
        <w:t>emissions</w:t>
      </w:r>
      <w:bookmarkEnd w:id="2327"/>
      <w:bookmarkEnd w:id="2328"/>
      <w:bookmarkEnd w:id="2329"/>
      <w:r w:rsidRPr="00D9348B">
        <w:t>, from 1990 to</w:t>
      </w:r>
      <w:bookmarkEnd w:id="2330"/>
      <w:r w:rsidRPr="00D9348B">
        <w:t> 201</w:t>
      </w:r>
      <w:bookmarkEnd w:id="2331"/>
      <w:bookmarkEnd w:id="2332"/>
      <w:bookmarkEnd w:id="2333"/>
      <w:bookmarkEnd w:id="2334"/>
      <w:bookmarkEnd w:id="2335"/>
      <w:r w:rsidRPr="00D9348B">
        <w:t>8</w:t>
      </w:r>
      <w:bookmarkEnd w:id="2336"/>
      <w:bookmarkEnd w:id="2337"/>
      <w:bookmarkEnd w:id="2338"/>
      <w:bookmarkEnd w:id="2339"/>
    </w:p>
    <w:tbl>
      <w:tblPr>
        <w:tblW w:w="8505" w:type="dxa"/>
        <w:tblInd w:w="108" w:type="dxa"/>
        <w:tblLayout w:type="fixed"/>
        <w:tblLook w:val="04A0" w:firstRow="1" w:lastRow="0" w:firstColumn="1" w:lastColumn="0" w:noHBand="0" w:noVBand="1"/>
      </w:tblPr>
      <w:tblGrid>
        <w:gridCol w:w="2977"/>
        <w:gridCol w:w="1134"/>
        <w:gridCol w:w="1134"/>
        <w:gridCol w:w="851"/>
        <w:gridCol w:w="992"/>
        <w:gridCol w:w="1417"/>
      </w:tblGrid>
      <w:tr w:rsidR="00A10636" w:rsidRPr="00D9348B" w14:paraId="12F43D74" w14:textId="77777777" w:rsidTr="003557B6">
        <w:trPr>
          <w:tblHeader/>
        </w:trPr>
        <w:tc>
          <w:tcPr>
            <w:tcW w:w="2977" w:type="dxa"/>
            <w:vMerge w:val="restart"/>
            <w:tcBorders>
              <w:top w:val="single" w:sz="4" w:space="0" w:color="365F91"/>
            </w:tcBorders>
            <w:shd w:val="clear" w:color="auto" w:fill="365F91"/>
            <w:vAlign w:val="bottom"/>
          </w:tcPr>
          <w:p w14:paraId="1DAB749F" w14:textId="08E80412" w:rsidR="00A10636" w:rsidRPr="00D9348B" w:rsidRDefault="00A10636" w:rsidP="00DB330E">
            <w:pPr>
              <w:pStyle w:val="TableTextBold"/>
              <w:keepNext/>
              <w:rPr>
                <w:noProof w:val="0"/>
                <w:color w:val="FFFFFF"/>
              </w:rPr>
            </w:pPr>
            <w:r w:rsidRPr="00D9348B">
              <w:rPr>
                <w:noProof w:val="0"/>
                <w:color w:val="FFFFFF"/>
              </w:rPr>
              <w:t xml:space="preserve">Settlements </w:t>
            </w:r>
            <w:r w:rsidR="00EA7212">
              <w:rPr>
                <w:noProof w:val="0"/>
                <w:color w:val="FFFFFF"/>
              </w:rPr>
              <w:t>land-use</w:t>
            </w:r>
            <w:r w:rsidRPr="00D9348B">
              <w:rPr>
                <w:noProof w:val="0"/>
                <w:color w:val="FFFFFF"/>
              </w:rPr>
              <w:t xml:space="preserve"> category</w:t>
            </w:r>
          </w:p>
        </w:tc>
        <w:tc>
          <w:tcPr>
            <w:tcW w:w="2268" w:type="dxa"/>
            <w:gridSpan w:val="2"/>
            <w:tcBorders>
              <w:top w:val="single" w:sz="4" w:space="0" w:color="365F91"/>
            </w:tcBorders>
            <w:shd w:val="clear" w:color="auto" w:fill="365F91"/>
            <w:vAlign w:val="bottom"/>
          </w:tcPr>
          <w:p w14:paraId="55A5B7AD" w14:textId="77777777" w:rsidR="00A10636" w:rsidRPr="00D9348B" w:rsidRDefault="00A10636" w:rsidP="00DB330E">
            <w:pPr>
              <w:pStyle w:val="TableTextBold"/>
              <w:keepNext/>
              <w:jc w:val="center"/>
              <w:rPr>
                <w:noProof w:val="0"/>
                <w:color w:val="FFFFFF"/>
              </w:rPr>
            </w:pPr>
            <w:r w:rsidRPr="00D9348B">
              <w:rPr>
                <w:noProof w:val="0"/>
                <w:color w:val="FFFFFF"/>
              </w:rPr>
              <w:t>Net area (ha) as at</w:t>
            </w:r>
          </w:p>
        </w:tc>
        <w:tc>
          <w:tcPr>
            <w:tcW w:w="1843" w:type="dxa"/>
            <w:gridSpan w:val="2"/>
            <w:tcBorders>
              <w:top w:val="single" w:sz="4" w:space="0" w:color="365F91"/>
            </w:tcBorders>
            <w:shd w:val="clear" w:color="auto" w:fill="365F91"/>
            <w:vAlign w:val="bottom"/>
          </w:tcPr>
          <w:p w14:paraId="51843F5D" w14:textId="045AE1BB" w:rsidR="00A10636" w:rsidRPr="00D9348B" w:rsidRDefault="00A10636" w:rsidP="00DB330E">
            <w:pPr>
              <w:pStyle w:val="TableTextBold"/>
              <w:keepNext/>
              <w:jc w:val="center"/>
              <w:rPr>
                <w:noProof w:val="0"/>
                <w:color w:val="FFFFFF"/>
              </w:rPr>
            </w:pPr>
            <w:r w:rsidRPr="00D9348B">
              <w:rPr>
                <w:noProof w:val="0"/>
                <w:color w:val="FFFFFF"/>
              </w:rPr>
              <w:t>Net emissions (kt CO</w:t>
            </w:r>
            <w:r w:rsidRPr="00D9348B">
              <w:rPr>
                <w:noProof w:val="0"/>
                <w:color w:val="FFFFFF"/>
                <w:vertAlign w:val="subscript"/>
              </w:rPr>
              <w:t>2</w:t>
            </w:r>
            <w:r w:rsidRPr="00D9348B">
              <w:rPr>
                <w:noProof w:val="0"/>
                <w:color w:val="FFFFFF"/>
              </w:rPr>
              <w:t>-e)</w:t>
            </w:r>
          </w:p>
        </w:tc>
        <w:tc>
          <w:tcPr>
            <w:tcW w:w="1417" w:type="dxa"/>
            <w:vMerge w:val="restart"/>
            <w:tcBorders>
              <w:top w:val="single" w:sz="4" w:space="0" w:color="365F91"/>
            </w:tcBorders>
            <w:shd w:val="clear" w:color="auto" w:fill="365F91"/>
            <w:vAlign w:val="bottom"/>
          </w:tcPr>
          <w:p w14:paraId="597FB29E" w14:textId="77777777" w:rsidR="00A10636" w:rsidRPr="00D9348B" w:rsidRDefault="00A10636" w:rsidP="00DB330E">
            <w:pPr>
              <w:pStyle w:val="TableTextBold"/>
              <w:keepNext/>
              <w:jc w:val="center"/>
              <w:rPr>
                <w:noProof w:val="0"/>
                <w:color w:val="FFFFFF"/>
              </w:rPr>
            </w:pPr>
            <w:r w:rsidRPr="00D9348B">
              <w:rPr>
                <w:noProof w:val="0"/>
                <w:color w:val="FFFFFF"/>
              </w:rPr>
              <w:t>Change from 1990 (%)</w:t>
            </w:r>
          </w:p>
        </w:tc>
      </w:tr>
      <w:tr w:rsidR="00A10636" w:rsidRPr="00D9348B" w14:paraId="71A524DF" w14:textId="77777777" w:rsidTr="003557B6">
        <w:trPr>
          <w:tblHeader/>
        </w:trPr>
        <w:tc>
          <w:tcPr>
            <w:tcW w:w="2977" w:type="dxa"/>
            <w:vMerge/>
            <w:tcBorders>
              <w:bottom w:val="single" w:sz="4" w:space="0" w:color="365F91"/>
            </w:tcBorders>
          </w:tcPr>
          <w:p w14:paraId="3EE64DC1" w14:textId="77777777" w:rsidR="00A10636" w:rsidRPr="00D9348B" w:rsidRDefault="00A10636" w:rsidP="00DB330E">
            <w:pPr>
              <w:keepNext/>
              <w:keepLines/>
              <w:spacing w:before="60" w:after="60"/>
            </w:pPr>
          </w:p>
        </w:tc>
        <w:tc>
          <w:tcPr>
            <w:tcW w:w="1134" w:type="dxa"/>
            <w:tcBorders>
              <w:bottom w:val="single" w:sz="4" w:space="0" w:color="365F91"/>
            </w:tcBorders>
            <w:shd w:val="clear" w:color="auto" w:fill="365F91"/>
          </w:tcPr>
          <w:p w14:paraId="2441AAF3" w14:textId="77777777" w:rsidR="00A10636" w:rsidRPr="00D9348B" w:rsidRDefault="00A10636" w:rsidP="00DB330E">
            <w:pPr>
              <w:pStyle w:val="TableTextBold"/>
              <w:keepNext/>
              <w:jc w:val="center"/>
              <w:rPr>
                <w:noProof w:val="0"/>
                <w:color w:val="FFFFFF"/>
              </w:rPr>
            </w:pPr>
            <w:r w:rsidRPr="00D9348B">
              <w:rPr>
                <w:noProof w:val="0"/>
                <w:color w:val="FFFFFF"/>
              </w:rPr>
              <w:t>1990</w:t>
            </w:r>
          </w:p>
        </w:tc>
        <w:tc>
          <w:tcPr>
            <w:tcW w:w="1134" w:type="dxa"/>
            <w:tcBorders>
              <w:bottom w:val="single" w:sz="4" w:space="0" w:color="365F91"/>
            </w:tcBorders>
            <w:shd w:val="clear" w:color="auto" w:fill="365F91"/>
          </w:tcPr>
          <w:p w14:paraId="0647EAD9" w14:textId="77777777" w:rsidR="00A10636" w:rsidRPr="00D9348B" w:rsidRDefault="00A10636" w:rsidP="00DB330E">
            <w:pPr>
              <w:pStyle w:val="TableTextBold"/>
              <w:keepNext/>
              <w:jc w:val="center"/>
              <w:rPr>
                <w:noProof w:val="0"/>
                <w:color w:val="FFFFFF"/>
              </w:rPr>
            </w:pPr>
            <w:r w:rsidRPr="00D9348B">
              <w:rPr>
                <w:noProof w:val="0"/>
                <w:color w:val="FFFFFF"/>
              </w:rPr>
              <w:t>2018</w:t>
            </w:r>
          </w:p>
        </w:tc>
        <w:tc>
          <w:tcPr>
            <w:tcW w:w="851" w:type="dxa"/>
            <w:tcBorders>
              <w:bottom w:val="single" w:sz="4" w:space="0" w:color="365F91"/>
            </w:tcBorders>
            <w:shd w:val="clear" w:color="auto" w:fill="365F91"/>
          </w:tcPr>
          <w:p w14:paraId="10092DA6" w14:textId="77777777" w:rsidR="00A10636" w:rsidRPr="00D9348B" w:rsidRDefault="00A10636" w:rsidP="00DB330E">
            <w:pPr>
              <w:pStyle w:val="TableTextBold"/>
              <w:keepNext/>
              <w:jc w:val="center"/>
              <w:rPr>
                <w:noProof w:val="0"/>
                <w:color w:val="FFFFFF"/>
              </w:rPr>
            </w:pPr>
            <w:r w:rsidRPr="00D9348B">
              <w:rPr>
                <w:noProof w:val="0"/>
                <w:color w:val="FFFFFF"/>
              </w:rPr>
              <w:t>1990</w:t>
            </w:r>
          </w:p>
        </w:tc>
        <w:tc>
          <w:tcPr>
            <w:tcW w:w="992" w:type="dxa"/>
            <w:tcBorders>
              <w:bottom w:val="single" w:sz="4" w:space="0" w:color="365F91"/>
            </w:tcBorders>
            <w:shd w:val="clear" w:color="auto" w:fill="365F91"/>
          </w:tcPr>
          <w:p w14:paraId="4B28F03A" w14:textId="77777777" w:rsidR="00A10636" w:rsidRPr="00D9348B" w:rsidRDefault="00A10636" w:rsidP="00DB330E">
            <w:pPr>
              <w:pStyle w:val="TableTextBold"/>
              <w:keepNext/>
              <w:jc w:val="center"/>
              <w:rPr>
                <w:noProof w:val="0"/>
                <w:color w:val="FFFFFF"/>
              </w:rPr>
            </w:pPr>
            <w:r w:rsidRPr="00D9348B">
              <w:rPr>
                <w:noProof w:val="0"/>
                <w:color w:val="FFFFFF"/>
              </w:rPr>
              <w:t>2018</w:t>
            </w:r>
          </w:p>
        </w:tc>
        <w:tc>
          <w:tcPr>
            <w:tcW w:w="1417" w:type="dxa"/>
            <w:vMerge/>
            <w:tcBorders>
              <w:bottom w:val="single" w:sz="4" w:space="0" w:color="365F91"/>
            </w:tcBorders>
          </w:tcPr>
          <w:p w14:paraId="7C94C060" w14:textId="77777777" w:rsidR="00A10636" w:rsidRPr="00D9348B" w:rsidRDefault="00A10636" w:rsidP="00DB330E">
            <w:pPr>
              <w:keepNext/>
              <w:keepLines/>
              <w:spacing w:before="60" w:after="60"/>
              <w:jc w:val="center"/>
              <w:rPr>
                <w:rFonts w:ascii="Arial" w:hAnsi="Arial"/>
              </w:rPr>
            </w:pPr>
          </w:p>
        </w:tc>
      </w:tr>
      <w:tr w:rsidR="00A10636" w:rsidRPr="00D9348B" w14:paraId="2D427343" w14:textId="77777777" w:rsidTr="003557B6">
        <w:tc>
          <w:tcPr>
            <w:tcW w:w="2977" w:type="dxa"/>
            <w:tcBorders>
              <w:top w:val="single" w:sz="4" w:space="0" w:color="365F91"/>
              <w:bottom w:val="single" w:sz="4" w:space="0" w:color="365F91"/>
            </w:tcBorders>
          </w:tcPr>
          <w:p w14:paraId="678484E8" w14:textId="77777777" w:rsidR="00A10636" w:rsidRPr="00D9348B" w:rsidRDefault="00A10636" w:rsidP="00DB330E">
            <w:pPr>
              <w:pStyle w:val="TableText"/>
              <w:keepNext/>
            </w:pPr>
            <w:r w:rsidRPr="00D9348B">
              <w:t>Settlements remaining settlements</w:t>
            </w:r>
          </w:p>
        </w:tc>
        <w:tc>
          <w:tcPr>
            <w:tcW w:w="1134" w:type="dxa"/>
            <w:tcBorders>
              <w:top w:val="single" w:sz="4" w:space="0" w:color="365F91"/>
              <w:bottom w:val="single" w:sz="4" w:space="0" w:color="365F91"/>
            </w:tcBorders>
            <w:vAlign w:val="center"/>
          </w:tcPr>
          <w:p w14:paraId="61EBA8E6" w14:textId="77777777" w:rsidR="00A10636" w:rsidRPr="00D9348B" w:rsidRDefault="00A10636" w:rsidP="00DB330E">
            <w:pPr>
              <w:pStyle w:val="TableText"/>
              <w:keepNext/>
              <w:jc w:val="center"/>
            </w:pPr>
            <w:r w:rsidRPr="00D9348B">
              <w:rPr>
                <w:rFonts w:cs="Arial"/>
                <w:szCs w:val="16"/>
              </w:rPr>
              <w:t>184,268</w:t>
            </w:r>
          </w:p>
        </w:tc>
        <w:tc>
          <w:tcPr>
            <w:tcW w:w="1134" w:type="dxa"/>
            <w:tcBorders>
              <w:top w:val="single" w:sz="4" w:space="0" w:color="365F91"/>
              <w:bottom w:val="single" w:sz="4" w:space="0" w:color="365F91"/>
            </w:tcBorders>
            <w:vAlign w:val="center"/>
          </w:tcPr>
          <w:p w14:paraId="28BB599F" w14:textId="77777777" w:rsidR="00A10636" w:rsidRPr="00D9348B" w:rsidRDefault="00A10636" w:rsidP="00DB330E">
            <w:pPr>
              <w:pStyle w:val="TableText"/>
              <w:keepNext/>
              <w:jc w:val="center"/>
            </w:pPr>
            <w:r w:rsidRPr="00D9348B">
              <w:rPr>
                <w:rFonts w:cs="Arial"/>
                <w:szCs w:val="16"/>
              </w:rPr>
              <w:t>208,565</w:t>
            </w:r>
          </w:p>
        </w:tc>
        <w:tc>
          <w:tcPr>
            <w:tcW w:w="851" w:type="dxa"/>
            <w:tcBorders>
              <w:top w:val="single" w:sz="4" w:space="0" w:color="365F91"/>
              <w:bottom w:val="single" w:sz="4" w:space="0" w:color="365F91"/>
            </w:tcBorders>
            <w:vAlign w:val="center"/>
          </w:tcPr>
          <w:p w14:paraId="3669E8FA" w14:textId="77777777" w:rsidR="00A10636" w:rsidRPr="00D9348B" w:rsidRDefault="00A10636" w:rsidP="00DB330E">
            <w:pPr>
              <w:pStyle w:val="TableText"/>
              <w:keepNext/>
              <w:jc w:val="center"/>
            </w:pPr>
            <w:r w:rsidRPr="00D9348B">
              <w:rPr>
                <w:rFonts w:cs="Arial"/>
                <w:szCs w:val="16"/>
              </w:rPr>
              <w:t>+65.1</w:t>
            </w:r>
          </w:p>
        </w:tc>
        <w:tc>
          <w:tcPr>
            <w:tcW w:w="992" w:type="dxa"/>
            <w:tcBorders>
              <w:top w:val="single" w:sz="4" w:space="0" w:color="365F91"/>
              <w:bottom w:val="single" w:sz="4" w:space="0" w:color="365F91"/>
            </w:tcBorders>
            <w:vAlign w:val="center"/>
          </w:tcPr>
          <w:p w14:paraId="181B8BD9" w14:textId="77777777" w:rsidR="00A10636" w:rsidRPr="00D9348B" w:rsidRDefault="00A10636" w:rsidP="00DB330E">
            <w:pPr>
              <w:pStyle w:val="TableText"/>
              <w:keepNext/>
              <w:jc w:val="center"/>
            </w:pPr>
            <w:r w:rsidRPr="00D9348B">
              <w:rPr>
                <w:rFonts w:cs="Arial"/>
                <w:szCs w:val="16"/>
              </w:rPr>
              <w:t>+65.9</w:t>
            </w:r>
          </w:p>
        </w:tc>
        <w:tc>
          <w:tcPr>
            <w:tcW w:w="1417" w:type="dxa"/>
            <w:tcBorders>
              <w:top w:val="single" w:sz="4" w:space="0" w:color="365F91"/>
              <w:bottom w:val="single" w:sz="4" w:space="0" w:color="365F91"/>
            </w:tcBorders>
            <w:vAlign w:val="center"/>
          </w:tcPr>
          <w:p w14:paraId="73D0D32E" w14:textId="77777777" w:rsidR="00A10636" w:rsidRPr="00D9348B" w:rsidRDefault="00A10636" w:rsidP="00DB330E">
            <w:pPr>
              <w:pStyle w:val="TableText"/>
              <w:keepNext/>
              <w:jc w:val="center"/>
            </w:pPr>
            <w:r w:rsidRPr="00D9348B">
              <w:rPr>
                <w:rFonts w:cs="Arial"/>
                <w:szCs w:val="16"/>
              </w:rPr>
              <w:t>+1.3</w:t>
            </w:r>
          </w:p>
        </w:tc>
      </w:tr>
      <w:tr w:rsidR="00A10636" w:rsidRPr="00D9348B" w14:paraId="07972236" w14:textId="77777777" w:rsidTr="003557B6">
        <w:tc>
          <w:tcPr>
            <w:tcW w:w="2977" w:type="dxa"/>
            <w:tcBorders>
              <w:top w:val="single" w:sz="4" w:space="0" w:color="365F91"/>
              <w:bottom w:val="single" w:sz="4" w:space="0" w:color="365F91"/>
            </w:tcBorders>
          </w:tcPr>
          <w:p w14:paraId="694CAC60" w14:textId="77777777" w:rsidR="00A10636" w:rsidRPr="00D9348B" w:rsidRDefault="00A10636" w:rsidP="00DB330E">
            <w:pPr>
              <w:pStyle w:val="TableText"/>
            </w:pPr>
            <w:r w:rsidRPr="00D9348B">
              <w:t>Land converted to settlements</w:t>
            </w:r>
          </w:p>
        </w:tc>
        <w:tc>
          <w:tcPr>
            <w:tcW w:w="1134" w:type="dxa"/>
            <w:tcBorders>
              <w:top w:val="single" w:sz="4" w:space="0" w:color="365F91"/>
              <w:bottom w:val="single" w:sz="4" w:space="0" w:color="365F91"/>
            </w:tcBorders>
            <w:vAlign w:val="center"/>
          </w:tcPr>
          <w:p w14:paraId="3D7DD350" w14:textId="77777777" w:rsidR="00A10636" w:rsidRPr="00D9348B" w:rsidRDefault="00A10636" w:rsidP="00DB330E">
            <w:pPr>
              <w:pStyle w:val="TableText"/>
              <w:jc w:val="center"/>
            </w:pPr>
            <w:r w:rsidRPr="00D9348B">
              <w:rPr>
                <w:rFonts w:cs="Arial"/>
                <w:szCs w:val="16"/>
              </w:rPr>
              <w:t>23,279</w:t>
            </w:r>
          </w:p>
        </w:tc>
        <w:tc>
          <w:tcPr>
            <w:tcW w:w="1134" w:type="dxa"/>
            <w:tcBorders>
              <w:top w:val="single" w:sz="4" w:space="0" w:color="365F91"/>
              <w:bottom w:val="single" w:sz="4" w:space="0" w:color="365F91"/>
            </w:tcBorders>
            <w:vAlign w:val="center"/>
          </w:tcPr>
          <w:p w14:paraId="1F20883E" w14:textId="77777777" w:rsidR="00A10636" w:rsidRPr="00D9348B" w:rsidRDefault="00A10636" w:rsidP="00DB330E">
            <w:pPr>
              <w:pStyle w:val="TableText"/>
              <w:jc w:val="center"/>
            </w:pPr>
            <w:r w:rsidRPr="00D9348B">
              <w:rPr>
                <w:rFonts w:cs="Arial"/>
                <w:szCs w:val="16"/>
              </w:rPr>
              <w:t>27,792</w:t>
            </w:r>
          </w:p>
        </w:tc>
        <w:tc>
          <w:tcPr>
            <w:tcW w:w="851" w:type="dxa"/>
            <w:tcBorders>
              <w:top w:val="single" w:sz="4" w:space="0" w:color="365F91"/>
              <w:bottom w:val="single" w:sz="4" w:space="0" w:color="365F91"/>
            </w:tcBorders>
            <w:vAlign w:val="center"/>
          </w:tcPr>
          <w:p w14:paraId="3E1786BE" w14:textId="77777777" w:rsidR="00A10636" w:rsidRPr="00D9348B" w:rsidRDefault="00A10636" w:rsidP="00DB330E">
            <w:pPr>
              <w:pStyle w:val="TableText"/>
              <w:jc w:val="center"/>
            </w:pPr>
            <w:r w:rsidRPr="00D9348B">
              <w:rPr>
                <w:rFonts w:cs="Arial"/>
                <w:szCs w:val="16"/>
              </w:rPr>
              <w:t xml:space="preserve">7.3 </w:t>
            </w:r>
          </w:p>
        </w:tc>
        <w:tc>
          <w:tcPr>
            <w:tcW w:w="992" w:type="dxa"/>
            <w:tcBorders>
              <w:top w:val="single" w:sz="4" w:space="0" w:color="365F91"/>
              <w:bottom w:val="single" w:sz="4" w:space="0" w:color="365F91"/>
            </w:tcBorders>
            <w:vAlign w:val="center"/>
          </w:tcPr>
          <w:p w14:paraId="27990729" w14:textId="77777777" w:rsidR="00A10636" w:rsidRPr="00D9348B" w:rsidRDefault="00A10636" w:rsidP="00DB330E">
            <w:pPr>
              <w:pStyle w:val="TableText"/>
              <w:jc w:val="center"/>
            </w:pPr>
            <w:r w:rsidRPr="00D9348B">
              <w:rPr>
                <w:rFonts w:cs="Arial"/>
                <w:szCs w:val="16"/>
              </w:rPr>
              <w:t xml:space="preserve">37.4 </w:t>
            </w:r>
          </w:p>
        </w:tc>
        <w:tc>
          <w:tcPr>
            <w:tcW w:w="1417" w:type="dxa"/>
            <w:tcBorders>
              <w:top w:val="single" w:sz="4" w:space="0" w:color="365F91"/>
              <w:bottom w:val="single" w:sz="4" w:space="0" w:color="365F91"/>
            </w:tcBorders>
            <w:vAlign w:val="center"/>
          </w:tcPr>
          <w:p w14:paraId="34B46518" w14:textId="77777777" w:rsidR="00A10636" w:rsidRPr="00D9348B" w:rsidRDefault="00A10636" w:rsidP="00DB330E">
            <w:pPr>
              <w:pStyle w:val="TableText"/>
              <w:jc w:val="center"/>
            </w:pPr>
            <w:r w:rsidRPr="00D9348B">
              <w:rPr>
                <w:rFonts w:cs="Arial"/>
                <w:szCs w:val="16"/>
              </w:rPr>
              <w:t>+409.9</w:t>
            </w:r>
          </w:p>
        </w:tc>
      </w:tr>
      <w:tr w:rsidR="00A10636" w:rsidRPr="00D9348B" w14:paraId="0B4DB0EE" w14:textId="77777777" w:rsidTr="003557B6">
        <w:tc>
          <w:tcPr>
            <w:tcW w:w="2977" w:type="dxa"/>
            <w:tcBorders>
              <w:top w:val="single" w:sz="4" w:space="0" w:color="365F91"/>
              <w:bottom w:val="single" w:sz="4" w:space="0" w:color="365F91"/>
            </w:tcBorders>
          </w:tcPr>
          <w:p w14:paraId="4C0838F3" w14:textId="77777777" w:rsidR="00A10636" w:rsidRPr="00D9348B" w:rsidRDefault="00A10636" w:rsidP="00DB330E">
            <w:pPr>
              <w:pStyle w:val="Tableboldblue"/>
              <w:jc w:val="right"/>
            </w:pPr>
            <w:r w:rsidRPr="00D9348B">
              <w:t>Total</w:t>
            </w:r>
          </w:p>
        </w:tc>
        <w:tc>
          <w:tcPr>
            <w:tcW w:w="1134" w:type="dxa"/>
            <w:tcBorders>
              <w:top w:val="single" w:sz="4" w:space="0" w:color="365F91"/>
              <w:bottom w:val="single" w:sz="4" w:space="0" w:color="365F91"/>
            </w:tcBorders>
          </w:tcPr>
          <w:p w14:paraId="727D991E" w14:textId="77777777" w:rsidR="00A10636" w:rsidRPr="00D9348B" w:rsidRDefault="00A10636" w:rsidP="005C1988">
            <w:pPr>
              <w:pStyle w:val="Tableboldblue"/>
              <w:jc w:val="center"/>
              <w:rPr>
                <w:color w:val="44546A"/>
              </w:rPr>
            </w:pPr>
            <w:r w:rsidRPr="00D9348B">
              <w:t>207,547</w:t>
            </w:r>
          </w:p>
        </w:tc>
        <w:tc>
          <w:tcPr>
            <w:tcW w:w="1134" w:type="dxa"/>
            <w:tcBorders>
              <w:top w:val="single" w:sz="4" w:space="0" w:color="365F91"/>
              <w:bottom w:val="single" w:sz="4" w:space="0" w:color="365F91"/>
            </w:tcBorders>
          </w:tcPr>
          <w:p w14:paraId="576801BE" w14:textId="77777777" w:rsidR="00A10636" w:rsidRPr="00D9348B" w:rsidRDefault="00A10636" w:rsidP="005C1988">
            <w:pPr>
              <w:pStyle w:val="Tableboldblue"/>
              <w:jc w:val="center"/>
              <w:rPr>
                <w:color w:val="44546A"/>
              </w:rPr>
            </w:pPr>
            <w:r w:rsidRPr="00D9348B">
              <w:t>236,357</w:t>
            </w:r>
          </w:p>
        </w:tc>
        <w:tc>
          <w:tcPr>
            <w:tcW w:w="851" w:type="dxa"/>
            <w:tcBorders>
              <w:top w:val="single" w:sz="4" w:space="0" w:color="365F91"/>
              <w:bottom w:val="single" w:sz="4" w:space="0" w:color="365F91"/>
            </w:tcBorders>
            <w:vAlign w:val="center"/>
          </w:tcPr>
          <w:p w14:paraId="4C17BAF4" w14:textId="26E17033" w:rsidR="00A10636" w:rsidRPr="00D9348B" w:rsidRDefault="00A10636" w:rsidP="005C1988">
            <w:pPr>
              <w:pStyle w:val="Tableboldblue"/>
              <w:jc w:val="center"/>
              <w:rPr>
                <w:color w:val="44546A"/>
              </w:rPr>
            </w:pPr>
            <w:r w:rsidRPr="00D9348B">
              <w:t>72.4</w:t>
            </w:r>
          </w:p>
        </w:tc>
        <w:tc>
          <w:tcPr>
            <w:tcW w:w="992" w:type="dxa"/>
            <w:tcBorders>
              <w:top w:val="single" w:sz="4" w:space="0" w:color="365F91"/>
              <w:bottom w:val="single" w:sz="4" w:space="0" w:color="365F91"/>
            </w:tcBorders>
            <w:vAlign w:val="center"/>
          </w:tcPr>
          <w:p w14:paraId="456BEFD1" w14:textId="319A1F88" w:rsidR="00A10636" w:rsidRPr="00D9348B" w:rsidRDefault="00A10636" w:rsidP="005C1988">
            <w:pPr>
              <w:pStyle w:val="Tableboldblue"/>
              <w:jc w:val="center"/>
              <w:rPr>
                <w:color w:val="44546A"/>
              </w:rPr>
            </w:pPr>
            <w:r w:rsidRPr="00D9348B">
              <w:t>103.4</w:t>
            </w:r>
          </w:p>
        </w:tc>
        <w:tc>
          <w:tcPr>
            <w:tcW w:w="1417" w:type="dxa"/>
            <w:tcBorders>
              <w:top w:val="single" w:sz="4" w:space="0" w:color="365F91"/>
              <w:bottom w:val="single" w:sz="4" w:space="0" w:color="365F91"/>
            </w:tcBorders>
            <w:vAlign w:val="center"/>
          </w:tcPr>
          <w:p w14:paraId="58DC0236" w14:textId="77777777" w:rsidR="00A10636" w:rsidRPr="00D9348B" w:rsidRDefault="00A10636" w:rsidP="005C1988">
            <w:pPr>
              <w:pStyle w:val="Tableboldblue"/>
              <w:jc w:val="center"/>
              <w:rPr>
                <w:color w:val="44546A"/>
              </w:rPr>
            </w:pPr>
            <w:r w:rsidRPr="00D9348B">
              <w:t>+42.7</w:t>
            </w:r>
          </w:p>
        </w:tc>
      </w:tr>
    </w:tbl>
    <w:p w14:paraId="3E894FBC" w14:textId="77777777" w:rsidR="00A10636" w:rsidRPr="00D9348B" w:rsidRDefault="00A10636" w:rsidP="00A10636">
      <w:pPr>
        <w:pStyle w:val="Noteundertable"/>
      </w:pPr>
      <w:r w:rsidRPr="00D9348B">
        <w:rPr>
          <w:b/>
        </w:rPr>
        <w:t>Note:</w:t>
      </w:r>
      <w:r w:rsidRPr="00D9348B">
        <w:tab/>
        <w:t xml:space="preserve">Net area in 1990 is as at 1 January 1990; net area in 2018 is as at 31 December. </w:t>
      </w:r>
      <w:r w:rsidRPr="00D9348B">
        <w:rPr>
          <w:i/>
        </w:rPr>
        <w:t>Land converted to settlements</w:t>
      </w:r>
      <w:r w:rsidRPr="00D9348B">
        <w:t xml:space="preserve"> includes land converted up to 28 years prior. Net emission values are for the whole year indicated. Columns may not total due to rounding. </w:t>
      </w:r>
    </w:p>
    <w:p w14:paraId="34C4BEC2" w14:textId="7F99664D" w:rsidR="00A10636" w:rsidRPr="00D9348B" w:rsidRDefault="00A10636" w:rsidP="00A10636">
      <w:pPr>
        <w:pStyle w:val="BodyText"/>
        <w:rPr>
          <w:spacing w:val="-2"/>
        </w:rPr>
      </w:pPr>
      <w:r w:rsidRPr="00D9348B">
        <w:rPr>
          <w:spacing w:val="-2"/>
        </w:rPr>
        <w:t xml:space="preserve">The emissions in the </w:t>
      </w:r>
      <w:r w:rsidRPr="00D9348B">
        <w:rPr>
          <w:i/>
          <w:spacing w:val="-2"/>
        </w:rPr>
        <w:t>Settlements remaining settlements</w:t>
      </w:r>
      <w:r w:rsidRPr="00D9348B">
        <w:rPr>
          <w:spacing w:val="-2"/>
        </w:rPr>
        <w:t xml:space="preserve"> category are all from drainage of organic soils for establishment of settlements. Carbon in living biomass and dead organic matter for this </w:t>
      </w:r>
      <w:r w:rsidR="00EA7212">
        <w:rPr>
          <w:spacing w:val="-2"/>
        </w:rPr>
        <w:t>land-use</w:t>
      </w:r>
      <w:r w:rsidRPr="00D9348B">
        <w:rPr>
          <w:spacing w:val="-2"/>
        </w:rPr>
        <w:t xml:space="preserve"> category is estimated as zero but, because zero is not a valid entry for biomass gains in the CRF Reporter, the notation key NA (not applicable) is reported for biomass gains instead. The carbon stock in mineral soil for this land use is assumed to be in steady state so this is also reported as zero. </w:t>
      </w:r>
    </w:p>
    <w:p w14:paraId="7AD6DBAF" w14:textId="77777777" w:rsidR="00A10636" w:rsidRPr="00D9348B" w:rsidRDefault="00A10636" w:rsidP="00A10636">
      <w:pPr>
        <w:pStyle w:val="BodyText"/>
      </w:pPr>
      <w:r w:rsidRPr="00D9348B">
        <w:t xml:space="preserve">From 1990 to 2018, the net carbon stock change for </w:t>
      </w:r>
      <w:r w:rsidRPr="00D9348B">
        <w:rPr>
          <w:i/>
        </w:rPr>
        <w:t>Settlements</w:t>
      </w:r>
      <w:r w:rsidRPr="00D9348B">
        <w:t xml:space="preserve"> decreased by 918.6 kt C, equivalent to emissions of 3,368.2 kt CO</w:t>
      </w:r>
      <w:r w:rsidRPr="00D9348B">
        <w:rPr>
          <w:vertAlign w:val="subscript"/>
        </w:rPr>
        <w:t>2</w:t>
      </w:r>
      <w:r w:rsidRPr="00D9348B">
        <w:t xml:space="preserve"> in total since 1990 (see table 6.8.2). These carbon stock losses are predominantly due to the loss of carbon from organic soils associated with drainage when land is converted to </w:t>
      </w:r>
      <w:r w:rsidRPr="00D9348B">
        <w:rPr>
          <w:i/>
        </w:rPr>
        <w:t>Settlements</w:t>
      </w:r>
      <w:r w:rsidRPr="00D9348B">
        <w:t xml:space="preserve">. </w:t>
      </w:r>
    </w:p>
    <w:p w14:paraId="1FB6C628" w14:textId="77777777" w:rsidR="00A10636" w:rsidRPr="00D9348B" w:rsidRDefault="00A10636" w:rsidP="00A10636">
      <w:pPr>
        <w:pStyle w:val="Table"/>
      </w:pPr>
      <w:bookmarkStart w:id="2340" w:name="_Toc352505029"/>
      <w:bookmarkStart w:id="2341" w:name="_Toc342470789"/>
      <w:bookmarkStart w:id="2342" w:name="_Toc378853318"/>
      <w:bookmarkStart w:id="2343" w:name="_Toc391024116"/>
      <w:bookmarkStart w:id="2344" w:name="_Toc410028859"/>
      <w:bookmarkStart w:id="2345" w:name="_Toc414531487"/>
      <w:bookmarkStart w:id="2346" w:name="_Toc443645400"/>
      <w:bookmarkStart w:id="2347" w:name="_Toc474914619"/>
      <w:bookmarkStart w:id="2348" w:name="_Toc481751583"/>
      <w:bookmarkStart w:id="2349" w:name="_Toc522010640"/>
      <w:bookmarkStart w:id="2350" w:name="_Toc5269545"/>
      <w:bookmarkStart w:id="2351" w:name="_Toc33529419"/>
      <w:bookmarkStart w:id="2352" w:name="_Toc36224625"/>
      <w:r w:rsidRPr="00D9348B">
        <w:t>Table 6.8.2</w:t>
      </w:r>
      <w:r w:rsidRPr="00D9348B">
        <w:tab/>
        <w:t>New Zealand’s carbon stock change by carbon pool for the Settlements category</w:t>
      </w:r>
      <w:r w:rsidRPr="00D9348B">
        <w:br/>
        <w:t>from 1990 to</w:t>
      </w:r>
      <w:bookmarkEnd w:id="2340"/>
      <w:bookmarkEnd w:id="2341"/>
      <w:bookmarkEnd w:id="2342"/>
      <w:bookmarkEnd w:id="2343"/>
      <w:r w:rsidRPr="00D9348B">
        <w:t> 201</w:t>
      </w:r>
      <w:bookmarkEnd w:id="2344"/>
      <w:bookmarkEnd w:id="2345"/>
      <w:bookmarkEnd w:id="2346"/>
      <w:bookmarkEnd w:id="2347"/>
      <w:bookmarkEnd w:id="2348"/>
      <w:bookmarkEnd w:id="2349"/>
      <w:r w:rsidRPr="00D9348B">
        <w:t>8</w:t>
      </w:r>
      <w:bookmarkEnd w:id="2350"/>
      <w:bookmarkEnd w:id="2351"/>
      <w:bookmarkEnd w:id="2352"/>
    </w:p>
    <w:tbl>
      <w:tblPr>
        <w:tblW w:w="8505" w:type="dxa"/>
        <w:tblInd w:w="108" w:type="dxa"/>
        <w:tblLook w:val="04A0" w:firstRow="1" w:lastRow="0" w:firstColumn="1" w:lastColumn="0" w:noHBand="0" w:noVBand="1"/>
      </w:tblPr>
      <w:tblGrid>
        <w:gridCol w:w="1560"/>
        <w:gridCol w:w="1417"/>
        <w:gridCol w:w="1610"/>
        <w:gridCol w:w="931"/>
        <w:gridCol w:w="1125"/>
        <w:gridCol w:w="1862"/>
      </w:tblGrid>
      <w:tr w:rsidR="00A10636" w:rsidRPr="00D9348B" w14:paraId="4BB8D83F" w14:textId="77777777" w:rsidTr="003557B6">
        <w:tc>
          <w:tcPr>
            <w:tcW w:w="1560" w:type="dxa"/>
            <w:vMerge w:val="restart"/>
            <w:tcBorders>
              <w:top w:val="single" w:sz="4" w:space="0" w:color="365F91"/>
            </w:tcBorders>
            <w:shd w:val="clear" w:color="auto" w:fill="365F91"/>
            <w:vAlign w:val="bottom"/>
          </w:tcPr>
          <w:p w14:paraId="41DCB07E" w14:textId="2DF9272A" w:rsidR="00A10636" w:rsidRPr="00D9348B" w:rsidRDefault="00EA7212" w:rsidP="00DB330E">
            <w:pPr>
              <w:pStyle w:val="TableTextBold"/>
              <w:keepNext/>
              <w:rPr>
                <w:noProof w:val="0"/>
                <w:color w:val="FFFFFF"/>
              </w:rPr>
            </w:pPr>
            <w:r>
              <w:rPr>
                <w:noProof w:val="0"/>
                <w:color w:val="FFFFFF"/>
              </w:rPr>
              <w:t>Land-use</w:t>
            </w:r>
            <w:r w:rsidR="00A10636" w:rsidRPr="00D9348B">
              <w:rPr>
                <w:noProof w:val="0"/>
                <w:color w:val="FFFFFF"/>
              </w:rPr>
              <w:t xml:space="preserve"> category</w:t>
            </w:r>
          </w:p>
        </w:tc>
        <w:tc>
          <w:tcPr>
            <w:tcW w:w="5083" w:type="dxa"/>
            <w:gridSpan w:val="4"/>
            <w:tcBorders>
              <w:top w:val="single" w:sz="4" w:space="0" w:color="365F91"/>
            </w:tcBorders>
            <w:shd w:val="clear" w:color="auto" w:fill="365F91"/>
            <w:vAlign w:val="bottom"/>
          </w:tcPr>
          <w:p w14:paraId="4A6BA1F2" w14:textId="77777777" w:rsidR="00A10636" w:rsidRPr="00D9348B" w:rsidRDefault="00A10636" w:rsidP="00DB330E">
            <w:pPr>
              <w:pStyle w:val="TableTextBold"/>
              <w:keepNext/>
              <w:jc w:val="center"/>
              <w:rPr>
                <w:noProof w:val="0"/>
                <w:color w:val="FFFFFF"/>
              </w:rPr>
            </w:pPr>
            <w:r w:rsidRPr="00D9348B">
              <w:rPr>
                <w:noProof w:val="0"/>
                <w:color w:val="FFFFFF"/>
              </w:rPr>
              <w:t>Net carbon stock change 1990–2018 (kt C)</w:t>
            </w:r>
          </w:p>
        </w:tc>
        <w:tc>
          <w:tcPr>
            <w:tcW w:w="1862" w:type="dxa"/>
            <w:vMerge w:val="restart"/>
            <w:tcBorders>
              <w:top w:val="single" w:sz="4" w:space="0" w:color="365F91"/>
            </w:tcBorders>
            <w:shd w:val="clear" w:color="auto" w:fill="365F91"/>
            <w:vAlign w:val="bottom"/>
          </w:tcPr>
          <w:p w14:paraId="1E30A864" w14:textId="0218A75A" w:rsidR="00A10636" w:rsidRPr="00D9348B" w:rsidRDefault="00A10636" w:rsidP="00DB330E">
            <w:pPr>
              <w:pStyle w:val="TableTextBold"/>
              <w:keepNext/>
              <w:jc w:val="center"/>
              <w:rPr>
                <w:noProof w:val="0"/>
                <w:color w:val="FFFFFF"/>
              </w:rPr>
            </w:pPr>
            <w:r w:rsidRPr="00D9348B">
              <w:rPr>
                <w:noProof w:val="0"/>
                <w:color w:val="FFFFFF"/>
              </w:rPr>
              <w:t>Emissions 1990–2018</w:t>
            </w:r>
            <w:r w:rsidRPr="00D9348B">
              <w:rPr>
                <w:noProof w:val="0"/>
                <w:color w:val="FFFFFF"/>
              </w:rPr>
              <w:br/>
              <w:t>(kt CO</w:t>
            </w:r>
            <w:r w:rsidRPr="00D9348B">
              <w:rPr>
                <w:noProof w:val="0"/>
                <w:color w:val="FFFFFF"/>
                <w:vertAlign w:val="subscript"/>
              </w:rPr>
              <w:t>2</w:t>
            </w:r>
            <w:r w:rsidRPr="00D9348B">
              <w:rPr>
                <w:noProof w:val="0"/>
                <w:color w:val="FFFFFF"/>
              </w:rPr>
              <w:t>)</w:t>
            </w:r>
          </w:p>
        </w:tc>
      </w:tr>
      <w:tr w:rsidR="00A10636" w:rsidRPr="00D9348B" w14:paraId="6B534F01" w14:textId="77777777" w:rsidTr="003557B6">
        <w:tc>
          <w:tcPr>
            <w:tcW w:w="1560" w:type="dxa"/>
            <w:vMerge/>
            <w:tcBorders>
              <w:bottom w:val="single" w:sz="4" w:space="0" w:color="365F91"/>
            </w:tcBorders>
          </w:tcPr>
          <w:p w14:paraId="0D4CD383" w14:textId="77777777" w:rsidR="00A10636" w:rsidRPr="00D9348B" w:rsidRDefault="00A10636" w:rsidP="00DB330E">
            <w:pPr>
              <w:keepNext/>
              <w:spacing w:before="60" w:after="60"/>
              <w:rPr>
                <w:rFonts w:ascii="Arial" w:hAnsi="Arial"/>
                <w:b/>
              </w:rPr>
            </w:pPr>
          </w:p>
        </w:tc>
        <w:tc>
          <w:tcPr>
            <w:tcW w:w="1417" w:type="dxa"/>
            <w:tcBorders>
              <w:bottom w:val="single" w:sz="4" w:space="0" w:color="365F91"/>
            </w:tcBorders>
            <w:shd w:val="clear" w:color="auto" w:fill="365F91"/>
            <w:vAlign w:val="bottom"/>
          </w:tcPr>
          <w:p w14:paraId="575B0E46" w14:textId="77777777" w:rsidR="00A10636" w:rsidRPr="00D9348B" w:rsidRDefault="00A10636" w:rsidP="00DB330E">
            <w:pPr>
              <w:pStyle w:val="TableTextBold"/>
              <w:jc w:val="center"/>
              <w:rPr>
                <w:noProof w:val="0"/>
                <w:color w:val="FFFFFF"/>
              </w:rPr>
            </w:pPr>
            <w:r w:rsidRPr="00D9348B">
              <w:rPr>
                <w:noProof w:val="0"/>
                <w:color w:val="FFFFFF"/>
              </w:rPr>
              <w:t>Living biomass</w:t>
            </w:r>
          </w:p>
        </w:tc>
        <w:tc>
          <w:tcPr>
            <w:tcW w:w="1610" w:type="dxa"/>
            <w:tcBorders>
              <w:bottom w:val="single" w:sz="4" w:space="0" w:color="365F91"/>
            </w:tcBorders>
            <w:shd w:val="clear" w:color="auto" w:fill="365F91"/>
            <w:vAlign w:val="bottom"/>
          </w:tcPr>
          <w:p w14:paraId="5B3F6A6C" w14:textId="77777777" w:rsidR="00A10636" w:rsidRPr="00D9348B" w:rsidRDefault="00A10636" w:rsidP="00DB330E">
            <w:pPr>
              <w:pStyle w:val="TableTextBold"/>
              <w:jc w:val="center"/>
              <w:rPr>
                <w:noProof w:val="0"/>
                <w:color w:val="FFFFFF"/>
              </w:rPr>
            </w:pPr>
            <w:r w:rsidRPr="00D9348B">
              <w:rPr>
                <w:noProof w:val="0"/>
                <w:color w:val="FFFFFF"/>
              </w:rPr>
              <w:t>Dead organic matter</w:t>
            </w:r>
          </w:p>
        </w:tc>
        <w:tc>
          <w:tcPr>
            <w:tcW w:w="931" w:type="dxa"/>
            <w:tcBorders>
              <w:bottom w:val="single" w:sz="4" w:space="0" w:color="365F91"/>
            </w:tcBorders>
            <w:shd w:val="clear" w:color="auto" w:fill="365F91"/>
            <w:vAlign w:val="bottom"/>
          </w:tcPr>
          <w:p w14:paraId="2AE286A7" w14:textId="77777777" w:rsidR="00A10636" w:rsidRPr="00D9348B" w:rsidRDefault="00A10636" w:rsidP="00DB330E">
            <w:pPr>
              <w:pStyle w:val="TableTextBold"/>
              <w:jc w:val="center"/>
              <w:rPr>
                <w:noProof w:val="0"/>
                <w:color w:val="FFFFFF"/>
              </w:rPr>
            </w:pPr>
            <w:r w:rsidRPr="00D9348B">
              <w:rPr>
                <w:noProof w:val="0"/>
                <w:color w:val="FFFFFF"/>
              </w:rPr>
              <w:t>Soils</w:t>
            </w:r>
          </w:p>
        </w:tc>
        <w:tc>
          <w:tcPr>
            <w:tcW w:w="1125" w:type="dxa"/>
            <w:tcBorders>
              <w:bottom w:val="single" w:sz="4" w:space="0" w:color="365F91"/>
            </w:tcBorders>
            <w:shd w:val="clear" w:color="auto" w:fill="365F91"/>
            <w:vAlign w:val="bottom"/>
          </w:tcPr>
          <w:p w14:paraId="4F549134" w14:textId="77777777" w:rsidR="00A10636" w:rsidRPr="00D9348B" w:rsidRDefault="00A10636" w:rsidP="00DB330E">
            <w:pPr>
              <w:pStyle w:val="TableTextBold"/>
              <w:jc w:val="center"/>
              <w:rPr>
                <w:noProof w:val="0"/>
                <w:color w:val="FFFFFF"/>
              </w:rPr>
            </w:pPr>
            <w:r w:rsidRPr="00D9348B">
              <w:rPr>
                <w:noProof w:val="0"/>
                <w:color w:val="FFFFFF"/>
              </w:rPr>
              <w:t>Total</w:t>
            </w:r>
          </w:p>
        </w:tc>
        <w:tc>
          <w:tcPr>
            <w:tcW w:w="1862" w:type="dxa"/>
            <w:vMerge/>
            <w:tcBorders>
              <w:bottom w:val="single" w:sz="4" w:space="0" w:color="365F91"/>
            </w:tcBorders>
          </w:tcPr>
          <w:p w14:paraId="7A535E3D" w14:textId="77777777" w:rsidR="00A10636" w:rsidRPr="00D9348B" w:rsidRDefault="00A10636" w:rsidP="00DB330E">
            <w:pPr>
              <w:keepNext/>
              <w:spacing w:before="60" w:after="60"/>
              <w:jc w:val="center"/>
              <w:rPr>
                <w:rFonts w:ascii="Arial" w:hAnsi="Arial"/>
                <w:b/>
              </w:rPr>
            </w:pPr>
          </w:p>
        </w:tc>
      </w:tr>
      <w:tr w:rsidR="00A10636" w:rsidRPr="00D9348B" w14:paraId="671FC132" w14:textId="77777777" w:rsidTr="003557B6">
        <w:tc>
          <w:tcPr>
            <w:tcW w:w="1560" w:type="dxa"/>
            <w:tcBorders>
              <w:top w:val="single" w:sz="4" w:space="0" w:color="365F91"/>
              <w:bottom w:val="single" w:sz="4" w:space="0" w:color="365F91"/>
            </w:tcBorders>
          </w:tcPr>
          <w:p w14:paraId="760ADB83" w14:textId="77777777" w:rsidR="00A10636" w:rsidRPr="00D9348B" w:rsidRDefault="00A10636" w:rsidP="00DB330E">
            <w:pPr>
              <w:pStyle w:val="TableText"/>
            </w:pPr>
            <w:r w:rsidRPr="00D9348B">
              <w:t>Settlements</w:t>
            </w:r>
          </w:p>
        </w:tc>
        <w:tc>
          <w:tcPr>
            <w:tcW w:w="1417" w:type="dxa"/>
            <w:tcBorders>
              <w:top w:val="single" w:sz="4" w:space="0" w:color="365F91"/>
              <w:bottom w:val="single" w:sz="4" w:space="0" w:color="365F91"/>
            </w:tcBorders>
          </w:tcPr>
          <w:p w14:paraId="19941E10" w14:textId="77777777" w:rsidR="00A10636" w:rsidRPr="00D9348B" w:rsidRDefault="00A10636" w:rsidP="00DB330E">
            <w:pPr>
              <w:pStyle w:val="TableText"/>
              <w:jc w:val="center"/>
            </w:pPr>
            <w:r w:rsidRPr="00D9348B">
              <w:t>–392.9</w:t>
            </w:r>
          </w:p>
        </w:tc>
        <w:tc>
          <w:tcPr>
            <w:tcW w:w="1610" w:type="dxa"/>
            <w:tcBorders>
              <w:top w:val="single" w:sz="4" w:space="0" w:color="365F91"/>
              <w:bottom w:val="single" w:sz="4" w:space="0" w:color="365F91"/>
            </w:tcBorders>
          </w:tcPr>
          <w:p w14:paraId="62520DD3" w14:textId="77777777" w:rsidR="00A10636" w:rsidRPr="00D9348B" w:rsidRDefault="00A10636" w:rsidP="00DB330E">
            <w:pPr>
              <w:pStyle w:val="TableText"/>
              <w:jc w:val="center"/>
            </w:pPr>
            <w:r w:rsidRPr="00D9348B">
              <w:t>–26.4</w:t>
            </w:r>
          </w:p>
        </w:tc>
        <w:tc>
          <w:tcPr>
            <w:tcW w:w="931" w:type="dxa"/>
            <w:tcBorders>
              <w:top w:val="single" w:sz="4" w:space="0" w:color="365F91"/>
              <w:bottom w:val="single" w:sz="4" w:space="0" w:color="365F91"/>
            </w:tcBorders>
          </w:tcPr>
          <w:p w14:paraId="00E93278" w14:textId="77777777" w:rsidR="00A10636" w:rsidRPr="00D9348B" w:rsidRDefault="00A10636" w:rsidP="00DB330E">
            <w:pPr>
              <w:pStyle w:val="TableText"/>
              <w:jc w:val="center"/>
            </w:pPr>
            <w:r w:rsidRPr="00D9348B">
              <w:t>–499.3</w:t>
            </w:r>
          </w:p>
        </w:tc>
        <w:tc>
          <w:tcPr>
            <w:tcW w:w="1125" w:type="dxa"/>
            <w:tcBorders>
              <w:top w:val="single" w:sz="4" w:space="0" w:color="365F91"/>
              <w:bottom w:val="single" w:sz="4" w:space="0" w:color="365F91"/>
            </w:tcBorders>
          </w:tcPr>
          <w:p w14:paraId="0D41DEC4" w14:textId="77777777" w:rsidR="00A10636" w:rsidRPr="00D9348B" w:rsidRDefault="00A10636" w:rsidP="00DB330E">
            <w:pPr>
              <w:pStyle w:val="TableText"/>
              <w:jc w:val="center"/>
            </w:pPr>
            <w:r w:rsidRPr="00D9348B">
              <w:t>–918.6</w:t>
            </w:r>
          </w:p>
        </w:tc>
        <w:tc>
          <w:tcPr>
            <w:tcW w:w="1862" w:type="dxa"/>
            <w:tcBorders>
              <w:top w:val="single" w:sz="4" w:space="0" w:color="365F91"/>
              <w:bottom w:val="single" w:sz="4" w:space="0" w:color="365F91"/>
            </w:tcBorders>
          </w:tcPr>
          <w:p w14:paraId="330BCF62" w14:textId="77777777" w:rsidR="00A10636" w:rsidRPr="00D9348B" w:rsidRDefault="00A10636" w:rsidP="00DB330E">
            <w:pPr>
              <w:pStyle w:val="TableText"/>
              <w:jc w:val="center"/>
            </w:pPr>
            <w:r w:rsidRPr="00D9348B">
              <w:t>3,368.2</w:t>
            </w:r>
          </w:p>
        </w:tc>
      </w:tr>
    </w:tbl>
    <w:p w14:paraId="48439483" w14:textId="77777777" w:rsidR="00A10636" w:rsidRPr="00D9348B" w:rsidRDefault="00A10636" w:rsidP="00A10636">
      <w:pPr>
        <w:pStyle w:val="Heading3"/>
      </w:pPr>
      <w:r w:rsidRPr="00D9348B">
        <w:t>6.8.2</w:t>
      </w:r>
      <w:r w:rsidRPr="00D9348B">
        <w:tab/>
        <w:t>Methodological issues</w:t>
      </w:r>
    </w:p>
    <w:p w14:paraId="63A5329D" w14:textId="77777777" w:rsidR="00A10636" w:rsidRPr="00D9348B" w:rsidRDefault="00A10636" w:rsidP="00865BDB">
      <w:pPr>
        <w:pStyle w:val="Heading4"/>
      </w:pPr>
      <w:r w:rsidRPr="00D9348B">
        <w:t>Settlements remaining settlements (CRF 4.E.1)</w:t>
      </w:r>
    </w:p>
    <w:p w14:paraId="5393A6BF" w14:textId="77777777" w:rsidR="00A10636" w:rsidRPr="00D9348B" w:rsidRDefault="00A10636" w:rsidP="00A10636">
      <w:pPr>
        <w:pStyle w:val="BodyText"/>
      </w:pPr>
      <w:r w:rsidRPr="00D9348B">
        <w:t xml:space="preserve">New Zealand applies Tier 1 methods for estimating emissions from the </w:t>
      </w:r>
      <w:r w:rsidRPr="00D9348B">
        <w:rPr>
          <w:i/>
        </w:rPr>
        <w:t xml:space="preserve">Settlements remaining settlements </w:t>
      </w:r>
      <w:r w:rsidRPr="00D9348B">
        <w:t>category</w:t>
      </w:r>
      <w:r w:rsidRPr="00D9348B">
        <w:rPr>
          <w:i/>
        </w:rPr>
        <w:t xml:space="preserve">. </w:t>
      </w:r>
      <w:r w:rsidRPr="00D9348B">
        <w:t>The assumptions are that there is no change in carbon stocks for living biomass, dead organic matter or mineral soils.</w:t>
      </w:r>
      <w:r w:rsidRPr="00D9348B" w:rsidDel="00394041">
        <w:t xml:space="preserve"> </w:t>
      </w:r>
      <w:r w:rsidRPr="00D9348B">
        <w:t>The Tier 1 method for organic soils conversely assumes emissions are constant if they are drained. Where organic soils occur in this category, they are assumed to be drained. New Zealand reports emissions applying a factor of either 5.0 tonnes C ha</w:t>
      </w:r>
      <w:r w:rsidRPr="00D9348B">
        <w:rPr>
          <w:vertAlign w:val="superscript"/>
        </w:rPr>
        <w:t xml:space="preserve">–1 </w:t>
      </w:r>
      <w:r w:rsidRPr="00D9348B">
        <w:t>yr</w:t>
      </w:r>
      <w:r w:rsidRPr="00D9348B">
        <w:rPr>
          <w:vertAlign w:val="superscript"/>
        </w:rPr>
        <w:t>–1</w:t>
      </w:r>
      <w:r w:rsidRPr="00D9348B">
        <w:t xml:space="preserve"> or 10.0 tonnes C ha</w:t>
      </w:r>
      <w:r w:rsidRPr="00D9348B">
        <w:rPr>
          <w:vertAlign w:val="superscript"/>
        </w:rPr>
        <w:t xml:space="preserve">–1 </w:t>
      </w:r>
      <w:r w:rsidRPr="00D9348B">
        <w:t>yr</w:t>
      </w:r>
      <w:r w:rsidRPr="00D9348B">
        <w:rPr>
          <w:vertAlign w:val="superscript"/>
        </w:rPr>
        <w:t>–1</w:t>
      </w:r>
      <w:r w:rsidRPr="00D9348B">
        <w:t xml:space="preserve">, depending on the climatic temperature regime of the area (sections 5.2.3.2 and 8.2.3.2, IPCC, 2006a). </w:t>
      </w:r>
    </w:p>
    <w:p w14:paraId="6270D4F0" w14:textId="77777777" w:rsidR="00A10636" w:rsidRPr="00D9348B" w:rsidRDefault="00A10636" w:rsidP="00A10636">
      <w:pPr>
        <w:pStyle w:val="BodyText"/>
      </w:pPr>
      <w:r w:rsidRPr="00D9348B">
        <w:t>Because this is not a key category, New Zealand is not investigating methods to move to a higher tier of reporting for this category.</w:t>
      </w:r>
    </w:p>
    <w:p w14:paraId="1DA5D614" w14:textId="77777777" w:rsidR="00A10636" w:rsidRPr="00D9348B" w:rsidRDefault="00A10636" w:rsidP="00865BDB">
      <w:pPr>
        <w:pStyle w:val="Heading4"/>
      </w:pPr>
      <w:r w:rsidRPr="00D9348B">
        <w:t>Land converted to settlements (CRF 4.E.2)</w:t>
      </w:r>
    </w:p>
    <w:p w14:paraId="7E127D67" w14:textId="77777777" w:rsidR="00A10636" w:rsidRPr="00D9348B" w:rsidRDefault="00A10636" w:rsidP="00A10636">
      <w:pPr>
        <w:pStyle w:val="Heading5"/>
        <w:spacing w:before="160"/>
      </w:pPr>
      <w:r w:rsidRPr="00D9348B">
        <w:t>Living biomass and dead organic matter</w:t>
      </w:r>
    </w:p>
    <w:p w14:paraId="2661C4D7" w14:textId="77777777" w:rsidR="00A10636" w:rsidRPr="00D9348B" w:rsidRDefault="00A10636" w:rsidP="00A10636">
      <w:pPr>
        <w:pStyle w:val="BodyText"/>
      </w:pPr>
      <w:r w:rsidRPr="00D9348B">
        <w:t xml:space="preserve">New Zealand has applied a Tier 1 method for estimating carbon stock change with land conversion to </w:t>
      </w:r>
      <w:r w:rsidRPr="00D9348B">
        <w:rPr>
          <w:i/>
        </w:rPr>
        <w:t>Settlements</w:t>
      </w:r>
      <w:r w:rsidRPr="00D9348B">
        <w:t xml:space="preserve"> (equation 2.16, IPCC, 2006a). This is the same as that used for other areas of land-use conversion (e.g., </w:t>
      </w:r>
      <w:r w:rsidRPr="00D9348B">
        <w:rPr>
          <w:i/>
        </w:rPr>
        <w:t>Land converted to cropland</w:t>
      </w:r>
      <w:r w:rsidRPr="00D9348B">
        <w:t xml:space="preserve">). The default assumptions for a </w:t>
      </w:r>
      <w:r w:rsidRPr="00D9348B">
        <w:lastRenderedPageBreak/>
        <w:t>Tier 1 estimate are that all living biomass and dead organic matter present before conversion are lost in the same year as the conversion takes place. Furthermore, carbon stocks in living biomass and dead organic matter following conversion are equal to zero (sections 8.3.1 and 8.3.2, IPCC, 2006a).</w:t>
      </w:r>
    </w:p>
    <w:p w14:paraId="0FC93FA7" w14:textId="77777777" w:rsidR="00A10636" w:rsidRPr="00D9348B" w:rsidRDefault="00A10636" w:rsidP="00A10636">
      <w:pPr>
        <w:pStyle w:val="Heading5"/>
        <w:spacing w:before="200"/>
      </w:pPr>
      <w:r w:rsidRPr="00D9348B">
        <w:t>Soil carbon</w:t>
      </w:r>
    </w:p>
    <w:p w14:paraId="369BB173" w14:textId="77777777" w:rsidR="00A10636" w:rsidRPr="00D9348B" w:rsidRDefault="00A10636" w:rsidP="00A10636">
      <w:pPr>
        <w:pStyle w:val="BodyText"/>
      </w:pPr>
      <w:r w:rsidRPr="00D9348B">
        <w:t xml:space="preserve">SOC stocks in mineral soil for </w:t>
      </w:r>
      <w:r w:rsidRPr="00D9348B">
        <w:rPr>
          <w:i/>
        </w:rPr>
        <w:t>Land converted to settlements</w:t>
      </w:r>
      <w:r w:rsidRPr="00D9348B">
        <w:t xml:space="preserve"> are estimated using a Tier 2 method (see section 6.3). In the absence of data on the rate of change specific to either country or land use, the IPCC default of a linear change over a 20-year period is used to estimate the change in SOC stocks between the original land use and </w:t>
      </w:r>
      <w:r w:rsidRPr="00D9348B">
        <w:rPr>
          <w:i/>
        </w:rPr>
        <w:t>Settlements</w:t>
      </w:r>
      <w:r w:rsidRPr="00D9348B">
        <w:t xml:space="preserve"> for any given period. For organic soils, loss of soil carbon is estimated using the Tier 1 method, using the same method as for </w:t>
      </w:r>
      <w:r w:rsidRPr="00D9348B">
        <w:rPr>
          <w:i/>
        </w:rPr>
        <w:t>Settlements remaining settlements</w:t>
      </w:r>
      <w:r w:rsidRPr="00D9348B">
        <w:t xml:space="preserve">. </w:t>
      </w:r>
    </w:p>
    <w:p w14:paraId="0DF36312" w14:textId="77777777" w:rsidR="00A10636" w:rsidRPr="00D9348B" w:rsidRDefault="00A10636" w:rsidP="003557B6">
      <w:pPr>
        <w:pStyle w:val="Heading3"/>
        <w:spacing w:before="240"/>
      </w:pPr>
      <w:r w:rsidRPr="00D9348B">
        <w:t>6.8.3</w:t>
      </w:r>
      <w:r w:rsidRPr="00D9348B">
        <w:tab/>
        <w:t>Uncertainties and time-series consistency</w:t>
      </w:r>
    </w:p>
    <w:p w14:paraId="4D2C584B" w14:textId="77777777" w:rsidR="00A10636" w:rsidRPr="00D9348B" w:rsidRDefault="00A10636" w:rsidP="00A10636">
      <w:pPr>
        <w:pStyle w:val="BodyText"/>
      </w:pPr>
      <w:r w:rsidRPr="00D9348B">
        <w:t xml:space="preserve">The uncertainty in mapping </w:t>
      </w:r>
      <w:r w:rsidRPr="00D9348B">
        <w:rPr>
          <w:i/>
        </w:rPr>
        <w:t>Settlements</w:t>
      </w:r>
      <w:r w:rsidRPr="00D9348B">
        <w:t xml:space="preserve"> is </w:t>
      </w:r>
      <w:r w:rsidRPr="00D9348B">
        <w:sym w:font="Symbol" w:char="F0B1"/>
      </w:r>
      <w:r w:rsidRPr="00D9348B">
        <w:t>22.0 per cent (see table 6.8.3). Further details are given in section 6.2.5.</w:t>
      </w:r>
    </w:p>
    <w:p w14:paraId="39441C46" w14:textId="77777777" w:rsidR="00A10636" w:rsidRPr="00D9348B" w:rsidRDefault="00A10636" w:rsidP="00A10636">
      <w:pPr>
        <w:pStyle w:val="BodyText"/>
      </w:pPr>
      <w:r w:rsidRPr="00D9348B">
        <w:t xml:space="preserve">New Zealand uses the IPCC default values for biomass accumulation and biomass loss on conversion to </w:t>
      </w:r>
      <w:r w:rsidRPr="00D9348B">
        <w:rPr>
          <w:i/>
        </w:rPr>
        <w:t>Settlements</w:t>
      </w:r>
      <w:r w:rsidRPr="00D9348B">
        <w:t xml:space="preserve">. The uncertainty in these figures is </w:t>
      </w:r>
      <w:r w:rsidRPr="00D9348B">
        <w:sym w:font="Symbol" w:char="F0B1"/>
      </w:r>
      <w:r w:rsidRPr="00D9348B">
        <w:t xml:space="preserve">75.0 per cent. For soils, the default uncertainty of </w:t>
      </w:r>
      <w:r w:rsidRPr="00D9348B">
        <w:sym w:font="Symbol" w:char="F0B1"/>
      </w:r>
      <w:r w:rsidRPr="00D9348B">
        <w:t>95.0 per cent is applied here.</w:t>
      </w:r>
    </w:p>
    <w:p w14:paraId="04FD79E8" w14:textId="77777777" w:rsidR="00A10636" w:rsidRPr="00D9348B" w:rsidRDefault="00A10636" w:rsidP="00A10636">
      <w:pPr>
        <w:pStyle w:val="Table"/>
      </w:pPr>
      <w:bookmarkStart w:id="2353" w:name="_Toc342470791"/>
      <w:bookmarkStart w:id="2354" w:name="_Toc352505031"/>
      <w:bookmarkStart w:id="2355" w:name="_Toc378853320"/>
      <w:bookmarkStart w:id="2356" w:name="_Toc391024118"/>
      <w:bookmarkStart w:id="2357" w:name="_Toc410028860"/>
      <w:bookmarkStart w:id="2358" w:name="_Toc414531488"/>
      <w:bookmarkStart w:id="2359" w:name="_Toc443645401"/>
      <w:bookmarkStart w:id="2360" w:name="_Toc474914620"/>
      <w:bookmarkStart w:id="2361" w:name="_Toc481751584"/>
      <w:bookmarkStart w:id="2362" w:name="_Toc522010641"/>
      <w:bookmarkStart w:id="2363" w:name="_Toc5269546"/>
      <w:bookmarkStart w:id="2364" w:name="_Toc33529420"/>
      <w:bookmarkStart w:id="2365" w:name="_Toc36224626"/>
      <w:r w:rsidRPr="00D9348B">
        <w:t>Table 6.8.3</w:t>
      </w:r>
      <w:r w:rsidRPr="00D9348B">
        <w:tab/>
        <w:t>Uncertainty in New Zealand’s 2018 estimates for the Settlements </w:t>
      </w:r>
      <w:proofErr w:type="gramStart"/>
      <w:r w:rsidRPr="00D9348B">
        <w:t>category</w:t>
      </w:r>
      <w:bookmarkEnd w:id="2353"/>
      <w:proofErr w:type="gramEnd"/>
      <w:r w:rsidRPr="00D9348B">
        <w:br/>
        <w:t>(including land in transition)</w:t>
      </w:r>
      <w:bookmarkEnd w:id="2354"/>
      <w:bookmarkEnd w:id="2355"/>
      <w:bookmarkEnd w:id="2356"/>
      <w:bookmarkEnd w:id="2357"/>
      <w:bookmarkEnd w:id="2358"/>
      <w:bookmarkEnd w:id="2359"/>
      <w:bookmarkEnd w:id="2360"/>
      <w:bookmarkEnd w:id="2361"/>
      <w:bookmarkEnd w:id="2362"/>
      <w:bookmarkEnd w:id="2363"/>
      <w:bookmarkEnd w:id="2364"/>
      <w:bookmarkEnd w:id="2365"/>
    </w:p>
    <w:tbl>
      <w:tblPr>
        <w:tblW w:w="8505" w:type="dxa"/>
        <w:tblInd w:w="108" w:type="dxa"/>
        <w:tblLook w:val="04A0" w:firstRow="1" w:lastRow="0" w:firstColumn="1" w:lastColumn="0" w:noHBand="0" w:noVBand="1"/>
      </w:tblPr>
      <w:tblGrid>
        <w:gridCol w:w="4685"/>
        <w:gridCol w:w="3820"/>
      </w:tblGrid>
      <w:tr w:rsidR="00A10636" w:rsidRPr="00D9348B" w14:paraId="4F4A8A9A" w14:textId="77777777" w:rsidTr="00D664F6">
        <w:trPr>
          <w:trHeight w:val="285"/>
        </w:trPr>
        <w:tc>
          <w:tcPr>
            <w:tcW w:w="4404" w:type="dxa"/>
            <w:tcBorders>
              <w:top w:val="single" w:sz="4" w:space="0" w:color="365F91"/>
              <w:bottom w:val="single" w:sz="4" w:space="0" w:color="365F91"/>
            </w:tcBorders>
            <w:shd w:val="clear" w:color="auto" w:fill="365F91"/>
            <w:noWrap/>
            <w:hideMark/>
          </w:tcPr>
          <w:p w14:paraId="0B3A6FE8" w14:textId="77777777" w:rsidR="00A10636" w:rsidRPr="00D9348B" w:rsidRDefault="00A10636" w:rsidP="003557B6">
            <w:pPr>
              <w:pStyle w:val="TableTextBold"/>
              <w:keepNext/>
              <w:spacing w:before="50" w:after="50"/>
              <w:rPr>
                <w:noProof w:val="0"/>
                <w:color w:val="FFFFFF"/>
              </w:rPr>
            </w:pPr>
            <w:r w:rsidRPr="00D9348B">
              <w:rPr>
                <w:noProof w:val="0"/>
                <w:color w:val="FFFFFF"/>
              </w:rPr>
              <w:t>Variable</w:t>
            </w:r>
          </w:p>
        </w:tc>
        <w:tc>
          <w:tcPr>
            <w:tcW w:w="3591" w:type="dxa"/>
            <w:tcBorders>
              <w:top w:val="single" w:sz="4" w:space="0" w:color="365F91"/>
              <w:bottom w:val="single" w:sz="4" w:space="0" w:color="365F91"/>
            </w:tcBorders>
            <w:shd w:val="clear" w:color="auto" w:fill="365F91"/>
            <w:noWrap/>
            <w:hideMark/>
          </w:tcPr>
          <w:p w14:paraId="5BE3DAB7" w14:textId="77777777" w:rsidR="00A10636" w:rsidRPr="00D9348B" w:rsidRDefault="00A10636" w:rsidP="003557B6">
            <w:pPr>
              <w:pStyle w:val="TableTextBold"/>
              <w:spacing w:before="50" w:after="50"/>
              <w:rPr>
                <w:noProof w:val="0"/>
                <w:color w:val="FFFFFF"/>
              </w:rPr>
            </w:pPr>
            <w:r w:rsidRPr="00D9348B">
              <w:rPr>
                <w:noProof w:val="0"/>
                <w:color w:val="FFFFFF"/>
              </w:rPr>
              <w:t>Uncertainty at a 95% confidence interval (%)</w:t>
            </w:r>
          </w:p>
        </w:tc>
      </w:tr>
      <w:tr w:rsidR="00A10636" w:rsidRPr="00D9348B" w14:paraId="38F416C1" w14:textId="77777777" w:rsidTr="00D664F6">
        <w:trPr>
          <w:trHeight w:val="285"/>
        </w:trPr>
        <w:tc>
          <w:tcPr>
            <w:tcW w:w="4404" w:type="dxa"/>
            <w:tcBorders>
              <w:top w:val="single" w:sz="4" w:space="0" w:color="365F91"/>
              <w:bottom w:val="single" w:sz="4" w:space="0" w:color="365F91"/>
            </w:tcBorders>
            <w:noWrap/>
            <w:hideMark/>
          </w:tcPr>
          <w:p w14:paraId="79B413E7" w14:textId="77777777" w:rsidR="00A10636" w:rsidRPr="00D9348B" w:rsidRDefault="00A10636" w:rsidP="003557B6">
            <w:pPr>
              <w:pStyle w:val="TableTextBold"/>
              <w:keepNext/>
              <w:spacing w:before="50" w:after="50"/>
              <w:rPr>
                <w:noProof w:val="0"/>
              </w:rPr>
            </w:pPr>
            <w:r w:rsidRPr="00D9348B">
              <w:rPr>
                <w:noProof w:val="0"/>
              </w:rPr>
              <w:t>Activity data</w:t>
            </w:r>
          </w:p>
        </w:tc>
        <w:tc>
          <w:tcPr>
            <w:tcW w:w="3591" w:type="dxa"/>
            <w:tcBorders>
              <w:top w:val="single" w:sz="4" w:space="0" w:color="365F91"/>
              <w:bottom w:val="single" w:sz="4" w:space="0" w:color="365F91"/>
            </w:tcBorders>
            <w:noWrap/>
            <w:hideMark/>
          </w:tcPr>
          <w:p w14:paraId="0C6C7C95" w14:textId="77777777" w:rsidR="00A10636" w:rsidRPr="00D9348B" w:rsidRDefault="00A10636" w:rsidP="003557B6">
            <w:pPr>
              <w:pStyle w:val="TableTextBold"/>
              <w:tabs>
                <w:tab w:val="decimal" w:pos="0"/>
              </w:tabs>
              <w:spacing w:before="50" w:after="50"/>
              <w:rPr>
                <w:noProof w:val="0"/>
              </w:rPr>
            </w:pPr>
          </w:p>
        </w:tc>
      </w:tr>
      <w:tr w:rsidR="00A10636" w:rsidRPr="00D9348B" w14:paraId="1988DE25" w14:textId="77777777" w:rsidTr="00D664F6">
        <w:trPr>
          <w:trHeight w:val="285"/>
        </w:trPr>
        <w:tc>
          <w:tcPr>
            <w:tcW w:w="4404" w:type="dxa"/>
            <w:tcBorders>
              <w:top w:val="single" w:sz="4" w:space="0" w:color="365F91"/>
              <w:bottom w:val="single" w:sz="4" w:space="0" w:color="365F91"/>
            </w:tcBorders>
            <w:noWrap/>
            <w:hideMark/>
          </w:tcPr>
          <w:p w14:paraId="0719AD8D" w14:textId="77777777" w:rsidR="00A10636" w:rsidRPr="00D9348B" w:rsidRDefault="00A10636" w:rsidP="003557B6">
            <w:pPr>
              <w:pStyle w:val="TableText"/>
              <w:keepNext/>
              <w:spacing w:before="50" w:after="50"/>
            </w:pPr>
            <w:r w:rsidRPr="00D9348B">
              <w:t>Uncertainty in land area</w:t>
            </w:r>
          </w:p>
        </w:tc>
        <w:tc>
          <w:tcPr>
            <w:tcW w:w="3591" w:type="dxa"/>
            <w:tcBorders>
              <w:top w:val="single" w:sz="4" w:space="0" w:color="365F91"/>
              <w:bottom w:val="single" w:sz="4" w:space="0" w:color="365F91"/>
            </w:tcBorders>
            <w:noWrap/>
            <w:hideMark/>
          </w:tcPr>
          <w:p w14:paraId="7F23BFFA" w14:textId="77777777" w:rsidR="00A10636" w:rsidRPr="00D9348B" w:rsidRDefault="00A10636" w:rsidP="003557B6">
            <w:pPr>
              <w:pStyle w:val="TableText"/>
              <w:tabs>
                <w:tab w:val="decimal" w:pos="0"/>
              </w:tabs>
              <w:spacing w:before="50" w:after="50"/>
              <w:jc w:val="center"/>
            </w:pPr>
            <w:r w:rsidRPr="00D9348B">
              <w:t>±22.0</w:t>
            </w:r>
          </w:p>
        </w:tc>
      </w:tr>
      <w:tr w:rsidR="00A10636" w:rsidRPr="00D9348B" w14:paraId="4D123CA6" w14:textId="77777777" w:rsidTr="00D664F6">
        <w:trPr>
          <w:trHeight w:val="285"/>
        </w:trPr>
        <w:tc>
          <w:tcPr>
            <w:tcW w:w="4404" w:type="dxa"/>
            <w:tcBorders>
              <w:top w:val="single" w:sz="4" w:space="0" w:color="365F91"/>
              <w:bottom w:val="single" w:sz="4" w:space="0" w:color="365F91"/>
            </w:tcBorders>
            <w:noWrap/>
            <w:hideMark/>
          </w:tcPr>
          <w:p w14:paraId="32BF02E4" w14:textId="77777777" w:rsidR="00A10636" w:rsidRPr="00D9348B" w:rsidRDefault="00A10636" w:rsidP="003557B6">
            <w:pPr>
              <w:pStyle w:val="TableTextBold"/>
              <w:keepNext/>
              <w:spacing w:before="50" w:after="50"/>
              <w:rPr>
                <w:noProof w:val="0"/>
              </w:rPr>
            </w:pPr>
            <w:r w:rsidRPr="00D9348B">
              <w:rPr>
                <w:noProof w:val="0"/>
              </w:rPr>
              <w:t>Emission factors</w:t>
            </w:r>
          </w:p>
        </w:tc>
        <w:tc>
          <w:tcPr>
            <w:tcW w:w="3591" w:type="dxa"/>
            <w:tcBorders>
              <w:top w:val="single" w:sz="4" w:space="0" w:color="365F91"/>
              <w:bottom w:val="single" w:sz="4" w:space="0" w:color="365F91"/>
            </w:tcBorders>
            <w:noWrap/>
            <w:hideMark/>
          </w:tcPr>
          <w:p w14:paraId="64DEA950" w14:textId="77777777" w:rsidR="00A10636" w:rsidRPr="00D9348B" w:rsidRDefault="00A10636" w:rsidP="003557B6">
            <w:pPr>
              <w:pStyle w:val="TableTextBold"/>
              <w:tabs>
                <w:tab w:val="decimal" w:pos="0"/>
              </w:tabs>
              <w:spacing w:before="50" w:after="50"/>
              <w:jc w:val="center"/>
              <w:rPr>
                <w:noProof w:val="0"/>
              </w:rPr>
            </w:pPr>
          </w:p>
        </w:tc>
      </w:tr>
      <w:tr w:rsidR="00A10636" w:rsidRPr="00D9348B" w14:paraId="6AB50123" w14:textId="77777777" w:rsidTr="00D664F6">
        <w:trPr>
          <w:trHeight w:val="285"/>
        </w:trPr>
        <w:tc>
          <w:tcPr>
            <w:tcW w:w="4404" w:type="dxa"/>
            <w:tcBorders>
              <w:top w:val="single" w:sz="4" w:space="0" w:color="365F91"/>
              <w:bottom w:val="single" w:sz="4" w:space="0" w:color="365F91"/>
            </w:tcBorders>
            <w:noWrap/>
            <w:hideMark/>
          </w:tcPr>
          <w:p w14:paraId="4FAD9D4C" w14:textId="77777777" w:rsidR="00A10636" w:rsidRPr="00D9348B" w:rsidRDefault="00A10636" w:rsidP="003557B6">
            <w:pPr>
              <w:pStyle w:val="TableText"/>
              <w:spacing w:before="50" w:after="50"/>
            </w:pPr>
            <w:r w:rsidRPr="00D9348B">
              <w:t>Uncertainty in biomass carbon stocks</w:t>
            </w:r>
          </w:p>
        </w:tc>
        <w:tc>
          <w:tcPr>
            <w:tcW w:w="3591" w:type="dxa"/>
            <w:tcBorders>
              <w:top w:val="single" w:sz="4" w:space="0" w:color="365F91"/>
              <w:bottom w:val="single" w:sz="4" w:space="0" w:color="365F91"/>
            </w:tcBorders>
            <w:noWrap/>
            <w:hideMark/>
          </w:tcPr>
          <w:p w14:paraId="52784327" w14:textId="77777777" w:rsidR="00A10636" w:rsidRPr="00D9348B" w:rsidRDefault="00A10636" w:rsidP="003557B6">
            <w:pPr>
              <w:pStyle w:val="TableText"/>
              <w:tabs>
                <w:tab w:val="decimal" w:pos="0"/>
              </w:tabs>
              <w:spacing w:before="50" w:after="50"/>
              <w:jc w:val="center"/>
            </w:pPr>
            <w:r w:rsidRPr="00D9348B">
              <w:t>±75.0</w:t>
            </w:r>
          </w:p>
        </w:tc>
      </w:tr>
      <w:tr w:rsidR="00A10636" w:rsidRPr="00D9348B" w14:paraId="0519135A" w14:textId="77777777" w:rsidTr="00D664F6">
        <w:trPr>
          <w:trHeight w:val="285"/>
        </w:trPr>
        <w:tc>
          <w:tcPr>
            <w:tcW w:w="4404" w:type="dxa"/>
            <w:tcBorders>
              <w:top w:val="single" w:sz="4" w:space="0" w:color="365F91"/>
              <w:bottom w:val="single" w:sz="4" w:space="0" w:color="365F91"/>
            </w:tcBorders>
            <w:noWrap/>
            <w:hideMark/>
          </w:tcPr>
          <w:p w14:paraId="3CF990FA" w14:textId="77777777" w:rsidR="00A10636" w:rsidRPr="00D9348B" w:rsidRDefault="00A10636" w:rsidP="003557B6">
            <w:pPr>
              <w:pStyle w:val="TableText"/>
              <w:spacing w:before="50" w:after="50"/>
            </w:pPr>
            <w:r w:rsidRPr="00D9348B">
              <w:t>Uncertainty in soil carbon stocks</w:t>
            </w:r>
          </w:p>
        </w:tc>
        <w:tc>
          <w:tcPr>
            <w:tcW w:w="3591" w:type="dxa"/>
            <w:tcBorders>
              <w:top w:val="single" w:sz="4" w:space="0" w:color="365F91"/>
              <w:bottom w:val="single" w:sz="4" w:space="0" w:color="365F91"/>
            </w:tcBorders>
            <w:noWrap/>
            <w:hideMark/>
          </w:tcPr>
          <w:p w14:paraId="4D3BAAED" w14:textId="77777777" w:rsidR="00A10636" w:rsidRPr="00D9348B" w:rsidRDefault="00A10636" w:rsidP="003557B6">
            <w:pPr>
              <w:pStyle w:val="TableText"/>
              <w:tabs>
                <w:tab w:val="decimal" w:pos="0"/>
              </w:tabs>
              <w:spacing w:before="50" w:after="50"/>
              <w:jc w:val="center"/>
            </w:pPr>
            <w:r w:rsidRPr="00D9348B">
              <w:t>±95.0</w:t>
            </w:r>
          </w:p>
        </w:tc>
      </w:tr>
      <w:tr w:rsidR="00A10636" w:rsidRPr="00D9348B" w14:paraId="7959B938" w14:textId="77777777" w:rsidTr="00D664F6">
        <w:trPr>
          <w:trHeight w:val="285"/>
        </w:trPr>
        <w:tc>
          <w:tcPr>
            <w:tcW w:w="4404" w:type="dxa"/>
            <w:tcBorders>
              <w:top w:val="single" w:sz="4" w:space="0" w:color="365F91"/>
              <w:bottom w:val="single" w:sz="4" w:space="0" w:color="365F91"/>
            </w:tcBorders>
            <w:noWrap/>
            <w:hideMark/>
          </w:tcPr>
          <w:p w14:paraId="2E082196" w14:textId="77777777" w:rsidR="00A10636" w:rsidRPr="00D9348B" w:rsidRDefault="00A10636" w:rsidP="003557B6">
            <w:pPr>
              <w:pStyle w:val="Tableboldblue"/>
              <w:spacing w:before="50" w:after="50"/>
            </w:pPr>
            <w:r w:rsidRPr="00D9348B">
              <w:t>Uncertainty introduced into net emissions for LULUCF</w:t>
            </w:r>
          </w:p>
        </w:tc>
        <w:tc>
          <w:tcPr>
            <w:tcW w:w="3591" w:type="dxa"/>
            <w:tcBorders>
              <w:top w:val="single" w:sz="4" w:space="0" w:color="365F91"/>
              <w:bottom w:val="single" w:sz="4" w:space="0" w:color="365F91"/>
            </w:tcBorders>
            <w:noWrap/>
            <w:hideMark/>
          </w:tcPr>
          <w:p w14:paraId="08FD52AF" w14:textId="77777777" w:rsidR="00A10636" w:rsidRPr="00D9348B" w:rsidRDefault="00A10636" w:rsidP="003557B6">
            <w:pPr>
              <w:pStyle w:val="Tableboldblue"/>
              <w:spacing w:before="50" w:after="50"/>
              <w:jc w:val="center"/>
            </w:pPr>
            <w:r w:rsidRPr="00D9348B">
              <w:t>±0.3</w:t>
            </w:r>
          </w:p>
        </w:tc>
      </w:tr>
    </w:tbl>
    <w:p w14:paraId="02239BA6" w14:textId="77777777" w:rsidR="00A10636" w:rsidRPr="00D9348B" w:rsidRDefault="00A10636" w:rsidP="00A10636">
      <w:pPr>
        <w:pStyle w:val="Noteundertable"/>
      </w:pPr>
      <w:r w:rsidRPr="00D9348B">
        <w:rPr>
          <w:b/>
        </w:rPr>
        <w:t>Note:</w:t>
      </w:r>
      <w:r w:rsidRPr="00D9348B">
        <w:tab/>
        <w:t xml:space="preserve">The activity data and combined emission factor uncertainty are weighted values and have been calculated using equation 3.2 from IPCC General Guidance and Reporting (IPCC, 2006b). </w:t>
      </w:r>
    </w:p>
    <w:p w14:paraId="2B16DDFD" w14:textId="77777777" w:rsidR="00A10636" w:rsidRPr="00D9348B" w:rsidRDefault="00A10636" w:rsidP="003557B6">
      <w:pPr>
        <w:pStyle w:val="Heading3"/>
        <w:spacing w:before="280"/>
      </w:pPr>
      <w:r w:rsidRPr="00D9348B">
        <w:t>6.8.4</w:t>
      </w:r>
      <w:r w:rsidRPr="00D9348B">
        <w:tab/>
        <w:t>Category-specific QA/QC and verification</w:t>
      </w:r>
    </w:p>
    <w:p w14:paraId="274EEC9C" w14:textId="77777777" w:rsidR="00A10636" w:rsidRPr="00D9348B" w:rsidRDefault="00A10636" w:rsidP="00A10636">
      <w:pPr>
        <w:pStyle w:val="BodyText"/>
      </w:pPr>
      <w:r w:rsidRPr="00D9348B">
        <w:t>In the preparation of this inventory, the activity data for these emissions underwent Tier 1 quality checks.</w:t>
      </w:r>
    </w:p>
    <w:p w14:paraId="19D7E1E9" w14:textId="77777777" w:rsidR="00A10636" w:rsidRPr="00D9348B" w:rsidRDefault="00A10636" w:rsidP="003557B6">
      <w:pPr>
        <w:pStyle w:val="Heading3"/>
        <w:spacing w:before="240"/>
      </w:pPr>
      <w:r w:rsidRPr="00D9348B">
        <w:t>6.8.5</w:t>
      </w:r>
      <w:r w:rsidRPr="00D9348B">
        <w:tab/>
        <w:t>Category-specific recalculations</w:t>
      </w:r>
    </w:p>
    <w:p w14:paraId="0A0254D4" w14:textId="6BE4D31F" w:rsidR="00A10636" w:rsidRPr="00D9348B" w:rsidRDefault="00A10636" w:rsidP="00D664F6">
      <w:pPr>
        <w:pStyle w:val="BodyText"/>
        <w:spacing w:before="100" w:after="100"/>
      </w:pPr>
      <w:r w:rsidRPr="00D9348B">
        <w:t xml:space="preserve">Recalculations were carried out for this category (table 6.8.4) as a result of new activity data resulting from improvements to the </w:t>
      </w:r>
      <w:r w:rsidR="00EA7212">
        <w:t>land-use</w:t>
      </w:r>
      <w:r w:rsidRPr="00D9348B">
        <w:t xml:space="preserve"> maps, as described in section 6.2.</w:t>
      </w:r>
    </w:p>
    <w:p w14:paraId="167D10CD" w14:textId="4F936A66" w:rsidR="00A10636" w:rsidRPr="00D9348B" w:rsidRDefault="00A10636" w:rsidP="00A10636">
      <w:pPr>
        <w:pStyle w:val="Table"/>
      </w:pPr>
      <w:bookmarkStart w:id="2366" w:name="_Toc342470792"/>
      <w:bookmarkStart w:id="2367" w:name="_Toc352505032"/>
      <w:bookmarkStart w:id="2368" w:name="_Toc378853321"/>
      <w:bookmarkStart w:id="2369" w:name="_Toc391024119"/>
      <w:bookmarkStart w:id="2370" w:name="_Toc410028861"/>
      <w:bookmarkStart w:id="2371" w:name="_Toc414531489"/>
      <w:bookmarkStart w:id="2372" w:name="_Toc443645402"/>
      <w:bookmarkStart w:id="2373" w:name="_Toc474914621"/>
      <w:bookmarkStart w:id="2374" w:name="_Toc481751585"/>
      <w:bookmarkStart w:id="2375" w:name="_Toc522010642"/>
      <w:bookmarkStart w:id="2376" w:name="_Toc5269547"/>
      <w:bookmarkStart w:id="2377" w:name="_Toc33529421"/>
      <w:bookmarkStart w:id="2378" w:name="_Toc36224627"/>
      <w:r w:rsidRPr="00D9348B">
        <w:t>Table 6.8.4</w:t>
      </w:r>
      <w:r w:rsidRPr="00D9348B">
        <w:rPr>
          <w:vertAlign w:val="superscript"/>
        </w:rPr>
        <w:tab/>
      </w:r>
      <w:r w:rsidRPr="00D9348B">
        <w:t>Recalculations for New Zealand’s net emissions from the Settlements category</w:t>
      </w:r>
      <w:r w:rsidR="003557B6" w:rsidRPr="00D9348B">
        <w:t xml:space="preserve"> </w:t>
      </w:r>
      <w:r w:rsidRPr="00D9348B">
        <w:t>in 1990 and</w:t>
      </w:r>
      <w:bookmarkEnd w:id="2366"/>
      <w:bookmarkEnd w:id="2367"/>
      <w:bookmarkEnd w:id="2368"/>
      <w:bookmarkEnd w:id="2369"/>
      <w:r w:rsidRPr="00D9348B">
        <w:t> 201</w:t>
      </w:r>
      <w:bookmarkEnd w:id="2370"/>
      <w:bookmarkEnd w:id="2371"/>
      <w:bookmarkEnd w:id="2372"/>
      <w:bookmarkEnd w:id="2373"/>
      <w:bookmarkEnd w:id="2374"/>
      <w:bookmarkEnd w:id="2375"/>
      <w:bookmarkEnd w:id="2376"/>
      <w:r w:rsidRPr="00D9348B">
        <w:t>7</w:t>
      </w:r>
      <w:bookmarkEnd w:id="2377"/>
      <w:bookmarkEnd w:id="2378"/>
    </w:p>
    <w:tbl>
      <w:tblPr>
        <w:tblW w:w="8505" w:type="dxa"/>
        <w:tblInd w:w="108" w:type="dxa"/>
        <w:tblLayout w:type="fixed"/>
        <w:tblLook w:val="04A0" w:firstRow="1" w:lastRow="0" w:firstColumn="1" w:lastColumn="0" w:noHBand="0" w:noVBand="1"/>
      </w:tblPr>
      <w:tblGrid>
        <w:gridCol w:w="1109"/>
        <w:gridCol w:w="1849"/>
        <w:gridCol w:w="1849"/>
        <w:gridCol w:w="1849"/>
        <w:gridCol w:w="1849"/>
      </w:tblGrid>
      <w:tr w:rsidR="00A10636" w:rsidRPr="00D9348B" w14:paraId="68F92090" w14:textId="77777777" w:rsidTr="00D664F6">
        <w:tc>
          <w:tcPr>
            <w:tcW w:w="1109" w:type="dxa"/>
            <w:vMerge w:val="restart"/>
            <w:tcBorders>
              <w:top w:val="single" w:sz="4" w:space="0" w:color="365F91"/>
            </w:tcBorders>
            <w:shd w:val="clear" w:color="auto" w:fill="365F91"/>
            <w:vAlign w:val="bottom"/>
          </w:tcPr>
          <w:p w14:paraId="56FA3C66" w14:textId="77777777" w:rsidR="00A10636" w:rsidRPr="00D9348B" w:rsidRDefault="00A10636" w:rsidP="00DB330E">
            <w:pPr>
              <w:pStyle w:val="TableTextBold"/>
              <w:keepNext/>
              <w:spacing w:before="40" w:after="40"/>
              <w:rPr>
                <w:noProof w:val="0"/>
                <w:color w:val="FFFFFF"/>
              </w:rPr>
            </w:pPr>
            <w:r w:rsidRPr="00D9348B">
              <w:rPr>
                <w:noProof w:val="0"/>
                <w:color w:val="FFFFFF"/>
              </w:rPr>
              <w:t>Year</w:t>
            </w:r>
          </w:p>
        </w:tc>
        <w:tc>
          <w:tcPr>
            <w:tcW w:w="3698" w:type="dxa"/>
            <w:gridSpan w:val="2"/>
            <w:tcBorders>
              <w:top w:val="single" w:sz="4" w:space="0" w:color="365F91"/>
            </w:tcBorders>
            <w:shd w:val="clear" w:color="auto" w:fill="365F91"/>
            <w:noWrap/>
          </w:tcPr>
          <w:p w14:paraId="58EBEA2C" w14:textId="77777777" w:rsidR="00A10636" w:rsidRPr="00D9348B" w:rsidRDefault="00A10636" w:rsidP="00DB330E">
            <w:pPr>
              <w:pStyle w:val="TableTextBold"/>
              <w:keepNext/>
              <w:spacing w:before="40" w:after="40"/>
              <w:jc w:val="center"/>
              <w:rPr>
                <w:noProof w:val="0"/>
                <w:color w:val="FFFFFF"/>
              </w:rPr>
            </w:pPr>
            <w:r w:rsidRPr="00D9348B">
              <w:rPr>
                <w:noProof w:val="0"/>
                <w:color w:val="FFFFFF"/>
              </w:rPr>
              <w:t>Net emissions (kt CO</w:t>
            </w:r>
            <w:r w:rsidRPr="00D9348B">
              <w:rPr>
                <w:noProof w:val="0"/>
                <w:color w:val="FFFFFF"/>
                <w:vertAlign w:val="subscript"/>
              </w:rPr>
              <w:t>2</w:t>
            </w:r>
            <w:r w:rsidRPr="00D9348B">
              <w:rPr>
                <w:noProof w:val="0"/>
                <w:color w:val="FFFFFF"/>
              </w:rPr>
              <w:t>-e)</w:t>
            </w:r>
          </w:p>
        </w:tc>
        <w:tc>
          <w:tcPr>
            <w:tcW w:w="3698" w:type="dxa"/>
            <w:gridSpan w:val="2"/>
            <w:tcBorders>
              <w:top w:val="single" w:sz="4" w:space="0" w:color="365F91"/>
            </w:tcBorders>
            <w:shd w:val="clear" w:color="auto" w:fill="365F91"/>
          </w:tcPr>
          <w:p w14:paraId="6D838102" w14:textId="77777777" w:rsidR="00A10636" w:rsidRPr="00D9348B" w:rsidRDefault="00A10636" w:rsidP="00DB330E">
            <w:pPr>
              <w:pStyle w:val="TableTextBold"/>
              <w:keepNext/>
              <w:spacing w:before="40" w:after="40"/>
              <w:jc w:val="center"/>
              <w:rPr>
                <w:noProof w:val="0"/>
                <w:color w:val="FFFFFF"/>
              </w:rPr>
            </w:pPr>
            <w:r w:rsidRPr="00D9348B">
              <w:rPr>
                <w:noProof w:val="0"/>
                <w:color w:val="FFFFFF"/>
              </w:rPr>
              <w:t>Change from the 2019 submission</w:t>
            </w:r>
          </w:p>
        </w:tc>
      </w:tr>
      <w:tr w:rsidR="00A10636" w:rsidRPr="00D9348B" w14:paraId="468A49FF" w14:textId="77777777" w:rsidTr="00D664F6">
        <w:tc>
          <w:tcPr>
            <w:tcW w:w="1109" w:type="dxa"/>
            <w:vMerge/>
            <w:tcBorders>
              <w:bottom w:val="single" w:sz="4" w:space="0" w:color="365F91"/>
            </w:tcBorders>
            <w:shd w:val="clear" w:color="auto" w:fill="365F91"/>
          </w:tcPr>
          <w:p w14:paraId="38631173" w14:textId="77777777" w:rsidR="00A10636" w:rsidRPr="00D9348B" w:rsidRDefault="00A10636" w:rsidP="00DB330E">
            <w:pPr>
              <w:pStyle w:val="TableText"/>
              <w:keepNext/>
              <w:spacing w:before="40" w:after="40"/>
            </w:pPr>
          </w:p>
        </w:tc>
        <w:tc>
          <w:tcPr>
            <w:tcW w:w="1849" w:type="dxa"/>
            <w:tcBorders>
              <w:bottom w:val="single" w:sz="4" w:space="0" w:color="365F91"/>
            </w:tcBorders>
            <w:shd w:val="clear" w:color="auto" w:fill="365F91"/>
          </w:tcPr>
          <w:p w14:paraId="4BA13A26" w14:textId="77777777" w:rsidR="00A10636" w:rsidRPr="00D9348B" w:rsidRDefault="00A10636" w:rsidP="00DB330E">
            <w:pPr>
              <w:pStyle w:val="TableText"/>
              <w:keepNext/>
              <w:spacing w:before="40" w:after="40"/>
              <w:jc w:val="center"/>
              <w:rPr>
                <w:b/>
                <w:color w:val="FFFFFF"/>
              </w:rPr>
            </w:pPr>
            <w:r w:rsidRPr="00D9348B">
              <w:rPr>
                <w:b/>
                <w:color w:val="FFFFFF"/>
              </w:rPr>
              <w:t>2019 submission</w:t>
            </w:r>
          </w:p>
        </w:tc>
        <w:tc>
          <w:tcPr>
            <w:tcW w:w="1849" w:type="dxa"/>
            <w:tcBorders>
              <w:bottom w:val="single" w:sz="4" w:space="0" w:color="365F91"/>
            </w:tcBorders>
            <w:shd w:val="clear" w:color="auto" w:fill="365F91"/>
          </w:tcPr>
          <w:p w14:paraId="0340A7B0" w14:textId="77777777" w:rsidR="00A10636" w:rsidRPr="00D9348B" w:rsidRDefault="00A10636" w:rsidP="00DB330E">
            <w:pPr>
              <w:pStyle w:val="TableText"/>
              <w:keepNext/>
              <w:spacing w:before="40" w:after="40"/>
              <w:jc w:val="center"/>
              <w:rPr>
                <w:b/>
                <w:color w:val="FFFFFF"/>
              </w:rPr>
            </w:pPr>
            <w:r w:rsidRPr="00D9348B">
              <w:rPr>
                <w:b/>
                <w:color w:val="FFFFFF"/>
              </w:rPr>
              <w:t>2020 submission</w:t>
            </w:r>
          </w:p>
        </w:tc>
        <w:tc>
          <w:tcPr>
            <w:tcW w:w="1849" w:type="dxa"/>
            <w:tcBorders>
              <w:bottom w:val="single" w:sz="4" w:space="0" w:color="365F91"/>
            </w:tcBorders>
            <w:shd w:val="clear" w:color="auto" w:fill="365F91"/>
          </w:tcPr>
          <w:p w14:paraId="626DC348" w14:textId="77777777" w:rsidR="00A10636" w:rsidRPr="00D9348B" w:rsidRDefault="00A10636" w:rsidP="00DB330E">
            <w:pPr>
              <w:pStyle w:val="TableText"/>
              <w:keepNext/>
              <w:spacing w:before="40" w:after="40"/>
              <w:jc w:val="center"/>
              <w:rPr>
                <w:b/>
                <w:color w:val="FFFFFF"/>
              </w:rPr>
            </w:pPr>
            <w:r w:rsidRPr="00D9348B">
              <w:rPr>
                <w:b/>
                <w:color w:val="FFFFFF"/>
              </w:rPr>
              <w:t>(kt CO</w:t>
            </w:r>
            <w:r w:rsidRPr="00D9348B">
              <w:rPr>
                <w:b/>
                <w:color w:val="FFFFFF"/>
                <w:vertAlign w:val="subscript"/>
              </w:rPr>
              <w:t>2</w:t>
            </w:r>
            <w:r w:rsidRPr="00D9348B">
              <w:rPr>
                <w:b/>
                <w:color w:val="FFFFFF"/>
              </w:rPr>
              <w:t>-e)</w:t>
            </w:r>
          </w:p>
        </w:tc>
        <w:tc>
          <w:tcPr>
            <w:tcW w:w="1849" w:type="dxa"/>
            <w:tcBorders>
              <w:bottom w:val="single" w:sz="4" w:space="0" w:color="365F91"/>
            </w:tcBorders>
            <w:shd w:val="clear" w:color="auto" w:fill="365F91"/>
          </w:tcPr>
          <w:p w14:paraId="27E991C7" w14:textId="77777777" w:rsidR="00A10636" w:rsidRPr="00D9348B" w:rsidRDefault="00A10636" w:rsidP="00DB330E">
            <w:pPr>
              <w:pStyle w:val="TableText"/>
              <w:keepNext/>
              <w:spacing w:before="40" w:after="40"/>
              <w:jc w:val="center"/>
              <w:rPr>
                <w:b/>
                <w:color w:val="FFFFFF"/>
              </w:rPr>
            </w:pPr>
            <w:r w:rsidRPr="00D9348B">
              <w:rPr>
                <w:b/>
                <w:color w:val="FFFFFF"/>
              </w:rPr>
              <w:t>(%)</w:t>
            </w:r>
          </w:p>
        </w:tc>
      </w:tr>
      <w:tr w:rsidR="00A10636" w:rsidRPr="00D9348B" w14:paraId="437E35AA" w14:textId="77777777" w:rsidTr="00D664F6">
        <w:tc>
          <w:tcPr>
            <w:tcW w:w="1109" w:type="dxa"/>
            <w:tcBorders>
              <w:top w:val="single" w:sz="4" w:space="0" w:color="365F91"/>
              <w:bottom w:val="single" w:sz="4" w:space="0" w:color="365F91"/>
            </w:tcBorders>
          </w:tcPr>
          <w:p w14:paraId="42459926" w14:textId="77777777" w:rsidR="00A10636" w:rsidRPr="00D9348B" w:rsidRDefault="00A10636" w:rsidP="00DB330E">
            <w:pPr>
              <w:pStyle w:val="TableText"/>
              <w:spacing w:before="40" w:after="40"/>
            </w:pPr>
            <w:r w:rsidRPr="00D9348B">
              <w:t xml:space="preserve">1990 </w:t>
            </w:r>
          </w:p>
        </w:tc>
        <w:tc>
          <w:tcPr>
            <w:tcW w:w="1849" w:type="dxa"/>
            <w:tcBorders>
              <w:top w:val="single" w:sz="4" w:space="0" w:color="365F91"/>
              <w:bottom w:val="single" w:sz="4" w:space="0" w:color="365F91"/>
            </w:tcBorders>
          </w:tcPr>
          <w:p w14:paraId="031114A9" w14:textId="77777777" w:rsidR="00A10636" w:rsidRPr="00D9348B" w:rsidRDefault="00A10636" w:rsidP="00DB330E">
            <w:pPr>
              <w:pStyle w:val="TableText"/>
              <w:tabs>
                <w:tab w:val="decimal" w:pos="458"/>
              </w:tabs>
              <w:spacing w:before="40" w:after="40"/>
              <w:jc w:val="center"/>
              <w:rPr>
                <w:color w:val="000000"/>
              </w:rPr>
            </w:pPr>
            <w:r w:rsidRPr="00D9348B">
              <w:t xml:space="preserve">72.7 </w:t>
            </w:r>
          </w:p>
        </w:tc>
        <w:tc>
          <w:tcPr>
            <w:tcW w:w="1849" w:type="dxa"/>
            <w:tcBorders>
              <w:top w:val="single" w:sz="4" w:space="0" w:color="365F91"/>
              <w:bottom w:val="single" w:sz="4" w:space="0" w:color="365F91"/>
            </w:tcBorders>
          </w:tcPr>
          <w:p w14:paraId="4152404E" w14:textId="77777777" w:rsidR="00A10636" w:rsidRPr="00D9348B" w:rsidRDefault="00A10636" w:rsidP="00DB330E">
            <w:pPr>
              <w:pStyle w:val="TableText"/>
              <w:tabs>
                <w:tab w:val="decimal" w:pos="458"/>
              </w:tabs>
              <w:spacing w:before="40" w:after="40"/>
              <w:jc w:val="center"/>
              <w:rPr>
                <w:color w:val="000000"/>
              </w:rPr>
            </w:pPr>
            <w:r w:rsidRPr="00D9348B">
              <w:t xml:space="preserve">72.4 </w:t>
            </w:r>
          </w:p>
        </w:tc>
        <w:tc>
          <w:tcPr>
            <w:tcW w:w="1849" w:type="dxa"/>
            <w:tcBorders>
              <w:top w:val="single" w:sz="4" w:space="0" w:color="365F91"/>
              <w:bottom w:val="single" w:sz="4" w:space="0" w:color="365F91"/>
            </w:tcBorders>
          </w:tcPr>
          <w:p w14:paraId="0B79D0ED" w14:textId="77777777" w:rsidR="00A10636" w:rsidRPr="00D9348B" w:rsidRDefault="00A10636" w:rsidP="00DB330E">
            <w:pPr>
              <w:pStyle w:val="TableText"/>
              <w:tabs>
                <w:tab w:val="decimal" w:pos="458"/>
              </w:tabs>
              <w:spacing w:before="40" w:after="40"/>
              <w:jc w:val="center"/>
              <w:rPr>
                <w:color w:val="000000"/>
              </w:rPr>
            </w:pPr>
            <w:r w:rsidRPr="00D9348B">
              <w:t xml:space="preserve">–0.2 </w:t>
            </w:r>
          </w:p>
        </w:tc>
        <w:tc>
          <w:tcPr>
            <w:tcW w:w="1849" w:type="dxa"/>
            <w:tcBorders>
              <w:top w:val="single" w:sz="4" w:space="0" w:color="365F91"/>
              <w:bottom w:val="single" w:sz="4" w:space="0" w:color="365F91"/>
            </w:tcBorders>
          </w:tcPr>
          <w:p w14:paraId="5B50BD62" w14:textId="77777777" w:rsidR="00A10636" w:rsidRPr="00D9348B" w:rsidRDefault="00A10636" w:rsidP="00DB330E">
            <w:pPr>
              <w:pStyle w:val="TableText"/>
              <w:tabs>
                <w:tab w:val="decimal" w:pos="458"/>
              </w:tabs>
              <w:spacing w:before="40" w:after="40"/>
              <w:jc w:val="center"/>
              <w:rPr>
                <w:color w:val="000000"/>
              </w:rPr>
            </w:pPr>
            <w:r w:rsidRPr="00D9348B">
              <w:t>–0.30</w:t>
            </w:r>
          </w:p>
        </w:tc>
      </w:tr>
      <w:tr w:rsidR="00A10636" w:rsidRPr="00D9348B" w14:paraId="39530BEC" w14:textId="77777777" w:rsidTr="00D664F6">
        <w:tc>
          <w:tcPr>
            <w:tcW w:w="1109" w:type="dxa"/>
            <w:tcBorders>
              <w:top w:val="single" w:sz="4" w:space="0" w:color="365F91"/>
              <w:bottom w:val="single" w:sz="4" w:space="0" w:color="365F91"/>
            </w:tcBorders>
          </w:tcPr>
          <w:p w14:paraId="5BDD8529" w14:textId="77777777" w:rsidR="00A10636" w:rsidRPr="00D9348B" w:rsidRDefault="00A10636" w:rsidP="00DB330E">
            <w:pPr>
              <w:pStyle w:val="TableText"/>
              <w:spacing w:before="40" w:after="40"/>
            </w:pPr>
            <w:r w:rsidRPr="00D9348B">
              <w:t>2017</w:t>
            </w:r>
          </w:p>
        </w:tc>
        <w:tc>
          <w:tcPr>
            <w:tcW w:w="1849" w:type="dxa"/>
            <w:tcBorders>
              <w:top w:val="single" w:sz="4" w:space="0" w:color="365F91"/>
              <w:bottom w:val="single" w:sz="4" w:space="0" w:color="365F91"/>
            </w:tcBorders>
          </w:tcPr>
          <w:p w14:paraId="5C4A5DE5" w14:textId="77777777" w:rsidR="00A10636" w:rsidRPr="00D9348B" w:rsidRDefault="00A10636" w:rsidP="00DB330E">
            <w:pPr>
              <w:pStyle w:val="TableText"/>
              <w:tabs>
                <w:tab w:val="decimal" w:pos="458"/>
              </w:tabs>
              <w:spacing w:before="40" w:after="40"/>
              <w:jc w:val="center"/>
              <w:rPr>
                <w:color w:val="000000"/>
              </w:rPr>
            </w:pPr>
            <w:r w:rsidRPr="00D9348B">
              <w:t xml:space="preserve">100.7 </w:t>
            </w:r>
          </w:p>
        </w:tc>
        <w:tc>
          <w:tcPr>
            <w:tcW w:w="1849" w:type="dxa"/>
            <w:tcBorders>
              <w:top w:val="single" w:sz="4" w:space="0" w:color="365F91"/>
              <w:bottom w:val="single" w:sz="4" w:space="0" w:color="365F91"/>
            </w:tcBorders>
          </w:tcPr>
          <w:p w14:paraId="2C00F887" w14:textId="77777777" w:rsidR="00A10636" w:rsidRPr="00D9348B" w:rsidRDefault="00A10636" w:rsidP="00DB330E">
            <w:pPr>
              <w:pStyle w:val="TableText"/>
              <w:tabs>
                <w:tab w:val="decimal" w:pos="458"/>
              </w:tabs>
              <w:spacing w:before="40" w:after="40"/>
              <w:jc w:val="center"/>
              <w:rPr>
                <w:color w:val="000000"/>
              </w:rPr>
            </w:pPr>
            <w:r w:rsidRPr="00D9348B">
              <w:t xml:space="preserve">101.9 </w:t>
            </w:r>
          </w:p>
        </w:tc>
        <w:tc>
          <w:tcPr>
            <w:tcW w:w="1849" w:type="dxa"/>
            <w:tcBorders>
              <w:top w:val="single" w:sz="4" w:space="0" w:color="365F91"/>
              <w:bottom w:val="single" w:sz="4" w:space="0" w:color="365F91"/>
            </w:tcBorders>
          </w:tcPr>
          <w:p w14:paraId="3C4B20D2" w14:textId="77777777" w:rsidR="00A10636" w:rsidRPr="00D9348B" w:rsidRDefault="00A10636" w:rsidP="00DB330E">
            <w:pPr>
              <w:pStyle w:val="TableText"/>
              <w:tabs>
                <w:tab w:val="decimal" w:pos="458"/>
              </w:tabs>
              <w:spacing w:before="40" w:after="40"/>
              <w:jc w:val="center"/>
              <w:rPr>
                <w:color w:val="000000"/>
              </w:rPr>
            </w:pPr>
            <w:r w:rsidRPr="00D9348B">
              <w:t xml:space="preserve">1.2 </w:t>
            </w:r>
          </w:p>
        </w:tc>
        <w:tc>
          <w:tcPr>
            <w:tcW w:w="1849" w:type="dxa"/>
            <w:tcBorders>
              <w:top w:val="single" w:sz="4" w:space="0" w:color="365F91"/>
              <w:bottom w:val="single" w:sz="4" w:space="0" w:color="365F91"/>
            </w:tcBorders>
          </w:tcPr>
          <w:p w14:paraId="2936E099" w14:textId="77777777" w:rsidR="00A10636" w:rsidRPr="00D9348B" w:rsidRDefault="00A10636" w:rsidP="00DB330E">
            <w:pPr>
              <w:pStyle w:val="TableText"/>
              <w:tabs>
                <w:tab w:val="decimal" w:pos="458"/>
              </w:tabs>
              <w:spacing w:before="40" w:after="40"/>
              <w:jc w:val="center"/>
              <w:rPr>
                <w:color w:val="000000"/>
              </w:rPr>
            </w:pPr>
            <w:r w:rsidRPr="00D9348B">
              <w:t>+1.2</w:t>
            </w:r>
          </w:p>
        </w:tc>
      </w:tr>
    </w:tbl>
    <w:p w14:paraId="41FD3B5E" w14:textId="77777777" w:rsidR="00A10636" w:rsidRPr="00D9348B" w:rsidRDefault="00A10636" w:rsidP="00A10636">
      <w:pPr>
        <w:pStyle w:val="Heading3"/>
      </w:pPr>
      <w:r w:rsidRPr="00D9348B">
        <w:lastRenderedPageBreak/>
        <w:t>6.8.6</w:t>
      </w:r>
      <w:r w:rsidRPr="00D9348B">
        <w:tab/>
        <w:t>Category-specific planned improvements</w:t>
      </w:r>
    </w:p>
    <w:p w14:paraId="2ADB6ECD" w14:textId="77777777" w:rsidR="00A10636" w:rsidRPr="00D9348B" w:rsidRDefault="00A10636" w:rsidP="008C1F5D">
      <w:pPr>
        <w:pStyle w:val="BodyText"/>
        <w:spacing w:after="100"/>
      </w:pPr>
      <w:r w:rsidRPr="00D9348B">
        <w:t xml:space="preserve">No improvements are planned for the </w:t>
      </w:r>
      <w:r w:rsidRPr="00D9348B">
        <w:rPr>
          <w:i/>
        </w:rPr>
        <w:t xml:space="preserve">Settlements </w:t>
      </w:r>
      <w:r w:rsidRPr="00D9348B">
        <w:t xml:space="preserve">category for the 2021 submission. </w:t>
      </w:r>
    </w:p>
    <w:p w14:paraId="3F36664B" w14:textId="77777777" w:rsidR="00A10636" w:rsidRPr="00D9348B" w:rsidRDefault="00A10636" w:rsidP="00A10636">
      <w:pPr>
        <w:pStyle w:val="Heading2"/>
        <w:spacing w:before="240"/>
      </w:pPr>
      <w:bookmarkStart w:id="2379" w:name="_Toc310423457"/>
      <w:bookmarkStart w:id="2380" w:name="_Toc342470723"/>
      <w:bookmarkStart w:id="2381" w:name="_Toc352504875"/>
      <w:bookmarkStart w:id="2382" w:name="_Toc391024705"/>
      <w:bookmarkStart w:id="2383" w:name="_Toc414531322"/>
      <w:bookmarkStart w:id="2384" w:name="_Toc474335464"/>
      <w:bookmarkStart w:id="2385" w:name="_Toc481751404"/>
      <w:bookmarkStart w:id="2386" w:name="_Toc522013956"/>
      <w:bookmarkStart w:id="2387" w:name="_Toc5269381"/>
      <w:bookmarkStart w:id="2388" w:name="_Toc36224421"/>
      <w:r w:rsidRPr="00D9348B">
        <w:t>6.9</w:t>
      </w:r>
      <w:r w:rsidRPr="00D9348B">
        <w:tab/>
        <w:t>Other land (CRF 4F)</w:t>
      </w:r>
      <w:bookmarkEnd w:id="2379"/>
      <w:bookmarkEnd w:id="2380"/>
      <w:bookmarkEnd w:id="2381"/>
      <w:bookmarkEnd w:id="2382"/>
      <w:bookmarkEnd w:id="2383"/>
      <w:bookmarkEnd w:id="2384"/>
      <w:bookmarkEnd w:id="2385"/>
      <w:bookmarkEnd w:id="2386"/>
      <w:bookmarkEnd w:id="2387"/>
      <w:bookmarkEnd w:id="2388"/>
    </w:p>
    <w:p w14:paraId="24FF3173" w14:textId="77777777" w:rsidR="00A10636" w:rsidRPr="00D9348B" w:rsidRDefault="00A10636" w:rsidP="00D664F6">
      <w:pPr>
        <w:pStyle w:val="Heading3"/>
        <w:spacing w:before="160"/>
      </w:pPr>
      <w:r w:rsidRPr="00D9348B">
        <w:t>6.9.1</w:t>
      </w:r>
      <w:r w:rsidRPr="00D9348B">
        <w:tab/>
        <w:t>Description</w:t>
      </w:r>
    </w:p>
    <w:p w14:paraId="6D18D953" w14:textId="5AD6930E" w:rsidR="00A10636" w:rsidRPr="00D9348B" w:rsidRDefault="00A10636" w:rsidP="008C1F5D">
      <w:pPr>
        <w:pStyle w:val="BodyText"/>
        <w:spacing w:before="100" w:after="100"/>
      </w:pPr>
      <w:r w:rsidRPr="00D9348B">
        <w:rPr>
          <w:i/>
        </w:rPr>
        <w:t>Other land</w:t>
      </w:r>
      <w:r w:rsidRPr="00D9348B">
        <w:t xml:space="preserve"> is defined in section 3.2 of the 2006 IPCC Guidelines (IPCC, 2006a) as including bare soil, rock, ice and all unmanaged land areas that do not fall into any of the other five </w:t>
      </w:r>
      <w:r w:rsidR="00EA7212">
        <w:t>land-use</w:t>
      </w:r>
      <w:r w:rsidRPr="00D9348B">
        <w:t xml:space="preserve"> categories. It consists mostly of steep, rocky terrain at high elevation, often covered in snow or</w:t>
      </w:r>
      <w:r w:rsidR="00D664F6" w:rsidRPr="00D9348B">
        <w:t> </w:t>
      </w:r>
      <w:r w:rsidRPr="00D9348B">
        <w:t>ice. This category is 3.3 per cent of New Zealand’s total land area.</w:t>
      </w:r>
    </w:p>
    <w:p w14:paraId="6D56291B" w14:textId="5B3E2BFB" w:rsidR="00A10636" w:rsidRPr="00D9348B" w:rsidRDefault="00A10636" w:rsidP="008C1F5D">
      <w:pPr>
        <w:pStyle w:val="BodyText"/>
        <w:spacing w:before="100" w:after="100"/>
        <w:rPr>
          <w:spacing w:val="-2"/>
        </w:rPr>
      </w:pPr>
      <w:r w:rsidRPr="00D9348B">
        <w:rPr>
          <w:spacing w:val="-2"/>
        </w:rPr>
        <w:t xml:space="preserve">In 2018, the net emissions from </w:t>
      </w:r>
      <w:proofErr w:type="gramStart"/>
      <w:r w:rsidRPr="00D9348B">
        <w:rPr>
          <w:i/>
          <w:spacing w:val="-2"/>
        </w:rPr>
        <w:t>Other</w:t>
      </w:r>
      <w:proofErr w:type="gramEnd"/>
      <w:r w:rsidRPr="00D9348B">
        <w:rPr>
          <w:i/>
          <w:spacing w:val="-2"/>
        </w:rPr>
        <w:t xml:space="preserve"> land</w:t>
      </w:r>
      <w:r w:rsidRPr="00D9348B">
        <w:rPr>
          <w:spacing w:val="-2"/>
        </w:rPr>
        <w:t xml:space="preserve"> were 51.6 kt CO</w:t>
      </w:r>
      <w:r w:rsidRPr="00D9348B">
        <w:rPr>
          <w:spacing w:val="-2"/>
          <w:vertAlign w:val="subscript"/>
        </w:rPr>
        <w:t>2</w:t>
      </w:r>
      <w:r w:rsidRPr="00D9348B">
        <w:rPr>
          <w:spacing w:val="-2"/>
        </w:rPr>
        <w:t>-e (see table 6.9.1). This is 39.4 kt</w:t>
      </w:r>
      <w:r w:rsidR="00D664F6" w:rsidRPr="00D9348B">
        <w:rPr>
          <w:spacing w:val="-2"/>
        </w:rPr>
        <w:t> </w:t>
      </w:r>
      <w:r w:rsidRPr="00D9348B">
        <w:rPr>
          <w:spacing w:val="-2"/>
        </w:rPr>
        <w:t>CO</w:t>
      </w:r>
      <w:r w:rsidRPr="00D9348B">
        <w:rPr>
          <w:spacing w:val="-2"/>
          <w:vertAlign w:val="subscript"/>
        </w:rPr>
        <w:t>2</w:t>
      </w:r>
      <w:r w:rsidRPr="00D9348B">
        <w:rPr>
          <w:spacing w:val="-2"/>
        </w:rPr>
        <w:t>-e (299.7 per cent) higher than the 1990 level of 12.9 kt CO</w:t>
      </w:r>
      <w:r w:rsidRPr="00D9348B">
        <w:rPr>
          <w:spacing w:val="-2"/>
          <w:vertAlign w:val="subscript"/>
        </w:rPr>
        <w:t>2</w:t>
      </w:r>
      <w:r w:rsidRPr="00D9348B">
        <w:rPr>
          <w:spacing w:val="-2"/>
        </w:rPr>
        <w:noBreakHyphen/>
        <w:t>e. The majority of these</w:t>
      </w:r>
      <w:r w:rsidR="00D664F6" w:rsidRPr="00D9348B">
        <w:rPr>
          <w:spacing w:val="-2"/>
        </w:rPr>
        <w:t> </w:t>
      </w:r>
      <w:r w:rsidRPr="00D9348B">
        <w:rPr>
          <w:spacing w:val="-2"/>
        </w:rPr>
        <w:t xml:space="preserve">emissions occur in the </w:t>
      </w:r>
      <w:r w:rsidRPr="00D9348B">
        <w:rPr>
          <w:i/>
          <w:spacing w:val="-2"/>
        </w:rPr>
        <w:t>Land converted to other land</w:t>
      </w:r>
      <w:r w:rsidRPr="00D9348B">
        <w:rPr>
          <w:spacing w:val="-2"/>
        </w:rPr>
        <w:t xml:space="preserve"> category. This is primarily because the</w:t>
      </w:r>
      <w:r w:rsidR="00D664F6" w:rsidRPr="00D9348B">
        <w:rPr>
          <w:spacing w:val="-2"/>
        </w:rPr>
        <w:t> </w:t>
      </w:r>
      <w:r w:rsidRPr="00D9348B">
        <w:rPr>
          <w:spacing w:val="-2"/>
        </w:rPr>
        <w:t xml:space="preserve">area of land estimated as having been converted to </w:t>
      </w:r>
      <w:proofErr w:type="gramStart"/>
      <w:r w:rsidRPr="00D9348B">
        <w:rPr>
          <w:i/>
          <w:spacing w:val="-2"/>
        </w:rPr>
        <w:t>Other</w:t>
      </w:r>
      <w:proofErr w:type="gramEnd"/>
      <w:r w:rsidRPr="00D9348B">
        <w:rPr>
          <w:i/>
          <w:spacing w:val="-2"/>
        </w:rPr>
        <w:t xml:space="preserve"> land</w:t>
      </w:r>
      <w:r w:rsidRPr="00D9348B">
        <w:rPr>
          <w:spacing w:val="-2"/>
        </w:rPr>
        <w:t xml:space="preserve"> has been steadily increasing since 1990. </w:t>
      </w:r>
    </w:p>
    <w:p w14:paraId="1D73D6A3" w14:textId="011EE96C" w:rsidR="00A10636" w:rsidRPr="00D9348B" w:rsidRDefault="00A10636" w:rsidP="008C1F5D">
      <w:pPr>
        <w:pStyle w:val="BodyText"/>
        <w:spacing w:before="100" w:after="100"/>
      </w:pPr>
      <w:r w:rsidRPr="00D9348B">
        <w:t xml:space="preserve">An analysis of change in area between 1990 and 2018 shows that, of the 7,545 hectares converted from </w:t>
      </w:r>
      <w:proofErr w:type="gramStart"/>
      <w:r w:rsidRPr="00D9348B">
        <w:rPr>
          <w:i/>
        </w:rPr>
        <w:t>Other</w:t>
      </w:r>
      <w:proofErr w:type="gramEnd"/>
      <w:r w:rsidRPr="00D9348B">
        <w:rPr>
          <w:i/>
        </w:rPr>
        <w:t xml:space="preserve"> land</w:t>
      </w:r>
      <w:r w:rsidRPr="00D9348B">
        <w:t xml:space="preserve"> to different </w:t>
      </w:r>
      <w:r w:rsidR="00EA7212">
        <w:t>land-use</w:t>
      </w:r>
      <w:r w:rsidRPr="00D9348B">
        <w:t xml:space="preserve"> categories, 3,804 hectares were converted to post-1989 forest and 1,498 hectares were converted to grassland with woody biomass.</w:t>
      </w:r>
    </w:p>
    <w:p w14:paraId="7FFDFF5B" w14:textId="77777777" w:rsidR="00A10636" w:rsidRPr="00D9348B" w:rsidRDefault="00A10636" w:rsidP="008C1F5D">
      <w:pPr>
        <w:pStyle w:val="BodyText"/>
        <w:spacing w:before="100" w:after="100"/>
      </w:pPr>
      <w:r w:rsidRPr="00D9348B">
        <w:t xml:space="preserve">Between 1 January 1990 and 31 December 2018, there were 7,628 hectares of </w:t>
      </w:r>
      <w:r w:rsidRPr="00D9348B">
        <w:rPr>
          <w:i/>
        </w:rPr>
        <w:t>Land converted to other land</w:t>
      </w:r>
      <w:r w:rsidRPr="00D9348B">
        <w:t xml:space="preserve">; most (4,800 hectares) of this was from the </w:t>
      </w:r>
      <w:r w:rsidRPr="00D9348B">
        <w:rPr>
          <w:i/>
        </w:rPr>
        <w:t>Grassland</w:t>
      </w:r>
      <w:r w:rsidRPr="00D9348B">
        <w:t xml:space="preserve"> categories. This is likely to be mainly due to conversion of </w:t>
      </w:r>
      <w:r w:rsidRPr="00D9348B">
        <w:rPr>
          <w:i/>
        </w:rPr>
        <w:t>Grassland</w:t>
      </w:r>
      <w:r w:rsidRPr="00D9348B">
        <w:t xml:space="preserve"> to roads, mines and quarries. </w:t>
      </w:r>
    </w:p>
    <w:p w14:paraId="4E3A4596" w14:textId="77777777" w:rsidR="00A10636" w:rsidRPr="00D9348B" w:rsidRDefault="00A10636" w:rsidP="008C1F5D">
      <w:pPr>
        <w:pStyle w:val="BodyText"/>
        <w:spacing w:after="100"/>
      </w:pPr>
      <w:r w:rsidRPr="00D9348B">
        <w:t xml:space="preserve">In 2018, </w:t>
      </w:r>
      <w:r w:rsidRPr="00D9348B">
        <w:rPr>
          <w:i/>
        </w:rPr>
        <w:t xml:space="preserve">Land converted to </w:t>
      </w:r>
      <w:proofErr w:type="gramStart"/>
      <w:r w:rsidRPr="00D9348B">
        <w:rPr>
          <w:i/>
        </w:rPr>
        <w:t>Other</w:t>
      </w:r>
      <w:proofErr w:type="gramEnd"/>
      <w:r w:rsidRPr="00D9348B">
        <w:rPr>
          <w:i/>
        </w:rPr>
        <w:t xml:space="preserve"> land</w:t>
      </w:r>
      <w:r w:rsidRPr="00D9348B">
        <w:t xml:space="preserve"> was not a key category.</w:t>
      </w:r>
    </w:p>
    <w:p w14:paraId="2C8C6B54" w14:textId="41A825AB" w:rsidR="00A10636" w:rsidRPr="00D9348B" w:rsidRDefault="00A10636" w:rsidP="008C1F5D">
      <w:pPr>
        <w:pStyle w:val="Table"/>
        <w:spacing w:before="100"/>
      </w:pPr>
      <w:bookmarkStart w:id="2389" w:name="_Toc342470793"/>
      <w:bookmarkStart w:id="2390" w:name="_Toc352505033"/>
      <w:bookmarkStart w:id="2391" w:name="_Toc378853322"/>
      <w:bookmarkStart w:id="2392" w:name="_Toc391024120"/>
      <w:bookmarkStart w:id="2393" w:name="_Toc410028862"/>
      <w:bookmarkStart w:id="2394" w:name="_Toc414531490"/>
      <w:bookmarkStart w:id="2395" w:name="_Toc443645403"/>
      <w:bookmarkStart w:id="2396" w:name="_Toc474914622"/>
      <w:bookmarkStart w:id="2397" w:name="_Toc481751586"/>
      <w:bookmarkStart w:id="2398" w:name="_Toc522010643"/>
      <w:bookmarkStart w:id="2399" w:name="_Toc5269548"/>
      <w:bookmarkStart w:id="2400" w:name="_Toc33529422"/>
      <w:bookmarkStart w:id="2401" w:name="_Toc36224628"/>
      <w:r w:rsidRPr="00D9348B">
        <w:t>Table 6.9.1</w:t>
      </w:r>
      <w:r w:rsidRPr="00D9348B">
        <w:tab/>
        <w:t xml:space="preserve">New Zealand’s land-use change for the </w:t>
      </w:r>
      <w:r w:rsidR="00EA7212">
        <w:t>land-use</w:t>
      </w:r>
      <w:r w:rsidRPr="00D9348B">
        <w:t xml:space="preserve"> category </w:t>
      </w:r>
      <w:proofErr w:type="gramStart"/>
      <w:r w:rsidRPr="00D9348B">
        <w:t>Other</w:t>
      </w:r>
      <w:proofErr w:type="gramEnd"/>
      <w:r w:rsidRPr="00D9348B">
        <w:t xml:space="preserve"> land from 1990 to</w:t>
      </w:r>
      <w:bookmarkEnd w:id="2389"/>
      <w:bookmarkEnd w:id="2390"/>
      <w:bookmarkEnd w:id="2391"/>
      <w:bookmarkEnd w:id="2392"/>
      <w:r w:rsidRPr="00D9348B">
        <w:t> 201</w:t>
      </w:r>
      <w:bookmarkEnd w:id="2393"/>
      <w:bookmarkEnd w:id="2394"/>
      <w:bookmarkEnd w:id="2395"/>
      <w:bookmarkEnd w:id="2396"/>
      <w:bookmarkEnd w:id="2397"/>
      <w:bookmarkEnd w:id="2398"/>
      <w:r w:rsidRPr="00D9348B">
        <w:t>8</w:t>
      </w:r>
      <w:bookmarkEnd w:id="2399"/>
      <w:bookmarkEnd w:id="2400"/>
      <w:bookmarkEnd w:id="2401"/>
    </w:p>
    <w:tbl>
      <w:tblPr>
        <w:tblW w:w="8505" w:type="dxa"/>
        <w:tblInd w:w="108" w:type="dxa"/>
        <w:tblLayout w:type="fixed"/>
        <w:tblLook w:val="04A0" w:firstRow="1" w:lastRow="0" w:firstColumn="1" w:lastColumn="0" w:noHBand="0" w:noVBand="1"/>
      </w:tblPr>
      <w:tblGrid>
        <w:gridCol w:w="2947"/>
        <w:gridCol w:w="1055"/>
        <w:gridCol w:w="1056"/>
        <w:gridCol w:w="1206"/>
        <w:gridCol w:w="1055"/>
        <w:gridCol w:w="1186"/>
      </w:tblGrid>
      <w:tr w:rsidR="00A10636" w:rsidRPr="00D9348B" w14:paraId="6F85E9C5" w14:textId="77777777" w:rsidTr="00D664F6">
        <w:tc>
          <w:tcPr>
            <w:tcW w:w="2947" w:type="dxa"/>
            <w:vMerge w:val="restart"/>
            <w:tcBorders>
              <w:top w:val="single" w:sz="4" w:space="0" w:color="365F91"/>
            </w:tcBorders>
            <w:shd w:val="clear" w:color="auto" w:fill="365F91"/>
            <w:vAlign w:val="bottom"/>
          </w:tcPr>
          <w:p w14:paraId="21FE3535" w14:textId="339A75EA" w:rsidR="00A10636" w:rsidRPr="00D9348B" w:rsidRDefault="00EA7212" w:rsidP="00DB330E">
            <w:pPr>
              <w:pStyle w:val="TableTextBold"/>
              <w:keepNext/>
              <w:spacing w:before="40" w:after="40"/>
              <w:rPr>
                <w:noProof w:val="0"/>
                <w:color w:val="FFFFFF"/>
              </w:rPr>
            </w:pPr>
            <w:r>
              <w:rPr>
                <w:noProof w:val="0"/>
                <w:color w:val="FFFFFF"/>
              </w:rPr>
              <w:t>Land-use</w:t>
            </w:r>
            <w:r w:rsidR="00A10636" w:rsidRPr="00D9348B">
              <w:rPr>
                <w:noProof w:val="0"/>
                <w:color w:val="FFFFFF"/>
              </w:rPr>
              <w:t xml:space="preserve"> category – Other land</w:t>
            </w:r>
          </w:p>
        </w:tc>
        <w:tc>
          <w:tcPr>
            <w:tcW w:w="1055" w:type="dxa"/>
            <w:vMerge w:val="restart"/>
            <w:tcBorders>
              <w:top w:val="single" w:sz="4" w:space="0" w:color="365F91"/>
            </w:tcBorders>
            <w:shd w:val="clear" w:color="auto" w:fill="365F91"/>
            <w:vAlign w:val="bottom"/>
          </w:tcPr>
          <w:p w14:paraId="304BF4DE" w14:textId="77777777" w:rsidR="00A10636" w:rsidRPr="00D9348B" w:rsidRDefault="00A10636" w:rsidP="00DB330E">
            <w:pPr>
              <w:pStyle w:val="TableTextBold"/>
              <w:spacing w:before="40" w:after="40"/>
              <w:jc w:val="right"/>
              <w:rPr>
                <w:noProof w:val="0"/>
                <w:color w:val="FFFFFF"/>
              </w:rPr>
            </w:pPr>
            <w:r w:rsidRPr="00D9348B">
              <w:rPr>
                <w:noProof w:val="0"/>
                <w:color w:val="FFFFFF"/>
              </w:rPr>
              <w:t>Net area as at 1990 (ha)</w:t>
            </w:r>
          </w:p>
        </w:tc>
        <w:tc>
          <w:tcPr>
            <w:tcW w:w="1056" w:type="dxa"/>
            <w:vMerge w:val="restart"/>
            <w:tcBorders>
              <w:top w:val="single" w:sz="4" w:space="0" w:color="365F91"/>
            </w:tcBorders>
            <w:shd w:val="clear" w:color="auto" w:fill="365F91"/>
            <w:vAlign w:val="bottom"/>
          </w:tcPr>
          <w:p w14:paraId="6CFDAE7B" w14:textId="77777777" w:rsidR="00A10636" w:rsidRPr="00D9348B" w:rsidRDefault="00A10636" w:rsidP="00DB330E">
            <w:pPr>
              <w:pStyle w:val="TableTextBold"/>
              <w:spacing w:before="40" w:after="40"/>
              <w:jc w:val="right"/>
              <w:rPr>
                <w:noProof w:val="0"/>
                <w:color w:val="FFFFFF"/>
              </w:rPr>
            </w:pPr>
            <w:r w:rsidRPr="00D9348B">
              <w:rPr>
                <w:noProof w:val="0"/>
                <w:color w:val="FFFFFF"/>
              </w:rPr>
              <w:t>Net area as at 2018 (ha)</w:t>
            </w:r>
          </w:p>
        </w:tc>
        <w:tc>
          <w:tcPr>
            <w:tcW w:w="2261" w:type="dxa"/>
            <w:gridSpan w:val="2"/>
            <w:tcBorders>
              <w:top w:val="single" w:sz="4" w:space="0" w:color="365F91"/>
            </w:tcBorders>
            <w:shd w:val="clear" w:color="auto" w:fill="365F91"/>
            <w:vAlign w:val="bottom"/>
          </w:tcPr>
          <w:p w14:paraId="5B1B899C" w14:textId="44F4D31B" w:rsidR="00A10636" w:rsidRPr="00D9348B" w:rsidRDefault="00A10636" w:rsidP="00DB330E">
            <w:pPr>
              <w:pStyle w:val="TableTextBold"/>
              <w:spacing w:before="40" w:after="40"/>
              <w:jc w:val="center"/>
              <w:rPr>
                <w:noProof w:val="0"/>
                <w:color w:val="FFFFFF"/>
              </w:rPr>
            </w:pPr>
            <w:r w:rsidRPr="00D9348B">
              <w:rPr>
                <w:noProof w:val="0"/>
                <w:color w:val="FFFFFF"/>
              </w:rPr>
              <w:t>Net emissions (kt CO</w:t>
            </w:r>
            <w:r w:rsidRPr="00D9348B">
              <w:rPr>
                <w:noProof w:val="0"/>
                <w:color w:val="FFFFFF"/>
                <w:vertAlign w:val="subscript"/>
              </w:rPr>
              <w:t>2</w:t>
            </w:r>
            <w:r w:rsidRPr="00D9348B">
              <w:rPr>
                <w:noProof w:val="0"/>
                <w:color w:val="FFFFFF"/>
              </w:rPr>
              <w:t>-e)</w:t>
            </w:r>
          </w:p>
        </w:tc>
        <w:tc>
          <w:tcPr>
            <w:tcW w:w="1186" w:type="dxa"/>
            <w:vMerge w:val="restart"/>
            <w:tcBorders>
              <w:top w:val="single" w:sz="4" w:space="0" w:color="365F91"/>
            </w:tcBorders>
            <w:shd w:val="clear" w:color="auto" w:fill="365F91"/>
            <w:vAlign w:val="bottom"/>
          </w:tcPr>
          <w:p w14:paraId="4A7B1949" w14:textId="77777777" w:rsidR="00A10636" w:rsidRPr="00D9348B" w:rsidRDefault="00A10636" w:rsidP="00DB330E">
            <w:pPr>
              <w:pStyle w:val="TableTextBold"/>
              <w:spacing w:before="40" w:after="40"/>
              <w:jc w:val="right"/>
              <w:rPr>
                <w:noProof w:val="0"/>
                <w:color w:val="FFFFFF"/>
              </w:rPr>
            </w:pPr>
            <w:r w:rsidRPr="00D9348B">
              <w:rPr>
                <w:noProof w:val="0"/>
                <w:color w:val="FFFFFF"/>
              </w:rPr>
              <w:t>Change from 1990 (%)</w:t>
            </w:r>
          </w:p>
        </w:tc>
      </w:tr>
      <w:tr w:rsidR="00A10636" w:rsidRPr="00D9348B" w14:paraId="4A62E28A" w14:textId="77777777" w:rsidTr="00D664F6">
        <w:trPr>
          <w:trHeight w:val="285"/>
        </w:trPr>
        <w:tc>
          <w:tcPr>
            <w:tcW w:w="2947" w:type="dxa"/>
            <w:vMerge/>
            <w:tcBorders>
              <w:bottom w:val="single" w:sz="4" w:space="0" w:color="365F91"/>
            </w:tcBorders>
          </w:tcPr>
          <w:p w14:paraId="7F662C1D" w14:textId="77777777" w:rsidR="00A10636" w:rsidRPr="00D9348B" w:rsidRDefault="00A10636" w:rsidP="00DB330E">
            <w:pPr>
              <w:keepNext/>
              <w:spacing w:before="40" w:after="40"/>
              <w:rPr>
                <w:rFonts w:ascii="Arial" w:hAnsi="Arial"/>
              </w:rPr>
            </w:pPr>
          </w:p>
        </w:tc>
        <w:tc>
          <w:tcPr>
            <w:tcW w:w="1055" w:type="dxa"/>
            <w:vMerge/>
            <w:tcBorders>
              <w:bottom w:val="single" w:sz="4" w:space="0" w:color="365F91"/>
            </w:tcBorders>
          </w:tcPr>
          <w:p w14:paraId="0DB756FD" w14:textId="77777777" w:rsidR="00A10636" w:rsidRPr="00D9348B" w:rsidRDefault="00A10636" w:rsidP="00DB330E">
            <w:pPr>
              <w:spacing w:before="40" w:after="40"/>
              <w:jc w:val="center"/>
              <w:rPr>
                <w:rFonts w:ascii="Arial" w:hAnsi="Arial"/>
                <w:b/>
              </w:rPr>
            </w:pPr>
          </w:p>
        </w:tc>
        <w:tc>
          <w:tcPr>
            <w:tcW w:w="1056" w:type="dxa"/>
            <w:vMerge/>
            <w:tcBorders>
              <w:bottom w:val="single" w:sz="4" w:space="0" w:color="365F91"/>
            </w:tcBorders>
          </w:tcPr>
          <w:p w14:paraId="4D90E487" w14:textId="77777777" w:rsidR="00A10636" w:rsidRPr="00D9348B" w:rsidRDefault="00A10636" w:rsidP="00DB330E">
            <w:pPr>
              <w:spacing w:before="40" w:after="40"/>
              <w:jc w:val="center"/>
              <w:rPr>
                <w:rFonts w:ascii="Arial" w:hAnsi="Arial"/>
                <w:b/>
              </w:rPr>
            </w:pPr>
          </w:p>
        </w:tc>
        <w:tc>
          <w:tcPr>
            <w:tcW w:w="1206" w:type="dxa"/>
            <w:tcBorders>
              <w:bottom w:val="single" w:sz="4" w:space="0" w:color="365F91"/>
            </w:tcBorders>
            <w:shd w:val="clear" w:color="auto" w:fill="365F91"/>
          </w:tcPr>
          <w:p w14:paraId="4A9BE6DC" w14:textId="77777777" w:rsidR="00A10636" w:rsidRPr="00D9348B" w:rsidRDefault="00A10636" w:rsidP="00DB330E">
            <w:pPr>
              <w:pStyle w:val="TableTextBold"/>
              <w:spacing w:before="40" w:after="40"/>
              <w:jc w:val="right"/>
              <w:rPr>
                <w:noProof w:val="0"/>
                <w:color w:val="FFFFFF"/>
              </w:rPr>
            </w:pPr>
            <w:r w:rsidRPr="00D9348B">
              <w:rPr>
                <w:noProof w:val="0"/>
                <w:color w:val="FFFFFF"/>
              </w:rPr>
              <w:t>1990</w:t>
            </w:r>
          </w:p>
        </w:tc>
        <w:tc>
          <w:tcPr>
            <w:tcW w:w="1055" w:type="dxa"/>
            <w:tcBorders>
              <w:bottom w:val="single" w:sz="4" w:space="0" w:color="365F91"/>
            </w:tcBorders>
            <w:shd w:val="clear" w:color="auto" w:fill="365F91"/>
          </w:tcPr>
          <w:p w14:paraId="59F45B44" w14:textId="77777777" w:rsidR="00A10636" w:rsidRPr="00D9348B" w:rsidRDefault="00A10636" w:rsidP="00DB330E">
            <w:pPr>
              <w:pStyle w:val="TableTextBold"/>
              <w:spacing w:before="40" w:after="40"/>
              <w:jc w:val="right"/>
              <w:rPr>
                <w:noProof w:val="0"/>
                <w:color w:val="FFFFFF"/>
              </w:rPr>
            </w:pPr>
            <w:r w:rsidRPr="00D9348B">
              <w:rPr>
                <w:noProof w:val="0"/>
                <w:color w:val="FFFFFF"/>
              </w:rPr>
              <w:t>2018</w:t>
            </w:r>
          </w:p>
        </w:tc>
        <w:tc>
          <w:tcPr>
            <w:tcW w:w="1186" w:type="dxa"/>
            <w:vMerge/>
            <w:tcBorders>
              <w:bottom w:val="single" w:sz="4" w:space="0" w:color="365F91"/>
            </w:tcBorders>
            <w:shd w:val="clear" w:color="auto" w:fill="365F91"/>
          </w:tcPr>
          <w:p w14:paraId="0E5E1546" w14:textId="77777777" w:rsidR="00A10636" w:rsidRPr="00D9348B" w:rsidRDefault="00A10636" w:rsidP="00DB330E">
            <w:pPr>
              <w:spacing w:before="40" w:after="40"/>
              <w:jc w:val="center"/>
              <w:rPr>
                <w:rFonts w:ascii="Arial" w:hAnsi="Arial"/>
                <w:b/>
              </w:rPr>
            </w:pPr>
          </w:p>
        </w:tc>
      </w:tr>
      <w:tr w:rsidR="00A10636" w:rsidRPr="00D9348B" w14:paraId="2D0292C6" w14:textId="77777777" w:rsidTr="00D664F6">
        <w:tc>
          <w:tcPr>
            <w:tcW w:w="2947" w:type="dxa"/>
            <w:tcBorders>
              <w:top w:val="single" w:sz="4" w:space="0" w:color="365F91"/>
              <w:bottom w:val="single" w:sz="4" w:space="0" w:color="365F91"/>
            </w:tcBorders>
          </w:tcPr>
          <w:p w14:paraId="4E99A63E" w14:textId="77777777" w:rsidR="00A10636" w:rsidRPr="00D9348B" w:rsidRDefault="00A10636" w:rsidP="00DB330E">
            <w:pPr>
              <w:pStyle w:val="TableText"/>
            </w:pPr>
            <w:r w:rsidRPr="00D9348B">
              <w:t>Other land remaining other land</w:t>
            </w:r>
          </w:p>
        </w:tc>
        <w:tc>
          <w:tcPr>
            <w:tcW w:w="1055" w:type="dxa"/>
            <w:tcBorders>
              <w:top w:val="single" w:sz="4" w:space="0" w:color="365F91"/>
              <w:bottom w:val="single" w:sz="4" w:space="0" w:color="365F91"/>
            </w:tcBorders>
          </w:tcPr>
          <w:p w14:paraId="778B77C1" w14:textId="77777777" w:rsidR="00A10636" w:rsidRPr="00D9348B" w:rsidRDefault="00A10636" w:rsidP="00DB330E">
            <w:pPr>
              <w:pStyle w:val="TableText"/>
              <w:jc w:val="right"/>
            </w:pPr>
            <w:r w:rsidRPr="00D9348B">
              <w:t>896,081</w:t>
            </w:r>
          </w:p>
        </w:tc>
        <w:tc>
          <w:tcPr>
            <w:tcW w:w="1056" w:type="dxa"/>
            <w:tcBorders>
              <w:top w:val="single" w:sz="4" w:space="0" w:color="365F91"/>
              <w:bottom w:val="single" w:sz="4" w:space="0" w:color="365F91"/>
            </w:tcBorders>
          </w:tcPr>
          <w:p w14:paraId="3C7E2225" w14:textId="77777777" w:rsidR="00A10636" w:rsidRPr="00D9348B" w:rsidRDefault="00A10636" w:rsidP="00DB330E">
            <w:pPr>
              <w:pStyle w:val="TableText"/>
              <w:jc w:val="right"/>
            </w:pPr>
            <w:r w:rsidRPr="00D9348B">
              <w:t>889,182</w:t>
            </w:r>
          </w:p>
        </w:tc>
        <w:tc>
          <w:tcPr>
            <w:tcW w:w="1206" w:type="dxa"/>
            <w:tcBorders>
              <w:top w:val="single" w:sz="4" w:space="0" w:color="365F91"/>
              <w:bottom w:val="single" w:sz="4" w:space="0" w:color="365F91"/>
            </w:tcBorders>
          </w:tcPr>
          <w:p w14:paraId="4DF0C92C" w14:textId="77777777" w:rsidR="00A10636" w:rsidRPr="00D9348B" w:rsidRDefault="00A10636" w:rsidP="00DB330E">
            <w:pPr>
              <w:pStyle w:val="TableText"/>
              <w:jc w:val="right"/>
            </w:pPr>
            <w:r w:rsidRPr="00D9348B">
              <w:t xml:space="preserve"> 0.1 </w:t>
            </w:r>
          </w:p>
        </w:tc>
        <w:tc>
          <w:tcPr>
            <w:tcW w:w="1055" w:type="dxa"/>
            <w:tcBorders>
              <w:top w:val="single" w:sz="4" w:space="0" w:color="365F91"/>
              <w:bottom w:val="single" w:sz="4" w:space="0" w:color="365F91"/>
            </w:tcBorders>
          </w:tcPr>
          <w:p w14:paraId="29626DC2" w14:textId="77777777" w:rsidR="00A10636" w:rsidRPr="00D9348B" w:rsidRDefault="00A10636" w:rsidP="00DB330E">
            <w:pPr>
              <w:pStyle w:val="TableText"/>
              <w:jc w:val="right"/>
              <w:rPr>
                <w:rFonts w:cs="Arial"/>
                <w:szCs w:val="16"/>
              </w:rPr>
            </w:pPr>
            <w:r w:rsidRPr="00D9348B">
              <w:t xml:space="preserve"> 3.8 </w:t>
            </w:r>
          </w:p>
        </w:tc>
        <w:tc>
          <w:tcPr>
            <w:tcW w:w="1186" w:type="dxa"/>
            <w:tcBorders>
              <w:top w:val="single" w:sz="4" w:space="0" w:color="365F91"/>
              <w:bottom w:val="single" w:sz="4" w:space="0" w:color="365F91"/>
            </w:tcBorders>
            <w:vAlign w:val="center"/>
          </w:tcPr>
          <w:p w14:paraId="40197DF9" w14:textId="77777777" w:rsidR="00A10636" w:rsidRPr="00D9348B" w:rsidRDefault="00A10636" w:rsidP="00DB330E">
            <w:pPr>
              <w:pStyle w:val="TableText"/>
              <w:jc w:val="right"/>
            </w:pPr>
            <w:r w:rsidRPr="00D9348B">
              <w:rPr>
                <w:rFonts w:cs="Arial"/>
                <w:szCs w:val="16"/>
              </w:rPr>
              <w:t>+3,529.2</w:t>
            </w:r>
          </w:p>
        </w:tc>
      </w:tr>
      <w:tr w:rsidR="00A10636" w:rsidRPr="00D9348B" w14:paraId="1E794C62" w14:textId="77777777" w:rsidTr="00D664F6">
        <w:tc>
          <w:tcPr>
            <w:tcW w:w="2947" w:type="dxa"/>
            <w:tcBorders>
              <w:top w:val="single" w:sz="4" w:space="0" w:color="365F91"/>
              <w:bottom w:val="single" w:sz="4" w:space="0" w:color="365F91"/>
            </w:tcBorders>
          </w:tcPr>
          <w:p w14:paraId="56C57D2F" w14:textId="77777777" w:rsidR="00A10636" w:rsidRPr="00D9348B" w:rsidRDefault="00A10636" w:rsidP="00DB330E">
            <w:pPr>
              <w:pStyle w:val="TableText"/>
            </w:pPr>
            <w:r w:rsidRPr="00D9348B">
              <w:t>Land converted to other land</w:t>
            </w:r>
          </w:p>
        </w:tc>
        <w:tc>
          <w:tcPr>
            <w:tcW w:w="1055" w:type="dxa"/>
            <w:tcBorders>
              <w:top w:val="single" w:sz="4" w:space="0" w:color="365F91"/>
              <w:bottom w:val="single" w:sz="4" w:space="0" w:color="365F91"/>
            </w:tcBorders>
          </w:tcPr>
          <w:p w14:paraId="71606A4F" w14:textId="77777777" w:rsidR="00A10636" w:rsidRPr="00D9348B" w:rsidRDefault="00A10636" w:rsidP="00DB330E">
            <w:pPr>
              <w:pStyle w:val="TableText"/>
              <w:jc w:val="right"/>
            </w:pPr>
            <w:r w:rsidRPr="00D9348B">
              <w:t>0</w:t>
            </w:r>
          </w:p>
        </w:tc>
        <w:tc>
          <w:tcPr>
            <w:tcW w:w="1056" w:type="dxa"/>
            <w:tcBorders>
              <w:top w:val="single" w:sz="4" w:space="0" w:color="365F91"/>
              <w:bottom w:val="single" w:sz="4" w:space="0" w:color="365F91"/>
            </w:tcBorders>
          </w:tcPr>
          <w:p w14:paraId="1ADB4AAB" w14:textId="77777777" w:rsidR="00A10636" w:rsidRPr="00D9348B" w:rsidRDefault="00A10636" w:rsidP="00DB330E">
            <w:pPr>
              <w:pStyle w:val="TableText"/>
              <w:jc w:val="right"/>
            </w:pPr>
            <w:r w:rsidRPr="00D9348B">
              <w:t>6,983</w:t>
            </w:r>
          </w:p>
        </w:tc>
        <w:tc>
          <w:tcPr>
            <w:tcW w:w="1206" w:type="dxa"/>
            <w:tcBorders>
              <w:top w:val="single" w:sz="4" w:space="0" w:color="365F91"/>
              <w:bottom w:val="single" w:sz="4" w:space="0" w:color="365F91"/>
            </w:tcBorders>
          </w:tcPr>
          <w:p w14:paraId="69CC403C" w14:textId="77777777" w:rsidR="00A10636" w:rsidRPr="00D9348B" w:rsidRDefault="00A10636" w:rsidP="00DB330E">
            <w:pPr>
              <w:pStyle w:val="TableText"/>
              <w:jc w:val="right"/>
            </w:pPr>
            <w:r w:rsidRPr="00D9348B">
              <w:t xml:space="preserve">12.8 </w:t>
            </w:r>
          </w:p>
        </w:tc>
        <w:tc>
          <w:tcPr>
            <w:tcW w:w="1055" w:type="dxa"/>
            <w:tcBorders>
              <w:top w:val="single" w:sz="4" w:space="0" w:color="365F91"/>
              <w:bottom w:val="single" w:sz="4" w:space="0" w:color="365F91"/>
            </w:tcBorders>
          </w:tcPr>
          <w:p w14:paraId="5BC92DE3" w14:textId="77777777" w:rsidR="00A10636" w:rsidRPr="00D9348B" w:rsidRDefault="00A10636" w:rsidP="00DB330E">
            <w:pPr>
              <w:pStyle w:val="TableText"/>
              <w:jc w:val="right"/>
            </w:pPr>
            <w:r w:rsidRPr="00D9348B">
              <w:t xml:space="preserve">47.9 </w:t>
            </w:r>
          </w:p>
        </w:tc>
        <w:tc>
          <w:tcPr>
            <w:tcW w:w="1186" w:type="dxa"/>
            <w:tcBorders>
              <w:top w:val="single" w:sz="4" w:space="0" w:color="365F91"/>
              <w:bottom w:val="single" w:sz="4" w:space="0" w:color="365F91"/>
            </w:tcBorders>
            <w:vAlign w:val="center"/>
          </w:tcPr>
          <w:p w14:paraId="4FF2537A" w14:textId="77777777" w:rsidR="00A10636" w:rsidRPr="00D9348B" w:rsidRDefault="00A10636" w:rsidP="00DB330E">
            <w:pPr>
              <w:pStyle w:val="TableText"/>
              <w:jc w:val="right"/>
            </w:pPr>
            <w:r w:rsidRPr="00D9348B">
              <w:rPr>
                <w:rFonts w:cs="Arial"/>
                <w:szCs w:val="16"/>
              </w:rPr>
              <w:t>+273.4</w:t>
            </w:r>
          </w:p>
        </w:tc>
      </w:tr>
      <w:tr w:rsidR="00A10636" w:rsidRPr="00D9348B" w14:paraId="65289430" w14:textId="77777777" w:rsidTr="00D664F6">
        <w:trPr>
          <w:trHeight w:val="209"/>
        </w:trPr>
        <w:tc>
          <w:tcPr>
            <w:tcW w:w="2947" w:type="dxa"/>
            <w:tcBorders>
              <w:top w:val="single" w:sz="4" w:space="0" w:color="365F91"/>
              <w:bottom w:val="single" w:sz="4" w:space="0" w:color="365F91"/>
            </w:tcBorders>
          </w:tcPr>
          <w:p w14:paraId="2E741602" w14:textId="77777777" w:rsidR="00A10636" w:rsidRPr="00D9348B" w:rsidRDefault="00A10636" w:rsidP="00DB330E">
            <w:pPr>
              <w:pStyle w:val="Tableboldblue"/>
              <w:jc w:val="right"/>
            </w:pPr>
            <w:r w:rsidRPr="00D9348B">
              <w:t>Total</w:t>
            </w:r>
          </w:p>
        </w:tc>
        <w:tc>
          <w:tcPr>
            <w:tcW w:w="1055" w:type="dxa"/>
            <w:tcBorders>
              <w:top w:val="single" w:sz="4" w:space="0" w:color="365F91"/>
              <w:bottom w:val="single" w:sz="4" w:space="0" w:color="365F91"/>
            </w:tcBorders>
          </w:tcPr>
          <w:p w14:paraId="367D0C5D" w14:textId="77777777" w:rsidR="00A10636" w:rsidRPr="00D9348B" w:rsidRDefault="00A10636" w:rsidP="00DB330E">
            <w:pPr>
              <w:pStyle w:val="Tableboldblue"/>
              <w:jc w:val="right"/>
            </w:pPr>
            <w:r w:rsidRPr="00D9348B">
              <w:t>896,081</w:t>
            </w:r>
          </w:p>
        </w:tc>
        <w:tc>
          <w:tcPr>
            <w:tcW w:w="1056" w:type="dxa"/>
            <w:tcBorders>
              <w:top w:val="single" w:sz="4" w:space="0" w:color="365F91"/>
              <w:bottom w:val="single" w:sz="4" w:space="0" w:color="365F91"/>
            </w:tcBorders>
          </w:tcPr>
          <w:p w14:paraId="76502A1E" w14:textId="77777777" w:rsidR="00A10636" w:rsidRPr="00D9348B" w:rsidRDefault="00A10636" w:rsidP="00DB330E">
            <w:pPr>
              <w:pStyle w:val="Tableboldblue"/>
              <w:jc w:val="right"/>
            </w:pPr>
            <w:r w:rsidRPr="00D9348B">
              <w:t>896,164</w:t>
            </w:r>
          </w:p>
        </w:tc>
        <w:tc>
          <w:tcPr>
            <w:tcW w:w="1206" w:type="dxa"/>
            <w:tcBorders>
              <w:top w:val="single" w:sz="4" w:space="0" w:color="365F91"/>
              <w:bottom w:val="single" w:sz="4" w:space="0" w:color="365F91"/>
            </w:tcBorders>
          </w:tcPr>
          <w:p w14:paraId="7C6CB509" w14:textId="77777777" w:rsidR="00A10636" w:rsidRPr="00D9348B" w:rsidRDefault="00A10636" w:rsidP="00DB330E">
            <w:pPr>
              <w:pStyle w:val="Tableboldblue"/>
              <w:jc w:val="right"/>
            </w:pPr>
            <w:r w:rsidRPr="00D9348B">
              <w:t xml:space="preserve">12.9 </w:t>
            </w:r>
          </w:p>
        </w:tc>
        <w:tc>
          <w:tcPr>
            <w:tcW w:w="1055" w:type="dxa"/>
            <w:tcBorders>
              <w:top w:val="single" w:sz="4" w:space="0" w:color="365F91"/>
              <w:bottom w:val="single" w:sz="4" w:space="0" w:color="365F91"/>
            </w:tcBorders>
          </w:tcPr>
          <w:p w14:paraId="716A0916" w14:textId="77777777" w:rsidR="00A10636" w:rsidRPr="00D9348B" w:rsidRDefault="00A10636" w:rsidP="00DB330E">
            <w:pPr>
              <w:pStyle w:val="Tableboldblue"/>
              <w:jc w:val="right"/>
            </w:pPr>
            <w:r w:rsidRPr="00D9348B">
              <w:t xml:space="preserve">51.6 </w:t>
            </w:r>
          </w:p>
        </w:tc>
        <w:tc>
          <w:tcPr>
            <w:tcW w:w="1186" w:type="dxa"/>
            <w:tcBorders>
              <w:top w:val="single" w:sz="4" w:space="0" w:color="365F91"/>
              <w:bottom w:val="single" w:sz="4" w:space="0" w:color="365F91"/>
            </w:tcBorders>
            <w:vAlign w:val="center"/>
          </w:tcPr>
          <w:p w14:paraId="0BEB83B6" w14:textId="77777777" w:rsidR="00A10636" w:rsidRPr="00D9348B" w:rsidRDefault="00A10636" w:rsidP="00DB330E">
            <w:pPr>
              <w:pStyle w:val="Tableboldblue"/>
              <w:jc w:val="right"/>
            </w:pPr>
            <w:r w:rsidRPr="00D9348B">
              <w:t>+299.7</w:t>
            </w:r>
          </w:p>
        </w:tc>
      </w:tr>
    </w:tbl>
    <w:p w14:paraId="60C9E2AE" w14:textId="77777777" w:rsidR="00A10636" w:rsidRPr="00D9348B" w:rsidRDefault="00A10636" w:rsidP="008C1F5D">
      <w:pPr>
        <w:pStyle w:val="Noteundertable"/>
        <w:spacing w:before="80"/>
      </w:pPr>
      <w:r w:rsidRPr="00D9348B">
        <w:rPr>
          <w:b/>
        </w:rPr>
        <w:t>Note:</w:t>
      </w:r>
      <w:r w:rsidRPr="00D9348B">
        <w:tab/>
        <w:t xml:space="preserve">Net area in 1990 is as at 1 January 1990; net area in 2018 is as at 31 December. </w:t>
      </w:r>
      <w:r w:rsidRPr="00D9348B">
        <w:rPr>
          <w:i/>
        </w:rPr>
        <w:t>Land converted to other land</w:t>
      </w:r>
      <w:r w:rsidRPr="00D9348B">
        <w:t xml:space="preserve"> includes land converted up to 28 years prior. Net emission values are for the whole year indicated. Net emissions for </w:t>
      </w:r>
      <w:proofErr w:type="gramStart"/>
      <w:r w:rsidRPr="00D9348B">
        <w:rPr>
          <w:i/>
        </w:rPr>
        <w:t>Other</w:t>
      </w:r>
      <w:proofErr w:type="gramEnd"/>
      <w:r w:rsidRPr="00D9348B">
        <w:rPr>
          <w:i/>
        </w:rPr>
        <w:t xml:space="preserve"> land remaining other land</w:t>
      </w:r>
      <w:r w:rsidRPr="00D9348B">
        <w:t xml:space="preserve"> are not applicable (NA) because changes in carbon stocks and non-CO</w:t>
      </w:r>
      <w:r w:rsidRPr="00D9348B">
        <w:rPr>
          <w:vertAlign w:val="subscript"/>
        </w:rPr>
        <w:t>2</w:t>
      </w:r>
      <w:r w:rsidRPr="00D9348B">
        <w:t xml:space="preserve"> emissions are not estimated (NE) for this category; see section 6.9.2 for details. Columns may not total due to rounding.</w:t>
      </w:r>
    </w:p>
    <w:p w14:paraId="3C0A26F8" w14:textId="77777777" w:rsidR="00A10636" w:rsidRPr="00D9348B" w:rsidRDefault="00A10636" w:rsidP="00A10636">
      <w:pPr>
        <w:pStyle w:val="Heading3"/>
      </w:pPr>
      <w:r w:rsidRPr="00D9348B">
        <w:t>6.9.2</w:t>
      </w:r>
      <w:r w:rsidRPr="00D9348B">
        <w:tab/>
        <w:t>Methodological issues</w:t>
      </w:r>
    </w:p>
    <w:p w14:paraId="6C85D84D" w14:textId="77777777" w:rsidR="00A10636" w:rsidRPr="00D9348B" w:rsidRDefault="00A10636" w:rsidP="00865BDB">
      <w:pPr>
        <w:pStyle w:val="Heading4"/>
      </w:pPr>
      <w:r w:rsidRPr="00D9348B">
        <w:t>Other land remaining other land (CRF 4.F.1)</w:t>
      </w:r>
    </w:p>
    <w:p w14:paraId="65C7E480" w14:textId="60E61721" w:rsidR="00A10636" w:rsidRPr="00D9348B" w:rsidRDefault="00A10636" w:rsidP="00A10636">
      <w:pPr>
        <w:pStyle w:val="BodyText"/>
      </w:pPr>
      <w:r w:rsidRPr="00D9348B">
        <w:t xml:space="preserve">The area of </w:t>
      </w:r>
      <w:proofErr w:type="gramStart"/>
      <w:r w:rsidRPr="00D9348B">
        <w:rPr>
          <w:i/>
        </w:rPr>
        <w:t>Other</w:t>
      </w:r>
      <w:proofErr w:type="gramEnd"/>
      <w:r w:rsidRPr="00D9348B">
        <w:rPr>
          <w:i/>
        </w:rPr>
        <w:t xml:space="preserve"> land</w:t>
      </w:r>
      <w:r w:rsidRPr="00D9348B">
        <w:t xml:space="preserve"> has been estimated based on national </w:t>
      </w:r>
      <w:r w:rsidR="00EA7212">
        <w:t>land-use</w:t>
      </w:r>
      <w:r w:rsidRPr="00D9348B">
        <w:t xml:space="preserve"> maps as described in section 6.2.</w:t>
      </w:r>
    </w:p>
    <w:p w14:paraId="4095FD4F" w14:textId="77777777" w:rsidR="00A10636" w:rsidRPr="00D9348B" w:rsidRDefault="00A10636" w:rsidP="00A10636">
      <w:pPr>
        <w:pStyle w:val="BodyText"/>
      </w:pPr>
      <w:r w:rsidRPr="00D9348B">
        <w:t xml:space="preserve">A summary of the New Zealand emission factors and other parameters used to estimate greenhouse gas emissions for </w:t>
      </w:r>
      <w:proofErr w:type="gramStart"/>
      <w:r w:rsidRPr="00D9348B">
        <w:rPr>
          <w:i/>
        </w:rPr>
        <w:t>Other</w:t>
      </w:r>
      <w:proofErr w:type="gramEnd"/>
      <w:r w:rsidRPr="00D9348B">
        <w:rPr>
          <w:i/>
        </w:rPr>
        <w:t xml:space="preserve"> land</w:t>
      </w:r>
      <w:r w:rsidRPr="00D9348B">
        <w:t xml:space="preserve"> is provided in table 6.9.2. </w:t>
      </w:r>
    </w:p>
    <w:p w14:paraId="55238E5F" w14:textId="7534835F" w:rsidR="00A10636" w:rsidRPr="00D9348B" w:rsidRDefault="00A10636" w:rsidP="00A10636">
      <w:pPr>
        <w:pStyle w:val="Table"/>
      </w:pPr>
      <w:bookmarkStart w:id="2402" w:name="_Toc342470794"/>
      <w:bookmarkStart w:id="2403" w:name="_Toc352505034"/>
      <w:bookmarkStart w:id="2404" w:name="_Toc378853323"/>
      <w:bookmarkStart w:id="2405" w:name="_Toc391024121"/>
      <w:bookmarkStart w:id="2406" w:name="_Toc410028863"/>
      <w:bookmarkStart w:id="2407" w:name="_Toc414531491"/>
      <w:bookmarkStart w:id="2408" w:name="_Toc443645404"/>
      <w:bookmarkStart w:id="2409" w:name="_Toc474914623"/>
      <w:bookmarkStart w:id="2410" w:name="_Toc481751587"/>
      <w:bookmarkStart w:id="2411" w:name="_Toc522010644"/>
      <w:bookmarkStart w:id="2412" w:name="_Toc5269549"/>
      <w:bookmarkStart w:id="2413" w:name="_Toc33529423"/>
      <w:bookmarkStart w:id="2414" w:name="_Toc36224629"/>
      <w:r w:rsidRPr="00D9348B">
        <w:lastRenderedPageBreak/>
        <w:t>Table 6.9.2</w:t>
      </w:r>
      <w:r w:rsidRPr="00D9348B">
        <w:tab/>
        <w:t xml:space="preserve">Summary of New Zealand emission factors for the </w:t>
      </w:r>
      <w:r w:rsidR="00EA7212">
        <w:t>land-use</w:t>
      </w:r>
      <w:r w:rsidRPr="00D9348B">
        <w:t xml:space="preserve"> category</w:t>
      </w:r>
      <w:bookmarkEnd w:id="2402"/>
      <w:bookmarkEnd w:id="2403"/>
      <w:bookmarkEnd w:id="2404"/>
      <w:r w:rsidRPr="00D9348B">
        <w:t xml:space="preserve"> </w:t>
      </w:r>
      <w:proofErr w:type="gramStart"/>
      <w:r w:rsidRPr="00D9348B">
        <w:t>Other</w:t>
      </w:r>
      <w:proofErr w:type="gramEnd"/>
      <w:r w:rsidRPr="00D9348B">
        <w:t xml:space="preserve"> land</w:t>
      </w:r>
      <w:bookmarkEnd w:id="2405"/>
      <w:bookmarkEnd w:id="2406"/>
      <w:bookmarkEnd w:id="2407"/>
      <w:bookmarkEnd w:id="2408"/>
      <w:bookmarkEnd w:id="2409"/>
      <w:bookmarkEnd w:id="2410"/>
      <w:bookmarkEnd w:id="2411"/>
      <w:bookmarkEnd w:id="2412"/>
      <w:bookmarkEnd w:id="2413"/>
      <w:bookmarkEnd w:id="2414"/>
    </w:p>
    <w:tbl>
      <w:tblPr>
        <w:tblW w:w="8505" w:type="dxa"/>
        <w:tblInd w:w="108" w:type="dxa"/>
        <w:tblLook w:val="04A0" w:firstRow="1" w:lastRow="0" w:firstColumn="1" w:lastColumn="0" w:noHBand="0" w:noVBand="1"/>
      </w:tblPr>
      <w:tblGrid>
        <w:gridCol w:w="1418"/>
        <w:gridCol w:w="1134"/>
        <w:gridCol w:w="1134"/>
        <w:gridCol w:w="2551"/>
        <w:gridCol w:w="2268"/>
      </w:tblGrid>
      <w:tr w:rsidR="00A10636" w:rsidRPr="00D9348B" w14:paraId="02AB4FC9" w14:textId="77777777" w:rsidTr="008C1F5D">
        <w:tc>
          <w:tcPr>
            <w:tcW w:w="1418" w:type="dxa"/>
            <w:tcBorders>
              <w:top w:val="single" w:sz="4" w:space="0" w:color="365F91"/>
              <w:bottom w:val="single" w:sz="4" w:space="0" w:color="365F91"/>
            </w:tcBorders>
            <w:shd w:val="clear" w:color="auto" w:fill="365F91"/>
          </w:tcPr>
          <w:p w14:paraId="5019C813" w14:textId="77777777" w:rsidR="00A10636" w:rsidRPr="00D9348B" w:rsidRDefault="00A10636" w:rsidP="00DB330E">
            <w:pPr>
              <w:pStyle w:val="TableTextBold"/>
              <w:keepNext/>
              <w:rPr>
                <w:noProof w:val="0"/>
                <w:color w:val="FFFFFF"/>
              </w:rPr>
            </w:pPr>
            <w:r w:rsidRPr="00D9348B">
              <w:rPr>
                <w:noProof w:val="0"/>
                <w:color w:val="FFFFFF"/>
              </w:rPr>
              <w:t xml:space="preserve">Other land </w:t>
            </w:r>
            <w:r w:rsidRPr="00D9348B">
              <w:rPr>
                <w:noProof w:val="0"/>
                <w:color w:val="FFFFFF"/>
              </w:rPr>
              <w:br/>
              <w:t>greenhouse gas source category</w:t>
            </w:r>
          </w:p>
        </w:tc>
        <w:tc>
          <w:tcPr>
            <w:tcW w:w="1134" w:type="dxa"/>
            <w:tcBorders>
              <w:top w:val="single" w:sz="4" w:space="0" w:color="365F91"/>
              <w:bottom w:val="single" w:sz="4" w:space="0" w:color="365F91"/>
            </w:tcBorders>
            <w:shd w:val="clear" w:color="auto" w:fill="365F91"/>
            <w:vAlign w:val="bottom"/>
          </w:tcPr>
          <w:p w14:paraId="081D5A85" w14:textId="77777777" w:rsidR="00A10636" w:rsidRPr="00D9348B" w:rsidRDefault="00A10636" w:rsidP="00DB330E">
            <w:pPr>
              <w:pStyle w:val="TableTextBold"/>
              <w:keepNext/>
              <w:rPr>
                <w:noProof w:val="0"/>
                <w:color w:val="FFFFFF"/>
              </w:rPr>
            </w:pPr>
            <w:r w:rsidRPr="00D9348B">
              <w:rPr>
                <w:noProof w:val="0"/>
                <w:color w:val="FFFFFF"/>
              </w:rPr>
              <w:t xml:space="preserve">Steady state carbon stock </w:t>
            </w:r>
            <w:r w:rsidRPr="00D9348B">
              <w:rPr>
                <w:noProof w:val="0"/>
                <w:color w:val="FFFFFF"/>
              </w:rPr>
              <w:br/>
              <w:t>(t C ha</w:t>
            </w:r>
            <w:r w:rsidRPr="00D9348B">
              <w:rPr>
                <w:noProof w:val="0"/>
                <w:color w:val="FFFFFF"/>
                <w:vertAlign w:val="superscript"/>
              </w:rPr>
              <w:t>–1</w:t>
            </w:r>
            <w:r w:rsidRPr="00D9348B">
              <w:rPr>
                <w:noProof w:val="0"/>
                <w:color w:val="FFFFFF"/>
              </w:rPr>
              <w:t>)</w:t>
            </w:r>
          </w:p>
        </w:tc>
        <w:tc>
          <w:tcPr>
            <w:tcW w:w="1134" w:type="dxa"/>
            <w:tcBorders>
              <w:top w:val="single" w:sz="4" w:space="0" w:color="365F91"/>
              <w:bottom w:val="single" w:sz="4" w:space="0" w:color="365F91"/>
            </w:tcBorders>
            <w:shd w:val="clear" w:color="auto" w:fill="365F91"/>
            <w:vAlign w:val="bottom"/>
          </w:tcPr>
          <w:p w14:paraId="69265D15" w14:textId="77777777" w:rsidR="00A10636" w:rsidRPr="00D9348B" w:rsidRDefault="00A10636" w:rsidP="00DB330E">
            <w:pPr>
              <w:pStyle w:val="TableTextBold"/>
              <w:keepNext/>
              <w:rPr>
                <w:noProof w:val="0"/>
                <w:color w:val="FFFFFF"/>
              </w:rPr>
            </w:pPr>
            <w:r w:rsidRPr="00D9348B">
              <w:rPr>
                <w:noProof w:val="0"/>
                <w:color w:val="FFFFFF"/>
              </w:rPr>
              <w:t>Years to reach steady state</w:t>
            </w:r>
          </w:p>
        </w:tc>
        <w:tc>
          <w:tcPr>
            <w:tcW w:w="2551" w:type="dxa"/>
            <w:tcBorders>
              <w:top w:val="single" w:sz="4" w:space="0" w:color="365F91"/>
              <w:bottom w:val="single" w:sz="4" w:space="0" w:color="365F91"/>
            </w:tcBorders>
            <w:shd w:val="clear" w:color="auto" w:fill="365F91"/>
            <w:vAlign w:val="bottom"/>
          </w:tcPr>
          <w:p w14:paraId="7FCDD461" w14:textId="77777777" w:rsidR="00A10636" w:rsidRPr="00D9348B" w:rsidRDefault="00A10636" w:rsidP="00DB330E">
            <w:pPr>
              <w:pStyle w:val="TableTextBold"/>
              <w:keepNext/>
              <w:rPr>
                <w:noProof w:val="0"/>
                <w:color w:val="FFFFFF"/>
              </w:rPr>
            </w:pPr>
            <w:r w:rsidRPr="00D9348B">
              <w:rPr>
                <w:noProof w:val="0"/>
                <w:color w:val="FFFFFF"/>
              </w:rPr>
              <w:t xml:space="preserve">Carbon stock change on conversion to Other land </w:t>
            </w:r>
            <w:r w:rsidRPr="00D9348B">
              <w:rPr>
                <w:noProof w:val="0"/>
                <w:color w:val="FFFFFF"/>
              </w:rPr>
              <w:br/>
              <w:t>(t C ha</w:t>
            </w:r>
            <w:r w:rsidRPr="00D9348B">
              <w:rPr>
                <w:noProof w:val="0"/>
                <w:color w:val="FFFFFF"/>
                <w:vertAlign w:val="superscript"/>
              </w:rPr>
              <w:t>–1</w:t>
            </w:r>
            <w:r w:rsidRPr="00D9348B">
              <w:rPr>
                <w:noProof w:val="0"/>
                <w:color w:val="FFFFFF"/>
              </w:rPr>
              <w:t>)</w:t>
            </w:r>
          </w:p>
        </w:tc>
        <w:tc>
          <w:tcPr>
            <w:tcW w:w="2268" w:type="dxa"/>
            <w:tcBorders>
              <w:top w:val="single" w:sz="4" w:space="0" w:color="365F91"/>
              <w:bottom w:val="single" w:sz="4" w:space="0" w:color="365F91"/>
            </w:tcBorders>
            <w:shd w:val="clear" w:color="auto" w:fill="365F91"/>
            <w:vAlign w:val="bottom"/>
          </w:tcPr>
          <w:p w14:paraId="165980B5" w14:textId="77777777" w:rsidR="00A10636" w:rsidRPr="00D9348B" w:rsidRDefault="00A10636" w:rsidP="00DB330E">
            <w:pPr>
              <w:pStyle w:val="TableTextBold"/>
              <w:keepNext/>
              <w:rPr>
                <w:noProof w:val="0"/>
                <w:color w:val="FFFFFF"/>
              </w:rPr>
            </w:pPr>
            <w:r w:rsidRPr="00D9348B">
              <w:rPr>
                <w:noProof w:val="0"/>
                <w:color w:val="FFFFFF"/>
              </w:rPr>
              <w:t>Reference</w:t>
            </w:r>
          </w:p>
        </w:tc>
      </w:tr>
      <w:tr w:rsidR="00A10636" w:rsidRPr="00D9348B" w14:paraId="55A79504" w14:textId="77777777" w:rsidTr="008C1F5D">
        <w:tc>
          <w:tcPr>
            <w:tcW w:w="1418" w:type="dxa"/>
            <w:tcBorders>
              <w:top w:val="single" w:sz="4" w:space="0" w:color="365F91"/>
              <w:bottom w:val="single" w:sz="4" w:space="0" w:color="365F91"/>
            </w:tcBorders>
          </w:tcPr>
          <w:p w14:paraId="0120960F" w14:textId="77777777" w:rsidR="00A10636" w:rsidRPr="00D9348B" w:rsidRDefault="00A10636" w:rsidP="003557B6">
            <w:pPr>
              <w:pStyle w:val="TableText"/>
              <w:spacing w:before="50" w:after="50"/>
            </w:pPr>
            <w:r w:rsidRPr="00D9348B">
              <w:t>Biomass</w:t>
            </w:r>
          </w:p>
        </w:tc>
        <w:tc>
          <w:tcPr>
            <w:tcW w:w="1134" w:type="dxa"/>
            <w:tcBorders>
              <w:top w:val="single" w:sz="4" w:space="0" w:color="365F91"/>
              <w:bottom w:val="single" w:sz="4" w:space="0" w:color="365F91"/>
            </w:tcBorders>
          </w:tcPr>
          <w:p w14:paraId="5A296E3B" w14:textId="77777777" w:rsidR="00A10636" w:rsidRPr="00D9348B" w:rsidRDefault="00A10636" w:rsidP="003557B6">
            <w:pPr>
              <w:pStyle w:val="TableText"/>
              <w:spacing w:before="50" w:after="50"/>
            </w:pPr>
            <w:r w:rsidRPr="00D9348B">
              <w:t>NE</w:t>
            </w:r>
          </w:p>
        </w:tc>
        <w:tc>
          <w:tcPr>
            <w:tcW w:w="1134" w:type="dxa"/>
            <w:tcBorders>
              <w:top w:val="single" w:sz="4" w:space="0" w:color="365F91"/>
              <w:bottom w:val="single" w:sz="4" w:space="0" w:color="365F91"/>
            </w:tcBorders>
          </w:tcPr>
          <w:p w14:paraId="0276A16D" w14:textId="77777777" w:rsidR="00A10636" w:rsidRPr="00D9348B" w:rsidRDefault="00A10636" w:rsidP="003557B6">
            <w:pPr>
              <w:pStyle w:val="TableText"/>
              <w:spacing w:before="50" w:after="50"/>
            </w:pPr>
            <w:r w:rsidRPr="00D9348B">
              <w:t>NA</w:t>
            </w:r>
          </w:p>
        </w:tc>
        <w:tc>
          <w:tcPr>
            <w:tcW w:w="2551" w:type="dxa"/>
            <w:tcBorders>
              <w:top w:val="single" w:sz="4" w:space="0" w:color="365F91"/>
              <w:bottom w:val="single" w:sz="4" w:space="0" w:color="365F91"/>
            </w:tcBorders>
          </w:tcPr>
          <w:p w14:paraId="1C1B8AB9" w14:textId="522EABFC" w:rsidR="00A10636" w:rsidRPr="00D9348B" w:rsidRDefault="00A10636" w:rsidP="003557B6">
            <w:pPr>
              <w:pStyle w:val="TableText"/>
              <w:spacing w:before="50" w:after="50"/>
            </w:pPr>
            <w:r w:rsidRPr="00D9348B">
              <w:t xml:space="preserve">Instantaneous loss of previous </w:t>
            </w:r>
            <w:r w:rsidR="00EA7212">
              <w:t>land-use</w:t>
            </w:r>
            <w:r w:rsidRPr="00D9348B">
              <w:t xml:space="preserve"> carbon stock</w:t>
            </w:r>
          </w:p>
        </w:tc>
        <w:tc>
          <w:tcPr>
            <w:tcW w:w="2268" w:type="dxa"/>
            <w:tcBorders>
              <w:top w:val="single" w:sz="4" w:space="0" w:color="365F91"/>
              <w:bottom w:val="single" w:sz="4" w:space="0" w:color="365F91"/>
            </w:tcBorders>
          </w:tcPr>
          <w:p w14:paraId="67A5908E" w14:textId="77777777" w:rsidR="00A10636" w:rsidRPr="00D9348B" w:rsidRDefault="00A10636" w:rsidP="003557B6">
            <w:pPr>
              <w:pStyle w:val="TableText"/>
              <w:spacing w:before="50" w:after="50"/>
            </w:pPr>
            <w:r w:rsidRPr="00D9348B">
              <w:t>IPCC Tier 1 default assumption (section 9.3.1, IPCC, 2006a)</w:t>
            </w:r>
          </w:p>
        </w:tc>
      </w:tr>
      <w:tr w:rsidR="00A10636" w:rsidRPr="00D9348B" w14:paraId="3E773542" w14:textId="77777777" w:rsidTr="008C1F5D">
        <w:tc>
          <w:tcPr>
            <w:tcW w:w="1418" w:type="dxa"/>
            <w:tcBorders>
              <w:top w:val="single" w:sz="4" w:space="0" w:color="365F91"/>
              <w:bottom w:val="single" w:sz="4" w:space="0" w:color="365F91"/>
            </w:tcBorders>
          </w:tcPr>
          <w:p w14:paraId="190C96D8" w14:textId="77777777" w:rsidR="00A10636" w:rsidRPr="00D9348B" w:rsidRDefault="00A10636" w:rsidP="003557B6">
            <w:pPr>
              <w:pStyle w:val="TableText"/>
              <w:spacing w:before="50" w:after="50"/>
            </w:pPr>
            <w:r w:rsidRPr="00D9348B">
              <w:t>Soils (mineral)</w:t>
            </w:r>
          </w:p>
        </w:tc>
        <w:tc>
          <w:tcPr>
            <w:tcW w:w="1134" w:type="dxa"/>
            <w:tcBorders>
              <w:top w:val="single" w:sz="4" w:space="0" w:color="365F91"/>
              <w:bottom w:val="single" w:sz="4" w:space="0" w:color="365F91"/>
            </w:tcBorders>
          </w:tcPr>
          <w:p w14:paraId="13038E86" w14:textId="77777777" w:rsidR="00A10636" w:rsidRPr="00D9348B" w:rsidRDefault="00A10636" w:rsidP="003557B6">
            <w:pPr>
              <w:pStyle w:val="TableText"/>
              <w:spacing w:before="50" w:after="50"/>
            </w:pPr>
            <w:r w:rsidRPr="00D9348B">
              <w:t>58.37</w:t>
            </w:r>
          </w:p>
        </w:tc>
        <w:tc>
          <w:tcPr>
            <w:tcW w:w="1134" w:type="dxa"/>
            <w:tcBorders>
              <w:top w:val="single" w:sz="4" w:space="0" w:color="365F91"/>
              <w:bottom w:val="single" w:sz="4" w:space="0" w:color="365F91"/>
            </w:tcBorders>
          </w:tcPr>
          <w:p w14:paraId="0A7F6B0C" w14:textId="77777777" w:rsidR="00A10636" w:rsidRPr="00D9348B" w:rsidRDefault="00A10636" w:rsidP="003557B6">
            <w:pPr>
              <w:pStyle w:val="TableText"/>
              <w:spacing w:before="50" w:after="50"/>
            </w:pPr>
            <w:r w:rsidRPr="00D9348B">
              <w:t>20</w:t>
            </w:r>
          </w:p>
        </w:tc>
        <w:tc>
          <w:tcPr>
            <w:tcW w:w="2551" w:type="dxa"/>
            <w:tcBorders>
              <w:top w:val="single" w:sz="4" w:space="0" w:color="365F91"/>
              <w:bottom w:val="single" w:sz="4" w:space="0" w:color="365F91"/>
            </w:tcBorders>
          </w:tcPr>
          <w:p w14:paraId="553A5FF5" w14:textId="77777777" w:rsidR="00A10636" w:rsidRPr="00D9348B" w:rsidRDefault="00A10636" w:rsidP="003557B6">
            <w:pPr>
              <w:pStyle w:val="TableText"/>
              <w:spacing w:before="50" w:after="50"/>
            </w:pPr>
            <w:r w:rsidRPr="00D9348B">
              <w:t>Linear change over the conversion period between new and previous stock values</w:t>
            </w:r>
          </w:p>
        </w:tc>
        <w:tc>
          <w:tcPr>
            <w:tcW w:w="2268" w:type="dxa"/>
            <w:tcBorders>
              <w:top w:val="single" w:sz="4" w:space="0" w:color="365F91"/>
              <w:bottom w:val="single" w:sz="4" w:space="0" w:color="365F91"/>
            </w:tcBorders>
          </w:tcPr>
          <w:p w14:paraId="3B80277A" w14:textId="77777777" w:rsidR="00A10636" w:rsidRPr="00D9348B" w:rsidRDefault="00A10636" w:rsidP="003557B6">
            <w:pPr>
              <w:pStyle w:val="TableText"/>
              <w:spacing w:before="50" w:after="50"/>
            </w:pPr>
            <w:r w:rsidRPr="00D9348B">
              <w:t>Section 6.3 of this submission</w:t>
            </w:r>
          </w:p>
        </w:tc>
      </w:tr>
      <w:tr w:rsidR="00A10636" w:rsidRPr="00D9348B" w14:paraId="1E351076" w14:textId="77777777" w:rsidTr="008C1F5D">
        <w:tc>
          <w:tcPr>
            <w:tcW w:w="1418" w:type="dxa"/>
            <w:tcBorders>
              <w:top w:val="single" w:sz="4" w:space="0" w:color="365F91"/>
              <w:bottom w:val="single" w:sz="4" w:space="0" w:color="365F91"/>
            </w:tcBorders>
          </w:tcPr>
          <w:p w14:paraId="7E42F8D1" w14:textId="77777777" w:rsidR="00A10636" w:rsidRPr="00D9348B" w:rsidRDefault="00A10636" w:rsidP="003557B6">
            <w:pPr>
              <w:pStyle w:val="TableText"/>
              <w:spacing w:before="50" w:after="50"/>
            </w:pPr>
            <w:r w:rsidRPr="00D9348B">
              <w:t>Biomass burning</w:t>
            </w:r>
          </w:p>
        </w:tc>
        <w:tc>
          <w:tcPr>
            <w:tcW w:w="1134" w:type="dxa"/>
            <w:tcBorders>
              <w:top w:val="single" w:sz="4" w:space="0" w:color="365F91"/>
              <w:bottom w:val="single" w:sz="4" w:space="0" w:color="365F91"/>
            </w:tcBorders>
          </w:tcPr>
          <w:p w14:paraId="6A5073F1" w14:textId="77777777" w:rsidR="00A10636" w:rsidRPr="00D9348B" w:rsidRDefault="00A10636" w:rsidP="003557B6">
            <w:pPr>
              <w:pStyle w:val="TableText"/>
              <w:spacing w:before="50" w:after="50"/>
            </w:pPr>
            <w:r w:rsidRPr="00D9348B">
              <w:t>NE</w:t>
            </w:r>
          </w:p>
        </w:tc>
        <w:tc>
          <w:tcPr>
            <w:tcW w:w="1134" w:type="dxa"/>
            <w:tcBorders>
              <w:top w:val="single" w:sz="4" w:space="0" w:color="365F91"/>
              <w:bottom w:val="single" w:sz="4" w:space="0" w:color="365F91"/>
            </w:tcBorders>
          </w:tcPr>
          <w:p w14:paraId="2B7CD4DF" w14:textId="77777777" w:rsidR="00A10636" w:rsidRPr="00D9348B" w:rsidRDefault="00A10636" w:rsidP="003557B6">
            <w:pPr>
              <w:pStyle w:val="TableText"/>
              <w:spacing w:before="50" w:after="50"/>
            </w:pPr>
            <w:r w:rsidRPr="00D9348B">
              <w:t>NA</w:t>
            </w:r>
          </w:p>
        </w:tc>
        <w:tc>
          <w:tcPr>
            <w:tcW w:w="2551" w:type="dxa"/>
            <w:tcBorders>
              <w:top w:val="single" w:sz="4" w:space="0" w:color="365F91"/>
              <w:bottom w:val="single" w:sz="4" w:space="0" w:color="365F91"/>
            </w:tcBorders>
          </w:tcPr>
          <w:p w14:paraId="6EFF2D33" w14:textId="77777777" w:rsidR="00A10636" w:rsidRPr="00D9348B" w:rsidRDefault="00A10636" w:rsidP="003557B6">
            <w:pPr>
              <w:pStyle w:val="TableText"/>
              <w:spacing w:before="50" w:after="50"/>
            </w:pPr>
            <w:r w:rsidRPr="00D9348B">
              <w:t>NE</w:t>
            </w:r>
          </w:p>
        </w:tc>
        <w:tc>
          <w:tcPr>
            <w:tcW w:w="2268" w:type="dxa"/>
            <w:tcBorders>
              <w:top w:val="single" w:sz="4" w:space="0" w:color="365F91"/>
              <w:bottom w:val="single" w:sz="4" w:space="0" w:color="365F91"/>
            </w:tcBorders>
          </w:tcPr>
          <w:p w14:paraId="4E75F496" w14:textId="77777777" w:rsidR="00A10636" w:rsidRPr="00D9348B" w:rsidRDefault="00A10636" w:rsidP="003557B6">
            <w:pPr>
              <w:pStyle w:val="TableText"/>
              <w:spacing w:before="50" w:after="50"/>
            </w:pPr>
          </w:p>
        </w:tc>
      </w:tr>
    </w:tbl>
    <w:p w14:paraId="74C53CE8" w14:textId="77777777" w:rsidR="00A10636" w:rsidRPr="00D9348B" w:rsidRDefault="00A10636" w:rsidP="00A10636">
      <w:pPr>
        <w:pStyle w:val="Noteundertable"/>
      </w:pPr>
      <w:r w:rsidRPr="00D9348B">
        <w:rPr>
          <w:b/>
        </w:rPr>
        <w:t>Note</w:t>
      </w:r>
      <w:r w:rsidRPr="00D9348B">
        <w:t xml:space="preserve">: </w:t>
      </w:r>
      <w:r w:rsidRPr="00D9348B">
        <w:tab/>
        <w:t>NA = not applicable; NE = not estimated.</w:t>
      </w:r>
    </w:p>
    <w:p w14:paraId="4DBE7968" w14:textId="77777777" w:rsidR="00A10636" w:rsidRPr="00D9348B" w:rsidRDefault="00A10636" w:rsidP="00A10636">
      <w:pPr>
        <w:pStyle w:val="Heading5"/>
      </w:pPr>
      <w:r w:rsidRPr="00D9348B">
        <w:t xml:space="preserve">Living biomass and dead organic matter </w:t>
      </w:r>
    </w:p>
    <w:p w14:paraId="1F445EA1" w14:textId="77777777" w:rsidR="00A10636" w:rsidRPr="00D9348B" w:rsidRDefault="00A10636" w:rsidP="003557B6">
      <w:pPr>
        <w:pStyle w:val="BodyText"/>
        <w:spacing w:before="100" w:after="100"/>
      </w:pPr>
      <w:r w:rsidRPr="00D9348B">
        <w:t xml:space="preserve">All of New Zealand’s land area in the </w:t>
      </w:r>
      <w:proofErr w:type="gramStart"/>
      <w:r w:rsidRPr="00D9348B">
        <w:rPr>
          <w:i/>
        </w:rPr>
        <w:t>Other</w:t>
      </w:r>
      <w:proofErr w:type="gramEnd"/>
      <w:r w:rsidRPr="00D9348B">
        <w:rPr>
          <w:i/>
        </w:rPr>
        <w:t xml:space="preserve"> land</w:t>
      </w:r>
      <w:r w:rsidRPr="00D9348B">
        <w:t xml:space="preserve"> category is classified as ‘managed’. New Zealand considers all land to be managed, because all land is under some form of management plan, regardless of the intensity and/or type of land-management practices. Reporting for the category </w:t>
      </w:r>
      <w:proofErr w:type="gramStart"/>
      <w:r w:rsidRPr="00D9348B">
        <w:rPr>
          <w:i/>
        </w:rPr>
        <w:t>Other</w:t>
      </w:r>
      <w:proofErr w:type="gramEnd"/>
      <w:r w:rsidRPr="00D9348B">
        <w:rPr>
          <w:i/>
        </w:rPr>
        <w:t xml:space="preserve"> land remaining other land</w:t>
      </w:r>
      <w:r w:rsidRPr="00D9348B">
        <w:t xml:space="preserve"> is not mandatory. New Zealand applies the Tier 1 approach to this category, which assumes carbon accumulation and loss for the biomass pool is zero in all years subsequent to the year of conversion (section 9.3.1, IPCC, 2006a). </w:t>
      </w:r>
    </w:p>
    <w:p w14:paraId="1CEF03C8" w14:textId="77777777" w:rsidR="00A10636" w:rsidRPr="00D9348B" w:rsidRDefault="00A10636" w:rsidP="003557B6">
      <w:pPr>
        <w:pStyle w:val="Heading5"/>
        <w:spacing w:before="160"/>
      </w:pPr>
      <w:r w:rsidRPr="00D9348B">
        <w:t xml:space="preserve">Soil carbon </w:t>
      </w:r>
    </w:p>
    <w:p w14:paraId="1870D977" w14:textId="77777777" w:rsidR="00A10636" w:rsidRPr="00D9348B" w:rsidRDefault="00A10636" w:rsidP="003557B6">
      <w:pPr>
        <w:pStyle w:val="BodyText"/>
        <w:spacing w:before="100" w:after="100"/>
      </w:pPr>
      <w:r w:rsidRPr="00D9348B">
        <w:t xml:space="preserve">SOC stocks in </w:t>
      </w:r>
      <w:proofErr w:type="gramStart"/>
      <w:r w:rsidRPr="00D9348B">
        <w:rPr>
          <w:i/>
        </w:rPr>
        <w:t>Other</w:t>
      </w:r>
      <w:proofErr w:type="gramEnd"/>
      <w:r w:rsidRPr="00D9348B">
        <w:rPr>
          <w:i/>
        </w:rPr>
        <w:t xml:space="preserve"> land remaining other land</w:t>
      </w:r>
      <w:r w:rsidRPr="00D9348B">
        <w:t xml:space="preserve"> are estimated using a Tier 2 method for mineral soils (see section 6.3). The steady state mineral SOC stock in </w:t>
      </w:r>
      <w:proofErr w:type="gramStart"/>
      <w:r w:rsidRPr="00D9348B">
        <w:rPr>
          <w:i/>
        </w:rPr>
        <w:t>Other</w:t>
      </w:r>
      <w:proofErr w:type="gramEnd"/>
      <w:r w:rsidRPr="00D9348B">
        <w:rPr>
          <w:i/>
        </w:rPr>
        <w:t xml:space="preserve"> land</w:t>
      </w:r>
      <w:r w:rsidRPr="00D9348B">
        <w:t xml:space="preserve"> is estimated to be </w:t>
      </w:r>
      <w:r w:rsidRPr="00D9348B">
        <w:rPr>
          <w:color w:val="000000"/>
        </w:rPr>
        <w:t>58.37 </w:t>
      </w:r>
      <w:r w:rsidRPr="00D9348B">
        <w:t>tonnes C ha</w:t>
      </w:r>
      <w:r w:rsidRPr="00D9348B">
        <w:rPr>
          <w:vertAlign w:val="superscript"/>
        </w:rPr>
        <w:t>–1</w:t>
      </w:r>
      <w:r w:rsidRPr="00D9348B">
        <w:t xml:space="preserve">. This is based on only three samples so has an associated uncertainty of ±70.7 per cent (McNeill and Barringer, unpublished). </w:t>
      </w:r>
    </w:p>
    <w:p w14:paraId="3C535A7C" w14:textId="77777777" w:rsidR="00A10636" w:rsidRPr="00D9348B" w:rsidRDefault="00A10636" w:rsidP="00865BDB">
      <w:pPr>
        <w:pStyle w:val="Heading4"/>
      </w:pPr>
      <w:r w:rsidRPr="00D9348B">
        <w:t>Land converted to other land (CRF 4.F.2)</w:t>
      </w:r>
    </w:p>
    <w:p w14:paraId="64C31FFC" w14:textId="77777777" w:rsidR="00A10636" w:rsidRPr="00D9348B" w:rsidRDefault="00A10636" w:rsidP="00A10636">
      <w:pPr>
        <w:pStyle w:val="Heading5"/>
        <w:spacing w:before="160"/>
      </w:pPr>
      <w:r w:rsidRPr="00D9348B">
        <w:t>Living biomass and dead organic matter</w:t>
      </w:r>
    </w:p>
    <w:p w14:paraId="2CAEF7B1" w14:textId="77777777" w:rsidR="00A10636" w:rsidRPr="00D9348B" w:rsidRDefault="00A10636" w:rsidP="003557B6">
      <w:pPr>
        <w:pStyle w:val="BodyText"/>
        <w:spacing w:before="100" w:after="100"/>
      </w:pPr>
      <w:r w:rsidRPr="00D9348B">
        <w:t xml:space="preserve">New Zealand uses a Tier 1 method to calculate emissions for </w:t>
      </w:r>
      <w:r w:rsidRPr="00D9348B">
        <w:rPr>
          <w:i/>
        </w:rPr>
        <w:t>Land converted to other land</w:t>
      </w:r>
      <w:r w:rsidRPr="00D9348B">
        <w:t xml:space="preserve"> (equation 2.16, IPCC, 2006a). This is the same as that used for other areas of land-use conversion (e.g., </w:t>
      </w:r>
      <w:r w:rsidRPr="00D9348B">
        <w:rPr>
          <w:i/>
        </w:rPr>
        <w:t>Land converted to cropland</w:t>
      </w:r>
      <w:r w:rsidRPr="00D9348B">
        <w:t xml:space="preserve">). The Tier 1 method assumes the carbon in living biomass and dead organic matter present before conversion is lost and instantly oxidised in the same year as the conversion takes place and that carbon stocks in living biomass and dead organic matter following conversion are equal to zero. There is no Tier 1 method for calculating carbon accumulation in living biomass or dead organic matter for </w:t>
      </w:r>
      <w:r w:rsidRPr="00D9348B">
        <w:rPr>
          <w:i/>
        </w:rPr>
        <w:t>Land converted to other land</w:t>
      </w:r>
      <w:r w:rsidRPr="00D9348B">
        <w:t>.</w:t>
      </w:r>
    </w:p>
    <w:p w14:paraId="4F60FF6A" w14:textId="77777777" w:rsidR="00A10636" w:rsidRPr="00D9348B" w:rsidRDefault="00A10636" w:rsidP="003557B6">
      <w:pPr>
        <w:pStyle w:val="Heading5"/>
        <w:spacing w:before="160"/>
      </w:pPr>
      <w:r w:rsidRPr="00D9348B">
        <w:t xml:space="preserve">Soil carbon </w:t>
      </w:r>
    </w:p>
    <w:p w14:paraId="57337599" w14:textId="77777777" w:rsidR="00A10636" w:rsidRPr="00D9348B" w:rsidRDefault="00A10636" w:rsidP="003557B6">
      <w:pPr>
        <w:pStyle w:val="BodyText"/>
        <w:spacing w:before="100" w:after="100"/>
      </w:pPr>
      <w:r w:rsidRPr="00D9348B">
        <w:t xml:space="preserve">SOC stocks in </w:t>
      </w:r>
      <w:r w:rsidRPr="00D9348B">
        <w:rPr>
          <w:i/>
        </w:rPr>
        <w:t>Land converted to other land</w:t>
      </w:r>
      <w:r w:rsidRPr="00D9348B">
        <w:t xml:space="preserve"> prior to conversion are estimated using a Tier 2 method (see section 6.3). The IPCC default method of a linear change over a 20</w:t>
      </w:r>
      <w:r w:rsidRPr="00D9348B">
        <w:noBreakHyphen/>
        <w:t xml:space="preserve">year period is used to estimate the change in SOC stocks between the original land use and other land for any given period. </w:t>
      </w:r>
    </w:p>
    <w:p w14:paraId="6C336497" w14:textId="77777777" w:rsidR="00A10636" w:rsidRPr="00D9348B" w:rsidRDefault="00A10636" w:rsidP="003557B6">
      <w:pPr>
        <w:pStyle w:val="Heading3"/>
        <w:spacing w:before="240"/>
      </w:pPr>
      <w:r w:rsidRPr="00D9348B">
        <w:t>6.9.3</w:t>
      </w:r>
      <w:r w:rsidRPr="00D9348B">
        <w:tab/>
        <w:t>Uncertainties and time-series consistency</w:t>
      </w:r>
    </w:p>
    <w:p w14:paraId="0AA6F849" w14:textId="77777777" w:rsidR="00A10636" w:rsidRPr="00D9348B" w:rsidRDefault="00A10636" w:rsidP="003557B6">
      <w:pPr>
        <w:pStyle w:val="BodyText"/>
        <w:spacing w:before="100" w:after="100"/>
      </w:pPr>
      <w:r w:rsidRPr="00D9348B">
        <w:t xml:space="preserve">Uncertainty in the IPCC default variables dominates the overall uncertainty in the estimate provided by New Zealand. Uncertainty in </w:t>
      </w:r>
      <w:r w:rsidRPr="00D9348B">
        <w:rPr>
          <w:i/>
        </w:rPr>
        <w:t>Other land</w:t>
      </w:r>
      <w:r w:rsidRPr="00D9348B">
        <w:t xml:space="preserve"> introduces ±0.1 per cent uncertainty into the LULUCF net carbon emissions (see table 6.9.3). This is low because the change in </w:t>
      </w:r>
      <w:proofErr w:type="gramStart"/>
      <w:r w:rsidRPr="00D9348B">
        <w:rPr>
          <w:i/>
        </w:rPr>
        <w:t>Other</w:t>
      </w:r>
      <w:proofErr w:type="gramEnd"/>
      <w:r w:rsidRPr="00D9348B">
        <w:rPr>
          <w:i/>
        </w:rPr>
        <w:t xml:space="preserve"> land</w:t>
      </w:r>
      <w:r w:rsidRPr="00D9348B">
        <w:t xml:space="preserve"> and the emissions from </w:t>
      </w:r>
      <w:r w:rsidRPr="00D9348B">
        <w:rPr>
          <w:i/>
        </w:rPr>
        <w:t>Other land</w:t>
      </w:r>
      <w:r w:rsidRPr="00D9348B">
        <w:t xml:space="preserve"> are low.</w:t>
      </w:r>
    </w:p>
    <w:p w14:paraId="428FACB6" w14:textId="65123CCD" w:rsidR="00A10636" w:rsidRPr="00D9348B" w:rsidRDefault="00A10636" w:rsidP="00A10636">
      <w:pPr>
        <w:pStyle w:val="Table"/>
      </w:pPr>
      <w:bookmarkStart w:id="2415" w:name="_Toc342470795"/>
      <w:bookmarkStart w:id="2416" w:name="_Toc352505035"/>
      <w:bookmarkStart w:id="2417" w:name="_Toc378853324"/>
      <w:bookmarkStart w:id="2418" w:name="_Toc391024122"/>
      <w:bookmarkStart w:id="2419" w:name="_Toc410028864"/>
      <w:bookmarkStart w:id="2420" w:name="_Toc414531492"/>
      <w:bookmarkStart w:id="2421" w:name="_Toc443645405"/>
      <w:bookmarkStart w:id="2422" w:name="_Toc474914624"/>
      <w:bookmarkStart w:id="2423" w:name="_Toc481751588"/>
      <w:bookmarkStart w:id="2424" w:name="_Toc522010645"/>
      <w:bookmarkStart w:id="2425" w:name="_Toc5269550"/>
      <w:bookmarkStart w:id="2426" w:name="_Toc33529424"/>
      <w:bookmarkStart w:id="2427" w:name="_Toc36224630"/>
      <w:r w:rsidRPr="00D9348B">
        <w:lastRenderedPageBreak/>
        <w:t>Table 6.9.3</w:t>
      </w:r>
      <w:r w:rsidRPr="00D9348B">
        <w:tab/>
        <w:t xml:space="preserve">Uncertainty in New Zealand’s 2018 estimates for the </w:t>
      </w:r>
      <w:r w:rsidR="00EA7212">
        <w:t>land-use</w:t>
      </w:r>
      <w:r w:rsidRPr="00D9348B">
        <w:t xml:space="preserve"> category</w:t>
      </w:r>
      <w:bookmarkEnd w:id="2415"/>
      <w:r w:rsidRPr="00D9348B">
        <w:t xml:space="preserve"> </w:t>
      </w:r>
      <w:proofErr w:type="gramStart"/>
      <w:r w:rsidRPr="00D9348B">
        <w:t>Other</w:t>
      </w:r>
      <w:proofErr w:type="gramEnd"/>
      <w:r w:rsidRPr="00D9348B">
        <w:t> land (including land in transition)</w:t>
      </w:r>
      <w:bookmarkEnd w:id="2416"/>
      <w:bookmarkEnd w:id="2417"/>
      <w:bookmarkEnd w:id="2418"/>
      <w:bookmarkEnd w:id="2419"/>
      <w:bookmarkEnd w:id="2420"/>
      <w:bookmarkEnd w:id="2421"/>
      <w:bookmarkEnd w:id="2422"/>
      <w:bookmarkEnd w:id="2423"/>
      <w:bookmarkEnd w:id="2424"/>
      <w:bookmarkEnd w:id="2425"/>
      <w:bookmarkEnd w:id="2426"/>
      <w:bookmarkEnd w:id="2427"/>
    </w:p>
    <w:tbl>
      <w:tblPr>
        <w:tblW w:w="8562" w:type="dxa"/>
        <w:tblInd w:w="108" w:type="dxa"/>
        <w:tblLook w:val="04A0" w:firstRow="1" w:lastRow="0" w:firstColumn="1" w:lastColumn="0" w:noHBand="0" w:noVBand="1"/>
      </w:tblPr>
      <w:tblGrid>
        <w:gridCol w:w="4718"/>
        <w:gridCol w:w="3844"/>
      </w:tblGrid>
      <w:tr w:rsidR="00A10636" w:rsidRPr="00D9348B" w14:paraId="34383638" w14:textId="77777777" w:rsidTr="008C1F5D">
        <w:trPr>
          <w:trHeight w:val="285"/>
        </w:trPr>
        <w:tc>
          <w:tcPr>
            <w:tcW w:w="4406" w:type="dxa"/>
            <w:tcBorders>
              <w:top w:val="single" w:sz="4" w:space="0" w:color="365F91"/>
              <w:bottom w:val="single" w:sz="4" w:space="0" w:color="365F91"/>
            </w:tcBorders>
            <w:shd w:val="clear" w:color="auto" w:fill="365F91"/>
            <w:noWrap/>
            <w:hideMark/>
          </w:tcPr>
          <w:p w14:paraId="1CE191B2" w14:textId="77777777" w:rsidR="00A10636" w:rsidRPr="00D9348B" w:rsidRDefault="00A10636" w:rsidP="00DB330E">
            <w:pPr>
              <w:pStyle w:val="TableTextBold"/>
              <w:rPr>
                <w:noProof w:val="0"/>
                <w:color w:val="FFFFFF"/>
              </w:rPr>
            </w:pPr>
            <w:r w:rsidRPr="00D9348B">
              <w:rPr>
                <w:noProof w:val="0"/>
                <w:color w:val="FFFFFF"/>
              </w:rPr>
              <w:t>Variable</w:t>
            </w:r>
          </w:p>
        </w:tc>
        <w:tc>
          <w:tcPr>
            <w:tcW w:w="3589" w:type="dxa"/>
            <w:tcBorders>
              <w:top w:val="single" w:sz="4" w:space="0" w:color="365F91"/>
              <w:bottom w:val="single" w:sz="4" w:space="0" w:color="365F91"/>
            </w:tcBorders>
            <w:shd w:val="clear" w:color="auto" w:fill="365F91"/>
            <w:noWrap/>
            <w:hideMark/>
          </w:tcPr>
          <w:p w14:paraId="149F0965" w14:textId="77777777" w:rsidR="00A10636" w:rsidRPr="00D9348B" w:rsidRDefault="00A10636" w:rsidP="00DB330E">
            <w:pPr>
              <w:pStyle w:val="TableTextBold"/>
              <w:jc w:val="center"/>
              <w:rPr>
                <w:noProof w:val="0"/>
                <w:color w:val="FFFFFF"/>
              </w:rPr>
            </w:pPr>
            <w:r w:rsidRPr="00D9348B">
              <w:rPr>
                <w:noProof w:val="0"/>
                <w:color w:val="FFFFFF"/>
              </w:rPr>
              <w:t>Uncertainty at a 95% confidence interval (%)</w:t>
            </w:r>
          </w:p>
        </w:tc>
      </w:tr>
      <w:tr w:rsidR="00A10636" w:rsidRPr="00D9348B" w14:paraId="3F8D74CA" w14:textId="77777777" w:rsidTr="008C1F5D">
        <w:trPr>
          <w:trHeight w:val="285"/>
        </w:trPr>
        <w:tc>
          <w:tcPr>
            <w:tcW w:w="4406" w:type="dxa"/>
            <w:tcBorders>
              <w:top w:val="single" w:sz="4" w:space="0" w:color="365F91"/>
              <w:bottom w:val="single" w:sz="4" w:space="0" w:color="365F91"/>
            </w:tcBorders>
            <w:noWrap/>
            <w:hideMark/>
          </w:tcPr>
          <w:p w14:paraId="6B84C39B" w14:textId="77777777" w:rsidR="00A10636" w:rsidRPr="00D9348B" w:rsidRDefault="00A10636" w:rsidP="00DB330E">
            <w:pPr>
              <w:pStyle w:val="TableTextBold"/>
              <w:rPr>
                <w:noProof w:val="0"/>
              </w:rPr>
            </w:pPr>
            <w:r w:rsidRPr="00D9348B">
              <w:rPr>
                <w:noProof w:val="0"/>
              </w:rPr>
              <w:t>Activity data</w:t>
            </w:r>
          </w:p>
        </w:tc>
        <w:tc>
          <w:tcPr>
            <w:tcW w:w="3589" w:type="dxa"/>
            <w:tcBorders>
              <w:top w:val="single" w:sz="4" w:space="0" w:color="365F91"/>
              <w:bottom w:val="single" w:sz="4" w:space="0" w:color="365F91"/>
            </w:tcBorders>
            <w:noWrap/>
            <w:hideMark/>
          </w:tcPr>
          <w:p w14:paraId="5F50F32A" w14:textId="77777777" w:rsidR="00A10636" w:rsidRPr="00D9348B" w:rsidRDefault="00A10636" w:rsidP="00DB330E">
            <w:pPr>
              <w:pStyle w:val="TableTextBold"/>
              <w:tabs>
                <w:tab w:val="decimal" w:pos="362"/>
              </w:tabs>
              <w:jc w:val="center"/>
              <w:rPr>
                <w:noProof w:val="0"/>
              </w:rPr>
            </w:pPr>
          </w:p>
        </w:tc>
      </w:tr>
      <w:tr w:rsidR="00A10636" w:rsidRPr="00D9348B" w14:paraId="5393379C" w14:textId="77777777" w:rsidTr="008C1F5D">
        <w:trPr>
          <w:trHeight w:val="285"/>
        </w:trPr>
        <w:tc>
          <w:tcPr>
            <w:tcW w:w="4406" w:type="dxa"/>
            <w:tcBorders>
              <w:top w:val="single" w:sz="4" w:space="0" w:color="365F91"/>
              <w:bottom w:val="single" w:sz="4" w:space="0" w:color="365F91"/>
            </w:tcBorders>
            <w:noWrap/>
            <w:hideMark/>
          </w:tcPr>
          <w:p w14:paraId="30C63DC1" w14:textId="77777777" w:rsidR="00A10636" w:rsidRPr="00D9348B" w:rsidRDefault="00A10636" w:rsidP="00DB330E">
            <w:pPr>
              <w:pStyle w:val="TableText"/>
            </w:pPr>
            <w:r w:rsidRPr="00D9348B">
              <w:t>Uncertainty in land area</w:t>
            </w:r>
          </w:p>
        </w:tc>
        <w:tc>
          <w:tcPr>
            <w:tcW w:w="3589" w:type="dxa"/>
            <w:tcBorders>
              <w:top w:val="single" w:sz="4" w:space="0" w:color="365F91"/>
              <w:bottom w:val="single" w:sz="4" w:space="0" w:color="365F91"/>
            </w:tcBorders>
            <w:noWrap/>
            <w:hideMark/>
          </w:tcPr>
          <w:p w14:paraId="403BDCD2" w14:textId="77777777" w:rsidR="00A10636" w:rsidRPr="00D9348B" w:rsidRDefault="00A10636" w:rsidP="00DB330E">
            <w:pPr>
              <w:pStyle w:val="TableText"/>
              <w:tabs>
                <w:tab w:val="decimal" w:pos="362"/>
              </w:tabs>
              <w:jc w:val="center"/>
            </w:pPr>
            <w:r w:rsidRPr="00D9348B">
              <w:t>±22.0</w:t>
            </w:r>
          </w:p>
        </w:tc>
      </w:tr>
      <w:tr w:rsidR="00A10636" w:rsidRPr="00D9348B" w14:paraId="22DAF89B" w14:textId="77777777" w:rsidTr="008C1F5D">
        <w:trPr>
          <w:trHeight w:val="285"/>
        </w:trPr>
        <w:tc>
          <w:tcPr>
            <w:tcW w:w="4406" w:type="dxa"/>
            <w:tcBorders>
              <w:top w:val="single" w:sz="4" w:space="0" w:color="365F91"/>
              <w:bottom w:val="single" w:sz="4" w:space="0" w:color="365F91"/>
            </w:tcBorders>
            <w:noWrap/>
            <w:hideMark/>
          </w:tcPr>
          <w:p w14:paraId="51C934E9" w14:textId="77777777" w:rsidR="00A10636" w:rsidRPr="00D9348B" w:rsidRDefault="00A10636" w:rsidP="00DB330E">
            <w:pPr>
              <w:pStyle w:val="TableTextBold"/>
              <w:rPr>
                <w:noProof w:val="0"/>
              </w:rPr>
            </w:pPr>
            <w:r w:rsidRPr="00D9348B">
              <w:rPr>
                <w:noProof w:val="0"/>
              </w:rPr>
              <w:t>Emission factors</w:t>
            </w:r>
          </w:p>
        </w:tc>
        <w:tc>
          <w:tcPr>
            <w:tcW w:w="3589" w:type="dxa"/>
            <w:tcBorders>
              <w:top w:val="single" w:sz="4" w:space="0" w:color="365F91"/>
              <w:bottom w:val="single" w:sz="4" w:space="0" w:color="365F91"/>
            </w:tcBorders>
            <w:noWrap/>
            <w:hideMark/>
          </w:tcPr>
          <w:p w14:paraId="2EFFB54C" w14:textId="77777777" w:rsidR="00A10636" w:rsidRPr="00D9348B" w:rsidRDefault="00A10636" w:rsidP="00DB330E">
            <w:pPr>
              <w:pStyle w:val="TableTextBold"/>
              <w:tabs>
                <w:tab w:val="decimal" w:pos="362"/>
              </w:tabs>
              <w:jc w:val="center"/>
              <w:rPr>
                <w:noProof w:val="0"/>
              </w:rPr>
            </w:pPr>
          </w:p>
        </w:tc>
      </w:tr>
      <w:tr w:rsidR="00A10636" w:rsidRPr="00D9348B" w14:paraId="36C69C08" w14:textId="77777777" w:rsidTr="008C1F5D">
        <w:trPr>
          <w:trHeight w:val="285"/>
        </w:trPr>
        <w:tc>
          <w:tcPr>
            <w:tcW w:w="4406" w:type="dxa"/>
            <w:tcBorders>
              <w:top w:val="single" w:sz="4" w:space="0" w:color="365F91"/>
              <w:bottom w:val="single" w:sz="4" w:space="0" w:color="365F91"/>
            </w:tcBorders>
            <w:noWrap/>
            <w:hideMark/>
          </w:tcPr>
          <w:p w14:paraId="45801D89" w14:textId="77777777" w:rsidR="00A10636" w:rsidRPr="00D9348B" w:rsidRDefault="00A10636" w:rsidP="00DB330E">
            <w:pPr>
              <w:pStyle w:val="TableText"/>
            </w:pPr>
            <w:r w:rsidRPr="00D9348B">
              <w:t>Uncertainty in biomass carbon stocks</w:t>
            </w:r>
          </w:p>
        </w:tc>
        <w:tc>
          <w:tcPr>
            <w:tcW w:w="3589" w:type="dxa"/>
            <w:tcBorders>
              <w:top w:val="single" w:sz="4" w:space="0" w:color="365F91"/>
              <w:bottom w:val="single" w:sz="4" w:space="0" w:color="365F91"/>
            </w:tcBorders>
            <w:noWrap/>
            <w:hideMark/>
          </w:tcPr>
          <w:p w14:paraId="5EF9F8B2" w14:textId="77777777" w:rsidR="00A10636" w:rsidRPr="00D9348B" w:rsidRDefault="00A10636" w:rsidP="00DB330E">
            <w:pPr>
              <w:pStyle w:val="TableText"/>
              <w:tabs>
                <w:tab w:val="decimal" w:pos="362"/>
              </w:tabs>
              <w:jc w:val="center"/>
            </w:pPr>
            <w:r w:rsidRPr="00D9348B">
              <w:t>±75.0</w:t>
            </w:r>
          </w:p>
        </w:tc>
      </w:tr>
      <w:tr w:rsidR="00A10636" w:rsidRPr="00D9348B" w14:paraId="575FC56D" w14:textId="77777777" w:rsidTr="008C1F5D">
        <w:trPr>
          <w:trHeight w:val="285"/>
        </w:trPr>
        <w:tc>
          <w:tcPr>
            <w:tcW w:w="4406" w:type="dxa"/>
            <w:tcBorders>
              <w:top w:val="single" w:sz="4" w:space="0" w:color="365F91"/>
              <w:bottom w:val="single" w:sz="4" w:space="0" w:color="365F91"/>
            </w:tcBorders>
            <w:noWrap/>
            <w:hideMark/>
          </w:tcPr>
          <w:p w14:paraId="7C5CB0CD" w14:textId="77777777" w:rsidR="00A10636" w:rsidRPr="00D9348B" w:rsidRDefault="00A10636" w:rsidP="00DB330E">
            <w:pPr>
              <w:pStyle w:val="TableText"/>
            </w:pPr>
            <w:r w:rsidRPr="00D9348B">
              <w:t>Uncertainty in soil carbon stocks</w:t>
            </w:r>
          </w:p>
        </w:tc>
        <w:tc>
          <w:tcPr>
            <w:tcW w:w="3589" w:type="dxa"/>
            <w:tcBorders>
              <w:top w:val="single" w:sz="4" w:space="0" w:color="365F91"/>
              <w:bottom w:val="single" w:sz="4" w:space="0" w:color="365F91"/>
            </w:tcBorders>
            <w:noWrap/>
            <w:hideMark/>
          </w:tcPr>
          <w:p w14:paraId="0AF796C5" w14:textId="77777777" w:rsidR="00A10636" w:rsidRPr="00D9348B" w:rsidRDefault="00A10636" w:rsidP="00DB330E">
            <w:pPr>
              <w:pStyle w:val="TableText"/>
              <w:tabs>
                <w:tab w:val="decimal" w:pos="362"/>
              </w:tabs>
              <w:jc w:val="center"/>
            </w:pPr>
            <w:r w:rsidRPr="00D9348B">
              <w:t>±70.7</w:t>
            </w:r>
          </w:p>
        </w:tc>
      </w:tr>
      <w:tr w:rsidR="00A10636" w:rsidRPr="00D9348B" w14:paraId="2D598DBF" w14:textId="77777777" w:rsidTr="008C1F5D">
        <w:trPr>
          <w:trHeight w:val="285"/>
        </w:trPr>
        <w:tc>
          <w:tcPr>
            <w:tcW w:w="4406" w:type="dxa"/>
            <w:tcBorders>
              <w:top w:val="single" w:sz="4" w:space="0" w:color="365F91"/>
              <w:bottom w:val="single" w:sz="4" w:space="0" w:color="365F91"/>
            </w:tcBorders>
            <w:noWrap/>
            <w:hideMark/>
          </w:tcPr>
          <w:p w14:paraId="1025D9D7" w14:textId="77777777" w:rsidR="00A10636" w:rsidRPr="00D9348B" w:rsidRDefault="00A10636" w:rsidP="00DB330E">
            <w:pPr>
              <w:pStyle w:val="Tableboldblue"/>
              <w:jc w:val="right"/>
            </w:pPr>
            <w:r w:rsidRPr="00D9348B">
              <w:t>Uncertainty introduced into net emissions for LULUCF</w:t>
            </w:r>
          </w:p>
        </w:tc>
        <w:tc>
          <w:tcPr>
            <w:tcW w:w="3589" w:type="dxa"/>
            <w:tcBorders>
              <w:top w:val="single" w:sz="4" w:space="0" w:color="365F91"/>
              <w:bottom w:val="single" w:sz="4" w:space="0" w:color="365F91"/>
            </w:tcBorders>
            <w:noWrap/>
            <w:hideMark/>
          </w:tcPr>
          <w:p w14:paraId="1722CE85" w14:textId="77777777" w:rsidR="00A10636" w:rsidRPr="00D9348B" w:rsidRDefault="00A10636" w:rsidP="008C44D0">
            <w:pPr>
              <w:pStyle w:val="Tableboldblue"/>
              <w:tabs>
                <w:tab w:val="decimal" w:pos="363"/>
              </w:tabs>
              <w:jc w:val="center"/>
            </w:pPr>
            <w:r w:rsidRPr="00D9348B">
              <w:t>±0.1</w:t>
            </w:r>
          </w:p>
        </w:tc>
      </w:tr>
    </w:tbl>
    <w:p w14:paraId="5F9FB286" w14:textId="77777777" w:rsidR="00A10636" w:rsidRPr="00D9348B" w:rsidRDefault="00A10636" w:rsidP="00A10636">
      <w:pPr>
        <w:pStyle w:val="Noteundertable"/>
      </w:pPr>
      <w:r w:rsidRPr="00D9348B">
        <w:rPr>
          <w:b/>
        </w:rPr>
        <w:t>Note:</w:t>
      </w:r>
      <w:r w:rsidRPr="00D9348B">
        <w:tab/>
        <w:t xml:space="preserve">The activity data and combined emission factor uncertainty are weighted values and have been calculated using equation 3.2 from IPCC General Guidance and Reporting (IPCC, 2006b). </w:t>
      </w:r>
    </w:p>
    <w:p w14:paraId="0C90AC3A" w14:textId="77777777" w:rsidR="00A10636" w:rsidRPr="00D9348B" w:rsidRDefault="00A10636" w:rsidP="008C1F5D">
      <w:pPr>
        <w:pStyle w:val="Heading3"/>
        <w:spacing w:before="280"/>
      </w:pPr>
      <w:r w:rsidRPr="00D9348B">
        <w:t>6.9.4</w:t>
      </w:r>
      <w:r w:rsidRPr="00D9348B">
        <w:tab/>
        <w:t>Category-specific QA/QC and verification</w:t>
      </w:r>
    </w:p>
    <w:p w14:paraId="252BF5FA" w14:textId="35E1F565" w:rsidR="00A10636" w:rsidRPr="00D9348B" w:rsidRDefault="00A10636" w:rsidP="008C1F5D">
      <w:pPr>
        <w:pStyle w:val="BodyText"/>
      </w:pPr>
      <w:r w:rsidRPr="00D9348B">
        <w:t>In the preparation of this inventory, the data for these emissions underwent Tier 1 quality</w:t>
      </w:r>
      <w:r w:rsidR="008C1F5D" w:rsidRPr="00D9348B">
        <w:t> </w:t>
      </w:r>
      <w:r w:rsidRPr="00D9348B">
        <w:t>checks.</w:t>
      </w:r>
    </w:p>
    <w:p w14:paraId="2288478C" w14:textId="77777777" w:rsidR="00A10636" w:rsidRPr="00D9348B" w:rsidRDefault="00A10636" w:rsidP="008C1F5D">
      <w:pPr>
        <w:pStyle w:val="Heading3"/>
        <w:spacing w:before="280"/>
      </w:pPr>
      <w:r w:rsidRPr="00D9348B">
        <w:t>6.9.5</w:t>
      </w:r>
      <w:r w:rsidRPr="00D9348B">
        <w:tab/>
        <w:t>Category-specific recalculations</w:t>
      </w:r>
    </w:p>
    <w:p w14:paraId="612D8386" w14:textId="0C0249E9" w:rsidR="00A10636" w:rsidRPr="00D9348B" w:rsidRDefault="00A10636" w:rsidP="00A10636">
      <w:pPr>
        <w:pStyle w:val="BodyText"/>
        <w:rPr>
          <w:spacing w:val="-2"/>
        </w:rPr>
      </w:pPr>
      <w:r w:rsidRPr="00D9348B">
        <w:rPr>
          <w:spacing w:val="-2"/>
        </w:rPr>
        <w:t>The impact of recalculations on net CO</w:t>
      </w:r>
      <w:r w:rsidRPr="00D9348B">
        <w:rPr>
          <w:spacing w:val="-2"/>
          <w:vertAlign w:val="subscript"/>
        </w:rPr>
        <w:t>2</w:t>
      </w:r>
      <w:r w:rsidRPr="00D9348B">
        <w:rPr>
          <w:spacing w:val="-2"/>
        </w:rPr>
        <w:t xml:space="preserve">-e emission estimates for the </w:t>
      </w:r>
      <w:proofErr w:type="gramStart"/>
      <w:r w:rsidRPr="00D9348B">
        <w:rPr>
          <w:i/>
          <w:spacing w:val="-2"/>
        </w:rPr>
        <w:t>Other</w:t>
      </w:r>
      <w:proofErr w:type="gramEnd"/>
      <w:r w:rsidRPr="00D9348B">
        <w:rPr>
          <w:i/>
          <w:spacing w:val="-2"/>
        </w:rPr>
        <w:t xml:space="preserve"> land</w:t>
      </w:r>
      <w:r w:rsidRPr="00D9348B">
        <w:rPr>
          <w:spacing w:val="-2"/>
        </w:rPr>
        <w:t xml:space="preserve"> category is shown in table 6.9.4. Recalculations were carried out for this category as a result of new activity resulting from improvements made to the </w:t>
      </w:r>
      <w:r w:rsidR="00EA7212">
        <w:rPr>
          <w:spacing w:val="-2"/>
        </w:rPr>
        <w:t>land-use</w:t>
      </w:r>
      <w:r w:rsidRPr="00D9348B">
        <w:rPr>
          <w:spacing w:val="-2"/>
        </w:rPr>
        <w:t xml:space="preserve"> maps as described in section 6.2.</w:t>
      </w:r>
    </w:p>
    <w:p w14:paraId="2A1B9854" w14:textId="77777777" w:rsidR="00A10636" w:rsidRPr="00D9348B" w:rsidRDefault="00A10636" w:rsidP="00A10636">
      <w:pPr>
        <w:pStyle w:val="Table"/>
      </w:pPr>
      <w:bookmarkStart w:id="2428" w:name="_Toc342470796"/>
      <w:bookmarkStart w:id="2429" w:name="_Toc352505036"/>
      <w:bookmarkStart w:id="2430" w:name="_Toc378853325"/>
      <w:bookmarkStart w:id="2431" w:name="_Toc391024123"/>
      <w:bookmarkStart w:id="2432" w:name="_Toc410028865"/>
      <w:bookmarkStart w:id="2433" w:name="_Toc414531493"/>
      <w:bookmarkStart w:id="2434" w:name="_Toc443645406"/>
      <w:bookmarkStart w:id="2435" w:name="_Toc474914625"/>
      <w:bookmarkStart w:id="2436" w:name="_Toc481751589"/>
      <w:bookmarkStart w:id="2437" w:name="_Toc522010646"/>
      <w:bookmarkStart w:id="2438" w:name="_Toc5269551"/>
      <w:bookmarkStart w:id="2439" w:name="_Toc33529425"/>
      <w:bookmarkStart w:id="2440" w:name="_Toc36224631"/>
      <w:bookmarkStart w:id="2441" w:name="_Toc195322672"/>
      <w:bookmarkStart w:id="2442" w:name="_Toc255466414"/>
      <w:bookmarkStart w:id="2443" w:name="_Toc261513221"/>
      <w:bookmarkStart w:id="2444" w:name="_Toc261513834"/>
      <w:bookmarkStart w:id="2445" w:name="_Toc280630306"/>
      <w:r w:rsidRPr="00D9348B">
        <w:t>Table 6.9.4</w:t>
      </w:r>
      <w:r w:rsidRPr="00D9348B">
        <w:rPr>
          <w:vertAlign w:val="superscript"/>
        </w:rPr>
        <w:tab/>
      </w:r>
      <w:r w:rsidRPr="00D9348B">
        <w:t xml:space="preserve">Recalculations for New Zealand’s net emissions from the </w:t>
      </w:r>
      <w:proofErr w:type="gramStart"/>
      <w:r w:rsidRPr="00D9348B">
        <w:t>Other</w:t>
      </w:r>
      <w:proofErr w:type="gramEnd"/>
      <w:r w:rsidRPr="00D9348B">
        <w:t xml:space="preserve"> land category in 1990 and </w:t>
      </w:r>
      <w:bookmarkEnd w:id="2428"/>
      <w:bookmarkEnd w:id="2429"/>
      <w:bookmarkEnd w:id="2430"/>
      <w:bookmarkEnd w:id="2431"/>
      <w:bookmarkEnd w:id="2432"/>
      <w:bookmarkEnd w:id="2433"/>
      <w:bookmarkEnd w:id="2434"/>
      <w:bookmarkEnd w:id="2435"/>
      <w:bookmarkEnd w:id="2436"/>
      <w:r w:rsidRPr="00D9348B">
        <w:t>2017</w:t>
      </w:r>
      <w:bookmarkEnd w:id="2437"/>
      <w:bookmarkEnd w:id="2438"/>
      <w:bookmarkEnd w:id="2439"/>
      <w:bookmarkEnd w:id="2440"/>
    </w:p>
    <w:tbl>
      <w:tblPr>
        <w:tblW w:w="8562" w:type="dxa"/>
        <w:tblInd w:w="108" w:type="dxa"/>
        <w:tblLook w:val="04A0" w:firstRow="1" w:lastRow="0" w:firstColumn="1" w:lastColumn="0" w:noHBand="0" w:noVBand="1"/>
      </w:tblPr>
      <w:tblGrid>
        <w:gridCol w:w="1117"/>
        <w:gridCol w:w="1862"/>
        <w:gridCol w:w="1861"/>
        <w:gridCol w:w="1861"/>
        <w:gridCol w:w="1861"/>
      </w:tblGrid>
      <w:tr w:rsidR="00A10636" w:rsidRPr="00D9348B" w14:paraId="7E57FCE5" w14:textId="77777777" w:rsidTr="008C1F5D">
        <w:tc>
          <w:tcPr>
            <w:tcW w:w="652" w:type="pct"/>
            <w:vMerge w:val="restart"/>
            <w:tcBorders>
              <w:top w:val="single" w:sz="4" w:space="0" w:color="365F91"/>
            </w:tcBorders>
            <w:shd w:val="clear" w:color="auto" w:fill="365F91"/>
            <w:vAlign w:val="bottom"/>
          </w:tcPr>
          <w:p w14:paraId="7FAF9086" w14:textId="77777777" w:rsidR="00A10636" w:rsidRPr="00D9348B" w:rsidRDefault="00A10636" w:rsidP="00DB330E">
            <w:pPr>
              <w:pStyle w:val="TableTextBold"/>
              <w:rPr>
                <w:noProof w:val="0"/>
                <w:color w:val="FFFFFF"/>
              </w:rPr>
            </w:pPr>
            <w:r w:rsidRPr="00D9348B">
              <w:rPr>
                <w:noProof w:val="0"/>
                <w:color w:val="FFFFFF"/>
              </w:rPr>
              <w:t>Year</w:t>
            </w:r>
          </w:p>
        </w:tc>
        <w:tc>
          <w:tcPr>
            <w:tcW w:w="2174" w:type="pct"/>
            <w:gridSpan w:val="2"/>
            <w:tcBorders>
              <w:top w:val="single" w:sz="4" w:space="0" w:color="365F91"/>
            </w:tcBorders>
            <w:shd w:val="clear" w:color="auto" w:fill="365F91"/>
            <w:noWrap/>
          </w:tcPr>
          <w:p w14:paraId="0D4865DC" w14:textId="77777777" w:rsidR="00A10636" w:rsidRPr="00D9348B" w:rsidRDefault="00A10636" w:rsidP="00DB330E">
            <w:pPr>
              <w:pStyle w:val="TableTextBold"/>
              <w:jc w:val="center"/>
              <w:rPr>
                <w:noProof w:val="0"/>
                <w:color w:val="FFFFFF"/>
              </w:rPr>
            </w:pPr>
            <w:r w:rsidRPr="00D9348B">
              <w:rPr>
                <w:noProof w:val="0"/>
                <w:color w:val="FFFFFF"/>
              </w:rPr>
              <w:t>Net emissions (kt CO</w:t>
            </w:r>
            <w:r w:rsidRPr="00D9348B">
              <w:rPr>
                <w:noProof w:val="0"/>
                <w:color w:val="FFFFFF"/>
                <w:vertAlign w:val="subscript"/>
              </w:rPr>
              <w:t>2</w:t>
            </w:r>
            <w:r w:rsidRPr="00D9348B">
              <w:rPr>
                <w:noProof w:val="0"/>
                <w:color w:val="FFFFFF"/>
              </w:rPr>
              <w:t>-e)</w:t>
            </w:r>
          </w:p>
        </w:tc>
        <w:tc>
          <w:tcPr>
            <w:tcW w:w="2174" w:type="pct"/>
            <w:gridSpan w:val="2"/>
            <w:tcBorders>
              <w:top w:val="single" w:sz="4" w:space="0" w:color="365F91"/>
            </w:tcBorders>
            <w:shd w:val="clear" w:color="auto" w:fill="365F91"/>
          </w:tcPr>
          <w:p w14:paraId="2D786218" w14:textId="77777777" w:rsidR="00A10636" w:rsidRPr="00D9348B" w:rsidRDefault="00A10636" w:rsidP="00DB330E">
            <w:pPr>
              <w:pStyle w:val="TableTextBold"/>
              <w:jc w:val="center"/>
              <w:rPr>
                <w:noProof w:val="0"/>
                <w:color w:val="FFFFFF"/>
              </w:rPr>
            </w:pPr>
            <w:r w:rsidRPr="00D9348B">
              <w:rPr>
                <w:noProof w:val="0"/>
                <w:color w:val="FFFFFF"/>
              </w:rPr>
              <w:t>Change from the 2019 submission</w:t>
            </w:r>
          </w:p>
        </w:tc>
      </w:tr>
      <w:tr w:rsidR="00A10636" w:rsidRPr="00D9348B" w14:paraId="119E493F" w14:textId="77777777" w:rsidTr="008C1F5D">
        <w:tc>
          <w:tcPr>
            <w:tcW w:w="652" w:type="pct"/>
            <w:vMerge/>
            <w:tcBorders>
              <w:bottom w:val="single" w:sz="4" w:space="0" w:color="365F91"/>
            </w:tcBorders>
            <w:shd w:val="clear" w:color="auto" w:fill="365F91"/>
          </w:tcPr>
          <w:p w14:paraId="108DD6A7" w14:textId="77777777" w:rsidR="00A10636" w:rsidRPr="00D9348B" w:rsidRDefault="00A10636" w:rsidP="00DB330E">
            <w:pPr>
              <w:pStyle w:val="TableText"/>
              <w:rPr>
                <w:color w:val="FFFFFF"/>
              </w:rPr>
            </w:pPr>
          </w:p>
        </w:tc>
        <w:tc>
          <w:tcPr>
            <w:tcW w:w="1087" w:type="pct"/>
            <w:tcBorders>
              <w:bottom w:val="single" w:sz="4" w:space="0" w:color="365F91"/>
            </w:tcBorders>
            <w:shd w:val="clear" w:color="auto" w:fill="365F91"/>
          </w:tcPr>
          <w:p w14:paraId="2C708914" w14:textId="77777777" w:rsidR="00A10636" w:rsidRPr="00D9348B" w:rsidRDefault="00A10636" w:rsidP="00DB330E">
            <w:pPr>
              <w:pStyle w:val="TableTextBold"/>
              <w:jc w:val="center"/>
              <w:rPr>
                <w:noProof w:val="0"/>
                <w:color w:val="FFFFFF"/>
              </w:rPr>
            </w:pPr>
            <w:r w:rsidRPr="00D9348B">
              <w:rPr>
                <w:noProof w:val="0"/>
                <w:color w:val="FFFFFF"/>
              </w:rPr>
              <w:t>2019 submission</w:t>
            </w:r>
          </w:p>
        </w:tc>
        <w:tc>
          <w:tcPr>
            <w:tcW w:w="1087" w:type="pct"/>
            <w:tcBorders>
              <w:bottom w:val="single" w:sz="4" w:space="0" w:color="365F91"/>
            </w:tcBorders>
            <w:shd w:val="clear" w:color="auto" w:fill="365F91"/>
          </w:tcPr>
          <w:p w14:paraId="744797E2" w14:textId="77777777" w:rsidR="00A10636" w:rsidRPr="00D9348B" w:rsidRDefault="00A10636" w:rsidP="00DB330E">
            <w:pPr>
              <w:pStyle w:val="TableTextBold"/>
              <w:jc w:val="center"/>
              <w:rPr>
                <w:noProof w:val="0"/>
                <w:color w:val="FFFFFF"/>
              </w:rPr>
            </w:pPr>
            <w:r w:rsidRPr="00D9348B">
              <w:rPr>
                <w:noProof w:val="0"/>
                <w:color w:val="FFFFFF"/>
              </w:rPr>
              <w:t>2020 submission</w:t>
            </w:r>
          </w:p>
        </w:tc>
        <w:tc>
          <w:tcPr>
            <w:tcW w:w="1087" w:type="pct"/>
            <w:tcBorders>
              <w:bottom w:val="single" w:sz="4" w:space="0" w:color="365F91"/>
            </w:tcBorders>
            <w:shd w:val="clear" w:color="auto" w:fill="365F91"/>
          </w:tcPr>
          <w:p w14:paraId="799AAE36" w14:textId="77777777" w:rsidR="00A10636" w:rsidRPr="00D9348B" w:rsidRDefault="00A10636" w:rsidP="00DB330E">
            <w:pPr>
              <w:pStyle w:val="TableTextBold"/>
              <w:jc w:val="center"/>
              <w:rPr>
                <w:noProof w:val="0"/>
                <w:color w:val="FFFFFF"/>
              </w:rPr>
            </w:pPr>
            <w:r w:rsidRPr="00D9348B">
              <w:rPr>
                <w:noProof w:val="0"/>
                <w:color w:val="FFFFFF"/>
              </w:rPr>
              <w:t>(kt CO</w:t>
            </w:r>
            <w:r w:rsidRPr="00D9348B">
              <w:rPr>
                <w:noProof w:val="0"/>
                <w:color w:val="FFFFFF"/>
                <w:vertAlign w:val="subscript"/>
              </w:rPr>
              <w:t>2</w:t>
            </w:r>
            <w:r w:rsidRPr="00D9348B">
              <w:rPr>
                <w:noProof w:val="0"/>
                <w:color w:val="FFFFFF"/>
              </w:rPr>
              <w:t>-e)</w:t>
            </w:r>
          </w:p>
        </w:tc>
        <w:tc>
          <w:tcPr>
            <w:tcW w:w="1087" w:type="pct"/>
            <w:tcBorders>
              <w:bottom w:val="single" w:sz="4" w:space="0" w:color="365F91"/>
            </w:tcBorders>
            <w:shd w:val="clear" w:color="auto" w:fill="365F91"/>
          </w:tcPr>
          <w:p w14:paraId="3E1A4A39" w14:textId="77777777" w:rsidR="00A10636" w:rsidRPr="00D9348B" w:rsidRDefault="00A10636" w:rsidP="00DB330E">
            <w:pPr>
              <w:pStyle w:val="TableTextBold"/>
              <w:jc w:val="center"/>
              <w:rPr>
                <w:noProof w:val="0"/>
                <w:color w:val="FFFFFF"/>
              </w:rPr>
            </w:pPr>
            <w:r w:rsidRPr="00D9348B">
              <w:rPr>
                <w:noProof w:val="0"/>
                <w:color w:val="FFFFFF"/>
              </w:rPr>
              <w:t>(%)</w:t>
            </w:r>
          </w:p>
        </w:tc>
      </w:tr>
      <w:tr w:rsidR="00A10636" w:rsidRPr="00D9348B" w14:paraId="6B560636" w14:textId="77777777" w:rsidTr="008C1F5D">
        <w:tc>
          <w:tcPr>
            <w:tcW w:w="652" w:type="pct"/>
            <w:tcBorders>
              <w:top w:val="single" w:sz="4" w:space="0" w:color="365F91"/>
              <w:bottom w:val="single" w:sz="4" w:space="0" w:color="365F91"/>
            </w:tcBorders>
          </w:tcPr>
          <w:p w14:paraId="006CB5E1" w14:textId="77777777" w:rsidR="00A10636" w:rsidRPr="00D9348B" w:rsidRDefault="00A10636" w:rsidP="00DB330E">
            <w:pPr>
              <w:pStyle w:val="TableText"/>
            </w:pPr>
            <w:r w:rsidRPr="00D9348B">
              <w:t xml:space="preserve">1990 </w:t>
            </w:r>
          </w:p>
        </w:tc>
        <w:tc>
          <w:tcPr>
            <w:tcW w:w="1087" w:type="pct"/>
            <w:tcBorders>
              <w:top w:val="single" w:sz="4" w:space="0" w:color="365F91"/>
              <w:bottom w:val="single" w:sz="4" w:space="0" w:color="365F91"/>
            </w:tcBorders>
          </w:tcPr>
          <w:p w14:paraId="658A30DC" w14:textId="77777777" w:rsidR="00A10636" w:rsidRPr="00D9348B" w:rsidRDefault="00A10636" w:rsidP="00DB330E">
            <w:pPr>
              <w:pStyle w:val="TableText"/>
              <w:tabs>
                <w:tab w:val="decimal" w:pos="458"/>
              </w:tabs>
              <w:jc w:val="center"/>
            </w:pPr>
            <w:r w:rsidRPr="00D9348B">
              <w:t xml:space="preserve">13.6 </w:t>
            </w:r>
          </w:p>
        </w:tc>
        <w:tc>
          <w:tcPr>
            <w:tcW w:w="1087" w:type="pct"/>
            <w:tcBorders>
              <w:top w:val="single" w:sz="4" w:space="0" w:color="365F91"/>
              <w:bottom w:val="single" w:sz="4" w:space="0" w:color="365F91"/>
            </w:tcBorders>
          </w:tcPr>
          <w:p w14:paraId="018143A4" w14:textId="77777777" w:rsidR="00A10636" w:rsidRPr="00D9348B" w:rsidRDefault="00A10636" w:rsidP="00DB330E">
            <w:pPr>
              <w:pStyle w:val="TableText"/>
              <w:tabs>
                <w:tab w:val="decimal" w:pos="458"/>
              </w:tabs>
              <w:jc w:val="center"/>
            </w:pPr>
            <w:r w:rsidRPr="00D9348B">
              <w:t xml:space="preserve">12.9 </w:t>
            </w:r>
          </w:p>
        </w:tc>
        <w:tc>
          <w:tcPr>
            <w:tcW w:w="1087" w:type="pct"/>
            <w:tcBorders>
              <w:top w:val="single" w:sz="4" w:space="0" w:color="365F91"/>
              <w:bottom w:val="single" w:sz="4" w:space="0" w:color="365F91"/>
            </w:tcBorders>
          </w:tcPr>
          <w:p w14:paraId="570C8FBE" w14:textId="77777777" w:rsidR="00A10636" w:rsidRPr="00D9348B" w:rsidRDefault="00A10636" w:rsidP="00DB330E">
            <w:pPr>
              <w:pStyle w:val="TableText"/>
              <w:tabs>
                <w:tab w:val="decimal" w:pos="458"/>
              </w:tabs>
              <w:jc w:val="center"/>
            </w:pPr>
            <w:r w:rsidRPr="00D9348B">
              <w:t xml:space="preserve">–0.7 </w:t>
            </w:r>
          </w:p>
        </w:tc>
        <w:tc>
          <w:tcPr>
            <w:tcW w:w="1087" w:type="pct"/>
            <w:tcBorders>
              <w:top w:val="single" w:sz="4" w:space="0" w:color="365F91"/>
              <w:bottom w:val="single" w:sz="4" w:space="0" w:color="365F91"/>
            </w:tcBorders>
          </w:tcPr>
          <w:p w14:paraId="17F34977" w14:textId="77777777" w:rsidR="00A10636" w:rsidRPr="00D9348B" w:rsidRDefault="00A10636" w:rsidP="00DB330E">
            <w:pPr>
              <w:pStyle w:val="TableText"/>
              <w:tabs>
                <w:tab w:val="decimal" w:pos="458"/>
              </w:tabs>
              <w:jc w:val="center"/>
            </w:pPr>
            <w:r w:rsidRPr="00D9348B">
              <w:t>–5.0</w:t>
            </w:r>
          </w:p>
        </w:tc>
      </w:tr>
      <w:tr w:rsidR="00A10636" w:rsidRPr="00D9348B" w14:paraId="668D0E36" w14:textId="77777777" w:rsidTr="008C1F5D">
        <w:tc>
          <w:tcPr>
            <w:tcW w:w="652" w:type="pct"/>
            <w:tcBorders>
              <w:top w:val="single" w:sz="4" w:space="0" w:color="365F91"/>
              <w:bottom w:val="single" w:sz="4" w:space="0" w:color="365F91"/>
            </w:tcBorders>
          </w:tcPr>
          <w:p w14:paraId="5E39375B" w14:textId="77777777" w:rsidR="00A10636" w:rsidRPr="00D9348B" w:rsidRDefault="00A10636" w:rsidP="00DB330E">
            <w:pPr>
              <w:pStyle w:val="TableText"/>
            </w:pPr>
            <w:r w:rsidRPr="00D9348B">
              <w:t>2017</w:t>
            </w:r>
          </w:p>
        </w:tc>
        <w:tc>
          <w:tcPr>
            <w:tcW w:w="1087" w:type="pct"/>
            <w:tcBorders>
              <w:top w:val="single" w:sz="4" w:space="0" w:color="365F91"/>
              <w:bottom w:val="single" w:sz="4" w:space="0" w:color="365F91"/>
            </w:tcBorders>
          </w:tcPr>
          <w:p w14:paraId="540D9412" w14:textId="77777777" w:rsidR="00A10636" w:rsidRPr="00D9348B" w:rsidRDefault="00A10636" w:rsidP="00DB330E">
            <w:pPr>
              <w:pStyle w:val="TableText"/>
              <w:tabs>
                <w:tab w:val="decimal" w:pos="458"/>
              </w:tabs>
              <w:jc w:val="center"/>
            </w:pPr>
            <w:r w:rsidRPr="00D9348B">
              <w:t xml:space="preserve">49.2 </w:t>
            </w:r>
          </w:p>
        </w:tc>
        <w:tc>
          <w:tcPr>
            <w:tcW w:w="1087" w:type="pct"/>
            <w:tcBorders>
              <w:top w:val="single" w:sz="4" w:space="0" w:color="365F91"/>
              <w:bottom w:val="single" w:sz="4" w:space="0" w:color="365F91"/>
            </w:tcBorders>
          </w:tcPr>
          <w:p w14:paraId="27F6539A" w14:textId="77777777" w:rsidR="00A10636" w:rsidRPr="00D9348B" w:rsidRDefault="00A10636" w:rsidP="00DB330E">
            <w:pPr>
              <w:pStyle w:val="TableText"/>
              <w:tabs>
                <w:tab w:val="decimal" w:pos="458"/>
              </w:tabs>
              <w:jc w:val="center"/>
            </w:pPr>
            <w:r w:rsidRPr="00D9348B">
              <w:t xml:space="preserve">52.2 </w:t>
            </w:r>
          </w:p>
        </w:tc>
        <w:tc>
          <w:tcPr>
            <w:tcW w:w="1087" w:type="pct"/>
            <w:tcBorders>
              <w:top w:val="single" w:sz="4" w:space="0" w:color="365F91"/>
              <w:bottom w:val="single" w:sz="4" w:space="0" w:color="365F91"/>
            </w:tcBorders>
          </w:tcPr>
          <w:p w14:paraId="2FF2055A" w14:textId="77777777" w:rsidR="00A10636" w:rsidRPr="00D9348B" w:rsidRDefault="00A10636" w:rsidP="00DB330E">
            <w:pPr>
              <w:pStyle w:val="TableText"/>
              <w:tabs>
                <w:tab w:val="decimal" w:pos="458"/>
              </w:tabs>
              <w:jc w:val="center"/>
            </w:pPr>
            <w:r w:rsidRPr="00D9348B">
              <w:t xml:space="preserve">3.0 </w:t>
            </w:r>
          </w:p>
        </w:tc>
        <w:tc>
          <w:tcPr>
            <w:tcW w:w="1087" w:type="pct"/>
            <w:tcBorders>
              <w:top w:val="single" w:sz="4" w:space="0" w:color="365F91"/>
              <w:bottom w:val="single" w:sz="4" w:space="0" w:color="365F91"/>
            </w:tcBorders>
          </w:tcPr>
          <w:p w14:paraId="72C40F54" w14:textId="77777777" w:rsidR="00A10636" w:rsidRPr="00D9348B" w:rsidRDefault="00A10636" w:rsidP="00DB330E">
            <w:pPr>
              <w:pStyle w:val="TableText"/>
              <w:tabs>
                <w:tab w:val="decimal" w:pos="458"/>
              </w:tabs>
              <w:jc w:val="center"/>
            </w:pPr>
            <w:r w:rsidRPr="00D9348B">
              <w:t>+6.0</w:t>
            </w:r>
          </w:p>
        </w:tc>
      </w:tr>
    </w:tbl>
    <w:p w14:paraId="4C6721D5" w14:textId="77777777" w:rsidR="00A10636" w:rsidRPr="00D9348B" w:rsidRDefault="00A10636" w:rsidP="00A10636">
      <w:pPr>
        <w:pStyle w:val="Heading3"/>
      </w:pPr>
      <w:r w:rsidRPr="00D9348B">
        <w:t>6.9.6</w:t>
      </w:r>
      <w:r w:rsidRPr="00D9348B">
        <w:tab/>
        <w:t>Category-specific planned improvements</w:t>
      </w:r>
    </w:p>
    <w:p w14:paraId="2B89B7A8" w14:textId="77777777" w:rsidR="00A10636" w:rsidRPr="00D9348B" w:rsidRDefault="00A10636" w:rsidP="00A10636">
      <w:pPr>
        <w:pStyle w:val="BodyText"/>
      </w:pPr>
      <w:bookmarkStart w:id="2446" w:name="_Toc414531323"/>
      <w:bookmarkStart w:id="2447" w:name="_Toc474335465"/>
      <w:bookmarkStart w:id="2448" w:name="_Toc481751405"/>
      <w:bookmarkStart w:id="2449" w:name="_Toc522013957"/>
      <w:bookmarkStart w:id="2450" w:name="_Toc5269382"/>
      <w:bookmarkEnd w:id="2441"/>
      <w:bookmarkEnd w:id="2442"/>
      <w:bookmarkEnd w:id="2443"/>
      <w:bookmarkEnd w:id="2444"/>
      <w:bookmarkEnd w:id="2445"/>
      <w:r w:rsidRPr="00D9348B">
        <w:t xml:space="preserve">In the 2019 in-country review, it was suggested that the approach New Zealand had taken to determine the country-specific transition period was not in line with the 2006 IPCC Guidelines. To address this, New Zealand will be moving to the 20-year default transition period of the 2006 IPCC Guidelines (IPCC, 2006a). </w:t>
      </w:r>
    </w:p>
    <w:p w14:paraId="5D576240" w14:textId="77777777" w:rsidR="00A10636" w:rsidRPr="00D9348B" w:rsidRDefault="00A10636" w:rsidP="00A10636">
      <w:pPr>
        <w:pStyle w:val="Heading2"/>
      </w:pPr>
      <w:bookmarkStart w:id="2451" w:name="_Toc36224422"/>
      <w:r w:rsidRPr="00D9348B">
        <w:t>6.10</w:t>
      </w:r>
      <w:r w:rsidRPr="00D9348B">
        <w:tab/>
        <w:t>Harvested wood products (CRF 4G)</w:t>
      </w:r>
      <w:bookmarkEnd w:id="2446"/>
      <w:bookmarkEnd w:id="2447"/>
      <w:bookmarkEnd w:id="2448"/>
      <w:bookmarkEnd w:id="2449"/>
      <w:bookmarkEnd w:id="2450"/>
      <w:bookmarkEnd w:id="2451"/>
    </w:p>
    <w:p w14:paraId="7C611041" w14:textId="77777777" w:rsidR="00A10636" w:rsidRPr="00D9348B" w:rsidRDefault="00A10636" w:rsidP="008C1F5D">
      <w:pPr>
        <w:pStyle w:val="Heading3"/>
        <w:spacing w:before="160"/>
      </w:pPr>
      <w:r w:rsidRPr="00D9348B">
        <w:t>6.10.1</w:t>
      </w:r>
      <w:r w:rsidRPr="00D9348B">
        <w:tab/>
        <w:t>Description</w:t>
      </w:r>
    </w:p>
    <w:p w14:paraId="32B99A1B" w14:textId="77777777" w:rsidR="00A10636" w:rsidRPr="00D9348B" w:rsidRDefault="00A10636" w:rsidP="00A10636">
      <w:pPr>
        <w:pStyle w:val="BodyText"/>
      </w:pPr>
      <w:r w:rsidRPr="00D9348B">
        <w:t xml:space="preserve">In 2018, the net emissions from </w:t>
      </w:r>
      <w:r w:rsidRPr="00D9348B">
        <w:rPr>
          <w:i/>
        </w:rPr>
        <w:t xml:space="preserve">Harvested wood products </w:t>
      </w:r>
      <w:r w:rsidRPr="00D9348B">
        <w:t>were –10,746.7 kt CO</w:t>
      </w:r>
      <w:r w:rsidRPr="00D9348B">
        <w:rPr>
          <w:vertAlign w:val="subscript"/>
        </w:rPr>
        <w:t>2</w:t>
      </w:r>
      <w:r w:rsidRPr="00D9348B">
        <w:t>-e. This is </w:t>
      </w:r>
      <w:r w:rsidRPr="00D9348B">
        <w:br/>
        <w:t>–8,673.8 kt CO</w:t>
      </w:r>
      <w:r w:rsidRPr="00D9348B">
        <w:rPr>
          <w:vertAlign w:val="subscript"/>
        </w:rPr>
        <w:t>2</w:t>
      </w:r>
      <w:r w:rsidRPr="00D9348B">
        <w:noBreakHyphen/>
        <w:t>e (418.4 per cent) lower than the 1990 level of –2,072.9 kt CO</w:t>
      </w:r>
      <w:r w:rsidRPr="00D9348B">
        <w:rPr>
          <w:vertAlign w:val="subscript"/>
        </w:rPr>
        <w:t>2</w:t>
      </w:r>
      <w:r w:rsidRPr="00D9348B">
        <w:noBreakHyphen/>
        <w:t xml:space="preserve">e. The decrease in emissions in the </w:t>
      </w:r>
      <w:r w:rsidRPr="00D9348B">
        <w:rPr>
          <w:i/>
        </w:rPr>
        <w:t xml:space="preserve">Harvested wood products </w:t>
      </w:r>
      <w:r w:rsidRPr="00D9348B">
        <w:t>category</w:t>
      </w:r>
      <w:r w:rsidRPr="00D9348B">
        <w:rPr>
          <w:i/>
        </w:rPr>
        <w:t xml:space="preserve"> </w:t>
      </w:r>
      <w:r w:rsidRPr="00D9348B">
        <w:t xml:space="preserve">is driven by the increased rate of harvest that has occurred since 1990, as shown in figure 6.10.1. </w:t>
      </w:r>
    </w:p>
    <w:p w14:paraId="1559C777" w14:textId="77777777" w:rsidR="00A10636" w:rsidRPr="00D9348B" w:rsidRDefault="00A10636" w:rsidP="00A10636">
      <w:pPr>
        <w:pStyle w:val="Figure"/>
        <w:spacing w:after="0"/>
      </w:pPr>
      <w:bookmarkStart w:id="2452" w:name="_Toc405448097"/>
      <w:bookmarkStart w:id="2453" w:name="_Toc414531629"/>
      <w:bookmarkStart w:id="2454" w:name="_Toc474914653"/>
      <w:bookmarkStart w:id="2455" w:name="_Toc481752035"/>
      <w:bookmarkStart w:id="2456" w:name="_Toc522010713"/>
      <w:bookmarkStart w:id="2457" w:name="_Toc33529488"/>
      <w:bookmarkStart w:id="2458" w:name="_Toc36292818"/>
      <w:bookmarkStart w:id="2459" w:name="_Toc5269715"/>
      <w:r w:rsidRPr="00D9348B">
        <w:lastRenderedPageBreak/>
        <w:t>Figure 6.10.1</w:t>
      </w:r>
      <w:r w:rsidRPr="00D9348B">
        <w:tab/>
        <w:t>Volume of roundwood produced and exported between 1990 to </w:t>
      </w:r>
      <w:bookmarkEnd w:id="2452"/>
      <w:bookmarkEnd w:id="2453"/>
      <w:bookmarkEnd w:id="2454"/>
      <w:bookmarkEnd w:id="2455"/>
      <w:bookmarkEnd w:id="2456"/>
      <w:r w:rsidRPr="00D9348B">
        <w:t>2018</w:t>
      </w:r>
      <w:bookmarkEnd w:id="2457"/>
      <w:bookmarkEnd w:id="2458"/>
    </w:p>
    <w:bookmarkEnd w:id="2459"/>
    <w:p w14:paraId="3045E8EA" w14:textId="45E82FB7" w:rsidR="00A10636" w:rsidRPr="00D9348B" w:rsidRDefault="007165CF" w:rsidP="00A10636">
      <w:pPr>
        <w:pStyle w:val="BodyText"/>
        <w:spacing w:before="0" w:after="0"/>
      </w:pPr>
      <w:r>
        <w:pict w14:anchorId="02DD9BAB">
          <v:shape id="_x0000_i1147" type="#_x0000_t75" style="width:426.35pt;height:269.85pt;visibility:visible;mso-wrap-style:square">
            <v:imagedata r:id="rId228" o:title="" cropbottom="2058f"/>
          </v:shape>
        </w:pict>
      </w:r>
    </w:p>
    <w:p w14:paraId="050513D5" w14:textId="77777777" w:rsidR="00A10636" w:rsidRPr="00D9348B" w:rsidRDefault="00A10636" w:rsidP="00A10636">
      <w:pPr>
        <w:pStyle w:val="BodyText"/>
        <w:spacing w:before="200" w:after="100"/>
      </w:pPr>
      <w:r w:rsidRPr="00D9348B">
        <w:t>New Zealand has a large planted forest estate that provides the majority of wood products consumed domestically and exported in either product or raw material form. These forests were planted from the 1920s to supplement and eventually replace the harvesting and deforestation of natural forests. Forest planting from the 1960s provides a resource specifically established to provide products to the export market. New Zealand currently processes around 40 per cent of its annual harvest. The remaining harvest is exported in raw material form. New Zealand is currently the largest exporter of softwood logs followed by the Russian Federation and United States of America. New Zealand’s planted forests are dominated by radiata pine, which is used in a wide range of applications including timber-frame construction, packaging, plywood, medium density fibreboard (MDF), posts and poles and mechanical and chemical pulping (see CRF table 4.Gs2).</w:t>
      </w:r>
    </w:p>
    <w:p w14:paraId="2ED6760C" w14:textId="77777777" w:rsidR="00A10636" w:rsidRPr="00D9348B" w:rsidRDefault="00A10636" w:rsidP="00A10636">
      <w:pPr>
        <w:pStyle w:val="BodyText"/>
        <w:spacing w:after="100"/>
      </w:pPr>
      <w:r w:rsidRPr="00D9348B">
        <w:t xml:space="preserve">In 2018, </w:t>
      </w:r>
      <w:r w:rsidRPr="00D9348B">
        <w:rPr>
          <w:i/>
        </w:rPr>
        <w:t>Harvested wood products</w:t>
      </w:r>
      <w:r w:rsidRPr="00D9348B">
        <w:t xml:space="preserve"> was a key category (trend and level assessment).</w:t>
      </w:r>
    </w:p>
    <w:p w14:paraId="747B6F84" w14:textId="77777777" w:rsidR="00A10636" w:rsidRPr="00D9348B" w:rsidRDefault="00A10636" w:rsidP="003557B6">
      <w:pPr>
        <w:pStyle w:val="Heading3"/>
        <w:spacing w:before="240"/>
      </w:pPr>
      <w:r w:rsidRPr="00D9348B">
        <w:t>6.10.2</w:t>
      </w:r>
      <w:r w:rsidRPr="00D9348B">
        <w:tab/>
        <w:t>Methodological issues</w:t>
      </w:r>
    </w:p>
    <w:p w14:paraId="3E720DE5" w14:textId="77777777" w:rsidR="00A10636" w:rsidRPr="00D9348B" w:rsidRDefault="00A10636" w:rsidP="00A10636">
      <w:pPr>
        <w:pStyle w:val="BodyText"/>
        <w:spacing w:before="100" w:after="100"/>
      </w:pPr>
      <w:r w:rsidRPr="00D9348B">
        <w:t xml:space="preserve">New Zealand has selected the production approach to report </w:t>
      </w:r>
      <w:r w:rsidRPr="00D9348B">
        <w:rPr>
          <w:i/>
        </w:rPr>
        <w:t>Harvested wood products</w:t>
      </w:r>
      <w:r w:rsidRPr="00D9348B">
        <w:t xml:space="preserve"> in the National Inventory Report. To do this, New Zealand has adapted the default </w:t>
      </w:r>
      <w:r w:rsidRPr="00D9348B">
        <w:rPr>
          <w:i/>
        </w:rPr>
        <w:t>Harvested wood products</w:t>
      </w:r>
      <w:r w:rsidRPr="00D9348B">
        <w:t xml:space="preserve"> model and uses a Tier 2 method (section 12.2.1.2, IPCC, 2006a), which involves using country-specific activity data and parameters (Wakelin, </w:t>
      </w:r>
      <w:proofErr w:type="gramStart"/>
      <w:r w:rsidRPr="00D9348B">
        <w:t>unpublished(</w:t>
      </w:r>
      <w:proofErr w:type="gramEnd"/>
      <w:r w:rsidRPr="00D9348B">
        <w:t xml:space="preserve">g)). </w:t>
      </w:r>
    </w:p>
    <w:p w14:paraId="388BD63F" w14:textId="77777777" w:rsidR="00A10636" w:rsidRPr="00D9348B" w:rsidRDefault="00A10636" w:rsidP="003557B6">
      <w:pPr>
        <w:pStyle w:val="Heading5"/>
        <w:spacing w:before="160"/>
      </w:pPr>
      <w:r w:rsidRPr="00D9348B">
        <w:t>Activity data</w:t>
      </w:r>
    </w:p>
    <w:p w14:paraId="67A6F05F" w14:textId="77777777" w:rsidR="00A10636" w:rsidRPr="00D9348B" w:rsidRDefault="00A10636" w:rsidP="008C1F5D">
      <w:pPr>
        <w:pStyle w:val="BodyText"/>
      </w:pPr>
      <w:r w:rsidRPr="00D9348B">
        <w:t xml:space="preserve">Activity data are from the Food and Agriculture Organization statistical database (FAOSTAT) that is provided to the Food and Agriculture Organization by the Ministry for Primary Industries. </w:t>
      </w:r>
    </w:p>
    <w:p w14:paraId="0A606347" w14:textId="77777777" w:rsidR="00A10636" w:rsidRPr="00D9348B" w:rsidRDefault="00A10636" w:rsidP="008C1F5D">
      <w:pPr>
        <w:pStyle w:val="BodyText"/>
      </w:pPr>
      <w:r w:rsidRPr="00D9348B">
        <w:t xml:space="preserve">Activity data for the period 1900–60 are populated using the IPCC model method, which assumes that consumption is correlated with population growth. The default value for Oceania </w:t>
      </w:r>
      <w:r w:rsidRPr="00D9348B">
        <w:lastRenderedPageBreak/>
        <w:t xml:space="preserve">for the annual rate of increase for the period 1900–60 was used by New Zealand. This information is used to initialise </w:t>
      </w:r>
      <w:r w:rsidRPr="00D9348B">
        <w:rPr>
          <w:i/>
        </w:rPr>
        <w:t>Harvested wood products</w:t>
      </w:r>
      <w:r w:rsidRPr="00D9348B">
        <w:t xml:space="preserve"> stocks as at 1 January 1990. </w:t>
      </w:r>
    </w:p>
    <w:p w14:paraId="2ECD4A73" w14:textId="77777777" w:rsidR="00A10636" w:rsidRPr="00D9348B" w:rsidRDefault="00A10636" w:rsidP="008C1F5D">
      <w:pPr>
        <w:pStyle w:val="BodyText"/>
      </w:pPr>
      <w:r w:rsidRPr="00D9348B">
        <w:t>A large proportion (over 60 per cent) of New Zealand’s harvest was exported as raw materials in the form of logs or wood chips in 2018 (figure 6.10.1) (Ministry for Primary Industries, 2018a). The FAOSTAT database provides data on the export quantity of raw materials but provides no information on the conversion of these materials to products or their expected half-lives. Research was completed in 2016 to provide information on harvested wood products from exported logs in New Zealand’s three main export markets (China, South Korea and India). This research provides activity data for the conversion of New Zealand-produced raw materials to harvested wood products in export markets (Ministry for Primary Industries, 2016). These data provide an improvement on the default assumption that exported raw materials were converted into products at the same rate as domestic production.</w:t>
      </w:r>
    </w:p>
    <w:p w14:paraId="14ADE556" w14:textId="77777777" w:rsidR="00A10636" w:rsidRPr="00D9348B" w:rsidRDefault="00A10636" w:rsidP="00A10636">
      <w:pPr>
        <w:pStyle w:val="Heading5"/>
        <w:spacing w:before="200"/>
      </w:pPr>
      <w:r w:rsidRPr="00D9348B">
        <w:t>Emission factors</w:t>
      </w:r>
    </w:p>
    <w:p w14:paraId="6E43D9A0" w14:textId="77777777" w:rsidR="00A10636" w:rsidRPr="00D9348B" w:rsidRDefault="00A10636" w:rsidP="008C1F5D">
      <w:pPr>
        <w:pStyle w:val="BodyText"/>
      </w:pPr>
      <w:r w:rsidRPr="00D9348B">
        <w:t xml:space="preserve">The default wood carbon content value of 50 per cent, from table 12.4 of the 2006 IPCC Guidelines, is used in the harvested wood products model (IPCC, 2006a). This value is consistent with the planted forest model that uses a country-specific value of 50 per cent. A country-specific wood density value of 420 kilograms per square metre is used for sawnwood produced from coniferous species (Jones, 2005). This value is used to reflect coniferous species’ contribution to New Zealand roundwood making up around 98 per cent of annual harvest. A country-specific wood density value of 500 kilograms per square metre is used for sawnwood produced from non-coniferous species (Jones, 2005). Non-coniferous species (mainly </w:t>
      </w:r>
      <w:r w:rsidRPr="00D9348B">
        <w:rPr>
          <w:i/>
        </w:rPr>
        <w:t>Eucalyptus</w:t>
      </w:r>
      <w:r w:rsidRPr="00D9348B">
        <w:t xml:space="preserve"> species) make up around 2 per cent of annual harvest. The default IPCC bark factor (11 per cent; annex 4A.1, IPCC, 2006a) is used for conifers and is considered appropriate for New Zealand. Wood-based panels and paper products all use IPCC defaults because no country-specific value is available (see table 6.10.1).</w:t>
      </w:r>
    </w:p>
    <w:p w14:paraId="3C00B09B" w14:textId="77777777" w:rsidR="00A10636" w:rsidRPr="00D9348B" w:rsidRDefault="00A10636" w:rsidP="00A10636">
      <w:pPr>
        <w:pStyle w:val="Table"/>
      </w:pPr>
      <w:bookmarkStart w:id="2460" w:name="_Toc410028866"/>
      <w:bookmarkStart w:id="2461" w:name="_Toc414531494"/>
      <w:bookmarkStart w:id="2462" w:name="_Toc443645407"/>
      <w:bookmarkStart w:id="2463" w:name="_Toc474914626"/>
      <w:bookmarkStart w:id="2464" w:name="_Toc481751590"/>
      <w:bookmarkStart w:id="2465" w:name="_Toc522010647"/>
      <w:bookmarkStart w:id="2466" w:name="_Toc5269552"/>
      <w:bookmarkStart w:id="2467" w:name="_Toc33529426"/>
      <w:bookmarkStart w:id="2468" w:name="_Toc36224632"/>
      <w:r w:rsidRPr="00D9348B">
        <w:t>Table 6.10.1</w:t>
      </w:r>
      <w:r w:rsidRPr="00D9348B">
        <w:tab/>
        <w:t>Country-specific conversion factors for Harvested wood products produced</w:t>
      </w:r>
      <w:r w:rsidRPr="00D9348B">
        <w:br/>
        <w:t>from New Zealand</w:t>
      </w:r>
      <w:bookmarkEnd w:id="2460"/>
      <w:bookmarkEnd w:id="2461"/>
      <w:bookmarkEnd w:id="2462"/>
      <w:bookmarkEnd w:id="2463"/>
      <w:bookmarkEnd w:id="2464"/>
      <w:r w:rsidRPr="00D9348B">
        <w:t xml:space="preserve"> wood</w:t>
      </w:r>
      <w:bookmarkEnd w:id="2465"/>
      <w:bookmarkEnd w:id="2466"/>
      <w:bookmarkEnd w:id="2467"/>
      <w:bookmarkEnd w:id="2468"/>
    </w:p>
    <w:tbl>
      <w:tblPr>
        <w:tblW w:w="8505" w:type="dxa"/>
        <w:tblInd w:w="108" w:type="dxa"/>
        <w:tblBorders>
          <w:top w:val="single" w:sz="4" w:space="0" w:color="365F91"/>
          <w:bottom w:val="single" w:sz="4" w:space="0" w:color="365F91"/>
          <w:insideH w:val="single" w:sz="4" w:space="0" w:color="365F91"/>
        </w:tblBorders>
        <w:tblLook w:val="04A0" w:firstRow="1" w:lastRow="0" w:firstColumn="1" w:lastColumn="0" w:noHBand="0" w:noVBand="1"/>
      </w:tblPr>
      <w:tblGrid>
        <w:gridCol w:w="3969"/>
        <w:gridCol w:w="1985"/>
        <w:gridCol w:w="2551"/>
      </w:tblGrid>
      <w:tr w:rsidR="00A10636" w:rsidRPr="00D9348B" w14:paraId="4A9BCCA7" w14:textId="77777777" w:rsidTr="008C1F5D">
        <w:trPr>
          <w:tblHeader/>
        </w:trPr>
        <w:tc>
          <w:tcPr>
            <w:tcW w:w="3969" w:type="dxa"/>
            <w:shd w:val="clear" w:color="auto" w:fill="365F91"/>
            <w:vAlign w:val="bottom"/>
          </w:tcPr>
          <w:p w14:paraId="0184104A" w14:textId="77777777" w:rsidR="00A10636" w:rsidRPr="00D9348B" w:rsidRDefault="00A10636" w:rsidP="00DB330E">
            <w:pPr>
              <w:pStyle w:val="TableTextBold"/>
              <w:keepNext/>
              <w:keepLines/>
              <w:rPr>
                <w:noProof w:val="0"/>
                <w:color w:val="FFFFFF"/>
              </w:rPr>
            </w:pPr>
            <w:r w:rsidRPr="00D9348B">
              <w:rPr>
                <w:noProof w:val="0"/>
                <w:color w:val="FFFFFF"/>
              </w:rPr>
              <w:t>Category</w:t>
            </w:r>
          </w:p>
        </w:tc>
        <w:tc>
          <w:tcPr>
            <w:tcW w:w="1985" w:type="dxa"/>
            <w:shd w:val="clear" w:color="auto" w:fill="365F91"/>
            <w:vAlign w:val="bottom"/>
          </w:tcPr>
          <w:p w14:paraId="4271A287" w14:textId="77777777" w:rsidR="00A10636" w:rsidRPr="00D9348B" w:rsidRDefault="00A10636" w:rsidP="00DB330E">
            <w:pPr>
              <w:pStyle w:val="TableTextBold"/>
              <w:keepNext/>
              <w:keepLines/>
              <w:jc w:val="center"/>
              <w:rPr>
                <w:noProof w:val="0"/>
                <w:color w:val="FFFFFF"/>
              </w:rPr>
            </w:pPr>
            <w:r w:rsidRPr="00D9348B">
              <w:rPr>
                <w:noProof w:val="0"/>
                <w:color w:val="FFFFFF"/>
              </w:rPr>
              <w:t>Factor (t C/m</w:t>
            </w:r>
            <w:r w:rsidRPr="00D9348B">
              <w:rPr>
                <w:rFonts w:ascii="Arial Bold" w:hAnsi="Arial Bold"/>
                <w:noProof w:val="0"/>
                <w:color w:val="FFFFFF"/>
                <w:vertAlign w:val="superscript"/>
              </w:rPr>
              <w:t>2</w:t>
            </w:r>
            <w:r w:rsidRPr="00D9348B">
              <w:rPr>
                <w:noProof w:val="0"/>
                <w:color w:val="FFFFFF"/>
              </w:rPr>
              <w:t xml:space="preserve"> or t C/t*)</w:t>
            </w:r>
          </w:p>
        </w:tc>
        <w:tc>
          <w:tcPr>
            <w:tcW w:w="2551" w:type="dxa"/>
            <w:shd w:val="clear" w:color="auto" w:fill="365F91"/>
            <w:vAlign w:val="bottom"/>
          </w:tcPr>
          <w:p w14:paraId="1C74DF00" w14:textId="77777777" w:rsidR="00A10636" w:rsidRPr="00D9348B" w:rsidRDefault="00A10636" w:rsidP="00DB330E">
            <w:pPr>
              <w:pStyle w:val="TableTextBold"/>
              <w:keepNext/>
              <w:keepLines/>
              <w:rPr>
                <w:noProof w:val="0"/>
                <w:color w:val="FFFFFF"/>
              </w:rPr>
            </w:pPr>
            <w:r w:rsidRPr="00D9348B">
              <w:rPr>
                <w:noProof w:val="0"/>
                <w:color w:val="FFFFFF"/>
              </w:rPr>
              <w:t>Source</w:t>
            </w:r>
          </w:p>
        </w:tc>
      </w:tr>
      <w:tr w:rsidR="00A10636" w:rsidRPr="00D9348B" w14:paraId="56186385" w14:textId="77777777" w:rsidTr="008C1F5D">
        <w:tc>
          <w:tcPr>
            <w:tcW w:w="3969" w:type="dxa"/>
            <w:shd w:val="clear" w:color="auto" w:fill="auto"/>
          </w:tcPr>
          <w:p w14:paraId="560711B6" w14:textId="77777777" w:rsidR="00A10636" w:rsidRPr="00D9348B" w:rsidRDefault="00A10636" w:rsidP="00DB330E">
            <w:pPr>
              <w:pStyle w:val="TableText"/>
            </w:pPr>
            <w:r w:rsidRPr="00D9348B">
              <w:t>Sawnwood, other industrial roundwood (coniferous)</w:t>
            </w:r>
          </w:p>
        </w:tc>
        <w:tc>
          <w:tcPr>
            <w:tcW w:w="1985" w:type="dxa"/>
            <w:shd w:val="clear" w:color="auto" w:fill="auto"/>
          </w:tcPr>
          <w:p w14:paraId="683F544C" w14:textId="77777777" w:rsidR="00A10636" w:rsidRPr="00D9348B" w:rsidRDefault="00A10636" w:rsidP="00DB330E">
            <w:pPr>
              <w:pStyle w:val="TableText"/>
              <w:tabs>
                <w:tab w:val="decimal" w:pos="181"/>
              </w:tabs>
              <w:jc w:val="center"/>
            </w:pPr>
            <w:r w:rsidRPr="00D9348B">
              <w:t>0.210</w:t>
            </w:r>
          </w:p>
        </w:tc>
        <w:tc>
          <w:tcPr>
            <w:tcW w:w="2551" w:type="dxa"/>
            <w:shd w:val="clear" w:color="auto" w:fill="auto"/>
          </w:tcPr>
          <w:p w14:paraId="6091D800" w14:textId="77777777" w:rsidR="00A10636" w:rsidRPr="00D9348B" w:rsidRDefault="00A10636" w:rsidP="00DB330E">
            <w:pPr>
              <w:pStyle w:val="TableText"/>
            </w:pPr>
            <w:r w:rsidRPr="00D9348B">
              <w:t>Country specific (Jones, 2005)</w:t>
            </w:r>
          </w:p>
        </w:tc>
      </w:tr>
      <w:tr w:rsidR="00A10636" w:rsidRPr="00D9348B" w14:paraId="1DC336C6" w14:textId="77777777" w:rsidTr="008C1F5D">
        <w:tc>
          <w:tcPr>
            <w:tcW w:w="3969" w:type="dxa"/>
            <w:shd w:val="clear" w:color="auto" w:fill="auto"/>
          </w:tcPr>
          <w:p w14:paraId="00AED843" w14:textId="77777777" w:rsidR="00A10636" w:rsidRPr="00D9348B" w:rsidRDefault="00A10636" w:rsidP="00DB330E">
            <w:pPr>
              <w:pStyle w:val="TableText"/>
            </w:pPr>
            <w:r w:rsidRPr="00D9348B">
              <w:t>Sawnwood, other industrial roundwood (non-coniferous)</w:t>
            </w:r>
          </w:p>
        </w:tc>
        <w:tc>
          <w:tcPr>
            <w:tcW w:w="1985" w:type="dxa"/>
            <w:shd w:val="clear" w:color="auto" w:fill="auto"/>
          </w:tcPr>
          <w:p w14:paraId="4EAB27E1" w14:textId="77777777" w:rsidR="00A10636" w:rsidRPr="00D9348B" w:rsidRDefault="00A10636" w:rsidP="00DB330E">
            <w:pPr>
              <w:pStyle w:val="TableText"/>
              <w:tabs>
                <w:tab w:val="decimal" w:pos="181"/>
              </w:tabs>
              <w:jc w:val="center"/>
            </w:pPr>
            <w:r w:rsidRPr="00D9348B">
              <w:t>0.250</w:t>
            </w:r>
          </w:p>
        </w:tc>
        <w:tc>
          <w:tcPr>
            <w:tcW w:w="2551" w:type="dxa"/>
            <w:shd w:val="clear" w:color="auto" w:fill="auto"/>
          </w:tcPr>
          <w:p w14:paraId="1725BCA8" w14:textId="77777777" w:rsidR="00A10636" w:rsidRPr="00D9348B" w:rsidRDefault="00A10636" w:rsidP="00DB330E">
            <w:pPr>
              <w:pStyle w:val="TableText"/>
            </w:pPr>
            <w:r w:rsidRPr="00D9348B">
              <w:t>Country specific (Jones, 2005)</w:t>
            </w:r>
          </w:p>
        </w:tc>
      </w:tr>
      <w:tr w:rsidR="00A10636" w:rsidRPr="00D9348B" w14:paraId="00E73463" w14:textId="77777777" w:rsidTr="008C1F5D">
        <w:tc>
          <w:tcPr>
            <w:tcW w:w="3969" w:type="dxa"/>
            <w:shd w:val="clear" w:color="auto" w:fill="auto"/>
          </w:tcPr>
          <w:p w14:paraId="6519172E" w14:textId="77777777" w:rsidR="00A10636" w:rsidRPr="00D9348B" w:rsidRDefault="00A10636" w:rsidP="00DB330E">
            <w:pPr>
              <w:pStyle w:val="TableText"/>
            </w:pPr>
            <w:r w:rsidRPr="00D9348B">
              <w:t>Veneer sheets</w:t>
            </w:r>
          </w:p>
        </w:tc>
        <w:tc>
          <w:tcPr>
            <w:tcW w:w="1985" w:type="dxa"/>
            <w:shd w:val="clear" w:color="auto" w:fill="auto"/>
          </w:tcPr>
          <w:p w14:paraId="0E9B23F8" w14:textId="77777777" w:rsidR="00A10636" w:rsidRPr="00D9348B" w:rsidRDefault="00A10636" w:rsidP="00DB330E">
            <w:pPr>
              <w:pStyle w:val="TableText"/>
              <w:tabs>
                <w:tab w:val="decimal" w:pos="181"/>
              </w:tabs>
              <w:jc w:val="center"/>
            </w:pPr>
            <w:r w:rsidRPr="00D9348B">
              <w:t>0.210</w:t>
            </w:r>
          </w:p>
        </w:tc>
        <w:tc>
          <w:tcPr>
            <w:tcW w:w="2551" w:type="dxa"/>
            <w:shd w:val="clear" w:color="auto" w:fill="auto"/>
          </w:tcPr>
          <w:p w14:paraId="70BF95EA" w14:textId="77777777" w:rsidR="00A10636" w:rsidRPr="00D9348B" w:rsidRDefault="00A10636" w:rsidP="00DB330E">
            <w:pPr>
              <w:pStyle w:val="TableText"/>
            </w:pPr>
            <w:r w:rsidRPr="00D9348B">
              <w:t>Country specific (Jones, 2005)</w:t>
            </w:r>
          </w:p>
        </w:tc>
      </w:tr>
      <w:tr w:rsidR="00A10636" w:rsidRPr="00D9348B" w14:paraId="15F838B3" w14:textId="77777777" w:rsidTr="008C1F5D">
        <w:tc>
          <w:tcPr>
            <w:tcW w:w="3969" w:type="dxa"/>
            <w:shd w:val="clear" w:color="auto" w:fill="auto"/>
          </w:tcPr>
          <w:p w14:paraId="40D16F8A" w14:textId="77777777" w:rsidR="00A10636" w:rsidRPr="00D9348B" w:rsidRDefault="00A10636" w:rsidP="00DB330E">
            <w:pPr>
              <w:pStyle w:val="TableText"/>
            </w:pPr>
            <w:r w:rsidRPr="00D9348B">
              <w:t>Plywood</w:t>
            </w:r>
          </w:p>
        </w:tc>
        <w:tc>
          <w:tcPr>
            <w:tcW w:w="1985" w:type="dxa"/>
            <w:shd w:val="clear" w:color="auto" w:fill="auto"/>
          </w:tcPr>
          <w:p w14:paraId="3DB0D61A" w14:textId="77777777" w:rsidR="00A10636" w:rsidRPr="00D9348B" w:rsidRDefault="00A10636" w:rsidP="00DB330E">
            <w:pPr>
              <w:pStyle w:val="TableText"/>
              <w:tabs>
                <w:tab w:val="decimal" w:pos="181"/>
              </w:tabs>
              <w:jc w:val="center"/>
            </w:pPr>
            <w:r w:rsidRPr="00D9348B">
              <w:t>0.267</w:t>
            </w:r>
          </w:p>
        </w:tc>
        <w:tc>
          <w:tcPr>
            <w:tcW w:w="2551" w:type="dxa"/>
            <w:shd w:val="clear" w:color="auto" w:fill="auto"/>
          </w:tcPr>
          <w:p w14:paraId="44128800" w14:textId="77777777" w:rsidR="00A10636" w:rsidRPr="00D9348B" w:rsidRDefault="00A10636" w:rsidP="00DB330E">
            <w:pPr>
              <w:pStyle w:val="TableText"/>
            </w:pPr>
            <w:r w:rsidRPr="00D9348B">
              <w:t>IPCC default (IPCC, 2014)</w:t>
            </w:r>
          </w:p>
        </w:tc>
      </w:tr>
      <w:tr w:rsidR="00A10636" w:rsidRPr="00D9348B" w14:paraId="183BCD15" w14:textId="77777777" w:rsidTr="008C1F5D">
        <w:tc>
          <w:tcPr>
            <w:tcW w:w="3969" w:type="dxa"/>
            <w:shd w:val="clear" w:color="auto" w:fill="auto"/>
          </w:tcPr>
          <w:p w14:paraId="6EA3F68D" w14:textId="77777777" w:rsidR="00A10636" w:rsidRPr="00D9348B" w:rsidRDefault="00A10636" w:rsidP="00DB330E">
            <w:pPr>
              <w:pStyle w:val="TableText"/>
            </w:pPr>
            <w:r w:rsidRPr="00D9348B">
              <w:t>Particle board</w:t>
            </w:r>
          </w:p>
        </w:tc>
        <w:tc>
          <w:tcPr>
            <w:tcW w:w="1985" w:type="dxa"/>
            <w:shd w:val="clear" w:color="auto" w:fill="auto"/>
          </w:tcPr>
          <w:p w14:paraId="23368306" w14:textId="77777777" w:rsidR="00A10636" w:rsidRPr="00D9348B" w:rsidRDefault="00A10636" w:rsidP="00DB330E">
            <w:pPr>
              <w:pStyle w:val="TableText"/>
              <w:tabs>
                <w:tab w:val="decimal" w:pos="181"/>
              </w:tabs>
              <w:jc w:val="center"/>
            </w:pPr>
            <w:r w:rsidRPr="00D9348B">
              <w:t>0.269</w:t>
            </w:r>
          </w:p>
        </w:tc>
        <w:tc>
          <w:tcPr>
            <w:tcW w:w="2551" w:type="dxa"/>
            <w:shd w:val="clear" w:color="auto" w:fill="auto"/>
          </w:tcPr>
          <w:p w14:paraId="7D4D4422" w14:textId="77777777" w:rsidR="00A10636" w:rsidRPr="00D9348B" w:rsidRDefault="00A10636" w:rsidP="00DB330E">
            <w:pPr>
              <w:pStyle w:val="TableText"/>
            </w:pPr>
            <w:r w:rsidRPr="00D9348B">
              <w:t>IPCC default (IPCC, 2014)</w:t>
            </w:r>
          </w:p>
        </w:tc>
      </w:tr>
      <w:tr w:rsidR="00A10636" w:rsidRPr="00D9348B" w14:paraId="5631F49D" w14:textId="77777777" w:rsidTr="008C1F5D">
        <w:tc>
          <w:tcPr>
            <w:tcW w:w="3969" w:type="dxa"/>
            <w:shd w:val="clear" w:color="auto" w:fill="auto"/>
          </w:tcPr>
          <w:p w14:paraId="49375481" w14:textId="77777777" w:rsidR="00A10636" w:rsidRPr="00D9348B" w:rsidRDefault="00A10636" w:rsidP="00DB330E">
            <w:pPr>
              <w:pStyle w:val="TableText"/>
            </w:pPr>
            <w:r w:rsidRPr="00D9348B">
              <w:t>Fibreboard (compressed)</w:t>
            </w:r>
          </w:p>
        </w:tc>
        <w:tc>
          <w:tcPr>
            <w:tcW w:w="1985" w:type="dxa"/>
            <w:shd w:val="clear" w:color="auto" w:fill="auto"/>
          </w:tcPr>
          <w:p w14:paraId="6AB1A357" w14:textId="77777777" w:rsidR="00A10636" w:rsidRPr="00D9348B" w:rsidRDefault="00A10636" w:rsidP="00DB330E">
            <w:pPr>
              <w:pStyle w:val="TableText"/>
              <w:tabs>
                <w:tab w:val="decimal" w:pos="181"/>
              </w:tabs>
              <w:jc w:val="center"/>
            </w:pPr>
            <w:r w:rsidRPr="00D9348B">
              <w:t>0.315</w:t>
            </w:r>
          </w:p>
        </w:tc>
        <w:tc>
          <w:tcPr>
            <w:tcW w:w="2551" w:type="dxa"/>
            <w:shd w:val="clear" w:color="auto" w:fill="auto"/>
          </w:tcPr>
          <w:p w14:paraId="3BD42F93" w14:textId="77777777" w:rsidR="00A10636" w:rsidRPr="00D9348B" w:rsidRDefault="00A10636" w:rsidP="00DB330E">
            <w:pPr>
              <w:pStyle w:val="TableText"/>
            </w:pPr>
            <w:r w:rsidRPr="00D9348B">
              <w:t>IPCC default (IPCC, 2014)</w:t>
            </w:r>
          </w:p>
        </w:tc>
      </w:tr>
      <w:tr w:rsidR="00A10636" w:rsidRPr="00D9348B" w14:paraId="3045DC3C" w14:textId="77777777" w:rsidTr="008C1F5D">
        <w:tc>
          <w:tcPr>
            <w:tcW w:w="3969" w:type="dxa"/>
            <w:shd w:val="clear" w:color="auto" w:fill="auto"/>
          </w:tcPr>
          <w:p w14:paraId="55821F8C" w14:textId="77777777" w:rsidR="00A10636" w:rsidRPr="00D9348B" w:rsidRDefault="00A10636" w:rsidP="00DB330E">
            <w:pPr>
              <w:pStyle w:val="TableText"/>
            </w:pPr>
            <w:r w:rsidRPr="00D9348B">
              <w:t>Insulating board/other fibreboard</w:t>
            </w:r>
          </w:p>
        </w:tc>
        <w:tc>
          <w:tcPr>
            <w:tcW w:w="1985" w:type="dxa"/>
            <w:shd w:val="clear" w:color="auto" w:fill="auto"/>
          </w:tcPr>
          <w:p w14:paraId="7C012901" w14:textId="77777777" w:rsidR="00A10636" w:rsidRPr="00D9348B" w:rsidRDefault="00A10636" w:rsidP="00DB330E">
            <w:pPr>
              <w:pStyle w:val="TableText"/>
              <w:tabs>
                <w:tab w:val="decimal" w:pos="181"/>
              </w:tabs>
              <w:jc w:val="center"/>
            </w:pPr>
            <w:r w:rsidRPr="00D9348B">
              <w:t>0.075</w:t>
            </w:r>
          </w:p>
        </w:tc>
        <w:tc>
          <w:tcPr>
            <w:tcW w:w="2551" w:type="dxa"/>
            <w:shd w:val="clear" w:color="auto" w:fill="auto"/>
          </w:tcPr>
          <w:p w14:paraId="538F01D3" w14:textId="77777777" w:rsidR="00A10636" w:rsidRPr="00D9348B" w:rsidRDefault="00A10636" w:rsidP="00DB330E">
            <w:pPr>
              <w:pStyle w:val="TableText"/>
            </w:pPr>
            <w:r w:rsidRPr="00D9348B">
              <w:t>IPCC default (IPCC, 2014)</w:t>
            </w:r>
          </w:p>
        </w:tc>
      </w:tr>
      <w:tr w:rsidR="00A10636" w:rsidRPr="00D9348B" w14:paraId="35891AC7" w14:textId="77777777" w:rsidTr="008C1F5D">
        <w:tc>
          <w:tcPr>
            <w:tcW w:w="3969" w:type="dxa"/>
            <w:shd w:val="clear" w:color="auto" w:fill="auto"/>
          </w:tcPr>
          <w:p w14:paraId="031EC8CF" w14:textId="77777777" w:rsidR="00A10636" w:rsidRPr="00D9348B" w:rsidRDefault="00A10636" w:rsidP="00DB330E">
            <w:pPr>
              <w:pStyle w:val="TableText"/>
            </w:pPr>
            <w:r w:rsidRPr="00D9348B">
              <w:t>Paper products</w:t>
            </w:r>
          </w:p>
        </w:tc>
        <w:tc>
          <w:tcPr>
            <w:tcW w:w="1985" w:type="dxa"/>
            <w:shd w:val="clear" w:color="auto" w:fill="auto"/>
          </w:tcPr>
          <w:p w14:paraId="4F0A6CF6" w14:textId="77777777" w:rsidR="00A10636" w:rsidRPr="00D9348B" w:rsidRDefault="00A10636" w:rsidP="00DB330E">
            <w:pPr>
              <w:pStyle w:val="TableText"/>
              <w:tabs>
                <w:tab w:val="decimal" w:pos="181"/>
              </w:tabs>
              <w:ind w:right="-57"/>
              <w:jc w:val="center"/>
            </w:pPr>
            <w:r w:rsidRPr="00D9348B">
              <w:t>0.450*</w:t>
            </w:r>
          </w:p>
        </w:tc>
        <w:tc>
          <w:tcPr>
            <w:tcW w:w="2551" w:type="dxa"/>
            <w:shd w:val="clear" w:color="auto" w:fill="auto"/>
          </w:tcPr>
          <w:p w14:paraId="5E030950" w14:textId="77777777" w:rsidR="00A10636" w:rsidRPr="00D9348B" w:rsidRDefault="00A10636" w:rsidP="00DB330E">
            <w:pPr>
              <w:pStyle w:val="TableText"/>
            </w:pPr>
            <w:r w:rsidRPr="00D9348B">
              <w:t>IPCC default (IPCC, 2014)</w:t>
            </w:r>
          </w:p>
        </w:tc>
      </w:tr>
    </w:tbl>
    <w:p w14:paraId="67D52087" w14:textId="77777777" w:rsidR="00A10636" w:rsidRPr="00D9348B" w:rsidRDefault="00A10636" w:rsidP="00A10636">
      <w:pPr>
        <w:pStyle w:val="Noteundertable"/>
      </w:pPr>
      <w:r w:rsidRPr="00D9348B">
        <w:rPr>
          <w:b/>
        </w:rPr>
        <w:t>Note:</w:t>
      </w:r>
      <w:r w:rsidRPr="00D9348B">
        <w:tab/>
        <w:t>* Indicates where factors are given in tonnes of carbon per tonne of product.</w:t>
      </w:r>
    </w:p>
    <w:p w14:paraId="764DCBE2" w14:textId="77777777" w:rsidR="00A10636" w:rsidRPr="00D9348B" w:rsidRDefault="00A10636" w:rsidP="00A10636">
      <w:pPr>
        <w:pStyle w:val="Heading5"/>
        <w:spacing w:before="120"/>
      </w:pPr>
      <w:r w:rsidRPr="00D9348B">
        <w:t xml:space="preserve">Half-lives </w:t>
      </w:r>
    </w:p>
    <w:p w14:paraId="21938C13" w14:textId="77777777" w:rsidR="00A10636" w:rsidRPr="00D9348B" w:rsidRDefault="00A10636" w:rsidP="00A10636">
      <w:pPr>
        <w:pStyle w:val="BodyText"/>
      </w:pPr>
      <w:r w:rsidRPr="00D9348B">
        <w:t xml:space="preserve">Half-lives determine the discard rate of products from service in the </w:t>
      </w:r>
      <w:r w:rsidRPr="00D9348B">
        <w:rPr>
          <w:i/>
        </w:rPr>
        <w:t xml:space="preserve">Harvested wood products </w:t>
      </w:r>
      <w:r w:rsidRPr="00D9348B">
        <w:t>category. New Zealand uses a half-life of 35 years for </w:t>
      </w:r>
      <w:r w:rsidRPr="00D9348B">
        <w:rPr>
          <w:i/>
        </w:rPr>
        <w:t>Sawnwood</w:t>
      </w:r>
      <w:r w:rsidRPr="00D9348B">
        <w:t>,</w:t>
      </w:r>
      <w:r w:rsidRPr="00D9348B">
        <w:rPr>
          <w:i/>
        </w:rPr>
        <w:t xml:space="preserve"> </w:t>
      </w:r>
      <w:r w:rsidRPr="00D9348B">
        <w:t>25 years for</w:t>
      </w:r>
      <w:r w:rsidRPr="00D9348B">
        <w:rPr>
          <w:i/>
        </w:rPr>
        <w:t xml:space="preserve"> Panels</w:t>
      </w:r>
      <w:r w:rsidRPr="00D9348B" w:rsidDel="00C32CA0">
        <w:rPr>
          <w:i/>
        </w:rPr>
        <w:t xml:space="preserve"> </w:t>
      </w:r>
      <w:r w:rsidRPr="00D9348B">
        <w:t xml:space="preserve">and two years for </w:t>
      </w:r>
      <w:r w:rsidRPr="00D9348B">
        <w:rPr>
          <w:i/>
        </w:rPr>
        <w:t>Paper and paperboard</w:t>
      </w:r>
      <w:r w:rsidRPr="00D9348B">
        <w:t xml:space="preserve"> from the Kyoto Protocol Supplement (IPCC, 2014) for domestic production. These half-lives are used to align with the method used in KP-LULUCF and to increase the accuracy of the estimates over the default categories (</w:t>
      </w:r>
      <w:r w:rsidRPr="00D9348B">
        <w:rPr>
          <w:i/>
        </w:rPr>
        <w:t xml:space="preserve">Solid wood </w:t>
      </w:r>
      <w:r w:rsidRPr="00D9348B">
        <w:t>and</w:t>
      </w:r>
      <w:r w:rsidRPr="00D9348B">
        <w:rPr>
          <w:i/>
        </w:rPr>
        <w:t xml:space="preserve"> Paper and paperboard</w:t>
      </w:r>
      <w:r w:rsidRPr="00D9348B">
        <w:t>)</w:t>
      </w:r>
      <w:r w:rsidRPr="00D9348B">
        <w:rPr>
          <w:i/>
        </w:rPr>
        <w:t xml:space="preserve"> </w:t>
      </w:r>
      <w:r w:rsidRPr="00D9348B">
        <w:t>(table 12.2, IPCC, 2006a).</w:t>
      </w:r>
    </w:p>
    <w:p w14:paraId="347168D4" w14:textId="77777777" w:rsidR="00A10636" w:rsidRPr="00D9348B" w:rsidRDefault="00A10636" w:rsidP="00A10636">
      <w:pPr>
        <w:pStyle w:val="BodyText"/>
        <w:rPr>
          <w:spacing w:val="-2"/>
        </w:rPr>
      </w:pPr>
      <w:r w:rsidRPr="00D9348B">
        <w:rPr>
          <w:spacing w:val="-2"/>
        </w:rPr>
        <w:lastRenderedPageBreak/>
        <w:t xml:space="preserve">Research completed in 2016 provided information on harvested wood products from exported logs in New Zealand’s three main export markets (China, South Korea and India). The study found that the majority of New Zealand wood is converted into construction and packaging materials. Weighted half-lives were found to be 6.6, 18 and 2.5 years for China, South Korea and India respectively (Ministry for Primary Industries, 2016). The weighted half-lives for China and India are significantly lower than the IPCC default half-lives for </w:t>
      </w:r>
      <w:r w:rsidRPr="00D9348B">
        <w:rPr>
          <w:i/>
          <w:spacing w:val="-2"/>
        </w:rPr>
        <w:t>Sawnwood</w:t>
      </w:r>
      <w:r w:rsidRPr="00D9348B">
        <w:rPr>
          <w:spacing w:val="-2"/>
        </w:rPr>
        <w:t xml:space="preserve"> and </w:t>
      </w:r>
      <w:r w:rsidRPr="00D9348B">
        <w:rPr>
          <w:i/>
          <w:spacing w:val="-2"/>
        </w:rPr>
        <w:t>Panels</w:t>
      </w:r>
      <w:r w:rsidRPr="00D9348B">
        <w:rPr>
          <w:spacing w:val="-2"/>
        </w:rPr>
        <w:t xml:space="preserve"> (35 and 25 years respectively) (IPCC, 2014). These findings are included in New Zealand’s </w:t>
      </w:r>
      <w:r w:rsidRPr="00D9348B">
        <w:rPr>
          <w:i/>
          <w:spacing w:val="-2"/>
        </w:rPr>
        <w:t>Harvested wood products</w:t>
      </w:r>
      <w:r w:rsidRPr="00D9348B">
        <w:rPr>
          <w:spacing w:val="-2"/>
        </w:rPr>
        <w:t xml:space="preserve"> estimates and provide an improvement on the default assumption where exported raw materials were discarded at the same rate as domestic production.</w:t>
      </w:r>
    </w:p>
    <w:p w14:paraId="7DCF6221" w14:textId="77777777" w:rsidR="00A10636" w:rsidRPr="00D9348B" w:rsidRDefault="00A10636" w:rsidP="00A10636">
      <w:pPr>
        <w:pStyle w:val="Heading3"/>
      </w:pPr>
      <w:r w:rsidRPr="00D9348B">
        <w:t>6.10.3</w:t>
      </w:r>
      <w:r w:rsidRPr="00D9348B">
        <w:tab/>
        <w:t>Uncertainties and time-series consistency</w:t>
      </w:r>
    </w:p>
    <w:p w14:paraId="17F49961" w14:textId="77777777" w:rsidR="00A10636" w:rsidRPr="00D9348B" w:rsidRDefault="00A10636" w:rsidP="00A10636">
      <w:pPr>
        <w:pStyle w:val="BodyText"/>
      </w:pPr>
      <w:r w:rsidRPr="00D9348B">
        <w:t xml:space="preserve">Uncertainty in the </w:t>
      </w:r>
      <w:r w:rsidRPr="00D9348B">
        <w:rPr>
          <w:i/>
        </w:rPr>
        <w:t>Harvested wood products</w:t>
      </w:r>
      <w:r w:rsidRPr="00D9348B">
        <w:t xml:space="preserve"> estimates is introduced by activity data, conversion factors and decay parameters. The </w:t>
      </w:r>
      <w:r w:rsidRPr="00D9348B">
        <w:rPr>
          <w:i/>
        </w:rPr>
        <w:t>Harvested wood products</w:t>
      </w:r>
      <w:r w:rsidRPr="00D9348B">
        <w:t xml:space="preserve"> category provides the second-greatest contribution to uncertainty in the LULUCF sector. This is driven by large removals in this pool and high uncertainty associated with the end-use and discard rates of New Zealand wood. Uncertainty limits for </w:t>
      </w:r>
      <w:r w:rsidRPr="00D9348B">
        <w:rPr>
          <w:i/>
        </w:rPr>
        <w:t>Harvested wood products</w:t>
      </w:r>
      <w:r w:rsidRPr="00D9348B">
        <w:t xml:space="preserve"> data and parameters are given in table 6.10.2. Uncertainty in New Zealand’s 2018 estimates from emissions associated with </w:t>
      </w:r>
      <w:r w:rsidRPr="00D9348B">
        <w:rPr>
          <w:i/>
        </w:rPr>
        <w:t>Harvested wood products</w:t>
      </w:r>
      <w:r w:rsidRPr="00D9348B">
        <w:t xml:space="preserve"> is provided in table 6.10.3.</w:t>
      </w:r>
    </w:p>
    <w:p w14:paraId="1DACEECA" w14:textId="77777777" w:rsidR="00A10636" w:rsidRPr="00D9348B" w:rsidRDefault="00A10636" w:rsidP="00A10636">
      <w:pPr>
        <w:pStyle w:val="Table"/>
      </w:pPr>
      <w:bookmarkStart w:id="2469" w:name="_Toc410028867"/>
      <w:bookmarkStart w:id="2470" w:name="_Toc414531495"/>
      <w:bookmarkStart w:id="2471" w:name="_Toc443645408"/>
      <w:bookmarkStart w:id="2472" w:name="_Toc474914627"/>
      <w:bookmarkStart w:id="2473" w:name="_Toc481751591"/>
      <w:bookmarkStart w:id="2474" w:name="_Toc522010648"/>
      <w:bookmarkStart w:id="2475" w:name="_Toc5269553"/>
      <w:bookmarkStart w:id="2476" w:name="_Toc33529427"/>
      <w:bookmarkStart w:id="2477" w:name="_Toc36224633"/>
      <w:r w:rsidRPr="00D9348B">
        <w:t>Table 6.10.2</w:t>
      </w:r>
      <w:r w:rsidRPr="00D9348B">
        <w:tab/>
        <w:t>Uncertainty in Harvested wood products data and parameters</w:t>
      </w:r>
      <w:bookmarkEnd w:id="2469"/>
      <w:bookmarkEnd w:id="2470"/>
      <w:bookmarkEnd w:id="2471"/>
      <w:bookmarkEnd w:id="2472"/>
      <w:bookmarkEnd w:id="2473"/>
      <w:bookmarkEnd w:id="2474"/>
      <w:bookmarkEnd w:id="2475"/>
      <w:bookmarkEnd w:id="2476"/>
      <w:bookmarkEnd w:id="2477"/>
    </w:p>
    <w:tbl>
      <w:tblPr>
        <w:tblW w:w="8505" w:type="dxa"/>
        <w:tblInd w:w="108" w:type="dxa"/>
        <w:tblLayout w:type="fixed"/>
        <w:tblLook w:val="04A0" w:firstRow="1" w:lastRow="0" w:firstColumn="1" w:lastColumn="0" w:noHBand="0" w:noVBand="1"/>
      </w:tblPr>
      <w:tblGrid>
        <w:gridCol w:w="3261"/>
        <w:gridCol w:w="1842"/>
        <w:gridCol w:w="3402"/>
      </w:tblGrid>
      <w:tr w:rsidR="00A10636" w:rsidRPr="00D9348B" w14:paraId="28F29146" w14:textId="77777777" w:rsidTr="008C1F5D">
        <w:tc>
          <w:tcPr>
            <w:tcW w:w="3261" w:type="dxa"/>
            <w:tcBorders>
              <w:top w:val="single" w:sz="4" w:space="0" w:color="365F91"/>
              <w:bottom w:val="single" w:sz="4" w:space="0" w:color="365F91"/>
            </w:tcBorders>
            <w:shd w:val="clear" w:color="auto" w:fill="365F91"/>
            <w:vAlign w:val="bottom"/>
          </w:tcPr>
          <w:p w14:paraId="0E5178FA" w14:textId="77777777" w:rsidR="00A10636" w:rsidRPr="00D9348B" w:rsidRDefault="00A10636" w:rsidP="00DB330E">
            <w:pPr>
              <w:pStyle w:val="TableTextBold"/>
              <w:keepNext/>
              <w:rPr>
                <w:noProof w:val="0"/>
                <w:color w:val="FFFFFF"/>
              </w:rPr>
            </w:pPr>
            <w:r w:rsidRPr="00D9348B">
              <w:rPr>
                <w:noProof w:val="0"/>
                <w:color w:val="FFFFFF"/>
              </w:rPr>
              <w:t>Parameter</w:t>
            </w:r>
          </w:p>
        </w:tc>
        <w:tc>
          <w:tcPr>
            <w:tcW w:w="1842" w:type="dxa"/>
            <w:tcBorders>
              <w:top w:val="single" w:sz="4" w:space="0" w:color="365F91"/>
              <w:bottom w:val="single" w:sz="4" w:space="0" w:color="365F91"/>
            </w:tcBorders>
            <w:shd w:val="clear" w:color="auto" w:fill="365F91"/>
            <w:vAlign w:val="bottom"/>
          </w:tcPr>
          <w:p w14:paraId="669ACE22" w14:textId="77777777" w:rsidR="00A10636" w:rsidRPr="00D9348B" w:rsidRDefault="00A10636" w:rsidP="00DB330E">
            <w:pPr>
              <w:pStyle w:val="TableTextBold"/>
              <w:keepNext/>
              <w:jc w:val="center"/>
              <w:rPr>
                <w:noProof w:val="0"/>
                <w:color w:val="FFFFFF"/>
              </w:rPr>
            </w:pPr>
            <w:r w:rsidRPr="00D9348B">
              <w:rPr>
                <w:noProof w:val="0"/>
                <w:color w:val="FFFFFF"/>
              </w:rPr>
              <w:t>Per cent uncertainty</w:t>
            </w:r>
          </w:p>
        </w:tc>
        <w:tc>
          <w:tcPr>
            <w:tcW w:w="3402" w:type="dxa"/>
            <w:tcBorders>
              <w:top w:val="single" w:sz="4" w:space="0" w:color="365F91"/>
              <w:bottom w:val="single" w:sz="4" w:space="0" w:color="365F91"/>
            </w:tcBorders>
            <w:shd w:val="clear" w:color="auto" w:fill="365F91"/>
            <w:vAlign w:val="bottom"/>
          </w:tcPr>
          <w:p w14:paraId="5BE2DAD9" w14:textId="77777777" w:rsidR="00A10636" w:rsidRPr="00D9348B" w:rsidRDefault="00A10636" w:rsidP="00DB330E">
            <w:pPr>
              <w:pStyle w:val="TableTextBold"/>
              <w:keepNext/>
              <w:rPr>
                <w:noProof w:val="0"/>
                <w:color w:val="FFFFFF"/>
              </w:rPr>
            </w:pPr>
            <w:r w:rsidRPr="00D9348B">
              <w:rPr>
                <w:noProof w:val="0"/>
                <w:color w:val="FFFFFF"/>
              </w:rPr>
              <w:t>Origin</w:t>
            </w:r>
          </w:p>
        </w:tc>
      </w:tr>
      <w:tr w:rsidR="00A10636" w:rsidRPr="00D9348B" w14:paraId="671B39F1" w14:textId="77777777" w:rsidTr="008C1F5D">
        <w:tc>
          <w:tcPr>
            <w:tcW w:w="3261" w:type="dxa"/>
            <w:tcBorders>
              <w:top w:val="single" w:sz="4" w:space="0" w:color="365F91"/>
              <w:bottom w:val="single" w:sz="4" w:space="0" w:color="365F91"/>
            </w:tcBorders>
          </w:tcPr>
          <w:p w14:paraId="7CBBE71E" w14:textId="77777777" w:rsidR="00A10636" w:rsidRPr="00D9348B" w:rsidRDefault="00A10636" w:rsidP="00DB330E">
            <w:pPr>
              <w:pStyle w:val="TableText"/>
              <w:keepNext/>
              <w:spacing w:before="40" w:after="40"/>
            </w:pPr>
            <w:r w:rsidRPr="00D9348B">
              <w:t>Roundwood removals data</w:t>
            </w:r>
          </w:p>
        </w:tc>
        <w:tc>
          <w:tcPr>
            <w:tcW w:w="1842" w:type="dxa"/>
            <w:tcBorders>
              <w:top w:val="single" w:sz="4" w:space="0" w:color="365F91"/>
              <w:bottom w:val="single" w:sz="4" w:space="0" w:color="365F91"/>
            </w:tcBorders>
          </w:tcPr>
          <w:p w14:paraId="4F9E6F0C" w14:textId="77777777" w:rsidR="00A10636" w:rsidRPr="00D9348B" w:rsidRDefault="00A10636" w:rsidP="00DB330E">
            <w:pPr>
              <w:pStyle w:val="TableText"/>
              <w:keepNext/>
              <w:spacing w:before="40" w:after="40"/>
              <w:jc w:val="center"/>
            </w:pPr>
            <w:r w:rsidRPr="00D9348B">
              <w:t>±20</w:t>
            </w:r>
          </w:p>
        </w:tc>
        <w:tc>
          <w:tcPr>
            <w:tcW w:w="3402" w:type="dxa"/>
            <w:tcBorders>
              <w:top w:val="single" w:sz="4" w:space="0" w:color="365F91"/>
              <w:bottom w:val="single" w:sz="4" w:space="0" w:color="365F91"/>
            </w:tcBorders>
          </w:tcPr>
          <w:p w14:paraId="0C16F0A9" w14:textId="77777777" w:rsidR="00A10636" w:rsidRPr="00D9348B" w:rsidRDefault="00A10636" w:rsidP="00DB330E">
            <w:pPr>
              <w:pStyle w:val="TableText"/>
              <w:keepNext/>
              <w:spacing w:before="40" w:after="40"/>
            </w:pPr>
            <w:r w:rsidRPr="00D9348B">
              <w:t>Country specific (Wakelin, unpublished(g))</w:t>
            </w:r>
          </w:p>
        </w:tc>
      </w:tr>
      <w:tr w:rsidR="00A10636" w:rsidRPr="00D9348B" w14:paraId="03C251E4" w14:textId="77777777" w:rsidTr="008C1F5D">
        <w:tc>
          <w:tcPr>
            <w:tcW w:w="3261" w:type="dxa"/>
            <w:tcBorders>
              <w:top w:val="single" w:sz="4" w:space="0" w:color="365F91"/>
              <w:bottom w:val="single" w:sz="4" w:space="0" w:color="365F91"/>
            </w:tcBorders>
          </w:tcPr>
          <w:p w14:paraId="1A8AB562" w14:textId="77777777" w:rsidR="00A10636" w:rsidRPr="00D9348B" w:rsidRDefault="00A10636" w:rsidP="00DB330E">
            <w:pPr>
              <w:pStyle w:val="TableText"/>
              <w:keepNext/>
              <w:spacing w:before="40" w:after="40"/>
            </w:pPr>
            <w:r w:rsidRPr="00D9348B">
              <w:t>Harvested wood products production, import and export data</w:t>
            </w:r>
          </w:p>
        </w:tc>
        <w:tc>
          <w:tcPr>
            <w:tcW w:w="1842" w:type="dxa"/>
            <w:tcBorders>
              <w:top w:val="single" w:sz="4" w:space="0" w:color="365F91"/>
              <w:bottom w:val="single" w:sz="4" w:space="0" w:color="365F91"/>
            </w:tcBorders>
          </w:tcPr>
          <w:p w14:paraId="565D3A7B" w14:textId="77777777" w:rsidR="00A10636" w:rsidRPr="00D9348B" w:rsidRDefault="00A10636" w:rsidP="00DB330E">
            <w:pPr>
              <w:pStyle w:val="TableText"/>
              <w:keepNext/>
              <w:spacing w:before="40" w:after="40"/>
              <w:jc w:val="center"/>
            </w:pPr>
            <w:r w:rsidRPr="00D9348B">
              <w:t>±15</w:t>
            </w:r>
          </w:p>
        </w:tc>
        <w:tc>
          <w:tcPr>
            <w:tcW w:w="3402" w:type="dxa"/>
            <w:tcBorders>
              <w:top w:val="single" w:sz="4" w:space="0" w:color="365F91"/>
              <w:bottom w:val="single" w:sz="4" w:space="0" w:color="365F91"/>
            </w:tcBorders>
          </w:tcPr>
          <w:p w14:paraId="51995E45" w14:textId="77777777" w:rsidR="00A10636" w:rsidRPr="00D9348B" w:rsidRDefault="00A10636" w:rsidP="00DB330E">
            <w:pPr>
              <w:pStyle w:val="TableText"/>
              <w:keepNext/>
              <w:spacing w:before="40" w:after="40"/>
            </w:pPr>
            <w:r w:rsidRPr="00D9348B">
              <w:t>IPCC default (table 12.6, IPCC, 2006a)</w:t>
            </w:r>
          </w:p>
        </w:tc>
      </w:tr>
      <w:tr w:rsidR="00A10636" w:rsidRPr="00D9348B" w14:paraId="37DC3C62" w14:textId="77777777" w:rsidTr="008C1F5D">
        <w:tc>
          <w:tcPr>
            <w:tcW w:w="3261" w:type="dxa"/>
            <w:tcBorders>
              <w:top w:val="single" w:sz="4" w:space="0" w:color="365F91"/>
              <w:bottom w:val="single" w:sz="4" w:space="0" w:color="365F91"/>
            </w:tcBorders>
          </w:tcPr>
          <w:p w14:paraId="50CC3C9E" w14:textId="77777777" w:rsidR="00A10636" w:rsidRPr="00D9348B" w:rsidRDefault="00A10636" w:rsidP="00DB330E">
            <w:pPr>
              <w:pStyle w:val="TableText"/>
              <w:spacing w:before="40" w:after="40"/>
            </w:pPr>
            <w:r w:rsidRPr="00D9348B">
              <w:t>Product volume to weight factors</w:t>
            </w:r>
          </w:p>
        </w:tc>
        <w:tc>
          <w:tcPr>
            <w:tcW w:w="1842" w:type="dxa"/>
            <w:tcBorders>
              <w:top w:val="single" w:sz="4" w:space="0" w:color="365F91"/>
              <w:bottom w:val="single" w:sz="4" w:space="0" w:color="365F91"/>
            </w:tcBorders>
          </w:tcPr>
          <w:p w14:paraId="463E5A5B" w14:textId="77777777" w:rsidR="00A10636" w:rsidRPr="00D9348B" w:rsidRDefault="00A10636" w:rsidP="00DB330E">
            <w:pPr>
              <w:pStyle w:val="TableText"/>
              <w:spacing w:before="40" w:after="40"/>
              <w:jc w:val="center"/>
            </w:pPr>
            <w:r w:rsidRPr="00D9348B">
              <w:rPr>
                <w:rFonts w:cs="Arial"/>
              </w:rPr>
              <w:t>±</w:t>
            </w:r>
            <w:r w:rsidRPr="00D9348B">
              <w:t>10</w:t>
            </w:r>
          </w:p>
        </w:tc>
        <w:tc>
          <w:tcPr>
            <w:tcW w:w="3402" w:type="dxa"/>
            <w:tcBorders>
              <w:top w:val="single" w:sz="4" w:space="0" w:color="365F91"/>
              <w:bottom w:val="single" w:sz="4" w:space="0" w:color="365F91"/>
            </w:tcBorders>
          </w:tcPr>
          <w:p w14:paraId="611D308B" w14:textId="77777777" w:rsidR="00A10636" w:rsidRPr="00D9348B" w:rsidRDefault="00A10636" w:rsidP="00DB330E">
            <w:pPr>
              <w:pStyle w:val="TableText"/>
              <w:spacing w:before="40" w:after="40"/>
            </w:pPr>
            <w:r w:rsidRPr="00D9348B">
              <w:t>Country specific (Wakelin, unpublished(g))</w:t>
            </w:r>
          </w:p>
        </w:tc>
      </w:tr>
      <w:tr w:rsidR="00A10636" w:rsidRPr="00D9348B" w14:paraId="32EF07E1" w14:textId="77777777" w:rsidTr="008C1F5D">
        <w:tc>
          <w:tcPr>
            <w:tcW w:w="3261" w:type="dxa"/>
            <w:tcBorders>
              <w:top w:val="single" w:sz="4" w:space="0" w:color="365F91"/>
              <w:bottom w:val="single" w:sz="4" w:space="0" w:color="365F91"/>
            </w:tcBorders>
          </w:tcPr>
          <w:p w14:paraId="1705470F" w14:textId="77777777" w:rsidR="00A10636" w:rsidRPr="00D9348B" w:rsidRDefault="00A10636" w:rsidP="00DB330E">
            <w:pPr>
              <w:pStyle w:val="TableText"/>
              <w:spacing w:before="40" w:after="40"/>
            </w:pPr>
            <w:r w:rsidRPr="00D9348B">
              <w:t>Oven dry product weight to carbon weight</w:t>
            </w:r>
          </w:p>
        </w:tc>
        <w:tc>
          <w:tcPr>
            <w:tcW w:w="1842" w:type="dxa"/>
            <w:tcBorders>
              <w:top w:val="single" w:sz="4" w:space="0" w:color="365F91"/>
              <w:bottom w:val="single" w:sz="4" w:space="0" w:color="365F91"/>
            </w:tcBorders>
          </w:tcPr>
          <w:p w14:paraId="4083BA8E" w14:textId="77777777" w:rsidR="00A10636" w:rsidRPr="00D9348B" w:rsidRDefault="00A10636" w:rsidP="00DB330E">
            <w:pPr>
              <w:pStyle w:val="TableText"/>
              <w:spacing w:before="40" w:after="40"/>
              <w:jc w:val="center"/>
            </w:pPr>
            <w:r w:rsidRPr="00D9348B">
              <w:rPr>
                <w:rFonts w:cs="Arial"/>
              </w:rPr>
              <w:t>±</w:t>
            </w:r>
            <w:r w:rsidRPr="00D9348B">
              <w:t>5</w:t>
            </w:r>
          </w:p>
        </w:tc>
        <w:tc>
          <w:tcPr>
            <w:tcW w:w="3402" w:type="dxa"/>
            <w:tcBorders>
              <w:top w:val="single" w:sz="4" w:space="0" w:color="365F91"/>
              <w:bottom w:val="single" w:sz="4" w:space="0" w:color="365F91"/>
            </w:tcBorders>
          </w:tcPr>
          <w:p w14:paraId="1898A498" w14:textId="77777777" w:rsidR="00A10636" w:rsidRPr="00D9348B" w:rsidRDefault="00A10636" w:rsidP="00DB330E">
            <w:pPr>
              <w:pStyle w:val="TableText"/>
              <w:spacing w:before="40" w:after="40"/>
            </w:pPr>
            <w:r w:rsidRPr="00D9348B">
              <w:t>Country specific (Wakelin, unpublished(g))</w:t>
            </w:r>
          </w:p>
        </w:tc>
      </w:tr>
      <w:tr w:rsidR="00A10636" w:rsidRPr="00D9348B" w14:paraId="687C5D70" w14:textId="77777777" w:rsidTr="008C1F5D">
        <w:tc>
          <w:tcPr>
            <w:tcW w:w="3261" w:type="dxa"/>
            <w:tcBorders>
              <w:top w:val="single" w:sz="4" w:space="0" w:color="365F91"/>
              <w:bottom w:val="single" w:sz="4" w:space="0" w:color="365F91"/>
            </w:tcBorders>
          </w:tcPr>
          <w:p w14:paraId="170E001B" w14:textId="77777777" w:rsidR="00A10636" w:rsidRPr="00D9348B" w:rsidRDefault="00A10636" w:rsidP="00DB330E">
            <w:pPr>
              <w:pStyle w:val="TableText"/>
              <w:spacing w:before="40" w:after="40"/>
            </w:pPr>
            <w:r w:rsidRPr="00D9348B">
              <w:t>Discard rate, domestic</w:t>
            </w:r>
          </w:p>
        </w:tc>
        <w:tc>
          <w:tcPr>
            <w:tcW w:w="1842" w:type="dxa"/>
            <w:tcBorders>
              <w:top w:val="single" w:sz="4" w:space="0" w:color="365F91"/>
              <w:bottom w:val="single" w:sz="4" w:space="0" w:color="365F91"/>
            </w:tcBorders>
          </w:tcPr>
          <w:p w14:paraId="0F26DC96" w14:textId="77777777" w:rsidR="00A10636" w:rsidRPr="00D9348B" w:rsidRDefault="00A10636" w:rsidP="00DB330E">
            <w:pPr>
              <w:pStyle w:val="TableText"/>
              <w:spacing w:before="40" w:after="40"/>
              <w:jc w:val="center"/>
            </w:pPr>
            <w:r w:rsidRPr="00D9348B">
              <w:rPr>
                <w:rFonts w:cs="Arial"/>
              </w:rPr>
              <w:t>±</w:t>
            </w:r>
            <w:r w:rsidRPr="00D9348B">
              <w:t>50</w:t>
            </w:r>
          </w:p>
        </w:tc>
        <w:tc>
          <w:tcPr>
            <w:tcW w:w="3402" w:type="dxa"/>
            <w:tcBorders>
              <w:top w:val="single" w:sz="4" w:space="0" w:color="365F91"/>
              <w:bottom w:val="single" w:sz="4" w:space="0" w:color="365F91"/>
            </w:tcBorders>
          </w:tcPr>
          <w:p w14:paraId="60E912A0" w14:textId="77777777" w:rsidR="00A10636" w:rsidRPr="00D9348B" w:rsidRDefault="00A10636" w:rsidP="00DB330E">
            <w:pPr>
              <w:pStyle w:val="TableText"/>
              <w:spacing w:before="40" w:after="40"/>
            </w:pPr>
            <w:r w:rsidRPr="00D9348B">
              <w:t>Country specific (Wakelin, unpublished(g))</w:t>
            </w:r>
          </w:p>
        </w:tc>
      </w:tr>
      <w:tr w:rsidR="00A10636" w:rsidRPr="00D9348B" w14:paraId="2BA582C5" w14:textId="77777777" w:rsidTr="008C1F5D">
        <w:tc>
          <w:tcPr>
            <w:tcW w:w="3261" w:type="dxa"/>
            <w:tcBorders>
              <w:top w:val="single" w:sz="4" w:space="0" w:color="365F91"/>
              <w:bottom w:val="single" w:sz="4" w:space="0" w:color="365F91"/>
            </w:tcBorders>
            <w:shd w:val="clear" w:color="auto" w:fill="auto"/>
          </w:tcPr>
          <w:p w14:paraId="06197F50" w14:textId="77777777" w:rsidR="00A10636" w:rsidRPr="00D9348B" w:rsidRDefault="00A10636" w:rsidP="00DB330E">
            <w:pPr>
              <w:pStyle w:val="TableText"/>
              <w:spacing w:before="40" w:after="40"/>
            </w:pPr>
            <w:r w:rsidRPr="00D9348B">
              <w:t>Discard rate, export</w:t>
            </w:r>
          </w:p>
        </w:tc>
        <w:tc>
          <w:tcPr>
            <w:tcW w:w="1842" w:type="dxa"/>
            <w:tcBorders>
              <w:top w:val="single" w:sz="4" w:space="0" w:color="365F91"/>
              <w:bottom w:val="single" w:sz="4" w:space="0" w:color="365F91"/>
            </w:tcBorders>
            <w:shd w:val="clear" w:color="auto" w:fill="auto"/>
          </w:tcPr>
          <w:p w14:paraId="1B35C993" w14:textId="77777777" w:rsidR="00A10636" w:rsidRPr="00D9348B" w:rsidRDefault="00A10636" w:rsidP="00DB330E">
            <w:pPr>
              <w:pStyle w:val="TableText"/>
              <w:spacing w:before="40" w:after="40"/>
              <w:jc w:val="center"/>
            </w:pPr>
            <w:r w:rsidRPr="00D9348B">
              <w:rPr>
                <w:rFonts w:cs="Arial"/>
              </w:rPr>
              <w:t>±</w:t>
            </w:r>
            <w:r w:rsidRPr="00D9348B">
              <w:t>90</w:t>
            </w:r>
          </w:p>
        </w:tc>
        <w:tc>
          <w:tcPr>
            <w:tcW w:w="3402" w:type="dxa"/>
            <w:tcBorders>
              <w:top w:val="single" w:sz="4" w:space="0" w:color="365F91"/>
              <w:bottom w:val="single" w:sz="4" w:space="0" w:color="365F91"/>
            </w:tcBorders>
            <w:shd w:val="clear" w:color="auto" w:fill="auto"/>
          </w:tcPr>
          <w:p w14:paraId="7982D800" w14:textId="77777777" w:rsidR="00A10636" w:rsidRPr="00D9348B" w:rsidRDefault="00A10636" w:rsidP="00DB330E">
            <w:pPr>
              <w:pStyle w:val="TableText"/>
              <w:spacing w:before="40" w:after="40"/>
            </w:pPr>
            <w:r w:rsidRPr="00D9348B">
              <w:t>Country specific (Wakelin, unpublished(g))</w:t>
            </w:r>
          </w:p>
        </w:tc>
      </w:tr>
    </w:tbl>
    <w:p w14:paraId="07968255" w14:textId="77777777" w:rsidR="00A10636" w:rsidRPr="00D9348B" w:rsidRDefault="00A10636" w:rsidP="00A10636">
      <w:pPr>
        <w:pStyle w:val="BodyText"/>
        <w:spacing w:before="0" w:after="0"/>
      </w:pPr>
      <w:bookmarkStart w:id="2478" w:name="_Toc410028868"/>
      <w:bookmarkStart w:id="2479" w:name="_Toc414531496"/>
      <w:bookmarkStart w:id="2480" w:name="_Toc443645409"/>
      <w:bookmarkStart w:id="2481" w:name="_Toc474914628"/>
      <w:bookmarkStart w:id="2482" w:name="_Toc481751592"/>
      <w:bookmarkStart w:id="2483" w:name="_Toc522010649"/>
      <w:bookmarkStart w:id="2484" w:name="_Toc5269554"/>
      <w:bookmarkStart w:id="2485" w:name="_Toc33529428"/>
    </w:p>
    <w:p w14:paraId="3412A449" w14:textId="77777777" w:rsidR="00A10636" w:rsidRPr="00D9348B" w:rsidRDefault="00A10636" w:rsidP="00A10636">
      <w:pPr>
        <w:pStyle w:val="Table"/>
      </w:pPr>
      <w:bookmarkStart w:id="2486" w:name="_Toc36224634"/>
      <w:r w:rsidRPr="00D9348B">
        <w:t>Table 6.10.3</w:t>
      </w:r>
      <w:r w:rsidRPr="00D9348B">
        <w:tab/>
        <w:t>Uncertainty in New Zealand’s 2018 estimates from emissions associated with</w:t>
      </w:r>
      <w:r w:rsidRPr="00D9348B">
        <w:br/>
        <w:t>Harvested wood products</w:t>
      </w:r>
      <w:bookmarkEnd w:id="2478"/>
      <w:bookmarkEnd w:id="2479"/>
      <w:bookmarkEnd w:id="2480"/>
      <w:bookmarkEnd w:id="2481"/>
      <w:bookmarkEnd w:id="2482"/>
      <w:bookmarkEnd w:id="2483"/>
      <w:bookmarkEnd w:id="2484"/>
      <w:bookmarkEnd w:id="2485"/>
      <w:bookmarkEnd w:id="2486"/>
    </w:p>
    <w:tbl>
      <w:tblPr>
        <w:tblW w:w="8505" w:type="dxa"/>
        <w:tblInd w:w="108" w:type="dxa"/>
        <w:tblLook w:val="04A0" w:firstRow="1" w:lastRow="0" w:firstColumn="1" w:lastColumn="0" w:noHBand="0" w:noVBand="1"/>
      </w:tblPr>
      <w:tblGrid>
        <w:gridCol w:w="4687"/>
        <w:gridCol w:w="3818"/>
      </w:tblGrid>
      <w:tr w:rsidR="00A10636" w:rsidRPr="00D9348B" w14:paraId="117D46F5" w14:textId="77777777" w:rsidTr="008C1F5D">
        <w:trPr>
          <w:tblHeader/>
        </w:trPr>
        <w:tc>
          <w:tcPr>
            <w:tcW w:w="4406" w:type="dxa"/>
            <w:tcBorders>
              <w:top w:val="single" w:sz="4" w:space="0" w:color="365F91"/>
              <w:bottom w:val="single" w:sz="4" w:space="0" w:color="365F91"/>
            </w:tcBorders>
            <w:shd w:val="clear" w:color="auto" w:fill="365F91"/>
            <w:noWrap/>
            <w:hideMark/>
          </w:tcPr>
          <w:p w14:paraId="4A356135" w14:textId="77777777" w:rsidR="00A10636" w:rsidRPr="00D9348B" w:rsidRDefault="00A10636" w:rsidP="00DB330E">
            <w:pPr>
              <w:pStyle w:val="TableTextBold"/>
              <w:keepNext/>
              <w:spacing w:before="40" w:after="40"/>
              <w:rPr>
                <w:noProof w:val="0"/>
                <w:color w:val="FFFFFF"/>
              </w:rPr>
            </w:pPr>
            <w:r w:rsidRPr="00D9348B">
              <w:rPr>
                <w:noProof w:val="0"/>
                <w:color w:val="FFFFFF"/>
              </w:rPr>
              <w:t>Variable</w:t>
            </w:r>
          </w:p>
        </w:tc>
        <w:tc>
          <w:tcPr>
            <w:tcW w:w="3589" w:type="dxa"/>
            <w:tcBorders>
              <w:top w:val="single" w:sz="4" w:space="0" w:color="365F91"/>
              <w:bottom w:val="single" w:sz="4" w:space="0" w:color="365F91"/>
            </w:tcBorders>
            <w:shd w:val="clear" w:color="auto" w:fill="365F91"/>
            <w:noWrap/>
            <w:hideMark/>
          </w:tcPr>
          <w:p w14:paraId="7CDEFC2D" w14:textId="77777777" w:rsidR="00A10636" w:rsidRPr="00D9348B" w:rsidRDefault="00A10636" w:rsidP="00DB330E">
            <w:pPr>
              <w:pStyle w:val="TableTextBold"/>
              <w:spacing w:before="40" w:after="40"/>
              <w:jc w:val="center"/>
              <w:rPr>
                <w:noProof w:val="0"/>
                <w:color w:val="FFFFFF"/>
              </w:rPr>
            </w:pPr>
            <w:r w:rsidRPr="00D9348B">
              <w:rPr>
                <w:noProof w:val="0"/>
                <w:color w:val="FFFFFF"/>
              </w:rPr>
              <w:t>Uncertainty at a 95% confidence interval (%)</w:t>
            </w:r>
          </w:p>
        </w:tc>
      </w:tr>
      <w:tr w:rsidR="00A10636" w:rsidRPr="00D9348B" w14:paraId="6E0C3882" w14:textId="77777777" w:rsidTr="008C1F5D">
        <w:tc>
          <w:tcPr>
            <w:tcW w:w="4406" w:type="dxa"/>
            <w:tcBorders>
              <w:top w:val="single" w:sz="4" w:space="0" w:color="365F91"/>
              <w:bottom w:val="single" w:sz="4" w:space="0" w:color="365F91"/>
            </w:tcBorders>
            <w:noWrap/>
            <w:hideMark/>
          </w:tcPr>
          <w:p w14:paraId="0E17DB2E" w14:textId="77777777" w:rsidR="00A10636" w:rsidRPr="00D9348B" w:rsidRDefault="00A10636" w:rsidP="00DB330E">
            <w:pPr>
              <w:pStyle w:val="TableTextBold"/>
              <w:keepNext/>
              <w:spacing w:before="40" w:after="40"/>
              <w:rPr>
                <w:noProof w:val="0"/>
              </w:rPr>
            </w:pPr>
            <w:r w:rsidRPr="00D9348B">
              <w:rPr>
                <w:noProof w:val="0"/>
              </w:rPr>
              <w:t>Activity data</w:t>
            </w:r>
          </w:p>
        </w:tc>
        <w:tc>
          <w:tcPr>
            <w:tcW w:w="3589" w:type="dxa"/>
            <w:tcBorders>
              <w:top w:val="single" w:sz="4" w:space="0" w:color="365F91"/>
              <w:bottom w:val="single" w:sz="4" w:space="0" w:color="365F91"/>
            </w:tcBorders>
            <w:noWrap/>
            <w:hideMark/>
          </w:tcPr>
          <w:p w14:paraId="444033B3" w14:textId="77777777" w:rsidR="00A10636" w:rsidRPr="00D9348B" w:rsidRDefault="00A10636" w:rsidP="00DB330E">
            <w:pPr>
              <w:pStyle w:val="TableTextBold"/>
              <w:tabs>
                <w:tab w:val="decimal" w:pos="0"/>
              </w:tabs>
              <w:spacing w:before="40" w:after="40"/>
              <w:jc w:val="center"/>
              <w:rPr>
                <w:noProof w:val="0"/>
              </w:rPr>
            </w:pPr>
          </w:p>
        </w:tc>
      </w:tr>
      <w:tr w:rsidR="00A10636" w:rsidRPr="00D9348B" w14:paraId="79651B81" w14:textId="77777777" w:rsidTr="008C1F5D">
        <w:tc>
          <w:tcPr>
            <w:tcW w:w="4406" w:type="dxa"/>
            <w:tcBorders>
              <w:top w:val="single" w:sz="4" w:space="0" w:color="365F91"/>
              <w:bottom w:val="single" w:sz="4" w:space="0" w:color="365F91"/>
            </w:tcBorders>
            <w:noWrap/>
            <w:hideMark/>
          </w:tcPr>
          <w:p w14:paraId="65E0D54D" w14:textId="77777777" w:rsidR="00A10636" w:rsidRPr="00D9348B" w:rsidRDefault="00A10636" w:rsidP="00DB330E">
            <w:pPr>
              <w:pStyle w:val="TableText"/>
              <w:keepNext/>
              <w:spacing w:before="40" w:after="40"/>
            </w:pPr>
            <w:r w:rsidRPr="00D9348B">
              <w:t>Uncertainty in activity data</w:t>
            </w:r>
          </w:p>
        </w:tc>
        <w:tc>
          <w:tcPr>
            <w:tcW w:w="3589" w:type="dxa"/>
            <w:tcBorders>
              <w:top w:val="single" w:sz="4" w:space="0" w:color="365F91"/>
              <w:bottom w:val="single" w:sz="4" w:space="0" w:color="365F91"/>
            </w:tcBorders>
            <w:noWrap/>
            <w:hideMark/>
          </w:tcPr>
          <w:p w14:paraId="7D63D165" w14:textId="77777777" w:rsidR="00A10636" w:rsidRPr="00D9348B" w:rsidRDefault="00A10636" w:rsidP="00DB330E">
            <w:pPr>
              <w:pStyle w:val="TableText"/>
              <w:tabs>
                <w:tab w:val="decimal" w:pos="0"/>
              </w:tabs>
              <w:spacing w:before="40" w:after="40"/>
              <w:jc w:val="center"/>
            </w:pPr>
            <w:r w:rsidRPr="00D9348B">
              <w:t>±15.0</w:t>
            </w:r>
          </w:p>
        </w:tc>
      </w:tr>
      <w:tr w:rsidR="00A10636" w:rsidRPr="00D9348B" w14:paraId="5B14B627" w14:textId="77777777" w:rsidTr="008C1F5D">
        <w:tc>
          <w:tcPr>
            <w:tcW w:w="4406" w:type="dxa"/>
            <w:tcBorders>
              <w:top w:val="single" w:sz="4" w:space="0" w:color="365F91"/>
              <w:bottom w:val="single" w:sz="4" w:space="0" w:color="365F91"/>
            </w:tcBorders>
            <w:noWrap/>
            <w:hideMark/>
          </w:tcPr>
          <w:p w14:paraId="36DD21F8" w14:textId="77777777" w:rsidR="00A10636" w:rsidRPr="00D9348B" w:rsidRDefault="00A10636" w:rsidP="00DB330E">
            <w:pPr>
              <w:pStyle w:val="TableTextBold"/>
              <w:keepNext/>
              <w:spacing w:before="40" w:after="40"/>
              <w:rPr>
                <w:noProof w:val="0"/>
              </w:rPr>
            </w:pPr>
            <w:r w:rsidRPr="00D9348B">
              <w:rPr>
                <w:noProof w:val="0"/>
              </w:rPr>
              <w:t>Emission factors</w:t>
            </w:r>
          </w:p>
        </w:tc>
        <w:tc>
          <w:tcPr>
            <w:tcW w:w="3589" w:type="dxa"/>
            <w:tcBorders>
              <w:top w:val="single" w:sz="4" w:space="0" w:color="365F91"/>
              <w:bottom w:val="single" w:sz="4" w:space="0" w:color="365F91"/>
            </w:tcBorders>
            <w:noWrap/>
            <w:hideMark/>
          </w:tcPr>
          <w:p w14:paraId="5C6CF58B" w14:textId="77777777" w:rsidR="00A10636" w:rsidRPr="00D9348B" w:rsidRDefault="00A10636" w:rsidP="00DB330E">
            <w:pPr>
              <w:pStyle w:val="TableTextBold"/>
              <w:tabs>
                <w:tab w:val="decimal" w:pos="0"/>
              </w:tabs>
              <w:spacing w:before="40" w:after="40"/>
              <w:jc w:val="center"/>
              <w:rPr>
                <w:noProof w:val="0"/>
              </w:rPr>
            </w:pPr>
          </w:p>
        </w:tc>
      </w:tr>
      <w:tr w:rsidR="00A10636" w:rsidRPr="00D9348B" w14:paraId="7E925ABA" w14:textId="77777777" w:rsidTr="008C1F5D">
        <w:tc>
          <w:tcPr>
            <w:tcW w:w="4406" w:type="dxa"/>
            <w:tcBorders>
              <w:top w:val="single" w:sz="4" w:space="0" w:color="365F91"/>
              <w:bottom w:val="single" w:sz="4" w:space="0" w:color="365F91"/>
            </w:tcBorders>
            <w:noWrap/>
            <w:hideMark/>
          </w:tcPr>
          <w:p w14:paraId="449CDC25" w14:textId="77777777" w:rsidR="00A10636" w:rsidRPr="00D9348B" w:rsidRDefault="00A10636" w:rsidP="00DB330E">
            <w:pPr>
              <w:pStyle w:val="TableText"/>
              <w:spacing w:before="40" w:after="40"/>
            </w:pPr>
            <w:r w:rsidRPr="00D9348B">
              <w:t>Domestic production</w:t>
            </w:r>
          </w:p>
        </w:tc>
        <w:tc>
          <w:tcPr>
            <w:tcW w:w="3589" w:type="dxa"/>
            <w:tcBorders>
              <w:top w:val="single" w:sz="4" w:space="0" w:color="365F91"/>
              <w:bottom w:val="single" w:sz="4" w:space="0" w:color="365F91"/>
            </w:tcBorders>
            <w:noWrap/>
            <w:hideMark/>
          </w:tcPr>
          <w:p w14:paraId="50B65972" w14:textId="77777777" w:rsidR="00A10636" w:rsidRPr="00D9348B" w:rsidRDefault="00A10636" w:rsidP="00DB330E">
            <w:pPr>
              <w:pStyle w:val="TableText"/>
              <w:tabs>
                <w:tab w:val="decimal" w:pos="0"/>
              </w:tabs>
              <w:spacing w:before="40" w:after="40"/>
              <w:jc w:val="center"/>
            </w:pPr>
            <w:r w:rsidRPr="00D9348B">
              <w:t>±51.2</w:t>
            </w:r>
          </w:p>
        </w:tc>
      </w:tr>
      <w:tr w:rsidR="00A10636" w:rsidRPr="00D9348B" w14:paraId="3F621571" w14:textId="77777777" w:rsidTr="008C1F5D">
        <w:tc>
          <w:tcPr>
            <w:tcW w:w="4406" w:type="dxa"/>
            <w:tcBorders>
              <w:top w:val="single" w:sz="4" w:space="0" w:color="365F91"/>
              <w:bottom w:val="single" w:sz="4" w:space="0" w:color="365F91"/>
            </w:tcBorders>
            <w:noWrap/>
            <w:hideMark/>
          </w:tcPr>
          <w:p w14:paraId="4FAF9C7D" w14:textId="77777777" w:rsidR="00A10636" w:rsidRPr="00D9348B" w:rsidRDefault="00A10636" w:rsidP="00DB330E">
            <w:pPr>
              <w:pStyle w:val="TableText"/>
              <w:spacing w:before="40" w:after="40"/>
            </w:pPr>
            <w:r w:rsidRPr="00D9348B">
              <w:t>Export raw materials</w:t>
            </w:r>
          </w:p>
        </w:tc>
        <w:tc>
          <w:tcPr>
            <w:tcW w:w="3589" w:type="dxa"/>
            <w:tcBorders>
              <w:top w:val="single" w:sz="4" w:space="0" w:color="365F91"/>
              <w:bottom w:val="single" w:sz="4" w:space="0" w:color="365F91"/>
            </w:tcBorders>
            <w:noWrap/>
            <w:hideMark/>
          </w:tcPr>
          <w:p w14:paraId="1F133843" w14:textId="77777777" w:rsidR="00A10636" w:rsidRPr="00D9348B" w:rsidRDefault="00A10636" w:rsidP="00DB330E">
            <w:pPr>
              <w:pStyle w:val="TableText"/>
              <w:tabs>
                <w:tab w:val="decimal" w:pos="0"/>
              </w:tabs>
              <w:spacing w:before="40" w:after="40"/>
              <w:jc w:val="center"/>
            </w:pPr>
            <w:r w:rsidRPr="00D9348B">
              <w:t>±90.7</w:t>
            </w:r>
          </w:p>
        </w:tc>
      </w:tr>
      <w:tr w:rsidR="00A10636" w:rsidRPr="00D9348B" w14:paraId="6AE85FAB" w14:textId="77777777" w:rsidTr="008C1F5D">
        <w:tc>
          <w:tcPr>
            <w:tcW w:w="4406" w:type="dxa"/>
            <w:tcBorders>
              <w:top w:val="single" w:sz="4" w:space="0" w:color="365F91"/>
              <w:bottom w:val="single" w:sz="4" w:space="0" w:color="365F91"/>
            </w:tcBorders>
            <w:noWrap/>
            <w:hideMark/>
          </w:tcPr>
          <w:p w14:paraId="30DD653F" w14:textId="77777777" w:rsidR="00A10636" w:rsidRPr="00D9348B" w:rsidRDefault="00A10636" w:rsidP="00DB330E">
            <w:pPr>
              <w:pStyle w:val="TableText"/>
              <w:spacing w:before="40" w:after="40"/>
              <w:rPr>
                <w:b/>
              </w:rPr>
            </w:pPr>
            <w:r w:rsidRPr="00D9348B">
              <w:t>Total domestic and export uncertainty</w:t>
            </w:r>
          </w:p>
        </w:tc>
        <w:tc>
          <w:tcPr>
            <w:tcW w:w="3589" w:type="dxa"/>
            <w:tcBorders>
              <w:top w:val="single" w:sz="4" w:space="0" w:color="365F91"/>
              <w:bottom w:val="single" w:sz="4" w:space="0" w:color="365F91"/>
            </w:tcBorders>
            <w:noWrap/>
            <w:hideMark/>
          </w:tcPr>
          <w:p w14:paraId="3881E985" w14:textId="77777777" w:rsidR="00A10636" w:rsidRPr="00D9348B" w:rsidRDefault="00A10636" w:rsidP="00DB330E">
            <w:pPr>
              <w:pStyle w:val="TableText"/>
              <w:tabs>
                <w:tab w:val="decimal" w:pos="0"/>
              </w:tabs>
              <w:spacing w:before="40" w:after="40"/>
              <w:jc w:val="center"/>
            </w:pPr>
            <w:r w:rsidRPr="00D9348B">
              <w:t>±67.4</w:t>
            </w:r>
          </w:p>
        </w:tc>
      </w:tr>
      <w:tr w:rsidR="00A10636" w:rsidRPr="00D9348B" w14:paraId="0853F8B4" w14:textId="77777777" w:rsidTr="008C1F5D">
        <w:tc>
          <w:tcPr>
            <w:tcW w:w="4406" w:type="dxa"/>
            <w:tcBorders>
              <w:top w:val="single" w:sz="4" w:space="0" w:color="365F91"/>
              <w:bottom w:val="single" w:sz="4" w:space="0" w:color="365F91"/>
            </w:tcBorders>
            <w:noWrap/>
            <w:hideMark/>
          </w:tcPr>
          <w:p w14:paraId="6FAB007B" w14:textId="77777777" w:rsidR="00A10636" w:rsidRPr="00D9348B" w:rsidRDefault="00A10636" w:rsidP="00DB330E">
            <w:pPr>
              <w:pStyle w:val="Tableboldblue"/>
              <w:jc w:val="right"/>
            </w:pPr>
            <w:r w:rsidRPr="00D9348B">
              <w:t>Uncertainty introduced into net emissions for LULUCF</w:t>
            </w:r>
          </w:p>
        </w:tc>
        <w:tc>
          <w:tcPr>
            <w:tcW w:w="3589" w:type="dxa"/>
            <w:tcBorders>
              <w:top w:val="single" w:sz="4" w:space="0" w:color="365F91"/>
              <w:bottom w:val="single" w:sz="4" w:space="0" w:color="365F91"/>
            </w:tcBorders>
            <w:noWrap/>
            <w:hideMark/>
          </w:tcPr>
          <w:p w14:paraId="0E3E551D" w14:textId="77777777" w:rsidR="00A10636" w:rsidRPr="00D9348B" w:rsidRDefault="00A10636" w:rsidP="00CF03DD">
            <w:pPr>
              <w:pStyle w:val="Tableboldblue"/>
              <w:jc w:val="center"/>
            </w:pPr>
            <w:r w:rsidRPr="00D9348B">
              <w:t>±31.3</w:t>
            </w:r>
          </w:p>
        </w:tc>
      </w:tr>
    </w:tbl>
    <w:p w14:paraId="1878C997" w14:textId="77777777" w:rsidR="00A10636" w:rsidRPr="00D9348B" w:rsidRDefault="00A10636" w:rsidP="00A10636">
      <w:pPr>
        <w:pStyle w:val="Heading3"/>
      </w:pPr>
      <w:r w:rsidRPr="00D9348B">
        <w:t>6.10.4</w:t>
      </w:r>
      <w:r w:rsidRPr="00D9348B">
        <w:tab/>
        <w:t>Category-specific QA/QC and verification</w:t>
      </w:r>
    </w:p>
    <w:p w14:paraId="6CDA622C" w14:textId="77777777" w:rsidR="00A10636" w:rsidRPr="00D9348B" w:rsidRDefault="00A10636" w:rsidP="00A10636">
      <w:pPr>
        <w:pStyle w:val="BodyText"/>
        <w:spacing w:before="100" w:after="100"/>
      </w:pPr>
      <w:r w:rsidRPr="00D9348B">
        <w:t>No category-specific quality assurance, quality control and verification processes were undertaken. However, a process is planned to be introduced in the next submission.</w:t>
      </w:r>
    </w:p>
    <w:p w14:paraId="10F5144B" w14:textId="77777777" w:rsidR="00A10636" w:rsidRPr="00D9348B" w:rsidRDefault="00A10636" w:rsidP="00FA56E4">
      <w:pPr>
        <w:pStyle w:val="Heading3"/>
        <w:spacing w:before="240"/>
      </w:pPr>
      <w:r w:rsidRPr="00D9348B">
        <w:lastRenderedPageBreak/>
        <w:t>6.10.5</w:t>
      </w:r>
      <w:r w:rsidRPr="00D9348B">
        <w:tab/>
        <w:t>Category-specific recalculations</w:t>
      </w:r>
    </w:p>
    <w:p w14:paraId="251840B6" w14:textId="77777777" w:rsidR="00A10636" w:rsidRPr="00D9348B" w:rsidRDefault="00A10636" w:rsidP="00A10636">
      <w:pPr>
        <w:pStyle w:val="BodyText"/>
        <w:spacing w:before="100" w:after="100"/>
      </w:pPr>
      <w:r w:rsidRPr="00D9348B">
        <w:t xml:space="preserve">Harvested wood product data from the FAOSTAT database are regularly updated. At the time of the 2019 inventory submission, 2017 roundwood actual data was not available and a projected value was used instead. In 2019, actual data for both the 2017 and 2018 years have been updated in the FAOSTAT database. To account for the updated provisional data within the FAOSTAT database, recalculations for New Zealand’s emissions from harvested wood products were undertaken (table 6.10.4). The 2017 actual value is much higher, 18,805,663 cubic metres, than the projected value of 15,916,265 cubic metres, leading to a 28.6 per cent change in emissions from </w:t>
      </w:r>
      <w:r w:rsidRPr="00D9348B">
        <w:rPr>
          <w:i/>
          <w:iCs/>
        </w:rPr>
        <w:t>Harvested wood products</w:t>
      </w:r>
      <w:r w:rsidRPr="00D9348B">
        <w:t xml:space="preserve"> for the 2017 year.</w:t>
      </w:r>
    </w:p>
    <w:p w14:paraId="2E775A30" w14:textId="77777777" w:rsidR="00A10636" w:rsidRPr="00D9348B" w:rsidRDefault="00A10636" w:rsidP="00A10636">
      <w:pPr>
        <w:pStyle w:val="Table"/>
      </w:pPr>
      <w:bookmarkStart w:id="2487" w:name="_Toc443645410"/>
      <w:bookmarkStart w:id="2488" w:name="_Toc474914629"/>
      <w:bookmarkStart w:id="2489" w:name="_Toc481751593"/>
      <w:bookmarkStart w:id="2490" w:name="_Toc522010650"/>
      <w:bookmarkStart w:id="2491" w:name="_Toc5269555"/>
      <w:bookmarkStart w:id="2492" w:name="_Toc33529429"/>
      <w:bookmarkStart w:id="2493" w:name="_Toc36224635"/>
      <w:r w:rsidRPr="00D9348B">
        <w:t>Table 6.10.4</w:t>
      </w:r>
      <w:r w:rsidRPr="00D9348B">
        <w:tab/>
        <w:t>Recalculations for New Zealand’s net emissions from the Harvested wood products</w:t>
      </w:r>
      <w:r w:rsidRPr="00D9348B">
        <w:br/>
        <w:t>category in 1990 and 201</w:t>
      </w:r>
      <w:bookmarkEnd w:id="2487"/>
      <w:r w:rsidRPr="00D9348B">
        <w:t>7</w:t>
      </w:r>
      <w:bookmarkEnd w:id="2488"/>
      <w:bookmarkEnd w:id="2489"/>
      <w:bookmarkEnd w:id="2490"/>
      <w:bookmarkEnd w:id="2491"/>
      <w:bookmarkEnd w:id="2492"/>
      <w:bookmarkEnd w:id="2493"/>
    </w:p>
    <w:tbl>
      <w:tblPr>
        <w:tblW w:w="8505" w:type="dxa"/>
        <w:tblInd w:w="108" w:type="dxa"/>
        <w:tblLook w:val="04A0" w:firstRow="1" w:lastRow="0" w:firstColumn="1" w:lastColumn="0" w:noHBand="0" w:noVBand="1"/>
      </w:tblPr>
      <w:tblGrid>
        <w:gridCol w:w="1109"/>
        <w:gridCol w:w="1849"/>
        <w:gridCol w:w="1849"/>
        <w:gridCol w:w="1849"/>
        <w:gridCol w:w="1849"/>
      </w:tblGrid>
      <w:tr w:rsidR="00A10636" w:rsidRPr="00D9348B" w14:paraId="0A24714F" w14:textId="77777777" w:rsidTr="003557B6">
        <w:tc>
          <w:tcPr>
            <w:tcW w:w="652" w:type="pct"/>
            <w:vMerge w:val="restart"/>
            <w:tcBorders>
              <w:top w:val="single" w:sz="4" w:space="0" w:color="365F91"/>
            </w:tcBorders>
            <w:shd w:val="clear" w:color="auto" w:fill="365F91"/>
            <w:vAlign w:val="bottom"/>
          </w:tcPr>
          <w:p w14:paraId="33CBB5A3" w14:textId="77777777" w:rsidR="00A10636" w:rsidRPr="00D9348B" w:rsidRDefault="00A10636" w:rsidP="00DB330E">
            <w:pPr>
              <w:pStyle w:val="TableTextBold"/>
              <w:spacing w:before="40" w:after="40"/>
              <w:rPr>
                <w:noProof w:val="0"/>
                <w:color w:val="FFFFFF"/>
              </w:rPr>
            </w:pPr>
            <w:r w:rsidRPr="00D9348B">
              <w:rPr>
                <w:noProof w:val="0"/>
                <w:color w:val="FFFFFF"/>
              </w:rPr>
              <w:t>Year</w:t>
            </w:r>
          </w:p>
        </w:tc>
        <w:tc>
          <w:tcPr>
            <w:tcW w:w="2174" w:type="pct"/>
            <w:gridSpan w:val="2"/>
            <w:tcBorders>
              <w:top w:val="single" w:sz="4" w:space="0" w:color="365F91"/>
            </w:tcBorders>
            <w:shd w:val="clear" w:color="auto" w:fill="365F91"/>
            <w:noWrap/>
          </w:tcPr>
          <w:p w14:paraId="2903EBA8" w14:textId="77777777" w:rsidR="00A10636" w:rsidRPr="00D9348B" w:rsidRDefault="00A10636" w:rsidP="00A66967">
            <w:pPr>
              <w:pStyle w:val="TableTextBold"/>
              <w:spacing w:before="40" w:after="0"/>
              <w:jc w:val="center"/>
              <w:rPr>
                <w:noProof w:val="0"/>
                <w:color w:val="FFFFFF"/>
              </w:rPr>
            </w:pPr>
            <w:r w:rsidRPr="00D9348B">
              <w:rPr>
                <w:noProof w:val="0"/>
                <w:color w:val="FFFFFF"/>
              </w:rPr>
              <w:t>Net emissions (kt CO</w:t>
            </w:r>
            <w:r w:rsidRPr="00D9348B">
              <w:rPr>
                <w:noProof w:val="0"/>
                <w:color w:val="FFFFFF"/>
                <w:vertAlign w:val="subscript"/>
              </w:rPr>
              <w:t>2</w:t>
            </w:r>
            <w:r w:rsidRPr="00D9348B">
              <w:rPr>
                <w:noProof w:val="0"/>
                <w:color w:val="FFFFFF"/>
              </w:rPr>
              <w:t>-e)</w:t>
            </w:r>
          </w:p>
        </w:tc>
        <w:tc>
          <w:tcPr>
            <w:tcW w:w="2174" w:type="pct"/>
            <w:gridSpan w:val="2"/>
            <w:tcBorders>
              <w:top w:val="single" w:sz="4" w:space="0" w:color="365F91"/>
            </w:tcBorders>
            <w:shd w:val="clear" w:color="auto" w:fill="365F91"/>
          </w:tcPr>
          <w:p w14:paraId="167463C6" w14:textId="77777777" w:rsidR="00A10636" w:rsidRPr="00D9348B" w:rsidRDefault="00A10636" w:rsidP="00A66967">
            <w:pPr>
              <w:pStyle w:val="TableTextBold"/>
              <w:spacing w:before="40" w:after="0"/>
              <w:jc w:val="center"/>
              <w:rPr>
                <w:noProof w:val="0"/>
                <w:color w:val="FFFFFF"/>
              </w:rPr>
            </w:pPr>
            <w:r w:rsidRPr="00D9348B">
              <w:rPr>
                <w:noProof w:val="0"/>
                <w:color w:val="FFFFFF"/>
              </w:rPr>
              <w:t>Change from the 2019 submission</w:t>
            </w:r>
          </w:p>
        </w:tc>
      </w:tr>
      <w:tr w:rsidR="00A10636" w:rsidRPr="00D9348B" w14:paraId="0DB56FDB" w14:textId="77777777" w:rsidTr="003557B6">
        <w:tc>
          <w:tcPr>
            <w:tcW w:w="652" w:type="pct"/>
            <w:vMerge/>
            <w:tcBorders>
              <w:bottom w:val="single" w:sz="4" w:space="0" w:color="365F91"/>
            </w:tcBorders>
            <w:shd w:val="clear" w:color="auto" w:fill="365F91"/>
          </w:tcPr>
          <w:p w14:paraId="331B9707" w14:textId="77777777" w:rsidR="00A10636" w:rsidRPr="00D9348B" w:rsidRDefault="00A10636" w:rsidP="00DB330E">
            <w:pPr>
              <w:pStyle w:val="TableText"/>
              <w:spacing w:before="40" w:after="40"/>
              <w:rPr>
                <w:color w:val="FFFFFF"/>
              </w:rPr>
            </w:pPr>
          </w:p>
        </w:tc>
        <w:tc>
          <w:tcPr>
            <w:tcW w:w="1087" w:type="pct"/>
            <w:tcBorders>
              <w:bottom w:val="single" w:sz="4" w:space="0" w:color="365F91"/>
            </w:tcBorders>
            <w:shd w:val="clear" w:color="auto" w:fill="365F91"/>
          </w:tcPr>
          <w:p w14:paraId="447DAB47" w14:textId="77777777" w:rsidR="00A10636" w:rsidRPr="00D9348B" w:rsidRDefault="00A10636" w:rsidP="00DB330E">
            <w:pPr>
              <w:pStyle w:val="TableTextBold"/>
              <w:spacing w:before="40" w:after="40"/>
              <w:jc w:val="center"/>
              <w:rPr>
                <w:noProof w:val="0"/>
                <w:color w:val="FFFFFF"/>
              </w:rPr>
            </w:pPr>
            <w:r w:rsidRPr="00D9348B">
              <w:rPr>
                <w:noProof w:val="0"/>
                <w:color w:val="FFFFFF"/>
              </w:rPr>
              <w:t>2019 submission</w:t>
            </w:r>
          </w:p>
        </w:tc>
        <w:tc>
          <w:tcPr>
            <w:tcW w:w="1087" w:type="pct"/>
            <w:tcBorders>
              <w:bottom w:val="single" w:sz="4" w:space="0" w:color="365F91"/>
            </w:tcBorders>
            <w:shd w:val="clear" w:color="auto" w:fill="365F91"/>
          </w:tcPr>
          <w:p w14:paraId="2420A46D" w14:textId="77777777" w:rsidR="00A10636" w:rsidRPr="00D9348B" w:rsidRDefault="00A10636" w:rsidP="00DB330E">
            <w:pPr>
              <w:pStyle w:val="TableTextBold"/>
              <w:spacing w:before="40" w:after="40"/>
              <w:jc w:val="center"/>
              <w:rPr>
                <w:noProof w:val="0"/>
                <w:color w:val="FFFFFF"/>
              </w:rPr>
            </w:pPr>
            <w:r w:rsidRPr="00D9348B">
              <w:rPr>
                <w:noProof w:val="0"/>
                <w:color w:val="FFFFFF"/>
              </w:rPr>
              <w:t>2020 submission</w:t>
            </w:r>
          </w:p>
        </w:tc>
        <w:tc>
          <w:tcPr>
            <w:tcW w:w="1087" w:type="pct"/>
            <w:tcBorders>
              <w:bottom w:val="single" w:sz="4" w:space="0" w:color="365F91"/>
            </w:tcBorders>
            <w:shd w:val="clear" w:color="auto" w:fill="365F91"/>
          </w:tcPr>
          <w:p w14:paraId="1350B714" w14:textId="77777777" w:rsidR="00A10636" w:rsidRPr="00D9348B" w:rsidRDefault="00A10636" w:rsidP="00DB330E">
            <w:pPr>
              <w:pStyle w:val="TableTextBold"/>
              <w:spacing w:before="40" w:after="40"/>
              <w:jc w:val="center"/>
              <w:rPr>
                <w:noProof w:val="0"/>
                <w:color w:val="FFFFFF"/>
              </w:rPr>
            </w:pPr>
            <w:r w:rsidRPr="00D9348B">
              <w:rPr>
                <w:noProof w:val="0"/>
                <w:color w:val="FFFFFF"/>
              </w:rPr>
              <w:t>(kt CO</w:t>
            </w:r>
            <w:r w:rsidRPr="00D9348B">
              <w:rPr>
                <w:noProof w:val="0"/>
                <w:color w:val="FFFFFF"/>
                <w:vertAlign w:val="subscript"/>
              </w:rPr>
              <w:t>2</w:t>
            </w:r>
            <w:r w:rsidRPr="00D9348B">
              <w:rPr>
                <w:noProof w:val="0"/>
                <w:color w:val="FFFFFF"/>
              </w:rPr>
              <w:t>-e)</w:t>
            </w:r>
          </w:p>
        </w:tc>
        <w:tc>
          <w:tcPr>
            <w:tcW w:w="1087" w:type="pct"/>
            <w:tcBorders>
              <w:bottom w:val="single" w:sz="4" w:space="0" w:color="365F91"/>
            </w:tcBorders>
            <w:shd w:val="clear" w:color="auto" w:fill="365F91"/>
          </w:tcPr>
          <w:p w14:paraId="1A8C26B3" w14:textId="77777777" w:rsidR="00A10636" w:rsidRPr="00D9348B" w:rsidRDefault="00A10636" w:rsidP="00DB330E">
            <w:pPr>
              <w:pStyle w:val="TableTextBold"/>
              <w:spacing w:before="40" w:after="40"/>
              <w:jc w:val="center"/>
              <w:rPr>
                <w:noProof w:val="0"/>
                <w:color w:val="FFFFFF"/>
              </w:rPr>
            </w:pPr>
            <w:r w:rsidRPr="00D9348B">
              <w:rPr>
                <w:noProof w:val="0"/>
                <w:color w:val="FFFFFF"/>
              </w:rPr>
              <w:t>(%)</w:t>
            </w:r>
          </w:p>
        </w:tc>
      </w:tr>
      <w:tr w:rsidR="00A10636" w:rsidRPr="00D9348B" w14:paraId="06CC1139" w14:textId="77777777" w:rsidTr="003557B6">
        <w:tc>
          <w:tcPr>
            <w:tcW w:w="652" w:type="pct"/>
            <w:tcBorders>
              <w:top w:val="single" w:sz="4" w:space="0" w:color="365F91"/>
              <w:bottom w:val="single" w:sz="4" w:space="0" w:color="365F91"/>
            </w:tcBorders>
          </w:tcPr>
          <w:p w14:paraId="0490DB56" w14:textId="77777777" w:rsidR="00A10636" w:rsidRPr="00D9348B" w:rsidRDefault="00A10636" w:rsidP="00DB330E">
            <w:pPr>
              <w:pStyle w:val="TableText"/>
              <w:spacing w:before="40" w:after="40"/>
            </w:pPr>
            <w:r w:rsidRPr="00D9348B">
              <w:t xml:space="preserve">1990 </w:t>
            </w:r>
          </w:p>
        </w:tc>
        <w:tc>
          <w:tcPr>
            <w:tcW w:w="1087" w:type="pct"/>
            <w:tcBorders>
              <w:top w:val="single" w:sz="4" w:space="0" w:color="365F91"/>
              <w:bottom w:val="single" w:sz="4" w:space="0" w:color="365F91"/>
            </w:tcBorders>
          </w:tcPr>
          <w:p w14:paraId="443B1D40" w14:textId="77777777" w:rsidR="00A10636" w:rsidRPr="00D9348B" w:rsidRDefault="00A10636" w:rsidP="00DB330E">
            <w:pPr>
              <w:pStyle w:val="TableText"/>
              <w:tabs>
                <w:tab w:val="decimal" w:pos="599"/>
              </w:tabs>
              <w:spacing w:before="40" w:after="40"/>
              <w:jc w:val="center"/>
            </w:pPr>
            <w:r w:rsidRPr="00D9348B">
              <w:t>–2,072.91</w:t>
            </w:r>
          </w:p>
        </w:tc>
        <w:tc>
          <w:tcPr>
            <w:tcW w:w="1087" w:type="pct"/>
            <w:tcBorders>
              <w:top w:val="single" w:sz="4" w:space="0" w:color="365F91"/>
              <w:bottom w:val="single" w:sz="4" w:space="0" w:color="365F91"/>
            </w:tcBorders>
          </w:tcPr>
          <w:p w14:paraId="2ADE0422" w14:textId="77777777" w:rsidR="00A10636" w:rsidRPr="00D9348B" w:rsidRDefault="00A10636" w:rsidP="00DB330E">
            <w:pPr>
              <w:pStyle w:val="TableText"/>
              <w:tabs>
                <w:tab w:val="decimal" w:pos="599"/>
              </w:tabs>
              <w:spacing w:before="40" w:after="40"/>
              <w:jc w:val="center"/>
            </w:pPr>
            <w:r w:rsidRPr="00D9348B">
              <w:t>–2,072.91</w:t>
            </w:r>
          </w:p>
        </w:tc>
        <w:tc>
          <w:tcPr>
            <w:tcW w:w="1087" w:type="pct"/>
            <w:tcBorders>
              <w:top w:val="single" w:sz="4" w:space="0" w:color="365F91"/>
              <w:bottom w:val="single" w:sz="4" w:space="0" w:color="365F91"/>
            </w:tcBorders>
          </w:tcPr>
          <w:p w14:paraId="225144B3" w14:textId="77777777" w:rsidR="00A10636" w:rsidRPr="00D9348B" w:rsidRDefault="00A10636" w:rsidP="00DB330E">
            <w:pPr>
              <w:pStyle w:val="TableText"/>
              <w:tabs>
                <w:tab w:val="decimal" w:pos="599"/>
              </w:tabs>
              <w:spacing w:before="40" w:after="40"/>
              <w:jc w:val="center"/>
            </w:pPr>
            <w:r w:rsidRPr="00D9348B">
              <w:t xml:space="preserve">0.0 </w:t>
            </w:r>
          </w:p>
        </w:tc>
        <w:tc>
          <w:tcPr>
            <w:tcW w:w="1087" w:type="pct"/>
            <w:tcBorders>
              <w:top w:val="single" w:sz="4" w:space="0" w:color="365F91"/>
              <w:bottom w:val="single" w:sz="4" w:space="0" w:color="365F91"/>
            </w:tcBorders>
          </w:tcPr>
          <w:p w14:paraId="22C55149" w14:textId="77777777" w:rsidR="00A10636" w:rsidRPr="00D9348B" w:rsidRDefault="00A10636" w:rsidP="00DB330E">
            <w:pPr>
              <w:pStyle w:val="TableText"/>
              <w:tabs>
                <w:tab w:val="decimal" w:pos="599"/>
              </w:tabs>
              <w:spacing w:before="40" w:after="40"/>
              <w:jc w:val="center"/>
            </w:pPr>
            <w:r w:rsidRPr="00D9348B">
              <w:t>+0.0</w:t>
            </w:r>
          </w:p>
        </w:tc>
      </w:tr>
      <w:tr w:rsidR="00A10636" w:rsidRPr="00D9348B" w14:paraId="1D49219D" w14:textId="77777777" w:rsidTr="003557B6">
        <w:tc>
          <w:tcPr>
            <w:tcW w:w="652" w:type="pct"/>
            <w:tcBorders>
              <w:top w:val="single" w:sz="4" w:space="0" w:color="365F91"/>
              <w:bottom w:val="single" w:sz="4" w:space="0" w:color="365F91"/>
            </w:tcBorders>
          </w:tcPr>
          <w:p w14:paraId="5DBD77EB" w14:textId="77777777" w:rsidR="00A10636" w:rsidRPr="00D9348B" w:rsidRDefault="00A10636" w:rsidP="00DB330E">
            <w:pPr>
              <w:pStyle w:val="TableText"/>
              <w:spacing w:before="40" w:after="40"/>
            </w:pPr>
            <w:r w:rsidRPr="00D9348B">
              <w:t>2017</w:t>
            </w:r>
          </w:p>
        </w:tc>
        <w:tc>
          <w:tcPr>
            <w:tcW w:w="1087" w:type="pct"/>
            <w:tcBorders>
              <w:top w:val="single" w:sz="4" w:space="0" w:color="365F91"/>
              <w:bottom w:val="single" w:sz="4" w:space="0" w:color="365F91"/>
            </w:tcBorders>
          </w:tcPr>
          <w:p w14:paraId="48AE65C3" w14:textId="77777777" w:rsidR="00A10636" w:rsidRPr="00D9348B" w:rsidRDefault="00A10636" w:rsidP="00DB330E">
            <w:pPr>
              <w:pStyle w:val="TableText"/>
              <w:tabs>
                <w:tab w:val="decimal" w:pos="599"/>
              </w:tabs>
              <w:spacing w:before="40" w:after="40"/>
              <w:jc w:val="center"/>
            </w:pPr>
            <w:r w:rsidRPr="00D9348B">
              <w:t>–6,518.52</w:t>
            </w:r>
          </w:p>
        </w:tc>
        <w:tc>
          <w:tcPr>
            <w:tcW w:w="1087" w:type="pct"/>
            <w:tcBorders>
              <w:top w:val="single" w:sz="4" w:space="0" w:color="365F91"/>
              <w:bottom w:val="single" w:sz="4" w:space="0" w:color="365F91"/>
            </w:tcBorders>
          </w:tcPr>
          <w:p w14:paraId="6582B930" w14:textId="77777777" w:rsidR="00A10636" w:rsidRPr="00D9348B" w:rsidRDefault="00A10636" w:rsidP="00DB330E">
            <w:pPr>
              <w:pStyle w:val="TableText"/>
              <w:tabs>
                <w:tab w:val="decimal" w:pos="599"/>
              </w:tabs>
              <w:spacing w:before="40" w:after="40"/>
              <w:jc w:val="center"/>
            </w:pPr>
            <w:r w:rsidRPr="00D9348B">
              <w:t>–8,379.90</w:t>
            </w:r>
          </w:p>
        </w:tc>
        <w:tc>
          <w:tcPr>
            <w:tcW w:w="1087" w:type="pct"/>
            <w:tcBorders>
              <w:top w:val="single" w:sz="4" w:space="0" w:color="365F91"/>
              <w:bottom w:val="single" w:sz="4" w:space="0" w:color="365F91"/>
            </w:tcBorders>
          </w:tcPr>
          <w:p w14:paraId="63074DFD" w14:textId="77777777" w:rsidR="00A10636" w:rsidRPr="00D9348B" w:rsidRDefault="00A10636" w:rsidP="00DB330E">
            <w:pPr>
              <w:pStyle w:val="TableText"/>
              <w:tabs>
                <w:tab w:val="decimal" w:pos="599"/>
              </w:tabs>
              <w:spacing w:before="40" w:after="40"/>
              <w:jc w:val="center"/>
            </w:pPr>
            <w:r w:rsidRPr="00D9348B">
              <w:t xml:space="preserve">–1,861.4 </w:t>
            </w:r>
          </w:p>
        </w:tc>
        <w:tc>
          <w:tcPr>
            <w:tcW w:w="1087" w:type="pct"/>
            <w:tcBorders>
              <w:top w:val="single" w:sz="4" w:space="0" w:color="365F91"/>
              <w:bottom w:val="single" w:sz="4" w:space="0" w:color="365F91"/>
            </w:tcBorders>
          </w:tcPr>
          <w:p w14:paraId="2A47BDCD" w14:textId="77777777" w:rsidR="00A10636" w:rsidRPr="00D9348B" w:rsidRDefault="00A10636" w:rsidP="00DB330E">
            <w:pPr>
              <w:pStyle w:val="TableText"/>
              <w:tabs>
                <w:tab w:val="decimal" w:pos="599"/>
              </w:tabs>
              <w:spacing w:before="40" w:after="40"/>
              <w:jc w:val="center"/>
            </w:pPr>
            <w:r w:rsidRPr="00D9348B">
              <w:t>–28.6</w:t>
            </w:r>
          </w:p>
        </w:tc>
      </w:tr>
    </w:tbl>
    <w:p w14:paraId="199B4A19" w14:textId="77777777" w:rsidR="00A10636" w:rsidRPr="00D9348B" w:rsidRDefault="00A10636" w:rsidP="00A10636">
      <w:pPr>
        <w:pStyle w:val="Heading3"/>
      </w:pPr>
      <w:r w:rsidRPr="00D9348B">
        <w:t>6.10.6</w:t>
      </w:r>
      <w:r w:rsidRPr="00D9348B">
        <w:tab/>
        <w:t>Category-specific planned improvements</w:t>
      </w:r>
    </w:p>
    <w:p w14:paraId="75764E30" w14:textId="77777777" w:rsidR="00A10636" w:rsidRPr="00D9348B" w:rsidRDefault="00A10636" w:rsidP="00A66967">
      <w:pPr>
        <w:pStyle w:val="BodyText"/>
        <w:spacing w:before="60" w:after="100"/>
        <w:rPr>
          <w:spacing w:val="-2"/>
        </w:rPr>
      </w:pPr>
      <w:bookmarkStart w:id="2494" w:name="_Toc280630349"/>
      <w:bookmarkStart w:id="2495" w:name="_Toc310423458"/>
      <w:bookmarkStart w:id="2496" w:name="_Toc342470724"/>
      <w:bookmarkStart w:id="2497" w:name="_Toc352504876"/>
      <w:bookmarkStart w:id="2498" w:name="_Toc391024706"/>
      <w:bookmarkStart w:id="2499" w:name="_Toc414531324"/>
      <w:bookmarkStart w:id="2500" w:name="_Toc474335466"/>
      <w:bookmarkStart w:id="2501" w:name="_Toc481751406"/>
      <w:r w:rsidRPr="00D9348B">
        <w:rPr>
          <w:spacing w:val="-2"/>
        </w:rPr>
        <w:t>A quality assurance, quality control and verification process is planned to be implemented in the next submission. The process will ensure New Zealand data from FAOSTAT are checked against data from the Ministry for Primary Industries (the agency responsible for the collection of these data). Any missing totals in aggregate categories will be identified and filled by summing individual product categories, and any incorrect estimates are to be identified and replaced.</w:t>
      </w:r>
    </w:p>
    <w:p w14:paraId="56A26E9D" w14:textId="77777777" w:rsidR="00A10636" w:rsidRPr="00D9348B" w:rsidRDefault="00A10636" w:rsidP="00FA56E4">
      <w:pPr>
        <w:pStyle w:val="Heading2"/>
      </w:pPr>
      <w:bookmarkStart w:id="2502" w:name="_Toc522013958"/>
      <w:bookmarkStart w:id="2503" w:name="_Toc5269383"/>
      <w:bookmarkStart w:id="2504" w:name="_Toc36224423"/>
      <w:r w:rsidRPr="00D9348B">
        <w:t>6.11</w:t>
      </w:r>
      <w:r w:rsidRPr="00D9348B">
        <w:tab/>
        <w:t>Non-CO</w:t>
      </w:r>
      <w:r w:rsidRPr="00D9348B">
        <w:rPr>
          <w:rFonts w:ascii="Arial Bold" w:hAnsi="Arial Bold"/>
          <w:vertAlign w:val="subscript"/>
        </w:rPr>
        <w:t>2</w:t>
      </w:r>
      <w:r w:rsidRPr="00D9348B">
        <w:t xml:space="preserve"> emissions (CRF 4(I–V))</w:t>
      </w:r>
      <w:bookmarkEnd w:id="2494"/>
      <w:bookmarkEnd w:id="2495"/>
      <w:bookmarkEnd w:id="2496"/>
      <w:bookmarkEnd w:id="2497"/>
      <w:bookmarkEnd w:id="2498"/>
      <w:bookmarkEnd w:id="2499"/>
      <w:bookmarkEnd w:id="2500"/>
      <w:bookmarkEnd w:id="2501"/>
      <w:bookmarkEnd w:id="2502"/>
      <w:bookmarkEnd w:id="2503"/>
      <w:bookmarkEnd w:id="2504"/>
    </w:p>
    <w:p w14:paraId="307A5B85" w14:textId="0ECAA92F" w:rsidR="00A10636" w:rsidRPr="00D9348B" w:rsidRDefault="00A10636" w:rsidP="007D4AA4">
      <w:pPr>
        <w:pStyle w:val="Heading3"/>
        <w:spacing w:before="160"/>
      </w:pPr>
      <w:bookmarkStart w:id="2505" w:name="_Toc280630350"/>
      <w:r w:rsidRPr="00D9348B">
        <w:t xml:space="preserve">6.11.1 </w:t>
      </w:r>
      <w:r w:rsidRPr="00D9348B">
        <w:tab/>
        <w:t>Direct N</w:t>
      </w:r>
      <w:r w:rsidRPr="00D9348B">
        <w:rPr>
          <w:vertAlign w:val="subscript"/>
        </w:rPr>
        <w:t>2</w:t>
      </w:r>
      <w:r w:rsidRPr="00D9348B">
        <w:t>O emissions from nitrogen fertilisation of</w:t>
      </w:r>
      <w:r w:rsidR="00A66967" w:rsidRPr="00D9348B">
        <w:t xml:space="preserve"> </w:t>
      </w:r>
      <w:r w:rsidRPr="00D9348B">
        <w:t>forest land</w:t>
      </w:r>
      <w:r w:rsidR="00A66967" w:rsidRPr="00D9348B">
        <w:br/>
      </w:r>
      <w:r w:rsidRPr="00D9348B">
        <w:t>and other land (CRF 4(I)</w:t>
      </w:r>
      <w:bookmarkEnd w:id="2505"/>
      <w:r w:rsidRPr="00D9348B">
        <w:t>)</w:t>
      </w:r>
    </w:p>
    <w:p w14:paraId="6115D907" w14:textId="77777777" w:rsidR="00A10636" w:rsidRPr="00D9348B" w:rsidRDefault="00A10636" w:rsidP="00A66967">
      <w:pPr>
        <w:pStyle w:val="BodyText"/>
        <w:spacing w:before="60" w:after="100"/>
      </w:pPr>
      <w:r w:rsidRPr="00D9348B">
        <w:t>New Zealand’s activity data on nitrogen fertilisation are not currently disaggregated by land use and, therefore, all direct N</w:t>
      </w:r>
      <w:r w:rsidRPr="00D9348B">
        <w:rPr>
          <w:vertAlign w:val="subscript"/>
        </w:rPr>
        <w:t>2</w:t>
      </w:r>
      <w:r w:rsidRPr="00D9348B">
        <w:t>O emissions from nitrogen fertilisation of</w:t>
      </w:r>
      <w:r w:rsidRPr="00D9348B">
        <w:rPr>
          <w:i/>
        </w:rPr>
        <w:t xml:space="preserve"> Forest land </w:t>
      </w:r>
      <w:r w:rsidRPr="00D9348B">
        <w:t>and</w:t>
      </w:r>
      <w:r w:rsidRPr="00D9348B">
        <w:rPr>
          <w:i/>
        </w:rPr>
        <w:t xml:space="preserve"> </w:t>
      </w:r>
      <w:proofErr w:type="gramStart"/>
      <w:r w:rsidRPr="00D9348B">
        <w:rPr>
          <w:i/>
        </w:rPr>
        <w:t>Other</w:t>
      </w:r>
      <w:proofErr w:type="gramEnd"/>
      <w:r w:rsidRPr="00D9348B">
        <w:rPr>
          <w:i/>
        </w:rPr>
        <w:t xml:space="preserve"> land</w:t>
      </w:r>
      <w:r w:rsidRPr="00D9348B">
        <w:t xml:space="preserve"> are reported in the Agriculture sector under the category </w:t>
      </w:r>
      <w:r w:rsidRPr="00D9348B">
        <w:rPr>
          <w:i/>
        </w:rPr>
        <w:t>Direct N</w:t>
      </w:r>
      <w:r w:rsidRPr="00D9348B">
        <w:rPr>
          <w:i/>
          <w:vertAlign w:val="subscript"/>
        </w:rPr>
        <w:t>2</w:t>
      </w:r>
      <w:r w:rsidRPr="00D9348B">
        <w:rPr>
          <w:i/>
        </w:rPr>
        <w:t>O emissions from managed soils</w:t>
      </w:r>
      <w:r w:rsidRPr="00D9348B">
        <w:t xml:space="preserve"> (CRF 3.D.a). The notation key IE (included elsewhere) is reported in the CRF tables for the LULUCF sector.</w:t>
      </w:r>
    </w:p>
    <w:p w14:paraId="1E33C7F9" w14:textId="7153CF22" w:rsidR="00A10636" w:rsidRPr="00D9348B" w:rsidRDefault="00A10636" w:rsidP="00FA56E4">
      <w:pPr>
        <w:pStyle w:val="Heading3"/>
        <w:spacing w:before="280"/>
      </w:pPr>
      <w:bookmarkStart w:id="2506" w:name="_Toc280630351"/>
      <w:r w:rsidRPr="00D9348B">
        <w:t xml:space="preserve">6.11.2 </w:t>
      </w:r>
      <w:r w:rsidRPr="00D9348B">
        <w:tab/>
        <w:t>Emissions from drainage and rewetting of organic and mineral soils (CRF 4(II)</w:t>
      </w:r>
      <w:bookmarkEnd w:id="2506"/>
      <w:r w:rsidRPr="00D9348B">
        <w:t xml:space="preserve">) </w:t>
      </w:r>
    </w:p>
    <w:p w14:paraId="438B5A8C" w14:textId="171F67F9" w:rsidR="00A10636" w:rsidRPr="00D9348B" w:rsidRDefault="00A10636" w:rsidP="00A66967">
      <w:pPr>
        <w:pStyle w:val="BodyText"/>
        <w:spacing w:before="60" w:after="100"/>
      </w:pPr>
      <w:r w:rsidRPr="00D9348B">
        <w:t xml:space="preserve">New Zealand has not prepared estimates for this category. Carbon dioxide emissions resulting from drainage of organic soils for </w:t>
      </w:r>
      <w:r w:rsidR="00EA7212">
        <w:t>land-use</w:t>
      </w:r>
      <w:r w:rsidRPr="00D9348B">
        <w:t xml:space="preserve"> change are reported within CRF tables 4.A to 4.F, and IE (included elsewhere) is reported in table CRF 4(II) in these cases. The drainage of soils and wetlands is a relatively minor activity in New Zealand and there is insufficient information to reliably report on this activity where not associated with land-use change. This means the notation key NE (not estimated) is reported in this CRF table within the LULUCF</w:t>
      </w:r>
      <w:r w:rsidRPr="00D9348B">
        <w:rPr>
          <w:i/>
        </w:rPr>
        <w:t xml:space="preserve"> </w:t>
      </w:r>
      <w:r w:rsidRPr="00D9348B">
        <w:t>sector in accordance with paragraph 37(b) of Decision 24/CP.19 (UNFCCC, 2014).</w:t>
      </w:r>
    </w:p>
    <w:p w14:paraId="541D8473" w14:textId="2462C395" w:rsidR="00A10636" w:rsidRPr="00D9348B" w:rsidRDefault="00A10636" w:rsidP="008675E4">
      <w:pPr>
        <w:pStyle w:val="Heading3"/>
        <w:spacing w:before="280"/>
      </w:pPr>
      <w:bookmarkStart w:id="2507" w:name="_Toc280630352"/>
      <w:r w:rsidRPr="00D9348B">
        <w:lastRenderedPageBreak/>
        <w:t xml:space="preserve">6.11.3 </w:t>
      </w:r>
      <w:r w:rsidRPr="00D9348B">
        <w:tab/>
        <w:t>Direct N</w:t>
      </w:r>
      <w:r w:rsidRPr="00D9348B">
        <w:rPr>
          <w:vertAlign w:val="subscript"/>
        </w:rPr>
        <w:t>2</w:t>
      </w:r>
      <w:r w:rsidRPr="00D9348B">
        <w:t>O emissions from nitrogen mineralisation/immobilisation (CRF 4(III)</w:t>
      </w:r>
      <w:bookmarkEnd w:id="2507"/>
      <w:r w:rsidRPr="00D9348B">
        <w:t>)</w:t>
      </w:r>
    </w:p>
    <w:p w14:paraId="0B6F1695" w14:textId="77777777" w:rsidR="00A10636" w:rsidRPr="00D9348B" w:rsidRDefault="00A10636" w:rsidP="003557B6">
      <w:pPr>
        <w:pStyle w:val="Heading4"/>
        <w:spacing w:before="160"/>
      </w:pPr>
      <w:bookmarkStart w:id="2508" w:name="_Toc280630353"/>
      <w:r w:rsidRPr="00D9348B">
        <w:t>Description</w:t>
      </w:r>
      <w:bookmarkEnd w:id="2508"/>
      <w:r w:rsidRPr="00D9348B">
        <w:t xml:space="preserve"> </w:t>
      </w:r>
    </w:p>
    <w:p w14:paraId="3FC20DB2" w14:textId="77777777" w:rsidR="00A10636" w:rsidRPr="00D9348B" w:rsidRDefault="00A10636" w:rsidP="00A10636">
      <w:pPr>
        <w:pStyle w:val="BodyText"/>
        <w:spacing w:before="100" w:after="100"/>
      </w:pPr>
      <w:r w:rsidRPr="00D9348B">
        <w:t>Nitrous oxide emissions result from the mineralisation of soil organic matter with land-use change. This mineralisation results in an associated conversion of nitrogen previously in the soil organic matter to ammonium and nitrate. Microbial activity in the soil converts some of the ammonium and nitrate present to N</w:t>
      </w:r>
      <w:r w:rsidRPr="00D9348B">
        <w:rPr>
          <w:vertAlign w:val="subscript"/>
        </w:rPr>
        <w:t>2</w:t>
      </w:r>
      <w:r w:rsidRPr="00D9348B">
        <w:t>O. An increase in this microbial substrate caused by a net decrease in soil organic matter can therefore be expected to give an increase in net N</w:t>
      </w:r>
      <w:r w:rsidRPr="00D9348B">
        <w:rPr>
          <w:vertAlign w:val="subscript"/>
        </w:rPr>
        <w:t>2</w:t>
      </w:r>
      <w:r w:rsidRPr="00D9348B">
        <w:t>O emissions (section 11, IPCC, 2006a).</w:t>
      </w:r>
    </w:p>
    <w:p w14:paraId="12944F04" w14:textId="77777777" w:rsidR="00A10636" w:rsidRPr="00D9348B" w:rsidRDefault="00A10636" w:rsidP="00A10636">
      <w:pPr>
        <w:pStyle w:val="BodyText"/>
        <w:spacing w:before="100" w:after="100"/>
      </w:pPr>
      <w:r w:rsidRPr="00D9348B">
        <w:t>Direct N</w:t>
      </w:r>
      <w:r w:rsidRPr="00D9348B">
        <w:rPr>
          <w:spacing w:val="-2"/>
          <w:vertAlign w:val="subscript"/>
        </w:rPr>
        <w:t>2</w:t>
      </w:r>
      <w:r w:rsidRPr="00D9348B">
        <w:t>O emissions from nitrogen mineralisation/immobilisation are minor in New Zealand, estimated at 0.3 kt N</w:t>
      </w:r>
      <w:r w:rsidRPr="00D9348B">
        <w:rPr>
          <w:spacing w:val="-2"/>
          <w:vertAlign w:val="subscript"/>
        </w:rPr>
        <w:t>2</w:t>
      </w:r>
      <w:r w:rsidRPr="00D9348B">
        <w:t>O in 2018 compared with 0.6 kt N</w:t>
      </w:r>
      <w:r w:rsidRPr="00D9348B">
        <w:rPr>
          <w:spacing w:val="-2"/>
          <w:vertAlign w:val="subscript"/>
        </w:rPr>
        <w:t>2</w:t>
      </w:r>
      <w:r w:rsidRPr="00D9348B">
        <w:t>O in 1990.</w:t>
      </w:r>
      <w:bookmarkStart w:id="2509" w:name="_Toc280630354"/>
    </w:p>
    <w:p w14:paraId="5EA80EC3" w14:textId="77777777" w:rsidR="00A10636" w:rsidRPr="00D9348B" w:rsidRDefault="00A10636" w:rsidP="008675E4">
      <w:pPr>
        <w:pStyle w:val="Heading4"/>
        <w:spacing w:before="160"/>
      </w:pPr>
      <w:r w:rsidRPr="00D9348B">
        <w:t>Methodological issues</w:t>
      </w:r>
      <w:bookmarkEnd w:id="2509"/>
    </w:p>
    <w:p w14:paraId="704B4586" w14:textId="77777777" w:rsidR="00A10636" w:rsidRPr="00D9348B" w:rsidRDefault="00A10636" w:rsidP="00866192">
      <w:pPr>
        <w:pStyle w:val="BodyText"/>
        <w:spacing w:before="80" w:after="100"/>
      </w:pPr>
      <w:r w:rsidRPr="00D9348B">
        <w:t>To estimate N</w:t>
      </w:r>
      <w:r w:rsidRPr="00D9348B">
        <w:rPr>
          <w:vertAlign w:val="subscript"/>
        </w:rPr>
        <w:t>2</w:t>
      </w:r>
      <w:r w:rsidRPr="00D9348B">
        <w:t>O emissions from disturbance associated with land-use change, New Zealand uses the method outlined in the 2006 IPCC Guidelines (equations 11.2 and 11.8, IPCC, 2006a). The inputs to these equations are:</w:t>
      </w:r>
    </w:p>
    <w:p w14:paraId="12B71B18" w14:textId="77777777" w:rsidR="00A10636" w:rsidRPr="00D9348B" w:rsidRDefault="00A10636" w:rsidP="00771A8F">
      <w:pPr>
        <w:pStyle w:val="Bullet"/>
        <w:numPr>
          <w:ilvl w:val="0"/>
          <w:numId w:val="20"/>
        </w:numPr>
        <w:spacing w:after="100"/>
      </w:pPr>
      <w:r w:rsidRPr="00D9348B">
        <w:t>loss of carbon in mineral soils</w:t>
      </w:r>
    </w:p>
    <w:p w14:paraId="15973379" w14:textId="77777777" w:rsidR="00A10636" w:rsidRPr="00D9348B" w:rsidRDefault="00A10636" w:rsidP="00771A8F">
      <w:pPr>
        <w:pStyle w:val="Bullet"/>
        <w:numPr>
          <w:ilvl w:val="0"/>
          <w:numId w:val="20"/>
        </w:numPr>
        <w:spacing w:after="100"/>
      </w:pPr>
      <w:r w:rsidRPr="00D9348B">
        <w:t>EF1 – the emission factor for calculating emissions of N</w:t>
      </w:r>
      <w:r w:rsidRPr="00D9348B">
        <w:rPr>
          <w:vertAlign w:val="subscript"/>
        </w:rPr>
        <w:t>2</w:t>
      </w:r>
      <w:r w:rsidRPr="00D9348B">
        <w:t>O from nitrogen in the soil. New Zealand uses a country-specific value of 0.01 kg N</w:t>
      </w:r>
      <w:r w:rsidRPr="00D9348B">
        <w:rPr>
          <w:vertAlign w:val="subscript"/>
        </w:rPr>
        <w:t>2</w:t>
      </w:r>
      <w:r w:rsidRPr="00D9348B">
        <w:t>O – N/kg N (Kelliher and de Klein, unpublished)</w:t>
      </w:r>
    </w:p>
    <w:p w14:paraId="649E74EF" w14:textId="77777777" w:rsidR="00A10636" w:rsidRPr="00D9348B" w:rsidRDefault="00A10636" w:rsidP="00771A8F">
      <w:pPr>
        <w:pStyle w:val="Bullet"/>
        <w:numPr>
          <w:ilvl w:val="0"/>
          <w:numId w:val="20"/>
        </w:numPr>
        <w:spacing w:after="100"/>
      </w:pPr>
      <w:r w:rsidRPr="00D9348B">
        <w:t>C</w:t>
      </w:r>
      <w:proofErr w:type="gramStart"/>
      <w:r w:rsidRPr="00D9348B">
        <w:t>:N</w:t>
      </w:r>
      <w:proofErr w:type="gramEnd"/>
      <w:r w:rsidRPr="00D9348B">
        <w:t xml:space="preserve"> ratio – the IPCC default ratio of carbon to nitrogen in soil organic matter (15:1) is used (IPCC, 2006a, p 11.16). </w:t>
      </w:r>
    </w:p>
    <w:p w14:paraId="2DF8D5B5" w14:textId="77777777" w:rsidR="00A10636" w:rsidRPr="00D9348B" w:rsidRDefault="00A10636" w:rsidP="00A10636">
      <w:pPr>
        <w:pStyle w:val="BodyText"/>
        <w:spacing w:before="100" w:after="100"/>
      </w:pPr>
      <w:r w:rsidRPr="00D9348B">
        <w:t>Where an area of land is converted to a land use with a higher original mineral SOC stock than the category it is converted from, no N</w:t>
      </w:r>
      <w:r w:rsidRPr="00D9348B">
        <w:rPr>
          <w:vertAlign w:val="subscript"/>
        </w:rPr>
        <w:t>2</w:t>
      </w:r>
      <w:r w:rsidRPr="00D9348B">
        <w:t>O emissions have been estimated as occurring because there is no associated loss of SOC. For instance, cropland converted to forest land is estimated not to result in net N</w:t>
      </w:r>
      <w:r w:rsidRPr="00D9348B">
        <w:rPr>
          <w:vertAlign w:val="subscript"/>
        </w:rPr>
        <w:t>2</w:t>
      </w:r>
      <w:r w:rsidRPr="00D9348B">
        <w:t>O emissions because this land-use conversion is associated with a net gain in SOC in New Zealand (see table 6.3.1). In these situations, the notation key NO (not occurring) is reported in the CRF tables.</w:t>
      </w:r>
    </w:p>
    <w:p w14:paraId="3E2B5546" w14:textId="77777777" w:rsidR="00A10636" w:rsidRPr="00D9348B" w:rsidRDefault="00A10636" w:rsidP="008675E4">
      <w:pPr>
        <w:pStyle w:val="Heading4"/>
        <w:spacing w:before="160"/>
      </w:pPr>
      <w:bookmarkStart w:id="2510" w:name="_Toc280630355"/>
      <w:r w:rsidRPr="00D9348B">
        <w:t>Uncertainties and time-series consistency</w:t>
      </w:r>
      <w:bookmarkEnd w:id="2510"/>
    </w:p>
    <w:p w14:paraId="1F733413" w14:textId="77777777" w:rsidR="00A10636" w:rsidRPr="00D9348B" w:rsidRDefault="00A10636" w:rsidP="00866192">
      <w:pPr>
        <w:pStyle w:val="BodyText"/>
        <w:spacing w:before="80"/>
      </w:pPr>
      <w:r w:rsidRPr="00D9348B">
        <w:t>New Zealand uses a country-specific value for calculating N</w:t>
      </w:r>
      <w:r w:rsidRPr="00D9348B">
        <w:rPr>
          <w:vertAlign w:val="subscript"/>
        </w:rPr>
        <w:t>2</w:t>
      </w:r>
      <w:r w:rsidRPr="00D9348B">
        <w:t xml:space="preserve">O emissions from nitrogen in soil. This value has a high level of uncertainty, which is estimated at 40.0 per cent (see table 6.11.1). </w:t>
      </w:r>
    </w:p>
    <w:p w14:paraId="21A187FC" w14:textId="77777777" w:rsidR="00A10636" w:rsidRPr="00D9348B" w:rsidRDefault="00A10636" w:rsidP="00A10636">
      <w:pPr>
        <w:pStyle w:val="Table"/>
      </w:pPr>
      <w:bookmarkStart w:id="2511" w:name="_Toc310423430"/>
      <w:bookmarkStart w:id="2512" w:name="_Toc318362723"/>
      <w:bookmarkStart w:id="2513" w:name="_Toc342470798"/>
      <w:bookmarkStart w:id="2514" w:name="_Toc352505038"/>
      <w:bookmarkStart w:id="2515" w:name="_Toc378853327"/>
      <w:bookmarkStart w:id="2516" w:name="_Toc391024125"/>
      <w:bookmarkStart w:id="2517" w:name="_Toc410028869"/>
      <w:bookmarkStart w:id="2518" w:name="_Toc414531497"/>
      <w:bookmarkStart w:id="2519" w:name="_Toc443645411"/>
      <w:bookmarkStart w:id="2520" w:name="_Toc474914630"/>
      <w:bookmarkStart w:id="2521" w:name="_Toc481751594"/>
      <w:bookmarkStart w:id="2522" w:name="_Toc522010651"/>
      <w:bookmarkStart w:id="2523" w:name="_Toc5269556"/>
      <w:bookmarkStart w:id="2524" w:name="_Toc33529430"/>
      <w:bookmarkStart w:id="2525" w:name="_Toc36224636"/>
      <w:r w:rsidRPr="00D9348B">
        <w:t>Table 6.11.1</w:t>
      </w:r>
      <w:r w:rsidRPr="00D9348B">
        <w:tab/>
        <w:t>Uncertainty in New Zealand’s 2018 estimates for N</w:t>
      </w:r>
      <w:r w:rsidRPr="00D9348B">
        <w:rPr>
          <w:vertAlign w:val="subscript"/>
        </w:rPr>
        <w:t>2</w:t>
      </w:r>
      <w:r w:rsidRPr="00D9348B">
        <w:t xml:space="preserve">O emissions from </w:t>
      </w:r>
      <w:bookmarkEnd w:id="2511"/>
      <w:bookmarkEnd w:id="2512"/>
      <w:bookmarkEnd w:id="2513"/>
      <w:bookmarkEnd w:id="2514"/>
      <w:bookmarkEnd w:id="2515"/>
      <w:bookmarkEnd w:id="2516"/>
      <w:r w:rsidRPr="00D9348B">
        <w:t>land-use change</w:t>
      </w:r>
      <w:bookmarkEnd w:id="2517"/>
      <w:bookmarkEnd w:id="2518"/>
      <w:bookmarkEnd w:id="2519"/>
      <w:bookmarkEnd w:id="2520"/>
      <w:bookmarkEnd w:id="2521"/>
      <w:bookmarkEnd w:id="2522"/>
      <w:bookmarkEnd w:id="2523"/>
      <w:bookmarkEnd w:id="2524"/>
      <w:bookmarkEnd w:id="2525"/>
    </w:p>
    <w:tbl>
      <w:tblPr>
        <w:tblW w:w="8505" w:type="dxa"/>
        <w:tblInd w:w="108" w:type="dxa"/>
        <w:tblLook w:val="04A0" w:firstRow="1" w:lastRow="0" w:firstColumn="1" w:lastColumn="0" w:noHBand="0" w:noVBand="1"/>
      </w:tblPr>
      <w:tblGrid>
        <w:gridCol w:w="4696"/>
        <w:gridCol w:w="3809"/>
      </w:tblGrid>
      <w:tr w:rsidR="00A10636" w:rsidRPr="00D9348B" w14:paraId="58F9E55D" w14:textId="77777777" w:rsidTr="008675E4">
        <w:trPr>
          <w:tblHeader/>
        </w:trPr>
        <w:tc>
          <w:tcPr>
            <w:tcW w:w="4253" w:type="dxa"/>
            <w:tcBorders>
              <w:top w:val="single" w:sz="4" w:space="0" w:color="365F91"/>
              <w:bottom w:val="single" w:sz="4" w:space="0" w:color="365F91"/>
            </w:tcBorders>
            <w:shd w:val="clear" w:color="auto" w:fill="365F91"/>
            <w:noWrap/>
            <w:hideMark/>
          </w:tcPr>
          <w:p w14:paraId="4CEA822C" w14:textId="77777777" w:rsidR="00A10636" w:rsidRPr="00D9348B" w:rsidRDefault="00A10636" w:rsidP="00DB330E">
            <w:pPr>
              <w:pStyle w:val="TableTextBold"/>
              <w:keepNext/>
              <w:spacing w:before="40" w:after="40"/>
              <w:rPr>
                <w:noProof w:val="0"/>
                <w:color w:val="FFFFFF"/>
              </w:rPr>
            </w:pPr>
            <w:r w:rsidRPr="00D9348B">
              <w:rPr>
                <w:noProof w:val="0"/>
                <w:color w:val="FFFFFF"/>
              </w:rPr>
              <w:t>Variable</w:t>
            </w:r>
          </w:p>
        </w:tc>
        <w:tc>
          <w:tcPr>
            <w:tcW w:w="3450" w:type="dxa"/>
            <w:tcBorders>
              <w:top w:val="single" w:sz="4" w:space="0" w:color="365F91"/>
              <w:bottom w:val="single" w:sz="4" w:space="0" w:color="365F91"/>
            </w:tcBorders>
            <w:shd w:val="clear" w:color="auto" w:fill="365F91"/>
            <w:noWrap/>
            <w:hideMark/>
          </w:tcPr>
          <w:p w14:paraId="5B90B197" w14:textId="77777777" w:rsidR="00A10636" w:rsidRPr="00D9348B" w:rsidRDefault="00A10636" w:rsidP="00DB330E">
            <w:pPr>
              <w:pStyle w:val="TableTextBold"/>
              <w:spacing w:before="40" w:after="40"/>
              <w:jc w:val="center"/>
              <w:rPr>
                <w:noProof w:val="0"/>
                <w:color w:val="FFFFFF"/>
              </w:rPr>
            </w:pPr>
            <w:r w:rsidRPr="00D9348B">
              <w:rPr>
                <w:noProof w:val="0"/>
                <w:color w:val="FFFFFF"/>
              </w:rPr>
              <w:t>Uncertainty at a 95% confidence interval (%)</w:t>
            </w:r>
          </w:p>
        </w:tc>
      </w:tr>
      <w:tr w:rsidR="00A10636" w:rsidRPr="00D9348B" w14:paraId="40D3425F" w14:textId="77777777" w:rsidTr="008675E4">
        <w:tc>
          <w:tcPr>
            <w:tcW w:w="4253" w:type="dxa"/>
            <w:tcBorders>
              <w:top w:val="single" w:sz="4" w:space="0" w:color="365F91"/>
              <w:bottom w:val="single" w:sz="4" w:space="0" w:color="365F91"/>
            </w:tcBorders>
            <w:noWrap/>
            <w:hideMark/>
          </w:tcPr>
          <w:p w14:paraId="05E11620" w14:textId="77777777" w:rsidR="00A10636" w:rsidRPr="00D9348B" w:rsidRDefault="00A10636" w:rsidP="008675E4">
            <w:pPr>
              <w:pStyle w:val="TableTextBold"/>
              <w:keepNext/>
              <w:spacing w:before="40" w:after="40"/>
              <w:rPr>
                <w:noProof w:val="0"/>
              </w:rPr>
            </w:pPr>
            <w:r w:rsidRPr="00D9348B">
              <w:rPr>
                <w:noProof w:val="0"/>
              </w:rPr>
              <w:t>Activity data</w:t>
            </w:r>
          </w:p>
        </w:tc>
        <w:tc>
          <w:tcPr>
            <w:tcW w:w="3450" w:type="dxa"/>
            <w:tcBorders>
              <w:top w:val="single" w:sz="4" w:space="0" w:color="365F91"/>
              <w:bottom w:val="single" w:sz="4" w:space="0" w:color="365F91"/>
            </w:tcBorders>
            <w:noWrap/>
            <w:hideMark/>
          </w:tcPr>
          <w:p w14:paraId="271A8E56" w14:textId="77777777" w:rsidR="00A10636" w:rsidRPr="00D9348B" w:rsidRDefault="00A10636" w:rsidP="008675E4">
            <w:pPr>
              <w:pStyle w:val="TableTextBold"/>
              <w:tabs>
                <w:tab w:val="decimal" w:pos="0"/>
              </w:tabs>
              <w:spacing w:before="40" w:after="40"/>
              <w:jc w:val="center"/>
              <w:rPr>
                <w:noProof w:val="0"/>
              </w:rPr>
            </w:pPr>
          </w:p>
        </w:tc>
      </w:tr>
      <w:tr w:rsidR="00A10636" w:rsidRPr="00D9348B" w14:paraId="4A0B65CB" w14:textId="77777777" w:rsidTr="008675E4">
        <w:tc>
          <w:tcPr>
            <w:tcW w:w="4253" w:type="dxa"/>
            <w:tcBorders>
              <w:top w:val="single" w:sz="4" w:space="0" w:color="365F91"/>
              <w:bottom w:val="single" w:sz="4" w:space="0" w:color="365F91"/>
            </w:tcBorders>
            <w:noWrap/>
            <w:hideMark/>
          </w:tcPr>
          <w:p w14:paraId="03A61B25" w14:textId="77777777" w:rsidR="00A10636" w:rsidRPr="00D9348B" w:rsidRDefault="00A10636" w:rsidP="008675E4">
            <w:pPr>
              <w:pStyle w:val="TableText"/>
              <w:keepNext/>
              <w:spacing w:before="40" w:after="40"/>
            </w:pPr>
            <w:r w:rsidRPr="00D9348B">
              <w:t>Uncertainty in land area</w:t>
            </w:r>
          </w:p>
        </w:tc>
        <w:tc>
          <w:tcPr>
            <w:tcW w:w="3450" w:type="dxa"/>
            <w:tcBorders>
              <w:top w:val="single" w:sz="4" w:space="0" w:color="365F91"/>
              <w:bottom w:val="single" w:sz="4" w:space="0" w:color="365F91"/>
            </w:tcBorders>
            <w:noWrap/>
            <w:hideMark/>
          </w:tcPr>
          <w:p w14:paraId="166C0BBF" w14:textId="77777777" w:rsidR="00A10636" w:rsidRPr="00D9348B" w:rsidRDefault="00A10636" w:rsidP="008675E4">
            <w:pPr>
              <w:pStyle w:val="TableText"/>
              <w:tabs>
                <w:tab w:val="decimal" w:pos="0"/>
              </w:tabs>
              <w:spacing w:before="40" w:after="40"/>
              <w:jc w:val="center"/>
            </w:pPr>
            <w:r w:rsidRPr="00D9348B">
              <w:t>±8.0</w:t>
            </w:r>
          </w:p>
        </w:tc>
      </w:tr>
      <w:tr w:rsidR="00A10636" w:rsidRPr="00D9348B" w14:paraId="62CCD2DA" w14:textId="77777777" w:rsidTr="008675E4">
        <w:tc>
          <w:tcPr>
            <w:tcW w:w="4253" w:type="dxa"/>
            <w:tcBorders>
              <w:top w:val="single" w:sz="4" w:space="0" w:color="365F91"/>
              <w:bottom w:val="single" w:sz="4" w:space="0" w:color="365F91"/>
            </w:tcBorders>
            <w:noWrap/>
            <w:hideMark/>
          </w:tcPr>
          <w:p w14:paraId="324CFA8F" w14:textId="77777777" w:rsidR="00A10636" w:rsidRPr="00D9348B" w:rsidRDefault="00A10636" w:rsidP="008675E4">
            <w:pPr>
              <w:pStyle w:val="TableTextBold"/>
              <w:keepNext/>
              <w:spacing w:before="40" w:after="40"/>
              <w:rPr>
                <w:noProof w:val="0"/>
              </w:rPr>
            </w:pPr>
            <w:r w:rsidRPr="00D9348B">
              <w:rPr>
                <w:noProof w:val="0"/>
              </w:rPr>
              <w:t>Emission factors</w:t>
            </w:r>
          </w:p>
        </w:tc>
        <w:tc>
          <w:tcPr>
            <w:tcW w:w="3450" w:type="dxa"/>
            <w:tcBorders>
              <w:top w:val="single" w:sz="4" w:space="0" w:color="365F91"/>
              <w:bottom w:val="single" w:sz="4" w:space="0" w:color="365F91"/>
            </w:tcBorders>
            <w:noWrap/>
            <w:hideMark/>
          </w:tcPr>
          <w:p w14:paraId="4E35034F" w14:textId="77777777" w:rsidR="00A10636" w:rsidRPr="00D9348B" w:rsidRDefault="00A10636" w:rsidP="008675E4">
            <w:pPr>
              <w:pStyle w:val="TableTextBold"/>
              <w:tabs>
                <w:tab w:val="decimal" w:pos="0"/>
              </w:tabs>
              <w:spacing w:before="40" w:after="40"/>
              <w:jc w:val="center"/>
              <w:rPr>
                <w:noProof w:val="0"/>
              </w:rPr>
            </w:pPr>
          </w:p>
        </w:tc>
      </w:tr>
      <w:tr w:rsidR="00A10636" w:rsidRPr="00D9348B" w14:paraId="20D23FEA" w14:textId="77777777" w:rsidTr="008675E4">
        <w:tc>
          <w:tcPr>
            <w:tcW w:w="4253" w:type="dxa"/>
            <w:tcBorders>
              <w:top w:val="single" w:sz="4" w:space="0" w:color="365F91"/>
              <w:bottom w:val="single" w:sz="4" w:space="0" w:color="365F91"/>
            </w:tcBorders>
            <w:noWrap/>
            <w:hideMark/>
          </w:tcPr>
          <w:p w14:paraId="66C1D746" w14:textId="77777777" w:rsidR="00A10636" w:rsidRPr="00D9348B" w:rsidRDefault="00A10636" w:rsidP="008675E4">
            <w:pPr>
              <w:pStyle w:val="TableText"/>
              <w:spacing w:before="40" w:after="40"/>
            </w:pPr>
            <w:r w:rsidRPr="00D9348B">
              <w:t>Uncertainty in N</w:t>
            </w:r>
            <w:r w:rsidRPr="00D9348B">
              <w:rPr>
                <w:vertAlign w:val="subscript"/>
              </w:rPr>
              <w:t>2</w:t>
            </w:r>
            <w:r w:rsidRPr="00D9348B">
              <w:t>O calculation</w:t>
            </w:r>
          </w:p>
        </w:tc>
        <w:tc>
          <w:tcPr>
            <w:tcW w:w="3450" w:type="dxa"/>
            <w:tcBorders>
              <w:top w:val="single" w:sz="4" w:space="0" w:color="365F91"/>
              <w:bottom w:val="single" w:sz="4" w:space="0" w:color="365F91"/>
            </w:tcBorders>
            <w:noWrap/>
            <w:hideMark/>
          </w:tcPr>
          <w:p w14:paraId="356C8FB7" w14:textId="77777777" w:rsidR="00A10636" w:rsidRPr="00D9348B" w:rsidRDefault="00A10636" w:rsidP="008675E4">
            <w:pPr>
              <w:pStyle w:val="TableText"/>
              <w:tabs>
                <w:tab w:val="decimal" w:pos="0"/>
              </w:tabs>
              <w:spacing w:before="40" w:after="40"/>
              <w:jc w:val="center"/>
            </w:pPr>
            <w:r w:rsidRPr="00D9348B">
              <w:t>±40.0</w:t>
            </w:r>
          </w:p>
        </w:tc>
      </w:tr>
      <w:tr w:rsidR="00A10636" w:rsidRPr="00D9348B" w14:paraId="6FE1FC0B" w14:textId="77777777" w:rsidTr="008675E4">
        <w:tc>
          <w:tcPr>
            <w:tcW w:w="4253" w:type="dxa"/>
            <w:tcBorders>
              <w:top w:val="single" w:sz="4" w:space="0" w:color="365F91"/>
              <w:bottom w:val="single" w:sz="4" w:space="0" w:color="365F91"/>
            </w:tcBorders>
            <w:noWrap/>
          </w:tcPr>
          <w:p w14:paraId="3CEAC515" w14:textId="77777777" w:rsidR="00A10636" w:rsidRPr="00D9348B" w:rsidRDefault="00A10636" w:rsidP="008675E4">
            <w:pPr>
              <w:pStyle w:val="TableText"/>
              <w:spacing w:before="40" w:after="40"/>
            </w:pPr>
            <w:r w:rsidRPr="00D9348B">
              <w:t>Uncertainty in carbon calculation</w:t>
            </w:r>
          </w:p>
        </w:tc>
        <w:tc>
          <w:tcPr>
            <w:tcW w:w="3450" w:type="dxa"/>
            <w:tcBorders>
              <w:top w:val="single" w:sz="4" w:space="0" w:color="365F91"/>
              <w:bottom w:val="single" w:sz="4" w:space="0" w:color="365F91"/>
            </w:tcBorders>
            <w:noWrap/>
          </w:tcPr>
          <w:p w14:paraId="15977EA3" w14:textId="77777777" w:rsidR="00A10636" w:rsidRPr="00D9348B" w:rsidRDefault="00A10636" w:rsidP="008675E4">
            <w:pPr>
              <w:pStyle w:val="TableText"/>
              <w:tabs>
                <w:tab w:val="decimal" w:pos="0"/>
              </w:tabs>
              <w:spacing w:before="40" w:after="40"/>
              <w:jc w:val="center"/>
            </w:pPr>
            <w:r w:rsidRPr="00D9348B">
              <w:t>±33.0</w:t>
            </w:r>
          </w:p>
        </w:tc>
      </w:tr>
      <w:tr w:rsidR="00A10636" w:rsidRPr="00D9348B" w14:paraId="1DAC2EB8" w14:textId="77777777" w:rsidTr="008675E4">
        <w:tc>
          <w:tcPr>
            <w:tcW w:w="4253" w:type="dxa"/>
            <w:tcBorders>
              <w:top w:val="single" w:sz="4" w:space="0" w:color="365F91"/>
              <w:bottom w:val="single" w:sz="4" w:space="0" w:color="365F91"/>
            </w:tcBorders>
            <w:noWrap/>
            <w:hideMark/>
          </w:tcPr>
          <w:p w14:paraId="4B8F211D" w14:textId="77777777" w:rsidR="00A10636" w:rsidRPr="00D9348B" w:rsidRDefault="00A10636" w:rsidP="008675E4">
            <w:pPr>
              <w:pStyle w:val="Tableboldblue"/>
              <w:spacing w:before="40" w:after="40"/>
            </w:pPr>
            <w:r w:rsidRPr="00D9348B">
              <w:t>Uncertainty introduced into net emissions for LULUCF</w:t>
            </w:r>
          </w:p>
        </w:tc>
        <w:tc>
          <w:tcPr>
            <w:tcW w:w="3450" w:type="dxa"/>
            <w:tcBorders>
              <w:top w:val="single" w:sz="4" w:space="0" w:color="365F91"/>
              <w:bottom w:val="single" w:sz="4" w:space="0" w:color="365F91"/>
            </w:tcBorders>
            <w:noWrap/>
            <w:hideMark/>
          </w:tcPr>
          <w:p w14:paraId="4CF63DC3" w14:textId="77777777" w:rsidR="00A10636" w:rsidRPr="00D9348B" w:rsidRDefault="00A10636" w:rsidP="008675E4">
            <w:pPr>
              <w:pStyle w:val="Tableboldblue"/>
              <w:spacing w:before="40" w:after="40"/>
              <w:jc w:val="center"/>
            </w:pPr>
            <w:r w:rsidRPr="00D9348B">
              <w:t>±0.2</w:t>
            </w:r>
          </w:p>
        </w:tc>
      </w:tr>
    </w:tbl>
    <w:p w14:paraId="71890A41" w14:textId="77777777" w:rsidR="00A10636" w:rsidRPr="00D9348B" w:rsidRDefault="00A10636" w:rsidP="008675E4">
      <w:pPr>
        <w:pStyle w:val="Heading4"/>
        <w:spacing w:before="280"/>
      </w:pPr>
      <w:bookmarkStart w:id="2526" w:name="_Toc280630357"/>
      <w:r w:rsidRPr="00D9348B">
        <w:t>Source-specific planned improvements</w:t>
      </w:r>
      <w:bookmarkEnd w:id="2526"/>
    </w:p>
    <w:p w14:paraId="315B4F68" w14:textId="77777777" w:rsidR="00A10636" w:rsidRPr="00D9348B" w:rsidRDefault="00A10636" w:rsidP="008675E4">
      <w:pPr>
        <w:pStyle w:val="BodyText"/>
        <w:spacing w:before="100" w:after="100"/>
      </w:pPr>
      <w:bookmarkStart w:id="2527" w:name="_Toc255466320"/>
      <w:bookmarkStart w:id="2528" w:name="_Toc261513127"/>
      <w:bookmarkStart w:id="2529" w:name="_Toc261513740"/>
      <w:bookmarkStart w:id="2530" w:name="_Toc280630364"/>
      <w:r w:rsidRPr="00D9348B">
        <w:t>No improvements are planned for this category at this time.</w:t>
      </w:r>
    </w:p>
    <w:p w14:paraId="170222EC" w14:textId="77777777" w:rsidR="00A10636" w:rsidRPr="00D9348B" w:rsidRDefault="00A10636" w:rsidP="008675E4">
      <w:pPr>
        <w:pStyle w:val="Heading3"/>
        <w:spacing w:before="280"/>
      </w:pPr>
      <w:r w:rsidRPr="00D9348B">
        <w:lastRenderedPageBreak/>
        <w:t xml:space="preserve">6.11.4 </w:t>
      </w:r>
      <w:r w:rsidRPr="00D9348B">
        <w:tab/>
        <w:t>Indirect N</w:t>
      </w:r>
      <w:r w:rsidRPr="00D9348B">
        <w:rPr>
          <w:vertAlign w:val="subscript"/>
        </w:rPr>
        <w:t>2</w:t>
      </w:r>
      <w:r w:rsidRPr="00D9348B">
        <w:t>O emissions from managed soils (CRF 4(IV))</w:t>
      </w:r>
    </w:p>
    <w:p w14:paraId="48027EEB" w14:textId="77777777" w:rsidR="00A10636" w:rsidRPr="00D9348B" w:rsidRDefault="00A10636" w:rsidP="008675E4">
      <w:pPr>
        <w:pStyle w:val="Heading4"/>
        <w:spacing w:before="120"/>
      </w:pPr>
      <w:r w:rsidRPr="00D9348B">
        <w:t>Description</w:t>
      </w:r>
    </w:p>
    <w:p w14:paraId="22CBC647" w14:textId="77777777" w:rsidR="00A10636" w:rsidRPr="00D9348B" w:rsidRDefault="00A10636" w:rsidP="008675E4">
      <w:pPr>
        <w:pStyle w:val="BodyText"/>
        <w:spacing w:before="0"/>
      </w:pPr>
      <w:r w:rsidRPr="00D9348B">
        <w:t xml:space="preserve">New Zealand cannot separate the sources of nitrogen between </w:t>
      </w:r>
      <w:r w:rsidRPr="00D9348B">
        <w:rPr>
          <w:i/>
        </w:rPr>
        <w:t>Cropland</w:t>
      </w:r>
      <w:r w:rsidRPr="00D9348B">
        <w:t xml:space="preserve">, </w:t>
      </w:r>
      <w:r w:rsidRPr="00D9348B">
        <w:rPr>
          <w:i/>
        </w:rPr>
        <w:t>Grassland</w:t>
      </w:r>
      <w:r w:rsidRPr="00D9348B">
        <w:t xml:space="preserve"> and </w:t>
      </w:r>
      <w:r w:rsidRPr="00D9348B">
        <w:rPr>
          <w:i/>
        </w:rPr>
        <w:t>Other land</w:t>
      </w:r>
      <w:r w:rsidRPr="00D9348B">
        <w:t xml:space="preserve"> uses. For this reason, it reports all </w:t>
      </w:r>
      <w:r w:rsidRPr="00D9348B">
        <w:rPr>
          <w:i/>
        </w:rPr>
        <w:t>Indirect N</w:t>
      </w:r>
      <w:r w:rsidRPr="00D9348B">
        <w:rPr>
          <w:i/>
          <w:vertAlign w:val="subscript"/>
        </w:rPr>
        <w:t>2</w:t>
      </w:r>
      <w:r w:rsidRPr="00D9348B">
        <w:rPr>
          <w:i/>
        </w:rPr>
        <w:t>O emissions from managed soils</w:t>
      </w:r>
      <w:r w:rsidRPr="00D9348B">
        <w:t xml:space="preserve"> within CRF table 3.D.b in the Agriculture</w:t>
      </w:r>
      <w:r w:rsidRPr="00D9348B">
        <w:rPr>
          <w:i/>
        </w:rPr>
        <w:t xml:space="preserve"> </w:t>
      </w:r>
      <w:r w:rsidRPr="00D9348B">
        <w:t>sector and uses the notation key IE (included elsewhere) within CRF table 4(IV) of the</w:t>
      </w:r>
      <w:r w:rsidRPr="00D9348B">
        <w:rPr>
          <w:i/>
        </w:rPr>
        <w:t xml:space="preserve"> </w:t>
      </w:r>
      <w:r w:rsidRPr="00D9348B">
        <w:t xml:space="preserve">LULUCF sector. </w:t>
      </w:r>
    </w:p>
    <w:p w14:paraId="7E826183" w14:textId="77777777" w:rsidR="00A10636" w:rsidRPr="00D9348B" w:rsidRDefault="00A10636" w:rsidP="00A10636">
      <w:pPr>
        <w:pStyle w:val="Heading3"/>
      </w:pPr>
      <w:r w:rsidRPr="00D9348B">
        <w:t xml:space="preserve">6.11.5 </w:t>
      </w:r>
      <w:r w:rsidRPr="00D9348B">
        <w:tab/>
        <w:t>Biomass burning</w:t>
      </w:r>
      <w:bookmarkEnd w:id="2527"/>
      <w:bookmarkEnd w:id="2528"/>
      <w:bookmarkEnd w:id="2529"/>
      <w:r w:rsidRPr="00D9348B">
        <w:t xml:space="preserve"> (CRF 4(V)</w:t>
      </w:r>
      <w:bookmarkEnd w:id="2530"/>
      <w:r w:rsidRPr="00D9348B">
        <w:t>)</w:t>
      </w:r>
    </w:p>
    <w:p w14:paraId="6AE3E8FB" w14:textId="77777777" w:rsidR="00A10636" w:rsidRPr="00D9348B" w:rsidRDefault="00A10636" w:rsidP="00866192">
      <w:pPr>
        <w:pStyle w:val="Heading4"/>
        <w:spacing w:before="160"/>
      </w:pPr>
      <w:bookmarkStart w:id="2531" w:name="_Toc280630365"/>
      <w:r w:rsidRPr="00D9348B">
        <w:t>Description</w:t>
      </w:r>
      <w:bookmarkEnd w:id="2531"/>
    </w:p>
    <w:p w14:paraId="446DD1E8" w14:textId="77777777" w:rsidR="00A10636" w:rsidRPr="00D9348B" w:rsidRDefault="00A10636" w:rsidP="00A10636">
      <w:pPr>
        <w:pStyle w:val="BodyText"/>
      </w:pPr>
      <w:r w:rsidRPr="00D9348B">
        <w:rPr>
          <w:i/>
        </w:rPr>
        <w:t>Biomass burning</w:t>
      </w:r>
      <w:r w:rsidRPr="00D9348B">
        <w:t xml:space="preserve"> can occur as a result of wildfires or controlled burning, and results in emissions of CO</w:t>
      </w:r>
      <w:r w:rsidRPr="00D9348B">
        <w:rPr>
          <w:vertAlign w:val="subscript"/>
        </w:rPr>
        <w:t>2</w:t>
      </w:r>
      <w:r w:rsidRPr="00D9348B">
        <w:t>, CH</w:t>
      </w:r>
      <w:r w:rsidRPr="00D9348B">
        <w:rPr>
          <w:vertAlign w:val="subscript"/>
        </w:rPr>
        <w:t>4</w:t>
      </w:r>
      <w:r w:rsidRPr="00D9348B">
        <w:t>, N</w:t>
      </w:r>
      <w:r w:rsidRPr="00D9348B">
        <w:rPr>
          <w:vertAlign w:val="subscript"/>
        </w:rPr>
        <w:t>2</w:t>
      </w:r>
      <w:r w:rsidRPr="00D9348B">
        <w:t>O, CO and NO</w:t>
      </w:r>
      <w:r w:rsidRPr="00D9348B">
        <w:rPr>
          <w:vertAlign w:val="subscript"/>
        </w:rPr>
        <w:t>x</w:t>
      </w:r>
      <w:r w:rsidRPr="00D9348B">
        <w:t xml:space="preserve">. </w:t>
      </w:r>
      <w:r w:rsidRPr="00D9348B">
        <w:rPr>
          <w:i/>
        </w:rPr>
        <w:t>Biomass burning</w:t>
      </w:r>
      <w:r w:rsidRPr="00D9348B" w:rsidDel="008B158D">
        <w:t xml:space="preserve"> </w:t>
      </w:r>
      <w:r w:rsidRPr="00D9348B">
        <w:t>is not a significant source of emissions for New Zealand because the practice of controlled burning is limited and wildfires are not common due to New Zealand’s temperate climate and vegetation.</w:t>
      </w:r>
    </w:p>
    <w:p w14:paraId="441A7A56" w14:textId="3964A10F" w:rsidR="00A10636" w:rsidRPr="00D9348B" w:rsidRDefault="00A10636" w:rsidP="00A10636">
      <w:pPr>
        <w:pStyle w:val="BodyText"/>
      </w:pPr>
      <w:r w:rsidRPr="00D9348B">
        <w:t xml:space="preserve">The two types of biomass burning (i.e., wildfire and controlled burning) that occur in New Zealand are reported in two main </w:t>
      </w:r>
      <w:r w:rsidR="00EA7212">
        <w:t>land-use</w:t>
      </w:r>
      <w:r w:rsidRPr="00D9348B">
        <w:t xml:space="preserve"> categories: </w:t>
      </w:r>
      <w:r w:rsidRPr="00D9348B">
        <w:rPr>
          <w:i/>
        </w:rPr>
        <w:t>Forest land</w:t>
      </w:r>
      <w:r w:rsidRPr="00D9348B">
        <w:t xml:space="preserve"> and </w:t>
      </w:r>
      <w:r w:rsidRPr="00D9348B">
        <w:rPr>
          <w:i/>
        </w:rPr>
        <w:t>Grassland</w:t>
      </w:r>
      <w:r w:rsidRPr="00D9348B">
        <w:t xml:space="preserve">. Emissions reported in forest land are further separated by forest type, and emissions from grassland are reported from the controlled burning of tussockland (in ecosystems dominated by </w:t>
      </w:r>
      <w:r w:rsidRPr="00D9348B">
        <w:rPr>
          <w:i/>
        </w:rPr>
        <w:t xml:space="preserve">Chionochloa </w:t>
      </w:r>
      <w:r w:rsidRPr="00D9348B">
        <w:t>spp.) and from wildfires in exotic pasture grassland.</w:t>
      </w:r>
    </w:p>
    <w:p w14:paraId="46D412E7" w14:textId="78B1C94B" w:rsidR="00A10636" w:rsidRPr="00D9348B" w:rsidRDefault="00A10636" w:rsidP="00A10636">
      <w:pPr>
        <w:pStyle w:val="BodyText"/>
      </w:pPr>
      <w:r w:rsidRPr="00D9348B">
        <w:t>Non-CO</w:t>
      </w:r>
      <w:r w:rsidRPr="00D9348B">
        <w:rPr>
          <w:vertAlign w:val="subscript"/>
        </w:rPr>
        <w:t xml:space="preserve">2 </w:t>
      </w:r>
      <w:r w:rsidRPr="00D9348B">
        <w:t xml:space="preserve">emissions from </w:t>
      </w:r>
      <w:r w:rsidRPr="00D9348B">
        <w:rPr>
          <w:i/>
        </w:rPr>
        <w:t>Biomass burning</w:t>
      </w:r>
      <w:r w:rsidRPr="00D9348B">
        <w:t xml:space="preserve"> in 2018 were 3.0 kt CH</w:t>
      </w:r>
      <w:r w:rsidRPr="00D9348B">
        <w:rPr>
          <w:vertAlign w:val="subscript"/>
        </w:rPr>
        <w:t>4</w:t>
      </w:r>
      <w:r w:rsidRPr="00D9348B">
        <w:t xml:space="preserve"> (75.3 kt CO</w:t>
      </w:r>
      <w:r w:rsidRPr="00D9348B">
        <w:rPr>
          <w:vertAlign w:val="subscript"/>
        </w:rPr>
        <w:t>2</w:t>
      </w:r>
      <w:r w:rsidRPr="00D9348B">
        <w:t>-e) and 0.08 kt</w:t>
      </w:r>
      <w:r w:rsidR="00361DD4" w:rsidRPr="00D9348B">
        <w:t> </w:t>
      </w:r>
      <w:r w:rsidRPr="00D9348B">
        <w:t>N</w:t>
      </w:r>
      <w:r w:rsidRPr="00D9348B">
        <w:rPr>
          <w:vertAlign w:val="subscript"/>
        </w:rPr>
        <w:t>2</w:t>
      </w:r>
      <w:r w:rsidRPr="00D9348B">
        <w:t>O (23.1 kt CO</w:t>
      </w:r>
      <w:r w:rsidRPr="00D9348B">
        <w:rPr>
          <w:vertAlign w:val="subscript"/>
        </w:rPr>
        <w:t>2</w:t>
      </w:r>
      <w:r w:rsidRPr="00D9348B">
        <w:t>-e) (see table 6.11.2).</w:t>
      </w:r>
    </w:p>
    <w:p w14:paraId="50E603B4" w14:textId="77777777" w:rsidR="00A10636" w:rsidRPr="00D9348B" w:rsidRDefault="00A10636" w:rsidP="00A10636">
      <w:pPr>
        <w:pStyle w:val="Table"/>
      </w:pPr>
      <w:bookmarkStart w:id="2532" w:name="_Toc310423431"/>
      <w:bookmarkStart w:id="2533" w:name="_Toc318362724"/>
      <w:bookmarkStart w:id="2534" w:name="_Toc342470799"/>
      <w:bookmarkStart w:id="2535" w:name="_Toc352505039"/>
      <w:bookmarkStart w:id="2536" w:name="_Toc378853328"/>
      <w:bookmarkStart w:id="2537" w:name="_Toc391024126"/>
      <w:bookmarkStart w:id="2538" w:name="_Toc410028870"/>
      <w:bookmarkStart w:id="2539" w:name="_Toc414531498"/>
      <w:bookmarkStart w:id="2540" w:name="_Toc443645412"/>
      <w:bookmarkStart w:id="2541" w:name="_Toc474914631"/>
      <w:bookmarkStart w:id="2542" w:name="_Toc481751595"/>
      <w:bookmarkStart w:id="2543" w:name="_Toc522010652"/>
      <w:bookmarkStart w:id="2544" w:name="_Toc5269557"/>
      <w:bookmarkStart w:id="2545" w:name="_Toc33529431"/>
      <w:bookmarkStart w:id="2546" w:name="_Toc36224637"/>
      <w:r w:rsidRPr="00D9348B">
        <w:t>Table 6.11.2</w:t>
      </w:r>
      <w:r w:rsidRPr="00D9348B">
        <w:tab/>
        <w:t>Non-CO</w:t>
      </w:r>
      <w:r w:rsidRPr="00D9348B">
        <w:rPr>
          <w:vertAlign w:val="subscript"/>
        </w:rPr>
        <w:t>2</w:t>
      </w:r>
      <w:r w:rsidRPr="00D9348B">
        <w:t xml:space="preserve"> emissions from Biomass burning</w:t>
      </w:r>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p>
    <w:tbl>
      <w:tblPr>
        <w:tblW w:w="8505" w:type="dxa"/>
        <w:tblInd w:w="108" w:type="dxa"/>
        <w:tblBorders>
          <w:top w:val="single" w:sz="4" w:space="0" w:color="365F91"/>
          <w:bottom w:val="single" w:sz="4" w:space="0" w:color="365F91"/>
          <w:insideH w:val="single" w:sz="4" w:space="0" w:color="365F91"/>
        </w:tblBorders>
        <w:tblLook w:val="04A0" w:firstRow="1" w:lastRow="0" w:firstColumn="1" w:lastColumn="0" w:noHBand="0" w:noVBand="1"/>
      </w:tblPr>
      <w:tblGrid>
        <w:gridCol w:w="4092"/>
        <w:gridCol w:w="1055"/>
        <w:gridCol w:w="1056"/>
        <w:gridCol w:w="2302"/>
      </w:tblGrid>
      <w:tr w:rsidR="00A10636" w:rsidRPr="00D9348B" w14:paraId="79DA98FD" w14:textId="77777777" w:rsidTr="00361DD4">
        <w:tc>
          <w:tcPr>
            <w:tcW w:w="4092" w:type="dxa"/>
            <w:shd w:val="clear" w:color="auto" w:fill="365F91"/>
          </w:tcPr>
          <w:p w14:paraId="2328FDCA" w14:textId="77777777" w:rsidR="00A10636" w:rsidRPr="00D9348B" w:rsidRDefault="00A10636" w:rsidP="00DB330E">
            <w:pPr>
              <w:pStyle w:val="TableTextBold"/>
              <w:spacing w:before="40" w:after="40"/>
              <w:rPr>
                <w:noProof w:val="0"/>
                <w:color w:val="FFFFFF"/>
              </w:rPr>
            </w:pPr>
            <w:r w:rsidRPr="00D9348B">
              <w:rPr>
                <w:noProof w:val="0"/>
                <w:color w:val="FFFFFF"/>
              </w:rPr>
              <w:t>Emissions</w:t>
            </w:r>
          </w:p>
        </w:tc>
        <w:tc>
          <w:tcPr>
            <w:tcW w:w="1055" w:type="dxa"/>
            <w:shd w:val="clear" w:color="auto" w:fill="365F91"/>
          </w:tcPr>
          <w:p w14:paraId="769CE959" w14:textId="77777777" w:rsidR="00A10636" w:rsidRPr="00D9348B" w:rsidRDefault="00A10636" w:rsidP="00DB330E">
            <w:pPr>
              <w:pStyle w:val="TableTextBold"/>
              <w:spacing w:before="40" w:after="40"/>
              <w:jc w:val="center"/>
              <w:rPr>
                <w:noProof w:val="0"/>
                <w:color w:val="FFFFFF"/>
              </w:rPr>
            </w:pPr>
            <w:r w:rsidRPr="00D9348B">
              <w:rPr>
                <w:noProof w:val="0"/>
                <w:color w:val="FFFFFF"/>
              </w:rPr>
              <w:t>1990</w:t>
            </w:r>
          </w:p>
        </w:tc>
        <w:tc>
          <w:tcPr>
            <w:tcW w:w="1056" w:type="dxa"/>
            <w:shd w:val="clear" w:color="auto" w:fill="365F91"/>
          </w:tcPr>
          <w:p w14:paraId="7CB0F9A8" w14:textId="77777777" w:rsidR="00A10636" w:rsidRPr="00D9348B" w:rsidRDefault="00A10636" w:rsidP="00DB330E">
            <w:pPr>
              <w:pStyle w:val="TableTextBold"/>
              <w:spacing w:before="40" w:after="40"/>
              <w:jc w:val="center"/>
              <w:rPr>
                <w:noProof w:val="0"/>
                <w:color w:val="FFFFFF"/>
              </w:rPr>
            </w:pPr>
            <w:r w:rsidRPr="00D9348B">
              <w:rPr>
                <w:noProof w:val="0"/>
                <w:color w:val="FFFFFF"/>
              </w:rPr>
              <w:t>2018</w:t>
            </w:r>
          </w:p>
        </w:tc>
        <w:tc>
          <w:tcPr>
            <w:tcW w:w="2302" w:type="dxa"/>
            <w:shd w:val="clear" w:color="auto" w:fill="365F91"/>
          </w:tcPr>
          <w:p w14:paraId="2C66ABD3" w14:textId="77777777" w:rsidR="00A10636" w:rsidRPr="00D9348B" w:rsidRDefault="00A10636" w:rsidP="00DB330E">
            <w:pPr>
              <w:pStyle w:val="TableTextBold"/>
              <w:spacing w:before="40" w:after="40"/>
              <w:jc w:val="center"/>
              <w:rPr>
                <w:noProof w:val="0"/>
                <w:color w:val="FFFFFF"/>
              </w:rPr>
            </w:pPr>
            <w:r w:rsidRPr="00D9348B">
              <w:rPr>
                <w:noProof w:val="0"/>
                <w:color w:val="FFFFFF"/>
              </w:rPr>
              <w:t>Change since 1990 (%)</w:t>
            </w:r>
          </w:p>
        </w:tc>
      </w:tr>
      <w:tr w:rsidR="00A10636" w:rsidRPr="00D9348B" w14:paraId="583A56ED" w14:textId="77777777" w:rsidTr="00361DD4">
        <w:tc>
          <w:tcPr>
            <w:tcW w:w="4092" w:type="dxa"/>
          </w:tcPr>
          <w:p w14:paraId="522C0BDC" w14:textId="77777777" w:rsidR="00A10636" w:rsidRPr="00D9348B" w:rsidRDefault="00A10636" w:rsidP="00DB330E">
            <w:pPr>
              <w:pStyle w:val="TableText"/>
            </w:pPr>
            <w:r w:rsidRPr="00D9348B">
              <w:t>CH</w:t>
            </w:r>
            <w:r w:rsidRPr="00D9348B">
              <w:rPr>
                <w:vertAlign w:val="subscript"/>
              </w:rPr>
              <w:t>4</w:t>
            </w:r>
            <w:r w:rsidRPr="00D9348B">
              <w:t xml:space="preserve"> emissions (kt CH</w:t>
            </w:r>
            <w:r w:rsidRPr="00D9348B">
              <w:rPr>
                <w:vertAlign w:val="subscript"/>
              </w:rPr>
              <w:t>4</w:t>
            </w:r>
            <w:r w:rsidRPr="00D9348B">
              <w:t>)</w:t>
            </w:r>
          </w:p>
        </w:tc>
        <w:tc>
          <w:tcPr>
            <w:tcW w:w="1055" w:type="dxa"/>
          </w:tcPr>
          <w:p w14:paraId="7ECFCAC3" w14:textId="77777777" w:rsidR="00A10636" w:rsidRPr="00D9348B" w:rsidRDefault="00A10636" w:rsidP="00DB330E">
            <w:pPr>
              <w:pStyle w:val="TableText"/>
              <w:tabs>
                <w:tab w:val="decimal" w:pos="204"/>
              </w:tabs>
              <w:jc w:val="center"/>
            </w:pPr>
            <w:r w:rsidRPr="00D9348B">
              <w:t>3.8</w:t>
            </w:r>
          </w:p>
        </w:tc>
        <w:tc>
          <w:tcPr>
            <w:tcW w:w="1056" w:type="dxa"/>
          </w:tcPr>
          <w:p w14:paraId="04A2A4DD" w14:textId="77777777" w:rsidR="00A10636" w:rsidRPr="00D9348B" w:rsidRDefault="00A10636" w:rsidP="00DB330E">
            <w:pPr>
              <w:pStyle w:val="TableText"/>
              <w:tabs>
                <w:tab w:val="decimal" w:pos="204"/>
              </w:tabs>
              <w:jc w:val="center"/>
            </w:pPr>
            <w:r w:rsidRPr="00D9348B">
              <w:t>3.0</w:t>
            </w:r>
          </w:p>
        </w:tc>
        <w:tc>
          <w:tcPr>
            <w:tcW w:w="2302" w:type="dxa"/>
          </w:tcPr>
          <w:p w14:paraId="6E9B55E0" w14:textId="77777777" w:rsidR="00A10636" w:rsidRPr="00D9348B" w:rsidRDefault="00A10636" w:rsidP="00DB330E">
            <w:pPr>
              <w:pStyle w:val="TableText"/>
              <w:tabs>
                <w:tab w:val="decimal" w:pos="204"/>
              </w:tabs>
              <w:jc w:val="center"/>
            </w:pPr>
            <w:r w:rsidRPr="00D9348B">
              <w:t>–20.2</w:t>
            </w:r>
          </w:p>
        </w:tc>
      </w:tr>
      <w:tr w:rsidR="00A10636" w:rsidRPr="00D9348B" w14:paraId="1E0FF649" w14:textId="77777777" w:rsidTr="00361DD4">
        <w:tc>
          <w:tcPr>
            <w:tcW w:w="4092" w:type="dxa"/>
          </w:tcPr>
          <w:p w14:paraId="5125B94F" w14:textId="77777777" w:rsidR="00A10636" w:rsidRPr="00D9348B" w:rsidRDefault="00A10636" w:rsidP="00DB330E">
            <w:pPr>
              <w:pStyle w:val="TableText"/>
            </w:pPr>
            <w:r w:rsidRPr="00D9348B">
              <w:t>N</w:t>
            </w:r>
            <w:r w:rsidRPr="00D9348B">
              <w:rPr>
                <w:vertAlign w:val="subscript"/>
              </w:rPr>
              <w:t>2</w:t>
            </w:r>
            <w:r w:rsidRPr="00D9348B">
              <w:t>O emissions (kt N</w:t>
            </w:r>
            <w:r w:rsidRPr="00D9348B">
              <w:rPr>
                <w:vertAlign w:val="subscript"/>
              </w:rPr>
              <w:t>2</w:t>
            </w:r>
            <w:r w:rsidRPr="00D9348B">
              <w:t>O)</w:t>
            </w:r>
          </w:p>
        </w:tc>
        <w:tc>
          <w:tcPr>
            <w:tcW w:w="1055" w:type="dxa"/>
          </w:tcPr>
          <w:p w14:paraId="2F42E52A" w14:textId="77777777" w:rsidR="00A10636" w:rsidRPr="00D9348B" w:rsidRDefault="00A10636" w:rsidP="00DB330E">
            <w:pPr>
              <w:pStyle w:val="TableText"/>
              <w:tabs>
                <w:tab w:val="decimal" w:pos="204"/>
              </w:tabs>
              <w:jc w:val="center"/>
            </w:pPr>
            <w:r w:rsidRPr="00D9348B">
              <w:t>0.11</w:t>
            </w:r>
          </w:p>
        </w:tc>
        <w:tc>
          <w:tcPr>
            <w:tcW w:w="1056" w:type="dxa"/>
          </w:tcPr>
          <w:p w14:paraId="345E5174" w14:textId="77777777" w:rsidR="00A10636" w:rsidRPr="00D9348B" w:rsidRDefault="00A10636" w:rsidP="00DB330E">
            <w:pPr>
              <w:pStyle w:val="TableText"/>
              <w:tabs>
                <w:tab w:val="decimal" w:pos="204"/>
              </w:tabs>
              <w:jc w:val="center"/>
            </w:pPr>
            <w:r w:rsidRPr="00D9348B">
              <w:t>0.08</w:t>
            </w:r>
          </w:p>
        </w:tc>
        <w:tc>
          <w:tcPr>
            <w:tcW w:w="2302" w:type="dxa"/>
          </w:tcPr>
          <w:p w14:paraId="216796C6" w14:textId="77777777" w:rsidR="00A10636" w:rsidRPr="00D9348B" w:rsidRDefault="00A10636" w:rsidP="00DB330E">
            <w:pPr>
              <w:pStyle w:val="TableText"/>
              <w:tabs>
                <w:tab w:val="decimal" w:pos="204"/>
              </w:tabs>
              <w:jc w:val="center"/>
            </w:pPr>
            <w:r w:rsidRPr="00D9348B">
              <w:t>–30.2</w:t>
            </w:r>
          </w:p>
        </w:tc>
      </w:tr>
    </w:tbl>
    <w:p w14:paraId="65680584" w14:textId="77777777" w:rsidR="00A10636" w:rsidRPr="00D9348B" w:rsidRDefault="00A10636" w:rsidP="00866192">
      <w:pPr>
        <w:pStyle w:val="Heading4"/>
        <w:spacing w:before="280"/>
      </w:pPr>
      <w:bookmarkStart w:id="2547" w:name="_Toc280630366"/>
      <w:r w:rsidRPr="00D9348B">
        <w:t>Methodological issues</w:t>
      </w:r>
      <w:bookmarkEnd w:id="2547"/>
    </w:p>
    <w:p w14:paraId="62A87F3A" w14:textId="41A31913" w:rsidR="00A10636" w:rsidRPr="00D9348B" w:rsidRDefault="00A10636" w:rsidP="00A10636">
      <w:pPr>
        <w:pStyle w:val="BodyText"/>
      </w:pPr>
      <w:r w:rsidRPr="00D9348B">
        <w:t xml:space="preserve">The general approach for estimating greenhouse gas emissions from </w:t>
      </w:r>
      <w:r w:rsidRPr="00D9348B">
        <w:rPr>
          <w:i/>
        </w:rPr>
        <w:t>Biomass burning</w:t>
      </w:r>
      <w:r w:rsidRPr="00D9348B" w:rsidDel="002456C0">
        <w:t xml:space="preserve"> </w:t>
      </w:r>
      <w:r w:rsidRPr="00D9348B">
        <w:t xml:space="preserve">is the same regardless of the specific </w:t>
      </w:r>
      <w:r w:rsidR="00EA7212">
        <w:t>land-use</w:t>
      </w:r>
      <w:r w:rsidRPr="00D9348B">
        <w:t xml:space="preserve"> type. New Zealand employs Tier 2 methodologies to</w:t>
      </w:r>
      <w:r w:rsidR="00115EF9" w:rsidRPr="00D9348B">
        <w:t> </w:t>
      </w:r>
      <w:r w:rsidRPr="00D9348B">
        <w:t xml:space="preserve">estimate emissions from </w:t>
      </w:r>
      <w:r w:rsidRPr="00D9348B">
        <w:rPr>
          <w:i/>
        </w:rPr>
        <w:t>Biomass burning</w:t>
      </w:r>
      <w:r w:rsidRPr="00D9348B">
        <w:t>. A combination of country-specific carbon fractions (Beets, unpublished), emission factors (Thomas et al., 2011) and combustion factors (Wakelin, unpublished(a), (i); Payton and Pearce, 2009) are employed along with the 2006 IPCC Guidelines default carbon fractions, emission factors, combustion factors and equations to derive emissions (sections 2.4, 4.2.4 and 6.2.4, IPCC, 2006a).</w:t>
      </w:r>
    </w:p>
    <w:p w14:paraId="7525D1F2" w14:textId="59D38B43" w:rsidR="00A10636" w:rsidRPr="00D9348B" w:rsidRDefault="00A10636" w:rsidP="00A10636">
      <w:pPr>
        <w:pStyle w:val="BodyText"/>
      </w:pPr>
      <w:r w:rsidRPr="00D9348B">
        <w:t>For all land uses, CO</w:t>
      </w:r>
      <w:r w:rsidRPr="00D9348B">
        <w:rPr>
          <w:vertAlign w:val="subscript"/>
        </w:rPr>
        <w:t>2</w:t>
      </w:r>
      <w:r w:rsidRPr="00D9348B">
        <w:t xml:space="preserve"> emissions are captured in the general stock change calculation following the 2006 IPCC Guidelines (IPCC, 2006a). Carbon dioxide</w:t>
      </w:r>
      <w:r w:rsidRPr="00D9348B" w:rsidDel="00097907">
        <w:t xml:space="preserve"> </w:t>
      </w:r>
      <w:r w:rsidRPr="00D9348B">
        <w:t xml:space="preserve">emissions resultant from biomass burning are reported as IE (included elsewhere), where emissions are captured in the stock change calculation within the </w:t>
      </w:r>
      <w:r w:rsidR="00EA7212">
        <w:t>land-use</w:t>
      </w:r>
      <w:r w:rsidRPr="00D9348B">
        <w:t xml:space="preserve"> category, or NE (not estimated), where no data exist or</w:t>
      </w:r>
      <w:r w:rsidR="00115EF9" w:rsidRPr="00D9348B">
        <w:t> </w:t>
      </w:r>
      <w:r w:rsidRPr="00D9348B">
        <w:t>subsequent regrowth is not captured.</w:t>
      </w:r>
    </w:p>
    <w:p w14:paraId="46F4371C" w14:textId="3A550A1C" w:rsidR="00A10636" w:rsidRPr="00D9348B" w:rsidRDefault="00A10636" w:rsidP="00A10636">
      <w:pPr>
        <w:pStyle w:val="BodyText"/>
        <w:rPr>
          <w:spacing w:val="-2"/>
        </w:rPr>
      </w:pPr>
      <w:r w:rsidRPr="00D9348B">
        <w:t>In grassland, CO</w:t>
      </w:r>
      <w:r w:rsidRPr="00D9348B">
        <w:rPr>
          <w:vertAlign w:val="subscript"/>
        </w:rPr>
        <w:t xml:space="preserve">2 </w:t>
      </w:r>
      <w:r w:rsidRPr="00D9348B">
        <w:t>emissions from biomass burning are assumed to be equal to subsequent regrowth. The assumption of equivalence is accepted as reasonable in this scenario as per the</w:t>
      </w:r>
      <w:r w:rsidR="00115EF9" w:rsidRPr="00D9348B">
        <w:t> </w:t>
      </w:r>
      <w:r w:rsidRPr="00D9348B">
        <w:t>2006 IPCC Guidelines, sections 2.4 and 6.2.4 (IPCC, 2006a).</w:t>
      </w:r>
    </w:p>
    <w:p w14:paraId="21F3134D" w14:textId="77777777" w:rsidR="00A10636" w:rsidRPr="00D9348B" w:rsidRDefault="00A10636" w:rsidP="00A10636">
      <w:pPr>
        <w:pStyle w:val="BodyText"/>
      </w:pPr>
      <w:r w:rsidRPr="00D9348B">
        <w:rPr>
          <w:spacing w:val="-2"/>
        </w:rPr>
        <w:lastRenderedPageBreak/>
        <w:t xml:space="preserve">In cropland, </w:t>
      </w:r>
      <w:r w:rsidRPr="00D9348B">
        <w:t>CH</w:t>
      </w:r>
      <w:r w:rsidRPr="00D9348B">
        <w:rPr>
          <w:vertAlign w:val="subscript"/>
        </w:rPr>
        <w:t>4</w:t>
      </w:r>
      <w:r w:rsidRPr="00D9348B">
        <w:t xml:space="preserve"> and N</w:t>
      </w:r>
      <w:r w:rsidRPr="00D9348B">
        <w:rPr>
          <w:vertAlign w:val="subscript"/>
        </w:rPr>
        <w:t>2</w:t>
      </w:r>
      <w:r w:rsidRPr="00D9348B">
        <w:t>O emissions from controlled burning are reported as IE (included elsewhere). This is because emissions from the burning of crop stubble associated with controlled burning in cropland are reported under the Agriculture sector (chapter 5) and reported within CRF table 3.F.</w:t>
      </w:r>
    </w:p>
    <w:p w14:paraId="05383A8E" w14:textId="77777777" w:rsidR="00A10636" w:rsidRPr="00D9348B" w:rsidRDefault="00A10636" w:rsidP="00866192">
      <w:pPr>
        <w:pStyle w:val="Heading5"/>
        <w:spacing w:before="160"/>
      </w:pPr>
      <w:r w:rsidRPr="00D9348B">
        <w:t>Wildfire</w:t>
      </w:r>
    </w:p>
    <w:p w14:paraId="592B1B4C" w14:textId="77777777" w:rsidR="00A10636" w:rsidRPr="00D9348B" w:rsidRDefault="00A10636" w:rsidP="00A10636">
      <w:pPr>
        <w:pStyle w:val="BodyText"/>
      </w:pPr>
      <w:r w:rsidRPr="00D9348B">
        <w:rPr>
          <w:rFonts w:cs="Arial"/>
        </w:rPr>
        <w:t xml:space="preserve">Wildfire activity data has historically been compiled by the New Zealand Rural Fire Authority (NRFA). This responsibility has passed to Fire and Emergency New Zealand (FENZ) following the merger of the NRFA and New Zealand Fire Service in July 2017 (Wakelin, </w:t>
      </w:r>
      <w:proofErr w:type="gramStart"/>
      <w:r w:rsidRPr="00D9348B">
        <w:rPr>
          <w:rFonts w:cs="Arial"/>
        </w:rPr>
        <w:t>unpublished(</w:t>
      </w:r>
      <w:proofErr w:type="gramEnd"/>
      <w:r w:rsidRPr="00D9348B">
        <w:rPr>
          <w:rFonts w:cs="Arial"/>
        </w:rPr>
        <w:t>h)).</w:t>
      </w:r>
    </w:p>
    <w:p w14:paraId="65C317E9" w14:textId="77777777" w:rsidR="00A10636" w:rsidRPr="00D9348B" w:rsidRDefault="00A10636" w:rsidP="00A10636">
      <w:pPr>
        <w:pStyle w:val="BodyText"/>
      </w:pPr>
      <w:r w:rsidRPr="00D9348B">
        <w:t>Wildfire activity data are sourced from the FENZ database, which has data from 1991/92 onwards (Wakelin and Clifford, unpublished). The April year data from the database are converted to calendar years for use in the National Inventory Report (Wakelin and Clifford, unpublished).</w:t>
      </w:r>
    </w:p>
    <w:p w14:paraId="087935AB" w14:textId="77777777" w:rsidR="00A10636" w:rsidRPr="00D9348B" w:rsidRDefault="00A10636" w:rsidP="00A10636">
      <w:pPr>
        <w:pStyle w:val="BodyText"/>
      </w:pPr>
      <w:r w:rsidRPr="00D9348B">
        <w:t>There has not been a significant change in total wildfire activity since 1990. However, there were significantly more wildfires in planted forests during 2016 than previous years, likely caused by summer droughts and one of the strongest El Niño weather patterns on record (National Institute of Water and Atmospheric Research, 2018).</w:t>
      </w:r>
    </w:p>
    <w:p w14:paraId="2D0C8371" w14:textId="77777777" w:rsidR="00A10636" w:rsidRPr="00D9348B" w:rsidRDefault="00A10636" w:rsidP="00A10636">
      <w:pPr>
        <w:pStyle w:val="BodyText"/>
        <w:rPr>
          <w:rFonts w:cs="Arial"/>
        </w:rPr>
      </w:pPr>
      <w:r w:rsidRPr="00D9348B">
        <w:t xml:space="preserve">Wildfires induced by natural disturbances (e.g., lightning) are estimated to account for only 0.1 per cent of burning in </w:t>
      </w:r>
      <w:r w:rsidRPr="00D9348B">
        <w:rPr>
          <w:i/>
        </w:rPr>
        <w:t>Grassland</w:t>
      </w:r>
      <w:r w:rsidRPr="00D9348B">
        <w:t xml:space="preserve"> and </w:t>
      </w:r>
      <w:r w:rsidRPr="00D9348B">
        <w:rPr>
          <w:i/>
        </w:rPr>
        <w:t>Forest land</w:t>
      </w:r>
      <w:r w:rsidRPr="00D9348B">
        <w:t xml:space="preserve"> in New Zealand (Doherty et al., unpublished; Wakelin, </w:t>
      </w:r>
      <w:proofErr w:type="gramStart"/>
      <w:r w:rsidRPr="00D9348B">
        <w:t>unpublished(</w:t>
      </w:r>
      <w:proofErr w:type="gramEnd"/>
      <w:r w:rsidRPr="00D9348B">
        <w:t>b)). Non-CO</w:t>
      </w:r>
      <w:r w:rsidRPr="00D9348B">
        <w:rPr>
          <w:vertAlign w:val="subscript"/>
        </w:rPr>
        <w:t>2</w:t>
      </w:r>
      <w:r w:rsidRPr="00D9348B">
        <w:t xml:space="preserve"> emissions from wildfires induced by natural disturbances are reported using data collected by FENZ. FENZ does not distinguish between anthropogenic and natural wildfire events. Given the small incidence of natural-disturbance-induced wildfires in New Zealand, this is not regarded as a significant source of error.</w:t>
      </w:r>
    </w:p>
    <w:p w14:paraId="541B40DE" w14:textId="77777777" w:rsidR="00A10636" w:rsidRPr="00D9348B" w:rsidRDefault="00A10636" w:rsidP="00A10636">
      <w:pPr>
        <w:pStyle w:val="BodyText"/>
      </w:pPr>
      <w:r w:rsidRPr="00D9348B">
        <w:t>Emissions of CO</w:t>
      </w:r>
      <w:r w:rsidRPr="00D9348B">
        <w:rPr>
          <w:vertAlign w:val="subscript"/>
        </w:rPr>
        <w:t>2</w:t>
      </w:r>
      <w:r w:rsidRPr="00D9348B">
        <w:t xml:space="preserve"> from wildfires in </w:t>
      </w:r>
      <w:r w:rsidRPr="00D9348B">
        <w:rPr>
          <w:i/>
        </w:rPr>
        <w:t>Forest land remaining forest land</w:t>
      </w:r>
      <w:r w:rsidRPr="00D9348B">
        <w:t xml:space="preserve"> are included in the general stock change calculation. In </w:t>
      </w:r>
      <w:r w:rsidRPr="00D9348B">
        <w:rPr>
          <w:i/>
        </w:rPr>
        <w:t>Forest land remaining forest land</w:t>
      </w:r>
      <w:r w:rsidRPr="00D9348B">
        <w:t>, burned stands are either harvested (so emissions are included with the harvesting emissions) or left to grow on at reduced stocking. Carbon dioxide emissions are reported when the stand is harvested or deforested (with no reduction in stock when compared with an unburned stand). For both natural and planted forests, emissions from areas burned are captured within the forest plot networks that New Zealand uses to estimate carbon stock change. In these cases, to avoid double counting of CO</w:t>
      </w:r>
      <w:r w:rsidRPr="00D9348B">
        <w:rPr>
          <w:vertAlign w:val="subscript"/>
        </w:rPr>
        <w:t>2</w:t>
      </w:r>
      <w:r w:rsidRPr="00D9348B">
        <w:t xml:space="preserve"> emissions, the notation key IE (included elsewhere) is used.</w:t>
      </w:r>
    </w:p>
    <w:p w14:paraId="3494750B" w14:textId="77777777" w:rsidR="00A10636" w:rsidRPr="00D9348B" w:rsidRDefault="00A10636" w:rsidP="00A10636">
      <w:pPr>
        <w:pStyle w:val="BodyText"/>
      </w:pPr>
      <w:r w:rsidRPr="00D9348B">
        <w:t>A single weighted biomass density is used to estimate non-CO</w:t>
      </w:r>
      <w:r w:rsidRPr="00D9348B">
        <w:rPr>
          <w:vertAlign w:val="subscript"/>
        </w:rPr>
        <w:t>2</w:t>
      </w:r>
      <w:r w:rsidRPr="00D9348B">
        <w:t xml:space="preserve"> emissions from wildfire in the </w:t>
      </w:r>
      <w:r w:rsidRPr="00D9348B">
        <w:rPr>
          <w:i/>
        </w:rPr>
        <w:t>Forest land remaining forest land</w:t>
      </w:r>
      <w:r w:rsidRPr="00D9348B">
        <w:t xml:space="preserve"> category. Wildfire activity data are attributed to each category by proportion of forest type estimated to be burned over the time series until 2007, and then using the actual areas from the wildfire database from that point on. The split prior to 2007 assumes 87.5 per cent to planted forest and the remainder to natural forest (Wakelin, </w:t>
      </w:r>
      <w:proofErr w:type="gramStart"/>
      <w:r w:rsidRPr="00D9348B">
        <w:t>unpublished(</w:t>
      </w:r>
      <w:proofErr w:type="gramEnd"/>
      <w:r w:rsidRPr="00D9348B">
        <w:t>h)).</w:t>
      </w:r>
      <w:r w:rsidRPr="00D9348B" w:rsidDel="00A5190E">
        <w:t xml:space="preserve"> </w:t>
      </w:r>
      <w:r w:rsidRPr="00D9348B">
        <w:t>The planted forest activity data are further split into pre-1990 forest and post</w:t>
      </w:r>
      <w:r w:rsidRPr="00D9348B">
        <w:noBreakHyphen/>
        <w:t xml:space="preserve">1989 forest by the proportion of area each forest type makes up of the total planted forest area. In planted forest, it is assumed that the carbon stock affected by wildfire is equivalent to the carbon stock at the average stand age in each forest type (Wakelin, </w:t>
      </w:r>
      <w:proofErr w:type="gramStart"/>
      <w:r w:rsidRPr="00D9348B">
        <w:t>unpublished(</w:t>
      </w:r>
      <w:proofErr w:type="gramEnd"/>
      <w:r w:rsidRPr="00D9348B">
        <w:t>d)). The individual forest type estimates that make up the single weighted figure are derived from the national forest plot network described in section 6.4.</w:t>
      </w:r>
    </w:p>
    <w:p w14:paraId="3E5AEC28" w14:textId="77777777" w:rsidR="00A10636" w:rsidRPr="00D9348B" w:rsidRDefault="00A10636" w:rsidP="00A10636">
      <w:pPr>
        <w:pStyle w:val="BodyText"/>
      </w:pPr>
      <w:r w:rsidRPr="00D9348B">
        <w:t xml:space="preserve">An estimate for wildfire in </w:t>
      </w:r>
      <w:r w:rsidRPr="00D9348B">
        <w:rPr>
          <w:i/>
        </w:rPr>
        <w:t>Land converted to grassland</w:t>
      </w:r>
      <w:r w:rsidRPr="00D9348B">
        <w:t xml:space="preserve"> is provided in the inventory. The activity data for wildfire in </w:t>
      </w:r>
      <w:r w:rsidRPr="00D9348B">
        <w:rPr>
          <w:i/>
        </w:rPr>
        <w:t>Grassland</w:t>
      </w:r>
      <w:r w:rsidRPr="00D9348B">
        <w:t xml:space="preserve"> are attributed to the </w:t>
      </w:r>
      <w:r w:rsidRPr="00D9348B">
        <w:rPr>
          <w:i/>
        </w:rPr>
        <w:t>Land converted to</w:t>
      </w:r>
      <w:r w:rsidRPr="00D9348B">
        <w:t xml:space="preserve"> and </w:t>
      </w:r>
      <w:r w:rsidRPr="00D9348B">
        <w:rPr>
          <w:i/>
        </w:rPr>
        <w:t>Land remaining</w:t>
      </w:r>
      <w:r w:rsidRPr="00D9348B">
        <w:t xml:space="preserve"> categories by the proportion each category makes up of the total area.</w:t>
      </w:r>
    </w:p>
    <w:p w14:paraId="4122871C" w14:textId="77777777" w:rsidR="00A10636" w:rsidRPr="00D9348B" w:rsidRDefault="00A10636" w:rsidP="00866192">
      <w:pPr>
        <w:pStyle w:val="Heading5"/>
        <w:spacing w:before="160"/>
      </w:pPr>
      <w:r w:rsidRPr="00D9348B">
        <w:lastRenderedPageBreak/>
        <w:t>Controlled burning</w:t>
      </w:r>
    </w:p>
    <w:p w14:paraId="64A60913" w14:textId="77777777" w:rsidR="00A10636" w:rsidRPr="00D9348B" w:rsidRDefault="00A10636" w:rsidP="00A10636">
      <w:pPr>
        <w:pStyle w:val="BodyText"/>
      </w:pPr>
      <w:r w:rsidRPr="00D9348B">
        <w:t xml:space="preserve">Controlled burning emissions are reported within </w:t>
      </w:r>
      <w:r w:rsidRPr="00D9348B">
        <w:rPr>
          <w:i/>
        </w:rPr>
        <w:t>Grassland</w:t>
      </w:r>
      <w:r w:rsidRPr="00D9348B">
        <w:t xml:space="preserve"> </w:t>
      </w:r>
      <w:r w:rsidRPr="00D9348B">
        <w:rPr>
          <w:i/>
        </w:rPr>
        <w:t xml:space="preserve">converted to forest land </w:t>
      </w:r>
      <w:r w:rsidRPr="00D9348B">
        <w:t xml:space="preserve">(due to site preparation for conversion), within </w:t>
      </w:r>
      <w:r w:rsidRPr="00D9348B">
        <w:rPr>
          <w:i/>
        </w:rPr>
        <w:t>Forest land remaining forest land</w:t>
      </w:r>
      <w:r w:rsidRPr="00D9348B">
        <w:t xml:space="preserve"> (from the clearing of vegetation (natural forest) prior to the establishment of exotic planted forest and the burning of post-harvest slash prior to restocking), within </w:t>
      </w:r>
      <w:r w:rsidRPr="00D9348B">
        <w:rPr>
          <w:i/>
        </w:rPr>
        <w:t>Forest land converted to</w:t>
      </w:r>
      <w:r w:rsidRPr="00D9348B">
        <w:t xml:space="preserve"> </w:t>
      </w:r>
      <w:r w:rsidRPr="00D9348B">
        <w:rPr>
          <w:i/>
        </w:rPr>
        <w:t>grassland</w:t>
      </w:r>
      <w:r w:rsidRPr="00D9348B">
        <w:t xml:space="preserve"> (from controlled burning associated with deforestation) and within </w:t>
      </w:r>
      <w:r w:rsidRPr="00D9348B">
        <w:rPr>
          <w:i/>
        </w:rPr>
        <w:t>Grassland remaining grassland</w:t>
      </w:r>
      <w:r w:rsidRPr="00D9348B">
        <w:t xml:space="preserve"> (due to savanna (tussock) and pasture land management practices).</w:t>
      </w:r>
    </w:p>
    <w:p w14:paraId="50B6F7D1" w14:textId="77777777" w:rsidR="00A10636" w:rsidRPr="00D9348B" w:rsidRDefault="00A10636" w:rsidP="00A10636">
      <w:pPr>
        <w:pStyle w:val="BodyText"/>
        <w:rPr>
          <w:spacing w:val="-2"/>
        </w:rPr>
      </w:pPr>
      <w:r w:rsidRPr="00D9348B">
        <w:t xml:space="preserve">A survey of controlled burning in planted forest was carried out in 2011 to estimate controlled burning activity on </w:t>
      </w:r>
      <w:r w:rsidRPr="00D9348B">
        <w:rPr>
          <w:i/>
        </w:rPr>
        <w:t>Forest land</w:t>
      </w:r>
      <w:r w:rsidRPr="00D9348B">
        <w:t xml:space="preserve"> in New Zealand. Estimates were provided for burning associated with the clearing of vegetation (i.e., pre-1990 natural forest and grassland with woody biomass) </w:t>
      </w:r>
      <w:r w:rsidRPr="00D9348B">
        <w:rPr>
          <w:spacing w:val="-2"/>
        </w:rPr>
        <w:t>prior to the establishment of exotic planted forest. The survey indicated that 5 per cent of conversions to planted forest involved burning to clear vegetation. This was allocated to pre-1990 planted forest (conversions from pre-1990 natural forest) and post</w:t>
      </w:r>
      <w:r w:rsidRPr="00D9348B">
        <w:rPr>
          <w:spacing w:val="-2"/>
        </w:rPr>
        <w:noBreakHyphen/>
        <w:t>1989 forest (conversions from grassland with woody biomass) on a pro rata basis (Wakelin, </w:t>
      </w:r>
      <w:proofErr w:type="gramStart"/>
      <w:r w:rsidRPr="00D9348B">
        <w:rPr>
          <w:spacing w:val="-2"/>
        </w:rPr>
        <w:t>unpublished(</w:t>
      </w:r>
      <w:proofErr w:type="gramEnd"/>
      <w:r w:rsidRPr="00D9348B">
        <w:rPr>
          <w:spacing w:val="-2"/>
        </w:rPr>
        <w:t>e)).</w:t>
      </w:r>
    </w:p>
    <w:p w14:paraId="164DE592" w14:textId="77777777" w:rsidR="00A10636" w:rsidRPr="00D9348B" w:rsidRDefault="00A10636" w:rsidP="00A10636">
      <w:pPr>
        <w:pStyle w:val="BodyText"/>
      </w:pPr>
      <w:r w:rsidRPr="00D9348B">
        <w:t>Activity data (area of land-use change) for grassland with woody biomass converted to forest are based on annual land-use changes, as estimated in section 6.2, and an estimate of area burned from a survey of forest owners.</w:t>
      </w:r>
    </w:p>
    <w:p w14:paraId="456CC0F2" w14:textId="77777777" w:rsidR="00A10636" w:rsidRPr="00D9348B" w:rsidRDefault="00A10636" w:rsidP="00A10636">
      <w:pPr>
        <w:pStyle w:val="BodyText"/>
      </w:pPr>
      <w:r w:rsidRPr="00D9348B">
        <w:t>Activity data are combined with emission factors derived from the national forest plot network (see table 6.1.3) to estimate non-CO</w:t>
      </w:r>
      <w:r w:rsidRPr="00D9348B">
        <w:rPr>
          <w:vertAlign w:val="subscript"/>
        </w:rPr>
        <w:t>2</w:t>
      </w:r>
      <w:r w:rsidRPr="00D9348B">
        <w:t xml:space="preserve"> emissions from burning associated with the clearing of vegetation prior to the establishment of exotic planted forest. Below-ground biomass is assumed not to burn. The IPCC default combustion proportion for the burning of non-eucalypt temperate forest (category: all ‘other’ temperate forests) in land clearing fires is 0.51 (table 2.6, IPCC, 2006a) and, for the burning of shrublands (grassland with woody biomass), there is a New Zealand-specific combustion factor of 0.7 (Wakelin, </w:t>
      </w:r>
      <w:proofErr w:type="gramStart"/>
      <w:r w:rsidRPr="00D9348B">
        <w:t>unpublished(</w:t>
      </w:r>
      <w:proofErr w:type="gramEnd"/>
      <w:r w:rsidRPr="00D9348B">
        <w:t>a), (i)), which is then applied to estimate emissions from the activity data.</w:t>
      </w:r>
    </w:p>
    <w:p w14:paraId="7832D283" w14:textId="77777777" w:rsidR="00A10636" w:rsidRPr="00D9348B" w:rsidRDefault="00A10636" w:rsidP="00A10636">
      <w:pPr>
        <w:pStyle w:val="BodyText"/>
      </w:pPr>
      <w:r w:rsidRPr="00D9348B">
        <w:t xml:space="preserve">The survey also provided data on the burning of post-harvest slash prior to restocking. This activity was found to occur mainly as a training exercise for wildfire control or for the clearing of slash heaps on skid sites. The data indicated that 0.8 per cent of restocked area was burned each year in recent years. This estimate was combined with two earlier estimates of controlled burning in planted forest (Forest Industry Training and Education Council, 2005; Robertson, 1998) to provide activity data throughout the time series. It is assumed that 1.6 per cent of restocked area was burned from 1990 to 1997. From 1997, the area burned declines linearly to 0.8 per cent, which is used from 2005 onwards (Wakelin, </w:t>
      </w:r>
      <w:proofErr w:type="gramStart"/>
      <w:r w:rsidRPr="00D9348B">
        <w:t>unpublished(</w:t>
      </w:r>
      <w:proofErr w:type="gramEnd"/>
      <w:r w:rsidRPr="00D9348B">
        <w:t>e)).</w:t>
      </w:r>
    </w:p>
    <w:p w14:paraId="50C2DA2F" w14:textId="77777777" w:rsidR="00A10636" w:rsidRPr="00D9348B" w:rsidRDefault="00A10636" w:rsidP="00A10636">
      <w:pPr>
        <w:pStyle w:val="BodyText"/>
        <w:spacing w:before="100" w:after="100"/>
      </w:pPr>
      <w:r w:rsidRPr="00D9348B">
        <w:t xml:space="preserve">Activity data are combined with an emission factor derived from the pre-1990 planted forest carbon-yield table to estimate emissions from the burning of post-harvest slash (harvest residue) on </w:t>
      </w:r>
      <w:r w:rsidRPr="00D9348B">
        <w:rPr>
          <w:i/>
        </w:rPr>
        <w:t>Forest land</w:t>
      </w:r>
      <w:r w:rsidRPr="00D9348B">
        <w:t>. The harvest residue is calculated by subtracting the amount of above-ground biomass that is taken off site as logs (70 per cent) from the total above-ground biomass predicted at the age of 28 years (the average harvest age in New Zealand). Below-ground biomass is assumed not to burn. The IPCC default combustion proportion for the burning of harvest residue in non-eucalypt temperate forest (0.62) is applied to estimate emissions from this activity (table 2.6, IPCC, 2006a).</w:t>
      </w:r>
    </w:p>
    <w:p w14:paraId="5E391ACF" w14:textId="77777777" w:rsidR="00A10636" w:rsidRPr="00D9348B" w:rsidRDefault="00A10636" w:rsidP="00A10636">
      <w:pPr>
        <w:pStyle w:val="BodyText"/>
        <w:spacing w:before="100" w:after="100"/>
      </w:pPr>
      <w:r w:rsidRPr="00D9348B">
        <w:t xml:space="preserve">An estimate is provided for burning of post-harvest residues associated with deforestation in the National Inventory Report. No information is available on the extent of burning associated with deforestation in New Zealand. Therefore, it is assumed that 30 per cent of conversions involve burning to clear residues. The IPCC default combustion proportion for the burning of </w:t>
      </w:r>
      <w:r w:rsidRPr="00D9348B">
        <w:lastRenderedPageBreak/>
        <w:t>harvest residue in non-eucalypt temperate forest (0.62) is applied to category-specific emission factors to estimate emissions from this activity. The emission factor excludes the proportion of logs taken off site (70 per cent of above-ground biomass) and is taken from the plot-network-derived yield tables by forest type at the average age of harvest in New Zealand.</w:t>
      </w:r>
    </w:p>
    <w:p w14:paraId="4FC659F4" w14:textId="77777777" w:rsidR="00A10636" w:rsidRPr="00D9348B" w:rsidRDefault="00A10636" w:rsidP="00A10636">
      <w:pPr>
        <w:pStyle w:val="BodyText"/>
        <w:spacing w:before="100" w:after="100"/>
      </w:pPr>
      <w:r w:rsidRPr="00D9348B">
        <w:t>Carbon dioxide emissions from controlled burning in planted forests are captured at the time of conversion or harvest.</w:t>
      </w:r>
    </w:p>
    <w:p w14:paraId="0775CEEB" w14:textId="77777777" w:rsidR="00A10636" w:rsidRPr="00D9348B" w:rsidRDefault="00A10636" w:rsidP="00A10636">
      <w:pPr>
        <w:pStyle w:val="BodyText"/>
        <w:spacing w:before="100" w:after="100"/>
      </w:pPr>
      <w:r w:rsidRPr="00D9348B">
        <w:t>The burning of tussock (</w:t>
      </w:r>
      <w:r w:rsidRPr="00D9348B">
        <w:rPr>
          <w:i/>
        </w:rPr>
        <w:t>Chionochloa</w:t>
      </w:r>
      <w:r w:rsidRPr="00D9348B">
        <w:t xml:space="preserve"> spp.) grassland occurs in the South Island of New Zealand for pasture renewal and weed control. The amount of burning has been decreasing steadily over the past 50 years, as a result of changes in lease tenure and a reduction in grazing pressure. The tussock burning data are sourced from consents under the Resource Management Act 1991 for activities that occurred between 1990 and 2004. Statistics New Zealand provides these data from 2005 because burning became a permitted activity under the Act in some regions (Thomas et al., 2011).</w:t>
      </w:r>
    </w:p>
    <w:p w14:paraId="4D8FC8B7" w14:textId="77777777" w:rsidR="00A10636" w:rsidRPr="00D9348B" w:rsidRDefault="00A10636" w:rsidP="00A10636">
      <w:pPr>
        <w:pStyle w:val="BodyText"/>
        <w:spacing w:before="100" w:after="100"/>
      </w:pPr>
      <w:r w:rsidRPr="00D9348B">
        <w:t>Current practice in New Zealand is to burn in damp spring conditions, reducing the amount of biomass consumed by fire. To reflect this, a country-specific combustion factor of 0.619 (spring burn carbon fractions averaged across two sites (Payton and Pearce, 2009)) is applied to a country-specific biomass density of 28 tonnes of dry matter. The ratio of biomass density to carbon lost upon burning is 0.45 (as cited in Thomas et al., 2011).</w:t>
      </w:r>
    </w:p>
    <w:p w14:paraId="2013E8ED" w14:textId="77777777" w:rsidR="00A10636" w:rsidRPr="00D9348B" w:rsidRDefault="00A10636" w:rsidP="00A10636">
      <w:pPr>
        <w:pStyle w:val="BodyText"/>
        <w:spacing w:before="100" w:after="100"/>
      </w:pPr>
      <w:r w:rsidRPr="00D9348B">
        <w:t xml:space="preserve">An estimate for controlled burning in </w:t>
      </w:r>
      <w:r w:rsidRPr="00D9348B">
        <w:rPr>
          <w:i/>
        </w:rPr>
        <w:t>Grassland remaining grassland</w:t>
      </w:r>
      <w:r w:rsidRPr="00D9348B">
        <w:t xml:space="preserve"> (grassland with woody biomass) is provided in the inventory. The activity data are sourced from Statistics New Zealand’s Agricultural Production Survey. The activity data are combined with an emission factor derived from the national forest plot network (see table 6.1.3) to estimate non</w:t>
      </w:r>
      <w:r w:rsidRPr="00D9348B">
        <w:noBreakHyphen/>
        <w:t>CO</w:t>
      </w:r>
      <w:r w:rsidRPr="00D9348B">
        <w:rPr>
          <w:vertAlign w:val="subscript"/>
        </w:rPr>
        <w:t>2</w:t>
      </w:r>
      <w:r w:rsidRPr="00D9348B">
        <w:t xml:space="preserve"> emissions from burning associated with the clearing of vegetation for pasture regeneration. Below-ground biomass is assumed not to burn. The New Zealand-specific default combustion proportion for the burning of shrublands of 0.7 (Wakelin, </w:t>
      </w:r>
      <w:proofErr w:type="gramStart"/>
      <w:r w:rsidRPr="00D9348B">
        <w:t>unpublished(</w:t>
      </w:r>
      <w:proofErr w:type="gramEnd"/>
      <w:r w:rsidRPr="00D9348B">
        <w:t>a), (i)) is then applied to estimate emissions from this activity (table 2.6, IPCC, 2006a).</w:t>
      </w:r>
    </w:p>
    <w:p w14:paraId="36DB9AC6" w14:textId="77777777" w:rsidR="00A10636" w:rsidRPr="00D9348B" w:rsidRDefault="00A10636" w:rsidP="00A10636">
      <w:pPr>
        <w:pStyle w:val="BodyText"/>
        <w:spacing w:before="100" w:after="100"/>
      </w:pPr>
      <w:r w:rsidRPr="00D9348B">
        <w:t xml:space="preserve">Different emission factors derived from the LUCAS plot network are used for wildfire and controlled burning on grassland with woody biomass in the inventory. The differences are due to the vegetation that is typically converted to forest, which is generally of a lesser stature when compared with other shrubland (Wakelin and Beets, unpublished). </w:t>
      </w:r>
    </w:p>
    <w:p w14:paraId="21CD6D22" w14:textId="77777777" w:rsidR="00A10636" w:rsidRPr="00D9348B" w:rsidRDefault="00A10636" w:rsidP="00A10636">
      <w:pPr>
        <w:pStyle w:val="BodyText"/>
        <w:spacing w:before="100" w:after="100"/>
      </w:pPr>
      <w:r w:rsidRPr="00D9348B">
        <w:rPr>
          <w:i/>
        </w:rPr>
        <w:t>Biomass burning</w:t>
      </w:r>
      <w:r w:rsidRPr="00D9348B">
        <w:t xml:space="preserve"> is not a key category for New Zealand.</w:t>
      </w:r>
    </w:p>
    <w:p w14:paraId="60E0649A" w14:textId="77777777" w:rsidR="00A10636" w:rsidRPr="00D9348B" w:rsidRDefault="00A10636" w:rsidP="00865BDB">
      <w:pPr>
        <w:pStyle w:val="Heading4"/>
      </w:pPr>
      <w:bookmarkStart w:id="2548" w:name="_Toc232906997"/>
      <w:bookmarkStart w:id="2549" w:name="_Toc255466321"/>
      <w:bookmarkStart w:id="2550" w:name="_Toc261513128"/>
      <w:bookmarkStart w:id="2551" w:name="_Toc261513741"/>
      <w:bookmarkStart w:id="2552" w:name="_Toc280630367"/>
      <w:r w:rsidRPr="00D9348B">
        <w:t>Uncertainties and time-series consistency</w:t>
      </w:r>
      <w:bookmarkEnd w:id="2548"/>
      <w:bookmarkEnd w:id="2549"/>
      <w:bookmarkEnd w:id="2550"/>
      <w:bookmarkEnd w:id="2551"/>
      <w:bookmarkEnd w:id="2552"/>
    </w:p>
    <w:p w14:paraId="1B804B14" w14:textId="77777777" w:rsidR="00A10636" w:rsidRPr="00D9348B" w:rsidRDefault="00A10636" w:rsidP="00A10636">
      <w:pPr>
        <w:pStyle w:val="BodyText"/>
        <w:rPr>
          <w:spacing w:val="-2"/>
        </w:rPr>
      </w:pPr>
      <w:r w:rsidRPr="00D9348B">
        <w:rPr>
          <w:spacing w:val="-2"/>
        </w:rPr>
        <w:t>Uncertainties arise from relatively coarse activity data for wildfires and controlled burning activities in New Zealand (see table 6.11.3). The biomass burning statistics have gaps in the time series where data collection did not occur or survey methodologies changed. Assumptions are made for some activity data, emission factors and burning fractions where insufficient data exist.</w:t>
      </w:r>
    </w:p>
    <w:p w14:paraId="23CCFDA8" w14:textId="77777777" w:rsidR="00A10636" w:rsidRPr="00D9348B" w:rsidRDefault="00A10636" w:rsidP="00A10636">
      <w:pPr>
        <w:pStyle w:val="Table"/>
      </w:pPr>
      <w:bookmarkStart w:id="2553" w:name="_Toc310423432"/>
      <w:bookmarkStart w:id="2554" w:name="_Toc318362725"/>
      <w:bookmarkStart w:id="2555" w:name="_Toc342470800"/>
      <w:bookmarkStart w:id="2556" w:name="_Toc352505040"/>
      <w:bookmarkStart w:id="2557" w:name="_Toc378853329"/>
      <w:bookmarkStart w:id="2558" w:name="_Toc391024127"/>
      <w:bookmarkStart w:id="2559" w:name="_Toc410028871"/>
      <w:bookmarkStart w:id="2560" w:name="_Toc414531499"/>
      <w:bookmarkStart w:id="2561" w:name="_Toc443645413"/>
      <w:bookmarkStart w:id="2562" w:name="_Toc474914632"/>
      <w:bookmarkStart w:id="2563" w:name="_Toc481751596"/>
      <w:bookmarkStart w:id="2564" w:name="_Toc522010653"/>
      <w:bookmarkStart w:id="2565" w:name="_Toc5269558"/>
      <w:bookmarkStart w:id="2566" w:name="_Toc33529432"/>
      <w:bookmarkStart w:id="2567" w:name="_Toc36224638"/>
      <w:r w:rsidRPr="00D9348B">
        <w:t>Table 6.11.3</w:t>
      </w:r>
      <w:r w:rsidRPr="00D9348B">
        <w:tab/>
        <w:t>Uncertainty in New Zealand’s 2018 estimates for CH</w:t>
      </w:r>
      <w:r w:rsidRPr="00D9348B">
        <w:rPr>
          <w:vertAlign w:val="subscript"/>
        </w:rPr>
        <w:t>4</w:t>
      </w:r>
      <w:bookmarkEnd w:id="2553"/>
      <w:r w:rsidRPr="00D9348B">
        <w:t xml:space="preserve"> and N</w:t>
      </w:r>
      <w:r w:rsidRPr="00D9348B">
        <w:rPr>
          <w:vertAlign w:val="subscript"/>
        </w:rPr>
        <w:t>2</w:t>
      </w:r>
      <w:r w:rsidRPr="00D9348B">
        <w:t>O emissions from Biomass burning</w:t>
      </w:r>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p>
    <w:tbl>
      <w:tblPr>
        <w:tblW w:w="8505" w:type="dxa"/>
        <w:tblInd w:w="108" w:type="dxa"/>
        <w:tblBorders>
          <w:top w:val="single" w:sz="4" w:space="0" w:color="365F91"/>
          <w:bottom w:val="single" w:sz="4" w:space="0" w:color="365F91"/>
          <w:insideH w:val="single" w:sz="4" w:space="0" w:color="365F91"/>
        </w:tblBorders>
        <w:tblLayout w:type="fixed"/>
        <w:tblLook w:val="04A0" w:firstRow="1" w:lastRow="0" w:firstColumn="1" w:lastColumn="0" w:noHBand="0" w:noVBand="1"/>
      </w:tblPr>
      <w:tblGrid>
        <w:gridCol w:w="4655"/>
        <w:gridCol w:w="3850"/>
      </w:tblGrid>
      <w:tr w:rsidR="00A10636" w:rsidRPr="00D9348B" w14:paraId="5A0A348D" w14:textId="77777777" w:rsidTr="00B03727">
        <w:trPr>
          <w:trHeight w:val="20"/>
        </w:trPr>
        <w:tc>
          <w:tcPr>
            <w:tcW w:w="4479" w:type="dxa"/>
            <w:shd w:val="clear" w:color="auto" w:fill="365F91"/>
            <w:noWrap/>
            <w:hideMark/>
          </w:tcPr>
          <w:p w14:paraId="0A2BE323" w14:textId="77777777" w:rsidR="00A10636" w:rsidRPr="00D9348B" w:rsidRDefault="00A10636" w:rsidP="00DB330E">
            <w:pPr>
              <w:pStyle w:val="TableTextBold"/>
              <w:spacing w:before="40" w:after="40"/>
              <w:rPr>
                <w:noProof w:val="0"/>
                <w:color w:val="FFFFFF"/>
                <w:szCs w:val="16"/>
              </w:rPr>
            </w:pPr>
            <w:r w:rsidRPr="00D9348B">
              <w:rPr>
                <w:noProof w:val="0"/>
                <w:color w:val="FFFFFF"/>
                <w:szCs w:val="16"/>
              </w:rPr>
              <w:t>Variable</w:t>
            </w:r>
          </w:p>
        </w:tc>
        <w:tc>
          <w:tcPr>
            <w:tcW w:w="3705" w:type="dxa"/>
            <w:shd w:val="clear" w:color="auto" w:fill="365F91"/>
            <w:noWrap/>
            <w:hideMark/>
          </w:tcPr>
          <w:p w14:paraId="50B565AB" w14:textId="77777777" w:rsidR="00A10636" w:rsidRPr="00D9348B" w:rsidRDefault="00A10636" w:rsidP="00DB330E">
            <w:pPr>
              <w:pStyle w:val="TableTextBold"/>
              <w:spacing w:before="40" w:after="40"/>
              <w:jc w:val="center"/>
              <w:rPr>
                <w:noProof w:val="0"/>
                <w:color w:val="FFFFFF"/>
                <w:szCs w:val="16"/>
              </w:rPr>
            </w:pPr>
            <w:r w:rsidRPr="00D9348B">
              <w:rPr>
                <w:noProof w:val="0"/>
                <w:color w:val="FFFFFF"/>
                <w:szCs w:val="16"/>
              </w:rPr>
              <w:t>Uncertainty at a 95% confidence interval (%)</w:t>
            </w:r>
          </w:p>
        </w:tc>
      </w:tr>
      <w:tr w:rsidR="00A10636" w:rsidRPr="00D9348B" w14:paraId="20DA5C5C" w14:textId="77777777" w:rsidTr="00B03727">
        <w:trPr>
          <w:trHeight w:val="20"/>
        </w:trPr>
        <w:tc>
          <w:tcPr>
            <w:tcW w:w="4479" w:type="dxa"/>
            <w:noWrap/>
            <w:hideMark/>
          </w:tcPr>
          <w:p w14:paraId="548EE07C" w14:textId="77777777" w:rsidR="00A10636" w:rsidRPr="00D9348B" w:rsidRDefault="00A10636" w:rsidP="00DB330E">
            <w:pPr>
              <w:pStyle w:val="TableTextBold"/>
              <w:spacing w:before="40" w:after="40"/>
              <w:rPr>
                <w:noProof w:val="0"/>
                <w:szCs w:val="16"/>
              </w:rPr>
            </w:pPr>
            <w:r w:rsidRPr="00D9348B">
              <w:rPr>
                <w:noProof w:val="0"/>
                <w:szCs w:val="16"/>
              </w:rPr>
              <w:t>Activity data</w:t>
            </w:r>
          </w:p>
        </w:tc>
        <w:tc>
          <w:tcPr>
            <w:tcW w:w="3705" w:type="dxa"/>
            <w:noWrap/>
            <w:hideMark/>
          </w:tcPr>
          <w:p w14:paraId="0846D808" w14:textId="77777777" w:rsidR="00A10636" w:rsidRPr="00D9348B" w:rsidRDefault="00A10636" w:rsidP="00DB330E">
            <w:pPr>
              <w:pStyle w:val="TableTextBold"/>
              <w:tabs>
                <w:tab w:val="decimal" w:pos="714"/>
              </w:tabs>
              <w:spacing w:before="40" w:after="40"/>
              <w:jc w:val="center"/>
              <w:rPr>
                <w:noProof w:val="0"/>
                <w:szCs w:val="16"/>
              </w:rPr>
            </w:pPr>
          </w:p>
        </w:tc>
      </w:tr>
      <w:tr w:rsidR="00A10636" w:rsidRPr="00D9348B" w14:paraId="1DE72E31" w14:textId="77777777" w:rsidTr="00B03727">
        <w:trPr>
          <w:trHeight w:val="20"/>
        </w:trPr>
        <w:tc>
          <w:tcPr>
            <w:tcW w:w="4479" w:type="dxa"/>
            <w:noWrap/>
            <w:hideMark/>
          </w:tcPr>
          <w:p w14:paraId="74160AC3" w14:textId="77777777" w:rsidR="00A10636" w:rsidRPr="00D9348B" w:rsidRDefault="00A10636" w:rsidP="00DB330E">
            <w:pPr>
              <w:pStyle w:val="TableText"/>
              <w:spacing w:before="40" w:after="40"/>
              <w:rPr>
                <w:b/>
                <w:szCs w:val="16"/>
              </w:rPr>
            </w:pPr>
            <w:r w:rsidRPr="00D9348B">
              <w:rPr>
                <w:szCs w:val="16"/>
              </w:rPr>
              <w:t>Uncertainty in activity data</w:t>
            </w:r>
          </w:p>
        </w:tc>
        <w:tc>
          <w:tcPr>
            <w:tcW w:w="3705" w:type="dxa"/>
            <w:noWrap/>
            <w:hideMark/>
          </w:tcPr>
          <w:p w14:paraId="0CA7D6C6" w14:textId="77777777" w:rsidR="00A10636" w:rsidRPr="00D9348B" w:rsidRDefault="00A10636" w:rsidP="00DB330E">
            <w:pPr>
              <w:pStyle w:val="TableText"/>
              <w:tabs>
                <w:tab w:val="decimal" w:pos="714"/>
              </w:tabs>
              <w:spacing w:before="40" w:after="40"/>
              <w:jc w:val="center"/>
              <w:rPr>
                <w:szCs w:val="16"/>
              </w:rPr>
            </w:pPr>
            <w:r w:rsidRPr="00D9348B">
              <w:rPr>
                <w:szCs w:val="16"/>
              </w:rPr>
              <w:t>±30.0</w:t>
            </w:r>
          </w:p>
        </w:tc>
      </w:tr>
      <w:tr w:rsidR="00A10636" w:rsidRPr="00D9348B" w14:paraId="7A283C0C" w14:textId="77777777" w:rsidTr="00B03727">
        <w:trPr>
          <w:trHeight w:val="20"/>
        </w:trPr>
        <w:tc>
          <w:tcPr>
            <w:tcW w:w="4479" w:type="dxa"/>
            <w:noWrap/>
            <w:hideMark/>
          </w:tcPr>
          <w:p w14:paraId="48E3D37C" w14:textId="77777777" w:rsidR="00A10636" w:rsidRPr="00D9348B" w:rsidRDefault="00A10636" w:rsidP="00DB330E">
            <w:pPr>
              <w:pStyle w:val="TableTextBold"/>
              <w:spacing w:before="40" w:after="40"/>
              <w:rPr>
                <w:noProof w:val="0"/>
                <w:szCs w:val="16"/>
              </w:rPr>
            </w:pPr>
            <w:r w:rsidRPr="00D9348B">
              <w:rPr>
                <w:noProof w:val="0"/>
                <w:szCs w:val="16"/>
              </w:rPr>
              <w:t>Emission factors</w:t>
            </w:r>
          </w:p>
        </w:tc>
        <w:tc>
          <w:tcPr>
            <w:tcW w:w="3705" w:type="dxa"/>
            <w:noWrap/>
            <w:hideMark/>
          </w:tcPr>
          <w:p w14:paraId="67351309" w14:textId="77777777" w:rsidR="00A10636" w:rsidRPr="00D9348B" w:rsidRDefault="00A10636" w:rsidP="00DB330E">
            <w:pPr>
              <w:pStyle w:val="TableTextBold"/>
              <w:tabs>
                <w:tab w:val="decimal" w:pos="714"/>
              </w:tabs>
              <w:spacing w:before="40" w:after="40"/>
              <w:jc w:val="center"/>
              <w:rPr>
                <w:noProof w:val="0"/>
                <w:szCs w:val="16"/>
              </w:rPr>
            </w:pPr>
          </w:p>
        </w:tc>
      </w:tr>
      <w:tr w:rsidR="00A10636" w:rsidRPr="00D9348B" w14:paraId="387C69F2" w14:textId="77777777" w:rsidTr="00B03727">
        <w:trPr>
          <w:trHeight w:val="20"/>
        </w:trPr>
        <w:tc>
          <w:tcPr>
            <w:tcW w:w="4479" w:type="dxa"/>
            <w:noWrap/>
            <w:hideMark/>
          </w:tcPr>
          <w:p w14:paraId="74949B42" w14:textId="77777777" w:rsidR="00A10636" w:rsidRPr="00D9348B" w:rsidRDefault="00A10636" w:rsidP="00DB330E">
            <w:pPr>
              <w:pStyle w:val="TableText"/>
              <w:spacing w:before="40" w:after="40"/>
              <w:rPr>
                <w:b/>
                <w:szCs w:val="16"/>
              </w:rPr>
            </w:pPr>
            <w:r w:rsidRPr="00D9348B">
              <w:rPr>
                <w:szCs w:val="16"/>
              </w:rPr>
              <w:t>Uncertainty in emission factors</w:t>
            </w:r>
          </w:p>
        </w:tc>
        <w:tc>
          <w:tcPr>
            <w:tcW w:w="3705" w:type="dxa"/>
            <w:noWrap/>
            <w:hideMark/>
          </w:tcPr>
          <w:p w14:paraId="04151968" w14:textId="77777777" w:rsidR="00A10636" w:rsidRPr="00D9348B" w:rsidRDefault="00A10636" w:rsidP="00DB330E">
            <w:pPr>
              <w:pStyle w:val="TableText"/>
              <w:tabs>
                <w:tab w:val="decimal" w:pos="714"/>
              </w:tabs>
              <w:spacing w:before="40" w:after="40"/>
              <w:jc w:val="center"/>
              <w:rPr>
                <w:szCs w:val="16"/>
              </w:rPr>
            </w:pPr>
            <w:r w:rsidRPr="00D9348B">
              <w:rPr>
                <w:szCs w:val="16"/>
              </w:rPr>
              <w:t>±41.6</w:t>
            </w:r>
          </w:p>
        </w:tc>
      </w:tr>
      <w:tr w:rsidR="00A10636" w:rsidRPr="00D9348B" w14:paraId="65258285" w14:textId="77777777" w:rsidTr="00B03727">
        <w:trPr>
          <w:trHeight w:val="20"/>
        </w:trPr>
        <w:tc>
          <w:tcPr>
            <w:tcW w:w="4479" w:type="dxa"/>
            <w:noWrap/>
            <w:hideMark/>
          </w:tcPr>
          <w:p w14:paraId="17F9477A" w14:textId="77777777" w:rsidR="00A10636" w:rsidRPr="00D9348B" w:rsidRDefault="00A10636" w:rsidP="00DB330E">
            <w:pPr>
              <w:pStyle w:val="Tableboldblue"/>
              <w:jc w:val="right"/>
            </w:pPr>
            <w:r w:rsidRPr="00D9348B">
              <w:t>Uncertainty introduced into net emissions for LULUCF</w:t>
            </w:r>
          </w:p>
        </w:tc>
        <w:tc>
          <w:tcPr>
            <w:tcW w:w="3705" w:type="dxa"/>
            <w:noWrap/>
            <w:hideMark/>
          </w:tcPr>
          <w:p w14:paraId="5137CFA3" w14:textId="77777777" w:rsidR="00A10636" w:rsidRPr="00D9348B" w:rsidRDefault="00A10636" w:rsidP="00B03727">
            <w:pPr>
              <w:pStyle w:val="Tableboldblue"/>
              <w:tabs>
                <w:tab w:val="decimal" w:pos="714"/>
              </w:tabs>
              <w:jc w:val="center"/>
            </w:pPr>
            <w:r w:rsidRPr="00D9348B">
              <w:t>±0.2</w:t>
            </w:r>
          </w:p>
        </w:tc>
      </w:tr>
    </w:tbl>
    <w:p w14:paraId="6B0D0E24" w14:textId="77777777" w:rsidR="00A10636" w:rsidRPr="00D9348B" w:rsidRDefault="00A10636" w:rsidP="00865BDB">
      <w:pPr>
        <w:pStyle w:val="Heading4"/>
      </w:pPr>
      <w:bookmarkStart w:id="2568" w:name="_Toc255466322"/>
      <w:bookmarkStart w:id="2569" w:name="_Toc261513129"/>
      <w:bookmarkStart w:id="2570" w:name="_Toc261513742"/>
      <w:bookmarkStart w:id="2571" w:name="_Toc280630368"/>
      <w:r w:rsidRPr="00D9348B">
        <w:lastRenderedPageBreak/>
        <w:t>Source-specific QA/QC and verification</w:t>
      </w:r>
      <w:bookmarkEnd w:id="2568"/>
      <w:bookmarkEnd w:id="2569"/>
      <w:bookmarkEnd w:id="2570"/>
      <w:bookmarkEnd w:id="2571"/>
    </w:p>
    <w:p w14:paraId="6EE47582" w14:textId="77777777" w:rsidR="00A10636" w:rsidRPr="00D9348B" w:rsidRDefault="00A10636" w:rsidP="00A10636">
      <w:pPr>
        <w:pStyle w:val="BodyText"/>
        <w:keepLines/>
      </w:pPr>
      <w:r w:rsidRPr="00D9348B">
        <w:t xml:space="preserve">Quality-control and quality-assurance measures are applied to the biomass burning activity data and emission factors. The biomass burning data set is verified whenever new data are supplied. The </w:t>
      </w:r>
      <w:r w:rsidRPr="00D9348B">
        <w:rPr>
          <w:i/>
        </w:rPr>
        <w:t>Biomass burning</w:t>
      </w:r>
      <w:r w:rsidRPr="00D9348B">
        <w:t xml:space="preserve"> parameters (burning and emission factors), assumptions and data set have been reviewed (Payton and Pearce, 2009; Thomas et al., 2011; Wakelin, </w:t>
      </w:r>
      <w:proofErr w:type="gramStart"/>
      <w:r w:rsidRPr="00D9348B">
        <w:t>unpublished(</w:t>
      </w:r>
      <w:proofErr w:type="gramEnd"/>
      <w:r w:rsidRPr="00D9348B">
        <w:t>b), (d), (e), (i); Wakelin et al., unpublished).</w:t>
      </w:r>
    </w:p>
    <w:p w14:paraId="4D7CF4F0" w14:textId="77777777" w:rsidR="00A10636" w:rsidRPr="00D9348B" w:rsidRDefault="00A10636" w:rsidP="00865BDB">
      <w:pPr>
        <w:pStyle w:val="Heading4"/>
      </w:pPr>
      <w:bookmarkStart w:id="2572" w:name="_Toc280630369"/>
      <w:bookmarkStart w:id="2573" w:name="_Toc232906999"/>
      <w:bookmarkStart w:id="2574" w:name="_Toc255466323"/>
      <w:bookmarkStart w:id="2575" w:name="_Toc261513130"/>
      <w:bookmarkStart w:id="2576" w:name="_Toc261513743"/>
      <w:r w:rsidRPr="00D9348B">
        <w:t>Source-specific recalculations</w:t>
      </w:r>
      <w:bookmarkEnd w:id="2572"/>
    </w:p>
    <w:p w14:paraId="4DCD66A4" w14:textId="77777777" w:rsidR="00A10636" w:rsidRPr="00D9348B" w:rsidRDefault="00A10636" w:rsidP="00A10636">
      <w:pPr>
        <w:pStyle w:val="BodyText"/>
      </w:pPr>
      <w:r w:rsidRPr="00D9348B">
        <w:t xml:space="preserve">The post-1989 planted forest yield table used in the controlled burning calculations following harvest and deforestation has been updated in this submission (see section 6.4.5 for further details). Activity data have also been updated between the 2017 and 2018 submissions. New estimates for controlled burning in </w:t>
      </w:r>
      <w:r w:rsidRPr="00D9348B">
        <w:rPr>
          <w:i/>
        </w:rPr>
        <w:t>Grassland remaining grassland</w:t>
      </w:r>
      <w:r w:rsidRPr="00D9348B">
        <w:t xml:space="preserve"> have required recalculations across the time series. </w:t>
      </w:r>
    </w:p>
    <w:p w14:paraId="5BE7780B" w14:textId="77777777" w:rsidR="00A10636" w:rsidRPr="00D9348B" w:rsidRDefault="00A10636" w:rsidP="00865BDB">
      <w:pPr>
        <w:pStyle w:val="Heading4"/>
      </w:pPr>
      <w:bookmarkStart w:id="2577" w:name="_Toc280630370"/>
      <w:r w:rsidRPr="00D9348B">
        <w:t>Source-specific planned improvements</w:t>
      </w:r>
      <w:bookmarkEnd w:id="2573"/>
      <w:bookmarkEnd w:id="2574"/>
      <w:bookmarkEnd w:id="2575"/>
      <w:bookmarkEnd w:id="2576"/>
      <w:bookmarkEnd w:id="2577"/>
    </w:p>
    <w:p w14:paraId="59F52F5D" w14:textId="77777777" w:rsidR="00A10636" w:rsidRPr="00D9348B" w:rsidRDefault="00A10636" w:rsidP="00A10636">
      <w:pPr>
        <w:pStyle w:val="BodyText"/>
      </w:pPr>
      <w:r w:rsidRPr="00D9348B">
        <w:t xml:space="preserve">The assumption that controlled burning of post-harvest residues on afforested land does not occur will be revisited in a future submission, due to the increasing harvest rate in these forests as they reach maturity. </w:t>
      </w:r>
    </w:p>
    <w:p w14:paraId="2E26D5CF" w14:textId="77777777" w:rsidR="00A10636" w:rsidRPr="00D9348B" w:rsidRDefault="00A10636" w:rsidP="00A10636">
      <w:pPr>
        <w:pStyle w:val="BodyText"/>
      </w:pPr>
    </w:p>
    <w:p w14:paraId="22E52391" w14:textId="77777777" w:rsidR="00A10636" w:rsidRPr="00D9348B" w:rsidRDefault="00A10636" w:rsidP="00A10636">
      <w:pPr>
        <w:pStyle w:val="Heading2"/>
        <w:spacing w:before="0" w:after="360"/>
      </w:pPr>
      <w:r w:rsidRPr="00D9348B">
        <w:br w:type="page"/>
      </w:r>
      <w:bookmarkStart w:id="2578" w:name="_Toc414531325"/>
      <w:bookmarkStart w:id="2579" w:name="_Toc474335467"/>
      <w:bookmarkStart w:id="2580" w:name="_Toc481751407"/>
      <w:bookmarkStart w:id="2581" w:name="_Toc522013959"/>
      <w:bookmarkStart w:id="2582" w:name="_Toc5269384"/>
      <w:bookmarkStart w:id="2583" w:name="_Toc36224424"/>
      <w:r w:rsidRPr="00D9348B">
        <w:lastRenderedPageBreak/>
        <w:t>Chapter 6: References</w:t>
      </w:r>
      <w:bookmarkEnd w:id="2578"/>
      <w:bookmarkEnd w:id="2579"/>
      <w:bookmarkEnd w:id="2580"/>
      <w:bookmarkEnd w:id="2581"/>
      <w:bookmarkEnd w:id="2582"/>
      <w:bookmarkEnd w:id="2583"/>
    </w:p>
    <w:p w14:paraId="4B924273" w14:textId="77777777" w:rsidR="00A10636" w:rsidRPr="00D9348B" w:rsidRDefault="00A10636" w:rsidP="00A10636">
      <w:pPr>
        <w:pStyle w:val="References"/>
      </w:pPr>
      <w:r w:rsidRPr="00D9348B">
        <w:t xml:space="preserve">Ausseil A, Jamali H, Clarkson B, Golubiewski N. 2015. Soil carbon stocks in wetlands of New Zealand and impact of land conversion since European settlement. </w:t>
      </w:r>
      <w:r w:rsidRPr="00D9348B">
        <w:rPr>
          <w:i/>
        </w:rPr>
        <w:t>Wetlands Ecology and Management</w:t>
      </w:r>
      <w:r w:rsidRPr="00D9348B">
        <w:t xml:space="preserve"> 23(5): 947–961</w:t>
      </w:r>
      <w:r w:rsidRPr="00D9348B">
        <w:rPr>
          <w:iCs/>
        </w:rPr>
        <w:t>.</w:t>
      </w:r>
    </w:p>
    <w:p w14:paraId="450C0846" w14:textId="77777777" w:rsidR="00A10636" w:rsidRPr="00D9348B" w:rsidRDefault="00A10636" w:rsidP="00A10636">
      <w:pPr>
        <w:pStyle w:val="References"/>
      </w:pPr>
      <w:r w:rsidRPr="00D9348B">
        <w:t xml:space="preserve">Baisden WT, Beets PN, Davis M, Wilde RH, Arnold G, Trotter CM. </w:t>
      </w:r>
      <w:proofErr w:type="gramStart"/>
      <w:r w:rsidRPr="00D9348B">
        <w:t>Unpublished(</w:t>
      </w:r>
      <w:proofErr w:type="gramEnd"/>
      <w:r w:rsidRPr="00D9348B">
        <w:t xml:space="preserve">a). </w:t>
      </w:r>
      <w:r w:rsidRPr="00D9348B">
        <w:rPr>
          <w:iCs/>
        </w:rPr>
        <w:t>Changes in New Zealand’s Soil Carbon Stocks Following Afforestation of Pastures</w:t>
      </w:r>
      <w:r w:rsidRPr="00D9348B">
        <w:t>. Landcare Research New Zealand Ltd Contract Report: LC0506/105.</w:t>
      </w:r>
    </w:p>
    <w:p w14:paraId="79A63EBE" w14:textId="77777777" w:rsidR="00A10636" w:rsidRPr="00D9348B" w:rsidRDefault="00A10636" w:rsidP="00A10636">
      <w:pPr>
        <w:pStyle w:val="References"/>
      </w:pPr>
      <w:r w:rsidRPr="00D9348B">
        <w:t xml:space="preserve">Baisden WT, Wilde RH, Arnold G, Trotter CM. </w:t>
      </w:r>
      <w:proofErr w:type="gramStart"/>
      <w:r w:rsidRPr="00D9348B">
        <w:t>Unpublished(</w:t>
      </w:r>
      <w:proofErr w:type="gramEnd"/>
      <w:r w:rsidRPr="00D9348B">
        <w:t xml:space="preserve">b). </w:t>
      </w:r>
      <w:r w:rsidRPr="00D9348B">
        <w:rPr>
          <w:iCs/>
        </w:rPr>
        <w:t>Operating the New Zealand Soil Carbon Monitoring System</w:t>
      </w:r>
      <w:r w:rsidRPr="00D9348B">
        <w:t>. Landcare Research Contract Report: LC0506/107.</w:t>
      </w:r>
    </w:p>
    <w:p w14:paraId="79C1ECA4" w14:textId="77777777" w:rsidR="00A10636" w:rsidRPr="00D9348B" w:rsidRDefault="00A10636" w:rsidP="00A10636">
      <w:pPr>
        <w:pStyle w:val="References"/>
      </w:pPr>
      <w:r w:rsidRPr="00D9348B">
        <w:t xml:space="preserve">Basher L, Burrows L, Hough S, Lambie S, Ross C, Thornburrow D, Garrett L, Paul T, Evanson T, Oliver G, Osorio R, Pearce S, Hill R. Unpublished. </w:t>
      </w:r>
      <w:r w:rsidRPr="00D9348B">
        <w:rPr>
          <w:iCs/>
        </w:rPr>
        <w:t>Soil Data Collection and Analysis of Post-1989 Planted Forest Plot Network</w:t>
      </w:r>
      <w:r w:rsidRPr="00D9348B">
        <w:t>. Contract report prepared for the Ministry for the Environment by Landcare Research, New Zealand Forest Research Institute Limited (trading as Scion) and LandSystems.</w:t>
      </w:r>
    </w:p>
    <w:p w14:paraId="1FA045E4" w14:textId="77777777" w:rsidR="00A10636" w:rsidRPr="00D9348B" w:rsidRDefault="00A10636" w:rsidP="00A10636">
      <w:pPr>
        <w:pStyle w:val="References"/>
      </w:pPr>
      <w:r w:rsidRPr="00D9348B">
        <w:t>Beets PN. Unpublished. Carbon fraction of radiata pine biomass components. Contract report prepared for the Ministry for the Environment by New Zealand Forest Research Institute Ltd (trading as Scion) in 2017.</w:t>
      </w:r>
    </w:p>
    <w:p w14:paraId="62A60E79" w14:textId="3147B6E8" w:rsidR="00A10636" w:rsidRPr="00D9348B" w:rsidRDefault="00A10636" w:rsidP="00A10636">
      <w:pPr>
        <w:pStyle w:val="References"/>
      </w:pPr>
      <w:r w:rsidRPr="00D9348B">
        <w:t xml:space="preserve">Beets PN, Brandon AM, Goulding CJ, Kimberley MO, Paul TSH, Searles NB. 2011a. </w:t>
      </w:r>
      <w:proofErr w:type="gramStart"/>
      <w:r w:rsidRPr="00D9348B">
        <w:t>The</w:t>
      </w:r>
      <w:proofErr w:type="gramEnd"/>
      <w:r w:rsidRPr="00D9348B">
        <w:t xml:space="preserve"> inventory of</w:t>
      </w:r>
      <w:r w:rsidR="00C453DB">
        <w:t> </w:t>
      </w:r>
      <w:r w:rsidRPr="00D9348B">
        <w:t xml:space="preserve">carbon stock in New Zealand’s post-1989 planted forest. </w:t>
      </w:r>
      <w:r w:rsidRPr="00D9348B">
        <w:rPr>
          <w:i/>
          <w:iCs/>
        </w:rPr>
        <w:t>Forest Ecology and Management</w:t>
      </w:r>
      <w:r w:rsidRPr="00D9348B">
        <w:t xml:space="preserve"> 262: </w:t>
      </w:r>
      <w:r w:rsidRPr="00D9348B">
        <w:br/>
        <w:t>1119–1130.</w:t>
      </w:r>
    </w:p>
    <w:p w14:paraId="17861F36" w14:textId="77777777" w:rsidR="00A10636" w:rsidRPr="00D9348B" w:rsidRDefault="00A10636" w:rsidP="00A10636">
      <w:pPr>
        <w:pStyle w:val="References"/>
      </w:pPr>
      <w:r w:rsidRPr="00D9348B">
        <w:t xml:space="preserve">Beets PN, Brandon AM, Goulding CJ, Kimberley MO, Paul TSH, Searles N. 2012a. The national inventory of carbon stock in New Zealand’s pre-1990 planted forest using a LiDAR incomplete-transect approach. </w:t>
      </w:r>
      <w:r w:rsidRPr="00D9348B">
        <w:rPr>
          <w:i/>
          <w:iCs/>
        </w:rPr>
        <w:t>Forest Ecology and Management</w:t>
      </w:r>
      <w:r w:rsidRPr="00D9348B">
        <w:t xml:space="preserve"> 280: 187–197.</w:t>
      </w:r>
    </w:p>
    <w:p w14:paraId="0F6819A3" w14:textId="77777777" w:rsidR="00A10636" w:rsidRPr="00D9348B" w:rsidRDefault="00A10636" w:rsidP="00A10636">
      <w:pPr>
        <w:pStyle w:val="References"/>
      </w:pPr>
      <w:r w:rsidRPr="00D9348B">
        <w:t xml:space="preserve">Beets PN, Garrett, LG. 2018. Carbon fraction of </w:t>
      </w:r>
      <w:r w:rsidRPr="00D9348B">
        <w:rPr>
          <w:i/>
        </w:rPr>
        <w:t>Pinus radiata</w:t>
      </w:r>
      <w:r w:rsidRPr="00D9348B">
        <w:t xml:space="preserve"> biomass components within New Zealand. </w:t>
      </w:r>
      <w:r w:rsidRPr="00D9348B">
        <w:rPr>
          <w:i/>
        </w:rPr>
        <w:t>New Zealand Journal of Forestry Science</w:t>
      </w:r>
      <w:r w:rsidRPr="00D9348B">
        <w:t xml:space="preserve"> 48: 14.</w:t>
      </w:r>
    </w:p>
    <w:p w14:paraId="27AC2C7A" w14:textId="77777777" w:rsidR="00A10636" w:rsidRPr="00D9348B" w:rsidRDefault="00A10636" w:rsidP="00A10636">
      <w:pPr>
        <w:pStyle w:val="References"/>
      </w:pPr>
      <w:r w:rsidRPr="00D9348B">
        <w:t xml:space="preserve">Beets PN, Holt L. Unpublished. </w:t>
      </w:r>
      <w:r w:rsidRPr="00D9348B">
        <w:rPr>
          <w:iCs/>
        </w:rPr>
        <w:t>Audit of the LUCAS Post-1989 Natural Forest Plot Inventory 2012–2013</w:t>
      </w:r>
      <w:r w:rsidRPr="00D9348B">
        <w:t>. Contract report prepared for the Ministry for the Environment by New Zealand Forest Research Institute Ltd (trading as Scion) in 2014.</w:t>
      </w:r>
    </w:p>
    <w:p w14:paraId="133308E2" w14:textId="77777777" w:rsidR="00A10636" w:rsidRPr="00D9348B" w:rsidRDefault="00A10636" w:rsidP="00A10636">
      <w:pPr>
        <w:pStyle w:val="References"/>
      </w:pPr>
      <w:r w:rsidRPr="00D9348B">
        <w:t>Beets PN, Kimberley MO. Unpublished. Improvements Contained in the Forest Carbon Predictor Version 3. Contract report prepared for the Ministry for the Environment by New Zealand Forest Research Institute Ltd (trading as Scion).</w:t>
      </w:r>
    </w:p>
    <w:p w14:paraId="27E8814C" w14:textId="77777777" w:rsidR="00A10636" w:rsidRPr="00D9348B" w:rsidRDefault="00A10636" w:rsidP="00A10636">
      <w:pPr>
        <w:pStyle w:val="References"/>
      </w:pPr>
      <w:r w:rsidRPr="00D9348B">
        <w:t xml:space="preserve">Beets PN, Kimberley MO, McKinley RB. 2007. Predicting wood density of </w:t>
      </w:r>
      <w:r w:rsidRPr="00D9348B">
        <w:rPr>
          <w:i/>
        </w:rPr>
        <w:t>Pinus radiata</w:t>
      </w:r>
      <w:r w:rsidRPr="00D9348B">
        <w:t xml:space="preserve"> annual growth increments. </w:t>
      </w:r>
      <w:r w:rsidRPr="00D9348B">
        <w:rPr>
          <w:i/>
          <w:iCs/>
        </w:rPr>
        <w:t xml:space="preserve">New Zealand Journal of Forestry Science </w:t>
      </w:r>
      <w:r w:rsidRPr="00D9348B">
        <w:t>37: 241–266.</w:t>
      </w:r>
    </w:p>
    <w:p w14:paraId="1DB5071F" w14:textId="77777777" w:rsidR="00A10636" w:rsidRPr="00D9348B" w:rsidRDefault="00A10636" w:rsidP="00A10636">
      <w:pPr>
        <w:pStyle w:val="References"/>
      </w:pPr>
      <w:r w:rsidRPr="00D9348B">
        <w:t xml:space="preserve">Beets PN, Kimberley MO, Oliver GR, Pearce SH. 2018a. Predicting wood density of growth increments of Douglas-fir stands in New Zealand. </w:t>
      </w:r>
      <w:r w:rsidRPr="00D9348B">
        <w:rPr>
          <w:i/>
        </w:rPr>
        <w:t>New Zealand Journal of Forestry Science</w:t>
      </w:r>
      <w:r w:rsidRPr="00D9348B">
        <w:t xml:space="preserve"> 48: 8.</w:t>
      </w:r>
    </w:p>
    <w:p w14:paraId="44DEE0D1" w14:textId="77777777" w:rsidR="00A10636" w:rsidRPr="00D9348B" w:rsidRDefault="00A10636" w:rsidP="00A10636">
      <w:pPr>
        <w:pStyle w:val="References"/>
      </w:pPr>
      <w:r w:rsidRPr="00D9348B">
        <w:t xml:space="preserve">Beets PN, Kimberley MO, Oliver GR, Pearce SH, Graham JD. 2014a. </w:t>
      </w:r>
      <w:proofErr w:type="gramStart"/>
      <w:r w:rsidRPr="00D9348B">
        <w:t>The</w:t>
      </w:r>
      <w:proofErr w:type="gramEnd"/>
      <w:r w:rsidRPr="00D9348B">
        <w:t xml:space="preserve"> application of stem analysis methods to estimate carbon sequestration in arboreal shrubs from a single measurement of field plots. </w:t>
      </w:r>
      <w:r w:rsidRPr="00D9348B">
        <w:rPr>
          <w:i/>
        </w:rPr>
        <w:t>Forests</w:t>
      </w:r>
      <w:r w:rsidRPr="00D9348B">
        <w:t xml:space="preserve"> 5: 919–935.</w:t>
      </w:r>
    </w:p>
    <w:p w14:paraId="35638060" w14:textId="77777777" w:rsidR="00A10636" w:rsidRPr="00D9348B" w:rsidRDefault="00A10636" w:rsidP="00A10636">
      <w:pPr>
        <w:pStyle w:val="References"/>
      </w:pPr>
      <w:r w:rsidRPr="00D9348B">
        <w:t>Beets PN, Kimberley MO, Oliver GR, Pearce SH, Graham JD. Unpublished. Post-1989 Natural Forest Carbon Stocks and Changes. Contract report 20093 prepared for the Ministry for the Environment by New Zealand Forest Research Institute Ltd (trading as Scion) in 2013.</w:t>
      </w:r>
    </w:p>
    <w:p w14:paraId="4540C388" w14:textId="77777777" w:rsidR="00A10636" w:rsidRPr="00D9348B" w:rsidRDefault="00A10636" w:rsidP="00A10636">
      <w:pPr>
        <w:pStyle w:val="References"/>
      </w:pPr>
      <w:r w:rsidRPr="00D9348B">
        <w:t xml:space="preserve">Beets PN, Kimberley MO, Oliver GR, Pearce, SH, Graham JD, Brandon A. 2012b. Allometric Equations for Estimating Carbon Stocks in Natural Forest in New Zealand. </w:t>
      </w:r>
      <w:r w:rsidRPr="00D9348B">
        <w:rPr>
          <w:i/>
        </w:rPr>
        <w:t>Forests</w:t>
      </w:r>
      <w:r w:rsidRPr="00D9348B">
        <w:t xml:space="preserve"> 3: 818–839.</w:t>
      </w:r>
    </w:p>
    <w:p w14:paraId="609A1E62" w14:textId="77777777" w:rsidR="00A10636" w:rsidRPr="00D9348B" w:rsidRDefault="00A10636" w:rsidP="00A10636">
      <w:pPr>
        <w:pStyle w:val="References"/>
      </w:pPr>
      <w:r w:rsidRPr="00D9348B">
        <w:t>Beets PN, Kimberley MO, Oliver GR, Pearce SH, Graham JD, Henley D, Meason DF. 2018b. Plantation species-specific adjustment functions for the Forest Carbon Predictor in New Zealand.</w:t>
      </w:r>
      <w:r w:rsidRPr="00D9348B">
        <w:rPr>
          <w:i/>
        </w:rPr>
        <w:t xml:space="preserve"> New Zealand Journal of Forestry Science </w:t>
      </w:r>
      <w:r w:rsidRPr="00D9348B">
        <w:t>48: 20.</w:t>
      </w:r>
    </w:p>
    <w:p w14:paraId="138C779C" w14:textId="77777777" w:rsidR="00A10636" w:rsidRPr="00D9348B" w:rsidRDefault="00A10636" w:rsidP="00A10636">
      <w:pPr>
        <w:pStyle w:val="References"/>
      </w:pPr>
      <w:r w:rsidRPr="00D9348B">
        <w:lastRenderedPageBreak/>
        <w:t xml:space="preserve">Beets PN, Kimberley MO, Paul TSH, Garrett LG. 2011b. Planted Forest Carbon Monitoring System </w:t>
      </w:r>
      <w:r w:rsidRPr="00D9348B">
        <w:br/>
        <w:t xml:space="preserve">– Forest carbon model validation study for </w:t>
      </w:r>
      <w:r w:rsidRPr="00D9348B">
        <w:rPr>
          <w:i/>
          <w:iCs/>
        </w:rPr>
        <w:t>Pinus radiata</w:t>
      </w:r>
      <w:r w:rsidRPr="00D9348B">
        <w:t xml:space="preserve">. </w:t>
      </w:r>
      <w:r w:rsidRPr="00D9348B">
        <w:rPr>
          <w:i/>
          <w:iCs/>
        </w:rPr>
        <w:t>New Zealand Journal of Forestry Science</w:t>
      </w:r>
      <w:r w:rsidRPr="00D9348B">
        <w:t xml:space="preserve"> 41: 177–189.</w:t>
      </w:r>
    </w:p>
    <w:p w14:paraId="0ED565A1" w14:textId="77777777" w:rsidR="00A10636" w:rsidRPr="00D9348B" w:rsidRDefault="00A10636" w:rsidP="00A10636">
      <w:pPr>
        <w:pStyle w:val="References"/>
        <w:rPr>
          <w:b/>
          <w:i/>
        </w:rPr>
      </w:pPr>
      <w:r w:rsidRPr="00D9348B">
        <w:t xml:space="preserve">Beets PN, Kimberley MO, Paul TSH, Oliver GR, Pearce SH, Buswell JM. 2014b. The Inventory of Carbon Stocks in New Zealand’s Post-1989 Natural Forest for Reporting under the Kyoto Protocol. </w:t>
      </w:r>
      <w:r w:rsidRPr="00D9348B">
        <w:rPr>
          <w:rFonts w:cs="Arial"/>
          <w:i/>
          <w:iCs/>
          <w:color w:val="222222"/>
        </w:rPr>
        <w:t>Forests</w:t>
      </w:r>
      <w:r w:rsidRPr="00D9348B">
        <w:rPr>
          <w:rFonts w:cs="Arial"/>
          <w:color w:val="222222"/>
        </w:rPr>
        <w:t xml:space="preserve"> </w:t>
      </w:r>
      <w:r w:rsidRPr="00D9348B">
        <w:rPr>
          <w:rFonts w:cs="Arial"/>
          <w:iCs/>
          <w:color w:val="222222"/>
        </w:rPr>
        <w:t>5</w:t>
      </w:r>
      <w:r w:rsidRPr="00D9348B">
        <w:rPr>
          <w:rFonts w:cs="Arial"/>
          <w:color w:val="222222"/>
        </w:rPr>
        <w:t>(9): 2230–2252</w:t>
      </w:r>
      <w:r w:rsidRPr="00D9348B">
        <w:rPr>
          <w:rFonts w:cs="Arial"/>
          <w:i/>
          <w:color w:val="222222"/>
        </w:rPr>
        <w:t>.</w:t>
      </w:r>
    </w:p>
    <w:p w14:paraId="2BA88FAE" w14:textId="77777777" w:rsidR="00A10636" w:rsidRPr="00D9348B" w:rsidRDefault="00A10636" w:rsidP="00A10636">
      <w:pPr>
        <w:pStyle w:val="References"/>
      </w:pPr>
      <w:r w:rsidRPr="00D9348B">
        <w:t xml:space="preserve">Beets PN, Payton IJ. Unpublished. </w:t>
      </w:r>
      <w:r w:rsidRPr="00D9348B">
        <w:rPr>
          <w:iCs/>
        </w:rPr>
        <w:t>CMS Indigenous Forest and Shrubland QA/QC in Implementation Year 2002</w:t>
      </w:r>
      <w:r w:rsidRPr="00D9348B">
        <w:t>. Contract report prepared for the Ministry for the Environment by New Zealand Forest Research Institute Ltd and Landcare Research New Zealand Ltd.</w:t>
      </w:r>
    </w:p>
    <w:p w14:paraId="7C9CD6E8" w14:textId="77777777" w:rsidR="00A10636" w:rsidRPr="00D9348B" w:rsidRDefault="00A10636" w:rsidP="00A10636">
      <w:pPr>
        <w:pStyle w:val="References"/>
      </w:pPr>
      <w:r w:rsidRPr="00D9348B">
        <w:t xml:space="preserve">Beets PN, Robertson KA, Ford-Robertson JB, Gordon J, Maclaren JP. 1999. Description and validation of C_change: A model for simulating carbon content in managed </w:t>
      </w:r>
      <w:r w:rsidRPr="00D9348B">
        <w:rPr>
          <w:i/>
        </w:rPr>
        <w:t>Pinus radiata</w:t>
      </w:r>
      <w:r w:rsidRPr="00D9348B">
        <w:t xml:space="preserve"> stands. </w:t>
      </w:r>
      <w:r w:rsidRPr="00D9348B">
        <w:rPr>
          <w:i/>
          <w:iCs/>
        </w:rPr>
        <w:t>New Zealand Journal of Forestry Science</w:t>
      </w:r>
      <w:r w:rsidRPr="00D9348B">
        <w:t xml:space="preserve"> 29(3): 409–427.</w:t>
      </w:r>
    </w:p>
    <w:p w14:paraId="27ED742D" w14:textId="77777777" w:rsidR="00A10636" w:rsidRPr="00D9348B" w:rsidRDefault="00A10636" w:rsidP="00A10636">
      <w:pPr>
        <w:pStyle w:val="References"/>
      </w:pPr>
      <w:r w:rsidRPr="00D9348B">
        <w:t xml:space="preserve">Brack C. Unpublished. </w:t>
      </w:r>
      <w:r w:rsidRPr="00D9348B">
        <w:rPr>
          <w:iCs/>
        </w:rPr>
        <w:t>Planted Forest Inventory Design: Post-1989 exotic</w:t>
      </w:r>
      <w:r w:rsidRPr="00D9348B">
        <w:t>. Contract report prepared for the Ministry for the Environment.</w:t>
      </w:r>
    </w:p>
    <w:p w14:paraId="5B8E996B" w14:textId="77777777" w:rsidR="00A10636" w:rsidRPr="00D9348B" w:rsidRDefault="00A10636" w:rsidP="00A10636">
      <w:pPr>
        <w:pStyle w:val="References"/>
      </w:pPr>
      <w:r w:rsidRPr="00D9348B">
        <w:t xml:space="preserve">Brack C, Broadley J. Unpublished. </w:t>
      </w:r>
      <w:r w:rsidRPr="00D9348B">
        <w:rPr>
          <w:iCs/>
        </w:rPr>
        <w:t>Co-location of LiDAR and Post-1989 Forest Plots</w:t>
      </w:r>
      <w:r w:rsidRPr="00D9348B">
        <w:t>. Contract report prepared for the Ministry for the Environment.</w:t>
      </w:r>
    </w:p>
    <w:p w14:paraId="08A08B1F" w14:textId="77777777" w:rsidR="00A10636" w:rsidRPr="00D9348B" w:rsidRDefault="00A10636" w:rsidP="00A10636">
      <w:pPr>
        <w:pStyle w:val="References"/>
      </w:pPr>
      <w:r w:rsidRPr="00D9348B">
        <w:t xml:space="preserve">Bretz F, Hothorn T, Westfall P. 2010. </w:t>
      </w:r>
      <w:r w:rsidRPr="00D9348B">
        <w:rPr>
          <w:i/>
          <w:iCs/>
        </w:rPr>
        <w:t>Multiple Comparisons Using R</w:t>
      </w:r>
      <w:r w:rsidRPr="00D9348B">
        <w:t>. Boca Raton, FL: CRC Press.</w:t>
      </w:r>
    </w:p>
    <w:p w14:paraId="1205D14C" w14:textId="77777777" w:rsidR="00A10636" w:rsidRPr="00D9348B" w:rsidRDefault="00A10636" w:rsidP="00A10636">
      <w:pPr>
        <w:pStyle w:val="References"/>
      </w:pPr>
      <w:r w:rsidRPr="00D9348B">
        <w:t xml:space="preserve">Burnham KP, Anderson DR. 2002. </w:t>
      </w:r>
      <w:r w:rsidRPr="00D9348B">
        <w:rPr>
          <w:i/>
        </w:rPr>
        <w:t>Model Selection and Multimodel Inference: A Practical Information-Theoretic Approach</w:t>
      </w:r>
      <w:r w:rsidRPr="00D9348B">
        <w:t>. 2nd edn. New York: Springer.</w:t>
      </w:r>
    </w:p>
    <w:p w14:paraId="043B0A75" w14:textId="77777777" w:rsidR="00A10636" w:rsidRPr="00D9348B" w:rsidRDefault="00A10636" w:rsidP="00A10636">
      <w:pPr>
        <w:pStyle w:val="References"/>
      </w:pPr>
      <w:r w:rsidRPr="00D9348B">
        <w:t xml:space="preserve">Carswell FE, Burrows LE, Hall GMJ, Mason NWH, Allen RB. 2012. Carbon and plant diversity gain during 200 years of woody succession in lowland. </w:t>
      </w:r>
      <w:r w:rsidRPr="00D9348B">
        <w:rPr>
          <w:i/>
          <w:iCs/>
        </w:rPr>
        <w:t>New Zealand Journal of Ecology</w:t>
      </w:r>
      <w:r w:rsidRPr="00D9348B">
        <w:t xml:space="preserve"> 36(2): 191–202.</w:t>
      </w:r>
    </w:p>
    <w:p w14:paraId="680CE6AB" w14:textId="77777777" w:rsidR="00A10636" w:rsidRPr="00D9348B" w:rsidRDefault="00A10636" w:rsidP="00A10636">
      <w:pPr>
        <w:pStyle w:val="References"/>
      </w:pPr>
      <w:r w:rsidRPr="00D9348B">
        <w:t>Clarkson, B. Unpublished. Peat extraction in New Zealand wetlands. Contract report prepared for the Ministry for the Environment. Landcare Research New Zealand Ltd Contract Report: LC2710.</w:t>
      </w:r>
    </w:p>
    <w:p w14:paraId="51FA28DA" w14:textId="77777777" w:rsidR="00A10636" w:rsidRPr="00D9348B" w:rsidRDefault="00A10636" w:rsidP="00A10636">
      <w:pPr>
        <w:pStyle w:val="References"/>
      </w:pPr>
      <w:r w:rsidRPr="00D9348B">
        <w:t xml:space="preserve">Coomes DA, Allen RB, Scott NA, Goulding CJ, Beets PN. 2002. Designing systems to monitor carbon stocks in forests and shrublands. </w:t>
      </w:r>
      <w:r w:rsidRPr="00D9348B">
        <w:rPr>
          <w:i/>
          <w:iCs/>
        </w:rPr>
        <w:t>Forest Ecology and Management</w:t>
      </w:r>
      <w:r w:rsidRPr="00D9348B">
        <w:t xml:space="preserve"> 164: 89–108.</w:t>
      </w:r>
    </w:p>
    <w:p w14:paraId="04FE2145" w14:textId="77777777" w:rsidR="00A10636" w:rsidRPr="00D9348B" w:rsidRDefault="00A10636" w:rsidP="00A10636">
      <w:pPr>
        <w:pStyle w:val="References"/>
      </w:pPr>
      <w:r w:rsidRPr="00D9348B">
        <w:t xml:space="preserve">Daly BK, Wilde RH. Unpublished. </w:t>
      </w:r>
      <w:r w:rsidRPr="00D9348B">
        <w:rPr>
          <w:iCs/>
        </w:rPr>
        <w:t>Contribution of Soil Carbon to New Zealand’s CO</w:t>
      </w:r>
      <w:r w:rsidRPr="00D9348B">
        <w:rPr>
          <w:iCs/>
          <w:vertAlign w:val="subscript"/>
        </w:rPr>
        <w:t>2</w:t>
      </w:r>
      <w:r w:rsidRPr="00D9348B">
        <w:rPr>
          <w:iCs/>
        </w:rPr>
        <w:t xml:space="preserve"> Emissions: I Reclassification of New Zealand Soil Series to IPCC Categories</w:t>
      </w:r>
      <w:r w:rsidRPr="00D9348B">
        <w:t>. Contract report prepared for the Ministry for the Environment. Landcare Research Contract Report: LC9697/096.</w:t>
      </w:r>
    </w:p>
    <w:p w14:paraId="244F0107" w14:textId="77777777" w:rsidR="00A10636" w:rsidRPr="00D9348B" w:rsidRDefault="00A10636" w:rsidP="00A10636">
      <w:pPr>
        <w:pStyle w:val="References"/>
      </w:pPr>
      <w:r w:rsidRPr="00D9348B">
        <w:t xml:space="preserve">Davis MR, Wakelin SJ. Unpublished. </w:t>
      </w:r>
      <w:r w:rsidRPr="00D9348B">
        <w:rPr>
          <w:iCs/>
        </w:rPr>
        <w:t>Perennial Cropland Biomass: Sampling Requirements</w:t>
      </w:r>
      <w:r w:rsidRPr="00D9348B">
        <w:t>. Report prepared for the Ministry for the Environment by New Zealand Forest Research Institute Limited (trading as Scion). Contract report 11407.</w:t>
      </w:r>
    </w:p>
    <w:p w14:paraId="05E71C6C" w14:textId="77777777" w:rsidR="00A10636" w:rsidRPr="00D9348B" w:rsidRDefault="00A10636" w:rsidP="00A10636">
      <w:pPr>
        <w:pStyle w:val="References"/>
      </w:pPr>
      <w:r w:rsidRPr="00D9348B">
        <w:t xml:space="preserve">Doherty JJ, Anderson SA, Pearce HG. Unpublished. </w:t>
      </w:r>
      <w:r w:rsidRPr="00D9348B">
        <w:rPr>
          <w:iCs/>
        </w:rPr>
        <w:t>An Analysis of Wildfire Records in New Zealand: 1991–2007</w:t>
      </w:r>
      <w:r w:rsidRPr="00D9348B">
        <w:t>. Contract report 12796 prepared for the Ministry for the Environment by New Zealand Forest Research Institute Ltd (trading as Scion).</w:t>
      </w:r>
    </w:p>
    <w:p w14:paraId="0E3A1B87" w14:textId="77777777" w:rsidR="00A10636" w:rsidRPr="00D9348B" w:rsidRDefault="00A10636" w:rsidP="00A10636">
      <w:pPr>
        <w:pStyle w:val="References"/>
      </w:pPr>
      <w:r w:rsidRPr="00D9348B">
        <w:t xml:space="preserve">Draper NR, Smith H. 1998. </w:t>
      </w:r>
      <w:r w:rsidRPr="00D9348B">
        <w:rPr>
          <w:i/>
          <w:iCs/>
        </w:rPr>
        <w:t>Applied Regression Analysis</w:t>
      </w:r>
      <w:r w:rsidRPr="00D9348B">
        <w:t>. New York: Wiley.</w:t>
      </w:r>
    </w:p>
    <w:p w14:paraId="663EB7AC" w14:textId="77777777" w:rsidR="00A10636" w:rsidRPr="00D9348B" w:rsidRDefault="00A10636" w:rsidP="00A10636">
      <w:pPr>
        <w:pStyle w:val="References"/>
      </w:pPr>
      <w:r w:rsidRPr="00D9348B">
        <w:t xml:space="preserve">Dresser M, Hewitt A, Willoughby J, Bellis S. 2011. </w:t>
      </w:r>
      <w:r w:rsidRPr="00D9348B">
        <w:rPr>
          <w:i/>
          <w:iCs/>
        </w:rPr>
        <w:t>Area of Organic Soils</w:t>
      </w:r>
      <w:r w:rsidRPr="00D9348B">
        <w:t>. Report prepared for the Ministry of Agriculture and Forestry by Landcare Research. Wellington: Ministry of Agriculture and Forestry.</w:t>
      </w:r>
    </w:p>
    <w:p w14:paraId="0F193314" w14:textId="7B1DE322" w:rsidR="00A10636" w:rsidRPr="00D9348B" w:rsidRDefault="00A10636" w:rsidP="00A10636">
      <w:pPr>
        <w:pStyle w:val="References"/>
      </w:pPr>
      <w:r w:rsidRPr="00D9348B">
        <w:t xml:space="preserve">Dymond JR, Shepherd JD. 2004. The spatial distribution of indigenous forest and its composition in the Wellington region, New Zealand, from ETM+ satellite imagery. </w:t>
      </w:r>
      <w:r w:rsidRPr="00D9348B">
        <w:rPr>
          <w:i/>
          <w:iCs/>
        </w:rPr>
        <w:t>Remote Sensing of Environment</w:t>
      </w:r>
      <w:r w:rsidRPr="00D9348B">
        <w:t xml:space="preserve"> 90:</w:t>
      </w:r>
      <w:r w:rsidR="00B03727" w:rsidRPr="00D9348B">
        <w:t> </w:t>
      </w:r>
      <w:r w:rsidRPr="00D9348B">
        <w:t>116–125.</w:t>
      </w:r>
    </w:p>
    <w:p w14:paraId="54C947D4" w14:textId="77777777" w:rsidR="00A10636" w:rsidRPr="00D9348B" w:rsidRDefault="00A10636" w:rsidP="00A10636">
      <w:pPr>
        <w:pStyle w:val="References"/>
      </w:pPr>
      <w:r w:rsidRPr="00D9348B">
        <w:t xml:space="preserve">Dymond JR, Shepherd JD, Arnold GC, Trotter CM. 2008. Estimating area of forest change by random sampling of change strata mapped using satellite imagery. </w:t>
      </w:r>
      <w:r w:rsidRPr="00D9348B">
        <w:rPr>
          <w:i/>
          <w:iCs/>
        </w:rPr>
        <w:t>Forest Science</w:t>
      </w:r>
      <w:r w:rsidRPr="00D9348B">
        <w:t xml:space="preserve"> 54(5): 475–480.</w:t>
      </w:r>
    </w:p>
    <w:p w14:paraId="48D56762" w14:textId="77777777" w:rsidR="00A10636" w:rsidRPr="00D9348B" w:rsidRDefault="00A10636" w:rsidP="00A10636">
      <w:pPr>
        <w:pStyle w:val="References"/>
      </w:pPr>
      <w:r w:rsidRPr="00D9348B">
        <w:t xml:space="preserve">Dymond JR, Shepherd JD, Qi J. 2001. A simple physical model of vegetation reflectance for standardising optical satellite imagery. </w:t>
      </w:r>
      <w:r w:rsidRPr="00D9348B">
        <w:rPr>
          <w:i/>
          <w:iCs/>
        </w:rPr>
        <w:t>Remote Sensing of Environment</w:t>
      </w:r>
      <w:r w:rsidRPr="00D9348B">
        <w:t xml:space="preserve"> 37: 230–239.</w:t>
      </w:r>
    </w:p>
    <w:p w14:paraId="3DEBEC80" w14:textId="3602E6FA" w:rsidR="00A10636" w:rsidRPr="00D9348B" w:rsidRDefault="00A10636" w:rsidP="00A10636">
      <w:pPr>
        <w:pStyle w:val="References"/>
      </w:pPr>
      <w:r w:rsidRPr="00D9348B">
        <w:t xml:space="preserve">Easdale TA, Richardson SJ, Marden M, England JR, Gayoso-Aguilar J, Guerra-Carcamo JE, Brandon AM. 2019. Root biomass allocation in southern temperate forests. </w:t>
      </w:r>
      <w:r w:rsidRPr="00D9348B">
        <w:rPr>
          <w:i/>
          <w:iCs/>
        </w:rPr>
        <w:t>Forest Ecology and Management</w:t>
      </w:r>
      <w:r w:rsidRPr="00D9348B">
        <w:t xml:space="preserve"> 453:</w:t>
      </w:r>
      <w:r w:rsidR="00B03727" w:rsidRPr="00D9348B">
        <w:t> </w:t>
      </w:r>
      <w:r w:rsidRPr="00D9348B">
        <w:t xml:space="preserve">117542. </w:t>
      </w:r>
    </w:p>
    <w:p w14:paraId="1EDCB26F" w14:textId="77777777" w:rsidR="00A10636" w:rsidRPr="00D9348B" w:rsidRDefault="00A10636" w:rsidP="00A10636">
      <w:pPr>
        <w:pStyle w:val="References"/>
      </w:pPr>
      <w:r w:rsidRPr="00D9348B">
        <w:lastRenderedPageBreak/>
        <w:t>Elsgaard L, Görresa CM, Hoffmann CC, Blicher-Mathiesen G, Schelde K, Petersen SO. 2012. Net ecosystem exchange of CO</w:t>
      </w:r>
      <w:r w:rsidRPr="00D9348B">
        <w:rPr>
          <w:vertAlign w:val="subscript"/>
        </w:rPr>
        <w:t>2</w:t>
      </w:r>
      <w:r w:rsidRPr="00D9348B">
        <w:t xml:space="preserve"> and carbon balance for eight temperate organic soils under agricultural management. </w:t>
      </w:r>
      <w:r w:rsidRPr="00D9348B">
        <w:rPr>
          <w:i/>
          <w:iCs/>
        </w:rPr>
        <w:t>Agriculture, Ecosystems &amp; Environment</w:t>
      </w:r>
      <w:r w:rsidRPr="00D9348B">
        <w:t xml:space="preserve"> 162: 52–67.</w:t>
      </w:r>
    </w:p>
    <w:p w14:paraId="13B60E30" w14:textId="77777777" w:rsidR="00A10636" w:rsidRPr="00D9348B" w:rsidRDefault="00A10636" w:rsidP="00A10636">
      <w:pPr>
        <w:pStyle w:val="References"/>
      </w:pPr>
      <w:r w:rsidRPr="00D9348B">
        <w:t xml:space="preserve">Eyles GO. 1977. NZLRI worksheets and their applications to rural planning. </w:t>
      </w:r>
      <w:r w:rsidRPr="00D9348B">
        <w:rPr>
          <w:i/>
          <w:iCs/>
        </w:rPr>
        <w:t>Town Planning Quarterly</w:t>
      </w:r>
      <w:r w:rsidRPr="00D9348B">
        <w:t xml:space="preserve"> 47: 38–44.</w:t>
      </w:r>
    </w:p>
    <w:p w14:paraId="4A4B1450" w14:textId="77777777" w:rsidR="00A10636" w:rsidRPr="00D9348B" w:rsidRDefault="00A10636" w:rsidP="00A10636">
      <w:pPr>
        <w:pStyle w:val="References"/>
      </w:pPr>
      <w:r w:rsidRPr="00D9348B">
        <w:t xml:space="preserve">Forest Industry Training and Education Council. 2005. </w:t>
      </w:r>
      <w:r w:rsidRPr="00D9348B">
        <w:rPr>
          <w:i/>
          <w:iCs/>
        </w:rPr>
        <w:t>Best Practice Guidelines for Land Preparation</w:t>
      </w:r>
      <w:r w:rsidRPr="00D9348B">
        <w:t>. Revised edn. Rotorua: Forest Industry Training and Education Council.</w:t>
      </w:r>
    </w:p>
    <w:p w14:paraId="3D5728D7" w14:textId="77777777" w:rsidR="00A10636" w:rsidRPr="00D9348B" w:rsidRDefault="00A10636" w:rsidP="00A10636">
      <w:pPr>
        <w:pStyle w:val="References"/>
      </w:pPr>
      <w:r w:rsidRPr="00D9348B">
        <w:t xml:space="preserve">Forests Act 1949. Retrieved from: </w:t>
      </w:r>
      <w:hyperlink r:id="rId229" w:history="1">
        <w:r w:rsidRPr="00D9348B">
          <w:rPr>
            <w:rStyle w:val="Hyperlink"/>
            <w:color w:val="auto"/>
          </w:rPr>
          <w:t>www.legislation.govt.nz/act/public/1949/0019/latest/whole.html</w:t>
        </w:r>
      </w:hyperlink>
      <w:r w:rsidRPr="00D9348B">
        <w:t xml:space="preserve"> (10 December 2018).</w:t>
      </w:r>
    </w:p>
    <w:p w14:paraId="53C68989" w14:textId="77777777" w:rsidR="00A10636" w:rsidRPr="00D9348B" w:rsidRDefault="00A10636" w:rsidP="00A10636">
      <w:pPr>
        <w:pStyle w:val="References"/>
      </w:pPr>
      <w:r w:rsidRPr="00D9348B">
        <w:t xml:space="preserve">Fraser S, Wilde H, </w:t>
      </w:r>
      <w:proofErr w:type="gramStart"/>
      <w:r w:rsidRPr="00D9348B">
        <w:t>Payton</w:t>
      </w:r>
      <w:proofErr w:type="gramEnd"/>
      <w:r w:rsidRPr="00D9348B">
        <w:t xml:space="preserve"> I, Scott J. Unpublished. </w:t>
      </w:r>
      <w:r w:rsidRPr="00D9348B">
        <w:rPr>
          <w:iCs/>
        </w:rPr>
        <w:t>Historic Soils Dataset – Land Use Reclassification</w:t>
      </w:r>
      <w:r w:rsidRPr="00D9348B">
        <w:t>. Contract report prepared for the Ministry for the Environment by Landcare Research New Zealand Ltd. Contract report: LC0809/131.</w:t>
      </w:r>
    </w:p>
    <w:p w14:paraId="029726EA" w14:textId="77777777" w:rsidR="00A10636" w:rsidRPr="00D9348B" w:rsidRDefault="00A10636" w:rsidP="00A10636">
      <w:pPr>
        <w:pStyle w:val="References"/>
      </w:pPr>
      <w:r w:rsidRPr="00D9348B">
        <w:t xml:space="preserve">Garrett LG. Unpublished. </w:t>
      </w:r>
      <w:r w:rsidRPr="00D9348B">
        <w:rPr>
          <w:iCs/>
        </w:rPr>
        <w:t>Natural Forests Soils – Data Checking and Carbon Content of the Mineral Soil</w:t>
      </w:r>
      <w:r w:rsidRPr="00D9348B">
        <w:t>. Contract report prepared for the Ministry for the Environment by New Zealand Forest Research Institute Ltd (trading as Scion).</w:t>
      </w:r>
    </w:p>
    <w:p w14:paraId="7BBC7FD3" w14:textId="77777777" w:rsidR="00A10636" w:rsidRPr="00D9348B" w:rsidRDefault="00A10636" w:rsidP="00A10636">
      <w:pPr>
        <w:pStyle w:val="References"/>
        <w:rPr>
          <w:iCs/>
        </w:rPr>
      </w:pPr>
      <w:r w:rsidRPr="00D9348B">
        <w:t xml:space="preserve">Garrett LG, Kimberley MO, Oliver GR, Parks M, Pearce SH, Beets PN, Paul TSH. 2019. Decay rates of above- and below-ground coarse woody debris of common tree species in New Zealand’s natural forest. </w:t>
      </w:r>
      <w:r w:rsidRPr="00D9348B">
        <w:rPr>
          <w:i/>
        </w:rPr>
        <w:t xml:space="preserve">Forest Ecology and Management </w:t>
      </w:r>
      <w:r w:rsidRPr="00D9348B">
        <w:t>438: 96–102.</w:t>
      </w:r>
      <w:r w:rsidRPr="00D9348B">
        <w:rPr>
          <w:i/>
        </w:rPr>
        <w:t xml:space="preserve"> </w:t>
      </w:r>
    </w:p>
    <w:p w14:paraId="0980B0ED" w14:textId="77777777" w:rsidR="00A10636" w:rsidRPr="00D9348B" w:rsidRDefault="00A10636" w:rsidP="00A10636">
      <w:pPr>
        <w:pStyle w:val="References"/>
      </w:pPr>
      <w:r w:rsidRPr="00D9348B">
        <w:t xml:space="preserve">Garrett LG, Kimberley MO, Oliver GR, Pearce SH, Paul TSH. 2010. Decomposition of woody debris in managed </w:t>
      </w:r>
      <w:r w:rsidRPr="00D9348B">
        <w:rPr>
          <w:i/>
        </w:rPr>
        <w:t>Pinus radiata</w:t>
      </w:r>
      <w:r w:rsidRPr="00D9348B">
        <w:t xml:space="preserve">. </w:t>
      </w:r>
      <w:r w:rsidRPr="00D9348B">
        <w:rPr>
          <w:i/>
          <w:iCs/>
        </w:rPr>
        <w:t>Forest Ecology and Management</w:t>
      </w:r>
      <w:r w:rsidRPr="00D9348B">
        <w:t xml:space="preserve"> 260: 1389–1398.</w:t>
      </w:r>
    </w:p>
    <w:p w14:paraId="29103476" w14:textId="77777777" w:rsidR="00A10636" w:rsidRPr="00D9348B" w:rsidRDefault="00A10636" w:rsidP="00A10636">
      <w:pPr>
        <w:pStyle w:val="References"/>
      </w:pPr>
      <w:r w:rsidRPr="00D9348B">
        <w:t xml:space="preserve">Giltrap DJ, Betts H, Wilde RH, Oliver G, Tate KR, Baisden WT. Unpublished. </w:t>
      </w:r>
      <w:r w:rsidRPr="00D9348B">
        <w:rPr>
          <w:iCs/>
        </w:rPr>
        <w:t>Contribution of Soil Carbon to New Zealand’s CO</w:t>
      </w:r>
      <w:r w:rsidRPr="00D9348B">
        <w:rPr>
          <w:iCs/>
          <w:vertAlign w:val="subscript"/>
        </w:rPr>
        <w:t>2</w:t>
      </w:r>
      <w:r w:rsidRPr="00D9348B">
        <w:rPr>
          <w:iCs/>
        </w:rPr>
        <w:t xml:space="preserve"> Emissions. XIII: Integrate general linear model and digital elevation model</w:t>
      </w:r>
      <w:r w:rsidRPr="00D9348B">
        <w:t>. Landcare Research, Forest Research Joint Contract Report: JNT 9899/136.</w:t>
      </w:r>
    </w:p>
    <w:p w14:paraId="6DB96DD4" w14:textId="77777777" w:rsidR="00A10636" w:rsidRPr="00D9348B" w:rsidRDefault="00A10636" w:rsidP="00A10636">
      <w:pPr>
        <w:pStyle w:val="References"/>
      </w:pPr>
      <w:r w:rsidRPr="00D9348B">
        <w:t xml:space="preserve">Hedley CB, Payton IJ, Lynn IH, Carrick ST, Webb TH, McNeill S. 2012. Random sampling of stony and non-stony soils for testing a national soil carbon monitoring system. </w:t>
      </w:r>
      <w:r w:rsidRPr="00D9348B">
        <w:rPr>
          <w:i/>
          <w:iCs/>
        </w:rPr>
        <w:t>Soil Research</w:t>
      </w:r>
      <w:r w:rsidRPr="00D9348B">
        <w:t> 50(1): 18–29.</w:t>
      </w:r>
    </w:p>
    <w:p w14:paraId="7DB74B7C" w14:textId="77777777" w:rsidR="00A10636" w:rsidRPr="00D9348B" w:rsidRDefault="00A10636" w:rsidP="00A10636">
      <w:pPr>
        <w:pStyle w:val="References"/>
      </w:pPr>
      <w:r w:rsidRPr="00D9348B">
        <w:t xml:space="preserve">Herries D, Paul TSH, Beets PN, Chikono C, Thompson R, Searles N. Unpublished. </w:t>
      </w:r>
      <w:r w:rsidRPr="00D9348B">
        <w:rPr>
          <w:iCs/>
        </w:rPr>
        <w:t>Land Use and Carbon Analysis System: Planted forest data collection manual</w:t>
      </w:r>
      <w:r w:rsidRPr="00D9348B">
        <w:t>. Wellington: Ministry for the Environment.</w:t>
      </w:r>
    </w:p>
    <w:p w14:paraId="7BD7BC6B" w14:textId="77777777" w:rsidR="00A10636" w:rsidRPr="00D9348B" w:rsidRDefault="00A10636" w:rsidP="00A10636">
      <w:pPr>
        <w:pStyle w:val="References"/>
      </w:pPr>
      <w:r w:rsidRPr="00D9348B">
        <w:t xml:space="preserve">Hewitt A, Forrester G, Fraser S, Hedley C, Lynn I, Payton I. 2012. Afforestation effects on soil carbon stocks of low productivity grassland in New Zealand. </w:t>
      </w:r>
      <w:r w:rsidRPr="00D9348B">
        <w:rPr>
          <w:i/>
          <w:iCs/>
        </w:rPr>
        <w:t>Soil Use and Management</w:t>
      </w:r>
      <w:r w:rsidRPr="00D9348B">
        <w:t xml:space="preserve"> 28(4): 508–516.</w:t>
      </w:r>
    </w:p>
    <w:p w14:paraId="1E645620" w14:textId="77777777" w:rsidR="00A10636" w:rsidRPr="00D9348B" w:rsidRDefault="00A10636" w:rsidP="00A10636">
      <w:pPr>
        <w:pStyle w:val="References"/>
      </w:pPr>
      <w:r w:rsidRPr="00D9348B">
        <w:t xml:space="preserve">Hewitt AE. 2010. </w:t>
      </w:r>
      <w:r w:rsidRPr="00D9348B">
        <w:rPr>
          <w:i/>
        </w:rPr>
        <w:t>New Zealand Soil Classification</w:t>
      </w:r>
      <w:r w:rsidRPr="00D9348B">
        <w:t>. 3rd edn. Landcare Research Science Series No. 1. Lincoln: Manaaki-Whenua Press.</w:t>
      </w:r>
    </w:p>
    <w:p w14:paraId="0A48C9D8" w14:textId="77777777" w:rsidR="00A10636" w:rsidRPr="00D9348B" w:rsidRDefault="00A10636" w:rsidP="00A10636">
      <w:pPr>
        <w:pStyle w:val="References"/>
      </w:pPr>
      <w:r w:rsidRPr="00D9348B">
        <w:t xml:space="preserve">Hunter G, McNeill S. Unpublished. </w:t>
      </w:r>
      <w:r w:rsidRPr="00D9348B">
        <w:rPr>
          <w:iCs/>
        </w:rPr>
        <w:t>Review of LUCAS Land use Backcasting 1962–1989.</w:t>
      </w:r>
      <w:r w:rsidRPr="00D9348B">
        <w:t xml:space="preserve"> Contract report prepared for the Ministry for the Environment by Landcare Research New Zealand Ltd. Contract report number LC70.</w:t>
      </w:r>
    </w:p>
    <w:p w14:paraId="25740A22" w14:textId="77777777" w:rsidR="00A10636" w:rsidRPr="00D9348B" w:rsidRDefault="00A10636" w:rsidP="00A10636">
      <w:pPr>
        <w:pStyle w:val="References"/>
      </w:pPr>
      <w:r w:rsidRPr="00D9348B">
        <w:t>Indufor Asia Pacific. 2018. New Zealand Deforestation Mapping 2015 and 2016 – Final Report. Contract report prepared for the Ministry for the Environment. Wellington: Ministry for the Environment.</w:t>
      </w:r>
    </w:p>
    <w:p w14:paraId="6FB589B3" w14:textId="77777777" w:rsidR="00A10636" w:rsidRPr="00D9348B" w:rsidRDefault="00A10636" w:rsidP="00A10636">
      <w:pPr>
        <w:pStyle w:val="References"/>
      </w:pPr>
      <w:r w:rsidRPr="00D9348B">
        <w:t xml:space="preserve">Interpine Forestry Limited. Unpublished. </w:t>
      </w:r>
      <w:r w:rsidRPr="00D9348B">
        <w:rPr>
          <w:iCs/>
        </w:rPr>
        <w:t>LUCAS Post-1989 Planted Forest Soil Survey</w:t>
      </w:r>
      <w:r w:rsidRPr="00D9348B">
        <w:t>. Report prepared for the Ministry for the Environment.</w:t>
      </w:r>
    </w:p>
    <w:p w14:paraId="22707F95" w14:textId="77777777" w:rsidR="00A10636" w:rsidRPr="00D9348B" w:rsidRDefault="00A10636" w:rsidP="00A10636">
      <w:pPr>
        <w:pStyle w:val="References"/>
      </w:pPr>
      <w:r w:rsidRPr="00D9348B">
        <w:t>IPCC. 2006a. Eggleston HS, Buendia L, Miwa K, Ngara T, Tanabe K (</w:t>
      </w:r>
      <w:proofErr w:type="gramStart"/>
      <w:r w:rsidRPr="00D9348B">
        <w:t>eds</w:t>
      </w:r>
      <w:proofErr w:type="gramEnd"/>
      <w:r w:rsidRPr="00D9348B">
        <w:t xml:space="preserve">). </w:t>
      </w:r>
      <w:r w:rsidRPr="00D9348B">
        <w:rPr>
          <w:i/>
          <w:iCs/>
        </w:rPr>
        <w:t>2006 IPCC Guidelines for National Greenhouse Gas Inventories. Volume 4. Agriculture, Forestry and Other Land Use. IPCC National Greenhouse Gas Inventories Programme</w:t>
      </w:r>
      <w:r w:rsidRPr="00D9348B">
        <w:t>. Japan: Institute for Global Environmental Strategies for IPCC.</w:t>
      </w:r>
    </w:p>
    <w:p w14:paraId="50DB2BCE" w14:textId="77777777" w:rsidR="00A10636" w:rsidRPr="00D9348B" w:rsidRDefault="00A10636" w:rsidP="00A10636">
      <w:pPr>
        <w:pStyle w:val="References"/>
      </w:pPr>
      <w:r w:rsidRPr="00D9348B">
        <w:t xml:space="preserve">IPCC. 2006b. </w:t>
      </w:r>
      <w:r w:rsidRPr="00D9348B">
        <w:rPr>
          <w:i/>
          <w:iCs/>
        </w:rPr>
        <w:t>General Guidance and Reporting</w:t>
      </w:r>
      <w:r w:rsidRPr="00D9348B">
        <w:t xml:space="preserve">. </w:t>
      </w:r>
      <w:r w:rsidRPr="00D9348B">
        <w:rPr>
          <w:i/>
        </w:rPr>
        <w:t xml:space="preserve">Volume 1. </w:t>
      </w:r>
      <w:r w:rsidRPr="00D9348B">
        <w:t>Eggleston HS, Buendia L, Miwa K, Ngara T, Tanabe K (</w:t>
      </w:r>
      <w:proofErr w:type="gramStart"/>
      <w:r w:rsidRPr="00D9348B">
        <w:t>eds</w:t>
      </w:r>
      <w:proofErr w:type="gramEnd"/>
      <w:r w:rsidRPr="00D9348B">
        <w:t>). Japan: Institute for Global Environmental Strategies for IPCC.</w:t>
      </w:r>
    </w:p>
    <w:p w14:paraId="032C4BEA" w14:textId="77777777" w:rsidR="00A10636" w:rsidRPr="00D9348B" w:rsidRDefault="00A10636" w:rsidP="00A10636">
      <w:pPr>
        <w:pStyle w:val="References"/>
      </w:pPr>
      <w:r w:rsidRPr="00D9348B">
        <w:t xml:space="preserve">IPCC. 2014. Hiraishi T, Krug T, Tanabe K, Srivastava N, Baasansuren J, Fukuda M, Troxler TG (eds). </w:t>
      </w:r>
      <w:r w:rsidRPr="00D9348B">
        <w:rPr>
          <w:i/>
          <w:iCs/>
        </w:rPr>
        <w:t>2013 Revised Supplementary Methods and Good Practice Guidance Arising from the Kyoto Protocol</w:t>
      </w:r>
      <w:r w:rsidRPr="00D9348B">
        <w:t>. Switzerland: IPCC.</w:t>
      </w:r>
    </w:p>
    <w:p w14:paraId="55690DD3" w14:textId="77777777" w:rsidR="00A10636" w:rsidRPr="00D9348B" w:rsidRDefault="00A10636" w:rsidP="00A10636">
      <w:pPr>
        <w:pStyle w:val="References"/>
      </w:pPr>
      <w:r w:rsidRPr="00D9348B">
        <w:lastRenderedPageBreak/>
        <w:t xml:space="preserve">Jones T. 2005. Wood properties of commercial tree species. In: M Colley (ed.) </w:t>
      </w:r>
      <w:r w:rsidRPr="00D9348B">
        <w:rPr>
          <w:i/>
          <w:iCs/>
        </w:rPr>
        <w:t>NZIF 2005 Forestry Handbook</w:t>
      </w:r>
      <w:r w:rsidRPr="00D9348B">
        <w:t>. Wellington: New Zealand Institute of Forestry. pp 204–207.</w:t>
      </w:r>
    </w:p>
    <w:p w14:paraId="3A442BE0" w14:textId="77777777" w:rsidR="00A10636" w:rsidRPr="00D9348B" w:rsidRDefault="00A10636" w:rsidP="00A10636">
      <w:pPr>
        <w:pStyle w:val="References"/>
      </w:pPr>
      <w:r w:rsidRPr="00D9348B">
        <w:t>Joyce K. Unpublished. Ministry for the Environment LUCAS 1990–2008 Change Detection Quality Assessment Procedure, GNS Science Consultancy Report 2009/45.</w:t>
      </w:r>
    </w:p>
    <w:p w14:paraId="64540125" w14:textId="77777777" w:rsidR="00A10636" w:rsidRPr="00D9348B" w:rsidRDefault="00A10636" w:rsidP="00A10636">
      <w:pPr>
        <w:pStyle w:val="References"/>
      </w:pPr>
      <w:r w:rsidRPr="00D9348B">
        <w:t xml:space="preserve">Kelliher FM, de Klein CA. Unpublished. </w:t>
      </w:r>
      <w:r w:rsidRPr="00D9348B">
        <w:rPr>
          <w:iCs/>
        </w:rPr>
        <w:t>Review of New Zealand’s Fertiliser Nitrous Oxide Emission Factor (EF1) Data</w:t>
      </w:r>
      <w:r w:rsidRPr="00D9348B">
        <w:t>. Contract report prepared for the Ministry for the Environment.</w:t>
      </w:r>
    </w:p>
    <w:p w14:paraId="05BCE14E" w14:textId="775B241B" w:rsidR="00A10636" w:rsidRPr="00D9348B" w:rsidRDefault="00A10636" w:rsidP="00A10636">
      <w:pPr>
        <w:pStyle w:val="References"/>
      </w:pPr>
      <w:r w:rsidRPr="00D9348B">
        <w:t xml:space="preserve">Kimberley MO, Beets PN, Paul TSH. 2019. Comparison of measured and modelled change in coarse woody debris carbon stocks in New Zealand’s natural forest. </w:t>
      </w:r>
      <w:r w:rsidRPr="00D9348B">
        <w:rPr>
          <w:i/>
        </w:rPr>
        <w:t>Forest Ecology and Management</w:t>
      </w:r>
      <w:r w:rsidRPr="00D9348B">
        <w:t>. 434</w:t>
      </w:r>
      <w:r w:rsidR="00B03727" w:rsidRPr="00D9348B">
        <w:t> </w:t>
      </w:r>
      <w:r w:rsidRPr="00D9348B">
        <w:t>(2019): 18</w:t>
      </w:r>
      <w:r w:rsidR="00B03727" w:rsidRPr="00D9348B">
        <w:t>–</w:t>
      </w:r>
      <w:r w:rsidRPr="00D9348B">
        <w:t>28.</w:t>
      </w:r>
    </w:p>
    <w:p w14:paraId="3A1C204A" w14:textId="77777777" w:rsidR="00A10636" w:rsidRPr="00D9348B" w:rsidRDefault="00A10636" w:rsidP="00A10636">
      <w:pPr>
        <w:pStyle w:val="References"/>
      </w:pPr>
      <w:r w:rsidRPr="00D9348B">
        <w:t xml:space="preserve">Kimberley MO, Dean MG. 2006. </w:t>
      </w:r>
      <w:r w:rsidRPr="00D9348B">
        <w:rPr>
          <w:i/>
          <w:iCs/>
        </w:rPr>
        <w:t>A Validation of the 300 Index Growth Model</w:t>
      </w:r>
      <w:r w:rsidRPr="00D9348B">
        <w:t>. Report prepared for the Plantation Management Cooperative.</w:t>
      </w:r>
    </w:p>
    <w:p w14:paraId="640F7E23" w14:textId="77777777" w:rsidR="00A10636" w:rsidRPr="00D9348B" w:rsidRDefault="00A10636" w:rsidP="00A10636">
      <w:pPr>
        <w:pStyle w:val="References"/>
      </w:pPr>
      <w:r w:rsidRPr="00D9348B">
        <w:t xml:space="preserve">Kirschbaum M, Trotter C, Wakelin S, Baisden T, Curtin D, Dymond J, Ghani A, Jones HS, Deurer M, Arnold G, Beets PN, Davis MR, Hedley C, Peltzer D, Ross C, Schipper L, Sutherland A, Wang H, Beare M, Clothier B, Mason N, Ward M. Unpublished. </w:t>
      </w:r>
      <w:r w:rsidRPr="00D9348B">
        <w:rPr>
          <w:iCs/>
        </w:rPr>
        <w:t>Carbon Stocks and Changes in New Zealand’s Soils and Forests, and Implications of Post-2012 Accounting Options for Land-based Emissions Offsets and Mitigation Opportunities</w:t>
      </w:r>
      <w:r w:rsidRPr="00D9348B">
        <w:t>. Contract report prepared for the Ministry for the Environment.</w:t>
      </w:r>
    </w:p>
    <w:p w14:paraId="4166FAF4" w14:textId="77777777" w:rsidR="00A10636" w:rsidRPr="00D9348B" w:rsidRDefault="00A10636" w:rsidP="00A10636">
      <w:pPr>
        <w:pStyle w:val="References"/>
      </w:pPr>
      <w:r w:rsidRPr="00D9348B">
        <w:t xml:space="preserve">Knowles RL. 2005. Development of a productivity index for Douglas-fir. </w:t>
      </w:r>
      <w:r w:rsidRPr="00D9348B">
        <w:rPr>
          <w:i/>
          <w:iCs/>
        </w:rPr>
        <w:t>New Zealand Journal of Forestry</w:t>
      </w:r>
      <w:r w:rsidRPr="00D9348B">
        <w:t xml:space="preserve"> 50(2): 19–22.</w:t>
      </w:r>
    </w:p>
    <w:p w14:paraId="26B62E3F" w14:textId="77777777" w:rsidR="00A10636" w:rsidRPr="00D9348B" w:rsidRDefault="00A10636" w:rsidP="00A10636">
      <w:pPr>
        <w:pStyle w:val="References"/>
      </w:pPr>
      <w:r w:rsidRPr="00D9348B">
        <w:t xml:space="preserve">Lawrence-Smith EJ, Tregurtha CS, Beare MH. 2010. </w:t>
      </w:r>
      <w:r w:rsidRPr="00D9348B">
        <w:rPr>
          <w:i/>
          <w:iCs/>
        </w:rPr>
        <w:t>Land Management Index Data for use in New Zealand’s Soil Carbon Monitoring System</w:t>
      </w:r>
      <w:r w:rsidRPr="00D9348B">
        <w:t>. Contract report prepared by Plant and Food Research for the Ministry for the Environment. Contract report number: SPTS 4612. Wellington: Ministry for the Environment.</w:t>
      </w:r>
    </w:p>
    <w:p w14:paraId="3618E4EE" w14:textId="77777777" w:rsidR="00A10636" w:rsidRPr="00D9348B" w:rsidRDefault="00A10636" w:rsidP="00A10636">
      <w:pPr>
        <w:pStyle w:val="References"/>
      </w:pPr>
      <w:r w:rsidRPr="00D9348B">
        <w:t xml:space="preserve">Leathwick J, Morgan F, Wilson G, Rutledge D, McLeod M, Johnston K. 2002. </w:t>
      </w:r>
      <w:r w:rsidRPr="00D9348B">
        <w:rPr>
          <w:i/>
          <w:iCs/>
        </w:rPr>
        <w:t>Land Environments of New Zealand: A Technical Guide</w:t>
      </w:r>
      <w:r w:rsidRPr="00D9348B">
        <w:t>. Wellington: Ministry for the Environment.</w:t>
      </w:r>
    </w:p>
    <w:p w14:paraId="74134138" w14:textId="77777777" w:rsidR="00A10636" w:rsidRPr="00D9348B" w:rsidRDefault="00A10636" w:rsidP="00A10636">
      <w:pPr>
        <w:pStyle w:val="References"/>
      </w:pPr>
      <w:r w:rsidRPr="00D9348B">
        <w:t>Lilburne LR, Hewitt AE, Webb TW. 2012. Soil and informatics science combine to develop S</w:t>
      </w:r>
      <w:r w:rsidRPr="00D9348B">
        <w:noBreakHyphen/>
        <w:t xml:space="preserve">map: A new generation soil information system for New Zealand. </w:t>
      </w:r>
      <w:r w:rsidRPr="00D9348B">
        <w:rPr>
          <w:i/>
          <w:iCs/>
        </w:rPr>
        <w:t>Geoderma</w:t>
      </w:r>
      <w:r w:rsidRPr="00D9348B">
        <w:t xml:space="preserve"> 170: 232–238.</w:t>
      </w:r>
    </w:p>
    <w:p w14:paraId="21B9FB7B" w14:textId="77777777" w:rsidR="00A10636" w:rsidRPr="00D9348B" w:rsidRDefault="00A10636" w:rsidP="00A10636">
      <w:pPr>
        <w:pStyle w:val="References"/>
      </w:pPr>
      <w:r w:rsidRPr="00D9348B">
        <w:t xml:space="preserve">Manderson A, Hoogendoorn C, Newsome P. 2018. </w:t>
      </w:r>
      <w:r w:rsidRPr="00D9348B">
        <w:rPr>
          <w:i/>
        </w:rPr>
        <w:t>Grassland improvement mapping using Innovative Data Analysis (IDA) techniques</w:t>
      </w:r>
      <w:r w:rsidRPr="00D9348B">
        <w:t>. Contract report prepared for the Ministry for the Environment by Landcare Research New Zealand Ltd.</w:t>
      </w:r>
    </w:p>
    <w:p w14:paraId="76F15427" w14:textId="77777777" w:rsidR="00A10636" w:rsidRPr="00D9348B" w:rsidRDefault="00A10636" w:rsidP="00A10636">
      <w:pPr>
        <w:pStyle w:val="References"/>
      </w:pPr>
      <w:r w:rsidRPr="00D9348B">
        <w:t xml:space="preserve">Manley B. 2009. </w:t>
      </w:r>
      <w:r w:rsidRPr="00D9348B">
        <w:rPr>
          <w:i/>
          <w:iCs/>
        </w:rPr>
        <w:t>2008 Deforestation Intentions Survey</w:t>
      </w:r>
      <w:r w:rsidRPr="00D9348B">
        <w:t>. Contract report prepared for the Ministry of Agriculture and Forestry by New Zealand School of Forestry, University of Canterbury. Wellington: Ministry of Agriculture and Forestry.</w:t>
      </w:r>
    </w:p>
    <w:p w14:paraId="23365E65" w14:textId="77777777" w:rsidR="00A10636" w:rsidRPr="00D9348B" w:rsidRDefault="00A10636" w:rsidP="00A10636">
      <w:pPr>
        <w:pStyle w:val="References"/>
      </w:pPr>
      <w:r w:rsidRPr="00D9348B">
        <w:t xml:space="preserve">Manley B. 2019. </w:t>
      </w:r>
      <w:r w:rsidRPr="00D9348B">
        <w:rPr>
          <w:i/>
        </w:rPr>
        <w:t>Deforestation Intentions Survey</w:t>
      </w:r>
      <w:r w:rsidRPr="00D9348B">
        <w:t xml:space="preserve"> </w:t>
      </w:r>
      <w:r w:rsidRPr="00D9348B">
        <w:rPr>
          <w:i/>
        </w:rPr>
        <w:t>2018</w:t>
      </w:r>
      <w:r w:rsidRPr="00D9348B">
        <w:t>. Wellington: Ministry for Primary Industries.</w:t>
      </w:r>
    </w:p>
    <w:p w14:paraId="77D016D7" w14:textId="77777777" w:rsidR="00A10636" w:rsidRPr="00D9348B" w:rsidRDefault="00A10636" w:rsidP="00A10636">
      <w:pPr>
        <w:pStyle w:val="References"/>
      </w:pPr>
      <w:r w:rsidRPr="00D9348B">
        <w:t xml:space="preserve">Marcus R, Peritz E, Gabriel KR. 1976. On closed testing procedures with special reference to ordered analysis of variance. </w:t>
      </w:r>
      <w:r w:rsidRPr="00D9348B">
        <w:rPr>
          <w:i/>
          <w:iCs/>
        </w:rPr>
        <w:t xml:space="preserve">Biometrika </w:t>
      </w:r>
      <w:r w:rsidRPr="00D9348B">
        <w:t>63: 655–660.</w:t>
      </w:r>
    </w:p>
    <w:p w14:paraId="05092142" w14:textId="77777777" w:rsidR="00A10636" w:rsidRPr="00D9348B" w:rsidRDefault="00A10636" w:rsidP="00A10636">
      <w:pPr>
        <w:pStyle w:val="References"/>
      </w:pPr>
      <w:r w:rsidRPr="00D9348B">
        <w:t xml:space="preserve">McGaughey RJ. 2010. </w:t>
      </w:r>
      <w:r w:rsidRPr="00D9348B">
        <w:rPr>
          <w:i/>
          <w:iCs/>
        </w:rPr>
        <w:t>Fusion/LDV: Software for LiDAR Data Analysis and Visualisation.</w:t>
      </w:r>
      <w:r w:rsidRPr="00D9348B">
        <w:t xml:space="preserve"> Seattle: USDA Forest Service Pacific Northwest Research Station.</w:t>
      </w:r>
    </w:p>
    <w:p w14:paraId="4A4D8ADC" w14:textId="77777777" w:rsidR="00A10636" w:rsidRPr="00D9348B" w:rsidRDefault="00A10636" w:rsidP="00A10636">
      <w:pPr>
        <w:pStyle w:val="References"/>
      </w:pPr>
      <w:r w:rsidRPr="00D9348B">
        <w:t xml:space="preserve">McGlone MS. 2009. Postglacial history of New Zealand wetlands and implications for their conservation. </w:t>
      </w:r>
      <w:r w:rsidRPr="00D9348B">
        <w:rPr>
          <w:i/>
          <w:iCs/>
        </w:rPr>
        <w:t>New Zealand Journal of Ecology</w:t>
      </w:r>
      <w:r w:rsidRPr="00D9348B">
        <w:t xml:space="preserve"> 33: 1–23.</w:t>
      </w:r>
    </w:p>
    <w:p w14:paraId="1BD5085E" w14:textId="77777777" w:rsidR="00A10636" w:rsidRPr="00D9348B" w:rsidRDefault="00A10636" w:rsidP="00A10636">
      <w:pPr>
        <w:pStyle w:val="References"/>
      </w:pPr>
      <w:r w:rsidRPr="00D9348B">
        <w:t xml:space="preserve">McNeill SJ. </w:t>
      </w:r>
      <w:proofErr w:type="gramStart"/>
      <w:r w:rsidRPr="00D9348B">
        <w:t>Unpublished(</w:t>
      </w:r>
      <w:proofErr w:type="gramEnd"/>
      <w:r w:rsidRPr="00D9348B">
        <w:t xml:space="preserve">a). LC93 </w:t>
      </w:r>
      <w:r w:rsidRPr="00D9348B">
        <w:rPr>
          <w:iCs/>
        </w:rPr>
        <w:t>Soil CMS Model Recalibration and Uncertainty Analysis</w:t>
      </w:r>
      <w:r w:rsidRPr="00D9348B">
        <w:t>. Contract report prepared for the Ministry for the Environment by Landcare Research New Zealand Ltd.</w:t>
      </w:r>
    </w:p>
    <w:p w14:paraId="56AECDF2" w14:textId="77777777" w:rsidR="00A10636" w:rsidRPr="00D9348B" w:rsidRDefault="00A10636" w:rsidP="00A10636">
      <w:pPr>
        <w:pStyle w:val="References"/>
      </w:pPr>
      <w:r w:rsidRPr="00D9348B">
        <w:t xml:space="preserve">McNeill SJ. </w:t>
      </w:r>
      <w:proofErr w:type="gramStart"/>
      <w:r w:rsidRPr="00D9348B">
        <w:t>Unpublished(</w:t>
      </w:r>
      <w:proofErr w:type="gramEnd"/>
      <w:r w:rsidRPr="00D9348B">
        <w:t xml:space="preserve">b). LC975 </w:t>
      </w:r>
      <w:r w:rsidRPr="00D9348B">
        <w:rPr>
          <w:iCs/>
        </w:rPr>
        <w:t>Respecification and Reclassification of the MfE Soil CMS model</w:t>
      </w:r>
      <w:r w:rsidRPr="00D9348B">
        <w:t>. Contract report prepared for the Ministry for the Environment by Landcare Research New Zealand Ltd.</w:t>
      </w:r>
    </w:p>
    <w:p w14:paraId="0B1FA7EA" w14:textId="77777777" w:rsidR="00A10636" w:rsidRPr="00D9348B" w:rsidRDefault="00A10636" w:rsidP="00A10636">
      <w:pPr>
        <w:pStyle w:val="References"/>
      </w:pPr>
      <w:r w:rsidRPr="00D9348B">
        <w:t xml:space="preserve">McNeill SJ, Barringer JRF. Unpublished. </w:t>
      </w:r>
      <w:r w:rsidRPr="00D9348B">
        <w:rPr>
          <w:iCs/>
        </w:rPr>
        <w:t>Respecification and Reclassification of the 2013 MfE Soil CMS Model</w:t>
      </w:r>
      <w:r w:rsidRPr="00D9348B">
        <w:t>. Prepared for the Ministry for the Environment by Landcare Research New Zealand Ltd.</w:t>
      </w:r>
    </w:p>
    <w:p w14:paraId="58797E2B" w14:textId="77777777" w:rsidR="00A10636" w:rsidRPr="00D9348B" w:rsidRDefault="00A10636" w:rsidP="00A10636">
      <w:pPr>
        <w:pStyle w:val="References"/>
      </w:pPr>
      <w:r w:rsidRPr="00D9348B">
        <w:lastRenderedPageBreak/>
        <w:t xml:space="preserve">McNeill SJ, Barringer JRF, Forrester GJ. Unpublished. LC1650 </w:t>
      </w:r>
      <w:r w:rsidRPr="00D9348B">
        <w:rPr>
          <w:iCs/>
        </w:rPr>
        <w:t>Development, Refinement and Calibration of the MfE Soil CMS Model</w:t>
      </w:r>
      <w:r w:rsidRPr="00D9348B">
        <w:t>. Prepared for the Ministry for the Environment by Landcare Research New Zealand Ltd.</w:t>
      </w:r>
    </w:p>
    <w:p w14:paraId="47EA205F" w14:textId="77777777" w:rsidR="00A10636" w:rsidRPr="00D9348B" w:rsidRDefault="00A10636" w:rsidP="00A10636">
      <w:pPr>
        <w:pStyle w:val="References"/>
      </w:pPr>
      <w:r w:rsidRPr="00D9348B">
        <w:t xml:space="preserve">McNeill SJ, Golubiewski NE, Barringer J. 2014. Development and calibration of a soil carbon inventory model for New Zealand. </w:t>
      </w:r>
      <w:r w:rsidRPr="00D9348B">
        <w:rPr>
          <w:i/>
          <w:iCs/>
        </w:rPr>
        <w:t>Soil Research</w:t>
      </w:r>
      <w:r w:rsidRPr="00D9348B">
        <w:t xml:space="preserve"> 52: 789–804.</w:t>
      </w:r>
    </w:p>
    <w:p w14:paraId="7BE8B3CD" w14:textId="77777777" w:rsidR="00A10636" w:rsidRPr="00D9348B" w:rsidRDefault="00A10636" w:rsidP="00A10636">
      <w:pPr>
        <w:pStyle w:val="References"/>
      </w:pPr>
      <w:r w:rsidRPr="00D9348B">
        <w:t xml:space="preserve">Milne JDG, Clayden B, Singleton PL, Wilson AD. 1995. </w:t>
      </w:r>
      <w:r w:rsidRPr="00D9348B">
        <w:rPr>
          <w:i/>
          <w:iCs/>
        </w:rPr>
        <w:t>Soil Description Handbook</w:t>
      </w:r>
      <w:r w:rsidRPr="00D9348B">
        <w:t>. Lincoln: Manaaki Whenua Press.</w:t>
      </w:r>
    </w:p>
    <w:p w14:paraId="2946B0C4" w14:textId="77777777" w:rsidR="00A10636" w:rsidRPr="00D9348B" w:rsidRDefault="00A10636" w:rsidP="00A10636">
      <w:pPr>
        <w:pStyle w:val="References"/>
      </w:pPr>
      <w:r w:rsidRPr="00D9348B">
        <w:t xml:space="preserve">Ministry for Primary Industries. 2015a. </w:t>
      </w:r>
      <w:r w:rsidRPr="00D9348B">
        <w:rPr>
          <w:i/>
          <w:iCs/>
        </w:rPr>
        <w:t>Afforestation Grant Scheme</w:t>
      </w:r>
      <w:r w:rsidRPr="00D9348B">
        <w:t xml:space="preserve">. Wellington: Ministry for Primary Industries. Retrieved from </w:t>
      </w:r>
      <w:hyperlink r:id="rId230" w:history="1">
        <w:r w:rsidRPr="00D9348B">
          <w:rPr>
            <w:rStyle w:val="Hyperlink"/>
            <w:color w:val="auto"/>
          </w:rPr>
          <w:t>https://mpi.govt.nz/funding-and-programmes/forestry/afforestation-grant-scheme</w:t>
        </w:r>
      </w:hyperlink>
      <w:r w:rsidRPr="00D9348B">
        <w:t xml:space="preserve"> (20 November 2015).</w:t>
      </w:r>
    </w:p>
    <w:p w14:paraId="17F81B42" w14:textId="77777777" w:rsidR="00A10636" w:rsidRPr="00D9348B" w:rsidRDefault="00A10636" w:rsidP="00A10636">
      <w:pPr>
        <w:pStyle w:val="References"/>
      </w:pPr>
      <w:r w:rsidRPr="00D9348B">
        <w:t xml:space="preserve">Ministry for Primary Industries. 2015b. </w:t>
      </w:r>
      <w:proofErr w:type="gramStart"/>
      <w:r w:rsidRPr="00D9348B">
        <w:rPr>
          <w:i/>
          <w:iCs/>
        </w:rPr>
        <w:t>An</w:t>
      </w:r>
      <w:proofErr w:type="gramEnd"/>
      <w:r w:rsidRPr="00D9348B">
        <w:rPr>
          <w:i/>
          <w:iCs/>
        </w:rPr>
        <w:t xml:space="preserve"> overview of forestry in the emissions trading scheme</w:t>
      </w:r>
      <w:r w:rsidRPr="00D9348B">
        <w:t>. Retrieved from https://www.mpi.govt.nz/dmsdocument/6991/loggedIn (6 March 2019).</w:t>
      </w:r>
    </w:p>
    <w:p w14:paraId="243A7477" w14:textId="77777777" w:rsidR="00A10636" w:rsidRPr="00D9348B" w:rsidRDefault="00A10636" w:rsidP="00A10636">
      <w:pPr>
        <w:pStyle w:val="References"/>
        <w:rPr>
          <w:spacing w:val="-2"/>
        </w:rPr>
      </w:pPr>
      <w:r w:rsidRPr="00D9348B">
        <w:rPr>
          <w:spacing w:val="-2"/>
        </w:rPr>
        <w:t xml:space="preserve">Ministry for Primary Industries. 2015d. </w:t>
      </w:r>
      <w:r w:rsidRPr="00D9348B">
        <w:rPr>
          <w:i/>
          <w:spacing w:val="-2"/>
        </w:rPr>
        <w:t>Sustainable Management of New Zealand’s Forests: New Zealand’s Third Country Report on the Montreal Process Criteria and Indicators</w:t>
      </w:r>
      <w:r w:rsidRPr="00D9348B">
        <w:rPr>
          <w:spacing w:val="-2"/>
        </w:rPr>
        <w:t>. Retrieved from http://mpi.govt.nz/growing-and-producing/forestry/overview/montreal-process/ (23 February 2017).</w:t>
      </w:r>
    </w:p>
    <w:p w14:paraId="7192C9A0" w14:textId="77777777" w:rsidR="00A10636" w:rsidRPr="00D9348B" w:rsidRDefault="00A10636" w:rsidP="00A10636">
      <w:pPr>
        <w:pStyle w:val="References"/>
      </w:pPr>
      <w:r w:rsidRPr="00D9348B">
        <w:t xml:space="preserve">Ministry for Primary Industries. 2016. </w:t>
      </w:r>
      <w:r w:rsidRPr="00D9348B">
        <w:rPr>
          <w:i/>
          <w:iCs/>
        </w:rPr>
        <w:t>Material Flow and End-use of Harvested Wood Products Produced from New Zealand Log Exports</w:t>
      </w:r>
      <w:r w:rsidRPr="00D9348B">
        <w:t>. Wellington: Ministry for Primary Industries.</w:t>
      </w:r>
    </w:p>
    <w:p w14:paraId="274DFB82" w14:textId="12416D47" w:rsidR="00A10636" w:rsidRPr="00D9348B" w:rsidRDefault="00A10636" w:rsidP="00A10636">
      <w:pPr>
        <w:pStyle w:val="References"/>
      </w:pPr>
      <w:r w:rsidRPr="00D9348B">
        <w:t>Ministry for Primary Industries. 2018a</w:t>
      </w:r>
      <w:r w:rsidRPr="00D9348B">
        <w:rPr>
          <w:i/>
        </w:rPr>
        <w:t>. Forestry Production and Trade Statistics Detail the Production,</w:t>
      </w:r>
      <w:r w:rsidR="00EE75F1" w:rsidRPr="00D9348B">
        <w:rPr>
          <w:i/>
        </w:rPr>
        <w:t xml:space="preserve"> </w:t>
      </w:r>
      <w:r w:rsidRPr="00D9348B">
        <w:rPr>
          <w:i/>
        </w:rPr>
        <w:t>Trade, and Other Forestry Activities in New Zealand</w:t>
      </w:r>
      <w:r w:rsidRPr="00D9348B">
        <w:t xml:space="preserve">. Wellington: Ministry for Primary Industries. Retrieved from </w:t>
      </w:r>
      <w:hyperlink r:id="rId231" w:history="1">
        <w:r w:rsidRPr="00D9348B">
          <w:rPr>
            <w:rStyle w:val="Hyperlink"/>
            <w:color w:val="auto"/>
          </w:rPr>
          <w:t>https://mpi.govt.nz/news-and-resources/statistics-and-forecasting/forestry</w:t>
        </w:r>
      </w:hyperlink>
      <w:r w:rsidRPr="00D9348B">
        <w:t xml:space="preserve"> (25 October</w:t>
      </w:r>
      <w:r w:rsidR="00A97EF6" w:rsidRPr="00D9348B">
        <w:t> </w:t>
      </w:r>
      <w:r w:rsidRPr="00D9348B">
        <w:t>2019).</w:t>
      </w:r>
    </w:p>
    <w:p w14:paraId="75B671C8" w14:textId="77777777" w:rsidR="00A10636" w:rsidRPr="00D9348B" w:rsidRDefault="00A10636" w:rsidP="00A10636">
      <w:pPr>
        <w:pStyle w:val="References"/>
      </w:pPr>
      <w:r w:rsidRPr="00D9348B">
        <w:t xml:space="preserve">Ministry for Primary Industries. 2018b. </w:t>
      </w:r>
      <w:r w:rsidRPr="00D9348B">
        <w:rPr>
          <w:i/>
          <w:iCs/>
        </w:rPr>
        <w:t>National Exotic Forest Description as at 1 April 2018</w:t>
      </w:r>
      <w:r w:rsidRPr="00D9348B">
        <w:t>. Wellington: Ministry for Primary Industries.</w:t>
      </w:r>
    </w:p>
    <w:p w14:paraId="7337F166" w14:textId="77777777" w:rsidR="00A10636" w:rsidRPr="00D9348B" w:rsidRDefault="00A10636" w:rsidP="00A10636">
      <w:pPr>
        <w:pStyle w:val="References"/>
      </w:pPr>
      <w:r w:rsidRPr="00D9348B">
        <w:t xml:space="preserve">Ministry for the Environment. 2006. </w:t>
      </w:r>
      <w:r w:rsidRPr="00D9348B">
        <w:rPr>
          <w:i/>
          <w:iCs/>
        </w:rPr>
        <w:t>New Zealand’s Initial Report under the Kyoto Protocol</w:t>
      </w:r>
      <w:r w:rsidRPr="00D9348B">
        <w:t>. Wellington: Ministry for the Environment. Retrieved from www.mfe.govt.nz/publications/climate/new-zealands-initial-report-under-the-kyoto-protocol/index.html (14 July 2011).</w:t>
      </w:r>
    </w:p>
    <w:p w14:paraId="4434DE0D" w14:textId="77777777" w:rsidR="00A10636" w:rsidRPr="00D9348B" w:rsidRDefault="00A10636" w:rsidP="00A10636">
      <w:pPr>
        <w:pStyle w:val="References"/>
      </w:pPr>
      <w:r w:rsidRPr="00D9348B">
        <w:t xml:space="preserve">Ministry for the Environment. 2012. </w:t>
      </w:r>
      <w:r w:rsidRPr="00D9348B">
        <w:rPr>
          <w:i/>
        </w:rPr>
        <w:t>Land Use and Carbon Analysis System: Satellite imagery interpretation guide for land use classes</w:t>
      </w:r>
      <w:r w:rsidRPr="00D9348B">
        <w:t>. 2nd edn. Wellington: Ministry for the Environment.</w:t>
      </w:r>
    </w:p>
    <w:p w14:paraId="3B376646" w14:textId="77777777" w:rsidR="00A10636" w:rsidRPr="00D9348B" w:rsidRDefault="00A10636" w:rsidP="00A10636">
      <w:pPr>
        <w:pStyle w:val="References"/>
      </w:pPr>
      <w:r w:rsidRPr="00D9348B">
        <w:t>Ministry for the Environment. Unpublished. Land Use Carbon Analysis System Natural Forest Data Collection Manual.</w:t>
      </w:r>
    </w:p>
    <w:p w14:paraId="575B6531" w14:textId="77777777" w:rsidR="00A10636" w:rsidRPr="00D9348B" w:rsidRDefault="00A10636" w:rsidP="00A10636">
      <w:pPr>
        <w:pStyle w:val="References"/>
      </w:pPr>
      <w:r w:rsidRPr="00D9348B">
        <w:t xml:space="preserve">Ministry for the Environment and Stats NZ. 2017. </w:t>
      </w:r>
      <w:r w:rsidRPr="00D9348B">
        <w:rPr>
          <w:i/>
        </w:rPr>
        <w:t>New Zealand’s Environmental Reporting Series: Our fresh water 2017</w:t>
      </w:r>
      <w:r w:rsidRPr="00D9348B">
        <w:t xml:space="preserve">. Retrieved from </w:t>
      </w:r>
      <w:hyperlink r:id="rId232" w:history="1">
        <w:r w:rsidRPr="00D9348B">
          <w:t>www.mfe.govt.nz</w:t>
        </w:r>
      </w:hyperlink>
      <w:r w:rsidRPr="00D9348B">
        <w:t xml:space="preserve"> and www.stats.govt.nz.</w:t>
      </w:r>
    </w:p>
    <w:p w14:paraId="6845F9DE" w14:textId="77777777" w:rsidR="00A10636" w:rsidRPr="00D9348B" w:rsidRDefault="00A10636" w:rsidP="00A10636">
      <w:pPr>
        <w:pStyle w:val="References"/>
      </w:pPr>
      <w:r w:rsidRPr="00D9348B">
        <w:t>Moore JR, Goulding CJ. Unpublished. Sampling Methods and Associated Levels of Precision for a National Carbon Inventory in Planted Forests. Contract report prepared for Ministry for the Environment.</w:t>
      </w:r>
    </w:p>
    <w:p w14:paraId="5F8F9728" w14:textId="77777777" w:rsidR="00A10636" w:rsidRPr="00D9348B" w:rsidRDefault="00A10636" w:rsidP="00A10636">
      <w:pPr>
        <w:pStyle w:val="References"/>
      </w:pPr>
      <w:r w:rsidRPr="00D9348B">
        <w:t xml:space="preserve">National Institute of Water and Atmospheric Research. 2018. The impact of El Niño and La Niña on New Zealand’s climate. Retrieved from </w:t>
      </w:r>
      <w:hyperlink r:id="rId233" w:history="1">
        <w:r w:rsidRPr="00D9348B">
          <w:t>www.niwa.co.nz/climate/information-and-resources/elnino/elnino-impacts-on-newzealand</w:t>
        </w:r>
      </w:hyperlink>
      <w:r w:rsidRPr="00D9348B">
        <w:t xml:space="preserve"> (18 December 2018).</w:t>
      </w:r>
    </w:p>
    <w:p w14:paraId="22A6CDBF" w14:textId="77777777" w:rsidR="00A10636" w:rsidRPr="00D9348B" w:rsidRDefault="00A10636" w:rsidP="00A10636">
      <w:pPr>
        <w:pStyle w:val="References"/>
      </w:pPr>
      <w:r w:rsidRPr="00D9348B">
        <w:t xml:space="preserve">Newsome P, Shepherd J, Pairman D. 2013. </w:t>
      </w:r>
      <w:r w:rsidRPr="00D9348B">
        <w:rPr>
          <w:i/>
        </w:rPr>
        <w:t>Establishing New Zealand’s LUCAS Land Use and Land Use-Change and Forestry 2012 Map</w:t>
      </w:r>
      <w:r w:rsidRPr="00D9348B">
        <w:t>. Contract report prepared for the Ministry for the Environment by Landcare Research New Zealand Ltd.</w:t>
      </w:r>
    </w:p>
    <w:p w14:paraId="742FE7A8" w14:textId="77777777" w:rsidR="00A10636" w:rsidRPr="00D9348B" w:rsidRDefault="00A10636" w:rsidP="00A10636">
      <w:pPr>
        <w:pStyle w:val="References"/>
      </w:pPr>
      <w:r w:rsidRPr="00D9348B">
        <w:t xml:space="preserve">Newsome P, Shepherd J, Pairman D, Bellis S, Manderson A. 2018. </w:t>
      </w:r>
      <w:r w:rsidRPr="00D9348B">
        <w:rPr>
          <w:i/>
        </w:rPr>
        <w:t>Establishing New Zealand’s LUCAS 2016 Land Use Map</w:t>
      </w:r>
      <w:r w:rsidRPr="00D9348B">
        <w:t>. Contract report prepared for the Ministry for the Environment by Landcare Research New Zealand Ltd.</w:t>
      </w:r>
    </w:p>
    <w:p w14:paraId="6CD71EFA" w14:textId="77777777" w:rsidR="00A10636" w:rsidRPr="00D9348B" w:rsidRDefault="00A10636" w:rsidP="00A10636">
      <w:pPr>
        <w:pStyle w:val="References"/>
      </w:pPr>
      <w:r w:rsidRPr="00D9348B">
        <w:t xml:space="preserve">Newsome PF, Wilde RH, Willoughby EJ. 2008. </w:t>
      </w:r>
      <w:r w:rsidRPr="00D9348B">
        <w:rPr>
          <w:i/>
        </w:rPr>
        <w:t>Land Resource Information System Spatial Data Layers: Data Dictionary</w:t>
      </w:r>
      <w:r w:rsidRPr="00D9348B">
        <w:t>. Palmerston North: Landcare Research New Zealand Ltd.</w:t>
      </w:r>
    </w:p>
    <w:p w14:paraId="13CC3BE8" w14:textId="77777777" w:rsidR="00A10636" w:rsidRPr="00D9348B" w:rsidRDefault="00A10636" w:rsidP="00A10636">
      <w:pPr>
        <w:pStyle w:val="References"/>
      </w:pPr>
      <w:r w:rsidRPr="00D9348B">
        <w:lastRenderedPageBreak/>
        <w:t xml:space="preserve">Ogle SM, Breidt FJ, Easter M, Williams S, Paustian K. 2007. An empirically based approach for estimating uncertainty associated with modelling carbon sequestration in soils. </w:t>
      </w:r>
      <w:r w:rsidRPr="00D9348B">
        <w:rPr>
          <w:i/>
        </w:rPr>
        <w:t>Ecological Modelling</w:t>
      </w:r>
      <w:r w:rsidRPr="00D9348B">
        <w:t xml:space="preserve"> 205: 453–463.</w:t>
      </w:r>
    </w:p>
    <w:p w14:paraId="1D22FA17" w14:textId="77777777" w:rsidR="00A10636" w:rsidRPr="00D9348B" w:rsidRDefault="00A10636" w:rsidP="00A10636">
      <w:pPr>
        <w:pStyle w:val="References"/>
      </w:pPr>
      <w:r w:rsidRPr="00D9348B">
        <w:t xml:space="preserve">Paul TSH, Andersen C, Kimberley MO, Dash J, Beets PN. </w:t>
      </w:r>
      <w:proofErr w:type="gramStart"/>
      <w:r w:rsidRPr="00D9348B">
        <w:t>Unpublished(</w:t>
      </w:r>
      <w:proofErr w:type="gramEnd"/>
      <w:r w:rsidRPr="00D9348B">
        <w:t>a). Carbon Stock Changes in New Zealand’s Pre-1990 Planted Forests Based on a Periodic Ground Inventory. Contract report prepared for the Ministry for the Environment by the New Zealand Forest Research Institute Ltd (trading as Scion) in 2016.</w:t>
      </w:r>
    </w:p>
    <w:p w14:paraId="61E110C8" w14:textId="77777777" w:rsidR="00A10636" w:rsidRPr="00D9348B" w:rsidRDefault="00A10636" w:rsidP="00A10636">
      <w:pPr>
        <w:pStyle w:val="References"/>
      </w:pPr>
      <w:r w:rsidRPr="00D9348B">
        <w:t>Paul TSH, Dowling LJ. Unpublished. Audit of the LUCAS Natural Forest Plot Inventory 2018/2019. Contract report prepared for the Ministry for the Environment by the New Zealand Forest Research Institute Ltd (trading as Scion) in 2019.</w:t>
      </w:r>
    </w:p>
    <w:p w14:paraId="124DACFD" w14:textId="5EF75CE0" w:rsidR="00A10636" w:rsidRPr="00D9348B" w:rsidRDefault="00A10636" w:rsidP="00A10636">
      <w:pPr>
        <w:pStyle w:val="References"/>
      </w:pPr>
      <w:r w:rsidRPr="00D9348B">
        <w:t xml:space="preserve">Paul TSH, Kimberley MO, Beets PN. 2019. Thinking outside the square: Evidence that plot shape and layout in forest inventories can bias estimates of stand metrics. </w:t>
      </w:r>
      <w:r w:rsidRPr="00D9348B">
        <w:rPr>
          <w:i/>
        </w:rPr>
        <w:t xml:space="preserve">Methods in Ecology and Evolution </w:t>
      </w:r>
      <w:r w:rsidRPr="00D9348B">
        <w:t>10(3):</w:t>
      </w:r>
      <w:r w:rsidR="00A97EF6" w:rsidRPr="00D9348B">
        <w:t> </w:t>
      </w:r>
      <w:r w:rsidRPr="00D9348B">
        <w:t>381–388.</w:t>
      </w:r>
    </w:p>
    <w:p w14:paraId="48F221B4" w14:textId="77777777" w:rsidR="00A10636" w:rsidRPr="00D9348B" w:rsidRDefault="00A10636" w:rsidP="00A10636">
      <w:pPr>
        <w:pStyle w:val="References"/>
      </w:pPr>
      <w:r w:rsidRPr="00D9348B">
        <w:t xml:space="preserve">Paul TSH, Kimberley MO, Beets PN. </w:t>
      </w:r>
      <w:proofErr w:type="gramStart"/>
      <w:r w:rsidRPr="00D9348B">
        <w:t>Unpublished(</w:t>
      </w:r>
      <w:proofErr w:type="gramEnd"/>
      <w:r w:rsidRPr="00D9348B">
        <w:t>b). Carbon Stocks and Change in New Zealand’s Natural Forests: Estimates from the First Two Complete Inventory Cycles 2002–2007 and 2007–2014. Contract report prepared for the Ministry for the Environment by the New Zealand Forest Research Institute Ltd (trading as Scion) in 2019.</w:t>
      </w:r>
    </w:p>
    <w:p w14:paraId="0C03CE49" w14:textId="77777777" w:rsidR="00A10636" w:rsidRPr="00D9348B" w:rsidRDefault="00A10636" w:rsidP="00A10636">
      <w:pPr>
        <w:pStyle w:val="References"/>
      </w:pPr>
      <w:r w:rsidRPr="00D9348B">
        <w:t>Paul TSH, Kimberley MO, Beets PN. Unpublished(c). Post-1989 and Pre-1990 Planted Forest Carbon Yield Tables and Stock Changes. Contract report prepared for the Ministry for the Environment by the New Zealand Forest Research Institute Ltd (trading as Scion) in 2013.</w:t>
      </w:r>
    </w:p>
    <w:p w14:paraId="090D7C79" w14:textId="77777777" w:rsidR="00A10636" w:rsidRPr="00D9348B" w:rsidRDefault="00A10636" w:rsidP="00A10636">
      <w:pPr>
        <w:pStyle w:val="References"/>
      </w:pPr>
      <w:r w:rsidRPr="00D9348B">
        <w:t xml:space="preserve">Paul TSH, Kimberley MO, Dodunski C. </w:t>
      </w:r>
      <w:proofErr w:type="gramStart"/>
      <w:r w:rsidRPr="00D9348B">
        <w:t>Unpublished(</w:t>
      </w:r>
      <w:proofErr w:type="gramEnd"/>
      <w:r w:rsidRPr="00D9348B">
        <w:t>d). The 2018 NFI Plot Analysis Yield Tables and Carbon Stocks at Measurement. Contract report prepared for the Ministry for the Environment by New Zealand Forest Research Institute Ltd (trading as Scion) in 2019.</w:t>
      </w:r>
    </w:p>
    <w:p w14:paraId="656CD90A" w14:textId="77777777" w:rsidR="00A10636" w:rsidRPr="00D9348B" w:rsidRDefault="00A10636" w:rsidP="00A10636">
      <w:pPr>
        <w:pStyle w:val="References"/>
      </w:pPr>
      <w:r w:rsidRPr="00D9348B">
        <w:t xml:space="preserve">Paul TSH, Wakelin SJ, Kimberley MO, Beets PN. </w:t>
      </w:r>
      <w:proofErr w:type="gramStart"/>
      <w:r w:rsidRPr="00D9348B">
        <w:t>Unpublished(</w:t>
      </w:r>
      <w:proofErr w:type="gramEnd"/>
      <w:r w:rsidRPr="00D9348B">
        <w:t>e). Stocked Plantation Area in Mapped Post-1989 and Pre-1990 Forests, and Associated Crop Yield Tables and CRA Simulation Input Data. Contract report prepared for the Ministry for the Environment by New Zealand Forest Research Institute Ltd (trading as Scion) in 2014.</w:t>
      </w:r>
    </w:p>
    <w:p w14:paraId="1BCF3F7C" w14:textId="77777777" w:rsidR="00A10636" w:rsidRPr="00D9348B" w:rsidRDefault="00A10636" w:rsidP="00A10636">
      <w:pPr>
        <w:pStyle w:val="References"/>
      </w:pPr>
      <w:r w:rsidRPr="00D9348B">
        <w:t>Payton IJ, Beets PN, Wilde H, Beadel S. Unpublished. CMS: Progress Report on Fieldwork Contract (03/04-0226-L) for the Period to 15 February 2004. Contract report prepared for the Ministry for the Environment by Landcare Research New Zealand Limited and New Zealand Forest Research Ltd.</w:t>
      </w:r>
    </w:p>
    <w:p w14:paraId="78C32C45" w14:textId="77777777" w:rsidR="00A10636" w:rsidRPr="00D9348B" w:rsidRDefault="00A10636" w:rsidP="00A10636">
      <w:pPr>
        <w:pStyle w:val="References"/>
      </w:pPr>
      <w:r w:rsidRPr="00D9348B" w:rsidDel="00EA06F5">
        <w:t>Payton IJ, Newell CL, Beets PN</w:t>
      </w:r>
      <w:r w:rsidRPr="00D9348B">
        <w:t>.</w:t>
      </w:r>
      <w:r w:rsidRPr="00D9348B" w:rsidDel="00EA06F5">
        <w:t xml:space="preserve"> 2004. </w:t>
      </w:r>
      <w:r w:rsidRPr="00D9348B" w:rsidDel="00EA06F5">
        <w:rPr>
          <w:i/>
        </w:rPr>
        <w:t>New Zealand Carbon Monitoring System Indigenous Forest and Shrubland Data Collection Manual</w:t>
      </w:r>
      <w:r w:rsidRPr="00D9348B" w:rsidDel="00EA06F5">
        <w:t>. Christchurch: Caxton Press.</w:t>
      </w:r>
    </w:p>
    <w:p w14:paraId="7286440E" w14:textId="77777777" w:rsidR="00A10636" w:rsidRPr="00D9348B" w:rsidDel="00EA06F5" w:rsidRDefault="00A10636" w:rsidP="00A10636">
      <w:pPr>
        <w:pStyle w:val="References"/>
      </w:pPr>
      <w:r w:rsidRPr="00D9348B">
        <w:t xml:space="preserve">Payton IJ, Pearce HG. 2009. </w:t>
      </w:r>
      <w:r w:rsidRPr="00D9348B">
        <w:rPr>
          <w:i/>
        </w:rPr>
        <w:t>Fire-induced Changes to the Vegetation of Tall-tussock (Chionochloa rigida) Grassland Ecosystems.</w:t>
      </w:r>
      <w:r w:rsidRPr="00D9348B">
        <w:t xml:space="preserve"> Science for Conservation 290. Wellington: Department of Conservation.</w:t>
      </w:r>
    </w:p>
    <w:p w14:paraId="23EDC9FE" w14:textId="77777777" w:rsidR="00A10636" w:rsidRPr="00D9348B" w:rsidRDefault="00A10636" w:rsidP="00A10636">
      <w:pPr>
        <w:pStyle w:val="References"/>
      </w:pPr>
      <w:r w:rsidRPr="00D9348B">
        <w:t xml:space="preserve">Poyry Management Consulting (NZ) Ltd. Unpublished. Accuracy Assessment of LUCAS 2012 Land Use Map. Contract report prepared for the Ministry for the Environment. </w:t>
      </w:r>
    </w:p>
    <w:p w14:paraId="746AE751" w14:textId="77777777" w:rsidR="00A10636" w:rsidRPr="00D9348B" w:rsidRDefault="00A10636" w:rsidP="00A10636">
      <w:pPr>
        <w:pStyle w:val="References"/>
      </w:pPr>
      <w:r w:rsidRPr="00D9348B">
        <w:t>PricewaterhouseCoopers. Unpublished. LUCAS Data Quality Framework. Contract report prepared for the Ministry for the Environment.</w:t>
      </w:r>
    </w:p>
    <w:p w14:paraId="44390AA8" w14:textId="77777777" w:rsidR="00A10636" w:rsidRPr="00D9348B" w:rsidRDefault="00A10636" w:rsidP="00A10636">
      <w:pPr>
        <w:pStyle w:val="References"/>
      </w:pPr>
      <w:r w:rsidRPr="00D9348B">
        <w:t xml:space="preserve">Rhodes D, Novis J. 2002. </w:t>
      </w:r>
      <w:r w:rsidRPr="00D9348B">
        <w:rPr>
          <w:i/>
        </w:rPr>
        <w:t>The Impact of Incentives on the Development of Plantation Forest Resources in New Zealand</w:t>
      </w:r>
      <w:r w:rsidRPr="00D9348B">
        <w:t>. MAF information paper no 45. MAF policy division. Wellington: Ministry of Agriculture and Forestry.</w:t>
      </w:r>
    </w:p>
    <w:p w14:paraId="5B5AAF2A" w14:textId="77777777" w:rsidR="00A10636" w:rsidRPr="00D9348B" w:rsidRDefault="00A10636" w:rsidP="00A10636">
      <w:pPr>
        <w:pStyle w:val="References"/>
      </w:pPr>
      <w:r w:rsidRPr="00D9348B">
        <w:t xml:space="preserve">Robertson KA. 1998. Loss of organic matter and carbon during slash burns in New Zealand exotic forests. </w:t>
      </w:r>
      <w:r w:rsidRPr="00D9348B">
        <w:rPr>
          <w:i/>
        </w:rPr>
        <w:t>New Zealand Journal of Forestry Science</w:t>
      </w:r>
      <w:r w:rsidRPr="00D9348B">
        <w:t xml:space="preserve"> 28(2): 221–241.</w:t>
      </w:r>
    </w:p>
    <w:p w14:paraId="40FEB9D2" w14:textId="77777777" w:rsidR="00A10636" w:rsidRPr="00D9348B" w:rsidRDefault="00A10636" w:rsidP="00A10636">
      <w:pPr>
        <w:pStyle w:val="References"/>
      </w:pPr>
      <w:r w:rsidRPr="00D9348B">
        <w:t xml:space="preserve">Scott NA, Tate KR, Giltrap DJ, Tattersall SC, Wilde RH, Newsome P, Davis MR. 2002. Monitoring land-use change effects on soil carbon in New Zealand: Quantifying baseline soil carbon stocks. </w:t>
      </w:r>
      <w:r w:rsidRPr="00D9348B">
        <w:rPr>
          <w:i/>
        </w:rPr>
        <w:t>Environmental Pollution</w:t>
      </w:r>
      <w:r w:rsidRPr="00D9348B">
        <w:t xml:space="preserve"> 116: S167–186.</w:t>
      </w:r>
    </w:p>
    <w:p w14:paraId="072B85C8" w14:textId="77777777" w:rsidR="00A10636" w:rsidRPr="00D9348B" w:rsidRDefault="00A10636" w:rsidP="00A10636">
      <w:pPr>
        <w:pStyle w:val="References"/>
      </w:pPr>
      <w:r w:rsidRPr="00D9348B">
        <w:t>Shepherd JD, Bunting P, Dymond JR. 2013. Segmentation of imagery based on iterative elimination.</w:t>
      </w:r>
      <w:r w:rsidRPr="00D9348B">
        <w:rPr>
          <w:i/>
        </w:rPr>
        <w:t xml:space="preserve"> Remote Sensing of Environment</w:t>
      </w:r>
      <w:r w:rsidRPr="00D9348B">
        <w:rPr>
          <w:iCs/>
        </w:rPr>
        <w:t xml:space="preserve">. </w:t>
      </w:r>
      <w:r w:rsidRPr="00D9348B">
        <w:t>(Manuscript in preparation.)</w:t>
      </w:r>
    </w:p>
    <w:p w14:paraId="2BB810FD" w14:textId="77777777" w:rsidR="00A10636" w:rsidRPr="00D9348B" w:rsidRDefault="00A10636" w:rsidP="00A10636">
      <w:pPr>
        <w:pStyle w:val="References"/>
      </w:pPr>
      <w:r w:rsidRPr="00D9348B">
        <w:lastRenderedPageBreak/>
        <w:t xml:space="preserve">Shepherd JD, Dymond JR. 2003. Correcting satellite imagery for the variance of reflectance and illumination with topography. </w:t>
      </w:r>
      <w:r w:rsidRPr="00D9348B">
        <w:rPr>
          <w:i/>
        </w:rPr>
        <w:t>International Journal of Remote Sensing</w:t>
      </w:r>
      <w:r w:rsidRPr="00D9348B">
        <w:t xml:space="preserve"> 24: 3503–3514.</w:t>
      </w:r>
    </w:p>
    <w:p w14:paraId="4F7090C0" w14:textId="77777777" w:rsidR="00A10636" w:rsidRPr="00D9348B" w:rsidRDefault="00A10636" w:rsidP="00A10636">
      <w:pPr>
        <w:pStyle w:val="References"/>
      </w:pPr>
      <w:r w:rsidRPr="00D9348B">
        <w:t xml:space="preserve">Shepherd JD, Newsome P. </w:t>
      </w:r>
      <w:proofErr w:type="gramStart"/>
      <w:r w:rsidRPr="00D9348B">
        <w:t>Unpublished(</w:t>
      </w:r>
      <w:proofErr w:type="gramEnd"/>
      <w:r w:rsidRPr="00D9348B">
        <w:t>a). Establishing New Zealand’s Kyoto Land Use and Land-use change and Forestry 1990 Map. Contract report prepared for the Ministry for the Environment.</w:t>
      </w:r>
    </w:p>
    <w:p w14:paraId="2C6E0399" w14:textId="77777777" w:rsidR="00A10636" w:rsidRPr="00D9348B" w:rsidRDefault="00A10636" w:rsidP="00A10636">
      <w:pPr>
        <w:pStyle w:val="References"/>
      </w:pPr>
      <w:r w:rsidRPr="00D9348B">
        <w:t xml:space="preserve">Shepherd JD, Newsome P. </w:t>
      </w:r>
      <w:proofErr w:type="gramStart"/>
      <w:r w:rsidRPr="00D9348B">
        <w:t>Unpublished(</w:t>
      </w:r>
      <w:proofErr w:type="gramEnd"/>
      <w:r w:rsidRPr="00D9348B">
        <w:t>b). Establishing New Zealand’s Kyoto Land Use and Land-use change and Forestry 2008 Map. Contract report prepared for the Ministry for the Environment.</w:t>
      </w:r>
    </w:p>
    <w:p w14:paraId="138CC300" w14:textId="77777777" w:rsidR="00A10636" w:rsidRPr="00D9348B" w:rsidRDefault="00A10636" w:rsidP="00A10636">
      <w:pPr>
        <w:pStyle w:val="References"/>
        <w:rPr>
          <w:sz w:val="24"/>
        </w:rPr>
      </w:pPr>
      <w:r w:rsidRPr="00D9348B">
        <w:t xml:space="preserve">Stephens PR, McGaughey RJ, Dougherty T, Farrier T, Geard BV, Loubser D. 2008. Quality assurance and quality control procedures of airborne scanning LiDAR for a nation-wide carbon inventory of planted forests. In: </w:t>
      </w:r>
      <w:r w:rsidRPr="00D9348B">
        <w:rPr>
          <w:i/>
          <w:iCs/>
        </w:rPr>
        <w:t>Proceedings of SilviLaser 2008: 8th International Conference on LiDAR Applications in Forest Assessment and Inventory</w:t>
      </w:r>
      <w:r w:rsidRPr="00D9348B">
        <w:t>. Edinburgh.</w:t>
      </w:r>
    </w:p>
    <w:p w14:paraId="1A21963E" w14:textId="77777777" w:rsidR="00A10636" w:rsidRPr="00D9348B" w:rsidRDefault="00A10636" w:rsidP="00A10636">
      <w:pPr>
        <w:pStyle w:val="References"/>
      </w:pPr>
      <w:r w:rsidRPr="00D9348B">
        <w:t xml:space="preserve">Tate KR, Barton JP, Trustrum NA, Baisden WT, Saggar S, Wilde RH, Giltrap DJ, Scott NA. 2003a. Monitoring and modelling soil organic carbon stocks and flows in New Zealand. In: CA Scott-Smith (ed.) </w:t>
      </w:r>
      <w:r w:rsidRPr="00D9348B">
        <w:rPr>
          <w:i/>
          <w:iCs/>
        </w:rPr>
        <w:t>Soil Organic Carbon and Agriculture: Developing Indicators for Policy Analysis. Proceedings of an OECD Expert Meeting, Ottawa, ON.</w:t>
      </w:r>
      <w:r w:rsidRPr="00D9348B">
        <w:t xml:space="preserve"> France: Agriculture and Agri-Food Canada and Organisation for Economic Co-operation and Development.</w:t>
      </w:r>
    </w:p>
    <w:p w14:paraId="158D87B1" w14:textId="346F8E34" w:rsidR="00A10636" w:rsidRPr="00D9348B" w:rsidRDefault="00A10636" w:rsidP="00A10636">
      <w:pPr>
        <w:pStyle w:val="References"/>
      </w:pPr>
      <w:r w:rsidRPr="00D9348B">
        <w:t xml:space="preserve">Tate KR, Scott NA, Saggar S, Giltrap DJ, Baisden WT, Newsome PF, Trotter CM, Wilde RH. 2003b. Land-use change alters New Zealand’s terrestrial carbon budget: Uncertainties associated with estimates of soil carbon change </w:t>
      </w:r>
      <w:proofErr w:type="gramStart"/>
      <w:r w:rsidRPr="00D9348B">
        <w:t>between 1990–2000</w:t>
      </w:r>
      <w:proofErr w:type="gramEnd"/>
      <w:r w:rsidRPr="00D9348B">
        <w:t xml:space="preserve">. </w:t>
      </w:r>
      <w:r w:rsidRPr="00D9348B">
        <w:rPr>
          <w:i/>
          <w:iCs/>
        </w:rPr>
        <w:t>Tellus, Series B: Chemical and Physical Meteorology</w:t>
      </w:r>
      <w:r w:rsidRPr="00D9348B">
        <w:t xml:space="preserve"> 55(2):</w:t>
      </w:r>
      <w:r w:rsidR="00A97EF6" w:rsidRPr="00D9348B">
        <w:t> </w:t>
      </w:r>
      <w:r w:rsidRPr="00D9348B">
        <w:t>364–377.</w:t>
      </w:r>
    </w:p>
    <w:p w14:paraId="719B497F" w14:textId="77777777" w:rsidR="00A10636" w:rsidRPr="00D9348B" w:rsidRDefault="00A10636" w:rsidP="00A10636">
      <w:pPr>
        <w:pStyle w:val="References"/>
      </w:pPr>
      <w:r w:rsidRPr="00D9348B">
        <w:t xml:space="preserve">Tate KR, Wilde RH, Giltrap DJ, Baisden WT, Saggar S, Trustrum NA, Scott NA. 2004. Current approaches to soil carbon monitoring in New Zealand. In: </w:t>
      </w:r>
      <w:r w:rsidRPr="00D9348B">
        <w:rPr>
          <w:i/>
          <w:iCs/>
        </w:rPr>
        <w:t>SuperSoil 2004: Proceedings of the 3rd Australian New Zealand Soils Conference</w:t>
      </w:r>
      <w:r w:rsidRPr="00D9348B">
        <w:t xml:space="preserve">, 5–9 December 2004, Sydney, University of Sydney, Australia. Retrieved from </w:t>
      </w:r>
      <w:hyperlink r:id="rId234" w:history="1">
        <w:r w:rsidRPr="00D9348B">
          <w:rPr>
            <w:rStyle w:val="Hyperlink"/>
            <w:color w:val="auto"/>
          </w:rPr>
          <w:t>www.regional.org.au/au/asssi/supersoil2004 (27</w:t>
        </w:r>
      </w:hyperlink>
      <w:r w:rsidRPr="00D9348B">
        <w:t xml:space="preserve"> February 2018).</w:t>
      </w:r>
    </w:p>
    <w:p w14:paraId="6D5F6FD1" w14:textId="77777777" w:rsidR="00A10636" w:rsidRPr="00D9348B" w:rsidRDefault="00A10636" w:rsidP="00A10636">
      <w:pPr>
        <w:pStyle w:val="References"/>
      </w:pPr>
      <w:r w:rsidRPr="00D9348B">
        <w:t xml:space="preserve">Tate KR, Wilde RH, Giltrap DJ, Baisden WT, Saggar S, Trustrum NA, Scott NA, Barton JP. 2005. Soil organic carbon stocks and flows in New Zealand: System development, measurement and modelling. </w:t>
      </w:r>
      <w:r w:rsidRPr="00D9348B">
        <w:rPr>
          <w:i/>
          <w:iCs/>
        </w:rPr>
        <w:t>Canadian Journal of Soil Science</w:t>
      </w:r>
      <w:r w:rsidRPr="00D9348B">
        <w:t xml:space="preserve"> 85(4): 481–489.</w:t>
      </w:r>
    </w:p>
    <w:p w14:paraId="01518750" w14:textId="77777777" w:rsidR="00A10636" w:rsidRPr="00D9348B" w:rsidRDefault="00A10636" w:rsidP="00A10636">
      <w:pPr>
        <w:pStyle w:val="References"/>
      </w:pPr>
      <w:r w:rsidRPr="00D9348B">
        <w:t xml:space="preserve">Taylor NH, Pohlen IJ. 1962. </w:t>
      </w:r>
      <w:r w:rsidRPr="00D9348B">
        <w:rPr>
          <w:i/>
          <w:iCs/>
        </w:rPr>
        <w:t>Soil Survey Method: A New Zealand Handbook for the Field Study of Soils.</w:t>
      </w:r>
      <w:r w:rsidRPr="00D9348B">
        <w:t xml:space="preserve"> Lower Hutt: New Zealand Soil Bureau.</w:t>
      </w:r>
    </w:p>
    <w:p w14:paraId="2FC0A835" w14:textId="77777777" w:rsidR="00A10636" w:rsidRPr="00D9348B" w:rsidRDefault="00A10636" w:rsidP="00A10636">
      <w:pPr>
        <w:pStyle w:val="References"/>
      </w:pPr>
      <w:r w:rsidRPr="00D9348B">
        <w:t xml:space="preserve">Te Uru Rākau. 2018. </w:t>
      </w:r>
      <w:r w:rsidRPr="00D9348B">
        <w:rPr>
          <w:i/>
        </w:rPr>
        <w:t>One Billion Trees Fund.</w:t>
      </w:r>
      <w:r w:rsidRPr="00D9348B">
        <w:t xml:space="preserve"> Wellington: Te Uru Rākau. Retrieved from www.mpi.govt.nz/funding-and-programmes/forestry/planting-one-billion-trees/one-billion-tree-fund (5 February 2019).</w:t>
      </w:r>
    </w:p>
    <w:p w14:paraId="0D01D02D" w14:textId="77777777" w:rsidR="00A10636" w:rsidRPr="00D9348B" w:rsidRDefault="00A10636" w:rsidP="00A10636">
      <w:pPr>
        <w:pStyle w:val="References"/>
      </w:pPr>
      <w:r w:rsidRPr="00D9348B">
        <w:t xml:space="preserve">Thomas S, Hume E, Fraser T, Curtin D. 2011. </w:t>
      </w:r>
      <w:r w:rsidRPr="00D9348B">
        <w:rPr>
          <w:i/>
        </w:rPr>
        <w:t>Factors and Activity Data to Estimate Nitrous Oxide Emissions from Cropping Systems, and Stubble and Tussock Burning</w:t>
      </w:r>
      <w:r w:rsidRPr="00D9348B">
        <w:t>. Report prepared for the Ministry of Agriculture and Forestry by Plant and Food Research (formerly Crop and Food Research) technical paper no. 2012/16. Wellington: Ministry of Agriculture and Forestry.</w:t>
      </w:r>
    </w:p>
    <w:p w14:paraId="199C01F0" w14:textId="77777777" w:rsidR="00A10636" w:rsidRPr="00D9348B" w:rsidRDefault="00A10636" w:rsidP="00A10636">
      <w:pPr>
        <w:pStyle w:val="References"/>
      </w:pPr>
      <w:r w:rsidRPr="00D9348B">
        <w:t xml:space="preserve">Thompson S, Gruner I, Gapare N. 2004. </w:t>
      </w:r>
      <w:r w:rsidRPr="00D9348B">
        <w:rPr>
          <w:i/>
          <w:iCs/>
        </w:rPr>
        <w:t>New Zealand Land Cover Database Version 2: Illustrated guide to target classes</w:t>
      </w:r>
      <w:r w:rsidRPr="00D9348B">
        <w:t>. Report prepared for the Ministry for the Environment. Wellington: Ministry for the Environment.</w:t>
      </w:r>
    </w:p>
    <w:p w14:paraId="11031D22" w14:textId="77777777" w:rsidR="00A10636" w:rsidRPr="00D9348B" w:rsidRDefault="00A10636" w:rsidP="00A10636">
      <w:pPr>
        <w:pStyle w:val="References"/>
      </w:pPr>
      <w:r w:rsidRPr="00D9348B">
        <w:t xml:space="preserve">Trotter C, MacKay A. Unpublished. </w:t>
      </w:r>
      <w:r w:rsidRPr="00D9348B">
        <w:rPr>
          <w:iCs/>
        </w:rPr>
        <w:t>Potential Forest Land</w:t>
      </w:r>
      <w:r w:rsidRPr="00D9348B">
        <w:t>. Landcare Research New Zealand Ltd Contract Report: 04/05-0410-L.</w:t>
      </w:r>
    </w:p>
    <w:p w14:paraId="3F816161" w14:textId="77777777" w:rsidR="00A10636" w:rsidRPr="00D9348B" w:rsidRDefault="00A10636" w:rsidP="00A10636">
      <w:pPr>
        <w:pStyle w:val="References"/>
      </w:pPr>
      <w:r w:rsidRPr="00D9348B">
        <w:t>UNFCCC. 2006</w:t>
      </w:r>
      <w:r w:rsidRPr="00D9348B">
        <w:rPr>
          <w:i/>
        </w:rPr>
        <w:t>. Report of the Conference of the Parties serving as the meeting of the Parties to the Kyoto Protocol on its first session, held at Montreal from 28 November to 10 December 2005: Addendum – Part 2: Action taken by the Conference of the Parties serving as the meeting of the Parties to the Kyoto Protocol at its first session</w:t>
      </w:r>
      <w:r w:rsidRPr="00D9348B">
        <w:t>. FCCC/KP/CMP/2005/8/Add.3.</w:t>
      </w:r>
    </w:p>
    <w:p w14:paraId="61819506" w14:textId="77777777" w:rsidR="00A10636" w:rsidRPr="00D9348B" w:rsidRDefault="00A10636" w:rsidP="00A10636">
      <w:pPr>
        <w:pStyle w:val="References"/>
      </w:pPr>
      <w:r w:rsidRPr="00D9348B">
        <w:t>UNFCCC. 2014</w:t>
      </w:r>
      <w:r w:rsidRPr="00D9348B">
        <w:rPr>
          <w:i/>
        </w:rPr>
        <w:t>. Report of the Conference of the Parties on its nineteenth session, held in Warsaw from 11 to 23 November 2013: Addendum – Part 2: Action taken by the Conference of the Parties at its nineteenth session</w:t>
      </w:r>
      <w:r w:rsidRPr="00D9348B">
        <w:t>. FCCC/CP/2013/10/Add.3.</w:t>
      </w:r>
    </w:p>
    <w:p w14:paraId="433EF3FA" w14:textId="77777777" w:rsidR="00A10636" w:rsidRPr="00D9348B" w:rsidRDefault="00A10636" w:rsidP="00A97EF6">
      <w:pPr>
        <w:pStyle w:val="References"/>
        <w:keepLines/>
      </w:pPr>
      <w:r w:rsidRPr="00D9348B">
        <w:lastRenderedPageBreak/>
        <w:t xml:space="preserve">Wakelin SJ. </w:t>
      </w:r>
      <w:proofErr w:type="gramStart"/>
      <w:r w:rsidRPr="00D9348B">
        <w:t>Unpublished(</w:t>
      </w:r>
      <w:proofErr w:type="gramEnd"/>
      <w:r w:rsidRPr="00D9348B">
        <w:t>a). Scientific research underpinning New Zealand’s carbon inventory in planted forests. Objective 9 – UNFCCC planted forest carbon inventory methodology. Milestone 2 – Review of shrubland clearance assumptions in the national carbon inventory. Contract report prepared for the Ministry for the Environment by New Zealand Forest Research Institute Ltd (trading as Scion) in 2004.</w:t>
      </w:r>
    </w:p>
    <w:p w14:paraId="61228DC4" w14:textId="2D47B2C3" w:rsidR="00A10636" w:rsidRPr="00D9348B" w:rsidRDefault="00A10636" w:rsidP="00A10636">
      <w:pPr>
        <w:pStyle w:val="References"/>
      </w:pPr>
      <w:r w:rsidRPr="00D9348B">
        <w:t xml:space="preserve">Wakelin SJ. </w:t>
      </w:r>
      <w:proofErr w:type="gramStart"/>
      <w:r w:rsidRPr="00D9348B">
        <w:t>Unpublished(</w:t>
      </w:r>
      <w:proofErr w:type="gramEnd"/>
      <w:r w:rsidRPr="00D9348B">
        <w:t xml:space="preserve">b). </w:t>
      </w:r>
      <w:r w:rsidRPr="00D9348B">
        <w:rPr>
          <w:iCs/>
        </w:rPr>
        <w:t>Review of LULUCF Biomass Burning Assumptions in New Zealand’s Greenhouse Gas Inventory</w:t>
      </w:r>
      <w:r w:rsidRPr="00D9348B">
        <w:t>. Contract report prepared for the Ministry for the Environment by Ensis</w:t>
      </w:r>
      <w:r w:rsidR="00A97EF6" w:rsidRPr="00D9348B">
        <w:t> </w:t>
      </w:r>
      <w:r w:rsidRPr="00D9348B">
        <w:t>in 2006.</w:t>
      </w:r>
    </w:p>
    <w:p w14:paraId="05A59124" w14:textId="01ADB270" w:rsidR="00A10636" w:rsidRPr="00D9348B" w:rsidRDefault="00A10636" w:rsidP="00A10636">
      <w:pPr>
        <w:pStyle w:val="References"/>
        <w:keepLines/>
      </w:pPr>
      <w:r w:rsidRPr="00D9348B">
        <w:t xml:space="preserve">Wakelin SJ. Unpublished(c). </w:t>
      </w:r>
      <w:r w:rsidRPr="00D9348B">
        <w:rPr>
          <w:iCs/>
        </w:rPr>
        <w:t>Carbon Inventory of New Zealand’s Planted Forests – Calculations revised in</w:t>
      </w:r>
      <w:r w:rsidR="00A97EF6" w:rsidRPr="00D9348B">
        <w:rPr>
          <w:iCs/>
        </w:rPr>
        <w:t> </w:t>
      </w:r>
      <w:r w:rsidRPr="00D9348B">
        <w:rPr>
          <w:iCs/>
        </w:rPr>
        <w:t>October 2008 for New Zealand’s 2007 Greenhouse Gas Inventory</w:t>
      </w:r>
      <w:r w:rsidRPr="00D9348B">
        <w:t>. Contract report prepared for the Ministry of Agriculture and Forestry by New Zealand Forest Research Institute Ltd (trading as Scion) in 2008.</w:t>
      </w:r>
    </w:p>
    <w:p w14:paraId="3BBDCC00" w14:textId="77777777" w:rsidR="00A10636" w:rsidRPr="00D9348B" w:rsidRDefault="00A10636" w:rsidP="00A10636">
      <w:pPr>
        <w:pStyle w:val="References"/>
      </w:pPr>
      <w:r w:rsidRPr="00D9348B">
        <w:t xml:space="preserve">Wakelin SJ. </w:t>
      </w:r>
      <w:proofErr w:type="gramStart"/>
      <w:r w:rsidRPr="00D9348B">
        <w:t>Unpublished(</w:t>
      </w:r>
      <w:proofErr w:type="gramEnd"/>
      <w:r w:rsidRPr="00D9348B">
        <w:t xml:space="preserve">d). </w:t>
      </w:r>
      <w:r w:rsidRPr="00D9348B">
        <w:rPr>
          <w:iCs/>
        </w:rPr>
        <w:t>Apportioning Wildfire Emissions to Forest Sub-categories in the National Greenhouse Gas Inventory</w:t>
      </w:r>
      <w:r w:rsidRPr="00D9348B">
        <w:t>. Contract report prepared for the Ministry for the Environment by New Zealand Forest Research Institute Ltd (trading as Scion) in 2011.</w:t>
      </w:r>
    </w:p>
    <w:p w14:paraId="7B47DF22" w14:textId="77777777" w:rsidR="00A10636" w:rsidRPr="00D9348B" w:rsidRDefault="00A10636" w:rsidP="00A10636">
      <w:pPr>
        <w:pStyle w:val="References"/>
      </w:pPr>
      <w:r w:rsidRPr="00D9348B">
        <w:t xml:space="preserve">Wakelin SJ. </w:t>
      </w:r>
      <w:proofErr w:type="gramStart"/>
      <w:r w:rsidRPr="00D9348B">
        <w:t>Unpublished(</w:t>
      </w:r>
      <w:proofErr w:type="gramEnd"/>
      <w:r w:rsidRPr="00D9348B">
        <w:t xml:space="preserve">e). </w:t>
      </w:r>
      <w:r w:rsidRPr="00D9348B">
        <w:rPr>
          <w:iCs/>
        </w:rPr>
        <w:t>Controlled Biomass Burning Emissions for the 2011 Greenhouse Gas Inventory</w:t>
      </w:r>
      <w:r w:rsidRPr="00D9348B">
        <w:t>. Contract report prepared for the Ministry for the Environment by New Zealand Forest Research Institute Ltd (trading as Scion) in 2012.</w:t>
      </w:r>
    </w:p>
    <w:p w14:paraId="0F4811F7" w14:textId="77777777" w:rsidR="00A10636" w:rsidRPr="00D9348B" w:rsidRDefault="00A10636" w:rsidP="00A10636">
      <w:pPr>
        <w:pStyle w:val="References"/>
      </w:pPr>
      <w:r w:rsidRPr="00D9348B">
        <w:t xml:space="preserve">Wakelin SJ. </w:t>
      </w:r>
      <w:proofErr w:type="gramStart"/>
      <w:r w:rsidRPr="00D9348B">
        <w:t>Unpublished(</w:t>
      </w:r>
      <w:proofErr w:type="gramEnd"/>
      <w:r w:rsidRPr="00D9348B">
        <w:t xml:space="preserve">g). </w:t>
      </w:r>
      <w:r w:rsidRPr="00D9348B">
        <w:rPr>
          <w:iCs/>
        </w:rPr>
        <w:t>Harvested Wood Products Model Revision</w:t>
      </w:r>
      <w:r w:rsidRPr="00D9348B">
        <w:t>. Contract report prepared for the Ministry for the Environment by New Zealand Forest Research Institute Ltd (trading as Scion) in 2017.</w:t>
      </w:r>
    </w:p>
    <w:p w14:paraId="5AE5F8E3" w14:textId="77777777" w:rsidR="00A10636" w:rsidRPr="00D9348B" w:rsidRDefault="00A10636" w:rsidP="00A10636">
      <w:pPr>
        <w:pStyle w:val="References"/>
      </w:pPr>
      <w:r w:rsidRPr="00D9348B">
        <w:t xml:space="preserve">Wakelin SJ. </w:t>
      </w:r>
      <w:proofErr w:type="gramStart"/>
      <w:r w:rsidRPr="00D9348B">
        <w:t>Unpublished(</w:t>
      </w:r>
      <w:proofErr w:type="gramEnd"/>
      <w:r w:rsidRPr="00D9348B">
        <w:t>h). Biomass Burning Activity Data for New Zealand’s 1990–2017 Greenhouse Gas Inventory. Contract report prepared for the Ministry for the Environment by New Zealand Forest Research Institute Ltd (trading as Scion) in 2018.</w:t>
      </w:r>
    </w:p>
    <w:p w14:paraId="4389F33B" w14:textId="77777777" w:rsidR="00A10636" w:rsidRPr="00D9348B" w:rsidRDefault="00A10636" w:rsidP="00A10636">
      <w:pPr>
        <w:pStyle w:val="References"/>
      </w:pPr>
      <w:r w:rsidRPr="00D9348B">
        <w:t xml:space="preserve">Wakelin SJ. </w:t>
      </w:r>
      <w:proofErr w:type="gramStart"/>
      <w:r w:rsidRPr="00D9348B">
        <w:t>Unpublished(</w:t>
      </w:r>
      <w:proofErr w:type="gramEnd"/>
      <w:r w:rsidRPr="00D9348B">
        <w:t>i). Review of Emissions from Prescribed Burning of Standing Vegetation in New Zealand. Contract report prepared for the Ministry for the Environment by New Zealand Forest Research Institute Ltd (trading as Scion) in 2018.</w:t>
      </w:r>
    </w:p>
    <w:p w14:paraId="1E450550" w14:textId="77777777" w:rsidR="00A10636" w:rsidRPr="00D9348B" w:rsidRDefault="00A10636" w:rsidP="00A10636">
      <w:pPr>
        <w:pStyle w:val="References"/>
      </w:pPr>
      <w:r w:rsidRPr="00D9348B">
        <w:t xml:space="preserve">Wakelin SJ, Beets PN. Unpublished. </w:t>
      </w:r>
      <w:r w:rsidRPr="00D9348B">
        <w:rPr>
          <w:iCs/>
        </w:rPr>
        <w:t>Emission Factors for managed and unmanaged Grassland with Woody Biomass</w:t>
      </w:r>
      <w:r w:rsidRPr="00D9348B">
        <w:t>. Contract report prepared for the Ministry for the Environment by New Zealand Forest Research Institute Ltd (trading as Scion) in 2013.</w:t>
      </w:r>
    </w:p>
    <w:p w14:paraId="58E99099" w14:textId="77777777" w:rsidR="00A10636" w:rsidRPr="00D9348B" w:rsidRDefault="00A10636" w:rsidP="00A10636">
      <w:pPr>
        <w:pStyle w:val="References"/>
      </w:pPr>
      <w:r w:rsidRPr="00D9348B">
        <w:t xml:space="preserve">Wakelin SJ, Clifford VR. Unpublished. </w:t>
      </w:r>
      <w:r w:rsidRPr="00D9348B">
        <w:rPr>
          <w:iCs/>
        </w:rPr>
        <w:t>Update of Wildfire Data for the 2012 Greenhouse Gas Inventory</w:t>
      </w:r>
      <w:r w:rsidRPr="00D9348B">
        <w:t>. Contract report prepared for the Ministry for the Environment by New Zealand Forest Research Institute Ltd (trading as Scion) in 2013.</w:t>
      </w:r>
    </w:p>
    <w:p w14:paraId="135D22D0" w14:textId="77777777" w:rsidR="00A10636" w:rsidRPr="00D9348B" w:rsidRDefault="00A10636" w:rsidP="00A10636">
      <w:pPr>
        <w:pStyle w:val="References"/>
      </w:pPr>
      <w:r w:rsidRPr="00D9348B">
        <w:t xml:space="preserve">Wakelin SJ, Clifford VR, Anderson SAJ, Pearce HG. Unpublished. </w:t>
      </w:r>
      <w:r w:rsidRPr="00D9348B">
        <w:rPr>
          <w:iCs/>
        </w:rPr>
        <w:t>Review of LULUCF Non-carbon Emissions in New Zealand’s Greenhouse Gas Inventory</w:t>
      </w:r>
      <w:r w:rsidRPr="00D9348B">
        <w:t>. Contract report 17342 prepared for Ministry for the Environment by New Zealand Forest Research Institute Ltd (trading as Scion) in 2009.</w:t>
      </w:r>
    </w:p>
    <w:p w14:paraId="770D483F" w14:textId="77777777" w:rsidR="00A10636" w:rsidRPr="00D9348B" w:rsidRDefault="00A10636" w:rsidP="00A10636">
      <w:pPr>
        <w:pStyle w:val="References"/>
      </w:pPr>
      <w:r w:rsidRPr="00D9348B">
        <w:t xml:space="preserve">Wilde HR. 2003. </w:t>
      </w:r>
      <w:r w:rsidRPr="00D9348B">
        <w:rPr>
          <w:i/>
        </w:rPr>
        <w:t>Manual for National Soils Database</w:t>
      </w:r>
      <w:r w:rsidRPr="00D9348B">
        <w:t>. Palmerston North: Landcare Research New Zealand Ltd.</w:t>
      </w:r>
    </w:p>
    <w:p w14:paraId="53998C0D" w14:textId="77777777" w:rsidR="00A10636" w:rsidRPr="00D9348B" w:rsidRDefault="00A10636" w:rsidP="00A10636">
      <w:pPr>
        <w:pStyle w:val="References"/>
      </w:pPr>
      <w:r w:rsidRPr="00D9348B">
        <w:t xml:space="preserve">Wilde HR, Davis M, Tate K, Giltrap DJ. 2004. Testing the representativeness of soil carbon data held in databases underpinning the New Zealand Soil Carbon Monitoring System. </w:t>
      </w:r>
      <w:r w:rsidRPr="00D9348B">
        <w:rPr>
          <w:i/>
        </w:rPr>
        <w:t>SuperSoil 2004: 3rd Australian New Zealand Soils Conference</w:t>
      </w:r>
      <w:r w:rsidRPr="00D9348B">
        <w:t>, 5–9 December 2004. University of Sydney, Australia.</w:t>
      </w:r>
    </w:p>
    <w:p w14:paraId="449EAF9B" w14:textId="77777777" w:rsidR="00A10636" w:rsidRPr="00D9348B" w:rsidRDefault="00A10636" w:rsidP="00A10636">
      <w:pPr>
        <w:pStyle w:val="References"/>
      </w:pPr>
      <w:r w:rsidRPr="00D9348B">
        <w:t xml:space="preserve">Wiser SK, De Cáceres M. 2018. New Zealand’s plot-based classification of vegetation. </w:t>
      </w:r>
      <w:r w:rsidRPr="00D9348B">
        <w:rPr>
          <w:i/>
        </w:rPr>
        <w:t>Phytocoenologia</w:t>
      </w:r>
      <w:r w:rsidRPr="00D9348B">
        <w:t xml:space="preserve"> 48(2): 153–161.</w:t>
      </w:r>
    </w:p>
    <w:p w14:paraId="16C3A1D5" w14:textId="77777777" w:rsidR="00A10636" w:rsidRPr="00D9348B" w:rsidRDefault="00A10636" w:rsidP="00A10636">
      <w:pPr>
        <w:pStyle w:val="References"/>
        <w:rPr>
          <w:b/>
          <w:bCs/>
        </w:rPr>
      </w:pPr>
      <w:r w:rsidRPr="00D9348B">
        <w:t xml:space="preserve">Woollens R. Unpublished. Commentary on </w:t>
      </w:r>
      <w:r w:rsidRPr="00D9348B">
        <w:rPr>
          <w:iCs/>
        </w:rPr>
        <w:t>analysis of the 2007–2008 Planted Forest Carbon Monitoring System Inventory Data of Post-1989 Forests</w:t>
      </w:r>
      <w:r w:rsidRPr="00D9348B">
        <w:t>. Report 11448 prepared for Ministry for the Environment.</w:t>
      </w:r>
    </w:p>
    <w:p w14:paraId="6A2417A8" w14:textId="77777777" w:rsidR="00A10636" w:rsidRPr="00D9348B" w:rsidRDefault="00A10636" w:rsidP="00A10636"/>
    <w:p w14:paraId="12887CCC" w14:textId="77777777" w:rsidR="007E0E95" w:rsidRPr="00D9348B" w:rsidRDefault="007E0E95" w:rsidP="00C4400C">
      <w:pPr>
        <w:sectPr w:rsidR="007E0E95" w:rsidRPr="00D9348B" w:rsidSect="00DB330E">
          <w:footerReference w:type="even" r:id="rId235"/>
          <w:footerReference w:type="default" r:id="rId236"/>
          <w:pgSz w:w="11907" w:h="16840" w:code="9"/>
          <w:pgMar w:top="1418" w:right="1701" w:bottom="1560" w:left="1701" w:header="567" w:footer="567" w:gutter="0"/>
          <w:cols w:space="720"/>
        </w:sectPr>
      </w:pPr>
    </w:p>
    <w:p w14:paraId="2F48B006" w14:textId="77777777" w:rsidR="00524720" w:rsidRPr="00D9348B" w:rsidRDefault="00524720" w:rsidP="00524720">
      <w:pPr>
        <w:pStyle w:val="Heading1"/>
      </w:pPr>
      <w:bookmarkStart w:id="2584" w:name="_Toc5269385"/>
      <w:bookmarkStart w:id="2585" w:name="_Toc36224425"/>
      <w:r w:rsidRPr="00D9348B">
        <w:lastRenderedPageBreak/>
        <w:t>Chapter 7: Waste</w:t>
      </w:r>
      <w:bookmarkEnd w:id="2584"/>
      <w:bookmarkEnd w:id="2585"/>
    </w:p>
    <w:p w14:paraId="1295B471" w14:textId="77777777" w:rsidR="00524720" w:rsidRPr="00D9348B" w:rsidRDefault="00524720" w:rsidP="00A948D7">
      <w:pPr>
        <w:pStyle w:val="Heading2"/>
      </w:pPr>
      <w:bookmarkStart w:id="2586" w:name="_Toc32828320"/>
      <w:bookmarkStart w:id="2587" w:name="_Toc5269386"/>
      <w:bookmarkStart w:id="2588" w:name="_Toc511116624"/>
      <w:bookmarkStart w:id="2589" w:name="_Toc481751409"/>
      <w:bookmarkStart w:id="2590" w:name="_Toc448321547"/>
      <w:bookmarkStart w:id="2591" w:name="_Toc352504868"/>
      <w:bookmarkStart w:id="2592" w:name="_Toc342470716"/>
      <w:bookmarkStart w:id="2593" w:name="_Toc36224426"/>
      <w:r w:rsidRPr="00D9348B">
        <w:t>7.1</w:t>
      </w:r>
      <w:r w:rsidRPr="00D9348B">
        <w:tab/>
        <w:t>Sector overview</w:t>
      </w:r>
      <w:bookmarkEnd w:id="2586"/>
      <w:bookmarkEnd w:id="2587"/>
      <w:bookmarkEnd w:id="2588"/>
      <w:bookmarkEnd w:id="2589"/>
      <w:bookmarkEnd w:id="2590"/>
      <w:bookmarkEnd w:id="2591"/>
      <w:bookmarkEnd w:id="2592"/>
      <w:bookmarkEnd w:id="2593"/>
    </w:p>
    <w:p w14:paraId="143819DC" w14:textId="77777777" w:rsidR="00524720" w:rsidRPr="00D9348B" w:rsidRDefault="00524720" w:rsidP="00524720">
      <w:pPr>
        <w:pStyle w:val="Heading3"/>
        <w:spacing w:before="240"/>
      </w:pPr>
      <w:bookmarkStart w:id="2594" w:name="_Toc32828321"/>
      <w:r w:rsidRPr="00D9348B">
        <w:t>7.1.1</w:t>
      </w:r>
      <w:r w:rsidRPr="00D9348B">
        <w:tab/>
        <w:t>The Waste sector in New Zealand</w:t>
      </w:r>
      <w:bookmarkEnd w:id="2594"/>
    </w:p>
    <w:p w14:paraId="4744D959" w14:textId="77777777" w:rsidR="00524720" w:rsidRPr="00D9348B" w:rsidRDefault="00524720" w:rsidP="00524720">
      <w:pPr>
        <w:pStyle w:val="BodyText"/>
      </w:pPr>
      <w:r w:rsidRPr="00D9348B">
        <w:t xml:space="preserve">In New Zealand, virtually all solid waste is disposed to land. Most of the country’s household and commercial waste is placed in managed municipal landfills. In addition, there are many small unmanaged disposal sites, such as those on farms and in industry, that are still in operation for other waste types. Before 2010, some municipal waste was also disposed to unmanaged or uncategorised sites. </w:t>
      </w:r>
    </w:p>
    <w:p w14:paraId="37530FA9" w14:textId="77777777" w:rsidR="00524720" w:rsidRPr="00D9348B" w:rsidRDefault="00524720" w:rsidP="00524720">
      <w:pPr>
        <w:pStyle w:val="BodyText"/>
        <w:rPr>
          <w:bCs/>
          <w:iCs/>
        </w:rPr>
      </w:pPr>
      <w:r w:rsidRPr="00D9348B">
        <w:rPr>
          <w:bCs/>
          <w:iCs/>
        </w:rPr>
        <w:t>Most wastewater treatment in New Zealand is aerobic, including domestic, commercial and industrial wastewater that release methane (CH</w:t>
      </w:r>
      <w:r w:rsidRPr="00D9348B">
        <w:rPr>
          <w:bCs/>
          <w:iCs/>
          <w:vertAlign w:val="subscript"/>
        </w:rPr>
        <w:t>4</w:t>
      </w:r>
      <w:r w:rsidRPr="00D9348B">
        <w:rPr>
          <w:bCs/>
          <w:iCs/>
        </w:rPr>
        <w:t>) emissions. Methane emissions from domestic wastewater are mainly from rural septic tank usage. Wastewater emissions are also from some municipal treatment plants, which use semi-aerobic processes, and from industries in New Zealand, in particular, the meat and the pulp and paper industries.</w:t>
      </w:r>
    </w:p>
    <w:p w14:paraId="088CA88E" w14:textId="77777777" w:rsidR="00524720" w:rsidRPr="00D9348B" w:rsidRDefault="00524720" w:rsidP="00524720">
      <w:pPr>
        <w:pStyle w:val="BodyText"/>
        <w:rPr>
          <w:bCs/>
          <w:iCs/>
        </w:rPr>
      </w:pPr>
      <w:r w:rsidRPr="00D9348B">
        <w:rPr>
          <w:bCs/>
          <w:iCs/>
        </w:rPr>
        <w:t xml:space="preserve">Municipal waste is not incinerated in New Zealand. Incineration is used only on a very small scale, mainly for hazardous and clinical waste, and has declined over time due to environmental regulation and the availability of other disposal options. </w:t>
      </w:r>
    </w:p>
    <w:p w14:paraId="172B011E" w14:textId="77777777" w:rsidR="00524720" w:rsidRPr="00D9348B" w:rsidRDefault="00524720" w:rsidP="00524720">
      <w:pPr>
        <w:pStyle w:val="BodyText"/>
        <w:rPr>
          <w:bCs/>
          <w:iCs/>
        </w:rPr>
      </w:pPr>
      <w:r w:rsidRPr="00D9348B">
        <w:t xml:space="preserve">Emissions from composting and open burning are included. </w:t>
      </w:r>
      <w:r w:rsidRPr="00D9348B">
        <w:rPr>
          <w:bCs/>
          <w:iCs/>
        </w:rPr>
        <w:t>No other emission sources for direct greenhouse gases are applicable to New Zealand and no other activity data are available.</w:t>
      </w:r>
    </w:p>
    <w:p w14:paraId="67D691D8" w14:textId="77777777" w:rsidR="00524720" w:rsidRPr="00D9348B" w:rsidRDefault="00524720" w:rsidP="00524720">
      <w:pPr>
        <w:pStyle w:val="BodyText"/>
        <w:rPr>
          <w:b/>
        </w:rPr>
      </w:pPr>
      <w:r w:rsidRPr="00D9348B">
        <w:t>New Zealand reports emissions from Tokelau, which is a dependent territory of New Zealand. Emissions from Tokelau for all activities are reported in annex 7 of the National Inventory Report and within the ‘Other’ sector in the common reporting format (CRF) tables. This is due to the significantly different methods applied and the prohibitive complexity of integrating emissions within the main sectors. Therefore, all emissions reported in this sector are from New Zealand excluding Tokelau. Please refer to chapter 8 and annex 7 for details of methods applied and the emissions for Tokelau.</w:t>
      </w:r>
    </w:p>
    <w:p w14:paraId="2DA60348" w14:textId="77777777" w:rsidR="00524720" w:rsidRPr="00D9348B" w:rsidRDefault="00524720" w:rsidP="00524720">
      <w:pPr>
        <w:pStyle w:val="Heading3"/>
      </w:pPr>
      <w:bookmarkStart w:id="2595" w:name="_Toc32828322"/>
      <w:r w:rsidRPr="00D9348B">
        <w:t xml:space="preserve">7.1.2 </w:t>
      </w:r>
      <w:r w:rsidRPr="00D9348B">
        <w:tab/>
        <w:t>Emissions summary</w:t>
      </w:r>
      <w:bookmarkEnd w:id="2595"/>
    </w:p>
    <w:p w14:paraId="54D8A5A4" w14:textId="77777777" w:rsidR="00524720" w:rsidRPr="00D9348B" w:rsidRDefault="00524720" w:rsidP="00524720">
      <w:pPr>
        <w:pStyle w:val="BodyText"/>
      </w:pPr>
      <w:r w:rsidRPr="00D9348B">
        <w:t>The Waste sector in New Zealand produces mainly CH</w:t>
      </w:r>
      <w:r w:rsidRPr="00D9348B">
        <w:rPr>
          <w:vertAlign w:val="subscript"/>
        </w:rPr>
        <w:t>4</w:t>
      </w:r>
      <w:r w:rsidRPr="00D9348B">
        <w:t xml:space="preserve"> emissions (96.7 per cent) followed by nitrous oxide (N</w:t>
      </w:r>
      <w:r w:rsidRPr="00D9348B">
        <w:rPr>
          <w:vertAlign w:val="subscript"/>
        </w:rPr>
        <w:t>2</w:t>
      </w:r>
      <w:r w:rsidRPr="00D9348B">
        <w:t>O) emissions (3.3 per cent) and carbon dioxide (CO</w:t>
      </w:r>
      <w:r w:rsidRPr="00D9348B">
        <w:rPr>
          <w:vertAlign w:val="subscript"/>
        </w:rPr>
        <w:t>2</w:t>
      </w:r>
      <w:r w:rsidRPr="00D9348B">
        <w:t>) emissions (0.09 per cent). There are also emissions of CO</w:t>
      </w:r>
      <w:r w:rsidRPr="00D9348B">
        <w:rPr>
          <w:vertAlign w:val="subscript"/>
        </w:rPr>
        <w:t>2</w:t>
      </w:r>
      <w:r w:rsidRPr="00D9348B">
        <w:t xml:space="preserve"> from the disposal of solid waste, but these are of biogenic origin and are not reported.</w:t>
      </w:r>
    </w:p>
    <w:p w14:paraId="16575F2B" w14:textId="77777777" w:rsidR="00524720" w:rsidRPr="00D9348B" w:rsidRDefault="00524720" w:rsidP="00CB434B">
      <w:pPr>
        <w:pStyle w:val="Heading5"/>
      </w:pPr>
      <w:r w:rsidRPr="00D9348B">
        <w:t>2018</w:t>
      </w:r>
    </w:p>
    <w:p w14:paraId="30EABF40" w14:textId="77777777" w:rsidR="00524720" w:rsidRPr="00D9348B" w:rsidRDefault="00524720" w:rsidP="00524720">
      <w:pPr>
        <w:pStyle w:val="BodyText"/>
      </w:pPr>
      <w:r w:rsidRPr="00D9348B">
        <w:t>In 2018, emissions from the Waste sector contributed 4,057.4 kilotonnes of carbon dioxide equivalent (kt CO</w:t>
      </w:r>
      <w:r w:rsidRPr="00D9348B">
        <w:rPr>
          <w:vertAlign w:val="subscript"/>
        </w:rPr>
        <w:t>2</w:t>
      </w:r>
      <w:r w:rsidRPr="00D9348B">
        <w:t xml:space="preserve">-e), or 5.1 per cent, of New Zealand’s gross greenhouse gas emissions. The largest source category is </w:t>
      </w:r>
      <w:r w:rsidRPr="00D9348B">
        <w:rPr>
          <w:i/>
        </w:rPr>
        <w:t>Solid waste disposal</w:t>
      </w:r>
      <w:r w:rsidRPr="00D9348B">
        <w:t>, as shown in table 7.1.1 (emissions by source category).</w:t>
      </w:r>
    </w:p>
    <w:p w14:paraId="38B7D0CB" w14:textId="2D78069C" w:rsidR="00524720" w:rsidRPr="00D9348B" w:rsidRDefault="00524720" w:rsidP="00CB434B">
      <w:pPr>
        <w:pStyle w:val="Heading5"/>
      </w:pPr>
      <w:r w:rsidRPr="00D9348B">
        <w:lastRenderedPageBreak/>
        <w:t>1990</w:t>
      </w:r>
      <w:r w:rsidR="00CB434B" w:rsidRPr="00D9348B">
        <w:t>–</w:t>
      </w:r>
      <w:r w:rsidRPr="00D9348B">
        <w:t>2018</w:t>
      </w:r>
    </w:p>
    <w:p w14:paraId="7ED1CDB7" w14:textId="67739F86" w:rsidR="00524720" w:rsidRPr="00D9348B" w:rsidRDefault="00524720" w:rsidP="00524720">
      <w:pPr>
        <w:pStyle w:val="BodyText"/>
        <w:rPr>
          <w:rFonts w:eastAsia="+mn-ea"/>
        </w:rPr>
      </w:pPr>
      <w:r w:rsidRPr="00D9348B">
        <w:rPr>
          <w:rFonts w:eastAsia="+mn-ea"/>
        </w:rPr>
        <w:t>Total Waste sector emissions in 2018 were 9.8 kt CO</w:t>
      </w:r>
      <w:r w:rsidRPr="00D9348B">
        <w:rPr>
          <w:rFonts w:eastAsia="+mn-ea"/>
          <w:vertAlign w:val="subscript"/>
        </w:rPr>
        <w:t>2</w:t>
      </w:r>
      <w:r w:rsidRPr="00D9348B">
        <w:rPr>
          <w:rFonts w:eastAsia="+mn-ea"/>
        </w:rPr>
        <w:t>-e (0.2 per cent) above 1990 emissions of</w:t>
      </w:r>
      <w:r w:rsidR="00CB434B" w:rsidRPr="00D9348B">
        <w:rPr>
          <w:rFonts w:eastAsia="+mn-ea"/>
        </w:rPr>
        <w:t> </w:t>
      </w:r>
      <w:r w:rsidRPr="00D9348B">
        <w:rPr>
          <w:rFonts w:eastAsia="+mn-ea"/>
        </w:rPr>
        <w:t>4,047.6 kt CO</w:t>
      </w:r>
      <w:r w:rsidRPr="00D9348B">
        <w:rPr>
          <w:rFonts w:eastAsia="+mn-ea"/>
          <w:vertAlign w:val="subscript"/>
        </w:rPr>
        <w:t>2</w:t>
      </w:r>
      <w:r w:rsidRPr="00D9348B">
        <w:rPr>
          <w:rFonts w:eastAsia="+mn-ea"/>
        </w:rPr>
        <w:t>-e. Annual emissions increased between 1990 and 2002, peaking at 4,838.2 kt</w:t>
      </w:r>
      <w:r w:rsidR="00CB434B" w:rsidRPr="00D9348B">
        <w:rPr>
          <w:rFonts w:eastAsia="+mn-ea"/>
        </w:rPr>
        <w:t> </w:t>
      </w:r>
      <w:r w:rsidRPr="00D9348B">
        <w:rPr>
          <w:rFonts w:eastAsia="+mn-ea"/>
        </w:rPr>
        <w:t>CO</w:t>
      </w:r>
      <w:r w:rsidRPr="00D9348B">
        <w:rPr>
          <w:rFonts w:eastAsia="+mn-ea"/>
          <w:vertAlign w:val="subscript"/>
        </w:rPr>
        <w:t>2</w:t>
      </w:r>
      <w:r w:rsidRPr="00D9348B">
        <w:rPr>
          <w:rFonts w:eastAsia="+mn-ea"/>
        </w:rPr>
        <w:t>-e in 2002, and have generally decreased since that time. Growth in population and economic activity since 1990 has resulted in increasing volumes of solid waste and wastewater for the whole of the time series. Ongoing improvements in the management of solid waste disposal at municipal landfills have meant total Waste sector emissions have been</w:t>
      </w:r>
      <w:r w:rsidR="004E50FF" w:rsidRPr="00D9348B">
        <w:rPr>
          <w:rFonts w:eastAsia="+mn-ea"/>
        </w:rPr>
        <w:t> </w:t>
      </w:r>
      <w:r w:rsidRPr="00D9348B">
        <w:rPr>
          <w:rFonts w:eastAsia="+mn-ea"/>
        </w:rPr>
        <w:t xml:space="preserve">trending down since 2005 in spite of increasing volumes of solid waste and wastewater. The reduction of emissions is particularly the result of increased </w:t>
      </w:r>
      <w:r w:rsidRPr="00D9348B">
        <w:t>CH</w:t>
      </w:r>
      <w:r w:rsidRPr="00D9348B">
        <w:rPr>
          <w:vertAlign w:val="subscript"/>
        </w:rPr>
        <w:t>4</w:t>
      </w:r>
      <w:r w:rsidRPr="00D9348B">
        <w:rPr>
          <w:rFonts w:eastAsia="+mn-ea"/>
        </w:rPr>
        <w:t xml:space="preserve"> recovery driven by the National Environmental Standards for Air Quality introduced in 2004 and also by the </w:t>
      </w:r>
      <w:r w:rsidRPr="00D9348B">
        <w:t>New</w:t>
      </w:r>
      <w:r w:rsidR="004E50FF" w:rsidRPr="00D9348B">
        <w:t> </w:t>
      </w:r>
      <w:r w:rsidRPr="00D9348B">
        <w:t>Zealand Emissions Trading Scheme (</w:t>
      </w:r>
      <w:r w:rsidRPr="00D9348B">
        <w:rPr>
          <w:rFonts w:eastAsia="+mn-ea"/>
        </w:rPr>
        <w:t xml:space="preserve">NZ ETS) since 2013. </w:t>
      </w:r>
      <w:r w:rsidRPr="00D9348B">
        <w:t>The trends are shown in figure</w:t>
      </w:r>
      <w:r w:rsidR="004E50FF" w:rsidRPr="00D9348B">
        <w:t> </w:t>
      </w:r>
      <w:r w:rsidRPr="00D9348B">
        <w:t>7.1.1 and figure 7.1.2.</w:t>
      </w:r>
    </w:p>
    <w:p w14:paraId="51CDDABE" w14:textId="77777777" w:rsidR="00524720" w:rsidRPr="00D9348B" w:rsidRDefault="00524720" w:rsidP="006B5927">
      <w:pPr>
        <w:pStyle w:val="Heading5"/>
        <w:spacing w:before="160"/>
      </w:pPr>
      <w:r w:rsidRPr="00D9348B">
        <w:t>2017–2018</w:t>
      </w:r>
    </w:p>
    <w:p w14:paraId="614D8F33" w14:textId="77777777" w:rsidR="00524720" w:rsidRPr="00D9348B" w:rsidRDefault="00524720" w:rsidP="00524720">
      <w:pPr>
        <w:pStyle w:val="BodyText"/>
      </w:pPr>
      <w:r w:rsidRPr="00D9348B">
        <w:t>Total Waste sector emissions in 2018 were 35.2 kt CO</w:t>
      </w:r>
      <w:r w:rsidRPr="00D9348B">
        <w:rPr>
          <w:vertAlign w:val="subscript"/>
        </w:rPr>
        <w:t>2</w:t>
      </w:r>
      <w:r w:rsidRPr="00D9348B">
        <w:t>-e (0.9 per cent) lower than in 2017. This decrease is largely the result of decreases in CH</w:t>
      </w:r>
      <w:r w:rsidRPr="00D9348B">
        <w:rPr>
          <w:vertAlign w:val="subscript"/>
        </w:rPr>
        <w:t>4</w:t>
      </w:r>
      <w:r w:rsidRPr="00D9348B">
        <w:t xml:space="preserve"> emissions in the</w:t>
      </w:r>
      <w:r w:rsidRPr="00D9348B">
        <w:rPr>
          <w:i/>
        </w:rPr>
        <w:t xml:space="preserve"> Solid waste disposal</w:t>
      </w:r>
      <w:r w:rsidRPr="00D9348B">
        <w:t xml:space="preserve"> category, due to an increase in CH</w:t>
      </w:r>
      <w:r w:rsidRPr="00D9348B">
        <w:rPr>
          <w:vertAlign w:val="subscript"/>
        </w:rPr>
        <w:t>4</w:t>
      </w:r>
      <w:r w:rsidRPr="00D9348B">
        <w:t xml:space="preserve"> recovery and a slight reduction in farm waste.</w:t>
      </w:r>
    </w:p>
    <w:p w14:paraId="777B921B" w14:textId="7FEC0633" w:rsidR="00524720" w:rsidRPr="00D9348B" w:rsidRDefault="00524720" w:rsidP="00524720">
      <w:pPr>
        <w:pStyle w:val="Table"/>
      </w:pPr>
      <w:bookmarkStart w:id="2596" w:name="_Toc378853271"/>
      <w:bookmarkStart w:id="2597" w:name="_Toc352504983"/>
      <w:bookmarkStart w:id="2598" w:name="_Toc342470743"/>
      <w:bookmarkStart w:id="2599" w:name="_Toc318362681"/>
      <w:bookmarkStart w:id="2600" w:name="_Toc310423388"/>
      <w:bookmarkStart w:id="2601" w:name="_Toc481751597"/>
      <w:bookmarkStart w:id="2602" w:name="_Toc451176167"/>
      <w:bookmarkStart w:id="2603" w:name="_Toc444001615"/>
      <w:bookmarkStart w:id="2604" w:name="_Toc5269559"/>
      <w:bookmarkStart w:id="2605" w:name="_Toc511116818"/>
      <w:bookmarkStart w:id="2606" w:name="_Toc508019320"/>
      <w:bookmarkStart w:id="2607" w:name="_Toc32828516"/>
      <w:bookmarkStart w:id="2608" w:name="_Toc32591346"/>
      <w:bookmarkStart w:id="2609" w:name="_Toc36224639"/>
      <w:r w:rsidRPr="00D9348B">
        <w:t xml:space="preserve">Table 7.1.1 </w:t>
      </w:r>
      <w:r w:rsidRPr="00D9348B">
        <w:tab/>
        <w:t xml:space="preserve">New Zealand’s greenhouse gas emissions for the Waste sector </w:t>
      </w:r>
      <w:bookmarkEnd w:id="2596"/>
      <w:bookmarkEnd w:id="2597"/>
      <w:bookmarkEnd w:id="2598"/>
      <w:bookmarkEnd w:id="2599"/>
      <w:bookmarkEnd w:id="2600"/>
      <w:r w:rsidRPr="00D9348B">
        <w:t>by source category</w:t>
      </w:r>
      <w:bookmarkEnd w:id="2601"/>
      <w:bookmarkEnd w:id="2602"/>
      <w:bookmarkEnd w:id="2603"/>
      <w:r w:rsidRPr="00D9348B">
        <w:t xml:space="preserve"> 1990 and </w:t>
      </w:r>
      <w:bookmarkEnd w:id="2604"/>
      <w:bookmarkEnd w:id="2605"/>
      <w:bookmarkEnd w:id="2606"/>
      <w:r w:rsidRPr="00D9348B">
        <w:t>2018</w:t>
      </w:r>
      <w:bookmarkEnd w:id="2607"/>
      <w:bookmarkEnd w:id="2608"/>
      <w:bookmarkEnd w:id="2609"/>
    </w:p>
    <w:tbl>
      <w:tblPr>
        <w:tblW w:w="8565" w:type="dxa"/>
        <w:tblInd w:w="108" w:type="dxa"/>
        <w:tblLayout w:type="fixed"/>
        <w:tblLook w:val="04A0" w:firstRow="1" w:lastRow="0" w:firstColumn="1" w:lastColumn="0" w:noHBand="0" w:noVBand="1"/>
      </w:tblPr>
      <w:tblGrid>
        <w:gridCol w:w="3261"/>
        <w:gridCol w:w="992"/>
        <w:gridCol w:w="851"/>
        <w:gridCol w:w="994"/>
        <w:gridCol w:w="992"/>
        <w:gridCol w:w="709"/>
        <w:gridCol w:w="766"/>
      </w:tblGrid>
      <w:tr w:rsidR="00524720" w:rsidRPr="00D9348B" w14:paraId="6E6D2912" w14:textId="77777777" w:rsidTr="004E50FF">
        <w:tc>
          <w:tcPr>
            <w:tcW w:w="1904" w:type="pct"/>
            <w:tcBorders>
              <w:top w:val="single" w:sz="4" w:space="0" w:color="365F91"/>
              <w:left w:val="nil"/>
              <w:bottom w:val="single" w:sz="4" w:space="0" w:color="365F91"/>
              <w:right w:val="nil"/>
            </w:tcBorders>
            <w:shd w:val="clear" w:color="auto" w:fill="365F91"/>
          </w:tcPr>
          <w:p w14:paraId="5AA11C4E" w14:textId="77777777" w:rsidR="00524720" w:rsidRPr="00D9348B" w:rsidRDefault="00524720">
            <w:pPr>
              <w:rPr>
                <w:color w:val="FFFFFF"/>
              </w:rPr>
            </w:pPr>
          </w:p>
        </w:tc>
        <w:tc>
          <w:tcPr>
            <w:tcW w:w="1076" w:type="pct"/>
            <w:gridSpan w:val="2"/>
            <w:tcBorders>
              <w:top w:val="single" w:sz="4" w:space="0" w:color="365F91"/>
              <w:left w:val="nil"/>
              <w:bottom w:val="single" w:sz="4" w:space="0" w:color="365F91"/>
              <w:right w:val="nil"/>
            </w:tcBorders>
            <w:shd w:val="clear" w:color="auto" w:fill="365F91"/>
            <w:vAlign w:val="bottom"/>
            <w:hideMark/>
          </w:tcPr>
          <w:p w14:paraId="71C7B7F8" w14:textId="5D3C91AB" w:rsidR="00524720" w:rsidRPr="00D9348B" w:rsidRDefault="00524720">
            <w:pPr>
              <w:pStyle w:val="TableTextBold"/>
              <w:jc w:val="center"/>
              <w:rPr>
                <w:noProof w:val="0"/>
                <w:color w:val="FFFFFF"/>
              </w:rPr>
            </w:pPr>
            <w:r w:rsidRPr="00D9348B">
              <w:rPr>
                <w:noProof w:val="0"/>
                <w:color w:val="FFFFFF"/>
              </w:rPr>
              <w:t>Emissions (kt CO</w:t>
            </w:r>
            <w:r w:rsidRPr="00D9348B">
              <w:rPr>
                <w:noProof w:val="0"/>
                <w:color w:val="FFFFFF"/>
                <w:vertAlign w:val="subscript"/>
              </w:rPr>
              <w:t>2</w:t>
            </w:r>
            <w:r w:rsidRPr="00D9348B">
              <w:rPr>
                <w:noProof w:val="0"/>
                <w:color w:val="FFFFFF"/>
              </w:rPr>
              <w:t>-e)</w:t>
            </w:r>
          </w:p>
        </w:tc>
        <w:tc>
          <w:tcPr>
            <w:tcW w:w="580" w:type="pct"/>
            <w:tcBorders>
              <w:top w:val="single" w:sz="4" w:space="0" w:color="365F91"/>
              <w:left w:val="nil"/>
              <w:bottom w:val="single" w:sz="4" w:space="0" w:color="365F91"/>
              <w:right w:val="nil"/>
            </w:tcBorders>
            <w:shd w:val="clear" w:color="auto" w:fill="365F91"/>
            <w:vAlign w:val="bottom"/>
            <w:hideMark/>
          </w:tcPr>
          <w:p w14:paraId="15E9AAEB" w14:textId="77777777" w:rsidR="00524720" w:rsidRPr="00D9348B" w:rsidRDefault="00524720">
            <w:pPr>
              <w:pStyle w:val="TableTextBold"/>
              <w:jc w:val="center"/>
              <w:rPr>
                <w:noProof w:val="0"/>
                <w:color w:val="FFFFFF"/>
              </w:rPr>
            </w:pPr>
            <w:r w:rsidRPr="00D9348B">
              <w:rPr>
                <w:noProof w:val="0"/>
                <w:color w:val="FFFFFF"/>
              </w:rPr>
              <w:t>Difference (kt CO</w:t>
            </w:r>
            <w:r w:rsidRPr="00D9348B">
              <w:rPr>
                <w:noProof w:val="0"/>
                <w:color w:val="FFFFFF"/>
                <w:vertAlign w:val="subscript"/>
              </w:rPr>
              <w:t>2</w:t>
            </w:r>
            <w:r w:rsidRPr="00D9348B">
              <w:rPr>
                <w:noProof w:val="0"/>
                <w:color w:val="FFFFFF"/>
              </w:rPr>
              <w:t>-e)</w:t>
            </w:r>
          </w:p>
        </w:tc>
        <w:tc>
          <w:tcPr>
            <w:tcW w:w="579" w:type="pct"/>
            <w:tcBorders>
              <w:top w:val="single" w:sz="4" w:space="0" w:color="365F91"/>
              <w:left w:val="nil"/>
              <w:bottom w:val="single" w:sz="4" w:space="0" w:color="365F91"/>
              <w:right w:val="nil"/>
            </w:tcBorders>
            <w:shd w:val="clear" w:color="auto" w:fill="365F91"/>
            <w:vAlign w:val="bottom"/>
            <w:hideMark/>
          </w:tcPr>
          <w:p w14:paraId="404EBCBB" w14:textId="77777777" w:rsidR="00524720" w:rsidRPr="00D9348B" w:rsidRDefault="00524720">
            <w:pPr>
              <w:pStyle w:val="TableTextBold"/>
              <w:rPr>
                <w:noProof w:val="0"/>
                <w:color w:val="FFFFFF"/>
              </w:rPr>
            </w:pPr>
            <w:r w:rsidRPr="00D9348B">
              <w:rPr>
                <w:noProof w:val="0"/>
                <w:color w:val="FFFFFF"/>
              </w:rPr>
              <w:t>Change (%)</w:t>
            </w:r>
          </w:p>
        </w:tc>
        <w:tc>
          <w:tcPr>
            <w:tcW w:w="861" w:type="pct"/>
            <w:gridSpan w:val="2"/>
            <w:tcBorders>
              <w:top w:val="single" w:sz="4" w:space="0" w:color="365F91"/>
              <w:left w:val="nil"/>
              <w:bottom w:val="single" w:sz="4" w:space="0" w:color="365F91"/>
              <w:right w:val="nil"/>
            </w:tcBorders>
            <w:shd w:val="clear" w:color="auto" w:fill="365F91"/>
            <w:vAlign w:val="bottom"/>
            <w:hideMark/>
          </w:tcPr>
          <w:p w14:paraId="27AB3717" w14:textId="77777777" w:rsidR="00524720" w:rsidRPr="00D9348B" w:rsidRDefault="00524720">
            <w:pPr>
              <w:pStyle w:val="TableTextBold"/>
              <w:jc w:val="center"/>
              <w:rPr>
                <w:noProof w:val="0"/>
                <w:color w:val="FFFFFF"/>
              </w:rPr>
            </w:pPr>
            <w:r w:rsidRPr="00D9348B">
              <w:rPr>
                <w:noProof w:val="0"/>
                <w:color w:val="FFFFFF"/>
              </w:rPr>
              <w:t>Share (%)</w:t>
            </w:r>
          </w:p>
        </w:tc>
      </w:tr>
      <w:tr w:rsidR="00524720" w:rsidRPr="00D9348B" w14:paraId="69BE230C" w14:textId="77777777" w:rsidTr="004E50FF">
        <w:tc>
          <w:tcPr>
            <w:tcW w:w="1904" w:type="pct"/>
            <w:tcBorders>
              <w:top w:val="single" w:sz="4" w:space="0" w:color="365F91"/>
              <w:left w:val="nil"/>
              <w:bottom w:val="single" w:sz="4" w:space="0" w:color="365F91"/>
              <w:right w:val="nil"/>
            </w:tcBorders>
            <w:shd w:val="clear" w:color="auto" w:fill="FFFFFF"/>
            <w:hideMark/>
          </w:tcPr>
          <w:p w14:paraId="6CCD8ED3" w14:textId="77777777" w:rsidR="00524720" w:rsidRPr="00D9348B" w:rsidRDefault="00524720">
            <w:pPr>
              <w:pStyle w:val="Tableboldblue"/>
            </w:pPr>
            <w:r w:rsidRPr="00D9348B">
              <w:t>Source category</w:t>
            </w:r>
          </w:p>
        </w:tc>
        <w:tc>
          <w:tcPr>
            <w:tcW w:w="579" w:type="pct"/>
            <w:tcBorders>
              <w:top w:val="single" w:sz="4" w:space="0" w:color="365F91"/>
              <w:left w:val="nil"/>
              <w:bottom w:val="single" w:sz="4" w:space="0" w:color="365F91"/>
              <w:right w:val="nil"/>
            </w:tcBorders>
            <w:shd w:val="clear" w:color="auto" w:fill="FFFFFF"/>
            <w:vAlign w:val="bottom"/>
            <w:hideMark/>
          </w:tcPr>
          <w:p w14:paraId="24ED1516" w14:textId="77777777" w:rsidR="00524720" w:rsidRPr="00D9348B" w:rsidRDefault="00524720">
            <w:pPr>
              <w:pStyle w:val="Tableboldblue"/>
              <w:jc w:val="center"/>
            </w:pPr>
            <w:r w:rsidRPr="00D9348B">
              <w:t>1990</w:t>
            </w:r>
          </w:p>
        </w:tc>
        <w:tc>
          <w:tcPr>
            <w:tcW w:w="497" w:type="pct"/>
            <w:tcBorders>
              <w:top w:val="single" w:sz="4" w:space="0" w:color="365F91"/>
              <w:left w:val="nil"/>
              <w:bottom w:val="single" w:sz="4" w:space="0" w:color="365F91"/>
              <w:right w:val="nil"/>
            </w:tcBorders>
            <w:shd w:val="clear" w:color="auto" w:fill="FFFFFF"/>
            <w:vAlign w:val="bottom"/>
            <w:hideMark/>
          </w:tcPr>
          <w:p w14:paraId="364EBE24" w14:textId="77777777" w:rsidR="00524720" w:rsidRPr="00D9348B" w:rsidRDefault="00524720">
            <w:pPr>
              <w:pStyle w:val="Tableboldblue"/>
              <w:jc w:val="center"/>
            </w:pPr>
            <w:r w:rsidRPr="00D9348B">
              <w:t>2018</w:t>
            </w:r>
          </w:p>
        </w:tc>
        <w:tc>
          <w:tcPr>
            <w:tcW w:w="580" w:type="pct"/>
            <w:tcBorders>
              <w:top w:val="single" w:sz="4" w:space="0" w:color="365F91"/>
              <w:left w:val="nil"/>
              <w:bottom w:val="single" w:sz="4" w:space="0" w:color="365F91"/>
              <w:right w:val="nil"/>
            </w:tcBorders>
            <w:shd w:val="clear" w:color="auto" w:fill="FFFFFF"/>
            <w:vAlign w:val="bottom"/>
            <w:hideMark/>
          </w:tcPr>
          <w:p w14:paraId="05E13A0E" w14:textId="77777777" w:rsidR="00524720" w:rsidRPr="00D9348B" w:rsidRDefault="00524720">
            <w:pPr>
              <w:pStyle w:val="Tableboldblue"/>
              <w:jc w:val="center"/>
            </w:pPr>
            <w:r w:rsidRPr="00D9348B">
              <w:t>1990–2018</w:t>
            </w:r>
          </w:p>
        </w:tc>
        <w:tc>
          <w:tcPr>
            <w:tcW w:w="579" w:type="pct"/>
            <w:tcBorders>
              <w:top w:val="single" w:sz="4" w:space="0" w:color="365F91"/>
              <w:left w:val="nil"/>
              <w:bottom w:val="single" w:sz="4" w:space="0" w:color="365F91"/>
              <w:right w:val="nil"/>
            </w:tcBorders>
            <w:shd w:val="clear" w:color="auto" w:fill="FFFFFF"/>
            <w:vAlign w:val="bottom"/>
            <w:hideMark/>
          </w:tcPr>
          <w:p w14:paraId="2C7CEFCC" w14:textId="77777777" w:rsidR="00524720" w:rsidRPr="00D9348B" w:rsidRDefault="00524720">
            <w:pPr>
              <w:pStyle w:val="Tableboldblue"/>
              <w:jc w:val="center"/>
            </w:pPr>
            <w:r w:rsidRPr="00D9348B">
              <w:t>1990–2018</w:t>
            </w:r>
          </w:p>
        </w:tc>
        <w:tc>
          <w:tcPr>
            <w:tcW w:w="414" w:type="pct"/>
            <w:tcBorders>
              <w:top w:val="single" w:sz="4" w:space="0" w:color="365F91"/>
              <w:left w:val="nil"/>
              <w:bottom w:val="single" w:sz="4" w:space="0" w:color="365F91"/>
              <w:right w:val="nil"/>
            </w:tcBorders>
            <w:shd w:val="clear" w:color="auto" w:fill="FFFFFF"/>
            <w:vAlign w:val="bottom"/>
            <w:hideMark/>
          </w:tcPr>
          <w:p w14:paraId="50082E3D" w14:textId="77777777" w:rsidR="00524720" w:rsidRPr="00D9348B" w:rsidRDefault="00524720">
            <w:pPr>
              <w:pStyle w:val="Tableboldblue"/>
              <w:jc w:val="center"/>
            </w:pPr>
            <w:r w:rsidRPr="00D9348B">
              <w:t>1990</w:t>
            </w:r>
          </w:p>
        </w:tc>
        <w:tc>
          <w:tcPr>
            <w:tcW w:w="447" w:type="pct"/>
            <w:tcBorders>
              <w:top w:val="single" w:sz="4" w:space="0" w:color="365F91"/>
              <w:left w:val="nil"/>
              <w:bottom w:val="single" w:sz="4" w:space="0" w:color="365F91"/>
              <w:right w:val="nil"/>
            </w:tcBorders>
            <w:shd w:val="clear" w:color="auto" w:fill="FFFFFF"/>
            <w:vAlign w:val="bottom"/>
            <w:hideMark/>
          </w:tcPr>
          <w:p w14:paraId="64E2BEC9" w14:textId="77777777" w:rsidR="00524720" w:rsidRPr="00D9348B" w:rsidRDefault="00524720">
            <w:pPr>
              <w:pStyle w:val="Tableboldblue"/>
              <w:jc w:val="center"/>
            </w:pPr>
            <w:r w:rsidRPr="00D9348B">
              <w:t>2018</w:t>
            </w:r>
          </w:p>
        </w:tc>
      </w:tr>
      <w:tr w:rsidR="00524720" w:rsidRPr="00D9348B" w14:paraId="79F19D47" w14:textId="77777777" w:rsidTr="004E50FF">
        <w:tc>
          <w:tcPr>
            <w:tcW w:w="1904" w:type="pct"/>
            <w:tcBorders>
              <w:top w:val="single" w:sz="4" w:space="0" w:color="365F91"/>
              <w:left w:val="nil"/>
              <w:bottom w:val="single" w:sz="4" w:space="0" w:color="365F91"/>
              <w:right w:val="nil"/>
            </w:tcBorders>
            <w:hideMark/>
          </w:tcPr>
          <w:p w14:paraId="3E537121" w14:textId="77777777" w:rsidR="00524720" w:rsidRPr="00D9348B" w:rsidRDefault="00524720">
            <w:pPr>
              <w:pStyle w:val="TableText"/>
            </w:pPr>
            <w:r w:rsidRPr="00D9348B">
              <w:t>Solid waste disposal (5.A)</w:t>
            </w:r>
          </w:p>
        </w:tc>
        <w:tc>
          <w:tcPr>
            <w:tcW w:w="579" w:type="pct"/>
            <w:tcBorders>
              <w:top w:val="single" w:sz="4" w:space="0" w:color="365F91"/>
              <w:left w:val="nil"/>
              <w:bottom w:val="single" w:sz="4" w:space="0" w:color="365F91"/>
              <w:right w:val="nil"/>
            </w:tcBorders>
            <w:hideMark/>
          </w:tcPr>
          <w:p w14:paraId="2227DCCD" w14:textId="77777777" w:rsidR="00524720" w:rsidRPr="00D9348B" w:rsidRDefault="00524720">
            <w:pPr>
              <w:pStyle w:val="TableText"/>
              <w:tabs>
                <w:tab w:val="decimal" w:pos="598"/>
              </w:tabs>
              <w:jc w:val="center"/>
              <w:rPr>
                <w:rFonts w:cs="Arial"/>
              </w:rPr>
            </w:pPr>
            <w:r w:rsidRPr="00D9348B">
              <w:rPr>
                <w:rFonts w:cs="Arial"/>
              </w:rPr>
              <w:t>3,711.1</w:t>
            </w:r>
          </w:p>
        </w:tc>
        <w:tc>
          <w:tcPr>
            <w:tcW w:w="497" w:type="pct"/>
            <w:tcBorders>
              <w:top w:val="single" w:sz="4" w:space="0" w:color="365F91"/>
              <w:left w:val="nil"/>
              <w:bottom w:val="single" w:sz="4" w:space="0" w:color="365F91"/>
              <w:right w:val="nil"/>
            </w:tcBorders>
            <w:hideMark/>
          </w:tcPr>
          <w:p w14:paraId="6E4E67D5" w14:textId="77777777" w:rsidR="00524720" w:rsidRPr="00D9348B" w:rsidRDefault="00524720">
            <w:pPr>
              <w:pStyle w:val="TableText"/>
              <w:tabs>
                <w:tab w:val="decimal" w:pos="598"/>
              </w:tabs>
              <w:jc w:val="center"/>
            </w:pPr>
            <w:r w:rsidRPr="00D9348B">
              <w:t>3,651.8</w:t>
            </w:r>
          </w:p>
        </w:tc>
        <w:tc>
          <w:tcPr>
            <w:tcW w:w="580" w:type="pct"/>
            <w:tcBorders>
              <w:top w:val="single" w:sz="4" w:space="0" w:color="365F91"/>
              <w:left w:val="nil"/>
              <w:bottom w:val="single" w:sz="4" w:space="0" w:color="365F91"/>
              <w:right w:val="nil"/>
            </w:tcBorders>
            <w:hideMark/>
          </w:tcPr>
          <w:p w14:paraId="50F23B88" w14:textId="77777777" w:rsidR="00524720" w:rsidRPr="00D9348B" w:rsidRDefault="00524720">
            <w:pPr>
              <w:pStyle w:val="TableText"/>
              <w:tabs>
                <w:tab w:val="decimal" w:pos="598"/>
              </w:tabs>
              <w:jc w:val="right"/>
            </w:pPr>
            <w:r w:rsidRPr="00D9348B">
              <w:t>–59.3</w:t>
            </w:r>
          </w:p>
        </w:tc>
        <w:tc>
          <w:tcPr>
            <w:tcW w:w="579" w:type="pct"/>
            <w:tcBorders>
              <w:top w:val="single" w:sz="4" w:space="0" w:color="365F91"/>
              <w:left w:val="nil"/>
              <w:bottom w:val="single" w:sz="4" w:space="0" w:color="365F91"/>
              <w:right w:val="nil"/>
            </w:tcBorders>
            <w:hideMark/>
          </w:tcPr>
          <w:p w14:paraId="77E2B2A2" w14:textId="77777777" w:rsidR="00524720" w:rsidRPr="00D9348B" w:rsidRDefault="00524720">
            <w:pPr>
              <w:pStyle w:val="TableText"/>
              <w:tabs>
                <w:tab w:val="decimal" w:pos="598"/>
              </w:tabs>
              <w:jc w:val="right"/>
            </w:pPr>
            <w:r w:rsidRPr="00D9348B">
              <w:t>–1.6</w:t>
            </w:r>
          </w:p>
        </w:tc>
        <w:tc>
          <w:tcPr>
            <w:tcW w:w="414" w:type="pct"/>
            <w:tcBorders>
              <w:top w:val="single" w:sz="4" w:space="0" w:color="365F91"/>
              <w:left w:val="nil"/>
              <w:bottom w:val="single" w:sz="4" w:space="0" w:color="365F91"/>
              <w:right w:val="nil"/>
            </w:tcBorders>
            <w:hideMark/>
          </w:tcPr>
          <w:p w14:paraId="4EEBF613" w14:textId="77777777" w:rsidR="00524720" w:rsidRPr="00D9348B" w:rsidRDefault="00524720">
            <w:pPr>
              <w:pStyle w:val="TableText"/>
              <w:tabs>
                <w:tab w:val="decimal" w:pos="598"/>
              </w:tabs>
              <w:jc w:val="right"/>
            </w:pPr>
            <w:r w:rsidRPr="00D9348B">
              <w:t>91.7</w:t>
            </w:r>
          </w:p>
        </w:tc>
        <w:tc>
          <w:tcPr>
            <w:tcW w:w="447" w:type="pct"/>
            <w:tcBorders>
              <w:top w:val="single" w:sz="4" w:space="0" w:color="365F91"/>
              <w:left w:val="nil"/>
              <w:bottom w:val="single" w:sz="4" w:space="0" w:color="365F91"/>
              <w:right w:val="nil"/>
            </w:tcBorders>
            <w:hideMark/>
          </w:tcPr>
          <w:p w14:paraId="4D4C0F3E" w14:textId="77777777" w:rsidR="00524720" w:rsidRPr="00D9348B" w:rsidRDefault="00524720">
            <w:pPr>
              <w:pStyle w:val="TableText"/>
              <w:tabs>
                <w:tab w:val="decimal" w:pos="598"/>
              </w:tabs>
              <w:jc w:val="right"/>
            </w:pPr>
            <w:r w:rsidRPr="00D9348B">
              <w:t>90.0</w:t>
            </w:r>
          </w:p>
        </w:tc>
      </w:tr>
      <w:tr w:rsidR="00524720" w:rsidRPr="00D9348B" w14:paraId="58C61818" w14:textId="77777777" w:rsidTr="004E50FF">
        <w:tc>
          <w:tcPr>
            <w:tcW w:w="1904" w:type="pct"/>
            <w:tcBorders>
              <w:top w:val="single" w:sz="4" w:space="0" w:color="365F91"/>
              <w:left w:val="nil"/>
              <w:bottom w:val="single" w:sz="4" w:space="0" w:color="365F91"/>
              <w:right w:val="nil"/>
            </w:tcBorders>
            <w:hideMark/>
          </w:tcPr>
          <w:p w14:paraId="452BB23E" w14:textId="77777777" w:rsidR="00524720" w:rsidRPr="00D9348B" w:rsidRDefault="00524720">
            <w:pPr>
              <w:pStyle w:val="TableText"/>
            </w:pPr>
            <w:r w:rsidRPr="00D9348B">
              <w:t>Biological treatment of solid waste (5.B)</w:t>
            </w:r>
          </w:p>
        </w:tc>
        <w:tc>
          <w:tcPr>
            <w:tcW w:w="579" w:type="pct"/>
            <w:tcBorders>
              <w:top w:val="single" w:sz="4" w:space="0" w:color="365F91"/>
              <w:left w:val="nil"/>
              <w:bottom w:val="single" w:sz="4" w:space="0" w:color="365F91"/>
              <w:right w:val="nil"/>
            </w:tcBorders>
            <w:hideMark/>
          </w:tcPr>
          <w:p w14:paraId="3861BB55" w14:textId="77777777" w:rsidR="00524720" w:rsidRPr="00D9348B" w:rsidRDefault="00524720">
            <w:pPr>
              <w:pStyle w:val="TableText"/>
              <w:tabs>
                <w:tab w:val="decimal" w:pos="598"/>
              </w:tabs>
              <w:jc w:val="center"/>
            </w:pPr>
            <w:r w:rsidRPr="00D9348B">
              <w:t>4.7</w:t>
            </w:r>
          </w:p>
        </w:tc>
        <w:tc>
          <w:tcPr>
            <w:tcW w:w="497" w:type="pct"/>
            <w:tcBorders>
              <w:top w:val="single" w:sz="4" w:space="0" w:color="365F91"/>
              <w:left w:val="nil"/>
              <w:bottom w:val="single" w:sz="4" w:space="0" w:color="365F91"/>
              <w:right w:val="nil"/>
            </w:tcBorders>
            <w:hideMark/>
          </w:tcPr>
          <w:p w14:paraId="185C784F" w14:textId="77777777" w:rsidR="00524720" w:rsidRPr="00D9348B" w:rsidRDefault="00524720">
            <w:pPr>
              <w:pStyle w:val="TableText"/>
              <w:tabs>
                <w:tab w:val="decimal" w:pos="598"/>
              </w:tabs>
              <w:jc w:val="center"/>
            </w:pPr>
            <w:r w:rsidRPr="00D9348B">
              <w:t>34.9</w:t>
            </w:r>
          </w:p>
        </w:tc>
        <w:tc>
          <w:tcPr>
            <w:tcW w:w="580" w:type="pct"/>
            <w:tcBorders>
              <w:top w:val="single" w:sz="4" w:space="0" w:color="365F91"/>
              <w:left w:val="nil"/>
              <w:bottom w:val="single" w:sz="4" w:space="0" w:color="365F91"/>
              <w:right w:val="nil"/>
            </w:tcBorders>
            <w:hideMark/>
          </w:tcPr>
          <w:p w14:paraId="2E802CAB" w14:textId="77777777" w:rsidR="00524720" w:rsidRPr="00D9348B" w:rsidRDefault="00524720">
            <w:pPr>
              <w:pStyle w:val="TableText"/>
              <w:tabs>
                <w:tab w:val="decimal" w:pos="598"/>
              </w:tabs>
              <w:jc w:val="right"/>
            </w:pPr>
            <w:r w:rsidRPr="00D9348B">
              <w:t>30.3</w:t>
            </w:r>
          </w:p>
        </w:tc>
        <w:tc>
          <w:tcPr>
            <w:tcW w:w="579" w:type="pct"/>
            <w:tcBorders>
              <w:top w:val="single" w:sz="4" w:space="0" w:color="365F91"/>
              <w:left w:val="nil"/>
              <w:bottom w:val="single" w:sz="4" w:space="0" w:color="365F91"/>
              <w:right w:val="nil"/>
            </w:tcBorders>
            <w:hideMark/>
          </w:tcPr>
          <w:p w14:paraId="063E57EB" w14:textId="77777777" w:rsidR="00524720" w:rsidRPr="00D9348B" w:rsidRDefault="00524720">
            <w:pPr>
              <w:pStyle w:val="TableText"/>
              <w:tabs>
                <w:tab w:val="decimal" w:pos="598"/>
              </w:tabs>
              <w:jc w:val="right"/>
            </w:pPr>
            <w:r w:rsidRPr="00D9348B">
              <w:t>644.3</w:t>
            </w:r>
          </w:p>
        </w:tc>
        <w:tc>
          <w:tcPr>
            <w:tcW w:w="414" w:type="pct"/>
            <w:tcBorders>
              <w:top w:val="single" w:sz="4" w:space="0" w:color="365F91"/>
              <w:left w:val="nil"/>
              <w:bottom w:val="single" w:sz="4" w:space="0" w:color="365F91"/>
              <w:right w:val="nil"/>
            </w:tcBorders>
            <w:hideMark/>
          </w:tcPr>
          <w:p w14:paraId="20BF83E7" w14:textId="77777777" w:rsidR="00524720" w:rsidRPr="00D9348B" w:rsidRDefault="00524720">
            <w:pPr>
              <w:pStyle w:val="TableText"/>
              <w:tabs>
                <w:tab w:val="decimal" w:pos="598"/>
              </w:tabs>
              <w:jc w:val="right"/>
            </w:pPr>
            <w:r w:rsidRPr="00D9348B">
              <w:t>0.1</w:t>
            </w:r>
          </w:p>
        </w:tc>
        <w:tc>
          <w:tcPr>
            <w:tcW w:w="447" w:type="pct"/>
            <w:tcBorders>
              <w:top w:val="single" w:sz="4" w:space="0" w:color="365F91"/>
              <w:left w:val="nil"/>
              <w:bottom w:val="single" w:sz="4" w:space="0" w:color="365F91"/>
              <w:right w:val="nil"/>
            </w:tcBorders>
            <w:hideMark/>
          </w:tcPr>
          <w:p w14:paraId="6E33EADD" w14:textId="77777777" w:rsidR="00524720" w:rsidRPr="00D9348B" w:rsidRDefault="00524720">
            <w:pPr>
              <w:pStyle w:val="TableText"/>
              <w:tabs>
                <w:tab w:val="decimal" w:pos="598"/>
              </w:tabs>
              <w:jc w:val="right"/>
            </w:pPr>
            <w:r w:rsidRPr="00D9348B">
              <w:t>0.9</w:t>
            </w:r>
          </w:p>
        </w:tc>
      </w:tr>
      <w:tr w:rsidR="00524720" w:rsidRPr="00D9348B" w14:paraId="6D35387E" w14:textId="77777777" w:rsidTr="004E50FF">
        <w:tc>
          <w:tcPr>
            <w:tcW w:w="1904" w:type="pct"/>
            <w:tcBorders>
              <w:top w:val="single" w:sz="4" w:space="0" w:color="365F91"/>
              <w:left w:val="nil"/>
              <w:bottom w:val="single" w:sz="4" w:space="0" w:color="365F91"/>
              <w:right w:val="nil"/>
            </w:tcBorders>
            <w:hideMark/>
          </w:tcPr>
          <w:p w14:paraId="42973BA4" w14:textId="77777777" w:rsidR="00524720" w:rsidRPr="00D9348B" w:rsidRDefault="00524720">
            <w:pPr>
              <w:pStyle w:val="TableText"/>
            </w:pPr>
            <w:r w:rsidRPr="00D9348B">
              <w:t>Incineration and open burning of waste (5.C)</w:t>
            </w:r>
          </w:p>
        </w:tc>
        <w:tc>
          <w:tcPr>
            <w:tcW w:w="579" w:type="pct"/>
            <w:tcBorders>
              <w:top w:val="single" w:sz="4" w:space="0" w:color="365F91"/>
              <w:left w:val="nil"/>
              <w:bottom w:val="single" w:sz="4" w:space="0" w:color="365F91"/>
              <w:right w:val="nil"/>
            </w:tcBorders>
            <w:hideMark/>
          </w:tcPr>
          <w:p w14:paraId="3ED7E423" w14:textId="77777777" w:rsidR="00524720" w:rsidRPr="00D9348B" w:rsidRDefault="00524720">
            <w:pPr>
              <w:pStyle w:val="TableText"/>
              <w:tabs>
                <w:tab w:val="decimal" w:pos="598"/>
              </w:tabs>
              <w:jc w:val="center"/>
            </w:pPr>
            <w:r w:rsidRPr="00D9348B">
              <w:t>24.6</w:t>
            </w:r>
          </w:p>
        </w:tc>
        <w:tc>
          <w:tcPr>
            <w:tcW w:w="497" w:type="pct"/>
            <w:tcBorders>
              <w:top w:val="single" w:sz="4" w:space="0" w:color="365F91"/>
              <w:left w:val="nil"/>
              <w:bottom w:val="single" w:sz="4" w:space="0" w:color="365F91"/>
              <w:right w:val="nil"/>
            </w:tcBorders>
            <w:hideMark/>
          </w:tcPr>
          <w:p w14:paraId="7B57D938" w14:textId="77777777" w:rsidR="00524720" w:rsidRPr="00D9348B" w:rsidRDefault="00524720">
            <w:pPr>
              <w:pStyle w:val="TableText"/>
              <w:tabs>
                <w:tab w:val="decimal" w:pos="598"/>
              </w:tabs>
              <w:jc w:val="center"/>
            </w:pPr>
            <w:r w:rsidRPr="00D9348B">
              <w:t>8.6</w:t>
            </w:r>
          </w:p>
        </w:tc>
        <w:tc>
          <w:tcPr>
            <w:tcW w:w="580" w:type="pct"/>
            <w:tcBorders>
              <w:top w:val="single" w:sz="4" w:space="0" w:color="365F91"/>
              <w:left w:val="nil"/>
              <w:bottom w:val="single" w:sz="4" w:space="0" w:color="365F91"/>
              <w:right w:val="nil"/>
            </w:tcBorders>
            <w:hideMark/>
          </w:tcPr>
          <w:p w14:paraId="7435369F" w14:textId="77777777" w:rsidR="00524720" w:rsidRPr="00D9348B" w:rsidRDefault="00524720">
            <w:pPr>
              <w:pStyle w:val="TableText"/>
              <w:tabs>
                <w:tab w:val="decimal" w:pos="598"/>
              </w:tabs>
              <w:jc w:val="right"/>
            </w:pPr>
            <w:r w:rsidRPr="00D9348B">
              <w:t>–16.0</w:t>
            </w:r>
          </w:p>
        </w:tc>
        <w:tc>
          <w:tcPr>
            <w:tcW w:w="579" w:type="pct"/>
            <w:tcBorders>
              <w:top w:val="single" w:sz="4" w:space="0" w:color="365F91"/>
              <w:left w:val="nil"/>
              <w:bottom w:val="single" w:sz="4" w:space="0" w:color="365F91"/>
              <w:right w:val="nil"/>
            </w:tcBorders>
            <w:hideMark/>
          </w:tcPr>
          <w:p w14:paraId="387D6693" w14:textId="77777777" w:rsidR="00524720" w:rsidRPr="00D9348B" w:rsidRDefault="00524720">
            <w:pPr>
              <w:pStyle w:val="TableText"/>
              <w:tabs>
                <w:tab w:val="decimal" w:pos="598"/>
              </w:tabs>
              <w:jc w:val="right"/>
            </w:pPr>
            <w:r w:rsidRPr="00D9348B">
              <w:t>–65.0</w:t>
            </w:r>
          </w:p>
        </w:tc>
        <w:tc>
          <w:tcPr>
            <w:tcW w:w="414" w:type="pct"/>
            <w:tcBorders>
              <w:top w:val="single" w:sz="4" w:space="0" w:color="365F91"/>
              <w:left w:val="nil"/>
              <w:bottom w:val="single" w:sz="4" w:space="0" w:color="365F91"/>
              <w:right w:val="nil"/>
            </w:tcBorders>
            <w:hideMark/>
          </w:tcPr>
          <w:p w14:paraId="3DD4F623" w14:textId="77777777" w:rsidR="00524720" w:rsidRPr="00D9348B" w:rsidRDefault="00524720">
            <w:pPr>
              <w:pStyle w:val="TableText"/>
              <w:tabs>
                <w:tab w:val="decimal" w:pos="598"/>
              </w:tabs>
              <w:jc w:val="right"/>
            </w:pPr>
            <w:r w:rsidRPr="00D9348B">
              <w:t>0.6</w:t>
            </w:r>
          </w:p>
        </w:tc>
        <w:tc>
          <w:tcPr>
            <w:tcW w:w="447" w:type="pct"/>
            <w:tcBorders>
              <w:top w:val="single" w:sz="4" w:space="0" w:color="365F91"/>
              <w:left w:val="nil"/>
              <w:bottom w:val="single" w:sz="4" w:space="0" w:color="365F91"/>
              <w:right w:val="nil"/>
            </w:tcBorders>
            <w:hideMark/>
          </w:tcPr>
          <w:p w14:paraId="2DF3634C" w14:textId="77777777" w:rsidR="00524720" w:rsidRPr="00D9348B" w:rsidRDefault="00524720">
            <w:pPr>
              <w:pStyle w:val="TableText"/>
              <w:tabs>
                <w:tab w:val="decimal" w:pos="598"/>
              </w:tabs>
              <w:jc w:val="right"/>
            </w:pPr>
            <w:r w:rsidRPr="00D9348B">
              <w:t>0.2</w:t>
            </w:r>
          </w:p>
        </w:tc>
      </w:tr>
      <w:tr w:rsidR="00524720" w:rsidRPr="00D9348B" w14:paraId="5A96F091" w14:textId="77777777" w:rsidTr="004E50FF">
        <w:tc>
          <w:tcPr>
            <w:tcW w:w="1904" w:type="pct"/>
            <w:tcBorders>
              <w:top w:val="single" w:sz="4" w:space="0" w:color="365F91"/>
              <w:left w:val="nil"/>
              <w:bottom w:val="single" w:sz="4" w:space="0" w:color="365F91"/>
              <w:right w:val="nil"/>
            </w:tcBorders>
            <w:hideMark/>
          </w:tcPr>
          <w:p w14:paraId="2DC52A78" w14:textId="77777777" w:rsidR="00524720" w:rsidRPr="00D9348B" w:rsidRDefault="00524720">
            <w:pPr>
              <w:pStyle w:val="TableText"/>
            </w:pPr>
            <w:r w:rsidRPr="00D9348B">
              <w:t>Wastewater treatment and discharge (5.D)</w:t>
            </w:r>
          </w:p>
        </w:tc>
        <w:tc>
          <w:tcPr>
            <w:tcW w:w="579" w:type="pct"/>
            <w:tcBorders>
              <w:top w:val="single" w:sz="4" w:space="0" w:color="365F91"/>
              <w:left w:val="nil"/>
              <w:bottom w:val="single" w:sz="4" w:space="0" w:color="365F91"/>
              <w:right w:val="nil"/>
            </w:tcBorders>
            <w:hideMark/>
          </w:tcPr>
          <w:p w14:paraId="7FFAF842" w14:textId="77777777" w:rsidR="00524720" w:rsidRPr="00D9348B" w:rsidRDefault="00524720">
            <w:pPr>
              <w:pStyle w:val="TableText"/>
              <w:tabs>
                <w:tab w:val="decimal" w:pos="598"/>
              </w:tabs>
              <w:jc w:val="center"/>
            </w:pPr>
            <w:r w:rsidRPr="00D9348B">
              <w:t>307.2</w:t>
            </w:r>
          </w:p>
        </w:tc>
        <w:tc>
          <w:tcPr>
            <w:tcW w:w="497" w:type="pct"/>
            <w:tcBorders>
              <w:top w:val="single" w:sz="4" w:space="0" w:color="365F91"/>
              <w:left w:val="nil"/>
              <w:bottom w:val="single" w:sz="4" w:space="0" w:color="365F91"/>
              <w:right w:val="nil"/>
            </w:tcBorders>
            <w:hideMark/>
          </w:tcPr>
          <w:p w14:paraId="5A1304CB" w14:textId="77777777" w:rsidR="00524720" w:rsidRPr="00D9348B" w:rsidRDefault="00524720">
            <w:pPr>
              <w:pStyle w:val="TableText"/>
              <w:tabs>
                <w:tab w:val="decimal" w:pos="598"/>
              </w:tabs>
              <w:jc w:val="center"/>
            </w:pPr>
            <w:r w:rsidRPr="00D9348B">
              <w:t>362.1</w:t>
            </w:r>
          </w:p>
        </w:tc>
        <w:tc>
          <w:tcPr>
            <w:tcW w:w="580" w:type="pct"/>
            <w:tcBorders>
              <w:top w:val="single" w:sz="4" w:space="0" w:color="365F91"/>
              <w:left w:val="nil"/>
              <w:bottom w:val="single" w:sz="4" w:space="0" w:color="365F91"/>
              <w:right w:val="nil"/>
            </w:tcBorders>
            <w:hideMark/>
          </w:tcPr>
          <w:p w14:paraId="26ABD3A9" w14:textId="77777777" w:rsidR="00524720" w:rsidRPr="00D9348B" w:rsidRDefault="00524720">
            <w:pPr>
              <w:pStyle w:val="TableText"/>
              <w:tabs>
                <w:tab w:val="decimal" w:pos="598"/>
              </w:tabs>
              <w:jc w:val="right"/>
            </w:pPr>
            <w:r w:rsidRPr="00D9348B">
              <w:t>54.8</w:t>
            </w:r>
          </w:p>
        </w:tc>
        <w:tc>
          <w:tcPr>
            <w:tcW w:w="579" w:type="pct"/>
            <w:tcBorders>
              <w:top w:val="single" w:sz="4" w:space="0" w:color="365F91"/>
              <w:left w:val="nil"/>
              <w:bottom w:val="single" w:sz="4" w:space="0" w:color="365F91"/>
              <w:right w:val="nil"/>
            </w:tcBorders>
            <w:hideMark/>
          </w:tcPr>
          <w:p w14:paraId="28E3D429" w14:textId="77777777" w:rsidR="00524720" w:rsidRPr="00D9348B" w:rsidRDefault="00524720">
            <w:pPr>
              <w:pStyle w:val="TableText"/>
              <w:tabs>
                <w:tab w:val="decimal" w:pos="598"/>
              </w:tabs>
              <w:jc w:val="right"/>
            </w:pPr>
            <w:r w:rsidRPr="00D9348B">
              <w:t>17.8</w:t>
            </w:r>
          </w:p>
        </w:tc>
        <w:tc>
          <w:tcPr>
            <w:tcW w:w="414" w:type="pct"/>
            <w:tcBorders>
              <w:top w:val="single" w:sz="4" w:space="0" w:color="365F91"/>
              <w:left w:val="nil"/>
              <w:bottom w:val="single" w:sz="4" w:space="0" w:color="365F91"/>
              <w:right w:val="nil"/>
            </w:tcBorders>
            <w:hideMark/>
          </w:tcPr>
          <w:p w14:paraId="474EF399" w14:textId="77777777" w:rsidR="00524720" w:rsidRPr="00D9348B" w:rsidRDefault="00524720">
            <w:pPr>
              <w:pStyle w:val="TableText"/>
              <w:tabs>
                <w:tab w:val="decimal" w:pos="598"/>
              </w:tabs>
              <w:jc w:val="right"/>
            </w:pPr>
            <w:r w:rsidRPr="00D9348B">
              <w:t>7.6</w:t>
            </w:r>
          </w:p>
        </w:tc>
        <w:tc>
          <w:tcPr>
            <w:tcW w:w="447" w:type="pct"/>
            <w:tcBorders>
              <w:top w:val="single" w:sz="4" w:space="0" w:color="365F91"/>
              <w:left w:val="nil"/>
              <w:bottom w:val="single" w:sz="4" w:space="0" w:color="365F91"/>
              <w:right w:val="nil"/>
            </w:tcBorders>
            <w:hideMark/>
          </w:tcPr>
          <w:p w14:paraId="3AE41218" w14:textId="77777777" w:rsidR="00524720" w:rsidRPr="00D9348B" w:rsidRDefault="00524720">
            <w:pPr>
              <w:pStyle w:val="TableText"/>
              <w:tabs>
                <w:tab w:val="decimal" w:pos="598"/>
              </w:tabs>
              <w:jc w:val="right"/>
            </w:pPr>
            <w:r w:rsidRPr="00D9348B">
              <w:t>8.9</w:t>
            </w:r>
          </w:p>
        </w:tc>
      </w:tr>
      <w:tr w:rsidR="00524720" w:rsidRPr="00D9348B" w14:paraId="676C4FA6" w14:textId="77777777" w:rsidTr="004E50FF">
        <w:tc>
          <w:tcPr>
            <w:tcW w:w="1904" w:type="pct"/>
            <w:tcBorders>
              <w:top w:val="single" w:sz="4" w:space="0" w:color="365F91"/>
              <w:left w:val="nil"/>
              <w:bottom w:val="single" w:sz="4" w:space="0" w:color="365F91"/>
              <w:right w:val="nil"/>
            </w:tcBorders>
            <w:shd w:val="clear" w:color="auto" w:fill="FFFFFF"/>
            <w:hideMark/>
          </w:tcPr>
          <w:p w14:paraId="6B97E050" w14:textId="77777777" w:rsidR="00524720" w:rsidRPr="00D9348B" w:rsidRDefault="00524720">
            <w:pPr>
              <w:pStyle w:val="Tableboldblue"/>
            </w:pPr>
            <w:r w:rsidRPr="00D9348B">
              <w:t>Total</w:t>
            </w:r>
          </w:p>
        </w:tc>
        <w:tc>
          <w:tcPr>
            <w:tcW w:w="579" w:type="pct"/>
            <w:tcBorders>
              <w:top w:val="single" w:sz="4" w:space="0" w:color="365F91"/>
              <w:left w:val="nil"/>
              <w:bottom w:val="single" w:sz="4" w:space="0" w:color="365F91"/>
              <w:right w:val="nil"/>
            </w:tcBorders>
            <w:shd w:val="clear" w:color="auto" w:fill="FFFFFF"/>
            <w:hideMark/>
          </w:tcPr>
          <w:p w14:paraId="3C853DA5" w14:textId="77777777" w:rsidR="00524720" w:rsidRPr="00D9348B" w:rsidRDefault="00524720">
            <w:pPr>
              <w:pStyle w:val="Tableboldblue"/>
              <w:jc w:val="right"/>
            </w:pPr>
            <w:r w:rsidRPr="00D9348B">
              <w:t>4,047.6</w:t>
            </w:r>
          </w:p>
        </w:tc>
        <w:tc>
          <w:tcPr>
            <w:tcW w:w="497" w:type="pct"/>
            <w:tcBorders>
              <w:top w:val="single" w:sz="4" w:space="0" w:color="365F91"/>
              <w:left w:val="nil"/>
              <w:bottom w:val="single" w:sz="4" w:space="0" w:color="365F91"/>
              <w:right w:val="nil"/>
            </w:tcBorders>
            <w:shd w:val="clear" w:color="auto" w:fill="FFFFFF"/>
            <w:hideMark/>
          </w:tcPr>
          <w:p w14:paraId="5E9AC206" w14:textId="77777777" w:rsidR="00524720" w:rsidRPr="00D9348B" w:rsidRDefault="00524720">
            <w:pPr>
              <w:pStyle w:val="Tableboldblue"/>
              <w:jc w:val="right"/>
            </w:pPr>
            <w:r w:rsidRPr="00D9348B">
              <w:t>4,057.4</w:t>
            </w:r>
          </w:p>
        </w:tc>
        <w:tc>
          <w:tcPr>
            <w:tcW w:w="580" w:type="pct"/>
            <w:tcBorders>
              <w:top w:val="single" w:sz="4" w:space="0" w:color="365F91"/>
              <w:left w:val="nil"/>
              <w:bottom w:val="single" w:sz="4" w:space="0" w:color="365F91"/>
              <w:right w:val="nil"/>
            </w:tcBorders>
            <w:shd w:val="clear" w:color="auto" w:fill="FFFFFF"/>
            <w:hideMark/>
          </w:tcPr>
          <w:p w14:paraId="72124D46" w14:textId="77777777" w:rsidR="00524720" w:rsidRPr="00D9348B" w:rsidRDefault="00524720">
            <w:pPr>
              <w:pStyle w:val="Tableboldblue"/>
              <w:jc w:val="right"/>
            </w:pPr>
            <w:r w:rsidRPr="00D9348B">
              <w:t>9.8</w:t>
            </w:r>
          </w:p>
        </w:tc>
        <w:tc>
          <w:tcPr>
            <w:tcW w:w="579" w:type="pct"/>
            <w:tcBorders>
              <w:top w:val="single" w:sz="4" w:space="0" w:color="365F91"/>
              <w:left w:val="nil"/>
              <w:bottom w:val="single" w:sz="4" w:space="0" w:color="365F91"/>
              <w:right w:val="nil"/>
            </w:tcBorders>
            <w:shd w:val="clear" w:color="auto" w:fill="FFFFFF"/>
            <w:hideMark/>
          </w:tcPr>
          <w:p w14:paraId="432B6240" w14:textId="77777777" w:rsidR="00524720" w:rsidRPr="00D9348B" w:rsidRDefault="00524720">
            <w:pPr>
              <w:pStyle w:val="Tableboldblue"/>
              <w:jc w:val="right"/>
            </w:pPr>
            <w:r w:rsidRPr="00D9348B">
              <w:t>0.2</w:t>
            </w:r>
          </w:p>
        </w:tc>
        <w:tc>
          <w:tcPr>
            <w:tcW w:w="414" w:type="pct"/>
            <w:tcBorders>
              <w:top w:val="single" w:sz="4" w:space="0" w:color="365F91"/>
              <w:left w:val="nil"/>
              <w:bottom w:val="single" w:sz="4" w:space="0" w:color="365F91"/>
              <w:right w:val="nil"/>
            </w:tcBorders>
            <w:shd w:val="clear" w:color="auto" w:fill="FFFFFF"/>
            <w:hideMark/>
          </w:tcPr>
          <w:p w14:paraId="726519C6" w14:textId="77777777" w:rsidR="00524720" w:rsidRPr="00D9348B" w:rsidRDefault="00524720">
            <w:pPr>
              <w:pStyle w:val="Tableboldblue"/>
              <w:jc w:val="right"/>
            </w:pPr>
            <w:r w:rsidRPr="00D9348B">
              <w:t>–</w:t>
            </w:r>
          </w:p>
        </w:tc>
        <w:tc>
          <w:tcPr>
            <w:tcW w:w="447" w:type="pct"/>
            <w:tcBorders>
              <w:top w:val="single" w:sz="4" w:space="0" w:color="365F91"/>
              <w:left w:val="nil"/>
              <w:bottom w:val="single" w:sz="4" w:space="0" w:color="365F91"/>
              <w:right w:val="nil"/>
            </w:tcBorders>
            <w:shd w:val="clear" w:color="auto" w:fill="FFFFFF"/>
            <w:hideMark/>
          </w:tcPr>
          <w:p w14:paraId="2B9AA9AE" w14:textId="77777777" w:rsidR="00524720" w:rsidRPr="00D9348B" w:rsidRDefault="00524720">
            <w:pPr>
              <w:pStyle w:val="Tableboldblue"/>
              <w:jc w:val="right"/>
            </w:pPr>
            <w:r w:rsidRPr="00D9348B">
              <w:t>–</w:t>
            </w:r>
          </w:p>
        </w:tc>
      </w:tr>
    </w:tbl>
    <w:p w14:paraId="41389288" w14:textId="77777777" w:rsidR="00524720" w:rsidRPr="00D9348B" w:rsidRDefault="00524720" w:rsidP="00524720">
      <w:pPr>
        <w:pStyle w:val="Noteundertable"/>
      </w:pPr>
      <w:r w:rsidRPr="00D9348B">
        <w:rPr>
          <w:b/>
        </w:rPr>
        <w:t>Note:</w:t>
      </w:r>
      <w:r w:rsidRPr="00D9348B">
        <w:tab/>
        <w:t>Percentages presented are calculated from unrounded values. Columns may not total due to rounding.</w:t>
      </w:r>
    </w:p>
    <w:p w14:paraId="325A5595" w14:textId="77777777" w:rsidR="00524720" w:rsidRPr="00D9348B" w:rsidRDefault="00524720" w:rsidP="00524720">
      <w:pPr>
        <w:pStyle w:val="Figure"/>
        <w:spacing w:before="240"/>
      </w:pPr>
      <w:bookmarkStart w:id="2610" w:name="_Toc32828375"/>
      <w:bookmarkStart w:id="2611" w:name="_Toc36292819"/>
      <w:bookmarkStart w:id="2612" w:name="_Toc5269716"/>
      <w:bookmarkStart w:id="2613" w:name="_Toc511116987"/>
      <w:bookmarkStart w:id="2614" w:name="_Toc481752036"/>
      <w:bookmarkStart w:id="2615" w:name="_Toc447275717"/>
      <w:bookmarkStart w:id="2616" w:name="_Toc444001673"/>
      <w:bookmarkStart w:id="2617" w:name="_Toc352505151"/>
      <w:bookmarkStart w:id="2618" w:name="_Toc342470823"/>
      <w:bookmarkStart w:id="2619" w:name="_Toc318362743"/>
      <w:r w:rsidRPr="00D9348B">
        <w:t>Figure 7.1.1</w:t>
      </w:r>
      <w:r w:rsidRPr="00D9348B">
        <w:tab/>
        <w:t>Profile of emissions from New Zealand’s Waste sector by source from 1990 to 2018</w:t>
      </w:r>
      <w:bookmarkEnd w:id="2610"/>
      <w:bookmarkEnd w:id="2611"/>
    </w:p>
    <w:bookmarkEnd w:id="2612"/>
    <w:bookmarkEnd w:id="2613"/>
    <w:p w14:paraId="4E91F75D" w14:textId="2A0D40B8" w:rsidR="00524720" w:rsidRPr="00D9348B" w:rsidRDefault="007165CF" w:rsidP="00524720">
      <w:pPr>
        <w:pStyle w:val="Noteundertable"/>
      </w:pPr>
      <w:r>
        <w:pict w14:anchorId="6A887BE9">
          <v:shape id="_x0000_i1148" type="#_x0000_t75" style="width:424.5pt;height:235.4pt;visibility:visible;mso-wrap-style:square">
            <v:imagedata r:id="rId237" o:title="" cropbottom="4702f" cropleft="1713f"/>
          </v:shape>
        </w:pict>
      </w:r>
    </w:p>
    <w:p w14:paraId="50CB9A81" w14:textId="77777777" w:rsidR="00524720" w:rsidRPr="00D9348B" w:rsidRDefault="00524720" w:rsidP="00524720">
      <w:pPr>
        <w:pStyle w:val="Figure"/>
        <w:spacing w:after="60"/>
      </w:pPr>
      <w:bookmarkStart w:id="2620" w:name="_Toc5269717"/>
      <w:bookmarkStart w:id="2621" w:name="_Toc481752037"/>
      <w:bookmarkStart w:id="2622" w:name="_Toc447275718"/>
      <w:bookmarkStart w:id="2623" w:name="_Toc444001674"/>
      <w:bookmarkStart w:id="2624" w:name="_Toc511116988"/>
      <w:bookmarkStart w:id="2625" w:name="_Toc32828376"/>
      <w:bookmarkStart w:id="2626" w:name="_Toc36292820"/>
      <w:bookmarkEnd w:id="2614"/>
      <w:bookmarkEnd w:id="2615"/>
      <w:bookmarkEnd w:id="2616"/>
      <w:bookmarkEnd w:id="2617"/>
      <w:bookmarkEnd w:id="2618"/>
      <w:bookmarkEnd w:id="2619"/>
      <w:r w:rsidRPr="00D9348B">
        <w:lastRenderedPageBreak/>
        <w:t>Figure 7.1.2</w:t>
      </w:r>
      <w:r w:rsidRPr="00D9348B">
        <w:tab/>
        <w:t>Change in New Zealand’s emissions from the Waste sector by source category</w:t>
      </w:r>
      <w:r w:rsidRPr="00D9348B">
        <w:br/>
        <w:t>from 1990 to </w:t>
      </w:r>
      <w:bookmarkEnd w:id="2620"/>
      <w:bookmarkEnd w:id="2621"/>
      <w:bookmarkEnd w:id="2622"/>
      <w:bookmarkEnd w:id="2623"/>
      <w:bookmarkEnd w:id="2624"/>
      <w:r w:rsidRPr="00D9348B">
        <w:t>2018</w:t>
      </w:r>
      <w:bookmarkEnd w:id="2625"/>
      <w:bookmarkEnd w:id="2626"/>
    </w:p>
    <w:p w14:paraId="2DF31A09" w14:textId="77777777" w:rsidR="00524720" w:rsidRPr="00D9348B" w:rsidRDefault="007165CF" w:rsidP="00627DAF">
      <w:pPr>
        <w:pStyle w:val="BodyText"/>
      </w:pPr>
      <w:r>
        <w:pict w14:anchorId="11067895">
          <v:shape id="_x0000_i1149" type="#_x0000_t75" style="width:381.9pt;height:224.75pt;visibility:visible;mso-wrap-style:square">
            <v:imagedata r:id="rId238" o:title="" croptop="3675f" cropbottom="1381f"/>
          </v:shape>
        </w:pict>
      </w:r>
    </w:p>
    <w:p w14:paraId="623A9692" w14:textId="77777777" w:rsidR="00524720" w:rsidRPr="00D9348B" w:rsidRDefault="00524720" w:rsidP="00524720">
      <w:pPr>
        <w:pStyle w:val="Heading3"/>
        <w:spacing w:before="240"/>
      </w:pPr>
      <w:bookmarkStart w:id="2627" w:name="_Toc32828323"/>
      <w:bookmarkStart w:id="2628" w:name="_Toc261513712"/>
      <w:bookmarkStart w:id="2629" w:name="_Toc261513099"/>
      <w:bookmarkStart w:id="2630" w:name="_Toc255466292"/>
      <w:r w:rsidRPr="00D9348B">
        <w:t>7.1.3</w:t>
      </w:r>
      <w:r w:rsidRPr="00D9348B">
        <w:tab/>
        <w:t>Key categories for Waste sector emissions</w:t>
      </w:r>
      <w:bookmarkEnd w:id="2627"/>
    </w:p>
    <w:p w14:paraId="7CAF4DEE" w14:textId="77777777" w:rsidR="00524720" w:rsidRPr="00D9348B" w:rsidRDefault="00524720" w:rsidP="00524720">
      <w:pPr>
        <w:pStyle w:val="BodyText"/>
      </w:pPr>
      <w:r w:rsidRPr="00D9348B">
        <w:t xml:space="preserve">Details of New Zealand’s key category analysis are in chapter 1, section 1.5. The key categories in the Waste sector are listed in table 7.1.2. </w:t>
      </w:r>
    </w:p>
    <w:p w14:paraId="6C4D9D11" w14:textId="77777777" w:rsidR="00524720" w:rsidRPr="00D9348B" w:rsidRDefault="00524720" w:rsidP="00524720">
      <w:pPr>
        <w:pStyle w:val="Table"/>
      </w:pPr>
      <w:bookmarkStart w:id="2631" w:name="_Toc32828517"/>
      <w:bookmarkStart w:id="2632" w:name="_Toc32591347"/>
      <w:bookmarkStart w:id="2633" w:name="_Toc5269560"/>
      <w:bookmarkStart w:id="2634" w:name="_Toc511116819"/>
      <w:bookmarkStart w:id="2635" w:name="_Toc508019321"/>
      <w:bookmarkStart w:id="2636" w:name="_Toc481751598"/>
      <w:bookmarkStart w:id="2637" w:name="_Toc451176168"/>
      <w:bookmarkStart w:id="2638" w:name="_Toc444001616"/>
      <w:bookmarkStart w:id="2639" w:name="_Toc36224640"/>
      <w:r w:rsidRPr="00D9348B">
        <w:t xml:space="preserve">Table 7.1.2 </w:t>
      </w:r>
      <w:r w:rsidRPr="00D9348B">
        <w:tab/>
        <w:t>Key categories in the Waste sector</w:t>
      </w:r>
      <w:bookmarkEnd w:id="2631"/>
      <w:bookmarkEnd w:id="2632"/>
      <w:bookmarkEnd w:id="2633"/>
      <w:bookmarkEnd w:id="2634"/>
      <w:bookmarkEnd w:id="2635"/>
      <w:bookmarkEnd w:id="2636"/>
      <w:bookmarkEnd w:id="2637"/>
      <w:bookmarkEnd w:id="2638"/>
      <w:bookmarkEnd w:id="2639"/>
    </w:p>
    <w:tbl>
      <w:tblPr>
        <w:tblW w:w="8562" w:type="dxa"/>
        <w:tblInd w:w="108" w:type="dxa"/>
        <w:tblBorders>
          <w:top w:val="single" w:sz="4" w:space="0" w:color="365F91"/>
          <w:bottom w:val="single" w:sz="4" w:space="0" w:color="365F91"/>
          <w:insideH w:val="single" w:sz="4" w:space="0" w:color="365F91"/>
        </w:tblBorders>
        <w:tblLook w:val="04A0" w:firstRow="1" w:lastRow="0" w:firstColumn="1" w:lastColumn="0" w:noHBand="0" w:noVBand="1"/>
      </w:tblPr>
      <w:tblGrid>
        <w:gridCol w:w="2195"/>
        <w:gridCol w:w="3211"/>
        <w:gridCol w:w="764"/>
        <w:gridCol w:w="2392"/>
      </w:tblGrid>
      <w:tr w:rsidR="00524720" w:rsidRPr="00D9348B" w14:paraId="2205E316" w14:textId="77777777" w:rsidTr="00627DAF">
        <w:trPr>
          <w:tblHeader/>
        </w:trPr>
        <w:tc>
          <w:tcPr>
            <w:tcW w:w="1282" w:type="pct"/>
            <w:tcBorders>
              <w:top w:val="single" w:sz="4" w:space="0" w:color="365F91"/>
              <w:left w:val="nil"/>
              <w:bottom w:val="single" w:sz="4" w:space="0" w:color="365F91"/>
              <w:right w:val="nil"/>
            </w:tcBorders>
            <w:shd w:val="clear" w:color="auto" w:fill="365F91"/>
            <w:hideMark/>
          </w:tcPr>
          <w:p w14:paraId="788F8DE2" w14:textId="77777777" w:rsidR="00524720" w:rsidRPr="00D9348B" w:rsidRDefault="00524720">
            <w:pPr>
              <w:pStyle w:val="TableTextBold"/>
              <w:rPr>
                <w:noProof w:val="0"/>
                <w:color w:val="FFFFFF"/>
              </w:rPr>
            </w:pPr>
            <w:r w:rsidRPr="00D9348B">
              <w:rPr>
                <w:noProof w:val="0"/>
                <w:color w:val="FFFFFF"/>
              </w:rPr>
              <w:t>CRF category code</w:t>
            </w:r>
          </w:p>
        </w:tc>
        <w:tc>
          <w:tcPr>
            <w:tcW w:w="1875" w:type="pct"/>
            <w:tcBorders>
              <w:top w:val="single" w:sz="4" w:space="0" w:color="365F91"/>
              <w:left w:val="nil"/>
              <w:bottom w:val="single" w:sz="4" w:space="0" w:color="365F91"/>
              <w:right w:val="nil"/>
            </w:tcBorders>
            <w:shd w:val="clear" w:color="auto" w:fill="365F91"/>
            <w:hideMark/>
          </w:tcPr>
          <w:p w14:paraId="364308EB" w14:textId="77777777" w:rsidR="00524720" w:rsidRPr="00D9348B" w:rsidRDefault="00524720">
            <w:pPr>
              <w:pStyle w:val="TableTextBold"/>
              <w:rPr>
                <w:noProof w:val="0"/>
                <w:color w:val="FFFFFF"/>
              </w:rPr>
            </w:pPr>
            <w:r w:rsidRPr="00D9348B">
              <w:rPr>
                <w:noProof w:val="0"/>
                <w:color w:val="FFFFFF"/>
              </w:rPr>
              <w:t>IPCC categories</w:t>
            </w:r>
          </w:p>
        </w:tc>
        <w:tc>
          <w:tcPr>
            <w:tcW w:w="446" w:type="pct"/>
            <w:tcBorders>
              <w:top w:val="single" w:sz="4" w:space="0" w:color="365F91"/>
              <w:left w:val="nil"/>
              <w:bottom w:val="single" w:sz="4" w:space="0" w:color="365F91"/>
              <w:right w:val="nil"/>
            </w:tcBorders>
            <w:shd w:val="clear" w:color="auto" w:fill="365F91"/>
            <w:hideMark/>
          </w:tcPr>
          <w:p w14:paraId="44B9F5EA" w14:textId="77777777" w:rsidR="00524720" w:rsidRPr="00D9348B" w:rsidRDefault="00524720">
            <w:pPr>
              <w:pStyle w:val="TableTextBold"/>
              <w:rPr>
                <w:noProof w:val="0"/>
                <w:color w:val="FFFFFF"/>
              </w:rPr>
            </w:pPr>
            <w:r w:rsidRPr="00D9348B">
              <w:rPr>
                <w:noProof w:val="0"/>
                <w:color w:val="FFFFFF"/>
              </w:rPr>
              <w:t>Gas</w:t>
            </w:r>
          </w:p>
        </w:tc>
        <w:tc>
          <w:tcPr>
            <w:tcW w:w="1397" w:type="pct"/>
            <w:tcBorders>
              <w:top w:val="single" w:sz="4" w:space="0" w:color="365F91"/>
              <w:left w:val="nil"/>
              <w:bottom w:val="single" w:sz="4" w:space="0" w:color="365F91"/>
              <w:right w:val="nil"/>
            </w:tcBorders>
            <w:shd w:val="clear" w:color="auto" w:fill="365F91"/>
            <w:hideMark/>
          </w:tcPr>
          <w:p w14:paraId="2D1BE3FB" w14:textId="77777777" w:rsidR="00524720" w:rsidRPr="00D9348B" w:rsidRDefault="00524720">
            <w:pPr>
              <w:pStyle w:val="TableTextBold"/>
              <w:rPr>
                <w:noProof w:val="0"/>
                <w:color w:val="FFFFFF"/>
              </w:rPr>
            </w:pPr>
            <w:r w:rsidRPr="00D9348B">
              <w:rPr>
                <w:noProof w:val="0"/>
                <w:color w:val="FFFFFF"/>
              </w:rPr>
              <w:t>Criteria for identification</w:t>
            </w:r>
          </w:p>
        </w:tc>
      </w:tr>
      <w:tr w:rsidR="00524720" w:rsidRPr="00D9348B" w14:paraId="3B679038" w14:textId="77777777" w:rsidTr="00627DAF">
        <w:tc>
          <w:tcPr>
            <w:tcW w:w="1282" w:type="pct"/>
            <w:tcBorders>
              <w:top w:val="single" w:sz="4" w:space="0" w:color="365F91"/>
              <w:left w:val="nil"/>
              <w:bottom w:val="single" w:sz="4" w:space="0" w:color="365F91"/>
              <w:right w:val="nil"/>
            </w:tcBorders>
            <w:shd w:val="clear" w:color="auto" w:fill="FFFFFF"/>
            <w:hideMark/>
          </w:tcPr>
          <w:p w14:paraId="56E580BB" w14:textId="77777777" w:rsidR="00524720" w:rsidRPr="00D9348B" w:rsidRDefault="00524720">
            <w:pPr>
              <w:pStyle w:val="TableText"/>
            </w:pPr>
            <w:r w:rsidRPr="00D9348B">
              <w:t>5.A</w:t>
            </w:r>
          </w:p>
        </w:tc>
        <w:tc>
          <w:tcPr>
            <w:tcW w:w="1875" w:type="pct"/>
            <w:tcBorders>
              <w:top w:val="single" w:sz="4" w:space="0" w:color="365F91"/>
              <w:left w:val="nil"/>
              <w:bottom w:val="single" w:sz="4" w:space="0" w:color="365F91"/>
              <w:right w:val="nil"/>
            </w:tcBorders>
            <w:shd w:val="clear" w:color="auto" w:fill="FFFFFF"/>
            <w:hideMark/>
          </w:tcPr>
          <w:p w14:paraId="3D88798C" w14:textId="77777777" w:rsidR="00524720" w:rsidRPr="00D9348B" w:rsidRDefault="00524720">
            <w:pPr>
              <w:pStyle w:val="TableText"/>
              <w:rPr>
                <w:szCs w:val="16"/>
              </w:rPr>
            </w:pPr>
            <w:r w:rsidRPr="00D9348B">
              <w:rPr>
                <w:szCs w:val="16"/>
              </w:rPr>
              <w:t>Solid waste disposal</w:t>
            </w:r>
          </w:p>
        </w:tc>
        <w:tc>
          <w:tcPr>
            <w:tcW w:w="446" w:type="pct"/>
            <w:tcBorders>
              <w:top w:val="single" w:sz="4" w:space="0" w:color="365F91"/>
              <w:left w:val="nil"/>
              <w:bottom w:val="single" w:sz="4" w:space="0" w:color="365F91"/>
              <w:right w:val="nil"/>
            </w:tcBorders>
            <w:shd w:val="clear" w:color="auto" w:fill="FFFFFF"/>
            <w:hideMark/>
          </w:tcPr>
          <w:p w14:paraId="37ABD41D" w14:textId="77777777" w:rsidR="00524720" w:rsidRPr="00D9348B" w:rsidRDefault="00524720">
            <w:pPr>
              <w:pStyle w:val="TableText"/>
              <w:jc w:val="center"/>
              <w:rPr>
                <w:szCs w:val="16"/>
              </w:rPr>
            </w:pPr>
            <w:r w:rsidRPr="00D9348B">
              <w:rPr>
                <w:szCs w:val="16"/>
              </w:rPr>
              <w:t>CH</w:t>
            </w:r>
            <w:r w:rsidRPr="00D9348B">
              <w:rPr>
                <w:szCs w:val="16"/>
                <w:vertAlign w:val="subscript"/>
              </w:rPr>
              <w:t>4</w:t>
            </w:r>
          </w:p>
        </w:tc>
        <w:tc>
          <w:tcPr>
            <w:tcW w:w="1397" w:type="pct"/>
            <w:tcBorders>
              <w:top w:val="single" w:sz="4" w:space="0" w:color="365F91"/>
              <w:left w:val="nil"/>
              <w:bottom w:val="single" w:sz="4" w:space="0" w:color="365F91"/>
              <w:right w:val="nil"/>
            </w:tcBorders>
            <w:shd w:val="clear" w:color="auto" w:fill="FFFFFF"/>
            <w:hideMark/>
          </w:tcPr>
          <w:p w14:paraId="55F537B9" w14:textId="77777777" w:rsidR="00524720" w:rsidRPr="00D9348B" w:rsidRDefault="00524720">
            <w:pPr>
              <w:pStyle w:val="TableText"/>
              <w:rPr>
                <w:szCs w:val="16"/>
              </w:rPr>
            </w:pPr>
            <w:r w:rsidRPr="00D9348B">
              <w:rPr>
                <w:szCs w:val="16"/>
              </w:rPr>
              <w:t>L1, T1</w:t>
            </w:r>
          </w:p>
        </w:tc>
      </w:tr>
      <w:tr w:rsidR="00524720" w:rsidRPr="00D9348B" w14:paraId="3448DA67" w14:textId="77777777" w:rsidTr="00627DAF">
        <w:tc>
          <w:tcPr>
            <w:tcW w:w="1282" w:type="pct"/>
            <w:tcBorders>
              <w:top w:val="single" w:sz="4" w:space="0" w:color="365F91"/>
              <w:left w:val="nil"/>
              <w:bottom w:val="single" w:sz="4" w:space="0" w:color="365F91"/>
              <w:right w:val="nil"/>
            </w:tcBorders>
            <w:shd w:val="clear" w:color="auto" w:fill="FFFFFF"/>
            <w:hideMark/>
          </w:tcPr>
          <w:p w14:paraId="0F149049" w14:textId="77777777" w:rsidR="00524720" w:rsidRPr="00D9348B" w:rsidRDefault="00524720">
            <w:pPr>
              <w:pStyle w:val="TableText"/>
            </w:pPr>
            <w:r w:rsidRPr="00D9348B">
              <w:t>5.D</w:t>
            </w:r>
          </w:p>
        </w:tc>
        <w:tc>
          <w:tcPr>
            <w:tcW w:w="1875" w:type="pct"/>
            <w:tcBorders>
              <w:top w:val="single" w:sz="4" w:space="0" w:color="365F91"/>
              <w:left w:val="nil"/>
              <w:bottom w:val="single" w:sz="4" w:space="0" w:color="365F91"/>
              <w:right w:val="nil"/>
            </w:tcBorders>
            <w:shd w:val="clear" w:color="auto" w:fill="FFFFFF"/>
            <w:hideMark/>
          </w:tcPr>
          <w:p w14:paraId="22EFEF21" w14:textId="77777777" w:rsidR="00524720" w:rsidRPr="00D9348B" w:rsidRDefault="00524720">
            <w:pPr>
              <w:pStyle w:val="TableText"/>
              <w:rPr>
                <w:szCs w:val="16"/>
              </w:rPr>
            </w:pPr>
            <w:r w:rsidRPr="00D9348B">
              <w:rPr>
                <w:szCs w:val="16"/>
              </w:rPr>
              <w:t>Wastewater treatment and discharge</w:t>
            </w:r>
          </w:p>
        </w:tc>
        <w:tc>
          <w:tcPr>
            <w:tcW w:w="446" w:type="pct"/>
            <w:tcBorders>
              <w:top w:val="single" w:sz="4" w:space="0" w:color="365F91"/>
              <w:left w:val="nil"/>
              <w:bottom w:val="single" w:sz="4" w:space="0" w:color="365F91"/>
              <w:right w:val="nil"/>
            </w:tcBorders>
            <w:shd w:val="clear" w:color="auto" w:fill="FFFFFF"/>
            <w:hideMark/>
          </w:tcPr>
          <w:p w14:paraId="69B577B6" w14:textId="77777777" w:rsidR="00524720" w:rsidRPr="00D9348B" w:rsidRDefault="00524720">
            <w:pPr>
              <w:pStyle w:val="TableText"/>
              <w:jc w:val="center"/>
              <w:rPr>
                <w:szCs w:val="16"/>
              </w:rPr>
            </w:pPr>
            <w:r w:rsidRPr="00D9348B">
              <w:rPr>
                <w:szCs w:val="16"/>
              </w:rPr>
              <w:t>CH</w:t>
            </w:r>
            <w:r w:rsidRPr="00D9348B">
              <w:rPr>
                <w:szCs w:val="16"/>
                <w:vertAlign w:val="subscript"/>
              </w:rPr>
              <w:t>4</w:t>
            </w:r>
          </w:p>
        </w:tc>
        <w:tc>
          <w:tcPr>
            <w:tcW w:w="1397" w:type="pct"/>
            <w:tcBorders>
              <w:top w:val="single" w:sz="4" w:space="0" w:color="365F91"/>
              <w:left w:val="nil"/>
              <w:bottom w:val="single" w:sz="4" w:space="0" w:color="365F91"/>
              <w:right w:val="nil"/>
            </w:tcBorders>
            <w:shd w:val="clear" w:color="auto" w:fill="FFFFFF"/>
            <w:hideMark/>
          </w:tcPr>
          <w:p w14:paraId="71BE8031" w14:textId="77777777" w:rsidR="00524720" w:rsidRPr="00D9348B" w:rsidRDefault="00524720">
            <w:pPr>
              <w:pStyle w:val="TableText"/>
              <w:rPr>
                <w:szCs w:val="16"/>
              </w:rPr>
            </w:pPr>
            <w:r w:rsidRPr="00D9348B">
              <w:rPr>
                <w:szCs w:val="16"/>
              </w:rPr>
              <w:t>L1</w:t>
            </w:r>
          </w:p>
        </w:tc>
      </w:tr>
    </w:tbl>
    <w:p w14:paraId="69EF6BF8" w14:textId="77777777" w:rsidR="00524720" w:rsidRPr="00D9348B" w:rsidRDefault="00524720" w:rsidP="00524720">
      <w:pPr>
        <w:pStyle w:val="Noteundertable"/>
        <w:rPr>
          <w:sz w:val="16"/>
          <w:szCs w:val="16"/>
        </w:rPr>
      </w:pPr>
      <w:bookmarkStart w:id="2640" w:name="_Toc280630205"/>
      <w:r w:rsidRPr="00D9348B">
        <w:rPr>
          <w:b/>
        </w:rPr>
        <w:t>Note:</w:t>
      </w:r>
      <w:r w:rsidRPr="00D9348B">
        <w:t xml:space="preserve"> </w:t>
      </w:r>
      <w:r w:rsidRPr="00D9348B">
        <w:tab/>
        <w:t>L1 means a key category is identified under the level analysis – approach 1, and T1 is trend analysis – approach 1. See chapter 1 for more information.</w:t>
      </w:r>
    </w:p>
    <w:p w14:paraId="210DFF08" w14:textId="77777777" w:rsidR="00524720" w:rsidRPr="00D9348B" w:rsidRDefault="00524720" w:rsidP="00524720">
      <w:pPr>
        <w:pStyle w:val="Heading3"/>
      </w:pPr>
      <w:bookmarkStart w:id="2641" w:name="_Toc32828324"/>
      <w:r w:rsidRPr="00D9348B">
        <w:t>7.1.4</w:t>
      </w:r>
      <w:r w:rsidRPr="00D9348B">
        <w:tab/>
        <w:t xml:space="preserve">Methodological issues for </w:t>
      </w:r>
      <w:bookmarkEnd w:id="2628"/>
      <w:bookmarkEnd w:id="2629"/>
      <w:bookmarkEnd w:id="2630"/>
      <w:r w:rsidRPr="00D9348B">
        <w:t>the Waste sector</w:t>
      </w:r>
      <w:bookmarkEnd w:id="2640"/>
      <w:bookmarkEnd w:id="2641"/>
    </w:p>
    <w:p w14:paraId="30FDAC00" w14:textId="77777777" w:rsidR="00524720" w:rsidRPr="00D9348B" w:rsidRDefault="00524720" w:rsidP="00524720">
      <w:pPr>
        <w:pStyle w:val="BodyText"/>
      </w:pPr>
      <w:r w:rsidRPr="00D9348B">
        <w:t xml:space="preserve">Activity data have come from a variety of sources. Municipal solid waste disposal data, from mandatory reporting under the Waste Minimisation Act 2008 and from the NZ ETS, were used for the years for which they are available (2010 onwards). Activity data for all other sources were based on specific surveys. Interpolation based on gross domestic product (GDP) or population is used for other years. </w:t>
      </w:r>
    </w:p>
    <w:p w14:paraId="0EBC4A87" w14:textId="77777777" w:rsidR="00524720" w:rsidRPr="00D9348B" w:rsidRDefault="00524720" w:rsidP="00524720">
      <w:pPr>
        <w:pStyle w:val="BodyText"/>
      </w:pPr>
      <w:r w:rsidRPr="00D9348B">
        <w:t xml:space="preserve">New Zealand uses Tier 2 methodologies for estimating emissions from the </w:t>
      </w:r>
      <w:r w:rsidRPr="00D9348B">
        <w:rPr>
          <w:i/>
        </w:rPr>
        <w:t>Solid waste disposal</w:t>
      </w:r>
      <w:r w:rsidRPr="00D9348B">
        <w:t xml:space="preserve"> source category, which is a key category, and for some wastewater emissions. Tier 1 methods are used to estimate other emissions from the Waste sector.</w:t>
      </w:r>
    </w:p>
    <w:p w14:paraId="6883DE4E" w14:textId="77777777" w:rsidR="00524720" w:rsidRPr="00D9348B" w:rsidRDefault="00524720" w:rsidP="00524720">
      <w:pPr>
        <w:pStyle w:val="BodyText"/>
        <w:rPr>
          <w:spacing w:val="-2"/>
        </w:rPr>
      </w:pPr>
      <w:r w:rsidRPr="00D9348B">
        <w:rPr>
          <w:spacing w:val="-2"/>
        </w:rPr>
        <w:t xml:space="preserve">Country-specific emission factors have been used where available, including parameters for municipal waste and for treatment of some types of industrial wastewater (Cardno, unpublished). </w:t>
      </w:r>
    </w:p>
    <w:p w14:paraId="25F43832" w14:textId="77777777" w:rsidR="00524720" w:rsidRPr="00D9348B" w:rsidRDefault="00524720" w:rsidP="00524720">
      <w:pPr>
        <w:pStyle w:val="BodyText"/>
      </w:pPr>
      <w:r w:rsidRPr="00D9348B">
        <w:t xml:space="preserve">Methodological issues are discussed under each source category in this chapter. </w:t>
      </w:r>
    </w:p>
    <w:p w14:paraId="251C922F" w14:textId="77777777" w:rsidR="00524720" w:rsidRPr="00D9348B" w:rsidRDefault="00524720" w:rsidP="00524720">
      <w:pPr>
        <w:pStyle w:val="Heading3"/>
      </w:pPr>
      <w:bookmarkStart w:id="2642" w:name="_Toc32828325"/>
      <w:r w:rsidRPr="00D9348B">
        <w:lastRenderedPageBreak/>
        <w:t>7.1.5</w:t>
      </w:r>
      <w:r w:rsidRPr="00D9348B">
        <w:tab/>
        <w:t>Uncertainties</w:t>
      </w:r>
      <w:bookmarkEnd w:id="2642"/>
    </w:p>
    <w:p w14:paraId="5420DB82" w14:textId="77777777" w:rsidR="00524720" w:rsidRPr="00D9348B" w:rsidRDefault="00524720" w:rsidP="00524720">
      <w:pPr>
        <w:pStyle w:val="BodyText"/>
      </w:pPr>
      <w:r w:rsidRPr="00D9348B">
        <w:t>The uncertainties for emission estimates are discussed under each category in this chapter. For most sources, they conform to default uncertainties in the 2006 Intergovernmental Panel on Climate Change (IPCC) Guidelines (IPCC, 2006a). Much higher uncertainties are reported for unmanaged waste, due to uncertainty in the activity data, and for indirect N</w:t>
      </w:r>
      <w:r w:rsidRPr="00D9348B">
        <w:rPr>
          <w:vertAlign w:val="subscript"/>
        </w:rPr>
        <w:t>2</w:t>
      </w:r>
      <w:r w:rsidRPr="00D9348B">
        <w:t xml:space="preserve">O emissions from wastewater going into rivers and sea water due to uncertainty in the emission factors. </w:t>
      </w:r>
    </w:p>
    <w:p w14:paraId="0B91DA2E" w14:textId="77777777" w:rsidR="00524720" w:rsidRPr="00D9348B" w:rsidRDefault="00524720" w:rsidP="00524720">
      <w:pPr>
        <w:pStyle w:val="Heading3"/>
      </w:pPr>
      <w:bookmarkStart w:id="2643" w:name="_Toc32828326"/>
      <w:r w:rsidRPr="00D9348B">
        <w:t>7.1.6</w:t>
      </w:r>
      <w:r w:rsidRPr="00D9348B">
        <w:tab/>
        <w:t>Verification</w:t>
      </w:r>
      <w:bookmarkEnd w:id="2643"/>
    </w:p>
    <w:p w14:paraId="756BC2EA" w14:textId="77777777" w:rsidR="00524720" w:rsidRPr="00D9348B" w:rsidRDefault="00524720" w:rsidP="00524720">
      <w:pPr>
        <w:pStyle w:val="BodyText"/>
      </w:pPr>
      <w:r w:rsidRPr="00D9348B">
        <w:t>Where available, data from different sources were used for verification. Most of the municipal landfills report their activity data monthly under the requirements of the Waste Minimisation Act 2008 and, in addition, most now report activity data and estimated emissions as part of the NZ ETS. These data sources are used as primary sources or for verification, as appropriate.</w:t>
      </w:r>
    </w:p>
    <w:p w14:paraId="422191A7" w14:textId="77777777" w:rsidR="00524720" w:rsidRPr="00D9348B" w:rsidRDefault="00524720" w:rsidP="00524720">
      <w:pPr>
        <w:pStyle w:val="BodyText"/>
      </w:pPr>
      <w:r w:rsidRPr="00D9348B">
        <w:t xml:space="preserve">Data on wastewater treatment have been obtained from surveys. </w:t>
      </w:r>
    </w:p>
    <w:p w14:paraId="1CDD9D3F" w14:textId="77777777" w:rsidR="00524720" w:rsidRPr="00D9348B" w:rsidRDefault="00524720" w:rsidP="00524720">
      <w:pPr>
        <w:pStyle w:val="Heading3"/>
      </w:pPr>
      <w:bookmarkStart w:id="2644" w:name="_Toc32828327"/>
      <w:r w:rsidRPr="00D9348B">
        <w:t>7.1.7</w:t>
      </w:r>
      <w:r w:rsidRPr="00D9348B">
        <w:tab/>
        <w:t>Recalculations and improvements</w:t>
      </w:r>
      <w:bookmarkEnd w:id="2644"/>
    </w:p>
    <w:p w14:paraId="7CE62ABD" w14:textId="77777777" w:rsidR="00524720" w:rsidRPr="00D9348B" w:rsidRDefault="00524720" w:rsidP="00524720">
      <w:pPr>
        <w:pStyle w:val="BodyText"/>
      </w:pPr>
      <w:r w:rsidRPr="00D9348B">
        <w:t>Numerous changes and improvements have been made in the Waste sector resulting in recalculations for several categories. These improvements are a combination of planned improvements and responses to issues found during reviews of previous submissions. Due to these changes, emissions in the Waste sector have increased by 5.8 kt CO</w:t>
      </w:r>
      <w:r w:rsidRPr="00D9348B">
        <w:rPr>
          <w:vertAlign w:val="subscript"/>
        </w:rPr>
        <w:t>2</w:t>
      </w:r>
      <w:r w:rsidRPr="00D9348B">
        <w:t>-e (0.1 per cent) in 1990 and decreased by 32.1 kt CO</w:t>
      </w:r>
      <w:r w:rsidRPr="00D9348B">
        <w:rPr>
          <w:vertAlign w:val="subscript"/>
        </w:rPr>
        <w:t>2</w:t>
      </w:r>
      <w:r w:rsidRPr="00D9348B">
        <w:t>-e (–0.8 per cent) in 2017.</w:t>
      </w:r>
    </w:p>
    <w:p w14:paraId="25027EFC" w14:textId="77777777" w:rsidR="00524720" w:rsidRPr="00D9348B" w:rsidRDefault="00524720" w:rsidP="00524720">
      <w:pPr>
        <w:pStyle w:val="BodyText"/>
        <w:rPr>
          <w:spacing w:val="-2"/>
        </w:rPr>
      </w:pPr>
      <w:r w:rsidRPr="00D9348B">
        <w:rPr>
          <w:spacing w:val="-2"/>
        </w:rPr>
        <w:t xml:space="preserve">The most significant changes have been made to the </w:t>
      </w:r>
      <w:proofErr w:type="gramStart"/>
      <w:r w:rsidRPr="00D9348B">
        <w:rPr>
          <w:i/>
          <w:spacing w:val="-2"/>
        </w:rPr>
        <w:t>Unmanaged</w:t>
      </w:r>
      <w:proofErr w:type="gramEnd"/>
      <w:r w:rsidRPr="00D9348B">
        <w:rPr>
          <w:i/>
          <w:spacing w:val="-2"/>
        </w:rPr>
        <w:t xml:space="preserve"> waste disposal sites</w:t>
      </w:r>
      <w:r w:rsidRPr="00D9348B">
        <w:rPr>
          <w:spacing w:val="-2"/>
        </w:rPr>
        <w:t xml:space="preserve"> source category and have resulted in the largest recalculation for the Waste sector. This has decreased emissions by 0.3 kt CO</w:t>
      </w:r>
      <w:r w:rsidRPr="00D9348B">
        <w:rPr>
          <w:spacing w:val="-2"/>
          <w:vertAlign w:val="subscript"/>
        </w:rPr>
        <w:t>2</w:t>
      </w:r>
      <w:r w:rsidRPr="00D9348B">
        <w:rPr>
          <w:spacing w:val="-2"/>
        </w:rPr>
        <w:t>-e (0.0 per cent) in 1990 and decreased by 25.2 kt CO</w:t>
      </w:r>
      <w:r w:rsidRPr="00D9348B">
        <w:rPr>
          <w:spacing w:val="-2"/>
          <w:vertAlign w:val="subscript"/>
        </w:rPr>
        <w:t>2</w:t>
      </w:r>
      <w:r w:rsidRPr="00D9348B">
        <w:rPr>
          <w:spacing w:val="-2"/>
        </w:rPr>
        <w:t>-e (1.1 per cent) in 2017. This change is due to correcting errors in the calculations for non-municipal solid waste sites.</w:t>
      </w:r>
    </w:p>
    <w:p w14:paraId="6BCE59CB" w14:textId="77777777" w:rsidR="00524720" w:rsidRPr="00D9348B" w:rsidRDefault="00524720" w:rsidP="00524720">
      <w:pPr>
        <w:pStyle w:val="BodyText"/>
      </w:pPr>
      <w:r w:rsidRPr="00D9348B">
        <w:t>In addition, several other minor improvements and corrections have been made to other categories in the Waste sector. Further details can be found under methodological issues for each source category and also in chapter 10.</w:t>
      </w:r>
    </w:p>
    <w:p w14:paraId="6657AF30" w14:textId="77777777" w:rsidR="00524720" w:rsidRPr="00D9348B" w:rsidRDefault="00524720" w:rsidP="00524720">
      <w:pPr>
        <w:pStyle w:val="Heading3"/>
      </w:pPr>
      <w:bookmarkStart w:id="2645" w:name="_Toc32828328"/>
      <w:r w:rsidRPr="00D9348B">
        <w:t>7.1.8</w:t>
      </w:r>
      <w:r w:rsidRPr="00D9348B">
        <w:tab/>
        <w:t>Quality-assurance/quality-control (QA/QC) processes</w:t>
      </w:r>
      <w:bookmarkEnd w:id="2645"/>
    </w:p>
    <w:p w14:paraId="4CE8BAC0" w14:textId="77777777" w:rsidR="00524720" w:rsidRPr="00D9348B" w:rsidRDefault="00524720" w:rsidP="00524720">
      <w:pPr>
        <w:pStyle w:val="BodyText"/>
      </w:pPr>
      <w:r w:rsidRPr="00D9348B">
        <w:t>Figure 7.1.3 shows a flow diagram for data in the Waste sector, including quality-assurance and quality-control processes. Tier 1 quality checks were carried out on all data for key categories in this sector.</w:t>
      </w:r>
    </w:p>
    <w:p w14:paraId="17512A53" w14:textId="77777777" w:rsidR="00524720" w:rsidRPr="00D9348B" w:rsidRDefault="00524720" w:rsidP="00524720">
      <w:pPr>
        <w:pStyle w:val="Figure"/>
      </w:pPr>
      <w:bookmarkStart w:id="2646" w:name="_Toc32828377"/>
      <w:bookmarkStart w:id="2647" w:name="_Toc5269718"/>
      <w:bookmarkStart w:id="2648" w:name="_Toc511116989"/>
      <w:bookmarkStart w:id="2649" w:name="_Toc481752038"/>
      <w:bookmarkStart w:id="2650" w:name="_Toc447275719"/>
      <w:bookmarkStart w:id="2651" w:name="_Toc444001675"/>
      <w:bookmarkStart w:id="2652" w:name="_Toc36292821"/>
      <w:r w:rsidRPr="00D9348B">
        <w:lastRenderedPageBreak/>
        <w:t xml:space="preserve">Figure 7.1.3 </w:t>
      </w:r>
      <w:r w:rsidRPr="00D9348B">
        <w:tab/>
        <w:t>Tier 1 quality checks for the Waste sector</w:t>
      </w:r>
      <w:bookmarkEnd w:id="2646"/>
      <w:bookmarkEnd w:id="2647"/>
      <w:bookmarkEnd w:id="2648"/>
      <w:bookmarkEnd w:id="2649"/>
      <w:bookmarkEnd w:id="2650"/>
      <w:bookmarkEnd w:id="2651"/>
      <w:bookmarkEnd w:id="2652"/>
    </w:p>
    <w:p w14:paraId="1FD16C13" w14:textId="77777777" w:rsidR="00524720" w:rsidRPr="00D9348B" w:rsidRDefault="00524720" w:rsidP="00524720">
      <w:pPr>
        <w:pStyle w:val="BodyText"/>
        <w:jc w:val="center"/>
      </w:pPr>
      <w:r w:rsidRPr="00D9348B">
        <w:object w:dxaOrig="8205" w:dyaOrig="7485" w14:anchorId="404CA4ED">
          <v:shape id="_x0000_i1150" type="#_x0000_t75" style="width:411.95pt;height:375.05pt" o:ole="">
            <v:imagedata r:id="rId239" o:title=""/>
          </v:shape>
          <o:OLEObject Type="Embed" ProgID="Visio.Drawing.11" ShapeID="_x0000_i1150" DrawAspect="Content" ObjectID="_1647932349" r:id="rId240"/>
        </w:object>
      </w:r>
    </w:p>
    <w:p w14:paraId="402BD80A" w14:textId="77777777" w:rsidR="00524720" w:rsidRPr="00D9348B" w:rsidRDefault="00524720" w:rsidP="00524720">
      <w:pPr>
        <w:pStyle w:val="Heading2"/>
      </w:pPr>
      <w:bookmarkStart w:id="2653" w:name="_Toc32828329"/>
      <w:bookmarkStart w:id="2654" w:name="_Toc5269387"/>
      <w:bookmarkStart w:id="2655" w:name="_Toc511116625"/>
      <w:bookmarkStart w:id="2656" w:name="_Toc481751410"/>
      <w:bookmarkStart w:id="2657" w:name="_Toc448321548"/>
      <w:bookmarkStart w:id="2658" w:name="_Toc36224427"/>
      <w:r w:rsidRPr="00D9348B">
        <w:t>7.2</w:t>
      </w:r>
      <w:r w:rsidRPr="00D9348B">
        <w:tab/>
        <w:t>Solid waste disposal (5.A)</w:t>
      </w:r>
      <w:bookmarkEnd w:id="2653"/>
      <w:bookmarkEnd w:id="2654"/>
      <w:bookmarkEnd w:id="2655"/>
      <w:bookmarkEnd w:id="2656"/>
      <w:bookmarkEnd w:id="2657"/>
      <w:bookmarkEnd w:id="2658"/>
    </w:p>
    <w:p w14:paraId="6D0BC7E1" w14:textId="77777777" w:rsidR="00524720" w:rsidRPr="00D9348B" w:rsidRDefault="00524720" w:rsidP="00FD7EE6">
      <w:pPr>
        <w:pStyle w:val="Heading3"/>
        <w:spacing w:before="160"/>
      </w:pPr>
      <w:bookmarkStart w:id="2659" w:name="_Toc32828330"/>
      <w:r w:rsidRPr="00D9348B">
        <w:t>7.2.1</w:t>
      </w:r>
      <w:r w:rsidRPr="00D9348B">
        <w:tab/>
        <w:t>Description</w:t>
      </w:r>
      <w:bookmarkEnd w:id="2659"/>
    </w:p>
    <w:p w14:paraId="77FFF12E" w14:textId="77777777" w:rsidR="00524720" w:rsidRPr="00D9348B" w:rsidRDefault="00524720" w:rsidP="00524720">
      <w:pPr>
        <w:pStyle w:val="BodyText"/>
      </w:pPr>
      <w:r w:rsidRPr="00D9348B">
        <w:t xml:space="preserve">Household and industrial solid waste in New Zealand is disposed of almost exclusively to landfills. The three broad types of landfill sites in New Zealand are: </w:t>
      </w:r>
    </w:p>
    <w:p w14:paraId="30D46806" w14:textId="77777777" w:rsidR="00524720" w:rsidRPr="00D9348B" w:rsidRDefault="00524720" w:rsidP="00771A8F">
      <w:pPr>
        <w:numPr>
          <w:ilvl w:val="0"/>
          <w:numId w:val="27"/>
        </w:numPr>
        <w:spacing w:after="120"/>
        <w:ind w:left="397" w:hanging="397"/>
      </w:pPr>
      <w:r w:rsidRPr="00D9348B">
        <w:t>municipal landfills, which are used for disposal of household waste but may also accept industrial waste or other types of solid waste</w:t>
      </w:r>
    </w:p>
    <w:p w14:paraId="5FA780D3" w14:textId="77777777" w:rsidR="00524720" w:rsidRPr="00D9348B" w:rsidRDefault="00524720" w:rsidP="00771A8F">
      <w:pPr>
        <w:numPr>
          <w:ilvl w:val="0"/>
          <w:numId w:val="27"/>
        </w:numPr>
        <w:spacing w:after="120"/>
        <w:ind w:left="397" w:hanging="397"/>
      </w:pPr>
      <w:proofErr w:type="gramStart"/>
      <w:r w:rsidRPr="00D9348B">
        <w:t>non-municipal</w:t>
      </w:r>
      <w:proofErr w:type="gramEnd"/>
      <w:r w:rsidRPr="00D9348B">
        <w:t xml:space="preserve"> landfills or significant landfill sites that do not accept household waste. These include cleanfills (sites disposing of largely inert waste), industrial fills and sites that dispose of construction and demolition waste </w:t>
      </w:r>
    </w:p>
    <w:p w14:paraId="380605E8" w14:textId="77777777" w:rsidR="00524720" w:rsidRPr="00D9348B" w:rsidRDefault="00524720" w:rsidP="00771A8F">
      <w:pPr>
        <w:numPr>
          <w:ilvl w:val="0"/>
          <w:numId w:val="27"/>
        </w:numPr>
        <w:spacing w:after="120"/>
        <w:ind w:left="397" w:hanging="397"/>
      </w:pPr>
      <w:r w:rsidRPr="00D9348B">
        <w:t>farm fills, which are used for disposal of household and other on-farm waste to land; disposal of waste to land is prevalent on farms in New Zealand.</w:t>
      </w:r>
    </w:p>
    <w:p w14:paraId="5A1D544B" w14:textId="77777777" w:rsidR="00524720" w:rsidRPr="00D9348B" w:rsidRDefault="00524720" w:rsidP="00524720">
      <w:pPr>
        <w:pStyle w:val="BodyText"/>
      </w:pPr>
      <w:r w:rsidRPr="00D9348B">
        <w:t>These types of landfill sites map on to the CRF tables, as shown in table 7.2.1. All currently operational municipal landfill sites are managed sites (IPCC, 2006a) but some emissions also come from uncategorised municipal landfill sites, which were in operation before 2010.</w:t>
      </w:r>
    </w:p>
    <w:p w14:paraId="3237B83C" w14:textId="77777777" w:rsidR="00524720" w:rsidRPr="00D9348B" w:rsidRDefault="00524720" w:rsidP="00524720">
      <w:pPr>
        <w:pStyle w:val="Table"/>
      </w:pPr>
      <w:bookmarkStart w:id="2660" w:name="_Toc32828518"/>
      <w:bookmarkStart w:id="2661" w:name="_Toc32591348"/>
      <w:bookmarkStart w:id="2662" w:name="_Toc5269561"/>
      <w:bookmarkStart w:id="2663" w:name="_Toc511116820"/>
      <w:bookmarkStart w:id="2664" w:name="_Toc508019322"/>
      <w:bookmarkStart w:id="2665" w:name="_Toc481751599"/>
      <w:bookmarkStart w:id="2666" w:name="_Toc451176169"/>
      <w:bookmarkStart w:id="2667" w:name="_Toc444001617"/>
      <w:bookmarkStart w:id="2668" w:name="_Toc36224641"/>
      <w:r w:rsidRPr="00D9348B">
        <w:lastRenderedPageBreak/>
        <w:t xml:space="preserve">Table 7.2.1 </w:t>
      </w:r>
      <w:r w:rsidRPr="00D9348B">
        <w:tab/>
        <w:t>Landfill emissions in the common reporting format table</w:t>
      </w:r>
      <w:bookmarkEnd w:id="2660"/>
      <w:bookmarkEnd w:id="2661"/>
      <w:bookmarkEnd w:id="2662"/>
      <w:bookmarkEnd w:id="2663"/>
      <w:bookmarkEnd w:id="2664"/>
      <w:bookmarkEnd w:id="2665"/>
      <w:bookmarkEnd w:id="2666"/>
      <w:bookmarkEnd w:id="2667"/>
      <w:bookmarkEnd w:id="2668"/>
    </w:p>
    <w:tbl>
      <w:tblPr>
        <w:tblW w:w="8505" w:type="dxa"/>
        <w:tblInd w:w="108" w:type="dxa"/>
        <w:tblLook w:val="04A0" w:firstRow="1" w:lastRow="0" w:firstColumn="1" w:lastColumn="0" w:noHBand="0" w:noVBand="1"/>
      </w:tblPr>
      <w:tblGrid>
        <w:gridCol w:w="1843"/>
        <w:gridCol w:w="2268"/>
        <w:gridCol w:w="4394"/>
      </w:tblGrid>
      <w:tr w:rsidR="00524720" w:rsidRPr="00D9348B" w14:paraId="0F470834" w14:textId="77777777" w:rsidTr="002D60CB">
        <w:tc>
          <w:tcPr>
            <w:tcW w:w="1843" w:type="dxa"/>
            <w:tcBorders>
              <w:top w:val="single" w:sz="4" w:space="0" w:color="365F91"/>
              <w:left w:val="nil"/>
              <w:bottom w:val="single" w:sz="4" w:space="0" w:color="365F91"/>
              <w:right w:val="nil"/>
            </w:tcBorders>
            <w:shd w:val="clear" w:color="auto" w:fill="365F91"/>
            <w:hideMark/>
          </w:tcPr>
          <w:p w14:paraId="1EA39A5C" w14:textId="77777777" w:rsidR="00524720" w:rsidRPr="00D9348B" w:rsidRDefault="00524720">
            <w:pPr>
              <w:pStyle w:val="TableTextBold"/>
              <w:keepNext/>
              <w:spacing w:before="50" w:after="50"/>
              <w:rPr>
                <w:noProof w:val="0"/>
                <w:color w:val="FFFFFF"/>
              </w:rPr>
            </w:pPr>
            <w:r w:rsidRPr="00D9348B">
              <w:rPr>
                <w:noProof w:val="0"/>
                <w:color w:val="FFFFFF"/>
              </w:rPr>
              <w:t>CRF category code</w:t>
            </w:r>
          </w:p>
        </w:tc>
        <w:tc>
          <w:tcPr>
            <w:tcW w:w="2268" w:type="dxa"/>
            <w:tcBorders>
              <w:top w:val="single" w:sz="4" w:space="0" w:color="365F91"/>
              <w:left w:val="nil"/>
              <w:bottom w:val="single" w:sz="4" w:space="0" w:color="365F91"/>
              <w:right w:val="nil"/>
            </w:tcBorders>
            <w:shd w:val="clear" w:color="auto" w:fill="365F91"/>
            <w:hideMark/>
          </w:tcPr>
          <w:p w14:paraId="0565769E" w14:textId="77777777" w:rsidR="00524720" w:rsidRPr="00D9348B" w:rsidRDefault="00524720">
            <w:pPr>
              <w:pStyle w:val="TableTextBold"/>
              <w:keepNext/>
              <w:spacing w:before="50" w:after="50"/>
              <w:rPr>
                <w:noProof w:val="0"/>
                <w:color w:val="FFFFFF"/>
              </w:rPr>
            </w:pPr>
            <w:r w:rsidRPr="00D9348B">
              <w:rPr>
                <w:noProof w:val="0"/>
                <w:color w:val="FFFFFF"/>
              </w:rPr>
              <w:t xml:space="preserve">Landfill type </w:t>
            </w:r>
          </w:p>
        </w:tc>
        <w:tc>
          <w:tcPr>
            <w:tcW w:w="4394" w:type="dxa"/>
            <w:tcBorders>
              <w:top w:val="single" w:sz="4" w:space="0" w:color="365F91"/>
              <w:left w:val="nil"/>
              <w:bottom w:val="single" w:sz="4" w:space="0" w:color="365F91"/>
              <w:right w:val="nil"/>
            </w:tcBorders>
            <w:shd w:val="clear" w:color="auto" w:fill="365F91"/>
            <w:hideMark/>
          </w:tcPr>
          <w:p w14:paraId="208451E9" w14:textId="77777777" w:rsidR="00524720" w:rsidRPr="00D9348B" w:rsidRDefault="00524720">
            <w:pPr>
              <w:pStyle w:val="TableTextBold"/>
              <w:keepNext/>
              <w:spacing w:before="50" w:after="50"/>
              <w:rPr>
                <w:noProof w:val="0"/>
                <w:color w:val="FFFFFF"/>
              </w:rPr>
            </w:pPr>
            <w:r w:rsidRPr="00D9348B">
              <w:rPr>
                <w:noProof w:val="0"/>
                <w:color w:val="FFFFFF"/>
              </w:rPr>
              <w:t>Comment</w:t>
            </w:r>
          </w:p>
        </w:tc>
      </w:tr>
      <w:tr w:rsidR="00524720" w:rsidRPr="00D9348B" w14:paraId="07AD0C9F" w14:textId="77777777" w:rsidTr="002D60CB">
        <w:tc>
          <w:tcPr>
            <w:tcW w:w="1843" w:type="dxa"/>
            <w:tcBorders>
              <w:top w:val="single" w:sz="4" w:space="0" w:color="365F91"/>
              <w:left w:val="nil"/>
              <w:bottom w:val="single" w:sz="4" w:space="0" w:color="365F91"/>
              <w:right w:val="nil"/>
            </w:tcBorders>
            <w:hideMark/>
          </w:tcPr>
          <w:p w14:paraId="33125AFA" w14:textId="77777777" w:rsidR="00524720" w:rsidRPr="00D9348B" w:rsidRDefault="00524720">
            <w:pPr>
              <w:pStyle w:val="TableText"/>
              <w:keepNext/>
              <w:spacing w:before="50" w:after="50"/>
            </w:pPr>
            <w:r w:rsidRPr="00D9348B">
              <w:t>5.A.1.a (Anaerobic)</w:t>
            </w:r>
          </w:p>
        </w:tc>
        <w:tc>
          <w:tcPr>
            <w:tcW w:w="2268" w:type="dxa"/>
            <w:tcBorders>
              <w:top w:val="single" w:sz="4" w:space="0" w:color="365F91"/>
              <w:left w:val="nil"/>
              <w:bottom w:val="single" w:sz="4" w:space="0" w:color="365F91"/>
              <w:right w:val="nil"/>
            </w:tcBorders>
            <w:hideMark/>
          </w:tcPr>
          <w:p w14:paraId="6239097A" w14:textId="77777777" w:rsidR="00524720" w:rsidRPr="00D9348B" w:rsidRDefault="00524720">
            <w:pPr>
              <w:pStyle w:val="TableText"/>
              <w:keepNext/>
              <w:spacing w:before="50" w:after="50"/>
            </w:pPr>
            <w:r w:rsidRPr="00D9348B">
              <w:t>Managed municipal landfills</w:t>
            </w:r>
          </w:p>
        </w:tc>
        <w:tc>
          <w:tcPr>
            <w:tcW w:w="4394" w:type="dxa"/>
            <w:tcBorders>
              <w:top w:val="single" w:sz="4" w:space="0" w:color="365F91"/>
              <w:left w:val="nil"/>
              <w:bottom w:val="single" w:sz="4" w:space="0" w:color="365F91"/>
              <w:right w:val="nil"/>
            </w:tcBorders>
            <w:hideMark/>
          </w:tcPr>
          <w:p w14:paraId="412D734C" w14:textId="77777777" w:rsidR="00524720" w:rsidRPr="00D9348B" w:rsidRDefault="00524720">
            <w:pPr>
              <w:pStyle w:val="TableText"/>
              <w:keepNext/>
              <w:spacing w:before="50" w:after="50"/>
              <w:rPr>
                <w:rFonts w:cs="Arial"/>
                <w:szCs w:val="16"/>
              </w:rPr>
            </w:pPr>
            <w:r w:rsidRPr="00D9348B">
              <w:rPr>
                <w:rFonts w:cs="Arial"/>
                <w:szCs w:val="16"/>
              </w:rPr>
              <w:t>Includes all currently operational municipal landfill sites and all sites with gas recovery</w:t>
            </w:r>
          </w:p>
        </w:tc>
      </w:tr>
      <w:tr w:rsidR="00524720" w:rsidRPr="00D9348B" w14:paraId="63BAE8CE" w14:textId="77777777" w:rsidTr="002D60CB">
        <w:tc>
          <w:tcPr>
            <w:tcW w:w="1843" w:type="dxa"/>
            <w:tcBorders>
              <w:top w:val="single" w:sz="4" w:space="0" w:color="365F91"/>
              <w:left w:val="nil"/>
              <w:bottom w:val="single" w:sz="4" w:space="0" w:color="365F91"/>
              <w:right w:val="nil"/>
            </w:tcBorders>
            <w:hideMark/>
          </w:tcPr>
          <w:p w14:paraId="14C9D35B" w14:textId="77777777" w:rsidR="00524720" w:rsidRPr="00D9348B" w:rsidRDefault="00524720">
            <w:pPr>
              <w:pStyle w:val="TableText"/>
              <w:spacing w:before="50" w:after="50"/>
            </w:pPr>
            <w:r w:rsidRPr="00D9348B">
              <w:t>5.A.1.b (Semi-aerobic)</w:t>
            </w:r>
          </w:p>
        </w:tc>
        <w:tc>
          <w:tcPr>
            <w:tcW w:w="2268" w:type="dxa"/>
            <w:tcBorders>
              <w:top w:val="single" w:sz="4" w:space="0" w:color="365F91"/>
              <w:left w:val="nil"/>
              <w:bottom w:val="single" w:sz="4" w:space="0" w:color="365F91"/>
              <w:right w:val="nil"/>
            </w:tcBorders>
            <w:hideMark/>
          </w:tcPr>
          <w:p w14:paraId="1DBE0840" w14:textId="77777777" w:rsidR="00524720" w:rsidRPr="00D9348B" w:rsidRDefault="00524720">
            <w:pPr>
              <w:pStyle w:val="TableText"/>
              <w:spacing w:before="50" w:after="50"/>
            </w:pPr>
            <w:r w:rsidRPr="00D9348B">
              <w:t>–</w:t>
            </w:r>
          </w:p>
        </w:tc>
        <w:tc>
          <w:tcPr>
            <w:tcW w:w="4394" w:type="dxa"/>
            <w:tcBorders>
              <w:top w:val="single" w:sz="4" w:space="0" w:color="365F91"/>
              <w:left w:val="nil"/>
              <w:bottom w:val="single" w:sz="4" w:space="0" w:color="365F91"/>
              <w:right w:val="nil"/>
            </w:tcBorders>
            <w:hideMark/>
          </w:tcPr>
          <w:p w14:paraId="1E4F4FF3" w14:textId="77777777" w:rsidR="00524720" w:rsidRPr="00D9348B" w:rsidRDefault="00524720">
            <w:pPr>
              <w:pStyle w:val="TableText"/>
              <w:spacing w:before="50" w:after="50"/>
              <w:rPr>
                <w:rFonts w:cs="Arial"/>
                <w:szCs w:val="16"/>
              </w:rPr>
            </w:pPr>
            <w:r w:rsidRPr="00D9348B">
              <w:rPr>
                <w:rFonts w:cs="Arial"/>
                <w:szCs w:val="16"/>
              </w:rPr>
              <w:t>No semi-aerobic landfill sites identified in New Zealand</w:t>
            </w:r>
          </w:p>
        </w:tc>
      </w:tr>
      <w:tr w:rsidR="00524720" w:rsidRPr="00D9348B" w14:paraId="162470B7" w14:textId="77777777" w:rsidTr="002D60CB">
        <w:tc>
          <w:tcPr>
            <w:tcW w:w="1843" w:type="dxa"/>
            <w:tcBorders>
              <w:top w:val="single" w:sz="4" w:space="0" w:color="365F91"/>
              <w:left w:val="nil"/>
              <w:bottom w:val="single" w:sz="4" w:space="0" w:color="365F91"/>
              <w:right w:val="nil"/>
            </w:tcBorders>
            <w:hideMark/>
          </w:tcPr>
          <w:p w14:paraId="14820446" w14:textId="77777777" w:rsidR="00524720" w:rsidRPr="00D9348B" w:rsidRDefault="00524720">
            <w:pPr>
              <w:pStyle w:val="TableText"/>
              <w:spacing w:before="50" w:after="50"/>
              <w:rPr>
                <w:rFonts w:cs="Arial"/>
                <w:szCs w:val="16"/>
              </w:rPr>
            </w:pPr>
            <w:r w:rsidRPr="00D9348B">
              <w:t>5.A.2 (Unmanaged)</w:t>
            </w:r>
          </w:p>
        </w:tc>
        <w:tc>
          <w:tcPr>
            <w:tcW w:w="2268" w:type="dxa"/>
            <w:tcBorders>
              <w:top w:val="single" w:sz="4" w:space="0" w:color="365F91"/>
              <w:left w:val="nil"/>
              <w:bottom w:val="single" w:sz="4" w:space="0" w:color="365F91"/>
              <w:right w:val="nil"/>
            </w:tcBorders>
            <w:hideMark/>
          </w:tcPr>
          <w:p w14:paraId="5AEAB84F" w14:textId="77777777" w:rsidR="00524720" w:rsidRPr="00D9348B" w:rsidRDefault="00524720">
            <w:pPr>
              <w:pStyle w:val="TableText"/>
              <w:spacing w:before="50" w:after="50"/>
            </w:pPr>
            <w:r w:rsidRPr="00D9348B">
              <w:rPr>
                <w:rFonts w:cs="Arial"/>
                <w:szCs w:val="16"/>
              </w:rPr>
              <w:t>Non-municipal landfills</w:t>
            </w:r>
          </w:p>
        </w:tc>
        <w:tc>
          <w:tcPr>
            <w:tcW w:w="4394" w:type="dxa"/>
            <w:tcBorders>
              <w:top w:val="single" w:sz="4" w:space="0" w:color="365F91"/>
              <w:left w:val="nil"/>
              <w:bottom w:val="single" w:sz="4" w:space="0" w:color="365F91"/>
              <w:right w:val="nil"/>
            </w:tcBorders>
            <w:hideMark/>
          </w:tcPr>
          <w:p w14:paraId="79ADA874" w14:textId="77777777" w:rsidR="00524720" w:rsidRPr="00D9348B" w:rsidRDefault="00524720">
            <w:pPr>
              <w:pStyle w:val="TableText"/>
              <w:spacing w:before="50" w:after="50"/>
              <w:rPr>
                <w:rFonts w:cs="Arial"/>
                <w:szCs w:val="16"/>
              </w:rPr>
            </w:pPr>
            <w:r w:rsidRPr="00D9348B">
              <w:rPr>
                <w:rFonts w:cs="Arial"/>
                <w:szCs w:val="16"/>
              </w:rPr>
              <w:t>Includes industrial landfills</w:t>
            </w:r>
          </w:p>
        </w:tc>
      </w:tr>
      <w:tr w:rsidR="00524720" w:rsidRPr="00D9348B" w14:paraId="45400AE8" w14:textId="77777777" w:rsidTr="002D60CB">
        <w:tc>
          <w:tcPr>
            <w:tcW w:w="1843" w:type="dxa"/>
            <w:tcBorders>
              <w:top w:val="single" w:sz="4" w:space="0" w:color="365F91"/>
              <w:left w:val="nil"/>
              <w:bottom w:val="single" w:sz="4" w:space="0" w:color="365F91"/>
              <w:right w:val="nil"/>
            </w:tcBorders>
            <w:hideMark/>
          </w:tcPr>
          <w:p w14:paraId="0F04D8A7" w14:textId="77777777" w:rsidR="00524720" w:rsidRPr="00D9348B" w:rsidRDefault="00524720">
            <w:pPr>
              <w:pStyle w:val="TableText"/>
              <w:spacing w:before="50" w:after="50"/>
              <w:rPr>
                <w:rFonts w:cs="Arial"/>
                <w:szCs w:val="16"/>
              </w:rPr>
            </w:pPr>
            <w:r w:rsidRPr="00D9348B">
              <w:t>5.A.2 (Unmanaged)</w:t>
            </w:r>
          </w:p>
        </w:tc>
        <w:tc>
          <w:tcPr>
            <w:tcW w:w="2268" w:type="dxa"/>
            <w:tcBorders>
              <w:top w:val="single" w:sz="4" w:space="0" w:color="365F91"/>
              <w:left w:val="nil"/>
              <w:bottom w:val="single" w:sz="4" w:space="0" w:color="365F91"/>
              <w:right w:val="nil"/>
            </w:tcBorders>
            <w:hideMark/>
          </w:tcPr>
          <w:p w14:paraId="47F82CAC" w14:textId="77777777" w:rsidR="00524720" w:rsidRPr="00D9348B" w:rsidRDefault="00524720">
            <w:pPr>
              <w:pStyle w:val="TableText"/>
              <w:spacing w:before="50" w:after="50"/>
              <w:rPr>
                <w:rFonts w:cs="Arial"/>
                <w:szCs w:val="16"/>
              </w:rPr>
            </w:pPr>
            <w:r w:rsidRPr="00D9348B">
              <w:rPr>
                <w:rFonts w:cs="Arial"/>
                <w:szCs w:val="16"/>
              </w:rPr>
              <w:t>Farm fills</w:t>
            </w:r>
          </w:p>
        </w:tc>
        <w:tc>
          <w:tcPr>
            <w:tcW w:w="4394" w:type="dxa"/>
            <w:tcBorders>
              <w:top w:val="single" w:sz="4" w:space="0" w:color="365F91"/>
              <w:left w:val="nil"/>
              <w:bottom w:val="single" w:sz="4" w:space="0" w:color="365F91"/>
              <w:right w:val="nil"/>
            </w:tcBorders>
            <w:hideMark/>
          </w:tcPr>
          <w:p w14:paraId="16D6B08F" w14:textId="77777777" w:rsidR="00524720" w:rsidRPr="00D9348B" w:rsidRDefault="00524720">
            <w:pPr>
              <w:pStyle w:val="TableText"/>
              <w:spacing w:before="50" w:after="50"/>
              <w:rPr>
                <w:rFonts w:cs="Arial"/>
                <w:szCs w:val="16"/>
                <w:highlight w:val="yellow"/>
              </w:rPr>
            </w:pPr>
            <w:r w:rsidRPr="00D9348B">
              <w:rPr>
                <w:rFonts w:cs="Arial"/>
                <w:szCs w:val="16"/>
              </w:rPr>
              <w:t>Disposal of waste on farms</w:t>
            </w:r>
          </w:p>
        </w:tc>
      </w:tr>
      <w:tr w:rsidR="00524720" w:rsidRPr="00D9348B" w14:paraId="4C1C3295" w14:textId="77777777" w:rsidTr="002D60CB">
        <w:tc>
          <w:tcPr>
            <w:tcW w:w="1843" w:type="dxa"/>
            <w:tcBorders>
              <w:top w:val="single" w:sz="4" w:space="0" w:color="365F91"/>
              <w:left w:val="nil"/>
              <w:bottom w:val="single" w:sz="4" w:space="0" w:color="365F91"/>
              <w:right w:val="nil"/>
            </w:tcBorders>
            <w:hideMark/>
          </w:tcPr>
          <w:p w14:paraId="44EF3F85" w14:textId="77777777" w:rsidR="00524720" w:rsidRPr="00D9348B" w:rsidRDefault="00524720">
            <w:pPr>
              <w:pStyle w:val="TableText"/>
              <w:spacing w:before="50" w:after="50"/>
            </w:pPr>
            <w:r w:rsidRPr="00D9348B">
              <w:t>5.A.3 (Uncategorised)</w:t>
            </w:r>
          </w:p>
        </w:tc>
        <w:tc>
          <w:tcPr>
            <w:tcW w:w="2268" w:type="dxa"/>
            <w:tcBorders>
              <w:top w:val="single" w:sz="4" w:space="0" w:color="365F91"/>
              <w:left w:val="nil"/>
              <w:bottom w:val="single" w:sz="4" w:space="0" w:color="365F91"/>
              <w:right w:val="nil"/>
            </w:tcBorders>
            <w:hideMark/>
          </w:tcPr>
          <w:p w14:paraId="2964B7F8" w14:textId="77777777" w:rsidR="00524720" w:rsidRPr="00D9348B" w:rsidRDefault="00524720">
            <w:pPr>
              <w:pStyle w:val="TableText"/>
              <w:spacing w:before="50" w:after="50"/>
            </w:pPr>
            <w:r w:rsidRPr="00D9348B">
              <w:t>Other municipal landfills</w:t>
            </w:r>
          </w:p>
        </w:tc>
        <w:tc>
          <w:tcPr>
            <w:tcW w:w="4394" w:type="dxa"/>
            <w:tcBorders>
              <w:top w:val="single" w:sz="4" w:space="0" w:color="365F91"/>
              <w:left w:val="nil"/>
              <w:bottom w:val="single" w:sz="4" w:space="0" w:color="365F91"/>
              <w:right w:val="nil"/>
            </w:tcBorders>
            <w:hideMark/>
          </w:tcPr>
          <w:p w14:paraId="17F27917" w14:textId="77777777" w:rsidR="00524720" w:rsidRPr="00D9348B" w:rsidRDefault="00524720">
            <w:pPr>
              <w:pStyle w:val="TableText"/>
              <w:spacing w:before="50" w:after="50"/>
            </w:pPr>
            <w:r w:rsidRPr="00D9348B">
              <w:t>Prior to 2010 only</w:t>
            </w:r>
          </w:p>
        </w:tc>
      </w:tr>
    </w:tbl>
    <w:p w14:paraId="70CD660D" w14:textId="77777777" w:rsidR="00524720" w:rsidRPr="00D9348B" w:rsidRDefault="00524720" w:rsidP="002D60CB">
      <w:pPr>
        <w:pStyle w:val="BodyText"/>
        <w:spacing w:before="360"/>
      </w:pPr>
      <w:r w:rsidRPr="00D9348B">
        <w:t xml:space="preserve">Since 1990, there have been a number of initiatives to improve solid waste management practices in New Zealand. These include: </w:t>
      </w:r>
    </w:p>
    <w:p w14:paraId="12D0FE75" w14:textId="77777777" w:rsidR="00524720" w:rsidRPr="00D9348B" w:rsidRDefault="00524720" w:rsidP="00771A8F">
      <w:pPr>
        <w:pStyle w:val="Bullet"/>
        <w:numPr>
          <w:ilvl w:val="0"/>
          <w:numId w:val="26"/>
        </w:numPr>
      </w:pPr>
      <w:r w:rsidRPr="00D9348B">
        <w:t>requirements for all landfills to meet resource consent conditions set under the Resource Management Act 1991</w:t>
      </w:r>
    </w:p>
    <w:p w14:paraId="76BE7A2F" w14:textId="77777777" w:rsidR="00524720" w:rsidRPr="00D9348B" w:rsidRDefault="00524720" w:rsidP="00771A8F">
      <w:pPr>
        <w:pStyle w:val="Bullet"/>
        <w:numPr>
          <w:ilvl w:val="0"/>
          <w:numId w:val="28"/>
        </w:numPr>
      </w:pPr>
      <w:proofErr w:type="gramStart"/>
      <w:r w:rsidRPr="00D9348B">
        <w:t>the</w:t>
      </w:r>
      <w:proofErr w:type="gramEnd"/>
      <w:r w:rsidRPr="00D9348B">
        <w:t xml:space="preserve"> National Environmental Standards for Air Quality (2004) set under the Resource Management Act 1991, which require large landfills to capture landfill gas. This has significantly increased the use of LFG collection technology</w:t>
      </w:r>
    </w:p>
    <w:p w14:paraId="0462594F" w14:textId="77777777" w:rsidR="00524720" w:rsidRPr="00D9348B" w:rsidRDefault="00524720" w:rsidP="00771A8F">
      <w:pPr>
        <w:pStyle w:val="Bullet"/>
        <w:numPr>
          <w:ilvl w:val="0"/>
          <w:numId w:val="28"/>
        </w:numPr>
      </w:pPr>
      <w:r w:rsidRPr="00D9348B">
        <w:t xml:space="preserve">guidance and direction to local government and the Waste sector through </w:t>
      </w:r>
      <w:r w:rsidRPr="00D9348B">
        <w:rPr>
          <w:i/>
        </w:rPr>
        <w:t>The</w:t>
      </w:r>
      <w:r w:rsidRPr="00D9348B">
        <w:t xml:space="preserve"> </w:t>
      </w:r>
      <w:r w:rsidRPr="00D9348B">
        <w:rPr>
          <w:i/>
        </w:rPr>
        <w:t>New Zealand Waste Strategy</w:t>
      </w:r>
      <w:r w:rsidRPr="00D9348B">
        <w:t xml:space="preserve"> (Ministry for the Environment, 2002a) and its revision in 2010 (Ministry for the Environment, 2010)</w:t>
      </w:r>
    </w:p>
    <w:p w14:paraId="4C08E578" w14:textId="77777777" w:rsidR="00524720" w:rsidRPr="00D9348B" w:rsidRDefault="00524720" w:rsidP="00771A8F">
      <w:pPr>
        <w:pStyle w:val="Bullet"/>
        <w:numPr>
          <w:ilvl w:val="0"/>
          <w:numId w:val="28"/>
        </w:numPr>
      </w:pPr>
      <w:r w:rsidRPr="00D9348B">
        <w:t xml:space="preserve">development of the </w:t>
      </w:r>
      <w:r w:rsidRPr="00D9348B">
        <w:rPr>
          <w:i/>
        </w:rPr>
        <w:t>Solid Waste Analysis Protocol</w:t>
      </w:r>
      <w:r w:rsidRPr="00D9348B">
        <w:t>, which provides a consistent classification system, sampling regimes and survey procedures to estimate the composition of solid waste (Ministry for the Environment, 2002b)</w:t>
      </w:r>
    </w:p>
    <w:p w14:paraId="0C580829" w14:textId="77777777" w:rsidR="00524720" w:rsidRPr="00D9348B" w:rsidRDefault="00524720" w:rsidP="00771A8F">
      <w:pPr>
        <w:pStyle w:val="Bullet"/>
        <w:numPr>
          <w:ilvl w:val="0"/>
          <w:numId w:val="28"/>
        </w:numPr>
      </w:pPr>
      <w:r w:rsidRPr="00D9348B">
        <w:t>the Waste Minimisation Act 2008, which imposes a levy of NZ$10 per tonne of municipal solid waste and enables regulations to establish product stewardship requirements and for information reporting.</w:t>
      </w:r>
    </w:p>
    <w:p w14:paraId="283DBF06" w14:textId="77777777" w:rsidR="00524720" w:rsidRPr="00D9348B" w:rsidRDefault="00524720" w:rsidP="00524720">
      <w:pPr>
        <w:pStyle w:val="BodyText"/>
      </w:pPr>
      <w:r w:rsidRPr="00D9348B">
        <w:t>In addition, most municipal landfills are now mandatory participants in the NZ ETS with obligations to report and surrender emission units for their CH</w:t>
      </w:r>
      <w:r w:rsidRPr="00D9348B">
        <w:rPr>
          <w:vertAlign w:val="subscript"/>
        </w:rPr>
        <w:t>4</w:t>
      </w:r>
      <w:r w:rsidRPr="00D9348B">
        <w:t xml:space="preserve"> emissions estimated by mass balance.</w:t>
      </w:r>
    </w:p>
    <w:p w14:paraId="63D61082" w14:textId="77777777" w:rsidR="00524720" w:rsidRPr="00D9348B" w:rsidRDefault="00524720" w:rsidP="00524720">
      <w:pPr>
        <w:pStyle w:val="BodyText"/>
      </w:pPr>
      <w:r w:rsidRPr="00D9348B">
        <w:t>These initiatives have contributed to substantial improvements in waste management since 1990. A large number of small, often poorly located and substandard municipal landfills have been closed, and most communities are now using larger, more modern regional facilities for disposal of their waste. In 2018, 38 significant municipal landfill sites were active, in comparison with 327 in 1995 and 563 in 1971.</w:t>
      </w:r>
    </w:p>
    <w:p w14:paraId="2644486F" w14:textId="77777777" w:rsidR="00524720" w:rsidRPr="00D9348B" w:rsidRDefault="00524720" w:rsidP="00524720">
      <w:pPr>
        <w:pStyle w:val="BodyText"/>
      </w:pPr>
      <w:r w:rsidRPr="00D9348B">
        <w:t>Non-municipal landfills and farm fills are also required to comply with regional policies and plans made under the Resource Management Act 1991. However, these facilities are not currently required to monitor and report the waste they accept, to pay the waste levy, or to participate in the NZ ETS.</w:t>
      </w:r>
    </w:p>
    <w:p w14:paraId="249B91CF" w14:textId="77777777" w:rsidR="00524720" w:rsidRPr="00D9348B" w:rsidRDefault="00524720" w:rsidP="00524720">
      <w:pPr>
        <w:pStyle w:val="BodyText"/>
      </w:pPr>
      <w:r w:rsidRPr="00D9348B">
        <w:t xml:space="preserve">In 2018, the </w:t>
      </w:r>
      <w:r w:rsidRPr="00D9348B">
        <w:rPr>
          <w:i/>
        </w:rPr>
        <w:t>Solid waste disposal</w:t>
      </w:r>
      <w:r w:rsidRPr="00D9348B">
        <w:t xml:space="preserve"> source category contributed 3,651.8 kt CO</w:t>
      </w:r>
      <w:r w:rsidRPr="00D9348B">
        <w:rPr>
          <w:vertAlign w:val="subscript"/>
        </w:rPr>
        <w:t>2</w:t>
      </w:r>
      <w:r w:rsidRPr="00D9348B">
        <w:t xml:space="preserve">-e (90.0 per cent) of total emissions from the Waste sector. Emissions from </w:t>
      </w:r>
      <w:r w:rsidRPr="00D9348B">
        <w:rPr>
          <w:i/>
        </w:rPr>
        <w:t>Solid waste disposal</w:t>
      </w:r>
      <w:r w:rsidRPr="00D9348B">
        <w:t xml:space="preserve"> in 2018 were </w:t>
      </w:r>
      <w:r w:rsidRPr="00D9348B">
        <w:br/>
        <w:t>–59.3 kt CO</w:t>
      </w:r>
      <w:r w:rsidRPr="00D9348B">
        <w:rPr>
          <w:vertAlign w:val="subscript"/>
        </w:rPr>
        <w:t>2</w:t>
      </w:r>
      <w:r w:rsidRPr="00D9348B">
        <w:t>-e (–1.6 per cent) below the 1990 level of 3,711.1 kt CO</w:t>
      </w:r>
      <w:r w:rsidRPr="00D9348B">
        <w:rPr>
          <w:vertAlign w:val="subscript"/>
        </w:rPr>
        <w:t>2</w:t>
      </w:r>
      <w:r w:rsidRPr="00D9348B">
        <w:t>-e. While there is year to year variation, this net increase is the result of two contrary trends. First, population and economic growth have driven ongoing increases in the amount of municipal waste generated but, secondly, improved landfill management practices, particularly LFG recovery, have offset this increase, resulting in emissions peaking in 2005.</w:t>
      </w:r>
    </w:p>
    <w:p w14:paraId="7F35709C" w14:textId="77777777" w:rsidR="00524720" w:rsidRPr="00D9348B" w:rsidRDefault="00524720" w:rsidP="00524720">
      <w:pPr>
        <w:pStyle w:val="BodyText"/>
      </w:pPr>
      <w:r w:rsidRPr="00D9348B">
        <w:lastRenderedPageBreak/>
        <w:t xml:space="preserve">Methane emissions from </w:t>
      </w:r>
      <w:r w:rsidRPr="00D9348B">
        <w:rPr>
          <w:i/>
        </w:rPr>
        <w:t>Solid waste disposal</w:t>
      </w:r>
      <w:r w:rsidRPr="00D9348B">
        <w:t xml:space="preserve"> were identified as a key category in the 2018 level assessment and trend assessment.</w:t>
      </w:r>
    </w:p>
    <w:p w14:paraId="402E1CA3" w14:textId="77777777" w:rsidR="00524720" w:rsidRPr="00D9348B" w:rsidRDefault="00524720" w:rsidP="00524720">
      <w:pPr>
        <w:pStyle w:val="Heading3"/>
      </w:pPr>
      <w:bookmarkStart w:id="2669" w:name="_Toc32828331"/>
      <w:r w:rsidRPr="00D9348B">
        <w:t>7.2.2</w:t>
      </w:r>
      <w:r w:rsidRPr="00D9348B">
        <w:tab/>
        <w:t>Methodological issues</w:t>
      </w:r>
      <w:bookmarkEnd w:id="2669"/>
      <w:r w:rsidRPr="00D9348B">
        <w:t xml:space="preserve"> </w:t>
      </w:r>
    </w:p>
    <w:p w14:paraId="440D7EBE" w14:textId="77777777" w:rsidR="00524720" w:rsidRPr="00D9348B" w:rsidRDefault="00524720" w:rsidP="00D93B05">
      <w:pPr>
        <w:pStyle w:val="Heading4"/>
        <w:spacing w:before="160"/>
      </w:pPr>
      <w:r w:rsidRPr="00D9348B">
        <w:t>Choice of activity data</w:t>
      </w:r>
    </w:p>
    <w:p w14:paraId="54C41D95" w14:textId="77777777" w:rsidR="00524720" w:rsidRPr="00D9348B" w:rsidRDefault="00524720" w:rsidP="00524720">
      <w:pPr>
        <w:pStyle w:val="Heading5"/>
        <w:spacing w:before="120"/>
      </w:pPr>
      <w:r w:rsidRPr="00D9348B">
        <w:t>Municipal landfills (5.A.1.a and 5.A.3)</w:t>
      </w:r>
    </w:p>
    <w:p w14:paraId="02AFBFD0" w14:textId="77777777" w:rsidR="00524720" w:rsidRPr="00D9348B" w:rsidRDefault="00524720" w:rsidP="00524720">
      <w:pPr>
        <w:pStyle w:val="BodyText"/>
        <w:spacing w:after="100"/>
      </w:pPr>
      <w:r w:rsidRPr="00D9348B">
        <w:t xml:space="preserve">Annual total waste placement to all municipal landfills has been estimated based on: </w:t>
      </w:r>
    </w:p>
    <w:p w14:paraId="2B5E4A82" w14:textId="77777777" w:rsidR="00524720" w:rsidRPr="00D9348B" w:rsidRDefault="00524720" w:rsidP="00771A8F">
      <w:pPr>
        <w:pStyle w:val="Bullet"/>
        <w:numPr>
          <w:ilvl w:val="0"/>
          <w:numId w:val="28"/>
        </w:numPr>
        <w:spacing w:after="100"/>
      </w:pPr>
      <w:r w:rsidRPr="00D9348B">
        <w:t>back-casting from a 1982 national survey, using real (inflation-adjusted) GDP, for the years before 1982</w:t>
      </w:r>
    </w:p>
    <w:p w14:paraId="5B5D1CB1" w14:textId="77777777" w:rsidR="00524720" w:rsidRPr="00D9348B" w:rsidRDefault="00524720" w:rsidP="00771A8F">
      <w:pPr>
        <w:pStyle w:val="Bullet"/>
        <w:numPr>
          <w:ilvl w:val="0"/>
          <w:numId w:val="28"/>
        </w:numPr>
        <w:spacing w:after="100"/>
      </w:pPr>
      <w:r w:rsidRPr="00D9348B">
        <w:t>national surveys carried out for the years 1982, 1995, 1998, 2002 and 2006</w:t>
      </w:r>
    </w:p>
    <w:p w14:paraId="1E229D60" w14:textId="77777777" w:rsidR="00524720" w:rsidRPr="00D9348B" w:rsidRDefault="00524720" w:rsidP="00771A8F">
      <w:pPr>
        <w:pStyle w:val="Bullet"/>
        <w:numPr>
          <w:ilvl w:val="0"/>
          <w:numId w:val="28"/>
        </w:numPr>
        <w:spacing w:after="100"/>
      </w:pPr>
      <w:r w:rsidRPr="00D9348B">
        <w:t>linear interpolation for the years between these surveys</w:t>
      </w:r>
    </w:p>
    <w:p w14:paraId="30FC3502" w14:textId="77777777" w:rsidR="00524720" w:rsidRPr="00D9348B" w:rsidRDefault="00524720" w:rsidP="00771A8F">
      <w:pPr>
        <w:pStyle w:val="Bullet"/>
        <w:numPr>
          <w:ilvl w:val="0"/>
          <w:numId w:val="28"/>
        </w:numPr>
        <w:spacing w:after="100"/>
      </w:pPr>
      <w:r w:rsidRPr="00D9348B">
        <w:t>linear interpolation for the years 2007 to 2009</w:t>
      </w:r>
    </w:p>
    <w:p w14:paraId="568A4BFE" w14:textId="77777777" w:rsidR="00524720" w:rsidRPr="00D9348B" w:rsidRDefault="00524720" w:rsidP="00771A8F">
      <w:pPr>
        <w:pStyle w:val="Bullet"/>
        <w:numPr>
          <w:ilvl w:val="0"/>
          <w:numId w:val="28"/>
        </w:numPr>
        <w:spacing w:after="100"/>
      </w:pPr>
      <w:proofErr w:type="gramStart"/>
      <w:r w:rsidRPr="00D9348B">
        <w:t>data</w:t>
      </w:r>
      <w:proofErr w:type="gramEnd"/>
      <w:r w:rsidRPr="00D9348B">
        <w:t xml:space="preserve"> collected annually under the requirements of the Waste Minimisation Act 2008 for the years since 2010. </w:t>
      </w:r>
    </w:p>
    <w:p w14:paraId="129226F1" w14:textId="77777777" w:rsidR="00524720" w:rsidRPr="00D9348B" w:rsidRDefault="00524720" w:rsidP="00524720">
      <w:pPr>
        <w:pStyle w:val="BodyText"/>
        <w:spacing w:after="100"/>
      </w:pPr>
      <w:r w:rsidRPr="00D9348B">
        <w:t xml:space="preserve">A regression analysis established that there was a correlation between real GDP and the amount of waste landfilled up to 2002. The transition from national surveys to using Waste Minimisation Act 2008 information uses a linear interpolation. Other methods were explored, but this approach gave the most robust estimates (Eunomia and Waste Not, unpublished). </w:t>
      </w:r>
    </w:p>
    <w:p w14:paraId="0BECB2F6" w14:textId="77777777" w:rsidR="00524720" w:rsidRPr="00D9348B" w:rsidRDefault="00524720" w:rsidP="00524720">
      <w:pPr>
        <w:pStyle w:val="BodyText"/>
        <w:spacing w:after="100"/>
        <w:rPr>
          <w:spacing w:val="-2"/>
        </w:rPr>
      </w:pPr>
      <w:r w:rsidRPr="00D9348B">
        <w:rPr>
          <w:spacing w:val="-2"/>
        </w:rPr>
        <w:t xml:space="preserve">Activity data are also available from individual landfill sites. This information was collected from landfill operators by a survey in 2009 (SKM, </w:t>
      </w:r>
      <w:proofErr w:type="gramStart"/>
      <w:r w:rsidRPr="00D9348B">
        <w:rPr>
          <w:spacing w:val="-2"/>
        </w:rPr>
        <w:t>unpublished(</w:t>
      </w:r>
      <w:proofErr w:type="gramEnd"/>
      <w:r w:rsidRPr="00D9348B">
        <w:rPr>
          <w:spacing w:val="-2"/>
        </w:rPr>
        <w:t xml:space="preserve">b)). The 25 landfills that were operating at that time and that either had LFG recovery systems, or were planning to install LFG recovery systems by 2012, all provided data. </w:t>
      </w:r>
    </w:p>
    <w:p w14:paraId="129A3ED1" w14:textId="77777777" w:rsidR="00524720" w:rsidRPr="00D9348B" w:rsidRDefault="00524720" w:rsidP="00524720">
      <w:pPr>
        <w:pStyle w:val="BodyText"/>
        <w:spacing w:after="100"/>
        <w:rPr>
          <w:spacing w:val="-2"/>
        </w:rPr>
      </w:pPr>
      <w:r w:rsidRPr="00D9348B">
        <w:rPr>
          <w:spacing w:val="-2"/>
        </w:rPr>
        <w:t>The data included annual waste placement history and intentions. Some of these sites have since closed and are no longer accepting waste, but they all still generate CH</w:t>
      </w:r>
      <w:r w:rsidRPr="00D9348B">
        <w:rPr>
          <w:spacing w:val="-2"/>
          <w:vertAlign w:val="subscript"/>
        </w:rPr>
        <w:t>4</w:t>
      </w:r>
      <w:r w:rsidRPr="00D9348B">
        <w:rPr>
          <w:spacing w:val="-2"/>
        </w:rPr>
        <w:t xml:space="preserve"> emissions. One new large landfill site has opened in New Zealand since 2009, and an existing landfill installed a landfill gas (LFG) system in 2018, and both have subsequently been included. </w:t>
      </w:r>
      <w:r w:rsidRPr="00D9348B">
        <w:t>From 2010 onwards, all municipal landfills report placement under the Waste Minimisation Act 2008.</w:t>
      </w:r>
      <w:r w:rsidRPr="00D9348B">
        <w:rPr>
          <w:spacing w:val="-2"/>
        </w:rPr>
        <w:t xml:space="preserve"> Table 7.2.2 shows the latest numbers of managed landfills.</w:t>
      </w:r>
    </w:p>
    <w:p w14:paraId="42689B49" w14:textId="77777777" w:rsidR="00524720" w:rsidRPr="00D9348B" w:rsidRDefault="00524720" w:rsidP="00524720">
      <w:pPr>
        <w:pStyle w:val="Table"/>
      </w:pPr>
      <w:bookmarkStart w:id="2670" w:name="_Toc32828519"/>
      <w:bookmarkStart w:id="2671" w:name="_Toc32591349"/>
      <w:bookmarkStart w:id="2672" w:name="_Toc36224642"/>
      <w:r w:rsidRPr="00D9348B">
        <w:t xml:space="preserve">Table 7.2.2 </w:t>
      </w:r>
      <w:r w:rsidRPr="00D9348B">
        <w:tab/>
        <w:t>Landfill categories in 2018</w:t>
      </w:r>
      <w:bookmarkEnd w:id="2670"/>
      <w:bookmarkEnd w:id="2671"/>
      <w:bookmarkEnd w:id="2672"/>
    </w:p>
    <w:tbl>
      <w:tblPr>
        <w:tblW w:w="8505" w:type="dxa"/>
        <w:tblInd w:w="108" w:type="dxa"/>
        <w:tblBorders>
          <w:top w:val="single" w:sz="4" w:space="0" w:color="365F91"/>
          <w:bottom w:val="single" w:sz="4" w:space="0" w:color="365F91"/>
          <w:insideH w:val="single" w:sz="4" w:space="0" w:color="365F91"/>
        </w:tblBorders>
        <w:tblLook w:val="04A0" w:firstRow="1" w:lastRow="0" w:firstColumn="1" w:lastColumn="0" w:noHBand="0" w:noVBand="1"/>
      </w:tblPr>
      <w:tblGrid>
        <w:gridCol w:w="3119"/>
        <w:gridCol w:w="1984"/>
        <w:gridCol w:w="2127"/>
        <w:gridCol w:w="1275"/>
      </w:tblGrid>
      <w:tr w:rsidR="00524720" w:rsidRPr="00D9348B" w14:paraId="7A360F86" w14:textId="77777777" w:rsidTr="002D60CB">
        <w:tc>
          <w:tcPr>
            <w:tcW w:w="3119" w:type="dxa"/>
            <w:tcBorders>
              <w:top w:val="single" w:sz="4" w:space="0" w:color="365F91"/>
              <w:left w:val="nil"/>
              <w:bottom w:val="single" w:sz="4" w:space="0" w:color="365F91"/>
              <w:right w:val="nil"/>
            </w:tcBorders>
            <w:shd w:val="clear" w:color="auto" w:fill="365F91"/>
            <w:vAlign w:val="bottom"/>
            <w:hideMark/>
          </w:tcPr>
          <w:p w14:paraId="421A24AC" w14:textId="77777777" w:rsidR="00524720" w:rsidRPr="00D9348B" w:rsidRDefault="00524720">
            <w:pPr>
              <w:pStyle w:val="TableTextBold"/>
              <w:rPr>
                <w:noProof w:val="0"/>
                <w:color w:val="FFFFFF"/>
              </w:rPr>
            </w:pPr>
            <w:r w:rsidRPr="00D9348B">
              <w:rPr>
                <w:noProof w:val="0"/>
                <w:color w:val="FFFFFF"/>
              </w:rPr>
              <w:t> </w:t>
            </w:r>
          </w:p>
        </w:tc>
        <w:tc>
          <w:tcPr>
            <w:tcW w:w="1984" w:type="dxa"/>
            <w:tcBorders>
              <w:top w:val="single" w:sz="4" w:space="0" w:color="365F91"/>
              <w:left w:val="nil"/>
              <w:bottom w:val="single" w:sz="4" w:space="0" w:color="365F91"/>
              <w:right w:val="nil"/>
            </w:tcBorders>
            <w:shd w:val="clear" w:color="auto" w:fill="365F91"/>
            <w:vAlign w:val="bottom"/>
            <w:hideMark/>
          </w:tcPr>
          <w:p w14:paraId="7FFDBC90" w14:textId="77777777" w:rsidR="00524720" w:rsidRPr="00D9348B" w:rsidRDefault="00524720">
            <w:pPr>
              <w:pStyle w:val="TableTextBold"/>
              <w:rPr>
                <w:noProof w:val="0"/>
                <w:color w:val="FFFFFF"/>
              </w:rPr>
            </w:pPr>
            <w:r w:rsidRPr="00D9348B">
              <w:rPr>
                <w:noProof w:val="0"/>
                <w:color w:val="FFFFFF"/>
              </w:rPr>
              <w:t>Sites with LFG recovery</w:t>
            </w:r>
          </w:p>
        </w:tc>
        <w:tc>
          <w:tcPr>
            <w:tcW w:w="2127" w:type="dxa"/>
            <w:tcBorders>
              <w:top w:val="single" w:sz="4" w:space="0" w:color="365F91"/>
              <w:left w:val="nil"/>
              <w:bottom w:val="single" w:sz="4" w:space="0" w:color="365F91"/>
              <w:right w:val="nil"/>
            </w:tcBorders>
            <w:shd w:val="clear" w:color="auto" w:fill="365F91"/>
            <w:vAlign w:val="bottom"/>
            <w:hideMark/>
          </w:tcPr>
          <w:p w14:paraId="4437D799" w14:textId="77777777" w:rsidR="00524720" w:rsidRPr="00D9348B" w:rsidRDefault="00524720">
            <w:pPr>
              <w:pStyle w:val="TableTextBold"/>
              <w:rPr>
                <w:noProof w:val="0"/>
                <w:color w:val="FFFFFF"/>
              </w:rPr>
            </w:pPr>
            <w:r w:rsidRPr="00D9348B">
              <w:rPr>
                <w:noProof w:val="0"/>
                <w:color w:val="FFFFFF"/>
              </w:rPr>
              <w:t xml:space="preserve">Sites without LFG recovery </w:t>
            </w:r>
          </w:p>
        </w:tc>
        <w:tc>
          <w:tcPr>
            <w:tcW w:w="1275" w:type="dxa"/>
            <w:tcBorders>
              <w:top w:val="single" w:sz="4" w:space="0" w:color="365F91"/>
              <w:left w:val="nil"/>
              <w:bottom w:val="single" w:sz="4" w:space="0" w:color="365F91"/>
              <w:right w:val="nil"/>
            </w:tcBorders>
            <w:shd w:val="clear" w:color="auto" w:fill="365F91"/>
            <w:vAlign w:val="bottom"/>
            <w:hideMark/>
          </w:tcPr>
          <w:p w14:paraId="2D56E904" w14:textId="77777777" w:rsidR="00524720" w:rsidRPr="00D9348B" w:rsidRDefault="00524720">
            <w:pPr>
              <w:pStyle w:val="TableTextBold"/>
              <w:rPr>
                <w:noProof w:val="0"/>
                <w:color w:val="FFFFFF"/>
              </w:rPr>
            </w:pPr>
            <w:r w:rsidRPr="00D9348B">
              <w:rPr>
                <w:noProof w:val="0"/>
                <w:color w:val="FFFFFF"/>
              </w:rPr>
              <w:t xml:space="preserve">National total </w:t>
            </w:r>
          </w:p>
        </w:tc>
      </w:tr>
      <w:tr w:rsidR="00524720" w:rsidRPr="00D9348B" w14:paraId="35D14297" w14:textId="77777777" w:rsidTr="002D60CB">
        <w:tc>
          <w:tcPr>
            <w:tcW w:w="3119" w:type="dxa"/>
            <w:tcBorders>
              <w:top w:val="single" w:sz="4" w:space="0" w:color="365F91"/>
              <w:left w:val="nil"/>
              <w:bottom w:val="single" w:sz="4" w:space="0" w:color="365F91"/>
              <w:right w:val="nil"/>
            </w:tcBorders>
            <w:hideMark/>
          </w:tcPr>
          <w:p w14:paraId="06FE760E" w14:textId="77777777" w:rsidR="00524720" w:rsidRPr="00D9348B" w:rsidRDefault="00524720">
            <w:pPr>
              <w:pStyle w:val="TableTextBold"/>
              <w:rPr>
                <w:noProof w:val="0"/>
              </w:rPr>
            </w:pPr>
            <w:r w:rsidRPr="00D9348B">
              <w:rPr>
                <w:noProof w:val="0"/>
              </w:rPr>
              <w:t>Landfills under the NZ ETS and waste levy</w:t>
            </w:r>
          </w:p>
        </w:tc>
        <w:tc>
          <w:tcPr>
            <w:tcW w:w="1984" w:type="dxa"/>
            <w:tcBorders>
              <w:top w:val="single" w:sz="4" w:space="0" w:color="365F91"/>
              <w:left w:val="nil"/>
              <w:bottom w:val="single" w:sz="4" w:space="0" w:color="365F91"/>
              <w:right w:val="nil"/>
            </w:tcBorders>
            <w:hideMark/>
          </w:tcPr>
          <w:p w14:paraId="6B0399A0" w14:textId="77777777" w:rsidR="00524720" w:rsidRPr="00D9348B" w:rsidRDefault="00524720">
            <w:pPr>
              <w:pStyle w:val="TableText"/>
            </w:pPr>
            <w:r w:rsidRPr="00D9348B">
              <w:t>19</w:t>
            </w:r>
          </w:p>
        </w:tc>
        <w:tc>
          <w:tcPr>
            <w:tcW w:w="2127" w:type="dxa"/>
            <w:tcBorders>
              <w:top w:val="single" w:sz="4" w:space="0" w:color="365F91"/>
              <w:left w:val="nil"/>
              <w:bottom w:val="single" w:sz="4" w:space="0" w:color="365F91"/>
              <w:right w:val="nil"/>
            </w:tcBorders>
            <w:hideMark/>
          </w:tcPr>
          <w:p w14:paraId="04298537" w14:textId="7EBDEE31" w:rsidR="00524720" w:rsidRPr="00D9348B" w:rsidRDefault="007165CF">
            <w:pPr>
              <w:pStyle w:val="TableText"/>
            </w:pPr>
            <w:r>
              <w:t>19</w:t>
            </w:r>
          </w:p>
        </w:tc>
        <w:tc>
          <w:tcPr>
            <w:tcW w:w="1275" w:type="dxa"/>
            <w:tcBorders>
              <w:top w:val="single" w:sz="4" w:space="0" w:color="365F91"/>
              <w:left w:val="nil"/>
              <w:bottom w:val="single" w:sz="4" w:space="0" w:color="365F91"/>
              <w:right w:val="nil"/>
            </w:tcBorders>
            <w:hideMark/>
          </w:tcPr>
          <w:p w14:paraId="47E84CA5" w14:textId="603FB973" w:rsidR="00524720" w:rsidRPr="00D9348B" w:rsidRDefault="007165CF">
            <w:pPr>
              <w:pStyle w:val="TableText"/>
              <w:rPr>
                <w:rFonts w:cs="Arial"/>
                <w:color w:val="000000"/>
                <w:szCs w:val="16"/>
              </w:rPr>
            </w:pPr>
            <w:r>
              <w:rPr>
                <w:rFonts w:cs="Arial"/>
                <w:color w:val="000000"/>
                <w:szCs w:val="16"/>
              </w:rPr>
              <w:t>38</w:t>
            </w:r>
          </w:p>
        </w:tc>
      </w:tr>
      <w:tr w:rsidR="00524720" w:rsidRPr="00D9348B" w14:paraId="0D4FAAAE" w14:textId="77777777" w:rsidTr="002D60CB">
        <w:tc>
          <w:tcPr>
            <w:tcW w:w="3119" w:type="dxa"/>
            <w:tcBorders>
              <w:top w:val="single" w:sz="4" w:space="0" w:color="365F91"/>
              <w:left w:val="nil"/>
              <w:bottom w:val="single" w:sz="4" w:space="0" w:color="365F91"/>
              <w:right w:val="nil"/>
            </w:tcBorders>
            <w:hideMark/>
          </w:tcPr>
          <w:p w14:paraId="37F45CDE" w14:textId="77777777" w:rsidR="00524720" w:rsidRPr="00D9348B" w:rsidRDefault="00524720">
            <w:pPr>
              <w:pStyle w:val="TableTextBold"/>
              <w:rPr>
                <w:noProof w:val="0"/>
              </w:rPr>
            </w:pPr>
            <w:r w:rsidRPr="00D9348B">
              <w:rPr>
                <w:noProof w:val="0"/>
              </w:rPr>
              <w:t xml:space="preserve">Closed landfills (still emitting) </w:t>
            </w:r>
          </w:p>
        </w:tc>
        <w:tc>
          <w:tcPr>
            <w:tcW w:w="1984" w:type="dxa"/>
            <w:tcBorders>
              <w:top w:val="single" w:sz="4" w:space="0" w:color="365F91"/>
              <w:left w:val="nil"/>
              <w:bottom w:val="single" w:sz="4" w:space="0" w:color="365F91"/>
              <w:right w:val="nil"/>
            </w:tcBorders>
            <w:hideMark/>
          </w:tcPr>
          <w:p w14:paraId="349B8B76" w14:textId="77777777" w:rsidR="00524720" w:rsidRPr="00D9348B" w:rsidRDefault="00524720">
            <w:pPr>
              <w:pStyle w:val="TableText"/>
            </w:pPr>
            <w:r w:rsidRPr="00D9348B">
              <w:t>7</w:t>
            </w:r>
          </w:p>
        </w:tc>
        <w:tc>
          <w:tcPr>
            <w:tcW w:w="2127" w:type="dxa"/>
            <w:tcBorders>
              <w:top w:val="single" w:sz="4" w:space="0" w:color="365F91"/>
              <w:left w:val="nil"/>
              <w:bottom w:val="single" w:sz="4" w:space="0" w:color="365F91"/>
              <w:right w:val="nil"/>
            </w:tcBorders>
            <w:hideMark/>
          </w:tcPr>
          <w:p w14:paraId="4E420D66" w14:textId="77777777" w:rsidR="00524720" w:rsidRPr="00D9348B" w:rsidRDefault="00524720">
            <w:pPr>
              <w:pStyle w:val="TableText"/>
            </w:pPr>
            <w:r w:rsidRPr="00D9348B">
              <w:t>Not reported</w:t>
            </w:r>
          </w:p>
        </w:tc>
        <w:tc>
          <w:tcPr>
            <w:tcW w:w="1275" w:type="dxa"/>
            <w:tcBorders>
              <w:top w:val="single" w:sz="4" w:space="0" w:color="365F91"/>
              <w:left w:val="nil"/>
              <w:bottom w:val="single" w:sz="4" w:space="0" w:color="365F91"/>
              <w:right w:val="nil"/>
            </w:tcBorders>
            <w:hideMark/>
          </w:tcPr>
          <w:p w14:paraId="5708F299" w14:textId="77777777" w:rsidR="00524720" w:rsidRPr="00D9348B" w:rsidRDefault="00524720">
            <w:pPr>
              <w:pStyle w:val="TableText"/>
              <w:rPr>
                <w:rFonts w:cs="Arial"/>
                <w:color w:val="000000"/>
                <w:szCs w:val="16"/>
              </w:rPr>
            </w:pPr>
            <w:r w:rsidRPr="00D9348B">
              <w:rPr>
                <w:rFonts w:cs="Arial"/>
                <w:color w:val="000000"/>
                <w:szCs w:val="16"/>
              </w:rPr>
              <w:t>Not reported</w:t>
            </w:r>
          </w:p>
        </w:tc>
      </w:tr>
      <w:tr w:rsidR="00524720" w:rsidRPr="00D9348B" w14:paraId="45E3007C" w14:textId="77777777" w:rsidTr="002D60CB">
        <w:tc>
          <w:tcPr>
            <w:tcW w:w="3119" w:type="dxa"/>
            <w:tcBorders>
              <w:top w:val="single" w:sz="4" w:space="0" w:color="365F91"/>
              <w:left w:val="nil"/>
              <w:bottom w:val="single" w:sz="4" w:space="0" w:color="365F91"/>
              <w:right w:val="nil"/>
            </w:tcBorders>
            <w:hideMark/>
          </w:tcPr>
          <w:p w14:paraId="4453998C" w14:textId="77777777" w:rsidR="00524720" w:rsidRPr="00D9348B" w:rsidRDefault="00524720">
            <w:pPr>
              <w:pStyle w:val="TableTextBold"/>
              <w:rPr>
                <w:noProof w:val="0"/>
              </w:rPr>
            </w:pPr>
            <w:r w:rsidRPr="00D9348B">
              <w:rPr>
                <w:noProof w:val="0"/>
              </w:rPr>
              <w:t>Total</w:t>
            </w:r>
          </w:p>
        </w:tc>
        <w:tc>
          <w:tcPr>
            <w:tcW w:w="1984" w:type="dxa"/>
            <w:tcBorders>
              <w:top w:val="single" w:sz="4" w:space="0" w:color="365F91"/>
              <w:left w:val="nil"/>
              <w:bottom w:val="single" w:sz="4" w:space="0" w:color="365F91"/>
              <w:right w:val="nil"/>
            </w:tcBorders>
            <w:hideMark/>
          </w:tcPr>
          <w:p w14:paraId="56365C83" w14:textId="77777777" w:rsidR="00524720" w:rsidRPr="00D9348B" w:rsidRDefault="00524720">
            <w:pPr>
              <w:pStyle w:val="TableText"/>
            </w:pPr>
            <w:r w:rsidRPr="00D9348B">
              <w:t>26</w:t>
            </w:r>
          </w:p>
        </w:tc>
        <w:tc>
          <w:tcPr>
            <w:tcW w:w="2127" w:type="dxa"/>
            <w:tcBorders>
              <w:top w:val="single" w:sz="4" w:space="0" w:color="365F91"/>
              <w:left w:val="nil"/>
              <w:bottom w:val="single" w:sz="4" w:space="0" w:color="365F91"/>
              <w:right w:val="nil"/>
            </w:tcBorders>
            <w:hideMark/>
          </w:tcPr>
          <w:p w14:paraId="7E87E075" w14:textId="77777777" w:rsidR="00524720" w:rsidRPr="00D9348B" w:rsidRDefault="00524720">
            <w:pPr>
              <w:pStyle w:val="TableText"/>
            </w:pPr>
            <w:r w:rsidRPr="00D9348B">
              <w:t>Not reported</w:t>
            </w:r>
          </w:p>
        </w:tc>
        <w:tc>
          <w:tcPr>
            <w:tcW w:w="1275" w:type="dxa"/>
            <w:tcBorders>
              <w:top w:val="single" w:sz="4" w:space="0" w:color="365F91"/>
              <w:left w:val="nil"/>
              <w:bottom w:val="single" w:sz="4" w:space="0" w:color="365F91"/>
              <w:right w:val="nil"/>
            </w:tcBorders>
            <w:hideMark/>
          </w:tcPr>
          <w:p w14:paraId="3DBAE4A9" w14:textId="77777777" w:rsidR="00524720" w:rsidRPr="00D9348B" w:rsidRDefault="00524720">
            <w:pPr>
              <w:pStyle w:val="TableText"/>
              <w:rPr>
                <w:rFonts w:cs="Arial"/>
                <w:color w:val="000000"/>
                <w:szCs w:val="16"/>
              </w:rPr>
            </w:pPr>
            <w:r w:rsidRPr="00D9348B">
              <w:rPr>
                <w:rFonts w:cs="Arial"/>
                <w:color w:val="000000"/>
                <w:szCs w:val="16"/>
              </w:rPr>
              <w:t>Not reported</w:t>
            </w:r>
          </w:p>
        </w:tc>
      </w:tr>
    </w:tbl>
    <w:p w14:paraId="30966DC3" w14:textId="77777777" w:rsidR="00524720" w:rsidRPr="00D9348B" w:rsidRDefault="00524720" w:rsidP="00524720">
      <w:pPr>
        <w:pStyle w:val="Noteundertable"/>
      </w:pPr>
      <w:r w:rsidRPr="00D9348B">
        <w:rPr>
          <w:b/>
          <w:bCs/>
        </w:rPr>
        <w:t>Note:</w:t>
      </w:r>
      <w:r w:rsidRPr="00D9348B">
        <w:t xml:space="preserve"> LFG = landfill gas; NZ ETS = Emissions Trading Scheme.</w:t>
      </w:r>
    </w:p>
    <w:p w14:paraId="15FDAE14" w14:textId="77777777" w:rsidR="00524720" w:rsidRPr="00D9348B" w:rsidRDefault="00524720" w:rsidP="00524720">
      <w:pPr>
        <w:pStyle w:val="BodyText"/>
        <w:rPr>
          <w:spacing w:val="-2"/>
        </w:rPr>
      </w:pPr>
      <w:r w:rsidRPr="00D9348B">
        <w:rPr>
          <w:spacing w:val="-2"/>
        </w:rPr>
        <w:t>For 1950 to 1995, the waste placement for the uncategorised category (5.A.3) is estimated as a fixed fraction (10 per cent) of the difference between the national total and sites with LFG recovery as shown in the equation:</w:t>
      </w:r>
    </w:p>
    <w:p w14:paraId="400BFFBF" w14:textId="460DAC8D" w:rsidR="00524720" w:rsidRPr="00D9348B" w:rsidRDefault="007165CF" w:rsidP="002D60CB">
      <w:pPr>
        <w:spacing w:after="100" w:afterAutospacing="1"/>
        <w:jc w:val="center"/>
      </w:pPr>
      <w:r>
        <w:pict w14:anchorId="6CF31F89">
          <v:shape id="_x0000_i1178" type="#_x0000_t75" style="width:344.95pt;height:1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activeWritingStyle w:lang=&quot;EN-NZ&quot; w:vendorID=&quot;64&quot; w:dllVersion=&quot;6&quot; w:nlCheck=&quot;on&quot; w:optionSet=&quot;1&quot;/&gt;&lt;w:stylePaneFormatFilter w:val=&quot;5804&quot;/&gt;&lt;w:defaultTabStop w:val=&quot;397&quot;/&gt;&lt;w:evenAndOddHeaders/&gt;&lt;w:drawingGridHorizontalSpacing w:val=&quot;187&quot;/&gt;&lt;w:displayVerticalDrawingGridEvery w:val=&quot;2&quot;/&gt;&lt;w:characterSpacingControl w:val=&quot;DontCompress&quot;/&gt;&lt;w:optimizeForBrowser/&gt;&lt;w:validateAgainstSchema/&gt;&lt;w:saveInvalidXML w:val=&quot;off&quot;/&gt;&lt;w:ignoreMixedContent w:val=&quot;off&quot;/&gt;&lt;w:alwaysShowPlaceholderText w:val=&quot;off&quot;/&gt;&lt;w:compat&gt;&lt;w:suppressBottomSpacing/&gt;&lt;w:suppressTopSpacing/&gt;&lt;w:doNotUseHTMLParagraphAutoSpacing/&gt;&lt;w:breakWrappedTables/&gt;&lt;w:snapToGridInCell/&gt;&lt;w:wrapTextWithPunct/&gt;&lt;w:useAsianBreakRules/&gt;&lt;w:useWord2002TableStyleRules/&gt;&lt;/w:compat&gt;&lt;wsp:rsids&gt;&lt;wsp:rsidRoot wsp:val=&quot;007A30E8&quot;/&gt;&lt;wsp:rsid wsp:val=&quot;00001716&quot;/&gt;&lt;wsp:rsid wsp:val=&quot;00007ABB&quot;/&gt;&lt;wsp:rsid wsp:val=&quot;00021ACF&quot;/&gt;&lt;wsp:rsid wsp:val=&quot;00022513&quot;/&gt;&lt;wsp:rsid wsp:val=&quot;00027E55&quot;/&gt;&lt;wsp:rsid wsp:val=&quot;00030690&quot;/&gt;&lt;wsp:rsid wsp:val=&quot;00032A28&quot;/&gt;&lt;wsp:rsid wsp:val=&quot;00035185&quot;/&gt;&lt;wsp:rsid wsp:val=&quot;00036FB1&quot;/&gt;&lt;wsp:rsid wsp:val=&quot;0004051F&quot;/&gt;&lt;wsp:rsid wsp:val=&quot;00050008&quot;/&gt;&lt;wsp:rsid wsp:val=&quot;000576EC&quot;/&gt;&lt;wsp:rsid wsp:val=&quot;00082902&quot;/&gt;&lt;wsp:rsid wsp:val=&quot;000959CB&quot;/&gt;&lt;wsp:rsid wsp:val=&quot;000B1212&quot;/&gt;&lt;wsp:rsid wsp:val=&quot;000B5C5F&quot;/&gt;&lt;wsp:rsid wsp:val=&quot;000C20A6&quot;/&gt;&lt;wsp:rsid wsp:val=&quot;000D120B&quot;/&gt;&lt;wsp:rsid wsp:val=&quot;000F4DEF&quot;/&gt;&lt;wsp:rsid wsp:val=&quot;000F62D5&quot;/&gt;&lt;wsp:rsid wsp:val=&quot;00103A70&quot;/&gt;&lt;wsp:rsid wsp:val=&quot;00115EF9&quot;/&gt;&lt;wsp:rsid wsp:val=&quot;00116E1B&quot;/&gt;&lt;wsp:rsid wsp:val=&quot;001221C3&quot;/&gt;&lt;wsp:rsid wsp:val=&quot;00124792&quot;/&gt;&lt;wsp:rsid wsp:val=&quot;00130604&quot;/&gt;&lt;wsp:rsid wsp:val=&quot;001423C4&quot;/&gt;&lt;wsp:rsid wsp:val=&quot;00153F5A&quot;/&gt;&lt;wsp:rsid wsp:val=&quot;00156D4F&quot;/&gt;&lt;wsp:rsid wsp:val=&quot;001577FD&quot;/&gt;&lt;wsp:rsid wsp:val=&quot;00163488&quot;/&gt;&lt;wsp:rsid wsp:val=&quot;00177C9C&quot;/&gt;&lt;wsp:rsid wsp:val=&quot;00180C1C&quot;/&gt;&lt;wsp:rsid wsp:val=&quot;001970E1&quot;/&gt;&lt;wsp:rsid wsp:val=&quot;001A1997&quot;/&gt;&lt;wsp:rsid wsp:val=&quot;001B6FD2&quot;/&gt;&lt;wsp:rsid wsp:val=&quot;001C0BC6&quot;/&gt;&lt;wsp:rsid wsp:val=&quot;001C5A35&quot;/&gt;&lt;wsp:rsid wsp:val=&quot;001D366E&quot;/&gt;&lt;wsp:rsid wsp:val=&quot;001D4675&quot;/&gt;&lt;wsp:rsid wsp:val=&quot;001E584F&quot;/&gt;&lt;wsp:rsid wsp:val=&quot;00207ABF&quot;/&gt;&lt;wsp:rsid wsp:val=&quot;00213955&quot;/&gt;&lt;wsp:rsid wsp:val=&quot;00224522&quot;/&gt;&lt;wsp:rsid wsp:val=&quot;002253F5&quot;/&gt;&lt;wsp:rsid wsp:val=&quot;00225AF5&quot;/&gt;&lt;wsp:rsid wsp:val=&quot;002278D8&quot;/&gt;&lt;wsp:rsid wsp:val=&quot;00240B42&quot;/&gt;&lt;wsp:rsid wsp:val=&quot;00244E0E&quot;/&gt;&lt;wsp:rsid wsp:val=&quot;00260B48&quot;/&gt;&lt;wsp:rsid wsp:val=&quot;00265955&quot;/&gt;&lt;wsp:rsid wsp:val=&quot;00274AE4&quot;/&gt;&lt;wsp:rsid wsp:val=&quot;00276A11&quot;/&gt;&lt;wsp:rsid wsp:val=&quot;0028581A&quot;/&gt;&lt;wsp:rsid wsp:val=&quot;002868D3&quot;/&gt;&lt;wsp:rsid wsp:val=&quot;00295B2A&quot;/&gt;&lt;wsp:rsid wsp:val=&quot;002A1361&quot;/&gt;&lt;wsp:rsid wsp:val=&quot;002A49D7&quot;/&gt;&lt;wsp:rsid wsp:val=&quot;002B1C5A&quot;/&gt;&lt;wsp:rsid wsp:val=&quot;002B3284&quot;/&gt;&lt;wsp:rsid wsp:val=&quot;002B3633&quot;/&gt;&lt;wsp:rsid wsp:val=&quot;002C3AEC&quot;/&gt;&lt;wsp:rsid wsp:val=&quot;002D60DB&quot;/&gt;&lt;wsp:rsid wsp:val=&quot;002D6A54&quot;/&gt;&lt;wsp:rsid wsp:val=&quot;002D6AB5&quot;/&gt;&lt;wsp:rsid wsp:val=&quot;002F134A&quot;/&gt;&lt;wsp:rsid wsp:val=&quot;002F6369&quot;/&gt;&lt;wsp:rsid wsp:val=&quot;00302D84&quot;/&gt;&lt;wsp:rsid wsp:val=&quot;00306B8F&quot;/&gt;&lt;wsp:rsid wsp:val=&quot;00315760&quot;/&gt;&lt;wsp:rsid wsp:val=&quot;003158D0&quot;/&gt;&lt;wsp:rsid wsp:val=&quot;0032349D&quot;/&gt;&lt;wsp:rsid wsp:val=&quot;00330809&quot;/&gt;&lt;wsp:rsid wsp:val=&quot;003526C7&quot;/&gt;&lt;wsp:rsid wsp:val=&quot;00353362&quot;/&gt;&lt;wsp:rsid wsp:val=&quot;00361DD4&quot;/&gt;&lt;wsp:rsid wsp:val=&quot;0036324D&quot;/&gt;&lt;wsp:rsid wsp:val=&quot;00365854&quot;/&gt;&lt;wsp:rsid wsp:val=&quot;0037590E&quot;/&gt;&lt;wsp:rsid wsp:val=&quot;00377186&quot;/&gt;&lt;wsp:rsid wsp:val=&quot;00383207&quot;/&gt;&lt;wsp:rsid wsp:val=&quot;00395B45&quot;/&gt;&lt;wsp:rsid wsp:val=&quot;003972EF&quot;/&gt;&lt;wsp:rsid wsp:val=&quot;00397D2B&quot;/&gt;&lt;wsp:rsid wsp:val=&quot;003A5006&quot;/&gt;&lt;wsp:rsid wsp:val=&quot;003C2615&quot;/&gt;&lt;wsp:rsid wsp:val=&quot;003D0318&quot;/&gt;&lt;wsp:rsid wsp:val=&quot;003D4BDF&quot;/&gt;&lt;wsp:rsid wsp:val=&quot;003D5417&quot;/&gt;&lt;wsp:rsid wsp:val=&quot;003E4A42&quot;/&gt;&lt;wsp:rsid wsp:val=&quot;00400F92&quot;/&gt;&lt;wsp:rsid wsp:val=&quot;004044F1&quot;/&gt;&lt;wsp:rsid wsp:val=&quot;00412BA2&quot;/&gt;&lt;wsp:rsid wsp:val=&quot;0042424B&quot;/&gt;&lt;wsp:rsid wsp:val=&quot;00430D5D&quot;/&gt;&lt;wsp:rsid wsp:val=&quot;00444336&quot;/&gt;&lt;wsp:rsid wsp:val=&quot;00445A02&quot;/&gt;&lt;wsp:rsid wsp:val=&quot;00455788&quot;/&gt;&lt;wsp:rsid wsp:val=&quot;0045652C&quot;/&gt;&lt;wsp:rsid wsp:val=&quot;00462497&quot;/&gt;&lt;wsp:rsid wsp:val=&quot;0047613C&quot;/&gt;&lt;wsp:rsid wsp:val=&quot;004805A3&quot;/&gt;&lt;wsp:rsid wsp:val=&quot;00490EB0&quot;/&gt;&lt;wsp:rsid wsp:val=&quot;004A39F8&quot;/&gt;&lt;wsp:rsid wsp:val=&quot;004A3C2C&quot;/&gt;&lt;wsp:rsid wsp:val=&quot;004A618E&quot;/&gt;&lt;wsp:rsid wsp:val=&quot;004E4B2C&quot;/&gt;&lt;wsp:rsid wsp:val=&quot;004E517A&quot;/&gt;&lt;wsp:rsid wsp:val=&quot;004E67B3&quot;/&gt;&lt;wsp:rsid wsp:val=&quot;004F1572&quot;/&gt;&lt;wsp:rsid wsp:val=&quot;004F229D&quot;/&gt;&lt;wsp:rsid wsp:val=&quot;004F483D&quot;/&gt;&lt;wsp:rsid wsp:val=&quot;00502D87&quot;/&gt;&lt;wsp:rsid wsp:val=&quot;0052105D&quot;/&gt;&lt;wsp:rsid wsp:val=&quot;00524720&quot;/&gt;&lt;wsp:rsid wsp:val=&quot;00526270&quot;/&gt;&lt;wsp:rsid wsp:val=&quot;005338F3&quot;/&gt;&lt;wsp:rsid wsp:val=&quot;00534210&quot;/&gt;&lt;wsp:rsid wsp:val=&quot;00540271&quot;/&gt;&lt;wsp:rsid wsp:val=&quot;00543478&quot;/&gt;&lt;wsp:rsid wsp:val=&quot;00545600&quot;/&gt;&lt;wsp:rsid wsp:val=&quot;00546A6A&quot;/&gt;&lt;wsp:rsid wsp:val=&quot;00562240&quot;/&gt;&lt;wsp:rsid wsp:val=&quot;005630B0&quot;/&gt;&lt;wsp:rsid wsp:val=&quot;005660CD&quot;/&gt;&lt;wsp:rsid wsp:val=&quot;0056715F&quot;/&gt;&lt;wsp:rsid wsp:val=&quot;005720F2&quot;/&gt;&lt;wsp:rsid wsp:val=&quot;005812D6&quot;/&gt;&lt;wsp:rsid wsp:val=&quot;00591646&quot;/&gt;&lt;wsp:rsid wsp:val=&quot;005932BB&quot;/&gt;&lt;wsp:rsid wsp:val=&quot;00596603&quot;/&gt;&lt;wsp:rsid wsp:val=&quot;005A3830&quot;/&gt;&lt;wsp:rsid wsp:val=&quot;005B76A4&quot;/&gt;&lt;wsp:rsid wsp:val=&quot;005B7868&quot;/&gt;&lt;wsp:rsid wsp:val=&quot;005C1988&quot;/&gt;&lt;wsp:rsid wsp:val=&quot;005C3384&quot;/&gt;&lt;wsp:rsid wsp:val=&quot;005C416E&quot;/&gt;&lt;wsp:rsid wsp:val=&quot;005C6E3E&quot;/&gt;&lt;wsp:rsid wsp:val=&quot;005D0C94&quot;/&gt;&lt;wsp:rsid wsp:val=&quot;005D1C3A&quot;/&gt;&lt;wsp:rsid wsp:val=&quot;005E43DD&quot;/&gt;&lt;wsp:rsid wsp:val=&quot;005E60C7&quot;/&gt;&lt;wsp:rsid wsp:val=&quot;005E6405&quot;/&gt;&lt;wsp:rsid wsp:val=&quot;005E77C4&quot;/&gt;&lt;wsp:rsid wsp:val=&quot;005E7AB9&quot;/&gt;&lt;wsp:rsid wsp:val=&quot;00600179&quot;/&gt;&lt;wsp:rsid wsp:val=&quot;00603FC0&quot;/&gt;&lt;wsp:rsid wsp:val=&quot;00611F8C&quot;/&gt;&lt;wsp:rsid wsp:val=&quot;00614578&quot;/&gt;&lt;wsp:rsid wsp:val=&quot;006167DD&quot;/&gt;&lt;wsp:rsid wsp:val=&quot;00636BF0&quot;/&gt;&lt;wsp:rsid wsp:val=&quot;00637524&quot;/&gt;&lt;wsp:rsid wsp:val=&quot;00646B6D&quot;/&gt;&lt;wsp:rsid wsp:val=&quot;00647697&quot;/&gt;&lt;wsp:rsid wsp:val=&quot;00655908&quot;/&gt;&lt;wsp:rsid wsp:val=&quot;00656A94&quot;/&gt;&lt;wsp:rsid wsp:val=&quot;006654F8&quot;/&gt;&lt;wsp:rsid wsp:val=&quot;00665768&quot;/&gt;&lt;wsp:rsid wsp:val=&quot;00667291&quot;/&gt;&lt;wsp:rsid wsp:val=&quot;00671024&quot;/&gt;&lt;wsp:rsid wsp:val=&quot;00682D89&quot;/&gt;&lt;wsp:rsid wsp:val=&quot;00686249&quot;/&gt;&lt;wsp:rsid wsp:val=&quot;00687504&quot;/&gt;&lt;wsp:rsid wsp:val=&quot;00691AFF&quot;/&gt;&lt;wsp:rsid wsp:val=&quot;006A0275&quot;/&gt;&lt;wsp:rsid wsp:val=&quot;006A171F&quot;/&gt;&lt;wsp:rsid wsp:val=&quot;006A36A8&quot;/&gt;&lt;wsp:rsid wsp:val=&quot;006A4209&quot;/&gt;&lt;wsp:rsid wsp:val=&quot;006A4E5F&quot;/&gt;&lt;wsp:rsid wsp:val=&quot;006B44DA&quot;/&gt;&lt;wsp:rsid wsp:val=&quot;006C4333&quot;/&gt;&lt;wsp:rsid wsp:val=&quot;006C5461&quot;/&gt;&lt;wsp:rsid wsp:val=&quot;006D2536&quot;/&gt;&lt;wsp:rsid wsp:val=&quot;006D3FAE&quot;/&gt;&lt;wsp:rsid wsp:val=&quot;006D4600&quot;/&gt;&lt;wsp:rsid wsp:val=&quot;006E0A2C&quot;/&gt;&lt;wsp:rsid wsp:val=&quot;006E202B&quot;/&gt;&lt;wsp:rsid wsp:val=&quot;006E57B5&quot;/&gt;&lt;wsp:rsid wsp:val=&quot;00702FA0&quot;/&gt;&lt;wsp:rsid wsp:val=&quot;00715D39&quot;/&gt;&lt;wsp:rsid wsp:val=&quot;00724218&quot;/&gt;&lt;wsp:rsid wsp:val=&quot;00737E65&quot;/&gt;&lt;wsp:rsid wsp:val=&quot;0074030A&quot;/&gt;&lt;wsp:rsid wsp:val=&quot;007409A3&quot;/&gt;&lt;wsp:rsid wsp:val=&quot;007575A8&quot;/&gt;&lt;wsp:rsid wsp:val=&quot;00762043&quot;/&gt;&lt;wsp:rsid wsp:val=&quot;007633C2&quot;/&gt;&lt;wsp:rsid wsp:val=&quot;00765A47&quot;/&gt;&lt;wsp:rsid wsp:val=&quot;00770E82&quot;/&gt;&lt;wsp:rsid wsp:val=&quot;00772E94&quot;/&gt;&lt;wsp:rsid wsp:val=&quot;007822F5&quot;/&gt;&lt;wsp:rsid wsp:val=&quot;007A1322&quot;/&gt;&lt;wsp:rsid wsp:val=&quot;007A30E8&quot;/&gt;&lt;wsp:rsid wsp:val=&quot;007A5E1C&quot;/&gt;&lt;wsp:rsid wsp:val=&quot;007B028B&quot;/&gt;&lt;wsp:rsid wsp:val=&quot;007B1D71&quot;/&gt;&lt;wsp:rsid wsp:val=&quot;007B7BF7&quot;/&gt;&lt;wsp:rsid wsp:val=&quot;007C00D0&quot;/&gt;&lt;wsp:rsid wsp:val=&quot;007C102A&quot;/&gt;&lt;wsp:rsid wsp:val=&quot;007C2186&quot;/&gt;&lt;wsp:rsid wsp:val=&quot;007D185B&quot;/&gt;&lt;wsp:rsid wsp:val=&quot;007D4AA4&quot;/&gt;&lt;wsp:rsid wsp:val=&quot;007D6B43&quot;/&gt;&lt;wsp:rsid wsp:val=&quot;007E0E95&quot;/&gt;&lt;wsp:rsid wsp:val=&quot;007F2233&quot;/&gt;&lt;wsp:rsid wsp:val=&quot;00804C17&quot;/&gt;&lt;wsp:rsid wsp:val=&quot;008053BA&quot;/&gt;&lt;wsp:rsid wsp:val=&quot;0080694B&quot;/&gt;&lt;wsp:rsid wsp:val=&quot;008104F5&quot;/&gt;&lt;wsp:rsid wsp:val=&quot;0081078E&quot;/&gt;&lt;wsp:rsid wsp:val=&quot;00810AB6&quot;/&gt;&lt;wsp:rsid wsp:val=&quot;0081779C&quot;/&gt;&lt;wsp:rsid wsp:val=&quot;00831D0D&quot;/&gt;&lt;wsp:rsid wsp:val=&quot;00832DEE&quot;/&gt;&lt;wsp:rsid wsp:val=&quot;00835B98&quot;/&gt;&lt;wsp:rsid wsp:val=&quot;00840713&quot;/&gt;&lt;wsp:rsid wsp:val=&quot;00854B9D&quot;/&gt;&lt;wsp:rsid wsp:val=&quot;00855A8A&quot;/&gt;&lt;wsp:rsid wsp:val=&quot;00872795&quot;/&gt;&lt;wsp:rsid wsp:val=&quot;008936D4&quot;/&gt;&lt;wsp:rsid wsp:val=&quot;008A2EC5&quot;/&gt;&lt;wsp:rsid wsp:val=&quot;008B77F5&quot;/&gt;&lt;wsp:rsid wsp:val=&quot;008C0279&quot;/&gt;&lt;wsp:rsid wsp:val=&quot;008C1276&quot;/&gt;&lt;wsp:rsid wsp:val=&quot;008C1F5D&quot;/&gt;&lt;wsp:rsid wsp:val=&quot;008C44D0&quot;/&gt;&lt;wsp:rsid wsp:val=&quot;008C7C6D&quot;/&gt;&lt;wsp:rsid wsp:val=&quot;008C7F68&quot;/&gt;&lt;wsp:rsid wsp:val=&quot;008E380C&quot;/&gt;&lt;wsp:rsid wsp:val=&quot;008E3FE6&quot;/&gt;&lt;wsp:rsid wsp:val=&quot;008E405A&quot;/&gt;&lt;wsp:rsid wsp:val=&quot;008F0E45&quot;/&gt;&lt;wsp:rsid wsp:val=&quot;008F25D2&quot;/&gt;&lt;wsp:rsid wsp:val=&quot;008F50EC&quot;/&gt;&lt;wsp:rsid wsp:val=&quot;008F587A&quot;/&gt;&lt;wsp:rsid wsp:val=&quot;0090054C&quot;/&gt;&lt;wsp:rsid wsp:val=&quot;00900565&quot;/&gt;&lt;wsp:rsid wsp:val=&quot;009010F8&quot;/&gt;&lt;wsp:rsid wsp:val=&quot;009134CA&quot;/&gt;&lt;wsp:rsid wsp:val=&quot;00914CC6&quot;/&gt;&lt;wsp:rsid wsp:val=&quot;00925AA2&quot;/&gt;&lt;wsp:rsid wsp:val=&quot;0092751F&quot;/&gt;&lt;wsp:rsid wsp:val=&quot;00932067&quot;/&gt;&lt;wsp:rsid wsp:val=&quot;0093594A&quot;/&gt;&lt;wsp:rsid wsp:val=&quot;009431D1&quot;/&gt;&lt;wsp:rsid wsp:val=&quot;009451C4&quot;/&gt;&lt;wsp:rsid wsp:val=&quot;00955D73&quot;/&gt;&lt;wsp:rsid wsp:val=&quot;0096512C&quot;/&gt;&lt;wsp:rsid wsp:val=&quot;0096540A&quot;/&gt;&lt;wsp:rsid wsp:val=&quot;00970AEA&quot;/&gt;&lt;wsp:rsid wsp:val=&quot;009A13B6&quot;/&gt;&lt;wsp:rsid wsp:val=&quot;009C0F3A&quot;/&gt;&lt;wsp:rsid wsp:val=&quot;009C5D2A&quot;/&gt;&lt;wsp:rsid wsp:val=&quot;009E225F&quot;/&gt;&lt;wsp:rsid wsp:val=&quot;009E573D&quot;/&gt;&lt;wsp:rsid wsp:val=&quot;00A02252&quot;/&gt;&lt;wsp:rsid wsp:val=&quot;00A06700&quot;/&gt;&lt;wsp:rsid wsp:val=&quot;00A10636&quot;/&gt;&lt;wsp:rsid wsp:val=&quot;00A331E7&quot;/&gt;&lt;wsp:rsid wsp:val=&quot;00A34169&quot;/&gt;&lt;wsp:rsid wsp:val=&quot;00A37D9B&quot;/&gt;&lt;wsp:rsid wsp:val=&quot;00A41C3C&quot;/&gt;&lt;wsp:rsid wsp:val=&quot;00A4725A&quot;/&gt;&lt;wsp:rsid wsp:val=&quot;00A5060F&quot;/&gt;&lt;wsp:rsid wsp:val=&quot;00A56E11&quot;/&gt;&lt;wsp:rsid wsp:val=&quot;00A619BD&quot;/&gt;&lt;wsp:rsid wsp:val=&quot;00A628DC&quot;/&gt;&lt;wsp:rsid wsp:val=&quot;00A66967&quot;/&gt;&lt;wsp:rsid wsp:val=&quot;00A76984&quot;/&gt;&lt;wsp:rsid wsp:val=&quot;00A97EF6&quot;/&gt;&lt;wsp:rsid wsp:val=&quot;00AA0A87&quot;/&gt;&lt;wsp:rsid wsp:val=&quot;00AA75EE&quot;/&gt;&lt;wsp:rsid wsp:val=&quot;00AA7B1E&quot;/&gt;&lt;wsp:rsid wsp:val=&quot;00AB2710&quot;/&gt;&lt;wsp:rsid wsp:val=&quot;00AC555A&quot;/&gt;&lt;wsp:rsid wsp:val=&quot;00AD0275&quot;/&gt;&lt;wsp:rsid wsp:val=&quot;00AD184B&quot;/&gt;&lt;wsp:rsid wsp:val=&quot;00AD43E8&quot;/&gt;&lt;wsp:rsid wsp:val=&quot;00AE02E6&quot;/&gt;&lt;wsp:rsid wsp:val=&quot;00B03727&quot;/&gt;&lt;wsp:rsid wsp:val=&quot;00B0566D&quot;/&gt;&lt;wsp:rsid wsp:val=&quot;00B35BD9&quot;/&gt;&lt;wsp:rsid wsp:val=&quot;00B37DE8&quot;/&gt;&lt;wsp:rsid wsp:val=&quot;00B43898&quot;/&gt;&lt;wsp:rsid wsp:val=&quot;00B44BA5&quot;/&gt;&lt;wsp:rsid wsp:val=&quot;00B5608D&quot;/&gt;&lt;wsp:rsid wsp:val=&quot;00B82F1A&quot;/&gt;&lt;wsp:rsid wsp:val=&quot;00B84125&quot;/&gt;&lt;wsp:rsid wsp:val=&quot;00B928E7&quot;/&gt;&lt;wsp:rsid wsp:val=&quot;00B961F6&quot;/&gt;&lt;wsp:rsid wsp:val=&quot;00BA5F7E&quot;/&gt;&lt;wsp:rsid wsp:val=&quot;00BB7F2F&quot;/&gt;&lt;wsp:rsid wsp:val=&quot;00BC7E76&quot;/&gt;&lt;wsp:rsid wsp:val=&quot;00BD3902&quot;/&gt;&lt;wsp:rsid wsp:val=&quot;00BE472F&quot;/&gt;&lt;wsp:rsid wsp:val=&quot;00BE5513&quot;/&gt;&lt;wsp:rsid wsp:val=&quot;00BE6DD4&quot;/&gt;&lt;wsp:rsid wsp:val=&quot;00BE7500&quot;/&gt;&lt;wsp:rsid wsp:val=&quot;00BF12F6&quot;/&gt;&lt;wsp:rsid wsp:val=&quot;00C00765&quot;/&gt;&lt;wsp:rsid wsp:val=&quot;00C10464&quot;/&gt;&lt;wsp:rsid wsp:val=&quot;00C119C2&quot;/&gt;&lt;wsp:rsid wsp:val=&quot;00C15758&quot;/&gt;&lt;wsp:rsid wsp:val=&quot;00C21B54&quot;/&gt;&lt;wsp:rsid wsp:val=&quot;00C27E02&quot;/&gt;&lt;wsp:rsid wsp:val=&quot;00C32E69&quot;/&gt;&lt;wsp:rsid wsp:val=&quot;00C40967&quot;/&gt;&lt;wsp:rsid wsp:val=&quot;00C42C64&quot;/&gt;&lt;wsp:rsid wsp:val=&quot;00C4400C&quot;/&gt;&lt;wsp:rsid wsp:val=&quot;00C600E2&quot;/&gt;&lt;wsp:rsid wsp:val=&quot;00C63D43&quot;/&gt;&lt;wsp:rsid wsp:val=&quot;00C74134&quot;/&gt;&lt;wsp:rsid wsp:val=&quot;00C823B1&quot;/&gt;&lt;wsp:rsid wsp:val=&quot;00C85A4A&quot;/&gt;&lt;wsp:rsid wsp:val=&quot;00C93D19&quot;/&gt;&lt;wsp:rsid wsp:val=&quot;00CA271E&quot;/&gt;&lt;wsp:rsid wsp:val=&quot;00CB1488&quot;/&gt;&lt;wsp:rsid wsp:val=&quot;00CB7414&quot;/&gt;&lt;wsp:rsid wsp:val=&quot;00CD5933&quot;/&gt;&lt;wsp:rsid wsp:val=&quot;00CE19C1&quot;/&gt;&lt;wsp:rsid wsp:val=&quot;00CF03DD&quot;/&gt;&lt;wsp:rsid wsp:val=&quot;00CF364B&quot;/&gt;&lt;wsp:rsid wsp:val=&quot;00CF3D81&quot;/&gt;&lt;wsp:rsid wsp:val=&quot;00D01CFE&quot;/&gt;&lt;wsp:rsid wsp:val=&quot;00D0530B&quot;/&gt;&lt;wsp:rsid wsp:val=&quot;00D07C4B&quot;/&gt;&lt;wsp:rsid wsp:val=&quot;00D201C9&quot;/&gt;&lt;wsp:rsid wsp:val=&quot;00D225D8&quot;/&gt;&lt;wsp:rsid wsp:val=&quot;00D2503C&quot;/&gt;&lt;wsp:rsid wsp:val=&quot;00D30983&quot;/&gt;&lt;wsp:rsid wsp:val=&quot;00D33A2E&quot;/&gt;&lt;wsp:rsid wsp:val=&quot;00D34954&quot;/&gt;&lt;wsp:rsid wsp:val=&quot;00D367F2&quot;/&gt;&lt;wsp:rsid wsp:val=&quot;00D4214D&quot;/&gt;&lt;wsp:rsid wsp:val=&quot;00D511A1&quot;/&gt;&lt;wsp:rsid wsp:val=&quot;00D548AB&quot;/&gt;&lt;wsp:rsid wsp:val=&quot;00D56CF9&quot;/&gt;&lt;wsp:rsid wsp:val=&quot;00D608D5&quot;/&gt;&lt;wsp:rsid wsp:val=&quot;00D651CA&quot;/&gt;&lt;wsp:rsid wsp:val=&quot;00D664F6&quot;/&gt;&lt;wsp:rsid wsp:val=&quot;00D872BF&quot;/&gt;&lt;wsp:rsid wsp:val=&quot;00DA4C87&quot;/&gt;&lt;wsp:rsid wsp:val=&quot;00DB4CF4&quot;/&gt;&lt;wsp:rsid wsp:val=&quot;00DB5613&quot;/&gt;&lt;wsp:rsid wsp:val=&quot;00DE01F6&quot;/&gt;&lt;wsp:rsid wsp:val=&quot;00DE15BD&quot;/&gt;&lt;wsp:rsid wsp:val=&quot;00DE1F1F&quot;/&gt;&lt;wsp:rsid wsp:val=&quot;00DE1FAA&quot;/&gt;&lt;wsp:rsid wsp:val=&quot;00DE2998&quot;/&gt;&lt;wsp:rsid wsp:val=&quot;00DE4223&quot;/&gt;&lt;wsp:rsid wsp:val=&quot;00DE6B60&quot;/&gt;&lt;wsp:rsid wsp:val=&quot;00DF14FA&quot;/&gt;&lt;wsp:rsid wsp:val=&quot;00DF1B90&quot;/&gt;&lt;wsp:rsid wsp:val=&quot;00E06D10&quot;/&gt;&lt;wsp:rsid wsp:val=&quot;00E07624&quot;/&gt;&lt;wsp:rsid wsp:val=&quot;00E20138&quot;/&gt;&lt;wsp:rsid wsp:val=&quot;00E20458&quot;/&gt;&lt;wsp:rsid wsp:val=&quot;00E22F51&quot;/&gt;&lt;wsp:rsid wsp:val=&quot;00E3344E&quot;/&gt;&lt;wsp:rsid wsp:val=&quot;00E42A9C&quot;/&gt;&lt;wsp:rsid wsp:val=&quot;00E47019&quot;/&gt;&lt;wsp:rsid wsp:val=&quot;00E55420&quot;/&gt;&lt;wsp:rsid wsp:val=&quot;00E56487&quot;/&gt;&lt;wsp:rsid wsp:val=&quot;00E62277&quot;/&gt;&lt;wsp:rsid wsp:val=&quot;00E702D6&quot;/&gt;&lt;wsp:rsid wsp:val=&quot;00E81646&quot;/&gt;&lt;wsp:rsid wsp:val=&quot;00E83F08&quot;/&gt;&lt;wsp:rsid wsp:val=&quot;00E853F3&quot;/&gt;&lt;wsp:rsid wsp:val=&quot;00EC2491&quot;/&gt;&lt;wsp:rsid wsp:val=&quot;00ED2C42&quot;/&gt;&lt;wsp:rsid wsp:val=&quot;00EE75F1&quot;/&gt;&lt;wsp:rsid wsp:val=&quot;00EF0E0D&quot;/&gt;&lt;wsp:rsid wsp:val=&quot;00EF3B2B&quot;/&gt;&lt;wsp:rsid wsp:val=&quot;00F00EE9&quot;/&gt;&lt;wsp:rsid wsp:val=&quot;00F332EE&quot;/&gt;&lt;wsp:rsid wsp:val=&quot;00F379DD&quot;/&gt;&lt;wsp:rsid wsp:val=&quot;00F44640&quot;/&gt;&lt;wsp:rsid wsp:val=&quot;00F47244&quot;/&gt;&lt;wsp:rsid wsp:val=&quot;00F511A7&quot;/&gt;&lt;wsp:rsid wsp:val=&quot;00F61E94&quot;/&gt;&lt;wsp:rsid wsp:val=&quot;00F660F9&quot;/&gt;&lt;wsp:rsid wsp:val=&quot;00F849A7&quot;/&gt;&lt;wsp:rsid wsp:val=&quot;00F902E2&quot;/&gt;&lt;wsp:rsid wsp:val=&quot;00FA56E4&quot;/&gt;&lt;wsp:rsid wsp:val=&quot;00FA5F45&quot;/&gt;&lt;wsp:rsid wsp:val=&quot;00FA7522&quot;/&gt;&lt;wsp:rsid wsp:val=&quot;00FB2D36&quot;/&gt;&lt;wsp:rsid wsp:val=&quot;00FB71DC&quot;/&gt;&lt;wsp:rsid wsp:val=&quot;00FC2C59&quot;/&gt;&lt;wsp:rsid wsp:val=&quot;00FC4905&quot;/&gt;&lt;wsp:rsid wsp:val=&quot;00FD178C&quot;/&gt;&lt;wsp:rsid wsp:val=&quot;00FD6935&quot;/&gt;&lt;/wsp:rsids&gt;&lt;/w:docPr&gt;&lt;w:body&gt;&lt;wx:sect&gt;&lt;w:p wsp:rsidR=&quot;00000000&quot; wsp:rsidRPr=&quot;00BE6DD4&quot; wsp:rsidRDefault=&quot;00BE6DD4&quot; wsp:rsidP=&quot;00BE6DD4&quot;&gt;&lt;m:oMathPara&gt;&lt;m:oMath&gt;&lt;m:r&gt;&lt;w:rPr&gt;&lt;w:rFonts w:ascii=&quot;Cambria Math&quot; w:h-ansi=&quot;Cambria Math&quot;/&gt;&lt;wx:font wx:val=&quot;Cambria Math&quot;/&gt;&lt;w:i/&gt;&lt;/w:rPr&gt;&lt;m:t&gt;disposal for 5.A.3= 10%Ã—&lt;/m:t&gt;&lt;/m:r&gt;&lt;m:d&gt;&lt;m:dPr&gt;&lt;m:ctrlPr&gt;&lt;w:rPr&gt;&lt;w:rFonts w:ascii=&quot;Cambria Math&quot; w:h-ansi=&quot;Cambria Math&quot;/&gt;&lt;wx:font wx:val=&quot;Cambria Math&quot;/&gt;&lt;w:i/&gt;&lt;w:lang w:fareast=&quot;EN-US&quot;/&gt;&lt;/w:rPr&gt;&lt;/m:ctrlPr&gt;&lt;/m:dPr&gt;&lt;m:e&gt;&lt;m:r&gt;&lt;w:rPr&gt;&lt;w:rFonts w:ascii=&quot;Cambria Math&quot; w:h-ansi=&quot;Cambria Math&quot;/&gt;&lt;wx:font wx:val=&quot;Cambria Math&quot;/&gt;&lt;w:i/&gt;&lt;/w:rPr&gt;&lt;m:t&gt;national total-disposal for LFG sites&lt;/m:t&gt;&lt;/m:r&gt;&lt;/m:e&gt;&lt;/m:d&gt;&lt;/m:oMath&gt;&lt;/m:oMathPara&gt;&lt;/w:p&gt;&lt;w:sectPr wsp:rsidR=&quot;00000000&quot; wsp:rsidRPr=&quot;00BE6DD4&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1" o:title="" chromakey="white"/>
          </v:shape>
        </w:pict>
      </w:r>
    </w:p>
    <w:p w14:paraId="275F0AFE" w14:textId="77777777" w:rsidR="00524720" w:rsidRPr="00D9348B" w:rsidRDefault="00524720" w:rsidP="00524720">
      <w:pPr>
        <w:pStyle w:val="BodyText"/>
      </w:pPr>
      <w:r w:rsidRPr="00D9348B">
        <w:rPr>
          <w:spacing w:val="-2"/>
        </w:rPr>
        <w:t>Between 1995 and 2010, the 10 per cent fraction declines to zero, and ac</w:t>
      </w:r>
      <w:r w:rsidRPr="00D9348B">
        <w:t>tivity data for uncategorised sites is reported as not occurring (NO) from 2010 onwards.</w:t>
      </w:r>
    </w:p>
    <w:p w14:paraId="04358C7E" w14:textId="77777777" w:rsidR="00524720" w:rsidRPr="00D9348B" w:rsidRDefault="00524720" w:rsidP="00524720">
      <w:pPr>
        <w:pStyle w:val="BodyText"/>
      </w:pPr>
      <w:r w:rsidRPr="00D9348B">
        <w:lastRenderedPageBreak/>
        <w:t xml:space="preserve">Table 7.2.3 shows waste placement from the beginning of the model in 1950 to 2018. Landfill sites that had LFG recovery at any time since 1950 are included in the ‘sites with LFG recovery’ category even though no sites had LFG recovery before 1985. A small amount of sludge is also disposed of in sites without LFG recovery, and this has increased steadily from 2.4 kt in 1950 to 5.3 kt in 2017 (Tonkin and Taylor Ltd, </w:t>
      </w:r>
      <w:proofErr w:type="gramStart"/>
      <w:r w:rsidRPr="00D9348B">
        <w:t>unpublished(</w:t>
      </w:r>
      <w:proofErr w:type="gramEnd"/>
      <w:r w:rsidRPr="00D9348B">
        <w:t>a)). This amount is estimated separately and is additional to the amounts reported in table 7.2.3.</w:t>
      </w:r>
    </w:p>
    <w:p w14:paraId="155B6590" w14:textId="77777777" w:rsidR="00524720" w:rsidRPr="00D9348B" w:rsidRDefault="00524720" w:rsidP="00524720">
      <w:pPr>
        <w:pStyle w:val="Table"/>
      </w:pPr>
      <w:bookmarkStart w:id="2673" w:name="_Toc5269562"/>
      <w:bookmarkStart w:id="2674" w:name="_Toc511116821"/>
      <w:bookmarkStart w:id="2675" w:name="_Toc508019323"/>
      <w:bookmarkStart w:id="2676" w:name="_Toc32828520"/>
      <w:bookmarkStart w:id="2677" w:name="_Toc32591350"/>
      <w:bookmarkStart w:id="2678" w:name="_Toc36224643"/>
      <w:r w:rsidRPr="00D9348B">
        <w:t xml:space="preserve">Table 7.2.3 </w:t>
      </w:r>
      <w:r w:rsidRPr="00D9348B">
        <w:tab/>
        <w:t>Solid waste deposited to municipal and uncategorised landfills from 1950 to </w:t>
      </w:r>
      <w:bookmarkEnd w:id="2673"/>
      <w:bookmarkEnd w:id="2674"/>
      <w:bookmarkEnd w:id="2675"/>
      <w:r w:rsidRPr="00D9348B">
        <w:t>2018</w:t>
      </w:r>
      <w:bookmarkEnd w:id="2676"/>
      <w:bookmarkEnd w:id="2677"/>
      <w:bookmarkEnd w:id="2678"/>
    </w:p>
    <w:tbl>
      <w:tblPr>
        <w:tblW w:w="8505" w:type="dxa"/>
        <w:tblInd w:w="108" w:type="dxa"/>
        <w:tblLook w:val="04A0" w:firstRow="1" w:lastRow="0" w:firstColumn="1" w:lastColumn="0" w:noHBand="0" w:noVBand="1"/>
      </w:tblPr>
      <w:tblGrid>
        <w:gridCol w:w="993"/>
        <w:gridCol w:w="1942"/>
        <w:gridCol w:w="2168"/>
        <w:gridCol w:w="1843"/>
        <w:gridCol w:w="1559"/>
      </w:tblGrid>
      <w:tr w:rsidR="00524720" w:rsidRPr="00D9348B" w14:paraId="66AC4F9A" w14:textId="77777777" w:rsidTr="002D60CB">
        <w:trPr>
          <w:tblHeader/>
        </w:trPr>
        <w:tc>
          <w:tcPr>
            <w:tcW w:w="993" w:type="dxa"/>
            <w:tcBorders>
              <w:top w:val="single" w:sz="4" w:space="0" w:color="365F91"/>
              <w:left w:val="nil"/>
              <w:bottom w:val="single" w:sz="4" w:space="0" w:color="365F91"/>
              <w:right w:val="nil"/>
            </w:tcBorders>
            <w:shd w:val="clear" w:color="auto" w:fill="365F91"/>
            <w:vAlign w:val="bottom"/>
            <w:hideMark/>
          </w:tcPr>
          <w:p w14:paraId="6E540A18" w14:textId="77777777" w:rsidR="00524720" w:rsidRPr="00D9348B" w:rsidRDefault="00524720">
            <w:pPr>
              <w:pStyle w:val="TableTextBold"/>
              <w:keepNext/>
              <w:spacing w:before="50" w:after="50"/>
              <w:rPr>
                <w:noProof w:val="0"/>
                <w:color w:val="FFFFFF"/>
              </w:rPr>
            </w:pPr>
            <w:r w:rsidRPr="00D9348B">
              <w:rPr>
                <w:noProof w:val="0"/>
                <w:color w:val="FFFFFF"/>
              </w:rPr>
              <w:t>Year</w:t>
            </w:r>
          </w:p>
        </w:tc>
        <w:tc>
          <w:tcPr>
            <w:tcW w:w="1942" w:type="dxa"/>
            <w:tcBorders>
              <w:top w:val="single" w:sz="4" w:space="0" w:color="365F91"/>
              <w:left w:val="nil"/>
              <w:bottom w:val="single" w:sz="4" w:space="0" w:color="365F91"/>
              <w:right w:val="nil"/>
            </w:tcBorders>
            <w:shd w:val="clear" w:color="auto" w:fill="365F91"/>
            <w:vAlign w:val="bottom"/>
            <w:hideMark/>
          </w:tcPr>
          <w:p w14:paraId="2914312F" w14:textId="77777777" w:rsidR="00524720" w:rsidRPr="00D9348B" w:rsidRDefault="00524720">
            <w:pPr>
              <w:pStyle w:val="TableTextBold"/>
              <w:spacing w:before="50" w:after="50"/>
              <w:jc w:val="center"/>
              <w:rPr>
                <w:noProof w:val="0"/>
                <w:color w:val="FFFFFF"/>
              </w:rPr>
            </w:pPr>
            <w:r w:rsidRPr="00D9348B">
              <w:rPr>
                <w:noProof w:val="0"/>
                <w:color w:val="FFFFFF"/>
              </w:rPr>
              <w:t xml:space="preserve">Sites with LFG </w:t>
            </w:r>
            <w:r w:rsidRPr="00D9348B">
              <w:rPr>
                <w:noProof w:val="0"/>
                <w:color w:val="FFFFFF"/>
              </w:rPr>
              <w:br/>
              <w:t>recovery (kt)</w:t>
            </w:r>
          </w:p>
        </w:tc>
        <w:tc>
          <w:tcPr>
            <w:tcW w:w="2168" w:type="dxa"/>
            <w:tcBorders>
              <w:top w:val="single" w:sz="4" w:space="0" w:color="365F91"/>
              <w:left w:val="nil"/>
              <w:bottom w:val="single" w:sz="4" w:space="0" w:color="365F91"/>
              <w:right w:val="nil"/>
            </w:tcBorders>
            <w:shd w:val="clear" w:color="auto" w:fill="365F91"/>
            <w:vAlign w:val="bottom"/>
            <w:hideMark/>
          </w:tcPr>
          <w:p w14:paraId="06AF924C" w14:textId="77777777" w:rsidR="00524720" w:rsidRPr="00D9348B" w:rsidRDefault="00524720">
            <w:pPr>
              <w:pStyle w:val="TableTextBold"/>
              <w:spacing w:before="50" w:after="50"/>
              <w:jc w:val="center"/>
              <w:rPr>
                <w:noProof w:val="0"/>
                <w:color w:val="FFFFFF"/>
              </w:rPr>
            </w:pPr>
            <w:r w:rsidRPr="00D9348B">
              <w:rPr>
                <w:noProof w:val="0"/>
                <w:color w:val="FFFFFF"/>
              </w:rPr>
              <w:t xml:space="preserve">Sites without </w:t>
            </w:r>
            <w:r w:rsidRPr="00D9348B">
              <w:rPr>
                <w:noProof w:val="0"/>
                <w:color w:val="FFFFFF"/>
              </w:rPr>
              <w:br/>
              <w:t>LFG recovery (kt)</w:t>
            </w:r>
          </w:p>
        </w:tc>
        <w:tc>
          <w:tcPr>
            <w:tcW w:w="1843" w:type="dxa"/>
            <w:tcBorders>
              <w:top w:val="single" w:sz="4" w:space="0" w:color="365F91"/>
              <w:left w:val="nil"/>
              <w:bottom w:val="single" w:sz="4" w:space="0" w:color="365F91"/>
              <w:right w:val="nil"/>
            </w:tcBorders>
            <w:shd w:val="clear" w:color="auto" w:fill="365F91"/>
            <w:vAlign w:val="bottom"/>
            <w:hideMark/>
          </w:tcPr>
          <w:p w14:paraId="188C2642" w14:textId="77777777" w:rsidR="00524720" w:rsidRPr="00D9348B" w:rsidRDefault="00524720">
            <w:pPr>
              <w:pStyle w:val="TableTextBold"/>
              <w:spacing w:before="50" w:after="50"/>
              <w:jc w:val="center"/>
              <w:rPr>
                <w:noProof w:val="0"/>
                <w:color w:val="FFFFFF"/>
              </w:rPr>
            </w:pPr>
            <w:r w:rsidRPr="00D9348B">
              <w:rPr>
                <w:noProof w:val="0"/>
                <w:color w:val="FFFFFF"/>
              </w:rPr>
              <w:t xml:space="preserve">Uncategorised </w:t>
            </w:r>
            <w:r w:rsidRPr="00D9348B">
              <w:rPr>
                <w:noProof w:val="0"/>
                <w:color w:val="FFFFFF"/>
              </w:rPr>
              <w:br/>
              <w:t>sites (kt)</w:t>
            </w:r>
          </w:p>
        </w:tc>
        <w:tc>
          <w:tcPr>
            <w:tcW w:w="1559" w:type="dxa"/>
            <w:tcBorders>
              <w:top w:val="single" w:sz="4" w:space="0" w:color="365F91"/>
              <w:left w:val="nil"/>
              <w:bottom w:val="single" w:sz="4" w:space="0" w:color="365F91"/>
              <w:right w:val="nil"/>
            </w:tcBorders>
            <w:shd w:val="clear" w:color="auto" w:fill="365F91"/>
            <w:vAlign w:val="bottom"/>
            <w:hideMark/>
          </w:tcPr>
          <w:p w14:paraId="53A471BD" w14:textId="77777777" w:rsidR="00524720" w:rsidRPr="00D9348B" w:rsidRDefault="00524720">
            <w:pPr>
              <w:pStyle w:val="TableTextBold"/>
              <w:spacing w:before="50" w:after="50"/>
              <w:jc w:val="center"/>
              <w:rPr>
                <w:noProof w:val="0"/>
                <w:color w:val="FFFFFF"/>
              </w:rPr>
            </w:pPr>
            <w:r w:rsidRPr="00D9348B">
              <w:rPr>
                <w:noProof w:val="0"/>
                <w:color w:val="FFFFFF"/>
              </w:rPr>
              <w:t>National total (kt)</w:t>
            </w:r>
          </w:p>
        </w:tc>
      </w:tr>
      <w:tr w:rsidR="00524720" w:rsidRPr="00D9348B" w14:paraId="55C6134F" w14:textId="77777777" w:rsidTr="002D60CB">
        <w:tc>
          <w:tcPr>
            <w:tcW w:w="993" w:type="dxa"/>
            <w:tcBorders>
              <w:top w:val="single" w:sz="4" w:space="0" w:color="365F91"/>
              <w:left w:val="nil"/>
              <w:bottom w:val="single" w:sz="4" w:space="0" w:color="365F91"/>
              <w:right w:val="nil"/>
            </w:tcBorders>
            <w:hideMark/>
          </w:tcPr>
          <w:p w14:paraId="7B76AF04" w14:textId="77777777" w:rsidR="00524720" w:rsidRPr="00D9348B" w:rsidRDefault="00524720" w:rsidP="00191C16">
            <w:pPr>
              <w:pStyle w:val="TableTextBold"/>
              <w:spacing w:before="50" w:after="40"/>
              <w:rPr>
                <w:noProof w:val="0"/>
              </w:rPr>
            </w:pPr>
            <w:r w:rsidRPr="00D9348B">
              <w:rPr>
                <w:noProof w:val="0"/>
              </w:rPr>
              <w:t>1950</w:t>
            </w:r>
          </w:p>
        </w:tc>
        <w:tc>
          <w:tcPr>
            <w:tcW w:w="1942" w:type="dxa"/>
            <w:tcBorders>
              <w:top w:val="single" w:sz="4" w:space="0" w:color="365F91"/>
              <w:left w:val="nil"/>
              <w:bottom w:val="single" w:sz="4" w:space="0" w:color="365F91"/>
              <w:right w:val="nil"/>
            </w:tcBorders>
            <w:hideMark/>
          </w:tcPr>
          <w:p w14:paraId="1325381F" w14:textId="77777777" w:rsidR="00524720" w:rsidRPr="00D9348B" w:rsidRDefault="00524720" w:rsidP="00191C16">
            <w:pPr>
              <w:pStyle w:val="TableText"/>
              <w:spacing w:before="50" w:after="40"/>
              <w:jc w:val="center"/>
            </w:pPr>
            <w:r w:rsidRPr="00D9348B">
              <w:t>33.7</w:t>
            </w:r>
          </w:p>
        </w:tc>
        <w:tc>
          <w:tcPr>
            <w:tcW w:w="2168" w:type="dxa"/>
            <w:tcBorders>
              <w:top w:val="single" w:sz="4" w:space="0" w:color="365F91"/>
              <w:left w:val="nil"/>
              <w:bottom w:val="single" w:sz="4" w:space="0" w:color="365F91"/>
              <w:right w:val="nil"/>
            </w:tcBorders>
            <w:hideMark/>
          </w:tcPr>
          <w:p w14:paraId="15E6C6EB" w14:textId="77777777" w:rsidR="00524720" w:rsidRPr="00D9348B" w:rsidRDefault="00524720" w:rsidP="00191C16">
            <w:pPr>
              <w:pStyle w:val="TableText"/>
              <w:spacing w:before="50" w:after="40"/>
              <w:jc w:val="center"/>
            </w:pPr>
            <w:r w:rsidRPr="00D9348B">
              <w:t>74.7</w:t>
            </w:r>
          </w:p>
        </w:tc>
        <w:tc>
          <w:tcPr>
            <w:tcW w:w="1843" w:type="dxa"/>
            <w:tcBorders>
              <w:top w:val="single" w:sz="4" w:space="0" w:color="365F91"/>
              <w:left w:val="nil"/>
              <w:bottom w:val="single" w:sz="4" w:space="0" w:color="365F91"/>
              <w:right w:val="nil"/>
            </w:tcBorders>
            <w:hideMark/>
          </w:tcPr>
          <w:p w14:paraId="5169EE0D" w14:textId="77777777" w:rsidR="00524720" w:rsidRPr="00D9348B" w:rsidRDefault="00524720" w:rsidP="00191C16">
            <w:pPr>
              <w:pStyle w:val="TableText"/>
              <w:spacing w:before="50" w:after="40"/>
              <w:jc w:val="center"/>
            </w:pPr>
            <w:r w:rsidRPr="00D9348B">
              <w:t>8.3</w:t>
            </w:r>
          </w:p>
        </w:tc>
        <w:tc>
          <w:tcPr>
            <w:tcW w:w="1559" w:type="dxa"/>
            <w:tcBorders>
              <w:top w:val="single" w:sz="4" w:space="0" w:color="365F91"/>
              <w:left w:val="nil"/>
              <w:bottom w:val="single" w:sz="4" w:space="0" w:color="365F91"/>
              <w:right w:val="nil"/>
            </w:tcBorders>
            <w:hideMark/>
          </w:tcPr>
          <w:p w14:paraId="67DE49E7" w14:textId="77777777" w:rsidR="00524720" w:rsidRPr="00D9348B" w:rsidRDefault="00524720" w:rsidP="00191C16">
            <w:pPr>
              <w:pStyle w:val="TableText"/>
              <w:spacing w:before="50" w:after="40"/>
              <w:jc w:val="center"/>
            </w:pPr>
            <w:r w:rsidRPr="00D9348B">
              <w:t>116.6</w:t>
            </w:r>
          </w:p>
        </w:tc>
      </w:tr>
      <w:tr w:rsidR="00524720" w:rsidRPr="00D9348B" w14:paraId="09B645B0" w14:textId="77777777" w:rsidTr="002D60CB">
        <w:tc>
          <w:tcPr>
            <w:tcW w:w="993" w:type="dxa"/>
            <w:tcBorders>
              <w:top w:val="single" w:sz="4" w:space="0" w:color="365F91"/>
              <w:left w:val="nil"/>
              <w:bottom w:val="single" w:sz="4" w:space="0" w:color="365F91"/>
              <w:right w:val="nil"/>
            </w:tcBorders>
            <w:hideMark/>
          </w:tcPr>
          <w:p w14:paraId="2ADFA939" w14:textId="77777777" w:rsidR="00524720" w:rsidRPr="00D9348B" w:rsidRDefault="00524720" w:rsidP="00191C16">
            <w:pPr>
              <w:pStyle w:val="TableTextBold"/>
              <w:spacing w:before="50" w:after="40"/>
              <w:rPr>
                <w:noProof w:val="0"/>
              </w:rPr>
            </w:pPr>
            <w:r w:rsidRPr="00D9348B">
              <w:rPr>
                <w:noProof w:val="0"/>
              </w:rPr>
              <w:t>1951</w:t>
            </w:r>
          </w:p>
        </w:tc>
        <w:tc>
          <w:tcPr>
            <w:tcW w:w="1942" w:type="dxa"/>
            <w:tcBorders>
              <w:top w:val="single" w:sz="4" w:space="0" w:color="365F91"/>
              <w:left w:val="nil"/>
              <w:bottom w:val="single" w:sz="4" w:space="0" w:color="365F91"/>
              <w:right w:val="nil"/>
            </w:tcBorders>
            <w:hideMark/>
          </w:tcPr>
          <w:p w14:paraId="616BBC48" w14:textId="77777777" w:rsidR="00524720" w:rsidRPr="00D9348B" w:rsidRDefault="00524720" w:rsidP="00191C16">
            <w:pPr>
              <w:pStyle w:val="TableText"/>
              <w:spacing w:before="50" w:after="40"/>
              <w:jc w:val="center"/>
            </w:pPr>
            <w:r w:rsidRPr="00D9348B">
              <w:t>77.5</w:t>
            </w:r>
          </w:p>
        </w:tc>
        <w:tc>
          <w:tcPr>
            <w:tcW w:w="2168" w:type="dxa"/>
            <w:tcBorders>
              <w:top w:val="single" w:sz="4" w:space="0" w:color="365F91"/>
              <w:left w:val="nil"/>
              <w:bottom w:val="single" w:sz="4" w:space="0" w:color="365F91"/>
              <w:right w:val="nil"/>
            </w:tcBorders>
            <w:hideMark/>
          </w:tcPr>
          <w:p w14:paraId="7D23086B" w14:textId="77777777" w:rsidR="00524720" w:rsidRPr="00D9348B" w:rsidRDefault="00524720" w:rsidP="00191C16">
            <w:pPr>
              <w:pStyle w:val="TableText"/>
              <w:spacing w:before="50" w:after="40"/>
              <w:jc w:val="center"/>
            </w:pPr>
            <w:r w:rsidRPr="00D9348B">
              <w:t>164.7</w:t>
            </w:r>
          </w:p>
        </w:tc>
        <w:tc>
          <w:tcPr>
            <w:tcW w:w="1843" w:type="dxa"/>
            <w:tcBorders>
              <w:top w:val="single" w:sz="4" w:space="0" w:color="365F91"/>
              <w:left w:val="nil"/>
              <w:bottom w:val="single" w:sz="4" w:space="0" w:color="365F91"/>
              <w:right w:val="nil"/>
            </w:tcBorders>
            <w:hideMark/>
          </w:tcPr>
          <w:p w14:paraId="4406F126" w14:textId="77777777" w:rsidR="00524720" w:rsidRPr="00D9348B" w:rsidRDefault="00524720" w:rsidP="00191C16">
            <w:pPr>
              <w:pStyle w:val="TableText"/>
              <w:spacing w:before="50" w:after="40"/>
              <w:jc w:val="center"/>
            </w:pPr>
            <w:r w:rsidRPr="00D9348B">
              <w:t>18.3</w:t>
            </w:r>
          </w:p>
        </w:tc>
        <w:tc>
          <w:tcPr>
            <w:tcW w:w="1559" w:type="dxa"/>
            <w:tcBorders>
              <w:top w:val="single" w:sz="4" w:space="0" w:color="365F91"/>
              <w:left w:val="nil"/>
              <w:bottom w:val="single" w:sz="4" w:space="0" w:color="365F91"/>
              <w:right w:val="nil"/>
            </w:tcBorders>
            <w:hideMark/>
          </w:tcPr>
          <w:p w14:paraId="595E1772" w14:textId="77777777" w:rsidR="00524720" w:rsidRPr="00D9348B" w:rsidRDefault="00524720" w:rsidP="00191C16">
            <w:pPr>
              <w:pStyle w:val="TableText"/>
              <w:spacing w:before="50" w:after="40"/>
              <w:jc w:val="center"/>
            </w:pPr>
            <w:r w:rsidRPr="00D9348B">
              <w:t>260.6</w:t>
            </w:r>
          </w:p>
        </w:tc>
      </w:tr>
      <w:tr w:rsidR="00524720" w:rsidRPr="00D9348B" w14:paraId="350EB910" w14:textId="77777777" w:rsidTr="002D60CB">
        <w:tc>
          <w:tcPr>
            <w:tcW w:w="993" w:type="dxa"/>
            <w:tcBorders>
              <w:top w:val="single" w:sz="4" w:space="0" w:color="365F91"/>
              <w:left w:val="nil"/>
              <w:bottom w:val="single" w:sz="4" w:space="0" w:color="365F91"/>
              <w:right w:val="nil"/>
            </w:tcBorders>
            <w:hideMark/>
          </w:tcPr>
          <w:p w14:paraId="309C192D" w14:textId="77777777" w:rsidR="00524720" w:rsidRPr="00D9348B" w:rsidRDefault="00524720" w:rsidP="00191C16">
            <w:pPr>
              <w:pStyle w:val="TableTextBold"/>
              <w:spacing w:before="50" w:after="40"/>
              <w:rPr>
                <w:noProof w:val="0"/>
              </w:rPr>
            </w:pPr>
            <w:r w:rsidRPr="00D9348B">
              <w:rPr>
                <w:noProof w:val="0"/>
              </w:rPr>
              <w:t>1952</w:t>
            </w:r>
          </w:p>
        </w:tc>
        <w:tc>
          <w:tcPr>
            <w:tcW w:w="1942" w:type="dxa"/>
            <w:tcBorders>
              <w:top w:val="single" w:sz="4" w:space="0" w:color="365F91"/>
              <w:left w:val="nil"/>
              <w:bottom w:val="single" w:sz="4" w:space="0" w:color="365F91"/>
              <w:right w:val="nil"/>
            </w:tcBorders>
            <w:hideMark/>
          </w:tcPr>
          <w:p w14:paraId="6F7E9B93" w14:textId="77777777" w:rsidR="00524720" w:rsidRPr="00D9348B" w:rsidRDefault="00524720" w:rsidP="00191C16">
            <w:pPr>
              <w:pStyle w:val="TableText"/>
              <w:spacing w:before="50" w:after="40"/>
              <w:jc w:val="center"/>
            </w:pPr>
            <w:r w:rsidRPr="00D9348B">
              <w:t>77.5</w:t>
            </w:r>
          </w:p>
        </w:tc>
        <w:tc>
          <w:tcPr>
            <w:tcW w:w="2168" w:type="dxa"/>
            <w:tcBorders>
              <w:top w:val="single" w:sz="4" w:space="0" w:color="365F91"/>
              <w:left w:val="nil"/>
              <w:bottom w:val="single" w:sz="4" w:space="0" w:color="365F91"/>
              <w:right w:val="nil"/>
            </w:tcBorders>
            <w:hideMark/>
          </w:tcPr>
          <w:p w14:paraId="67235A80" w14:textId="77777777" w:rsidR="00524720" w:rsidRPr="00D9348B" w:rsidRDefault="00524720" w:rsidP="00191C16">
            <w:pPr>
              <w:pStyle w:val="TableText"/>
              <w:spacing w:before="50" w:after="40"/>
              <w:jc w:val="center"/>
            </w:pPr>
            <w:r w:rsidRPr="00D9348B">
              <w:t>118.7</w:t>
            </w:r>
          </w:p>
        </w:tc>
        <w:tc>
          <w:tcPr>
            <w:tcW w:w="1843" w:type="dxa"/>
            <w:tcBorders>
              <w:top w:val="single" w:sz="4" w:space="0" w:color="365F91"/>
              <w:left w:val="nil"/>
              <w:bottom w:val="single" w:sz="4" w:space="0" w:color="365F91"/>
              <w:right w:val="nil"/>
            </w:tcBorders>
            <w:hideMark/>
          </w:tcPr>
          <w:p w14:paraId="5253C354" w14:textId="77777777" w:rsidR="00524720" w:rsidRPr="00D9348B" w:rsidRDefault="00524720" w:rsidP="00191C16">
            <w:pPr>
              <w:pStyle w:val="TableText"/>
              <w:spacing w:before="50" w:after="40"/>
              <w:jc w:val="center"/>
            </w:pPr>
            <w:r w:rsidRPr="00D9348B">
              <w:t>13.2</w:t>
            </w:r>
          </w:p>
        </w:tc>
        <w:tc>
          <w:tcPr>
            <w:tcW w:w="1559" w:type="dxa"/>
            <w:tcBorders>
              <w:top w:val="single" w:sz="4" w:space="0" w:color="365F91"/>
              <w:left w:val="nil"/>
              <w:bottom w:val="single" w:sz="4" w:space="0" w:color="365F91"/>
              <w:right w:val="nil"/>
            </w:tcBorders>
            <w:hideMark/>
          </w:tcPr>
          <w:p w14:paraId="72795DC1" w14:textId="77777777" w:rsidR="00524720" w:rsidRPr="00D9348B" w:rsidRDefault="00524720" w:rsidP="00191C16">
            <w:pPr>
              <w:pStyle w:val="TableText"/>
              <w:spacing w:before="50" w:after="40"/>
              <w:jc w:val="center"/>
            </w:pPr>
            <w:r w:rsidRPr="00D9348B">
              <w:t>209.4</w:t>
            </w:r>
          </w:p>
        </w:tc>
      </w:tr>
      <w:tr w:rsidR="00524720" w:rsidRPr="00D9348B" w14:paraId="5F1D57C9" w14:textId="77777777" w:rsidTr="002D60CB">
        <w:tc>
          <w:tcPr>
            <w:tcW w:w="993" w:type="dxa"/>
            <w:tcBorders>
              <w:top w:val="single" w:sz="4" w:space="0" w:color="365F91"/>
              <w:left w:val="nil"/>
              <w:bottom w:val="single" w:sz="4" w:space="0" w:color="365F91"/>
              <w:right w:val="nil"/>
            </w:tcBorders>
            <w:hideMark/>
          </w:tcPr>
          <w:p w14:paraId="10DE6FB6" w14:textId="77777777" w:rsidR="00524720" w:rsidRPr="00D9348B" w:rsidRDefault="00524720" w:rsidP="00191C16">
            <w:pPr>
              <w:pStyle w:val="TableTextBold"/>
              <w:spacing w:before="50" w:after="40"/>
              <w:rPr>
                <w:noProof w:val="0"/>
              </w:rPr>
            </w:pPr>
            <w:r w:rsidRPr="00D9348B">
              <w:rPr>
                <w:noProof w:val="0"/>
              </w:rPr>
              <w:t>1953</w:t>
            </w:r>
          </w:p>
        </w:tc>
        <w:tc>
          <w:tcPr>
            <w:tcW w:w="1942" w:type="dxa"/>
            <w:tcBorders>
              <w:top w:val="single" w:sz="4" w:space="0" w:color="365F91"/>
              <w:left w:val="nil"/>
              <w:bottom w:val="single" w:sz="4" w:space="0" w:color="365F91"/>
              <w:right w:val="nil"/>
            </w:tcBorders>
            <w:hideMark/>
          </w:tcPr>
          <w:p w14:paraId="407044E0" w14:textId="77777777" w:rsidR="00524720" w:rsidRPr="00D9348B" w:rsidRDefault="00524720" w:rsidP="00191C16">
            <w:pPr>
              <w:pStyle w:val="TableText"/>
              <w:spacing w:before="50" w:after="40"/>
              <w:jc w:val="center"/>
            </w:pPr>
            <w:r w:rsidRPr="00D9348B">
              <w:t>77.5</w:t>
            </w:r>
          </w:p>
        </w:tc>
        <w:tc>
          <w:tcPr>
            <w:tcW w:w="2168" w:type="dxa"/>
            <w:tcBorders>
              <w:top w:val="single" w:sz="4" w:space="0" w:color="365F91"/>
              <w:left w:val="nil"/>
              <w:bottom w:val="single" w:sz="4" w:space="0" w:color="365F91"/>
              <w:right w:val="nil"/>
            </w:tcBorders>
            <w:hideMark/>
          </w:tcPr>
          <w:p w14:paraId="2E0F2236" w14:textId="77777777" w:rsidR="00524720" w:rsidRPr="00D9348B" w:rsidRDefault="00524720" w:rsidP="00191C16">
            <w:pPr>
              <w:pStyle w:val="TableText"/>
              <w:spacing w:before="50" w:after="40"/>
              <w:jc w:val="center"/>
            </w:pPr>
            <w:r w:rsidRPr="00D9348B">
              <w:t>127.3</w:t>
            </w:r>
          </w:p>
        </w:tc>
        <w:tc>
          <w:tcPr>
            <w:tcW w:w="1843" w:type="dxa"/>
            <w:tcBorders>
              <w:top w:val="single" w:sz="4" w:space="0" w:color="365F91"/>
              <w:left w:val="nil"/>
              <w:bottom w:val="single" w:sz="4" w:space="0" w:color="365F91"/>
              <w:right w:val="nil"/>
            </w:tcBorders>
            <w:hideMark/>
          </w:tcPr>
          <w:p w14:paraId="15A04D7B" w14:textId="77777777" w:rsidR="00524720" w:rsidRPr="00D9348B" w:rsidRDefault="00524720" w:rsidP="00191C16">
            <w:pPr>
              <w:pStyle w:val="TableText"/>
              <w:spacing w:before="50" w:after="40"/>
              <w:jc w:val="center"/>
            </w:pPr>
            <w:r w:rsidRPr="00D9348B">
              <w:t>14.1</w:t>
            </w:r>
          </w:p>
        </w:tc>
        <w:tc>
          <w:tcPr>
            <w:tcW w:w="1559" w:type="dxa"/>
            <w:tcBorders>
              <w:top w:val="single" w:sz="4" w:space="0" w:color="365F91"/>
              <w:left w:val="nil"/>
              <w:bottom w:val="single" w:sz="4" w:space="0" w:color="365F91"/>
              <w:right w:val="nil"/>
            </w:tcBorders>
            <w:hideMark/>
          </w:tcPr>
          <w:p w14:paraId="41C935AF" w14:textId="047E22B3" w:rsidR="00524720" w:rsidRPr="00D9348B" w:rsidRDefault="00524720" w:rsidP="00191C16">
            <w:pPr>
              <w:pStyle w:val="TableText"/>
              <w:spacing w:before="50" w:after="40"/>
              <w:jc w:val="center"/>
            </w:pPr>
            <w:r w:rsidRPr="00D9348B">
              <w:t>21</w:t>
            </w:r>
            <w:r w:rsidR="00CC6894">
              <w:t>9.0</w:t>
            </w:r>
          </w:p>
        </w:tc>
      </w:tr>
      <w:tr w:rsidR="00524720" w:rsidRPr="00D9348B" w14:paraId="3FFE2D9F" w14:textId="77777777" w:rsidTr="002D60CB">
        <w:tc>
          <w:tcPr>
            <w:tcW w:w="993" w:type="dxa"/>
            <w:tcBorders>
              <w:top w:val="single" w:sz="4" w:space="0" w:color="365F91"/>
              <w:left w:val="nil"/>
              <w:bottom w:val="single" w:sz="4" w:space="0" w:color="365F91"/>
              <w:right w:val="nil"/>
            </w:tcBorders>
            <w:hideMark/>
          </w:tcPr>
          <w:p w14:paraId="03BD925D" w14:textId="77777777" w:rsidR="00524720" w:rsidRPr="00D9348B" w:rsidRDefault="00524720" w:rsidP="00191C16">
            <w:pPr>
              <w:pStyle w:val="TableTextBold"/>
              <w:spacing w:before="50" w:after="40"/>
              <w:rPr>
                <w:noProof w:val="0"/>
              </w:rPr>
            </w:pPr>
            <w:r w:rsidRPr="00D9348B">
              <w:rPr>
                <w:noProof w:val="0"/>
              </w:rPr>
              <w:t>1954</w:t>
            </w:r>
          </w:p>
        </w:tc>
        <w:tc>
          <w:tcPr>
            <w:tcW w:w="1942" w:type="dxa"/>
            <w:tcBorders>
              <w:top w:val="single" w:sz="4" w:space="0" w:color="365F91"/>
              <w:left w:val="nil"/>
              <w:bottom w:val="single" w:sz="4" w:space="0" w:color="365F91"/>
              <w:right w:val="nil"/>
            </w:tcBorders>
            <w:hideMark/>
          </w:tcPr>
          <w:p w14:paraId="1AA4B32F" w14:textId="77777777" w:rsidR="00524720" w:rsidRPr="00D9348B" w:rsidRDefault="00524720" w:rsidP="00191C16">
            <w:pPr>
              <w:pStyle w:val="TableText"/>
              <w:spacing w:before="50" w:after="40"/>
              <w:jc w:val="center"/>
            </w:pPr>
            <w:r w:rsidRPr="00D9348B">
              <w:t>77.5</w:t>
            </w:r>
          </w:p>
        </w:tc>
        <w:tc>
          <w:tcPr>
            <w:tcW w:w="2168" w:type="dxa"/>
            <w:tcBorders>
              <w:top w:val="single" w:sz="4" w:space="0" w:color="365F91"/>
              <w:left w:val="nil"/>
              <w:bottom w:val="single" w:sz="4" w:space="0" w:color="365F91"/>
              <w:right w:val="nil"/>
            </w:tcBorders>
            <w:hideMark/>
          </w:tcPr>
          <w:p w14:paraId="3B7ACACC" w14:textId="77777777" w:rsidR="00524720" w:rsidRPr="00D9348B" w:rsidRDefault="00524720" w:rsidP="00191C16">
            <w:pPr>
              <w:pStyle w:val="TableText"/>
              <w:spacing w:before="50" w:after="40"/>
              <w:jc w:val="center"/>
            </w:pPr>
            <w:r w:rsidRPr="00D9348B">
              <w:t>195.3</w:t>
            </w:r>
          </w:p>
        </w:tc>
        <w:tc>
          <w:tcPr>
            <w:tcW w:w="1843" w:type="dxa"/>
            <w:tcBorders>
              <w:top w:val="single" w:sz="4" w:space="0" w:color="365F91"/>
              <w:left w:val="nil"/>
              <w:bottom w:val="single" w:sz="4" w:space="0" w:color="365F91"/>
              <w:right w:val="nil"/>
            </w:tcBorders>
            <w:hideMark/>
          </w:tcPr>
          <w:p w14:paraId="70C2BAD7" w14:textId="77777777" w:rsidR="00524720" w:rsidRPr="00D9348B" w:rsidRDefault="00524720" w:rsidP="00191C16">
            <w:pPr>
              <w:pStyle w:val="TableText"/>
              <w:spacing w:before="50" w:after="40"/>
              <w:jc w:val="center"/>
            </w:pPr>
            <w:r w:rsidRPr="00D9348B">
              <w:t>21.7</w:t>
            </w:r>
          </w:p>
        </w:tc>
        <w:tc>
          <w:tcPr>
            <w:tcW w:w="1559" w:type="dxa"/>
            <w:tcBorders>
              <w:top w:val="single" w:sz="4" w:space="0" w:color="365F91"/>
              <w:left w:val="nil"/>
              <w:bottom w:val="single" w:sz="4" w:space="0" w:color="365F91"/>
              <w:right w:val="nil"/>
            </w:tcBorders>
            <w:hideMark/>
          </w:tcPr>
          <w:p w14:paraId="7986B5ED" w14:textId="77777777" w:rsidR="00524720" w:rsidRPr="00D9348B" w:rsidRDefault="00524720" w:rsidP="00191C16">
            <w:pPr>
              <w:pStyle w:val="TableText"/>
              <w:spacing w:before="50" w:after="40"/>
              <w:jc w:val="center"/>
            </w:pPr>
            <w:r w:rsidRPr="00D9348B">
              <w:t>294.5</w:t>
            </w:r>
          </w:p>
        </w:tc>
      </w:tr>
      <w:tr w:rsidR="00524720" w:rsidRPr="00D9348B" w14:paraId="3BC06EDD" w14:textId="77777777" w:rsidTr="002D60CB">
        <w:tc>
          <w:tcPr>
            <w:tcW w:w="993" w:type="dxa"/>
            <w:tcBorders>
              <w:top w:val="single" w:sz="4" w:space="0" w:color="365F91"/>
              <w:left w:val="nil"/>
              <w:bottom w:val="single" w:sz="4" w:space="0" w:color="365F91"/>
              <w:right w:val="nil"/>
            </w:tcBorders>
            <w:hideMark/>
          </w:tcPr>
          <w:p w14:paraId="15291597" w14:textId="77777777" w:rsidR="00524720" w:rsidRPr="00D9348B" w:rsidRDefault="00524720" w:rsidP="00191C16">
            <w:pPr>
              <w:pStyle w:val="TableTextBold"/>
              <w:spacing w:before="50" w:after="40"/>
              <w:rPr>
                <w:noProof w:val="0"/>
              </w:rPr>
            </w:pPr>
            <w:r w:rsidRPr="00D9348B">
              <w:rPr>
                <w:noProof w:val="0"/>
              </w:rPr>
              <w:t>1955</w:t>
            </w:r>
          </w:p>
        </w:tc>
        <w:tc>
          <w:tcPr>
            <w:tcW w:w="1942" w:type="dxa"/>
            <w:tcBorders>
              <w:top w:val="single" w:sz="4" w:space="0" w:color="365F91"/>
              <w:left w:val="nil"/>
              <w:bottom w:val="single" w:sz="4" w:space="0" w:color="365F91"/>
              <w:right w:val="nil"/>
            </w:tcBorders>
            <w:hideMark/>
          </w:tcPr>
          <w:p w14:paraId="642DF9C0" w14:textId="77777777" w:rsidR="00524720" w:rsidRPr="00D9348B" w:rsidRDefault="00524720" w:rsidP="00191C16">
            <w:pPr>
              <w:pStyle w:val="TableText"/>
              <w:spacing w:before="50" w:after="40"/>
              <w:jc w:val="center"/>
            </w:pPr>
            <w:r w:rsidRPr="00D9348B">
              <w:t>181.7</w:t>
            </w:r>
          </w:p>
        </w:tc>
        <w:tc>
          <w:tcPr>
            <w:tcW w:w="2168" w:type="dxa"/>
            <w:tcBorders>
              <w:top w:val="single" w:sz="4" w:space="0" w:color="365F91"/>
              <w:left w:val="nil"/>
              <w:bottom w:val="single" w:sz="4" w:space="0" w:color="365F91"/>
              <w:right w:val="nil"/>
            </w:tcBorders>
            <w:hideMark/>
          </w:tcPr>
          <w:p w14:paraId="52D327EB" w14:textId="77777777" w:rsidR="00524720" w:rsidRPr="00D9348B" w:rsidRDefault="00524720" w:rsidP="00191C16">
            <w:pPr>
              <w:pStyle w:val="TableText"/>
              <w:spacing w:before="50" w:after="40"/>
              <w:jc w:val="center"/>
            </w:pPr>
            <w:r w:rsidRPr="00D9348B">
              <w:t>180.3</w:t>
            </w:r>
          </w:p>
        </w:tc>
        <w:tc>
          <w:tcPr>
            <w:tcW w:w="1843" w:type="dxa"/>
            <w:tcBorders>
              <w:top w:val="single" w:sz="4" w:space="0" w:color="365F91"/>
              <w:left w:val="nil"/>
              <w:bottom w:val="single" w:sz="4" w:space="0" w:color="365F91"/>
              <w:right w:val="nil"/>
            </w:tcBorders>
            <w:hideMark/>
          </w:tcPr>
          <w:p w14:paraId="09AF552A" w14:textId="77777777" w:rsidR="00524720" w:rsidRPr="00D9348B" w:rsidRDefault="00524720" w:rsidP="00191C16">
            <w:pPr>
              <w:pStyle w:val="TableText"/>
              <w:spacing w:before="50" w:after="40"/>
              <w:jc w:val="center"/>
            </w:pPr>
            <w:r w:rsidRPr="00D9348B">
              <w:t>20</w:t>
            </w:r>
          </w:p>
        </w:tc>
        <w:tc>
          <w:tcPr>
            <w:tcW w:w="1559" w:type="dxa"/>
            <w:tcBorders>
              <w:top w:val="single" w:sz="4" w:space="0" w:color="365F91"/>
              <w:left w:val="nil"/>
              <w:bottom w:val="single" w:sz="4" w:space="0" w:color="365F91"/>
              <w:right w:val="nil"/>
            </w:tcBorders>
            <w:hideMark/>
          </w:tcPr>
          <w:p w14:paraId="2662EA3A" w14:textId="3D991BB2" w:rsidR="00524720" w:rsidRPr="00D9348B" w:rsidRDefault="00524720" w:rsidP="00191C16">
            <w:pPr>
              <w:pStyle w:val="TableText"/>
              <w:spacing w:before="50" w:after="40"/>
              <w:jc w:val="center"/>
            </w:pPr>
            <w:r w:rsidRPr="00D9348B">
              <w:t>382.</w:t>
            </w:r>
            <w:r w:rsidR="00CC6894">
              <w:t>1</w:t>
            </w:r>
          </w:p>
        </w:tc>
      </w:tr>
      <w:tr w:rsidR="00524720" w:rsidRPr="00D9348B" w14:paraId="09AA1D11" w14:textId="77777777" w:rsidTr="002D60CB">
        <w:tc>
          <w:tcPr>
            <w:tcW w:w="993" w:type="dxa"/>
            <w:tcBorders>
              <w:top w:val="single" w:sz="4" w:space="0" w:color="365F91"/>
              <w:left w:val="nil"/>
              <w:bottom w:val="single" w:sz="4" w:space="0" w:color="365F91"/>
              <w:right w:val="nil"/>
            </w:tcBorders>
            <w:hideMark/>
          </w:tcPr>
          <w:p w14:paraId="6069EC2D" w14:textId="77777777" w:rsidR="00524720" w:rsidRPr="00D9348B" w:rsidRDefault="00524720" w:rsidP="00191C16">
            <w:pPr>
              <w:pStyle w:val="TableTextBold"/>
              <w:spacing w:before="50" w:after="40"/>
              <w:rPr>
                <w:noProof w:val="0"/>
              </w:rPr>
            </w:pPr>
            <w:r w:rsidRPr="00D9348B">
              <w:rPr>
                <w:noProof w:val="0"/>
              </w:rPr>
              <w:t>1956</w:t>
            </w:r>
          </w:p>
        </w:tc>
        <w:tc>
          <w:tcPr>
            <w:tcW w:w="1942" w:type="dxa"/>
            <w:tcBorders>
              <w:top w:val="single" w:sz="4" w:space="0" w:color="365F91"/>
              <w:left w:val="nil"/>
              <w:bottom w:val="single" w:sz="4" w:space="0" w:color="365F91"/>
              <w:right w:val="nil"/>
            </w:tcBorders>
            <w:hideMark/>
          </w:tcPr>
          <w:p w14:paraId="5A9656A8" w14:textId="77777777" w:rsidR="00524720" w:rsidRPr="00D9348B" w:rsidRDefault="00524720" w:rsidP="00191C16">
            <w:pPr>
              <w:pStyle w:val="TableText"/>
              <w:spacing w:before="50" w:after="40"/>
              <w:jc w:val="center"/>
            </w:pPr>
            <w:r w:rsidRPr="00D9348B">
              <w:t>181.7</w:t>
            </w:r>
          </w:p>
        </w:tc>
        <w:tc>
          <w:tcPr>
            <w:tcW w:w="2168" w:type="dxa"/>
            <w:tcBorders>
              <w:top w:val="single" w:sz="4" w:space="0" w:color="365F91"/>
              <w:left w:val="nil"/>
              <w:bottom w:val="single" w:sz="4" w:space="0" w:color="365F91"/>
              <w:right w:val="nil"/>
            </w:tcBorders>
            <w:hideMark/>
          </w:tcPr>
          <w:p w14:paraId="548762D7" w14:textId="77777777" w:rsidR="00524720" w:rsidRPr="00D9348B" w:rsidRDefault="00524720" w:rsidP="00191C16">
            <w:pPr>
              <w:pStyle w:val="TableText"/>
              <w:spacing w:before="50" w:after="40"/>
              <w:jc w:val="center"/>
            </w:pPr>
            <w:r w:rsidRPr="00D9348B">
              <w:t>202.7</w:t>
            </w:r>
          </w:p>
        </w:tc>
        <w:tc>
          <w:tcPr>
            <w:tcW w:w="1843" w:type="dxa"/>
            <w:tcBorders>
              <w:top w:val="single" w:sz="4" w:space="0" w:color="365F91"/>
              <w:left w:val="nil"/>
              <w:bottom w:val="single" w:sz="4" w:space="0" w:color="365F91"/>
              <w:right w:val="nil"/>
            </w:tcBorders>
            <w:hideMark/>
          </w:tcPr>
          <w:p w14:paraId="68E7BCF3" w14:textId="77777777" w:rsidR="00524720" w:rsidRPr="00D9348B" w:rsidRDefault="00524720" w:rsidP="00191C16">
            <w:pPr>
              <w:pStyle w:val="TableText"/>
              <w:spacing w:before="50" w:after="40"/>
              <w:jc w:val="center"/>
            </w:pPr>
            <w:r w:rsidRPr="00D9348B">
              <w:t>22.5</w:t>
            </w:r>
          </w:p>
        </w:tc>
        <w:tc>
          <w:tcPr>
            <w:tcW w:w="1559" w:type="dxa"/>
            <w:tcBorders>
              <w:top w:val="single" w:sz="4" w:space="0" w:color="365F91"/>
              <w:left w:val="nil"/>
              <w:bottom w:val="single" w:sz="4" w:space="0" w:color="365F91"/>
              <w:right w:val="nil"/>
            </w:tcBorders>
            <w:hideMark/>
          </w:tcPr>
          <w:p w14:paraId="1D48B73B" w14:textId="2C628A44" w:rsidR="00524720" w:rsidRPr="00D9348B" w:rsidRDefault="00524720" w:rsidP="00191C16">
            <w:pPr>
              <w:pStyle w:val="TableText"/>
              <w:spacing w:before="50" w:after="40"/>
              <w:jc w:val="center"/>
            </w:pPr>
            <w:r w:rsidRPr="00D9348B">
              <w:t>40</w:t>
            </w:r>
            <w:r w:rsidR="00CC6894">
              <w:t>7.0</w:t>
            </w:r>
          </w:p>
        </w:tc>
      </w:tr>
      <w:tr w:rsidR="00524720" w:rsidRPr="00D9348B" w14:paraId="1053DBCE" w14:textId="77777777" w:rsidTr="002D60CB">
        <w:tc>
          <w:tcPr>
            <w:tcW w:w="993" w:type="dxa"/>
            <w:tcBorders>
              <w:top w:val="single" w:sz="4" w:space="0" w:color="365F91"/>
              <w:left w:val="nil"/>
              <w:bottom w:val="single" w:sz="4" w:space="0" w:color="365F91"/>
              <w:right w:val="nil"/>
            </w:tcBorders>
            <w:hideMark/>
          </w:tcPr>
          <w:p w14:paraId="5E29C55A" w14:textId="77777777" w:rsidR="00524720" w:rsidRPr="00D9348B" w:rsidRDefault="00524720" w:rsidP="00191C16">
            <w:pPr>
              <w:pStyle w:val="TableTextBold"/>
              <w:spacing w:before="50" w:after="40"/>
              <w:rPr>
                <w:noProof w:val="0"/>
              </w:rPr>
            </w:pPr>
            <w:r w:rsidRPr="00D9348B">
              <w:rPr>
                <w:noProof w:val="0"/>
              </w:rPr>
              <w:t>1957</w:t>
            </w:r>
          </w:p>
        </w:tc>
        <w:tc>
          <w:tcPr>
            <w:tcW w:w="1942" w:type="dxa"/>
            <w:tcBorders>
              <w:top w:val="single" w:sz="4" w:space="0" w:color="365F91"/>
              <w:left w:val="nil"/>
              <w:bottom w:val="single" w:sz="4" w:space="0" w:color="365F91"/>
              <w:right w:val="nil"/>
            </w:tcBorders>
            <w:hideMark/>
          </w:tcPr>
          <w:p w14:paraId="03850609" w14:textId="77777777" w:rsidR="00524720" w:rsidRPr="00D9348B" w:rsidRDefault="00524720" w:rsidP="00191C16">
            <w:pPr>
              <w:pStyle w:val="TableText"/>
              <w:spacing w:before="50" w:after="40"/>
              <w:jc w:val="center"/>
            </w:pPr>
            <w:r w:rsidRPr="00D9348B">
              <w:t>181.7</w:t>
            </w:r>
          </w:p>
        </w:tc>
        <w:tc>
          <w:tcPr>
            <w:tcW w:w="2168" w:type="dxa"/>
            <w:tcBorders>
              <w:top w:val="single" w:sz="4" w:space="0" w:color="365F91"/>
              <w:left w:val="nil"/>
              <w:bottom w:val="single" w:sz="4" w:space="0" w:color="365F91"/>
              <w:right w:val="nil"/>
            </w:tcBorders>
            <w:hideMark/>
          </w:tcPr>
          <w:p w14:paraId="21452FCF" w14:textId="77777777" w:rsidR="00524720" w:rsidRPr="00D9348B" w:rsidRDefault="00524720" w:rsidP="00191C16">
            <w:pPr>
              <w:pStyle w:val="TableText"/>
              <w:spacing w:before="50" w:after="40"/>
              <w:jc w:val="center"/>
            </w:pPr>
            <w:r w:rsidRPr="00D9348B">
              <w:t>241.8</w:t>
            </w:r>
          </w:p>
        </w:tc>
        <w:tc>
          <w:tcPr>
            <w:tcW w:w="1843" w:type="dxa"/>
            <w:tcBorders>
              <w:top w:val="single" w:sz="4" w:space="0" w:color="365F91"/>
              <w:left w:val="nil"/>
              <w:bottom w:val="single" w:sz="4" w:space="0" w:color="365F91"/>
              <w:right w:val="nil"/>
            </w:tcBorders>
            <w:hideMark/>
          </w:tcPr>
          <w:p w14:paraId="7647D5F0" w14:textId="77777777" w:rsidR="00524720" w:rsidRPr="00D9348B" w:rsidRDefault="00524720" w:rsidP="00191C16">
            <w:pPr>
              <w:pStyle w:val="TableText"/>
              <w:spacing w:before="50" w:after="40"/>
              <w:jc w:val="center"/>
            </w:pPr>
            <w:r w:rsidRPr="00D9348B">
              <w:t>26.9</w:t>
            </w:r>
          </w:p>
        </w:tc>
        <w:tc>
          <w:tcPr>
            <w:tcW w:w="1559" w:type="dxa"/>
            <w:tcBorders>
              <w:top w:val="single" w:sz="4" w:space="0" w:color="365F91"/>
              <w:left w:val="nil"/>
              <w:bottom w:val="single" w:sz="4" w:space="0" w:color="365F91"/>
              <w:right w:val="nil"/>
            </w:tcBorders>
            <w:hideMark/>
          </w:tcPr>
          <w:p w14:paraId="3CE74BCD" w14:textId="77777777" w:rsidR="00524720" w:rsidRPr="00D9348B" w:rsidRDefault="00524720" w:rsidP="00191C16">
            <w:pPr>
              <w:pStyle w:val="TableText"/>
              <w:spacing w:before="50" w:after="40"/>
              <w:jc w:val="center"/>
            </w:pPr>
            <w:r w:rsidRPr="00D9348B">
              <w:t>450.4</w:t>
            </w:r>
          </w:p>
        </w:tc>
      </w:tr>
      <w:tr w:rsidR="00524720" w:rsidRPr="00D9348B" w14:paraId="2F48DEE3" w14:textId="77777777" w:rsidTr="002D60CB">
        <w:tc>
          <w:tcPr>
            <w:tcW w:w="993" w:type="dxa"/>
            <w:tcBorders>
              <w:top w:val="single" w:sz="4" w:space="0" w:color="365F91"/>
              <w:left w:val="nil"/>
              <w:bottom w:val="single" w:sz="4" w:space="0" w:color="365F91"/>
              <w:right w:val="nil"/>
            </w:tcBorders>
            <w:hideMark/>
          </w:tcPr>
          <w:p w14:paraId="7C2429A0" w14:textId="77777777" w:rsidR="00524720" w:rsidRPr="00D9348B" w:rsidRDefault="00524720" w:rsidP="00191C16">
            <w:pPr>
              <w:pStyle w:val="TableTextBold"/>
              <w:spacing w:before="50" w:after="40"/>
              <w:rPr>
                <w:noProof w:val="0"/>
              </w:rPr>
            </w:pPr>
            <w:r w:rsidRPr="00D9348B">
              <w:rPr>
                <w:noProof w:val="0"/>
              </w:rPr>
              <w:t>1958</w:t>
            </w:r>
          </w:p>
        </w:tc>
        <w:tc>
          <w:tcPr>
            <w:tcW w:w="1942" w:type="dxa"/>
            <w:tcBorders>
              <w:top w:val="single" w:sz="4" w:space="0" w:color="365F91"/>
              <w:left w:val="nil"/>
              <w:bottom w:val="single" w:sz="4" w:space="0" w:color="365F91"/>
              <w:right w:val="nil"/>
            </w:tcBorders>
            <w:hideMark/>
          </w:tcPr>
          <w:p w14:paraId="125DDD62" w14:textId="77777777" w:rsidR="00524720" w:rsidRPr="00D9348B" w:rsidRDefault="00524720" w:rsidP="00191C16">
            <w:pPr>
              <w:pStyle w:val="TableText"/>
              <w:spacing w:before="50" w:after="40"/>
              <w:jc w:val="center"/>
            </w:pPr>
            <w:r w:rsidRPr="00D9348B">
              <w:t>181.7</w:t>
            </w:r>
          </w:p>
        </w:tc>
        <w:tc>
          <w:tcPr>
            <w:tcW w:w="2168" w:type="dxa"/>
            <w:tcBorders>
              <w:top w:val="single" w:sz="4" w:space="0" w:color="365F91"/>
              <w:left w:val="nil"/>
              <w:bottom w:val="single" w:sz="4" w:space="0" w:color="365F91"/>
              <w:right w:val="nil"/>
            </w:tcBorders>
            <w:hideMark/>
          </w:tcPr>
          <w:p w14:paraId="3602AEA0" w14:textId="77777777" w:rsidR="00524720" w:rsidRPr="00D9348B" w:rsidRDefault="00524720" w:rsidP="00191C16">
            <w:pPr>
              <w:pStyle w:val="TableText"/>
              <w:spacing w:before="50" w:after="40"/>
              <w:jc w:val="center"/>
            </w:pPr>
            <w:r w:rsidRPr="00D9348B">
              <w:t>267.1</w:t>
            </w:r>
          </w:p>
        </w:tc>
        <w:tc>
          <w:tcPr>
            <w:tcW w:w="1843" w:type="dxa"/>
            <w:tcBorders>
              <w:top w:val="single" w:sz="4" w:space="0" w:color="365F91"/>
              <w:left w:val="nil"/>
              <w:bottom w:val="single" w:sz="4" w:space="0" w:color="365F91"/>
              <w:right w:val="nil"/>
            </w:tcBorders>
            <w:hideMark/>
          </w:tcPr>
          <w:p w14:paraId="1FF2088B" w14:textId="77777777" w:rsidR="00524720" w:rsidRPr="00D9348B" w:rsidRDefault="00524720" w:rsidP="00191C16">
            <w:pPr>
              <w:pStyle w:val="TableText"/>
              <w:spacing w:before="50" w:after="40"/>
              <w:jc w:val="center"/>
            </w:pPr>
            <w:r w:rsidRPr="00D9348B">
              <w:t>29.7</w:t>
            </w:r>
          </w:p>
        </w:tc>
        <w:tc>
          <w:tcPr>
            <w:tcW w:w="1559" w:type="dxa"/>
            <w:tcBorders>
              <w:top w:val="single" w:sz="4" w:space="0" w:color="365F91"/>
              <w:left w:val="nil"/>
              <w:bottom w:val="single" w:sz="4" w:space="0" w:color="365F91"/>
              <w:right w:val="nil"/>
            </w:tcBorders>
            <w:hideMark/>
          </w:tcPr>
          <w:p w14:paraId="233E7CDD" w14:textId="77777777" w:rsidR="00524720" w:rsidRPr="00D9348B" w:rsidRDefault="00524720" w:rsidP="00191C16">
            <w:pPr>
              <w:pStyle w:val="TableText"/>
              <w:spacing w:before="50" w:after="40"/>
              <w:jc w:val="center"/>
            </w:pPr>
            <w:r w:rsidRPr="00D9348B">
              <w:t>478.5</w:t>
            </w:r>
          </w:p>
        </w:tc>
      </w:tr>
      <w:tr w:rsidR="00524720" w:rsidRPr="00D9348B" w14:paraId="3CEBCC7F" w14:textId="77777777" w:rsidTr="002D60CB">
        <w:tc>
          <w:tcPr>
            <w:tcW w:w="993" w:type="dxa"/>
            <w:tcBorders>
              <w:top w:val="single" w:sz="4" w:space="0" w:color="365F91"/>
              <w:left w:val="nil"/>
              <w:bottom w:val="single" w:sz="4" w:space="0" w:color="365F91"/>
              <w:right w:val="nil"/>
            </w:tcBorders>
            <w:hideMark/>
          </w:tcPr>
          <w:p w14:paraId="199B7193" w14:textId="77777777" w:rsidR="00524720" w:rsidRPr="00D9348B" w:rsidRDefault="00524720" w:rsidP="00191C16">
            <w:pPr>
              <w:pStyle w:val="TableTextBold"/>
              <w:spacing w:before="50" w:after="40"/>
              <w:rPr>
                <w:noProof w:val="0"/>
              </w:rPr>
            </w:pPr>
            <w:r w:rsidRPr="00D9348B">
              <w:rPr>
                <w:noProof w:val="0"/>
              </w:rPr>
              <w:t>1959</w:t>
            </w:r>
          </w:p>
        </w:tc>
        <w:tc>
          <w:tcPr>
            <w:tcW w:w="1942" w:type="dxa"/>
            <w:tcBorders>
              <w:top w:val="single" w:sz="4" w:space="0" w:color="365F91"/>
              <w:left w:val="nil"/>
              <w:bottom w:val="single" w:sz="4" w:space="0" w:color="365F91"/>
              <w:right w:val="nil"/>
            </w:tcBorders>
            <w:hideMark/>
          </w:tcPr>
          <w:p w14:paraId="7B60D656" w14:textId="77777777" w:rsidR="00524720" w:rsidRPr="00D9348B" w:rsidRDefault="00524720" w:rsidP="00191C16">
            <w:pPr>
              <w:pStyle w:val="TableText"/>
              <w:spacing w:before="50" w:after="40"/>
              <w:jc w:val="center"/>
            </w:pPr>
            <w:r w:rsidRPr="00D9348B">
              <w:t>181.7</w:t>
            </w:r>
          </w:p>
        </w:tc>
        <w:tc>
          <w:tcPr>
            <w:tcW w:w="2168" w:type="dxa"/>
            <w:tcBorders>
              <w:top w:val="single" w:sz="4" w:space="0" w:color="365F91"/>
              <w:left w:val="nil"/>
              <w:bottom w:val="single" w:sz="4" w:space="0" w:color="365F91"/>
              <w:right w:val="nil"/>
            </w:tcBorders>
            <w:hideMark/>
          </w:tcPr>
          <w:p w14:paraId="4D0B9B73" w14:textId="77777777" w:rsidR="00524720" w:rsidRPr="00D9348B" w:rsidRDefault="00524720" w:rsidP="00191C16">
            <w:pPr>
              <w:pStyle w:val="TableText"/>
              <w:spacing w:before="50" w:after="40"/>
              <w:jc w:val="center"/>
            </w:pPr>
            <w:r w:rsidRPr="00D9348B">
              <w:t>281.5</w:t>
            </w:r>
          </w:p>
        </w:tc>
        <w:tc>
          <w:tcPr>
            <w:tcW w:w="1843" w:type="dxa"/>
            <w:tcBorders>
              <w:top w:val="single" w:sz="4" w:space="0" w:color="365F91"/>
              <w:left w:val="nil"/>
              <w:bottom w:val="single" w:sz="4" w:space="0" w:color="365F91"/>
              <w:right w:val="nil"/>
            </w:tcBorders>
            <w:hideMark/>
          </w:tcPr>
          <w:p w14:paraId="51576E82" w14:textId="77777777" w:rsidR="00524720" w:rsidRPr="00D9348B" w:rsidRDefault="00524720" w:rsidP="00191C16">
            <w:pPr>
              <w:pStyle w:val="TableText"/>
              <w:spacing w:before="50" w:after="40"/>
              <w:jc w:val="center"/>
            </w:pPr>
            <w:r w:rsidRPr="00D9348B">
              <w:t>31.3</w:t>
            </w:r>
          </w:p>
        </w:tc>
        <w:tc>
          <w:tcPr>
            <w:tcW w:w="1559" w:type="dxa"/>
            <w:tcBorders>
              <w:top w:val="single" w:sz="4" w:space="0" w:color="365F91"/>
              <w:left w:val="nil"/>
              <w:bottom w:val="single" w:sz="4" w:space="0" w:color="365F91"/>
              <w:right w:val="nil"/>
            </w:tcBorders>
            <w:hideMark/>
          </w:tcPr>
          <w:p w14:paraId="22374200" w14:textId="6B712A0B" w:rsidR="00524720" w:rsidRPr="00D9348B" w:rsidRDefault="00524720" w:rsidP="00191C16">
            <w:pPr>
              <w:pStyle w:val="TableText"/>
              <w:spacing w:before="50" w:after="40"/>
              <w:jc w:val="center"/>
            </w:pPr>
            <w:r w:rsidRPr="00D9348B">
              <w:t>494.</w:t>
            </w:r>
            <w:r w:rsidR="00CC6894">
              <w:t>5</w:t>
            </w:r>
          </w:p>
        </w:tc>
      </w:tr>
      <w:tr w:rsidR="00524720" w:rsidRPr="00D9348B" w14:paraId="7FBAD91A" w14:textId="77777777" w:rsidTr="002D60CB">
        <w:tc>
          <w:tcPr>
            <w:tcW w:w="993" w:type="dxa"/>
            <w:tcBorders>
              <w:top w:val="single" w:sz="4" w:space="0" w:color="365F91"/>
              <w:left w:val="nil"/>
              <w:bottom w:val="single" w:sz="4" w:space="0" w:color="365F91"/>
              <w:right w:val="nil"/>
            </w:tcBorders>
            <w:hideMark/>
          </w:tcPr>
          <w:p w14:paraId="3D10FD74" w14:textId="77777777" w:rsidR="00524720" w:rsidRPr="00D9348B" w:rsidRDefault="00524720" w:rsidP="00191C16">
            <w:pPr>
              <w:pStyle w:val="TableTextBold"/>
              <w:spacing w:before="50" w:after="40"/>
              <w:rPr>
                <w:noProof w:val="0"/>
              </w:rPr>
            </w:pPr>
            <w:r w:rsidRPr="00D9348B">
              <w:rPr>
                <w:noProof w:val="0"/>
              </w:rPr>
              <w:t>1960</w:t>
            </w:r>
          </w:p>
        </w:tc>
        <w:tc>
          <w:tcPr>
            <w:tcW w:w="1942" w:type="dxa"/>
            <w:tcBorders>
              <w:top w:val="single" w:sz="4" w:space="0" w:color="365F91"/>
              <w:left w:val="nil"/>
              <w:bottom w:val="single" w:sz="4" w:space="0" w:color="365F91"/>
              <w:right w:val="nil"/>
            </w:tcBorders>
            <w:hideMark/>
          </w:tcPr>
          <w:p w14:paraId="4FD81266" w14:textId="77777777" w:rsidR="00524720" w:rsidRPr="00D9348B" w:rsidRDefault="00524720" w:rsidP="00191C16">
            <w:pPr>
              <w:pStyle w:val="TableText"/>
              <w:spacing w:before="50" w:after="40"/>
              <w:jc w:val="center"/>
            </w:pPr>
            <w:r w:rsidRPr="00D9348B">
              <w:t>181.7</w:t>
            </w:r>
          </w:p>
        </w:tc>
        <w:tc>
          <w:tcPr>
            <w:tcW w:w="2168" w:type="dxa"/>
            <w:tcBorders>
              <w:top w:val="single" w:sz="4" w:space="0" w:color="365F91"/>
              <w:left w:val="nil"/>
              <w:bottom w:val="single" w:sz="4" w:space="0" w:color="365F91"/>
              <w:right w:val="nil"/>
            </w:tcBorders>
            <w:hideMark/>
          </w:tcPr>
          <w:p w14:paraId="2F46A2EE" w14:textId="77777777" w:rsidR="00524720" w:rsidRPr="00D9348B" w:rsidRDefault="00524720" w:rsidP="00191C16">
            <w:pPr>
              <w:pStyle w:val="TableText"/>
              <w:spacing w:before="50" w:after="40"/>
              <w:jc w:val="center"/>
            </w:pPr>
            <w:r w:rsidRPr="00D9348B">
              <w:t>349.3</w:t>
            </w:r>
          </w:p>
        </w:tc>
        <w:tc>
          <w:tcPr>
            <w:tcW w:w="1843" w:type="dxa"/>
            <w:tcBorders>
              <w:top w:val="single" w:sz="4" w:space="0" w:color="365F91"/>
              <w:left w:val="nil"/>
              <w:bottom w:val="single" w:sz="4" w:space="0" w:color="365F91"/>
              <w:right w:val="nil"/>
            </w:tcBorders>
            <w:hideMark/>
          </w:tcPr>
          <w:p w14:paraId="43E55010" w14:textId="77777777" w:rsidR="00524720" w:rsidRPr="00D9348B" w:rsidRDefault="00524720" w:rsidP="00191C16">
            <w:pPr>
              <w:pStyle w:val="TableText"/>
              <w:spacing w:before="50" w:after="40"/>
              <w:jc w:val="center"/>
            </w:pPr>
            <w:r w:rsidRPr="00D9348B">
              <w:t>38.8</w:t>
            </w:r>
          </w:p>
        </w:tc>
        <w:tc>
          <w:tcPr>
            <w:tcW w:w="1559" w:type="dxa"/>
            <w:tcBorders>
              <w:top w:val="single" w:sz="4" w:space="0" w:color="365F91"/>
              <w:left w:val="nil"/>
              <w:bottom w:val="single" w:sz="4" w:space="0" w:color="365F91"/>
              <w:right w:val="nil"/>
            </w:tcBorders>
            <w:hideMark/>
          </w:tcPr>
          <w:p w14:paraId="4F3D5A37" w14:textId="0DBA527A" w:rsidR="00524720" w:rsidRPr="00D9348B" w:rsidRDefault="00524720" w:rsidP="00191C16">
            <w:pPr>
              <w:pStyle w:val="TableText"/>
              <w:spacing w:before="50" w:after="40"/>
              <w:jc w:val="center"/>
            </w:pPr>
            <w:r w:rsidRPr="00D9348B">
              <w:t>569.</w:t>
            </w:r>
            <w:r w:rsidR="00CC6894">
              <w:t>9</w:t>
            </w:r>
          </w:p>
        </w:tc>
      </w:tr>
      <w:tr w:rsidR="00524720" w:rsidRPr="00D9348B" w14:paraId="3CF02C00" w14:textId="77777777" w:rsidTr="002D60CB">
        <w:tc>
          <w:tcPr>
            <w:tcW w:w="993" w:type="dxa"/>
            <w:tcBorders>
              <w:top w:val="single" w:sz="4" w:space="0" w:color="365F91"/>
              <w:left w:val="nil"/>
              <w:bottom w:val="single" w:sz="4" w:space="0" w:color="365F91"/>
              <w:right w:val="nil"/>
            </w:tcBorders>
            <w:hideMark/>
          </w:tcPr>
          <w:p w14:paraId="3E27B494" w14:textId="77777777" w:rsidR="00524720" w:rsidRPr="00D9348B" w:rsidRDefault="00524720" w:rsidP="00191C16">
            <w:pPr>
              <w:pStyle w:val="TableTextBold"/>
              <w:spacing w:before="50" w:after="40"/>
              <w:rPr>
                <w:noProof w:val="0"/>
              </w:rPr>
            </w:pPr>
            <w:r w:rsidRPr="00D9348B">
              <w:rPr>
                <w:noProof w:val="0"/>
              </w:rPr>
              <w:t>1961</w:t>
            </w:r>
          </w:p>
        </w:tc>
        <w:tc>
          <w:tcPr>
            <w:tcW w:w="1942" w:type="dxa"/>
            <w:tcBorders>
              <w:top w:val="single" w:sz="4" w:space="0" w:color="365F91"/>
              <w:left w:val="nil"/>
              <w:bottom w:val="single" w:sz="4" w:space="0" w:color="365F91"/>
              <w:right w:val="nil"/>
            </w:tcBorders>
            <w:hideMark/>
          </w:tcPr>
          <w:p w14:paraId="14476E9B" w14:textId="77777777" w:rsidR="00524720" w:rsidRPr="00D9348B" w:rsidRDefault="00524720" w:rsidP="00191C16">
            <w:pPr>
              <w:pStyle w:val="TableText"/>
              <w:spacing w:before="50" w:after="40"/>
              <w:jc w:val="center"/>
            </w:pPr>
            <w:r w:rsidRPr="00D9348B">
              <w:t>181.7</w:t>
            </w:r>
          </w:p>
        </w:tc>
        <w:tc>
          <w:tcPr>
            <w:tcW w:w="2168" w:type="dxa"/>
            <w:tcBorders>
              <w:top w:val="single" w:sz="4" w:space="0" w:color="365F91"/>
              <w:left w:val="nil"/>
              <w:bottom w:val="single" w:sz="4" w:space="0" w:color="365F91"/>
              <w:right w:val="nil"/>
            </w:tcBorders>
            <w:hideMark/>
          </w:tcPr>
          <w:p w14:paraId="136AE5CF" w14:textId="77777777" w:rsidR="00524720" w:rsidRPr="00D9348B" w:rsidRDefault="00524720" w:rsidP="00191C16">
            <w:pPr>
              <w:pStyle w:val="TableText"/>
              <w:spacing w:before="50" w:after="40"/>
              <w:jc w:val="center"/>
            </w:pPr>
            <w:r w:rsidRPr="00D9348B">
              <w:t>438.5</w:t>
            </w:r>
          </w:p>
        </w:tc>
        <w:tc>
          <w:tcPr>
            <w:tcW w:w="1843" w:type="dxa"/>
            <w:tcBorders>
              <w:top w:val="single" w:sz="4" w:space="0" w:color="365F91"/>
              <w:left w:val="nil"/>
              <w:bottom w:val="single" w:sz="4" w:space="0" w:color="365F91"/>
              <w:right w:val="nil"/>
            </w:tcBorders>
            <w:hideMark/>
          </w:tcPr>
          <w:p w14:paraId="06FF0434" w14:textId="77777777" w:rsidR="00524720" w:rsidRPr="00D9348B" w:rsidRDefault="00524720" w:rsidP="00191C16">
            <w:pPr>
              <w:pStyle w:val="TableText"/>
              <w:spacing w:before="50" w:after="40"/>
              <w:jc w:val="center"/>
            </w:pPr>
            <w:r w:rsidRPr="00D9348B">
              <w:t>48.7</w:t>
            </w:r>
          </w:p>
        </w:tc>
        <w:tc>
          <w:tcPr>
            <w:tcW w:w="1559" w:type="dxa"/>
            <w:tcBorders>
              <w:top w:val="single" w:sz="4" w:space="0" w:color="365F91"/>
              <w:left w:val="nil"/>
              <w:bottom w:val="single" w:sz="4" w:space="0" w:color="365F91"/>
              <w:right w:val="nil"/>
            </w:tcBorders>
            <w:hideMark/>
          </w:tcPr>
          <w:p w14:paraId="0050F5BE" w14:textId="77777777" w:rsidR="00524720" w:rsidRPr="00D9348B" w:rsidRDefault="00524720" w:rsidP="00191C16">
            <w:pPr>
              <w:pStyle w:val="TableText"/>
              <w:spacing w:before="50" w:after="40"/>
              <w:jc w:val="center"/>
            </w:pPr>
            <w:r w:rsidRPr="00D9348B">
              <w:t>668.9</w:t>
            </w:r>
          </w:p>
        </w:tc>
      </w:tr>
      <w:tr w:rsidR="00524720" w:rsidRPr="00D9348B" w14:paraId="42C4DD60" w14:textId="77777777" w:rsidTr="002D60CB">
        <w:tc>
          <w:tcPr>
            <w:tcW w:w="993" w:type="dxa"/>
            <w:tcBorders>
              <w:top w:val="single" w:sz="4" w:space="0" w:color="365F91"/>
              <w:left w:val="nil"/>
              <w:bottom w:val="single" w:sz="4" w:space="0" w:color="365F91"/>
              <w:right w:val="nil"/>
            </w:tcBorders>
            <w:hideMark/>
          </w:tcPr>
          <w:p w14:paraId="64D4DBC2" w14:textId="77777777" w:rsidR="00524720" w:rsidRPr="00D9348B" w:rsidRDefault="00524720" w:rsidP="00191C16">
            <w:pPr>
              <w:pStyle w:val="TableTextBold"/>
              <w:spacing w:before="50" w:after="40"/>
              <w:rPr>
                <w:noProof w:val="0"/>
              </w:rPr>
            </w:pPr>
            <w:r w:rsidRPr="00D9348B">
              <w:rPr>
                <w:noProof w:val="0"/>
              </w:rPr>
              <w:t>1962</w:t>
            </w:r>
          </w:p>
        </w:tc>
        <w:tc>
          <w:tcPr>
            <w:tcW w:w="1942" w:type="dxa"/>
            <w:tcBorders>
              <w:top w:val="single" w:sz="4" w:space="0" w:color="365F91"/>
              <w:left w:val="nil"/>
              <w:bottom w:val="single" w:sz="4" w:space="0" w:color="365F91"/>
              <w:right w:val="nil"/>
            </w:tcBorders>
            <w:hideMark/>
          </w:tcPr>
          <w:p w14:paraId="54FF8EF2" w14:textId="77777777" w:rsidR="00524720" w:rsidRPr="00D9348B" w:rsidRDefault="00524720" w:rsidP="00191C16">
            <w:pPr>
              <w:pStyle w:val="TableText"/>
              <w:spacing w:before="50" w:after="40"/>
              <w:jc w:val="center"/>
            </w:pPr>
            <w:r w:rsidRPr="00D9348B">
              <w:t>181.7</w:t>
            </w:r>
          </w:p>
        </w:tc>
        <w:tc>
          <w:tcPr>
            <w:tcW w:w="2168" w:type="dxa"/>
            <w:tcBorders>
              <w:top w:val="single" w:sz="4" w:space="0" w:color="365F91"/>
              <w:left w:val="nil"/>
              <w:bottom w:val="single" w:sz="4" w:space="0" w:color="365F91"/>
              <w:right w:val="nil"/>
            </w:tcBorders>
            <w:hideMark/>
          </w:tcPr>
          <w:p w14:paraId="6B1BC236" w14:textId="77777777" w:rsidR="00524720" w:rsidRPr="00D9348B" w:rsidRDefault="00524720" w:rsidP="00191C16">
            <w:pPr>
              <w:pStyle w:val="TableText"/>
              <w:spacing w:before="50" w:after="40"/>
              <w:jc w:val="center"/>
            </w:pPr>
            <w:r w:rsidRPr="00D9348B">
              <w:t>447.2</w:t>
            </w:r>
          </w:p>
        </w:tc>
        <w:tc>
          <w:tcPr>
            <w:tcW w:w="1843" w:type="dxa"/>
            <w:tcBorders>
              <w:top w:val="single" w:sz="4" w:space="0" w:color="365F91"/>
              <w:left w:val="nil"/>
              <w:bottom w:val="single" w:sz="4" w:space="0" w:color="365F91"/>
              <w:right w:val="nil"/>
            </w:tcBorders>
            <w:hideMark/>
          </w:tcPr>
          <w:p w14:paraId="22F68BD4" w14:textId="77777777" w:rsidR="00524720" w:rsidRPr="00D9348B" w:rsidRDefault="00524720" w:rsidP="00191C16">
            <w:pPr>
              <w:pStyle w:val="TableText"/>
              <w:spacing w:before="50" w:after="40"/>
              <w:jc w:val="center"/>
            </w:pPr>
            <w:r w:rsidRPr="00D9348B">
              <w:t>49.7</w:t>
            </w:r>
          </w:p>
        </w:tc>
        <w:tc>
          <w:tcPr>
            <w:tcW w:w="1559" w:type="dxa"/>
            <w:tcBorders>
              <w:top w:val="single" w:sz="4" w:space="0" w:color="365F91"/>
              <w:left w:val="nil"/>
              <w:bottom w:val="single" w:sz="4" w:space="0" w:color="365F91"/>
              <w:right w:val="nil"/>
            </w:tcBorders>
            <w:hideMark/>
          </w:tcPr>
          <w:p w14:paraId="675F0161" w14:textId="375B53BA" w:rsidR="00524720" w:rsidRPr="00D9348B" w:rsidRDefault="00524720" w:rsidP="00191C16">
            <w:pPr>
              <w:pStyle w:val="TableText"/>
              <w:spacing w:before="50" w:after="40"/>
              <w:jc w:val="center"/>
            </w:pPr>
            <w:r w:rsidRPr="00D9348B">
              <w:t>678.</w:t>
            </w:r>
            <w:r w:rsidR="00CC6894">
              <w:t>6</w:t>
            </w:r>
          </w:p>
        </w:tc>
      </w:tr>
      <w:tr w:rsidR="00524720" w:rsidRPr="00D9348B" w14:paraId="442F8697" w14:textId="77777777" w:rsidTr="002D60CB">
        <w:tc>
          <w:tcPr>
            <w:tcW w:w="993" w:type="dxa"/>
            <w:tcBorders>
              <w:top w:val="single" w:sz="4" w:space="0" w:color="365F91"/>
              <w:left w:val="nil"/>
              <w:bottom w:val="single" w:sz="4" w:space="0" w:color="365F91"/>
              <w:right w:val="nil"/>
            </w:tcBorders>
            <w:hideMark/>
          </w:tcPr>
          <w:p w14:paraId="156D7E60" w14:textId="77777777" w:rsidR="00524720" w:rsidRPr="00D9348B" w:rsidRDefault="00524720" w:rsidP="00191C16">
            <w:pPr>
              <w:pStyle w:val="TableTextBold"/>
              <w:spacing w:before="50" w:after="40"/>
              <w:rPr>
                <w:noProof w:val="0"/>
              </w:rPr>
            </w:pPr>
            <w:r w:rsidRPr="00D9348B">
              <w:rPr>
                <w:noProof w:val="0"/>
              </w:rPr>
              <w:t>1963</w:t>
            </w:r>
          </w:p>
        </w:tc>
        <w:tc>
          <w:tcPr>
            <w:tcW w:w="1942" w:type="dxa"/>
            <w:tcBorders>
              <w:top w:val="single" w:sz="4" w:space="0" w:color="365F91"/>
              <w:left w:val="nil"/>
              <w:bottom w:val="single" w:sz="4" w:space="0" w:color="365F91"/>
              <w:right w:val="nil"/>
            </w:tcBorders>
            <w:hideMark/>
          </w:tcPr>
          <w:p w14:paraId="2495DBD4" w14:textId="77777777" w:rsidR="00524720" w:rsidRPr="00D9348B" w:rsidRDefault="00524720" w:rsidP="00191C16">
            <w:pPr>
              <w:pStyle w:val="TableText"/>
              <w:spacing w:before="50" w:after="40"/>
              <w:jc w:val="center"/>
            </w:pPr>
            <w:r w:rsidRPr="00D9348B">
              <w:t>447.9</w:t>
            </w:r>
          </w:p>
        </w:tc>
        <w:tc>
          <w:tcPr>
            <w:tcW w:w="2168" w:type="dxa"/>
            <w:tcBorders>
              <w:top w:val="single" w:sz="4" w:space="0" w:color="365F91"/>
              <w:left w:val="nil"/>
              <w:bottom w:val="single" w:sz="4" w:space="0" w:color="365F91"/>
              <w:right w:val="nil"/>
            </w:tcBorders>
            <w:hideMark/>
          </w:tcPr>
          <w:p w14:paraId="241F1B46" w14:textId="77777777" w:rsidR="00524720" w:rsidRPr="00D9348B" w:rsidRDefault="00524720" w:rsidP="00191C16">
            <w:pPr>
              <w:pStyle w:val="TableText"/>
              <w:spacing w:before="50" w:after="40"/>
              <w:jc w:val="center"/>
            </w:pPr>
            <w:r w:rsidRPr="00D9348B">
              <w:t>297.3</w:t>
            </w:r>
          </w:p>
        </w:tc>
        <w:tc>
          <w:tcPr>
            <w:tcW w:w="1843" w:type="dxa"/>
            <w:tcBorders>
              <w:top w:val="single" w:sz="4" w:space="0" w:color="365F91"/>
              <w:left w:val="nil"/>
              <w:bottom w:val="single" w:sz="4" w:space="0" w:color="365F91"/>
              <w:right w:val="nil"/>
            </w:tcBorders>
            <w:hideMark/>
          </w:tcPr>
          <w:p w14:paraId="58661C4D" w14:textId="77777777" w:rsidR="00524720" w:rsidRPr="00D9348B" w:rsidRDefault="00524720" w:rsidP="00191C16">
            <w:pPr>
              <w:pStyle w:val="TableText"/>
              <w:spacing w:before="50" w:after="40"/>
              <w:jc w:val="center"/>
            </w:pPr>
            <w:r w:rsidRPr="00D9348B">
              <w:t>33</w:t>
            </w:r>
          </w:p>
        </w:tc>
        <w:tc>
          <w:tcPr>
            <w:tcW w:w="1559" w:type="dxa"/>
            <w:tcBorders>
              <w:top w:val="single" w:sz="4" w:space="0" w:color="365F91"/>
              <w:left w:val="nil"/>
              <w:bottom w:val="single" w:sz="4" w:space="0" w:color="365F91"/>
              <w:right w:val="nil"/>
            </w:tcBorders>
            <w:hideMark/>
          </w:tcPr>
          <w:p w14:paraId="6058A7F0" w14:textId="77777777" w:rsidR="00524720" w:rsidRPr="00D9348B" w:rsidRDefault="00524720" w:rsidP="00191C16">
            <w:pPr>
              <w:pStyle w:val="TableText"/>
              <w:spacing w:before="50" w:after="40"/>
              <w:jc w:val="center"/>
            </w:pPr>
            <w:r w:rsidRPr="00D9348B">
              <w:t>778.2</w:t>
            </w:r>
          </w:p>
        </w:tc>
      </w:tr>
      <w:tr w:rsidR="00524720" w:rsidRPr="00D9348B" w14:paraId="3DE54B1D" w14:textId="77777777" w:rsidTr="002D60CB">
        <w:tc>
          <w:tcPr>
            <w:tcW w:w="993" w:type="dxa"/>
            <w:tcBorders>
              <w:top w:val="single" w:sz="4" w:space="0" w:color="365F91"/>
              <w:left w:val="nil"/>
              <w:bottom w:val="single" w:sz="4" w:space="0" w:color="365F91"/>
              <w:right w:val="nil"/>
            </w:tcBorders>
            <w:hideMark/>
          </w:tcPr>
          <w:p w14:paraId="6E4B37FA" w14:textId="77777777" w:rsidR="00524720" w:rsidRPr="00D9348B" w:rsidRDefault="00524720" w:rsidP="00191C16">
            <w:pPr>
              <w:pStyle w:val="TableTextBold"/>
              <w:spacing w:before="50" w:after="40"/>
              <w:rPr>
                <w:noProof w:val="0"/>
              </w:rPr>
            </w:pPr>
            <w:r w:rsidRPr="00D9348B">
              <w:rPr>
                <w:noProof w:val="0"/>
              </w:rPr>
              <w:t>1964</w:t>
            </w:r>
          </w:p>
        </w:tc>
        <w:tc>
          <w:tcPr>
            <w:tcW w:w="1942" w:type="dxa"/>
            <w:tcBorders>
              <w:top w:val="single" w:sz="4" w:space="0" w:color="365F91"/>
              <w:left w:val="nil"/>
              <w:bottom w:val="single" w:sz="4" w:space="0" w:color="365F91"/>
              <w:right w:val="nil"/>
            </w:tcBorders>
            <w:hideMark/>
          </w:tcPr>
          <w:p w14:paraId="56AF6BF4" w14:textId="77777777" w:rsidR="00524720" w:rsidRPr="00D9348B" w:rsidRDefault="00524720" w:rsidP="00191C16">
            <w:pPr>
              <w:pStyle w:val="TableText"/>
              <w:spacing w:before="50" w:after="40"/>
              <w:jc w:val="center"/>
            </w:pPr>
            <w:r w:rsidRPr="00D9348B">
              <w:t>447.9</w:t>
            </w:r>
          </w:p>
        </w:tc>
        <w:tc>
          <w:tcPr>
            <w:tcW w:w="2168" w:type="dxa"/>
            <w:tcBorders>
              <w:top w:val="single" w:sz="4" w:space="0" w:color="365F91"/>
              <w:left w:val="nil"/>
              <w:bottom w:val="single" w:sz="4" w:space="0" w:color="365F91"/>
              <w:right w:val="nil"/>
            </w:tcBorders>
            <w:hideMark/>
          </w:tcPr>
          <w:p w14:paraId="22CD4C7B" w14:textId="77777777" w:rsidR="00524720" w:rsidRPr="00D9348B" w:rsidRDefault="00524720" w:rsidP="00191C16">
            <w:pPr>
              <w:pStyle w:val="TableText"/>
              <w:spacing w:before="50" w:after="40"/>
              <w:jc w:val="center"/>
            </w:pPr>
            <w:r w:rsidRPr="00D9348B">
              <w:t>369.1</w:t>
            </w:r>
          </w:p>
        </w:tc>
        <w:tc>
          <w:tcPr>
            <w:tcW w:w="1843" w:type="dxa"/>
            <w:tcBorders>
              <w:top w:val="single" w:sz="4" w:space="0" w:color="365F91"/>
              <w:left w:val="nil"/>
              <w:bottom w:val="single" w:sz="4" w:space="0" w:color="365F91"/>
              <w:right w:val="nil"/>
            </w:tcBorders>
            <w:hideMark/>
          </w:tcPr>
          <w:p w14:paraId="38FBC02F" w14:textId="77777777" w:rsidR="00524720" w:rsidRPr="00D9348B" w:rsidRDefault="00524720" w:rsidP="00191C16">
            <w:pPr>
              <w:pStyle w:val="TableText"/>
              <w:spacing w:before="50" w:after="40"/>
              <w:jc w:val="center"/>
            </w:pPr>
            <w:r w:rsidRPr="00D9348B">
              <w:t>41</w:t>
            </w:r>
          </w:p>
        </w:tc>
        <w:tc>
          <w:tcPr>
            <w:tcW w:w="1559" w:type="dxa"/>
            <w:tcBorders>
              <w:top w:val="single" w:sz="4" w:space="0" w:color="365F91"/>
              <w:left w:val="nil"/>
              <w:bottom w:val="single" w:sz="4" w:space="0" w:color="365F91"/>
              <w:right w:val="nil"/>
            </w:tcBorders>
            <w:hideMark/>
          </w:tcPr>
          <w:p w14:paraId="2D089913" w14:textId="77777777" w:rsidR="00524720" w:rsidRPr="00D9348B" w:rsidRDefault="00524720" w:rsidP="00191C16">
            <w:pPr>
              <w:pStyle w:val="TableText"/>
              <w:spacing w:before="50" w:after="40"/>
              <w:jc w:val="center"/>
            </w:pPr>
            <w:r w:rsidRPr="00D9348B">
              <w:t>858.0</w:t>
            </w:r>
          </w:p>
        </w:tc>
      </w:tr>
      <w:tr w:rsidR="00524720" w:rsidRPr="00D9348B" w14:paraId="51DD30C0" w14:textId="77777777" w:rsidTr="002D60CB">
        <w:tc>
          <w:tcPr>
            <w:tcW w:w="993" w:type="dxa"/>
            <w:tcBorders>
              <w:top w:val="single" w:sz="4" w:space="0" w:color="365F91"/>
              <w:left w:val="nil"/>
              <w:bottom w:val="single" w:sz="4" w:space="0" w:color="365F91"/>
              <w:right w:val="nil"/>
            </w:tcBorders>
            <w:hideMark/>
          </w:tcPr>
          <w:p w14:paraId="207F6FE1" w14:textId="77777777" w:rsidR="00524720" w:rsidRPr="00D9348B" w:rsidRDefault="00524720" w:rsidP="00191C16">
            <w:pPr>
              <w:pStyle w:val="TableTextBold"/>
              <w:spacing w:before="50" w:after="40"/>
              <w:rPr>
                <w:noProof w:val="0"/>
              </w:rPr>
            </w:pPr>
            <w:r w:rsidRPr="00D9348B">
              <w:rPr>
                <w:noProof w:val="0"/>
              </w:rPr>
              <w:t>1965</w:t>
            </w:r>
          </w:p>
        </w:tc>
        <w:tc>
          <w:tcPr>
            <w:tcW w:w="1942" w:type="dxa"/>
            <w:tcBorders>
              <w:top w:val="single" w:sz="4" w:space="0" w:color="365F91"/>
              <w:left w:val="nil"/>
              <w:bottom w:val="single" w:sz="4" w:space="0" w:color="365F91"/>
              <w:right w:val="nil"/>
            </w:tcBorders>
            <w:hideMark/>
          </w:tcPr>
          <w:p w14:paraId="53F3C422" w14:textId="77777777" w:rsidR="00524720" w:rsidRPr="00D9348B" w:rsidRDefault="00524720" w:rsidP="00191C16">
            <w:pPr>
              <w:pStyle w:val="TableText"/>
              <w:spacing w:before="50" w:after="40"/>
              <w:jc w:val="center"/>
            </w:pPr>
            <w:r w:rsidRPr="00D9348B">
              <w:t>447.9</w:t>
            </w:r>
          </w:p>
        </w:tc>
        <w:tc>
          <w:tcPr>
            <w:tcW w:w="2168" w:type="dxa"/>
            <w:tcBorders>
              <w:top w:val="single" w:sz="4" w:space="0" w:color="365F91"/>
              <w:left w:val="nil"/>
              <w:bottom w:val="single" w:sz="4" w:space="0" w:color="365F91"/>
              <w:right w:val="nil"/>
            </w:tcBorders>
            <w:hideMark/>
          </w:tcPr>
          <w:p w14:paraId="49B82B6F" w14:textId="77777777" w:rsidR="00524720" w:rsidRPr="00D9348B" w:rsidRDefault="00524720" w:rsidP="00191C16">
            <w:pPr>
              <w:pStyle w:val="TableText"/>
              <w:spacing w:before="50" w:after="40"/>
              <w:jc w:val="center"/>
            </w:pPr>
            <w:r w:rsidRPr="00D9348B">
              <w:t>477.2</w:t>
            </w:r>
          </w:p>
        </w:tc>
        <w:tc>
          <w:tcPr>
            <w:tcW w:w="1843" w:type="dxa"/>
            <w:tcBorders>
              <w:top w:val="single" w:sz="4" w:space="0" w:color="365F91"/>
              <w:left w:val="nil"/>
              <w:bottom w:val="single" w:sz="4" w:space="0" w:color="365F91"/>
              <w:right w:val="nil"/>
            </w:tcBorders>
            <w:hideMark/>
          </w:tcPr>
          <w:p w14:paraId="39672E6C" w14:textId="77777777" w:rsidR="00524720" w:rsidRPr="00D9348B" w:rsidRDefault="00524720" w:rsidP="00191C16">
            <w:pPr>
              <w:pStyle w:val="TableText"/>
              <w:spacing w:before="50" w:after="40"/>
              <w:jc w:val="center"/>
            </w:pPr>
            <w:r w:rsidRPr="00D9348B">
              <w:t>53</w:t>
            </w:r>
          </w:p>
        </w:tc>
        <w:tc>
          <w:tcPr>
            <w:tcW w:w="1559" w:type="dxa"/>
            <w:tcBorders>
              <w:top w:val="single" w:sz="4" w:space="0" w:color="365F91"/>
              <w:left w:val="nil"/>
              <w:bottom w:val="single" w:sz="4" w:space="0" w:color="365F91"/>
              <w:right w:val="nil"/>
            </w:tcBorders>
            <w:hideMark/>
          </w:tcPr>
          <w:p w14:paraId="466CAAB1" w14:textId="77777777" w:rsidR="00524720" w:rsidRPr="00D9348B" w:rsidRDefault="00524720" w:rsidP="00191C16">
            <w:pPr>
              <w:pStyle w:val="TableText"/>
              <w:spacing w:before="50" w:after="40"/>
              <w:jc w:val="center"/>
            </w:pPr>
            <w:r w:rsidRPr="00D9348B">
              <w:t>978.1</w:t>
            </w:r>
          </w:p>
        </w:tc>
      </w:tr>
      <w:tr w:rsidR="00524720" w:rsidRPr="00D9348B" w14:paraId="03AAFBE2" w14:textId="77777777" w:rsidTr="002D60CB">
        <w:tc>
          <w:tcPr>
            <w:tcW w:w="993" w:type="dxa"/>
            <w:tcBorders>
              <w:top w:val="single" w:sz="4" w:space="0" w:color="365F91"/>
              <w:left w:val="nil"/>
              <w:bottom w:val="single" w:sz="4" w:space="0" w:color="365F91"/>
              <w:right w:val="nil"/>
            </w:tcBorders>
            <w:hideMark/>
          </w:tcPr>
          <w:p w14:paraId="2DA41788" w14:textId="77777777" w:rsidR="00524720" w:rsidRPr="00D9348B" w:rsidRDefault="00524720" w:rsidP="00191C16">
            <w:pPr>
              <w:pStyle w:val="TableTextBold"/>
              <w:spacing w:before="50" w:after="40"/>
              <w:rPr>
                <w:noProof w:val="0"/>
              </w:rPr>
            </w:pPr>
            <w:r w:rsidRPr="00D9348B">
              <w:rPr>
                <w:noProof w:val="0"/>
              </w:rPr>
              <w:t>1966</w:t>
            </w:r>
          </w:p>
        </w:tc>
        <w:tc>
          <w:tcPr>
            <w:tcW w:w="1942" w:type="dxa"/>
            <w:tcBorders>
              <w:top w:val="single" w:sz="4" w:space="0" w:color="365F91"/>
              <w:left w:val="nil"/>
              <w:bottom w:val="single" w:sz="4" w:space="0" w:color="365F91"/>
              <w:right w:val="nil"/>
            </w:tcBorders>
            <w:hideMark/>
          </w:tcPr>
          <w:p w14:paraId="0B2797D3" w14:textId="77777777" w:rsidR="00524720" w:rsidRPr="00D9348B" w:rsidRDefault="00524720" w:rsidP="00191C16">
            <w:pPr>
              <w:pStyle w:val="TableText"/>
              <w:spacing w:before="50" w:after="40"/>
              <w:jc w:val="center"/>
            </w:pPr>
            <w:r w:rsidRPr="00D9348B">
              <w:t>447.9</w:t>
            </w:r>
          </w:p>
        </w:tc>
        <w:tc>
          <w:tcPr>
            <w:tcW w:w="2168" w:type="dxa"/>
            <w:tcBorders>
              <w:top w:val="single" w:sz="4" w:space="0" w:color="365F91"/>
              <w:left w:val="nil"/>
              <w:bottom w:val="single" w:sz="4" w:space="0" w:color="365F91"/>
              <w:right w:val="nil"/>
            </w:tcBorders>
            <w:hideMark/>
          </w:tcPr>
          <w:p w14:paraId="08F81DD9" w14:textId="77777777" w:rsidR="00524720" w:rsidRPr="00D9348B" w:rsidRDefault="00524720" w:rsidP="00191C16">
            <w:pPr>
              <w:pStyle w:val="TableText"/>
              <w:spacing w:before="50" w:after="40"/>
              <w:jc w:val="center"/>
            </w:pPr>
            <w:r w:rsidRPr="00D9348B">
              <w:t>566.8</w:t>
            </w:r>
          </w:p>
        </w:tc>
        <w:tc>
          <w:tcPr>
            <w:tcW w:w="1843" w:type="dxa"/>
            <w:tcBorders>
              <w:top w:val="single" w:sz="4" w:space="0" w:color="365F91"/>
              <w:left w:val="nil"/>
              <w:bottom w:val="single" w:sz="4" w:space="0" w:color="365F91"/>
              <w:right w:val="nil"/>
            </w:tcBorders>
            <w:hideMark/>
          </w:tcPr>
          <w:p w14:paraId="319DB70B" w14:textId="77777777" w:rsidR="00524720" w:rsidRPr="00D9348B" w:rsidRDefault="00524720" w:rsidP="00191C16">
            <w:pPr>
              <w:pStyle w:val="TableText"/>
              <w:spacing w:before="50" w:after="40"/>
              <w:jc w:val="center"/>
            </w:pPr>
            <w:r w:rsidRPr="00D9348B">
              <w:t>63</w:t>
            </w:r>
          </w:p>
        </w:tc>
        <w:tc>
          <w:tcPr>
            <w:tcW w:w="1559" w:type="dxa"/>
            <w:tcBorders>
              <w:top w:val="single" w:sz="4" w:space="0" w:color="365F91"/>
              <w:left w:val="nil"/>
              <w:bottom w:val="single" w:sz="4" w:space="0" w:color="365F91"/>
              <w:right w:val="nil"/>
            </w:tcBorders>
            <w:hideMark/>
          </w:tcPr>
          <w:p w14:paraId="0A83F718" w14:textId="77777777" w:rsidR="00524720" w:rsidRPr="00D9348B" w:rsidRDefault="00524720" w:rsidP="00191C16">
            <w:pPr>
              <w:pStyle w:val="TableText"/>
              <w:spacing w:before="50" w:after="40"/>
              <w:jc w:val="center"/>
            </w:pPr>
            <w:r w:rsidRPr="00D9348B">
              <w:t>1,077.6</w:t>
            </w:r>
          </w:p>
        </w:tc>
      </w:tr>
      <w:tr w:rsidR="00524720" w:rsidRPr="00D9348B" w14:paraId="791C04CD" w14:textId="77777777" w:rsidTr="002D60CB">
        <w:tc>
          <w:tcPr>
            <w:tcW w:w="993" w:type="dxa"/>
            <w:tcBorders>
              <w:top w:val="single" w:sz="4" w:space="0" w:color="365F91"/>
              <w:left w:val="nil"/>
              <w:bottom w:val="single" w:sz="4" w:space="0" w:color="365F91"/>
              <w:right w:val="nil"/>
            </w:tcBorders>
            <w:hideMark/>
          </w:tcPr>
          <w:p w14:paraId="518DCE5D" w14:textId="77777777" w:rsidR="00524720" w:rsidRPr="00D9348B" w:rsidRDefault="00524720" w:rsidP="00191C16">
            <w:pPr>
              <w:pStyle w:val="TableTextBold"/>
              <w:spacing w:before="50" w:after="40"/>
              <w:rPr>
                <w:noProof w:val="0"/>
              </w:rPr>
            </w:pPr>
            <w:r w:rsidRPr="00D9348B">
              <w:rPr>
                <w:noProof w:val="0"/>
              </w:rPr>
              <w:t>1967</w:t>
            </w:r>
          </w:p>
        </w:tc>
        <w:tc>
          <w:tcPr>
            <w:tcW w:w="1942" w:type="dxa"/>
            <w:tcBorders>
              <w:top w:val="single" w:sz="4" w:space="0" w:color="365F91"/>
              <w:left w:val="nil"/>
              <w:bottom w:val="single" w:sz="4" w:space="0" w:color="365F91"/>
              <w:right w:val="nil"/>
            </w:tcBorders>
            <w:hideMark/>
          </w:tcPr>
          <w:p w14:paraId="4832A7A4" w14:textId="77777777" w:rsidR="00524720" w:rsidRPr="00D9348B" w:rsidRDefault="00524720" w:rsidP="00191C16">
            <w:pPr>
              <w:pStyle w:val="TableText"/>
              <w:spacing w:before="50" w:after="40"/>
              <w:jc w:val="center"/>
            </w:pPr>
            <w:r w:rsidRPr="00D9348B">
              <w:t>495.8</w:t>
            </w:r>
          </w:p>
        </w:tc>
        <w:tc>
          <w:tcPr>
            <w:tcW w:w="2168" w:type="dxa"/>
            <w:tcBorders>
              <w:top w:val="single" w:sz="4" w:space="0" w:color="365F91"/>
              <w:left w:val="nil"/>
              <w:bottom w:val="single" w:sz="4" w:space="0" w:color="365F91"/>
              <w:right w:val="nil"/>
            </w:tcBorders>
            <w:hideMark/>
          </w:tcPr>
          <w:p w14:paraId="5A5620F5" w14:textId="77777777" w:rsidR="00524720" w:rsidRPr="00D9348B" w:rsidRDefault="00524720" w:rsidP="00191C16">
            <w:pPr>
              <w:pStyle w:val="TableText"/>
              <w:spacing w:before="50" w:after="40"/>
              <w:jc w:val="center"/>
            </w:pPr>
            <w:r w:rsidRPr="00D9348B">
              <w:t>486.0</w:t>
            </w:r>
          </w:p>
        </w:tc>
        <w:tc>
          <w:tcPr>
            <w:tcW w:w="1843" w:type="dxa"/>
            <w:tcBorders>
              <w:top w:val="single" w:sz="4" w:space="0" w:color="365F91"/>
              <w:left w:val="nil"/>
              <w:bottom w:val="single" w:sz="4" w:space="0" w:color="365F91"/>
              <w:right w:val="nil"/>
            </w:tcBorders>
            <w:hideMark/>
          </w:tcPr>
          <w:p w14:paraId="353B43CD" w14:textId="77777777" w:rsidR="00524720" w:rsidRPr="00D9348B" w:rsidRDefault="00524720" w:rsidP="00191C16">
            <w:pPr>
              <w:pStyle w:val="TableText"/>
              <w:spacing w:before="50" w:after="40"/>
              <w:jc w:val="center"/>
            </w:pPr>
            <w:r w:rsidRPr="00D9348B">
              <w:t>54</w:t>
            </w:r>
          </w:p>
        </w:tc>
        <w:tc>
          <w:tcPr>
            <w:tcW w:w="1559" w:type="dxa"/>
            <w:tcBorders>
              <w:top w:val="single" w:sz="4" w:space="0" w:color="365F91"/>
              <w:left w:val="nil"/>
              <w:bottom w:val="single" w:sz="4" w:space="0" w:color="365F91"/>
              <w:right w:val="nil"/>
            </w:tcBorders>
            <w:hideMark/>
          </w:tcPr>
          <w:p w14:paraId="3DA4DF6C" w14:textId="77777777" w:rsidR="00524720" w:rsidRPr="00D9348B" w:rsidRDefault="00524720" w:rsidP="00191C16">
            <w:pPr>
              <w:pStyle w:val="TableText"/>
              <w:spacing w:before="50" w:after="40"/>
              <w:jc w:val="center"/>
            </w:pPr>
            <w:r w:rsidRPr="00D9348B">
              <w:t>1,035.8</w:t>
            </w:r>
          </w:p>
        </w:tc>
      </w:tr>
      <w:tr w:rsidR="00524720" w:rsidRPr="00D9348B" w14:paraId="1702AE7E" w14:textId="77777777" w:rsidTr="002D60CB">
        <w:tc>
          <w:tcPr>
            <w:tcW w:w="993" w:type="dxa"/>
            <w:tcBorders>
              <w:top w:val="single" w:sz="4" w:space="0" w:color="365F91"/>
              <w:left w:val="nil"/>
              <w:bottom w:val="single" w:sz="4" w:space="0" w:color="365F91"/>
              <w:right w:val="nil"/>
            </w:tcBorders>
            <w:hideMark/>
          </w:tcPr>
          <w:p w14:paraId="42F1331E" w14:textId="77777777" w:rsidR="00524720" w:rsidRPr="00D9348B" w:rsidRDefault="00524720" w:rsidP="00191C16">
            <w:pPr>
              <w:pStyle w:val="TableTextBold"/>
              <w:spacing w:before="50" w:after="40"/>
              <w:rPr>
                <w:noProof w:val="0"/>
              </w:rPr>
            </w:pPr>
            <w:r w:rsidRPr="00D9348B">
              <w:rPr>
                <w:noProof w:val="0"/>
              </w:rPr>
              <w:t>1968</w:t>
            </w:r>
          </w:p>
        </w:tc>
        <w:tc>
          <w:tcPr>
            <w:tcW w:w="1942" w:type="dxa"/>
            <w:tcBorders>
              <w:top w:val="single" w:sz="4" w:space="0" w:color="365F91"/>
              <w:left w:val="nil"/>
              <w:bottom w:val="single" w:sz="4" w:space="0" w:color="365F91"/>
              <w:right w:val="nil"/>
            </w:tcBorders>
            <w:hideMark/>
          </w:tcPr>
          <w:p w14:paraId="3A42EF79" w14:textId="77777777" w:rsidR="00524720" w:rsidRPr="00D9348B" w:rsidRDefault="00524720" w:rsidP="00191C16">
            <w:pPr>
              <w:pStyle w:val="TableText"/>
              <w:spacing w:before="50" w:after="40"/>
              <w:jc w:val="center"/>
            </w:pPr>
            <w:r w:rsidRPr="00D9348B">
              <w:t>495.8</w:t>
            </w:r>
          </w:p>
        </w:tc>
        <w:tc>
          <w:tcPr>
            <w:tcW w:w="2168" w:type="dxa"/>
            <w:tcBorders>
              <w:top w:val="single" w:sz="4" w:space="0" w:color="365F91"/>
              <w:left w:val="nil"/>
              <w:bottom w:val="single" w:sz="4" w:space="0" w:color="365F91"/>
              <w:right w:val="nil"/>
            </w:tcBorders>
            <w:hideMark/>
          </w:tcPr>
          <w:p w14:paraId="34E9CC2D" w14:textId="77777777" w:rsidR="00524720" w:rsidRPr="00D9348B" w:rsidRDefault="00524720" w:rsidP="00191C16">
            <w:pPr>
              <w:pStyle w:val="TableText"/>
              <w:spacing w:before="50" w:after="40"/>
              <w:jc w:val="center"/>
            </w:pPr>
            <w:r w:rsidRPr="00D9348B">
              <w:t>485.2</w:t>
            </w:r>
          </w:p>
        </w:tc>
        <w:tc>
          <w:tcPr>
            <w:tcW w:w="1843" w:type="dxa"/>
            <w:tcBorders>
              <w:top w:val="single" w:sz="4" w:space="0" w:color="365F91"/>
              <w:left w:val="nil"/>
              <w:bottom w:val="single" w:sz="4" w:space="0" w:color="365F91"/>
              <w:right w:val="nil"/>
            </w:tcBorders>
            <w:hideMark/>
          </w:tcPr>
          <w:p w14:paraId="084A9E50" w14:textId="77777777" w:rsidR="00524720" w:rsidRPr="00D9348B" w:rsidRDefault="00524720" w:rsidP="00191C16">
            <w:pPr>
              <w:pStyle w:val="TableText"/>
              <w:spacing w:before="50" w:after="40"/>
              <w:jc w:val="center"/>
            </w:pPr>
            <w:r w:rsidRPr="00D9348B">
              <w:t>53.9</w:t>
            </w:r>
          </w:p>
        </w:tc>
        <w:tc>
          <w:tcPr>
            <w:tcW w:w="1559" w:type="dxa"/>
            <w:tcBorders>
              <w:top w:val="single" w:sz="4" w:space="0" w:color="365F91"/>
              <w:left w:val="nil"/>
              <w:bottom w:val="single" w:sz="4" w:space="0" w:color="365F91"/>
              <w:right w:val="nil"/>
            </w:tcBorders>
            <w:hideMark/>
          </w:tcPr>
          <w:p w14:paraId="31A80CE0" w14:textId="77777777" w:rsidR="00524720" w:rsidRPr="00D9348B" w:rsidRDefault="00524720" w:rsidP="00191C16">
            <w:pPr>
              <w:pStyle w:val="TableText"/>
              <w:spacing w:before="50" w:after="40"/>
              <w:jc w:val="center"/>
            </w:pPr>
            <w:r w:rsidRPr="00D9348B">
              <w:t>1,034.9</w:t>
            </w:r>
          </w:p>
        </w:tc>
      </w:tr>
      <w:tr w:rsidR="00524720" w:rsidRPr="00D9348B" w14:paraId="5B3AF1F1" w14:textId="77777777" w:rsidTr="002D60CB">
        <w:tc>
          <w:tcPr>
            <w:tcW w:w="993" w:type="dxa"/>
            <w:tcBorders>
              <w:top w:val="single" w:sz="4" w:space="0" w:color="365F91"/>
              <w:left w:val="nil"/>
              <w:bottom w:val="single" w:sz="4" w:space="0" w:color="365F91"/>
              <w:right w:val="nil"/>
            </w:tcBorders>
            <w:hideMark/>
          </w:tcPr>
          <w:p w14:paraId="5CECC554" w14:textId="77777777" w:rsidR="00524720" w:rsidRPr="00D9348B" w:rsidRDefault="00524720" w:rsidP="00191C16">
            <w:pPr>
              <w:pStyle w:val="TableTextBold"/>
              <w:spacing w:before="50" w:after="40"/>
              <w:rPr>
                <w:noProof w:val="0"/>
              </w:rPr>
            </w:pPr>
            <w:r w:rsidRPr="00D9348B">
              <w:rPr>
                <w:noProof w:val="0"/>
              </w:rPr>
              <w:t>1969</w:t>
            </w:r>
          </w:p>
        </w:tc>
        <w:tc>
          <w:tcPr>
            <w:tcW w:w="1942" w:type="dxa"/>
            <w:tcBorders>
              <w:top w:val="single" w:sz="4" w:space="0" w:color="365F91"/>
              <w:left w:val="nil"/>
              <w:bottom w:val="single" w:sz="4" w:space="0" w:color="365F91"/>
              <w:right w:val="nil"/>
            </w:tcBorders>
            <w:hideMark/>
          </w:tcPr>
          <w:p w14:paraId="025B1225" w14:textId="77777777" w:rsidR="00524720" w:rsidRPr="00D9348B" w:rsidRDefault="00524720" w:rsidP="00191C16">
            <w:pPr>
              <w:pStyle w:val="TableText"/>
              <w:spacing w:before="50" w:after="40"/>
              <w:jc w:val="center"/>
            </w:pPr>
            <w:r w:rsidRPr="00D9348B">
              <w:t>495.8</w:t>
            </w:r>
          </w:p>
        </w:tc>
        <w:tc>
          <w:tcPr>
            <w:tcW w:w="2168" w:type="dxa"/>
            <w:tcBorders>
              <w:top w:val="single" w:sz="4" w:space="0" w:color="365F91"/>
              <w:left w:val="nil"/>
              <w:bottom w:val="single" w:sz="4" w:space="0" w:color="365F91"/>
              <w:right w:val="nil"/>
            </w:tcBorders>
            <w:hideMark/>
          </w:tcPr>
          <w:p w14:paraId="7AD3B4C2" w14:textId="77777777" w:rsidR="00524720" w:rsidRPr="00D9348B" w:rsidRDefault="00524720" w:rsidP="00191C16">
            <w:pPr>
              <w:pStyle w:val="TableText"/>
              <w:spacing w:before="50" w:after="40"/>
              <w:jc w:val="center"/>
            </w:pPr>
            <w:r w:rsidRPr="00D9348B">
              <w:t>489.1</w:t>
            </w:r>
          </w:p>
        </w:tc>
        <w:tc>
          <w:tcPr>
            <w:tcW w:w="1843" w:type="dxa"/>
            <w:tcBorders>
              <w:top w:val="single" w:sz="4" w:space="0" w:color="365F91"/>
              <w:left w:val="nil"/>
              <w:bottom w:val="single" w:sz="4" w:space="0" w:color="365F91"/>
              <w:right w:val="nil"/>
            </w:tcBorders>
            <w:hideMark/>
          </w:tcPr>
          <w:p w14:paraId="26CA73D6" w14:textId="77777777" w:rsidR="00524720" w:rsidRPr="00D9348B" w:rsidRDefault="00524720" w:rsidP="00191C16">
            <w:pPr>
              <w:pStyle w:val="TableText"/>
              <w:spacing w:before="50" w:after="40"/>
              <w:jc w:val="center"/>
            </w:pPr>
            <w:r w:rsidRPr="00D9348B">
              <w:t>54.3</w:t>
            </w:r>
          </w:p>
        </w:tc>
        <w:tc>
          <w:tcPr>
            <w:tcW w:w="1559" w:type="dxa"/>
            <w:tcBorders>
              <w:top w:val="single" w:sz="4" w:space="0" w:color="365F91"/>
              <w:left w:val="nil"/>
              <w:bottom w:val="single" w:sz="4" w:space="0" w:color="365F91"/>
              <w:right w:val="nil"/>
            </w:tcBorders>
            <w:hideMark/>
          </w:tcPr>
          <w:p w14:paraId="3FCA9ECD" w14:textId="77777777" w:rsidR="00524720" w:rsidRPr="00D9348B" w:rsidRDefault="00524720" w:rsidP="00191C16">
            <w:pPr>
              <w:pStyle w:val="TableText"/>
              <w:spacing w:before="50" w:after="40"/>
              <w:jc w:val="center"/>
            </w:pPr>
            <w:r w:rsidRPr="00D9348B">
              <w:t>1,039.2</w:t>
            </w:r>
          </w:p>
        </w:tc>
      </w:tr>
      <w:tr w:rsidR="00524720" w:rsidRPr="00D9348B" w14:paraId="620291EE" w14:textId="77777777" w:rsidTr="002D60CB">
        <w:tc>
          <w:tcPr>
            <w:tcW w:w="993" w:type="dxa"/>
            <w:tcBorders>
              <w:top w:val="single" w:sz="4" w:space="0" w:color="365F91"/>
              <w:left w:val="nil"/>
              <w:bottom w:val="single" w:sz="4" w:space="0" w:color="365F91"/>
              <w:right w:val="nil"/>
            </w:tcBorders>
            <w:hideMark/>
          </w:tcPr>
          <w:p w14:paraId="7F6091B9" w14:textId="77777777" w:rsidR="00524720" w:rsidRPr="00D9348B" w:rsidRDefault="00524720" w:rsidP="00191C16">
            <w:pPr>
              <w:pStyle w:val="TableTextBold"/>
              <w:spacing w:before="50" w:after="40"/>
              <w:rPr>
                <w:noProof w:val="0"/>
              </w:rPr>
            </w:pPr>
            <w:r w:rsidRPr="00D9348B">
              <w:rPr>
                <w:noProof w:val="0"/>
              </w:rPr>
              <w:t>1970</w:t>
            </w:r>
          </w:p>
        </w:tc>
        <w:tc>
          <w:tcPr>
            <w:tcW w:w="1942" w:type="dxa"/>
            <w:tcBorders>
              <w:top w:val="single" w:sz="4" w:space="0" w:color="365F91"/>
              <w:left w:val="nil"/>
              <w:bottom w:val="single" w:sz="4" w:space="0" w:color="365F91"/>
              <w:right w:val="nil"/>
            </w:tcBorders>
            <w:hideMark/>
          </w:tcPr>
          <w:p w14:paraId="36C36AFB" w14:textId="77777777" w:rsidR="00524720" w:rsidRPr="00D9348B" w:rsidRDefault="00524720" w:rsidP="00191C16">
            <w:pPr>
              <w:pStyle w:val="TableText"/>
              <w:spacing w:before="50" w:after="40"/>
              <w:jc w:val="center"/>
            </w:pPr>
            <w:r w:rsidRPr="00D9348B">
              <w:t>654.1</w:t>
            </w:r>
          </w:p>
        </w:tc>
        <w:tc>
          <w:tcPr>
            <w:tcW w:w="2168" w:type="dxa"/>
            <w:tcBorders>
              <w:top w:val="single" w:sz="4" w:space="0" w:color="365F91"/>
              <w:left w:val="nil"/>
              <w:bottom w:val="single" w:sz="4" w:space="0" w:color="365F91"/>
              <w:right w:val="nil"/>
            </w:tcBorders>
            <w:hideMark/>
          </w:tcPr>
          <w:p w14:paraId="01EBF3EE" w14:textId="77777777" w:rsidR="00524720" w:rsidRPr="00D9348B" w:rsidRDefault="00524720" w:rsidP="00191C16">
            <w:pPr>
              <w:pStyle w:val="TableText"/>
              <w:spacing w:before="50" w:after="40"/>
              <w:jc w:val="center"/>
            </w:pPr>
            <w:r w:rsidRPr="00D9348B">
              <w:t>497.4</w:t>
            </w:r>
          </w:p>
        </w:tc>
        <w:tc>
          <w:tcPr>
            <w:tcW w:w="1843" w:type="dxa"/>
            <w:tcBorders>
              <w:top w:val="single" w:sz="4" w:space="0" w:color="365F91"/>
              <w:left w:val="nil"/>
              <w:bottom w:val="single" w:sz="4" w:space="0" w:color="365F91"/>
              <w:right w:val="nil"/>
            </w:tcBorders>
            <w:hideMark/>
          </w:tcPr>
          <w:p w14:paraId="53F9B5A5" w14:textId="77777777" w:rsidR="00524720" w:rsidRPr="00D9348B" w:rsidRDefault="00524720" w:rsidP="00191C16">
            <w:pPr>
              <w:pStyle w:val="TableText"/>
              <w:spacing w:before="50" w:after="40"/>
              <w:jc w:val="center"/>
            </w:pPr>
            <w:r w:rsidRPr="00D9348B">
              <w:t>55.3</w:t>
            </w:r>
          </w:p>
        </w:tc>
        <w:tc>
          <w:tcPr>
            <w:tcW w:w="1559" w:type="dxa"/>
            <w:tcBorders>
              <w:top w:val="single" w:sz="4" w:space="0" w:color="365F91"/>
              <w:left w:val="nil"/>
              <w:bottom w:val="single" w:sz="4" w:space="0" w:color="365F91"/>
              <w:right w:val="nil"/>
            </w:tcBorders>
            <w:hideMark/>
          </w:tcPr>
          <w:p w14:paraId="2DBA6006" w14:textId="77777777" w:rsidR="00524720" w:rsidRPr="00D9348B" w:rsidRDefault="00524720" w:rsidP="00191C16">
            <w:pPr>
              <w:pStyle w:val="TableText"/>
              <w:spacing w:before="50" w:after="40"/>
              <w:jc w:val="center"/>
            </w:pPr>
            <w:r w:rsidRPr="00D9348B">
              <w:t>1,206.9</w:t>
            </w:r>
          </w:p>
        </w:tc>
      </w:tr>
      <w:tr w:rsidR="00524720" w:rsidRPr="00D9348B" w14:paraId="1B74A72A" w14:textId="77777777" w:rsidTr="002D60CB">
        <w:tc>
          <w:tcPr>
            <w:tcW w:w="993" w:type="dxa"/>
            <w:tcBorders>
              <w:top w:val="single" w:sz="4" w:space="0" w:color="365F91"/>
              <w:left w:val="nil"/>
              <w:bottom w:val="single" w:sz="4" w:space="0" w:color="365F91"/>
              <w:right w:val="nil"/>
            </w:tcBorders>
            <w:hideMark/>
          </w:tcPr>
          <w:p w14:paraId="17A549CE" w14:textId="77777777" w:rsidR="00524720" w:rsidRPr="00D9348B" w:rsidRDefault="00524720" w:rsidP="00191C16">
            <w:pPr>
              <w:pStyle w:val="TableTextBold"/>
              <w:spacing w:before="50" w:after="40"/>
              <w:rPr>
                <w:noProof w:val="0"/>
              </w:rPr>
            </w:pPr>
            <w:r w:rsidRPr="00D9348B">
              <w:rPr>
                <w:noProof w:val="0"/>
              </w:rPr>
              <w:t>1971</w:t>
            </w:r>
          </w:p>
        </w:tc>
        <w:tc>
          <w:tcPr>
            <w:tcW w:w="1942" w:type="dxa"/>
            <w:tcBorders>
              <w:top w:val="single" w:sz="4" w:space="0" w:color="365F91"/>
              <w:left w:val="nil"/>
              <w:bottom w:val="single" w:sz="4" w:space="0" w:color="365F91"/>
              <w:right w:val="nil"/>
            </w:tcBorders>
            <w:hideMark/>
          </w:tcPr>
          <w:p w14:paraId="3B0D1E5B" w14:textId="77777777" w:rsidR="00524720" w:rsidRPr="00D9348B" w:rsidRDefault="00524720" w:rsidP="00191C16">
            <w:pPr>
              <w:pStyle w:val="TableText"/>
              <w:spacing w:before="50" w:after="40"/>
              <w:jc w:val="center"/>
            </w:pPr>
            <w:r w:rsidRPr="00D9348B">
              <w:t>654.1</w:t>
            </w:r>
          </w:p>
        </w:tc>
        <w:tc>
          <w:tcPr>
            <w:tcW w:w="2168" w:type="dxa"/>
            <w:tcBorders>
              <w:top w:val="single" w:sz="4" w:space="0" w:color="365F91"/>
              <w:left w:val="nil"/>
              <w:bottom w:val="single" w:sz="4" w:space="0" w:color="365F91"/>
              <w:right w:val="nil"/>
            </w:tcBorders>
            <w:hideMark/>
          </w:tcPr>
          <w:p w14:paraId="01525D95" w14:textId="77777777" w:rsidR="00524720" w:rsidRPr="00D9348B" w:rsidRDefault="00524720" w:rsidP="00191C16">
            <w:pPr>
              <w:pStyle w:val="TableText"/>
              <w:spacing w:before="50" w:after="40"/>
              <w:jc w:val="center"/>
            </w:pPr>
            <w:r w:rsidRPr="00D9348B">
              <w:t>554.4</w:t>
            </w:r>
          </w:p>
        </w:tc>
        <w:tc>
          <w:tcPr>
            <w:tcW w:w="1843" w:type="dxa"/>
            <w:tcBorders>
              <w:top w:val="single" w:sz="4" w:space="0" w:color="365F91"/>
              <w:left w:val="nil"/>
              <w:bottom w:val="single" w:sz="4" w:space="0" w:color="365F91"/>
              <w:right w:val="nil"/>
            </w:tcBorders>
            <w:hideMark/>
          </w:tcPr>
          <w:p w14:paraId="4FDCCC68" w14:textId="77777777" w:rsidR="00524720" w:rsidRPr="00D9348B" w:rsidRDefault="00524720" w:rsidP="00191C16">
            <w:pPr>
              <w:pStyle w:val="TableText"/>
              <w:spacing w:before="50" w:after="40"/>
              <w:jc w:val="center"/>
            </w:pPr>
            <w:r w:rsidRPr="00D9348B">
              <w:t>61.6</w:t>
            </w:r>
          </w:p>
        </w:tc>
        <w:tc>
          <w:tcPr>
            <w:tcW w:w="1559" w:type="dxa"/>
            <w:tcBorders>
              <w:top w:val="single" w:sz="4" w:space="0" w:color="365F91"/>
              <w:left w:val="nil"/>
              <w:bottom w:val="single" w:sz="4" w:space="0" w:color="365F91"/>
              <w:right w:val="nil"/>
            </w:tcBorders>
            <w:hideMark/>
          </w:tcPr>
          <w:p w14:paraId="649AA339" w14:textId="77777777" w:rsidR="00524720" w:rsidRPr="00D9348B" w:rsidRDefault="00524720" w:rsidP="00191C16">
            <w:pPr>
              <w:pStyle w:val="TableText"/>
              <w:spacing w:before="50" w:after="40"/>
              <w:jc w:val="center"/>
            </w:pPr>
            <w:r w:rsidRPr="00D9348B">
              <w:t>1,270.1</w:t>
            </w:r>
          </w:p>
        </w:tc>
      </w:tr>
      <w:tr w:rsidR="00524720" w:rsidRPr="00D9348B" w14:paraId="7DE450DB" w14:textId="77777777" w:rsidTr="002D60CB">
        <w:tc>
          <w:tcPr>
            <w:tcW w:w="993" w:type="dxa"/>
            <w:tcBorders>
              <w:top w:val="single" w:sz="4" w:space="0" w:color="365F91"/>
              <w:left w:val="nil"/>
              <w:bottom w:val="single" w:sz="4" w:space="0" w:color="365F91"/>
              <w:right w:val="nil"/>
            </w:tcBorders>
            <w:hideMark/>
          </w:tcPr>
          <w:p w14:paraId="653DA77C" w14:textId="77777777" w:rsidR="00524720" w:rsidRPr="00D9348B" w:rsidRDefault="00524720" w:rsidP="00191C16">
            <w:pPr>
              <w:pStyle w:val="TableTextBold"/>
              <w:spacing w:before="50" w:after="40"/>
              <w:rPr>
                <w:noProof w:val="0"/>
              </w:rPr>
            </w:pPr>
            <w:r w:rsidRPr="00D9348B">
              <w:rPr>
                <w:noProof w:val="0"/>
              </w:rPr>
              <w:t>1972</w:t>
            </w:r>
          </w:p>
        </w:tc>
        <w:tc>
          <w:tcPr>
            <w:tcW w:w="1942" w:type="dxa"/>
            <w:tcBorders>
              <w:top w:val="single" w:sz="4" w:space="0" w:color="365F91"/>
              <w:left w:val="nil"/>
              <w:bottom w:val="single" w:sz="4" w:space="0" w:color="365F91"/>
              <w:right w:val="nil"/>
            </w:tcBorders>
            <w:hideMark/>
          </w:tcPr>
          <w:p w14:paraId="094F26DA" w14:textId="77777777" w:rsidR="00524720" w:rsidRPr="00D9348B" w:rsidRDefault="00524720" w:rsidP="00191C16">
            <w:pPr>
              <w:pStyle w:val="TableText"/>
              <w:spacing w:before="50" w:after="40"/>
              <w:jc w:val="center"/>
            </w:pPr>
            <w:r w:rsidRPr="00D9348B">
              <w:t>672.5</w:t>
            </w:r>
          </w:p>
        </w:tc>
        <w:tc>
          <w:tcPr>
            <w:tcW w:w="2168" w:type="dxa"/>
            <w:tcBorders>
              <w:top w:val="single" w:sz="4" w:space="0" w:color="365F91"/>
              <w:left w:val="nil"/>
              <w:bottom w:val="single" w:sz="4" w:space="0" w:color="365F91"/>
              <w:right w:val="nil"/>
            </w:tcBorders>
            <w:hideMark/>
          </w:tcPr>
          <w:p w14:paraId="3C9234C4" w14:textId="77777777" w:rsidR="00524720" w:rsidRPr="00D9348B" w:rsidRDefault="00524720" w:rsidP="00191C16">
            <w:pPr>
              <w:pStyle w:val="TableText"/>
              <w:spacing w:before="50" w:after="40"/>
              <w:jc w:val="center"/>
            </w:pPr>
            <w:r w:rsidRPr="00D9348B">
              <w:t>746.9</w:t>
            </w:r>
          </w:p>
        </w:tc>
        <w:tc>
          <w:tcPr>
            <w:tcW w:w="1843" w:type="dxa"/>
            <w:tcBorders>
              <w:top w:val="single" w:sz="4" w:space="0" w:color="365F91"/>
              <w:left w:val="nil"/>
              <w:bottom w:val="single" w:sz="4" w:space="0" w:color="365F91"/>
              <w:right w:val="nil"/>
            </w:tcBorders>
            <w:hideMark/>
          </w:tcPr>
          <w:p w14:paraId="4FFF0630" w14:textId="77777777" w:rsidR="00524720" w:rsidRPr="00D9348B" w:rsidRDefault="00524720" w:rsidP="00191C16">
            <w:pPr>
              <w:pStyle w:val="TableText"/>
              <w:spacing w:before="50" w:after="40"/>
              <w:jc w:val="center"/>
            </w:pPr>
            <w:r w:rsidRPr="00D9348B">
              <w:t>83</w:t>
            </w:r>
          </w:p>
        </w:tc>
        <w:tc>
          <w:tcPr>
            <w:tcW w:w="1559" w:type="dxa"/>
            <w:tcBorders>
              <w:top w:val="single" w:sz="4" w:space="0" w:color="365F91"/>
              <w:left w:val="nil"/>
              <w:bottom w:val="single" w:sz="4" w:space="0" w:color="365F91"/>
              <w:right w:val="nil"/>
            </w:tcBorders>
            <w:hideMark/>
          </w:tcPr>
          <w:p w14:paraId="059D481E" w14:textId="77777777" w:rsidR="00524720" w:rsidRPr="00D9348B" w:rsidRDefault="00524720" w:rsidP="00191C16">
            <w:pPr>
              <w:pStyle w:val="TableText"/>
              <w:spacing w:before="50" w:after="40"/>
              <w:jc w:val="center"/>
            </w:pPr>
            <w:r w:rsidRPr="00D9348B">
              <w:t>1,502.5</w:t>
            </w:r>
          </w:p>
        </w:tc>
      </w:tr>
      <w:tr w:rsidR="00524720" w:rsidRPr="00D9348B" w14:paraId="6BC35F5F" w14:textId="77777777" w:rsidTr="002D60CB">
        <w:tc>
          <w:tcPr>
            <w:tcW w:w="993" w:type="dxa"/>
            <w:tcBorders>
              <w:top w:val="single" w:sz="4" w:space="0" w:color="365F91"/>
              <w:left w:val="nil"/>
              <w:bottom w:val="single" w:sz="4" w:space="0" w:color="365F91"/>
              <w:right w:val="nil"/>
            </w:tcBorders>
            <w:hideMark/>
          </w:tcPr>
          <w:p w14:paraId="3AFED6F9" w14:textId="77777777" w:rsidR="00524720" w:rsidRPr="00D9348B" w:rsidRDefault="00524720" w:rsidP="00191C16">
            <w:pPr>
              <w:pStyle w:val="TableTextBold"/>
              <w:spacing w:before="50" w:after="40"/>
              <w:rPr>
                <w:noProof w:val="0"/>
              </w:rPr>
            </w:pPr>
            <w:r w:rsidRPr="00D9348B">
              <w:rPr>
                <w:noProof w:val="0"/>
              </w:rPr>
              <w:t>1973</w:t>
            </w:r>
          </w:p>
        </w:tc>
        <w:tc>
          <w:tcPr>
            <w:tcW w:w="1942" w:type="dxa"/>
            <w:tcBorders>
              <w:top w:val="single" w:sz="4" w:space="0" w:color="365F91"/>
              <w:left w:val="nil"/>
              <w:bottom w:val="single" w:sz="4" w:space="0" w:color="365F91"/>
              <w:right w:val="nil"/>
            </w:tcBorders>
            <w:hideMark/>
          </w:tcPr>
          <w:p w14:paraId="5D89DA35" w14:textId="77777777" w:rsidR="00524720" w:rsidRPr="00D9348B" w:rsidRDefault="00524720" w:rsidP="00191C16">
            <w:pPr>
              <w:pStyle w:val="TableText"/>
              <w:spacing w:before="50" w:after="40"/>
              <w:jc w:val="center"/>
            </w:pPr>
            <w:r w:rsidRPr="00D9348B">
              <w:t>672.5</w:t>
            </w:r>
          </w:p>
        </w:tc>
        <w:tc>
          <w:tcPr>
            <w:tcW w:w="2168" w:type="dxa"/>
            <w:tcBorders>
              <w:top w:val="single" w:sz="4" w:space="0" w:color="365F91"/>
              <w:left w:val="nil"/>
              <w:bottom w:val="single" w:sz="4" w:space="0" w:color="365F91"/>
              <w:right w:val="nil"/>
            </w:tcBorders>
            <w:hideMark/>
          </w:tcPr>
          <w:p w14:paraId="0C851599" w14:textId="77777777" w:rsidR="00524720" w:rsidRPr="00D9348B" w:rsidRDefault="00524720" w:rsidP="00191C16">
            <w:pPr>
              <w:pStyle w:val="TableText"/>
              <w:spacing w:before="50" w:after="40"/>
              <w:jc w:val="center"/>
            </w:pPr>
            <w:r w:rsidRPr="00D9348B">
              <w:t>889.1</w:t>
            </w:r>
          </w:p>
        </w:tc>
        <w:tc>
          <w:tcPr>
            <w:tcW w:w="1843" w:type="dxa"/>
            <w:tcBorders>
              <w:top w:val="single" w:sz="4" w:space="0" w:color="365F91"/>
              <w:left w:val="nil"/>
              <w:bottom w:val="single" w:sz="4" w:space="0" w:color="365F91"/>
              <w:right w:val="nil"/>
            </w:tcBorders>
            <w:hideMark/>
          </w:tcPr>
          <w:p w14:paraId="689A4919" w14:textId="77777777" w:rsidR="00524720" w:rsidRPr="00D9348B" w:rsidRDefault="00524720" w:rsidP="00191C16">
            <w:pPr>
              <w:pStyle w:val="TableText"/>
              <w:spacing w:before="50" w:after="40"/>
              <w:jc w:val="center"/>
            </w:pPr>
            <w:r w:rsidRPr="00D9348B">
              <w:t>98.8</w:t>
            </w:r>
          </w:p>
        </w:tc>
        <w:tc>
          <w:tcPr>
            <w:tcW w:w="1559" w:type="dxa"/>
            <w:tcBorders>
              <w:top w:val="single" w:sz="4" w:space="0" w:color="365F91"/>
              <w:left w:val="nil"/>
              <w:bottom w:val="single" w:sz="4" w:space="0" w:color="365F91"/>
              <w:right w:val="nil"/>
            </w:tcBorders>
            <w:hideMark/>
          </w:tcPr>
          <w:p w14:paraId="01F33EF8" w14:textId="77777777" w:rsidR="00524720" w:rsidRPr="00D9348B" w:rsidRDefault="00524720" w:rsidP="00191C16">
            <w:pPr>
              <w:pStyle w:val="TableText"/>
              <w:spacing w:before="50" w:after="40"/>
              <w:jc w:val="center"/>
            </w:pPr>
            <w:r w:rsidRPr="00D9348B">
              <w:t>1,660.4</w:t>
            </w:r>
          </w:p>
        </w:tc>
      </w:tr>
      <w:tr w:rsidR="00524720" w:rsidRPr="00D9348B" w14:paraId="12A17682" w14:textId="77777777" w:rsidTr="002D60CB">
        <w:tc>
          <w:tcPr>
            <w:tcW w:w="993" w:type="dxa"/>
            <w:tcBorders>
              <w:top w:val="single" w:sz="4" w:space="0" w:color="365F91"/>
              <w:left w:val="nil"/>
              <w:bottom w:val="single" w:sz="4" w:space="0" w:color="365F91"/>
              <w:right w:val="nil"/>
            </w:tcBorders>
            <w:hideMark/>
          </w:tcPr>
          <w:p w14:paraId="412EB0F5" w14:textId="77777777" w:rsidR="00524720" w:rsidRPr="00D9348B" w:rsidRDefault="00524720" w:rsidP="00191C16">
            <w:pPr>
              <w:pStyle w:val="TableTextBold"/>
              <w:spacing w:before="50" w:after="40"/>
              <w:rPr>
                <w:noProof w:val="0"/>
              </w:rPr>
            </w:pPr>
            <w:r w:rsidRPr="00D9348B">
              <w:rPr>
                <w:noProof w:val="0"/>
              </w:rPr>
              <w:t>1974</w:t>
            </w:r>
          </w:p>
        </w:tc>
        <w:tc>
          <w:tcPr>
            <w:tcW w:w="1942" w:type="dxa"/>
            <w:tcBorders>
              <w:top w:val="single" w:sz="4" w:space="0" w:color="365F91"/>
              <w:left w:val="nil"/>
              <w:bottom w:val="single" w:sz="4" w:space="0" w:color="365F91"/>
              <w:right w:val="nil"/>
            </w:tcBorders>
            <w:hideMark/>
          </w:tcPr>
          <w:p w14:paraId="374771B5" w14:textId="77777777" w:rsidR="00524720" w:rsidRPr="00D9348B" w:rsidRDefault="00524720" w:rsidP="00191C16">
            <w:pPr>
              <w:pStyle w:val="TableText"/>
              <w:spacing w:before="50" w:after="40"/>
              <w:jc w:val="center"/>
            </w:pPr>
            <w:r w:rsidRPr="00D9348B">
              <w:t>844.5</w:t>
            </w:r>
          </w:p>
        </w:tc>
        <w:tc>
          <w:tcPr>
            <w:tcW w:w="2168" w:type="dxa"/>
            <w:tcBorders>
              <w:top w:val="single" w:sz="4" w:space="0" w:color="365F91"/>
              <w:left w:val="nil"/>
              <w:bottom w:val="single" w:sz="4" w:space="0" w:color="365F91"/>
              <w:right w:val="nil"/>
            </w:tcBorders>
            <w:hideMark/>
          </w:tcPr>
          <w:p w14:paraId="4AE20A44" w14:textId="77777777" w:rsidR="00524720" w:rsidRPr="00D9348B" w:rsidRDefault="00524720" w:rsidP="00191C16">
            <w:pPr>
              <w:pStyle w:val="TableText"/>
              <w:spacing w:before="50" w:after="40"/>
              <w:jc w:val="center"/>
            </w:pPr>
            <w:r w:rsidRPr="00D9348B">
              <w:t>839.4</w:t>
            </w:r>
          </w:p>
        </w:tc>
        <w:tc>
          <w:tcPr>
            <w:tcW w:w="1843" w:type="dxa"/>
            <w:tcBorders>
              <w:top w:val="single" w:sz="4" w:space="0" w:color="365F91"/>
              <w:left w:val="nil"/>
              <w:bottom w:val="single" w:sz="4" w:space="0" w:color="365F91"/>
              <w:right w:val="nil"/>
            </w:tcBorders>
            <w:hideMark/>
          </w:tcPr>
          <w:p w14:paraId="5CB0A08D" w14:textId="77777777" w:rsidR="00524720" w:rsidRPr="00D9348B" w:rsidRDefault="00524720" w:rsidP="00191C16">
            <w:pPr>
              <w:pStyle w:val="TableText"/>
              <w:spacing w:before="50" w:after="40"/>
              <w:jc w:val="center"/>
            </w:pPr>
            <w:r w:rsidRPr="00D9348B">
              <w:t>93.3</w:t>
            </w:r>
          </w:p>
        </w:tc>
        <w:tc>
          <w:tcPr>
            <w:tcW w:w="1559" w:type="dxa"/>
            <w:tcBorders>
              <w:top w:val="single" w:sz="4" w:space="0" w:color="365F91"/>
              <w:left w:val="nil"/>
              <w:bottom w:val="single" w:sz="4" w:space="0" w:color="365F91"/>
              <w:right w:val="nil"/>
            </w:tcBorders>
            <w:hideMark/>
          </w:tcPr>
          <w:p w14:paraId="7F0C36DB" w14:textId="77777777" w:rsidR="00524720" w:rsidRPr="00D9348B" w:rsidRDefault="00524720" w:rsidP="00191C16">
            <w:pPr>
              <w:pStyle w:val="TableText"/>
              <w:spacing w:before="50" w:after="40"/>
              <w:jc w:val="center"/>
            </w:pPr>
            <w:r w:rsidRPr="00D9348B">
              <w:t>1,777.1</w:t>
            </w:r>
          </w:p>
        </w:tc>
      </w:tr>
      <w:tr w:rsidR="00524720" w:rsidRPr="00D9348B" w14:paraId="2A663319" w14:textId="77777777" w:rsidTr="002D60CB">
        <w:tc>
          <w:tcPr>
            <w:tcW w:w="993" w:type="dxa"/>
            <w:tcBorders>
              <w:top w:val="single" w:sz="4" w:space="0" w:color="365F91"/>
              <w:left w:val="nil"/>
              <w:bottom w:val="single" w:sz="4" w:space="0" w:color="365F91"/>
              <w:right w:val="nil"/>
            </w:tcBorders>
            <w:hideMark/>
          </w:tcPr>
          <w:p w14:paraId="574C11F2" w14:textId="77777777" w:rsidR="00524720" w:rsidRPr="00D9348B" w:rsidRDefault="00524720" w:rsidP="00191C16">
            <w:pPr>
              <w:pStyle w:val="TableTextBold"/>
              <w:spacing w:before="50" w:after="40"/>
              <w:rPr>
                <w:noProof w:val="0"/>
              </w:rPr>
            </w:pPr>
            <w:r w:rsidRPr="00D9348B">
              <w:rPr>
                <w:noProof w:val="0"/>
              </w:rPr>
              <w:t>1975</w:t>
            </w:r>
          </w:p>
        </w:tc>
        <w:tc>
          <w:tcPr>
            <w:tcW w:w="1942" w:type="dxa"/>
            <w:tcBorders>
              <w:top w:val="single" w:sz="4" w:space="0" w:color="365F91"/>
              <w:left w:val="nil"/>
              <w:bottom w:val="single" w:sz="4" w:space="0" w:color="365F91"/>
              <w:right w:val="nil"/>
            </w:tcBorders>
            <w:hideMark/>
          </w:tcPr>
          <w:p w14:paraId="1C595E03" w14:textId="77777777" w:rsidR="00524720" w:rsidRPr="00D9348B" w:rsidRDefault="00524720" w:rsidP="00191C16">
            <w:pPr>
              <w:pStyle w:val="TableText"/>
              <w:spacing w:before="50" w:after="40"/>
              <w:jc w:val="center"/>
            </w:pPr>
            <w:r w:rsidRPr="00D9348B">
              <w:t>844.5</w:t>
            </w:r>
          </w:p>
        </w:tc>
        <w:tc>
          <w:tcPr>
            <w:tcW w:w="2168" w:type="dxa"/>
            <w:tcBorders>
              <w:top w:val="single" w:sz="4" w:space="0" w:color="365F91"/>
              <w:left w:val="nil"/>
              <w:bottom w:val="single" w:sz="4" w:space="0" w:color="365F91"/>
              <w:right w:val="nil"/>
            </w:tcBorders>
            <w:hideMark/>
          </w:tcPr>
          <w:p w14:paraId="2B785E8D" w14:textId="77777777" w:rsidR="00524720" w:rsidRPr="00D9348B" w:rsidRDefault="00524720" w:rsidP="00191C16">
            <w:pPr>
              <w:pStyle w:val="TableText"/>
              <w:spacing w:before="50" w:after="40"/>
              <w:jc w:val="center"/>
            </w:pPr>
            <w:r w:rsidRPr="00D9348B">
              <w:t>736.6</w:t>
            </w:r>
          </w:p>
        </w:tc>
        <w:tc>
          <w:tcPr>
            <w:tcW w:w="1843" w:type="dxa"/>
            <w:tcBorders>
              <w:top w:val="single" w:sz="4" w:space="0" w:color="365F91"/>
              <w:left w:val="nil"/>
              <w:bottom w:val="single" w:sz="4" w:space="0" w:color="365F91"/>
              <w:right w:val="nil"/>
            </w:tcBorders>
            <w:hideMark/>
          </w:tcPr>
          <w:p w14:paraId="43D0094F" w14:textId="77777777" w:rsidR="00524720" w:rsidRPr="00D9348B" w:rsidRDefault="00524720" w:rsidP="00191C16">
            <w:pPr>
              <w:pStyle w:val="TableText"/>
              <w:spacing w:before="50" w:after="40"/>
              <w:jc w:val="center"/>
            </w:pPr>
            <w:r w:rsidRPr="00D9348B">
              <w:t>81.8</w:t>
            </w:r>
          </w:p>
        </w:tc>
        <w:tc>
          <w:tcPr>
            <w:tcW w:w="1559" w:type="dxa"/>
            <w:tcBorders>
              <w:top w:val="single" w:sz="4" w:space="0" w:color="365F91"/>
              <w:left w:val="nil"/>
              <w:bottom w:val="single" w:sz="4" w:space="0" w:color="365F91"/>
              <w:right w:val="nil"/>
            </w:tcBorders>
            <w:hideMark/>
          </w:tcPr>
          <w:p w14:paraId="1F01FD7C" w14:textId="77777777" w:rsidR="00524720" w:rsidRPr="00D9348B" w:rsidRDefault="00524720" w:rsidP="00191C16">
            <w:pPr>
              <w:pStyle w:val="TableText"/>
              <w:spacing w:before="50" w:after="40"/>
              <w:jc w:val="center"/>
            </w:pPr>
            <w:r w:rsidRPr="00D9348B">
              <w:t>1,662.9</w:t>
            </w:r>
          </w:p>
        </w:tc>
      </w:tr>
      <w:tr w:rsidR="00524720" w:rsidRPr="00D9348B" w14:paraId="735C8193" w14:textId="77777777" w:rsidTr="002D60CB">
        <w:tc>
          <w:tcPr>
            <w:tcW w:w="993" w:type="dxa"/>
            <w:tcBorders>
              <w:top w:val="single" w:sz="4" w:space="0" w:color="365F91"/>
              <w:left w:val="nil"/>
              <w:bottom w:val="single" w:sz="4" w:space="0" w:color="365F91"/>
              <w:right w:val="nil"/>
            </w:tcBorders>
            <w:hideMark/>
          </w:tcPr>
          <w:p w14:paraId="2DC310A3" w14:textId="77777777" w:rsidR="00524720" w:rsidRPr="00D9348B" w:rsidRDefault="00524720" w:rsidP="00191C16">
            <w:pPr>
              <w:pStyle w:val="TableTextBold"/>
              <w:spacing w:before="50" w:after="40"/>
              <w:rPr>
                <w:noProof w:val="0"/>
              </w:rPr>
            </w:pPr>
            <w:r w:rsidRPr="00D9348B">
              <w:rPr>
                <w:noProof w:val="0"/>
              </w:rPr>
              <w:t>1976</w:t>
            </w:r>
          </w:p>
        </w:tc>
        <w:tc>
          <w:tcPr>
            <w:tcW w:w="1942" w:type="dxa"/>
            <w:tcBorders>
              <w:top w:val="single" w:sz="4" w:space="0" w:color="365F91"/>
              <w:left w:val="nil"/>
              <w:bottom w:val="single" w:sz="4" w:space="0" w:color="365F91"/>
              <w:right w:val="nil"/>
            </w:tcBorders>
            <w:hideMark/>
          </w:tcPr>
          <w:p w14:paraId="2F620CCA" w14:textId="77777777" w:rsidR="00524720" w:rsidRPr="00D9348B" w:rsidRDefault="00524720" w:rsidP="00191C16">
            <w:pPr>
              <w:pStyle w:val="TableText"/>
              <w:spacing w:before="50" w:after="40"/>
              <w:jc w:val="center"/>
            </w:pPr>
            <w:r w:rsidRPr="00D9348B">
              <w:t>984.9</w:t>
            </w:r>
          </w:p>
        </w:tc>
        <w:tc>
          <w:tcPr>
            <w:tcW w:w="2168" w:type="dxa"/>
            <w:tcBorders>
              <w:top w:val="single" w:sz="4" w:space="0" w:color="365F91"/>
              <w:left w:val="nil"/>
              <w:bottom w:val="single" w:sz="4" w:space="0" w:color="365F91"/>
              <w:right w:val="nil"/>
            </w:tcBorders>
            <w:hideMark/>
          </w:tcPr>
          <w:p w14:paraId="5F917779" w14:textId="77777777" w:rsidR="00524720" w:rsidRPr="00D9348B" w:rsidRDefault="00524720" w:rsidP="00191C16">
            <w:pPr>
              <w:pStyle w:val="TableText"/>
              <w:spacing w:before="50" w:after="40"/>
              <w:jc w:val="center"/>
            </w:pPr>
            <w:r w:rsidRPr="00D9348B">
              <w:t>578.2</w:t>
            </w:r>
          </w:p>
        </w:tc>
        <w:tc>
          <w:tcPr>
            <w:tcW w:w="1843" w:type="dxa"/>
            <w:tcBorders>
              <w:top w:val="single" w:sz="4" w:space="0" w:color="365F91"/>
              <w:left w:val="nil"/>
              <w:bottom w:val="single" w:sz="4" w:space="0" w:color="365F91"/>
              <w:right w:val="nil"/>
            </w:tcBorders>
            <w:hideMark/>
          </w:tcPr>
          <w:p w14:paraId="6AA151D8" w14:textId="77777777" w:rsidR="00524720" w:rsidRPr="00D9348B" w:rsidRDefault="00524720" w:rsidP="00191C16">
            <w:pPr>
              <w:pStyle w:val="TableText"/>
              <w:spacing w:before="50" w:after="40"/>
              <w:jc w:val="center"/>
            </w:pPr>
            <w:r w:rsidRPr="00D9348B">
              <w:t>64.2</w:t>
            </w:r>
          </w:p>
        </w:tc>
        <w:tc>
          <w:tcPr>
            <w:tcW w:w="1559" w:type="dxa"/>
            <w:tcBorders>
              <w:top w:val="single" w:sz="4" w:space="0" w:color="365F91"/>
              <w:left w:val="nil"/>
              <w:bottom w:val="single" w:sz="4" w:space="0" w:color="365F91"/>
              <w:right w:val="nil"/>
            </w:tcBorders>
            <w:hideMark/>
          </w:tcPr>
          <w:p w14:paraId="49CDB318" w14:textId="3311C0BA" w:rsidR="00524720" w:rsidRPr="00D9348B" w:rsidRDefault="00524720" w:rsidP="00191C16">
            <w:pPr>
              <w:pStyle w:val="TableText"/>
              <w:spacing w:before="50" w:after="40"/>
              <w:jc w:val="center"/>
            </w:pPr>
            <w:r w:rsidRPr="00D9348B">
              <w:t>1,627.</w:t>
            </w:r>
            <w:r w:rsidR="00CC6894">
              <w:t>4</w:t>
            </w:r>
          </w:p>
        </w:tc>
      </w:tr>
      <w:tr w:rsidR="00524720" w:rsidRPr="00D9348B" w14:paraId="26373F1C" w14:textId="77777777" w:rsidTr="002D60CB">
        <w:tc>
          <w:tcPr>
            <w:tcW w:w="993" w:type="dxa"/>
            <w:tcBorders>
              <w:top w:val="single" w:sz="4" w:space="0" w:color="365F91"/>
              <w:left w:val="nil"/>
              <w:bottom w:val="single" w:sz="4" w:space="0" w:color="365F91"/>
              <w:right w:val="nil"/>
            </w:tcBorders>
            <w:hideMark/>
          </w:tcPr>
          <w:p w14:paraId="3EE3C6C9" w14:textId="77777777" w:rsidR="00524720" w:rsidRPr="00D9348B" w:rsidRDefault="00524720" w:rsidP="00191C16">
            <w:pPr>
              <w:pStyle w:val="TableTextBold"/>
              <w:spacing w:before="50" w:after="40"/>
              <w:rPr>
                <w:noProof w:val="0"/>
              </w:rPr>
            </w:pPr>
            <w:r w:rsidRPr="00D9348B">
              <w:rPr>
                <w:noProof w:val="0"/>
              </w:rPr>
              <w:t>1977</w:t>
            </w:r>
          </w:p>
        </w:tc>
        <w:tc>
          <w:tcPr>
            <w:tcW w:w="1942" w:type="dxa"/>
            <w:tcBorders>
              <w:top w:val="single" w:sz="4" w:space="0" w:color="365F91"/>
              <w:left w:val="nil"/>
              <w:bottom w:val="single" w:sz="4" w:space="0" w:color="365F91"/>
              <w:right w:val="nil"/>
            </w:tcBorders>
            <w:hideMark/>
          </w:tcPr>
          <w:p w14:paraId="434DD387" w14:textId="77777777" w:rsidR="00524720" w:rsidRPr="00D9348B" w:rsidRDefault="00524720" w:rsidP="00191C16">
            <w:pPr>
              <w:pStyle w:val="TableText"/>
              <w:spacing w:before="50" w:after="40"/>
              <w:jc w:val="center"/>
            </w:pPr>
            <w:r w:rsidRPr="00D9348B">
              <w:t>984.9</w:t>
            </w:r>
          </w:p>
        </w:tc>
        <w:tc>
          <w:tcPr>
            <w:tcW w:w="2168" w:type="dxa"/>
            <w:tcBorders>
              <w:top w:val="single" w:sz="4" w:space="0" w:color="365F91"/>
              <w:left w:val="nil"/>
              <w:bottom w:val="single" w:sz="4" w:space="0" w:color="365F91"/>
              <w:right w:val="nil"/>
            </w:tcBorders>
            <w:hideMark/>
          </w:tcPr>
          <w:p w14:paraId="1BB8B8F6" w14:textId="77777777" w:rsidR="00524720" w:rsidRPr="00D9348B" w:rsidRDefault="00524720" w:rsidP="00191C16">
            <w:pPr>
              <w:pStyle w:val="TableText"/>
              <w:spacing w:before="50" w:after="40"/>
              <w:jc w:val="center"/>
            </w:pPr>
            <w:r w:rsidRPr="00D9348B">
              <w:t>713.0</w:t>
            </w:r>
          </w:p>
        </w:tc>
        <w:tc>
          <w:tcPr>
            <w:tcW w:w="1843" w:type="dxa"/>
            <w:tcBorders>
              <w:top w:val="single" w:sz="4" w:space="0" w:color="365F91"/>
              <w:left w:val="nil"/>
              <w:bottom w:val="single" w:sz="4" w:space="0" w:color="365F91"/>
              <w:right w:val="nil"/>
            </w:tcBorders>
            <w:hideMark/>
          </w:tcPr>
          <w:p w14:paraId="189C83D2" w14:textId="77777777" w:rsidR="00524720" w:rsidRPr="00D9348B" w:rsidRDefault="00524720" w:rsidP="00191C16">
            <w:pPr>
              <w:pStyle w:val="TableText"/>
              <w:spacing w:before="50" w:after="40"/>
              <w:jc w:val="center"/>
            </w:pPr>
            <w:r w:rsidRPr="00D9348B">
              <w:t>79.2</w:t>
            </w:r>
          </w:p>
        </w:tc>
        <w:tc>
          <w:tcPr>
            <w:tcW w:w="1559" w:type="dxa"/>
            <w:tcBorders>
              <w:top w:val="single" w:sz="4" w:space="0" w:color="365F91"/>
              <w:left w:val="nil"/>
              <w:bottom w:val="single" w:sz="4" w:space="0" w:color="365F91"/>
              <w:right w:val="nil"/>
            </w:tcBorders>
            <w:hideMark/>
          </w:tcPr>
          <w:p w14:paraId="4779C995" w14:textId="7E0D7064" w:rsidR="00524720" w:rsidRPr="00D9348B" w:rsidRDefault="00524720" w:rsidP="00191C16">
            <w:pPr>
              <w:pStyle w:val="TableText"/>
              <w:spacing w:before="50" w:after="40"/>
              <w:jc w:val="center"/>
            </w:pPr>
            <w:r w:rsidRPr="00D9348B">
              <w:t>1,777.</w:t>
            </w:r>
            <w:r w:rsidR="00CC6894">
              <w:t>2</w:t>
            </w:r>
          </w:p>
        </w:tc>
      </w:tr>
      <w:tr w:rsidR="00524720" w:rsidRPr="00D9348B" w14:paraId="3E9CFB5C" w14:textId="77777777" w:rsidTr="002D60CB">
        <w:tc>
          <w:tcPr>
            <w:tcW w:w="993" w:type="dxa"/>
            <w:tcBorders>
              <w:top w:val="single" w:sz="4" w:space="0" w:color="365F91"/>
              <w:left w:val="nil"/>
              <w:bottom w:val="single" w:sz="4" w:space="0" w:color="365F91"/>
              <w:right w:val="nil"/>
            </w:tcBorders>
            <w:hideMark/>
          </w:tcPr>
          <w:p w14:paraId="307CD0D1" w14:textId="77777777" w:rsidR="00524720" w:rsidRPr="00D9348B" w:rsidRDefault="00524720" w:rsidP="00191C16">
            <w:pPr>
              <w:pStyle w:val="TableTextBold"/>
              <w:spacing w:before="50" w:after="40"/>
              <w:rPr>
                <w:noProof w:val="0"/>
              </w:rPr>
            </w:pPr>
            <w:r w:rsidRPr="00D9348B">
              <w:rPr>
                <w:noProof w:val="0"/>
              </w:rPr>
              <w:t>1978</w:t>
            </w:r>
          </w:p>
        </w:tc>
        <w:tc>
          <w:tcPr>
            <w:tcW w:w="1942" w:type="dxa"/>
            <w:tcBorders>
              <w:top w:val="single" w:sz="4" w:space="0" w:color="365F91"/>
              <w:left w:val="nil"/>
              <w:bottom w:val="single" w:sz="4" w:space="0" w:color="365F91"/>
              <w:right w:val="nil"/>
            </w:tcBorders>
            <w:hideMark/>
          </w:tcPr>
          <w:p w14:paraId="3F63ABE1" w14:textId="77777777" w:rsidR="00524720" w:rsidRPr="00D9348B" w:rsidRDefault="00524720" w:rsidP="00191C16">
            <w:pPr>
              <w:pStyle w:val="TableText"/>
              <w:spacing w:before="50" w:after="40"/>
              <w:jc w:val="center"/>
            </w:pPr>
            <w:r w:rsidRPr="00D9348B">
              <w:t>984.9</w:t>
            </w:r>
          </w:p>
        </w:tc>
        <w:tc>
          <w:tcPr>
            <w:tcW w:w="2168" w:type="dxa"/>
            <w:tcBorders>
              <w:top w:val="single" w:sz="4" w:space="0" w:color="365F91"/>
              <w:left w:val="nil"/>
              <w:bottom w:val="single" w:sz="4" w:space="0" w:color="365F91"/>
              <w:right w:val="nil"/>
            </w:tcBorders>
            <w:hideMark/>
          </w:tcPr>
          <w:p w14:paraId="6DC5BB4A" w14:textId="77777777" w:rsidR="00524720" w:rsidRPr="00D9348B" w:rsidRDefault="00524720" w:rsidP="00191C16">
            <w:pPr>
              <w:pStyle w:val="TableText"/>
              <w:spacing w:before="50" w:after="40"/>
              <w:jc w:val="center"/>
            </w:pPr>
            <w:r w:rsidRPr="00D9348B">
              <w:t>588.6</w:t>
            </w:r>
          </w:p>
        </w:tc>
        <w:tc>
          <w:tcPr>
            <w:tcW w:w="1843" w:type="dxa"/>
            <w:tcBorders>
              <w:top w:val="single" w:sz="4" w:space="0" w:color="365F91"/>
              <w:left w:val="nil"/>
              <w:bottom w:val="single" w:sz="4" w:space="0" w:color="365F91"/>
              <w:right w:val="nil"/>
            </w:tcBorders>
            <w:hideMark/>
          </w:tcPr>
          <w:p w14:paraId="55AEFCF1" w14:textId="77777777" w:rsidR="00524720" w:rsidRPr="00D9348B" w:rsidRDefault="00524720" w:rsidP="00191C16">
            <w:pPr>
              <w:pStyle w:val="TableText"/>
              <w:spacing w:before="50" w:after="40"/>
              <w:jc w:val="center"/>
            </w:pPr>
            <w:r w:rsidRPr="00D9348B">
              <w:t>65.4</w:t>
            </w:r>
          </w:p>
        </w:tc>
        <w:tc>
          <w:tcPr>
            <w:tcW w:w="1559" w:type="dxa"/>
            <w:tcBorders>
              <w:top w:val="single" w:sz="4" w:space="0" w:color="365F91"/>
              <w:left w:val="nil"/>
              <w:bottom w:val="single" w:sz="4" w:space="0" w:color="365F91"/>
              <w:right w:val="nil"/>
            </w:tcBorders>
            <w:hideMark/>
          </w:tcPr>
          <w:p w14:paraId="352A9B85" w14:textId="77777777" w:rsidR="00524720" w:rsidRPr="00D9348B" w:rsidRDefault="00524720" w:rsidP="00191C16">
            <w:pPr>
              <w:pStyle w:val="TableText"/>
              <w:spacing w:before="50" w:after="40"/>
              <w:jc w:val="center"/>
            </w:pPr>
            <w:r w:rsidRPr="00D9348B">
              <w:t>1,639.0</w:t>
            </w:r>
          </w:p>
        </w:tc>
      </w:tr>
      <w:tr w:rsidR="00524720" w:rsidRPr="00D9348B" w14:paraId="74B051D8" w14:textId="77777777" w:rsidTr="002D60CB">
        <w:tc>
          <w:tcPr>
            <w:tcW w:w="993" w:type="dxa"/>
            <w:tcBorders>
              <w:top w:val="single" w:sz="4" w:space="0" w:color="365F91"/>
              <w:left w:val="nil"/>
              <w:bottom w:val="single" w:sz="4" w:space="0" w:color="365F91"/>
              <w:right w:val="nil"/>
            </w:tcBorders>
            <w:hideMark/>
          </w:tcPr>
          <w:p w14:paraId="2763BB2F" w14:textId="77777777" w:rsidR="00524720" w:rsidRPr="00D9348B" w:rsidRDefault="00524720" w:rsidP="00191C16">
            <w:pPr>
              <w:pStyle w:val="TableTextBold"/>
              <w:spacing w:before="50" w:after="40"/>
              <w:rPr>
                <w:noProof w:val="0"/>
              </w:rPr>
            </w:pPr>
            <w:r w:rsidRPr="00D9348B">
              <w:rPr>
                <w:noProof w:val="0"/>
              </w:rPr>
              <w:t>1979</w:t>
            </w:r>
          </w:p>
        </w:tc>
        <w:tc>
          <w:tcPr>
            <w:tcW w:w="1942" w:type="dxa"/>
            <w:tcBorders>
              <w:top w:val="single" w:sz="4" w:space="0" w:color="365F91"/>
              <w:left w:val="nil"/>
              <w:bottom w:val="single" w:sz="4" w:space="0" w:color="365F91"/>
              <w:right w:val="nil"/>
            </w:tcBorders>
            <w:hideMark/>
          </w:tcPr>
          <w:p w14:paraId="3810CDD8" w14:textId="77777777" w:rsidR="00524720" w:rsidRPr="00D9348B" w:rsidRDefault="00524720" w:rsidP="00191C16">
            <w:pPr>
              <w:pStyle w:val="TableText"/>
              <w:spacing w:before="50" w:after="40"/>
              <w:jc w:val="center"/>
            </w:pPr>
            <w:r w:rsidRPr="00D9348B">
              <w:t>984.9</w:t>
            </w:r>
          </w:p>
        </w:tc>
        <w:tc>
          <w:tcPr>
            <w:tcW w:w="2168" w:type="dxa"/>
            <w:tcBorders>
              <w:top w:val="single" w:sz="4" w:space="0" w:color="365F91"/>
              <w:left w:val="nil"/>
              <w:bottom w:val="single" w:sz="4" w:space="0" w:color="365F91"/>
              <w:right w:val="nil"/>
            </w:tcBorders>
            <w:hideMark/>
          </w:tcPr>
          <w:p w14:paraId="77B5B427" w14:textId="77777777" w:rsidR="00524720" w:rsidRPr="00D9348B" w:rsidRDefault="00524720" w:rsidP="00191C16">
            <w:pPr>
              <w:pStyle w:val="TableText"/>
              <w:spacing w:before="50" w:after="40"/>
              <w:jc w:val="center"/>
            </w:pPr>
            <w:r w:rsidRPr="00D9348B">
              <w:t>581.8</w:t>
            </w:r>
          </w:p>
        </w:tc>
        <w:tc>
          <w:tcPr>
            <w:tcW w:w="1843" w:type="dxa"/>
            <w:tcBorders>
              <w:top w:val="single" w:sz="4" w:space="0" w:color="365F91"/>
              <w:left w:val="nil"/>
              <w:bottom w:val="single" w:sz="4" w:space="0" w:color="365F91"/>
              <w:right w:val="nil"/>
            </w:tcBorders>
            <w:hideMark/>
          </w:tcPr>
          <w:p w14:paraId="10CD3076" w14:textId="77777777" w:rsidR="00524720" w:rsidRPr="00D9348B" w:rsidRDefault="00524720" w:rsidP="00191C16">
            <w:pPr>
              <w:pStyle w:val="TableText"/>
              <w:spacing w:before="50" w:after="40"/>
              <w:jc w:val="center"/>
            </w:pPr>
            <w:r w:rsidRPr="00D9348B">
              <w:t>64.6</w:t>
            </w:r>
          </w:p>
        </w:tc>
        <w:tc>
          <w:tcPr>
            <w:tcW w:w="1559" w:type="dxa"/>
            <w:tcBorders>
              <w:top w:val="single" w:sz="4" w:space="0" w:color="365F91"/>
              <w:left w:val="nil"/>
              <w:bottom w:val="single" w:sz="4" w:space="0" w:color="365F91"/>
              <w:right w:val="nil"/>
            </w:tcBorders>
            <w:hideMark/>
          </w:tcPr>
          <w:p w14:paraId="2AC8CEBF" w14:textId="77777777" w:rsidR="00524720" w:rsidRPr="00D9348B" w:rsidRDefault="00524720" w:rsidP="00191C16">
            <w:pPr>
              <w:pStyle w:val="TableText"/>
              <w:spacing w:before="50" w:after="40"/>
              <w:jc w:val="center"/>
            </w:pPr>
            <w:r w:rsidRPr="00D9348B">
              <w:t>1,631.4</w:t>
            </w:r>
          </w:p>
        </w:tc>
      </w:tr>
      <w:tr w:rsidR="00524720" w:rsidRPr="00D9348B" w14:paraId="0D0301B0" w14:textId="77777777" w:rsidTr="002D60CB">
        <w:tc>
          <w:tcPr>
            <w:tcW w:w="993" w:type="dxa"/>
            <w:tcBorders>
              <w:top w:val="single" w:sz="4" w:space="0" w:color="365F91"/>
              <w:left w:val="nil"/>
              <w:bottom w:val="single" w:sz="4" w:space="0" w:color="365F91"/>
              <w:right w:val="nil"/>
            </w:tcBorders>
            <w:hideMark/>
          </w:tcPr>
          <w:p w14:paraId="2B40D138" w14:textId="77777777" w:rsidR="00524720" w:rsidRPr="00D9348B" w:rsidRDefault="00524720" w:rsidP="00191C16">
            <w:pPr>
              <w:pStyle w:val="TableTextBold"/>
              <w:spacing w:before="50" w:after="40"/>
              <w:rPr>
                <w:noProof w:val="0"/>
              </w:rPr>
            </w:pPr>
            <w:r w:rsidRPr="00D9348B">
              <w:rPr>
                <w:noProof w:val="0"/>
              </w:rPr>
              <w:t>1980</w:t>
            </w:r>
          </w:p>
        </w:tc>
        <w:tc>
          <w:tcPr>
            <w:tcW w:w="1942" w:type="dxa"/>
            <w:tcBorders>
              <w:top w:val="single" w:sz="4" w:space="0" w:color="365F91"/>
              <w:left w:val="nil"/>
              <w:bottom w:val="single" w:sz="4" w:space="0" w:color="365F91"/>
              <w:right w:val="nil"/>
            </w:tcBorders>
            <w:hideMark/>
          </w:tcPr>
          <w:p w14:paraId="70A70DA9" w14:textId="77777777" w:rsidR="00524720" w:rsidRPr="00D9348B" w:rsidRDefault="00524720" w:rsidP="00191C16">
            <w:pPr>
              <w:pStyle w:val="TableText"/>
              <w:spacing w:before="50" w:after="40"/>
              <w:jc w:val="center"/>
            </w:pPr>
            <w:r w:rsidRPr="00D9348B">
              <w:t>984.9</w:t>
            </w:r>
          </w:p>
        </w:tc>
        <w:tc>
          <w:tcPr>
            <w:tcW w:w="2168" w:type="dxa"/>
            <w:tcBorders>
              <w:top w:val="single" w:sz="4" w:space="0" w:color="365F91"/>
              <w:left w:val="nil"/>
              <w:bottom w:val="single" w:sz="4" w:space="0" w:color="365F91"/>
              <w:right w:val="nil"/>
            </w:tcBorders>
            <w:hideMark/>
          </w:tcPr>
          <w:p w14:paraId="53C3EEB3" w14:textId="77777777" w:rsidR="00524720" w:rsidRPr="00D9348B" w:rsidRDefault="00524720" w:rsidP="00191C16">
            <w:pPr>
              <w:pStyle w:val="TableText"/>
              <w:spacing w:before="50" w:after="40"/>
              <w:jc w:val="center"/>
            </w:pPr>
            <w:r w:rsidRPr="00D9348B">
              <w:t>572.1</w:t>
            </w:r>
          </w:p>
        </w:tc>
        <w:tc>
          <w:tcPr>
            <w:tcW w:w="1843" w:type="dxa"/>
            <w:tcBorders>
              <w:top w:val="single" w:sz="4" w:space="0" w:color="365F91"/>
              <w:left w:val="nil"/>
              <w:bottom w:val="single" w:sz="4" w:space="0" w:color="365F91"/>
              <w:right w:val="nil"/>
            </w:tcBorders>
            <w:hideMark/>
          </w:tcPr>
          <w:p w14:paraId="1EA92EDB" w14:textId="77777777" w:rsidR="00524720" w:rsidRPr="00D9348B" w:rsidRDefault="00524720" w:rsidP="00191C16">
            <w:pPr>
              <w:pStyle w:val="TableText"/>
              <w:spacing w:before="50" w:after="40"/>
              <w:jc w:val="center"/>
            </w:pPr>
            <w:r w:rsidRPr="00D9348B">
              <w:t>63.6</w:t>
            </w:r>
          </w:p>
        </w:tc>
        <w:tc>
          <w:tcPr>
            <w:tcW w:w="1559" w:type="dxa"/>
            <w:tcBorders>
              <w:top w:val="single" w:sz="4" w:space="0" w:color="365F91"/>
              <w:left w:val="nil"/>
              <w:bottom w:val="single" w:sz="4" w:space="0" w:color="365F91"/>
              <w:right w:val="nil"/>
            </w:tcBorders>
            <w:hideMark/>
          </w:tcPr>
          <w:p w14:paraId="5B775BA0" w14:textId="77777777" w:rsidR="00524720" w:rsidRPr="00D9348B" w:rsidRDefault="00524720" w:rsidP="00191C16">
            <w:pPr>
              <w:pStyle w:val="TableText"/>
              <w:spacing w:before="50" w:after="40"/>
              <w:jc w:val="center"/>
            </w:pPr>
            <w:r w:rsidRPr="00D9348B">
              <w:t>1,620.6</w:t>
            </w:r>
          </w:p>
        </w:tc>
      </w:tr>
      <w:tr w:rsidR="00524720" w:rsidRPr="00D9348B" w14:paraId="039F757B" w14:textId="77777777" w:rsidTr="002D60CB">
        <w:tc>
          <w:tcPr>
            <w:tcW w:w="993" w:type="dxa"/>
            <w:tcBorders>
              <w:top w:val="single" w:sz="4" w:space="0" w:color="365F91"/>
              <w:left w:val="nil"/>
              <w:bottom w:val="single" w:sz="4" w:space="0" w:color="365F91"/>
              <w:right w:val="nil"/>
            </w:tcBorders>
            <w:hideMark/>
          </w:tcPr>
          <w:p w14:paraId="47647A61" w14:textId="77777777" w:rsidR="00524720" w:rsidRPr="00D9348B" w:rsidRDefault="00524720" w:rsidP="00191C16">
            <w:pPr>
              <w:pStyle w:val="TableTextBold"/>
              <w:spacing w:before="50" w:after="40"/>
              <w:rPr>
                <w:noProof w:val="0"/>
              </w:rPr>
            </w:pPr>
            <w:r w:rsidRPr="00D9348B">
              <w:rPr>
                <w:noProof w:val="0"/>
              </w:rPr>
              <w:t>1981</w:t>
            </w:r>
          </w:p>
        </w:tc>
        <w:tc>
          <w:tcPr>
            <w:tcW w:w="1942" w:type="dxa"/>
            <w:tcBorders>
              <w:top w:val="single" w:sz="4" w:space="0" w:color="365F91"/>
              <w:left w:val="nil"/>
              <w:bottom w:val="single" w:sz="4" w:space="0" w:color="365F91"/>
              <w:right w:val="nil"/>
            </w:tcBorders>
            <w:hideMark/>
          </w:tcPr>
          <w:p w14:paraId="74B7B2FA" w14:textId="77777777" w:rsidR="00524720" w:rsidRPr="00D9348B" w:rsidRDefault="00524720" w:rsidP="00191C16">
            <w:pPr>
              <w:pStyle w:val="TableText"/>
              <w:spacing w:before="50" w:after="40"/>
              <w:jc w:val="center"/>
            </w:pPr>
            <w:r w:rsidRPr="00D9348B">
              <w:t>984.9</w:t>
            </w:r>
          </w:p>
        </w:tc>
        <w:tc>
          <w:tcPr>
            <w:tcW w:w="2168" w:type="dxa"/>
            <w:tcBorders>
              <w:top w:val="single" w:sz="4" w:space="0" w:color="365F91"/>
              <w:left w:val="nil"/>
              <w:bottom w:val="single" w:sz="4" w:space="0" w:color="365F91"/>
              <w:right w:val="nil"/>
            </w:tcBorders>
            <w:hideMark/>
          </w:tcPr>
          <w:p w14:paraId="465A158F" w14:textId="77777777" w:rsidR="00524720" w:rsidRPr="00D9348B" w:rsidRDefault="00524720" w:rsidP="00191C16">
            <w:pPr>
              <w:pStyle w:val="TableText"/>
              <w:spacing w:before="50" w:after="40"/>
              <w:jc w:val="center"/>
            </w:pPr>
            <w:r w:rsidRPr="00D9348B">
              <w:t>581.8</w:t>
            </w:r>
          </w:p>
        </w:tc>
        <w:tc>
          <w:tcPr>
            <w:tcW w:w="1843" w:type="dxa"/>
            <w:tcBorders>
              <w:top w:val="single" w:sz="4" w:space="0" w:color="365F91"/>
              <w:left w:val="nil"/>
              <w:bottom w:val="single" w:sz="4" w:space="0" w:color="365F91"/>
              <w:right w:val="nil"/>
            </w:tcBorders>
            <w:hideMark/>
          </w:tcPr>
          <w:p w14:paraId="08F9E8CB" w14:textId="77777777" w:rsidR="00524720" w:rsidRPr="00D9348B" w:rsidRDefault="00524720" w:rsidP="00191C16">
            <w:pPr>
              <w:pStyle w:val="TableText"/>
              <w:spacing w:before="50" w:after="40"/>
              <w:jc w:val="center"/>
            </w:pPr>
            <w:r w:rsidRPr="00D9348B">
              <w:t>64.6</w:t>
            </w:r>
          </w:p>
        </w:tc>
        <w:tc>
          <w:tcPr>
            <w:tcW w:w="1559" w:type="dxa"/>
            <w:tcBorders>
              <w:top w:val="single" w:sz="4" w:space="0" w:color="365F91"/>
              <w:left w:val="nil"/>
              <w:bottom w:val="single" w:sz="4" w:space="0" w:color="365F91"/>
              <w:right w:val="nil"/>
            </w:tcBorders>
            <w:hideMark/>
          </w:tcPr>
          <w:p w14:paraId="76645F0D" w14:textId="77777777" w:rsidR="00524720" w:rsidRPr="00D9348B" w:rsidRDefault="00524720" w:rsidP="00191C16">
            <w:pPr>
              <w:pStyle w:val="TableText"/>
              <w:spacing w:before="50" w:after="40"/>
              <w:jc w:val="center"/>
            </w:pPr>
            <w:r w:rsidRPr="00D9348B">
              <w:t>1,631.4</w:t>
            </w:r>
          </w:p>
        </w:tc>
      </w:tr>
      <w:tr w:rsidR="00524720" w:rsidRPr="00D9348B" w14:paraId="0A874844" w14:textId="77777777" w:rsidTr="002D60CB">
        <w:tc>
          <w:tcPr>
            <w:tcW w:w="993" w:type="dxa"/>
            <w:tcBorders>
              <w:top w:val="single" w:sz="4" w:space="0" w:color="365F91"/>
              <w:left w:val="nil"/>
              <w:bottom w:val="single" w:sz="4" w:space="0" w:color="365F91"/>
              <w:right w:val="nil"/>
            </w:tcBorders>
            <w:hideMark/>
          </w:tcPr>
          <w:p w14:paraId="176A97A0" w14:textId="77777777" w:rsidR="00524720" w:rsidRPr="00D9348B" w:rsidRDefault="00524720" w:rsidP="00191C16">
            <w:pPr>
              <w:pStyle w:val="TableTextBold"/>
              <w:spacing w:before="50" w:after="40"/>
              <w:rPr>
                <w:noProof w:val="0"/>
              </w:rPr>
            </w:pPr>
            <w:r w:rsidRPr="00D9348B">
              <w:rPr>
                <w:noProof w:val="0"/>
              </w:rPr>
              <w:t>1982</w:t>
            </w:r>
          </w:p>
        </w:tc>
        <w:tc>
          <w:tcPr>
            <w:tcW w:w="1942" w:type="dxa"/>
            <w:tcBorders>
              <w:top w:val="single" w:sz="4" w:space="0" w:color="365F91"/>
              <w:left w:val="nil"/>
              <w:bottom w:val="single" w:sz="4" w:space="0" w:color="365F91"/>
              <w:right w:val="nil"/>
            </w:tcBorders>
            <w:hideMark/>
          </w:tcPr>
          <w:p w14:paraId="6F47817B" w14:textId="77777777" w:rsidR="00524720" w:rsidRPr="00D9348B" w:rsidRDefault="00524720" w:rsidP="00191C16">
            <w:pPr>
              <w:pStyle w:val="TableText"/>
              <w:spacing w:before="50" w:after="40"/>
              <w:jc w:val="center"/>
            </w:pPr>
            <w:r w:rsidRPr="00D9348B">
              <w:t>984.9</w:t>
            </w:r>
          </w:p>
        </w:tc>
        <w:tc>
          <w:tcPr>
            <w:tcW w:w="2168" w:type="dxa"/>
            <w:tcBorders>
              <w:top w:val="single" w:sz="4" w:space="0" w:color="365F91"/>
              <w:left w:val="nil"/>
              <w:bottom w:val="single" w:sz="4" w:space="0" w:color="365F91"/>
              <w:right w:val="nil"/>
            </w:tcBorders>
            <w:hideMark/>
          </w:tcPr>
          <w:p w14:paraId="253F39E8" w14:textId="77777777" w:rsidR="00524720" w:rsidRPr="00D9348B" w:rsidRDefault="00524720" w:rsidP="00191C16">
            <w:pPr>
              <w:pStyle w:val="TableText"/>
              <w:spacing w:before="50" w:after="40"/>
              <w:jc w:val="center"/>
            </w:pPr>
            <w:r w:rsidRPr="00D9348B">
              <w:t>937.7</w:t>
            </w:r>
          </w:p>
        </w:tc>
        <w:tc>
          <w:tcPr>
            <w:tcW w:w="1843" w:type="dxa"/>
            <w:tcBorders>
              <w:top w:val="single" w:sz="4" w:space="0" w:color="365F91"/>
              <w:left w:val="nil"/>
              <w:bottom w:val="single" w:sz="4" w:space="0" w:color="365F91"/>
              <w:right w:val="nil"/>
            </w:tcBorders>
            <w:hideMark/>
          </w:tcPr>
          <w:p w14:paraId="059D3441" w14:textId="77777777" w:rsidR="00524720" w:rsidRPr="00D9348B" w:rsidRDefault="00524720" w:rsidP="00191C16">
            <w:pPr>
              <w:pStyle w:val="TableText"/>
              <w:spacing w:before="50" w:after="40"/>
              <w:jc w:val="center"/>
            </w:pPr>
            <w:r w:rsidRPr="00D9348B">
              <w:t>104.2</w:t>
            </w:r>
          </w:p>
        </w:tc>
        <w:tc>
          <w:tcPr>
            <w:tcW w:w="1559" w:type="dxa"/>
            <w:tcBorders>
              <w:top w:val="single" w:sz="4" w:space="0" w:color="365F91"/>
              <w:left w:val="nil"/>
              <w:bottom w:val="single" w:sz="4" w:space="0" w:color="365F91"/>
              <w:right w:val="nil"/>
            </w:tcBorders>
            <w:hideMark/>
          </w:tcPr>
          <w:p w14:paraId="7AEA5336" w14:textId="77777777" w:rsidR="00524720" w:rsidRPr="00D9348B" w:rsidRDefault="00524720" w:rsidP="00191C16">
            <w:pPr>
              <w:pStyle w:val="TableText"/>
              <w:spacing w:before="50" w:after="40"/>
              <w:jc w:val="center"/>
            </w:pPr>
            <w:r w:rsidRPr="00D9348B">
              <w:t>2,026.8</w:t>
            </w:r>
          </w:p>
        </w:tc>
      </w:tr>
      <w:tr w:rsidR="00524720" w:rsidRPr="00D9348B" w14:paraId="2C3A9D8E" w14:textId="77777777" w:rsidTr="002D60CB">
        <w:tc>
          <w:tcPr>
            <w:tcW w:w="993" w:type="dxa"/>
            <w:tcBorders>
              <w:top w:val="single" w:sz="4" w:space="0" w:color="365F91"/>
              <w:left w:val="nil"/>
              <w:bottom w:val="single" w:sz="4" w:space="0" w:color="365F91"/>
              <w:right w:val="nil"/>
            </w:tcBorders>
            <w:hideMark/>
          </w:tcPr>
          <w:p w14:paraId="02EBFFBF" w14:textId="77777777" w:rsidR="00524720" w:rsidRPr="00D9348B" w:rsidRDefault="00524720" w:rsidP="00191C16">
            <w:pPr>
              <w:pStyle w:val="TableTextBold"/>
              <w:spacing w:before="50" w:after="40"/>
              <w:rPr>
                <w:noProof w:val="0"/>
              </w:rPr>
            </w:pPr>
            <w:r w:rsidRPr="00D9348B">
              <w:rPr>
                <w:noProof w:val="0"/>
              </w:rPr>
              <w:t>1983</w:t>
            </w:r>
          </w:p>
        </w:tc>
        <w:tc>
          <w:tcPr>
            <w:tcW w:w="1942" w:type="dxa"/>
            <w:tcBorders>
              <w:top w:val="single" w:sz="4" w:space="0" w:color="365F91"/>
              <w:left w:val="nil"/>
              <w:bottom w:val="single" w:sz="4" w:space="0" w:color="365F91"/>
              <w:right w:val="nil"/>
            </w:tcBorders>
            <w:hideMark/>
          </w:tcPr>
          <w:p w14:paraId="32BEE7DA" w14:textId="77777777" w:rsidR="00524720" w:rsidRPr="00D9348B" w:rsidRDefault="00524720" w:rsidP="00191C16">
            <w:pPr>
              <w:pStyle w:val="TableText"/>
              <w:spacing w:before="50" w:after="40"/>
              <w:jc w:val="center"/>
            </w:pPr>
            <w:r w:rsidRPr="00D9348B">
              <w:t>984.9</w:t>
            </w:r>
          </w:p>
        </w:tc>
        <w:tc>
          <w:tcPr>
            <w:tcW w:w="2168" w:type="dxa"/>
            <w:tcBorders>
              <w:top w:val="single" w:sz="4" w:space="0" w:color="365F91"/>
              <w:left w:val="nil"/>
              <w:bottom w:val="single" w:sz="4" w:space="0" w:color="365F91"/>
              <w:right w:val="nil"/>
            </w:tcBorders>
            <w:hideMark/>
          </w:tcPr>
          <w:p w14:paraId="60D16924" w14:textId="77777777" w:rsidR="00524720" w:rsidRPr="00D9348B" w:rsidRDefault="00524720" w:rsidP="00191C16">
            <w:pPr>
              <w:pStyle w:val="TableText"/>
              <w:spacing w:before="50" w:after="40"/>
              <w:jc w:val="center"/>
            </w:pPr>
            <w:r w:rsidRPr="00D9348B">
              <w:t>1,017.6</w:t>
            </w:r>
          </w:p>
        </w:tc>
        <w:tc>
          <w:tcPr>
            <w:tcW w:w="1843" w:type="dxa"/>
            <w:tcBorders>
              <w:top w:val="single" w:sz="4" w:space="0" w:color="365F91"/>
              <w:left w:val="nil"/>
              <w:bottom w:val="single" w:sz="4" w:space="0" w:color="365F91"/>
              <w:right w:val="nil"/>
            </w:tcBorders>
            <w:hideMark/>
          </w:tcPr>
          <w:p w14:paraId="5CBB7DD7" w14:textId="77777777" w:rsidR="00524720" w:rsidRPr="00D9348B" w:rsidRDefault="00524720" w:rsidP="00191C16">
            <w:pPr>
              <w:pStyle w:val="TableText"/>
              <w:spacing w:before="50" w:after="40"/>
              <w:jc w:val="center"/>
            </w:pPr>
            <w:r w:rsidRPr="00D9348B">
              <w:t>113.1</w:t>
            </w:r>
          </w:p>
        </w:tc>
        <w:tc>
          <w:tcPr>
            <w:tcW w:w="1559" w:type="dxa"/>
            <w:tcBorders>
              <w:top w:val="single" w:sz="4" w:space="0" w:color="365F91"/>
              <w:left w:val="nil"/>
              <w:bottom w:val="single" w:sz="4" w:space="0" w:color="365F91"/>
              <w:right w:val="nil"/>
            </w:tcBorders>
            <w:hideMark/>
          </w:tcPr>
          <w:p w14:paraId="1FD7934C" w14:textId="77777777" w:rsidR="00524720" w:rsidRPr="00D9348B" w:rsidRDefault="00524720" w:rsidP="00191C16">
            <w:pPr>
              <w:pStyle w:val="TableText"/>
              <w:spacing w:before="50" w:after="40"/>
              <w:jc w:val="center"/>
            </w:pPr>
            <w:r w:rsidRPr="00D9348B">
              <w:t>2,115.7</w:t>
            </w:r>
          </w:p>
        </w:tc>
      </w:tr>
      <w:tr w:rsidR="00524720" w:rsidRPr="00D9348B" w14:paraId="7B747944" w14:textId="77777777" w:rsidTr="002D60CB">
        <w:tc>
          <w:tcPr>
            <w:tcW w:w="993" w:type="dxa"/>
            <w:tcBorders>
              <w:top w:val="single" w:sz="4" w:space="0" w:color="365F91"/>
              <w:left w:val="nil"/>
              <w:bottom w:val="single" w:sz="4" w:space="0" w:color="365F91"/>
              <w:right w:val="nil"/>
            </w:tcBorders>
            <w:hideMark/>
          </w:tcPr>
          <w:p w14:paraId="5FBB2D58" w14:textId="77777777" w:rsidR="00524720" w:rsidRPr="00D9348B" w:rsidRDefault="00524720" w:rsidP="00191C16">
            <w:pPr>
              <w:pStyle w:val="TableTextBold"/>
              <w:spacing w:before="50" w:after="40"/>
              <w:rPr>
                <w:noProof w:val="0"/>
              </w:rPr>
            </w:pPr>
            <w:r w:rsidRPr="00D9348B">
              <w:rPr>
                <w:noProof w:val="0"/>
              </w:rPr>
              <w:t>1984</w:t>
            </w:r>
          </w:p>
        </w:tc>
        <w:tc>
          <w:tcPr>
            <w:tcW w:w="1942" w:type="dxa"/>
            <w:tcBorders>
              <w:top w:val="single" w:sz="4" w:space="0" w:color="365F91"/>
              <w:left w:val="nil"/>
              <w:bottom w:val="single" w:sz="4" w:space="0" w:color="365F91"/>
              <w:right w:val="nil"/>
            </w:tcBorders>
            <w:hideMark/>
          </w:tcPr>
          <w:p w14:paraId="2AC7843A" w14:textId="77777777" w:rsidR="00524720" w:rsidRPr="00D9348B" w:rsidRDefault="00524720" w:rsidP="00191C16">
            <w:pPr>
              <w:pStyle w:val="TableText"/>
              <w:spacing w:before="50" w:after="40"/>
              <w:jc w:val="center"/>
            </w:pPr>
            <w:r w:rsidRPr="00D9348B">
              <w:t>1,156.5</w:t>
            </w:r>
          </w:p>
        </w:tc>
        <w:tc>
          <w:tcPr>
            <w:tcW w:w="2168" w:type="dxa"/>
            <w:tcBorders>
              <w:top w:val="single" w:sz="4" w:space="0" w:color="365F91"/>
              <w:left w:val="nil"/>
              <w:bottom w:val="single" w:sz="4" w:space="0" w:color="365F91"/>
              <w:right w:val="nil"/>
            </w:tcBorders>
            <w:hideMark/>
          </w:tcPr>
          <w:p w14:paraId="43287731" w14:textId="77777777" w:rsidR="00524720" w:rsidRPr="00D9348B" w:rsidRDefault="00524720" w:rsidP="00191C16">
            <w:pPr>
              <w:pStyle w:val="TableText"/>
              <w:spacing w:before="50" w:after="40"/>
              <w:jc w:val="center"/>
            </w:pPr>
            <w:r w:rsidRPr="00D9348B">
              <w:t>943.2</w:t>
            </w:r>
          </w:p>
        </w:tc>
        <w:tc>
          <w:tcPr>
            <w:tcW w:w="1843" w:type="dxa"/>
            <w:tcBorders>
              <w:top w:val="single" w:sz="4" w:space="0" w:color="365F91"/>
              <w:left w:val="nil"/>
              <w:bottom w:val="single" w:sz="4" w:space="0" w:color="365F91"/>
              <w:right w:val="nil"/>
            </w:tcBorders>
            <w:hideMark/>
          </w:tcPr>
          <w:p w14:paraId="02716FA4" w14:textId="77777777" w:rsidR="00524720" w:rsidRPr="00D9348B" w:rsidRDefault="00524720" w:rsidP="00191C16">
            <w:pPr>
              <w:pStyle w:val="TableText"/>
              <w:spacing w:before="50" w:after="40"/>
              <w:jc w:val="center"/>
            </w:pPr>
            <w:r w:rsidRPr="00D9348B">
              <w:t>104.8</w:t>
            </w:r>
          </w:p>
        </w:tc>
        <w:tc>
          <w:tcPr>
            <w:tcW w:w="1559" w:type="dxa"/>
            <w:tcBorders>
              <w:top w:val="single" w:sz="4" w:space="0" w:color="365F91"/>
              <w:left w:val="nil"/>
              <w:bottom w:val="single" w:sz="4" w:space="0" w:color="365F91"/>
              <w:right w:val="nil"/>
            </w:tcBorders>
            <w:hideMark/>
          </w:tcPr>
          <w:p w14:paraId="54D49C13" w14:textId="77777777" w:rsidR="00524720" w:rsidRPr="00D9348B" w:rsidRDefault="00524720" w:rsidP="00191C16">
            <w:pPr>
              <w:pStyle w:val="TableText"/>
              <w:spacing w:before="50" w:after="40"/>
              <w:jc w:val="center"/>
            </w:pPr>
            <w:r w:rsidRPr="00D9348B">
              <w:t>2,204.5</w:t>
            </w:r>
          </w:p>
        </w:tc>
      </w:tr>
      <w:tr w:rsidR="00524720" w:rsidRPr="00D9348B" w14:paraId="73D852FE" w14:textId="77777777" w:rsidTr="002D60CB">
        <w:tc>
          <w:tcPr>
            <w:tcW w:w="993" w:type="dxa"/>
            <w:tcBorders>
              <w:top w:val="single" w:sz="4" w:space="0" w:color="365F91"/>
              <w:left w:val="nil"/>
              <w:bottom w:val="single" w:sz="4" w:space="0" w:color="365F91"/>
              <w:right w:val="nil"/>
            </w:tcBorders>
            <w:hideMark/>
          </w:tcPr>
          <w:p w14:paraId="3E5D19EB" w14:textId="77777777" w:rsidR="00524720" w:rsidRPr="00D9348B" w:rsidRDefault="00524720" w:rsidP="00191C16">
            <w:pPr>
              <w:pStyle w:val="TableTextBold"/>
              <w:spacing w:before="50" w:after="40"/>
              <w:rPr>
                <w:noProof w:val="0"/>
              </w:rPr>
            </w:pPr>
            <w:r w:rsidRPr="00D9348B">
              <w:rPr>
                <w:noProof w:val="0"/>
              </w:rPr>
              <w:t>1985</w:t>
            </w:r>
          </w:p>
        </w:tc>
        <w:tc>
          <w:tcPr>
            <w:tcW w:w="1942" w:type="dxa"/>
            <w:tcBorders>
              <w:top w:val="single" w:sz="4" w:space="0" w:color="365F91"/>
              <w:left w:val="nil"/>
              <w:bottom w:val="single" w:sz="4" w:space="0" w:color="365F91"/>
              <w:right w:val="nil"/>
            </w:tcBorders>
            <w:hideMark/>
          </w:tcPr>
          <w:p w14:paraId="14B81BB9" w14:textId="77777777" w:rsidR="00524720" w:rsidRPr="00D9348B" w:rsidRDefault="00524720" w:rsidP="00191C16">
            <w:pPr>
              <w:pStyle w:val="TableText"/>
              <w:spacing w:before="50" w:after="40"/>
              <w:jc w:val="center"/>
            </w:pPr>
            <w:r w:rsidRPr="00D9348B">
              <w:t>1,259.1</w:t>
            </w:r>
          </w:p>
        </w:tc>
        <w:tc>
          <w:tcPr>
            <w:tcW w:w="2168" w:type="dxa"/>
            <w:tcBorders>
              <w:top w:val="single" w:sz="4" w:space="0" w:color="365F91"/>
              <w:left w:val="nil"/>
              <w:bottom w:val="single" w:sz="4" w:space="0" w:color="365F91"/>
              <w:right w:val="nil"/>
            </w:tcBorders>
            <w:hideMark/>
          </w:tcPr>
          <w:p w14:paraId="760C4964" w14:textId="77777777" w:rsidR="00524720" w:rsidRPr="00D9348B" w:rsidRDefault="00524720" w:rsidP="00191C16">
            <w:pPr>
              <w:pStyle w:val="TableText"/>
              <w:spacing w:before="50" w:after="40"/>
              <w:jc w:val="center"/>
            </w:pPr>
            <w:r w:rsidRPr="00D9348B">
              <w:t>930.9</w:t>
            </w:r>
          </w:p>
        </w:tc>
        <w:tc>
          <w:tcPr>
            <w:tcW w:w="1843" w:type="dxa"/>
            <w:tcBorders>
              <w:top w:val="single" w:sz="4" w:space="0" w:color="365F91"/>
              <w:left w:val="nil"/>
              <w:bottom w:val="single" w:sz="4" w:space="0" w:color="365F91"/>
              <w:right w:val="nil"/>
            </w:tcBorders>
            <w:hideMark/>
          </w:tcPr>
          <w:p w14:paraId="50688294" w14:textId="77777777" w:rsidR="00524720" w:rsidRPr="00D9348B" w:rsidRDefault="00524720" w:rsidP="00191C16">
            <w:pPr>
              <w:pStyle w:val="TableText"/>
              <w:spacing w:before="50" w:after="40"/>
              <w:jc w:val="center"/>
            </w:pPr>
            <w:r w:rsidRPr="00D9348B">
              <w:t>103.4</w:t>
            </w:r>
          </w:p>
        </w:tc>
        <w:tc>
          <w:tcPr>
            <w:tcW w:w="1559" w:type="dxa"/>
            <w:tcBorders>
              <w:top w:val="single" w:sz="4" w:space="0" w:color="365F91"/>
              <w:left w:val="nil"/>
              <w:bottom w:val="single" w:sz="4" w:space="0" w:color="365F91"/>
              <w:right w:val="nil"/>
            </w:tcBorders>
            <w:hideMark/>
          </w:tcPr>
          <w:p w14:paraId="54664E57" w14:textId="77777777" w:rsidR="00524720" w:rsidRPr="00D9348B" w:rsidRDefault="00524720" w:rsidP="00191C16">
            <w:pPr>
              <w:pStyle w:val="TableText"/>
              <w:spacing w:before="50" w:after="40"/>
              <w:jc w:val="center"/>
            </w:pPr>
            <w:r w:rsidRPr="00D9348B">
              <w:t>2,293.4</w:t>
            </w:r>
          </w:p>
        </w:tc>
      </w:tr>
      <w:tr w:rsidR="00524720" w:rsidRPr="00D9348B" w14:paraId="541C106B" w14:textId="77777777" w:rsidTr="002D60CB">
        <w:tc>
          <w:tcPr>
            <w:tcW w:w="993" w:type="dxa"/>
            <w:tcBorders>
              <w:top w:val="single" w:sz="4" w:space="0" w:color="365F91"/>
              <w:left w:val="nil"/>
              <w:bottom w:val="single" w:sz="4" w:space="0" w:color="365F91"/>
              <w:right w:val="nil"/>
            </w:tcBorders>
            <w:hideMark/>
          </w:tcPr>
          <w:p w14:paraId="4CF4CFFC" w14:textId="77777777" w:rsidR="00524720" w:rsidRPr="00D9348B" w:rsidRDefault="00524720" w:rsidP="00191C16">
            <w:pPr>
              <w:pStyle w:val="TableTextBold"/>
              <w:spacing w:before="50" w:after="40"/>
              <w:rPr>
                <w:noProof w:val="0"/>
              </w:rPr>
            </w:pPr>
            <w:r w:rsidRPr="00D9348B">
              <w:rPr>
                <w:noProof w:val="0"/>
              </w:rPr>
              <w:t>1986</w:t>
            </w:r>
          </w:p>
        </w:tc>
        <w:tc>
          <w:tcPr>
            <w:tcW w:w="1942" w:type="dxa"/>
            <w:tcBorders>
              <w:top w:val="single" w:sz="4" w:space="0" w:color="365F91"/>
              <w:left w:val="nil"/>
              <w:bottom w:val="single" w:sz="4" w:space="0" w:color="365F91"/>
              <w:right w:val="nil"/>
            </w:tcBorders>
            <w:hideMark/>
          </w:tcPr>
          <w:p w14:paraId="66DBDE2C" w14:textId="77777777" w:rsidR="00524720" w:rsidRPr="00D9348B" w:rsidRDefault="00524720" w:rsidP="00191C16">
            <w:pPr>
              <w:pStyle w:val="TableText"/>
              <w:spacing w:before="50" w:after="40"/>
              <w:jc w:val="center"/>
            </w:pPr>
            <w:r w:rsidRPr="00D9348B">
              <w:t>1,259.1</w:t>
            </w:r>
          </w:p>
        </w:tc>
        <w:tc>
          <w:tcPr>
            <w:tcW w:w="2168" w:type="dxa"/>
            <w:tcBorders>
              <w:top w:val="single" w:sz="4" w:space="0" w:color="365F91"/>
              <w:left w:val="nil"/>
              <w:bottom w:val="single" w:sz="4" w:space="0" w:color="365F91"/>
              <w:right w:val="nil"/>
            </w:tcBorders>
            <w:hideMark/>
          </w:tcPr>
          <w:p w14:paraId="1BE71FD8" w14:textId="77777777" w:rsidR="00524720" w:rsidRPr="00D9348B" w:rsidRDefault="00524720" w:rsidP="00191C16">
            <w:pPr>
              <w:pStyle w:val="TableText"/>
              <w:spacing w:before="50" w:after="40"/>
              <w:jc w:val="center"/>
            </w:pPr>
            <w:r w:rsidRPr="00D9348B">
              <w:t>1,010.9</w:t>
            </w:r>
          </w:p>
        </w:tc>
        <w:tc>
          <w:tcPr>
            <w:tcW w:w="1843" w:type="dxa"/>
            <w:tcBorders>
              <w:top w:val="single" w:sz="4" w:space="0" w:color="365F91"/>
              <w:left w:val="nil"/>
              <w:bottom w:val="single" w:sz="4" w:space="0" w:color="365F91"/>
              <w:right w:val="nil"/>
            </w:tcBorders>
            <w:hideMark/>
          </w:tcPr>
          <w:p w14:paraId="0CBD5D7D" w14:textId="77777777" w:rsidR="00524720" w:rsidRPr="00D9348B" w:rsidRDefault="00524720" w:rsidP="00191C16">
            <w:pPr>
              <w:pStyle w:val="TableText"/>
              <w:spacing w:before="50" w:after="40"/>
              <w:jc w:val="center"/>
            </w:pPr>
            <w:r w:rsidRPr="00D9348B">
              <w:t>112.3</w:t>
            </w:r>
          </w:p>
        </w:tc>
        <w:tc>
          <w:tcPr>
            <w:tcW w:w="1559" w:type="dxa"/>
            <w:tcBorders>
              <w:top w:val="single" w:sz="4" w:space="0" w:color="365F91"/>
              <w:left w:val="nil"/>
              <w:bottom w:val="single" w:sz="4" w:space="0" w:color="365F91"/>
              <w:right w:val="nil"/>
            </w:tcBorders>
            <w:hideMark/>
          </w:tcPr>
          <w:p w14:paraId="57B84AD7" w14:textId="77777777" w:rsidR="00524720" w:rsidRPr="00D9348B" w:rsidRDefault="00524720" w:rsidP="00191C16">
            <w:pPr>
              <w:pStyle w:val="TableText"/>
              <w:spacing w:before="50" w:after="40"/>
              <w:jc w:val="center"/>
            </w:pPr>
            <w:r w:rsidRPr="00D9348B">
              <w:t>2,382.3</w:t>
            </w:r>
          </w:p>
        </w:tc>
      </w:tr>
      <w:tr w:rsidR="00524720" w:rsidRPr="00D9348B" w14:paraId="6049B592" w14:textId="77777777" w:rsidTr="002D60CB">
        <w:tc>
          <w:tcPr>
            <w:tcW w:w="993" w:type="dxa"/>
            <w:tcBorders>
              <w:top w:val="single" w:sz="4" w:space="0" w:color="365F91"/>
              <w:left w:val="nil"/>
              <w:bottom w:val="single" w:sz="4" w:space="0" w:color="365F91"/>
              <w:right w:val="nil"/>
            </w:tcBorders>
            <w:hideMark/>
          </w:tcPr>
          <w:p w14:paraId="53AEAB71" w14:textId="77777777" w:rsidR="00524720" w:rsidRPr="00D9348B" w:rsidRDefault="00524720" w:rsidP="00191C16">
            <w:pPr>
              <w:pStyle w:val="TableTextBold"/>
              <w:spacing w:before="50" w:after="40"/>
              <w:rPr>
                <w:noProof w:val="0"/>
              </w:rPr>
            </w:pPr>
            <w:r w:rsidRPr="00D9348B">
              <w:rPr>
                <w:noProof w:val="0"/>
              </w:rPr>
              <w:lastRenderedPageBreak/>
              <w:t>1987</w:t>
            </w:r>
          </w:p>
        </w:tc>
        <w:tc>
          <w:tcPr>
            <w:tcW w:w="1942" w:type="dxa"/>
            <w:tcBorders>
              <w:top w:val="single" w:sz="4" w:space="0" w:color="365F91"/>
              <w:left w:val="nil"/>
              <w:bottom w:val="single" w:sz="4" w:space="0" w:color="365F91"/>
              <w:right w:val="nil"/>
            </w:tcBorders>
            <w:hideMark/>
          </w:tcPr>
          <w:p w14:paraId="6EF3EE55" w14:textId="77777777" w:rsidR="00524720" w:rsidRPr="00D9348B" w:rsidRDefault="00524720" w:rsidP="00191C16">
            <w:pPr>
              <w:pStyle w:val="TableText"/>
              <w:spacing w:before="50" w:after="40"/>
              <w:jc w:val="center"/>
            </w:pPr>
            <w:r w:rsidRPr="00D9348B">
              <w:t>1,342.7</w:t>
            </w:r>
          </w:p>
        </w:tc>
        <w:tc>
          <w:tcPr>
            <w:tcW w:w="2168" w:type="dxa"/>
            <w:tcBorders>
              <w:top w:val="single" w:sz="4" w:space="0" w:color="365F91"/>
              <w:left w:val="nil"/>
              <w:bottom w:val="single" w:sz="4" w:space="0" w:color="365F91"/>
              <w:right w:val="nil"/>
            </w:tcBorders>
            <w:hideMark/>
          </w:tcPr>
          <w:p w14:paraId="1F0B1C61" w14:textId="77777777" w:rsidR="00524720" w:rsidRPr="00D9348B" w:rsidRDefault="00524720" w:rsidP="00191C16">
            <w:pPr>
              <w:pStyle w:val="TableText"/>
              <w:spacing w:before="50" w:after="40"/>
              <w:jc w:val="center"/>
            </w:pPr>
            <w:r w:rsidRPr="00D9348B">
              <w:t>1,015.6</w:t>
            </w:r>
          </w:p>
        </w:tc>
        <w:tc>
          <w:tcPr>
            <w:tcW w:w="1843" w:type="dxa"/>
            <w:tcBorders>
              <w:top w:val="single" w:sz="4" w:space="0" w:color="365F91"/>
              <w:left w:val="nil"/>
              <w:bottom w:val="single" w:sz="4" w:space="0" w:color="365F91"/>
              <w:right w:val="nil"/>
            </w:tcBorders>
            <w:hideMark/>
          </w:tcPr>
          <w:p w14:paraId="084C857D" w14:textId="77777777" w:rsidR="00524720" w:rsidRPr="00D9348B" w:rsidRDefault="00524720" w:rsidP="00191C16">
            <w:pPr>
              <w:pStyle w:val="TableText"/>
              <w:spacing w:before="50" w:after="40"/>
              <w:jc w:val="center"/>
            </w:pPr>
            <w:r w:rsidRPr="00D9348B">
              <w:t>112.8</w:t>
            </w:r>
          </w:p>
        </w:tc>
        <w:tc>
          <w:tcPr>
            <w:tcW w:w="1559" w:type="dxa"/>
            <w:tcBorders>
              <w:top w:val="single" w:sz="4" w:space="0" w:color="365F91"/>
              <w:left w:val="nil"/>
              <w:bottom w:val="single" w:sz="4" w:space="0" w:color="365F91"/>
              <w:right w:val="nil"/>
            </w:tcBorders>
            <w:hideMark/>
          </w:tcPr>
          <w:p w14:paraId="7AA9D47D" w14:textId="77777777" w:rsidR="00524720" w:rsidRPr="00D9348B" w:rsidRDefault="00524720" w:rsidP="00191C16">
            <w:pPr>
              <w:pStyle w:val="TableText"/>
              <w:spacing w:before="50" w:after="40"/>
              <w:jc w:val="center"/>
            </w:pPr>
            <w:r w:rsidRPr="00D9348B">
              <w:t>2,471.1</w:t>
            </w:r>
          </w:p>
        </w:tc>
      </w:tr>
      <w:tr w:rsidR="00524720" w:rsidRPr="00D9348B" w14:paraId="02D0FCDE" w14:textId="77777777" w:rsidTr="002D60CB">
        <w:tc>
          <w:tcPr>
            <w:tcW w:w="993" w:type="dxa"/>
            <w:tcBorders>
              <w:top w:val="single" w:sz="4" w:space="0" w:color="365F91"/>
              <w:left w:val="nil"/>
              <w:bottom w:val="single" w:sz="4" w:space="0" w:color="365F91"/>
              <w:right w:val="nil"/>
            </w:tcBorders>
            <w:hideMark/>
          </w:tcPr>
          <w:p w14:paraId="06C78D1E" w14:textId="77777777" w:rsidR="00524720" w:rsidRPr="00D9348B" w:rsidRDefault="00524720" w:rsidP="00191C16">
            <w:pPr>
              <w:pStyle w:val="TableTextBold"/>
              <w:spacing w:before="50" w:after="40"/>
              <w:rPr>
                <w:noProof w:val="0"/>
              </w:rPr>
            </w:pPr>
            <w:r w:rsidRPr="00D9348B">
              <w:rPr>
                <w:noProof w:val="0"/>
              </w:rPr>
              <w:t>1988</w:t>
            </w:r>
          </w:p>
        </w:tc>
        <w:tc>
          <w:tcPr>
            <w:tcW w:w="1942" w:type="dxa"/>
            <w:tcBorders>
              <w:top w:val="single" w:sz="4" w:space="0" w:color="365F91"/>
              <w:left w:val="nil"/>
              <w:bottom w:val="single" w:sz="4" w:space="0" w:color="365F91"/>
              <w:right w:val="nil"/>
            </w:tcBorders>
            <w:hideMark/>
          </w:tcPr>
          <w:p w14:paraId="307D5AAB" w14:textId="77777777" w:rsidR="00524720" w:rsidRPr="00D9348B" w:rsidRDefault="00524720" w:rsidP="00191C16">
            <w:pPr>
              <w:pStyle w:val="TableText"/>
              <w:spacing w:before="50" w:after="40"/>
              <w:jc w:val="center"/>
            </w:pPr>
            <w:r w:rsidRPr="00D9348B">
              <w:t>1,432.6</w:t>
            </w:r>
          </w:p>
        </w:tc>
        <w:tc>
          <w:tcPr>
            <w:tcW w:w="2168" w:type="dxa"/>
            <w:tcBorders>
              <w:top w:val="single" w:sz="4" w:space="0" w:color="365F91"/>
              <w:left w:val="nil"/>
              <w:bottom w:val="single" w:sz="4" w:space="0" w:color="365F91"/>
              <w:right w:val="nil"/>
            </w:tcBorders>
            <w:hideMark/>
          </w:tcPr>
          <w:p w14:paraId="540C1063" w14:textId="77777777" w:rsidR="00524720" w:rsidRPr="00D9348B" w:rsidRDefault="00524720" w:rsidP="00191C16">
            <w:pPr>
              <w:pStyle w:val="TableText"/>
              <w:spacing w:before="50" w:after="40"/>
              <w:jc w:val="center"/>
            </w:pPr>
            <w:r w:rsidRPr="00D9348B">
              <w:t>1,014.7</w:t>
            </w:r>
          </w:p>
        </w:tc>
        <w:tc>
          <w:tcPr>
            <w:tcW w:w="1843" w:type="dxa"/>
            <w:tcBorders>
              <w:top w:val="single" w:sz="4" w:space="0" w:color="365F91"/>
              <w:left w:val="nil"/>
              <w:bottom w:val="single" w:sz="4" w:space="0" w:color="365F91"/>
              <w:right w:val="nil"/>
            </w:tcBorders>
            <w:hideMark/>
          </w:tcPr>
          <w:p w14:paraId="6DDD7DA1" w14:textId="77777777" w:rsidR="00524720" w:rsidRPr="00D9348B" w:rsidRDefault="00524720" w:rsidP="00191C16">
            <w:pPr>
              <w:pStyle w:val="TableText"/>
              <w:spacing w:before="50" w:after="40"/>
              <w:jc w:val="center"/>
            </w:pPr>
            <w:r w:rsidRPr="00D9348B">
              <w:t>112.7</w:t>
            </w:r>
          </w:p>
        </w:tc>
        <w:tc>
          <w:tcPr>
            <w:tcW w:w="1559" w:type="dxa"/>
            <w:tcBorders>
              <w:top w:val="single" w:sz="4" w:space="0" w:color="365F91"/>
              <w:left w:val="nil"/>
              <w:bottom w:val="single" w:sz="4" w:space="0" w:color="365F91"/>
              <w:right w:val="nil"/>
            </w:tcBorders>
            <w:hideMark/>
          </w:tcPr>
          <w:p w14:paraId="65297742" w14:textId="77777777" w:rsidR="00524720" w:rsidRPr="00D9348B" w:rsidRDefault="00524720" w:rsidP="00191C16">
            <w:pPr>
              <w:pStyle w:val="TableText"/>
              <w:spacing w:before="50" w:after="40"/>
              <w:jc w:val="center"/>
            </w:pPr>
            <w:r w:rsidRPr="00D9348B">
              <w:t>2,560.0</w:t>
            </w:r>
          </w:p>
        </w:tc>
      </w:tr>
      <w:tr w:rsidR="00524720" w:rsidRPr="00D9348B" w14:paraId="77DEDB3E" w14:textId="77777777" w:rsidTr="002D60CB">
        <w:tc>
          <w:tcPr>
            <w:tcW w:w="993" w:type="dxa"/>
            <w:tcBorders>
              <w:top w:val="single" w:sz="4" w:space="0" w:color="365F91"/>
              <w:left w:val="nil"/>
              <w:bottom w:val="single" w:sz="4" w:space="0" w:color="365F91"/>
              <w:right w:val="nil"/>
            </w:tcBorders>
            <w:hideMark/>
          </w:tcPr>
          <w:p w14:paraId="2681749E" w14:textId="77777777" w:rsidR="00524720" w:rsidRPr="00D9348B" w:rsidRDefault="00524720" w:rsidP="00191C16">
            <w:pPr>
              <w:pStyle w:val="TableTextBold"/>
              <w:spacing w:before="50" w:after="40"/>
              <w:rPr>
                <w:noProof w:val="0"/>
              </w:rPr>
            </w:pPr>
            <w:r w:rsidRPr="00D9348B">
              <w:rPr>
                <w:noProof w:val="0"/>
              </w:rPr>
              <w:t>1989</w:t>
            </w:r>
          </w:p>
        </w:tc>
        <w:tc>
          <w:tcPr>
            <w:tcW w:w="1942" w:type="dxa"/>
            <w:tcBorders>
              <w:top w:val="single" w:sz="4" w:space="0" w:color="365F91"/>
              <w:left w:val="nil"/>
              <w:bottom w:val="single" w:sz="4" w:space="0" w:color="365F91"/>
              <w:right w:val="nil"/>
            </w:tcBorders>
            <w:hideMark/>
          </w:tcPr>
          <w:p w14:paraId="4F638C12" w14:textId="77777777" w:rsidR="00524720" w:rsidRPr="00D9348B" w:rsidRDefault="00524720" w:rsidP="00191C16">
            <w:pPr>
              <w:pStyle w:val="TableText"/>
              <w:spacing w:before="50" w:after="40"/>
              <w:jc w:val="center"/>
            </w:pPr>
            <w:r w:rsidRPr="00D9348B">
              <w:t>1,432.6</w:t>
            </w:r>
          </w:p>
        </w:tc>
        <w:tc>
          <w:tcPr>
            <w:tcW w:w="2168" w:type="dxa"/>
            <w:tcBorders>
              <w:top w:val="single" w:sz="4" w:space="0" w:color="365F91"/>
              <w:left w:val="nil"/>
              <w:bottom w:val="single" w:sz="4" w:space="0" w:color="365F91"/>
              <w:right w:val="nil"/>
            </w:tcBorders>
            <w:hideMark/>
          </w:tcPr>
          <w:p w14:paraId="390161A3" w14:textId="77777777" w:rsidR="00524720" w:rsidRPr="00D9348B" w:rsidRDefault="00524720" w:rsidP="00191C16">
            <w:pPr>
              <w:pStyle w:val="TableText"/>
              <w:spacing w:before="50" w:after="40"/>
              <w:jc w:val="center"/>
            </w:pPr>
            <w:r w:rsidRPr="00D9348B">
              <w:t>1,094.7</w:t>
            </w:r>
          </w:p>
        </w:tc>
        <w:tc>
          <w:tcPr>
            <w:tcW w:w="1843" w:type="dxa"/>
            <w:tcBorders>
              <w:top w:val="single" w:sz="4" w:space="0" w:color="365F91"/>
              <w:left w:val="nil"/>
              <w:bottom w:val="single" w:sz="4" w:space="0" w:color="365F91"/>
              <w:right w:val="nil"/>
            </w:tcBorders>
            <w:hideMark/>
          </w:tcPr>
          <w:p w14:paraId="050B6E8E" w14:textId="77777777" w:rsidR="00524720" w:rsidRPr="00D9348B" w:rsidRDefault="00524720" w:rsidP="00191C16">
            <w:pPr>
              <w:pStyle w:val="TableText"/>
              <w:spacing w:before="50" w:after="40"/>
              <w:jc w:val="center"/>
            </w:pPr>
            <w:r w:rsidRPr="00D9348B">
              <w:t>121.6</w:t>
            </w:r>
          </w:p>
        </w:tc>
        <w:tc>
          <w:tcPr>
            <w:tcW w:w="1559" w:type="dxa"/>
            <w:tcBorders>
              <w:top w:val="single" w:sz="4" w:space="0" w:color="365F91"/>
              <w:left w:val="nil"/>
              <w:bottom w:val="single" w:sz="4" w:space="0" w:color="365F91"/>
              <w:right w:val="nil"/>
            </w:tcBorders>
            <w:hideMark/>
          </w:tcPr>
          <w:p w14:paraId="229CE3E0" w14:textId="77777777" w:rsidR="00524720" w:rsidRPr="00D9348B" w:rsidRDefault="00524720" w:rsidP="00191C16">
            <w:pPr>
              <w:pStyle w:val="TableText"/>
              <w:spacing w:before="50" w:after="40"/>
              <w:jc w:val="center"/>
            </w:pPr>
            <w:r w:rsidRPr="00D9348B">
              <w:t>2,648.9</w:t>
            </w:r>
          </w:p>
        </w:tc>
      </w:tr>
      <w:tr w:rsidR="00524720" w:rsidRPr="00D9348B" w14:paraId="230DD8A0" w14:textId="77777777" w:rsidTr="002D60CB">
        <w:tc>
          <w:tcPr>
            <w:tcW w:w="993" w:type="dxa"/>
            <w:tcBorders>
              <w:top w:val="single" w:sz="4" w:space="0" w:color="365F91"/>
              <w:left w:val="nil"/>
              <w:bottom w:val="single" w:sz="4" w:space="0" w:color="365F91"/>
              <w:right w:val="nil"/>
            </w:tcBorders>
            <w:hideMark/>
          </w:tcPr>
          <w:p w14:paraId="3B8DD5AE" w14:textId="77777777" w:rsidR="00524720" w:rsidRPr="00D9348B" w:rsidRDefault="00524720" w:rsidP="00191C16">
            <w:pPr>
              <w:pStyle w:val="TableTextBold"/>
              <w:spacing w:before="50" w:after="40"/>
              <w:rPr>
                <w:noProof w:val="0"/>
              </w:rPr>
            </w:pPr>
            <w:r w:rsidRPr="00D9348B">
              <w:rPr>
                <w:noProof w:val="0"/>
              </w:rPr>
              <w:t>1990</w:t>
            </w:r>
          </w:p>
        </w:tc>
        <w:tc>
          <w:tcPr>
            <w:tcW w:w="1942" w:type="dxa"/>
            <w:tcBorders>
              <w:top w:val="single" w:sz="4" w:space="0" w:color="365F91"/>
              <w:left w:val="nil"/>
              <w:bottom w:val="single" w:sz="4" w:space="0" w:color="365F91"/>
              <w:right w:val="nil"/>
            </w:tcBorders>
            <w:hideMark/>
          </w:tcPr>
          <w:p w14:paraId="4B4B4D4D" w14:textId="77777777" w:rsidR="00524720" w:rsidRPr="00D9348B" w:rsidRDefault="00524720" w:rsidP="00191C16">
            <w:pPr>
              <w:pStyle w:val="TableText"/>
              <w:spacing w:before="50" w:after="40"/>
              <w:jc w:val="center"/>
              <w:rPr>
                <w:rFonts w:cs="Arial"/>
                <w:szCs w:val="16"/>
              </w:rPr>
            </w:pPr>
            <w:r w:rsidRPr="00D9348B">
              <w:t>1,432.6</w:t>
            </w:r>
          </w:p>
        </w:tc>
        <w:tc>
          <w:tcPr>
            <w:tcW w:w="2168" w:type="dxa"/>
            <w:tcBorders>
              <w:top w:val="single" w:sz="4" w:space="0" w:color="365F91"/>
              <w:left w:val="nil"/>
              <w:bottom w:val="single" w:sz="4" w:space="0" w:color="365F91"/>
              <w:right w:val="nil"/>
            </w:tcBorders>
            <w:hideMark/>
          </w:tcPr>
          <w:p w14:paraId="22E15BB1" w14:textId="77777777" w:rsidR="00524720" w:rsidRPr="00D9348B" w:rsidRDefault="00524720" w:rsidP="00191C16">
            <w:pPr>
              <w:pStyle w:val="TableText"/>
              <w:spacing w:before="50" w:after="40"/>
              <w:jc w:val="center"/>
              <w:rPr>
                <w:rFonts w:cs="Arial"/>
                <w:szCs w:val="16"/>
              </w:rPr>
            </w:pPr>
            <w:r w:rsidRPr="00D9348B">
              <w:t>1,174.7</w:t>
            </w:r>
          </w:p>
        </w:tc>
        <w:tc>
          <w:tcPr>
            <w:tcW w:w="1843" w:type="dxa"/>
            <w:tcBorders>
              <w:top w:val="single" w:sz="4" w:space="0" w:color="365F91"/>
              <w:left w:val="nil"/>
              <w:bottom w:val="single" w:sz="4" w:space="0" w:color="365F91"/>
              <w:right w:val="nil"/>
            </w:tcBorders>
            <w:hideMark/>
          </w:tcPr>
          <w:p w14:paraId="3A874B2D" w14:textId="77777777" w:rsidR="00524720" w:rsidRPr="00D9348B" w:rsidRDefault="00524720" w:rsidP="00191C16">
            <w:pPr>
              <w:pStyle w:val="TableText"/>
              <w:spacing w:before="50" w:after="40"/>
              <w:jc w:val="center"/>
              <w:rPr>
                <w:rFonts w:cs="Arial"/>
                <w:szCs w:val="16"/>
              </w:rPr>
            </w:pPr>
            <w:r w:rsidRPr="00D9348B">
              <w:t>130.5</w:t>
            </w:r>
          </w:p>
        </w:tc>
        <w:tc>
          <w:tcPr>
            <w:tcW w:w="1559" w:type="dxa"/>
            <w:tcBorders>
              <w:top w:val="single" w:sz="4" w:space="0" w:color="365F91"/>
              <w:left w:val="nil"/>
              <w:bottom w:val="single" w:sz="4" w:space="0" w:color="365F91"/>
              <w:right w:val="nil"/>
            </w:tcBorders>
            <w:hideMark/>
          </w:tcPr>
          <w:p w14:paraId="735BC7D3" w14:textId="5C55D197" w:rsidR="00524720" w:rsidRPr="00D9348B" w:rsidRDefault="00524720" w:rsidP="00191C16">
            <w:pPr>
              <w:pStyle w:val="TableText"/>
              <w:spacing w:before="50" w:after="40"/>
              <w:jc w:val="center"/>
              <w:rPr>
                <w:rFonts w:cs="Arial"/>
                <w:szCs w:val="16"/>
              </w:rPr>
            </w:pPr>
            <w:r w:rsidRPr="00D9348B">
              <w:t>2,737.</w:t>
            </w:r>
            <w:r w:rsidR="00CC6894">
              <w:t>8</w:t>
            </w:r>
          </w:p>
        </w:tc>
      </w:tr>
      <w:tr w:rsidR="00524720" w:rsidRPr="00D9348B" w14:paraId="1CB96E04" w14:textId="77777777" w:rsidTr="002D60CB">
        <w:tc>
          <w:tcPr>
            <w:tcW w:w="993" w:type="dxa"/>
            <w:tcBorders>
              <w:top w:val="single" w:sz="4" w:space="0" w:color="365F91"/>
              <w:left w:val="nil"/>
              <w:bottom w:val="single" w:sz="4" w:space="0" w:color="365F91"/>
              <w:right w:val="nil"/>
            </w:tcBorders>
            <w:hideMark/>
          </w:tcPr>
          <w:p w14:paraId="653C260C" w14:textId="77777777" w:rsidR="00524720" w:rsidRPr="00D9348B" w:rsidRDefault="00524720" w:rsidP="00191C16">
            <w:pPr>
              <w:pStyle w:val="TableTextBold"/>
              <w:spacing w:before="50" w:after="40"/>
              <w:rPr>
                <w:noProof w:val="0"/>
              </w:rPr>
            </w:pPr>
            <w:r w:rsidRPr="00D9348B">
              <w:rPr>
                <w:noProof w:val="0"/>
              </w:rPr>
              <w:t>1991</w:t>
            </w:r>
          </w:p>
        </w:tc>
        <w:tc>
          <w:tcPr>
            <w:tcW w:w="1942" w:type="dxa"/>
            <w:tcBorders>
              <w:top w:val="single" w:sz="4" w:space="0" w:color="365F91"/>
              <w:left w:val="nil"/>
              <w:bottom w:val="single" w:sz="4" w:space="0" w:color="365F91"/>
              <w:right w:val="nil"/>
            </w:tcBorders>
            <w:hideMark/>
          </w:tcPr>
          <w:p w14:paraId="4F8C95D7" w14:textId="77777777" w:rsidR="00524720" w:rsidRPr="00D9348B" w:rsidRDefault="00524720" w:rsidP="00191C16">
            <w:pPr>
              <w:pStyle w:val="TableText"/>
              <w:spacing w:before="50" w:after="40"/>
              <w:jc w:val="center"/>
              <w:rPr>
                <w:rFonts w:cs="Arial"/>
                <w:szCs w:val="16"/>
              </w:rPr>
            </w:pPr>
            <w:r w:rsidRPr="00D9348B">
              <w:t>1,432.6</w:t>
            </w:r>
          </w:p>
        </w:tc>
        <w:tc>
          <w:tcPr>
            <w:tcW w:w="2168" w:type="dxa"/>
            <w:tcBorders>
              <w:top w:val="single" w:sz="4" w:space="0" w:color="365F91"/>
              <w:left w:val="nil"/>
              <w:bottom w:val="single" w:sz="4" w:space="0" w:color="365F91"/>
              <w:right w:val="nil"/>
            </w:tcBorders>
            <w:hideMark/>
          </w:tcPr>
          <w:p w14:paraId="5F5D4021" w14:textId="77777777" w:rsidR="00524720" w:rsidRPr="00D9348B" w:rsidRDefault="00524720" w:rsidP="00191C16">
            <w:pPr>
              <w:pStyle w:val="TableText"/>
              <w:spacing w:before="50" w:after="40"/>
              <w:jc w:val="center"/>
              <w:rPr>
                <w:rFonts w:cs="Arial"/>
                <w:szCs w:val="16"/>
              </w:rPr>
            </w:pPr>
            <w:r w:rsidRPr="00D9348B">
              <w:t>1,254.7</w:t>
            </w:r>
          </w:p>
        </w:tc>
        <w:tc>
          <w:tcPr>
            <w:tcW w:w="1843" w:type="dxa"/>
            <w:tcBorders>
              <w:top w:val="single" w:sz="4" w:space="0" w:color="365F91"/>
              <w:left w:val="nil"/>
              <w:bottom w:val="single" w:sz="4" w:space="0" w:color="365F91"/>
              <w:right w:val="nil"/>
            </w:tcBorders>
            <w:hideMark/>
          </w:tcPr>
          <w:p w14:paraId="177228D4" w14:textId="77777777" w:rsidR="00524720" w:rsidRPr="00D9348B" w:rsidRDefault="00524720" w:rsidP="00191C16">
            <w:pPr>
              <w:pStyle w:val="TableText"/>
              <w:spacing w:before="50" w:after="40"/>
              <w:jc w:val="center"/>
              <w:rPr>
                <w:rFonts w:cs="Arial"/>
                <w:szCs w:val="16"/>
              </w:rPr>
            </w:pPr>
            <w:r w:rsidRPr="00D9348B">
              <w:t>139.4</w:t>
            </w:r>
          </w:p>
        </w:tc>
        <w:tc>
          <w:tcPr>
            <w:tcW w:w="1559" w:type="dxa"/>
            <w:tcBorders>
              <w:top w:val="single" w:sz="4" w:space="0" w:color="365F91"/>
              <w:left w:val="nil"/>
              <w:bottom w:val="single" w:sz="4" w:space="0" w:color="365F91"/>
              <w:right w:val="nil"/>
            </w:tcBorders>
            <w:hideMark/>
          </w:tcPr>
          <w:p w14:paraId="119503A4" w14:textId="77777777" w:rsidR="00524720" w:rsidRPr="00D9348B" w:rsidRDefault="00524720" w:rsidP="00191C16">
            <w:pPr>
              <w:pStyle w:val="TableText"/>
              <w:spacing w:before="50" w:after="40"/>
              <w:jc w:val="center"/>
              <w:rPr>
                <w:rFonts w:cs="Arial"/>
                <w:szCs w:val="16"/>
              </w:rPr>
            </w:pPr>
            <w:r w:rsidRPr="00D9348B">
              <w:t>2,826.6</w:t>
            </w:r>
          </w:p>
        </w:tc>
      </w:tr>
      <w:tr w:rsidR="00524720" w:rsidRPr="00D9348B" w14:paraId="7228E266" w14:textId="77777777" w:rsidTr="002D60CB">
        <w:tc>
          <w:tcPr>
            <w:tcW w:w="993" w:type="dxa"/>
            <w:tcBorders>
              <w:top w:val="single" w:sz="4" w:space="0" w:color="365F91"/>
              <w:left w:val="nil"/>
              <w:bottom w:val="single" w:sz="4" w:space="0" w:color="365F91"/>
              <w:right w:val="nil"/>
            </w:tcBorders>
            <w:hideMark/>
          </w:tcPr>
          <w:p w14:paraId="10BE5537" w14:textId="77777777" w:rsidR="00524720" w:rsidRPr="00D9348B" w:rsidRDefault="00524720" w:rsidP="00191C16">
            <w:pPr>
              <w:pStyle w:val="TableTextBold"/>
              <w:spacing w:before="50" w:after="40"/>
              <w:rPr>
                <w:noProof w:val="0"/>
              </w:rPr>
            </w:pPr>
            <w:r w:rsidRPr="00D9348B">
              <w:rPr>
                <w:noProof w:val="0"/>
              </w:rPr>
              <w:t>1992</w:t>
            </w:r>
          </w:p>
        </w:tc>
        <w:tc>
          <w:tcPr>
            <w:tcW w:w="1942" w:type="dxa"/>
            <w:tcBorders>
              <w:top w:val="single" w:sz="4" w:space="0" w:color="365F91"/>
              <w:left w:val="nil"/>
              <w:bottom w:val="single" w:sz="4" w:space="0" w:color="365F91"/>
              <w:right w:val="nil"/>
            </w:tcBorders>
            <w:hideMark/>
          </w:tcPr>
          <w:p w14:paraId="70D7D693" w14:textId="77777777" w:rsidR="00524720" w:rsidRPr="00D9348B" w:rsidRDefault="00524720" w:rsidP="00191C16">
            <w:pPr>
              <w:pStyle w:val="TableText"/>
              <w:spacing w:before="50" w:after="40"/>
              <w:jc w:val="center"/>
              <w:rPr>
                <w:rFonts w:cs="Arial"/>
                <w:szCs w:val="16"/>
              </w:rPr>
            </w:pPr>
            <w:r w:rsidRPr="00D9348B">
              <w:t>1,432.6</w:t>
            </w:r>
          </w:p>
        </w:tc>
        <w:tc>
          <w:tcPr>
            <w:tcW w:w="2168" w:type="dxa"/>
            <w:tcBorders>
              <w:top w:val="single" w:sz="4" w:space="0" w:color="365F91"/>
              <w:left w:val="nil"/>
              <w:bottom w:val="single" w:sz="4" w:space="0" w:color="365F91"/>
              <w:right w:val="nil"/>
            </w:tcBorders>
            <w:hideMark/>
          </w:tcPr>
          <w:p w14:paraId="234FBD11" w14:textId="77777777" w:rsidR="00524720" w:rsidRPr="00D9348B" w:rsidRDefault="00524720" w:rsidP="00191C16">
            <w:pPr>
              <w:pStyle w:val="TableText"/>
              <w:spacing w:before="50" w:after="40"/>
              <w:jc w:val="center"/>
              <w:rPr>
                <w:rFonts w:cs="Arial"/>
                <w:szCs w:val="16"/>
              </w:rPr>
            </w:pPr>
            <w:r w:rsidRPr="00D9348B">
              <w:t>1,334.7</w:t>
            </w:r>
          </w:p>
        </w:tc>
        <w:tc>
          <w:tcPr>
            <w:tcW w:w="1843" w:type="dxa"/>
            <w:tcBorders>
              <w:top w:val="single" w:sz="4" w:space="0" w:color="365F91"/>
              <w:left w:val="nil"/>
              <w:bottom w:val="single" w:sz="4" w:space="0" w:color="365F91"/>
              <w:right w:val="nil"/>
            </w:tcBorders>
            <w:hideMark/>
          </w:tcPr>
          <w:p w14:paraId="4514EBCC" w14:textId="77777777" w:rsidR="00524720" w:rsidRPr="00D9348B" w:rsidRDefault="00524720" w:rsidP="00191C16">
            <w:pPr>
              <w:pStyle w:val="TableText"/>
              <w:spacing w:before="50" w:after="40"/>
              <w:jc w:val="center"/>
              <w:rPr>
                <w:rFonts w:cs="Arial"/>
                <w:szCs w:val="16"/>
              </w:rPr>
            </w:pPr>
            <w:r w:rsidRPr="00D9348B">
              <w:t>148.3</w:t>
            </w:r>
          </w:p>
        </w:tc>
        <w:tc>
          <w:tcPr>
            <w:tcW w:w="1559" w:type="dxa"/>
            <w:tcBorders>
              <w:top w:val="single" w:sz="4" w:space="0" w:color="365F91"/>
              <w:left w:val="nil"/>
              <w:bottom w:val="single" w:sz="4" w:space="0" w:color="365F91"/>
              <w:right w:val="nil"/>
            </w:tcBorders>
            <w:hideMark/>
          </w:tcPr>
          <w:p w14:paraId="4EA6DAE8" w14:textId="77777777" w:rsidR="00524720" w:rsidRPr="00D9348B" w:rsidRDefault="00524720" w:rsidP="00191C16">
            <w:pPr>
              <w:pStyle w:val="TableText"/>
              <w:spacing w:before="50" w:after="40"/>
              <w:jc w:val="center"/>
              <w:rPr>
                <w:rFonts w:cs="Arial"/>
                <w:szCs w:val="16"/>
              </w:rPr>
            </w:pPr>
            <w:r w:rsidRPr="00D9348B">
              <w:t>2,915.5</w:t>
            </w:r>
          </w:p>
        </w:tc>
      </w:tr>
      <w:tr w:rsidR="00524720" w:rsidRPr="00D9348B" w14:paraId="2C0C5FB3" w14:textId="77777777" w:rsidTr="002D60CB">
        <w:tc>
          <w:tcPr>
            <w:tcW w:w="993" w:type="dxa"/>
            <w:tcBorders>
              <w:top w:val="single" w:sz="4" w:space="0" w:color="365F91"/>
              <w:left w:val="nil"/>
              <w:bottom w:val="single" w:sz="4" w:space="0" w:color="365F91"/>
              <w:right w:val="nil"/>
            </w:tcBorders>
            <w:hideMark/>
          </w:tcPr>
          <w:p w14:paraId="25826761" w14:textId="77777777" w:rsidR="00524720" w:rsidRPr="00D9348B" w:rsidRDefault="00524720" w:rsidP="00191C16">
            <w:pPr>
              <w:pStyle w:val="TableTextBold"/>
              <w:spacing w:before="50" w:after="40"/>
              <w:rPr>
                <w:noProof w:val="0"/>
              </w:rPr>
            </w:pPr>
            <w:r w:rsidRPr="00D9348B">
              <w:rPr>
                <w:noProof w:val="0"/>
              </w:rPr>
              <w:t>1993</w:t>
            </w:r>
          </w:p>
        </w:tc>
        <w:tc>
          <w:tcPr>
            <w:tcW w:w="1942" w:type="dxa"/>
            <w:tcBorders>
              <w:top w:val="single" w:sz="4" w:space="0" w:color="365F91"/>
              <w:left w:val="nil"/>
              <w:bottom w:val="single" w:sz="4" w:space="0" w:color="365F91"/>
              <w:right w:val="nil"/>
            </w:tcBorders>
            <w:hideMark/>
          </w:tcPr>
          <w:p w14:paraId="16C4C5B0" w14:textId="77777777" w:rsidR="00524720" w:rsidRPr="00D9348B" w:rsidRDefault="00524720" w:rsidP="00191C16">
            <w:pPr>
              <w:pStyle w:val="TableText"/>
              <w:spacing w:before="50" w:after="40"/>
              <w:jc w:val="center"/>
            </w:pPr>
            <w:r w:rsidRPr="00D9348B">
              <w:t>1,650.5</w:t>
            </w:r>
          </w:p>
        </w:tc>
        <w:tc>
          <w:tcPr>
            <w:tcW w:w="2168" w:type="dxa"/>
            <w:tcBorders>
              <w:top w:val="single" w:sz="4" w:space="0" w:color="365F91"/>
              <w:left w:val="nil"/>
              <w:bottom w:val="single" w:sz="4" w:space="0" w:color="365F91"/>
              <w:right w:val="nil"/>
            </w:tcBorders>
            <w:hideMark/>
          </w:tcPr>
          <w:p w14:paraId="15E0B56D" w14:textId="77777777" w:rsidR="00524720" w:rsidRPr="00D9348B" w:rsidRDefault="00524720" w:rsidP="00191C16">
            <w:pPr>
              <w:pStyle w:val="TableText"/>
              <w:spacing w:before="50" w:after="40"/>
              <w:jc w:val="center"/>
            </w:pPr>
            <w:r w:rsidRPr="00D9348B">
              <w:t>1,218.5</w:t>
            </w:r>
          </w:p>
        </w:tc>
        <w:tc>
          <w:tcPr>
            <w:tcW w:w="1843" w:type="dxa"/>
            <w:tcBorders>
              <w:top w:val="single" w:sz="4" w:space="0" w:color="365F91"/>
              <w:left w:val="nil"/>
              <w:bottom w:val="single" w:sz="4" w:space="0" w:color="365F91"/>
              <w:right w:val="nil"/>
            </w:tcBorders>
            <w:hideMark/>
          </w:tcPr>
          <w:p w14:paraId="689CCAD2" w14:textId="77777777" w:rsidR="00524720" w:rsidRPr="00D9348B" w:rsidRDefault="00524720" w:rsidP="00191C16">
            <w:pPr>
              <w:pStyle w:val="TableText"/>
              <w:spacing w:before="50" w:after="40"/>
              <w:jc w:val="center"/>
            </w:pPr>
            <w:r w:rsidRPr="00D9348B">
              <w:t>135.4</w:t>
            </w:r>
          </w:p>
        </w:tc>
        <w:tc>
          <w:tcPr>
            <w:tcW w:w="1559" w:type="dxa"/>
            <w:tcBorders>
              <w:top w:val="single" w:sz="4" w:space="0" w:color="365F91"/>
              <w:left w:val="nil"/>
              <w:bottom w:val="single" w:sz="4" w:space="0" w:color="365F91"/>
              <w:right w:val="nil"/>
            </w:tcBorders>
            <w:hideMark/>
          </w:tcPr>
          <w:p w14:paraId="621DCB47" w14:textId="77777777" w:rsidR="00524720" w:rsidRPr="00D9348B" w:rsidRDefault="00524720" w:rsidP="00191C16">
            <w:pPr>
              <w:pStyle w:val="TableText"/>
              <w:spacing w:before="50" w:after="40"/>
              <w:jc w:val="center"/>
            </w:pPr>
            <w:r w:rsidRPr="00D9348B">
              <w:t>3,004.4</w:t>
            </w:r>
          </w:p>
        </w:tc>
      </w:tr>
      <w:tr w:rsidR="00524720" w:rsidRPr="00D9348B" w14:paraId="75F49671" w14:textId="77777777" w:rsidTr="002D60CB">
        <w:tc>
          <w:tcPr>
            <w:tcW w:w="993" w:type="dxa"/>
            <w:tcBorders>
              <w:top w:val="single" w:sz="4" w:space="0" w:color="365F91"/>
              <w:left w:val="nil"/>
              <w:bottom w:val="single" w:sz="4" w:space="0" w:color="365F91"/>
              <w:right w:val="nil"/>
            </w:tcBorders>
            <w:hideMark/>
          </w:tcPr>
          <w:p w14:paraId="71C027FF" w14:textId="77777777" w:rsidR="00524720" w:rsidRPr="00D9348B" w:rsidRDefault="00524720" w:rsidP="00191C16">
            <w:pPr>
              <w:pStyle w:val="TableTextBold"/>
              <w:spacing w:before="50" w:after="40"/>
              <w:rPr>
                <w:noProof w:val="0"/>
              </w:rPr>
            </w:pPr>
            <w:r w:rsidRPr="00D9348B">
              <w:rPr>
                <w:noProof w:val="0"/>
              </w:rPr>
              <w:t>1994</w:t>
            </w:r>
          </w:p>
        </w:tc>
        <w:tc>
          <w:tcPr>
            <w:tcW w:w="1942" w:type="dxa"/>
            <w:tcBorders>
              <w:top w:val="single" w:sz="4" w:space="0" w:color="365F91"/>
              <w:left w:val="nil"/>
              <w:bottom w:val="single" w:sz="4" w:space="0" w:color="365F91"/>
              <w:right w:val="nil"/>
            </w:tcBorders>
            <w:hideMark/>
          </w:tcPr>
          <w:p w14:paraId="73CB56E6" w14:textId="77777777" w:rsidR="00524720" w:rsidRPr="00D9348B" w:rsidRDefault="00524720" w:rsidP="00191C16">
            <w:pPr>
              <w:pStyle w:val="TableText"/>
              <w:spacing w:before="50" w:after="40"/>
              <w:jc w:val="center"/>
            </w:pPr>
            <w:r w:rsidRPr="00D9348B">
              <w:t>1,687.5</w:t>
            </w:r>
          </w:p>
        </w:tc>
        <w:tc>
          <w:tcPr>
            <w:tcW w:w="2168" w:type="dxa"/>
            <w:tcBorders>
              <w:top w:val="single" w:sz="4" w:space="0" w:color="365F91"/>
              <w:left w:val="nil"/>
              <w:bottom w:val="single" w:sz="4" w:space="0" w:color="365F91"/>
              <w:right w:val="nil"/>
            </w:tcBorders>
            <w:hideMark/>
          </w:tcPr>
          <w:p w14:paraId="5AD199BC" w14:textId="77777777" w:rsidR="00524720" w:rsidRPr="00D9348B" w:rsidRDefault="00524720" w:rsidP="00191C16">
            <w:pPr>
              <w:pStyle w:val="TableText"/>
              <w:spacing w:before="50" w:after="40"/>
              <w:jc w:val="center"/>
            </w:pPr>
            <w:r w:rsidRPr="00D9348B">
              <w:t>1,265.2</w:t>
            </w:r>
          </w:p>
        </w:tc>
        <w:tc>
          <w:tcPr>
            <w:tcW w:w="1843" w:type="dxa"/>
            <w:tcBorders>
              <w:top w:val="single" w:sz="4" w:space="0" w:color="365F91"/>
              <w:left w:val="nil"/>
              <w:bottom w:val="single" w:sz="4" w:space="0" w:color="365F91"/>
              <w:right w:val="nil"/>
            </w:tcBorders>
            <w:hideMark/>
          </w:tcPr>
          <w:p w14:paraId="36039598" w14:textId="77777777" w:rsidR="00524720" w:rsidRPr="00D9348B" w:rsidRDefault="00524720" w:rsidP="00191C16">
            <w:pPr>
              <w:pStyle w:val="TableText"/>
              <w:spacing w:before="50" w:after="40"/>
              <w:jc w:val="center"/>
            </w:pPr>
            <w:r w:rsidRPr="00D9348B">
              <w:t>140.6</w:t>
            </w:r>
          </w:p>
        </w:tc>
        <w:tc>
          <w:tcPr>
            <w:tcW w:w="1559" w:type="dxa"/>
            <w:tcBorders>
              <w:top w:val="single" w:sz="4" w:space="0" w:color="365F91"/>
              <w:left w:val="nil"/>
              <w:bottom w:val="single" w:sz="4" w:space="0" w:color="365F91"/>
              <w:right w:val="nil"/>
            </w:tcBorders>
            <w:hideMark/>
          </w:tcPr>
          <w:p w14:paraId="428EA8F5" w14:textId="278FAC53" w:rsidR="00524720" w:rsidRPr="00D9348B" w:rsidRDefault="00524720" w:rsidP="00191C16">
            <w:pPr>
              <w:pStyle w:val="TableText"/>
              <w:spacing w:before="50" w:after="40"/>
              <w:jc w:val="center"/>
            </w:pPr>
            <w:r w:rsidRPr="00D9348B">
              <w:t>3,093.</w:t>
            </w:r>
            <w:r w:rsidR="00CC6894">
              <w:t>2</w:t>
            </w:r>
          </w:p>
        </w:tc>
      </w:tr>
      <w:tr w:rsidR="00524720" w:rsidRPr="00D9348B" w14:paraId="21D52778" w14:textId="77777777" w:rsidTr="002D60CB">
        <w:tc>
          <w:tcPr>
            <w:tcW w:w="993" w:type="dxa"/>
            <w:tcBorders>
              <w:top w:val="single" w:sz="4" w:space="0" w:color="365F91"/>
              <w:left w:val="nil"/>
              <w:bottom w:val="single" w:sz="4" w:space="0" w:color="365F91"/>
              <w:right w:val="nil"/>
            </w:tcBorders>
            <w:hideMark/>
          </w:tcPr>
          <w:p w14:paraId="433C6C47" w14:textId="77777777" w:rsidR="00524720" w:rsidRPr="00D9348B" w:rsidRDefault="00524720" w:rsidP="00191C16">
            <w:pPr>
              <w:pStyle w:val="TableTextBold"/>
              <w:spacing w:before="50" w:after="40"/>
              <w:rPr>
                <w:noProof w:val="0"/>
              </w:rPr>
            </w:pPr>
            <w:r w:rsidRPr="00D9348B">
              <w:rPr>
                <w:noProof w:val="0"/>
              </w:rPr>
              <w:t>1995</w:t>
            </w:r>
          </w:p>
        </w:tc>
        <w:tc>
          <w:tcPr>
            <w:tcW w:w="1942" w:type="dxa"/>
            <w:tcBorders>
              <w:top w:val="single" w:sz="4" w:space="0" w:color="365F91"/>
              <w:left w:val="nil"/>
              <w:bottom w:val="single" w:sz="4" w:space="0" w:color="365F91"/>
              <w:right w:val="nil"/>
            </w:tcBorders>
            <w:hideMark/>
          </w:tcPr>
          <w:p w14:paraId="0012CA1F" w14:textId="77777777" w:rsidR="00524720" w:rsidRPr="00D9348B" w:rsidRDefault="00524720" w:rsidP="00191C16">
            <w:pPr>
              <w:pStyle w:val="TableText"/>
              <w:spacing w:before="50" w:after="40"/>
              <w:jc w:val="center"/>
            </w:pPr>
            <w:r w:rsidRPr="00D9348B">
              <w:t>1,687.5</w:t>
            </w:r>
          </w:p>
        </w:tc>
        <w:tc>
          <w:tcPr>
            <w:tcW w:w="2168" w:type="dxa"/>
            <w:tcBorders>
              <w:top w:val="single" w:sz="4" w:space="0" w:color="365F91"/>
              <w:left w:val="nil"/>
              <w:bottom w:val="single" w:sz="4" w:space="0" w:color="365F91"/>
              <w:right w:val="nil"/>
            </w:tcBorders>
            <w:hideMark/>
          </w:tcPr>
          <w:p w14:paraId="6BE0B112" w14:textId="77777777" w:rsidR="00524720" w:rsidRPr="00D9348B" w:rsidRDefault="00524720" w:rsidP="00191C16">
            <w:pPr>
              <w:pStyle w:val="TableText"/>
              <w:spacing w:before="50" w:after="40"/>
              <w:jc w:val="center"/>
            </w:pPr>
            <w:r w:rsidRPr="00D9348B">
              <w:t>1,345.2</w:t>
            </w:r>
          </w:p>
        </w:tc>
        <w:tc>
          <w:tcPr>
            <w:tcW w:w="1843" w:type="dxa"/>
            <w:tcBorders>
              <w:top w:val="single" w:sz="4" w:space="0" w:color="365F91"/>
              <w:left w:val="nil"/>
              <w:bottom w:val="single" w:sz="4" w:space="0" w:color="365F91"/>
              <w:right w:val="nil"/>
            </w:tcBorders>
            <w:hideMark/>
          </w:tcPr>
          <w:p w14:paraId="25F5E705" w14:textId="77777777" w:rsidR="00524720" w:rsidRPr="00D9348B" w:rsidRDefault="00524720" w:rsidP="00191C16">
            <w:pPr>
              <w:pStyle w:val="TableText"/>
              <w:spacing w:before="50" w:after="40"/>
              <w:jc w:val="center"/>
            </w:pPr>
            <w:r w:rsidRPr="00D9348B">
              <w:t>149.5</w:t>
            </w:r>
          </w:p>
        </w:tc>
        <w:tc>
          <w:tcPr>
            <w:tcW w:w="1559" w:type="dxa"/>
            <w:tcBorders>
              <w:top w:val="single" w:sz="4" w:space="0" w:color="365F91"/>
              <w:left w:val="nil"/>
              <w:bottom w:val="single" w:sz="4" w:space="0" w:color="365F91"/>
              <w:right w:val="nil"/>
            </w:tcBorders>
            <w:hideMark/>
          </w:tcPr>
          <w:p w14:paraId="65AC6615" w14:textId="49954708" w:rsidR="00524720" w:rsidRPr="00D9348B" w:rsidRDefault="00524720" w:rsidP="00191C16">
            <w:pPr>
              <w:pStyle w:val="TableText"/>
              <w:spacing w:before="50" w:after="40"/>
              <w:jc w:val="center"/>
            </w:pPr>
            <w:r w:rsidRPr="00D9348B">
              <w:t>3,182.</w:t>
            </w:r>
            <w:r w:rsidR="00CC6894">
              <w:t>1</w:t>
            </w:r>
          </w:p>
        </w:tc>
      </w:tr>
      <w:tr w:rsidR="00524720" w:rsidRPr="00D9348B" w14:paraId="090B4E91" w14:textId="77777777" w:rsidTr="002D60CB">
        <w:tc>
          <w:tcPr>
            <w:tcW w:w="993" w:type="dxa"/>
            <w:tcBorders>
              <w:top w:val="single" w:sz="4" w:space="0" w:color="365F91"/>
              <w:left w:val="nil"/>
              <w:bottom w:val="single" w:sz="4" w:space="0" w:color="365F91"/>
              <w:right w:val="nil"/>
            </w:tcBorders>
            <w:hideMark/>
          </w:tcPr>
          <w:p w14:paraId="0957F965" w14:textId="77777777" w:rsidR="00524720" w:rsidRPr="00D9348B" w:rsidRDefault="00524720" w:rsidP="00191C16">
            <w:pPr>
              <w:pStyle w:val="TableTextBold"/>
              <w:spacing w:before="50" w:after="40"/>
              <w:rPr>
                <w:noProof w:val="0"/>
              </w:rPr>
            </w:pPr>
            <w:r w:rsidRPr="00D9348B">
              <w:rPr>
                <w:noProof w:val="0"/>
              </w:rPr>
              <w:t>1996</w:t>
            </w:r>
          </w:p>
        </w:tc>
        <w:tc>
          <w:tcPr>
            <w:tcW w:w="1942" w:type="dxa"/>
            <w:tcBorders>
              <w:top w:val="single" w:sz="4" w:space="0" w:color="365F91"/>
              <w:left w:val="nil"/>
              <w:bottom w:val="single" w:sz="4" w:space="0" w:color="365F91"/>
              <w:right w:val="nil"/>
            </w:tcBorders>
            <w:hideMark/>
          </w:tcPr>
          <w:p w14:paraId="0F074028" w14:textId="77777777" w:rsidR="00524720" w:rsidRPr="00D9348B" w:rsidRDefault="00524720" w:rsidP="00191C16">
            <w:pPr>
              <w:pStyle w:val="TableText"/>
              <w:spacing w:before="50" w:after="40"/>
              <w:jc w:val="center"/>
            </w:pPr>
            <w:r w:rsidRPr="00D9348B">
              <w:t>1,735.0</w:t>
            </w:r>
          </w:p>
        </w:tc>
        <w:tc>
          <w:tcPr>
            <w:tcW w:w="2168" w:type="dxa"/>
            <w:tcBorders>
              <w:top w:val="single" w:sz="4" w:space="0" w:color="365F91"/>
              <w:left w:val="nil"/>
              <w:bottom w:val="single" w:sz="4" w:space="0" w:color="365F91"/>
              <w:right w:val="nil"/>
            </w:tcBorders>
            <w:hideMark/>
          </w:tcPr>
          <w:p w14:paraId="2434F54E" w14:textId="77777777" w:rsidR="00524720" w:rsidRPr="00D9348B" w:rsidRDefault="00524720" w:rsidP="00191C16">
            <w:pPr>
              <w:pStyle w:val="TableText"/>
              <w:spacing w:before="50" w:after="40"/>
              <w:jc w:val="center"/>
            </w:pPr>
            <w:r w:rsidRPr="00D9348B">
              <w:t>1,186.0</w:t>
            </w:r>
          </w:p>
        </w:tc>
        <w:tc>
          <w:tcPr>
            <w:tcW w:w="1843" w:type="dxa"/>
            <w:tcBorders>
              <w:top w:val="single" w:sz="4" w:space="0" w:color="365F91"/>
              <w:left w:val="nil"/>
              <w:bottom w:val="single" w:sz="4" w:space="0" w:color="365F91"/>
              <w:right w:val="nil"/>
            </w:tcBorders>
            <w:hideMark/>
          </w:tcPr>
          <w:p w14:paraId="1EB382B6" w14:textId="77777777" w:rsidR="00524720" w:rsidRPr="00D9348B" w:rsidRDefault="00524720" w:rsidP="00191C16">
            <w:pPr>
              <w:pStyle w:val="TableText"/>
              <w:spacing w:before="50" w:after="40"/>
              <w:jc w:val="center"/>
            </w:pPr>
            <w:r w:rsidRPr="00D9348B">
              <w:t>122.1</w:t>
            </w:r>
          </w:p>
        </w:tc>
        <w:tc>
          <w:tcPr>
            <w:tcW w:w="1559" w:type="dxa"/>
            <w:tcBorders>
              <w:top w:val="single" w:sz="4" w:space="0" w:color="365F91"/>
              <w:left w:val="nil"/>
              <w:bottom w:val="single" w:sz="4" w:space="0" w:color="365F91"/>
              <w:right w:val="nil"/>
            </w:tcBorders>
            <w:hideMark/>
          </w:tcPr>
          <w:p w14:paraId="67AA3DA2" w14:textId="77777777" w:rsidR="00524720" w:rsidRPr="00D9348B" w:rsidRDefault="00524720" w:rsidP="00191C16">
            <w:pPr>
              <w:pStyle w:val="TableText"/>
              <w:spacing w:before="50" w:after="40"/>
              <w:jc w:val="center"/>
            </w:pPr>
            <w:r w:rsidRPr="00D9348B">
              <w:t>3,043.1</w:t>
            </w:r>
          </w:p>
        </w:tc>
      </w:tr>
      <w:tr w:rsidR="00524720" w:rsidRPr="00D9348B" w14:paraId="4F06D492" w14:textId="77777777" w:rsidTr="002D60CB">
        <w:tc>
          <w:tcPr>
            <w:tcW w:w="993" w:type="dxa"/>
            <w:tcBorders>
              <w:top w:val="single" w:sz="4" w:space="0" w:color="365F91"/>
              <w:left w:val="nil"/>
              <w:bottom w:val="single" w:sz="4" w:space="0" w:color="365F91"/>
              <w:right w:val="nil"/>
            </w:tcBorders>
            <w:hideMark/>
          </w:tcPr>
          <w:p w14:paraId="11D1B492" w14:textId="77777777" w:rsidR="00524720" w:rsidRPr="00D9348B" w:rsidRDefault="00524720" w:rsidP="00191C16">
            <w:pPr>
              <w:pStyle w:val="TableTextBold"/>
              <w:spacing w:before="50" w:after="40"/>
              <w:rPr>
                <w:noProof w:val="0"/>
              </w:rPr>
            </w:pPr>
            <w:r w:rsidRPr="00D9348B">
              <w:rPr>
                <w:noProof w:val="0"/>
              </w:rPr>
              <w:t>1997</w:t>
            </w:r>
          </w:p>
        </w:tc>
        <w:tc>
          <w:tcPr>
            <w:tcW w:w="1942" w:type="dxa"/>
            <w:tcBorders>
              <w:top w:val="single" w:sz="4" w:space="0" w:color="365F91"/>
              <w:left w:val="nil"/>
              <w:bottom w:val="single" w:sz="4" w:space="0" w:color="365F91"/>
              <w:right w:val="nil"/>
            </w:tcBorders>
            <w:hideMark/>
          </w:tcPr>
          <w:p w14:paraId="3508F8BE" w14:textId="77777777" w:rsidR="00524720" w:rsidRPr="00D9348B" w:rsidRDefault="00524720" w:rsidP="00191C16">
            <w:pPr>
              <w:pStyle w:val="TableText"/>
              <w:spacing w:before="50" w:after="40"/>
              <w:jc w:val="center"/>
            </w:pPr>
            <w:r w:rsidRPr="00D9348B">
              <w:t>1,671.2</w:t>
            </w:r>
          </w:p>
        </w:tc>
        <w:tc>
          <w:tcPr>
            <w:tcW w:w="2168" w:type="dxa"/>
            <w:tcBorders>
              <w:top w:val="single" w:sz="4" w:space="0" w:color="365F91"/>
              <w:left w:val="nil"/>
              <w:bottom w:val="single" w:sz="4" w:space="0" w:color="365F91"/>
              <w:right w:val="nil"/>
            </w:tcBorders>
            <w:hideMark/>
          </w:tcPr>
          <w:p w14:paraId="343B513D" w14:textId="77777777" w:rsidR="00524720" w:rsidRPr="00D9348B" w:rsidRDefault="00524720" w:rsidP="00191C16">
            <w:pPr>
              <w:pStyle w:val="TableText"/>
              <w:spacing w:before="50" w:after="40"/>
              <w:jc w:val="center"/>
            </w:pPr>
            <w:r w:rsidRPr="00D9348B">
              <w:t>1,126.0</w:t>
            </w:r>
          </w:p>
        </w:tc>
        <w:tc>
          <w:tcPr>
            <w:tcW w:w="1843" w:type="dxa"/>
            <w:tcBorders>
              <w:top w:val="single" w:sz="4" w:space="0" w:color="365F91"/>
              <w:left w:val="nil"/>
              <w:bottom w:val="single" w:sz="4" w:space="0" w:color="365F91"/>
              <w:right w:val="nil"/>
            </w:tcBorders>
            <w:hideMark/>
          </w:tcPr>
          <w:p w14:paraId="62A85E2F" w14:textId="77777777" w:rsidR="00524720" w:rsidRPr="00D9348B" w:rsidRDefault="00524720" w:rsidP="00191C16">
            <w:pPr>
              <w:pStyle w:val="TableText"/>
              <w:spacing w:before="50" w:after="40"/>
              <w:jc w:val="center"/>
            </w:pPr>
            <w:r w:rsidRPr="00D9348B">
              <w:t>106.8</w:t>
            </w:r>
          </w:p>
        </w:tc>
        <w:tc>
          <w:tcPr>
            <w:tcW w:w="1559" w:type="dxa"/>
            <w:tcBorders>
              <w:top w:val="single" w:sz="4" w:space="0" w:color="365F91"/>
              <w:left w:val="nil"/>
              <w:bottom w:val="single" w:sz="4" w:space="0" w:color="365F91"/>
              <w:right w:val="nil"/>
            </w:tcBorders>
            <w:hideMark/>
          </w:tcPr>
          <w:p w14:paraId="703226C9" w14:textId="63148902" w:rsidR="00524720" w:rsidRPr="00D9348B" w:rsidRDefault="00524720" w:rsidP="00191C16">
            <w:pPr>
              <w:pStyle w:val="TableText"/>
              <w:spacing w:before="50" w:after="40"/>
              <w:jc w:val="center"/>
            </w:pPr>
            <w:r w:rsidRPr="00D9348B">
              <w:t>2,904.</w:t>
            </w:r>
            <w:r w:rsidR="00CC6894">
              <w:t>1</w:t>
            </w:r>
          </w:p>
        </w:tc>
      </w:tr>
      <w:tr w:rsidR="00524720" w:rsidRPr="00D9348B" w14:paraId="11FD15D0" w14:textId="77777777" w:rsidTr="002D60CB">
        <w:tc>
          <w:tcPr>
            <w:tcW w:w="993" w:type="dxa"/>
            <w:tcBorders>
              <w:top w:val="single" w:sz="4" w:space="0" w:color="365F91"/>
              <w:left w:val="nil"/>
              <w:bottom w:val="single" w:sz="4" w:space="0" w:color="365F91"/>
              <w:right w:val="nil"/>
            </w:tcBorders>
            <w:hideMark/>
          </w:tcPr>
          <w:p w14:paraId="5415C013" w14:textId="77777777" w:rsidR="00524720" w:rsidRPr="00D9348B" w:rsidRDefault="00524720" w:rsidP="00191C16">
            <w:pPr>
              <w:pStyle w:val="TableTextBold"/>
              <w:spacing w:before="50" w:after="40"/>
              <w:rPr>
                <w:noProof w:val="0"/>
              </w:rPr>
            </w:pPr>
            <w:r w:rsidRPr="00D9348B">
              <w:rPr>
                <w:noProof w:val="0"/>
              </w:rPr>
              <w:t>1998</w:t>
            </w:r>
          </w:p>
        </w:tc>
        <w:tc>
          <w:tcPr>
            <w:tcW w:w="1942" w:type="dxa"/>
            <w:tcBorders>
              <w:top w:val="single" w:sz="4" w:space="0" w:color="365F91"/>
              <w:left w:val="nil"/>
              <w:bottom w:val="single" w:sz="4" w:space="0" w:color="365F91"/>
              <w:right w:val="nil"/>
            </w:tcBorders>
            <w:hideMark/>
          </w:tcPr>
          <w:p w14:paraId="61768D57" w14:textId="77777777" w:rsidR="00524720" w:rsidRPr="00D9348B" w:rsidRDefault="00524720" w:rsidP="00191C16">
            <w:pPr>
              <w:pStyle w:val="TableText"/>
              <w:spacing w:before="50" w:after="40"/>
              <w:jc w:val="center"/>
            </w:pPr>
            <w:r w:rsidRPr="00D9348B">
              <w:t>1,575.0</w:t>
            </w:r>
          </w:p>
        </w:tc>
        <w:tc>
          <w:tcPr>
            <w:tcW w:w="2168" w:type="dxa"/>
            <w:tcBorders>
              <w:top w:val="single" w:sz="4" w:space="0" w:color="365F91"/>
              <w:left w:val="nil"/>
              <w:bottom w:val="single" w:sz="4" w:space="0" w:color="365F91"/>
              <w:right w:val="nil"/>
            </w:tcBorders>
            <w:hideMark/>
          </w:tcPr>
          <w:p w14:paraId="1C1926CA" w14:textId="77777777" w:rsidR="00524720" w:rsidRPr="00D9348B" w:rsidRDefault="00524720" w:rsidP="00191C16">
            <w:pPr>
              <w:pStyle w:val="TableText"/>
              <w:spacing w:before="50" w:after="40"/>
              <w:jc w:val="center"/>
            </w:pPr>
            <w:r w:rsidRPr="00D9348B">
              <w:t>1,094.8</w:t>
            </w:r>
          </w:p>
        </w:tc>
        <w:tc>
          <w:tcPr>
            <w:tcW w:w="1843" w:type="dxa"/>
            <w:tcBorders>
              <w:top w:val="single" w:sz="4" w:space="0" w:color="365F91"/>
              <w:left w:val="nil"/>
              <w:bottom w:val="single" w:sz="4" w:space="0" w:color="365F91"/>
              <w:right w:val="nil"/>
            </w:tcBorders>
            <w:hideMark/>
          </w:tcPr>
          <w:p w14:paraId="0BF1C13E" w14:textId="77777777" w:rsidR="00524720" w:rsidRPr="00D9348B" w:rsidRDefault="00524720" w:rsidP="00191C16">
            <w:pPr>
              <w:pStyle w:val="TableText"/>
              <w:spacing w:before="50" w:after="40"/>
              <w:jc w:val="center"/>
            </w:pPr>
            <w:r w:rsidRPr="00D9348B">
              <w:t>95.2</w:t>
            </w:r>
          </w:p>
        </w:tc>
        <w:tc>
          <w:tcPr>
            <w:tcW w:w="1559" w:type="dxa"/>
            <w:tcBorders>
              <w:top w:val="single" w:sz="4" w:space="0" w:color="365F91"/>
              <w:left w:val="nil"/>
              <w:bottom w:val="single" w:sz="4" w:space="0" w:color="365F91"/>
              <w:right w:val="nil"/>
            </w:tcBorders>
            <w:hideMark/>
          </w:tcPr>
          <w:p w14:paraId="548F214B" w14:textId="77777777" w:rsidR="00524720" w:rsidRPr="00D9348B" w:rsidRDefault="00524720" w:rsidP="00191C16">
            <w:pPr>
              <w:pStyle w:val="TableText"/>
              <w:spacing w:before="50" w:after="40"/>
              <w:jc w:val="center"/>
            </w:pPr>
            <w:r w:rsidRPr="00D9348B">
              <w:t>2,765.0</w:t>
            </w:r>
          </w:p>
        </w:tc>
      </w:tr>
      <w:tr w:rsidR="00524720" w:rsidRPr="00D9348B" w14:paraId="142721F3" w14:textId="77777777" w:rsidTr="002D60CB">
        <w:tc>
          <w:tcPr>
            <w:tcW w:w="993" w:type="dxa"/>
            <w:tcBorders>
              <w:top w:val="single" w:sz="4" w:space="0" w:color="365F91"/>
              <w:left w:val="nil"/>
              <w:bottom w:val="single" w:sz="4" w:space="0" w:color="365F91"/>
              <w:right w:val="nil"/>
            </w:tcBorders>
            <w:hideMark/>
          </w:tcPr>
          <w:p w14:paraId="353A7EB1" w14:textId="77777777" w:rsidR="00524720" w:rsidRPr="00D9348B" w:rsidRDefault="00524720" w:rsidP="00191C16">
            <w:pPr>
              <w:pStyle w:val="TableTextBold"/>
              <w:spacing w:before="50" w:after="40"/>
              <w:rPr>
                <w:noProof w:val="0"/>
              </w:rPr>
            </w:pPr>
            <w:r w:rsidRPr="00D9348B">
              <w:rPr>
                <w:noProof w:val="0"/>
              </w:rPr>
              <w:t>1999</w:t>
            </w:r>
          </w:p>
        </w:tc>
        <w:tc>
          <w:tcPr>
            <w:tcW w:w="1942" w:type="dxa"/>
            <w:tcBorders>
              <w:top w:val="single" w:sz="4" w:space="0" w:color="365F91"/>
              <w:left w:val="nil"/>
              <w:bottom w:val="single" w:sz="4" w:space="0" w:color="365F91"/>
              <w:right w:val="nil"/>
            </w:tcBorders>
            <w:hideMark/>
          </w:tcPr>
          <w:p w14:paraId="201B13A3" w14:textId="77777777" w:rsidR="00524720" w:rsidRPr="00D9348B" w:rsidRDefault="00524720" w:rsidP="00191C16">
            <w:pPr>
              <w:pStyle w:val="TableText"/>
              <w:spacing w:before="50" w:after="40"/>
              <w:jc w:val="center"/>
            </w:pPr>
            <w:r w:rsidRPr="00D9348B">
              <w:t>1,575.0</w:t>
            </w:r>
          </w:p>
        </w:tc>
        <w:tc>
          <w:tcPr>
            <w:tcW w:w="2168" w:type="dxa"/>
            <w:tcBorders>
              <w:top w:val="single" w:sz="4" w:space="0" w:color="365F91"/>
              <w:left w:val="nil"/>
              <w:bottom w:val="single" w:sz="4" w:space="0" w:color="365F91"/>
              <w:right w:val="nil"/>
            </w:tcBorders>
            <w:hideMark/>
          </w:tcPr>
          <w:p w14:paraId="49CD04B1" w14:textId="77777777" w:rsidR="00524720" w:rsidRPr="00D9348B" w:rsidRDefault="00524720" w:rsidP="00191C16">
            <w:pPr>
              <w:pStyle w:val="TableText"/>
              <w:spacing w:before="50" w:after="40"/>
              <w:jc w:val="center"/>
            </w:pPr>
            <w:r w:rsidRPr="00D9348B">
              <w:t>1,162.3</w:t>
            </w:r>
          </w:p>
        </w:tc>
        <w:tc>
          <w:tcPr>
            <w:tcW w:w="1843" w:type="dxa"/>
            <w:tcBorders>
              <w:top w:val="single" w:sz="4" w:space="0" w:color="365F91"/>
              <w:left w:val="nil"/>
              <w:bottom w:val="single" w:sz="4" w:space="0" w:color="365F91"/>
              <w:right w:val="nil"/>
            </w:tcBorders>
            <w:hideMark/>
          </w:tcPr>
          <w:p w14:paraId="5939E825" w14:textId="77777777" w:rsidR="00524720" w:rsidRPr="00D9348B" w:rsidRDefault="00524720" w:rsidP="00191C16">
            <w:pPr>
              <w:pStyle w:val="TableText"/>
              <w:spacing w:before="50" w:after="40"/>
              <w:jc w:val="center"/>
            </w:pPr>
            <w:r w:rsidRPr="00D9348B">
              <w:t>92</w:t>
            </w:r>
          </w:p>
        </w:tc>
        <w:tc>
          <w:tcPr>
            <w:tcW w:w="1559" w:type="dxa"/>
            <w:tcBorders>
              <w:top w:val="single" w:sz="4" w:space="0" w:color="365F91"/>
              <w:left w:val="nil"/>
              <w:bottom w:val="single" w:sz="4" w:space="0" w:color="365F91"/>
              <w:right w:val="nil"/>
            </w:tcBorders>
            <w:hideMark/>
          </w:tcPr>
          <w:p w14:paraId="1D8BB839" w14:textId="77777777" w:rsidR="00524720" w:rsidRPr="00D9348B" w:rsidRDefault="00524720" w:rsidP="00191C16">
            <w:pPr>
              <w:pStyle w:val="TableText"/>
              <w:spacing w:before="50" w:after="40"/>
              <w:jc w:val="center"/>
            </w:pPr>
            <w:r w:rsidRPr="00D9348B">
              <w:t>2,829.3</w:t>
            </w:r>
          </w:p>
        </w:tc>
      </w:tr>
      <w:tr w:rsidR="00524720" w:rsidRPr="00D9348B" w14:paraId="5BCF3B15" w14:textId="77777777" w:rsidTr="002D60CB">
        <w:tc>
          <w:tcPr>
            <w:tcW w:w="993" w:type="dxa"/>
            <w:tcBorders>
              <w:top w:val="single" w:sz="4" w:space="0" w:color="365F91"/>
              <w:left w:val="nil"/>
              <w:bottom w:val="single" w:sz="4" w:space="0" w:color="365F91"/>
              <w:right w:val="nil"/>
            </w:tcBorders>
            <w:hideMark/>
          </w:tcPr>
          <w:p w14:paraId="3C4E2671" w14:textId="77777777" w:rsidR="00524720" w:rsidRPr="00D9348B" w:rsidRDefault="00524720" w:rsidP="00191C16">
            <w:pPr>
              <w:pStyle w:val="TableTextBold"/>
              <w:spacing w:before="50" w:after="40"/>
              <w:rPr>
                <w:noProof w:val="0"/>
              </w:rPr>
            </w:pPr>
            <w:r w:rsidRPr="00D9348B">
              <w:rPr>
                <w:noProof w:val="0"/>
              </w:rPr>
              <w:t>2000</w:t>
            </w:r>
          </w:p>
        </w:tc>
        <w:tc>
          <w:tcPr>
            <w:tcW w:w="1942" w:type="dxa"/>
            <w:tcBorders>
              <w:top w:val="single" w:sz="4" w:space="0" w:color="365F91"/>
              <w:left w:val="nil"/>
              <w:bottom w:val="single" w:sz="4" w:space="0" w:color="365F91"/>
              <w:right w:val="nil"/>
            </w:tcBorders>
            <w:hideMark/>
          </w:tcPr>
          <w:p w14:paraId="1D259B9D" w14:textId="77777777" w:rsidR="00524720" w:rsidRPr="00D9348B" w:rsidRDefault="00524720" w:rsidP="00191C16">
            <w:pPr>
              <w:pStyle w:val="TableText"/>
              <w:spacing w:before="50" w:after="40"/>
              <w:jc w:val="center"/>
            </w:pPr>
            <w:r w:rsidRPr="00D9348B">
              <w:t>1,575.0</w:t>
            </w:r>
          </w:p>
        </w:tc>
        <w:tc>
          <w:tcPr>
            <w:tcW w:w="2168" w:type="dxa"/>
            <w:tcBorders>
              <w:top w:val="single" w:sz="4" w:space="0" w:color="365F91"/>
              <w:left w:val="nil"/>
              <w:bottom w:val="single" w:sz="4" w:space="0" w:color="365F91"/>
              <w:right w:val="nil"/>
            </w:tcBorders>
            <w:hideMark/>
          </w:tcPr>
          <w:p w14:paraId="46CF925A" w14:textId="77777777" w:rsidR="00524720" w:rsidRPr="00D9348B" w:rsidRDefault="00524720" w:rsidP="00191C16">
            <w:pPr>
              <w:pStyle w:val="TableText"/>
              <w:spacing w:before="50" w:after="40"/>
              <w:jc w:val="center"/>
            </w:pPr>
            <w:r w:rsidRPr="00D9348B">
              <w:t>1,230.6</w:t>
            </w:r>
          </w:p>
        </w:tc>
        <w:tc>
          <w:tcPr>
            <w:tcW w:w="1843" w:type="dxa"/>
            <w:tcBorders>
              <w:top w:val="single" w:sz="4" w:space="0" w:color="365F91"/>
              <w:left w:val="nil"/>
              <w:bottom w:val="single" w:sz="4" w:space="0" w:color="365F91"/>
              <w:right w:val="nil"/>
            </w:tcBorders>
            <w:hideMark/>
          </w:tcPr>
          <w:p w14:paraId="242E6901" w14:textId="77777777" w:rsidR="00524720" w:rsidRPr="00D9348B" w:rsidRDefault="00524720" w:rsidP="00191C16">
            <w:pPr>
              <w:pStyle w:val="TableText"/>
              <w:spacing w:before="50" w:after="40"/>
              <w:jc w:val="center"/>
            </w:pPr>
            <w:r w:rsidRPr="00D9348B">
              <w:t>87.9</w:t>
            </w:r>
          </w:p>
        </w:tc>
        <w:tc>
          <w:tcPr>
            <w:tcW w:w="1559" w:type="dxa"/>
            <w:tcBorders>
              <w:top w:val="single" w:sz="4" w:space="0" w:color="365F91"/>
              <w:left w:val="nil"/>
              <w:bottom w:val="single" w:sz="4" w:space="0" w:color="365F91"/>
              <w:right w:val="nil"/>
            </w:tcBorders>
            <w:hideMark/>
          </w:tcPr>
          <w:p w14:paraId="237F0AD4" w14:textId="77777777" w:rsidR="00524720" w:rsidRPr="00D9348B" w:rsidRDefault="00524720" w:rsidP="00191C16">
            <w:pPr>
              <w:pStyle w:val="TableText"/>
              <w:spacing w:before="50" w:after="40"/>
              <w:jc w:val="center"/>
            </w:pPr>
            <w:r w:rsidRPr="00D9348B">
              <w:t>2,893.5</w:t>
            </w:r>
          </w:p>
        </w:tc>
      </w:tr>
      <w:tr w:rsidR="00524720" w:rsidRPr="00D9348B" w14:paraId="2691EBA2" w14:textId="77777777" w:rsidTr="002D60CB">
        <w:tc>
          <w:tcPr>
            <w:tcW w:w="993" w:type="dxa"/>
            <w:tcBorders>
              <w:top w:val="single" w:sz="4" w:space="0" w:color="365F91"/>
              <w:left w:val="nil"/>
              <w:bottom w:val="single" w:sz="4" w:space="0" w:color="365F91"/>
              <w:right w:val="nil"/>
            </w:tcBorders>
            <w:hideMark/>
          </w:tcPr>
          <w:p w14:paraId="381A8D30" w14:textId="77777777" w:rsidR="00524720" w:rsidRPr="00D9348B" w:rsidRDefault="00524720" w:rsidP="00191C16">
            <w:pPr>
              <w:pStyle w:val="TableTextBold"/>
              <w:spacing w:before="50" w:after="40"/>
              <w:rPr>
                <w:noProof w:val="0"/>
              </w:rPr>
            </w:pPr>
            <w:r w:rsidRPr="00D9348B">
              <w:rPr>
                <w:noProof w:val="0"/>
              </w:rPr>
              <w:t>2001</w:t>
            </w:r>
          </w:p>
        </w:tc>
        <w:tc>
          <w:tcPr>
            <w:tcW w:w="1942" w:type="dxa"/>
            <w:tcBorders>
              <w:top w:val="single" w:sz="4" w:space="0" w:color="365F91"/>
              <w:left w:val="nil"/>
              <w:bottom w:val="single" w:sz="4" w:space="0" w:color="365F91"/>
              <w:right w:val="nil"/>
            </w:tcBorders>
            <w:hideMark/>
          </w:tcPr>
          <w:p w14:paraId="6DA74E3D" w14:textId="77777777" w:rsidR="00524720" w:rsidRPr="00D9348B" w:rsidRDefault="00524720" w:rsidP="00191C16">
            <w:pPr>
              <w:pStyle w:val="TableText"/>
              <w:spacing w:before="50" w:after="40"/>
              <w:jc w:val="center"/>
            </w:pPr>
            <w:r w:rsidRPr="00D9348B">
              <w:t>1,718.3</w:t>
            </w:r>
          </w:p>
        </w:tc>
        <w:tc>
          <w:tcPr>
            <w:tcW w:w="2168" w:type="dxa"/>
            <w:tcBorders>
              <w:top w:val="single" w:sz="4" w:space="0" w:color="365F91"/>
              <w:left w:val="nil"/>
              <w:bottom w:val="single" w:sz="4" w:space="0" w:color="365F91"/>
              <w:right w:val="nil"/>
            </w:tcBorders>
            <w:hideMark/>
          </w:tcPr>
          <w:p w14:paraId="46717844" w14:textId="77777777" w:rsidR="00524720" w:rsidRPr="00D9348B" w:rsidRDefault="00524720" w:rsidP="00191C16">
            <w:pPr>
              <w:pStyle w:val="TableText"/>
              <w:spacing w:before="50" w:after="40"/>
              <w:jc w:val="center"/>
            </w:pPr>
            <w:r w:rsidRPr="00D9348B">
              <w:t>1,165.1</w:t>
            </w:r>
          </w:p>
        </w:tc>
        <w:tc>
          <w:tcPr>
            <w:tcW w:w="1843" w:type="dxa"/>
            <w:tcBorders>
              <w:top w:val="single" w:sz="4" w:space="0" w:color="365F91"/>
              <w:left w:val="nil"/>
              <w:bottom w:val="single" w:sz="4" w:space="0" w:color="365F91"/>
              <w:right w:val="nil"/>
            </w:tcBorders>
            <w:hideMark/>
          </w:tcPr>
          <w:p w14:paraId="0A1F9728" w14:textId="77777777" w:rsidR="00524720" w:rsidRPr="00D9348B" w:rsidRDefault="00524720" w:rsidP="00191C16">
            <w:pPr>
              <w:pStyle w:val="TableText"/>
              <w:spacing w:before="50" w:after="40"/>
              <w:jc w:val="center"/>
            </w:pPr>
            <w:r w:rsidRPr="00D9348B">
              <w:t>74.4</w:t>
            </w:r>
          </w:p>
        </w:tc>
        <w:tc>
          <w:tcPr>
            <w:tcW w:w="1559" w:type="dxa"/>
            <w:tcBorders>
              <w:top w:val="single" w:sz="4" w:space="0" w:color="365F91"/>
              <w:left w:val="nil"/>
              <w:bottom w:val="single" w:sz="4" w:space="0" w:color="365F91"/>
              <w:right w:val="nil"/>
            </w:tcBorders>
            <w:hideMark/>
          </w:tcPr>
          <w:p w14:paraId="78F693D3" w14:textId="77777777" w:rsidR="00524720" w:rsidRPr="00D9348B" w:rsidRDefault="00524720" w:rsidP="00191C16">
            <w:pPr>
              <w:pStyle w:val="TableText"/>
              <w:spacing w:before="50" w:after="40"/>
              <w:jc w:val="center"/>
            </w:pPr>
            <w:r w:rsidRPr="00D9348B">
              <w:t>2,957.8</w:t>
            </w:r>
          </w:p>
        </w:tc>
      </w:tr>
      <w:tr w:rsidR="00524720" w:rsidRPr="00D9348B" w14:paraId="25A6177C" w14:textId="77777777" w:rsidTr="002D60CB">
        <w:tc>
          <w:tcPr>
            <w:tcW w:w="993" w:type="dxa"/>
            <w:tcBorders>
              <w:top w:val="single" w:sz="4" w:space="0" w:color="365F91"/>
              <w:left w:val="nil"/>
              <w:bottom w:val="single" w:sz="4" w:space="0" w:color="365F91"/>
              <w:right w:val="nil"/>
            </w:tcBorders>
            <w:hideMark/>
          </w:tcPr>
          <w:p w14:paraId="47096192" w14:textId="77777777" w:rsidR="00524720" w:rsidRPr="00D9348B" w:rsidRDefault="00524720" w:rsidP="00191C16">
            <w:pPr>
              <w:pStyle w:val="TableTextBold"/>
              <w:spacing w:before="50" w:after="40"/>
              <w:rPr>
                <w:noProof w:val="0"/>
              </w:rPr>
            </w:pPr>
            <w:r w:rsidRPr="00D9348B">
              <w:rPr>
                <w:noProof w:val="0"/>
              </w:rPr>
              <w:t>2002</w:t>
            </w:r>
          </w:p>
        </w:tc>
        <w:tc>
          <w:tcPr>
            <w:tcW w:w="1942" w:type="dxa"/>
            <w:tcBorders>
              <w:top w:val="single" w:sz="4" w:space="0" w:color="365F91"/>
              <w:left w:val="nil"/>
              <w:bottom w:val="single" w:sz="4" w:space="0" w:color="365F91"/>
              <w:right w:val="nil"/>
            </w:tcBorders>
            <w:hideMark/>
          </w:tcPr>
          <w:p w14:paraId="4DF0EEF6" w14:textId="77777777" w:rsidR="00524720" w:rsidRPr="00D9348B" w:rsidRDefault="00524720" w:rsidP="00191C16">
            <w:pPr>
              <w:pStyle w:val="TableText"/>
              <w:spacing w:before="50" w:after="40"/>
              <w:jc w:val="center"/>
            </w:pPr>
            <w:r w:rsidRPr="00D9348B">
              <w:t>1,714.2</w:t>
            </w:r>
          </w:p>
        </w:tc>
        <w:tc>
          <w:tcPr>
            <w:tcW w:w="2168" w:type="dxa"/>
            <w:tcBorders>
              <w:top w:val="single" w:sz="4" w:space="0" w:color="365F91"/>
              <w:left w:val="nil"/>
              <w:bottom w:val="single" w:sz="4" w:space="0" w:color="365F91"/>
              <w:right w:val="nil"/>
            </w:tcBorders>
            <w:hideMark/>
          </w:tcPr>
          <w:p w14:paraId="2F0C33CD" w14:textId="77777777" w:rsidR="00524720" w:rsidRPr="00D9348B" w:rsidRDefault="00524720" w:rsidP="00191C16">
            <w:pPr>
              <w:pStyle w:val="TableText"/>
              <w:spacing w:before="50" w:after="40"/>
              <w:jc w:val="center"/>
            </w:pPr>
            <w:r w:rsidRPr="00D9348B">
              <w:t>1,238.0</w:t>
            </w:r>
          </w:p>
        </w:tc>
        <w:tc>
          <w:tcPr>
            <w:tcW w:w="1843" w:type="dxa"/>
            <w:tcBorders>
              <w:top w:val="single" w:sz="4" w:space="0" w:color="365F91"/>
              <w:left w:val="nil"/>
              <w:bottom w:val="single" w:sz="4" w:space="0" w:color="365F91"/>
              <w:right w:val="nil"/>
            </w:tcBorders>
            <w:hideMark/>
          </w:tcPr>
          <w:p w14:paraId="022C108D" w14:textId="77777777" w:rsidR="00524720" w:rsidRPr="00D9348B" w:rsidRDefault="00524720" w:rsidP="00191C16">
            <w:pPr>
              <w:pStyle w:val="TableText"/>
              <w:spacing w:before="50" w:after="40"/>
              <w:jc w:val="center"/>
            </w:pPr>
            <w:r w:rsidRPr="00D9348B">
              <w:t>69.7</w:t>
            </w:r>
          </w:p>
        </w:tc>
        <w:tc>
          <w:tcPr>
            <w:tcW w:w="1559" w:type="dxa"/>
            <w:tcBorders>
              <w:top w:val="single" w:sz="4" w:space="0" w:color="365F91"/>
              <w:left w:val="nil"/>
              <w:bottom w:val="single" w:sz="4" w:space="0" w:color="365F91"/>
              <w:right w:val="nil"/>
            </w:tcBorders>
            <w:hideMark/>
          </w:tcPr>
          <w:p w14:paraId="6F8392DD" w14:textId="77777777" w:rsidR="00524720" w:rsidRPr="00D9348B" w:rsidRDefault="00524720" w:rsidP="00191C16">
            <w:pPr>
              <w:pStyle w:val="TableText"/>
              <w:spacing w:before="50" w:after="40"/>
              <w:jc w:val="center"/>
            </w:pPr>
            <w:r w:rsidRPr="00D9348B">
              <w:t>3,022.0</w:t>
            </w:r>
          </w:p>
        </w:tc>
      </w:tr>
      <w:tr w:rsidR="00524720" w:rsidRPr="00D9348B" w14:paraId="6B64B2DE" w14:textId="77777777" w:rsidTr="002D60CB">
        <w:tc>
          <w:tcPr>
            <w:tcW w:w="993" w:type="dxa"/>
            <w:tcBorders>
              <w:top w:val="single" w:sz="4" w:space="0" w:color="365F91"/>
              <w:left w:val="nil"/>
              <w:bottom w:val="single" w:sz="4" w:space="0" w:color="365F91"/>
              <w:right w:val="nil"/>
            </w:tcBorders>
            <w:hideMark/>
          </w:tcPr>
          <w:p w14:paraId="6FDFA984" w14:textId="77777777" w:rsidR="00524720" w:rsidRPr="00D9348B" w:rsidRDefault="00524720" w:rsidP="00191C16">
            <w:pPr>
              <w:pStyle w:val="TableTextBold"/>
              <w:spacing w:before="50" w:after="40"/>
              <w:rPr>
                <w:noProof w:val="0"/>
              </w:rPr>
            </w:pPr>
            <w:r w:rsidRPr="00D9348B">
              <w:rPr>
                <w:noProof w:val="0"/>
              </w:rPr>
              <w:t>2003</w:t>
            </w:r>
          </w:p>
        </w:tc>
        <w:tc>
          <w:tcPr>
            <w:tcW w:w="1942" w:type="dxa"/>
            <w:tcBorders>
              <w:top w:val="single" w:sz="4" w:space="0" w:color="365F91"/>
              <w:left w:val="nil"/>
              <w:bottom w:val="single" w:sz="4" w:space="0" w:color="365F91"/>
              <w:right w:val="nil"/>
            </w:tcBorders>
            <w:hideMark/>
          </w:tcPr>
          <w:p w14:paraId="72771301" w14:textId="77777777" w:rsidR="00524720" w:rsidRPr="00D9348B" w:rsidRDefault="00524720" w:rsidP="00191C16">
            <w:pPr>
              <w:pStyle w:val="TableText"/>
              <w:spacing w:before="50" w:after="40"/>
              <w:jc w:val="center"/>
            </w:pPr>
            <w:r w:rsidRPr="00D9348B">
              <w:t>1,626.8</w:t>
            </w:r>
          </w:p>
        </w:tc>
        <w:tc>
          <w:tcPr>
            <w:tcW w:w="2168" w:type="dxa"/>
            <w:tcBorders>
              <w:top w:val="single" w:sz="4" w:space="0" w:color="365F91"/>
              <w:left w:val="nil"/>
              <w:bottom w:val="single" w:sz="4" w:space="0" w:color="365F91"/>
              <w:right w:val="nil"/>
            </w:tcBorders>
            <w:hideMark/>
          </w:tcPr>
          <w:p w14:paraId="5D20F67C" w14:textId="77777777" w:rsidR="00524720" w:rsidRPr="00D9348B" w:rsidRDefault="00524720" w:rsidP="00191C16">
            <w:pPr>
              <w:pStyle w:val="TableText"/>
              <w:spacing w:before="50" w:after="40"/>
              <w:jc w:val="center"/>
            </w:pPr>
            <w:r w:rsidRPr="00D9348B">
              <w:t>1,362.0</w:t>
            </w:r>
          </w:p>
        </w:tc>
        <w:tc>
          <w:tcPr>
            <w:tcW w:w="1843" w:type="dxa"/>
            <w:tcBorders>
              <w:top w:val="single" w:sz="4" w:space="0" w:color="365F91"/>
              <w:left w:val="nil"/>
              <w:bottom w:val="single" w:sz="4" w:space="0" w:color="365F91"/>
              <w:right w:val="nil"/>
            </w:tcBorders>
            <w:hideMark/>
          </w:tcPr>
          <w:p w14:paraId="549CED41" w14:textId="77777777" w:rsidR="00524720" w:rsidRPr="00D9348B" w:rsidRDefault="00524720" w:rsidP="00191C16">
            <w:pPr>
              <w:pStyle w:val="TableText"/>
              <w:spacing w:before="50" w:after="40"/>
              <w:jc w:val="center"/>
            </w:pPr>
            <w:r w:rsidRPr="00D9348B">
              <w:t>66.7</w:t>
            </w:r>
          </w:p>
        </w:tc>
        <w:tc>
          <w:tcPr>
            <w:tcW w:w="1559" w:type="dxa"/>
            <w:tcBorders>
              <w:top w:val="single" w:sz="4" w:space="0" w:color="365F91"/>
              <w:left w:val="nil"/>
              <w:bottom w:val="single" w:sz="4" w:space="0" w:color="365F91"/>
              <w:right w:val="nil"/>
            </w:tcBorders>
            <w:hideMark/>
          </w:tcPr>
          <w:p w14:paraId="2346BA45" w14:textId="77777777" w:rsidR="00524720" w:rsidRPr="00D9348B" w:rsidRDefault="00524720" w:rsidP="00191C16">
            <w:pPr>
              <w:pStyle w:val="TableText"/>
              <w:spacing w:before="50" w:after="40"/>
              <w:jc w:val="center"/>
            </w:pPr>
            <w:r w:rsidRPr="00D9348B">
              <w:t>3,055.5</w:t>
            </w:r>
          </w:p>
        </w:tc>
      </w:tr>
      <w:tr w:rsidR="00524720" w:rsidRPr="00D9348B" w14:paraId="4638CFB8" w14:textId="77777777" w:rsidTr="002D60CB">
        <w:tc>
          <w:tcPr>
            <w:tcW w:w="993" w:type="dxa"/>
            <w:tcBorders>
              <w:top w:val="single" w:sz="4" w:space="0" w:color="365F91"/>
              <w:left w:val="nil"/>
              <w:bottom w:val="single" w:sz="4" w:space="0" w:color="365F91"/>
              <w:right w:val="nil"/>
            </w:tcBorders>
            <w:hideMark/>
          </w:tcPr>
          <w:p w14:paraId="112EEBA2" w14:textId="77777777" w:rsidR="00524720" w:rsidRPr="00D9348B" w:rsidRDefault="00524720" w:rsidP="00191C16">
            <w:pPr>
              <w:pStyle w:val="TableTextBold"/>
              <w:spacing w:before="50" w:after="40"/>
              <w:rPr>
                <w:noProof w:val="0"/>
              </w:rPr>
            </w:pPr>
            <w:r w:rsidRPr="00D9348B">
              <w:rPr>
                <w:noProof w:val="0"/>
              </w:rPr>
              <w:t>2004</w:t>
            </w:r>
          </w:p>
        </w:tc>
        <w:tc>
          <w:tcPr>
            <w:tcW w:w="1942" w:type="dxa"/>
            <w:tcBorders>
              <w:top w:val="single" w:sz="4" w:space="0" w:color="365F91"/>
              <w:left w:val="nil"/>
              <w:bottom w:val="single" w:sz="4" w:space="0" w:color="365F91"/>
              <w:right w:val="nil"/>
            </w:tcBorders>
            <w:hideMark/>
          </w:tcPr>
          <w:p w14:paraId="5012586D" w14:textId="77777777" w:rsidR="00524720" w:rsidRPr="00D9348B" w:rsidRDefault="00524720" w:rsidP="00191C16">
            <w:pPr>
              <w:pStyle w:val="TableText"/>
              <w:spacing w:before="50" w:after="40"/>
              <w:jc w:val="center"/>
            </w:pPr>
            <w:r w:rsidRPr="00D9348B">
              <w:t>1,676.5</w:t>
            </w:r>
          </w:p>
        </w:tc>
        <w:tc>
          <w:tcPr>
            <w:tcW w:w="2168" w:type="dxa"/>
            <w:tcBorders>
              <w:top w:val="single" w:sz="4" w:space="0" w:color="365F91"/>
              <w:left w:val="nil"/>
              <w:bottom w:val="single" w:sz="4" w:space="0" w:color="365F91"/>
              <w:right w:val="nil"/>
            </w:tcBorders>
            <w:hideMark/>
          </w:tcPr>
          <w:p w14:paraId="6AD73EBD" w14:textId="77777777" w:rsidR="00524720" w:rsidRPr="00D9348B" w:rsidRDefault="00524720" w:rsidP="00191C16">
            <w:pPr>
              <w:pStyle w:val="TableText"/>
              <w:spacing w:before="50" w:after="40"/>
              <w:jc w:val="center"/>
            </w:pPr>
            <w:r w:rsidRPr="00D9348B">
              <w:t>1,356.0</w:t>
            </w:r>
          </w:p>
        </w:tc>
        <w:tc>
          <w:tcPr>
            <w:tcW w:w="1843" w:type="dxa"/>
            <w:tcBorders>
              <w:top w:val="single" w:sz="4" w:space="0" w:color="365F91"/>
              <w:left w:val="nil"/>
              <w:bottom w:val="single" w:sz="4" w:space="0" w:color="365F91"/>
              <w:right w:val="nil"/>
            </w:tcBorders>
            <w:hideMark/>
          </w:tcPr>
          <w:p w14:paraId="5E8EBD23" w14:textId="77777777" w:rsidR="00524720" w:rsidRPr="00D9348B" w:rsidRDefault="00524720" w:rsidP="00191C16">
            <w:pPr>
              <w:pStyle w:val="TableText"/>
              <w:spacing w:before="50" w:after="40"/>
              <w:jc w:val="center"/>
            </w:pPr>
            <w:r w:rsidRPr="00D9348B">
              <w:t>56.5</w:t>
            </w:r>
          </w:p>
        </w:tc>
        <w:tc>
          <w:tcPr>
            <w:tcW w:w="1559" w:type="dxa"/>
            <w:tcBorders>
              <w:top w:val="single" w:sz="4" w:space="0" w:color="365F91"/>
              <w:left w:val="nil"/>
              <w:bottom w:val="single" w:sz="4" w:space="0" w:color="365F91"/>
              <w:right w:val="nil"/>
            </w:tcBorders>
            <w:hideMark/>
          </w:tcPr>
          <w:p w14:paraId="24FAD7E2" w14:textId="77777777" w:rsidR="00524720" w:rsidRPr="00D9348B" w:rsidRDefault="00524720" w:rsidP="00191C16">
            <w:pPr>
              <w:pStyle w:val="TableText"/>
              <w:spacing w:before="50" w:after="40"/>
              <w:jc w:val="center"/>
            </w:pPr>
            <w:r w:rsidRPr="00D9348B">
              <w:t>3,089.0</w:t>
            </w:r>
          </w:p>
        </w:tc>
      </w:tr>
      <w:tr w:rsidR="00524720" w:rsidRPr="00D9348B" w14:paraId="17C29508" w14:textId="77777777" w:rsidTr="002D60CB">
        <w:tc>
          <w:tcPr>
            <w:tcW w:w="993" w:type="dxa"/>
            <w:tcBorders>
              <w:top w:val="single" w:sz="4" w:space="0" w:color="365F91"/>
              <w:left w:val="nil"/>
              <w:bottom w:val="single" w:sz="4" w:space="0" w:color="365F91"/>
              <w:right w:val="nil"/>
            </w:tcBorders>
            <w:hideMark/>
          </w:tcPr>
          <w:p w14:paraId="0C859EC9" w14:textId="77777777" w:rsidR="00524720" w:rsidRPr="00D9348B" w:rsidRDefault="00524720" w:rsidP="00191C16">
            <w:pPr>
              <w:pStyle w:val="TableTextBold"/>
              <w:spacing w:before="50" w:after="40"/>
              <w:rPr>
                <w:noProof w:val="0"/>
              </w:rPr>
            </w:pPr>
            <w:r w:rsidRPr="00D9348B">
              <w:rPr>
                <w:noProof w:val="0"/>
              </w:rPr>
              <w:t>2005</w:t>
            </w:r>
          </w:p>
        </w:tc>
        <w:tc>
          <w:tcPr>
            <w:tcW w:w="1942" w:type="dxa"/>
            <w:tcBorders>
              <w:top w:val="single" w:sz="4" w:space="0" w:color="365F91"/>
              <w:left w:val="nil"/>
              <w:bottom w:val="single" w:sz="4" w:space="0" w:color="365F91"/>
              <w:right w:val="nil"/>
            </w:tcBorders>
            <w:hideMark/>
          </w:tcPr>
          <w:p w14:paraId="7D294FCB" w14:textId="77777777" w:rsidR="00524720" w:rsidRPr="00D9348B" w:rsidRDefault="00524720" w:rsidP="00191C16">
            <w:pPr>
              <w:pStyle w:val="TableText"/>
              <w:spacing w:before="50" w:after="40"/>
              <w:jc w:val="center"/>
            </w:pPr>
            <w:r w:rsidRPr="00D9348B">
              <w:t>1,881.2</w:t>
            </w:r>
          </w:p>
        </w:tc>
        <w:tc>
          <w:tcPr>
            <w:tcW w:w="2168" w:type="dxa"/>
            <w:tcBorders>
              <w:top w:val="single" w:sz="4" w:space="0" w:color="365F91"/>
              <w:left w:val="nil"/>
              <w:bottom w:val="single" w:sz="4" w:space="0" w:color="365F91"/>
              <w:right w:val="nil"/>
            </w:tcBorders>
            <w:hideMark/>
          </w:tcPr>
          <w:p w14:paraId="34E72997" w14:textId="77777777" w:rsidR="00524720" w:rsidRPr="00D9348B" w:rsidRDefault="00524720" w:rsidP="00191C16">
            <w:pPr>
              <w:pStyle w:val="TableText"/>
              <w:spacing w:before="50" w:after="40"/>
              <w:jc w:val="center"/>
            </w:pPr>
            <w:r w:rsidRPr="00D9348B">
              <w:t>1,199.9</w:t>
            </w:r>
          </w:p>
        </w:tc>
        <w:tc>
          <w:tcPr>
            <w:tcW w:w="1843" w:type="dxa"/>
            <w:tcBorders>
              <w:top w:val="single" w:sz="4" w:space="0" w:color="365F91"/>
              <w:left w:val="nil"/>
              <w:bottom w:val="single" w:sz="4" w:space="0" w:color="365F91"/>
              <w:right w:val="nil"/>
            </w:tcBorders>
            <w:hideMark/>
          </w:tcPr>
          <w:p w14:paraId="23334FA9" w14:textId="77777777" w:rsidR="00524720" w:rsidRPr="00D9348B" w:rsidRDefault="00524720" w:rsidP="00191C16">
            <w:pPr>
              <w:pStyle w:val="TableText"/>
              <w:spacing w:before="50" w:after="40"/>
              <w:jc w:val="center"/>
            </w:pPr>
            <w:r w:rsidRPr="00D9348B">
              <w:t>41.4</w:t>
            </w:r>
          </w:p>
        </w:tc>
        <w:tc>
          <w:tcPr>
            <w:tcW w:w="1559" w:type="dxa"/>
            <w:tcBorders>
              <w:top w:val="single" w:sz="4" w:space="0" w:color="365F91"/>
              <w:left w:val="nil"/>
              <w:bottom w:val="single" w:sz="4" w:space="0" w:color="365F91"/>
              <w:right w:val="nil"/>
            </w:tcBorders>
            <w:hideMark/>
          </w:tcPr>
          <w:p w14:paraId="0283DD04" w14:textId="77777777" w:rsidR="00524720" w:rsidRPr="00D9348B" w:rsidRDefault="00524720" w:rsidP="00191C16">
            <w:pPr>
              <w:pStyle w:val="TableText"/>
              <w:spacing w:before="50" w:after="40"/>
              <w:jc w:val="center"/>
            </w:pPr>
            <w:r w:rsidRPr="00D9348B">
              <w:t>3,122.5</w:t>
            </w:r>
          </w:p>
        </w:tc>
      </w:tr>
      <w:tr w:rsidR="00524720" w:rsidRPr="00D9348B" w14:paraId="407ABACF" w14:textId="77777777" w:rsidTr="002D60CB">
        <w:tc>
          <w:tcPr>
            <w:tcW w:w="993" w:type="dxa"/>
            <w:tcBorders>
              <w:top w:val="single" w:sz="4" w:space="0" w:color="365F91"/>
              <w:left w:val="nil"/>
              <w:bottom w:val="single" w:sz="4" w:space="0" w:color="365F91"/>
              <w:right w:val="nil"/>
            </w:tcBorders>
            <w:hideMark/>
          </w:tcPr>
          <w:p w14:paraId="1EDC1EB0" w14:textId="77777777" w:rsidR="00524720" w:rsidRPr="00D9348B" w:rsidRDefault="00524720" w:rsidP="00191C16">
            <w:pPr>
              <w:pStyle w:val="TableTextBold"/>
              <w:spacing w:before="50" w:after="40"/>
              <w:rPr>
                <w:noProof w:val="0"/>
              </w:rPr>
            </w:pPr>
            <w:r w:rsidRPr="00D9348B">
              <w:rPr>
                <w:noProof w:val="0"/>
              </w:rPr>
              <w:t>2006</w:t>
            </w:r>
          </w:p>
        </w:tc>
        <w:tc>
          <w:tcPr>
            <w:tcW w:w="1942" w:type="dxa"/>
            <w:tcBorders>
              <w:top w:val="single" w:sz="4" w:space="0" w:color="365F91"/>
              <w:left w:val="nil"/>
              <w:bottom w:val="single" w:sz="4" w:space="0" w:color="365F91"/>
              <w:right w:val="nil"/>
            </w:tcBorders>
            <w:hideMark/>
          </w:tcPr>
          <w:p w14:paraId="7D921B0D" w14:textId="77777777" w:rsidR="00524720" w:rsidRPr="00D9348B" w:rsidRDefault="00524720" w:rsidP="00191C16">
            <w:pPr>
              <w:pStyle w:val="TableText"/>
              <w:spacing w:before="50" w:after="40"/>
              <w:jc w:val="center"/>
            </w:pPr>
            <w:r w:rsidRPr="00D9348B">
              <w:t>2,305.4</w:t>
            </w:r>
          </w:p>
        </w:tc>
        <w:tc>
          <w:tcPr>
            <w:tcW w:w="2168" w:type="dxa"/>
            <w:tcBorders>
              <w:top w:val="single" w:sz="4" w:space="0" w:color="365F91"/>
              <w:left w:val="nil"/>
              <w:bottom w:val="single" w:sz="4" w:space="0" w:color="365F91"/>
              <w:right w:val="nil"/>
            </w:tcBorders>
            <w:hideMark/>
          </w:tcPr>
          <w:p w14:paraId="6924CF1C" w14:textId="77777777" w:rsidR="00524720" w:rsidRPr="00D9348B" w:rsidRDefault="00524720" w:rsidP="00191C16">
            <w:pPr>
              <w:pStyle w:val="TableText"/>
              <w:spacing w:before="50" w:after="40"/>
              <w:jc w:val="center"/>
            </w:pPr>
            <w:r w:rsidRPr="00D9348B">
              <w:t>827.9</w:t>
            </w:r>
          </w:p>
        </w:tc>
        <w:tc>
          <w:tcPr>
            <w:tcW w:w="1843" w:type="dxa"/>
            <w:tcBorders>
              <w:top w:val="single" w:sz="4" w:space="0" w:color="365F91"/>
              <w:left w:val="nil"/>
              <w:bottom w:val="single" w:sz="4" w:space="0" w:color="365F91"/>
              <w:right w:val="nil"/>
            </w:tcBorders>
            <w:hideMark/>
          </w:tcPr>
          <w:p w14:paraId="442A5C15" w14:textId="77777777" w:rsidR="00524720" w:rsidRPr="00D9348B" w:rsidRDefault="00524720" w:rsidP="00191C16">
            <w:pPr>
              <w:pStyle w:val="TableText"/>
              <w:spacing w:before="50" w:after="40"/>
              <w:jc w:val="center"/>
            </w:pPr>
            <w:r w:rsidRPr="00D9348B">
              <w:t>22.7</w:t>
            </w:r>
          </w:p>
        </w:tc>
        <w:tc>
          <w:tcPr>
            <w:tcW w:w="1559" w:type="dxa"/>
            <w:tcBorders>
              <w:top w:val="single" w:sz="4" w:space="0" w:color="365F91"/>
              <w:left w:val="nil"/>
              <w:bottom w:val="single" w:sz="4" w:space="0" w:color="365F91"/>
              <w:right w:val="nil"/>
            </w:tcBorders>
            <w:hideMark/>
          </w:tcPr>
          <w:p w14:paraId="281B7596" w14:textId="77777777" w:rsidR="00524720" w:rsidRPr="00D9348B" w:rsidRDefault="00524720" w:rsidP="00191C16">
            <w:pPr>
              <w:pStyle w:val="TableText"/>
              <w:spacing w:before="50" w:after="40"/>
              <w:jc w:val="center"/>
            </w:pPr>
            <w:r w:rsidRPr="00D9348B">
              <w:t>3,156.0</w:t>
            </w:r>
          </w:p>
        </w:tc>
      </w:tr>
      <w:tr w:rsidR="00524720" w:rsidRPr="00D9348B" w14:paraId="002B0AA7" w14:textId="77777777" w:rsidTr="002D60CB">
        <w:tc>
          <w:tcPr>
            <w:tcW w:w="993" w:type="dxa"/>
            <w:tcBorders>
              <w:top w:val="single" w:sz="4" w:space="0" w:color="365F91"/>
              <w:left w:val="nil"/>
              <w:bottom w:val="single" w:sz="4" w:space="0" w:color="365F91"/>
              <w:right w:val="nil"/>
            </w:tcBorders>
            <w:hideMark/>
          </w:tcPr>
          <w:p w14:paraId="3F5D5D55" w14:textId="77777777" w:rsidR="00524720" w:rsidRPr="00D9348B" w:rsidRDefault="00524720" w:rsidP="00191C16">
            <w:pPr>
              <w:pStyle w:val="TableTextBold"/>
              <w:spacing w:before="50" w:after="40"/>
              <w:rPr>
                <w:noProof w:val="0"/>
              </w:rPr>
            </w:pPr>
            <w:r w:rsidRPr="00D9348B">
              <w:rPr>
                <w:noProof w:val="0"/>
              </w:rPr>
              <w:t>2007</w:t>
            </w:r>
          </w:p>
        </w:tc>
        <w:tc>
          <w:tcPr>
            <w:tcW w:w="1942" w:type="dxa"/>
            <w:tcBorders>
              <w:top w:val="single" w:sz="4" w:space="0" w:color="365F91"/>
              <w:left w:val="nil"/>
              <w:bottom w:val="single" w:sz="4" w:space="0" w:color="365F91"/>
              <w:right w:val="nil"/>
            </w:tcBorders>
            <w:hideMark/>
          </w:tcPr>
          <w:p w14:paraId="7BD26050" w14:textId="77777777" w:rsidR="00524720" w:rsidRPr="00D9348B" w:rsidRDefault="00524720" w:rsidP="00191C16">
            <w:pPr>
              <w:pStyle w:val="TableText"/>
              <w:spacing w:before="50" w:after="40"/>
              <w:jc w:val="center"/>
            </w:pPr>
            <w:r w:rsidRPr="00D9348B">
              <w:t>2,158.8</w:t>
            </w:r>
          </w:p>
        </w:tc>
        <w:tc>
          <w:tcPr>
            <w:tcW w:w="2168" w:type="dxa"/>
            <w:tcBorders>
              <w:top w:val="single" w:sz="4" w:space="0" w:color="365F91"/>
              <w:left w:val="nil"/>
              <w:bottom w:val="single" w:sz="4" w:space="0" w:color="365F91"/>
              <w:right w:val="nil"/>
            </w:tcBorders>
            <w:hideMark/>
          </w:tcPr>
          <w:p w14:paraId="50C5E67B" w14:textId="77777777" w:rsidR="00524720" w:rsidRPr="00D9348B" w:rsidRDefault="00524720" w:rsidP="00191C16">
            <w:pPr>
              <w:pStyle w:val="TableText"/>
              <w:spacing w:before="50" w:after="40"/>
              <w:jc w:val="center"/>
            </w:pPr>
            <w:r w:rsidRPr="00D9348B">
              <w:t>824.2</w:t>
            </w:r>
          </w:p>
        </w:tc>
        <w:tc>
          <w:tcPr>
            <w:tcW w:w="1843" w:type="dxa"/>
            <w:tcBorders>
              <w:top w:val="single" w:sz="4" w:space="0" w:color="365F91"/>
              <w:left w:val="nil"/>
              <w:bottom w:val="single" w:sz="4" w:space="0" w:color="365F91"/>
              <w:right w:val="nil"/>
            </w:tcBorders>
            <w:hideMark/>
          </w:tcPr>
          <w:p w14:paraId="5327DB9E" w14:textId="77777777" w:rsidR="00524720" w:rsidRPr="00D9348B" w:rsidRDefault="00524720" w:rsidP="00191C16">
            <w:pPr>
              <w:pStyle w:val="TableText"/>
              <w:spacing w:before="50" w:after="40"/>
              <w:jc w:val="center"/>
            </w:pPr>
            <w:r w:rsidRPr="00D9348B">
              <w:t>16.8</w:t>
            </w:r>
          </w:p>
        </w:tc>
        <w:tc>
          <w:tcPr>
            <w:tcW w:w="1559" w:type="dxa"/>
            <w:tcBorders>
              <w:top w:val="single" w:sz="4" w:space="0" w:color="365F91"/>
              <w:left w:val="nil"/>
              <w:bottom w:val="single" w:sz="4" w:space="0" w:color="365F91"/>
              <w:right w:val="nil"/>
            </w:tcBorders>
            <w:hideMark/>
          </w:tcPr>
          <w:p w14:paraId="3B211B8F" w14:textId="1EB4EA30" w:rsidR="00524720" w:rsidRPr="00D9348B" w:rsidRDefault="00524720" w:rsidP="00191C16">
            <w:pPr>
              <w:pStyle w:val="TableText"/>
              <w:spacing w:before="50" w:after="40"/>
              <w:jc w:val="center"/>
            </w:pPr>
            <w:r w:rsidRPr="00D9348B">
              <w:t>2,999.</w:t>
            </w:r>
            <w:r w:rsidR="00CC6894">
              <w:t>8</w:t>
            </w:r>
          </w:p>
        </w:tc>
      </w:tr>
      <w:tr w:rsidR="00524720" w:rsidRPr="00D9348B" w14:paraId="009DE033" w14:textId="77777777" w:rsidTr="002D60CB">
        <w:tc>
          <w:tcPr>
            <w:tcW w:w="993" w:type="dxa"/>
            <w:tcBorders>
              <w:top w:val="single" w:sz="4" w:space="0" w:color="365F91"/>
              <w:left w:val="nil"/>
              <w:bottom w:val="single" w:sz="4" w:space="0" w:color="365F91"/>
              <w:right w:val="nil"/>
            </w:tcBorders>
            <w:hideMark/>
          </w:tcPr>
          <w:p w14:paraId="0E446A02" w14:textId="77777777" w:rsidR="00524720" w:rsidRPr="00D9348B" w:rsidRDefault="00524720" w:rsidP="00191C16">
            <w:pPr>
              <w:pStyle w:val="TableTextBold"/>
              <w:spacing w:before="50" w:after="40"/>
              <w:rPr>
                <w:noProof w:val="0"/>
              </w:rPr>
            </w:pPr>
            <w:r w:rsidRPr="00D9348B">
              <w:rPr>
                <w:noProof w:val="0"/>
              </w:rPr>
              <w:t>2008</w:t>
            </w:r>
          </w:p>
        </w:tc>
        <w:tc>
          <w:tcPr>
            <w:tcW w:w="1942" w:type="dxa"/>
            <w:tcBorders>
              <w:top w:val="single" w:sz="4" w:space="0" w:color="365F91"/>
              <w:left w:val="nil"/>
              <w:bottom w:val="single" w:sz="4" w:space="0" w:color="365F91"/>
              <w:right w:val="nil"/>
            </w:tcBorders>
            <w:hideMark/>
          </w:tcPr>
          <w:p w14:paraId="71A39130" w14:textId="77777777" w:rsidR="00524720" w:rsidRPr="00D9348B" w:rsidRDefault="00524720" w:rsidP="00191C16">
            <w:pPr>
              <w:pStyle w:val="TableText"/>
              <w:spacing w:before="50" w:after="40"/>
              <w:jc w:val="center"/>
            </w:pPr>
            <w:r w:rsidRPr="00D9348B">
              <w:t>2,097.4</w:t>
            </w:r>
          </w:p>
        </w:tc>
        <w:tc>
          <w:tcPr>
            <w:tcW w:w="2168" w:type="dxa"/>
            <w:tcBorders>
              <w:top w:val="single" w:sz="4" w:space="0" w:color="365F91"/>
              <w:left w:val="nil"/>
              <w:bottom w:val="single" w:sz="4" w:space="0" w:color="365F91"/>
              <w:right w:val="nil"/>
            </w:tcBorders>
            <w:hideMark/>
          </w:tcPr>
          <w:p w14:paraId="2B05CB11" w14:textId="77777777" w:rsidR="00524720" w:rsidRPr="00D9348B" w:rsidRDefault="00524720" w:rsidP="00191C16">
            <w:pPr>
              <w:pStyle w:val="TableText"/>
              <w:spacing w:before="50" w:after="40"/>
              <w:jc w:val="center"/>
            </w:pPr>
            <w:r w:rsidRPr="00D9348B">
              <w:t>736.2</w:t>
            </w:r>
          </w:p>
        </w:tc>
        <w:tc>
          <w:tcPr>
            <w:tcW w:w="1843" w:type="dxa"/>
            <w:tcBorders>
              <w:top w:val="single" w:sz="4" w:space="0" w:color="365F91"/>
              <w:left w:val="nil"/>
              <w:bottom w:val="single" w:sz="4" w:space="0" w:color="365F91"/>
              <w:right w:val="nil"/>
            </w:tcBorders>
            <w:hideMark/>
          </w:tcPr>
          <w:p w14:paraId="184C1522" w14:textId="77777777" w:rsidR="00524720" w:rsidRPr="00D9348B" w:rsidRDefault="00524720" w:rsidP="00191C16">
            <w:pPr>
              <w:pStyle w:val="TableText"/>
              <w:spacing w:before="50" w:after="40"/>
              <w:jc w:val="center"/>
            </w:pPr>
            <w:r w:rsidRPr="00D9348B">
              <w:t>9.9</w:t>
            </w:r>
          </w:p>
        </w:tc>
        <w:tc>
          <w:tcPr>
            <w:tcW w:w="1559" w:type="dxa"/>
            <w:tcBorders>
              <w:top w:val="single" w:sz="4" w:space="0" w:color="365F91"/>
              <w:left w:val="nil"/>
              <w:bottom w:val="single" w:sz="4" w:space="0" w:color="365F91"/>
              <w:right w:val="nil"/>
            </w:tcBorders>
            <w:hideMark/>
          </w:tcPr>
          <w:p w14:paraId="39D3778B" w14:textId="77777777" w:rsidR="00524720" w:rsidRPr="00D9348B" w:rsidRDefault="00524720" w:rsidP="00191C16">
            <w:pPr>
              <w:pStyle w:val="TableText"/>
              <w:spacing w:before="50" w:after="40"/>
              <w:jc w:val="center"/>
            </w:pPr>
            <w:r w:rsidRPr="00D9348B">
              <w:t>2,843.5</w:t>
            </w:r>
          </w:p>
        </w:tc>
      </w:tr>
      <w:tr w:rsidR="00524720" w:rsidRPr="00D9348B" w14:paraId="1B40CD91" w14:textId="77777777" w:rsidTr="002D60CB">
        <w:tc>
          <w:tcPr>
            <w:tcW w:w="993" w:type="dxa"/>
            <w:tcBorders>
              <w:top w:val="single" w:sz="4" w:space="0" w:color="365F91"/>
              <w:left w:val="nil"/>
              <w:bottom w:val="single" w:sz="4" w:space="0" w:color="365F91"/>
              <w:right w:val="nil"/>
            </w:tcBorders>
            <w:hideMark/>
          </w:tcPr>
          <w:p w14:paraId="43AEA9B1" w14:textId="77777777" w:rsidR="00524720" w:rsidRPr="00D9348B" w:rsidRDefault="00524720" w:rsidP="00191C16">
            <w:pPr>
              <w:pStyle w:val="TableTextBold"/>
              <w:spacing w:before="50" w:after="40"/>
              <w:rPr>
                <w:noProof w:val="0"/>
              </w:rPr>
            </w:pPr>
            <w:r w:rsidRPr="00D9348B">
              <w:rPr>
                <w:noProof w:val="0"/>
              </w:rPr>
              <w:t>2009</w:t>
            </w:r>
          </w:p>
        </w:tc>
        <w:tc>
          <w:tcPr>
            <w:tcW w:w="1942" w:type="dxa"/>
            <w:tcBorders>
              <w:top w:val="single" w:sz="4" w:space="0" w:color="365F91"/>
              <w:left w:val="nil"/>
              <w:bottom w:val="single" w:sz="4" w:space="0" w:color="365F91"/>
              <w:right w:val="nil"/>
            </w:tcBorders>
            <w:hideMark/>
          </w:tcPr>
          <w:p w14:paraId="1EB0C8BD" w14:textId="77777777" w:rsidR="00524720" w:rsidRPr="00D9348B" w:rsidRDefault="00524720" w:rsidP="00191C16">
            <w:pPr>
              <w:pStyle w:val="TableText"/>
              <w:spacing w:before="50" w:after="40"/>
              <w:jc w:val="center"/>
            </w:pPr>
            <w:r w:rsidRPr="00D9348B">
              <w:t>2,051.7</w:t>
            </w:r>
          </w:p>
        </w:tc>
        <w:tc>
          <w:tcPr>
            <w:tcW w:w="2168" w:type="dxa"/>
            <w:tcBorders>
              <w:top w:val="single" w:sz="4" w:space="0" w:color="365F91"/>
              <w:left w:val="nil"/>
              <w:bottom w:val="single" w:sz="4" w:space="0" w:color="365F91"/>
              <w:right w:val="nil"/>
            </w:tcBorders>
            <w:hideMark/>
          </w:tcPr>
          <w:p w14:paraId="7F11CD01" w14:textId="77777777" w:rsidR="00524720" w:rsidRPr="00D9348B" w:rsidRDefault="00524720" w:rsidP="00191C16">
            <w:pPr>
              <w:pStyle w:val="TableText"/>
              <w:spacing w:before="50" w:after="40"/>
              <w:jc w:val="center"/>
            </w:pPr>
            <w:r w:rsidRPr="00D9348B">
              <w:t>631.4</w:t>
            </w:r>
          </w:p>
        </w:tc>
        <w:tc>
          <w:tcPr>
            <w:tcW w:w="1843" w:type="dxa"/>
            <w:tcBorders>
              <w:top w:val="single" w:sz="4" w:space="0" w:color="365F91"/>
              <w:left w:val="nil"/>
              <w:bottom w:val="single" w:sz="4" w:space="0" w:color="365F91"/>
              <w:right w:val="nil"/>
            </w:tcBorders>
            <w:hideMark/>
          </w:tcPr>
          <w:p w14:paraId="68F2911A" w14:textId="77777777" w:rsidR="00524720" w:rsidRPr="00D9348B" w:rsidRDefault="00524720" w:rsidP="00191C16">
            <w:pPr>
              <w:pStyle w:val="TableText"/>
              <w:spacing w:before="50" w:after="40"/>
              <w:jc w:val="center"/>
            </w:pPr>
            <w:r w:rsidRPr="00D9348B">
              <w:t>4.2</w:t>
            </w:r>
          </w:p>
        </w:tc>
        <w:tc>
          <w:tcPr>
            <w:tcW w:w="1559" w:type="dxa"/>
            <w:tcBorders>
              <w:top w:val="single" w:sz="4" w:space="0" w:color="365F91"/>
              <w:left w:val="nil"/>
              <w:bottom w:val="single" w:sz="4" w:space="0" w:color="365F91"/>
              <w:right w:val="nil"/>
            </w:tcBorders>
            <w:hideMark/>
          </w:tcPr>
          <w:p w14:paraId="3CB58875" w14:textId="1C07105D" w:rsidR="00524720" w:rsidRPr="00D9348B" w:rsidRDefault="00524720" w:rsidP="00191C16">
            <w:pPr>
              <w:pStyle w:val="TableText"/>
              <w:spacing w:before="50" w:after="40"/>
              <w:jc w:val="center"/>
            </w:pPr>
            <w:r w:rsidRPr="00D9348B">
              <w:t>2,687.</w:t>
            </w:r>
            <w:r w:rsidR="00CC6894">
              <w:t>3</w:t>
            </w:r>
          </w:p>
        </w:tc>
      </w:tr>
      <w:tr w:rsidR="00524720" w:rsidRPr="00D9348B" w14:paraId="65C85138" w14:textId="77777777" w:rsidTr="002D60CB">
        <w:tc>
          <w:tcPr>
            <w:tcW w:w="993" w:type="dxa"/>
            <w:tcBorders>
              <w:top w:val="single" w:sz="4" w:space="0" w:color="365F91"/>
              <w:left w:val="nil"/>
              <w:bottom w:val="single" w:sz="4" w:space="0" w:color="365F91"/>
              <w:right w:val="nil"/>
            </w:tcBorders>
            <w:hideMark/>
          </w:tcPr>
          <w:p w14:paraId="201AFE15" w14:textId="77777777" w:rsidR="00524720" w:rsidRPr="00D9348B" w:rsidRDefault="00524720" w:rsidP="00191C16">
            <w:pPr>
              <w:pStyle w:val="TableTextBold"/>
              <w:spacing w:before="50" w:after="40"/>
              <w:rPr>
                <w:noProof w:val="0"/>
              </w:rPr>
            </w:pPr>
            <w:r w:rsidRPr="00D9348B">
              <w:rPr>
                <w:noProof w:val="0"/>
              </w:rPr>
              <w:t>2010</w:t>
            </w:r>
          </w:p>
        </w:tc>
        <w:tc>
          <w:tcPr>
            <w:tcW w:w="1942" w:type="dxa"/>
            <w:tcBorders>
              <w:top w:val="single" w:sz="4" w:space="0" w:color="365F91"/>
              <w:left w:val="nil"/>
              <w:bottom w:val="single" w:sz="4" w:space="0" w:color="365F91"/>
              <w:right w:val="nil"/>
            </w:tcBorders>
            <w:hideMark/>
          </w:tcPr>
          <w:p w14:paraId="46922D44" w14:textId="77777777" w:rsidR="00524720" w:rsidRPr="00D9348B" w:rsidRDefault="00524720" w:rsidP="00191C16">
            <w:pPr>
              <w:pStyle w:val="TableText"/>
              <w:spacing w:before="50" w:after="40"/>
              <w:jc w:val="center"/>
            </w:pPr>
            <w:r w:rsidRPr="00D9348B">
              <w:t>2,286.6</w:t>
            </w:r>
          </w:p>
        </w:tc>
        <w:tc>
          <w:tcPr>
            <w:tcW w:w="2168" w:type="dxa"/>
            <w:tcBorders>
              <w:top w:val="single" w:sz="4" w:space="0" w:color="365F91"/>
              <w:left w:val="nil"/>
              <w:bottom w:val="single" w:sz="4" w:space="0" w:color="365F91"/>
              <w:right w:val="nil"/>
            </w:tcBorders>
            <w:hideMark/>
          </w:tcPr>
          <w:p w14:paraId="70DF6809" w14:textId="77777777" w:rsidR="00524720" w:rsidRPr="00D9348B" w:rsidRDefault="00524720" w:rsidP="00191C16">
            <w:pPr>
              <w:pStyle w:val="TableText"/>
              <w:spacing w:before="50" w:after="40"/>
              <w:jc w:val="center"/>
            </w:pPr>
            <w:r w:rsidRPr="00D9348B">
              <w:t>224.7</w:t>
            </w:r>
          </w:p>
        </w:tc>
        <w:tc>
          <w:tcPr>
            <w:tcW w:w="1843" w:type="dxa"/>
            <w:tcBorders>
              <w:top w:val="single" w:sz="4" w:space="0" w:color="365F91"/>
              <w:left w:val="nil"/>
              <w:bottom w:val="single" w:sz="4" w:space="0" w:color="365F91"/>
              <w:right w:val="nil"/>
            </w:tcBorders>
            <w:hideMark/>
          </w:tcPr>
          <w:p w14:paraId="45A71569" w14:textId="77777777" w:rsidR="00524720" w:rsidRPr="00D9348B" w:rsidRDefault="00524720" w:rsidP="00191C16">
            <w:pPr>
              <w:pStyle w:val="TableText"/>
              <w:spacing w:before="50" w:after="40"/>
              <w:jc w:val="center"/>
            </w:pPr>
            <w:r w:rsidRPr="00D9348B">
              <w:t>NO</w:t>
            </w:r>
          </w:p>
        </w:tc>
        <w:tc>
          <w:tcPr>
            <w:tcW w:w="1559" w:type="dxa"/>
            <w:tcBorders>
              <w:top w:val="single" w:sz="4" w:space="0" w:color="365F91"/>
              <w:left w:val="nil"/>
              <w:bottom w:val="single" w:sz="4" w:space="0" w:color="365F91"/>
              <w:right w:val="nil"/>
            </w:tcBorders>
            <w:hideMark/>
          </w:tcPr>
          <w:p w14:paraId="35ED259A" w14:textId="77777777" w:rsidR="00524720" w:rsidRPr="00D9348B" w:rsidRDefault="00524720" w:rsidP="00191C16">
            <w:pPr>
              <w:pStyle w:val="TableText"/>
              <w:spacing w:before="50" w:after="40"/>
              <w:jc w:val="center"/>
            </w:pPr>
            <w:r w:rsidRPr="00D9348B">
              <w:t>2,511.3</w:t>
            </w:r>
          </w:p>
        </w:tc>
      </w:tr>
      <w:tr w:rsidR="00524720" w:rsidRPr="00D9348B" w14:paraId="4E28BDEB" w14:textId="77777777" w:rsidTr="002D60CB">
        <w:tc>
          <w:tcPr>
            <w:tcW w:w="993" w:type="dxa"/>
            <w:tcBorders>
              <w:top w:val="single" w:sz="4" w:space="0" w:color="365F91"/>
              <w:left w:val="nil"/>
              <w:bottom w:val="single" w:sz="4" w:space="0" w:color="365F91"/>
              <w:right w:val="nil"/>
            </w:tcBorders>
            <w:hideMark/>
          </w:tcPr>
          <w:p w14:paraId="50E0CE19" w14:textId="77777777" w:rsidR="00524720" w:rsidRPr="00D9348B" w:rsidRDefault="00524720" w:rsidP="00191C16">
            <w:pPr>
              <w:pStyle w:val="TableTextBold"/>
              <w:spacing w:before="50" w:after="40"/>
              <w:rPr>
                <w:noProof w:val="0"/>
              </w:rPr>
            </w:pPr>
            <w:r w:rsidRPr="00D9348B">
              <w:rPr>
                <w:noProof w:val="0"/>
              </w:rPr>
              <w:t>2011</w:t>
            </w:r>
          </w:p>
        </w:tc>
        <w:tc>
          <w:tcPr>
            <w:tcW w:w="1942" w:type="dxa"/>
            <w:tcBorders>
              <w:top w:val="single" w:sz="4" w:space="0" w:color="365F91"/>
              <w:left w:val="nil"/>
              <w:bottom w:val="single" w:sz="4" w:space="0" w:color="365F91"/>
              <w:right w:val="nil"/>
            </w:tcBorders>
            <w:hideMark/>
          </w:tcPr>
          <w:p w14:paraId="5B4F7F7B" w14:textId="77777777" w:rsidR="00524720" w:rsidRPr="00D9348B" w:rsidRDefault="00524720" w:rsidP="00191C16">
            <w:pPr>
              <w:pStyle w:val="TableText"/>
              <w:spacing w:before="50" w:after="40"/>
              <w:jc w:val="center"/>
            </w:pPr>
            <w:r w:rsidRPr="00D9348B">
              <w:t>2,249.4</w:t>
            </w:r>
          </w:p>
        </w:tc>
        <w:tc>
          <w:tcPr>
            <w:tcW w:w="2168" w:type="dxa"/>
            <w:tcBorders>
              <w:top w:val="single" w:sz="4" w:space="0" w:color="365F91"/>
              <w:left w:val="nil"/>
              <w:bottom w:val="single" w:sz="4" w:space="0" w:color="365F91"/>
              <w:right w:val="nil"/>
            </w:tcBorders>
            <w:hideMark/>
          </w:tcPr>
          <w:p w14:paraId="13DA68D4" w14:textId="77777777" w:rsidR="00524720" w:rsidRPr="00D9348B" w:rsidRDefault="00524720" w:rsidP="00191C16">
            <w:pPr>
              <w:pStyle w:val="TableText"/>
              <w:spacing w:before="50" w:after="40"/>
              <w:jc w:val="center"/>
            </w:pPr>
            <w:r w:rsidRPr="00D9348B">
              <w:t>212.2</w:t>
            </w:r>
          </w:p>
        </w:tc>
        <w:tc>
          <w:tcPr>
            <w:tcW w:w="1843" w:type="dxa"/>
            <w:tcBorders>
              <w:top w:val="single" w:sz="4" w:space="0" w:color="365F91"/>
              <w:left w:val="nil"/>
              <w:bottom w:val="single" w:sz="4" w:space="0" w:color="365F91"/>
              <w:right w:val="nil"/>
            </w:tcBorders>
            <w:hideMark/>
          </w:tcPr>
          <w:p w14:paraId="3CF44A02" w14:textId="77777777" w:rsidR="00524720" w:rsidRPr="00D9348B" w:rsidRDefault="00524720" w:rsidP="00191C16">
            <w:pPr>
              <w:pStyle w:val="TableText"/>
              <w:spacing w:before="50" w:after="40"/>
              <w:jc w:val="center"/>
            </w:pPr>
            <w:r w:rsidRPr="00D9348B">
              <w:t>NO</w:t>
            </w:r>
          </w:p>
        </w:tc>
        <w:tc>
          <w:tcPr>
            <w:tcW w:w="1559" w:type="dxa"/>
            <w:tcBorders>
              <w:top w:val="single" w:sz="4" w:space="0" w:color="365F91"/>
              <w:left w:val="nil"/>
              <w:bottom w:val="single" w:sz="4" w:space="0" w:color="365F91"/>
              <w:right w:val="nil"/>
            </w:tcBorders>
            <w:hideMark/>
          </w:tcPr>
          <w:p w14:paraId="02C80306" w14:textId="77777777" w:rsidR="00524720" w:rsidRPr="00D9348B" w:rsidRDefault="00524720" w:rsidP="00191C16">
            <w:pPr>
              <w:pStyle w:val="TableText"/>
              <w:spacing w:before="50" w:after="40"/>
              <w:jc w:val="center"/>
            </w:pPr>
            <w:r w:rsidRPr="00D9348B">
              <w:t>2,461.5</w:t>
            </w:r>
          </w:p>
        </w:tc>
      </w:tr>
      <w:tr w:rsidR="00524720" w:rsidRPr="00D9348B" w14:paraId="10DACA25" w14:textId="77777777" w:rsidTr="002D60CB">
        <w:tc>
          <w:tcPr>
            <w:tcW w:w="993" w:type="dxa"/>
            <w:tcBorders>
              <w:top w:val="single" w:sz="4" w:space="0" w:color="365F91"/>
              <w:left w:val="nil"/>
              <w:bottom w:val="single" w:sz="4" w:space="0" w:color="365F91"/>
              <w:right w:val="nil"/>
            </w:tcBorders>
            <w:hideMark/>
          </w:tcPr>
          <w:p w14:paraId="0C0AB7D1" w14:textId="77777777" w:rsidR="00524720" w:rsidRPr="00D9348B" w:rsidRDefault="00524720" w:rsidP="00191C16">
            <w:pPr>
              <w:pStyle w:val="TableTextBold"/>
              <w:spacing w:before="50" w:after="40"/>
              <w:rPr>
                <w:noProof w:val="0"/>
              </w:rPr>
            </w:pPr>
            <w:r w:rsidRPr="00D9348B">
              <w:rPr>
                <w:noProof w:val="0"/>
              </w:rPr>
              <w:t>2012</w:t>
            </w:r>
          </w:p>
        </w:tc>
        <w:tc>
          <w:tcPr>
            <w:tcW w:w="1942" w:type="dxa"/>
            <w:tcBorders>
              <w:top w:val="single" w:sz="4" w:space="0" w:color="365F91"/>
              <w:left w:val="nil"/>
              <w:bottom w:val="single" w:sz="4" w:space="0" w:color="365F91"/>
              <w:right w:val="nil"/>
            </w:tcBorders>
            <w:hideMark/>
          </w:tcPr>
          <w:p w14:paraId="123A966F" w14:textId="77777777" w:rsidR="00524720" w:rsidRPr="00D9348B" w:rsidRDefault="00524720" w:rsidP="00191C16">
            <w:pPr>
              <w:pStyle w:val="TableText"/>
              <w:spacing w:before="50" w:after="40"/>
              <w:jc w:val="center"/>
            </w:pPr>
            <w:r w:rsidRPr="00D9348B">
              <w:t>2,301.7</w:t>
            </w:r>
          </w:p>
        </w:tc>
        <w:tc>
          <w:tcPr>
            <w:tcW w:w="2168" w:type="dxa"/>
            <w:tcBorders>
              <w:top w:val="single" w:sz="4" w:space="0" w:color="365F91"/>
              <w:left w:val="nil"/>
              <w:bottom w:val="single" w:sz="4" w:space="0" w:color="365F91"/>
              <w:right w:val="nil"/>
            </w:tcBorders>
            <w:hideMark/>
          </w:tcPr>
          <w:p w14:paraId="6CA9DB11" w14:textId="77777777" w:rsidR="00524720" w:rsidRPr="00D9348B" w:rsidRDefault="00524720" w:rsidP="00191C16">
            <w:pPr>
              <w:pStyle w:val="TableText"/>
              <w:spacing w:before="50" w:after="40"/>
              <w:jc w:val="center"/>
            </w:pPr>
            <w:r w:rsidRPr="00D9348B">
              <w:t>208.9</w:t>
            </w:r>
          </w:p>
        </w:tc>
        <w:tc>
          <w:tcPr>
            <w:tcW w:w="1843" w:type="dxa"/>
            <w:tcBorders>
              <w:top w:val="single" w:sz="4" w:space="0" w:color="365F91"/>
              <w:left w:val="nil"/>
              <w:bottom w:val="single" w:sz="4" w:space="0" w:color="365F91"/>
              <w:right w:val="nil"/>
            </w:tcBorders>
            <w:hideMark/>
          </w:tcPr>
          <w:p w14:paraId="4B460499" w14:textId="77777777" w:rsidR="00524720" w:rsidRPr="00D9348B" w:rsidRDefault="00524720" w:rsidP="00191C16">
            <w:pPr>
              <w:pStyle w:val="TableText"/>
              <w:spacing w:before="50" w:after="40"/>
              <w:jc w:val="center"/>
            </w:pPr>
            <w:r w:rsidRPr="00D9348B">
              <w:t>NO</w:t>
            </w:r>
          </w:p>
        </w:tc>
        <w:tc>
          <w:tcPr>
            <w:tcW w:w="1559" w:type="dxa"/>
            <w:tcBorders>
              <w:top w:val="single" w:sz="4" w:space="0" w:color="365F91"/>
              <w:left w:val="nil"/>
              <w:bottom w:val="single" w:sz="4" w:space="0" w:color="365F91"/>
              <w:right w:val="nil"/>
            </w:tcBorders>
            <w:hideMark/>
          </w:tcPr>
          <w:p w14:paraId="582B514D" w14:textId="77777777" w:rsidR="00524720" w:rsidRPr="00D9348B" w:rsidRDefault="00524720" w:rsidP="00191C16">
            <w:pPr>
              <w:pStyle w:val="TableText"/>
              <w:spacing w:before="50" w:after="40"/>
              <w:jc w:val="center"/>
            </w:pPr>
            <w:r w:rsidRPr="00D9348B">
              <w:t>2,510.7</w:t>
            </w:r>
          </w:p>
        </w:tc>
      </w:tr>
      <w:tr w:rsidR="00524720" w:rsidRPr="00D9348B" w14:paraId="0CB39ED1" w14:textId="77777777" w:rsidTr="002D60CB">
        <w:tc>
          <w:tcPr>
            <w:tcW w:w="993" w:type="dxa"/>
            <w:tcBorders>
              <w:top w:val="single" w:sz="4" w:space="0" w:color="365F91"/>
              <w:left w:val="nil"/>
              <w:bottom w:val="single" w:sz="4" w:space="0" w:color="365F91"/>
              <w:right w:val="nil"/>
            </w:tcBorders>
            <w:hideMark/>
          </w:tcPr>
          <w:p w14:paraId="3489B8BF" w14:textId="77777777" w:rsidR="00524720" w:rsidRPr="00D9348B" w:rsidRDefault="00524720" w:rsidP="00191C16">
            <w:pPr>
              <w:pStyle w:val="TableTextBold"/>
              <w:spacing w:before="50" w:after="40"/>
              <w:rPr>
                <w:noProof w:val="0"/>
              </w:rPr>
            </w:pPr>
            <w:r w:rsidRPr="00D9348B">
              <w:rPr>
                <w:noProof w:val="0"/>
              </w:rPr>
              <w:t>2013</w:t>
            </w:r>
          </w:p>
        </w:tc>
        <w:tc>
          <w:tcPr>
            <w:tcW w:w="1942" w:type="dxa"/>
            <w:tcBorders>
              <w:top w:val="single" w:sz="4" w:space="0" w:color="365F91"/>
              <w:left w:val="nil"/>
              <w:bottom w:val="single" w:sz="4" w:space="0" w:color="365F91"/>
              <w:right w:val="nil"/>
            </w:tcBorders>
            <w:hideMark/>
          </w:tcPr>
          <w:p w14:paraId="22813FEB" w14:textId="77777777" w:rsidR="00524720" w:rsidRPr="00D9348B" w:rsidRDefault="00524720" w:rsidP="00191C16">
            <w:pPr>
              <w:pStyle w:val="TableText"/>
              <w:spacing w:before="50" w:after="40"/>
              <w:jc w:val="center"/>
            </w:pPr>
            <w:r w:rsidRPr="00D9348B">
              <w:t>2,492.4</w:t>
            </w:r>
          </w:p>
        </w:tc>
        <w:tc>
          <w:tcPr>
            <w:tcW w:w="2168" w:type="dxa"/>
            <w:tcBorders>
              <w:top w:val="single" w:sz="4" w:space="0" w:color="365F91"/>
              <w:left w:val="nil"/>
              <w:bottom w:val="single" w:sz="4" w:space="0" w:color="365F91"/>
              <w:right w:val="nil"/>
            </w:tcBorders>
            <w:hideMark/>
          </w:tcPr>
          <w:p w14:paraId="537DED9E" w14:textId="77777777" w:rsidR="00524720" w:rsidRPr="00D9348B" w:rsidRDefault="00524720" w:rsidP="00191C16">
            <w:pPr>
              <w:pStyle w:val="TableText"/>
              <w:spacing w:before="50" w:after="40"/>
              <w:jc w:val="center"/>
            </w:pPr>
            <w:r w:rsidRPr="00D9348B">
              <w:t>192.0</w:t>
            </w:r>
          </w:p>
        </w:tc>
        <w:tc>
          <w:tcPr>
            <w:tcW w:w="1843" w:type="dxa"/>
            <w:tcBorders>
              <w:top w:val="single" w:sz="4" w:space="0" w:color="365F91"/>
              <w:left w:val="nil"/>
              <w:bottom w:val="single" w:sz="4" w:space="0" w:color="365F91"/>
              <w:right w:val="nil"/>
            </w:tcBorders>
            <w:hideMark/>
          </w:tcPr>
          <w:p w14:paraId="211198AC" w14:textId="77777777" w:rsidR="00524720" w:rsidRPr="00D9348B" w:rsidRDefault="00524720" w:rsidP="00191C16">
            <w:pPr>
              <w:pStyle w:val="TableText"/>
              <w:spacing w:before="50" w:after="40"/>
              <w:jc w:val="center"/>
            </w:pPr>
            <w:r w:rsidRPr="00D9348B">
              <w:t>NO</w:t>
            </w:r>
          </w:p>
        </w:tc>
        <w:tc>
          <w:tcPr>
            <w:tcW w:w="1559" w:type="dxa"/>
            <w:tcBorders>
              <w:top w:val="single" w:sz="4" w:space="0" w:color="365F91"/>
              <w:left w:val="nil"/>
              <w:bottom w:val="single" w:sz="4" w:space="0" w:color="365F91"/>
              <w:right w:val="nil"/>
            </w:tcBorders>
            <w:hideMark/>
          </w:tcPr>
          <w:p w14:paraId="3B1AC2E5" w14:textId="77777777" w:rsidR="00524720" w:rsidRPr="00D9348B" w:rsidRDefault="00524720" w:rsidP="00191C16">
            <w:pPr>
              <w:pStyle w:val="TableText"/>
              <w:spacing w:before="50" w:after="40"/>
              <w:jc w:val="center"/>
            </w:pPr>
            <w:r w:rsidRPr="00D9348B">
              <w:t>2,684.4</w:t>
            </w:r>
          </w:p>
        </w:tc>
      </w:tr>
      <w:tr w:rsidR="00524720" w:rsidRPr="00D9348B" w14:paraId="0328C31A" w14:textId="77777777" w:rsidTr="002D60CB">
        <w:tc>
          <w:tcPr>
            <w:tcW w:w="993" w:type="dxa"/>
            <w:tcBorders>
              <w:top w:val="single" w:sz="4" w:space="0" w:color="365F91"/>
              <w:left w:val="nil"/>
              <w:bottom w:val="single" w:sz="4" w:space="0" w:color="365F91"/>
              <w:right w:val="nil"/>
            </w:tcBorders>
            <w:hideMark/>
          </w:tcPr>
          <w:p w14:paraId="61E0604F" w14:textId="77777777" w:rsidR="00524720" w:rsidRPr="00D9348B" w:rsidRDefault="00524720" w:rsidP="00191C16">
            <w:pPr>
              <w:pStyle w:val="TableTextBold"/>
              <w:spacing w:before="50" w:after="40"/>
              <w:rPr>
                <w:noProof w:val="0"/>
              </w:rPr>
            </w:pPr>
            <w:r w:rsidRPr="00D9348B">
              <w:rPr>
                <w:noProof w:val="0"/>
              </w:rPr>
              <w:t>2014</w:t>
            </w:r>
          </w:p>
        </w:tc>
        <w:tc>
          <w:tcPr>
            <w:tcW w:w="1942" w:type="dxa"/>
            <w:tcBorders>
              <w:top w:val="single" w:sz="4" w:space="0" w:color="365F91"/>
              <w:left w:val="nil"/>
              <w:bottom w:val="single" w:sz="4" w:space="0" w:color="365F91"/>
              <w:right w:val="nil"/>
            </w:tcBorders>
            <w:hideMark/>
          </w:tcPr>
          <w:p w14:paraId="77DBB33A" w14:textId="77777777" w:rsidR="00524720" w:rsidRPr="00D9348B" w:rsidRDefault="00524720" w:rsidP="00191C16">
            <w:pPr>
              <w:pStyle w:val="TableText"/>
              <w:spacing w:before="50" w:after="40"/>
              <w:jc w:val="center"/>
            </w:pPr>
            <w:r w:rsidRPr="00D9348B">
              <w:t>2,740.6</w:t>
            </w:r>
          </w:p>
        </w:tc>
        <w:tc>
          <w:tcPr>
            <w:tcW w:w="2168" w:type="dxa"/>
            <w:tcBorders>
              <w:top w:val="single" w:sz="4" w:space="0" w:color="365F91"/>
              <w:left w:val="nil"/>
              <w:bottom w:val="single" w:sz="4" w:space="0" w:color="365F91"/>
              <w:right w:val="nil"/>
            </w:tcBorders>
            <w:hideMark/>
          </w:tcPr>
          <w:p w14:paraId="4277B3ED" w14:textId="77777777" w:rsidR="00524720" w:rsidRPr="00D9348B" w:rsidRDefault="00524720" w:rsidP="00191C16">
            <w:pPr>
              <w:pStyle w:val="TableText"/>
              <w:spacing w:before="50" w:after="40"/>
              <w:jc w:val="center"/>
            </w:pPr>
            <w:r w:rsidRPr="00D9348B">
              <w:t>190.6</w:t>
            </w:r>
          </w:p>
        </w:tc>
        <w:tc>
          <w:tcPr>
            <w:tcW w:w="1843" w:type="dxa"/>
            <w:tcBorders>
              <w:top w:val="single" w:sz="4" w:space="0" w:color="365F91"/>
              <w:left w:val="nil"/>
              <w:bottom w:val="single" w:sz="4" w:space="0" w:color="365F91"/>
              <w:right w:val="nil"/>
            </w:tcBorders>
            <w:hideMark/>
          </w:tcPr>
          <w:p w14:paraId="053E6EAE" w14:textId="77777777" w:rsidR="00524720" w:rsidRPr="00D9348B" w:rsidRDefault="00524720" w:rsidP="00191C16">
            <w:pPr>
              <w:pStyle w:val="TableText"/>
              <w:spacing w:before="50" w:after="40"/>
              <w:jc w:val="center"/>
            </w:pPr>
            <w:r w:rsidRPr="00D9348B">
              <w:t>NO</w:t>
            </w:r>
          </w:p>
        </w:tc>
        <w:tc>
          <w:tcPr>
            <w:tcW w:w="1559" w:type="dxa"/>
            <w:tcBorders>
              <w:top w:val="single" w:sz="4" w:space="0" w:color="365F91"/>
              <w:left w:val="nil"/>
              <w:bottom w:val="single" w:sz="4" w:space="0" w:color="365F91"/>
              <w:right w:val="nil"/>
            </w:tcBorders>
            <w:hideMark/>
          </w:tcPr>
          <w:p w14:paraId="4728CC0C" w14:textId="77777777" w:rsidR="00524720" w:rsidRPr="00D9348B" w:rsidRDefault="00524720" w:rsidP="00191C16">
            <w:pPr>
              <w:pStyle w:val="TableText"/>
              <w:spacing w:before="50" w:after="40"/>
              <w:jc w:val="center"/>
            </w:pPr>
            <w:r w:rsidRPr="00D9348B">
              <w:t>2,931.2</w:t>
            </w:r>
          </w:p>
        </w:tc>
      </w:tr>
      <w:tr w:rsidR="00524720" w:rsidRPr="00D9348B" w14:paraId="48DA0938" w14:textId="77777777" w:rsidTr="002D60CB">
        <w:tc>
          <w:tcPr>
            <w:tcW w:w="993" w:type="dxa"/>
            <w:tcBorders>
              <w:top w:val="single" w:sz="4" w:space="0" w:color="365F91"/>
              <w:left w:val="nil"/>
              <w:bottom w:val="single" w:sz="4" w:space="0" w:color="365F91"/>
              <w:right w:val="nil"/>
            </w:tcBorders>
            <w:hideMark/>
          </w:tcPr>
          <w:p w14:paraId="4DD16EA6" w14:textId="77777777" w:rsidR="00524720" w:rsidRPr="00D9348B" w:rsidRDefault="00524720" w:rsidP="00191C16">
            <w:pPr>
              <w:pStyle w:val="TableTextBold"/>
              <w:spacing w:before="50" w:after="40"/>
              <w:rPr>
                <w:noProof w:val="0"/>
              </w:rPr>
            </w:pPr>
            <w:r w:rsidRPr="00D9348B">
              <w:rPr>
                <w:noProof w:val="0"/>
              </w:rPr>
              <w:t>2015</w:t>
            </w:r>
          </w:p>
        </w:tc>
        <w:tc>
          <w:tcPr>
            <w:tcW w:w="1942" w:type="dxa"/>
            <w:tcBorders>
              <w:top w:val="single" w:sz="4" w:space="0" w:color="365F91"/>
              <w:left w:val="nil"/>
              <w:bottom w:val="single" w:sz="4" w:space="0" w:color="365F91"/>
              <w:right w:val="nil"/>
            </w:tcBorders>
            <w:hideMark/>
          </w:tcPr>
          <w:p w14:paraId="768EA49B" w14:textId="77777777" w:rsidR="00524720" w:rsidRPr="00D9348B" w:rsidRDefault="00524720" w:rsidP="00191C16">
            <w:pPr>
              <w:pStyle w:val="TableText"/>
              <w:spacing w:before="50" w:after="40"/>
              <w:jc w:val="center"/>
            </w:pPr>
            <w:r w:rsidRPr="00D9348B">
              <w:t>3,002.4</w:t>
            </w:r>
          </w:p>
        </w:tc>
        <w:tc>
          <w:tcPr>
            <w:tcW w:w="2168" w:type="dxa"/>
            <w:tcBorders>
              <w:top w:val="single" w:sz="4" w:space="0" w:color="365F91"/>
              <w:left w:val="nil"/>
              <w:bottom w:val="single" w:sz="4" w:space="0" w:color="365F91"/>
              <w:right w:val="nil"/>
            </w:tcBorders>
            <w:hideMark/>
          </w:tcPr>
          <w:p w14:paraId="594DB808" w14:textId="77777777" w:rsidR="00524720" w:rsidRPr="00D9348B" w:rsidRDefault="00524720" w:rsidP="00191C16">
            <w:pPr>
              <w:pStyle w:val="TableText"/>
              <w:spacing w:before="50" w:after="40"/>
              <w:jc w:val="center"/>
            </w:pPr>
            <w:r w:rsidRPr="00D9348B">
              <w:t>205.9</w:t>
            </w:r>
          </w:p>
        </w:tc>
        <w:tc>
          <w:tcPr>
            <w:tcW w:w="1843" w:type="dxa"/>
            <w:tcBorders>
              <w:top w:val="single" w:sz="4" w:space="0" w:color="365F91"/>
              <w:left w:val="nil"/>
              <w:bottom w:val="single" w:sz="4" w:space="0" w:color="365F91"/>
              <w:right w:val="nil"/>
            </w:tcBorders>
            <w:hideMark/>
          </w:tcPr>
          <w:p w14:paraId="1599F023" w14:textId="77777777" w:rsidR="00524720" w:rsidRPr="00D9348B" w:rsidRDefault="00524720" w:rsidP="00191C16">
            <w:pPr>
              <w:pStyle w:val="TableText"/>
              <w:spacing w:before="50" w:after="40"/>
              <w:jc w:val="center"/>
            </w:pPr>
            <w:r w:rsidRPr="00D9348B">
              <w:t>NO</w:t>
            </w:r>
          </w:p>
        </w:tc>
        <w:tc>
          <w:tcPr>
            <w:tcW w:w="1559" w:type="dxa"/>
            <w:tcBorders>
              <w:top w:val="single" w:sz="4" w:space="0" w:color="365F91"/>
              <w:left w:val="nil"/>
              <w:bottom w:val="single" w:sz="4" w:space="0" w:color="365F91"/>
              <w:right w:val="nil"/>
            </w:tcBorders>
            <w:hideMark/>
          </w:tcPr>
          <w:p w14:paraId="4D9E3167" w14:textId="77777777" w:rsidR="00524720" w:rsidRPr="00D9348B" w:rsidRDefault="00524720" w:rsidP="00191C16">
            <w:pPr>
              <w:pStyle w:val="TableText"/>
              <w:spacing w:before="50" w:after="40"/>
              <w:jc w:val="center"/>
            </w:pPr>
            <w:r w:rsidRPr="00D9348B">
              <w:t>3,208.4</w:t>
            </w:r>
          </w:p>
        </w:tc>
      </w:tr>
      <w:tr w:rsidR="00524720" w:rsidRPr="00D9348B" w14:paraId="6CF6F40E" w14:textId="77777777" w:rsidTr="002D60CB">
        <w:tc>
          <w:tcPr>
            <w:tcW w:w="993" w:type="dxa"/>
            <w:tcBorders>
              <w:top w:val="single" w:sz="4" w:space="0" w:color="365F91"/>
              <w:left w:val="nil"/>
              <w:bottom w:val="single" w:sz="4" w:space="0" w:color="365F91"/>
              <w:right w:val="nil"/>
            </w:tcBorders>
            <w:hideMark/>
          </w:tcPr>
          <w:p w14:paraId="6FA08A26" w14:textId="77777777" w:rsidR="00524720" w:rsidRPr="00D9348B" w:rsidRDefault="00524720" w:rsidP="00191C16">
            <w:pPr>
              <w:pStyle w:val="TableTextBold"/>
              <w:spacing w:before="50" w:after="40"/>
              <w:rPr>
                <w:noProof w:val="0"/>
              </w:rPr>
            </w:pPr>
            <w:r w:rsidRPr="00D9348B">
              <w:rPr>
                <w:noProof w:val="0"/>
              </w:rPr>
              <w:t>2016</w:t>
            </w:r>
          </w:p>
        </w:tc>
        <w:tc>
          <w:tcPr>
            <w:tcW w:w="1942" w:type="dxa"/>
            <w:tcBorders>
              <w:top w:val="single" w:sz="4" w:space="0" w:color="365F91"/>
              <w:left w:val="nil"/>
              <w:bottom w:val="single" w:sz="4" w:space="0" w:color="365F91"/>
              <w:right w:val="nil"/>
            </w:tcBorders>
            <w:hideMark/>
          </w:tcPr>
          <w:p w14:paraId="7CE0C7B7" w14:textId="77777777" w:rsidR="00524720" w:rsidRPr="00D9348B" w:rsidRDefault="00524720" w:rsidP="00191C16">
            <w:pPr>
              <w:pStyle w:val="TableText"/>
              <w:spacing w:before="50" w:after="40"/>
              <w:jc w:val="center"/>
            </w:pPr>
            <w:r w:rsidRPr="00D9348B">
              <w:t>3,188.2</w:t>
            </w:r>
          </w:p>
        </w:tc>
        <w:tc>
          <w:tcPr>
            <w:tcW w:w="2168" w:type="dxa"/>
            <w:tcBorders>
              <w:top w:val="single" w:sz="4" w:space="0" w:color="365F91"/>
              <w:left w:val="nil"/>
              <w:bottom w:val="single" w:sz="4" w:space="0" w:color="365F91"/>
              <w:right w:val="nil"/>
            </w:tcBorders>
            <w:hideMark/>
          </w:tcPr>
          <w:p w14:paraId="565AB7AF" w14:textId="77777777" w:rsidR="00524720" w:rsidRPr="00D9348B" w:rsidRDefault="00524720" w:rsidP="00191C16">
            <w:pPr>
              <w:pStyle w:val="TableText"/>
              <w:spacing w:before="50" w:after="40"/>
              <w:jc w:val="center"/>
            </w:pPr>
            <w:r w:rsidRPr="00D9348B">
              <w:t>217.6</w:t>
            </w:r>
          </w:p>
        </w:tc>
        <w:tc>
          <w:tcPr>
            <w:tcW w:w="1843" w:type="dxa"/>
            <w:tcBorders>
              <w:top w:val="single" w:sz="4" w:space="0" w:color="365F91"/>
              <w:left w:val="nil"/>
              <w:bottom w:val="single" w:sz="4" w:space="0" w:color="365F91"/>
              <w:right w:val="nil"/>
            </w:tcBorders>
            <w:hideMark/>
          </w:tcPr>
          <w:p w14:paraId="71458651" w14:textId="77777777" w:rsidR="00524720" w:rsidRPr="00D9348B" w:rsidRDefault="00524720" w:rsidP="00191C16">
            <w:pPr>
              <w:pStyle w:val="TableText"/>
              <w:spacing w:before="50" w:after="40"/>
              <w:jc w:val="center"/>
            </w:pPr>
            <w:r w:rsidRPr="00D9348B">
              <w:t>NO</w:t>
            </w:r>
          </w:p>
        </w:tc>
        <w:tc>
          <w:tcPr>
            <w:tcW w:w="1559" w:type="dxa"/>
            <w:tcBorders>
              <w:top w:val="single" w:sz="4" w:space="0" w:color="365F91"/>
              <w:left w:val="nil"/>
              <w:bottom w:val="single" w:sz="4" w:space="0" w:color="365F91"/>
              <w:right w:val="nil"/>
            </w:tcBorders>
            <w:hideMark/>
          </w:tcPr>
          <w:p w14:paraId="133ED826" w14:textId="77777777" w:rsidR="00524720" w:rsidRPr="00D9348B" w:rsidRDefault="00524720" w:rsidP="00191C16">
            <w:pPr>
              <w:pStyle w:val="TableText"/>
              <w:spacing w:before="50" w:after="40"/>
              <w:jc w:val="center"/>
            </w:pPr>
            <w:r w:rsidRPr="00D9348B">
              <w:t>3,405.8</w:t>
            </w:r>
          </w:p>
        </w:tc>
      </w:tr>
      <w:tr w:rsidR="00524720" w:rsidRPr="00D9348B" w14:paraId="70070D78" w14:textId="77777777" w:rsidTr="002D60CB">
        <w:tc>
          <w:tcPr>
            <w:tcW w:w="993" w:type="dxa"/>
            <w:tcBorders>
              <w:top w:val="single" w:sz="4" w:space="0" w:color="365F91"/>
              <w:left w:val="nil"/>
              <w:bottom w:val="single" w:sz="4" w:space="0" w:color="365F91"/>
              <w:right w:val="nil"/>
            </w:tcBorders>
            <w:hideMark/>
          </w:tcPr>
          <w:p w14:paraId="58FDBD83" w14:textId="77777777" w:rsidR="00524720" w:rsidRPr="00D9348B" w:rsidRDefault="00524720" w:rsidP="00191C16">
            <w:pPr>
              <w:pStyle w:val="TableTextBold"/>
              <w:spacing w:before="50" w:after="40"/>
              <w:rPr>
                <w:noProof w:val="0"/>
              </w:rPr>
            </w:pPr>
            <w:r w:rsidRPr="00D9348B">
              <w:rPr>
                <w:noProof w:val="0"/>
              </w:rPr>
              <w:t>2017</w:t>
            </w:r>
          </w:p>
        </w:tc>
        <w:tc>
          <w:tcPr>
            <w:tcW w:w="1942" w:type="dxa"/>
            <w:tcBorders>
              <w:top w:val="single" w:sz="4" w:space="0" w:color="365F91"/>
              <w:left w:val="nil"/>
              <w:bottom w:val="single" w:sz="4" w:space="0" w:color="365F91"/>
              <w:right w:val="nil"/>
            </w:tcBorders>
            <w:hideMark/>
          </w:tcPr>
          <w:p w14:paraId="195C3152" w14:textId="77777777" w:rsidR="00524720" w:rsidRPr="00D9348B" w:rsidRDefault="00524720" w:rsidP="00191C16">
            <w:pPr>
              <w:pStyle w:val="TableText"/>
              <w:spacing w:before="50" w:after="40"/>
              <w:jc w:val="center"/>
            </w:pPr>
            <w:r w:rsidRPr="00D9348B">
              <w:t>3,300.1</w:t>
            </w:r>
          </w:p>
        </w:tc>
        <w:tc>
          <w:tcPr>
            <w:tcW w:w="2168" w:type="dxa"/>
            <w:tcBorders>
              <w:top w:val="single" w:sz="4" w:space="0" w:color="365F91"/>
              <w:left w:val="nil"/>
              <w:bottom w:val="single" w:sz="4" w:space="0" w:color="365F91"/>
              <w:right w:val="nil"/>
            </w:tcBorders>
            <w:hideMark/>
          </w:tcPr>
          <w:p w14:paraId="00DCCB65" w14:textId="77777777" w:rsidR="00524720" w:rsidRPr="00D9348B" w:rsidRDefault="00524720" w:rsidP="00191C16">
            <w:pPr>
              <w:pStyle w:val="TableText"/>
              <w:spacing w:before="50" w:after="40"/>
              <w:jc w:val="center"/>
            </w:pPr>
            <w:r w:rsidRPr="00D9348B">
              <w:t>194.6</w:t>
            </w:r>
          </w:p>
        </w:tc>
        <w:tc>
          <w:tcPr>
            <w:tcW w:w="1843" w:type="dxa"/>
            <w:tcBorders>
              <w:top w:val="single" w:sz="4" w:space="0" w:color="365F91"/>
              <w:left w:val="nil"/>
              <w:bottom w:val="single" w:sz="4" w:space="0" w:color="365F91"/>
              <w:right w:val="nil"/>
            </w:tcBorders>
            <w:hideMark/>
          </w:tcPr>
          <w:p w14:paraId="31738270" w14:textId="77777777" w:rsidR="00524720" w:rsidRPr="00D9348B" w:rsidRDefault="00524720" w:rsidP="00191C16">
            <w:pPr>
              <w:pStyle w:val="TableText"/>
              <w:spacing w:before="50" w:after="40"/>
              <w:jc w:val="center"/>
            </w:pPr>
            <w:r w:rsidRPr="00D9348B">
              <w:t>NO</w:t>
            </w:r>
          </w:p>
        </w:tc>
        <w:tc>
          <w:tcPr>
            <w:tcW w:w="1559" w:type="dxa"/>
            <w:tcBorders>
              <w:top w:val="single" w:sz="4" w:space="0" w:color="365F91"/>
              <w:left w:val="nil"/>
              <w:bottom w:val="single" w:sz="4" w:space="0" w:color="365F91"/>
              <w:right w:val="nil"/>
            </w:tcBorders>
            <w:hideMark/>
          </w:tcPr>
          <w:p w14:paraId="375FC4A0" w14:textId="77777777" w:rsidR="00524720" w:rsidRPr="00D9348B" w:rsidRDefault="00524720" w:rsidP="00191C16">
            <w:pPr>
              <w:pStyle w:val="TableText"/>
              <w:spacing w:before="50" w:after="40"/>
              <w:jc w:val="center"/>
            </w:pPr>
            <w:r w:rsidRPr="00D9348B">
              <w:t>3,494.7</w:t>
            </w:r>
          </w:p>
        </w:tc>
      </w:tr>
      <w:tr w:rsidR="00524720" w:rsidRPr="00D9348B" w14:paraId="52387AE9" w14:textId="77777777" w:rsidTr="002D60CB">
        <w:tc>
          <w:tcPr>
            <w:tcW w:w="993" w:type="dxa"/>
            <w:tcBorders>
              <w:top w:val="single" w:sz="4" w:space="0" w:color="365F91"/>
              <w:left w:val="nil"/>
              <w:bottom w:val="single" w:sz="4" w:space="0" w:color="365F91"/>
              <w:right w:val="nil"/>
            </w:tcBorders>
            <w:hideMark/>
          </w:tcPr>
          <w:p w14:paraId="599CA6EF" w14:textId="77777777" w:rsidR="00524720" w:rsidRPr="00D9348B" w:rsidRDefault="00524720" w:rsidP="00191C16">
            <w:pPr>
              <w:pStyle w:val="TableTextBold"/>
              <w:spacing w:before="50" w:after="40"/>
              <w:rPr>
                <w:noProof w:val="0"/>
              </w:rPr>
            </w:pPr>
            <w:r w:rsidRPr="00D9348B">
              <w:rPr>
                <w:noProof w:val="0"/>
              </w:rPr>
              <w:t>2018</w:t>
            </w:r>
          </w:p>
        </w:tc>
        <w:tc>
          <w:tcPr>
            <w:tcW w:w="1942" w:type="dxa"/>
            <w:tcBorders>
              <w:top w:val="single" w:sz="4" w:space="0" w:color="365F91"/>
              <w:left w:val="nil"/>
              <w:bottom w:val="single" w:sz="4" w:space="0" w:color="365F91"/>
              <w:right w:val="nil"/>
            </w:tcBorders>
            <w:hideMark/>
          </w:tcPr>
          <w:p w14:paraId="69BCFFDB" w14:textId="77777777" w:rsidR="00524720" w:rsidRPr="00D9348B" w:rsidRDefault="00524720" w:rsidP="00191C16">
            <w:pPr>
              <w:pStyle w:val="TableText"/>
              <w:spacing w:before="50" w:after="40"/>
              <w:jc w:val="center"/>
            </w:pPr>
            <w:r w:rsidRPr="00D9348B">
              <w:t>3,557.0</w:t>
            </w:r>
          </w:p>
        </w:tc>
        <w:tc>
          <w:tcPr>
            <w:tcW w:w="2168" w:type="dxa"/>
            <w:tcBorders>
              <w:top w:val="single" w:sz="4" w:space="0" w:color="365F91"/>
              <w:left w:val="nil"/>
              <w:bottom w:val="single" w:sz="4" w:space="0" w:color="365F91"/>
              <w:right w:val="nil"/>
            </w:tcBorders>
            <w:hideMark/>
          </w:tcPr>
          <w:p w14:paraId="12B05704" w14:textId="77777777" w:rsidR="00524720" w:rsidRPr="00D9348B" w:rsidRDefault="00524720" w:rsidP="00191C16">
            <w:pPr>
              <w:pStyle w:val="TableText"/>
              <w:spacing w:before="50" w:after="40"/>
              <w:jc w:val="center"/>
            </w:pPr>
            <w:r w:rsidRPr="00D9348B">
              <w:t>147.8</w:t>
            </w:r>
          </w:p>
        </w:tc>
        <w:tc>
          <w:tcPr>
            <w:tcW w:w="1843" w:type="dxa"/>
            <w:tcBorders>
              <w:top w:val="single" w:sz="4" w:space="0" w:color="365F91"/>
              <w:left w:val="nil"/>
              <w:bottom w:val="single" w:sz="4" w:space="0" w:color="365F91"/>
              <w:right w:val="nil"/>
            </w:tcBorders>
            <w:hideMark/>
          </w:tcPr>
          <w:p w14:paraId="120701DB" w14:textId="77777777" w:rsidR="00524720" w:rsidRPr="00D9348B" w:rsidRDefault="00524720" w:rsidP="00191C16">
            <w:pPr>
              <w:pStyle w:val="TableText"/>
              <w:spacing w:before="50" w:after="40"/>
              <w:jc w:val="center"/>
            </w:pPr>
            <w:r w:rsidRPr="00D9348B">
              <w:t>NO</w:t>
            </w:r>
          </w:p>
        </w:tc>
        <w:tc>
          <w:tcPr>
            <w:tcW w:w="1559" w:type="dxa"/>
            <w:tcBorders>
              <w:top w:val="single" w:sz="4" w:space="0" w:color="365F91"/>
              <w:left w:val="nil"/>
              <w:bottom w:val="single" w:sz="4" w:space="0" w:color="365F91"/>
              <w:right w:val="nil"/>
            </w:tcBorders>
            <w:hideMark/>
          </w:tcPr>
          <w:p w14:paraId="31DEFA63" w14:textId="77777777" w:rsidR="00524720" w:rsidRPr="00D9348B" w:rsidRDefault="00524720" w:rsidP="00191C16">
            <w:pPr>
              <w:pStyle w:val="TableText"/>
              <w:spacing w:before="50" w:after="40"/>
              <w:jc w:val="center"/>
            </w:pPr>
            <w:r w:rsidRPr="00D9348B">
              <w:t>3,704.8</w:t>
            </w:r>
          </w:p>
        </w:tc>
      </w:tr>
    </w:tbl>
    <w:p w14:paraId="5BD01968" w14:textId="77777777" w:rsidR="00524720" w:rsidRPr="00D9348B" w:rsidRDefault="00524720" w:rsidP="00524720">
      <w:pPr>
        <w:pStyle w:val="Noteundertable"/>
      </w:pPr>
      <w:r w:rsidRPr="00D9348B">
        <w:rPr>
          <w:b/>
        </w:rPr>
        <w:t>Note:</w:t>
      </w:r>
      <w:r w:rsidRPr="00D9348B">
        <w:t xml:space="preserve"> </w:t>
      </w:r>
      <w:r w:rsidRPr="00D9348B">
        <w:tab/>
        <w:t>Sludge is not included. LFG = landfill gas, NO = not occurring. Columns may not total due to rounding.</w:t>
      </w:r>
    </w:p>
    <w:p w14:paraId="596B7FAC" w14:textId="77777777" w:rsidR="00524720" w:rsidRPr="00D9348B" w:rsidRDefault="00524720" w:rsidP="009F6E65">
      <w:pPr>
        <w:pStyle w:val="Heading5"/>
      </w:pPr>
      <w:r w:rsidRPr="00D9348B">
        <w:t>Non-municipal landfills and farm fills (5.A.2)</w:t>
      </w:r>
    </w:p>
    <w:p w14:paraId="0C0DE1F9" w14:textId="6E17C206" w:rsidR="00524720" w:rsidRPr="00D9348B" w:rsidRDefault="00524720" w:rsidP="009F6E65">
      <w:pPr>
        <w:pStyle w:val="BodyText"/>
      </w:pPr>
      <w:r w:rsidRPr="00D9348B">
        <w:t xml:space="preserve">Non-municipal landfills are significant landfill sites that do not accept household waste. These include cleanfills (sites disposing of largely inert waste), industrial fills and sites that dispose of construction and demolition waste. The available information on historical and current disposal rates to non-municipal landfills is derived from direct contact with landfill operators and from regional councils, which regulate these activities under the Resource Management Act 1991. There are substantial gaps, which were filled by correlating waste quantities with regional GDP (Tonkin and Taylor Ltd, </w:t>
      </w:r>
      <w:proofErr w:type="gramStart"/>
      <w:r w:rsidRPr="00D9348B">
        <w:t>unpublished(</w:t>
      </w:r>
      <w:proofErr w:type="gramEnd"/>
      <w:r w:rsidRPr="00D9348B">
        <w:t>b)). Waste quantities are determined for each region and then combined to provide a national total (Tonkin and Taylor</w:t>
      </w:r>
      <w:r w:rsidR="009F6E65" w:rsidRPr="00D9348B">
        <w:t> </w:t>
      </w:r>
      <w:r w:rsidRPr="00D9348B">
        <w:t>Ltd, unpublished (b)).</w:t>
      </w:r>
    </w:p>
    <w:p w14:paraId="0BA2C3EF" w14:textId="77777777" w:rsidR="00524720" w:rsidRPr="00D9348B" w:rsidRDefault="00524720" w:rsidP="00524720">
      <w:pPr>
        <w:pStyle w:val="BodyText"/>
      </w:pPr>
      <w:r w:rsidRPr="00D9348B">
        <w:lastRenderedPageBreak/>
        <w:t xml:space="preserve">Farm fills are used to dispose of various types of farming waste, such as scrap metal, timber used for fencing, plastic wraps and ties, batteries and demolition waste. Farmers also use them to dispose of organic and general household waste. </w:t>
      </w:r>
    </w:p>
    <w:p w14:paraId="7E435D52" w14:textId="77777777" w:rsidR="00524720" w:rsidRPr="00D9348B" w:rsidRDefault="00524720" w:rsidP="00524720">
      <w:pPr>
        <w:pStyle w:val="BodyText"/>
        <w:rPr>
          <w:spacing w:val="-2"/>
        </w:rPr>
      </w:pPr>
      <w:r w:rsidRPr="00D9348B">
        <w:rPr>
          <w:spacing w:val="-2"/>
        </w:rPr>
        <w:t xml:space="preserve">The information used to estimate activity data and emissions from farm fills has come from surveys carried out in the Canterbury region in 2012 and 2013, and the Waikato and Bay of Plenty regions in 2014 (GHD, 2013, 2014; Tonkin and Taylor Ltd, unpublished(b)). The results from these surveys are extrapolated to the rest of the country based on the number of farms in each region for each year. Farming practices regarding farm fill sites are similar around the country, so the extrapolation is unlikely to introduce a systematic bias. However, the sample size is small in relation to the number of farms in New Zealand. </w:t>
      </w:r>
    </w:p>
    <w:p w14:paraId="79600726" w14:textId="77777777" w:rsidR="00524720" w:rsidRPr="00D9348B" w:rsidRDefault="00524720" w:rsidP="00524720">
      <w:pPr>
        <w:pStyle w:val="BodyText"/>
      </w:pPr>
      <w:r w:rsidRPr="00D9348B">
        <w:t>Waste quantities were averaged for the farm types surveyed: dairy, livestock, arable, viticulture and other horticulture. These survey results have been applied regionally and then combined to provide a national total, with adjustments to account for the differences in the prevalence of these five farm types across all regions (Tonkin and Taylor Ltd, unpublished (b)).</w:t>
      </w:r>
    </w:p>
    <w:p w14:paraId="73FF4073" w14:textId="77777777" w:rsidR="00524720" w:rsidRPr="00D9348B" w:rsidRDefault="00524720" w:rsidP="00524720">
      <w:pPr>
        <w:pStyle w:val="BodyText"/>
      </w:pPr>
      <w:r w:rsidRPr="00D9348B">
        <w:t xml:space="preserve">Table 7.2.4 </w:t>
      </w:r>
      <w:r w:rsidRPr="00D9348B">
        <w:rPr>
          <w:spacing w:val="-2"/>
        </w:rPr>
        <w:t>shows waste placement for farm fills and non-municipal landfills from the beginning of the model in 1950 to 2018.</w:t>
      </w:r>
    </w:p>
    <w:p w14:paraId="22588187" w14:textId="77777777" w:rsidR="00524720" w:rsidRPr="00D9348B" w:rsidRDefault="00524720" w:rsidP="00524720">
      <w:pPr>
        <w:pStyle w:val="Table"/>
      </w:pPr>
      <w:bookmarkStart w:id="2679" w:name="_Toc5269563"/>
      <w:bookmarkStart w:id="2680" w:name="_Toc511116822"/>
      <w:bookmarkStart w:id="2681" w:name="_Toc508019324"/>
      <w:bookmarkStart w:id="2682" w:name="_Toc32828521"/>
      <w:bookmarkStart w:id="2683" w:name="_Toc32591351"/>
      <w:bookmarkStart w:id="2684" w:name="_Toc36224644"/>
      <w:r w:rsidRPr="00D9348B">
        <w:t xml:space="preserve">Table 7.2.4 </w:t>
      </w:r>
      <w:r w:rsidRPr="00D9348B">
        <w:tab/>
        <w:t>Solid waste deposited to unmanaged landfills from 1950 to </w:t>
      </w:r>
      <w:bookmarkEnd w:id="2679"/>
      <w:bookmarkEnd w:id="2680"/>
      <w:bookmarkEnd w:id="2681"/>
      <w:r w:rsidRPr="00D9348B">
        <w:t>2018</w:t>
      </w:r>
      <w:bookmarkEnd w:id="2682"/>
      <w:bookmarkEnd w:id="2683"/>
      <w:bookmarkEnd w:id="2684"/>
    </w:p>
    <w:tbl>
      <w:tblPr>
        <w:tblW w:w="8505" w:type="dxa"/>
        <w:tblInd w:w="108" w:type="dxa"/>
        <w:tblLook w:val="04A0" w:firstRow="1" w:lastRow="0" w:firstColumn="1" w:lastColumn="0" w:noHBand="0" w:noVBand="1"/>
      </w:tblPr>
      <w:tblGrid>
        <w:gridCol w:w="1078"/>
        <w:gridCol w:w="2475"/>
        <w:gridCol w:w="2475"/>
        <w:gridCol w:w="2477"/>
      </w:tblGrid>
      <w:tr w:rsidR="00524720" w:rsidRPr="00D9348B" w14:paraId="181D3EF9" w14:textId="77777777" w:rsidTr="009F6E65">
        <w:trPr>
          <w:tblHeader/>
        </w:trPr>
        <w:tc>
          <w:tcPr>
            <w:tcW w:w="1078" w:type="dxa"/>
            <w:tcBorders>
              <w:top w:val="single" w:sz="4" w:space="0" w:color="365F91"/>
              <w:left w:val="nil"/>
              <w:bottom w:val="single" w:sz="4" w:space="0" w:color="365F91"/>
              <w:right w:val="nil"/>
            </w:tcBorders>
            <w:shd w:val="clear" w:color="auto" w:fill="365F91"/>
            <w:vAlign w:val="bottom"/>
            <w:hideMark/>
          </w:tcPr>
          <w:p w14:paraId="386DD45C" w14:textId="77777777" w:rsidR="00524720" w:rsidRPr="00D9348B" w:rsidRDefault="00524720">
            <w:pPr>
              <w:pStyle w:val="TableTextBold"/>
              <w:spacing w:before="50" w:after="50"/>
              <w:rPr>
                <w:noProof w:val="0"/>
                <w:color w:val="FFFFFF"/>
              </w:rPr>
            </w:pPr>
            <w:r w:rsidRPr="00D9348B">
              <w:rPr>
                <w:noProof w:val="0"/>
                <w:color w:val="FFFFFF"/>
              </w:rPr>
              <w:t>Year</w:t>
            </w:r>
          </w:p>
        </w:tc>
        <w:tc>
          <w:tcPr>
            <w:tcW w:w="2475" w:type="dxa"/>
            <w:tcBorders>
              <w:top w:val="single" w:sz="4" w:space="0" w:color="365F91"/>
              <w:left w:val="nil"/>
              <w:bottom w:val="single" w:sz="4" w:space="0" w:color="365F91"/>
              <w:right w:val="nil"/>
            </w:tcBorders>
            <w:shd w:val="clear" w:color="auto" w:fill="365F91"/>
            <w:vAlign w:val="bottom"/>
            <w:hideMark/>
          </w:tcPr>
          <w:p w14:paraId="6878AFBA" w14:textId="77777777" w:rsidR="00524720" w:rsidRPr="00D9348B" w:rsidRDefault="00524720">
            <w:pPr>
              <w:pStyle w:val="TableTextBold"/>
              <w:keepNext/>
              <w:spacing w:before="50" w:after="50"/>
              <w:jc w:val="center"/>
              <w:rPr>
                <w:noProof w:val="0"/>
                <w:color w:val="FFFFFF"/>
              </w:rPr>
            </w:pPr>
            <w:r w:rsidRPr="00D9348B">
              <w:rPr>
                <w:noProof w:val="0"/>
                <w:color w:val="FFFFFF"/>
              </w:rPr>
              <w:t>Farm fills (kt)</w:t>
            </w:r>
          </w:p>
        </w:tc>
        <w:tc>
          <w:tcPr>
            <w:tcW w:w="2475" w:type="dxa"/>
            <w:tcBorders>
              <w:top w:val="single" w:sz="4" w:space="0" w:color="365F91"/>
              <w:left w:val="nil"/>
              <w:bottom w:val="single" w:sz="4" w:space="0" w:color="365F91"/>
              <w:right w:val="nil"/>
            </w:tcBorders>
            <w:shd w:val="clear" w:color="auto" w:fill="365F91"/>
            <w:vAlign w:val="bottom"/>
            <w:hideMark/>
          </w:tcPr>
          <w:p w14:paraId="78FA5865" w14:textId="77777777" w:rsidR="00524720" w:rsidRPr="00D9348B" w:rsidRDefault="00524720">
            <w:pPr>
              <w:pStyle w:val="TableTextBold"/>
              <w:keepNext/>
              <w:spacing w:before="50" w:after="50"/>
              <w:jc w:val="center"/>
              <w:rPr>
                <w:noProof w:val="0"/>
                <w:color w:val="FFFFFF"/>
              </w:rPr>
            </w:pPr>
            <w:r w:rsidRPr="00D9348B">
              <w:rPr>
                <w:noProof w:val="0"/>
                <w:color w:val="FFFFFF"/>
              </w:rPr>
              <w:t>Non-municipal landfills (kt)</w:t>
            </w:r>
          </w:p>
        </w:tc>
        <w:tc>
          <w:tcPr>
            <w:tcW w:w="2477" w:type="dxa"/>
            <w:tcBorders>
              <w:top w:val="single" w:sz="4" w:space="0" w:color="365F91"/>
              <w:left w:val="nil"/>
              <w:bottom w:val="single" w:sz="4" w:space="0" w:color="365F91"/>
              <w:right w:val="nil"/>
            </w:tcBorders>
            <w:shd w:val="clear" w:color="auto" w:fill="365F91"/>
            <w:vAlign w:val="bottom"/>
            <w:hideMark/>
          </w:tcPr>
          <w:p w14:paraId="371E1520" w14:textId="77777777" w:rsidR="00524720" w:rsidRPr="00D9348B" w:rsidRDefault="00524720">
            <w:pPr>
              <w:pStyle w:val="TableTextBold"/>
              <w:keepNext/>
              <w:spacing w:before="50" w:after="50"/>
              <w:jc w:val="center"/>
              <w:rPr>
                <w:noProof w:val="0"/>
                <w:color w:val="FFFFFF"/>
              </w:rPr>
            </w:pPr>
            <w:r w:rsidRPr="00D9348B">
              <w:rPr>
                <w:noProof w:val="0"/>
                <w:color w:val="FFFFFF"/>
              </w:rPr>
              <w:t>Total waste disposed (kt)</w:t>
            </w:r>
          </w:p>
        </w:tc>
      </w:tr>
      <w:tr w:rsidR="00524720" w:rsidRPr="00D9348B" w14:paraId="04257288" w14:textId="77777777" w:rsidTr="009F6E65">
        <w:tc>
          <w:tcPr>
            <w:tcW w:w="1078" w:type="dxa"/>
            <w:tcBorders>
              <w:top w:val="single" w:sz="4" w:space="0" w:color="365F91"/>
              <w:left w:val="nil"/>
              <w:bottom w:val="single" w:sz="4" w:space="0" w:color="365F91"/>
              <w:right w:val="nil"/>
            </w:tcBorders>
            <w:hideMark/>
          </w:tcPr>
          <w:p w14:paraId="3505A1D6" w14:textId="77777777" w:rsidR="00524720" w:rsidRPr="00D9348B" w:rsidRDefault="00524720">
            <w:pPr>
              <w:pStyle w:val="TableTextBold"/>
              <w:spacing w:before="50" w:after="50"/>
              <w:rPr>
                <w:noProof w:val="0"/>
              </w:rPr>
            </w:pPr>
            <w:r w:rsidRPr="00D9348B">
              <w:rPr>
                <w:noProof w:val="0"/>
              </w:rPr>
              <w:t>1950</w:t>
            </w:r>
          </w:p>
        </w:tc>
        <w:tc>
          <w:tcPr>
            <w:tcW w:w="2475" w:type="dxa"/>
            <w:tcBorders>
              <w:top w:val="single" w:sz="4" w:space="0" w:color="365F91"/>
              <w:left w:val="nil"/>
              <w:bottom w:val="single" w:sz="4" w:space="0" w:color="365F91"/>
              <w:right w:val="nil"/>
            </w:tcBorders>
            <w:hideMark/>
          </w:tcPr>
          <w:p w14:paraId="341E5E3E" w14:textId="77777777" w:rsidR="00524720" w:rsidRPr="00D9348B" w:rsidRDefault="00524720">
            <w:pPr>
              <w:pStyle w:val="TableText"/>
              <w:keepNext/>
              <w:spacing w:before="50" w:after="50"/>
              <w:jc w:val="center"/>
            </w:pPr>
            <w:r w:rsidRPr="00D9348B">
              <w:t>1,660.8</w:t>
            </w:r>
          </w:p>
        </w:tc>
        <w:tc>
          <w:tcPr>
            <w:tcW w:w="2475" w:type="dxa"/>
            <w:tcBorders>
              <w:top w:val="single" w:sz="4" w:space="0" w:color="365F91"/>
              <w:left w:val="nil"/>
              <w:bottom w:val="single" w:sz="4" w:space="0" w:color="365F91"/>
              <w:right w:val="nil"/>
            </w:tcBorders>
            <w:hideMark/>
          </w:tcPr>
          <w:p w14:paraId="0C123FA7" w14:textId="77777777" w:rsidR="00524720" w:rsidRPr="00D9348B" w:rsidRDefault="00524720">
            <w:pPr>
              <w:pStyle w:val="TableText"/>
              <w:keepNext/>
              <w:spacing w:before="50" w:after="50"/>
              <w:jc w:val="center"/>
            </w:pPr>
            <w:r w:rsidRPr="00D9348B">
              <w:t>764.1</w:t>
            </w:r>
          </w:p>
        </w:tc>
        <w:tc>
          <w:tcPr>
            <w:tcW w:w="2477" w:type="dxa"/>
            <w:tcBorders>
              <w:top w:val="single" w:sz="4" w:space="0" w:color="365F91"/>
              <w:left w:val="nil"/>
              <w:bottom w:val="single" w:sz="4" w:space="0" w:color="365F91"/>
              <w:right w:val="nil"/>
            </w:tcBorders>
            <w:hideMark/>
          </w:tcPr>
          <w:p w14:paraId="332095F4" w14:textId="77777777" w:rsidR="00524720" w:rsidRPr="00D9348B" w:rsidRDefault="00524720">
            <w:pPr>
              <w:pStyle w:val="TableText"/>
              <w:keepNext/>
              <w:spacing w:before="50" w:after="50"/>
              <w:jc w:val="center"/>
            </w:pPr>
            <w:r w:rsidRPr="00D9348B">
              <w:t>2,424.9</w:t>
            </w:r>
          </w:p>
        </w:tc>
      </w:tr>
      <w:tr w:rsidR="00524720" w:rsidRPr="00D9348B" w14:paraId="22216208" w14:textId="77777777" w:rsidTr="009F6E65">
        <w:tc>
          <w:tcPr>
            <w:tcW w:w="1078" w:type="dxa"/>
            <w:tcBorders>
              <w:top w:val="single" w:sz="4" w:space="0" w:color="365F91"/>
              <w:left w:val="nil"/>
              <w:bottom w:val="single" w:sz="4" w:space="0" w:color="365F91"/>
              <w:right w:val="nil"/>
            </w:tcBorders>
            <w:hideMark/>
          </w:tcPr>
          <w:p w14:paraId="2BA78A6C" w14:textId="77777777" w:rsidR="00524720" w:rsidRPr="00D9348B" w:rsidRDefault="00524720">
            <w:pPr>
              <w:pStyle w:val="TableTextBold"/>
              <w:spacing w:before="50" w:after="50"/>
              <w:rPr>
                <w:noProof w:val="0"/>
              </w:rPr>
            </w:pPr>
            <w:r w:rsidRPr="00D9348B">
              <w:rPr>
                <w:noProof w:val="0"/>
              </w:rPr>
              <w:t>1951</w:t>
            </w:r>
          </w:p>
        </w:tc>
        <w:tc>
          <w:tcPr>
            <w:tcW w:w="2475" w:type="dxa"/>
            <w:tcBorders>
              <w:top w:val="single" w:sz="4" w:space="0" w:color="365F91"/>
              <w:left w:val="nil"/>
              <w:bottom w:val="single" w:sz="4" w:space="0" w:color="365F91"/>
              <w:right w:val="nil"/>
            </w:tcBorders>
            <w:hideMark/>
          </w:tcPr>
          <w:p w14:paraId="557621DB" w14:textId="77777777" w:rsidR="00524720" w:rsidRPr="00D9348B" w:rsidRDefault="00524720">
            <w:pPr>
              <w:pStyle w:val="TableText"/>
              <w:keepNext/>
              <w:spacing w:before="50" w:after="50"/>
              <w:jc w:val="center"/>
            </w:pPr>
            <w:r w:rsidRPr="00D9348B">
              <w:t>1,659.7</w:t>
            </w:r>
          </w:p>
        </w:tc>
        <w:tc>
          <w:tcPr>
            <w:tcW w:w="2475" w:type="dxa"/>
            <w:tcBorders>
              <w:top w:val="single" w:sz="4" w:space="0" w:color="365F91"/>
              <w:left w:val="nil"/>
              <w:bottom w:val="single" w:sz="4" w:space="0" w:color="365F91"/>
              <w:right w:val="nil"/>
            </w:tcBorders>
            <w:hideMark/>
          </w:tcPr>
          <w:p w14:paraId="2FFDB97C" w14:textId="77777777" w:rsidR="00524720" w:rsidRPr="00D9348B" w:rsidRDefault="00524720">
            <w:pPr>
              <w:pStyle w:val="TableText"/>
              <w:keepNext/>
              <w:spacing w:before="50" w:after="50"/>
              <w:jc w:val="center"/>
            </w:pPr>
            <w:r w:rsidRPr="00D9348B">
              <w:t>792.1</w:t>
            </w:r>
          </w:p>
        </w:tc>
        <w:tc>
          <w:tcPr>
            <w:tcW w:w="2477" w:type="dxa"/>
            <w:tcBorders>
              <w:top w:val="single" w:sz="4" w:space="0" w:color="365F91"/>
              <w:left w:val="nil"/>
              <w:bottom w:val="single" w:sz="4" w:space="0" w:color="365F91"/>
              <w:right w:val="nil"/>
            </w:tcBorders>
            <w:hideMark/>
          </w:tcPr>
          <w:p w14:paraId="33C1853E" w14:textId="77777777" w:rsidR="00524720" w:rsidRPr="00D9348B" w:rsidRDefault="00524720">
            <w:pPr>
              <w:pStyle w:val="TableText"/>
              <w:keepNext/>
              <w:spacing w:before="50" w:after="50"/>
              <w:jc w:val="center"/>
            </w:pPr>
            <w:r w:rsidRPr="00D9348B">
              <w:t>2,451.8</w:t>
            </w:r>
          </w:p>
        </w:tc>
      </w:tr>
      <w:tr w:rsidR="00524720" w:rsidRPr="00D9348B" w14:paraId="61F2E421" w14:textId="77777777" w:rsidTr="009F6E65">
        <w:tc>
          <w:tcPr>
            <w:tcW w:w="1078" w:type="dxa"/>
            <w:tcBorders>
              <w:top w:val="single" w:sz="4" w:space="0" w:color="365F91"/>
              <w:left w:val="nil"/>
              <w:bottom w:val="single" w:sz="4" w:space="0" w:color="365F91"/>
              <w:right w:val="nil"/>
            </w:tcBorders>
            <w:hideMark/>
          </w:tcPr>
          <w:p w14:paraId="75BAA3D2" w14:textId="77777777" w:rsidR="00524720" w:rsidRPr="00D9348B" w:rsidRDefault="00524720">
            <w:pPr>
              <w:pStyle w:val="TableTextBold"/>
              <w:spacing w:before="50" w:after="50"/>
              <w:rPr>
                <w:noProof w:val="0"/>
              </w:rPr>
            </w:pPr>
            <w:r w:rsidRPr="00D9348B">
              <w:rPr>
                <w:noProof w:val="0"/>
              </w:rPr>
              <w:t>1952</w:t>
            </w:r>
          </w:p>
        </w:tc>
        <w:tc>
          <w:tcPr>
            <w:tcW w:w="2475" w:type="dxa"/>
            <w:tcBorders>
              <w:top w:val="single" w:sz="4" w:space="0" w:color="365F91"/>
              <w:left w:val="nil"/>
              <w:bottom w:val="single" w:sz="4" w:space="0" w:color="365F91"/>
              <w:right w:val="nil"/>
            </w:tcBorders>
            <w:hideMark/>
          </w:tcPr>
          <w:p w14:paraId="142BA41B" w14:textId="77777777" w:rsidR="00524720" w:rsidRPr="00D9348B" w:rsidRDefault="00524720">
            <w:pPr>
              <w:pStyle w:val="TableText"/>
              <w:keepNext/>
              <w:spacing w:before="50" w:after="50"/>
              <w:jc w:val="center"/>
            </w:pPr>
            <w:r w:rsidRPr="00D9348B">
              <w:t>1,660.7</w:t>
            </w:r>
          </w:p>
        </w:tc>
        <w:tc>
          <w:tcPr>
            <w:tcW w:w="2475" w:type="dxa"/>
            <w:tcBorders>
              <w:top w:val="single" w:sz="4" w:space="0" w:color="365F91"/>
              <w:left w:val="nil"/>
              <w:bottom w:val="single" w:sz="4" w:space="0" w:color="365F91"/>
              <w:right w:val="nil"/>
            </w:tcBorders>
            <w:hideMark/>
          </w:tcPr>
          <w:p w14:paraId="69435A2D" w14:textId="77777777" w:rsidR="00524720" w:rsidRPr="00D9348B" w:rsidRDefault="00524720">
            <w:pPr>
              <w:pStyle w:val="TableText"/>
              <w:keepNext/>
              <w:spacing w:before="50" w:after="50"/>
              <w:jc w:val="center"/>
            </w:pPr>
            <w:r w:rsidRPr="00D9348B">
              <w:t>821.2</w:t>
            </w:r>
          </w:p>
        </w:tc>
        <w:tc>
          <w:tcPr>
            <w:tcW w:w="2477" w:type="dxa"/>
            <w:tcBorders>
              <w:top w:val="single" w:sz="4" w:space="0" w:color="365F91"/>
              <w:left w:val="nil"/>
              <w:bottom w:val="single" w:sz="4" w:space="0" w:color="365F91"/>
              <w:right w:val="nil"/>
            </w:tcBorders>
            <w:hideMark/>
          </w:tcPr>
          <w:p w14:paraId="57E75D4B" w14:textId="77777777" w:rsidR="00524720" w:rsidRPr="00D9348B" w:rsidRDefault="00524720">
            <w:pPr>
              <w:pStyle w:val="TableText"/>
              <w:keepNext/>
              <w:spacing w:before="50" w:after="50"/>
              <w:jc w:val="center"/>
            </w:pPr>
            <w:r w:rsidRPr="00D9348B">
              <w:t>2,481.9</w:t>
            </w:r>
          </w:p>
        </w:tc>
      </w:tr>
      <w:tr w:rsidR="00524720" w:rsidRPr="00D9348B" w14:paraId="12516E24" w14:textId="77777777" w:rsidTr="009F6E65">
        <w:tc>
          <w:tcPr>
            <w:tcW w:w="1078" w:type="dxa"/>
            <w:tcBorders>
              <w:top w:val="single" w:sz="4" w:space="0" w:color="365F91"/>
              <w:left w:val="nil"/>
              <w:bottom w:val="single" w:sz="4" w:space="0" w:color="365F91"/>
              <w:right w:val="nil"/>
            </w:tcBorders>
            <w:hideMark/>
          </w:tcPr>
          <w:p w14:paraId="3E26B6AE" w14:textId="77777777" w:rsidR="00524720" w:rsidRPr="00D9348B" w:rsidRDefault="00524720">
            <w:pPr>
              <w:pStyle w:val="TableTextBold"/>
              <w:spacing w:before="50" w:after="50"/>
              <w:rPr>
                <w:noProof w:val="0"/>
              </w:rPr>
            </w:pPr>
            <w:r w:rsidRPr="00D9348B">
              <w:rPr>
                <w:noProof w:val="0"/>
              </w:rPr>
              <w:t>1953</w:t>
            </w:r>
          </w:p>
        </w:tc>
        <w:tc>
          <w:tcPr>
            <w:tcW w:w="2475" w:type="dxa"/>
            <w:tcBorders>
              <w:top w:val="single" w:sz="4" w:space="0" w:color="365F91"/>
              <w:left w:val="nil"/>
              <w:bottom w:val="single" w:sz="4" w:space="0" w:color="365F91"/>
              <w:right w:val="nil"/>
            </w:tcBorders>
            <w:hideMark/>
          </w:tcPr>
          <w:p w14:paraId="6E3B123E" w14:textId="77777777" w:rsidR="00524720" w:rsidRPr="00D9348B" w:rsidRDefault="00524720">
            <w:pPr>
              <w:pStyle w:val="TableText"/>
              <w:keepNext/>
              <w:spacing w:before="50" w:after="50"/>
              <w:jc w:val="center"/>
            </w:pPr>
            <w:r w:rsidRPr="00D9348B">
              <w:t>1,665.2</w:t>
            </w:r>
          </w:p>
        </w:tc>
        <w:tc>
          <w:tcPr>
            <w:tcW w:w="2475" w:type="dxa"/>
            <w:tcBorders>
              <w:top w:val="single" w:sz="4" w:space="0" w:color="365F91"/>
              <w:left w:val="nil"/>
              <w:bottom w:val="single" w:sz="4" w:space="0" w:color="365F91"/>
              <w:right w:val="nil"/>
            </w:tcBorders>
            <w:hideMark/>
          </w:tcPr>
          <w:p w14:paraId="6B37B6FA" w14:textId="77777777" w:rsidR="00524720" w:rsidRPr="00D9348B" w:rsidRDefault="00524720">
            <w:pPr>
              <w:pStyle w:val="TableText"/>
              <w:keepNext/>
              <w:spacing w:before="50" w:after="50"/>
              <w:jc w:val="center"/>
            </w:pPr>
            <w:r w:rsidRPr="00D9348B">
              <w:t>851.3</w:t>
            </w:r>
          </w:p>
        </w:tc>
        <w:tc>
          <w:tcPr>
            <w:tcW w:w="2477" w:type="dxa"/>
            <w:tcBorders>
              <w:top w:val="single" w:sz="4" w:space="0" w:color="365F91"/>
              <w:left w:val="nil"/>
              <w:bottom w:val="single" w:sz="4" w:space="0" w:color="365F91"/>
              <w:right w:val="nil"/>
            </w:tcBorders>
            <w:hideMark/>
          </w:tcPr>
          <w:p w14:paraId="537388BC" w14:textId="77777777" w:rsidR="00524720" w:rsidRPr="00D9348B" w:rsidRDefault="00524720">
            <w:pPr>
              <w:pStyle w:val="TableText"/>
              <w:keepNext/>
              <w:spacing w:before="50" w:after="50"/>
              <w:jc w:val="center"/>
            </w:pPr>
            <w:r w:rsidRPr="00D9348B">
              <w:t>2,516.5</w:t>
            </w:r>
          </w:p>
        </w:tc>
      </w:tr>
      <w:tr w:rsidR="00524720" w:rsidRPr="00D9348B" w14:paraId="5E6A9F68" w14:textId="77777777" w:rsidTr="009F6E65">
        <w:tc>
          <w:tcPr>
            <w:tcW w:w="1078" w:type="dxa"/>
            <w:tcBorders>
              <w:top w:val="single" w:sz="4" w:space="0" w:color="365F91"/>
              <w:left w:val="nil"/>
              <w:bottom w:val="single" w:sz="4" w:space="0" w:color="365F91"/>
              <w:right w:val="nil"/>
            </w:tcBorders>
            <w:hideMark/>
          </w:tcPr>
          <w:p w14:paraId="58FB0663" w14:textId="77777777" w:rsidR="00524720" w:rsidRPr="00D9348B" w:rsidRDefault="00524720">
            <w:pPr>
              <w:pStyle w:val="TableTextBold"/>
              <w:spacing w:before="50" w:after="50"/>
              <w:rPr>
                <w:noProof w:val="0"/>
              </w:rPr>
            </w:pPr>
            <w:r w:rsidRPr="00D9348B">
              <w:rPr>
                <w:noProof w:val="0"/>
              </w:rPr>
              <w:t>1954</w:t>
            </w:r>
          </w:p>
        </w:tc>
        <w:tc>
          <w:tcPr>
            <w:tcW w:w="2475" w:type="dxa"/>
            <w:tcBorders>
              <w:top w:val="single" w:sz="4" w:space="0" w:color="365F91"/>
              <w:left w:val="nil"/>
              <w:bottom w:val="single" w:sz="4" w:space="0" w:color="365F91"/>
              <w:right w:val="nil"/>
            </w:tcBorders>
            <w:hideMark/>
          </w:tcPr>
          <w:p w14:paraId="3130DD5B" w14:textId="77777777" w:rsidR="00524720" w:rsidRPr="00D9348B" w:rsidRDefault="00524720">
            <w:pPr>
              <w:pStyle w:val="TableText"/>
              <w:keepNext/>
              <w:spacing w:before="50" w:after="50"/>
              <w:jc w:val="center"/>
            </w:pPr>
            <w:r w:rsidRPr="00D9348B">
              <w:t>1,686.6</w:t>
            </w:r>
          </w:p>
        </w:tc>
        <w:tc>
          <w:tcPr>
            <w:tcW w:w="2475" w:type="dxa"/>
            <w:tcBorders>
              <w:top w:val="single" w:sz="4" w:space="0" w:color="365F91"/>
              <w:left w:val="nil"/>
              <w:bottom w:val="single" w:sz="4" w:space="0" w:color="365F91"/>
              <w:right w:val="nil"/>
            </w:tcBorders>
            <w:hideMark/>
          </w:tcPr>
          <w:p w14:paraId="3AA8BA49" w14:textId="77777777" w:rsidR="00524720" w:rsidRPr="00D9348B" w:rsidRDefault="00524720">
            <w:pPr>
              <w:pStyle w:val="TableText"/>
              <w:keepNext/>
              <w:spacing w:before="50" w:after="50"/>
              <w:jc w:val="center"/>
            </w:pPr>
            <w:r w:rsidRPr="00D9348B">
              <w:t>882.5</w:t>
            </w:r>
          </w:p>
        </w:tc>
        <w:tc>
          <w:tcPr>
            <w:tcW w:w="2477" w:type="dxa"/>
            <w:tcBorders>
              <w:top w:val="single" w:sz="4" w:space="0" w:color="365F91"/>
              <w:left w:val="nil"/>
              <w:bottom w:val="single" w:sz="4" w:space="0" w:color="365F91"/>
              <w:right w:val="nil"/>
            </w:tcBorders>
            <w:hideMark/>
          </w:tcPr>
          <w:p w14:paraId="75FF4E45" w14:textId="77777777" w:rsidR="00524720" w:rsidRPr="00D9348B" w:rsidRDefault="00524720">
            <w:pPr>
              <w:pStyle w:val="TableText"/>
              <w:keepNext/>
              <w:spacing w:before="50" w:after="50"/>
              <w:jc w:val="center"/>
            </w:pPr>
            <w:r w:rsidRPr="00D9348B">
              <w:t>2,569.1</w:t>
            </w:r>
          </w:p>
        </w:tc>
      </w:tr>
      <w:tr w:rsidR="00524720" w:rsidRPr="00D9348B" w14:paraId="229E5EEF" w14:textId="77777777" w:rsidTr="009F6E65">
        <w:tc>
          <w:tcPr>
            <w:tcW w:w="1078" w:type="dxa"/>
            <w:tcBorders>
              <w:top w:val="single" w:sz="4" w:space="0" w:color="365F91"/>
              <w:left w:val="nil"/>
              <w:bottom w:val="single" w:sz="4" w:space="0" w:color="365F91"/>
              <w:right w:val="nil"/>
            </w:tcBorders>
            <w:hideMark/>
          </w:tcPr>
          <w:p w14:paraId="3B7239D0" w14:textId="77777777" w:rsidR="00524720" w:rsidRPr="00D9348B" w:rsidRDefault="00524720">
            <w:pPr>
              <w:pStyle w:val="TableTextBold"/>
              <w:spacing w:before="50" w:after="50"/>
              <w:rPr>
                <w:noProof w:val="0"/>
              </w:rPr>
            </w:pPr>
            <w:r w:rsidRPr="00D9348B">
              <w:rPr>
                <w:noProof w:val="0"/>
              </w:rPr>
              <w:t>1955</w:t>
            </w:r>
          </w:p>
        </w:tc>
        <w:tc>
          <w:tcPr>
            <w:tcW w:w="2475" w:type="dxa"/>
            <w:tcBorders>
              <w:top w:val="single" w:sz="4" w:space="0" w:color="365F91"/>
              <w:left w:val="nil"/>
              <w:bottom w:val="single" w:sz="4" w:space="0" w:color="365F91"/>
              <w:right w:val="nil"/>
            </w:tcBorders>
            <w:hideMark/>
          </w:tcPr>
          <w:p w14:paraId="2820C305" w14:textId="77777777" w:rsidR="00524720" w:rsidRPr="00D9348B" w:rsidRDefault="00524720">
            <w:pPr>
              <w:pStyle w:val="TableText"/>
              <w:keepNext/>
              <w:spacing w:before="50" w:after="50"/>
              <w:jc w:val="center"/>
            </w:pPr>
            <w:r w:rsidRPr="00D9348B">
              <w:t>1,699.5</w:t>
            </w:r>
          </w:p>
        </w:tc>
        <w:tc>
          <w:tcPr>
            <w:tcW w:w="2475" w:type="dxa"/>
            <w:tcBorders>
              <w:top w:val="single" w:sz="4" w:space="0" w:color="365F91"/>
              <w:left w:val="nil"/>
              <w:bottom w:val="single" w:sz="4" w:space="0" w:color="365F91"/>
              <w:right w:val="nil"/>
            </w:tcBorders>
            <w:hideMark/>
          </w:tcPr>
          <w:p w14:paraId="0BE66439" w14:textId="77777777" w:rsidR="00524720" w:rsidRPr="00D9348B" w:rsidRDefault="00524720">
            <w:pPr>
              <w:pStyle w:val="TableText"/>
              <w:keepNext/>
              <w:spacing w:before="50" w:after="50"/>
              <w:jc w:val="center"/>
            </w:pPr>
            <w:r w:rsidRPr="00D9348B">
              <w:t>914.8</w:t>
            </w:r>
          </w:p>
        </w:tc>
        <w:tc>
          <w:tcPr>
            <w:tcW w:w="2477" w:type="dxa"/>
            <w:tcBorders>
              <w:top w:val="single" w:sz="4" w:space="0" w:color="365F91"/>
              <w:left w:val="nil"/>
              <w:bottom w:val="single" w:sz="4" w:space="0" w:color="365F91"/>
              <w:right w:val="nil"/>
            </w:tcBorders>
            <w:hideMark/>
          </w:tcPr>
          <w:p w14:paraId="209F842C" w14:textId="77777777" w:rsidR="00524720" w:rsidRPr="00D9348B" w:rsidRDefault="00524720">
            <w:pPr>
              <w:pStyle w:val="TableText"/>
              <w:keepNext/>
              <w:spacing w:before="50" w:after="50"/>
              <w:jc w:val="center"/>
            </w:pPr>
            <w:r w:rsidRPr="00D9348B">
              <w:t>2,614.3</w:t>
            </w:r>
          </w:p>
        </w:tc>
      </w:tr>
      <w:tr w:rsidR="00524720" w:rsidRPr="00D9348B" w14:paraId="007121F5" w14:textId="77777777" w:rsidTr="009F6E65">
        <w:tc>
          <w:tcPr>
            <w:tcW w:w="1078" w:type="dxa"/>
            <w:tcBorders>
              <w:top w:val="single" w:sz="4" w:space="0" w:color="365F91"/>
              <w:left w:val="nil"/>
              <w:bottom w:val="single" w:sz="4" w:space="0" w:color="365F91"/>
              <w:right w:val="nil"/>
            </w:tcBorders>
            <w:hideMark/>
          </w:tcPr>
          <w:p w14:paraId="30ACAD39" w14:textId="77777777" w:rsidR="00524720" w:rsidRPr="00D9348B" w:rsidRDefault="00524720">
            <w:pPr>
              <w:pStyle w:val="TableTextBold"/>
              <w:spacing w:before="50" w:after="50"/>
              <w:rPr>
                <w:noProof w:val="0"/>
              </w:rPr>
            </w:pPr>
            <w:r w:rsidRPr="00D9348B">
              <w:rPr>
                <w:noProof w:val="0"/>
              </w:rPr>
              <w:t>1956</w:t>
            </w:r>
          </w:p>
        </w:tc>
        <w:tc>
          <w:tcPr>
            <w:tcW w:w="2475" w:type="dxa"/>
            <w:tcBorders>
              <w:top w:val="single" w:sz="4" w:space="0" w:color="365F91"/>
              <w:left w:val="nil"/>
              <w:bottom w:val="single" w:sz="4" w:space="0" w:color="365F91"/>
              <w:right w:val="nil"/>
            </w:tcBorders>
            <w:hideMark/>
          </w:tcPr>
          <w:p w14:paraId="6B7E3899" w14:textId="77777777" w:rsidR="00524720" w:rsidRPr="00D9348B" w:rsidRDefault="00524720">
            <w:pPr>
              <w:pStyle w:val="TableText"/>
              <w:keepNext/>
              <w:spacing w:before="50" w:after="50"/>
              <w:jc w:val="center"/>
            </w:pPr>
            <w:r w:rsidRPr="00D9348B">
              <w:t>1,558.0</w:t>
            </w:r>
          </w:p>
        </w:tc>
        <w:tc>
          <w:tcPr>
            <w:tcW w:w="2475" w:type="dxa"/>
            <w:tcBorders>
              <w:top w:val="single" w:sz="4" w:space="0" w:color="365F91"/>
              <w:left w:val="nil"/>
              <w:bottom w:val="single" w:sz="4" w:space="0" w:color="365F91"/>
              <w:right w:val="nil"/>
            </w:tcBorders>
            <w:hideMark/>
          </w:tcPr>
          <w:p w14:paraId="644E3E11" w14:textId="77777777" w:rsidR="00524720" w:rsidRPr="00D9348B" w:rsidRDefault="00524720">
            <w:pPr>
              <w:pStyle w:val="TableText"/>
              <w:keepNext/>
              <w:spacing w:before="50" w:after="50"/>
              <w:jc w:val="center"/>
            </w:pPr>
            <w:r w:rsidRPr="00D9348B">
              <w:t>948.3</w:t>
            </w:r>
          </w:p>
        </w:tc>
        <w:tc>
          <w:tcPr>
            <w:tcW w:w="2477" w:type="dxa"/>
            <w:tcBorders>
              <w:top w:val="single" w:sz="4" w:space="0" w:color="365F91"/>
              <w:left w:val="nil"/>
              <w:bottom w:val="single" w:sz="4" w:space="0" w:color="365F91"/>
              <w:right w:val="nil"/>
            </w:tcBorders>
            <w:hideMark/>
          </w:tcPr>
          <w:p w14:paraId="28AFEF04" w14:textId="77777777" w:rsidR="00524720" w:rsidRPr="00D9348B" w:rsidRDefault="00524720">
            <w:pPr>
              <w:pStyle w:val="TableText"/>
              <w:keepNext/>
              <w:spacing w:before="50" w:after="50"/>
              <w:jc w:val="center"/>
            </w:pPr>
            <w:r w:rsidRPr="00D9348B">
              <w:t>2,506.3</w:t>
            </w:r>
          </w:p>
        </w:tc>
      </w:tr>
      <w:tr w:rsidR="00524720" w:rsidRPr="00D9348B" w14:paraId="3D5048F8" w14:textId="77777777" w:rsidTr="009F6E65">
        <w:tc>
          <w:tcPr>
            <w:tcW w:w="1078" w:type="dxa"/>
            <w:tcBorders>
              <w:top w:val="single" w:sz="4" w:space="0" w:color="365F91"/>
              <w:left w:val="nil"/>
              <w:bottom w:val="single" w:sz="4" w:space="0" w:color="365F91"/>
              <w:right w:val="nil"/>
            </w:tcBorders>
            <w:hideMark/>
          </w:tcPr>
          <w:p w14:paraId="0F305BA5" w14:textId="77777777" w:rsidR="00524720" w:rsidRPr="00D9348B" w:rsidRDefault="00524720">
            <w:pPr>
              <w:pStyle w:val="TableTextBold"/>
              <w:spacing w:before="50" w:after="50"/>
              <w:rPr>
                <w:noProof w:val="0"/>
              </w:rPr>
            </w:pPr>
            <w:r w:rsidRPr="00D9348B">
              <w:rPr>
                <w:noProof w:val="0"/>
              </w:rPr>
              <w:t>1957</w:t>
            </w:r>
          </w:p>
        </w:tc>
        <w:tc>
          <w:tcPr>
            <w:tcW w:w="2475" w:type="dxa"/>
            <w:tcBorders>
              <w:top w:val="single" w:sz="4" w:space="0" w:color="365F91"/>
              <w:left w:val="nil"/>
              <w:bottom w:val="single" w:sz="4" w:space="0" w:color="365F91"/>
              <w:right w:val="nil"/>
            </w:tcBorders>
            <w:hideMark/>
          </w:tcPr>
          <w:p w14:paraId="4D387FCA" w14:textId="77777777" w:rsidR="00524720" w:rsidRPr="00D9348B" w:rsidRDefault="00524720">
            <w:pPr>
              <w:pStyle w:val="TableText"/>
              <w:keepNext/>
              <w:spacing w:before="50" w:after="50"/>
              <w:jc w:val="center"/>
            </w:pPr>
            <w:r w:rsidRPr="00D9348B">
              <w:t>1,556.2</w:t>
            </w:r>
          </w:p>
        </w:tc>
        <w:tc>
          <w:tcPr>
            <w:tcW w:w="2475" w:type="dxa"/>
            <w:tcBorders>
              <w:top w:val="single" w:sz="4" w:space="0" w:color="365F91"/>
              <w:left w:val="nil"/>
              <w:bottom w:val="single" w:sz="4" w:space="0" w:color="365F91"/>
              <w:right w:val="nil"/>
            </w:tcBorders>
            <w:hideMark/>
          </w:tcPr>
          <w:p w14:paraId="0B8B4C3A" w14:textId="77777777" w:rsidR="00524720" w:rsidRPr="00D9348B" w:rsidRDefault="00524720">
            <w:pPr>
              <w:pStyle w:val="TableText"/>
              <w:keepNext/>
              <w:spacing w:before="50" w:after="50"/>
              <w:jc w:val="center"/>
            </w:pPr>
            <w:r w:rsidRPr="00D9348B">
              <w:t>983.0</w:t>
            </w:r>
          </w:p>
        </w:tc>
        <w:tc>
          <w:tcPr>
            <w:tcW w:w="2477" w:type="dxa"/>
            <w:tcBorders>
              <w:top w:val="single" w:sz="4" w:space="0" w:color="365F91"/>
              <w:left w:val="nil"/>
              <w:bottom w:val="single" w:sz="4" w:space="0" w:color="365F91"/>
              <w:right w:val="nil"/>
            </w:tcBorders>
            <w:hideMark/>
          </w:tcPr>
          <w:p w14:paraId="79F81526" w14:textId="77777777" w:rsidR="00524720" w:rsidRPr="00D9348B" w:rsidRDefault="00524720">
            <w:pPr>
              <w:pStyle w:val="TableText"/>
              <w:keepNext/>
              <w:spacing w:before="50" w:after="50"/>
              <w:jc w:val="center"/>
            </w:pPr>
            <w:r w:rsidRPr="00D9348B">
              <w:t>2,539.2</w:t>
            </w:r>
          </w:p>
        </w:tc>
      </w:tr>
      <w:tr w:rsidR="00524720" w:rsidRPr="00D9348B" w14:paraId="2C2417C4" w14:textId="77777777" w:rsidTr="009F6E65">
        <w:tc>
          <w:tcPr>
            <w:tcW w:w="1078" w:type="dxa"/>
            <w:tcBorders>
              <w:top w:val="single" w:sz="4" w:space="0" w:color="365F91"/>
              <w:left w:val="nil"/>
              <w:bottom w:val="single" w:sz="4" w:space="0" w:color="365F91"/>
              <w:right w:val="nil"/>
            </w:tcBorders>
            <w:hideMark/>
          </w:tcPr>
          <w:p w14:paraId="4C0C16CD" w14:textId="77777777" w:rsidR="00524720" w:rsidRPr="00D9348B" w:rsidRDefault="00524720">
            <w:pPr>
              <w:pStyle w:val="TableTextBold"/>
              <w:spacing w:before="50" w:after="50"/>
              <w:rPr>
                <w:noProof w:val="0"/>
              </w:rPr>
            </w:pPr>
            <w:r w:rsidRPr="00D9348B">
              <w:rPr>
                <w:noProof w:val="0"/>
              </w:rPr>
              <w:t>1958</w:t>
            </w:r>
          </w:p>
        </w:tc>
        <w:tc>
          <w:tcPr>
            <w:tcW w:w="2475" w:type="dxa"/>
            <w:tcBorders>
              <w:top w:val="single" w:sz="4" w:space="0" w:color="365F91"/>
              <w:left w:val="nil"/>
              <w:bottom w:val="single" w:sz="4" w:space="0" w:color="365F91"/>
              <w:right w:val="nil"/>
            </w:tcBorders>
            <w:hideMark/>
          </w:tcPr>
          <w:p w14:paraId="06D3A5F8" w14:textId="77777777" w:rsidR="00524720" w:rsidRPr="00D9348B" w:rsidRDefault="00524720">
            <w:pPr>
              <w:pStyle w:val="TableText"/>
              <w:keepNext/>
              <w:spacing w:before="50" w:after="50"/>
              <w:jc w:val="center"/>
            </w:pPr>
            <w:r w:rsidRPr="00D9348B">
              <w:t>1,527.1</w:t>
            </w:r>
          </w:p>
        </w:tc>
        <w:tc>
          <w:tcPr>
            <w:tcW w:w="2475" w:type="dxa"/>
            <w:tcBorders>
              <w:top w:val="single" w:sz="4" w:space="0" w:color="365F91"/>
              <w:left w:val="nil"/>
              <w:bottom w:val="single" w:sz="4" w:space="0" w:color="365F91"/>
              <w:right w:val="nil"/>
            </w:tcBorders>
            <w:hideMark/>
          </w:tcPr>
          <w:p w14:paraId="0092D95D" w14:textId="77777777" w:rsidR="00524720" w:rsidRPr="00D9348B" w:rsidRDefault="00524720">
            <w:pPr>
              <w:pStyle w:val="TableText"/>
              <w:keepNext/>
              <w:spacing w:before="50" w:after="50"/>
              <w:jc w:val="center"/>
            </w:pPr>
            <w:r w:rsidRPr="00D9348B">
              <w:t>1,018.9</w:t>
            </w:r>
          </w:p>
        </w:tc>
        <w:tc>
          <w:tcPr>
            <w:tcW w:w="2477" w:type="dxa"/>
            <w:tcBorders>
              <w:top w:val="single" w:sz="4" w:space="0" w:color="365F91"/>
              <w:left w:val="nil"/>
              <w:bottom w:val="single" w:sz="4" w:space="0" w:color="365F91"/>
              <w:right w:val="nil"/>
            </w:tcBorders>
            <w:hideMark/>
          </w:tcPr>
          <w:p w14:paraId="1CA97617" w14:textId="77777777" w:rsidR="00524720" w:rsidRPr="00D9348B" w:rsidRDefault="00524720">
            <w:pPr>
              <w:pStyle w:val="TableText"/>
              <w:keepNext/>
              <w:spacing w:before="50" w:after="50"/>
              <w:jc w:val="center"/>
            </w:pPr>
            <w:r w:rsidRPr="00D9348B">
              <w:t>2,546.1</w:t>
            </w:r>
          </w:p>
        </w:tc>
      </w:tr>
      <w:tr w:rsidR="00524720" w:rsidRPr="00D9348B" w14:paraId="36663449" w14:textId="77777777" w:rsidTr="009F6E65">
        <w:tc>
          <w:tcPr>
            <w:tcW w:w="1078" w:type="dxa"/>
            <w:tcBorders>
              <w:top w:val="single" w:sz="4" w:space="0" w:color="365F91"/>
              <w:left w:val="nil"/>
              <w:bottom w:val="single" w:sz="4" w:space="0" w:color="365F91"/>
              <w:right w:val="nil"/>
            </w:tcBorders>
            <w:hideMark/>
          </w:tcPr>
          <w:p w14:paraId="7FB07D26" w14:textId="77777777" w:rsidR="00524720" w:rsidRPr="00D9348B" w:rsidRDefault="00524720">
            <w:pPr>
              <w:pStyle w:val="TableTextBold"/>
              <w:spacing w:before="50" w:after="50"/>
              <w:rPr>
                <w:noProof w:val="0"/>
              </w:rPr>
            </w:pPr>
            <w:r w:rsidRPr="00D9348B">
              <w:rPr>
                <w:noProof w:val="0"/>
              </w:rPr>
              <w:t>1959</w:t>
            </w:r>
          </w:p>
        </w:tc>
        <w:tc>
          <w:tcPr>
            <w:tcW w:w="2475" w:type="dxa"/>
            <w:tcBorders>
              <w:top w:val="single" w:sz="4" w:space="0" w:color="365F91"/>
              <w:left w:val="nil"/>
              <w:bottom w:val="single" w:sz="4" w:space="0" w:color="365F91"/>
              <w:right w:val="nil"/>
            </w:tcBorders>
            <w:hideMark/>
          </w:tcPr>
          <w:p w14:paraId="30BE132E" w14:textId="77777777" w:rsidR="00524720" w:rsidRPr="00D9348B" w:rsidRDefault="00524720">
            <w:pPr>
              <w:pStyle w:val="TableText"/>
              <w:keepNext/>
              <w:spacing w:before="50" w:after="50"/>
              <w:jc w:val="center"/>
            </w:pPr>
            <w:r w:rsidRPr="00D9348B">
              <w:t>1,533.1</w:t>
            </w:r>
          </w:p>
        </w:tc>
        <w:tc>
          <w:tcPr>
            <w:tcW w:w="2475" w:type="dxa"/>
            <w:tcBorders>
              <w:top w:val="single" w:sz="4" w:space="0" w:color="365F91"/>
              <w:left w:val="nil"/>
              <w:bottom w:val="single" w:sz="4" w:space="0" w:color="365F91"/>
              <w:right w:val="nil"/>
            </w:tcBorders>
            <w:hideMark/>
          </w:tcPr>
          <w:p w14:paraId="06F28B07" w14:textId="77777777" w:rsidR="00524720" w:rsidRPr="00D9348B" w:rsidRDefault="00524720">
            <w:pPr>
              <w:pStyle w:val="TableText"/>
              <w:keepNext/>
              <w:spacing w:before="50" w:after="50"/>
              <w:jc w:val="center"/>
            </w:pPr>
            <w:r w:rsidRPr="00D9348B">
              <w:t>1,056.2</w:t>
            </w:r>
          </w:p>
        </w:tc>
        <w:tc>
          <w:tcPr>
            <w:tcW w:w="2477" w:type="dxa"/>
            <w:tcBorders>
              <w:top w:val="single" w:sz="4" w:space="0" w:color="365F91"/>
              <w:left w:val="nil"/>
              <w:bottom w:val="single" w:sz="4" w:space="0" w:color="365F91"/>
              <w:right w:val="nil"/>
            </w:tcBorders>
            <w:hideMark/>
          </w:tcPr>
          <w:p w14:paraId="21CC51AE" w14:textId="77777777" w:rsidR="00524720" w:rsidRPr="00D9348B" w:rsidRDefault="00524720">
            <w:pPr>
              <w:pStyle w:val="TableText"/>
              <w:keepNext/>
              <w:spacing w:before="50" w:after="50"/>
              <w:jc w:val="center"/>
            </w:pPr>
            <w:r w:rsidRPr="00D9348B">
              <w:t>2,589.3</w:t>
            </w:r>
          </w:p>
        </w:tc>
      </w:tr>
      <w:tr w:rsidR="00524720" w:rsidRPr="00D9348B" w14:paraId="5CC12631" w14:textId="77777777" w:rsidTr="009F6E65">
        <w:tc>
          <w:tcPr>
            <w:tcW w:w="1078" w:type="dxa"/>
            <w:tcBorders>
              <w:top w:val="single" w:sz="4" w:space="0" w:color="365F91"/>
              <w:left w:val="nil"/>
              <w:bottom w:val="single" w:sz="4" w:space="0" w:color="365F91"/>
              <w:right w:val="nil"/>
            </w:tcBorders>
            <w:hideMark/>
          </w:tcPr>
          <w:p w14:paraId="09F0B794" w14:textId="77777777" w:rsidR="00524720" w:rsidRPr="00D9348B" w:rsidRDefault="00524720">
            <w:pPr>
              <w:pStyle w:val="TableTextBold"/>
              <w:spacing w:before="50" w:after="50"/>
              <w:rPr>
                <w:noProof w:val="0"/>
              </w:rPr>
            </w:pPr>
            <w:r w:rsidRPr="00D9348B">
              <w:rPr>
                <w:noProof w:val="0"/>
              </w:rPr>
              <w:t>1960</w:t>
            </w:r>
          </w:p>
        </w:tc>
        <w:tc>
          <w:tcPr>
            <w:tcW w:w="2475" w:type="dxa"/>
            <w:tcBorders>
              <w:top w:val="single" w:sz="4" w:space="0" w:color="365F91"/>
              <w:left w:val="nil"/>
              <w:bottom w:val="single" w:sz="4" w:space="0" w:color="365F91"/>
              <w:right w:val="nil"/>
            </w:tcBorders>
            <w:hideMark/>
          </w:tcPr>
          <w:p w14:paraId="72BF612F" w14:textId="77777777" w:rsidR="00524720" w:rsidRPr="00D9348B" w:rsidRDefault="00524720">
            <w:pPr>
              <w:pStyle w:val="TableText"/>
              <w:keepNext/>
              <w:spacing w:before="50" w:after="50"/>
              <w:jc w:val="center"/>
            </w:pPr>
            <w:r w:rsidRPr="00D9348B">
              <w:t>1,415.0</w:t>
            </w:r>
          </w:p>
        </w:tc>
        <w:tc>
          <w:tcPr>
            <w:tcW w:w="2475" w:type="dxa"/>
            <w:tcBorders>
              <w:top w:val="single" w:sz="4" w:space="0" w:color="365F91"/>
              <w:left w:val="nil"/>
              <w:bottom w:val="single" w:sz="4" w:space="0" w:color="365F91"/>
              <w:right w:val="nil"/>
            </w:tcBorders>
            <w:hideMark/>
          </w:tcPr>
          <w:p w14:paraId="33003FA9" w14:textId="77777777" w:rsidR="00524720" w:rsidRPr="00D9348B" w:rsidRDefault="00524720">
            <w:pPr>
              <w:pStyle w:val="TableText"/>
              <w:keepNext/>
              <w:spacing w:before="50" w:after="50"/>
              <w:jc w:val="center"/>
            </w:pPr>
            <w:r w:rsidRPr="00D9348B">
              <w:t>1,094.7</w:t>
            </w:r>
          </w:p>
        </w:tc>
        <w:tc>
          <w:tcPr>
            <w:tcW w:w="2477" w:type="dxa"/>
            <w:tcBorders>
              <w:top w:val="single" w:sz="4" w:space="0" w:color="365F91"/>
              <w:left w:val="nil"/>
              <w:bottom w:val="single" w:sz="4" w:space="0" w:color="365F91"/>
              <w:right w:val="nil"/>
            </w:tcBorders>
            <w:hideMark/>
          </w:tcPr>
          <w:p w14:paraId="2B970C57" w14:textId="77777777" w:rsidR="00524720" w:rsidRPr="00D9348B" w:rsidRDefault="00524720">
            <w:pPr>
              <w:pStyle w:val="TableText"/>
              <w:keepNext/>
              <w:spacing w:before="50" w:after="50"/>
              <w:jc w:val="center"/>
            </w:pPr>
            <w:r w:rsidRPr="00D9348B">
              <w:t>2,509.7</w:t>
            </w:r>
          </w:p>
        </w:tc>
      </w:tr>
      <w:tr w:rsidR="00524720" w:rsidRPr="00D9348B" w14:paraId="69B95639" w14:textId="77777777" w:rsidTr="009F6E65">
        <w:tc>
          <w:tcPr>
            <w:tcW w:w="1078" w:type="dxa"/>
            <w:tcBorders>
              <w:top w:val="single" w:sz="4" w:space="0" w:color="365F91"/>
              <w:left w:val="nil"/>
              <w:bottom w:val="single" w:sz="4" w:space="0" w:color="365F91"/>
              <w:right w:val="nil"/>
            </w:tcBorders>
            <w:hideMark/>
          </w:tcPr>
          <w:p w14:paraId="78E315AA" w14:textId="77777777" w:rsidR="00524720" w:rsidRPr="00D9348B" w:rsidRDefault="00524720">
            <w:pPr>
              <w:pStyle w:val="TableTextBold"/>
              <w:spacing w:before="50" w:after="50"/>
              <w:rPr>
                <w:noProof w:val="0"/>
              </w:rPr>
            </w:pPr>
            <w:r w:rsidRPr="00D9348B">
              <w:rPr>
                <w:noProof w:val="0"/>
              </w:rPr>
              <w:t>1961</w:t>
            </w:r>
          </w:p>
        </w:tc>
        <w:tc>
          <w:tcPr>
            <w:tcW w:w="2475" w:type="dxa"/>
            <w:tcBorders>
              <w:top w:val="single" w:sz="4" w:space="0" w:color="365F91"/>
              <w:left w:val="nil"/>
              <w:bottom w:val="single" w:sz="4" w:space="0" w:color="365F91"/>
              <w:right w:val="nil"/>
            </w:tcBorders>
            <w:hideMark/>
          </w:tcPr>
          <w:p w14:paraId="3AC3223B" w14:textId="77777777" w:rsidR="00524720" w:rsidRPr="00D9348B" w:rsidRDefault="00524720">
            <w:pPr>
              <w:pStyle w:val="TableText"/>
              <w:keepNext/>
              <w:spacing w:before="50" w:after="50"/>
              <w:jc w:val="center"/>
            </w:pPr>
            <w:r w:rsidRPr="00D9348B">
              <w:t>1,345.8</w:t>
            </w:r>
          </w:p>
        </w:tc>
        <w:tc>
          <w:tcPr>
            <w:tcW w:w="2475" w:type="dxa"/>
            <w:tcBorders>
              <w:top w:val="single" w:sz="4" w:space="0" w:color="365F91"/>
              <w:left w:val="nil"/>
              <w:bottom w:val="single" w:sz="4" w:space="0" w:color="365F91"/>
              <w:right w:val="nil"/>
            </w:tcBorders>
            <w:hideMark/>
          </w:tcPr>
          <w:p w14:paraId="6B04F47E" w14:textId="77777777" w:rsidR="00524720" w:rsidRPr="00D9348B" w:rsidRDefault="00524720">
            <w:pPr>
              <w:pStyle w:val="TableText"/>
              <w:keepNext/>
              <w:spacing w:before="50" w:after="50"/>
              <w:jc w:val="center"/>
            </w:pPr>
            <w:r w:rsidRPr="00D9348B">
              <w:t>1,134.7</w:t>
            </w:r>
          </w:p>
        </w:tc>
        <w:tc>
          <w:tcPr>
            <w:tcW w:w="2477" w:type="dxa"/>
            <w:tcBorders>
              <w:top w:val="single" w:sz="4" w:space="0" w:color="365F91"/>
              <w:left w:val="nil"/>
              <w:bottom w:val="single" w:sz="4" w:space="0" w:color="365F91"/>
              <w:right w:val="nil"/>
            </w:tcBorders>
            <w:hideMark/>
          </w:tcPr>
          <w:p w14:paraId="3824756B" w14:textId="77777777" w:rsidR="00524720" w:rsidRPr="00D9348B" w:rsidRDefault="00524720">
            <w:pPr>
              <w:pStyle w:val="TableText"/>
              <w:keepNext/>
              <w:spacing w:before="50" w:after="50"/>
              <w:jc w:val="center"/>
            </w:pPr>
            <w:r w:rsidRPr="00D9348B">
              <w:t>2,480.5</w:t>
            </w:r>
          </w:p>
        </w:tc>
      </w:tr>
      <w:tr w:rsidR="00524720" w:rsidRPr="00D9348B" w14:paraId="7703E156" w14:textId="77777777" w:rsidTr="009F6E65">
        <w:tc>
          <w:tcPr>
            <w:tcW w:w="1078" w:type="dxa"/>
            <w:tcBorders>
              <w:top w:val="single" w:sz="4" w:space="0" w:color="365F91"/>
              <w:left w:val="nil"/>
              <w:bottom w:val="single" w:sz="4" w:space="0" w:color="365F91"/>
              <w:right w:val="nil"/>
            </w:tcBorders>
            <w:hideMark/>
          </w:tcPr>
          <w:p w14:paraId="062DA612" w14:textId="77777777" w:rsidR="00524720" w:rsidRPr="00D9348B" w:rsidRDefault="00524720">
            <w:pPr>
              <w:pStyle w:val="TableTextBold"/>
              <w:spacing w:before="50" w:after="50"/>
              <w:rPr>
                <w:noProof w:val="0"/>
              </w:rPr>
            </w:pPr>
            <w:r w:rsidRPr="00D9348B">
              <w:rPr>
                <w:noProof w:val="0"/>
              </w:rPr>
              <w:t>1962</w:t>
            </w:r>
          </w:p>
        </w:tc>
        <w:tc>
          <w:tcPr>
            <w:tcW w:w="2475" w:type="dxa"/>
            <w:tcBorders>
              <w:top w:val="single" w:sz="4" w:space="0" w:color="365F91"/>
              <w:left w:val="nil"/>
              <w:bottom w:val="single" w:sz="4" w:space="0" w:color="365F91"/>
              <w:right w:val="nil"/>
            </w:tcBorders>
            <w:hideMark/>
          </w:tcPr>
          <w:p w14:paraId="2048C075" w14:textId="77777777" w:rsidR="00524720" w:rsidRPr="00D9348B" w:rsidRDefault="00524720">
            <w:pPr>
              <w:pStyle w:val="TableText"/>
              <w:keepNext/>
              <w:spacing w:before="50" w:after="50"/>
              <w:jc w:val="center"/>
            </w:pPr>
            <w:r w:rsidRPr="00D9348B">
              <w:t>1,338.2</w:t>
            </w:r>
          </w:p>
        </w:tc>
        <w:tc>
          <w:tcPr>
            <w:tcW w:w="2475" w:type="dxa"/>
            <w:tcBorders>
              <w:top w:val="single" w:sz="4" w:space="0" w:color="365F91"/>
              <w:left w:val="nil"/>
              <w:bottom w:val="single" w:sz="4" w:space="0" w:color="365F91"/>
              <w:right w:val="nil"/>
            </w:tcBorders>
            <w:hideMark/>
          </w:tcPr>
          <w:p w14:paraId="220BF9A9" w14:textId="77777777" w:rsidR="00524720" w:rsidRPr="00D9348B" w:rsidRDefault="00524720">
            <w:pPr>
              <w:pStyle w:val="TableText"/>
              <w:keepNext/>
              <w:spacing w:before="50" w:after="50"/>
              <w:jc w:val="center"/>
            </w:pPr>
            <w:r w:rsidRPr="00D9348B">
              <w:t>1,176.1</w:t>
            </w:r>
          </w:p>
        </w:tc>
        <w:tc>
          <w:tcPr>
            <w:tcW w:w="2477" w:type="dxa"/>
            <w:tcBorders>
              <w:top w:val="single" w:sz="4" w:space="0" w:color="365F91"/>
              <w:left w:val="nil"/>
              <w:bottom w:val="single" w:sz="4" w:space="0" w:color="365F91"/>
              <w:right w:val="nil"/>
            </w:tcBorders>
            <w:hideMark/>
          </w:tcPr>
          <w:p w14:paraId="407581DD" w14:textId="77777777" w:rsidR="00524720" w:rsidRPr="00D9348B" w:rsidRDefault="00524720">
            <w:pPr>
              <w:pStyle w:val="TableText"/>
              <w:keepNext/>
              <w:spacing w:before="50" w:after="50"/>
              <w:jc w:val="center"/>
            </w:pPr>
            <w:r w:rsidRPr="00D9348B">
              <w:t>2,514.4</w:t>
            </w:r>
          </w:p>
        </w:tc>
      </w:tr>
      <w:tr w:rsidR="00524720" w:rsidRPr="00D9348B" w14:paraId="62DDF757" w14:textId="77777777" w:rsidTr="009F6E65">
        <w:tc>
          <w:tcPr>
            <w:tcW w:w="1078" w:type="dxa"/>
            <w:tcBorders>
              <w:top w:val="single" w:sz="4" w:space="0" w:color="365F91"/>
              <w:left w:val="nil"/>
              <w:bottom w:val="single" w:sz="4" w:space="0" w:color="365F91"/>
              <w:right w:val="nil"/>
            </w:tcBorders>
            <w:hideMark/>
          </w:tcPr>
          <w:p w14:paraId="6AE88937" w14:textId="77777777" w:rsidR="00524720" w:rsidRPr="00D9348B" w:rsidRDefault="00524720">
            <w:pPr>
              <w:pStyle w:val="TableTextBold"/>
              <w:spacing w:before="50" w:after="50"/>
              <w:rPr>
                <w:noProof w:val="0"/>
              </w:rPr>
            </w:pPr>
            <w:r w:rsidRPr="00D9348B">
              <w:rPr>
                <w:noProof w:val="0"/>
              </w:rPr>
              <w:t>1963</w:t>
            </w:r>
          </w:p>
        </w:tc>
        <w:tc>
          <w:tcPr>
            <w:tcW w:w="2475" w:type="dxa"/>
            <w:tcBorders>
              <w:top w:val="single" w:sz="4" w:space="0" w:color="365F91"/>
              <w:left w:val="nil"/>
              <w:bottom w:val="single" w:sz="4" w:space="0" w:color="365F91"/>
              <w:right w:val="nil"/>
            </w:tcBorders>
            <w:hideMark/>
          </w:tcPr>
          <w:p w14:paraId="75E4EF40" w14:textId="77777777" w:rsidR="00524720" w:rsidRPr="00D9348B" w:rsidRDefault="00524720">
            <w:pPr>
              <w:pStyle w:val="TableText"/>
              <w:keepNext/>
              <w:spacing w:before="50" w:after="50"/>
              <w:jc w:val="center"/>
            </w:pPr>
            <w:r w:rsidRPr="00D9348B">
              <w:t>1,329.7</w:t>
            </w:r>
          </w:p>
        </w:tc>
        <w:tc>
          <w:tcPr>
            <w:tcW w:w="2475" w:type="dxa"/>
            <w:tcBorders>
              <w:top w:val="single" w:sz="4" w:space="0" w:color="365F91"/>
              <w:left w:val="nil"/>
              <w:bottom w:val="single" w:sz="4" w:space="0" w:color="365F91"/>
              <w:right w:val="nil"/>
            </w:tcBorders>
            <w:hideMark/>
          </w:tcPr>
          <w:p w14:paraId="6ABB5638" w14:textId="77777777" w:rsidR="00524720" w:rsidRPr="00D9348B" w:rsidRDefault="00524720">
            <w:pPr>
              <w:pStyle w:val="TableText"/>
              <w:keepNext/>
              <w:spacing w:before="50" w:after="50"/>
              <w:jc w:val="center"/>
            </w:pPr>
            <w:r w:rsidRPr="00D9348B">
              <w:t>1,219.0</w:t>
            </w:r>
          </w:p>
        </w:tc>
        <w:tc>
          <w:tcPr>
            <w:tcW w:w="2477" w:type="dxa"/>
            <w:tcBorders>
              <w:top w:val="single" w:sz="4" w:space="0" w:color="365F91"/>
              <w:left w:val="nil"/>
              <w:bottom w:val="single" w:sz="4" w:space="0" w:color="365F91"/>
              <w:right w:val="nil"/>
            </w:tcBorders>
            <w:hideMark/>
          </w:tcPr>
          <w:p w14:paraId="2FE798CF" w14:textId="77777777" w:rsidR="00524720" w:rsidRPr="00D9348B" w:rsidRDefault="00524720">
            <w:pPr>
              <w:pStyle w:val="TableText"/>
              <w:keepNext/>
              <w:spacing w:before="50" w:after="50"/>
              <w:jc w:val="center"/>
            </w:pPr>
            <w:r w:rsidRPr="00D9348B">
              <w:t>2,548.7</w:t>
            </w:r>
          </w:p>
        </w:tc>
      </w:tr>
      <w:tr w:rsidR="00524720" w:rsidRPr="00D9348B" w14:paraId="6C42E79E" w14:textId="77777777" w:rsidTr="009F6E65">
        <w:tc>
          <w:tcPr>
            <w:tcW w:w="1078" w:type="dxa"/>
            <w:tcBorders>
              <w:top w:val="single" w:sz="4" w:space="0" w:color="365F91"/>
              <w:left w:val="nil"/>
              <w:bottom w:val="single" w:sz="4" w:space="0" w:color="365F91"/>
              <w:right w:val="nil"/>
            </w:tcBorders>
            <w:hideMark/>
          </w:tcPr>
          <w:p w14:paraId="7866C302" w14:textId="77777777" w:rsidR="00524720" w:rsidRPr="00D9348B" w:rsidRDefault="00524720">
            <w:pPr>
              <w:pStyle w:val="TableTextBold"/>
              <w:spacing w:before="50" w:after="50"/>
              <w:rPr>
                <w:noProof w:val="0"/>
              </w:rPr>
            </w:pPr>
            <w:r w:rsidRPr="00D9348B">
              <w:rPr>
                <w:noProof w:val="0"/>
              </w:rPr>
              <w:t>1964</w:t>
            </w:r>
          </w:p>
        </w:tc>
        <w:tc>
          <w:tcPr>
            <w:tcW w:w="2475" w:type="dxa"/>
            <w:tcBorders>
              <w:top w:val="single" w:sz="4" w:space="0" w:color="365F91"/>
              <w:left w:val="nil"/>
              <w:bottom w:val="single" w:sz="4" w:space="0" w:color="365F91"/>
              <w:right w:val="nil"/>
            </w:tcBorders>
            <w:hideMark/>
          </w:tcPr>
          <w:p w14:paraId="19540DFA" w14:textId="77777777" w:rsidR="00524720" w:rsidRPr="00D9348B" w:rsidRDefault="00524720">
            <w:pPr>
              <w:pStyle w:val="TableText"/>
              <w:keepNext/>
              <w:spacing w:before="50" w:after="50"/>
              <w:jc w:val="center"/>
            </w:pPr>
            <w:r w:rsidRPr="00D9348B">
              <w:t>1,318.7</w:t>
            </w:r>
          </w:p>
        </w:tc>
        <w:tc>
          <w:tcPr>
            <w:tcW w:w="2475" w:type="dxa"/>
            <w:tcBorders>
              <w:top w:val="single" w:sz="4" w:space="0" w:color="365F91"/>
              <w:left w:val="nil"/>
              <w:bottom w:val="single" w:sz="4" w:space="0" w:color="365F91"/>
              <w:right w:val="nil"/>
            </w:tcBorders>
            <w:hideMark/>
          </w:tcPr>
          <w:p w14:paraId="48A8F92D" w14:textId="77777777" w:rsidR="00524720" w:rsidRPr="00D9348B" w:rsidRDefault="00524720">
            <w:pPr>
              <w:pStyle w:val="TableText"/>
              <w:keepNext/>
              <w:spacing w:before="50" w:after="50"/>
              <w:jc w:val="center"/>
            </w:pPr>
            <w:r w:rsidRPr="00D9348B">
              <w:t>1,263.4</w:t>
            </w:r>
          </w:p>
        </w:tc>
        <w:tc>
          <w:tcPr>
            <w:tcW w:w="2477" w:type="dxa"/>
            <w:tcBorders>
              <w:top w:val="single" w:sz="4" w:space="0" w:color="365F91"/>
              <w:left w:val="nil"/>
              <w:bottom w:val="single" w:sz="4" w:space="0" w:color="365F91"/>
              <w:right w:val="nil"/>
            </w:tcBorders>
            <w:hideMark/>
          </w:tcPr>
          <w:p w14:paraId="156C0685" w14:textId="77777777" w:rsidR="00524720" w:rsidRPr="00D9348B" w:rsidRDefault="00524720">
            <w:pPr>
              <w:pStyle w:val="TableText"/>
              <w:keepNext/>
              <w:spacing w:before="50" w:after="50"/>
              <w:jc w:val="center"/>
            </w:pPr>
            <w:r w:rsidRPr="00D9348B">
              <w:t>2,582.2</w:t>
            </w:r>
          </w:p>
        </w:tc>
      </w:tr>
      <w:tr w:rsidR="00524720" w:rsidRPr="00D9348B" w14:paraId="5DD0842F" w14:textId="77777777" w:rsidTr="009F6E65">
        <w:tc>
          <w:tcPr>
            <w:tcW w:w="1078" w:type="dxa"/>
            <w:tcBorders>
              <w:top w:val="single" w:sz="4" w:space="0" w:color="365F91"/>
              <w:left w:val="nil"/>
              <w:bottom w:val="single" w:sz="4" w:space="0" w:color="365F91"/>
              <w:right w:val="nil"/>
            </w:tcBorders>
            <w:hideMark/>
          </w:tcPr>
          <w:p w14:paraId="5DBC874A" w14:textId="77777777" w:rsidR="00524720" w:rsidRPr="00D9348B" w:rsidRDefault="00524720">
            <w:pPr>
              <w:pStyle w:val="TableTextBold"/>
              <w:spacing w:before="50" w:after="50"/>
              <w:rPr>
                <w:noProof w:val="0"/>
              </w:rPr>
            </w:pPr>
            <w:r w:rsidRPr="00D9348B">
              <w:rPr>
                <w:noProof w:val="0"/>
              </w:rPr>
              <w:t>1965</w:t>
            </w:r>
          </w:p>
        </w:tc>
        <w:tc>
          <w:tcPr>
            <w:tcW w:w="2475" w:type="dxa"/>
            <w:tcBorders>
              <w:top w:val="single" w:sz="4" w:space="0" w:color="365F91"/>
              <w:left w:val="nil"/>
              <w:bottom w:val="single" w:sz="4" w:space="0" w:color="365F91"/>
              <w:right w:val="nil"/>
            </w:tcBorders>
            <w:hideMark/>
          </w:tcPr>
          <w:p w14:paraId="249F1B7E" w14:textId="77777777" w:rsidR="00524720" w:rsidRPr="00D9348B" w:rsidRDefault="00524720">
            <w:pPr>
              <w:pStyle w:val="TableText"/>
              <w:keepNext/>
              <w:spacing w:before="50" w:after="50"/>
              <w:jc w:val="center"/>
            </w:pPr>
            <w:r w:rsidRPr="00D9348B">
              <w:t>1,296.2</w:t>
            </w:r>
          </w:p>
        </w:tc>
        <w:tc>
          <w:tcPr>
            <w:tcW w:w="2475" w:type="dxa"/>
            <w:tcBorders>
              <w:top w:val="single" w:sz="4" w:space="0" w:color="365F91"/>
              <w:left w:val="nil"/>
              <w:bottom w:val="single" w:sz="4" w:space="0" w:color="365F91"/>
              <w:right w:val="nil"/>
            </w:tcBorders>
            <w:hideMark/>
          </w:tcPr>
          <w:p w14:paraId="06EE830C" w14:textId="77777777" w:rsidR="00524720" w:rsidRPr="00D9348B" w:rsidRDefault="00524720">
            <w:pPr>
              <w:pStyle w:val="TableText"/>
              <w:keepNext/>
              <w:spacing w:before="50" w:after="50"/>
              <w:jc w:val="center"/>
            </w:pPr>
            <w:r w:rsidRPr="00D9348B">
              <w:t>1,309.5</w:t>
            </w:r>
          </w:p>
        </w:tc>
        <w:tc>
          <w:tcPr>
            <w:tcW w:w="2477" w:type="dxa"/>
            <w:tcBorders>
              <w:top w:val="single" w:sz="4" w:space="0" w:color="365F91"/>
              <w:left w:val="nil"/>
              <w:bottom w:val="single" w:sz="4" w:space="0" w:color="365F91"/>
              <w:right w:val="nil"/>
            </w:tcBorders>
            <w:hideMark/>
          </w:tcPr>
          <w:p w14:paraId="072627C6" w14:textId="77777777" w:rsidR="00524720" w:rsidRPr="00D9348B" w:rsidRDefault="00524720">
            <w:pPr>
              <w:pStyle w:val="TableText"/>
              <w:keepNext/>
              <w:spacing w:before="50" w:after="50"/>
              <w:jc w:val="center"/>
            </w:pPr>
            <w:r w:rsidRPr="00D9348B">
              <w:t>2,605.7</w:t>
            </w:r>
          </w:p>
        </w:tc>
      </w:tr>
      <w:tr w:rsidR="00524720" w:rsidRPr="00D9348B" w14:paraId="5E9BA5FF" w14:textId="77777777" w:rsidTr="009F6E65">
        <w:tc>
          <w:tcPr>
            <w:tcW w:w="1078" w:type="dxa"/>
            <w:tcBorders>
              <w:top w:val="single" w:sz="4" w:space="0" w:color="365F91"/>
              <w:left w:val="nil"/>
              <w:bottom w:val="single" w:sz="4" w:space="0" w:color="365F91"/>
              <w:right w:val="nil"/>
            </w:tcBorders>
            <w:hideMark/>
          </w:tcPr>
          <w:p w14:paraId="236BF430" w14:textId="77777777" w:rsidR="00524720" w:rsidRPr="00D9348B" w:rsidRDefault="00524720">
            <w:pPr>
              <w:pStyle w:val="TableTextBold"/>
              <w:spacing w:before="50" w:after="50"/>
              <w:rPr>
                <w:noProof w:val="0"/>
              </w:rPr>
            </w:pPr>
            <w:r w:rsidRPr="00D9348B">
              <w:rPr>
                <w:noProof w:val="0"/>
              </w:rPr>
              <w:t>1966</w:t>
            </w:r>
          </w:p>
        </w:tc>
        <w:tc>
          <w:tcPr>
            <w:tcW w:w="2475" w:type="dxa"/>
            <w:tcBorders>
              <w:top w:val="single" w:sz="4" w:space="0" w:color="365F91"/>
              <w:left w:val="nil"/>
              <w:bottom w:val="single" w:sz="4" w:space="0" w:color="365F91"/>
              <w:right w:val="nil"/>
            </w:tcBorders>
            <w:hideMark/>
          </w:tcPr>
          <w:p w14:paraId="7F83AB9A" w14:textId="77777777" w:rsidR="00524720" w:rsidRPr="00D9348B" w:rsidRDefault="00524720">
            <w:pPr>
              <w:pStyle w:val="TableText"/>
              <w:keepNext/>
              <w:spacing w:before="50" w:after="50"/>
              <w:jc w:val="center"/>
            </w:pPr>
            <w:r w:rsidRPr="00D9348B">
              <w:t>1,285.7</w:t>
            </w:r>
          </w:p>
        </w:tc>
        <w:tc>
          <w:tcPr>
            <w:tcW w:w="2475" w:type="dxa"/>
            <w:tcBorders>
              <w:top w:val="single" w:sz="4" w:space="0" w:color="365F91"/>
              <w:left w:val="nil"/>
              <w:bottom w:val="single" w:sz="4" w:space="0" w:color="365F91"/>
              <w:right w:val="nil"/>
            </w:tcBorders>
            <w:hideMark/>
          </w:tcPr>
          <w:p w14:paraId="795B2ECC" w14:textId="77777777" w:rsidR="00524720" w:rsidRPr="00D9348B" w:rsidRDefault="00524720">
            <w:pPr>
              <w:pStyle w:val="TableText"/>
              <w:keepNext/>
              <w:spacing w:before="50" w:after="50"/>
              <w:jc w:val="center"/>
            </w:pPr>
            <w:r w:rsidRPr="00D9348B">
              <w:t>1,357.2</w:t>
            </w:r>
          </w:p>
        </w:tc>
        <w:tc>
          <w:tcPr>
            <w:tcW w:w="2477" w:type="dxa"/>
            <w:tcBorders>
              <w:top w:val="single" w:sz="4" w:space="0" w:color="365F91"/>
              <w:left w:val="nil"/>
              <w:bottom w:val="single" w:sz="4" w:space="0" w:color="365F91"/>
              <w:right w:val="nil"/>
            </w:tcBorders>
            <w:hideMark/>
          </w:tcPr>
          <w:p w14:paraId="3A1F520E" w14:textId="77777777" w:rsidR="00524720" w:rsidRPr="00D9348B" w:rsidRDefault="00524720">
            <w:pPr>
              <w:pStyle w:val="TableText"/>
              <w:keepNext/>
              <w:spacing w:before="50" w:after="50"/>
              <w:jc w:val="center"/>
            </w:pPr>
            <w:r w:rsidRPr="00D9348B">
              <w:t>2,642.8</w:t>
            </w:r>
          </w:p>
        </w:tc>
      </w:tr>
      <w:tr w:rsidR="00524720" w:rsidRPr="00D9348B" w14:paraId="5E21EF0B" w14:textId="77777777" w:rsidTr="009F6E65">
        <w:tc>
          <w:tcPr>
            <w:tcW w:w="1078" w:type="dxa"/>
            <w:tcBorders>
              <w:top w:val="single" w:sz="4" w:space="0" w:color="365F91"/>
              <w:left w:val="nil"/>
              <w:bottom w:val="single" w:sz="4" w:space="0" w:color="365F91"/>
              <w:right w:val="nil"/>
            </w:tcBorders>
            <w:hideMark/>
          </w:tcPr>
          <w:p w14:paraId="143C0959" w14:textId="77777777" w:rsidR="00524720" w:rsidRPr="00D9348B" w:rsidRDefault="00524720">
            <w:pPr>
              <w:pStyle w:val="TableTextBold"/>
              <w:spacing w:before="50" w:after="50"/>
              <w:rPr>
                <w:noProof w:val="0"/>
              </w:rPr>
            </w:pPr>
            <w:r w:rsidRPr="00D9348B">
              <w:rPr>
                <w:noProof w:val="0"/>
              </w:rPr>
              <w:t>1967</w:t>
            </w:r>
          </w:p>
        </w:tc>
        <w:tc>
          <w:tcPr>
            <w:tcW w:w="2475" w:type="dxa"/>
            <w:tcBorders>
              <w:top w:val="single" w:sz="4" w:space="0" w:color="365F91"/>
              <w:left w:val="nil"/>
              <w:bottom w:val="single" w:sz="4" w:space="0" w:color="365F91"/>
              <w:right w:val="nil"/>
            </w:tcBorders>
            <w:hideMark/>
          </w:tcPr>
          <w:p w14:paraId="5E3F4969" w14:textId="77777777" w:rsidR="00524720" w:rsidRPr="00D9348B" w:rsidRDefault="00524720">
            <w:pPr>
              <w:pStyle w:val="TableText"/>
              <w:keepNext/>
              <w:spacing w:before="50" w:after="50"/>
              <w:jc w:val="center"/>
            </w:pPr>
            <w:r w:rsidRPr="00D9348B">
              <w:t>1,254.1</w:t>
            </w:r>
          </w:p>
        </w:tc>
        <w:tc>
          <w:tcPr>
            <w:tcW w:w="2475" w:type="dxa"/>
            <w:tcBorders>
              <w:top w:val="single" w:sz="4" w:space="0" w:color="365F91"/>
              <w:left w:val="nil"/>
              <w:bottom w:val="single" w:sz="4" w:space="0" w:color="365F91"/>
              <w:right w:val="nil"/>
            </w:tcBorders>
            <w:hideMark/>
          </w:tcPr>
          <w:p w14:paraId="3CF0362F" w14:textId="77777777" w:rsidR="00524720" w:rsidRPr="00D9348B" w:rsidRDefault="00524720">
            <w:pPr>
              <w:pStyle w:val="TableText"/>
              <w:keepNext/>
              <w:spacing w:before="50" w:after="50"/>
              <w:jc w:val="center"/>
            </w:pPr>
            <w:r w:rsidRPr="00D9348B">
              <w:t>1,406.6</w:t>
            </w:r>
          </w:p>
        </w:tc>
        <w:tc>
          <w:tcPr>
            <w:tcW w:w="2477" w:type="dxa"/>
            <w:tcBorders>
              <w:top w:val="single" w:sz="4" w:space="0" w:color="365F91"/>
              <w:left w:val="nil"/>
              <w:bottom w:val="single" w:sz="4" w:space="0" w:color="365F91"/>
              <w:right w:val="nil"/>
            </w:tcBorders>
            <w:hideMark/>
          </w:tcPr>
          <w:p w14:paraId="665B7845" w14:textId="77777777" w:rsidR="00524720" w:rsidRPr="00D9348B" w:rsidRDefault="00524720">
            <w:pPr>
              <w:pStyle w:val="TableText"/>
              <w:keepNext/>
              <w:spacing w:before="50" w:after="50"/>
              <w:jc w:val="center"/>
            </w:pPr>
            <w:r w:rsidRPr="00D9348B">
              <w:t>2,660.6</w:t>
            </w:r>
          </w:p>
        </w:tc>
      </w:tr>
      <w:tr w:rsidR="00524720" w:rsidRPr="00D9348B" w14:paraId="3B305B2A" w14:textId="77777777" w:rsidTr="009F6E65">
        <w:tc>
          <w:tcPr>
            <w:tcW w:w="1078" w:type="dxa"/>
            <w:tcBorders>
              <w:top w:val="single" w:sz="4" w:space="0" w:color="365F91"/>
              <w:left w:val="nil"/>
              <w:bottom w:val="single" w:sz="4" w:space="0" w:color="365F91"/>
              <w:right w:val="nil"/>
            </w:tcBorders>
            <w:hideMark/>
          </w:tcPr>
          <w:p w14:paraId="56DC5C20" w14:textId="77777777" w:rsidR="00524720" w:rsidRPr="00D9348B" w:rsidRDefault="00524720">
            <w:pPr>
              <w:pStyle w:val="TableTextBold"/>
              <w:spacing w:before="50" w:after="50"/>
              <w:rPr>
                <w:noProof w:val="0"/>
              </w:rPr>
            </w:pPr>
            <w:r w:rsidRPr="00D9348B">
              <w:rPr>
                <w:noProof w:val="0"/>
              </w:rPr>
              <w:t>1968</w:t>
            </w:r>
          </w:p>
        </w:tc>
        <w:tc>
          <w:tcPr>
            <w:tcW w:w="2475" w:type="dxa"/>
            <w:tcBorders>
              <w:top w:val="single" w:sz="4" w:space="0" w:color="365F91"/>
              <w:left w:val="nil"/>
              <w:bottom w:val="single" w:sz="4" w:space="0" w:color="365F91"/>
              <w:right w:val="nil"/>
            </w:tcBorders>
            <w:hideMark/>
          </w:tcPr>
          <w:p w14:paraId="5EC71D60" w14:textId="77777777" w:rsidR="00524720" w:rsidRPr="00D9348B" w:rsidRDefault="00524720">
            <w:pPr>
              <w:pStyle w:val="TableText"/>
              <w:keepNext/>
              <w:spacing w:before="50" w:after="50"/>
              <w:jc w:val="center"/>
            </w:pPr>
            <w:r w:rsidRPr="00D9348B">
              <w:t>1,229.9</w:t>
            </w:r>
          </w:p>
        </w:tc>
        <w:tc>
          <w:tcPr>
            <w:tcW w:w="2475" w:type="dxa"/>
            <w:tcBorders>
              <w:top w:val="single" w:sz="4" w:space="0" w:color="365F91"/>
              <w:left w:val="nil"/>
              <w:bottom w:val="single" w:sz="4" w:space="0" w:color="365F91"/>
              <w:right w:val="nil"/>
            </w:tcBorders>
            <w:hideMark/>
          </w:tcPr>
          <w:p w14:paraId="17BEDF58" w14:textId="77777777" w:rsidR="00524720" w:rsidRPr="00D9348B" w:rsidRDefault="00524720">
            <w:pPr>
              <w:pStyle w:val="TableText"/>
              <w:keepNext/>
              <w:spacing w:before="50" w:after="50"/>
              <w:jc w:val="center"/>
            </w:pPr>
            <w:r w:rsidRPr="00D9348B">
              <w:t>1,457.7</w:t>
            </w:r>
          </w:p>
        </w:tc>
        <w:tc>
          <w:tcPr>
            <w:tcW w:w="2477" w:type="dxa"/>
            <w:tcBorders>
              <w:top w:val="single" w:sz="4" w:space="0" w:color="365F91"/>
              <w:left w:val="nil"/>
              <w:bottom w:val="single" w:sz="4" w:space="0" w:color="365F91"/>
              <w:right w:val="nil"/>
            </w:tcBorders>
            <w:hideMark/>
          </w:tcPr>
          <w:p w14:paraId="108AE2ED" w14:textId="77777777" w:rsidR="00524720" w:rsidRPr="00D9348B" w:rsidRDefault="00524720">
            <w:pPr>
              <w:pStyle w:val="TableText"/>
              <w:keepNext/>
              <w:spacing w:before="50" w:after="50"/>
              <w:jc w:val="center"/>
            </w:pPr>
            <w:r w:rsidRPr="00D9348B">
              <w:t>2,687.6</w:t>
            </w:r>
          </w:p>
        </w:tc>
      </w:tr>
      <w:tr w:rsidR="00524720" w:rsidRPr="00D9348B" w14:paraId="1D0AE21F" w14:textId="77777777" w:rsidTr="009F6E65">
        <w:tc>
          <w:tcPr>
            <w:tcW w:w="1078" w:type="dxa"/>
            <w:tcBorders>
              <w:top w:val="single" w:sz="4" w:space="0" w:color="365F91"/>
              <w:left w:val="nil"/>
              <w:bottom w:val="single" w:sz="4" w:space="0" w:color="365F91"/>
              <w:right w:val="nil"/>
            </w:tcBorders>
            <w:hideMark/>
          </w:tcPr>
          <w:p w14:paraId="49263585" w14:textId="77777777" w:rsidR="00524720" w:rsidRPr="00D9348B" w:rsidRDefault="00524720">
            <w:pPr>
              <w:pStyle w:val="TableTextBold"/>
              <w:spacing w:before="50" w:after="50"/>
              <w:rPr>
                <w:noProof w:val="0"/>
              </w:rPr>
            </w:pPr>
            <w:r w:rsidRPr="00D9348B">
              <w:rPr>
                <w:noProof w:val="0"/>
              </w:rPr>
              <w:t>1969</w:t>
            </w:r>
          </w:p>
        </w:tc>
        <w:tc>
          <w:tcPr>
            <w:tcW w:w="2475" w:type="dxa"/>
            <w:tcBorders>
              <w:top w:val="single" w:sz="4" w:space="0" w:color="365F91"/>
              <w:left w:val="nil"/>
              <w:bottom w:val="single" w:sz="4" w:space="0" w:color="365F91"/>
              <w:right w:val="nil"/>
            </w:tcBorders>
            <w:hideMark/>
          </w:tcPr>
          <w:p w14:paraId="59E0124C" w14:textId="77777777" w:rsidR="00524720" w:rsidRPr="00D9348B" w:rsidRDefault="00524720">
            <w:pPr>
              <w:pStyle w:val="TableText"/>
              <w:keepNext/>
              <w:spacing w:before="50" w:after="50"/>
              <w:jc w:val="center"/>
            </w:pPr>
            <w:r w:rsidRPr="00D9348B">
              <w:t>1,221.0</w:t>
            </w:r>
          </w:p>
        </w:tc>
        <w:tc>
          <w:tcPr>
            <w:tcW w:w="2475" w:type="dxa"/>
            <w:tcBorders>
              <w:top w:val="single" w:sz="4" w:space="0" w:color="365F91"/>
              <w:left w:val="nil"/>
              <w:bottom w:val="single" w:sz="4" w:space="0" w:color="365F91"/>
              <w:right w:val="nil"/>
            </w:tcBorders>
            <w:hideMark/>
          </w:tcPr>
          <w:p w14:paraId="042AC56E" w14:textId="77777777" w:rsidR="00524720" w:rsidRPr="00D9348B" w:rsidRDefault="00524720">
            <w:pPr>
              <w:pStyle w:val="TableText"/>
              <w:keepNext/>
              <w:spacing w:before="50" w:after="50"/>
              <w:jc w:val="center"/>
            </w:pPr>
            <w:r w:rsidRPr="00D9348B">
              <w:t>1,510.7</w:t>
            </w:r>
          </w:p>
        </w:tc>
        <w:tc>
          <w:tcPr>
            <w:tcW w:w="2477" w:type="dxa"/>
            <w:tcBorders>
              <w:top w:val="single" w:sz="4" w:space="0" w:color="365F91"/>
              <w:left w:val="nil"/>
              <w:bottom w:val="single" w:sz="4" w:space="0" w:color="365F91"/>
              <w:right w:val="nil"/>
            </w:tcBorders>
            <w:hideMark/>
          </w:tcPr>
          <w:p w14:paraId="77E4BBF0" w14:textId="77777777" w:rsidR="00524720" w:rsidRPr="00D9348B" w:rsidRDefault="00524720">
            <w:pPr>
              <w:pStyle w:val="TableText"/>
              <w:keepNext/>
              <w:spacing w:before="50" w:after="50"/>
              <w:jc w:val="center"/>
            </w:pPr>
            <w:r w:rsidRPr="00D9348B">
              <w:t>2,731.7</w:t>
            </w:r>
          </w:p>
        </w:tc>
      </w:tr>
      <w:tr w:rsidR="00524720" w:rsidRPr="00D9348B" w14:paraId="2C1C5887" w14:textId="77777777" w:rsidTr="009F6E65">
        <w:tc>
          <w:tcPr>
            <w:tcW w:w="1078" w:type="dxa"/>
            <w:tcBorders>
              <w:top w:val="single" w:sz="4" w:space="0" w:color="365F91"/>
              <w:left w:val="nil"/>
              <w:bottom w:val="single" w:sz="4" w:space="0" w:color="365F91"/>
              <w:right w:val="nil"/>
            </w:tcBorders>
            <w:hideMark/>
          </w:tcPr>
          <w:p w14:paraId="45918385" w14:textId="77777777" w:rsidR="00524720" w:rsidRPr="00D9348B" w:rsidRDefault="00524720">
            <w:pPr>
              <w:pStyle w:val="TableTextBold"/>
              <w:spacing w:before="50" w:after="50"/>
              <w:rPr>
                <w:noProof w:val="0"/>
              </w:rPr>
            </w:pPr>
            <w:r w:rsidRPr="00D9348B">
              <w:rPr>
                <w:noProof w:val="0"/>
              </w:rPr>
              <w:t>1970</w:t>
            </w:r>
          </w:p>
        </w:tc>
        <w:tc>
          <w:tcPr>
            <w:tcW w:w="2475" w:type="dxa"/>
            <w:tcBorders>
              <w:top w:val="single" w:sz="4" w:space="0" w:color="365F91"/>
              <w:left w:val="nil"/>
              <w:bottom w:val="single" w:sz="4" w:space="0" w:color="365F91"/>
              <w:right w:val="nil"/>
            </w:tcBorders>
            <w:hideMark/>
          </w:tcPr>
          <w:p w14:paraId="7A6F715C" w14:textId="77777777" w:rsidR="00524720" w:rsidRPr="00D9348B" w:rsidRDefault="00524720">
            <w:pPr>
              <w:pStyle w:val="TableText"/>
              <w:keepNext/>
              <w:spacing w:before="50" w:after="50"/>
              <w:jc w:val="center"/>
            </w:pPr>
            <w:r w:rsidRPr="00D9348B">
              <w:t>1,201.7</w:t>
            </w:r>
          </w:p>
        </w:tc>
        <w:tc>
          <w:tcPr>
            <w:tcW w:w="2475" w:type="dxa"/>
            <w:tcBorders>
              <w:top w:val="single" w:sz="4" w:space="0" w:color="365F91"/>
              <w:left w:val="nil"/>
              <w:bottom w:val="single" w:sz="4" w:space="0" w:color="365F91"/>
              <w:right w:val="nil"/>
            </w:tcBorders>
            <w:hideMark/>
          </w:tcPr>
          <w:p w14:paraId="205CD3C7" w14:textId="77777777" w:rsidR="00524720" w:rsidRPr="00D9348B" w:rsidRDefault="00524720">
            <w:pPr>
              <w:pStyle w:val="TableText"/>
              <w:keepNext/>
              <w:spacing w:before="50" w:after="50"/>
              <w:jc w:val="center"/>
            </w:pPr>
            <w:r w:rsidRPr="00D9348B">
              <w:t>1,565.6</w:t>
            </w:r>
          </w:p>
        </w:tc>
        <w:tc>
          <w:tcPr>
            <w:tcW w:w="2477" w:type="dxa"/>
            <w:tcBorders>
              <w:top w:val="single" w:sz="4" w:space="0" w:color="365F91"/>
              <w:left w:val="nil"/>
              <w:bottom w:val="single" w:sz="4" w:space="0" w:color="365F91"/>
              <w:right w:val="nil"/>
            </w:tcBorders>
            <w:hideMark/>
          </w:tcPr>
          <w:p w14:paraId="24354ECA" w14:textId="77777777" w:rsidR="00524720" w:rsidRPr="00D9348B" w:rsidRDefault="00524720">
            <w:pPr>
              <w:pStyle w:val="TableText"/>
              <w:keepNext/>
              <w:spacing w:before="50" w:after="50"/>
              <w:jc w:val="center"/>
            </w:pPr>
            <w:r w:rsidRPr="00D9348B">
              <w:t>2,767.3</w:t>
            </w:r>
          </w:p>
        </w:tc>
      </w:tr>
      <w:tr w:rsidR="00524720" w:rsidRPr="00D9348B" w14:paraId="6E8A3D9B" w14:textId="77777777" w:rsidTr="009F6E65">
        <w:tc>
          <w:tcPr>
            <w:tcW w:w="1078" w:type="dxa"/>
            <w:tcBorders>
              <w:top w:val="single" w:sz="4" w:space="0" w:color="365F91"/>
              <w:left w:val="nil"/>
              <w:bottom w:val="single" w:sz="4" w:space="0" w:color="365F91"/>
              <w:right w:val="nil"/>
            </w:tcBorders>
            <w:hideMark/>
          </w:tcPr>
          <w:p w14:paraId="567CEEE9" w14:textId="77777777" w:rsidR="00524720" w:rsidRPr="00D9348B" w:rsidRDefault="00524720">
            <w:pPr>
              <w:pStyle w:val="TableTextBold"/>
              <w:spacing w:before="50" w:after="50"/>
              <w:rPr>
                <w:noProof w:val="0"/>
              </w:rPr>
            </w:pPr>
            <w:r w:rsidRPr="00D9348B">
              <w:rPr>
                <w:noProof w:val="0"/>
              </w:rPr>
              <w:t>1971</w:t>
            </w:r>
          </w:p>
        </w:tc>
        <w:tc>
          <w:tcPr>
            <w:tcW w:w="2475" w:type="dxa"/>
            <w:tcBorders>
              <w:top w:val="single" w:sz="4" w:space="0" w:color="365F91"/>
              <w:left w:val="nil"/>
              <w:bottom w:val="single" w:sz="4" w:space="0" w:color="365F91"/>
              <w:right w:val="nil"/>
            </w:tcBorders>
            <w:hideMark/>
          </w:tcPr>
          <w:p w14:paraId="11E63F82" w14:textId="77777777" w:rsidR="00524720" w:rsidRPr="00D9348B" w:rsidRDefault="00524720">
            <w:pPr>
              <w:pStyle w:val="TableText"/>
              <w:keepNext/>
              <w:spacing w:before="50" w:after="50"/>
              <w:jc w:val="center"/>
            </w:pPr>
            <w:r w:rsidRPr="00D9348B">
              <w:t>1,193.4</w:t>
            </w:r>
          </w:p>
        </w:tc>
        <w:tc>
          <w:tcPr>
            <w:tcW w:w="2475" w:type="dxa"/>
            <w:tcBorders>
              <w:top w:val="single" w:sz="4" w:space="0" w:color="365F91"/>
              <w:left w:val="nil"/>
              <w:bottom w:val="single" w:sz="4" w:space="0" w:color="365F91"/>
              <w:right w:val="nil"/>
            </w:tcBorders>
            <w:hideMark/>
          </w:tcPr>
          <w:p w14:paraId="491F100E" w14:textId="77777777" w:rsidR="00524720" w:rsidRPr="00D9348B" w:rsidRDefault="00524720">
            <w:pPr>
              <w:pStyle w:val="TableText"/>
              <w:keepNext/>
              <w:spacing w:before="50" w:after="50"/>
              <w:jc w:val="center"/>
            </w:pPr>
            <w:r w:rsidRPr="00D9348B">
              <w:t>1,622.5</w:t>
            </w:r>
          </w:p>
        </w:tc>
        <w:tc>
          <w:tcPr>
            <w:tcW w:w="2477" w:type="dxa"/>
            <w:tcBorders>
              <w:top w:val="single" w:sz="4" w:space="0" w:color="365F91"/>
              <w:left w:val="nil"/>
              <w:bottom w:val="single" w:sz="4" w:space="0" w:color="365F91"/>
              <w:right w:val="nil"/>
            </w:tcBorders>
            <w:hideMark/>
          </w:tcPr>
          <w:p w14:paraId="47B7BAE8" w14:textId="77777777" w:rsidR="00524720" w:rsidRPr="00D9348B" w:rsidRDefault="00524720">
            <w:pPr>
              <w:pStyle w:val="TableText"/>
              <w:keepNext/>
              <w:spacing w:before="50" w:after="50"/>
              <w:jc w:val="center"/>
            </w:pPr>
            <w:r w:rsidRPr="00D9348B">
              <w:t>2,815.9</w:t>
            </w:r>
          </w:p>
        </w:tc>
      </w:tr>
      <w:tr w:rsidR="00524720" w:rsidRPr="00D9348B" w14:paraId="3132F145" w14:textId="77777777" w:rsidTr="009F6E65">
        <w:tc>
          <w:tcPr>
            <w:tcW w:w="1078" w:type="dxa"/>
            <w:tcBorders>
              <w:top w:val="single" w:sz="4" w:space="0" w:color="365F91"/>
              <w:left w:val="nil"/>
              <w:bottom w:val="single" w:sz="4" w:space="0" w:color="365F91"/>
              <w:right w:val="nil"/>
            </w:tcBorders>
            <w:hideMark/>
          </w:tcPr>
          <w:p w14:paraId="486A4FA8" w14:textId="77777777" w:rsidR="00524720" w:rsidRPr="00D9348B" w:rsidRDefault="00524720">
            <w:pPr>
              <w:pStyle w:val="TableTextBold"/>
              <w:spacing w:before="50" w:after="50"/>
              <w:rPr>
                <w:noProof w:val="0"/>
              </w:rPr>
            </w:pPr>
            <w:r w:rsidRPr="00D9348B">
              <w:rPr>
                <w:noProof w:val="0"/>
              </w:rPr>
              <w:t>1972</w:t>
            </w:r>
          </w:p>
        </w:tc>
        <w:tc>
          <w:tcPr>
            <w:tcW w:w="2475" w:type="dxa"/>
            <w:tcBorders>
              <w:top w:val="single" w:sz="4" w:space="0" w:color="365F91"/>
              <w:left w:val="nil"/>
              <w:bottom w:val="single" w:sz="4" w:space="0" w:color="365F91"/>
              <w:right w:val="nil"/>
            </w:tcBorders>
            <w:hideMark/>
          </w:tcPr>
          <w:p w14:paraId="317EACAF" w14:textId="77777777" w:rsidR="00524720" w:rsidRPr="00D9348B" w:rsidRDefault="00524720">
            <w:pPr>
              <w:pStyle w:val="TableText"/>
              <w:keepNext/>
              <w:spacing w:before="50" w:after="50"/>
              <w:jc w:val="center"/>
            </w:pPr>
            <w:r w:rsidRPr="00D9348B">
              <w:t>1,154.9</w:t>
            </w:r>
          </w:p>
        </w:tc>
        <w:tc>
          <w:tcPr>
            <w:tcW w:w="2475" w:type="dxa"/>
            <w:tcBorders>
              <w:top w:val="single" w:sz="4" w:space="0" w:color="365F91"/>
              <w:left w:val="nil"/>
              <w:bottom w:val="single" w:sz="4" w:space="0" w:color="365F91"/>
              <w:right w:val="nil"/>
            </w:tcBorders>
            <w:hideMark/>
          </w:tcPr>
          <w:p w14:paraId="63B38871" w14:textId="77777777" w:rsidR="00524720" w:rsidRPr="00D9348B" w:rsidRDefault="00524720">
            <w:pPr>
              <w:pStyle w:val="TableText"/>
              <w:keepNext/>
              <w:spacing w:before="50" w:after="50"/>
              <w:jc w:val="center"/>
            </w:pPr>
            <w:r w:rsidRPr="00D9348B">
              <w:t>1,681.4</w:t>
            </w:r>
          </w:p>
        </w:tc>
        <w:tc>
          <w:tcPr>
            <w:tcW w:w="2477" w:type="dxa"/>
            <w:tcBorders>
              <w:top w:val="single" w:sz="4" w:space="0" w:color="365F91"/>
              <w:left w:val="nil"/>
              <w:bottom w:val="single" w:sz="4" w:space="0" w:color="365F91"/>
              <w:right w:val="nil"/>
            </w:tcBorders>
            <w:hideMark/>
          </w:tcPr>
          <w:p w14:paraId="79865334" w14:textId="77777777" w:rsidR="00524720" w:rsidRPr="00D9348B" w:rsidRDefault="00524720">
            <w:pPr>
              <w:pStyle w:val="TableText"/>
              <w:keepNext/>
              <w:spacing w:before="50" w:after="50"/>
              <w:jc w:val="center"/>
            </w:pPr>
            <w:r w:rsidRPr="00D9348B">
              <w:t>2,836.3</w:t>
            </w:r>
          </w:p>
        </w:tc>
      </w:tr>
      <w:tr w:rsidR="00524720" w:rsidRPr="00D9348B" w14:paraId="5B3DB51F" w14:textId="77777777" w:rsidTr="009F6E65">
        <w:tc>
          <w:tcPr>
            <w:tcW w:w="1078" w:type="dxa"/>
            <w:tcBorders>
              <w:top w:val="single" w:sz="4" w:space="0" w:color="365F91"/>
              <w:left w:val="nil"/>
              <w:bottom w:val="single" w:sz="4" w:space="0" w:color="365F91"/>
              <w:right w:val="nil"/>
            </w:tcBorders>
            <w:hideMark/>
          </w:tcPr>
          <w:p w14:paraId="0A5EB5D1" w14:textId="77777777" w:rsidR="00524720" w:rsidRPr="00D9348B" w:rsidRDefault="00524720">
            <w:pPr>
              <w:pStyle w:val="TableTextBold"/>
              <w:spacing w:before="50" w:after="50"/>
              <w:rPr>
                <w:noProof w:val="0"/>
              </w:rPr>
            </w:pPr>
            <w:r w:rsidRPr="00D9348B">
              <w:rPr>
                <w:noProof w:val="0"/>
              </w:rPr>
              <w:t>1973</w:t>
            </w:r>
          </w:p>
        </w:tc>
        <w:tc>
          <w:tcPr>
            <w:tcW w:w="2475" w:type="dxa"/>
            <w:tcBorders>
              <w:top w:val="single" w:sz="4" w:space="0" w:color="365F91"/>
              <w:left w:val="nil"/>
              <w:bottom w:val="single" w:sz="4" w:space="0" w:color="365F91"/>
              <w:right w:val="nil"/>
            </w:tcBorders>
            <w:hideMark/>
          </w:tcPr>
          <w:p w14:paraId="6E71CCEB" w14:textId="77777777" w:rsidR="00524720" w:rsidRPr="00D9348B" w:rsidRDefault="00524720">
            <w:pPr>
              <w:pStyle w:val="TableText"/>
              <w:keepNext/>
              <w:spacing w:before="50" w:after="50"/>
              <w:jc w:val="center"/>
            </w:pPr>
            <w:r w:rsidRPr="00D9348B">
              <w:t>1,162.4</w:t>
            </w:r>
          </w:p>
        </w:tc>
        <w:tc>
          <w:tcPr>
            <w:tcW w:w="2475" w:type="dxa"/>
            <w:tcBorders>
              <w:top w:val="single" w:sz="4" w:space="0" w:color="365F91"/>
              <w:left w:val="nil"/>
              <w:bottom w:val="single" w:sz="4" w:space="0" w:color="365F91"/>
              <w:right w:val="nil"/>
            </w:tcBorders>
            <w:hideMark/>
          </w:tcPr>
          <w:p w14:paraId="1ECF43D7" w14:textId="77777777" w:rsidR="00524720" w:rsidRPr="00D9348B" w:rsidRDefault="00524720">
            <w:pPr>
              <w:pStyle w:val="TableText"/>
              <w:keepNext/>
              <w:spacing w:before="50" w:after="50"/>
              <w:jc w:val="center"/>
            </w:pPr>
            <w:r w:rsidRPr="00D9348B">
              <w:t>1,742.4</w:t>
            </w:r>
          </w:p>
        </w:tc>
        <w:tc>
          <w:tcPr>
            <w:tcW w:w="2477" w:type="dxa"/>
            <w:tcBorders>
              <w:top w:val="single" w:sz="4" w:space="0" w:color="365F91"/>
              <w:left w:val="nil"/>
              <w:bottom w:val="single" w:sz="4" w:space="0" w:color="365F91"/>
              <w:right w:val="nil"/>
            </w:tcBorders>
            <w:hideMark/>
          </w:tcPr>
          <w:p w14:paraId="106A5B50" w14:textId="77777777" w:rsidR="00524720" w:rsidRPr="00D9348B" w:rsidRDefault="00524720">
            <w:pPr>
              <w:pStyle w:val="TableText"/>
              <w:keepNext/>
              <w:spacing w:before="50" w:after="50"/>
              <w:jc w:val="center"/>
            </w:pPr>
            <w:r w:rsidRPr="00D9348B">
              <w:t>2,904.8</w:t>
            </w:r>
          </w:p>
        </w:tc>
      </w:tr>
      <w:tr w:rsidR="00524720" w:rsidRPr="00D9348B" w14:paraId="18754BC5" w14:textId="77777777" w:rsidTr="009F6E65">
        <w:tc>
          <w:tcPr>
            <w:tcW w:w="1078" w:type="dxa"/>
            <w:tcBorders>
              <w:top w:val="single" w:sz="4" w:space="0" w:color="365F91"/>
              <w:left w:val="nil"/>
              <w:bottom w:val="single" w:sz="4" w:space="0" w:color="365F91"/>
              <w:right w:val="nil"/>
            </w:tcBorders>
            <w:hideMark/>
          </w:tcPr>
          <w:p w14:paraId="695A54C7" w14:textId="77777777" w:rsidR="00524720" w:rsidRPr="00D9348B" w:rsidRDefault="00524720">
            <w:pPr>
              <w:pStyle w:val="TableTextBold"/>
              <w:spacing w:before="50" w:after="50"/>
              <w:rPr>
                <w:noProof w:val="0"/>
              </w:rPr>
            </w:pPr>
            <w:r w:rsidRPr="00D9348B">
              <w:rPr>
                <w:noProof w:val="0"/>
              </w:rPr>
              <w:t>1974</w:t>
            </w:r>
          </w:p>
        </w:tc>
        <w:tc>
          <w:tcPr>
            <w:tcW w:w="2475" w:type="dxa"/>
            <w:tcBorders>
              <w:top w:val="single" w:sz="4" w:space="0" w:color="365F91"/>
              <w:left w:val="nil"/>
              <w:bottom w:val="single" w:sz="4" w:space="0" w:color="365F91"/>
              <w:right w:val="nil"/>
            </w:tcBorders>
            <w:hideMark/>
          </w:tcPr>
          <w:p w14:paraId="4973536C" w14:textId="77777777" w:rsidR="00524720" w:rsidRPr="00D9348B" w:rsidRDefault="00524720">
            <w:pPr>
              <w:pStyle w:val="TableText"/>
              <w:keepNext/>
              <w:spacing w:before="50" w:after="50"/>
              <w:jc w:val="center"/>
            </w:pPr>
            <w:r w:rsidRPr="00D9348B">
              <w:t>1,167.2</w:t>
            </w:r>
          </w:p>
        </w:tc>
        <w:tc>
          <w:tcPr>
            <w:tcW w:w="2475" w:type="dxa"/>
            <w:tcBorders>
              <w:top w:val="single" w:sz="4" w:space="0" w:color="365F91"/>
              <w:left w:val="nil"/>
              <w:bottom w:val="single" w:sz="4" w:space="0" w:color="365F91"/>
              <w:right w:val="nil"/>
            </w:tcBorders>
            <w:hideMark/>
          </w:tcPr>
          <w:p w14:paraId="68543D1C" w14:textId="77777777" w:rsidR="00524720" w:rsidRPr="00D9348B" w:rsidRDefault="00524720">
            <w:pPr>
              <w:pStyle w:val="TableText"/>
              <w:keepNext/>
              <w:spacing w:before="50" w:after="50"/>
              <w:jc w:val="center"/>
            </w:pPr>
            <w:r w:rsidRPr="00D9348B">
              <w:t>1,805.6</w:t>
            </w:r>
          </w:p>
        </w:tc>
        <w:tc>
          <w:tcPr>
            <w:tcW w:w="2477" w:type="dxa"/>
            <w:tcBorders>
              <w:top w:val="single" w:sz="4" w:space="0" w:color="365F91"/>
              <w:left w:val="nil"/>
              <w:bottom w:val="single" w:sz="4" w:space="0" w:color="365F91"/>
              <w:right w:val="nil"/>
            </w:tcBorders>
            <w:hideMark/>
          </w:tcPr>
          <w:p w14:paraId="02B94413" w14:textId="77777777" w:rsidR="00524720" w:rsidRPr="00D9348B" w:rsidRDefault="00524720">
            <w:pPr>
              <w:pStyle w:val="TableText"/>
              <w:keepNext/>
              <w:spacing w:before="50" w:after="50"/>
              <w:jc w:val="center"/>
            </w:pPr>
            <w:r w:rsidRPr="00D9348B">
              <w:t>2,972.8</w:t>
            </w:r>
          </w:p>
        </w:tc>
      </w:tr>
      <w:tr w:rsidR="00524720" w:rsidRPr="00D9348B" w14:paraId="7159BE5F" w14:textId="77777777" w:rsidTr="009F6E65">
        <w:tc>
          <w:tcPr>
            <w:tcW w:w="1078" w:type="dxa"/>
            <w:tcBorders>
              <w:top w:val="single" w:sz="4" w:space="0" w:color="365F91"/>
              <w:left w:val="nil"/>
              <w:bottom w:val="single" w:sz="4" w:space="0" w:color="365F91"/>
              <w:right w:val="nil"/>
            </w:tcBorders>
            <w:hideMark/>
          </w:tcPr>
          <w:p w14:paraId="66E88741" w14:textId="77777777" w:rsidR="00524720" w:rsidRPr="00D9348B" w:rsidRDefault="00524720">
            <w:pPr>
              <w:pStyle w:val="TableTextBold"/>
              <w:spacing w:before="50" w:after="50"/>
              <w:rPr>
                <w:noProof w:val="0"/>
              </w:rPr>
            </w:pPr>
            <w:r w:rsidRPr="00D9348B">
              <w:rPr>
                <w:noProof w:val="0"/>
              </w:rPr>
              <w:t>1975</w:t>
            </w:r>
          </w:p>
        </w:tc>
        <w:tc>
          <w:tcPr>
            <w:tcW w:w="2475" w:type="dxa"/>
            <w:tcBorders>
              <w:top w:val="single" w:sz="4" w:space="0" w:color="365F91"/>
              <w:left w:val="nil"/>
              <w:bottom w:val="single" w:sz="4" w:space="0" w:color="365F91"/>
              <w:right w:val="nil"/>
            </w:tcBorders>
            <w:hideMark/>
          </w:tcPr>
          <w:p w14:paraId="0199AC6C" w14:textId="77777777" w:rsidR="00524720" w:rsidRPr="00D9348B" w:rsidRDefault="00524720">
            <w:pPr>
              <w:pStyle w:val="TableText"/>
              <w:keepNext/>
              <w:spacing w:before="50" w:after="50"/>
              <w:jc w:val="center"/>
            </w:pPr>
            <w:r w:rsidRPr="00D9348B">
              <w:t>1,233.5</w:t>
            </w:r>
          </w:p>
        </w:tc>
        <w:tc>
          <w:tcPr>
            <w:tcW w:w="2475" w:type="dxa"/>
            <w:tcBorders>
              <w:top w:val="single" w:sz="4" w:space="0" w:color="365F91"/>
              <w:left w:val="nil"/>
              <w:bottom w:val="single" w:sz="4" w:space="0" w:color="365F91"/>
              <w:right w:val="nil"/>
            </w:tcBorders>
            <w:hideMark/>
          </w:tcPr>
          <w:p w14:paraId="7F785C9C" w14:textId="77777777" w:rsidR="00524720" w:rsidRPr="00D9348B" w:rsidRDefault="00524720">
            <w:pPr>
              <w:pStyle w:val="TableText"/>
              <w:keepNext/>
              <w:spacing w:before="50" w:after="50"/>
              <w:jc w:val="center"/>
            </w:pPr>
            <w:r w:rsidRPr="00D9348B">
              <w:t>1,871.0</w:t>
            </w:r>
          </w:p>
        </w:tc>
        <w:tc>
          <w:tcPr>
            <w:tcW w:w="2477" w:type="dxa"/>
            <w:tcBorders>
              <w:top w:val="single" w:sz="4" w:space="0" w:color="365F91"/>
              <w:left w:val="nil"/>
              <w:bottom w:val="single" w:sz="4" w:space="0" w:color="365F91"/>
              <w:right w:val="nil"/>
            </w:tcBorders>
            <w:hideMark/>
          </w:tcPr>
          <w:p w14:paraId="4785C169" w14:textId="77777777" w:rsidR="00524720" w:rsidRPr="00D9348B" w:rsidRDefault="00524720">
            <w:pPr>
              <w:pStyle w:val="TableText"/>
              <w:keepNext/>
              <w:spacing w:before="50" w:after="50"/>
              <w:jc w:val="center"/>
            </w:pPr>
            <w:r w:rsidRPr="00D9348B">
              <w:t>3,104.6</w:t>
            </w:r>
          </w:p>
        </w:tc>
      </w:tr>
      <w:tr w:rsidR="00524720" w:rsidRPr="00D9348B" w14:paraId="5375D24D" w14:textId="77777777" w:rsidTr="009F6E65">
        <w:tc>
          <w:tcPr>
            <w:tcW w:w="1078" w:type="dxa"/>
            <w:tcBorders>
              <w:top w:val="single" w:sz="4" w:space="0" w:color="365F91"/>
              <w:left w:val="nil"/>
              <w:bottom w:val="single" w:sz="4" w:space="0" w:color="365F91"/>
              <w:right w:val="nil"/>
            </w:tcBorders>
            <w:hideMark/>
          </w:tcPr>
          <w:p w14:paraId="1AE92B90" w14:textId="77777777" w:rsidR="00524720" w:rsidRPr="00D9348B" w:rsidRDefault="00524720">
            <w:pPr>
              <w:pStyle w:val="TableTextBold"/>
              <w:spacing w:before="50" w:after="50"/>
              <w:rPr>
                <w:noProof w:val="0"/>
              </w:rPr>
            </w:pPr>
            <w:r w:rsidRPr="00D9348B">
              <w:rPr>
                <w:noProof w:val="0"/>
              </w:rPr>
              <w:lastRenderedPageBreak/>
              <w:t>1976</w:t>
            </w:r>
          </w:p>
        </w:tc>
        <w:tc>
          <w:tcPr>
            <w:tcW w:w="2475" w:type="dxa"/>
            <w:tcBorders>
              <w:top w:val="single" w:sz="4" w:space="0" w:color="365F91"/>
              <w:left w:val="nil"/>
              <w:bottom w:val="single" w:sz="4" w:space="0" w:color="365F91"/>
              <w:right w:val="nil"/>
            </w:tcBorders>
            <w:hideMark/>
          </w:tcPr>
          <w:p w14:paraId="7E390043" w14:textId="77777777" w:rsidR="00524720" w:rsidRPr="00D9348B" w:rsidRDefault="00524720">
            <w:pPr>
              <w:pStyle w:val="TableText"/>
              <w:keepNext/>
              <w:spacing w:before="50" w:after="50"/>
              <w:jc w:val="center"/>
            </w:pPr>
            <w:r w:rsidRPr="00D9348B">
              <w:t>1,246.6</w:t>
            </w:r>
          </w:p>
        </w:tc>
        <w:tc>
          <w:tcPr>
            <w:tcW w:w="2475" w:type="dxa"/>
            <w:tcBorders>
              <w:top w:val="single" w:sz="4" w:space="0" w:color="365F91"/>
              <w:left w:val="nil"/>
              <w:bottom w:val="single" w:sz="4" w:space="0" w:color="365F91"/>
              <w:right w:val="nil"/>
            </w:tcBorders>
            <w:hideMark/>
          </w:tcPr>
          <w:p w14:paraId="6BCBF915" w14:textId="77777777" w:rsidR="00524720" w:rsidRPr="00D9348B" w:rsidRDefault="00524720">
            <w:pPr>
              <w:pStyle w:val="TableText"/>
              <w:keepNext/>
              <w:spacing w:before="50" w:after="50"/>
              <w:jc w:val="center"/>
            </w:pPr>
            <w:r w:rsidRPr="00D9348B">
              <w:t>1,938.8</w:t>
            </w:r>
          </w:p>
        </w:tc>
        <w:tc>
          <w:tcPr>
            <w:tcW w:w="2477" w:type="dxa"/>
            <w:tcBorders>
              <w:top w:val="single" w:sz="4" w:space="0" w:color="365F91"/>
              <w:left w:val="nil"/>
              <w:bottom w:val="single" w:sz="4" w:space="0" w:color="365F91"/>
              <w:right w:val="nil"/>
            </w:tcBorders>
            <w:hideMark/>
          </w:tcPr>
          <w:p w14:paraId="0B1F8674" w14:textId="77777777" w:rsidR="00524720" w:rsidRPr="00D9348B" w:rsidRDefault="00524720">
            <w:pPr>
              <w:pStyle w:val="TableText"/>
              <w:keepNext/>
              <w:spacing w:before="50" w:after="50"/>
              <w:jc w:val="center"/>
            </w:pPr>
            <w:r w:rsidRPr="00D9348B">
              <w:t>3,185.4</w:t>
            </w:r>
          </w:p>
        </w:tc>
      </w:tr>
      <w:tr w:rsidR="00524720" w:rsidRPr="00D9348B" w14:paraId="1EB94FF1" w14:textId="77777777" w:rsidTr="009F6E65">
        <w:tc>
          <w:tcPr>
            <w:tcW w:w="1078" w:type="dxa"/>
            <w:tcBorders>
              <w:top w:val="single" w:sz="4" w:space="0" w:color="365F91"/>
              <w:left w:val="nil"/>
              <w:bottom w:val="single" w:sz="4" w:space="0" w:color="365F91"/>
              <w:right w:val="nil"/>
            </w:tcBorders>
            <w:hideMark/>
          </w:tcPr>
          <w:p w14:paraId="6A11BCB8" w14:textId="77777777" w:rsidR="00524720" w:rsidRPr="00D9348B" w:rsidRDefault="00524720">
            <w:pPr>
              <w:pStyle w:val="TableTextBold"/>
              <w:spacing w:before="50" w:after="50"/>
              <w:rPr>
                <w:noProof w:val="0"/>
              </w:rPr>
            </w:pPr>
            <w:r w:rsidRPr="00D9348B">
              <w:rPr>
                <w:noProof w:val="0"/>
              </w:rPr>
              <w:t>1977</w:t>
            </w:r>
          </w:p>
        </w:tc>
        <w:tc>
          <w:tcPr>
            <w:tcW w:w="2475" w:type="dxa"/>
            <w:tcBorders>
              <w:top w:val="single" w:sz="4" w:space="0" w:color="365F91"/>
              <w:left w:val="nil"/>
              <w:bottom w:val="single" w:sz="4" w:space="0" w:color="365F91"/>
              <w:right w:val="nil"/>
            </w:tcBorders>
            <w:hideMark/>
          </w:tcPr>
          <w:p w14:paraId="4581DC80" w14:textId="77777777" w:rsidR="00524720" w:rsidRPr="00D9348B" w:rsidRDefault="00524720">
            <w:pPr>
              <w:pStyle w:val="TableText"/>
              <w:keepNext/>
              <w:spacing w:before="50" w:after="50"/>
              <w:jc w:val="center"/>
            </w:pPr>
            <w:r w:rsidRPr="00D9348B">
              <w:t>1,261.3</w:t>
            </w:r>
          </w:p>
        </w:tc>
        <w:tc>
          <w:tcPr>
            <w:tcW w:w="2475" w:type="dxa"/>
            <w:tcBorders>
              <w:top w:val="single" w:sz="4" w:space="0" w:color="365F91"/>
              <w:left w:val="nil"/>
              <w:bottom w:val="single" w:sz="4" w:space="0" w:color="365F91"/>
              <w:right w:val="nil"/>
            </w:tcBorders>
            <w:hideMark/>
          </w:tcPr>
          <w:p w14:paraId="21F4E56E" w14:textId="77777777" w:rsidR="00524720" w:rsidRPr="00D9348B" w:rsidRDefault="00524720">
            <w:pPr>
              <w:pStyle w:val="TableText"/>
              <w:keepNext/>
              <w:spacing w:before="50" w:after="50"/>
              <w:jc w:val="center"/>
            </w:pPr>
            <w:r w:rsidRPr="00D9348B">
              <w:t>2,009.0</w:t>
            </w:r>
          </w:p>
        </w:tc>
        <w:tc>
          <w:tcPr>
            <w:tcW w:w="2477" w:type="dxa"/>
            <w:tcBorders>
              <w:top w:val="single" w:sz="4" w:space="0" w:color="365F91"/>
              <w:left w:val="nil"/>
              <w:bottom w:val="single" w:sz="4" w:space="0" w:color="365F91"/>
              <w:right w:val="nil"/>
            </w:tcBorders>
            <w:hideMark/>
          </w:tcPr>
          <w:p w14:paraId="4B127903" w14:textId="77777777" w:rsidR="00524720" w:rsidRPr="00D9348B" w:rsidRDefault="00524720">
            <w:pPr>
              <w:pStyle w:val="TableText"/>
              <w:keepNext/>
              <w:spacing w:before="50" w:after="50"/>
              <w:jc w:val="center"/>
            </w:pPr>
            <w:r w:rsidRPr="00D9348B">
              <w:t>3,270.3</w:t>
            </w:r>
          </w:p>
        </w:tc>
      </w:tr>
      <w:tr w:rsidR="00524720" w:rsidRPr="00D9348B" w14:paraId="7BBFA5D7" w14:textId="77777777" w:rsidTr="009F6E65">
        <w:tc>
          <w:tcPr>
            <w:tcW w:w="1078" w:type="dxa"/>
            <w:tcBorders>
              <w:top w:val="single" w:sz="4" w:space="0" w:color="365F91"/>
              <w:left w:val="nil"/>
              <w:bottom w:val="single" w:sz="4" w:space="0" w:color="365F91"/>
              <w:right w:val="nil"/>
            </w:tcBorders>
            <w:hideMark/>
          </w:tcPr>
          <w:p w14:paraId="463CA0F3" w14:textId="77777777" w:rsidR="00524720" w:rsidRPr="00D9348B" w:rsidRDefault="00524720">
            <w:pPr>
              <w:pStyle w:val="TableTextBold"/>
              <w:spacing w:before="50" w:after="50"/>
              <w:rPr>
                <w:noProof w:val="0"/>
              </w:rPr>
            </w:pPr>
            <w:r w:rsidRPr="00D9348B">
              <w:rPr>
                <w:noProof w:val="0"/>
              </w:rPr>
              <w:t>1978</w:t>
            </w:r>
          </w:p>
        </w:tc>
        <w:tc>
          <w:tcPr>
            <w:tcW w:w="2475" w:type="dxa"/>
            <w:tcBorders>
              <w:top w:val="single" w:sz="4" w:space="0" w:color="365F91"/>
              <w:left w:val="nil"/>
              <w:bottom w:val="single" w:sz="4" w:space="0" w:color="365F91"/>
              <w:right w:val="nil"/>
            </w:tcBorders>
            <w:hideMark/>
          </w:tcPr>
          <w:p w14:paraId="1EF7604C" w14:textId="77777777" w:rsidR="00524720" w:rsidRPr="00D9348B" w:rsidRDefault="00524720">
            <w:pPr>
              <w:pStyle w:val="TableText"/>
              <w:keepNext/>
              <w:spacing w:before="50" w:after="50"/>
              <w:jc w:val="center"/>
            </w:pPr>
            <w:r w:rsidRPr="00D9348B">
              <w:t>1,276.5</w:t>
            </w:r>
          </w:p>
        </w:tc>
        <w:tc>
          <w:tcPr>
            <w:tcW w:w="2475" w:type="dxa"/>
            <w:tcBorders>
              <w:top w:val="single" w:sz="4" w:space="0" w:color="365F91"/>
              <w:left w:val="nil"/>
              <w:bottom w:val="single" w:sz="4" w:space="0" w:color="365F91"/>
              <w:right w:val="nil"/>
            </w:tcBorders>
            <w:hideMark/>
          </w:tcPr>
          <w:p w14:paraId="13360B2B" w14:textId="77777777" w:rsidR="00524720" w:rsidRPr="00D9348B" w:rsidRDefault="00524720">
            <w:pPr>
              <w:pStyle w:val="TableText"/>
              <w:keepNext/>
              <w:spacing w:before="50" w:after="50"/>
              <w:jc w:val="center"/>
            </w:pPr>
            <w:r w:rsidRPr="00D9348B">
              <w:t>2,081.7</w:t>
            </w:r>
          </w:p>
        </w:tc>
        <w:tc>
          <w:tcPr>
            <w:tcW w:w="2477" w:type="dxa"/>
            <w:tcBorders>
              <w:top w:val="single" w:sz="4" w:space="0" w:color="365F91"/>
              <w:left w:val="nil"/>
              <w:bottom w:val="single" w:sz="4" w:space="0" w:color="365F91"/>
              <w:right w:val="nil"/>
            </w:tcBorders>
            <w:hideMark/>
          </w:tcPr>
          <w:p w14:paraId="1B573602" w14:textId="77777777" w:rsidR="00524720" w:rsidRPr="00D9348B" w:rsidRDefault="00524720">
            <w:pPr>
              <w:pStyle w:val="TableText"/>
              <w:keepNext/>
              <w:spacing w:before="50" w:after="50"/>
              <w:jc w:val="center"/>
            </w:pPr>
            <w:r w:rsidRPr="00D9348B">
              <w:t>3,358.3</w:t>
            </w:r>
          </w:p>
        </w:tc>
      </w:tr>
      <w:tr w:rsidR="00524720" w:rsidRPr="00D9348B" w14:paraId="3D7B9BC5" w14:textId="77777777" w:rsidTr="009F6E65">
        <w:tc>
          <w:tcPr>
            <w:tcW w:w="1078" w:type="dxa"/>
            <w:tcBorders>
              <w:top w:val="single" w:sz="4" w:space="0" w:color="365F91"/>
              <w:left w:val="nil"/>
              <w:bottom w:val="single" w:sz="4" w:space="0" w:color="365F91"/>
              <w:right w:val="nil"/>
            </w:tcBorders>
            <w:hideMark/>
          </w:tcPr>
          <w:p w14:paraId="024A3560" w14:textId="77777777" w:rsidR="00524720" w:rsidRPr="00D9348B" w:rsidRDefault="00524720">
            <w:pPr>
              <w:pStyle w:val="TableTextBold"/>
              <w:spacing w:before="50" w:after="50"/>
              <w:rPr>
                <w:noProof w:val="0"/>
              </w:rPr>
            </w:pPr>
            <w:r w:rsidRPr="00D9348B">
              <w:rPr>
                <w:noProof w:val="0"/>
              </w:rPr>
              <w:t>1979</w:t>
            </w:r>
          </w:p>
        </w:tc>
        <w:tc>
          <w:tcPr>
            <w:tcW w:w="2475" w:type="dxa"/>
            <w:tcBorders>
              <w:top w:val="single" w:sz="4" w:space="0" w:color="365F91"/>
              <w:left w:val="nil"/>
              <w:bottom w:val="single" w:sz="4" w:space="0" w:color="365F91"/>
              <w:right w:val="nil"/>
            </w:tcBorders>
            <w:hideMark/>
          </w:tcPr>
          <w:p w14:paraId="73EE588C" w14:textId="77777777" w:rsidR="00524720" w:rsidRPr="00D9348B" w:rsidRDefault="00524720">
            <w:pPr>
              <w:pStyle w:val="TableText"/>
              <w:keepNext/>
              <w:spacing w:before="50" w:after="50"/>
              <w:jc w:val="center"/>
            </w:pPr>
            <w:r w:rsidRPr="00D9348B">
              <w:t>1,295.9</w:t>
            </w:r>
          </w:p>
        </w:tc>
        <w:tc>
          <w:tcPr>
            <w:tcW w:w="2475" w:type="dxa"/>
            <w:tcBorders>
              <w:top w:val="single" w:sz="4" w:space="0" w:color="365F91"/>
              <w:left w:val="nil"/>
              <w:bottom w:val="single" w:sz="4" w:space="0" w:color="365F91"/>
              <w:right w:val="nil"/>
            </w:tcBorders>
            <w:hideMark/>
          </w:tcPr>
          <w:p w14:paraId="19C7E74E" w14:textId="77777777" w:rsidR="00524720" w:rsidRPr="00D9348B" w:rsidRDefault="00524720">
            <w:pPr>
              <w:pStyle w:val="TableText"/>
              <w:keepNext/>
              <w:spacing w:before="50" w:after="50"/>
              <w:jc w:val="center"/>
            </w:pPr>
            <w:r w:rsidRPr="00D9348B">
              <w:t>2,088.4</w:t>
            </w:r>
          </w:p>
        </w:tc>
        <w:tc>
          <w:tcPr>
            <w:tcW w:w="2477" w:type="dxa"/>
            <w:tcBorders>
              <w:top w:val="single" w:sz="4" w:space="0" w:color="365F91"/>
              <w:left w:val="nil"/>
              <w:bottom w:val="single" w:sz="4" w:space="0" w:color="365F91"/>
              <w:right w:val="nil"/>
            </w:tcBorders>
            <w:hideMark/>
          </w:tcPr>
          <w:p w14:paraId="250149DE" w14:textId="77777777" w:rsidR="00524720" w:rsidRPr="00D9348B" w:rsidRDefault="00524720">
            <w:pPr>
              <w:pStyle w:val="TableText"/>
              <w:keepNext/>
              <w:spacing w:before="50" w:after="50"/>
              <w:jc w:val="center"/>
            </w:pPr>
            <w:r w:rsidRPr="00D9348B">
              <w:t>3,384.2</w:t>
            </w:r>
          </w:p>
        </w:tc>
      </w:tr>
      <w:tr w:rsidR="00524720" w:rsidRPr="00D9348B" w14:paraId="4FB6103C" w14:textId="77777777" w:rsidTr="009F6E65">
        <w:tc>
          <w:tcPr>
            <w:tcW w:w="1078" w:type="dxa"/>
            <w:tcBorders>
              <w:top w:val="single" w:sz="4" w:space="0" w:color="365F91"/>
              <w:left w:val="nil"/>
              <w:bottom w:val="single" w:sz="4" w:space="0" w:color="365F91"/>
              <w:right w:val="nil"/>
            </w:tcBorders>
            <w:hideMark/>
          </w:tcPr>
          <w:p w14:paraId="4A13B167" w14:textId="77777777" w:rsidR="00524720" w:rsidRPr="00D9348B" w:rsidRDefault="00524720">
            <w:pPr>
              <w:pStyle w:val="TableTextBold"/>
              <w:spacing w:before="50" w:after="50"/>
              <w:rPr>
                <w:noProof w:val="0"/>
              </w:rPr>
            </w:pPr>
            <w:r w:rsidRPr="00D9348B">
              <w:rPr>
                <w:noProof w:val="0"/>
              </w:rPr>
              <w:t>1980</w:t>
            </w:r>
          </w:p>
        </w:tc>
        <w:tc>
          <w:tcPr>
            <w:tcW w:w="2475" w:type="dxa"/>
            <w:tcBorders>
              <w:top w:val="single" w:sz="4" w:space="0" w:color="365F91"/>
              <w:left w:val="nil"/>
              <w:bottom w:val="single" w:sz="4" w:space="0" w:color="365F91"/>
              <w:right w:val="nil"/>
            </w:tcBorders>
            <w:hideMark/>
          </w:tcPr>
          <w:p w14:paraId="70899847" w14:textId="77777777" w:rsidR="00524720" w:rsidRPr="00D9348B" w:rsidRDefault="00524720">
            <w:pPr>
              <w:pStyle w:val="TableText"/>
              <w:keepNext/>
              <w:spacing w:before="50" w:after="50"/>
              <w:jc w:val="center"/>
            </w:pPr>
            <w:r w:rsidRPr="00D9348B">
              <w:t>1,315.2</w:t>
            </w:r>
          </w:p>
        </w:tc>
        <w:tc>
          <w:tcPr>
            <w:tcW w:w="2475" w:type="dxa"/>
            <w:tcBorders>
              <w:top w:val="single" w:sz="4" w:space="0" w:color="365F91"/>
              <w:left w:val="nil"/>
              <w:bottom w:val="single" w:sz="4" w:space="0" w:color="365F91"/>
              <w:right w:val="nil"/>
            </w:tcBorders>
            <w:hideMark/>
          </w:tcPr>
          <w:p w14:paraId="69A3D028" w14:textId="77777777" w:rsidR="00524720" w:rsidRPr="00D9348B" w:rsidRDefault="00524720">
            <w:pPr>
              <w:pStyle w:val="TableText"/>
              <w:keepNext/>
              <w:spacing w:before="50" w:after="50"/>
              <w:jc w:val="center"/>
            </w:pPr>
            <w:r w:rsidRPr="00D9348B">
              <w:t>2,134.1</w:t>
            </w:r>
          </w:p>
        </w:tc>
        <w:tc>
          <w:tcPr>
            <w:tcW w:w="2477" w:type="dxa"/>
            <w:tcBorders>
              <w:top w:val="single" w:sz="4" w:space="0" w:color="365F91"/>
              <w:left w:val="nil"/>
              <w:bottom w:val="single" w:sz="4" w:space="0" w:color="365F91"/>
              <w:right w:val="nil"/>
            </w:tcBorders>
            <w:hideMark/>
          </w:tcPr>
          <w:p w14:paraId="4C756BD1" w14:textId="77777777" w:rsidR="00524720" w:rsidRPr="00D9348B" w:rsidRDefault="00524720">
            <w:pPr>
              <w:pStyle w:val="TableText"/>
              <w:keepNext/>
              <w:spacing w:before="50" w:after="50"/>
              <w:jc w:val="center"/>
            </w:pPr>
            <w:r w:rsidRPr="00D9348B">
              <w:t>3,449.4</w:t>
            </w:r>
          </w:p>
        </w:tc>
      </w:tr>
      <w:tr w:rsidR="00524720" w:rsidRPr="00D9348B" w14:paraId="132CF0A2" w14:textId="77777777" w:rsidTr="009F6E65">
        <w:tc>
          <w:tcPr>
            <w:tcW w:w="1078" w:type="dxa"/>
            <w:tcBorders>
              <w:top w:val="single" w:sz="4" w:space="0" w:color="365F91"/>
              <w:left w:val="nil"/>
              <w:bottom w:val="single" w:sz="4" w:space="0" w:color="365F91"/>
              <w:right w:val="nil"/>
            </w:tcBorders>
            <w:hideMark/>
          </w:tcPr>
          <w:p w14:paraId="1699A970" w14:textId="77777777" w:rsidR="00524720" w:rsidRPr="00D9348B" w:rsidRDefault="00524720">
            <w:pPr>
              <w:pStyle w:val="TableTextBold"/>
              <w:spacing w:before="50" w:after="50"/>
              <w:rPr>
                <w:noProof w:val="0"/>
              </w:rPr>
            </w:pPr>
            <w:r w:rsidRPr="00D9348B">
              <w:rPr>
                <w:noProof w:val="0"/>
              </w:rPr>
              <w:t>1981</w:t>
            </w:r>
          </w:p>
        </w:tc>
        <w:tc>
          <w:tcPr>
            <w:tcW w:w="2475" w:type="dxa"/>
            <w:tcBorders>
              <w:top w:val="single" w:sz="4" w:space="0" w:color="365F91"/>
              <w:left w:val="nil"/>
              <w:bottom w:val="single" w:sz="4" w:space="0" w:color="365F91"/>
              <w:right w:val="nil"/>
            </w:tcBorders>
            <w:hideMark/>
          </w:tcPr>
          <w:p w14:paraId="2005E6C9" w14:textId="77777777" w:rsidR="00524720" w:rsidRPr="00D9348B" w:rsidRDefault="00524720">
            <w:pPr>
              <w:pStyle w:val="TableText"/>
              <w:keepNext/>
              <w:spacing w:before="50" w:after="50"/>
              <w:jc w:val="center"/>
            </w:pPr>
            <w:r w:rsidRPr="00D9348B">
              <w:t>1,333.8</w:t>
            </w:r>
          </w:p>
        </w:tc>
        <w:tc>
          <w:tcPr>
            <w:tcW w:w="2475" w:type="dxa"/>
            <w:tcBorders>
              <w:top w:val="single" w:sz="4" w:space="0" w:color="365F91"/>
              <w:left w:val="nil"/>
              <w:bottom w:val="single" w:sz="4" w:space="0" w:color="365F91"/>
              <w:right w:val="nil"/>
            </w:tcBorders>
            <w:hideMark/>
          </w:tcPr>
          <w:p w14:paraId="1D73703C" w14:textId="77777777" w:rsidR="00524720" w:rsidRPr="00D9348B" w:rsidRDefault="00524720">
            <w:pPr>
              <w:pStyle w:val="TableText"/>
              <w:keepNext/>
              <w:spacing w:before="50" w:after="50"/>
              <w:jc w:val="center"/>
            </w:pPr>
            <w:r w:rsidRPr="00D9348B">
              <w:t>2,161.5</w:t>
            </w:r>
          </w:p>
        </w:tc>
        <w:tc>
          <w:tcPr>
            <w:tcW w:w="2477" w:type="dxa"/>
            <w:tcBorders>
              <w:top w:val="single" w:sz="4" w:space="0" w:color="365F91"/>
              <w:left w:val="nil"/>
              <w:bottom w:val="single" w:sz="4" w:space="0" w:color="365F91"/>
              <w:right w:val="nil"/>
            </w:tcBorders>
            <w:hideMark/>
          </w:tcPr>
          <w:p w14:paraId="70A55EA6" w14:textId="77777777" w:rsidR="00524720" w:rsidRPr="00D9348B" w:rsidRDefault="00524720">
            <w:pPr>
              <w:pStyle w:val="TableText"/>
              <w:keepNext/>
              <w:spacing w:before="50" w:after="50"/>
              <w:jc w:val="center"/>
            </w:pPr>
            <w:r w:rsidRPr="00D9348B">
              <w:t>3,495.4</w:t>
            </w:r>
          </w:p>
        </w:tc>
      </w:tr>
      <w:tr w:rsidR="00524720" w:rsidRPr="00D9348B" w14:paraId="0F2AFA0C" w14:textId="77777777" w:rsidTr="009F6E65">
        <w:tc>
          <w:tcPr>
            <w:tcW w:w="1078" w:type="dxa"/>
            <w:tcBorders>
              <w:top w:val="single" w:sz="4" w:space="0" w:color="365F91"/>
              <w:left w:val="nil"/>
              <w:bottom w:val="single" w:sz="4" w:space="0" w:color="365F91"/>
              <w:right w:val="nil"/>
            </w:tcBorders>
            <w:hideMark/>
          </w:tcPr>
          <w:p w14:paraId="3E1820BD" w14:textId="77777777" w:rsidR="00524720" w:rsidRPr="00D9348B" w:rsidRDefault="00524720">
            <w:pPr>
              <w:pStyle w:val="TableTextBold"/>
              <w:spacing w:before="50" w:after="50"/>
              <w:rPr>
                <w:noProof w:val="0"/>
              </w:rPr>
            </w:pPr>
            <w:r w:rsidRPr="00D9348B">
              <w:rPr>
                <w:noProof w:val="0"/>
              </w:rPr>
              <w:t>1982</w:t>
            </w:r>
          </w:p>
        </w:tc>
        <w:tc>
          <w:tcPr>
            <w:tcW w:w="2475" w:type="dxa"/>
            <w:tcBorders>
              <w:top w:val="single" w:sz="4" w:space="0" w:color="365F91"/>
              <w:left w:val="nil"/>
              <w:bottom w:val="single" w:sz="4" w:space="0" w:color="365F91"/>
              <w:right w:val="nil"/>
            </w:tcBorders>
            <w:hideMark/>
          </w:tcPr>
          <w:p w14:paraId="3EACBABE" w14:textId="77777777" w:rsidR="00524720" w:rsidRPr="00D9348B" w:rsidRDefault="00524720">
            <w:pPr>
              <w:pStyle w:val="TableText"/>
              <w:keepNext/>
              <w:spacing w:before="50" w:after="50"/>
              <w:jc w:val="center"/>
            </w:pPr>
            <w:r w:rsidRPr="00D9348B">
              <w:t>1,359.8</w:t>
            </w:r>
          </w:p>
        </w:tc>
        <w:tc>
          <w:tcPr>
            <w:tcW w:w="2475" w:type="dxa"/>
            <w:tcBorders>
              <w:top w:val="single" w:sz="4" w:space="0" w:color="365F91"/>
              <w:left w:val="nil"/>
              <w:bottom w:val="single" w:sz="4" w:space="0" w:color="365F91"/>
              <w:right w:val="nil"/>
            </w:tcBorders>
            <w:hideMark/>
          </w:tcPr>
          <w:p w14:paraId="0384DAD3" w14:textId="77777777" w:rsidR="00524720" w:rsidRPr="00D9348B" w:rsidRDefault="00524720">
            <w:pPr>
              <w:pStyle w:val="TableText"/>
              <w:keepNext/>
              <w:spacing w:before="50" w:after="50"/>
              <w:jc w:val="center"/>
            </w:pPr>
            <w:r w:rsidRPr="00D9348B">
              <w:t>2,262.2</w:t>
            </w:r>
          </w:p>
        </w:tc>
        <w:tc>
          <w:tcPr>
            <w:tcW w:w="2477" w:type="dxa"/>
            <w:tcBorders>
              <w:top w:val="single" w:sz="4" w:space="0" w:color="365F91"/>
              <w:left w:val="nil"/>
              <w:bottom w:val="single" w:sz="4" w:space="0" w:color="365F91"/>
              <w:right w:val="nil"/>
            </w:tcBorders>
            <w:hideMark/>
          </w:tcPr>
          <w:p w14:paraId="1ACB954A" w14:textId="77777777" w:rsidR="00524720" w:rsidRPr="00D9348B" w:rsidRDefault="00524720">
            <w:pPr>
              <w:pStyle w:val="TableText"/>
              <w:keepNext/>
              <w:spacing w:before="50" w:after="50"/>
              <w:jc w:val="center"/>
            </w:pPr>
            <w:r w:rsidRPr="00D9348B">
              <w:t>3,621.9</w:t>
            </w:r>
          </w:p>
        </w:tc>
      </w:tr>
      <w:tr w:rsidR="00524720" w:rsidRPr="00D9348B" w14:paraId="1E090CBB" w14:textId="77777777" w:rsidTr="009F6E65">
        <w:tc>
          <w:tcPr>
            <w:tcW w:w="1078" w:type="dxa"/>
            <w:tcBorders>
              <w:top w:val="single" w:sz="4" w:space="0" w:color="365F91"/>
              <w:left w:val="nil"/>
              <w:bottom w:val="single" w:sz="4" w:space="0" w:color="365F91"/>
              <w:right w:val="nil"/>
            </w:tcBorders>
            <w:hideMark/>
          </w:tcPr>
          <w:p w14:paraId="7EC760BE" w14:textId="77777777" w:rsidR="00524720" w:rsidRPr="00D9348B" w:rsidRDefault="00524720">
            <w:pPr>
              <w:pStyle w:val="TableTextBold"/>
              <w:spacing w:before="50" w:after="50"/>
              <w:rPr>
                <w:noProof w:val="0"/>
              </w:rPr>
            </w:pPr>
            <w:r w:rsidRPr="00D9348B">
              <w:rPr>
                <w:noProof w:val="0"/>
              </w:rPr>
              <w:t>1983</w:t>
            </w:r>
          </w:p>
        </w:tc>
        <w:tc>
          <w:tcPr>
            <w:tcW w:w="2475" w:type="dxa"/>
            <w:tcBorders>
              <w:top w:val="single" w:sz="4" w:space="0" w:color="365F91"/>
              <w:left w:val="nil"/>
              <w:bottom w:val="single" w:sz="4" w:space="0" w:color="365F91"/>
              <w:right w:val="nil"/>
            </w:tcBorders>
            <w:hideMark/>
          </w:tcPr>
          <w:p w14:paraId="41D756AE" w14:textId="77777777" w:rsidR="00524720" w:rsidRPr="00D9348B" w:rsidRDefault="00524720">
            <w:pPr>
              <w:pStyle w:val="TableText"/>
              <w:keepNext/>
              <w:spacing w:before="50" w:after="50"/>
              <w:jc w:val="center"/>
            </w:pPr>
            <w:r w:rsidRPr="00D9348B">
              <w:t>1,393.2</w:t>
            </w:r>
          </w:p>
        </w:tc>
        <w:tc>
          <w:tcPr>
            <w:tcW w:w="2475" w:type="dxa"/>
            <w:tcBorders>
              <w:top w:val="single" w:sz="4" w:space="0" w:color="365F91"/>
              <w:left w:val="nil"/>
              <w:bottom w:val="single" w:sz="4" w:space="0" w:color="365F91"/>
              <w:right w:val="nil"/>
            </w:tcBorders>
            <w:hideMark/>
          </w:tcPr>
          <w:p w14:paraId="7D251C36" w14:textId="77777777" w:rsidR="00524720" w:rsidRPr="00D9348B" w:rsidRDefault="00524720">
            <w:pPr>
              <w:pStyle w:val="TableText"/>
              <w:keepNext/>
              <w:spacing w:before="50" w:after="50"/>
              <w:jc w:val="center"/>
            </w:pPr>
            <w:r w:rsidRPr="00D9348B">
              <w:t>2,283.2</w:t>
            </w:r>
          </w:p>
        </w:tc>
        <w:tc>
          <w:tcPr>
            <w:tcW w:w="2477" w:type="dxa"/>
            <w:tcBorders>
              <w:top w:val="single" w:sz="4" w:space="0" w:color="365F91"/>
              <w:left w:val="nil"/>
              <w:bottom w:val="single" w:sz="4" w:space="0" w:color="365F91"/>
              <w:right w:val="nil"/>
            </w:tcBorders>
            <w:hideMark/>
          </w:tcPr>
          <w:p w14:paraId="13B83D01" w14:textId="77777777" w:rsidR="00524720" w:rsidRPr="00D9348B" w:rsidRDefault="00524720">
            <w:pPr>
              <w:pStyle w:val="TableText"/>
              <w:keepNext/>
              <w:spacing w:before="50" w:after="50"/>
              <w:jc w:val="center"/>
            </w:pPr>
            <w:r w:rsidRPr="00D9348B">
              <w:t>3,676.4</w:t>
            </w:r>
          </w:p>
        </w:tc>
      </w:tr>
      <w:tr w:rsidR="00524720" w:rsidRPr="00D9348B" w14:paraId="23A5F9B3" w14:textId="77777777" w:rsidTr="009F6E65">
        <w:tc>
          <w:tcPr>
            <w:tcW w:w="1078" w:type="dxa"/>
            <w:tcBorders>
              <w:top w:val="single" w:sz="4" w:space="0" w:color="365F91"/>
              <w:left w:val="nil"/>
              <w:bottom w:val="single" w:sz="4" w:space="0" w:color="365F91"/>
              <w:right w:val="nil"/>
            </w:tcBorders>
            <w:hideMark/>
          </w:tcPr>
          <w:p w14:paraId="5C3A32B4" w14:textId="77777777" w:rsidR="00524720" w:rsidRPr="00D9348B" w:rsidRDefault="00524720">
            <w:pPr>
              <w:pStyle w:val="TableTextBold"/>
              <w:spacing w:before="50" w:after="50"/>
              <w:rPr>
                <w:noProof w:val="0"/>
              </w:rPr>
            </w:pPr>
            <w:r w:rsidRPr="00D9348B">
              <w:rPr>
                <w:noProof w:val="0"/>
              </w:rPr>
              <w:t>1984</w:t>
            </w:r>
          </w:p>
        </w:tc>
        <w:tc>
          <w:tcPr>
            <w:tcW w:w="2475" w:type="dxa"/>
            <w:tcBorders>
              <w:top w:val="single" w:sz="4" w:space="0" w:color="365F91"/>
              <w:left w:val="nil"/>
              <w:bottom w:val="single" w:sz="4" w:space="0" w:color="365F91"/>
              <w:right w:val="nil"/>
            </w:tcBorders>
            <w:hideMark/>
          </w:tcPr>
          <w:p w14:paraId="3FB81C40" w14:textId="77777777" w:rsidR="00524720" w:rsidRPr="00D9348B" w:rsidRDefault="00524720">
            <w:pPr>
              <w:pStyle w:val="TableText"/>
              <w:keepNext/>
              <w:spacing w:before="50" w:after="50"/>
              <w:jc w:val="center"/>
            </w:pPr>
            <w:r w:rsidRPr="00D9348B">
              <w:t>1,409.6</w:t>
            </w:r>
          </w:p>
        </w:tc>
        <w:tc>
          <w:tcPr>
            <w:tcW w:w="2475" w:type="dxa"/>
            <w:tcBorders>
              <w:top w:val="single" w:sz="4" w:space="0" w:color="365F91"/>
              <w:left w:val="nil"/>
              <w:bottom w:val="single" w:sz="4" w:space="0" w:color="365F91"/>
              <w:right w:val="nil"/>
            </w:tcBorders>
            <w:hideMark/>
          </w:tcPr>
          <w:p w14:paraId="15209C91" w14:textId="77777777" w:rsidR="00524720" w:rsidRPr="00D9348B" w:rsidRDefault="00524720">
            <w:pPr>
              <w:pStyle w:val="TableText"/>
              <w:keepNext/>
              <w:spacing w:before="50" w:after="50"/>
              <w:jc w:val="center"/>
            </w:pPr>
            <w:r w:rsidRPr="00D9348B">
              <w:t>2,362.9</w:t>
            </w:r>
          </w:p>
        </w:tc>
        <w:tc>
          <w:tcPr>
            <w:tcW w:w="2477" w:type="dxa"/>
            <w:tcBorders>
              <w:top w:val="single" w:sz="4" w:space="0" w:color="365F91"/>
              <w:left w:val="nil"/>
              <w:bottom w:val="single" w:sz="4" w:space="0" w:color="365F91"/>
              <w:right w:val="nil"/>
            </w:tcBorders>
            <w:hideMark/>
          </w:tcPr>
          <w:p w14:paraId="1F232DEF" w14:textId="77777777" w:rsidR="00524720" w:rsidRPr="00D9348B" w:rsidRDefault="00524720">
            <w:pPr>
              <w:pStyle w:val="TableText"/>
              <w:keepNext/>
              <w:spacing w:before="50" w:after="50"/>
              <w:jc w:val="center"/>
            </w:pPr>
            <w:r w:rsidRPr="00D9348B">
              <w:t>3,772.5</w:t>
            </w:r>
          </w:p>
        </w:tc>
      </w:tr>
      <w:tr w:rsidR="00524720" w:rsidRPr="00D9348B" w14:paraId="53296ED5" w14:textId="77777777" w:rsidTr="009F6E65">
        <w:tc>
          <w:tcPr>
            <w:tcW w:w="1078" w:type="dxa"/>
            <w:tcBorders>
              <w:top w:val="single" w:sz="4" w:space="0" w:color="365F91"/>
              <w:left w:val="nil"/>
              <w:bottom w:val="single" w:sz="4" w:space="0" w:color="365F91"/>
              <w:right w:val="nil"/>
            </w:tcBorders>
            <w:hideMark/>
          </w:tcPr>
          <w:p w14:paraId="316913A2" w14:textId="77777777" w:rsidR="00524720" w:rsidRPr="00D9348B" w:rsidRDefault="00524720">
            <w:pPr>
              <w:pStyle w:val="TableTextBold"/>
              <w:spacing w:before="50" w:after="50"/>
              <w:rPr>
                <w:noProof w:val="0"/>
              </w:rPr>
            </w:pPr>
            <w:r w:rsidRPr="00D9348B">
              <w:rPr>
                <w:noProof w:val="0"/>
              </w:rPr>
              <w:t>1985</w:t>
            </w:r>
          </w:p>
        </w:tc>
        <w:tc>
          <w:tcPr>
            <w:tcW w:w="2475" w:type="dxa"/>
            <w:tcBorders>
              <w:top w:val="single" w:sz="4" w:space="0" w:color="365F91"/>
              <w:left w:val="nil"/>
              <w:bottom w:val="single" w:sz="4" w:space="0" w:color="365F91"/>
              <w:right w:val="nil"/>
            </w:tcBorders>
            <w:hideMark/>
          </w:tcPr>
          <w:p w14:paraId="2722EBE5" w14:textId="77777777" w:rsidR="00524720" w:rsidRPr="00D9348B" w:rsidRDefault="00524720">
            <w:pPr>
              <w:pStyle w:val="TableText"/>
              <w:keepNext/>
              <w:spacing w:before="50" w:after="50"/>
              <w:jc w:val="center"/>
            </w:pPr>
            <w:r w:rsidRPr="00D9348B">
              <w:t>1,449.6</w:t>
            </w:r>
          </w:p>
        </w:tc>
        <w:tc>
          <w:tcPr>
            <w:tcW w:w="2475" w:type="dxa"/>
            <w:tcBorders>
              <w:top w:val="single" w:sz="4" w:space="0" w:color="365F91"/>
              <w:left w:val="nil"/>
              <w:bottom w:val="single" w:sz="4" w:space="0" w:color="365F91"/>
              <w:right w:val="nil"/>
            </w:tcBorders>
            <w:hideMark/>
          </w:tcPr>
          <w:p w14:paraId="01C072F5" w14:textId="77777777" w:rsidR="00524720" w:rsidRPr="00D9348B" w:rsidRDefault="00524720">
            <w:pPr>
              <w:pStyle w:val="TableText"/>
              <w:keepNext/>
              <w:spacing w:before="50" w:after="50"/>
              <w:jc w:val="center"/>
            </w:pPr>
            <w:r w:rsidRPr="00D9348B">
              <w:t>2,476.2</w:t>
            </w:r>
          </w:p>
        </w:tc>
        <w:tc>
          <w:tcPr>
            <w:tcW w:w="2477" w:type="dxa"/>
            <w:tcBorders>
              <w:top w:val="single" w:sz="4" w:space="0" w:color="365F91"/>
              <w:left w:val="nil"/>
              <w:bottom w:val="single" w:sz="4" w:space="0" w:color="365F91"/>
              <w:right w:val="nil"/>
            </w:tcBorders>
            <w:hideMark/>
          </w:tcPr>
          <w:p w14:paraId="4F06CE69" w14:textId="77777777" w:rsidR="00524720" w:rsidRPr="00D9348B" w:rsidRDefault="00524720">
            <w:pPr>
              <w:pStyle w:val="TableText"/>
              <w:keepNext/>
              <w:spacing w:before="50" w:after="50"/>
              <w:jc w:val="center"/>
            </w:pPr>
            <w:r w:rsidRPr="00D9348B">
              <w:t>3,925.8</w:t>
            </w:r>
          </w:p>
        </w:tc>
      </w:tr>
      <w:tr w:rsidR="00524720" w:rsidRPr="00D9348B" w14:paraId="35E705CF" w14:textId="77777777" w:rsidTr="009F6E65">
        <w:tc>
          <w:tcPr>
            <w:tcW w:w="1078" w:type="dxa"/>
            <w:tcBorders>
              <w:top w:val="single" w:sz="4" w:space="0" w:color="365F91"/>
              <w:left w:val="nil"/>
              <w:bottom w:val="single" w:sz="4" w:space="0" w:color="365F91"/>
              <w:right w:val="nil"/>
            </w:tcBorders>
            <w:hideMark/>
          </w:tcPr>
          <w:p w14:paraId="778DC64E" w14:textId="77777777" w:rsidR="00524720" w:rsidRPr="00D9348B" w:rsidRDefault="00524720">
            <w:pPr>
              <w:pStyle w:val="TableTextBold"/>
              <w:spacing w:before="50" w:after="50"/>
              <w:rPr>
                <w:noProof w:val="0"/>
              </w:rPr>
            </w:pPr>
            <w:r w:rsidRPr="00D9348B">
              <w:rPr>
                <w:noProof w:val="0"/>
              </w:rPr>
              <w:t>1986</w:t>
            </w:r>
          </w:p>
        </w:tc>
        <w:tc>
          <w:tcPr>
            <w:tcW w:w="2475" w:type="dxa"/>
            <w:tcBorders>
              <w:top w:val="single" w:sz="4" w:space="0" w:color="365F91"/>
              <w:left w:val="nil"/>
              <w:bottom w:val="single" w:sz="4" w:space="0" w:color="365F91"/>
              <w:right w:val="nil"/>
            </w:tcBorders>
            <w:hideMark/>
          </w:tcPr>
          <w:p w14:paraId="14FD91E1" w14:textId="77777777" w:rsidR="00524720" w:rsidRPr="00D9348B" w:rsidRDefault="00524720">
            <w:pPr>
              <w:pStyle w:val="TableText"/>
              <w:keepNext/>
              <w:spacing w:before="50" w:after="50"/>
              <w:jc w:val="center"/>
            </w:pPr>
            <w:r w:rsidRPr="00D9348B">
              <w:t>1,468.3</w:t>
            </w:r>
          </w:p>
        </w:tc>
        <w:tc>
          <w:tcPr>
            <w:tcW w:w="2475" w:type="dxa"/>
            <w:tcBorders>
              <w:top w:val="single" w:sz="4" w:space="0" w:color="365F91"/>
              <w:left w:val="nil"/>
              <w:bottom w:val="single" w:sz="4" w:space="0" w:color="365F91"/>
              <w:right w:val="nil"/>
            </w:tcBorders>
            <w:hideMark/>
          </w:tcPr>
          <w:p w14:paraId="5ED21BCF" w14:textId="77777777" w:rsidR="00524720" w:rsidRPr="00D9348B" w:rsidRDefault="00524720">
            <w:pPr>
              <w:pStyle w:val="TableText"/>
              <w:keepNext/>
              <w:spacing w:before="50" w:after="50"/>
              <w:jc w:val="center"/>
            </w:pPr>
            <w:r w:rsidRPr="00D9348B">
              <w:t>2,516.2</w:t>
            </w:r>
          </w:p>
        </w:tc>
        <w:tc>
          <w:tcPr>
            <w:tcW w:w="2477" w:type="dxa"/>
            <w:tcBorders>
              <w:top w:val="single" w:sz="4" w:space="0" w:color="365F91"/>
              <w:left w:val="nil"/>
              <w:bottom w:val="single" w:sz="4" w:space="0" w:color="365F91"/>
              <w:right w:val="nil"/>
            </w:tcBorders>
            <w:hideMark/>
          </w:tcPr>
          <w:p w14:paraId="3D81C172" w14:textId="77777777" w:rsidR="00524720" w:rsidRPr="00D9348B" w:rsidRDefault="00524720">
            <w:pPr>
              <w:pStyle w:val="TableText"/>
              <w:keepNext/>
              <w:spacing w:before="50" w:after="50"/>
              <w:jc w:val="center"/>
            </w:pPr>
            <w:r w:rsidRPr="00D9348B">
              <w:t>3,984.4</w:t>
            </w:r>
          </w:p>
        </w:tc>
      </w:tr>
      <w:tr w:rsidR="00524720" w:rsidRPr="00D9348B" w14:paraId="625BF944" w14:textId="77777777" w:rsidTr="009F6E65">
        <w:tc>
          <w:tcPr>
            <w:tcW w:w="1078" w:type="dxa"/>
            <w:tcBorders>
              <w:top w:val="single" w:sz="4" w:space="0" w:color="365F91"/>
              <w:left w:val="nil"/>
              <w:bottom w:val="single" w:sz="4" w:space="0" w:color="365F91"/>
              <w:right w:val="nil"/>
            </w:tcBorders>
            <w:hideMark/>
          </w:tcPr>
          <w:p w14:paraId="7AD6B667" w14:textId="77777777" w:rsidR="00524720" w:rsidRPr="00D9348B" w:rsidRDefault="00524720">
            <w:pPr>
              <w:pStyle w:val="TableTextBold"/>
              <w:spacing w:before="50" w:after="50"/>
              <w:rPr>
                <w:noProof w:val="0"/>
              </w:rPr>
            </w:pPr>
            <w:r w:rsidRPr="00D9348B">
              <w:rPr>
                <w:noProof w:val="0"/>
              </w:rPr>
              <w:t>1987</w:t>
            </w:r>
          </w:p>
        </w:tc>
        <w:tc>
          <w:tcPr>
            <w:tcW w:w="2475" w:type="dxa"/>
            <w:tcBorders>
              <w:top w:val="single" w:sz="4" w:space="0" w:color="365F91"/>
              <w:left w:val="nil"/>
              <w:bottom w:val="single" w:sz="4" w:space="0" w:color="365F91"/>
              <w:right w:val="nil"/>
            </w:tcBorders>
            <w:hideMark/>
          </w:tcPr>
          <w:p w14:paraId="1A209651" w14:textId="77777777" w:rsidR="00524720" w:rsidRPr="00D9348B" w:rsidRDefault="00524720">
            <w:pPr>
              <w:pStyle w:val="TableText"/>
              <w:keepNext/>
              <w:spacing w:before="50" w:after="50"/>
              <w:jc w:val="center"/>
            </w:pPr>
            <w:r w:rsidRPr="00D9348B">
              <w:t>1,486.1</w:t>
            </w:r>
          </w:p>
        </w:tc>
        <w:tc>
          <w:tcPr>
            <w:tcW w:w="2475" w:type="dxa"/>
            <w:tcBorders>
              <w:top w:val="single" w:sz="4" w:space="0" w:color="365F91"/>
              <w:left w:val="nil"/>
              <w:bottom w:val="single" w:sz="4" w:space="0" w:color="365F91"/>
              <w:right w:val="nil"/>
            </w:tcBorders>
            <w:hideMark/>
          </w:tcPr>
          <w:p w14:paraId="6F334F81" w14:textId="77777777" w:rsidR="00524720" w:rsidRPr="00D9348B" w:rsidRDefault="00524720">
            <w:pPr>
              <w:pStyle w:val="TableText"/>
              <w:keepNext/>
              <w:spacing w:before="50" w:after="50"/>
              <w:jc w:val="center"/>
            </w:pPr>
            <w:r w:rsidRPr="00D9348B">
              <w:t>2,584.3</w:t>
            </w:r>
          </w:p>
        </w:tc>
        <w:tc>
          <w:tcPr>
            <w:tcW w:w="2477" w:type="dxa"/>
            <w:tcBorders>
              <w:top w:val="single" w:sz="4" w:space="0" w:color="365F91"/>
              <w:left w:val="nil"/>
              <w:bottom w:val="single" w:sz="4" w:space="0" w:color="365F91"/>
              <w:right w:val="nil"/>
            </w:tcBorders>
            <w:hideMark/>
          </w:tcPr>
          <w:p w14:paraId="1E7DFCE7" w14:textId="77777777" w:rsidR="00524720" w:rsidRPr="00D9348B" w:rsidRDefault="00524720">
            <w:pPr>
              <w:pStyle w:val="TableText"/>
              <w:keepNext/>
              <w:spacing w:before="50" w:after="50"/>
              <w:jc w:val="center"/>
            </w:pPr>
            <w:r w:rsidRPr="00D9348B">
              <w:t>4,070.4</w:t>
            </w:r>
          </w:p>
        </w:tc>
      </w:tr>
      <w:tr w:rsidR="00524720" w:rsidRPr="00D9348B" w14:paraId="2583BA99" w14:textId="77777777" w:rsidTr="009F6E65">
        <w:tc>
          <w:tcPr>
            <w:tcW w:w="1078" w:type="dxa"/>
            <w:tcBorders>
              <w:top w:val="single" w:sz="4" w:space="0" w:color="365F91"/>
              <w:left w:val="nil"/>
              <w:bottom w:val="single" w:sz="4" w:space="0" w:color="365F91"/>
              <w:right w:val="nil"/>
            </w:tcBorders>
            <w:hideMark/>
          </w:tcPr>
          <w:p w14:paraId="7D768D40" w14:textId="77777777" w:rsidR="00524720" w:rsidRPr="00D9348B" w:rsidRDefault="00524720">
            <w:pPr>
              <w:pStyle w:val="TableTextBold"/>
              <w:spacing w:before="50" w:after="50"/>
              <w:rPr>
                <w:noProof w:val="0"/>
              </w:rPr>
            </w:pPr>
            <w:r w:rsidRPr="00D9348B">
              <w:rPr>
                <w:noProof w:val="0"/>
              </w:rPr>
              <w:t>1988</w:t>
            </w:r>
          </w:p>
        </w:tc>
        <w:tc>
          <w:tcPr>
            <w:tcW w:w="2475" w:type="dxa"/>
            <w:tcBorders>
              <w:top w:val="single" w:sz="4" w:space="0" w:color="365F91"/>
              <w:left w:val="nil"/>
              <w:bottom w:val="single" w:sz="4" w:space="0" w:color="365F91"/>
              <w:right w:val="nil"/>
            </w:tcBorders>
            <w:hideMark/>
          </w:tcPr>
          <w:p w14:paraId="4815D180" w14:textId="77777777" w:rsidR="00524720" w:rsidRPr="00D9348B" w:rsidRDefault="00524720">
            <w:pPr>
              <w:pStyle w:val="TableText"/>
              <w:keepNext/>
              <w:spacing w:before="50" w:after="50"/>
              <w:jc w:val="center"/>
            </w:pPr>
            <w:r w:rsidRPr="00D9348B">
              <w:t>1,509.5</w:t>
            </w:r>
          </w:p>
        </w:tc>
        <w:tc>
          <w:tcPr>
            <w:tcW w:w="2475" w:type="dxa"/>
            <w:tcBorders>
              <w:top w:val="single" w:sz="4" w:space="0" w:color="365F91"/>
              <w:left w:val="nil"/>
              <w:bottom w:val="single" w:sz="4" w:space="0" w:color="365F91"/>
              <w:right w:val="nil"/>
            </w:tcBorders>
            <w:hideMark/>
          </w:tcPr>
          <w:p w14:paraId="08130215" w14:textId="77777777" w:rsidR="00524720" w:rsidRPr="00D9348B" w:rsidRDefault="00524720">
            <w:pPr>
              <w:pStyle w:val="TableText"/>
              <w:keepNext/>
              <w:spacing w:before="50" w:after="50"/>
              <w:jc w:val="center"/>
            </w:pPr>
            <w:r w:rsidRPr="00D9348B">
              <w:t>2,609.3</w:t>
            </w:r>
          </w:p>
        </w:tc>
        <w:tc>
          <w:tcPr>
            <w:tcW w:w="2477" w:type="dxa"/>
            <w:tcBorders>
              <w:top w:val="single" w:sz="4" w:space="0" w:color="365F91"/>
              <w:left w:val="nil"/>
              <w:bottom w:val="single" w:sz="4" w:space="0" w:color="365F91"/>
              <w:right w:val="nil"/>
            </w:tcBorders>
            <w:hideMark/>
          </w:tcPr>
          <w:p w14:paraId="5C43864A" w14:textId="77777777" w:rsidR="00524720" w:rsidRPr="00D9348B" w:rsidRDefault="00524720">
            <w:pPr>
              <w:pStyle w:val="TableText"/>
              <w:keepNext/>
              <w:spacing w:before="50" w:after="50"/>
              <w:jc w:val="center"/>
            </w:pPr>
            <w:r w:rsidRPr="00D9348B">
              <w:t>4,118.8</w:t>
            </w:r>
          </w:p>
        </w:tc>
      </w:tr>
      <w:tr w:rsidR="00524720" w:rsidRPr="00D9348B" w14:paraId="501CFB78" w14:textId="77777777" w:rsidTr="009F6E65">
        <w:tc>
          <w:tcPr>
            <w:tcW w:w="1078" w:type="dxa"/>
            <w:tcBorders>
              <w:top w:val="single" w:sz="4" w:space="0" w:color="365F91"/>
              <w:left w:val="nil"/>
              <w:bottom w:val="single" w:sz="4" w:space="0" w:color="365F91"/>
              <w:right w:val="nil"/>
            </w:tcBorders>
            <w:hideMark/>
          </w:tcPr>
          <w:p w14:paraId="499A40C5" w14:textId="77777777" w:rsidR="00524720" w:rsidRPr="00D9348B" w:rsidRDefault="00524720">
            <w:pPr>
              <w:pStyle w:val="TableTextBold"/>
              <w:spacing w:before="50" w:after="50"/>
              <w:rPr>
                <w:noProof w:val="0"/>
              </w:rPr>
            </w:pPr>
            <w:r w:rsidRPr="00D9348B">
              <w:rPr>
                <w:noProof w:val="0"/>
              </w:rPr>
              <w:t>1989</w:t>
            </w:r>
          </w:p>
        </w:tc>
        <w:tc>
          <w:tcPr>
            <w:tcW w:w="2475" w:type="dxa"/>
            <w:tcBorders>
              <w:top w:val="single" w:sz="4" w:space="0" w:color="365F91"/>
              <w:left w:val="nil"/>
              <w:bottom w:val="single" w:sz="4" w:space="0" w:color="365F91"/>
              <w:right w:val="nil"/>
            </w:tcBorders>
            <w:hideMark/>
          </w:tcPr>
          <w:p w14:paraId="3DB3A074" w14:textId="77777777" w:rsidR="00524720" w:rsidRPr="00D9348B" w:rsidRDefault="00524720">
            <w:pPr>
              <w:pStyle w:val="TableText"/>
              <w:keepNext/>
              <w:spacing w:before="50" w:after="50"/>
              <w:jc w:val="center"/>
            </w:pPr>
            <w:r w:rsidRPr="00D9348B">
              <w:t>1,520.9</w:t>
            </w:r>
          </w:p>
        </w:tc>
        <w:tc>
          <w:tcPr>
            <w:tcW w:w="2475" w:type="dxa"/>
            <w:tcBorders>
              <w:top w:val="single" w:sz="4" w:space="0" w:color="365F91"/>
              <w:left w:val="nil"/>
              <w:bottom w:val="single" w:sz="4" w:space="0" w:color="365F91"/>
              <w:right w:val="nil"/>
            </w:tcBorders>
            <w:hideMark/>
          </w:tcPr>
          <w:p w14:paraId="2F1F68A5" w14:textId="77777777" w:rsidR="00524720" w:rsidRPr="00D9348B" w:rsidRDefault="00524720">
            <w:pPr>
              <w:pStyle w:val="TableText"/>
              <w:keepNext/>
              <w:spacing w:before="50" w:after="50"/>
              <w:jc w:val="center"/>
            </w:pPr>
            <w:r w:rsidRPr="00D9348B">
              <w:t>2,600.1</w:t>
            </w:r>
          </w:p>
        </w:tc>
        <w:tc>
          <w:tcPr>
            <w:tcW w:w="2477" w:type="dxa"/>
            <w:tcBorders>
              <w:top w:val="single" w:sz="4" w:space="0" w:color="365F91"/>
              <w:left w:val="nil"/>
              <w:bottom w:val="single" w:sz="4" w:space="0" w:color="365F91"/>
              <w:right w:val="nil"/>
            </w:tcBorders>
            <w:hideMark/>
          </w:tcPr>
          <w:p w14:paraId="62FE47FF" w14:textId="77777777" w:rsidR="00524720" w:rsidRPr="00D9348B" w:rsidRDefault="00524720">
            <w:pPr>
              <w:pStyle w:val="TableText"/>
              <w:keepNext/>
              <w:spacing w:before="50" w:after="50"/>
              <w:jc w:val="center"/>
            </w:pPr>
            <w:r w:rsidRPr="00D9348B">
              <w:t>4,121.0</w:t>
            </w:r>
          </w:p>
        </w:tc>
      </w:tr>
      <w:tr w:rsidR="00524720" w:rsidRPr="00D9348B" w14:paraId="2630CE4D" w14:textId="77777777" w:rsidTr="009F6E65">
        <w:tc>
          <w:tcPr>
            <w:tcW w:w="1078" w:type="dxa"/>
            <w:tcBorders>
              <w:top w:val="single" w:sz="4" w:space="0" w:color="365F91"/>
              <w:left w:val="nil"/>
              <w:bottom w:val="single" w:sz="4" w:space="0" w:color="365F91"/>
              <w:right w:val="nil"/>
            </w:tcBorders>
            <w:hideMark/>
          </w:tcPr>
          <w:p w14:paraId="02E811C6" w14:textId="77777777" w:rsidR="00524720" w:rsidRPr="00D9348B" w:rsidRDefault="00524720">
            <w:pPr>
              <w:pStyle w:val="TableTextBold"/>
              <w:spacing w:before="50" w:after="50"/>
              <w:rPr>
                <w:noProof w:val="0"/>
              </w:rPr>
            </w:pPr>
            <w:r w:rsidRPr="00D9348B">
              <w:rPr>
                <w:noProof w:val="0"/>
              </w:rPr>
              <w:t>1990</w:t>
            </w:r>
          </w:p>
        </w:tc>
        <w:tc>
          <w:tcPr>
            <w:tcW w:w="2475" w:type="dxa"/>
            <w:tcBorders>
              <w:top w:val="single" w:sz="4" w:space="0" w:color="365F91"/>
              <w:left w:val="nil"/>
              <w:bottom w:val="single" w:sz="4" w:space="0" w:color="365F91"/>
              <w:right w:val="nil"/>
            </w:tcBorders>
            <w:hideMark/>
          </w:tcPr>
          <w:p w14:paraId="1BFE90FB" w14:textId="77777777" w:rsidR="00524720" w:rsidRPr="00D9348B" w:rsidRDefault="00524720">
            <w:pPr>
              <w:pStyle w:val="TableText"/>
              <w:keepNext/>
              <w:spacing w:before="50" w:after="50"/>
              <w:jc w:val="center"/>
              <w:rPr>
                <w:rFonts w:cs="Arial"/>
                <w:szCs w:val="16"/>
              </w:rPr>
            </w:pPr>
            <w:r w:rsidRPr="00D9348B">
              <w:t>1,502.7</w:t>
            </w:r>
          </w:p>
        </w:tc>
        <w:tc>
          <w:tcPr>
            <w:tcW w:w="2475" w:type="dxa"/>
            <w:tcBorders>
              <w:top w:val="single" w:sz="4" w:space="0" w:color="365F91"/>
              <w:left w:val="nil"/>
              <w:bottom w:val="single" w:sz="4" w:space="0" w:color="365F91"/>
              <w:right w:val="nil"/>
            </w:tcBorders>
            <w:hideMark/>
          </w:tcPr>
          <w:p w14:paraId="100C9B92" w14:textId="77777777" w:rsidR="00524720" w:rsidRPr="00D9348B" w:rsidRDefault="00524720">
            <w:pPr>
              <w:pStyle w:val="TableText"/>
              <w:keepNext/>
              <w:spacing w:before="50" w:after="50"/>
              <w:jc w:val="center"/>
              <w:rPr>
                <w:rFonts w:cs="Arial"/>
                <w:szCs w:val="16"/>
              </w:rPr>
            </w:pPr>
            <w:r w:rsidRPr="00D9348B">
              <w:t>2,604.3</w:t>
            </w:r>
          </w:p>
        </w:tc>
        <w:tc>
          <w:tcPr>
            <w:tcW w:w="2477" w:type="dxa"/>
            <w:tcBorders>
              <w:top w:val="single" w:sz="4" w:space="0" w:color="365F91"/>
              <w:left w:val="nil"/>
              <w:bottom w:val="single" w:sz="4" w:space="0" w:color="365F91"/>
              <w:right w:val="nil"/>
            </w:tcBorders>
            <w:hideMark/>
          </w:tcPr>
          <w:p w14:paraId="4EB8E4DD" w14:textId="77777777" w:rsidR="00524720" w:rsidRPr="00D9348B" w:rsidRDefault="00524720">
            <w:pPr>
              <w:pStyle w:val="TableText"/>
              <w:keepNext/>
              <w:spacing w:before="50" w:after="50"/>
              <w:jc w:val="center"/>
              <w:rPr>
                <w:rFonts w:cs="Arial"/>
                <w:szCs w:val="16"/>
              </w:rPr>
            </w:pPr>
            <w:r w:rsidRPr="00D9348B">
              <w:t>4,107.0</w:t>
            </w:r>
          </w:p>
        </w:tc>
      </w:tr>
      <w:tr w:rsidR="00524720" w:rsidRPr="00D9348B" w14:paraId="1FC602EB" w14:textId="77777777" w:rsidTr="009F6E65">
        <w:tc>
          <w:tcPr>
            <w:tcW w:w="1078" w:type="dxa"/>
            <w:tcBorders>
              <w:top w:val="single" w:sz="4" w:space="0" w:color="365F91"/>
              <w:left w:val="nil"/>
              <w:bottom w:val="single" w:sz="4" w:space="0" w:color="365F91"/>
              <w:right w:val="nil"/>
            </w:tcBorders>
            <w:hideMark/>
          </w:tcPr>
          <w:p w14:paraId="3967158C" w14:textId="77777777" w:rsidR="00524720" w:rsidRPr="00D9348B" w:rsidRDefault="00524720">
            <w:pPr>
              <w:pStyle w:val="TableTextBold"/>
              <w:spacing w:before="50" w:after="50"/>
              <w:rPr>
                <w:noProof w:val="0"/>
              </w:rPr>
            </w:pPr>
            <w:r w:rsidRPr="00D9348B">
              <w:rPr>
                <w:noProof w:val="0"/>
              </w:rPr>
              <w:t>1991</w:t>
            </w:r>
          </w:p>
        </w:tc>
        <w:tc>
          <w:tcPr>
            <w:tcW w:w="2475" w:type="dxa"/>
            <w:tcBorders>
              <w:top w:val="single" w:sz="4" w:space="0" w:color="365F91"/>
              <w:left w:val="nil"/>
              <w:bottom w:val="single" w:sz="4" w:space="0" w:color="365F91"/>
              <w:right w:val="nil"/>
            </w:tcBorders>
            <w:hideMark/>
          </w:tcPr>
          <w:p w14:paraId="42B270D4" w14:textId="77777777" w:rsidR="00524720" w:rsidRPr="00D9348B" w:rsidRDefault="00524720">
            <w:pPr>
              <w:pStyle w:val="TableText"/>
              <w:spacing w:before="50" w:after="50"/>
              <w:jc w:val="center"/>
              <w:rPr>
                <w:rFonts w:cs="Arial"/>
                <w:szCs w:val="16"/>
              </w:rPr>
            </w:pPr>
            <w:r w:rsidRPr="00D9348B">
              <w:t>1,491.7</w:t>
            </w:r>
          </w:p>
        </w:tc>
        <w:tc>
          <w:tcPr>
            <w:tcW w:w="2475" w:type="dxa"/>
            <w:tcBorders>
              <w:top w:val="single" w:sz="4" w:space="0" w:color="365F91"/>
              <w:left w:val="nil"/>
              <w:bottom w:val="single" w:sz="4" w:space="0" w:color="365F91"/>
              <w:right w:val="nil"/>
            </w:tcBorders>
            <w:hideMark/>
          </w:tcPr>
          <w:p w14:paraId="529F4E1B" w14:textId="77777777" w:rsidR="00524720" w:rsidRPr="00D9348B" w:rsidRDefault="00524720">
            <w:pPr>
              <w:pStyle w:val="TableText"/>
              <w:spacing w:before="50" w:after="50"/>
              <w:jc w:val="center"/>
              <w:rPr>
                <w:rFonts w:cs="Arial"/>
                <w:szCs w:val="16"/>
              </w:rPr>
            </w:pPr>
            <w:r w:rsidRPr="00D9348B">
              <w:t>2,608.3</w:t>
            </w:r>
          </w:p>
        </w:tc>
        <w:tc>
          <w:tcPr>
            <w:tcW w:w="2477" w:type="dxa"/>
            <w:tcBorders>
              <w:top w:val="single" w:sz="4" w:space="0" w:color="365F91"/>
              <w:left w:val="nil"/>
              <w:bottom w:val="single" w:sz="4" w:space="0" w:color="365F91"/>
              <w:right w:val="nil"/>
            </w:tcBorders>
            <w:hideMark/>
          </w:tcPr>
          <w:p w14:paraId="44843A86" w14:textId="77777777" w:rsidR="00524720" w:rsidRPr="00D9348B" w:rsidRDefault="00524720">
            <w:pPr>
              <w:pStyle w:val="TableText"/>
              <w:spacing w:before="50" w:after="50"/>
              <w:jc w:val="center"/>
              <w:rPr>
                <w:rFonts w:cs="Arial"/>
                <w:szCs w:val="16"/>
              </w:rPr>
            </w:pPr>
            <w:r w:rsidRPr="00D9348B">
              <w:t>4,100.0</w:t>
            </w:r>
          </w:p>
        </w:tc>
      </w:tr>
      <w:tr w:rsidR="00524720" w:rsidRPr="00D9348B" w14:paraId="5C3A7923" w14:textId="77777777" w:rsidTr="009F6E65">
        <w:tc>
          <w:tcPr>
            <w:tcW w:w="1078" w:type="dxa"/>
            <w:tcBorders>
              <w:top w:val="single" w:sz="4" w:space="0" w:color="365F91"/>
              <w:left w:val="nil"/>
              <w:bottom w:val="single" w:sz="4" w:space="0" w:color="365F91"/>
              <w:right w:val="nil"/>
            </w:tcBorders>
            <w:hideMark/>
          </w:tcPr>
          <w:p w14:paraId="0A6ABBDA" w14:textId="77777777" w:rsidR="00524720" w:rsidRPr="00D9348B" w:rsidRDefault="00524720">
            <w:pPr>
              <w:pStyle w:val="TableTextBold"/>
              <w:spacing w:before="50" w:after="50"/>
              <w:rPr>
                <w:noProof w:val="0"/>
              </w:rPr>
            </w:pPr>
            <w:r w:rsidRPr="00D9348B">
              <w:rPr>
                <w:noProof w:val="0"/>
              </w:rPr>
              <w:t>1992</w:t>
            </w:r>
          </w:p>
        </w:tc>
        <w:tc>
          <w:tcPr>
            <w:tcW w:w="2475" w:type="dxa"/>
            <w:tcBorders>
              <w:top w:val="single" w:sz="4" w:space="0" w:color="365F91"/>
              <w:left w:val="nil"/>
              <w:bottom w:val="single" w:sz="4" w:space="0" w:color="365F91"/>
              <w:right w:val="nil"/>
            </w:tcBorders>
            <w:hideMark/>
          </w:tcPr>
          <w:p w14:paraId="3BB562CD" w14:textId="77777777" w:rsidR="00524720" w:rsidRPr="00D9348B" w:rsidRDefault="00524720">
            <w:pPr>
              <w:pStyle w:val="TableText"/>
              <w:spacing w:before="50" w:after="50"/>
              <w:jc w:val="center"/>
              <w:rPr>
                <w:rFonts w:cs="Arial"/>
                <w:szCs w:val="16"/>
              </w:rPr>
            </w:pPr>
            <w:r w:rsidRPr="00D9348B">
              <w:t>1,474.5</w:t>
            </w:r>
          </w:p>
        </w:tc>
        <w:tc>
          <w:tcPr>
            <w:tcW w:w="2475" w:type="dxa"/>
            <w:tcBorders>
              <w:top w:val="single" w:sz="4" w:space="0" w:color="365F91"/>
              <w:left w:val="nil"/>
              <w:bottom w:val="single" w:sz="4" w:space="0" w:color="365F91"/>
              <w:right w:val="nil"/>
            </w:tcBorders>
            <w:hideMark/>
          </w:tcPr>
          <w:p w14:paraId="389C2CB0" w14:textId="77777777" w:rsidR="00524720" w:rsidRPr="00D9348B" w:rsidRDefault="00524720">
            <w:pPr>
              <w:pStyle w:val="TableText"/>
              <w:spacing w:before="50" w:after="50"/>
              <w:jc w:val="center"/>
              <w:rPr>
                <w:rFonts w:cs="Arial"/>
                <w:szCs w:val="16"/>
              </w:rPr>
            </w:pPr>
            <w:r w:rsidRPr="00D9348B">
              <w:t>2,579.8</w:t>
            </w:r>
          </w:p>
        </w:tc>
        <w:tc>
          <w:tcPr>
            <w:tcW w:w="2477" w:type="dxa"/>
            <w:tcBorders>
              <w:top w:val="single" w:sz="4" w:space="0" w:color="365F91"/>
              <w:left w:val="nil"/>
              <w:bottom w:val="single" w:sz="4" w:space="0" w:color="365F91"/>
              <w:right w:val="nil"/>
            </w:tcBorders>
            <w:hideMark/>
          </w:tcPr>
          <w:p w14:paraId="5A6B2A16" w14:textId="77777777" w:rsidR="00524720" w:rsidRPr="00D9348B" w:rsidRDefault="00524720">
            <w:pPr>
              <w:pStyle w:val="TableText"/>
              <w:spacing w:before="50" w:after="50"/>
              <w:jc w:val="center"/>
              <w:rPr>
                <w:rFonts w:cs="Arial"/>
                <w:szCs w:val="16"/>
              </w:rPr>
            </w:pPr>
            <w:r w:rsidRPr="00D9348B">
              <w:t>4,054.4</w:t>
            </w:r>
          </w:p>
        </w:tc>
      </w:tr>
      <w:tr w:rsidR="00524720" w:rsidRPr="00D9348B" w14:paraId="1FBAEC0D" w14:textId="77777777" w:rsidTr="009F6E65">
        <w:tc>
          <w:tcPr>
            <w:tcW w:w="1078" w:type="dxa"/>
            <w:tcBorders>
              <w:top w:val="single" w:sz="4" w:space="0" w:color="365F91"/>
              <w:left w:val="nil"/>
              <w:bottom w:val="single" w:sz="4" w:space="0" w:color="365F91"/>
              <w:right w:val="nil"/>
            </w:tcBorders>
            <w:hideMark/>
          </w:tcPr>
          <w:p w14:paraId="4A462A2D" w14:textId="77777777" w:rsidR="00524720" w:rsidRPr="00D9348B" w:rsidRDefault="00524720">
            <w:pPr>
              <w:pStyle w:val="TableTextBold"/>
              <w:spacing w:before="50" w:after="50"/>
              <w:rPr>
                <w:noProof w:val="0"/>
              </w:rPr>
            </w:pPr>
            <w:r w:rsidRPr="00D9348B">
              <w:rPr>
                <w:noProof w:val="0"/>
              </w:rPr>
              <w:t>1993</w:t>
            </w:r>
          </w:p>
        </w:tc>
        <w:tc>
          <w:tcPr>
            <w:tcW w:w="2475" w:type="dxa"/>
            <w:tcBorders>
              <w:top w:val="single" w:sz="4" w:space="0" w:color="365F91"/>
              <w:left w:val="nil"/>
              <w:bottom w:val="single" w:sz="4" w:space="0" w:color="365F91"/>
              <w:right w:val="nil"/>
            </w:tcBorders>
            <w:hideMark/>
          </w:tcPr>
          <w:p w14:paraId="00CCE0DC" w14:textId="77777777" w:rsidR="00524720" w:rsidRPr="00D9348B" w:rsidRDefault="00524720">
            <w:pPr>
              <w:pStyle w:val="TableText"/>
              <w:spacing w:before="50" w:after="50"/>
              <w:jc w:val="center"/>
            </w:pPr>
            <w:r w:rsidRPr="00D9348B">
              <w:t>1,504.6</w:t>
            </w:r>
          </w:p>
        </w:tc>
        <w:tc>
          <w:tcPr>
            <w:tcW w:w="2475" w:type="dxa"/>
            <w:tcBorders>
              <w:top w:val="single" w:sz="4" w:space="0" w:color="365F91"/>
              <w:left w:val="nil"/>
              <w:bottom w:val="single" w:sz="4" w:space="0" w:color="365F91"/>
              <w:right w:val="nil"/>
            </w:tcBorders>
            <w:hideMark/>
          </w:tcPr>
          <w:p w14:paraId="4EDB0999" w14:textId="77777777" w:rsidR="00524720" w:rsidRPr="00D9348B" w:rsidRDefault="00524720">
            <w:pPr>
              <w:pStyle w:val="TableText"/>
              <w:spacing w:before="50" w:after="50"/>
              <w:jc w:val="center"/>
            </w:pPr>
            <w:r w:rsidRPr="00D9348B">
              <w:t>2,608.1</w:t>
            </w:r>
          </w:p>
        </w:tc>
        <w:tc>
          <w:tcPr>
            <w:tcW w:w="2477" w:type="dxa"/>
            <w:tcBorders>
              <w:top w:val="single" w:sz="4" w:space="0" w:color="365F91"/>
              <w:left w:val="nil"/>
              <w:bottom w:val="single" w:sz="4" w:space="0" w:color="365F91"/>
              <w:right w:val="nil"/>
            </w:tcBorders>
            <w:hideMark/>
          </w:tcPr>
          <w:p w14:paraId="440C1CD5" w14:textId="77777777" w:rsidR="00524720" w:rsidRPr="00D9348B" w:rsidRDefault="00524720">
            <w:pPr>
              <w:pStyle w:val="TableText"/>
              <w:spacing w:before="50" w:after="50"/>
              <w:jc w:val="center"/>
            </w:pPr>
            <w:r w:rsidRPr="00D9348B">
              <w:t>4,112.6</w:t>
            </w:r>
          </w:p>
        </w:tc>
      </w:tr>
      <w:tr w:rsidR="00524720" w:rsidRPr="00D9348B" w14:paraId="2F125D4E" w14:textId="77777777" w:rsidTr="009F6E65">
        <w:tc>
          <w:tcPr>
            <w:tcW w:w="1078" w:type="dxa"/>
            <w:tcBorders>
              <w:top w:val="single" w:sz="4" w:space="0" w:color="365F91"/>
              <w:left w:val="nil"/>
              <w:bottom w:val="single" w:sz="4" w:space="0" w:color="365F91"/>
              <w:right w:val="nil"/>
            </w:tcBorders>
            <w:hideMark/>
          </w:tcPr>
          <w:p w14:paraId="60FE6BF0" w14:textId="77777777" w:rsidR="00524720" w:rsidRPr="00D9348B" w:rsidRDefault="00524720">
            <w:pPr>
              <w:pStyle w:val="TableTextBold"/>
              <w:spacing w:before="50" w:after="50"/>
              <w:rPr>
                <w:noProof w:val="0"/>
              </w:rPr>
            </w:pPr>
            <w:r w:rsidRPr="00D9348B">
              <w:rPr>
                <w:noProof w:val="0"/>
              </w:rPr>
              <w:t>1994</w:t>
            </w:r>
          </w:p>
        </w:tc>
        <w:tc>
          <w:tcPr>
            <w:tcW w:w="2475" w:type="dxa"/>
            <w:tcBorders>
              <w:top w:val="single" w:sz="4" w:space="0" w:color="365F91"/>
              <w:left w:val="nil"/>
              <w:bottom w:val="single" w:sz="4" w:space="0" w:color="365F91"/>
              <w:right w:val="nil"/>
            </w:tcBorders>
            <w:hideMark/>
          </w:tcPr>
          <w:p w14:paraId="1B7FBF64" w14:textId="77777777" w:rsidR="00524720" w:rsidRPr="00D9348B" w:rsidRDefault="00524720">
            <w:pPr>
              <w:pStyle w:val="TableText"/>
              <w:spacing w:before="50" w:after="50"/>
              <w:jc w:val="center"/>
            </w:pPr>
            <w:r w:rsidRPr="00D9348B">
              <w:t>1,284.9</w:t>
            </w:r>
          </w:p>
        </w:tc>
        <w:tc>
          <w:tcPr>
            <w:tcW w:w="2475" w:type="dxa"/>
            <w:tcBorders>
              <w:top w:val="single" w:sz="4" w:space="0" w:color="365F91"/>
              <w:left w:val="nil"/>
              <w:bottom w:val="single" w:sz="4" w:space="0" w:color="365F91"/>
              <w:right w:val="nil"/>
            </w:tcBorders>
            <w:hideMark/>
          </w:tcPr>
          <w:p w14:paraId="0EDE13B5" w14:textId="77777777" w:rsidR="00524720" w:rsidRPr="00D9348B" w:rsidRDefault="00524720">
            <w:pPr>
              <w:pStyle w:val="TableText"/>
              <w:spacing w:before="50" w:after="50"/>
              <w:jc w:val="center"/>
            </w:pPr>
            <w:r w:rsidRPr="00D9348B">
              <w:t>2,774.8</w:t>
            </w:r>
          </w:p>
        </w:tc>
        <w:tc>
          <w:tcPr>
            <w:tcW w:w="2477" w:type="dxa"/>
            <w:tcBorders>
              <w:top w:val="single" w:sz="4" w:space="0" w:color="365F91"/>
              <w:left w:val="nil"/>
              <w:bottom w:val="single" w:sz="4" w:space="0" w:color="365F91"/>
              <w:right w:val="nil"/>
            </w:tcBorders>
            <w:hideMark/>
          </w:tcPr>
          <w:p w14:paraId="78A6B8F4" w14:textId="77777777" w:rsidR="00524720" w:rsidRPr="00D9348B" w:rsidRDefault="00524720">
            <w:pPr>
              <w:pStyle w:val="TableText"/>
              <w:spacing w:before="50" w:after="50"/>
              <w:jc w:val="center"/>
            </w:pPr>
            <w:r w:rsidRPr="00D9348B">
              <w:t>4,059.6</w:t>
            </w:r>
          </w:p>
        </w:tc>
      </w:tr>
      <w:tr w:rsidR="00524720" w:rsidRPr="00D9348B" w14:paraId="0A551CA0" w14:textId="77777777" w:rsidTr="009F6E65">
        <w:tc>
          <w:tcPr>
            <w:tcW w:w="1078" w:type="dxa"/>
            <w:tcBorders>
              <w:top w:val="single" w:sz="4" w:space="0" w:color="365F91"/>
              <w:left w:val="nil"/>
              <w:bottom w:val="single" w:sz="4" w:space="0" w:color="365F91"/>
              <w:right w:val="nil"/>
            </w:tcBorders>
            <w:hideMark/>
          </w:tcPr>
          <w:p w14:paraId="6E924C21" w14:textId="77777777" w:rsidR="00524720" w:rsidRPr="00D9348B" w:rsidRDefault="00524720">
            <w:pPr>
              <w:pStyle w:val="TableTextBold"/>
              <w:spacing w:before="50" w:after="50"/>
              <w:rPr>
                <w:noProof w:val="0"/>
              </w:rPr>
            </w:pPr>
            <w:r w:rsidRPr="00D9348B">
              <w:rPr>
                <w:noProof w:val="0"/>
              </w:rPr>
              <w:t>1995</w:t>
            </w:r>
          </w:p>
        </w:tc>
        <w:tc>
          <w:tcPr>
            <w:tcW w:w="2475" w:type="dxa"/>
            <w:tcBorders>
              <w:top w:val="single" w:sz="4" w:space="0" w:color="365F91"/>
              <w:left w:val="nil"/>
              <w:bottom w:val="single" w:sz="4" w:space="0" w:color="365F91"/>
              <w:right w:val="nil"/>
            </w:tcBorders>
            <w:hideMark/>
          </w:tcPr>
          <w:p w14:paraId="7D7F832C" w14:textId="77777777" w:rsidR="00524720" w:rsidRPr="00D9348B" w:rsidRDefault="00524720">
            <w:pPr>
              <w:pStyle w:val="TableText"/>
              <w:spacing w:before="50" w:after="50"/>
              <w:jc w:val="center"/>
            </w:pPr>
            <w:r w:rsidRPr="00D9348B">
              <w:t>1,272.4</w:t>
            </w:r>
          </w:p>
        </w:tc>
        <w:tc>
          <w:tcPr>
            <w:tcW w:w="2475" w:type="dxa"/>
            <w:tcBorders>
              <w:top w:val="single" w:sz="4" w:space="0" w:color="365F91"/>
              <w:left w:val="nil"/>
              <w:bottom w:val="single" w:sz="4" w:space="0" w:color="365F91"/>
              <w:right w:val="nil"/>
            </w:tcBorders>
            <w:hideMark/>
          </w:tcPr>
          <w:p w14:paraId="1FD8327C" w14:textId="77777777" w:rsidR="00524720" w:rsidRPr="00D9348B" w:rsidRDefault="00524720">
            <w:pPr>
              <w:pStyle w:val="TableText"/>
              <w:spacing w:before="50" w:after="50"/>
              <w:jc w:val="center"/>
            </w:pPr>
            <w:r w:rsidRPr="00D9348B">
              <w:t>2,916.8</w:t>
            </w:r>
          </w:p>
        </w:tc>
        <w:tc>
          <w:tcPr>
            <w:tcW w:w="2477" w:type="dxa"/>
            <w:tcBorders>
              <w:top w:val="single" w:sz="4" w:space="0" w:color="365F91"/>
              <w:left w:val="nil"/>
              <w:bottom w:val="single" w:sz="4" w:space="0" w:color="365F91"/>
              <w:right w:val="nil"/>
            </w:tcBorders>
            <w:hideMark/>
          </w:tcPr>
          <w:p w14:paraId="4415907E" w14:textId="77777777" w:rsidR="00524720" w:rsidRPr="00D9348B" w:rsidRDefault="00524720">
            <w:pPr>
              <w:pStyle w:val="TableText"/>
              <w:spacing w:before="50" w:after="50"/>
              <w:jc w:val="center"/>
            </w:pPr>
            <w:r w:rsidRPr="00D9348B">
              <w:t>4,189.2</w:t>
            </w:r>
          </w:p>
        </w:tc>
      </w:tr>
      <w:tr w:rsidR="00524720" w:rsidRPr="00D9348B" w14:paraId="5702551D" w14:textId="77777777" w:rsidTr="009F6E65">
        <w:tc>
          <w:tcPr>
            <w:tcW w:w="1078" w:type="dxa"/>
            <w:tcBorders>
              <w:top w:val="single" w:sz="4" w:space="0" w:color="365F91"/>
              <w:left w:val="nil"/>
              <w:bottom w:val="single" w:sz="4" w:space="0" w:color="365F91"/>
              <w:right w:val="nil"/>
            </w:tcBorders>
            <w:hideMark/>
          </w:tcPr>
          <w:p w14:paraId="7E37DA59" w14:textId="77777777" w:rsidR="00524720" w:rsidRPr="00D9348B" w:rsidRDefault="00524720">
            <w:pPr>
              <w:pStyle w:val="TableTextBold"/>
              <w:spacing w:before="50" w:after="50"/>
              <w:rPr>
                <w:noProof w:val="0"/>
              </w:rPr>
            </w:pPr>
            <w:r w:rsidRPr="00D9348B">
              <w:rPr>
                <w:noProof w:val="0"/>
              </w:rPr>
              <w:t>1996</w:t>
            </w:r>
          </w:p>
        </w:tc>
        <w:tc>
          <w:tcPr>
            <w:tcW w:w="2475" w:type="dxa"/>
            <w:tcBorders>
              <w:top w:val="single" w:sz="4" w:space="0" w:color="365F91"/>
              <w:left w:val="nil"/>
              <w:bottom w:val="single" w:sz="4" w:space="0" w:color="365F91"/>
              <w:right w:val="nil"/>
            </w:tcBorders>
            <w:hideMark/>
          </w:tcPr>
          <w:p w14:paraId="3FC07953" w14:textId="77777777" w:rsidR="00524720" w:rsidRPr="00D9348B" w:rsidRDefault="00524720">
            <w:pPr>
              <w:pStyle w:val="TableText"/>
              <w:spacing w:before="50" w:after="50"/>
              <w:jc w:val="center"/>
            </w:pPr>
            <w:r w:rsidRPr="00D9348B">
              <w:t>1,222.3</w:t>
            </w:r>
          </w:p>
        </w:tc>
        <w:tc>
          <w:tcPr>
            <w:tcW w:w="2475" w:type="dxa"/>
            <w:tcBorders>
              <w:top w:val="single" w:sz="4" w:space="0" w:color="365F91"/>
              <w:left w:val="nil"/>
              <w:bottom w:val="single" w:sz="4" w:space="0" w:color="365F91"/>
              <w:right w:val="nil"/>
            </w:tcBorders>
            <w:hideMark/>
          </w:tcPr>
          <w:p w14:paraId="55FB3BB2" w14:textId="77777777" w:rsidR="00524720" w:rsidRPr="00D9348B" w:rsidRDefault="00524720">
            <w:pPr>
              <w:pStyle w:val="TableText"/>
              <w:spacing w:before="50" w:after="50"/>
              <w:jc w:val="center"/>
            </w:pPr>
            <w:r w:rsidRPr="00D9348B">
              <w:t>3,054.6</w:t>
            </w:r>
          </w:p>
        </w:tc>
        <w:tc>
          <w:tcPr>
            <w:tcW w:w="2477" w:type="dxa"/>
            <w:tcBorders>
              <w:top w:val="single" w:sz="4" w:space="0" w:color="365F91"/>
              <w:left w:val="nil"/>
              <w:bottom w:val="single" w:sz="4" w:space="0" w:color="365F91"/>
              <w:right w:val="nil"/>
            </w:tcBorders>
            <w:hideMark/>
          </w:tcPr>
          <w:p w14:paraId="222DEDA3" w14:textId="77777777" w:rsidR="00524720" w:rsidRPr="00D9348B" w:rsidRDefault="00524720">
            <w:pPr>
              <w:pStyle w:val="TableText"/>
              <w:spacing w:before="50" w:after="50"/>
              <w:jc w:val="center"/>
            </w:pPr>
            <w:r w:rsidRPr="00D9348B">
              <w:t>4,276.8</w:t>
            </w:r>
          </w:p>
        </w:tc>
      </w:tr>
      <w:tr w:rsidR="00524720" w:rsidRPr="00D9348B" w14:paraId="3650C15E" w14:textId="77777777" w:rsidTr="009F6E65">
        <w:tc>
          <w:tcPr>
            <w:tcW w:w="1078" w:type="dxa"/>
            <w:tcBorders>
              <w:top w:val="single" w:sz="4" w:space="0" w:color="365F91"/>
              <w:left w:val="nil"/>
              <w:bottom w:val="single" w:sz="4" w:space="0" w:color="365F91"/>
              <w:right w:val="nil"/>
            </w:tcBorders>
            <w:hideMark/>
          </w:tcPr>
          <w:p w14:paraId="0F881DA5" w14:textId="77777777" w:rsidR="00524720" w:rsidRPr="00D9348B" w:rsidRDefault="00524720">
            <w:pPr>
              <w:pStyle w:val="TableTextBold"/>
              <w:spacing w:before="50" w:after="50"/>
              <w:rPr>
                <w:noProof w:val="0"/>
              </w:rPr>
            </w:pPr>
            <w:r w:rsidRPr="00D9348B">
              <w:rPr>
                <w:noProof w:val="0"/>
              </w:rPr>
              <w:t>1997</w:t>
            </w:r>
          </w:p>
        </w:tc>
        <w:tc>
          <w:tcPr>
            <w:tcW w:w="2475" w:type="dxa"/>
            <w:tcBorders>
              <w:top w:val="single" w:sz="4" w:space="0" w:color="365F91"/>
              <w:left w:val="nil"/>
              <w:bottom w:val="single" w:sz="4" w:space="0" w:color="365F91"/>
              <w:right w:val="nil"/>
            </w:tcBorders>
            <w:hideMark/>
          </w:tcPr>
          <w:p w14:paraId="73E5E9D4" w14:textId="77777777" w:rsidR="00524720" w:rsidRPr="00D9348B" w:rsidRDefault="00524720">
            <w:pPr>
              <w:pStyle w:val="TableText"/>
              <w:spacing w:before="50" w:after="50"/>
              <w:jc w:val="center"/>
            </w:pPr>
            <w:r w:rsidRPr="00D9348B">
              <w:t>1,313.6</w:t>
            </w:r>
          </w:p>
        </w:tc>
        <w:tc>
          <w:tcPr>
            <w:tcW w:w="2475" w:type="dxa"/>
            <w:tcBorders>
              <w:top w:val="single" w:sz="4" w:space="0" w:color="365F91"/>
              <w:left w:val="nil"/>
              <w:bottom w:val="single" w:sz="4" w:space="0" w:color="365F91"/>
              <w:right w:val="nil"/>
            </w:tcBorders>
            <w:hideMark/>
          </w:tcPr>
          <w:p w14:paraId="56484E45" w14:textId="77777777" w:rsidR="00524720" w:rsidRPr="00D9348B" w:rsidRDefault="00524720">
            <w:pPr>
              <w:pStyle w:val="TableText"/>
              <w:spacing w:before="50" w:after="50"/>
              <w:jc w:val="center"/>
            </w:pPr>
            <w:r w:rsidRPr="00D9348B">
              <w:t>3,165.1</w:t>
            </w:r>
          </w:p>
        </w:tc>
        <w:tc>
          <w:tcPr>
            <w:tcW w:w="2477" w:type="dxa"/>
            <w:tcBorders>
              <w:top w:val="single" w:sz="4" w:space="0" w:color="365F91"/>
              <w:left w:val="nil"/>
              <w:bottom w:val="single" w:sz="4" w:space="0" w:color="365F91"/>
              <w:right w:val="nil"/>
            </w:tcBorders>
            <w:hideMark/>
          </w:tcPr>
          <w:p w14:paraId="2EEF8868" w14:textId="77777777" w:rsidR="00524720" w:rsidRPr="00D9348B" w:rsidRDefault="00524720">
            <w:pPr>
              <w:pStyle w:val="TableText"/>
              <w:spacing w:before="50" w:after="50"/>
              <w:jc w:val="center"/>
            </w:pPr>
            <w:r w:rsidRPr="00D9348B">
              <w:t>4,478.7</w:t>
            </w:r>
          </w:p>
        </w:tc>
      </w:tr>
      <w:tr w:rsidR="00524720" w:rsidRPr="00D9348B" w14:paraId="72FAB7FD" w14:textId="77777777" w:rsidTr="009F6E65">
        <w:tc>
          <w:tcPr>
            <w:tcW w:w="1078" w:type="dxa"/>
            <w:tcBorders>
              <w:top w:val="single" w:sz="4" w:space="0" w:color="365F91"/>
              <w:left w:val="nil"/>
              <w:bottom w:val="single" w:sz="4" w:space="0" w:color="365F91"/>
              <w:right w:val="nil"/>
            </w:tcBorders>
            <w:hideMark/>
          </w:tcPr>
          <w:p w14:paraId="531706D8" w14:textId="77777777" w:rsidR="00524720" w:rsidRPr="00D9348B" w:rsidRDefault="00524720">
            <w:pPr>
              <w:pStyle w:val="TableTextBold"/>
              <w:spacing w:before="50" w:after="50"/>
              <w:rPr>
                <w:noProof w:val="0"/>
              </w:rPr>
            </w:pPr>
            <w:r w:rsidRPr="00D9348B">
              <w:rPr>
                <w:noProof w:val="0"/>
              </w:rPr>
              <w:t>1998</w:t>
            </w:r>
          </w:p>
        </w:tc>
        <w:tc>
          <w:tcPr>
            <w:tcW w:w="2475" w:type="dxa"/>
            <w:tcBorders>
              <w:top w:val="single" w:sz="4" w:space="0" w:color="365F91"/>
              <w:left w:val="nil"/>
              <w:bottom w:val="single" w:sz="4" w:space="0" w:color="365F91"/>
              <w:right w:val="nil"/>
            </w:tcBorders>
            <w:hideMark/>
          </w:tcPr>
          <w:p w14:paraId="356E6230" w14:textId="77777777" w:rsidR="00524720" w:rsidRPr="00D9348B" w:rsidRDefault="00524720">
            <w:pPr>
              <w:pStyle w:val="TableText"/>
              <w:spacing w:before="50" w:after="50"/>
              <w:jc w:val="center"/>
            </w:pPr>
            <w:r w:rsidRPr="00D9348B">
              <w:t>1,404.8</w:t>
            </w:r>
          </w:p>
        </w:tc>
        <w:tc>
          <w:tcPr>
            <w:tcW w:w="2475" w:type="dxa"/>
            <w:tcBorders>
              <w:top w:val="single" w:sz="4" w:space="0" w:color="365F91"/>
              <w:left w:val="nil"/>
              <w:bottom w:val="single" w:sz="4" w:space="0" w:color="365F91"/>
              <w:right w:val="nil"/>
            </w:tcBorders>
            <w:hideMark/>
          </w:tcPr>
          <w:p w14:paraId="66B99D7B" w14:textId="77777777" w:rsidR="00524720" w:rsidRPr="00D9348B" w:rsidRDefault="00524720">
            <w:pPr>
              <w:pStyle w:val="TableText"/>
              <w:spacing w:before="50" w:after="50"/>
              <w:jc w:val="center"/>
            </w:pPr>
            <w:r w:rsidRPr="00D9348B">
              <w:t>3,229.8</w:t>
            </w:r>
          </w:p>
        </w:tc>
        <w:tc>
          <w:tcPr>
            <w:tcW w:w="2477" w:type="dxa"/>
            <w:tcBorders>
              <w:top w:val="single" w:sz="4" w:space="0" w:color="365F91"/>
              <w:left w:val="nil"/>
              <w:bottom w:val="single" w:sz="4" w:space="0" w:color="365F91"/>
              <w:right w:val="nil"/>
            </w:tcBorders>
            <w:hideMark/>
          </w:tcPr>
          <w:p w14:paraId="79DB73E9" w14:textId="77777777" w:rsidR="00524720" w:rsidRPr="00D9348B" w:rsidRDefault="00524720">
            <w:pPr>
              <w:pStyle w:val="TableText"/>
              <w:spacing w:before="50" w:after="50"/>
              <w:jc w:val="center"/>
            </w:pPr>
            <w:r w:rsidRPr="00D9348B">
              <w:t>4,634.7</w:t>
            </w:r>
          </w:p>
        </w:tc>
      </w:tr>
      <w:tr w:rsidR="00524720" w:rsidRPr="00D9348B" w14:paraId="1F3A8CCD" w14:textId="77777777" w:rsidTr="009F6E65">
        <w:tc>
          <w:tcPr>
            <w:tcW w:w="1078" w:type="dxa"/>
            <w:tcBorders>
              <w:top w:val="single" w:sz="4" w:space="0" w:color="365F91"/>
              <w:left w:val="nil"/>
              <w:bottom w:val="single" w:sz="4" w:space="0" w:color="365F91"/>
              <w:right w:val="nil"/>
            </w:tcBorders>
            <w:hideMark/>
          </w:tcPr>
          <w:p w14:paraId="177158FA" w14:textId="77777777" w:rsidR="00524720" w:rsidRPr="00D9348B" w:rsidRDefault="00524720">
            <w:pPr>
              <w:pStyle w:val="TableTextBold"/>
              <w:spacing w:before="50" w:after="50"/>
              <w:rPr>
                <w:noProof w:val="0"/>
              </w:rPr>
            </w:pPr>
            <w:r w:rsidRPr="00D9348B">
              <w:rPr>
                <w:noProof w:val="0"/>
              </w:rPr>
              <w:t>1999</w:t>
            </w:r>
          </w:p>
        </w:tc>
        <w:tc>
          <w:tcPr>
            <w:tcW w:w="2475" w:type="dxa"/>
            <w:tcBorders>
              <w:top w:val="single" w:sz="4" w:space="0" w:color="365F91"/>
              <w:left w:val="nil"/>
              <w:bottom w:val="single" w:sz="4" w:space="0" w:color="365F91"/>
              <w:right w:val="nil"/>
            </w:tcBorders>
            <w:hideMark/>
          </w:tcPr>
          <w:p w14:paraId="726F303B" w14:textId="77777777" w:rsidR="00524720" w:rsidRPr="00D9348B" w:rsidRDefault="00524720">
            <w:pPr>
              <w:pStyle w:val="TableText"/>
              <w:spacing w:before="50" w:after="50"/>
              <w:jc w:val="center"/>
            </w:pPr>
            <w:r w:rsidRPr="00D9348B">
              <w:t>1,496.1</w:t>
            </w:r>
          </w:p>
        </w:tc>
        <w:tc>
          <w:tcPr>
            <w:tcW w:w="2475" w:type="dxa"/>
            <w:tcBorders>
              <w:top w:val="single" w:sz="4" w:space="0" w:color="365F91"/>
              <w:left w:val="nil"/>
              <w:bottom w:val="single" w:sz="4" w:space="0" w:color="365F91"/>
              <w:right w:val="nil"/>
            </w:tcBorders>
            <w:hideMark/>
          </w:tcPr>
          <w:p w14:paraId="2E9A373A" w14:textId="77777777" w:rsidR="00524720" w:rsidRPr="00D9348B" w:rsidRDefault="00524720">
            <w:pPr>
              <w:pStyle w:val="TableText"/>
              <w:spacing w:before="50" w:after="50"/>
              <w:jc w:val="center"/>
            </w:pPr>
            <w:r w:rsidRPr="00D9348B">
              <w:t>3,255.4</w:t>
            </w:r>
          </w:p>
        </w:tc>
        <w:tc>
          <w:tcPr>
            <w:tcW w:w="2477" w:type="dxa"/>
            <w:tcBorders>
              <w:top w:val="single" w:sz="4" w:space="0" w:color="365F91"/>
              <w:left w:val="nil"/>
              <w:bottom w:val="single" w:sz="4" w:space="0" w:color="365F91"/>
              <w:right w:val="nil"/>
            </w:tcBorders>
            <w:hideMark/>
          </w:tcPr>
          <w:p w14:paraId="6D458635" w14:textId="77777777" w:rsidR="00524720" w:rsidRPr="00D9348B" w:rsidRDefault="00524720">
            <w:pPr>
              <w:pStyle w:val="TableText"/>
              <w:spacing w:before="50" w:after="50"/>
              <w:jc w:val="center"/>
            </w:pPr>
            <w:r w:rsidRPr="00D9348B">
              <w:t>4,751.5</w:t>
            </w:r>
          </w:p>
        </w:tc>
      </w:tr>
      <w:tr w:rsidR="00524720" w:rsidRPr="00D9348B" w14:paraId="0C0C1B5C" w14:textId="77777777" w:rsidTr="009F6E65">
        <w:tc>
          <w:tcPr>
            <w:tcW w:w="1078" w:type="dxa"/>
            <w:tcBorders>
              <w:top w:val="single" w:sz="4" w:space="0" w:color="365F91"/>
              <w:left w:val="nil"/>
              <w:bottom w:val="single" w:sz="4" w:space="0" w:color="365F91"/>
              <w:right w:val="nil"/>
            </w:tcBorders>
            <w:hideMark/>
          </w:tcPr>
          <w:p w14:paraId="24385D88" w14:textId="77777777" w:rsidR="00524720" w:rsidRPr="00D9348B" w:rsidRDefault="00524720">
            <w:pPr>
              <w:pStyle w:val="TableTextBold"/>
              <w:spacing w:before="50" w:after="50"/>
              <w:rPr>
                <w:noProof w:val="0"/>
              </w:rPr>
            </w:pPr>
            <w:r w:rsidRPr="00D9348B">
              <w:rPr>
                <w:noProof w:val="0"/>
              </w:rPr>
              <w:t>2000</w:t>
            </w:r>
          </w:p>
        </w:tc>
        <w:tc>
          <w:tcPr>
            <w:tcW w:w="2475" w:type="dxa"/>
            <w:tcBorders>
              <w:top w:val="single" w:sz="4" w:space="0" w:color="365F91"/>
              <w:left w:val="nil"/>
              <w:bottom w:val="single" w:sz="4" w:space="0" w:color="365F91"/>
              <w:right w:val="nil"/>
            </w:tcBorders>
            <w:hideMark/>
          </w:tcPr>
          <w:p w14:paraId="2168E1B5" w14:textId="77777777" w:rsidR="00524720" w:rsidRPr="00D9348B" w:rsidRDefault="00524720">
            <w:pPr>
              <w:pStyle w:val="TableText"/>
              <w:spacing w:before="50" w:after="50"/>
              <w:jc w:val="center"/>
            </w:pPr>
            <w:r w:rsidRPr="00D9348B">
              <w:t>1,430.6</w:t>
            </w:r>
          </w:p>
        </w:tc>
        <w:tc>
          <w:tcPr>
            <w:tcW w:w="2475" w:type="dxa"/>
            <w:tcBorders>
              <w:top w:val="single" w:sz="4" w:space="0" w:color="365F91"/>
              <w:left w:val="nil"/>
              <w:bottom w:val="single" w:sz="4" w:space="0" w:color="365F91"/>
              <w:right w:val="nil"/>
            </w:tcBorders>
            <w:hideMark/>
          </w:tcPr>
          <w:p w14:paraId="4FA7922D" w14:textId="77777777" w:rsidR="00524720" w:rsidRPr="00D9348B" w:rsidRDefault="00524720">
            <w:pPr>
              <w:pStyle w:val="TableText"/>
              <w:spacing w:before="50" w:after="50"/>
              <w:jc w:val="center"/>
            </w:pPr>
            <w:r w:rsidRPr="00D9348B">
              <w:t>3,433.0</w:t>
            </w:r>
          </w:p>
        </w:tc>
        <w:tc>
          <w:tcPr>
            <w:tcW w:w="2477" w:type="dxa"/>
            <w:tcBorders>
              <w:top w:val="single" w:sz="4" w:space="0" w:color="365F91"/>
              <w:left w:val="nil"/>
              <w:bottom w:val="single" w:sz="4" w:space="0" w:color="365F91"/>
              <w:right w:val="nil"/>
            </w:tcBorders>
            <w:hideMark/>
          </w:tcPr>
          <w:p w14:paraId="6A9FB5BE" w14:textId="77777777" w:rsidR="00524720" w:rsidRPr="00D9348B" w:rsidRDefault="00524720">
            <w:pPr>
              <w:pStyle w:val="TableText"/>
              <w:spacing w:before="50" w:after="50"/>
              <w:jc w:val="center"/>
            </w:pPr>
            <w:r w:rsidRPr="00D9348B">
              <w:t>4,863.6</w:t>
            </w:r>
          </w:p>
        </w:tc>
      </w:tr>
      <w:tr w:rsidR="00524720" w:rsidRPr="00D9348B" w14:paraId="4848C73F" w14:textId="77777777" w:rsidTr="009F6E65">
        <w:tc>
          <w:tcPr>
            <w:tcW w:w="1078" w:type="dxa"/>
            <w:tcBorders>
              <w:top w:val="single" w:sz="4" w:space="0" w:color="365F91"/>
              <w:left w:val="nil"/>
              <w:bottom w:val="single" w:sz="4" w:space="0" w:color="365F91"/>
              <w:right w:val="nil"/>
            </w:tcBorders>
            <w:hideMark/>
          </w:tcPr>
          <w:p w14:paraId="47824A06" w14:textId="77777777" w:rsidR="00524720" w:rsidRPr="00D9348B" w:rsidRDefault="00524720">
            <w:pPr>
              <w:pStyle w:val="TableTextBold"/>
              <w:spacing w:before="50" w:after="50"/>
              <w:rPr>
                <w:noProof w:val="0"/>
              </w:rPr>
            </w:pPr>
            <w:r w:rsidRPr="00D9348B">
              <w:rPr>
                <w:noProof w:val="0"/>
              </w:rPr>
              <w:t>2001</w:t>
            </w:r>
          </w:p>
        </w:tc>
        <w:tc>
          <w:tcPr>
            <w:tcW w:w="2475" w:type="dxa"/>
            <w:tcBorders>
              <w:top w:val="single" w:sz="4" w:space="0" w:color="365F91"/>
              <w:left w:val="nil"/>
              <w:bottom w:val="single" w:sz="4" w:space="0" w:color="365F91"/>
              <w:right w:val="nil"/>
            </w:tcBorders>
            <w:hideMark/>
          </w:tcPr>
          <w:p w14:paraId="6C5EAB75" w14:textId="77777777" w:rsidR="00524720" w:rsidRPr="00D9348B" w:rsidRDefault="00524720">
            <w:pPr>
              <w:pStyle w:val="TableText"/>
              <w:spacing w:before="50" w:after="50"/>
              <w:jc w:val="center"/>
            </w:pPr>
            <w:r w:rsidRPr="00D9348B">
              <w:t>1,365.0</w:t>
            </w:r>
          </w:p>
        </w:tc>
        <w:tc>
          <w:tcPr>
            <w:tcW w:w="2475" w:type="dxa"/>
            <w:tcBorders>
              <w:top w:val="single" w:sz="4" w:space="0" w:color="365F91"/>
              <w:left w:val="nil"/>
              <w:bottom w:val="single" w:sz="4" w:space="0" w:color="365F91"/>
              <w:right w:val="nil"/>
            </w:tcBorders>
            <w:hideMark/>
          </w:tcPr>
          <w:p w14:paraId="06E49B32" w14:textId="77777777" w:rsidR="00524720" w:rsidRPr="00D9348B" w:rsidRDefault="00524720">
            <w:pPr>
              <w:pStyle w:val="TableText"/>
              <w:spacing w:before="50" w:after="50"/>
              <w:jc w:val="center"/>
            </w:pPr>
            <w:r w:rsidRPr="00D9348B">
              <w:t>3,532.7</w:t>
            </w:r>
          </w:p>
        </w:tc>
        <w:tc>
          <w:tcPr>
            <w:tcW w:w="2477" w:type="dxa"/>
            <w:tcBorders>
              <w:top w:val="single" w:sz="4" w:space="0" w:color="365F91"/>
              <w:left w:val="nil"/>
              <w:bottom w:val="single" w:sz="4" w:space="0" w:color="365F91"/>
              <w:right w:val="nil"/>
            </w:tcBorders>
            <w:hideMark/>
          </w:tcPr>
          <w:p w14:paraId="0B229207" w14:textId="77777777" w:rsidR="00524720" w:rsidRPr="00D9348B" w:rsidRDefault="00524720">
            <w:pPr>
              <w:pStyle w:val="TableText"/>
              <w:spacing w:before="50" w:after="50"/>
              <w:jc w:val="center"/>
            </w:pPr>
            <w:r w:rsidRPr="00D9348B">
              <w:t>4,897.7</w:t>
            </w:r>
          </w:p>
        </w:tc>
      </w:tr>
      <w:tr w:rsidR="00524720" w:rsidRPr="00D9348B" w14:paraId="5AB8FC18" w14:textId="77777777" w:rsidTr="009F6E65">
        <w:tc>
          <w:tcPr>
            <w:tcW w:w="1078" w:type="dxa"/>
            <w:tcBorders>
              <w:top w:val="single" w:sz="4" w:space="0" w:color="365F91"/>
              <w:left w:val="nil"/>
              <w:bottom w:val="single" w:sz="4" w:space="0" w:color="365F91"/>
              <w:right w:val="nil"/>
            </w:tcBorders>
            <w:hideMark/>
          </w:tcPr>
          <w:p w14:paraId="2B109846" w14:textId="77777777" w:rsidR="00524720" w:rsidRPr="00D9348B" w:rsidRDefault="00524720">
            <w:pPr>
              <w:pStyle w:val="TableTextBold"/>
              <w:spacing w:before="50" w:after="50"/>
              <w:rPr>
                <w:noProof w:val="0"/>
              </w:rPr>
            </w:pPr>
            <w:r w:rsidRPr="00D9348B">
              <w:rPr>
                <w:noProof w:val="0"/>
              </w:rPr>
              <w:t>2002</w:t>
            </w:r>
          </w:p>
        </w:tc>
        <w:tc>
          <w:tcPr>
            <w:tcW w:w="2475" w:type="dxa"/>
            <w:tcBorders>
              <w:top w:val="single" w:sz="4" w:space="0" w:color="365F91"/>
              <w:left w:val="nil"/>
              <w:bottom w:val="single" w:sz="4" w:space="0" w:color="365F91"/>
              <w:right w:val="nil"/>
            </w:tcBorders>
            <w:hideMark/>
          </w:tcPr>
          <w:p w14:paraId="36AE8DD9" w14:textId="77777777" w:rsidR="00524720" w:rsidRPr="00D9348B" w:rsidRDefault="00524720">
            <w:pPr>
              <w:pStyle w:val="TableText"/>
              <w:spacing w:before="50" w:after="50"/>
              <w:jc w:val="center"/>
            </w:pPr>
            <w:r w:rsidRPr="00D9348B">
              <w:t>1,299.4</w:t>
            </w:r>
          </w:p>
        </w:tc>
        <w:tc>
          <w:tcPr>
            <w:tcW w:w="2475" w:type="dxa"/>
            <w:tcBorders>
              <w:top w:val="single" w:sz="4" w:space="0" w:color="365F91"/>
              <w:left w:val="nil"/>
              <w:bottom w:val="single" w:sz="4" w:space="0" w:color="365F91"/>
              <w:right w:val="nil"/>
            </w:tcBorders>
            <w:hideMark/>
          </w:tcPr>
          <w:p w14:paraId="61847E32" w14:textId="77777777" w:rsidR="00524720" w:rsidRPr="00D9348B" w:rsidRDefault="00524720">
            <w:pPr>
              <w:pStyle w:val="TableText"/>
              <w:spacing w:before="50" w:after="50"/>
              <w:jc w:val="center"/>
            </w:pPr>
            <w:r w:rsidRPr="00D9348B">
              <w:t>3,655.2</w:t>
            </w:r>
          </w:p>
        </w:tc>
        <w:tc>
          <w:tcPr>
            <w:tcW w:w="2477" w:type="dxa"/>
            <w:tcBorders>
              <w:top w:val="single" w:sz="4" w:space="0" w:color="365F91"/>
              <w:left w:val="nil"/>
              <w:bottom w:val="single" w:sz="4" w:space="0" w:color="365F91"/>
              <w:right w:val="nil"/>
            </w:tcBorders>
            <w:hideMark/>
          </w:tcPr>
          <w:p w14:paraId="32EA1F21" w14:textId="77777777" w:rsidR="00524720" w:rsidRPr="00D9348B" w:rsidRDefault="00524720">
            <w:pPr>
              <w:pStyle w:val="TableText"/>
              <w:spacing w:before="50" w:after="50"/>
              <w:jc w:val="center"/>
            </w:pPr>
            <w:r w:rsidRPr="00D9348B">
              <w:t>4,954.7</w:t>
            </w:r>
          </w:p>
        </w:tc>
      </w:tr>
      <w:tr w:rsidR="00524720" w:rsidRPr="00D9348B" w14:paraId="75CD08A8" w14:textId="77777777" w:rsidTr="009F6E65">
        <w:tc>
          <w:tcPr>
            <w:tcW w:w="1078" w:type="dxa"/>
            <w:tcBorders>
              <w:top w:val="single" w:sz="4" w:space="0" w:color="365F91"/>
              <w:left w:val="nil"/>
              <w:bottom w:val="single" w:sz="4" w:space="0" w:color="365F91"/>
              <w:right w:val="nil"/>
            </w:tcBorders>
            <w:hideMark/>
          </w:tcPr>
          <w:p w14:paraId="05AC0D06" w14:textId="77777777" w:rsidR="00524720" w:rsidRPr="00D9348B" w:rsidRDefault="00524720">
            <w:pPr>
              <w:pStyle w:val="TableTextBold"/>
              <w:spacing w:before="50" w:after="50"/>
              <w:rPr>
                <w:noProof w:val="0"/>
              </w:rPr>
            </w:pPr>
            <w:r w:rsidRPr="00D9348B">
              <w:rPr>
                <w:noProof w:val="0"/>
              </w:rPr>
              <w:t>2003</w:t>
            </w:r>
          </w:p>
        </w:tc>
        <w:tc>
          <w:tcPr>
            <w:tcW w:w="2475" w:type="dxa"/>
            <w:tcBorders>
              <w:top w:val="single" w:sz="4" w:space="0" w:color="365F91"/>
              <w:left w:val="nil"/>
              <w:bottom w:val="single" w:sz="4" w:space="0" w:color="365F91"/>
              <w:right w:val="nil"/>
            </w:tcBorders>
            <w:hideMark/>
          </w:tcPr>
          <w:p w14:paraId="347C4CAA" w14:textId="77777777" w:rsidR="00524720" w:rsidRPr="00D9348B" w:rsidRDefault="00524720">
            <w:pPr>
              <w:pStyle w:val="TableText"/>
              <w:spacing w:before="50" w:after="50"/>
              <w:jc w:val="center"/>
            </w:pPr>
            <w:r w:rsidRPr="00D9348B">
              <w:t>1,220.7</w:t>
            </w:r>
          </w:p>
        </w:tc>
        <w:tc>
          <w:tcPr>
            <w:tcW w:w="2475" w:type="dxa"/>
            <w:tcBorders>
              <w:top w:val="single" w:sz="4" w:space="0" w:color="365F91"/>
              <w:left w:val="nil"/>
              <w:bottom w:val="single" w:sz="4" w:space="0" w:color="365F91"/>
              <w:right w:val="nil"/>
            </w:tcBorders>
            <w:hideMark/>
          </w:tcPr>
          <w:p w14:paraId="1F95D30D" w14:textId="77777777" w:rsidR="00524720" w:rsidRPr="00D9348B" w:rsidRDefault="00524720">
            <w:pPr>
              <w:pStyle w:val="TableText"/>
              <w:spacing w:before="50" w:after="50"/>
              <w:jc w:val="center"/>
            </w:pPr>
            <w:r w:rsidRPr="00D9348B">
              <w:t>3,826.3</w:t>
            </w:r>
          </w:p>
        </w:tc>
        <w:tc>
          <w:tcPr>
            <w:tcW w:w="2477" w:type="dxa"/>
            <w:tcBorders>
              <w:top w:val="single" w:sz="4" w:space="0" w:color="365F91"/>
              <w:left w:val="nil"/>
              <w:bottom w:val="single" w:sz="4" w:space="0" w:color="365F91"/>
              <w:right w:val="nil"/>
            </w:tcBorders>
            <w:hideMark/>
          </w:tcPr>
          <w:p w14:paraId="51CE6387" w14:textId="77777777" w:rsidR="00524720" w:rsidRPr="00D9348B" w:rsidRDefault="00524720">
            <w:pPr>
              <w:pStyle w:val="TableText"/>
              <w:spacing w:before="50" w:after="50"/>
              <w:jc w:val="center"/>
            </w:pPr>
            <w:r w:rsidRPr="00D9348B">
              <w:t>5,047.0</w:t>
            </w:r>
          </w:p>
        </w:tc>
      </w:tr>
      <w:tr w:rsidR="00524720" w:rsidRPr="00D9348B" w14:paraId="50AAC033" w14:textId="77777777" w:rsidTr="009F6E65">
        <w:tc>
          <w:tcPr>
            <w:tcW w:w="1078" w:type="dxa"/>
            <w:tcBorders>
              <w:top w:val="single" w:sz="4" w:space="0" w:color="365F91"/>
              <w:left w:val="nil"/>
              <w:bottom w:val="single" w:sz="4" w:space="0" w:color="365F91"/>
              <w:right w:val="nil"/>
            </w:tcBorders>
            <w:hideMark/>
          </w:tcPr>
          <w:p w14:paraId="55D21455" w14:textId="77777777" w:rsidR="00524720" w:rsidRPr="00D9348B" w:rsidRDefault="00524720">
            <w:pPr>
              <w:pStyle w:val="TableTextBold"/>
              <w:spacing w:before="50" w:after="50"/>
              <w:rPr>
                <w:noProof w:val="0"/>
              </w:rPr>
            </w:pPr>
            <w:r w:rsidRPr="00D9348B">
              <w:rPr>
                <w:noProof w:val="0"/>
              </w:rPr>
              <w:t>2004</w:t>
            </w:r>
          </w:p>
        </w:tc>
        <w:tc>
          <w:tcPr>
            <w:tcW w:w="2475" w:type="dxa"/>
            <w:tcBorders>
              <w:top w:val="single" w:sz="4" w:space="0" w:color="365F91"/>
              <w:left w:val="nil"/>
              <w:bottom w:val="single" w:sz="4" w:space="0" w:color="365F91"/>
              <w:right w:val="nil"/>
            </w:tcBorders>
            <w:hideMark/>
          </w:tcPr>
          <w:p w14:paraId="7762F218" w14:textId="77777777" w:rsidR="00524720" w:rsidRPr="00D9348B" w:rsidRDefault="00524720">
            <w:pPr>
              <w:pStyle w:val="TableText"/>
              <w:spacing w:before="50" w:after="50"/>
              <w:jc w:val="center"/>
            </w:pPr>
            <w:r w:rsidRPr="00D9348B">
              <w:t>1,229.9</w:t>
            </w:r>
          </w:p>
        </w:tc>
        <w:tc>
          <w:tcPr>
            <w:tcW w:w="2475" w:type="dxa"/>
            <w:tcBorders>
              <w:top w:val="single" w:sz="4" w:space="0" w:color="365F91"/>
              <w:left w:val="nil"/>
              <w:bottom w:val="single" w:sz="4" w:space="0" w:color="365F91"/>
              <w:right w:val="nil"/>
            </w:tcBorders>
            <w:hideMark/>
          </w:tcPr>
          <w:p w14:paraId="29EE6E2B" w14:textId="77777777" w:rsidR="00524720" w:rsidRPr="00D9348B" w:rsidRDefault="00524720">
            <w:pPr>
              <w:pStyle w:val="TableText"/>
              <w:spacing w:before="50" w:after="50"/>
              <w:jc w:val="center"/>
            </w:pPr>
            <w:r w:rsidRPr="00D9348B">
              <w:t>4,000.9</w:t>
            </w:r>
          </w:p>
        </w:tc>
        <w:tc>
          <w:tcPr>
            <w:tcW w:w="2477" w:type="dxa"/>
            <w:tcBorders>
              <w:top w:val="single" w:sz="4" w:space="0" w:color="365F91"/>
              <w:left w:val="nil"/>
              <w:bottom w:val="single" w:sz="4" w:space="0" w:color="365F91"/>
              <w:right w:val="nil"/>
            </w:tcBorders>
            <w:hideMark/>
          </w:tcPr>
          <w:p w14:paraId="3B052D61" w14:textId="77777777" w:rsidR="00524720" w:rsidRPr="00D9348B" w:rsidRDefault="00524720">
            <w:pPr>
              <w:pStyle w:val="TableText"/>
              <w:spacing w:before="50" w:after="50"/>
              <w:jc w:val="center"/>
            </w:pPr>
            <w:r w:rsidRPr="00D9348B">
              <w:t>5,230.8</w:t>
            </w:r>
          </w:p>
        </w:tc>
      </w:tr>
      <w:tr w:rsidR="00524720" w:rsidRPr="00D9348B" w14:paraId="651B2386" w14:textId="77777777" w:rsidTr="009F6E65">
        <w:tc>
          <w:tcPr>
            <w:tcW w:w="1078" w:type="dxa"/>
            <w:tcBorders>
              <w:top w:val="single" w:sz="4" w:space="0" w:color="365F91"/>
              <w:left w:val="nil"/>
              <w:bottom w:val="single" w:sz="4" w:space="0" w:color="365F91"/>
              <w:right w:val="nil"/>
            </w:tcBorders>
            <w:hideMark/>
          </w:tcPr>
          <w:p w14:paraId="419C35D3" w14:textId="77777777" w:rsidR="00524720" w:rsidRPr="00D9348B" w:rsidRDefault="00524720">
            <w:pPr>
              <w:pStyle w:val="TableTextBold"/>
              <w:spacing w:before="50" w:after="50"/>
              <w:rPr>
                <w:noProof w:val="0"/>
              </w:rPr>
            </w:pPr>
            <w:r w:rsidRPr="00D9348B">
              <w:rPr>
                <w:noProof w:val="0"/>
              </w:rPr>
              <w:t>2005</w:t>
            </w:r>
          </w:p>
        </w:tc>
        <w:tc>
          <w:tcPr>
            <w:tcW w:w="2475" w:type="dxa"/>
            <w:tcBorders>
              <w:top w:val="single" w:sz="4" w:space="0" w:color="365F91"/>
              <w:left w:val="nil"/>
              <w:bottom w:val="single" w:sz="4" w:space="0" w:color="365F91"/>
              <w:right w:val="nil"/>
            </w:tcBorders>
            <w:hideMark/>
          </w:tcPr>
          <w:p w14:paraId="20C9BC91" w14:textId="77777777" w:rsidR="00524720" w:rsidRPr="00D9348B" w:rsidRDefault="00524720">
            <w:pPr>
              <w:pStyle w:val="TableText"/>
              <w:spacing w:before="50" w:after="50"/>
              <w:jc w:val="center"/>
            </w:pPr>
            <w:r w:rsidRPr="00D9348B">
              <w:t>1,191.6</w:t>
            </w:r>
          </w:p>
        </w:tc>
        <w:tc>
          <w:tcPr>
            <w:tcW w:w="2475" w:type="dxa"/>
            <w:tcBorders>
              <w:top w:val="single" w:sz="4" w:space="0" w:color="365F91"/>
              <w:left w:val="nil"/>
              <w:bottom w:val="single" w:sz="4" w:space="0" w:color="365F91"/>
              <w:right w:val="nil"/>
            </w:tcBorders>
            <w:hideMark/>
          </w:tcPr>
          <w:p w14:paraId="7653C324" w14:textId="77777777" w:rsidR="00524720" w:rsidRPr="00D9348B" w:rsidRDefault="00524720">
            <w:pPr>
              <w:pStyle w:val="TableText"/>
              <w:spacing w:before="50" w:after="50"/>
              <w:jc w:val="center"/>
            </w:pPr>
            <w:r w:rsidRPr="00D9348B">
              <w:t>4,162.3</w:t>
            </w:r>
          </w:p>
        </w:tc>
        <w:tc>
          <w:tcPr>
            <w:tcW w:w="2477" w:type="dxa"/>
            <w:tcBorders>
              <w:top w:val="single" w:sz="4" w:space="0" w:color="365F91"/>
              <w:left w:val="nil"/>
              <w:bottom w:val="single" w:sz="4" w:space="0" w:color="365F91"/>
              <w:right w:val="nil"/>
            </w:tcBorders>
            <w:hideMark/>
          </w:tcPr>
          <w:p w14:paraId="06722C53" w14:textId="77777777" w:rsidR="00524720" w:rsidRPr="00D9348B" w:rsidRDefault="00524720">
            <w:pPr>
              <w:pStyle w:val="TableText"/>
              <w:spacing w:before="50" w:after="50"/>
              <w:jc w:val="center"/>
            </w:pPr>
            <w:r w:rsidRPr="00D9348B">
              <w:t>5,353.9</w:t>
            </w:r>
          </w:p>
        </w:tc>
      </w:tr>
      <w:tr w:rsidR="00524720" w:rsidRPr="00D9348B" w14:paraId="77E61030" w14:textId="77777777" w:rsidTr="009F6E65">
        <w:tc>
          <w:tcPr>
            <w:tcW w:w="1078" w:type="dxa"/>
            <w:tcBorders>
              <w:top w:val="single" w:sz="4" w:space="0" w:color="365F91"/>
              <w:left w:val="nil"/>
              <w:bottom w:val="single" w:sz="4" w:space="0" w:color="365F91"/>
              <w:right w:val="nil"/>
            </w:tcBorders>
            <w:hideMark/>
          </w:tcPr>
          <w:p w14:paraId="5D2EAE6F" w14:textId="77777777" w:rsidR="00524720" w:rsidRPr="00D9348B" w:rsidRDefault="00524720">
            <w:pPr>
              <w:pStyle w:val="TableTextBold"/>
              <w:spacing w:before="50" w:after="50"/>
              <w:rPr>
                <w:noProof w:val="0"/>
              </w:rPr>
            </w:pPr>
            <w:r w:rsidRPr="00D9348B">
              <w:rPr>
                <w:noProof w:val="0"/>
              </w:rPr>
              <w:t>2006</w:t>
            </w:r>
          </w:p>
        </w:tc>
        <w:tc>
          <w:tcPr>
            <w:tcW w:w="2475" w:type="dxa"/>
            <w:tcBorders>
              <w:top w:val="single" w:sz="4" w:space="0" w:color="365F91"/>
              <w:left w:val="nil"/>
              <w:bottom w:val="single" w:sz="4" w:space="0" w:color="365F91"/>
              <w:right w:val="nil"/>
            </w:tcBorders>
            <w:hideMark/>
          </w:tcPr>
          <w:p w14:paraId="62E6C199" w14:textId="77777777" w:rsidR="00524720" w:rsidRPr="00D9348B" w:rsidRDefault="00524720">
            <w:pPr>
              <w:pStyle w:val="TableText"/>
              <w:spacing w:before="50" w:after="50"/>
              <w:jc w:val="center"/>
            </w:pPr>
            <w:r w:rsidRPr="00D9348B">
              <w:t>1,194.6</w:t>
            </w:r>
          </w:p>
        </w:tc>
        <w:tc>
          <w:tcPr>
            <w:tcW w:w="2475" w:type="dxa"/>
            <w:tcBorders>
              <w:top w:val="single" w:sz="4" w:space="0" w:color="365F91"/>
              <w:left w:val="nil"/>
              <w:bottom w:val="single" w:sz="4" w:space="0" w:color="365F91"/>
              <w:right w:val="nil"/>
            </w:tcBorders>
            <w:hideMark/>
          </w:tcPr>
          <w:p w14:paraId="499DEC4A" w14:textId="77777777" w:rsidR="00524720" w:rsidRPr="00D9348B" w:rsidRDefault="00524720">
            <w:pPr>
              <w:pStyle w:val="TableText"/>
              <w:spacing w:before="50" w:after="50"/>
              <w:jc w:val="center"/>
            </w:pPr>
            <w:r w:rsidRPr="00D9348B">
              <w:t>4,300.6</w:t>
            </w:r>
          </w:p>
        </w:tc>
        <w:tc>
          <w:tcPr>
            <w:tcW w:w="2477" w:type="dxa"/>
            <w:tcBorders>
              <w:top w:val="single" w:sz="4" w:space="0" w:color="365F91"/>
              <w:left w:val="nil"/>
              <w:bottom w:val="single" w:sz="4" w:space="0" w:color="365F91"/>
              <w:right w:val="nil"/>
            </w:tcBorders>
            <w:hideMark/>
          </w:tcPr>
          <w:p w14:paraId="4A7EA754" w14:textId="77777777" w:rsidR="00524720" w:rsidRPr="00D9348B" w:rsidRDefault="00524720">
            <w:pPr>
              <w:pStyle w:val="TableText"/>
              <w:spacing w:before="50" w:after="50"/>
              <w:jc w:val="center"/>
            </w:pPr>
            <w:r w:rsidRPr="00D9348B">
              <w:t>5,495.2</w:t>
            </w:r>
          </w:p>
        </w:tc>
      </w:tr>
      <w:tr w:rsidR="00524720" w:rsidRPr="00D9348B" w14:paraId="6C1B7B64" w14:textId="77777777" w:rsidTr="009F6E65">
        <w:tc>
          <w:tcPr>
            <w:tcW w:w="1078" w:type="dxa"/>
            <w:tcBorders>
              <w:top w:val="single" w:sz="4" w:space="0" w:color="365F91"/>
              <w:left w:val="nil"/>
              <w:bottom w:val="single" w:sz="4" w:space="0" w:color="365F91"/>
              <w:right w:val="nil"/>
            </w:tcBorders>
            <w:hideMark/>
          </w:tcPr>
          <w:p w14:paraId="5007F700" w14:textId="77777777" w:rsidR="00524720" w:rsidRPr="00D9348B" w:rsidRDefault="00524720">
            <w:pPr>
              <w:pStyle w:val="TableTextBold"/>
              <w:spacing w:before="50" w:after="50"/>
              <w:rPr>
                <w:noProof w:val="0"/>
              </w:rPr>
            </w:pPr>
            <w:r w:rsidRPr="00D9348B">
              <w:rPr>
                <w:noProof w:val="0"/>
              </w:rPr>
              <w:t>2007</w:t>
            </w:r>
          </w:p>
        </w:tc>
        <w:tc>
          <w:tcPr>
            <w:tcW w:w="2475" w:type="dxa"/>
            <w:tcBorders>
              <w:top w:val="single" w:sz="4" w:space="0" w:color="365F91"/>
              <w:left w:val="nil"/>
              <w:bottom w:val="single" w:sz="4" w:space="0" w:color="365F91"/>
              <w:right w:val="nil"/>
            </w:tcBorders>
            <w:hideMark/>
          </w:tcPr>
          <w:p w14:paraId="5C9B94B0" w14:textId="77777777" w:rsidR="00524720" w:rsidRPr="00D9348B" w:rsidRDefault="00524720">
            <w:pPr>
              <w:pStyle w:val="TableText"/>
              <w:spacing w:before="50" w:after="50"/>
              <w:jc w:val="center"/>
            </w:pPr>
            <w:r w:rsidRPr="00D9348B">
              <w:t>1,172.2</w:t>
            </w:r>
          </w:p>
        </w:tc>
        <w:tc>
          <w:tcPr>
            <w:tcW w:w="2475" w:type="dxa"/>
            <w:tcBorders>
              <w:top w:val="single" w:sz="4" w:space="0" w:color="365F91"/>
              <w:left w:val="nil"/>
              <w:bottom w:val="single" w:sz="4" w:space="0" w:color="365F91"/>
              <w:right w:val="nil"/>
            </w:tcBorders>
            <w:hideMark/>
          </w:tcPr>
          <w:p w14:paraId="57A40E09" w14:textId="77777777" w:rsidR="00524720" w:rsidRPr="00D9348B" w:rsidRDefault="00524720">
            <w:pPr>
              <w:pStyle w:val="TableText"/>
              <w:spacing w:before="50" w:after="50"/>
              <w:jc w:val="center"/>
            </w:pPr>
            <w:r w:rsidRPr="00D9348B">
              <w:t>4,422.9</w:t>
            </w:r>
          </w:p>
        </w:tc>
        <w:tc>
          <w:tcPr>
            <w:tcW w:w="2477" w:type="dxa"/>
            <w:tcBorders>
              <w:top w:val="single" w:sz="4" w:space="0" w:color="365F91"/>
              <w:left w:val="nil"/>
              <w:bottom w:val="single" w:sz="4" w:space="0" w:color="365F91"/>
              <w:right w:val="nil"/>
            </w:tcBorders>
            <w:hideMark/>
          </w:tcPr>
          <w:p w14:paraId="4BBB50E7" w14:textId="77777777" w:rsidR="00524720" w:rsidRPr="00D9348B" w:rsidRDefault="00524720">
            <w:pPr>
              <w:pStyle w:val="TableText"/>
              <w:spacing w:before="50" w:after="50"/>
              <w:jc w:val="center"/>
            </w:pPr>
            <w:r w:rsidRPr="00D9348B">
              <w:t>5,595.0</w:t>
            </w:r>
          </w:p>
        </w:tc>
      </w:tr>
      <w:tr w:rsidR="00524720" w:rsidRPr="00D9348B" w14:paraId="7A10B622" w14:textId="77777777" w:rsidTr="009F6E65">
        <w:tc>
          <w:tcPr>
            <w:tcW w:w="1078" w:type="dxa"/>
            <w:tcBorders>
              <w:top w:val="single" w:sz="4" w:space="0" w:color="365F91"/>
              <w:left w:val="nil"/>
              <w:bottom w:val="single" w:sz="4" w:space="0" w:color="365F91"/>
              <w:right w:val="nil"/>
            </w:tcBorders>
            <w:hideMark/>
          </w:tcPr>
          <w:p w14:paraId="7559A47C" w14:textId="77777777" w:rsidR="00524720" w:rsidRPr="00D9348B" w:rsidRDefault="00524720">
            <w:pPr>
              <w:pStyle w:val="TableTextBold"/>
              <w:spacing w:before="50" w:after="50"/>
              <w:rPr>
                <w:noProof w:val="0"/>
              </w:rPr>
            </w:pPr>
            <w:r w:rsidRPr="00D9348B">
              <w:rPr>
                <w:noProof w:val="0"/>
              </w:rPr>
              <w:t>2008</w:t>
            </w:r>
          </w:p>
        </w:tc>
        <w:tc>
          <w:tcPr>
            <w:tcW w:w="2475" w:type="dxa"/>
            <w:tcBorders>
              <w:top w:val="single" w:sz="4" w:space="0" w:color="365F91"/>
              <w:left w:val="nil"/>
              <w:bottom w:val="single" w:sz="4" w:space="0" w:color="365F91"/>
              <w:right w:val="nil"/>
            </w:tcBorders>
            <w:hideMark/>
          </w:tcPr>
          <w:p w14:paraId="0B081E50" w14:textId="77777777" w:rsidR="00524720" w:rsidRPr="00D9348B" w:rsidRDefault="00524720">
            <w:pPr>
              <w:pStyle w:val="TableText"/>
              <w:spacing w:before="50" w:after="50"/>
              <w:jc w:val="center"/>
            </w:pPr>
            <w:r w:rsidRPr="00D9348B">
              <w:t>1,120.9</w:t>
            </w:r>
          </w:p>
        </w:tc>
        <w:tc>
          <w:tcPr>
            <w:tcW w:w="2475" w:type="dxa"/>
            <w:tcBorders>
              <w:top w:val="single" w:sz="4" w:space="0" w:color="365F91"/>
              <w:left w:val="nil"/>
              <w:bottom w:val="single" w:sz="4" w:space="0" w:color="365F91"/>
              <w:right w:val="nil"/>
            </w:tcBorders>
            <w:hideMark/>
          </w:tcPr>
          <w:p w14:paraId="517FA0E1" w14:textId="77777777" w:rsidR="00524720" w:rsidRPr="00D9348B" w:rsidRDefault="00524720">
            <w:pPr>
              <w:pStyle w:val="TableText"/>
              <w:spacing w:before="50" w:after="50"/>
              <w:jc w:val="center"/>
            </w:pPr>
            <w:r w:rsidRPr="00D9348B">
              <w:t>4,556.1</w:t>
            </w:r>
          </w:p>
        </w:tc>
        <w:tc>
          <w:tcPr>
            <w:tcW w:w="2477" w:type="dxa"/>
            <w:tcBorders>
              <w:top w:val="single" w:sz="4" w:space="0" w:color="365F91"/>
              <w:left w:val="nil"/>
              <w:bottom w:val="single" w:sz="4" w:space="0" w:color="365F91"/>
              <w:right w:val="nil"/>
            </w:tcBorders>
            <w:hideMark/>
          </w:tcPr>
          <w:p w14:paraId="284BABF6" w14:textId="77777777" w:rsidR="00524720" w:rsidRPr="00D9348B" w:rsidRDefault="00524720">
            <w:pPr>
              <w:pStyle w:val="TableText"/>
              <w:spacing w:before="50" w:after="50"/>
              <w:jc w:val="center"/>
            </w:pPr>
            <w:r w:rsidRPr="00D9348B">
              <w:t>5,677.1</w:t>
            </w:r>
          </w:p>
        </w:tc>
      </w:tr>
      <w:tr w:rsidR="00524720" w:rsidRPr="00D9348B" w14:paraId="332E5E69" w14:textId="77777777" w:rsidTr="009F6E65">
        <w:tc>
          <w:tcPr>
            <w:tcW w:w="1078" w:type="dxa"/>
            <w:tcBorders>
              <w:top w:val="single" w:sz="4" w:space="0" w:color="365F91"/>
              <w:left w:val="nil"/>
              <w:bottom w:val="single" w:sz="4" w:space="0" w:color="365F91"/>
              <w:right w:val="nil"/>
            </w:tcBorders>
            <w:hideMark/>
          </w:tcPr>
          <w:p w14:paraId="6E283846" w14:textId="77777777" w:rsidR="00524720" w:rsidRPr="00D9348B" w:rsidRDefault="00524720">
            <w:pPr>
              <w:pStyle w:val="TableTextBold"/>
              <w:spacing w:before="50" w:after="50"/>
              <w:rPr>
                <w:noProof w:val="0"/>
              </w:rPr>
            </w:pPr>
            <w:r w:rsidRPr="00D9348B">
              <w:rPr>
                <w:noProof w:val="0"/>
              </w:rPr>
              <w:t>2009</w:t>
            </w:r>
          </w:p>
        </w:tc>
        <w:tc>
          <w:tcPr>
            <w:tcW w:w="2475" w:type="dxa"/>
            <w:tcBorders>
              <w:top w:val="single" w:sz="4" w:space="0" w:color="365F91"/>
              <w:left w:val="nil"/>
              <w:bottom w:val="single" w:sz="4" w:space="0" w:color="365F91"/>
              <w:right w:val="nil"/>
            </w:tcBorders>
            <w:hideMark/>
          </w:tcPr>
          <w:p w14:paraId="1803D470" w14:textId="77777777" w:rsidR="00524720" w:rsidRPr="00D9348B" w:rsidRDefault="00524720">
            <w:pPr>
              <w:pStyle w:val="TableText"/>
              <w:spacing w:before="50" w:after="50"/>
              <w:jc w:val="center"/>
            </w:pPr>
            <w:r w:rsidRPr="00D9348B">
              <w:t>1,097.7</w:t>
            </w:r>
          </w:p>
        </w:tc>
        <w:tc>
          <w:tcPr>
            <w:tcW w:w="2475" w:type="dxa"/>
            <w:tcBorders>
              <w:top w:val="single" w:sz="4" w:space="0" w:color="365F91"/>
              <w:left w:val="nil"/>
              <w:bottom w:val="single" w:sz="4" w:space="0" w:color="365F91"/>
              <w:right w:val="nil"/>
            </w:tcBorders>
            <w:hideMark/>
          </w:tcPr>
          <w:p w14:paraId="65F97BAA" w14:textId="77777777" w:rsidR="00524720" w:rsidRPr="00D9348B" w:rsidRDefault="00524720">
            <w:pPr>
              <w:pStyle w:val="TableText"/>
              <w:spacing w:before="50" w:after="50"/>
              <w:jc w:val="center"/>
            </w:pPr>
            <w:r w:rsidRPr="00D9348B">
              <w:t>4,510.2</w:t>
            </w:r>
          </w:p>
        </w:tc>
        <w:tc>
          <w:tcPr>
            <w:tcW w:w="2477" w:type="dxa"/>
            <w:tcBorders>
              <w:top w:val="single" w:sz="4" w:space="0" w:color="365F91"/>
              <w:left w:val="nil"/>
              <w:bottom w:val="single" w:sz="4" w:space="0" w:color="365F91"/>
              <w:right w:val="nil"/>
            </w:tcBorders>
            <w:hideMark/>
          </w:tcPr>
          <w:p w14:paraId="2F0A24B1" w14:textId="77777777" w:rsidR="00524720" w:rsidRPr="00D9348B" w:rsidRDefault="00524720">
            <w:pPr>
              <w:pStyle w:val="TableText"/>
              <w:spacing w:before="50" w:after="50"/>
              <w:jc w:val="center"/>
            </w:pPr>
            <w:r w:rsidRPr="00D9348B">
              <w:t>5,607.9</w:t>
            </w:r>
          </w:p>
        </w:tc>
      </w:tr>
      <w:tr w:rsidR="00524720" w:rsidRPr="00D9348B" w14:paraId="6D481F76" w14:textId="77777777" w:rsidTr="009F6E65">
        <w:tc>
          <w:tcPr>
            <w:tcW w:w="1078" w:type="dxa"/>
            <w:tcBorders>
              <w:top w:val="single" w:sz="4" w:space="0" w:color="365F91"/>
              <w:left w:val="nil"/>
              <w:bottom w:val="single" w:sz="4" w:space="0" w:color="365F91"/>
              <w:right w:val="nil"/>
            </w:tcBorders>
            <w:hideMark/>
          </w:tcPr>
          <w:p w14:paraId="14E8C042" w14:textId="77777777" w:rsidR="00524720" w:rsidRPr="00D9348B" w:rsidRDefault="00524720">
            <w:pPr>
              <w:pStyle w:val="TableTextBold"/>
              <w:spacing w:before="50" w:after="50"/>
              <w:rPr>
                <w:noProof w:val="0"/>
              </w:rPr>
            </w:pPr>
            <w:r w:rsidRPr="00D9348B">
              <w:rPr>
                <w:noProof w:val="0"/>
              </w:rPr>
              <w:t>2010</w:t>
            </w:r>
          </w:p>
        </w:tc>
        <w:tc>
          <w:tcPr>
            <w:tcW w:w="2475" w:type="dxa"/>
            <w:tcBorders>
              <w:top w:val="single" w:sz="4" w:space="0" w:color="365F91"/>
              <w:left w:val="nil"/>
              <w:bottom w:val="single" w:sz="4" w:space="0" w:color="365F91"/>
              <w:right w:val="nil"/>
            </w:tcBorders>
            <w:hideMark/>
          </w:tcPr>
          <w:p w14:paraId="40245CD9" w14:textId="77777777" w:rsidR="00524720" w:rsidRPr="00D9348B" w:rsidRDefault="00524720">
            <w:pPr>
              <w:pStyle w:val="TableText"/>
              <w:spacing w:before="50" w:after="50"/>
              <w:jc w:val="center"/>
            </w:pPr>
            <w:r w:rsidRPr="00D9348B">
              <w:t>1,108.2</w:t>
            </w:r>
          </w:p>
        </w:tc>
        <w:tc>
          <w:tcPr>
            <w:tcW w:w="2475" w:type="dxa"/>
            <w:tcBorders>
              <w:top w:val="single" w:sz="4" w:space="0" w:color="365F91"/>
              <w:left w:val="nil"/>
              <w:bottom w:val="single" w:sz="4" w:space="0" w:color="365F91"/>
              <w:right w:val="nil"/>
            </w:tcBorders>
            <w:hideMark/>
          </w:tcPr>
          <w:p w14:paraId="4E0AC580" w14:textId="77777777" w:rsidR="00524720" w:rsidRPr="00D9348B" w:rsidRDefault="00524720">
            <w:pPr>
              <w:pStyle w:val="TableText"/>
              <w:spacing w:before="50" w:after="50"/>
              <w:jc w:val="center"/>
            </w:pPr>
            <w:r w:rsidRPr="00D9348B">
              <w:t>4,500.5</w:t>
            </w:r>
          </w:p>
        </w:tc>
        <w:tc>
          <w:tcPr>
            <w:tcW w:w="2477" w:type="dxa"/>
            <w:tcBorders>
              <w:top w:val="single" w:sz="4" w:space="0" w:color="365F91"/>
              <w:left w:val="nil"/>
              <w:bottom w:val="single" w:sz="4" w:space="0" w:color="365F91"/>
              <w:right w:val="nil"/>
            </w:tcBorders>
            <w:hideMark/>
          </w:tcPr>
          <w:p w14:paraId="0E47A315" w14:textId="77777777" w:rsidR="00524720" w:rsidRPr="00D9348B" w:rsidRDefault="00524720">
            <w:pPr>
              <w:pStyle w:val="TableText"/>
              <w:spacing w:before="50" w:after="50"/>
              <w:jc w:val="center"/>
            </w:pPr>
            <w:r w:rsidRPr="00D9348B">
              <w:t>5,608.7</w:t>
            </w:r>
          </w:p>
        </w:tc>
      </w:tr>
      <w:tr w:rsidR="00524720" w:rsidRPr="00D9348B" w14:paraId="42E30E52" w14:textId="77777777" w:rsidTr="009F6E65">
        <w:tc>
          <w:tcPr>
            <w:tcW w:w="1078" w:type="dxa"/>
            <w:tcBorders>
              <w:top w:val="single" w:sz="4" w:space="0" w:color="365F91"/>
              <w:left w:val="nil"/>
              <w:bottom w:val="single" w:sz="4" w:space="0" w:color="365F91"/>
              <w:right w:val="nil"/>
            </w:tcBorders>
            <w:hideMark/>
          </w:tcPr>
          <w:p w14:paraId="02EBF2F9" w14:textId="77777777" w:rsidR="00524720" w:rsidRPr="00D9348B" w:rsidRDefault="00524720">
            <w:pPr>
              <w:pStyle w:val="TableTextBold"/>
              <w:spacing w:before="50" w:after="50"/>
              <w:rPr>
                <w:noProof w:val="0"/>
              </w:rPr>
            </w:pPr>
            <w:r w:rsidRPr="00D9348B">
              <w:rPr>
                <w:noProof w:val="0"/>
              </w:rPr>
              <w:t>2011</w:t>
            </w:r>
          </w:p>
        </w:tc>
        <w:tc>
          <w:tcPr>
            <w:tcW w:w="2475" w:type="dxa"/>
            <w:tcBorders>
              <w:top w:val="single" w:sz="4" w:space="0" w:color="365F91"/>
              <w:left w:val="nil"/>
              <w:bottom w:val="single" w:sz="4" w:space="0" w:color="365F91"/>
              <w:right w:val="nil"/>
            </w:tcBorders>
            <w:hideMark/>
          </w:tcPr>
          <w:p w14:paraId="30D4ECBC" w14:textId="77777777" w:rsidR="00524720" w:rsidRPr="00D9348B" w:rsidRDefault="00524720">
            <w:pPr>
              <w:pStyle w:val="TableText"/>
              <w:spacing w:before="50" w:after="50"/>
              <w:jc w:val="center"/>
            </w:pPr>
            <w:r w:rsidRPr="00D9348B">
              <w:t>1,073.5</w:t>
            </w:r>
          </w:p>
        </w:tc>
        <w:tc>
          <w:tcPr>
            <w:tcW w:w="2475" w:type="dxa"/>
            <w:tcBorders>
              <w:top w:val="single" w:sz="4" w:space="0" w:color="365F91"/>
              <w:left w:val="nil"/>
              <w:bottom w:val="single" w:sz="4" w:space="0" w:color="365F91"/>
              <w:right w:val="nil"/>
            </w:tcBorders>
            <w:hideMark/>
          </w:tcPr>
          <w:p w14:paraId="738ABD91" w14:textId="77777777" w:rsidR="00524720" w:rsidRPr="00D9348B" w:rsidRDefault="00524720">
            <w:pPr>
              <w:pStyle w:val="TableText"/>
              <w:spacing w:before="50" w:after="50"/>
              <w:jc w:val="center"/>
            </w:pPr>
            <w:r w:rsidRPr="00D9348B">
              <w:t>4,569.6</w:t>
            </w:r>
          </w:p>
        </w:tc>
        <w:tc>
          <w:tcPr>
            <w:tcW w:w="2477" w:type="dxa"/>
            <w:tcBorders>
              <w:top w:val="single" w:sz="4" w:space="0" w:color="365F91"/>
              <w:left w:val="nil"/>
              <w:bottom w:val="single" w:sz="4" w:space="0" w:color="365F91"/>
              <w:right w:val="nil"/>
            </w:tcBorders>
            <w:hideMark/>
          </w:tcPr>
          <w:p w14:paraId="2C974948" w14:textId="77777777" w:rsidR="00524720" w:rsidRPr="00D9348B" w:rsidRDefault="00524720">
            <w:pPr>
              <w:pStyle w:val="TableText"/>
              <w:spacing w:before="50" w:after="50"/>
              <w:jc w:val="center"/>
            </w:pPr>
            <w:r w:rsidRPr="00D9348B">
              <w:t>5,643.1</w:t>
            </w:r>
          </w:p>
        </w:tc>
      </w:tr>
      <w:tr w:rsidR="00524720" w:rsidRPr="00D9348B" w14:paraId="09E12264" w14:textId="77777777" w:rsidTr="009F6E65">
        <w:tc>
          <w:tcPr>
            <w:tcW w:w="1078" w:type="dxa"/>
            <w:tcBorders>
              <w:top w:val="single" w:sz="4" w:space="0" w:color="365F91"/>
              <w:left w:val="nil"/>
              <w:bottom w:val="single" w:sz="4" w:space="0" w:color="365F91"/>
              <w:right w:val="nil"/>
            </w:tcBorders>
            <w:hideMark/>
          </w:tcPr>
          <w:p w14:paraId="1BA93E5A" w14:textId="77777777" w:rsidR="00524720" w:rsidRPr="00D9348B" w:rsidRDefault="00524720">
            <w:pPr>
              <w:pStyle w:val="TableTextBold"/>
              <w:spacing w:before="50" w:after="50"/>
              <w:rPr>
                <w:noProof w:val="0"/>
              </w:rPr>
            </w:pPr>
            <w:r w:rsidRPr="00D9348B">
              <w:rPr>
                <w:noProof w:val="0"/>
              </w:rPr>
              <w:t>2012</w:t>
            </w:r>
          </w:p>
        </w:tc>
        <w:tc>
          <w:tcPr>
            <w:tcW w:w="2475" w:type="dxa"/>
            <w:tcBorders>
              <w:top w:val="single" w:sz="4" w:space="0" w:color="365F91"/>
              <w:left w:val="nil"/>
              <w:bottom w:val="single" w:sz="4" w:space="0" w:color="365F91"/>
              <w:right w:val="nil"/>
            </w:tcBorders>
            <w:hideMark/>
          </w:tcPr>
          <w:p w14:paraId="46C9BF03" w14:textId="77777777" w:rsidR="00524720" w:rsidRPr="00D9348B" w:rsidRDefault="00524720">
            <w:pPr>
              <w:pStyle w:val="TableText"/>
              <w:spacing w:before="50" w:after="50"/>
              <w:jc w:val="center"/>
            </w:pPr>
            <w:r w:rsidRPr="00D9348B">
              <w:t>1,076.2</w:t>
            </w:r>
          </w:p>
        </w:tc>
        <w:tc>
          <w:tcPr>
            <w:tcW w:w="2475" w:type="dxa"/>
            <w:tcBorders>
              <w:top w:val="single" w:sz="4" w:space="0" w:color="365F91"/>
              <w:left w:val="nil"/>
              <w:bottom w:val="single" w:sz="4" w:space="0" w:color="365F91"/>
              <w:right w:val="nil"/>
            </w:tcBorders>
            <w:hideMark/>
          </w:tcPr>
          <w:p w14:paraId="44B1B865" w14:textId="77777777" w:rsidR="00524720" w:rsidRPr="00D9348B" w:rsidRDefault="00524720">
            <w:pPr>
              <w:pStyle w:val="TableText"/>
              <w:spacing w:before="50" w:after="50"/>
              <w:jc w:val="center"/>
            </w:pPr>
            <w:r w:rsidRPr="00D9348B">
              <w:t>4,676.8</w:t>
            </w:r>
          </w:p>
        </w:tc>
        <w:tc>
          <w:tcPr>
            <w:tcW w:w="2477" w:type="dxa"/>
            <w:tcBorders>
              <w:top w:val="single" w:sz="4" w:space="0" w:color="365F91"/>
              <w:left w:val="nil"/>
              <w:bottom w:val="single" w:sz="4" w:space="0" w:color="365F91"/>
              <w:right w:val="nil"/>
            </w:tcBorders>
            <w:hideMark/>
          </w:tcPr>
          <w:p w14:paraId="70FBE084" w14:textId="77777777" w:rsidR="00524720" w:rsidRPr="00D9348B" w:rsidRDefault="00524720">
            <w:pPr>
              <w:pStyle w:val="TableText"/>
              <w:spacing w:before="50" w:after="50"/>
              <w:jc w:val="center"/>
            </w:pPr>
            <w:r w:rsidRPr="00D9348B">
              <w:t>5,753.0</w:t>
            </w:r>
          </w:p>
        </w:tc>
      </w:tr>
      <w:tr w:rsidR="00524720" w:rsidRPr="00D9348B" w14:paraId="15FB10FB" w14:textId="77777777" w:rsidTr="009F6E65">
        <w:tc>
          <w:tcPr>
            <w:tcW w:w="1078" w:type="dxa"/>
            <w:tcBorders>
              <w:top w:val="single" w:sz="4" w:space="0" w:color="365F91"/>
              <w:left w:val="nil"/>
              <w:bottom w:val="single" w:sz="4" w:space="0" w:color="365F91"/>
              <w:right w:val="nil"/>
            </w:tcBorders>
            <w:hideMark/>
          </w:tcPr>
          <w:p w14:paraId="1CF10250" w14:textId="77777777" w:rsidR="00524720" w:rsidRPr="00D9348B" w:rsidRDefault="00524720">
            <w:pPr>
              <w:pStyle w:val="TableTextBold"/>
              <w:spacing w:before="50" w:after="50"/>
              <w:rPr>
                <w:noProof w:val="0"/>
              </w:rPr>
            </w:pPr>
            <w:r w:rsidRPr="00D9348B">
              <w:rPr>
                <w:noProof w:val="0"/>
              </w:rPr>
              <w:t>2013</w:t>
            </w:r>
          </w:p>
        </w:tc>
        <w:tc>
          <w:tcPr>
            <w:tcW w:w="2475" w:type="dxa"/>
            <w:tcBorders>
              <w:top w:val="single" w:sz="4" w:space="0" w:color="365F91"/>
              <w:left w:val="nil"/>
              <w:bottom w:val="single" w:sz="4" w:space="0" w:color="365F91"/>
              <w:right w:val="nil"/>
            </w:tcBorders>
            <w:hideMark/>
          </w:tcPr>
          <w:p w14:paraId="64F28270" w14:textId="77777777" w:rsidR="00524720" w:rsidRPr="00D9348B" w:rsidRDefault="00524720">
            <w:pPr>
              <w:pStyle w:val="TableText"/>
              <w:spacing w:before="50" w:after="50"/>
              <w:jc w:val="center"/>
            </w:pPr>
            <w:r w:rsidRPr="00D9348B">
              <w:t>1,048.8</w:t>
            </w:r>
          </w:p>
        </w:tc>
        <w:tc>
          <w:tcPr>
            <w:tcW w:w="2475" w:type="dxa"/>
            <w:tcBorders>
              <w:top w:val="single" w:sz="4" w:space="0" w:color="365F91"/>
              <w:left w:val="nil"/>
              <w:bottom w:val="single" w:sz="4" w:space="0" w:color="365F91"/>
              <w:right w:val="nil"/>
            </w:tcBorders>
            <w:hideMark/>
          </w:tcPr>
          <w:p w14:paraId="4682F88D" w14:textId="77777777" w:rsidR="00524720" w:rsidRPr="00D9348B" w:rsidRDefault="00524720">
            <w:pPr>
              <w:pStyle w:val="TableText"/>
              <w:spacing w:before="50" w:after="50"/>
              <w:jc w:val="center"/>
            </w:pPr>
            <w:r w:rsidRPr="00D9348B">
              <w:t>4,780.6</w:t>
            </w:r>
          </w:p>
        </w:tc>
        <w:tc>
          <w:tcPr>
            <w:tcW w:w="2477" w:type="dxa"/>
            <w:tcBorders>
              <w:top w:val="single" w:sz="4" w:space="0" w:color="365F91"/>
              <w:left w:val="nil"/>
              <w:bottom w:val="single" w:sz="4" w:space="0" w:color="365F91"/>
              <w:right w:val="nil"/>
            </w:tcBorders>
            <w:hideMark/>
          </w:tcPr>
          <w:p w14:paraId="29860859" w14:textId="77777777" w:rsidR="00524720" w:rsidRPr="00D9348B" w:rsidRDefault="00524720">
            <w:pPr>
              <w:pStyle w:val="TableText"/>
              <w:spacing w:before="50" w:after="50"/>
              <w:jc w:val="center"/>
            </w:pPr>
            <w:r w:rsidRPr="00D9348B">
              <w:t>5,829.4</w:t>
            </w:r>
          </w:p>
        </w:tc>
      </w:tr>
      <w:tr w:rsidR="00524720" w:rsidRPr="00D9348B" w14:paraId="1020A5BA" w14:textId="77777777" w:rsidTr="009F6E65">
        <w:tc>
          <w:tcPr>
            <w:tcW w:w="1078" w:type="dxa"/>
            <w:tcBorders>
              <w:top w:val="single" w:sz="4" w:space="0" w:color="365F91"/>
              <w:left w:val="nil"/>
              <w:bottom w:val="single" w:sz="4" w:space="0" w:color="365F91"/>
              <w:right w:val="nil"/>
            </w:tcBorders>
            <w:hideMark/>
          </w:tcPr>
          <w:p w14:paraId="5BC72E12" w14:textId="77777777" w:rsidR="00524720" w:rsidRPr="00D9348B" w:rsidRDefault="00524720">
            <w:pPr>
              <w:pStyle w:val="TableTextBold"/>
              <w:spacing w:before="50" w:after="50"/>
              <w:rPr>
                <w:noProof w:val="0"/>
              </w:rPr>
            </w:pPr>
            <w:r w:rsidRPr="00D9348B">
              <w:rPr>
                <w:noProof w:val="0"/>
              </w:rPr>
              <w:t>2014</w:t>
            </w:r>
          </w:p>
        </w:tc>
        <w:tc>
          <w:tcPr>
            <w:tcW w:w="2475" w:type="dxa"/>
            <w:tcBorders>
              <w:top w:val="single" w:sz="4" w:space="0" w:color="365F91"/>
              <w:left w:val="nil"/>
              <w:bottom w:val="single" w:sz="4" w:space="0" w:color="365F91"/>
              <w:right w:val="nil"/>
            </w:tcBorders>
            <w:hideMark/>
          </w:tcPr>
          <w:p w14:paraId="033F4DEC" w14:textId="77777777" w:rsidR="00524720" w:rsidRPr="00D9348B" w:rsidRDefault="00524720">
            <w:pPr>
              <w:pStyle w:val="TableText"/>
              <w:spacing w:before="50" w:after="50"/>
              <w:jc w:val="center"/>
            </w:pPr>
            <w:r w:rsidRPr="00D9348B">
              <w:t>1,049.5</w:t>
            </w:r>
          </w:p>
        </w:tc>
        <w:tc>
          <w:tcPr>
            <w:tcW w:w="2475" w:type="dxa"/>
            <w:tcBorders>
              <w:top w:val="single" w:sz="4" w:space="0" w:color="365F91"/>
              <w:left w:val="nil"/>
              <w:bottom w:val="single" w:sz="4" w:space="0" w:color="365F91"/>
              <w:right w:val="nil"/>
            </w:tcBorders>
            <w:hideMark/>
          </w:tcPr>
          <w:p w14:paraId="2E9D00FF" w14:textId="77777777" w:rsidR="00524720" w:rsidRPr="00D9348B" w:rsidRDefault="00524720">
            <w:pPr>
              <w:pStyle w:val="TableText"/>
              <w:spacing w:before="50" w:after="50"/>
              <w:jc w:val="center"/>
            </w:pPr>
            <w:r w:rsidRPr="00D9348B">
              <w:t>4,903.9</w:t>
            </w:r>
          </w:p>
        </w:tc>
        <w:tc>
          <w:tcPr>
            <w:tcW w:w="2477" w:type="dxa"/>
            <w:tcBorders>
              <w:top w:val="single" w:sz="4" w:space="0" w:color="365F91"/>
              <w:left w:val="nil"/>
              <w:bottom w:val="single" w:sz="4" w:space="0" w:color="365F91"/>
              <w:right w:val="nil"/>
            </w:tcBorders>
            <w:hideMark/>
          </w:tcPr>
          <w:p w14:paraId="583BFB33" w14:textId="77777777" w:rsidR="00524720" w:rsidRPr="00D9348B" w:rsidRDefault="00524720">
            <w:pPr>
              <w:pStyle w:val="TableText"/>
              <w:spacing w:before="50" w:after="50"/>
              <w:jc w:val="center"/>
            </w:pPr>
            <w:r w:rsidRPr="00D9348B">
              <w:t>5,953.4</w:t>
            </w:r>
          </w:p>
        </w:tc>
      </w:tr>
      <w:tr w:rsidR="00524720" w:rsidRPr="00D9348B" w14:paraId="2612D493" w14:textId="77777777" w:rsidTr="009F6E65">
        <w:tc>
          <w:tcPr>
            <w:tcW w:w="1078" w:type="dxa"/>
            <w:tcBorders>
              <w:top w:val="single" w:sz="4" w:space="0" w:color="365F91"/>
              <w:left w:val="nil"/>
              <w:bottom w:val="single" w:sz="4" w:space="0" w:color="365F91"/>
              <w:right w:val="nil"/>
            </w:tcBorders>
            <w:hideMark/>
          </w:tcPr>
          <w:p w14:paraId="4F828E03" w14:textId="77777777" w:rsidR="00524720" w:rsidRPr="00D9348B" w:rsidRDefault="00524720">
            <w:pPr>
              <w:pStyle w:val="TableTextBold"/>
              <w:spacing w:before="50" w:after="50"/>
              <w:rPr>
                <w:noProof w:val="0"/>
              </w:rPr>
            </w:pPr>
            <w:r w:rsidRPr="00D9348B">
              <w:rPr>
                <w:noProof w:val="0"/>
              </w:rPr>
              <w:t>2015</w:t>
            </w:r>
          </w:p>
        </w:tc>
        <w:tc>
          <w:tcPr>
            <w:tcW w:w="2475" w:type="dxa"/>
            <w:tcBorders>
              <w:top w:val="single" w:sz="4" w:space="0" w:color="365F91"/>
              <w:left w:val="nil"/>
              <w:bottom w:val="single" w:sz="4" w:space="0" w:color="365F91"/>
              <w:right w:val="nil"/>
            </w:tcBorders>
            <w:hideMark/>
          </w:tcPr>
          <w:p w14:paraId="5E8EE0D4" w14:textId="77777777" w:rsidR="00524720" w:rsidRPr="00D9348B" w:rsidRDefault="00524720">
            <w:pPr>
              <w:pStyle w:val="TableText"/>
              <w:spacing w:before="50" w:after="50"/>
              <w:jc w:val="center"/>
            </w:pPr>
            <w:r w:rsidRPr="00D9348B">
              <w:t>1,022.2</w:t>
            </w:r>
          </w:p>
        </w:tc>
        <w:tc>
          <w:tcPr>
            <w:tcW w:w="2475" w:type="dxa"/>
            <w:tcBorders>
              <w:top w:val="single" w:sz="4" w:space="0" w:color="365F91"/>
              <w:left w:val="nil"/>
              <w:bottom w:val="single" w:sz="4" w:space="0" w:color="365F91"/>
              <w:right w:val="nil"/>
            </w:tcBorders>
            <w:hideMark/>
          </w:tcPr>
          <w:p w14:paraId="2A5419C1" w14:textId="77777777" w:rsidR="00524720" w:rsidRPr="00D9348B" w:rsidRDefault="00524720">
            <w:pPr>
              <w:pStyle w:val="TableText"/>
              <w:spacing w:before="50" w:after="50"/>
              <w:jc w:val="center"/>
            </w:pPr>
            <w:r w:rsidRPr="00D9348B">
              <w:t>5,086.2</w:t>
            </w:r>
          </w:p>
        </w:tc>
        <w:tc>
          <w:tcPr>
            <w:tcW w:w="2477" w:type="dxa"/>
            <w:tcBorders>
              <w:top w:val="single" w:sz="4" w:space="0" w:color="365F91"/>
              <w:left w:val="nil"/>
              <w:bottom w:val="single" w:sz="4" w:space="0" w:color="365F91"/>
              <w:right w:val="nil"/>
            </w:tcBorders>
            <w:hideMark/>
          </w:tcPr>
          <w:p w14:paraId="776CDACD" w14:textId="77777777" w:rsidR="00524720" w:rsidRPr="00D9348B" w:rsidRDefault="00524720">
            <w:pPr>
              <w:pStyle w:val="TableText"/>
              <w:spacing w:before="50" w:after="50"/>
              <w:jc w:val="center"/>
            </w:pPr>
            <w:r w:rsidRPr="00D9348B">
              <w:t>6,108.4</w:t>
            </w:r>
          </w:p>
        </w:tc>
      </w:tr>
      <w:tr w:rsidR="00524720" w:rsidRPr="00D9348B" w14:paraId="01F529C5" w14:textId="77777777" w:rsidTr="009F6E65">
        <w:tc>
          <w:tcPr>
            <w:tcW w:w="1078" w:type="dxa"/>
            <w:tcBorders>
              <w:top w:val="single" w:sz="4" w:space="0" w:color="365F91"/>
              <w:left w:val="nil"/>
              <w:bottom w:val="single" w:sz="4" w:space="0" w:color="365F91"/>
              <w:right w:val="nil"/>
            </w:tcBorders>
            <w:hideMark/>
          </w:tcPr>
          <w:p w14:paraId="3B71C6AC" w14:textId="77777777" w:rsidR="00524720" w:rsidRPr="00D9348B" w:rsidRDefault="00524720">
            <w:pPr>
              <w:pStyle w:val="TableTextBold"/>
              <w:spacing w:before="50" w:after="50"/>
              <w:rPr>
                <w:noProof w:val="0"/>
              </w:rPr>
            </w:pPr>
            <w:r w:rsidRPr="00D9348B">
              <w:rPr>
                <w:noProof w:val="0"/>
              </w:rPr>
              <w:t>2016</w:t>
            </w:r>
          </w:p>
        </w:tc>
        <w:tc>
          <w:tcPr>
            <w:tcW w:w="2475" w:type="dxa"/>
            <w:tcBorders>
              <w:top w:val="single" w:sz="4" w:space="0" w:color="365F91"/>
              <w:left w:val="nil"/>
              <w:bottom w:val="single" w:sz="4" w:space="0" w:color="365F91"/>
              <w:right w:val="nil"/>
            </w:tcBorders>
            <w:hideMark/>
          </w:tcPr>
          <w:p w14:paraId="16DF81F7" w14:textId="77777777" w:rsidR="00524720" w:rsidRPr="00D9348B" w:rsidRDefault="00524720">
            <w:pPr>
              <w:pStyle w:val="TableText"/>
              <w:spacing w:before="50" w:after="50"/>
              <w:jc w:val="center"/>
            </w:pPr>
            <w:r w:rsidRPr="00D9348B">
              <w:t>1,026.8</w:t>
            </w:r>
          </w:p>
        </w:tc>
        <w:tc>
          <w:tcPr>
            <w:tcW w:w="2475" w:type="dxa"/>
            <w:tcBorders>
              <w:top w:val="single" w:sz="4" w:space="0" w:color="365F91"/>
              <w:left w:val="nil"/>
              <w:bottom w:val="single" w:sz="4" w:space="0" w:color="365F91"/>
              <w:right w:val="nil"/>
            </w:tcBorders>
            <w:hideMark/>
          </w:tcPr>
          <w:p w14:paraId="17898D2A" w14:textId="77777777" w:rsidR="00524720" w:rsidRPr="00D9348B" w:rsidRDefault="00524720">
            <w:pPr>
              <w:pStyle w:val="TableText"/>
              <w:spacing w:before="50" w:after="50"/>
              <w:jc w:val="center"/>
            </w:pPr>
            <w:r w:rsidRPr="00D9348B">
              <w:t>5,268.3</w:t>
            </w:r>
          </w:p>
        </w:tc>
        <w:tc>
          <w:tcPr>
            <w:tcW w:w="2477" w:type="dxa"/>
            <w:tcBorders>
              <w:top w:val="single" w:sz="4" w:space="0" w:color="365F91"/>
              <w:left w:val="nil"/>
              <w:bottom w:val="single" w:sz="4" w:space="0" w:color="365F91"/>
              <w:right w:val="nil"/>
            </w:tcBorders>
            <w:hideMark/>
          </w:tcPr>
          <w:p w14:paraId="12F95316" w14:textId="77777777" w:rsidR="00524720" w:rsidRPr="00D9348B" w:rsidRDefault="00524720">
            <w:pPr>
              <w:pStyle w:val="TableText"/>
              <w:spacing w:before="50" w:after="50"/>
              <w:jc w:val="center"/>
            </w:pPr>
            <w:r w:rsidRPr="00D9348B">
              <w:t>6,295.1</w:t>
            </w:r>
          </w:p>
        </w:tc>
      </w:tr>
      <w:tr w:rsidR="00524720" w:rsidRPr="00D9348B" w14:paraId="03252E6B" w14:textId="77777777" w:rsidTr="009F6E65">
        <w:tc>
          <w:tcPr>
            <w:tcW w:w="1078" w:type="dxa"/>
            <w:tcBorders>
              <w:top w:val="single" w:sz="4" w:space="0" w:color="365F91"/>
              <w:left w:val="nil"/>
              <w:bottom w:val="single" w:sz="4" w:space="0" w:color="365F91"/>
              <w:right w:val="nil"/>
            </w:tcBorders>
            <w:hideMark/>
          </w:tcPr>
          <w:p w14:paraId="35501594" w14:textId="77777777" w:rsidR="00524720" w:rsidRPr="00D9348B" w:rsidRDefault="00524720">
            <w:pPr>
              <w:pStyle w:val="TableTextBold"/>
              <w:spacing w:before="50" w:after="50"/>
              <w:rPr>
                <w:noProof w:val="0"/>
              </w:rPr>
            </w:pPr>
            <w:r w:rsidRPr="00D9348B">
              <w:rPr>
                <w:noProof w:val="0"/>
              </w:rPr>
              <w:t>2017</w:t>
            </w:r>
          </w:p>
        </w:tc>
        <w:tc>
          <w:tcPr>
            <w:tcW w:w="2475" w:type="dxa"/>
            <w:tcBorders>
              <w:top w:val="single" w:sz="4" w:space="0" w:color="365F91"/>
              <w:left w:val="nil"/>
              <w:bottom w:val="single" w:sz="4" w:space="0" w:color="365F91"/>
              <w:right w:val="nil"/>
            </w:tcBorders>
            <w:hideMark/>
          </w:tcPr>
          <w:p w14:paraId="5C588C48" w14:textId="77777777" w:rsidR="00524720" w:rsidRPr="00D9348B" w:rsidRDefault="00524720">
            <w:pPr>
              <w:pStyle w:val="TableText"/>
              <w:spacing w:before="50" w:after="50"/>
              <w:jc w:val="center"/>
            </w:pPr>
            <w:r w:rsidRPr="00D9348B">
              <w:t>969.5</w:t>
            </w:r>
          </w:p>
        </w:tc>
        <w:tc>
          <w:tcPr>
            <w:tcW w:w="2475" w:type="dxa"/>
            <w:tcBorders>
              <w:top w:val="single" w:sz="4" w:space="0" w:color="365F91"/>
              <w:left w:val="nil"/>
              <w:bottom w:val="single" w:sz="4" w:space="0" w:color="365F91"/>
              <w:right w:val="nil"/>
            </w:tcBorders>
            <w:hideMark/>
          </w:tcPr>
          <w:p w14:paraId="4C0A9BDE" w14:textId="77777777" w:rsidR="00524720" w:rsidRPr="00D9348B" w:rsidRDefault="00524720">
            <w:pPr>
              <w:pStyle w:val="TableText"/>
              <w:spacing w:before="50" w:after="50"/>
              <w:jc w:val="center"/>
            </w:pPr>
            <w:r w:rsidRPr="00D9348B">
              <w:t>5,460.9</w:t>
            </w:r>
          </w:p>
        </w:tc>
        <w:tc>
          <w:tcPr>
            <w:tcW w:w="2477" w:type="dxa"/>
            <w:tcBorders>
              <w:top w:val="single" w:sz="4" w:space="0" w:color="365F91"/>
              <w:left w:val="nil"/>
              <w:bottom w:val="single" w:sz="4" w:space="0" w:color="365F91"/>
              <w:right w:val="nil"/>
            </w:tcBorders>
            <w:hideMark/>
          </w:tcPr>
          <w:p w14:paraId="4E0A7B33" w14:textId="77777777" w:rsidR="00524720" w:rsidRPr="00D9348B" w:rsidRDefault="00524720">
            <w:pPr>
              <w:pStyle w:val="TableText"/>
              <w:spacing w:before="50" w:after="50"/>
              <w:jc w:val="center"/>
            </w:pPr>
            <w:r w:rsidRPr="00D9348B">
              <w:t>6,430.4</w:t>
            </w:r>
          </w:p>
        </w:tc>
      </w:tr>
      <w:tr w:rsidR="00524720" w:rsidRPr="00D9348B" w14:paraId="7C078218" w14:textId="77777777" w:rsidTr="009F6E65">
        <w:tc>
          <w:tcPr>
            <w:tcW w:w="1078" w:type="dxa"/>
            <w:tcBorders>
              <w:top w:val="single" w:sz="4" w:space="0" w:color="365F91"/>
              <w:left w:val="nil"/>
              <w:bottom w:val="single" w:sz="4" w:space="0" w:color="365F91"/>
              <w:right w:val="nil"/>
            </w:tcBorders>
            <w:hideMark/>
          </w:tcPr>
          <w:p w14:paraId="44727F03" w14:textId="77777777" w:rsidR="00524720" w:rsidRPr="00D9348B" w:rsidRDefault="00524720">
            <w:pPr>
              <w:pStyle w:val="TableTextBold"/>
              <w:spacing w:before="50" w:after="50"/>
              <w:rPr>
                <w:noProof w:val="0"/>
              </w:rPr>
            </w:pPr>
            <w:r w:rsidRPr="00D9348B">
              <w:rPr>
                <w:noProof w:val="0"/>
              </w:rPr>
              <w:t>2018</w:t>
            </w:r>
          </w:p>
        </w:tc>
        <w:tc>
          <w:tcPr>
            <w:tcW w:w="2475" w:type="dxa"/>
            <w:tcBorders>
              <w:top w:val="single" w:sz="4" w:space="0" w:color="365F91"/>
              <w:left w:val="nil"/>
              <w:bottom w:val="single" w:sz="4" w:space="0" w:color="365F91"/>
              <w:right w:val="nil"/>
            </w:tcBorders>
            <w:hideMark/>
          </w:tcPr>
          <w:p w14:paraId="777F5C26" w14:textId="77777777" w:rsidR="00524720" w:rsidRPr="00D9348B" w:rsidRDefault="00524720">
            <w:pPr>
              <w:pStyle w:val="TableText"/>
              <w:spacing w:before="50" w:after="50"/>
              <w:jc w:val="center"/>
            </w:pPr>
            <w:r w:rsidRPr="00D9348B">
              <w:t>940.7</w:t>
            </w:r>
          </w:p>
        </w:tc>
        <w:tc>
          <w:tcPr>
            <w:tcW w:w="2475" w:type="dxa"/>
            <w:tcBorders>
              <w:top w:val="single" w:sz="4" w:space="0" w:color="365F91"/>
              <w:left w:val="nil"/>
              <w:bottom w:val="single" w:sz="4" w:space="0" w:color="365F91"/>
              <w:right w:val="nil"/>
            </w:tcBorders>
            <w:hideMark/>
          </w:tcPr>
          <w:p w14:paraId="6BFF0847" w14:textId="77777777" w:rsidR="00524720" w:rsidRPr="00D9348B" w:rsidRDefault="00524720">
            <w:pPr>
              <w:pStyle w:val="TableText"/>
              <w:spacing w:before="50" w:after="50"/>
              <w:jc w:val="center"/>
            </w:pPr>
            <w:r w:rsidRPr="00D9348B">
              <w:t>5,517.2</w:t>
            </w:r>
          </w:p>
        </w:tc>
        <w:tc>
          <w:tcPr>
            <w:tcW w:w="2477" w:type="dxa"/>
            <w:tcBorders>
              <w:top w:val="single" w:sz="4" w:space="0" w:color="365F91"/>
              <w:left w:val="nil"/>
              <w:bottom w:val="single" w:sz="4" w:space="0" w:color="365F91"/>
              <w:right w:val="nil"/>
            </w:tcBorders>
            <w:hideMark/>
          </w:tcPr>
          <w:p w14:paraId="31ED69FB" w14:textId="77777777" w:rsidR="00524720" w:rsidRPr="00D9348B" w:rsidRDefault="00524720">
            <w:pPr>
              <w:pStyle w:val="TableText"/>
              <w:spacing w:before="50" w:after="50"/>
              <w:jc w:val="center"/>
            </w:pPr>
            <w:r w:rsidRPr="00D9348B">
              <w:t>6,457.9</w:t>
            </w:r>
          </w:p>
        </w:tc>
      </w:tr>
    </w:tbl>
    <w:p w14:paraId="4716D099" w14:textId="77777777" w:rsidR="00524720" w:rsidRPr="00D9348B" w:rsidRDefault="00524720" w:rsidP="00524720">
      <w:pPr>
        <w:pStyle w:val="Noteundertable"/>
      </w:pPr>
      <w:r w:rsidRPr="00D9348B">
        <w:rPr>
          <w:b/>
        </w:rPr>
        <w:t>Note:</w:t>
      </w:r>
      <w:r w:rsidRPr="00D9348B">
        <w:t xml:space="preserve"> </w:t>
      </w:r>
      <w:r w:rsidRPr="00D9348B">
        <w:tab/>
        <w:t>Columns may not total due to rounding.</w:t>
      </w:r>
    </w:p>
    <w:p w14:paraId="514D5D6A" w14:textId="77777777" w:rsidR="00524720" w:rsidRPr="00D9348B" w:rsidRDefault="00524720" w:rsidP="00865BDB">
      <w:pPr>
        <w:pStyle w:val="Heading4"/>
      </w:pPr>
      <w:r w:rsidRPr="00D9348B">
        <w:lastRenderedPageBreak/>
        <w:t>Choice of methods</w:t>
      </w:r>
    </w:p>
    <w:p w14:paraId="20059190" w14:textId="34A10A37" w:rsidR="00524720" w:rsidRPr="00D9348B" w:rsidRDefault="00524720" w:rsidP="00524720">
      <w:pPr>
        <w:pStyle w:val="BodyText"/>
        <w:spacing w:before="100" w:after="100"/>
      </w:pPr>
      <w:r w:rsidRPr="00D9348B">
        <w:t>Estimations of CH</w:t>
      </w:r>
      <w:r w:rsidRPr="00D9348B">
        <w:rPr>
          <w:vertAlign w:val="subscript"/>
        </w:rPr>
        <w:t>4</w:t>
      </w:r>
      <w:r w:rsidRPr="00D9348B">
        <w:t xml:space="preserve"> emissions from solid waste disposal to land were calculated by using the</w:t>
      </w:r>
      <w:r w:rsidR="009F6E65" w:rsidRPr="00D9348B">
        <w:t> </w:t>
      </w:r>
      <w:r w:rsidRPr="00D9348B">
        <w:t>First Order Decay (FOD) model. This is the Tier 2 method from the 2006 IPCC Guidelines (IPCC, 2006a).</w:t>
      </w:r>
    </w:p>
    <w:p w14:paraId="10AE03ED" w14:textId="77777777" w:rsidR="00524720" w:rsidRPr="00D9348B" w:rsidRDefault="00524720" w:rsidP="00783F25">
      <w:pPr>
        <w:pStyle w:val="Heading5"/>
        <w:spacing w:before="160"/>
      </w:pPr>
      <w:r w:rsidRPr="00D9348B">
        <w:t>Municipal landfills (5.A.1.a)</w:t>
      </w:r>
    </w:p>
    <w:p w14:paraId="7ED960ED" w14:textId="77777777" w:rsidR="00524720" w:rsidRPr="00D9348B" w:rsidRDefault="00524720" w:rsidP="00524720">
      <w:pPr>
        <w:pStyle w:val="BodyText"/>
        <w:spacing w:before="100" w:after="100"/>
      </w:pPr>
      <w:r w:rsidRPr="00D9348B">
        <w:t>Different approaches are used to model sites with and without LFG recovery respectively, due to the different sizes of the landfills and the available data.</w:t>
      </w:r>
    </w:p>
    <w:p w14:paraId="74686F63" w14:textId="77777777" w:rsidR="00524720" w:rsidRPr="00D9348B" w:rsidRDefault="00524720" w:rsidP="00524720">
      <w:pPr>
        <w:pStyle w:val="BodyText"/>
        <w:spacing w:before="100" w:after="100"/>
      </w:pPr>
      <w:r w:rsidRPr="00D9348B">
        <w:t>For each of the 26 landfill sites with LFG recovery, the FOD model (IPCC, 2006a) has been applied to develop estimates of CH</w:t>
      </w:r>
      <w:r w:rsidRPr="00D9348B">
        <w:rPr>
          <w:vertAlign w:val="subscript"/>
        </w:rPr>
        <w:t>4</w:t>
      </w:r>
      <w:r w:rsidRPr="00D9348B">
        <w:t xml:space="preserve"> emissions, with site-specific data on waste placement, k</w:t>
      </w:r>
      <w:r w:rsidRPr="00D9348B">
        <w:noBreakHyphen/>
        <w:t>value and other parameters applied where available, and uses a single-phase approach based on bulk waste. These sites that are still operational account for approximately 90 per cent of waste disposed to municipal landfills as per table 7.2.3.</w:t>
      </w:r>
    </w:p>
    <w:p w14:paraId="65861C94" w14:textId="77777777" w:rsidR="00524720" w:rsidRPr="00D9348B" w:rsidRDefault="00524720" w:rsidP="00524720">
      <w:pPr>
        <w:pStyle w:val="BodyText"/>
        <w:spacing w:before="100" w:after="100"/>
      </w:pPr>
      <w:r w:rsidRPr="00D9348B">
        <w:t>Municipal waste outside of these 26 sites is disposed to smaller landfills that have never had gas recovery. In 1990, there were more than 300 of these sites and in 2017 approximately 19 were still in operation. This number includes very small sites serving small and remote communities. The FOD model has also been applied to estimate the total CH</w:t>
      </w:r>
      <w:r w:rsidRPr="00D9348B">
        <w:rPr>
          <w:vertAlign w:val="subscript"/>
        </w:rPr>
        <w:t>4</w:t>
      </w:r>
      <w:r w:rsidRPr="00D9348B">
        <w:t xml:space="preserve"> emissions from these landfills, using a multi-phase approach for the waste types described in table 7.2.4, as well as sludge.</w:t>
      </w:r>
    </w:p>
    <w:p w14:paraId="65033E18" w14:textId="77777777" w:rsidR="00524720" w:rsidRPr="00D9348B" w:rsidRDefault="00524720" w:rsidP="00783F25">
      <w:pPr>
        <w:pStyle w:val="Heading5"/>
        <w:spacing w:before="160"/>
      </w:pPr>
      <w:r w:rsidRPr="00D9348B">
        <w:t>Non-municipal landfills and farm fills (5.A.2)</w:t>
      </w:r>
    </w:p>
    <w:p w14:paraId="487200E0" w14:textId="77777777" w:rsidR="00524720" w:rsidRPr="00D9348B" w:rsidRDefault="00524720" w:rsidP="00524720">
      <w:pPr>
        <w:pStyle w:val="BodyText"/>
        <w:spacing w:before="100" w:after="100"/>
        <w:rPr>
          <w:spacing w:val="-2"/>
        </w:rPr>
      </w:pPr>
      <w:r w:rsidRPr="00D9348B">
        <w:rPr>
          <w:spacing w:val="-2"/>
        </w:rPr>
        <w:t>Non-municipal landfills include privately owned industrial landfills and a large number of landfill sites (clean fills and construction and demolition fills) that are consented for largely inert waste and accept a maximum of 5 per cent municipal waste. Limited information is available on these sites and their management practices, with a lack of historical information in particular. The FOD model has been applied to estimate total CH</w:t>
      </w:r>
      <w:r w:rsidRPr="00D9348B">
        <w:rPr>
          <w:spacing w:val="-2"/>
          <w:vertAlign w:val="subscript"/>
        </w:rPr>
        <w:t>4</w:t>
      </w:r>
      <w:r w:rsidRPr="00D9348B">
        <w:rPr>
          <w:spacing w:val="-2"/>
        </w:rPr>
        <w:t xml:space="preserve"> emissions from non-municipal landfills.</w:t>
      </w:r>
    </w:p>
    <w:p w14:paraId="58986944" w14:textId="77777777" w:rsidR="00524720" w:rsidRPr="00D9348B" w:rsidRDefault="00524720" w:rsidP="00524720">
      <w:pPr>
        <w:pStyle w:val="BodyText"/>
        <w:spacing w:before="100" w:after="100"/>
      </w:pPr>
      <w:r w:rsidRPr="00D9348B">
        <w:t>For farm fills, the FOD model has been applied to estimate total CH</w:t>
      </w:r>
      <w:r w:rsidRPr="00D9348B">
        <w:rPr>
          <w:vertAlign w:val="subscript"/>
        </w:rPr>
        <w:t>4</w:t>
      </w:r>
      <w:r w:rsidRPr="00D9348B">
        <w:t xml:space="preserve"> emissions. Farm waste comprises a mix of household and other wastes. Survey data on waste composition are used to determine weighted average values for degradable organic carbon (DOC) content of waste from dairy farms, livestock farms, arable and viticulture farms (GHD, 2013, 2014). Survey data on waste composition from viticulture and arable farms are used to determine a weighted average DOC value for other remaining horticultural farms.</w:t>
      </w:r>
    </w:p>
    <w:p w14:paraId="6A0B3203" w14:textId="77777777" w:rsidR="00524720" w:rsidRPr="00D9348B" w:rsidRDefault="00524720" w:rsidP="00865BDB">
      <w:pPr>
        <w:pStyle w:val="Heading4"/>
      </w:pPr>
      <w:r w:rsidRPr="00D9348B">
        <w:t>Choice of emission factors and parameters</w:t>
      </w:r>
    </w:p>
    <w:p w14:paraId="4A8A94E6" w14:textId="77777777" w:rsidR="00524720" w:rsidRPr="00D9348B" w:rsidRDefault="00524720" w:rsidP="00524720">
      <w:pPr>
        <w:pStyle w:val="Heading5"/>
        <w:spacing w:before="120"/>
      </w:pPr>
      <w:r w:rsidRPr="00D9348B">
        <w:t>Municipal landfills (5.A.1.a)</w:t>
      </w:r>
    </w:p>
    <w:p w14:paraId="417F2667" w14:textId="77777777" w:rsidR="00524720" w:rsidRPr="00D9348B" w:rsidRDefault="00524720" w:rsidP="00524720">
      <w:pPr>
        <w:pStyle w:val="Heading6"/>
        <w:spacing w:before="120"/>
      </w:pPr>
      <w:r w:rsidRPr="00D9348B">
        <w:t>Waste composition</w:t>
      </w:r>
    </w:p>
    <w:p w14:paraId="45F11802" w14:textId="77777777" w:rsidR="00524720" w:rsidRPr="00D9348B" w:rsidRDefault="00524720" w:rsidP="00524720">
      <w:pPr>
        <w:pStyle w:val="BodyText"/>
        <w:spacing w:before="100" w:after="100"/>
      </w:pPr>
      <w:r w:rsidRPr="00D9348B">
        <w:t>Many municipal landfills in New Zealand accept industrial waste as well as municipal waste. New Zealand has insufficient data to determine how much of the waste disposed to municipal landfills comes from industrial sources. Where surveys of composition data have occurred at sites that take industrial waste, this is included as part of the overall composition estimates.</w:t>
      </w:r>
    </w:p>
    <w:p w14:paraId="4D32CF5B" w14:textId="77777777" w:rsidR="00524720" w:rsidRPr="00D9348B" w:rsidRDefault="00524720" w:rsidP="00524720">
      <w:pPr>
        <w:pStyle w:val="BodyText"/>
        <w:spacing w:before="100" w:after="100"/>
      </w:pPr>
      <w:r w:rsidRPr="00D9348B">
        <w:t xml:space="preserve">Waste composition has been estimated from national surveys carried out in 1995 and 2004 (Ministry for the Environment, 1997; Waste Not Consulting, </w:t>
      </w:r>
      <w:proofErr w:type="gramStart"/>
      <w:r w:rsidRPr="00D9348B">
        <w:t>unpublished(</w:t>
      </w:r>
      <w:proofErr w:type="gramEnd"/>
      <w:r w:rsidRPr="00D9348B">
        <w:t xml:space="preserve">a)). In addition, estimates have been made for 2008 and 2012 based on individual landfill surveys (Waste Not Consulting, </w:t>
      </w:r>
      <w:proofErr w:type="gramStart"/>
      <w:r w:rsidRPr="00D9348B">
        <w:t>unpublished(</w:t>
      </w:r>
      <w:proofErr w:type="gramEnd"/>
      <w:r w:rsidRPr="00D9348B">
        <w:t xml:space="preserve">b)). The waste surveys have been based on the </w:t>
      </w:r>
      <w:r w:rsidRPr="00D9348B">
        <w:rPr>
          <w:i/>
        </w:rPr>
        <w:t>Solid Waste Analysis Protocol</w:t>
      </w:r>
      <w:r w:rsidRPr="00D9348B">
        <w:t xml:space="preserve"> (Ministry for the Environment, 2002b) to ensure a consistent methodology for sampling and analysis.</w:t>
      </w:r>
    </w:p>
    <w:p w14:paraId="3149AC9A" w14:textId="77777777" w:rsidR="00524720" w:rsidRPr="00D9348B" w:rsidRDefault="00524720" w:rsidP="00524720">
      <w:pPr>
        <w:pStyle w:val="BodyText"/>
      </w:pPr>
      <w:r w:rsidRPr="00D9348B">
        <w:lastRenderedPageBreak/>
        <w:t>No usable waste composition data are available for the period before 1995. For the years 1950 to 1994, data from the 1995 survey have been used, with an adjustment to account for the fact that disposable nappies came into use in the 1960s (Eunomia Research and Consulting and Waste Not Consulting, unpublished). Linear interpolation was used for years between the survey years, and the years since 2012 are assumed to be the same as 2012. This will be revised when more survey data are collected in the future.</w:t>
      </w:r>
    </w:p>
    <w:p w14:paraId="726F61EA" w14:textId="77777777" w:rsidR="00524720" w:rsidRPr="00D9348B" w:rsidRDefault="00524720" w:rsidP="00524720">
      <w:pPr>
        <w:pStyle w:val="BodyText"/>
      </w:pPr>
      <w:r w:rsidRPr="00D9348B">
        <w:t>Table 7.2.5 shows the resulting estimated composition data from 1950 to 2018. These have been used for the waste disposed to all municipal landfills.</w:t>
      </w:r>
    </w:p>
    <w:p w14:paraId="360C4346" w14:textId="77777777" w:rsidR="00524720" w:rsidRPr="00D9348B" w:rsidRDefault="00524720" w:rsidP="00524720">
      <w:pPr>
        <w:pStyle w:val="Table"/>
      </w:pPr>
      <w:bookmarkStart w:id="2685" w:name="_Toc481751600"/>
      <w:bookmarkStart w:id="2686" w:name="_Toc451176170"/>
      <w:bookmarkStart w:id="2687" w:name="_Toc444001618"/>
      <w:bookmarkStart w:id="2688" w:name="_Toc5269564"/>
      <w:bookmarkStart w:id="2689" w:name="_Toc511116823"/>
      <w:bookmarkStart w:id="2690" w:name="_Toc508019325"/>
      <w:bookmarkStart w:id="2691" w:name="_Toc32828522"/>
      <w:bookmarkStart w:id="2692" w:name="_Toc32591352"/>
      <w:bookmarkStart w:id="2693" w:name="_Toc36224645"/>
      <w:r w:rsidRPr="00D9348B">
        <w:t xml:space="preserve">Table 7.2.5 </w:t>
      </w:r>
      <w:r w:rsidRPr="00D9348B">
        <w:tab/>
        <w:t>Estimated composition of waste to municipal landfills</w:t>
      </w:r>
      <w:bookmarkEnd w:id="2685"/>
      <w:bookmarkEnd w:id="2686"/>
      <w:bookmarkEnd w:id="2687"/>
      <w:r w:rsidRPr="00D9348B">
        <w:t xml:space="preserve"> from 1950 to </w:t>
      </w:r>
      <w:bookmarkEnd w:id="2688"/>
      <w:bookmarkEnd w:id="2689"/>
      <w:bookmarkEnd w:id="2690"/>
      <w:r w:rsidRPr="00D9348B">
        <w:t>2018</w:t>
      </w:r>
      <w:bookmarkEnd w:id="2691"/>
      <w:bookmarkEnd w:id="2692"/>
      <w:bookmarkEnd w:id="2693"/>
    </w:p>
    <w:tbl>
      <w:tblPr>
        <w:tblW w:w="8505" w:type="dxa"/>
        <w:tblInd w:w="108" w:type="dxa"/>
        <w:tblLook w:val="04A0" w:firstRow="1" w:lastRow="0" w:firstColumn="1" w:lastColumn="0" w:noHBand="0" w:noVBand="1"/>
      </w:tblPr>
      <w:tblGrid>
        <w:gridCol w:w="851"/>
        <w:gridCol w:w="764"/>
        <w:gridCol w:w="910"/>
        <w:gridCol w:w="847"/>
        <w:gridCol w:w="792"/>
        <w:gridCol w:w="896"/>
        <w:gridCol w:w="808"/>
        <w:gridCol w:w="850"/>
        <w:gridCol w:w="1787"/>
      </w:tblGrid>
      <w:tr w:rsidR="00524720" w:rsidRPr="00D9348B" w14:paraId="088FC192" w14:textId="77777777" w:rsidTr="00783F25">
        <w:trPr>
          <w:tblHeader/>
        </w:trPr>
        <w:tc>
          <w:tcPr>
            <w:tcW w:w="851" w:type="dxa"/>
            <w:tcBorders>
              <w:top w:val="single" w:sz="4" w:space="0" w:color="365F91"/>
              <w:left w:val="nil"/>
              <w:bottom w:val="single" w:sz="4" w:space="0" w:color="365F91"/>
              <w:right w:val="nil"/>
            </w:tcBorders>
            <w:shd w:val="clear" w:color="auto" w:fill="365F91"/>
            <w:vAlign w:val="bottom"/>
            <w:hideMark/>
          </w:tcPr>
          <w:p w14:paraId="0F7D9240" w14:textId="77777777" w:rsidR="00524720" w:rsidRPr="00D9348B" w:rsidRDefault="00524720">
            <w:pPr>
              <w:pStyle w:val="TableTextBold"/>
              <w:spacing w:before="50" w:after="50"/>
              <w:rPr>
                <w:rFonts w:cs="Calibri"/>
                <w:noProof w:val="0"/>
                <w:color w:val="FFFFFF"/>
                <w:szCs w:val="16"/>
              </w:rPr>
            </w:pPr>
            <w:r w:rsidRPr="00D9348B">
              <w:rPr>
                <w:rFonts w:cs="Calibri"/>
                <w:noProof w:val="0"/>
                <w:color w:val="FFFFFF"/>
                <w:szCs w:val="16"/>
              </w:rPr>
              <w:t>Year</w:t>
            </w:r>
          </w:p>
        </w:tc>
        <w:tc>
          <w:tcPr>
            <w:tcW w:w="764" w:type="dxa"/>
            <w:tcBorders>
              <w:top w:val="single" w:sz="4" w:space="0" w:color="365F91"/>
              <w:left w:val="nil"/>
              <w:bottom w:val="single" w:sz="4" w:space="0" w:color="365F91"/>
              <w:right w:val="nil"/>
            </w:tcBorders>
            <w:shd w:val="clear" w:color="auto" w:fill="365F91"/>
            <w:vAlign w:val="bottom"/>
            <w:hideMark/>
          </w:tcPr>
          <w:p w14:paraId="5F604F1B" w14:textId="77777777" w:rsidR="00524720" w:rsidRPr="00D9348B" w:rsidRDefault="00524720">
            <w:pPr>
              <w:pStyle w:val="TableTextBold"/>
              <w:spacing w:before="50" w:after="50"/>
              <w:jc w:val="center"/>
              <w:rPr>
                <w:rFonts w:cs="Calibri"/>
                <w:noProof w:val="0"/>
                <w:color w:val="FFFFFF"/>
                <w:szCs w:val="16"/>
              </w:rPr>
            </w:pPr>
            <w:proofErr w:type="gramStart"/>
            <w:r w:rsidRPr="00D9348B">
              <w:rPr>
                <w:rFonts w:cs="Calibri"/>
                <w:noProof w:val="0"/>
                <w:color w:val="FFFFFF"/>
                <w:szCs w:val="16"/>
              </w:rPr>
              <w:t>Food</w:t>
            </w:r>
            <w:proofErr w:type="gramEnd"/>
            <w:r w:rsidRPr="00D9348B">
              <w:rPr>
                <w:rFonts w:cs="Calibri"/>
                <w:noProof w:val="0"/>
                <w:color w:val="FFFFFF"/>
                <w:szCs w:val="16"/>
              </w:rPr>
              <w:br/>
              <w:t>(%)</w:t>
            </w:r>
          </w:p>
        </w:tc>
        <w:tc>
          <w:tcPr>
            <w:tcW w:w="910" w:type="dxa"/>
            <w:tcBorders>
              <w:top w:val="single" w:sz="4" w:space="0" w:color="365F91"/>
              <w:left w:val="nil"/>
              <w:bottom w:val="single" w:sz="4" w:space="0" w:color="365F91"/>
              <w:right w:val="nil"/>
            </w:tcBorders>
            <w:shd w:val="clear" w:color="auto" w:fill="365F91"/>
            <w:vAlign w:val="bottom"/>
            <w:hideMark/>
          </w:tcPr>
          <w:p w14:paraId="0CC79EF2" w14:textId="77777777" w:rsidR="00524720" w:rsidRPr="00D9348B" w:rsidRDefault="00524720">
            <w:pPr>
              <w:pStyle w:val="TableTextBold"/>
              <w:spacing w:before="50" w:after="50"/>
              <w:jc w:val="center"/>
              <w:rPr>
                <w:rFonts w:cs="Calibri"/>
                <w:noProof w:val="0"/>
                <w:color w:val="FFFFFF"/>
                <w:szCs w:val="16"/>
              </w:rPr>
            </w:pPr>
            <w:proofErr w:type="gramStart"/>
            <w:r w:rsidRPr="00D9348B">
              <w:rPr>
                <w:rFonts w:cs="Calibri"/>
                <w:noProof w:val="0"/>
                <w:color w:val="FFFFFF"/>
                <w:szCs w:val="16"/>
              </w:rPr>
              <w:t>Garden</w:t>
            </w:r>
            <w:proofErr w:type="gramEnd"/>
            <w:r w:rsidRPr="00D9348B">
              <w:rPr>
                <w:rFonts w:cs="Calibri"/>
                <w:noProof w:val="0"/>
                <w:color w:val="FFFFFF"/>
                <w:szCs w:val="16"/>
              </w:rPr>
              <w:br/>
              <w:t>(%)</w:t>
            </w:r>
          </w:p>
        </w:tc>
        <w:tc>
          <w:tcPr>
            <w:tcW w:w="847" w:type="dxa"/>
            <w:tcBorders>
              <w:top w:val="single" w:sz="4" w:space="0" w:color="365F91"/>
              <w:left w:val="nil"/>
              <w:bottom w:val="single" w:sz="4" w:space="0" w:color="365F91"/>
              <w:right w:val="nil"/>
            </w:tcBorders>
            <w:shd w:val="clear" w:color="auto" w:fill="365F91"/>
            <w:vAlign w:val="bottom"/>
            <w:hideMark/>
          </w:tcPr>
          <w:p w14:paraId="61295F1D" w14:textId="77777777" w:rsidR="00524720" w:rsidRPr="00D9348B" w:rsidRDefault="00524720">
            <w:pPr>
              <w:pStyle w:val="TableTextBold"/>
              <w:spacing w:before="50" w:after="50"/>
              <w:jc w:val="center"/>
              <w:rPr>
                <w:rFonts w:cs="Calibri"/>
                <w:noProof w:val="0"/>
                <w:color w:val="FFFFFF"/>
                <w:szCs w:val="16"/>
              </w:rPr>
            </w:pPr>
            <w:r w:rsidRPr="00D9348B">
              <w:rPr>
                <w:rFonts w:cs="Calibri"/>
                <w:noProof w:val="0"/>
                <w:color w:val="FFFFFF"/>
                <w:szCs w:val="16"/>
              </w:rPr>
              <w:t>Paper (%)</w:t>
            </w:r>
          </w:p>
        </w:tc>
        <w:tc>
          <w:tcPr>
            <w:tcW w:w="792" w:type="dxa"/>
            <w:tcBorders>
              <w:top w:val="single" w:sz="4" w:space="0" w:color="365F91"/>
              <w:left w:val="nil"/>
              <w:bottom w:val="single" w:sz="4" w:space="0" w:color="365F91"/>
              <w:right w:val="nil"/>
            </w:tcBorders>
            <w:shd w:val="clear" w:color="auto" w:fill="365F91"/>
            <w:vAlign w:val="bottom"/>
            <w:hideMark/>
          </w:tcPr>
          <w:p w14:paraId="0B32B407" w14:textId="77777777" w:rsidR="00524720" w:rsidRPr="00D9348B" w:rsidRDefault="00524720">
            <w:pPr>
              <w:pStyle w:val="TableTextBold"/>
              <w:spacing w:before="50" w:after="50"/>
              <w:jc w:val="center"/>
              <w:rPr>
                <w:rFonts w:cs="Calibri"/>
                <w:noProof w:val="0"/>
                <w:color w:val="FFFFFF"/>
                <w:szCs w:val="16"/>
              </w:rPr>
            </w:pPr>
            <w:r w:rsidRPr="00D9348B">
              <w:rPr>
                <w:rFonts w:cs="Calibri"/>
                <w:noProof w:val="0"/>
                <w:color w:val="FFFFFF"/>
                <w:szCs w:val="16"/>
              </w:rPr>
              <w:t>Wood (%)</w:t>
            </w:r>
          </w:p>
        </w:tc>
        <w:tc>
          <w:tcPr>
            <w:tcW w:w="896" w:type="dxa"/>
            <w:tcBorders>
              <w:top w:val="single" w:sz="4" w:space="0" w:color="365F91"/>
              <w:left w:val="nil"/>
              <w:bottom w:val="single" w:sz="4" w:space="0" w:color="365F91"/>
              <w:right w:val="nil"/>
            </w:tcBorders>
            <w:shd w:val="clear" w:color="auto" w:fill="365F91"/>
            <w:vAlign w:val="bottom"/>
            <w:hideMark/>
          </w:tcPr>
          <w:p w14:paraId="333137E0" w14:textId="77777777" w:rsidR="00524720" w:rsidRPr="00D9348B" w:rsidRDefault="00524720">
            <w:pPr>
              <w:pStyle w:val="TableTextBold"/>
              <w:spacing w:before="50" w:after="50"/>
              <w:jc w:val="center"/>
              <w:rPr>
                <w:rFonts w:cs="Calibri"/>
                <w:noProof w:val="0"/>
                <w:color w:val="FFFFFF"/>
                <w:szCs w:val="16"/>
              </w:rPr>
            </w:pPr>
            <w:r w:rsidRPr="00D9348B">
              <w:rPr>
                <w:rFonts w:cs="Calibri"/>
                <w:noProof w:val="0"/>
                <w:color w:val="FFFFFF"/>
                <w:szCs w:val="16"/>
              </w:rPr>
              <w:t>Textile (%)</w:t>
            </w:r>
          </w:p>
        </w:tc>
        <w:tc>
          <w:tcPr>
            <w:tcW w:w="808" w:type="dxa"/>
            <w:tcBorders>
              <w:top w:val="single" w:sz="4" w:space="0" w:color="365F91"/>
              <w:left w:val="nil"/>
              <w:bottom w:val="single" w:sz="4" w:space="0" w:color="365F91"/>
              <w:right w:val="nil"/>
            </w:tcBorders>
            <w:shd w:val="clear" w:color="auto" w:fill="365F91"/>
            <w:vAlign w:val="bottom"/>
            <w:hideMark/>
          </w:tcPr>
          <w:p w14:paraId="02396339" w14:textId="77777777" w:rsidR="00524720" w:rsidRPr="00D9348B" w:rsidRDefault="00524720">
            <w:pPr>
              <w:pStyle w:val="TableTextBold"/>
              <w:spacing w:before="50" w:after="50"/>
              <w:jc w:val="center"/>
              <w:rPr>
                <w:rFonts w:cs="Calibri"/>
                <w:noProof w:val="0"/>
                <w:color w:val="FFFFFF"/>
                <w:szCs w:val="16"/>
              </w:rPr>
            </w:pPr>
            <w:r w:rsidRPr="00D9348B">
              <w:rPr>
                <w:rFonts w:cs="Calibri"/>
                <w:noProof w:val="0"/>
                <w:color w:val="FFFFFF"/>
                <w:szCs w:val="16"/>
              </w:rPr>
              <w:t>Nappies (%)</w:t>
            </w:r>
          </w:p>
        </w:tc>
        <w:tc>
          <w:tcPr>
            <w:tcW w:w="850" w:type="dxa"/>
            <w:tcBorders>
              <w:top w:val="single" w:sz="4" w:space="0" w:color="365F91"/>
              <w:left w:val="nil"/>
              <w:bottom w:val="single" w:sz="4" w:space="0" w:color="365F91"/>
              <w:right w:val="nil"/>
            </w:tcBorders>
            <w:shd w:val="clear" w:color="auto" w:fill="365F91"/>
            <w:vAlign w:val="bottom"/>
            <w:hideMark/>
          </w:tcPr>
          <w:p w14:paraId="6EA022D3" w14:textId="77777777" w:rsidR="00524720" w:rsidRPr="00D9348B" w:rsidRDefault="00524720">
            <w:pPr>
              <w:pStyle w:val="TableTextBold"/>
              <w:spacing w:before="50" w:after="50"/>
              <w:jc w:val="center"/>
              <w:rPr>
                <w:rFonts w:cs="Calibri"/>
                <w:noProof w:val="0"/>
                <w:color w:val="FFFFFF"/>
                <w:szCs w:val="16"/>
              </w:rPr>
            </w:pPr>
            <w:r w:rsidRPr="00D9348B">
              <w:rPr>
                <w:rFonts w:cs="Calibri"/>
                <w:noProof w:val="0"/>
                <w:color w:val="FFFFFF"/>
                <w:szCs w:val="16"/>
              </w:rPr>
              <w:t>Inert (%)</w:t>
            </w:r>
          </w:p>
        </w:tc>
        <w:tc>
          <w:tcPr>
            <w:tcW w:w="1787" w:type="dxa"/>
            <w:tcBorders>
              <w:top w:val="single" w:sz="4" w:space="0" w:color="365F91"/>
              <w:left w:val="nil"/>
              <w:bottom w:val="single" w:sz="4" w:space="0" w:color="365F91"/>
              <w:right w:val="nil"/>
            </w:tcBorders>
            <w:shd w:val="clear" w:color="auto" w:fill="365F91"/>
            <w:vAlign w:val="bottom"/>
            <w:hideMark/>
          </w:tcPr>
          <w:p w14:paraId="1064DD70" w14:textId="77777777" w:rsidR="00524720" w:rsidRPr="00D9348B" w:rsidRDefault="00524720">
            <w:pPr>
              <w:pStyle w:val="TableTextBold"/>
              <w:spacing w:before="50" w:after="50"/>
              <w:rPr>
                <w:rFonts w:cs="Calibri"/>
                <w:noProof w:val="0"/>
                <w:color w:val="FFFFFF"/>
                <w:szCs w:val="16"/>
              </w:rPr>
            </w:pPr>
            <w:r w:rsidRPr="00D9348B">
              <w:rPr>
                <w:rFonts w:cs="Calibri"/>
                <w:noProof w:val="0"/>
                <w:color w:val="FFFFFF"/>
                <w:szCs w:val="16"/>
              </w:rPr>
              <w:t>Notes</w:t>
            </w:r>
          </w:p>
        </w:tc>
      </w:tr>
      <w:tr w:rsidR="00524720" w:rsidRPr="00D9348B" w14:paraId="185DA6F9" w14:textId="77777777" w:rsidTr="00783F25">
        <w:tc>
          <w:tcPr>
            <w:tcW w:w="851" w:type="dxa"/>
            <w:tcBorders>
              <w:top w:val="single" w:sz="4" w:space="0" w:color="365F91"/>
              <w:left w:val="nil"/>
              <w:bottom w:val="single" w:sz="4" w:space="0" w:color="365F91"/>
              <w:right w:val="nil"/>
            </w:tcBorders>
            <w:hideMark/>
          </w:tcPr>
          <w:p w14:paraId="0E01B424" w14:textId="77777777" w:rsidR="00524720" w:rsidRPr="00D9348B" w:rsidRDefault="00524720">
            <w:pPr>
              <w:pStyle w:val="TableTextBold"/>
              <w:spacing w:before="50" w:after="50"/>
              <w:rPr>
                <w:rFonts w:cs="Calibri"/>
                <w:noProof w:val="0"/>
                <w:szCs w:val="16"/>
              </w:rPr>
            </w:pPr>
            <w:r w:rsidRPr="00D9348B">
              <w:rPr>
                <w:rFonts w:cs="Calibri"/>
                <w:noProof w:val="0"/>
                <w:szCs w:val="16"/>
              </w:rPr>
              <w:t>1950–60</w:t>
            </w:r>
          </w:p>
        </w:tc>
        <w:tc>
          <w:tcPr>
            <w:tcW w:w="764" w:type="dxa"/>
            <w:tcBorders>
              <w:top w:val="single" w:sz="4" w:space="0" w:color="365F91"/>
              <w:left w:val="nil"/>
              <w:bottom w:val="single" w:sz="4" w:space="0" w:color="365F91"/>
              <w:right w:val="nil"/>
            </w:tcBorders>
            <w:hideMark/>
          </w:tcPr>
          <w:p w14:paraId="72688219" w14:textId="77777777" w:rsidR="00524720" w:rsidRPr="00D9348B" w:rsidRDefault="00524720">
            <w:pPr>
              <w:pStyle w:val="TableText"/>
              <w:spacing w:before="50" w:after="50"/>
              <w:jc w:val="center"/>
              <w:rPr>
                <w:rFonts w:cs="Calibri"/>
                <w:szCs w:val="16"/>
              </w:rPr>
            </w:pPr>
            <w:r w:rsidRPr="00D9348B">
              <w:rPr>
                <w:rFonts w:cs="Calibri"/>
                <w:szCs w:val="16"/>
              </w:rPr>
              <w:t>17</w:t>
            </w:r>
          </w:p>
        </w:tc>
        <w:tc>
          <w:tcPr>
            <w:tcW w:w="910" w:type="dxa"/>
            <w:tcBorders>
              <w:top w:val="single" w:sz="4" w:space="0" w:color="365F91"/>
              <w:left w:val="nil"/>
              <w:bottom w:val="single" w:sz="4" w:space="0" w:color="365F91"/>
              <w:right w:val="nil"/>
            </w:tcBorders>
            <w:hideMark/>
          </w:tcPr>
          <w:p w14:paraId="2E53DBB0" w14:textId="77777777" w:rsidR="00524720" w:rsidRPr="00D9348B" w:rsidRDefault="00524720">
            <w:pPr>
              <w:pStyle w:val="TableText"/>
              <w:spacing w:before="50" w:after="50"/>
              <w:jc w:val="center"/>
              <w:rPr>
                <w:rFonts w:cs="Calibri"/>
                <w:szCs w:val="16"/>
              </w:rPr>
            </w:pPr>
            <w:r w:rsidRPr="00D9348B">
              <w:rPr>
                <w:rFonts w:cs="Calibri"/>
                <w:szCs w:val="16"/>
              </w:rPr>
              <w:t>11</w:t>
            </w:r>
          </w:p>
        </w:tc>
        <w:tc>
          <w:tcPr>
            <w:tcW w:w="847" w:type="dxa"/>
            <w:tcBorders>
              <w:top w:val="single" w:sz="4" w:space="0" w:color="365F91"/>
              <w:left w:val="nil"/>
              <w:bottom w:val="single" w:sz="4" w:space="0" w:color="365F91"/>
              <w:right w:val="nil"/>
            </w:tcBorders>
            <w:hideMark/>
          </w:tcPr>
          <w:p w14:paraId="621FCA46" w14:textId="77777777" w:rsidR="00524720" w:rsidRPr="00D9348B" w:rsidRDefault="00524720">
            <w:pPr>
              <w:pStyle w:val="TableText"/>
              <w:spacing w:before="50" w:after="50"/>
              <w:jc w:val="center"/>
              <w:rPr>
                <w:rFonts w:cs="Calibri"/>
                <w:szCs w:val="16"/>
              </w:rPr>
            </w:pPr>
            <w:r w:rsidRPr="00D9348B">
              <w:rPr>
                <w:rFonts w:cs="Calibri"/>
                <w:szCs w:val="16"/>
              </w:rPr>
              <w:t>16</w:t>
            </w:r>
          </w:p>
        </w:tc>
        <w:tc>
          <w:tcPr>
            <w:tcW w:w="792" w:type="dxa"/>
            <w:tcBorders>
              <w:top w:val="single" w:sz="4" w:space="0" w:color="365F91"/>
              <w:left w:val="nil"/>
              <w:bottom w:val="single" w:sz="4" w:space="0" w:color="365F91"/>
              <w:right w:val="nil"/>
            </w:tcBorders>
            <w:hideMark/>
          </w:tcPr>
          <w:p w14:paraId="789FC960" w14:textId="77777777" w:rsidR="00524720" w:rsidRPr="00D9348B" w:rsidRDefault="00524720">
            <w:pPr>
              <w:pStyle w:val="TableText"/>
              <w:spacing w:before="50" w:after="50"/>
              <w:jc w:val="center"/>
              <w:rPr>
                <w:rFonts w:cs="Calibri"/>
                <w:szCs w:val="16"/>
              </w:rPr>
            </w:pPr>
            <w:r w:rsidRPr="00D9348B">
              <w:rPr>
                <w:rFonts w:cs="Calibri"/>
                <w:szCs w:val="16"/>
              </w:rPr>
              <w:t>7</w:t>
            </w:r>
          </w:p>
        </w:tc>
        <w:tc>
          <w:tcPr>
            <w:tcW w:w="896" w:type="dxa"/>
            <w:tcBorders>
              <w:top w:val="single" w:sz="4" w:space="0" w:color="365F91"/>
              <w:left w:val="nil"/>
              <w:bottom w:val="single" w:sz="4" w:space="0" w:color="365F91"/>
              <w:right w:val="nil"/>
            </w:tcBorders>
            <w:hideMark/>
          </w:tcPr>
          <w:p w14:paraId="24FD61EF" w14:textId="77777777" w:rsidR="00524720" w:rsidRPr="00D9348B" w:rsidRDefault="00524720">
            <w:pPr>
              <w:pStyle w:val="TableText"/>
              <w:spacing w:before="50" w:after="50"/>
              <w:jc w:val="center"/>
              <w:rPr>
                <w:rFonts w:cs="Calibri"/>
                <w:szCs w:val="16"/>
              </w:rPr>
            </w:pPr>
            <w:r w:rsidRPr="00D9348B">
              <w:rPr>
                <w:rFonts w:cs="Calibri"/>
                <w:szCs w:val="16"/>
              </w:rPr>
              <w:t>1</w:t>
            </w:r>
          </w:p>
        </w:tc>
        <w:tc>
          <w:tcPr>
            <w:tcW w:w="808" w:type="dxa"/>
            <w:tcBorders>
              <w:top w:val="single" w:sz="4" w:space="0" w:color="365F91"/>
              <w:left w:val="nil"/>
              <w:bottom w:val="single" w:sz="4" w:space="0" w:color="365F91"/>
              <w:right w:val="nil"/>
            </w:tcBorders>
            <w:hideMark/>
          </w:tcPr>
          <w:p w14:paraId="27A2E39E" w14:textId="77777777" w:rsidR="00524720" w:rsidRPr="00D9348B" w:rsidRDefault="00524720">
            <w:pPr>
              <w:pStyle w:val="TableText"/>
              <w:spacing w:before="50" w:after="50"/>
              <w:jc w:val="center"/>
              <w:rPr>
                <w:rFonts w:cs="Calibri"/>
                <w:szCs w:val="16"/>
              </w:rPr>
            </w:pPr>
            <w:r w:rsidRPr="00D9348B">
              <w:rPr>
                <w:rFonts w:cs="Calibri"/>
                <w:szCs w:val="16"/>
              </w:rPr>
              <w:t>0</w:t>
            </w:r>
          </w:p>
        </w:tc>
        <w:tc>
          <w:tcPr>
            <w:tcW w:w="850" w:type="dxa"/>
            <w:tcBorders>
              <w:top w:val="single" w:sz="4" w:space="0" w:color="365F91"/>
              <w:left w:val="nil"/>
              <w:bottom w:val="single" w:sz="4" w:space="0" w:color="365F91"/>
              <w:right w:val="nil"/>
            </w:tcBorders>
            <w:hideMark/>
          </w:tcPr>
          <w:p w14:paraId="2F02FD6A" w14:textId="77777777" w:rsidR="00524720" w:rsidRPr="00D9348B" w:rsidRDefault="00524720">
            <w:pPr>
              <w:pStyle w:val="TableText"/>
              <w:spacing w:before="50" w:after="50"/>
              <w:jc w:val="center"/>
              <w:rPr>
                <w:rFonts w:cs="Calibri"/>
                <w:szCs w:val="16"/>
              </w:rPr>
            </w:pPr>
            <w:r w:rsidRPr="00D9348B">
              <w:rPr>
                <w:rFonts w:cs="Calibri"/>
                <w:szCs w:val="16"/>
              </w:rPr>
              <w:t>48</w:t>
            </w:r>
          </w:p>
        </w:tc>
        <w:tc>
          <w:tcPr>
            <w:tcW w:w="1787" w:type="dxa"/>
            <w:tcBorders>
              <w:top w:val="single" w:sz="4" w:space="0" w:color="365F91"/>
              <w:left w:val="nil"/>
              <w:bottom w:val="single" w:sz="4" w:space="0" w:color="365F91"/>
              <w:right w:val="nil"/>
            </w:tcBorders>
            <w:hideMark/>
          </w:tcPr>
          <w:p w14:paraId="20C09D42" w14:textId="77777777" w:rsidR="00524720" w:rsidRPr="00D9348B" w:rsidRDefault="00524720">
            <w:pPr>
              <w:pStyle w:val="TableText"/>
              <w:spacing w:before="50" w:after="50"/>
              <w:rPr>
                <w:rFonts w:cs="Calibri"/>
                <w:szCs w:val="16"/>
              </w:rPr>
            </w:pPr>
            <w:r w:rsidRPr="00D9348B">
              <w:rPr>
                <w:rFonts w:cs="Calibri"/>
                <w:szCs w:val="16"/>
              </w:rPr>
              <w:t>No nappies</w:t>
            </w:r>
          </w:p>
        </w:tc>
      </w:tr>
      <w:tr w:rsidR="00524720" w:rsidRPr="00D9348B" w14:paraId="3DAB75F3" w14:textId="77777777" w:rsidTr="00783F25">
        <w:tc>
          <w:tcPr>
            <w:tcW w:w="851" w:type="dxa"/>
            <w:tcBorders>
              <w:top w:val="single" w:sz="4" w:space="0" w:color="365F91"/>
              <w:left w:val="nil"/>
              <w:bottom w:val="single" w:sz="4" w:space="0" w:color="365F91"/>
              <w:right w:val="nil"/>
            </w:tcBorders>
            <w:hideMark/>
          </w:tcPr>
          <w:p w14:paraId="5BDB688F" w14:textId="77777777" w:rsidR="00524720" w:rsidRPr="00D9348B" w:rsidRDefault="00524720">
            <w:pPr>
              <w:pStyle w:val="TableTextBold"/>
              <w:spacing w:before="50" w:after="50"/>
              <w:rPr>
                <w:rFonts w:cs="Calibri"/>
                <w:noProof w:val="0"/>
                <w:szCs w:val="16"/>
              </w:rPr>
            </w:pPr>
            <w:r w:rsidRPr="00D9348B">
              <w:rPr>
                <w:rFonts w:cs="Calibri"/>
                <w:noProof w:val="0"/>
                <w:szCs w:val="16"/>
              </w:rPr>
              <w:t>1961–69</w:t>
            </w:r>
          </w:p>
        </w:tc>
        <w:tc>
          <w:tcPr>
            <w:tcW w:w="764" w:type="dxa"/>
            <w:tcBorders>
              <w:top w:val="single" w:sz="4" w:space="0" w:color="365F91"/>
              <w:left w:val="nil"/>
              <w:bottom w:val="single" w:sz="4" w:space="0" w:color="365F91"/>
              <w:right w:val="nil"/>
            </w:tcBorders>
            <w:hideMark/>
          </w:tcPr>
          <w:p w14:paraId="0B472871" w14:textId="77777777" w:rsidR="00524720" w:rsidRPr="00D9348B" w:rsidRDefault="00524720">
            <w:pPr>
              <w:pStyle w:val="TableText"/>
              <w:spacing w:before="50" w:after="50"/>
              <w:jc w:val="center"/>
              <w:rPr>
                <w:rFonts w:cs="Calibri"/>
                <w:szCs w:val="16"/>
              </w:rPr>
            </w:pPr>
            <w:r w:rsidRPr="00D9348B">
              <w:rPr>
                <w:rFonts w:cs="Calibri"/>
                <w:szCs w:val="16"/>
              </w:rPr>
              <w:t>17</w:t>
            </w:r>
          </w:p>
        </w:tc>
        <w:tc>
          <w:tcPr>
            <w:tcW w:w="910" w:type="dxa"/>
            <w:tcBorders>
              <w:top w:val="single" w:sz="4" w:space="0" w:color="365F91"/>
              <w:left w:val="nil"/>
              <w:bottom w:val="single" w:sz="4" w:space="0" w:color="365F91"/>
              <w:right w:val="nil"/>
            </w:tcBorders>
            <w:hideMark/>
          </w:tcPr>
          <w:p w14:paraId="43E73F82" w14:textId="77777777" w:rsidR="00524720" w:rsidRPr="00D9348B" w:rsidRDefault="00524720">
            <w:pPr>
              <w:pStyle w:val="TableText"/>
              <w:spacing w:before="50" w:after="50"/>
              <w:jc w:val="center"/>
              <w:rPr>
                <w:rFonts w:cs="Calibri"/>
                <w:szCs w:val="16"/>
              </w:rPr>
            </w:pPr>
            <w:r w:rsidRPr="00D9348B">
              <w:rPr>
                <w:rFonts w:cs="Calibri"/>
                <w:szCs w:val="16"/>
              </w:rPr>
              <w:t>11</w:t>
            </w:r>
          </w:p>
        </w:tc>
        <w:tc>
          <w:tcPr>
            <w:tcW w:w="847" w:type="dxa"/>
            <w:tcBorders>
              <w:top w:val="single" w:sz="4" w:space="0" w:color="365F91"/>
              <w:left w:val="nil"/>
              <w:bottom w:val="single" w:sz="4" w:space="0" w:color="365F91"/>
              <w:right w:val="nil"/>
            </w:tcBorders>
            <w:hideMark/>
          </w:tcPr>
          <w:p w14:paraId="197C2A82" w14:textId="77777777" w:rsidR="00524720" w:rsidRPr="00D9348B" w:rsidRDefault="00524720">
            <w:pPr>
              <w:pStyle w:val="TableText"/>
              <w:spacing w:before="50" w:after="50"/>
              <w:jc w:val="center"/>
              <w:rPr>
                <w:rFonts w:cs="Calibri"/>
                <w:szCs w:val="16"/>
              </w:rPr>
            </w:pPr>
            <w:r w:rsidRPr="00D9348B">
              <w:rPr>
                <w:rFonts w:cs="Calibri"/>
                <w:szCs w:val="16"/>
              </w:rPr>
              <w:t>16</w:t>
            </w:r>
          </w:p>
        </w:tc>
        <w:tc>
          <w:tcPr>
            <w:tcW w:w="792" w:type="dxa"/>
            <w:tcBorders>
              <w:top w:val="single" w:sz="4" w:space="0" w:color="365F91"/>
              <w:left w:val="nil"/>
              <w:bottom w:val="single" w:sz="4" w:space="0" w:color="365F91"/>
              <w:right w:val="nil"/>
            </w:tcBorders>
            <w:hideMark/>
          </w:tcPr>
          <w:p w14:paraId="4B776D41" w14:textId="77777777" w:rsidR="00524720" w:rsidRPr="00D9348B" w:rsidRDefault="00524720">
            <w:pPr>
              <w:pStyle w:val="TableText"/>
              <w:spacing w:before="50" w:after="50"/>
              <w:jc w:val="center"/>
              <w:rPr>
                <w:rFonts w:cs="Calibri"/>
                <w:szCs w:val="16"/>
              </w:rPr>
            </w:pPr>
            <w:r w:rsidRPr="00D9348B">
              <w:rPr>
                <w:rFonts w:cs="Calibri"/>
                <w:szCs w:val="16"/>
              </w:rPr>
              <w:t>7</w:t>
            </w:r>
          </w:p>
        </w:tc>
        <w:tc>
          <w:tcPr>
            <w:tcW w:w="896" w:type="dxa"/>
            <w:tcBorders>
              <w:top w:val="single" w:sz="4" w:space="0" w:color="365F91"/>
              <w:left w:val="nil"/>
              <w:bottom w:val="single" w:sz="4" w:space="0" w:color="365F91"/>
              <w:right w:val="nil"/>
            </w:tcBorders>
            <w:hideMark/>
          </w:tcPr>
          <w:p w14:paraId="3FA74103" w14:textId="77777777" w:rsidR="00524720" w:rsidRPr="00D9348B" w:rsidRDefault="00524720">
            <w:pPr>
              <w:pStyle w:val="TableText"/>
              <w:spacing w:before="50" w:after="50"/>
              <w:jc w:val="center"/>
              <w:rPr>
                <w:rFonts w:cs="Calibri"/>
                <w:szCs w:val="16"/>
              </w:rPr>
            </w:pPr>
            <w:r w:rsidRPr="00D9348B">
              <w:rPr>
                <w:rFonts w:cs="Calibri"/>
                <w:szCs w:val="16"/>
              </w:rPr>
              <w:t>1</w:t>
            </w:r>
          </w:p>
        </w:tc>
        <w:tc>
          <w:tcPr>
            <w:tcW w:w="808" w:type="dxa"/>
            <w:tcBorders>
              <w:top w:val="single" w:sz="4" w:space="0" w:color="365F91"/>
              <w:left w:val="nil"/>
              <w:bottom w:val="single" w:sz="4" w:space="0" w:color="365F91"/>
              <w:right w:val="nil"/>
            </w:tcBorders>
            <w:hideMark/>
          </w:tcPr>
          <w:p w14:paraId="0E75E73C" w14:textId="77777777" w:rsidR="00524720" w:rsidRPr="00D9348B" w:rsidRDefault="00524720">
            <w:pPr>
              <w:pStyle w:val="TableText"/>
              <w:spacing w:before="50" w:after="50"/>
              <w:jc w:val="center"/>
              <w:rPr>
                <w:rFonts w:cs="Calibri"/>
                <w:szCs w:val="16"/>
              </w:rPr>
            </w:pPr>
            <w:r w:rsidRPr="00D9348B">
              <w:rPr>
                <w:rFonts w:cs="Calibri"/>
                <w:szCs w:val="16"/>
              </w:rPr>
              <w:t>1</w:t>
            </w:r>
          </w:p>
        </w:tc>
        <w:tc>
          <w:tcPr>
            <w:tcW w:w="850" w:type="dxa"/>
            <w:tcBorders>
              <w:top w:val="single" w:sz="4" w:space="0" w:color="365F91"/>
              <w:left w:val="nil"/>
              <w:bottom w:val="single" w:sz="4" w:space="0" w:color="365F91"/>
              <w:right w:val="nil"/>
            </w:tcBorders>
            <w:hideMark/>
          </w:tcPr>
          <w:p w14:paraId="5C34A5CA" w14:textId="77777777" w:rsidR="00524720" w:rsidRPr="00D9348B" w:rsidRDefault="00524720">
            <w:pPr>
              <w:pStyle w:val="TableText"/>
              <w:spacing w:before="50" w:after="50"/>
              <w:jc w:val="center"/>
              <w:rPr>
                <w:rFonts w:cs="Calibri"/>
                <w:szCs w:val="16"/>
              </w:rPr>
            </w:pPr>
            <w:r w:rsidRPr="00D9348B">
              <w:rPr>
                <w:rFonts w:cs="Calibri"/>
                <w:szCs w:val="16"/>
              </w:rPr>
              <w:t>47</w:t>
            </w:r>
          </w:p>
        </w:tc>
        <w:tc>
          <w:tcPr>
            <w:tcW w:w="1787" w:type="dxa"/>
            <w:tcBorders>
              <w:top w:val="single" w:sz="4" w:space="0" w:color="365F91"/>
              <w:left w:val="nil"/>
              <w:bottom w:val="single" w:sz="4" w:space="0" w:color="365F91"/>
              <w:right w:val="nil"/>
            </w:tcBorders>
            <w:hideMark/>
          </w:tcPr>
          <w:p w14:paraId="6AC90AAD" w14:textId="77777777" w:rsidR="00524720" w:rsidRPr="00D9348B" w:rsidRDefault="00524720">
            <w:pPr>
              <w:pStyle w:val="TableText"/>
              <w:spacing w:before="50" w:after="50"/>
              <w:rPr>
                <w:rFonts w:cs="Calibri"/>
                <w:szCs w:val="16"/>
              </w:rPr>
            </w:pPr>
            <w:r w:rsidRPr="00D9348B">
              <w:rPr>
                <w:rFonts w:cs="Calibri"/>
                <w:szCs w:val="16"/>
              </w:rPr>
              <w:t>Interpolation</w:t>
            </w:r>
          </w:p>
        </w:tc>
      </w:tr>
      <w:tr w:rsidR="00524720" w:rsidRPr="00D9348B" w14:paraId="0C110654" w14:textId="77777777" w:rsidTr="00783F25">
        <w:tc>
          <w:tcPr>
            <w:tcW w:w="851" w:type="dxa"/>
            <w:tcBorders>
              <w:top w:val="single" w:sz="4" w:space="0" w:color="365F91"/>
              <w:left w:val="nil"/>
              <w:bottom w:val="single" w:sz="4" w:space="0" w:color="365F91"/>
              <w:right w:val="nil"/>
            </w:tcBorders>
            <w:hideMark/>
          </w:tcPr>
          <w:p w14:paraId="75D8C2B7" w14:textId="77777777" w:rsidR="00524720" w:rsidRPr="00D9348B" w:rsidRDefault="00524720">
            <w:pPr>
              <w:pStyle w:val="TableTextBold"/>
              <w:spacing w:before="50" w:after="50"/>
              <w:rPr>
                <w:rFonts w:cs="Calibri"/>
                <w:noProof w:val="0"/>
                <w:szCs w:val="16"/>
              </w:rPr>
            </w:pPr>
            <w:r w:rsidRPr="00D9348B">
              <w:rPr>
                <w:rFonts w:cs="Calibri"/>
                <w:noProof w:val="0"/>
                <w:szCs w:val="16"/>
              </w:rPr>
              <w:t>1970–79</w:t>
            </w:r>
          </w:p>
        </w:tc>
        <w:tc>
          <w:tcPr>
            <w:tcW w:w="764" w:type="dxa"/>
            <w:tcBorders>
              <w:top w:val="single" w:sz="4" w:space="0" w:color="365F91"/>
              <w:left w:val="nil"/>
              <w:bottom w:val="single" w:sz="4" w:space="0" w:color="365F91"/>
              <w:right w:val="nil"/>
            </w:tcBorders>
            <w:hideMark/>
          </w:tcPr>
          <w:p w14:paraId="17B2E5B6" w14:textId="77777777" w:rsidR="00524720" w:rsidRPr="00D9348B" w:rsidRDefault="00524720">
            <w:pPr>
              <w:pStyle w:val="TableText"/>
              <w:spacing w:before="50" w:after="50"/>
              <w:jc w:val="center"/>
              <w:rPr>
                <w:rFonts w:cs="Calibri"/>
                <w:szCs w:val="16"/>
              </w:rPr>
            </w:pPr>
            <w:r w:rsidRPr="00D9348B">
              <w:rPr>
                <w:rFonts w:cs="Calibri"/>
                <w:szCs w:val="16"/>
              </w:rPr>
              <w:t>17</w:t>
            </w:r>
          </w:p>
        </w:tc>
        <w:tc>
          <w:tcPr>
            <w:tcW w:w="910" w:type="dxa"/>
            <w:tcBorders>
              <w:top w:val="single" w:sz="4" w:space="0" w:color="365F91"/>
              <w:left w:val="nil"/>
              <w:bottom w:val="single" w:sz="4" w:space="0" w:color="365F91"/>
              <w:right w:val="nil"/>
            </w:tcBorders>
            <w:hideMark/>
          </w:tcPr>
          <w:p w14:paraId="45233B14" w14:textId="77777777" w:rsidR="00524720" w:rsidRPr="00D9348B" w:rsidRDefault="00524720">
            <w:pPr>
              <w:pStyle w:val="TableText"/>
              <w:spacing w:before="50" w:after="50"/>
              <w:jc w:val="center"/>
              <w:rPr>
                <w:rFonts w:cs="Calibri"/>
                <w:szCs w:val="16"/>
              </w:rPr>
            </w:pPr>
            <w:r w:rsidRPr="00D9348B">
              <w:rPr>
                <w:rFonts w:cs="Calibri"/>
                <w:szCs w:val="16"/>
              </w:rPr>
              <w:t>11</w:t>
            </w:r>
          </w:p>
        </w:tc>
        <w:tc>
          <w:tcPr>
            <w:tcW w:w="847" w:type="dxa"/>
            <w:tcBorders>
              <w:top w:val="single" w:sz="4" w:space="0" w:color="365F91"/>
              <w:left w:val="nil"/>
              <w:bottom w:val="single" w:sz="4" w:space="0" w:color="365F91"/>
              <w:right w:val="nil"/>
            </w:tcBorders>
            <w:hideMark/>
          </w:tcPr>
          <w:p w14:paraId="739E3E70" w14:textId="77777777" w:rsidR="00524720" w:rsidRPr="00D9348B" w:rsidRDefault="00524720">
            <w:pPr>
              <w:pStyle w:val="TableText"/>
              <w:spacing w:before="50" w:after="50"/>
              <w:jc w:val="center"/>
              <w:rPr>
                <w:rFonts w:cs="Calibri"/>
                <w:szCs w:val="16"/>
              </w:rPr>
            </w:pPr>
            <w:r w:rsidRPr="00D9348B">
              <w:rPr>
                <w:rFonts w:cs="Calibri"/>
                <w:szCs w:val="16"/>
              </w:rPr>
              <w:t>16</w:t>
            </w:r>
          </w:p>
        </w:tc>
        <w:tc>
          <w:tcPr>
            <w:tcW w:w="792" w:type="dxa"/>
            <w:tcBorders>
              <w:top w:val="single" w:sz="4" w:space="0" w:color="365F91"/>
              <w:left w:val="nil"/>
              <w:bottom w:val="single" w:sz="4" w:space="0" w:color="365F91"/>
              <w:right w:val="nil"/>
            </w:tcBorders>
            <w:hideMark/>
          </w:tcPr>
          <w:p w14:paraId="18CE362B" w14:textId="77777777" w:rsidR="00524720" w:rsidRPr="00D9348B" w:rsidRDefault="00524720">
            <w:pPr>
              <w:pStyle w:val="TableText"/>
              <w:spacing w:before="50" w:after="50"/>
              <w:jc w:val="center"/>
              <w:rPr>
                <w:rFonts w:cs="Calibri"/>
                <w:szCs w:val="16"/>
              </w:rPr>
            </w:pPr>
            <w:r w:rsidRPr="00D9348B">
              <w:rPr>
                <w:rFonts w:cs="Calibri"/>
                <w:szCs w:val="16"/>
              </w:rPr>
              <w:t>7</w:t>
            </w:r>
          </w:p>
        </w:tc>
        <w:tc>
          <w:tcPr>
            <w:tcW w:w="896" w:type="dxa"/>
            <w:tcBorders>
              <w:top w:val="single" w:sz="4" w:space="0" w:color="365F91"/>
              <w:left w:val="nil"/>
              <w:bottom w:val="single" w:sz="4" w:space="0" w:color="365F91"/>
              <w:right w:val="nil"/>
            </w:tcBorders>
            <w:hideMark/>
          </w:tcPr>
          <w:p w14:paraId="3A00BD41" w14:textId="77777777" w:rsidR="00524720" w:rsidRPr="00D9348B" w:rsidRDefault="00524720">
            <w:pPr>
              <w:pStyle w:val="TableText"/>
              <w:spacing w:before="50" w:after="50"/>
              <w:jc w:val="center"/>
              <w:rPr>
                <w:rFonts w:cs="Calibri"/>
                <w:szCs w:val="16"/>
              </w:rPr>
            </w:pPr>
            <w:r w:rsidRPr="00D9348B">
              <w:rPr>
                <w:rFonts w:cs="Calibri"/>
                <w:szCs w:val="16"/>
              </w:rPr>
              <w:t>1</w:t>
            </w:r>
          </w:p>
        </w:tc>
        <w:tc>
          <w:tcPr>
            <w:tcW w:w="808" w:type="dxa"/>
            <w:tcBorders>
              <w:top w:val="single" w:sz="4" w:space="0" w:color="365F91"/>
              <w:left w:val="nil"/>
              <w:bottom w:val="single" w:sz="4" w:space="0" w:color="365F91"/>
              <w:right w:val="nil"/>
            </w:tcBorders>
            <w:hideMark/>
          </w:tcPr>
          <w:p w14:paraId="496931D7" w14:textId="77777777" w:rsidR="00524720" w:rsidRPr="00D9348B" w:rsidRDefault="00524720">
            <w:pPr>
              <w:pStyle w:val="TableText"/>
              <w:spacing w:before="50" w:after="50"/>
              <w:jc w:val="center"/>
              <w:rPr>
                <w:rFonts w:cs="Calibri"/>
                <w:szCs w:val="16"/>
              </w:rPr>
            </w:pPr>
            <w:r w:rsidRPr="00D9348B">
              <w:rPr>
                <w:rFonts w:cs="Calibri"/>
                <w:szCs w:val="16"/>
              </w:rPr>
              <w:t>2</w:t>
            </w:r>
          </w:p>
        </w:tc>
        <w:tc>
          <w:tcPr>
            <w:tcW w:w="850" w:type="dxa"/>
            <w:tcBorders>
              <w:top w:val="single" w:sz="4" w:space="0" w:color="365F91"/>
              <w:left w:val="nil"/>
              <w:bottom w:val="single" w:sz="4" w:space="0" w:color="365F91"/>
              <w:right w:val="nil"/>
            </w:tcBorders>
            <w:hideMark/>
          </w:tcPr>
          <w:p w14:paraId="63A9ED07" w14:textId="77777777" w:rsidR="00524720" w:rsidRPr="00D9348B" w:rsidRDefault="00524720">
            <w:pPr>
              <w:pStyle w:val="TableText"/>
              <w:spacing w:before="50" w:after="50"/>
              <w:jc w:val="center"/>
              <w:rPr>
                <w:rFonts w:cs="Calibri"/>
                <w:szCs w:val="16"/>
              </w:rPr>
            </w:pPr>
            <w:r w:rsidRPr="00D9348B">
              <w:rPr>
                <w:rFonts w:cs="Calibri"/>
                <w:szCs w:val="16"/>
              </w:rPr>
              <w:t>46</w:t>
            </w:r>
          </w:p>
        </w:tc>
        <w:tc>
          <w:tcPr>
            <w:tcW w:w="1787" w:type="dxa"/>
            <w:tcBorders>
              <w:top w:val="single" w:sz="4" w:space="0" w:color="365F91"/>
              <w:left w:val="nil"/>
              <w:bottom w:val="single" w:sz="4" w:space="0" w:color="365F91"/>
              <w:right w:val="nil"/>
            </w:tcBorders>
            <w:hideMark/>
          </w:tcPr>
          <w:p w14:paraId="08F72347" w14:textId="77777777" w:rsidR="00524720" w:rsidRPr="00D9348B" w:rsidRDefault="00524720">
            <w:pPr>
              <w:pStyle w:val="TableText"/>
              <w:spacing w:before="50" w:after="50"/>
              <w:rPr>
                <w:rFonts w:cs="Calibri"/>
                <w:szCs w:val="16"/>
              </w:rPr>
            </w:pPr>
            <w:r w:rsidRPr="00D9348B">
              <w:rPr>
                <w:rFonts w:cs="Calibri"/>
                <w:szCs w:val="16"/>
              </w:rPr>
              <w:t>Interpolation</w:t>
            </w:r>
          </w:p>
        </w:tc>
      </w:tr>
      <w:tr w:rsidR="00524720" w:rsidRPr="00D9348B" w14:paraId="10E2C97D" w14:textId="77777777" w:rsidTr="00783F25">
        <w:tc>
          <w:tcPr>
            <w:tcW w:w="851" w:type="dxa"/>
            <w:tcBorders>
              <w:top w:val="single" w:sz="4" w:space="0" w:color="365F91"/>
              <w:left w:val="nil"/>
              <w:bottom w:val="single" w:sz="4" w:space="0" w:color="365F91"/>
              <w:right w:val="nil"/>
            </w:tcBorders>
            <w:hideMark/>
          </w:tcPr>
          <w:p w14:paraId="042C8C73" w14:textId="77777777" w:rsidR="00524720" w:rsidRPr="00D9348B" w:rsidRDefault="00524720">
            <w:pPr>
              <w:pStyle w:val="TableTextBold"/>
              <w:spacing w:before="50" w:after="50"/>
              <w:rPr>
                <w:rFonts w:cs="Calibri"/>
                <w:noProof w:val="0"/>
                <w:szCs w:val="16"/>
              </w:rPr>
            </w:pPr>
            <w:r w:rsidRPr="00D9348B">
              <w:rPr>
                <w:rFonts w:cs="Calibri"/>
                <w:noProof w:val="0"/>
                <w:szCs w:val="16"/>
              </w:rPr>
              <w:t>1980–94</w:t>
            </w:r>
          </w:p>
        </w:tc>
        <w:tc>
          <w:tcPr>
            <w:tcW w:w="764" w:type="dxa"/>
            <w:tcBorders>
              <w:top w:val="single" w:sz="4" w:space="0" w:color="365F91"/>
              <w:left w:val="nil"/>
              <w:bottom w:val="single" w:sz="4" w:space="0" w:color="365F91"/>
              <w:right w:val="nil"/>
            </w:tcBorders>
            <w:hideMark/>
          </w:tcPr>
          <w:p w14:paraId="3C14D9A4" w14:textId="77777777" w:rsidR="00524720" w:rsidRPr="00D9348B" w:rsidRDefault="00524720">
            <w:pPr>
              <w:pStyle w:val="TableText"/>
              <w:spacing w:before="50" w:after="50"/>
              <w:jc w:val="center"/>
              <w:rPr>
                <w:rFonts w:cs="Calibri"/>
                <w:szCs w:val="16"/>
              </w:rPr>
            </w:pPr>
            <w:r w:rsidRPr="00D9348B">
              <w:rPr>
                <w:rFonts w:cs="Calibri"/>
                <w:szCs w:val="16"/>
              </w:rPr>
              <w:t>17</w:t>
            </w:r>
          </w:p>
        </w:tc>
        <w:tc>
          <w:tcPr>
            <w:tcW w:w="910" w:type="dxa"/>
            <w:tcBorders>
              <w:top w:val="single" w:sz="4" w:space="0" w:color="365F91"/>
              <w:left w:val="nil"/>
              <w:bottom w:val="single" w:sz="4" w:space="0" w:color="365F91"/>
              <w:right w:val="nil"/>
            </w:tcBorders>
            <w:hideMark/>
          </w:tcPr>
          <w:p w14:paraId="06EE3575" w14:textId="77777777" w:rsidR="00524720" w:rsidRPr="00D9348B" w:rsidRDefault="00524720">
            <w:pPr>
              <w:pStyle w:val="TableText"/>
              <w:spacing w:before="50" w:after="50"/>
              <w:jc w:val="center"/>
              <w:rPr>
                <w:rFonts w:cs="Calibri"/>
                <w:szCs w:val="16"/>
              </w:rPr>
            </w:pPr>
            <w:r w:rsidRPr="00D9348B">
              <w:rPr>
                <w:rFonts w:cs="Calibri"/>
                <w:szCs w:val="16"/>
              </w:rPr>
              <w:t>11</w:t>
            </w:r>
          </w:p>
        </w:tc>
        <w:tc>
          <w:tcPr>
            <w:tcW w:w="847" w:type="dxa"/>
            <w:tcBorders>
              <w:top w:val="single" w:sz="4" w:space="0" w:color="365F91"/>
              <w:left w:val="nil"/>
              <w:bottom w:val="single" w:sz="4" w:space="0" w:color="365F91"/>
              <w:right w:val="nil"/>
            </w:tcBorders>
            <w:hideMark/>
          </w:tcPr>
          <w:p w14:paraId="7B858AEA" w14:textId="77777777" w:rsidR="00524720" w:rsidRPr="00D9348B" w:rsidRDefault="00524720">
            <w:pPr>
              <w:pStyle w:val="TableText"/>
              <w:spacing w:before="50" w:after="50"/>
              <w:jc w:val="center"/>
              <w:rPr>
                <w:rFonts w:cs="Calibri"/>
                <w:szCs w:val="16"/>
              </w:rPr>
            </w:pPr>
            <w:r w:rsidRPr="00D9348B">
              <w:rPr>
                <w:rFonts w:cs="Calibri"/>
                <w:szCs w:val="16"/>
              </w:rPr>
              <w:t>16</w:t>
            </w:r>
          </w:p>
        </w:tc>
        <w:tc>
          <w:tcPr>
            <w:tcW w:w="792" w:type="dxa"/>
            <w:tcBorders>
              <w:top w:val="single" w:sz="4" w:space="0" w:color="365F91"/>
              <w:left w:val="nil"/>
              <w:bottom w:val="single" w:sz="4" w:space="0" w:color="365F91"/>
              <w:right w:val="nil"/>
            </w:tcBorders>
            <w:hideMark/>
          </w:tcPr>
          <w:p w14:paraId="4D2F22CD" w14:textId="77777777" w:rsidR="00524720" w:rsidRPr="00D9348B" w:rsidRDefault="00524720">
            <w:pPr>
              <w:pStyle w:val="TableText"/>
              <w:spacing w:before="50" w:after="50"/>
              <w:jc w:val="center"/>
              <w:rPr>
                <w:rFonts w:cs="Calibri"/>
                <w:szCs w:val="16"/>
              </w:rPr>
            </w:pPr>
            <w:r w:rsidRPr="00D9348B">
              <w:rPr>
                <w:rFonts w:cs="Calibri"/>
                <w:szCs w:val="16"/>
              </w:rPr>
              <w:t>7</w:t>
            </w:r>
          </w:p>
        </w:tc>
        <w:tc>
          <w:tcPr>
            <w:tcW w:w="896" w:type="dxa"/>
            <w:tcBorders>
              <w:top w:val="single" w:sz="4" w:space="0" w:color="365F91"/>
              <w:left w:val="nil"/>
              <w:bottom w:val="single" w:sz="4" w:space="0" w:color="365F91"/>
              <w:right w:val="nil"/>
            </w:tcBorders>
            <w:hideMark/>
          </w:tcPr>
          <w:p w14:paraId="2456EC9D" w14:textId="77777777" w:rsidR="00524720" w:rsidRPr="00D9348B" w:rsidRDefault="00524720">
            <w:pPr>
              <w:pStyle w:val="TableText"/>
              <w:spacing w:before="50" w:after="50"/>
              <w:jc w:val="center"/>
              <w:rPr>
                <w:rFonts w:cs="Calibri"/>
                <w:szCs w:val="16"/>
              </w:rPr>
            </w:pPr>
            <w:r w:rsidRPr="00D9348B">
              <w:rPr>
                <w:rFonts w:cs="Calibri"/>
                <w:szCs w:val="16"/>
              </w:rPr>
              <w:t>1</w:t>
            </w:r>
          </w:p>
        </w:tc>
        <w:tc>
          <w:tcPr>
            <w:tcW w:w="808" w:type="dxa"/>
            <w:tcBorders>
              <w:top w:val="single" w:sz="4" w:space="0" w:color="365F91"/>
              <w:left w:val="nil"/>
              <w:bottom w:val="single" w:sz="4" w:space="0" w:color="365F91"/>
              <w:right w:val="nil"/>
            </w:tcBorders>
            <w:hideMark/>
          </w:tcPr>
          <w:p w14:paraId="35C00A38" w14:textId="77777777" w:rsidR="00524720" w:rsidRPr="00D9348B" w:rsidRDefault="00524720">
            <w:pPr>
              <w:pStyle w:val="TableText"/>
              <w:spacing w:before="50" w:after="50"/>
              <w:jc w:val="center"/>
              <w:rPr>
                <w:rFonts w:cs="Calibri"/>
                <w:szCs w:val="16"/>
              </w:rPr>
            </w:pPr>
            <w:r w:rsidRPr="00D9348B">
              <w:rPr>
                <w:rFonts w:cs="Calibri"/>
                <w:szCs w:val="16"/>
              </w:rPr>
              <w:t>3</w:t>
            </w:r>
          </w:p>
        </w:tc>
        <w:tc>
          <w:tcPr>
            <w:tcW w:w="850" w:type="dxa"/>
            <w:tcBorders>
              <w:top w:val="single" w:sz="4" w:space="0" w:color="365F91"/>
              <w:left w:val="nil"/>
              <w:bottom w:val="single" w:sz="4" w:space="0" w:color="365F91"/>
              <w:right w:val="nil"/>
            </w:tcBorders>
            <w:hideMark/>
          </w:tcPr>
          <w:p w14:paraId="2354CF40" w14:textId="77777777" w:rsidR="00524720" w:rsidRPr="00D9348B" w:rsidRDefault="00524720">
            <w:pPr>
              <w:pStyle w:val="TableText"/>
              <w:spacing w:before="50" w:after="50"/>
              <w:jc w:val="center"/>
              <w:rPr>
                <w:rFonts w:cs="Calibri"/>
                <w:szCs w:val="16"/>
              </w:rPr>
            </w:pPr>
            <w:r w:rsidRPr="00D9348B">
              <w:rPr>
                <w:rFonts w:cs="Calibri"/>
                <w:szCs w:val="16"/>
              </w:rPr>
              <w:t>45</w:t>
            </w:r>
          </w:p>
        </w:tc>
        <w:tc>
          <w:tcPr>
            <w:tcW w:w="1787" w:type="dxa"/>
            <w:tcBorders>
              <w:top w:val="single" w:sz="4" w:space="0" w:color="365F91"/>
              <w:left w:val="nil"/>
              <w:bottom w:val="single" w:sz="4" w:space="0" w:color="365F91"/>
              <w:right w:val="nil"/>
            </w:tcBorders>
            <w:hideMark/>
          </w:tcPr>
          <w:p w14:paraId="079F99FA" w14:textId="77777777" w:rsidR="00524720" w:rsidRPr="00D9348B" w:rsidRDefault="00524720">
            <w:pPr>
              <w:pStyle w:val="TableText"/>
              <w:spacing w:before="50" w:after="50"/>
              <w:rPr>
                <w:rFonts w:cs="Calibri"/>
                <w:szCs w:val="16"/>
              </w:rPr>
            </w:pPr>
            <w:r w:rsidRPr="00D9348B">
              <w:rPr>
                <w:rFonts w:cs="Calibri"/>
                <w:szCs w:val="16"/>
              </w:rPr>
              <w:t>As for 1995</w:t>
            </w:r>
          </w:p>
        </w:tc>
      </w:tr>
      <w:tr w:rsidR="00524720" w:rsidRPr="00D9348B" w14:paraId="41A02DD8" w14:textId="77777777" w:rsidTr="00783F25">
        <w:tc>
          <w:tcPr>
            <w:tcW w:w="851" w:type="dxa"/>
            <w:tcBorders>
              <w:top w:val="single" w:sz="4" w:space="0" w:color="365F91"/>
              <w:left w:val="nil"/>
              <w:bottom w:val="single" w:sz="4" w:space="0" w:color="365F91"/>
              <w:right w:val="nil"/>
            </w:tcBorders>
            <w:hideMark/>
          </w:tcPr>
          <w:p w14:paraId="675886B1" w14:textId="77777777" w:rsidR="00524720" w:rsidRPr="00D9348B" w:rsidRDefault="00524720">
            <w:pPr>
              <w:pStyle w:val="TableTextBold"/>
              <w:spacing w:before="50" w:after="50"/>
              <w:rPr>
                <w:rFonts w:cs="Calibri"/>
                <w:noProof w:val="0"/>
                <w:szCs w:val="16"/>
              </w:rPr>
            </w:pPr>
            <w:r w:rsidRPr="00D9348B">
              <w:rPr>
                <w:rFonts w:cs="Calibri"/>
                <w:noProof w:val="0"/>
                <w:szCs w:val="16"/>
              </w:rPr>
              <w:t>1995</w:t>
            </w:r>
          </w:p>
        </w:tc>
        <w:tc>
          <w:tcPr>
            <w:tcW w:w="764" w:type="dxa"/>
            <w:tcBorders>
              <w:top w:val="single" w:sz="4" w:space="0" w:color="365F91"/>
              <w:left w:val="nil"/>
              <w:bottom w:val="single" w:sz="4" w:space="0" w:color="365F91"/>
              <w:right w:val="nil"/>
            </w:tcBorders>
            <w:hideMark/>
          </w:tcPr>
          <w:p w14:paraId="4A341CAD" w14:textId="77777777" w:rsidR="00524720" w:rsidRPr="00D9348B" w:rsidRDefault="00524720">
            <w:pPr>
              <w:pStyle w:val="TableText"/>
              <w:spacing w:before="50" w:after="50"/>
              <w:jc w:val="center"/>
              <w:rPr>
                <w:rFonts w:cs="Calibri"/>
                <w:szCs w:val="16"/>
              </w:rPr>
            </w:pPr>
            <w:r w:rsidRPr="00D9348B">
              <w:rPr>
                <w:rFonts w:cs="Calibri"/>
                <w:szCs w:val="16"/>
              </w:rPr>
              <w:t>17</w:t>
            </w:r>
          </w:p>
        </w:tc>
        <w:tc>
          <w:tcPr>
            <w:tcW w:w="910" w:type="dxa"/>
            <w:tcBorders>
              <w:top w:val="single" w:sz="4" w:space="0" w:color="365F91"/>
              <w:left w:val="nil"/>
              <w:bottom w:val="single" w:sz="4" w:space="0" w:color="365F91"/>
              <w:right w:val="nil"/>
            </w:tcBorders>
            <w:hideMark/>
          </w:tcPr>
          <w:p w14:paraId="4C3CF3A9" w14:textId="77777777" w:rsidR="00524720" w:rsidRPr="00D9348B" w:rsidRDefault="00524720">
            <w:pPr>
              <w:pStyle w:val="TableText"/>
              <w:spacing w:before="50" w:after="50"/>
              <w:jc w:val="center"/>
              <w:rPr>
                <w:rFonts w:cs="Calibri"/>
                <w:szCs w:val="16"/>
              </w:rPr>
            </w:pPr>
            <w:r w:rsidRPr="00D9348B">
              <w:rPr>
                <w:rFonts w:cs="Calibri"/>
                <w:szCs w:val="16"/>
              </w:rPr>
              <w:t>11</w:t>
            </w:r>
          </w:p>
        </w:tc>
        <w:tc>
          <w:tcPr>
            <w:tcW w:w="847" w:type="dxa"/>
            <w:tcBorders>
              <w:top w:val="single" w:sz="4" w:space="0" w:color="365F91"/>
              <w:left w:val="nil"/>
              <w:bottom w:val="single" w:sz="4" w:space="0" w:color="365F91"/>
              <w:right w:val="nil"/>
            </w:tcBorders>
            <w:hideMark/>
          </w:tcPr>
          <w:p w14:paraId="595C79ED" w14:textId="77777777" w:rsidR="00524720" w:rsidRPr="00D9348B" w:rsidRDefault="00524720">
            <w:pPr>
              <w:pStyle w:val="TableText"/>
              <w:spacing w:before="50" w:after="50"/>
              <w:jc w:val="center"/>
              <w:rPr>
                <w:rFonts w:cs="Calibri"/>
                <w:szCs w:val="16"/>
              </w:rPr>
            </w:pPr>
            <w:r w:rsidRPr="00D9348B">
              <w:rPr>
                <w:rFonts w:cs="Calibri"/>
                <w:szCs w:val="16"/>
              </w:rPr>
              <w:t>16</w:t>
            </w:r>
          </w:p>
        </w:tc>
        <w:tc>
          <w:tcPr>
            <w:tcW w:w="792" w:type="dxa"/>
            <w:tcBorders>
              <w:top w:val="single" w:sz="4" w:space="0" w:color="365F91"/>
              <w:left w:val="nil"/>
              <w:bottom w:val="single" w:sz="4" w:space="0" w:color="365F91"/>
              <w:right w:val="nil"/>
            </w:tcBorders>
            <w:hideMark/>
          </w:tcPr>
          <w:p w14:paraId="4BBE69A4" w14:textId="77777777" w:rsidR="00524720" w:rsidRPr="00D9348B" w:rsidRDefault="00524720">
            <w:pPr>
              <w:pStyle w:val="TableText"/>
              <w:spacing w:before="50" w:after="50"/>
              <w:jc w:val="center"/>
              <w:rPr>
                <w:rFonts w:cs="Calibri"/>
                <w:szCs w:val="16"/>
              </w:rPr>
            </w:pPr>
            <w:r w:rsidRPr="00D9348B">
              <w:rPr>
                <w:rFonts w:cs="Calibri"/>
                <w:szCs w:val="16"/>
              </w:rPr>
              <w:t>7</w:t>
            </w:r>
          </w:p>
        </w:tc>
        <w:tc>
          <w:tcPr>
            <w:tcW w:w="896" w:type="dxa"/>
            <w:tcBorders>
              <w:top w:val="single" w:sz="4" w:space="0" w:color="365F91"/>
              <w:left w:val="nil"/>
              <w:bottom w:val="single" w:sz="4" w:space="0" w:color="365F91"/>
              <w:right w:val="nil"/>
            </w:tcBorders>
            <w:hideMark/>
          </w:tcPr>
          <w:p w14:paraId="62E78BAC" w14:textId="77777777" w:rsidR="00524720" w:rsidRPr="00D9348B" w:rsidRDefault="00524720">
            <w:pPr>
              <w:pStyle w:val="TableText"/>
              <w:spacing w:before="50" w:after="50"/>
              <w:jc w:val="center"/>
              <w:rPr>
                <w:rFonts w:cs="Calibri"/>
                <w:szCs w:val="16"/>
              </w:rPr>
            </w:pPr>
            <w:r w:rsidRPr="00D9348B">
              <w:rPr>
                <w:rFonts w:cs="Calibri"/>
                <w:szCs w:val="16"/>
              </w:rPr>
              <w:t>1</w:t>
            </w:r>
          </w:p>
        </w:tc>
        <w:tc>
          <w:tcPr>
            <w:tcW w:w="808" w:type="dxa"/>
            <w:tcBorders>
              <w:top w:val="single" w:sz="4" w:space="0" w:color="365F91"/>
              <w:left w:val="nil"/>
              <w:bottom w:val="single" w:sz="4" w:space="0" w:color="365F91"/>
              <w:right w:val="nil"/>
            </w:tcBorders>
            <w:hideMark/>
          </w:tcPr>
          <w:p w14:paraId="67E6302E" w14:textId="77777777" w:rsidR="00524720" w:rsidRPr="00D9348B" w:rsidRDefault="00524720">
            <w:pPr>
              <w:pStyle w:val="TableText"/>
              <w:spacing w:before="50" w:after="50"/>
              <w:jc w:val="center"/>
              <w:rPr>
                <w:rFonts w:cs="Calibri"/>
                <w:szCs w:val="16"/>
              </w:rPr>
            </w:pPr>
            <w:r w:rsidRPr="00D9348B">
              <w:rPr>
                <w:rFonts w:cs="Calibri"/>
                <w:szCs w:val="16"/>
              </w:rPr>
              <w:t>3</w:t>
            </w:r>
          </w:p>
        </w:tc>
        <w:tc>
          <w:tcPr>
            <w:tcW w:w="850" w:type="dxa"/>
            <w:tcBorders>
              <w:top w:val="single" w:sz="4" w:space="0" w:color="365F91"/>
              <w:left w:val="nil"/>
              <w:bottom w:val="single" w:sz="4" w:space="0" w:color="365F91"/>
              <w:right w:val="nil"/>
            </w:tcBorders>
            <w:hideMark/>
          </w:tcPr>
          <w:p w14:paraId="04D347BB" w14:textId="77777777" w:rsidR="00524720" w:rsidRPr="00D9348B" w:rsidRDefault="00524720">
            <w:pPr>
              <w:pStyle w:val="TableText"/>
              <w:spacing w:before="50" w:after="50"/>
              <w:jc w:val="center"/>
              <w:rPr>
                <w:rFonts w:cs="Calibri"/>
                <w:szCs w:val="16"/>
              </w:rPr>
            </w:pPr>
            <w:r w:rsidRPr="00D9348B">
              <w:rPr>
                <w:rFonts w:cs="Calibri"/>
                <w:szCs w:val="16"/>
              </w:rPr>
              <w:t>45</w:t>
            </w:r>
          </w:p>
        </w:tc>
        <w:tc>
          <w:tcPr>
            <w:tcW w:w="1787" w:type="dxa"/>
            <w:tcBorders>
              <w:top w:val="single" w:sz="4" w:space="0" w:color="365F91"/>
              <w:left w:val="nil"/>
              <w:bottom w:val="single" w:sz="4" w:space="0" w:color="365F91"/>
              <w:right w:val="nil"/>
            </w:tcBorders>
            <w:hideMark/>
          </w:tcPr>
          <w:p w14:paraId="38737D71" w14:textId="77777777" w:rsidR="00524720" w:rsidRPr="00D9348B" w:rsidRDefault="00524720">
            <w:pPr>
              <w:pStyle w:val="TableText"/>
              <w:spacing w:before="50" w:after="50"/>
              <w:rPr>
                <w:rFonts w:cs="Calibri"/>
                <w:szCs w:val="16"/>
              </w:rPr>
            </w:pPr>
            <w:r w:rsidRPr="00D9348B">
              <w:rPr>
                <w:rFonts w:cs="Calibri"/>
                <w:szCs w:val="16"/>
              </w:rPr>
              <w:t>National survey</w:t>
            </w:r>
          </w:p>
        </w:tc>
      </w:tr>
      <w:tr w:rsidR="00524720" w:rsidRPr="00D9348B" w14:paraId="2D3E6706" w14:textId="77777777" w:rsidTr="00783F25">
        <w:tc>
          <w:tcPr>
            <w:tcW w:w="851" w:type="dxa"/>
            <w:tcBorders>
              <w:top w:val="single" w:sz="4" w:space="0" w:color="365F91"/>
              <w:left w:val="nil"/>
              <w:bottom w:val="single" w:sz="4" w:space="0" w:color="365F91"/>
              <w:right w:val="nil"/>
            </w:tcBorders>
            <w:hideMark/>
          </w:tcPr>
          <w:p w14:paraId="390B907C" w14:textId="77777777" w:rsidR="00524720" w:rsidRPr="00D9348B" w:rsidRDefault="00524720">
            <w:pPr>
              <w:pStyle w:val="TableTextBold"/>
              <w:spacing w:before="50" w:after="50"/>
              <w:rPr>
                <w:rFonts w:cs="Calibri"/>
                <w:noProof w:val="0"/>
                <w:szCs w:val="16"/>
              </w:rPr>
            </w:pPr>
            <w:r w:rsidRPr="00D9348B">
              <w:rPr>
                <w:rFonts w:cs="Calibri"/>
                <w:noProof w:val="0"/>
                <w:szCs w:val="16"/>
              </w:rPr>
              <w:t>1996</w:t>
            </w:r>
          </w:p>
        </w:tc>
        <w:tc>
          <w:tcPr>
            <w:tcW w:w="764" w:type="dxa"/>
            <w:tcBorders>
              <w:top w:val="single" w:sz="4" w:space="0" w:color="365F91"/>
              <w:left w:val="nil"/>
              <w:bottom w:val="single" w:sz="4" w:space="0" w:color="365F91"/>
              <w:right w:val="nil"/>
            </w:tcBorders>
            <w:hideMark/>
          </w:tcPr>
          <w:p w14:paraId="0BB2B6CC" w14:textId="77777777" w:rsidR="00524720" w:rsidRPr="00D9348B" w:rsidRDefault="00524720">
            <w:pPr>
              <w:pStyle w:val="TableText"/>
              <w:spacing w:before="50" w:after="50"/>
              <w:jc w:val="center"/>
              <w:rPr>
                <w:rFonts w:cs="Calibri"/>
                <w:szCs w:val="16"/>
              </w:rPr>
            </w:pPr>
            <w:r w:rsidRPr="00D9348B">
              <w:rPr>
                <w:rFonts w:cs="Calibri"/>
                <w:szCs w:val="16"/>
              </w:rPr>
              <w:t>17</w:t>
            </w:r>
          </w:p>
        </w:tc>
        <w:tc>
          <w:tcPr>
            <w:tcW w:w="910" w:type="dxa"/>
            <w:tcBorders>
              <w:top w:val="single" w:sz="4" w:space="0" w:color="365F91"/>
              <w:left w:val="nil"/>
              <w:bottom w:val="single" w:sz="4" w:space="0" w:color="365F91"/>
              <w:right w:val="nil"/>
            </w:tcBorders>
            <w:hideMark/>
          </w:tcPr>
          <w:p w14:paraId="621B6A1A" w14:textId="77777777" w:rsidR="00524720" w:rsidRPr="00D9348B" w:rsidRDefault="00524720">
            <w:pPr>
              <w:pStyle w:val="TableText"/>
              <w:spacing w:before="50" w:after="50"/>
              <w:jc w:val="center"/>
              <w:rPr>
                <w:rFonts w:cs="Calibri"/>
                <w:szCs w:val="16"/>
              </w:rPr>
            </w:pPr>
            <w:r w:rsidRPr="00D9348B">
              <w:rPr>
                <w:rFonts w:cs="Calibri"/>
                <w:szCs w:val="16"/>
              </w:rPr>
              <w:t>11</w:t>
            </w:r>
          </w:p>
        </w:tc>
        <w:tc>
          <w:tcPr>
            <w:tcW w:w="847" w:type="dxa"/>
            <w:tcBorders>
              <w:top w:val="single" w:sz="4" w:space="0" w:color="365F91"/>
              <w:left w:val="nil"/>
              <w:bottom w:val="single" w:sz="4" w:space="0" w:color="365F91"/>
              <w:right w:val="nil"/>
            </w:tcBorders>
            <w:hideMark/>
          </w:tcPr>
          <w:p w14:paraId="50C257E9" w14:textId="77777777" w:rsidR="00524720" w:rsidRPr="00D9348B" w:rsidRDefault="00524720">
            <w:pPr>
              <w:pStyle w:val="TableText"/>
              <w:spacing w:before="50" w:after="50"/>
              <w:jc w:val="center"/>
              <w:rPr>
                <w:rFonts w:cs="Calibri"/>
                <w:szCs w:val="16"/>
              </w:rPr>
            </w:pPr>
            <w:r w:rsidRPr="00D9348B">
              <w:rPr>
                <w:rFonts w:cs="Calibri"/>
                <w:szCs w:val="16"/>
              </w:rPr>
              <w:t>16</w:t>
            </w:r>
          </w:p>
        </w:tc>
        <w:tc>
          <w:tcPr>
            <w:tcW w:w="792" w:type="dxa"/>
            <w:tcBorders>
              <w:top w:val="single" w:sz="4" w:space="0" w:color="365F91"/>
              <w:left w:val="nil"/>
              <w:bottom w:val="single" w:sz="4" w:space="0" w:color="365F91"/>
              <w:right w:val="nil"/>
            </w:tcBorders>
            <w:hideMark/>
          </w:tcPr>
          <w:p w14:paraId="4AB37822" w14:textId="77777777" w:rsidR="00524720" w:rsidRPr="00D9348B" w:rsidRDefault="00524720">
            <w:pPr>
              <w:pStyle w:val="TableText"/>
              <w:spacing w:before="50" w:after="50"/>
              <w:jc w:val="center"/>
              <w:rPr>
                <w:rFonts w:cs="Calibri"/>
                <w:szCs w:val="16"/>
              </w:rPr>
            </w:pPr>
            <w:r w:rsidRPr="00D9348B">
              <w:rPr>
                <w:rFonts w:cs="Calibri"/>
                <w:szCs w:val="16"/>
              </w:rPr>
              <w:t>8</w:t>
            </w:r>
          </w:p>
        </w:tc>
        <w:tc>
          <w:tcPr>
            <w:tcW w:w="896" w:type="dxa"/>
            <w:tcBorders>
              <w:top w:val="single" w:sz="4" w:space="0" w:color="365F91"/>
              <w:left w:val="nil"/>
              <w:bottom w:val="single" w:sz="4" w:space="0" w:color="365F91"/>
              <w:right w:val="nil"/>
            </w:tcBorders>
            <w:hideMark/>
          </w:tcPr>
          <w:p w14:paraId="62149F2B" w14:textId="77777777" w:rsidR="00524720" w:rsidRPr="00D9348B" w:rsidRDefault="00524720">
            <w:pPr>
              <w:pStyle w:val="TableText"/>
              <w:spacing w:before="50" w:after="50"/>
              <w:jc w:val="center"/>
              <w:rPr>
                <w:rFonts w:cs="Calibri"/>
                <w:szCs w:val="16"/>
              </w:rPr>
            </w:pPr>
            <w:r w:rsidRPr="00D9348B">
              <w:rPr>
                <w:rFonts w:cs="Calibri"/>
                <w:szCs w:val="16"/>
              </w:rPr>
              <w:t>1</w:t>
            </w:r>
          </w:p>
        </w:tc>
        <w:tc>
          <w:tcPr>
            <w:tcW w:w="808" w:type="dxa"/>
            <w:tcBorders>
              <w:top w:val="single" w:sz="4" w:space="0" w:color="365F91"/>
              <w:left w:val="nil"/>
              <w:bottom w:val="single" w:sz="4" w:space="0" w:color="365F91"/>
              <w:right w:val="nil"/>
            </w:tcBorders>
            <w:hideMark/>
          </w:tcPr>
          <w:p w14:paraId="4C2B2743" w14:textId="77777777" w:rsidR="00524720" w:rsidRPr="00D9348B" w:rsidRDefault="00524720">
            <w:pPr>
              <w:pStyle w:val="TableText"/>
              <w:spacing w:before="50" w:after="50"/>
              <w:jc w:val="center"/>
              <w:rPr>
                <w:rFonts w:cs="Calibri"/>
                <w:szCs w:val="16"/>
              </w:rPr>
            </w:pPr>
            <w:r w:rsidRPr="00D9348B">
              <w:rPr>
                <w:rFonts w:cs="Calibri"/>
                <w:szCs w:val="16"/>
              </w:rPr>
              <w:t>3</w:t>
            </w:r>
          </w:p>
        </w:tc>
        <w:tc>
          <w:tcPr>
            <w:tcW w:w="850" w:type="dxa"/>
            <w:tcBorders>
              <w:top w:val="single" w:sz="4" w:space="0" w:color="365F91"/>
              <w:left w:val="nil"/>
              <w:bottom w:val="single" w:sz="4" w:space="0" w:color="365F91"/>
              <w:right w:val="nil"/>
            </w:tcBorders>
            <w:hideMark/>
          </w:tcPr>
          <w:p w14:paraId="2E8E0BBC" w14:textId="77777777" w:rsidR="00524720" w:rsidRPr="00D9348B" w:rsidRDefault="00524720">
            <w:pPr>
              <w:pStyle w:val="TableText"/>
              <w:spacing w:before="50" w:after="50"/>
              <w:jc w:val="center"/>
              <w:rPr>
                <w:rFonts w:cs="Calibri"/>
                <w:szCs w:val="16"/>
              </w:rPr>
            </w:pPr>
            <w:r w:rsidRPr="00D9348B">
              <w:rPr>
                <w:rFonts w:cs="Calibri"/>
                <w:szCs w:val="16"/>
              </w:rPr>
              <w:t>45</w:t>
            </w:r>
          </w:p>
        </w:tc>
        <w:tc>
          <w:tcPr>
            <w:tcW w:w="1787" w:type="dxa"/>
            <w:tcBorders>
              <w:top w:val="single" w:sz="4" w:space="0" w:color="365F91"/>
              <w:left w:val="nil"/>
              <w:bottom w:val="single" w:sz="4" w:space="0" w:color="365F91"/>
              <w:right w:val="nil"/>
            </w:tcBorders>
            <w:hideMark/>
          </w:tcPr>
          <w:p w14:paraId="1A64EF56" w14:textId="77777777" w:rsidR="00524720" w:rsidRPr="00D9348B" w:rsidRDefault="00524720">
            <w:pPr>
              <w:pStyle w:val="TableText"/>
              <w:spacing w:before="50" w:after="50"/>
              <w:rPr>
                <w:rFonts w:cs="Calibri"/>
                <w:szCs w:val="16"/>
              </w:rPr>
            </w:pPr>
            <w:r w:rsidRPr="00D9348B">
              <w:rPr>
                <w:rFonts w:cs="Calibri"/>
                <w:szCs w:val="16"/>
              </w:rPr>
              <w:t>Interpolation</w:t>
            </w:r>
          </w:p>
        </w:tc>
      </w:tr>
      <w:tr w:rsidR="00524720" w:rsidRPr="00D9348B" w14:paraId="76EA1B49" w14:textId="77777777" w:rsidTr="00783F25">
        <w:tc>
          <w:tcPr>
            <w:tcW w:w="851" w:type="dxa"/>
            <w:tcBorders>
              <w:top w:val="single" w:sz="4" w:space="0" w:color="365F91"/>
              <w:left w:val="nil"/>
              <w:bottom w:val="single" w:sz="4" w:space="0" w:color="365F91"/>
              <w:right w:val="nil"/>
            </w:tcBorders>
            <w:hideMark/>
          </w:tcPr>
          <w:p w14:paraId="4E030E2C" w14:textId="77777777" w:rsidR="00524720" w:rsidRPr="00D9348B" w:rsidRDefault="00524720">
            <w:pPr>
              <w:pStyle w:val="TableTextBold"/>
              <w:spacing w:before="50" w:after="50"/>
              <w:rPr>
                <w:rFonts w:cs="Calibri"/>
                <w:noProof w:val="0"/>
                <w:szCs w:val="16"/>
              </w:rPr>
            </w:pPr>
            <w:r w:rsidRPr="00D9348B">
              <w:rPr>
                <w:rFonts w:cs="Calibri"/>
                <w:noProof w:val="0"/>
                <w:szCs w:val="16"/>
              </w:rPr>
              <w:t>1997</w:t>
            </w:r>
          </w:p>
        </w:tc>
        <w:tc>
          <w:tcPr>
            <w:tcW w:w="764" w:type="dxa"/>
            <w:tcBorders>
              <w:top w:val="single" w:sz="4" w:space="0" w:color="365F91"/>
              <w:left w:val="nil"/>
              <w:bottom w:val="single" w:sz="4" w:space="0" w:color="365F91"/>
              <w:right w:val="nil"/>
            </w:tcBorders>
            <w:hideMark/>
          </w:tcPr>
          <w:p w14:paraId="66438247" w14:textId="77777777" w:rsidR="00524720" w:rsidRPr="00D9348B" w:rsidRDefault="00524720">
            <w:pPr>
              <w:pStyle w:val="TableText"/>
              <w:spacing w:before="50" w:after="50"/>
              <w:jc w:val="center"/>
              <w:rPr>
                <w:rFonts w:cs="Calibri"/>
                <w:szCs w:val="16"/>
              </w:rPr>
            </w:pPr>
            <w:r w:rsidRPr="00D9348B">
              <w:rPr>
                <w:rFonts w:cs="Calibri"/>
                <w:szCs w:val="16"/>
              </w:rPr>
              <w:t>17</w:t>
            </w:r>
          </w:p>
        </w:tc>
        <w:tc>
          <w:tcPr>
            <w:tcW w:w="910" w:type="dxa"/>
            <w:tcBorders>
              <w:top w:val="single" w:sz="4" w:space="0" w:color="365F91"/>
              <w:left w:val="nil"/>
              <w:bottom w:val="single" w:sz="4" w:space="0" w:color="365F91"/>
              <w:right w:val="nil"/>
            </w:tcBorders>
            <w:hideMark/>
          </w:tcPr>
          <w:p w14:paraId="46E9C4E5" w14:textId="77777777" w:rsidR="00524720" w:rsidRPr="00D9348B" w:rsidRDefault="00524720">
            <w:pPr>
              <w:pStyle w:val="TableText"/>
              <w:spacing w:before="50" w:after="50"/>
              <w:jc w:val="center"/>
              <w:rPr>
                <w:rFonts w:cs="Calibri"/>
                <w:szCs w:val="16"/>
              </w:rPr>
            </w:pPr>
            <w:r w:rsidRPr="00D9348B">
              <w:rPr>
                <w:rFonts w:cs="Calibri"/>
                <w:szCs w:val="16"/>
              </w:rPr>
              <w:t>11</w:t>
            </w:r>
          </w:p>
        </w:tc>
        <w:tc>
          <w:tcPr>
            <w:tcW w:w="847" w:type="dxa"/>
            <w:tcBorders>
              <w:top w:val="single" w:sz="4" w:space="0" w:color="365F91"/>
              <w:left w:val="nil"/>
              <w:bottom w:val="single" w:sz="4" w:space="0" w:color="365F91"/>
              <w:right w:val="nil"/>
            </w:tcBorders>
            <w:hideMark/>
          </w:tcPr>
          <w:p w14:paraId="11335CA3" w14:textId="77777777" w:rsidR="00524720" w:rsidRPr="00D9348B" w:rsidRDefault="00524720">
            <w:pPr>
              <w:pStyle w:val="TableText"/>
              <w:spacing w:before="50" w:after="50"/>
              <w:jc w:val="center"/>
              <w:rPr>
                <w:rFonts w:cs="Calibri"/>
                <w:szCs w:val="16"/>
              </w:rPr>
            </w:pPr>
            <w:r w:rsidRPr="00D9348B">
              <w:rPr>
                <w:rFonts w:cs="Calibri"/>
                <w:szCs w:val="16"/>
              </w:rPr>
              <w:t>16</w:t>
            </w:r>
          </w:p>
        </w:tc>
        <w:tc>
          <w:tcPr>
            <w:tcW w:w="792" w:type="dxa"/>
            <w:tcBorders>
              <w:top w:val="single" w:sz="4" w:space="0" w:color="365F91"/>
              <w:left w:val="nil"/>
              <w:bottom w:val="single" w:sz="4" w:space="0" w:color="365F91"/>
              <w:right w:val="nil"/>
            </w:tcBorders>
            <w:hideMark/>
          </w:tcPr>
          <w:p w14:paraId="7A758BB7" w14:textId="77777777" w:rsidR="00524720" w:rsidRPr="00D9348B" w:rsidRDefault="00524720">
            <w:pPr>
              <w:pStyle w:val="TableText"/>
              <w:spacing w:before="50" w:after="50"/>
              <w:jc w:val="center"/>
              <w:rPr>
                <w:rFonts w:cs="Calibri"/>
                <w:szCs w:val="16"/>
              </w:rPr>
            </w:pPr>
            <w:r w:rsidRPr="00D9348B">
              <w:rPr>
                <w:rFonts w:cs="Calibri"/>
                <w:szCs w:val="16"/>
              </w:rPr>
              <w:t>9</w:t>
            </w:r>
          </w:p>
        </w:tc>
        <w:tc>
          <w:tcPr>
            <w:tcW w:w="896" w:type="dxa"/>
            <w:tcBorders>
              <w:top w:val="single" w:sz="4" w:space="0" w:color="365F91"/>
              <w:left w:val="nil"/>
              <w:bottom w:val="single" w:sz="4" w:space="0" w:color="365F91"/>
              <w:right w:val="nil"/>
            </w:tcBorders>
            <w:hideMark/>
          </w:tcPr>
          <w:p w14:paraId="0A7DD5A8" w14:textId="77777777" w:rsidR="00524720" w:rsidRPr="00D9348B" w:rsidRDefault="00524720">
            <w:pPr>
              <w:pStyle w:val="TableText"/>
              <w:spacing w:before="50" w:after="50"/>
              <w:jc w:val="center"/>
              <w:rPr>
                <w:rFonts w:cs="Calibri"/>
                <w:szCs w:val="16"/>
              </w:rPr>
            </w:pPr>
            <w:r w:rsidRPr="00D9348B">
              <w:rPr>
                <w:rFonts w:cs="Calibri"/>
                <w:szCs w:val="16"/>
              </w:rPr>
              <w:t>1</w:t>
            </w:r>
          </w:p>
        </w:tc>
        <w:tc>
          <w:tcPr>
            <w:tcW w:w="808" w:type="dxa"/>
            <w:tcBorders>
              <w:top w:val="single" w:sz="4" w:space="0" w:color="365F91"/>
              <w:left w:val="nil"/>
              <w:bottom w:val="single" w:sz="4" w:space="0" w:color="365F91"/>
              <w:right w:val="nil"/>
            </w:tcBorders>
            <w:hideMark/>
          </w:tcPr>
          <w:p w14:paraId="187A5058" w14:textId="77777777" w:rsidR="00524720" w:rsidRPr="00D9348B" w:rsidRDefault="00524720">
            <w:pPr>
              <w:pStyle w:val="TableText"/>
              <w:spacing w:before="50" w:after="50"/>
              <w:jc w:val="center"/>
              <w:rPr>
                <w:rFonts w:cs="Calibri"/>
                <w:szCs w:val="16"/>
              </w:rPr>
            </w:pPr>
            <w:r w:rsidRPr="00D9348B">
              <w:rPr>
                <w:rFonts w:cs="Calibri"/>
                <w:szCs w:val="16"/>
              </w:rPr>
              <w:t>3</w:t>
            </w:r>
          </w:p>
        </w:tc>
        <w:tc>
          <w:tcPr>
            <w:tcW w:w="850" w:type="dxa"/>
            <w:tcBorders>
              <w:top w:val="single" w:sz="4" w:space="0" w:color="365F91"/>
              <w:left w:val="nil"/>
              <w:bottom w:val="single" w:sz="4" w:space="0" w:color="365F91"/>
              <w:right w:val="nil"/>
            </w:tcBorders>
            <w:hideMark/>
          </w:tcPr>
          <w:p w14:paraId="2769104B" w14:textId="77777777" w:rsidR="00524720" w:rsidRPr="00D9348B" w:rsidRDefault="00524720">
            <w:pPr>
              <w:pStyle w:val="TableText"/>
              <w:spacing w:before="50" w:after="50"/>
              <w:jc w:val="center"/>
              <w:rPr>
                <w:rFonts w:cs="Calibri"/>
                <w:szCs w:val="16"/>
              </w:rPr>
            </w:pPr>
            <w:r w:rsidRPr="00D9348B">
              <w:rPr>
                <w:rFonts w:cs="Calibri"/>
                <w:szCs w:val="16"/>
              </w:rPr>
              <w:t>44</w:t>
            </w:r>
          </w:p>
        </w:tc>
        <w:tc>
          <w:tcPr>
            <w:tcW w:w="1787" w:type="dxa"/>
            <w:tcBorders>
              <w:top w:val="single" w:sz="4" w:space="0" w:color="365F91"/>
              <w:left w:val="nil"/>
              <w:bottom w:val="single" w:sz="4" w:space="0" w:color="365F91"/>
              <w:right w:val="nil"/>
            </w:tcBorders>
            <w:hideMark/>
          </w:tcPr>
          <w:p w14:paraId="04A2DC4D" w14:textId="77777777" w:rsidR="00524720" w:rsidRPr="00D9348B" w:rsidRDefault="00524720">
            <w:pPr>
              <w:pStyle w:val="TableText"/>
              <w:spacing w:before="50" w:after="50"/>
              <w:rPr>
                <w:rFonts w:cs="Calibri"/>
                <w:szCs w:val="16"/>
              </w:rPr>
            </w:pPr>
            <w:r w:rsidRPr="00D9348B">
              <w:rPr>
                <w:rFonts w:cs="Calibri"/>
                <w:szCs w:val="16"/>
              </w:rPr>
              <w:t>Interpolation</w:t>
            </w:r>
          </w:p>
        </w:tc>
      </w:tr>
      <w:tr w:rsidR="00524720" w:rsidRPr="00D9348B" w14:paraId="60C2A3A4" w14:textId="77777777" w:rsidTr="00783F25">
        <w:tc>
          <w:tcPr>
            <w:tcW w:w="851" w:type="dxa"/>
            <w:tcBorders>
              <w:top w:val="single" w:sz="4" w:space="0" w:color="365F91"/>
              <w:left w:val="nil"/>
              <w:bottom w:val="single" w:sz="4" w:space="0" w:color="365F91"/>
              <w:right w:val="nil"/>
            </w:tcBorders>
            <w:hideMark/>
          </w:tcPr>
          <w:p w14:paraId="0E25AAE5" w14:textId="77777777" w:rsidR="00524720" w:rsidRPr="00D9348B" w:rsidRDefault="00524720">
            <w:pPr>
              <w:pStyle w:val="TableTextBold"/>
              <w:spacing w:before="50" w:after="50"/>
              <w:rPr>
                <w:rFonts w:cs="Calibri"/>
                <w:noProof w:val="0"/>
                <w:szCs w:val="16"/>
              </w:rPr>
            </w:pPr>
            <w:r w:rsidRPr="00D9348B">
              <w:rPr>
                <w:rFonts w:cs="Calibri"/>
                <w:noProof w:val="0"/>
                <w:szCs w:val="16"/>
              </w:rPr>
              <w:t>1998</w:t>
            </w:r>
          </w:p>
        </w:tc>
        <w:tc>
          <w:tcPr>
            <w:tcW w:w="764" w:type="dxa"/>
            <w:tcBorders>
              <w:top w:val="single" w:sz="4" w:space="0" w:color="365F91"/>
              <w:left w:val="nil"/>
              <w:bottom w:val="single" w:sz="4" w:space="0" w:color="365F91"/>
              <w:right w:val="nil"/>
            </w:tcBorders>
            <w:hideMark/>
          </w:tcPr>
          <w:p w14:paraId="5619D1E8" w14:textId="77777777" w:rsidR="00524720" w:rsidRPr="00D9348B" w:rsidRDefault="00524720">
            <w:pPr>
              <w:pStyle w:val="TableText"/>
              <w:spacing w:before="50" w:after="50"/>
              <w:jc w:val="center"/>
              <w:rPr>
                <w:rFonts w:cs="Calibri"/>
                <w:szCs w:val="16"/>
              </w:rPr>
            </w:pPr>
            <w:r w:rsidRPr="00D9348B">
              <w:rPr>
                <w:rFonts w:cs="Calibri"/>
                <w:szCs w:val="16"/>
              </w:rPr>
              <w:t>16</w:t>
            </w:r>
          </w:p>
        </w:tc>
        <w:tc>
          <w:tcPr>
            <w:tcW w:w="910" w:type="dxa"/>
            <w:tcBorders>
              <w:top w:val="single" w:sz="4" w:space="0" w:color="365F91"/>
              <w:left w:val="nil"/>
              <w:bottom w:val="single" w:sz="4" w:space="0" w:color="365F91"/>
              <w:right w:val="nil"/>
            </w:tcBorders>
            <w:hideMark/>
          </w:tcPr>
          <w:p w14:paraId="37968C65" w14:textId="77777777" w:rsidR="00524720" w:rsidRPr="00D9348B" w:rsidRDefault="00524720">
            <w:pPr>
              <w:pStyle w:val="TableText"/>
              <w:spacing w:before="50" w:after="50"/>
              <w:jc w:val="center"/>
              <w:rPr>
                <w:rFonts w:cs="Calibri"/>
                <w:szCs w:val="16"/>
              </w:rPr>
            </w:pPr>
            <w:r w:rsidRPr="00D9348B">
              <w:rPr>
                <w:rFonts w:cs="Calibri"/>
                <w:szCs w:val="16"/>
              </w:rPr>
              <w:t>10</w:t>
            </w:r>
          </w:p>
        </w:tc>
        <w:tc>
          <w:tcPr>
            <w:tcW w:w="847" w:type="dxa"/>
            <w:tcBorders>
              <w:top w:val="single" w:sz="4" w:space="0" w:color="365F91"/>
              <w:left w:val="nil"/>
              <w:bottom w:val="single" w:sz="4" w:space="0" w:color="365F91"/>
              <w:right w:val="nil"/>
            </w:tcBorders>
            <w:hideMark/>
          </w:tcPr>
          <w:p w14:paraId="2594D3BD" w14:textId="77777777" w:rsidR="00524720" w:rsidRPr="00D9348B" w:rsidRDefault="00524720">
            <w:pPr>
              <w:pStyle w:val="TableText"/>
              <w:spacing w:before="50" w:after="50"/>
              <w:jc w:val="center"/>
              <w:rPr>
                <w:rFonts w:cs="Calibri"/>
                <w:szCs w:val="16"/>
              </w:rPr>
            </w:pPr>
            <w:r w:rsidRPr="00D9348B">
              <w:rPr>
                <w:rFonts w:cs="Calibri"/>
                <w:szCs w:val="16"/>
              </w:rPr>
              <w:t>16</w:t>
            </w:r>
          </w:p>
        </w:tc>
        <w:tc>
          <w:tcPr>
            <w:tcW w:w="792" w:type="dxa"/>
            <w:tcBorders>
              <w:top w:val="single" w:sz="4" w:space="0" w:color="365F91"/>
              <w:left w:val="nil"/>
              <w:bottom w:val="single" w:sz="4" w:space="0" w:color="365F91"/>
              <w:right w:val="nil"/>
            </w:tcBorders>
            <w:hideMark/>
          </w:tcPr>
          <w:p w14:paraId="598BB35B" w14:textId="77777777" w:rsidR="00524720" w:rsidRPr="00D9348B" w:rsidRDefault="00524720">
            <w:pPr>
              <w:pStyle w:val="TableText"/>
              <w:spacing w:before="50" w:after="50"/>
              <w:jc w:val="center"/>
              <w:rPr>
                <w:rFonts w:cs="Calibri"/>
                <w:szCs w:val="16"/>
              </w:rPr>
            </w:pPr>
            <w:r w:rsidRPr="00D9348B">
              <w:rPr>
                <w:rFonts w:cs="Calibri"/>
                <w:szCs w:val="16"/>
              </w:rPr>
              <w:t>9</w:t>
            </w:r>
          </w:p>
        </w:tc>
        <w:tc>
          <w:tcPr>
            <w:tcW w:w="896" w:type="dxa"/>
            <w:tcBorders>
              <w:top w:val="single" w:sz="4" w:space="0" w:color="365F91"/>
              <w:left w:val="nil"/>
              <w:bottom w:val="single" w:sz="4" w:space="0" w:color="365F91"/>
              <w:right w:val="nil"/>
            </w:tcBorders>
            <w:hideMark/>
          </w:tcPr>
          <w:p w14:paraId="5F6C7EA7" w14:textId="77777777" w:rsidR="00524720" w:rsidRPr="00D9348B" w:rsidRDefault="00524720">
            <w:pPr>
              <w:pStyle w:val="TableText"/>
              <w:spacing w:before="50" w:after="50"/>
              <w:jc w:val="center"/>
              <w:rPr>
                <w:rFonts w:cs="Calibri"/>
                <w:szCs w:val="16"/>
              </w:rPr>
            </w:pPr>
            <w:r w:rsidRPr="00D9348B">
              <w:rPr>
                <w:rFonts w:cs="Calibri"/>
                <w:szCs w:val="16"/>
              </w:rPr>
              <w:t>2</w:t>
            </w:r>
          </w:p>
        </w:tc>
        <w:tc>
          <w:tcPr>
            <w:tcW w:w="808" w:type="dxa"/>
            <w:tcBorders>
              <w:top w:val="single" w:sz="4" w:space="0" w:color="365F91"/>
              <w:left w:val="nil"/>
              <w:bottom w:val="single" w:sz="4" w:space="0" w:color="365F91"/>
              <w:right w:val="nil"/>
            </w:tcBorders>
            <w:hideMark/>
          </w:tcPr>
          <w:p w14:paraId="6043A947" w14:textId="77777777" w:rsidR="00524720" w:rsidRPr="00D9348B" w:rsidRDefault="00524720">
            <w:pPr>
              <w:pStyle w:val="TableText"/>
              <w:spacing w:before="50" w:after="50"/>
              <w:jc w:val="center"/>
              <w:rPr>
                <w:rFonts w:cs="Calibri"/>
                <w:szCs w:val="16"/>
              </w:rPr>
            </w:pPr>
            <w:r w:rsidRPr="00D9348B">
              <w:rPr>
                <w:rFonts w:cs="Calibri"/>
                <w:szCs w:val="16"/>
              </w:rPr>
              <w:t>3</w:t>
            </w:r>
          </w:p>
        </w:tc>
        <w:tc>
          <w:tcPr>
            <w:tcW w:w="850" w:type="dxa"/>
            <w:tcBorders>
              <w:top w:val="single" w:sz="4" w:space="0" w:color="365F91"/>
              <w:left w:val="nil"/>
              <w:bottom w:val="single" w:sz="4" w:space="0" w:color="365F91"/>
              <w:right w:val="nil"/>
            </w:tcBorders>
            <w:hideMark/>
          </w:tcPr>
          <w:p w14:paraId="1EC1F61E" w14:textId="77777777" w:rsidR="00524720" w:rsidRPr="00D9348B" w:rsidRDefault="00524720">
            <w:pPr>
              <w:pStyle w:val="TableText"/>
              <w:spacing w:before="50" w:after="50"/>
              <w:jc w:val="center"/>
              <w:rPr>
                <w:rFonts w:cs="Calibri"/>
                <w:szCs w:val="16"/>
              </w:rPr>
            </w:pPr>
            <w:r w:rsidRPr="00D9348B">
              <w:rPr>
                <w:rFonts w:cs="Calibri"/>
                <w:szCs w:val="16"/>
              </w:rPr>
              <w:t>44</w:t>
            </w:r>
          </w:p>
        </w:tc>
        <w:tc>
          <w:tcPr>
            <w:tcW w:w="1787" w:type="dxa"/>
            <w:tcBorders>
              <w:top w:val="single" w:sz="4" w:space="0" w:color="365F91"/>
              <w:left w:val="nil"/>
              <w:bottom w:val="single" w:sz="4" w:space="0" w:color="365F91"/>
              <w:right w:val="nil"/>
            </w:tcBorders>
            <w:hideMark/>
          </w:tcPr>
          <w:p w14:paraId="120B90E7" w14:textId="77777777" w:rsidR="00524720" w:rsidRPr="00D9348B" w:rsidRDefault="00524720">
            <w:pPr>
              <w:pStyle w:val="TableText"/>
              <w:spacing w:before="50" w:after="50"/>
              <w:rPr>
                <w:rFonts w:cs="Calibri"/>
                <w:szCs w:val="16"/>
              </w:rPr>
            </w:pPr>
            <w:r w:rsidRPr="00D9348B">
              <w:rPr>
                <w:rFonts w:cs="Calibri"/>
                <w:szCs w:val="16"/>
              </w:rPr>
              <w:t>Interpolation</w:t>
            </w:r>
          </w:p>
        </w:tc>
      </w:tr>
      <w:tr w:rsidR="00524720" w:rsidRPr="00D9348B" w14:paraId="3312CD18" w14:textId="77777777" w:rsidTr="00783F25">
        <w:tc>
          <w:tcPr>
            <w:tcW w:w="851" w:type="dxa"/>
            <w:tcBorders>
              <w:top w:val="single" w:sz="4" w:space="0" w:color="365F91"/>
              <w:left w:val="nil"/>
              <w:bottom w:val="single" w:sz="4" w:space="0" w:color="365F91"/>
              <w:right w:val="nil"/>
            </w:tcBorders>
            <w:hideMark/>
          </w:tcPr>
          <w:p w14:paraId="260CAD7C" w14:textId="77777777" w:rsidR="00524720" w:rsidRPr="00D9348B" w:rsidRDefault="00524720">
            <w:pPr>
              <w:pStyle w:val="TableTextBold"/>
              <w:spacing w:before="50" w:after="50"/>
              <w:rPr>
                <w:rFonts w:cs="Calibri"/>
                <w:noProof w:val="0"/>
                <w:szCs w:val="16"/>
              </w:rPr>
            </w:pPr>
            <w:r w:rsidRPr="00D9348B">
              <w:rPr>
                <w:rFonts w:cs="Calibri"/>
                <w:noProof w:val="0"/>
                <w:szCs w:val="16"/>
              </w:rPr>
              <w:t>1999</w:t>
            </w:r>
          </w:p>
        </w:tc>
        <w:tc>
          <w:tcPr>
            <w:tcW w:w="764" w:type="dxa"/>
            <w:tcBorders>
              <w:top w:val="single" w:sz="4" w:space="0" w:color="365F91"/>
              <w:left w:val="nil"/>
              <w:bottom w:val="single" w:sz="4" w:space="0" w:color="365F91"/>
              <w:right w:val="nil"/>
            </w:tcBorders>
            <w:hideMark/>
          </w:tcPr>
          <w:p w14:paraId="4F683EE5" w14:textId="77777777" w:rsidR="00524720" w:rsidRPr="00D9348B" w:rsidRDefault="00524720">
            <w:pPr>
              <w:pStyle w:val="TableText"/>
              <w:spacing w:before="50" w:after="50"/>
              <w:jc w:val="center"/>
              <w:rPr>
                <w:rFonts w:cs="Calibri"/>
                <w:szCs w:val="16"/>
              </w:rPr>
            </w:pPr>
            <w:r w:rsidRPr="00D9348B">
              <w:rPr>
                <w:rFonts w:cs="Calibri"/>
                <w:szCs w:val="16"/>
              </w:rPr>
              <w:t>16</w:t>
            </w:r>
          </w:p>
        </w:tc>
        <w:tc>
          <w:tcPr>
            <w:tcW w:w="910" w:type="dxa"/>
            <w:tcBorders>
              <w:top w:val="single" w:sz="4" w:space="0" w:color="365F91"/>
              <w:left w:val="nil"/>
              <w:bottom w:val="single" w:sz="4" w:space="0" w:color="365F91"/>
              <w:right w:val="nil"/>
            </w:tcBorders>
            <w:hideMark/>
          </w:tcPr>
          <w:p w14:paraId="6D41B0A7" w14:textId="77777777" w:rsidR="00524720" w:rsidRPr="00D9348B" w:rsidRDefault="00524720">
            <w:pPr>
              <w:pStyle w:val="TableText"/>
              <w:spacing w:before="50" w:after="50"/>
              <w:jc w:val="center"/>
              <w:rPr>
                <w:rFonts w:cs="Calibri"/>
                <w:szCs w:val="16"/>
              </w:rPr>
            </w:pPr>
            <w:r w:rsidRPr="00D9348B">
              <w:rPr>
                <w:rFonts w:cs="Calibri"/>
                <w:szCs w:val="16"/>
              </w:rPr>
              <w:t>10</w:t>
            </w:r>
          </w:p>
        </w:tc>
        <w:tc>
          <w:tcPr>
            <w:tcW w:w="847" w:type="dxa"/>
            <w:tcBorders>
              <w:top w:val="single" w:sz="4" w:space="0" w:color="365F91"/>
              <w:left w:val="nil"/>
              <w:bottom w:val="single" w:sz="4" w:space="0" w:color="365F91"/>
              <w:right w:val="nil"/>
            </w:tcBorders>
            <w:hideMark/>
          </w:tcPr>
          <w:p w14:paraId="0C22F23A" w14:textId="77777777" w:rsidR="00524720" w:rsidRPr="00D9348B" w:rsidRDefault="00524720">
            <w:pPr>
              <w:pStyle w:val="TableText"/>
              <w:spacing w:before="50" w:after="50"/>
              <w:jc w:val="center"/>
              <w:rPr>
                <w:rFonts w:cs="Calibri"/>
                <w:szCs w:val="16"/>
              </w:rPr>
            </w:pPr>
            <w:r w:rsidRPr="00D9348B">
              <w:rPr>
                <w:rFonts w:cs="Calibri"/>
                <w:szCs w:val="16"/>
              </w:rPr>
              <w:t>16</w:t>
            </w:r>
          </w:p>
        </w:tc>
        <w:tc>
          <w:tcPr>
            <w:tcW w:w="792" w:type="dxa"/>
            <w:tcBorders>
              <w:top w:val="single" w:sz="4" w:space="0" w:color="365F91"/>
              <w:left w:val="nil"/>
              <w:bottom w:val="single" w:sz="4" w:space="0" w:color="365F91"/>
              <w:right w:val="nil"/>
            </w:tcBorders>
            <w:hideMark/>
          </w:tcPr>
          <w:p w14:paraId="33B362C7" w14:textId="77777777" w:rsidR="00524720" w:rsidRPr="00D9348B" w:rsidRDefault="00524720">
            <w:pPr>
              <w:pStyle w:val="TableText"/>
              <w:spacing w:before="50" w:after="50"/>
              <w:jc w:val="center"/>
              <w:rPr>
                <w:rFonts w:cs="Calibri"/>
                <w:szCs w:val="16"/>
              </w:rPr>
            </w:pPr>
            <w:r w:rsidRPr="00D9348B">
              <w:rPr>
                <w:rFonts w:cs="Calibri"/>
                <w:szCs w:val="16"/>
              </w:rPr>
              <w:t>10</w:t>
            </w:r>
          </w:p>
        </w:tc>
        <w:tc>
          <w:tcPr>
            <w:tcW w:w="896" w:type="dxa"/>
            <w:tcBorders>
              <w:top w:val="single" w:sz="4" w:space="0" w:color="365F91"/>
              <w:left w:val="nil"/>
              <w:bottom w:val="single" w:sz="4" w:space="0" w:color="365F91"/>
              <w:right w:val="nil"/>
            </w:tcBorders>
            <w:hideMark/>
          </w:tcPr>
          <w:p w14:paraId="03E13F9E" w14:textId="77777777" w:rsidR="00524720" w:rsidRPr="00D9348B" w:rsidRDefault="00524720">
            <w:pPr>
              <w:pStyle w:val="TableText"/>
              <w:spacing w:before="50" w:after="50"/>
              <w:jc w:val="center"/>
              <w:rPr>
                <w:rFonts w:cs="Calibri"/>
                <w:szCs w:val="16"/>
              </w:rPr>
            </w:pPr>
            <w:r w:rsidRPr="00D9348B">
              <w:rPr>
                <w:rFonts w:cs="Calibri"/>
                <w:szCs w:val="16"/>
              </w:rPr>
              <w:t>2</w:t>
            </w:r>
          </w:p>
        </w:tc>
        <w:tc>
          <w:tcPr>
            <w:tcW w:w="808" w:type="dxa"/>
            <w:tcBorders>
              <w:top w:val="single" w:sz="4" w:space="0" w:color="365F91"/>
              <w:left w:val="nil"/>
              <w:bottom w:val="single" w:sz="4" w:space="0" w:color="365F91"/>
              <w:right w:val="nil"/>
            </w:tcBorders>
            <w:hideMark/>
          </w:tcPr>
          <w:p w14:paraId="73524346" w14:textId="77777777" w:rsidR="00524720" w:rsidRPr="00D9348B" w:rsidRDefault="00524720">
            <w:pPr>
              <w:pStyle w:val="TableText"/>
              <w:spacing w:before="50" w:after="50"/>
              <w:jc w:val="center"/>
              <w:rPr>
                <w:rFonts w:cs="Calibri"/>
                <w:szCs w:val="16"/>
              </w:rPr>
            </w:pPr>
            <w:r w:rsidRPr="00D9348B">
              <w:rPr>
                <w:rFonts w:cs="Calibri"/>
                <w:szCs w:val="16"/>
              </w:rPr>
              <w:t>3</w:t>
            </w:r>
          </w:p>
        </w:tc>
        <w:tc>
          <w:tcPr>
            <w:tcW w:w="850" w:type="dxa"/>
            <w:tcBorders>
              <w:top w:val="single" w:sz="4" w:space="0" w:color="365F91"/>
              <w:left w:val="nil"/>
              <w:bottom w:val="single" w:sz="4" w:space="0" w:color="365F91"/>
              <w:right w:val="nil"/>
            </w:tcBorders>
            <w:hideMark/>
          </w:tcPr>
          <w:p w14:paraId="35EBBB15" w14:textId="77777777" w:rsidR="00524720" w:rsidRPr="00D9348B" w:rsidRDefault="00524720">
            <w:pPr>
              <w:pStyle w:val="TableText"/>
              <w:spacing w:before="50" w:after="50"/>
              <w:jc w:val="center"/>
              <w:rPr>
                <w:rFonts w:cs="Calibri"/>
                <w:szCs w:val="16"/>
              </w:rPr>
            </w:pPr>
            <w:r w:rsidRPr="00D9348B">
              <w:rPr>
                <w:rFonts w:cs="Calibri"/>
                <w:szCs w:val="16"/>
              </w:rPr>
              <w:t>43</w:t>
            </w:r>
          </w:p>
        </w:tc>
        <w:tc>
          <w:tcPr>
            <w:tcW w:w="1787" w:type="dxa"/>
            <w:tcBorders>
              <w:top w:val="single" w:sz="4" w:space="0" w:color="365F91"/>
              <w:left w:val="nil"/>
              <w:bottom w:val="single" w:sz="4" w:space="0" w:color="365F91"/>
              <w:right w:val="nil"/>
            </w:tcBorders>
            <w:hideMark/>
          </w:tcPr>
          <w:p w14:paraId="2F74E8C6" w14:textId="77777777" w:rsidR="00524720" w:rsidRPr="00D9348B" w:rsidRDefault="00524720">
            <w:pPr>
              <w:pStyle w:val="TableText"/>
              <w:spacing w:before="50" w:after="50"/>
              <w:rPr>
                <w:rFonts w:cs="Calibri"/>
                <w:szCs w:val="16"/>
              </w:rPr>
            </w:pPr>
            <w:r w:rsidRPr="00D9348B">
              <w:rPr>
                <w:rFonts w:cs="Calibri"/>
                <w:szCs w:val="16"/>
              </w:rPr>
              <w:t>Interpolation</w:t>
            </w:r>
          </w:p>
        </w:tc>
      </w:tr>
      <w:tr w:rsidR="00524720" w:rsidRPr="00D9348B" w14:paraId="361BF8A0" w14:textId="77777777" w:rsidTr="00783F25">
        <w:tc>
          <w:tcPr>
            <w:tcW w:w="851" w:type="dxa"/>
            <w:tcBorders>
              <w:top w:val="single" w:sz="4" w:space="0" w:color="365F91"/>
              <w:left w:val="nil"/>
              <w:bottom w:val="single" w:sz="4" w:space="0" w:color="365F91"/>
              <w:right w:val="nil"/>
            </w:tcBorders>
            <w:hideMark/>
          </w:tcPr>
          <w:p w14:paraId="7352F166" w14:textId="77777777" w:rsidR="00524720" w:rsidRPr="00D9348B" w:rsidRDefault="00524720">
            <w:pPr>
              <w:pStyle w:val="TableTextBold"/>
              <w:spacing w:before="50" w:after="50"/>
              <w:rPr>
                <w:rFonts w:cs="Calibri"/>
                <w:noProof w:val="0"/>
                <w:szCs w:val="16"/>
              </w:rPr>
            </w:pPr>
            <w:r w:rsidRPr="00D9348B">
              <w:rPr>
                <w:rFonts w:cs="Calibri"/>
                <w:noProof w:val="0"/>
                <w:szCs w:val="16"/>
              </w:rPr>
              <w:t>2000</w:t>
            </w:r>
          </w:p>
        </w:tc>
        <w:tc>
          <w:tcPr>
            <w:tcW w:w="764" w:type="dxa"/>
            <w:tcBorders>
              <w:top w:val="single" w:sz="4" w:space="0" w:color="365F91"/>
              <w:left w:val="nil"/>
              <w:bottom w:val="single" w:sz="4" w:space="0" w:color="365F91"/>
              <w:right w:val="nil"/>
            </w:tcBorders>
            <w:hideMark/>
          </w:tcPr>
          <w:p w14:paraId="5003D488" w14:textId="77777777" w:rsidR="00524720" w:rsidRPr="00D9348B" w:rsidRDefault="00524720">
            <w:pPr>
              <w:pStyle w:val="TableText"/>
              <w:spacing w:before="50" w:after="50"/>
              <w:jc w:val="center"/>
              <w:rPr>
                <w:rFonts w:cs="Calibri"/>
                <w:szCs w:val="16"/>
              </w:rPr>
            </w:pPr>
            <w:r w:rsidRPr="00D9348B">
              <w:rPr>
                <w:rFonts w:cs="Calibri"/>
                <w:szCs w:val="16"/>
              </w:rPr>
              <w:t>16</w:t>
            </w:r>
          </w:p>
        </w:tc>
        <w:tc>
          <w:tcPr>
            <w:tcW w:w="910" w:type="dxa"/>
            <w:tcBorders>
              <w:top w:val="single" w:sz="4" w:space="0" w:color="365F91"/>
              <w:left w:val="nil"/>
              <w:bottom w:val="single" w:sz="4" w:space="0" w:color="365F91"/>
              <w:right w:val="nil"/>
            </w:tcBorders>
            <w:hideMark/>
          </w:tcPr>
          <w:p w14:paraId="3DFD56A0" w14:textId="77777777" w:rsidR="00524720" w:rsidRPr="00D9348B" w:rsidRDefault="00524720">
            <w:pPr>
              <w:pStyle w:val="TableText"/>
              <w:spacing w:before="50" w:after="50"/>
              <w:jc w:val="center"/>
              <w:rPr>
                <w:rFonts w:cs="Calibri"/>
                <w:szCs w:val="16"/>
              </w:rPr>
            </w:pPr>
            <w:r w:rsidRPr="00D9348B">
              <w:rPr>
                <w:rFonts w:cs="Calibri"/>
                <w:szCs w:val="16"/>
              </w:rPr>
              <w:t>10</w:t>
            </w:r>
          </w:p>
        </w:tc>
        <w:tc>
          <w:tcPr>
            <w:tcW w:w="847" w:type="dxa"/>
            <w:tcBorders>
              <w:top w:val="single" w:sz="4" w:space="0" w:color="365F91"/>
              <w:left w:val="nil"/>
              <w:bottom w:val="single" w:sz="4" w:space="0" w:color="365F91"/>
              <w:right w:val="nil"/>
            </w:tcBorders>
            <w:hideMark/>
          </w:tcPr>
          <w:p w14:paraId="3AF0FD36" w14:textId="77777777" w:rsidR="00524720" w:rsidRPr="00D9348B" w:rsidRDefault="00524720">
            <w:pPr>
              <w:pStyle w:val="TableText"/>
              <w:spacing w:before="50" w:after="50"/>
              <w:jc w:val="center"/>
              <w:rPr>
                <w:rFonts w:cs="Calibri"/>
                <w:szCs w:val="16"/>
              </w:rPr>
            </w:pPr>
            <w:r w:rsidRPr="00D9348B">
              <w:rPr>
                <w:rFonts w:cs="Calibri"/>
                <w:szCs w:val="16"/>
              </w:rPr>
              <w:t>16</w:t>
            </w:r>
          </w:p>
        </w:tc>
        <w:tc>
          <w:tcPr>
            <w:tcW w:w="792" w:type="dxa"/>
            <w:tcBorders>
              <w:top w:val="single" w:sz="4" w:space="0" w:color="365F91"/>
              <w:left w:val="nil"/>
              <w:bottom w:val="single" w:sz="4" w:space="0" w:color="365F91"/>
              <w:right w:val="nil"/>
            </w:tcBorders>
            <w:hideMark/>
          </w:tcPr>
          <w:p w14:paraId="4A2EC63A" w14:textId="77777777" w:rsidR="00524720" w:rsidRPr="00D9348B" w:rsidRDefault="00524720">
            <w:pPr>
              <w:pStyle w:val="TableText"/>
              <w:spacing w:before="50" w:after="50"/>
              <w:jc w:val="center"/>
              <w:rPr>
                <w:rFonts w:cs="Calibri"/>
                <w:szCs w:val="16"/>
              </w:rPr>
            </w:pPr>
            <w:r w:rsidRPr="00D9348B">
              <w:rPr>
                <w:rFonts w:cs="Calibri"/>
                <w:szCs w:val="16"/>
              </w:rPr>
              <w:t>11</w:t>
            </w:r>
          </w:p>
        </w:tc>
        <w:tc>
          <w:tcPr>
            <w:tcW w:w="896" w:type="dxa"/>
            <w:tcBorders>
              <w:top w:val="single" w:sz="4" w:space="0" w:color="365F91"/>
              <w:left w:val="nil"/>
              <w:bottom w:val="single" w:sz="4" w:space="0" w:color="365F91"/>
              <w:right w:val="nil"/>
            </w:tcBorders>
            <w:hideMark/>
          </w:tcPr>
          <w:p w14:paraId="7F776F17" w14:textId="77777777" w:rsidR="00524720" w:rsidRPr="00D9348B" w:rsidRDefault="00524720">
            <w:pPr>
              <w:pStyle w:val="TableText"/>
              <w:spacing w:before="50" w:after="50"/>
              <w:jc w:val="center"/>
              <w:rPr>
                <w:rFonts w:cs="Calibri"/>
                <w:szCs w:val="16"/>
              </w:rPr>
            </w:pPr>
            <w:r w:rsidRPr="00D9348B">
              <w:rPr>
                <w:rFonts w:cs="Calibri"/>
                <w:szCs w:val="16"/>
              </w:rPr>
              <w:t>2</w:t>
            </w:r>
          </w:p>
        </w:tc>
        <w:tc>
          <w:tcPr>
            <w:tcW w:w="808" w:type="dxa"/>
            <w:tcBorders>
              <w:top w:val="single" w:sz="4" w:space="0" w:color="365F91"/>
              <w:left w:val="nil"/>
              <w:bottom w:val="single" w:sz="4" w:space="0" w:color="365F91"/>
              <w:right w:val="nil"/>
            </w:tcBorders>
            <w:hideMark/>
          </w:tcPr>
          <w:p w14:paraId="23EDC543" w14:textId="77777777" w:rsidR="00524720" w:rsidRPr="00D9348B" w:rsidRDefault="00524720">
            <w:pPr>
              <w:pStyle w:val="TableText"/>
              <w:spacing w:before="50" w:after="50"/>
              <w:jc w:val="center"/>
              <w:rPr>
                <w:rFonts w:cs="Calibri"/>
                <w:szCs w:val="16"/>
              </w:rPr>
            </w:pPr>
            <w:r w:rsidRPr="00D9348B">
              <w:rPr>
                <w:rFonts w:cs="Calibri"/>
                <w:szCs w:val="16"/>
              </w:rPr>
              <w:t>3</w:t>
            </w:r>
          </w:p>
        </w:tc>
        <w:tc>
          <w:tcPr>
            <w:tcW w:w="850" w:type="dxa"/>
            <w:tcBorders>
              <w:top w:val="single" w:sz="4" w:space="0" w:color="365F91"/>
              <w:left w:val="nil"/>
              <w:bottom w:val="single" w:sz="4" w:space="0" w:color="365F91"/>
              <w:right w:val="nil"/>
            </w:tcBorders>
            <w:hideMark/>
          </w:tcPr>
          <w:p w14:paraId="73B55136" w14:textId="77777777" w:rsidR="00524720" w:rsidRPr="00D9348B" w:rsidRDefault="00524720">
            <w:pPr>
              <w:pStyle w:val="TableText"/>
              <w:spacing w:before="50" w:after="50"/>
              <w:jc w:val="center"/>
              <w:rPr>
                <w:rFonts w:cs="Calibri"/>
                <w:szCs w:val="16"/>
              </w:rPr>
            </w:pPr>
            <w:r w:rsidRPr="00D9348B">
              <w:rPr>
                <w:rFonts w:cs="Calibri"/>
                <w:szCs w:val="16"/>
              </w:rPr>
              <w:t>43</w:t>
            </w:r>
          </w:p>
        </w:tc>
        <w:tc>
          <w:tcPr>
            <w:tcW w:w="1787" w:type="dxa"/>
            <w:tcBorders>
              <w:top w:val="single" w:sz="4" w:space="0" w:color="365F91"/>
              <w:left w:val="nil"/>
              <w:bottom w:val="single" w:sz="4" w:space="0" w:color="365F91"/>
              <w:right w:val="nil"/>
            </w:tcBorders>
            <w:hideMark/>
          </w:tcPr>
          <w:p w14:paraId="0DF97576" w14:textId="77777777" w:rsidR="00524720" w:rsidRPr="00D9348B" w:rsidRDefault="00524720">
            <w:pPr>
              <w:pStyle w:val="TableText"/>
              <w:spacing w:before="50" w:after="50"/>
              <w:rPr>
                <w:rFonts w:cs="Calibri"/>
                <w:szCs w:val="16"/>
              </w:rPr>
            </w:pPr>
            <w:r w:rsidRPr="00D9348B">
              <w:rPr>
                <w:rFonts w:cs="Calibri"/>
                <w:szCs w:val="16"/>
              </w:rPr>
              <w:t>Interpolation</w:t>
            </w:r>
          </w:p>
        </w:tc>
      </w:tr>
      <w:tr w:rsidR="00524720" w:rsidRPr="00D9348B" w14:paraId="6819AF8B" w14:textId="77777777" w:rsidTr="00783F25">
        <w:tc>
          <w:tcPr>
            <w:tcW w:w="851" w:type="dxa"/>
            <w:tcBorders>
              <w:top w:val="single" w:sz="4" w:space="0" w:color="365F91"/>
              <w:left w:val="nil"/>
              <w:bottom w:val="single" w:sz="4" w:space="0" w:color="365F91"/>
              <w:right w:val="nil"/>
            </w:tcBorders>
            <w:hideMark/>
          </w:tcPr>
          <w:p w14:paraId="6A1DD3E9" w14:textId="77777777" w:rsidR="00524720" w:rsidRPr="00D9348B" w:rsidRDefault="00524720">
            <w:pPr>
              <w:pStyle w:val="TableTextBold"/>
              <w:spacing w:before="50" w:after="50"/>
              <w:rPr>
                <w:rFonts w:cs="Calibri"/>
                <w:noProof w:val="0"/>
                <w:szCs w:val="16"/>
              </w:rPr>
            </w:pPr>
            <w:r w:rsidRPr="00D9348B">
              <w:rPr>
                <w:rFonts w:cs="Calibri"/>
                <w:noProof w:val="0"/>
                <w:szCs w:val="16"/>
              </w:rPr>
              <w:t>2001</w:t>
            </w:r>
          </w:p>
        </w:tc>
        <w:tc>
          <w:tcPr>
            <w:tcW w:w="764" w:type="dxa"/>
            <w:tcBorders>
              <w:top w:val="single" w:sz="4" w:space="0" w:color="365F91"/>
              <w:left w:val="nil"/>
              <w:bottom w:val="single" w:sz="4" w:space="0" w:color="365F91"/>
              <w:right w:val="nil"/>
            </w:tcBorders>
            <w:hideMark/>
          </w:tcPr>
          <w:p w14:paraId="15577DEB" w14:textId="77777777" w:rsidR="00524720" w:rsidRPr="00D9348B" w:rsidRDefault="00524720">
            <w:pPr>
              <w:pStyle w:val="TableText"/>
              <w:spacing w:before="50" w:after="50"/>
              <w:jc w:val="center"/>
              <w:rPr>
                <w:rFonts w:cs="Calibri"/>
                <w:szCs w:val="16"/>
              </w:rPr>
            </w:pPr>
            <w:r w:rsidRPr="00D9348B">
              <w:rPr>
                <w:rFonts w:cs="Calibri"/>
                <w:szCs w:val="16"/>
              </w:rPr>
              <w:t>15</w:t>
            </w:r>
          </w:p>
        </w:tc>
        <w:tc>
          <w:tcPr>
            <w:tcW w:w="910" w:type="dxa"/>
            <w:tcBorders>
              <w:top w:val="single" w:sz="4" w:space="0" w:color="365F91"/>
              <w:left w:val="nil"/>
              <w:bottom w:val="single" w:sz="4" w:space="0" w:color="365F91"/>
              <w:right w:val="nil"/>
            </w:tcBorders>
            <w:hideMark/>
          </w:tcPr>
          <w:p w14:paraId="588665E7" w14:textId="77777777" w:rsidR="00524720" w:rsidRPr="00D9348B" w:rsidRDefault="00524720">
            <w:pPr>
              <w:pStyle w:val="TableText"/>
              <w:spacing w:before="50" w:after="50"/>
              <w:jc w:val="center"/>
              <w:rPr>
                <w:rFonts w:cs="Calibri"/>
                <w:szCs w:val="16"/>
              </w:rPr>
            </w:pPr>
            <w:r w:rsidRPr="00D9348B">
              <w:rPr>
                <w:rFonts w:cs="Calibri"/>
                <w:szCs w:val="16"/>
              </w:rPr>
              <w:t>10</w:t>
            </w:r>
          </w:p>
        </w:tc>
        <w:tc>
          <w:tcPr>
            <w:tcW w:w="847" w:type="dxa"/>
            <w:tcBorders>
              <w:top w:val="single" w:sz="4" w:space="0" w:color="365F91"/>
              <w:left w:val="nil"/>
              <w:bottom w:val="single" w:sz="4" w:space="0" w:color="365F91"/>
              <w:right w:val="nil"/>
            </w:tcBorders>
            <w:hideMark/>
          </w:tcPr>
          <w:p w14:paraId="37003E56" w14:textId="77777777" w:rsidR="00524720" w:rsidRPr="00D9348B" w:rsidRDefault="00524720">
            <w:pPr>
              <w:pStyle w:val="TableText"/>
              <w:spacing w:before="50" w:after="50"/>
              <w:jc w:val="center"/>
              <w:rPr>
                <w:rFonts w:cs="Calibri"/>
                <w:szCs w:val="16"/>
              </w:rPr>
            </w:pPr>
            <w:r w:rsidRPr="00D9348B">
              <w:rPr>
                <w:rFonts w:cs="Calibri"/>
                <w:szCs w:val="16"/>
              </w:rPr>
              <w:t>15</w:t>
            </w:r>
          </w:p>
        </w:tc>
        <w:tc>
          <w:tcPr>
            <w:tcW w:w="792" w:type="dxa"/>
            <w:tcBorders>
              <w:top w:val="single" w:sz="4" w:space="0" w:color="365F91"/>
              <w:left w:val="nil"/>
              <w:bottom w:val="single" w:sz="4" w:space="0" w:color="365F91"/>
              <w:right w:val="nil"/>
            </w:tcBorders>
            <w:hideMark/>
          </w:tcPr>
          <w:p w14:paraId="1F6446E8" w14:textId="77777777" w:rsidR="00524720" w:rsidRPr="00D9348B" w:rsidRDefault="00524720">
            <w:pPr>
              <w:pStyle w:val="TableText"/>
              <w:spacing w:before="50" w:after="50"/>
              <w:jc w:val="center"/>
              <w:rPr>
                <w:rFonts w:cs="Calibri"/>
                <w:szCs w:val="16"/>
              </w:rPr>
            </w:pPr>
            <w:r w:rsidRPr="00D9348B">
              <w:rPr>
                <w:rFonts w:cs="Calibri"/>
                <w:szCs w:val="16"/>
              </w:rPr>
              <w:t>12</w:t>
            </w:r>
          </w:p>
        </w:tc>
        <w:tc>
          <w:tcPr>
            <w:tcW w:w="896" w:type="dxa"/>
            <w:tcBorders>
              <w:top w:val="single" w:sz="4" w:space="0" w:color="365F91"/>
              <w:left w:val="nil"/>
              <w:bottom w:val="single" w:sz="4" w:space="0" w:color="365F91"/>
              <w:right w:val="nil"/>
            </w:tcBorders>
            <w:hideMark/>
          </w:tcPr>
          <w:p w14:paraId="6500E7B4" w14:textId="77777777" w:rsidR="00524720" w:rsidRPr="00D9348B" w:rsidRDefault="00524720">
            <w:pPr>
              <w:pStyle w:val="TableText"/>
              <w:spacing w:before="50" w:after="50"/>
              <w:jc w:val="center"/>
              <w:rPr>
                <w:rFonts w:cs="Calibri"/>
                <w:szCs w:val="16"/>
              </w:rPr>
            </w:pPr>
            <w:r w:rsidRPr="00D9348B">
              <w:rPr>
                <w:rFonts w:cs="Calibri"/>
                <w:szCs w:val="16"/>
              </w:rPr>
              <w:t>3</w:t>
            </w:r>
          </w:p>
        </w:tc>
        <w:tc>
          <w:tcPr>
            <w:tcW w:w="808" w:type="dxa"/>
            <w:tcBorders>
              <w:top w:val="single" w:sz="4" w:space="0" w:color="365F91"/>
              <w:left w:val="nil"/>
              <w:bottom w:val="single" w:sz="4" w:space="0" w:color="365F91"/>
              <w:right w:val="nil"/>
            </w:tcBorders>
            <w:hideMark/>
          </w:tcPr>
          <w:p w14:paraId="6EC5D1C9" w14:textId="77777777" w:rsidR="00524720" w:rsidRPr="00D9348B" w:rsidRDefault="00524720">
            <w:pPr>
              <w:pStyle w:val="TableText"/>
              <w:spacing w:before="50" w:after="50"/>
              <w:jc w:val="center"/>
              <w:rPr>
                <w:rFonts w:cs="Calibri"/>
                <w:szCs w:val="16"/>
              </w:rPr>
            </w:pPr>
            <w:r w:rsidRPr="00D9348B">
              <w:rPr>
                <w:rFonts w:cs="Calibri"/>
                <w:szCs w:val="16"/>
              </w:rPr>
              <w:t>3</w:t>
            </w:r>
          </w:p>
        </w:tc>
        <w:tc>
          <w:tcPr>
            <w:tcW w:w="850" w:type="dxa"/>
            <w:tcBorders>
              <w:top w:val="single" w:sz="4" w:space="0" w:color="365F91"/>
              <w:left w:val="nil"/>
              <w:bottom w:val="single" w:sz="4" w:space="0" w:color="365F91"/>
              <w:right w:val="nil"/>
            </w:tcBorders>
            <w:hideMark/>
          </w:tcPr>
          <w:p w14:paraId="360DED5A" w14:textId="77777777" w:rsidR="00524720" w:rsidRPr="00D9348B" w:rsidRDefault="00524720">
            <w:pPr>
              <w:pStyle w:val="TableText"/>
              <w:spacing w:before="50" w:after="50"/>
              <w:jc w:val="center"/>
              <w:rPr>
                <w:rFonts w:cs="Calibri"/>
                <w:szCs w:val="16"/>
              </w:rPr>
            </w:pPr>
            <w:r w:rsidRPr="00D9348B">
              <w:rPr>
                <w:rFonts w:cs="Calibri"/>
                <w:szCs w:val="16"/>
              </w:rPr>
              <w:t>43</w:t>
            </w:r>
          </w:p>
        </w:tc>
        <w:tc>
          <w:tcPr>
            <w:tcW w:w="1787" w:type="dxa"/>
            <w:tcBorders>
              <w:top w:val="single" w:sz="4" w:space="0" w:color="365F91"/>
              <w:left w:val="nil"/>
              <w:bottom w:val="single" w:sz="4" w:space="0" w:color="365F91"/>
              <w:right w:val="nil"/>
            </w:tcBorders>
            <w:hideMark/>
          </w:tcPr>
          <w:p w14:paraId="4F576DBC" w14:textId="77777777" w:rsidR="00524720" w:rsidRPr="00D9348B" w:rsidRDefault="00524720">
            <w:pPr>
              <w:pStyle w:val="TableText"/>
              <w:spacing w:before="50" w:after="50"/>
              <w:rPr>
                <w:rFonts w:cs="Calibri"/>
                <w:szCs w:val="16"/>
              </w:rPr>
            </w:pPr>
            <w:r w:rsidRPr="00D9348B">
              <w:rPr>
                <w:rFonts w:cs="Calibri"/>
                <w:szCs w:val="16"/>
              </w:rPr>
              <w:t>Interpolation</w:t>
            </w:r>
          </w:p>
        </w:tc>
      </w:tr>
      <w:tr w:rsidR="00524720" w:rsidRPr="00D9348B" w14:paraId="5ECB33D1" w14:textId="77777777" w:rsidTr="00783F25">
        <w:tc>
          <w:tcPr>
            <w:tcW w:w="851" w:type="dxa"/>
            <w:tcBorders>
              <w:top w:val="single" w:sz="4" w:space="0" w:color="365F91"/>
              <w:left w:val="nil"/>
              <w:bottom w:val="single" w:sz="4" w:space="0" w:color="365F91"/>
              <w:right w:val="nil"/>
            </w:tcBorders>
            <w:hideMark/>
          </w:tcPr>
          <w:p w14:paraId="3C705711" w14:textId="77777777" w:rsidR="00524720" w:rsidRPr="00D9348B" w:rsidRDefault="00524720">
            <w:pPr>
              <w:pStyle w:val="TableTextBold"/>
              <w:spacing w:before="50" w:after="50"/>
              <w:rPr>
                <w:rFonts w:cs="Calibri"/>
                <w:noProof w:val="0"/>
                <w:szCs w:val="16"/>
              </w:rPr>
            </w:pPr>
            <w:r w:rsidRPr="00D9348B">
              <w:rPr>
                <w:rFonts w:cs="Calibri"/>
                <w:noProof w:val="0"/>
                <w:szCs w:val="16"/>
              </w:rPr>
              <w:t>2002</w:t>
            </w:r>
          </w:p>
        </w:tc>
        <w:tc>
          <w:tcPr>
            <w:tcW w:w="764" w:type="dxa"/>
            <w:tcBorders>
              <w:top w:val="single" w:sz="4" w:space="0" w:color="365F91"/>
              <w:left w:val="nil"/>
              <w:bottom w:val="single" w:sz="4" w:space="0" w:color="365F91"/>
              <w:right w:val="nil"/>
            </w:tcBorders>
            <w:hideMark/>
          </w:tcPr>
          <w:p w14:paraId="3CC8EC69" w14:textId="77777777" w:rsidR="00524720" w:rsidRPr="00D9348B" w:rsidRDefault="00524720">
            <w:pPr>
              <w:pStyle w:val="TableText"/>
              <w:spacing w:before="50" w:after="50"/>
              <w:jc w:val="center"/>
              <w:rPr>
                <w:rFonts w:cs="Calibri"/>
                <w:szCs w:val="16"/>
              </w:rPr>
            </w:pPr>
            <w:r w:rsidRPr="00D9348B">
              <w:rPr>
                <w:rFonts w:cs="Calibri"/>
                <w:szCs w:val="16"/>
              </w:rPr>
              <w:t>15</w:t>
            </w:r>
          </w:p>
        </w:tc>
        <w:tc>
          <w:tcPr>
            <w:tcW w:w="910" w:type="dxa"/>
            <w:tcBorders>
              <w:top w:val="single" w:sz="4" w:space="0" w:color="365F91"/>
              <w:left w:val="nil"/>
              <w:bottom w:val="single" w:sz="4" w:space="0" w:color="365F91"/>
              <w:right w:val="nil"/>
            </w:tcBorders>
            <w:hideMark/>
          </w:tcPr>
          <w:p w14:paraId="03224BB2" w14:textId="77777777" w:rsidR="00524720" w:rsidRPr="00D9348B" w:rsidRDefault="00524720">
            <w:pPr>
              <w:pStyle w:val="TableText"/>
              <w:spacing w:before="50" w:after="50"/>
              <w:jc w:val="center"/>
              <w:rPr>
                <w:rFonts w:cs="Calibri"/>
                <w:szCs w:val="16"/>
              </w:rPr>
            </w:pPr>
            <w:r w:rsidRPr="00D9348B">
              <w:rPr>
                <w:rFonts w:cs="Calibri"/>
                <w:szCs w:val="16"/>
              </w:rPr>
              <w:t>10</w:t>
            </w:r>
          </w:p>
        </w:tc>
        <w:tc>
          <w:tcPr>
            <w:tcW w:w="847" w:type="dxa"/>
            <w:tcBorders>
              <w:top w:val="single" w:sz="4" w:space="0" w:color="365F91"/>
              <w:left w:val="nil"/>
              <w:bottom w:val="single" w:sz="4" w:space="0" w:color="365F91"/>
              <w:right w:val="nil"/>
            </w:tcBorders>
            <w:hideMark/>
          </w:tcPr>
          <w:p w14:paraId="55BE8D15" w14:textId="77777777" w:rsidR="00524720" w:rsidRPr="00D9348B" w:rsidRDefault="00524720">
            <w:pPr>
              <w:pStyle w:val="TableText"/>
              <w:spacing w:before="50" w:after="50"/>
              <w:jc w:val="center"/>
              <w:rPr>
                <w:rFonts w:cs="Calibri"/>
                <w:szCs w:val="16"/>
              </w:rPr>
            </w:pPr>
            <w:r w:rsidRPr="00D9348B">
              <w:rPr>
                <w:rFonts w:cs="Calibri"/>
                <w:szCs w:val="16"/>
              </w:rPr>
              <w:t>15</w:t>
            </w:r>
          </w:p>
        </w:tc>
        <w:tc>
          <w:tcPr>
            <w:tcW w:w="792" w:type="dxa"/>
            <w:tcBorders>
              <w:top w:val="single" w:sz="4" w:space="0" w:color="365F91"/>
              <w:left w:val="nil"/>
              <w:bottom w:val="single" w:sz="4" w:space="0" w:color="365F91"/>
              <w:right w:val="nil"/>
            </w:tcBorders>
            <w:hideMark/>
          </w:tcPr>
          <w:p w14:paraId="0A3738EC" w14:textId="77777777" w:rsidR="00524720" w:rsidRPr="00D9348B" w:rsidRDefault="00524720">
            <w:pPr>
              <w:pStyle w:val="TableText"/>
              <w:spacing w:before="50" w:after="50"/>
              <w:jc w:val="center"/>
              <w:rPr>
                <w:rFonts w:cs="Calibri"/>
                <w:szCs w:val="16"/>
              </w:rPr>
            </w:pPr>
            <w:r w:rsidRPr="00D9348B">
              <w:rPr>
                <w:rFonts w:cs="Calibri"/>
                <w:szCs w:val="16"/>
              </w:rPr>
              <w:t>12</w:t>
            </w:r>
          </w:p>
        </w:tc>
        <w:tc>
          <w:tcPr>
            <w:tcW w:w="896" w:type="dxa"/>
            <w:tcBorders>
              <w:top w:val="single" w:sz="4" w:space="0" w:color="365F91"/>
              <w:left w:val="nil"/>
              <w:bottom w:val="single" w:sz="4" w:space="0" w:color="365F91"/>
              <w:right w:val="nil"/>
            </w:tcBorders>
            <w:hideMark/>
          </w:tcPr>
          <w:p w14:paraId="038F7B7F" w14:textId="77777777" w:rsidR="00524720" w:rsidRPr="00D9348B" w:rsidRDefault="00524720">
            <w:pPr>
              <w:pStyle w:val="TableText"/>
              <w:spacing w:before="50" w:after="50"/>
              <w:jc w:val="center"/>
              <w:rPr>
                <w:rFonts w:cs="Calibri"/>
                <w:szCs w:val="16"/>
              </w:rPr>
            </w:pPr>
            <w:r w:rsidRPr="00D9348B">
              <w:rPr>
                <w:rFonts w:cs="Calibri"/>
                <w:szCs w:val="16"/>
              </w:rPr>
              <w:t>3</w:t>
            </w:r>
          </w:p>
        </w:tc>
        <w:tc>
          <w:tcPr>
            <w:tcW w:w="808" w:type="dxa"/>
            <w:tcBorders>
              <w:top w:val="single" w:sz="4" w:space="0" w:color="365F91"/>
              <w:left w:val="nil"/>
              <w:bottom w:val="single" w:sz="4" w:space="0" w:color="365F91"/>
              <w:right w:val="nil"/>
            </w:tcBorders>
            <w:hideMark/>
          </w:tcPr>
          <w:p w14:paraId="32816EBC" w14:textId="77777777" w:rsidR="00524720" w:rsidRPr="00D9348B" w:rsidRDefault="00524720">
            <w:pPr>
              <w:pStyle w:val="TableText"/>
              <w:spacing w:before="50" w:after="50"/>
              <w:jc w:val="center"/>
              <w:rPr>
                <w:rFonts w:cs="Calibri"/>
                <w:szCs w:val="16"/>
              </w:rPr>
            </w:pPr>
            <w:r w:rsidRPr="00D9348B">
              <w:rPr>
                <w:rFonts w:cs="Calibri"/>
                <w:szCs w:val="16"/>
              </w:rPr>
              <w:t>3</w:t>
            </w:r>
          </w:p>
        </w:tc>
        <w:tc>
          <w:tcPr>
            <w:tcW w:w="850" w:type="dxa"/>
            <w:tcBorders>
              <w:top w:val="single" w:sz="4" w:space="0" w:color="365F91"/>
              <w:left w:val="nil"/>
              <w:bottom w:val="single" w:sz="4" w:space="0" w:color="365F91"/>
              <w:right w:val="nil"/>
            </w:tcBorders>
            <w:hideMark/>
          </w:tcPr>
          <w:p w14:paraId="2A81F399" w14:textId="77777777" w:rsidR="00524720" w:rsidRPr="00D9348B" w:rsidRDefault="00524720">
            <w:pPr>
              <w:pStyle w:val="TableText"/>
              <w:spacing w:before="50" w:after="50"/>
              <w:jc w:val="center"/>
              <w:rPr>
                <w:rFonts w:cs="Calibri"/>
                <w:szCs w:val="16"/>
              </w:rPr>
            </w:pPr>
            <w:r w:rsidRPr="00D9348B">
              <w:rPr>
                <w:rFonts w:cs="Calibri"/>
                <w:szCs w:val="16"/>
              </w:rPr>
              <w:t>42</w:t>
            </w:r>
          </w:p>
        </w:tc>
        <w:tc>
          <w:tcPr>
            <w:tcW w:w="1787" w:type="dxa"/>
            <w:tcBorders>
              <w:top w:val="single" w:sz="4" w:space="0" w:color="365F91"/>
              <w:left w:val="nil"/>
              <w:bottom w:val="single" w:sz="4" w:space="0" w:color="365F91"/>
              <w:right w:val="nil"/>
            </w:tcBorders>
            <w:hideMark/>
          </w:tcPr>
          <w:p w14:paraId="566AEB21" w14:textId="77777777" w:rsidR="00524720" w:rsidRPr="00D9348B" w:rsidRDefault="00524720">
            <w:pPr>
              <w:pStyle w:val="TableText"/>
              <w:spacing w:before="50" w:after="50"/>
              <w:rPr>
                <w:rFonts w:cs="Calibri"/>
                <w:szCs w:val="16"/>
              </w:rPr>
            </w:pPr>
            <w:r w:rsidRPr="00D9348B">
              <w:rPr>
                <w:rFonts w:cs="Calibri"/>
                <w:szCs w:val="16"/>
              </w:rPr>
              <w:t>Interpolation</w:t>
            </w:r>
          </w:p>
        </w:tc>
      </w:tr>
      <w:tr w:rsidR="00524720" w:rsidRPr="00D9348B" w14:paraId="6614FED9" w14:textId="77777777" w:rsidTr="00783F25">
        <w:tc>
          <w:tcPr>
            <w:tcW w:w="851" w:type="dxa"/>
            <w:tcBorders>
              <w:top w:val="single" w:sz="4" w:space="0" w:color="365F91"/>
              <w:left w:val="nil"/>
              <w:bottom w:val="single" w:sz="4" w:space="0" w:color="365F91"/>
              <w:right w:val="nil"/>
            </w:tcBorders>
            <w:hideMark/>
          </w:tcPr>
          <w:p w14:paraId="348FC92B" w14:textId="77777777" w:rsidR="00524720" w:rsidRPr="00D9348B" w:rsidRDefault="00524720">
            <w:pPr>
              <w:pStyle w:val="TableTextBold"/>
              <w:spacing w:before="50" w:after="50"/>
              <w:rPr>
                <w:rFonts w:cs="Calibri"/>
                <w:noProof w:val="0"/>
                <w:szCs w:val="16"/>
              </w:rPr>
            </w:pPr>
            <w:r w:rsidRPr="00D9348B">
              <w:rPr>
                <w:rFonts w:cs="Calibri"/>
                <w:noProof w:val="0"/>
                <w:szCs w:val="16"/>
              </w:rPr>
              <w:t>2003</w:t>
            </w:r>
          </w:p>
        </w:tc>
        <w:tc>
          <w:tcPr>
            <w:tcW w:w="764" w:type="dxa"/>
            <w:tcBorders>
              <w:top w:val="single" w:sz="4" w:space="0" w:color="365F91"/>
              <w:left w:val="nil"/>
              <w:bottom w:val="single" w:sz="4" w:space="0" w:color="365F91"/>
              <w:right w:val="nil"/>
            </w:tcBorders>
            <w:hideMark/>
          </w:tcPr>
          <w:p w14:paraId="0B255436" w14:textId="77777777" w:rsidR="00524720" w:rsidRPr="00D9348B" w:rsidRDefault="00524720">
            <w:pPr>
              <w:pStyle w:val="TableText"/>
              <w:spacing w:before="50" w:after="50"/>
              <w:jc w:val="center"/>
              <w:rPr>
                <w:rFonts w:cs="Calibri"/>
                <w:szCs w:val="16"/>
              </w:rPr>
            </w:pPr>
            <w:r w:rsidRPr="00D9348B">
              <w:rPr>
                <w:rFonts w:cs="Calibri"/>
                <w:szCs w:val="16"/>
              </w:rPr>
              <w:t>15</w:t>
            </w:r>
          </w:p>
        </w:tc>
        <w:tc>
          <w:tcPr>
            <w:tcW w:w="910" w:type="dxa"/>
            <w:tcBorders>
              <w:top w:val="single" w:sz="4" w:space="0" w:color="365F91"/>
              <w:left w:val="nil"/>
              <w:bottom w:val="single" w:sz="4" w:space="0" w:color="365F91"/>
              <w:right w:val="nil"/>
            </w:tcBorders>
            <w:hideMark/>
          </w:tcPr>
          <w:p w14:paraId="321C4A13" w14:textId="77777777" w:rsidR="00524720" w:rsidRPr="00D9348B" w:rsidRDefault="00524720">
            <w:pPr>
              <w:pStyle w:val="TableText"/>
              <w:spacing w:before="50" w:after="50"/>
              <w:jc w:val="center"/>
              <w:rPr>
                <w:rFonts w:cs="Calibri"/>
                <w:szCs w:val="16"/>
              </w:rPr>
            </w:pPr>
            <w:r w:rsidRPr="00D9348B">
              <w:rPr>
                <w:rFonts w:cs="Calibri"/>
                <w:szCs w:val="16"/>
              </w:rPr>
              <w:t>9</w:t>
            </w:r>
          </w:p>
        </w:tc>
        <w:tc>
          <w:tcPr>
            <w:tcW w:w="847" w:type="dxa"/>
            <w:tcBorders>
              <w:top w:val="single" w:sz="4" w:space="0" w:color="365F91"/>
              <w:left w:val="nil"/>
              <w:bottom w:val="single" w:sz="4" w:space="0" w:color="365F91"/>
              <w:right w:val="nil"/>
            </w:tcBorders>
            <w:hideMark/>
          </w:tcPr>
          <w:p w14:paraId="0252860F" w14:textId="77777777" w:rsidR="00524720" w:rsidRPr="00D9348B" w:rsidRDefault="00524720">
            <w:pPr>
              <w:pStyle w:val="TableText"/>
              <w:spacing w:before="50" w:after="50"/>
              <w:jc w:val="center"/>
              <w:rPr>
                <w:rFonts w:cs="Calibri"/>
                <w:szCs w:val="16"/>
              </w:rPr>
            </w:pPr>
            <w:r w:rsidRPr="00D9348B">
              <w:rPr>
                <w:rFonts w:cs="Calibri"/>
                <w:szCs w:val="16"/>
              </w:rPr>
              <w:t>15</w:t>
            </w:r>
          </w:p>
        </w:tc>
        <w:tc>
          <w:tcPr>
            <w:tcW w:w="792" w:type="dxa"/>
            <w:tcBorders>
              <w:top w:val="single" w:sz="4" w:space="0" w:color="365F91"/>
              <w:left w:val="nil"/>
              <w:bottom w:val="single" w:sz="4" w:space="0" w:color="365F91"/>
              <w:right w:val="nil"/>
            </w:tcBorders>
            <w:hideMark/>
          </w:tcPr>
          <w:p w14:paraId="32EDA80B" w14:textId="77777777" w:rsidR="00524720" w:rsidRPr="00D9348B" w:rsidRDefault="00524720">
            <w:pPr>
              <w:pStyle w:val="TableText"/>
              <w:spacing w:before="50" w:after="50"/>
              <w:jc w:val="center"/>
              <w:rPr>
                <w:rFonts w:cs="Calibri"/>
                <w:szCs w:val="16"/>
              </w:rPr>
            </w:pPr>
            <w:r w:rsidRPr="00D9348B">
              <w:rPr>
                <w:rFonts w:cs="Calibri"/>
                <w:szCs w:val="16"/>
              </w:rPr>
              <w:t>13</w:t>
            </w:r>
          </w:p>
        </w:tc>
        <w:tc>
          <w:tcPr>
            <w:tcW w:w="896" w:type="dxa"/>
            <w:tcBorders>
              <w:top w:val="single" w:sz="4" w:space="0" w:color="365F91"/>
              <w:left w:val="nil"/>
              <w:bottom w:val="single" w:sz="4" w:space="0" w:color="365F91"/>
              <w:right w:val="nil"/>
            </w:tcBorders>
            <w:hideMark/>
          </w:tcPr>
          <w:p w14:paraId="6254897C" w14:textId="77777777" w:rsidR="00524720" w:rsidRPr="00D9348B" w:rsidRDefault="00524720">
            <w:pPr>
              <w:pStyle w:val="TableText"/>
              <w:spacing w:before="50" w:after="50"/>
              <w:jc w:val="center"/>
              <w:rPr>
                <w:rFonts w:cs="Calibri"/>
                <w:szCs w:val="16"/>
              </w:rPr>
            </w:pPr>
            <w:r w:rsidRPr="00D9348B">
              <w:rPr>
                <w:rFonts w:cs="Calibri"/>
                <w:szCs w:val="16"/>
              </w:rPr>
              <w:t>4</w:t>
            </w:r>
          </w:p>
        </w:tc>
        <w:tc>
          <w:tcPr>
            <w:tcW w:w="808" w:type="dxa"/>
            <w:tcBorders>
              <w:top w:val="single" w:sz="4" w:space="0" w:color="365F91"/>
              <w:left w:val="nil"/>
              <w:bottom w:val="single" w:sz="4" w:space="0" w:color="365F91"/>
              <w:right w:val="nil"/>
            </w:tcBorders>
            <w:hideMark/>
          </w:tcPr>
          <w:p w14:paraId="602B4292" w14:textId="77777777" w:rsidR="00524720" w:rsidRPr="00D9348B" w:rsidRDefault="00524720">
            <w:pPr>
              <w:pStyle w:val="TableText"/>
              <w:spacing w:before="50" w:after="50"/>
              <w:jc w:val="center"/>
              <w:rPr>
                <w:rFonts w:cs="Calibri"/>
                <w:szCs w:val="16"/>
              </w:rPr>
            </w:pPr>
            <w:r w:rsidRPr="00D9348B">
              <w:rPr>
                <w:rFonts w:cs="Calibri"/>
                <w:szCs w:val="16"/>
              </w:rPr>
              <w:t>3</w:t>
            </w:r>
          </w:p>
        </w:tc>
        <w:tc>
          <w:tcPr>
            <w:tcW w:w="850" w:type="dxa"/>
            <w:tcBorders>
              <w:top w:val="single" w:sz="4" w:space="0" w:color="365F91"/>
              <w:left w:val="nil"/>
              <w:bottom w:val="single" w:sz="4" w:space="0" w:color="365F91"/>
              <w:right w:val="nil"/>
            </w:tcBorders>
            <w:hideMark/>
          </w:tcPr>
          <w:p w14:paraId="76A5C3C9" w14:textId="77777777" w:rsidR="00524720" w:rsidRPr="00D9348B" w:rsidRDefault="00524720">
            <w:pPr>
              <w:pStyle w:val="TableText"/>
              <w:spacing w:before="50" w:after="50"/>
              <w:jc w:val="center"/>
              <w:rPr>
                <w:rFonts w:cs="Calibri"/>
                <w:szCs w:val="16"/>
              </w:rPr>
            </w:pPr>
            <w:r w:rsidRPr="00D9348B">
              <w:rPr>
                <w:rFonts w:cs="Calibri"/>
                <w:szCs w:val="16"/>
              </w:rPr>
              <w:t>42</w:t>
            </w:r>
          </w:p>
        </w:tc>
        <w:tc>
          <w:tcPr>
            <w:tcW w:w="1787" w:type="dxa"/>
            <w:tcBorders>
              <w:top w:val="single" w:sz="4" w:space="0" w:color="365F91"/>
              <w:left w:val="nil"/>
              <w:bottom w:val="single" w:sz="4" w:space="0" w:color="365F91"/>
              <w:right w:val="nil"/>
            </w:tcBorders>
            <w:hideMark/>
          </w:tcPr>
          <w:p w14:paraId="5054F3AC" w14:textId="77777777" w:rsidR="00524720" w:rsidRPr="00D9348B" w:rsidRDefault="00524720">
            <w:pPr>
              <w:pStyle w:val="TableText"/>
              <w:spacing w:before="50" w:after="50"/>
              <w:rPr>
                <w:rFonts w:cs="Calibri"/>
                <w:szCs w:val="16"/>
              </w:rPr>
            </w:pPr>
            <w:r w:rsidRPr="00D9348B">
              <w:rPr>
                <w:rFonts w:cs="Calibri"/>
                <w:szCs w:val="16"/>
              </w:rPr>
              <w:t>Interpolation</w:t>
            </w:r>
          </w:p>
        </w:tc>
      </w:tr>
      <w:tr w:rsidR="00524720" w:rsidRPr="00D9348B" w14:paraId="560D20CF" w14:textId="77777777" w:rsidTr="00783F25">
        <w:tc>
          <w:tcPr>
            <w:tcW w:w="851" w:type="dxa"/>
            <w:tcBorders>
              <w:top w:val="single" w:sz="4" w:space="0" w:color="365F91"/>
              <w:left w:val="nil"/>
              <w:bottom w:val="single" w:sz="4" w:space="0" w:color="365F91"/>
              <w:right w:val="nil"/>
            </w:tcBorders>
            <w:hideMark/>
          </w:tcPr>
          <w:p w14:paraId="4E81C437" w14:textId="77777777" w:rsidR="00524720" w:rsidRPr="00D9348B" w:rsidRDefault="00524720">
            <w:pPr>
              <w:pStyle w:val="TableTextBold"/>
              <w:spacing w:before="50" w:after="50"/>
              <w:rPr>
                <w:rFonts w:cs="Calibri"/>
                <w:noProof w:val="0"/>
                <w:szCs w:val="16"/>
              </w:rPr>
            </w:pPr>
            <w:r w:rsidRPr="00D9348B">
              <w:rPr>
                <w:rFonts w:cs="Calibri"/>
                <w:noProof w:val="0"/>
                <w:szCs w:val="16"/>
              </w:rPr>
              <w:t>2004</w:t>
            </w:r>
          </w:p>
        </w:tc>
        <w:tc>
          <w:tcPr>
            <w:tcW w:w="764" w:type="dxa"/>
            <w:tcBorders>
              <w:top w:val="single" w:sz="4" w:space="0" w:color="365F91"/>
              <w:left w:val="nil"/>
              <w:bottom w:val="single" w:sz="4" w:space="0" w:color="365F91"/>
              <w:right w:val="nil"/>
            </w:tcBorders>
            <w:hideMark/>
          </w:tcPr>
          <w:p w14:paraId="635155B5" w14:textId="77777777" w:rsidR="00524720" w:rsidRPr="00D9348B" w:rsidRDefault="00524720">
            <w:pPr>
              <w:pStyle w:val="TableText"/>
              <w:spacing w:before="50" w:after="50"/>
              <w:jc w:val="center"/>
              <w:rPr>
                <w:rFonts w:cs="Calibri"/>
                <w:szCs w:val="16"/>
              </w:rPr>
            </w:pPr>
            <w:r w:rsidRPr="00D9348B">
              <w:rPr>
                <w:rFonts w:cs="Calibri"/>
                <w:szCs w:val="16"/>
              </w:rPr>
              <w:t>14</w:t>
            </w:r>
          </w:p>
        </w:tc>
        <w:tc>
          <w:tcPr>
            <w:tcW w:w="910" w:type="dxa"/>
            <w:tcBorders>
              <w:top w:val="single" w:sz="4" w:space="0" w:color="365F91"/>
              <w:left w:val="nil"/>
              <w:bottom w:val="single" w:sz="4" w:space="0" w:color="365F91"/>
              <w:right w:val="nil"/>
            </w:tcBorders>
            <w:hideMark/>
          </w:tcPr>
          <w:p w14:paraId="4251F7E4" w14:textId="77777777" w:rsidR="00524720" w:rsidRPr="00D9348B" w:rsidRDefault="00524720">
            <w:pPr>
              <w:pStyle w:val="TableText"/>
              <w:spacing w:before="50" w:after="50"/>
              <w:jc w:val="center"/>
              <w:rPr>
                <w:rFonts w:cs="Calibri"/>
                <w:szCs w:val="16"/>
              </w:rPr>
            </w:pPr>
            <w:r w:rsidRPr="00D9348B">
              <w:rPr>
                <w:rFonts w:cs="Calibri"/>
                <w:szCs w:val="16"/>
              </w:rPr>
              <w:t>9</w:t>
            </w:r>
          </w:p>
        </w:tc>
        <w:tc>
          <w:tcPr>
            <w:tcW w:w="847" w:type="dxa"/>
            <w:tcBorders>
              <w:top w:val="single" w:sz="4" w:space="0" w:color="365F91"/>
              <w:left w:val="nil"/>
              <w:bottom w:val="single" w:sz="4" w:space="0" w:color="365F91"/>
              <w:right w:val="nil"/>
            </w:tcBorders>
            <w:hideMark/>
          </w:tcPr>
          <w:p w14:paraId="5D9FB853" w14:textId="77777777" w:rsidR="00524720" w:rsidRPr="00D9348B" w:rsidRDefault="00524720">
            <w:pPr>
              <w:pStyle w:val="TableText"/>
              <w:spacing w:before="50" w:after="50"/>
              <w:jc w:val="center"/>
              <w:rPr>
                <w:rFonts w:cs="Calibri"/>
                <w:szCs w:val="16"/>
              </w:rPr>
            </w:pPr>
            <w:r w:rsidRPr="00D9348B">
              <w:rPr>
                <w:rFonts w:cs="Calibri"/>
                <w:szCs w:val="16"/>
              </w:rPr>
              <w:t>15</w:t>
            </w:r>
          </w:p>
        </w:tc>
        <w:tc>
          <w:tcPr>
            <w:tcW w:w="792" w:type="dxa"/>
            <w:tcBorders>
              <w:top w:val="single" w:sz="4" w:space="0" w:color="365F91"/>
              <w:left w:val="nil"/>
              <w:bottom w:val="single" w:sz="4" w:space="0" w:color="365F91"/>
              <w:right w:val="nil"/>
            </w:tcBorders>
            <w:hideMark/>
          </w:tcPr>
          <w:p w14:paraId="536F2177" w14:textId="77777777" w:rsidR="00524720" w:rsidRPr="00D9348B" w:rsidRDefault="00524720">
            <w:pPr>
              <w:pStyle w:val="TableText"/>
              <w:spacing w:before="50" w:after="50"/>
              <w:jc w:val="center"/>
              <w:rPr>
                <w:rFonts w:cs="Calibri"/>
                <w:szCs w:val="16"/>
              </w:rPr>
            </w:pPr>
            <w:r w:rsidRPr="00D9348B">
              <w:rPr>
                <w:rFonts w:cs="Calibri"/>
                <w:szCs w:val="16"/>
              </w:rPr>
              <w:t>14</w:t>
            </w:r>
          </w:p>
        </w:tc>
        <w:tc>
          <w:tcPr>
            <w:tcW w:w="896" w:type="dxa"/>
            <w:tcBorders>
              <w:top w:val="single" w:sz="4" w:space="0" w:color="365F91"/>
              <w:left w:val="nil"/>
              <w:bottom w:val="single" w:sz="4" w:space="0" w:color="365F91"/>
              <w:right w:val="nil"/>
            </w:tcBorders>
            <w:hideMark/>
          </w:tcPr>
          <w:p w14:paraId="6963BFD9" w14:textId="77777777" w:rsidR="00524720" w:rsidRPr="00D9348B" w:rsidRDefault="00524720">
            <w:pPr>
              <w:pStyle w:val="TableText"/>
              <w:spacing w:before="50" w:after="50"/>
              <w:jc w:val="center"/>
              <w:rPr>
                <w:rFonts w:cs="Calibri"/>
                <w:szCs w:val="16"/>
              </w:rPr>
            </w:pPr>
            <w:r w:rsidRPr="00D9348B">
              <w:rPr>
                <w:rFonts w:cs="Calibri"/>
                <w:szCs w:val="16"/>
              </w:rPr>
              <w:t>4</w:t>
            </w:r>
          </w:p>
        </w:tc>
        <w:tc>
          <w:tcPr>
            <w:tcW w:w="808" w:type="dxa"/>
            <w:tcBorders>
              <w:top w:val="single" w:sz="4" w:space="0" w:color="365F91"/>
              <w:left w:val="nil"/>
              <w:bottom w:val="single" w:sz="4" w:space="0" w:color="365F91"/>
              <w:right w:val="nil"/>
            </w:tcBorders>
            <w:hideMark/>
          </w:tcPr>
          <w:p w14:paraId="32C3DE12" w14:textId="77777777" w:rsidR="00524720" w:rsidRPr="00D9348B" w:rsidRDefault="00524720">
            <w:pPr>
              <w:pStyle w:val="TableText"/>
              <w:spacing w:before="50" w:after="50"/>
              <w:jc w:val="center"/>
              <w:rPr>
                <w:rFonts w:cs="Calibri"/>
                <w:szCs w:val="16"/>
              </w:rPr>
            </w:pPr>
            <w:r w:rsidRPr="00D9348B">
              <w:rPr>
                <w:rFonts w:cs="Calibri"/>
                <w:szCs w:val="16"/>
              </w:rPr>
              <w:t>3</w:t>
            </w:r>
          </w:p>
        </w:tc>
        <w:tc>
          <w:tcPr>
            <w:tcW w:w="850" w:type="dxa"/>
            <w:tcBorders>
              <w:top w:val="single" w:sz="4" w:space="0" w:color="365F91"/>
              <w:left w:val="nil"/>
              <w:bottom w:val="single" w:sz="4" w:space="0" w:color="365F91"/>
              <w:right w:val="nil"/>
            </w:tcBorders>
            <w:hideMark/>
          </w:tcPr>
          <w:p w14:paraId="1F2B2425" w14:textId="77777777" w:rsidR="00524720" w:rsidRPr="00D9348B" w:rsidRDefault="00524720">
            <w:pPr>
              <w:pStyle w:val="TableText"/>
              <w:spacing w:before="50" w:after="50"/>
              <w:jc w:val="center"/>
              <w:rPr>
                <w:rFonts w:cs="Calibri"/>
                <w:szCs w:val="16"/>
              </w:rPr>
            </w:pPr>
            <w:r w:rsidRPr="00D9348B">
              <w:rPr>
                <w:rFonts w:cs="Calibri"/>
                <w:szCs w:val="16"/>
              </w:rPr>
              <w:t>41</w:t>
            </w:r>
          </w:p>
        </w:tc>
        <w:tc>
          <w:tcPr>
            <w:tcW w:w="1787" w:type="dxa"/>
            <w:tcBorders>
              <w:top w:val="single" w:sz="4" w:space="0" w:color="365F91"/>
              <w:left w:val="nil"/>
              <w:bottom w:val="single" w:sz="4" w:space="0" w:color="365F91"/>
              <w:right w:val="nil"/>
            </w:tcBorders>
            <w:hideMark/>
          </w:tcPr>
          <w:p w14:paraId="55165D7B" w14:textId="77777777" w:rsidR="00524720" w:rsidRPr="00D9348B" w:rsidRDefault="00524720">
            <w:pPr>
              <w:pStyle w:val="TableText"/>
              <w:spacing w:before="50" w:after="50"/>
              <w:rPr>
                <w:rFonts w:cs="Calibri"/>
                <w:szCs w:val="16"/>
              </w:rPr>
            </w:pPr>
            <w:r w:rsidRPr="00D9348B">
              <w:rPr>
                <w:rFonts w:cs="Calibri"/>
                <w:szCs w:val="16"/>
              </w:rPr>
              <w:t>National survey</w:t>
            </w:r>
          </w:p>
        </w:tc>
      </w:tr>
      <w:tr w:rsidR="00524720" w:rsidRPr="00D9348B" w14:paraId="0B6128AA" w14:textId="77777777" w:rsidTr="00783F25">
        <w:tc>
          <w:tcPr>
            <w:tcW w:w="851" w:type="dxa"/>
            <w:tcBorders>
              <w:top w:val="single" w:sz="4" w:space="0" w:color="365F91"/>
              <w:left w:val="nil"/>
              <w:bottom w:val="single" w:sz="4" w:space="0" w:color="365F91"/>
              <w:right w:val="nil"/>
            </w:tcBorders>
            <w:hideMark/>
          </w:tcPr>
          <w:p w14:paraId="50B078F8" w14:textId="77777777" w:rsidR="00524720" w:rsidRPr="00D9348B" w:rsidRDefault="00524720">
            <w:pPr>
              <w:pStyle w:val="TableTextBold"/>
              <w:spacing w:before="50" w:after="50"/>
              <w:rPr>
                <w:rFonts w:cs="Calibri"/>
                <w:noProof w:val="0"/>
                <w:szCs w:val="16"/>
              </w:rPr>
            </w:pPr>
            <w:r w:rsidRPr="00D9348B">
              <w:rPr>
                <w:rFonts w:cs="Calibri"/>
                <w:noProof w:val="0"/>
                <w:szCs w:val="16"/>
              </w:rPr>
              <w:t>2005</w:t>
            </w:r>
          </w:p>
        </w:tc>
        <w:tc>
          <w:tcPr>
            <w:tcW w:w="764" w:type="dxa"/>
            <w:tcBorders>
              <w:top w:val="single" w:sz="4" w:space="0" w:color="365F91"/>
              <w:left w:val="nil"/>
              <w:bottom w:val="single" w:sz="4" w:space="0" w:color="365F91"/>
              <w:right w:val="nil"/>
            </w:tcBorders>
            <w:hideMark/>
          </w:tcPr>
          <w:p w14:paraId="1D1D9EC8" w14:textId="77777777" w:rsidR="00524720" w:rsidRPr="00D9348B" w:rsidRDefault="00524720">
            <w:pPr>
              <w:pStyle w:val="TableText"/>
              <w:spacing w:before="50" w:after="50"/>
              <w:jc w:val="center"/>
              <w:rPr>
                <w:rFonts w:cs="Calibri"/>
                <w:szCs w:val="16"/>
              </w:rPr>
            </w:pPr>
            <w:r w:rsidRPr="00D9348B">
              <w:rPr>
                <w:rFonts w:cs="Calibri"/>
                <w:szCs w:val="16"/>
              </w:rPr>
              <w:t>15</w:t>
            </w:r>
          </w:p>
        </w:tc>
        <w:tc>
          <w:tcPr>
            <w:tcW w:w="910" w:type="dxa"/>
            <w:tcBorders>
              <w:top w:val="single" w:sz="4" w:space="0" w:color="365F91"/>
              <w:left w:val="nil"/>
              <w:bottom w:val="single" w:sz="4" w:space="0" w:color="365F91"/>
              <w:right w:val="nil"/>
            </w:tcBorders>
            <w:hideMark/>
          </w:tcPr>
          <w:p w14:paraId="14612C96" w14:textId="77777777" w:rsidR="00524720" w:rsidRPr="00D9348B" w:rsidRDefault="00524720">
            <w:pPr>
              <w:pStyle w:val="TableText"/>
              <w:spacing w:before="50" w:after="50"/>
              <w:jc w:val="center"/>
              <w:rPr>
                <w:rFonts w:cs="Calibri"/>
                <w:szCs w:val="16"/>
              </w:rPr>
            </w:pPr>
            <w:r w:rsidRPr="00D9348B">
              <w:rPr>
                <w:rFonts w:cs="Calibri"/>
                <w:szCs w:val="16"/>
              </w:rPr>
              <w:t>9</w:t>
            </w:r>
          </w:p>
        </w:tc>
        <w:tc>
          <w:tcPr>
            <w:tcW w:w="847" w:type="dxa"/>
            <w:tcBorders>
              <w:top w:val="single" w:sz="4" w:space="0" w:color="365F91"/>
              <w:left w:val="nil"/>
              <w:bottom w:val="single" w:sz="4" w:space="0" w:color="365F91"/>
              <w:right w:val="nil"/>
            </w:tcBorders>
            <w:hideMark/>
          </w:tcPr>
          <w:p w14:paraId="6EF8265E" w14:textId="77777777" w:rsidR="00524720" w:rsidRPr="00D9348B" w:rsidRDefault="00524720">
            <w:pPr>
              <w:pStyle w:val="TableText"/>
              <w:spacing w:before="50" w:after="50"/>
              <w:jc w:val="center"/>
              <w:rPr>
                <w:rFonts w:cs="Calibri"/>
                <w:szCs w:val="16"/>
              </w:rPr>
            </w:pPr>
            <w:r w:rsidRPr="00D9348B">
              <w:rPr>
                <w:rFonts w:cs="Calibri"/>
                <w:szCs w:val="16"/>
              </w:rPr>
              <w:t>13</w:t>
            </w:r>
          </w:p>
        </w:tc>
        <w:tc>
          <w:tcPr>
            <w:tcW w:w="792" w:type="dxa"/>
            <w:tcBorders>
              <w:top w:val="single" w:sz="4" w:space="0" w:color="365F91"/>
              <w:left w:val="nil"/>
              <w:bottom w:val="single" w:sz="4" w:space="0" w:color="365F91"/>
              <w:right w:val="nil"/>
            </w:tcBorders>
            <w:hideMark/>
          </w:tcPr>
          <w:p w14:paraId="40E4E6F9" w14:textId="77777777" w:rsidR="00524720" w:rsidRPr="00D9348B" w:rsidRDefault="00524720">
            <w:pPr>
              <w:pStyle w:val="TableText"/>
              <w:spacing w:before="50" w:after="50"/>
              <w:jc w:val="center"/>
              <w:rPr>
                <w:rFonts w:cs="Calibri"/>
                <w:szCs w:val="16"/>
              </w:rPr>
            </w:pPr>
            <w:r w:rsidRPr="00D9348B">
              <w:rPr>
                <w:rFonts w:cs="Calibri"/>
                <w:szCs w:val="16"/>
              </w:rPr>
              <w:t>13</w:t>
            </w:r>
          </w:p>
        </w:tc>
        <w:tc>
          <w:tcPr>
            <w:tcW w:w="896" w:type="dxa"/>
            <w:tcBorders>
              <w:top w:val="single" w:sz="4" w:space="0" w:color="365F91"/>
              <w:left w:val="nil"/>
              <w:bottom w:val="single" w:sz="4" w:space="0" w:color="365F91"/>
              <w:right w:val="nil"/>
            </w:tcBorders>
            <w:hideMark/>
          </w:tcPr>
          <w:p w14:paraId="287DBDFE" w14:textId="77777777" w:rsidR="00524720" w:rsidRPr="00D9348B" w:rsidRDefault="00524720">
            <w:pPr>
              <w:pStyle w:val="TableText"/>
              <w:spacing w:before="50" w:after="50"/>
              <w:jc w:val="center"/>
              <w:rPr>
                <w:rFonts w:cs="Calibri"/>
                <w:szCs w:val="16"/>
              </w:rPr>
            </w:pPr>
            <w:r w:rsidRPr="00D9348B">
              <w:rPr>
                <w:rFonts w:cs="Calibri"/>
                <w:szCs w:val="16"/>
              </w:rPr>
              <w:t>4</w:t>
            </w:r>
          </w:p>
        </w:tc>
        <w:tc>
          <w:tcPr>
            <w:tcW w:w="808" w:type="dxa"/>
            <w:tcBorders>
              <w:top w:val="single" w:sz="4" w:space="0" w:color="365F91"/>
              <w:left w:val="nil"/>
              <w:bottom w:val="single" w:sz="4" w:space="0" w:color="365F91"/>
              <w:right w:val="nil"/>
            </w:tcBorders>
            <w:hideMark/>
          </w:tcPr>
          <w:p w14:paraId="7AEE8373" w14:textId="77777777" w:rsidR="00524720" w:rsidRPr="00D9348B" w:rsidRDefault="00524720">
            <w:pPr>
              <w:pStyle w:val="TableText"/>
              <w:spacing w:before="50" w:after="50"/>
              <w:jc w:val="center"/>
              <w:rPr>
                <w:rFonts w:cs="Calibri"/>
                <w:szCs w:val="16"/>
              </w:rPr>
            </w:pPr>
            <w:r w:rsidRPr="00D9348B">
              <w:rPr>
                <w:rFonts w:cs="Calibri"/>
                <w:szCs w:val="16"/>
              </w:rPr>
              <w:t>3</w:t>
            </w:r>
          </w:p>
        </w:tc>
        <w:tc>
          <w:tcPr>
            <w:tcW w:w="850" w:type="dxa"/>
            <w:tcBorders>
              <w:top w:val="single" w:sz="4" w:space="0" w:color="365F91"/>
              <w:left w:val="nil"/>
              <w:bottom w:val="single" w:sz="4" w:space="0" w:color="365F91"/>
              <w:right w:val="nil"/>
            </w:tcBorders>
            <w:hideMark/>
          </w:tcPr>
          <w:p w14:paraId="2B35CC3D" w14:textId="77777777" w:rsidR="00524720" w:rsidRPr="00D9348B" w:rsidRDefault="00524720">
            <w:pPr>
              <w:pStyle w:val="TableText"/>
              <w:spacing w:before="50" w:after="50"/>
              <w:jc w:val="center"/>
              <w:rPr>
                <w:rFonts w:cs="Calibri"/>
                <w:szCs w:val="16"/>
              </w:rPr>
            </w:pPr>
            <w:r w:rsidRPr="00D9348B">
              <w:rPr>
                <w:rFonts w:cs="Calibri"/>
                <w:szCs w:val="16"/>
              </w:rPr>
              <w:t>42</w:t>
            </w:r>
          </w:p>
        </w:tc>
        <w:tc>
          <w:tcPr>
            <w:tcW w:w="1787" w:type="dxa"/>
            <w:tcBorders>
              <w:top w:val="single" w:sz="4" w:space="0" w:color="365F91"/>
              <w:left w:val="nil"/>
              <w:bottom w:val="single" w:sz="4" w:space="0" w:color="365F91"/>
              <w:right w:val="nil"/>
            </w:tcBorders>
            <w:hideMark/>
          </w:tcPr>
          <w:p w14:paraId="49E90492" w14:textId="77777777" w:rsidR="00524720" w:rsidRPr="00D9348B" w:rsidRDefault="00524720">
            <w:pPr>
              <w:pStyle w:val="TableText"/>
              <w:spacing w:before="50" w:after="50"/>
              <w:rPr>
                <w:rFonts w:cs="Calibri"/>
                <w:szCs w:val="16"/>
              </w:rPr>
            </w:pPr>
            <w:r w:rsidRPr="00D9348B">
              <w:rPr>
                <w:rFonts w:cs="Calibri"/>
                <w:szCs w:val="16"/>
              </w:rPr>
              <w:t>Interpolation</w:t>
            </w:r>
          </w:p>
        </w:tc>
      </w:tr>
      <w:tr w:rsidR="00524720" w:rsidRPr="00D9348B" w14:paraId="2C37A681" w14:textId="77777777" w:rsidTr="00783F25">
        <w:tc>
          <w:tcPr>
            <w:tcW w:w="851" w:type="dxa"/>
            <w:tcBorders>
              <w:top w:val="single" w:sz="4" w:space="0" w:color="365F91"/>
              <w:left w:val="nil"/>
              <w:bottom w:val="single" w:sz="4" w:space="0" w:color="365F91"/>
              <w:right w:val="nil"/>
            </w:tcBorders>
            <w:hideMark/>
          </w:tcPr>
          <w:p w14:paraId="2961AA25" w14:textId="77777777" w:rsidR="00524720" w:rsidRPr="00D9348B" w:rsidRDefault="00524720">
            <w:pPr>
              <w:pStyle w:val="TableTextBold"/>
              <w:spacing w:before="50" w:after="50"/>
              <w:rPr>
                <w:rFonts w:cs="Calibri"/>
                <w:noProof w:val="0"/>
                <w:szCs w:val="16"/>
              </w:rPr>
            </w:pPr>
            <w:r w:rsidRPr="00D9348B">
              <w:rPr>
                <w:rFonts w:cs="Calibri"/>
                <w:noProof w:val="0"/>
                <w:szCs w:val="16"/>
              </w:rPr>
              <w:t>2006</w:t>
            </w:r>
          </w:p>
        </w:tc>
        <w:tc>
          <w:tcPr>
            <w:tcW w:w="764" w:type="dxa"/>
            <w:tcBorders>
              <w:top w:val="single" w:sz="4" w:space="0" w:color="365F91"/>
              <w:left w:val="nil"/>
              <w:bottom w:val="single" w:sz="4" w:space="0" w:color="365F91"/>
              <w:right w:val="nil"/>
            </w:tcBorders>
            <w:hideMark/>
          </w:tcPr>
          <w:p w14:paraId="22C9239C" w14:textId="77777777" w:rsidR="00524720" w:rsidRPr="00D9348B" w:rsidRDefault="00524720">
            <w:pPr>
              <w:pStyle w:val="TableText"/>
              <w:spacing w:before="50" w:after="50"/>
              <w:jc w:val="center"/>
              <w:rPr>
                <w:rFonts w:cs="Calibri"/>
                <w:szCs w:val="16"/>
              </w:rPr>
            </w:pPr>
            <w:r w:rsidRPr="00D9348B">
              <w:rPr>
                <w:rFonts w:cs="Calibri"/>
                <w:szCs w:val="16"/>
              </w:rPr>
              <w:t>16</w:t>
            </w:r>
          </w:p>
        </w:tc>
        <w:tc>
          <w:tcPr>
            <w:tcW w:w="910" w:type="dxa"/>
            <w:tcBorders>
              <w:top w:val="single" w:sz="4" w:space="0" w:color="365F91"/>
              <w:left w:val="nil"/>
              <w:bottom w:val="single" w:sz="4" w:space="0" w:color="365F91"/>
              <w:right w:val="nil"/>
            </w:tcBorders>
            <w:hideMark/>
          </w:tcPr>
          <w:p w14:paraId="1967ED2B" w14:textId="77777777" w:rsidR="00524720" w:rsidRPr="00D9348B" w:rsidRDefault="00524720">
            <w:pPr>
              <w:pStyle w:val="TableText"/>
              <w:spacing w:before="50" w:after="50"/>
              <w:jc w:val="center"/>
              <w:rPr>
                <w:rFonts w:cs="Calibri"/>
                <w:szCs w:val="16"/>
              </w:rPr>
            </w:pPr>
            <w:r w:rsidRPr="00D9348B">
              <w:rPr>
                <w:rFonts w:cs="Calibri"/>
                <w:szCs w:val="16"/>
              </w:rPr>
              <w:t>9</w:t>
            </w:r>
          </w:p>
        </w:tc>
        <w:tc>
          <w:tcPr>
            <w:tcW w:w="847" w:type="dxa"/>
            <w:tcBorders>
              <w:top w:val="single" w:sz="4" w:space="0" w:color="365F91"/>
              <w:left w:val="nil"/>
              <w:bottom w:val="single" w:sz="4" w:space="0" w:color="365F91"/>
              <w:right w:val="nil"/>
            </w:tcBorders>
            <w:hideMark/>
          </w:tcPr>
          <w:p w14:paraId="430247C3" w14:textId="77777777" w:rsidR="00524720" w:rsidRPr="00D9348B" w:rsidRDefault="00524720">
            <w:pPr>
              <w:pStyle w:val="TableText"/>
              <w:spacing w:before="50" w:after="50"/>
              <w:jc w:val="center"/>
              <w:rPr>
                <w:rFonts w:cs="Calibri"/>
                <w:szCs w:val="16"/>
              </w:rPr>
            </w:pPr>
            <w:r w:rsidRPr="00D9348B">
              <w:rPr>
                <w:rFonts w:cs="Calibri"/>
                <w:szCs w:val="16"/>
              </w:rPr>
              <w:t>12</w:t>
            </w:r>
          </w:p>
        </w:tc>
        <w:tc>
          <w:tcPr>
            <w:tcW w:w="792" w:type="dxa"/>
            <w:tcBorders>
              <w:top w:val="single" w:sz="4" w:space="0" w:color="365F91"/>
              <w:left w:val="nil"/>
              <w:bottom w:val="single" w:sz="4" w:space="0" w:color="365F91"/>
              <w:right w:val="nil"/>
            </w:tcBorders>
            <w:hideMark/>
          </w:tcPr>
          <w:p w14:paraId="4987E612" w14:textId="77777777" w:rsidR="00524720" w:rsidRPr="00D9348B" w:rsidRDefault="00524720">
            <w:pPr>
              <w:pStyle w:val="TableText"/>
              <w:spacing w:before="50" w:after="50"/>
              <w:jc w:val="center"/>
              <w:rPr>
                <w:rFonts w:cs="Calibri"/>
                <w:szCs w:val="16"/>
              </w:rPr>
            </w:pPr>
            <w:r w:rsidRPr="00D9348B">
              <w:rPr>
                <w:rFonts w:cs="Calibri"/>
                <w:szCs w:val="16"/>
              </w:rPr>
              <w:t>13</w:t>
            </w:r>
          </w:p>
        </w:tc>
        <w:tc>
          <w:tcPr>
            <w:tcW w:w="896" w:type="dxa"/>
            <w:tcBorders>
              <w:top w:val="single" w:sz="4" w:space="0" w:color="365F91"/>
              <w:left w:val="nil"/>
              <w:bottom w:val="single" w:sz="4" w:space="0" w:color="365F91"/>
              <w:right w:val="nil"/>
            </w:tcBorders>
            <w:hideMark/>
          </w:tcPr>
          <w:p w14:paraId="7D921F65" w14:textId="77777777" w:rsidR="00524720" w:rsidRPr="00D9348B" w:rsidRDefault="00524720">
            <w:pPr>
              <w:pStyle w:val="TableText"/>
              <w:spacing w:before="50" w:after="50"/>
              <w:jc w:val="center"/>
              <w:rPr>
                <w:rFonts w:cs="Calibri"/>
                <w:szCs w:val="16"/>
              </w:rPr>
            </w:pPr>
            <w:r w:rsidRPr="00D9348B">
              <w:rPr>
                <w:rFonts w:cs="Calibri"/>
                <w:szCs w:val="16"/>
              </w:rPr>
              <w:t>4</w:t>
            </w:r>
          </w:p>
        </w:tc>
        <w:tc>
          <w:tcPr>
            <w:tcW w:w="808" w:type="dxa"/>
            <w:tcBorders>
              <w:top w:val="single" w:sz="4" w:space="0" w:color="365F91"/>
              <w:left w:val="nil"/>
              <w:bottom w:val="single" w:sz="4" w:space="0" w:color="365F91"/>
              <w:right w:val="nil"/>
            </w:tcBorders>
            <w:hideMark/>
          </w:tcPr>
          <w:p w14:paraId="69CB643E" w14:textId="77777777" w:rsidR="00524720" w:rsidRPr="00D9348B" w:rsidRDefault="00524720">
            <w:pPr>
              <w:pStyle w:val="TableText"/>
              <w:spacing w:before="50" w:after="50"/>
              <w:jc w:val="center"/>
              <w:rPr>
                <w:rFonts w:cs="Calibri"/>
                <w:szCs w:val="16"/>
              </w:rPr>
            </w:pPr>
            <w:r w:rsidRPr="00D9348B">
              <w:rPr>
                <w:rFonts w:cs="Calibri"/>
                <w:szCs w:val="16"/>
              </w:rPr>
              <w:t>3</w:t>
            </w:r>
          </w:p>
        </w:tc>
        <w:tc>
          <w:tcPr>
            <w:tcW w:w="850" w:type="dxa"/>
            <w:tcBorders>
              <w:top w:val="single" w:sz="4" w:space="0" w:color="365F91"/>
              <w:left w:val="nil"/>
              <w:bottom w:val="single" w:sz="4" w:space="0" w:color="365F91"/>
              <w:right w:val="nil"/>
            </w:tcBorders>
            <w:hideMark/>
          </w:tcPr>
          <w:p w14:paraId="3AD196C9" w14:textId="77777777" w:rsidR="00524720" w:rsidRPr="00D9348B" w:rsidRDefault="00524720">
            <w:pPr>
              <w:pStyle w:val="TableText"/>
              <w:spacing w:before="50" w:after="50"/>
              <w:jc w:val="center"/>
              <w:rPr>
                <w:rFonts w:cs="Calibri"/>
                <w:szCs w:val="16"/>
              </w:rPr>
            </w:pPr>
            <w:r w:rsidRPr="00D9348B">
              <w:rPr>
                <w:rFonts w:cs="Calibri"/>
                <w:szCs w:val="16"/>
              </w:rPr>
              <w:t>43</w:t>
            </w:r>
          </w:p>
        </w:tc>
        <w:tc>
          <w:tcPr>
            <w:tcW w:w="1787" w:type="dxa"/>
            <w:tcBorders>
              <w:top w:val="single" w:sz="4" w:space="0" w:color="365F91"/>
              <w:left w:val="nil"/>
              <w:bottom w:val="single" w:sz="4" w:space="0" w:color="365F91"/>
              <w:right w:val="nil"/>
            </w:tcBorders>
            <w:hideMark/>
          </w:tcPr>
          <w:p w14:paraId="159264F4" w14:textId="77777777" w:rsidR="00524720" w:rsidRPr="00D9348B" w:rsidRDefault="00524720">
            <w:pPr>
              <w:pStyle w:val="TableText"/>
              <w:spacing w:before="50" w:after="50"/>
              <w:rPr>
                <w:rFonts w:cs="Calibri"/>
                <w:szCs w:val="16"/>
              </w:rPr>
            </w:pPr>
            <w:r w:rsidRPr="00D9348B">
              <w:rPr>
                <w:rFonts w:cs="Calibri"/>
                <w:szCs w:val="16"/>
              </w:rPr>
              <w:t>Interpolation</w:t>
            </w:r>
          </w:p>
        </w:tc>
      </w:tr>
      <w:tr w:rsidR="00524720" w:rsidRPr="00D9348B" w14:paraId="1D654265" w14:textId="77777777" w:rsidTr="00783F25">
        <w:tc>
          <w:tcPr>
            <w:tcW w:w="851" w:type="dxa"/>
            <w:tcBorders>
              <w:top w:val="single" w:sz="4" w:space="0" w:color="365F91"/>
              <w:left w:val="nil"/>
              <w:bottom w:val="single" w:sz="4" w:space="0" w:color="365F91"/>
              <w:right w:val="nil"/>
            </w:tcBorders>
            <w:hideMark/>
          </w:tcPr>
          <w:p w14:paraId="6DFB6FBD" w14:textId="77777777" w:rsidR="00524720" w:rsidRPr="00D9348B" w:rsidRDefault="00524720">
            <w:pPr>
              <w:pStyle w:val="TableTextBold"/>
              <w:spacing w:before="50" w:after="50"/>
              <w:rPr>
                <w:rFonts w:cs="Calibri"/>
                <w:noProof w:val="0"/>
                <w:szCs w:val="16"/>
              </w:rPr>
            </w:pPr>
            <w:r w:rsidRPr="00D9348B">
              <w:rPr>
                <w:rFonts w:cs="Calibri"/>
                <w:noProof w:val="0"/>
                <w:szCs w:val="16"/>
              </w:rPr>
              <w:t>2007</w:t>
            </w:r>
          </w:p>
        </w:tc>
        <w:tc>
          <w:tcPr>
            <w:tcW w:w="764" w:type="dxa"/>
            <w:tcBorders>
              <w:top w:val="single" w:sz="4" w:space="0" w:color="365F91"/>
              <w:left w:val="nil"/>
              <w:bottom w:val="single" w:sz="4" w:space="0" w:color="365F91"/>
              <w:right w:val="nil"/>
            </w:tcBorders>
            <w:hideMark/>
          </w:tcPr>
          <w:p w14:paraId="61FA8D6F" w14:textId="77777777" w:rsidR="00524720" w:rsidRPr="00D9348B" w:rsidRDefault="00524720">
            <w:pPr>
              <w:pStyle w:val="TableText"/>
              <w:spacing w:before="50" w:after="50"/>
              <w:jc w:val="center"/>
              <w:rPr>
                <w:rFonts w:cs="Calibri"/>
                <w:szCs w:val="16"/>
              </w:rPr>
            </w:pPr>
            <w:r w:rsidRPr="00D9348B">
              <w:rPr>
                <w:rFonts w:cs="Calibri"/>
                <w:szCs w:val="16"/>
              </w:rPr>
              <w:t>16</w:t>
            </w:r>
          </w:p>
        </w:tc>
        <w:tc>
          <w:tcPr>
            <w:tcW w:w="910" w:type="dxa"/>
            <w:tcBorders>
              <w:top w:val="single" w:sz="4" w:space="0" w:color="365F91"/>
              <w:left w:val="nil"/>
              <w:bottom w:val="single" w:sz="4" w:space="0" w:color="365F91"/>
              <w:right w:val="nil"/>
            </w:tcBorders>
            <w:hideMark/>
          </w:tcPr>
          <w:p w14:paraId="6410CB31" w14:textId="77777777" w:rsidR="00524720" w:rsidRPr="00D9348B" w:rsidRDefault="00524720">
            <w:pPr>
              <w:pStyle w:val="TableText"/>
              <w:spacing w:before="50" w:after="50"/>
              <w:jc w:val="center"/>
              <w:rPr>
                <w:rFonts w:cs="Calibri"/>
                <w:szCs w:val="16"/>
              </w:rPr>
            </w:pPr>
            <w:r w:rsidRPr="00D9348B">
              <w:rPr>
                <w:rFonts w:cs="Calibri"/>
                <w:szCs w:val="16"/>
              </w:rPr>
              <w:t>9</w:t>
            </w:r>
          </w:p>
        </w:tc>
        <w:tc>
          <w:tcPr>
            <w:tcW w:w="847" w:type="dxa"/>
            <w:tcBorders>
              <w:top w:val="single" w:sz="4" w:space="0" w:color="365F91"/>
              <w:left w:val="nil"/>
              <w:bottom w:val="single" w:sz="4" w:space="0" w:color="365F91"/>
              <w:right w:val="nil"/>
            </w:tcBorders>
            <w:hideMark/>
          </w:tcPr>
          <w:p w14:paraId="734FF7E8" w14:textId="77777777" w:rsidR="00524720" w:rsidRPr="00D9348B" w:rsidRDefault="00524720">
            <w:pPr>
              <w:pStyle w:val="TableText"/>
              <w:spacing w:before="50" w:after="50"/>
              <w:jc w:val="center"/>
              <w:rPr>
                <w:rFonts w:cs="Calibri"/>
                <w:szCs w:val="16"/>
              </w:rPr>
            </w:pPr>
            <w:r w:rsidRPr="00D9348B">
              <w:rPr>
                <w:rFonts w:cs="Calibri"/>
                <w:szCs w:val="16"/>
              </w:rPr>
              <w:t>10</w:t>
            </w:r>
          </w:p>
        </w:tc>
        <w:tc>
          <w:tcPr>
            <w:tcW w:w="792" w:type="dxa"/>
            <w:tcBorders>
              <w:top w:val="single" w:sz="4" w:space="0" w:color="365F91"/>
              <w:left w:val="nil"/>
              <w:bottom w:val="single" w:sz="4" w:space="0" w:color="365F91"/>
              <w:right w:val="nil"/>
            </w:tcBorders>
            <w:hideMark/>
          </w:tcPr>
          <w:p w14:paraId="5DE668B4" w14:textId="77777777" w:rsidR="00524720" w:rsidRPr="00D9348B" w:rsidRDefault="00524720">
            <w:pPr>
              <w:pStyle w:val="TableText"/>
              <w:spacing w:before="50" w:after="50"/>
              <w:jc w:val="center"/>
              <w:rPr>
                <w:rFonts w:cs="Calibri"/>
                <w:szCs w:val="16"/>
              </w:rPr>
            </w:pPr>
            <w:r w:rsidRPr="00D9348B">
              <w:rPr>
                <w:rFonts w:cs="Calibri"/>
                <w:szCs w:val="16"/>
              </w:rPr>
              <w:t>12</w:t>
            </w:r>
          </w:p>
        </w:tc>
        <w:tc>
          <w:tcPr>
            <w:tcW w:w="896" w:type="dxa"/>
            <w:tcBorders>
              <w:top w:val="single" w:sz="4" w:space="0" w:color="365F91"/>
              <w:left w:val="nil"/>
              <w:bottom w:val="single" w:sz="4" w:space="0" w:color="365F91"/>
              <w:right w:val="nil"/>
            </w:tcBorders>
            <w:hideMark/>
          </w:tcPr>
          <w:p w14:paraId="6B4BB11B" w14:textId="77777777" w:rsidR="00524720" w:rsidRPr="00D9348B" w:rsidRDefault="00524720">
            <w:pPr>
              <w:pStyle w:val="TableText"/>
              <w:spacing w:before="50" w:after="50"/>
              <w:jc w:val="center"/>
              <w:rPr>
                <w:rFonts w:cs="Calibri"/>
                <w:szCs w:val="16"/>
              </w:rPr>
            </w:pPr>
            <w:r w:rsidRPr="00D9348B">
              <w:rPr>
                <w:rFonts w:cs="Calibri"/>
                <w:szCs w:val="16"/>
              </w:rPr>
              <w:t>4</w:t>
            </w:r>
          </w:p>
        </w:tc>
        <w:tc>
          <w:tcPr>
            <w:tcW w:w="808" w:type="dxa"/>
            <w:tcBorders>
              <w:top w:val="single" w:sz="4" w:space="0" w:color="365F91"/>
              <w:left w:val="nil"/>
              <w:bottom w:val="single" w:sz="4" w:space="0" w:color="365F91"/>
              <w:right w:val="nil"/>
            </w:tcBorders>
            <w:hideMark/>
          </w:tcPr>
          <w:p w14:paraId="51D65257" w14:textId="77777777" w:rsidR="00524720" w:rsidRPr="00D9348B" w:rsidRDefault="00524720">
            <w:pPr>
              <w:pStyle w:val="TableText"/>
              <w:spacing w:before="50" w:after="50"/>
              <w:jc w:val="center"/>
              <w:rPr>
                <w:rFonts w:cs="Calibri"/>
                <w:szCs w:val="16"/>
              </w:rPr>
            </w:pPr>
            <w:r w:rsidRPr="00D9348B">
              <w:rPr>
                <w:rFonts w:cs="Calibri"/>
                <w:szCs w:val="16"/>
              </w:rPr>
              <w:t>3</w:t>
            </w:r>
          </w:p>
        </w:tc>
        <w:tc>
          <w:tcPr>
            <w:tcW w:w="850" w:type="dxa"/>
            <w:tcBorders>
              <w:top w:val="single" w:sz="4" w:space="0" w:color="365F91"/>
              <w:left w:val="nil"/>
              <w:bottom w:val="single" w:sz="4" w:space="0" w:color="365F91"/>
              <w:right w:val="nil"/>
            </w:tcBorders>
            <w:hideMark/>
          </w:tcPr>
          <w:p w14:paraId="2621C56C" w14:textId="77777777" w:rsidR="00524720" w:rsidRPr="00D9348B" w:rsidRDefault="00524720">
            <w:pPr>
              <w:pStyle w:val="TableText"/>
              <w:spacing w:before="50" w:after="50"/>
              <w:jc w:val="center"/>
              <w:rPr>
                <w:rFonts w:cs="Calibri"/>
                <w:szCs w:val="16"/>
              </w:rPr>
            </w:pPr>
            <w:r w:rsidRPr="00D9348B">
              <w:rPr>
                <w:rFonts w:cs="Calibri"/>
                <w:szCs w:val="16"/>
              </w:rPr>
              <w:t>44</w:t>
            </w:r>
          </w:p>
        </w:tc>
        <w:tc>
          <w:tcPr>
            <w:tcW w:w="1787" w:type="dxa"/>
            <w:tcBorders>
              <w:top w:val="single" w:sz="4" w:space="0" w:color="365F91"/>
              <w:left w:val="nil"/>
              <w:bottom w:val="single" w:sz="4" w:space="0" w:color="365F91"/>
              <w:right w:val="nil"/>
            </w:tcBorders>
            <w:hideMark/>
          </w:tcPr>
          <w:p w14:paraId="789F96B3" w14:textId="77777777" w:rsidR="00524720" w:rsidRPr="00D9348B" w:rsidRDefault="00524720">
            <w:pPr>
              <w:pStyle w:val="TableText"/>
              <w:spacing w:before="50" w:after="50"/>
              <w:rPr>
                <w:rFonts w:cs="Calibri"/>
                <w:szCs w:val="16"/>
              </w:rPr>
            </w:pPr>
            <w:r w:rsidRPr="00D9348B">
              <w:rPr>
                <w:rFonts w:cs="Calibri"/>
                <w:szCs w:val="16"/>
              </w:rPr>
              <w:t>Interpolation</w:t>
            </w:r>
          </w:p>
        </w:tc>
      </w:tr>
      <w:tr w:rsidR="00524720" w:rsidRPr="00D9348B" w14:paraId="5179924B" w14:textId="77777777" w:rsidTr="00783F25">
        <w:tc>
          <w:tcPr>
            <w:tcW w:w="851" w:type="dxa"/>
            <w:tcBorders>
              <w:top w:val="single" w:sz="4" w:space="0" w:color="365F91"/>
              <w:left w:val="nil"/>
              <w:bottom w:val="single" w:sz="4" w:space="0" w:color="365F91"/>
              <w:right w:val="nil"/>
            </w:tcBorders>
            <w:hideMark/>
          </w:tcPr>
          <w:p w14:paraId="50B0EFC9" w14:textId="77777777" w:rsidR="00524720" w:rsidRPr="00D9348B" w:rsidRDefault="00524720">
            <w:pPr>
              <w:pStyle w:val="TableTextBold"/>
              <w:spacing w:before="50" w:after="50"/>
              <w:rPr>
                <w:rFonts w:cs="Calibri"/>
                <w:noProof w:val="0"/>
                <w:szCs w:val="16"/>
              </w:rPr>
            </w:pPr>
            <w:r w:rsidRPr="00D9348B">
              <w:rPr>
                <w:rFonts w:cs="Calibri"/>
                <w:noProof w:val="0"/>
                <w:szCs w:val="16"/>
              </w:rPr>
              <w:t>2008</w:t>
            </w:r>
          </w:p>
        </w:tc>
        <w:tc>
          <w:tcPr>
            <w:tcW w:w="764" w:type="dxa"/>
            <w:tcBorders>
              <w:top w:val="single" w:sz="4" w:space="0" w:color="365F91"/>
              <w:left w:val="nil"/>
              <w:bottom w:val="single" w:sz="4" w:space="0" w:color="365F91"/>
              <w:right w:val="nil"/>
            </w:tcBorders>
            <w:hideMark/>
          </w:tcPr>
          <w:p w14:paraId="2EEBDCB8" w14:textId="77777777" w:rsidR="00524720" w:rsidRPr="00D9348B" w:rsidRDefault="00524720">
            <w:pPr>
              <w:pStyle w:val="TableText"/>
              <w:spacing w:before="50" w:after="50"/>
              <w:jc w:val="center"/>
              <w:rPr>
                <w:rFonts w:cs="Calibri"/>
                <w:szCs w:val="16"/>
              </w:rPr>
            </w:pPr>
            <w:r w:rsidRPr="00D9348B">
              <w:rPr>
                <w:rFonts w:cs="Calibri"/>
                <w:szCs w:val="16"/>
              </w:rPr>
              <w:t>17</w:t>
            </w:r>
          </w:p>
        </w:tc>
        <w:tc>
          <w:tcPr>
            <w:tcW w:w="910" w:type="dxa"/>
            <w:tcBorders>
              <w:top w:val="single" w:sz="4" w:space="0" w:color="365F91"/>
              <w:left w:val="nil"/>
              <w:bottom w:val="single" w:sz="4" w:space="0" w:color="365F91"/>
              <w:right w:val="nil"/>
            </w:tcBorders>
            <w:hideMark/>
          </w:tcPr>
          <w:p w14:paraId="297F4B7F" w14:textId="77777777" w:rsidR="00524720" w:rsidRPr="00D9348B" w:rsidRDefault="00524720">
            <w:pPr>
              <w:pStyle w:val="TableText"/>
              <w:spacing w:before="50" w:after="50"/>
              <w:jc w:val="center"/>
              <w:rPr>
                <w:rFonts w:cs="Calibri"/>
                <w:szCs w:val="16"/>
              </w:rPr>
            </w:pPr>
            <w:r w:rsidRPr="00D9348B">
              <w:rPr>
                <w:rFonts w:cs="Calibri"/>
                <w:szCs w:val="16"/>
              </w:rPr>
              <w:t>9</w:t>
            </w:r>
          </w:p>
        </w:tc>
        <w:tc>
          <w:tcPr>
            <w:tcW w:w="847" w:type="dxa"/>
            <w:tcBorders>
              <w:top w:val="single" w:sz="4" w:space="0" w:color="365F91"/>
              <w:left w:val="nil"/>
              <w:bottom w:val="single" w:sz="4" w:space="0" w:color="365F91"/>
              <w:right w:val="nil"/>
            </w:tcBorders>
            <w:hideMark/>
          </w:tcPr>
          <w:p w14:paraId="13801A03" w14:textId="77777777" w:rsidR="00524720" w:rsidRPr="00D9348B" w:rsidRDefault="00524720">
            <w:pPr>
              <w:pStyle w:val="TableText"/>
              <w:spacing w:before="50" w:after="50"/>
              <w:jc w:val="center"/>
              <w:rPr>
                <w:rFonts w:cs="Calibri"/>
                <w:szCs w:val="16"/>
              </w:rPr>
            </w:pPr>
            <w:r w:rsidRPr="00D9348B">
              <w:rPr>
                <w:rFonts w:cs="Calibri"/>
                <w:szCs w:val="16"/>
              </w:rPr>
              <w:t>9</w:t>
            </w:r>
          </w:p>
        </w:tc>
        <w:tc>
          <w:tcPr>
            <w:tcW w:w="792" w:type="dxa"/>
            <w:tcBorders>
              <w:top w:val="single" w:sz="4" w:space="0" w:color="365F91"/>
              <w:left w:val="nil"/>
              <w:bottom w:val="single" w:sz="4" w:space="0" w:color="365F91"/>
              <w:right w:val="nil"/>
            </w:tcBorders>
            <w:hideMark/>
          </w:tcPr>
          <w:p w14:paraId="34729485" w14:textId="77777777" w:rsidR="00524720" w:rsidRPr="00D9348B" w:rsidRDefault="00524720">
            <w:pPr>
              <w:pStyle w:val="TableText"/>
              <w:spacing w:before="50" w:after="50"/>
              <w:jc w:val="center"/>
              <w:rPr>
                <w:rFonts w:cs="Calibri"/>
                <w:szCs w:val="16"/>
              </w:rPr>
            </w:pPr>
            <w:r w:rsidRPr="00D9348B">
              <w:rPr>
                <w:rFonts w:cs="Calibri"/>
                <w:szCs w:val="16"/>
              </w:rPr>
              <w:t>12</w:t>
            </w:r>
          </w:p>
        </w:tc>
        <w:tc>
          <w:tcPr>
            <w:tcW w:w="896" w:type="dxa"/>
            <w:tcBorders>
              <w:top w:val="single" w:sz="4" w:space="0" w:color="365F91"/>
              <w:left w:val="nil"/>
              <w:bottom w:val="single" w:sz="4" w:space="0" w:color="365F91"/>
              <w:right w:val="nil"/>
            </w:tcBorders>
            <w:hideMark/>
          </w:tcPr>
          <w:p w14:paraId="2AB88B55" w14:textId="77777777" w:rsidR="00524720" w:rsidRPr="00D9348B" w:rsidRDefault="00524720">
            <w:pPr>
              <w:pStyle w:val="TableText"/>
              <w:spacing w:before="50" w:after="50"/>
              <w:jc w:val="center"/>
              <w:rPr>
                <w:rFonts w:cs="Calibri"/>
                <w:szCs w:val="16"/>
              </w:rPr>
            </w:pPr>
            <w:r w:rsidRPr="00D9348B">
              <w:rPr>
                <w:rFonts w:cs="Calibri"/>
                <w:szCs w:val="16"/>
              </w:rPr>
              <w:t>4</w:t>
            </w:r>
          </w:p>
        </w:tc>
        <w:tc>
          <w:tcPr>
            <w:tcW w:w="808" w:type="dxa"/>
            <w:tcBorders>
              <w:top w:val="single" w:sz="4" w:space="0" w:color="365F91"/>
              <w:left w:val="nil"/>
              <w:bottom w:val="single" w:sz="4" w:space="0" w:color="365F91"/>
              <w:right w:val="nil"/>
            </w:tcBorders>
            <w:hideMark/>
          </w:tcPr>
          <w:p w14:paraId="04C60DA1" w14:textId="77777777" w:rsidR="00524720" w:rsidRPr="00D9348B" w:rsidRDefault="00524720">
            <w:pPr>
              <w:pStyle w:val="TableText"/>
              <w:spacing w:before="50" w:after="50"/>
              <w:jc w:val="center"/>
              <w:rPr>
                <w:rFonts w:cs="Calibri"/>
                <w:szCs w:val="16"/>
              </w:rPr>
            </w:pPr>
            <w:r w:rsidRPr="00D9348B">
              <w:rPr>
                <w:rFonts w:cs="Calibri"/>
                <w:szCs w:val="16"/>
              </w:rPr>
              <w:t>3</w:t>
            </w:r>
          </w:p>
        </w:tc>
        <w:tc>
          <w:tcPr>
            <w:tcW w:w="850" w:type="dxa"/>
            <w:tcBorders>
              <w:top w:val="single" w:sz="4" w:space="0" w:color="365F91"/>
              <w:left w:val="nil"/>
              <w:bottom w:val="single" w:sz="4" w:space="0" w:color="365F91"/>
              <w:right w:val="nil"/>
            </w:tcBorders>
            <w:hideMark/>
          </w:tcPr>
          <w:p w14:paraId="3D05937C" w14:textId="77777777" w:rsidR="00524720" w:rsidRPr="00D9348B" w:rsidRDefault="00524720">
            <w:pPr>
              <w:pStyle w:val="TableText"/>
              <w:spacing w:before="50" w:after="50"/>
              <w:jc w:val="center"/>
              <w:rPr>
                <w:rFonts w:cs="Calibri"/>
                <w:szCs w:val="16"/>
              </w:rPr>
            </w:pPr>
            <w:r w:rsidRPr="00D9348B">
              <w:rPr>
                <w:rFonts w:cs="Calibri"/>
                <w:szCs w:val="16"/>
              </w:rPr>
              <w:t>45</w:t>
            </w:r>
          </w:p>
        </w:tc>
        <w:tc>
          <w:tcPr>
            <w:tcW w:w="1787" w:type="dxa"/>
            <w:tcBorders>
              <w:top w:val="single" w:sz="4" w:space="0" w:color="365F91"/>
              <w:left w:val="nil"/>
              <w:bottom w:val="single" w:sz="4" w:space="0" w:color="365F91"/>
              <w:right w:val="nil"/>
            </w:tcBorders>
            <w:hideMark/>
          </w:tcPr>
          <w:p w14:paraId="19F7C627" w14:textId="77777777" w:rsidR="00524720" w:rsidRPr="00D9348B" w:rsidRDefault="00524720">
            <w:pPr>
              <w:pStyle w:val="TableText"/>
              <w:spacing w:before="50" w:after="50"/>
              <w:rPr>
                <w:rFonts w:cs="Calibri"/>
                <w:szCs w:val="16"/>
              </w:rPr>
            </w:pPr>
            <w:r w:rsidRPr="00D9348B">
              <w:rPr>
                <w:rFonts w:cs="Calibri"/>
                <w:szCs w:val="16"/>
              </w:rPr>
              <w:t>Survey</w:t>
            </w:r>
          </w:p>
        </w:tc>
      </w:tr>
      <w:tr w:rsidR="00524720" w:rsidRPr="00D9348B" w14:paraId="23E33189" w14:textId="77777777" w:rsidTr="00783F25">
        <w:tc>
          <w:tcPr>
            <w:tcW w:w="851" w:type="dxa"/>
            <w:tcBorders>
              <w:top w:val="single" w:sz="4" w:space="0" w:color="365F91"/>
              <w:left w:val="nil"/>
              <w:bottom w:val="single" w:sz="4" w:space="0" w:color="365F91"/>
              <w:right w:val="nil"/>
            </w:tcBorders>
            <w:hideMark/>
          </w:tcPr>
          <w:p w14:paraId="3FEE3611" w14:textId="77777777" w:rsidR="00524720" w:rsidRPr="00D9348B" w:rsidRDefault="00524720">
            <w:pPr>
              <w:pStyle w:val="TableTextBold"/>
              <w:spacing w:before="50" w:after="50"/>
              <w:rPr>
                <w:rFonts w:cs="Calibri"/>
                <w:noProof w:val="0"/>
                <w:szCs w:val="16"/>
              </w:rPr>
            </w:pPr>
            <w:r w:rsidRPr="00D9348B">
              <w:rPr>
                <w:rFonts w:cs="Calibri"/>
                <w:noProof w:val="0"/>
                <w:szCs w:val="16"/>
              </w:rPr>
              <w:t>2009</w:t>
            </w:r>
          </w:p>
        </w:tc>
        <w:tc>
          <w:tcPr>
            <w:tcW w:w="764" w:type="dxa"/>
            <w:tcBorders>
              <w:top w:val="single" w:sz="4" w:space="0" w:color="365F91"/>
              <w:left w:val="nil"/>
              <w:bottom w:val="single" w:sz="4" w:space="0" w:color="365F91"/>
              <w:right w:val="nil"/>
            </w:tcBorders>
            <w:hideMark/>
          </w:tcPr>
          <w:p w14:paraId="309CF674" w14:textId="77777777" w:rsidR="00524720" w:rsidRPr="00D9348B" w:rsidRDefault="00524720">
            <w:pPr>
              <w:pStyle w:val="TableText"/>
              <w:spacing w:before="50" w:after="50"/>
              <w:jc w:val="center"/>
              <w:rPr>
                <w:rFonts w:cs="Calibri"/>
                <w:szCs w:val="16"/>
              </w:rPr>
            </w:pPr>
            <w:r w:rsidRPr="00D9348B">
              <w:rPr>
                <w:rFonts w:cs="Calibri"/>
                <w:szCs w:val="16"/>
              </w:rPr>
              <w:t>17</w:t>
            </w:r>
          </w:p>
        </w:tc>
        <w:tc>
          <w:tcPr>
            <w:tcW w:w="910" w:type="dxa"/>
            <w:tcBorders>
              <w:top w:val="single" w:sz="4" w:space="0" w:color="365F91"/>
              <w:left w:val="nil"/>
              <w:bottom w:val="single" w:sz="4" w:space="0" w:color="365F91"/>
              <w:right w:val="nil"/>
            </w:tcBorders>
            <w:hideMark/>
          </w:tcPr>
          <w:p w14:paraId="10A79689" w14:textId="77777777" w:rsidR="00524720" w:rsidRPr="00D9348B" w:rsidRDefault="00524720">
            <w:pPr>
              <w:pStyle w:val="TableText"/>
              <w:spacing w:before="50" w:after="50"/>
              <w:jc w:val="center"/>
              <w:rPr>
                <w:rFonts w:cs="Calibri"/>
                <w:szCs w:val="16"/>
              </w:rPr>
            </w:pPr>
            <w:r w:rsidRPr="00D9348B">
              <w:rPr>
                <w:rFonts w:cs="Calibri"/>
                <w:szCs w:val="16"/>
              </w:rPr>
              <w:t>9</w:t>
            </w:r>
          </w:p>
        </w:tc>
        <w:tc>
          <w:tcPr>
            <w:tcW w:w="847" w:type="dxa"/>
            <w:tcBorders>
              <w:top w:val="single" w:sz="4" w:space="0" w:color="365F91"/>
              <w:left w:val="nil"/>
              <w:bottom w:val="single" w:sz="4" w:space="0" w:color="365F91"/>
              <w:right w:val="nil"/>
            </w:tcBorders>
            <w:hideMark/>
          </w:tcPr>
          <w:p w14:paraId="0846C9CF" w14:textId="77777777" w:rsidR="00524720" w:rsidRPr="00D9348B" w:rsidRDefault="00524720">
            <w:pPr>
              <w:pStyle w:val="TableText"/>
              <w:spacing w:before="50" w:after="50"/>
              <w:jc w:val="center"/>
              <w:rPr>
                <w:rFonts w:cs="Calibri"/>
                <w:szCs w:val="16"/>
              </w:rPr>
            </w:pPr>
            <w:r w:rsidRPr="00D9348B">
              <w:rPr>
                <w:rFonts w:cs="Calibri"/>
                <w:szCs w:val="16"/>
              </w:rPr>
              <w:t>9</w:t>
            </w:r>
          </w:p>
        </w:tc>
        <w:tc>
          <w:tcPr>
            <w:tcW w:w="792" w:type="dxa"/>
            <w:tcBorders>
              <w:top w:val="single" w:sz="4" w:space="0" w:color="365F91"/>
              <w:left w:val="nil"/>
              <w:bottom w:val="single" w:sz="4" w:space="0" w:color="365F91"/>
              <w:right w:val="nil"/>
            </w:tcBorders>
            <w:hideMark/>
          </w:tcPr>
          <w:p w14:paraId="1EB8BAFB" w14:textId="77777777" w:rsidR="00524720" w:rsidRPr="00D9348B" w:rsidRDefault="00524720">
            <w:pPr>
              <w:pStyle w:val="TableText"/>
              <w:spacing w:before="50" w:after="50"/>
              <w:jc w:val="center"/>
              <w:rPr>
                <w:rFonts w:cs="Calibri"/>
                <w:szCs w:val="16"/>
              </w:rPr>
            </w:pPr>
            <w:r w:rsidRPr="00D9348B">
              <w:rPr>
                <w:rFonts w:cs="Calibri"/>
                <w:szCs w:val="16"/>
              </w:rPr>
              <w:t>12</w:t>
            </w:r>
          </w:p>
        </w:tc>
        <w:tc>
          <w:tcPr>
            <w:tcW w:w="896" w:type="dxa"/>
            <w:tcBorders>
              <w:top w:val="single" w:sz="4" w:space="0" w:color="365F91"/>
              <w:left w:val="nil"/>
              <w:bottom w:val="single" w:sz="4" w:space="0" w:color="365F91"/>
              <w:right w:val="nil"/>
            </w:tcBorders>
            <w:hideMark/>
          </w:tcPr>
          <w:p w14:paraId="2FE9EC2D" w14:textId="77777777" w:rsidR="00524720" w:rsidRPr="00D9348B" w:rsidRDefault="00524720">
            <w:pPr>
              <w:pStyle w:val="TableText"/>
              <w:spacing w:before="50" w:after="50"/>
              <w:jc w:val="center"/>
              <w:rPr>
                <w:rFonts w:cs="Calibri"/>
                <w:szCs w:val="16"/>
              </w:rPr>
            </w:pPr>
            <w:r w:rsidRPr="00D9348B">
              <w:rPr>
                <w:rFonts w:cs="Calibri"/>
                <w:szCs w:val="16"/>
              </w:rPr>
              <w:t>4</w:t>
            </w:r>
          </w:p>
        </w:tc>
        <w:tc>
          <w:tcPr>
            <w:tcW w:w="808" w:type="dxa"/>
            <w:tcBorders>
              <w:top w:val="single" w:sz="4" w:space="0" w:color="365F91"/>
              <w:left w:val="nil"/>
              <w:bottom w:val="single" w:sz="4" w:space="0" w:color="365F91"/>
              <w:right w:val="nil"/>
            </w:tcBorders>
            <w:hideMark/>
          </w:tcPr>
          <w:p w14:paraId="3C164EA4" w14:textId="77777777" w:rsidR="00524720" w:rsidRPr="00D9348B" w:rsidRDefault="00524720">
            <w:pPr>
              <w:pStyle w:val="TableText"/>
              <w:spacing w:before="50" w:after="50"/>
              <w:jc w:val="center"/>
              <w:rPr>
                <w:rFonts w:cs="Calibri"/>
                <w:szCs w:val="16"/>
              </w:rPr>
            </w:pPr>
            <w:r w:rsidRPr="00D9348B">
              <w:rPr>
                <w:rFonts w:cs="Calibri"/>
                <w:szCs w:val="16"/>
              </w:rPr>
              <w:t>3</w:t>
            </w:r>
          </w:p>
        </w:tc>
        <w:tc>
          <w:tcPr>
            <w:tcW w:w="850" w:type="dxa"/>
            <w:tcBorders>
              <w:top w:val="single" w:sz="4" w:space="0" w:color="365F91"/>
              <w:left w:val="nil"/>
              <w:bottom w:val="single" w:sz="4" w:space="0" w:color="365F91"/>
              <w:right w:val="nil"/>
            </w:tcBorders>
            <w:hideMark/>
          </w:tcPr>
          <w:p w14:paraId="3ED3D0AE" w14:textId="77777777" w:rsidR="00524720" w:rsidRPr="00D9348B" w:rsidRDefault="00524720">
            <w:pPr>
              <w:pStyle w:val="TableText"/>
              <w:spacing w:before="50" w:after="50"/>
              <w:jc w:val="center"/>
              <w:rPr>
                <w:rFonts w:cs="Calibri"/>
                <w:szCs w:val="16"/>
              </w:rPr>
            </w:pPr>
            <w:r w:rsidRPr="00D9348B">
              <w:rPr>
                <w:rFonts w:cs="Calibri"/>
                <w:szCs w:val="16"/>
              </w:rPr>
              <w:t>45</w:t>
            </w:r>
          </w:p>
        </w:tc>
        <w:tc>
          <w:tcPr>
            <w:tcW w:w="1787" w:type="dxa"/>
            <w:tcBorders>
              <w:top w:val="single" w:sz="4" w:space="0" w:color="365F91"/>
              <w:left w:val="nil"/>
              <w:bottom w:val="single" w:sz="4" w:space="0" w:color="365F91"/>
              <w:right w:val="nil"/>
            </w:tcBorders>
            <w:hideMark/>
          </w:tcPr>
          <w:p w14:paraId="5EF97AA7" w14:textId="77777777" w:rsidR="00524720" w:rsidRPr="00D9348B" w:rsidRDefault="00524720">
            <w:pPr>
              <w:pStyle w:val="TableText"/>
              <w:spacing w:before="50" w:after="50"/>
              <w:rPr>
                <w:rFonts w:cs="Calibri"/>
                <w:szCs w:val="16"/>
              </w:rPr>
            </w:pPr>
            <w:r w:rsidRPr="00D9348B">
              <w:rPr>
                <w:rFonts w:cs="Calibri"/>
                <w:szCs w:val="16"/>
              </w:rPr>
              <w:t>Interpolation</w:t>
            </w:r>
          </w:p>
        </w:tc>
      </w:tr>
      <w:tr w:rsidR="00524720" w:rsidRPr="00D9348B" w14:paraId="2B58E314" w14:textId="77777777" w:rsidTr="00783F25">
        <w:tc>
          <w:tcPr>
            <w:tcW w:w="851" w:type="dxa"/>
            <w:tcBorders>
              <w:top w:val="single" w:sz="4" w:space="0" w:color="365F91"/>
              <w:left w:val="nil"/>
              <w:bottom w:val="single" w:sz="4" w:space="0" w:color="365F91"/>
              <w:right w:val="nil"/>
            </w:tcBorders>
            <w:hideMark/>
          </w:tcPr>
          <w:p w14:paraId="5DF01894" w14:textId="77777777" w:rsidR="00524720" w:rsidRPr="00D9348B" w:rsidRDefault="00524720">
            <w:pPr>
              <w:pStyle w:val="TableTextBold"/>
              <w:spacing w:before="50" w:after="50"/>
              <w:rPr>
                <w:rFonts w:cs="Calibri"/>
                <w:noProof w:val="0"/>
                <w:szCs w:val="16"/>
              </w:rPr>
            </w:pPr>
            <w:r w:rsidRPr="00D9348B">
              <w:rPr>
                <w:rFonts w:cs="Calibri"/>
                <w:noProof w:val="0"/>
                <w:szCs w:val="16"/>
              </w:rPr>
              <w:t>2010</w:t>
            </w:r>
          </w:p>
        </w:tc>
        <w:tc>
          <w:tcPr>
            <w:tcW w:w="764" w:type="dxa"/>
            <w:tcBorders>
              <w:top w:val="single" w:sz="4" w:space="0" w:color="365F91"/>
              <w:left w:val="nil"/>
              <w:bottom w:val="single" w:sz="4" w:space="0" w:color="365F91"/>
              <w:right w:val="nil"/>
            </w:tcBorders>
            <w:hideMark/>
          </w:tcPr>
          <w:p w14:paraId="5EEBCE5D" w14:textId="77777777" w:rsidR="00524720" w:rsidRPr="00D9348B" w:rsidRDefault="00524720">
            <w:pPr>
              <w:pStyle w:val="TableText"/>
              <w:spacing w:before="50" w:after="50"/>
              <w:jc w:val="center"/>
              <w:rPr>
                <w:rFonts w:cs="Calibri"/>
                <w:szCs w:val="16"/>
              </w:rPr>
            </w:pPr>
            <w:r w:rsidRPr="00D9348B">
              <w:rPr>
                <w:rFonts w:cs="Calibri"/>
                <w:szCs w:val="16"/>
              </w:rPr>
              <w:t>17</w:t>
            </w:r>
          </w:p>
        </w:tc>
        <w:tc>
          <w:tcPr>
            <w:tcW w:w="910" w:type="dxa"/>
            <w:tcBorders>
              <w:top w:val="single" w:sz="4" w:space="0" w:color="365F91"/>
              <w:left w:val="nil"/>
              <w:bottom w:val="single" w:sz="4" w:space="0" w:color="365F91"/>
              <w:right w:val="nil"/>
            </w:tcBorders>
            <w:hideMark/>
          </w:tcPr>
          <w:p w14:paraId="1758B582" w14:textId="77777777" w:rsidR="00524720" w:rsidRPr="00D9348B" w:rsidRDefault="00524720">
            <w:pPr>
              <w:pStyle w:val="TableText"/>
              <w:spacing w:before="50" w:after="50"/>
              <w:jc w:val="center"/>
              <w:rPr>
                <w:rFonts w:cs="Calibri"/>
                <w:szCs w:val="16"/>
              </w:rPr>
            </w:pPr>
            <w:r w:rsidRPr="00D9348B">
              <w:rPr>
                <w:rFonts w:cs="Calibri"/>
                <w:szCs w:val="16"/>
              </w:rPr>
              <w:t>9</w:t>
            </w:r>
          </w:p>
        </w:tc>
        <w:tc>
          <w:tcPr>
            <w:tcW w:w="847" w:type="dxa"/>
            <w:tcBorders>
              <w:top w:val="single" w:sz="4" w:space="0" w:color="365F91"/>
              <w:left w:val="nil"/>
              <w:bottom w:val="single" w:sz="4" w:space="0" w:color="365F91"/>
              <w:right w:val="nil"/>
            </w:tcBorders>
            <w:hideMark/>
          </w:tcPr>
          <w:p w14:paraId="4137E909" w14:textId="77777777" w:rsidR="00524720" w:rsidRPr="00D9348B" w:rsidRDefault="00524720">
            <w:pPr>
              <w:pStyle w:val="TableText"/>
              <w:spacing w:before="50" w:after="50"/>
              <w:jc w:val="center"/>
              <w:rPr>
                <w:rFonts w:cs="Calibri"/>
                <w:szCs w:val="16"/>
              </w:rPr>
            </w:pPr>
            <w:r w:rsidRPr="00D9348B">
              <w:rPr>
                <w:rFonts w:cs="Calibri"/>
                <w:szCs w:val="16"/>
              </w:rPr>
              <w:t>10</w:t>
            </w:r>
          </w:p>
        </w:tc>
        <w:tc>
          <w:tcPr>
            <w:tcW w:w="792" w:type="dxa"/>
            <w:tcBorders>
              <w:top w:val="single" w:sz="4" w:space="0" w:color="365F91"/>
              <w:left w:val="nil"/>
              <w:bottom w:val="single" w:sz="4" w:space="0" w:color="365F91"/>
              <w:right w:val="nil"/>
            </w:tcBorders>
            <w:hideMark/>
          </w:tcPr>
          <w:p w14:paraId="18F3C993" w14:textId="77777777" w:rsidR="00524720" w:rsidRPr="00D9348B" w:rsidRDefault="00524720">
            <w:pPr>
              <w:pStyle w:val="TableText"/>
              <w:spacing w:before="50" w:after="50"/>
              <w:jc w:val="center"/>
              <w:rPr>
                <w:rFonts w:cs="Calibri"/>
                <w:szCs w:val="16"/>
              </w:rPr>
            </w:pPr>
            <w:r w:rsidRPr="00D9348B">
              <w:rPr>
                <w:rFonts w:cs="Calibri"/>
                <w:szCs w:val="16"/>
              </w:rPr>
              <w:t>12</w:t>
            </w:r>
          </w:p>
        </w:tc>
        <w:tc>
          <w:tcPr>
            <w:tcW w:w="896" w:type="dxa"/>
            <w:tcBorders>
              <w:top w:val="single" w:sz="4" w:space="0" w:color="365F91"/>
              <w:left w:val="nil"/>
              <w:bottom w:val="single" w:sz="4" w:space="0" w:color="365F91"/>
              <w:right w:val="nil"/>
            </w:tcBorders>
            <w:hideMark/>
          </w:tcPr>
          <w:p w14:paraId="5B88D4EE" w14:textId="77777777" w:rsidR="00524720" w:rsidRPr="00D9348B" w:rsidRDefault="00524720">
            <w:pPr>
              <w:pStyle w:val="TableText"/>
              <w:spacing w:before="50" w:after="50"/>
              <w:jc w:val="center"/>
              <w:rPr>
                <w:rFonts w:cs="Calibri"/>
                <w:szCs w:val="16"/>
              </w:rPr>
            </w:pPr>
            <w:r w:rsidRPr="00D9348B">
              <w:rPr>
                <w:rFonts w:cs="Calibri"/>
                <w:szCs w:val="16"/>
              </w:rPr>
              <w:t>5</w:t>
            </w:r>
          </w:p>
        </w:tc>
        <w:tc>
          <w:tcPr>
            <w:tcW w:w="808" w:type="dxa"/>
            <w:tcBorders>
              <w:top w:val="single" w:sz="4" w:space="0" w:color="365F91"/>
              <w:left w:val="nil"/>
              <w:bottom w:val="single" w:sz="4" w:space="0" w:color="365F91"/>
              <w:right w:val="nil"/>
            </w:tcBorders>
            <w:hideMark/>
          </w:tcPr>
          <w:p w14:paraId="2B5DA812" w14:textId="77777777" w:rsidR="00524720" w:rsidRPr="00D9348B" w:rsidRDefault="00524720">
            <w:pPr>
              <w:pStyle w:val="TableText"/>
              <w:spacing w:before="50" w:after="50"/>
              <w:jc w:val="center"/>
              <w:rPr>
                <w:rFonts w:cs="Calibri"/>
                <w:szCs w:val="16"/>
              </w:rPr>
            </w:pPr>
            <w:r w:rsidRPr="00D9348B">
              <w:rPr>
                <w:rFonts w:cs="Calibri"/>
                <w:szCs w:val="16"/>
              </w:rPr>
              <w:t>3</w:t>
            </w:r>
          </w:p>
        </w:tc>
        <w:tc>
          <w:tcPr>
            <w:tcW w:w="850" w:type="dxa"/>
            <w:tcBorders>
              <w:top w:val="single" w:sz="4" w:space="0" w:color="365F91"/>
              <w:left w:val="nil"/>
              <w:bottom w:val="single" w:sz="4" w:space="0" w:color="365F91"/>
              <w:right w:val="nil"/>
            </w:tcBorders>
            <w:hideMark/>
          </w:tcPr>
          <w:p w14:paraId="43058CCF" w14:textId="5213B57E" w:rsidR="00524720" w:rsidRPr="00D9348B" w:rsidRDefault="00524720">
            <w:pPr>
              <w:pStyle w:val="TableText"/>
              <w:spacing w:before="50" w:after="50"/>
              <w:jc w:val="center"/>
              <w:rPr>
                <w:rFonts w:cs="Calibri"/>
                <w:szCs w:val="16"/>
              </w:rPr>
            </w:pPr>
            <w:r w:rsidRPr="00D9348B">
              <w:rPr>
                <w:rFonts w:cs="Calibri"/>
                <w:szCs w:val="16"/>
              </w:rPr>
              <w:t>4</w:t>
            </w:r>
            <w:r w:rsidR="00CC6894">
              <w:rPr>
                <w:rFonts w:cs="Calibri"/>
                <w:szCs w:val="16"/>
              </w:rPr>
              <w:t>5</w:t>
            </w:r>
          </w:p>
        </w:tc>
        <w:tc>
          <w:tcPr>
            <w:tcW w:w="1787" w:type="dxa"/>
            <w:tcBorders>
              <w:top w:val="single" w:sz="4" w:space="0" w:color="365F91"/>
              <w:left w:val="nil"/>
              <w:bottom w:val="single" w:sz="4" w:space="0" w:color="365F91"/>
              <w:right w:val="nil"/>
            </w:tcBorders>
            <w:hideMark/>
          </w:tcPr>
          <w:p w14:paraId="46F7CBF9" w14:textId="77777777" w:rsidR="00524720" w:rsidRPr="00D9348B" w:rsidRDefault="00524720">
            <w:pPr>
              <w:pStyle w:val="TableText"/>
              <w:spacing w:before="50" w:after="50"/>
              <w:rPr>
                <w:rFonts w:cs="Calibri"/>
                <w:szCs w:val="16"/>
              </w:rPr>
            </w:pPr>
            <w:r w:rsidRPr="00D9348B">
              <w:rPr>
                <w:rFonts w:cs="Calibri"/>
                <w:szCs w:val="16"/>
              </w:rPr>
              <w:t>Interpolation</w:t>
            </w:r>
          </w:p>
        </w:tc>
      </w:tr>
      <w:tr w:rsidR="00524720" w:rsidRPr="00D9348B" w14:paraId="307ABBCC" w14:textId="77777777" w:rsidTr="00783F25">
        <w:tc>
          <w:tcPr>
            <w:tcW w:w="851" w:type="dxa"/>
            <w:tcBorders>
              <w:top w:val="single" w:sz="4" w:space="0" w:color="365F91"/>
              <w:left w:val="nil"/>
              <w:bottom w:val="single" w:sz="4" w:space="0" w:color="365F91"/>
              <w:right w:val="nil"/>
            </w:tcBorders>
            <w:hideMark/>
          </w:tcPr>
          <w:p w14:paraId="0C0C4505" w14:textId="77777777" w:rsidR="00524720" w:rsidRPr="00D9348B" w:rsidRDefault="00524720">
            <w:pPr>
              <w:pStyle w:val="TableTextBold"/>
              <w:spacing w:before="50" w:after="50"/>
              <w:rPr>
                <w:rFonts w:cs="Calibri"/>
                <w:noProof w:val="0"/>
                <w:szCs w:val="16"/>
              </w:rPr>
            </w:pPr>
            <w:r w:rsidRPr="00D9348B">
              <w:rPr>
                <w:rFonts w:cs="Calibri"/>
                <w:noProof w:val="0"/>
                <w:szCs w:val="16"/>
              </w:rPr>
              <w:t>2011</w:t>
            </w:r>
          </w:p>
        </w:tc>
        <w:tc>
          <w:tcPr>
            <w:tcW w:w="764" w:type="dxa"/>
            <w:tcBorders>
              <w:top w:val="single" w:sz="4" w:space="0" w:color="365F91"/>
              <w:left w:val="nil"/>
              <w:bottom w:val="single" w:sz="4" w:space="0" w:color="365F91"/>
              <w:right w:val="nil"/>
            </w:tcBorders>
            <w:hideMark/>
          </w:tcPr>
          <w:p w14:paraId="4DC0809F" w14:textId="77777777" w:rsidR="00524720" w:rsidRPr="00D9348B" w:rsidRDefault="00524720">
            <w:pPr>
              <w:pStyle w:val="TableText"/>
              <w:spacing w:before="50" w:after="50"/>
              <w:jc w:val="center"/>
              <w:rPr>
                <w:rFonts w:cs="Calibri"/>
                <w:szCs w:val="16"/>
              </w:rPr>
            </w:pPr>
            <w:r w:rsidRPr="00D9348B">
              <w:rPr>
                <w:rFonts w:cs="Calibri"/>
                <w:szCs w:val="16"/>
              </w:rPr>
              <w:t>17</w:t>
            </w:r>
          </w:p>
        </w:tc>
        <w:tc>
          <w:tcPr>
            <w:tcW w:w="910" w:type="dxa"/>
            <w:tcBorders>
              <w:top w:val="single" w:sz="4" w:space="0" w:color="365F91"/>
              <w:left w:val="nil"/>
              <w:bottom w:val="single" w:sz="4" w:space="0" w:color="365F91"/>
              <w:right w:val="nil"/>
            </w:tcBorders>
            <w:hideMark/>
          </w:tcPr>
          <w:p w14:paraId="6D132941" w14:textId="77777777" w:rsidR="00524720" w:rsidRPr="00D9348B" w:rsidRDefault="00524720">
            <w:pPr>
              <w:pStyle w:val="TableText"/>
              <w:spacing w:before="50" w:after="50"/>
              <w:jc w:val="center"/>
              <w:rPr>
                <w:rFonts w:cs="Calibri"/>
                <w:szCs w:val="16"/>
              </w:rPr>
            </w:pPr>
            <w:r w:rsidRPr="00D9348B">
              <w:rPr>
                <w:rFonts w:cs="Calibri"/>
                <w:szCs w:val="16"/>
              </w:rPr>
              <w:t>9</w:t>
            </w:r>
          </w:p>
        </w:tc>
        <w:tc>
          <w:tcPr>
            <w:tcW w:w="847" w:type="dxa"/>
            <w:tcBorders>
              <w:top w:val="single" w:sz="4" w:space="0" w:color="365F91"/>
              <w:left w:val="nil"/>
              <w:bottom w:val="single" w:sz="4" w:space="0" w:color="365F91"/>
              <w:right w:val="nil"/>
            </w:tcBorders>
            <w:hideMark/>
          </w:tcPr>
          <w:p w14:paraId="1322861F" w14:textId="77777777" w:rsidR="00524720" w:rsidRPr="00D9348B" w:rsidRDefault="00524720">
            <w:pPr>
              <w:pStyle w:val="TableText"/>
              <w:spacing w:before="50" w:after="50"/>
              <w:jc w:val="center"/>
              <w:rPr>
                <w:rFonts w:cs="Calibri"/>
                <w:szCs w:val="16"/>
              </w:rPr>
            </w:pPr>
            <w:r w:rsidRPr="00D9348B">
              <w:rPr>
                <w:rFonts w:cs="Calibri"/>
                <w:szCs w:val="16"/>
              </w:rPr>
              <w:t>10</w:t>
            </w:r>
          </w:p>
        </w:tc>
        <w:tc>
          <w:tcPr>
            <w:tcW w:w="792" w:type="dxa"/>
            <w:tcBorders>
              <w:top w:val="single" w:sz="4" w:space="0" w:color="365F91"/>
              <w:left w:val="nil"/>
              <w:bottom w:val="single" w:sz="4" w:space="0" w:color="365F91"/>
              <w:right w:val="nil"/>
            </w:tcBorders>
            <w:hideMark/>
          </w:tcPr>
          <w:p w14:paraId="2E800F21" w14:textId="77777777" w:rsidR="00524720" w:rsidRPr="00D9348B" w:rsidRDefault="00524720">
            <w:pPr>
              <w:pStyle w:val="TableText"/>
              <w:spacing w:before="50" w:after="50"/>
              <w:jc w:val="center"/>
              <w:rPr>
                <w:rFonts w:cs="Calibri"/>
                <w:szCs w:val="16"/>
              </w:rPr>
            </w:pPr>
            <w:r w:rsidRPr="00D9348B">
              <w:rPr>
                <w:rFonts w:cs="Calibri"/>
                <w:szCs w:val="16"/>
              </w:rPr>
              <w:t>12</w:t>
            </w:r>
          </w:p>
        </w:tc>
        <w:tc>
          <w:tcPr>
            <w:tcW w:w="896" w:type="dxa"/>
            <w:tcBorders>
              <w:top w:val="single" w:sz="4" w:space="0" w:color="365F91"/>
              <w:left w:val="nil"/>
              <w:bottom w:val="single" w:sz="4" w:space="0" w:color="365F91"/>
              <w:right w:val="nil"/>
            </w:tcBorders>
            <w:hideMark/>
          </w:tcPr>
          <w:p w14:paraId="01D143DA" w14:textId="77777777" w:rsidR="00524720" w:rsidRPr="00D9348B" w:rsidRDefault="00524720">
            <w:pPr>
              <w:pStyle w:val="TableText"/>
              <w:spacing w:before="50" w:after="50"/>
              <w:jc w:val="center"/>
              <w:rPr>
                <w:rFonts w:cs="Calibri"/>
                <w:szCs w:val="16"/>
              </w:rPr>
            </w:pPr>
            <w:r w:rsidRPr="00D9348B">
              <w:rPr>
                <w:rFonts w:cs="Calibri"/>
                <w:szCs w:val="16"/>
              </w:rPr>
              <w:t>5</w:t>
            </w:r>
          </w:p>
        </w:tc>
        <w:tc>
          <w:tcPr>
            <w:tcW w:w="808" w:type="dxa"/>
            <w:tcBorders>
              <w:top w:val="single" w:sz="4" w:space="0" w:color="365F91"/>
              <w:left w:val="nil"/>
              <w:bottom w:val="single" w:sz="4" w:space="0" w:color="365F91"/>
              <w:right w:val="nil"/>
            </w:tcBorders>
            <w:hideMark/>
          </w:tcPr>
          <w:p w14:paraId="5424B406" w14:textId="77777777" w:rsidR="00524720" w:rsidRPr="00D9348B" w:rsidRDefault="00524720">
            <w:pPr>
              <w:pStyle w:val="TableText"/>
              <w:spacing w:before="50" w:after="50"/>
              <w:jc w:val="center"/>
              <w:rPr>
                <w:rFonts w:cs="Calibri"/>
                <w:szCs w:val="16"/>
              </w:rPr>
            </w:pPr>
            <w:r w:rsidRPr="00D9348B">
              <w:rPr>
                <w:rFonts w:cs="Calibri"/>
                <w:szCs w:val="16"/>
              </w:rPr>
              <w:t>3</w:t>
            </w:r>
          </w:p>
        </w:tc>
        <w:tc>
          <w:tcPr>
            <w:tcW w:w="850" w:type="dxa"/>
            <w:tcBorders>
              <w:top w:val="single" w:sz="4" w:space="0" w:color="365F91"/>
              <w:left w:val="nil"/>
              <w:bottom w:val="single" w:sz="4" w:space="0" w:color="365F91"/>
              <w:right w:val="nil"/>
            </w:tcBorders>
            <w:hideMark/>
          </w:tcPr>
          <w:p w14:paraId="1F1B1C02" w14:textId="77777777" w:rsidR="00524720" w:rsidRPr="00D9348B" w:rsidRDefault="00524720">
            <w:pPr>
              <w:pStyle w:val="TableText"/>
              <w:spacing w:before="50" w:after="50"/>
              <w:jc w:val="center"/>
              <w:rPr>
                <w:rFonts w:cs="Calibri"/>
                <w:szCs w:val="16"/>
              </w:rPr>
            </w:pPr>
            <w:r w:rsidRPr="00D9348B">
              <w:rPr>
                <w:rFonts w:cs="Calibri"/>
                <w:szCs w:val="16"/>
              </w:rPr>
              <w:t>44</w:t>
            </w:r>
          </w:p>
        </w:tc>
        <w:tc>
          <w:tcPr>
            <w:tcW w:w="1787" w:type="dxa"/>
            <w:tcBorders>
              <w:top w:val="single" w:sz="4" w:space="0" w:color="365F91"/>
              <w:left w:val="nil"/>
              <w:bottom w:val="single" w:sz="4" w:space="0" w:color="365F91"/>
              <w:right w:val="nil"/>
            </w:tcBorders>
            <w:hideMark/>
          </w:tcPr>
          <w:p w14:paraId="6E0E2A54" w14:textId="77777777" w:rsidR="00524720" w:rsidRPr="00D9348B" w:rsidRDefault="00524720">
            <w:pPr>
              <w:pStyle w:val="TableText"/>
              <w:spacing w:before="50" w:after="50"/>
              <w:rPr>
                <w:rFonts w:cs="Calibri"/>
                <w:szCs w:val="16"/>
              </w:rPr>
            </w:pPr>
            <w:r w:rsidRPr="00D9348B">
              <w:rPr>
                <w:rFonts w:cs="Calibri"/>
                <w:szCs w:val="16"/>
              </w:rPr>
              <w:t>Interpolation</w:t>
            </w:r>
          </w:p>
        </w:tc>
      </w:tr>
      <w:tr w:rsidR="00524720" w:rsidRPr="00D9348B" w14:paraId="2938F43A" w14:textId="77777777" w:rsidTr="00783F25">
        <w:tc>
          <w:tcPr>
            <w:tcW w:w="851" w:type="dxa"/>
            <w:tcBorders>
              <w:top w:val="single" w:sz="4" w:space="0" w:color="365F91"/>
              <w:left w:val="nil"/>
              <w:bottom w:val="single" w:sz="4" w:space="0" w:color="365F91"/>
              <w:right w:val="nil"/>
            </w:tcBorders>
            <w:hideMark/>
          </w:tcPr>
          <w:p w14:paraId="6F834E82" w14:textId="77777777" w:rsidR="00524720" w:rsidRPr="00D9348B" w:rsidRDefault="00524720">
            <w:pPr>
              <w:pStyle w:val="TableTextBold"/>
              <w:spacing w:before="50" w:after="50"/>
              <w:rPr>
                <w:rFonts w:cs="Calibri"/>
                <w:noProof w:val="0"/>
                <w:szCs w:val="16"/>
              </w:rPr>
            </w:pPr>
            <w:r w:rsidRPr="00D9348B">
              <w:rPr>
                <w:rFonts w:cs="Calibri"/>
                <w:noProof w:val="0"/>
                <w:szCs w:val="16"/>
              </w:rPr>
              <w:t>2012</w:t>
            </w:r>
          </w:p>
        </w:tc>
        <w:tc>
          <w:tcPr>
            <w:tcW w:w="764" w:type="dxa"/>
            <w:tcBorders>
              <w:top w:val="single" w:sz="4" w:space="0" w:color="365F91"/>
              <w:left w:val="nil"/>
              <w:bottom w:val="single" w:sz="4" w:space="0" w:color="365F91"/>
              <w:right w:val="nil"/>
            </w:tcBorders>
            <w:hideMark/>
          </w:tcPr>
          <w:p w14:paraId="1B67C36B" w14:textId="77777777" w:rsidR="00524720" w:rsidRPr="00D9348B" w:rsidRDefault="00524720">
            <w:pPr>
              <w:pStyle w:val="TableText"/>
              <w:spacing w:before="50" w:after="50"/>
              <w:jc w:val="center"/>
              <w:rPr>
                <w:rFonts w:cs="Calibri"/>
                <w:szCs w:val="16"/>
              </w:rPr>
            </w:pPr>
            <w:r w:rsidRPr="00D9348B">
              <w:rPr>
                <w:rFonts w:cs="Calibri"/>
                <w:szCs w:val="16"/>
              </w:rPr>
              <w:t>17</w:t>
            </w:r>
          </w:p>
        </w:tc>
        <w:tc>
          <w:tcPr>
            <w:tcW w:w="910" w:type="dxa"/>
            <w:tcBorders>
              <w:top w:val="single" w:sz="4" w:space="0" w:color="365F91"/>
              <w:left w:val="nil"/>
              <w:bottom w:val="single" w:sz="4" w:space="0" w:color="365F91"/>
              <w:right w:val="nil"/>
            </w:tcBorders>
            <w:hideMark/>
          </w:tcPr>
          <w:p w14:paraId="76C0B2D0" w14:textId="77777777" w:rsidR="00524720" w:rsidRPr="00D9348B" w:rsidRDefault="00524720">
            <w:pPr>
              <w:pStyle w:val="TableText"/>
              <w:spacing w:before="50" w:after="50"/>
              <w:jc w:val="center"/>
              <w:rPr>
                <w:rFonts w:cs="Calibri"/>
                <w:szCs w:val="16"/>
              </w:rPr>
            </w:pPr>
            <w:r w:rsidRPr="00D9348B">
              <w:rPr>
                <w:rFonts w:cs="Calibri"/>
                <w:szCs w:val="16"/>
              </w:rPr>
              <w:t>8</w:t>
            </w:r>
          </w:p>
        </w:tc>
        <w:tc>
          <w:tcPr>
            <w:tcW w:w="847" w:type="dxa"/>
            <w:tcBorders>
              <w:top w:val="single" w:sz="4" w:space="0" w:color="365F91"/>
              <w:left w:val="nil"/>
              <w:bottom w:val="single" w:sz="4" w:space="0" w:color="365F91"/>
              <w:right w:val="nil"/>
            </w:tcBorders>
            <w:hideMark/>
          </w:tcPr>
          <w:p w14:paraId="5998D8B0" w14:textId="77777777" w:rsidR="00524720" w:rsidRPr="00D9348B" w:rsidRDefault="00524720">
            <w:pPr>
              <w:pStyle w:val="TableText"/>
              <w:spacing w:before="50" w:after="50"/>
              <w:jc w:val="center"/>
              <w:rPr>
                <w:rFonts w:cs="Calibri"/>
                <w:szCs w:val="16"/>
              </w:rPr>
            </w:pPr>
            <w:r w:rsidRPr="00D9348B">
              <w:rPr>
                <w:rFonts w:cs="Calibri"/>
                <w:szCs w:val="16"/>
              </w:rPr>
              <w:t>11</w:t>
            </w:r>
          </w:p>
        </w:tc>
        <w:tc>
          <w:tcPr>
            <w:tcW w:w="792" w:type="dxa"/>
            <w:tcBorders>
              <w:top w:val="single" w:sz="4" w:space="0" w:color="365F91"/>
              <w:left w:val="nil"/>
              <w:bottom w:val="single" w:sz="4" w:space="0" w:color="365F91"/>
              <w:right w:val="nil"/>
            </w:tcBorders>
            <w:hideMark/>
          </w:tcPr>
          <w:p w14:paraId="57BDACFB" w14:textId="77777777" w:rsidR="00524720" w:rsidRPr="00D9348B" w:rsidRDefault="00524720">
            <w:pPr>
              <w:pStyle w:val="TableText"/>
              <w:spacing w:before="50" w:after="50"/>
              <w:jc w:val="center"/>
              <w:rPr>
                <w:rFonts w:cs="Calibri"/>
                <w:szCs w:val="16"/>
              </w:rPr>
            </w:pPr>
            <w:r w:rsidRPr="00D9348B">
              <w:rPr>
                <w:rFonts w:cs="Calibri"/>
                <w:szCs w:val="16"/>
              </w:rPr>
              <w:t>12</w:t>
            </w:r>
          </w:p>
        </w:tc>
        <w:tc>
          <w:tcPr>
            <w:tcW w:w="896" w:type="dxa"/>
            <w:tcBorders>
              <w:top w:val="single" w:sz="4" w:space="0" w:color="365F91"/>
              <w:left w:val="nil"/>
              <w:bottom w:val="single" w:sz="4" w:space="0" w:color="365F91"/>
              <w:right w:val="nil"/>
            </w:tcBorders>
            <w:hideMark/>
          </w:tcPr>
          <w:p w14:paraId="22A1F93E" w14:textId="77777777" w:rsidR="00524720" w:rsidRPr="00D9348B" w:rsidRDefault="00524720">
            <w:pPr>
              <w:pStyle w:val="TableText"/>
              <w:spacing w:before="50" w:after="50"/>
              <w:jc w:val="center"/>
              <w:rPr>
                <w:rFonts w:cs="Calibri"/>
                <w:szCs w:val="16"/>
              </w:rPr>
            </w:pPr>
            <w:r w:rsidRPr="00D9348B">
              <w:rPr>
                <w:rFonts w:cs="Calibri"/>
                <w:szCs w:val="16"/>
              </w:rPr>
              <w:t>6</w:t>
            </w:r>
          </w:p>
        </w:tc>
        <w:tc>
          <w:tcPr>
            <w:tcW w:w="808" w:type="dxa"/>
            <w:tcBorders>
              <w:top w:val="single" w:sz="4" w:space="0" w:color="365F91"/>
              <w:left w:val="nil"/>
              <w:bottom w:val="single" w:sz="4" w:space="0" w:color="365F91"/>
              <w:right w:val="nil"/>
            </w:tcBorders>
            <w:hideMark/>
          </w:tcPr>
          <w:p w14:paraId="3AE3941E" w14:textId="77777777" w:rsidR="00524720" w:rsidRPr="00D9348B" w:rsidRDefault="00524720">
            <w:pPr>
              <w:pStyle w:val="TableText"/>
              <w:spacing w:before="50" w:after="50"/>
              <w:jc w:val="center"/>
              <w:rPr>
                <w:rFonts w:cs="Calibri"/>
                <w:szCs w:val="16"/>
              </w:rPr>
            </w:pPr>
            <w:r w:rsidRPr="00D9348B">
              <w:rPr>
                <w:rFonts w:cs="Calibri"/>
                <w:szCs w:val="16"/>
              </w:rPr>
              <w:t>3</w:t>
            </w:r>
          </w:p>
        </w:tc>
        <w:tc>
          <w:tcPr>
            <w:tcW w:w="850" w:type="dxa"/>
            <w:tcBorders>
              <w:top w:val="single" w:sz="4" w:space="0" w:color="365F91"/>
              <w:left w:val="nil"/>
              <w:bottom w:val="single" w:sz="4" w:space="0" w:color="365F91"/>
              <w:right w:val="nil"/>
            </w:tcBorders>
            <w:hideMark/>
          </w:tcPr>
          <w:p w14:paraId="47B61F82" w14:textId="77777777" w:rsidR="00524720" w:rsidRPr="00D9348B" w:rsidRDefault="00524720">
            <w:pPr>
              <w:pStyle w:val="TableText"/>
              <w:spacing w:before="50" w:after="50"/>
              <w:jc w:val="center"/>
              <w:rPr>
                <w:rFonts w:cs="Calibri"/>
                <w:szCs w:val="16"/>
              </w:rPr>
            </w:pPr>
            <w:r w:rsidRPr="00D9348B">
              <w:rPr>
                <w:rFonts w:cs="Calibri"/>
                <w:szCs w:val="16"/>
              </w:rPr>
              <w:t>44</w:t>
            </w:r>
          </w:p>
        </w:tc>
        <w:tc>
          <w:tcPr>
            <w:tcW w:w="1787" w:type="dxa"/>
            <w:tcBorders>
              <w:top w:val="single" w:sz="4" w:space="0" w:color="365F91"/>
              <w:left w:val="nil"/>
              <w:bottom w:val="single" w:sz="4" w:space="0" w:color="365F91"/>
              <w:right w:val="nil"/>
            </w:tcBorders>
            <w:hideMark/>
          </w:tcPr>
          <w:p w14:paraId="30E3AB8C" w14:textId="77777777" w:rsidR="00524720" w:rsidRPr="00D9348B" w:rsidRDefault="00524720">
            <w:pPr>
              <w:pStyle w:val="TableText"/>
              <w:spacing w:before="50" w:after="50"/>
              <w:rPr>
                <w:rFonts w:cs="Calibri"/>
                <w:szCs w:val="16"/>
              </w:rPr>
            </w:pPr>
            <w:r w:rsidRPr="00D9348B">
              <w:rPr>
                <w:rFonts w:cs="Calibri"/>
                <w:szCs w:val="16"/>
              </w:rPr>
              <w:t>Survey</w:t>
            </w:r>
          </w:p>
        </w:tc>
      </w:tr>
      <w:tr w:rsidR="00524720" w:rsidRPr="00D9348B" w14:paraId="28BB44C2" w14:textId="77777777" w:rsidTr="00783F25">
        <w:tc>
          <w:tcPr>
            <w:tcW w:w="851" w:type="dxa"/>
            <w:tcBorders>
              <w:top w:val="single" w:sz="4" w:space="0" w:color="365F91"/>
              <w:left w:val="nil"/>
              <w:bottom w:val="single" w:sz="4" w:space="0" w:color="365F91"/>
              <w:right w:val="nil"/>
            </w:tcBorders>
            <w:hideMark/>
          </w:tcPr>
          <w:p w14:paraId="08FE0ACC" w14:textId="77777777" w:rsidR="00524720" w:rsidRPr="00D9348B" w:rsidRDefault="00524720">
            <w:pPr>
              <w:pStyle w:val="TableTextBold"/>
              <w:spacing w:before="50" w:after="50"/>
              <w:rPr>
                <w:rFonts w:cs="Calibri"/>
                <w:noProof w:val="0"/>
                <w:szCs w:val="16"/>
              </w:rPr>
            </w:pPr>
            <w:r w:rsidRPr="00D9348B">
              <w:rPr>
                <w:rFonts w:cs="Calibri"/>
                <w:noProof w:val="0"/>
                <w:szCs w:val="16"/>
              </w:rPr>
              <w:t>2013–18</w:t>
            </w:r>
          </w:p>
        </w:tc>
        <w:tc>
          <w:tcPr>
            <w:tcW w:w="764" w:type="dxa"/>
            <w:tcBorders>
              <w:top w:val="single" w:sz="4" w:space="0" w:color="365F91"/>
              <w:left w:val="nil"/>
              <w:bottom w:val="single" w:sz="4" w:space="0" w:color="365F91"/>
              <w:right w:val="nil"/>
            </w:tcBorders>
            <w:hideMark/>
          </w:tcPr>
          <w:p w14:paraId="14F0F0A8" w14:textId="77777777" w:rsidR="00524720" w:rsidRPr="00D9348B" w:rsidRDefault="00524720">
            <w:pPr>
              <w:pStyle w:val="TableText"/>
              <w:spacing w:before="50" w:after="50"/>
              <w:jc w:val="center"/>
              <w:rPr>
                <w:rFonts w:cs="Calibri"/>
                <w:szCs w:val="16"/>
              </w:rPr>
            </w:pPr>
            <w:r w:rsidRPr="00D9348B">
              <w:rPr>
                <w:rFonts w:cs="Calibri"/>
                <w:szCs w:val="16"/>
              </w:rPr>
              <w:t>17</w:t>
            </w:r>
          </w:p>
        </w:tc>
        <w:tc>
          <w:tcPr>
            <w:tcW w:w="910" w:type="dxa"/>
            <w:tcBorders>
              <w:top w:val="single" w:sz="4" w:space="0" w:color="365F91"/>
              <w:left w:val="nil"/>
              <w:bottom w:val="single" w:sz="4" w:space="0" w:color="365F91"/>
              <w:right w:val="nil"/>
            </w:tcBorders>
            <w:hideMark/>
          </w:tcPr>
          <w:p w14:paraId="7A4D0783" w14:textId="77777777" w:rsidR="00524720" w:rsidRPr="00D9348B" w:rsidRDefault="00524720">
            <w:pPr>
              <w:pStyle w:val="TableText"/>
              <w:spacing w:before="50" w:after="50"/>
              <w:jc w:val="center"/>
              <w:rPr>
                <w:rFonts w:cs="Calibri"/>
                <w:szCs w:val="16"/>
              </w:rPr>
            </w:pPr>
            <w:r w:rsidRPr="00D9348B">
              <w:rPr>
                <w:rFonts w:cs="Calibri"/>
                <w:szCs w:val="16"/>
              </w:rPr>
              <w:t>8</w:t>
            </w:r>
          </w:p>
        </w:tc>
        <w:tc>
          <w:tcPr>
            <w:tcW w:w="847" w:type="dxa"/>
            <w:tcBorders>
              <w:top w:val="single" w:sz="4" w:space="0" w:color="365F91"/>
              <w:left w:val="nil"/>
              <w:bottom w:val="single" w:sz="4" w:space="0" w:color="365F91"/>
              <w:right w:val="nil"/>
            </w:tcBorders>
            <w:hideMark/>
          </w:tcPr>
          <w:p w14:paraId="78262C6A" w14:textId="77777777" w:rsidR="00524720" w:rsidRPr="00D9348B" w:rsidRDefault="00524720">
            <w:pPr>
              <w:pStyle w:val="TableText"/>
              <w:spacing w:before="50" w:after="50"/>
              <w:jc w:val="center"/>
              <w:rPr>
                <w:rFonts w:cs="Calibri"/>
                <w:szCs w:val="16"/>
              </w:rPr>
            </w:pPr>
            <w:r w:rsidRPr="00D9348B">
              <w:rPr>
                <w:rFonts w:cs="Calibri"/>
                <w:szCs w:val="16"/>
              </w:rPr>
              <w:t>11</w:t>
            </w:r>
          </w:p>
        </w:tc>
        <w:tc>
          <w:tcPr>
            <w:tcW w:w="792" w:type="dxa"/>
            <w:tcBorders>
              <w:top w:val="single" w:sz="4" w:space="0" w:color="365F91"/>
              <w:left w:val="nil"/>
              <w:bottom w:val="single" w:sz="4" w:space="0" w:color="365F91"/>
              <w:right w:val="nil"/>
            </w:tcBorders>
            <w:hideMark/>
          </w:tcPr>
          <w:p w14:paraId="6B82DA36" w14:textId="77777777" w:rsidR="00524720" w:rsidRPr="00D9348B" w:rsidRDefault="00524720">
            <w:pPr>
              <w:pStyle w:val="TableText"/>
              <w:spacing w:before="50" w:after="50"/>
              <w:jc w:val="center"/>
              <w:rPr>
                <w:rFonts w:cs="Calibri"/>
                <w:szCs w:val="16"/>
              </w:rPr>
            </w:pPr>
            <w:r w:rsidRPr="00D9348B">
              <w:rPr>
                <w:rFonts w:cs="Calibri"/>
                <w:szCs w:val="16"/>
              </w:rPr>
              <w:t>12</w:t>
            </w:r>
          </w:p>
        </w:tc>
        <w:tc>
          <w:tcPr>
            <w:tcW w:w="896" w:type="dxa"/>
            <w:tcBorders>
              <w:top w:val="single" w:sz="4" w:space="0" w:color="365F91"/>
              <w:left w:val="nil"/>
              <w:bottom w:val="single" w:sz="4" w:space="0" w:color="365F91"/>
              <w:right w:val="nil"/>
            </w:tcBorders>
            <w:hideMark/>
          </w:tcPr>
          <w:p w14:paraId="15FA45A0" w14:textId="77777777" w:rsidR="00524720" w:rsidRPr="00D9348B" w:rsidRDefault="00524720">
            <w:pPr>
              <w:pStyle w:val="TableText"/>
              <w:spacing w:before="50" w:after="50"/>
              <w:jc w:val="center"/>
              <w:rPr>
                <w:rFonts w:cs="Calibri"/>
                <w:szCs w:val="16"/>
              </w:rPr>
            </w:pPr>
            <w:r w:rsidRPr="00D9348B">
              <w:rPr>
                <w:rFonts w:cs="Calibri"/>
                <w:szCs w:val="16"/>
              </w:rPr>
              <w:t>6</w:t>
            </w:r>
          </w:p>
        </w:tc>
        <w:tc>
          <w:tcPr>
            <w:tcW w:w="808" w:type="dxa"/>
            <w:tcBorders>
              <w:top w:val="single" w:sz="4" w:space="0" w:color="365F91"/>
              <w:left w:val="nil"/>
              <w:bottom w:val="single" w:sz="4" w:space="0" w:color="365F91"/>
              <w:right w:val="nil"/>
            </w:tcBorders>
            <w:hideMark/>
          </w:tcPr>
          <w:p w14:paraId="3D4DD647" w14:textId="77777777" w:rsidR="00524720" w:rsidRPr="00D9348B" w:rsidRDefault="00524720">
            <w:pPr>
              <w:pStyle w:val="TableText"/>
              <w:spacing w:before="50" w:after="50"/>
              <w:jc w:val="center"/>
              <w:rPr>
                <w:rFonts w:cs="Calibri"/>
                <w:szCs w:val="16"/>
              </w:rPr>
            </w:pPr>
            <w:r w:rsidRPr="00D9348B">
              <w:rPr>
                <w:rFonts w:cs="Calibri"/>
                <w:szCs w:val="16"/>
              </w:rPr>
              <w:t>3</w:t>
            </w:r>
          </w:p>
        </w:tc>
        <w:tc>
          <w:tcPr>
            <w:tcW w:w="850" w:type="dxa"/>
            <w:tcBorders>
              <w:top w:val="single" w:sz="4" w:space="0" w:color="365F91"/>
              <w:left w:val="nil"/>
              <w:bottom w:val="single" w:sz="4" w:space="0" w:color="365F91"/>
              <w:right w:val="nil"/>
            </w:tcBorders>
            <w:hideMark/>
          </w:tcPr>
          <w:p w14:paraId="6E2242BF" w14:textId="77777777" w:rsidR="00524720" w:rsidRPr="00D9348B" w:rsidRDefault="00524720">
            <w:pPr>
              <w:pStyle w:val="TableText"/>
              <w:spacing w:before="50" w:after="50"/>
              <w:jc w:val="center"/>
              <w:rPr>
                <w:rFonts w:cs="Calibri"/>
                <w:szCs w:val="16"/>
              </w:rPr>
            </w:pPr>
            <w:r w:rsidRPr="00D9348B">
              <w:rPr>
                <w:rFonts w:cs="Calibri"/>
                <w:szCs w:val="16"/>
              </w:rPr>
              <w:t>44</w:t>
            </w:r>
          </w:p>
        </w:tc>
        <w:tc>
          <w:tcPr>
            <w:tcW w:w="1787" w:type="dxa"/>
            <w:tcBorders>
              <w:top w:val="single" w:sz="4" w:space="0" w:color="365F91"/>
              <w:left w:val="nil"/>
              <w:bottom w:val="single" w:sz="4" w:space="0" w:color="365F91"/>
              <w:right w:val="nil"/>
            </w:tcBorders>
            <w:hideMark/>
          </w:tcPr>
          <w:p w14:paraId="33679B3D" w14:textId="77777777" w:rsidR="00524720" w:rsidRPr="00D9348B" w:rsidRDefault="00524720">
            <w:pPr>
              <w:pStyle w:val="TableText"/>
              <w:spacing w:before="50" w:after="50"/>
              <w:rPr>
                <w:rFonts w:cs="Calibri"/>
                <w:szCs w:val="16"/>
              </w:rPr>
            </w:pPr>
            <w:r w:rsidRPr="00D9348B">
              <w:rPr>
                <w:rFonts w:cs="Calibri"/>
                <w:szCs w:val="16"/>
              </w:rPr>
              <w:t>Assumed same as 2012</w:t>
            </w:r>
          </w:p>
        </w:tc>
      </w:tr>
    </w:tbl>
    <w:p w14:paraId="334998E6" w14:textId="78E49395" w:rsidR="00524720" w:rsidRPr="00D9348B" w:rsidRDefault="00524720" w:rsidP="00524720">
      <w:pPr>
        <w:pStyle w:val="BodyText"/>
        <w:spacing w:before="240"/>
        <w:rPr>
          <w:spacing w:val="-2"/>
        </w:rPr>
      </w:pPr>
      <w:r w:rsidRPr="00D9348B">
        <w:rPr>
          <w:spacing w:val="-2"/>
        </w:rPr>
        <w:t>The resulting estimates of DOC content in the waste, with the IPCC default DOC fraction for each component, track these changes in composition. The overall average DOC fraction (including individual sites with different composition) has changed through the time series, increasing from</w:t>
      </w:r>
      <w:r w:rsidR="0094143E" w:rsidRPr="00D9348B">
        <w:rPr>
          <w:spacing w:val="-2"/>
        </w:rPr>
        <w:t> </w:t>
      </w:r>
      <w:r w:rsidRPr="00D9348B">
        <w:rPr>
          <w:spacing w:val="-2"/>
        </w:rPr>
        <w:t>0.145 in the 1950s to peak at 0.175 in 2004, and then back down to 0.156 in 2012.</w:t>
      </w:r>
    </w:p>
    <w:p w14:paraId="297B81E7" w14:textId="77777777" w:rsidR="00524720" w:rsidRPr="00D9348B" w:rsidRDefault="00524720" w:rsidP="00524720">
      <w:pPr>
        <w:pStyle w:val="Heading6"/>
      </w:pPr>
      <w:r w:rsidRPr="00D9348B">
        <w:t>Methane correction factor and oxidation factor</w:t>
      </w:r>
    </w:p>
    <w:p w14:paraId="0233464D" w14:textId="77777777" w:rsidR="00524720" w:rsidRPr="00D9348B" w:rsidRDefault="00524720" w:rsidP="00524720">
      <w:pPr>
        <w:pStyle w:val="BodyText"/>
      </w:pPr>
      <w:r w:rsidRPr="00D9348B">
        <w:t>The CH</w:t>
      </w:r>
      <w:r w:rsidRPr="00D9348B">
        <w:rPr>
          <w:vertAlign w:val="subscript"/>
        </w:rPr>
        <w:t>4</w:t>
      </w:r>
      <w:r w:rsidRPr="00D9348B">
        <w:t xml:space="preserve"> correction factor used is 1.0 for all managed landfill sites, both landfills with LFG recovery and those without. An oxidation factor of 10 per cent is used for waste disposed to these sites.</w:t>
      </w:r>
    </w:p>
    <w:p w14:paraId="041CA11D" w14:textId="5F22F9D2" w:rsidR="00524720" w:rsidRPr="00D9348B" w:rsidRDefault="00524720" w:rsidP="00524720">
      <w:pPr>
        <w:pStyle w:val="BodyText"/>
      </w:pPr>
      <w:r w:rsidRPr="00D9348B">
        <w:lastRenderedPageBreak/>
        <w:t>For all sites other than managed landfills, there was an unknown mix of shallow and deep disposal areas. A survey carried out in 1971 revealed that larger sites in operation were assessed at that time to be roughly half deep (more than 5 metres) and half shallow. The use</w:t>
      </w:r>
      <w:r w:rsidR="00A03931" w:rsidRPr="00D9348B">
        <w:t> </w:t>
      </w:r>
      <w:r w:rsidRPr="00D9348B">
        <w:t>of cover material was variable. Therefore, for uncategorised sites, a CH</w:t>
      </w:r>
      <w:r w:rsidRPr="00D9348B">
        <w:rPr>
          <w:vertAlign w:val="subscript"/>
        </w:rPr>
        <w:t>4</w:t>
      </w:r>
      <w:r w:rsidRPr="00D9348B">
        <w:t xml:space="preserve"> correction factor</w:t>
      </w:r>
      <w:r w:rsidR="00A03931" w:rsidRPr="00D9348B">
        <w:t> </w:t>
      </w:r>
      <w:r w:rsidRPr="00D9348B">
        <w:t>of 0.6 and an oxidation factor of zero have been used.</w:t>
      </w:r>
    </w:p>
    <w:p w14:paraId="595D7E4C" w14:textId="77777777" w:rsidR="00524720" w:rsidRPr="00D9348B" w:rsidRDefault="00524720" w:rsidP="00A03931">
      <w:pPr>
        <w:pStyle w:val="Heading6"/>
        <w:spacing w:before="160"/>
      </w:pPr>
      <w:r w:rsidRPr="00D9348B">
        <w:t>Methane generation rates</w:t>
      </w:r>
    </w:p>
    <w:p w14:paraId="72C3133F" w14:textId="77777777" w:rsidR="00524720" w:rsidRPr="00D9348B" w:rsidRDefault="00524720" w:rsidP="00A03931">
      <w:pPr>
        <w:pStyle w:val="BodyText"/>
        <w:spacing w:before="100" w:after="100"/>
      </w:pPr>
      <w:r w:rsidRPr="00D9348B">
        <w:t xml:space="preserve">In the study (SKM, </w:t>
      </w:r>
      <w:proofErr w:type="gramStart"/>
      <w:r w:rsidRPr="00D9348B">
        <w:t>unpublished(</w:t>
      </w:r>
      <w:proofErr w:type="gramEnd"/>
      <w:r w:rsidRPr="00D9348B">
        <w:t>b)) that informs the CH</w:t>
      </w:r>
      <w:r w:rsidRPr="00D9348B">
        <w:rPr>
          <w:vertAlign w:val="subscript"/>
        </w:rPr>
        <w:t>4</w:t>
      </w:r>
      <w:r w:rsidRPr="00D9348B">
        <w:t xml:space="preserve"> generation parameters for landfills with LFG recovery, the amount of CH</w:t>
      </w:r>
      <w:r w:rsidRPr="00D9348B">
        <w:rPr>
          <w:vertAlign w:val="subscript"/>
        </w:rPr>
        <w:t>4</w:t>
      </w:r>
      <w:r w:rsidRPr="00D9348B">
        <w:t xml:space="preserve"> generated by the identified landfills between 1990 and 2012 was estimated by using the United States Environmental Protection Agency Landfill Gas Emissions Model (LandGem) version 3.02. The k-values for waste were estimated based on those used for municipal solid waste in the United States inventory as at 2007, which were considered more appropriate than IPCC defaults because the waste composition is more closely comparable with that of the United States. Figure 7.2.1 shows the similarity in composition of municipal solid waste to landfills between the United States and New Zealand (United States Environmental Protection Agency, 2014).</w:t>
      </w:r>
    </w:p>
    <w:p w14:paraId="40C64D26" w14:textId="77777777" w:rsidR="00524720" w:rsidRPr="00D9348B" w:rsidRDefault="00524720" w:rsidP="00524720">
      <w:pPr>
        <w:pStyle w:val="BodyText"/>
      </w:pPr>
      <w:r w:rsidRPr="00D9348B">
        <w:t>The LandGem and IPCC models produce the same results because they are first order decay models. The principal difference between these models is that LandGem assumes constant values for L</w:t>
      </w:r>
      <w:r w:rsidRPr="00D9348B">
        <w:rPr>
          <w:vertAlign w:val="subscript"/>
        </w:rPr>
        <w:t>o</w:t>
      </w:r>
      <w:r w:rsidRPr="00D9348B">
        <w:t xml:space="preserve"> and K, while these can be different each year in the IPCC model. However, this is not a significant problem for New Zealand because there is not enough information to be able to differentiate the L</w:t>
      </w:r>
      <w:r w:rsidRPr="00D9348B">
        <w:rPr>
          <w:vertAlign w:val="subscript"/>
        </w:rPr>
        <w:t>o</w:t>
      </w:r>
      <w:r w:rsidRPr="00D9348B">
        <w:t xml:space="preserve"> and k values on an annual basis (SKM, </w:t>
      </w:r>
      <w:proofErr w:type="gramStart"/>
      <w:r w:rsidRPr="00D9348B">
        <w:t>unpublished(</w:t>
      </w:r>
      <w:proofErr w:type="gramEnd"/>
      <w:r w:rsidRPr="00D9348B">
        <w:t>b)).</w:t>
      </w:r>
    </w:p>
    <w:p w14:paraId="128A8EFD" w14:textId="68072CDE" w:rsidR="00524720" w:rsidRPr="00D9348B" w:rsidRDefault="00524720" w:rsidP="00524720">
      <w:pPr>
        <w:pStyle w:val="Figure"/>
        <w:spacing w:after="0"/>
        <w:rPr>
          <w:b w:val="0"/>
        </w:rPr>
      </w:pPr>
      <w:bookmarkStart w:id="2694" w:name="_Toc32828378"/>
      <w:bookmarkStart w:id="2695" w:name="_Toc5269719"/>
      <w:bookmarkStart w:id="2696" w:name="_Toc511116990"/>
      <w:bookmarkStart w:id="2697" w:name="_Toc36292822"/>
      <w:r w:rsidRPr="00D9348B">
        <w:t>Figure 7.2.1</w:t>
      </w:r>
      <w:r w:rsidRPr="00D9348B">
        <w:tab/>
      </w:r>
      <w:proofErr w:type="gramStart"/>
      <w:r w:rsidRPr="00D9348B">
        <w:t>The</w:t>
      </w:r>
      <w:proofErr w:type="gramEnd"/>
      <w:r w:rsidRPr="00D9348B">
        <w:t xml:space="preserve"> composition of municipal solid waste landfilled in New Zealand and the</w:t>
      </w:r>
      <w:r w:rsidRPr="00D9348B">
        <w:br/>
        <w:t>United</w:t>
      </w:r>
      <w:r w:rsidR="00E54B98" w:rsidRPr="00D9348B">
        <w:t> </w:t>
      </w:r>
      <w:r w:rsidRPr="00D9348B">
        <w:t>States</w:t>
      </w:r>
      <w:bookmarkEnd w:id="2694"/>
      <w:bookmarkEnd w:id="2695"/>
      <w:bookmarkEnd w:id="2696"/>
      <w:bookmarkEnd w:id="2697"/>
    </w:p>
    <w:p w14:paraId="689C2DC4" w14:textId="77777777" w:rsidR="00524720" w:rsidRPr="00D9348B" w:rsidRDefault="007165CF" w:rsidP="00524720">
      <w:pPr>
        <w:pStyle w:val="Noteundertable"/>
        <w:rPr>
          <w:b/>
        </w:rPr>
      </w:pPr>
      <w:r>
        <w:rPr>
          <w:spacing w:val="-2"/>
        </w:rPr>
        <w:pict w14:anchorId="575FE5CC">
          <v:shape id="_x0000_i1152" type="#_x0000_t75" style="width:413.2pt;height:227.25pt;visibility:visible;mso-wrap-style:square">
            <v:imagedata r:id="rId242" o:title="" croptop="3344f" cropbottom="3776f"/>
          </v:shape>
        </w:pict>
      </w:r>
    </w:p>
    <w:p w14:paraId="4A949856" w14:textId="77777777" w:rsidR="00524720" w:rsidRPr="00D9348B" w:rsidRDefault="00524720" w:rsidP="00524720">
      <w:pPr>
        <w:pStyle w:val="Noteundertable"/>
      </w:pPr>
      <w:r w:rsidRPr="00D9348B">
        <w:rPr>
          <w:b/>
        </w:rPr>
        <w:t>Note:</w:t>
      </w:r>
      <w:r w:rsidRPr="00D9348B">
        <w:t xml:space="preserve"> </w:t>
      </w:r>
      <w:r w:rsidRPr="00D9348B">
        <w:tab/>
        <w:t>Nappies were not specified for the US survey, so for New Zealand, nappies (3.0 per cent) have been included with textiles (5.6 per cent) because they use the same DOC value.</w:t>
      </w:r>
    </w:p>
    <w:p w14:paraId="41A4F6CE" w14:textId="77777777" w:rsidR="00524720" w:rsidRPr="00D9348B" w:rsidRDefault="00524720" w:rsidP="00524720">
      <w:pPr>
        <w:pStyle w:val="BodyText"/>
      </w:pPr>
      <w:r w:rsidRPr="00D9348B">
        <w:t xml:space="preserve">In addition, the k-values for some managed landfills with LFG recovery were increased by 5 per cent to 25 per cent to account for the conditions of sites that do not collect leachate, sites that recirculate leachate and sites that were assessed to be using poor-quality capping materials or practices (SKM, </w:t>
      </w:r>
      <w:proofErr w:type="gramStart"/>
      <w:r w:rsidRPr="00D9348B">
        <w:t>unpublished(</w:t>
      </w:r>
      <w:proofErr w:type="gramEnd"/>
      <w:r w:rsidRPr="00D9348B">
        <w:t>b)). The k-values for managed landfills with LFG recovery are shown in table 7.2.6, along with data on the proportion of placement managed by each group of landfills with common k-values.</w:t>
      </w:r>
    </w:p>
    <w:p w14:paraId="709D1553" w14:textId="3E320E1B" w:rsidR="00524720" w:rsidRPr="00D9348B" w:rsidRDefault="00524720" w:rsidP="00524720">
      <w:pPr>
        <w:pStyle w:val="Table"/>
      </w:pPr>
      <w:bookmarkStart w:id="2698" w:name="_Toc481751602"/>
      <w:bookmarkStart w:id="2699" w:name="_Toc451176172"/>
      <w:bookmarkStart w:id="2700" w:name="_Toc444001620"/>
      <w:bookmarkStart w:id="2701" w:name="_Toc5269565"/>
      <w:bookmarkStart w:id="2702" w:name="_Toc511116824"/>
      <w:bookmarkStart w:id="2703" w:name="_Toc508019326"/>
      <w:bookmarkStart w:id="2704" w:name="_Toc32828523"/>
      <w:bookmarkStart w:id="2705" w:name="_Toc32591353"/>
      <w:bookmarkStart w:id="2706" w:name="_Toc36224646"/>
      <w:r w:rsidRPr="00D9348B">
        <w:lastRenderedPageBreak/>
        <w:t>Table 7.2.6</w:t>
      </w:r>
      <w:r w:rsidRPr="00D9348B">
        <w:tab/>
        <w:t>Methane generation rates used for landfills with landfill gas recovery</w:t>
      </w:r>
      <w:bookmarkEnd w:id="2698"/>
      <w:bookmarkEnd w:id="2699"/>
      <w:bookmarkEnd w:id="2700"/>
      <w:r w:rsidRPr="00D9348B">
        <w:t>, 1990 and</w:t>
      </w:r>
      <w:bookmarkEnd w:id="2701"/>
      <w:bookmarkEnd w:id="2702"/>
      <w:bookmarkEnd w:id="2703"/>
      <w:r w:rsidR="002F6E5E" w:rsidRPr="00D9348B">
        <w:t> </w:t>
      </w:r>
      <w:r w:rsidRPr="00D9348B">
        <w:t>2018</w:t>
      </w:r>
      <w:bookmarkEnd w:id="2704"/>
      <w:bookmarkEnd w:id="2705"/>
      <w:bookmarkEnd w:id="2706"/>
    </w:p>
    <w:tbl>
      <w:tblPr>
        <w:tblW w:w="8505" w:type="dxa"/>
        <w:tblInd w:w="108" w:type="dxa"/>
        <w:tblBorders>
          <w:top w:val="single" w:sz="4" w:space="0" w:color="365F91"/>
          <w:bottom w:val="single" w:sz="4" w:space="0" w:color="365F91"/>
          <w:insideH w:val="single" w:sz="4" w:space="0" w:color="365F91"/>
        </w:tblBorders>
        <w:tblLayout w:type="fixed"/>
        <w:tblLook w:val="04A0" w:firstRow="1" w:lastRow="0" w:firstColumn="1" w:lastColumn="0" w:noHBand="0" w:noVBand="1"/>
      </w:tblPr>
      <w:tblGrid>
        <w:gridCol w:w="914"/>
        <w:gridCol w:w="1638"/>
        <w:gridCol w:w="3969"/>
        <w:gridCol w:w="992"/>
        <w:gridCol w:w="992"/>
      </w:tblGrid>
      <w:tr w:rsidR="00524720" w:rsidRPr="00D9348B" w14:paraId="3AD64AD9" w14:textId="77777777" w:rsidTr="00AB111E">
        <w:tc>
          <w:tcPr>
            <w:tcW w:w="914" w:type="dxa"/>
            <w:vMerge w:val="restart"/>
            <w:tcBorders>
              <w:top w:val="single" w:sz="4" w:space="0" w:color="365F91"/>
              <w:left w:val="nil"/>
              <w:bottom w:val="nil"/>
              <w:right w:val="nil"/>
            </w:tcBorders>
            <w:shd w:val="clear" w:color="auto" w:fill="365F91"/>
            <w:vAlign w:val="bottom"/>
            <w:hideMark/>
          </w:tcPr>
          <w:p w14:paraId="5547FED9" w14:textId="77777777" w:rsidR="00524720" w:rsidRPr="00D9348B" w:rsidRDefault="00524720">
            <w:pPr>
              <w:pStyle w:val="TableTextBold"/>
              <w:spacing w:before="40" w:after="40"/>
              <w:rPr>
                <w:noProof w:val="0"/>
                <w:color w:val="FFFFFF"/>
              </w:rPr>
            </w:pPr>
            <w:r w:rsidRPr="00D9348B">
              <w:rPr>
                <w:noProof w:val="0"/>
                <w:color w:val="FFFFFF"/>
              </w:rPr>
              <w:t>k-value</w:t>
            </w:r>
          </w:p>
        </w:tc>
        <w:tc>
          <w:tcPr>
            <w:tcW w:w="1638" w:type="dxa"/>
            <w:vMerge w:val="restart"/>
            <w:tcBorders>
              <w:top w:val="single" w:sz="4" w:space="0" w:color="365F91"/>
              <w:left w:val="nil"/>
              <w:bottom w:val="nil"/>
              <w:right w:val="nil"/>
            </w:tcBorders>
            <w:shd w:val="clear" w:color="auto" w:fill="365F91"/>
            <w:vAlign w:val="bottom"/>
            <w:hideMark/>
          </w:tcPr>
          <w:p w14:paraId="4608A1AD" w14:textId="77777777" w:rsidR="00524720" w:rsidRPr="00D9348B" w:rsidRDefault="00524720">
            <w:pPr>
              <w:pStyle w:val="TableTextBold"/>
              <w:spacing w:before="40" w:after="40"/>
              <w:jc w:val="center"/>
              <w:rPr>
                <w:noProof w:val="0"/>
                <w:color w:val="FFFFFF"/>
              </w:rPr>
            </w:pPr>
            <w:r w:rsidRPr="00D9348B">
              <w:rPr>
                <w:noProof w:val="0"/>
                <w:color w:val="FFFFFF"/>
              </w:rPr>
              <w:t>Number of sites applying this k</w:t>
            </w:r>
            <w:r w:rsidRPr="00D9348B">
              <w:rPr>
                <w:noProof w:val="0"/>
                <w:color w:val="FFFFFF"/>
              </w:rPr>
              <w:noBreakHyphen/>
              <w:t>value</w:t>
            </w:r>
          </w:p>
        </w:tc>
        <w:tc>
          <w:tcPr>
            <w:tcW w:w="3969" w:type="dxa"/>
            <w:vMerge w:val="restart"/>
            <w:tcBorders>
              <w:top w:val="single" w:sz="4" w:space="0" w:color="365F91"/>
              <w:left w:val="nil"/>
              <w:bottom w:val="nil"/>
              <w:right w:val="nil"/>
            </w:tcBorders>
            <w:shd w:val="clear" w:color="auto" w:fill="365F91"/>
            <w:vAlign w:val="bottom"/>
            <w:hideMark/>
          </w:tcPr>
          <w:p w14:paraId="542F3154" w14:textId="77777777" w:rsidR="00524720" w:rsidRPr="00D9348B" w:rsidRDefault="00524720">
            <w:pPr>
              <w:pStyle w:val="TableTextBold"/>
              <w:spacing w:before="40" w:after="40"/>
              <w:rPr>
                <w:noProof w:val="0"/>
                <w:color w:val="FFFFFF"/>
              </w:rPr>
            </w:pPr>
            <w:r w:rsidRPr="00D9348B">
              <w:rPr>
                <w:noProof w:val="0"/>
                <w:color w:val="FFFFFF"/>
              </w:rPr>
              <w:t>Comment</w:t>
            </w:r>
          </w:p>
        </w:tc>
        <w:tc>
          <w:tcPr>
            <w:tcW w:w="1984" w:type="dxa"/>
            <w:gridSpan w:val="2"/>
            <w:tcBorders>
              <w:top w:val="single" w:sz="4" w:space="0" w:color="365F91"/>
              <w:left w:val="nil"/>
              <w:bottom w:val="nil"/>
              <w:right w:val="nil"/>
            </w:tcBorders>
            <w:shd w:val="clear" w:color="auto" w:fill="365F91"/>
            <w:vAlign w:val="bottom"/>
            <w:hideMark/>
          </w:tcPr>
          <w:p w14:paraId="3184484C" w14:textId="77777777" w:rsidR="00524720" w:rsidRPr="00D9348B" w:rsidRDefault="00524720">
            <w:pPr>
              <w:pStyle w:val="TableTextBold"/>
              <w:spacing w:before="40" w:after="40"/>
              <w:jc w:val="center"/>
              <w:rPr>
                <w:noProof w:val="0"/>
                <w:color w:val="FFFFFF"/>
              </w:rPr>
            </w:pPr>
            <w:r w:rsidRPr="00D9348B">
              <w:rPr>
                <w:noProof w:val="0"/>
                <w:color w:val="FFFFFF"/>
              </w:rPr>
              <w:t>Percentage of waste disposed to site group</w:t>
            </w:r>
          </w:p>
        </w:tc>
      </w:tr>
      <w:tr w:rsidR="00524720" w:rsidRPr="00D9348B" w14:paraId="4828E9B8" w14:textId="77777777" w:rsidTr="00AB111E">
        <w:tc>
          <w:tcPr>
            <w:tcW w:w="914" w:type="dxa"/>
            <w:vMerge/>
            <w:tcBorders>
              <w:top w:val="nil"/>
              <w:left w:val="nil"/>
              <w:bottom w:val="single" w:sz="4" w:space="0" w:color="365F91"/>
              <w:right w:val="nil"/>
            </w:tcBorders>
            <w:vAlign w:val="center"/>
            <w:hideMark/>
          </w:tcPr>
          <w:p w14:paraId="4A024C5C" w14:textId="77777777" w:rsidR="00524720" w:rsidRPr="00D9348B" w:rsidRDefault="00524720">
            <w:pPr>
              <w:rPr>
                <w:b/>
                <w:color w:val="FFFFFF"/>
                <w:sz w:val="16"/>
              </w:rPr>
            </w:pPr>
          </w:p>
        </w:tc>
        <w:tc>
          <w:tcPr>
            <w:tcW w:w="1638" w:type="dxa"/>
            <w:vMerge/>
            <w:tcBorders>
              <w:top w:val="nil"/>
              <w:left w:val="nil"/>
              <w:bottom w:val="single" w:sz="4" w:space="0" w:color="365F91"/>
              <w:right w:val="nil"/>
            </w:tcBorders>
            <w:vAlign w:val="center"/>
            <w:hideMark/>
          </w:tcPr>
          <w:p w14:paraId="553843FB" w14:textId="77777777" w:rsidR="00524720" w:rsidRPr="00D9348B" w:rsidRDefault="00524720">
            <w:pPr>
              <w:rPr>
                <w:b/>
                <w:color w:val="FFFFFF"/>
                <w:sz w:val="16"/>
              </w:rPr>
            </w:pPr>
          </w:p>
        </w:tc>
        <w:tc>
          <w:tcPr>
            <w:tcW w:w="3969" w:type="dxa"/>
            <w:vMerge/>
            <w:tcBorders>
              <w:top w:val="nil"/>
              <w:left w:val="nil"/>
              <w:bottom w:val="single" w:sz="4" w:space="0" w:color="365F91"/>
              <w:right w:val="nil"/>
            </w:tcBorders>
            <w:vAlign w:val="center"/>
            <w:hideMark/>
          </w:tcPr>
          <w:p w14:paraId="6A94D6DD" w14:textId="77777777" w:rsidR="00524720" w:rsidRPr="00D9348B" w:rsidRDefault="00524720">
            <w:pPr>
              <w:rPr>
                <w:b/>
                <w:color w:val="FFFFFF"/>
                <w:sz w:val="16"/>
              </w:rPr>
            </w:pPr>
          </w:p>
        </w:tc>
        <w:tc>
          <w:tcPr>
            <w:tcW w:w="992" w:type="dxa"/>
            <w:tcBorders>
              <w:top w:val="nil"/>
              <w:left w:val="nil"/>
              <w:bottom w:val="single" w:sz="4" w:space="0" w:color="365F91"/>
              <w:right w:val="nil"/>
            </w:tcBorders>
            <w:shd w:val="clear" w:color="auto" w:fill="365F91"/>
            <w:vAlign w:val="bottom"/>
            <w:hideMark/>
          </w:tcPr>
          <w:p w14:paraId="6B03BE97" w14:textId="77777777" w:rsidR="00524720" w:rsidRPr="00D9348B" w:rsidRDefault="00524720">
            <w:pPr>
              <w:pStyle w:val="TableTextBold"/>
              <w:spacing w:before="0" w:after="40"/>
              <w:jc w:val="center"/>
              <w:rPr>
                <w:noProof w:val="0"/>
                <w:color w:val="FFFFFF"/>
              </w:rPr>
            </w:pPr>
            <w:r w:rsidRPr="00D9348B">
              <w:rPr>
                <w:noProof w:val="0"/>
                <w:color w:val="FFFFFF"/>
              </w:rPr>
              <w:t>1990</w:t>
            </w:r>
          </w:p>
        </w:tc>
        <w:tc>
          <w:tcPr>
            <w:tcW w:w="992" w:type="dxa"/>
            <w:tcBorders>
              <w:top w:val="nil"/>
              <w:left w:val="nil"/>
              <w:bottom w:val="single" w:sz="4" w:space="0" w:color="365F91"/>
              <w:right w:val="nil"/>
            </w:tcBorders>
            <w:shd w:val="clear" w:color="auto" w:fill="365F91"/>
            <w:vAlign w:val="bottom"/>
            <w:hideMark/>
          </w:tcPr>
          <w:p w14:paraId="09B38CB0" w14:textId="77777777" w:rsidR="00524720" w:rsidRPr="00D9348B" w:rsidRDefault="00524720">
            <w:pPr>
              <w:pStyle w:val="TableTextBold"/>
              <w:spacing w:before="0" w:after="40"/>
              <w:jc w:val="center"/>
              <w:rPr>
                <w:noProof w:val="0"/>
                <w:color w:val="FFFFFF"/>
              </w:rPr>
            </w:pPr>
            <w:r w:rsidRPr="00D9348B">
              <w:rPr>
                <w:noProof w:val="0"/>
                <w:color w:val="FFFFFF"/>
              </w:rPr>
              <w:t>2018</w:t>
            </w:r>
          </w:p>
        </w:tc>
      </w:tr>
      <w:tr w:rsidR="00524720" w:rsidRPr="00D9348B" w14:paraId="4A417DDC" w14:textId="77777777" w:rsidTr="00EF6E50">
        <w:tc>
          <w:tcPr>
            <w:tcW w:w="914" w:type="dxa"/>
            <w:tcBorders>
              <w:top w:val="single" w:sz="4" w:space="0" w:color="365F91"/>
              <w:left w:val="nil"/>
              <w:bottom w:val="single" w:sz="4" w:space="0" w:color="365F91"/>
              <w:right w:val="nil"/>
            </w:tcBorders>
            <w:hideMark/>
          </w:tcPr>
          <w:p w14:paraId="649B1102" w14:textId="77777777" w:rsidR="00524720" w:rsidRPr="00D9348B" w:rsidRDefault="00524720">
            <w:pPr>
              <w:pStyle w:val="TableText"/>
              <w:spacing w:before="40" w:after="40"/>
            </w:pPr>
            <w:r w:rsidRPr="00D9348B">
              <w:t>0.038</w:t>
            </w:r>
          </w:p>
        </w:tc>
        <w:tc>
          <w:tcPr>
            <w:tcW w:w="1638" w:type="dxa"/>
            <w:tcBorders>
              <w:top w:val="single" w:sz="4" w:space="0" w:color="365F91"/>
              <w:left w:val="nil"/>
              <w:bottom w:val="single" w:sz="4" w:space="0" w:color="365F91"/>
              <w:right w:val="nil"/>
            </w:tcBorders>
            <w:hideMark/>
          </w:tcPr>
          <w:p w14:paraId="2BE85969" w14:textId="77777777" w:rsidR="00524720" w:rsidRPr="00D9348B" w:rsidRDefault="00524720">
            <w:pPr>
              <w:pStyle w:val="TableText"/>
              <w:spacing w:before="40" w:after="40"/>
              <w:jc w:val="center"/>
            </w:pPr>
            <w:r w:rsidRPr="00D9348B">
              <w:t>8</w:t>
            </w:r>
          </w:p>
        </w:tc>
        <w:tc>
          <w:tcPr>
            <w:tcW w:w="3969" w:type="dxa"/>
            <w:tcBorders>
              <w:top w:val="single" w:sz="4" w:space="0" w:color="365F91"/>
              <w:left w:val="nil"/>
              <w:bottom w:val="single" w:sz="4" w:space="0" w:color="365F91"/>
              <w:right w:val="nil"/>
            </w:tcBorders>
            <w:hideMark/>
          </w:tcPr>
          <w:p w14:paraId="0BBAE944" w14:textId="77777777" w:rsidR="00524720" w:rsidRPr="00D9348B" w:rsidRDefault="00524720">
            <w:pPr>
              <w:pStyle w:val="TableText"/>
              <w:spacing w:before="40" w:after="40"/>
            </w:pPr>
            <w:r w:rsidRPr="00D9348B">
              <w:t>US default for sites with 500–1,000mm of annual rainfall</w:t>
            </w:r>
          </w:p>
        </w:tc>
        <w:tc>
          <w:tcPr>
            <w:tcW w:w="992" w:type="dxa"/>
            <w:tcBorders>
              <w:top w:val="single" w:sz="4" w:space="0" w:color="365F91"/>
              <w:left w:val="nil"/>
              <w:bottom w:val="single" w:sz="4" w:space="0" w:color="365F91"/>
              <w:right w:val="nil"/>
            </w:tcBorders>
            <w:hideMark/>
          </w:tcPr>
          <w:p w14:paraId="1C937A32" w14:textId="77777777" w:rsidR="00524720" w:rsidRPr="00D9348B" w:rsidRDefault="00524720">
            <w:pPr>
              <w:pStyle w:val="TableText"/>
              <w:spacing w:before="40" w:after="40"/>
              <w:jc w:val="center"/>
            </w:pPr>
            <w:r w:rsidRPr="00D9348B">
              <w:t>30.5</w:t>
            </w:r>
          </w:p>
        </w:tc>
        <w:tc>
          <w:tcPr>
            <w:tcW w:w="992" w:type="dxa"/>
            <w:tcBorders>
              <w:top w:val="single" w:sz="4" w:space="0" w:color="365F91"/>
              <w:left w:val="nil"/>
              <w:bottom w:val="single" w:sz="4" w:space="0" w:color="365F91"/>
              <w:right w:val="nil"/>
            </w:tcBorders>
            <w:hideMark/>
          </w:tcPr>
          <w:p w14:paraId="60C3953F" w14:textId="77777777" w:rsidR="00524720" w:rsidRPr="00D9348B" w:rsidRDefault="00524720">
            <w:pPr>
              <w:pStyle w:val="TableText"/>
              <w:spacing w:before="40" w:after="40"/>
              <w:jc w:val="center"/>
            </w:pPr>
            <w:r w:rsidRPr="00D9348B">
              <w:t>20.8</w:t>
            </w:r>
          </w:p>
        </w:tc>
      </w:tr>
      <w:tr w:rsidR="00524720" w:rsidRPr="00D9348B" w14:paraId="1CFD52CA" w14:textId="77777777" w:rsidTr="00EF6E50">
        <w:tc>
          <w:tcPr>
            <w:tcW w:w="914" w:type="dxa"/>
            <w:tcBorders>
              <w:top w:val="single" w:sz="4" w:space="0" w:color="365F91"/>
              <w:left w:val="nil"/>
              <w:bottom w:val="single" w:sz="4" w:space="0" w:color="365F91"/>
              <w:right w:val="nil"/>
            </w:tcBorders>
            <w:hideMark/>
          </w:tcPr>
          <w:p w14:paraId="4D8630F2" w14:textId="77777777" w:rsidR="00524720" w:rsidRPr="00D9348B" w:rsidRDefault="00524720">
            <w:pPr>
              <w:pStyle w:val="TableText"/>
              <w:spacing w:before="40" w:after="40"/>
            </w:pPr>
            <w:r w:rsidRPr="00D9348B">
              <w:t>0.0418</w:t>
            </w:r>
          </w:p>
        </w:tc>
        <w:tc>
          <w:tcPr>
            <w:tcW w:w="1638" w:type="dxa"/>
            <w:tcBorders>
              <w:top w:val="single" w:sz="4" w:space="0" w:color="365F91"/>
              <w:left w:val="nil"/>
              <w:bottom w:val="single" w:sz="4" w:space="0" w:color="365F91"/>
              <w:right w:val="nil"/>
            </w:tcBorders>
            <w:hideMark/>
          </w:tcPr>
          <w:p w14:paraId="30108D74" w14:textId="77777777" w:rsidR="00524720" w:rsidRPr="00D9348B" w:rsidRDefault="00524720">
            <w:pPr>
              <w:pStyle w:val="TableText"/>
              <w:spacing w:before="40" w:after="40"/>
              <w:jc w:val="center"/>
            </w:pPr>
            <w:r w:rsidRPr="00D9348B">
              <w:t>1</w:t>
            </w:r>
          </w:p>
        </w:tc>
        <w:tc>
          <w:tcPr>
            <w:tcW w:w="3969" w:type="dxa"/>
            <w:tcBorders>
              <w:top w:val="single" w:sz="4" w:space="0" w:color="365F91"/>
              <w:left w:val="nil"/>
              <w:bottom w:val="single" w:sz="4" w:space="0" w:color="365F91"/>
              <w:right w:val="nil"/>
            </w:tcBorders>
            <w:hideMark/>
          </w:tcPr>
          <w:p w14:paraId="060F774E" w14:textId="77777777" w:rsidR="00524720" w:rsidRPr="00D9348B" w:rsidRDefault="00524720">
            <w:pPr>
              <w:pStyle w:val="TableText"/>
              <w:spacing w:before="40" w:after="40"/>
            </w:pPr>
            <w:r w:rsidRPr="00D9348B">
              <w:t>k-value modified for site-specific conditions</w:t>
            </w:r>
          </w:p>
        </w:tc>
        <w:tc>
          <w:tcPr>
            <w:tcW w:w="992" w:type="dxa"/>
            <w:tcBorders>
              <w:top w:val="single" w:sz="4" w:space="0" w:color="365F91"/>
              <w:left w:val="nil"/>
              <w:bottom w:val="single" w:sz="4" w:space="0" w:color="365F91"/>
              <w:right w:val="nil"/>
            </w:tcBorders>
            <w:hideMark/>
          </w:tcPr>
          <w:p w14:paraId="1A60AED9" w14:textId="77777777" w:rsidR="00524720" w:rsidRPr="00D9348B" w:rsidRDefault="00524720">
            <w:pPr>
              <w:pStyle w:val="TableText"/>
              <w:spacing w:before="40" w:after="40"/>
              <w:jc w:val="center"/>
            </w:pPr>
            <w:r w:rsidRPr="00D9348B">
              <w:t>–</w:t>
            </w:r>
          </w:p>
        </w:tc>
        <w:tc>
          <w:tcPr>
            <w:tcW w:w="992" w:type="dxa"/>
            <w:tcBorders>
              <w:top w:val="single" w:sz="4" w:space="0" w:color="365F91"/>
              <w:left w:val="nil"/>
              <w:bottom w:val="single" w:sz="4" w:space="0" w:color="365F91"/>
              <w:right w:val="nil"/>
            </w:tcBorders>
            <w:hideMark/>
          </w:tcPr>
          <w:p w14:paraId="0A208790" w14:textId="77777777" w:rsidR="00524720" w:rsidRPr="00D9348B" w:rsidRDefault="00524720">
            <w:pPr>
              <w:pStyle w:val="TableText"/>
              <w:spacing w:before="40" w:after="40"/>
              <w:jc w:val="center"/>
            </w:pPr>
            <w:r w:rsidRPr="00D9348B">
              <w:t>0.8</w:t>
            </w:r>
          </w:p>
        </w:tc>
      </w:tr>
      <w:tr w:rsidR="00524720" w:rsidRPr="00D9348B" w14:paraId="4EC63DF9" w14:textId="77777777" w:rsidTr="00EF6E50">
        <w:tc>
          <w:tcPr>
            <w:tcW w:w="914" w:type="dxa"/>
            <w:tcBorders>
              <w:top w:val="single" w:sz="4" w:space="0" w:color="365F91"/>
              <w:left w:val="nil"/>
              <w:bottom w:val="single" w:sz="4" w:space="0" w:color="365F91"/>
              <w:right w:val="nil"/>
            </w:tcBorders>
            <w:hideMark/>
          </w:tcPr>
          <w:p w14:paraId="3D5DE10E" w14:textId="77777777" w:rsidR="00524720" w:rsidRPr="00D9348B" w:rsidRDefault="00524720">
            <w:pPr>
              <w:pStyle w:val="TableText"/>
              <w:spacing w:before="40" w:after="40"/>
            </w:pPr>
            <w:r w:rsidRPr="00D9348B">
              <w:t>0.0475</w:t>
            </w:r>
          </w:p>
        </w:tc>
        <w:tc>
          <w:tcPr>
            <w:tcW w:w="1638" w:type="dxa"/>
            <w:tcBorders>
              <w:top w:val="single" w:sz="4" w:space="0" w:color="365F91"/>
              <w:left w:val="nil"/>
              <w:bottom w:val="single" w:sz="4" w:space="0" w:color="365F91"/>
              <w:right w:val="nil"/>
            </w:tcBorders>
            <w:hideMark/>
          </w:tcPr>
          <w:p w14:paraId="558FAF79" w14:textId="77777777" w:rsidR="00524720" w:rsidRPr="00D9348B" w:rsidRDefault="00524720">
            <w:pPr>
              <w:pStyle w:val="TableText"/>
              <w:spacing w:before="40" w:after="40"/>
              <w:jc w:val="center"/>
            </w:pPr>
            <w:r w:rsidRPr="00D9348B">
              <w:t>1</w:t>
            </w:r>
          </w:p>
        </w:tc>
        <w:tc>
          <w:tcPr>
            <w:tcW w:w="3969" w:type="dxa"/>
            <w:tcBorders>
              <w:top w:val="single" w:sz="4" w:space="0" w:color="365F91"/>
              <w:left w:val="nil"/>
              <w:bottom w:val="single" w:sz="4" w:space="0" w:color="365F91"/>
              <w:right w:val="nil"/>
            </w:tcBorders>
            <w:hideMark/>
          </w:tcPr>
          <w:p w14:paraId="044BA98D" w14:textId="77777777" w:rsidR="00524720" w:rsidRPr="00D9348B" w:rsidRDefault="00524720">
            <w:pPr>
              <w:pStyle w:val="TableText"/>
              <w:spacing w:before="40" w:after="40"/>
            </w:pPr>
            <w:r w:rsidRPr="00D9348B">
              <w:t>k-value modified for site-specific conditions</w:t>
            </w:r>
          </w:p>
        </w:tc>
        <w:tc>
          <w:tcPr>
            <w:tcW w:w="992" w:type="dxa"/>
            <w:tcBorders>
              <w:top w:val="single" w:sz="4" w:space="0" w:color="365F91"/>
              <w:left w:val="nil"/>
              <w:bottom w:val="single" w:sz="4" w:space="0" w:color="365F91"/>
              <w:right w:val="nil"/>
            </w:tcBorders>
            <w:hideMark/>
          </w:tcPr>
          <w:p w14:paraId="65B42B9C" w14:textId="77777777" w:rsidR="00524720" w:rsidRPr="00D9348B" w:rsidRDefault="00524720">
            <w:pPr>
              <w:pStyle w:val="TableText"/>
              <w:spacing w:before="40" w:after="40"/>
              <w:jc w:val="center"/>
            </w:pPr>
            <w:r w:rsidRPr="00D9348B">
              <w:t>6.3</w:t>
            </w:r>
          </w:p>
        </w:tc>
        <w:tc>
          <w:tcPr>
            <w:tcW w:w="992" w:type="dxa"/>
            <w:tcBorders>
              <w:top w:val="single" w:sz="4" w:space="0" w:color="365F91"/>
              <w:left w:val="nil"/>
              <w:bottom w:val="single" w:sz="4" w:space="0" w:color="365F91"/>
              <w:right w:val="nil"/>
            </w:tcBorders>
            <w:hideMark/>
          </w:tcPr>
          <w:p w14:paraId="4BF9F203" w14:textId="77777777" w:rsidR="00524720" w:rsidRPr="00D9348B" w:rsidRDefault="00524720">
            <w:pPr>
              <w:pStyle w:val="TableText"/>
              <w:spacing w:before="40" w:after="40"/>
              <w:jc w:val="center"/>
            </w:pPr>
            <w:r w:rsidRPr="00D9348B">
              <w:t>2.5</w:t>
            </w:r>
          </w:p>
        </w:tc>
      </w:tr>
      <w:tr w:rsidR="00524720" w:rsidRPr="00D9348B" w14:paraId="4D145402" w14:textId="77777777" w:rsidTr="00EF6E50">
        <w:tc>
          <w:tcPr>
            <w:tcW w:w="914" w:type="dxa"/>
            <w:tcBorders>
              <w:top w:val="single" w:sz="4" w:space="0" w:color="365F91"/>
              <w:left w:val="nil"/>
              <w:bottom w:val="single" w:sz="4" w:space="0" w:color="365F91"/>
              <w:right w:val="nil"/>
            </w:tcBorders>
            <w:hideMark/>
          </w:tcPr>
          <w:p w14:paraId="26444DFA" w14:textId="77777777" w:rsidR="00524720" w:rsidRPr="00D9348B" w:rsidRDefault="00524720">
            <w:pPr>
              <w:pStyle w:val="TableText"/>
              <w:spacing w:before="40" w:after="40"/>
            </w:pPr>
            <w:r w:rsidRPr="00D9348B">
              <w:t>0.057</w:t>
            </w:r>
          </w:p>
        </w:tc>
        <w:tc>
          <w:tcPr>
            <w:tcW w:w="1638" w:type="dxa"/>
            <w:tcBorders>
              <w:top w:val="single" w:sz="4" w:space="0" w:color="365F91"/>
              <w:left w:val="nil"/>
              <w:bottom w:val="single" w:sz="4" w:space="0" w:color="365F91"/>
              <w:right w:val="nil"/>
            </w:tcBorders>
            <w:hideMark/>
          </w:tcPr>
          <w:p w14:paraId="25704577" w14:textId="77777777" w:rsidR="00524720" w:rsidRPr="00D9348B" w:rsidRDefault="00524720">
            <w:pPr>
              <w:pStyle w:val="TableText"/>
              <w:spacing w:before="40" w:after="40"/>
              <w:jc w:val="center"/>
            </w:pPr>
            <w:r w:rsidRPr="00D9348B">
              <w:t>13</w:t>
            </w:r>
          </w:p>
        </w:tc>
        <w:tc>
          <w:tcPr>
            <w:tcW w:w="3969" w:type="dxa"/>
            <w:tcBorders>
              <w:top w:val="single" w:sz="4" w:space="0" w:color="365F91"/>
              <w:left w:val="nil"/>
              <w:bottom w:val="single" w:sz="4" w:space="0" w:color="365F91"/>
              <w:right w:val="nil"/>
            </w:tcBorders>
            <w:hideMark/>
          </w:tcPr>
          <w:p w14:paraId="5F25B14F" w14:textId="77777777" w:rsidR="00524720" w:rsidRPr="00D9348B" w:rsidRDefault="00524720">
            <w:pPr>
              <w:pStyle w:val="TableText"/>
              <w:spacing w:before="40" w:after="40"/>
            </w:pPr>
            <w:r w:rsidRPr="00D9348B">
              <w:t>US default for sites with more than 1,000mm of annual rainfall</w:t>
            </w:r>
          </w:p>
        </w:tc>
        <w:tc>
          <w:tcPr>
            <w:tcW w:w="992" w:type="dxa"/>
            <w:tcBorders>
              <w:top w:val="single" w:sz="4" w:space="0" w:color="365F91"/>
              <w:left w:val="nil"/>
              <w:bottom w:val="single" w:sz="4" w:space="0" w:color="365F91"/>
              <w:right w:val="nil"/>
            </w:tcBorders>
            <w:hideMark/>
          </w:tcPr>
          <w:p w14:paraId="440FFDB0" w14:textId="77777777" w:rsidR="00524720" w:rsidRPr="00D9348B" w:rsidRDefault="00524720">
            <w:pPr>
              <w:pStyle w:val="TableText"/>
              <w:spacing w:before="40" w:after="40"/>
              <w:jc w:val="center"/>
            </w:pPr>
            <w:r w:rsidRPr="00D9348B">
              <w:t>57.1</w:t>
            </w:r>
          </w:p>
        </w:tc>
        <w:tc>
          <w:tcPr>
            <w:tcW w:w="992" w:type="dxa"/>
            <w:tcBorders>
              <w:top w:val="single" w:sz="4" w:space="0" w:color="365F91"/>
              <w:left w:val="nil"/>
              <w:bottom w:val="single" w:sz="4" w:space="0" w:color="365F91"/>
              <w:right w:val="nil"/>
            </w:tcBorders>
            <w:hideMark/>
          </w:tcPr>
          <w:p w14:paraId="3484288C" w14:textId="77777777" w:rsidR="00524720" w:rsidRPr="00D9348B" w:rsidRDefault="00524720">
            <w:pPr>
              <w:pStyle w:val="TableText"/>
              <w:spacing w:before="40" w:after="40"/>
              <w:jc w:val="center"/>
            </w:pPr>
            <w:r w:rsidRPr="00D9348B">
              <w:t>46.3</w:t>
            </w:r>
          </w:p>
        </w:tc>
      </w:tr>
      <w:tr w:rsidR="00524720" w:rsidRPr="00D9348B" w14:paraId="45B973F5" w14:textId="77777777" w:rsidTr="00EF6E50">
        <w:tc>
          <w:tcPr>
            <w:tcW w:w="914" w:type="dxa"/>
            <w:tcBorders>
              <w:top w:val="single" w:sz="4" w:space="0" w:color="365F91"/>
              <w:left w:val="nil"/>
              <w:bottom w:val="single" w:sz="4" w:space="0" w:color="365F91"/>
              <w:right w:val="nil"/>
            </w:tcBorders>
            <w:hideMark/>
          </w:tcPr>
          <w:p w14:paraId="1FE79FB4" w14:textId="77777777" w:rsidR="00524720" w:rsidRPr="00D9348B" w:rsidRDefault="00524720">
            <w:pPr>
              <w:pStyle w:val="TableText"/>
              <w:spacing w:before="40" w:after="40"/>
            </w:pPr>
            <w:r w:rsidRPr="00D9348B">
              <w:t>0.05985</w:t>
            </w:r>
          </w:p>
        </w:tc>
        <w:tc>
          <w:tcPr>
            <w:tcW w:w="1638" w:type="dxa"/>
            <w:tcBorders>
              <w:top w:val="single" w:sz="4" w:space="0" w:color="365F91"/>
              <w:left w:val="nil"/>
              <w:bottom w:val="single" w:sz="4" w:space="0" w:color="365F91"/>
              <w:right w:val="nil"/>
            </w:tcBorders>
            <w:hideMark/>
          </w:tcPr>
          <w:p w14:paraId="13E6811A" w14:textId="77777777" w:rsidR="00524720" w:rsidRPr="00D9348B" w:rsidRDefault="00524720">
            <w:pPr>
              <w:pStyle w:val="TableText"/>
              <w:spacing w:before="40" w:after="40"/>
              <w:jc w:val="center"/>
            </w:pPr>
            <w:r w:rsidRPr="00D9348B">
              <w:t>2</w:t>
            </w:r>
          </w:p>
        </w:tc>
        <w:tc>
          <w:tcPr>
            <w:tcW w:w="3969" w:type="dxa"/>
            <w:tcBorders>
              <w:top w:val="single" w:sz="4" w:space="0" w:color="365F91"/>
              <w:left w:val="nil"/>
              <w:bottom w:val="single" w:sz="4" w:space="0" w:color="365F91"/>
              <w:right w:val="nil"/>
            </w:tcBorders>
            <w:hideMark/>
          </w:tcPr>
          <w:p w14:paraId="0CF38B94" w14:textId="77777777" w:rsidR="00524720" w:rsidRPr="00D9348B" w:rsidRDefault="00524720">
            <w:pPr>
              <w:pStyle w:val="TableText"/>
              <w:spacing w:before="40" w:after="40"/>
            </w:pPr>
            <w:r w:rsidRPr="00D9348B">
              <w:t>k-value modified for site-specific conditions</w:t>
            </w:r>
          </w:p>
        </w:tc>
        <w:tc>
          <w:tcPr>
            <w:tcW w:w="992" w:type="dxa"/>
            <w:tcBorders>
              <w:top w:val="single" w:sz="4" w:space="0" w:color="365F91"/>
              <w:left w:val="nil"/>
              <w:bottom w:val="single" w:sz="4" w:space="0" w:color="365F91"/>
              <w:right w:val="nil"/>
            </w:tcBorders>
            <w:hideMark/>
          </w:tcPr>
          <w:p w14:paraId="763E6B07" w14:textId="77777777" w:rsidR="00524720" w:rsidRPr="00D9348B" w:rsidRDefault="00524720">
            <w:pPr>
              <w:pStyle w:val="TableText"/>
              <w:spacing w:before="40" w:after="40"/>
              <w:jc w:val="center"/>
            </w:pPr>
            <w:r w:rsidRPr="00D9348B">
              <w:t>6.2</w:t>
            </w:r>
          </w:p>
        </w:tc>
        <w:tc>
          <w:tcPr>
            <w:tcW w:w="992" w:type="dxa"/>
            <w:tcBorders>
              <w:top w:val="single" w:sz="4" w:space="0" w:color="365F91"/>
              <w:left w:val="nil"/>
              <w:bottom w:val="single" w:sz="4" w:space="0" w:color="365F91"/>
              <w:right w:val="nil"/>
            </w:tcBorders>
            <w:hideMark/>
          </w:tcPr>
          <w:p w14:paraId="539CE992" w14:textId="77777777" w:rsidR="00524720" w:rsidRPr="00D9348B" w:rsidRDefault="00524720">
            <w:pPr>
              <w:pStyle w:val="TableText"/>
              <w:spacing w:before="40" w:after="40"/>
              <w:jc w:val="center"/>
            </w:pPr>
            <w:r w:rsidRPr="00D9348B">
              <w:t>27.9</w:t>
            </w:r>
          </w:p>
        </w:tc>
      </w:tr>
      <w:tr w:rsidR="00524720" w:rsidRPr="00D9348B" w14:paraId="11BEAED2" w14:textId="77777777" w:rsidTr="00EF6E50">
        <w:tc>
          <w:tcPr>
            <w:tcW w:w="914" w:type="dxa"/>
            <w:tcBorders>
              <w:top w:val="single" w:sz="4" w:space="0" w:color="365F91"/>
              <w:left w:val="nil"/>
              <w:bottom w:val="single" w:sz="4" w:space="0" w:color="365F91"/>
              <w:right w:val="nil"/>
            </w:tcBorders>
            <w:hideMark/>
          </w:tcPr>
          <w:p w14:paraId="76A269BF" w14:textId="77777777" w:rsidR="00524720" w:rsidRPr="00D9348B" w:rsidRDefault="00524720">
            <w:pPr>
              <w:pStyle w:val="TableText"/>
              <w:spacing w:before="40" w:after="40"/>
            </w:pPr>
            <w:r w:rsidRPr="00D9348B">
              <w:t>0.0627</w:t>
            </w:r>
          </w:p>
        </w:tc>
        <w:tc>
          <w:tcPr>
            <w:tcW w:w="1638" w:type="dxa"/>
            <w:tcBorders>
              <w:top w:val="single" w:sz="4" w:space="0" w:color="365F91"/>
              <w:left w:val="nil"/>
              <w:bottom w:val="single" w:sz="4" w:space="0" w:color="365F91"/>
              <w:right w:val="nil"/>
            </w:tcBorders>
            <w:hideMark/>
          </w:tcPr>
          <w:p w14:paraId="4FBFCC3B" w14:textId="77777777" w:rsidR="00524720" w:rsidRPr="00D9348B" w:rsidRDefault="00524720">
            <w:pPr>
              <w:pStyle w:val="TableText"/>
              <w:spacing w:before="40" w:after="40"/>
              <w:jc w:val="center"/>
            </w:pPr>
            <w:r w:rsidRPr="00D9348B">
              <w:t>1</w:t>
            </w:r>
          </w:p>
        </w:tc>
        <w:tc>
          <w:tcPr>
            <w:tcW w:w="3969" w:type="dxa"/>
            <w:tcBorders>
              <w:top w:val="single" w:sz="4" w:space="0" w:color="365F91"/>
              <w:left w:val="nil"/>
              <w:bottom w:val="single" w:sz="4" w:space="0" w:color="365F91"/>
              <w:right w:val="nil"/>
            </w:tcBorders>
            <w:hideMark/>
          </w:tcPr>
          <w:p w14:paraId="0C0AD96A" w14:textId="77777777" w:rsidR="00524720" w:rsidRPr="00D9348B" w:rsidRDefault="00524720">
            <w:pPr>
              <w:pStyle w:val="TableText"/>
              <w:spacing w:before="40" w:after="40"/>
            </w:pPr>
            <w:r w:rsidRPr="00D9348B">
              <w:t>k-value modified for site-specific conditions</w:t>
            </w:r>
          </w:p>
        </w:tc>
        <w:tc>
          <w:tcPr>
            <w:tcW w:w="992" w:type="dxa"/>
            <w:tcBorders>
              <w:top w:val="single" w:sz="4" w:space="0" w:color="365F91"/>
              <w:left w:val="nil"/>
              <w:bottom w:val="single" w:sz="4" w:space="0" w:color="365F91"/>
              <w:right w:val="nil"/>
            </w:tcBorders>
            <w:hideMark/>
          </w:tcPr>
          <w:p w14:paraId="17437327" w14:textId="77777777" w:rsidR="00524720" w:rsidRPr="00D9348B" w:rsidRDefault="00524720">
            <w:pPr>
              <w:pStyle w:val="TableText"/>
              <w:spacing w:before="40" w:after="40"/>
              <w:jc w:val="center"/>
            </w:pPr>
            <w:r w:rsidRPr="00D9348B">
              <w:t>–</w:t>
            </w:r>
          </w:p>
        </w:tc>
        <w:tc>
          <w:tcPr>
            <w:tcW w:w="992" w:type="dxa"/>
            <w:tcBorders>
              <w:top w:val="single" w:sz="4" w:space="0" w:color="365F91"/>
              <w:left w:val="nil"/>
              <w:bottom w:val="single" w:sz="4" w:space="0" w:color="365F91"/>
              <w:right w:val="nil"/>
            </w:tcBorders>
            <w:hideMark/>
          </w:tcPr>
          <w:p w14:paraId="11A56920" w14:textId="77777777" w:rsidR="00524720" w:rsidRPr="00D9348B" w:rsidRDefault="00524720">
            <w:pPr>
              <w:pStyle w:val="TableText"/>
              <w:spacing w:before="40" w:after="40"/>
              <w:jc w:val="center"/>
            </w:pPr>
            <w:r w:rsidRPr="00D9348B">
              <w:t>1.7</w:t>
            </w:r>
          </w:p>
        </w:tc>
      </w:tr>
    </w:tbl>
    <w:p w14:paraId="5B45589F" w14:textId="77777777" w:rsidR="00524720" w:rsidRPr="00D9348B" w:rsidRDefault="00524720" w:rsidP="00524720">
      <w:pPr>
        <w:pStyle w:val="BodyText"/>
        <w:spacing w:before="240"/>
      </w:pPr>
      <w:r w:rsidRPr="00D9348B">
        <w:t>For sites without LFG recovery, the IPCC default k-values for a wet temperate climate have been used on a waste composition basis. The wet temperate climate is the best overall match for New Zealand’s climate because site-specific data are not known for those sites.</w:t>
      </w:r>
    </w:p>
    <w:p w14:paraId="0E65BDA8" w14:textId="77777777" w:rsidR="00524720" w:rsidRPr="00D9348B" w:rsidRDefault="00524720" w:rsidP="00EF6E50">
      <w:pPr>
        <w:pStyle w:val="Heading6"/>
        <w:spacing w:before="160"/>
      </w:pPr>
      <w:r w:rsidRPr="00D9348B">
        <w:t>Gas recovery</w:t>
      </w:r>
    </w:p>
    <w:p w14:paraId="70298D1A" w14:textId="77777777" w:rsidR="00524720" w:rsidRPr="00D9348B" w:rsidRDefault="00524720" w:rsidP="00524720">
      <w:pPr>
        <w:pStyle w:val="BodyText"/>
      </w:pPr>
      <w:r w:rsidRPr="00D9348B">
        <w:t>For each of the landfill sites that have gas recovery, the recovery rate was determined based on the data that are available. Recovery rates for some years since 2014 and for some landfill sites can be determined using data from the NZ ETS and have been applied where available. The LFG data itself is not available from the NZ ETS, instead a unique emissions factor (UEF) is published for certain landfills each year. A UEF is based on piped LFG data, which is compared against generated emissions to determine the recovery rate. This data is verified by a third party as part of a landfill operator’s application for a UEF.</w:t>
      </w:r>
    </w:p>
    <w:p w14:paraId="05170BB2" w14:textId="77777777" w:rsidR="00524720" w:rsidRPr="00D9348B" w:rsidRDefault="00524720" w:rsidP="00524720">
      <w:pPr>
        <w:pStyle w:val="BodyText"/>
        <w:rPr>
          <w:spacing w:val="-2"/>
        </w:rPr>
      </w:pPr>
      <w:r w:rsidRPr="00D9348B">
        <w:rPr>
          <w:spacing w:val="-2"/>
        </w:rPr>
        <w:t>The generated emissions are modelled for each UEF using an FOD approach similar to the inventory. The main difference between the inventory and the ETS is that generated emissions in the NZ ETS are modelled using a per-waste-type, multi-phase decay model with default k</w:t>
      </w:r>
      <w:r w:rsidRPr="00D9348B">
        <w:rPr>
          <w:spacing w:val="-2"/>
        </w:rPr>
        <w:noBreakHyphen/>
        <w:t xml:space="preserve">values. This is compared to the inventory, which uses a single-phase bulk waste model with non-default k-values as per table 7.2.5. The NZ ETS also includes 3.9 per cent sludge in the composition for these sites whereas the inventory accounts for sludge in sites without LFG collection. Furthermore, it is assumed that the historical placement amounts used in calculating the UEF are the same as that used in the inventory. This is reasonable because landfill operators contributed to the historical data that are also used in the inventory. While the generated emissions data in the NZ ETS is confidential, the overall difference to modelled emissions is understood to be small such that the recovery rates from the NZ ETS are also applicable to the inventory. </w:t>
      </w:r>
    </w:p>
    <w:p w14:paraId="602858D8" w14:textId="77777777" w:rsidR="00524720" w:rsidRPr="00D9348B" w:rsidRDefault="00524720" w:rsidP="00524720">
      <w:pPr>
        <w:pStyle w:val="BodyText"/>
      </w:pPr>
      <w:r w:rsidRPr="00D9348B">
        <w:t>When the UEF is published in the form of a single-phase bulk waste approach, the LFG recovery rate is able to be calculated from the UEF by the equation:</w:t>
      </w:r>
    </w:p>
    <w:p w14:paraId="06E5449E" w14:textId="4B3A2630" w:rsidR="00524720" w:rsidRPr="00D9348B" w:rsidRDefault="00DA6C03" w:rsidP="00A03931">
      <w:pPr>
        <w:spacing w:before="60" w:after="60"/>
        <w:jc w:val="center"/>
      </w:pPr>
      <w:r>
        <w:pict w14:anchorId="05849AFA">
          <v:shape id="_x0000_i1153" type="#_x0000_t75" style="width:159.05pt;height:25.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activeWritingStyle w:lang=&quot;EN-NZ&quot; w:vendorID=&quot;64&quot; w:dllVersion=&quot;6&quot; w:nlCheck=&quot;on&quot; w:optionSet=&quot;1&quot;/&gt;&lt;w:stylePaneFormatFilter w:val=&quot;5804&quot;/&gt;&lt;w:defaultTabStop w:val=&quot;397&quot;/&gt;&lt;w:evenAndOddHeaders/&gt;&lt;w:drawingGridHorizontalSpacing w:val=&quot;187&quot;/&gt;&lt;w:displayVerticalDrawingGridEvery w:val=&quot;2&quot;/&gt;&lt;w:characterSpacingControl w:val=&quot;DontCompress&quot;/&gt;&lt;w:optimizeForBrowser/&gt;&lt;w:validateAgainstSchema/&gt;&lt;w:saveInvalidXML w:val=&quot;off&quot;/&gt;&lt;w:ignoreMixedContent w:val=&quot;off&quot;/&gt;&lt;w:alwaysShowPlaceholderText w:val=&quot;off&quot;/&gt;&lt;w:compat&gt;&lt;w:suppressBottomSpacing/&gt;&lt;w:suppressTopSpacing/&gt;&lt;w:doNotUseHTMLParagraphAutoSpacing/&gt;&lt;w:breakWrappedTables/&gt;&lt;w:snapToGridInCell/&gt;&lt;w:wrapTextWithPunct/&gt;&lt;w:useAsianBreakRules/&gt;&lt;w:useWord2002TableStyleRules/&gt;&lt;/w:compat&gt;&lt;wsp:rsids&gt;&lt;wsp:rsidRoot wsp:val=&quot;007A30E8&quot;/&gt;&lt;wsp:rsid wsp:val=&quot;00001716&quot;/&gt;&lt;wsp:rsid wsp:val=&quot;00007ABB&quot;/&gt;&lt;wsp:rsid wsp:val=&quot;00021ACF&quot;/&gt;&lt;wsp:rsid wsp:val=&quot;00022513&quot;/&gt;&lt;wsp:rsid wsp:val=&quot;00027E55&quot;/&gt;&lt;wsp:rsid wsp:val=&quot;00030690&quot;/&gt;&lt;wsp:rsid wsp:val=&quot;00032A28&quot;/&gt;&lt;wsp:rsid wsp:val=&quot;00035185&quot;/&gt;&lt;wsp:rsid wsp:val=&quot;00036FB1&quot;/&gt;&lt;wsp:rsid wsp:val=&quot;0004051F&quot;/&gt;&lt;wsp:rsid wsp:val=&quot;00050008&quot;/&gt;&lt;wsp:rsid wsp:val=&quot;000576EC&quot;/&gt;&lt;wsp:rsid wsp:val=&quot;00082902&quot;/&gt;&lt;wsp:rsid wsp:val=&quot;000959CB&quot;/&gt;&lt;wsp:rsid wsp:val=&quot;000B1212&quot;/&gt;&lt;wsp:rsid wsp:val=&quot;000B5C5F&quot;/&gt;&lt;wsp:rsid wsp:val=&quot;000C20A6&quot;/&gt;&lt;wsp:rsid wsp:val=&quot;000D120B&quot;/&gt;&lt;wsp:rsid wsp:val=&quot;000F4DEF&quot;/&gt;&lt;wsp:rsid wsp:val=&quot;000F62D5&quot;/&gt;&lt;wsp:rsid wsp:val=&quot;00103A70&quot;/&gt;&lt;wsp:rsid wsp:val=&quot;00115EF9&quot;/&gt;&lt;wsp:rsid wsp:val=&quot;00116E1B&quot;/&gt;&lt;wsp:rsid wsp:val=&quot;001221C3&quot;/&gt;&lt;wsp:rsid wsp:val=&quot;00124792&quot;/&gt;&lt;wsp:rsid wsp:val=&quot;00130604&quot;/&gt;&lt;wsp:rsid wsp:val=&quot;001423C4&quot;/&gt;&lt;wsp:rsid wsp:val=&quot;00153F5A&quot;/&gt;&lt;wsp:rsid wsp:val=&quot;00156D4F&quot;/&gt;&lt;wsp:rsid wsp:val=&quot;001577FD&quot;/&gt;&lt;wsp:rsid wsp:val=&quot;00163488&quot;/&gt;&lt;wsp:rsid wsp:val=&quot;00177C9C&quot;/&gt;&lt;wsp:rsid wsp:val=&quot;00180C1C&quot;/&gt;&lt;wsp:rsid wsp:val=&quot;001970E1&quot;/&gt;&lt;wsp:rsid wsp:val=&quot;001A1997&quot;/&gt;&lt;wsp:rsid wsp:val=&quot;001B6FD2&quot;/&gt;&lt;wsp:rsid wsp:val=&quot;001C0BC6&quot;/&gt;&lt;wsp:rsid wsp:val=&quot;001C5A35&quot;/&gt;&lt;wsp:rsid wsp:val=&quot;001D366E&quot;/&gt;&lt;wsp:rsid wsp:val=&quot;001D4675&quot;/&gt;&lt;wsp:rsid wsp:val=&quot;001E584F&quot;/&gt;&lt;wsp:rsid wsp:val=&quot;00207ABF&quot;/&gt;&lt;wsp:rsid wsp:val=&quot;00213955&quot;/&gt;&lt;wsp:rsid wsp:val=&quot;00224522&quot;/&gt;&lt;wsp:rsid wsp:val=&quot;002253F5&quot;/&gt;&lt;wsp:rsid wsp:val=&quot;00225AF5&quot;/&gt;&lt;wsp:rsid wsp:val=&quot;002278D8&quot;/&gt;&lt;wsp:rsid wsp:val=&quot;00240B42&quot;/&gt;&lt;wsp:rsid wsp:val=&quot;00244E0E&quot;/&gt;&lt;wsp:rsid wsp:val=&quot;00260B48&quot;/&gt;&lt;wsp:rsid wsp:val=&quot;00265955&quot;/&gt;&lt;wsp:rsid wsp:val=&quot;00274AE4&quot;/&gt;&lt;wsp:rsid wsp:val=&quot;00276A11&quot;/&gt;&lt;wsp:rsid wsp:val=&quot;0028581A&quot;/&gt;&lt;wsp:rsid wsp:val=&quot;002868D3&quot;/&gt;&lt;wsp:rsid wsp:val=&quot;00295B2A&quot;/&gt;&lt;wsp:rsid wsp:val=&quot;002A1361&quot;/&gt;&lt;wsp:rsid wsp:val=&quot;002A49D7&quot;/&gt;&lt;wsp:rsid wsp:val=&quot;002B1C5A&quot;/&gt;&lt;wsp:rsid wsp:val=&quot;002B3284&quot;/&gt;&lt;wsp:rsid wsp:val=&quot;002B3633&quot;/&gt;&lt;wsp:rsid wsp:val=&quot;002C3AEC&quot;/&gt;&lt;wsp:rsid wsp:val=&quot;002D60DB&quot;/&gt;&lt;wsp:rsid wsp:val=&quot;002D6A54&quot;/&gt;&lt;wsp:rsid wsp:val=&quot;002D6AB5&quot;/&gt;&lt;wsp:rsid wsp:val=&quot;002F134A&quot;/&gt;&lt;wsp:rsid wsp:val=&quot;002F6369&quot;/&gt;&lt;wsp:rsid wsp:val=&quot;00302D84&quot;/&gt;&lt;wsp:rsid wsp:val=&quot;00306B8F&quot;/&gt;&lt;wsp:rsid wsp:val=&quot;00315760&quot;/&gt;&lt;wsp:rsid wsp:val=&quot;003158D0&quot;/&gt;&lt;wsp:rsid wsp:val=&quot;0032349D&quot;/&gt;&lt;wsp:rsid wsp:val=&quot;00330809&quot;/&gt;&lt;wsp:rsid wsp:val=&quot;003526C7&quot;/&gt;&lt;wsp:rsid wsp:val=&quot;00353362&quot;/&gt;&lt;wsp:rsid wsp:val=&quot;00361DD4&quot;/&gt;&lt;wsp:rsid wsp:val=&quot;0036324D&quot;/&gt;&lt;wsp:rsid wsp:val=&quot;00365854&quot;/&gt;&lt;wsp:rsid wsp:val=&quot;0037590E&quot;/&gt;&lt;wsp:rsid wsp:val=&quot;00377186&quot;/&gt;&lt;wsp:rsid wsp:val=&quot;00383207&quot;/&gt;&lt;wsp:rsid wsp:val=&quot;00395B45&quot;/&gt;&lt;wsp:rsid wsp:val=&quot;003972EF&quot;/&gt;&lt;wsp:rsid wsp:val=&quot;00397D2B&quot;/&gt;&lt;wsp:rsid wsp:val=&quot;003A5006&quot;/&gt;&lt;wsp:rsid wsp:val=&quot;003C2615&quot;/&gt;&lt;wsp:rsid wsp:val=&quot;003D0318&quot;/&gt;&lt;wsp:rsid wsp:val=&quot;003D4BDF&quot;/&gt;&lt;wsp:rsid wsp:val=&quot;003D5417&quot;/&gt;&lt;wsp:rsid wsp:val=&quot;003E4A42&quot;/&gt;&lt;wsp:rsid wsp:val=&quot;00400F92&quot;/&gt;&lt;wsp:rsid wsp:val=&quot;004044F1&quot;/&gt;&lt;wsp:rsid wsp:val=&quot;00412BA2&quot;/&gt;&lt;wsp:rsid wsp:val=&quot;0042424B&quot;/&gt;&lt;wsp:rsid wsp:val=&quot;00430D5D&quot;/&gt;&lt;wsp:rsid wsp:val=&quot;00444336&quot;/&gt;&lt;wsp:rsid wsp:val=&quot;00445A02&quot;/&gt;&lt;wsp:rsid wsp:val=&quot;00455788&quot;/&gt;&lt;wsp:rsid wsp:val=&quot;0045652C&quot;/&gt;&lt;wsp:rsid wsp:val=&quot;00462497&quot;/&gt;&lt;wsp:rsid wsp:val=&quot;0047613C&quot;/&gt;&lt;wsp:rsid wsp:val=&quot;004805A3&quot;/&gt;&lt;wsp:rsid wsp:val=&quot;00490EB0&quot;/&gt;&lt;wsp:rsid wsp:val=&quot;004A39F8&quot;/&gt;&lt;wsp:rsid wsp:val=&quot;004A3C2C&quot;/&gt;&lt;wsp:rsid wsp:val=&quot;004A618E&quot;/&gt;&lt;wsp:rsid wsp:val=&quot;004E4B2C&quot;/&gt;&lt;wsp:rsid wsp:val=&quot;004E517A&quot;/&gt;&lt;wsp:rsid wsp:val=&quot;004E67B3&quot;/&gt;&lt;wsp:rsid wsp:val=&quot;004F1572&quot;/&gt;&lt;wsp:rsid wsp:val=&quot;004F229D&quot;/&gt;&lt;wsp:rsid wsp:val=&quot;004F483D&quot;/&gt;&lt;wsp:rsid wsp:val=&quot;00502D87&quot;/&gt;&lt;wsp:rsid wsp:val=&quot;0052105D&quot;/&gt;&lt;wsp:rsid wsp:val=&quot;00524720&quot;/&gt;&lt;wsp:rsid wsp:val=&quot;00526270&quot;/&gt;&lt;wsp:rsid wsp:val=&quot;005338F3&quot;/&gt;&lt;wsp:rsid wsp:val=&quot;00534210&quot;/&gt;&lt;wsp:rsid wsp:val=&quot;00540271&quot;/&gt;&lt;wsp:rsid wsp:val=&quot;00543478&quot;/&gt;&lt;wsp:rsid wsp:val=&quot;00545600&quot;/&gt;&lt;wsp:rsid wsp:val=&quot;00546A6A&quot;/&gt;&lt;wsp:rsid wsp:val=&quot;00562240&quot;/&gt;&lt;wsp:rsid wsp:val=&quot;005630B0&quot;/&gt;&lt;wsp:rsid wsp:val=&quot;005660CD&quot;/&gt;&lt;wsp:rsid wsp:val=&quot;0056715F&quot;/&gt;&lt;wsp:rsid wsp:val=&quot;005720F2&quot;/&gt;&lt;wsp:rsid wsp:val=&quot;005812D6&quot;/&gt;&lt;wsp:rsid wsp:val=&quot;00591646&quot;/&gt;&lt;wsp:rsid wsp:val=&quot;005932BB&quot;/&gt;&lt;wsp:rsid wsp:val=&quot;00596603&quot;/&gt;&lt;wsp:rsid wsp:val=&quot;005A3830&quot;/&gt;&lt;wsp:rsid wsp:val=&quot;005B76A4&quot;/&gt;&lt;wsp:rsid wsp:val=&quot;005B7868&quot;/&gt;&lt;wsp:rsid wsp:val=&quot;005C1988&quot;/&gt;&lt;wsp:rsid wsp:val=&quot;005C3384&quot;/&gt;&lt;wsp:rsid wsp:val=&quot;005C416E&quot;/&gt;&lt;wsp:rsid wsp:val=&quot;005C6E3E&quot;/&gt;&lt;wsp:rsid wsp:val=&quot;005D0C94&quot;/&gt;&lt;wsp:rsid wsp:val=&quot;005D1C3A&quot;/&gt;&lt;wsp:rsid wsp:val=&quot;005E43DD&quot;/&gt;&lt;wsp:rsid wsp:val=&quot;005E60C7&quot;/&gt;&lt;wsp:rsid wsp:val=&quot;005E6405&quot;/&gt;&lt;wsp:rsid wsp:val=&quot;005E77C4&quot;/&gt;&lt;wsp:rsid wsp:val=&quot;005E7AB9&quot;/&gt;&lt;wsp:rsid wsp:val=&quot;00600179&quot;/&gt;&lt;wsp:rsid wsp:val=&quot;00603FC0&quot;/&gt;&lt;wsp:rsid wsp:val=&quot;00611F8C&quot;/&gt;&lt;wsp:rsid wsp:val=&quot;00614578&quot;/&gt;&lt;wsp:rsid wsp:val=&quot;006167DD&quot;/&gt;&lt;wsp:rsid wsp:val=&quot;00636BF0&quot;/&gt;&lt;wsp:rsid wsp:val=&quot;00637524&quot;/&gt;&lt;wsp:rsid wsp:val=&quot;00646B6D&quot;/&gt;&lt;wsp:rsid wsp:val=&quot;00647697&quot;/&gt;&lt;wsp:rsid wsp:val=&quot;00655908&quot;/&gt;&lt;wsp:rsid wsp:val=&quot;00656A94&quot;/&gt;&lt;wsp:rsid wsp:val=&quot;006654F8&quot;/&gt;&lt;wsp:rsid wsp:val=&quot;00665768&quot;/&gt;&lt;wsp:rsid wsp:val=&quot;00667291&quot;/&gt;&lt;wsp:rsid wsp:val=&quot;00671024&quot;/&gt;&lt;wsp:rsid wsp:val=&quot;00682D89&quot;/&gt;&lt;wsp:rsid wsp:val=&quot;00686249&quot;/&gt;&lt;wsp:rsid wsp:val=&quot;00687504&quot;/&gt;&lt;wsp:rsid wsp:val=&quot;00691AFF&quot;/&gt;&lt;wsp:rsid wsp:val=&quot;006A0275&quot;/&gt;&lt;wsp:rsid wsp:val=&quot;006A171F&quot;/&gt;&lt;wsp:rsid wsp:val=&quot;006A36A8&quot;/&gt;&lt;wsp:rsid wsp:val=&quot;006A4209&quot;/&gt;&lt;wsp:rsid wsp:val=&quot;006A4E5F&quot;/&gt;&lt;wsp:rsid wsp:val=&quot;006B44DA&quot;/&gt;&lt;wsp:rsid wsp:val=&quot;006C4333&quot;/&gt;&lt;wsp:rsid wsp:val=&quot;006C5461&quot;/&gt;&lt;wsp:rsid wsp:val=&quot;006D2536&quot;/&gt;&lt;wsp:rsid wsp:val=&quot;006D3FAE&quot;/&gt;&lt;wsp:rsid wsp:val=&quot;006D4600&quot;/&gt;&lt;wsp:rsid wsp:val=&quot;006E0A2C&quot;/&gt;&lt;wsp:rsid wsp:val=&quot;006E202B&quot;/&gt;&lt;wsp:rsid wsp:val=&quot;006E57B5&quot;/&gt;&lt;wsp:rsid wsp:val=&quot;00702FA0&quot;/&gt;&lt;wsp:rsid wsp:val=&quot;00715D39&quot;/&gt;&lt;wsp:rsid wsp:val=&quot;00724218&quot;/&gt;&lt;wsp:rsid wsp:val=&quot;00737E65&quot;/&gt;&lt;wsp:rsid wsp:val=&quot;0074030A&quot;/&gt;&lt;wsp:rsid wsp:val=&quot;007409A3&quot;/&gt;&lt;wsp:rsid wsp:val=&quot;007575A8&quot;/&gt;&lt;wsp:rsid wsp:val=&quot;00762043&quot;/&gt;&lt;wsp:rsid wsp:val=&quot;007633C2&quot;/&gt;&lt;wsp:rsid wsp:val=&quot;00765A47&quot;/&gt;&lt;wsp:rsid wsp:val=&quot;00770E82&quot;/&gt;&lt;wsp:rsid wsp:val=&quot;00772E94&quot;/&gt;&lt;wsp:rsid wsp:val=&quot;007822F5&quot;/&gt;&lt;wsp:rsid wsp:val=&quot;007A1322&quot;/&gt;&lt;wsp:rsid wsp:val=&quot;007A30E8&quot;/&gt;&lt;wsp:rsid wsp:val=&quot;007A5E1C&quot;/&gt;&lt;wsp:rsid wsp:val=&quot;007B028B&quot;/&gt;&lt;wsp:rsid wsp:val=&quot;007B1D71&quot;/&gt;&lt;wsp:rsid wsp:val=&quot;007B7BF7&quot;/&gt;&lt;wsp:rsid wsp:val=&quot;007C00D0&quot;/&gt;&lt;wsp:rsid wsp:val=&quot;007C102A&quot;/&gt;&lt;wsp:rsid wsp:val=&quot;007C2186&quot;/&gt;&lt;wsp:rsid wsp:val=&quot;007D185B&quot;/&gt;&lt;wsp:rsid wsp:val=&quot;007D4AA4&quot;/&gt;&lt;wsp:rsid wsp:val=&quot;007D6B43&quot;/&gt;&lt;wsp:rsid wsp:val=&quot;007E0E95&quot;/&gt;&lt;wsp:rsid wsp:val=&quot;007F2233&quot;/&gt;&lt;wsp:rsid wsp:val=&quot;00804C17&quot;/&gt;&lt;wsp:rsid wsp:val=&quot;008053BA&quot;/&gt;&lt;wsp:rsid wsp:val=&quot;0080694B&quot;/&gt;&lt;wsp:rsid wsp:val=&quot;008104F5&quot;/&gt;&lt;wsp:rsid wsp:val=&quot;0081078E&quot;/&gt;&lt;wsp:rsid wsp:val=&quot;00810AB6&quot;/&gt;&lt;wsp:rsid wsp:val=&quot;0081779C&quot;/&gt;&lt;wsp:rsid wsp:val=&quot;00831D0D&quot;/&gt;&lt;wsp:rsid wsp:val=&quot;00832DEE&quot;/&gt;&lt;wsp:rsid wsp:val=&quot;00835B98&quot;/&gt;&lt;wsp:rsid wsp:val=&quot;00840713&quot;/&gt;&lt;wsp:rsid wsp:val=&quot;00854B9D&quot;/&gt;&lt;wsp:rsid wsp:val=&quot;00855A8A&quot;/&gt;&lt;wsp:rsid wsp:val=&quot;00872795&quot;/&gt;&lt;wsp:rsid wsp:val=&quot;008936D4&quot;/&gt;&lt;wsp:rsid wsp:val=&quot;008A2EC5&quot;/&gt;&lt;wsp:rsid wsp:val=&quot;008B77F5&quot;/&gt;&lt;wsp:rsid wsp:val=&quot;008C0279&quot;/&gt;&lt;wsp:rsid wsp:val=&quot;008C1276&quot;/&gt;&lt;wsp:rsid wsp:val=&quot;008C1F5D&quot;/&gt;&lt;wsp:rsid wsp:val=&quot;008C44D0&quot;/&gt;&lt;wsp:rsid wsp:val=&quot;008C7C6D&quot;/&gt;&lt;wsp:rsid wsp:val=&quot;008C7F68&quot;/&gt;&lt;wsp:rsid wsp:val=&quot;008E380C&quot;/&gt;&lt;wsp:rsid wsp:val=&quot;008E3FE6&quot;/&gt;&lt;wsp:rsid wsp:val=&quot;008E405A&quot;/&gt;&lt;wsp:rsid wsp:val=&quot;008F0E45&quot;/&gt;&lt;wsp:rsid wsp:val=&quot;008F25D2&quot;/&gt;&lt;wsp:rsid wsp:val=&quot;008F50EC&quot;/&gt;&lt;wsp:rsid wsp:val=&quot;008F587A&quot;/&gt;&lt;wsp:rsid wsp:val=&quot;0090054C&quot;/&gt;&lt;wsp:rsid wsp:val=&quot;00900565&quot;/&gt;&lt;wsp:rsid wsp:val=&quot;009010F8&quot;/&gt;&lt;wsp:rsid wsp:val=&quot;009134CA&quot;/&gt;&lt;wsp:rsid wsp:val=&quot;00914CC6&quot;/&gt;&lt;wsp:rsid wsp:val=&quot;00925AA2&quot;/&gt;&lt;wsp:rsid wsp:val=&quot;0092751F&quot;/&gt;&lt;wsp:rsid wsp:val=&quot;009316FB&quot;/&gt;&lt;wsp:rsid wsp:val=&quot;00932067&quot;/&gt;&lt;wsp:rsid wsp:val=&quot;0093594A&quot;/&gt;&lt;wsp:rsid wsp:val=&quot;009431D1&quot;/&gt;&lt;wsp:rsid wsp:val=&quot;009451C4&quot;/&gt;&lt;wsp:rsid wsp:val=&quot;00955D73&quot;/&gt;&lt;wsp:rsid wsp:val=&quot;0096512C&quot;/&gt;&lt;wsp:rsid wsp:val=&quot;0096540A&quot;/&gt;&lt;wsp:rsid wsp:val=&quot;00970AEA&quot;/&gt;&lt;wsp:rsid wsp:val=&quot;009A13B6&quot;/&gt;&lt;wsp:rsid wsp:val=&quot;009C0F3A&quot;/&gt;&lt;wsp:rsid wsp:val=&quot;009C5D2A&quot;/&gt;&lt;wsp:rsid wsp:val=&quot;009E225F&quot;/&gt;&lt;wsp:rsid wsp:val=&quot;009E573D&quot;/&gt;&lt;wsp:rsid wsp:val=&quot;00A02252&quot;/&gt;&lt;wsp:rsid wsp:val=&quot;00A06700&quot;/&gt;&lt;wsp:rsid wsp:val=&quot;00A10636&quot;/&gt;&lt;wsp:rsid wsp:val=&quot;00A331E7&quot;/&gt;&lt;wsp:rsid wsp:val=&quot;00A34169&quot;/&gt;&lt;wsp:rsid wsp:val=&quot;00A37D9B&quot;/&gt;&lt;wsp:rsid wsp:val=&quot;00A41C3C&quot;/&gt;&lt;wsp:rsid wsp:val=&quot;00A4725A&quot;/&gt;&lt;wsp:rsid wsp:val=&quot;00A5060F&quot;/&gt;&lt;wsp:rsid wsp:val=&quot;00A56E11&quot;/&gt;&lt;wsp:rsid wsp:val=&quot;00A619BD&quot;/&gt;&lt;wsp:rsid wsp:val=&quot;00A628DC&quot;/&gt;&lt;wsp:rsid wsp:val=&quot;00A66967&quot;/&gt;&lt;wsp:rsid wsp:val=&quot;00A76984&quot;/&gt;&lt;wsp:rsid wsp:val=&quot;00A97EF6&quot;/&gt;&lt;wsp:rsid wsp:val=&quot;00AA0A87&quot;/&gt;&lt;wsp:rsid wsp:val=&quot;00AA75EE&quot;/&gt;&lt;wsp:rsid wsp:val=&quot;00AA7B1E&quot;/&gt;&lt;wsp:rsid wsp:val=&quot;00AB2710&quot;/&gt;&lt;wsp:rsid wsp:val=&quot;00AC555A&quot;/&gt;&lt;wsp:rsid wsp:val=&quot;00AD0275&quot;/&gt;&lt;wsp:rsid wsp:val=&quot;00AD184B&quot;/&gt;&lt;wsp:rsid wsp:val=&quot;00AD43E8&quot;/&gt;&lt;wsp:rsid wsp:val=&quot;00AE02E6&quot;/&gt;&lt;wsp:rsid wsp:val=&quot;00B03727&quot;/&gt;&lt;wsp:rsid wsp:val=&quot;00B0566D&quot;/&gt;&lt;wsp:rsid wsp:val=&quot;00B35BD9&quot;/&gt;&lt;wsp:rsid wsp:val=&quot;00B37DE8&quot;/&gt;&lt;wsp:rsid wsp:val=&quot;00B43898&quot;/&gt;&lt;wsp:rsid wsp:val=&quot;00B44BA5&quot;/&gt;&lt;wsp:rsid wsp:val=&quot;00B5608D&quot;/&gt;&lt;wsp:rsid wsp:val=&quot;00B82F1A&quot;/&gt;&lt;wsp:rsid wsp:val=&quot;00B84125&quot;/&gt;&lt;wsp:rsid wsp:val=&quot;00B928E7&quot;/&gt;&lt;wsp:rsid wsp:val=&quot;00B961F6&quot;/&gt;&lt;wsp:rsid wsp:val=&quot;00BA5F7E&quot;/&gt;&lt;wsp:rsid wsp:val=&quot;00BB7F2F&quot;/&gt;&lt;wsp:rsid wsp:val=&quot;00BC7E76&quot;/&gt;&lt;wsp:rsid wsp:val=&quot;00BD3902&quot;/&gt;&lt;wsp:rsid wsp:val=&quot;00BE472F&quot;/&gt;&lt;wsp:rsid wsp:val=&quot;00BE5513&quot;/&gt;&lt;wsp:rsid wsp:val=&quot;00BE7500&quot;/&gt;&lt;wsp:rsid wsp:val=&quot;00BF12F6&quot;/&gt;&lt;wsp:rsid wsp:val=&quot;00C00765&quot;/&gt;&lt;wsp:rsid wsp:val=&quot;00C10464&quot;/&gt;&lt;wsp:rsid wsp:val=&quot;00C119C2&quot;/&gt;&lt;wsp:rsid wsp:val=&quot;00C15758&quot;/&gt;&lt;wsp:rsid wsp:val=&quot;00C21B54&quot;/&gt;&lt;wsp:rsid wsp:val=&quot;00C27E02&quot;/&gt;&lt;wsp:rsid wsp:val=&quot;00C32E69&quot;/&gt;&lt;wsp:rsid wsp:val=&quot;00C40967&quot;/&gt;&lt;wsp:rsid wsp:val=&quot;00C42C64&quot;/&gt;&lt;wsp:rsid wsp:val=&quot;00C4400C&quot;/&gt;&lt;wsp:rsid wsp:val=&quot;00C600E2&quot;/&gt;&lt;wsp:rsid wsp:val=&quot;00C63D43&quot;/&gt;&lt;wsp:rsid wsp:val=&quot;00C74134&quot;/&gt;&lt;wsp:rsid wsp:val=&quot;00C823B1&quot;/&gt;&lt;wsp:rsid wsp:val=&quot;00C85A4A&quot;/&gt;&lt;wsp:rsid wsp:val=&quot;00C93D19&quot;/&gt;&lt;wsp:rsid wsp:val=&quot;00CA271E&quot;/&gt;&lt;wsp:rsid wsp:val=&quot;00CB1488&quot;/&gt;&lt;wsp:rsid wsp:val=&quot;00CB7414&quot;/&gt;&lt;wsp:rsid wsp:val=&quot;00CD5933&quot;/&gt;&lt;wsp:rsid wsp:val=&quot;00CE19C1&quot;/&gt;&lt;wsp:rsid wsp:val=&quot;00CF03DD&quot;/&gt;&lt;wsp:rsid wsp:val=&quot;00CF364B&quot;/&gt;&lt;wsp:rsid wsp:val=&quot;00CF3D81&quot;/&gt;&lt;wsp:rsid wsp:val=&quot;00D01CFE&quot;/&gt;&lt;wsp:rsid wsp:val=&quot;00D0530B&quot;/&gt;&lt;wsp:rsid wsp:val=&quot;00D07C4B&quot;/&gt;&lt;wsp:rsid wsp:val=&quot;00D201C9&quot;/&gt;&lt;wsp:rsid wsp:val=&quot;00D225D8&quot;/&gt;&lt;wsp:rsid wsp:val=&quot;00D2503C&quot;/&gt;&lt;wsp:rsid wsp:val=&quot;00D30983&quot;/&gt;&lt;wsp:rsid wsp:val=&quot;00D33A2E&quot;/&gt;&lt;wsp:rsid wsp:val=&quot;00D34954&quot;/&gt;&lt;wsp:rsid wsp:val=&quot;00D367F2&quot;/&gt;&lt;wsp:rsid wsp:val=&quot;00D4214D&quot;/&gt;&lt;wsp:rsid wsp:val=&quot;00D511A1&quot;/&gt;&lt;wsp:rsid wsp:val=&quot;00D548AB&quot;/&gt;&lt;wsp:rsid wsp:val=&quot;00D56CF9&quot;/&gt;&lt;wsp:rsid wsp:val=&quot;00D608D5&quot;/&gt;&lt;wsp:rsid wsp:val=&quot;00D651CA&quot;/&gt;&lt;wsp:rsid wsp:val=&quot;00D664F6&quot;/&gt;&lt;wsp:rsid wsp:val=&quot;00D872BF&quot;/&gt;&lt;wsp:rsid wsp:val=&quot;00DA4C87&quot;/&gt;&lt;wsp:rsid wsp:val=&quot;00DB4CF4&quot;/&gt;&lt;wsp:rsid wsp:val=&quot;00DB5613&quot;/&gt;&lt;wsp:rsid wsp:val=&quot;00DE01F6&quot;/&gt;&lt;wsp:rsid wsp:val=&quot;00DE15BD&quot;/&gt;&lt;wsp:rsid wsp:val=&quot;00DE1F1F&quot;/&gt;&lt;wsp:rsid wsp:val=&quot;00DE1FAA&quot;/&gt;&lt;wsp:rsid wsp:val=&quot;00DE2998&quot;/&gt;&lt;wsp:rsid wsp:val=&quot;00DE4223&quot;/&gt;&lt;wsp:rsid wsp:val=&quot;00DE6B60&quot;/&gt;&lt;wsp:rsid wsp:val=&quot;00DF14FA&quot;/&gt;&lt;wsp:rsid wsp:val=&quot;00DF1B90&quot;/&gt;&lt;wsp:rsid wsp:val=&quot;00E06D10&quot;/&gt;&lt;wsp:rsid wsp:val=&quot;00E07624&quot;/&gt;&lt;wsp:rsid wsp:val=&quot;00E20138&quot;/&gt;&lt;wsp:rsid wsp:val=&quot;00E20458&quot;/&gt;&lt;wsp:rsid wsp:val=&quot;00E22F51&quot;/&gt;&lt;wsp:rsid wsp:val=&quot;00E3344E&quot;/&gt;&lt;wsp:rsid wsp:val=&quot;00E42A9C&quot;/&gt;&lt;wsp:rsid wsp:val=&quot;00E47019&quot;/&gt;&lt;wsp:rsid wsp:val=&quot;00E55420&quot;/&gt;&lt;wsp:rsid wsp:val=&quot;00E56487&quot;/&gt;&lt;wsp:rsid wsp:val=&quot;00E62277&quot;/&gt;&lt;wsp:rsid wsp:val=&quot;00E702D6&quot;/&gt;&lt;wsp:rsid wsp:val=&quot;00E81646&quot;/&gt;&lt;wsp:rsid wsp:val=&quot;00E83F08&quot;/&gt;&lt;wsp:rsid wsp:val=&quot;00E853F3&quot;/&gt;&lt;wsp:rsid wsp:val=&quot;00EC2491&quot;/&gt;&lt;wsp:rsid wsp:val=&quot;00ED2C42&quot;/&gt;&lt;wsp:rsid wsp:val=&quot;00EE75F1&quot;/&gt;&lt;wsp:rsid wsp:val=&quot;00EF0E0D&quot;/&gt;&lt;wsp:rsid wsp:val=&quot;00EF3B2B&quot;/&gt;&lt;wsp:rsid wsp:val=&quot;00F00EE9&quot;/&gt;&lt;wsp:rsid wsp:val=&quot;00F332EE&quot;/&gt;&lt;wsp:rsid wsp:val=&quot;00F379DD&quot;/&gt;&lt;wsp:rsid wsp:val=&quot;00F44640&quot;/&gt;&lt;wsp:rsid wsp:val=&quot;00F47244&quot;/&gt;&lt;wsp:rsid wsp:val=&quot;00F511A7&quot;/&gt;&lt;wsp:rsid wsp:val=&quot;00F61E94&quot;/&gt;&lt;wsp:rsid wsp:val=&quot;00F660F9&quot;/&gt;&lt;wsp:rsid wsp:val=&quot;00F849A7&quot;/&gt;&lt;wsp:rsid wsp:val=&quot;00F902E2&quot;/&gt;&lt;wsp:rsid wsp:val=&quot;00FA56E4&quot;/&gt;&lt;wsp:rsid wsp:val=&quot;00FA5F45&quot;/&gt;&lt;wsp:rsid wsp:val=&quot;00FA7522&quot;/&gt;&lt;wsp:rsid wsp:val=&quot;00FB2D36&quot;/&gt;&lt;wsp:rsid wsp:val=&quot;00FB71DC&quot;/&gt;&lt;wsp:rsid wsp:val=&quot;00FC2C59&quot;/&gt;&lt;wsp:rsid wsp:val=&quot;00FC4905&quot;/&gt;&lt;wsp:rsid wsp:val=&quot;00FD178C&quot;/&gt;&lt;wsp:rsid wsp:val=&quot;00FD6935&quot;/&gt;&lt;/wsp:rsids&gt;&lt;/w:docPr&gt;&lt;w:body&gt;&lt;wx:sect&gt;&lt;w:p wsp:rsidR=&quot;00000000&quot; wsp:rsidRPr=&quot;009316FB&quot; wsp:rsidRDefault=&quot;009316FB&quot; wsp:rsidP=&quot;009316FB&quot;&gt;&lt;m:oMathPara&gt;&lt;m:oMath&gt;&lt;m:r&gt;&lt;w:rPr&gt;&lt;w:rFonts w:ascii=&quot;Cambria Math&quot; w:h-ansi=&quot;Cambria Math&quot;/&gt;&lt;wx:font wx:val=&quot;Cambria Math&quot;/&gt;&lt;w:i/&gt;&lt;/w:rPr&gt;&lt;m:t&gt;Recovery rate (%)=100-&lt;/m:t&gt;&lt;/m:r&gt;&lt;m:f&gt;&lt;m:fPr&gt;&lt;m:ctrlPr&gt;&lt;w:rPr&gt;&lt;w:rFonts w:ascii=&quot;Cambria Math&quot; w:h-ansi=&quot;Cambria Math&quot;/&gt;&lt;wx:font wx:val=&quot;Cambria Math&quot;/&gt;&lt;w:i/&gt;&lt;w:lang w:fareast=&quot;EN-US&quot;/&gt;&lt;/w:rPr&gt;&lt;/m:ctrlPr&gt;&lt;/m:fPr&gt;&lt;m:num&gt;&lt;m:r&gt;&lt;w:rPr&gt;&lt;w:rFonts w:ascii=&quot;Cambria Math&quot; w:h-ansi=&quot;Cambria Math&quot;/&gt;&lt;wx:font wx:val=&quot;Cambria Math&quot;/&gt;&lt;w:i/&gt;&lt;/w:rPr&gt;&lt;m:t&gt;UEF&lt;/m:t&gt;&lt;/m:r&gt;&lt;/m:num&gt;&lt;m:den&gt;&lt;m:r&gt;&lt;w:rPr&gt;&lt;w:rFonts w:ascii=&quot;Cambria Math&quot; w:h-ansi=&quot;Cambria Math&quot;/&gt;&lt;wx:font wx:val=&quot;Cambria Math&quot;/&gt;&lt;w:i/&gt;&lt;/w:rPr&gt;&lt;m:t&gt;1.19&lt;/m:t&gt;&lt;/m:r&gt;&lt;/m:den&gt;&lt;/m:f&gt;&lt;/m:oMath&gt;&lt;/m:oMathPara&gt;&lt;/w:p&gt;&lt;w:sectPr wsp:rsidR=&quot;00000000&quot; wsp:rsidRPr=&quot;009316FB&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3" o:title="" chromakey="white"/>
          </v:shape>
        </w:pict>
      </w:r>
    </w:p>
    <w:p w14:paraId="24861553" w14:textId="1C4A48A2" w:rsidR="00524720" w:rsidRPr="00D9348B" w:rsidRDefault="00524720" w:rsidP="00524720">
      <w:pPr>
        <w:pStyle w:val="BodyText"/>
        <w:rPr>
          <w:spacing w:val="-2"/>
        </w:rPr>
      </w:pPr>
      <w:r w:rsidRPr="00D9348B">
        <w:rPr>
          <w:spacing w:val="-2"/>
        </w:rPr>
        <w:t>Where the UEF is the unique emission factor under the NZ ETS, and 1.19 is the default bulk waste</w:t>
      </w:r>
      <w:r w:rsidR="00D41D0D" w:rsidRPr="00D9348B">
        <w:rPr>
          <w:spacing w:val="-2"/>
        </w:rPr>
        <w:t> </w:t>
      </w:r>
      <w:r w:rsidRPr="00D9348B">
        <w:rPr>
          <w:spacing w:val="-2"/>
        </w:rPr>
        <w:t>emission factor without LFG recovery under the ETS. The UEF data is published each year for landfill sites that have been successful in calculating and applying for the UEF (New Zealand Gazette, 2014, 2015, 2016, 2017). The maximum recovery rate allowed under the NZ ETS is 90 per cent, and this is consistent with the maximum recovery rates determined by other methods.</w:t>
      </w:r>
    </w:p>
    <w:p w14:paraId="46ECE645" w14:textId="77777777" w:rsidR="00524720" w:rsidRPr="00D9348B" w:rsidRDefault="00524720" w:rsidP="00524720">
      <w:pPr>
        <w:pStyle w:val="BodyText"/>
      </w:pPr>
      <w:r w:rsidRPr="00D9348B">
        <w:t xml:space="preserve">For all other years and/or sites without a UEF, recovery rates are estimated based on the local conditions at that site, taking into consideration the landfill capping type and quality, landfill </w:t>
      </w:r>
      <w:r w:rsidRPr="00D9348B">
        <w:lastRenderedPageBreak/>
        <w:t>lining, well placement, active or passive gas control in use and whether wells were original or retrofitted (SKM, unpublished(b)). In some cases, gas-flow data or other evidence of gas flow, such as energy generation data, were collected in the research done in 2009 and have been used to estimate recovery rates, in addition to the local conditions at the site (SKM, unpublished(b)).</w:t>
      </w:r>
    </w:p>
    <w:p w14:paraId="094ACC19" w14:textId="77777777" w:rsidR="00524720" w:rsidRPr="00D9348B" w:rsidRDefault="00524720" w:rsidP="00524720">
      <w:pPr>
        <w:pStyle w:val="BodyText"/>
      </w:pPr>
      <w:r w:rsidRPr="00D9348B">
        <w:t>Table 7.2.7 shows the different methods of determining recovery rates and the total amounts of CH</w:t>
      </w:r>
      <w:r w:rsidRPr="00D9348B">
        <w:rPr>
          <w:vertAlign w:val="subscript"/>
        </w:rPr>
        <w:t>4</w:t>
      </w:r>
      <w:r w:rsidRPr="00D9348B">
        <w:t xml:space="preserve"> recovered. The majority of the CH</w:t>
      </w:r>
      <w:r w:rsidRPr="00D9348B">
        <w:rPr>
          <w:vertAlign w:val="subscript"/>
        </w:rPr>
        <w:t>4</w:t>
      </w:r>
      <w:r w:rsidRPr="00D9348B">
        <w:t xml:space="preserve"> recovered is validated by the NZ ETS data, and there is overall good consistency in recovery rates whether or not gas flow data or NZ ETS data are available. Therefore, while the data on recovery rates are limited, available evidence indicates these are accurate and emissions are not over estimated or underestimated.</w:t>
      </w:r>
    </w:p>
    <w:p w14:paraId="15848532" w14:textId="2B773D2C" w:rsidR="00524720" w:rsidRPr="00D9348B" w:rsidRDefault="00524720" w:rsidP="00524720">
      <w:pPr>
        <w:pStyle w:val="Table"/>
        <w:rPr>
          <w:rFonts w:cs="Arial"/>
        </w:rPr>
      </w:pPr>
      <w:bookmarkStart w:id="2707" w:name="_Toc5269566"/>
      <w:bookmarkStart w:id="2708" w:name="_Toc511116825"/>
      <w:bookmarkStart w:id="2709" w:name="_Toc508019327"/>
      <w:bookmarkStart w:id="2710" w:name="_Toc32828524"/>
      <w:bookmarkStart w:id="2711" w:name="_Toc32591354"/>
      <w:bookmarkStart w:id="2712" w:name="_Toc36224647"/>
      <w:r w:rsidRPr="00D9348B">
        <w:rPr>
          <w:rFonts w:cs="Arial"/>
        </w:rPr>
        <w:t>Table 7.2.7</w:t>
      </w:r>
      <w:r w:rsidRPr="00D9348B">
        <w:rPr>
          <w:rFonts w:cs="Arial"/>
        </w:rPr>
        <w:tab/>
        <w:t>Methane recovery rates and amounts for landfill sites with landfill gas recovery</w:t>
      </w:r>
      <w:bookmarkEnd w:id="2707"/>
      <w:bookmarkEnd w:id="2708"/>
      <w:bookmarkEnd w:id="2709"/>
      <w:r w:rsidR="002F6E5E" w:rsidRPr="00D9348B">
        <w:rPr>
          <w:rFonts w:cs="Arial"/>
        </w:rPr>
        <w:t> </w:t>
      </w:r>
      <w:r w:rsidRPr="00D9348B">
        <w:rPr>
          <w:rFonts w:cs="Arial"/>
        </w:rPr>
        <w:t>2018</w:t>
      </w:r>
      <w:bookmarkEnd w:id="2710"/>
      <w:bookmarkEnd w:id="2711"/>
      <w:bookmarkEnd w:id="2712"/>
    </w:p>
    <w:tbl>
      <w:tblPr>
        <w:tblW w:w="8562" w:type="dxa"/>
        <w:tblInd w:w="108" w:type="dxa"/>
        <w:tblLook w:val="04A0" w:firstRow="1" w:lastRow="0" w:firstColumn="1" w:lastColumn="0" w:noHBand="0" w:noVBand="1"/>
      </w:tblPr>
      <w:tblGrid>
        <w:gridCol w:w="1185"/>
        <w:gridCol w:w="2801"/>
        <w:gridCol w:w="849"/>
        <w:gridCol w:w="1128"/>
        <w:gridCol w:w="1136"/>
        <w:gridCol w:w="753"/>
        <w:gridCol w:w="710"/>
      </w:tblGrid>
      <w:tr w:rsidR="00524720" w:rsidRPr="00D9348B" w14:paraId="64C250E7" w14:textId="77777777" w:rsidTr="001E350B">
        <w:trPr>
          <w:trHeight w:val="399"/>
        </w:trPr>
        <w:tc>
          <w:tcPr>
            <w:tcW w:w="1191" w:type="dxa"/>
            <w:vMerge w:val="restart"/>
            <w:tcBorders>
              <w:top w:val="single" w:sz="4" w:space="0" w:color="365F91"/>
              <w:left w:val="nil"/>
              <w:bottom w:val="single" w:sz="4" w:space="0" w:color="365F91"/>
              <w:right w:val="nil"/>
            </w:tcBorders>
            <w:shd w:val="clear" w:color="auto" w:fill="365F91"/>
            <w:vAlign w:val="bottom"/>
            <w:hideMark/>
          </w:tcPr>
          <w:p w14:paraId="17F685CA" w14:textId="77777777" w:rsidR="00524720" w:rsidRPr="00D9348B" w:rsidRDefault="00524720">
            <w:pPr>
              <w:pStyle w:val="TableTextBold"/>
              <w:keepNext/>
              <w:spacing w:before="50" w:after="50"/>
              <w:rPr>
                <w:noProof w:val="0"/>
                <w:color w:val="FFFFFF"/>
              </w:rPr>
            </w:pPr>
            <w:r w:rsidRPr="00D9348B">
              <w:rPr>
                <w:noProof w:val="0"/>
                <w:color w:val="FFFFFF"/>
              </w:rPr>
              <w:t>Recovery rate for 2018 from the NZ ETS</w:t>
            </w:r>
          </w:p>
        </w:tc>
        <w:tc>
          <w:tcPr>
            <w:tcW w:w="2835" w:type="dxa"/>
            <w:vMerge w:val="restart"/>
            <w:tcBorders>
              <w:top w:val="single" w:sz="4" w:space="0" w:color="365F91"/>
              <w:left w:val="nil"/>
              <w:bottom w:val="single" w:sz="4" w:space="0" w:color="365F91"/>
              <w:right w:val="nil"/>
            </w:tcBorders>
            <w:shd w:val="clear" w:color="auto" w:fill="365F91"/>
            <w:vAlign w:val="bottom"/>
            <w:hideMark/>
          </w:tcPr>
          <w:p w14:paraId="677759D1" w14:textId="77777777" w:rsidR="00524720" w:rsidRPr="00D9348B" w:rsidRDefault="00524720">
            <w:pPr>
              <w:pStyle w:val="TableTextBold"/>
              <w:keepNext/>
              <w:spacing w:before="50" w:after="50"/>
              <w:rPr>
                <w:noProof w:val="0"/>
                <w:color w:val="FFFFFF"/>
              </w:rPr>
            </w:pPr>
            <w:r w:rsidRPr="00D9348B">
              <w:rPr>
                <w:noProof w:val="0"/>
                <w:color w:val="FFFFFF"/>
              </w:rPr>
              <w:t>Method for determining recovery rate for years without NZ ETS data</w:t>
            </w:r>
          </w:p>
        </w:tc>
        <w:tc>
          <w:tcPr>
            <w:tcW w:w="851" w:type="dxa"/>
            <w:vMerge w:val="restart"/>
            <w:tcBorders>
              <w:top w:val="single" w:sz="4" w:space="0" w:color="365F91"/>
              <w:left w:val="nil"/>
              <w:bottom w:val="single" w:sz="4" w:space="0" w:color="365F91"/>
              <w:right w:val="nil"/>
            </w:tcBorders>
            <w:shd w:val="clear" w:color="auto" w:fill="365F91"/>
            <w:vAlign w:val="bottom"/>
            <w:hideMark/>
          </w:tcPr>
          <w:p w14:paraId="68BD930C" w14:textId="77777777" w:rsidR="00524720" w:rsidRPr="00D9348B" w:rsidRDefault="00524720">
            <w:pPr>
              <w:pStyle w:val="TableTextBold"/>
              <w:keepNext/>
              <w:spacing w:before="50" w:after="50"/>
              <w:jc w:val="center"/>
              <w:rPr>
                <w:noProof w:val="0"/>
                <w:color w:val="FFFFFF"/>
              </w:rPr>
            </w:pPr>
            <w:r w:rsidRPr="00D9348B">
              <w:rPr>
                <w:noProof w:val="0"/>
                <w:color w:val="FFFFFF"/>
              </w:rPr>
              <w:t>Number of sites</w:t>
            </w:r>
          </w:p>
        </w:tc>
        <w:tc>
          <w:tcPr>
            <w:tcW w:w="1134" w:type="dxa"/>
            <w:vMerge w:val="restart"/>
            <w:tcBorders>
              <w:top w:val="single" w:sz="4" w:space="0" w:color="365F91"/>
              <w:left w:val="nil"/>
              <w:bottom w:val="single" w:sz="4" w:space="0" w:color="365F91"/>
              <w:right w:val="nil"/>
            </w:tcBorders>
            <w:shd w:val="clear" w:color="auto" w:fill="365F91"/>
            <w:vAlign w:val="bottom"/>
            <w:hideMark/>
          </w:tcPr>
          <w:p w14:paraId="4BBF1152" w14:textId="77777777" w:rsidR="00524720" w:rsidRPr="00D9348B" w:rsidRDefault="00524720">
            <w:pPr>
              <w:pStyle w:val="TableTextBold"/>
              <w:keepNext/>
              <w:spacing w:before="50" w:after="50"/>
              <w:jc w:val="center"/>
              <w:rPr>
                <w:noProof w:val="0"/>
                <w:color w:val="FFFFFF"/>
              </w:rPr>
            </w:pPr>
            <w:r w:rsidRPr="00D9348B">
              <w:rPr>
                <w:noProof w:val="0"/>
                <w:color w:val="FFFFFF"/>
              </w:rPr>
              <w:t>Recovery rate applied for 2018 (%)</w:t>
            </w:r>
          </w:p>
        </w:tc>
        <w:tc>
          <w:tcPr>
            <w:tcW w:w="2608" w:type="dxa"/>
            <w:gridSpan w:val="3"/>
            <w:tcBorders>
              <w:top w:val="single" w:sz="4" w:space="0" w:color="365F91"/>
              <w:left w:val="nil"/>
              <w:bottom w:val="nil"/>
              <w:right w:val="nil"/>
            </w:tcBorders>
            <w:shd w:val="clear" w:color="auto" w:fill="365F91"/>
            <w:vAlign w:val="bottom"/>
            <w:hideMark/>
          </w:tcPr>
          <w:p w14:paraId="7C084815" w14:textId="77777777" w:rsidR="00524720" w:rsidRPr="00D9348B" w:rsidRDefault="00524720">
            <w:pPr>
              <w:pStyle w:val="TableTextBold"/>
              <w:keepNext/>
              <w:spacing w:before="50" w:after="50"/>
              <w:jc w:val="center"/>
              <w:rPr>
                <w:noProof w:val="0"/>
                <w:color w:val="FFFFFF"/>
              </w:rPr>
            </w:pPr>
            <w:r w:rsidRPr="00D9348B">
              <w:rPr>
                <w:noProof w:val="0"/>
                <w:color w:val="FFFFFF"/>
              </w:rPr>
              <w:t>Methane recovered in 2018 (kt CH</w:t>
            </w:r>
            <w:r w:rsidRPr="00D9348B">
              <w:rPr>
                <w:noProof w:val="0"/>
                <w:color w:val="FFFFFF"/>
                <w:vertAlign w:val="subscript"/>
              </w:rPr>
              <w:t>4</w:t>
            </w:r>
            <w:r w:rsidRPr="00D9348B">
              <w:rPr>
                <w:noProof w:val="0"/>
                <w:color w:val="FFFFFF"/>
              </w:rPr>
              <w:t>)</w:t>
            </w:r>
          </w:p>
        </w:tc>
      </w:tr>
      <w:tr w:rsidR="00524720" w:rsidRPr="00D9348B" w14:paraId="7ED73D17" w14:textId="77777777" w:rsidTr="001E350B">
        <w:trPr>
          <w:trHeight w:val="275"/>
        </w:trPr>
        <w:tc>
          <w:tcPr>
            <w:tcW w:w="1191" w:type="dxa"/>
            <w:vMerge/>
            <w:tcBorders>
              <w:top w:val="single" w:sz="4" w:space="0" w:color="365F91"/>
              <w:left w:val="nil"/>
              <w:bottom w:val="single" w:sz="4" w:space="0" w:color="365F91"/>
              <w:right w:val="nil"/>
            </w:tcBorders>
            <w:vAlign w:val="center"/>
            <w:hideMark/>
          </w:tcPr>
          <w:p w14:paraId="0DA690C0" w14:textId="77777777" w:rsidR="00524720" w:rsidRPr="00D9348B" w:rsidRDefault="00524720">
            <w:pPr>
              <w:rPr>
                <w:b/>
                <w:color w:val="FFFFFF"/>
                <w:sz w:val="16"/>
              </w:rPr>
            </w:pPr>
          </w:p>
        </w:tc>
        <w:tc>
          <w:tcPr>
            <w:tcW w:w="0" w:type="auto"/>
            <w:vMerge/>
            <w:tcBorders>
              <w:top w:val="single" w:sz="4" w:space="0" w:color="365F91"/>
              <w:left w:val="nil"/>
              <w:bottom w:val="single" w:sz="4" w:space="0" w:color="365F91"/>
              <w:right w:val="nil"/>
            </w:tcBorders>
            <w:vAlign w:val="center"/>
            <w:hideMark/>
          </w:tcPr>
          <w:p w14:paraId="4A0BDFA1" w14:textId="77777777" w:rsidR="00524720" w:rsidRPr="00D9348B" w:rsidRDefault="00524720">
            <w:pPr>
              <w:rPr>
                <w:b/>
                <w:color w:val="FFFFFF"/>
                <w:sz w:val="16"/>
              </w:rPr>
            </w:pPr>
          </w:p>
        </w:tc>
        <w:tc>
          <w:tcPr>
            <w:tcW w:w="0" w:type="auto"/>
            <w:vMerge/>
            <w:tcBorders>
              <w:top w:val="single" w:sz="4" w:space="0" w:color="365F91"/>
              <w:left w:val="nil"/>
              <w:bottom w:val="single" w:sz="4" w:space="0" w:color="365F91"/>
              <w:right w:val="nil"/>
            </w:tcBorders>
            <w:vAlign w:val="center"/>
            <w:hideMark/>
          </w:tcPr>
          <w:p w14:paraId="448F0113" w14:textId="77777777" w:rsidR="00524720" w:rsidRPr="00D9348B" w:rsidRDefault="00524720">
            <w:pPr>
              <w:rPr>
                <w:b/>
                <w:color w:val="FFFFFF"/>
                <w:sz w:val="16"/>
              </w:rPr>
            </w:pPr>
          </w:p>
        </w:tc>
        <w:tc>
          <w:tcPr>
            <w:tcW w:w="0" w:type="auto"/>
            <w:vMerge/>
            <w:tcBorders>
              <w:top w:val="single" w:sz="4" w:space="0" w:color="365F91"/>
              <w:left w:val="nil"/>
              <w:bottom w:val="single" w:sz="4" w:space="0" w:color="365F91"/>
              <w:right w:val="nil"/>
            </w:tcBorders>
            <w:vAlign w:val="center"/>
            <w:hideMark/>
          </w:tcPr>
          <w:p w14:paraId="3D290AB9" w14:textId="77777777" w:rsidR="00524720" w:rsidRPr="00D9348B" w:rsidRDefault="00524720">
            <w:pPr>
              <w:rPr>
                <w:b/>
                <w:color w:val="FFFFFF"/>
                <w:sz w:val="16"/>
              </w:rPr>
            </w:pPr>
          </w:p>
        </w:tc>
        <w:tc>
          <w:tcPr>
            <w:tcW w:w="1140" w:type="dxa"/>
            <w:tcBorders>
              <w:top w:val="nil"/>
              <w:left w:val="nil"/>
              <w:bottom w:val="single" w:sz="4" w:space="0" w:color="365F91"/>
              <w:right w:val="nil"/>
            </w:tcBorders>
            <w:shd w:val="clear" w:color="auto" w:fill="365F91"/>
            <w:vAlign w:val="bottom"/>
            <w:hideMark/>
          </w:tcPr>
          <w:p w14:paraId="6A8D265C" w14:textId="77777777" w:rsidR="00524720" w:rsidRPr="00D9348B" w:rsidRDefault="00524720">
            <w:pPr>
              <w:pStyle w:val="TableTextBold"/>
              <w:keepNext/>
              <w:spacing w:before="50" w:after="50"/>
              <w:jc w:val="center"/>
              <w:rPr>
                <w:noProof w:val="0"/>
                <w:color w:val="FFFFFF"/>
              </w:rPr>
            </w:pPr>
            <w:r w:rsidRPr="00D9348B">
              <w:rPr>
                <w:noProof w:val="0"/>
                <w:color w:val="FFFFFF"/>
              </w:rPr>
              <w:t>Energy generation</w:t>
            </w:r>
          </w:p>
        </w:tc>
        <w:tc>
          <w:tcPr>
            <w:tcW w:w="755" w:type="dxa"/>
            <w:tcBorders>
              <w:top w:val="nil"/>
              <w:left w:val="nil"/>
              <w:bottom w:val="single" w:sz="4" w:space="0" w:color="365F91"/>
              <w:right w:val="nil"/>
            </w:tcBorders>
            <w:shd w:val="clear" w:color="auto" w:fill="365F91"/>
            <w:vAlign w:val="bottom"/>
            <w:hideMark/>
          </w:tcPr>
          <w:p w14:paraId="44057861" w14:textId="77777777" w:rsidR="00524720" w:rsidRPr="00D9348B" w:rsidRDefault="00524720">
            <w:pPr>
              <w:pStyle w:val="TableTextBold"/>
              <w:keepNext/>
              <w:spacing w:before="50" w:after="50"/>
              <w:jc w:val="center"/>
              <w:rPr>
                <w:noProof w:val="0"/>
                <w:color w:val="FFFFFF"/>
              </w:rPr>
            </w:pPr>
            <w:r w:rsidRPr="00D9348B">
              <w:rPr>
                <w:noProof w:val="0"/>
                <w:color w:val="FFFFFF"/>
              </w:rPr>
              <w:t>Flaring</w:t>
            </w:r>
          </w:p>
        </w:tc>
        <w:tc>
          <w:tcPr>
            <w:tcW w:w="713" w:type="dxa"/>
            <w:tcBorders>
              <w:top w:val="nil"/>
              <w:left w:val="nil"/>
              <w:bottom w:val="single" w:sz="4" w:space="0" w:color="365F91"/>
              <w:right w:val="nil"/>
            </w:tcBorders>
            <w:shd w:val="clear" w:color="auto" w:fill="365F91"/>
            <w:vAlign w:val="bottom"/>
            <w:hideMark/>
          </w:tcPr>
          <w:p w14:paraId="20E7FCBA" w14:textId="77777777" w:rsidR="00524720" w:rsidRPr="00D9348B" w:rsidRDefault="00524720">
            <w:pPr>
              <w:pStyle w:val="TableTextBold"/>
              <w:keepNext/>
              <w:spacing w:before="50" w:after="50"/>
              <w:jc w:val="center"/>
              <w:rPr>
                <w:noProof w:val="0"/>
                <w:color w:val="FFFFFF"/>
              </w:rPr>
            </w:pPr>
            <w:r w:rsidRPr="00D9348B">
              <w:rPr>
                <w:noProof w:val="0"/>
                <w:color w:val="FFFFFF"/>
              </w:rPr>
              <w:t>Total</w:t>
            </w:r>
          </w:p>
        </w:tc>
      </w:tr>
      <w:tr w:rsidR="00524720" w:rsidRPr="00D9348B" w14:paraId="194C200F" w14:textId="77777777" w:rsidTr="001E350B">
        <w:tc>
          <w:tcPr>
            <w:tcW w:w="1191" w:type="dxa"/>
            <w:tcBorders>
              <w:top w:val="single" w:sz="4" w:space="0" w:color="auto"/>
              <w:left w:val="nil"/>
              <w:bottom w:val="single" w:sz="4" w:space="0" w:color="365F91"/>
              <w:right w:val="nil"/>
            </w:tcBorders>
            <w:vAlign w:val="center"/>
            <w:hideMark/>
          </w:tcPr>
          <w:p w14:paraId="224F8D2C" w14:textId="77777777" w:rsidR="00524720" w:rsidRPr="00D9348B" w:rsidRDefault="00524720">
            <w:pPr>
              <w:pStyle w:val="TableText"/>
              <w:spacing w:before="50" w:after="50"/>
              <w:jc w:val="center"/>
            </w:pPr>
            <w:r w:rsidRPr="00D9348B">
              <w:t>Yes</w:t>
            </w:r>
          </w:p>
        </w:tc>
        <w:tc>
          <w:tcPr>
            <w:tcW w:w="2835" w:type="dxa"/>
            <w:tcBorders>
              <w:top w:val="single" w:sz="4" w:space="0" w:color="auto"/>
              <w:left w:val="nil"/>
              <w:bottom w:val="single" w:sz="4" w:space="0" w:color="365F91"/>
              <w:right w:val="nil"/>
            </w:tcBorders>
            <w:hideMark/>
          </w:tcPr>
          <w:p w14:paraId="60E7A786" w14:textId="77777777" w:rsidR="00524720" w:rsidRPr="00D9348B" w:rsidRDefault="00524720">
            <w:pPr>
              <w:pStyle w:val="TableText"/>
              <w:spacing w:before="50" w:after="50"/>
            </w:pPr>
            <w:r w:rsidRPr="00D9348B">
              <w:t>Indirect methods based on site conditions</w:t>
            </w:r>
          </w:p>
        </w:tc>
        <w:tc>
          <w:tcPr>
            <w:tcW w:w="851" w:type="dxa"/>
            <w:tcBorders>
              <w:top w:val="single" w:sz="4" w:space="0" w:color="365F91"/>
              <w:left w:val="nil"/>
              <w:bottom w:val="single" w:sz="4" w:space="0" w:color="365F91"/>
              <w:right w:val="nil"/>
            </w:tcBorders>
            <w:hideMark/>
          </w:tcPr>
          <w:p w14:paraId="3212B804" w14:textId="77777777" w:rsidR="00524720" w:rsidRPr="00D9348B" w:rsidRDefault="00524720">
            <w:pPr>
              <w:pStyle w:val="TableText"/>
              <w:spacing w:before="50" w:after="50"/>
              <w:jc w:val="center"/>
            </w:pPr>
            <w:r w:rsidRPr="00D9348B">
              <w:t>7</w:t>
            </w:r>
          </w:p>
        </w:tc>
        <w:tc>
          <w:tcPr>
            <w:tcW w:w="1134" w:type="dxa"/>
            <w:tcBorders>
              <w:top w:val="single" w:sz="4" w:space="0" w:color="365F91"/>
              <w:left w:val="nil"/>
              <w:bottom w:val="single" w:sz="4" w:space="0" w:color="365F91"/>
              <w:right w:val="nil"/>
            </w:tcBorders>
            <w:hideMark/>
          </w:tcPr>
          <w:p w14:paraId="132A405B" w14:textId="77777777" w:rsidR="00524720" w:rsidRPr="00D9348B" w:rsidRDefault="00524720">
            <w:pPr>
              <w:pStyle w:val="TableText"/>
              <w:spacing w:before="50" w:after="50"/>
              <w:jc w:val="center"/>
            </w:pPr>
            <w:r w:rsidRPr="00D9348B">
              <w:t>4–90</w:t>
            </w:r>
          </w:p>
        </w:tc>
        <w:tc>
          <w:tcPr>
            <w:tcW w:w="1140" w:type="dxa"/>
            <w:tcBorders>
              <w:top w:val="single" w:sz="4" w:space="0" w:color="365F91"/>
              <w:left w:val="nil"/>
              <w:bottom w:val="single" w:sz="4" w:space="0" w:color="365F91"/>
              <w:right w:val="nil"/>
            </w:tcBorders>
            <w:hideMark/>
          </w:tcPr>
          <w:p w14:paraId="56F3A0CC" w14:textId="77777777" w:rsidR="00524720" w:rsidRPr="00D9348B" w:rsidRDefault="00524720">
            <w:pPr>
              <w:pStyle w:val="TableText"/>
              <w:spacing w:before="50" w:after="50"/>
              <w:jc w:val="center"/>
            </w:pPr>
            <w:r w:rsidRPr="00D9348B">
              <w:t>9.9</w:t>
            </w:r>
          </w:p>
        </w:tc>
        <w:tc>
          <w:tcPr>
            <w:tcW w:w="755" w:type="dxa"/>
            <w:tcBorders>
              <w:top w:val="single" w:sz="4" w:space="0" w:color="365F91"/>
              <w:left w:val="nil"/>
              <w:bottom w:val="single" w:sz="4" w:space="0" w:color="365F91"/>
              <w:right w:val="nil"/>
            </w:tcBorders>
            <w:hideMark/>
          </w:tcPr>
          <w:p w14:paraId="5B6CA5B9" w14:textId="77777777" w:rsidR="00524720" w:rsidRPr="00D9348B" w:rsidRDefault="00524720">
            <w:pPr>
              <w:pStyle w:val="TableText"/>
              <w:spacing w:before="50" w:after="50"/>
              <w:jc w:val="center"/>
            </w:pPr>
            <w:r w:rsidRPr="00D9348B">
              <w:t>4.0</w:t>
            </w:r>
          </w:p>
        </w:tc>
        <w:tc>
          <w:tcPr>
            <w:tcW w:w="713" w:type="dxa"/>
            <w:tcBorders>
              <w:top w:val="single" w:sz="4" w:space="0" w:color="365F91"/>
              <w:left w:val="nil"/>
              <w:bottom w:val="single" w:sz="4" w:space="0" w:color="365F91"/>
              <w:right w:val="nil"/>
            </w:tcBorders>
            <w:hideMark/>
          </w:tcPr>
          <w:p w14:paraId="721E8E75" w14:textId="77777777" w:rsidR="00524720" w:rsidRPr="00D9348B" w:rsidRDefault="00524720">
            <w:pPr>
              <w:pStyle w:val="TableText"/>
              <w:spacing w:before="50" w:after="50"/>
              <w:jc w:val="center"/>
            </w:pPr>
            <w:r w:rsidRPr="00D9348B">
              <w:t>13.9</w:t>
            </w:r>
          </w:p>
        </w:tc>
      </w:tr>
      <w:tr w:rsidR="00524720" w:rsidRPr="00D9348B" w14:paraId="2A57A18B" w14:textId="77777777" w:rsidTr="001E350B">
        <w:tc>
          <w:tcPr>
            <w:tcW w:w="1191" w:type="dxa"/>
            <w:vMerge w:val="restart"/>
            <w:tcBorders>
              <w:top w:val="single" w:sz="4" w:space="0" w:color="365F91"/>
              <w:left w:val="nil"/>
              <w:bottom w:val="single" w:sz="4" w:space="0" w:color="365F91"/>
              <w:right w:val="nil"/>
            </w:tcBorders>
            <w:vAlign w:val="center"/>
            <w:hideMark/>
          </w:tcPr>
          <w:p w14:paraId="1876952D" w14:textId="77777777" w:rsidR="00524720" w:rsidRPr="00D9348B" w:rsidRDefault="00524720">
            <w:pPr>
              <w:pStyle w:val="TableText"/>
              <w:spacing w:before="50" w:after="50"/>
              <w:jc w:val="center"/>
            </w:pPr>
            <w:r w:rsidRPr="00D9348B">
              <w:t>No</w:t>
            </w:r>
          </w:p>
        </w:tc>
        <w:tc>
          <w:tcPr>
            <w:tcW w:w="2835" w:type="dxa"/>
            <w:tcBorders>
              <w:top w:val="single" w:sz="4" w:space="0" w:color="365F91"/>
              <w:left w:val="nil"/>
              <w:bottom w:val="single" w:sz="4" w:space="0" w:color="365F91"/>
              <w:right w:val="nil"/>
            </w:tcBorders>
            <w:hideMark/>
          </w:tcPr>
          <w:p w14:paraId="18459BE4" w14:textId="77777777" w:rsidR="00524720" w:rsidRPr="00D9348B" w:rsidRDefault="00524720">
            <w:pPr>
              <w:pStyle w:val="TableText"/>
              <w:spacing w:before="50" w:after="50"/>
            </w:pPr>
            <w:r w:rsidRPr="00D9348B">
              <w:t>Direct evidence of gas-flow rate in 2009</w:t>
            </w:r>
          </w:p>
        </w:tc>
        <w:tc>
          <w:tcPr>
            <w:tcW w:w="851" w:type="dxa"/>
            <w:tcBorders>
              <w:top w:val="single" w:sz="4" w:space="0" w:color="365F91"/>
              <w:left w:val="nil"/>
              <w:bottom w:val="single" w:sz="4" w:space="0" w:color="365F91"/>
              <w:right w:val="nil"/>
            </w:tcBorders>
            <w:hideMark/>
          </w:tcPr>
          <w:p w14:paraId="417A4AAD" w14:textId="77777777" w:rsidR="00524720" w:rsidRPr="00D9348B" w:rsidRDefault="00524720">
            <w:pPr>
              <w:pStyle w:val="TableText"/>
              <w:spacing w:before="50" w:after="50"/>
              <w:jc w:val="center"/>
            </w:pPr>
            <w:r w:rsidRPr="00D9348B">
              <w:t>4</w:t>
            </w:r>
          </w:p>
        </w:tc>
        <w:tc>
          <w:tcPr>
            <w:tcW w:w="1134" w:type="dxa"/>
            <w:tcBorders>
              <w:top w:val="single" w:sz="4" w:space="0" w:color="365F91"/>
              <w:left w:val="nil"/>
              <w:bottom w:val="single" w:sz="4" w:space="0" w:color="365F91"/>
              <w:right w:val="nil"/>
            </w:tcBorders>
            <w:hideMark/>
          </w:tcPr>
          <w:p w14:paraId="0B8FA851" w14:textId="77777777" w:rsidR="00524720" w:rsidRPr="00D9348B" w:rsidRDefault="00524720">
            <w:pPr>
              <w:pStyle w:val="TableText"/>
              <w:spacing w:before="50" w:after="50"/>
              <w:jc w:val="center"/>
            </w:pPr>
            <w:r w:rsidRPr="00D9348B">
              <w:t>41–90</w:t>
            </w:r>
          </w:p>
        </w:tc>
        <w:tc>
          <w:tcPr>
            <w:tcW w:w="1140" w:type="dxa"/>
            <w:tcBorders>
              <w:top w:val="single" w:sz="4" w:space="0" w:color="365F91"/>
              <w:left w:val="nil"/>
              <w:bottom w:val="single" w:sz="4" w:space="0" w:color="365F91"/>
              <w:right w:val="nil"/>
            </w:tcBorders>
            <w:hideMark/>
          </w:tcPr>
          <w:p w14:paraId="2138DA42" w14:textId="77777777" w:rsidR="00524720" w:rsidRPr="00D9348B" w:rsidRDefault="00524720">
            <w:pPr>
              <w:pStyle w:val="TableText"/>
              <w:spacing w:before="50" w:after="50"/>
              <w:jc w:val="center"/>
            </w:pPr>
            <w:r w:rsidRPr="00D9348B">
              <w:t>25.1</w:t>
            </w:r>
          </w:p>
        </w:tc>
        <w:tc>
          <w:tcPr>
            <w:tcW w:w="755" w:type="dxa"/>
            <w:tcBorders>
              <w:top w:val="single" w:sz="4" w:space="0" w:color="365F91"/>
              <w:left w:val="nil"/>
              <w:bottom w:val="single" w:sz="4" w:space="0" w:color="365F91"/>
              <w:right w:val="nil"/>
            </w:tcBorders>
            <w:hideMark/>
          </w:tcPr>
          <w:p w14:paraId="1D19DD9C" w14:textId="77777777" w:rsidR="00524720" w:rsidRPr="00D9348B" w:rsidRDefault="00524720">
            <w:pPr>
              <w:pStyle w:val="TableText"/>
              <w:spacing w:before="50" w:after="50"/>
              <w:jc w:val="center"/>
            </w:pPr>
            <w:r w:rsidRPr="00D9348B">
              <w:t>1.6</w:t>
            </w:r>
          </w:p>
        </w:tc>
        <w:tc>
          <w:tcPr>
            <w:tcW w:w="713" w:type="dxa"/>
            <w:tcBorders>
              <w:top w:val="single" w:sz="4" w:space="0" w:color="365F91"/>
              <w:left w:val="nil"/>
              <w:bottom w:val="single" w:sz="4" w:space="0" w:color="365F91"/>
              <w:right w:val="nil"/>
            </w:tcBorders>
            <w:hideMark/>
          </w:tcPr>
          <w:p w14:paraId="04577607" w14:textId="77777777" w:rsidR="00524720" w:rsidRPr="00D9348B" w:rsidRDefault="00524720">
            <w:pPr>
              <w:pStyle w:val="TableText"/>
              <w:spacing w:before="50" w:after="50"/>
              <w:jc w:val="center"/>
            </w:pPr>
            <w:r w:rsidRPr="00D9348B">
              <w:t>26.7</w:t>
            </w:r>
          </w:p>
        </w:tc>
      </w:tr>
      <w:tr w:rsidR="00524720" w:rsidRPr="00D9348B" w14:paraId="74C8BC50" w14:textId="77777777" w:rsidTr="001E350B">
        <w:tc>
          <w:tcPr>
            <w:tcW w:w="1191" w:type="dxa"/>
            <w:vMerge/>
            <w:tcBorders>
              <w:top w:val="single" w:sz="4" w:space="0" w:color="365F91"/>
              <w:left w:val="nil"/>
              <w:bottom w:val="single" w:sz="4" w:space="0" w:color="365F91"/>
              <w:right w:val="nil"/>
            </w:tcBorders>
            <w:vAlign w:val="center"/>
            <w:hideMark/>
          </w:tcPr>
          <w:p w14:paraId="7EDD1168" w14:textId="77777777" w:rsidR="00524720" w:rsidRPr="00D9348B" w:rsidRDefault="00524720">
            <w:pPr>
              <w:rPr>
                <w:sz w:val="16"/>
              </w:rPr>
            </w:pPr>
          </w:p>
        </w:tc>
        <w:tc>
          <w:tcPr>
            <w:tcW w:w="2835" w:type="dxa"/>
            <w:tcBorders>
              <w:top w:val="single" w:sz="4" w:space="0" w:color="365F91"/>
              <w:left w:val="nil"/>
              <w:bottom w:val="single" w:sz="4" w:space="0" w:color="365F91"/>
              <w:right w:val="nil"/>
            </w:tcBorders>
            <w:hideMark/>
          </w:tcPr>
          <w:p w14:paraId="01F1C0AA" w14:textId="77777777" w:rsidR="00524720" w:rsidRPr="00D9348B" w:rsidRDefault="00524720">
            <w:pPr>
              <w:pStyle w:val="TableText"/>
              <w:spacing w:before="50" w:after="50"/>
            </w:pPr>
            <w:r w:rsidRPr="00D9348B">
              <w:t>Evidence of energy generation in 2009</w:t>
            </w:r>
          </w:p>
        </w:tc>
        <w:tc>
          <w:tcPr>
            <w:tcW w:w="851" w:type="dxa"/>
            <w:tcBorders>
              <w:top w:val="single" w:sz="4" w:space="0" w:color="365F91"/>
              <w:left w:val="nil"/>
              <w:bottom w:val="single" w:sz="4" w:space="0" w:color="365F91"/>
              <w:right w:val="nil"/>
            </w:tcBorders>
            <w:hideMark/>
          </w:tcPr>
          <w:p w14:paraId="3278F33B" w14:textId="77777777" w:rsidR="00524720" w:rsidRPr="00D9348B" w:rsidRDefault="00524720">
            <w:pPr>
              <w:pStyle w:val="TableText"/>
              <w:spacing w:before="50" w:after="50"/>
              <w:jc w:val="center"/>
            </w:pPr>
            <w:r w:rsidRPr="00D9348B">
              <w:t>1</w:t>
            </w:r>
          </w:p>
        </w:tc>
        <w:tc>
          <w:tcPr>
            <w:tcW w:w="1134" w:type="dxa"/>
            <w:tcBorders>
              <w:top w:val="single" w:sz="4" w:space="0" w:color="365F91"/>
              <w:left w:val="nil"/>
              <w:bottom w:val="single" w:sz="4" w:space="0" w:color="365F91"/>
              <w:right w:val="nil"/>
            </w:tcBorders>
            <w:hideMark/>
          </w:tcPr>
          <w:p w14:paraId="6517DE20" w14:textId="77777777" w:rsidR="00524720" w:rsidRPr="00D9348B" w:rsidRDefault="00524720">
            <w:pPr>
              <w:pStyle w:val="TableText"/>
              <w:spacing w:before="50" w:after="50"/>
              <w:jc w:val="center"/>
            </w:pPr>
            <w:r w:rsidRPr="00D9348B">
              <w:t>47</w:t>
            </w:r>
          </w:p>
        </w:tc>
        <w:tc>
          <w:tcPr>
            <w:tcW w:w="1140" w:type="dxa"/>
            <w:tcBorders>
              <w:top w:val="single" w:sz="4" w:space="0" w:color="365F91"/>
              <w:left w:val="nil"/>
              <w:bottom w:val="single" w:sz="4" w:space="0" w:color="365F91"/>
              <w:right w:val="nil"/>
            </w:tcBorders>
            <w:hideMark/>
          </w:tcPr>
          <w:p w14:paraId="5FB14B3D" w14:textId="77777777" w:rsidR="00524720" w:rsidRPr="00D9348B" w:rsidRDefault="00524720">
            <w:pPr>
              <w:pStyle w:val="TableText"/>
              <w:spacing w:before="50" w:after="50"/>
              <w:jc w:val="center"/>
              <w:rPr>
                <w:rFonts w:cs="Arial"/>
                <w:szCs w:val="16"/>
              </w:rPr>
            </w:pPr>
            <w:r w:rsidRPr="00D9348B">
              <w:t>1.0</w:t>
            </w:r>
          </w:p>
        </w:tc>
        <w:tc>
          <w:tcPr>
            <w:tcW w:w="755" w:type="dxa"/>
            <w:tcBorders>
              <w:top w:val="single" w:sz="4" w:space="0" w:color="365F91"/>
              <w:left w:val="nil"/>
              <w:bottom w:val="single" w:sz="4" w:space="0" w:color="365F91"/>
              <w:right w:val="nil"/>
            </w:tcBorders>
            <w:hideMark/>
          </w:tcPr>
          <w:p w14:paraId="2FA0464B" w14:textId="77777777" w:rsidR="00524720" w:rsidRPr="00D9348B" w:rsidRDefault="00524720">
            <w:pPr>
              <w:pStyle w:val="TableText"/>
              <w:spacing w:before="50" w:after="50"/>
              <w:jc w:val="center"/>
              <w:rPr>
                <w:rFonts w:cs="Arial"/>
                <w:szCs w:val="16"/>
              </w:rPr>
            </w:pPr>
            <w:r w:rsidRPr="00D9348B">
              <w:t>–</w:t>
            </w:r>
          </w:p>
        </w:tc>
        <w:tc>
          <w:tcPr>
            <w:tcW w:w="713" w:type="dxa"/>
            <w:tcBorders>
              <w:top w:val="single" w:sz="4" w:space="0" w:color="365F91"/>
              <w:left w:val="nil"/>
              <w:bottom w:val="single" w:sz="4" w:space="0" w:color="365F91"/>
              <w:right w:val="nil"/>
            </w:tcBorders>
            <w:hideMark/>
          </w:tcPr>
          <w:p w14:paraId="32B56AA3" w14:textId="77777777" w:rsidR="00524720" w:rsidRPr="00D9348B" w:rsidRDefault="00524720">
            <w:pPr>
              <w:pStyle w:val="TableText"/>
              <w:spacing w:before="50" w:after="50"/>
              <w:jc w:val="center"/>
              <w:rPr>
                <w:rFonts w:cs="Arial"/>
                <w:szCs w:val="16"/>
              </w:rPr>
            </w:pPr>
            <w:r w:rsidRPr="00D9348B">
              <w:t>1.0</w:t>
            </w:r>
          </w:p>
        </w:tc>
      </w:tr>
      <w:tr w:rsidR="00524720" w:rsidRPr="00D9348B" w14:paraId="34226C99" w14:textId="77777777" w:rsidTr="001E350B">
        <w:tc>
          <w:tcPr>
            <w:tcW w:w="1191" w:type="dxa"/>
            <w:vMerge/>
            <w:tcBorders>
              <w:top w:val="single" w:sz="4" w:space="0" w:color="365F91"/>
              <w:left w:val="nil"/>
              <w:bottom w:val="single" w:sz="4" w:space="0" w:color="365F91"/>
              <w:right w:val="nil"/>
            </w:tcBorders>
            <w:vAlign w:val="center"/>
            <w:hideMark/>
          </w:tcPr>
          <w:p w14:paraId="53ED45BE" w14:textId="77777777" w:rsidR="00524720" w:rsidRPr="00D9348B" w:rsidRDefault="00524720">
            <w:pPr>
              <w:rPr>
                <w:sz w:val="16"/>
              </w:rPr>
            </w:pPr>
          </w:p>
        </w:tc>
        <w:tc>
          <w:tcPr>
            <w:tcW w:w="2835" w:type="dxa"/>
            <w:tcBorders>
              <w:top w:val="single" w:sz="4" w:space="0" w:color="365F91"/>
              <w:left w:val="nil"/>
              <w:bottom w:val="single" w:sz="4" w:space="0" w:color="365F91"/>
              <w:right w:val="nil"/>
            </w:tcBorders>
            <w:hideMark/>
          </w:tcPr>
          <w:p w14:paraId="50996D74" w14:textId="77777777" w:rsidR="00524720" w:rsidRPr="00D9348B" w:rsidRDefault="00524720">
            <w:pPr>
              <w:pStyle w:val="TableText"/>
              <w:spacing w:before="50" w:after="50"/>
            </w:pPr>
            <w:r w:rsidRPr="00D9348B">
              <w:t>Indirect methods based on site conditions</w:t>
            </w:r>
          </w:p>
        </w:tc>
        <w:tc>
          <w:tcPr>
            <w:tcW w:w="851" w:type="dxa"/>
            <w:tcBorders>
              <w:top w:val="single" w:sz="4" w:space="0" w:color="365F91"/>
              <w:left w:val="nil"/>
              <w:bottom w:val="single" w:sz="4" w:space="0" w:color="365F91"/>
              <w:right w:val="nil"/>
            </w:tcBorders>
            <w:hideMark/>
          </w:tcPr>
          <w:p w14:paraId="2908D668" w14:textId="77777777" w:rsidR="00524720" w:rsidRPr="00D9348B" w:rsidRDefault="00524720">
            <w:pPr>
              <w:pStyle w:val="TableText"/>
              <w:spacing w:before="50" w:after="50"/>
              <w:jc w:val="center"/>
            </w:pPr>
            <w:r w:rsidRPr="00D9348B">
              <w:t>14</w:t>
            </w:r>
          </w:p>
        </w:tc>
        <w:tc>
          <w:tcPr>
            <w:tcW w:w="1134" w:type="dxa"/>
            <w:tcBorders>
              <w:top w:val="single" w:sz="4" w:space="0" w:color="365F91"/>
              <w:left w:val="nil"/>
              <w:bottom w:val="single" w:sz="4" w:space="0" w:color="365F91"/>
              <w:right w:val="nil"/>
            </w:tcBorders>
            <w:hideMark/>
          </w:tcPr>
          <w:p w14:paraId="53161066" w14:textId="77777777" w:rsidR="00524720" w:rsidRPr="00D9348B" w:rsidRDefault="00524720">
            <w:pPr>
              <w:pStyle w:val="TableText"/>
              <w:spacing w:before="50" w:after="50"/>
              <w:jc w:val="center"/>
            </w:pPr>
            <w:r w:rsidRPr="00D9348B">
              <w:t>25–90</w:t>
            </w:r>
          </w:p>
        </w:tc>
        <w:tc>
          <w:tcPr>
            <w:tcW w:w="1140" w:type="dxa"/>
            <w:tcBorders>
              <w:top w:val="single" w:sz="4" w:space="0" w:color="365F91"/>
              <w:left w:val="nil"/>
              <w:bottom w:val="single" w:sz="4" w:space="0" w:color="365F91"/>
              <w:right w:val="nil"/>
            </w:tcBorders>
            <w:hideMark/>
          </w:tcPr>
          <w:p w14:paraId="107FF0E0" w14:textId="77777777" w:rsidR="00524720" w:rsidRPr="00D9348B" w:rsidRDefault="00524720">
            <w:pPr>
              <w:pStyle w:val="TableText"/>
              <w:spacing w:before="50" w:after="50"/>
              <w:jc w:val="center"/>
              <w:rPr>
                <w:rFonts w:cs="Arial"/>
                <w:szCs w:val="16"/>
              </w:rPr>
            </w:pPr>
            <w:r w:rsidRPr="00D9348B">
              <w:t>22.5</w:t>
            </w:r>
          </w:p>
        </w:tc>
        <w:tc>
          <w:tcPr>
            <w:tcW w:w="755" w:type="dxa"/>
            <w:tcBorders>
              <w:top w:val="single" w:sz="4" w:space="0" w:color="365F91"/>
              <w:left w:val="nil"/>
              <w:bottom w:val="single" w:sz="4" w:space="0" w:color="365F91"/>
              <w:right w:val="nil"/>
            </w:tcBorders>
            <w:hideMark/>
          </w:tcPr>
          <w:p w14:paraId="1748705C" w14:textId="77777777" w:rsidR="00524720" w:rsidRPr="00D9348B" w:rsidRDefault="00524720">
            <w:pPr>
              <w:pStyle w:val="TableText"/>
              <w:spacing w:before="50" w:after="50"/>
              <w:jc w:val="center"/>
              <w:rPr>
                <w:rFonts w:cs="Arial"/>
                <w:szCs w:val="16"/>
              </w:rPr>
            </w:pPr>
            <w:r w:rsidRPr="00D9348B">
              <w:t>3.2</w:t>
            </w:r>
          </w:p>
        </w:tc>
        <w:tc>
          <w:tcPr>
            <w:tcW w:w="713" w:type="dxa"/>
            <w:tcBorders>
              <w:top w:val="single" w:sz="4" w:space="0" w:color="365F91"/>
              <w:left w:val="nil"/>
              <w:bottom w:val="single" w:sz="4" w:space="0" w:color="365F91"/>
              <w:right w:val="nil"/>
            </w:tcBorders>
            <w:hideMark/>
          </w:tcPr>
          <w:p w14:paraId="510B28A0" w14:textId="77777777" w:rsidR="00524720" w:rsidRPr="00D9348B" w:rsidRDefault="00524720">
            <w:pPr>
              <w:pStyle w:val="TableText"/>
              <w:spacing w:before="50" w:after="50"/>
              <w:jc w:val="center"/>
              <w:rPr>
                <w:rFonts w:cs="Arial"/>
                <w:szCs w:val="16"/>
              </w:rPr>
            </w:pPr>
            <w:r w:rsidRPr="00D9348B">
              <w:t>25.7</w:t>
            </w:r>
          </w:p>
        </w:tc>
      </w:tr>
      <w:tr w:rsidR="00524720" w:rsidRPr="00D9348B" w14:paraId="3AF99A16" w14:textId="77777777" w:rsidTr="001E350B">
        <w:tc>
          <w:tcPr>
            <w:tcW w:w="1191" w:type="dxa"/>
            <w:tcBorders>
              <w:top w:val="single" w:sz="4" w:space="0" w:color="365F91"/>
              <w:left w:val="nil"/>
              <w:bottom w:val="single" w:sz="4" w:space="0" w:color="365F91"/>
              <w:right w:val="nil"/>
            </w:tcBorders>
            <w:hideMark/>
          </w:tcPr>
          <w:p w14:paraId="27AD07B2" w14:textId="77777777" w:rsidR="00524720" w:rsidRPr="00D9348B" w:rsidRDefault="00524720">
            <w:pPr>
              <w:pStyle w:val="TableText"/>
              <w:spacing w:before="50" w:after="50"/>
              <w:jc w:val="center"/>
              <w:rPr>
                <w:b/>
              </w:rPr>
            </w:pPr>
            <w:r w:rsidRPr="00D9348B">
              <w:rPr>
                <w:b/>
              </w:rPr>
              <w:t>Total</w:t>
            </w:r>
          </w:p>
        </w:tc>
        <w:tc>
          <w:tcPr>
            <w:tcW w:w="2835" w:type="dxa"/>
            <w:tcBorders>
              <w:top w:val="single" w:sz="4" w:space="0" w:color="365F91"/>
              <w:left w:val="nil"/>
              <w:bottom w:val="single" w:sz="4" w:space="0" w:color="365F91"/>
              <w:right w:val="nil"/>
            </w:tcBorders>
          </w:tcPr>
          <w:p w14:paraId="340CF089" w14:textId="77777777" w:rsidR="00524720" w:rsidRPr="00D9348B" w:rsidRDefault="00524720">
            <w:pPr>
              <w:pStyle w:val="TableText"/>
              <w:spacing w:before="50" w:after="50"/>
              <w:jc w:val="center"/>
              <w:rPr>
                <w:b/>
              </w:rPr>
            </w:pPr>
          </w:p>
        </w:tc>
        <w:tc>
          <w:tcPr>
            <w:tcW w:w="851" w:type="dxa"/>
            <w:tcBorders>
              <w:top w:val="single" w:sz="4" w:space="0" w:color="365F91"/>
              <w:left w:val="nil"/>
              <w:bottom w:val="single" w:sz="4" w:space="0" w:color="365F91"/>
              <w:right w:val="nil"/>
            </w:tcBorders>
            <w:hideMark/>
          </w:tcPr>
          <w:p w14:paraId="6F748C70" w14:textId="77777777" w:rsidR="00524720" w:rsidRPr="00D9348B" w:rsidRDefault="00524720">
            <w:pPr>
              <w:pStyle w:val="TableText"/>
              <w:spacing w:before="50" w:after="50"/>
              <w:jc w:val="center"/>
              <w:rPr>
                <w:b/>
              </w:rPr>
            </w:pPr>
            <w:r w:rsidRPr="00D9348B">
              <w:rPr>
                <w:b/>
              </w:rPr>
              <w:t>26</w:t>
            </w:r>
          </w:p>
        </w:tc>
        <w:tc>
          <w:tcPr>
            <w:tcW w:w="1134" w:type="dxa"/>
            <w:tcBorders>
              <w:top w:val="single" w:sz="4" w:space="0" w:color="365F91"/>
              <w:left w:val="nil"/>
              <w:bottom w:val="single" w:sz="4" w:space="0" w:color="365F91"/>
              <w:right w:val="nil"/>
            </w:tcBorders>
            <w:hideMark/>
          </w:tcPr>
          <w:p w14:paraId="653C8844" w14:textId="77777777" w:rsidR="00524720" w:rsidRPr="00D9348B" w:rsidRDefault="00524720">
            <w:pPr>
              <w:pStyle w:val="TableText"/>
              <w:spacing w:before="50" w:after="50"/>
              <w:jc w:val="center"/>
              <w:rPr>
                <w:b/>
              </w:rPr>
            </w:pPr>
            <w:r w:rsidRPr="00D9348B">
              <w:rPr>
                <w:b/>
              </w:rPr>
              <w:t>N/A</w:t>
            </w:r>
          </w:p>
        </w:tc>
        <w:tc>
          <w:tcPr>
            <w:tcW w:w="1140" w:type="dxa"/>
            <w:tcBorders>
              <w:top w:val="single" w:sz="4" w:space="0" w:color="365F91"/>
              <w:left w:val="nil"/>
              <w:bottom w:val="single" w:sz="4" w:space="0" w:color="365F91"/>
              <w:right w:val="nil"/>
            </w:tcBorders>
            <w:hideMark/>
          </w:tcPr>
          <w:p w14:paraId="5E4481FA" w14:textId="77777777" w:rsidR="00524720" w:rsidRPr="00D9348B" w:rsidRDefault="00524720">
            <w:pPr>
              <w:pStyle w:val="TableText"/>
              <w:spacing w:before="50" w:after="50"/>
              <w:jc w:val="center"/>
              <w:rPr>
                <w:rFonts w:cs="Arial"/>
                <w:b/>
                <w:szCs w:val="16"/>
              </w:rPr>
            </w:pPr>
            <w:r w:rsidRPr="00D9348B">
              <w:t>58.6</w:t>
            </w:r>
          </w:p>
        </w:tc>
        <w:tc>
          <w:tcPr>
            <w:tcW w:w="755" w:type="dxa"/>
            <w:tcBorders>
              <w:top w:val="single" w:sz="4" w:space="0" w:color="365F91"/>
              <w:left w:val="nil"/>
              <w:bottom w:val="single" w:sz="4" w:space="0" w:color="365F91"/>
              <w:right w:val="nil"/>
            </w:tcBorders>
            <w:hideMark/>
          </w:tcPr>
          <w:p w14:paraId="053B3588" w14:textId="77777777" w:rsidR="00524720" w:rsidRPr="00D9348B" w:rsidRDefault="00524720">
            <w:pPr>
              <w:pStyle w:val="TableText"/>
              <w:spacing w:before="50" w:after="50"/>
              <w:jc w:val="center"/>
              <w:rPr>
                <w:rFonts w:cs="Arial"/>
                <w:b/>
                <w:szCs w:val="16"/>
              </w:rPr>
            </w:pPr>
            <w:r w:rsidRPr="00D9348B">
              <w:t>8.7</w:t>
            </w:r>
          </w:p>
        </w:tc>
        <w:tc>
          <w:tcPr>
            <w:tcW w:w="713" w:type="dxa"/>
            <w:tcBorders>
              <w:top w:val="single" w:sz="4" w:space="0" w:color="365F91"/>
              <w:left w:val="nil"/>
              <w:bottom w:val="single" w:sz="4" w:space="0" w:color="365F91"/>
              <w:right w:val="nil"/>
            </w:tcBorders>
            <w:hideMark/>
          </w:tcPr>
          <w:p w14:paraId="4B81507D" w14:textId="77777777" w:rsidR="00524720" w:rsidRPr="00D9348B" w:rsidRDefault="00524720">
            <w:pPr>
              <w:pStyle w:val="TableText"/>
              <w:spacing w:before="50" w:after="50"/>
              <w:jc w:val="center"/>
              <w:rPr>
                <w:rFonts w:cs="Arial"/>
                <w:b/>
                <w:szCs w:val="16"/>
              </w:rPr>
            </w:pPr>
            <w:r w:rsidRPr="00D9348B">
              <w:t>67.3</w:t>
            </w:r>
          </w:p>
        </w:tc>
      </w:tr>
    </w:tbl>
    <w:p w14:paraId="14990D32" w14:textId="77777777" w:rsidR="00524720" w:rsidRPr="00D9348B" w:rsidRDefault="00524720" w:rsidP="00524720">
      <w:pPr>
        <w:pStyle w:val="Noteundertable"/>
      </w:pPr>
      <w:r w:rsidRPr="00D9348B">
        <w:rPr>
          <w:b/>
        </w:rPr>
        <w:t>Note:</w:t>
      </w:r>
      <w:r w:rsidRPr="00D9348B">
        <w:t xml:space="preserve"> </w:t>
      </w:r>
      <w:r w:rsidRPr="00D9348B">
        <w:tab/>
        <w:t>N/A = not applicable; NZ ETS = New Zealand Emissions Trading Scheme.</w:t>
      </w:r>
    </w:p>
    <w:p w14:paraId="4E9BEA6A" w14:textId="77777777" w:rsidR="00524720" w:rsidRPr="00D9348B" w:rsidRDefault="00524720" w:rsidP="00524720">
      <w:pPr>
        <w:pStyle w:val="BodyText"/>
      </w:pPr>
      <w:r w:rsidRPr="00D9348B">
        <w:t>For the sites and years that NZ ETS data are available, the UEF, which is based on gas collection data, determines the CH</w:t>
      </w:r>
      <w:r w:rsidRPr="00D9348B">
        <w:rPr>
          <w:vertAlign w:val="subscript"/>
        </w:rPr>
        <w:t>4</w:t>
      </w:r>
      <w:r w:rsidRPr="00D9348B">
        <w:t xml:space="preserve"> recovery rate applied in the inventory model. When NZ ETS data are not available, the amount of CH</w:t>
      </w:r>
      <w:r w:rsidRPr="00D9348B">
        <w:rPr>
          <w:vertAlign w:val="subscript"/>
        </w:rPr>
        <w:t xml:space="preserve">4 </w:t>
      </w:r>
      <w:r w:rsidRPr="00D9348B">
        <w:t>recovered is based on the assumptions used to model recovery rates, where only some historical gas-flow data are available from the research conducted on the recovery rates in 2009 (SKM, unpublished(b)).</w:t>
      </w:r>
    </w:p>
    <w:p w14:paraId="4E7CC7A3" w14:textId="77777777" w:rsidR="00524720" w:rsidRPr="00D9348B" w:rsidRDefault="00524720" w:rsidP="00524720">
      <w:pPr>
        <w:pStyle w:val="BodyText"/>
      </w:pPr>
      <w:r w:rsidRPr="00D9348B">
        <w:t>Based on reviews of previous submissions, New Zealand was recommended to use a recovery rate of 20 per cent. The 2006 IPCC Guidelines state that, when CH</w:t>
      </w:r>
      <w:r w:rsidRPr="00D9348B">
        <w:rPr>
          <w:vertAlign w:val="subscript"/>
        </w:rPr>
        <w:t>4</w:t>
      </w:r>
      <w:r w:rsidRPr="00D9348B">
        <w:t xml:space="preserve"> recovery is estimated on the basis of the number of solid waste disposal sites with LFG recovery, a default estimate of recovery would be 20 per cent (IPCC, 2006a). However, it is known that the collection efficiency varies greatly, depending on the technology used. New Zealand has detailed information about its municipal landfills, as well as evidence of actual recovery rates from historical metered data and from the NZ ETS. This provides assurance that the site-specific recovery rates used are appropriate. If New Zealand were to use the suggested recovery rate of 20 per cent it would have the effect of substantially underestimating CH</w:t>
      </w:r>
      <w:r w:rsidRPr="00D9348B">
        <w:rPr>
          <w:vertAlign w:val="subscript"/>
        </w:rPr>
        <w:t>4</w:t>
      </w:r>
      <w:r w:rsidRPr="00D9348B">
        <w:t xml:space="preserve"> recovery and therefore overestimating emissions for landfills with LFG recovery. Figure 7.2.2 demonstrates the effect on emissions from landfills with LFG recovery for the entire time series when the default recovery rate of 20 per cent is used.</w:t>
      </w:r>
    </w:p>
    <w:p w14:paraId="24039DF8" w14:textId="77777777" w:rsidR="00524720" w:rsidRPr="00D9348B" w:rsidRDefault="00524720" w:rsidP="00524720">
      <w:pPr>
        <w:pStyle w:val="BodyText"/>
      </w:pPr>
      <w:r w:rsidRPr="00D9348B">
        <w:t>Recovery rates vary across the time series because the LFG recovery technology has been progressively installed and upgraded. In the emissions estimates, the CH</w:t>
      </w:r>
      <w:r w:rsidRPr="00D9348B">
        <w:rPr>
          <w:vertAlign w:val="subscript"/>
        </w:rPr>
        <w:t>4</w:t>
      </w:r>
      <w:r w:rsidRPr="00D9348B">
        <w:t xml:space="preserve"> recovery rate is specified for each site by year based on either NZ ETS data, older gas-flow data or site-specific factors described above, taking into account when CH</w:t>
      </w:r>
      <w:r w:rsidRPr="00D9348B">
        <w:rPr>
          <w:vertAlign w:val="subscript"/>
        </w:rPr>
        <w:t>4</w:t>
      </w:r>
      <w:r w:rsidRPr="00D9348B">
        <w:t xml:space="preserve"> recovery began for each site. One site ceased CH</w:t>
      </w:r>
      <w:r w:rsidRPr="00D9348B">
        <w:rPr>
          <w:vertAlign w:val="subscript"/>
        </w:rPr>
        <w:t>4</w:t>
      </w:r>
      <w:r w:rsidRPr="00D9348B">
        <w:t xml:space="preserve"> recovery in 2006, and this is also taken into account. In 2018, recovery efficiencies varied from 4 per cent to 90 per cent over the landfills with recovery technology, excluding the site that no longer recovers CH</w:t>
      </w:r>
      <w:r w:rsidRPr="00D9348B">
        <w:rPr>
          <w:vertAlign w:val="subscript"/>
        </w:rPr>
        <w:t>4</w:t>
      </w:r>
      <w:r w:rsidRPr="00D9348B">
        <w:t>.</w:t>
      </w:r>
    </w:p>
    <w:p w14:paraId="39D00032" w14:textId="77777777" w:rsidR="00524720" w:rsidRPr="00D9348B" w:rsidRDefault="00524720" w:rsidP="00524720">
      <w:pPr>
        <w:pStyle w:val="BodyText"/>
      </w:pPr>
      <w:r w:rsidRPr="00D9348B">
        <w:lastRenderedPageBreak/>
        <w:t>When the varying amounts of CH</w:t>
      </w:r>
      <w:r w:rsidRPr="00D9348B">
        <w:rPr>
          <w:vertAlign w:val="subscript"/>
        </w:rPr>
        <w:t xml:space="preserve">4 </w:t>
      </w:r>
      <w:r w:rsidRPr="00D9348B">
        <w:t>generated at each site are taken into account, the total recovery rate for all 25 landfills can be determined. In 2018, 68 per cent of the CH</w:t>
      </w:r>
      <w:r w:rsidRPr="00D9348B">
        <w:rPr>
          <w:vertAlign w:val="subscript"/>
        </w:rPr>
        <w:t xml:space="preserve">4 </w:t>
      </w:r>
      <w:r w:rsidRPr="00D9348B">
        <w:t>generated was recovered. Even as waste placement volumes have increased across the time series, overall emissions from landfills with LFG recovery have generally declined since 2002. This is due to LFG recovery technology being progressively deployed across landfills, which has increased the amount of CH</w:t>
      </w:r>
      <w:r w:rsidRPr="00D9348B">
        <w:rPr>
          <w:vertAlign w:val="subscript"/>
        </w:rPr>
        <w:t>4</w:t>
      </w:r>
      <w:r w:rsidRPr="00D9348B">
        <w:t xml:space="preserve"> being recovered faster than the increase in generated CH</w:t>
      </w:r>
      <w:r w:rsidRPr="00D9348B">
        <w:rPr>
          <w:vertAlign w:val="subscript"/>
        </w:rPr>
        <w:t>4</w:t>
      </w:r>
      <w:r w:rsidRPr="00D9348B">
        <w:t>. Figure 7.2.2 shows how emissions have changed over the time series, as well as the emissions from landfills with LFG calculated when applying the IPCC default recovery rate of 20 per cent. The absolute amount of emissions and the trend of the emissions are significantly different when applying the default recovery rate and do not reflect the improvements to landfill management in New Zealand over the past 25 years.</w:t>
      </w:r>
    </w:p>
    <w:p w14:paraId="7BA4547A" w14:textId="61B16B7A" w:rsidR="00524720" w:rsidRPr="00D9348B" w:rsidRDefault="00524720" w:rsidP="00524720">
      <w:pPr>
        <w:pStyle w:val="BodyText"/>
      </w:pPr>
      <w:r w:rsidRPr="00D9348B">
        <w:t>According to United States Environmental Protection Agency estimates, collection efficiencies</w:t>
      </w:r>
      <w:r w:rsidR="002F217A" w:rsidRPr="00D9348B">
        <w:t> </w:t>
      </w:r>
      <w:r w:rsidRPr="00D9348B">
        <w:t>for a typical landfill collection system range between 60 per cent and 85 per cent.</w:t>
      </w:r>
      <w:r w:rsidR="00F006B3" w:rsidRPr="00D9348B">
        <w:t> </w:t>
      </w:r>
      <w:r w:rsidRPr="00D9348B">
        <w:t>Nevertheless, various international reports and studies have confirmed that collection efficiencies can be greater than 90 per cent in sites with effective LFG management. In New</w:t>
      </w:r>
      <w:r w:rsidR="00F006B3" w:rsidRPr="00D9348B">
        <w:t> </w:t>
      </w:r>
      <w:r w:rsidRPr="00D9348B">
        <w:t>Zealand, the landfill sites registering the highest values correspond to larger regional facilities operating for a long time, therefore, it is reasonable that the high collection efficiencies reported here are not too high (Tonkin and Taylor Ltd, unpublished(c)).</w:t>
      </w:r>
    </w:p>
    <w:p w14:paraId="6A49D61C" w14:textId="77777777" w:rsidR="00524720" w:rsidRPr="00D9348B" w:rsidRDefault="00524720" w:rsidP="00524720">
      <w:pPr>
        <w:pStyle w:val="Figure"/>
        <w:rPr>
          <w:rFonts w:cs="Arial"/>
        </w:rPr>
      </w:pPr>
      <w:bookmarkStart w:id="2713" w:name="_Toc5269720"/>
      <w:bookmarkStart w:id="2714" w:name="_Toc511116992"/>
      <w:bookmarkStart w:id="2715" w:name="_Toc32828379"/>
      <w:bookmarkStart w:id="2716" w:name="_Toc36292823"/>
      <w:r w:rsidRPr="00D9348B">
        <w:rPr>
          <w:rFonts w:cs="Arial"/>
        </w:rPr>
        <w:t>Figure 7.2.2</w:t>
      </w:r>
      <w:r w:rsidRPr="00D9348B">
        <w:rPr>
          <w:rFonts w:cs="Arial"/>
        </w:rPr>
        <w:tab/>
        <w:t>Effect on emissions from landfills with landfill gas (LFG) recovery</w:t>
      </w:r>
      <w:r w:rsidRPr="00D9348B">
        <w:rPr>
          <w:rFonts w:cs="Arial"/>
        </w:rPr>
        <w:br/>
        <w:t>when using default methane recovery rate from 1990 to </w:t>
      </w:r>
      <w:bookmarkEnd w:id="2713"/>
      <w:bookmarkEnd w:id="2714"/>
      <w:r w:rsidRPr="00D9348B">
        <w:rPr>
          <w:rFonts w:cs="Arial"/>
        </w:rPr>
        <w:t>2018</w:t>
      </w:r>
      <w:bookmarkEnd w:id="2715"/>
      <w:bookmarkEnd w:id="2716"/>
    </w:p>
    <w:p w14:paraId="2DA7F1E0" w14:textId="77777777" w:rsidR="00524720" w:rsidRPr="00D9348B" w:rsidRDefault="007165CF" w:rsidP="00524720">
      <w:pPr>
        <w:pStyle w:val="BodyText"/>
        <w:spacing w:before="0"/>
      </w:pPr>
      <w:r>
        <w:pict w14:anchorId="14FFAAD0">
          <v:shape id="_x0000_i1154" type="#_x0000_t75" style="width:403.2pt;height:272.95pt;visibility:visible;mso-wrap-style:square">
            <v:imagedata r:id="rId244" o:title=""/>
          </v:shape>
        </w:pict>
      </w:r>
    </w:p>
    <w:p w14:paraId="1EF6E1F6" w14:textId="77777777" w:rsidR="00524720" w:rsidRPr="00D9348B" w:rsidRDefault="00524720" w:rsidP="00524720">
      <w:pPr>
        <w:pStyle w:val="Heading6"/>
      </w:pPr>
      <w:r w:rsidRPr="00D9348B">
        <w:t>Summary of parameters used</w:t>
      </w:r>
    </w:p>
    <w:p w14:paraId="00476E11" w14:textId="77777777" w:rsidR="00524720" w:rsidRPr="00D9348B" w:rsidRDefault="00524720" w:rsidP="00C376D8">
      <w:pPr>
        <w:pStyle w:val="BodyText"/>
      </w:pPr>
      <w:r w:rsidRPr="00D9348B">
        <w:t>Table 7.2.8 gives a summary of the parameter values that have been applied for estimating CH</w:t>
      </w:r>
      <w:r w:rsidRPr="00D9348B">
        <w:rPr>
          <w:vertAlign w:val="subscript"/>
        </w:rPr>
        <w:t>4</w:t>
      </w:r>
      <w:r w:rsidRPr="00D9348B">
        <w:t xml:space="preserve"> emissions for solid waste disposed to municipal landfills. </w:t>
      </w:r>
    </w:p>
    <w:p w14:paraId="4F563188" w14:textId="77777777" w:rsidR="00524720" w:rsidRPr="00D9348B" w:rsidRDefault="00524720" w:rsidP="00524720">
      <w:pPr>
        <w:pStyle w:val="Table"/>
      </w:pPr>
      <w:bookmarkStart w:id="2717" w:name="_Toc32828525"/>
      <w:bookmarkStart w:id="2718" w:name="_Toc32591355"/>
      <w:bookmarkStart w:id="2719" w:name="_Toc5269567"/>
      <w:bookmarkStart w:id="2720" w:name="_Toc511116826"/>
      <w:bookmarkStart w:id="2721" w:name="_Toc508019328"/>
      <w:bookmarkStart w:id="2722" w:name="_Toc481751603"/>
      <w:bookmarkStart w:id="2723" w:name="_Toc451176173"/>
      <w:bookmarkStart w:id="2724" w:name="_Toc444001621"/>
      <w:bookmarkStart w:id="2725" w:name="_Toc36224648"/>
      <w:r w:rsidRPr="00D9348B">
        <w:lastRenderedPageBreak/>
        <w:t xml:space="preserve">Table 7.2.8 </w:t>
      </w:r>
      <w:r w:rsidRPr="00D9348B">
        <w:tab/>
        <w:t>Summary of parameters for municipal landfills</w:t>
      </w:r>
      <w:bookmarkEnd w:id="2717"/>
      <w:bookmarkEnd w:id="2718"/>
      <w:bookmarkEnd w:id="2719"/>
      <w:bookmarkEnd w:id="2720"/>
      <w:bookmarkEnd w:id="2721"/>
      <w:bookmarkEnd w:id="2722"/>
      <w:bookmarkEnd w:id="2723"/>
      <w:bookmarkEnd w:id="2724"/>
      <w:bookmarkEnd w:id="2725"/>
    </w:p>
    <w:tbl>
      <w:tblPr>
        <w:tblW w:w="8505" w:type="dxa"/>
        <w:tblInd w:w="108" w:type="dxa"/>
        <w:tblLook w:val="04A0" w:firstRow="1" w:lastRow="0" w:firstColumn="1" w:lastColumn="0" w:noHBand="0" w:noVBand="1"/>
      </w:tblPr>
      <w:tblGrid>
        <w:gridCol w:w="2694"/>
        <w:gridCol w:w="1134"/>
        <w:gridCol w:w="1417"/>
        <w:gridCol w:w="3260"/>
      </w:tblGrid>
      <w:tr w:rsidR="00524720" w:rsidRPr="00D9348B" w14:paraId="69580BAF" w14:textId="77777777" w:rsidTr="00F006B3">
        <w:trPr>
          <w:tblHeader/>
        </w:trPr>
        <w:tc>
          <w:tcPr>
            <w:tcW w:w="2694" w:type="dxa"/>
            <w:tcBorders>
              <w:top w:val="single" w:sz="4" w:space="0" w:color="365F91"/>
              <w:left w:val="nil"/>
              <w:bottom w:val="single" w:sz="4" w:space="0" w:color="365F91"/>
              <w:right w:val="nil"/>
            </w:tcBorders>
            <w:shd w:val="clear" w:color="auto" w:fill="365F91"/>
            <w:hideMark/>
          </w:tcPr>
          <w:p w14:paraId="38B70074" w14:textId="77777777" w:rsidR="00524720" w:rsidRPr="00D9348B" w:rsidRDefault="00524720" w:rsidP="00F006B3">
            <w:pPr>
              <w:pStyle w:val="TableTextBold"/>
              <w:keepNext/>
              <w:spacing w:before="50" w:after="50"/>
              <w:rPr>
                <w:noProof w:val="0"/>
                <w:color w:val="FFFFFF"/>
              </w:rPr>
            </w:pPr>
            <w:r w:rsidRPr="00D9348B">
              <w:rPr>
                <w:noProof w:val="0"/>
                <w:color w:val="FFFFFF"/>
              </w:rPr>
              <w:t xml:space="preserve">Parameter </w:t>
            </w:r>
          </w:p>
        </w:tc>
        <w:tc>
          <w:tcPr>
            <w:tcW w:w="1134" w:type="dxa"/>
            <w:tcBorders>
              <w:top w:val="single" w:sz="4" w:space="0" w:color="365F91"/>
              <w:left w:val="nil"/>
              <w:bottom w:val="single" w:sz="4" w:space="0" w:color="365F91"/>
              <w:right w:val="nil"/>
            </w:tcBorders>
            <w:shd w:val="clear" w:color="auto" w:fill="365F91"/>
            <w:hideMark/>
          </w:tcPr>
          <w:p w14:paraId="5F994665" w14:textId="77777777" w:rsidR="00524720" w:rsidRPr="00D9348B" w:rsidRDefault="00524720" w:rsidP="00F006B3">
            <w:pPr>
              <w:pStyle w:val="TableTextBold"/>
              <w:keepNext/>
              <w:spacing w:before="50" w:after="50"/>
              <w:rPr>
                <w:noProof w:val="0"/>
                <w:color w:val="FFFFFF"/>
              </w:rPr>
            </w:pPr>
            <w:r w:rsidRPr="00D9348B">
              <w:rPr>
                <w:noProof w:val="0"/>
                <w:color w:val="FFFFFF"/>
              </w:rPr>
              <w:t xml:space="preserve">Values </w:t>
            </w:r>
          </w:p>
        </w:tc>
        <w:tc>
          <w:tcPr>
            <w:tcW w:w="1417" w:type="dxa"/>
            <w:tcBorders>
              <w:top w:val="single" w:sz="4" w:space="0" w:color="365F91"/>
              <w:left w:val="nil"/>
              <w:bottom w:val="single" w:sz="4" w:space="0" w:color="365F91"/>
              <w:right w:val="nil"/>
            </w:tcBorders>
            <w:shd w:val="clear" w:color="auto" w:fill="365F91"/>
            <w:hideMark/>
          </w:tcPr>
          <w:p w14:paraId="162E6BE2" w14:textId="77777777" w:rsidR="00524720" w:rsidRPr="00D9348B" w:rsidRDefault="00524720" w:rsidP="00F006B3">
            <w:pPr>
              <w:pStyle w:val="TableTextBold"/>
              <w:keepNext/>
              <w:spacing w:before="50" w:after="50"/>
              <w:rPr>
                <w:noProof w:val="0"/>
                <w:color w:val="FFFFFF"/>
              </w:rPr>
            </w:pPr>
            <w:r w:rsidRPr="00D9348B">
              <w:rPr>
                <w:noProof w:val="0"/>
                <w:color w:val="FFFFFF"/>
              </w:rPr>
              <w:t>Source</w:t>
            </w:r>
          </w:p>
        </w:tc>
        <w:tc>
          <w:tcPr>
            <w:tcW w:w="3260" w:type="dxa"/>
            <w:tcBorders>
              <w:top w:val="single" w:sz="4" w:space="0" w:color="365F91"/>
              <w:left w:val="nil"/>
              <w:bottom w:val="single" w:sz="4" w:space="0" w:color="365F91"/>
              <w:right w:val="nil"/>
            </w:tcBorders>
            <w:shd w:val="clear" w:color="auto" w:fill="365F91"/>
            <w:hideMark/>
          </w:tcPr>
          <w:p w14:paraId="0DED72C1" w14:textId="77777777" w:rsidR="00524720" w:rsidRPr="00D9348B" w:rsidRDefault="00524720" w:rsidP="00F006B3">
            <w:pPr>
              <w:pStyle w:val="TableTextBold"/>
              <w:keepNext/>
              <w:spacing w:before="50" w:after="50"/>
              <w:rPr>
                <w:noProof w:val="0"/>
                <w:color w:val="FFFFFF"/>
              </w:rPr>
            </w:pPr>
            <w:r w:rsidRPr="00D9348B">
              <w:rPr>
                <w:noProof w:val="0"/>
                <w:color w:val="FFFFFF"/>
              </w:rPr>
              <w:t>Reference</w:t>
            </w:r>
          </w:p>
        </w:tc>
      </w:tr>
      <w:tr w:rsidR="00524720" w:rsidRPr="00D9348B" w14:paraId="3565245F" w14:textId="77777777" w:rsidTr="00F006B3">
        <w:tc>
          <w:tcPr>
            <w:tcW w:w="8505" w:type="dxa"/>
            <w:gridSpan w:val="4"/>
            <w:tcBorders>
              <w:top w:val="single" w:sz="4" w:space="0" w:color="365F91"/>
              <w:left w:val="nil"/>
              <w:bottom w:val="single" w:sz="4" w:space="0" w:color="365F91"/>
              <w:right w:val="nil"/>
            </w:tcBorders>
            <w:hideMark/>
          </w:tcPr>
          <w:p w14:paraId="71C533E7" w14:textId="77777777" w:rsidR="00524720" w:rsidRPr="00D9348B" w:rsidRDefault="00524720" w:rsidP="00F006B3">
            <w:pPr>
              <w:pStyle w:val="TableTextBold"/>
              <w:keepNext/>
              <w:spacing w:before="50" w:after="50"/>
              <w:rPr>
                <w:noProof w:val="0"/>
              </w:rPr>
            </w:pPr>
            <w:r w:rsidRPr="00D9348B">
              <w:rPr>
                <w:noProof w:val="0"/>
              </w:rPr>
              <w:t>Managed landfills with CH</w:t>
            </w:r>
            <w:r w:rsidRPr="00D9348B">
              <w:rPr>
                <w:noProof w:val="0"/>
                <w:vertAlign w:val="subscript"/>
              </w:rPr>
              <w:t>4</w:t>
            </w:r>
            <w:r w:rsidRPr="00D9348B">
              <w:rPr>
                <w:noProof w:val="0"/>
              </w:rPr>
              <w:t xml:space="preserve"> recovery</w:t>
            </w:r>
          </w:p>
        </w:tc>
      </w:tr>
      <w:tr w:rsidR="00524720" w:rsidRPr="00D9348B" w14:paraId="5FF930E1" w14:textId="77777777" w:rsidTr="00F006B3">
        <w:tc>
          <w:tcPr>
            <w:tcW w:w="2694" w:type="dxa"/>
            <w:tcBorders>
              <w:top w:val="single" w:sz="4" w:space="0" w:color="365F91"/>
              <w:left w:val="nil"/>
              <w:bottom w:val="single" w:sz="4" w:space="0" w:color="365F91"/>
              <w:right w:val="nil"/>
            </w:tcBorders>
            <w:hideMark/>
          </w:tcPr>
          <w:p w14:paraId="0431294E" w14:textId="77777777" w:rsidR="00524720" w:rsidRPr="00D9348B" w:rsidRDefault="00524720" w:rsidP="00F006B3">
            <w:pPr>
              <w:pStyle w:val="TableText"/>
              <w:keepNext/>
              <w:spacing w:before="50" w:after="50"/>
            </w:pPr>
            <w:r w:rsidRPr="00D9348B">
              <w:t>k-value (bulk phase, by site)</w:t>
            </w:r>
          </w:p>
        </w:tc>
        <w:tc>
          <w:tcPr>
            <w:tcW w:w="1134" w:type="dxa"/>
            <w:tcBorders>
              <w:top w:val="single" w:sz="4" w:space="0" w:color="365F91"/>
              <w:left w:val="nil"/>
              <w:bottom w:val="single" w:sz="4" w:space="0" w:color="365F91"/>
              <w:right w:val="nil"/>
            </w:tcBorders>
            <w:hideMark/>
          </w:tcPr>
          <w:p w14:paraId="6D0A522D" w14:textId="77777777" w:rsidR="00524720" w:rsidRPr="00D9348B" w:rsidRDefault="00524720" w:rsidP="00F006B3">
            <w:pPr>
              <w:pStyle w:val="TableText"/>
              <w:keepNext/>
              <w:spacing w:before="50" w:after="50"/>
            </w:pPr>
            <w:r w:rsidRPr="00D9348B">
              <w:t>0.038–0.0627</w:t>
            </w:r>
          </w:p>
        </w:tc>
        <w:tc>
          <w:tcPr>
            <w:tcW w:w="1417" w:type="dxa"/>
            <w:tcBorders>
              <w:top w:val="single" w:sz="4" w:space="0" w:color="365F91"/>
              <w:left w:val="nil"/>
              <w:bottom w:val="single" w:sz="4" w:space="0" w:color="365F91"/>
              <w:right w:val="nil"/>
            </w:tcBorders>
            <w:hideMark/>
          </w:tcPr>
          <w:p w14:paraId="3FFF7512" w14:textId="77777777" w:rsidR="00524720" w:rsidRPr="00D9348B" w:rsidRDefault="00524720" w:rsidP="00F006B3">
            <w:pPr>
              <w:pStyle w:val="TableText"/>
              <w:keepNext/>
              <w:spacing w:before="50" w:after="50"/>
              <w:rPr>
                <w:rFonts w:cs="Arial"/>
                <w:szCs w:val="16"/>
              </w:rPr>
            </w:pPr>
            <w:r w:rsidRPr="00D9348B">
              <w:rPr>
                <w:rFonts w:cs="Arial"/>
                <w:szCs w:val="16"/>
              </w:rPr>
              <w:t>Country specific</w:t>
            </w:r>
          </w:p>
        </w:tc>
        <w:tc>
          <w:tcPr>
            <w:tcW w:w="3260" w:type="dxa"/>
            <w:tcBorders>
              <w:top w:val="single" w:sz="4" w:space="0" w:color="365F91"/>
              <w:left w:val="nil"/>
              <w:bottom w:val="single" w:sz="4" w:space="0" w:color="365F91"/>
              <w:right w:val="nil"/>
            </w:tcBorders>
            <w:hideMark/>
          </w:tcPr>
          <w:p w14:paraId="463AFC98" w14:textId="77777777" w:rsidR="00524720" w:rsidRPr="00D9348B" w:rsidRDefault="00524720" w:rsidP="00F006B3">
            <w:pPr>
              <w:pStyle w:val="TableText"/>
              <w:keepNext/>
              <w:spacing w:before="50" w:after="50"/>
              <w:rPr>
                <w:rFonts w:cs="Arial"/>
                <w:szCs w:val="16"/>
              </w:rPr>
            </w:pPr>
            <w:r w:rsidRPr="00D9348B">
              <w:rPr>
                <w:rFonts w:cs="Arial"/>
                <w:szCs w:val="16"/>
              </w:rPr>
              <w:t>SKM (unpublished(b))</w:t>
            </w:r>
          </w:p>
        </w:tc>
      </w:tr>
      <w:tr w:rsidR="00524720" w:rsidRPr="00D9348B" w14:paraId="0FB30420" w14:textId="77777777" w:rsidTr="00F006B3">
        <w:tc>
          <w:tcPr>
            <w:tcW w:w="2694" w:type="dxa"/>
            <w:tcBorders>
              <w:top w:val="single" w:sz="4" w:space="0" w:color="365F91"/>
              <w:left w:val="nil"/>
              <w:bottom w:val="single" w:sz="4" w:space="0" w:color="365F91"/>
              <w:right w:val="nil"/>
            </w:tcBorders>
            <w:hideMark/>
          </w:tcPr>
          <w:p w14:paraId="75D50386" w14:textId="77777777" w:rsidR="00524720" w:rsidRPr="00D9348B" w:rsidRDefault="00524720" w:rsidP="00F006B3">
            <w:pPr>
              <w:pStyle w:val="TableText"/>
              <w:spacing w:before="50" w:after="50"/>
            </w:pPr>
            <w:r w:rsidRPr="00D9348B">
              <w:t>Methane correction factor</w:t>
            </w:r>
          </w:p>
        </w:tc>
        <w:tc>
          <w:tcPr>
            <w:tcW w:w="1134" w:type="dxa"/>
            <w:tcBorders>
              <w:top w:val="single" w:sz="4" w:space="0" w:color="365F91"/>
              <w:left w:val="nil"/>
              <w:bottom w:val="single" w:sz="4" w:space="0" w:color="365F91"/>
              <w:right w:val="nil"/>
            </w:tcBorders>
            <w:hideMark/>
          </w:tcPr>
          <w:p w14:paraId="07F51914" w14:textId="77777777" w:rsidR="00524720" w:rsidRPr="00D9348B" w:rsidRDefault="00524720" w:rsidP="00F006B3">
            <w:pPr>
              <w:pStyle w:val="TableText"/>
              <w:spacing w:before="50" w:after="50"/>
            </w:pPr>
            <w:r w:rsidRPr="00D9348B">
              <w:t>1.0</w:t>
            </w:r>
          </w:p>
        </w:tc>
        <w:tc>
          <w:tcPr>
            <w:tcW w:w="1417" w:type="dxa"/>
            <w:tcBorders>
              <w:top w:val="single" w:sz="4" w:space="0" w:color="365F91"/>
              <w:left w:val="nil"/>
              <w:bottom w:val="single" w:sz="4" w:space="0" w:color="365F91"/>
              <w:right w:val="nil"/>
            </w:tcBorders>
            <w:hideMark/>
          </w:tcPr>
          <w:p w14:paraId="60CFCF3C" w14:textId="77777777" w:rsidR="00524720" w:rsidRPr="00D9348B" w:rsidRDefault="00524720" w:rsidP="00F006B3">
            <w:pPr>
              <w:pStyle w:val="TableText"/>
              <w:spacing w:before="50" w:after="50"/>
              <w:rPr>
                <w:rFonts w:cs="Arial"/>
                <w:szCs w:val="16"/>
              </w:rPr>
            </w:pPr>
            <w:r w:rsidRPr="00D9348B">
              <w:rPr>
                <w:rFonts w:cs="Arial"/>
                <w:szCs w:val="16"/>
              </w:rPr>
              <w:t>IPCC default</w:t>
            </w:r>
          </w:p>
        </w:tc>
        <w:tc>
          <w:tcPr>
            <w:tcW w:w="3260" w:type="dxa"/>
            <w:tcBorders>
              <w:top w:val="single" w:sz="4" w:space="0" w:color="365F91"/>
              <w:left w:val="nil"/>
              <w:bottom w:val="single" w:sz="4" w:space="0" w:color="365F91"/>
              <w:right w:val="nil"/>
            </w:tcBorders>
            <w:hideMark/>
          </w:tcPr>
          <w:p w14:paraId="1F4E08C4" w14:textId="77777777" w:rsidR="00524720" w:rsidRPr="00D9348B" w:rsidRDefault="00524720" w:rsidP="00F006B3">
            <w:pPr>
              <w:pStyle w:val="TableText"/>
              <w:spacing w:before="50" w:after="50"/>
              <w:rPr>
                <w:rFonts w:cs="Arial"/>
                <w:szCs w:val="16"/>
              </w:rPr>
            </w:pPr>
            <w:r w:rsidRPr="00D9348B">
              <w:rPr>
                <w:rFonts w:cs="Arial"/>
                <w:szCs w:val="16"/>
              </w:rPr>
              <w:t>IPCC (2006a)</w:t>
            </w:r>
          </w:p>
        </w:tc>
      </w:tr>
      <w:tr w:rsidR="00524720" w:rsidRPr="00D9348B" w14:paraId="08BEC9C5" w14:textId="77777777" w:rsidTr="00F006B3">
        <w:tc>
          <w:tcPr>
            <w:tcW w:w="2694" w:type="dxa"/>
            <w:tcBorders>
              <w:top w:val="single" w:sz="4" w:space="0" w:color="365F91"/>
              <w:left w:val="nil"/>
              <w:bottom w:val="single" w:sz="4" w:space="0" w:color="365F91"/>
              <w:right w:val="nil"/>
            </w:tcBorders>
            <w:hideMark/>
          </w:tcPr>
          <w:p w14:paraId="61B1E696" w14:textId="77777777" w:rsidR="00524720" w:rsidRPr="00D9348B" w:rsidRDefault="00524720" w:rsidP="00F006B3">
            <w:pPr>
              <w:pStyle w:val="TableText"/>
              <w:spacing w:before="50" w:after="50"/>
            </w:pPr>
            <w:r w:rsidRPr="00D9348B">
              <w:t>Oxidation factor</w:t>
            </w:r>
          </w:p>
        </w:tc>
        <w:tc>
          <w:tcPr>
            <w:tcW w:w="1134" w:type="dxa"/>
            <w:tcBorders>
              <w:top w:val="single" w:sz="4" w:space="0" w:color="365F91"/>
              <w:left w:val="nil"/>
              <w:bottom w:val="single" w:sz="4" w:space="0" w:color="365F91"/>
              <w:right w:val="nil"/>
            </w:tcBorders>
            <w:hideMark/>
          </w:tcPr>
          <w:p w14:paraId="00E7F3B8" w14:textId="77777777" w:rsidR="00524720" w:rsidRPr="00D9348B" w:rsidRDefault="00524720" w:rsidP="00F006B3">
            <w:pPr>
              <w:pStyle w:val="TableText"/>
              <w:spacing w:before="50" w:after="50"/>
            </w:pPr>
            <w:r w:rsidRPr="00D9348B">
              <w:t>10%</w:t>
            </w:r>
          </w:p>
        </w:tc>
        <w:tc>
          <w:tcPr>
            <w:tcW w:w="1417" w:type="dxa"/>
            <w:tcBorders>
              <w:top w:val="single" w:sz="4" w:space="0" w:color="365F91"/>
              <w:left w:val="nil"/>
              <w:bottom w:val="single" w:sz="4" w:space="0" w:color="365F91"/>
              <w:right w:val="nil"/>
            </w:tcBorders>
            <w:hideMark/>
          </w:tcPr>
          <w:p w14:paraId="5D7D8A8C" w14:textId="77777777" w:rsidR="00524720" w:rsidRPr="00D9348B" w:rsidRDefault="00524720" w:rsidP="00F006B3">
            <w:pPr>
              <w:pStyle w:val="TableText"/>
              <w:spacing w:before="50" w:after="50"/>
              <w:rPr>
                <w:rFonts w:cs="Arial"/>
                <w:szCs w:val="16"/>
              </w:rPr>
            </w:pPr>
            <w:r w:rsidRPr="00D9348B">
              <w:rPr>
                <w:rFonts w:cs="Arial"/>
                <w:szCs w:val="16"/>
              </w:rPr>
              <w:t>IPCC default</w:t>
            </w:r>
          </w:p>
        </w:tc>
        <w:tc>
          <w:tcPr>
            <w:tcW w:w="3260" w:type="dxa"/>
            <w:tcBorders>
              <w:top w:val="single" w:sz="4" w:space="0" w:color="365F91"/>
              <w:left w:val="nil"/>
              <w:bottom w:val="single" w:sz="4" w:space="0" w:color="365F91"/>
              <w:right w:val="nil"/>
            </w:tcBorders>
            <w:hideMark/>
          </w:tcPr>
          <w:p w14:paraId="3438F940" w14:textId="77777777" w:rsidR="00524720" w:rsidRPr="00D9348B" w:rsidRDefault="00524720" w:rsidP="00F006B3">
            <w:pPr>
              <w:pStyle w:val="TableText"/>
              <w:spacing w:before="50" w:after="50"/>
              <w:rPr>
                <w:rFonts w:cs="Arial"/>
                <w:szCs w:val="16"/>
              </w:rPr>
            </w:pPr>
            <w:r w:rsidRPr="00D9348B">
              <w:rPr>
                <w:rFonts w:cs="Arial"/>
                <w:szCs w:val="16"/>
              </w:rPr>
              <w:t>IPCC (2006a)</w:t>
            </w:r>
          </w:p>
        </w:tc>
      </w:tr>
      <w:tr w:rsidR="00524720" w:rsidRPr="00D9348B" w14:paraId="7AB8D17A" w14:textId="77777777" w:rsidTr="00F006B3">
        <w:tc>
          <w:tcPr>
            <w:tcW w:w="2694" w:type="dxa"/>
            <w:tcBorders>
              <w:top w:val="single" w:sz="4" w:space="0" w:color="365F91"/>
              <w:left w:val="nil"/>
              <w:bottom w:val="single" w:sz="4" w:space="0" w:color="365F91"/>
              <w:right w:val="nil"/>
            </w:tcBorders>
            <w:hideMark/>
          </w:tcPr>
          <w:p w14:paraId="1A4F42EA" w14:textId="77777777" w:rsidR="00524720" w:rsidRPr="00D9348B" w:rsidRDefault="00524720" w:rsidP="00F006B3">
            <w:pPr>
              <w:pStyle w:val="TableText"/>
              <w:spacing w:before="50" w:after="50"/>
            </w:pPr>
            <w:r w:rsidRPr="00D9348B">
              <w:t>Recovery efficiency</w:t>
            </w:r>
          </w:p>
        </w:tc>
        <w:tc>
          <w:tcPr>
            <w:tcW w:w="1134" w:type="dxa"/>
            <w:tcBorders>
              <w:top w:val="single" w:sz="4" w:space="0" w:color="365F91"/>
              <w:left w:val="nil"/>
              <w:bottom w:val="single" w:sz="4" w:space="0" w:color="365F91"/>
              <w:right w:val="nil"/>
            </w:tcBorders>
            <w:hideMark/>
          </w:tcPr>
          <w:p w14:paraId="6DC6D542" w14:textId="77777777" w:rsidR="00524720" w:rsidRPr="00D9348B" w:rsidRDefault="00524720" w:rsidP="00F006B3">
            <w:pPr>
              <w:pStyle w:val="TableText"/>
              <w:spacing w:before="50" w:after="50"/>
            </w:pPr>
            <w:r w:rsidRPr="00D9348B">
              <w:t>4–90%</w:t>
            </w:r>
          </w:p>
        </w:tc>
        <w:tc>
          <w:tcPr>
            <w:tcW w:w="1417" w:type="dxa"/>
            <w:tcBorders>
              <w:top w:val="single" w:sz="4" w:space="0" w:color="365F91"/>
              <w:left w:val="nil"/>
              <w:bottom w:val="single" w:sz="4" w:space="0" w:color="365F91"/>
              <w:right w:val="nil"/>
            </w:tcBorders>
            <w:hideMark/>
          </w:tcPr>
          <w:p w14:paraId="7FF04566" w14:textId="77777777" w:rsidR="00524720" w:rsidRPr="00D9348B" w:rsidRDefault="00524720" w:rsidP="00F006B3">
            <w:pPr>
              <w:pStyle w:val="TableText"/>
              <w:spacing w:before="50" w:after="50"/>
              <w:rPr>
                <w:rFonts w:cs="Arial"/>
                <w:szCs w:val="16"/>
              </w:rPr>
            </w:pPr>
            <w:r w:rsidRPr="00D9348B">
              <w:rPr>
                <w:rFonts w:cs="Arial"/>
                <w:szCs w:val="16"/>
              </w:rPr>
              <w:t>Site specific</w:t>
            </w:r>
          </w:p>
        </w:tc>
        <w:tc>
          <w:tcPr>
            <w:tcW w:w="3260" w:type="dxa"/>
            <w:tcBorders>
              <w:top w:val="single" w:sz="4" w:space="0" w:color="365F91"/>
              <w:left w:val="nil"/>
              <w:bottom w:val="single" w:sz="4" w:space="0" w:color="365F91"/>
              <w:right w:val="nil"/>
            </w:tcBorders>
            <w:hideMark/>
          </w:tcPr>
          <w:p w14:paraId="3FA36725" w14:textId="77777777" w:rsidR="00524720" w:rsidRPr="00D9348B" w:rsidRDefault="00524720" w:rsidP="00F006B3">
            <w:pPr>
              <w:pStyle w:val="TableText"/>
              <w:spacing w:before="50" w:after="50"/>
              <w:rPr>
                <w:rFonts w:cs="Arial"/>
                <w:szCs w:val="16"/>
              </w:rPr>
            </w:pPr>
            <w:r w:rsidRPr="00D9348B">
              <w:rPr>
                <w:rFonts w:cs="Arial"/>
                <w:szCs w:val="16"/>
              </w:rPr>
              <w:t>SKM (unpublished(b)), New Zealand Gazette, 2014, 2015, 2016, 2017, 2018</w:t>
            </w:r>
          </w:p>
        </w:tc>
      </w:tr>
      <w:tr w:rsidR="00524720" w:rsidRPr="00D9348B" w14:paraId="19567692" w14:textId="77777777" w:rsidTr="00F006B3">
        <w:tc>
          <w:tcPr>
            <w:tcW w:w="2694" w:type="dxa"/>
            <w:tcBorders>
              <w:top w:val="single" w:sz="4" w:space="0" w:color="365F91"/>
              <w:left w:val="nil"/>
              <w:bottom w:val="single" w:sz="4" w:space="0" w:color="365F91"/>
              <w:right w:val="nil"/>
            </w:tcBorders>
            <w:hideMark/>
          </w:tcPr>
          <w:p w14:paraId="1F4929C3" w14:textId="77777777" w:rsidR="00524720" w:rsidRPr="00D9348B" w:rsidRDefault="00524720" w:rsidP="00F006B3">
            <w:pPr>
              <w:pStyle w:val="TableText"/>
              <w:spacing w:before="50" w:after="50"/>
            </w:pPr>
            <w:r w:rsidRPr="00D9348B">
              <w:t>Degradable organic carbon (DOC) (kt C/kt waste) (bulk DOC)</w:t>
            </w:r>
          </w:p>
        </w:tc>
        <w:tc>
          <w:tcPr>
            <w:tcW w:w="1134" w:type="dxa"/>
            <w:tcBorders>
              <w:top w:val="single" w:sz="4" w:space="0" w:color="365F91"/>
              <w:left w:val="nil"/>
              <w:bottom w:val="single" w:sz="4" w:space="0" w:color="365F91"/>
              <w:right w:val="nil"/>
            </w:tcBorders>
            <w:hideMark/>
          </w:tcPr>
          <w:p w14:paraId="54D3DBCE" w14:textId="77777777" w:rsidR="00524720" w:rsidRPr="00D9348B" w:rsidRDefault="00524720" w:rsidP="00F006B3">
            <w:pPr>
              <w:pStyle w:val="TableText"/>
              <w:spacing w:before="50" w:after="50"/>
            </w:pPr>
            <w:r w:rsidRPr="00D9348B">
              <w:t>0.145–0.175</w:t>
            </w:r>
          </w:p>
        </w:tc>
        <w:tc>
          <w:tcPr>
            <w:tcW w:w="1417" w:type="dxa"/>
            <w:tcBorders>
              <w:top w:val="single" w:sz="4" w:space="0" w:color="365F91"/>
              <w:left w:val="nil"/>
              <w:bottom w:val="single" w:sz="4" w:space="0" w:color="365F91"/>
              <w:right w:val="nil"/>
            </w:tcBorders>
            <w:hideMark/>
          </w:tcPr>
          <w:p w14:paraId="5EA44FFE" w14:textId="77777777" w:rsidR="00524720" w:rsidRPr="00D9348B" w:rsidRDefault="00524720" w:rsidP="00F006B3">
            <w:pPr>
              <w:pStyle w:val="TableText"/>
              <w:spacing w:before="50" w:after="50"/>
              <w:rPr>
                <w:rFonts w:cs="Arial"/>
                <w:szCs w:val="16"/>
              </w:rPr>
            </w:pPr>
            <w:r w:rsidRPr="00D9348B">
              <w:t>Country specific</w:t>
            </w:r>
          </w:p>
        </w:tc>
        <w:tc>
          <w:tcPr>
            <w:tcW w:w="3260" w:type="dxa"/>
            <w:tcBorders>
              <w:top w:val="single" w:sz="4" w:space="0" w:color="365F91"/>
              <w:left w:val="nil"/>
              <w:bottom w:val="single" w:sz="4" w:space="0" w:color="365F91"/>
              <w:right w:val="nil"/>
            </w:tcBorders>
            <w:hideMark/>
          </w:tcPr>
          <w:p w14:paraId="609D9B2A" w14:textId="77777777" w:rsidR="00524720" w:rsidRPr="00D9348B" w:rsidRDefault="00524720" w:rsidP="00F006B3">
            <w:pPr>
              <w:pStyle w:val="TableText"/>
              <w:spacing w:before="50" w:after="50"/>
              <w:rPr>
                <w:rFonts w:cs="Arial"/>
                <w:szCs w:val="16"/>
              </w:rPr>
            </w:pPr>
            <w:r w:rsidRPr="00D9348B">
              <w:t>Waste Not Consulting (unpublished(b)); Eunomia Research and Consulting and Waste Not Consulting (unpublished)</w:t>
            </w:r>
          </w:p>
        </w:tc>
      </w:tr>
      <w:tr w:rsidR="00524720" w:rsidRPr="00D9348B" w14:paraId="6126CFE5" w14:textId="77777777" w:rsidTr="00F006B3">
        <w:tc>
          <w:tcPr>
            <w:tcW w:w="8505" w:type="dxa"/>
            <w:gridSpan w:val="4"/>
            <w:tcBorders>
              <w:top w:val="single" w:sz="4" w:space="0" w:color="365F91"/>
              <w:left w:val="nil"/>
              <w:bottom w:val="single" w:sz="4" w:space="0" w:color="365F91"/>
              <w:right w:val="nil"/>
            </w:tcBorders>
            <w:hideMark/>
          </w:tcPr>
          <w:p w14:paraId="250F907D" w14:textId="77777777" w:rsidR="00524720" w:rsidRPr="00D9348B" w:rsidRDefault="00524720" w:rsidP="00F006B3">
            <w:pPr>
              <w:pStyle w:val="TableText"/>
              <w:spacing w:before="50" w:after="50"/>
              <w:rPr>
                <w:b/>
              </w:rPr>
            </w:pPr>
            <w:r w:rsidRPr="00D9348B">
              <w:rPr>
                <w:b/>
              </w:rPr>
              <w:t>Managed landfills without CH</w:t>
            </w:r>
            <w:r w:rsidRPr="00D9348B">
              <w:rPr>
                <w:b/>
                <w:vertAlign w:val="subscript"/>
              </w:rPr>
              <w:t>4</w:t>
            </w:r>
            <w:r w:rsidRPr="00D9348B">
              <w:rPr>
                <w:b/>
              </w:rPr>
              <w:t xml:space="preserve"> recovery</w:t>
            </w:r>
          </w:p>
        </w:tc>
      </w:tr>
      <w:tr w:rsidR="00524720" w:rsidRPr="00D9348B" w14:paraId="5660B4EB" w14:textId="77777777" w:rsidTr="00F006B3">
        <w:tc>
          <w:tcPr>
            <w:tcW w:w="2694" w:type="dxa"/>
            <w:tcBorders>
              <w:top w:val="single" w:sz="4" w:space="0" w:color="365F91"/>
              <w:left w:val="nil"/>
              <w:bottom w:val="single" w:sz="4" w:space="0" w:color="365F91"/>
              <w:right w:val="nil"/>
            </w:tcBorders>
            <w:hideMark/>
          </w:tcPr>
          <w:p w14:paraId="29025EC8" w14:textId="77777777" w:rsidR="00524720" w:rsidRPr="00D9348B" w:rsidRDefault="00524720" w:rsidP="00F006B3">
            <w:pPr>
              <w:pStyle w:val="TableText"/>
              <w:spacing w:before="50" w:after="50"/>
            </w:pPr>
            <w:r w:rsidRPr="00D9348B">
              <w:t>k-value (multi-phase by waste type)</w:t>
            </w:r>
          </w:p>
        </w:tc>
        <w:tc>
          <w:tcPr>
            <w:tcW w:w="1134" w:type="dxa"/>
            <w:tcBorders>
              <w:top w:val="single" w:sz="4" w:space="0" w:color="365F91"/>
              <w:left w:val="nil"/>
              <w:bottom w:val="single" w:sz="4" w:space="0" w:color="365F91"/>
              <w:right w:val="nil"/>
            </w:tcBorders>
            <w:hideMark/>
          </w:tcPr>
          <w:p w14:paraId="5AFAE949" w14:textId="77777777" w:rsidR="00524720" w:rsidRPr="00D9348B" w:rsidRDefault="00524720" w:rsidP="00F006B3">
            <w:pPr>
              <w:pStyle w:val="TableText"/>
              <w:spacing w:before="50" w:after="50"/>
            </w:pPr>
            <w:r w:rsidRPr="00D9348B">
              <w:t>0.030–0.185</w:t>
            </w:r>
          </w:p>
        </w:tc>
        <w:tc>
          <w:tcPr>
            <w:tcW w:w="1417" w:type="dxa"/>
            <w:tcBorders>
              <w:top w:val="single" w:sz="4" w:space="0" w:color="365F91"/>
              <w:left w:val="nil"/>
              <w:bottom w:val="single" w:sz="4" w:space="0" w:color="365F91"/>
              <w:right w:val="nil"/>
            </w:tcBorders>
            <w:hideMark/>
          </w:tcPr>
          <w:p w14:paraId="66D46C0F" w14:textId="77777777" w:rsidR="00524720" w:rsidRPr="00D9348B" w:rsidRDefault="00524720" w:rsidP="00F006B3">
            <w:pPr>
              <w:pStyle w:val="TableText"/>
              <w:spacing w:before="50" w:after="50"/>
            </w:pPr>
            <w:r w:rsidRPr="00D9348B">
              <w:t>IPCC default</w:t>
            </w:r>
          </w:p>
        </w:tc>
        <w:tc>
          <w:tcPr>
            <w:tcW w:w="3260" w:type="dxa"/>
            <w:tcBorders>
              <w:top w:val="single" w:sz="4" w:space="0" w:color="365F91"/>
              <w:left w:val="nil"/>
              <w:bottom w:val="single" w:sz="4" w:space="0" w:color="365F91"/>
              <w:right w:val="nil"/>
            </w:tcBorders>
            <w:hideMark/>
          </w:tcPr>
          <w:p w14:paraId="7E4273C8" w14:textId="77777777" w:rsidR="00524720" w:rsidRPr="00D9348B" w:rsidRDefault="00524720" w:rsidP="00F006B3">
            <w:pPr>
              <w:pStyle w:val="TableText"/>
              <w:spacing w:before="50" w:after="50"/>
            </w:pPr>
            <w:r w:rsidRPr="00D9348B">
              <w:rPr>
                <w:rFonts w:cs="Arial"/>
              </w:rPr>
              <w:t>IPCC (2006a)</w:t>
            </w:r>
          </w:p>
        </w:tc>
      </w:tr>
      <w:tr w:rsidR="00524720" w:rsidRPr="00D9348B" w14:paraId="61A9D2B4" w14:textId="77777777" w:rsidTr="00F006B3">
        <w:tc>
          <w:tcPr>
            <w:tcW w:w="2694" w:type="dxa"/>
            <w:tcBorders>
              <w:top w:val="single" w:sz="4" w:space="0" w:color="365F91"/>
              <w:left w:val="nil"/>
              <w:bottom w:val="single" w:sz="4" w:space="0" w:color="365F91"/>
              <w:right w:val="nil"/>
            </w:tcBorders>
            <w:hideMark/>
          </w:tcPr>
          <w:p w14:paraId="57097F8D" w14:textId="77777777" w:rsidR="00524720" w:rsidRPr="00D9348B" w:rsidRDefault="00524720" w:rsidP="00F006B3">
            <w:pPr>
              <w:pStyle w:val="TableText"/>
              <w:spacing w:before="50" w:after="50"/>
            </w:pPr>
            <w:r w:rsidRPr="00D9348B">
              <w:t>Methane correction factor</w:t>
            </w:r>
          </w:p>
        </w:tc>
        <w:tc>
          <w:tcPr>
            <w:tcW w:w="1134" w:type="dxa"/>
            <w:tcBorders>
              <w:top w:val="single" w:sz="4" w:space="0" w:color="365F91"/>
              <w:left w:val="nil"/>
              <w:bottom w:val="single" w:sz="4" w:space="0" w:color="365F91"/>
              <w:right w:val="nil"/>
            </w:tcBorders>
            <w:hideMark/>
          </w:tcPr>
          <w:p w14:paraId="226F1872" w14:textId="77777777" w:rsidR="00524720" w:rsidRPr="00D9348B" w:rsidRDefault="00524720" w:rsidP="00F006B3">
            <w:pPr>
              <w:pStyle w:val="TableText"/>
              <w:spacing w:before="50" w:after="50"/>
            </w:pPr>
            <w:r w:rsidRPr="00D9348B">
              <w:t>1.0</w:t>
            </w:r>
          </w:p>
        </w:tc>
        <w:tc>
          <w:tcPr>
            <w:tcW w:w="1417" w:type="dxa"/>
            <w:tcBorders>
              <w:top w:val="single" w:sz="4" w:space="0" w:color="365F91"/>
              <w:left w:val="nil"/>
              <w:bottom w:val="single" w:sz="4" w:space="0" w:color="365F91"/>
              <w:right w:val="nil"/>
            </w:tcBorders>
            <w:hideMark/>
          </w:tcPr>
          <w:p w14:paraId="1B098730" w14:textId="77777777" w:rsidR="00524720" w:rsidRPr="00D9348B" w:rsidRDefault="00524720" w:rsidP="00F006B3">
            <w:pPr>
              <w:pStyle w:val="TableText"/>
              <w:spacing w:before="50" w:after="50"/>
              <w:rPr>
                <w:rFonts w:cs="Arial"/>
                <w:szCs w:val="16"/>
              </w:rPr>
            </w:pPr>
            <w:r w:rsidRPr="00D9348B">
              <w:rPr>
                <w:rFonts w:cs="Arial"/>
                <w:szCs w:val="16"/>
              </w:rPr>
              <w:t>IPCC default</w:t>
            </w:r>
          </w:p>
        </w:tc>
        <w:tc>
          <w:tcPr>
            <w:tcW w:w="3260" w:type="dxa"/>
            <w:tcBorders>
              <w:top w:val="single" w:sz="4" w:space="0" w:color="365F91"/>
              <w:left w:val="nil"/>
              <w:bottom w:val="single" w:sz="4" w:space="0" w:color="365F91"/>
              <w:right w:val="nil"/>
            </w:tcBorders>
            <w:hideMark/>
          </w:tcPr>
          <w:p w14:paraId="5793F1A3" w14:textId="77777777" w:rsidR="00524720" w:rsidRPr="00D9348B" w:rsidRDefault="00524720" w:rsidP="00F006B3">
            <w:pPr>
              <w:pStyle w:val="TableText"/>
              <w:spacing w:before="50" w:after="50"/>
              <w:rPr>
                <w:rFonts w:cs="Arial"/>
                <w:szCs w:val="16"/>
              </w:rPr>
            </w:pPr>
            <w:r w:rsidRPr="00D9348B">
              <w:rPr>
                <w:rFonts w:cs="Arial"/>
                <w:szCs w:val="16"/>
              </w:rPr>
              <w:t>IPCC (2006a)</w:t>
            </w:r>
          </w:p>
        </w:tc>
      </w:tr>
      <w:tr w:rsidR="00524720" w:rsidRPr="00D9348B" w14:paraId="17A2D9A7" w14:textId="77777777" w:rsidTr="00F006B3">
        <w:tc>
          <w:tcPr>
            <w:tcW w:w="2694" w:type="dxa"/>
            <w:tcBorders>
              <w:top w:val="single" w:sz="4" w:space="0" w:color="365F91"/>
              <w:left w:val="nil"/>
              <w:bottom w:val="single" w:sz="4" w:space="0" w:color="365F91"/>
              <w:right w:val="nil"/>
            </w:tcBorders>
            <w:hideMark/>
          </w:tcPr>
          <w:p w14:paraId="4B053116" w14:textId="77777777" w:rsidR="00524720" w:rsidRPr="00D9348B" w:rsidRDefault="00524720" w:rsidP="00F006B3">
            <w:pPr>
              <w:pStyle w:val="TableText"/>
              <w:spacing w:before="50" w:after="50"/>
            </w:pPr>
            <w:r w:rsidRPr="00D9348B">
              <w:t>Oxidation factor</w:t>
            </w:r>
          </w:p>
        </w:tc>
        <w:tc>
          <w:tcPr>
            <w:tcW w:w="1134" w:type="dxa"/>
            <w:tcBorders>
              <w:top w:val="single" w:sz="4" w:space="0" w:color="365F91"/>
              <w:left w:val="nil"/>
              <w:bottom w:val="single" w:sz="4" w:space="0" w:color="365F91"/>
              <w:right w:val="nil"/>
            </w:tcBorders>
            <w:hideMark/>
          </w:tcPr>
          <w:p w14:paraId="2138EFD6" w14:textId="77777777" w:rsidR="00524720" w:rsidRPr="00D9348B" w:rsidRDefault="00524720" w:rsidP="00F006B3">
            <w:pPr>
              <w:pStyle w:val="TableText"/>
              <w:spacing w:before="50" w:after="50"/>
            </w:pPr>
            <w:r w:rsidRPr="00D9348B">
              <w:t>10%</w:t>
            </w:r>
          </w:p>
        </w:tc>
        <w:tc>
          <w:tcPr>
            <w:tcW w:w="1417" w:type="dxa"/>
            <w:tcBorders>
              <w:top w:val="single" w:sz="4" w:space="0" w:color="365F91"/>
              <w:left w:val="nil"/>
              <w:bottom w:val="single" w:sz="4" w:space="0" w:color="365F91"/>
              <w:right w:val="nil"/>
            </w:tcBorders>
            <w:hideMark/>
          </w:tcPr>
          <w:p w14:paraId="2055AC3A" w14:textId="77777777" w:rsidR="00524720" w:rsidRPr="00D9348B" w:rsidRDefault="00524720" w:rsidP="00F006B3">
            <w:pPr>
              <w:pStyle w:val="TableText"/>
              <w:spacing w:before="50" w:after="50"/>
            </w:pPr>
            <w:r w:rsidRPr="00D9348B">
              <w:t>IPCC default</w:t>
            </w:r>
          </w:p>
        </w:tc>
        <w:tc>
          <w:tcPr>
            <w:tcW w:w="3260" w:type="dxa"/>
            <w:tcBorders>
              <w:top w:val="single" w:sz="4" w:space="0" w:color="365F91"/>
              <w:left w:val="nil"/>
              <w:bottom w:val="single" w:sz="4" w:space="0" w:color="365F91"/>
              <w:right w:val="nil"/>
            </w:tcBorders>
            <w:hideMark/>
          </w:tcPr>
          <w:p w14:paraId="11BCEB7D" w14:textId="77777777" w:rsidR="00524720" w:rsidRPr="00D9348B" w:rsidRDefault="00524720" w:rsidP="00F006B3">
            <w:pPr>
              <w:pStyle w:val="TableText"/>
              <w:spacing w:before="50" w:after="50"/>
            </w:pPr>
            <w:r w:rsidRPr="00D9348B">
              <w:rPr>
                <w:rFonts w:cs="Arial"/>
              </w:rPr>
              <w:t>IPCC (2006a)</w:t>
            </w:r>
          </w:p>
        </w:tc>
      </w:tr>
      <w:tr w:rsidR="00524720" w:rsidRPr="00D9348B" w14:paraId="48484C78" w14:textId="77777777" w:rsidTr="00F006B3">
        <w:tc>
          <w:tcPr>
            <w:tcW w:w="2694" w:type="dxa"/>
            <w:tcBorders>
              <w:top w:val="single" w:sz="4" w:space="0" w:color="365F91"/>
              <w:left w:val="nil"/>
              <w:bottom w:val="single" w:sz="4" w:space="0" w:color="365F91"/>
              <w:right w:val="nil"/>
            </w:tcBorders>
            <w:hideMark/>
          </w:tcPr>
          <w:p w14:paraId="5D849AD5" w14:textId="77777777" w:rsidR="00524720" w:rsidRPr="00D9348B" w:rsidRDefault="00524720" w:rsidP="00F006B3">
            <w:pPr>
              <w:pStyle w:val="TableText"/>
              <w:spacing w:before="50" w:after="50"/>
            </w:pPr>
            <w:r w:rsidRPr="00D9348B">
              <w:t>DOC (kt C/kt waste) (by waste type)</w:t>
            </w:r>
          </w:p>
        </w:tc>
        <w:tc>
          <w:tcPr>
            <w:tcW w:w="1134" w:type="dxa"/>
            <w:tcBorders>
              <w:top w:val="single" w:sz="4" w:space="0" w:color="365F91"/>
              <w:left w:val="nil"/>
              <w:bottom w:val="single" w:sz="4" w:space="0" w:color="365F91"/>
              <w:right w:val="nil"/>
            </w:tcBorders>
            <w:hideMark/>
          </w:tcPr>
          <w:p w14:paraId="4334BBF0" w14:textId="77777777" w:rsidR="00524720" w:rsidRPr="00D9348B" w:rsidRDefault="00524720" w:rsidP="00F006B3">
            <w:pPr>
              <w:pStyle w:val="TableText"/>
              <w:spacing w:before="50" w:after="50"/>
            </w:pPr>
            <w:r w:rsidRPr="00D9348B">
              <w:t>0.15–0.43</w:t>
            </w:r>
          </w:p>
        </w:tc>
        <w:tc>
          <w:tcPr>
            <w:tcW w:w="1417" w:type="dxa"/>
            <w:tcBorders>
              <w:top w:val="single" w:sz="4" w:space="0" w:color="365F91"/>
              <w:left w:val="nil"/>
              <w:bottom w:val="single" w:sz="4" w:space="0" w:color="365F91"/>
              <w:right w:val="nil"/>
            </w:tcBorders>
            <w:hideMark/>
          </w:tcPr>
          <w:p w14:paraId="591AC8DE" w14:textId="77777777" w:rsidR="00524720" w:rsidRPr="00D9348B" w:rsidRDefault="00524720" w:rsidP="00F006B3">
            <w:pPr>
              <w:pStyle w:val="TableText"/>
              <w:spacing w:before="50" w:after="50"/>
            </w:pPr>
            <w:r w:rsidRPr="00D9348B">
              <w:t>IPCC default</w:t>
            </w:r>
          </w:p>
        </w:tc>
        <w:tc>
          <w:tcPr>
            <w:tcW w:w="3260" w:type="dxa"/>
            <w:tcBorders>
              <w:top w:val="single" w:sz="4" w:space="0" w:color="365F91"/>
              <w:left w:val="nil"/>
              <w:bottom w:val="single" w:sz="4" w:space="0" w:color="365F91"/>
              <w:right w:val="nil"/>
            </w:tcBorders>
            <w:hideMark/>
          </w:tcPr>
          <w:p w14:paraId="7398CEF4" w14:textId="77777777" w:rsidR="00524720" w:rsidRPr="00D9348B" w:rsidRDefault="00524720" w:rsidP="00F006B3">
            <w:pPr>
              <w:pStyle w:val="TableText"/>
              <w:spacing w:before="50" w:after="50"/>
              <w:rPr>
                <w:rFonts w:cs="Arial"/>
              </w:rPr>
            </w:pPr>
            <w:r w:rsidRPr="00D9348B">
              <w:rPr>
                <w:rFonts w:cs="Arial"/>
              </w:rPr>
              <w:t>IPCC (2006a)</w:t>
            </w:r>
          </w:p>
        </w:tc>
      </w:tr>
      <w:tr w:rsidR="00524720" w:rsidRPr="00D9348B" w14:paraId="5CF40AD3" w14:textId="77777777" w:rsidTr="00F006B3">
        <w:tc>
          <w:tcPr>
            <w:tcW w:w="8505" w:type="dxa"/>
            <w:gridSpan w:val="4"/>
            <w:tcBorders>
              <w:top w:val="single" w:sz="4" w:space="0" w:color="365F91"/>
              <w:left w:val="nil"/>
              <w:bottom w:val="single" w:sz="4" w:space="0" w:color="365F91"/>
              <w:right w:val="nil"/>
            </w:tcBorders>
            <w:hideMark/>
          </w:tcPr>
          <w:p w14:paraId="18AA6BBE" w14:textId="77777777" w:rsidR="00524720" w:rsidRPr="00D9348B" w:rsidRDefault="00524720" w:rsidP="00F006B3">
            <w:pPr>
              <w:pStyle w:val="TableTextBold"/>
              <w:spacing w:before="50" w:after="50"/>
              <w:rPr>
                <w:noProof w:val="0"/>
              </w:rPr>
            </w:pPr>
            <w:r w:rsidRPr="00D9348B">
              <w:rPr>
                <w:noProof w:val="0"/>
              </w:rPr>
              <w:t>Uncategorised landfills</w:t>
            </w:r>
          </w:p>
        </w:tc>
      </w:tr>
      <w:tr w:rsidR="00524720" w:rsidRPr="00D9348B" w14:paraId="69244058" w14:textId="77777777" w:rsidTr="00F006B3">
        <w:tc>
          <w:tcPr>
            <w:tcW w:w="2694" w:type="dxa"/>
            <w:tcBorders>
              <w:top w:val="single" w:sz="4" w:space="0" w:color="365F91"/>
              <w:left w:val="nil"/>
              <w:bottom w:val="single" w:sz="4" w:space="0" w:color="365F91"/>
              <w:right w:val="nil"/>
            </w:tcBorders>
            <w:hideMark/>
          </w:tcPr>
          <w:p w14:paraId="19502057" w14:textId="77777777" w:rsidR="00524720" w:rsidRPr="00D9348B" w:rsidRDefault="00524720" w:rsidP="00F006B3">
            <w:pPr>
              <w:pStyle w:val="TableText"/>
              <w:spacing w:before="50" w:after="50"/>
            </w:pPr>
            <w:r w:rsidRPr="00D9348B">
              <w:t>k-value (multi-phase by waste type)</w:t>
            </w:r>
          </w:p>
        </w:tc>
        <w:tc>
          <w:tcPr>
            <w:tcW w:w="1134" w:type="dxa"/>
            <w:tcBorders>
              <w:top w:val="single" w:sz="4" w:space="0" w:color="365F91"/>
              <w:left w:val="nil"/>
              <w:bottom w:val="single" w:sz="4" w:space="0" w:color="365F91"/>
              <w:right w:val="nil"/>
            </w:tcBorders>
            <w:hideMark/>
          </w:tcPr>
          <w:p w14:paraId="31F55B5C" w14:textId="77777777" w:rsidR="00524720" w:rsidRPr="00D9348B" w:rsidRDefault="00524720" w:rsidP="00F006B3">
            <w:pPr>
              <w:pStyle w:val="TableText"/>
              <w:spacing w:before="50" w:after="50"/>
            </w:pPr>
            <w:r w:rsidRPr="00D9348B">
              <w:t>0.030–0.185</w:t>
            </w:r>
          </w:p>
        </w:tc>
        <w:tc>
          <w:tcPr>
            <w:tcW w:w="1417" w:type="dxa"/>
            <w:tcBorders>
              <w:top w:val="single" w:sz="4" w:space="0" w:color="365F91"/>
              <w:left w:val="nil"/>
              <w:bottom w:val="single" w:sz="4" w:space="0" w:color="365F91"/>
              <w:right w:val="nil"/>
            </w:tcBorders>
            <w:hideMark/>
          </w:tcPr>
          <w:p w14:paraId="2CBEA347" w14:textId="77777777" w:rsidR="00524720" w:rsidRPr="00D9348B" w:rsidRDefault="00524720" w:rsidP="00F006B3">
            <w:pPr>
              <w:pStyle w:val="TableText"/>
              <w:spacing w:before="50" w:after="50"/>
            </w:pPr>
            <w:r w:rsidRPr="00D9348B">
              <w:t>IPCC default</w:t>
            </w:r>
          </w:p>
        </w:tc>
        <w:tc>
          <w:tcPr>
            <w:tcW w:w="3260" w:type="dxa"/>
            <w:tcBorders>
              <w:top w:val="single" w:sz="4" w:space="0" w:color="365F91"/>
              <w:left w:val="nil"/>
              <w:bottom w:val="single" w:sz="4" w:space="0" w:color="365F91"/>
              <w:right w:val="nil"/>
            </w:tcBorders>
            <w:hideMark/>
          </w:tcPr>
          <w:p w14:paraId="288A9FE1" w14:textId="77777777" w:rsidR="00524720" w:rsidRPr="00D9348B" w:rsidRDefault="00524720" w:rsidP="00F006B3">
            <w:pPr>
              <w:pStyle w:val="TableText"/>
              <w:spacing w:before="50" w:after="50"/>
            </w:pPr>
            <w:r w:rsidRPr="00D9348B">
              <w:rPr>
                <w:rFonts w:cs="Arial"/>
                <w:szCs w:val="16"/>
              </w:rPr>
              <w:t>IPCC (2006a)</w:t>
            </w:r>
          </w:p>
        </w:tc>
      </w:tr>
      <w:tr w:rsidR="00524720" w:rsidRPr="00D9348B" w14:paraId="16D8615C" w14:textId="77777777" w:rsidTr="00F006B3">
        <w:tc>
          <w:tcPr>
            <w:tcW w:w="2694" w:type="dxa"/>
            <w:tcBorders>
              <w:top w:val="single" w:sz="4" w:space="0" w:color="365F91"/>
              <w:left w:val="nil"/>
              <w:bottom w:val="single" w:sz="4" w:space="0" w:color="365F91"/>
              <w:right w:val="nil"/>
            </w:tcBorders>
            <w:hideMark/>
          </w:tcPr>
          <w:p w14:paraId="2EC5665B" w14:textId="77777777" w:rsidR="00524720" w:rsidRPr="00D9348B" w:rsidRDefault="00524720" w:rsidP="00F006B3">
            <w:pPr>
              <w:pStyle w:val="TableText"/>
              <w:spacing w:before="50" w:after="50"/>
            </w:pPr>
            <w:r w:rsidRPr="00D9348B">
              <w:t>Methane correction factor</w:t>
            </w:r>
          </w:p>
        </w:tc>
        <w:tc>
          <w:tcPr>
            <w:tcW w:w="1134" w:type="dxa"/>
            <w:tcBorders>
              <w:top w:val="single" w:sz="4" w:space="0" w:color="365F91"/>
              <w:left w:val="nil"/>
              <w:bottom w:val="single" w:sz="4" w:space="0" w:color="365F91"/>
              <w:right w:val="nil"/>
            </w:tcBorders>
            <w:hideMark/>
          </w:tcPr>
          <w:p w14:paraId="65F48A99" w14:textId="77777777" w:rsidR="00524720" w:rsidRPr="00D9348B" w:rsidRDefault="00524720" w:rsidP="00F006B3">
            <w:pPr>
              <w:pStyle w:val="TableText"/>
              <w:spacing w:before="50" w:after="50"/>
            </w:pPr>
            <w:r w:rsidRPr="00D9348B">
              <w:t>0.6</w:t>
            </w:r>
          </w:p>
        </w:tc>
        <w:tc>
          <w:tcPr>
            <w:tcW w:w="1417" w:type="dxa"/>
            <w:tcBorders>
              <w:top w:val="single" w:sz="4" w:space="0" w:color="365F91"/>
              <w:left w:val="nil"/>
              <w:bottom w:val="single" w:sz="4" w:space="0" w:color="365F91"/>
              <w:right w:val="nil"/>
            </w:tcBorders>
            <w:hideMark/>
          </w:tcPr>
          <w:p w14:paraId="7175EBBE" w14:textId="77777777" w:rsidR="00524720" w:rsidRPr="00D9348B" w:rsidRDefault="00524720" w:rsidP="00F006B3">
            <w:pPr>
              <w:pStyle w:val="TableText"/>
              <w:spacing w:before="50" w:after="50"/>
            </w:pPr>
            <w:r w:rsidRPr="00D9348B">
              <w:t>IPCC default</w:t>
            </w:r>
          </w:p>
        </w:tc>
        <w:tc>
          <w:tcPr>
            <w:tcW w:w="3260" w:type="dxa"/>
            <w:tcBorders>
              <w:top w:val="single" w:sz="4" w:space="0" w:color="365F91"/>
              <w:left w:val="nil"/>
              <w:bottom w:val="single" w:sz="4" w:space="0" w:color="365F91"/>
              <w:right w:val="nil"/>
            </w:tcBorders>
            <w:hideMark/>
          </w:tcPr>
          <w:p w14:paraId="53E1C1E5" w14:textId="77777777" w:rsidR="00524720" w:rsidRPr="00D9348B" w:rsidRDefault="00524720" w:rsidP="00F006B3">
            <w:pPr>
              <w:pStyle w:val="TableText"/>
              <w:spacing w:before="50" w:after="50"/>
            </w:pPr>
            <w:r w:rsidRPr="00D9348B">
              <w:rPr>
                <w:rFonts w:cs="Arial"/>
                <w:szCs w:val="16"/>
              </w:rPr>
              <w:t>IPCC (2006a)</w:t>
            </w:r>
          </w:p>
        </w:tc>
      </w:tr>
      <w:tr w:rsidR="00524720" w:rsidRPr="00D9348B" w14:paraId="6CF69A87" w14:textId="77777777" w:rsidTr="00F006B3">
        <w:tc>
          <w:tcPr>
            <w:tcW w:w="2694" w:type="dxa"/>
            <w:tcBorders>
              <w:top w:val="single" w:sz="4" w:space="0" w:color="365F91"/>
              <w:left w:val="nil"/>
              <w:bottom w:val="single" w:sz="4" w:space="0" w:color="365F91"/>
              <w:right w:val="nil"/>
            </w:tcBorders>
            <w:hideMark/>
          </w:tcPr>
          <w:p w14:paraId="061BC0DF" w14:textId="77777777" w:rsidR="00524720" w:rsidRPr="00D9348B" w:rsidRDefault="00524720" w:rsidP="00F006B3">
            <w:pPr>
              <w:pStyle w:val="TableText"/>
              <w:spacing w:before="50" w:after="50"/>
            </w:pPr>
            <w:r w:rsidRPr="00D9348B">
              <w:t>Oxidation factor</w:t>
            </w:r>
          </w:p>
        </w:tc>
        <w:tc>
          <w:tcPr>
            <w:tcW w:w="1134" w:type="dxa"/>
            <w:tcBorders>
              <w:top w:val="single" w:sz="4" w:space="0" w:color="365F91"/>
              <w:left w:val="nil"/>
              <w:bottom w:val="single" w:sz="4" w:space="0" w:color="365F91"/>
              <w:right w:val="nil"/>
            </w:tcBorders>
            <w:hideMark/>
          </w:tcPr>
          <w:p w14:paraId="71C2D232" w14:textId="77777777" w:rsidR="00524720" w:rsidRPr="00D9348B" w:rsidRDefault="00524720" w:rsidP="00F006B3">
            <w:pPr>
              <w:pStyle w:val="TableText"/>
              <w:spacing w:before="50" w:after="50"/>
            </w:pPr>
            <w:r w:rsidRPr="00D9348B">
              <w:t>0</w:t>
            </w:r>
          </w:p>
        </w:tc>
        <w:tc>
          <w:tcPr>
            <w:tcW w:w="1417" w:type="dxa"/>
            <w:tcBorders>
              <w:top w:val="single" w:sz="4" w:space="0" w:color="365F91"/>
              <w:left w:val="nil"/>
              <w:bottom w:val="single" w:sz="4" w:space="0" w:color="365F91"/>
              <w:right w:val="nil"/>
            </w:tcBorders>
            <w:hideMark/>
          </w:tcPr>
          <w:p w14:paraId="5A06C84A" w14:textId="77777777" w:rsidR="00524720" w:rsidRPr="00D9348B" w:rsidRDefault="00524720" w:rsidP="00F006B3">
            <w:pPr>
              <w:pStyle w:val="TableText"/>
              <w:spacing w:before="50" w:after="50"/>
            </w:pPr>
            <w:r w:rsidRPr="00D9348B">
              <w:t>IPCC default</w:t>
            </w:r>
          </w:p>
        </w:tc>
        <w:tc>
          <w:tcPr>
            <w:tcW w:w="3260" w:type="dxa"/>
            <w:tcBorders>
              <w:top w:val="single" w:sz="4" w:space="0" w:color="365F91"/>
              <w:left w:val="nil"/>
              <w:bottom w:val="single" w:sz="4" w:space="0" w:color="365F91"/>
              <w:right w:val="nil"/>
            </w:tcBorders>
            <w:hideMark/>
          </w:tcPr>
          <w:p w14:paraId="513EB019" w14:textId="77777777" w:rsidR="00524720" w:rsidRPr="00D9348B" w:rsidRDefault="00524720" w:rsidP="00F006B3">
            <w:pPr>
              <w:pStyle w:val="TableText"/>
              <w:spacing w:before="50" w:after="50"/>
            </w:pPr>
            <w:r w:rsidRPr="00D9348B">
              <w:rPr>
                <w:rFonts w:cs="Arial"/>
                <w:szCs w:val="16"/>
              </w:rPr>
              <w:t>IPCC (2006a)</w:t>
            </w:r>
          </w:p>
        </w:tc>
      </w:tr>
      <w:tr w:rsidR="00524720" w:rsidRPr="00D9348B" w14:paraId="3FB9C2B5" w14:textId="77777777" w:rsidTr="00F006B3">
        <w:tc>
          <w:tcPr>
            <w:tcW w:w="2694" w:type="dxa"/>
            <w:tcBorders>
              <w:top w:val="single" w:sz="4" w:space="0" w:color="365F91"/>
              <w:left w:val="nil"/>
              <w:bottom w:val="single" w:sz="4" w:space="0" w:color="365F91"/>
              <w:right w:val="nil"/>
            </w:tcBorders>
            <w:hideMark/>
          </w:tcPr>
          <w:p w14:paraId="4B931904" w14:textId="77777777" w:rsidR="00524720" w:rsidRPr="00D9348B" w:rsidRDefault="00524720" w:rsidP="00F006B3">
            <w:pPr>
              <w:pStyle w:val="TableText"/>
              <w:spacing w:before="50" w:after="50"/>
            </w:pPr>
            <w:r w:rsidRPr="00D9348B">
              <w:t>DOC (kt C/kt waste) (by waste type)</w:t>
            </w:r>
          </w:p>
        </w:tc>
        <w:tc>
          <w:tcPr>
            <w:tcW w:w="1134" w:type="dxa"/>
            <w:tcBorders>
              <w:top w:val="single" w:sz="4" w:space="0" w:color="365F91"/>
              <w:left w:val="nil"/>
              <w:bottom w:val="single" w:sz="4" w:space="0" w:color="365F91"/>
              <w:right w:val="nil"/>
            </w:tcBorders>
            <w:hideMark/>
          </w:tcPr>
          <w:p w14:paraId="65337E8D" w14:textId="77777777" w:rsidR="00524720" w:rsidRPr="00D9348B" w:rsidRDefault="00524720" w:rsidP="00F006B3">
            <w:pPr>
              <w:pStyle w:val="TableText"/>
              <w:spacing w:before="50" w:after="50"/>
            </w:pPr>
            <w:r w:rsidRPr="00D9348B">
              <w:t>0.15–0.43</w:t>
            </w:r>
          </w:p>
        </w:tc>
        <w:tc>
          <w:tcPr>
            <w:tcW w:w="1417" w:type="dxa"/>
            <w:tcBorders>
              <w:top w:val="single" w:sz="4" w:space="0" w:color="365F91"/>
              <w:left w:val="nil"/>
              <w:bottom w:val="single" w:sz="4" w:space="0" w:color="365F91"/>
              <w:right w:val="nil"/>
            </w:tcBorders>
            <w:hideMark/>
          </w:tcPr>
          <w:p w14:paraId="038AC7BC" w14:textId="77777777" w:rsidR="00524720" w:rsidRPr="00D9348B" w:rsidRDefault="00524720" w:rsidP="00F006B3">
            <w:pPr>
              <w:pStyle w:val="TableText"/>
              <w:spacing w:before="50" w:after="50"/>
            </w:pPr>
            <w:r w:rsidRPr="00D9348B">
              <w:t>IPCC default</w:t>
            </w:r>
          </w:p>
        </w:tc>
        <w:tc>
          <w:tcPr>
            <w:tcW w:w="3260" w:type="dxa"/>
            <w:tcBorders>
              <w:top w:val="single" w:sz="4" w:space="0" w:color="365F91"/>
              <w:left w:val="nil"/>
              <w:bottom w:val="single" w:sz="4" w:space="0" w:color="365F91"/>
              <w:right w:val="nil"/>
            </w:tcBorders>
            <w:hideMark/>
          </w:tcPr>
          <w:p w14:paraId="7E1D28F9" w14:textId="77777777" w:rsidR="00524720" w:rsidRPr="00D9348B" w:rsidRDefault="00524720" w:rsidP="00F006B3">
            <w:pPr>
              <w:pStyle w:val="TableText"/>
              <w:spacing w:before="50" w:after="50"/>
              <w:rPr>
                <w:rFonts w:cs="Arial"/>
                <w:szCs w:val="16"/>
              </w:rPr>
            </w:pPr>
            <w:r w:rsidRPr="00D9348B">
              <w:rPr>
                <w:rFonts w:cs="Arial"/>
              </w:rPr>
              <w:t>IPCC (2006a)</w:t>
            </w:r>
          </w:p>
        </w:tc>
      </w:tr>
      <w:tr w:rsidR="00524720" w:rsidRPr="00D9348B" w14:paraId="5039FC57" w14:textId="77777777" w:rsidTr="00F006B3">
        <w:tc>
          <w:tcPr>
            <w:tcW w:w="8505" w:type="dxa"/>
            <w:gridSpan w:val="4"/>
            <w:tcBorders>
              <w:top w:val="single" w:sz="4" w:space="0" w:color="365F91"/>
              <w:left w:val="nil"/>
              <w:bottom w:val="single" w:sz="4" w:space="0" w:color="365F91"/>
              <w:right w:val="nil"/>
            </w:tcBorders>
            <w:hideMark/>
          </w:tcPr>
          <w:p w14:paraId="546F631C" w14:textId="77777777" w:rsidR="00524720" w:rsidRPr="00D9348B" w:rsidRDefault="00524720" w:rsidP="00F006B3">
            <w:pPr>
              <w:pStyle w:val="TableTextBold"/>
              <w:keepNext/>
              <w:spacing w:before="50" w:after="50"/>
              <w:rPr>
                <w:noProof w:val="0"/>
              </w:rPr>
            </w:pPr>
            <w:r w:rsidRPr="00D9348B">
              <w:rPr>
                <w:noProof w:val="0"/>
              </w:rPr>
              <w:t>All landfill sites</w:t>
            </w:r>
          </w:p>
        </w:tc>
      </w:tr>
      <w:tr w:rsidR="00524720" w:rsidRPr="00D9348B" w14:paraId="60C3B01B" w14:textId="77777777" w:rsidTr="00F006B3">
        <w:tc>
          <w:tcPr>
            <w:tcW w:w="2694" w:type="dxa"/>
            <w:tcBorders>
              <w:top w:val="single" w:sz="4" w:space="0" w:color="365F91"/>
              <w:left w:val="nil"/>
              <w:bottom w:val="single" w:sz="4" w:space="0" w:color="365F91"/>
              <w:right w:val="nil"/>
            </w:tcBorders>
            <w:hideMark/>
          </w:tcPr>
          <w:p w14:paraId="5B928745" w14:textId="77777777" w:rsidR="00524720" w:rsidRPr="00D9348B" w:rsidRDefault="00524720" w:rsidP="00F006B3">
            <w:pPr>
              <w:pStyle w:val="TableText"/>
              <w:keepNext/>
              <w:spacing w:before="50" w:after="50"/>
            </w:pPr>
            <w:r w:rsidRPr="00D9348B">
              <w:t>Starting year</w:t>
            </w:r>
          </w:p>
        </w:tc>
        <w:tc>
          <w:tcPr>
            <w:tcW w:w="1134" w:type="dxa"/>
            <w:tcBorders>
              <w:top w:val="single" w:sz="4" w:space="0" w:color="365F91"/>
              <w:left w:val="nil"/>
              <w:bottom w:val="single" w:sz="4" w:space="0" w:color="365F91"/>
              <w:right w:val="nil"/>
            </w:tcBorders>
            <w:hideMark/>
          </w:tcPr>
          <w:p w14:paraId="1F5C50F6" w14:textId="77777777" w:rsidR="00524720" w:rsidRPr="00D9348B" w:rsidRDefault="00524720" w:rsidP="00F006B3">
            <w:pPr>
              <w:pStyle w:val="TableText"/>
              <w:keepNext/>
              <w:spacing w:before="50" w:after="50"/>
            </w:pPr>
            <w:r w:rsidRPr="00D9348B">
              <w:t>1950</w:t>
            </w:r>
          </w:p>
        </w:tc>
        <w:tc>
          <w:tcPr>
            <w:tcW w:w="1417" w:type="dxa"/>
            <w:tcBorders>
              <w:top w:val="single" w:sz="4" w:space="0" w:color="365F91"/>
              <w:left w:val="nil"/>
              <w:bottom w:val="single" w:sz="4" w:space="0" w:color="365F91"/>
              <w:right w:val="nil"/>
            </w:tcBorders>
            <w:hideMark/>
          </w:tcPr>
          <w:p w14:paraId="339AC09D" w14:textId="77777777" w:rsidR="00524720" w:rsidRPr="00D9348B" w:rsidRDefault="00524720" w:rsidP="00F006B3">
            <w:pPr>
              <w:pStyle w:val="TableText"/>
              <w:keepNext/>
              <w:spacing w:before="50" w:after="50"/>
            </w:pPr>
            <w:r w:rsidRPr="00D9348B">
              <w:t>IPCC default</w:t>
            </w:r>
          </w:p>
        </w:tc>
        <w:tc>
          <w:tcPr>
            <w:tcW w:w="3260" w:type="dxa"/>
            <w:tcBorders>
              <w:top w:val="single" w:sz="4" w:space="0" w:color="365F91"/>
              <w:left w:val="nil"/>
              <w:bottom w:val="single" w:sz="4" w:space="0" w:color="365F91"/>
              <w:right w:val="nil"/>
            </w:tcBorders>
            <w:hideMark/>
          </w:tcPr>
          <w:p w14:paraId="52DC194E" w14:textId="77777777" w:rsidR="00524720" w:rsidRPr="00D9348B" w:rsidRDefault="00524720" w:rsidP="00F006B3">
            <w:pPr>
              <w:pStyle w:val="TableText"/>
              <w:keepNext/>
              <w:spacing w:before="50" w:after="50"/>
            </w:pPr>
            <w:r w:rsidRPr="00D9348B">
              <w:rPr>
                <w:rFonts w:cs="Arial"/>
                <w:szCs w:val="16"/>
              </w:rPr>
              <w:t>IPCC (2006a)</w:t>
            </w:r>
          </w:p>
        </w:tc>
      </w:tr>
      <w:tr w:rsidR="00524720" w:rsidRPr="00D9348B" w14:paraId="23386E86" w14:textId="77777777" w:rsidTr="00F006B3">
        <w:tc>
          <w:tcPr>
            <w:tcW w:w="2694" w:type="dxa"/>
            <w:tcBorders>
              <w:top w:val="single" w:sz="4" w:space="0" w:color="365F91"/>
              <w:left w:val="nil"/>
              <w:bottom w:val="single" w:sz="4" w:space="0" w:color="365F91"/>
              <w:right w:val="nil"/>
            </w:tcBorders>
            <w:hideMark/>
          </w:tcPr>
          <w:p w14:paraId="4E47F5CB" w14:textId="77777777" w:rsidR="00524720" w:rsidRPr="00D9348B" w:rsidRDefault="00524720" w:rsidP="00F006B3">
            <w:pPr>
              <w:pStyle w:val="TableText"/>
              <w:spacing w:before="50" w:after="50"/>
            </w:pPr>
            <w:r w:rsidRPr="00D9348B">
              <w:t>Delay time</w:t>
            </w:r>
          </w:p>
        </w:tc>
        <w:tc>
          <w:tcPr>
            <w:tcW w:w="1134" w:type="dxa"/>
            <w:tcBorders>
              <w:top w:val="single" w:sz="4" w:space="0" w:color="365F91"/>
              <w:left w:val="nil"/>
              <w:bottom w:val="single" w:sz="4" w:space="0" w:color="365F91"/>
              <w:right w:val="nil"/>
            </w:tcBorders>
            <w:hideMark/>
          </w:tcPr>
          <w:p w14:paraId="39AD3B7F" w14:textId="77777777" w:rsidR="00524720" w:rsidRPr="00D9348B" w:rsidRDefault="00524720" w:rsidP="00F006B3">
            <w:pPr>
              <w:pStyle w:val="TableText"/>
              <w:spacing w:before="50" w:after="50"/>
            </w:pPr>
            <w:r w:rsidRPr="00D9348B">
              <w:t>6 months</w:t>
            </w:r>
          </w:p>
        </w:tc>
        <w:tc>
          <w:tcPr>
            <w:tcW w:w="1417" w:type="dxa"/>
            <w:tcBorders>
              <w:top w:val="single" w:sz="4" w:space="0" w:color="365F91"/>
              <w:left w:val="nil"/>
              <w:bottom w:val="single" w:sz="4" w:space="0" w:color="365F91"/>
              <w:right w:val="nil"/>
            </w:tcBorders>
            <w:hideMark/>
          </w:tcPr>
          <w:p w14:paraId="45D04D4E" w14:textId="77777777" w:rsidR="00524720" w:rsidRPr="00D9348B" w:rsidRDefault="00524720" w:rsidP="00F006B3">
            <w:pPr>
              <w:pStyle w:val="TableText"/>
              <w:spacing w:before="50" w:after="50"/>
            </w:pPr>
            <w:r w:rsidRPr="00D9348B">
              <w:t>IPCC default</w:t>
            </w:r>
          </w:p>
        </w:tc>
        <w:tc>
          <w:tcPr>
            <w:tcW w:w="3260" w:type="dxa"/>
            <w:tcBorders>
              <w:top w:val="single" w:sz="4" w:space="0" w:color="365F91"/>
              <w:left w:val="nil"/>
              <w:bottom w:val="single" w:sz="4" w:space="0" w:color="365F91"/>
              <w:right w:val="nil"/>
            </w:tcBorders>
            <w:hideMark/>
          </w:tcPr>
          <w:p w14:paraId="63327ED4" w14:textId="77777777" w:rsidR="00524720" w:rsidRPr="00D9348B" w:rsidRDefault="00524720" w:rsidP="00F006B3">
            <w:pPr>
              <w:pStyle w:val="TableText"/>
              <w:spacing w:before="50" w:after="50"/>
            </w:pPr>
            <w:r w:rsidRPr="00D9348B">
              <w:rPr>
                <w:rFonts w:cs="Arial"/>
                <w:szCs w:val="16"/>
              </w:rPr>
              <w:t>IPCC (2006a)</w:t>
            </w:r>
          </w:p>
        </w:tc>
      </w:tr>
      <w:tr w:rsidR="00524720" w:rsidRPr="00D9348B" w14:paraId="0603DEAF" w14:textId="77777777" w:rsidTr="00F006B3">
        <w:tc>
          <w:tcPr>
            <w:tcW w:w="2694" w:type="dxa"/>
            <w:tcBorders>
              <w:top w:val="single" w:sz="4" w:space="0" w:color="365F91"/>
              <w:left w:val="nil"/>
              <w:bottom w:val="single" w:sz="4" w:space="0" w:color="365F91"/>
              <w:right w:val="nil"/>
            </w:tcBorders>
            <w:hideMark/>
          </w:tcPr>
          <w:p w14:paraId="46F4C68C" w14:textId="77777777" w:rsidR="00524720" w:rsidRPr="00D9348B" w:rsidRDefault="00524720" w:rsidP="00F006B3">
            <w:pPr>
              <w:pStyle w:val="TableText"/>
              <w:spacing w:before="50" w:after="50"/>
            </w:pPr>
            <w:r w:rsidRPr="00D9348B">
              <w:t>Fraction of degradable organic carbon (DOCf) that decomposes</w:t>
            </w:r>
          </w:p>
        </w:tc>
        <w:tc>
          <w:tcPr>
            <w:tcW w:w="1134" w:type="dxa"/>
            <w:tcBorders>
              <w:top w:val="single" w:sz="4" w:space="0" w:color="365F91"/>
              <w:left w:val="nil"/>
              <w:bottom w:val="single" w:sz="4" w:space="0" w:color="365F91"/>
              <w:right w:val="nil"/>
            </w:tcBorders>
            <w:hideMark/>
          </w:tcPr>
          <w:p w14:paraId="3771C7B8" w14:textId="77777777" w:rsidR="00524720" w:rsidRPr="00D9348B" w:rsidRDefault="00524720" w:rsidP="00F006B3">
            <w:pPr>
              <w:pStyle w:val="TableText"/>
              <w:spacing w:before="50" w:after="50"/>
            </w:pPr>
            <w:r w:rsidRPr="00D9348B">
              <w:t>0.5</w:t>
            </w:r>
          </w:p>
        </w:tc>
        <w:tc>
          <w:tcPr>
            <w:tcW w:w="1417" w:type="dxa"/>
            <w:tcBorders>
              <w:top w:val="single" w:sz="4" w:space="0" w:color="365F91"/>
              <w:left w:val="nil"/>
              <w:bottom w:val="single" w:sz="4" w:space="0" w:color="365F91"/>
              <w:right w:val="nil"/>
            </w:tcBorders>
            <w:hideMark/>
          </w:tcPr>
          <w:p w14:paraId="2307B609" w14:textId="77777777" w:rsidR="00524720" w:rsidRPr="00D9348B" w:rsidRDefault="00524720" w:rsidP="00F006B3">
            <w:pPr>
              <w:pStyle w:val="TableText"/>
              <w:spacing w:before="50" w:after="50"/>
            </w:pPr>
            <w:r w:rsidRPr="00D9348B">
              <w:t>IPCC default</w:t>
            </w:r>
          </w:p>
        </w:tc>
        <w:tc>
          <w:tcPr>
            <w:tcW w:w="3260" w:type="dxa"/>
            <w:tcBorders>
              <w:top w:val="single" w:sz="4" w:space="0" w:color="365F91"/>
              <w:left w:val="nil"/>
              <w:bottom w:val="single" w:sz="4" w:space="0" w:color="365F91"/>
              <w:right w:val="nil"/>
            </w:tcBorders>
            <w:hideMark/>
          </w:tcPr>
          <w:p w14:paraId="79DF4917" w14:textId="77777777" w:rsidR="00524720" w:rsidRPr="00D9348B" w:rsidRDefault="00524720" w:rsidP="00F006B3">
            <w:pPr>
              <w:pStyle w:val="TableText"/>
              <w:spacing w:before="50" w:after="50"/>
            </w:pPr>
            <w:r w:rsidRPr="00D9348B">
              <w:rPr>
                <w:rFonts w:cs="Arial"/>
                <w:szCs w:val="16"/>
              </w:rPr>
              <w:t>IPCC (2006a)</w:t>
            </w:r>
          </w:p>
        </w:tc>
      </w:tr>
      <w:tr w:rsidR="00524720" w:rsidRPr="00D9348B" w14:paraId="0D0C1AC5" w14:textId="77777777" w:rsidTr="00F006B3">
        <w:tc>
          <w:tcPr>
            <w:tcW w:w="2694" w:type="dxa"/>
            <w:tcBorders>
              <w:top w:val="single" w:sz="4" w:space="0" w:color="365F91"/>
              <w:left w:val="nil"/>
              <w:bottom w:val="single" w:sz="4" w:space="0" w:color="365F91"/>
              <w:right w:val="nil"/>
            </w:tcBorders>
            <w:hideMark/>
          </w:tcPr>
          <w:p w14:paraId="5D82A5A1" w14:textId="77777777" w:rsidR="00524720" w:rsidRPr="00D9348B" w:rsidRDefault="00524720" w:rsidP="00F006B3">
            <w:pPr>
              <w:pStyle w:val="TableText"/>
              <w:spacing w:before="50" w:after="50"/>
            </w:pPr>
            <w:r w:rsidRPr="00D9348B">
              <w:t>Fraction of</w:t>
            </w:r>
            <w:r w:rsidRPr="00D9348B">
              <w:rPr>
                <w:vertAlign w:val="subscript"/>
              </w:rPr>
              <w:t xml:space="preserve"> </w:t>
            </w:r>
            <w:r w:rsidRPr="00D9348B">
              <w:t>CH</w:t>
            </w:r>
            <w:r w:rsidRPr="00D9348B">
              <w:rPr>
                <w:vertAlign w:val="subscript"/>
              </w:rPr>
              <w:t>4</w:t>
            </w:r>
            <w:r w:rsidRPr="00D9348B">
              <w:t xml:space="preserve"> in gas</w:t>
            </w:r>
          </w:p>
        </w:tc>
        <w:tc>
          <w:tcPr>
            <w:tcW w:w="1134" w:type="dxa"/>
            <w:tcBorders>
              <w:top w:val="single" w:sz="4" w:space="0" w:color="365F91"/>
              <w:left w:val="nil"/>
              <w:bottom w:val="single" w:sz="4" w:space="0" w:color="365F91"/>
              <w:right w:val="nil"/>
            </w:tcBorders>
            <w:hideMark/>
          </w:tcPr>
          <w:p w14:paraId="78190B52" w14:textId="77777777" w:rsidR="00524720" w:rsidRPr="00D9348B" w:rsidRDefault="00524720" w:rsidP="00F006B3">
            <w:pPr>
              <w:pStyle w:val="TableText"/>
              <w:spacing w:before="50" w:after="50"/>
            </w:pPr>
            <w:r w:rsidRPr="00D9348B">
              <w:t>0.5</w:t>
            </w:r>
          </w:p>
        </w:tc>
        <w:tc>
          <w:tcPr>
            <w:tcW w:w="1417" w:type="dxa"/>
            <w:tcBorders>
              <w:top w:val="single" w:sz="4" w:space="0" w:color="365F91"/>
              <w:left w:val="nil"/>
              <w:bottom w:val="single" w:sz="4" w:space="0" w:color="365F91"/>
              <w:right w:val="nil"/>
            </w:tcBorders>
            <w:hideMark/>
          </w:tcPr>
          <w:p w14:paraId="73D42FF6" w14:textId="77777777" w:rsidR="00524720" w:rsidRPr="00D9348B" w:rsidRDefault="00524720" w:rsidP="00F006B3">
            <w:pPr>
              <w:pStyle w:val="TableText"/>
              <w:spacing w:before="50" w:after="50"/>
            </w:pPr>
            <w:r w:rsidRPr="00D9348B">
              <w:t>IPCC default</w:t>
            </w:r>
          </w:p>
        </w:tc>
        <w:tc>
          <w:tcPr>
            <w:tcW w:w="3260" w:type="dxa"/>
            <w:tcBorders>
              <w:top w:val="single" w:sz="4" w:space="0" w:color="365F91"/>
              <w:left w:val="nil"/>
              <w:bottom w:val="single" w:sz="4" w:space="0" w:color="365F91"/>
              <w:right w:val="nil"/>
            </w:tcBorders>
            <w:hideMark/>
          </w:tcPr>
          <w:p w14:paraId="2E40F537" w14:textId="77777777" w:rsidR="00524720" w:rsidRPr="00D9348B" w:rsidRDefault="00524720" w:rsidP="00F006B3">
            <w:pPr>
              <w:pStyle w:val="TableText"/>
              <w:spacing w:before="50" w:after="50"/>
              <w:rPr>
                <w:rFonts w:cs="Arial"/>
                <w:szCs w:val="16"/>
              </w:rPr>
            </w:pPr>
            <w:r w:rsidRPr="00D9348B">
              <w:rPr>
                <w:rFonts w:cs="Arial"/>
                <w:szCs w:val="16"/>
              </w:rPr>
              <w:t>IPCC (2006a)</w:t>
            </w:r>
          </w:p>
        </w:tc>
      </w:tr>
    </w:tbl>
    <w:p w14:paraId="246BBE9A" w14:textId="77777777" w:rsidR="00524720" w:rsidRPr="00D9348B" w:rsidRDefault="00524720" w:rsidP="00524720">
      <w:pPr>
        <w:pStyle w:val="Heading5"/>
        <w:spacing w:before="400"/>
      </w:pPr>
      <w:r w:rsidRPr="00D9348B">
        <w:t>Non-municipal landfills and farm fills (5.A.2)</w:t>
      </w:r>
    </w:p>
    <w:p w14:paraId="547BD4EA" w14:textId="77777777" w:rsidR="00524720" w:rsidRPr="00D9348B" w:rsidRDefault="00524720" w:rsidP="00524720">
      <w:pPr>
        <w:pStyle w:val="Heading6"/>
        <w:spacing w:before="120"/>
      </w:pPr>
      <w:r w:rsidRPr="00D9348B">
        <w:t>Waste composition</w:t>
      </w:r>
    </w:p>
    <w:p w14:paraId="2DA3ECFA" w14:textId="3763927F" w:rsidR="00524720" w:rsidRPr="00D9348B" w:rsidRDefault="00524720" w:rsidP="00524720">
      <w:pPr>
        <w:pStyle w:val="BodyText"/>
      </w:pPr>
      <w:r w:rsidRPr="00D9348B">
        <w:t>The main waste types disposed to non-municipal landfills are described in survey data as cleanfill, construction and demolition waste, green waste and wood. These were mapped to the IPCC waste types (IPCC, 2006a) and the IPCC default DOC values were applied. Most sites provided data on which types of waste are accepted, but only a few could quantify the amounts. To fill this data gap, an assumption is made that the quantities of each waste</w:t>
      </w:r>
      <w:r w:rsidR="00F006B3" w:rsidRPr="00D9348B">
        <w:t> </w:t>
      </w:r>
      <w:r w:rsidRPr="00D9348B">
        <w:t xml:space="preserve">type produced in each region could be determined from the general proportion of waste types reported for each region (Tonkin and Taylor Ltd, </w:t>
      </w:r>
      <w:proofErr w:type="gramStart"/>
      <w:r w:rsidRPr="00D9348B">
        <w:t>unpublished(</w:t>
      </w:r>
      <w:proofErr w:type="gramEnd"/>
      <w:r w:rsidRPr="00D9348B">
        <w:t>b)). Updated site</w:t>
      </w:r>
      <w:r w:rsidR="00F006B3" w:rsidRPr="00D9348B">
        <w:t> </w:t>
      </w:r>
      <w:r w:rsidRPr="00D9348B">
        <w:t>data on waste composition from non-municipal landfills have been included from the</w:t>
      </w:r>
      <w:r w:rsidR="00F006B3" w:rsidRPr="00D9348B">
        <w:t> </w:t>
      </w:r>
      <w:r w:rsidRPr="00D9348B">
        <w:t>2016</w:t>
      </w:r>
      <w:r w:rsidR="00F006B3" w:rsidRPr="00D9348B">
        <w:t> </w:t>
      </w:r>
      <w:r w:rsidRPr="00D9348B">
        <w:t>year (MWH, 2017).</w:t>
      </w:r>
    </w:p>
    <w:p w14:paraId="04C6EFBE" w14:textId="1FDF7F17" w:rsidR="00524720" w:rsidRPr="00D9348B" w:rsidRDefault="00524720" w:rsidP="00F006B3">
      <w:pPr>
        <w:pStyle w:val="BodyText"/>
      </w:pPr>
      <w:r w:rsidRPr="00D9348B">
        <w:t>For farm fills, based on information resulting from the non-natural rural wastes survey (GHD, 2013), the DOC for bulk municipal solid waste has been adopted for farm waste because it is expected to comprise a mixture of domestic refuse, inert wastes (scrap metal and glass) and wastes associated with the particular farming activity. This is similar to the kinds of waste in</w:t>
      </w:r>
      <w:r w:rsidR="00F006B3" w:rsidRPr="00D9348B">
        <w:t> </w:t>
      </w:r>
      <w:r w:rsidRPr="00D9348B">
        <w:t xml:space="preserve">municipal solid waste, therefore, applying the DOC for bulk municipal solid waste is appropriate (Tonkin and Taylor Ltd, </w:t>
      </w:r>
      <w:proofErr w:type="gramStart"/>
      <w:r w:rsidRPr="00D9348B">
        <w:t>unpublished(</w:t>
      </w:r>
      <w:proofErr w:type="gramEnd"/>
      <w:r w:rsidRPr="00D9348B">
        <w:t>b)).</w:t>
      </w:r>
    </w:p>
    <w:p w14:paraId="5EE7F2FC" w14:textId="77777777" w:rsidR="00524720" w:rsidRPr="00D9348B" w:rsidRDefault="00524720" w:rsidP="00524720">
      <w:pPr>
        <w:pStyle w:val="Heading6"/>
      </w:pPr>
      <w:r w:rsidRPr="00D9348B">
        <w:lastRenderedPageBreak/>
        <w:t>Other parameters</w:t>
      </w:r>
    </w:p>
    <w:p w14:paraId="036198C6" w14:textId="77777777" w:rsidR="00524720" w:rsidRPr="00D9348B" w:rsidRDefault="00524720" w:rsidP="00524720">
      <w:pPr>
        <w:pStyle w:val="BodyText"/>
      </w:pPr>
      <w:r w:rsidRPr="00D9348B">
        <w:t>The majority of non-municipal landfills and farm fills are shallow, with less than 5 metres depth of waste. These are estimated to account for 90 per cent of the waste disposed with a CH</w:t>
      </w:r>
      <w:r w:rsidRPr="00D9348B">
        <w:rPr>
          <w:vertAlign w:val="subscript"/>
        </w:rPr>
        <w:t>4</w:t>
      </w:r>
      <w:r w:rsidRPr="00D9348B">
        <w:t xml:space="preserve"> correction factor value of 0.4. The other 10 per cent (approximately) goes to fills that are assumed to be: </w:t>
      </w:r>
    </w:p>
    <w:p w14:paraId="522E94A2" w14:textId="77777777" w:rsidR="00524720" w:rsidRPr="00D9348B" w:rsidRDefault="00524720" w:rsidP="00771A8F">
      <w:pPr>
        <w:pStyle w:val="Bullet"/>
        <w:numPr>
          <w:ilvl w:val="0"/>
          <w:numId w:val="28"/>
        </w:numPr>
      </w:pPr>
      <w:r w:rsidRPr="00D9348B">
        <w:t>for non-municipal landfills, an unknown mix that would have an average CH</w:t>
      </w:r>
      <w:r w:rsidRPr="00D9348B">
        <w:rPr>
          <w:vertAlign w:val="subscript"/>
        </w:rPr>
        <w:t>4</w:t>
      </w:r>
      <w:r w:rsidRPr="00D9348B">
        <w:t xml:space="preserve"> correction factor value of 0.6; this gives an overall average for these sites of 0.42 </w:t>
      </w:r>
    </w:p>
    <w:p w14:paraId="6008E73D" w14:textId="77777777" w:rsidR="00524720" w:rsidRPr="00D9348B" w:rsidRDefault="00524720" w:rsidP="00771A8F">
      <w:pPr>
        <w:pStyle w:val="Bullet"/>
        <w:numPr>
          <w:ilvl w:val="0"/>
          <w:numId w:val="28"/>
        </w:numPr>
      </w:pPr>
      <w:proofErr w:type="gramStart"/>
      <w:r w:rsidRPr="00D9348B">
        <w:t>for</w:t>
      </w:r>
      <w:proofErr w:type="gramEnd"/>
      <w:r w:rsidRPr="00D9348B">
        <w:t xml:space="preserve"> farm fills, deeper pits with an average depth greater than 5 metres, so the CH</w:t>
      </w:r>
      <w:r w:rsidRPr="00D9348B">
        <w:rPr>
          <w:vertAlign w:val="subscript"/>
        </w:rPr>
        <w:t>4</w:t>
      </w:r>
      <w:r w:rsidRPr="00D9348B">
        <w:t xml:space="preserve"> correction factor value is 0.8 and the average for all farm fills is 0.44.</w:t>
      </w:r>
    </w:p>
    <w:p w14:paraId="509BE793" w14:textId="77777777" w:rsidR="00524720" w:rsidRPr="00D9348B" w:rsidRDefault="00524720" w:rsidP="00524720">
      <w:pPr>
        <w:pStyle w:val="BodyText"/>
      </w:pPr>
      <w:r w:rsidRPr="00D9348B">
        <w:t xml:space="preserve">Default k-values for a wet temperate climate are used. No oxidation is assumed to occur in the cover for these unmanaged sites. </w:t>
      </w:r>
    </w:p>
    <w:p w14:paraId="080FD922" w14:textId="77777777" w:rsidR="00524720" w:rsidRPr="00D9348B" w:rsidRDefault="00524720" w:rsidP="00524720">
      <w:pPr>
        <w:pStyle w:val="Heading6"/>
      </w:pPr>
      <w:r w:rsidRPr="00D9348B">
        <w:t>Summary of parameters used</w:t>
      </w:r>
    </w:p>
    <w:p w14:paraId="6309A1F3" w14:textId="77777777" w:rsidR="00524720" w:rsidRPr="00D9348B" w:rsidRDefault="00524720" w:rsidP="00524720">
      <w:pPr>
        <w:pStyle w:val="BodyText"/>
      </w:pPr>
      <w:r w:rsidRPr="00D9348B">
        <w:t>Table 7.2.9 gives a summary of the parameter values that have been applied for estimating CH</w:t>
      </w:r>
      <w:r w:rsidRPr="00D9348B">
        <w:rPr>
          <w:vertAlign w:val="subscript"/>
        </w:rPr>
        <w:t>4</w:t>
      </w:r>
      <w:r w:rsidRPr="00D9348B">
        <w:t xml:space="preserve"> emissions for solid waste disposed to non-municipal landfills and farm fills. </w:t>
      </w:r>
    </w:p>
    <w:p w14:paraId="0396D4C0" w14:textId="77777777" w:rsidR="00524720" w:rsidRPr="00D9348B" w:rsidRDefault="00524720" w:rsidP="00524720">
      <w:pPr>
        <w:pStyle w:val="Table"/>
      </w:pPr>
      <w:bookmarkStart w:id="2726" w:name="_Toc32828526"/>
      <w:bookmarkStart w:id="2727" w:name="_Toc32591356"/>
      <w:bookmarkStart w:id="2728" w:name="_Toc5269568"/>
      <w:bookmarkStart w:id="2729" w:name="_Toc511116827"/>
      <w:bookmarkStart w:id="2730" w:name="_Toc508019329"/>
      <w:bookmarkStart w:id="2731" w:name="_Toc481751604"/>
      <w:bookmarkStart w:id="2732" w:name="_Toc451176174"/>
      <w:bookmarkStart w:id="2733" w:name="_Toc444001622"/>
      <w:bookmarkStart w:id="2734" w:name="_Toc36224649"/>
      <w:r w:rsidRPr="00D9348B">
        <w:t>Table 7.2.9</w:t>
      </w:r>
      <w:r w:rsidRPr="00D9348B">
        <w:tab/>
        <w:t>Summary of parameters for non-municipal landfills and farm fills</w:t>
      </w:r>
      <w:bookmarkEnd w:id="2726"/>
      <w:bookmarkEnd w:id="2727"/>
      <w:bookmarkEnd w:id="2728"/>
      <w:bookmarkEnd w:id="2729"/>
      <w:bookmarkEnd w:id="2730"/>
      <w:bookmarkEnd w:id="2731"/>
      <w:bookmarkEnd w:id="2732"/>
      <w:bookmarkEnd w:id="2733"/>
      <w:bookmarkEnd w:id="2734"/>
    </w:p>
    <w:tbl>
      <w:tblPr>
        <w:tblW w:w="8505" w:type="dxa"/>
        <w:tblInd w:w="108" w:type="dxa"/>
        <w:tblLook w:val="04A0" w:firstRow="1" w:lastRow="0" w:firstColumn="1" w:lastColumn="0" w:noHBand="0" w:noVBand="1"/>
      </w:tblPr>
      <w:tblGrid>
        <w:gridCol w:w="2694"/>
        <w:gridCol w:w="1134"/>
        <w:gridCol w:w="1417"/>
        <w:gridCol w:w="3260"/>
      </w:tblGrid>
      <w:tr w:rsidR="00524720" w:rsidRPr="00D9348B" w14:paraId="5ED0FF01" w14:textId="77777777" w:rsidTr="00F006B3">
        <w:trPr>
          <w:tblHeader/>
        </w:trPr>
        <w:tc>
          <w:tcPr>
            <w:tcW w:w="2694" w:type="dxa"/>
            <w:tcBorders>
              <w:top w:val="single" w:sz="4" w:space="0" w:color="365F91"/>
              <w:left w:val="nil"/>
              <w:bottom w:val="single" w:sz="4" w:space="0" w:color="365F91"/>
              <w:right w:val="nil"/>
            </w:tcBorders>
            <w:shd w:val="clear" w:color="auto" w:fill="365F91"/>
            <w:hideMark/>
          </w:tcPr>
          <w:p w14:paraId="4C6C8BB0" w14:textId="77777777" w:rsidR="00524720" w:rsidRPr="00D9348B" w:rsidRDefault="00524720">
            <w:pPr>
              <w:pStyle w:val="TableTextBold"/>
              <w:spacing w:before="50" w:after="50"/>
              <w:rPr>
                <w:noProof w:val="0"/>
                <w:color w:val="FFFFFF"/>
              </w:rPr>
            </w:pPr>
            <w:r w:rsidRPr="00D9348B">
              <w:rPr>
                <w:noProof w:val="0"/>
                <w:color w:val="FFFFFF"/>
              </w:rPr>
              <w:t xml:space="preserve">Parameter </w:t>
            </w:r>
          </w:p>
        </w:tc>
        <w:tc>
          <w:tcPr>
            <w:tcW w:w="1134" w:type="dxa"/>
            <w:tcBorders>
              <w:top w:val="single" w:sz="4" w:space="0" w:color="365F91"/>
              <w:left w:val="nil"/>
              <w:bottom w:val="single" w:sz="4" w:space="0" w:color="365F91"/>
              <w:right w:val="nil"/>
            </w:tcBorders>
            <w:shd w:val="clear" w:color="auto" w:fill="365F91"/>
            <w:hideMark/>
          </w:tcPr>
          <w:p w14:paraId="7B37B2C7" w14:textId="77777777" w:rsidR="00524720" w:rsidRPr="00D9348B" w:rsidRDefault="00524720">
            <w:pPr>
              <w:pStyle w:val="TableTextBold"/>
              <w:spacing w:before="50" w:after="50"/>
              <w:rPr>
                <w:noProof w:val="0"/>
                <w:color w:val="FFFFFF"/>
              </w:rPr>
            </w:pPr>
            <w:r w:rsidRPr="00D9348B">
              <w:rPr>
                <w:noProof w:val="0"/>
                <w:color w:val="FFFFFF"/>
              </w:rPr>
              <w:t xml:space="preserve">Values </w:t>
            </w:r>
          </w:p>
        </w:tc>
        <w:tc>
          <w:tcPr>
            <w:tcW w:w="1417" w:type="dxa"/>
            <w:tcBorders>
              <w:top w:val="single" w:sz="4" w:space="0" w:color="365F91"/>
              <w:left w:val="nil"/>
              <w:bottom w:val="single" w:sz="4" w:space="0" w:color="365F91"/>
              <w:right w:val="nil"/>
            </w:tcBorders>
            <w:shd w:val="clear" w:color="auto" w:fill="365F91"/>
            <w:hideMark/>
          </w:tcPr>
          <w:p w14:paraId="22D28650" w14:textId="77777777" w:rsidR="00524720" w:rsidRPr="00D9348B" w:rsidRDefault="00524720">
            <w:pPr>
              <w:pStyle w:val="TableTextBold"/>
              <w:spacing w:before="50" w:after="50"/>
              <w:rPr>
                <w:noProof w:val="0"/>
                <w:color w:val="FFFFFF"/>
              </w:rPr>
            </w:pPr>
            <w:r w:rsidRPr="00D9348B">
              <w:rPr>
                <w:noProof w:val="0"/>
                <w:color w:val="FFFFFF"/>
              </w:rPr>
              <w:t>Source</w:t>
            </w:r>
          </w:p>
        </w:tc>
        <w:tc>
          <w:tcPr>
            <w:tcW w:w="3260" w:type="dxa"/>
            <w:tcBorders>
              <w:top w:val="single" w:sz="4" w:space="0" w:color="365F91"/>
              <w:left w:val="nil"/>
              <w:bottom w:val="single" w:sz="4" w:space="0" w:color="365F91"/>
              <w:right w:val="nil"/>
            </w:tcBorders>
            <w:shd w:val="clear" w:color="auto" w:fill="365F91"/>
            <w:hideMark/>
          </w:tcPr>
          <w:p w14:paraId="01777505" w14:textId="77777777" w:rsidR="00524720" w:rsidRPr="00D9348B" w:rsidRDefault="00524720">
            <w:pPr>
              <w:pStyle w:val="TableTextBold"/>
              <w:spacing w:before="50" w:after="50"/>
              <w:rPr>
                <w:noProof w:val="0"/>
                <w:color w:val="FFFFFF"/>
              </w:rPr>
            </w:pPr>
            <w:r w:rsidRPr="00D9348B">
              <w:rPr>
                <w:noProof w:val="0"/>
                <w:color w:val="FFFFFF"/>
              </w:rPr>
              <w:t>Reference</w:t>
            </w:r>
          </w:p>
        </w:tc>
      </w:tr>
      <w:tr w:rsidR="00524720" w:rsidRPr="00D9348B" w14:paraId="6089EC96" w14:textId="77777777" w:rsidTr="00F006B3">
        <w:tc>
          <w:tcPr>
            <w:tcW w:w="8505" w:type="dxa"/>
            <w:gridSpan w:val="4"/>
            <w:tcBorders>
              <w:top w:val="single" w:sz="4" w:space="0" w:color="365F91"/>
              <w:left w:val="nil"/>
              <w:bottom w:val="single" w:sz="4" w:space="0" w:color="365F91"/>
              <w:right w:val="nil"/>
            </w:tcBorders>
            <w:hideMark/>
          </w:tcPr>
          <w:p w14:paraId="12D3C06E" w14:textId="77777777" w:rsidR="00524720" w:rsidRPr="00D9348B" w:rsidRDefault="00524720">
            <w:pPr>
              <w:pStyle w:val="TableTextBold"/>
              <w:spacing w:before="50" w:after="50"/>
              <w:rPr>
                <w:noProof w:val="0"/>
              </w:rPr>
            </w:pPr>
            <w:r w:rsidRPr="00D9348B">
              <w:rPr>
                <w:noProof w:val="0"/>
              </w:rPr>
              <w:t>Non-municipal landfills</w:t>
            </w:r>
          </w:p>
        </w:tc>
      </w:tr>
      <w:tr w:rsidR="00524720" w:rsidRPr="00D9348B" w14:paraId="77DCB0FC" w14:textId="77777777" w:rsidTr="00F006B3">
        <w:tc>
          <w:tcPr>
            <w:tcW w:w="2694" w:type="dxa"/>
            <w:tcBorders>
              <w:top w:val="single" w:sz="4" w:space="0" w:color="365F91"/>
              <w:left w:val="nil"/>
              <w:bottom w:val="single" w:sz="4" w:space="0" w:color="365F91"/>
              <w:right w:val="nil"/>
            </w:tcBorders>
            <w:hideMark/>
          </w:tcPr>
          <w:p w14:paraId="26463247" w14:textId="77777777" w:rsidR="00524720" w:rsidRPr="00D9348B" w:rsidRDefault="00524720">
            <w:pPr>
              <w:pStyle w:val="TableText"/>
              <w:spacing w:before="50" w:after="50"/>
            </w:pPr>
            <w:r w:rsidRPr="00D9348B">
              <w:t>k-value</w:t>
            </w:r>
          </w:p>
        </w:tc>
        <w:tc>
          <w:tcPr>
            <w:tcW w:w="1134" w:type="dxa"/>
            <w:tcBorders>
              <w:top w:val="single" w:sz="4" w:space="0" w:color="365F91"/>
              <w:left w:val="nil"/>
              <w:bottom w:val="single" w:sz="4" w:space="0" w:color="365F91"/>
              <w:right w:val="nil"/>
            </w:tcBorders>
            <w:hideMark/>
          </w:tcPr>
          <w:p w14:paraId="6E0383F7" w14:textId="77777777" w:rsidR="00524720" w:rsidRPr="00D9348B" w:rsidRDefault="00524720">
            <w:pPr>
              <w:pStyle w:val="TableText"/>
              <w:spacing w:before="50" w:after="50"/>
            </w:pPr>
            <w:r w:rsidRPr="00D9348B">
              <w:t>0.030–0.185</w:t>
            </w:r>
          </w:p>
        </w:tc>
        <w:tc>
          <w:tcPr>
            <w:tcW w:w="1417" w:type="dxa"/>
            <w:tcBorders>
              <w:top w:val="single" w:sz="4" w:space="0" w:color="365F91"/>
              <w:left w:val="nil"/>
              <w:bottom w:val="single" w:sz="4" w:space="0" w:color="365F91"/>
              <w:right w:val="nil"/>
            </w:tcBorders>
            <w:hideMark/>
          </w:tcPr>
          <w:p w14:paraId="17EA8116" w14:textId="77777777" w:rsidR="00524720" w:rsidRPr="00D9348B" w:rsidRDefault="00524720">
            <w:pPr>
              <w:pStyle w:val="TableText"/>
              <w:spacing w:before="50" w:after="50"/>
              <w:rPr>
                <w:rFonts w:cs="Arial"/>
                <w:szCs w:val="16"/>
              </w:rPr>
            </w:pPr>
            <w:r w:rsidRPr="00D9348B">
              <w:rPr>
                <w:rFonts w:cs="Arial"/>
                <w:szCs w:val="16"/>
              </w:rPr>
              <w:t xml:space="preserve">IPCC default </w:t>
            </w:r>
          </w:p>
        </w:tc>
        <w:tc>
          <w:tcPr>
            <w:tcW w:w="3260" w:type="dxa"/>
            <w:tcBorders>
              <w:top w:val="single" w:sz="4" w:space="0" w:color="365F91"/>
              <w:left w:val="nil"/>
              <w:bottom w:val="single" w:sz="4" w:space="0" w:color="365F91"/>
              <w:right w:val="nil"/>
            </w:tcBorders>
            <w:hideMark/>
          </w:tcPr>
          <w:p w14:paraId="1A66E144" w14:textId="77777777" w:rsidR="00524720" w:rsidRPr="00D9348B" w:rsidRDefault="00524720">
            <w:pPr>
              <w:pStyle w:val="TableText"/>
              <w:spacing w:before="50" w:after="50"/>
              <w:rPr>
                <w:rFonts w:cs="Arial"/>
                <w:szCs w:val="16"/>
              </w:rPr>
            </w:pPr>
            <w:r w:rsidRPr="00D9348B">
              <w:rPr>
                <w:rFonts w:cs="Arial"/>
                <w:szCs w:val="16"/>
              </w:rPr>
              <w:t>IPCC (2006a)</w:t>
            </w:r>
          </w:p>
        </w:tc>
      </w:tr>
      <w:tr w:rsidR="00524720" w:rsidRPr="00D9348B" w14:paraId="45D46A0D" w14:textId="77777777" w:rsidTr="00F006B3">
        <w:tc>
          <w:tcPr>
            <w:tcW w:w="2694" w:type="dxa"/>
            <w:tcBorders>
              <w:top w:val="single" w:sz="4" w:space="0" w:color="365F91"/>
              <w:left w:val="nil"/>
              <w:bottom w:val="single" w:sz="4" w:space="0" w:color="365F91"/>
              <w:right w:val="nil"/>
            </w:tcBorders>
            <w:hideMark/>
          </w:tcPr>
          <w:p w14:paraId="687EB818" w14:textId="77777777" w:rsidR="00524720" w:rsidRPr="00D9348B" w:rsidRDefault="00524720">
            <w:pPr>
              <w:pStyle w:val="TableText"/>
              <w:spacing w:before="50" w:after="50"/>
            </w:pPr>
            <w:r w:rsidRPr="00D9348B">
              <w:t>Methane correction factor</w:t>
            </w:r>
          </w:p>
        </w:tc>
        <w:tc>
          <w:tcPr>
            <w:tcW w:w="1134" w:type="dxa"/>
            <w:tcBorders>
              <w:top w:val="single" w:sz="4" w:space="0" w:color="365F91"/>
              <w:left w:val="nil"/>
              <w:bottom w:val="single" w:sz="4" w:space="0" w:color="365F91"/>
              <w:right w:val="nil"/>
            </w:tcBorders>
            <w:hideMark/>
          </w:tcPr>
          <w:p w14:paraId="606956FF" w14:textId="77777777" w:rsidR="00524720" w:rsidRPr="00D9348B" w:rsidRDefault="00524720">
            <w:pPr>
              <w:pStyle w:val="TableText"/>
              <w:spacing w:before="50" w:after="50"/>
            </w:pPr>
            <w:r w:rsidRPr="00D9348B">
              <w:t>0.42</w:t>
            </w:r>
          </w:p>
        </w:tc>
        <w:tc>
          <w:tcPr>
            <w:tcW w:w="1417" w:type="dxa"/>
            <w:tcBorders>
              <w:top w:val="single" w:sz="4" w:space="0" w:color="365F91"/>
              <w:left w:val="nil"/>
              <w:bottom w:val="single" w:sz="4" w:space="0" w:color="365F91"/>
              <w:right w:val="nil"/>
            </w:tcBorders>
            <w:hideMark/>
          </w:tcPr>
          <w:p w14:paraId="443B4C27" w14:textId="77777777" w:rsidR="00524720" w:rsidRPr="00D9348B" w:rsidRDefault="00524720">
            <w:pPr>
              <w:pStyle w:val="TableText"/>
              <w:spacing w:before="50" w:after="50"/>
              <w:rPr>
                <w:rFonts w:cs="Arial"/>
                <w:szCs w:val="16"/>
              </w:rPr>
            </w:pPr>
            <w:r w:rsidRPr="00D9348B">
              <w:rPr>
                <w:rFonts w:cs="Arial"/>
                <w:szCs w:val="16"/>
              </w:rPr>
              <w:t>Country specific</w:t>
            </w:r>
          </w:p>
        </w:tc>
        <w:tc>
          <w:tcPr>
            <w:tcW w:w="3260" w:type="dxa"/>
            <w:tcBorders>
              <w:top w:val="single" w:sz="4" w:space="0" w:color="365F91"/>
              <w:left w:val="nil"/>
              <w:bottom w:val="single" w:sz="4" w:space="0" w:color="365F91"/>
              <w:right w:val="nil"/>
            </w:tcBorders>
            <w:hideMark/>
          </w:tcPr>
          <w:p w14:paraId="31E55401" w14:textId="77777777" w:rsidR="00524720" w:rsidRPr="00D9348B" w:rsidRDefault="00524720">
            <w:pPr>
              <w:pStyle w:val="TableText"/>
              <w:spacing w:before="50" w:after="50"/>
              <w:rPr>
                <w:rFonts w:cs="Arial"/>
                <w:szCs w:val="16"/>
              </w:rPr>
            </w:pPr>
            <w:r w:rsidRPr="00D9348B">
              <w:rPr>
                <w:rFonts w:cs="Arial"/>
                <w:szCs w:val="16"/>
              </w:rPr>
              <w:t>Tonkin and Taylor Ltd (unpublished(b))</w:t>
            </w:r>
          </w:p>
        </w:tc>
      </w:tr>
      <w:tr w:rsidR="00524720" w:rsidRPr="00D9348B" w14:paraId="71D71F02" w14:textId="77777777" w:rsidTr="00F006B3">
        <w:tc>
          <w:tcPr>
            <w:tcW w:w="2694" w:type="dxa"/>
            <w:tcBorders>
              <w:top w:val="single" w:sz="4" w:space="0" w:color="365F91"/>
              <w:left w:val="nil"/>
              <w:bottom w:val="single" w:sz="4" w:space="0" w:color="365F91"/>
              <w:right w:val="nil"/>
            </w:tcBorders>
            <w:hideMark/>
          </w:tcPr>
          <w:p w14:paraId="00F55DB4" w14:textId="77777777" w:rsidR="00524720" w:rsidRPr="00D9348B" w:rsidRDefault="00524720">
            <w:pPr>
              <w:pStyle w:val="TableText"/>
              <w:spacing w:before="50" w:after="50"/>
            </w:pPr>
            <w:r w:rsidRPr="00D9348B">
              <w:t>Degradable organic carbon (DOC) (kt C/kt waste)</w:t>
            </w:r>
          </w:p>
        </w:tc>
        <w:tc>
          <w:tcPr>
            <w:tcW w:w="1134" w:type="dxa"/>
            <w:tcBorders>
              <w:top w:val="single" w:sz="4" w:space="0" w:color="365F91"/>
              <w:left w:val="nil"/>
              <w:bottom w:val="single" w:sz="4" w:space="0" w:color="365F91"/>
              <w:right w:val="nil"/>
            </w:tcBorders>
            <w:hideMark/>
          </w:tcPr>
          <w:p w14:paraId="601861DC" w14:textId="77777777" w:rsidR="00524720" w:rsidRPr="00D9348B" w:rsidRDefault="00524720">
            <w:pPr>
              <w:pStyle w:val="TableText"/>
              <w:spacing w:before="50" w:after="50"/>
            </w:pPr>
            <w:r w:rsidRPr="00D9348B">
              <w:t>0.040–0.43</w:t>
            </w:r>
          </w:p>
        </w:tc>
        <w:tc>
          <w:tcPr>
            <w:tcW w:w="1417" w:type="dxa"/>
            <w:tcBorders>
              <w:top w:val="single" w:sz="4" w:space="0" w:color="365F91"/>
              <w:left w:val="nil"/>
              <w:bottom w:val="single" w:sz="4" w:space="0" w:color="365F91"/>
              <w:right w:val="nil"/>
            </w:tcBorders>
            <w:hideMark/>
          </w:tcPr>
          <w:p w14:paraId="226F19DB" w14:textId="77777777" w:rsidR="00524720" w:rsidRPr="00D9348B" w:rsidRDefault="00524720">
            <w:pPr>
              <w:pStyle w:val="TableText"/>
              <w:spacing w:before="50" w:after="50"/>
              <w:rPr>
                <w:rFonts w:cs="Arial"/>
                <w:szCs w:val="16"/>
              </w:rPr>
            </w:pPr>
            <w:r w:rsidRPr="00D9348B">
              <w:t>Country specific</w:t>
            </w:r>
          </w:p>
        </w:tc>
        <w:tc>
          <w:tcPr>
            <w:tcW w:w="3260" w:type="dxa"/>
            <w:tcBorders>
              <w:top w:val="single" w:sz="4" w:space="0" w:color="365F91"/>
              <w:left w:val="nil"/>
              <w:bottom w:val="single" w:sz="4" w:space="0" w:color="365F91"/>
              <w:right w:val="nil"/>
            </w:tcBorders>
            <w:hideMark/>
          </w:tcPr>
          <w:p w14:paraId="1B3F98D7" w14:textId="77777777" w:rsidR="00524720" w:rsidRPr="00D9348B" w:rsidRDefault="00524720">
            <w:pPr>
              <w:pStyle w:val="TableText"/>
              <w:spacing w:before="50" w:after="50"/>
              <w:rPr>
                <w:rFonts w:cs="Arial"/>
                <w:szCs w:val="16"/>
              </w:rPr>
            </w:pPr>
            <w:r w:rsidRPr="00D9348B">
              <w:t>Waste Not Consulting (unpublished(b))</w:t>
            </w:r>
          </w:p>
        </w:tc>
      </w:tr>
      <w:tr w:rsidR="00524720" w:rsidRPr="00D9348B" w14:paraId="3B68429B" w14:textId="77777777" w:rsidTr="00F006B3">
        <w:tc>
          <w:tcPr>
            <w:tcW w:w="8505" w:type="dxa"/>
            <w:gridSpan w:val="4"/>
            <w:tcBorders>
              <w:top w:val="single" w:sz="4" w:space="0" w:color="365F91"/>
              <w:left w:val="nil"/>
              <w:bottom w:val="single" w:sz="4" w:space="0" w:color="365F91"/>
              <w:right w:val="nil"/>
            </w:tcBorders>
            <w:hideMark/>
          </w:tcPr>
          <w:p w14:paraId="64CD84B0" w14:textId="77777777" w:rsidR="00524720" w:rsidRPr="00D9348B" w:rsidRDefault="00524720">
            <w:pPr>
              <w:pStyle w:val="TableTextBold"/>
              <w:spacing w:before="50" w:after="50"/>
              <w:rPr>
                <w:noProof w:val="0"/>
              </w:rPr>
            </w:pPr>
            <w:r w:rsidRPr="00D9348B">
              <w:rPr>
                <w:noProof w:val="0"/>
              </w:rPr>
              <w:t>Farm fills</w:t>
            </w:r>
          </w:p>
        </w:tc>
      </w:tr>
      <w:tr w:rsidR="00524720" w:rsidRPr="00D9348B" w14:paraId="21BB223A" w14:textId="77777777" w:rsidTr="00F006B3">
        <w:tc>
          <w:tcPr>
            <w:tcW w:w="2694" w:type="dxa"/>
            <w:tcBorders>
              <w:top w:val="single" w:sz="4" w:space="0" w:color="365F91"/>
              <w:left w:val="nil"/>
              <w:bottom w:val="single" w:sz="4" w:space="0" w:color="365F91"/>
              <w:right w:val="nil"/>
            </w:tcBorders>
            <w:hideMark/>
          </w:tcPr>
          <w:p w14:paraId="29D01904" w14:textId="77777777" w:rsidR="00524720" w:rsidRPr="00D9348B" w:rsidRDefault="00524720">
            <w:pPr>
              <w:pStyle w:val="TableText"/>
              <w:spacing w:before="50" w:after="50"/>
            </w:pPr>
            <w:r w:rsidRPr="00D9348B">
              <w:t>k-value</w:t>
            </w:r>
          </w:p>
        </w:tc>
        <w:tc>
          <w:tcPr>
            <w:tcW w:w="1134" w:type="dxa"/>
            <w:tcBorders>
              <w:top w:val="single" w:sz="4" w:space="0" w:color="365F91"/>
              <w:left w:val="nil"/>
              <w:bottom w:val="single" w:sz="4" w:space="0" w:color="365F91"/>
              <w:right w:val="nil"/>
            </w:tcBorders>
            <w:hideMark/>
          </w:tcPr>
          <w:p w14:paraId="2F5C66BA" w14:textId="77777777" w:rsidR="00524720" w:rsidRPr="00D9348B" w:rsidRDefault="00524720">
            <w:pPr>
              <w:pStyle w:val="TableText"/>
              <w:spacing w:before="50" w:after="50"/>
            </w:pPr>
            <w:r w:rsidRPr="00D9348B">
              <w:t>0.09</w:t>
            </w:r>
          </w:p>
        </w:tc>
        <w:tc>
          <w:tcPr>
            <w:tcW w:w="1417" w:type="dxa"/>
            <w:tcBorders>
              <w:top w:val="single" w:sz="4" w:space="0" w:color="365F91"/>
              <w:left w:val="nil"/>
              <w:bottom w:val="single" w:sz="4" w:space="0" w:color="365F91"/>
              <w:right w:val="nil"/>
            </w:tcBorders>
            <w:hideMark/>
          </w:tcPr>
          <w:p w14:paraId="06DDB0DC" w14:textId="77777777" w:rsidR="00524720" w:rsidRPr="00D9348B" w:rsidRDefault="00524720">
            <w:pPr>
              <w:pStyle w:val="TableText"/>
              <w:spacing w:before="50" w:after="50"/>
            </w:pPr>
            <w:r w:rsidRPr="00D9348B">
              <w:t>IPCC default</w:t>
            </w:r>
          </w:p>
        </w:tc>
        <w:tc>
          <w:tcPr>
            <w:tcW w:w="3260" w:type="dxa"/>
            <w:tcBorders>
              <w:top w:val="single" w:sz="4" w:space="0" w:color="365F91"/>
              <w:left w:val="nil"/>
              <w:bottom w:val="single" w:sz="4" w:space="0" w:color="365F91"/>
              <w:right w:val="nil"/>
            </w:tcBorders>
            <w:hideMark/>
          </w:tcPr>
          <w:p w14:paraId="01D69FBF" w14:textId="77777777" w:rsidR="00524720" w:rsidRPr="00D9348B" w:rsidRDefault="00524720">
            <w:pPr>
              <w:pStyle w:val="TableText"/>
              <w:spacing w:before="50" w:after="50"/>
            </w:pPr>
            <w:r w:rsidRPr="00D9348B">
              <w:rPr>
                <w:rFonts w:cs="Arial"/>
                <w:szCs w:val="16"/>
              </w:rPr>
              <w:t>IPCC (2006a)</w:t>
            </w:r>
          </w:p>
        </w:tc>
      </w:tr>
      <w:tr w:rsidR="00524720" w:rsidRPr="00D9348B" w14:paraId="1340CC6B" w14:textId="77777777" w:rsidTr="00F006B3">
        <w:tc>
          <w:tcPr>
            <w:tcW w:w="2694" w:type="dxa"/>
            <w:tcBorders>
              <w:top w:val="single" w:sz="4" w:space="0" w:color="365F91"/>
              <w:left w:val="nil"/>
              <w:bottom w:val="single" w:sz="4" w:space="0" w:color="365F91"/>
              <w:right w:val="nil"/>
            </w:tcBorders>
            <w:hideMark/>
          </w:tcPr>
          <w:p w14:paraId="231CDB9F" w14:textId="77777777" w:rsidR="00524720" w:rsidRPr="00D9348B" w:rsidRDefault="00524720">
            <w:pPr>
              <w:pStyle w:val="TableText"/>
              <w:spacing w:before="50" w:after="50"/>
            </w:pPr>
            <w:r w:rsidRPr="00D9348B">
              <w:t>Methane correction factor</w:t>
            </w:r>
          </w:p>
        </w:tc>
        <w:tc>
          <w:tcPr>
            <w:tcW w:w="1134" w:type="dxa"/>
            <w:tcBorders>
              <w:top w:val="single" w:sz="4" w:space="0" w:color="365F91"/>
              <w:left w:val="nil"/>
              <w:bottom w:val="single" w:sz="4" w:space="0" w:color="365F91"/>
              <w:right w:val="nil"/>
            </w:tcBorders>
            <w:hideMark/>
          </w:tcPr>
          <w:p w14:paraId="2522375C" w14:textId="77777777" w:rsidR="00524720" w:rsidRPr="00D9348B" w:rsidRDefault="00524720">
            <w:pPr>
              <w:pStyle w:val="TableText"/>
              <w:spacing w:before="50" w:after="50"/>
            </w:pPr>
            <w:r w:rsidRPr="00D9348B">
              <w:t>0.44</w:t>
            </w:r>
          </w:p>
        </w:tc>
        <w:tc>
          <w:tcPr>
            <w:tcW w:w="1417" w:type="dxa"/>
            <w:tcBorders>
              <w:top w:val="single" w:sz="4" w:space="0" w:color="365F91"/>
              <w:left w:val="nil"/>
              <w:bottom w:val="single" w:sz="4" w:space="0" w:color="365F91"/>
              <w:right w:val="nil"/>
            </w:tcBorders>
            <w:hideMark/>
          </w:tcPr>
          <w:p w14:paraId="2CB27AAC" w14:textId="77777777" w:rsidR="00524720" w:rsidRPr="00D9348B" w:rsidRDefault="00524720">
            <w:pPr>
              <w:pStyle w:val="TableText"/>
              <w:spacing w:before="50" w:after="50"/>
            </w:pPr>
            <w:r w:rsidRPr="00D9348B">
              <w:t>Country specific</w:t>
            </w:r>
          </w:p>
        </w:tc>
        <w:tc>
          <w:tcPr>
            <w:tcW w:w="3260" w:type="dxa"/>
            <w:tcBorders>
              <w:top w:val="single" w:sz="4" w:space="0" w:color="365F91"/>
              <w:left w:val="nil"/>
              <w:bottom w:val="single" w:sz="4" w:space="0" w:color="365F91"/>
              <w:right w:val="nil"/>
            </w:tcBorders>
            <w:hideMark/>
          </w:tcPr>
          <w:p w14:paraId="5618DF71" w14:textId="77777777" w:rsidR="00524720" w:rsidRPr="00D9348B" w:rsidRDefault="00524720">
            <w:pPr>
              <w:pStyle w:val="TableText"/>
              <w:spacing w:before="50" w:after="50"/>
            </w:pPr>
            <w:r w:rsidRPr="00D9348B">
              <w:rPr>
                <w:rFonts w:cs="Arial"/>
                <w:szCs w:val="16"/>
              </w:rPr>
              <w:t>Tonkin and Taylor Ltd (unpublished(b))</w:t>
            </w:r>
          </w:p>
        </w:tc>
      </w:tr>
      <w:tr w:rsidR="00524720" w:rsidRPr="00D9348B" w14:paraId="39D7FB6E" w14:textId="77777777" w:rsidTr="00F006B3">
        <w:tc>
          <w:tcPr>
            <w:tcW w:w="2694" w:type="dxa"/>
            <w:tcBorders>
              <w:top w:val="single" w:sz="4" w:space="0" w:color="365F91"/>
              <w:left w:val="nil"/>
              <w:bottom w:val="single" w:sz="4" w:space="0" w:color="365F91"/>
              <w:right w:val="nil"/>
            </w:tcBorders>
            <w:hideMark/>
          </w:tcPr>
          <w:p w14:paraId="37EEDA98" w14:textId="77777777" w:rsidR="00524720" w:rsidRPr="00D9348B" w:rsidRDefault="00524720">
            <w:pPr>
              <w:pStyle w:val="TableText"/>
              <w:spacing w:before="50" w:after="50"/>
            </w:pPr>
            <w:r w:rsidRPr="00D9348B">
              <w:t>DOC (kt C/kt waste)</w:t>
            </w:r>
          </w:p>
        </w:tc>
        <w:tc>
          <w:tcPr>
            <w:tcW w:w="1134" w:type="dxa"/>
            <w:tcBorders>
              <w:top w:val="single" w:sz="4" w:space="0" w:color="365F91"/>
              <w:left w:val="nil"/>
              <w:bottom w:val="single" w:sz="4" w:space="0" w:color="365F91"/>
              <w:right w:val="nil"/>
            </w:tcBorders>
            <w:hideMark/>
          </w:tcPr>
          <w:p w14:paraId="6144DC1F" w14:textId="77777777" w:rsidR="00524720" w:rsidRPr="00D9348B" w:rsidRDefault="00524720">
            <w:pPr>
              <w:pStyle w:val="TableText"/>
              <w:spacing w:before="50" w:after="50"/>
            </w:pPr>
            <w:r w:rsidRPr="00D9348B">
              <w:t>0.184-0.331</w:t>
            </w:r>
          </w:p>
        </w:tc>
        <w:tc>
          <w:tcPr>
            <w:tcW w:w="1417" w:type="dxa"/>
            <w:tcBorders>
              <w:top w:val="single" w:sz="4" w:space="0" w:color="365F91"/>
              <w:left w:val="nil"/>
              <w:bottom w:val="single" w:sz="4" w:space="0" w:color="365F91"/>
              <w:right w:val="nil"/>
            </w:tcBorders>
            <w:hideMark/>
          </w:tcPr>
          <w:p w14:paraId="29BD8879" w14:textId="77777777" w:rsidR="00524720" w:rsidRPr="00D9348B" w:rsidRDefault="00524720">
            <w:pPr>
              <w:pStyle w:val="TableText"/>
              <w:spacing w:before="50" w:after="50"/>
            </w:pPr>
            <w:r w:rsidRPr="00D9348B">
              <w:t>Country specific</w:t>
            </w:r>
          </w:p>
        </w:tc>
        <w:tc>
          <w:tcPr>
            <w:tcW w:w="3260" w:type="dxa"/>
            <w:tcBorders>
              <w:top w:val="single" w:sz="4" w:space="0" w:color="365F91"/>
              <w:left w:val="nil"/>
              <w:bottom w:val="single" w:sz="4" w:space="0" w:color="365F91"/>
              <w:right w:val="nil"/>
            </w:tcBorders>
            <w:hideMark/>
          </w:tcPr>
          <w:p w14:paraId="6729636B" w14:textId="77777777" w:rsidR="00524720" w:rsidRPr="00D9348B" w:rsidRDefault="00524720">
            <w:pPr>
              <w:pStyle w:val="TableText"/>
              <w:spacing w:before="50" w:after="50"/>
              <w:rPr>
                <w:rFonts w:cs="Arial"/>
                <w:szCs w:val="16"/>
              </w:rPr>
            </w:pPr>
            <w:r w:rsidRPr="00D9348B">
              <w:rPr>
                <w:rFonts w:cs="Arial"/>
                <w:szCs w:val="16"/>
              </w:rPr>
              <w:t>GHD (2013, 2014)</w:t>
            </w:r>
          </w:p>
        </w:tc>
      </w:tr>
      <w:tr w:rsidR="00524720" w:rsidRPr="00D9348B" w14:paraId="7099FD91" w14:textId="77777777" w:rsidTr="00F006B3">
        <w:tc>
          <w:tcPr>
            <w:tcW w:w="8505" w:type="dxa"/>
            <w:gridSpan w:val="4"/>
            <w:tcBorders>
              <w:top w:val="single" w:sz="4" w:space="0" w:color="365F91"/>
              <w:left w:val="nil"/>
              <w:bottom w:val="single" w:sz="4" w:space="0" w:color="365F91"/>
              <w:right w:val="nil"/>
            </w:tcBorders>
            <w:hideMark/>
          </w:tcPr>
          <w:p w14:paraId="2DD57298" w14:textId="77777777" w:rsidR="00524720" w:rsidRPr="00D9348B" w:rsidRDefault="00524720">
            <w:pPr>
              <w:pStyle w:val="TableTextBold"/>
              <w:keepNext/>
              <w:spacing w:before="50" w:after="50"/>
              <w:rPr>
                <w:noProof w:val="0"/>
              </w:rPr>
            </w:pPr>
            <w:r w:rsidRPr="00D9348B">
              <w:rPr>
                <w:noProof w:val="0"/>
              </w:rPr>
              <w:t>All sites</w:t>
            </w:r>
          </w:p>
        </w:tc>
      </w:tr>
      <w:tr w:rsidR="00524720" w:rsidRPr="00D9348B" w14:paraId="2E008AE1" w14:textId="77777777" w:rsidTr="00F006B3">
        <w:tc>
          <w:tcPr>
            <w:tcW w:w="2694" w:type="dxa"/>
            <w:tcBorders>
              <w:top w:val="single" w:sz="4" w:space="0" w:color="365F91"/>
              <w:left w:val="nil"/>
              <w:bottom w:val="single" w:sz="4" w:space="0" w:color="365F91"/>
              <w:right w:val="nil"/>
            </w:tcBorders>
            <w:hideMark/>
          </w:tcPr>
          <w:p w14:paraId="5EA1A766" w14:textId="77777777" w:rsidR="00524720" w:rsidRPr="00D9348B" w:rsidRDefault="00524720">
            <w:pPr>
              <w:pStyle w:val="TableText"/>
              <w:spacing w:before="50" w:after="50"/>
            </w:pPr>
            <w:r w:rsidRPr="00D9348B">
              <w:t>Oxidation factor</w:t>
            </w:r>
          </w:p>
        </w:tc>
        <w:tc>
          <w:tcPr>
            <w:tcW w:w="1134" w:type="dxa"/>
            <w:tcBorders>
              <w:top w:val="single" w:sz="4" w:space="0" w:color="365F91"/>
              <w:left w:val="nil"/>
              <w:bottom w:val="single" w:sz="4" w:space="0" w:color="365F91"/>
              <w:right w:val="nil"/>
            </w:tcBorders>
            <w:hideMark/>
          </w:tcPr>
          <w:p w14:paraId="7A9FDA7A" w14:textId="77777777" w:rsidR="00524720" w:rsidRPr="00D9348B" w:rsidRDefault="00524720">
            <w:pPr>
              <w:pStyle w:val="TableText"/>
              <w:spacing w:before="50" w:after="50"/>
            </w:pPr>
            <w:r w:rsidRPr="00D9348B">
              <w:t>0</w:t>
            </w:r>
          </w:p>
        </w:tc>
        <w:tc>
          <w:tcPr>
            <w:tcW w:w="1417" w:type="dxa"/>
            <w:tcBorders>
              <w:top w:val="single" w:sz="4" w:space="0" w:color="365F91"/>
              <w:left w:val="nil"/>
              <w:bottom w:val="single" w:sz="4" w:space="0" w:color="365F91"/>
              <w:right w:val="nil"/>
            </w:tcBorders>
            <w:hideMark/>
          </w:tcPr>
          <w:p w14:paraId="618D8623" w14:textId="77777777" w:rsidR="00524720" w:rsidRPr="00D9348B" w:rsidRDefault="00524720">
            <w:pPr>
              <w:pStyle w:val="TableText"/>
              <w:spacing w:before="50" w:after="50"/>
            </w:pPr>
            <w:r w:rsidRPr="00D9348B">
              <w:t>IPCC default</w:t>
            </w:r>
          </w:p>
        </w:tc>
        <w:tc>
          <w:tcPr>
            <w:tcW w:w="3260" w:type="dxa"/>
            <w:tcBorders>
              <w:top w:val="single" w:sz="4" w:space="0" w:color="365F91"/>
              <w:left w:val="nil"/>
              <w:bottom w:val="single" w:sz="4" w:space="0" w:color="365F91"/>
              <w:right w:val="nil"/>
            </w:tcBorders>
            <w:hideMark/>
          </w:tcPr>
          <w:p w14:paraId="0D5FC476" w14:textId="77777777" w:rsidR="00524720" w:rsidRPr="00D9348B" w:rsidRDefault="00524720">
            <w:pPr>
              <w:pStyle w:val="TableText"/>
              <w:spacing w:before="50" w:after="50"/>
              <w:rPr>
                <w:rFonts w:cs="Arial"/>
                <w:szCs w:val="16"/>
              </w:rPr>
            </w:pPr>
            <w:r w:rsidRPr="00D9348B">
              <w:rPr>
                <w:rFonts w:cs="Arial"/>
                <w:szCs w:val="16"/>
              </w:rPr>
              <w:t>IPCC (2006a)</w:t>
            </w:r>
          </w:p>
        </w:tc>
      </w:tr>
      <w:tr w:rsidR="00524720" w:rsidRPr="00D9348B" w14:paraId="2501C7CA" w14:textId="77777777" w:rsidTr="00F006B3">
        <w:tc>
          <w:tcPr>
            <w:tcW w:w="2694" w:type="dxa"/>
            <w:tcBorders>
              <w:top w:val="single" w:sz="4" w:space="0" w:color="365F91"/>
              <w:left w:val="nil"/>
              <w:bottom w:val="single" w:sz="4" w:space="0" w:color="365F91"/>
              <w:right w:val="nil"/>
            </w:tcBorders>
            <w:hideMark/>
          </w:tcPr>
          <w:p w14:paraId="65DCB36D" w14:textId="77777777" w:rsidR="00524720" w:rsidRPr="00D9348B" w:rsidRDefault="00524720">
            <w:pPr>
              <w:pStyle w:val="TableText"/>
              <w:spacing w:before="50" w:after="50"/>
            </w:pPr>
            <w:r w:rsidRPr="00D9348B">
              <w:t>Starting year</w:t>
            </w:r>
          </w:p>
        </w:tc>
        <w:tc>
          <w:tcPr>
            <w:tcW w:w="1134" w:type="dxa"/>
            <w:tcBorders>
              <w:top w:val="single" w:sz="4" w:space="0" w:color="365F91"/>
              <w:left w:val="nil"/>
              <w:bottom w:val="single" w:sz="4" w:space="0" w:color="365F91"/>
              <w:right w:val="nil"/>
            </w:tcBorders>
            <w:hideMark/>
          </w:tcPr>
          <w:p w14:paraId="5EDC46B2" w14:textId="77777777" w:rsidR="00524720" w:rsidRPr="00D9348B" w:rsidRDefault="00524720">
            <w:pPr>
              <w:pStyle w:val="TableText"/>
              <w:spacing w:before="50" w:after="50"/>
            </w:pPr>
            <w:r w:rsidRPr="00D9348B">
              <w:t>1950</w:t>
            </w:r>
          </w:p>
        </w:tc>
        <w:tc>
          <w:tcPr>
            <w:tcW w:w="1417" w:type="dxa"/>
            <w:tcBorders>
              <w:top w:val="single" w:sz="4" w:space="0" w:color="365F91"/>
              <w:left w:val="nil"/>
              <w:bottom w:val="single" w:sz="4" w:space="0" w:color="365F91"/>
              <w:right w:val="nil"/>
            </w:tcBorders>
            <w:hideMark/>
          </w:tcPr>
          <w:p w14:paraId="4390FC4C" w14:textId="77777777" w:rsidR="00524720" w:rsidRPr="00D9348B" w:rsidRDefault="00524720">
            <w:pPr>
              <w:pStyle w:val="TableText"/>
              <w:spacing w:before="50" w:after="50"/>
            </w:pPr>
            <w:r w:rsidRPr="00D9348B">
              <w:t>IPCC default</w:t>
            </w:r>
          </w:p>
        </w:tc>
        <w:tc>
          <w:tcPr>
            <w:tcW w:w="3260" w:type="dxa"/>
            <w:tcBorders>
              <w:top w:val="single" w:sz="4" w:space="0" w:color="365F91"/>
              <w:left w:val="nil"/>
              <w:bottom w:val="single" w:sz="4" w:space="0" w:color="365F91"/>
              <w:right w:val="nil"/>
            </w:tcBorders>
            <w:hideMark/>
          </w:tcPr>
          <w:p w14:paraId="2C2BBD16" w14:textId="77777777" w:rsidR="00524720" w:rsidRPr="00D9348B" w:rsidRDefault="00524720">
            <w:pPr>
              <w:pStyle w:val="TableText"/>
              <w:spacing w:before="50" w:after="50"/>
            </w:pPr>
            <w:r w:rsidRPr="00D9348B">
              <w:rPr>
                <w:rFonts w:cs="Arial"/>
                <w:szCs w:val="16"/>
              </w:rPr>
              <w:t>IPCC (2006a)</w:t>
            </w:r>
          </w:p>
        </w:tc>
      </w:tr>
      <w:tr w:rsidR="00524720" w:rsidRPr="00D9348B" w14:paraId="08264AFF" w14:textId="77777777" w:rsidTr="00F006B3">
        <w:tc>
          <w:tcPr>
            <w:tcW w:w="2694" w:type="dxa"/>
            <w:tcBorders>
              <w:top w:val="single" w:sz="4" w:space="0" w:color="365F91"/>
              <w:left w:val="nil"/>
              <w:bottom w:val="single" w:sz="4" w:space="0" w:color="365F91"/>
              <w:right w:val="nil"/>
            </w:tcBorders>
            <w:hideMark/>
          </w:tcPr>
          <w:p w14:paraId="505A5F35" w14:textId="77777777" w:rsidR="00524720" w:rsidRPr="00D9348B" w:rsidRDefault="00524720">
            <w:pPr>
              <w:pStyle w:val="TableText"/>
              <w:spacing w:before="50" w:after="50"/>
            </w:pPr>
            <w:r w:rsidRPr="00D9348B">
              <w:t>Delay time</w:t>
            </w:r>
          </w:p>
        </w:tc>
        <w:tc>
          <w:tcPr>
            <w:tcW w:w="1134" w:type="dxa"/>
            <w:tcBorders>
              <w:top w:val="single" w:sz="4" w:space="0" w:color="365F91"/>
              <w:left w:val="nil"/>
              <w:bottom w:val="single" w:sz="4" w:space="0" w:color="365F91"/>
              <w:right w:val="nil"/>
            </w:tcBorders>
            <w:hideMark/>
          </w:tcPr>
          <w:p w14:paraId="36035164" w14:textId="77777777" w:rsidR="00524720" w:rsidRPr="00D9348B" w:rsidRDefault="00524720">
            <w:pPr>
              <w:pStyle w:val="TableText"/>
              <w:spacing w:before="50" w:after="50"/>
            </w:pPr>
            <w:r w:rsidRPr="00D9348B">
              <w:t>6 months</w:t>
            </w:r>
          </w:p>
        </w:tc>
        <w:tc>
          <w:tcPr>
            <w:tcW w:w="1417" w:type="dxa"/>
            <w:tcBorders>
              <w:top w:val="single" w:sz="4" w:space="0" w:color="365F91"/>
              <w:left w:val="nil"/>
              <w:bottom w:val="single" w:sz="4" w:space="0" w:color="365F91"/>
              <w:right w:val="nil"/>
            </w:tcBorders>
            <w:hideMark/>
          </w:tcPr>
          <w:p w14:paraId="38563AB3" w14:textId="77777777" w:rsidR="00524720" w:rsidRPr="00D9348B" w:rsidRDefault="00524720">
            <w:pPr>
              <w:pStyle w:val="TableText"/>
              <w:spacing w:before="50" w:after="50"/>
            </w:pPr>
            <w:r w:rsidRPr="00D9348B">
              <w:t>IPCC default</w:t>
            </w:r>
          </w:p>
        </w:tc>
        <w:tc>
          <w:tcPr>
            <w:tcW w:w="3260" w:type="dxa"/>
            <w:tcBorders>
              <w:top w:val="single" w:sz="4" w:space="0" w:color="365F91"/>
              <w:left w:val="nil"/>
              <w:bottom w:val="single" w:sz="4" w:space="0" w:color="365F91"/>
              <w:right w:val="nil"/>
            </w:tcBorders>
            <w:hideMark/>
          </w:tcPr>
          <w:p w14:paraId="5F16C8E8" w14:textId="77777777" w:rsidR="00524720" w:rsidRPr="00D9348B" w:rsidRDefault="00524720">
            <w:pPr>
              <w:pStyle w:val="TableText"/>
              <w:spacing w:before="50" w:after="50"/>
            </w:pPr>
            <w:r w:rsidRPr="00D9348B">
              <w:rPr>
                <w:rFonts w:cs="Arial"/>
                <w:szCs w:val="16"/>
              </w:rPr>
              <w:t>IPCC (2006a)</w:t>
            </w:r>
          </w:p>
        </w:tc>
      </w:tr>
      <w:tr w:rsidR="00524720" w:rsidRPr="00D9348B" w14:paraId="6E52A09F" w14:textId="77777777" w:rsidTr="00F006B3">
        <w:tc>
          <w:tcPr>
            <w:tcW w:w="2694" w:type="dxa"/>
            <w:tcBorders>
              <w:top w:val="single" w:sz="4" w:space="0" w:color="365F91"/>
              <w:left w:val="nil"/>
              <w:bottom w:val="single" w:sz="4" w:space="0" w:color="365F91"/>
              <w:right w:val="nil"/>
            </w:tcBorders>
            <w:hideMark/>
          </w:tcPr>
          <w:p w14:paraId="4017BC87" w14:textId="77777777" w:rsidR="00524720" w:rsidRPr="00D9348B" w:rsidRDefault="00524720">
            <w:pPr>
              <w:pStyle w:val="TableText"/>
              <w:spacing w:before="50" w:after="50"/>
            </w:pPr>
            <w:r w:rsidRPr="00D9348B">
              <w:t>Fraction of DOC that decomposes</w:t>
            </w:r>
          </w:p>
        </w:tc>
        <w:tc>
          <w:tcPr>
            <w:tcW w:w="1134" w:type="dxa"/>
            <w:tcBorders>
              <w:top w:val="single" w:sz="4" w:space="0" w:color="365F91"/>
              <w:left w:val="nil"/>
              <w:bottom w:val="single" w:sz="4" w:space="0" w:color="365F91"/>
              <w:right w:val="nil"/>
            </w:tcBorders>
            <w:hideMark/>
          </w:tcPr>
          <w:p w14:paraId="69A8611B" w14:textId="77777777" w:rsidR="00524720" w:rsidRPr="00D9348B" w:rsidRDefault="00524720">
            <w:pPr>
              <w:pStyle w:val="TableText"/>
              <w:spacing w:before="50" w:after="50"/>
            </w:pPr>
            <w:r w:rsidRPr="00D9348B">
              <w:t>0.5</w:t>
            </w:r>
          </w:p>
        </w:tc>
        <w:tc>
          <w:tcPr>
            <w:tcW w:w="1417" w:type="dxa"/>
            <w:tcBorders>
              <w:top w:val="single" w:sz="4" w:space="0" w:color="365F91"/>
              <w:left w:val="nil"/>
              <w:bottom w:val="single" w:sz="4" w:space="0" w:color="365F91"/>
              <w:right w:val="nil"/>
            </w:tcBorders>
            <w:hideMark/>
          </w:tcPr>
          <w:p w14:paraId="7BA22F62" w14:textId="77777777" w:rsidR="00524720" w:rsidRPr="00D9348B" w:rsidRDefault="00524720">
            <w:pPr>
              <w:pStyle w:val="TableText"/>
              <w:spacing w:before="50" w:after="50"/>
            </w:pPr>
            <w:r w:rsidRPr="00D9348B">
              <w:t>IPCC default</w:t>
            </w:r>
          </w:p>
        </w:tc>
        <w:tc>
          <w:tcPr>
            <w:tcW w:w="3260" w:type="dxa"/>
            <w:tcBorders>
              <w:top w:val="single" w:sz="4" w:space="0" w:color="365F91"/>
              <w:left w:val="nil"/>
              <w:bottom w:val="single" w:sz="4" w:space="0" w:color="365F91"/>
              <w:right w:val="nil"/>
            </w:tcBorders>
            <w:hideMark/>
          </w:tcPr>
          <w:p w14:paraId="1800B5FE" w14:textId="77777777" w:rsidR="00524720" w:rsidRPr="00D9348B" w:rsidRDefault="00524720">
            <w:pPr>
              <w:pStyle w:val="TableText"/>
              <w:spacing w:before="50" w:after="50"/>
            </w:pPr>
            <w:r w:rsidRPr="00D9348B">
              <w:rPr>
                <w:rFonts w:cs="Arial"/>
                <w:szCs w:val="16"/>
              </w:rPr>
              <w:t>IPCC (2006a)</w:t>
            </w:r>
          </w:p>
        </w:tc>
      </w:tr>
      <w:tr w:rsidR="00524720" w:rsidRPr="00D9348B" w14:paraId="3D361E3F" w14:textId="77777777" w:rsidTr="00F006B3">
        <w:tc>
          <w:tcPr>
            <w:tcW w:w="2694" w:type="dxa"/>
            <w:tcBorders>
              <w:top w:val="single" w:sz="4" w:space="0" w:color="365F91"/>
              <w:left w:val="nil"/>
              <w:bottom w:val="single" w:sz="4" w:space="0" w:color="365F91"/>
              <w:right w:val="nil"/>
            </w:tcBorders>
            <w:hideMark/>
          </w:tcPr>
          <w:p w14:paraId="72E8DB4F" w14:textId="77777777" w:rsidR="00524720" w:rsidRPr="00D9348B" w:rsidRDefault="00524720">
            <w:pPr>
              <w:pStyle w:val="TableText"/>
              <w:spacing w:before="50" w:after="50"/>
            </w:pPr>
            <w:r w:rsidRPr="00D9348B">
              <w:t>Fraction of CH</w:t>
            </w:r>
            <w:r w:rsidRPr="00D9348B">
              <w:rPr>
                <w:vertAlign w:val="subscript"/>
              </w:rPr>
              <w:t>4</w:t>
            </w:r>
            <w:r w:rsidRPr="00D9348B">
              <w:t xml:space="preserve"> in gas</w:t>
            </w:r>
          </w:p>
        </w:tc>
        <w:tc>
          <w:tcPr>
            <w:tcW w:w="1134" w:type="dxa"/>
            <w:tcBorders>
              <w:top w:val="single" w:sz="4" w:space="0" w:color="365F91"/>
              <w:left w:val="nil"/>
              <w:bottom w:val="single" w:sz="4" w:space="0" w:color="365F91"/>
              <w:right w:val="nil"/>
            </w:tcBorders>
            <w:hideMark/>
          </w:tcPr>
          <w:p w14:paraId="6A326719" w14:textId="77777777" w:rsidR="00524720" w:rsidRPr="00D9348B" w:rsidRDefault="00524720">
            <w:pPr>
              <w:pStyle w:val="TableText"/>
              <w:spacing w:before="50" w:after="50"/>
            </w:pPr>
            <w:r w:rsidRPr="00D9348B">
              <w:t>0.5</w:t>
            </w:r>
          </w:p>
        </w:tc>
        <w:tc>
          <w:tcPr>
            <w:tcW w:w="1417" w:type="dxa"/>
            <w:tcBorders>
              <w:top w:val="single" w:sz="4" w:space="0" w:color="365F91"/>
              <w:left w:val="nil"/>
              <w:bottom w:val="single" w:sz="4" w:space="0" w:color="365F91"/>
              <w:right w:val="nil"/>
            </w:tcBorders>
            <w:hideMark/>
          </w:tcPr>
          <w:p w14:paraId="2AAA1E99" w14:textId="77777777" w:rsidR="00524720" w:rsidRPr="00D9348B" w:rsidRDefault="00524720">
            <w:pPr>
              <w:pStyle w:val="TableText"/>
              <w:spacing w:before="50" w:after="50"/>
            </w:pPr>
            <w:r w:rsidRPr="00D9348B">
              <w:t>IPCC default</w:t>
            </w:r>
          </w:p>
        </w:tc>
        <w:tc>
          <w:tcPr>
            <w:tcW w:w="3260" w:type="dxa"/>
            <w:tcBorders>
              <w:top w:val="single" w:sz="4" w:space="0" w:color="365F91"/>
              <w:left w:val="nil"/>
              <w:bottom w:val="single" w:sz="4" w:space="0" w:color="365F91"/>
              <w:right w:val="nil"/>
            </w:tcBorders>
            <w:hideMark/>
          </w:tcPr>
          <w:p w14:paraId="5B64985D" w14:textId="77777777" w:rsidR="00524720" w:rsidRPr="00D9348B" w:rsidRDefault="00524720">
            <w:pPr>
              <w:pStyle w:val="TableText"/>
              <w:spacing w:before="50" w:after="50"/>
              <w:rPr>
                <w:rFonts w:cs="Arial"/>
                <w:szCs w:val="16"/>
              </w:rPr>
            </w:pPr>
            <w:r w:rsidRPr="00D9348B">
              <w:rPr>
                <w:rFonts w:cs="Arial"/>
                <w:szCs w:val="16"/>
              </w:rPr>
              <w:t>IPCC (2006a)</w:t>
            </w:r>
          </w:p>
        </w:tc>
      </w:tr>
    </w:tbl>
    <w:p w14:paraId="60333765" w14:textId="77777777" w:rsidR="00524720" w:rsidRPr="00D9348B" w:rsidRDefault="00524720" w:rsidP="00524720">
      <w:pPr>
        <w:pStyle w:val="Heading3"/>
        <w:spacing w:before="480"/>
      </w:pPr>
      <w:bookmarkStart w:id="2735" w:name="_Toc32828332"/>
      <w:r w:rsidRPr="00D9348B">
        <w:t>7.2.3</w:t>
      </w:r>
      <w:r w:rsidRPr="00D9348B">
        <w:tab/>
        <w:t>Uncertainties and time-series consistency</w:t>
      </w:r>
      <w:bookmarkEnd w:id="2735"/>
    </w:p>
    <w:p w14:paraId="27E0F5BC" w14:textId="77777777" w:rsidR="00524720" w:rsidRPr="00D9348B" w:rsidRDefault="00524720" w:rsidP="00424864">
      <w:pPr>
        <w:pStyle w:val="Heading4"/>
        <w:spacing w:before="160"/>
      </w:pPr>
      <w:r w:rsidRPr="00D9348B">
        <w:t>Uncertainties</w:t>
      </w:r>
    </w:p>
    <w:p w14:paraId="7C3FF12E" w14:textId="77777777" w:rsidR="00524720" w:rsidRPr="00D9348B" w:rsidRDefault="00524720" w:rsidP="00524720">
      <w:pPr>
        <w:pStyle w:val="BodyText"/>
      </w:pPr>
      <w:r w:rsidRPr="00D9348B">
        <w:t xml:space="preserve">For emission factors and activity data used for most of the </w:t>
      </w:r>
      <w:r w:rsidRPr="00D9348B">
        <w:rPr>
          <w:i/>
        </w:rPr>
        <w:t xml:space="preserve">Solid waste disposal </w:t>
      </w:r>
      <w:r w:rsidRPr="00D9348B">
        <w:rPr>
          <w:iCs/>
        </w:rPr>
        <w:t>category</w:t>
      </w:r>
      <w:r w:rsidRPr="00D9348B">
        <w:t xml:space="preserve">, the uncertainty estimate is ±40 per cent (table 7.2.10). This is consistent with the estimates provided in the IPCC Guidelines (IPCC, 2006a). </w:t>
      </w:r>
    </w:p>
    <w:p w14:paraId="3C146148" w14:textId="77777777" w:rsidR="00524720" w:rsidRPr="00D9348B" w:rsidRDefault="00524720" w:rsidP="00524720">
      <w:pPr>
        <w:pStyle w:val="BodyText"/>
      </w:pPr>
      <w:r w:rsidRPr="00D9348B">
        <w:t>For managed municipal landfills, the emission factor uncertainty is set at this level because, while better-quality parameters are used in this category, some but not all of the estimates for CH</w:t>
      </w:r>
      <w:r w:rsidRPr="00D9348B">
        <w:rPr>
          <w:vertAlign w:val="subscript"/>
        </w:rPr>
        <w:t>4</w:t>
      </w:r>
      <w:r w:rsidRPr="00D9348B">
        <w:t xml:space="preserve"> recovery are based on metered gas-flow data.</w:t>
      </w:r>
    </w:p>
    <w:p w14:paraId="74E4CC76" w14:textId="77777777" w:rsidR="00524720" w:rsidRPr="00D9348B" w:rsidRDefault="00524720" w:rsidP="00524720">
      <w:pPr>
        <w:pStyle w:val="BodyText"/>
      </w:pPr>
      <w:r w:rsidRPr="00D9348B">
        <w:lastRenderedPageBreak/>
        <w:t>For non-municipal landfills and farm fills, the uncertainty in activity data is estimated to be ±140 per cent. Historical information on the amount of waste placed in these sites is very limited, given the nature of the management of such fills.</w:t>
      </w:r>
    </w:p>
    <w:p w14:paraId="0884CBBF" w14:textId="77777777" w:rsidR="00524720" w:rsidRPr="00D9348B" w:rsidRDefault="00524720" w:rsidP="00524720">
      <w:pPr>
        <w:pStyle w:val="BodyText"/>
      </w:pPr>
      <w:r w:rsidRPr="00D9348B">
        <w:t>The overall uncertainty in activity data for solid waste disposal is calculated using approach 1 for adding uncertainties together. The overall uncertainty in emission factor is set as the same as the uncertainty for the underlying categories because they are consistent.</w:t>
      </w:r>
    </w:p>
    <w:p w14:paraId="6989220B" w14:textId="77777777" w:rsidR="00524720" w:rsidRPr="00D9348B" w:rsidRDefault="00524720" w:rsidP="00524720">
      <w:pPr>
        <w:pStyle w:val="Table"/>
      </w:pPr>
      <w:bookmarkStart w:id="2736" w:name="_Toc32828527"/>
      <w:bookmarkStart w:id="2737" w:name="_Toc32591357"/>
      <w:bookmarkStart w:id="2738" w:name="_Toc5269569"/>
      <w:bookmarkStart w:id="2739" w:name="_Toc511116828"/>
      <w:bookmarkStart w:id="2740" w:name="_Toc508019330"/>
      <w:bookmarkStart w:id="2741" w:name="_Toc481751605"/>
      <w:bookmarkStart w:id="2742" w:name="_Toc451176175"/>
      <w:bookmarkStart w:id="2743" w:name="_Toc444001623"/>
      <w:bookmarkStart w:id="2744" w:name="_Toc36224650"/>
      <w:r w:rsidRPr="00D9348B">
        <w:t>Table 7.2.10</w:t>
      </w:r>
      <w:r w:rsidRPr="00D9348B">
        <w:tab/>
        <w:t>Uncertainty in emissions from Solid waste disposal</w:t>
      </w:r>
      <w:bookmarkEnd w:id="2736"/>
      <w:bookmarkEnd w:id="2737"/>
      <w:bookmarkEnd w:id="2738"/>
      <w:bookmarkEnd w:id="2739"/>
      <w:bookmarkEnd w:id="2740"/>
      <w:bookmarkEnd w:id="2741"/>
      <w:bookmarkEnd w:id="2742"/>
      <w:bookmarkEnd w:id="2743"/>
      <w:bookmarkEnd w:id="2744"/>
    </w:p>
    <w:tbl>
      <w:tblPr>
        <w:tblW w:w="8505" w:type="dxa"/>
        <w:tblInd w:w="108" w:type="dxa"/>
        <w:tblBorders>
          <w:top w:val="single" w:sz="6" w:space="0" w:color="365F91"/>
          <w:bottom w:val="single" w:sz="6" w:space="0" w:color="365F91"/>
          <w:insideH w:val="single" w:sz="6" w:space="0" w:color="365F91"/>
        </w:tblBorders>
        <w:tblLook w:val="04A0" w:firstRow="1" w:lastRow="0" w:firstColumn="1" w:lastColumn="0" w:noHBand="0" w:noVBand="1"/>
      </w:tblPr>
      <w:tblGrid>
        <w:gridCol w:w="2835"/>
        <w:gridCol w:w="2694"/>
        <w:gridCol w:w="2976"/>
      </w:tblGrid>
      <w:tr w:rsidR="00524720" w:rsidRPr="00D9348B" w14:paraId="694186D3" w14:textId="77777777" w:rsidTr="00F006B3">
        <w:tc>
          <w:tcPr>
            <w:tcW w:w="2835" w:type="dxa"/>
            <w:tcBorders>
              <w:top w:val="single" w:sz="4" w:space="0" w:color="365F91"/>
              <w:left w:val="nil"/>
              <w:bottom w:val="single" w:sz="4" w:space="0" w:color="365F91"/>
              <w:right w:val="nil"/>
            </w:tcBorders>
            <w:shd w:val="clear" w:color="auto" w:fill="365F91"/>
            <w:vAlign w:val="bottom"/>
            <w:hideMark/>
          </w:tcPr>
          <w:p w14:paraId="4CEC0106" w14:textId="77777777" w:rsidR="00524720" w:rsidRPr="00D9348B" w:rsidRDefault="00524720">
            <w:pPr>
              <w:pStyle w:val="TableTextBold"/>
              <w:spacing w:before="50" w:after="50"/>
              <w:rPr>
                <w:noProof w:val="0"/>
                <w:color w:val="FFFFFF"/>
              </w:rPr>
            </w:pPr>
            <w:r w:rsidRPr="00D9348B">
              <w:rPr>
                <w:noProof w:val="0"/>
                <w:color w:val="FFFFFF"/>
              </w:rPr>
              <w:t>Emissions category</w:t>
            </w:r>
          </w:p>
        </w:tc>
        <w:tc>
          <w:tcPr>
            <w:tcW w:w="2694" w:type="dxa"/>
            <w:tcBorders>
              <w:top w:val="single" w:sz="4" w:space="0" w:color="365F91"/>
              <w:left w:val="nil"/>
              <w:bottom w:val="single" w:sz="4" w:space="0" w:color="365F91"/>
              <w:right w:val="nil"/>
            </w:tcBorders>
            <w:shd w:val="clear" w:color="auto" w:fill="365F91"/>
            <w:vAlign w:val="bottom"/>
            <w:hideMark/>
          </w:tcPr>
          <w:p w14:paraId="14F014C8" w14:textId="77777777" w:rsidR="00524720" w:rsidRPr="00D9348B" w:rsidRDefault="00524720">
            <w:pPr>
              <w:pStyle w:val="TableTextBold"/>
              <w:spacing w:before="50" w:after="50"/>
              <w:jc w:val="center"/>
              <w:rPr>
                <w:noProof w:val="0"/>
                <w:color w:val="FFFFFF"/>
              </w:rPr>
            </w:pPr>
            <w:r w:rsidRPr="00D9348B">
              <w:rPr>
                <w:noProof w:val="0"/>
                <w:color w:val="FFFFFF"/>
              </w:rPr>
              <w:t>Uncertainty in activity data (%)</w:t>
            </w:r>
          </w:p>
        </w:tc>
        <w:tc>
          <w:tcPr>
            <w:tcW w:w="2976" w:type="dxa"/>
            <w:tcBorders>
              <w:top w:val="single" w:sz="4" w:space="0" w:color="365F91"/>
              <w:left w:val="nil"/>
              <w:bottom w:val="single" w:sz="4" w:space="0" w:color="365F91"/>
              <w:right w:val="nil"/>
            </w:tcBorders>
            <w:shd w:val="clear" w:color="auto" w:fill="365F91"/>
            <w:vAlign w:val="bottom"/>
            <w:hideMark/>
          </w:tcPr>
          <w:p w14:paraId="5959E8B6" w14:textId="77777777" w:rsidR="00524720" w:rsidRPr="00D9348B" w:rsidRDefault="00524720">
            <w:pPr>
              <w:pStyle w:val="TableTextBold"/>
              <w:spacing w:before="50" w:after="50"/>
              <w:jc w:val="center"/>
              <w:rPr>
                <w:noProof w:val="0"/>
                <w:color w:val="FFFFFF"/>
              </w:rPr>
            </w:pPr>
            <w:r w:rsidRPr="00D9348B">
              <w:rPr>
                <w:noProof w:val="0"/>
                <w:color w:val="FFFFFF"/>
              </w:rPr>
              <w:t>Uncertainty in emission factors (%)</w:t>
            </w:r>
          </w:p>
        </w:tc>
      </w:tr>
      <w:tr w:rsidR="00524720" w:rsidRPr="00D9348B" w14:paraId="7B885CBE" w14:textId="77777777" w:rsidTr="00F006B3">
        <w:trPr>
          <w:trHeight w:val="127"/>
        </w:trPr>
        <w:tc>
          <w:tcPr>
            <w:tcW w:w="2835" w:type="dxa"/>
            <w:tcBorders>
              <w:top w:val="single" w:sz="4" w:space="0" w:color="365F91"/>
              <w:left w:val="nil"/>
              <w:bottom w:val="single" w:sz="6" w:space="0" w:color="365F91"/>
              <w:right w:val="nil"/>
            </w:tcBorders>
            <w:shd w:val="clear" w:color="auto" w:fill="FFFFFF"/>
            <w:hideMark/>
          </w:tcPr>
          <w:p w14:paraId="11DE3E66" w14:textId="77777777" w:rsidR="00524720" w:rsidRPr="00D9348B" w:rsidRDefault="00524720">
            <w:pPr>
              <w:pStyle w:val="TableText"/>
              <w:spacing w:before="50" w:after="50"/>
              <w:rPr>
                <w:rFonts w:cs="Arial"/>
                <w:bCs/>
              </w:rPr>
            </w:pPr>
            <w:r w:rsidRPr="00D9348B">
              <w:rPr>
                <w:rFonts w:cs="Arial"/>
                <w:bCs/>
              </w:rPr>
              <w:t>Managed landfills</w:t>
            </w:r>
          </w:p>
        </w:tc>
        <w:tc>
          <w:tcPr>
            <w:tcW w:w="2694" w:type="dxa"/>
            <w:tcBorders>
              <w:top w:val="single" w:sz="4" w:space="0" w:color="365F91"/>
              <w:left w:val="nil"/>
              <w:bottom w:val="single" w:sz="6" w:space="0" w:color="365F91"/>
              <w:right w:val="nil"/>
            </w:tcBorders>
            <w:shd w:val="clear" w:color="auto" w:fill="FFFFFF"/>
            <w:hideMark/>
          </w:tcPr>
          <w:p w14:paraId="160C7831" w14:textId="77777777" w:rsidR="00524720" w:rsidRPr="00D9348B" w:rsidRDefault="00524720">
            <w:pPr>
              <w:pStyle w:val="TableText"/>
              <w:spacing w:before="50" w:after="50"/>
              <w:jc w:val="center"/>
            </w:pPr>
            <w:r w:rsidRPr="00D9348B">
              <w:t>±40</w:t>
            </w:r>
          </w:p>
        </w:tc>
        <w:tc>
          <w:tcPr>
            <w:tcW w:w="2976" w:type="dxa"/>
            <w:tcBorders>
              <w:top w:val="single" w:sz="4" w:space="0" w:color="365F91"/>
              <w:left w:val="nil"/>
              <w:bottom w:val="single" w:sz="6" w:space="0" w:color="365F91"/>
              <w:right w:val="nil"/>
            </w:tcBorders>
            <w:shd w:val="clear" w:color="auto" w:fill="FFFFFF"/>
            <w:hideMark/>
          </w:tcPr>
          <w:p w14:paraId="776BBEEC" w14:textId="77777777" w:rsidR="00524720" w:rsidRPr="00D9348B" w:rsidRDefault="00524720">
            <w:pPr>
              <w:pStyle w:val="TableText"/>
              <w:spacing w:before="50" w:after="50"/>
              <w:jc w:val="center"/>
            </w:pPr>
            <w:r w:rsidRPr="00D9348B">
              <w:t>±40</w:t>
            </w:r>
          </w:p>
        </w:tc>
      </w:tr>
      <w:tr w:rsidR="00524720" w:rsidRPr="00D9348B" w14:paraId="46256C74" w14:textId="77777777" w:rsidTr="00F006B3">
        <w:tc>
          <w:tcPr>
            <w:tcW w:w="2835" w:type="dxa"/>
            <w:tcBorders>
              <w:top w:val="single" w:sz="6" w:space="0" w:color="365F91"/>
              <w:left w:val="nil"/>
              <w:bottom w:val="single" w:sz="6" w:space="0" w:color="365F91"/>
              <w:right w:val="nil"/>
            </w:tcBorders>
            <w:shd w:val="clear" w:color="auto" w:fill="FFFFFF"/>
            <w:hideMark/>
          </w:tcPr>
          <w:p w14:paraId="395ACC5A" w14:textId="77777777" w:rsidR="00524720" w:rsidRPr="00D9348B" w:rsidRDefault="00524720">
            <w:pPr>
              <w:pStyle w:val="TableText"/>
              <w:spacing w:before="50" w:after="50"/>
              <w:rPr>
                <w:rFonts w:cs="Arial"/>
                <w:bCs/>
              </w:rPr>
            </w:pPr>
            <w:r w:rsidRPr="00D9348B">
              <w:rPr>
                <w:rFonts w:cs="Arial"/>
                <w:bCs/>
              </w:rPr>
              <w:t>Unmanaged landfills</w:t>
            </w:r>
          </w:p>
        </w:tc>
        <w:tc>
          <w:tcPr>
            <w:tcW w:w="2694" w:type="dxa"/>
            <w:tcBorders>
              <w:top w:val="single" w:sz="6" w:space="0" w:color="365F91"/>
              <w:left w:val="nil"/>
              <w:bottom w:val="single" w:sz="6" w:space="0" w:color="365F91"/>
              <w:right w:val="nil"/>
            </w:tcBorders>
            <w:shd w:val="clear" w:color="auto" w:fill="FFFFFF"/>
            <w:hideMark/>
          </w:tcPr>
          <w:p w14:paraId="6B5E5EC0" w14:textId="77777777" w:rsidR="00524720" w:rsidRPr="00D9348B" w:rsidRDefault="00524720">
            <w:pPr>
              <w:pStyle w:val="TableText"/>
              <w:spacing w:before="50" w:after="50"/>
              <w:jc w:val="center"/>
            </w:pPr>
            <w:r w:rsidRPr="00D9348B">
              <w:t>±140</w:t>
            </w:r>
          </w:p>
        </w:tc>
        <w:tc>
          <w:tcPr>
            <w:tcW w:w="2976" w:type="dxa"/>
            <w:tcBorders>
              <w:top w:val="single" w:sz="6" w:space="0" w:color="365F91"/>
              <w:left w:val="nil"/>
              <w:bottom w:val="single" w:sz="6" w:space="0" w:color="365F91"/>
              <w:right w:val="nil"/>
            </w:tcBorders>
            <w:shd w:val="clear" w:color="auto" w:fill="FFFFFF"/>
            <w:hideMark/>
          </w:tcPr>
          <w:p w14:paraId="1E65E596" w14:textId="77777777" w:rsidR="00524720" w:rsidRPr="00D9348B" w:rsidRDefault="00524720">
            <w:pPr>
              <w:pStyle w:val="TableText"/>
              <w:spacing w:before="50" w:after="50"/>
              <w:jc w:val="center"/>
            </w:pPr>
            <w:r w:rsidRPr="00D9348B">
              <w:t>±40</w:t>
            </w:r>
          </w:p>
        </w:tc>
      </w:tr>
      <w:tr w:rsidR="00524720" w:rsidRPr="00D9348B" w14:paraId="32240D96" w14:textId="77777777" w:rsidTr="00F006B3">
        <w:tc>
          <w:tcPr>
            <w:tcW w:w="2835" w:type="dxa"/>
            <w:tcBorders>
              <w:top w:val="single" w:sz="6" w:space="0" w:color="365F91"/>
              <w:left w:val="nil"/>
              <w:bottom w:val="single" w:sz="6" w:space="0" w:color="365F91"/>
              <w:right w:val="nil"/>
            </w:tcBorders>
            <w:shd w:val="clear" w:color="auto" w:fill="FFFFFF"/>
            <w:hideMark/>
          </w:tcPr>
          <w:p w14:paraId="24BE8A7D" w14:textId="77777777" w:rsidR="00524720" w:rsidRPr="00D9348B" w:rsidRDefault="00524720">
            <w:pPr>
              <w:pStyle w:val="TableText"/>
              <w:spacing w:before="50" w:after="50"/>
              <w:rPr>
                <w:rFonts w:cs="Arial"/>
                <w:bCs/>
              </w:rPr>
            </w:pPr>
            <w:r w:rsidRPr="00D9348B">
              <w:rPr>
                <w:rFonts w:cs="Arial"/>
                <w:bCs/>
              </w:rPr>
              <w:t>Uncategorised landfills</w:t>
            </w:r>
          </w:p>
        </w:tc>
        <w:tc>
          <w:tcPr>
            <w:tcW w:w="2694" w:type="dxa"/>
            <w:tcBorders>
              <w:top w:val="single" w:sz="6" w:space="0" w:color="365F91"/>
              <w:left w:val="nil"/>
              <w:bottom w:val="single" w:sz="6" w:space="0" w:color="365F91"/>
              <w:right w:val="nil"/>
            </w:tcBorders>
            <w:shd w:val="clear" w:color="auto" w:fill="FFFFFF"/>
            <w:hideMark/>
          </w:tcPr>
          <w:p w14:paraId="3CD3A9EA" w14:textId="77777777" w:rsidR="00524720" w:rsidRPr="00D9348B" w:rsidRDefault="00524720">
            <w:pPr>
              <w:pStyle w:val="TableText"/>
              <w:spacing w:before="50" w:after="50"/>
              <w:jc w:val="center"/>
            </w:pPr>
            <w:r w:rsidRPr="00D9348B">
              <w:t>±40</w:t>
            </w:r>
          </w:p>
        </w:tc>
        <w:tc>
          <w:tcPr>
            <w:tcW w:w="2976" w:type="dxa"/>
            <w:tcBorders>
              <w:top w:val="single" w:sz="6" w:space="0" w:color="365F91"/>
              <w:left w:val="nil"/>
              <w:bottom w:val="single" w:sz="6" w:space="0" w:color="365F91"/>
              <w:right w:val="nil"/>
            </w:tcBorders>
            <w:shd w:val="clear" w:color="auto" w:fill="FFFFFF"/>
            <w:hideMark/>
          </w:tcPr>
          <w:p w14:paraId="1F2A3AF2" w14:textId="77777777" w:rsidR="00524720" w:rsidRPr="00D9348B" w:rsidRDefault="00524720">
            <w:pPr>
              <w:pStyle w:val="TableText"/>
              <w:spacing w:before="50" w:after="50"/>
              <w:jc w:val="center"/>
            </w:pPr>
            <w:r w:rsidRPr="00D9348B">
              <w:t>±40</w:t>
            </w:r>
          </w:p>
        </w:tc>
      </w:tr>
      <w:tr w:rsidR="00524720" w:rsidRPr="00D9348B" w14:paraId="41365201" w14:textId="77777777" w:rsidTr="00F006B3">
        <w:tc>
          <w:tcPr>
            <w:tcW w:w="2835" w:type="dxa"/>
            <w:tcBorders>
              <w:top w:val="single" w:sz="6" w:space="0" w:color="365F91"/>
              <w:left w:val="nil"/>
              <w:bottom w:val="single" w:sz="6" w:space="0" w:color="365F91"/>
              <w:right w:val="nil"/>
            </w:tcBorders>
            <w:shd w:val="clear" w:color="auto" w:fill="FFFFFF"/>
            <w:hideMark/>
          </w:tcPr>
          <w:p w14:paraId="2C2A0BC2" w14:textId="77777777" w:rsidR="00524720" w:rsidRPr="00D9348B" w:rsidRDefault="00524720">
            <w:pPr>
              <w:pStyle w:val="TableText"/>
              <w:spacing w:before="50" w:after="50"/>
              <w:rPr>
                <w:rFonts w:cs="Arial"/>
                <w:bCs/>
              </w:rPr>
            </w:pPr>
            <w:r w:rsidRPr="00D9348B">
              <w:rPr>
                <w:rFonts w:cs="Arial"/>
                <w:bCs/>
              </w:rPr>
              <w:t>Overall uncertainty in CH</w:t>
            </w:r>
            <w:r w:rsidRPr="00D9348B">
              <w:rPr>
                <w:rFonts w:cs="Arial"/>
                <w:bCs/>
                <w:vertAlign w:val="subscript"/>
              </w:rPr>
              <w:t>4</w:t>
            </w:r>
            <w:r w:rsidRPr="00D9348B">
              <w:rPr>
                <w:rFonts w:cs="Arial"/>
                <w:bCs/>
              </w:rPr>
              <w:t xml:space="preserve"> emissions</w:t>
            </w:r>
          </w:p>
        </w:tc>
        <w:tc>
          <w:tcPr>
            <w:tcW w:w="2694" w:type="dxa"/>
            <w:tcBorders>
              <w:top w:val="single" w:sz="6" w:space="0" w:color="365F91"/>
              <w:left w:val="nil"/>
              <w:bottom w:val="single" w:sz="6" w:space="0" w:color="365F91"/>
              <w:right w:val="nil"/>
            </w:tcBorders>
            <w:shd w:val="clear" w:color="auto" w:fill="FFFFFF"/>
            <w:hideMark/>
          </w:tcPr>
          <w:p w14:paraId="6411EA44" w14:textId="77777777" w:rsidR="00524720" w:rsidRPr="00D9348B" w:rsidRDefault="00524720">
            <w:pPr>
              <w:pStyle w:val="TableText"/>
              <w:spacing w:before="50" w:after="50"/>
              <w:jc w:val="center"/>
            </w:pPr>
            <w:r w:rsidRPr="00D9348B">
              <w:t>±92</w:t>
            </w:r>
          </w:p>
        </w:tc>
        <w:tc>
          <w:tcPr>
            <w:tcW w:w="2976" w:type="dxa"/>
            <w:tcBorders>
              <w:top w:val="single" w:sz="6" w:space="0" w:color="365F91"/>
              <w:left w:val="nil"/>
              <w:bottom w:val="single" w:sz="6" w:space="0" w:color="365F91"/>
              <w:right w:val="nil"/>
            </w:tcBorders>
            <w:shd w:val="clear" w:color="auto" w:fill="FFFFFF"/>
            <w:hideMark/>
          </w:tcPr>
          <w:p w14:paraId="1E5515E9" w14:textId="77777777" w:rsidR="00524720" w:rsidRPr="00D9348B" w:rsidRDefault="00524720">
            <w:pPr>
              <w:pStyle w:val="TableText"/>
              <w:spacing w:before="50" w:after="50"/>
              <w:jc w:val="center"/>
            </w:pPr>
            <w:r w:rsidRPr="00D9348B">
              <w:t>±40</w:t>
            </w:r>
          </w:p>
        </w:tc>
      </w:tr>
    </w:tbl>
    <w:p w14:paraId="5BF4B958" w14:textId="77777777" w:rsidR="00524720" w:rsidRPr="00D9348B" w:rsidRDefault="00524720" w:rsidP="00424864">
      <w:pPr>
        <w:pStyle w:val="Heading4"/>
        <w:spacing w:before="280"/>
      </w:pPr>
      <w:r w:rsidRPr="00D9348B">
        <w:t>Time-series consistency</w:t>
      </w:r>
    </w:p>
    <w:p w14:paraId="56773BA9" w14:textId="77777777" w:rsidR="00524720" w:rsidRPr="00D9348B" w:rsidRDefault="00524720" w:rsidP="00524720">
      <w:pPr>
        <w:pStyle w:val="BodyText"/>
        <w:rPr>
          <w:spacing w:val="-2"/>
        </w:rPr>
      </w:pPr>
      <w:r w:rsidRPr="00D9348B">
        <w:rPr>
          <w:spacing w:val="-2"/>
        </w:rPr>
        <w:t xml:space="preserve">As a result of substantial changes in waste disposal practices over time (including closure of the majority of landfill sites that were operating in 1990), the move to waste levy and NZ ETS reporting and ongoing improvement in the quality and completeness of activity data for </w:t>
      </w:r>
      <w:r w:rsidRPr="00D9348B">
        <w:rPr>
          <w:i/>
          <w:spacing w:val="-2"/>
        </w:rPr>
        <w:t>Solid waste disposal</w:t>
      </w:r>
      <w:r w:rsidRPr="00D9348B">
        <w:rPr>
          <w:spacing w:val="-2"/>
        </w:rPr>
        <w:t xml:space="preserve">, the basis for calculating emissions has changed significantly. However, these changes have had little effect on the apparent consistency of data or the implied emission factors, because they have occurred gradually and they affect </w:t>
      </w:r>
      <w:r w:rsidRPr="00D9348B">
        <w:rPr>
          <w:rFonts w:cs="Arial"/>
          <w:bCs/>
          <w:spacing w:val="-2"/>
        </w:rPr>
        <w:t>CH</w:t>
      </w:r>
      <w:r w:rsidRPr="00D9348B">
        <w:rPr>
          <w:rFonts w:cs="Arial"/>
          <w:bCs/>
          <w:spacing w:val="-2"/>
          <w:vertAlign w:val="subscript"/>
        </w:rPr>
        <w:t>4</w:t>
      </w:r>
      <w:r w:rsidRPr="00D9348B">
        <w:rPr>
          <w:spacing w:val="-2"/>
        </w:rPr>
        <w:t xml:space="preserve"> emissions over a long period.</w:t>
      </w:r>
    </w:p>
    <w:p w14:paraId="3738A24E" w14:textId="77777777" w:rsidR="00524720" w:rsidRPr="00D9348B" w:rsidRDefault="00524720" w:rsidP="00524720">
      <w:pPr>
        <w:pStyle w:val="Heading3"/>
        <w:spacing w:before="280"/>
      </w:pPr>
      <w:bookmarkStart w:id="2745" w:name="_Toc32828333"/>
      <w:r w:rsidRPr="00D9348B">
        <w:t>7.2.4</w:t>
      </w:r>
      <w:r w:rsidRPr="00D9348B">
        <w:tab/>
        <w:t>Source-specific QA/QC verification</w:t>
      </w:r>
      <w:bookmarkEnd w:id="2745"/>
    </w:p>
    <w:p w14:paraId="12B750FF" w14:textId="77777777" w:rsidR="00524720" w:rsidRPr="00D9348B" w:rsidRDefault="00524720" w:rsidP="00524720">
      <w:pPr>
        <w:pStyle w:val="BodyText"/>
      </w:pPr>
      <w:r w:rsidRPr="00D9348B">
        <w:rPr>
          <w:i/>
        </w:rPr>
        <w:t>Solid waste disposal</w:t>
      </w:r>
      <w:r w:rsidRPr="00D9348B">
        <w:t xml:space="preserve"> is a key category. In the preparation of this submission, the data for this category underwent Tier 1 quality checks.</w:t>
      </w:r>
    </w:p>
    <w:p w14:paraId="1DAB0521" w14:textId="77777777" w:rsidR="00524720" w:rsidRPr="00D9348B" w:rsidRDefault="00524720" w:rsidP="00F006B3">
      <w:pPr>
        <w:pStyle w:val="Heading3"/>
        <w:spacing w:before="280"/>
      </w:pPr>
      <w:bookmarkStart w:id="2746" w:name="_Toc32828334"/>
      <w:r w:rsidRPr="00D9348B">
        <w:t>7.2.5</w:t>
      </w:r>
      <w:r w:rsidRPr="00D9348B">
        <w:tab/>
        <w:t>Source-specific recalculations</w:t>
      </w:r>
      <w:bookmarkEnd w:id="2746"/>
    </w:p>
    <w:p w14:paraId="44F08932" w14:textId="77777777" w:rsidR="00524720" w:rsidRPr="00D9348B" w:rsidRDefault="00524720" w:rsidP="00524720">
      <w:pPr>
        <w:pStyle w:val="BodyText"/>
        <w:spacing w:after="100"/>
      </w:pPr>
      <w:r w:rsidRPr="00D9348B">
        <w:t xml:space="preserve">Minor changes made within the </w:t>
      </w:r>
      <w:r w:rsidRPr="00D9348B">
        <w:rPr>
          <w:i/>
        </w:rPr>
        <w:t xml:space="preserve">Solid waste disposal </w:t>
      </w:r>
      <w:r w:rsidRPr="00D9348B">
        <w:t>category have led to recalculations of estimates for the full time series in the 2020 submission. Overall, recalculations and improvements have resulted in a decrease to emissions in 1990 of 0.3 kt CO</w:t>
      </w:r>
      <w:r w:rsidRPr="00D9348B">
        <w:rPr>
          <w:vertAlign w:val="subscript"/>
        </w:rPr>
        <w:t>2</w:t>
      </w:r>
      <w:r w:rsidRPr="00D9348B">
        <w:t>-e and a decrease of 28.5 kt CO</w:t>
      </w:r>
      <w:r w:rsidRPr="00D9348B">
        <w:rPr>
          <w:vertAlign w:val="subscript"/>
        </w:rPr>
        <w:t>2</w:t>
      </w:r>
      <w:r w:rsidRPr="00D9348B">
        <w:t>-e in 2017.</w:t>
      </w:r>
    </w:p>
    <w:p w14:paraId="5ACC2492" w14:textId="77777777" w:rsidR="00524720" w:rsidRPr="00D9348B" w:rsidRDefault="00524720" w:rsidP="00524720">
      <w:pPr>
        <w:pStyle w:val="BodyText"/>
        <w:spacing w:after="100"/>
      </w:pPr>
      <w:r w:rsidRPr="00D9348B">
        <w:t>The largest change is the result of corrections to the non-municipal solid waste sites model, resulting in a decrease to emissions in 1990 of 0.3 kt CO</w:t>
      </w:r>
      <w:r w:rsidRPr="00D9348B">
        <w:rPr>
          <w:vertAlign w:val="subscript"/>
        </w:rPr>
        <w:t>2</w:t>
      </w:r>
      <w:r w:rsidRPr="00D9348B">
        <w:t>-e and a decrease of 25.2 kt CO</w:t>
      </w:r>
      <w:r w:rsidRPr="00D9348B">
        <w:rPr>
          <w:vertAlign w:val="subscript"/>
        </w:rPr>
        <w:t>2</w:t>
      </w:r>
      <w:r w:rsidRPr="00D9348B">
        <w:t>-e in 2017. Other changes are minor. Recalculations are described in greater detail in chapter 10 of this submission.</w:t>
      </w:r>
    </w:p>
    <w:p w14:paraId="64A3D3F9" w14:textId="77777777" w:rsidR="00524720" w:rsidRPr="00D9348B" w:rsidRDefault="00524720" w:rsidP="00F006B3">
      <w:pPr>
        <w:pStyle w:val="Heading3"/>
        <w:spacing w:before="280"/>
      </w:pPr>
      <w:bookmarkStart w:id="2747" w:name="_Toc32828335"/>
      <w:r w:rsidRPr="00D9348B">
        <w:t>7.2.6</w:t>
      </w:r>
      <w:r w:rsidRPr="00D9348B">
        <w:tab/>
        <w:t>Source-specific planned improvements</w:t>
      </w:r>
      <w:bookmarkEnd w:id="2747"/>
    </w:p>
    <w:p w14:paraId="7C07D69D" w14:textId="77777777" w:rsidR="00524720" w:rsidRPr="00D9348B" w:rsidRDefault="00524720" w:rsidP="00524720">
      <w:pPr>
        <w:pStyle w:val="BodyText"/>
        <w:spacing w:before="100" w:after="80"/>
      </w:pPr>
      <w:r w:rsidRPr="00D9348B">
        <w:t xml:space="preserve">Several areas in the </w:t>
      </w:r>
      <w:r w:rsidRPr="00D9348B">
        <w:rPr>
          <w:i/>
        </w:rPr>
        <w:t>Solid waste disposal</w:t>
      </w:r>
      <w:r w:rsidRPr="00D9348B">
        <w:t xml:space="preserve"> category are being considered for improvements, depending on the availability of budget and resourcing.</w:t>
      </w:r>
    </w:p>
    <w:p w14:paraId="53C13919" w14:textId="77777777" w:rsidR="00524720" w:rsidRPr="00D9348B" w:rsidRDefault="00524720" w:rsidP="00524720">
      <w:pPr>
        <w:pStyle w:val="BodyText"/>
        <w:spacing w:before="100" w:after="80"/>
      </w:pPr>
      <w:r w:rsidRPr="00D9348B">
        <w:t xml:space="preserve">New Zealand is planning to review data and methods for the </w:t>
      </w:r>
      <w:r w:rsidRPr="00D9348B">
        <w:rPr>
          <w:i/>
        </w:rPr>
        <w:t>Managed solid waste disposal sites</w:t>
      </w:r>
      <w:r w:rsidRPr="00D9348B">
        <w:t xml:space="preserve"> category in 2020. This review aims to address some of the issues for this category, including CH</w:t>
      </w:r>
      <w:r w:rsidRPr="00D9348B">
        <w:rPr>
          <w:vertAlign w:val="subscript"/>
        </w:rPr>
        <w:t>4</w:t>
      </w:r>
      <w:r w:rsidRPr="00D9348B">
        <w:t xml:space="preserve"> recovery rates and k-values. The review efforts will focus on areas that have the most potential for improvement.</w:t>
      </w:r>
    </w:p>
    <w:p w14:paraId="36B85BDC" w14:textId="77777777" w:rsidR="00524720" w:rsidRPr="00D9348B" w:rsidRDefault="00524720" w:rsidP="00524720">
      <w:pPr>
        <w:pStyle w:val="BodyText"/>
        <w:spacing w:before="100" w:after="80"/>
      </w:pPr>
      <w:r w:rsidRPr="00D9348B">
        <w:lastRenderedPageBreak/>
        <w:t>Regional councils in Canterbury, Waikato and other regions are likely to continue to carry out surveys and other research on farm waste disposal over time. As and when better activity data become available, they will be used to improve the estimates of waste disposal on farms, which is the largest source of emissions in the Waste sector.</w:t>
      </w:r>
    </w:p>
    <w:p w14:paraId="59A8D05A" w14:textId="77777777" w:rsidR="00524720" w:rsidRPr="00D9348B" w:rsidRDefault="00524720" w:rsidP="00524720">
      <w:pPr>
        <w:pStyle w:val="BodyText"/>
        <w:spacing w:before="100" w:after="80"/>
        <w:rPr>
          <w:spacing w:val="-2"/>
        </w:rPr>
      </w:pPr>
      <w:r w:rsidRPr="00D9348B">
        <w:t>Emissions of car</w:t>
      </w:r>
      <w:r w:rsidRPr="00D9348B">
        <w:rPr>
          <w:spacing w:val="-2"/>
        </w:rPr>
        <w:t>bon monoxide, oxides of nitrogen and non-methane volatile organic compounds for landfills have not been estimated for this submission. These emissions are considered likely to be immaterial, but the inventory agency will consider estimating them for future submissions.</w:t>
      </w:r>
    </w:p>
    <w:p w14:paraId="3C4DE6D6" w14:textId="77777777" w:rsidR="00524720" w:rsidRPr="00D9348B" w:rsidRDefault="00524720" w:rsidP="00CC01A9">
      <w:pPr>
        <w:pStyle w:val="Heading2"/>
        <w:spacing w:before="320"/>
      </w:pPr>
      <w:bookmarkStart w:id="2748" w:name="_Toc32828336"/>
      <w:bookmarkStart w:id="2749" w:name="_Toc5269388"/>
      <w:bookmarkStart w:id="2750" w:name="_Toc511116626"/>
      <w:bookmarkStart w:id="2751" w:name="_Toc481751411"/>
      <w:bookmarkStart w:id="2752" w:name="_Toc448321549"/>
      <w:bookmarkStart w:id="2753" w:name="_Toc36224428"/>
      <w:r w:rsidRPr="00D9348B">
        <w:t>7.3</w:t>
      </w:r>
      <w:r w:rsidRPr="00D9348B">
        <w:tab/>
        <w:t>Biological treatment of solid waste (5.B)</w:t>
      </w:r>
      <w:bookmarkEnd w:id="2748"/>
      <w:bookmarkEnd w:id="2749"/>
      <w:bookmarkEnd w:id="2750"/>
      <w:bookmarkEnd w:id="2751"/>
      <w:bookmarkEnd w:id="2752"/>
      <w:bookmarkEnd w:id="2753"/>
    </w:p>
    <w:p w14:paraId="139D66ED" w14:textId="77777777" w:rsidR="00524720" w:rsidRPr="00D9348B" w:rsidRDefault="00524720" w:rsidP="00524720">
      <w:pPr>
        <w:pStyle w:val="Heading3"/>
        <w:spacing w:before="120"/>
      </w:pPr>
      <w:bookmarkStart w:id="2754" w:name="_Toc32828337"/>
      <w:r w:rsidRPr="00D9348B">
        <w:t xml:space="preserve">7.3.1 </w:t>
      </w:r>
      <w:r w:rsidRPr="00D9348B">
        <w:tab/>
        <w:t>Description</w:t>
      </w:r>
      <w:bookmarkEnd w:id="2754"/>
    </w:p>
    <w:p w14:paraId="18825B01" w14:textId="77777777" w:rsidR="00524720" w:rsidRPr="00D9348B" w:rsidRDefault="00524720" w:rsidP="00524720">
      <w:pPr>
        <w:pStyle w:val="BodyText"/>
        <w:spacing w:before="100" w:after="100"/>
      </w:pPr>
      <w:r w:rsidRPr="00D9348B">
        <w:t>New Zealand has seen an increase in the use of commercial-scale composting of solid waste in recent years, in addition to ongoing household-scale composting of solid waste. Emissions from composting are reported for the first time in the 2019 submission in 5.B.1. No other biological treatment of solid waste occurs in New Zealand.</w:t>
      </w:r>
    </w:p>
    <w:p w14:paraId="5BEA0516" w14:textId="77777777" w:rsidR="00524720" w:rsidRPr="00D9348B" w:rsidRDefault="00524720" w:rsidP="00524720">
      <w:pPr>
        <w:pStyle w:val="BodyText"/>
        <w:spacing w:before="100" w:after="90"/>
      </w:pPr>
      <w:r w:rsidRPr="00D9348B">
        <w:t xml:space="preserve">In 2018, </w:t>
      </w:r>
      <w:r w:rsidRPr="00D9348B">
        <w:rPr>
          <w:i/>
        </w:rPr>
        <w:t>Biological treatment of solid waste</w:t>
      </w:r>
      <w:r w:rsidRPr="00D9348B">
        <w:t xml:space="preserve"> accounted for 34.9 kt CO</w:t>
      </w:r>
      <w:r w:rsidRPr="00D9348B">
        <w:rPr>
          <w:vertAlign w:val="subscript"/>
        </w:rPr>
        <w:t>2</w:t>
      </w:r>
      <w:r w:rsidRPr="00D9348B">
        <w:t>-e (0.9 per cent) of Waste sector emissions. This was an increase of 30.3 kt CO</w:t>
      </w:r>
      <w:r w:rsidRPr="00D9348B">
        <w:rPr>
          <w:vertAlign w:val="subscript"/>
        </w:rPr>
        <w:t>2</w:t>
      </w:r>
      <w:r w:rsidRPr="00D9348B">
        <w:t>-e (644.3 per cent) above the 1990 level of 4.7 kt CO</w:t>
      </w:r>
      <w:r w:rsidRPr="00D9348B">
        <w:rPr>
          <w:vertAlign w:val="subscript"/>
        </w:rPr>
        <w:t>2</w:t>
      </w:r>
      <w:r w:rsidRPr="00D9348B">
        <w:t>-e, and an increase of 5.0 kt CO</w:t>
      </w:r>
      <w:r w:rsidRPr="00D9348B">
        <w:rPr>
          <w:vertAlign w:val="subscript"/>
        </w:rPr>
        <w:t>2</w:t>
      </w:r>
      <w:r w:rsidRPr="00D9348B">
        <w:t>-e (16.6 per cent) from 2017.</w:t>
      </w:r>
    </w:p>
    <w:p w14:paraId="3BD20106" w14:textId="77777777" w:rsidR="00524720" w:rsidRPr="00D9348B" w:rsidRDefault="00524720" w:rsidP="00CC01A9">
      <w:pPr>
        <w:pStyle w:val="Heading3"/>
        <w:spacing w:before="280"/>
      </w:pPr>
      <w:bookmarkStart w:id="2755" w:name="_Toc32828338"/>
      <w:r w:rsidRPr="00D9348B">
        <w:t>7.3.2</w:t>
      </w:r>
      <w:r w:rsidRPr="00D9348B">
        <w:tab/>
        <w:t>Methodological issues</w:t>
      </w:r>
      <w:bookmarkEnd w:id="2755"/>
    </w:p>
    <w:p w14:paraId="027E0977" w14:textId="77777777" w:rsidR="00524720" w:rsidRPr="00D9348B" w:rsidRDefault="00524720" w:rsidP="00424864">
      <w:pPr>
        <w:pStyle w:val="Heading4"/>
        <w:spacing w:before="160"/>
      </w:pPr>
      <w:r w:rsidRPr="00D9348B">
        <w:t>Choice of activity data</w:t>
      </w:r>
    </w:p>
    <w:p w14:paraId="383DDC3E" w14:textId="314E847B" w:rsidR="00524720" w:rsidRPr="00D9348B" w:rsidRDefault="00524720" w:rsidP="00524720">
      <w:pPr>
        <w:pStyle w:val="BodyText"/>
        <w:spacing w:before="100" w:after="90"/>
        <w:rPr>
          <w:rFonts w:eastAsia="+mn-ea"/>
        </w:rPr>
      </w:pPr>
      <w:r w:rsidRPr="00D9348B">
        <w:rPr>
          <w:rFonts w:eastAsia="+mn-ea"/>
        </w:rPr>
        <w:t xml:space="preserve">Activity data has been estimated based on expert judgement, in part using evidence of large-scale commercial composting operating around New Zealand. Between 1990 and 2009, before large scale commercial composting, it is estimated that an equivalent of 1 per cent of total municipal solid waste was composted </w:t>
      </w:r>
      <w:r w:rsidRPr="00D9348B">
        <w:t>(refer to the total solid waste reported in table 7.2.2).</w:t>
      </w:r>
      <w:r w:rsidRPr="00D9348B">
        <w:rPr>
          <w:rFonts w:eastAsia="+mn-ea"/>
        </w:rPr>
        <w:t xml:space="preserve"> Between 2009 and 2018, this fraction increased by 0.5 percentage points per year, with an equivalent of 5.5 per cent being composted in 2018. This reflects the increase in commercial scale composting estimated since 2010. Activity data for composting can be derived from table</w:t>
      </w:r>
      <w:r w:rsidR="00CC01A9" w:rsidRPr="00D9348B">
        <w:rPr>
          <w:rFonts w:eastAsia="+mn-ea"/>
        </w:rPr>
        <w:t> </w:t>
      </w:r>
      <w:r w:rsidRPr="00D9348B">
        <w:rPr>
          <w:rFonts w:eastAsia="+mn-ea"/>
        </w:rPr>
        <w:t>7.2.3 using this description.</w:t>
      </w:r>
    </w:p>
    <w:p w14:paraId="38371157" w14:textId="77777777" w:rsidR="00524720" w:rsidRPr="00D9348B" w:rsidRDefault="00524720" w:rsidP="00524720">
      <w:pPr>
        <w:pStyle w:val="BodyText"/>
        <w:spacing w:before="100" w:after="90"/>
        <w:rPr>
          <w:rFonts w:eastAsia="+mn-ea"/>
        </w:rPr>
      </w:pPr>
      <w:r w:rsidRPr="00D9348B">
        <w:rPr>
          <w:rFonts w:eastAsia="+mn-ea"/>
        </w:rPr>
        <w:t xml:space="preserve">It is assumed that the increase in composted waste over time has not affected the composition of landfill waste since 2012, as per table 7.2.4, where the composition of waste sent to landfill is assumed to be constant from 2012 in the absence of more recent data. Because most composted waste is likely to be diverted from managed landfills where it would otherwise be disposed of, it is possible that landfill emissions could be lower than reported. This reduction in landfill emissions would be driven by changes to the average composition of waste disposed to </w:t>
      </w:r>
      <w:proofErr w:type="gramStart"/>
      <w:r w:rsidRPr="00D9348B">
        <w:rPr>
          <w:rFonts w:eastAsia="+mn-ea"/>
        </w:rPr>
        <w:t>managed</w:t>
      </w:r>
      <w:proofErr w:type="gramEnd"/>
      <w:r w:rsidRPr="00D9348B">
        <w:rPr>
          <w:rFonts w:eastAsia="+mn-ea"/>
        </w:rPr>
        <w:t xml:space="preserve"> landfills. The risk of double-counting is small because food waste has a similar DOC to the overall DOC, which means reducing the food waste proportion has a minimal effect on the overall DOC. Furthermore, the composition of waste disposed at managed landfills will be updated over time as more recent data on the composition of landfill waste become available.</w:t>
      </w:r>
    </w:p>
    <w:p w14:paraId="33A106C8" w14:textId="77777777" w:rsidR="00524720" w:rsidRPr="00D9348B" w:rsidRDefault="00524720" w:rsidP="00424864">
      <w:pPr>
        <w:pStyle w:val="Heading4"/>
        <w:spacing w:before="160"/>
      </w:pPr>
      <w:r w:rsidRPr="00D9348B">
        <w:t>Choice of methods</w:t>
      </w:r>
    </w:p>
    <w:p w14:paraId="438DE7C5" w14:textId="77777777" w:rsidR="00524720" w:rsidRPr="00D9348B" w:rsidRDefault="00524720" w:rsidP="00524720">
      <w:pPr>
        <w:pStyle w:val="BodyText"/>
      </w:pPr>
      <w:r w:rsidRPr="00D9348B">
        <w:t>Estimates of direct emissions from the composting of solid waste are made using the default Tier 1 methodology (IPCC, 2006a).</w:t>
      </w:r>
    </w:p>
    <w:p w14:paraId="3601447D" w14:textId="77777777" w:rsidR="00524720" w:rsidRPr="00D9348B" w:rsidRDefault="00524720" w:rsidP="00424864">
      <w:pPr>
        <w:pStyle w:val="Heading4"/>
        <w:spacing w:before="160"/>
      </w:pPr>
      <w:r w:rsidRPr="00D9348B">
        <w:t>Choice of emission factors</w:t>
      </w:r>
    </w:p>
    <w:p w14:paraId="69AD33AB" w14:textId="77777777" w:rsidR="00524720" w:rsidRPr="00D9348B" w:rsidRDefault="00524720" w:rsidP="00524720">
      <w:pPr>
        <w:pStyle w:val="BodyText"/>
      </w:pPr>
      <w:r w:rsidRPr="00D9348B">
        <w:t>IPCC default parameters are used, as detailed in table 7.3.1.</w:t>
      </w:r>
    </w:p>
    <w:p w14:paraId="34A4132B" w14:textId="77777777" w:rsidR="00524720" w:rsidRPr="00D9348B" w:rsidRDefault="00524720" w:rsidP="00524720">
      <w:pPr>
        <w:pStyle w:val="Table"/>
      </w:pPr>
      <w:bookmarkStart w:id="2756" w:name="_Toc32828528"/>
      <w:bookmarkStart w:id="2757" w:name="_Toc32591358"/>
      <w:bookmarkStart w:id="2758" w:name="_Toc5269570"/>
      <w:bookmarkStart w:id="2759" w:name="_Toc36224651"/>
      <w:r w:rsidRPr="00D9348B">
        <w:lastRenderedPageBreak/>
        <w:t xml:space="preserve">Table 7.3.1 </w:t>
      </w:r>
      <w:r w:rsidRPr="00D9348B">
        <w:tab/>
        <w:t>Emission factors applied to estimate emissions from composting</w:t>
      </w:r>
      <w:bookmarkEnd w:id="2756"/>
      <w:bookmarkEnd w:id="2757"/>
      <w:bookmarkEnd w:id="2758"/>
      <w:bookmarkEnd w:id="2759"/>
    </w:p>
    <w:tbl>
      <w:tblPr>
        <w:tblW w:w="8613" w:type="dxa"/>
        <w:tblInd w:w="108" w:type="dxa"/>
        <w:tblLook w:val="04A0" w:firstRow="1" w:lastRow="0" w:firstColumn="1" w:lastColumn="0" w:noHBand="0" w:noVBand="1"/>
      </w:tblPr>
      <w:tblGrid>
        <w:gridCol w:w="3501"/>
        <w:gridCol w:w="2625"/>
        <w:gridCol w:w="2487"/>
      </w:tblGrid>
      <w:tr w:rsidR="00524720" w:rsidRPr="00D9348B" w14:paraId="0B088047" w14:textId="77777777" w:rsidTr="00CC01A9">
        <w:tc>
          <w:tcPr>
            <w:tcW w:w="3501" w:type="dxa"/>
            <w:tcBorders>
              <w:top w:val="single" w:sz="4" w:space="0" w:color="365F91"/>
              <w:left w:val="nil"/>
              <w:bottom w:val="single" w:sz="4" w:space="0" w:color="365F91"/>
              <w:right w:val="nil"/>
            </w:tcBorders>
            <w:shd w:val="clear" w:color="auto" w:fill="365F91"/>
            <w:hideMark/>
          </w:tcPr>
          <w:p w14:paraId="15802F9E" w14:textId="77777777" w:rsidR="00524720" w:rsidRPr="00D9348B" w:rsidRDefault="00524720">
            <w:pPr>
              <w:pStyle w:val="TableTextBold"/>
              <w:rPr>
                <w:noProof w:val="0"/>
                <w:color w:val="FFFFFF"/>
              </w:rPr>
            </w:pPr>
            <w:r w:rsidRPr="00D9348B">
              <w:rPr>
                <w:noProof w:val="0"/>
                <w:color w:val="FFFFFF"/>
              </w:rPr>
              <w:t>Emission factor for composting</w:t>
            </w:r>
          </w:p>
        </w:tc>
        <w:tc>
          <w:tcPr>
            <w:tcW w:w="2625" w:type="dxa"/>
            <w:tcBorders>
              <w:top w:val="single" w:sz="4" w:space="0" w:color="365F91"/>
              <w:left w:val="nil"/>
              <w:bottom w:val="single" w:sz="4" w:space="0" w:color="365F91"/>
              <w:right w:val="nil"/>
            </w:tcBorders>
            <w:shd w:val="clear" w:color="auto" w:fill="365F91"/>
            <w:hideMark/>
          </w:tcPr>
          <w:p w14:paraId="71AF6F73" w14:textId="77777777" w:rsidR="00524720" w:rsidRPr="00D9348B" w:rsidRDefault="00524720">
            <w:pPr>
              <w:pStyle w:val="TableTextBold"/>
              <w:rPr>
                <w:noProof w:val="0"/>
                <w:color w:val="FFFFFF"/>
              </w:rPr>
            </w:pPr>
            <w:r w:rsidRPr="00D9348B">
              <w:rPr>
                <w:noProof w:val="0"/>
                <w:color w:val="FFFFFF"/>
              </w:rPr>
              <w:t>Emission factor (g/kg)</w:t>
            </w:r>
          </w:p>
        </w:tc>
        <w:tc>
          <w:tcPr>
            <w:tcW w:w="2487" w:type="dxa"/>
            <w:tcBorders>
              <w:top w:val="single" w:sz="4" w:space="0" w:color="365F91"/>
              <w:left w:val="nil"/>
              <w:bottom w:val="single" w:sz="4" w:space="0" w:color="365F91"/>
              <w:right w:val="nil"/>
            </w:tcBorders>
            <w:shd w:val="clear" w:color="auto" w:fill="365F91"/>
            <w:hideMark/>
          </w:tcPr>
          <w:p w14:paraId="725391AD" w14:textId="77777777" w:rsidR="00524720" w:rsidRPr="00D9348B" w:rsidRDefault="00524720">
            <w:pPr>
              <w:pStyle w:val="TableTextBold"/>
              <w:rPr>
                <w:noProof w:val="0"/>
                <w:color w:val="FFFFFF"/>
              </w:rPr>
            </w:pPr>
            <w:r w:rsidRPr="00D9348B">
              <w:rPr>
                <w:noProof w:val="0"/>
                <w:color w:val="FFFFFF"/>
              </w:rPr>
              <w:t>Source</w:t>
            </w:r>
          </w:p>
        </w:tc>
      </w:tr>
      <w:tr w:rsidR="00524720" w:rsidRPr="00D9348B" w14:paraId="33A03795" w14:textId="77777777" w:rsidTr="00CC01A9">
        <w:tc>
          <w:tcPr>
            <w:tcW w:w="3501" w:type="dxa"/>
            <w:tcBorders>
              <w:top w:val="single" w:sz="4" w:space="0" w:color="365F91"/>
              <w:left w:val="nil"/>
              <w:bottom w:val="single" w:sz="4" w:space="0" w:color="365F91"/>
              <w:right w:val="nil"/>
            </w:tcBorders>
            <w:hideMark/>
          </w:tcPr>
          <w:p w14:paraId="602DE2F5" w14:textId="77777777" w:rsidR="00524720" w:rsidRPr="00D9348B" w:rsidRDefault="00524720">
            <w:pPr>
              <w:pStyle w:val="TableText"/>
            </w:pPr>
            <w:r w:rsidRPr="00D9348B">
              <w:t>Methane</w:t>
            </w:r>
          </w:p>
        </w:tc>
        <w:tc>
          <w:tcPr>
            <w:tcW w:w="2625" w:type="dxa"/>
            <w:tcBorders>
              <w:top w:val="single" w:sz="4" w:space="0" w:color="365F91"/>
              <w:left w:val="nil"/>
              <w:bottom w:val="single" w:sz="4" w:space="0" w:color="365F91"/>
              <w:right w:val="nil"/>
            </w:tcBorders>
            <w:hideMark/>
          </w:tcPr>
          <w:p w14:paraId="5B68AF90" w14:textId="77777777" w:rsidR="00524720" w:rsidRPr="00D9348B" w:rsidRDefault="00524720">
            <w:pPr>
              <w:pStyle w:val="TableText"/>
              <w:ind w:right="373"/>
              <w:jc w:val="center"/>
              <w:rPr>
                <w:rFonts w:cs="Arial"/>
                <w:szCs w:val="16"/>
              </w:rPr>
            </w:pPr>
            <w:r w:rsidRPr="00D9348B">
              <w:t>4.0</w:t>
            </w:r>
          </w:p>
        </w:tc>
        <w:tc>
          <w:tcPr>
            <w:tcW w:w="2487" w:type="dxa"/>
            <w:tcBorders>
              <w:top w:val="single" w:sz="4" w:space="0" w:color="365F91"/>
              <w:left w:val="nil"/>
              <w:bottom w:val="single" w:sz="4" w:space="0" w:color="365F91"/>
              <w:right w:val="nil"/>
            </w:tcBorders>
            <w:hideMark/>
          </w:tcPr>
          <w:p w14:paraId="5A2409FE" w14:textId="77777777" w:rsidR="00524720" w:rsidRPr="00D9348B" w:rsidRDefault="00524720">
            <w:pPr>
              <w:pStyle w:val="TableText"/>
              <w:ind w:right="373"/>
              <w:rPr>
                <w:rFonts w:cs="Arial"/>
                <w:szCs w:val="16"/>
              </w:rPr>
            </w:pPr>
            <w:r w:rsidRPr="00D9348B">
              <w:rPr>
                <w:rFonts w:cs="Arial"/>
                <w:szCs w:val="16"/>
              </w:rPr>
              <w:t>IPCC (2006a)</w:t>
            </w:r>
          </w:p>
        </w:tc>
      </w:tr>
      <w:tr w:rsidR="00524720" w:rsidRPr="00D9348B" w14:paraId="502E8112" w14:textId="77777777" w:rsidTr="00CC01A9">
        <w:tc>
          <w:tcPr>
            <w:tcW w:w="3501" w:type="dxa"/>
            <w:tcBorders>
              <w:top w:val="single" w:sz="4" w:space="0" w:color="365F91"/>
              <w:left w:val="nil"/>
              <w:bottom w:val="single" w:sz="4" w:space="0" w:color="365F91"/>
              <w:right w:val="nil"/>
            </w:tcBorders>
            <w:hideMark/>
          </w:tcPr>
          <w:p w14:paraId="24810E98" w14:textId="77777777" w:rsidR="00524720" w:rsidRPr="00D9348B" w:rsidRDefault="00524720">
            <w:pPr>
              <w:pStyle w:val="TableText"/>
            </w:pPr>
            <w:r w:rsidRPr="00D9348B">
              <w:t>Nitrous oxide</w:t>
            </w:r>
          </w:p>
        </w:tc>
        <w:tc>
          <w:tcPr>
            <w:tcW w:w="2625" w:type="dxa"/>
            <w:tcBorders>
              <w:top w:val="single" w:sz="4" w:space="0" w:color="365F91"/>
              <w:left w:val="nil"/>
              <w:bottom w:val="single" w:sz="4" w:space="0" w:color="365F91"/>
              <w:right w:val="nil"/>
            </w:tcBorders>
            <w:hideMark/>
          </w:tcPr>
          <w:p w14:paraId="0619B14B" w14:textId="77777777" w:rsidR="00524720" w:rsidRPr="00D9348B" w:rsidRDefault="00524720">
            <w:pPr>
              <w:pStyle w:val="TableText"/>
              <w:ind w:right="373"/>
              <w:jc w:val="center"/>
              <w:rPr>
                <w:rFonts w:cs="Arial"/>
                <w:szCs w:val="16"/>
              </w:rPr>
            </w:pPr>
            <w:r w:rsidRPr="00D9348B">
              <w:t>0.24</w:t>
            </w:r>
          </w:p>
        </w:tc>
        <w:tc>
          <w:tcPr>
            <w:tcW w:w="2487" w:type="dxa"/>
            <w:tcBorders>
              <w:top w:val="single" w:sz="4" w:space="0" w:color="365F91"/>
              <w:left w:val="nil"/>
              <w:bottom w:val="single" w:sz="4" w:space="0" w:color="365F91"/>
              <w:right w:val="nil"/>
            </w:tcBorders>
            <w:hideMark/>
          </w:tcPr>
          <w:p w14:paraId="22B33615" w14:textId="77777777" w:rsidR="00524720" w:rsidRPr="00D9348B" w:rsidRDefault="00524720">
            <w:pPr>
              <w:pStyle w:val="TableText"/>
              <w:ind w:right="373"/>
              <w:rPr>
                <w:rFonts w:cs="Arial"/>
                <w:szCs w:val="16"/>
              </w:rPr>
            </w:pPr>
            <w:r w:rsidRPr="00D9348B">
              <w:rPr>
                <w:rFonts w:cs="Arial"/>
                <w:szCs w:val="16"/>
              </w:rPr>
              <w:t>IPCC (2006a)</w:t>
            </w:r>
          </w:p>
        </w:tc>
      </w:tr>
    </w:tbl>
    <w:p w14:paraId="231A6748" w14:textId="77777777" w:rsidR="00524720" w:rsidRPr="00D9348B" w:rsidRDefault="00524720" w:rsidP="00524720">
      <w:pPr>
        <w:pStyle w:val="BodyText"/>
        <w:spacing w:before="240"/>
      </w:pPr>
      <w:r w:rsidRPr="00D9348B">
        <w:t>The emission factors are sourced from table 4.1 of volume 5, chapter 4 of the IPCC Guidelines (2006a).</w:t>
      </w:r>
    </w:p>
    <w:p w14:paraId="46F90388" w14:textId="77777777" w:rsidR="00524720" w:rsidRPr="00D9348B" w:rsidRDefault="00524720" w:rsidP="00524720">
      <w:pPr>
        <w:pStyle w:val="Heading3"/>
        <w:spacing w:before="280"/>
      </w:pPr>
      <w:bookmarkStart w:id="2760" w:name="_Toc32828339"/>
      <w:bookmarkStart w:id="2761" w:name="_Toc511116627"/>
      <w:bookmarkStart w:id="2762" w:name="_Toc481751412"/>
      <w:bookmarkStart w:id="2763" w:name="_Toc448321550"/>
      <w:r w:rsidRPr="00D9348B">
        <w:t>7.3.3</w:t>
      </w:r>
      <w:r w:rsidRPr="00D9348B">
        <w:tab/>
        <w:t>Uncertainties and time-series consistency</w:t>
      </w:r>
      <w:bookmarkEnd w:id="2760"/>
    </w:p>
    <w:p w14:paraId="5A095218" w14:textId="77777777" w:rsidR="00524720" w:rsidRPr="00D9348B" w:rsidRDefault="00524720" w:rsidP="00424864">
      <w:pPr>
        <w:pStyle w:val="Heading4"/>
        <w:spacing w:before="160"/>
      </w:pPr>
      <w:r w:rsidRPr="00D9348B">
        <w:t>Uncertainties</w:t>
      </w:r>
    </w:p>
    <w:p w14:paraId="329F4CD1" w14:textId="77777777" w:rsidR="00524720" w:rsidRPr="00D9348B" w:rsidRDefault="00524720" w:rsidP="00524720">
      <w:pPr>
        <w:pStyle w:val="BodyText"/>
      </w:pPr>
      <w:r w:rsidRPr="00D9348B">
        <w:t>As per the IPCC recommendation for uncertainties relating to activity data (IPCC, 2006a), when data quality is poor it can vary by more than a factor of two, or ±&gt;100 per cent. In this case, ±100 per cent is applied because, while data quality is poor, there are some data available.</w:t>
      </w:r>
    </w:p>
    <w:p w14:paraId="2452CF8F" w14:textId="77777777" w:rsidR="00524720" w:rsidRPr="00D9348B" w:rsidRDefault="00524720" w:rsidP="00524720">
      <w:pPr>
        <w:pStyle w:val="BodyText"/>
      </w:pPr>
      <w:r w:rsidRPr="00D9348B">
        <w:t>Uncertainties in emission factors are based on the range of the emission factors relative to the default (IPCC, 2006a), and the uncertainty for the default CH</w:t>
      </w:r>
      <w:r w:rsidRPr="00D9348B">
        <w:rPr>
          <w:vertAlign w:val="subscript"/>
        </w:rPr>
        <w:t>4</w:t>
      </w:r>
      <w:r w:rsidRPr="00D9348B">
        <w:t xml:space="preserve"> emission factor is about ±100 per cent. The range for the N</w:t>
      </w:r>
      <w:r w:rsidRPr="00D9348B">
        <w:rPr>
          <w:vertAlign w:val="subscript"/>
        </w:rPr>
        <w:t>2</w:t>
      </w:r>
      <w:r w:rsidRPr="00D9348B">
        <w:t>O emission factor is +150 per cent and –75 per cent, so the uncertainty is given as ±150 per cent. Table 7.3.2 presents uncertainties for composting.</w:t>
      </w:r>
    </w:p>
    <w:p w14:paraId="17F16E6E" w14:textId="77777777" w:rsidR="00524720" w:rsidRPr="00D9348B" w:rsidRDefault="00524720" w:rsidP="00524720">
      <w:pPr>
        <w:pStyle w:val="Table"/>
      </w:pPr>
      <w:bookmarkStart w:id="2764" w:name="_Toc32828529"/>
      <w:bookmarkStart w:id="2765" w:name="_Toc32591359"/>
      <w:bookmarkStart w:id="2766" w:name="_Toc5269571"/>
      <w:bookmarkStart w:id="2767" w:name="_Toc36224652"/>
      <w:r w:rsidRPr="00D9348B">
        <w:t>Table 7.3.2</w:t>
      </w:r>
      <w:r w:rsidRPr="00D9348B">
        <w:tab/>
        <w:t>Uncertainty in emissions from compost</w:t>
      </w:r>
      <w:bookmarkEnd w:id="2764"/>
      <w:bookmarkEnd w:id="2765"/>
      <w:bookmarkEnd w:id="2766"/>
      <w:bookmarkEnd w:id="2767"/>
    </w:p>
    <w:tbl>
      <w:tblPr>
        <w:tblW w:w="8505" w:type="dxa"/>
        <w:tblInd w:w="108" w:type="dxa"/>
        <w:tblBorders>
          <w:top w:val="single" w:sz="6" w:space="0" w:color="365F91"/>
          <w:bottom w:val="single" w:sz="6" w:space="0" w:color="365F91"/>
          <w:insideH w:val="single" w:sz="6" w:space="0" w:color="365F91"/>
        </w:tblBorders>
        <w:tblLook w:val="04A0" w:firstRow="1" w:lastRow="0" w:firstColumn="1" w:lastColumn="0" w:noHBand="0" w:noVBand="1"/>
      </w:tblPr>
      <w:tblGrid>
        <w:gridCol w:w="2620"/>
        <w:gridCol w:w="2787"/>
        <w:gridCol w:w="3098"/>
      </w:tblGrid>
      <w:tr w:rsidR="00524720" w:rsidRPr="00D9348B" w14:paraId="3D7603BA" w14:textId="77777777" w:rsidTr="00BF1235">
        <w:tc>
          <w:tcPr>
            <w:tcW w:w="2620" w:type="dxa"/>
            <w:tcBorders>
              <w:top w:val="single" w:sz="4" w:space="0" w:color="365F91"/>
              <w:left w:val="nil"/>
              <w:bottom w:val="single" w:sz="4" w:space="0" w:color="365F91"/>
              <w:right w:val="nil"/>
            </w:tcBorders>
            <w:shd w:val="clear" w:color="auto" w:fill="365F91"/>
            <w:hideMark/>
          </w:tcPr>
          <w:p w14:paraId="24261E65" w14:textId="77777777" w:rsidR="00524720" w:rsidRPr="00D9348B" w:rsidRDefault="00524720">
            <w:pPr>
              <w:pStyle w:val="TableTextBold"/>
              <w:keepNext/>
              <w:rPr>
                <w:noProof w:val="0"/>
                <w:color w:val="FFFFFF"/>
              </w:rPr>
            </w:pPr>
            <w:r w:rsidRPr="00D9348B">
              <w:rPr>
                <w:noProof w:val="0"/>
                <w:color w:val="FFFFFF"/>
              </w:rPr>
              <w:t>Emissions category</w:t>
            </w:r>
          </w:p>
        </w:tc>
        <w:tc>
          <w:tcPr>
            <w:tcW w:w="2787" w:type="dxa"/>
            <w:tcBorders>
              <w:top w:val="single" w:sz="4" w:space="0" w:color="365F91"/>
              <w:left w:val="nil"/>
              <w:bottom w:val="single" w:sz="4" w:space="0" w:color="365F91"/>
              <w:right w:val="nil"/>
            </w:tcBorders>
            <w:shd w:val="clear" w:color="auto" w:fill="365F91"/>
            <w:hideMark/>
          </w:tcPr>
          <w:p w14:paraId="6568D784" w14:textId="77777777" w:rsidR="00524720" w:rsidRPr="00D9348B" w:rsidRDefault="00524720">
            <w:pPr>
              <w:pStyle w:val="TableTextBold"/>
              <w:keepNext/>
              <w:rPr>
                <w:noProof w:val="0"/>
                <w:color w:val="FFFFFF"/>
              </w:rPr>
            </w:pPr>
            <w:r w:rsidRPr="00D9348B">
              <w:rPr>
                <w:noProof w:val="0"/>
                <w:color w:val="FFFFFF"/>
              </w:rPr>
              <w:t>Uncertainty in activity data (%)</w:t>
            </w:r>
          </w:p>
        </w:tc>
        <w:tc>
          <w:tcPr>
            <w:tcW w:w="3098" w:type="dxa"/>
            <w:tcBorders>
              <w:top w:val="single" w:sz="4" w:space="0" w:color="365F91"/>
              <w:left w:val="nil"/>
              <w:bottom w:val="single" w:sz="4" w:space="0" w:color="365F91"/>
              <w:right w:val="nil"/>
            </w:tcBorders>
            <w:shd w:val="clear" w:color="auto" w:fill="365F91"/>
            <w:hideMark/>
          </w:tcPr>
          <w:p w14:paraId="0220C018" w14:textId="77777777" w:rsidR="00524720" w:rsidRPr="00D9348B" w:rsidRDefault="00524720">
            <w:pPr>
              <w:pStyle w:val="TableTextBold"/>
              <w:keepNext/>
              <w:rPr>
                <w:noProof w:val="0"/>
                <w:color w:val="FFFFFF"/>
              </w:rPr>
            </w:pPr>
            <w:r w:rsidRPr="00D9348B">
              <w:rPr>
                <w:noProof w:val="0"/>
                <w:color w:val="FFFFFF"/>
              </w:rPr>
              <w:t>Uncertainty in emission factors (%)</w:t>
            </w:r>
          </w:p>
        </w:tc>
      </w:tr>
      <w:tr w:rsidR="00524720" w:rsidRPr="00D9348B" w14:paraId="6D512D20" w14:textId="77777777" w:rsidTr="00BF1235">
        <w:trPr>
          <w:trHeight w:val="127"/>
        </w:trPr>
        <w:tc>
          <w:tcPr>
            <w:tcW w:w="2620" w:type="dxa"/>
            <w:tcBorders>
              <w:top w:val="single" w:sz="4" w:space="0" w:color="365F91"/>
              <w:left w:val="nil"/>
              <w:bottom w:val="single" w:sz="4" w:space="0" w:color="365F91"/>
              <w:right w:val="nil"/>
            </w:tcBorders>
            <w:shd w:val="clear" w:color="auto" w:fill="FFFFFF"/>
            <w:hideMark/>
          </w:tcPr>
          <w:p w14:paraId="7379DA73" w14:textId="77777777" w:rsidR="00524720" w:rsidRPr="00D9348B" w:rsidRDefault="00524720">
            <w:pPr>
              <w:pStyle w:val="TableText"/>
              <w:rPr>
                <w:rFonts w:cs="Arial"/>
                <w:bCs/>
              </w:rPr>
            </w:pPr>
            <w:r w:rsidRPr="00D9348B">
              <w:rPr>
                <w:rFonts w:cs="Arial"/>
                <w:bCs/>
              </w:rPr>
              <w:t>Compost (CH</w:t>
            </w:r>
            <w:r w:rsidRPr="00D9348B">
              <w:rPr>
                <w:rFonts w:cs="Arial"/>
                <w:bCs/>
                <w:vertAlign w:val="subscript"/>
              </w:rPr>
              <w:t>4</w:t>
            </w:r>
            <w:r w:rsidRPr="00D9348B">
              <w:rPr>
                <w:rFonts w:cs="Arial"/>
                <w:bCs/>
              </w:rPr>
              <w:t>)</w:t>
            </w:r>
          </w:p>
        </w:tc>
        <w:tc>
          <w:tcPr>
            <w:tcW w:w="2787" w:type="dxa"/>
            <w:tcBorders>
              <w:top w:val="single" w:sz="4" w:space="0" w:color="365F91"/>
              <w:left w:val="nil"/>
              <w:bottom w:val="single" w:sz="4" w:space="0" w:color="365F91"/>
              <w:right w:val="nil"/>
            </w:tcBorders>
            <w:shd w:val="clear" w:color="auto" w:fill="FFFFFF"/>
            <w:hideMark/>
          </w:tcPr>
          <w:p w14:paraId="24BE637E" w14:textId="77777777" w:rsidR="00524720" w:rsidRPr="00D9348B" w:rsidRDefault="00524720">
            <w:pPr>
              <w:pStyle w:val="TableText"/>
              <w:ind w:right="827"/>
              <w:jc w:val="right"/>
              <w:rPr>
                <w:rFonts w:cs="Arial"/>
              </w:rPr>
            </w:pPr>
            <w:r w:rsidRPr="00D9348B">
              <w:rPr>
                <w:rFonts w:cs="Arial"/>
              </w:rPr>
              <w:t>±100</w:t>
            </w:r>
          </w:p>
        </w:tc>
        <w:tc>
          <w:tcPr>
            <w:tcW w:w="3098" w:type="dxa"/>
            <w:tcBorders>
              <w:top w:val="single" w:sz="4" w:space="0" w:color="365F91"/>
              <w:left w:val="nil"/>
              <w:bottom w:val="single" w:sz="4" w:space="0" w:color="365F91"/>
              <w:right w:val="nil"/>
            </w:tcBorders>
            <w:shd w:val="clear" w:color="auto" w:fill="FFFFFF"/>
            <w:hideMark/>
          </w:tcPr>
          <w:p w14:paraId="36FB9A09" w14:textId="77777777" w:rsidR="00524720" w:rsidRPr="00D9348B" w:rsidRDefault="00524720">
            <w:pPr>
              <w:pStyle w:val="TableText"/>
              <w:ind w:right="827"/>
              <w:jc w:val="right"/>
              <w:rPr>
                <w:rFonts w:cs="Arial"/>
              </w:rPr>
            </w:pPr>
            <w:r w:rsidRPr="00D9348B">
              <w:rPr>
                <w:rFonts w:cs="Arial"/>
              </w:rPr>
              <w:t>±100</w:t>
            </w:r>
          </w:p>
        </w:tc>
      </w:tr>
      <w:tr w:rsidR="00524720" w:rsidRPr="00D9348B" w14:paraId="0A824CEF" w14:textId="77777777" w:rsidTr="00BF1235">
        <w:trPr>
          <w:trHeight w:val="127"/>
        </w:trPr>
        <w:tc>
          <w:tcPr>
            <w:tcW w:w="2620" w:type="dxa"/>
            <w:tcBorders>
              <w:top w:val="single" w:sz="4" w:space="0" w:color="365F91"/>
              <w:left w:val="nil"/>
              <w:bottom w:val="single" w:sz="6" w:space="0" w:color="365F91"/>
              <w:right w:val="nil"/>
            </w:tcBorders>
            <w:shd w:val="clear" w:color="auto" w:fill="FFFFFF"/>
            <w:hideMark/>
          </w:tcPr>
          <w:p w14:paraId="5E3D0701" w14:textId="77777777" w:rsidR="00524720" w:rsidRPr="00D9348B" w:rsidRDefault="00524720">
            <w:pPr>
              <w:pStyle w:val="TableText"/>
              <w:rPr>
                <w:rFonts w:cs="Arial"/>
                <w:bCs/>
              </w:rPr>
            </w:pPr>
            <w:r w:rsidRPr="00D9348B">
              <w:rPr>
                <w:rFonts w:cs="Arial"/>
                <w:bCs/>
              </w:rPr>
              <w:t>Compost (N</w:t>
            </w:r>
            <w:r w:rsidRPr="00D9348B">
              <w:rPr>
                <w:rFonts w:cs="Arial"/>
                <w:bCs/>
                <w:vertAlign w:val="subscript"/>
              </w:rPr>
              <w:t>2</w:t>
            </w:r>
            <w:r w:rsidRPr="00D9348B">
              <w:rPr>
                <w:rFonts w:cs="Arial"/>
                <w:bCs/>
              </w:rPr>
              <w:t>O)</w:t>
            </w:r>
          </w:p>
        </w:tc>
        <w:tc>
          <w:tcPr>
            <w:tcW w:w="2787" w:type="dxa"/>
            <w:tcBorders>
              <w:top w:val="single" w:sz="4" w:space="0" w:color="365F91"/>
              <w:left w:val="nil"/>
              <w:bottom w:val="single" w:sz="6" w:space="0" w:color="365F91"/>
              <w:right w:val="nil"/>
            </w:tcBorders>
            <w:shd w:val="clear" w:color="auto" w:fill="FFFFFF"/>
            <w:hideMark/>
          </w:tcPr>
          <w:p w14:paraId="66429E3B" w14:textId="77777777" w:rsidR="00524720" w:rsidRPr="00D9348B" w:rsidRDefault="00524720">
            <w:pPr>
              <w:pStyle w:val="TableText"/>
              <w:ind w:right="827"/>
              <w:jc w:val="right"/>
              <w:rPr>
                <w:rFonts w:cs="Arial"/>
              </w:rPr>
            </w:pPr>
            <w:r w:rsidRPr="00D9348B">
              <w:rPr>
                <w:rFonts w:cs="Arial"/>
              </w:rPr>
              <w:t>±100</w:t>
            </w:r>
          </w:p>
        </w:tc>
        <w:tc>
          <w:tcPr>
            <w:tcW w:w="3098" w:type="dxa"/>
            <w:tcBorders>
              <w:top w:val="single" w:sz="4" w:space="0" w:color="365F91"/>
              <w:left w:val="nil"/>
              <w:bottom w:val="single" w:sz="6" w:space="0" w:color="365F91"/>
              <w:right w:val="nil"/>
            </w:tcBorders>
            <w:shd w:val="clear" w:color="auto" w:fill="FFFFFF"/>
            <w:hideMark/>
          </w:tcPr>
          <w:p w14:paraId="24BD3AB7" w14:textId="77777777" w:rsidR="00524720" w:rsidRPr="00D9348B" w:rsidRDefault="00524720">
            <w:pPr>
              <w:pStyle w:val="TableText"/>
              <w:ind w:right="827"/>
              <w:jc w:val="right"/>
              <w:rPr>
                <w:rFonts w:cs="Arial"/>
              </w:rPr>
            </w:pPr>
            <w:r w:rsidRPr="00D9348B">
              <w:rPr>
                <w:rFonts w:cs="Arial"/>
              </w:rPr>
              <w:t>±150</w:t>
            </w:r>
          </w:p>
        </w:tc>
      </w:tr>
    </w:tbl>
    <w:p w14:paraId="43CE271E" w14:textId="77777777" w:rsidR="00524720" w:rsidRPr="00D9348B" w:rsidRDefault="00524720" w:rsidP="00865BDB">
      <w:pPr>
        <w:pStyle w:val="Heading4"/>
      </w:pPr>
      <w:r w:rsidRPr="00D9348B">
        <w:t>Time-series consistency</w:t>
      </w:r>
    </w:p>
    <w:p w14:paraId="56BF8FE0" w14:textId="77777777" w:rsidR="00524720" w:rsidRPr="00D9348B" w:rsidRDefault="00524720" w:rsidP="00524720">
      <w:pPr>
        <w:pStyle w:val="BodyText"/>
      </w:pPr>
      <w:r w:rsidRPr="00D9348B">
        <w:t>Time-series consistency is ensured by the use of consistent models and parameters across the period.</w:t>
      </w:r>
    </w:p>
    <w:p w14:paraId="0DFF6662" w14:textId="77777777" w:rsidR="00524720" w:rsidRPr="00D9348B" w:rsidRDefault="00524720" w:rsidP="00524720">
      <w:pPr>
        <w:pStyle w:val="Heading3"/>
        <w:spacing w:before="280"/>
      </w:pPr>
      <w:bookmarkStart w:id="2768" w:name="_Toc32828340"/>
      <w:r w:rsidRPr="00D9348B">
        <w:t xml:space="preserve">7.3.4 </w:t>
      </w:r>
      <w:r w:rsidRPr="00D9348B">
        <w:tab/>
        <w:t>Source-specific QA/QC and verification</w:t>
      </w:r>
      <w:bookmarkEnd w:id="2768"/>
    </w:p>
    <w:p w14:paraId="1A07878F" w14:textId="77777777" w:rsidR="00524720" w:rsidRPr="00D9348B" w:rsidRDefault="00524720" w:rsidP="00524720">
      <w:pPr>
        <w:pStyle w:val="BodyText"/>
        <w:rPr>
          <w:spacing w:val="-2"/>
        </w:rPr>
      </w:pPr>
      <w:r w:rsidRPr="00D9348B">
        <w:rPr>
          <w:spacing w:val="-2"/>
        </w:rPr>
        <w:t xml:space="preserve">These emissions are very small, and basic </w:t>
      </w:r>
      <w:r w:rsidRPr="00D9348B">
        <w:t>quality-assurance and quality-control</w:t>
      </w:r>
      <w:r w:rsidRPr="00D9348B">
        <w:rPr>
          <w:spacing w:val="-2"/>
        </w:rPr>
        <w:t xml:space="preserve"> checks are carried out where possible. Detailed </w:t>
      </w:r>
      <w:r w:rsidRPr="00D9348B">
        <w:t>quality-assurance and quality-control</w:t>
      </w:r>
      <w:r w:rsidRPr="00D9348B">
        <w:rPr>
          <w:spacing w:val="-2"/>
        </w:rPr>
        <w:t xml:space="preserve"> efforts for the Waste sector focus on the disposal to land and wastewater categories. </w:t>
      </w:r>
    </w:p>
    <w:p w14:paraId="2DE83724" w14:textId="77777777" w:rsidR="00524720" w:rsidRPr="00D9348B" w:rsidRDefault="00524720" w:rsidP="00524720">
      <w:pPr>
        <w:pStyle w:val="Heading3"/>
        <w:spacing w:before="280"/>
      </w:pPr>
      <w:bookmarkStart w:id="2769" w:name="_Toc32828341"/>
      <w:r w:rsidRPr="00D9348B">
        <w:t xml:space="preserve">7.3.5 </w:t>
      </w:r>
      <w:r w:rsidRPr="00D9348B">
        <w:tab/>
        <w:t>Source-specific recalculations</w:t>
      </w:r>
      <w:bookmarkEnd w:id="2769"/>
    </w:p>
    <w:p w14:paraId="409830C7" w14:textId="77777777" w:rsidR="00524720" w:rsidRPr="00D9348B" w:rsidRDefault="00524720" w:rsidP="00524720">
      <w:pPr>
        <w:pStyle w:val="BodyText"/>
      </w:pPr>
      <w:r w:rsidRPr="00D9348B">
        <w:t>The 2019 submission is the first to report emissions from composting.</w:t>
      </w:r>
    </w:p>
    <w:p w14:paraId="29940DD3" w14:textId="77777777" w:rsidR="00524720" w:rsidRPr="00D9348B" w:rsidRDefault="00524720" w:rsidP="00524720">
      <w:pPr>
        <w:pStyle w:val="Heading3"/>
        <w:spacing w:before="280"/>
      </w:pPr>
      <w:bookmarkStart w:id="2770" w:name="_Toc32828342"/>
      <w:r w:rsidRPr="00D9348B">
        <w:t xml:space="preserve">7.3.6 </w:t>
      </w:r>
      <w:r w:rsidRPr="00D9348B">
        <w:tab/>
        <w:t>Source-specific planned improvements</w:t>
      </w:r>
      <w:bookmarkEnd w:id="2770"/>
    </w:p>
    <w:p w14:paraId="2FE30EBA" w14:textId="77777777" w:rsidR="00524720" w:rsidRPr="00D9348B" w:rsidRDefault="00524720" w:rsidP="00524720">
      <w:pPr>
        <w:pStyle w:val="BodyText"/>
      </w:pPr>
      <w:r w:rsidRPr="00D9348B">
        <w:t>No specific improvements are planned for this category. Over time, better activity data will be applied to the inventory if and when they become available.</w:t>
      </w:r>
    </w:p>
    <w:p w14:paraId="34B8BC74" w14:textId="77777777" w:rsidR="00524720" w:rsidRPr="00D9348B" w:rsidRDefault="00524720" w:rsidP="00524720">
      <w:pPr>
        <w:pStyle w:val="Heading2"/>
      </w:pPr>
      <w:bookmarkStart w:id="2771" w:name="_Toc32828343"/>
      <w:bookmarkStart w:id="2772" w:name="_Toc5269389"/>
      <w:bookmarkStart w:id="2773" w:name="_Toc36224429"/>
      <w:r w:rsidRPr="00D9348B">
        <w:lastRenderedPageBreak/>
        <w:t>7.4</w:t>
      </w:r>
      <w:r w:rsidRPr="00D9348B">
        <w:tab/>
        <w:t>Incineration and open burning of waste (5.C)</w:t>
      </w:r>
      <w:bookmarkEnd w:id="2761"/>
      <w:bookmarkEnd w:id="2762"/>
      <w:bookmarkEnd w:id="2763"/>
      <w:bookmarkEnd w:id="2771"/>
      <w:bookmarkEnd w:id="2772"/>
      <w:bookmarkEnd w:id="2773"/>
    </w:p>
    <w:p w14:paraId="2E22818A" w14:textId="77777777" w:rsidR="00524720" w:rsidRPr="00D9348B" w:rsidRDefault="00524720" w:rsidP="00524720">
      <w:pPr>
        <w:pStyle w:val="Heading3"/>
        <w:spacing w:before="120"/>
      </w:pPr>
      <w:bookmarkStart w:id="2774" w:name="_Toc32828344"/>
      <w:r w:rsidRPr="00D9348B">
        <w:t xml:space="preserve">7.4.1 </w:t>
      </w:r>
      <w:r w:rsidRPr="00D9348B">
        <w:tab/>
        <w:t>Description</w:t>
      </w:r>
      <w:bookmarkEnd w:id="2774"/>
    </w:p>
    <w:p w14:paraId="7CD044F9" w14:textId="77777777" w:rsidR="00524720" w:rsidRPr="00D9348B" w:rsidRDefault="00524720" w:rsidP="006F3194">
      <w:pPr>
        <w:pStyle w:val="BodyText"/>
        <w:spacing w:before="100"/>
      </w:pPr>
      <w:r w:rsidRPr="00D9348B">
        <w:t>There is no incineration of municipal waste in New Zealand, for energy production or otherwise. Incineration is used on a small scale for disposal of medical, quarantine and hazardous wastes and sewage sludge. The practice of incinerating clinical wastes has declined through the time series, due to more stringent environmental regulation and the use of alternative technologies such as sterilisation.</w:t>
      </w:r>
    </w:p>
    <w:p w14:paraId="5CF30D59" w14:textId="77777777" w:rsidR="00524720" w:rsidRPr="00D9348B" w:rsidRDefault="00524720" w:rsidP="006F3194">
      <w:pPr>
        <w:pStyle w:val="BodyText"/>
        <w:spacing w:before="100"/>
        <w:rPr>
          <w:spacing w:val="-2"/>
        </w:rPr>
      </w:pPr>
      <w:r w:rsidRPr="00D9348B">
        <w:rPr>
          <w:spacing w:val="-2"/>
        </w:rPr>
        <w:t>Waste incineration is regulated under the Resource Management Act 1991. In addition, in 2004, a national environmental standard was introduced, which required consents for all existing low-temperature incinerators, such as those historically used in schools and sometimes in hospitals.</w:t>
      </w:r>
    </w:p>
    <w:p w14:paraId="73540A23" w14:textId="77777777" w:rsidR="00524720" w:rsidRPr="00D9348B" w:rsidRDefault="00524720" w:rsidP="006F3194">
      <w:pPr>
        <w:pStyle w:val="BodyText"/>
        <w:spacing w:before="100"/>
      </w:pPr>
      <w:r w:rsidRPr="00D9348B">
        <w:t xml:space="preserve">There is no open burning of waste at municipal or non-municipal landfill facilities in New Zealand. Some farms practice open burning of small volumes of rural waste (Tonkin and Taylor Ltd, </w:t>
      </w:r>
      <w:proofErr w:type="gramStart"/>
      <w:r w:rsidRPr="00D9348B">
        <w:t>unpublished(</w:t>
      </w:r>
      <w:proofErr w:type="gramEnd"/>
      <w:r w:rsidRPr="00D9348B">
        <w:t xml:space="preserve">b)) and, while limited information is available on the extent of the practice, emissions from open burning are reported for the first time in the 2019 submission. The majority of farm waste is buried in farm fills rather than burned, and the emissions from farm fills are reported in </w:t>
      </w:r>
      <w:r w:rsidRPr="00D9348B">
        <w:rPr>
          <w:i/>
        </w:rPr>
        <w:t>Solid waste disposal</w:t>
      </w:r>
      <w:r w:rsidRPr="00D9348B">
        <w:t xml:space="preserve"> (CRF 5.A).</w:t>
      </w:r>
    </w:p>
    <w:p w14:paraId="7A15D5C0" w14:textId="77777777" w:rsidR="00524720" w:rsidRPr="00D9348B" w:rsidRDefault="00524720" w:rsidP="006F3194">
      <w:pPr>
        <w:pStyle w:val="BodyText"/>
        <w:spacing w:before="100"/>
      </w:pPr>
      <w:r w:rsidRPr="00D9348B">
        <w:t>On its website, the Ministry of Education indicates that waste incineration is still practised in a small number of primary schools located in remote rural areas. Although information is not available on the exact number of schools practising waste incineration, it is estimated that around 10 per cent of the total number of schools in New Zealand still incinerate their waste production (direct communication with the Ministry of Education). Emissions from this source are not estimated for this submission and are reported as not estimated (NE). See annex 6.2 for more information.</w:t>
      </w:r>
    </w:p>
    <w:p w14:paraId="32B61C77" w14:textId="77777777" w:rsidR="00524720" w:rsidRPr="00D9348B" w:rsidRDefault="00524720" w:rsidP="006F3194">
      <w:pPr>
        <w:pStyle w:val="BodyText"/>
        <w:spacing w:before="100"/>
      </w:pPr>
      <w:r w:rsidRPr="00D9348B">
        <w:t xml:space="preserve">Waste oil is used in the cement industry for firing a cement kiln. All emissions from this source are reported in the Energy sector. </w:t>
      </w:r>
    </w:p>
    <w:p w14:paraId="0F6EC27F" w14:textId="77777777" w:rsidR="00524720" w:rsidRPr="00D9348B" w:rsidRDefault="00524720" w:rsidP="00524720">
      <w:pPr>
        <w:pStyle w:val="BodyText"/>
      </w:pPr>
      <w:r w:rsidRPr="00D9348B">
        <w:t xml:space="preserve">In 2018, </w:t>
      </w:r>
      <w:r w:rsidRPr="00D9348B">
        <w:rPr>
          <w:i/>
        </w:rPr>
        <w:t>Incineration and open burning of waste</w:t>
      </w:r>
      <w:r w:rsidRPr="00D9348B">
        <w:t xml:space="preserve"> accounted for 8.6 kt CO</w:t>
      </w:r>
      <w:r w:rsidRPr="00D9348B">
        <w:rPr>
          <w:vertAlign w:val="subscript"/>
        </w:rPr>
        <w:t>2</w:t>
      </w:r>
      <w:r w:rsidRPr="00D9348B">
        <w:t>-e (0.2 per cent) of Waste sector emissions (table 7.4.1). This was a decrease of 16.0 kt CO</w:t>
      </w:r>
      <w:r w:rsidRPr="00D9348B">
        <w:rPr>
          <w:vertAlign w:val="subscript"/>
        </w:rPr>
        <w:t>2</w:t>
      </w:r>
      <w:r w:rsidRPr="00D9348B">
        <w:t>-e below the 1990 level of 24.6 kt CO</w:t>
      </w:r>
      <w:r w:rsidRPr="00D9348B">
        <w:rPr>
          <w:vertAlign w:val="subscript"/>
        </w:rPr>
        <w:t>2</w:t>
      </w:r>
      <w:r w:rsidRPr="00D9348B">
        <w:t>-e, and a decrease of 0.2 kt CO</w:t>
      </w:r>
      <w:r w:rsidRPr="00D9348B">
        <w:rPr>
          <w:vertAlign w:val="subscript"/>
        </w:rPr>
        <w:t>2</w:t>
      </w:r>
      <w:r w:rsidRPr="00D9348B">
        <w:t>-e (–2.1 per cent) from 2017.</w:t>
      </w:r>
    </w:p>
    <w:p w14:paraId="27283DA2" w14:textId="77777777" w:rsidR="00524720" w:rsidRPr="00D9348B" w:rsidRDefault="00524720" w:rsidP="00524720">
      <w:pPr>
        <w:pStyle w:val="Table"/>
        <w:rPr>
          <w:rFonts w:cs="Arial"/>
        </w:rPr>
      </w:pPr>
      <w:bookmarkStart w:id="2775" w:name="_Toc32828530"/>
      <w:bookmarkStart w:id="2776" w:name="_Toc32591360"/>
      <w:bookmarkStart w:id="2777" w:name="_Toc5269572"/>
      <w:bookmarkStart w:id="2778" w:name="_Toc36224653"/>
      <w:r w:rsidRPr="00D9348B">
        <w:rPr>
          <w:rFonts w:cs="Arial"/>
        </w:rPr>
        <w:t xml:space="preserve">Table 7.4.1 </w:t>
      </w:r>
      <w:r w:rsidRPr="00D9348B">
        <w:rPr>
          <w:rFonts w:cs="Arial"/>
        </w:rPr>
        <w:tab/>
        <w:t>Emissions from Incineration and open burning of waste (5.C)</w:t>
      </w:r>
      <w:bookmarkEnd w:id="2775"/>
      <w:bookmarkEnd w:id="2776"/>
      <w:bookmarkEnd w:id="2777"/>
      <w:bookmarkEnd w:id="2778"/>
    </w:p>
    <w:tbl>
      <w:tblPr>
        <w:tblW w:w="8513" w:type="dxa"/>
        <w:tblInd w:w="108" w:type="dxa"/>
        <w:tblLayout w:type="fixed"/>
        <w:tblLook w:val="04A0" w:firstRow="1" w:lastRow="0" w:firstColumn="1" w:lastColumn="0" w:noHBand="0" w:noVBand="1"/>
      </w:tblPr>
      <w:tblGrid>
        <w:gridCol w:w="2978"/>
        <w:gridCol w:w="1073"/>
        <w:gridCol w:w="1250"/>
        <w:gridCol w:w="1789"/>
        <w:gridCol w:w="1423"/>
      </w:tblGrid>
      <w:tr w:rsidR="00524720" w:rsidRPr="00D9348B" w14:paraId="356BBA4A" w14:textId="77777777" w:rsidTr="006F3194">
        <w:tc>
          <w:tcPr>
            <w:tcW w:w="1749" w:type="pct"/>
            <w:tcBorders>
              <w:top w:val="single" w:sz="4" w:space="0" w:color="365F91"/>
              <w:left w:val="nil"/>
              <w:bottom w:val="single" w:sz="4" w:space="0" w:color="365F91"/>
              <w:right w:val="nil"/>
            </w:tcBorders>
            <w:shd w:val="clear" w:color="auto" w:fill="365F91"/>
            <w:vAlign w:val="bottom"/>
          </w:tcPr>
          <w:p w14:paraId="4DD12BDE" w14:textId="77777777" w:rsidR="00524720" w:rsidRPr="00D9348B" w:rsidRDefault="00524720">
            <w:pPr>
              <w:rPr>
                <w:color w:val="FFFFFF"/>
              </w:rPr>
            </w:pPr>
          </w:p>
        </w:tc>
        <w:tc>
          <w:tcPr>
            <w:tcW w:w="1364" w:type="pct"/>
            <w:gridSpan w:val="2"/>
            <w:tcBorders>
              <w:top w:val="single" w:sz="4" w:space="0" w:color="365F91"/>
              <w:left w:val="nil"/>
              <w:bottom w:val="single" w:sz="4" w:space="0" w:color="365F91"/>
              <w:right w:val="nil"/>
            </w:tcBorders>
            <w:shd w:val="clear" w:color="auto" w:fill="365F91"/>
            <w:vAlign w:val="bottom"/>
            <w:hideMark/>
          </w:tcPr>
          <w:p w14:paraId="6C8CD071" w14:textId="251D31BC" w:rsidR="00524720" w:rsidRPr="00D9348B" w:rsidRDefault="00524720">
            <w:pPr>
              <w:pStyle w:val="TableTextBold"/>
              <w:jc w:val="center"/>
              <w:rPr>
                <w:noProof w:val="0"/>
                <w:color w:val="FFFFFF"/>
              </w:rPr>
            </w:pPr>
            <w:r w:rsidRPr="00D9348B">
              <w:rPr>
                <w:noProof w:val="0"/>
                <w:color w:val="FFFFFF"/>
              </w:rPr>
              <w:t>Emissions (kt CO</w:t>
            </w:r>
            <w:r w:rsidRPr="00D9348B">
              <w:rPr>
                <w:noProof w:val="0"/>
                <w:color w:val="FFFFFF"/>
                <w:vertAlign w:val="subscript"/>
              </w:rPr>
              <w:t>2</w:t>
            </w:r>
            <w:r w:rsidRPr="00D9348B">
              <w:rPr>
                <w:noProof w:val="0"/>
                <w:color w:val="FFFFFF"/>
              </w:rPr>
              <w:t>-e)</w:t>
            </w:r>
          </w:p>
        </w:tc>
        <w:tc>
          <w:tcPr>
            <w:tcW w:w="1051" w:type="pct"/>
            <w:tcBorders>
              <w:top w:val="single" w:sz="4" w:space="0" w:color="365F91"/>
              <w:left w:val="nil"/>
              <w:bottom w:val="single" w:sz="4" w:space="0" w:color="365F91"/>
              <w:right w:val="nil"/>
            </w:tcBorders>
            <w:shd w:val="clear" w:color="auto" w:fill="365F91"/>
            <w:vAlign w:val="bottom"/>
            <w:hideMark/>
          </w:tcPr>
          <w:p w14:paraId="7125755C" w14:textId="77777777" w:rsidR="00524720" w:rsidRPr="00D9348B" w:rsidRDefault="00524720">
            <w:pPr>
              <w:pStyle w:val="TableTextBold"/>
              <w:jc w:val="center"/>
              <w:rPr>
                <w:noProof w:val="0"/>
                <w:color w:val="FFFFFF"/>
              </w:rPr>
            </w:pPr>
            <w:r w:rsidRPr="00D9348B">
              <w:rPr>
                <w:noProof w:val="0"/>
                <w:color w:val="FFFFFF"/>
              </w:rPr>
              <w:t>Difference (kt CO</w:t>
            </w:r>
            <w:r w:rsidRPr="00D9348B">
              <w:rPr>
                <w:noProof w:val="0"/>
                <w:color w:val="FFFFFF"/>
                <w:vertAlign w:val="subscript"/>
              </w:rPr>
              <w:t>2</w:t>
            </w:r>
            <w:r w:rsidRPr="00D9348B">
              <w:rPr>
                <w:noProof w:val="0"/>
                <w:color w:val="FFFFFF"/>
              </w:rPr>
              <w:t>-e)</w:t>
            </w:r>
          </w:p>
        </w:tc>
        <w:tc>
          <w:tcPr>
            <w:tcW w:w="837" w:type="pct"/>
            <w:tcBorders>
              <w:top w:val="single" w:sz="4" w:space="0" w:color="365F91"/>
              <w:left w:val="nil"/>
              <w:bottom w:val="single" w:sz="4" w:space="0" w:color="365F91"/>
              <w:right w:val="nil"/>
            </w:tcBorders>
            <w:shd w:val="clear" w:color="auto" w:fill="365F91"/>
            <w:vAlign w:val="bottom"/>
            <w:hideMark/>
          </w:tcPr>
          <w:p w14:paraId="4514436E" w14:textId="77777777" w:rsidR="00524720" w:rsidRPr="00D9348B" w:rsidRDefault="00524720">
            <w:pPr>
              <w:pStyle w:val="TableTextBold"/>
              <w:rPr>
                <w:noProof w:val="0"/>
                <w:color w:val="FFFFFF"/>
              </w:rPr>
            </w:pPr>
            <w:r w:rsidRPr="00D9348B">
              <w:rPr>
                <w:noProof w:val="0"/>
                <w:color w:val="FFFFFF"/>
              </w:rPr>
              <w:t>Change (%)</w:t>
            </w:r>
          </w:p>
        </w:tc>
      </w:tr>
      <w:tr w:rsidR="00524720" w:rsidRPr="00D9348B" w14:paraId="74EADD69" w14:textId="77777777" w:rsidTr="006F3194">
        <w:tc>
          <w:tcPr>
            <w:tcW w:w="1749" w:type="pct"/>
            <w:tcBorders>
              <w:top w:val="single" w:sz="4" w:space="0" w:color="365F91"/>
              <w:left w:val="nil"/>
              <w:bottom w:val="single" w:sz="4" w:space="0" w:color="365F91"/>
              <w:right w:val="nil"/>
            </w:tcBorders>
            <w:shd w:val="clear" w:color="auto" w:fill="FFFFFF"/>
            <w:hideMark/>
          </w:tcPr>
          <w:p w14:paraId="00D66EDF" w14:textId="77777777" w:rsidR="00524720" w:rsidRPr="00D9348B" w:rsidRDefault="00524720">
            <w:pPr>
              <w:pStyle w:val="Tableboldblue"/>
            </w:pPr>
            <w:r w:rsidRPr="00D9348B">
              <w:t>Source category</w:t>
            </w:r>
          </w:p>
        </w:tc>
        <w:tc>
          <w:tcPr>
            <w:tcW w:w="630" w:type="pct"/>
            <w:tcBorders>
              <w:top w:val="single" w:sz="4" w:space="0" w:color="365F91"/>
              <w:left w:val="nil"/>
              <w:bottom w:val="single" w:sz="4" w:space="0" w:color="365F91"/>
              <w:right w:val="nil"/>
            </w:tcBorders>
            <w:shd w:val="clear" w:color="auto" w:fill="FFFFFF"/>
            <w:vAlign w:val="bottom"/>
            <w:hideMark/>
          </w:tcPr>
          <w:p w14:paraId="3D680727" w14:textId="77777777" w:rsidR="00524720" w:rsidRPr="00D9348B" w:rsidRDefault="00524720">
            <w:pPr>
              <w:pStyle w:val="Tableboldblue"/>
              <w:jc w:val="center"/>
            </w:pPr>
            <w:r w:rsidRPr="00D9348B">
              <w:t>1990</w:t>
            </w:r>
          </w:p>
        </w:tc>
        <w:tc>
          <w:tcPr>
            <w:tcW w:w="734" w:type="pct"/>
            <w:tcBorders>
              <w:top w:val="single" w:sz="4" w:space="0" w:color="365F91"/>
              <w:left w:val="nil"/>
              <w:bottom w:val="single" w:sz="4" w:space="0" w:color="365F91"/>
              <w:right w:val="nil"/>
            </w:tcBorders>
            <w:shd w:val="clear" w:color="auto" w:fill="FFFFFF"/>
            <w:vAlign w:val="bottom"/>
            <w:hideMark/>
          </w:tcPr>
          <w:p w14:paraId="5AE7281A" w14:textId="77777777" w:rsidR="00524720" w:rsidRPr="00D9348B" w:rsidRDefault="00524720">
            <w:pPr>
              <w:pStyle w:val="Tableboldblue"/>
              <w:jc w:val="center"/>
            </w:pPr>
            <w:r w:rsidRPr="00D9348B">
              <w:t>2018</w:t>
            </w:r>
          </w:p>
        </w:tc>
        <w:tc>
          <w:tcPr>
            <w:tcW w:w="1051" w:type="pct"/>
            <w:tcBorders>
              <w:top w:val="single" w:sz="4" w:space="0" w:color="365F91"/>
              <w:left w:val="nil"/>
              <w:bottom w:val="single" w:sz="4" w:space="0" w:color="365F91"/>
              <w:right w:val="nil"/>
            </w:tcBorders>
            <w:shd w:val="clear" w:color="auto" w:fill="FFFFFF"/>
            <w:vAlign w:val="bottom"/>
            <w:hideMark/>
          </w:tcPr>
          <w:p w14:paraId="70FA56F1" w14:textId="77777777" w:rsidR="00524720" w:rsidRPr="00D9348B" w:rsidRDefault="00524720">
            <w:pPr>
              <w:pStyle w:val="Tableboldblue"/>
              <w:jc w:val="center"/>
            </w:pPr>
            <w:r w:rsidRPr="00D9348B">
              <w:t>1990–2018</w:t>
            </w:r>
          </w:p>
        </w:tc>
        <w:tc>
          <w:tcPr>
            <w:tcW w:w="837" w:type="pct"/>
            <w:tcBorders>
              <w:top w:val="single" w:sz="4" w:space="0" w:color="365F91"/>
              <w:left w:val="nil"/>
              <w:bottom w:val="single" w:sz="4" w:space="0" w:color="365F91"/>
              <w:right w:val="nil"/>
            </w:tcBorders>
            <w:shd w:val="clear" w:color="auto" w:fill="FFFFFF"/>
            <w:vAlign w:val="bottom"/>
            <w:hideMark/>
          </w:tcPr>
          <w:p w14:paraId="4EE65229" w14:textId="77777777" w:rsidR="00524720" w:rsidRPr="00D9348B" w:rsidRDefault="00524720">
            <w:pPr>
              <w:pStyle w:val="Tableboldblue"/>
              <w:jc w:val="center"/>
            </w:pPr>
            <w:r w:rsidRPr="00D9348B">
              <w:t>1990–2018</w:t>
            </w:r>
          </w:p>
        </w:tc>
      </w:tr>
      <w:tr w:rsidR="00524720" w:rsidRPr="00D9348B" w14:paraId="36728C2D" w14:textId="77777777" w:rsidTr="006F3194">
        <w:tc>
          <w:tcPr>
            <w:tcW w:w="1749" w:type="pct"/>
            <w:tcBorders>
              <w:top w:val="single" w:sz="4" w:space="0" w:color="365F91"/>
              <w:left w:val="nil"/>
              <w:bottom w:val="single" w:sz="4" w:space="0" w:color="365F91"/>
              <w:right w:val="nil"/>
            </w:tcBorders>
            <w:hideMark/>
          </w:tcPr>
          <w:p w14:paraId="713D0246" w14:textId="77777777" w:rsidR="00524720" w:rsidRPr="00D9348B" w:rsidRDefault="00524720">
            <w:pPr>
              <w:pStyle w:val="TableText"/>
            </w:pPr>
            <w:r w:rsidRPr="00D9348B">
              <w:t>Incineration (5.C.1)</w:t>
            </w:r>
          </w:p>
        </w:tc>
        <w:tc>
          <w:tcPr>
            <w:tcW w:w="630" w:type="pct"/>
            <w:tcBorders>
              <w:top w:val="single" w:sz="4" w:space="0" w:color="365F91"/>
              <w:left w:val="nil"/>
              <w:bottom w:val="single" w:sz="4" w:space="0" w:color="365F91"/>
              <w:right w:val="nil"/>
            </w:tcBorders>
            <w:hideMark/>
          </w:tcPr>
          <w:p w14:paraId="4C8D1E75" w14:textId="77777777" w:rsidR="00524720" w:rsidRPr="00D9348B" w:rsidRDefault="00524720">
            <w:pPr>
              <w:pStyle w:val="TableText"/>
              <w:tabs>
                <w:tab w:val="decimal" w:pos="329"/>
              </w:tabs>
              <w:jc w:val="center"/>
              <w:rPr>
                <w:rFonts w:cs="Arial"/>
              </w:rPr>
            </w:pPr>
            <w:r w:rsidRPr="00D9348B">
              <w:rPr>
                <w:rFonts w:cs="Arial"/>
              </w:rPr>
              <w:t>14.8</w:t>
            </w:r>
          </w:p>
        </w:tc>
        <w:tc>
          <w:tcPr>
            <w:tcW w:w="734" w:type="pct"/>
            <w:tcBorders>
              <w:top w:val="single" w:sz="4" w:space="0" w:color="365F91"/>
              <w:left w:val="nil"/>
              <w:bottom w:val="single" w:sz="4" w:space="0" w:color="365F91"/>
              <w:right w:val="nil"/>
            </w:tcBorders>
            <w:hideMark/>
          </w:tcPr>
          <w:p w14:paraId="5CD63F0D" w14:textId="77777777" w:rsidR="00524720" w:rsidRPr="00D9348B" w:rsidRDefault="00524720">
            <w:pPr>
              <w:pStyle w:val="TableText"/>
              <w:tabs>
                <w:tab w:val="decimal" w:pos="249"/>
              </w:tabs>
              <w:jc w:val="center"/>
            </w:pPr>
            <w:r w:rsidRPr="00D9348B">
              <w:t>2.4</w:t>
            </w:r>
          </w:p>
        </w:tc>
        <w:tc>
          <w:tcPr>
            <w:tcW w:w="1051" w:type="pct"/>
            <w:tcBorders>
              <w:top w:val="single" w:sz="4" w:space="0" w:color="365F91"/>
              <w:left w:val="nil"/>
              <w:bottom w:val="single" w:sz="4" w:space="0" w:color="365F91"/>
              <w:right w:val="nil"/>
            </w:tcBorders>
            <w:hideMark/>
          </w:tcPr>
          <w:p w14:paraId="223DB9AE" w14:textId="77777777" w:rsidR="00524720" w:rsidRPr="00D9348B" w:rsidRDefault="00524720">
            <w:pPr>
              <w:pStyle w:val="TableText"/>
              <w:tabs>
                <w:tab w:val="decimal" w:pos="249"/>
                <w:tab w:val="decimal" w:pos="598"/>
              </w:tabs>
              <w:jc w:val="center"/>
            </w:pPr>
            <w:r w:rsidRPr="00D9348B">
              <w:t>–12.3</w:t>
            </w:r>
          </w:p>
        </w:tc>
        <w:tc>
          <w:tcPr>
            <w:tcW w:w="837" w:type="pct"/>
            <w:tcBorders>
              <w:top w:val="single" w:sz="4" w:space="0" w:color="365F91"/>
              <w:left w:val="nil"/>
              <w:bottom w:val="single" w:sz="4" w:space="0" w:color="365F91"/>
              <w:right w:val="nil"/>
            </w:tcBorders>
            <w:hideMark/>
          </w:tcPr>
          <w:p w14:paraId="35090787" w14:textId="77777777" w:rsidR="00524720" w:rsidRPr="00D9348B" w:rsidRDefault="00524720">
            <w:pPr>
              <w:pStyle w:val="TableText"/>
              <w:tabs>
                <w:tab w:val="decimal" w:pos="249"/>
                <w:tab w:val="decimal" w:pos="598"/>
              </w:tabs>
              <w:jc w:val="center"/>
            </w:pPr>
            <w:r w:rsidRPr="00D9348B">
              <w:t>–83.5</w:t>
            </w:r>
          </w:p>
        </w:tc>
      </w:tr>
      <w:tr w:rsidR="00524720" w:rsidRPr="00D9348B" w14:paraId="5504DCB2" w14:textId="77777777" w:rsidTr="006F3194">
        <w:tc>
          <w:tcPr>
            <w:tcW w:w="1749" w:type="pct"/>
            <w:tcBorders>
              <w:top w:val="single" w:sz="4" w:space="0" w:color="365F91"/>
              <w:left w:val="nil"/>
              <w:bottom w:val="single" w:sz="4" w:space="0" w:color="365F91"/>
              <w:right w:val="nil"/>
            </w:tcBorders>
            <w:hideMark/>
          </w:tcPr>
          <w:p w14:paraId="637874C9" w14:textId="77777777" w:rsidR="00524720" w:rsidRPr="00D9348B" w:rsidRDefault="00524720">
            <w:pPr>
              <w:pStyle w:val="TableText"/>
            </w:pPr>
            <w:r w:rsidRPr="00D9348B">
              <w:t>Open burning (5.C.2)</w:t>
            </w:r>
          </w:p>
        </w:tc>
        <w:tc>
          <w:tcPr>
            <w:tcW w:w="630" w:type="pct"/>
            <w:tcBorders>
              <w:top w:val="single" w:sz="4" w:space="0" w:color="365F91"/>
              <w:left w:val="nil"/>
              <w:bottom w:val="single" w:sz="4" w:space="0" w:color="365F91"/>
              <w:right w:val="nil"/>
            </w:tcBorders>
            <w:hideMark/>
          </w:tcPr>
          <w:p w14:paraId="1F252614" w14:textId="77777777" w:rsidR="00524720" w:rsidRPr="00D9348B" w:rsidRDefault="00524720">
            <w:pPr>
              <w:pStyle w:val="TableText"/>
              <w:tabs>
                <w:tab w:val="decimal" w:pos="329"/>
              </w:tabs>
              <w:jc w:val="center"/>
            </w:pPr>
            <w:r w:rsidRPr="00D9348B">
              <w:t>9.9</w:t>
            </w:r>
          </w:p>
        </w:tc>
        <w:tc>
          <w:tcPr>
            <w:tcW w:w="734" w:type="pct"/>
            <w:tcBorders>
              <w:top w:val="single" w:sz="4" w:space="0" w:color="365F91"/>
              <w:left w:val="nil"/>
              <w:bottom w:val="single" w:sz="4" w:space="0" w:color="365F91"/>
              <w:right w:val="nil"/>
            </w:tcBorders>
            <w:hideMark/>
          </w:tcPr>
          <w:p w14:paraId="6F3285AF" w14:textId="77777777" w:rsidR="00524720" w:rsidRPr="00D9348B" w:rsidRDefault="00524720">
            <w:pPr>
              <w:pStyle w:val="TableText"/>
              <w:tabs>
                <w:tab w:val="decimal" w:pos="249"/>
              </w:tabs>
              <w:jc w:val="center"/>
            </w:pPr>
            <w:r w:rsidRPr="00D9348B">
              <w:t>6.2</w:t>
            </w:r>
          </w:p>
        </w:tc>
        <w:tc>
          <w:tcPr>
            <w:tcW w:w="1051" w:type="pct"/>
            <w:tcBorders>
              <w:top w:val="single" w:sz="4" w:space="0" w:color="365F91"/>
              <w:left w:val="nil"/>
              <w:bottom w:val="single" w:sz="4" w:space="0" w:color="365F91"/>
              <w:right w:val="nil"/>
            </w:tcBorders>
            <w:hideMark/>
          </w:tcPr>
          <w:p w14:paraId="003F822A" w14:textId="77777777" w:rsidR="00524720" w:rsidRPr="00D9348B" w:rsidRDefault="00524720">
            <w:pPr>
              <w:pStyle w:val="TableText"/>
              <w:tabs>
                <w:tab w:val="decimal" w:pos="249"/>
                <w:tab w:val="decimal" w:pos="598"/>
              </w:tabs>
              <w:jc w:val="center"/>
            </w:pPr>
            <w:r w:rsidRPr="00D9348B">
              <w:t>–3.7</w:t>
            </w:r>
          </w:p>
        </w:tc>
        <w:tc>
          <w:tcPr>
            <w:tcW w:w="837" w:type="pct"/>
            <w:tcBorders>
              <w:top w:val="single" w:sz="4" w:space="0" w:color="365F91"/>
              <w:left w:val="nil"/>
              <w:bottom w:val="single" w:sz="4" w:space="0" w:color="365F91"/>
              <w:right w:val="nil"/>
            </w:tcBorders>
            <w:hideMark/>
          </w:tcPr>
          <w:p w14:paraId="1F7134D7" w14:textId="77777777" w:rsidR="00524720" w:rsidRPr="00D9348B" w:rsidRDefault="00524720">
            <w:pPr>
              <w:pStyle w:val="TableText"/>
              <w:tabs>
                <w:tab w:val="decimal" w:pos="249"/>
                <w:tab w:val="decimal" w:pos="598"/>
              </w:tabs>
              <w:jc w:val="center"/>
            </w:pPr>
            <w:r w:rsidRPr="00D9348B">
              <w:t>–37.4</w:t>
            </w:r>
          </w:p>
        </w:tc>
      </w:tr>
      <w:tr w:rsidR="00524720" w:rsidRPr="00D9348B" w14:paraId="663EE6DC" w14:textId="77777777" w:rsidTr="006F3194">
        <w:tc>
          <w:tcPr>
            <w:tcW w:w="1749" w:type="pct"/>
            <w:tcBorders>
              <w:top w:val="single" w:sz="4" w:space="0" w:color="365F91"/>
              <w:left w:val="nil"/>
              <w:bottom w:val="single" w:sz="4" w:space="0" w:color="365F91"/>
              <w:right w:val="nil"/>
            </w:tcBorders>
            <w:shd w:val="clear" w:color="auto" w:fill="FFFFFF"/>
            <w:hideMark/>
          </w:tcPr>
          <w:p w14:paraId="3693708E" w14:textId="77777777" w:rsidR="00524720" w:rsidRPr="00D9348B" w:rsidRDefault="00524720">
            <w:pPr>
              <w:pStyle w:val="Tableboldblue"/>
            </w:pPr>
            <w:r w:rsidRPr="00D9348B">
              <w:t>Total (5.C)</w:t>
            </w:r>
          </w:p>
        </w:tc>
        <w:tc>
          <w:tcPr>
            <w:tcW w:w="630" w:type="pct"/>
            <w:tcBorders>
              <w:top w:val="single" w:sz="4" w:space="0" w:color="365F91"/>
              <w:left w:val="nil"/>
              <w:bottom w:val="single" w:sz="4" w:space="0" w:color="365F91"/>
              <w:right w:val="nil"/>
            </w:tcBorders>
            <w:shd w:val="clear" w:color="auto" w:fill="FFFFFF"/>
            <w:hideMark/>
          </w:tcPr>
          <w:p w14:paraId="5151D3E6" w14:textId="77777777" w:rsidR="00524720" w:rsidRPr="00D9348B" w:rsidRDefault="00524720">
            <w:pPr>
              <w:pStyle w:val="Tableboldblue"/>
              <w:tabs>
                <w:tab w:val="decimal" w:pos="329"/>
              </w:tabs>
              <w:jc w:val="center"/>
            </w:pPr>
            <w:r w:rsidRPr="00D9348B">
              <w:t>24.6</w:t>
            </w:r>
          </w:p>
        </w:tc>
        <w:tc>
          <w:tcPr>
            <w:tcW w:w="734" w:type="pct"/>
            <w:tcBorders>
              <w:top w:val="single" w:sz="4" w:space="0" w:color="365F91"/>
              <w:left w:val="nil"/>
              <w:bottom w:val="single" w:sz="4" w:space="0" w:color="365F91"/>
              <w:right w:val="nil"/>
            </w:tcBorders>
            <w:shd w:val="clear" w:color="auto" w:fill="FFFFFF"/>
            <w:hideMark/>
          </w:tcPr>
          <w:p w14:paraId="4B3AF000" w14:textId="77777777" w:rsidR="00524720" w:rsidRPr="00D9348B" w:rsidRDefault="00524720">
            <w:pPr>
              <w:pStyle w:val="Tableboldblue"/>
              <w:tabs>
                <w:tab w:val="decimal" w:pos="249"/>
              </w:tabs>
              <w:jc w:val="center"/>
            </w:pPr>
            <w:r w:rsidRPr="00D9348B">
              <w:t>8.6</w:t>
            </w:r>
          </w:p>
        </w:tc>
        <w:tc>
          <w:tcPr>
            <w:tcW w:w="1051" w:type="pct"/>
            <w:tcBorders>
              <w:top w:val="single" w:sz="4" w:space="0" w:color="365F91"/>
              <w:left w:val="nil"/>
              <w:bottom w:val="single" w:sz="4" w:space="0" w:color="365F91"/>
              <w:right w:val="nil"/>
            </w:tcBorders>
            <w:shd w:val="clear" w:color="auto" w:fill="FFFFFF"/>
            <w:hideMark/>
          </w:tcPr>
          <w:p w14:paraId="2F161AD9" w14:textId="77777777" w:rsidR="00524720" w:rsidRPr="00D9348B" w:rsidRDefault="00524720">
            <w:pPr>
              <w:pStyle w:val="Tableboldblue"/>
              <w:tabs>
                <w:tab w:val="decimal" w:pos="249"/>
              </w:tabs>
              <w:jc w:val="center"/>
            </w:pPr>
            <w:r w:rsidRPr="00D9348B">
              <w:t>–16.0</w:t>
            </w:r>
          </w:p>
        </w:tc>
        <w:tc>
          <w:tcPr>
            <w:tcW w:w="837" w:type="pct"/>
            <w:tcBorders>
              <w:top w:val="single" w:sz="4" w:space="0" w:color="365F91"/>
              <w:left w:val="nil"/>
              <w:bottom w:val="single" w:sz="4" w:space="0" w:color="365F91"/>
              <w:right w:val="nil"/>
            </w:tcBorders>
            <w:shd w:val="clear" w:color="auto" w:fill="FFFFFF"/>
            <w:hideMark/>
          </w:tcPr>
          <w:p w14:paraId="7E10D16B" w14:textId="77777777" w:rsidR="00524720" w:rsidRPr="00D9348B" w:rsidRDefault="00524720">
            <w:pPr>
              <w:pStyle w:val="Tableboldblue"/>
              <w:tabs>
                <w:tab w:val="decimal" w:pos="249"/>
              </w:tabs>
              <w:jc w:val="center"/>
            </w:pPr>
            <w:r w:rsidRPr="00D9348B">
              <w:t>–65.0</w:t>
            </w:r>
          </w:p>
        </w:tc>
      </w:tr>
    </w:tbl>
    <w:p w14:paraId="162B82D5" w14:textId="77777777" w:rsidR="00524720" w:rsidRPr="00D9348B" w:rsidRDefault="00524720" w:rsidP="00524720">
      <w:pPr>
        <w:pStyle w:val="Noteundertable"/>
      </w:pPr>
      <w:r w:rsidRPr="00D9348B">
        <w:rPr>
          <w:b/>
        </w:rPr>
        <w:t>Note:</w:t>
      </w:r>
      <w:r w:rsidRPr="00D9348B">
        <w:tab/>
        <w:t>Percentages presented are calculated from unrounded values.</w:t>
      </w:r>
    </w:p>
    <w:p w14:paraId="1E46D0FD" w14:textId="77777777" w:rsidR="00524720" w:rsidRPr="00D9348B" w:rsidRDefault="00524720" w:rsidP="00524720">
      <w:pPr>
        <w:pStyle w:val="Heading3"/>
      </w:pPr>
      <w:bookmarkStart w:id="2779" w:name="_Toc32828345"/>
      <w:r w:rsidRPr="00D9348B">
        <w:t>7.4.2</w:t>
      </w:r>
      <w:r w:rsidRPr="00D9348B">
        <w:tab/>
        <w:t>Methodological issues</w:t>
      </w:r>
      <w:bookmarkEnd w:id="2779"/>
    </w:p>
    <w:p w14:paraId="1DCC48D0" w14:textId="77777777" w:rsidR="00524720" w:rsidRPr="00D9348B" w:rsidRDefault="00524720" w:rsidP="006F3194">
      <w:pPr>
        <w:pStyle w:val="Heading4"/>
        <w:spacing w:before="160"/>
      </w:pPr>
      <w:r w:rsidRPr="00D9348B">
        <w:t>Choice of activity data</w:t>
      </w:r>
    </w:p>
    <w:p w14:paraId="4112114E" w14:textId="77777777" w:rsidR="00524720" w:rsidRPr="00D9348B" w:rsidRDefault="00524720" w:rsidP="00524720">
      <w:pPr>
        <w:pStyle w:val="Heading5"/>
        <w:spacing w:before="120"/>
      </w:pPr>
      <w:r w:rsidRPr="00D9348B">
        <w:t>Incineration (5.C.1)</w:t>
      </w:r>
    </w:p>
    <w:p w14:paraId="6D2EAA96" w14:textId="77777777" w:rsidR="00524720" w:rsidRPr="00D9348B" w:rsidRDefault="00524720" w:rsidP="00524720">
      <w:pPr>
        <w:pStyle w:val="BodyText"/>
        <w:rPr>
          <w:rFonts w:eastAsia="+mn-ea"/>
        </w:rPr>
      </w:pPr>
      <w:r w:rsidRPr="00D9348B">
        <w:rPr>
          <w:rFonts w:eastAsia="+mn-ea"/>
        </w:rPr>
        <w:t xml:space="preserve">Limited information was available from individual site operators on the amount of waste burned between 1990 and 2007. For most sites, these activity data needed to be inferred </w:t>
      </w:r>
      <w:r w:rsidRPr="00D9348B">
        <w:rPr>
          <w:rFonts w:eastAsia="+mn-ea"/>
        </w:rPr>
        <w:lastRenderedPageBreak/>
        <w:t>because the only evidence available was the capacity of equipment and the amounts allowed by consent conditions. For the years after 2007, it has generally been assumed that facilities are continuing in operation at the same rates, in the absence of better information.</w:t>
      </w:r>
    </w:p>
    <w:p w14:paraId="325320BF" w14:textId="77777777" w:rsidR="00524720" w:rsidRPr="00D9348B" w:rsidRDefault="00524720" w:rsidP="00524720">
      <w:pPr>
        <w:pStyle w:val="BodyText"/>
        <w:rPr>
          <w:rFonts w:eastAsia="+mn-ea"/>
        </w:rPr>
      </w:pPr>
      <w:r w:rsidRPr="00D9348B">
        <w:rPr>
          <w:rFonts w:eastAsia="+mn-ea"/>
        </w:rPr>
        <w:t>Table 7.4.2 presents activity data for incineration.</w:t>
      </w:r>
    </w:p>
    <w:p w14:paraId="3A1C1ABA" w14:textId="77777777" w:rsidR="00524720" w:rsidRPr="00D9348B" w:rsidRDefault="00524720" w:rsidP="00524720">
      <w:pPr>
        <w:pStyle w:val="Table"/>
      </w:pPr>
      <w:bookmarkStart w:id="2780" w:name="_Toc5269573"/>
      <w:bookmarkStart w:id="2781" w:name="_Toc32828531"/>
      <w:bookmarkStart w:id="2782" w:name="_Toc32591361"/>
      <w:bookmarkStart w:id="2783" w:name="_Toc36224654"/>
      <w:r w:rsidRPr="00D9348B">
        <w:t xml:space="preserve">Table 7.4.2 </w:t>
      </w:r>
      <w:r w:rsidRPr="00D9348B">
        <w:tab/>
        <w:t>Amounts of waste incinerated 1990 to </w:t>
      </w:r>
      <w:bookmarkEnd w:id="2780"/>
      <w:r w:rsidRPr="00D9348B">
        <w:t>2018</w:t>
      </w:r>
      <w:bookmarkEnd w:id="2781"/>
      <w:bookmarkEnd w:id="2782"/>
      <w:bookmarkEnd w:id="2783"/>
    </w:p>
    <w:tbl>
      <w:tblPr>
        <w:tblW w:w="8505" w:type="dxa"/>
        <w:tblInd w:w="91" w:type="dxa"/>
        <w:tblLook w:val="04A0" w:firstRow="1" w:lastRow="0" w:firstColumn="1" w:lastColumn="0" w:noHBand="0" w:noVBand="1"/>
      </w:tblPr>
      <w:tblGrid>
        <w:gridCol w:w="1079"/>
        <w:gridCol w:w="1632"/>
        <w:gridCol w:w="1842"/>
        <w:gridCol w:w="1843"/>
        <w:gridCol w:w="2109"/>
      </w:tblGrid>
      <w:tr w:rsidR="00524720" w:rsidRPr="00D9348B" w14:paraId="1DD1A200" w14:textId="77777777" w:rsidTr="006F3194">
        <w:trPr>
          <w:tblHeader/>
        </w:trPr>
        <w:tc>
          <w:tcPr>
            <w:tcW w:w="1079" w:type="dxa"/>
            <w:tcBorders>
              <w:top w:val="single" w:sz="4" w:space="0" w:color="365F91"/>
              <w:left w:val="nil"/>
              <w:bottom w:val="single" w:sz="4" w:space="0" w:color="365F91"/>
              <w:right w:val="nil"/>
            </w:tcBorders>
            <w:shd w:val="clear" w:color="auto" w:fill="365F91"/>
            <w:vAlign w:val="bottom"/>
            <w:hideMark/>
          </w:tcPr>
          <w:p w14:paraId="633A1527" w14:textId="77777777" w:rsidR="00524720" w:rsidRPr="00D9348B" w:rsidRDefault="00524720">
            <w:pPr>
              <w:pStyle w:val="TableTextBold"/>
              <w:spacing w:before="40" w:after="40"/>
              <w:rPr>
                <w:noProof w:val="0"/>
                <w:color w:val="FFFFFF"/>
              </w:rPr>
            </w:pPr>
            <w:r w:rsidRPr="00D9348B">
              <w:rPr>
                <w:noProof w:val="0"/>
                <w:color w:val="FFFFFF"/>
              </w:rPr>
              <w:t>Year</w:t>
            </w:r>
          </w:p>
        </w:tc>
        <w:tc>
          <w:tcPr>
            <w:tcW w:w="1632" w:type="dxa"/>
            <w:tcBorders>
              <w:top w:val="single" w:sz="4" w:space="0" w:color="365F91"/>
              <w:left w:val="nil"/>
              <w:bottom w:val="single" w:sz="4" w:space="0" w:color="365F91"/>
              <w:right w:val="nil"/>
            </w:tcBorders>
            <w:shd w:val="clear" w:color="auto" w:fill="365F91"/>
            <w:vAlign w:val="bottom"/>
            <w:hideMark/>
          </w:tcPr>
          <w:p w14:paraId="464A733A" w14:textId="77777777" w:rsidR="00524720" w:rsidRPr="00D9348B" w:rsidRDefault="00524720">
            <w:pPr>
              <w:pStyle w:val="TableTextBold"/>
              <w:spacing w:before="40" w:after="40"/>
              <w:jc w:val="center"/>
              <w:rPr>
                <w:noProof w:val="0"/>
                <w:color w:val="FFFFFF"/>
              </w:rPr>
            </w:pPr>
            <w:r w:rsidRPr="00D9348B">
              <w:rPr>
                <w:noProof w:val="0"/>
                <w:color w:val="FFFFFF"/>
              </w:rPr>
              <w:t>Clinical wastes (kt)</w:t>
            </w:r>
          </w:p>
        </w:tc>
        <w:tc>
          <w:tcPr>
            <w:tcW w:w="1842" w:type="dxa"/>
            <w:tcBorders>
              <w:top w:val="single" w:sz="4" w:space="0" w:color="365F91"/>
              <w:left w:val="nil"/>
              <w:bottom w:val="single" w:sz="4" w:space="0" w:color="365F91"/>
              <w:right w:val="nil"/>
            </w:tcBorders>
            <w:shd w:val="clear" w:color="auto" w:fill="365F91"/>
            <w:vAlign w:val="bottom"/>
            <w:hideMark/>
          </w:tcPr>
          <w:p w14:paraId="31334DCA" w14:textId="77777777" w:rsidR="00524720" w:rsidRPr="00D9348B" w:rsidRDefault="00524720">
            <w:pPr>
              <w:pStyle w:val="TableTextBold"/>
              <w:spacing w:before="40" w:after="40"/>
              <w:jc w:val="center"/>
              <w:rPr>
                <w:noProof w:val="0"/>
                <w:color w:val="FFFFFF"/>
              </w:rPr>
            </w:pPr>
            <w:r w:rsidRPr="00D9348B">
              <w:rPr>
                <w:noProof w:val="0"/>
                <w:color w:val="FFFFFF"/>
              </w:rPr>
              <w:t>Hazardous wastes (kt)</w:t>
            </w:r>
          </w:p>
        </w:tc>
        <w:tc>
          <w:tcPr>
            <w:tcW w:w="1843" w:type="dxa"/>
            <w:tcBorders>
              <w:top w:val="single" w:sz="4" w:space="0" w:color="365F91"/>
              <w:left w:val="nil"/>
              <w:bottom w:val="single" w:sz="4" w:space="0" w:color="365F91"/>
              <w:right w:val="nil"/>
            </w:tcBorders>
            <w:shd w:val="clear" w:color="auto" w:fill="365F91"/>
            <w:vAlign w:val="bottom"/>
            <w:hideMark/>
          </w:tcPr>
          <w:p w14:paraId="183C106F" w14:textId="77777777" w:rsidR="00524720" w:rsidRPr="00D9348B" w:rsidRDefault="00524720">
            <w:pPr>
              <w:pStyle w:val="TableTextBold"/>
              <w:spacing w:before="40" w:after="40"/>
              <w:jc w:val="center"/>
              <w:rPr>
                <w:noProof w:val="0"/>
                <w:color w:val="FFFFFF"/>
              </w:rPr>
            </w:pPr>
            <w:r w:rsidRPr="00D9348B">
              <w:rPr>
                <w:noProof w:val="0"/>
                <w:color w:val="FFFFFF"/>
              </w:rPr>
              <w:t>Sewage sludge (kt)</w:t>
            </w:r>
          </w:p>
        </w:tc>
        <w:tc>
          <w:tcPr>
            <w:tcW w:w="2109" w:type="dxa"/>
            <w:tcBorders>
              <w:top w:val="single" w:sz="4" w:space="0" w:color="365F91"/>
              <w:left w:val="nil"/>
              <w:bottom w:val="single" w:sz="4" w:space="0" w:color="365F91"/>
              <w:right w:val="nil"/>
            </w:tcBorders>
            <w:shd w:val="clear" w:color="auto" w:fill="365F91"/>
            <w:vAlign w:val="bottom"/>
            <w:hideMark/>
          </w:tcPr>
          <w:p w14:paraId="534F21D4" w14:textId="77777777" w:rsidR="00524720" w:rsidRPr="00D9348B" w:rsidRDefault="00524720">
            <w:pPr>
              <w:pStyle w:val="TableTextBold"/>
              <w:spacing w:before="40" w:after="40"/>
              <w:jc w:val="center"/>
              <w:rPr>
                <w:noProof w:val="0"/>
                <w:color w:val="FFFFFF"/>
              </w:rPr>
            </w:pPr>
            <w:r w:rsidRPr="00D9348B">
              <w:rPr>
                <w:noProof w:val="0"/>
                <w:color w:val="FFFFFF"/>
              </w:rPr>
              <w:t>Total waste incinerated (kt)</w:t>
            </w:r>
          </w:p>
        </w:tc>
      </w:tr>
      <w:tr w:rsidR="00524720" w:rsidRPr="00D9348B" w14:paraId="4D5C9D2B" w14:textId="77777777" w:rsidTr="006F3194">
        <w:tc>
          <w:tcPr>
            <w:tcW w:w="1079" w:type="dxa"/>
            <w:tcBorders>
              <w:top w:val="single" w:sz="4" w:space="0" w:color="365F91"/>
              <w:left w:val="nil"/>
              <w:bottom w:val="single" w:sz="4" w:space="0" w:color="365F91"/>
              <w:right w:val="nil"/>
            </w:tcBorders>
            <w:hideMark/>
          </w:tcPr>
          <w:p w14:paraId="0E40A7A1" w14:textId="77777777" w:rsidR="00524720" w:rsidRPr="00D9348B" w:rsidRDefault="00524720">
            <w:pPr>
              <w:pStyle w:val="TableTextBold"/>
              <w:spacing w:before="40" w:after="40"/>
              <w:rPr>
                <w:noProof w:val="0"/>
              </w:rPr>
            </w:pPr>
            <w:r w:rsidRPr="00D9348B">
              <w:rPr>
                <w:noProof w:val="0"/>
              </w:rPr>
              <w:t>1990</w:t>
            </w:r>
          </w:p>
        </w:tc>
        <w:tc>
          <w:tcPr>
            <w:tcW w:w="1632" w:type="dxa"/>
            <w:tcBorders>
              <w:top w:val="single" w:sz="4" w:space="0" w:color="365F91"/>
              <w:left w:val="nil"/>
              <w:bottom w:val="single" w:sz="4" w:space="0" w:color="365F91"/>
              <w:right w:val="nil"/>
            </w:tcBorders>
            <w:hideMark/>
          </w:tcPr>
          <w:p w14:paraId="616B85DB" w14:textId="77777777" w:rsidR="00524720" w:rsidRPr="00D9348B" w:rsidRDefault="00524720">
            <w:pPr>
              <w:pStyle w:val="TableText"/>
              <w:spacing w:before="40" w:after="40"/>
              <w:jc w:val="center"/>
              <w:rPr>
                <w:rFonts w:cs="Arial"/>
                <w:szCs w:val="16"/>
              </w:rPr>
            </w:pPr>
            <w:r w:rsidRPr="00D9348B">
              <w:t>21.5</w:t>
            </w:r>
          </w:p>
        </w:tc>
        <w:tc>
          <w:tcPr>
            <w:tcW w:w="1842" w:type="dxa"/>
            <w:tcBorders>
              <w:top w:val="single" w:sz="4" w:space="0" w:color="365F91"/>
              <w:left w:val="nil"/>
              <w:bottom w:val="single" w:sz="4" w:space="0" w:color="365F91"/>
              <w:right w:val="nil"/>
            </w:tcBorders>
            <w:hideMark/>
          </w:tcPr>
          <w:p w14:paraId="74FB0F80" w14:textId="77777777" w:rsidR="00524720" w:rsidRPr="00D9348B" w:rsidRDefault="00524720">
            <w:pPr>
              <w:pStyle w:val="TableText"/>
              <w:spacing w:before="40" w:after="40"/>
              <w:jc w:val="center"/>
              <w:rPr>
                <w:rFonts w:cs="Arial"/>
                <w:szCs w:val="16"/>
              </w:rPr>
            </w:pPr>
            <w:r w:rsidRPr="00D9348B">
              <w:t>0.3</w:t>
            </w:r>
          </w:p>
        </w:tc>
        <w:tc>
          <w:tcPr>
            <w:tcW w:w="1843" w:type="dxa"/>
            <w:tcBorders>
              <w:top w:val="single" w:sz="4" w:space="0" w:color="365F91"/>
              <w:left w:val="nil"/>
              <w:bottom w:val="single" w:sz="4" w:space="0" w:color="365F91"/>
              <w:right w:val="nil"/>
            </w:tcBorders>
            <w:hideMark/>
          </w:tcPr>
          <w:p w14:paraId="5E8EA5BF" w14:textId="77777777" w:rsidR="00524720" w:rsidRPr="00D9348B" w:rsidRDefault="00524720">
            <w:pPr>
              <w:pStyle w:val="TableText"/>
              <w:spacing w:before="40" w:after="40"/>
              <w:jc w:val="center"/>
              <w:rPr>
                <w:rFonts w:cs="Arial"/>
                <w:szCs w:val="16"/>
              </w:rPr>
            </w:pPr>
            <w:r w:rsidRPr="00D9348B">
              <w:t>4.4</w:t>
            </w:r>
          </w:p>
        </w:tc>
        <w:tc>
          <w:tcPr>
            <w:tcW w:w="2109" w:type="dxa"/>
            <w:tcBorders>
              <w:top w:val="single" w:sz="4" w:space="0" w:color="365F91"/>
              <w:left w:val="nil"/>
              <w:bottom w:val="single" w:sz="4" w:space="0" w:color="365F91"/>
              <w:right w:val="nil"/>
            </w:tcBorders>
            <w:hideMark/>
          </w:tcPr>
          <w:p w14:paraId="21798128" w14:textId="77777777" w:rsidR="00524720" w:rsidRPr="00D9348B" w:rsidRDefault="00524720">
            <w:pPr>
              <w:pStyle w:val="TableText"/>
              <w:spacing w:before="40" w:after="40"/>
              <w:jc w:val="center"/>
              <w:rPr>
                <w:rFonts w:cs="Arial"/>
                <w:szCs w:val="16"/>
              </w:rPr>
            </w:pPr>
            <w:r w:rsidRPr="00D9348B">
              <w:t>26.2</w:t>
            </w:r>
          </w:p>
        </w:tc>
      </w:tr>
      <w:tr w:rsidR="00524720" w:rsidRPr="00D9348B" w14:paraId="37031D1D" w14:textId="77777777" w:rsidTr="006F3194">
        <w:tc>
          <w:tcPr>
            <w:tcW w:w="1079" w:type="dxa"/>
            <w:tcBorders>
              <w:top w:val="single" w:sz="4" w:space="0" w:color="365F91"/>
              <w:left w:val="nil"/>
              <w:bottom w:val="single" w:sz="4" w:space="0" w:color="365F91"/>
              <w:right w:val="nil"/>
            </w:tcBorders>
            <w:hideMark/>
          </w:tcPr>
          <w:p w14:paraId="750658F4" w14:textId="77777777" w:rsidR="00524720" w:rsidRPr="00D9348B" w:rsidRDefault="00524720">
            <w:pPr>
              <w:pStyle w:val="TableTextBold"/>
              <w:spacing w:before="40" w:after="40"/>
              <w:rPr>
                <w:noProof w:val="0"/>
              </w:rPr>
            </w:pPr>
            <w:r w:rsidRPr="00D9348B">
              <w:rPr>
                <w:noProof w:val="0"/>
              </w:rPr>
              <w:t>1991</w:t>
            </w:r>
          </w:p>
        </w:tc>
        <w:tc>
          <w:tcPr>
            <w:tcW w:w="1632" w:type="dxa"/>
            <w:tcBorders>
              <w:top w:val="single" w:sz="4" w:space="0" w:color="365F91"/>
              <w:left w:val="nil"/>
              <w:bottom w:val="single" w:sz="4" w:space="0" w:color="365F91"/>
              <w:right w:val="nil"/>
            </w:tcBorders>
            <w:hideMark/>
          </w:tcPr>
          <w:p w14:paraId="0F8F7CC8" w14:textId="77777777" w:rsidR="00524720" w:rsidRPr="00D9348B" w:rsidRDefault="00524720">
            <w:pPr>
              <w:pStyle w:val="TableText"/>
              <w:spacing w:before="40" w:after="40"/>
              <w:jc w:val="center"/>
              <w:rPr>
                <w:rFonts w:cs="Arial"/>
                <w:szCs w:val="16"/>
              </w:rPr>
            </w:pPr>
            <w:r w:rsidRPr="00D9348B">
              <w:t>21.5</w:t>
            </w:r>
          </w:p>
        </w:tc>
        <w:tc>
          <w:tcPr>
            <w:tcW w:w="1842" w:type="dxa"/>
            <w:tcBorders>
              <w:top w:val="single" w:sz="4" w:space="0" w:color="365F91"/>
              <w:left w:val="nil"/>
              <w:bottom w:val="single" w:sz="4" w:space="0" w:color="365F91"/>
              <w:right w:val="nil"/>
            </w:tcBorders>
            <w:hideMark/>
          </w:tcPr>
          <w:p w14:paraId="0EB2CD1E" w14:textId="77777777" w:rsidR="00524720" w:rsidRPr="00D9348B" w:rsidRDefault="00524720">
            <w:pPr>
              <w:pStyle w:val="TableText"/>
              <w:spacing w:before="40" w:after="40"/>
              <w:jc w:val="center"/>
              <w:rPr>
                <w:rFonts w:cs="Arial"/>
                <w:szCs w:val="16"/>
              </w:rPr>
            </w:pPr>
            <w:r w:rsidRPr="00D9348B">
              <w:t>0.3</w:t>
            </w:r>
          </w:p>
        </w:tc>
        <w:tc>
          <w:tcPr>
            <w:tcW w:w="1843" w:type="dxa"/>
            <w:tcBorders>
              <w:top w:val="single" w:sz="4" w:space="0" w:color="365F91"/>
              <w:left w:val="nil"/>
              <w:bottom w:val="single" w:sz="4" w:space="0" w:color="365F91"/>
              <w:right w:val="nil"/>
            </w:tcBorders>
            <w:hideMark/>
          </w:tcPr>
          <w:p w14:paraId="7C739DCF" w14:textId="77777777" w:rsidR="00524720" w:rsidRPr="00D9348B" w:rsidRDefault="00524720">
            <w:pPr>
              <w:pStyle w:val="TableText"/>
              <w:spacing w:before="40" w:after="40"/>
              <w:jc w:val="center"/>
              <w:rPr>
                <w:rFonts w:cs="Arial"/>
                <w:szCs w:val="16"/>
              </w:rPr>
            </w:pPr>
            <w:r w:rsidRPr="00D9348B">
              <w:t>4.4</w:t>
            </w:r>
          </w:p>
        </w:tc>
        <w:tc>
          <w:tcPr>
            <w:tcW w:w="2109" w:type="dxa"/>
            <w:tcBorders>
              <w:top w:val="single" w:sz="4" w:space="0" w:color="365F91"/>
              <w:left w:val="nil"/>
              <w:bottom w:val="single" w:sz="4" w:space="0" w:color="365F91"/>
              <w:right w:val="nil"/>
            </w:tcBorders>
            <w:hideMark/>
          </w:tcPr>
          <w:p w14:paraId="7A7A0AF4" w14:textId="77777777" w:rsidR="00524720" w:rsidRPr="00D9348B" w:rsidRDefault="00524720">
            <w:pPr>
              <w:pStyle w:val="TableText"/>
              <w:spacing w:before="40" w:after="40"/>
              <w:jc w:val="center"/>
              <w:rPr>
                <w:rFonts w:cs="Arial"/>
                <w:szCs w:val="16"/>
              </w:rPr>
            </w:pPr>
            <w:r w:rsidRPr="00D9348B">
              <w:t>26.2</w:t>
            </w:r>
          </w:p>
        </w:tc>
      </w:tr>
      <w:tr w:rsidR="00524720" w:rsidRPr="00D9348B" w14:paraId="098F1575" w14:textId="77777777" w:rsidTr="006F3194">
        <w:tc>
          <w:tcPr>
            <w:tcW w:w="1079" w:type="dxa"/>
            <w:tcBorders>
              <w:top w:val="single" w:sz="4" w:space="0" w:color="365F91"/>
              <w:left w:val="nil"/>
              <w:bottom w:val="single" w:sz="4" w:space="0" w:color="365F91"/>
              <w:right w:val="nil"/>
            </w:tcBorders>
            <w:hideMark/>
          </w:tcPr>
          <w:p w14:paraId="0D80BFB9" w14:textId="77777777" w:rsidR="00524720" w:rsidRPr="00D9348B" w:rsidRDefault="00524720">
            <w:pPr>
              <w:pStyle w:val="TableTextBold"/>
              <w:spacing w:before="40" w:after="40"/>
              <w:rPr>
                <w:noProof w:val="0"/>
              </w:rPr>
            </w:pPr>
            <w:r w:rsidRPr="00D9348B">
              <w:rPr>
                <w:noProof w:val="0"/>
              </w:rPr>
              <w:t>1992</w:t>
            </w:r>
          </w:p>
        </w:tc>
        <w:tc>
          <w:tcPr>
            <w:tcW w:w="1632" w:type="dxa"/>
            <w:tcBorders>
              <w:top w:val="single" w:sz="4" w:space="0" w:color="365F91"/>
              <w:left w:val="nil"/>
              <w:bottom w:val="single" w:sz="4" w:space="0" w:color="365F91"/>
              <w:right w:val="nil"/>
            </w:tcBorders>
            <w:hideMark/>
          </w:tcPr>
          <w:p w14:paraId="1F47DC0C" w14:textId="77777777" w:rsidR="00524720" w:rsidRPr="00D9348B" w:rsidRDefault="00524720">
            <w:pPr>
              <w:pStyle w:val="TableText"/>
              <w:spacing w:before="40" w:after="40"/>
              <w:jc w:val="center"/>
              <w:rPr>
                <w:rFonts w:cs="Arial"/>
                <w:szCs w:val="16"/>
              </w:rPr>
            </w:pPr>
            <w:r w:rsidRPr="00D9348B">
              <w:t>21.5</w:t>
            </w:r>
          </w:p>
        </w:tc>
        <w:tc>
          <w:tcPr>
            <w:tcW w:w="1842" w:type="dxa"/>
            <w:tcBorders>
              <w:top w:val="single" w:sz="4" w:space="0" w:color="365F91"/>
              <w:left w:val="nil"/>
              <w:bottom w:val="single" w:sz="4" w:space="0" w:color="365F91"/>
              <w:right w:val="nil"/>
            </w:tcBorders>
            <w:hideMark/>
          </w:tcPr>
          <w:p w14:paraId="22D188E9" w14:textId="77777777" w:rsidR="00524720" w:rsidRPr="00D9348B" w:rsidRDefault="00524720">
            <w:pPr>
              <w:pStyle w:val="TableText"/>
              <w:spacing w:before="40" w:after="40"/>
              <w:jc w:val="center"/>
              <w:rPr>
                <w:rFonts w:cs="Arial"/>
                <w:szCs w:val="16"/>
              </w:rPr>
            </w:pPr>
            <w:r w:rsidRPr="00D9348B">
              <w:t>0.3</w:t>
            </w:r>
          </w:p>
        </w:tc>
        <w:tc>
          <w:tcPr>
            <w:tcW w:w="1843" w:type="dxa"/>
            <w:tcBorders>
              <w:top w:val="single" w:sz="4" w:space="0" w:color="365F91"/>
              <w:left w:val="nil"/>
              <w:bottom w:val="single" w:sz="4" w:space="0" w:color="365F91"/>
              <w:right w:val="nil"/>
            </w:tcBorders>
            <w:hideMark/>
          </w:tcPr>
          <w:p w14:paraId="5B7E103C" w14:textId="77777777" w:rsidR="00524720" w:rsidRPr="00D9348B" w:rsidRDefault="00524720">
            <w:pPr>
              <w:pStyle w:val="TableText"/>
              <w:spacing w:before="40" w:after="40"/>
              <w:jc w:val="center"/>
              <w:rPr>
                <w:rFonts w:cs="Arial"/>
                <w:szCs w:val="16"/>
              </w:rPr>
            </w:pPr>
            <w:r w:rsidRPr="00D9348B">
              <w:t>4.4</w:t>
            </w:r>
          </w:p>
        </w:tc>
        <w:tc>
          <w:tcPr>
            <w:tcW w:w="2109" w:type="dxa"/>
            <w:tcBorders>
              <w:top w:val="single" w:sz="4" w:space="0" w:color="365F91"/>
              <w:left w:val="nil"/>
              <w:bottom w:val="single" w:sz="4" w:space="0" w:color="365F91"/>
              <w:right w:val="nil"/>
            </w:tcBorders>
            <w:hideMark/>
          </w:tcPr>
          <w:p w14:paraId="0E41B37A" w14:textId="77777777" w:rsidR="00524720" w:rsidRPr="00D9348B" w:rsidRDefault="00524720">
            <w:pPr>
              <w:pStyle w:val="TableText"/>
              <w:spacing w:before="40" w:after="40"/>
              <w:jc w:val="center"/>
              <w:rPr>
                <w:rFonts w:cs="Arial"/>
                <w:szCs w:val="16"/>
              </w:rPr>
            </w:pPr>
            <w:r w:rsidRPr="00D9348B">
              <w:t>26.2</w:t>
            </w:r>
          </w:p>
        </w:tc>
      </w:tr>
      <w:tr w:rsidR="00524720" w:rsidRPr="00D9348B" w14:paraId="083AF4A2" w14:textId="77777777" w:rsidTr="006F3194">
        <w:tc>
          <w:tcPr>
            <w:tcW w:w="1079" w:type="dxa"/>
            <w:tcBorders>
              <w:top w:val="single" w:sz="4" w:space="0" w:color="365F91"/>
              <w:left w:val="nil"/>
              <w:bottom w:val="single" w:sz="4" w:space="0" w:color="365F91"/>
              <w:right w:val="nil"/>
            </w:tcBorders>
            <w:hideMark/>
          </w:tcPr>
          <w:p w14:paraId="5136DD94" w14:textId="77777777" w:rsidR="00524720" w:rsidRPr="00D9348B" w:rsidRDefault="00524720">
            <w:pPr>
              <w:pStyle w:val="TableTextBold"/>
              <w:spacing w:before="40" w:after="40"/>
              <w:rPr>
                <w:noProof w:val="0"/>
              </w:rPr>
            </w:pPr>
            <w:r w:rsidRPr="00D9348B">
              <w:rPr>
                <w:noProof w:val="0"/>
              </w:rPr>
              <w:t>1993</w:t>
            </w:r>
          </w:p>
        </w:tc>
        <w:tc>
          <w:tcPr>
            <w:tcW w:w="1632" w:type="dxa"/>
            <w:tcBorders>
              <w:top w:val="single" w:sz="4" w:space="0" w:color="365F91"/>
              <w:left w:val="nil"/>
              <w:bottom w:val="single" w:sz="4" w:space="0" w:color="365F91"/>
              <w:right w:val="nil"/>
            </w:tcBorders>
            <w:hideMark/>
          </w:tcPr>
          <w:p w14:paraId="40DF59D2" w14:textId="77777777" w:rsidR="00524720" w:rsidRPr="00D9348B" w:rsidRDefault="00524720">
            <w:pPr>
              <w:pStyle w:val="TableText"/>
              <w:spacing w:before="40" w:after="40"/>
              <w:jc w:val="center"/>
            </w:pPr>
            <w:r w:rsidRPr="00D9348B">
              <w:t>21.3</w:t>
            </w:r>
          </w:p>
        </w:tc>
        <w:tc>
          <w:tcPr>
            <w:tcW w:w="1842" w:type="dxa"/>
            <w:tcBorders>
              <w:top w:val="single" w:sz="4" w:space="0" w:color="365F91"/>
              <w:left w:val="nil"/>
              <w:bottom w:val="single" w:sz="4" w:space="0" w:color="365F91"/>
              <w:right w:val="nil"/>
            </w:tcBorders>
            <w:hideMark/>
          </w:tcPr>
          <w:p w14:paraId="5385AC13" w14:textId="77777777" w:rsidR="00524720" w:rsidRPr="00D9348B" w:rsidRDefault="00524720">
            <w:pPr>
              <w:pStyle w:val="TableText"/>
              <w:spacing w:before="40" w:after="40"/>
              <w:jc w:val="center"/>
            </w:pPr>
            <w:r w:rsidRPr="00D9348B">
              <w:t>0.3</w:t>
            </w:r>
          </w:p>
        </w:tc>
        <w:tc>
          <w:tcPr>
            <w:tcW w:w="1843" w:type="dxa"/>
            <w:tcBorders>
              <w:top w:val="single" w:sz="4" w:space="0" w:color="365F91"/>
              <w:left w:val="nil"/>
              <w:bottom w:val="single" w:sz="4" w:space="0" w:color="365F91"/>
              <w:right w:val="nil"/>
            </w:tcBorders>
            <w:hideMark/>
          </w:tcPr>
          <w:p w14:paraId="4A272620" w14:textId="77777777" w:rsidR="00524720" w:rsidRPr="00D9348B" w:rsidRDefault="00524720">
            <w:pPr>
              <w:pStyle w:val="TableText"/>
              <w:spacing w:before="40" w:after="40"/>
              <w:jc w:val="center"/>
            </w:pPr>
            <w:r w:rsidRPr="00D9348B">
              <w:t>4.4</w:t>
            </w:r>
          </w:p>
        </w:tc>
        <w:tc>
          <w:tcPr>
            <w:tcW w:w="2109" w:type="dxa"/>
            <w:tcBorders>
              <w:top w:val="single" w:sz="4" w:space="0" w:color="365F91"/>
              <w:left w:val="nil"/>
              <w:bottom w:val="single" w:sz="4" w:space="0" w:color="365F91"/>
              <w:right w:val="nil"/>
            </w:tcBorders>
            <w:hideMark/>
          </w:tcPr>
          <w:p w14:paraId="5AEE6F91" w14:textId="77777777" w:rsidR="00524720" w:rsidRPr="00D9348B" w:rsidRDefault="00524720">
            <w:pPr>
              <w:pStyle w:val="TableText"/>
              <w:spacing w:before="40" w:after="40"/>
              <w:jc w:val="center"/>
            </w:pPr>
            <w:r w:rsidRPr="00D9348B">
              <w:t>26.0</w:t>
            </w:r>
          </w:p>
        </w:tc>
      </w:tr>
      <w:tr w:rsidR="00524720" w:rsidRPr="00D9348B" w14:paraId="5EB8A90E" w14:textId="77777777" w:rsidTr="006F3194">
        <w:tc>
          <w:tcPr>
            <w:tcW w:w="1079" w:type="dxa"/>
            <w:tcBorders>
              <w:top w:val="single" w:sz="4" w:space="0" w:color="365F91"/>
              <w:left w:val="nil"/>
              <w:bottom w:val="single" w:sz="4" w:space="0" w:color="365F91"/>
              <w:right w:val="nil"/>
            </w:tcBorders>
            <w:hideMark/>
          </w:tcPr>
          <w:p w14:paraId="58C78DFE" w14:textId="77777777" w:rsidR="00524720" w:rsidRPr="00D9348B" w:rsidRDefault="00524720">
            <w:pPr>
              <w:pStyle w:val="TableTextBold"/>
              <w:spacing w:before="40" w:after="40"/>
              <w:rPr>
                <w:noProof w:val="0"/>
              </w:rPr>
            </w:pPr>
            <w:r w:rsidRPr="00D9348B">
              <w:rPr>
                <w:noProof w:val="0"/>
              </w:rPr>
              <w:t>1994</w:t>
            </w:r>
          </w:p>
        </w:tc>
        <w:tc>
          <w:tcPr>
            <w:tcW w:w="1632" w:type="dxa"/>
            <w:tcBorders>
              <w:top w:val="single" w:sz="4" w:space="0" w:color="365F91"/>
              <w:left w:val="nil"/>
              <w:bottom w:val="single" w:sz="4" w:space="0" w:color="365F91"/>
              <w:right w:val="nil"/>
            </w:tcBorders>
            <w:hideMark/>
          </w:tcPr>
          <w:p w14:paraId="7A9F2A61" w14:textId="77777777" w:rsidR="00524720" w:rsidRPr="00D9348B" w:rsidRDefault="00524720">
            <w:pPr>
              <w:pStyle w:val="TableText"/>
              <w:spacing w:before="40" w:after="40"/>
              <w:jc w:val="center"/>
            </w:pPr>
            <w:r w:rsidRPr="00D9348B">
              <w:t>21.3</w:t>
            </w:r>
          </w:p>
        </w:tc>
        <w:tc>
          <w:tcPr>
            <w:tcW w:w="1842" w:type="dxa"/>
            <w:tcBorders>
              <w:top w:val="single" w:sz="4" w:space="0" w:color="365F91"/>
              <w:left w:val="nil"/>
              <w:bottom w:val="single" w:sz="4" w:space="0" w:color="365F91"/>
              <w:right w:val="nil"/>
            </w:tcBorders>
            <w:hideMark/>
          </w:tcPr>
          <w:p w14:paraId="4729B4AA" w14:textId="77777777" w:rsidR="00524720" w:rsidRPr="00D9348B" w:rsidRDefault="00524720">
            <w:pPr>
              <w:pStyle w:val="TableText"/>
              <w:spacing w:before="40" w:after="40"/>
              <w:jc w:val="center"/>
            </w:pPr>
            <w:r w:rsidRPr="00D9348B">
              <w:t>0.3</w:t>
            </w:r>
          </w:p>
        </w:tc>
        <w:tc>
          <w:tcPr>
            <w:tcW w:w="1843" w:type="dxa"/>
            <w:tcBorders>
              <w:top w:val="single" w:sz="4" w:space="0" w:color="365F91"/>
              <w:left w:val="nil"/>
              <w:bottom w:val="single" w:sz="4" w:space="0" w:color="365F91"/>
              <w:right w:val="nil"/>
            </w:tcBorders>
            <w:hideMark/>
          </w:tcPr>
          <w:p w14:paraId="2604A71D" w14:textId="77777777" w:rsidR="00524720" w:rsidRPr="00D9348B" w:rsidRDefault="00524720">
            <w:pPr>
              <w:pStyle w:val="TableText"/>
              <w:spacing w:before="40" w:after="40"/>
              <w:jc w:val="center"/>
            </w:pPr>
            <w:r w:rsidRPr="00D9348B">
              <w:t>4.4</w:t>
            </w:r>
          </w:p>
        </w:tc>
        <w:tc>
          <w:tcPr>
            <w:tcW w:w="2109" w:type="dxa"/>
            <w:tcBorders>
              <w:top w:val="single" w:sz="4" w:space="0" w:color="365F91"/>
              <w:left w:val="nil"/>
              <w:bottom w:val="single" w:sz="4" w:space="0" w:color="365F91"/>
              <w:right w:val="nil"/>
            </w:tcBorders>
            <w:hideMark/>
          </w:tcPr>
          <w:p w14:paraId="1B8BD6B5" w14:textId="77777777" w:rsidR="00524720" w:rsidRPr="00D9348B" w:rsidRDefault="00524720">
            <w:pPr>
              <w:pStyle w:val="TableText"/>
              <w:spacing w:before="40" w:after="40"/>
              <w:jc w:val="center"/>
            </w:pPr>
            <w:r w:rsidRPr="00D9348B">
              <w:t>26.0</w:t>
            </w:r>
          </w:p>
        </w:tc>
      </w:tr>
      <w:tr w:rsidR="00524720" w:rsidRPr="00D9348B" w14:paraId="2EDC7217" w14:textId="77777777" w:rsidTr="006F3194">
        <w:tc>
          <w:tcPr>
            <w:tcW w:w="1079" w:type="dxa"/>
            <w:tcBorders>
              <w:top w:val="single" w:sz="4" w:space="0" w:color="365F91"/>
              <w:left w:val="nil"/>
              <w:bottom w:val="single" w:sz="4" w:space="0" w:color="365F91"/>
              <w:right w:val="nil"/>
            </w:tcBorders>
            <w:hideMark/>
          </w:tcPr>
          <w:p w14:paraId="6D3A6CFA" w14:textId="77777777" w:rsidR="00524720" w:rsidRPr="00D9348B" w:rsidRDefault="00524720">
            <w:pPr>
              <w:pStyle w:val="TableTextBold"/>
              <w:spacing w:before="40" w:after="40"/>
              <w:rPr>
                <w:noProof w:val="0"/>
              </w:rPr>
            </w:pPr>
            <w:r w:rsidRPr="00D9348B">
              <w:rPr>
                <w:noProof w:val="0"/>
              </w:rPr>
              <w:t>1995</w:t>
            </w:r>
          </w:p>
        </w:tc>
        <w:tc>
          <w:tcPr>
            <w:tcW w:w="1632" w:type="dxa"/>
            <w:tcBorders>
              <w:top w:val="single" w:sz="4" w:space="0" w:color="365F91"/>
              <w:left w:val="nil"/>
              <w:bottom w:val="single" w:sz="4" w:space="0" w:color="365F91"/>
              <w:right w:val="nil"/>
            </w:tcBorders>
            <w:hideMark/>
          </w:tcPr>
          <w:p w14:paraId="7573AC6D" w14:textId="77777777" w:rsidR="00524720" w:rsidRPr="00D9348B" w:rsidRDefault="00524720">
            <w:pPr>
              <w:pStyle w:val="TableText"/>
              <w:spacing w:before="40" w:after="40"/>
              <w:jc w:val="center"/>
            </w:pPr>
            <w:r w:rsidRPr="00D9348B">
              <w:t>21.0</w:t>
            </w:r>
          </w:p>
        </w:tc>
        <w:tc>
          <w:tcPr>
            <w:tcW w:w="1842" w:type="dxa"/>
            <w:tcBorders>
              <w:top w:val="single" w:sz="4" w:space="0" w:color="365F91"/>
              <w:left w:val="nil"/>
              <w:bottom w:val="single" w:sz="4" w:space="0" w:color="365F91"/>
              <w:right w:val="nil"/>
            </w:tcBorders>
            <w:hideMark/>
          </w:tcPr>
          <w:p w14:paraId="71AACA4E" w14:textId="77777777" w:rsidR="00524720" w:rsidRPr="00D9348B" w:rsidRDefault="00524720">
            <w:pPr>
              <w:pStyle w:val="TableText"/>
              <w:spacing w:before="40" w:after="40"/>
              <w:jc w:val="center"/>
            </w:pPr>
            <w:r w:rsidRPr="00D9348B">
              <w:t>0.3</w:t>
            </w:r>
          </w:p>
        </w:tc>
        <w:tc>
          <w:tcPr>
            <w:tcW w:w="1843" w:type="dxa"/>
            <w:tcBorders>
              <w:top w:val="single" w:sz="4" w:space="0" w:color="365F91"/>
              <w:left w:val="nil"/>
              <w:bottom w:val="single" w:sz="4" w:space="0" w:color="365F91"/>
              <w:right w:val="nil"/>
            </w:tcBorders>
            <w:hideMark/>
          </w:tcPr>
          <w:p w14:paraId="40200427" w14:textId="77777777" w:rsidR="00524720" w:rsidRPr="00D9348B" w:rsidRDefault="00524720">
            <w:pPr>
              <w:pStyle w:val="TableText"/>
              <w:spacing w:before="40" w:after="40"/>
              <w:jc w:val="center"/>
            </w:pPr>
            <w:r w:rsidRPr="00D9348B">
              <w:t>4.4</w:t>
            </w:r>
          </w:p>
        </w:tc>
        <w:tc>
          <w:tcPr>
            <w:tcW w:w="2109" w:type="dxa"/>
            <w:tcBorders>
              <w:top w:val="single" w:sz="4" w:space="0" w:color="365F91"/>
              <w:left w:val="nil"/>
              <w:bottom w:val="single" w:sz="4" w:space="0" w:color="365F91"/>
              <w:right w:val="nil"/>
            </w:tcBorders>
            <w:hideMark/>
          </w:tcPr>
          <w:p w14:paraId="274C22B6" w14:textId="77777777" w:rsidR="00524720" w:rsidRPr="00D9348B" w:rsidRDefault="00524720">
            <w:pPr>
              <w:pStyle w:val="TableText"/>
              <w:spacing w:before="40" w:after="40"/>
              <w:jc w:val="center"/>
            </w:pPr>
            <w:r w:rsidRPr="00D9348B">
              <w:t>25.7</w:t>
            </w:r>
          </w:p>
        </w:tc>
      </w:tr>
      <w:tr w:rsidR="00524720" w:rsidRPr="00D9348B" w14:paraId="6D7E9AD7" w14:textId="77777777" w:rsidTr="006F3194">
        <w:tc>
          <w:tcPr>
            <w:tcW w:w="1079" w:type="dxa"/>
            <w:tcBorders>
              <w:top w:val="single" w:sz="4" w:space="0" w:color="365F91"/>
              <w:left w:val="nil"/>
              <w:bottom w:val="single" w:sz="4" w:space="0" w:color="365F91"/>
              <w:right w:val="nil"/>
            </w:tcBorders>
            <w:hideMark/>
          </w:tcPr>
          <w:p w14:paraId="5A11AB41" w14:textId="77777777" w:rsidR="00524720" w:rsidRPr="00D9348B" w:rsidRDefault="00524720">
            <w:pPr>
              <w:pStyle w:val="TableTextBold"/>
              <w:spacing w:before="40" w:after="40"/>
              <w:rPr>
                <w:noProof w:val="0"/>
              </w:rPr>
            </w:pPr>
            <w:r w:rsidRPr="00D9348B">
              <w:rPr>
                <w:noProof w:val="0"/>
              </w:rPr>
              <w:t>1996</w:t>
            </w:r>
          </w:p>
        </w:tc>
        <w:tc>
          <w:tcPr>
            <w:tcW w:w="1632" w:type="dxa"/>
            <w:tcBorders>
              <w:top w:val="single" w:sz="4" w:space="0" w:color="365F91"/>
              <w:left w:val="nil"/>
              <w:bottom w:val="single" w:sz="4" w:space="0" w:color="365F91"/>
              <w:right w:val="nil"/>
            </w:tcBorders>
            <w:hideMark/>
          </w:tcPr>
          <w:p w14:paraId="72E3C0B7" w14:textId="77777777" w:rsidR="00524720" w:rsidRPr="00D9348B" w:rsidRDefault="00524720">
            <w:pPr>
              <w:pStyle w:val="TableText"/>
              <w:spacing w:before="40" w:after="40"/>
              <w:jc w:val="center"/>
            </w:pPr>
            <w:r w:rsidRPr="00D9348B">
              <w:t>20.3</w:t>
            </w:r>
          </w:p>
        </w:tc>
        <w:tc>
          <w:tcPr>
            <w:tcW w:w="1842" w:type="dxa"/>
            <w:tcBorders>
              <w:top w:val="single" w:sz="4" w:space="0" w:color="365F91"/>
              <w:left w:val="nil"/>
              <w:bottom w:val="single" w:sz="4" w:space="0" w:color="365F91"/>
              <w:right w:val="nil"/>
            </w:tcBorders>
            <w:hideMark/>
          </w:tcPr>
          <w:p w14:paraId="26652019" w14:textId="77777777" w:rsidR="00524720" w:rsidRPr="00D9348B" w:rsidRDefault="00524720">
            <w:pPr>
              <w:pStyle w:val="TableText"/>
              <w:spacing w:before="40" w:after="40"/>
              <w:jc w:val="center"/>
            </w:pPr>
            <w:r w:rsidRPr="00D9348B">
              <w:t>0.3</w:t>
            </w:r>
          </w:p>
        </w:tc>
        <w:tc>
          <w:tcPr>
            <w:tcW w:w="1843" w:type="dxa"/>
            <w:tcBorders>
              <w:top w:val="single" w:sz="4" w:space="0" w:color="365F91"/>
              <w:left w:val="nil"/>
              <w:bottom w:val="single" w:sz="4" w:space="0" w:color="365F91"/>
              <w:right w:val="nil"/>
            </w:tcBorders>
            <w:hideMark/>
          </w:tcPr>
          <w:p w14:paraId="108D1D0D" w14:textId="77777777" w:rsidR="00524720" w:rsidRPr="00D9348B" w:rsidRDefault="00524720">
            <w:pPr>
              <w:pStyle w:val="TableText"/>
              <w:spacing w:before="40" w:after="40"/>
              <w:jc w:val="center"/>
            </w:pPr>
            <w:r w:rsidRPr="00D9348B">
              <w:t>4.4</w:t>
            </w:r>
          </w:p>
        </w:tc>
        <w:tc>
          <w:tcPr>
            <w:tcW w:w="2109" w:type="dxa"/>
            <w:tcBorders>
              <w:top w:val="single" w:sz="4" w:space="0" w:color="365F91"/>
              <w:left w:val="nil"/>
              <w:bottom w:val="single" w:sz="4" w:space="0" w:color="365F91"/>
              <w:right w:val="nil"/>
            </w:tcBorders>
            <w:hideMark/>
          </w:tcPr>
          <w:p w14:paraId="10A03785" w14:textId="77777777" w:rsidR="00524720" w:rsidRPr="00D9348B" w:rsidRDefault="00524720">
            <w:pPr>
              <w:pStyle w:val="TableText"/>
              <w:spacing w:before="40" w:after="40"/>
              <w:jc w:val="center"/>
            </w:pPr>
            <w:r w:rsidRPr="00D9348B">
              <w:t>25.0</w:t>
            </w:r>
          </w:p>
        </w:tc>
      </w:tr>
      <w:tr w:rsidR="00524720" w:rsidRPr="00D9348B" w14:paraId="75F0C40D" w14:textId="77777777" w:rsidTr="006F3194">
        <w:tc>
          <w:tcPr>
            <w:tcW w:w="1079" w:type="dxa"/>
            <w:tcBorders>
              <w:top w:val="single" w:sz="4" w:space="0" w:color="365F91"/>
              <w:left w:val="nil"/>
              <w:bottom w:val="single" w:sz="4" w:space="0" w:color="365F91"/>
              <w:right w:val="nil"/>
            </w:tcBorders>
            <w:hideMark/>
          </w:tcPr>
          <w:p w14:paraId="2D072CC8" w14:textId="77777777" w:rsidR="00524720" w:rsidRPr="00D9348B" w:rsidRDefault="00524720">
            <w:pPr>
              <w:pStyle w:val="TableTextBold"/>
              <w:spacing w:before="40" w:after="40"/>
              <w:rPr>
                <w:noProof w:val="0"/>
              </w:rPr>
            </w:pPr>
            <w:r w:rsidRPr="00D9348B">
              <w:rPr>
                <w:noProof w:val="0"/>
              </w:rPr>
              <w:t>1997</w:t>
            </w:r>
          </w:p>
        </w:tc>
        <w:tc>
          <w:tcPr>
            <w:tcW w:w="1632" w:type="dxa"/>
            <w:tcBorders>
              <w:top w:val="single" w:sz="4" w:space="0" w:color="365F91"/>
              <w:left w:val="nil"/>
              <w:bottom w:val="single" w:sz="4" w:space="0" w:color="365F91"/>
              <w:right w:val="nil"/>
            </w:tcBorders>
            <w:hideMark/>
          </w:tcPr>
          <w:p w14:paraId="074DC61B" w14:textId="77777777" w:rsidR="00524720" w:rsidRPr="00D9348B" w:rsidRDefault="00524720">
            <w:pPr>
              <w:pStyle w:val="TableText"/>
              <w:spacing w:before="40" w:after="40"/>
              <w:jc w:val="center"/>
            </w:pPr>
            <w:r w:rsidRPr="00D9348B">
              <w:t>20.3</w:t>
            </w:r>
          </w:p>
        </w:tc>
        <w:tc>
          <w:tcPr>
            <w:tcW w:w="1842" w:type="dxa"/>
            <w:tcBorders>
              <w:top w:val="single" w:sz="4" w:space="0" w:color="365F91"/>
              <w:left w:val="nil"/>
              <w:bottom w:val="single" w:sz="4" w:space="0" w:color="365F91"/>
              <w:right w:val="nil"/>
            </w:tcBorders>
            <w:hideMark/>
          </w:tcPr>
          <w:p w14:paraId="4DB5BE4B" w14:textId="77777777" w:rsidR="00524720" w:rsidRPr="00D9348B" w:rsidRDefault="00524720">
            <w:pPr>
              <w:pStyle w:val="TableText"/>
              <w:spacing w:before="40" w:after="40"/>
              <w:jc w:val="center"/>
            </w:pPr>
            <w:r w:rsidRPr="00D9348B">
              <w:t>0.3</w:t>
            </w:r>
          </w:p>
        </w:tc>
        <w:tc>
          <w:tcPr>
            <w:tcW w:w="1843" w:type="dxa"/>
            <w:tcBorders>
              <w:top w:val="single" w:sz="4" w:space="0" w:color="365F91"/>
              <w:left w:val="nil"/>
              <w:bottom w:val="single" w:sz="4" w:space="0" w:color="365F91"/>
              <w:right w:val="nil"/>
            </w:tcBorders>
            <w:hideMark/>
          </w:tcPr>
          <w:p w14:paraId="50521DD5" w14:textId="77777777" w:rsidR="00524720" w:rsidRPr="00D9348B" w:rsidRDefault="00524720">
            <w:pPr>
              <w:pStyle w:val="TableText"/>
              <w:spacing w:before="40" w:after="40"/>
              <w:jc w:val="center"/>
            </w:pPr>
            <w:r w:rsidRPr="00D9348B">
              <w:t>4.4</w:t>
            </w:r>
          </w:p>
        </w:tc>
        <w:tc>
          <w:tcPr>
            <w:tcW w:w="2109" w:type="dxa"/>
            <w:tcBorders>
              <w:top w:val="single" w:sz="4" w:space="0" w:color="365F91"/>
              <w:left w:val="nil"/>
              <w:bottom w:val="single" w:sz="4" w:space="0" w:color="365F91"/>
              <w:right w:val="nil"/>
            </w:tcBorders>
            <w:hideMark/>
          </w:tcPr>
          <w:p w14:paraId="794F655E" w14:textId="77777777" w:rsidR="00524720" w:rsidRPr="00D9348B" w:rsidRDefault="00524720">
            <w:pPr>
              <w:pStyle w:val="TableText"/>
              <w:spacing w:before="40" w:after="40"/>
              <w:jc w:val="center"/>
            </w:pPr>
            <w:r w:rsidRPr="00D9348B">
              <w:t>25.0</w:t>
            </w:r>
          </w:p>
        </w:tc>
      </w:tr>
      <w:tr w:rsidR="00524720" w:rsidRPr="00D9348B" w14:paraId="4387B384" w14:textId="77777777" w:rsidTr="006F3194">
        <w:tc>
          <w:tcPr>
            <w:tcW w:w="1079" w:type="dxa"/>
            <w:tcBorders>
              <w:top w:val="single" w:sz="4" w:space="0" w:color="365F91"/>
              <w:left w:val="nil"/>
              <w:bottom w:val="single" w:sz="4" w:space="0" w:color="365F91"/>
              <w:right w:val="nil"/>
            </w:tcBorders>
            <w:hideMark/>
          </w:tcPr>
          <w:p w14:paraId="309E1F22" w14:textId="77777777" w:rsidR="00524720" w:rsidRPr="00D9348B" w:rsidRDefault="00524720">
            <w:pPr>
              <w:pStyle w:val="TableTextBold"/>
              <w:spacing w:before="40" w:after="40"/>
              <w:rPr>
                <w:noProof w:val="0"/>
              </w:rPr>
            </w:pPr>
            <w:r w:rsidRPr="00D9348B">
              <w:rPr>
                <w:noProof w:val="0"/>
              </w:rPr>
              <w:t>1998</w:t>
            </w:r>
          </w:p>
        </w:tc>
        <w:tc>
          <w:tcPr>
            <w:tcW w:w="1632" w:type="dxa"/>
            <w:tcBorders>
              <w:top w:val="single" w:sz="4" w:space="0" w:color="365F91"/>
              <w:left w:val="nil"/>
              <w:bottom w:val="single" w:sz="4" w:space="0" w:color="365F91"/>
              <w:right w:val="nil"/>
            </w:tcBorders>
            <w:hideMark/>
          </w:tcPr>
          <w:p w14:paraId="3D1D314B" w14:textId="77777777" w:rsidR="00524720" w:rsidRPr="00D9348B" w:rsidRDefault="00524720">
            <w:pPr>
              <w:pStyle w:val="TableText"/>
              <w:spacing w:before="40" w:after="40"/>
              <w:jc w:val="center"/>
            </w:pPr>
            <w:r w:rsidRPr="00D9348B">
              <w:t>20.0</w:t>
            </w:r>
          </w:p>
        </w:tc>
        <w:tc>
          <w:tcPr>
            <w:tcW w:w="1842" w:type="dxa"/>
            <w:tcBorders>
              <w:top w:val="single" w:sz="4" w:space="0" w:color="365F91"/>
              <w:left w:val="nil"/>
              <w:bottom w:val="single" w:sz="4" w:space="0" w:color="365F91"/>
              <w:right w:val="nil"/>
            </w:tcBorders>
            <w:hideMark/>
          </w:tcPr>
          <w:p w14:paraId="23F8F133" w14:textId="77777777" w:rsidR="00524720" w:rsidRPr="00D9348B" w:rsidRDefault="00524720">
            <w:pPr>
              <w:pStyle w:val="TableText"/>
              <w:spacing w:before="40" w:after="40"/>
              <w:jc w:val="center"/>
            </w:pPr>
            <w:r w:rsidRPr="00D9348B">
              <w:t>0.3</w:t>
            </w:r>
          </w:p>
        </w:tc>
        <w:tc>
          <w:tcPr>
            <w:tcW w:w="1843" w:type="dxa"/>
            <w:tcBorders>
              <w:top w:val="single" w:sz="4" w:space="0" w:color="365F91"/>
              <w:left w:val="nil"/>
              <w:bottom w:val="single" w:sz="4" w:space="0" w:color="365F91"/>
              <w:right w:val="nil"/>
            </w:tcBorders>
            <w:hideMark/>
          </w:tcPr>
          <w:p w14:paraId="2049FB09" w14:textId="77777777" w:rsidR="00524720" w:rsidRPr="00D9348B" w:rsidRDefault="00524720">
            <w:pPr>
              <w:pStyle w:val="TableText"/>
              <w:spacing w:before="40" w:after="40"/>
              <w:jc w:val="center"/>
            </w:pPr>
            <w:r w:rsidRPr="00D9348B">
              <w:t>4.4</w:t>
            </w:r>
          </w:p>
        </w:tc>
        <w:tc>
          <w:tcPr>
            <w:tcW w:w="2109" w:type="dxa"/>
            <w:tcBorders>
              <w:top w:val="single" w:sz="4" w:space="0" w:color="365F91"/>
              <w:left w:val="nil"/>
              <w:bottom w:val="single" w:sz="4" w:space="0" w:color="365F91"/>
              <w:right w:val="nil"/>
            </w:tcBorders>
            <w:hideMark/>
          </w:tcPr>
          <w:p w14:paraId="51304303" w14:textId="77777777" w:rsidR="00524720" w:rsidRPr="00D9348B" w:rsidRDefault="00524720">
            <w:pPr>
              <w:pStyle w:val="TableText"/>
              <w:spacing w:before="40" w:after="40"/>
              <w:jc w:val="center"/>
            </w:pPr>
            <w:r w:rsidRPr="00D9348B">
              <w:t>24.7</w:t>
            </w:r>
          </w:p>
        </w:tc>
      </w:tr>
      <w:tr w:rsidR="00524720" w:rsidRPr="00D9348B" w14:paraId="4CC58AC4" w14:textId="77777777" w:rsidTr="006F3194">
        <w:tc>
          <w:tcPr>
            <w:tcW w:w="1079" w:type="dxa"/>
            <w:tcBorders>
              <w:top w:val="single" w:sz="4" w:space="0" w:color="365F91"/>
              <w:left w:val="nil"/>
              <w:bottom w:val="single" w:sz="4" w:space="0" w:color="365F91"/>
              <w:right w:val="nil"/>
            </w:tcBorders>
            <w:hideMark/>
          </w:tcPr>
          <w:p w14:paraId="47FE983C" w14:textId="77777777" w:rsidR="00524720" w:rsidRPr="00D9348B" w:rsidRDefault="00524720">
            <w:pPr>
              <w:pStyle w:val="TableTextBold"/>
              <w:spacing w:before="40" w:after="40"/>
              <w:rPr>
                <w:noProof w:val="0"/>
              </w:rPr>
            </w:pPr>
            <w:r w:rsidRPr="00D9348B">
              <w:rPr>
                <w:noProof w:val="0"/>
              </w:rPr>
              <w:t>1999</w:t>
            </w:r>
          </w:p>
        </w:tc>
        <w:tc>
          <w:tcPr>
            <w:tcW w:w="1632" w:type="dxa"/>
            <w:tcBorders>
              <w:top w:val="single" w:sz="4" w:space="0" w:color="365F91"/>
              <w:left w:val="nil"/>
              <w:bottom w:val="single" w:sz="4" w:space="0" w:color="365F91"/>
              <w:right w:val="nil"/>
            </w:tcBorders>
            <w:hideMark/>
          </w:tcPr>
          <w:p w14:paraId="0D230201" w14:textId="77777777" w:rsidR="00524720" w:rsidRPr="00D9348B" w:rsidRDefault="00524720">
            <w:pPr>
              <w:pStyle w:val="TableText"/>
              <w:spacing w:before="40" w:after="40"/>
              <w:jc w:val="center"/>
            </w:pPr>
            <w:r w:rsidRPr="00D9348B">
              <w:t>18.9</w:t>
            </w:r>
          </w:p>
        </w:tc>
        <w:tc>
          <w:tcPr>
            <w:tcW w:w="1842" w:type="dxa"/>
            <w:tcBorders>
              <w:top w:val="single" w:sz="4" w:space="0" w:color="365F91"/>
              <w:left w:val="nil"/>
              <w:bottom w:val="single" w:sz="4" w:space="0" w:color="365F91"/>
              <w:right w:val="nil"/>
            </w:tcBorders>
            <w:hideMark/>
          </w:tcPr>
          <w:p w14:paraId="1310896D" w14:textId="77777777" w:rsidR="00524720" w:rsidRPr="00D9348B" w:rsidRDefault="00524720">
            <w:pPr>
              <w:pStyle w:val="TableText"/>
              <w:spacing w:before="40" w:after="40"/>
              <w:jc w:val="center"/>
            </w:pPr>
            <w:r w:rsidRPr="00D9348B">
              <w:t>0.3</w:t>
            </w:r>
          </w:p>
        </w:tc>
        <w:tc>
          <w:tcPr>
            <w:tcW w:w="1843" w:type="dxa"/>
            <w:tcBorders>
              <w:top w:val="single" w:sz="4" w:space="0" w:color="365F91"/>
              <w:left w:val="nil"/>
              <w:bottom w:val="single" w:sz="4" w:space="0" w:color="365F91"/>
              <w:right w:val="nil"/>
            </w:tcBorders>
            <w:hideMark/>
          </w:tcPr>
          <w:p w14:paraId="7C74E2C0" w14:textId="77777777" w:rsidR="00524720" w:rsidRPr="00D9348B" w:rsidRDefault="00524720">
            <w:pPr>
              <w:pStyle w:val="TableText"/>
              <w:spacing w:before="40" w:after="40"/>
              <w:jc w:val="center"/>
            </w:pPr>
            <w:r w:rsidRPr="00D9348B">
              <w:t>4.4</w:t>
            </w:r>
          </w:p>
        </w:tc>
        <w:tc>
          <w:tcPr>
            <w:tcW w:w="2109" w:type="dxa"/>
            <w:tcBorders>
              <w:top w:val="single" w:sz="4" w:space="0" w:color="365F91"/>
              <w:left w:val="nil"/>
              <w:bottom w:val="single" w:sz="4" w:space="0" w:color="365F91"/>
              <w:right w:val="nil"/>
            </w:tcBorders>
            <w:hideMark/>
          </w:tcPr>
          <w:p w14:paraId="2B2BDCE2" w14:textId="77777777" w:rsidR="00524720" w:rsidRPr="00D9348B" w:rsidRDefault="00524720">
            <w:pPr>
              <w:pStyle w:val="TableText"/>
              <w:spacing w:before="40" w:after="40"/>
              <w:jc w:val="center"/>
            </w:pPr>
            <w:r w:rsidRPr="00D9348B">
              <w:t>23.6</w:t>
            </w:r>
          </w:p>
        </w:tc>
      </w:tr>
      <w:tr w:rsidR="00524720" w:rsidRPr="00D9348B" w14:paraId="6D4CA6E1" w14:textId="77777777" w:rsidTr="006F3194">
        <w:tc>
          <w:tcPr>
            <w:tcW w:w="1079" w:type="dxa"/>
            <w:tcBorders>
              <w:top w:val="single" w:sz="4" w:space="0" w:color="365F91"/>
              <w:left w:val="nil"/>
              <w:bottom w:val="single" w:sz="4" w:space="0" w:color="365F91"/>
              <w:right w:val="nil"/>
            </w:tcBorders>
            <w:hideMark/>
          </w:tcPr>
          <w:p w14:paraId="516951AD" w14:textId="77777777" w:rsidR="00524720" w:rsidRPr="00D9348B" w:rsidRDefault="00524720">
            <w:pPr>
              <w:pStyle w:val="TableTextBold"/>
              <w:spacing w:before="40" w:after="40"/>
              <w:rPr>
                <w:noProof w:val="0"/>
              </w:rPr>
            </w:pPr>
            <w:r w:rsidRPr="00D9348B">
              <w:rPr>
                <w:noProof w:val="0"/>
              </w:rPr>
              <w:t>2000</w:t>
            </w:r>
          </w:p>
        </w:tc>
        <w:tc>
          <w:tcPr>
            <w:tcW w:w="1632" w:type="dxa"/>
            <w:tcBorders>
              <w:top w:val="single" w:sz="4" w:space="0" w:color="365F91"/>
              <w:left w:val="nil"/>
              <w:bottom w:val="single" w:sz="4" w:space="0" w:color="365F91"/>
              <w:right w:val="nil"/>
            </w:tcBorders>
            <w:hideMark/>
          </w:tcPr>
          <w:p w14:paraId="506F36D5" w14:textId="77777777" w:rsidR="00524720" w:rsidRPr="00D9348B" w:rsidRDefault="00524720">
            <w:pPr>
              <w:pStyle w:val="TableText"/>
              <w:spacing w:before="40" w:after="40"/>
              <w:jc w:val="center"/>
            </w:pPr>
            <w:r w:rsidRPr="00D9348B">
              <w:t>17.8</w:t>
            </w:r>
          </w:p>
        </w:tc>
        <w:tc>
          <w:tcPr>
            <w:tcW w:w="1842" w:type="dxa"/>
            <w:tcBorders>
              <w:top w:val="single" w:sz="4" w:space="0" w:color="365F91"/>
              <w:left w:val="nil"/>
              <w:bottom w:val="single" w:sz="4" w:space="0" w:color="365F91"/>
              <w:right w:val="nil"/>
            </w:tcBorders>
            <w:hideMark/>
          </w:tcPr>
          <w:p w14:paraId="5597732D" w14:textId="77777777" w:rsidR="00524720" w:rsidRPr="00D9348B" w:rsidRDefault="00524720">
            <w:pPr>
              <w:pStyle w:val="TableText"/>
              <w:spacing w:before="40" w:after="40"/>
              <w:jc w:val="center"/>
            </w:pPr>
            <w:r w:rsidRPr="00D9348B">
              <w:t>0.3</w:t>
            </w:r>
          </w:p>
        </w:tc>
        <w:tc>
          <w:tcPr>
            <w:tcW w:w="1843" w:type="dxa"/>
            <w:tcBorders>
              <w:top w:val="single" w:sz="4" w:space="0" w:color="365F91"/>
              <w:left w:val="nil"/>
              <w:bottom w:val="single" w:sz="4" w:space="0" w:color="365F91"/>
              <w:right w:val="nil"/>
            </w:tcBorders>
            <w:hideMark/>
          </w:tcPr>
          <w:p w14:paraId="2E2A7178" w14:textId="77777777" w:rsidR="00524720" w:rsidRPr="00D9348B" w:rsidRDefault="00524720">
            <w:pPr>
              <w:pStyle w:val="TableText"/>
              <w:spacing w:before="40" w:after="40"/>
              <w:jc w:val="center"/>
            </w:pPr>
            <w:r w:rsidRPr="00D9348B">
              <w:t>4.4</w:t>
            </w:r>
          </w:p>
        </w:tc>
        <w:tc>
          <w:tcPr>
            <w:tcW w:w="2109" w:type="dxa"/>
            <w:tcBorders>
              <w:top w:val="single" w:sz="4" w:space="0" w:color="365F91"/>
              <w:left w:val="nil"/>
              <w:bottom w:val="single" w:sz="4" w:space="0" w:color="365F91"/>
              <w:right w:val="nil"/>
            </w:tcBorders>
            <w:hideMark/>
          </w:tcPr>
          <w:p w14:paraId="2D4FE68E" w14:textId="77777777" w:rsidR="00524720" w:rsidRPr="00D9348B" w:rsidRDefault="00524720">
            <w:pPr>
              <w:pStyle w:val="TableText"/>
              <w:spacing w:before="40" w:after="40"/>
              <w:jc w:val="center"/>
            </w:pPr>
            <w:r w:rsidRPr="00D9348B">
              <w:t>22.4</w:t>
            </w:r>
          </w:p>
        </w:tc>
      </w:tr>
      <w:tr w:rsidR="00524720" w:rsidRPr="00D9348B" w14:paraId="573C2848" w14:textId="77777777" w:rsidTr="006F3194">
        <w:tc>
          <w:tcPr>
            <w:tcW w:w="1079" w:type="dxa"/>
            <w:tcBorders>
              <w:top w:val="single" w:sz="4" w:space="0" w:color="365F91"/>
              <w:left w:val="nil"/>
              <w:bottom w:val="single" w:sz="4" w:space="0" w:color="365F91"/>
              <w:right w:val="nil"/>
            </w:tcBorders>
            <w:hideMark/>
          </w:tcPr>
          <w:p w14:paraId="30AB0904" w14:textId="77777777" w:rsidR="00524720" w:rsidRPr="00D9348B" w:rsidRDefault="00524720">
            <w:pPr>
              <w:pStyle w:val="TableTextBold"/>
              <w:spacing w:before="40" w:after="40"/>
              <w:rPr>
                <w:noProof w:val="0"/>
              </w:rPr>
            </w:pPr>
            <w:r w:rsidRPr="00D9348B">
              <w:rPr>
                <w:noProof w:val="0"/>
              </w:rPr>
              <w:t>2001</w:t>
            </w:r>
          </w:p>
        </w:tc>
        <w:tc>
          <w:tcPr>
            <w:tcW w:w="1632" w:type="dxa"/>
            <w:tcBorders>
              <w:top w:val="single" w:sz="4" w:space="0" w:color="365F91"/>
              <w:left w:val="nil"/>
              <w:bottom w:val="single" w:sz="4" w:space="0" w:color="365F91"/>
              <w:right w:val="nil"/>
            </w:tcBorders>
            <w:hideMark/>
          </w:tcPr>
          <w:p w14:paraId="2C859AEC" w14:textId="77777777" w:rsidR="00524720" w:rsidRPr="00D9348B" w:rsidRDefault="00524720">
            <w:pPr>
              <w:pStyle w:val="TableText"/>
              <w:spacing w:before="40" w:after="40"/>
              <w:jc w:val="center"/>
            </w:pPr>
            <w:r w:rsidRPr="00D9348B">
              <w:t>9.3</w:t>
            </w:r>
          </w:p>
        </w:tc>
        <w:tc>
          <w:tcPr>
            <w:tcW w:w="1842" w:type="dxa"/>
            <w:tcBorders>
              <w:top w:val="single" w:sz="4" w:space="0" w:color="365F91"/>
              <w:left w:val="nil"/>
              <w:bottom w:val="single" w:sz="4" w:space="0" w:color="365F91"/>
              <w:right w:val="nil"/>
            </w:tcBorders>
            <w:hideMark/>
          </w:tcPr>
          <w:p w14:paraId="1C95199E" w14:textId="77777777" w:rsidR="00524720" w:rsidRPr="00D9348B" w:rsidRDefault="00524720">
            <w:pPr>
              <w:pStyle w:val="TableText"/>
              <w:spacing w:before="40" w:after="40"/>
              <w:jc w:val="center"/>
            </w:pPr>
            <w:r w:rsidRPr="00D9348B">
              <w:t>0.3</w:t>
            </w:r>
          </w:p>
        </w:tc>
        <w:tc>
          <w:tcPr>
            <w:tcW w:w="1843" w:type="dxa"/>
            <w:tcBorders>
              <w:top w:val="single" w:sz="4" w:space="0" w:color="365F91"/>
              <w:left w:val="nil"/>
              <w:bottom w:val="single" w:sz="4" w:space="0" w:color="365F91"/>
              <w:right w:val="nil"/>
            </w:tcBorders>
            <w:hideMark/>
          </w:tcPr>
          <w:p w14:paraId="1F04799F" w14:textId="77777777" w:rsidR="00524720" w:rsidRPr="00D9348B" w:rsidRDefault="00524720">
            <w:pPr>
              <w:pStyle w:val="TableText"/>
              <w:spacing w:before="40" w:after="40"/>
              <w:jc w:val="center"/>
            </w:pPr>
            <w:r w:rsidRPr="00D9348B">
              <w:t>4.4</w:t>
            </w:r>
          </w:p>
        </w:tc>
        <w:tc>
          <w:tcPr>
            <w:tcW w:w="2109" w:type="dxa"/>
            <w:tcBorders>
              <w:top w:val="single" w:sz="4" w:space="0" w:color="365F91"/>
              <w:left w:val="nil"/>
              <w:bottom w:val="single" w:sz="4" w:space="0" w:color="365F91"/>
              <w:right w:val="nil"/>
            </w:tcBorders>
            <w:hideMark/>
          </w:tcPr>
          <w:p w14:paraId="09BA9D96" w14:textId="77777777" w:rsidR="00524720" w:rsidRPr="00D9348B" w:rsidRDefault="00524720">
            <w:pPr>
              <w:pStyle w:val="TableText"/>
              <w:spacing w:before="40" w:after="40"/>
              <w:jc w:val="center"/>
            </w:pPr>
            <w:r w:rsidRPr="00D9348B">
              <w:t>13.9</w:t>
            </w:r>
          </w:p>
        </w:tc>
      </w:tr>
      <w:tr w:rsidR="00524720" w:rsidRPr="00D9348B" w14:paraId="1055A811" w14:textId="77777777" w:rsidTr="006F3194">
        <w:tc>
          <w:tcPr>
            <w:tcW w:w="1079" w:type="dxa"/>
            <w:tcBorders>
              <w:top w:val="single" w:sz="4" w:space="0" w:color="365F91"/>
              <w:left w:val="nil"/>
              <w:bottom w:val="single" w:sz="4" w:space="0" w:color="365F91"/>
              <w:right w:val="nil"/>
            </w:tcBorders>
            <w:hideMark/>
          </w:tcPr>
          <w:p w14:paraId="39E2331D" w14:textId="77777777" w:rsidR="00524720" w:rsidRPr="00D9348B" w:rsidRDefault="00524720">
            <w:pPr>
              <w:pStyle w:val="TableTextBold"/>
              <w:spacing w:before="40" w:after="40"/>
              <w:rPr>
                <w:noProof w:val="0"/>
              </w:rPr>
            </w:pPr>
            <w:r w:rsidRPr="00D9348B">
              <w:rPr>
                <w:noProof w:val="0"/>
              </w:rPr>
              <w:t>2002</w:t>
            </w:r>
          </w:p>
        </w:tc>
        <w:tc>
          <w:tcPr>
            <w:tcW w:w="1632" w:type="dxa"/>
            <w:tcBorders>
              <w:top w:val="single" w:sz="4" w:space="0" w:color="365F91"/>
              <w:left w:val="nil"/>
              <w:bottom w:val="single" w:sz="4" w:space="0" w:color="365F91"/>
              <w:right w:val="nil"/>
            </w:tcBorders>
            <w:hideMark/>
          </w:tcPr>
          <w:p w14:paraId="35CFBB06" w14:textId="77777777" w:rsidR="00524720" w:rsidRPr="00D9348B" w:rsidRDefault="00524720">
            <w:pPr>
              <w:pStyle w:val="TableText"/>
              <w:spacing w:before="40" w:after="40"/>
              <w:jc w:val="center"/>
            </w:pPr>
            <w:r w:rsidRPr="00D9348B">
              <w:t>8.2</w:t>
            </w:r>
          </w:p>
        </w:tc>
        <w:tc>
          <w:tcPr>
            <w:tcW w:w="1842" w:type="dxa"/>
            <w:tcBorders>
              <w:top w:val="single" w:sz="4" w:space="0" w:color="365F91"/>
              <w:left w:val="nil"/>
              <w:bottom w:val="single" w:sz="4" w:space="0" w:color="365F91"/>
              <w:right w:val="nil"/>
            </w:tcBorders>
            <w:hideMark/>
          </w:tcPr>
          <w:p w14:paraId="7D46A6B3" w14:textId="77777777" w:rsidR="00524720" w:rsidRPr="00D9348B" w:rsidRDefault="00524720">
            <w:pPr>
              <w:pStyle w:val="TableText"/>
              <w:spacing w:before="40" w:after="40"/>
              <w:jc w:val="center"/>
            </w:pPr>
            <w:r w:rsidRPr="00D9348B">
              <w:t>0.3</w:t>
            </w:r>
          </w:p>
        </w:tc>
        <w:tc>
          <w:tcPr>
            <w:tcW w:w="1843" w:type="dxa"/>
            <w:tcBorders>
              <w:top w:val="single" w:sz="4" w:space="0" w:color="365F91"/>
              <w:left w:val="nil"/>
              <w:bottom w:val="single" w:sz="4" w:space="0" w:color="365F91"/>
              <w:right w:val="nil"/>
            </w:tcBorders>
            <w:hideMark/>
          </w:tcPr>
          <w:p w14:paraId="1A7612D9" w14:textId="77777777" w:rsidR="00524720" w:rsidRPr="00D9348B" w:rsidRDefault="00524720">
            <w:pPr>
              <w:pStyle w:val="TableText"/>
              <w:spacing w:before="40" w:after="40"/>
              <w:jc w:val="center"/>
            </w:pPr>
            <w:r w:rsidRPr="00D9348B">
              <w:t>4.4</w:t>
            </w:r>
          </w:p>
        </w:tc>
        <w:tc>
          <w:tcPr>
            <w:tcW w:w="2109" w:type="dxa"/>
            <w:tcBorders>
              <w:top w:val="single" w:sz="4" w:space="0" w:color="365F91"/>
              <w:left w:val="nil"/>
              <w:bottom w:val="single" w:sz="4" w:space="0" w:color="365F91"/>
              <w:right w:val="nil"/>
            </w:tcBorders>
            <w:hideMark/>
          </w:tcPr>
          <w:p w14:paraId="3EBDBF03" w14:textId="77777777" w:rsidR="00524720" w:rsidRPr="00D9348B" w:rsidRDefault="00524720">
            <w:pPr>
              <w:pStyle w:val="TableText"/>
              <w:spacing w:before="40" w:after="40"/>
              <w:jc w:val="center"/>
            </w:pPr>
            <w:r w:rsidRPr="00D9348B">
              <w:t>12.9</w:t>
            </w:r>
          </w:p>
        </w:tc>
      </w:tr>
      <w:tr w:rsidR="00524720" w:rsidRPr="00D9348B" w14:paraId="7645C657" w14:textId="77777777" w:rsidTr="006F3194">
        <w:tc>
          <w:tcPr>
            <w:tcW w:w="1079" w:type="dxa"/>
            <w:tcBorders>
              <w:top w:val="single" w:sz="4" w:space="0" w:color="365F91"/>
              <w:left w:val="nil"/>
              <w:bottom w:val="single" w:sz="4" w:space="0" w:color="365F91"/>
              <w:right w:val="nil"/>
            </w:tcBorders>
            <w:hideMark/>
          </w:tcPr>
          <w:p w14:paraId="411D3CB6" w14:textId="77777777" w:rsidR="00524720" w:rsidRPr="00D9348B" w:rsidRDefault="00524720">
            <w:pPr>
              <w:pStyle w:val="TableTextBold"/>
              <w:spacing w:before="40" w:after="40"/>
              <w:rPr>
                <w:noProof w:val="0"/>
              </w:rPr>
            </w:pPr>
            <w:r w:rsidRPr="00D9348B">
              <w:rPr>
                <w:noProof w:val="0"/>
              </w:rPr>
              <w:t>2003</w:t>
            </w:r>
          </w:p>
        </w:tc>
        <w:tc>
          <w:tcPr>
            <w:tcW w:w="1632" w:type="dxa"/>
            <w:tcBorders>
              <w:top w:val="single" w:sz="4" w:space="0" w:color="365F91"/>
              <w:left w:val="nil"/>
              <w:bottom w:val="single" w:sz="4" w:space="0" w:color="365F91"/>
              <w:right w:val="nil"/>
            </w:tcBorders>
            <w:hideMark/>
          </w:tcPr>
          <w:p w14:paraId="19AEF639" w14:textId="77777777" w:rsidR="00524720" w:rsidRPr="00D9348B" w:rsidRDefault="00524720">
            <w:pPr>
              <w:pStyle w:val="TableText"/>
              <w:spacing w:before="40" w:after="40"/>
              <w:jc w:val="center"/>
            </w:pPr>
            <w:r w:rsidRPr="00D9348B">
              <w:t>7.3</w:t>
            </w:r>
          </w:p>
        </w:tc>
        <w:tc>
          <w:tcPr>
            <w:tcW w:w="1842" w:type="dxa"/>
            <w:tcBorders>
              <w:top w:val="single" w:sz="4" w:space="0" w:color="365F91"/>
              <w:left w:val="nil"/>
              <w:bottom w:val="single" w:sz="4" w:space="0" w:color="365F91"/>
              <w:right w:val="nil"/>
            </w:tcBorders>
            <w:hideMark/>
          </w:tcPr>
          <w:p w14:paraId="6828B5F5" w14:textId="77777777" w:rsidR="00524720" w:rsidRPr="00D9348B" w:rsidRDefault="00524720">
            <w:pPr>
              <w:pStyle w:val="TableText"/>
              <w:spacing w:before="40" w:after="40"/>
              <w:jc w:val="center"/>
            </w:pPr>
            <w:r w:rsidRPr="00D9348B">
              <w:t>0.3</w:t>
            </w:r>
          </w:p>
        </w:tc>
        <w:tc>
          <w:tcPr>
            <w:tcW w:w="1843" w:type="dxa"/>
            <w:tcBorders>
              <w:top w:val="single" w:sz="4" w:space="0" w:color="365F91"/>
              <w:left w:val="nil"/>
              <w:bottom w:val="single" w:sz="4" w:space="0" w:color="365F91"/>
              <w:right w:val="nil"/>
            </w:tcBorders>
            <w:hideMark/>
          </w:tcPr>
          <w:p w14:paraId="7CD95C41" w14:textId="77777777" w:rsidR="00524720" w:rsidRPr="00D9348B" w:rsidRDefault="00524720">
            <w:pPr>
              <w:pStyle w:val="TableText"/>
              <w:spacing w:before="40" w:after="40"/>
              <w:jc w:val="center"/>
            </w:pPr>
            <w:r w:rsidRPr="00D9348B">
              <w:t>4.4</w:t>
            </w:r>
          </w:p>
        </w:tc>
        <w:tc>
          <w:tcPr>
            <w:tcW w:w="2109" w:type="dxa"/>
            <w:tcBorders>
              <w:top w:val="single" w:sz="4" w:space="0" w:color="365F91"/>
              <w:left w:val="nil"/>
              <w:bottom w:val="single" w:sz="4" w:space="0" w:color="365F91"/>
              <w:right w:val="nil"/>
            </w:tcBorders>
            <w:hideMark/>
          </w:tcPr>
          <w:p w14:paraId="39B52B2A" w14:textId="77777777" w:rsidR="00524720" w:rsidRPr="00D9348B" w:rsidRDefault="00524720">
            <w:pPr>
              <w:pStyle w:val="TableText"/>
              <w:spacing w:before="40" w:after="40"/>
              <w:jc w:val="center"/>
            </w:pPr>
            <w:r w:rsidRPr="00D9348B">
              <w:t>12.0</w:t>
            </w:r>
          </w:p>
        </w:tc>
      </w:tr>
      <w:tr w:rsidR="00524720" w:rsidRPr="00D9348B" w14:paraId="12F5BD91" w14:textId="77777777" w:rsidTr="006F3194">
        <w:tc>
          <w:tcPr>
            <w:tcW w:w="1079" w:type="dxa"/>
            <w:tcBorders>
              <w:top w:val="single" w:sz="4" w:space="0" w:color="365F91"/>
              <w:left w:val="nil"/>
              <w:bottom w:val="single" w:sz="4" w:space="0" w:color="365F91"/>
              <w:right w:val="nil"/>
            </w:tcBorders>
            <w:hideMark/>
          </w:tcPr>
          <w:p w14:paraId="6DD700DF" w14:textId="77777777" w:rsidR="00524720" w:rsidRPr="00D9348B" w:rsidRDefault="00524720">
            <w:pPr>
              <w:pStyle w:val="TableTextBold"/>
              <w:spacing w:before="40" w:after="40"/>
              <w:rPr>
                <w:noProof w:val="0"/>
              </w:rPr>
            </w:pPr>
            <w:r w:rsidRPr="00D9348B">
              <w:rPr>
                <w:noProof w:val="0"/>
              </w:rPr>
              <w:t>2004</w:t>
            </w:r>
          </w:p>
        </w:tc>
        <w:tc>
          <w:tcPr>
            <w:tcW w:w="1632" w:type="dxa"/>
            <w:tcBorders>
              <w:top w:val="single" w:sz="4" w:space="0" w:color="365F91"/>
              <w:left w:val="nil"/>
              <w:bottom w:val="single" w:sz="4" w:space="0" w:color="365F91"/>
              <w:right w:val="nil"/>
            </w:tcBorders>
            <w:hideMark/>
          </w:tcPr>
          <w:p w14:paraId="6C496238" w14:textId="77777777" w:rsidR="00524720" w:rsidRPr="00D9348B" w:rsidRDefault="00524720">
            <w:pPr>
              <w:pStyle w:val="TableText"/>
              <w:spacing w:before="40" w:after="40"/>
              <w:jc w:val="center"/>
            </w:pPr>
            <w:r w:rsidRPr="00D9348B">
              <w:t>7.2</w:t>
            </w:r>
          </w:p>
        </w:tc>
        <w:tc>
          <w:tcPr>
            <w:tcW w:w="1842" w:type="dxa"/>
            <w:tcBorders>
              <w:top w:val="single" w:sz="4" w:space="0" w:color="365F91"/>
              <w:left w:val="nil"/>
              <w:bottom w:val="single" w:sz="4" w:space="0" w:color="365F91"/>
              <w:right w:val="nil"/>
            </w:tcBorders>
            <w:hideMark/>
          </w:tcPr>
          <w:p w14:paraId="5649FE3F" w14:textId="77777777" w:rsidR="00524720" w:rsidRPr="00D9348B" w:rsidRDefault="00524720">
            <w:pPr>
              <w:pStyle w:val="TableText"/>
              <w:spacing w:before="40" w:after="40"/>
              <w:jc w:val="center"/>
            </w:pPr>
            <w:r w:rsidRPr="00D9348B">
              <w:t>0.3</w:t>
            </w:r>
          </w:p>
        </w:tc>
        <w:tc>
          <w:tcPr>
            <w:tcW w:w="1843" w:type="dxa"/>
            <w:tcBorders>
              <w:top w:val="single" w:sz="4" w:space="0" w:color="365F91"/>
              <w:left w:val="nil"/>
              <w:bottom w:val="single" w:sz="4" w:space="0" w:color="365F91"/>
              <w:right w:val="nil"/>
            </w:tcBorders>
            <w:hideMark/>
          </w:tcPr>
          <w:p w14:paraId="6FAB931F" w14:textId="77777777" w:rsidR="00524720" w:rsidRPr="00D9348B" w:rsidRDefault="00524720">
            <w:pPr>
              <w:pStyle w:val="TableText"/>
              <w:spacing w:before="40" w:after="40"/>
              <w:jc w:val="center"/>
            </w:pPr>
            <w:r w:rsidRPr="00D9348B">
              <w:t>4.4</w:t>
            </w:r>
          </w:p>
        </w:tc>
        <w:tc>
          <w:tcPr>
            <w:tcW w:w="2109" w:type="dxa"/>
            <w:tcBorders>
              <w:top w:val="single" w:sz="4" w:space="0" w:color="365F91"/>
              <w:left w:val="nil"/>
              <w:bottom w:val="single" w:sz="4" w:space="0" w:color="365F91"/>
              <w:right w:val="nil"/>
            </w:tcBorders>
            <w:hideMark/>
          </w:tcPr>
          <w:p w14:paraId="2437FD1B" w14:textId="77777777" w:rsidR="00524720" w:rsidRPr="00D9348B" w:rsidRDefault="00524720">
            <w:pPr>
              <w:pStyle w:val="TableText"/>
              <w:spacing w:before="40" w:after="40"/>
              <w:jc w:val="center"/>
            </w:pPr>
            <w:r w:rsidRPr="00D9348B">
              <w:t>11.9</w:t>
            </w:r>
          </w:p>
        </w:tc>
      </w:tr>
      <w:tr w:rsidR="00524720" w:rsidRPr="00D9348B" w14:paraId="46CA4371" w14:textId="77777777" w:rsidTr="006F3194">
        <w:tc>
          <w:tcPr>
            <w:tcW w:w="1079" w:type="dxa"/>
            <w:tcBorders>
              <w:top w:val="single" w:sz="4" w:space="0" w:color="365F91"/>
              <w:left w:val="nil"/>
              <w:bottom w:val="single" w:sz="4" w:space="0" w:color="365F91"/>
              <w:right w:val="nil"/>
            </w:tcBorders>
            <w:hideMark/>
          </w:tcPr>
          <w:p w14:paraId="78762576" w14:textId="77777777" w:rsidR="00524720" w:rsidRPr="00D9348B" w:rsidRDefault="00524720">
            <w:pPr>
              <w:pStyle w:val="TableTextBold"/>
              <w:spacing w:before="40" w:after="40"/>
              <w:rPr>
                <w:noProof w:val="0"/>
              </w:rPr>
            </w:pPr>
            <w:r w:rsidRPr="00D9348B">
              <w:rPr>
                <w:noProof w:val="0"/>
              </w:rPr>
              <w:t>2005</w:t>
            </w:r>
          </w:p>
        </w:tc>
        <w:tc>
          <w:tcPr>
            <w:tcW w:w="1632" w:type="dxa"/>
            <w:tcBorders>
              <w:top w:val="single" w:sz="4" w:space="0" w:color="365F91"/>
              <w:left w:val="nil"/>
              <w:bottom w:val="single" w:sz="4" w:space="0" w:color="365F91"/>
              <w:right w:val="nil"/>
            </w:tcBorders>
            <w:hideMark/>
          </w:tcPr>
          <w:p w14:paraId="67880C23" w14:textId="77777777" w:rsidR="00524720" w:rsidRPr="00D9348B" w:rsidRDefault="00524720">
            <w:pPr>
              <w:pStyle w:val="TableText"/>
              <w:spacing w:before="40" w:after="40"/>
              <w:jc w:val="center"/>
            </w:pPr>
            <w:r w:rsidRPr="00D9348B">
              <w:t>5.3</w:t>
            </w:r>
          </w:p>
        </w:tc>
        <w:tc>
          <w:tcPr>
            <w:tcW w:w="1842" w:type="dxa"/>
            <w:tcBorders>
              <w:top w:val="single" w:sz="4" w:space="0" w:color="365F91"/>
              <w:left w:val="nil"/>
              <w:bottom w:val="single" w:sz="4" w:space="0" w:color="365F91"/>
              <w:right w:val="nil"/>
            </w:tcBorders>
            <w:hideMark/>
          </w:tcPr>
          <w:p w14:paraId="694686AF" w14:textId="77777777" w:rsidR="00524720" w:rsidRPr="00D9348B" w:rsidRDefault="00524720">
            <w:pPr>
              <w:pStyle w:val="TableText"/>
              <w:spacing w:before="40" w:after="40"/>
              <w:jc w:val="center"/>
            </w:pPr>
            <w:r w:rsidRPr="00D9348B">
              <w:t>0.3</w:t>
            </w:r>
          </w:p>
        </w:tc>
        <w:tc>
          <w:tcPr>
            <w:tcW w:w="1843" w:type="dxa"/>
            <w:tcBorders>
              <w:top w:val="single" w:sz="4" w:space="0" w:color="365F91"/>
              <w:left w:val="nil"/>
              <w:bottom w:val="single" w:sz="4" w:space="0" w:color="365F91"/>
              <w:right w:val="nil"/>
            </w:tcBorders>
            <w:hideMark/>
          </w:tcPr>
          <w:p w14:paraId="51A9DDF6" w14:textId="77777777" w:rsidR="00524720" w:rsidRPr="00D9348B" w:rsidRDefault="00524720">
            <w:pPr>
              <w:pStyle w:val="TableText"/>
              <w:spacing w:before="40" w:after="40"/>
              <w:jc w:val="center"/>
            </w:pPr>
            <w:r w:rsidRPr="00D9348B">
              <w:t>4.4</w:t>
            </w:r>
          </w:p>
        </w:tc>
        <w:tc>
          <w:tcPr>
            <w:tcW w:w="2109" w:type="dxa"/>
            <w:tcBorders>
              <w:top w:val="single" w:sz="4" w:space="0" w:color="365F91"/>
              <w:left w:val="nil"/>
              <w:bottom w:val="single" w:sz="4" w:space="0" w:color="365F91"/>
              <w:right w:val="nil"/>
            </w:tcBorders>
            <w:hideMark/>
          </w:tcPr>
          <w:p w14:paraId="7CB4FFE7" w14:textId="77777777" w:rsidR="00524720" w:rsidRPr="00D9348B" w:rsidRDefault="00524720">
            <w:pPr>
              <w:pStyle w:val="TableText"/>
              <w:spacing w:before="40" w:after="40"/>
              <w:jc w:val="center"/>
            </w:pPr>
            <w:r w:rsidRPr="00D9348B">
              <w:t>10.0</w:t>
            </w:r>
          </w:p>
        </w:tc>
      </w:tr>
      <w:tr w:rsidR="00524720" w:rsidRPr="00D9348B" w14:paraId="6BE75EDF" w14:textId="77777777" w:rsidTr="006F3194">
        <w:tc>
          <w:tcPr>
            <w:tcW w:w="1079" w:type="dxa"/>
            <w:tcBorders>
              <w:top w:val="single" w:sz="4" w:space="0" w:color="365F91"/>
              <w:left w:val="nil"/>
              <w:bottom w:val="single" w:sz="4" w:space="0" w:color="365F91"/>
              <w:right w:val="nil"/>
            </w:tcBorders>
            <w:hideMark/>
          </w:tcPr>
          <w:p w14:paraId="588A3013" w14:textId="77777777" w:rsidR="00524720" w:rsidRPr="00D9348B" w:rsidRDefault="00524720">
            <w:pPr>
              <w:pStyle w:val="TableTextBold"/>
              <w:spacing w:before="40" w:after="40"/>
              <w:rPr>
                <w:noProof w:val="0"/>
              </w:rPr>
            </w:pPr>
            <w:r w:rsidRPr="00D9348B">
              <w:rPr>
                <w:noProof w:val="0"/>
              </w:rPr>
              <w:t>2006</w:t>
            </w:r>
          </w:p>
        </w:tc>
        <w:tc>
          <w:tcPr>
            <w:tcW w:w="1632" w:type="dxa"/>
            <w:tcBorders>
              <w:top w:val="single" w:sz="4" w:space="0" w:color="365F91"/>
              <w:left w:val="nil"/>
              <w:bottom w:val="single" w:sz="4" w:space="0" w:color="365F91"/>
              <w:right w:val="nil"/>
            </w:tcBorders>
            <w:hideMark/>
          </w:tcPr>
          <w:p w14:paraId="48632391" w14:textId="77777777" w:rsidR="00524720" w:rsidRPr="00D9348B" w:rsidRDefault="00524720">
            <w:pPr>
              <w:pStyle w:val="TableText"/>
              <w:spacing w:before="40" w:after="40"/>
              <w:jc w:val="center"/>
            </w:pPr>
            <w:r w:rsidRPr="00D9348B">
              <w:t>3.2</w:t>
            </w:r>
          </w:p>
        </w:tc>
        <w:tc>
          <w:tcPr>
            <w:tcW w:w="1842" w:type="dxa"/>
            <w:tcBorders>
              <w:top w:val="single" w:sz="4" w:space="0" w:color="365F91"/>
              <w:left w:val="nil"/>
              <w:bottom w:val="single" w:sz="4" w:space="0" w:color="365F91"/>
              <w:right w:val="nil"/>
            </w:tcBorders>
            <w:hideMark/>
          </w:tcPr>
          <w:p w14:paraId="1E584346" w14:textId="77777777" w:rsidR="00524720" w:rsidRPr="00D9348B" w:rsidRDefault="00524720">
            <w:pPr>
              <w:pStyle w:val="TableText"/>
              <w:spacing w:before="40" w:after="40"/>
              <w:jc w:val="center"/>
            </w:pPr>
            <w:r w:rsidRPr="00D9348B">
              <w:t>0.3</w:t>
            </w:r>
          </w:p>
        </w:tc>
        <w:tc>
          <w:tcPr>
            <w:tcW w:w="1843" w:type="dxa"/>
            <w:tcBorders>
              <w:top w:val="single" w:sz="4" w:space="0" w:color="365F91"/>
              <w:left w:val="nil"/>
              <w:bottom w:val="single" w:sz="4" w:space="0" w:color="365F91"/>
              <w:right w:val="nil"/>
            </w:tcBorders>
            <w:hideMark/>
          </w:tcPr>
          <w:p w14:paraId="3B19A6DA" w14:textId="77777777" w:rsidR="00524720" w:rsidRPr="00D9348B" w:rsidRDefault="00524720">
            <w:pPr>
              <w:pStyle w:val="TableText"/>
              <w:spacing w:before="40" w:after="40"/>
              <w:jc w:val="center"/>
            </w:pPr>
            <w:r w:rsidRPr="00D9348B">
              <w:t>4.4</w:t>
            </w:r>
          </w:p>
        </w:tc>
        <w:tc>
          <w:tcPr>
            <w:tcW w:w="2109" w:type="dxa"/>
            <w:tcBorders>
              <w:top w:val="single" w:sz="4" w:space="0" w:color="365F91"/>
              <w:left w:val="nil"/>
              <w:bottom w:val="single" w:sz="4" w:space="0" w:color="365F91"/>
              <w:right w:val="nil"/>
            </w:tcBorders>
            <w:hideMark/>
          </w:tcPr>
          <w:p w14:paraId="6222CB8A" w14:textId="77777777" w:rsidR="00524720" w:rsidRPr="00D9348B" w:rsidRDefault="00524720">
            <w:pPr>
              <w:pStyle w:val="TableText"/>
              <w:spacing w:before="40" w:after="40"/>
              <w:jc w:val="center"/>
            </w:pPr>
            <w:r w:rsidRPr="00D9348B">
              <w:t>7.9</w:t>
            </w:r>
          </w:p>
        </w:tc>
      </w:tr>
      <w:tr w:rsidR="00524720" w:rsidRPr="00D9348B" w14:paraId="4FEC8F34" w14:textId="77777777" w:rsidTr="006F3194">
        <w:tc>
          <w:tcPr>
            <w:tcW w:w="1079" w:type="dxa"/>
            <w:tcBorders>
              <w:top w:val="single" w:sz="4" w:space="0" w:color="365F91"/>
              <w:left w:val="nil"/>
              <w:bottom w:val="single" w:sz="4" w:space="0" w:color="365F91"/>
              <w:right w:val="nil"/>
            </w:tcBorders>
            <w:hideMark/>
          </w:tcPr>
          <w:p w14:paraId="262F86E0" w14:textId="77777777" w:rsidR="00524720" w:rsidRPr="00D9348B" w:rsidRDefault="00524720">
            <w:pPr>
              <w:pStyle w:val="TableTextBold"/>
              <w:spacing w:before="40" w:after="40"/>
              <w:rPr>
                <w:noProof w:val="0"/>
              </w:rPr>
            </w:pPr>
            <w:r w:rsidRPr="00D9348B">
              <w:rPr>
                <w:noProof w:val="0"/>
              </w:rPr>
              <w:t>2007</w:t>
            </w:r>
          </w:p>
        </w:tc>
        <w:tc>
          <w:tcPr>
            <w:tcW w:w="1632" w:type="dxa"/>
            <w:tcBorders>
              <w:top w:val="single" w:sz="4" w:space="0" w:color="365F91"/>
              <w:left w:val="nil"/>
              <w:bottom w:val="single" w:sz="4" w:space="0" w:color="365F91"/>
              <w:right w:val="nil"/>
            </w:tcBorders>
            <w:hideMark/>
          </w:tcPr>
          <w:p w14:paraId="08560E94" w14:textId="77777777" w:rsidR="00524720" w:rsidRPr="00D9348B" w:rsidRDefault="00524720">
            <w:pPr>
              <w:pStyle w:val="TableText"/>
              <w:spacing w:before="40" w:after="40"/>
              <w:jc w:val="center"/>
            </w:pPr>
            <w:r w:rsidRPr="00D9348B">
              <w:t>0.6</w:t>
            </w:r>
          </w:p>
        </w:tc>
        <w:tc>
          <w:tcPr>
            <w:tcW w:w="1842" w:type="dxa"/>
            <w:tcBorders>
              <w:top w:val="single" w:sz="4" w:space="0" w:color="365F91"/>
              <w:left w:val="nil"/>
              <w:bottom w:val="single" w:sz="4" w:space="0" w:color="365F91"/>
              <w:right w:val="nil"/>
            </w:tcBorders>
            <w:hideMark/>
          </w:tcPr>
          <w:p w14:paraId="6879F704" w14:textId="77777777" w:rsidR="00524720" w:rsidRPr="00D9348B" w:rsidRDefault="00524720">
            <w:pPr>
              <w:pStyle w:val="TableText"/>
              <w:spacing w:before="40" w:after="40"/>
              <w:jc w:val="center"/>
            </w:pPr>
            <w:r w:rsidRPr="00D9348B">
              <w:t>0.3</w:t>
            </w:r>
          </w:p>
        </w:tc>
        <w:tc>
          <w:tcPr>
            <w:tcW w:w="1843" w:type="dxa"/>
            <w:tcBorders>
              <w:top w:val="single" w:sz="4" w:space="0" w:color="365F91"/>
              <w:left w:val="nil"/>
              <w:bottom w:val="single" w:sz="4" w:space="0" w:color="365F91"/>
              <w:right w:val="nil"/>
            </w:tcBorders>
            <w:hideMark/>
          </w:tcPr>
          <w:p w14:paraId="2A063796" w14:textId="77777777" w:rsidR="00524720" w:rsidRPr="00D9348B" w:rsidRDefault="00524720">
            <w:pPr>
              <w:pStyle w:val="TableText"/>
              <w:spacing w:before="40" w:after="40"/>
              <w:jc w:val="center"/>
            </w:pPr>
            <w:r w:rsidRPr="00D9348B">
              <w:t>4.4</w:t>
            </w:r>
          </w:p>
        </w:tc>
        <w:tc>
          <w:tcPr>
            <w:tcW w:w="2109" w:type="dxa"/>
            <w:tcBorders>
              <w:top w:val="single" w:sz="4" w:space="0" w:color="365F91"/>
              <w:left w:val="nil"/>
              <w:bottom w:val="single" w:sz="4" w:space="0" w:color="365F91"/>
              <w:right w:val="nil"/>
            </w:tcBorders>
            <w:hideMark/>
          </w:tcPr>
          <w:p w14:paraId="4B8F34E2" w14:textId="77777777" w:rsidR="00524720" w:rsidRPr="00D9348B" w:rsidRDefault="00524720">
            <w:pPr>
              <w:pStyle w:val="TableText"/>
              <w:spacing w:before="40" w:after="40"/>
              <w:jc w:val="center"/>
            </w:pPr>
            <w:r w:rsidRPr="00D9348B">
              <w:t>5.3</w:t>
            </w:r>
          </w:p>
        </w:tc>
      </w:tr>
      <w:tr w:rsidR="00524720" w:rsidRPr="00D9348B" w14:paraId="0D0F7887" w14:textId="77777777" w:rsidTr="006F3194">
        <w:tc>
          <w:tcPr>
            <w:tcW w:w="1079" w:type="dxa"/>
            <w:tcBorders>
              <w:top w:val="single" w:sz="4" w:space="0" w:color="365F91"/>
              <w:left w:val="nil"/>
              <w:bottom w:val="single" w:sz="4" w:space="0" w:color="365F91"/>
              <w:right w:val="nil"/>
            </w:tcBorders>
            <w:hideMark/>
          </w:tcPr>
          <w:p w14:paraId="413E9435" w14:textId="77777777" w:rsidR="00524720" w:rsidRPr="00D9348B" w:rsidRDefault="00524720">
            <w:pPr>
              <w:pStyle w:val="TableTextBold"/>
              <w:spacing w:before="40" w:after="40"/>
              <w:rPr>
                <w:noProof w:val="0"/>
              </w:rPr>
            </w:pPr>
            <w:r w:rsidRPr="00D9348B">
              <w:rPr>
                <w:noProof w:val="0"/>
              </w:rPr>
              <w:t>2008</w:t>
            </w:r>
          </w:p>
        </w:tc>
        <w:tc>
          <w:tcPr>
            <w:tcW w:w="1632" w:type="dxa"/>
            <w:tcBorders>
              <w:top w:val="single" w:sz="4" w:space="0" w:color="365F91"/>
              <w:left w:val="nil"/>
              <w:bottom w:val="single" w:sz="4" w:space="0" w:color="365F91"/>
              <w:right w:val="nil"/>
            </w:tcBorders>
            <w:hideMark/>
          </w:tcPr>
          <w:p w14:paraId="18C898B0" w14:textId="77777777" w:rsidR="00524720" w:rsidRPr="00D9348B" w:rsidRDefault="00524720">
            <w:pPr>
              <w:pStyle w:val="TableText"/>
              <w:spacing w:before="40" w:after="40"/>
              <w:jc w:val="center"/>
            </w:pPr>
            <w:r w:rsidRPr="00D9348B">
              <w:t>0.6</w:t>
            </w:r>
          </w:p>
        </w:tc>
        <w:tc>
          <w:tcPr>
            <w:tcW w:w="1842" w:type="dxa"/>
            <w:tcBorders>
              <w:top w:val="single" w:sz="4" w:space="0" w:color="365F91"/>
              <w:left w:val="nil"/>
              <w:bottom w:val="single" w:sz="4" w:space="0" w:color="365F91"/>
              <w:right w:val="nil"/>
            </w:tcBorders>
            <w:hideMark/>
          </w:tcPr>
          <w:p w14:paraId="62964CD6" w14:textId="77777777" w:rsidR="00524720" w:rsidRPr="00D9348B" w:rsidRDefault="00524720">
            <w:pPr>
              <w:pStyle w:val="TableText"/>
              <w:spacing w:before="40" w:after="40"/>
              <w:jc w:val="center"/>
            </w:pPr>
            <w:r w:rsidRPr="00D9348B">
              <w:t>0.3</w:t>
            </w:r>
          </w:p>
        </w:tc>
        <w:tc>
          <w:tcPr>
            <w:tcW w:w="1843" w:type="dxa"/>
            <w:tcBorders>
              <w:top w:val="single" w:sz="4" w:space="0" w:color="365F91"/>
              <w:left w:val="nil"/>
              <w:bottom w:val="single" w:sz="4" w:space="0" w:color="365F91"/>
              <w:right w:val="nil"/>
            </w:tcBorders>
            <w:hideMark/>
          </w:tcPr>
          <w:p w14:paraId="3B0E90B9" w14:textId="77777777" w:rsidR="00524720" w:rsidRPr="00D9348B" w:rsidRDefault="00524720">
            <w:pPr>
              <w:pStyle w:val="TableText"/>
              <w:spacing w:before="40" w:after="40"/>
              <w:jc w:val="center"/>
            </w:pPr>
            <w:r w:rsidRPr="00D9348B">
              <w:t>4.5</w:t>
            </w:r>
          </w:p>
        </w:tc>
        <w:tc>
          <w:tcPr>
            <w:tcW w:w="2109" w:type="dxa"/>
            <w:tcBorders>
              <w:top w:val="single" w:sz="4" w:space="0" w:color="365F91"/>
              <w:left w:val="nil"/>
              <w:bottom w:val="single" w:sz="4" w:space="0" w:color="365F91"/>
              <w:right w:val="nil"/>
            </w:tcBorders>
            <w:hideMark/>
          </w:tcPr>
          <w:p w14:paraId="38D2E106" w14:textId="77777777" w:rsidR="00524720" w:rsidRPr="00D9348B" w:rsidRDefault="00524720">
            <w:pPr>
              <w:pStyle w:val="TableText"/>
              <w:spacing w:before="40" w:after="40"/>
              <w:jc w:val="center"/>
            </w:pPr>
            <w:r w:rsidRPr="00D9348B">
              <w:t>5.4</w:t>
            </w:r>
          </w:p>
        </w:tc>
      </w:tr>
      <w:tr w:rsidR="00524720" w:rsidRPr="00D9348B" w14:paraId="1EA64478" w14:textId="77777777" w:rsidTr="006F3194">
        <w:tc>
          <w:tcPr>
            <w:tcW w:w="1079" w:type="dxa"/>
            <w:tcBorders>
              <w:top w:val="single" w:sz="4" w:space="0" w:color="365F91"/>
              <w:left w:val="nil"/>
              <w:bottom w:val="single" w:sz="4" w:space="0" w:color="365F91"/>
              <w:right w:val="nil"/>
            </w:tcBorders>
            <w:hideMark/>
          </w:tcPr>
          <w:p w14:paraId="258F8240" w14:textId="77777777" w:rsidR="00524720" w:rsidRPr="00D9348B" w:rsidRDefault="00524720">
            <w:pPr>
              <w:pStyle w:val="TableTextBold"/>
              <w:spacing w:before="40" w:after="40"/>
              <w:rPr>
                <w:noProof w:val="0"/>
              </w:rPr>
            </w:pPr>
            <w:r w:rsidRPr="00D9348B">
              <w:rPr>
                <w:noProof w:val="0"/>
              </w:rPr>
              <w:t>2009</w:t>
            </w:r>
          </w:p>
        </w:tc>
        <w:tc>
          <w:tcPr>
            <w:tcW w:w="1632" w:type="dxa"/>
            <w:tcBorders>
              <w:top w:val="single" w:sz="4" w:space="0" w:color="365F91"/>
              <w:left w:val="nil"/>
              <w:bottom w:val="single" w:sz="4" w:space="0" w:color="365F91"/>
              <w:right w:val="nil"/>
            </w:tcBorders>
            <w:hideMark/>
          </w:tcPr>
          <w:p w14:paraId="0D84955D" w14:textId="77777777" w:rsidR="00524720" w:rsidRPr="00D9348B" w:rsidRDefault="00524720">
            <w:pPr>
              <w:pStyle w:val="TableText"/>
              <w:spacing w:before="40" w:after="40"/>
              <w:jc w:val="center"/>
            </w:pPr>
            <w:r w:rsidRPr="00D9348B">
              <w:t>0.6</w:t>
            </w:r>
          </w:p>
        </w:tc>
        <w:tc>
          <w:tcPr>
            <w:tcW w:w="1842" w:type="dxa"/>
            <w:tcBorders>
              <w:top w:val="single" w:sz="4" w:space="0" w:color="365F91"/>
              <w:left w:val="nil"/>
              <w:bottom w:val="single" w:sz="4" w:space="0" w:color="365F91"/>
              <w:right w:val="nil"/>
            </w:tcBorders>
            <w:hideMark/>
          </w:tcPr>
          <w:p w14:paraId="3262C888" w14:textId="77777777" w:rsidR="00524720" w:rsidRPr="00D9348B" w:rsidRDefault="00524720">
            <w:pPr>
              <w:pStyle w:val="TableText"/>
              <w:spacing w:before="40" w:after="40"/>
              <w:jc w:val="center"/>
            </w:pPr>
            <w:r w:rsidRPr="00D9348B">
              <w:t>0.3</w:t>
            </w:r>
          </w:p>
        </w:tc>
        <w:tc>
          <w:tcPr>
            <w:tcW w:w="1843" w:type="dxa"/>
            <w:tcBorders>
              <w:top w:val="single" w:sz="4" w:space="0" w:color="365F91"/>
              <w:left w:val="nil"/>
              <w:bottom w:val="single" w:sz="4" w:space="0" w:color="365F91"/>
              <w:right w:val="nil"/>
            </w:tcBorders>
            <w:hideMark/>
          </w:tcPr>
          <w:p w14:paraId="12B3E8A5" w14:textId="77777777" w:rsidR="00524720" w:rsidRPr="00D9348B" w:rsidRDefault="00524720">
            <w:pPr>
              <w:pStyle w:val="TableText"/>
              <w:spacing w:before="40" w:after="40"/>
              <w:jc w:val="center"/>
            </w:pPr>
            <w:r w:rsidRPr="00D9348B">
              <w:t>4.5</w:t>
            </w:r>
          </w:p>
        </w:tc>
        <w:tc>
          <w:tcPr>
            <w:tcW w:w="2109" w:type="dxa"/>
            <w:tcBorders>
              <w:top w:val="single" w:sz="4" w:space="0" w:color="365F91"/>
              <w:left w:val="nil"/>
              <w:bottom w:val="single" w:sz="4" w:space="0" w:color="365F91"/>
              <w:right w:val="nil"/>
            </w:tcBorders>
            <w:hideMark/>
          </w:tcPr>
          <w:p w14:paraId="1AF0B040" w14:textId="77777777" w:rsidR="00524720" w:rsidRPr="00D9348B" w:rsidRDefault="00524720">
            <w:pPr>
              <w:pStyle w:val="TableText"/>
              <w:spacing w:before="40" w:after="40"/>
              <w:jc w:val="center"/>
            </w:pPr>
            <w:r w:rsidRPr="00D9348B">
              <w:t>5.4</w:t>
            </w:r>
          </w:p>
        </w:tc>
      </w:tr>
      <w:tr w:rsidR="00524720" w:rsidRPr="00D9348B" w14:paraId="783DC8B0" w14:textId="77777777" w:rsidTr="006F3194">
        <w:tc>
          <w:tcPr>
            <w:tcW w:w="1079" w:type="dxa"/>
            <w:tcBorders>
              <w:top w:val="single" w:sz="4" w:space="0" w:color="365F91"/>
              <w:left w:val="nil"/>
              <w:bottom w:val="single" w:sz="4" w:space="0" w:color="365F91"/>
              <w:right w:val="nil"/>
            </w:tcBorders>
            <w:hideMark/>
          </w:tcPr>
          <w:p w14:paraId="6B9D726D" w14:textId="77777777" w:rsidR="00524720" w:rsidRPr="00D9348B" w:rsidRDefault="00524720">
            <w:pPr>
              <w:pStyle w:val="TableTextBold"/>
              <w:spacing w:before="40" w:after="40"/>
              <w:rPr>
                <w:noProof w:val="0"/>
              </w:rPr>
            </w:pPr>
            <w:r w:rsidRPr="00D9348B">
              <w:rPr>
                <w:noProof w:val="0"/>
              </w:rPr>
              <w:t>2010</w:t>
            </w:r>
          </w:p>
        </w:tc>
        <w:tc>
          <w:tcPr>
            <w:tcW w:w="1632" w:type="dxa"/>
            <w:tcBorders>
              <w:top w:val="single" w:sz="4" w:space="0" w:color="365F91"/>
              <w:left w:val="nil"/>
              <w:bottom w:val="single" w:sz="4" w:space="0" w:color="365F91"/>
              <w:right w:val="nil"/>
            </w:tcBorders>
            <w:hideMark/>
          </w:tcPr>
          <w:p w14:paraId="123BC0B4" w14:textId="77777777" w:rsidR="00524720" w:rsidRPr="00D9348B" w:rsidRDefault="00524720">
            <w:pPr>
              <w:pStyle w:val="TableText"/>
              <w:spacing w:before="40" w:after="40"/>
              <w:jc w:val="center"/>
            </w:pPr>
            <w:r w:rsidRPr="00D9348B">
              <w:t>0.6</w:t>
            </w:r>
          </w:p>
        </w:tc>
        <w:tc>
          <w:tcPr>
            <w:tcW w:w="1842" w:type="dxa"/>
            <w:tcBorders>
              <w:top w:val="single" w:sz="4" w:space="0" w:color="365F91"/>
              <w:left w:val="nil"/>
              <w:bottom w:val="single" w:sz="4" w:space="0" w:color="365F91"/>
              <w:right w:val="nil"/>
            </w:tcBorders>
            <w:hideMark/>
          </w:tcPr>
          <w:p w14:paraId="195C6BAC" w14:textId="77777777" w:rsidR="00524720" w:rsidRPr="00D9348B" w:rsidRDefault="00524720">
            <w:pPr>
              <w:pStyle w:val="TableText"/>
              <w:spacing w:before="40" w:after="40"/>
              <w:jc w:val="center"/>
            </w:pPr>
            <w:r w:rsidRPr="00D9348B">
              <w:t>0.3</w:t>
            </w:r>
          </w:p>
        </w:tc>
        <w:tc>
          <w:tcPr>
            <w:tcW w:w="1843" w:type="dxa"/>
            <w:tcBorders>
              <w:top w:val="single" w:sz="4" w:space="0" w:color="365F91"/>
              <w:left w:val="nil"/>
              <w:bottom w:val="single" w:sz="4" w:space="0" w:color="365F91"/>
              <w:right w:val="nil"/>
            </w:tcBorders>
            <w:hideMark/>
          </w:tcPr>
          <w:p w14:paraId="099B5465" w14:textId="77777777" w:rsidR="00524720" w:rsidRPr="00D9348B" w:rsidRDefault="00524720">
            <w:pPr>
              <w:pStyle w:val="TableText"/>
              <w:spacing w:before="40" w:after="40"/>
              <w:jc w:val="center"/>
            </w:pPr>
            <w:r w:rsidRPr="00D9348B">
              <w:t>4.5</w:t>
            </w:r>
          </w:p>
        </w:tc>
        <w:tc>
          <w:tcPr>
            <w:tcW w:w="2109" w:type="dxa"/>
            <w:tcBorders>
              <w:top w:val="single" w:sz="4" w:space="0" w:color="365F91"/>
              <w:left w:val="nil"/>
              <w:bottom w:val="single" w:sz="4" w:space="0" w:color="365F91"/>
              <w:right w:val="nil"/>
            </w:tcBorders>
            <w:hideMark/>
          </w:tcPr>
          <w:p w14:paraId="27014EEE" w14:textId="77777777" w:rsidR="00524720" w:rsidRPr="00D9348B" w:rsidRDefault="00524720">
            <w:pPr>
              <w:pStyle w:val="TableText"/>
              <w:spacing w:before="40" w:after="40"/>
              <w:jc w:val="center"/>
            </w:pPr>
            <w:r w:rsidRPr="00D9348B">
              <w:t>5.4</w:t>
            </w:r>
          </w:p>
        </w:tc>
      </w:tr>
      <w:tr w:rsidR="00524720" w:rsidRPr="00D9348B" w14:paraId="7F1DAD09" w14:textId="77777777" w:rsidTr="006F3194">
        <w:tc>
          <w:tcPr>
            <w:tcW w:w="1079" w:type="dxa"/>
            <w:tcBorders>
              <w:top w:val="single" w:sz="4" w:space="0" w:color="365F91"/>
              <w:left w:val="nil"/>
              <w:bottom w:val="single" w:sz="4" w:space="0" w:color="365F91"/>
              <w:right w:val="nil"/>
            </w:tcBorders>
            <w:hideMark/>
          </w:tcPr>
          <w:p w14:paraId="75490C08" w14:textId="77777777" w:rsidR="00524720" w:rsidRPr="00D9348B" w:rsidRDefault="00524720">
            <w:pPr>
              <w:pStyle w:val="TableTextBold"/>
              <w:spacing w:before="40" w:after="40"/>
              <w:rPr>
                <w:noProof w:val="0"/>
              </w:rPr>
            </w:pPr>
            <w:r w:rsidRPr="00D9348B">
              <w:rPr>
                <w:noProof w:val="0"/>
              </w:rPr>
              <w:t>2011</w:t>
            </w:r>
          </w:p>
        </w:tc>
        <w:tc>
          <w:tcPr>
            <w:tcW w:w="1632" w:type="dxa"/>
            <w:tcBorders>
              <w:top w:val="single" w:sz="4" w:space="0" w:color="365F91"/>
              <w:left w:val="nil"/>
              <w:bottom w:val="single" w:sz="4" w:space="0" w:color="365F91"/>
              <w:right w:val="nil"/>
            </w:tcBorders>
            <w:hideMark/>
          </w:tcPr>
          <w:p w14:paraId="0E5F981A" w14:textId="77777777" w:rsidR="00524720" w:rsidRPr="00D9348B" w:rsidRDefault="00524720">
            <w:pPr>
              <w:pStyle w:val="TableText"/>
              <w:spacing w:before="40" w:after="40"/>
              <w:jc w:val="center"/>
            </w:pPr>
            <w:r w:rsidRPr="00D9348B">
              <w:t>0.6</w:t>
            </w:r>
          </w:p>
        </w:tc>
        <w:tc>
          <w:tcPr>
            <w:tcW w:w="1842" w:type="dxa"/>
            <w:tcBorders>
              <w:top w:val="single" w:sz="4" w:space="0" w:color="365F91"/>
              <w:left w:val="nil"/>
              <w:bottom w:val="single" w:sz="4" w:space="0" w:color="365F91"/>
              <w:right w:val="nil"/>
            </w:tcBorders>
            <w:hideMark/>
          </w:tcPr>
          <w:p w14:paraId="045AE767" w14:textId="77777777" w:rsidR="00524720" w:rsidRPr="00D9348B" w:rsidRDefault="00524720">
            <w:pPr>
              <w:pStyle w:val="TableText"/>
              <w:spacing w:before="40" w:after="40"/>
              <w:jc w:val="center"/>
            </w:pPr>
            <w:r w:rsidRPr="00D9348B">
              <w:t>0.3</w:t>
            </w:r>
          </w:p>
        </w:tc>
        <w:tc>
          <w:tcPr>
            <w:tcW w:w="1843" w:type="dxa"/>
            <w:tcBorders>
              <w:top w:val="single" w:sz="4" w:space="0" w:color="365F91"/>
              <w:left w:val="nil"/>
              <w:bottom w:val="single" w:sz="4" w:space="0" w:color="365F91"/>
              <w:right w:val="nil"/>
            </w:tcBorders>
            <w:hideMark/>
          </w:tcPr>
          <w:p w14:paraId="2E6C189C" w14:textId="77777777" w:rsidR="00524720" w:rsidRPr="00D9348B" w:rsidRDefault="00524720">
            <w:pPr>
              <w:pStyle w:val="TableText"/>
              <w:spacing w:before="40" w:after="40"/>
              <w:jc w:val="center"/>
            </w:pPr>
            <w:r w:rsidRPr="00D9348B">
              <w:t>4.5</w:t>
            </w:r>
          </w:p>
        </w:tc>
        <w:tc>
          <w:tcPr>
            <w:tcW w:w="2109" w:type="dxa"/>
            <w:tcBorders>
              <w:top w:val="single" w:sz="4" w:space="0" w:color="365F91"/>
              <w:left w:val="nil"/>
              <w:bottom w:val="single" w:sz="4" w:space="0" w:color="365F91"/>
              <w:right w:val="nil"/>
            </w:tcBorders>
            <w:hideMark/>
          </w:tcPr>
          <w:p w14:paraId="03F8E960" w14:textId="77777777" w:rsidR="00524720" w:rsidRPr="00D9348B" w:rsidRDefault="00524720">
            <w:pPr>
              <w:pStyle w:val="TableText"/>
              <w:spacing w:before="40" w:after="40"/>
              <w:jc w:val="center"/>
            </w:pPr>
            <w:r w:rsidRPr="00D9348B">
              <w:t>5.4</w:t>
            </w:r>
          </w:p>
        </w:tc>
      </w:tr>
      <w:tr w:rsidR="00524720" w:rsidRPr="00D9348B" w14:paraId="7DDAEDE6" w14:textId="77777777" w:rsidTr="006F3194">
        <w:tc>
          <w:tcPr>
            <w:tcW w:w="1079" w:type="dxa"/>
            <w:tcBorders>
              <w:top w:val="single" w:sz="4" w:space="0" w:color="365F91"/>
              <w:left w:val="nil"/>
              <w:bottom w:val="single" w:sz="4" w:space="0" w:color="365F91"/>
              <w:right w:val="nil"/>
            </w:tcBorders>
            <w:hideMark/>
          </w:tcPr>
          <w:p w14:paraId="30843612" w14:textId="77777777" w:rsidR="00524720" w:rsidRPr="00D9348B" w:rsidRDefault="00524720">
            <w:pPr>
              <w:pStyle w:val="TableTextBold"/>
              <w:spacing w:before="40" w:after="40"/>
              <w:rPr>
                <w:noProof w:val="0"/>
              </w:rPr>
            </w:pPr>
            <w:r w:rsidRPr="00D9348B">
              <w:rPr>
                <w:noProof w:val="0"/>
              </w:rPr>
              <w:t>2012</w:t>
            </w:r>
          </w:p>
        </w:tc>
        <w:tc>
          <w:tcPr>
            <w:tcW w:w="1632" w:type="dxa"/>
            <w:tcBorders>
              <w:top w:val="single" w:sz="4" w:space="0" w:color="365F91"/>
              <w:left w:val="nil"/>
              <w:bottom w:val="single" w:sz="4" w:space="0" w:color="365F91"/>
              <w:right w:val="nil"/>
            </w:tcBorders>
            <w:hideMark/>
          </w:tcPr>
          <w:p w14:paraId="5B1B177F" w14:textId="77777777" w:rsidR="00524720" w:rsidRPr="00D9348B" w:rsidRDefault="00524720">
            <w:pPr>
              <w:pStyle w:val="TableText"/>
              <w:spacing w:before="40" w:after="40"/>
              <w:jc w:val="center"/>
            </w:pPr>
            <w:r w:rsidRPr="00D9348B">
              <w:t>0.6</w:t>
            </w:r>
          </w:p>
        </w:tc>
        <w:tc>
          <w:tcPr>
            <w:tcW w:w="1842" w:type="dxa"/>
            <w:tcBorders>
              <w:top w:val="single" w:sz="4" w:space="0" w:color="365F91"/>
              <w:left w:val="nil"/>
              <w:bottom w:val="single" w:sz="4" w:space="0" w:color="365F91"/>
              <w:right w:val="nil"/>
            </w:tcBorders>
            <w:hideMark/>
          </w:tcPr>
          <w:p w14:paraId="39613D80" w14:textId="77777777" w:rsidR="00524720" w:rsidRPr="00D9348B" w:rsidRDefault="00524720">
            <w:pPr>
              <w:pStyle w:val="TableText"/>
              <w:spacing w:before="40" w:after="40"/>
              <w:jc w:val="center"/>
            </w:pPr>
            <w:r w:rsidRPr="00D9348B">
              <w:t>0.3</w:t>
            </w:r>
          </w:p>
        </w:tc>
        <w:tc>
          <w:tcPr>
            <w:tcW w:w="1843" w:type="dxa"/>
            <w:tcBorders>
              <w:top w:val="single" w:sz="4" w:space="0" w:color="365F91"/>
              <w:left w:val="nil"/>
              <w:bottom w:val="single" w:sz="4" w:space="0" w:color="365F91"/>
              <w:right w:val="nil"/>
            </w:tcBorders>
            <w:hideMark/>
          </w:tcPr>
          <w:p w14:paraId="62813396" w14:textId="77777777" w:rsidR="00524720" w:rsidRPr="00D9348B" w:rsidRDefault="00524720">
            <w:pPr>
              <w:pStyle w:val="TableText"/>
              <w:spacing w:before="40" w:after="40"/>
              <w:jc w:val="center"/>
            </w:pPr>
            <w:r w:rsidRPr="00D9348B">
              <w:t>4.5</w:t>
            </w:r>
          </w:p>
        </w:tc>
        <w:tc>
          <w:tcPr>
            <w:tcW w:w="2109" w:type="dxa"/>
            <w:tcBorders>
              <w:top w:val="single" w:sz="4" w:space="0" w:color="365F91"/>
              <w:left w:val="nil"/>
              <w:bottom w:val="single" w:sz="4" w:space="0" w:color="365F91"/>
              <w:right w:val="nil"/>
            </w:tcBorders>
            <w:hideMark/>
          </w:tcPr>
          <w:p w14:paraId="11A4E467" w14:textId="77777777" w:rsidR="00524720" w:rsidRPr="00D9348B" w:rsidRDefault="00524720">
            <w:pPr>
              <w:pStyle w:val="TableText"/>
              <w:spacing w:before="40" w:after="40"/>
              <w:jc w:val="center"/>
            </w:pPr>
            <w:r w:rsidRPr="00D9348B">
              <w:t>5.4</w:t>
            </w:r>
          </w:p>
        </w:tc>
      </w:tr>
      <w:tr w:rsidR="00524720" w:rsidRPr="00D9348B" w14:paraId="7B4FD0D0" w14:textId="77777777" w:rsidTr="006F3194">
        <w:tc>
          <w:tcPr>
            <w:tcW w:w="1079" w:type="dxa"/>
            <w:tcBorders>
              <w:top w:val="single" w:sz="4" w:space="0" w:color="365F91"/>
              <w:left w:val="nil"/>
              <w:bottom w:val="single" w:sz="4" w:space="0" w:color="365F91"/>
              <w:right w:val="nil"/>
            </w:tcBorders>
            <w:hideMark/>
          </w:tcPr>
          <w:p w14:paraId="52E59062" w14:textId="77777777" w:rsidR="00524720" w:rsidRPr="00D9348B" w:rsidRDefault="00524720">
            <w:pPr>
              <w:pStyle w:val="TableTextBold"/>
              <w:spacing w:before="40" w:after="40"/>
              <w:rPr>
                <w:noProof w:val="0"/>
              </w:rPr>
            </w:pPr>
            <w:r w:rsidRPr="00D9348B">
              <w:rPr>
                <w:noProof w:val="0"/>
              </w:rPr>
              <w:t>2013</w:t>
            </w:r>
          </w:p>
        </w:tc>
        <w:tc>
          <w:tcPr>
            <w:tcW w:w="1632" w:type="dxa"/>
            <w:tcBorders>
              <w:top w:val="single" w:sz="4" w:space="0" w:color="365F91"/>
              <w:left w:val="nil"/>
              <w:bottom w:val="single" w:sz="4" w:space="0" w:color="365F91"/>
              <w:right w:val="nil"/>
            </w:tcBorders>
            <w:hideMark/>
          </w:tcPr>
          <w:p w14:paraId="4BE0D4F2" w14:textId="77777777" w:rsidR="00524720" w:rsidRPr="00D9348B" w:rsidRDefault="00524720">
            <w:pPr>
              <w:pStyle w:val="TableText"/>
              <w:spacing w:before="40" w:after="40"/>
              <w:jc w:val="center"/>
            </w:pPr>
            <w:r w:rsidRPr="00D9348B">
              <w:t>0.6</w:t>
            </w:r>
          </w:p>
        </w:tc>
        <w:tc>
          <w:tcPr>
            <w:tcW w:w="1842" w:type="dxa"/>
            <w:tcBorders>
              <w:top w:val="single" w:sz="4" w:space="0" w:color="365F91"/>
              <w:left w:val="nil"/>
              <w:bottom w:val="single" w:sz="4" w:space="0" w:color="365F91"/>
              <w:right w:val="nil"/>
            </w:tcBorders>
            <w:hideMark/>
          </w:tcPr>
          <w:p w14:paraId="0B561D7C" w14:textId="77777777" w:rsidR="00524720" w:rsidRPr="00D9348B" w:rsidRDefault="00524720">
            <w:pPr>
              <w:pStyle w:val="TableText"/>
              <w:spacing w:before="40" w:after="40"/>
              <w:jc w:val="center"/>
            </w:pPr>
            <w:r w:rsidRPr="00D9348B">
              <w:t>0.3</w:t>
            </w:r>
          </w:p>
        </w:tc>
        <w:tc>
          <w:tcPr>
            <w:tcW w:w="1843" w:type="dxa"/>
            <w:tcBorders>
              <w:top w:val="single" w:sz="4" w:space="0" w:color="365F91"/>
              <w:left w:val="nil"/>
              <w:bottom w:val="single" w:sz="4" w:space="0" w:color="365F91"/>
              <w:right w:val="nil"/>
            </w:tcBorders>
            <w:hideMark/>
          </w:tcPr>
          <w:p w14:paraId="01B5E229" w14:textId="77777777" w:rsidR="00524720" w:rsidRPr="00D9348B" w:rsidRDefault="00524720">
            <w:pPr>
              <w:pStyle w:val="TableText"/>
              <w:spacing w:before="40" w:after="40"/>
              <w:jc w:val="center"/>
            </w:pPr>
            <w:r w:rsidRPr="00D9348B">
              <w:t>4.5</w:t>
            </w:r>
          </w:p>
        </w:tc>
        <w:tc>
          <w:tcPr>
            <w:tcW w:w="2109" w:type="dxa"/>
            <w:tcBorders>
              <w:top w:val="single" w:sz="4" w:space="0" w:color="365F91"/>
              <w:left w:val="nil"/>
              <w:bottom w:val="single" w:sz="4" w:space="0" w:color="365F91"/>
              <w:right w:val="nil"/>
            </w:tcBorders>
            <w:hideMark/>
          </w:tcPr>
          <w:p w14:paraId="39B1F6A4" w14:textId="77777777" w:rsidR="00524720" w:rsidRPr="00D9348B" w:rsidRDefault="00524720">
            <w:pPr>
              <w:pStyle w:val="TableText"/>
              <w:spacing w:before="40" w:after="40"/>
              <w:jc w:val="center"/>
            </w:pPr>
            <w:r w:rsidRPr="00D9348B">
              <w:t>5.4</w:t>
            </w:r>
          </w:p>
        </w:tc>
      </w:tr>
      <w:tr w:rsidR="00524720" w:rsidRPr="00D9348B" w14:paraId="7597D454" w14:textId="77777777" w:rsidTr="006F3194">
        <w:tc>
          <w:tcPr>
            <w:tcW w:w="1079" w:type="dxa"/>
            <w:tcBorders>
              <w:top w:val="single" w:sz="4" w:space="0" w:color="365F91"/>
              <w:left w:val="nil"/>
              <w:bottom w:val="single" w:sz="4" w:space="0" w:color="365F91"/>
              <w:right w:val="nil"/>
            </w:tcBorders>
            <w:hideMark/>
          </w:tcPr>
          <w:p w14:paraId="400AA73C" w14:textId="77777777" w:rsidR="00524720" w:rsidRPr="00D9348B" w:rsidRDefault="00524720">
            <w:pPr>
              <w:pStyle w:val="TableTextBold"/>
              <w:spacing w:before="40" w:after="40"/>
              <w:rPr>
                <w:noProof w:val="0"/>
              </w:rPr>
            </w:pPr>
            <w:r w:rsidRPr="00D9348B">
              <w:rPr>
                <w:noProof w:val="0"/>
              </w:rPr>
              <w:t>2014</w:t>
            </w:r>
          </w:p>
        </w:tc>
        <w:tc>
          <w:tcPr>
            <w:tcW w:w="1632" w:type="dxa"/>
            <w:tcBorders>
              <w:top w:val="single" w:sz="4" w:space="0" w:color="365F91"/>
              <w:left w:val="nil"/>
              <w:bottom w:val="single" w:sz="4" w:space="0" w:color="365F91"/>
              <w:right w:val="nil"/>
            </w:tcBorders>
            <w:hideMark/>
          </w:tcPr>
          <w:p w14:paraId="73BE8362" w14:textId="77777777" w:rsidR="00524720" w:rsidRPr="00D9348B" w:rsidRDefault="00524720">
            <w:pPr>
              <w:pStyle w:val="TableText"/>
              <w:spacing w:before="40" w:after="40"/>
              <w:jc w:val="center"/>
            </w:pPr>
            <w:r w:rsidRPr="00D9348B">
              <w:t>0.6</w:t>
            </w:r>
          </w:p>
        </w:tc>
        <w:tc>
          <w:tcPr>
            <w:tcW w:w="1842" w:type="dxa"/>
            <w:tcBorders>
              <w:top w:val="single" w:sz="4" w:space="0" w:color="365F91"/>
              <w:left w:val="nil"/>
              <w:bottom w:val="single" w:sz="4" w:space="0" w:color="365F91"/>
              <w:right w:val="nil"/>
            </w:tcBorders>
            <w:hideMark/>
          </w:tcPr>
          <w:p w14:paraId="6EC33797" w14:textId="77777777" w:rsidR="00524720" w:rsidRPr="00D9348B" w:rsidRDefault="00524720">
            <w:pPr>
              <w:pStyle w:val="TableText"/>
              <w:spacing w:before="40" w:after="40"/>
              <w:jc w:val="center"/>
            </w:pPr>
            <w:r w:rsidRPr="00D9348B">
              <w:t>0.3</w:t>
            </w:r>
          </w:p>
        </w:tc>
        <w:tc>
          <w:tcPr>
            <w:tcW w:w="1843" w:type="dxa"/>
            <w:tcBorders>
              <w:top w:val="single" w:sz="4" w:space="0" w:color="365F91"/>
              <w:left w:val="nil"/>
              <w:bottom w:val="single" w:sz="4" w:space="0" w:color="365F91"/>
              <w:right w:val="nil"/>
            </w:tcBorders>
            <w:hideMark/>
          </w:tcPr>
          <w:p w14:paraId="523898C3" w14:textId="77777777" w:rsidR="00524720" w:rsidRPr="00D9348B" w:rsidRDefault="00524720">
            <w:pPr>
              <w:pStyle w:val="TableText"/>
              <w:spacing w:before="40" w:after="40"/>
              <w:jc w:val="center"/>
            </w:pPr>
            <w:r w:rsidRPr="00D9348B">
              <w:t>4.5</w:t>
            </w:r>
          </w:p>
        </w:tc>
        <w:tc>
          <w:tcPr>
            <w:tcW w:w="2109" w:type="dxa"/>
            <w:tcBorders>
              <w:top w:val="single" w:sz="4" w:space="0" w:color="365F91"/>
              <w:left w:val="nil"/>
              <w:bottom w:val="single" w:sz="4" w:space="0" w:color="365F91"/>
              <w:right w:val="nil"/>
            </w:tcBorders>
            <w:hideMark/>
          </w:tcPr>
          <w:p w14:paraId="604942E2" w14:textId="77777777" w:rsidR="00524720" w:rsidRPr="00D9348B" w:rsidRDefault="00524720">
            <w:pPr>
              <w:pStyle w:val="TableText"/>
              <w:spacing w:before="40" w:after="40"/>
              <w:jc w:val="center"/>
            </w:pPr>
            <w:r w:rsidRPr="00D9348B">
              <w:t>5.4</w:t>
            </w:r>
          </w:p>
        </w:tc>
      </w:tr>
      <w:tr w:rsidR="00524720" w:rsidRPr="00D9348B" w14:paraId="1B41970C" w14:textId="77777777" w:rsidTr="006F3194">
        <w:tc>
          <w:tcPr>
            <w:tcW w:w="1079" w:type="dxa"/>
            <w:tcBorders>
              <w:top w:val="single" w:sz="4" w:space="0" w:color="365F91"/>
              <w:left w:val="nil"/>
              <w:bottom w:val="single" w:sz="4" w:space="0" w:color="365F91"/>
              <w:right w:val="nil"/>
            </w:tcBorders>
            <w:hideMark/>
          </w:tcPr>
          <w:p w14:paraId="5CB9A0DC" w14:textId="77777777" w:rsidR="00524720" w:rsidRPr="00D9348B" w:rsidRDefault="00524720">
            <w:pPr>
              <w:pStyle w:val="TableTextBold"/>
              <w:spacing w:before="40" w:after="40"/>
              <w:rPr>
                <w:noProof w:val="0"/>
              </w:rPr>
            </w:pPr>
            <w:r w:rsidRPr="00D9348B">
              <w:rPr>
                <w:noProof w:val="0"/>
              </w:rPr>
              <w:t>2015</w:t>
            </w:r>
          </w:p>
        </w:tc>
        <w:tc>
          <w:tcPr>
            <w:tcW w:w="1632" w:type="dxa"/>
            <w:tcBorders>
              <w:top w:val="single" w:sz="4" w:space="0" w:color="365F91"/>
              <w:left w:val="nil"/>
              <w:bottom w:val="single" w:sz="4" w:space="0" w:color="365F91"/>
              <w:right w:val="nil"/>
            </w:tcBorders>
            <w:hideMark/>
          </w:tcPr>
          <w:p w14:paraId="585D0BFC" w14:textId="77777777" w:rsidR="00524720" w:rsidRPr="00D9348B" w:rsidRDefault="00524720">
            <w:pPr>
              <w:pStyle w:val="TableText"/>
              <w:spacing w:before="40" w:after="40"/>
              <w:jc w:val="center"/>
            </w:pPr>
            <w:r w:rsidRPr="00D9348B">
              <w:t>0.6</w:t>
            </w:r>
          </w:p>
        </w:tc>
        <w:tc>
          <w:tcPr>
            <w:tcW w:w="1842" w:type="dxa"/>
            <w:tcBorders>
              <w:top w:val="single" w:sz="4" w:space="0" w:color="365F91"/>
              <w:left w:val="nil"/>
              <w:bottom w:val="single" w:sz="4" w:space="0" w:color="365F91"/>
              <w:right w:val="nil"/>
            </w:tcBorders>
            <w:hideMark/>
          </w:tcPr>
          <w:p w14:paraId="04A1AA40" w14:textId="77777777" w:rsidR="00524720" w:rsidRPr="00D9348B" w:rsidRDefault="00524720">
            <w:pPr>
              <w:pStyle w:val="TableText"/>
              <w:spacing w:before="40" w:after="40"/>
              <w:jc w:val="center"/>
            </w:pPr>
            <w:r w:rsidRPr="00D9348B">
              <w:t>0.3</w:t>
            </w:r>
          </w:p>
        </w:tc>
        <w:tc>
          <w:tcPr>
            <w:tcW w:w="1843" w:type="dxa"/>
            <w:tcBorders>
              <w:top w:val="single" w:sz="4" w:space="0" w:color="365F91"/>
              <w:left w:val="nil"/>
              <w:bottom w:val="single" w:sz="4" w:space="0" w:color="365F91"/>
              <w:right w:val="nil"/>
            </w:tcBorders>
            <w:hideMark/>
          </w:tcPr>
          <w:p w14:paraId="490D1BB6" w14:textId="77777777" w:rsidR="00524720" w:rsidRPr="00D9348B" w:rsidRDefault="00524720">
            <w:pPr>
              <w:pStyle w:val="TableText"/>
              <w:spacing w:before="40" w:after="40"/>
              <w:jc w:val="center"/>
            </w:pPr>
            <w:r w:rsidRPr="00D9348B">
              <w:t>4.5</w:t>
            </w:r>
          </w:p>
        </w:tc>
        <w:tc>
          <w:tcPr>
            <w:tcW w:w="2109" w:type="dxa"/>
            <w:tcBorders>
              <w:top w:val="single" w:sz="4" w:space="0" w:color="365F91"/>
              <w:left w:val="nil"/>
              <w:bottom w:val="single" w:sz="4" w:space="0" w:color="365F91"/>
              <w:right w:val="nil"/>
            </w:tcBorders>
            <w:hideMark/>
          </w:tcPr>
          <w:p w14:paraId="16ECF361" w14:textId="77777777" w:rsidR="00524720" w:rsidRPr="00D9348B" w:rsidRDefault="00524720">
            <w:pPr>
              <w:pStyle w:val="TableText"/>
              <w:spacing w:before="40" w:after="40"/>
              <w:jc w:val="center"/>
            </w:pPr>
            <w:r w:rsidRPr="00D9348B">
              <w:t>5.4</w:t>
            </w:r>
          </w:p>
        </w:tc>
      </w:tr>
      <w:tr w:rsidR="00524720" w:rsidRPr="00D9348B" w14:paraId="5D3A3CF7" w14:textId="77777777" w:rsidTr="006F3194">
        <w:tc>
          <w:tcPr>
            <w:tcW w:w="1079" w:type="dxa"/>
            <w:tcBorders>
              <w:top w:val="single" w:sz="4" w:space="0" w:color="365F91"/>
              <w:left w:val="nil"/>
              <w:bottom w:val="single" w:sz="4" w:space="0" w:color="365F91"/>
              <w:right w:val="nil"/>
            </w:tcBorders>
            <w:hideMark/>
          </w:tcPr>
          <w:p w14:paraId="3E4C73C9" w14:textId="77777777" w:rsidR="00524720" w:rsidRPr="00D9348B" w:rsidRDefault="00524720">
            <w:pPr>
              <w:pStyle w:val="TableTextBold"/>
              <w:spacing w:before="40" w:after="40"/>
              <w:rPr>
                <w:noProof w:val="0"/>
              </w:rPr>
            </w:pPr>
            <w:r w:rsidRPr="00D9348B">
              <w:rPr>
                <w:noProof w:val="0"/>
              </w:rPr>
              <w:t>2016</w:t>
            </w:r>
          </w:p>
        </w:tc>
        <w:tc>
          <w:tcPr>
            <w:tcW w:w="1632" w:type="dxa"/>
            <w:tcBorders>
              <w:top w:val="single" w:sz="4" w:space="0" w:color="365F91"/>
              <w:left w:val="nil"/>
              <w:bottom w:val="single" w:sz="4" w:space="0" w:color="365F91"/>
              <w:right w:val="nil"/>
            </w:tcBorders>
            <w:hideMark/>
          </w:tcPr>
          <w:p w14:paraId="1602CA5A" w14:textId="77777777" w:rsidR="00524720" w:rsidRPr="00D9348B" w:rsidRDefault="00524720">
            <w:pPr>
              <w:pStyle w:val="TableText"/>
              <w:spacing w:before="40" w:after="40"/>
              <w:jc w:val="center"/>
            </w:pPr>
            <w:r w:rsidRPr="00D9348B">
              <w:t>0.6</w:t>
            </w:r>
          </w:p>
        </w:tc>
        <w:tc>
          <w:tcPr>
            <w:tcW w:w="1842" w:type="dxa"/>
            <w:tcBorders>
              <w:top w:val="single" w:sz="4" w:space="0" w:color="365F91"/>
              <w:left w:val="nil"/>
              <w:bottom w:val="single" w:sz="4" w:space="0" w:color="365F91"/>
              <w:right w:val="nil"/>
            </w:tcBorders>
            <w:hideMark/>
          </w:tcPr>
          <w:p w14:paraId="04199A7E" w14:textId="77777777" w:rsidR="00524720" w:rsidRPr="00D9348B" w:rsidRDefault="00524720">
            <w:pPr>
              <w:pStyle w:val="TableText"/>
              <w:spacing w:before="40" w:after="40"/>
              <w:jc w:val="center"/>
            </w:pPr>
            <w:r w:rsidRPr="00D9348B">
              <w:t>0.3</w:t>
            </w:r>
          </w:p>
        </w:tc>
        <w:tc>
          <w:tcPr>
            <w:tcW w:w="1843" w:type="dxa"/>
            <w:tcBorders>
              <w:top w:val="single" w:sz="4" w:space="0" w:color="365F91"/>
              <w:left w:val="nil"/>
              <w:bottom w:val="single" w:sz="4" w:space="0" w:color="365F91"/>
              <w:right w:val="nil"/>
            </w:tcBorders>
            <w:hideMark/>
          </w:tcPr>
          <w:p w14:paraId="6548854D" w14:textId="77777777" w:rsidR="00524720" w:rsidRPr="00D9348B" w:rsidRDefault="00524720">
            <w:pPr>
              <w:pStyle w:val="TableText"/>
              <w:spacing w:before="40" w:after="40"/>
              <w:jc w:val="center"/>
            </w:pPr>
            <w:r w:rsidRPr="00D9348B">
              <w:t>4.5</w:t>
            </w:r>
          </w:p>
        </w:tc>
        <w:tc>
          <w:tcPr>
            <w:tcW w:w="2109" w:type="dxa"/>
            <w:tcBorders>
              <w:top w:val="single" w:sz="4" w:space="0" w:color="365F91"/>
              <w:left w:val="nil"/>
              <w:bottom w:val="single" w:sz="4" w:space="0" w:color="365F91"/>
              <w:right w:val="nil"/>
            </w:tcBorders>
            <w:hideMark/>
          </w:tcPr>
          <w:p w14:paraId="2A2EB749" w14:textId="77777777" w:rsidR="00524720" w:rsidRPr="00D9348B" w:rsidRDefault="00524720">
            <w:pPr>
              <w:pStyle w:val="TableText"/>
              <w:spacing w:before="40" w:after="40"/>
              <w:jc w:val="center"/>
            </w:pPr>
            <w:r w:rsidRPr="00D9348B">
              <w:t>5.4</w:t>
            </w:r>
          </w:p>
        </w:tc>
      </w:tr>
      <w:tr w:rsidR="00524720" w:rsidRPr="00D9348B" w14:paraId="1E967CEF" w14:textId="77777777" w:rsidTr="006F3194">
        <w:tc>
          <w:tcPr>
            <w:tcW w:w="1079" w:type="dxa"/>
            <w:tcBorders>
              <w:top w:val="single" w:sz="4" w:space="0" w:color="365F91"/>
              <w:left w:val="nil"/>
              <w:bottom w:val="single" w:sz="4" w:space="0" w:color="365F91"/>
              <w:right w:val="nil"/>
            </w:tcBorders>
            <w:hideMark/>
          </w:tcPr>
          <w:p w14:paraId="1E41BA95" w14:textId="77777777" w:rsidR="00524720" w:rsidRPr="00D9348B" w:rsidRDefault="00524720">
            <w:pPr>
              <w:pStyle w:val="TableTextBold"/>
              <w:spacing w:before="40" w:after="40"/>
              <w:rPr>
                <w:noProof w:val="0"/>
              </w:rPr>
            </w:pPr>
            <w:r w:rsidRPr="00D9348B">
              <w:rPr>
                <w:noProof w:val="0"/>
              </w:rPr>
              <w:t>2017</w:t>
            </w:r>
          </w:p>
        </w:tc>
        <w:tc>
          <w:tcPr>
            <w:tcW w:w="1632" w:type="dxa"/>
            <w:tcBorders>
              <w:top w:val="single" w:sz="4" w:space="0" w:color="365F91"/>
              <w:left w:val="nil"/>
              <w:bottom w:val="single" w:sz="4" w:space="0" w:color="365F91"/>
              <w:right w:val="nil"/>
            </w:tcBorders>
            <w:hideMark/>
          </w:tcPr>
          <w:p w14:paraId="5A9F9A5A" w14:textId="77777777" w:rsidR="00524720" w:rsidRPr="00D9348B" w:rsidRDefault="00524720">
            <w:pPr>
              <w:pStyle w:val="TableText"/>
              <w:spacing w:before="40" w:after="40"/>
              <w:jc w:val="center"/>
            </w:pPr>
            <w:r w:rsidRPr="00D9348B">
              <w:t>0.6</w:t>
            </w:r>
          </w:p>
        </w:tc>
        <w:tc>
          <w:tcPr>
            <w:tcW w:w="1842" w:type="dxa"/>
            <w:tcBorders>
              <w:top w:val="single" w:sz="4" w:space="0" w:color="365F91"/>
              <w:left w:val="nil"/>
              <w:bottom w:val="single" w:sz="4" w:space="0" w:color="365F91"/>
              <w:right w:val="nil"/>
            </w:tcBorders>
            <w:hideMark/>
          </w:tcPr>
          <w:p w14:paraId="37F15FB0" w14:textId="77777777" w:rsidR="00524720" w:rsidRPr="00D9348B" w:rsidRDefault="00524720">
            <w:pPr>
              <w:pStyle w:val="TableText"/>
              <w:spacing w:before="40" w:after="40"/>
              <w:jc w:val="center"/>
            </w:pPr>
            <w:r w:rsidRPr="00D9348B">
              <w:t>0.3</w:t>
            </w:r>
          </w:p>
        </w:tc>
        <w:tc>
          <w:tcPr>
            <w:tcW w:w="1843" w:type="dxa"/>
            <w:tcBorders>
              <w:top w:val="single" w:sz="4" w:space="0" w:color="365F91"/>
              <w:left w:val="nil"/>
              <w:bottom w:val="single" w:sz="4" w:space="0" w:color="365F91"/>
              <w:right w:val="nil"/>
            </w:tcBorders>
            <w:hideMark/>
          </w:tcPr>
          <w:p w14:paraId="41F0B97B" w14:textId="77777777" w:rsidR="00524720" w:rsidRPr="00D9348B" w:rsidRDefault="00524720">
            <w:pPr>
              <w:pStyle w:val="TableText"/>
              <w:spacing w:before="40" w:after="40"/>
              <w:jc w:val="center"/>
            </w:pPr>
            <w:r w:rsidRPr="00D9348B">
              <w:t>4.5</w:t>
            </w:r>
          </w:p>
        </w:tc>
        <w:tc>
          <w:tcPr>
            <w:tcW w:w="2109" w:type="dxa"/>
            <w:tcBorders>
              <w:top w:val="single" w:sz="4" w:space="0" w:color="365F91"/>
              <w:left w:val="nil"/>
              <w:bottom w:val="single" w:sz="4" w:space="0" w:color="365F91"/>
              <w:right w:val="nil"/>
            </w:tcBorders>
            <w:hideMark/>
          </w:tcPr>
          <w:p w14:paraId="4B0875A8" w14:textId="77777777" w:rsidR="00524720" w:rsidRPr="00D9348B" w:rsidRDefault="00524720">
            <w:pPr>
              <w:pStyle w:val="TableText"/>
              <w:spacing w:before="40" w:after="40"/>
              <w:jc w:val="center"/>
            </w:pPr>
            <w:r w:rsidRPr="00D9348B">
              <w:t>5.4</w:t>
            </w:r>
          </w:p>
        </w:tc>
      </w:tr>
      <w:tr w:rsidR="00524720" w:rsidRPr="00D9348B" w14:paraId="0FF0E67A" w14:textId="77777777" w:rsidTr="006F3194">
        <w:tc>
          <w:tcPr>
            <w:tcW w:w="1079" w:type="dxa"/>
            <w:tcBorders>
              <w:top w:val="single" w:sz="4" w:space="0" w:color="365F91"/>
              <w:left w:val="nil"/>
              <w:bottom w:val="single" w:sz="4" w:space="0" w:color="365F91"/>
              <w:right w:val="nil"/>
            </w:tcBorders>
            <w:hideMark/>
          </w:tcPr>
          <w:p w14:paraId="0E439A92" w14:textId="77777777" w:rsidR="00524720" w:rsidRPr="00D9348B" w:rsidRDefault="00524720">
            <w:pPr>
              <w:pStyle w:val="TableTextBold"/>
              <w:spacing w:before="40" w:after="40"/>
              <w:rPr>
                <w:noProof w:val="0"/>
              </w:rPr>
            </w:pPr>
            <w:r w:rsidRPr="00D9348B">
              <w:rPr>
                <w:noProof w:val="0"/>
              </w:rPr>
              <w:t>2018</w:t>
            </w:r>
          </w:p>
        </w:tc>
        <w:tc>
          <w:tcPr>
            <w:tcW w:w="1632" w:type="dxa"/>
            <w:tcBorders>
              <w:top w:val="single" w:sz="4" w:space="0" w:color="365F91"/>
              <w:left w:val="nil"/>
              <w:bottom w:val="single" w:sz="4" w:space="0" w:color="365F91"/>
              <w:right w:val="nil"/>
            </w:tcBorders>
            <w:hideMark/>
          </w:tcPr>
          <w:p w14:paraId="528D79ED" w14:textId="77777777" w:rsidR="00524720" w:rsidRPr="00D9348B" w:rsidRDefault="00524720">
            <w:pPr>
              <w:pStyle w:val="TableText"/>
              <w:spacing w:before="40" w:after="40"/>
              <w:jc w:val="center"/>
            </w:pPr>
            <w:r w:rsidRPr="00D9348B">
              <w:t>0.6</w:t>
            </w:r>
          </w:p>
        </w:tc>
        <w:tc>
          <w:tcPr>
            <w:tcW w:w="1842" w:type="dxa"/>
            <w:tcBorders>
              <w:top w:val="single" w:sz="4" w:space="0" w:color="365F91"/>
              <w:left w:val="nil"/>
              <w:bottom w:val="single" w:sz="4" w:space="0" w:color="365F91"/>
              <w:right w:val="nil"/>
            </w:tcBorders>
            <w:hideMark/>
          </w:tcPr>
          <w:p w14:paraId="188B5D5B" w14:textId="77777777" w:rsidR="00524720" w:rsidRPr="00D9348B" w:rsidRDefault="00524720">
            <w:pPr>
              <w:pStyle w:val="TableText"/>
              <w:spacing w:before="40" w:after="40"/>
              <w:jc w:val="center"/>
            </w:pPr>
            <w:r w:rsidRPr="00D9348B">
              <w:t>0.3</w:t>
            </w:r>
          </w:p>
        </w:tc>
        <w:tc>
          <w:tcPr>
            <w:tcW w:w="1843" w:type="dxa"/>
            <w:tcBorders>
              <w:top w:val="single" w:sz="4" w:space="0" w:color="365F91"/>
              <w:left w:val="nil"/>
              <w:bottom w:val="single" w:sz="4" w:space="0" w:color="365F91"/>
              <w:right w:val="nil"/>
            </w:tcBorders>
            <w:hideMark/>
          </w:tcPr>
          <w:p w14:paraId="358920E2" w14:textId="77777777" w:rsidR="00524720" w:rsidRPr="00D9348B" w:rsidRDefault="00524720">
            <w:pPr>
              <w:pStyle w:val="TableText"/>
              <w:spacing w:before="40" w:after="40"/>
              <w:jc w:val="center"/>
            </w:pPr>
            <w:r w:rsidRPr="00D9348B">
              <w:t>4.5</w:t>
            </w:r>
          </w:p>
        </w:tc>
        <w:tc>
          <w:tcPr>
            <w:tcW w:w="2109" w:type="dxa"/>
            <w:tcBorders>
              <w:top w:val="single" w:sz="4" w:space="0" w:color="365F91"/>
              <w:left w:val="nil"/>
              <w:bottom w:val="single" w:sz="4" w:space="0" w:color="365F91"/>
              <w:right w:val="nil"/>
            </w:tcBorders>
            <w:hideMark/>
          </w:tcPr>
          <w:p w14:paraId="68BF5A1D" w14:textId="77777777" w:rsidR="00524720" w:rsidRPr="00D9348B" w:rsidRDefault="00524720">
            <w:pPr>
              <w:pStyle w:val="TableText"/>
              <w:spacing w:before="40" w:after="40"/>
              <w:jc w:val="center"/>
            </w:pPr>
            <w:r w:rsidRPr="00D9348B">
              <w:t>5.4</w:t>
            </w:r>
          </w:p>
        </w:tc>
      </w:tr>
    </w:tbl>
    <w:p w14:paraId="27C684ED" w14:textId="77777777" w:rsidR="00524720" w:rsidRPr="00D9348B" w:rsidRDefault="00524720" w:rsidP="00524720">
      <w:pPr>
        <w:pStyle w:val="Noteundertable"/>
      </w:pPr>
      <w:r w:rsidRPr="00D9348B">
        <w:rPr>
          <w:b/>
        </w:rPr>
        <w:t>Note:</w:t>
      </w:r>
      <w:r w:rsidRPr="00D9348B">
        <w:t xml:space="preserve"> </w:t>
      </w:r>
      <w:r w:rsidRPr="00D9348B">
        <w:tab/>
        <w:t>Columns may not total due to rounding.</w:t>
      </w:r>
    </w:p>
    <w:p w14:paraId="05E65131" w14:textId="77777777" w:rsidR="00524720" w:rsidRPr="00D9348B" w:rsidRDefault="00524720" w:rsidP="00524720">
      <w:pPr>
        <w:pStyle w:val="Heading5"/>
      </w:pPr>
      <w:r w:rsidRPr="00D9348B">
        <w:t>Open burning (5.C.2)</w:t>
      </w:r>
    </w:p>
    <w:p w14:paraId="6FC57726" w14:textId="77777777" w:rsidR="00524720" w:rsidRPr="00D9348B" w:rsidRDefault="00524720" w:rsidP="00524720">
      <w:pPr>
        <w:pStyle w:val="BodyText"/>
        <w:rPr>
          <w:spacing w:val="-2"/>
        </w:rPr>
      </w:pPr>
      <w:r w:rsidRPr="00D9348B">
        <w:rPr>
          <w:rFonts w:eastAsia="+mn-ea"/>
        </w:rPr>
        <w:t xml:space="preserve">There is little information available on the quantities of farm wastes burned. </w:t>
      </w:r>
      <w:r w:rsidRPr="00D9348B">
        <w:rPr>
          <w:spacing w:val="-2"/>
        </w:rPr>
        <w:t>Tonkin and Taylor Ltd (</w:t>
      </w:r>
      <w:proofErr w:type="gramStart"/>
      <w:r w:rsidRPr="00D9348B">
        <w:rPr>
          <w:spacing w:val="-2"/>
        </w:rPr>
        <w:t>unpublished(</w:t>
      </w:r>
      <w:proofErr w:type="gramEnd"/>
      <w:r w:rsidRPr="00D9348B">
        <w:rPr>
          <w:spacing w:val="-2"/>
        </w:rPr>
        <w:t xml:space="preserve">b)) reported that 92 per cent of rural waste is either buried, bulk stored or burned, most of which is buried. The other 8 per cent is disposed of in other ways. It has been assumed that the amount burned is equivalent to 2 per cent (wet weight) of the volume of waste that is buried in farm fills (waste disposed in farm fills is reported in table 7.2.3). </w:t>
      </w:r>
      <w:r w:rsidRPr="00D9348B">
        <w:rPr>
          <w:rFonts w:eastAsia="+mn-ea"/>
        </w:rPr>
        <w:t>Activity data for open burning can be derived from table 7.2.3 using this description.</w:t>
      </w:r>
    </w:p>
    <w:p w14:paraId="0578EF69" w14:textId="77777777" w:rsidR="00524720" w:rsidRPr="00D9348B" w:rsidRDefault="00524720" w:rsidP="00865BDB">
      <w:pPr>
        <w:pStyle w:val="Heading4"/>
      </w:pPr>
      <w:r w:rsidRPr="00D9348B">
        <w:lastRenderedPageBreak/>
        <w:t>Choice of methods</w:t>
      </w:r>
    </w:p>
    <w:p w14:paraId="0B853357" w14:textId="77777777" w:rsidR="00524720" w:rsidRPr="00D9348B" w:rsidRDefault="00524720" w:rsidP="00524720">
      <w:pPr>
        <w:pStyle w:val="Heading5"/>
        <w:spacing w:before="120"/>
      </w:pPr>
      <w:r w:rsidRPr="00D9348B">
        <w:t>Incineration (5.C.1)</w:t>
      </w:r>
    </w:p>
    <w:p w14:paraId="100F39D2" w14:textId="77777777" w:rsidR="00524720" w:rsidRPr="00D9348B" w:rsidRDefault="00524720" w:rsidP="00524720">
      <w:pPr>
        <w:pStyle w:val="BodyText"/>
      </w:pPr>
      <w:r w:rsidRPr="00D9348B">
        <w:t>Estimates of direct emissions from the incineration of waste are made using the default Tier 1 methodology (IPCC, 2006a). The data used were collected and collated in 2007, and the sources used included information previously collected for purposes of air quality regulation and consent data from regional councils and site operators (SKM, unpublished(a)).</w:t>
      </w:r>
    </w:p>
    <w:p w14:paraId="3329DD05" w14:textId="77777777" w:rsidR="00524720" w:rsidRPr="00D9348B" w:rsidRDefault="00524720" w:rsidP="00524720">
      <w:pPr>
        <w:pStyle w:val="Heading5"/>
      </w:pPr>
      <w:r w:rsidRPr="00D9348B">
        <w:t>Open burning (5.C.2)</w:t>
      </w:r>
    </w:p>
    <w:p w14:paraId="6810D757" w14:textId="77777777" w:rsidR="00524720" w:rsidRPr="00D9348B" w:rsidRDefault="00524720" w:rsidP="00524720">
      <w:pPr>
        <w:pStyle w:val="BodyText"/>
      </w:pPr>
      <w:r w:rsidRPr="00D9348B">
        <w:t xml:space="preserve">Estimates of direct emissions from the open burning of rural waste are made using the default Tier 1 methodology (IPCC, 2006a). Farm waste comprises a mix of household and other wastes, which have a composition and diversity similar to general municipal solid waste (Tonkin and Taylor Ltd, </w:t>
      </w:r>
      <w:proofErr w:type="gramStart"/>
      <w:r w:rsidRPr="00D9348B">
        <w:t>unpublished(</w:t>
      </w:r>
      <w:proofErr w:type="gramEnd"/>
      <w:r w:rsidRPr="00D9348B">
        <w:t>b)). Therefore emissions from CH</w:t>
      </w:r>
      <w:r w:rsidRPr="00D9348B">
        <w:rPr>
          <w:vertAlign w:val="subscript"/>
        </w:rPr>
        <w:t>4</w:t>
      </w:r>
      <w:r w:rsidRPr="00D9348B">
        <w:t xml:space="preserve"> and N</w:t>
      </w:r>
      <w:r w:rsidRPr="00D9348B">
        <w:rPr>
          <w:vertAlign w:val="subscript"/>
        </w:rPr>
        <w:t>2</w:t>
      </w:r>
      <w:r w:rsidRPr="00D9348B">
        <w:t xml:space="preserve">O were estimated using default emission factors for bulk municipal solid waste. </w:t>
      </w:r>
    </w:p>
    <w:p w14:paraId="69220C3B" w14:textId="77777777" w:rsidR="00524720" w:rsidRPr="00D9348B" w:rsidRDefault="00524720" w:rsidP="00524720">
      <w:pPr>
        <w:pStyle w:val="BodyText"/>
      </w:pPr>
      <w:r w:rsidRPr="00D9348B">
        <w:t>Emissions of CO</w:t>
      </w:r>
      <w:r w:rsidRPr="00D9348B">
        <w:rPr>
          <w:vertAlign w:val="subscript"/>
        </w:rPr>
        <w:t>2</w:t>
      </w:r>
      <w:r w:rsidRPr="00D9348B">
        <w:t xml:space="preserve"> were calculated using an equivalent composition to New Zealand municipal solid waste (as reported in table 7.2.4), and assumed an even distribution between materials that are inert from a landfill perspective across rubber and leather, plastics, metal, glass and other inert waste types. Table 7.4.3 shows the parameters that determine dry matter content, total carbon content and fossil carbon content as weighted averages. </w:t>
      </w:r>
    </w:p>
    <w:p w14:paraId="5A3C154A" w14:textId="12FE4262" w:rsidR="00524720" w:rsidRPr="00D9348B" w:rsidRDefault="00524720" w:rsidP="00524720">
      <w:pPr>
        <w:pStyle w:val="Table"/>
      </w:pPr>
      <w:bookmarkStart w:id="2784" w:name="_Toc32828532"/>
      <w:bookmarkStart w:id="2785" w:name="_Toc32591362"/>
      <w:bookmarkStart w:id="2786" w:name="_Toc5269574"/>
      <w:bookmarkStart w:id="2787" w:name="_Toc36224655"/>
      <w:r w:rsidRPr="00D9348B">
        <w:t>Table 7.4.3</w:t>
      </w:r>
      <w:r w:rsidRPr="00D9348B">
        <w:tab/>
        <w:t>Values applied to estimate carbon dioxide emissions from open burning of rural</w:t>
      </w:r>
      <w:r w:rsidR="00C900F8" w:rsidRPr="00D9348B">
        <w:t> </w:t>
      </w:r>
      <w:r w:rsidRPr="00D9348B">
        <w:t>waste</w:t>
      </w:r>
      <w:bookmarkEnd w:id="2784"/>
      <w:bookmarkEnd w:id="2785"/>
      <w:bookmarkEnd w:id="2786"/>
      <w:bookmarkEnd w:id="2787"/>
    </w:p>
    <w:tbl>
      <w:tblPr>
        <w:tblW w:w="8562" w:type="dxa"/>
        <w:tblInd w:w="108" w:type="dxa"/>
        <w:tblLook w:val="04A0" w:firstRow="1" w:lastRow="0" w:firstColumn="1" w:lastColumn="0" w:noHBand="0" w:noVBand="1"/>
      </w:tblPr>
      <w:tblGrid>
        <w:gridCol w:w="1997"/>
        <w:gridCol w:w="1554"/>
        <w:gridCol w:w="1549"/>
        <w:gridCol w:w="1563"/>
        <w:gridCol w:w="1899"/>
      </w:tblGrid>
      <w:tr w:rsidR="00524720" w:rsidRPr="00D9348B" w14:paraId="6583849B" w14:textId="77777777" w:rsidTr="00BF1235">
        <w:trPr>
          <w:tblHeader/>
        </w:trPr>
        <w:tc>
          <w:tcPr>
            <w:tcW w:w="1997" w:type="dxa"/>
            <w:tcBorders>
              <w:top w:val="single" w:sz="4" w:space="0" w:color="365F91"/>
              <w:left w:val="nil"/>
              <w:bottom w:val="single" w:sz="4" w:space="0" w:color="365F91"/>
              <w:right w:val="nil"/>
            </w:tcBorders>
            <w:shd w:val="clear" w:color="auto" w:fill="365F91"/>
            <w:vAlign w:val="bottom"/>
            <w:hideMark/>
          </w:tcPr>
          <w:p w14:paraId="4E099A43" w14:textId="77777777" w:rsidR="00524720" w:rsidRPr="00D9348B" w:rsidRDefault="00524720">
            <w:pPr>
              <w:pStyle w:val="TableTextBold"/>
              <w:spacing w:before="50" w:after="50"/>
              <w:rPr>
                <w:noProof w:val="0"/>
                <w:color w:val="FFFFFF"/>
              </w:rPr>
            </w:pPr>
            <w:r w:rsidRPr="00D9348B">
              <w:rPr>
                <w:noProof w:val="0"/>
                <w:color w:val="FFFFFF"/>
              </w:rPr>
              <w:t xml:space="preserve">Waste type </w:t>
            </w:r>
          </w:p>
        </w:tc>
        <w:tc>
          <w:tcPr>
            <w:tcW w:w="1554" w:type="dxa"/>
            <w:tcBorders>
              <w:top w:val="single" w:sz="4" w:space="0" w:color="365F91"/>
              <w:left w:val="nil"/>
              <w:bottom w:val="single" w:sz="4" w:space="0" w:color="365F91"/>
              <w:right w:val="nil"/>
            </w:tcBorders>
            <w:shd w:val="clear" w:color="auto" w:fill="365F91"/>
            <w:vAlign w:val="bottom"/>
            <w:hideMark/>
          </w:tcPr>
          <w:p w14:paraId="616FE922" w14:textId="77777777" w:rsidR="00524720" w:rsidRPr="00D9348B" w:rsidRDefault="00524720">
            <w:pPr>
              <w:pStyle w:val="TableTextBold"/>
              <w:spacing w:before="50" w:after="50"/>
              <w:jc w:val="right"/>
              <w:rPr>
                <w:noProof w:val="0"/>
                <w:color w:val="FFFFFF"/>
              </w:rPr>
            </w:pPr>
            <w:r w:rsidRPr="00D9348B">
              <w:rPr>
                <w:noProof w:val="0"/>
                <w:color w:val="FFFFFF"/>
              </w:rPr>
              <w:t>Composition (%)</w:t>
            </w:r>
          </w:p>
        </w:tc>
        <w:tc>
          <w:tcPr>
            <w:tcW w:w="1549" w:type="dxa"/>
            <w:tcBorders>
              <w:top w:val="single" w:sz="4" w:space="0" w:color="365F91"/>
              <w:left w:val="nil"/>
              <w:bottom w:val="single" w:sz="4" w:space="0" w:color="365F91"/>
              <w:right w:val="nil"/>
            </w:tcBorders>
            <w:shd w:val="clear" w:color="auto" w:fill="365F91"/>
            <w:vAlign w:val="bottom"/>
            <w:hideMark/>
          </w:tcPr>
          <w:p w14:paraId="1D4FB3AA" w14:textId="77777777" w:rsidR="00524720" w:rsidRPr="00D9348B" w:rsidRDefault="00524720">
            <w:pPr>
              <w:pStyle w:val="TableTextBold"/>
              <w:spacing w:before="50" w:after="50"/>
              <w:jc w:val="right"/>
              <w:rPr>
                <w:noProof w:val="0"/>
                <w:color w:val="FFFFFF"/>
              </w:rPr>
            </w:pPr>
            <w:r w:rsidRPr="00D9348B">
              <w:rPr>
                <w:noProof w:val="0"/>
                <w:color w:val="FFFFFF"/>
              </w:rPr>
              <w:t>Dry matter content (%)</w:t>
            </w:r>
          </w:p>
        </w:tc>
        <w:tc>
          <w:tcPr>
            <w:tcW w:w="1563" w:type="dxa"/>
            <w:tcBorders>
              <w:top w:val="single" w:sz="4" w:space="0" w:color="365F91"/>
              <w:left w:val="nil"/>
              <w:bottom w:val="single" w:sz="4" w:space="0" w:color="365F91"/>
              <w:right w:val="nil"/>
            </w:tcBorders>
            <w:shd w:val="clear" w:color="auto" w:fill="365F91"/>
            <w:vAlign w:val="bottom"/>
            <w:hideMark/>
          </w:tcPr>
          <w:p w14:paraId="15AC5355" w14:textId="77777777" w:rsidR="00524720" w:rsidRPr="00D9348B" w:rsidRDefault="00524720">
            <w:pPr>
              <w:pStyle w:val="TableTextBold"/>
              <w:spacing w:before="50" w:after="50"/>
              <w:jc w:val="right"/>
              <w:rPr>
                <w:noProof w:val="0"/>
                <w:color w:val="FFFFFF"/>
              </w:rPr>
            </w:pPr>
            <w:r w:rsidRPr="00D9348B">
              <w:rPr>
                <w:noProof w:val="0"/>
                <w:color w:val="FFFFFF"/>
              </w:rPr>
              <w:t>Total carbon content (%)</w:t>
            </w:r>
          </w:p>
        </w:tc>
        <w:tc>
          <w:tcPr>
            <w:tcW w:w="1899" w:type="dxa"/>
            <w:tcBorders>
              <w:top w:val="single" w:sz="4" w:space="0" w:color="365F91"/>
              <w:left w:val="nil"/>
              <w:bottom w:val="single" w:sz="4" w:space="0" w:color="365F91"/>
              <w:right w:val="nil"/>
            </w:tcBorders>
            <w:shd w:val="clear" w:color="auto" w:fill="365F91"/>
            <w:vAlign w:val="bottom"/>
            <w:hideMark/>
          </w:tcPr>
          <w:p w14:paraId="0F059DCD" w14:textId="77777777" w:rsidR="00524720" w:rsidRPr="00D9348B" w:rsidRDefault="00524720">
            <w:pPr>
              <w:pStyle w:val="TableTextBold"/>
              <w:spacing w:before="50" w:after="50"/>
              <w:jc w:val="right"/>
              <w:rPr>
                <w:noProof w:val="0"/>
                <w:color w:val="FFFFFF"/>
              </w:rPr>
            </w:pPr>
            <w:r w:rsidRPr="00D9348B">
              <w:rPr>
                <w:noProof w:val="0"/>
                <w:color w:val="FFFFFF"/>
              </w:rPr>
              <w:t>Fossil carbon content of total carbon (%)</w:t>
            </w:r>
          </w:p>
        </w:tc>
      </w:tr>
      <w:tr w:rsidR="00524720" w:rsidRPr="00D9348B" w14:paraId="6618B268" w14:textId="77777777" w:rsidTr="00BF1235">
        <w:tc>
          <w:tcPr>
            <w:tcW w:w="1997" w:type="dxa"/>
            <w:tcBorders>
              <w:top w:val="single" w:sz="4" w:space="0" w:color="365F91"/>
              <w:left w:val="nil"/>
              <w:bottom w:val="single" w:sz="4" w:space="0" w:color="365F91"/>
              <w:right w:val="nil"/>
            </w:tcBorders>
            <w:hideMark/>
          </w:tcPr>
          <w:p w14:paraId="018324ED" w14:textId="77777777" w:rsidR="00524720" w:rsidRPr="00D9348B" w:rsidRDefault="00524720">
            <w:pPr>
              <w:pStyle w:val="TableText"/>
              <w:spacing w:after="50"/>
            </w:pPr>
            <w:r w:rsidRPr="00D9348B">
              <w:t>Paper/card</w:t>
            </w:r>
          </w:p>
        </w:tc>
        <w:tc>
          <w:tcPr>
            <w:tcW w:w="1554" w:type="dxa"/>
            <w:tcBorders>
              <w:top w:val="single" w:sz="4" w:space="0" w:color="365F91"/>
              <w:left w:val="nil"/>
              <w:bottom w:val="single" w:sz="4" w:space="0" w:color="365F91"/>
              <w:right w:val="nil"/>
            </w:tcBorders>
            <w:hideMark/>
          </w:tcPr>
          <w:p w14:paraId="1F2C39D1" w14:textId="77777777" w:rsidR="00524720" w:rsidRPr="00D9348B" w:rsidRDefault="00524720">
            <w:pPr>
              <w:pStyle w:val="TableText"/>
              <w:spacing w:after="50"/>
              <w:jc w:val="right"/>
            </w:pPr>
            <w:r w:rsidRPr="00D9348B">
              <w:t>10.7</w:t>
            </w:r>
          </w:p>
        </w:tc>
        <w:tc>
          <w:tcPr>
            <w:tcW w:w="1549" w:type="dxa"/>
            <w:tcBorders>
              <w:top w:val="single" w:sz="4" w:space="0" w:color="365F91"/>
              <w:left w:val="nil"/>
              <w:bottom w:val="single" w:sz="4" w:space="0" w:color="365F91"/>
              <w:right w:val="nil"/>
            </w:tcBorders>
            <w:hideMark/>
          </w:tcPr>
          <w:p w14:paraId="7EB2D6B9" w14:textId="77777777" w:rsidR="00524720" w:rsidRPr="00D9348B" w:rsidRDefault="00524720">
            <w:pPr>
              <w:pStyle w:val="TableText"/>
              <w:spacing w:after="50"/>
              <w:jc w:val="right"/>
              <w:rPr>
                <w:rFonts w:cs="Arial"/>
                <w:szCs w:val="16"/>
              </w:rPr>
            </w:pPr>
            <w:r w:rsidRPr="00D9348B">
              <w:t>90</w:t>
            </w:r>
          </w:p>
        </w:tc>
        <w:tc>
          <w:tcPr>
            <w:tcW w:w="1563" w:type="dxa"/>
            <w:tcBorders>
              <w:top w:val="single" w:sz="4" w:space="0" w:color="365F91"/>
              <w:left w:val="nil"/>
              <w:bottom w:val="single" w:sz="4" w:space="0" w:color="365F91"/>
              <w:right w:val="nil"/>
            </w:tcBorders>
            <w:hideMark/>
          </w:tcPr>
          <w:p w14:paraId="2DE46DB5" w14:textId="77777777" w:rsidR="00524720" w:rsidRPr="00D9348B" w:rsidRDefault="00524720">
            <w:pPr>
              <w:pStyle w:val="TableText"/>
              <w:spacing w:after="50"/>
              <w:jc w:val="right"/>
              <w:rPr>
                <w:rFonts w:cs="Arial"/>
                <w:szCs w:val="16"/>
              </w:rPr>
            </w:pPr>
            <w:r w:rsidRPr="00D9348B">
              <w:t>43</w:t>
            </w:r>
          </w:p>
        </w:tc>
        <w:tc>
          <w:tcPr>
            <w:tcW w:w="1899" w:type="dxa"/>
            <w:tcBorders>
              <w:top w:val="single" w:sz="4" w:space="0" w:color="365F91"/>
              <w:left w:val="nil"/>
              <w:bottom w:val="single" w:sz="4" w:space="0" w:color="365F91"/>
              <w:right w:val="nil"/>
            </w:tcBorders>
            <w:hideMark/>
          </w:tcPr>
          <w:p w14:paraId="2F51899A" w14:textId="77777777" w:rsidR="00524720" w:rsidRPr="00D9348B" w:rsidRDefault="00524720">
            <w:pPr>
              <w:pStyle w:val="TableText"/>
              <w:spacing w:after="50"/>
              <w:jc w:val="right"/>
              <w:rPr>
                <w:rFonts w:cs="Arial"/>
                <w:szCs w:val="16"/>
              </w:rPr>
            </w:pPr>
            <w:r w:rsidRPr="00D9348B">
              <w:t>1</w:t>
            </w:r>
          </w:p>
        </w:tc>
      </w:tr>
      <w:tr w:rsidR="00524720" w:rsidRPr="00D9348B" w14:paraId="5C850D1A" w14:textId="77777777" w:rsidTr="00BF1235">
        <w:tc>
          <w:tcPr>
            <w:tcW w:w="1997" w:type="dxa"/>
            <w:tcBorders>
              <w:top w:val="single" w:sz="4" w:space="0" w:color="365F91"/>
              <w:left w:val="nil"/>
              <w:bottom w:val="single" w:sz="4" w:space="0" w:color="365F91"/>
              <w:right w:val="nil"/>
            </w:tcBorders>
            <w:hideMark/>
          </w:tcPr>
          <w:p w14:paraId="5C813B56" w14:textId="77777777" w:rsidR="00524720" w:rsidRPr="00D9348B" w:rsidRDefault="00524720">
            <w:pPr>
              <w:pStyle w:val="TableText"/>
              <w:spacing w:after="50"/>
            </w:pPr>
            <w:r w:rsidRPr="00D9348B">
              <w:t>Textiles</w:t>
            </w:r>
          </w:p>
        </w:tc>
        <w:tc>
          <w:tcPr>
            <w:tcW w:w="1554" w:type="dxa"/>
            <w:tcBorders>
              <w:top w:val="single" w:sz="4" w:space="0" w:color="365F91"/>
              <w:left w:val="nil"/>
              <w:bottom w:val="single" w:sz="4" w:space="0" w:color="365F91"/>
              <w:right w:val="nil"/>
            </w:tcBorders>
            <w:hideMark/>
          </w:tcPr>
          <w:p w14:paraId="64CE403C" w14:textId="77777777" w:rsidR="00524720" w:rsidRPr="00D9348B" w:rsidRDefault="00524720">
            <w:pPr>
              <w:pStyle w:val="TableText"/>
              <w:spacing w:after="50"/>
              <w:jc w:val="right"/>
            </w:pPr>
            <w:r w:rsidRPr="00D9348B">
              <w:t>5.6</w:t>
            </w:r>
          </w:p>
        </w:tc>
        <w:tc>
          <w:tcPr>
            <w:tcW w:w="1549" w:type="dxa"/>
            <w:tcBorders>
              <w:top w:val="single" w:sz="4" w:space="0" w:color="365F91"/>
              <w:left w:val="nil"/>
              <w:bottom w:val="single" w:sz="4" w:space="0" w:color="365F91"/>
              <w:right w:val="nil"/>
            </w:tcBorders>
            <w:hideMark/>
          </w:tcPr>
          <w:p w14:paraId="57833083" w14:textId="77777777" w:rsidR="00524720" w:rsidRPr="00D9348B" w:rsidRDefault="00524720">
            <w:pPr>
              <w:pStyle w:val="TableText"/>
              <w:spacing w:after="50"/>
              <w:jc w:val="right"/>
              <w:rPr>
                <w:rFonts w:cs="Arial"/>
                <w:szCs w:val="16"/>
              </w:rPr>
            </w:pPr>
            <w:r w:rsidRPr="00D9348B">
              <w:t>80</w:t>
            </w:r>
          </w:p>
        </w:tc>
        <w:tc>
          <w:tcPr>
            <w:tcW w:w="1563" w:type="dxa"/>
            <w:tcBorders>
              <w:top w:val="single" w:sz="4" w:space="0" w:color="365F91"/>
              <w:left w:val="nil"/>
              <w:bottom w:val="single" w:sz="4" w:space="0" w:color="365F91"/>
              <w:right w:val="nil"/>
            </w:tcBorders>
            <w:hideMark/>
          </w:tcPr>
          <w:p w14:paraId="5EE8EEF3" w14:textId="77777777" w:rsidR="00524720" w:rsidRPr="00D9348B" w:rsidRDefault="00524720">
            <w:pPr>
              <w:pStyle w:val="TableText"/>
              <w:spacing w:after="50"/>
              <w:jc w:val="right"/>
              <w:rPr>
                <w:rFonts w:cs="Arial"/>
                <w:szCs w:val="16"/>
              </w:rPr>
            </w:pPr>
            <w:r w:rsidRPr="00D9348B">
              <w:t>50</w:t>
            </w:r>
          </w:p>
        </w:tc>
        <w:tc>
          <w:tcPr>
            <w:tcW w:w="1899" w:type="dxa"/>
            <w:tcBorders>
              <w:top w:val="single" w:sz="4" w:space="0" w:color="365F91"/>
              <w:left w:val="nil"/>
              <w:bottom w:val="single" w:sz="4" w:space="0" w:color="365F91"/>
              <w:right w:val="nil"/>
            </w:tcBorders>
            <w:hideMark/>
          </w:tcPr>
          <w:p w14:paraId="2923C68E" w14:textId="77777777" w:rsidR="00524720" w:rsidRPr="00D9348B" w:rsidRDefault="00524720">
            <w:pPr>
              <w:pStyle w:val="TableText"/>
              <w:spacing w:after="50"/>
              <w:jc w:val="right"/>
              <w:rPr>
                <w:rFonts w:cs="Arial"/>
                <w:szCs w:val="16"/>
              </w:rPr>
            </w:pPr>
            <w:r w:rsidRPr="00D9348B">
              <w:t>20</w:t>
            </w:r>
          </w:p>
        </w:tc>
      </w:tr>
      <w:tr w:rsidR="00524720" w:rsidRPr="00D9348B" w14:paraId="3E56DF66" w14:textId="77777777" w:rsidTr="00BF1235">
        <w:tc>
          <w:tcPr>
            <w:tcW w:w="1997" w:type="dxa"/>
            <w:tcBorders>
              <w:top w:val="single" w:sz="4" w:space="0" w:color="365F91"/>
              <w:left w:val="nil"/>
              <w:bottom w:val="single" w:sz="4" w:space="0" w:color="365F91"/>
              <w:right w:val="nil"/>
            </w:tcBorders>
            <w:hideMark/>
          </w:tcPr>
          <w:p w14:paraId="77547E47" w14:textId="77777777" w:rsidR="00524720" w:rsidRPr="00D9348B" w:rsidRDefault="00524720">
            <w:pPr>
              <w:pStyle w:val="TableText"/>
              <w:spacing w:after="50"/>
            </w:pPr>
            <w:r w:rsidRPr="00D9348B">
              <w:t>Food waste</w:t>
            </w:r>
          </w:p>
        </w:tc>
        <w:tc>
          <w:tcPr>
            <w:tcW w:w="1554" w:type="dxa"/>
            <w:tcBorders>
              <w:top w:val="single" w:sz="4" w:space="0" w:color="365F91"/>
              <w:left w:val="nil"/>
              <w:bottom w:val="single" w:sz="4" w:space="0" w:color="365F91"/>
              <w:right w:val="nil"/>
            </w:tcBorders>
            <w:hideMark/>
          </w:tcPr>
          <w:p w14:paraId="7F7D4FD7" w14:textId="77777777" w:rsidR="00524720" w:rsidRPr="00D9348B" w:rsidRDefault="00524720">
            <w:pPr>
              <w:pStyle w:val="TableText"/>
              <w:spacing w:after="50"/>
              <w:jc w:val="right"/>
            </w:pPr>
            <w:r w:rsidRPr="00D9348B">
              <w:t>16.8</w:t>
            </w:r>
          </w:p>
        </w:tc>
        <w:tc>
          <w:tcPr>
            <w:tcW w:w="1549" w:type="dxa"/>
            <w:tcBorders>
              <w:top w:val="single" w:sz="4" w:space="0" w:color="365F91"/>
              <w:left w:val="nil"/>
              <w:bottom w:val="single" w:sz="4" w:space="0" w:color="365F91"/>
              <w:right w:val="nil"/>
            </w:tcBorders>
            <w:hideMark/>
          </w:tcPr>
          <w:p w14:paraId="056CFA99" w14:textId="77777777" w:rsidR="00524720" w:rsidRPr="00D9348B" w:rsidRDefault="00524720">
            <w:pPr>
              <w:pStyle w:val="TableText"/>
              <w:spacing w:after="50"/>
              <w:jc w:val="right"/>
              <w:rPr>
                <w:rFonts w:cs="Arial"/>
                <w:szCs w:val="16"/>
              </w:rPr>
            </w:pPr>
            <w:r w:rsidRPr="00D9348B">
              <w:t>40</w:t>
            </w:r>
          </w:p>
        </w:tc>
        <w:tc>
          <w:tcPr>
            <w:tcW w:w="1563" w:type="dxa"/>
            <w:tcBorders>
              <w:top w:val="single" w:sz="4" w:space="0" w:color="365F91"/>
              <w:left w:val="nil"/>
              <w:bottom w:val="single" w:sz="4" w:space="0" w:color="365F91"/>
              <w:right w:val="nil"/>
            </w:tcBorders>
            <w:hideMark/>
          </w:tcPr>
          <w:p w14:paraId="40D66D10" w14:textId="77777777" w:rsidR="00524720" w:rsidRPr="00D9348B" w:rsidRDefault="00524720">
            <w:pPr>
              <w:pStyle w:val="TableText"/>
              <w:spacing w:after="50"/>
              <w:jc w:val="right"/>
              <w:rPr>
                <w:rFonts w:cs="Arial"/>
                <w:szCs w:val="16"/>
              </w:rPr>
            </w:pPr>
            <w:r w:rsidRPr="00D9348B">
              <w:t>38</w:t>
            </w:r>
          </w:p>
        </w:tc>
        <w:tc>
          <w:tcPr>
            <w:tcW w:w="1899" w:type="dxa"/>
            <w:tcBorders>
              <w:top w:val="single" w:sz="4" w:space="0" w:color="365F91"/>
              <w:left w:val="nil"/>
              <w:bottom w:val="single" w:sz="4" w:space="0" w:color="365F91"/>
              <w:right w:val="nil"/>
            </w:tcBorders>
            <w:hideMark/>
          </w:tcPr>
          <w:p w14:paraId="7D22E277" w14:textId="77777777" w:rsidR="00524720" w:rsidRPr="00D9348B" w:rsidRDefault="00524720">
            <w:pPr>
              <w:pStyle w:val="TableText"/>
              <w:spacing w:after="50"/>
              <w:jc w:val="right"/>
              <w:rPr>
                <w:rFonts w:cs="Arial"/>
                <w:szCs w:val="16"/>
              </w:rPr>
            </w:pPr>
            <w:r w:rsidRPr="00D9348B">
              <w:t>0</w:t>
            </w:r>
          </w:p>
        </w:tc>
      </w:tr>
      <w:tr w:rsidR="00524720" w:rsidRPr="00D9348B" w14:paraId="22933BF1" w14:textId="77777777" w:rsidTr="00BF1235">
        <w:tc>
          <w:tcPr>
            <w:tcW w:w="1997" w:type="dxa"/>
            <w:tcBorders>
              <w:top w:val="single" w:sz="4" w:space="0" w:color="365F91"/>
              <w:left w:val="nil"/>
              <w:bottom w:val="single" w:sz="4" w:space="0" w:color="365F91"/>
              <w:right w:val="nil"/>
            </w:tcBorders>
            <w:hideMark/>
          </w:tcPr>
          <w:p w14:paraId="25C522C0" w14:textId="77777777" w:rsidR="00524720" w:rsidRPr="00D9348B" w:rsidRDefault="00524720">
            <w:pPr>
              <w:pStyle w:val="TableText"/>
              <w:spacing w:after="50"/>
              <w:rPr>
                <w:rFonts w:cs="Arial"/>
                <w:szCs w:val="16"/>
              </w:rPr>
            </w:pPr>
            <w:r w:rsidRPr="00D9348B">
              <w:t>Wood</w:t>
            </w:r>
          </w:p>
        </w:tc>
        <w:tc>
          <w:tcPr>
            <w:tcW w:w="1554" w:type="dxa"/>
            <w:tcBorders>
              <w:top w:val="single" w:sz="4" w:space="0" w:color="365F91"/>
              <w:left w:val="nil"/>
              <w:bottom w:val="single" w:sz="4" w:space="0" w:color="365F91"/>
              <w:right w:val="nil"/>
            </w:tcBorders>
            <w:hideMark/>
          </w:tcPr>
          <w:p w14:paraId="16D2D94C" w14:textId="77777777" w:rsidR="00524720" w:rsidRPr="00D9348B" w:rsidRDefault="00524720">
            <w:pPr>
              <w:pStyle w:val="TableText"/>
              <w:spacing w:after="50"/>
              <w:jc w:val="right"/>
            </w:pPr>
            <w:r w:rsidRPr="00D9348B">
              <w:t>11.9</w:t>
            </w:r>
          </w:p>
        </w:tc>
        <w:tc>
          <w:tcPr>
            <w:tcW w:w="1549" w:type="dxa"/>
            <w:tcBorders>
              <w:top w:val="single" w:sz="4" w:space="0" w:color="365F91"/>
              <w:left w:val="nil"/>
              <w:bottom w:val="single" w:sz="4" w:space="0" w:color="365F91"/>
              <w:right w:val="nil"/>
            </w:tcBorders>
            <w:hideMark/>
          </w:tcPr>
          <w:p w14:paraId="31E6FF45" w14:textId="77777777" w:rsidR="00524720" w:rsidRPr="00D9348B" w:rsidRDefault="00524720">
            <w:pPr>
              <w:pStyle w:val="TableText"/>
              <w:spacing w:after="50"/>
              <w:jc w:val="right"/>
              <w:rPr>
                <w:rFonts w:cs="Arial"/>
                <w:szCs w:val="16"/>
              </w:rPr>
            </w:pPr>
            <w:r w:rsidRPr="00D9348B">
              <w:t>85</w:t>
            </w:r>
          </w:p>
        </w:tc>
        <w:tc>
          <w:tcPr>
            <w:tcW w:w="1563" w:type="dxa"/>
            <w:tcBorders>
              <w:top w:val="single" w:sz="4" w:space="0" w:color="365F91"/>
              <w:left w:val="nil"/>
              <w:bottom w:val="single" w:sz="4" w:space="0" w:color="365F91"/>
              <w:right w:val="nil"/>
            </w:tcBorders>
            <w:hideMark/>
          </w:tcPr>
          <w:p w14:paraId="05DBB88F" w14:textId="77777777" w:rsidR="00524720" w:rsidRPr="00D9348B" w:rsidRDefault="00524720">
            <w:pPr>
              <w:pStyle w:val="TableText"/>
              <w:spacing w:after="50"/>
              <w:jc w:val="right"/>
              <w:rPr>
                <w:rFonts w:cs="Arial"/>
                <w:szCs w:val="16"/>
              </w:rPr>
            </w:pPr>
            <w:r w:rsidRPr="00D9348B">
              <w:t>50</w:t>
            </w:r>
          </w:p>
        </w:tc>
        <w:tc>
          <w:tcPr>
            <w:tcW w:w="1899" w:type="dxa"/>
            <w:tcBorders>
              <w:top w:val="single" w:sz="4" w:space="0" w:color="365F91"/>
              <w:left w:val="nil"/>
              <w:bottom w:val="single" w:sz="4" w:space="0" w:color="365F91"/>
              <w:right w:val="nil"/>
            </w:tcBorders>
            <w:hideMark/>
          </w:tcPr>
          <w:p w14:paraId="59440C28" w14:textId="77777777" w:rsidR="00524720" w:rsidRPr="00D9348B" w:rsidRDefault="00524720">
            <w:pPr>
              <w:pStyle w:val="TableText"/>
              <w:spacing w:after="50"/>
              <w:jc w:val="right"/>
              <w:rPr>
                <w:rFonts w:cs="Arial"/>
                <w:szCs w:val="16"/>
              </w:rPr>
            </w:pPr>
            <w:r w:rsidRPr="00D9348B">
              <w:t>0</w:t>
            </w:r>
          </w:p>
        </w:tc>
      </w:tr>
      <w:tr w:rsidR="00524720" w:rsidRPr="00D9348B" w14:paraId="1F4B2520" w14:textId="77777777" w:rsidTr="00BF1235">
        <w:tc>
          <w:tcPr>
            <w:tcW w:w="1997" w:type="dxa"/>
            <w:tcBorders>
              <w:top w:val="single" w:sz="4" w:space="0" w:color="365F91"/>
              <w:left w:val="nil"/>
              <w:bottom w:val="single" w:sz="4" w:space="0" w:color="365F91"/>
              <w:right w:val="nil"/>
            </w:tcBorders>
            <w:hideMark/>
          </w:tcPr>
          <w:p w14:paraId="056F4520" w14:textId="77777777" w:rsidR="00524720" w:rsidRPr="00D9348B" w:rsidRDefault="00524720">
            <w:pPr>
              <w:pStyle w:val="TableText"/>
              <w:spacing w:after="50"/>
            </w:pPr>
            <w:r w:rsidRPr="00D9348B">
              <w:t>Garden and park waste</w:t>
            </w:r>
          </w:p>
        </w:tc>
        <w:tc>
          <w:tcPr>
            <w:tcW w:w="1554" w:type="dxa"/>
            <w:tcBorders>
              <w:top w:val="single" w:sz="4" w:space="0" w:color="365F91"/>
              <w:left w:val="nil"/>
              <w:bottom w:val="single" w:sz="4" w:space="0" w:color="365F91"/>
              <w:right w:val="nil"/>
            </w:tcBorders>
            <w:hideMark/>
          </w:tcPr>
          <w:p w14:paraId="18BB956C" w14:textId="77777777" w:rsidR="00524720" w:rsidRPr="00D9348B" w:rsidRDefault="00524720">
            <w:pPr>
              <w:pStyle w:val="TableText"/>
              <w:spacing w:after="50"/>
              <w:jc w:val="right"/>
            </w:pPr>
            <w:r w:rsidRPr="00D9348B">
              <w:t>8.3</w:t>
            </w:r>
          </w:p>
        </w:tc>
        <w:tc>
          <w:tcPr>
            <w:tcW w:w="1549" w:type="dxa"/>
            <w:tcBorders>
              <w:top w:val="single" w:sz="4" w:space="0" w:color="365F91"/>
              <w:left w:val="nil"/>
              <w:bottom w:val="single" w:sz="4" w:space="0" w:color="365F91"/>
              <w:right w:val="nil"/>
            </w:tcBorders>
            <w:hideMark/>
          </w:tcPr>
          <w:p w14:paraId="6F601DEF" w14:textId="77777777" w:rsidR="00524720" w:rsidRPr="00D9348B" w:rsidRDefault="00524720">
            <w:pPr>
              <w:pStyle w:val="TableText"/>
              <w:spacing w:after="50"/>
              <w:jc w:val="right"/>
            </w:pPr>
            <w:r w:rsidRPr="00D9348B">
              <w:t>40</w:t>
            </w:r>
          </w:p>
        </w:tc>
        <w:tc>
          <w:tcPr>
            <w:tcW w:w="1563" w:type="dxa"/>
            <w:tcBorders>
              <w:top w:val="single" w:sz="4" w:space="0" w:color="365F91"/>
              <w:left w:val="nil"/>
              <w:bottom w:val="single" w:sz="4" w:space="0" w:color="365F91"/>
              <w:right w:val="nil"/>
            </w:tcBorders>
            <w:hideMark/>
          </w:tcPr>
          <w:p w14:paraId="55694186" w14:textId="77777777" w:rsidR="00524720" w:rsidRPr="00D9348B" w:rsidRDefault="00524720">
            <w:pPr>
              <w:pStyle w:val="TableText"/>
              <w:spacing w:after="50"/>
              <w:jc w:val="right"/>
            </w:pPr>
            <w:r w:rsidRPr="00D9348B">
              <w:t>49</w:t>
            </w:r>
          </w:p>
        </w:tc>
        <w:tc>
          <w:tcPr>
            <w:tcW w:w="1899" w:type="dxa"/>
            <w:tcBorders>
              <w:top w:val="single" w:sz="4" w:space="0" w:color="365F91"/>
              <w:left w:val="nil"/>
              <w:bottom w:val="single" w:sz="4" w:space="0" w:color="365F91"/>
              <w:right w:val="nil"/>
            </w:tcBorders>
            <w:hideMark/>
          </w:tcPr>
          <w:p w14:paraId="42039A81" w14:textId="77777777" w:rsidR="00524720" w:rsidRPr="00D9348B" w:rsidRDefault="00524720">
            <w:pPr>
              <w:pStyle w:val="TableText"/>
              <w:spacing w:after="50"/>
              <w:jc w:val="right"/>
            </w:pPr>
            <w:r w:rsidRPr="00D9348B">
              <w:t>0</w:t>
            </w:r>
          </w:p>
        </w:tc>
      </w:tr>
      <w:tr w:rsidR="00524720" w:rsidRPr="00D9348B" w14:paraId="1007C2F1" w14:textId="77777777" w:rsidTr="00BF1235">
        <w:tc>
          <w:tcPr>
            <w:tcW w:w="1997" w:type="dxa"/>
            <w:tcBorders>
              <w:top w:val="single" w:sz="4" w:space="0" w:color="365F91"/>
              <w:left w:val="nil"/>
              <w:bottom w:val="single" w:sz="4" w:space="0" w:color="365F91"/>
              <w:right w:val="nil"/>
            </w:tcBorders>
            <w:hideMark/>
          </w:tcPr>
          <w:p w14:paraId="20DC036F" w14:textId="77777777" w:rsidR="00524720" w:rsidRPr="00D9348B" w:rsidRDefault="00524720">
            <w:pPr>
              <w:pStyle w:val="TableText"/>
              <w:spacing w:after="50"/>
            </w:pPr>
            <w:r w:rsidRPr="00D9348B">
              <w:t>Nappies</w:t>
            </w:r>
          </w:p>
        </w:tc>
        <w:tc>
          <w:tcPr>
            <w:tcW w:w="1554" w:type="dxa"/>
            <w:tcBorders>
              <w:top w:val="single" w:sz="4" w:space="0" w:color="365F91"/>
              <w:left w:val="nil"/>
              <w:bottom w:val="single" w:sz="4" w:space="0" w:color="365F91"/>
              <w:right w:val="nil"/>
            </w:tcBorders>
            <w:hideMark/>
          </w:tcPr>
          <w:p w14:paraId="337C85C1" w14:textId="77777777" w:rsidR="00524720" w:rsidRPr="00D9348B" w:rsidRDefault="00524720">
            <w:pPr>
              <w:pStyle w:val="TableText"/>
              <w:spacing w:after="50"/>
              <w:jc w:val="right"/>
            </w:pPr>
            <w:r w:rsidRPr="00D9348B">
              <w:t>3.0</w:t>
            </w:r>
          </w:p>
        </w:tc>
        <w:tc>
          <w:tcPr>
            <w:tcW w:w="1549" w:type="dxa"/>
            <w:tcBorders>
              <w:top w:val="single" w:sz="4" w:space="0" w:color="365F91"/>
              <w:left w:val="nil"/>
              <w:bottom w:val="single" w:sz="4" w:space="0" w:color="365F91"/>
              <w:right w:val="nil"/>
            </w:tcBorders>
            <w:hideMark/>
          </w:tcPr>
          <w:p w14:paraId="4B23FB14" w14:textId="77777777" w:rsidR="00524720" w:rsidRPr="00D9348B" w:rsidRDefault="00524720">
            <w:pPr>
              <w:pStyle w:val="TableText"/>
              <w:spacing w:after="50"/>
              <w:jc w:val="right"/>
            </w:pPr>
            <w:r w:rsidRPr="00D9348B">
              <w:t>40</w:t>
            </w:r>
          </w:p>
        </w:tc>
        <w:tc>
          <w:tcPr>
            <w:tcW w:w="1563" w:type="dxa"/>
            <w:tcBorders>
              <w:top w:val="single" w:sz="4" w:space="0" w:color="365F91"/>
              <w:left w:val="nil"/>
              <w:bottom w:val="single" w:sz="4" w:space="0" w:color="365F91"/>
              <w:right w:val="nil"/>
            </w:tcBorders>
            <w:hideMark/>
          </w:tcPr>
          <w:p w14:paraId="3E64106C" w14:textId="77777777" w:rsidR="00524720" w:rsidRPr="00D9348B" w:rsidRDefault="00524720">
            <w:pPr>
              <w:pStyle w:val="TableText"/>
              <w:spacing w:after="50"/>
              <w:jc w:val="right"/>
            </w:pPr>
            <w:r w:rsidRPr="00D9348B">
              <w:t>70</w:t>
            </w:r>
          </w:p>
        </w:tc>
        <w:tc>
          <w:tcPr>
            <w:tcW w:w="1899" w:type="dxa"/>
            <w:tcBorders>
              <w:top w:val="single" w:sz="4" w:space="0" w:color="365F91"/>
              <w:left w:val="nil"/>
              <w:bottom w:val="single" w:sz="4" w:space="0" w:color="365F91"/>
              <w:right w:val="nil"/>
            </w:tcBorders>
            <w:hideMark/>
          </w:tcPr>
          <w:p w14:paraId="1FD6D721" w14:textId="77777777" w:rsidR="00524720" w:rsidRPr="00D9348B" w:rsidRDefault="00524720">
            <w:pPr>
              <w:pStyle w:val="TableText"/>
              <w:spacing w:after="50"/>
              <w:jc w:val="right"/>
            </w:pPr>
            <w:r w:rsidRPr="00D9348B">
              <w:t>10</w:t>
            </w:r>
          </w:p>
        </w:tc>
      </w:tr>
      <w:tr w:rsidR="00524720" w:rsidRPr="00D9348B" w14:paraId="387548F7" w14:textId="77777777" w:rsidTr="00BF1235">
        <w:tc>
          <w:tcPr>
            <w:tcW w:w="1997" w:type="dxa"/>
            <w:tcBorders>
              <w:top w:val="single" w:sz="4" w:space="0" w:color="365F91"/>
              <w:left w:val="nil"/>
              <w:bottom w:val="single" w:sz="4" w:space="0" w:color="365F91"/>
              <w:right w:val="nil"/>
            </w:tcBorders>
            <w:hideMark/>
          </w:tcPr>
          <w:p w14:paraId="14CE42A3" w14:textId="77777777" w:rsidR="00524720" w:rsidRPr="00D9348B" w:rsidRDefault="00524720">
            <w:pPr>
              <w:pStyle w:val="TableText"/>
              <w:spacing w:after="50"/>
            </w:pPr>
            <w:r w:rsidRPr="00D9348B">
              <w:t>Rubber and leather</w:t>
            </w:r>
          </w:p>
        </w:tc>
        <w:tc>
          <w:tcPr>
            <w:tcW w:w="1554" w:type="dxa"/>
            <w:tcBorders>
              <w:top w:val="single" w:sz="4" w:space="0" w:color="365F91"/>
              <w:left w:val="nil"/>
              <w:bottom w:val="single" w:sz="4" w:space="0" w:color="365F91"/>
              <w:right w:val="nil"/>
            </w:tcBorders>
            <w:hideMark/>
          </w:tcPr>
          <w:p w14:paraId="47DF2BB3" w14:textId="77777777" w:rsidR="00524720" w:rsidRPr="00D9348B" w:rsidRDefault="00524720">
            <w:pPr>
              <w:pStyle w:val="TableText"/>
              <w:spacing w:after="50"/>
              <w:jc w:val="right"/>
            </w:pPr>
            <w:r w:rsidRPr="00D9348B">
              <w:t>8.8</w:t>
            </w:r>
          </w:p>
        </w:tc>
        <w:tc>
          <w:tcPr>
            <w:tcW w:w="1549" w:type="dxa"/>
            <w:tcBorders>
              <w:top w:val="single" w:sz="4" w:space="0" w:color="365F91"/>
              <w:left w:val="nil"/>
              <w:bottom w:val="single" w:sz="4" w:space="0" w:color="365F91"/>
              <w:right w:val="nil"/>
            </w:tcBorders>
            <w:hideMark/>
          </w:tcPr>
          <w:p w14:paraId="579C4C9D" w14:textId="77777777" w:rsidR="00524720" w:rsidRPr="00D9348B" w:rsidRDefault="00524720">
            <w:pPr>
              <w:pStyle w:val="TableText"/>
              <w:spacing w:after="50"/>
              <w:jc w:val="right"/>
            </w:pPr>
            <w:r w:rsidRPr="00D9348B">
              <w:t>84</w:t>
            </w:r>
          </w:p>
        </w:tc>
        <w:tc>
          <w:tcPr>
            <w:tcW w:w="1563" w:type="dxa"/>
            <w:tcBorders>
              <w:top w:val="single" w:sz="4" w:space="0" w:color="365F91"/>
              <w:left w:val="nil"/>
              <w:bottom w:val="single" w:sz="4" w:space="0" w:color="365F91"/>
              <w:right w:val="nil"/>
            </w:tcBorders>
            <w:hideMark/>
          </w:tcPr>
          <w:p w14:paraId="22341407" w14:textId="77777777" w:rsidR="00524720" w:rsidRPr="00D9348B" w:rsidRDefault="00524720">
            <w:pPr>
              <w:pStyle w:val="TableText"/>
              <w:spacing w:after="50"/>
              <w:jc w:val="right"/>
            </w:pPr>
            <w:r w:rsidRPr="00D9348B">
              <w:t>67</w:t>
            </w:r>
          </w:p>
        </w:tc>
        <w:tc>
          <w:tcPr>
            <w:tcW w:w="1899" w:type="dxa"/>
            <w:tcBorders>
              <w:top w:val="single" w:sz="4" w:space="0" w:color="365F91"/>
              <w:left w:val="nil"/>
              <w:bottom w:val="single" w:sz="4" w:space="0" w:color="365F91"/>
              <w:right w:val="nil"/>
            </w:tcBorders>
            <w:hideMark/>
          </w:tcPr>
          <w:p w14:paraId="42F12716" w14:textId="77777777" w:rsidR="00524720" w:rsidRPr="00D9348B" w:rsidRDefault="00524720">
            <w:pPr>
              <w:pStyle w:val="TableText"/>
              <w:spacing w:after="50"/>
              <w:jc w:val="right"/>
            </w:pPr>
            <w:r w:rsidRPr="00D9348B">
              <w:t>20</w:t>
            </w:r>
          </w:p>
        </w:tc>
      </w:tr>
      <w:tr w:rsidR="00524720" w:rsidRPr="00D9348B" w14:paraId="401B2CD4" w14:textId="77777777" w:rsidTr="00BF1235">
        <w:tc>
          <w:tcPr>
            <w:tcW w:w="1997" w:type="dxa"/>
            <w:tcBorders>
              <w:top w:val="single" w:sz="4" w:space="0" w:color="365F91"/>
              <w:left w:val="nil"/>
              <w:bottom w:val="single" w:sz="4" w:space="0" w:color="365F91"/>
              <w:right w:val="nil"/>
            </w:tcBorders>
            <w:hideMark/>
          </w:tcPr>
          <w:p w14:paraId="067CFAA2" w14:textId="77777777" w:rsidR="00524720" w:rsidRPr="00D9348B" w:rsidRDefault="00524720">
            <w:pPr>
              <w:pStyle w:val="TableText"/>
              <w:spacing w:after="50"/>
            </w:pPr>
            <w:r w:rsidRPr="00D9348B">
              <w:t>Plastics</w:t>
            </w:r>
          </w:p>
        </w:tc>
        <w:tc>
          <w:tcPr>
            <w:tcW w:w="1554" w:type="dxa"/>
            <w:tcBorders>
              <w:top w:val="single" w:sz="4" w:space="0" w:color="365F91"/>
              <w:left w:val="nil"/>
              <w:bottom w:val="single" w:sz="4" w:space="0" w:color="365F91"/>
              <w:right w:val="nil"/>
            </w:tcBorders>
            <w:hideMark/>
          </w:tcPr>
          <w:p w14:paraId="03A7D699" w14:textId="77777777" w:rsidR="00524720" w:rsidRPr="00D9348B" w:rsidRDefault="00524720">
            <w:pPr>
              <w:pStyle w:val="TableText"/>
              <w:spacing w:after="50"/>
              <w:jc w:val="right"/>
            </w:pPr>
            <w:r w:rsidRPr="00D9348B">
              <w:t>8.8</w:t>
            </w:r>
          </w:p>
        </w:tc>
        <w:tc>
          <w:tcPr>
            <w:tcW w:w="1549" w:type="dxa"/>
            <w:tcBorders>
              <w:top w:val="single" w:sz="4" w:space="0" w:color="365F91"/>
              <w:left w:val="nil"/>
              <w:bottom w:val="single" w:sz="4" w:space="0" w:color="365F91"/>
              <w:right w:val="nil"/>
            </w:tcBorders>
            <w:hideMark/>
          </w:tcPr>
          <w:p w14:paraId="58E05278" w14:textId="77777777" w:rsidR="00524720" w:rsidRPr="00D9348B" w:rsidRDefault="00524720">
            <w:pPr>
              <w:pStyle w:val="TableText"/>
              <w:spacing w:after="50"/>
              <w:jc w:val="right"/>
            </w:pPr>
            <w:r w:rsidRPr="00D9348B">
              <w:t>100</w:t>
            </w:r>
          </w:p>
        </w:tc>
        <w:tc>
          <w:tcPr>
            <w:tcW w:w="1563" w:type="dxa"/>
            <w:tcBorders>
              <w:top w:val="single" w:sz="4" w:space="0" w:color="365F91"/>
              <w:left w:val="nil"/>
              <w:bottom w:val="single" w:sz="4" w:space="0" w:color="365F91"/>
              <w:right w:val="nil"/>
            </w:tcBorders>
            <w:hideMark/>
          </w:tcPr>
          <w:p w14:paraId="30C8A9D9" w14:textId="77777777" w:rsidR="00524720" w:rsidRPr="00D9348B" w:rsidRDefault="00524720">
            <w:pPr>
              <w:pStyle w:val="TableText"/>
              <w:spacing w:after="50"/>
              <w:jc w:val="right"/>
            </w:pPr>
            <w:r w:rsidRPr="00D9348B">
              <w:t>75</w:t>
            </w:r>
          </w:p>
        </w:tc>
        <w:tc>
          <w:tcPr>
            <w:tcW w:w="1899" w:type="dxa"/>
            <w:tcBorders>
              <w:top w:val="single" w:sz="4" w:space="0" w:color="365F91"/>
              <w:left w:val="nil"/>
              <w:bottom w:val="single" w:sz="4" w:space="0" w:color="365F91"/>
              <w:right w:val="nil"/>
            </w:tcBorders>
            <w:hideMark/>
          </w:tcPr>
          <w:p w14:paraId="1D28C506" w14:textId="77777777" w:rsidR="00524720" w:rsidRPr="00D9348B" w:rsidRDefault="00524720">
            <w:pPr>
              <w:pStyle w:val="TableText"/>
              <w:spacing w:after="50"/>
              <w:jc w:val="right"/>
            </w:pPr>
            <w:r w:rsidRPr="00D9348B">
              <w:t>100</w:t>
            </w:r>
          </w:p>
        </w:tc>
      </w:tr>
      <w:tr w:rsidR="00524720" w:rsidRPr="00D9348B" w14:paraId="025D178A" w14:textId="77777777" w:rsidTr="00BF1235">
        <w:tc>
          <w:tcPr>
            <w:tcW w:w="1997" w:type="dxa"/>
            <w:tcBorders>
              <w:top w:val="single" w:sz="4" w:space="0" w:color="365F91"/>
              <w:left w:val="nil"/>
              <w:bottom w:val="single" w:sz="4" w:space="0" w:color="365F91"/>
              <w:right w:val="nil"/>
            </w:tcBorders>
            <w:hideMark/>
          </w:tcPr>
          <w:p w14:paraId="6D939CF3" w14:textId="77777777" w:rsidR="00524720" w:rsidRPr="00D9348B" w:rsidRDefault="00524720">
            <w:pPr>
              <w:pStyle w:val="TableText"/>
              <w:spacing w:after="50"/>
            </w:pPr>
            <w:r w:rsidRPr="00D9348B">
              <w:t>Metal</w:t>
            </w:r>
          </w:p>
        </w:tc>
        <w:tc>
          <w:tcPr>
            <w:tcW w:w="1554" w:type="dxa"/>
            <w:tcBorders>
              <w:top w:val="single" w:sz="4" w:space="0" w:color="365F91"/>
              <w:left w:val="nil"/>
              <w:bottom w:val="single" w:sz="4" w:space="0" w:color="365F91"/>
              <w:right w:val="nil"/>
            </w:tcBorders>
            <w:hideMark/>
          </w:tcPr>
          <w:p w14:paraId="52F9119C" w14:textId="77777777" w:rsidR="00524720" w:rsidRPr="00D9348B" w:rsidRDefault="00524720">
            <w:pPr>
              <w:pStyle w:val="TableText"/>
              <w:spacing w:after="50"/>
              <w:jc w:val="right"/>
            </w:pPr>
            <w:r w:rsidRPr="00D9348B">
              <w:t>8.8</w:t>
            </w:r>
          </w:p>
        </w:tc>
        <w:tc>
          <w:tcPr>
            <w:tcW w:w="1549" w:type="dxa"/>
            <w:tcBorders>
              <w:top w:val="single" w:sz="4" w:space="0" w:color="365F91"/>
              <w:left w:val="nil"/>
              <w:bottom w:val="single" w:sz="4" w:space="0" w:color="365F91"/>
              <w:right w:val="nil"/>
            </w:tcBorders>
            <w:hideMark/>
          </w:tcPr>
          <w:p w14:paraId="382566EA" w14:textId="77777777" w:rsidR="00524720" w:rsidRPr="00D9348B" w:rsidRDefault="00524720">
            <w:pPr>
              <w:pStyle w:val="TableText"/>
              <w:spacing w:after="50"/>
              <w:jc w:val="right"/>
            </w:pPr>
            <w:r w:rsidRPr="00D9348B">
              <w:t>100</w:t>
            </w:r>
          </w:p>
        </w:tc>
        <w:tc>
          <w:tcPr>
            <w:tcW w:w="1563" w:type="dxa"/>
            <w:tcBorders>
              <w:top w:val="single" w:sz="4" w:space="0" w:color="365F91"/>
              <w:left w:val="nil"/>
              <w:bottom w:val="single" w:sz="4" w:space="0" w:color="365F91"/>
              <w:right w:val="nil"/>
            </w:tcBorders>
            <w:hideMark/>
          </w:tcPr>
          <w:p w14:paraId="0DE9DF4D" w14:textId="77777777" w:rsidR="00524720" w:rsidRPr="00D9348B" w:rsidRDefault="00524720">
            <w:pPr>
              <w:pStyle w:val="TableText"/>
              <w:spacing w:after="50"/>
              <w:jc w:val="right"/>
            </w:pPr>
            <w:r w:rsidRPr="00D9348B">
              <w:t>–</w:t>
            </w:r>
          </w:p>
        </w:tc>
        <w:tc>
          <w:tcPr>
            <w:tcW w:w="1899" w:type="dxa"/>
            <w:tcBorders>
              <w:top w:val="single" w:sz="4" w:space="0" w:color="365F91"/>
              <w:left w:val="nil"/>
              <w:bottom w:val="single" w:sz="4" w:space="0" w:color="365F91"/>
              <w:right w:val="nil"/>
            </w:tcBorders>
            <w:hideMark/>
          </w:tcPr>
          <w:p w14:paraId="60283A9A" w14:textId="77777777" w:rsidR="00524720" w:rsidRPr="00D9348B" w:rsidRDefault="00524720">
            <w:pPr>
              <w:pStyle w:val="TableText"/>
              <w:spacing w:after="50"/>
              <w:jc w:val="right"/>
            </w:pPr>
            <w:r w:rsidRPr="00D9348B">
              <w:t>–</w:t>
            </w:r>
          </w:p>
        </w:tc>
      </w:tr>
      <w:tr w:rsidR="00524720" w:rsidRPr="00D9348B" w14:paraId="635E7216" w14:textId="77777777" w:rsidTr="00BF1235">
        <w:tc>
          <w:tcPr>
            <w:tcW w:w="1997" w:type="dxa"/>
            <w:tcBorders>
              <w:top w:val="single" w:sz="4" w:space="0" w:color="365F91"/>
              <w:left w:val="nil"/>
              <w:bottom w:val="single" w:sz="4" w:space="0" w:color="365F91"/>
              <w:right w:val="nil"/>
            </w:tcBorders>
            <w:hideMark/>
          </w:tcPr>
          <w:p w14:paraId="485CCAB2" w14:textId="77777777" w:rsidR="00524720" w:rsidRPr="00D9348B" w:rsidRDefault="00524720">
            <w:pPr>
              <w:pStyle w:val="TableText"/>
              <w:spacing w:after="50"/>
            </w:pPr>
            <w:r w:rsidRPr="00D9348B">
              <w:t>Glass</w:t>
            </w:r>
          </w:p>
        </w:tc>
        <w:tc>
          <w:tcPr>
            <w:tcW w:w="1554" w:type="dxa"/>
            <w:tcBorders>
              <w:top w:val="single" w:sz="4" w:space="0" w:color="365F91"/>
              <w:left w:val="nil"/>
              <w:bottom w:val="single" w:sz="4" w:space="0" w:color="365F91"/>
              <w:right w:val="nil"/>
            </w:tcBorders>
            <w:hideMark/>
          </w:tcPr>
          <w:p w14:paraId="2AD8E609" w14:textId="77777777" w:rsidR="00524720" w:rsidRPr="00D9348B" w:rsidRDefault="00524720">
            <w:pPr>
              <w:pStyle w:val="TableText"/>
              <w:spacing w:after="50"/>
              <w:jc w:val="right"/>
            </w:pPr>
            <w:r w:rsidRPr="00D9348B">
              <w:t>8.8</w:t>
            </w:r>
          </w:p>
        </w:tc>
        <w:tc>
          <w:tcPr>
            <w:tcW w:w="1549" w:type="dxa"/>
            <w:tcBorders>
              <w:top w:val="single" w:sz="4" w:space="0" w:color="365F91"/>
              <w:left w:val="nil"/>
              <w:bottom w:val="single" w:sz="4" w:space="0" w:color="365F91"/>
              <w:right w:val="nil"/>
            </w:tcBorders>
            <w:hideMark/>
          </w:tcPr>
          <w:p w14:paraId="5DFDA9CE" w14:textId="77777777" w:rsidR="00524720" w:rsidRPr="00D9348B" w:rsidRDefault="00524720">
            <w:pPr>
              <w:pStyle w:val="TableText"/>
              <w:spacing w:after="50"/>
              <w:jc w:val="right"/>
            </w:pPr>
            <w:r w:rsidRPr="00D9348B">
              <w:t>100</w:t>
            </w:r>
          </w:p>
        </w:tc>
        <w:tc>
          <w:tcPr>
            <w:tcW w:w="1563" w:type="dxa"/>
            <w:tcBorders>
              <w:top w:val="single" w:sz="4" w:space="0" w:color="365F91"/>
              <w:left w:val="nil"/>
              <w:bottom w:val="single" w:sz="4" w:space="0" w:color="365F91"/>
              <w:right w:val="nil"/>
            </w:tcBorders>
            <w:hideMark/>
          </w:tcPr>
          <w:p w14:paraId="67682910" w14:textId="77777777" w:rsidR="00524720" w:rsidRPr="00D9348B" w:rsidRDefault="00524720">
            <w:pPr>
              <w:pStyle w:val="TableText"/>
              <w:spacing w:after="50"/>
              <w:jc w:val="right"/>
            </w:pPr>
            <w:r w:rsidRPr="00D9348B">
              <w:t>–</w:t>
            </w:r>
          </w:p>
        </w:tc>
        <w:tc>
          <w:tcPr>
            <w:tcW w:w="1899" w:type="dxa"/>
            <w:tcBorders>
              <w:top w:val="single" w:sz="4" w:space="0" w:color="365F91"/>
              <w:left w:val="nil"/>
              <w:bottom w:val="single" w:sz="4" w:space="0" w:color="365F91"/>
              <w:right w:val="nil"/>
            </w:tcBorders>
            <w:hideMark/>
          </w:tcPr>
          <w:p w14:paraId="21FC33DD" w14:textId="77777777" w:rsidR="00524720" w:rsidRPr="00D9348B" w:rsidRDefault="00524720">
            <w:pPr>
              <w:pStyle w:val="TableText"/>
              <w:spacing w:after="50"/>
              <w:jc w:val="right"/>
            </w:pPr>
            <w:r w:rsidRPr="00D9348B">
              <w:t>–</w:t>
            </w:r>
          </w:p>
        </w:tc>
      </w:tr>
      <w:tr w:rsidR="00524720" w:rsidRPr="00D9348B" w14:paraId="0ADCD780" w14:textId="77777777" w:rsidTr="00BF1235">
        <w:tc>
          <w:tcPr>
            <w:tcW w:w="1997" w:type="dxa"/>
            <w:tcBorders>
              <w:top w:val="single" w:sz="4" w:space="0" w:color="365F91"/>
              <w:left w:val="nil"/>
              <w:bottom w:val="single" w:sz="4" w:space="0" w:color="365F91"/>
              <w:right w:val="nil"/>
            </w:tcBorders>
            <w:hideMark/>
          </w:tcPr>
          <w:p w14:paraId="394B96CD" w14:textId="77777777" w:rsidR="00524720" w:rsidRPr="00D9348B" w:rsidRDefault="00524720">
            <w:pPr>
              <w:pStyle w:val="TableText"/>
              <w:spacing w:after="50"/>
            </w:pPr>
            <w:r w:rsidRPr="00D9348B">
              <w:t>Other, inert</w:t>
            </w:r>
          </w:p>
        </w:tc>
        <w:tc>
          <w:tcPr>
            <w:tcW w:w="1554" w:type="dxa"/>
            <w:tcBorders>
              <w:top w:val="single" w:sz="4" w:space="0" w:color="365F91"/>
              <w:left w:val="nil"/>
              <w:bottom w:val="single" w:sz="4" w:space="0" w:color="365F91"/>
              <w:right w:val="nil"/>
            </w:tcBorders>
            <w:hideMark/>
          </w:tcPr>
          <w:p w14:paraId="23E50407" w14:textId="77777777" w:rsidR="00524720" w:rsidRPr="00D9348B" w:rsidRDefault="00524720">
            <w:pPr>
              <w:pStyle w:val="TableText"/>
              <w:spacing w:after="50"/>
              <w:jc w:val="right"/>
            </w:pPr>
            <w:r w:rsidRPr="00D9348B">
              <w:t>8.8</w:t>
            </w:r>
          </w:p>
        </w:tc>
        <w:tc>
          <w:tcPr>
            <w:tcW w:w="1549" w:type="dxa"/>
            <w:tcBorders>
              <w:top w:val="single" w:sz="4" w:space="0" w:color="365F91"/>
              <w:left w:val="nil"/>
              <w:bottom w:val="single" w:sz="4" w:space="0" w:color="365F91"/>
              <w:right w:val="nil"/>
            </w:tcBorders>
            <w:hideMark/>
          </w:tcPr>
          <w:p w14:paraId="23D833F2" w14:textId="77777777" w:rsidR="00524720" w:rsidRPr="00D9348B" w:rsidRDefault="00524720">
            <w:pPr>
              <w:pStyle w:val="TableText"/>
              <w:spacing w:after="50"/>
              <w:jc w:val="right"/>
            </w:pPr>
            <w:r w:rsidRPr="00D9348B">
              <w:t>90</w:t>
            </w:r>
          </w:p>
        </w:tc>
        <w:tc>
          <w:tcPr>
            <w:tcW w:w="1563" w:type="dxa"/>
            <w:tcBorders>
              <w:top w:val="single" w:sz="4" w:space="0" w:color="365F91"/>
              <w:left w:val="nil"/>
              <w:bottom w:val="single" w:sz="4" w:space="0" w:color="365F91"/>
              <w:right w:val="nil"/>
            </w:tcBorders>
            <w:hideMark/>
          </w:tcPr>
          <w:p w14:paraId="384D959E" w14:textId="77777777" w:rsidR="00524720" w:rsidRPr="00D9348B" w:rsidRDefault="00524720">
            <w:pPr>
              <w:pStyle w:val="TableText"/>
              <w:spacing w:after="50"/>
              <w:jc w:val="right"/>
            </w:pPr>
            <w:r w:rsidRPr="00D9348B">
              <w:t>3</w:t>
            </w:r>
          </w:p>
        </w:tc>
        <w:tc>
          <w:tcPr>
            <w:tcW w:w="1899" w:type="dxa"/>
            <w:tcBorders>
              <w:top w:val="single" w:sz="4" w:space="0" w:color="365F91"/>
              <w:left w:val="nil"/>
              <w:bottom w:val="single" w:sz="4" w:space="0" w:color="365F91"/>
              <w:right w:val="nil"/>
            </w:tcBorders>
            <w:hideMark/>
          </w:tcPr>
          <w:p w14:paraId="1371ABE9" w14:textId="77777777" w:rsidR="00524720" w:rsidRPr="00D9348B" w:rsidRDefault="00524720">
            <w:pPr>
              <w:pStyle w:val="TableText"/>
              <w:spacing w:after="50"/>
              <w:jc w:val="right"/>
            </w:pPr>
            <w:r w:rsidRPr="00D9348B">
              <w:t>100</w:t>
            </w:r>
          </w:p>
        </w:tc>
      </w:tr>
      <w:tr w:rsidR="00524720" w:rsidRPr="00D9348B" w14:paraId="46ADE6A4" w14:textId="77777777" w:rsidTr="00BF1235">
        <w:tc>
          <w:tcPr>
            <w:tcW w:w="1997" w:type="dxa"/>
            <w:tcBorders>
              <w:top w:val="single" w:sz="4" w:space="0" w:color="365F91"/>
              <w:left w:val="nil"/>
              <w:bottom w:val="single" w:sz="4" w:space="0" w:color="365F91"/>
              <w:right w:val="nil"/>
            </w:tcBorders>
            <w:hideMark/>
          </w:tcPr>
          <w:p w14:paraId="5543F269" w14:textId="77777777" w:rsidR="00524720" w:rsidRPr="00D9348B" w:rsidRDefault="00524720">
            <w:pPr>
              <w:pStyle w:val="TableText"/>
              <w:spacing w:before="50" w:after="50"/>
              <w:rPr>
                <w:b/>
              </w:rPr>
            </w:pPr>
            <w:r w:rsidRPr="00D9348B">
              <w:rPr>
                <w:b/>
              </w:rPr>
              <w:t>Weighted average</w:t>
            </w:r>
          </w:p>
        </w:tc>
        <w:tc>
          <w:tcPr>
            <w:tcW w:w="1554" w:type="dxa"/>
            <w:tcBorders>
              <w:top w:val="single" w:sz="4" w:space="0" w:color="365F91"/>
              <w:left w:val="nil"/>
              <w:bottom w:val="single" w:sz="4" w:space="0" w:color="365F91"/>
              <w:right w:val="nil"/>
            </w:tcBorders>
            <w:hideMark/>
          </w:tcPr>
          <w:p w14:paraId="2AB786BB" w14:textId="77777777" w:rsidR="00524720" w:rsidRPr="00D9348B" w:rsidRDefault="00524720">
            <w:pPr>
              <w:pStyle w:val="TableText"/>
              <w:spacing w:after="50"/>
              <w:jc w:val="right"/>
              <w:rPr>
                <w:b/>
              </w:rPr>
            </w:pPr>
            <w:r w:rsidRPr="00D9348B">
              <w:rPr>
                <w:b/>
              </w:rPr>
              <w:t>–</w:t>
            </w:r>
          </w:p>
        </w:tc>
        <w:tc>
          <w:tcPr>
            <w:tcW w:w="1549" w:type="dxa"/>
            <w:tcBorders>
              <w:top w:val="single" w:sz="4" w:space="0" w:color="365F91"/>
              <w:left w:val="nil"/>
              <w:bottom w:val="single" w:sz="4" w:space="0" w:color="365F91"/>
              <w:right w:val="nil"/>
            </w:tcBorders>
            <w:hideMark/>
          </w:tcPr>
          <w:p w14:paraId="5DB86C94" w14:textId="77777777" w:rsidR="00524720" w:rsidRPr="00D9348B" w:rsidRDefault="00524720">
            <w:pPr>
              <w:pStyle w:val="TableText"/>
              <w:spacing w:after="50"/>
              <w:jc w:val="right"/>
              <w:rPr>
                <w:b/>
              </w:rPr>
            </w:pPr>
            <w:r w:rsidRPr="00D9348B">
              <w:rPr>
                <w:b/>
              </w:rPr>
              <w:t>76.9</w:t>
            </w:r>
          </w:p>
        </w:tc>
        <w:tc>
          <w:tcPr>
            <w:tcW w:w="1563" w:type="dxa"/>
            <w:tcBorders>
              <w:top w:val="single" w:sz="4" w:space="0" w:color="365F91"/>
              <w:left w:val="nil"/>
              <w:bottom w:val="single" w:sz="4" w:space="0" w:color="365F91"/>
              <w:right w:val="nil"/>
            </w:tcBorders>
            <w:hideMark/>
          </w:tcPr>
          <w:p w14:paraId="072A4FE6" w14:textId="77777777" w:rsidR="00524720" w:rsidRPr="00D9348B" w:rsidRDefault="00524720">
            <w:pPr>
              <w:pStyle w:val="TableText"/>
              <w:spacing w:after="50"/>
              <w:jc w:val="right"/>
              <w:rPr>
                <w:b/>
              </w:rPr>
            </w:pPr>
            <w:r w:rsidRPr="00D9348B">
              <w:rPr>
                <w:b/>
              </w:rPr>
              <w:t>38.6</w:t>
            </w:r>
          </w:p>
        </w:tc>
        <w:tc>
          <w:tcPr>
            <w:tcW w:w="1899" w:type="dxa"/>
            <w:tcBorders>
              <w:top w:val="single" w:sz="4" w:space="0" w:color="365F91"/>
              <w:left w:val="nil"/>
              <w:bottom w:val="single" w:sz="4" w:space="0" w:color="365F91"/>
              <w:right w:val="nil"/>
            </w:tcBorders>
            <w:hideMark/>
          </w:tcPr>
          <w:p w14:paraId="7D47CDC4" w14:textId="77777777" w:rsidR="00524720" w:rsidRPr="00D9348B" w:rsidRDefault="00524720">
            <w:pPr>
              <w:pStyle w:val="TableText"/>
              <w:spacing w:after="50"/>
              <w:jc w:val="right"/>
              <w:rPr>
                <w:b/>
              </w:rPr>
            </w:pPr>
            <w:r w:rsidRPr="00D9348B">
              <w:rPr>
                <w:b/>
              </w:rPr>
              <w:t>20.8</w:t>
            </w:r>
          </w:p>
        </w:tc>
      </w:tr>
    </w:tbl>
    <w:p w14:paraId="187606F5" w14:textId="77777777" w:rsidR="00524720" w:rsidRPr="00D9348B" w:rsidRDefault="00524720" w:rsidP="00524720">
      <w:pPr>
        <w:pStyle w:val="Source"/>
        <w:spacing w:after="120"/>
      </w:pPr>
      <w:r w:rsidRPr="00D9348B">
        <w:rPr>
          <w:b/>
        </w:rPr>
        <w:t>Source:</w:t>
      </w:r>
      <w:r w:rsidRPr="00D9348B">
        <w:t xml:space="preserve"> Dry matter content, total carbon content and fossil carbon content values are from table 2.4 (IPCC, 2006a).</w:t>
      </w:r>
    </w:p>
    <w:p w14:paraId="02F5B5A1" w14:textId="77777777" w:rsidR="00524720" w:rsidRPr="00D9348B" w:rsidRDefault="00524720" w:rsidP="00865BDB">
      <w:pPr>
        <w:pStyle w:val="Heading4"/>
      </w:pPr>
      <w:r w:rsidRPr="00D9348B">
        <w:t>Choice of emission factors</w:t>
      </w:r>
    </w:p>
    <w:p w14:paraId="2745A60D" w14:textId="77777777" w:rsidR="00524720" w:rsidRPr="00D9348B" w:rsidRDefault="00524720" w:rsidP="00524720">
      <w:pPr>
        <w:pStyle w:val="Heading5"/>
        <w:spacing w:before="120"/>
      </w:pPr>
      <w:r w:rsidRPr="00D9348B">
        <w:t>Incineration (5.C.1)</w:t>
      </w:r>
    </w:p>
    <w:p w14:paraId="35FFFBEB" w14:textId="77777777" w:rsidR="00524720" w:rsidRPr="00D9348B" w:rsidRDefault="00524720" w:rsidP="00524720">
      <w:pPr>
        <w:pStyle w:val="BodyText"/>
      </w:pPr>
      <w:r w:rsidRPr="00D9348B">
        <w:t xml:space="preserve">The parameters used to calculate emissions from incineration are detailed in table 7.4.4. </w:t>
      </w:r>
    </w:p>
    <w:p w14:paraId="387043E2" w14:textId="77777777" w:rsidR="00524720" w:rsidRPr="00D9348B" w:rsidRDefault="00524720" w:rsidP="00524720">
      <w:pPr>
        <w:pStyle w:val="Table"/>
      </w:pPr>
      <w:bookmarkStart w:id="2788" w:name="_Toc32828533"/>
      <w:bookmarkStart w:id="2789" w:name="_Toc32591363"/>
      <w:bookmarkStart w:id="2790" w:name="_Toc5269575"/>
      <w:bookmarkStart w:id="2791" w:name="_Toc511116829"/>
      <w:bookmarkStart w:id="2792" w:name="_Toc508019331"/>
      <w:bookmarkStart w:id="2793" w:name="_Toc481751606"/>
      <w:bookmarkStart w:id="2794" w:name="_Toc451176176"/>
      <w:bookmarkStart w:id="2795" w:name="_Toc444001624"/>
      <w:bookmarkStart w:id="2796" w:name="_Toc36224656"/>
      <w:r w:rsidRPr="00D9348B">
        <w:lastRenderedPageBreak/>
        <w:t>Table 7.4.4</w:t>
      </w:r>
      <w:r w:rsidRPr="00D9348B">
        <w:tab/>
        <w:t>Parameter values applied to estimate emissions from incineration</w:t>
      </w:r>
      <w:bookmarkEnd w:id="2788"/>
      <w:bookmarkEnd w:id="2789"/>
      <w:bookmarkEnd w:id="2790"/>
      <w:bookmarkEnd w:id="2791"/>
      <w:bookmarkEnd w:id="2792"/>
      <w:bookmarkEnd w:id="2793"/>
      <w:bookmarkEnd w:id="2794"/>
      <w:bookmarkEnd w:id="2795"/>
      <w:bookmarkEnd w:id="2796"/>
    </w:p>
    <w:tbl>
      <w:tblPr>
        <w:tblW w:w="8562" w:type="dxa"/>
        <w:tblInd w:w="108" w:type="dxa"/>
        <w:tblLook w:val="04A0" w:firstRow="1" w:lastRow="0" w:firstColumn="1" w:lastColumn="0" w:noHBand="0" w:noVBand="1"/>
      </w:tblPr>
      <w:tblGrid>
        <w:gridCol w:w="2405"/>
        <w:gridCol w:w="1525"/>
        <w:gridCol w:w="1642"/>
        <w:gridCol w:w="1290"/>
        <w:gridCol w:w="1700"/>
      </w:tblGrid>
      <w:tr w:rsidR="00B964DA" w:rsidRPr="00D9348B" w14:paraId="55FBF516" w14:textId="77777777" w:rsidTr="007819F5">
        <w:trPr>
          <w:tblHeader/>
        </w:trPr>
        <w:tc>
          <w:tcPr>
            <w:tcW w:w="2325" w:type="dxa"/>
            <w:tcBorders>
              <w:top w:val="single" w:sz="4" w:space="0" w:color="365F91"/>
              <w:left w:val="nil"/>
              <w:bottom w:val="single" w:sz="4" w:space="0" w:color="365F91"/>
              <w:right w:val="nil"/>
            </w:tcBorders>
            <w:shd w:val="clear" w:color="auto" w:fill="365F91"/>
            <w:hideMark/>
          </w:tcPr>
          <w:p w14:paraId="45E902F4" w14:textId="77777777" w:rsidR="00524720" w:rsidRPr="00D9348B" w:rsidRDefault="00524720" w:rsidP="007819F5">
            <w:pPr>
              <w:pStyle w:val="TableTextBold"/>
              <w:keepNext/>
              <w:spacing w:before="50" w:after="50"/>
              <w:rPr>
                <w:noProof w:val="0"/>
                <w:color w:val="FFFFFF"/>
              </w:rPr>
            </w:pPr>
            <w:r w:rsidRPr="00D9348B">
              <w:rPr>
                <w:noProof w:val="0"/>
                <w:color w:val="FFFFFF"/>
              </w:rPr>
              <w:t xml:space="preserve">Parameter </w:t>
            </w:r>
          </w:p>
        </w:tc>
        <w:tc>
          <w:tcPr>
            <w:tcW w:w="1474" w:type="dxa"/>
            <w:tcBorders>
              <w:top w:val="single" w:sz="4" w:space="0" w:color="365F91"/>
              <w:left w:val="nil"/>
              <w:bottom w:val="single" w:sz="4" w:space="0" w:color="365F91"/>
              <w:right w:val="nil"/>
            </w:tcBorders>
            <w:shd w:val="clear" w:color="auto" w:fill="365F91"/>
            <w:hideMark/>
          </w:tcPr>
          <w:p w14:paraId="172319EB" w14:textId="77777777" w:rsidR="00524720" w:rsidRPr="00D9348B" w:rsidRDefault="00524720" w:rsidP="007819F5">
            <w:pPr>
              <w:pStyle w:val="TableTextBold"/>
              <w:keepNext/>
              <w:spacing w:before="50" w:after="50"/>
              <w:rPr>
                <w:noProof w:val="0"/>
                <w:color w:val="FFFFFF"/>
              </w:rPr>
            </w:pPr>
            <w:r w:rsidRPr="00D9348B">
              <w:rPr>
                <w:noProof w:val="0"/>
                <w:color w:val="FFFFFF"/>
              </w:rPr>
              <w:t>Hazardous waste</w:t>
            </w:r>
          </w:p>
        </w:tc>
        <w:tc>
          <w:tcPr>
            <w:tcW w:w="1588" w:type="dxa"/>
            <w:tcBorders>
              <w:top w:val="single" w:sz="4" w:space="0" w:color="365F91"/>
              <w:left w:val="nil"/>
              <w:bottom w:val="single" w:sz="4" w:space="0" w:color="365F91"/>
              <w:right w:val="nil"/>
            </w:tcBorders>
            <w:shd w:val="clear" w:color="auto" w:fill="365F91"/>
            <w:hideMark/>
          </w:tcPr>
          <w:p w14:paraId="38A60697" w14:textId="77777777" w:rsidR="00524720" w:rsidRPr="00D9348B" w:rsidRDefault="00524720" w:rsidP="007819F5">
            <w:pPr>
              <w:pStyle w:val="TableTextBold"/>
              <w:keepNext/>
              <w:spacing w:before="50" w:after="50"/>
              <w:rPr>
                <w:noProof w:val="0"/>
                <w:color w:val="FFFFFF"/>
              </w:rPr>
            </w:pPr>
            <w:r w:rsidRPr="00D9348B">
              <w:rPr>
                <w:noProof w:val="0"/>
                <w:color w:val="FFFFFF"/>
              </w:rPr>
              <w:t>Clinical waste</w:t>
            </w:r>
          </w:p>
        </w:tc>
        <w:tc>
          <w:tcPr>
            <w:tcW w:w="1247" w:type="dxa"/>
            <w:tcBorders>
              <w:top w:val="single" w:sz="4" w:space="0" w:color="365F91"/>
              <w:left w:val="nil"/>
              <w:bottom w:val="single" w:sz="4" w:space="0" w:color="365F91"/>
              <w:right w:val="nil"/>
            </w:tcBorders>
            <w:shd w:val="clear" w:color="auto" w:fill="365F91"/>
            <w:hideMark/>
          </w:tcPr>
          <w:p w14:paraId="5457ADDD" w14:textId="77777777" w:rsidR="00524720" w:rsidRPr="00D9348B" w:rsidRDefault="00524720" w:rsidP="007819F5">
            <w:pPr>
              <w:pStyle w:val="TableTextBold"/>
              <w:keepNext/>
              <w:spacing w:before="50" w:after="50"/>
              <w:rPr>
                <w:noProof w:val="0"/>
                <w:color w:val="FFFFFF"/>
              </w:rPr>
            </w:pPr>
            <w:r w:rsidRPr="00D9348B">
              <w:rPr>
                <w:noProof w:val="0"/>
                <w:color w:val="FFFFFF"/>
              </w:rPr>
              <w:t>Sewage sludge</w:t>
            </w:r>
          </w:p>
        </w:tc>
        <w:tc>
          <w:tcPr>
            <w:tcW w:w="1644" w:type="dxa"/>
            <w:tcBorders>
              <w:top w:val="single" w:sz="4" w:space="0" w:color="365F91"/>
              <w:left w:val="nil"/>
              <w:bottom w:val="single" w:sz="4" w:space="0" w:color="365F91"/>
              <w:right w:val="nil"/>
            </w:tcBorders>
            <w:shd w:val="clear" w:color="auto" w:fill="365F91"/>
            <w:hideMark/>
          </w:tcPr>
          <w:p w14:paraId="42B5DD6A" w14:textId="77777777" w:rsidR="00524720" w:rsidRPr="00D9348B" w:rsidRDefault="00524720" w:rsidP="007819F5">
            <w:pPr>
              <w:pStyle w:val="TableTextBold"/>
              <w:keepNext/>
              <w:spacing w:before="50" w:after="50"/>
              <w:rPr>
                <w:noProof w:val="0"/>
                <w:color w:val="FFFFFF"/>
              </w:rPr>
            </w:pPr>
            <w:r w:rsidRPr="00D9348B">
              <w:rPr>
                <w:noProof w:val="0"/>
                <w:color w:val="FFFFFF"/>
              </w:rPr>
              <w:t>Source</w:t>
            </w:r>
          </w:p>
        </w:tc>
      </w:tr>
      <w:tr w:rsidR="00B964DA" w:rsidRPr="00D9348B" w14:paraId="769C761E" w14:textId="77777777" w:rsidTr="00CB36F4">
        <w:tc>
          <w:tcPr>
            <w:tcW w:w="2325" w:type="dxa"/>
            <w:tcBorders>
              <w:top w:val="single" w:sz="4" w:space="0" w:color="365F91"/>
              <w:left w:val="nil"/>
              <w:bottom w:val="single" w:sz="4" w:space="0" w:color="365F91"/>
              <w:right w:val="nil"/>
            </w:tcBorders>
            <w:hideMark/>
          </w:tcPr>
          <w:p w14:paraId="3DF63511" w14:textId="77777777" w:rsidR="00524720" w:rsidRPr="00D9348B" w:rsidRDefault="00524720" w:rsidP="007819F5">
            <w:pPr>
              <w:pStyle w:val="TableText"/>
              <w:keepNext/>
              <w:spacing w:before="50" w:after="50"/>
            </w:pPr>
            <w:r w:rsidRPr="00D9348B">
              <w:t>Dry-matter content in waste (%)</w:t>
            </w:r>
          </w:p>
        </w:tc>
        <w:tc>
          <w:tcPr>
            <w:tcW w:w="1474" w:type="dxa"/>
            <w:tcBorders>
              <w:top w:val="single" w:sz="4" w:space="0" w:color="365F91"/>
              <w:left w:val="nil"/>
              <w:bottom w:val="single" w:sz="4" w:space="0" w:color="365F91"/>
              <w:right w:val="nil"/>
            </w:tcBorders>
            <w:hideMark/>
          </w:tcPr>
          <w:p w14:paraId="295EB27B" w14:textId="77777777" w:rsidR="00524720" w:rsidRPr="00D9348B" w:rsidRDefault="00524720" w:rsidP="007819F5">
            <w:pPr>
              <w:pStyle w:val="TableText"/>
              <w:keepNext/>
              <w:spacing w:after="0"/>
            </w:pPr>
            <w:r w:rsidRPr="00D9348B">
              <w:t>50</w:t>
            </w:r>
          </w:p>
          <w:p w14:paraId="30F1E257" w14:textId="77777777" w:rsidR="00524720" w:rsidRPr="00D9348B" w:rsidRDefault="00524720" w:rsidP="002D0986">
            <w:pPr>
              <w:pStyle w:val="TableText"/>
              <w:keepNext/>
              <w:spacing w:before="40"/>
            </w:pPr>
            <w:r w:rsidRPr="00D9348B">
              <w:t>(table 2.6)</w:t>
            </w:r>
          </w:p>
        </w:tc>
        <w:tc>
          <w:tcPr>
            <w:tcW w:w="1588" w:type="dxa"/>
            <w:tcBorders>
              <w:top w:val="single" w:sz="4" w:space="0" w:color="365F91"/>
              <w:left w:val="nil"/>
              <w:bottom w:val="single" w:sz="4" w:space="0" w:color="365F91"/>
              <w:right w:val="nil"/>
            </w:tcBorders>
            <w:hideMark/>
          </w:tcPr>
          <w:p w14:paraId="4A84EC49" w14:textId="77777777" w:rsidR="00524720" w:rsidRPr="00D9348B" w:rsidRDefault="00524720" w:rsidP="007819F5">
            <w:pPr>
              <w:pStyle w:val="TableText"/>
              <w:keepNext/>
              <w:spacing w:after="0"/>
            </w:pPr>
            <w:r w:rsidRPr="00D9348B">
              <w:t xml:space="preserve">65 </w:t>
            </w:r>
          </w:p>
          <w:p w14:paraId="68698DB3" w14:textId="77777777" w:rsidR="00524720" w:rsidRPr="00D9348B" w:rsidRDefault="00524720" w:rsidP="002D0986">
            <w:pPr>
              <w:pStyle w:val="TableText"/>
              <w:keepNext/>
              <w:spacing w:before="40"/>
            </w:pPr>
            <w:r w:rsidRPr="00D9348B">
              <w:t>(table 2.6)</w:t>
            </w:r>
          </w:p>
        </w:tc>
        <w:tc>
          <w:tcPr>
            <w:tcW w:w="1247" w:type="dxa"/>
            <w:tcBorders>
              <w:top w:val="single" w:sz="4" w:space="0" w:color="365F91"/>
              <w:left w:val="nil"/>
              <w:bottom w:val="single" w:sz="4" w:space="0" w:color="365F91"/>
              <w:right w:val="nil"/>
            </w:tcBorders>
            <w:hideMark/>
          </w:tcPr>
          <w:p w14:paraId="346DFC6C" w14:textId="77777777" w:rsidR="00524720" w:rsidRPr="00D9348B" w:rsidRDefault="00524720" w:rsidP="007819F5">
            <w:pPr>
              <w:pStyle w:val="TableText"/>
              <w:keepNext/>
              <w:spacing w:after="0"/>
            </w:pPr>
            <w:r w:rsidRPr="00D9348B">
              <w:t>10</w:t>
            </w:r>
          </w:p>
          <w:p w14:paraId="7A798064" w14:textId="77777777" w:rsidR="00524720" w:rsidRPr="00D9348B" w:rsidRDefault="00524720" w:rsidP="002D0986">
            <w:pPr>
              <w:pStyle w:val="TableText"/>
              <w:keepNext/>
              <w:spacing w:before="40"/>
            </w:pPr>
            <w:r w:rsidRPr="00D9348B">
              <w:t>(section 2.3.2)</w:t>
            </w:r>
          </w:p>
        </w:tc>
        <w:tc>
          <w:tcPr>
            <w:tcW w:w="1644" w:type="dxa"/>
            <w:tcBorders>
              <w:top w:val="single" w:sz="4" w:space="0" w:color="365F91"/>
              <w:left w:val="nil"/>
              <w:bottom w:val="single" w:sz="4" w:space="0" w:color="365F91"/>
              <w:right w:val="nil"/>
            </w:tcBorders>
            <w:hideMark/>
          </w:tcPr>
          <w:p w14:paraId="223F6F45" w14:textId="77777777" w:rsidR="00524720" w:rsidRPr="00D9348B" w:rsidRDefault="00524720" w:rsidP="007819F5">
            <w:pPr>
              <w:pStyle w:val="TableText"/>
              <w:keepNext/>
            </w:pPr>
            <w:r w:rsidRPr="00D9348B">
              <w:t>IPCC (2006a)</w:t>
            </w:r>
          </w:p>
        </w:tc>
      </w:tr>
      <w:tr w:rsidR="00B964DA" w:rsidRPr="00D9348B" w14:paraId="13107F5B" w14:textId="77777777" w:rsidTr="00CB36F4">
        <w:tc>
          <w:tcPr>
            <w:tcW w:w="2325" w:type="dxa"/>
            <w:tcBorders>
              <w:top w:val="single" w:sz="4" w:space="0" w:color="365F91"/>
              <w:left w:val="nil"/>
              <w:bottom w:val="single" w:sz="4" w:space="0" w:color="365F91"/>
              <w:right w:val="nil"/>
            </w:tcBorders>
            <w:hideMark/>
          </w:tcPr>
          <w:p w14:paraId="6B6C44BF" w14:textId="77777777" w:rsidR="00524720" w:rsidRPr="00D9348B" w:rsidRDefault="00524720">
            <w:pPr>
              <w:pStyle w:val="TableText"/>
              <w:spacing w:before="50" w:after="50"/>
            </w:pPr>
            <w:r w:rsidRPr="00D9348B">
              <w:t>Fraction of carbon</w:t>
            </w:r>
          </w:p>
        </w:tc>
        <w:tc>
          <w:tcPr>
            <w:tcW w:w="1474" w:type="dxa"/>
            <w:tcBorders>
              <w:top w:val="single" w:sz="4" w:space="0" w:color="365F91"/>
              <w:left w:val="nil"/>
              <w:bottom w:val="single" w:sz="4" w:space="0" w:color="365F91"/>
              <w:right w:val="nil"/>
            </w:tcBorders>
            <w:hideMark/>
          </w:tcPr>
          <w:p w14:paraId="33964A4D" w14:textId="77777777" w:rsidR="00524720" w:rsidRPr="00D9348B" w:rsidRDefault="00524720">
            <w:pPr>
              <w:pStyle w:val="TableText"/>
              <w:spacing w:after="0"/>
            </w:pPr>
            <w:r w:rsidRPr="00D9348B">
              <w:t>0.275 (wet)</w:t>
            </w:r>
          </w:p>
          <w:p w14:paraId="27AD29A4" w14:textId="77777777" w:rsidR="00524720" w:rsidRPr="00D9348B" w:rsidRDefault="00524720" w:rsidP="002D0986">
            <w:pPr>
              <w:pStyle w:val="TableText"/>
              <w:spacing w:before="40"/>
            </w:pPr>
            <w:r w:rsidRPr="00D9348B">
              <w:t>(table 2.6)</w:t>
            </w:r>
          </w:p>
        </w:tc>
        <w:tc>
          <w:tcPr>
            <w:tcW w:w="1588" w:type="dxa"/>
            <w:tcBorders>
              <w:top w:val="single" w:sz="4" w:space="0" w:color="365F91"/>
              <w:left w:val="nil"/>
              <w:bottom w:val="single" w:sz="4" w:space="0" w:color="365F91"/>
              <w:right w:val="nil"/>
            </w:tcBorders>
            <w:hideMark/>
          </w:tcPr>
          <w:p w14:paraId="39233EDD" w14:textId="77777777" w:rsidR="00524720" w:rsidRPr="00D9348B" w:rsidRDefault="00524720">
            <w:pPr>
              <w:pStyle w:val="TableText"/>
              <w:spacing w:after="0"/>
            </w:pPr>
            <w:r w:rsidRPr="00D9348B">
              <w:t>0.6 (dry)</w:t>
            </w:r>
          </w:p>
          <w:p w14:paraId="182F664D" w14:textId="77777777" w:rsidR="00524720" w:rsidRPr="00D9348B" w:rsidRDefault="00524720" w:rsidP="002D0986">
            <w:pPr>
              <w:pStyle w:val="TableText"/>
              <w:spacing w:before="40"/>
            </w:pPr>
            <w:r w:rsidRPr="00D9348B">
              <w:t>(table 5.2)</w:t>
            </w:r>
          </w:p>
        </w:tc>
        <w:tc>
          <w:tcPr>
            <w:tcW w:w="1247" w:type="dxa"/>
            <w:tcBorders>
              <w:top w:val="single" w:sz="4" w:space="0" w:color="365F91"/>
              <w:left w:val="nil"/>
              <w:bottom w:val="single" w:sz="4" w:space="0" w:color="365F91"/>
              <w:right w:val="nil"/>
            </w:tcBorders>
            <w:hideMark/>
          </w:tcPr>
          <w:p w14:paraId="6D744C6C" w14:textId="77777777" w:rsidR="00524720" w:rsidRPr="00D9348B" w:rsidRDefault="00524720">
            <w:pPr>
              <w:pStyle w:val="TableText"/>
              <w:spacing w:after="0"/>
            </w:pPr>
            <w:r w:rsidRPr="00D9348B">
              <w:t>0.45 (dry)</w:t>
            </w:r>
          </w:p>
          <w:p w14:paraId="21A4AAC5" w14:textId="77777777" w:rsidR="00524720" w:rsidRPr="00D9348B" w:rsidRDefault="00524720" w:rsidP="002D0986">
            <w:pPr>
              <w:pStyle w:val="TableText"/>
              <w:spacing w:before="40"/>
            </w:pPr>
            <w:r w:rsidRPr="00D9348B">
              <w:t>(table 5.2)</w:t>
            </w:r>
          </w:p>
        </w:tc>
        <w:tc>
          <w:tcPr>
            <w:tcW w:w="1644" w:type="dxa"/>
            <w:tcBorders>
              <w:top w:val="single" w:sz="4" w:space="0" w:color="365F91"/>
              <w:left w:val="nil"/>
              <w:bottom w:val="single" w:sz="4" w:space="0" w:color="365F91"/>
              <w:right w:val="nil"/>
            </w:tcBorders>
            <w:hideMark/>
          </w:tcPr>
          <w:p w14:paraId="453811D2" w14:textId="77777777" w:rsidR="00524720" w:rsidRPr="00D9348B" w:rsidRDefault="00524720">
            <w:pPr>
              <w:pStyle w:val="TableText"/>
            </w:pPr>
            <w:r w:rsidRPr="00D9348B">
              <w:t>IPCC (2006a)</w:t>
            </w:r>
          </w:p>
        </w:tc>
      </w:tr>
      <w:tr w:rsidR="00B964DA" w:rsidRPr="00D9348B" w14:paraId="6CF46427" w14:textId="77777777" w:rsidTr="00CB36F4">
        <w:tc>
          <w:tcPr>
            <w:tcW w:w="2325" w:type="dxa"/>
            <w:tcBorders>
              <w:top w:val="single" w:sz="4" w:space="0" w:color="365F91"/>
              <w:left w:val="nil"/>
              <w:bottom w:val="single" w:sz="4" w:space="0" w:color="365F91"/>
              <w:right w:val="nil"/>
            </w:tcBorders>
            <w:hideMark/>
          </w:tcPr>
          <w:p w14:paraId="7AF28645" w14:textId="77777777" w:rsidR="00524720" w:rsidRPr="00D9348B" w:rsidRDefault="00524720">
            <w:pPr>
              <w:pStyle w:val="TableText"/>
              <w:spacing w:before="50" w:after="50"/>
            </w:pPr>
            <w:r w:rsidRPr="00D9348B">
              <w:t>Fraction of fossil carbon in total carbon</w:t>
            </w:r>
          </w:p>
        </w:tc>
        <w:tc>
          <w:tcPr>
            <w:tcW w:w="1474" w:type="dxa"/>
            <w:tcBorders>
              <w:top w:val="single" w:sz="4" w:space="0" w:color="365F91"/>
              <w:left w:val="nil"/>
              <w:bottom w:val="single" w:sz="4" w:space="0" w:color="365F91"/>
              <w:right w:val="nil"/>
            </w:tcBorders>
            <w:hideMark/>
          </w:tcPr>
          <w:p w14:paraId="4515F875" w14:textId="77777777" w:rsidR="00524720" w:rsidRPr="00D9348B" w:rsidRDefault="00524720">
            <w:pPr>
              <w:pStyle w:val="TableText"/>
              <w:spacing w:after="0"/>
            </w:pPr>
            <w:r w:rsidRPr="00D9348B">
              <w:t>1</w:t>
            </w:r>
          </w:p>
          <w:p w14:paraId="76E96FDA" w14:textId="77777777" w:rsidR="00524720" w:rsidRPr="00D9348B" w:rsidRDefault="00524720" w:rsidP="002D0986">
            <w:pPr>
              <w:pStyle w:val="TableText"/>
              <w:spacing w:before="40"/>
            </w:pPr>
            <w:r w:rsidRPr="00D9348B">
              <w:t>(table 2.6)</w:t>
            </w:r>
          </w:p>
        </w:tc>
        <w:tc>
          <w:tcPr>
            <w:tcW w:w="1588" w:type="dxa"/>
            <w:tcBorders>
              <w:top w:val="single" w:sz="4" w:space="0" w:color="365F91"/>
              <w:left w:val="nil"/>
              <w:bottom w:val="single" w:sz="4" w:space="0" w:color="365F91"/>
              <w:right w:val="nil"/>
            </w:tcBorders>
            <w:hideMark/>
          </w:tcPr>
          <w:p w14:paraId="7474E5BE" w14:textId="77777777" w:rsidR="00524720" w:rsidRPr="00D9348B" w:rsidRDefault="00524720">
            <w:pPr>
              <w:pStyle w:val="TableText"/>
              <w:spacing w:after="0"/>
            </w:pPr>
            <w:r w:rsidRPr="00D9348B">
              <w:t xml:space="preserve">0.4 </w:t>
            </w:r>
          </w:p>
          <w:p w14:paraId="439EAB6D" w14:textId="77777777" w:rsidR="00524720" w:rsidRPr="00D9348B" w:rsidRDefault="00524720" w:rsidP="002D0986">
            <w:pPr>
              <w:pStyle w:val="TableText"/>
              <w:spacing w:before="40"/>
            </w:pPr>
            <w:r w:rsidRPr="00D9348B">
              <w:t>(table 5.2)</w:t>
            </w:r>
          </w:p>
        </w:tc>
        <w:tc>
          <w:tcPr>
            <w:tcW w:w="1247" w:type="dxa"/>
            <w:tcBorders>
              <w:top w:val="single" w:sz="4" w:space="0" w:color="365F91"/>
              <w:left w:val="nil"/>
              <w:bottom w:val="single" w:sz="4" w:space="0" w:color="365F91"/>
              <w:right w:val="nil"/>
            </w:tcBorders>
            <w:hideMark/>
          </w:tcPr>
          <w:p w14:paraId="392342C0" w14:textId="77777777" w:rsidR="00524720" w:rsidRPr="00D9348B" w:rsidRDefault="00524720">
            <w:pPr>
              <w:pStyle w:val="TableText"/>
              <w:spacing w:after="0"/>
            </w:pPr>
            <w:r w:rsidRPr="00D9348B">
              <w:t>0.0</w:t>
            </w:r>
          </w:p>
          <w:p w14:paraId="18C48489" w14:textId="77777777" w:rsidR="00524720" w:rsidRPr="00D9348B" w:rsidRDefault="00524720" w:rsidP="002D0986">
            <w:pPr>
              <w:pStyle w:val="TableText"/>
              <w:spacing w:before="40"/>
            </w:pPr>
            <w:r w:rsidRPr="00D9348B">
              <w:t>(table 5.2)</w:t>
            </w:r>
          </w:p>
        </w:tc>
        <w:tc>
          <w:tcPr>
            <w:tcW w:w="1644" w:type="dxa"/>
            <w:tcBorders>
              <w:top w:val="single" w:sz="4" w:space="0" w:color="365F91"/>
              <w:left w:val="nil"/>
              <w:bottom w:val="single" w:sz="4" w:space="0" w:color="365F91"/>
              <w:right w:val="nil"/>
            </w:tcBorders>
            <w:hideMark/>
          </w:tcPr>
          <w:p w14:paraId="461D4BDE" w14:textId="77777777" w:rsidR="00524720" w:rsidRPr="00D9348B" w:rsidRDefault="00524720">
            <w:pPr>
              <w:pStyle w:val="TableText"/>
            </w:pPr>
            <w:r w:rsidRPr="00D9348B">
              <w:t>IPCC (2006a)</w:t>
            </w:r>
          </w:p>
        </w:tc>
      </w:tr>
      <w:tr w:rsidR="00B964DA" w:rsidRPr="00D9348B" w14:paraId="5DC06E83" w14:textId="77777777" w:rsidTr="00CB36F4">
        <w:tc>
          <w:tcPr>
            <w:tcW w:w="2325" w:type="dxa"/>
            <w:tcBorders>
              <w:top w:val="single" w:sz="4" w:space="0" w:color="365F91"/>
              <w:left w:val="nil"/>
              <w:bottom w:val="single" w:sz="4" w:space="0" w:color="365F91"/>
              <w:right w:val="nil"/>
            </w:tcBorders>
            <w:hideMark/>
          </w:tcPr>
          <w:p w14:paraId="76B32A92" w14:textId="77777777" w:rsidR="00524720" w:rsidRPr="00D9348B" w:rsidRDefault="00524720">
            <w:pPr>
              <w:pStyle w:val="TableText"/>
              <w:spacing w:before="50" w:after="50"/>
              <w:rPr>
                <w:rFonts w:cs="Arial"/>
                <w:szCs w:val="16"/>
              </w:rPr>
            </w:pPr>
            <w:r w:rsidRPr="00D9348B">
              <w:rPr>
                <w:rFonts w:cs="Arial"/>
                <w:szCs w:val="16"/>
              </w:rPr>
              <w:t>Oxidation factor</w:t>
            </w:r>
          </w:p>
        </w:tc>
        <w:tc>
          <w:tcPr>
            <w:tcW w:w="1474" w:type="dxa"/>
            <w:tcBorders>
              <w:top w:val="single" w:sz="4" w:space="0" w:color="365F91"/>
              <w:left w:val="nil"/>
              <w:bottom w:val="single" w:sz="4" w:space="0" w:color="365F91"/>
              <w:right w:val="nil"/>
            </w:tcBorders>
            <w:hideMark/>
          </w:tcPr>
          <w:p w14:paraId="52750D5D" w14:textId="77777777" w:rsidR="00524720" w:rsidRPr="00D9348B" w:rsidRDefault="00524720">
            <w:pPr>
              <w:pStyle w:val="TableText"/>
            </w:pPr>
            <w:r w:rsidRPr="00D9348B">
              <w:t>1.0</w:t>
            </w:r>
          </w:p>
        </w:tc>
        <w:tc>
          <w:tcPr>
            <w:tcW w:w="1588" w:type="dxa"/>
            <w:tcBorders>
              <w:top w:val="single" w:sz="4" w:space="0" w:color="365F91"/>
              <w:left w:val="nil"/>
              <w:bottom w:val="single" w:sz="4" w:space="0" w:color="365F91"/>
              <w:right w:val="nil"/>
            </w:tcBorders>
            <w:hideMark/>
          </w:tcPr>
          <w:p w14:paraId="6F8E7908" w14:textId="77777777" w:rsidR="00524720" w:rsidRPr="00D9348B" w:rsidRDefault="00524720">
            <w:pPr>
              <w:pStyle w:val="TableText"/>
            </w:pPr>
            <w:r w:rsidRPr="00D9348B">
              <w:t>1.0</w:t>
            </w:r>
          </w:p>
        </w:tc>
        <w:tc>
          <w:tcPr>
            <w:tcW w:w="1247" w:type="dxa"/>
            <w:tcBorders>
              <w:top w:val="single" w:sz="4" w:space="0" w:color="365F91"/>
              <w:left w:val="nil"/>
              <w:bottom w:val="single" w:sz="4" w:space="0" w:color="365F91"/>
              <w:right w:val="nil"/>
            </w:tcBorders>
            <w:hideMark/>
          </w:tcPr>
          <w:p w14:paraId="47C6165A" w14:textId="77777777" w:rsidR="00524720" w:rsidRPr="00D9348B" w:rsidRDefault="00524720">
            <w:pPr>
              <w:pStyle w:val="TableText"/>
            </w:pPr>
            <w:r w:rsidRPr="00D9348B">
              <w:t>1.0</w:t>
            </w:r>
          </w:p>
        </w:tc>
        <w:tc>
          <w:tcPr>
            <w:tcW w:w="1644" w:type="dxa"/>
            <w:tcBorders>
              <w:top w:val="single" w:sz="4" w:space="0" w:color="365F91"/>
              <w:left w:val="nil"/>
              <w:bottom w:val="single" w:sz="4" w:space="0" w:color="365F91"/>
              <w:right w:val="nil"/>
            </w:tcBorders>
            <w:hideMark/>
          </w:tcPr>
          <w:p w14:paraId="15544AA6" w14:textId="77777777" w:rsidR="00524720" w:rsidRPr="00D9348B" w:rsidRDefault="00524720">
            <w:pPr>
              <w:pStyle w:val="TableText"/>
            </w:pPr>
            <w:r w:rsidRPr="00D9348B">
              <w:t>IPCC (2006a), table 5.2</w:t>
            </w:r>
          </w:p>
        </w:tc>
      </w:tr>
      <w:tr w:rsidR="00B964DA" w:rsidRPr="00D9348B" w14:paraId="215C39DF" w14:textId="77777777" w:rsidTr="00CB36F4">
        <w:tc>
          <w:tcPr>
            <w:tcW w:w="2325" w:type="dxa"/>
            <w:tcBorders>
              <w:top w:val="single" w:sz="4" w:space="0" w:color="365F91"/>
              <w:left w:val="nil"/>
              <w:bottom w:val="single" w:sz="4" w:space="0" w:color="365F91"/>
              <w:right w:val="nil"/>
            </w:tcBorders>
            <w:hideMark/>
          </w:tcPr>
          <w:p w14:paraId="3A5C77E0" w14:textId="77777777" w:rsidR="00524720" w:rsidRPr="00D9348B" w:rsidRDefault="00524720">
            <w:pPr>
              <w:pStyle w:val="TableText"/>
              <w:spacing w:before="50" w:after="50"/>
              <w:rPr>
                <w:rFonts w:cs="Arial"/>
                <w:szCs w:val="16"/>
              </w:rPr>
            </w:pPr>
            <w:r w:rsidRPr="00D9348B">
              <w:rPr>
                <w:rFonts w:cs="Arial"/>
                <w:szCs w:val="16"/>
              </w:rPr>
              <w:t>Molar ratio to convert from carbon to carbon dioxide</w:t>
            </w:r>
          </w:p>
        </w:tc>
        <w:tc>
          <w:tcPr>
            <w:tcW w:w="1474" w:type="dxa"/>
            <w:tcBorders>
              <w:top w:val="single" w:sz="4" w:space="0" w:color="365F91"/>
              <w:left w:val="nil"/>
              <w:bottom w:val="single" w:sz="4" w:space="0" w:color="365F91"/>
              <w:right w:val="nil"/>
            </w:tcBorders>
            <w:hideMark/>
          </w:tcPr>
          <w:p w14:paraId="086F8F84" w14:textId="77777777" w:rsidR="00524720" w:rsidRPr="00D9348B" w:rsidRDefault="00524720">
            <w:pPr>
              <w:pStyle w:val="TableText"/>
            </w:pPr>
            <w:r w:rsidRPr="00D9348B">
              <w:t>44/12</w:t>
            </w:r>
          </w:p>
        </w:tc>
        <w:tc>
          <w:tcPr>
            <w:tcW w:w="1588" w:type="dxa"/>
            <w:tcBorders>
              <w:top w:val="single" w:sz="4" w:space="0" w:color="365F91"/>
              <w:left w:val="nil"/>
              <w:bottom w:val="single" w:sz="4" w:space="0" w:color="365F91"/>
              <w:right w:val="nil"/>
            </w:tcBorders>
            <w:hideMark/>
          </w:tcPr>
          <w:p w14:paraId="3AE164D7" w14:textId="77777777" w:rsidR="00524720" w:rsidRPr="00D9348B" w:rsidRDefault="00524720">
            <w:pPr>
              <w:pStyle w:val="TableText"/>
            </w:pPr>
            <w:r w:rsidRPr="00D9348B">
              <w:t>44/12</w:t>
            </w:r>
          </w:p>
        </w:tc>
        <w:tc>
          <w:tcPr>
            <w:tcW w:w="1247" w:type="dxa"/>
            <w:tcBorders>
              <w:top w:val="single" w:sz="4" w:space="0" w:color="365F91"/>
              <w:left w:val="nil"/>
              <w:bottom w:val="single" w:sz="4" w:space="0" w:color="365F91"/>
              <w:right w:val="nil"/>
            </w:tcBorders>
            <w:hideMark/>
          </w:tcPr>
          <w:p w14:paraId="73E6542F" w14:textId="77777777" w:rsidR="00524720" w:rsidRPr="00D9348B" w:rsidRDefault="00524720">
            <w:pPr>
              <w:pStyle w:val="TableText"/>
            </w:pPr>
            <w:r w:rsidRPr="00D9348B">
              <w:t>44/12</w:t>
            </w:r>
          </w:p>
        </w:tc>
        <w:tc>
          <w:tcPr>
            <w:tcW w:w="1644" w:type="dxa"/>
            <w:tcBorders>
              <w:top w:val="single" w:sz="4" w:space="0" w:color="365F91"/>
              <w:left w:val="nil"/>
              <w:bottom w:val="single" w:sz="4" w:space="0" w:color="365F91"/>
              <w:right w:val="nil"/>
            </w:tcBorders>
          </w:tcPr>
          <w:p w14:paraId="6638853C" w14:textId="77777777" w:rsidR="00524720" w:rsidRPr="00D9348B" w:rsidRDefault="00524720">
            <w:pPr>
              <w:pStyle w:val="TableText"/>
            </w:pPr>
          </w:p>
        </w:tc>
      </w:tr>
      <w:tr w:rsidR="00B964DA" w:rsidRPr="00D9348B" w14:paraId="642B13B0" w14:textId="77777777" w:rsidTr="00CB36F4">
        <w:tc>
          <w:tcPr>
            <w:tcW w:w="2325" w:type="dxa"/>
            <w:tcBorders>
              <w:top w:val="single" w:sz="4" w:space="0" w:color="365F91"/>
              <w:left w:val="nil"/>
              <w:bottom w:val="single" w:sz="4" w:space="0" w:color="365F91"/>
              <w:right w:val="nil"/>
            </w:tcBorders>
            <w:hideMark/>
          </w:tcPr>
          <w:p w14:paraId="6A24E924" w14:textId="77777777" w:rsidR="00524720" w:rsidRPr="00D9348B" w:rsidRDefault="00524720">
            <w:pPr>
              <w:pStyle w:val="TableText"/>
              <w:spacing w:before="50" w:after="50"/>
            </w:pPr>
            <w:r w:rsidRPr="00D9348B">
              <w:t>Overall carbon dioxide emission factor (kg/kt)</w:t>
            </w:r>
          </w:p>
        </w:tc>
        <w:tc>
          <w:tcPr>
            <w:tcW w:w="1474" w:type="dxa"/>
            <w:tcBorders>
              <w:top w:val="single" w:sz="4" w:space="0" w:color="365F91"/>
              <w:left w:val="nil"/>
              <w:bottom w:val="single" w:sz="4" w:space="0" w:color="365F91"/>
              <w:right w:val="nil"/>
            </w:tcBorders>
            <w:hideMark/>
          </w:tcPr>
          <w:p w14:paraId="2510EEB5" w14:textId="77777777" w:rsidR="00524720" w:rsidRPr="00D9348B" w:rsidRDefault="00524720">
            <w:pPr>
              <w:pStyle w:val="TableText"/>
            </w:pPr>
            <w:r w:rsidRPr="00D9348B">
              <w:t>0.504</w:t>
            </w:r>
          </w:p>
        </w:tc>
        <w:tc>
          <w:tcPr>
            <w:tcW w:w="1588" w:type="dxa"/>
            <w:tcBorders>
              <w:top w:val="single" w:sz="4" w:space="0" w:color="365F91"/>
              <w:left w:val="nil"/>
              <w:bottom w:val="single" w:sz="4" w:space="0" w:color="365F91"/>
              <w:right w:val="nil"/>
            </w:tcBorders>
            <w:hideMark/>
          </w:tcPr>
          <w:p w14:paraId="15A26D6C" w14:textId="77777777" w:rsidR="00524720" w:rsidRPr="00D9348B" w:rsidRDefault="00524720">
            <w:pPr>
              <w:pStyle w:val="TableText"/>
            </w:pPr>
            <w:r w:rsidRPr="00D9348B">
              <w:t>0.572</w:t>
            </w:r>
          </w:p>
        </w:tc>
        <w:tc>
          <w:tcPr>
            <w:tcW w:w="1247" w:type="dxa"/>
            <w:tcBorders>
              <w:top w:val="single" w:sz="4" w:space="0" w:color="365F91"/>
              <w:left w:val="nil"/>
              <w:bottom w:val="single" w:sz="4" w:space="0" w:color="365F91"/>
              <w:right w:val="nil"/>
            </w:tcBorders>
            <w:hideMark/>
          </w:tcPr>
          <w:p w14:paraId="134C8FA5" w14:textId="77777777" w:rsidR="00524720" w:rsidRPr="00D9348B" w:rsidRDefault="00524720">
            <w:pPr>
              <w:pStyle w:val="TableText"/>
            </w:pPr>
            <w:r w:rsidRPr="00D9348B">
              <w:t>0.165</w:t>
            </w:r>
          </w:p>
        </w:tc>
        <w:tc>
          <w:tcPr>
            <w:tcW w:w="1644" w:type="dxa"/>
            <w:tcBorders>
              <w:top w:val="single" w:sz="4" w:space="0" w:color="365F91"/>
              <w:left w:val="nil"/>
              <w:bottom w:val="single" w:sz="4" w:space="0" w:color="365F91"/>
              <w:right w:val="nil"/>
            </w:tcBorders>
          </w:tcPr>
          <w:p w14:paraId="7B2F6463" w14:textId="77777777" w:rsidR="00524720" w:rsidRPr="00D9348B" w:rsidRDefault="00524720">
            <w:pPr>
              <w:pStyle w:val="TableText"/>
            </w:pPr>
          </w:p>
        </w:tc>
      </w:tr>
      <w:tr w:rsidR="00B964DA" w:rsidRPr="00D9348B" w14:paraId="6400535C" w14:textId="77777777" w:rsidTr="00CB36F4">
        <w:tc>
          <w:tcPr>
            <w:tcW w:w="2325" w:type="dxa"/>
            <w:tcBorders>
              <w:top w:val="single" w:sz="4" w:space="0" w:color="365F91"/>
              <w:left w:val="nil"/>
              <w:bottom w:val="single" w:sz="4" w:space="0" w:color="365F91"/>
              <w:right w:val="nil"/>
            </w:tcBorders>
            <w:hideMark/>
          </w:tcPr>
          <w:p w14:paraId="639F2C2A" w14:textId="77777777" w:rsidR="00524720" w:rsidRPr="00D9348B" w:rsidRDefault="00524720">
            <w:pPr>
              <w:pStyle w:val="TableText"/>
              <w:spacing w:before="50" w:after="50"/>
              <w:rPr>
                <w:rFonts w:cs="Arial"/>
                <w:szCs w:val="16"/>
              </w:rPr>
            </w:pPr>
            <w:r w:rsidRPr="00D9348B">
              <w:t>Methane emission factor (kg/kt) as directly referenced</w:t>
            </w:r>
          </w:p>
        </w:tc>
        <w:tc>
          <w:tcPr>
            <w:tcW w:w="1474" w:type="dxa"/>
            <w:tcBorders>
              <w:top w:val="single" w:sz="4" w:space="0" w:color="365F91"/>
              <w:left w:val="nil"/>
              <w:bottom w:val="single" w:sz="4" w:space="0" w:color="365F91"/>
              <w:right w:val="nil"/>
            </w:tcBorders>
            <w:hideMark/>
          </w:tcPr>
          <w:p w14:paraId="6C6E304E" w14:textId="77777777" w:rsidR="00524720" w:rsidRPr="00D9348B" w:rsidRDefault="00524720">
            <w:pPr>
              <w:pStyle w:val="TableText"/>
            </w:pPr>
            <w:r w:rsidRPr="00D9348B">
              <w:t>N/A</w:t>
            </w:r>
          </w:p>
        </w:tc>
        <w:tc>
          <w:tcPr>
            <w:tcW w:w="1588" w:type="dxa"/>
            <w:tcBorders>
              <w:top w:val="single" w:sz="4" w:space="0" w:color="365F91"/>
              <w:left w:val="nil"/>
              <w:bottom w:val="single" w:sz="4" w:space="0" w:color="365F91"/>
              <w:right w:val="nil"/>
            </w:tcBorders>
            <w:hideMark/>
          </w:tcPr>
          <w:p w14:paraId="5A401380" w14:textId="77777777" w:rsidR="00524720" w:rsidRPr="00D9348B" w:rsidRDefault="00524720">
            <w:pPr>
              <w:pStyle w:val="TableText"/>
            </w:pPr>
            <w:r w:rsidRPr="00D9348B">
              <w:t>N/A</w:t>
            </w:r>
          </w:p>
        </w:tc>
        <w:tc>
          <w:tcPr>
            <w:tcW w:w="1247" w:type="dxa"/>
            <w:tcBorders>
              <w:top w:val="single" w:sz="4" w:space="0" w:color="365F91"/>
              <w:left w:val="nil"/>
              <w:bottom w:val="single" w:sz="4" w:space="0" w:color="365F91"/>
              <w:right w:val="nil"/>
            </w:tcBorders>
            <w:hideMark/>
          </w:tcPr>
          <w:p w14:paraId="6738F661" w14:textId="77777777" w:rsidR="00524720" w:rsidRPr="00D9348B" w:rsidRDefault="00524720">
            <w:pPr>
              <w:pStyle w:val="TableText"/>
              <w:spacing w:after="0"/>
            </w:pPr>
            <w:r w:rsidRPr="00D9348B">
              <w:t>9.7</w:t>
            </w:r>
          </w:p>
          <w:p w14:paraId="0F50E220" w14:textId="77777777" w:rsidR="00524720" w:rsidRPr="00D9348B" w:rsidRDefault="00524720" w:rsidP="002D0986">
            <w:pPr>
              <w:pStyle w:val="TableText"/>
              <w:spacing w:before="40"/>
            </w:pPr>
            <w:r w:rsidRPr="00D9348B">
              <w:t>(section 5.4.2)</w:t>
            </w:r>
          </w:p>
        </w:tc>
        <w:tc>
          <w:tcPr>
            <w:tcW w:w="1644" w:type="dxa"/>
            <w:tcBorders>
              <w:top w:val="single" w:sz="4" w:space="0" w:color="365F91"/>
              <w:left w:val="nil"/>
              <w:bottom w:val="single" w:sz="4" w:space="0" w:color="365F91"/>
              <w:right w:val="nil"/>
            </w:tcBorders>
            <w:hideMark/>
          </w:tcPr>
          <w:p w14:paraId="2CFF94E8" w14:textId="77777777" w:rsidR="00524720" w:rsidRPr="00D9348B" w:rsidRDefault="00524720">
            <w:pPr>
              <w:pStyle w:val="TableText"/>
            </w:pPr>
            <w:r w:rsidRPr="00D9348B">
              <w:t>IPCC (2006a)</w:t>
            </w:r>
          </w:p>
        </w:tc>
      </w:tr>
      <w:tr w:rsidR="00B964DA" w:rsidRPr="00D9348B" w14:paraId="435CCBC0" w14:textId="77777777" w:rsidTr="00CB36F4">
        <w:tc>
          <w:tcPr>
            <w:tcW w:w="2325" w:type="dxa"/>
            <w:tcBorders>
              <w:top w:val="single" w:sz="4" w:space="0" w:color="365F91"/>
              <w:left w:val="nil"/>
              <w:bottom w:val="single" w:sz="4" w:space="0" w:color="365F91"/>
              <w:right w:val="nil"/>
            </w:tcBorders>
            <w:hideMark/>
          </w:tcPr>
          <w:p w14:paraId="7B8ACA68" w14:textId="439B0336" w:rsidR="00524720" w:rsidRPr="00D9348B" w:rsidRDefault="00524720">
            <w:pPr>
              <w:pStyle w:val="TableText"/>
              <w:spacing w:before="50" w:after="50"/>
            </w:pPr>
            <w:r w:rsidRPr="00D9348B">
              <w:t>Methane energy factor (kg</w:t>
            </w:r>
            <w:r w:rsidR="00CB36F4" w:rsidRPr="00D9348B">
              <w:t> </w:t>
            </w:r>
            <w:r w:rsidRPr="00D9348B">
              <w:t>gas/TJ)</w:t>
            </w:r>
          </w:p>
        </w:tc>
        <w:tc>
          <w:tcPr>
            <w:tcW w:w="1474" w:type="dxa"/>
            <w:tcBorders>
              <w:top w:val="single" w:sz="4" w:space="0" w:color="365F91"/>
              <w:left w:val="nil"/>
              <w:bottom w:val="single" w:sz="4" w:space="0" w:color="365F91"/>
              <w:right w:val="nil"/>
            </w:tcBorders>
            <w:hideMark/>
          </w:tcPr>
          <w:p w14:paraId="1683FDC2" w14:textId="77777777" w:rsidR="00524720" w:rsidRPr="00D9348B" w:rsidRDefault="00524720">
            <w:pPr>
              <w:pStyle w:val="TableText"/>
              <w:spacing w:after="0"/>
            </w:pPr>
            <w:r w:rsidRPr="00D9348B">
              <w:t>30</w:t>
            </w:r>
          </w:p>
          <w:p w14:paraId="60AAA642" w14:textId="77777777" w:rsidR="00524720" w:rsidRPr="00D9348B" w:rsidRDefault="00524720" w:rsidP="002D0986">
            <w:pPr>
              <w:pStyle w:val="TableText"/>
              <w:spacing w:before="40"/>
            </w:pPr>
            <w:r w:rsidRPr="00D9348B">
              <w:t>(table 2.3, Industrial wastes)</w:t>
            </w:r>
          </w:p>
        </w:tc>
        <w:tc>
          <w:tcPr>
            <w:tcW w:w="1588" w:type="dxa"/>
            <w:tcBorders>
              <w:top w:val="single" w:sz="4" w:space="0" w:color="365F91"/>
              <w:left w:val="nil"/>
              <w:bottom w:val="single" w:sz="4" w:space="0" w:color="365F91"/>
              <w:right w:val="nil"/>
            </w:tcBorders>
            <w:hideMark/>
          </w:tcPr>
          <w:p w14:paraId="0DB92751" w14:textId="77777777" w:rsidR="00524720" w:rsidRPr="00D9348B" w:rsidRDefault="00524720">
            <w:pPr>
              <w:pStyle w:val="TableText"/>
              <w:spacing w:after="0"/>
            </w:pPr>
            <w:r w:rsidRPr="00D9348B">
              <w:t>300</w:t>
            </w:r>
          </w:p>
          <w:p w14:paraId="13261323" w14:textId="4A42D9D6" w:rsidR="00524720" w:rsidRPr="00D9348B" w:rsidRDefault="00524720" w:rsidP="002D0986">
            <w:pPr>
              <w:pStyle w:val="TableText"/>
              <w:spacing w:before="40"/>
            </w:pPr>
            <w:r w:rsidRPr="00D9348B">
              <w:t>(table 2.4, Municipal/</w:t>
            </w:r>
            <w:r w:rsidR="00CB36F4" w:rsidRPr="00D9348B">
              <w:t xml:space="preserve"> </w:t>
            </w:r>
            <w:r w:rsidRPr="00D9348B">
              <w:t>Industrial wastes)</w:t>
            </w:r>
          </w:p>
        </w:tc>
        <w:tc>
          <w:tcPr>
            <w:tcW w:w="1247" w:type="dxa"/>
            <w:tcBorders>
              <w:top w:val="single" w:sz="4" w:space="0" w:color="365F91"/>
              <w:left w:val="nil"/>
              <w:bottom w:val="single" w:sz="4" w:space="0" w:color="365F91"/>
              <w:right w:val="nil"/>
            </w:tcBorders>
            <w:hideMark/>
          </w:tcPr>
          <w:p w14:paraId="36B8EED9" w14:textId="77777777" w:rsidR="00524720" w:rsidRPr="00D9348B" w:rsidRDefault="00524720">
            <w:pPr>
              <w:pStyle w:val="TableText"/>
            </w:pPr>
            <w:r w:rsidRPr="00D9348B">
              <w:t>N/A</w:t>
            </w:r>
          </w:p>
        </w:tc>
        <w:tc>
          <w:tcPr>
            <w:tcW w:w="1644" w:type="dxa"/>
            <w:tcBorders>
              <w:top w:val="single" w:sz="4" w:space="0" w:color="365F91"/>
              <w:left w:val="nil"/>
              <w:bottom w:val="single" w:sz="4" w:space="0" w:color="365F91"/>
              <w:right w:val="nil"/>
            </w:tcBorders>
            <w:hideMark/>
          </w:tcPr>
          <w:p w14:paraId="6FAFB918" w14:textId="77777777" w:rsidR="00524720" w:rsidRPr="00D9348B" w:rsidRDefault="00524720">
            <w:pPr>
              <w:pStyle w:val="TableText"/>
            </w:pPr>
            <w:r w:rsidRPr="00D9348B">
              <w:t>IPCC (2006b)</w:t>
            </w:r>
          </w:p>
        </w:tc>
      </w:tr>
      <w:tr w:rsidR="00B964DA" w:rsidRPr="00D9348B" w14:paraId="408AEF63" w14:textId="77777777" w:rsidTr="00CB36F4">
        <w:tc>
          <w:tcPr>
            <w:tcW w:w="2325" w:type="dxa"/>
            <w:tcBorders>
              <w:top w:val="single" w:sz="4" w:space="0" w:color="365F91"/>
              <w:left w:val="nil"/>
              <w:bottom w:val="single" w:sz="4" w:space="0" w:color="365F91"/>
              <w:right w:val="nil"/>
            </w:tcBorders>
            <w:hideMark/>
          </w:tcPr>
          <w:p w14:paraId="5A014C4E" w14:textId="77777777" w:rsidR="00524720" w:rsidRPr="00D9348B" w:rsidRDefault="00524720">
            <w:pPr>
              <w:pStyle w:val="TableText"/>
              <w:spacing w:before="50" w:after="50"/>
            </w:pPr>
            <w:r w:rsidRPr="00D9348B">
              <w:t>Methane (MJ/kg waste)</w:t>
            </w:r>
          </w:p>
        </w:tc>
        <w:tc>
          <w:tcPr>
            <w:tcW w:w="1474" w:type="dxa"/>
            <w:tcBorders>
              <w:top w:val="single" w:sz="4" w:space="0" w:color="365F91"/>
              <w:left w:val="nil"/>
              <w:bottom w:val="single" w:sz="4" w:space="0" w:color="365F91"/>
              <w:right w:val="nil"/>
            </w:tcBorders>
            <w:hideMark/>
          </w:tcPr>
          <w:p w14:paraId="7ED93814" w14:textId="77777777" w:rsidR="00524720" w:rsidRPr="00D9348B" w:rsidRDefault="00524720">
            <w:pPr>
              <w:pStyle w:val="TableText"/>
            </w:pPr>
            <w:r w:rsidRPr="00D9348B">
              <w:t>12.8</w:t>
            </w:r>
          </w:p>
        </w:tc>
        <w:tc>
          <w:tcPr>
            <w:tcW w:w="1588" w:type="dxa"/>
            <w:tcBorders>
              <w:top w:val="single" w:sz="4" w:space="0" w:color="365F91"/>
              <w:left w:val="nil"/>
              <w:bottom w:val="single" w:sz="4" w:space="0" w:color="365F91"/>
              <w:right w:val="nil"/>
            </w:tcBorders>
            <w:hideMark/>
          </w:tcPr>
          <w:p w14:paraId="6E495F1C" w14:textId="77777777" w:rsidR="00524720" w:rsidRPr="00D9348B" w:rsidRDefault="00524720">
            <w:pPr>
              <w:pStyle w:val="TableText"/>
            </w:pPr>
            <w:r w:rsidRPr="00D9348B">
              <w:t>16.8</w:t>
            </w:r>
          </w:p>
        </w:tc>
        <w:tc>
          <w:tcPr>
            <w:tcW w:w="1247" w:type="dxa"/>
            <w:tcBorders>
              <w:top w:val="single" w:sz="4" w:space="0" w:color="365F91"/>
              <w:left w:val="nil"/>
              <w:bottom w:val="single" w:sz="4" w:space="0" w:color="365F91"/>
              <w:right w:val="nil"/>
            </w:tcBorders>
            <w:hideMark/>
          </w:tcPr>
          <w:p w14:paraId="0FD29B27" w14:textId="77777777" w:rsidR="00524720" w:rsidRPr="00D9348B" w:rsidRDefault="00524720">
            <w:pPr>
              <w:pStyle w:val="TableText"/>
            </w:pPr>
            <w:r w:rsidRPr="00D9348B">
              <w:t>N/A</w:t>
            </w:r>
          </w:p>
        </w:tc>
        <w:tc>
          <w:tcPr>
            <w:tcW w:w="1644" w:type="dxa"/>
            <w:tcBorders>
              <w:top w:val="single" w:sz="4" w:space="0" w:color="365F91"/>
              <w:left w:val="nil"/>
              <w:bottom w:val="single" w:sz="4" w:space="0" w:color="365F91"/>
              <w:right w:val="nil"/>
            </w:tcBorders>
            <w:hideMark/>
          </w:tcPr>
          <w:p w14:paraId="1D96E2E3" w14:textId="77777777" w:rsidR="00524720" w:rsidRPr="00D9348B" w:rsidRDefault="00524720">
            <w:pPr>
              <w:pStyle w:val="TableText"/>
            </w:pPr>
            <w:r w:rsidRPr="00D9348B">
              <w:t>Ministry of Commerce (1993)</w:t>
            </w:r>
          </w:p>
        </w:tc>
      </w:tr>
      <w:tr w:rsidR="00B964DA" w:rsidRPr="00D9348B" w14:paraId="5505557B" w14:textId="77777777" w:rsidTr="00CB36F4">
        <w:tc>
          <w:tcPr>
            <w:tcW w:w="2325" w:type="dxa"/>
            <w:tcBorders>
              <w:top w:val="single" w:sz="4" w:space="0" w:color="365F91"/>
              <w:left w:val="nil"/>
              <w:bottom w:val="single" w:sz="4" w:space="0" w:color="365F91"/>
              <w:right w:val="nil"/>
            </w:tcBorders>
            <w:hideMark/>
          </w:tcPr>
          <w:p w14:paraId="2D0E8966" w14:textId="77777777" w:rsidR="00524720" w:rsidRPr="00D9348B" w:rsidRDefault="00524720">
            <w:pPr>
              <w:pStyle w:val="TableText"/>
              <w:spacing w:before="50" w:after="50"/>
            </w:pPr>
            <w:r w:rsidRPr="00D9348B">
              <w:t>Methane emission factor (kg/kt) calculated as a quotient of the above parameters</w:t>
            </w:r>
          </w:p>
        </w:tc>
        <w:tc>
          <w:tcPr>
            <w:tcW w:w="1474" w:type="dxa"/>
            <w:tcBorders>
              <w:top w:val="single" w:sz="4" w:space="0" w:color="365F91"/>
              <w:left w:val="nil"/>
              <w:bottom w:val="single" w:sz="4" w:space="0" w:color="365F91"/>
              <w:right w:val="nil"/>
            </w:tcBorders>
            <w:hideMark/>
          </w:tcPr>
          <w:p w14:paraId="21B9DF21" w14:textId="77777777" w:rsidR="00524720" w:rsidRPr="00D9348B" w:rsidRDefault="00524720">
            <w:pPr>
              <w:pStyle w:val="TableText"/>
            </w:pPr>
            <w:r w:rsidRPr="00D9348B">
              <w:t>2.34</w:t>
            </w:r>
          </w:p>
        </w:tc>
        <w:tc>
          <w:tcPr>
            <w:tcW w:w="1588" w:type="dxa"/>
            <w:tcBorders>
              <w:top w:val="single" w:sz="4" w:space="0" w:color="365F91"/>
              <w:left w:val="nil"/>
              <w:bottom w:val="single" w:sz="4" w:space="0" w:color="365F91"/>
              <w:right w:val="nil"/>
            </w:tcBorders>
            <w:hideMark/>
          </w:tcPr>
          <w:p w14:paraId="72B1BCFE" w14:textId="77777777" w:rsidR="00524720" w:rsidRPr="00D9348B" w:rsidRDefault="00524720">
            <w:pPr>
              <w:pStyle w:val="TableText"/>
            </w:pPr>
            <w:r w:rsidRPr="00D9348B">
              <w:t>17.86</w:t>
            </w:r>
          </w:p>
        </w:tc>
        <w:tc>
          <w:tcPr>
            <w:tcW w:w="1247" w:type="dxa"/>
            <w:tcBorders>
              <w:top w:val="single" w:sz="4" w:space="0" w:color="365F91"/>
              <w:left w:val="nil"/>
              <w:bottom w:val="single" w:sz="4" w:space="0" w:color="365F91"/>
              <w:right w:val="nil"/>
            </w:tcBorders>
            <w:hideMark/>
          </w:tcPr>
          <w:p w14:paraId="27AC4B78" w14:textId="77777777" w:rsidR="00524720" w:rsidRPr="00D9348B" w:rsidRDefault="00524720">
            <w:pPr>
              <w:pStyle w:val="TableText"/>
            </w:pPr>
            <w:r w:rsidRPr="00D9348B">
              <w:t>N/A</w:t>
            </w:r>
          </w:p>
        </w:tc>
        <w:tc>
          <w:tcPr>
            <w:tcW w:w="1644" w:type="dxa"/>
            <w:tcBorders>
              <w:top w:val="single" w:sz="4" w:space="0" w:color="365F91"/>
              <w:left w:val="nil"/>
              <w:bottom w:val="single" w:sz="4" w:space="0" w:color="365F91"/>
              <w:right w:val="nil"/>
            </w:tcBorders>
          </w:tcPr>
          <w:p w14:paraId="17D8035A" w14:textId="77777777" w:rsidR="00524720" w:rsidRPr="00D9348B" w:rsidRDefault="00524720">
            <w:pPr>
              <w:pStyle w:val="TableText"/>
            </w:pPr>
          </w:p>
        </w:tc>
      </w:tr>
      <w:tr w:rsidR="00B964DA" w:rsidRPr="00D9348B" w14:paraId="2182190C" w14:textId="77777777" w:rsidTr="00CB36F4">
        <w:tc>
          <w:tcPr>
            <w:tcW w:w="2325" w:type="dxa"/>
            <w:tcBorders>
              <w:top w:val="single" w:sz="4" w:space="0" w:color="365F91"/>
              <w:left w:val="nil"/>
              <w:bottom w:val="single" w:sz="4" w:space="0" w:color="365F91"/>
              <w:right w:val="nil"/>
            </w:tcBorders>
            <w:hideMark/>
          </w:tcPr>
          <w:p w14:paraId="48AD3BF4" w14:textId="77777777" w:rsidR="00524720" w:rsidRPr="00D9348B" w:rsidRDefault="00524720">
            <w:pPr>
              <w:pStyle w:val="TableText"/>
              <w:spacing w:before="50" w:after="50"/>
            </w:pPr>
            <w:r w:rsidRPr="00D9348B">
              <w:t>Nitrous oxide emission factor (kg/kt)</w:t>
            </w:r>
          </w:p>
        </w:tc>
        <w:tc>
          <w:tcPr>
            <w:tcW w:w="1474" w:type="dxa"/>
            <w:tcBorders>
              <w:top w:val="single" w:sz="4" w:space="0" w:color="365F91"/>
              <w:left w:val="nil"/>
              <w:bottom w:val="single" w:sz="4" w:space="0" w:color="365F91"/>
              <w:right w:val="nil"/>
            </w:tcBorders>
            <w:hideMark/>
          </w:tcPr>
          <w:p w14:paraId="38E1EB8A" w14:textId="77777777" w:rsidR="00524720" w:rsidRPr="00D9348B" w:rsidRDefault="00524720">
            <w:pPr>
              <w:pStyle w:val="TableText"/>
            </w:pPr>
            <w:r w:rsidRPr="00D9348B">
              <w:t>100</w:t>
            </w:r>
          </w:p>
        </w:tc>
        <w:tc>
          <w:tcPr>
            <w:tcW w:w="1588" w:type="dxa"/>
            <w:tcBorders>
              <w:top w:val="single" w:sz="4" w:space="0" w:color="365F91"/>
              <w:left w:val="nil"/>
              <w:bottom w:val="single" w:sz="4" w:space="0" w:color="365F91"/>
              <w:right w:val="nil"/>
            </w:tcBorders>
            <w:hideMark/>
          </w:tcPr>
          <w:p w14:paraId="4E15D630" w14:textId="77777777" w:rsidR="00524720" w:rsidRPr="00D9348B" w:rsidRDefault="00524720">
            <w:pPr>
              <w:pStyle w:val="TableText"/>
            </w:pPr>
            <w:r w:rsidRPr="00D9348B">
              <w:t>60</w:t>
            </w:r>
          </w:p>
        </w:tc>
        <w:tc>
          <w:tcPr>
            <w:tcW w:w="1247" w:type="dxa"/>
            <w:tcBorders>
              <w:top w:val="single" w:sz="4" w:space="0" w:color="365F91"/>
              <w:left w:val="nil"/>
              <w:bottom w:val="single" w:sz="4" w:space="0" w:color="365F91"/>
              <w:right w:val="nil"/>
            </w:tcBorders>
            <w:hideMark/>
          </w:tcPr>
          <w:p w14:paraId="36C6CD19" w14:textId="77777777" w:rsidR="00524720" w:rsidRPr="00D9348B" w:rsidRDefault="00524720">
            <w:pPr>
              <w:pStyle w:val="TableText"/>
            </w:pPr>
            <w:r w:rsidRPr="00D9348B">
              <w:t>900</w:t>
            </w:r>
          </w:p>
        </w:tc>
        <w:tc>
          <w:tcPr>
            <w:tcW w:w="1644" w:type="dxa"/>
            <w:tcBorders>
              <w:top w:val="single" w:sz="4" w:space="0" w:color="365F91"/>
              <w:left w:val="nil"/>
              <w:bottom w:val="single" w:sz="4" w:space="0" w:color="365F91"/>
              <w:right w:val="nil"/>
            </w:tcBorders>
            <w:hideMark/>
          </w:tcPr>
          <w:p w14:paraId="03B713E0" w14:textId="77777777" w:rsidR="00524720" w:rsidRPr="00D9348B" w:rsidRDefault="00524720">
            <w:pPr>
              <w:pStyle w:val="TableText"/>
            </w:pPr>
            <w:r w:rsidRPr="00D9348B">
              <w:t>IPCC (2006b), table 5.6</w:t>
            </w:r>
          </w:p>
        </w:tc>
      </w:tr>
    </w:tbl>
    <w:p w14:paraId="17079C55" w14:textId="77777777" w:rsidR="00524720" w:rsidRPr="00D9348B" w:rsidRDefault="00524720" w:rsidP="00524720">
      <w:pPr>
        <w:pStyle w:val="Noteundertable"/>
      </w:pPr>
      <w:r w:rsidRPr="00D9348B">
        <w:rPr>
          <w:b/>
        </w:rPr>
        <w:t>Note:</w:t>
      </w:r>
      <w:r w:rsidRPr="00D9348B">
        <w:t xml:space="preserve"> N/A = Not applicable.</w:t>
      </w:r>
    </w:p>
    <w:p w14:paraId="1A051A7C" w14:textId="77777777" w:rsidR="00524720" w:rsidRPr="00D9348B" w:rsidRDefault="00524720" w:rsidP="002D0986">
      <w:pPr>
        <w:pStyle w:val="BodyText"/>
        <w:spacing w:after="100"/>
      </w:pPr>
      <w:r w:rsidRPr="00D9348B">
        <w:t xml:space="preserve">These parameters are as given in the IPCC Guidelines (IPCC, 2006a, 2006b), noting that: </w:t>
      </w:r>
    </w:p>
    <w:p w14:paraId="50D5C3F6" w14:textId="77777777" w:rsidR="00524720" w:rsidRPr="00D9348B" w:rsidRDefault="00524720" w:rsidP="002D0986">
      <w:pPr>
        <w:pStyle w:val="Bullet"/>
        <w:numPr>
          <w:ilvl w:val="0"/>
          <w:numId w:val="28"/>
        </w:numPr>
        <w:spacing w:after="100"/>
      </w:pPr>
      <w:r w:rsidRPr="00D9348B">
        <w:t>some parameters have been chosen as being the closest available to the specific type of waste</w:t>
      </w:r>
    </w:p>
    <w:p w14:paraId="33CBA80F" w14:textId="77777777" w:rsidR="00524720" w:rsidRPr="00D9348B" w:rsidRDefault="00524720" w:rsidP="002D0986">
      <w:pPr>
        <w:pStyle w:val="Bullet"/>
        <w:numPr>
          <w:ilvl w:val="0"/>
          <w:numId w:val="28"/>
        </w:numPr>
        <w:spacing w:after="100"/>
      </w:pPr>
      <w:r w:rsidRPr="00D9348B">
        <w:t>where a range is given, the mid-point is used</w:t>
      </w:r>
    </w:p>
    <w:p w14:paraId="26FB0C4F" w14:textId="37C26660" w:rsidR="00524720" w:rsidRPr="00D9348B" w:rsidRDefault="00524720" w:rsidP="002D0986">
      <w:pPr>
        <w:pStyle w:val="Bullet"/>
        <w:numPr>
          <w:ilvl w:val="0"/>
          <w:numId w:val="28"/>
        </w:numPr>
        <w:spacing w:after="100"/>
      </w:pPr>
      <w:r w:rsidRPr="00D9348B">
        <w:t>CH</w:t>
      </w:r>
      <w:r w:rsidRPr="00D9348B">
        <w:rPr>
          <w:vertAlign w:val="subscript"/>
        </w:rPr>
        <w:t>4</w:t>
      </w:r>
      <w:r w:rsidRPr="00D9348B">
        <w:t xml:space="preserve"> emission factors for hazardous and clinical waste (IPCC, 2006b) have been converted</w:t>
      </w:r>
      <w:r w:rsidR="00CB36F4" w:rsidRPr="00D9348B">
        <w:t> </w:t>
      </w:r>
      <w:r w:rsidRPr="00D9348B">
        <w:t xml:space="preserve">from a terajoule (TJ) basis to a kt basis using factors from the </w:t>
      </w:r>
      <w:r w:rsidRPr="00D9348B">
        <w:rPr>
          <w:i/>
        </w:rPr>
        <w:t>New Zealand Energy Information Handbook</w:t>
      </w:r>
      <w:r w:rsidRPr="00D9348B">
        <w:t xml:space="preserve"> (</w:t>
      </w:r>
      <w:r w:rsidRPr="00D9348B">
        <w:rPr>
          <w:rFonts w:cs="Arial"/>
          <w:szCs w:val="16"/>
        </w:rPr>
        <w:t>Ministry of Commerce,</w:t>
      </w:r>
      <w:r w:rsidRPr="00D9348B">
        <w:t xml:space="preserve"> 1993), which only had gross calorific values.</w:t>
      </w:r>
    </w:p>
    <w:p w14:paraId="081409C5" w14:textId="653B9EC9" w:rsidR="00524720" w:rsidRPr="00D9348B" w:rsidRDefault="00524720" w:rsidP="00524720">
      <w:pPr>
        <w:pStyle w:val="BodyText"/>
      </w:pPr>
      <w:r w:rsidRPr="00D9348B">
        <w:t>Quarantine waste is a significant proportion of the material incinerated in New Zealand. There</w:t>
      </w:r>
      <w:r w:rsidR="00CB36F4" w:rsidRPr="00D9348B">
        <w:t> </w:t>
      </w:r>
      <w:r w:rsidRPr="00D9348B">
        <w:t>is no IPCC default category that specifies quarantine waste. The composition is closest to clinical waste, so the emission factors for clinical waste have been used.</w:t>
      </w:r>
    </w:p>
    <w:p w14:paraId="03C78098" w14:textId="77777777" w:rsidR="00524720" w:rsidRPr="00D9348B" w:rsidRDefault="00524720" w:rsidP="002D0986">
      <w:pPr>
        <w:pStyle w:val="Heading5"/>
        <w:spacing w:before="160"/>
      </w:pPr>
      <w:r w:rsidRPr="00D9348B">
        <w:t>Open burning (5.C.2)</w:t>
      </w:r>
    </w:p>
    <w:p w14:paraId="179CF946" w14:textId="77777777" w:rsidR="00524720" w:rsidRPr="00D9348B" w:rsidRDefault="00524720" w:rsidP="00524720">
      <w:pPr>
        <w:pStyle w:val="BodyText"/>
      </w:pPr>
      <w:r w:rsidRPr="00D9348B">
        <w:t>Parameters are used as detailed in table 7.4.5.</w:t>
      </w:r>
    </w:p>
    <w:p w14:paraId="7C13B2CA" w14:textId="77777777" w:rsidR="00524720" w:rsidRPr="00D9348B" w:rsidRDefault="00524720" w:rsidP="00524720">
      <w:pPr>
        <w:pStyle w:val="Table"/>
      </w:pPr>
      <w:bookmarkStart w:id="2797" w:name="_Toc32828534"/>
      <w:bookmarkStart w:id="2798" w:name="_Toc32591364"/>
      <w:bookmarkStart w:id="2799" w:name="_Toc5269576"/>
      <w:bookmarkStart w:id="2800" w:name="_Toc36224657"/>
      <w:r w:rsidRPr="00D9348B">
        <w:t>Table 7.4.5</w:t>
      </w:r>
      <w:r w:rsidRPr="00D9348B">
        <w:tab/>
        <w:t>Parameters used to estimate emissions from open burning</w:t>
      </w:r>
      <w:bookmarkEnd w:id="2797"/>
      <w:bookmarkEnd w:id="2798"/>
      <w:bookmarkEnd w:id="2799"/>
      <w:bookmarkEnd w:id="2800"/>
    </w:p>
    <w:tbl>
      <w:tblPr>
        <w:tblW w:w="8505" w:type="dxa"/>
        <w:tblInd w:w="108" w:type="dxa"/>
        <w:tblBorders>
          <w:top w:val="single" w:sz="6" w:space="0" w:color="365F91"/>
          <w:bottom w:val="single" w:sz="6" w:space="0" w:color="365F91"/>
          <w:insideH w:val="single" w:sz="6" w:space="0" w:color="365F91"/>
        </w:tblBorders>
        <w:tblLook w:val="04A0" w:firstRow="1" w:lastRow="0" w:firstColumn="1" w:lastColumn="0" w:noHBand="0" w:noVBand="1"/>
      </w:tblPr>
      <w:tblGrid>
        <w:gridCol w:w="4253"/>
        <w:gridCol w:w="1984"/>
        <w:gridCol w:w="2268"/>
      </w:tblGrid>
      <w:tr w:rsidR="00524720" w:rsidRPr="00D9348B" w14:paraId="15BCA05B" w14:textId="77777777" w:rsidTr="007819F5">
        <w:trPr>
          <w:tblHeader/>
        </w:trPr>
        <w:tc>
          <w:tcPr>
            <w:tcW w:w="4253" w:type="dxa"/>
            <w:tcBorders>
              <w:top w:val="single" w:sz="4" w:space="0" w:color="365F91"/>
              <w:left w:val="nil"/>
              <w:bottom w:val="single" w:sz="4" w:space="0" w:color="365F91"/>
              <w:right w:val="nil"/>
            </w:tcBorders>
            <w:shd w:val="clear" w:color="auto" w:fill="365F91"/>
            <w:hideMark/>
          </w:tcPr>
          <w:p w14:paraId="1ABEF0B6" w14:textId="77777777" w:rsidR="00524720" w:rsidRPr="00D9348B" w:rsidRDefault="00524720">
            <w:pPr>
              <w:pStyle w:val="TableTextBold"/>
              <w:keepNext/>
              <w:spacing w:before="50" w:after="50"/>
              <w:rPr>
                <w:noProof w:val="0"/>
                <w:color w:val="FFFFFF"/>
              </w:rPr>
            </w:pPr>
            <w:r w:rsidRPr="00D9348B">
              <w:rPr>
                <w:noProof w:val="0"/>
                <w:color w:val="FFFFFF"/>
              </w:rPr>
              <w:t>Parameter</w:t>
            </w:r>
          </w:p>
        </w:tc>
        <w:tc>
          <w:tcPr>
            <w:tcW w:w="1984" w:type="dxa"/>
            <w:tcBorders>
              <w:top w:val="single" w:sz="4" w:space="0" w:color="365F91"/>
              <w:left w:val="nil"/>
              <w:bottom w:val="single" w:sz="4" w:space="0" w:color="365F91"/>
              <w:right w:val="nil"/>
            </w:tcBorders>
            <w:shd w:val="clear" w:color="auto" w:fill="365F91"/>
            <w:hideMark/>
          </w:tcPr>
          <w:p w14:paraId="2A253D60" w14:textId="77777777" w:rsidR="00524720" w:rsidRPr="00D9348B" w:rsidRDefault="00524720">
            <w:pPr>
              <w:pStyle w:val="TableTextBold"/>
              <w:keepNext/>
              <w:spacing w:before="50" w:after="50"/>
              <w:jc w:val="center"/>
              <w:rPr>
                <w:noProof w:val="0"/>
                <w:color w:val="FFFFFF"/>
              </w:rPr>
            </w:pPr>
            <w:r w:rsidRPr="00D9348B">
              <w:rPr>
                <w:noProof w:val="0"/>
                <w:color w:val="FFFFFF"/>
              </w:rPr>
              <w:t>Value</w:t>
            </w:r>
          </w:p>
        </w:tc>
        <w:tc>
          <w:tcPr>
            <w:tcW w:w="2268" w:type="dxa"/>
            <w:tcBorders>
              <w:top w:val="single" w:sz="4" w:space="0" w:color="365F91"/>
              <w:left w:val="nil"/>
              <w:bottom w:val="single" w:sz="4" w:space="0" w:color="365F91"/>
              <w:right w:val="nil"/>
            </w:tcBorders>
            <w:shd w:val="clear" w:color="auto" w:fill="365F91"/>
            <w:hideMark/>
          </w:tcPr>
          <w:p w14:paraId="71B05BBF" w14:textId="77777777" w:rsidR="00524720" w:rsidRPr="00D9348B" w:rsidRDefault="00524720">
            <w:pPr>
              <w:pStyle w:val="TableTextBold"/>
              <w:keepNext/>
              <w:spacing w:before="50" w:after="50"/>
              <w:rPr>
                <w:noProof w:val="0"/>
                <w:color w:val="FFFFFF"/>
              </w:rPr>
            </w:pPr>
            <w:r w:rsidRPr="00D9348B">
              <w:rPr>
                <w:noProof w:val="0"/>
                <w:color w:val="FFFFFF"/>
              </w:rPr>
              <w:t>Source</w:t>
            </w:r>
          </w:p>
        </w:tc>
      </w:tr>
      <w:tr w:rsidR="00524720" w:rsidRPr="00D9348B" w14:paraId="27EA1F70" w14:textId="77777777" w:rsidTr="004B5C62">
        <w:trPr>
          <w:trHeight w:val="127"/>
        </w:trPr>
        <w:tc>
          <w:tcPr>
            <w:tcW w:w="4253" w:type="dxa"/>
            <w:tcBorders>
              <w:top w:val="single" w:sz="4" w:space="0" w:color="365F91"/>
              <w:left w:val="nil"/>
              <w:bottom w:val="single" w:sz="4" w:space="0" w:color="365F91"/>
              <w:right w:val="nil"/>
            </w:tcBorders>
            <w:shd w:val="clear" w:color="auto" w:fill="FFFFFF"/>
            <w:hideMark/>
          </w:tcPr>
          <w:p w14:paraId="0060812E" w14:textId="77777777" w:rsidR="00524720" w:rsidRPr="00D9348B" w:rsidRDefault="00524720">
            <w:pPr>
              <w:pStyle w:val="TableText"/>
              <w:spacing w:before="50" w:after="50"/>
              <w:rPr>
                <w:rFonts w:cs="Arial"/>
                <w:b/>
                <w:bCs/>
              </w:rPr>
            </w:pPr>
            <w:r w:rsidRPr="00D9348B">
              <w:rPr>
                <w:rFonts w:cs="Arial"/>
                <w:b/>
                <w:bCs/>
              </w:rPr>
              <w:t>Carbon dioxide</w:t>
            </w:r>
          </w:p>
        </w:tc>
        <w:tc>
          <w:tcPr>
            <w:tcW w:w="1984" w:type="dxa"/>
            <w:tcBorders>
              <w:top w:val="single" w:sz="4" w:space="0" w:color="365F91"/>
              <w:left w:val="nil"/>
              <w:bottom w:val="single" w:sz="4" w:space="0" w:color="365F91"/>
              <w:right w:val="nil"/>
            </w:tcBorders>
            <w:shd w:val="clear" w:color="auto" w:fill="FFFFFF"/>
          </w:tcPr>
          <w:p w14:paraId="11486515" w14:textId="77777777" w:rsidR="00524720" w:rsidRPr="00D9348B" w:rsidRDefault="00524720">
            <w:pPr>
              <w:pStyle w:val="TableText"/>
              <w:spacing w:before="50" w:after="50"/>
              <w:ind w:right="827"/>
              <w:jc w:val="right"/>
              <w:rPr>
                <w:rFonts w:cs="Arial"/>
              </w:rPr>
            </w:pPr>
          </w:p>
        </w:tc>
        <w:tc>
          <w:tcPr>
            <w:tcW w:w="2268" w:type="dxa"/>
            <w:tcBorders>
              <w:top w:val="single" w:sz="4" w:space="0" w:color="365F91"/>
              <w:left w:val="nil"/>
              <w:bottom w:val="single" w:sz="4" w:space="0" w:color="365F91"/>
              <w:right w:val="nil"/>
            </w:tcBorders>
            <w:shd w:val="clear" w:color="auto" w:fill="FFFFFF"/>
          </w:tcPr>
          <w:p w14:paraId="215A7FEB" w14:textId="77777777" w:rsidR="00524720" w:rsidRPr="00D9348B" w:rsidRDefault="00524720">
            <w:pPr>
              <w:pStyle w:val="TableText"/>
              <w:spacing w:before="50" w:after="50"/>
              <w:jc w:val="right"/>
              <w:rPr>
                <w:rFonts w:cs="Arial"/>
              </w:rPr>
            </w:pPr>
          </w:p>
        </w:tc>
      </w:tr>
      <w:tr w:rsidR="00524720" w:rsidRPr="00D9348B" w14:paraId="566C7DC8" w14:textId="77777777" w:rsidTr="004B5C62">
        <w:trPr>
          <w:trHeight w:val="127"/>
        </w:trPr>
        <w:tc>
          <w:tcPr>
            <w:tcW w:w="4253" w:type="dxa"/>
            <w:tcBorders>
              <w:top w:val="single" w:sz="4" w:space="0" w:color="365F91"/>
              <w:left w:val="nil"/>
              <w:bottom w:val="single" w:sz="4" w:space="0" w:color="365F91"/>
              <w:right w:val="nil"/>
            </w:tcBorders>
            <w:shd w:val="clear" w:color="auto" w:fill="FFFFFF"/>
            <w:hideMark/>
          </w:tcPr>
          <w:p w14:paraId="5BC4D929" w14:textId="77777777" w:rsidR="00524720" w:rsidRPr="00D9348B" w:rsidRDefault="00524720">
            <w:pPr>
              <w:pStyle w:val="TableText"/>
              <w:spacing w:before="50" w:after="50"/>
              <w:ind w:left="227"/>
              <w:rPr>
                <w:rFonts w:cs="Arial"/>
                <w:bCs/>
              </w:rPr>
            </w:pPr>
            <w:r w:rsidRPr="00D9348B">
              <w:rPr>
                <w:rFonts w:cs="Arial"/>
                <w:bCs/>
              </w:rPr>
              <w:t>Dry matter content (%)</w:t>
            </w:r>
          </w:p>
        </w:tc>
        <w:tc>
          <w:tcPr>
            <w:tcW w:w="1984" w:type="dxa"/>
            <w:tcBorders>
              <w:top w:val="single" w:sz="4" w:space="0" w:color="365F91"/>
              <w:left w:val="nil"/>
              <w:bottom w:val="single" w:sz="4" w:space="0" w:color="365F91"/>
              <w:right w:val="nil"/>
            </w:tcBorders>
            <w:shd w:val="clear" w:color="auto" w:fill="FFFFFF"/>
            <w:hideMark/>
          </w:tcPr>
          <w:p w14:paraId="29CBF30E" w14:textId="77777777" w:rsidR="00524720" w:rsidRPr="00D9348B" w:rsidRDefault="00524720">
            <w:pPr>
              <w:pStyle w:val="TableText"/>
              <w:spacing w:before="50" w:after="50"/>
              <w:ind w:right="827"/>
              <w:jc w:val="right"/>
              <w:rPr>
                <w:rFonts w:cs="Arial"/>
              </w:rPr>
            </w:pPr>
            <w:r w:rsidRPr="00D9348B">
              <w:rPr>
                <w:rFonts w:cs="Arial"/>
              </w:rPr>
              <w:t>76.9</w:t>
            </w:r>
          </w:p>
        </w:tc>
        <w:tc>
          <w:tcPr>
            <w:tcW w:w="2268" w:type="dxa"/>
            <w:tcBorders>
              <w:top w:val="single" w:sz="4" w:space="0" w:color="365F91"/>
              <w:left w:val="nil"/>
              <w:bottom w:val="single" w:sz="4" w:space="0" w:color="365F91"/>
              <w:right w:val="nil"/>
            </w:tcBorders>
            <w:shd w:val="clear" w:color="auto" w:fill="FFFFFF"/>
            <w:hideMark/>
          </w:tcPr>
          <w:p w14:paraId="10382EEA" w14:textId="77777777" w:rsidR="00524720" w:rsidRPr="00D9348B" w:rsidRDefault="00524720">
            <w:pPr>
              <w:pStyle w:val="TableText"/>
              <w:spacing w:before="50" w:after="50"/>
              <w:rPr>
                <w:rFonts w:cs="Arial"/>
              </w:rPr>
            </w:pPr>
            <w:r w:rsidRPr="00D9348B">
              <w:rPr>
                <w:rFonts w:cs="Arial"/>
              </w:rPr>
              <w:t>Calculated (see table 7.4.3)</w:t>
            </w:r>
          </w:p>
        </w:tc>
      </w:tr>
      <w:tr w:rsidR="00524720" w:rsidRPr="00D9348B" w14:paraId="2551362C" w14:textId="77777777" w:rsidTr="004B5C62">
        <w:trPr>
          <w:trHeight w:val="127"/>
        </w:trPr>
        <w:tc>
          <w:tcPr>
            <w:tcW w:w="4253" w:type="dxa"/>
            <w:tcBorders>
              <w:top w:val="single" w:sz="4" w:space="0" w:color="365F91"/>
              <w:left w:val="nil"/>
              <w:bottom w:val="single" w:sz="4" w:space="0" w:color="365F91"/>
              <w:right w:val="nil"/>
            </w:tcBorders>
            <w:shd w:val="clear" w:color="auto" w:fill="FFFFFF"/>
            <w:hideMark/>
          </w:tcPr>
          <w:p w14:paraId="1B223308" w14:textId="77777777" w:rsidR="00524720" w:rsidRPr="00D9348B" w:rsidRDefault="00524720">
            <w:pPr>
              <w:pStyle w:val="TableText"/>
              <w:spacing w:before="50" w:after="50"/>
              <w:ind w:left="227"/>
              <w:rPr>
                <w:rFonts w:cs="Arial"/>
                <w:bCs/>
              </w:rPr>
            </w:pPr>
            <w:r w:rsidRPr="00D9348B">
              <w:rPr>
                <w:rFonts w:cs="Arial"/>
                <w:bCs/>
              </w:rPr>
              <w:t>Total carbon content (%)</w:t>
            </w:r>
          </w:p>
        </w:tc>
        <w:tc>
          <w:tcPr>
            <w:tcW w:w="1984" w:type="dxa"/>
            <w:tcBorders>
              <w:top w:val="single" w:sz="4" w:space="0" w:color="365F91"/>
              <w:left w:val="nil"/>
              <w:bottom w:val="single" w:sz="4" w:space="0" w:color="365F91"/>
              <w:right w:val="nil"/>
            </w:tcBorders>
            <w:shd w:val="clear" w:color="auto" w:fill="FFFFFF"/>
            <w:hideMark/>
          </w:tcPr>
          <w:p w14:paraId="0A0C776D" w14:textId="77777777" w:rsidR="00524720" w:rsidRPr="00D9348B" w:rsidRDefault="00524720">
            <w:pPr>
              <w:pStyle w:val="TableText"/>
              <w:spacing w:before="50" w:after="50"/>
              <w:ind w:right="827"/>
              <w:jc w:val="right"/>
              <w:rPr>
                <w:rFonts w:cs="Arial"/>
              </w:rPr>
            </w:pPr>
            <w:r w:rsidRPr="00D9348B">
              <w:rPr>
                <w:rFonts w:cs="Arial"/>
              </w:rPr>
              <w:t>38.6</w:t>
            </w:r>
          </w:p>
        </w:tc>
        <w:tc>
          <w:tcPr>
            <w:tcW w:w="2268" w:type="dxa"/>
            <w:tcBorders>
              <w:top w:val="single" w:sz="4" w:space="0" w:color="365F91"/>
              <w:left w:val="nil"/>
              <w:bottom w:val="single" w:sz="4" w:space="0" w:color="365F91"/>
              <w:right w:val="nil"/>
            </w:tcBorders>
            <w:shd w:val="clear" w:color="auto" w:fill="FFFFFF"/>
            <w:hideMark/>
          </w:tcPr>
          <w:p w14:paraId="1B4E48F2" w14:textId="77777777" w:rsidR="00524720" w:rsidRPr="00D9348B" w:rsidRDefault="00524720">
            <w:pPr>
              <w:pStyle w:val="TableText"/>
              <w:spacing w:before="50" w:after="50"/>
              <w:rPr>
                <w:rFonts w:cs="Arial"/>
              </w:rPr>
            </w:pPr>
            <w:r w:rsidRPr="00D9348B">
              <w:rPr>
                <w:rFonts w:cs="Arial"/>
              </w:rPr>
              <w:t>Calculated (see table 7.4.3)</w:t>
            </w:r>
          </w:p>
        </w:tc>
      </w:tr>
      <w:tr w:rsidR="00524720" w:rsidRPr="00D9348B" w14:paraId="18AFEB84" w14:textId="77777777" w:rsidTr="004B5C62">
        <w:trPr>
          <w:trHeight w:val="127"/>
        </w:trPr>
        <w:tc>
          <w:tcPr>
            <w:tcW w:w="4253" w:type="dxa"/>
            <w:tcBorders>
              <w:top w:val="single" w:sz="4" w:space="0" w:color="365F91"/>
              <w:left w:val="nil"/>
              <w:bottom w:val="single" w:sz="4" w:space="0" w:color="365F91"/>
              <w:right w:val="nil"/>
            </w:tcBorders>
            <w:shd w:val="clear" w:color="auto" w:fill="FFFFFF"/>
            <w:hideMark/>
          </w:tcPr>
          <w:p w14:paraId="3797E9B0" w14:textId="77777777" w:rsidR="00524720" w:rsidRPr="00D9348B" w:rsidRDefault="00524720">
            <w:pPr>
              <w:pStyle w:val="TableText"/>
              <w:spacing w:before="50" w:after="50"/>
              <w:ind w:left="227"/>
              <w:rPr>
                <w:rFonts w:cs="Arial"/>
                <w:bCs/>
              </w:rPr>
            </w:pPr>
            <w:r w:rsidRPr="00D9348B">
              <w:rPr>
                <w:rFonts w:cs="Arial"/>
                <w:bCs/>
              </w:rPr>
              <w:t>Fossil carbon content (%)</w:t>
            </w:r>
          </w:p>
        </w:tc>
        <w:tc>
          <w:tcPr>
            <w:tcW w:w="1984" w:type="dxa"/>
            <w:tcBorders>
              <w:top w:val="single" w:sz="4" w:space="0" w:color="365F91"/>
              <w:left w:val="nil"/>
              <w:bottom w:val="single" w:sz="4" w:space="0" w:color="365F91"/>
              <w:right w:val="nil"/>
            </w:tcBorders>
            <w:shd w:val="clear" w:color="auto" w:fill="FFFFFF"/>
            <w:hideMark/>
          </w:tcPr>
          <w:p w14:paraId="59ECC526" w14:textId="77777777" w:rsidR="00524720" w:rsidRPr="00D9348B" w:rsidRDefault="00524720">
            <w:pPr>
              <w:pStyle w:val="TableText"/>
              <w:spacing w:before="50" w:after="50"/>
              <w:ind w:right="827"/>
              <w:jc w:val="right"/>
              <w:rPr>
                <w:rFonts w:cs="Arial"/>
              </w:rPr>
            </w:pPr>
            <w:r w:rsidRPr="00D9348B">
              <w:rPr>
                <w:rFonts w:cs="Arial"/>
              </w:rPr>
              <w:t>20.8</w:t>
            </w:r>
          </w:p>
        </w:tc>
        <w:tc>
          <w:tcPr>
            <w:tcW w:w="2268" w:type="dxa"/>
            <w:tcBorders>
              <w:top w:val="single" w:sz="4" w:space="0" w:color="365F91"/>
              <w:left w:val="nil"/>
              <w:bottom w:val="single" w:sz="4" w:space="0" w:color="365F91"/>
              <w:right w:val="nil"/>
            </w:tcBorders>
            <w:shd w:val="clear" w:color="auto" w:fill="FFFFFF"/>
            <w:hideMark/>
          </w:tcPr>
          <w:p w14:paraId="6B543631" w14:textId="77777777" w:rsidR="00524720" w:rsidRPr="00D9348B" w:rsidRDefault="00524720">
            <w:pPr>
              <w:pStyle w:val="TableText"/>
              <w:spacing w:before="50" w:after="50"/>
              <w:rPr>
                <w:rFonts w:cs="Arial"/>
              </w:rPr>
            </w:pPr>
            <w:r w:rsidRPr="00D9348B">
              <w:rPr>
                <w:rFonts w:cs="Arial"/>
              </w:rPr>
              <w:t>Calculated (see table 7.4.3)</w:t>
            </w:r>
          </w:p>
        </w:tc>
      </w:tr>
      <w:tr w:rsidR="00524720" w:rsidRPr="00D9348B" w14:paraId="4FED150F" w14:textId="77777777" w:rsidTr="004B5C62">
        <w:trPr>
          <w:trHeight w:val="127"/>
        </w:trPr>
        <w:tc>
          <w:tcPr>
            <w:tcW w:w="4253" w:type="dxa"/>
            <w:tcBorders>
              <w:top w:val="single" w:sz="4" w:space="0" w:color="365F91"/>
              <w:left w:val="nil"/>
              <w:bottom w:val="single" w:sz="4" w:space="0" w:color="365F91"/>
              <w:right w:val="nil"/>
            </w:tcBorders>
            <w:shd w:val="clear" w:color="auto" w:fill="FFFFFF"/>
            <w:hideMark/>
          </w:tcPr>
          <w:p w14:paraId="2FEAE838" w14:textId="77777777" w:rsidR="00524720" w:rsidRPr="00D9348B" w:rsidRDefault="00524720">
            <w:pPr>
              <w:pStyle w:val="TableText"/>
              <w:spacing w:before="50" w:after="50"/>
              <w:ind w:left="227"/>
              <w:rPr>
                <w:rFonts w:cs="Arial"/>
                <w:bCs/>
              </w:rPr>
            </w:pPr>
            <w:r w:rsidRPr="00D9348B">
              <w:rPr>
                <w:rFonts w:cs="Arial"/>
                <w:bCs/>
              </w:rPr>
              <w:lastRenderedPageBreak/>
              <w:t>Oxidation factor (%)</w:t>
            </w:r>
          </w:p>
        </w:tc>
        <w:tc>
          <w:tcPr>
            <w:tcW w:w="1984" w:type="dxa"/>
            <w:tcBorders>
              <w:top w:val="single" w:sz="4" w:space="0" w:color="365F91"/>
              <w:left w:val="nil"/>
              <w:bottom w:val="single" w:sz="4" w:space="0" w:color="365F91"/>
              <w:right w:val="nil"/>
            </w:tcBorders>
            <w:shd w:val="clear" w:color="auto" w:fill="FFFFFF"/>
            <w:hideMark/>
          </w:tcPr>
          <w:p w14:paraId="61DB67D6" w14:textId="77777777" w:rsidR="00524720" w:rsidRPr="00D9348B" w:rsidRDefault="00524720">
            <w:pPr>
              <w:pStyle w:val="TableText"/>
              <w:spacing w:before="50" w:after="50"/>
              <w:ind w:right="827"/>
              <w:jc w:val="right"/>
              <w:rPr>
                <w:rFonts w:cs="Arial"/>
              </w:rPr>
            </w:pPr>
            <w:r w:rsidRPr="00D9348B">
              <w:rPr>
                <w:rFonts w:cs="Arial"/>
              </w:rPr>
              <w:t>58</w:t>
            </w:r>
          </w:p>
        </w:tc>
        <w:tc>
          <w:tcPr>
            <w:tcW w:w="2268" w:type="dxa"/>
            <w:tcBorders>
              <w:top w:val="single" w:sz="4" w:space="0" w:color="365F91"/>
              <w:left w:val="nil"/>
              <w:bottom w:val="single" w:sz="4" w:space="0" w:color="365F91"/>
              <w:right w:val="nil"/>
            </w:tcBorders>
            <w:shd w:val="clear" w:color="auto" w:fill="FFFFFF"/>
            <w:hideMark/>
          </w:tcPr>
          <w:p w14:paraId="392B5F20" w14:textId="77777777" w:rsidR="00524720" w:rsidRPr="00D9348B" w:rsidRDefault="00524720">
            <w:pPr>
              <w:pStyle w:val="TableText"/>
              <w:spacing w:before="50" w:after="50"/>
              <w:rPr>
                <w:rFonts w:cs="Arial"/>
              </w:rPr>
            </w:pPr>
            <w:r w:rsidRPr="00D9348B">
              <w:rPr>
                <w:rFonts w:cs="Arial"/>
              </w:rPr>
              <w:t>IPCC default</w:t>
            </w:r>
          </w:p>
        </w:tc>
      </w:tr>
      <w:tr w:rsidR="00524720" w:rsidRPr="00D9348B" w14:paraId="09E05449" w14:textId="77777777" w:rsidTr="004B5C62">
        <w:trPr>
          <w:trHeight w:val="127"/>
        </w:trPr>
        <w:tc>
          <w:tcPr>
            <w:tcW w:w="4253" w:type="dxa"/>
            <w:tcBorders>
              <w:top w:val="single" w:sz="4" w:space="0" w:color="365F91"/>
              <w:left w:val="nil"/>
              <w:bottom w:val="single" w:sz="4" w:space="0" w:color="365F91"/>
              <w:right w:val="nil"/>
            </w:tcBorders>
            <w:shd w:val="clear" w:color="auto" w:fill="FFFFFF"/>
            <w:hideMark/>
          </w:tcPr>
          <w:p w14:paraId="554DB066" w14:textId="77777777" w:rsidR="00524720" w:rsidRPr="00D9348B" w:rsidRDefault="00524720">
            <w:pPr>
              <w:pStyle w:val="TableText"/>
              <w:spacing w:before="50" w:after="50"/>
              <w:ind w:left="227"/>
              <w:rPr>
                <w:rFonts w:cs="Arial"/>
                <w:bCs/>
              </w:rPr>
            </w:pPr>
            <w:r w:rsidRPr="00D9348B">
              <w:rPr>
                <w:rFonts w:cs="Arial"/>
                <w:bCs/>
              </w:rPr>
              <w:t>Conversion factor</w:t>
            </w:r>
          </w:p>
        </w:tc>
        <w:tc>
          <w:tcPr>
            <w:tcW w:w="1984" w:type="dxa"/>
            <w:tcBorders>
              <w:top w:val="single" w:sz="4" w:space="0" w:color="365F91"/>
              <w:left w:val="nil"/>
              <w:bottom w:val="single" w:sz="4" w:space="0" w:color="365F91"/>
              <w:right w:val="nil"/>
            </w:tcBorders>
            <w:shd w:val="clear" w:color="auto" w:fill="FFFFFF"/>
            <w:hideMark/>
          </w:tcPr>
          <w:p w14:paraId="20750BA1" w14:textId="77777777" w:rsidR="00524720" w:rsidRPr="00D9348B" w:rsidRDefault="00524720">
            <w:pPr>
              <w:pStyle w:val="TableText"/>
              <w:spacing w:before="50" w:after="50"/>
              <w:ind w:right="827"/>
              <w:jc w:val="right"/>
              <w:rPr>
                <w:rFonts w:cs="Arial"/>
              </w:rPr>
            </w:pPr>
            <w:r w:rsidRPr="00D9348B">
              <w:rPr>
                <w:rFonts w:cs="Arial"/>
              </w:rPr>
              <w:t>44/12</w:t>
            </w:r>
          </w:p>
        </w:tc>
        <w:tc>
          <w:tcPr>
            <w:tcW w:w="2268" w:type="dxa"/>
            <w:tcBorders>
              <w:top w:val="single" w:sz="4" w:space="0" w:color="365F91"/>
              <w:left w:val="nil"/>
              <w:bottom w:val="single" w:sz="4" w:space="0" w:color="365F91"/>
              <w:right w:val="nil"/>
            </w:tcBorders>
            <w:shd w:val="clear" w:color="auto" w:fill="FFFFFF"/>
          </w:tcPr>
          <w:p w14:paraId="454BD968" w14:textId="77777777" w:rsidR="00524720" w:rsidRPr="00D9348B" w:rsidRDefault="00524720">
            <w:pPr>
              <w:pStyle w:val="TableText"/>
              <w:spacing w:before="50" w:after="50"/>
              <w:rPr>
                <w:rFonts w:cs="Arial"/>
              </w:rPr>
            </w:pPr>
          </w:p>
        </w:tc>
      </w:tr>
      <w:tr w:rsidR="00524720" w:rsidRPr="00D9348B" w14:paraId="20BDE172" w14:textId="77777777" w:rsidTr="004B5C62">
        <w:trPr>
          <w:trHeight w:val="127"/>
        </w:trPr>
        <w:tc>
          <w:tcPr>
            <w:tcW w:w="4253" w:type="dxa"/>
            <w:tcBorders>
              <w:top w:val="single" w:sz="4" w:space="0" w:color="365F91"/>
              <w:left w:val="nil"/>
              <w:bottom w:val="single" w:sz="4" w:space="0" w:color="365F91"/>
              <w:right w:val="nil"/>
            </w:tcBorders>
            <w:shd w:val="clear" w:color="auto" w:fill="FFFFFF"/>
            <w:hideMark/>
          </w:tcPr>
          <w:p w14:paraId="7E0E1E67" w14:textId="77777777" w:rsidR="00524720" w:rsidRPr="00D9348B" w:rsidRDefault="00524720">
            <w:pPr>
              <w:pStyle w:val="TableText"/>
              <w:spacing w:before="50" w:after="50"/>
              <w:rPr>
                <w:rFonts w:cs="Arial"/>
                <w:bCs/>
              </w:rPr>
            </w:pPr>
            <w:r w:rsidRPr="00D9348B">
              <w:rPr>
                <w:rFonts w:cs="Arial"/>
                <w:bCs/>
              </w:rPr>
              <w:t>Methane emission factor (</w:t>
            </w:r>
            <w:r w:rsidRPr="00D9348B">
              <w:rPr>
                <w:rFonts w:cs="Arial"/>
              </w:rPr>
              <w:t>kg/kt wet waste)</w:t>
            </w:r>
          </w:p>
        </w:tc>
        <w:tc>
          <w:tcPr>
            <w:tcW w:w="1984" w:type="dxa"/>
            <w:tcBorders>
              <w:top w:val="single" w:sz="4" w:space="0" w:color="365F91"/>
              <w:left w:val="nil"/>
              <w:bottom w:val="single" w:sz="4" w:space="0" w:color="365F91"/>
              <w:right w:val="nil"/>
            </w:tcBorders>
            <w:shd w:val="clear" w:color="auto" w:fill="FFFFFF"/>
            <w:hideMark/>
          </w:tcPr>
          <w:p w14:paraId="7EB143DC" w14:textId="77777777" w:rsidR="00524720" w:rsidRPr="00D9348B" w:rsidRDefault="00524720">
            <w:pPr>
              <w:pStyle w:val="TableText"/>
              <w:spacing w:before="50" w:after="50"/>
              <w:ind w:right="827"/>
              <w:jc w:val="right"/>
              <w:rPr>
                <w:rFonts w:cs="Arial"/>
              </w:rPr>
            </w:pPr>
            <w:r w:rsidRPr="00D9348B">
              <w:rPr>
                <w:rFonts w:cs="Arial"/>
              </w:rPr>
              <w:t xml:space="preserve">6,500 </w:t>
            </w:r>
          </w:p>
        </w:tc>
        <w:tc>
          <w:tcPr>
            <w:tcW w:w="2268" w:type="dxa"/>
            <w:tcBorders>
              <w:top w:val="single" w:sz="4" w:space="0" w:color="365F91"/>
              <w:left w:val="nil"/>
              <w:bottom w:val="single" w:sz="4" w:space="0" w:color="365F91"/>
              <w:right w:val="nil"/>
            </w:tcBorders>
            <w:shd w:val="clear" w:color="auto" w:fill="FFFFFF"/>
            <w:hideMark/>
          </w:tcPr>
          <w:p w14:paraId="7185453B" w14:textId="77777777" w:rsidR="00524720" w:rsidRPr="00D9348B" w:rsidRDefault="00524720">
            <w:pPr>
              <w:pStyle w:val="TableText"/>
              <w:spacing w:before="50" w:after="50"/>
              <w:rPr>
                <w:rFonts w:cs="Arial"/>
              </w:rPr>
            </w:pPr>
            <w:r w:rsidRPr="00D9348B">
              <w:rPr>
                <w:rFonts w:cs="Arial"/>
              </w:rPr>
              <w:t>IPCC default</w:t>
            </w:r>
          </w:p>
        </w:tc>
      </w:tr>
      <w:tr w:rsidR="00524720" w:rsidRPr="00D9348B" w14:paraId="78D45D8C" w14:textId="77777777" w:rsidTr="004B5C62">
        <w:trPr>
          <w:trHeight w:val="127"/>
        </w:trPr>
        <w:tc>
          <w:tcPr>
            <w:tcW w:w="4253" w:type="dxa"/>
            <w:tcBorders>
              <w:top w:val="single" w:sz="4" w:space="0" w:color="365F91"/>
              <w:left w:val="nil"/>
              <w:bottom w:val="single" w:sz="6" w:space="0" w:color="365F91"/>
              <w:right w:val="nil"/>
            </w:tcBorders>
            <w:shd w:val="clear" w:color="auto" w:fill="FFFFFF"/>
            <w:hideMark/>
          </w:tcPr>
          <w:p w14:paraId="2F7E9361" w14:textId="77777777" w:rsidR="00524720" w:rsidRPr="00D9348B" w:rsidRDefault="00524720">
            <w:pPr>
              <w:pStyle w:val="TableText"/>
              <w:spacing w:before="50" w:after="50"/>
              <w:rPr>
                <w:rFonts w:cs="Arial"/>
                <w:bCs/>
              </w:rPr>
            </w:pPr>
            <w:r w:rsidRPr="00D9348B">
              <w:rPr>
                <w:rFonts w:cs="Arial"/>
                <w:bCs/>
              </w:rPr>
              <w:t>Nitrous oxide emission factor (</w:t>
            </w:r>
            <w:r w:rsidRPr="00D9348B">
              <w:rPr>
                <w:rFonts w:cs="Arial"/>
              </w:rPr>
              <w:t>kg/kt dry waste)</w:t>
            </w:r>
          </w:p>
        </w:tc>
        <w:tc>
          <w:tcPr>
            <w:tcW w:w="1984" w:type="dxa"/>
            <w:tcBorders>
              <w:top w:val="single" w:sz="4" w:space="0" w:color="365F91"/>
              <w:left w:val="nil"/>
              <w:bottom w:val="single" w:sz="6" w:space="0" w:color="365F91"/>
              <w:right w:val="nil"/>
            </w:tcBorders>
            <w:shd w:val="clear" w:color="auto" w:fill="FFFFFF"/>
            <w:hideMark/>
          </w:tcPr>
          <w:p w14:paraId="25E8B639" w14:textId="77777777" w:rsidR="00524720" w:rsidRPr="00D9348B" w:rsidRDefault="00524720">
            <w:pPr>
              <w:pStyle w:val="TableText"/>
              <w:spacing w:before="50" w:after="50"/>
              <w:ind w:right="827"/>
              <w:jc w:val="right"/>
              <w:rPr>
                <w:rFonts w:cs="Arial"/>
              </w:rPr>
            </w:pPr>
            <w:r w:rsidRPr="00D9348B">
              <w:rPr>
                <w:rFonts w:cs="Arial"/>
              </w:rPr>
              <w:t>150</w:t>
            </w:r>
          </w:p>
        </w:tc>
        <w:tc>
          <w:tcPr>
            <w:tcW w:w="2268" w:type="dxa"/>
            <w:tcBorders>
              <w:top w:val="single" w:sz="4" w:space="0" w:color="365F91"/>
              <w:left w:val="nil"/>
              <w:bottom w:val="single" w:sz="6" w:space="0" w:color="365F91"/>
              <w:right w:val="nil"/>
            </w:tcBorders>
            <w:shd w:val="clear" w:color="auto" w:fill="FFFFFF"/>
            <w:hideMark/>
          </w:tcPr>
          <w:p w14:paraId="6BA37535" w14:textId="77777777" w:rsidR="00524720" w:rsidRPr="00D9348B" w:rsidRDefault="00524720">
            <w:pPr>
              <w:pStyle w:val="TableText"/>
              <w:spacing w:before="50" w:after="50"/>
              <w:rPr>
                <w:rFonts w:cs="Arial"/>
              </w:rPr>
            </w:pPr>
            <w:r w:rsidRPr="00D9348B">
              <w:rPr>
                <w:rFonts w:cs="Arial"/>
              </w:rPr>
              <w:t>IPCC default</w:t>
            </w:r>
          </w:p>
        </w:tc>
      </w:tr>
    </w:tbl>
    <w:p w14:paraId="0615C843" w14:textId="77777777" w:rsidR="00524720" w:rsidRPr="00D9348B" w:rsidRDefault="00524720" w:rsidP="00524720">
      <w:pPr>
        <w:pStyle w:val="BodyText"/>
        <w:spacing w:before="240" w:after="100"/>
      </w:pPr>
      <w:r w:rsidRPr="00D9348B">
        <w:t>To calculate N</w:t>
      </w:r>
      <w:r w:rsidRPr="00D9348B">
        <w:rPr>
          <w:vertAlign w:val="subscript"/>
        </w:rPr>
        <w:t>2</w:t>
      </w:r>
      <w:r w:rsidRPr="00D9348B">
        <w:t>O emissions, the activity data is converted using the weighted average dry matter content in table 7.4.3 because the default emission factor is presented in terms of dry waste.</w:t>
      </w:r>
    </w:p>
    <w:p w14:paraId="0CB06452" w14:textId="77777777" w:rsidR="00524720" w:rsidRPr="00D9348B" w:rsidRDefault="00524720" w:rsidP="00524720">
      <w:pPr>
        <w:pStyle w:val="Heading3"/>
        <w:spacing w:before="280"/>
      </w:pPr>
      <w:bookmarkStart w:id="2801" w:name="_Toc32828346"/>
      <w:r w:rsidRPr="00D9348B">
        <w:t>7.4.3</w:t>
      </w:r>
      <w:r w:rsidRPr="00D9348B">
        <w:tab/>
        <w:t>Uncertainties and time-series consistency</w:t>
      </w:r>
      <w:bookmarkEnd w:id="2801"/>
    </w:p>
    <w:p w14:paraId="6605572F" w14:textId="77777777" w:rsidR="00524720" w:rsidRPr="00D9348B" w:rsidRDefault="00524720" w:rsidP="002D0986">
      <w:pPr>
        <w:pStyle w:val="Heading4"/>
        <w:spacing w:before="160"/>
      </w:pPr>
      <w:r w:rsidRPr="00D9348B">
        <w:t>Uncertainties</w:t>
      </w:r>
    </w:p>
    <w:p w14:paraId="75EE8528" w14:textId="77777777" w:rsidR="00524720" w:rsidRPr="00D9348B" w:rsidRDefault="00524720" w:rsidP="00524720">
      <w:pPr>
        <w:pStyle w:val="BodyText"/>
        <w:spacing w:before="100" w:after="100"/>
      </w:pPr>
      <w:r w:rsidRPr="00D9348B">
        <w:t xml:space="preserve">As per the IPCC recommendation for uncertainties relating to activity data (IPCC, 2006a), estimated uncertainty for the amount of wet waste incinerated ranges from ±10 per cent to ±50 per cent, and uncertainty of ±50 per cent is applied (table 7.4.6). </w:t>
      </w:r>
    </w:p>
    <w:p w14:paraId="5A773CA0" w14:textId="77777777" w:rsidR="00524720" w:rsidRPr="00D9348B" w:rsidRDefault="00524720" w:rsidP="00524720">
      <w:pPr>
        <w:pStyle w:val="BodyText"/>
        <w:spacing w:before="100" w:after="100"/>
      </w:pPr>
      <w:r w:rsidRPr="00D9348B">
        <w:t>The data collected for the composition of waste are not detailed. Therefore, as per the recommendation for uncertainties relating to emission factors (IPCC, 2006a), the estimated uncertainty for default CO</w:t>
      </w:r>
      <w:r w:rsidRPr="00D9348B">
        <w:rPr>
          <w:vertAlign w:val="subscript"/>
        </w:rPr>
        <w:t>2</w:t>
      </w:r>
      <w:r w:rsidRPr="00D9348B">
        <w:t xml:space="preserve"> factors is ±40 per cent. Default factors used in the calculation of CH</w:t>
      </w:r>
      <w:r w:rsidRPr="00D9348B">
        <w:rPr>
          <w:vertAlign w:val="subscript"/>
        </w:rPr>
        <w:t>4</w:t>
      </w:r>
      <w:r w:rsidRPr="00D9348B">
        <w:t xml:space="preserve"> and N</w:t>
      </w:r>
      <w:r w:rsidRPr="00D9348B">
        <w:rPr>
          <w:vertAlign w:val="subscript"/>
        </w:rPr>
        <w:t>2</w:t>
      </w:r>
      <w:r w:rsidRPr="00D9348B">
        <w:t>O emissions have a much higher uncertainty (IPCC, 2006a); hence, the estimated uncertainty for default CH</w:t>
      </w:r>
      <w:r w:rsidRPr="00D9348B">
        <w:rPr>
          <w:vertAlign w:val="subscript"/>
        </w:rPr>
        <w:t>4</w:t>
      </w:r>
      <w:r w:rsidRPr="00D9348B">
        <w:t xml:space="preserve"> and N</w:t>
      </w:r>
      <w:r w:rsidRPr="00D9348B">
        <w:rPr>
          <w:vertAlign w:val="subscript"/>
        </w:rPr>
        <w:t>2</w:t>
      </w:r>
      <w:r w:rsidRPr="00D9348B">
        <w:t>O factors is ±100 per cent.</w:t>
      </w:r>
    </w:p>
    <w:p w14:paraId="2B5DB1F3" w14:textId="77777777" w:rsidR="00524720" w:rsidRPr="00D9348B" w:rsidRDefault="00524720" w:rsidP="00524720">
      <w:pPr>
        <w:pStyle w:val="Table"/>
      </w:pPr>
      <w:bookmarkStart w:id="2802" w:name="_Toc511116830"/>
      <w:bookmarkStart w:id="2803" w:name="_Toc508019332"/>
      <w:bookmarkStart w:id="2804" w:name="_Toc481751607"/>
      <w:bookmarkStart w:id="2805" w:name="_Toc451176177"/>
      <w:bookmarkStart w:id="2806" w:name="_Toc444001625"/>
      <w:bookmarkStart w:id="2807" w:name="_Toc32828535"/>
      <w:bookmarkStart w:id="2808" w:name="_Toc32591365"/>
      <w:bookmarkStart w:id="2809" w:name="_Toc5269577"/>
      <w:bookmarkStart w:id="2810" w:name="_Toc36224658"/>
      <w:bookmarkStart w:id="2811" w:name="_Toc321398849"/>
      <w:r w:rsidRPr="00D9348B">
        <w:t>Table 7.4.6</w:t>
      </w:r>
      <w:r w:rsidRPr="00D9348B">
        <w:tab/>
        <w:t>Uncertainty in emissions from incineration</w:t>
      </w:r>
      <w:bookmarkEnd w:id="2802"/>
      <w:bookmarkEnd w:id="2803"/>
      <w:bookmarkEnd w:id="2804"/>
      <w:bookmarkEnd w:id="2805"/>
      <w:bookmarkEnd w:id="2806"/>
      <w:r w:rsidRPr="00D9348B">
        <w:t xml:space="preserve"> and open burning</w:t>
      </w:r>
      <w:bookmarkEnd w:id="2807"/>
      <w:bookmarkEnd w:id="2808"/>
      <w:bookmarkEnd w:id="2809"/>
      <w:bookmarkEnd w:id="2810"/>
    </w:p>
    <w:tbl>
      <w:tblPr>
        <w:tblW w:w="8505" w:type="dxa"/>
        <w:tblInd w:w="108" w:type="dxa"/>
        <w:tblBorders>
          <w:top w:val="single" w:sz="6" w:space="0" w:color="365F91"/>
          <w:bottom w:val="single" w:sz="6" w:space="0" w:color="365F91"/>
          <w:insideH w:val="single" w:sz="6" w:space="0" w:color="365F91"/>
        </w:tblBorders>
        <w:tblLook w:val="04A0" w:firstRow="1" w:lastRow="0" w:firstColumn="1" w:lastColumn="0" w:noHBand="0" w:noVBand="1"/>
      </w:tblPr>
      <w:tblGrid>
        <w:gridCol w:w="3402"/>
        <w:gridCol w:w="2410"/>
        <w:gridCol w:w="2693"/>
      </w:tblGrid>
      <w:tr w:rsidR="00524720" w:rsidRPr="00D9348B" w14:paraId="0C4A30EA" w14:textId="77777777" w:rsidTr="00BD773B">
        <w:tc>
          <w:tcPr>
            <w:tcW w:w="3402" w:type="dxa"/>
            <w:tcBorders>
              <w:top w:val="single" w:sz="4" w:space="0" w:color="365F91"/>
              <w:left w:val="nil"/>
              <w:bottom w:val="single" w:sz="4" w:space="0" w:color="365F91"/>
              <w:right w:val="nil"/>
            </w:tcBorders>
            <w:shd w:val="clear" w:color="auto" w:fill="365F91"/>
            <w:hideMark/>
          </w:tcPr>
          <w:p w14:paraId="4480795D" w14:textId="77777777" w:rsidR="00524720" w:rsidRPr="00D9348B" w:rsidRDefault="00524720">
            <w:pPr>
              <w:pStyle w:val="TableTextBold"/>
              <w:keepNext/>
              <w:spacing w:before="50" w:after="50"/>
              <w:rPr>
                <w:noProof w:val="0"/>
                <w:color w:val="FFFFFF"/>
              </w:rPr>
            </w:pPr>
            <w:r w:rsidRPr="00D9348B">
              <w:rPr>
                <w:noProof w:val="0"/>
                <w:color w:val="FFFFFF"/>
              </w:rPr>
              <w:t>Emissions category</w:t>
            </w:r>
          </w:p>
        </w:tc>
        <w:tc>
          <w:tcPr>
            <w:tcW w:w="2410" w:type="dxa"/>
            <w:tcBorders>
              <w:top w:val="single" w:sz="4" w:space="0" w:color="365F91"/>
              <w:left w:val="nil"/>
              <w:bottom w:val="single" w:sz="4" w:space="0" w:color="365F91"/>
              <w:right w:val="nil"/>
            </w:tcBorders>
            <w:shd w:val="clear" w:color="auto" w:fill="365F91"/>
            <w:hideMark/>
          </w:tcPr>
          <w:p w14:paraId="0FBCC692" w14:textId="77777777" w:rsidR="00524720" w:rsidRPr="00D9348B" w:rsidRDefault="00524720">
            <w:pPr>
              <w:pStyle w:val="TableTextBold"/>
              <w:keepNext/>
              <w:spacing w:before="50" w:after="50"/>
              <w:rPr>
                <w:noProof w:val="0"/>
                <w:color w:val="FFFFFF"/>
              </w:rPr>
            </w:pPr>
            <w:r w:rsidRPr="00D9348B">
              <w:rPr>
                <w:noProof w:val="0"/>
                <w:color w:val="FFFFFF"/>
              </w:rPr>
              <w:t>Uncertainty in activity data (%)</w:t>
            </w:r>
          </w:p>
        </w:tc>
        <w:tc>
          <w:tcPr>
            <w:tcW w:w="2693" w:type="dxa"/>
            <w:tcBorders>
              <w:top w:val="single" w:sz="4" w:space="0" w:color="365F91"/>
              <w:left w:val="nil"/>
              <w:bottom w:val="single" w:sz="4" w:space="0" w:color="365F91"/>
              <w:right w:val="nil"/>
            </w:tcBorders>
            <w:shd w:val="clear" w:color="auto" w:fill="365F91"/>
            <w:hideMark/>
          </w:tcPr>
          <w:p w14:paraId="581A8416" w14:textId="77777777" w:rsidR="00524720" w:rsidRPr="00D9348B" w:rsidRDefault="00524720">
            <w:pPr>
              <w:pStyle w:val="TableTextBold"/>
              <w:keepNext/>
              <w:spacing w:before="50" w:after="50"/>
              <w:rPr>
                <w:noProof w:val="0"/>
                <w:color w:val="FFFFFF"/>
              </w:rPr>
            </w:pPr>
            <w:r w:rsidRPr="00D9348B">
              <w:rPr>
                <w:noProof w:val="0"/>
                <w:color w:val="FFFFFF"/>
              </w:rPr>
              <w:t>Uncertainty in emission factors (%)</w:t>
            </w:r>
          </w:p>
        </w:tc>
      </w:tr>
      <w:tr w:rsidR="00524720" w:rsidRPr="00D9348B" w14:paraId="0FDB363F" w14:textId="77777777" w:rsidTr="00BD773B">
        <w:trPr>
          <w:trHeight w:val="127"/>
        </w:trPr>
        <w:tc>
          <w:tcPr>
            <w:tcW w:w="3402" w:type="dxa"/>
            <w:tcBorders>
              <w:top w:val="single" w:sz="4" w:space="0" w:color="365F91"/>
              <w:left w:val="nil"/>
              <w:bottom w:val="single" w:sz="4" w:space="0" w:color="365F91"/>
              <w:right w:val="nil"/>
            </w:tcBorders>
            <w:shd w:val="clear" w:color="auto" w:fill="FFFFFF"/>
            <w:hideMark/>
          </w:tcPr>
          <w:p w14:paraId="15432A39" w14:textId="77777777" w:rsidR="00524720" w:rsidRPr="00D9348B" w:rsidRDefault="00524720">
            <w:pPr>
              <w:pStyle w:val="TableText"/>
              <w:spacing w:before="50" w:after="50"/>
              <w:rPr>
                <w:rFonts w:cs="Arial"/>
                <w:bCs/>
              </w:rPr>
            </w:pPr>
            <w:r w:rsidRPr="00D9348B">
              <w:rPr>
                <w:rFonts w:cs="Arial"/>
                <w:bCs/>
              </w:rPr>
              <w:t>Waste incineration and open burning (CO</w:t>
            </w:r>
            <w:r w:rsidRPr="00D9348B">
              <w:rPr>
                <w:rFonts w:cs="Arial"/>
                <w:bCs/>
                <w:vertAlign w:val="subscript"/>
              </w:rPr>
              <w:t>2</w:t>
            </w:r>
            <w:r w:rsidRPr="00D9348B">
              <w:rPr>
                <w:rFonts w:cs="Arial"/>
                <w:bCs/>
              </w:rPr>
              <w:t>)</w:t>
            </w:r>
          </w:p>
        </w:tc>
        <w:tc>
          <w:tcPr>
            <w:tcW w:w="2410" w:type="dxa"/>
            <w:tcBorders>
              <w:top w:val="single" w:sz="4" w:space="0" w:color="365F91"/>
              <w:left w:val="nil"/>
              <w:bottom w:val="single" w:sz="4" w:space="0" w:color="365F91"/>
              <w:right w:val="nil"/>
            </w:tcBorders>
            <w:shd w:val="clear" w:color="auto" w:fill="FFFFFF"/>
            <w:hideMark/>
          </w:tcPr>
          <w:p w14:paraId="4CB77C70" w14:textId="77777777" w:rsidR="00524720" w:rsidRPr="00D9348B" w:rsidRDefault="00524720">
            <w:pPr>
              <w:pStyle w:val="TableText"/>
              <w:spacing w:before="50" w:after="50"/>
              <w:ind w:right="827"/>
              <w:rPr>
                <w:rFonts w:cs="Arial"/>
              </w:rPr>
            </w:pPr>
            <w:r w:rsidRPr="00D9348B">
              <w:rPr>
                <w:rFonts w:cs="Arial"/>
              </w:rPr>
              <w:t>±50</w:t>
            </w:r>
          </w:p>
        </w:tc>
        <w:tc>
          <w:tcPr>
            <w:tcW w:w="2693" w:type="dxa"/>
            <w:tcBorders>
              <w:top w:val="single" w:sz="4" w:space="0" w:color="365F91"/>
              <w:left w:val="nil"/>
              <w:bottom w:val="single" w:sz="4" w:space="0" w:color="365F91"/>
              <w:right w:val="nil"/>
            </w:tcBorders>
            <w:shd w:val="clear" w:color="auto" w:fill="FFFFFF"/>
            <w:hideMark/>
          </w:tcPr>
          <w:p w14:paraId="362DA337" w14:textId="77777777" w:rsidR="00524720" w:rsidRPr="00D9348B" w:rsidRDefault="00524720">
            <w:pPr>
              <w:pStyle w:val="TableText"/>
              <w:spacing w:before="50" w:after="50"/>
              <w:ind w:right="827"/>
              <w:rPr>
                <w:rFonts w:cs="Arial"/>
              </w:rPr>
            </w:pPr>
            <w:r w:rsidRPr="00D9348B">
              <w:rPr>
                <w:rFonts w:cs="Arial"/>
              </w:rPr>
              <w:t>±40</w:t>
            </w:r>
          </w:p>
        </w:tc>
      </w:tr>
      <w:tr w:rsidR="00524720" w:rsidRPr="00D9348B" w14:paraId="4442351D" w14:textId="77777777" w:rsidTr="00BD773B">
        <w:trPr>
          <w:trHeight w:val="127"/>
        </w:trPr>
        <w:tc>
          <w:tcPr>
            <w:tcW w:w="3402" w:type="dxa"/>
            <w:tcBorders>
              <w:top w:val="single" w:sz="4" w:space="0" w:color="365F91"/>
              <w:left w:val="nil"/>
              <w:bottom w:val="single" w:sz="4" w:space="0" w:color="365F91"/>
              <w:right w:val="nil"/>
            </w:tcBorders>
            <w:shd w:val="clear" w:color="auto" w:fill="FFFFFF"/>
            <w:hideMark/>
          </w:tcPr>
          <w:p w14:paraId="67BCCA61" w14:textId="77777777" w:rsidR="00524720" w:rsidRPr="00D9348B" w:rsidRDefault="00524720">
            <w:pPr>
              <w:pStyle w:val="TableText"/>
              <w:spacing w:before="50" w:after="50"/>
              <w:rPr>
                <w:rFonts w:cs="Arial"/>
                <w:bCs/>
              </w:rPr>
            </w:pPr>
            <w:r w:rsidRPr="00D9348B">
              <w:rPr>
                <w:rFonts w:cs="Arial"/>
                <w:bCs/>
              </w:rPr>
              <w:t>Waste incineration and open burning (CH</w:t>
            </w:r>
            <w:r w:rsidRPr="00D9348B">
              <w:rPr>
                <w:rFonts w:cs="Arial"/>
                <w:bCs/>
                <w:vertAlign w:val="subscript"/>
              </w:rPr>
              <w:t>4</w:t>
            </w:r>
            <w:r w:rsidRPr="00D9348B">
              <w:rPr>
                <w:rFonts w:cs="Arial"/>
                <w:bCs/>
              </w:rPr>
              <w:t>)</w:t>
            </w:r>
          </w:p>
        </w:tc>
        <w:tc>
          <w:tcPr>
            <w:tcW w:w="2410" w:type="dxa"/>
            <w:tcBorders>
              <w:top w:val="single" w:sz="4" w:space="0" w:color="365F91"/>
              <w:left w:val="nil"/>
              <w:bottom w:val="single" w:sz="4" w:space="0" w:color="365F91"/>
              <w:right w:val="nil"/>
            </w:tcBorders>
            <w:shd w:val="clear" w:color="auto" w:fill="FFFFFF"/>
            <w:hideMark/>
          </w:tcPr>
          <w:p w14:paraId="50ACCD9E" w14:textId="77777777" w:rsidR="00524720" w:rsidRPr="00D9348B" w:rsidRDefault="00524720">
            <w:pPr>
              <w:pStyle w:val="TableText"/>
              <w:spacing w:before="50" w:after="50"/>
              <w:ind w:right="827"/>
              <w:rPr>
                <w:rFonts w:cs="Arial"/>
              </w:rPr>
            </w:pPr>
            <w:r w:rsidRPr="00D9348B">
              <w:rPr>
                <w:rFonts w:cs="Arial"/>
              </w:rPr>
              <w:t>±50</w:t>
            </w:r>
          </w:p>
        </w:tc>
        <w:tc>
          <w:tcPr>
            <w:tcW w:w="2693" w:type="dxa"/>
            <w:tcBorders>
              <w:top w:val="single" w:sz="4" w:space="0" w:color="365F91"/>
              <w:left w:val="nil"/>
              <w:bottom w:val="single" w:sz="4" w:space="0" w:color="365F91"/>
              <w:right w:val="nil"/>
            </w:tcBorders>
            <w:shd w:val="clear" w:color="auto" w:fill="FFFFFF"/>
            <w:hideMark/>
          </w:tcPr>
          <w:p w14:paraId="10591333" w14:textId="77777777" w:rsidR="00524720" w:rsidRPr="00D9348B" w:rsidRDefault="00524720">
            <w:pPr>
              <w:pStyle w:val="TableText"/>
              <w:spacing w:before="50" w:after="50"/>
              <w:ind w:right="827"/>
              <w:rPr>
                <w:rFonts w:cs="Arial"/>
              </w:rPr>
            </w:pPr>
            <w:r w:rsidRPr="00D9348B">
              <w:rPr>
                <w:rFonts w:cs="Arial"/>
              </w:rPr>
              <w:t>±100</w:t>
            </w:r>
          </w:p>
        </w:tc>
      </w:tr>
      <w:tr w:rsidR="00524720" w:rsidRPr="00D9348B" w14:paraId="0F7418D0" w14:textId="77777777" w:rsidTr="00BD773B">
        <w:trPr>
          <w:trHeight w:val="127"/>
        </w:trPr>
        <w:tc>
          <w:tcPr>
            <w:tcW w:w="3402" w:type="dxa"/>
            <w:tcBorders>
              <w:top w:val="single" w:sz="4" w:space="0" w:color="365F91"/>
              <w:left w:val="nil"/>
              <w:bottom w:val="single" w:sz="6" w:space="0" w:color="365F91"/>
              <w:right w:val="nil"/>
            </w:tcBorders>
            <w:shd w:val="clear" w:color="auto" w:fill="FFFFFF"/>
            <w:hideMark/>
          </w:tcPr>
          <w:p w14:paraId="3AFC6C1B" w14:textId="77777777" w:rsidR="00524720" w:rsidRPr="00D9348B" w:rsidRDefault="00524720">
            <w:pPr>
              <w:pStyle w:val="TableText"/>
              <w:spacing w:before="50" w:after="50"/>
              <w:rPr>
                <w:rFonts w:cs="Arial"/>
                <w:bCs/>
              </w:rPr>
            </w:pPr>
            <w:r w:rsidRPr="00D9348B">
              <w:rPr>
                <w:rFonts w:cs="Arial"/>
                <w:bCs/>
              </w:rPr>
              <w:t>Waste incineration and open burning (N</w:t>
            </w:r>
            <w:r w:rsidRPr="00D9348B">
              <w:rPr>
                <w:rFonts w:cs="Arial"/>
                <w:bCs/>
                <w:vertAlign w:val="subscript"/>
              </w:rPr>
              <w:t>2</w:t>
            </w:r>
            <w:r w:rsidRPr="00D9348B">
              <w:rPr>
                <w:rFonts w:cs="Arial"/>
                <w:bCs/>
              </w:rPr>
              <w:t>O)</w:t>
            </w:r>
          </w:p>
        </w:tc>
        <w:tc>
          <w:tcPr>
            <w:tcW w:w="2410" w:type="dxa"/>
            <w:tcBorders>
              <w:top w:val="single" w:sz="4" w:space="0" w:color="365F91"/>
              <w:left w:val="nil"/>
              <w:bottom w:val="single" w:sz="6" w:space="0" w:color="365F91"/>
              <w:right w:val="nil"/>
            </w:tcBorders>
            <w:shd w:val="clear" w:color="auto" w:fill="FFFFFF"/>
            <w:hideMark/>
          </w:tcPr>
          <w:p w14:paraId="00CC2818" w14:textId="77777777" w:rsidR="00524720" w:rsidRPr="00D9348B" w:rsidRDefault="00524720">
            <w:pPr>
              <w:pStyle w:val="TableText"/>
              <w:spacing w:before="50" w:after="50"/>
              <w:ind w:right="827"/>
              <w:rPr>
                <w:rFonts w:cs="Arial"/>
              </w:rPr>
            </w:pPr>
            <w:r w:rsidRPr="00D9348B">
              <w:rPr>
                <w:rFonts w:cs="Arial"/>
              </w:rPr>
              <w:t>±50</w:t>
            </w:r>
          </w:p>
        </w:tc>
        <w:tc>
          <w:tcPr>
            <w:tcW w:w="2693" w:type="dxa"/>
            <w:tcBorders>
              <w:top w:val="single" w:sz="4" w:space="0" w:color="365F91"/>
              <w:left w:val="nil"/>
              <w:bottom w:val="single" w:sz="6" w:space="0" w:color="365F91"/>
              <w:right w:val="nil"/>
            </w:tcBorders>
            <w:shd w:val="clear" w:color="auto" w:fill="FFFFFF"/>
            <w:hideMark/>
          </w:tcPr>
          <w:p w14:paraId="332AE3DB" w14:textId="77777777" w:rsidR="00524720" w:rsidRPr="00D9348B" w:rsidRDefault="00524720">
            <w:pPr>
              <w:pStyle w:val="TableText"/>
              <w:spacing w:before="50" w:after="50"/>
              <w:ind w:right="827"/>
              <w:rPr>
                <w:rFonts w:cs="Arial"/>
              </w:rPr>
            </w:pPr>
            <w:r w:rsidRPr="00D9348B">
              <w:rPr>
                <w:rFonts w:cs="Arial"/>
              </w:rPr>
              <w:t>±100</w:t>
            </w:r>
          </w:p>
        </w:tc>
      </w:tr>
    </w:tbl>
    <w:p w14:paraId="73E890C7" w14:textId="77777777" w:rsidR="00524720" w:rsidRPr="00D9348B" w:rsidRDefault="00524720" w:rsidP="00865BDB">
      <w:pPr>
        <w:pStyle w:val="Heading4"/>
      </w:pPr>
      <w:r w:rsidRPr="00D9348B">
        <w:t>Time-series consistency</w:t>
      </w:r>
    </w:p>
    <w:p w14:paraId="3C07271B" w14:textId="77777777" w:rsidR="00524720" w:rsidRPr="00D9348B" w:rsidRDefault="00524720" w:rsidP="003A034F">
      <w:pPr>
        <w:pStyle w:val="BodyText"/>
        <w:spacing w:before="100" w:after="100"/>
      </w:pPr>
      <w:r w:rsidRPr="00D9348B">
        <w:t>Time-series consistency is ensured by the use of consistent models and parameters across the period. Where changes to methodologies or emission factors have occurred, a full time-series recalculation is conducted.</w:t>
      </w:r>
    </w:p>
    <w:p w14:paraId="7973FBF7" w14:textId="77777777" w:rsidR="00524720" w:rsidRPr="00D9348B" w:rsidRDefault="00524720" w:rsidP="00524720">
      <w:pPr>
        <w:pStyle w:val="Heading3"/>
        <w:spacing w:before="240"/>
      </w:pPr>
      <w:bookmarkStart w:id="2812" w:name="_Toc32828347"/>
      <w:r w:rsidRPr="00D9348B">
        <w:t xml:space="preserve">7.4.4 </w:t>
      </w:r>
      <w:r w:rsidRPr="00D9348B">
        <w:tab/>
        <w:t>Source-specific QA/QC and verification</w:t>
      </w:r>
      <w:bookmarkEnd w:id="2812"/>
    </w:p>
    <w:p w14:paraId="719625AB" w14:textId="77777777" w:rsidR="00524720" w:rsidRPr="00D9348B" w:rsidRDefault="00524720" w:rsidP="003A034F">
      <w:pPr>
        <w:pStyle w:val="BodyText"/>
        <w:spacing w:before="100" w:after="100"/>
        <w:rPr>
          <w:spacing w:val="-2"/>
        </w:rPr>
      </w:pPr>
      <w:r w:rsidRPr="00D9348B">
        <w:rPr>
          <w:spacing w:val="-2"/>
        </w:rPr>
        <w:t xml:space="preserve">These emissions are small, and basic </w:t>
      </w:r>
      <w:r w:rsidRPr="00D9348B">
        <w:t>quality-assurance and quality-control</w:t>
      </w:r>
      <w:r w:rsidRPr="00D9348B">
        <w:rPr>
          <w:spacing w:val="-2"/>
        </w:rPr>
        <w:t xml:space="preserve"> checks are carried out where possible. Detailed </w:t>
      </w:r>
      <w:r w:rsidRPr="00D9348B">
        <w:t>quality-assurance and quality-control</w:t>
      </w:r>
      <w:r w:rsidRPr="00D9348B">
        <w:rPr>
          <w:spacing w:val="-2"/>
        </w:rPr>
        <w:t xml:space="preserve"> efforts for the Waste sector focus on the disposal to land and wastewater categories. </w:t>
      </w:r>
    </w:p>
    <w:p w14:paraId="2830038A" w14:textId="77777777" w:rsidR="00524720" w:rsidRPr="00D9348B" w:rsidRDefault="00524720" w:rsidP="00524720">
      <w:pPr>
        <w:pStyle w:val="Heading3"/>
        <w:spacing w:before="240"/>
      </w:pPr>
      <w:bookmarkStart w:id="2813" w:name="_Toc32828348"/>
      <w:r w:rsidRPr="00D9348B">
        <w:t xml:space="preserve">7.4.5 </w:t>
      </w:r>
      <w:r w:rsidRPr="00D9348B">
        <w:tab/>
        <w:t>Source-specific recalculations</w:t>
      </w:r>
      <w:bookmarkEnd w:id="2813"/>
    </w:p>
    <w:p w14:paraId="550486B2" w14:textId="77777777" w:rsidR="00524720" w:rsidRPr="00D9348B" w:rsidRDefault="00524720" w:rsidP="003A034F">
      <w:pPr>
        <w:pStyle w:val="BodyText"/>
        <w:spacing w:before="100" w:after="100"/>
      </w:pPr>
      <w:r w:rsidRPr="00D9348B">
        <w:t>No recalculations have been made for incineration (5.C.1). Open burning is reported for the first time in the 2019 submission.</w:t>
      </w:r>
    </w:p>
    <w:p w14:paraId="29B03208" w14:textId="77777777" w:rsidR="00524720" w:rsidRPr="00D9348B" w:rsidRDefault="00524720" w:rsidP="002D0986">
      <w:pPr>
        <w:pStyle w:val="Heading3"/>
        <w:spacing w:before="240"/>
      </w:pPr>
      <w:bookmarkStart w:id="2814" w:name="_Toc32828349"/>
      <w:r w:rsidRPr="00D9348B">
        <w:t xml:space="preserve">7.4.6 </w:t>
      </w:r>
      <w:r w:rsidRPr="00D9348B">
        <w:tab/>
        <w:t>Source-specific planned improvements</w:t>
      </w:r>
      <w:bookmarkEnd w:id="2814"/>
    </w:p>
    <w:p w14:paraId="677C2ECD" w14:textId="77777777" w:rsidR="00524720" w:rsidRPr="00D9348B" w:rsidRDefault="00524720" w:rsidP="003A034F">
      <w:pPr>
        <w:pStyle w:val="BodyText"/>
        <w:spacing w:before="100" w:after="100"/>
      </w:pPr>
      <w:r w:rsidRPr="00D9348B">
        <w:t>No specific improvements are planned for this category. Over time, surveys by local authorities on disposal of waste in the farm sector may provide a better understanding of open burning in the farm sector. Also see section 7.2.6.</w:t>
      </w:r>
    </w:p>
    <w:p w14:paraId="221C5CC5" w14:textId="77777777" w:rsidR="00524720" w:rsidRPr="00D9348B" w:rsidRDefault="00524720" w:rsidP="00524720">
      <w:pPr>
        <w:pStyle w:val="Heading2"/>
      </w:pPr>
      <w:bookmarkStart w:id="2815" w:name="_Toc32828350"/>
      <w:bookmarkStart w:id="2816" w:name="_Toc5269390"/>
      <w:bookmarkStart w:id="2817" w:name="_Toc511116628"/>
      <w:bookmarkStart w:id="2818" w:name="_Toc481751413"/>
      <w:bookmarkStart w:id="2819" w:name="_Toc448321551"/>
      <w:bookmarkStart w:id="2820" w:name="_Toc36224430"/>
      <w:r w:rsidRPr="00D9348B">
        <w:lastRenderedPageBreak/>
        <w:t xml:space="preserve">7.5 </w:t>
      </w:r>
      <w:r w:rsidRPr="00D9348B">
        <w:tab/>
        <w:t>Wastewater treatment and discharge (5.D)</w:t>
      </w:r>
      <w:bookmarkEnd w:id="2811"/>
      <w:bookmarkEnd w:id="2815"/>
      <w:bookmarkEnd w:id="2816"/>
      <w:bookmarkEnd w:id="2817"/>
      <w:bookmarkEnd w:id="2818"/>
      <w:bookmarkEnd w:id="2819"/>
      <w:bookmarkEnd w:id="2820"/>
    </w:p>
    <w:p w14:paraId="351FB36E" w14:textId="77777777" w:rsidR="00524720" w:rsidRPr="00D9348B" w:rsidRDefault="00524720" w:rsidP="00524720">
      <w:pPr>
        <w:pStyle w:val="Heading3"/>
        <w:spacing w:before="120"/>
      </w:pPr>
      <w:bookmarkStart w:id="2821" w:name="_Toc32828351"/>
      <w:r w:rsidRPr="00D9348B">
        <w:t>7.5.1</w:t>
      </w:r>
      <w:r w:rsidRPr="00D9348B">
        <w:tab/>
        <w:t>Description</w:t>
      </w:r>
      <w:bookmarkEnd w:id="2821"/>
    </w:p>
    <w:p w14:paraId="1C334FD7" w14:textId="77777777" w:rsidR="00524720" w:rsidRPr="00D9348B" w:rsidRDefault="00524720" w:rsidP="00524720">
      <w:pPr>
        <w:pStyle w:val="BodyText"/>
      </w:pPr>
      <w:r w:rsidRPr="00D9348B">
        <w:t xml:space="preserve">In 2018, </w:t>
      </w:r>
      <w:r w:rsidRPr="00D9348B">
        <w:rPr>
          <w:i/>
        </w:rPr>
        <w:t>Wastewater treatment and discharge</w:t>
      </w:r>
      <w:r w:rsidRPr="00D9348B">
        <w:t xml:space="preserve"> contributed 362.1 kt CO</w:t>
      </w:r>
      <w:r w:rsidRPr="00D9348B">
        <w:rPr>
          <w:vertAlign w:val="subscript"/>
        </w:rPr>
        <w:t>2</w:t>
      </w:r>
      <w:r w:rsidRPr="00D9348B">
        <w:t>-e (8.9 per cent) of emissions from the Waste sector. This was an increase of 54.8 kt CO</w:t>
      </w:r>
      <w:r w:rsidRPr="00D9348B">
        <w:rPr>
          <w:vertAlign w:val="subscript"/>
        </w:rPr>
        <w:t>2</w:t>
      </w:r>
      <w:r w:rsidRPr="00D9348B">
        <w:t>-e (17.8 per cent) from the 1990 level of 307.2 kt CO</w:t>
      </w:r>
      <w:r w:rsidRPr="00D9348B">
        <w:rPr>
          <w:vertAlign w:val="subscript"/>
        </w:rPr>
        <w:t>2</w:t>
      </w:r>
      <w:r w:rsidRPr="00D9348B">
        <w:t>-e and is due to increases in the volume of industrial and domestic wastewater handled over this period.</w:t>
      </w:r>
    </w:p>
    <w:p w14:paraId="778AAC84" w14:textId="77777777" w:rsidR="00524720" w:rsidRPr="00D9348B" w:rsidRDefault="00524720" w:rsidP="00524720">
      <w:pPr>
        <w:pStyle w:val="BodyText"/>
      </w:pPr>
      <w:r w:rsidRPr="00D9348B">
        <w:t>Small amounts of industrial wastewater are applied as organic amendments to agricultural soils, as well as an extremely small amount of sewage sludge (van der Weerden et al., 2014). Any emissions from this practice are likely to be insignificant and are reported as ‘not estimated’ in the Agriculture sector (see chapter 5, section 5.5.2). Table 7.5.1 presents emissions from wastewater treatment and discharge.</w:t>
      </w:r>
    </w:p>
    <w:p w14:paraId="1E0933C0" w14:textId="77777777" w:rsidR="00524720" w:rsidRPr="00D9348B" w:rsidRDefault="00524720" w:rsidP="00524720">
      <w:pPr>
        <w:pStyle w:val="BodyText"/>
        <w:rPr>
          <w:spacing w:val="-2"/>
        </w:rPr>
      </w:pPr>
      <w:r w:rsidRPr="00D9348B">
        <w:rPr>
          <w:spacing w:val="-2"/>
        </w:rPr>
        <w:t xml:space="preserve">Sludge amounts are reported as IE (included elsewhere) for domestic and industrial wastewater because most of the sludge is sent to landfills, and activity data and emissions from its disposal are reported in the </w:t>
      </w:r>
      <w:r w:rsidRPr="00D9348B">
        <w:rPr>
          <w:i/>
          <w:spacing w:val="-2"/>
        </w:rPr>
        <w:t>Solid waste</w:t>
      </w:r>
      <w:r w:rsidRPr="00D9348B">
        <w:rPr>
          <w:spacing w:val="-2"/>
        </w:rPr>
        <w:t xml:space="preserve"> </w:t>
      </w:r>
      <w:r w:rsidRPr="00D9348B">
        <w:rPr>
          <w:i/>
          <w:spacing w:val="-2"/>
        </w:rPr>
        <w:t>disposal</w:t>
      </w:r>
      <w:r w:rsidRPr="00D9348B">
        <w:rPr>
          <w:spacing w:val="-2"/>
        </w:rPr>
        <w:t xml:space="preserve"> source category (Tonkin and Taylor Ltd, </w:t>
      </w:r>
      <w:proofErr w:type="gramStart"/>
      <w:r w:rsidRPr="00D9348B">
        <w:rPr>
          <w:spacing w:val="-2"/>
        </w:rPr>
        <w:t>unpublished(</w:t>
      </w:r>
      <w:proofErr w:type="gramEnd"/>
      <w:r w:rsidRPr="00D9348B">
        <w:rPr>
          <w:spacing w:val="-2"/>
        </w:rPr>
        <w:t>a)).</w:t>
      </w:r>
    </w:p>
    <w:p w14:paraId="62130086" w14:textId="77777777" w:rsidR="00524720" w:rsidRPr="00D9348B" w:rsidRDefault="00524720" w:rsidP="00524720">
      <w:pPr>
        <w:pStyle w:val="Table"/>
        <w:rPr>
          <w:rFonts w:cs="Arial"/>
        </w:rPr>
      </w:pPr>
      <w:bookmarkStart w:id="2822" w:name="_Toc32828536"/>
      <w:bookmarkStart w:id="2823" w:name="_Toc32591366"/>
      <w:bookmarkStart w:id="2824" w:name="_Toc5269578"/>
      <w:bookmarkStart w:id="2825" w:name="_Toc36224659"/>
      <w:r w:rsidRPr="00D9348B">
        <w:rPr>
          <w:rFonts w:cs="Arial"/>
        </w:rPr>
        <w:t xml:space="preserve">Table 7.5.1 </w:t>
      </w:r>
      <w:r w:rsidRPr="00D9348B">
        <w:rPr>
          <w:rFonts w:cs="Arial"/>
        </w:rPr>
        <w:tab/>
        <w:t>Emissions from Wastewater treatment and discharge (5.D)</w:t>
      </w:r>
      <w:bookmarkEnd w:id="2822"/>
      <w:bookmarkEnd w:id="2823"/>
      <w:bookmarkEnd w:id="2824"/>
      <w:bookmarkEnd w:id="2825"/>
    </w:p>
    <w:tbl>
      <w:tblPr>
        <w:tblW w:w="8565" w:type="dxa"/>
        <w:tblInd w:w="108" w:type="dxa"/>
        <w:tblLayout w:type="fixed"/>
        <w:tblLook w:val="04A0" w:firstRow="1" w:lastRow="0" w:firstColumn="1" w:lastColumn="0" w:noHBand="0" w:noVBand="1"/>
      </w:tblPr>
      <w:tblGrid>
        <w:gridCol w:w="2649"/>
        <w:gridCol w:w="1245"/>
        <w:gridCol w:w="1211"/>
        <w:gridCol w:w="1905"/>
        <w:gridCol w:w="1555"/>
      </w:tblGrid>
      <w:tr w:rsidR="00524720" w:rsidRPr="00D9348B" w14:paraId="2022CE54" w14:textId="77777777" w:rsidTr="00174C29">
        <w:tc>
          <w:tcPr>
            <w:tcW w:w="1546" w:type="pct"/>
            <w:tcBorders>
              <w:top w:val="single" w:sz="4" w:space="0" w:color="365F91"/>
              <w:left w:val="nil"/>
              <w:bottom w:val="single" w:sz="4" w:space="0" w:color="365F91"/>
              <w:right w:val="nil"/>
            </w:tcBorders>
            <w:shd w:val="clear" w:color="auto" w:fill="365F91"/>
            <w:vAlign w:val="bottom"/>
          </w:tcPr>
          <w:p w14:paraId="0E08023A" w14:textId="77777777" w:rsidR="00524720" w:rsidRPr="00D9348B" w:rsidRDefault="00524720">
            <w:pPr>
              <w:rPr>
                <w:color w:val="FFFFFF"/>
              </w:rPr>
            </w:pPr>
          </w:p>
        </w:tc>
        <w:tc>
          <w:tcPr>
            <w:tcW w:w="1434" w:type="pct"/>
            <w:gridSpan w:val="2"/>
            <w:tcBorders>
              <w:top w:val="single" w:sz="4" w:space="0" w:color="365F91"/>
              <w:left w:val="nil"/>
              <w:bottom w:val="single" w:sz="4" w:space="0" w:color="365F91"/>
              <w:right w:val="nil"/>
            </w:tcBorders>
            <w:shd w:val="clear" w:color="auto" w:fill="365F91"/>
            <w:vAlign w:val="bottom"/>
            <w:hideMark/>
          </w:tcPr>
          <w:p w14:paraId="644A33F9" w14:textId="77777777" w:rsidR="00524720" w:rsidRPr="00D9348B" w:rsidRDefault="00524720">
            <w:pPr>
              <w:pStyle w:val="TableTextBold"/>
              <w:jc w:val="center"/>
              <w:rPr>
                <w:noProof w:val="0"/>
                <w:color w:val="FFFFFF"/>
              </w:rPr>
            </w:pPr>
            <w:r w:rsidRPr="00D9348B">
              <w:rPr>
                <w:noProof w:val="0"/>
                <w:color w:val="FFFFFF"/>
              </w:rPr>
              <w:t>Emissions (kt CO</w:t>
            </w:r>
            <w:r w:rsidRPr="00D9348B">
              <w:rPr>
                <w:noProof w:val="0"/>
                <w:color w:val="FFFFFF"/>
                <w:vertAlign w:val="subscript"/>
              </w:rPr>
              <w:t>2</w:t>
            </w:r>
            <w:r w:rsidRPr="00D9348B">
              <w:rPr>
                <w:noProof w:val="0"/>
                <w:color w:val="FFFFFF"/>
              </w:rPr>
              <w:t>-e)</w:t>
            </w:r>
          </w:p>
        </w:tc>
        <w:tc>
          <w:tcPr>
            <w:tcW w:w="1112" w:type="pct"/>
            <w:tcBorders>
              <w:top w:val="single" w:sz="4" w:space="0" w:color="365F91"/>
              <w:left w:val="nil"/>
              <w:bottom w:val="single" w:sz="4" w:space="0" w:color="365F91"/>
              <w:right w:val="nil"/>
            </w:tcBorders>
            <w:shd w:val="clear" w:color="auto" w:fill="365F91"/>
            <w:vAlign w:val="bottom"/>
            <w:hideMark/>
          </w:tcPr>
          <w:p w14:paraId="0DB8CD8C" w14:textId="77777777" w:rsidR="00524720" w:rsidRPr="00D9348B" w:rsidRDefault="00524720">
            <w:pPr>
              <w:pStyle w:val="TableTextBold"/>
              <w:jc w:val="right"/>
              <w:rPr>
                <w:noProof w:val="0"/>
                <w:color w:val="FFFFFF"/>
              </w:rPr>
            </w:pPr>
            <w:r w:rsidRPr="00D9348B">
              <w:rPr>
                <w:noProof w:val="0"/>
                <w:color w:val="FFFFFF"/>
              </w:rPr>
              <w:t>Difference (kt CO</w:t>
            </w:r>
            <w:r w:rsidRPr="00D9348B">
              <w:rPr>
                <w:noProof w:val="0"/>
                <w:color w:val="FFFFFF"/>
                <w:vertAlign w:val="subscript"/>
              </w:rPr>
              <w:t>2</w:t>
            </w:r>
            <w:r w:rsidRPr="00D9348B">
              <w:rPr>
                <w:noProof w:val="0"/>
                <w:color w:val="FFFFFF"/>
              </w:rPr>
              <w:t>-e)</w:t>
            </w:r>
          </w:p>
        </w:tc>
        <w:tc>
          <w:tcPr>
            <w:tcW w:w="908" w:type="pct"/>
            <w:tcBorders>
              <w:top w:val="single" w:sz="4" w:space="0" w:color="365F91"/>
              <w:left w:val="nil"/>
              <w:bottom w:val="single" w:sz="4" w:space="0" w:color="365F91"/>
              <w:right w:val="nil"/>
            </w:tcBorders>
            <w:shd w:val="clear" w:color="auto" w:fill="365F91"/>
            <w:vAlign w:val="bottom"/>
            <w:hideMark/>
          </w:tcPr>
          <w:p w14:paraId="05B23187" w14:textId="77777777" w:rsidR="00524720" w:rsidRPr="00D9348B" w:rsidRDefault="00524720">
            <w:pPr>
              <w:pStyle w:val="TableTextBold"/>
              <w:jc w:val="right"/>
              <w:rPr>
                <w:noProof w:val="0"/>
                <w:color w:val="FFFFFF"/>
              </w:rPr>
            </w:pPr>
            <w:r w:rsidRPr="00D9348B">
              <w:rPr>
                <w:noProof w:val="0"/>
                <w:color w:val="FFFFFF"/>
              </w:rPr>
              <w:t>Change (%)</w:t>
            </w:r>
          </w:p>
        </w:tc>
      </w:tr>
      <w:tr w:rsidR="00524720" w:rsidRPr="00D9348B" w14:paraId="1D04CF02" w14:textId="77777777" w:rsidTr="00174C29">
        <w:tc>
          <w:tcPr>
            <w:tcW w:w="1546" w:type="pct"/>
            <w:tcBorders>
              <w:top w:val="single" w:sz="4" w:space="0" w:color="365F91"/>
              <w:left w:val="nil"/>
              <w:bottom w:val="single" w:sz="4" w:space="0" w:color="365F91"/>
              <w:right w:val="nil"/>
            </w:tcBorders>
            <w:shd w:val="clear" w:color="auto" w:fill="FFFFFF"/>
            <w:hideMark/>
          </w:tcPr>
          <w:p w14:paraId="72522E86" w14:textId="77777777" w:rsidR="00524720" w:rsidRPr="00D9348B" w:rsidRDefault="00524720">
            <w:pPr>
              <w:pStyle w:val="Tableboldblue"/>
            </w:pPr>
            <w:r w:rsidRPr="00D9348B">
              <w:t>Source category</w:t>
            </w:r>
          </w:p>
        </w:tc>
        <w:tc>
          <w:tcPr>
            <w:tcW w:w="727" w:type="pct"/>
            <w:tcBorders>
              <w:top w:val="single" w:sz="4" w:space="0" w:color="365F91"/>
              <w:left w:val="nil"/>
              <w:bottom w:val="single" w:sz="4" w:space="0" w:color="365F91"/>
              <w:right w:val="nil"/>
            </w:tcBorders>
            <w:shd w:val="clear" w:color="auto" w:fill="FFFFFF"/>
            <w:hideMark/>
          </w:tcPr>
          <w:p w14:paraId="55CFCBDB" w14:textId="77777777" w:rsidR="00524720" w:rsidRPr="00D9348B" w:rsidRDefault="00524720">
            <w:pPr>
              <w:pStyle w:val="Tableboldblue"/>
              <w:jc w:val="right"/>
            </w:pPr>
            <w:r w:rsidRPr="00D9348B">
              <w:t>1990</w:t>
            </w:r>
          </w:p>
        </w:tc>
        <w:tc>
          <w:tcPr>
            <w:tcW w:w="707" w:type="pct"/>
            <w:tcBorders>
              <w:top w:val="single" w:sz="4" w:space="0" w:color="365F91"/>
              <w:left w:val="nil"/>
              <w:bottom w:val="single" w:sz="4" w:space="0" w:color="365F91"/>
              <w:right w:val="nil"/>
            </w:tcBorders>
            <w:shd w:val="clear" w:color="auto" w:fill="FFFFFF"/>
            <w:hideMark/>
          </w:tcPr>
          <w:p w14:paraId="1FCC7018" w14:textId="77777777" w:rsidR="00524720" w:rsidRPr="00D9348B" w:rsidRDefault="00524720">
            <w:pPr>
              <w:pStyle w:val="Tableboldblue"/>
              <w:jc w:val="right"/>
            </w:pPr>
            <w:r w:rsidRPr="00D9348B">
              <w:t>2018</w:t>
            </w:r>
          </w:p>
        </w:tc>
        <w:tc>
          <w:tcPr>
            <w:tcW w:w="1112" w:type="pct"/>
            <w:tcBorders>
              <w:top w:val="single" w:sz="4" w:space="0" w:color="365F91"/>
              <w:left w:val="nil"/>
              <w:bottom w:val="single" w:sz="4" w:space="0" w:color="365F91"/>
              <w:right w:val="nil"/>
            </w:tcBorders>
            <w:shd w:val="clear" w:color="auto" w:fill="FFFFFF"/>
            <w:hideMark/>
          </w:tcPr>
          <w:p w14:paraId="00F512E7" w14:textId="77777777" w:rsidR="00524720" w:rsidRPr="00D9348B" w:rsidRDefault="00524720">
            <w:pPr>
              <w:pStyle w:val="Tableboldblue"/>
              <w:jc w:val="right"/>
            </w:pPr>
            <w:r w:rsidRPr="00D9348B">
              <w:t>1990–2018</w:t>
            </w:r>
          </w:p>
        </w:tc>
        <w:tc>
          <w:tcPr>
            <w:tcW w:w="908" w:type="pct"/>
            <w:tcBorders>
              <w:top w:val="single" w:sz="4" w:space="0" w:color="365F91"/>
              <w:left w:val="nil"/>
              <w:bottom w:val="single" w:sz="4" w:space="0" w:color="365F91"/>
              <w:right w:val="nil"/>
            </w:tcBorders>
            <w:shd w:val="clear" w:color="auto" w:fill="FFFFFF"/>
            <w:hideMark/>
          </w:tcPr>
          <w:p w14:paraId="54E2D4A6" w14:textId="77777777" w:rsidR="00524720" w:rsidRPr="00D9348B" w:rsidRDefault="00524720">
            <w:pPr>
              <w:pStyle w:val="Tableboldblue"/>
              <w:jc w:val="right"/>
            </w:pPr>
            <w:r w:rsidRPr="00D9348B">
              <w:t>1990–2018</w:t>
            </w:r>
          </w:p>
        </w:tc>
      </w:tr>
      <w:tr w:rsidR="00524720" w:rsidRPr="00D9348B" w14:paraId="135B894D" w14:textId="77777777" w:rsidTr="00174C29">
        <w:tc>
          <w:tcPr>
            <w:tcW w:w="1546" w:type="pct"/>
            <w:tcBorders>
              <w:top w:val="single" w:sz="4" w:space="0" w:color="365F91"/>
              <w:left w:val="nil"/>
              <w:bottom w:val="single" w:sz="4" w:space="0" w:color="365F91"/>
              <w:right w:val="nil"/>
            </w:tcBorders>
            <w:hideMark/>
          </w:tcPr>
          <w:p w14:paraId="5C86317A" w14:textId="77777777" w:rsidR="00524720" w:rsidRPr="00D9348B" w:rsidRDefault="00524720">
            <w:pPr>
              <w:pStyle w:val="TableText"/>
            </w:pPr>
            <w:r w:rsidRPr="00D9348B">
              <w:t>Domestic wastewater (5.D.1)</w:t>
            </w:r>
          </w:p>
        </w:tc>
        <w:tc>
          <w:tcPr>
            <w:tcW w:w="727" w:type="pct"/>
            <w:tcBorders>
              <w:top w:val="single" w:sz="4" w:space="0" w:color="365F91"/>
              <w:left w:val="nil"/>
              <w:bottom w:val="single" w:sz="4" w:space="0" w:color="365F91"/>
              <w:right w:val="nil"/>
            </w:tcBorders>
            <w:hideMark/>
          </w:tcPr>
          <w:p w14:paraId="2325068A" w14:textId="77777777" w:rsidR="00524720" w:rsidRPr="00D9348B" w:rsidRDefault="00524720">
            <w:pPr>
              <w:pStyle w:val="TableText"/>
              <w:tabs>
                <w:tab w:val="decimal" w:pos="598"/>
              </w:tabs>
              <w:jc w:val="right"/>
              <w:rPr>
                <w:rFonts w:cs="Arial"/>
              </w:rPr>
            </w:pPr>
            <w:r w:rsidRPr="00D9348B">
              <w:t>215.4</w:t>
            </w:r>
          </w:p>
        </w:tc>
        <w:tc>
          <w:tcPr>
            <w:tcW w:w="707" w:type="pct"/>
            <w:tcBorders>
              <w:top w:val="single" w:sz="4" w:space="0" w:color="365F91"/>
              <w:left w:val="nil"/>
              <w:bottom w:val="single" w:sz="4" w:space="0" w:color="365F91"/>
              <w:right w:val="nil"/>
            </w:tcBorders>
            <w:hideMark/>
          </w:tcPr>
          <w:p w14:paraId="5E78A137" w14:textId="77777777" w:rsidR="00524720" w:rsidRPr="00D9348B" w:rsidRDefault="00524720">
            <w:pPr>
              <w:pStyle w:val="TableText"/>
              <w:tabs>
                <w:tab w:val="decimal" w:pos="598"/>
              </w:tabs>
              <w:jc w:val="right"/>
            </w:pPr>
            <w:r w:rsidRPr="00D9348B">
              <w:t>259.4</w:t>
            </w:r>
          </w:p>
        </w:tc>
        <w:tc>
          <w:tcPr>
            <w:tcW w:w="1112" w:type="pct"/>
            <w:tcBorders>
              <w:top w:val="single" w:sz="4" w:space="0" w:color="365F91"/>
              <w:left w:val="nil"/>
              <w:bottom w:val="single" w:sz="4" w:space="0" w:color="365F91"/>
              <w:right w:val="nil"/>
            </w:tcBorders>
            <w:hideMark/>
          </w:tcPr>
          <w:p w14:paraId="54CDA6F4" w14:textId="77777777" w:rsidR="00524720" w:rsidRPr="00D9348B" w:rsidRDefault="00524720">
            <w:pPr>
              <w:pStyle w:val="TableText"/>
              <w:tabs>
                <w:tab w:val="decimal" w:pos="598"/>
              </w:tabs>
              <w:jc w:val="right"/>
            </w:pPr>
            <w:r w:rsidRPr="00D9348B">
              <w:t>44.1</w:t>
            </w:r>
          </w:p>
        </w:tc>
        <w:tc>
          <w:tcPr>
            <w:tcW w:w="908" w:type="pct"/>
            <w:tcBorders>
              <w:top w:val="single" w:sz="4" w:space="0" w:color="365F91"/>
              <w:left w:val="nil"/>
              <w:bottom w:val="single" w:sz="4" w:space="0" w:color="365F91"/>
              <w:right w:val="nil"/>
            </w:tcBorders>
            <w:hideMark/>
          </w:tcPr>
          <w:p w14:paraId="708AAEA9" w14:textId="77777777" w:rsidR="00524720" w:rsidRPr="00D9348B" w:rsidRDefault="00524720">
            <w:pPr>
              <w:pStyle w:val="TableText"/>
              <w:tabs>
                <w:tab w:val="decimal" w:pos="598"/>
              </w:tabs>
              <w:jc w:val="right"/>
            </w:pPr>
            <w:r w:rsidRPr="00D9348B">
              <w:t>20.5</w:t>
            </w:r>
          </w:p>
        </w:tc>
      </w:tr>
      <w:tr w:rsidR="00524720" w:rsidRPr="00D9348B" w14:paraId="34200A7B" w14:textId="77777777" w:rsidTr="00174C29">
        <w:tc>
          <w:tcPr>
            <w:tcW w:w="1546" w:type="pct"/>
            <w:tcBorders>
              <w:top w:val="single" w:sz="4" w:space="0" w:color="365F91"/>
              <w:left w:val="nil"/>
              <w:bottom w:val="single" w:sz="4" w:space="0" w:color="365F91"/>
              <w:right w:val="nil"/>
            </w:tcBorders>
            <w:hideMark/>
          </w:tcPr>
          <w:p w14:paraId="39AF04D9" w14:textId="77777777" w:rsidR="00524720" w:rsidRPr="00D9348B" w:rsidRDefault="00524720">
            <w:pPr>
              <w:pStyle w:val="TableText"/>
            </w:pPr>
            <w:r w:rsidRPr="00D9348B">
              <w:t>Industrial wastewater (5.D.2)</w:t>
            </w:r>
          </w:p>
        </w:tc>
        <w:tc>
          <w:tcPr>
            <w:tcW w:w="727" w:type="pct"/>
            <w:tcBorders>
              <w:top w:val="single" w:sz="4" w:space="0" w:color="365F91"/>
              <w:left w:val="nil"/>
              <w:bottom w:val="single" w:sz="4" w:space="0" w:color="365F91"/>
              <w:right w:val="nil"/>
            </w:tcBorders>
            <w:hideMark/>
          </w:tcPr>
          <w:p w14:paraId="0A59C350" w14:textId="77777777" w:rsidR="00524720" w:rsidRPr="00D9348B" w:rsidRDefault="00524720">
            <w:pPr>
              <w:pStyle w:val="TableText"/>
              <w:tabs>
                <w:tab w:val="decimal" w:pos="598"/>
              </w:tabs>
              <w:jc w:val="right"/>
            </w:pPr>
            <w:r w:rsidRPr="00D9348B">
              <w:t>91.9</w:t>
            </w:r>
          </w:p>
        </w:tc>
        <w:tc>
          <w:tcPr>
            <w:tcW w:w="707" w:type="pct"/>
            <w:tcBorders>
              <w:top w:val="single" w:sz="4" w:space="0" w:color="365F91"/>
              <w:left w:val="nil"/>
              <w:bottom w:val="single" w:sz="4" w:space="0" w:color="365F91"/>
              <w:right w:val="nil"/>
            </w:tcBorders>
            <w:hideMark/>
          </w:tcPr>
          <w:p w14:paraId="30A69CAB" w14:textId="77777777" w:rsidR="00524720" w:rsidRPr="00D9348B" w:rsidRDefault="00524720">
            <w:pPr>
              <w:pStyle w:val="TableText"/>
              <w:tabs>
                <w:tab w:val="decimal" w:pos="598"/>
              </w:tabs>
              <w:jc w:val="right"/>
            </w:pPr>
            <w:r w:rsidRPr="00D9348B">
              <w:t>102.6</w:t>
            </w:r>
          </w:p>
        </w:tc>
        <w:tc>
          <w:tcPr>
            <w:tcW w:w="1112" w:type="pct"/>
            <w:tcBorders>
              <w:top w:val="single" w:sz="4" w:space="0" w:color="365F91"/>
              <w:left w:val="nil"/>
              <w:bottom w:val="single" w:sz="4" w:space="0" w:color="365F91"/>
              <w:right w:val="nil"/>
            </w:tcBorders>
            <w:hideMark/>
          </w:tcPr>
          <w:p w14:paraId="02D52657" w14:textId="77777777" w:rsidR="00524720" w:rsidRPr="00D9348B" w:rsidRDefault="00524720">
            <w:pPr>
              <w:pStyle w:val="TableText"/>
              <w:tabs>
                <w:tab w:val="decimal" w:pos="598"/>
              </w:tabs>
              <w:jc w:val="right"/>
            </w:pPr>
            <w:r w:rsidRPr="00D9348B">
              <w:t>10.8</w:t>
            </w:r>
          </w:p>
        </w:tc>
        <w:tc>
          <w:tcPr>
            <w:tcW w:w="908" w:type="pct"/>
            <w:tcBorders>
              <w:top w:val="single" w:sz="4" w:space="0" w:color="365F91"/>
              <w:left w:val="nil"/>
              <w:bottom w:val="single" w:sz="4" w:space="0" w:color="365F91"/>
              <w:right w:val="nil"/>
            </w:tcBorders>
            <w:hideMark/>
          </w:tcPr>
          <w:p w14:paraId="462C7F64" w14:textId="77777777" w:rsidR="00524720" w:rsidRPr="00D9348B" w:rsidRDefault="00524720">
            <w:pPr>
              <w:pStyle w:val="TableText"/>
              <w:tabs>
                <w:tab w:val="decimal" w:pos="598"/>
              </w:tabs>
              <w:jc w:val="right"/>
            </w:pPr>
            <w:r w:rsidRPr="00D9348B">
              <w:t>11.7</w:t>
            </w:r>
          </w:p>
        </w:tc>
      </w:tr>
      <w:tr w:rsidR="00524720" w:rsidRPr="00D9348B" w14:paraId="571ACD45" w14:textId="77777777" w:rsidTr="00174C29">
        <w:tc>
          <w:tcPr>
            <w:tcW w:w="1546" w:type="pct"/>
            <w:tcBorders>
              <w:top w:val="single" w:sz="4" w:space="0" w:color="365F91"/>
              <w:left w:val="nil"/>
              <w:bottom w:val="single" w:sz="4" w:space="0" w:color="365F91"/>
              <w:right w:val="nil"/>
            </w:tcBorders>
            <w:shd w:val="clear" w:color="auto" w:fill="FFFFFF"/>
            <w:hideMark/>
          </w:tcPr>
          <w:p w14:paraId="4C3ED16C" w14:textId="77777777" w:rsidR="00524720" w:rsidRPr="00D9348B" w:rsidRDefault="00524720">
            <w:pPr>
              <w:pStyle w:val="Tableboldblue"/>
            </w:pPr>
            <w:r w:rsidRPr="00D9348B">
              <w:t>Total (5.D)</w:t>
            </w:r>
          </w:p>
        </w:tc>
        <w:tc>
          <w:tcPr>
            <w:tcW w:w="727" w:type="pct"/>
            <w:tcBorders>
              <w:top w:val="single" w:sz="4" w:space="0" w:color="365F91"/>
              <w:left w:val="nil"/>
              <w:bottom w:val="single" w:sz="4" w:space="0" w:color="365F91"/>
              <w:right w:val="nil"/>
            </w:tcBorders>
            <w:shd w:val="clear" w:color="auto" w:fill="FFFFFF"/>
            <w:hideMark/>
          </w:tcPr>
          <w:p w14:paraId="20F4F3AE" w14:textId="77777777" w:rsidR="00524720" w:rsidRPr="00D9348B" w:rsidRDefault="00524720">
            <w:pPr>
              <w:pStyle w:val="Tableboldblue"/>
              <w:jc w:val="right"/>
            </w:pPr>
            <w:r w:rsidRPr="00D9348B">
              <w:t>307.2</w:t>
            </w:r>
          </w:p>
        </w:tc>
        <w:tc>
          <w:tcPr>
            <w:tcW w:w="707" w:type="pct"/>
            <w:tcBorders>
              <w:top w:val="single" w:sz="4" w:space="0" w:color="365F91"/>
              <w:left w:val="nil"/>
              <w:bottom w:val="single" w:sz="4" w:space="0" w:color="365F91"/>
              <w:right w:val="nil"/>
            </w:tcBorders>
            <w:shd w:val="clear" w:color="auto" w:fill="FFFFFF"/>
            <w:hideMark/>
          </w:tcPr>
          <w:p w14:paraId="70350CB6" w14:textId="77777777" w:rsidR="00524720" w:rsidRPr="00D9348B" w:rsidRDefault="00524720">
            <w:pPr>
              <w:pStyle w:val="Tableboldblue"/>
              <w:jc w:val="right"/>
            </w:pPr>
            <w:r w:rsidRPr="00D9348B">
              <w:t>362.1</w:t>
            </w:r>
          </w:p>
        </w:tc>
        <w:tc>
          <w:tcPr>
            <w:tcW w:w="1112" w:type="pct"/>
            <w:tcBorders>
              <w:top w:val="single" w:sz="4" w:space="0" w:color="365F91"/>
              <w:left w:val="nil"/>
              <w:bottom w:val="single" w:sz="4" w:space="0" w:color="365F91"/>
              <w:right w:val="nil"/>
            </w:tcBorders>
            <w:shd w:val="clear" w:color="auto" w:fill="FFFFFF"/>
            <w:hideMark/>
          </w:tcPr>
          <w:p w14:paraId="3E358C4B" w14:textId="77777777" w:rsidR="00524720" w:rsidRPr="00D9348B" w:rsidRDefault="00524720">
            <w:pPr>
              <w:pStyle w:val="Tableboldblue"/>
              <w:jc w:val="right"/>
            </w:pPr>
            <w:r w:rsidRPr="00D9348B">
              <w:t>54.8</w:t>
            </w:r>
          </w:p>
        </w:tc>
        <w:tc>
          <w:tcPr>
            <w:tcW w:w="908" w:type="pct"/>
            <w:tcBorders>
              <w:top w:val="single" w:sz="4" w:space="0" w:color="365F91"/>
              <w:left w:val="nil"/>
              <w:bottom w:val="single" w:sz="4" w:space="0" w:color="365F91"/>
              <w:right w:val="nil"/>
            </w:tcBorders>
            <w:shd w:val="clear" w:color="auto" w:fill="FFFFFF"/>
            <w:hideMark/>
          </w:tcPr>
          <w:p w14:paraId="2753DB8F" w14:textId="77777777" w:rsidR="00524720" w:rsidRPr="00D9348B" w:rsidRDefault="00524720">
            <w:pPr>
              <w:pStyle w:val="Tableboldblue"/>
              <w:jc w:val="right"/>
            </w:pPr>
            <w:r w:rsidRPr="00D9348B">
              <w:t>17.8</w:t>
            </w:r>
          </w:p>
        </w:tc>
      </w:tr>
    </w:tbl>
    <w:p w14:paraId="3A41C57B" w14:textId="77777777" w:rsidR="00524720" w:rsidRPr="00D9348B" w:rsidRDefault="00524720" w:rsidP="00524720">
      <w:pPr>
        <w:pStyle w:val="Noteundertable"/>
      </w:pPr>
      <w:r w:rsidRPr="00D9348B">
        <w:rPr>
          <w:b/>
        </w:rPr>
        <w:t>Note:</w:t>
      </w:r>
      <w:r w:rsidRPr="00D9348B">
        <w:tab/>
        <w:t>Percentages presented are calculated from unrounded values.</w:t>
      </w:r>
    </w:p>
    <w:p w14:paraId="0841CB5D" w14:textId="77777777" w:rsidR="00524720" w:rsidRPr="00D9348B" w:rsidRDefault="00524720" w:rsidP="00524720">
      <w:pPr>
        <w:pStyle w:val="BodyText"/>
      </w:pPr>
      <w:r w:rsidRPr="00D9348B">
        <w:t xml:space="preserve">Methane emissions from the </w:t>
      </w:r>
      <w:r w:rsidRPr="00D9348B">
        <w:rPr>
          <w:i/>
        </w:rPr>
        <w:t>Wastewater treatment and discharge</w:t>
      </w:r>
      <w:r w:rsidRPr="00D9348B">
        <w:t xml:space="preserve"> source category were identified as a key category in the 2018 level assessment.</w:t>
      </w:r>
    </w:p>
    <w:p w14:paraId="5F2373CB" w14:textId="77777777" w:rsidR="00524720" w:rsidRPr="00D9348B" w:rsidRDefault="00524720" w:rsidP="00865BDB">
      <w:pPr>
        <w:pStyle w:val="Heading4"/>
      </w:pPr>
      <w:r w:rsidRPr="00D9348B">
        <w:t>Domestic wastewater (5.D.1)</w:t>
      </w:r>
    </w:p>
    <w:p w14:paraId="6E1E17BF" w14:textId="77777777" w:rsidR="00524720" w:rsidRPr="00D9348B" w:rsidRDefault="00524720" w:rsidP="00524720">
      <w:pPr>
        <w:pStyle w:val="BodyText"/>
      </w:pPr>
      <w:r w:rsidRPr="00D9348B">
        <w:t>Wastewater from almost every town in New Zealand with a population over 1,000 is collected and treated in community wastewater treatment plants. There are approximately 317 municipal wastewater treatment plants in New Zealand and around a further 50 government or privately owned treatment plants serving populations of more than 100 people (SCS Wetherill Environmental, unpublished).</w:t>
      </w:r>
    </w:p>
    <w:p w14:paraId="1381F4E6" w14:textId="77777777" w:rsidR="00524720" w:rsidRPr="00D9348B" w:rsidRDefault="00524720" w:rsidP="00524720">
      <w:pPr>
        <w:pStyle w:val="BodyText"/>
      </w:pPr>
      <w:r w:rsidRPr="00D9348B">
        <w:t>Although most of the wastewater treatment processes are aerobic, a significant number of wastewater treatment plants use partially anaerobic processes, such as oxidation ponds or septic tanks. Small communities and individual rural dwellings are served mainly by simple septic tanks. While the part of the population using septic tanks is small, compared with the national population, this treatment type produces the most CH</w:t>
      </w:r>
      <w:r w:rsidRPr="00D9348B">
        <w:rPr>
          <w:vertAlign w:val="subscript"/>
        </w:rPr>
        <w:t>4</w:t>
      </w:r>
      <w:r w:rsidRPr="00D9348B">
        <w:t xml:space="preserve"> emissions from domestic wastewater, because emissions from other treatment types are small or the CH</w:t>
      </w:r>
      <w:r w:rsidRPr="00D9348B">
        <w:rPr>
          <w:vertAlign w:val="subscript"/>
        </w:rPr>
        <w:t xml:space="preserve">4 </w:t>
      </w:r>
      <w:r w:rsidRPr="00D9348B">
        <w:t>is destroyed.</w:t>
      </w:r>
    </w:p>
    <w:p w14:paraId="7B9CCE6D" w14:textId="77777777" w:rsidR="00524720" w:rsidRPr="00D9348B" w:rsidRDefault="00524720" w:rsidP="00865BDB">
      <w:pPr>
        <w:pStyle w:val="Heading4"/>
      </w:pPr>
      <w:r w:rsidRPr="00D9348B">
        <w:t>Industrial wastewater (5.D.2)</w:t>
      </w:r>
    </w:p>
    <w:p w14:paraId="49A8389D" w14:textId="6A3F1051" w:rsidR="00524720" w:rsidRPr="00D9348B" w:rsidRDefault="00524720" w:rsidP="00524720">
      <w:pPr>
        <w:pStyle w:val="BodyText"/>
        <w:widowControl w:val="0"/>
        <w:spacing w:after="100"/>
        <w:rPr>
          <w:rFonts w:eastAsia="+mn-ea"/>
        </w:rPr>
      </w:pPr>
      <w:r w:rsidRPr="00D9348B">
        <w:rPr>
          <w:rFonts w:eastAsia="+mn-ea"/>
        </w:rPr>
        <w:t>The major sources of industrial wastewater in New Zealand are the meat and the pulp and paper industries. Most of the industrial wastewater treatment is aerobic, and most of the CH</w:t>
      </w:r>
      <w:r w:rsidRPr="00D9348B">
        <w:rPr>
          <w:rFonts w:eastAsia="+mn-ea"/>
          <w:vertAlign w:val="subscript"/>
        </w:rPr>
        <w:t>4</w:t>
      </w:r>
      <w:r w:rsidR="00211ED1" w:rsidRPr="00D9348B">
        <w:rPr>
          <w:rFonts w:eastAsia="+mn-ea"/>
        </w:rPr>
        <w:t> </w:t>
      </w:r>
      <w:r w:rsidRPr="00D9348B">
        <w:rPr>
          <w:rFonts w:eastAsia="+mn-ea"/>
        </w:rPr>
        <w:t>generated from anaerobic treatment is flared.</w:t>
      </w:r>
    </w:p>
    <w:p w14:paraId="5590B32E" w14:textId="17C3C510" w:rsidR="00524720" w:rsidRPr="00D9348B" w:rsidRDefault="00524720" w:rsidP="00524720">
      <w:pPr>
        <w:pStyle w:val="BodyText"/>
        <w:spacing w:after="100"/>
        <w:rPr>
          <w:rFonts w:eastAsia="+mn-ea"/>
        </w:rPr>
      </w:pPr>
      <w:r w:rsidRPr="00D9348B">
        <w:rPr>
          <w:rFonts w:eastAsia="+mn-ea"/>
        </w:rPr>
        <w:lastRenderedPageBreak/>
        <w:t>In June 2015, the methodologies and input data used to calculate the industrial wastewater emissions were reviewed, to capture any changes in industry activity and ensure current best</w:t>
      </w:r>
      <w:r w:rsidR="00211ED1" w:rsidRPr="00D9348B">
        <w:rPr>
          <w:rFonts w:eastAsia="+mn-ea"/>
        </w:rPr>
        <w:t> </w:t>
      </w:r>
      <w:r w:rsidRPr="00D9348B">
        <w:rPr>
          <w:rFonts w:eastAsia="+mn-ea"/>
        </w:rPr>
        <w:t>practice and knowledge were reflected (Cardno, unpublished). This is discussed further under section 7.5.2.</w:t>
      </w:r>
    </w:p>
    <w:p w14:paraId="2B36C4E1" w14:textId="77777777" w:rsidR="00524720" w:rsidRPr="00D9348B" w:rsidRDefault="00524720" w:rsidP="00524720">
      <w:pPr>
        <w:pStyle w:val="Heading3"/>
      </w:pPr>
      <w:bookmarkStart w:id="2826" w:name="_Toc32828352"/>
      <w:r w:rsidRPr="00D9348B">
        <w:t xml:space="preserve">7.5.2 </w:t>
      </w:r>
      <w:r w:rsidRPr="00D9348B">
        <w:tab/>
        <w:t>Methodological issues</w:t>
      </w:r>
      <w:bookmarkEnd w:id="2826"/>
    </w:p>
    <w:p w14:paraId="6F2BA50E" w14:textId="77777777" w:rsidR="00524720" w:rsidRPr="00D9348B" w:rsidRDefault="00524720" w:rsidP="003A034F">
      <w:pPr>
        <w:pStyle w:val="Heading4"/>
        <w:spacing w:before="160"/>
      </w:pPr>
      <w:r w:rsidRPr="00D9348B">
        <w:t>Choice of activity data</w:t>
      </w:r>
    </w:p>
    <w:p w14:paraId="78680890" w14:textId="77777777" w:rsidR="00524720" w:rsidRPr="00D9348B" w:rsidRDefault="00524720" w:rsidP="00524720">
      <w:pPr>
        <w:pStyle w:val="Heading5"/>
        <w:spacing w:before="120"/>
      </w:pPr>
      <w:r w:rsidRPr="00D9348B">
        <w:t>Domestic wastewater (5.D.1)</w:t>
      </w:r>
    </w:p>
    <w:p w14:paraId="4A1D6D87" w14:textId="6AA2B1A9" w:rsidR="00524720" w:rsidRPr="00D9348B" w:rsidRDefault="00524720" w:rsidP="00524720">
      <w:pPr>
        <w:pStyle w:val="BodyText"/>
        <w:spacing w:after="100"/>
      </w:pPr>
      <w:r w:rsidRPr="00D9348B">
        <w:t xml:space="preserve">Estimates for </w:t>
      </w:r>
      <w:r w:rsidRPr="00D9348B">
        <w:rPr>
          <w:rFonts w:eastAsia="+mn-ea"/>
        </w:rPr>
        <w:t>CH</w:t>
      </w:r>
      <w:r w:rsidRPr="00D9348B">
        <w:rPr>
          <w:rFonts w:eastAsia="+mn-ea"/>
          <w:vertAlign w:val="subscript"/>
        </w:rPr>
        <w:t>4</w:t>
      </w:r>
      <w:r w:rsidRPr="00D9348B">
        <w:t xml:space="preserve"> emissions are derived from combining the population connected to</w:t>
      </w:r>
      <w:r w:rsidR="00211ED1" w:rsidRPr="00D9348B">
        <w:t> </w:t>
      </w:r>
      <w:r w:rsidRPr="00D9348B">
        <w:t>each treatment plant in New Zealand with the treatment methods for each plant (Beca</w:t>
      </w:r>
      <w:r w:rsidR="00211ED1" w:rsidRPr="00D9348B">
        <w:t> </w:t>
      </w:r>
      <w:r w:rsidRPr="00D9348B">
        <w:t>Infrastructure Ltd, unpublished).</w:t>
      </w:r>
    </w:p>
    <w:p w14:paraId="65FFBF90" w14:textId="0C05B3B1" w:rsidR="00524720" w:rsidRPr="00D9348B" w:rsidRDefault="00524720" w:rsidP="00524720">
      <w:pPr>
        <w:pStyle w:val="BodyText"/>
        <w:spacing w:after="100"/>
      </w:pPr>
      <w:r w:rsidRPr="00D9348B">
        <w:t>The population using each municipal treatment plant and an estimation of the population</w:t>
      </w:r>
      <w:r w:rsidR="00211ED1" w:rsidRPr="00D9348B">
        <w:t xml:space="preserve"> </w:t>
      </w:r>
      <w:r w:rsidRPr="00D9348B">
        <w:t>using septic tanks were determined (Beca Infrastructure Ltd, unpublished; SCS Wetherill Environmental, unpublished). Emissions from the wastewater treatment plants are calculated for 1997, 2001, 2006, and every year from 2013 onwards. Emissions from years before 1997 are calculated based on a fixed aggregate methane correction factor from 1997. Emissions from the remaining years are interpolated.</w:t>
      </w:r>
    </w:p>
    <w:p w14:paraId="1F64EA41" w14:textId="77777777" w:rsidR="00524720" w:rsidRPr="00D9348B" w:rsidRDefault="00524720" w:rsidP="00524720">
      <w:pPr>
        <w:pStyle w:val="BodyText"/>
        <w:spacing w:after="100"/>
      </w:pPr>
      <w:r w:rsidRPr="00D9348B">
        <w:t xml:space="preserve">Emissions are proportional to the population treated by each plant, and population data are updated based on the population growth rate of the district in which the plant is located. This information is obtained from Statistics New Zealand. For the 2020 submission, interpolations between the years 2003–19 were conducted due to a lack of available data. This will be updated for the 2021 submission with revised data. For intermediate years, data is interpolated. Years before 1997 are driven by national population growth using the </w:t>
      </w:r>
      <w:r w:rsidRPr="00D9348B">
        <w:rPr>
          <w:rFonts w:eastAsia="+mn-ea"/>
        </w:rPr>
        <w:t>CH</w:t>
      </w:r>
      <w:r w:rsidRPr="00D9348B">
        <w:rPr>
          <w:rFonts w:eastAsia="+mn-ea"/>
          <w:vertAlign w:val="subscript"/>
        </w:rPr>
        <w:t>4</w:t>
      </w:r>
      <w:r w:rsidRPr="00D9348B">
        <w:t xml:space="preserve"> correction factor from 1997.</w:t>
      </w:r>
    </w:p>
    <w:p w14:paraId="7D7B8B83" w14:textId="4BEEDAEA" w:rsidR="00524720" w:rsidRPr="00D9348B" w:rsidRDefault="00524720" w:rsidP="00524720">
      <w:pPr>
        <w:pStyle w:val="BodyText"/>
        <w:spacing w:after="100"/>
      </w:pPr>
      <w:r w:rsidRPr="00D9348B">
        <w:t>In 2018, the total population connected to treatment plants was estimated to be 4.0 million. The connected population excludes people connected to rural septic tanks, estimated at 479,000 people in 2018, and approximately 53,000 people using other aerobic plants. A remaining population of 380,000 people is not accounted for, which is a result of incomplete data on the wastewater treatment plants in New Zealand and the populations connected to each of these plants being estimated. To account for domestic wastewater emissions from the</w:t>
      </w:r>
      <w:r w:rsidR="002B5847" w:rsidRPr="00D9348B">
        <w:t> </w:t>
      </w:r>
      <w:r w:rsidRPr="00D9348B">
        <w:t>unaccounted for population, CH</w:t>
      </w:r>
      <w:r w:rsidRPr="00D9348B">
        <w:rPr>
          <w:vertAlign w:val="subscript"/>
        </w:rPr>
        <w:t xml:space="preserve">4 </w:t>
      </w:r>
      <w:r w:rsidRPr="00D9348B">
        <w:t xml:space="preserve">emissions for the </w:t>
      </w:r>
      <w:r w:rsidRPr="00D9348B">
        <w:rPr>
          <w:i/>
        </w:rPr>
        <w:t>Domestic wastewater</w:t>
      </w:r>
      <w:r w:rsidRPr="00D9348B">
        <w:t xml:space="preserve"> source category have been increased by a fraction determined by the missing population as a proportion of the population for which emissions are known. An assumption is made to apply the average wastewater treatment method for this otherwise unaccounted for population.</w:t>
      </w:r>
    </w:p>
    <w:p w14:paraId="07A420DF" w14:textId="33A44451" w:rsidR="00524720" w:rsidRPr="00D9348B" w:rsidRDefault="00524720" w:rsidP="00524720">
      <w:pPr>
        <w:pStyle w:val="BodyText"/>
        <w:spacing w:after="100"/>
      </w:pPr>
      <w:r w:rsidRPr="00D9348B">
        <w:t>Indirect N</w:t>
      </w:r>
      <w:r w:rsidRPr="00D9348B">
        <w:rPr>
          <w:vertAlign w:val="subscript"/>
        </w:rPr>
        <w:t>2</w:t>
      </w:r>
      <w:r w:rsidRPr="00D9348B">
        <w:t>O emissions from the disposal of treated domestic wastewater are estimated using</w:t>
      </w:r>
      <w:r w:rsidR="002B5847" w:rsidRPr="00D9348B">
        <w:t> </w:t>
      </w:r>
      <w:r w:rsidRPr="00D9348B">
        <w:t>per capita protein consumption and national population estimates, less the population using septic tanks because there is no liquid effluent from septic tanks. Activity data for domestic wastewater are reported in table 7.5.2. Also included in table 7.5.2 is an aggregate CH</w:t>
      </w:r>
      <w:r w:rsidRPr="00D9348B">
        <w:rPr>
          <w:vertAlign w:val="subscript"/>
        </w:rPr>
        <w:t xml:space="preserve">4 </w:t>
      </w:r>
      <w:r w:rsidRPr="00D9348B">
        <w:t>correction factor that is determined by the sum of the CH</w:t>
      </w:r>
      <w:r w:rsidRPr="00D9348B">
        <w:rPr>
          <w:vertAlign w:val="subscript"/>
        </w:rPr>
        <w:t>4</w:t>
      </w:r>
      <w:r w:rsidRPr="00D9348B">
        <w:t xml:space="preserve"> correction factor for various treatment types, weighted by the population served by each type.</w:t>
      </w:r>
    </w:p>
    <w:p w14:paraId="3E8DBD4A" w14:textId="77777777" w:rsidR="00524720" w:rsidRPr="00D9348B" w:rsidRDefault="00524720" w:rsidP="00524720">
      <w:pPr>
        <w:pStyle w:val="Table"/>
      </w:pPr>
      <w:bookmarkStart w:id="2827" w:name="_Toc5269579"/>
      <w:bookmarkStart w:id="2828" w:name="_Toc511116831"/>
      <w:bookmarkStart w:id="2829" w:name="_Toc508019333"/>
      <w:bookmarkStart w:id="2830" w:name="_Toc32828537"/>
      <w:bookmarkStart w:id="2831" w:name="_Toc32591367"/>
      <w:bookmarkStart w:id="2832" w:name="_Toc36224660"/>
      <w:r w:rsidRPr="00D9348B">
        <w:lastRenderedPageBreak/>
        <w:t xml:space="preserve">Table 7.5.2 </w:t>
      </w:r>
      <w:r w:rsidRPr="00D9348B">
        <w:tab/>
        <w:t>Activity data and key factors for domestic wastewater from 1990 to </w:t>
      </w:r>
      <w:bookmarkEnd w:id="2827"/>
      <w:bookmarkEnd w:id="2828"/>
      <w:bookmarkEnd w:id="2829"/>
      <w:r w:rsidRPr="00D9348B">
        <w:t>2018</w:t>
      </w:r>
      <w:bookmarkEnd w:id="2830"/>
      <w:bookmarkEnd w:id="2831"/>
      <w:bookmarkEnd w:id="2832"/>
    </w:p>
    <w:tbl>
      <w:tblPr>
        <w:tblW w:w="8505" w:type="dxa"/>
        <w:tblInd w:w="108" w:type="dxa"/>
        <w:tblLook w:val="04A0" w:firstRow="1" w:lastRow="0" w:firstColumn="1" w:lastColumn="0" w:noHBand="0" w:noVBand="1"/>
      </w:tblPr>
      <w:tblGrid>
        <w:gridCol w:w="709"/>
        <w:gridCol w:w="1843"/>
        <w:gridCol w:w="3082"/>
        <w:gridCol w:w="2871"/>
      </w:tblGrid>
      <w:tr w:rsidR="00524720" w:rsidRPr="00D9348B" w14:paraId="0E0AEC4D" w14:textId="77777777" w:rsidTr="002B5847">
        <w:trPr>
          <w:tblHeader/>
        </w:trPr>
        <w:tc>
          <w:tcPr>
            <w:tcW w:w="709" w:type="dxa"/>
            <w:tcBorders>
              <w:top w:val="single" w:sz="4" w:space="0" w:color="365F91"/>
              <w:left w:val="nil"/>
              <w:bottom w:val="single" w:sz="4" w:space="0" w:color="365F91"/>
              <w:right w:val="nil"/>
            </w:tcBorders>
            <w:shd w:val="clear" w:color="auto" w:fill="365F91"/>
            <w:vAlign w:val="bottom"/>
            <w:hideMark/>
          </w:tcPr>
          <w:p w14:paraId="5EA39526" w14:textId="77777777" w:rsidR="00524720" w:rsidRPr="00D9348B" w:rsidRDefault="00524720" w:rsidP="003A034F">
            <w:pPr>
              <w:pStyle w:val="TableTextBold"/>
              <w:keepNext/>
              <w:spacing w:before="40" w:after="40"/>
              <w:rPr>
                <w:noProof w:val="0"/>
                <w:color w:val="FFFFFF"/>
              </w:rPr>
            </w:pPr>
            <w:r w:rsidRPr="00D9348B">
              <w:rPr>
                <w:noProof w:val="0"/>
                <w:color w:val="FFFFFF"/>
              </w:rPr>
              <w:t>Year</w:t>
            </w:r>
          </w:p>
        </w:tc>
        <w:tc>
          <w:tcPr>
            <w:tcW w:w="1843" w:type="dxa"/>
            <w:tcBorders>
              <w:top w:val="single" w:sz="4" w:space="0" w:color="365F91"/>
              <w:left w:val="nil"/>
              <w:bottom w:val="single" w:sz="4" w:space="0" w:color="365F91"/>
              <w:right w:val="nil"/>
            </w:tcBorders>
            <w:shd w:val="clear" w:color="auto" w:fill="365F91"/>
            <w:vAlign w:val="bottom"/>
            <w:hideMark/>
          </w:tcPr>
          <w:p w14:paraId="449DC7C5" w14:textId="77777777" w:rsidR="00524720" w:rsidRPr="00D9348B" w:rsidRDefault="00524720" w:rsidP="003A034F">
            <w:pPr>
              <w:pStyle w:val="TableTextBold"/>
              <w:keepNext/>
              <w:spacing w:before="40" w:after="40"/>
              <w:rPr>
                <w:noProof w:val="0"/>
                <w:color w:val="FFFFFF"/>
              </w:rPr>
            </w:pPr>
            <w:r w:rsidRPr="00D9348B">
              <w:rPr>
                <w:noProof w:val="0"/>
                <w:color w:val="FFFFFF"/>
              </w:rPr>
              <w:t>National population</w:t>
            </w:r>
          </w:p>
        </w:tc>
        <w:tc>
          <w:tcPr>
            <w:tcW w:w="3082" w:type="dxa"/>
            <w:tcBorders>
              <w:top w:val="single" w:sz="4" w:space="0" w:color="365F91"/>
              <w:left w:val="nil"/>
              <w:bottom w:val="single" w:sz="4" w:space="0" w:color="365F91"/>
              <w:right w:val="nil"/>
            </w:tcBorders>
            <w:shd w:val="clear" w:color="auto" w:fill="365F91"/>
            <w:vAlign w:val="bottom"/>
            <w:hideMark/>
          </w:tcPr>
          <w:p w14:paraId="740598CB" w14:textId="77777777" w:rsidR="00524720" w:rsidRPr="00D9348B" w:rsidRDefault="00524720" w:rsidP="003A034F">
            <w:pPr>
              <w:pStyle w:val="TableTextBold"/>
              <w:keepNext/>
              <w:spacing w:before="40" w:after="40"/>
              <w:rPr>
                <w:noProof w:val="0"/>
                <w:color w:val="FFFFFF"/>
              </w:rPr>
            </w:pPr>
            <w:r w:rsidRPr="00D9348B">
              <w:rPr>
                <w:noProof w:val="0"/>
                <w:color w:val="FFFFFF"/>
              </w:rPr>
              <w:t>Aggregate methane correction factor</w:t>
            </w:r>
          </w:p>
        </w:tc>
        <w:tc>
          <w:tcPr>
            <w:tcW w:w="2871" w:type="dxa"/>
            <w:tcBorders>
              <w:top w:val="single" w:sz="4" w:space="0" w:color="365F91"/>
              <w:left w:val="nil"/>
              <w:bottom w:val="single" w:sz="4" w:space="0" w:color="365F91"/>
              <w:right w:val="nil"/>
            </w:tcBorders>
            <w:shd w:val="clear" w:color="auto" w:fill="365F91"/>
            <w:vAlign w:val="bottom"/>
            <w:hideMark/>
          </w:tcPr>
          <w:p w14:paraId="15C3A7D9" w14:textId="77777777" w:rsidR="00524720" w:rsidRPr="00D9348B" w:rsidRDefault="00524720" w:rsidP="003A034F">
            <w:pPr>
              <w:pStyle w:val="TableTextBold"/>
              <w:keepNext/>
              <w:spacing w:before="40" w:after="40"/>
              <w:jc w:val="center"/>
              <w:rPr>
                <w:noProof w:val="0"/>
                <w:color w:val="FFFFFF"/>
              </w:rPr>
            </w:pPr>
            <w:r w:rsidRPr="00D9348B">
              <w:rPr>
                <w:noProof w:val="0"/>
                <w:color w:val="FFFFFF"/>
              </w:rPr>
              <w:t xml:space="preserve">Domestic wastewater </w:t>
            </w:r>
            <w:r w:rsidRPr="00D9348B">
              <w:rPr>
                <w:noProof w:val="0"/>
                <w:color w:val="FFFFFF"/>
              </w:rPr>
              <w:br/>
              <w:t>total organic product (kt)</w:t>
            </w:r>
          </w:p>
        </w:tc>
      </w:tr>
      <w:tr w:rsidR="00524720" w:rsidRPr="00D9348B" w14:paraId="5AFFC5EA" w14:textId="77777777" w:rsidTr="002B5847">
        <w:tc>
          <w:tcPr>
            <w:tcW w:w="709" w:type="dxa"/>
            <w:tcBorders>
              <w:top w:val="single" w:sz="4" w:space="0" w:color="365F91"/>
              <w:left w:val="nil"/>
              <w:bottom w:val="single" w:sz="4" w:space="0" w:color="365F91"/>
              <w:right w:val="nil"/>
            </w:tcBorders>
            <w:hideMark/>
          </w:tcPr>
          <w:p w14:paraId="54180FDA" w14:textId="77777777" w:rsidR="00524720" w:rsidRPr="00D9348B" w:rsidRDefault="00524720" w:rsidP="003A034F">
            <w:pPr>
              <w:pStyle w:val="TableTextBold"/>
              <w:keepNext/>
              <w:spacing w:before="40" w:after="40"/>
              <w:rPr>
                <w:noProof w:val="0"/>
              </w:rPr>
            </w:pPr>
            <w:r w:rsidRPr="00D9348B">
              <w:rPr>
                <w:noProof w:val="0"/>
              </w:rPr>
              <w:t>1990</w:t>
            </w:r>
          </w:p>
        </w:tc>
        <w:tc>
          <w:tcPr>
            <w:tcW w:w="1843" w:type="dxa"/>
            <w:tcBorders>
              <w:top w:val="single" w:sz="4" w:space="0" w:color="365F91"/>
              <w:left w:val="nil"/>
              <w:bottom w:val="single" w:sz="4" w:space="0" w:color="365F91"/>
              <w:right w:val="nil"/>
            </w:tcBorders>
            <w:hideMark/>
          </w:tcPr>
          <w:p w14:paraId="3A24FBC8" w14:textId="77777777" w:rsidR="00524720" w:rsidRPr="00D9348B" w:rsidRDefault="00524720" w:rsidP="003A034F">
            <w:pPr>
              <w:pStyle w:val="TableText"/>
              <w:keepNext/>
              <w:spacing w:before="40" w:after="40"/>
              <w:jc w:val="center"/>
              <w:rPr>
                <w:rFonts w:cs="Arial"/>
                <w:szCs w:val="16"/>
              </w:rPr>
            </w:pPr>
            <w:r w:rsidRPr="00D9348B">
              <w:t>3,410,400</w:t>
            </w:r>
          </w:p>
        </w:tc>
        <w:tc>
          <w:tcPr>
            <w:tcW w:w="3082" w:type="dxa"/>
            <w:tcBorders>
              <w:top w:val="single" w:sz="4" w:space="0" w:color="365F91"/>
              <w:left w:val="nil"/>
              <w:bottom w:val="single" w:sz="4" w:space="0" w:color="365F91"/>
              <w:right w:val="nil"/>
            </w:tcBorders>
            <w:hideMark/>
          </w:tcPr>
          <w:p w14:paraId="37DBFC7A" w14:textId="77777777" w:rsidR="00524720" w:rsidRPr="00D9348B" w:rsidRDefault="00524720" w:rsidP="003A034F">
            <w:pPr>
              <w:pStyle w:val="TableText"/>
              <w:keepNext/>
              <w:spacing w:before="40" w:after="40"/>
              <w:jc w:val="center"/>
              <w:rPr>
                <w:rFonts w:cs="Arial"/>
                <w:szCs w:val="16"/>
              </w:rPr>
            </w:pPr>
            <w:r w:rsidRPr="00D9348B">
              <w:t>Same as 1997</w:t>
            </w:r>
          </w:p>
        </w:tc>
        <w:tc>
          <w:tcPr>
            <w:tcW w:w="2871" w:type="dxa"/>
            <w:tcBorders>
              <w:top w:val="single" w:sz="4" w:space="0" w:color="365F91"/>
              <w:left w:val="nil"/>
              <w:bottom w:val="single" w:sz="4" w:space="0" w:color="365F91"/>
              <w:right w:val="nil"/>
            </w:tcBorders>
            <w:hideMark/>
          </w:tcPr>
          <w:p w14:paraId="0D719F7A" w14:textId="77777777" w:rsidR="00524720" w:rsidRPr="00D9348B" w:rsidRDefault="00524720" w:rsidP="003A034F">
            <w:pPr>
              <w:pStyle w:val="TableText"/>
              <w:keepNext/>
              <w:spacing w:before="40" w:after="40"/>
              <w:jc w:val="center"/>
              <w:rPr>
                <w:rFonts w:cs="Arial"/>
                <w:szCs w:val="16"/>
              </w:rPr>
            </w:pPr>
            <w:r w:rsidRPr="00D9348B">
              <w:t>140.4</w:t>
            </w:r>
          </w:p>
        </w:tc>
      </w:tr>
      <w:tr w:rsidR="00524720" w:rsidRPr="00D9348B" w14:paraId="44D83C20" w14:textId="77777777" w:rsidTr="002B5847">
        <w:tc>
          <w:tcPr>
            <w:tcW w:w="709" w:type="dxa"/>
            <w:tcBorders>
              <w:top w:val="single" w:sz="4" w:space="0" w:color="365F91"/>
              <w:left w:val="nil"/>
              <w:bottom w:val="single" w:sz="4" w:space="0" w:color="365F91"/>
              <w:right w:val="nil"/>
            </w:tcBorders>
            <w:hideMark/>
          </w:tcPr>
          <w:p w14:paraId="21587D7F" w14:textId="77777777" w:rsidR="00524720" w:rsidRPr="00D9348B" w:rsidRDefault="00524720">
            <w:pPr>
              <w:pStyle w:val="TableTextBold"/>
              <w:spacing w:before="40" w:after="40"/>
              <w:rPr>
                <w:noProof w:val="0"/>
              </w:rPr>
            </w:pPr>
            <w:r w:rsidRPr="00D9348B">
              <w:rPr>
                <w:noProof w:val="0"/>
              </w:rPr>
              <w:t>1991</w:t>
            </w:r>
          </w:p>
        </w:tc>
        <w:tc>
          <w:tcPr>
            <w:tcW w:w="1843" w:type="dxa"/>
            <w:tcBorders>
              <w:top w:val="single" w:sz="4" w:space="0" w:color="365F91"/>
              <w:left w:val="nil"/>
              <w:bottom w:val="single" w:sz="4" w:space="0" w:color="365F91"/>
              <w:right w:val="nil"/>
            </w:tcBorders>
            <w:hideMark/>
          </w:tcPr>
          <w:p w14:paraId="5AD342A8" w14:textId="77777777" w:rsidR="00524720" w:rsidRPr="00D9348B" w:rsidRDefault="00524720">
            <w:pPr>
              <w:pStyle w:val="TableText"/>
              <w:spacing w:before="40" w:after="40"/>
              <w:jc w:val="center"/>
              <w:rPr>
                <w:rFonts w:cs="Arial"/>
                <w:szCs w:val="16"/>
              </w:rPr>
            </w:pPr>
            <w:r w:rsidRPr="00D9348B">
              <w:t>3,516,000</w:t>
            </w:r>
          </w:p>
        </w:tc>
        <w:tc>
          <w:tcPr>
            <w:tcW w:w="3082" w:type="dxa"/>
            <w:tcBorders>
              <w:top w:val="single" w:sz="4" w:space="0" w:color="365F91"/>
              <w:left w:val="nil"/>
              <w:bottom w:val="single" w:sz="4" w:space="0" w:color="365F91"/>
              <w:right w:val="nil"/>
            </w:tcBorders>
            <w:hideMark/>
          </w:tcPr>
          <w:p w14:paraId="75B118D8" w14:textId="77777777" w:rsidR="00524720" w:rsidRPr="00D9348B" w:rsidRDefault="00524720">
            <w:pPr>
              <w:pStyle w:val="TableText"/>
              <w:spacing w:before="40" w:after="40"/>
              <w:jc w:val="center"/>
              <w:rPr>
                <w:rFonts w:cs="Arial"/>
                <w:szCs w:val="16"/>
              </w:rPr>
            </w:pPr>
            <w:r w:rsidRPr="00D9348B">
              <w:t>Same as 1997</w:t>
            </w:r>
          </w:p>
        </w:tc>
        <w:tc>
          <w:tcPr>
            <w:tcW w:w="2871" w:type="dxa"/>
            <w:tcBorders>
              <w:top w:val="single" w:sz="4" w:space="0" w:color="365F91"/>
              <w:left w:val="nil"/>
              <w:bottom w:val="single" w:sz="4" w:space="0" w:color="365F91"/>
              <w:right w:val="nil"/>
            </w:tcBorders>
            <w:hideMark/>
          </w:tcPr>
          <w:p w14:paraId="2613134D" w14:textId="77777777" w:rsidR="00524720" w:rsidRPr="00D9348B" w:rsidRDefault="00524720">
            <w:pPr>
              <w:pStyle w:val="TableText"/>
              <w:spacing w:before="40" w:after="40"/>
              <w:jc w:val="center"/>
              <w:rPr>
                <w:rFonts w:cs="Arial"/>
                <w:szCs w:val="16"/>
              </w:rPr>
            </w:pPr>
            <w:r w:rsidRPr="00D9348B">
              <w:t>144.7</w:t>
            </w:r>
          </w:p>
        </w:tc>
      </w:tr>
      <w:tr w:rsidR="00524720" w:rsidRPr="00D9348B" w14:paraId="2B9EBDE8" w14:textId="77777777" w:rsidTr="002B5847">
        <w:tc>
          <w:tcPr>
            <w:tcW w:w="709" w:type="dxa"/>
            <w:tcBorders>
              <w:top w:val="single" w:sz="4" w:space="0" w:color="365F91"/>
              <w:left w:val="nil"/>
              <w:bottom w:val="single" w:sz="4" w:space="0" w:color="365F91"/>
              <w:right w:val="nil"/>
            </w:tcBorders>
            <w:hideMark/>
          </w:tcPr>
          <w:p w14:paraId="36877895" w14:textId="77777777" w:rsidR="00524720" w:rsidRPr="00D9348B" w:rsidRDefault="00524720">
            <w:pPr>
              <w:pStyle w:val="TableTextBold"/>
              <w:spacing w:before="40" w:after="40"/>
              <w:rPr>
                <w:noProof w:val="0"/>
              </w:rPr>
            </w:pPr>
            <w:r w:rsidRPr="00D9348B">
              <w:rPr>
                <w:noProof w:val="0"/>
              </w:rPr>
              <w:t>1992</w:t>
            </w:r>
          </w:p>
        </w:tc>
        <w:tc>
          <w:tcPr>
            <w:tcW w:w="1843" w:type="dxa"/>
            <w:tcBorders>
              <w:top w:val="single" w:sz="4" w:space="0" w:color="365F91"/>
              <w:left w:val="nil"/>
              <w:bottom w:val="single" w:sz="4" w:space="0" w:color="365F91"/>
              <w:right w:val="nil"/>
            </w:tcBorders>
            <w:hideMark/>
          </w:tcPr>
          <w:p w14:paraId="0629C79F" w14:textId="77777777" w:rsidR="00524720" w:rsidRPr="00D9348B" w:rsidRDefault="00524720">
            <w:pPr>
              <w:pStyle w:val="TableText"/>
              <w:spacing w:before="40" w:after="40"/>
              <w:jc w:val="center"/>
              <w:rPr>
                <w:rFonts w:cs="Arial"/>
                <w:szCs w:val="16"/>
              </w:rPr>
            </w:pPr>
            <w:r w:rsidRPr="00D9348B">
              <w:t>3,552,200</w:t>
            </w:r>
          </w:p>
        </w:tc>
        <w:tc>
          <w:tcPr>
            <w:tcW w:w="3082" w:type="dxa"/>
            <w:tcBorders>
              <w:top w:val="single" w:sz="4" w:space="0" w:color="365F91"/>
              <w:left w:val="nil"/>
              <w:bottom w:val="single" w:sz="4" w:space="0" w:color="365F91"/>
              <w:right w:val="nil"/>
            </w:tcBorders>
            <w:hideMark/>
          </w:tcPr>
          <w:p w14:paraId="0BDBC9ED" w14:textId="77777777" w:rsidR="00524720" w:rsidRPr="00D9348B" w:rsidRDefault="00524720">
            <w:pPr>
              <w:pStyle w:val="TableText"/>
              <w:spacing w:before="40" w:after="40"/>
              <w:jc w:val="center"/>
              <w:rPr>
                <w:rFonts w:cs="Arial"/>
                <w:szCs w:val="16"/>
              </w:rPr>
            </w:pPr>
            <w:r w:rsidRPr="00D9348B">
              <w:t>Same as 1997</w:t>
            </w:r>
          </w:p>
        </w:tc>
        <w:tc>
          <w:tcPr>
            <w:tcW w:w="2871" w:type="dxa"/>
            <w:tcBorders>
              <w:top w:val="single" w:sz="4" w:space="0" w:color="365F91"/>
              <w:left w:val="nil"/>
              <w:bottom w:val="single" w:sz="4" w:space="0" w:color="365F91"/>
              <w:right w:val="nil"/>
            </w:tcBorders>
            <w:hideMark/>
          </w:tcPr>
          <w:p w14:paraId="09DE2E31" w14:textId="77777777" w:rsidR="00524720" w:rsidRPr="00D9348B" w:rsidRDefault="00524720">
            <w:pPr>
              <w:pStyle w:val="TableText"/>
              <w:spacing w:before="40" w:after="40"/>
              <w:jc w:val="center"/>
              <w:rPr>
                <w:rFonts w:cs="Arial"/>
                <w:szCs w:val="16"/>
              </w:rPr>
            </w:pPr>
            <w:r w:rsidRPr="00D9348B">
              <w:t>146.4</w:t>
            </w:r>
          </w:p>
        </w:tc>
      </w:tr>
      <w:tr w:rsidR="00524720" w:rsidRPr="00D9348B" w14:paraId="009024D2" w14:textId="77777777" w:rsidTr="002B5847">
        <w:tc>
          <w:tcPr>
            <w:tcW w:w="709" w:type="dxa"/>
            <w:tcBorders>
              <w:top w:val="single" w:sz="4" w:space="0" w:color="365F91"/>
              <w:left w:val="nil"/>
              <w:bottom w:val="single" w:sz="4" w:space="0" w:color="365F91"/>
              <w:right w:val="nil"/>
            </w:tcBorders>
            <w:hideMark/>
          </w:tcPr>
          <w:p w14:paraId="03E8384A" w14:textId="77777777" w:rsidR="00524720" w:rsidRPr="00D9348B" w:rsidRDefault="00524720">
            <w:pPr>
              <w:pStyle w:val="TableTextBold"/>
              <w:spacing w:before="40" w:after="40"/>
              <w:rPr>
                <w:noProof w:val="0"/>
              </w:rPr>
            </w:pPr>
            <w:r w:rsidRPr="00D9348B">
              <w:rPr>
                <w:noProof w:val="0"/>
              </w:rPr>
              <w:t>1993</w:t>
            </w:r>
          </w:p>
        </w:tc>
        <w:tc>
          <w:tcPr>
            <w:tcW w:w="1843" w:type="dxa"/>
            <w:tcBorders>
              <w:top w:val="single" w:sz="4" w:space="0" w:color="365F91"/>
              <w:left w:val="nil"/>
              <w:bottom w:val="single" w:sz="4" w:space="0" w:color="365F91"/>
              <w:right w:val="nil"/>
            </w:tcBorders>
            <w:hideMark/>
          </w:tcPr>
          <w:p w14:paraId="7EC41B89" w14:textId="77777777" w:rsidR="00524720" w:rsidRPr="00D9348B" w:rsidRDefault="00524720">
            <w:pPr>
              <w:pStyle w:val="TableText"/>
              <w:spacing w:before="40" w:after="40"/>
              <w:jc w:val="center"/>
            </w:pPr>
            <w:r w:rsidRPr="00D9348B">
              <w:t>3,597,800</w:t>
            </w:r>
          </w:p>
        </w:tc>
        <w:tc>
          <w:tcPr>
            <w:tcW w:w="3082" w:type="dxa"/>
            <w:tcBorders>
              <w:top w:val="single" w:sz="4" w:space="0" w:color="365F91"/>
              <w:left w:val="nil"/>
              <w:bottom w:val="single" w:sz="4" w:space="0" w:color="365F91"/>
              <w:right w:val="nil"/>
            </w:tcBorders>
            <w:hideMark/>
          </w:tcPr>
          <w:p w14:paraId="446160DD" w14:textId="77777777" w:rsidR="00524720" w:rsidRPr="00D9348B" w:rsidRDefault="00524720">
            <w:pPr>
              <w:pStyle w:val="TableText"/>
              <w:spacing w:before="40" w:after="40"/>
              <w:jc w:val="center"/>
            </w:pPr>
            <w:r w:rsidRPr="00D9348B">
              <w:t>Same as 1997</w:t>
            </w:r>
          </w:p>
        </w:tc>
        <w:tc>
          <w:tcPr>
            <w:tcW w:w="2871" w:type="dxa"/>
            <w:tcBorders>
              <w:top w:val="single" w:sz="4" w:space="0" w:color="365F91"/>
              <w:left w:val="nil"/>
              <w:bottom w:val="single" w:sz="4" w:space="0" w:color="365F91"/>
              <w:right w:val="nil"/>
            </w:tcBorders>
            <w:hideMark/>
          </w:tcPr>
          <w:p w14:paraId="66CDCF21" w14:textId="77777777" w:rsidR="00524720" w:rsidRPr="00D9348B" w:rsidRDefault="00524720">
            <w:pPr>
              <w:pStyle w:val="TableText"/>
              <w:spacing w:before="40" w:after="40"/>
              <w:jc w:val="center"/>
            </w:pPr>
            <w:r w:rsidRPr="00D9348B">
              <w:t>148.4</w:t>
            </w:r>
          </w:p>
        </w:tc>
      </w:tr>
      <w:tr w:rsidR="00524720" w:rsidRPr="00D9348B" w14:paraId="2BA6FEFD" w14:textId="77777777" w:rsidTr="002B5847">
        <w:tc>
          <w:tcPr>
            <w:tcW w:w="709" w:type="dxa"/>
            <w:tcBorders>
              <w:top w:val="single" w:sz="4" w:space="0" w:color="365F91"/>
              <w:left w:val="nil"/>
              <w:bottom w:val="single" w:sz="4" w:space="0" w:color="365F91"/>
              <w:right w:val="nil"/>
            </w:tcBorders>
            <w:hideMark/>
          </w:tcPr>
          <w:p w14:paraId="34E13B1F" w14:textId="77777777" w:rsidR="00524720" w:rsidRPr="00D9348B" w:rsidRDefault="00524720">
            <w:pPr>
              <w:pStyle w:val="TableTextBold"/>
              <w:spacing w:before="40" w:after="40"/>
              <w:rPr>
                <w:noProof w:val="0"/>
              </w:rPr>
            </w:pPr>
            <w:r w:rsidRPr="00D9348B">
              <w:rPr>
                <w:noProof w:val="0"/>
              </w:rPr>
              <w:t>1994</w:t>
            </w:r>
          </w:p>
        </w:tc>
        <w:tc>
          <w:tcPr>
            <w:tcW w:w="1843" w:type="dxa"/>
            <w:tcBorders>
              <w:top w:val="single" w:sz="4" w:space="0" w:color="365F91"/>
              <w:left w:val="nil"/>
              <w:bottom w:val="single" w:sz="4" w:space="0" w:color="365F91"/>
              <w:right w:val="nil"/>
            </w:tcBorders>
            <w:hideMark/>
          </w:tcPr>
          <w:p w14:paraId="3FA5DBE5" w14:textId="77777777" w:rsidR="00524720" w:rsidRPr="00D9348B" w:rsidRDefault="00524720">
            <w:pPr>
              <w:pStyle w:val="TableText"/>
              <w:spacing w:before="40" w:after="40"/>
              <w:jc w:val="center"/>
            </w:pPr>
            <w:r w:rsidRPr="00D9348B">
              <w:t>3,648,300</w:t>
            </w:r>
          </w:p>
        </w:tc>
        <w:tc>
          <w:tcPr>
            <w:tcW w:w="3082" w:type="dxa"/>
            <w:tcBorders>
              <w:top w:val="single" w:sz="4" w:space="0" w:color="365F91"/>
              <w:left w:val="nil"/>
              <w:bottom w:val="single" w:sz="4" w:space="0" w:color="365F91"/>
              <w:right w:val="nil"/>
            </w:tcBorders>
            <w:hideMark/>
          </w:tcPr>
          <w:p w14:paraId="58F1B80B" w14:textId="77777777" w:rsidR="00524720" w:rsidRPr="00D9348B" w:rsidRDefault="00524720">
            <w:pPr>
              <w:pStyle w:val="TableText"/>
              <w:spacing w:before="40" w:after="40"/>
              <w:jc w:val="center"/>
            </w:pPr>
            <w:r w:rsidRPr="00D9348B">
              <w:t>Same as 1997</w:t>
            </w:r>
          </w:p>
        </w:tc>
        <w:tc>
          <w:tcPr>
            <w:tcW w:w="2871" w:type="dxa"/>
            <w:tcBorders>
              <w:top w:val="single" w:sz="4" w:space="0" w:color="365F91"/>
              <w:left w:val="nil"/>
              <w:bottom w:val="single" w:sz="4" w:space="0" w:color="365F91"/>
              <w:right w:val="nil"/>
            </w:tcBorders>
            <w:hideMark/>
          </w:tcPr>
          <w:p w14:paraId="4C2E6A0B" w14:textId="77777777" w:rsidR="00524720" w:rsidRPr="00D9348B" w:rsidRDefault="00524720">
            <w:pPr>
              <w:pStyle w:val="TableText"/>
              <w:spacing w:before="40" w:after="40"/>
              <w:jc w:val="center"/>
            </w:pPr>
            <w:r w:rsidRPr="00D9348B">
              <w:t>150.6</w:t>
            </w:r>
          </w:p>
        </w:tc>
      </w:tr>
      <w:tr w:rsidR="00524720" w:rsidRPr="00D9348B" w14:paraId="4297E1AD" w14:textId="77777777" w:rsidTr="002B5847">
        <w:tc>
          <w:tcPr>
            <w:tcW w:w="709" w:type="dxa"/>
            <w:tcBorders>
              <w:top w:val="single" w:sz="4" w:space="0" w:color="365F91"/>
              <w:left w:val="nil"/>
              <w:bottom w:val="single" w:sz="4" w:space="0" w:color="365F91"/>
              <w:right w:val="nil"/>
            </w:tcBorders>
            <w:hideMark/>
          </w:tcPr>
          <w:p w14:paraId="40910554" w14:textId="77777777" w:rsidR="00524720" w:rsidRPr="00D9348B" w:rsidRDefault="00524720">
            <w:pPr>
              <w:pStyle w:val="TableTextBold"/>
              <w:spacing w:before="40" w:after="40"/>
              <w:rPr>
                <w:noProof w:val="0"/>
              </w:rPr>
            </w:pPr>
            <w:r w:rsidRPr="00D9348B">
              <w:rPr>
                <w:noProof w:val="0"/>
              </w:rPr>
              <w:t>1995</w:t>
            </w:r>
          </w:p>
        </w:tc>
        <w:tc>
          <w:tcPr>
            <w:tcW w:w="1843" w:type="dxa"/>
            <w:tcBorders>
              <w:top w:val="single" w:sz="4" w:space="0" w:color="365F91"/>
              <w:left w:val="nil"/>
              <w:bottom w:val="single" w:sz="4" w:space="0" w:color="365F91"/>
              <w:right w:val="nil"/>
            </w:tcBorders>
            <w:hideMark/>
          </w:tcPr>
          <w:p w14:paraId="1686440E" w14:textId="77777777" w:rsidR="00524720" w:rsidRPr="00D9348B" w:rsidRDefault="00524720">
            <w:pPr>
              <w:pStyle w:val="TableText"/>
              <w:spacing w:before="40" w:after="40"/>
              <w:jc w:val="center"/>
            </w:pPr>
            <w:r w:rsidRPr="00D9348B">
              <w:t>3,706,700</w:t>
            </w:r>
          </w:p>
        </w:tc>
        <w:tc>
          <w:tcPr>
            <w:tcW w:w="3082" w:type="dxa"/>
            <w:tcBorders>
              <w:top w:val="single" w:sz="4" w:space="0" w:color="365F91"/>
              <w:left w:val="nil"/>
              <w:bottom w:val="single" w:sz="4" w:space="0" w:color="365F91"/>
              <w:right w:val="nil"/>
            </w:tcBorders>
            <w:hideMark/>
          </w:tcPr>
          <w:p w14:paraId="37ED8D13" w14:textId="77777777" w:rsidR="00524720" w:rsidRPr="00D9348B" w:rsidRDefault="00524720">
            <w:pPr>
              <w:pStyle w:val="TableText"/>
              <w:spacing w:before="40" w:after="40"/>
              <w:jc w:val="center"/>
            </w:pPr>
            <w:r w:rsidRPr="00D9348B">
              <w:t>Same as 1997</w:t>
            </w:r>
          </w:p>
        </w:tc>
        <w:tc>
          <w:tcPr>
            <w:tcW w:w="2871" w:type="dxa"/>
            <w:tcBorders>
              <w:top w:val="single" w:sz="4" w:space="0" w:color="365F91"/>
              <w:left w:val="nil"/>
              <w:bottom w:val="single" w:sz="4" w:space="0" w:color="365F91"/>
              <w:right w:val="nil"/>
            </w:tcBorders>
            <w:hideMark/>
          </w:tcPr>
          <w:p w14:paraId="2F49F063" w14:textId="77777777" w:rsidR="00524720" w:rsidRPr="00D9348B" w:rsidRDefault="00524720">
            <w:pPr>
              <w:pStyle w:val="TableText"/>
              <w:spacing w:before="40" w:after="40"/>
              <w:jc w:val="center"/>
            </w:pPr>
            <w:r w:rsidRPr="00D9348B">
              <w:t>153.1</w:t>
            </w:r>
          </w:p>
        </w:tc>
      </w:tr>
      <w:tr w:rsidR="00524720" w:rsidRPr="00D9348B" w14:paraId="0A51F761" w14:textId="77777777" w:rsidTr="002B5847">
        <w:tc>
          <w:tcPr>
            <w:tcW w:w="709" w:type="dxa"/>
            <w:tcBorders>
              <w:top w:val="single" w:sz="4" w:space="0" w:color="365F91"/>
              <w:left w:val="nil"/>
              <w:bottom w:val="single" w:sz="4" w:space="0" w:color="365F91"/>
              <w:right w:val="nil"/>
            </w:tcBorders>
            <w:hideMark/>
          </w:tcPr>
          <w:p w14:paraId="57B99046" w14:textId="77777777" w:rsidR="00524720" w:rsidRPr="00D9348B" w:rsidRDefault="00524720">
            <w:pPr>
              <w:pStyle w:val="TableTextBold"/>
              <w:spacing w:before="40" w:after="40"/>
              <w:rPr>
                <w:noProof w:val="0"/>
              </w:rPr>
            </w:pPr>
            <w:r w:rsidRPr="00D9348B">
              <w:rPr>
                <w:noProof w:val="0"/>
              </w:rPr>
              <w:t>1996</w:t>
            </w:r>
          </w:p>
        </w:tc>
        <w:tc>
          <w:tcPr>
            <w:tcW w:w="1843" w:type="dxa"/>
            <w:tcBorders>
              <w:top w:val="single" w:sz="4" w:space="0" w:color="365F91"/>
              <w:left w:val="nil"/>
              <w:bottom w:val="single" w:sz="4" w:space="0" w:color="365F91"/>
              <w:right w:val="nil"/>
            </w:tcBorders>
            <w:hideMark/>
          </w:tcPr>
          <w:p w14:paraId="04E0B2E3" w14:textId="77777777" w:rsidR="00524720" w:rsidRPr="00D9348B" w:rsidRDefault="00524720">
            <w:pPr>
              <w:pStyle w:val="TableText"/>
              <w:spacing w:before="40" w:after="40"/>
              <w:jc w:val="center"/>
            </w:pPr>
            <w:r w:rsidRPr="00D9348B">
              <w:t>3,762,300</w:t>
            </w:r>
          </w:p>
        </w:tc>
        <w:tc>
          <w:tcPr>
            <w:tcW w:w="3082" w:type="dxa"/>
            <w:tcBorders>
              <w:top w:val="single" w:sz="4" w:space="0" w:color="365F91"/>
              <w:left w:val="nil"/>
              <w:bottom w:val="single" w:sz="4" w:space="0" w:color="365F91"/>
              <w:right w:val="nil"/>
            </w:tcBorders>
            <w:hideMark/>
          </w:tcPr>
          <w:p w14:paraId="3B3B5FB1" w14:textId="77777777" w:rsidR="00524720" w:rsidRPr="00D9348B" w:rsidRDefault="00524720">
            <w:pPr>
              <w:pStyle w:val="TableText"/>
              <w:spacing w:before="40" w:after="40"/>
              <w:jc w:val="center"/>
            </w:pPr>
            <w:r w:rsidRPr="00D9348B">
              <w:t>Same as 1997</w:t>
            </w:r>
          </w:p>
        </w:tc>
        <w:tc>
          <w:tcPr>
            <w:tcW w:w="2871" w:type="dxa"/>
            <w:tcBorders>
              <w:top w:val="single" w:sz="4" w:space="0" w:color="365F91"/>
              <w:left w:val="nil"/>
              <w:bottom w:val="single" w:sz="4" w:space="0" w:color="365F91"/>
              <w:right w:val="nil"/>
            </w:tcBorders>
            <w:hideMark/>
          </w:tcPr>
          <w:p w14:paraId="6FD2F01A" w14:textId="77777777" w:rsidR="00524720" w:rsidRPr="00D9348B" w:rsidRDefault="00524720">
            <w:pPr>
              <w:pStyle w:val="TableText"/>
              <w:spacing w:before="40" w:after="40"/>
              <w:jc w:val="center"/>
            </w:pPr>
            <w:r w:rsidRPr="00D9348B">
              <w:t>155.5</w:t>
            </w:r>
          </w:p>
        </w:tc>
      </w:tr>
      <w:tr w:rsidR="00524720" w:rsidRPr="00D9348B" w14:paraId="555328DA" w14:textId="77777777" w:rsidTr="002B5847">
        <w:tc>
          <w:tcPr>
            <w:tcW w:w="709" w:type="dxa"/>
            <w:tcBorders>
              <w:top w:val="single" w:sz="4" w:space="0" w:color="365F91"/>
              <w:left w:val="nil"/>
              <w:bottom w:val="single" w:sz="4" w:space="0" w:color="365F91"/>
              <w:right w:val="nil"/>
            </w:tcBorders>
            <w:hideMark/>
          </w:tcPr>
          <w:p w14:paraId="058C074E" w14:textId="77777777" w:rsidR="00524720" w:rsidRPr="00D9348B" w:rsidRDefault="00524720">
            <w:pPr>
              <w:pStyle w:val="TableTextBold"/>
              <w:spacing w:before="40" w:after="40"/>
              <w:rPr>
                <w:noProof w:val="0"/>
              </w:rPr>
            </w:pPr>
            <w:r w:rsidRPr="00D9348B">
              <w:rPr>
                <w:noProof w:val="0"/>
              </w:rPr>
              <w:t>1997</w:t>
            </w:r>
          </w:p>
        </w:tc>
        <w:tc>
          <w:tcPr>
            <w:tcW w:w="1843" w:type="dxa"/>
            <w:tcBorders>
              <w:top w:val="single" w:sz="4" w:space="0" w:color="365F91"/>
              <w:left w:val="nil"/>
              <w:bottom w:val="single" w:sz="4" w:space="0" w:color="365F91"/>
              <w:right w:val="nil"/>
            </w:tcBorders>
            <w:hideMark/>
          </w:tcPr>
          <w:p w14:paraId="6800DE40" w14:textId="77777777" w:rsidR="00524720" w:rsidRPr="00D9348B" w:rsidRDefault="00524720">
            <w:pPr>
              <w:pStyle w:val="TableText"/>
              <w:spacing w:before="40" w:after="40"/>
              <w:jc w:val="center"/>
            </w:pPr>
            <w:r w:rsidRPr="00D9348B">
              <w:t>3,802,700</w:t>
            </w:r>
          </w:p>
        </w:tc>
        <w:tc>
          <w:tcPr>
            <w:tcW w:w="3082" w:type="dxa"/>
            <w:tcBorders>
              <w:top w:val="single" w:sz="4" w:space="0" w:color="365F91"/>
              <w:left w:val="nil"/>
              <w:bottom w:val="single" w:sz="4" w:space="0" w:color="365F91"/>
              <w:right w:val="nil"/>
            </w:tcBorders>
            <w:hideMark/>
          </w:tcPr>
          <w:p w14:paraId="045B2FD2" w14:textId="77777777" w:rsidR="00524720" w:rsidRPr="00D9348B" w:rsidRDefault="00524720">
            <w:pPr>
              <w:pStyle w:val="TableText"/>
              <w:spacing w:before="40" w:after="40"/>
              <w:jc w:val="center"/>
            </w:pPr>
            <w:r w:rsidRPr="00D9348B">
              <w:t>0.043</w:t>
            </w:r>
          </w:p>
        </w:tc>
        <w:tc>
          <w:tcPr>
            <w:tcW w:w="2871" w:type="dxa"/>
            <w:tcBorders>
              <w:top w:val="single" w:sz="4" w:space="0" w:color="365F91"/>
              <w:left w:val="nil"/>
              <w:bottom w:val="single" w:sz="4" w:space="0" w:color="365F91"/>
              <w:right w:val="nil"/>
            </w:tcBorders>
            <w:hideMark/>
          </w:tcPr>
          <w:p w14:paraId="3946345A" w14:textId="77777777" w:rsidR="00524720" w:rsidRPr="00D9348B" w:rsidRDefault="00524720">
            <w:pPr>
              <w:pStyle w:val="TableText"/>
              <w:spacing w:before="40" w:after="40"/>
              <w:jc w:val="center"/>
            </w:pPr>
            <w:r w:rsidRPr="00D9348B">
              <w:t>157.4</w:t>
            </w:r>
          </w:p>
        </w:tc>
      </w:tr>
      <w:tr w:rsidR="00524720" w:rsidRPr="00D9348B" w14:paraId="3C875DAE" w14:textId="77777777" w:rsidTr="002B5847">
        <w:tc>
          <w:tcPr>
            <w:tcW w:w="709" w:type="dxa"/>
            <w:tcBorders>
              <w:top w:val="single" w:sz="4" w:space="0" w:color="365F91"/>
              <w:left w:val="nil"/>
              <w:bottom w:val="single" w:sz="4" w:space="0" w:color="365F91"/>
              <w:right w:val="nil"/>
            </w:tcBorders>
            <w:hideMark/>
          </w:tcPr>
          <w:p w14:paraId="725309F6" w14:textId="77777777" w:rsidR="00524720" w:rsidRPr="00D9348B" w:rsidRDefault="00524720">
            <w:pPr>
              <w:pStyle w:val="TableTextBold"/>
              <w:spacing w:before="40" w:after="40"/>
              <w:rPr>
                <w:noProof w:val="0"/>
              </w:rPr>
            </w:pPr>
            <w:r w:rsidRPr="00D9348B">
              <w:rPr>
                <w:noProof w:val="0"/>
              </w:rPr>
              <w:t>1998</w:t>
            </w:r>
          </w:p>
        </w:tc>
        <w:tc>
          <w:tcPr>
            <w:tcW w:w="1843" w:type="dxa"/>
            <w:tcBorders>
              <w:top w:val="single" w:sz="4" w:space="0" w:color="365F91"/>
              <w:left w:val="nil"/>
              <w:bottom w:val="single" w:sz="4" w:space="0" w:color="365F91"/>
              <w:right w:val="nil"/>
            </w:tcBorders>
            <w:hideMark/>
          </w:tcPr>
          <w:p w14:paraId="76B2093E" w14:textId="77777777" w:rsidR="00524720" w:rsidRPr="00D9348B" w:rsidRDefault="00524720">
            <w:pPr>
              <w:pStyle w:val="TableText"/>
              <w:spacing w:before="40" w:after="40"/>
              <w:jc w:val="center"/>
            </w:pPr>
            <w:r w:rsidRPr="00D9348B">
              <w:t>3,829,200</w:t>
            </w:r>
          </w:p>
        </w:tc>
        <w:tc>
          <w:tcPr>
            <w:tcW w:w="3082" w:type="dxa"/>
            <w:tcBorders>
              <w:top w:val="single" w:sz="4" w:space="0" w:color="365F91"/>
              <w:left w:val="nil"/>
              <w:bottom w:val="single" w:sz="4" w:space="0" w:color="365F91"/>
              <w:right w:val="nil"/>
            </w:tcBorders>
            <w:hideMark/>
          </w:tcPr>
          <w:p w14:paraId="27197880" w14:textId="77777777" w:rsidR="00524720" w:rsidRPr="00D9348B" w:rsidRDefault="00524720">
            <w:pPr>
              <w:pStyle w:val="TableText"/>
              <w:spacing w:before="40" w:after="40"/>
              <w:jc w:val="center"/>
            </w:pPr>
            <w:r w:rsidRPr="00D9348B">
              <w:t>Interpolated</w:t>
            </w:r>
          </w:p>
        </w:tc>
        <w:tc>
          <w:tcPr>
            <w:tcW w:w="2871" w:type="dxa"/>
            <w:tcBorders>
              <w:top w:val="single" w:sz="4" w:space="0" w:color="365F91"/>
              <w:left w:val="nil"/>
              <w:bottom w:val="single" w:sz="4" w:space="0" w:color="365F91"/>
              <w:right w:val="nil"/>
            </w:tcBorders>
            <w:hideMark/>
          </w:tcPr>
          <w:p w14:paraId="17308C69" w14:textId="77777777" w:rsidR="00524720" w:rsidRPr="00D9348B" w:rsidRDefault="00524720">
            <w:pPr>
              <w:pStyle w:val="TableText"/>
              <w:spacing w:before="40" w:after="40"/>
              <w:jc w:val="center"/>
            </w:pPr>
            <w:r w:rsidRPr="00D9348B">
              <w:t>156.2</w:t>
            </w:r>
          </w:p>
        </w:tc>
      </w:tr>
      <w:tr w:rsidR="00524720" w:rsidRPr="00D9348B" w14:paraId="2F7CB7A8" w14:textId="77777777" w:rsidTr="002B5847">
        <w:tc>
          <w:tcPr>
            <w:tcW w:w="709" w:type="dxa"/>
            <w:tcBorders>
              <w:top w:val="single" w:sz="4" w:space="0" w:color="365F91"/>
              <w:left w:val="nil"/>
              <w:bottom w:val="single" w:sz="4" w:space="0" w:color="365F91"/>
              <w:right w:val="nil"/>
            </w:tcBorders>
            <w:hideMark/>
          </w:tcPr>
          <w:p w14:paraId="3021A544" w14:textId="77777777" w:rsidR="00524720" w:rsidRPr="00D9348B" w:rsidRDefault="00524720">
            <w:pPr>
              <w:pStyle w:val="TableTextBold"/>
              <w:spacing w:before="40" w:after="40"/>
              <w:rPr>
                <w:noProof w:val="0"/>
              </w:rPr>
            </w:pPr>
            <w:r w:rsidRPr="00D9348B">
              <w:rPr>
                <w:noProof w:val="0"/>
              </w:rPr>
              <w:t>1999</w:t>
            </w:r>
          </w:p>
        </w:tc>
        <w:tc>
          <w:tcPr>
            <w:tcW w:w="1843" w:type="dxa"/>
            <w:tcBorders>
              <w:top w:val="single" w:sz="4" w:space="0" w:color="365F91"/>
              <w:left w:val="nil"/>
              <w:bottom w:val="single" w:sz="4" w:space="0" w:color="365F91"/>
              <w:right w:val="nil"/>
            </w:tcBorders>
            <w:hideMark/>
          </w:tcPr>
          <w:p w14:paraId="15CDFF5E" w14:textId="77777777" w:rsidR="00524720" w:rsidRPr="00D9348B" w:rsidRDefault="00524720">
            <w:pPr>
              <w:pStyle w:val="TableText"/>
              <w:spacing w:before="40" w:after="40"/>
              <w:jc w:val="center"/>
            </w:pPr>
            <w:r w:rsidRPr="00D9348B">
              <w:t>3,851,100</w:t>
            </w:r>
          </w:p>
        </w:tc>
        <w:tc>
          <w:tcPr>
            <w:tcW w:w="3082" w:type="dxa"/>
            <w:tcBorders>
              <w:top w:val="single" w:sz="4" w:space="0" w:color="365F91"/>
              <w:left w:val="nil"/>
              <w:bottom w:val="single" w:sz="4" w:space="0" w:color="365F91"/>
              <w:right w:val="nil"/>
            </w:tcBorders>
            <w:hideMark/>
          </w:tcPr>
          <w:p w14:paraId="1ACA6E93" w14:textId="77777777" w:rsidR="00524720" w:rsidRPr="00D9348B" w:rsidRDefault="00524720">
            <w:pPr>
              <w:pStyle w:val="TableText"/>
              <w:spacing w:before="40" w:after="40"/>
              <w:jc w:val="center"/>
            </w:pPr>
            <w:r w:rsidRPr="00D9348B">
              <w:t>Interpolated</w:t>
            </w:r>
          </w:p>
        </w:tc>
        <w:tc>
          <w:tcPr>
            <w:tcW w:w="2871" w:type="dxa"/>
            <w:tcBorders>
              <w:top w:val="single" w:sz="4" w:space="0" w:color="365F91"/>
              <w:left w:val="nil"/>
              <w:bottom w:val="single" w:sz="4" w:space="0" w:color="365F91"/>
              <w:right w:val="nil"/>
            </w:tcBorders>
            <w:hideMark/>
          </w:tcPr>
          <w:p w14:paraId="6300C46F" w14:textId="77777777" w:rsidR="00524720" w:rsidRPr="00D9348B" w:rsidRDefault="00524720">
            <w:pPr>
              <w:pStyle w:val="TableText"/>
              <w:spacing w:before="40" w:after="40"/>
              <w:jc w:val="center"/>
            </w:pPr>
            <w:r w:rsidRPr="00D9348B">
              <w:t>155.1</w:t>
            </w:r>
          </w:p>
        </w:tc>
      </w:tr>
      <w:tr w:rsidR="00524720" w:rsidRPr="00D9348B" w14:paraId="13A81209" w14:textId="77777777" w:rsidTr="002B5847">
        <w:tc>
          <w:tcPr>
            <w:tcW w:w="709" w:type="dxa"/>
            <w:tcBorders>
              <w:top w:val="single" w:sz="4" w:space="0" w:color="365F91"/>
              <w:left w:val="nil"/>
              <w:bottom w:val="single" w:sz="4" w:space="0" w:color="365F91"/>
              <w:right w:val="nil"/>
            </w:tcBorders>
            <w:hideMark/>
          </w:tcPr>
          <w:p w14:paraId="5E9E7FFF" w14:textId="77777777" w:rsidR="00524720" w:rsidRPr="00D9348B" w:rsidRDefault="00524720">
            <w:pPr>
              <w:pStyle w:val="TableTextBold"/>
              <w:spacing w:before="40" w:after="40"/>
              <w:rPr>
                <w:noProof w:val="0"/>
              </w:rPr>
            </w:pPr>
            <w:r w:rsidRPr="00D9348B">
              <w:rPr>
                <w:noProof w:val="0"/>
              </w:rPr>
              <w:t>2000</w:t>
            </w:r>
          </w:p>
        </w:tc>
        <w:tc>
          <w:tcPr>
            <w:tcW w:w="1843" w:type="dxa"/>
            <w:tcBorders>
              <w:top w:val="single" w:sz="4" w:space="0" w:color="365F91"/>
              <w:left w:val="nil"/>
              <w:bottom w:val="single" w:sz="4" w:space="0" w:color="365F91"/>
              <w:right w:val="nil"/>
            </w:tcBorders>
            <w:hideMark/>
          </w:tcPr>
          <w:p w14:paraId="01A13CEC" w14:textId="77777777" w:rsidR="00524720" w:rsidRPr="00D9348B" w:rsidRDefault="00524720">
            <w:pPr>
              <w:pStyle w:val="TableText"/>
              <w:spacing w:before="40" w:after="40"/>
              <w:jc w:val="center"/>
            </w:pPr>
            <w:r w:rsidRPr="00D9348B">
              <w:t>3,873,100</w:t>
            </w:r>
          </w:p>
        </w:tc>
        <w:tc>
          <w:tcPr>
            <w:tcW w:w="3082" w:type="dxa"/>
            <w:tcBorders>
              <w:top w:val="single" w:sz="4" w:space="0" w:color="365F91"/>
              <w:left w:val="nil"/>
              <w:bottom w:val="single" w:sz="4" w:space="0" w:color="365F91"/>
              <w:right w:val="nil"/>
            </w:tcBorders>
            <w:hideMark/>
          </w:tcPr>
          <w:p w14:paraId="21AAD0B3" w14:textId="77777777" w:rsidR="00524720" w:rsidRPr="00D9348B" w:rsidRDefault="00524720">
            <w:pPr>
              <w:pStyle w:val="TableText"/>
              <w:spacing w:before="40" w:after="40"/>
              <w:jc w:val="center"/>
            </w:pPr>
            <w:r w:rsidRPr="00D9348B">
              <w:t>Interpolated</w:t>
            </w:r>
          </w:p>
        </w:tc>
        <w:tc>
          <w:tcPr>
            <w:tcW w:w="2871" w:type="dxa"/>
            <w:tcBorders>
              <w:top w:val="single" w:sz="4" w:space="0" w:color="365F91"/>
              <w:left w:val="nil"/>
              <w:bottom w:val="single" w:sz="4" w:space="0" w:color="365F91"/>
              <w:right w:val="nil"/>
            </w:tcBorders>
            <w:hideMark/>
          </w:tcPr>
          <w:p w14:paraId="311527E4" w14:textId="77777777" w:rsidR="00524720" w:rsidRPr="00D9348B" w:rsidRDefault="00524720">
            <w:pPr>
              <w:pStyle w:val="TableText"/>
              <w:spacing w:before="40" w:after="40"/>
              <w:jc w:val="center"/>
            </w:pPr>
            <w:r w:rsidRPr="00D9348B">
              <w:t>153.9</w:t>
            </w:r>
          </w:p>
        </w:tc>
      </w:tr>
      <w:tr w:rsidR="00524720" w:rsidRPr="00D9348B" w14:paraId="0A539CA0" w14:textId="77777777" w:rsidTr="002B5847">
        <w:tc>
          <w:tcPr>
            <w:tcW w:w="709" w:type="dxa"/>
            <w:tcBorders>
              <w:top w:val="single" w:sz="4" w:space="0" w:color="365F91"/>
              <w:left w:val="nil"/>
              <w:bottom w:val="single" w:sz="4" w:space="0" w:color="365F91"/>
              <w:right w:val="nil"/>
            </w:tcBorders>
            <w:hideMark/>
          </w:tcPr>
          <w:p w14:paraId="31C8A7F1" w14:textId="77777777" w:rsidR="00524720" w:rsidRPr="00D9348B" w:rsidRDefault="00524720">
            <w:pPr>
              <w:pStyle w:val="TableTextBold"/>
              <w:spacing w:before="40" w:after="40"/>
              <w:rPr>
                <w:noProof w:val="0"/>
              </w:rPr>
            </w:pPr>
            <w:r w:rsidRPr="00D9348B">
              <w:rPr>
                <w:noProof w:val="0"/>
              </w:rPr>
              <w:t>2001</w:t>
            </w:r>
          </w:p>
        </w:tc>
        <w:tc>
          <w:tcPr>
            <w:tcW w:w="1843" w:type="dxa"/>
            <w:tcBorders>
              <w:top w:val="single" w:sz="4" w:space="0" w:color="365F91"/>
              <w:left w:val="nil"/>
              <w:bottom w:val="single" w:sz="4" w:space="0" w:color="365F91"/>
              <w:right w:val="nil"/>
            </w:tcBorders>
            <w:hideMark/>
          </w:tcPr>
          <w:p w14:paraId="79DFA160" w14:textId="77777777" w:rsidR="00524720" w:rsidRPr="00D9348B" w:rsidRDefault="00524720">
            <w:pPr>
              <w:pStyle w:val="TableText"/>
              <w:spacing w:before="40" w:after="40"/>
              <w:jc w:val="center"/>
            </w:pPr>
            <w:r w:rsidRPr="00D9348B">
              <w:t>3,916,200</w:t>
            </w:r>
          </w:p>
        </w:tc>
        <w:tc>
          <w:tcPr>
            <w:tcW w:w="3082" w:type="dxa"/>
            <w:tcBorders>
              <w:top w:val="single" w:sz="4" w:space="0" w:color="365F91"/>
              <w:left w:val="nil"/>
              <w:bottom w:val="single" w:sz="4" w:space="0" w:color="365F91"/>
              <w:right w:val="nil"/>
            </w:tcBorders>
            <w:hideMark/>
          </w:tcPr>
          <w:p w14:paraId="133ED9C0" w14:textId="77777777" w:rsidR="00524720" w:rsidRPr="00D9348B" w:rsidRDefault="00524720">
            <w:pPr>
              <w:pStyle w:val="TableText"/>
              <w:spacing w:before="40" w:after="40"/>
              <w:jc w:val="center"/>
            </w:pPr>
            <w:r w:rsidRPr="00D9348B">
              <w:t>0.038</w:t>
            </w:r>
          </w:p>
        </w:tc>
        <w:tc>
          <w:tcPr>
            <w:tcW w:w="2871" w:type="dxa"/>
            <w:tcBorders>
              <w:top w:val="single" w:sz="4" w:space="0" w:color="365F91"/>
              <w:left w:val="nil"/>
              <w:bottom w:val="single" w:sz="4" w:space="0" w:color="365F91"/>
              <w:right w:val="nil"/>
            </w:tcBorders>
            <w:hideMark/>
          </w:tcPr>
          <w:p w14:paraId="6D344BFA" w14:textId="77777777" w:rsidR="00524720" w:rsidRPr="00D9348B" w:rsidRDefault="00524720">
            <w:pPr>
              <w:pStyle w:val="TableText"/>
              <w:spacing w:before="40" w:after="40"/>
              <w:jc w:val="center"/>
            </w:pPr>
            <w:r w:rsidRPr="00D9348B">
              <w:t>152.7</w:t>
            </w:r>
          </w:p>
        </w:tc>
      </w:tr>
      <w:tr w:rsidR="00524720" w:rsidRPr="00D9348B" w14:paraId="45314747" w14:textId="77777777" w:rsidTr="002B5847">
        <w:tc>
          <w:tcPr>
            <w:tcW w:w="709" w:type="dxa"/>
            <w:tcBorders>
              <w:top w:val="single" w:sz="4" w:space="0" w:color="365F91"/>
              <w:left w:val="nil"/>
              <w:bottom w:val="single" w:sz="4" w:space="0" w:color="365F91"/>
              <w:right w:val="nil"/>
            </w:tcBorders>
            <w:hideMark/>
          </w:tcPr>
          <w:p w14:paraId="44AC61B1" w14:textId="77777777" w:rsidR="00524720" w:rsidRPr="00D9348B" w:rsidRDefault="00524720">
            <w:pPr>
              <w:pStyle w:val="TableTextBold"/>
              <w:spacing w:before="40" w:after="40"/>
              <w:rPr>
                <w:noProof w:val="0"/>
              </w:rPr>
            </w:pPr>
            <w:r w:rsidRPr="00D9348B">
              <w:rPr>
                <w:noProof w:val="0"/>
              </w:rPr>
              <w:t>2002</w:t>
            </w:r>
          </w:p>
        </w:tc>
        <w:tc>
          <w:tcPr>
            <w:tcW w:w="1843" w:type="dxa"/>
            <w:tcBorders>
              <w:top w:val="single" w:sz="4" w:space="0" w:color="365F91"/>
              <w:left w:val="nil"/>
              <w:bottom w:val="single" w:sz="4" w:space="0" w:color="365F91"/>
              <w:right w:val="nil"/>
            </w:tcBorders>
            <w:hideMark/>
          </w:tcPr>
          <w:p w14:paraId="242CACA7" w14:textId="77777777" w:rsidR="00524720" w:rsidRPr="00D9348B" w:rsidRDefault="00524720">
            <w:pPr>
              <w:pStyle w:val="TableText"/>
              <w:spacing w:before="40" w:after="40"/>
              <w:jc w:val="center"/>
            </w:pPr>
            <w:r w:rsidRPr="00D9348B">
              <w:t>3,989,500</w:t>
            </w:r>
          </w:p>
        </w:tc>
        <w:tc>
          <w:tcPr>
            <w:tcW w:w="3082" w:type="dxa"/>
            <w:tcBorders>
              <w:top w:val="single" w:sz="4" w:space="0" w:color="365F91"/>
              <w:left w:val="nil"/>
              <w:bottom w:val="single" w:sz="4" w:space="0" w:color="365F91"/>
              <w:right w:val="nil"/>
            </w:tcBorders>
            <w:hideMark/>
          </w:tcPr>
          <w:p w14:paraId="60E844FA" w14:textId="77777777" w:rsidR="00524720" w:rsidRPr="00D9348B" w:rsidRDefault="00524720">
            <w:pPr>
              <w:pStyle w:val="TableText"/>
              <w:spacing w:before="40" w:after="40"/>
              <w:jc w:val="center"/>
            </w:pPr>
            <w:r w:rsidRPr="00D9348B">
              <w:t>Interpolated</w:t>
            </w:r>
          </w:p>
        </w:tc>
        <w:tc>
          <w:tcPr>
            <w:tcW w:w="2871" w:type="dxa"/>
            <w:tcBorders>
              <w:top w:val="single" w:sz="4" w:space="0" w:color="365F91"/>
              <w:left w:val="nil"/>
              <w:bottom w:val="single" w:sz="4" w:space="0" w:color="365F91"/>
              <w:right w:val="nil"/>
            </w:tcBorders>
            <w:hideMark/>
          </w:tcPr>
          <w:p w14:paraId="49AB2182" w14:textId="77777777" w:rsidR="00524720" w:rsidRPr="00D9348B" w:rsidRDefault="00524720">
            <w:pPr>
              <w:pStyle w:val="TableText"/>
              <w:spacing w:before="40" w:after="40"/>
              <w:jc w:val="center"/>
            </w:pPr>
            <w:r w:rsidRPr="00D9348B">
              <w:t>155.9</w:t>
            </w:r>
          </w:p>
        </w:tc>
      </w:tr>
      <w:tr w:rsidR="00524720" w:rsidRPr="00D9348B" w14:paraId="0351C838" w14:textId="77777777" w:rsidTr="002B5847">
        <w:tc>
          <w:tcPr>
            <w:tcW w:w="709" w:type="dxa"/>
            <w:tcBorders>
              <w:top w:val="single" w:sz="4" w:space="0" w:color="365F91"/>
              <w:left w:val="nil"/>
              <w:bottom w:val="single" w:sz="4" w:space="0" w:color="365F91"/>
              <w:right w:val="nil"/>
            </w:tcBorders>
            <w:hideMark/>
          </w:tcPr>
          <w:p w14:paraId="0E883A79" w14:textId="77777777" w:rsidR="00524720" w:rsidRPr="00D9348B" w:rsidRDefault="00524720">
            <w:pPr>
              <w:pStyle w:val="TableTextBold"/>
              <w:spacing w:before="40" w:after="40"/>
              <w:rPr>
                <w:noProof w:val="0"/>
              </w:rPr>
            </w:pPr>
            <w:r w:rsidRPr="00D9348B">
              <w:rPr>
                <w:noProof w:val="0"/>
              </w:rPr>
              <w:t>2003</w:t>
            </w:r>
          </w:p>
        </w:tc>
        <w:tc>
          <w:tcPr>
            <w:tcW w:w="1843" w:type="dxa"/>
            <w:tcBorders>
              <w:top w:val="single" w:sz="4" w:space="0" w:color="365F91"/>
              <w:left w:val="nil"/>
              <w:bottom w:val="single" w:sz="4" w:space="0" w:color="365F91"/>
              <w:right w:val="nil"/>
            </w:tcBorders>
            <w:hideMark/>
          </w:tcPr>
          <w:p w14:paraId="1B37F8F8" w14:textId="77777777" w:rsidR="00524720" w:rsidRPr="00D9348B" w:rsidRDefault="00524720">
            <w:pPr>
              <w:pStyle w:val="TableText"/>
              <w:spacing w:before="40" w:after="40"/>
              <w:jc w:val="center"/>
            </w:pPr>
            <w:r w:rsidRPr="00D9348B">
              <w:t>4,061,600</w:t>
            </w:r>
          </w:p>
        </w:tc>
        <w:tc>
          <w:tcPr>
            <w:tcW w:w="3082" w:type="dxa"/>
            <w:tcBorders>
              <w:top w:val="single" w:sz="4" w:space="0" w:color="365F91"/>
              <w:left w:val="nil"/>
              <w:bottom w:val="single" w:sz="4" w:space="0" w:color="365F91"/>
              <w:right w:val="nil"/>
            </w:tcBorders>
            <w:hideMark/>
          </w:tcPr>
          <w:p w14:paraId="4D5700BC" w14:textId="77777777" w:rsidR="00524720" w:rsidRPr="00D9348B" w:rsidRDefault="00524720">
            <w:pPr>
              <w:pStyle w:val="TableText"/>
              <w:spacing w:before="40" w:after="40"/>
              <w:jc w:val="center"/>
            </w:pPr>
            <w:r w:rsidRPr="00D9348B">
              <w:t>Interpolated</w:t>
            </w:r>
          </w:p>
        </w:tc>
        <w:tc>
          <w:tcPr>
            <w:tcW w:w="2871" w:type="dxa"/>
            <w:tcBorders>
              <w:top w:val="single" w:sz="4" w:space="0" w:color="365F91"/>
              <w:left w:val="nil"/>
              <w:bottom w:val="single" w:sz="4" w:space="0" w:color="365F91"/>
              <w:right w:val="nil"/>
            </w:tcBorders>
            <w:hideMark/>
          </w:tcPr>
          <w:p w14:paraId="1DC40072" w14:textId="77777777" w:rsidR="00524720" w:rsidRPr="00D9348B" w:rsidRDefault="00524720">
            <w:pPr>
              <w:pStyle w:val="TableText"/>
              <w:spacing w:before="40" w:after="40"/>
              <w:jc w:val="center"/>
            </w:pPr>
            <w:r w:rsidRPr="00D9348B">
              <w:t>159.0</w:t>
            </w:r>
          </w:p>
        </w:tc>
      </w:tr>
      <w:tr w:rsidR="00524720" w:rsidRPr="00D9348B" w14:paraId="0FB16C67" w14:textId="77777777" w:rsidTr="002B5847">
        <w:tc>
          <w:tcPr>
            <w:tcW w:w="709" w:type="dxa"/>
            <w:tcBorders>
              <w:top w:val="single" w:sz="4" w:space="0" w:color="365F91"/>
              <w:left w:val="nil"/>
              <w:bottom w:val="single" w:sz="4" w:space="0" w:color="365F91"/>
              <w:right w:val="nil"/>
            </w:tcBorders>
            <w:hideMark/>
          </w:tcPr>
          <w:p w14:paraId="737AC5A9" w14:textId="77777777" w:rsidR="00524720" w:rsidRPr="00D9348B" w:rsidRDefault="00524720">
            <w:pPr>
              <w:pStyle w:val="TableTextBold"/>
              <w:spacing w:before="40" w:after="40"/>
              <w:rPr>
                <w:noProof w:val="0"/>
              </w:rPr>
            </w:pPr>
            <w:r w:rsidRPr="00D9348B">
              <w:rPr>
                <w:noProof w:val="0"/>
              </w:rPr>
              <w:t>2004</w:t>
            </w:r>
          </w:p>
        </w:tc>
        <w:tc>
          <w:tcPr>
            <w:tcW w:w="1843" w:type="dxa"/>
            <w:tcBorders>
              <w:top w:val="single" w:sz="4" w:space="0" w:color="365F91"/>
              <w:left w:val="nil"/>
              <w:bottom w:val="single" w:sz="4" w:space="0" w:color="365F91"/>
              <w:right w:val="nil"/>
            </w:tcBorders>
            <w:hideMark/>
          </w:tcPr>
          <w:p w14:paraId="47FDE2E0" w14:textId="77777777" w:rsidR="00524720" w:rsidRPr="00D9348B" w:rsidRDefault="00524720">
            <w:pPr>
              <w:pStyle w:val="TableText"/>
              <w:spacing w:before="40" w:after="40"/>
              <w:jc w:val="center"/>
            </w:pPr>
            <w:r w:rsidRPr="00D9348B">
              <w:t>4,114,300</w:t>
            </w:r>
          </w:p>
        </w:tc>
        <w:tc>
          <w:tcPr>
            <w:tcW w:w="3082" w:type="dxa"/>
            <w:tcBorders>
              <w:top w:val="single" w:sz="4" w:space="0" w:color="365F91"/>
              <w:left w:val="nil"/>
              <w:bottom w:val="single" w:sz="4" w:space="0" w:color="365F91"/>
              <w:right w:val="nil"/>
            </w:tcBorders>
            <w:hideMark/>
          </w:tcPr>
          <w:p w14:paraId="71F58D4E" w14:textId="77777777" w:rsidR="00524720" w:rsidRPr="00D9348B" w:rsidRDefault="00524720">
            <w:pPr>
              <w:pStyle w:val="TableText"/>
              <w:spacing w:before="40" w:after="40"/>
              <w:jc w:val="center"/>
            </w:pPr>
            <w:r w:rsidRPr="00D9348B">
              <w:t>Interpolated</w:t>
            </w:r>
          </w:p>
        </w:tc>
        <w:tc>
          <w:tcPr>
            <w:tcW w:w="2871" w:type="dxa"/>
            <w:tcBorders>
              <w:top w:val="single" w:sz="4" w:space="0" w:color="365F91"/>
              <w:left w:val="nil"/>
              <w:bottom w:val="single" w:sz="4" w:space="0" w:color="365F91"/>
              <w:right w:val="nil"/>
            </w:tcBorders>
            <w:hideMark/>
          </w:tcPr>
          <w:p w14:paraId="743AD2AF" w14:textId="77777777" w:rsidR="00524720" w:rsidRPr="00D9348B" w:rsidRDefault="00524720">
            <w:pPr>
              <w:pStyle w:val="TableText"/>
              <w:spacing w:before="40" w:after="40"/>
              <w:jc w:val="center"/>
            </w:pPr>
            <w:r w:rsidRPr="00D9348B">
              <w:t>162.2</w:t>
            </w:r>
          </w:p>
        </w:tc>
      </w:tr>
      <w:tr w:rsidR="00524720" w:rsidRPr="00D9348B" w14:paraId="23BA64CC" w14:textId="77777777" w:rsidTr="002B5847">
        <w:tc>
          <w:tcPr>
            <w:tcW w:w="709" w:type="dxa"/>
            <w:tcBorders>
              <w:top w:val="single" w:sz="4" w:space="0" w:color="365F91"/>
              <w:left w:val="nil"/>
              <w:bottom w:val="single" w:sz="4" w:space="0" w:color="365F91"/>
              <w:right w:val="nil"/>
            </w:tcBorders>
            <w:hideMark/>
          </w:tcPr>
          <w:p w14:paraId="24986364" w14:textId="77777777" w:rsidR="00524720" w:rsidRPr="00D9348B" w:rsidRDefault="00524720">
            <w:pPr>
              <w:pStyle w:val="TableTextBold"/>
              <w:spacing w:before="40" w:after="40"/>
              <w:rPr>
                <w:noProof w:val="0"/>
              </w:rPr>
            </w:pPr>
            <w:r w:rsidRPr="00D9348B">
              <w:rPr>
                <w:noProof w:val="0"/>
              </w:rPr>
              <w:t>2005</w:t>
            </w:r>
          </w:p>
        </w:tc>
        <w:tc>
          <w:tcPr>
            <w:tcW w:w="1843" w:type="dxa"/>
            <w:tcBorders>
              <w:top w:val="single" w:sz="4" w:space="0" w:color="365F91"/>
              <w:left w:val="nil"/>
              <w:bottom w:val="single" w:sz="4" w:space="0" w:color="365F91"/>
              <w:right w:val="nil"/>
            </w:tcBorders>
            <w:hideMark/>
          </w:tcPr>
          <w:p w14:paraId="0529C11C" w14:textId="77777777" w:rsidR="00524720" w:rsidRPr="00D9348B" w:rsidRDefault="00524720">
            <w:pPr>
              <w:pStyle w:val="TableText"/>
              <w:spacing w:before="40" w:after="40"/>
              <w:jc w:val="center"/>
            </w:pPr>
            <w:r w:rsidRPr="00D9348B">
              <w:t>4,161,000</w:t>
            </w:r>
          </w:p>
        </w:tc>
        <w:tc>
          <w:tcPr>
            <w:tcW w:w="3082" w:type="dxa"/>
            <w:tcBorders>
              <w:top w:val="single" w:sz="4" w:space="0" w:color="365F91"/>
              <w:left w:val="nil"/>
              <w:bottom w:val="single" w:sz="4" w:space="0" w:color="365F91"/>
              <w:right w:val="nil"/>
            </w:tcBorders>
            <w:hideMark/>
          </w:tcPr>
          <w:p w14:paraId="2DE1F11E" w14:textId="77777777" w:rsidR="00524720" w:rsidRPr="00D9348B" w:rsidRDefault="00524720">
            <w:pPr>
              <w:pStyle w:val="TableText"/>
              <w:spacing w:before="40" w:after="40"/>
              <w:jc w:val="center"/>
            </w:pPr>
            <w:r w:rsidRPr="00D9348B">
              <w:t>Interpolated</w:t>
            </w:r>
          </w:p>
        </w:tc>
        <w:tc>
          <w:tcPr>
            <w:tcW w:w="2871" w:type="dxa"/>
            <w:tcBorders>
              <w:top w:val="single" w:sz="4" w:space="0" w:color="365F91"/>
              <w:left w:val="nil"/>
              <w:bottom w:val="single" w:sz="4" w:space="0" w:color="365F91"/>
              <w:right w:val="nil"/>
            </w:tcBorders>
            <w:hideMark/>
          </w:tcPr>
          <w:p w14:paraId="4FEBCA3D" w14:textId="77777777" w:rsidR="00524720" w:rsidRPr="00D9348B" w:rsidRDefault="00524720">
            <w:pPr>
              <w:pStyle w:val="TableText"/>
              <w:spacing w:before="40" w:after="40"/>
              <w:jc w:val="center"/>
            </w:pPr>
            <w:r w:rsidRPr="00D9348B">
              <w:t>165.5</w:t>
            </w:r>
          </w:p>
        </w:tc>
      </w:tr>
      <w:tr w:rsidR="00524720" w:rsidRPr="00D9348B" w14:paraId="28F78F05" w14:textId="77777777" w:rsidTr="002B5847">
        <w:tc>
          <w:tcPr>
            <w:tcW w:w="709" w:type="dxa"/>
            <w:tcBorders>
              <w:top w:val="single" w:sz="4" w:space="0" w:color="365F91"/>
              <w:left w:val="nil"/>
              <w:bottom w:val="single" w:sz="4" w:space="0" w:color="365F91"/>
              <w:right w:val="nil"/>
            </w:tcBorders>
            <w:hideMark/>
          </w:tcPr>
          <w:p w14:paraId="40B9A965" w14:textId="77777777" w:rsidR="00524720" w:rsidRPr="00D9348B" w:rsidRDefault="00524720">
            <w:pPr>
              <w:pStyle w:val="TableTextBold"/>
              <w:spacing w:before="40" w:after="40"/>
              <w:rPr>
                <w:noProof w:val="0"/>
              </w:rPr>
            </w:pPr>
            <w:r w:rsidRPr="00D9348B">
              <w:rPr>
                <w:noProof w:val="0"/>
              </w:rPr>
              <w:t>2006</w:t>
            </w:r>
          </w:p>
        </w:tc>
        <w:tc>
          <w:tcPr>
            <w:tcW w:w="1843" w:type="dxa"/>
            <w:tcBorders>
              <w:top w:val="single" w:sz="4" w:space="0" w:color="365F91"/>
              <w:left w:val="nil"/>
              <w:bottom w:val="single" w:sz="4" w:space="0" w:color="365F91"/>
              <w:right w:val="nil"/>
            </w:tcBorders>
            <w:hideMark/>
          </w:tcPr>
          <w:p w14:paraId="2DA465E1" w14:textId="77777777" w:rsidR="00524720" w:rsidRPr="00D9348B" w:rsidRDefault="00524720">
            <w:pPr>
              <w:pStyle w:val="TableText"/>
              <w:spacing w:before="40" w:after="40"/>
              <w:jc w:val="center"/>
            </w:pPr>
            <w:r w:rsidRPr="00D9348B">
              <w:t>4,209,100</w:t>
            </w:r>
          </w:p>
        </w:tc>
        <w:tc>
          <w:tcPr>
            <w:tcW w:w="3082" w:type="dxa"/>
            <w:tcBorders>
              <w:top w:val="single" w:sz="4" w:space="0" w:color="365F91"/>
              <w:left w:val="nil"/>
              <w:bottom w:val="single" w:sz="4" w:space="0" w:color="365F91"/>
              <w:right w:val="nil"/>
            </w:tcBorders>
            <w:hideMark/>
          </w:tcPr>
          <w:p w14:paraId="16E52894" w14:textId="77777777" w:rsidR="00524720" w:rsidRPr="00D9348B" w:rsidRDefault="00524720">
            <w:pPr>
              <w:pStyle w:val="TableText"/>
              <w:spacing w:before="40" w:after="40"/>
              <w:jc w:val="center"/>
            </w:pPr>
            <w:r w:rsidRPr="00D9348B">
              <w:t>0.032</w:t>
            </w:r>
          </w:p>
        </w:tc>
        <w:tc>
          <w:tcPr>
            <w:tcW w:w="2871" w:type="dxa"/>
            <w:tcBorders>
              <w:top w:val="single" w:sz="4" w:space="0" w:color="365F91"/>
              <w:left w:val="nil"/>
              <w:bottom w:val="single" w:sz="4" w:space="0" w:color="365F91"/>
              <w:right w:val="nil"/>
            </w:tcBorders>
            <w:hideMark/>
          </w:tcPr>
          <w:p w14:paraId="70528650" w14:textId="77777777" w:rsidR="00524720" w:rsidRPr="00D9348B" w:rsidRDefault="00524720">
            <w:pPr>
              <w:pStyle w:val="TableText"/>
              <w:spacing w:before="40" w:after="40"/>
              <w:jc w:val="center"/>
            </w:pPr>
            <w:r w:rsidRPr="00D9348B">
              <w:t>168.0</w:t>
            </w:r>
          </w:p>
        </w:tc>
      </w:tr>
      <w:tr w:rsidR="00524720" w:rsidRPr="00D9348B" w14:paraId="474C99F8" w14:textId="77777777" w:rsidTr="002B5847">
        <w:tc>
          <w:tcPr>
            <w:tcW w:w="709" w:type="dxa"/>
            <w:tcBorders>
              <w:top w:val="single" w:sz="4" w:space="0" w:color="365F91"/>
              <w:left w:val="nil"/>
              <w:bottom w:val="single" w:sz="4" w:space="0" w:color="365F91"/>
              <w:right w:val="nil"/>
            </w:tcBorders>
            <w:hideMark/>
          </w:tcPr>
          <w:p w14:paraId="3C367248" w14:textId="77777777" w:rsidR="00524720" w:rsidRPr="00D9348B" w:rsidRDefault="00524720">
            <w:pPr>
              <w:pStyle w:val="TableTextBold"/>
              <w:spacing w:before="40" w:after="40"/>
              <w:rPr>
                <w:noProof w:val="0"/>
              </w:rPr>
            </w:pPr>
            <w:r w:rsidRPr="00D9348B">
              <w:rPr>
                <w:noProof w:val="0"/>
              </w:rPr>
              <w:t>2007</w:t>
            </w:r>
          </w:p>
        </w:tc>
        <w:tc>
          <w:tcPr>
            <w:tcW w:w="1843" w:type="dxa"/>
            <w:tcBorders>
              <w:top w:val="single" w:sz="4" w:space="0" w:color="365F91"/>
              <w:left w:val="nil"/>
              <w:bottom w:val="single" w:sz="4" w:space="0" w:color="365F91"/>
              <w:right w:val="nil"/>
            </w:tcBorders>
            <w:hideMark/>
          </w:tcPr>
          <w:p w14:paraId="0FCB083B" w14:textId="77777777" w:rsidR="00524720" w:rsidRPr="00D9348B" w:rsidRDefault="00524720">
            <w:pPr>
              <w:pStyle w:val="TableText"/>
              <w:spacing w:before="40" w:after="40"/>
              <w:jc w:val="center"/>
            </w:pPr>
            <w:r w:rsidRPr="00D9348B">
              <w:t>4,245,700</w:t>
            </w:r>
          </w:p>
        </w:tc>
        <w:tc>
          <w:tcPr>
            <w:tcW w:w="3082" w:type="dxa"/>
            <w:tcBorders>
              <w:top w:val="single" w:sz="4" w:space="0" w:color="365F91"/>
              <w:left w:val="nil"/>
              <w:bottom w:val="single" w:sz="4" w:space="0" w:color="365F91"/>
              <w:right w:val="nil"/>
            </w:tcBorders>
            <w:hideMark/>
          </w:tcPr>
          <w:p w14:paraId="7B076B43" w14:textId="77777777" w:rsidR="00524720" w:rsidRPr="00D9348B" w:rsidRDefault="00524720">
            <w:pPr>
              <w:pStyle w:val="TableText"/>
              <w:spacing w:before="40" w:after="40"/>
              <w:jc w:val="center"/>
            </w:pPr>
            <w:r w:rsidRPr="00D9348B">
              <w:t>Interpolated</w:t>
            </w:r>
          </w:p>
        </w:tc>
        <w:tc>
          <w:tcPr>
            <w:tcW w:w="2871" w:type="dxa"/>
            <w:tcBorders>
              <w:top w:val="single" w:sz="4" w:space="0" w:color="365F91"/>
              <w:left w:val="nil"/>
              <w:bottom w:val="single" w:sz="4" w:space="0" w:color="365F91"/>
              <w:right w:val="nil"/>
            </w:tcBorders>
            <w:hideMark/>
          </w:tcPr>
          <w:p w14:paraId="66AAF381" w14:textId="77777777" w:rsidR="00524720" w:rsidRPr="00D9348B" w:rsidRDefault="00524720">
            <w:pPr>
              <w:pStyle w:val="TableText"/>
              <w:spacing w:before="40" w:after="40"/>
              <w:jc w:val="center"/>
            </w:pPr>
            <w:r w:rsidRPr="00D9348B">
              <w:t>170.3</w:t>
            </w:r>
          </w:p>
        </w:tc>
      </w:tr>
      <w:tr w:rsidR="00524720" w:rsidRPr="00D9348B" w14:paraId="1B439B5D" w14:textId="77777777" w:rsidTr="002B5847">
        <w:tc>
          <w:tcPr>
            <w:tcW w:w="709" w:type="dxa"/>
            <w:tcBorders>
              <w:top w:val="single" w:sz="4" w:space="0" w:color="365F91"/>
              <w:left w:val="nil"/>
              <w:bottom w:val="single" w:sz="4" w:space="0" w:color="365F91"/>
              <w:right w:val="nil"/>
            </w:tcBorders>
            <w:hideMark/>
          </w:tcPr>
          <w:p w14:paraId="60BB8D78" w14:textId="77777777" w:rsidR="00524720" w:rsidRPr="00D9348B" w:rsidRDefault="00524720">
            <w:pPr>
              <w:pStyle w:val="TableTextBold"/>
              <w:spacing w:before="40" w:after="40"/>
              <w:rPr>
                <w:noProof w:val="0"/>
              </w:rPr>
            </w:pPr>
            <w:r w:rsidRPr="00D9348B">
              <w:rPr>
                <w:noProof w:val="0"/>
              </w:rPr>
              <w:t>2008</w:t>
            </w:r>
          </w:p>
        </w:tc>
        <w:tc>
          <w:tcPr>
            <w:tcW w:w="1843" w:type="dxa"/>
            <w:tcBorders>
              <w:top w:val="single" w:sz="4" w:space="0" w:color="365F91"/>
              <w:left w:val="nil"/>
              <w:bottom w:val="single" w:sz="4" w:space="0" w:color="365F91"/>
              <w:right w:val="nil"/>
            </w:tcBorders>
            <w:hideMark/>
          </w:tcPr>
          <w:p w14:paraId="162F0E49" w14:textId="77777777" w:rsidR="00524720" w:rsidRPr="00D9348B" w:rsidRDefault="00524720">
            <w:pPr>
              <w:pStyle w:val="TableText"/>
              <w:spacing w:before="40" w:after="40"/>
              <w:jc w:val="center"/>
            </w:pPr>
            <w:r w:rsidRPr="00D9348B">
              <w:t>4,280,300</w:t>
            </w:r>
          </w:p>
        </w:tc>
        <w:tc>
          <w:tcPr>
            <w:tcW w:w="3082" w:type="dxa"/>
            <w:tcBorders>
              <w:top w:val="single" w:sz="4" w:space="0" w:color="365F91"/>
              <w:left w:val="nil"/>
              <w:bottom w:val="single" w:sz="4" w:space="0" w:color="365F91"/>
              <w:right w:val="nil"/>
            </w:tcBorders>
            <w:hideMark/>
          </w:tcPr>
          <w:p w14:paraId="2643CA42" w14:textId="77777777" w:rsidR="00524720" w:rsidRPr="00D9348B" w:rsidRDefault="00524720">
            <w:pPr>
              <w:pStyle w:val="TableText"/>
              <w:spacing w:before="40" w:after="40"/>
              <w:jc w:val="center"/>
            </w:pPr>
            <w:r w:rsidRPr="00D9348B">
              <w:t>Interpolated</w:t>
            </w:r>
          </w:p>
        </w:tc>
        <w:tc>
          <w:tcPr>
            <w:tcW w:w="2871" w:type="dxa"/>
            <w:tcBorders>
              <w:top w:val="single" w:sz="4" w:space="0" w:color="365F91"/>
              <w:left w:val="nil"/>
              <w:bottom w:val="single" w:sz="4" w:space="0" w:color="365F91"/>
              <w:right w:val="nil"/>
            </w:tcBorders>
            <w:hideMark/>
          </w:tcPr>
          <w:p w14:paraId="11B3013F" w14:textId="77777777" w:rsidR="00524720" w:rsidRPr="00D9348B" w:rsidRDefault="00524720">
            <w:pPr>
              <w:pStyle w:val="TableText"/>
              <w:spacing w:before="40" w:after="40"/>
              <w:jc w:val="center"/>
            </w:pPr>
            <w:r w:rsidRPr="00D9348B">
              <w:t>172.0</w:t>
            </w:r>
          </w:p>
        </w:tc>
      </w:tr>
      <w:tr w:rsidR="00524720" w:rsidRPr="00D9348B" w14:paraId="5AADB4A3" w14:textId="77777777" w:rsidTr="002B5847">
        <w:tc>
          <w:tcPr>
            <w:tcW w:w="709" w:type="dxa"/>
            <w:tcBorders>
              <w:top w:val="single" w:sz="4" w:space="0" w:color="365F91"/>
              <w:left w:val="nil"/>
              <w:bottom w:val="single" w:sz="4" w:space="0" w:color="365F91"/>
              <w:right w:val="nil"/>
            </w:tcBorders>
            <w:hideMark/>
          </w:tcPr>
          <w:p w14:paraId="0BAC1196" w14:textId="77777777" w:rsidR="00524720" w:rsidRPr="00D9348B" w:rsidRDefault="00524720">
            <w:pPr>
              <w:pStyle w:val="TableTextBold"/>
              <w:spacing w:before="40" w:after="40"/>
              <w:rPr>
                <w:noProof w:val="0"/>
              </w:rPr>
            </w:pPr>
            <w:r w:rsidRPr="00D9348B">
              <w:rPr>
                <w:noProof w:val="0"/>
              </w:rPr>
              <w:t>2009</w:t>
            </w:r>
          </w:p>
        </w:tc>
        <w:tc>
          <w:tcPr>
            <w:tcW w:w="1843" w:type="dxa"/>
            <w:tcBorders>
              <w:top w:val="single" w:sz="4" w:space="0" w:color="365F91"/>
              <w:left w:val="nil"/>
              <w:bottom w:val="single" w:sz="4" w:space="0" w:color="365F91"/>
              <w:right w:val="nil"/>
            </w:tcBorders>
            <w:hideMark/>
          </w:tcPr>
          <w:p w14:paraId="632B4FF4" w14:textId="77777777" w:rsidR="00524720" w:rsidRPr="00D9348B" w:rsidRDefault="00524720">
            <w:pPr>
              <w:pStyle w:val="TableText"/>
              <w:spacing w:before="40" w:after="40"/>
              <w:jc w:val="center"/>
            </w:pPr>
            <w:r w:rsidRPr="00D9348B">
              <w:t>4,332,100</w:t>
            </w:r>
          </w:p>
        </w:tc>
        <w:tc>
          <w:tcPr>
            <w:tcW w:w="3082" w:type="dxa"/>
            <w:tcBorders>
              <w:top w:val="single" w:sz="4" w:space="0" w:color="365F91"/>
              <w:left w:val="nil"/>
              <w:bottom w:val="single" w:sz="4" w:space="0" w:color="365F91"/>
              <w:right w:val="nil"/>
            </w:tcBorders>
            <w:hideMark/>
          </w:tcPr>
          <w:p w14:paraId="0FA720C8" w14:textId="77777777" w:rsidR="00524720" w:rsidRPr="00D9348B" w:rsidRDefault="00524720">
            <w:pPr>
              <w:pStyle w:val="TableText"/>
              <w:spacing w:before="40" w:after="40"/>
              <w:jc w:val="center"/>
            </w:pPr>
            <w:r w:rsidRPr="00D9348B">
              <w:t>Interpolated</w:t>
            </w:r>
          </w:p>
        </w:tc>
        <w:tc>
          <w:tcPr>
            <w:tcW w:w="2871" w:type="dxa"/>
            <w:tcBorders>
              <w:top w:val="single" w:sz="4" w:space="0" w:color="365F91"/>
              <w:left w:val="nil"/>
              <w:bottom w:val="single" w:sz="4" w:space="0" w:color="365F91"/>
              <w:right w:val="nil"/>
            </w:tcBorders>
            <w:hideMark/>
          </w:tcPr>
          <w:p w14:paraId="19A143AB" w14:textId="77777777" w:rsidR="00524720" w:rsidRPr="00D9348B" w:rsidRDefault="00524720">
            <w:pPr>
              <w:pStyle w:val="TableText"/>
              <w:spacing w:before="40" w:after="40"/>
              <w:jc w:val="center"/>
            </w:pPr>
            <w:r w:rsidRPr="00D9348B">
              <w:t>173.5</w:t>
            </w:r>
          </w:p>
        </w:tc>
      </w:tr>
      <w:tr w:rsidR="00524720" w:rsidRPr="00D9348B" w14:paraId="0BF0461E" w14:textId="77777777" w:rsidTr="002B5847">
        <w:tc>
          <w:tcPr>
            <w:tcW w:w="709" w:type="dxa"/>
            <w:tcBorders>
              <w:top w:val="single" w:sz="4" w:space="0" w:color="365F91"/>
              <w:left w:val="nil"/>
              <w:bottom w:val="single" w:sz="4" w:space="0" w:color="365F91"/>
              <w:right w:val="nil"/>
            </w:tcBorders>
            <w:hideMark/>
          </w:tcPr>
          <w:p w14:paraId="54F7AFEC" w14:textId="77777777" w:rsidR="00524720" w:rsidRPr="00D9348B" w:rsidRDefault="00524720">
            <w:pPr>
              <w:pStyle w:val="TableTextBold"/>
              <w:spacing w:before="40" w:after="40"/>
              <w:rPr>
                <w:noProof w:val="0"/>
              </w:rPr>
            </w:pPr>
            <w:r w:rsidRPr="00D9348B">
              <w:rPr>
                <w:noProof w:val="0"/>
              </w:rPr>
              <w:t>2010</w:t>
            </w:r>
          </w:p>
        </w:tc>
        <w:tc>
          <w:tcPr>
            <w:tcW w:w="1843" w:type="dxa"/>
            <w:tcBorders>
              <w:top w:val="single" w:sz="4" w:space="0" w:color="365F91"/>
              <w:left w:val="nil"/>
              <w:bottom w:val="single" w:sz="4" w:space="0" w:color="365F91"/>
              <w:right w:val="nil"/>
            </w:tcBorders>
            <w:hideMark/>
          </w:tcPr>
          <w:p w14:paraId="3D24E15A" w14:textId="77777777" w:rsidR="00524720" w:rsidRPr="00D9348B" w:rsidRDefault="00524720">
            <w:pPr>
              <w:pStyle w:val="TableText"/>
              <w:spacing w:before="40" w:after="40"/>
              <w:jc w:val="center"/>
            </w:pPr>
            <w:r w:rsidRPr="00D9348B">
              <w:t>4,373,900</w:t>
            </w:r>
          </w:p>
        </w:tc>
        <w:tc>
          <w:tcPr>
            <w:tcW w:w="3082" w:type="dxa"/>
            <w:tcBorders>
              <w:top w:val="single" w:sz="4" w:space="0" w:color="365F91"/>
              <w:left w:val="nil"/>
              <w:bottom w:val="single" w:sz="4" w:space="0" w:color="365F91"/>
              <w:right w:val="nil"/>
            </w:tcBorders>
            <w:hideMark/>
          </w:tcPr>
          <w:p w14:paraId="4AE613C2" w14:textId="77777777" w:rsidR="00524720" w:rsidRPr="00D9348B" w:rsidRDefault="00524720">
            <w:pPr>
              <w:pStyle w:val="TableText"/>
              <w:spacing w:before="40" w:after="40"/>
              <w:jc w:val="center"/>
            </w:pPr>
            <w:r w:rsidRPr="00D9348B">
              <w:t>Interpolated</w:t>
            </w:r>
          </w:p>
        </w:tc>
        <w:tc>
          <w:tcPr>
            <w:tcW w:w="2871" w:type="dxa"/>
            <w:tcBorders>
              <w:top w:val="single" w:sz="4" w:space="0" w:color="365F91"/>
              <w:left w:val="nil"/>
              <w:bottom w:val="single" w:sz="4" w:space="0" w:color="365F91"/>
              <w:right w:val="nil"/>
            </w:tcBorders>
            <w:hideMark/>
          </w:tcPr>
          <w:p w14:paraId="7790E00D" w14:textId="77777777" w:rsidR="00524720" w:rsidRPr="00D9348B" w:rsidRDefault="00524720">
            <w:pPr>
              <w:pStyle w:val="TableText"/>
              <w:spacing w:before="40" w:after="40"/>
              <w:jc w:val="center"/>
            </w:pPr>
            <w:r w:rsidRPr="00D9348B">
              <w:t>175.2</w:t>
            </w:r>
          </w:p>
        </w:tc>
      </w:tr>
      <w:tr w:rsidR="00524720" w:rsidRPr="00D9348B" w14:paraId="1588F549" w14:textId="77777777" w:rsidTr="002B5847">
        <w:tc>
          <w:tcPr>
            <w:tcW w:w="709" w:type="dxa"/>
            <w:tcBorders>
              <w:top w:val="single" w:sz="4" w:space="0" w:color="365F91"/>
              <w:left w:val="nil"/>
              <w:bottom w:val="single" w:sz="4" w:space="0" w:color="365F91"/>
              <w:right w:val="nil"/>
            </w:tcBorders>
            <w:hideMark/>
          </w:tcPr>
          <w:p w14:paraId="1BBE95E3" w14:textId="77777777" w:rsidR="00524720" w:rsidRPr="00D9348B" w:rsidRDefault="00524720">
            <w:pPr>
              <w:pStyle w:val="TableTextBold"/>
              <w:spacing w:before="40" w:after="40"/>
              <w:rPr>
                <w:noProof w:val="0"/>
              </w:rPr>
            </w:pPr>
            <w:r w:rsidRPr="00D9348B">
              <w:rPr>
                <w:noProof w:val="0"/>
              </w:rPr>
              <w:t>2011</w:t>
            </w:r>
          </w:p>
        </w:tc>
        <w:tc>
          <w:tcPr>
            <w:tcW w:w="1843" w:type="dxa"/>
            <w:tcBorders>
              <w:top w:val="single" w:sz="4" w:space="0" w:color="365F91"/>
              <w:left w:val="nil"/>
              <w:bottom w:val="single" w:sz="4" w:space="0" w:color="365F91"/>
              <w:right w:val="nil"/>
            </w:tcBorders>
            <w:hideMark/>
          </w:tcPr>
          <w:p w14:paraId="7988E6A6" w14:textId="77777777" w:rsidR="00524720" w:rsidRPr="00D9348B" w:rsidRDefault="00524720">
            <w:pPr>
              <w:pStyle w:val="TableText"/>
              <w:spacing w:before="40" w:after="40"/>
              <w:jc w:val="center"/>
            </w:pPr>
            <w:r w:rsidRPr="00D9348B">
              <w:t>4,399,400</w:t>
            </w:r>
          </w:p>
        </w:tc>
        <w:tc>
          <w:tcPr>
            <w:tcW w:w="3082" w:type="dxa"/>
            <w:tcBorders>
              <w:top w:val="single" w:sz="4" w:space="0" w:color="365F91"/>
              <w:left w:val="nil"/>
              <w:bottom w:val="single" w:sz="4" w:space="0" w:color="365F91"/>
              <w:right w:val="nil"/>
            </w:tcBorders>
            <w:hideMark/>
          </w:tcPr>
          <w:p w14:paraId="14056F8F" w14:textId="77777777" w:rsidR="00524720" w:rsidRPr="00D9348B" w:rsidRDefault="00524720">
            <w:pPr>
              <w:pStyle w:val="TableText"/>
              <w:spacing w:before="40" w:after="40"/>
              <w:jc w:val="center"/>
            </w:pPr>
            <w:r w:rsidRPr="00D9348B">
              <w:t>Interpolated</w:t>
            </w:r>
          </w:p>
        </w:tc>
        <w:tc>
          <w:tcPr>
            <w:tcW w:w="2871" w:type="dxa"/>
            <w:tcBorders>
              <w:top w:val="single" w:sz="4" w:space="0" w:color="365F91"/>
              <w:left w:val="nil"/>
              <w:bottom w:val="single" w:sz="4" w:space="0" w:color="365F91"/>
              <w:right w:val="nil"/>
            </w:tcBorders>
            <w:hideMark/>
          </w:tcPr>
          <w:p w14:paraId="2F95812A" w14:textId="77777777" w:rsidR="00524720" w:rsidRPr="00D9348B" w:rsidRDefault="00524720">
            <w:pPr>
              <w:pStyle w:val="TableText"/>
              <w:spacing w:before="40" w:after="40"/>
              <w:jc w:val="center"/>
            </w:pPr>
            <w:r w:rsidRPr="00D9348B">
              <w:t>176.8</w:t>
            </w:r>
          </w:p>
        </w:tc>
      </w:tr>
      <w:tr w:rsidR="00524720" w:rsidRPr="00D9348B" w14:paraId="546C9126" w14:textId="77777777" w:rsidTr="002B5847">
        <w:tc>
          <w:tcPr>
            <w:tcW w:w="709" w:type="dxa"/>
            <w:tcBorders>
              <w:top w:val="single" w:sz="4" w:space="0" w:color="365F91"/>
              <w:left w:val="nil"/>
              <w:bottom w:val="single" w:sz="4" w:space="0" w:color="365F91"/>
              <w:right w:val="nil"/>
            </w:tcBorders>
            <w:hideMark/>
          </w:tcPr>
          <w:p w14:paraId="4236C0DE" w14:textId="77777777" w:rsidR="00524720" w:rsidRPr="00D9348B" w:rsidRDefault="00524720">
            <w:pPr>
              <w:pStyle w:val="TableTextBold"/>
              <w:spacing w:before="40" w:after="40"/>
              <w:rPr>
                <w:noProof w:val="0"/>
              </w:rPr>
            </w:pPr>
            <w:r w:rsidRPr="00D9348B">
              <w:rPr>
                <w:noProof w:val="0"/>
              </w:rPr>
              <w:t>2012</w:t>
            </w:r>
          </w:p>
        </w:tc>
        <w:tc>
          <w:tcPr>
            <w:tcW w:w="1843" w:type="dxa"/>
            <w:tcBorders>
              <w:top w:val="single" w:sz="4" w:space="0" w:color="365F91"/>
              <w:left w:val="nil"/>
              <w:bottom w:val="single" w:sz="4" w:space="0" w:color="365F91"/>
              <w:right w:val="nil"/>
            </w:tcBorders>
            <w:hideMark/>
          </w:tcPr>
          <w:p w14:paraId="4991EC33" w14:textId="77777777" w:rsidR="00524720" w:rsidRPr="00D9348B" w:rsidRDefault="00524720">
            <w:pPr>
              <w:pStyle w:val="TableText"/>
              <w:spacing w:before="40" w:after="40"/>
              <w:jc w:val="center"/>
            </w:pPr>
            <w:r w:rsidRPr="00D9348B">
              <w:t>4,425,900</w:t>
            </w:r>
          </w:p>
        </w:tc>
        <w:tc>
          <w:tcPr>
            <w:tcW w:w="3082" w:type="dxa"/>
            <w:tcBorders>
              <w:top w:val="single" w:sz="4" w:space="0" w:color="365F91"/>
              <w:left w:val="nil"/>
              <w:bottom w:val="single" w:sz="4" w:space="0" w:color="365F91"/>
              <w:right w:val="nil"/>
            </w:tcBorders>
            <w:hideMark/>
          </w:tcPr>
          <w:p w14:paraId="7E1F3B69" w14:textId="77777777" w:rsidR="00524720" w:rsidRPr="00D9348B" w:rsidRDefault="00524720">
            <w:pPr>
              <w:pStyle w:val="TableText"/>
              <w:spacing w:before="40" w:after="40"/>
              <w:jc w:val="center"/>
            </w:pPr>
            <w:r w:rsidRPr="00D9348B">
              <w:t>Interpolated</w:t>
            </w:r>
          </w:p>
        </w:tc>
        <w:tc>
          <w:tcPr>
            <w:tcW w:w="2871" w:type="dxa"/>
            <w:tcBorders>
              <w:top w:val="single" w:sz="4" w:space="0" w:color="365F91"/>
              <w:left w:val="nil"/>
              <w:bottom w:val="single" w:sz="4" w:space="0" w:color="365F91"/>
              <w:right w:val="nil"/>
            </w:tcBorders>
            <w:hideMark/>
          </w:tcPr>
          <w:p w14:paraId="0F373803" w14:textId="77777777" w:rsidR="00524720" w:rsidRPr="00D9348B" w:rsidRDefault="00524720">
            <w:pPr>
              <w:pStyle w:val="TableText"/>
              <w:spacing w:before="40" w:after="40"/>
              <w:jc w:val="center"/>
            </w:pPr>
            <w:r w:rsidRPr="00D9348B">
              <w:t>178.5</w:t>
            </w:r>
          </w:p>
        </w:tc>
      </w:tr>
      <w:tr w:rsidR="00524720" w:rsidRPr="00D9348B" w14:paraId="2D5E6E0B" w14:textId="77777777" w:rsidTr="002B5847">
        <w:tc>
          <w:tcPr>
            <w:tcW w:w="709" w:type="dxa"/>
            <w:tcBorders>
              <w:top w:val="single" w:sz="4" w:space="0" w:color="365F91"/>
              <w:left w:val="nil"/>
              <w:bottom w:val="single" w:sz="4" w:space="0" w:color="365F91"/>
              <w:right w:val="nil"/>
            </w:tcBorders>
            <w:hideMark/>
          </w:tcPr>
          <w:p w14:paraId="64093246" w14:textId="77777777" w:rsidR="00524720" w:rsidRPr="00D9348B" w:rsidRDefault="00524720">
            <w:pPr>
              <w:pStyle w:val="TableTextBold"/>
              <w:spacing w:before="40" w:after="40"/>
              <w:rPr>
                <w:noProof w:val="0"/>
              </w:rPr>
            </w:pPr>
            <w:r w:rsidRPr="00D9348B">
              <w:rPr>
                <w:noProof w:val="0"/>
              </w:rPr>
              <w:t>2013</w:t>
            </w:r>
          </w:p>
        </w:tc>
        <w:tc>
          <w:tcPr>
            <w:tcW w:w="1843" w:type="dxa"/>
            <w:tcBorders>
              <w:top w:val="single" w:sz="4" w:space="0" w:color="365F91"/>
              <w:left w:val="nil"/>
              <w:bottom w:val="single" w:sz="4" w:space="0" w:color="365F91"/>
              <w:right w:val="nil"/>
            </w:tcBorders>
            <w:hideMark/>
          </w:tcPr>
          <w:p w14:paraId="4FDA8E9B" w14:textId="77777777" w:rsidR="00524720" w:rsidRPr="00D9348B" w:rsidRDefault="00524720">
            <w:pPr>
              <w:pStyle w:val="TableText"/>
              <w:spacing w:before="40" w:after="40"/>
              <w:jc w:val="center"/>
            </w:pPr>
            <w:r w:rsidRPr="00D9348B">
              <w:t>4,471,500</w:t>
            </w:r>
          </w:p>
        </w:tc>
        <w:tc>
          <w:tcPr>
            <w:tcW w:w="3082" w:type="dxa"/>
            <w:tcBorders>
              <w:top w:val="single" w:sz="4" w:space="0" w:color="365F91"/>
              <w:left w:val="nil"/>
              <w:bottom w:val="single" w:sz="4" w:space="0" w:color="365F91"/>
              <w:right w:val="nil"/>
            </w:tcBorders>
            <w:hideMark/>
          </w:tcPr>
          <w:p w14:paraId="0E9DAEB9" w14:textId="77777777" w:rsidR="00524720" w:rsidRPr="00D9348B" w:rsidRDefault="00524720">
            <w:pPr>
              <w:pStyle w:val="TableText"/>
              <w:spacing w:before="40" w:after="40"/>
              <w:jc w:val="center"/>
            </w:pPr>
            <w:r w:rsidRPr="00D9348B">
              <w:t>0.032</w:t>
            </w:r>
          </w:p>
        </w:tc>
        <w:tc>
          <w:tcPr>
            <w:tcW w:w="2871" w:type="dxa"/>
            <w:tcBorders>
              <w:top w:val="single" w:sz="4" w:space="0" w:color="365F91"/>
              <w:left w:val="nil"/>
              <w:bottom w:val="single" w:sz="4" w:space="0" w:color="365F91"/>
              <w:right w:val="nil"/>
            </w:tcBorders>
            <w:hideMark/>
          </w:tcPr>
          <w:p w14:paraId="52449D96" w14:textId="77777777" w:rsidR="00524720" w:rsidRPr="00D9348B" w:rsidRDefault="00524720">
            <w:pPr>
              <w:pStyle w:val="TableText"/>
              <w:spacing w:before="40" w:after="40"/>
              <w:jc w:val="center"/>
            </w:pPr>
            <w:r w:rsidRPr="00D9348B">
              <w:t>181.5</w:t>
            </w:r>
          </w:p>
        </w:tc>
      </w:tr>
      <w:tr w:rsidR="00524720" w:rsidRPr="00D9348B" w14:paraId="401FF0B4" w14:textId="77777777" w:rsidTr="002B5847">
        <w:tc>
          <w:tcPr>
            <w:tcW w:w="709" w:type="dxa"/>
            <w:tcBorders>
              <w:top w:val="single" w:sz="4" w:space="0" w:color="365F91"/>
              <w:left w:val="nil"/>
              <w:bottom w:val="single" w:sz="4" w:space="0" w:color="365F91"/>
              <w:right w:val="nil"/>
            </w:tcBorders>
            <w:hideMark/>
          </w:tcPr>
          <w:p w14:paraId="1AB05AB7" w14:textId="77777777" w:rsidR="00524720" w:rsidRPr="00D9348B" w:rsidRDefault="00524720">
            <w:pPr>
              <w:pStyle w:val="TableTextBold"/>
              <w:spacing w:before="40" w:after="40"/>
              <w:rPr>
                <w:noProof w:val="0"/>
              </w:rPr>
            </w:pPr>
            <w:r w:rsidRPr="00D9348B">
              <w:rPr>
                <w:noProof w:val="0"/>
              </w:rPr>
              <w:t>2014</w:t>
            </w:r>
          </w:p>
        </w:tc>
        <w:tc>
          <w:tcPr>
            <w:tcW w:w="1843" w:type="dxa"/>
            <w:tcBorders>
              <w:top w:val="single" w:sz="4" w:space="0" w:color="365F91"/>
              <w:left w:val="nil"/>
              <w:bottom w:val="single" w:sz="4" w:space="0" w:color="365F91"/>
              <w:right w:val="nil"/>
            </w:tcBorders>
            <w:hideMark/>
          </w:tcPr>
          <w:p w14:paraId="7A94D33A" w14:textId="77777777" w:rsidR="00524720" w:rsidRPr="00D9348B" w:rsidRDefault="00524720">
            <w:pPr>
              <w:pStyle w:val="TableText"/>
              <w:spacing w:before="40" w:after="40"/>
              <w:jc w:val="center"/>
            </w:pPr>
            <w:r w:rsidRPr="00D9348B">
              <w:t>4,546,700</w:t>
            </w:r>
          </w:p>
        </w:tc>
        <w:tc>
          <w:tcPr>
            <w:tcW w:w="3082" w:type="dxa"/>
            <w:tcBorders>
              <w:top w:val="single" w:sz="4" w:space="0" w:color="365F91"/>
              <w:left w:val="nil"/>
              <w:bottom w:val="single" w:sz="4" w:space="0" w:color="365F91"/>
              <w:right w:val="nil"/>
            </w:tcBorders>
            <w:hideMark/>
          </w:tcPr>
          <w:p w14:paraId="3A78537A" w14:textId="77777777" w:rsidR="00524720" w:rsidRPr="00D9348B" w:rsidRDefault="00524720">
            <w:pPr>
              <w:pStyle w:val="TableText"/>
              <w:spacing w:before="40" w:after="40"/>
              <w:jc w:val="center"/>
            </w:pPr>
            <w:r w:rsidRPr="00D9348B">
              <w:t>0.032</w:t>
            </w:r>
          </w:p>
        </w:tc>
        <w:tc>
          <w:tcPr>
            <w:tcW w:w="2871" w:type="dxa"/>
            <w:tcBorders>
              <w:top w:val="single" w:sz="4" w:space="0" w:color="365F91"/>
              <w:left w:val="nil"/>
              <w:bottom w:val="single" w:sz="4" w:space="0" w:color="365F91"/>
              <w:right w:val="nil"/>
            </w:tcBorders>
            <w:hideMark/>
          </w:tcPr>
          <w:p w14:paraId="35274F74" w14:textId="77777777" w:rsidR="00524720" w:rsidRPr="00D9348B" w:rsidRDefault="00524720">
            <w:pPr>
              <w:pStyle w:val="TableText"/>
              <w:spacing w:before="40" w:after="40"/>
              <w:jc w:val="center"/>
            </w:pPr>
            <w:r w:rsidRPr="00D9348B">
              <w:t>184.3</w:t>
            </w:r>
          </w:p>
        </w:tc>
      </w:tr>
      <w:tr w:rsidR="00524720" w:rsidRPr="00D9348B" w14:paraId="59368A39" w14:textId="77777777" w:rsidTr="002B5847">
        <w:tc>
          <w:tcPr>
            <w:tcW w:w="709" w:type="dxa"/>
            <w:tcBorders>
              <w:top w:val="single" w:sz="4" w:space="0" w:color="365F91"/>
              <w:left w:val="nil"/>
              <w:bottom w:val="single" w:sz="4" w:space="0" w:color="365F91"/>
              <w:right w:val="nil"/>
            </w:tcBorders>
            <w:hideMark/>
          </w:tcPr>
          <w:p w14:paraId="246201E2" w14:textId="77777777" w:rsidR="00524720" w:rsidRPr="00D9348B" w:rsidRDefault="00524720">
            <w:pPr>
              <w:pStyle w:val="TableTextBold"/>
              <w:spacing w:before="40" w:after="40"/>
              <w:rPr>
                <w:noProof w:val="0"/>
              </w:rPr>
            </w:pPr>
            <w:r w:rsidRPr="00D9348B">
              <w:rPr>
                <w:noProof w:val="0"/>
              </w:rPr>
              <w:t>2015</w:t>
            </w:r>
          </w:p>
        </w:tc>
        <w:tc>
          <w:tcPr>
            <w:tcW w:w="1843" w:type="dxa"/>
            <w:tcBorders>
              <w:top w:val="single" w:sz="4" w:space="0" w:color="365F91"/>
              <w:left w:val="nil"/>
              <w:bottom w:val="single" w:sz="4" w:space="0" w:color="365F91"/>
              <w:right w:val="nil"/>
            </w:tcBorders>
            <w:hideMark/>
          </w:tcPr>
          <w:p w14:paraId="5EEF026F" w14:textId="77777777" w:rsidR="00524720" w:rsidRPr="00D9348B" w:rsidRDefault="00524720">
            <w:pPr>
              <w:pStyle w:val="TableText"/>
              <w:spacing w:before="40" w:after="40"/>
              <w:jc w:val="center"/>
            </w:pPr>
            <w:r w:rsidRPr="00D9348B">
              <w:t>4,633,700</w:t>
            </w:r>
          </w:p>
        </w:tc>
        <w:tc>
          <w:tcPr>
            <w:tcW w:w="3082" w:type="dxa"/>
            <w:tcBorders>
              <w:top w:val="single" w:sz="4" w:space="0" w:color="365F91"/>
              <w:left w:val="nil"/>
              <w:bottom w:val="single" w:sz="4" w:space="0" w:color="365F91"/>
              <w:right w:val="nil"/>
            </w:tcBorders>
            <w:hideMark/>
          </w:tcPr>
          <w:p w14:paraId="123D332B" w14:textId="77777777" w:rsidR="00524720" w:rsidRPr="00D9348B" w:rsidRDefault="00524720">
            <w:pPr>
              <w:pStyle w:val="TableText"/>
              <w:spacing w:before="40" w:after="40"/>
              <w:jc w:val="center"/>
            </w:pPr>
            <w:r w:rsidRPr="00D9348B">
              <w:t>0.032</w:t>
            </w:r>
          </w:p>
        </w:tc>
        <w:tc>
          <w:tcPr>
            <w:tcW w:w="2871" w:type="dxa"/>
            <w:tcBorders>
              <w:top w:val="single" w:sz="4" w:space="0" w:color="365F91"/>
              <w:left w:val="nil"/>
              <w:bottom w:val="single" w:sz="4" w:space="0" w:color="365F91"/>
              <w:right w:val="nil"/>
            </w:tcBorders>
            <w:hideMark/>
          </w:tcPr>
          <w:p w14:paraId="50E0C01A" w14:textId="77777777" w:rsidR="00524720" w:rsidRPr="00D9348B" w:rsidRDefault="00524720">
            <w:pPr>
              <w:pStyle w:val="TableText"/>
              <w:spacing w:before="40" w:after="40"/>
              <w:jc w:val="center"/>
            </w:pPr>
            <w:r w:rsidRPr="00D9348B">
              <w:t>187.9</w:t>
            </w:r>
          </w:p>
        </w:tc>
      </w:tr>
      <w:tr w:rsidR="00524720" w:rsidRPr="00D9348B" w14:paraId="51398FED" w14:textId="77777777" w:rsidTr="002B5847">
        <w:tc>
          <w:tcPr>
            <w:tcW w:w="709" w:type="dxa"/>
            <w:tcBorders>
              <w:top w:val="single" w:sz="4" w:space="0" w:color="365F91"/>
              <w:left w:val="nil"/>
              <w:bottom w:val="single" w:sz="4" w:space="0" w:color="365F91"/>
              <w:right w:val="nil"/>
            </w:tcBorders>
            <w:hideMark/>
          </w:tcPr>
          <w:p w14:paraId="1C619250" w14:textId="77777777" w:rsidR="00524720" w:rsidRPr="00D9348B" w:rsidRDefault="00524720">
            <w:pPr>
              <w:pStyle w:val="TableTextBold"/>
              <w:spacing w:before="40" w:after="40"/>
              <w:rPr>
                <w:noProof w:val="0"/>
              </w:rPr>
            </w:pPr>
            <w:r w:rsidRPr="00D9348B">
              <w:rPr>
                <w:noProof w:val="0"/>
              </w:rPr>
              <w:t>2016</w:t>
            </w:r>
          </w:p>
        </w:tc>
        <w:tc>
          <w:tcPr>
            <w:tcW w:w="1843" w:type="dxa"/>
            <w:tcBorders>
              <w:top w:val="single" w:sz="4" w:space="0" w:color="365F91"/>
              <w:left w:val="nil"/>
              <w:bottom w:val="single" w:sz="4" w:space="0" w:color="365F91"/>
              <w:right w:val="nil"/>
            </w:tcBorders>
            <w:hideMark/>
          </w:tcPr>
          <w:p w14:paraId="6636C63A" w14:textId="77777777" w:rsidR="00524720" w:rsidRPr="00D9348B" w:rsidRDefault="00524720">
            <w:pPr>
              <w:pStyle w:val="TableText"/>
              <w:spacing w:before="40" w:after="40"/>
              <w:jc w:val="center"/>
            </w:pPr>
            <w:r w:rsidRPr="00D9348B">
              <w:t>4,725,300</w:t>
            </w:r>
          </w:p>
        </w:tc>
        <w:tc>
          <w:tcPr>
            <w:tcW w:w="3082" w:type="dxa"/>
            <w:tcBorders>
              <w:top w:val="single" w:sz="4" w:space="0" w:color="365F91"/>
              <w:left w:val="nil"/>
              <w:bottom w:val="single" w:sz="4" w:space="0" w:color="365F91"/>
              <w:right w:val="nil"/>
            </w:tcBorders>
            <w:hideMark/>
          </w:tcPr>
          <w:p w14:paraId="5E5F7DA1" w14:textId="77777777" w:rsidR="00524720" w:rsidRPr="00D9348B" w:rsidRDefault="00524720">
            <w:pPr>
              <w:pStyle w:val="TableText"/>
              <w:spacing w:before="40" w:after="40"/>
              <w:jc w:val="center"/>
            </w:pPr>
            <w:r w:rsidRPr="00D9348B">
              <w:t>0.032</w:t>
            </w:r>
          </w:p>
        </w:tc>
        <w:tc>
          <w:tcPr>
            <w:tcW w:w="2871" w:type="dxa"/>
            <w:tcBorders>
              <w:top w:val="single" w:sz="4" w:space="0" w:color="365F91"/>
              <w:left w:val="nil"/>
              <w:bottom w:val="single" w:sz="4" w:space="0" w:color="365F91"/>
              <w:right w:val="nil"/>
            </w:tcBorders>
            <w:hideMark/>
          </w:tcPr>
          <w:p w14:paraId="10636C2C" w14:textId="77777777" w:rsidR="00524720" w:rsidRPr="00D9348B" w:rsidRDefault="00524720">
            <w:pPr>
              <w:pStyle w:val="TableText"/>
              <w:spacing w:before="40" w:after="40"/>
              <w:jc w:val="center"/>
            </w:pPr>
            <w:r w:rsidRPr="00D9348B">
              <w:t>190.7</w:t>
            </w:r>
          </w:p>
        </w:tc>
      </w:tr>
      <w:tr w:rsidR="00524720" w:rsidRPr="00D9348B" w14:paraId="4C708DAD" w14:textId="77777777" w:rsidTr="002B5847">
        <w:tc>
          <w:tcPr>
            <w:tcW w:w="709" w:type="dxa"/>
            <w:tcBorders>
              <w:top w:val="single" w:sz="4" w:space="0" w:color="365F91"/>
              <w:left w:val="nil"/>
              <w:bottom w:val="single" w:sz="4" w:space="0" w:color="365F91"/>
              <w:right w:val="nil"/>
            </w:tcBorders>
            <w:hideMark/>
          </w:tcPr>
          <w:p w14:paraId="28535CED" w14:textId="77777777" w:rsidR="00524720" w:rsidRPr="00D9348B" w:rsidRDefault="00524720">
            <w:pPr>
              <w:pStyle w:val="TableTextBold"/>
              <w:spacing w:before="40" w:after="40"/>
              <w:rPr>
                <w:noProof w:val="0"/>
              </w:rPr>
            </w:pPr>
            <w:r w:rsidRPr="00D9348B">
              <w:rPr>
                <w:noProof w:val="0"/>
              </w:rPr>
              <w:t>2017</w:t>
            </w:r>
          </w:p>
        </w:tc>
        <w:tc>
          <w:tcPr>
            <w:tcW w:w="1843" w:type="dxa"/>
            <w:tcBorders>
              <w:top w:val="single" w:sz="4" w:space="0" w:color="365F91"/>
              <w:left w:val="nil"/>
              <w:bottom w:val="single" w:sz="4" w:space="0" w:color="365F91"/>
              <w:right w:val="nil"/>
            </w:tcBorders>
            <w:hideMark/>
          </w:tcPr>
          <w:p w14:paraId="2120C42B" w14:textId="77777777" w:rsidR="00524720" w:rsidRPr="00D9348B" w:rsidRDefault="00524720">
            <w:pPr>
              <w:pStyle w:val="TableText"/>
              <w:spacing w:before="40" w:after="40"/>
              <w:jc w:val="center"/>
            </w:pPr>
            <w:r w:rsidRPr="00D9348B">
              <w:t>4,805,400</w:t>
            </w:r>
          </w:p>
        </w:tc>
        <w:tc>
          <w:tcPr>
            <w:tcW w:w="3082" w:type="dxa"/>
            <w:tcBorders>
              <w:top w:val="single" w:sz="4" w:space="0" w:color="365F91"/>
              <w:left w:val="nil"/>
              <w:bottom w:val="single" w:sz="4" w:space="0" w:color="365F91"/>
              <w:right w:val="nil"/>
            </w:tcBorders>
            <w:hideMark/>
          </w:tcPr>
          <w:p w14:paraId="011277D2" w14:textId="77777777" w:rsidR="00524720" w:rsidRPr="00D9348B" w:rsidRDefault="00524720">
            <w:pPr>
              <w:pStyle w:val="TableText"/>
              <w:spacing w:before="40" w:after="40"/>
              <w:jc w:val="center"/>
            </w:pPr>
            <w:r w:rsidRPr="00D9348B">
              <w:t>0.032</w:t>
            </w:r>
          </w:p>
        </w:tc>
        <w:tc>
          <w:tcPr>
            <w:tcW w:w="2871" w:type="dxa"/>
            <w:tcBorders>
              <w:top w:val="single" w:sz="4" w:space="0" w:color="365F91"/>
              <w:left w:val="nil"/>
              <w:bottom w:val="single" w:sz="4" w:space="0" w:color="365F91"/>
              <w:right w:val="nil"/>
            </w:tcBorders>
            <w:hideMark/>
          </w:tcPr>
          <w:p w14:paraId="3C8B70BB" w14:textId="77777777" w:rsidR="00524720" w:rsidRPr="00D9348B" w:rsidRDefault="00524720">
            <w:pPr>
              <w:pStyle w:val="TableText"/>
              <w:spacing w:before="40" w:after="40"/>
              <w:jc w:val="center"/>
            </w:pPr>
            <w:r w:rsidRPr="00D9348B">
              <w:t>193.6</w:t>
            </w:r>
          </w:p>
        </w:tc>
      </w:tr>
      <w:tr w:rsidR="00524720" w:rsidRPr="00D9348B" w14:paraId="54ABDD62" w14:textId="77777777" w:rsidTr="002B5847">
        <w:tc>
          <w:tcPr>
            <w:tcW w:w="709" w:type="dxa"/>
            <w:tcBorders>
              <w:top w:val="single" w:sz="4" w:space="0" w:color="365F91"/>
              <w:left w:val="nil"/>
              <w:bottom w:val="single" w:sz="4" w:space="0" w:color="365F91"/>
              <w:right w:val="nil"/>
            </w:tcBorders>
            <w:hideMark/>
          </w:tcPr>
          <w:p w14:paraId="14F7FFB1" w14:textId="77777777" w:rsidR="00524720" w:rsidRPr="00D9348B" w:rsidRDefault="00524720">
            <w:pPr>
              <w:pStyle w:val="TableTextBold"/>
              <w:spacing w:before="40" w:after="40"/>
              <w:rPr>
                <w:noProof w:val="0"/>
              </w:rPr>
            </w:pPr>
            <w:r w:rsidRPr="00D9348B">
              <w:rPr>
                <w:noProof w:val="0"/>
              </w:rPr>
              <w:t>2018</w:t>
            </w:r>
          </w:p>
        </w:tc>
        <w:tc>
          <w:tcPr>
            <w:tcW w:w="1843" w:type="dxa"/>
            <w:tcBorders>
              <w:top w:val="single" w:sz="4" w:space="0" w:color="365F91"/>
              <w:left w:val="nil"/>
              <w:bottom w:val="single" w:sz="4" w:space="0" w:color="365F91"/>
              <w:right w:val="nil"/>
            </w:tcBorders>
            <w:hideMark/>
          </w:tcPr>
          <w:p w14:paraId="0918D49D" w14:textId="77777777" w:rsidR="00524720" w:rsidRPr="00D9348B" w:rsidRDefault="00524720">
            <w:pPr>
              <w:pStyle w:val="TableText"/>
              <w:spacing w:before="40" w:after="40"/>
              <w:jc w:val="center"/>
            </w:pPr>
            <w:r w:rsidRPr="00D9348B">
              <w:t>4,886,100</w:t>
            </w:r>
          </w:p>
        </w:tc>
        <w:tc>
          <w:tcPr>
            <w:tcW w:w="3082" w:type="dxa"/>
            <w:tcBorders>
              <w:top w:val="single" w:sz="4" w:space="0" w:color="365F91"/>
              <w:left w:val="nil"/>
              <w:bottom w:val="single" w:sz="4" w:space="0" w:color="365F91"/>
              <w:right w:val="nil"/>
            </w:tcBorders>
            <w:hideMark/>
          </w:tcPr>
          <w:p w14:paraId="18A13E10" w14:textId="77777777" w:rsidR="00524720" w:rsidRPr="00D9348B" w:rsidRDefault="00524720">
            <w:pPr>
              <w:pStyle w:val="TableText"/>
              <w:spacing w:before="40" w:after="40"/>
              <w:jc w:val="center"/>
            </w:pPr>
            <w:r w:rsidRPr="00D9348B">
              <w:t>0.032</w:t>
            </w:r>
          </w:p>
        </w:tc>
        <w:tc>
          <w:tcPr>
            <w:tcW w:w="2871" w:type="dxa"/>
            <w:tcBorders>
              <w:top w:val="single" w:sz="4" w:space="0" w:color="365F91"/>
              <w:left w:val="nil"/>
              <w:bottom w:val="single" w:sz="4" w:space="0" w:color="365F91"/>
              <w:right w:val="nil"/>
            </w:tcBorders>
            <w:hideMark/>
          </w:tcPr>
          <w:p w14:paraId="7CD6BA09" w14:textId="77777777" w:rsidR="00524720" w:rsidRPr="00D9348B" w:rsidRDefault="00524720">
            <w:pPr>
              <w:pStyle w:val="TableText"/>
              <w:spacing w:before="40" w:after="40"/>
              <w:jc w:val="center"/>
            </w:pPr>
            <w:r w:rsidRPr="00D9348B">
              <w:t>198.0</w:t>
            </w:r>
          </w:p>
        </w:tc>
      </w:tr>
    </w:tbl>
    <w:p w14:paraId="6058EB04" w14:textId="77777777" w:rsidR="00524720" w:rsidRPr="00D9348B" w:rsidRDefault="00524720" w:rsidP="00524720">
      <w:pPr>
        <w:pStyle w:val="Heading5"/>
        <w:spacing w:before="440"/>
      </w:pPr>
      <w:r w:rsidRPr="00D9348B">
        <w:t>Industrial wastewater (5.D.2)</w:t>
      </w:r>
    </w:p>
    <w:p w14:paraId="4E3CE04E" w14:textId="77777777" w:rsidR="00524720" w:rsidRPr="00D9348B" w:rsidRDefault="00524720" w:rsidP="00524720">
      <w:pPr>
        <w:pStyle w:val="BodyText"/>
      </w:pPr>
      <w:r w:rsidRPr="00D9348B">
        <w:t>The following industries are identified as having organic-rich wastewaters that are treated anaerobically (in order of significance): meat processing, pulp and paper, and other industries described below. Table 7.5.3 reports the activity data for the amount of total organic product in wastewater (TOW) across the main industries.</w:t>
      </w:r>
    </w:p>
    <w:p w14:paraId="1075E0BD" w14:textId="77777777" w:rsidR="00524720" w:rsidRPr="00D9348B" w:rsidRDefault="00524720" w:rsidP="00524720">
      <w:pPr>
        <w:pStyle w:val="Table"/>
        <w:rPr>
          <w:rFonts w:cs="Arial"/>
        </w:rPr>
      </w:pPr>
      <w:bookmarkStart w:id="2833" w:name="_Toc5269580"/>
      <w:bookmarkStart w:id="2834" w:name="_Toc511116832"/>
      <w:bookmarkStart w:id="2835" w:name="_Toc508019334"/>
      <w:bookmarkStart w:id="2836" w:name="_Toc32828538"/>
      <w:bookmarkStart w:id="2837" w:name="_Toc32591368"/>
      <w:bookmarkStart w:id="2838" w:name="_Toc36224661"/>
      <w:r w:rsidRPr="00D9348B">
        <w:rPr>
          <w:rFonts w:cs="Arial"/>
        </w:rPr>
        <w:t xml:space="preserve">Table 7.5.3 </w:t>
      </w:r>
      <w:r w:rsidRPr="00D9348B">
        <w:rPr>
          <w:rFonts w:cs="Arial"/>
        </w:rPr>
        <w:tab/>
        <w:t>Total organic product producing methane from industrial wastewater 1990 to </w:t>
      </w:r>
      <w:bookmarkEnd w:id="2833"/>
      <w:bookmarkEnd w:id="2834"/>
      <w:bookmarkEnd w:id="2835"/>
      <w:r w:rsidRPr="00D9348B">
        <w:rPr>
          <w:rFonts w:cs="Arial"/>
        </w:rPr>
        <w:t>2018</w:t>
      </w:r>
      <w:bookmarkEnd w:id="2836"/>
      <w:bookmarkEnd w:id="2837"/>
      <w:bookmarkEnd w:id="2838"/>
    </w:p>
    <w:tbl>
      <w:tblPr>
        <w:tblW w:w="8505" w:type="dxa"/>
        <w:tblInd w:w="108" w:type="dxa"/>
        <w:tblLook w:val="04A0" w:firstRow="1" w:lastRow="0" w:firstColumn="1" w:lastColumn="0" w:noHBand="0" w:noVBand="1"/>
      </w:tblPr>
      <w:tblGrid>
        <w:gridCol w:w="1079"/>
        <w:gridCol w:w="1857"/>
        <w:gridCol w:w="1856"/>
        <w:gridCol w:w="1856"/>
        <w:gridCol w:w="1857"/>
      </w:tblGrid>
      <w:tr w:rsidR="00524720" w:rsidRPr="00D9348B" w14:paraId="06C5E32F" w14:textId="77777777" w:rsidTr="002B5847">
        <w:trPr>
          <w:tblHeader/>
        </w:trPr>
        <w:tc>
          <w:tcPr>
            <w:tcW w:w="1079" w:type="dxa"/>
            <w:tcBorders>
              <w:top w:val="single" w:sz="4" w:space="0" w:color="365F91"/>
              <w:left w:val="nil"/>
              <w:bottom w:val="single" w:sz="4" w:space="0" w:color="365F91"/>
              <w:right w:val="nil"/>
            </w:tcBorders>
            <w:shd w:val="clear" w:color="auto" w:fill="365F91"/>
            <w:vAlign w:val="bottom"/>
            <w:hideMark/>
          </w:tcPr>
          <w:p w14:paraId="153B6251" w14:textId="77777777" w:rsidR="00524720" w:rsidRPr="00D9348B" w:rsidRDefault="00524720">
            <w:pPr>
              <w:pStyle w:val="TableTextBold"/>
              <w:spacing w:before="40" w:after="40"/>
              <w:rPr>
                <w:noProof w:val="0"/>
                <w:color w:val="FFFFFF"/>
              </w:rPr>
            </w:pPr>
            <w:r w:rsidRPr="00D9348B">
              <w:rPr>
                <w:noProof w:val="0"/>
                <w:color w:val="FFFFFF"/>
              </w:rPr>
              <w:t>Year</w:t>
            </w:r>
          </w:p>
        </w:tc>
        <w:tc>
          <w:tcPr>
            <w:tcW w:w="1857" w:type="dxa"/>
            <w:tcBorders>
              <w:top w:val="single" w:sz="4" w:space="0" w:color="365F91"/>
              <w:left w:val="nil"/>
              <w:bottom w:val="single" w:sz="4" w:space="0" w:color="365F91"/>
              <w:right w:val="nil"/>
            </w:tcBorders>
            <w:shd w:val="clear" w:color="auto" w:fill="365F91"/>
            <w:vAlign w:val="bottom"/>
            <w:hideMark/>
          </w:tcPr>
          <w:p w14:paraId="223784FC" w14:textId="77777777" w:rsidR="00524720" w:rsidRPr="00D9348B" w:rsidRDefault="00524720">
            <w:pPr>
              <w:pStyle w:val="TableTextBold"/>
              <w:spacing w:before="40" w:after="40"/>
              <w:jc w:val="center"/>
              <w:rPr>
                <w:noProof w:val="0"/>
                <w:color w:val="FFFFFF"/>
              </w:rPr>
            </w:pPr>
            <w:r w:rsidRPr="00D9348B">
              <w:rPr>
                <w:noProof w:val="0"/>
                <w:color w:val="FFFFFF"/>
              </w:rPr>
              <w:t xml:space="preserve">Meat industries </w:t>
            </w:r>
            <w:r w:rsidRPr="00D9348B">
              <w:rPr>
                <w:noProof w:val="0"/>
                <w:color w:val="FFFFFF"/>
              </w:rPr>
              <w:br/>
              <w:t>TOW (kt)</w:t>
            </w:r>
          </w:p>
        </w:tc>
        <w:tc>
          <w:tcPr>
            <w:tcW w:w="1856" w:type="dxa"/>
            <w:tcBorders>
              <w:top w:val="single" w:sz="4" w:space="0" w:color="365F91"/>
              <w:left w:val="nil"/>
              <w:bottom w:val="single" w:sz="4" w:space="0" w:color="365F91"/>
              <w:right w:val="nil"/>
            </w:tcBorders>
            <w:shd w:val="clear" w:color="auto" w:fill="365F91"/>
            <w:vAlign w:val="bottom"/>
            <w:hideMark/>
          </w:tcPr>
          <w:p w14:paraId="46F57CEE" w14:textId="77777777" w:rsidR="00524720" w:rsidRPr="00D9348B" w:rsidRDefault="00524720">
            <w:pPr>
              <w:pStyle w:val="TableTextBold"/>
              <w:spacing w:before="40" w:after="40"/>
              <w:jc w:val="center"/>
              <w:rPr>
                <w:noProof w:val="0"/>
                <w:color w:val="FFFFFF"/>
              </w:rPr>
            </w:pPr>
            <w:r w:rsidRPr="00D9348B">
              <w:rPr>
                <w:noProof w:val="0"/>
                <w:color w:val="FFFFFF"/>
              </w:rPr>
              <w:t>Pulp and paper industry TOW (kt)</w:t>
            </w:r>
          </w:p>
        </w:tc>
        <w:tc>
          <w:tcPr>
            <w:tcW w:w="1856" w:type="dxa"/>
            <w:tcBorders>
              <w:top w:val="single" w:sz="4" w:space="0" w:color="365F91"/>
              <w:left w:val="nil"/>
              <w:bottom w:val="single" w:sz="4" w:space="0" w:color="365F91"/>
              <w:right w:val="nil"/>
            </w:tcBorders>
            <w:shd w:val="clear" w:color="auto" w:fill="365F91"/>
            <w:vAlign w:val="bottom"/>
            <w:hideMark/>
          </w:tcPr>
          <w:p w14:paraId="52C697F1" w14:textId="713F6B34" w:rsidR="00524720" w:rsidRPr="00D9348B" w:rsidRDefault="00524720">
            <w:pPr>
              <w:pStyle w:val="TableTextBold"/>
              <w:spacing w:before="40" w:after="40"/>
              <w:jc w:val="center"/>
              <w:rPr>
                <w:noProof w:val="0"/>
                <w:color w:val="FFFFFF"/>
              </w:rPr>
            </w:pPr>
            <w:r w:rsidRPr="00D9348B">
              <w:rPr>
                <w:noProof w:val="0"/>
                <w:color w:val="FFFFFF"/>
              </w:rPr>
              <w:t>All other industries TOW</w:t>
            </w:r>
            <w:r w:rsidR="00D54BA9" w:rsidRPr="00D9348B">
              <w:rPr>
                <w:noProof w:val="0"/>
                <w:color w:val="FFFFFF"/>
              </w:rPr>
              <w:t> </w:t>
            </w:r>
            <w:r w:rsidRPr="00D9348B">
              <w:rPr>
                <w:noProof w:val="0"/>
                <w:color w:val="FFFFFF"/>
              </w:rPr>
              <w:t>(kt)</w:t>
            </w:r>
          </w:p>
        </w:tc>
        <w:tc>
          <w:tcPr>
            <w:tcW w:w="1857" w:type="dxa"/>
            <w:tcBorders>
              <w:top w:val="single" w:sz="4" w:space="0" w:color="365F91"/>
              <w:left w:val="nil"/>
              <w:bottom w:val="single" w:sz="4" w:space="0" w:color="365F91"/>
              <w:right w:val="nil"/>
            </w:tcBorders>
            <w:shd w:val="clear" w:color="auto" w:fill="365F91"/>
            <w:vAlign w:val="bottom"/>
            <w:hideMark/>
          </w:tcPr>
          <w:p w14:paraId="27BFDE74" w14:textId="77777777" w:rsidR="00524720" w:rsidRPr="00D9348B" w:rsidRDefault="00524720">
            <w:pPr>
              <w:pStyle w:val="TableTextBold"/>
              <w:spacing w:before="40" w:after="40"/>
              <w:jc w:val="center"/>
              <w:rPr>
                <w:noProof w:val="0"/>
                <w:color w:val="FFFFFF"/>
              </w:rPr>
            </w:pPr>
            <w:r w:rsidRPr="00D9348B">
              <w:rPr>
                <w:noProof w:val="0"/>
                <w:color w:val="FFFFFF"/>
              </w:rPr>
              <w:t xml:space="preserve">Total industrial </w:t>
            </w:r>
            <w:r w:rsidRPr="00D9348B">
              <w:rPr>
                <w:noProof w:val="0"/>
                <w:color w:val="FFFFFF"/>
              </w:rPr>
              <w:br/>
              <w:t>TOW (kt)</w:t>
            </w:r>
          </w:p>
        </w:tc>
      </w:tr>
      <w:tr w:rsidR="00524720" w:rsidRPr="00D9348B" w14:paraId="3CC15C82" w14:textId="77777777" w:rsidTr="002B5847">
        <w:tc>
          <w:tcPr>
            <w:tcW w:w="1079" w:type="dxa"/>
            <w:tcBorders>
              <w:top w:val="single" w:sz="4" w:space="0" w:color="365F91"/>
              <w:left w:val="nil"/>
              <w:bottom w:val="single" w:sz="4" w:space="0" w:color="365F91"/>
              <w:right w:val="nil"/>
            </w:tcBorders>
            <w:hideMark/>
          </w:tcPr>
          <w:p w14:paraId="70A929C9" w14:textId="77777777" w:rsidR="00524720" w:rsidRPr="00D9348B" w:rsidRDefault="00524720">
            <w:pPr>
              <w:pStyle w:val="TableTextBold"/>
              <w:spacing w:before="40" w:after="40"/>
              <w:rPr>
                <w:noProof w:val="0"/>
              </w:rPr>
            </w:pPr>
            <w:r w:rsidRPr="00D9348B">
              <w:rPr>
                <w:noProof w:val="0"/>
              </w:rPr>
              <w:t>1990</w:t>
            </w:r>
          </w:p>
        </w:tc>
        <w:tc>
          <w:tcPr>
            <w:tcW w:w="1857" w:type="dxa"/>
            <w:tcBorders>
              <w:top w:val="single" w:sz="4" w:space="0" w:color="365F91"/>
              <w:left w:val="nil"/>
              <w:bottom w:val="single" w:sz="4" w:space="0" w:color="365F91"/>
              <w:right w:val="nil"/>
            </w:tcBorders>
            <w:hideMark/>
          </w:tcPr>
          <w:p w14:paraId="24B4E833" w14:textId="77777777" w:rsidR="00524720" w:rsidRPr="00D9348B" w:rsidRDefault="00524720">
            <w:pPr>
              <w:pStyle w:val="TableText"/>
              <w:spacing w:before="40" w:after="40"/>
              <w:jc w:val="center"/>
              <w:rPr>
                <w:rFonts w:cs="Arial"/>
                <w:szCs w:val="16"/>
              </w:rPr>
            </w:pPr>
            <w:r w:rsidRPr="00D9348B">
              <w:t>55.6</w:t>
            </w:r>
          </w:p>
        </w:tc>
        <w:tc>
          <w:tcPr>
            <w:tcW w:w="1856" w:type="dxa"/>
            <w:tcBorders>
              <w:top w:val="single" w:sz="4" w:space="0" w:color="365F91"/>
              <w:left w:val="nil"/>
              <w:bottom w:val="single" w:sz="4" w:space="0" w:color="365F91"/>
              <w:right w:val="nil"/>
            </w:tcBorders>
            <w:hideMark/>
          </w:tcPr>
          <w:p w14:paraId="4B3CC0D2" w14:textId="77777777" w:rsidR="00524720" w:rsidRPr="00D9348B" w:rsidRDefault="00524720">
            <w:pPr>
              <w:pStyle w:val="TableText"/>
              <w:spacing w:before="40" w:after="40"/>
              <w:jc w:val="center"/>
              <w:rPr>
                <w:rFonts w:cs="Arial"/>
                <w:szCs w:val="16"/>
              </w:rPr>
            </w:pPr>
            <w:r w:rsidRPr="00D9348B">
              <w:t>71.7</w:t>
            </w:r>
          </w:p>
        </w:tc>
        <w:tc>
          <w:tcPr>
            <w:tcW w:w="1856" w:type="dxa"/>
            <w:tcBorders>
              <w:top w:val="single" w:sz="4" w:space="0" w:color="365F91"/>
              <w:left w:val="nil"/>
              <w:bottom w:val="single" w:sz="4" w:space="0" w:color="365F91"/>
              <w:right w:val="nil"/>
            </w:tcBorders>
            <w:hideMark/>
          </w:tcPr>
          <w:p w14:paraId="74BE1F63" w14:textId="77777777" w:rsidR="00524720" w:rsidRPr="00D9348B" w:rsidRDefault="00524720">
            <w:pPr>
              <w:pStyle w:val="TableText"/>
              <w:spacing w:before="40" w:after="40"/>
              <w:jc w:val="center"/>
              <w:rPr>
                <w:rFonts w:cs="Arial"/>
                <w:szCs w:val="16"/>
              </w:rPr>
            </w:pPr>
            <w:r w:rsidRPr="00D9348B">
              <w:t>20.2</w:t>
            </w:r>
          </w:p>
        </w:tc>
        <w:tc>
          <w:tcPr>
            <w:tcW w:w="1857" w:type="dxa"/>
            <w:tcBorders>
              <w:top w:val="single" w:sz="4" w:space="0" w:color="365F91"/>
              <w:left w:val="nil"/>
              <w:bottom w:val="single" w:sz="4" w:space="0" w:color="365F91"/>
              <w:right w:val="nil"/>
            </w:tcBorders>
            <w:hideMark/>
          </w:tcPr>
          <w:p w14:paraId="3CC716C5" w14:textId="77777777" w:rsidR="00524720" w:rsidRPr="00D9348B" w:rsidRDefault="00524720">
            <w:pPr>
              <w:pStyle w:val="TableText"/>
              <w:spacing w:before="40" w:after="40"/>
              <w:jc w:val="center"/>
              <w:rPr>
                <w:rFonts w:cs="Arial"/>
                <w:szCs w:val="16"/>
              </w:rPr>
            </w:pPr>
            <w:r w:rsidRPr="00D9348B">
              <w:t>147.5</w:t>
            </w:r>
          </w:p>
        </w:tc>
      </w:tr>
      <w:tr w:rsidR="00524720" w:rsidRPr="00D9348B" w14:paraId="58A8A58C" w14:textId="77777777" w:rsidTr="002B5847">
        <w:tc>
          <w:tcPr>
            <w:tcW w:w="1079" w:type="dxa"/>
            <w:tcBorders>
              <w:top w:val="single" w:sz="4" w:space="0" w:color="365F91"/>
              <w:left w:val="nil"/>
              <w:bottom w:val="single" w:sz="4" w:space="0" w:color="365F91"/>
              <w:right w:val="nil"/>
            </w:tcBorders>
            <w:hideMark/>
          </w:tcPr>
          <w:p w14:paraId="6106B201" w14:textId="77777777" w:rsidR="00524720" w:rsidRPr="00D9348B" w:rsidRDefault="00524720">
            <w:pPr>
              <w:pStyle w:val="TableTextBold"/>
              <w:spacing w:before="40" w:after="40"/>
              <w:rPr>
                <w:noProof w:val="0"/>
              </w:rPr>
            </w:pPr>
            <w:r w:rsidRPr="00D9348B">
              <w:rPr>
                <w:noProof w:val="0"/>
              </w:rPr>
              <w:t>1991</w:t>
            </w:r>
          </w:p>
        </w:tc>
        <w:tc>
          <w:tcPr>
            <w:tcW w:w="1857" w:type="dxa"/>
            <w:tcBorders>
              <w:top w:val="single" w:sz="4" w:space="0" w:color="365F91"/>
              <w:left w:val="nil"/>
              <w:bottom w:val="single" w:sz="4" w:space="0" w:color="365F91"/>
              <w:right w:val="nil"/>
            </w:tcBorders>
            <w:hideMark/>
          </w:tcPr>
          <w:p w14:paraId="58E7B4D7" w14:textId="77777777" w:rsidR="00524720" w:rsidRPr="00D9348B" w:rsidRDefault="00524720">
            <w:pPr>
              <w:pStyle w:val="TableText"/>
              <w:spacing w:before="40" w:after="40"/>
              <w:jc w:val="center"/>
              <w:rPr>
                <w:rFonts w:cs="Arial"/>
                <w:szCs w:val="16"/>
              </w:rPr>
            </w:pPr>
            <w:r w:rsidRPr="00D9348B">
              <w:t>59.2</w:t>
            </w:r>
          </w:p>
        </w:tc>
        <w:tc>
          <w:tcPr>
            <w:tcW w:w="1856" w:type="dxa"/>
            <w:tcBorders>
              <w:top w:val="single" w:sz="4" w:space="0" w:color="365F91"/>
              <w:left w:val="nil"/>
              <w:bottom w:val="single" w:sz="4" w:space="0" w:color="365F91"/>
              <w:right w:val="nil"/>
            </w:tcBorders>
            <w:hideMark/>
          </w:tcPr>
          <w:p w14:paraId="4C118C33" w14:textId="77777777" w:rsidR="00524720" w:rsidRPr="00D9348B" w:rsidRDefault="00524720">
            <w:pPr>
              <w:pStyle w:val="TableText"/>
              <w:spacing w:before="40" w:after="40"/>
              <w:jc w:val="center"/>
              <w:rPr>
                <w:rFonts w:cs="Arial"/>
                <w:szCs w:val="16"/>
              </w:rPr>
            </w:pPr>
            <w:r w:rsidRPr="00D9348B">
              <w:t>78.2</w:t>
            </w:r>
          </w:p>
        </w:tc>
        <w:tc>
          <w:tcPr>
            <w:tcW w:w="1856" w:type="dxa"/>
            <w:tcBorders>
              <w:top w:val="single" w:sz="4" w:space="0" w:color="365F91"/>
              <w:left w:val="nil"/>
              <w:bottom w:val="single" w:sz="4" w:space="0" w:color="365F91"/>
              <w:right w:val="nil"/>
            </w:tcBorders>
            <w:hideMark/>
          </w:tcPr>
          <w:p w14:paraId="583C502D" w14:textId="77777777" w:rsidR="00524720" w:rsidRPr="00D9348B" w:rsidRDefault="00524720">
            <w:pPr>
              <w:pStyle w:val="TableText"/>
              <w:spacing w:before="40" w:after="40"/>
              <w:jc w:val="center"/>
              <w:rPr>
                <w:rFonts w:cs="Arial"/>
                <w:szCs w:val="16"/>
              </w:rPr>
            </w:pPr>
            <w:r w:rsidRPr="00D9348B">
              <w:t>18.8</w:t>
            </w:r>
          </w:p>
        </w:tc>
        <w:tc>
          <w:tcPr>
            <w:tcW w:w="1857" w:type="dxa"/>
            <w:tcBorders>
              <w:top w:val="single" w:sz="4" w:space="0" w:color="365F91"/>
              <w:left w:val="nil"/>
              <w:bottom w:val="single" w:sz="4" w:space="0" w:color="365F91"/>
              <w:right w:val="nil"/>
            </w:tcBorders>
            <w:hideMark/>
          </w:tcPr>
          <w:p w14:paraId="1CDCAB69" w14:textId="77777777" w:rsidR="00524720" w:rsidRPr="00D9348B" w:rsidRDefault="00524720">
            <w:pPr>
              <w:pStyle w:val="TableText"/>
              <w:spacing w:before="40" w:after="40"/>
              <w:jc w:val="center"/>
              <w:rPr>
                <w:rFonts w:cs="Arial"/>
                <w:szCs w:val="16"/>
              </w:rPr>
            </w:pPr>
            <w:r w:rsidRPr="00D9348B">
              <w:t>156.1</w:t>
            </w:r>
          </w:p>
        </w:tc>
      </w:tr>
      <w:tr w:rsidR="00524720" w:rsidRPr="00D9348B" w14:paraId="3392D50A" w14:textId="77777777" w:rsidTr="002B5847">
        <w:tc>
          <w:tcPr>
            <w:tcW w:w="1079" w:type="dxa"/>
            <w:tcBorders>
              <w:top w:val="single" w:sz="4" w:space="0" w:color="365F91"/>
              <w:left w:val="nil"/>
              <w:bottom w:val="single" w:sz="4" w:space="0" w:color="365F91"/>
              <w:right w:val="nil"/>
            </w:tcBorders>
            <w:hideMark/>
          </w:tcPr>
          <w:p w14:paraId="58E3D3DC" w14:textId="77777777" w:rsidR="00524720" w:rsidRPr="00D9348B" w:rsidRDefault="00524720">
            <w:pPr>
              <w:pStyle w:val="TableTextBold"/>
              <w:spacing w:before="40" w:after="40"/>
              <w:rPr>
                <w:noProof w:val="0"/>
              </w:rPr>
            </w:pPr>
            <w:r w:rsidRPr="00D9348B">
              <w:rPr>
                <w:noProof w:val="0"/>
              </w:rPr>
              <w:t>1992</w:t>
            </w:r>
          </w:p>
        </w:tc>
        <w:tc>
          <w:tcPr>
            <w:tcW w:w="1857" w:type="dxa"/>
            <w:tcBorders>
              <w:top w:val="single" w:sz="4" w:space="0" w:color="365F91"/>
              <w:left w:val="nil"/>
              <w:bottom w:val="single" w:sz="4" w:space="0" w:color="365F91"/>
              <w:right w:val="nil"/>
            </w:tcBorders>
            <w:hideMark/>
          </w:tcPr>
          <w:p w14:paraId="37437D42" w14:textId="77777777" w:rsidR="00524720" w:rsidRPr="00D9348B" w:rsidRDefault="00524720">
            <w:pPr>
              <w:pStyle w:val="TableText"/>
              <w:spacing w:before="40" w:after="40"/>
              <w:jc w:val="center"/>
              <w:rPr>
                <w:rFonts w:cs="Arial"/>
                <w:szCs w:val="16"/>
              </w:rPr>
            </w:pPr>
            <w:r w:rsidRPr="00D9348B">
              <w:t>64.1</w:t>
            </w:r>
          </w:p>
        </w:tc>
        <w:tc>
          <w:tcPr>
            <w:tcW w:w="1856" w:type="dxa"/>
            <w:tcBorders>
              <w:top w:val="single" w:sz="4" w:space="0" w:color="365F91"/>
              <w:left w:val="nil"/>
              <w:bottom w:val="single" w:sz="4" w:space="0" w:color="365F91"/>
              <w:right w:val="nil"/>
            </w:tcBorders>
            <w:hideMark/>
          </w:tcPr>
          <w:p w14:paraId="33291AC1" w14:textId="77777777" w:rsidR="00524720" w:rsidRPr="00D9348B" w:rsidRDefault="00524720">
            <w:pPr>
              <w:pStyle w:val="TableText"/>
              <w:spacing w:before="40" w:after="40"/>
              <w:jc w:val="center"/>
              <w:rPr>
                <w:rFonts w:cs="Arial"/>
                <w:szCs w:val="16"/>
              </w:rPr>
            </w:pPr>
            <w:r w:rsidRPr="00D9348B">
              <w:t>76.4</w:t>
            </w:r>
          </w:p>
        </w:tc>
        <w:tc>
          <w:tcPr>
            <w:tcW w:w="1856" w:type="dxa"/>
            <w:tcBorders>
              <w:top w:val="single" w:sz="4" w:space="0" w:color="365F91"/>
              <w:left w:val="nil"/>
              <w:bottom w:val="single" w:sz="4" w:space="0" w:color="365F91"/>
              <w:right w:val="nil"/>
            </w:tcBorders>
            <w:hideMark/>
          </w:tcPr>
          <w:p w14:paraId="4AF4266B" w14:textId="77777777" w:rsidR="00524720" w:rsidRPr="00D9348B" w:rsidRDefault="00524720">
            <w:pPr>
              <w:pStyle w:val="TableText"/>
              <w:spacing w:before="40" w:after="40"/>
              <w:jc w:val="center"/>
              <w:rPr>
                <w:rFonts w:cs="Arial"/>
                <w:szCs w:val="16"/>
              </w:rPr>
            </w:pPr>
            <w:r w:rsidRPr="00D9348B">
              <w:t>17.2</w:t>
            </w:r>
          </w:p>
        </w:tc>
        <w:tc>
          <w:tcPr>
            <w:tcW w:w="1857" w:type="dxa"/>
            <w:tcBorders>
              <w:top w:val="single" w:sz="4" w:space="0" w:color="365F91"/>
              <w:left w:val="nil"/>
              <w:bottom w:val="single" w:sz="4" w:space="0" w:color="365F91"/>
              <w:right w:val="nil"/>
            </w:tcBorders>
            <w:hideMark/>
          </w:tcPr>
          <w:p w14:paraId="1372BB94" w14:textId="77777777" w:rsidR="00524720" w:rsidRPr="00D9348B" w:rsidRDefault="00524720">
            <w:pPr>
              <w:pStyle w:val="TableText"/>
              <w:spacing w:before="40" w:after="40"/>
              <w:jc w:val="center"/>
              <w:rPr>
                <w:rFonts w:cs="Arial"/>
                <w:szCs w:val="16"/>
              </w:rPr>
            </w:pPr>
            <w:r w:rsidRPr="00D9348B">
              <w:t>157.8</w:t>
            </w:r>
          </w:p>
        </w:tc>
      </w:tr>
      <w:tr w:rsidR="00524720" w:rsidRPr="00D9348B" w14:paraId="5BC1C856" w14:textId="77777777" w:rsidTr="002B5847">
        <w:tc>
          <w:tcPr>
            <w:tcW w:w="1079" w:type="dxa"/>
            <w:tcBorders>
              <w:top w:val="single" w:sz="4" w:space="0" w:color="365F91"/>
              <w:left w:val="nil"/>
              <w:bottom w:val="single" w:sz="4" w:space="0" w:color="365F91"/>
              <w:right w:val="nil"/>
            </w:tcBorders>
            <w:hideMark/>
          </w:tcPr>
          <w:p w14:paraId="2303A3EC" w14:textId="77777777" w:rsidR="00524720" w:rsidRPr="00D9348B" w:rsidRDefault="00524720">
            <w:pPr>
              <w:pStyle w:val="TableTextBold"/>
              <w:spacing w:before="40" w:after="40"/>
              <w:rPr>
                <w:noProof w:val="0"/>
              </w:rPr>
            </w:pPr>
            <w:r w:rsidRPr="00D9348B">
              <w:rPr>
                <w:noProof w:val="0"/>
              </w:rPr>
              <w:t>1993</w:t>
            </w:r>
          </w:p>
        </w:tc>
        <w:tc>
          <w:tcPr>
            <w:tcW w:w="1857" w:type="dxa"/>
            <w:tcBorders>
              <w:top w:val="single" w:sz="4" w:space="0" w:color="365F91"/>
              <w:left w:val="nil"/>
              <w:bottom w:val="single" w:sz="4" w:space="0" w:color="365F91"/>
              <w:right w:val="nil"/>
            </w:tcBorders>
            <w:hideMark/>
          </w:tcPr>
          <w:p w14:paraId="5DB44C8E" w14:textId="77777777" w:rsidR="00524720" w:rsidRPr="00D9348B" w:rsidRDefault="00524720">
            <w:pPr>
              <w:pStyle w:val="TableText"/>
              <w:spacing w:before="40" w:after="40"/>
              <w:jc w:val="center"/>
            </w:pPr>
            <w:r w:rsidRPr="00D9348B">
              <w:t>59.3</w:t>
            </w:r>
          </w:p>
        </w:tc>
        <w:tc>
          <w:tcPr>
            <w:tcW w:w="1856" w:type="dxa"/>
            <w:tcBorders>
              <w:top w:val="single" w:sz="4" w:space="0" w:color="365F91"/>
              <w:left w:val="nil"/>
              <w:bottom w:val="single" w:sz="4" w:space="0" w:color="365F91"/>
              <w:right w:val="nil"/>
            </w:tcBorders>
            <w:hideMark/>
          </w:tcPr>
          <w:p w14:paraId="68E9C9C9" w14:textId="77777777" w:rsidR="00524720" w:rsidRPr="00D9348B" w:rsidRDefault="00524720">
            <w:pPr>
              <w:pStyle w:val="TableText"/>
              <w:spacing w:before="40" w:after="40"/>
              <w:jc w:val="center"/>
            </w:pPr>
            <w:r w:rsidRPr="00D9348B">
              <w:t>73.0</w:t>
            </w:r>
          </w:p>
        </w:tc>
        <w:tc>
          <w:tcPr>
            <w:tcW w:w="1856" w:type="dxa"/>
            <w:tcBorders>
              <w:top w:val="single" w:sz="4" w:space="0" w:color="365F91"/>
              <w:left w:val="nil"/>
              <w:bottom w:val="single" w:sz="4" w:space="0" w:color="365F91"/>
              <w:right w:val="nil"/>
            </w:tcBorders>
            <w:hideMark/>
          </w:tcPr>
          <w:p w14:paraId="6BEF1AEE" w14:textId="77777777" w:rsidR="00524720" w:rsidRPr="00D9348B" w:rsidRDefault="00524720">
            <w:pPr>
              <w:pStyle w:val="TableText"/>
              <w:spacing w:before="40" w:after="40"/>
              <w:jc w:val="center"/>
            </w:pPr>
            <w:r w:rsidRPr="00D9348B">
              <w:t>15.7</w:t>
            </w:r>
          </w:p>
        </w:tc>
        <w:tc>
          <w:tcPr>
            <w:tcW w:w="1857" w:type="dxa"/>
            <w:tcBorders>
              <w:top w:val="single" w:sz="4" w:space="0" w:color="365F91"/>
              <w:left w:val="nil"/>
              <w:bottom w:val="single" w:sz="4" w:space="0" w:color="365F91"/>
              <w:right w:val="nil"/>
            </w:tcBorders>
            <w:hideMark/>
          </w:tcPr>
          <w:p w14:paraId="4EE9006A" w14:textId="77777777" w:rsidR="00524720" w:rsidRPr="00D9348B" w:rsidRDefault="00524720">
            <w:pPr>
              <w:pStyle w:val="TableText"/>
              <w:spacing w:before="40" w:after="40"/>
              <w:jc w:val="center"/>
            </w:pPr>
            <w:r w:rsidRPr="00D9348B">
              <w:t>147.9</w:t>
            </w:r>
          </w:p>
        </w:tc>
      </w:tr>
      <w:tr w:rsidR="00524720" w:rsidRPr="00D9348B" w14:paraId="3DFEB585" w14:textId="77777777" w:rsidTr="002B5847">
        <w:tc>
          <w:tcPr>
            <w:tcW w:w="1079" w:type="dxa"/>
            <w:tcBorders>
              <w:top w:val="single" w:sz="4" w:space="0" w:color="365F91"/>
              <w:left w:val="nil"/>
              <w:bottom w:val="single" w:sz="4" w:space="0" w:color="365F91"/>
              <w:right w:val="nil"/>
            </w:tcBorders>
            <w:hideMark/>
          </w:tcPr>
          <w:p w14:paraId="342F5F50" w14:textId="77777777" w:rsidR="00524720" w:rsidRPr="00D9348B" w:rsidRDefault="00524720">
            <w:pPr>
              <w:pStyle w:val="TableTextBold"/>
              <w:spacing w:before="40" w:after="40"/>
              <w:rPr>
                <w:noProof w:val="0"/>
              </w:rPr>
            </w:pPr>
            <w:r w:rsidRPr="00D9348B">
              <w:rPr>
                <w:noProof w:val="0"/>
              </w:rPr>
              <w:t>1994</w:t>
            </w:r>
          </w:p>
        </w:tc>
        <w:tc>
          <w:tcPr>
            <w:tcW w:w="1857" w:type="dxa"/>
            <w:tcBorders>
              <w:top w:val="single" w:sz="4" w:space="0" w:color="365F91"/>
              <w:left w:val="nil"/>
              <w:bottom w:val="single" w:sz="4" w:space="0" w:color="365F91"/>
              <w:right w:val="nil"/>
            </w:tcBorders>
            <w:hideMark/>
          </w:tcPr>
          <w:p w14:paraId="18685243" w14:textId="77777777" w:rsidR="00524720" w:rsidRPr="00D9348B" w:rsidRDefault="00524720">
            <w:pPr>
              <w:pStyle w:val="TableText"/>
              <w:spacing w:before="40" w:after="40"/>
              <w:jc w:val="center"/>
            </w:pPr>
            <w:r w:rsidRPr="00D9348B">
              <w:t>62.1</w:t>
            </w:r>
          </w:p>
        </w:tc>
        <w:tc>
          <w:tcPr>
            <w:tcW w:w="1856" w:type="dxa"/>
            <w:tcBorders>
              <w:top w:val="single" w:sz="4" w:space="0" w:color="365F91"/>
              <w:left w:val="nil"/>
              <w:bottom w:val="single" w:sz="4" w:space="0" w:color="365F91"/>
              <w:right w:val="nil"/>
            </w:tcBorders>
            <w:hideMark/>
          </w:tcPr>
          <w:p w14:paraId="752891C7" w14:textId="77777777" w:rsidR="00524720" w:rsidRPr="00D9348B" w:rsidRDefault="00524720">
            <w:pPr>
              <w:pStyle w:val="TableText"/>
              <w:spacing w:before="40" w:after="40"/>
              <w:jc w:val="center"/>
            </w:pPr>
            <w:r w:rsidRPr="00D9348B">
              <w:t>79.4</w:t>
            </w:r>
          </w:p>
        </w:tc>
        <w:tc>
          <w:tcPr>
            <w:tcW w:w="1856" w:type="dxa"/>
            <w:tcBorders>
              <w:top w:val="single" w:sz="4" w:space="0" w:color="365F91"/>
              <w:left w:val="nil"/>
              <w:bottom w:val="single" w:sz="4" w:space="0" w:color="365F91"/>
              <w:right w:val="nil"/>
            </w:tcBorders>
            <w:hideMark/>
          </w:tcPr>
          <w:p w14:paraId="306D7D66" w14:textId="77777777" w:rsidR="00524720" w:rsidRPr="00D9348B" w:rsidRDefault="00524720">
            <w:pPr>
              <w:pStyle w:val="TableText"/>
              <w:spacing w:before="40" w:after="40"/>
              <w:jc w:val="center"/>
            </w:pPr>
            <w:r w:rsidRPr="00D9348B">
              <w:t>14.4</w:t>
            </w:r>
          </w:p>
        </w:tc>
        <w:tc>
          <w:tcPr>
            <w:tcW w:w="1857" w:type="dxa"/>
            <w:tcBorders>
              <w:top w:val="single" w:sz="4" w:space="0" w:color="365F91"/>
              <w:left w:val="nil"/>
              <w:bottom w:val="single" w:sz="4" w:space="0" w:color="365F91"/>
              <w:right w:val="nil"/>
            </w:tcBorders>
            <w:hideMark/>
          </w:tcPr>
          <w:p w14:paraId="73708080" w14:textId="77777777" w:rsidR="00524720" w:rsidRPr="00D9348B" w:rsidRDefault="00524720">
            <w:pPr>
              <w:pStyle w:val="TableText"/>
              <w:spacing w:before="40" w:after="40"/>
              <w:jc w:val="center"/>
            </w:pPr>
            <w:r w:rsidRPr="00D9348B">
              <w:t>156.0</w:t>
            </w:r>
          </w:p>
        </w:tc>
      </w:tr>
      <w:tr w:rsidR="00524720" w:rsidRPr="00D9348B" w14:paraId="32F38BD7" w14:textId="77777777" w:rsidTr="002B5847">
        <w:tc>
          <w:tcPr>
            <w:tcW w:w="1079" w:type="dxa"/>
            <w:tcBorders>
              <w:top w:val="single" w:sz="4" w:space="0" w:color="365F91"/>
              <w:left w:val="nil"/>
              <w:bottom w:val="single" w:sz="4" w:space="0" w:color="365F91"/>
              <w:right w:val="nil"/>
            </w:tcBorders>
            <w:hideMark/>
          </w:tcPr>
          <w:p w14:paraId="6F869571" w14:textId="77777777" w:rsidR="00524720" w:rsidRPr="00D9348B" w:rsidRDefault="00524720">
            <w:pPr>
              <w:pStyle w:val="TableTextBold"/>
              <w:spacing w:before="40" w:after="40"/>
              <w:rPr>
                <w:noProof w:val="0"/>
              </w:rPr>
            </w:pPr>
            <w:r w:rsidRPr="00D9348B">
              <w:rPr>
                <w:noProof w:val="0"/>
              </w:rPr>
              <w:t>1995</w:t>
            </w:r>
          </w:p>
        </w:tc>
        <w:tc>
          <w:tcPr>
            <w:tcW w:w="1857" w:type="dxa"/>
            <w:tcBorders>
              <w:top w:val="single" w:sz="4" w:space="0" w:color="365F91"/>
              <w:left w:val="nil"/>
              <w:bottom w:val="single" w:sz="4" w:space="0" w:color="365F91"/>
              <w:right w:val="nil"/>
            </w:tcBorders>
            <w:hideMark/>
          </w:tcPr>
          <w:p w14:paraId="191FFFFF" w14:textId="77777777" w:rsidR="00524720" w:rsidRPr="00D9348B" w:rsidRDefault="00524720">
            <w:pPr>
              <w:pStyle w:val="TableText"/>
              <w:spacing w:before="40" w:after="40"/>
              <w:jc w:val="center"/>
            </w:pPr>
            <w:r w:rsidRPr="00D9348B">
              <w:t>64.5</w:t>
            </w:r>
          </w:p>
        </w:tc>
        <w:tc>
          <w:tcPr>
            <w:tcW w:w="1856" w:type="dxa"/>
            <w:tcBorders>
              <w:top w:val="single" w:sz="4" w:space="0" w:color="365F91"/>
              <w:left w:val="nil"/>
              <w:bottom w:val="single" w:sz="4" w:space="0" w:color="365F91"/>
              <w:right w:val="nil"/>
            </w:tcBorders>
            <w:hideMark/>
          </w:tcPr>
          <w:p w14:paraId="7BAC9B7F" w14:textId="77777777" w:rsidR="00524720" w:rsidRPr="00D9348B" w:rsidRDefault="00524720">
            <w:pPr>
              <w:pStyle w:val="TableText"/>
              <w:spacing w:before="40" w:after="40"/>
              <w:jc w:val="center"/>
            </w:pPr>
            <w:r w:rsidRPr="00D9348B">
              <w:t>80.5</w:t>
            </w:r>
          </w:p>
        </w:tc>
        <w:tc>
          <w:tcPr>
            <w:tcW w:w="1856" w:type="dxa"/>
            <w:tcBorders>
              <w:top w:val="single" w:sz="4" w:space="0" w:color="365F91"/>
              <w:left w:val="nil"/>
              <w:bottom w:val="single" w:sz="4" w:space="0" w:color="365F91"/>
              <w:right w:val="nil"/>
            </w:tcBorders>
            <w:hideMark/>
          </w:tcPr>
          <w:p w14:paraId="27D64A61" w14:textId="77777777" w:rsidR="00524720" w:rsidRPr="00D9348B" w:rsidRDefault="00524720">
            <w:pPr>
              <w:pStyle w:val="TableText"/>
              <w:spacing w:before="40" w:after="40"/>
              <w:jc w:val="center"/>
            </w:pPr>
            <w:r w:rsidRPr="00D9348B">
              <w:t>13.3</w:t>
            </w:r>
          </w:p>
        </w:tc>
        <w:tc>
          <w:tcPr>
            <w:tcW w:w="1857" w:type="dxa"/>
            <w:tcBorders>
              <w:top w:val="single" w:sz="4" w:space="0" w:color="365F91"/>
              <w:left w:val="nil"/>
              <w:bottom w:val="single" w:sz="4" w:space="0" w:color="365F91"/>
              <w:right w:val="nil"/>
            </w:tcBorders>
            <w:hideMark/>
          </w:tcPr>
          <w:p w14:paraId="62F02CCC" w14:textId="77777777" w:rsidR="00524720" w:rsidRPr="00D9348B" w:rsidRDefault="00524720">
            <w:pPr>
              <w:pStyle w:val="TableText"/>
              <w:spacing w:before="40" w:after="40"/>
              <w:jc w:val="center"/>
            </w:pPr>
            <w:r w:rsidRPr="00D9348B">
              <w:t>158.3</w:t>
            </w:r>
          </w:p>
        </w:tc>
      </w:tr>
      <w:tr w:rsidR="00524720" w:rsidRPr="00D9348B" w14:paraId="5B2028F6" w14:textId="77777777" w:rsidTr="002B5847">
        <w:tc>
          <w:tcPr>
            <w:tcW w:w="1079" w:type="dxa"/>
            <w:tcBorders>
              <w:top w:val="single" w:sz="4" w:space="0" w:color="365F91"/>
              <w:left w:val="nil"/>
              <w:bottom w:val="single" w:sz="4" w:space="0" w:color="365F91"/>
              <w:right w:val="nil"/>
            </w:tcBorders>
            <w:hideMark/>
          </w:tcPr>
          <w:p w14:paraId="44488901" w14:textId="77777777" w:rsidR="00524720" w:rsidRPr="00D9348B" w:rsidRDefault="00524720">
            <w:pPr>
              <w:pStyle w:val="TableTextBold"/>
              <w:spacing w:before="40" w:after="40"/>
              <w:rPr>
                <w:noProof w:val="0"/>
              </w:rPr>
            </w:pPr>
            <w:r w:rsidRPr="00D9348B">
              <w:rPr>
                <w:noProof w:val="0"/>
              </w:rPr>
              <w:lastRenderedPageBreak/>
              <w:t>1996</w:t>
            </w:r>
          </w:p>
        </w:tc>
        <w:tc>
          <w:tcPr>
            <w:tcW w:w="1857" w:type="dxa"/>
            <w:tcBorders>
              <w:top w:val="single" w:sz="4" w:space="0" w:color="365F91"/>
              <w:left w:val="nil"/>
              <w:bottom w:val="single" w:sz="4" w:space="0" w:color="365F91"/>
              <w:right w:val="nil"/>
            </w:tcBorders>
            <w:hideMark/>
          </w:tcPr>
          <w:p w14:paraId="2DBCB34C" w14:textId="77777777" w:rsidR="00524720" w:rsidRPr="00D9348B" w:rsidRDefault="00524720">
            <w:pPr>
              <w:pStyle w:val="TableText"/>
              <w:spacing w:before="40" w:after="40"/>
              <w:jc w:val="center"/>
            </w:pPr>
            <w:r w:rsidRPr="00D9348B">
              <w:t>65.7</w:t>
            </w:r>
          </w:p>
        </w:tc>
        <w:tc>
          <w:tcPr>
            <w:tcW w:w="1856" w:type="dxa"/>
            <w:tcBorders>
              <w:top w:val="single" w:sz="4" w:space="0" w:color="365F91"/>
              <w:left w:val="nil"/>
              <w:bottom w:val="single" w:sz="4" w:space="0" w:color="365F91"/>
              <w:right w:val="nil"/>
            </w:tcBorders>
            <w:hideMark/>
          </w:tcPr>
          <w:p w14:paraId="3B372C79" w14:textId="77777777" w:rsidR="00524720" w:rsidRPr="00D9348B" w:rsidRDefault="00524720">
            <w:pPr>
              <w:pStyle w:val="TableText"/>
              <w:spacing w:before="40" w:after="40"/>
              <w:jc w:val="center"/>
            </w:pPr>
            <w:r w:rsidRPr="00D9348B">
              <w:t>82.7</w:t>
            </w:r>
          </w:p>
        </w:tc>
        <w:tc>
          <w:tcPr>
            <w:tcW w:w="1856" w:type="dxa"/>
            <w:tcBorders>
              <w:top w:val="single" w:sz="4" w:space="0" w:color="365F91"/>
              <w:left w:val="nil"/>
              <w:bottom w:val="single" w:sz="4" w:space="0" w:color="365F91"/>
              <w:right w:val="nil"/>
            </w:tcBorders>
            <w:hideMark/>
          </w:tcPr>
          <w:p w14:paraId="4EB1EAD5" w14:textId="77777777" w:rsidR="00524720" w:rsidRPr="00D9348B" w:rsidRDefault="00524720">
            <w:pPr>
              <w:pStyle w:val="TableText"/>
              <w:spacing w:before="40" w:after="40"/>
              <w:jc w:val="center"/>
            </w:pPr>
            <w:r w:rsidRPr="00D9348B">
              <w:t>11.9</w:t>
            </w:r>
          </w:p>
        </w:tc>
        <w:tc>
          <w:tcPr>
            <w:tcW w:w="1857" w:type="dxa"/>
            <w:tcBorders>
              <w:top w:val="single" w:sz="4" w:space="0" w:color="365F91"/>
              <w:left w:val="nil"/>
              <w:bottom w:val="single" w:sz="4" w:space="0" w:color="365F91"/>
              <w:right w:val="nil"/>
            </w:tcBorders>
            <w:hideMark/>
          </w:tcPr>
          <w:p w14:paraId="1A8AD528" w14:textId="77777777" w:rsidR="00524720" w:rsidRPr="00D9348B" w:rsidRDefault="00524720">
            <w:pPr>
              <w:pStyle w:val="TableText"/>
              <w:spacing w:before="40" w:after="40"/>
              <w:jc w:val="center"/>
            </w:pPr>
            <w:r w:rsidRPr="00D9348B">
              <w:t>160.4</w:t>
            </w:r>
          </w:p>
        </w:tc>
      </w:tr>
      <w:tr w:rsidR="00524720" w:rsidRPr="00D9348B" w14:paraId="6D0F7AFE" w14:textId="77777777" w:rsidTr="002B5847">
        <w:tc>
          <w:tcPr>
            <w:tcW w:w="1079" w:type="dxa"/>
            <w:tcBorders>
              <w:top w:val="single" w:sz="4" w:space="0" w:color="365F91"/>
              <w:left w:val="nil"/>
              <w:bottom w:val="single" w:sz="4" w:space="0" w:color="365F91"/>
              <w:right w:val="nil"/>
            </w:tcBorders>
            <w:hideMark/>
          </w:tcPr>
          <w:p w14:paraId="7BD03F81" w14:textId="77777777" w:rsidR="00524720" w:rsidRPr="00D9348B" w:rsidRDefault="00524720">
            <w:pPr>
              <w:pStyle w:val="TableTextBold"/>
              <w:spacing w:before="40" w:after="40"/>
              <w:rPr>
                <w:noProof w:val="0"/>
              </w:rPr>
            </w:pPr>
            <w:r w:rsidRPr="00D9348B">
              <w:rPr>
                <w:noProof w:val="0"/>
              </w:rPr>
              <w:t>1997</w:t>
            </w:r>
          </w:p>
        </w:tc>
        <w:tc>
          <w:tcPr>
            <w:tcW w:w="1857" w:type="dxa"/>
            <w:tcBorders>
              <w:top w:val="single" w:sz="4" w:space="0" w:color="365F91"/>
              <w:left w:val="nil"/>
              <w:bottom w:val="single" w:sz="4" w:space="0" w:color="365F91"/>
              <w:right w:val="nil"/>
            </w:tcBorders>
            <w:hideMark/>
          </w:tcPr>
          <w:p w14:paraId="7F212568" w14:textId="77777777" w:rsidR="00524720" w:rsidRPr="00D9348B" w:rsidRDefault="00524720">
            <w:pPr>
              <w:pStyle w:val="TableText"/>
              <w:spacing w:before="40" w:after="40"/>
              <w:jc w:val="center"/>
            </w:pPr>
            <w:r w:rsidRPr="00D9348B">
              <w:t>66.6</w:t>
            </w:r>
          </w:p>
        </w:tc>
        <w:tc>
          <w:tcPr>
            <w:tcW w:w="1856" w:type="dxa"/>
            <w:tcBorders>
              <w:top w:val="single" w:sz="4" w:space="0" w:color="365F91"/>
              <w:left w:val="nil"/>
              <w:bottom w:val="single" w:sz="4" w:space="0" w:color="365F91"/>
              <w:right w:val="nil"/>
            </w:tcBorders>
            <w:hideMark/>
          </w:tcPr>
          <w:p w14:paraId="35A4F633" w14:textId="77777777" w:rsidR="00524720" w:rsidRPr="00D9348B" w:rsidRDefault="00524720">
            <w:pPr>
              <w:pStyle w:val="TableText"/>
              <w:spacing w:before="40" w:after="40"/>
              <w:jc w:val="center"/>
            </w:pPr>
            <w:r w:rsidRPr="00D9348B">
              <w:t>81.2</w:t>
            </w:r>
          </w:p>
        </w:tc>
        <w:tc>
          <w:tcPr>
            <w:tcW w:w="1856" w:type="dxa"/>
            <w:tcBorders>
              <w:top w:val="single" w:sz="4" w:space="0" w:color="365F91"/>
              <w:left w:val="nil"/>
              <w:bottom w:val="single" w:sz="4" w:space="0" w:color="365F91"/>
              <w:right w:val="nil"/>
            </w:tcBorders>
            <w:hideMark/>
          </w:tcPr>
          <w:p w14:paraId="1485E044" w14:textId="77777777" w:rsidR="00524720" w:rsidRPr="00D9348B" w:rsidRDefault="00524720">
            <w:pPr>
              <w:pStyle w:val="TableText"/>
              <w:spacing w:before="40" w:after="40"/>
              <w:jc w:val="center"/>
            </w:pPr>
            <w:r w:rsidRPr="00D9348B">
              <w:t>10.3</w:t>
            </w:r>
          </w:p>
        </w:tc>
        <w:tc>
          <w:tcPr>
            <w:tcW w:w="1857" w:type="dxa"/>
            <w:tcBorders>
              <w:top w:val="single" w:sz="4" w:space="0" w:color="365F91"/>
              <w:left w:val="nil"/>
              <w:bottom w:val="single" w:sz="4" w:space="0" w:color="365F91"/>
              <w:right w:val="nil"/>
            </w:tcBorders>
            <w:hideMark/>
          </w:tcPr>
          <w:p w14:paraId="6EF94D18" w14:textId="77777777" w:rsidR="00524720" w:rsidRPr="00D9348B" w:rsidRDefault="00524720">
            <w:pPr>
              <w:pStyle w:val="TableText"/>
              <w:spacing w:before="40" w:after="40"/>
              <w:jc w:val="center"/>
            </w:pPr>
            <w:r w:rsidRPr="00D9348B">
              <w:t>158.1</w:t>
            </w:r>
          </w:p>
        </w:tc>
      </w:tr>
      <w:tr w:rsidR="00524720" w:rsidRPr="00D9348B" w14:paraId="08C0532E" w14:textId="77777777" w:rsidTr="002B5847">
        <w:tc>
          <w:tcPr>
            <w:tcW w:w="1079" w:type="dxa"/>
            <w:tcBorders>
              <w:top w:val="single" w:sz="4" w:space="0" w:color="365F91"/>
              <w:left w:val="nil"/>
              <w:bottom w:val="single" w:sz="4" w:space="0" w:color="365F91"/>
              <w:right w:val="nil"/>
            </w:tcBorders>
            <w:hideMark/>
          </w:tcPr>
          <w:p w14:paraId="05EE440F" w14:textId="77777777" w:rsidR="00524720" w:rsidRPr="00D9348B" w:rsidRDefault="00524720">
            <w:pPr>
              <w:pStyle w:val="TableTextBold"/>
              <w:spacing w:before="40" w:after="40"/>
              <w:rPr>
                <w:noProof w:val="0"/>
              </w:rPr>
            </w:pPr>
            <w:r w:rsidRPr="00D9348B">
              <w:rPr>
                <w:noProof w:val="0"/>
              </w:rPr>
              <w:t>1998</w:t>
            </w:r>
          </w:p>
        </w:tc>
        <w:tc>
          <w:tcPr>
            <w:tcW w:w="1857" w:type="dxa"/>
            <w:tcBorders>
              <w:top w:val="single" w:sz="4" w:space="0" w:color="365F91"/>
              <w:left w:val="nil"/>
              <w:bottom w:val="single" w:sz="4" w:space="0" w:color="365F91"/>
              <w:right w:val="nil"/>
            </w:tcBorders>
            <w:hideMark/>
          </w:tcPr>
          <w:p w14:paraId="20B5A893" w14:textId="77777777" w:rsidR="00524720" w:rsidRPr="00D9348B" w:rsidRDefault="00524720">
            <w:pPr>
              <w:pStyle w:val="TableText"/>
              <w:spacing w:before="40" w:after="40"/>
              <w:jc w:val="center"/>
            </w:pPr>
            <w:r w:rsidRPr="00D9348B">
              <w:t>68.7</w:t>
            </w:r>
          </w:p>
        </w:tc>
        <w:tc>
          <w:tcPr>
            <w:tcW w:w="1856" w:type="dxa"/>
            <w:tcBorders>
              <w:top w:val="single" w:sz="4" w:space="0" w:color="365F91"/>
              <w:left w:val="nil"/>
              <w:bottom w:val="single" w:sz="4" w:space="0" w:color="365F91"/>
              <w:right w:val="nil"/>
            </w:tcBorders>
            <w:hideMark/>
          </w:tcPr>
          <w:p w14:paraId="7410E0EC" w14:textId="77777777" w:rsidR="00524720" w:rsidRPr="00D9348B" w:rsidRDefault="00524720">
            <w:pPr>
              <w:pStyle w:val="TableText"/>
              <w:spacing w:before="40" w:after="40"/>
              <w:jc w:val="center"/>
            </w:pPr>
            <w:r w:rsidRPr="00D9348B">
              <w:t>82.5</w:t>
            </w:r>
          </w:p>
        </w:tc>
        <w:tc>
          <w:tcPr>
            <w:tcW w:w="1856" w:type="dxa"/>
            <w:tcBorders>
              <w:top w:val="single" w:sz="4" w:space="0" w:color="365F91"/>
              <w:left w:val="nil"/>
              <w:bottom w:val="single" w:sz="4" w:space="0" w:color="365F91"/>
              <w:right w:val="nil"/>
            </w:tcBorders>
            <w:hideMark/>
          </w:tcPr>
          <w:p w14:paraId="4691AF8D" w14:textId="77777777" w:rsidR="00524720" w:rsidRPr="00D9348B" w:rsidRDefault="00524720">
            <w:pPr>
              <w:pStyle w:val="TableText"/>
              <w:spacing w:before="40" w:after="40"/>
              <w:jc w:val="center"/>
            </w:pPr>
            <w:r w:rsidRPr="00D9348B">
              <w:t>9.2</w:t>
            </w:r>
          </w:p>
        </w:tc>
        <w:tc>
          <w:tcPr>
            <w:tcW w:w="1857" w:type="dxa"/>
            <w:tcBorders>
              <w:top w:val="single" w:sz="4" w:space="0" w:color="365F91"/>
              <w:left w:val="nil"/>
              <w:bottom w:val="single" w:sz="4" w:space="0" w:color="365F91"/>
              <w:right w:val="nil"/>
            </w:tcBorders>
            <w:hideMark/>
          </w:tcPr>
          <w:p w14:paraId="5E088AC3" w14:textId="77777777" w:rsidR="00524720" w:rsidRPr="00D9348B" w:rsidRDefault="00524720">
            <w:pPr>
              <w:pStyle w:val="TableText"/>
              <w:spacing w:before="40" w:after="40"/>
              <w:jc w:val="center"/>
            </w:pPr>
            <w:r w:rsidRPr="00D9348B">
              <w:t>160.4</w:t>
            </w:r>
          </w:p>
        </w:tc>
      </w:tr>
      <w:tr w:rsidR="00524720" w:rsidRPr="00D9348B" w14:paraId="65CECBD7" w14:textId="77777777" w:rsidTr="002B5847">
        <w:tc>
          <w:tcPr>
            <w:tcW w:w="1079" w:type="dxa"/>
            <w:tcBorders>
              <w:top w:val="single" w:sz="4" w:space="0" w:color="365F91"/>
              <w:left w:val="nil"/>
              <w:bottom w:val="single" w:sz="4" w:space="0" w:color="365F91"/>
              <w:right w:val="nil"/>
            </w:tcBorders>
            <w:hideMark/>
          </w:tcPr>
          <w:p w14:paraId="5543B43F" w14:textId="77777777" w:rsidR="00524720" w:rsidRPr="00D9348B" w:rsidRDefault="00524720">
            <w:pPr>
              <w:pStyle w:val="TableTextBold"/>
              <w:spacing w:before="40" w:after="40"/>
              <w:rPr>
                <w:noProof w:val="0"/>
              </w:rPr>
            </w:pPr>
            <w:r w:rsidRPr="00D9348B">
              <w:rPr>
                <w:noProof w:val="0"/>
              </w:rPr>
              <w:t>1999</w:t>
            </w:r>
          </w:p>
        </w:tc>
        <w:tc>
          <w:tcPr>
            <w:tcW w:w="1857" w:type="dxa"/>
            <w:tcBorders>
              <w:top w:val="single" w:sz="4" w:space="0" w:color="365F91"/>
              <w:left w:val="nil"/>
              <w:bottom w:val="single" w:sz="4" w:space="0" w:color="365F91"/>
              <w:right w:val="nil"/>
            </w:tcBorders>
            <w:hideMark/>
          </w:tcPr>
          <w:p w14:paraId="2166B8FE" w14:textId="77777777" w:rsidR="00524720" w:rsidRPr="00D9348B" w:rsidRDefault="00524720">
            <w:pPr>
              <w:pStyle w:val="TableText"/>
              <w:spacing w:before="40" w:after="40"/>
              <w:jc w:val="center"/>
            </w:pPr>
            <w:r w:rsidRPr="00D9348B">
              <w:t>61.4</w:t>
            </w:r>
          </w:p>
        </w:tc>
        <w:tc>
          <w:tcPr>
            <w:tcW w:w="1856" w:type="dxa"/>
            <w:tcBorders>
              <w:top w:val="single" w:sz="4" w:space="0" w:color="365F91"/>
              <w:left w:val="nil"/>
              <w:bottom w:val="single" w:sz="4" w:space="0" w:color="365F91"/>
              <w:right w:val="nil"/>
            </w:tcBorders>
            <w:hideMark/>
          </w:tcPr>
          <w:p w14:paraId="7CD3B585" w14:textId="77777777" w:rsidR="00524720" w:rsidRPr="00D9348B" w:rsidRDefault="00524720">
            <w:pPr>
              <w:pStyle w:val="TableText"/>
              <w:spacing w:before="40" w:after="40"/>
              <w:jc w:val="center"/>
            </w:pPr>
            <w:r w:rsidRPr="00D9348B">
              <w:t>79.7</w:t>
            </w:r>
          </w:p>
        </w:tc>
        <w:tc>
          <w:tcPr>
            <w:tcW w:w="1856" w:type="dxa"/>
            <w:tcBorders>
              <w:top w:val="single" w:sz="4" w:space="0" w:color="365F91"/>
              <w:left w:val="nil"/>
              <w:bottom w:val="single" w:sz="4" w:space="0" w:color="365F91"/>
              <w:right w:val="nil"/>
            </w:tcBorders>
            <w:hideMark/>
          </w:tcPr>
          <w:p w14:paraId="60E7B9EF" w14:textId="77777777" w:rsidR="00524720" w:rsidRPr="00D9348B" w:rsidRDefault="00524720">
            <w:pPr>
              <w:pStyle w:val="TableText"/>
              <w:spacing w:before="40" w:after="40"/>
              <w:jc w:val="center"/>
            </w:pPr>
            <w:r w:rsidRPr="00D9348B">
              <w:t>7.8</w:t>
            </w:r>
          </w:p>
        </w:tc>
        <w:tc>
          <w:tcPr>
            <w:tcW w:w="1857" w:type="dxa"/>
            <w:tcBorders>
              <w:top w:val="single" w:sz="4" w:space="0" w:color="365F91"/>
              <w:left w:val="nil"/>
              <w:bottom w:val="single" w:sz="4" w:space="0" w:color="365F91"/>
              <w:right w:val="nil"/>
            </w:tcBorders>
            <w:hideMark/>
          </w:tcPr>
          <w:p w14:paraId="34D4E12A" w14:textId="77777777" w:rsidR="00524720" w:rsidRPr="00D9348B" w:rsidRDefault="00524720">
            <w:pPr>
              <w:pStyle w:val="TableText"/>
              <w:spacing w:before="40" w:after="40"/>
              <w:jc w:val="center"/>
            </w:pPr>
            <w:r w:rsidRPr="00D9348B">
              <w:t>148.9</w:t>
            </w:r>
          </w:p>
        </w:tc>
      </w:tr>
      <w:tr w:rsidR="00524720" w:rsidRPr="00D9348B" w14:paraId="4CA57EE3" w14:textId="77777777" w:rsidTr="002B5847">
        <w:tc>
          <w:tcPr>
            <w:tcW w:w="1079" w:type="dxa"/>
            <w:tcBorders>
              <w:top w:val="single" w:sz="4" w:space="0" w:color="365F91"/>
              <w:left w:val="nil"/>
              <w:bottom w:val="single" w:sz="4" w:space="0" w:color="365F91"/>
              <w:right w:val="nil"/>
            </w:tcBorders>
            <w:hideMark/>
          </w:tcPr>
          <w:p w14:paraId="496EF12A" w14:textId="77777777" w:rsidR="00524720" w:rsidRPr="00D9348B" w:rsidRDefault="00524720">
            <w:pPr>
              <w:pStyle w:val="TableTextBold"/>
              <w:spacing w:before="40" w:after="40"/>
              <w:rPr>
                <w:noProof w:val="0"/>
              </w:rPr>
            </w:pPr>
            <w:r w:rsidRPr="00D9348B">
              <w:rPr>
                <w:noProof w:val="0"/>
              </w:rPr>
              <w:t>2000</w:t>
            </w:r>
          </w:p>
        </w:tc>
        <w:tc>
          <w:tcPr>
            <w:tcW w:w="1857" w:type="dxa"/>
            <w:tcBorders>
              <w:top w:val="single" w:sz="4" w:space="0" w:color="365F91"/>
              <w:left w:val="nil"/>
              <w:bottom w:val="single" w:sz="4" w:space="0" w:color="365F91"/>
              <w:right w:val="nil"/>
            </w:tcBorders>
            <w:hideMark/>
          </w:tcPr>
          <w:p w14:paraId="4026ADFA" w14:textId="77777777" w:rsidR="00524720" w:rsidRPr="00D9348B" w:rsidRDefault="00524720">
            <w:pPr>
              <w:pStyle w:val="TableText"/>
              <w:spacing w:before="40" w:after="40"/>
              <w:jc w:val="center"/>
            </w:pPr>
            <w:r w:rsidRPr="00D9348B">
              <w:t>65.8</w:t>
            </w:r>
          </w:p>
        </w:tc>
        <w:tc>
          <w:tcPr>
            <w:tcW w:w="1856" w:type="dxa"/>
            <w:tcBorders>
              <w:top w:val="single" w:sz="4" w:space="0" w:color="365F91"/>
              <w:left w:val="nil"/>
              <w:bottom w:val="single" w:sz="4" w:space="0" w:color="365F91"/>
              <w:right w:val="nil"/>
            </w:tcBorders>
            <w:hideMark/>
          </w:tcPr>
          <w:p w14:paraId="26ED21DE" w14:textId="77777777" w:rsidR="00524720" w:rsidRPr="00D9348B" w:rsidRDefault="00524720">
            <w:pPr>
              <w:pStyle w:val="TableText"/>
              <w:spacing w:before="40" w:after="40"/>
              <w:jc w:val="center"/>
            </w:pPr>
            <w:r w:rsidRPr="00D9348B">
              <w:t>84.9</w:t>
            </w:r>
          </w:p>
        </w:tc>
        <w:tc>
          <w:tcPr>
            <w:tcW w:w="1856" w:type="dxa"/>
            <w:tcBorders>
              <w:top w:val="single" w:sz="4" w:space="0" w:color="365F91"/>
              <w:left w:val="nil"/>
              <w:bottom w:val="single" w:sz="4" w:space="0" w:color="365F91"/>
              <w:right w:val="nil"/>
            </w:tcBorders>
            <w:hideMark/>
          </w:tcPr>
          <w:p w14:paraId="72391783" w14:textId="77777777" w:rsidR="00524720" w:rsidRPr="00D9348B" w:rsidRDefault="00524720">
            <w:pPr>
              <w:pStyle w:val="TableText"/>
              <w:spacing w:before="40" w:after="40"/>
              <w:jc w:val="center"/>
            </w:pPr>
            <w:r w:rsidRPr="00D9348B">
              <w:t>6.4</w:t>
            </w:r>
          </w:p>
        </w:tc>
        <w:tc>
          <w:tcPr>
            <w:tcW w:w="1857" w:type="dxa"/>
            <w:tcBorders>
              <w:top w:val="single" w:sz="4" w:space="0" w:color="365F91"/>
              <w:left w:val="nil"/>
              <w:bottom w:val="single" w:sz="4" w:space="0" w:color="365F91"/>
              <w:right w:val="nil"/>
            </w:tcBorders>
            <w:hideMark/>
          </w:tcPr>
          <w:p w14:paraId="134802F0" w14:textId="77777777" w:rsidR="00524720" w:rsidRPr="00D9348B" w:rsidRDefault="00524720">
            <w:pPr>
              <w:pStyle w:val="TableText"/>
              <w:spacing w:before="40" w:after="40"/>
              <w:jc w:val="center"/>
            </w:pPr>
            <w:r w:rsidRPr="00D9348B">
              <w:t>157.1</w:t>
            </w:r>
          </w:p>
        </w:tc>
      </w:tr>
      <w:tr w:rsidR="00524720" w:rsidRPr="00D9348B" w14:paraId="147792C8" w14:textId="77777777" w:rsidTr="002B5847">
        <w:tc>
          <w:tcPr>
            <w:tcW w:w="1079" w:type="dxa"/>
            <w:tcBorders>
              <w:top w:val="single" w:sz="4" w:space="0" w:color="365F91"/>
              <w:left w:val="nil"/>
              <w:bottom w:val="single" w:sz="4" w:space="0" w:color="365F91"/>
              <w:right w:val="nil"/>
            </w:tcBorders>
            <w:hideMark/>
          </w:tcPr>
          <w:p w14:paraId="0401B22B" w14:textId="77777777" w:rsidR="00524720" w:rsidRPr="00D9348B" w:rsidRDefault="00524720">
            <w:pPr>
              <w:pStyle w:val="TableTextBold"/>
              <w:spacing w:before="40" w:after="40"/>
              <w:rPr>
                <w:noProof w:val="0"/>
              </w:rPr>
            </w:pPr>
            <w:r w:rsidRPr="00D9348B">
              <w:rPr>
                <w:noProof w:val="0"/>
              </w:rPr>
              <w:t>2001</w:t>
            </w:r>
          </w:p>
        </w:tc>
        <w:tc>
          <w:tcPr>
            <w:tcW w:w="1857" w:type="dxa"/>
            <w:tcBorders>
              <w:top w:val="single" w:sz="4" w:space="0" w:color="365F91"/>
              <w:left w:val="nil"/>
              <w:bottom w:val="single" w:sz="4" w:space="0" w:color="365F91"/>
              <w:right w:val="nil"/>
            </w:tcBorders>
            <w:hideMark/>
          </w:tcPr>
          <w:p w14:paraId="501CDE15" w14:textId="77777777" w:rsidR="00524720" w:rsidRPr="00D9348B" w:rsidRDefault="00524720">
            <w:pPr>
              <w:pStyle w:val="TableText"/>
              <w:spacing w:before="40" w:after="40"/>
              <w:jc w:val="center"/>
            </w:pPr>
            <w:r w:rsidRPr="00D9348B">
              <w:t>67.7</w:t>
            </w:r>
          </w:p>
        </w:tc>
        <w:tc>
          <w:tcPr>
            <w:tcW w:w="1856" w:type="dxa"/>
            <w:tcBorders>
              <w:top w:val="single" w:sz="4" w:space="0" w:color="365F91"/>
              <w:left w:val="nil"/>
              <w:bottom w:val="single" w:sz="4" w:space="0" w:color="365F91"/>
              <w:right w:val="nil"/>
            </w:tcBorders>
            <w:hideMark/>
          </w:tcPr>
          <w:p w14:paraId="7E80A9E3" w14:textId="77777777" w:rsidR="00524720" w:rsidRPr="00D9348B" w:rsidRDefault="00524720">
            <w:pPr>
              <w:pStyle w:val="TableText"/>
              <w:spacing w:before="40" w:after="40"/>
              <w:jc w:val="center"/>
            </w:pPr>
            <w:r w:rsidRPr="00D9348B">
              <w:t>88.0</w:t>
            </w:r>
          </w:p>
        </w:tc>
        <w:tc>
          <w:tcPr>
            <w:tcW w:w="1856" w:type="dxa"/>
            <w:tcBorders>
              <w:top w:val="single" w:sz="4" w:space="0" w:color="365F91"/>
              <w:left w:val="nil"/>
              <w:bottom w:val="single" w:sz="4" w:space="0" w:color="365F91"/>
              <w:right w:val="nil"/>
            </w:tcBorders>
            <w:hideMark/>
          </w:tcPr>
          <w:p w14:paraId="290256A3" w14:textId="77777777" w:rsidR="00524720" w:rsidRPr="00D9348B" w:rsidRDefault="00524720">
            <w:pPr>
              <w:pStyle w:val="TableText"/>
              <w:spacing w:before="40" w:after="40"/>
              <w:jc w:val="center"/>
            </w:pPr>
            <w:r w:rsidRPr="00D9348B">
              <w:t>4.9</w:t>
            </w:r>
          </w:p>
        </w:tc>
        <w:tc>
          <w:tcPr>
            <w:tcW w:w="1857" w:type="dxa"/>
            <w:tcBorders>
              <w:top w:val="single" w:sz="4" w:space="0" w:color="365F91"/>
              <w:left w:val="nil"/>
              <w:bottom w:val="single" w:sz="4" w:space="0" w:color="365F91"/>
              <w:right w:val="nil"/>
            </w:tcBorders>
            <w:hideMark/>
          </w:tcPr>
          <w:p w14:paraId="59C277B7" w14:textId="77777777" w:rsidR="00524720" w:rsidRPr="00D9348B" w:rsidRDefault="00524720">
            <w:pPr>
              <w:pStyle w:val="TableText"/>
              <w:spacing w:before="40" w:after="40"/>
              <w:jc w:val="center"/>
            </w:pPr>
            <w:r w:rsidRPr="00D9348B">
              <w:t>160.6</w:t>
            </w:r>
          </w:p>
        </w:tc>
      </w:tr>
      <w:tr w:rsidR="00524720" w:rsidRPr="00D9348B" w14:paraId="520E2D51" w14:textId="77777777" w:rsidTr="002B5847">
        <w:tc>
          <w:tcPr>
            <w:tcW w:w="1079" w:type="dxa"/>
            <w:tcBorders>
              <w:top w:val="single" w:sz="4" w:space="0" w:color="365F91"/>
              <w:left w:val="nil"/>
              <w:bottom w:val="single" w:sz="4" w:space="0" w:color="365F91"/>
              <w:right w:val="nil"/>
            </w:tcBorders>
            <w:hideMark/>
          </w:tcPr>
          <w:p w14:paraId="4A46BA54" w14:textId="77777777" w:rsidR="00524720" w:rsidRPr="00D9348B" w:rsidRDefault="00524720">
            <w:pPr>
              <w:pStyle w:val="TableTextBold"/>
              <w:spacing w:before="40" w:after="40"/>
              <w:rPr>
                <w:noProof w:val="0"/>
              </w:rPr>
            </w:pPr>
            <w:r w:rsidRPr="00D9348B">
              <w:rPr>
                <w:noProof w:val="0"/>
              </w:rPr>
              <w:t>2002</w:t>
            </w:r>
          </w:p>
        </w:tc>
        <w:tc>
          <w:tcPr>
            <w:tcW w:w="1857" w:type="dxa"/>
            <w:tcBorders>
              <w:top w:val="single" w:sz="4" w:space="0" w:color="365F91"/>
              <w:left w:val="nil"/>
              <w:bottom w:val="single" w:sz="4" w:space="0" w:color="365F91"/>
              <w:right w:val="nil"/>
            </w:tcBorders>
            <w:hideMark/>
          </w:tcPr>
          <w:p w14:paraId="166700C9" w14:textId="77777777" w:rsidR="00524720" w:rsidRPr="00D9348B" w:rsidRDefault="00524720">
            <w:pPr>
              <w:pStyle w:val="TableText"/>
              <w:spacing w:before="40" w:after="40"/>
              <w:jc w:val="center"/>
            </w:pPr>
            <w:r w:rsidRPr="00D9348B">
              <w:t>65.0</w:t>
            </w:r>
          </w:p>
        </w:tc>
        <w:tc>
          <w:tcPr>
            <w:tcW w:w="1856" w:type="dxa"/>
            <w:tcBorders>
              <w:top w:val="single" w:sz="4" w:space="0" w:color="365F91"/>
              <w:left w:val="nil"/>
              <w:bottom w:val="single" w:sz="4" w:space="0" w:color="365F91"/>
              <w:right w:val="nil"/>
            </w:tcBorders>
            <w:hideMark/>
          </w:tcPr>
          <w:p w14:paraId="0895D173" w14:textId="77777777" w:rsidR="00524720" w:rsidRPr="00D9348B" w:rsidRDefault="00524720">
            <w:pPr>
              <w:pStyle w:val="TableText"/>
              <w:spacing w:before="40" w:after="40"/>
              <w:jc w:val="center"/>
            </w:pPr>
            <w:r w:rsidRPr="00D9348B">
              <w:t>85.3</w:t>
            </w:r>
          </w:p>
        </w:tc>
        <w:tc>
          <w:tcPr>
            <w:tcW w:w="1856" w:type="dxa"/>
            <w:tcBorders>
              <w:top w:val="single" w:sz="4" w:space="0" w:color="365F91"/>
              <w:left w:val="nil"/>
              <w:bottom w:val="single" w:sz="4" w:space="0" w:color="365F91"/>
              <w:right w:val="nil"/>
            </w:tcBorders>
            <w:hideMark/>
          </w:tcPr>
          <w:p w14:paraId="7690E59E" w14:textId="77777777" w:rsidR="00524720" w:rsidRPr="00D9348B" w:rsidRDefault="00524720">
            <w:pPr>
              <w:pStyle w:val="TableText"/>
              <w:spacing w:before="40" w:after="40"/>
              <w:jc w:val="center"/>
            </w:pPr>
            <w:r w:rsidRPr="00D9348B">
              <w:t>5.5</w:t>
            </w:r>
          </w:p>
        </w:tc>
        <w:tc>
          <w:tcPr>
            <w:tcW w:w="1857" w:type="dxa"/>
            <w:tcBorders>
              <w:top w:val="single" w:sz="4" w:space="0" w:color="365F91"/>
              <w:left w:val="nil"/>
              <w:bottom w:val="single" w:sz="4" w:space="0" w:color="365F91"/>
              <w:right w:val="nil"/>
            </w:tcBorders>
            <w:hideMark/>
          </w:tcPr>
          <w:p w14:paraId="2FC5CB1F" w14:textId="77777777" w:rsidR="00524720" w:rsidRPr="00D9348B" w:rsidRDefault="00524720">
            <w:pPr>
              <w:pStyle w:val="TableText"/>
              <w:spacing w:before="40" w:after="40"/>
              <w:jc w:val="center"/>
            </w:pPr>
            <w:r w:rsidRPr="00D9348B">
              <w:t>155.8</w:t>
            </w:r>
          </w:p>
        </w:tc>
      </w:tr>
      <w:tr w:rsidR="00524720" w:rsidRPr="00D9348B" w14:paraId="0B061631" w14:textId="77777777" w:rsidTr="002B5847">
        <w:tc>
          <w:tcPr>
            <w:tcW w:w="1079" w:type="dxa"/>
            <w:tcBorders>
              <w:top w:val="single" w:sz="4" w:space="0" w:color="365F91"/>
              <w:left w:val="nil"/>
              <w:bottom w:val="single" w:sz="4" w:space="0" w:color="365F91"/>
              <w:right w:val="nil"/>
            </w:tcBorders>
            <w:hideMark/>
          </w:tcPr>
          <w:p w14:paraId="04ED5A17" w14:textId="77777777" w:rsidR="00524720" w:rsidRPr="00D9348B" w:rsidRDefault="00524720">
            <w:pPr>
              <w:pStyle w:val="TableTextBold"/>
              <w:spacing w:before="40" w:after="40"/>
              <w:rPr>
                <w:noProof w:val="0"/>
              </w:rPr>
            </w:pPr>
            <w:r w:rsidRPr="00D9348B">
              <w:rPr>
                <w:noProof w:val="0"/>
              </w:rPr>
              <w:t>2003</w:t>
            </w:r>
          </w:p>
        </w:tc>
        <w:tc>
          <w:tcPr>
            <w:tcW w:w="1857" w:type="dxa"/>
            <w:tcBorders>
              <w:top w:val="single" w:sz="4" w:space="0" w:color="365F91"/>
              <w:left w:val="nil"/>
              <w:bottom w:val="single" w:sz="4" w:space="0" w:color="365F91"/>
              <w:right w:val="nil"/>
            </w:tcBorders>
            <w:hideMark/>
          </w:tcPr>
          <w:p w14:paraId="20A5D9C8" w14:textId="77777777" w:rsidR="00524720" w:rsidRPr="00D9348B" w:rsidRDefault="00524720">
            <w:pPr>
              <w:pStyle w:val="TableText"/>
              <w:spacing w:before="40" w:after="40"/>
              <w:jc w:val="center"/>
            </w:pPr>
            <w:r w:rsidRPr="00D9348B">
              <w:t>70.1</w:t>
            </w:r>
          </w:p>
        </w:tc>
        <w:tc>
          <w:tcPr>
            <w:tcW w:w="1856" w:type="dxa"/>
            <w:tcBorders>
              <w:top w:val="single" w:sz="4" w:space="0" w:color="365F91"/>
              <w:left w:val="nil"/>
              <w:bottom w:val="single" w:sz="4" w:space="0" w:color="365F91"/>
              <w:right w:val="nil"/>
            </w:tcBorders>
            <w:hideMark/>
          </w:tcPr>
          <w:p w14:paraId="15A094B1" w14:textId="77777777" w:rsidR="00524720" w:rsidRPr="00D9348B" w:rsidRDefault="00524720">
            <w:pPr>
              <w:pStyle w:val="TableText"/>
              <w:spacing w:before="40" w:after="40"/>
              <w:jc w:val="center"/>
            </w:pPr>
            <w:r w:rsidRPr="00D9348B">
              <w:t>85.1</w:t>
            </w:r>
          </w:p>
        </w:tc>
        <w:tc>
          <w:tcPr>
            <w:tcW w:w="1856" w:type="dxa"/>
            <w:tcBorders>
              <w:top w:val="single" w:sz="4" w:space="0" w:color="365F91"/>
              <w:left w:val="nil"/>
              <w:bottom w:val="single" w:sz="4" w:space="0" w:color="365F91"/>
              <w:right w:val="nil"/>
            </w:tcBorders>
            <w:hideMark/>
          </w:tcPr>
          <w:p w14:paraId="4C750545" w14:textId="77777777" w:rsidR="00524720" w:rsidRPr="00D9348B" w:rsidRDefault="00524720">
            <w:pPr>
              <w:pStyle w:val="TableText"/>
              <w:spacing w:before="40" w:after="40"/>
              <w:jc w:val="center"/>
            </w:pPr>
            <w:r w:rsidRPr="00D9348B">
              <w:t>5.0</w:t>
            </w:r>
          </w:p>
        </w:tc>
        <w:tc>
          <w:tcPr>
            <w:tcW w:w="1857" w:type="dxa"/>
            <w:tcBorders>
              <w:top w:val="single" w:sz="4" w:space="0" w:color="365F91"/>
              <w:left w:val="nil"/>
              <w:bottom w:val="single" w:sz="4" w:space="0" w:color="365F91"/>
              <w:right w:val="nil"/>
            </w:tcBorders>
            <w:hideMark/>
          </w:tcPr>
          <w:p w14:paraId="40580008" w14:textId="77777777" w:rsidR="00524720" w:rsidRPr="00D9348B" w:rsidRDefault="00524720">
            <w:pPr>
              <w:pStyle w:val="TableText"/>
              <w:spacing w:before="40" w:after="40"/>
              <w:jc w:val="center"/>
            </w:pPr>
            <w:r w:rsidRPr="00D9348B">
              <w:t>160.2</w:t>
            </w:r>
          </w:p>
        </w:tc>
      </w:tr>
      <w:tr w:rsidR="00524720" w:rsidRPr="00D9348B" w14:paraId="6DC3DE23" w14:textId="77777777" w:rsidTr="002B5847">
        <w:tc>
          <w:tcPr>
            <w:tcW w:w="1079" w:type="dxa"/>
            <w:tcBorders>
              <w:top w:val="single" w:sz="4" w:space="0" w:color="365F91"/>
              <w:left w:val="nil"/>
              <w:bottom w:val="single" w:sz="4" w:space="0" w:color="365F91"/>
              <w:right w:val="nil"/>
            </w:tcBorders>
            <w:hideMark/>
          </w:tcPr>
          <w:p w14:paraId="038DFCC4" w14:textId="77777777" w:rsidR="00524720" w:rsidRPr="00D9348B" w:rsidRDefault="00524720">
            <w:pPr>
              <w:pStyle w:val="TableTextBold"/>
              <w:spacing w:before="40" w:after="40"/>
              <w:rPr>
                <w:noProof w:val="0"/>
              </w:rPr>
            </w:pPr>
            <w:r w:rsidRPr="00D9348B">
              <w:rPr>
                <w:noProof w:val="0"/>
              </w:rPr>
              <w:t>2004</w:t>
            </w:r>
          </w:p>
        </w:tc>
        <w:tc>
          <w:tcPr>
            <w:tcW w:w="1857" w:type="dxa"/>
            <w:tcBorders>
              <w:top w:val="single" w:sz="4" w:space="0" w:color="365F91"/>
              <w:left w:val="nil"/>
              <w:bottom w:val="single" w:sz="4" w:space="0" w:color="365F91"/>
              <w:right w:val="nil"/>
            </w:tcBorders>
            <w:hideMark/>
          </w:tcPr>
          <w:p w14:paraId="7926B00F" w14:textId="77777777" w:rsidR="00524720" w:rsidRPr="00D9348B" w:rsidRDefault="00524720">
            <w:pPr>
              <w:pStyle w:val="TableText"/>
              <w:spacing w:before="40" w:after="40"/>
              <w:jc w:val="center"/>
            </w:pPr>
            <w:r w:rsidRPr="00D9348B">
              <w:t>73.8</w:t>
            </w:r>
          </w:p>
        </w:tc>
        <w:tc>
          <w:tcPr>
            <w:tcW w:w="1856" w:type="dxa"/>
            <w:tcBorders>
              <w:top w:val="single" w:sz="4" w:space="0" w:color="365F91"/>
              <w:left w:val="nil"/>
              <w:bottom w:val="single" w:sz="4" w:space="0" w:color="365F91"/>
              <w:right w:val="nil"/>
            </w:tcBorders>
            <w:hideMark/>
          </w:tcPr>
          <w:p w14:paraId="5C3D2CE1" w14:textId="77777777" w:rsidR="00524720" w:rsidRPr="00D9348B" w:rsidRDefault="00524720">
            <w:pPr>
              <w:pStyle w:val="TableText"/>
              <w:spacing w:before="40" w:after="40"/>
              <w:jc w:val="center"/>
            </w:pPr>
            <w:r w:rsidRPr="00D9348B">
              <w:t>83.1</w:t>
            </w:r>
          </w:p>
        </w:tc>
        <w:tc>
          <w:tcPr>
            <w:tcW w:w="1856" w:type="dxa"/>
            <w:tcBorders>
              <w:top w:val="single" w:sz="4" w:space="0" w:color="365F91"/>
              <w:left w:val="nil"/>
              <w:bottom w:val="single" w:sz="4" w:space="0" w:color="365F91"/>
              <w:right w:val="nil"/>
            </w:tcBorders>
            <w:hideMark/>
          </w:tcPr>
          <w:p w14:paraId="31EF9047" w14:textId="77777777" w:rsidR="00524720" w:rsidRPr="00D9348B" w:rsidRDefault="00524720">
            <w:pPr>
              <w:pStyle w:val="TableText"/>
              <w:spacing w:before="40" w:after="40"/>
              <w:jc w:val="center"/>
            </w:pPr>
            <w:r w:rsidRPr="00D9348B">
              <w:t>6.1</w:t>
            </w:r>
          </w:p>
        </w:tc>
        <w:tc>
          <w:tcPr>
            <w:tcW w:w="1857" w:type="dxa"/>
            <w:tcBorders>
              <w:top w:val="single" w:sz="4" w:space="0" w:color="365F91"/>
              <w:left w:val="nil"/>
              <w:bottom w:val="single" w:sz="4" w:space="0" w:color="365F91"/>
              <w:right w:val="nil"/>
            </w:tcBorders>
            <w:hideMark/>
          </w:tcPr>
          <w:p w14:paraId="4E7EB3C8" w14:textId="77777777" w:rsidR="00524720" w:rsidRPr="00D9348B" w:rsidRDefault="00524720">
            <w:pPr>
              <w:pStyle w:val="TableText"/>
              <w:spacing w:before="40" w:after="40"/>
              <w:jc w:val="center"/>
            </w:pPr>
            <w:r w:rsidRPr="00D9348B">
              <w:t>163.1</w:t>
            </w:r>
          </w:p>
        </w:tc>
      </w:tr>
      <w:tr w:rsidR="00524720" w:rsidRPr="00D9348B" w14:paraId="06AC0AC4" w14:textId="77777777" w:rsidTr="002B5847">
        <w:tc>
          <w:tcPr>
            <w:tcW w:w="1079" w:type="dxa"/>
            <w:tcBorders>
              <w:top w:val="single" w:sz="4" w:space="0" w:color="365F91"/>
              <w:left w:val="nil"/>
              <w:bottom w:val="single" w:sz="4" w:space="0" w:color="365F91"/>
              <w:right w:val="nil"/>
            </w:tcBorders>
            <w:hideMark/>
          </w:tcPr>
          <w:p w14:paraId="0E2DE6CB" w14:textId="77777777" w:rsidR="00524720" w:rsidRPr="00D9348B" w:rsidRDefault="00524720">
            <w:pPr>
              <w:pStyle w:val="TableTextBold"/>
              <w:spacing w:before="40" w:after="40"/>
              <w:rPr>
                <w:noProof w:val="0"/>
              </w:rPr>
            </w:pPr>
            <w:r w:rsidRPr="00D9348B">
              <w:rPr>
                <w:noProof w:val="0"/>
              </w:rPr>
              <w:t>2005</w:t>
            </w:r>
          </w:p>
        </w:tc>
        <w:tc>
          <w:tcPr>
            <w:tcW w:w="1857" w:type="dxa"/>
            <w:tcBorders>
              <w:top w:val="single" w:sz="4" w:space="0" w:color="365F91"/>
              <w:left w:val="nil"/>
              <w:bottom w:val="single" w:sz="4" w:space="0" w:color="365F91"/>
              <w:right w:val="nil"/>
            </w:tcBorders>
            <w:hideMark/>
          </w:tcPr>
          <w:p w14:paraId="11FBB9D0" w14:textId="77777777" w:rsidR="00524720" w:rsidRPr="00D9348B" w:rsidRDefault="00524720">
            <w:pPr>
              <w:pStyle w:val="TableText"/>
              <w:spacing w:before="40" w:after="40"/>
              <w:jc w:val="center"/>
            </w:pPr>
            <w:r w:rsidRPr="00D9348B">
              <w:t>72.6</w:t>
            </w:r>
          </w:p>
        </w:tc>
        <w:tc>
          <w:tcPr>
            <w:tcW w:w="1856" w:type="dxa"/>
            <w:tcBorders>
              <w:top w:val="single" w:sz="4" w:space="0" w:color="365F91"/>
              <w:left w:val="nil"/>
              <w:bottom w:val="single" w:sz="4" w:space="0" w:color="365F91"/>
              <w:right w:val="nil"/>
            </w:tcBorders>
            <w:hideMark/>
          </w:tcPr>
          <w:p w14:paraId="01141FA8" w14:textId="77777777" w:rsidR="00524720" w:rsidRPr="00D9348B" w:rsidRDefault="00524720">
            <w:pPr>
              <w:pStyle w:val="TableText"/>
              <w:spacing w:before="40" w:after="40"/>
              <w:jc w:val="center"/>
            </w:pPr>
            <w:r w:rsidRPr="00D9348B">
              <w:t>90.3</w:t>
            </w:r>
          </w:p>
        </w:tc>
        <w:tc>
          <w:tcPr>
            <w:tcW w:w="1856" w:type="dxa"/>
            <w:tcBorders>
              <w:top w:val="single" w:sz="4" w:space="0" w:color="365F91"/>
              <w:left w:val="nil"/>
              <w:bottom w:val="single" w:sz="4" w:space="0" w:color="365F91"/>
              <w:right w:val="nil"/>
            </w:tcBorders>
            <w:hideMark/>
          </w:tcPr>
          <w:p w14:paraId="7C0F2141" w14:textId="77777777" w:rsidR="00524720" w:rsidRPr="00D9348B" w:rsidRDefault="00524720">
            <w:pPr>
              <w:pStyle w:val="TableText"/>
              <w:spacing w:before="40" w:after="40"/>
              <w:jc w:val="center"/>
            </w:pPr>
            <w:r w:rsidRPr="00D9348B">
              <w:t>5.9</w:t>
            </w:r>
          </w:p>
        </w:tc>
        <w:tc>
          <w:tcPr>
            <w:tcW w:w="1857" w:type="dxa"/>
            <w:tcBorders>
              <w:top w:val="single" w:sz="4" w:space="0" w:color="365F91"/>
              <w:left w:val="nil"/>
              <w:bottom w:val="single" w:sz="4" w:space="0" w:color="365F91"/>
              <w:right w:val="nil"/>
            </w:tcBorders>
            <w:hideMark/>
          </w:tcPr>
          <w:p w14:paraId="6B7BC7C7" w14:textId="77777777" w:rsidR="00524720" w:rsidRPr="00D9348B" w:rsidRDefault="00524720">
            <w:pPr>
              <w:pStyle w:val="TableText"/>
              <w:spacing w:before="40" w:after="40"/>
              <w:jc w:val="center"/>
            </w:pPr>
            <w:r w:rsidRPr="00D9348B">
              <w:t>168.8</w:t>
            </w:r>
          </w:p>
        </w:tc>
      </w:tr>
      <w:tr w:rsidR="00524720" w:rsidRPr="00D9348B" w14:paraId="35FD1FD5" w14:textId="77777777" w:rsidTr="002B5847">
        <w:tc>
          <w:tcPr>
            <w:tcW w:w="1079" w:type="dxa"/>
            <w:tcBorders>
              <w:top w:val="single" w:sz="4" w:space="0" w:color="365F91"/>
              <w:left w:val="nil"/>
              <w:bottom w:val="single" w:sz="4" w:space="0" w:color="365F91"/>
              <w:right w:val="nil"/>
            </w:tcBorders>
            <w:hideMark/>
          </w:tcPr>
          <w:p w14:paraId="1125C338" w14:textId="77777777" w:rsidR="00524720" w:rsidRPr="00D9348B" w:rsidRDefault="00524720">
            <w:pPr>
              <w:pStyle w:val="TableTextBold"/>
              <w:spacing w:before="40" w:after="40"/>
              <w:rPr>
                <w:noProof w:val="0"/>
              </w:rPr>
            </w:pPr>
            <w:r w:rsidRPr="00D9348B">
              <w:rPr>
                <w:noProof w:val="0"/>
              </w:rPr>
              <w:t>2006</w:t>
            </w:r>
          </w:p>
        </w:tc>
        <w:tc>
          <w:tcPr>
            <w:tcW w:w="1857" w:type="dxa"/>
            <w:tcBorders>
              <w:top w:val="single" w:sz="4" w:space="0" w:color="365F91"/>
              <w:left w:val="nil"/>
              <w:bottom w:val="single" w:sz="4" w:space="0" w:color="365F91"/>
              <w:right w:val="nil"/>
            </w:tcBorders>
            <w:hideMark/>
          </w:tcPr>
          <w:p w14:paraId="70BEEFCA" w14:textId="77777777" w:rsidR="00524720" w:rsidRPr="00D9348B" w:rsidRDefault="00524720">
            <w:pPr>
              <w:pStyle w:val="TableText"/>
              <w:spacing w:before="40" w:after="40"/>
              <w:jc w:val="center"/>
            </w:pPr>
            <w:r w:rsidRPr="00D9348B">
              <w:t>71.3</w:t>
            </w:r>
          </w:p>
        </w:tc>
        <w:tc>
          <w:tcPr>
            <w:tcW w:w="1856" w:type="dxa"/>
            <w:tcBorders>
              <w:top w:val="single" w:sz="4" w:space="0" w:color="365F91"/>
              <w:left w:val="nil"/>
              <w:bottom w:val="single" w:sz="4" w:space="0" w:color="365F91"/>
              <w:right w:val="nil"/>
            </w:tcBorders>
            <w:hideMark/>
          </w:tcPr>
          <w:p w14:paraId="68021E47" w14:textId="77777777" w:rsidR="00524720" w:rsidRPr="00D9348B" w:rsidRDefault="00524720">
            <w:pPr>
              <w:pStyle w:val="TableText"/>
              <w:spacing w:before="40" w:after="40"/>
              <w:jc w:val="center"/>
            </w:pPr>
            <w:r w:rsidRPr="00D9348B">
              <w:t>90.1</w:t>
            </w:r>
          </w:p>
        </w:tc>
        <w:tc>
          <w:tcPr>
            <w:tcW w:w="1856" w:type="dxa"/>
            <w:tcBorders>
              <w:top w:val="single" w:sz="4" w:space="0" w:color="365F91"/>
              <w:left w:val="nil"/>
              <w:bottom w:val="single" w:sz="4" w:space="0" w:color="365F91"/>
              <w:right w:val="nil"/>
            </w:tcBorders>
            <w:hideMark/>
          </w:tcPr>
          <w:p w14:paraId="34507A69" w14:textId="77777777" w:rsidR="00524720" w:rsidRPr="00D9348B" w:rsidRDefault="00524720">
            <w:pPr>
              <w:pStyle w:val="TableText"/>
              <w:spacing w:before="40" w:after="40"/>
              <w:jc w:val="center"/>
            </w:pPr>
            <w:r w:rsidRPr="00D9348B">
              <w:t>6.4</w:t>
            </w:r>
          </w:p>
        </w:tc>
        <w:tc>
          <w:tcPr>
            <w:tcW w:w="1857" w:type="dxa"/>
            <w:tcBorders>
              <w:top w:val="single" w:sz="4" w:space="0" w:color="365F91"/>
              <w:left w:val="nil"/>
              <w:bottom w:val="single" w:sz="4" w:space="0" w:color="365F91"/>
              <w:right w:val="nil"/>
            </w:tcBorders>
            <w:hideMark/>
          </w:tcPr>
          <w:p w14:paraId="0E74E836" w14:textId="77777777" w:rsidR="00524720" w:rsidRPr="00D9348B" w:rsidRDefault="00524720">
            <w:pPr>
              <w:pStyle w:val="TableText"/>
              <w:spacing w:before="40" w:after="40"/>
              <w:jc w:val="center"/>
            </w:pPr>
            <w:r w:rsidRPr="00D9348B">
              <w:t>167.8</w:t>
            </w:r>
          </w:p>
        </w:tc>
      </w:tr>
      <w:tr w:rsidR="00524720" w:rsidRPr="00D9348B" w14:paraId="5BBF7825" w14:textId="77777777" w:rsidTr="002B5847">
        <w:tc>
          <w:tcPr>
            <w:tcW w:w="1079" w:type="dxa"/>
            <w:tcBorders>
              <w:top w:val="single" w:sz="4" w:space="0" w:color="365F91"/>
              <w:left w:val="nil"/>
              <w:bottom w:val="single" w:sz="4" w:space="0" w:color="365F91"/>
              <w:right w:val="nil"/>
            </w:tcBorders>
            <w:hideMark/>
          </w:tcPr>
          <w:p w14:paraId="4ABAFB68" w14:textId="77777777" w:rsidR="00524720" w:rsidRPr="00D9348B" w:rsidRDefault="00524720">
            <w:pPr>
              <w:pStyle w:val="TableTextBold"/>
              <w:spacing w:before="40" w:after="40"/>
              <w:rPr>
                <w:noProof w:val="0"/>
              </w:rPr>
            </w:pPr>
            <w:r w:rsidRPr="00D9348B">
              <w:rPr>
                <w:noProof w:val="0"/>
              </w:rPr>
              <w:t>2007</w:t>
            </w:r>
          </w:p>
        </w:tc>
        <w:tc>
          <w:tcPr>
            <w:tcW w:w="1857" w:type="dxa"/>
            <w:tcBorders>
              <w:top w:val="single" w:sz="4" w:space="0" w:color="365F91"/>
              <w:left w:val="nil"/>
              <w:bottom w:val="single" w:sz="4" w:space="0" w:color="365F91"/>
              <w:right w:val="nil"/>
            </w:tcBorders>
            <w:hideMark/>
          </w:tcPr>
          <w:p w14:paraId="024B9422" w14:textId="77777777" w:rsidR="00524720" w:rsidRPr="00D9348B" w:rsidRDefault="00524720">
            <w:pPr>
              <w:pStyle w:val="TableText"/>
              <w:spacing w:before="40" w:after="40"/>
              <w:jc w:val="center"/>
            </w:pPr>
            <w:r w:rsidRPr="00D9348B">
              <w:t>72.5</w:t>
            </w:r>
          </w:p>
        </w:tc>
        <w:tc>
          <w:tcPr>
            <w:tcW w:w="1856" w:type="dxa"/>
            <w:tcBorders>
              <w:top w:val="single" w:sz="4" w:space="0" w:color="365F91"/>
              <w:left w:val="nil"/>
              <w:bottom w:val="single" w:sz="4" w:space="0" w:color="365F91"/>
              <w:right w:val="nil"/>
            </w:tcBorders>
            <w:hideMark/>
          </w:tcPr>
          <w:p w14:paraId="287E9D8A" w14:textId="77777777" w:rsidR="00524720" w:rsidRPr="00D9348B" w:rsidRDefault="00524720">
            <w:pPr>
              <w:pStyle w:val="TableText"/>
              <w:spacing w:before="40" w:after="40"/>
              <w:jc w:val="center"/>
            </w:pPr>
            <w:r w:rsidRPr="00D9348B">
              <w:t>86.4</w:t>
            </w:r>
          </w:p>
        </w:tc>
        <w:tc>
          <w:tcPr>
            <w:tcW w:w="1856" w:type="dxa"/>
            <w:tcBorders>
              <w:top w:val="single" w:sz="4" w:space="0" w:color="365F91"/>
              <w:left w:val="nil"/>
              <w:bottom w:val="single" w:sz="4" w:space="0" w:color="365F91"/>
              <w:right w:val="nil"/>
            </w:tcBorders>
            <w:hideMark/>
          </w:tcPr>
          <w:p w14:paraId="1C6E9207" w14:textId="77777777" w:rsidR="00524720" w:rsidRPr="00D9348B" w:rsidRDefault="00524720">
            <w:pPr>
              <w:pStyle w:val="TableText"/>
              <w:spacing w:before="40" w:after="40"/>
              <w:jc w:val="center"/>
            </w:pPr>
            <w:r w:rsidRPr="00D9348B">
              <w:t>6.7</w:t>
            </w:r>
          </w:p>
        </w:tc>
        <w:tc>
          <w:tcPr>
            <w:tcW w:w="1857" w:type="dxa"/>
            <w:tcBorders>
              <w:top w:val="single" w:sz="4" w:space="0" w:color="365F91"/>
              <w:left w:val="nil"/>
              <w:bottom w:val="single" w:sz="4" w:space="0" w:color="365F91"/>
              <w:right w:val="nil"/>
            </w:tcBorders>
            <w:hideMark/>
          </w:tcPr>
          <w:p w14:paraId="58E4C752" w14:textId="77777777" w:rsidR="00524720" w:rsidRPr="00D9348B" w:rsidRDefault="00524720">
            <w:pPr>
              <w:pStyle w:val="TableText"/>
              <w:spacing w:before="40" w:after="40"/>
              <w:jc w:val="center"/>
            </w:pPr>
            <w:r w:rsidRPr="00D9348B">
              <w:t>165.7</w:t>
            </w:r>
          </w:p>
        </w:tc>
      </w:tr>
      <w:tr w:rsidR="00524720" w:rsidRPr="00D9348B" w14:paraId="0057F997" w14:textId="77777777" w:rsidTr="002B5847">
        <w:tc>
          <w:tcPr>
            <w:tcW w:w="1079" w:type="dxa"/>
            <w:tcBorders>
              <w:top w:val="single" w:sz="4" w:space="0" w:color="365F91"/>
              <w:left w:val="nil"/>
              <w:bottom w:val="single" w:sz="4" w:space="0" w:color="365F91"/>
              <w:right w:val="nil"/>
            </w:tcBorders>
            <w:hideMark/>
          </w:tcPr>
          <w:p w14:paraId="5B70F7BC" w14:textId="77777777" w:rsidR="00524720" w:rsidRPr="00D9348B" w:rsidRDefault="00524720">
            <w:pPr>
              <w:pStyle w:val="TableTextBold"/>
              <w:spacing w:before="40" w:after="40"/>
              <w:rPr>
                <w:noProof w:val="0"/>
              </w:rPr>
            </w:pPr>
            <w:r w:rsidRPr="00D9348B">
              <w:rPr>
                <w:noProof w:val="0"/>
              </w:rPr>
              <w:t>2008</w:t>
            </w:r>
          </w:p>
        </w:tc>
        <w:tc>
          <w:tcPr>
            <w:tcW w:w="1857" w:type="dxa"/>
            <w:tcBorders>
              <w:top w:val="single" w:sz="4" w:space="0" w:color="365F91"/>
              <w:left w:val="nil"/>
              <w:bottom w:val="single" w:sz="4" w:space="0" w:color="365F91"/>
              <w:right w:val="nil"/>
            </w:tcBorders>
            <w:hideMark/>
          </w:tcPr>
          <w:p w14:paraId="17DCCE67" w14:textId="77777777" w:rsidR="00524720" w:rsidRPr="00D9348B" w:rsidRDefault="00524720">
            <w:pPr>
              <w:pStyle w:val="TableText"/>
              <w:spacing w:before="40" w:after="40"/>
              <w:jc w:val="center"/>
            </w:pPr>
            <w:r w:rsidRPr="00D9348B">
              <w:t>72.8</w:t>
            </w:r>
          </w:p>
        </w:tc>
        <w:tc>
          <w:tcPr>
            <w:tcW w:w="1856" w:type="dxa"/>
            <w:tcBorders>
              <w:top w:val="single" w:sz="4" w:space="0" w:color="365F91"/>
              <w:left w:val="nil"/>
              <w:bottom w:val="single" w:sz="4" w:space="0" w:color="365F91"/>
              <w:right w:val="nil"/>
            </w:tcBorders>
            <w:hideMark/>
          </w:tcPr>
          <w:p w14:paraId="0CE6F680" w14:textId="77777777" w:rsidR="00524720" w:rsidRPr="00D9348B" w:rsidRDefault="00524720">
            <w:pPr>
              <w:pStyle w:val="TableText"/>
              <w:spacing w:before="40" w:after="40"/>
              <w:jc w:val="center"/>
            </w:pPr>
            <w:r w:rsidRPr="00D9348B">
              <w:t>87.0</w:t>
            </w:r>
          </w:p>
        </w:tc>
        <w:tc>
          <w:tcPr>
            <w:tcW w:w="1856" w:type="dxa"/>
            <w:tcBorders>
              <w:top w:val="single" w:sz="4" w:space="0" w:color="365F91"/>
              <w:left w:val="nil"/>
              <w:bottom w:val="single" w:sz="4" w:space="0" w:color="365F91"/>
              <w:right w:val="nil"/>
            </w:tcBorders>
            <w:hideMark/>
          </w:tcPr>
          <w:p w14:paraId="138B3F01" w14:textId="77777777" w:rsidR="00524720" w:rsidRPr="00D9348B" w:rsidRDefault="00524720">
            <w:pPr>
              <w:pStyle w:val="TableText"/>
              <w:spacing w:before="40" w:after="40"/>
              <w:jc w:val="center"/>
            </w:pPr>
            <w:r w:rsidRPr="00D9348B">
              <w:t>7.7</w:t>
            </w:r>
          </w:p>
        </w:tc>
        <w:tc>
          <w:tcPr>
            <w:tcW w:w="1857" w:type="dxa"/>
            <w:tcBorders>
              <w:top w:val="single" w:sz="4" w:space="0" w:color="365F91"/>
              <w:left w:val="nil"/>
              <w:bottom w:val="single" w:sz="4" w:space="0" w:color="365F91"/>
              <w:right w:val="nil"/>
            </w:tcBorders>
            <w:hideMark/>
          </w:tcPr>
          <w:p w14:paraId="5FFCCD2C" w14:textId="77777777" w:rsidR="00524720" w:rsidRPr="00D9348B" w:rsidRDefault="00524720">
            <w:pPr>
              <w:pStyle w:val="TableText"/>
              <w:spacing w:before="40" w:after="40"/>
              <w:jc w:val="center"/>
            </w:pPr>
            <w:r w:rsidRPr="00D9348B">
              <w:t>167.5</w:t>
            </w:r>
          </w:p>
        </w:tc>
      </w:tr>
      <w:tr w:rsidR="00524720" w:rsidRPr="00D9348B" w14:paraId="770777D2" w14:textId="77777777" w:rsidTr="002B5847">
        <w:tc>
          <w:tcPr>
            <w:tcW w:w="1079" w:type="dxa"/>
            <w:tcBorders>
              <w:top w:val="single" w:sz="4" w:space="0" w:color="365F91"/>
              <w:left w:val="nil"/>
              <w:bottom w:val="single" w:sz="4" w:space="0" w:color="365F91"/>
              <w:right w:val="nil"/>
            </w:tcBorders>
            <w:hideMark/>
          </w:tcPr>
          <w:p w14:paraId="4A0EB8D9" w14:textId="77777777" w:rsidR="00524720" w:rsidRPr="00D9348B" w:rsidRDefault="00524720">
            <w:pPr>
              <w:pStyle w:val="TableTextBold"/>
              <w:spacing w:before="40" w:after="40"/>
              <w:rPr>
                <w:noProof w:val="0"/>
              </w:rPr>
            </w:pPr>
            <w:r w:rsidRPr="00D9348B">
              <w:rPr>
                <w:noProof w:val="0"/>
              </w:rPr>
              <w:t>2009</w:t>
            </w:r>
          </w:p>
        </w:tc>
        <w:tc>
          <w:tcPr>
            <w:tcW w:w="1857" w:type="dxa"/>
            <w:tcBorders>
              <w:top w:val="single" w:sz="4" w:space="0" w:color="365F91"/>
              <w:left w:val="nil"/>
              <w:bottom w:val="single" w:sz="4" w:space="0" w:color="365F91"/>
              <w:right w:val="nil"/>
            </w:tcBorders>
            <w:hideMark/>
          </w:tcPr>
          <w:p w14:paraId="31D63001" w14:textId="77777777" w:rsidR="00524720" w:rsidRPr="00D9348B" w:rsidRDefault="00524720">
            <w:pPr>
              <w:pStyle w:val="TableText"/>
              <w:spacing w:before="40" w:after="40"/>
              <w:jc w:val="center"/>
            </w:pPr>
            <w:r w:rsidRPr="00D9348B">
              <w:t>68.3</w:t>
            </w:r>
          </w:p>
        </w:tc>
        <w:tc>
          <w:tcPr>
            <w:tcW w:w="1856" w:type="dxa"/>
            <w:tcBorders>
              <w:top w:val="single" w:sz="4" w:space="0" w:color="365F91"/>
              <w:left w:val="nil"/>
              <w:bottom w:val="single" w:sz="4" w:space="0" w:color="365F91"/>
              <w:right w:val="nil"/>
            </w:tcBorders>
            <w:hideMark/>
          </w:tcPr>
          <w:p w14:paraId="00FC700E" w14:textId="77777777" w:rsidR="00524720" w:rsidRPr="00D9348B" w:rsidRDefault="00524720">
            <w:pPr>
              <w:pStyle w:val="TableText"/>
              <w:spacing w:before="40" w:after="40"/>
              <w:jc w:val="center"/>
            </w:pPr>
            <w:r w:rsidRPr="00D9348B">
              <w:t>85.7</w:t>
            </w:r>
          </w:p>
        </w:tc>
        <w:tc>
          <w:tcPr>
            <w:tcW w:w="1856" w:type="dxa"/>
            <w:tcBorders>
              <w:top w:val="single" w:sz="4" w:space="0" w:color="365F91"/>
              <w:left w:val="nil"/>
              <w:bottom w:val="single" w:sz="4" w:space="0" w:color="365F91"/>
              <w:right w:val="nil"/>
            </w:tcBorders>
            <w:hideMark/>
          </w:tcPr>
          <w:p w14:paraId="6F638CD2" w14:textId="77777777" w:rsidR="00524720" w:rsidRPr="00D9348B" w:rsidRDefault="00524720">
            <w:pPr>
              <w:pStyle w:val="TableText"/>
              <w:spacing w:before="40" w:after="40"/>
              <w:jc w:val="center"/>
            </w:pPr>
            <w:r w:rsidRPr="00D9348B">
              <w:t>7.7</w:t>
            </w:r>
          </w:p>
        </w:tc>
        <w:tc>
          <w:tcPr>
            <w:tcW w:w="1857" w:type="dxa"/>
            <w:tcBorders>
              <w:top w:val="single" w:sz="4" w:space="0" w:color="365F91"/>
              <w:left w:val="nil"/>
              <w:bottom w:val="single" w:sz="4" w:space="0" w:color="365F91"/>
              <w:right w:val="nil"/>
            </w:tcBorders>
            <w:hideMark/>
          </w:tcPr>
          <w:p w14:paraId="591E35EC" w14:textId="77777777" w:rsidR="00524720" w:rsidRPr="00D9348B" w:rsidRDefault="00524720">
            <w:pPr>
              <w:pStyle w:val="TableText"/>
              <w:spacing w:before="40" w:after="40"/>
              <w:jc w:val="center"/>
            </w:pPr>
            <w:r w:rsidRPr="00D9348B">
              <w:t>161.7</w:t>
            </w:r>
          </w:p>
        </w:tc>
      </w:tr>
      <w:tr w:rsidR="00524720" w:rsidRPr="00D9348B" w14:paraId="5A610D42" w14:textId="77777777" w:rsidTr="002B5847">
        <w:tc>
          <w:tcPr>
            <w:tcW w:w="1079" w:type="dxa"/>
            <w:tcBorders>
              <w:top w:val="single" w:sz="4" w:space="0" w:color="365F91"/>
              <w:left w:val="nil"/>
              <w:bottom w:val="single" w:sz="4" w:space="0" w:color="365F91"/>
              <w:right w:val="nil"/>
            </w:tcBorders>
            <w:hideMark/>
          </w:tcPr>
          <w:p w14:paraId="748CB25D" w14:textId="77777777" w:rsidR="00524720" w:rsidRPr="00D9348B" w:rsidRDefault="00524720">
            <w:pPr>
              <w:pStyle w:val="TableTextBold"/>
              <w:spacing w:before="40" w:after="40"/>
              <w:rPr>
                <w:noProof w:val="0"/>
              </w:rPr>
            </w:pPr>
            <w:r w:rsidRPr="00D9348B">
              <w:rPr>
                <w:noProof w:val="0"/>
              </w:rPr>
              <w:t>2010</w:t>
            </w:r>
          </w:p>
        </w:tc>
        <w:tc>
          <w:tcPr>
            <w:tcW w:w="1857" w:type="dxa"/>
            <w:tcBorders>
              <w:top w:val="single" w:sz="4" w:space="0" w:color="365F91"/>
              <w:left w:val="nil"/>
              <w:bottom w:val="single" w:sz="4" w:space="0" w:color="365F91"/>
              <w:right w:val="nil"/>
            </w:tcBorders>
            <w:hideMark/>
          </w:tcPr>
          <w:p w14:paraId="54A39C62" w14:textId="77777777" w:rsidR="00524720" w:rsidRPr="00D9348B" w:rsidRDefault="00524720">
            <w:pPr>
              <w:pStyle w:val="TableText"/>
              <w:spacing w:before="40" w:after="40"/>
              <w:jc w:val="center"/>
            </w:pPr>
            <w:r w:rsidRPr="00D9348B">
              <w:t>66.6</w:t>
            </w:r>
          </w:p>
        </w:tc>
        <w:tc>
          <w:tcPr>
            <w:tcW w:w="1856" w:type="dxa"/>
            <w:tcBorders>
              <w:top w:val="single" w:sz="4" w:space="0" w:color="365F91"/>
              <w:left w:val="nil"/>
              <w:bottom w:val="single" w:sz="4" w:space="0" w:color="365F91"/>
              <w:right w:val="nil"/>
            </w:tcBorders>
            <w:hideMark/>
          </w:tcPr>
          <w:p w14:paraId="23B34C85" w14:textId="77777777" w:rsidR="00524720" w:rsidRPr="00D9348B" w:rsidRDefault="00524720">
            <w:pPr>
              <w:pStyle w:val="TableText"/>
              <w:spacing w:before="40" w:after="40"/>
              <w:jc w:val="center"/>
            </w:pPr>
            <w:r w:rsidRPr="00D9348B">
              <w:t>87.6</w:t>
            </w:r>
          </w:p>
        </w:tc>
        <w:tc>
          <w:tcPr>
            <w:tcW w:w="1856" w:type="dxa"/>
            <w:tcBorders>
              <w:top w:val="single" w:sz="4" w:space="0" w:color="365F91"/>
              <w:left w:val="nil"/>
              <w:bottom w:val="single" w:sz="4" w:space="0" w:color="365F91"/>
              <w:right w:val="nil"/>
            </w:tcBorders>
            <w:hideMark/>
          </w:tcPr>
          <w:p w14:paraId="308B59E4" w14:textId="77777777" w:rsidR="00524720" w:rsidRPr="00D9348B" w:rsidRDefault="00524720">
            <w:pPr>
              <w:pStyle w:val="TableText"/>
              <w:spacing w:before="40" w:after="40"/>
              <w:jc w:val="center"/>
            </w:pPr>
            <w:r w:rsidRPr="00D9348B">
              <w:t>7.5</w:t>
            </w:r>
          </w:p>
        </w:tc>
        <w:tc>
          <w:tcPr>
            <w:tcW w:w="1857" w:type="dxa"/>
            <w:tcBorders>
              <w:top w:val="single" w:sz="4" w:space="0" w:color="365F91"/>
              <w:left w:val="nil"/>
              <w:bottom w:val="single" w:sz="4" w:space="0" w:color="365F91"/>
              <w:right w:val="nil"/>
            </w:tcBorders>
            <w:hideMark/>
          </w:tcPr>
          <w:p w14:paraId="6D0455EB" w14:textId="77777777" w:rsidR="00524720" w:rsidRPr="00D9348B" w:rsidRDefault="00524720">
            <w:pPr>
              <w:pStyle w:val="TableText"/>
              <w:spacing w:before="40" w:after="40"/>
              <w:jc w:val="center"/>
            </w:pPr>
            <w:r w:rsidRPr="00D9348B">
              <w:t>161.8</w:t>
            </w:r>
          </w:p>
        </w:tc>
      </w:tr>
      <w:tr w:rsidR="00524720" w:rsidRPr="00D9348B" w14:paraId="32678747" w14:textId="77777777" w:rsidTr="002B5847">
        <w:tc>
          <w:tcPr>
            <w:tcW w:w="1079" w:type="dxa"/>
            <w:tcBorders>
              <w:top w:val="single" w:sz="4" w:space="0" w:color="365F91"/>
              <w:left w:val="nil"/>
              <w:bottom w:val="single" w:sz="4" w:space="0" w:color="365F91"/>
              <w:right w:val="nil"/>
            </w:tcBorders>
            <w:hideMark/>
          </w:tcPr>
          <w:p w14:paraId="5846849A" w14:textId="77777777" w:rsidR="00524720" w:rsidRPr="00D9348B" w:rsidRDefault="00524720">
            <w:pPr>
              <w:pStyle w:val="TableTextBold"/>
              <w:spacing w:before="40" w:after="40"/>
              <w:rPr>
                <w:noProof w:val="0"/>
              </w:rPr>
            </w:pPr>
            <w:r w:rsidRPr="00D9348B">
              <w:rPr>
                <w:noProof w:val="0"/>
              </w:rPr>
              <w:t>2011</w:t>
            </w:r>
          </w:p>
        </w:tc>
        <w:tc>
          <w:tcPr>
            <w:tcW w:w="1857" w:type="dxa"/>
            <w:tcBorders>
              <w:top w:val="single" w:sz="4" w:space="0" w:color="365F91"/>
              <w:left w:val="nil"/>
              <w:bottom w:val="single" w:sz="4" w:space="0" w:color="365F91"/>
              <w:right w:val="nil"/>
            </w:tcBorders>
            <w:hideMark/>
          </w:tcPr>
          <w:p w14:paraId="2459E9CE" w14:textId="77777777" w:rsidR="00524720" w:rsidRPr="00D9348B" w:rsidRDefault="00524720">
            <w:pPr>
              <w:pStyle w:val="TableText"/>
              <w:spacing w:before="40" w:after="40"/>
              <w:jc w:val="center"/>
            </w:pPr>
            <w:r w:rsidRPr="00D9348B">
              <w:t>65.6</w:t>
            </w:r>
          </w:p>
        </w:tc>
        <w:tc>
          <w:tcPr>
            <w:tcW w:w="1856" w:type="dxa"/>
            <w:tcBorders>
              <w:top w:val="single" w:sz="4" w:space="0" w:color="365F91"/>
              <w:left w:val="nil"/>
              <w:bottom w:val="single" w:sz="4" w:space="0" w:color="365F91"/>
              <w:right w:val="nil"/>
            </w:tcBorders>
            <w:hideMark/>
          </w:tcPr>
          <w:p w14:paraId="286B3FDB" w14:textId="77777777" w:rsidR="00524720" w:rsidRPr="00D9348B" w:rsidRDefault="00524720">
            <w:pPr>
              <w:pStyle w:val="TableText"/>
              <w:spacing w:before="40" w:after="40"/>
              <w:jc w:val="center"/>
            </w:pPr>
            <w:r w:rsidRPr="00D9348B">
              <w:t>90.7</w:t>
            </w:r>
          </w:p>
        </w:tc>
        <w:tc>
          <w:tcPr>
            <w:tcW w:w="1856" w:type="dxa"/>
            <w:tcBorders>
              <w:top w:val="single" w:sz="4" w:space="0" w:color="365F91"/>
              <w:left w:val="nil"/>
              <w:bottom w:val="single" w:sz="4" w:space="0" w:color="365F91"/>
              <w:right w:val="nil"/>
            </w:tcBorders>
            <w:hideMark/>
          </w:tcPr>
          <w:p w14:paraId="357D7AFE" w14:textId="77777777" w:rsidR="00524720" w:rsidRPr="00D9348B" w:rsidRDefault="00524720">
            <w:pPr>
              <w:pStyle w:val="TableText"/>
              <w:spacing w:before="40" w:after="40"/>
              <w:jc w:val="center"/>
            </w:pPr>
            <w:r w:rsidRPr="00D9348B">
              <w:t>4.1</w:t>
            </w:r>
          </w:p>
        </w:tc>
        <w:tc>
          <w:tcPr>
            <w:tcW w:w="1857" w:type="dxa"/>
            <w:tcBorders>
              <w:top w:val="single" w:sz="4" w:space="0" w:color="365F91"/>
              <w:left w:val="nil"/>
              <w:bottom w:val="single" w:sz="4" w:space="0" w:color="365F91"/>
              <w:right w:val="nil"/>
            </w:tcBorders>
            <w:hideMark/>
          </w:tcPr>
          <w:p w14:paraId="29E43239" w14:textId="77777777" w:rsidR="00524720" w:rsidRPr="00D9348B" w:rsidRDefault="00524720">
            <w:pPr>
              <w:pStyle w:val="TableText"/>
              <w:spacing w:before="40" w:after="40"/>
              <w:jc w:val="center"/>
            </w:pPr>
            <w:r w:rsidRPr="00D9348B">
              <w:t>160.4</w:t>
            </w:r>
          </w:p>
        </w:tc>
      </w:tr>
      <w:tr w:rsidR="00524720" w:rsidRPr="00D9348B" w14:paraId="37A0E4F0" w14:textId="77777777" w:rsidTr="002B5847">
        <w:tc>
          <w:tcPr>
            <w:tcW w:w="1079" w:type="dxa"/>
            <w:tcBorders>
              <w:top w:val="single" w:sz="4" w:space="0" w:color="365F91"/>
              <w:left w:val="nil"/>
              <w:bottom w:val="single" w:sz="4" w:space="0" w:color="365F91"/>
              <w:right w:val="nil"/>
            </w:tcBorders>
            <w:hideMark/>
          </w:tcPr>
          <w:p w14:paraId="48BD8F13" w14:textId="77777777" w:rsidR="00524720" w:rsidRPr="00D9348B" w:rsidRDefault="00524720">
            <w:pPr>
              <w:pStyle w:val="TableTextBold"/>
              <w:spacing w:before="40" w:after="40"/>
              <w:rPr>
                <w:noProof w:val="0"/>
              </w:rPr>
            </w:pPr>
            <w:r w:rsidRPr="00D9348B">
              <w:rPr>
                <w:noProof w:val="0"/>
              </w:rPr>
              <w:t>2012</w:t>
            </w:r>
          </w:p>
        </w:tc>
        <w:tc>
          <w:tcPr>
            <w:tcW w:w="1857" w:type="dxa"/>
            <w:tcBorders>
              <w:top w:val="single" w:sz="4" w:space="0" w:color="365F91"/>
              <w:left w:val="nil"/>
              <w:bottom w:val="single" w:sz="4" w:space="0" w:color="365F91"/>
              <w:right w:val="nil"/>
            </w:tcBorders>
            <w:hideMark/>
          </w:tcPr>
          <w:p w14:paraId="2B26B567" w14:textId="77777777" w:rsidR="00524720" w:rsidRPr="00D9348B" w:rsidRDefault="00524720">
            <w:pPr>
              <w:pStyle w:val="TableText"/>
              <w:spacing w:before="40" w:after="40"/>
              <w:jc w:val="center"/>
            </w:pPr>
            <w:r w:rsidRPr="00D9348B">
              <w:t>65.7</w:t>
            </w:r>
          </w:p>
        </w:tc>
        <w:tc>
          <w:tcPr>
            <w:tcW w:w="1856" w:type="dxa"/>
            <w:tcBorders>
              <w:top w:val="single" w:sz="4" w:space="0" w:color="365F91"/>
              <w:left w:val="nil"/>
              <w:bottom w:val="single" w:sz="4" w:space="0" w:color="365F91"/>
              <w:right w:val="nil"/>
            </w:tcBorders>
            <w:hideMark/>
          </w:tcPr>
          <w:p w14:paraId="070A00AC" w14:textId="77777777" w:rsidR="00524720" w:rsidRPr="00D9348B" w:rsidRDefault="00524720">
            <w:pPr>
              <w:pStyle w:val="TableText"/>
              <w:spacing w:before="40" w:after="40"/>
              <w:jc w:val="center"/>
            </w:pPr>
            <w:r w:rsidRPr="00D9348B">
              <w:t>86.9</w:t>
            </w:r>
          </w:p>
        </w:tc>
        <w:tc>
          <w:tcPr>
            <w:tcW w:w="1856" w:type="dxa"/>
            <w:tcBorders>
              <w:top w:val="single" w:sz="4" w:space="0" w:color="365F91"/>
              <w:left w:val="nil"/>
              <w:bottom w:val="single" w:sz="4" w:space="0" w:color="365F91"/>
              <w:right w:val="nil"/>
            </w:tcBorders>
            <w:hideMark/>
          </w:tcPr>
          <w:p w14:paraId="25C86834" w14:textId="77777777" w:rsidR="00524720" w:rsidRPr="00D9348B" w:rsidRDefault="00524720">
            <w:pPr>
              <w:pStyle w:val="TableText"/>
              <w:spacing w:before="40" w:after="40"/>
              <w:jc w:val="center"/>
            </w:pPr>
            <w:r w:rsidRPr="00D9348B">
              <w:t>3.3</w:t>
            </w:r>
          </w:p>
        </w:tc>
        <w:tc>
          <w:tcPr>
            <w:tcW w:w="1857" w:type="dxa"/>
            <w:tcBorders>
              <w:top w:val="single" w:sz="4" w:space="0" w:color="365F91"/>
              <w:left w:val="nil"/>
              <w:bottom w:val="single" w:sz="4" w:space="0" w:color="365F91"/>
              <w:right w:val="nil"/>
            </w:tcBorders>
            <w:hideMark/>
          </w:tcPr>
          <w:p w14:paraId="145262B1" w14:textId="77777777" w:rsidR="00524720" w:rsidRPr="00D9348B" w:rsidRDefault="00524720">
            <w:pPr>
              <w:pStyle w:val="TableText"/>
              <w:spacing w:before="40" w:after="40"/>
              <w:jc w:val="center"/>
            </w:pPr>
            <w:r w:rsidRPr="00D9348B">
              <w:t>155.9</w:t>
            </w:r>
          </w:p>
        </w:tc>
      </w:tr>
      <w:tr w:rsidR="00524720" w:rsidRPr="00D9348B" w14:paraId="7A8C4A0C" w14:textId="77777777" w:rsidTr="002B5847">
        <w:tc>
          <w:tcPr>
            <w:tcW w:w="1079" w:type="dxa"/>
            <w:tcBorders>
              <w:top w:val="single" w:sz="4" w:space="0" w:color="365F91"/>
              <w:left w:val="nil"/>
              <w:bottom w:val="single" w:sz="4" w:space="0" w:color="365F91"/>
              <w:right w:val="nil"/>
            </w:tcBorders>
            <w:hideMark/>
          </w:tcPr>
          <w:p w14:paraId="327B8D5A" w14:textId="77777777" w:rsidR="00524720" w:rsidRPr="00D9348B" w:rsidRDefault="00524720">
            <w:pPr>
              <w:pStyle w:val="TableTextBold"/>
              <w:spacing w:before="40" w:after="40"/>
              <w:rPr>
                <w:noProof w:val="0"/>
              </w:rPr>
            </w:pPr>
            <w:r w:rsidRPr="00D9348B">
              <w:rPr>
                <w:noProof w:val="0"/>
              </w:rPr>
              <w:t>2013</w:t>
            </w:r>
          </w:p>
        </w:tc>
        <w:tc>
          <w:tcPr>
            <w:tcW w:w="1857" w:type="dxa"/>
            <w:tcBorders>
              <w:top w:val="single" w:sz="4" w:space="0" w:color="365F91"/>
              <w:left w:val="nil"/>
              <w:bottom w:val="single" w:sz="4" w:space="0" w:color="365F91"/>
              <w:right w:val="nil"/>
            </w:tcBorders>
            <w:hideMark/>
          </w:tcPr>
          <w:p w14:paraId="48EA7815" w14:textId="77777777" w:rsidR="00524720" w:rsidRPr="00D9348B" w:rsidRDefault="00524720">
            <w:pPr>
              <w:pStyle w:val="TableText"/>
              <w:spacing w:before="40" w:after="40"/>
              <w:jc w:val="center"/>
            </w:pPr>
            <w:r w:rsidRPr="00D9348B">
              <w:t>67.9</w:t>
            </w:r>
          </w:p>
        </w:tc>
        <w:tc>
          <w:tcPr>
            <w:tcW w:w="1856" w:type="dxa"/>
            <w:tcBorders>
              <w:top w:val="single" w:sz="4" w:space="0" w:color="365F91"/>
              <w:left w:val="nil"/>
              <w:bottom w:val="single" w:sz="4" w:space="0" w:color="365F91"/>
              <w:right w:val="nil"/>
            </w:tcBorders>
            <w:hideMark/>
          </w:tcPr>
          <w:p w14:paraId="660D94EB" w14:textId="77777777" w:rsidR="00524720" w:rsidRPr="00D9348B" w:rsidRDefault="00524720">
            <w:pPr>
              <w:pStyle w:val="TableText"/>
              <w:spacing w:before="40" w:after="40"/>
              <w:jc w:val="center"/>
            </w:pPr>
            <w:r w:rsidRPr="00D9348B">
              <w:t>83.5</w:t>
            </w:r>
          </w:p>
        </w:tc>
        <w:tc>
          <w:tcPr>
            <w:tcW w:w="1856" w:type="dxa"/>
            <w:tcBorders>
              <w:top w:val="single" w:sz="4" w:space="0" w:color="365F91"/>
              <w:left w:val="nil"/>
              <w:bottom w:val="single" w:sz="4" w:space="0" w:color="365F91"/>
              <w:right w:val="nil"/>
            </w:tcBorders>
            <w:hideMark/>
          </w:tcPr>
          <w:p w14:paraId="3216ECAA" w14:textId="77777777" w:rsidR="00524720" w:rsidRPr="00D9348B" w:rsidRDefault="00524720">
            <w:pPr>
              <w:pStyle w:val="TableText"/>
              <w:spacing w:before="40" w:after="40"/>
              <w:jc w:val="center"/>
            </w:pPr>
            <w:r w:rsidRPr="00D9348B">
              <w:t>4.3</w:t>
            </w:r>
          </w:p>
        </w:tc>
        <w:tc>
          <w:tcPr>
            <w:tcW w:w="1857" w:type="dxa"/>
            <w:tcBorders>
              <w:top w:val="single" w:sz="4" w:space="0" w:color="365F91"/>
              <w:left w:val="nil"/>
              <w:bottom w:val="single" w:sz="4" w:space="0" w:color="365F91"/>
              <w:right w:val="nil"/>
            </w:tcBorders>
            <w:hideMark/>
          </w:tcPr>
          <w:p w14:paraId="348201D0" w14:textId="77777777" w:rsidR="00524720" w:rsidRPr="00D9348B" w:rsidRDefault="00524720">
            <w:pPr>
              <w:pStyle w:val="TableText"/>
              <w:spacing w:before="40" w:after="40"/>
              <w:jc w:val="center"/>
            </w:pPr>
            <w:r w:rsidRPr="00D9348B">
              <w:t>155.7</w:t>
            </w:r>
          </w:p>
        </w:tc>
      </w:tr>
      <w:tr w:rsidR="00524720" w:rsidRPr="00D9348B" w14:paraId="2F9489AE" w14:textId="77777777" w:rsidTr="002B5847">
        <w:tc>
          <w:tcPr>
            <w:tcW w:w="1079" w:type="dxa"/>
            <w:tcBorders>
              <w:top w:val="single" w:sz="4" w:space="0" w:color="365F91"/>
              <w:left w:val="nil"/>
              <w:bottom w:val="single" w:sz="4" w:space="0" w:color="365F91"/>
              <w:right w:val="nil"/>
            </w:tcBorders>
            <w:hideMark/>
          </w:tcPr>
          <w:p w14:paraId="7301A51E" w14:textId="77777777" w:rsidR="00524720" w:rsidRPr="00D9348B" w:rsidRDefault="00524720">
            <w:pPr>
              <w:pStyle w:val="TableTextBold"/>
              <w:spacing w:before="40" w:after="40"/>
              <w:rPr>
                <w:noProof w:val="0"/>
              </w:rPr>
            </w:pPr>
            <w:r w:rsidRPr="00D9348B">
              <w:rPr>
                <w:noProof w:val="0"/>
              </w:rPr>
              <w:t>2014</w:t>
            </w:r>
          </w:p>
        </w:tc>
        <w:tc>
          <w:tcPr>
            <w:tcW w:w="1857" w:type="dxa"/>
            <w:tcBorders>
              <w:top w:val="single" w:sz="4" w:space="0" w:color="365F91"/>
              <w:left w:val="nil"/>
              <w:bottom w:val="single" w:sz="4" w:space="0" w:color="365F91"/>
              <w:right w:val="nil"/>
            </w:tcBorders>
            <w:hideMark/>
          </w:tcPr>
          <w:p w14:paraId="21286C5B" w14:textId="77777777" w:rsidR="00524720" w:rsidRPr="00D9348B" w:rsidRDefault="00524720">
            <w:pPr>
              <w:pStyle w:val="TableText"/>
              <w:spacing w:before="40" w:after="40"/>
              <w:jc w:val="center"/>
            </w:pPr>
            <w:r w:rsidRPr="00D9348B">
              <w:t>68.7</w:t>
            </w:r>
          </w:p>
        </w:tc>
        <w:tc>
          <w:tcPr>
            <w:tcW w:w="1856" w:type="dxa"/>
            <w:tcBorders>
              <w:top w:val="single" w:sz="4" w:space="0" w:color="365F91"/>
              <w:left w:val="nil"/>
              <w:bottom w:val="single" w:sz="4" w:space="0" w:color="365F91"/>
              <w:right w:val="nil"/>
            </w:tcBorders>
            <w:hideMark/>
          </w:tcPr>
          <w:p w14:paraId="26D1ADA9" w14:textId="77777777" w:rsidR="00524720" w:rsidRPr="00D9348B" w:rsidRDefault="00524720">
            <w:pPr>
              <w:pStyle w:val="TableText"/>
              <w:spacing w:before="40" w:after="40"/>
              <w:jc w:val="center"/>
            </w:pPr>
            <w:r w:rsidRPr="00D9348B">
              <w:t>79.2</w:t>
            </w:r>
          </w:p>
        </w:tc>
        <w:tc>
          <w:tcPr>
            <w:tcW w:w="1856" w:type="dxa"/>
            <w:tcBorders>
              <w:top w:val="single" w:sz="4" w:space="0" w:color="365F91"/>
              <w:left w:val="nil"/>
              <w:bottom w:val="single" w:sz="4" w:space="0" w:color="365F91"/>
              <w:right w:val="nil"/>
            </w:tcBorders>
            <w:hideMark/>
          </w:tcPr>
          <w:p w14:paraId="54FFF4A0" w14:textId="77777777" w:rsidR="00524720" w:rsidRPr="00D9348B" w:rsidRDefault="00524720">
            <w:pPr>
              <w:pStyle w:val="TableText"/>
              <w:spacing w:before="40" w:after="40"/>
              <w:jc w:val="center"/>
            </w:pPr>
            <w:r w:rsidRPr="00D9348B">
              <w:t>5.5</w:t>
            </w:r>
          </w:p>
        </w:tc>
        <w:tc>
          <w:tcPr>
            <w:tcW w:w="1857" w:type="dxa"/>
            <w:tcBorders>
              <w:top w:val="single" w:sz="4" w:space="0" w:color="365F91"/>
              <w:left w:val="nil"/>
              <w:bottom w:val="single" w:sz="4" w:space="0" w:color="365F91"/>
              <w:right w:val="nil"/>
            </w:tcBorders>
            <w:hideMark/>
          </w:tcPr>
          <w:p w14:paraId="7A587BDB" w14:textId="77777777" w:rsidR="00524720" w:rsidRPr="00D9348B" w:rsidRDefault="00524720">
            <w:pPr>
              <w:pStyle w:val="TableText"/>
              <w:spacing w:before="40" w:after="40"/>
              <w:jc w:val="center"/>
            </w:pPr>
            <w:r w:rsidRPr="00D9348B">
              <w:t>153.5</w:t>
            </w:r>
          </w:p>
        </w:tc>
      </w:tr>
      <w:tr w:rsidR="00524720" w:rsidRPr="00D9348B" w14:paraId="7F94CDA5" w14:textId="77777777" w:rsidTr="002B5847">
        <w:tc>
          <w:tcPr>
            <w:tcW w:w="1079" w:type="dxa"/>
            <w:tcBorders>
              <w:top w:val="single" w:sz="4" w:space="0" w:color="365F91"/>
              <w:left w:val="nil"/>
              <w:bottom w:val="single" w:sz="4" w:space="0" w:color="365F91"/>
              <w:right w:val="nil"/>
            </w:tcBorders>
            <w:hideMark/>
          </w:tcPr>
          <w:p w14:paraId="70729B45" w14:textId="77777777" w:rsidR="00524720" w:rsidRPr="00D9348B" w:rsidRDefault="00524720">
            <w:pPr>
              <w:pStyle w:val="TableTextBold"/>
              <w:spacing w:before="40" w:after="40"/>
              <w:rPr>
                <w:noProof w:val="0"/>
              </w:rPr>
            </w:pPr>
            <w:r w:rsidRPr="00D9348B">
              <w:rPr>
                <w:noProof w:val="0"/>
              </w:rPr>
              <w:t>2015</w:t>
            </w:r>
          </w:p>
        </w:tc>
        <w:tc>
          <w:tcPr>
            <w:tcW w:w="1857" w:type="dxa"/>
            <w:tcBorders>
              <w:top w:val="single" w:sz="4" w:space="0" w:color="365F91"/>
              <w:left w:val="nil"/>
              <w:bottom w:val="single" w:sz="4" w:space="0" w:color="365F91"/>
              <w:right w:val="nil"/>
            </w:tcBorders>
            <w:hideMark/>
          </w:tcPr>
          <w:p w14:paraId="77BB95B5" w14:textId="77777777" w:rsidR="00524720" w:rsidRPr="00D9348B" w:rsidRDefault="00524720">
            <w:pPr>
              <w:pStyle w:val="TableText"/>
              <w:spacing w:before="40" w:after="40"/>
              <w:jc w:val="center"/>
            </w:pPr>
            <w:r w:rsidRPr="00D9348B">
              <w:t>71.7</w:t>
            </w:r>
          </w:p>
        </w:tc>
        <w:tc>
          <w:tcPr>
            <w:tcW w:w="1856" w:type="dxa"/>
            <w:tcBorders>
              <w:top w:val="single" w:sz="4" w:space="0" w:color="365F91"/>
              <w:left w:val="nil"/>
              <w:bottom w:val="single" w:sz="4" w:space="0" w:color="365F91"/>
              <w:right w:val="nil"/>
            </w:tcBorders>
            <w:hideMark/>
          </w:tcPr>
          <w:p w14:paraId="726B3377" w14:textId="77777777" w:rsidR="00524720" w:rsidRPr="00D9348B" w:rsidRDefault="00524720">
            <w:pPr>
              <w:pStyle w:val="TableText"/>
              <w:spacing w:before="40" w:after="40"/>
              <w:jc w:val="center"/>
            </w:pPr>
            <w:r w:rsidRPr="00D9348B">
              <w:t>77.7</w:t>
            </w:r>
          </w:p>
        </w:tc>
        <w:tc>
          <w:tcPr>
            <w:tcW w:w="1856" w:type="dxa"/>
            <w:tcBorders>
              <w:top w:val="single" w:sz="4" w:space="0" w:color="365F91"/>
              <w:left w:val="nil"/>
              <w:bottom w:val="single" w:sz="4" w:space="0" w:color="365F91"/>
              <w:right w:val="nil"/>
            </w:tcBorders>
            <w:hideMark/>
          </w:tcPr>
          <w:p w14:paraId="15A26008" w14:textId="77777777" w:rsidR="00524720" w:rsidRPr="00D9348B" w:rsidRDefault="00524720">
            <w:pPr>
              <w:pStyle w:val="TableText"/>
              <w:spacing w:before="40" w:after="40"/>
              <w:jc w:val="center"/>
            </w:pPr>
            <w:r w:rsidRPr="00D9348B">
              <w:t>4.0</w:t>
            </w:r>
          </w:p>
        </w:tc>
        <w:tc>
          <w:tcPr>
            <w:tcW w:w="1857" w:type="dxa"/>
            <w:tcBorders>
              <w:top w:val="single" w:sz="4" w:space="0" w:color="365F91"/>
              <w:left w:val="nil"/>
              <w:bottom w:val="single" w:sz="4" w:space="0" w:color="365F91"/>
              <w:right w:val="nil"/>
            </w:tcBorders>
            <w:hideMark/>
          </w:tcPr>
          <w:p w14:paraId="114AD9DE" w14:textId="77777777" w:rsidR="00524720" w:rsidRPr="00D9348B" w:rsidRDefault="00524720">
            <w:pPr>
              <w:pStyle w:val="TableText"/>
              <w:spacing w:before="40" w:after="40"/>
              <w:jc w:val="center"/>
            </w:pPr>
            <w:r w:rsidRPr="00D9348B">
              <w:t>153.5</w:t>
            </w:r>
          </w:p>
        </w:tc>
      </w:tr>
      <w:tr w:rsidR="00524720" w:rsidRPr="00D9348B" w14:paraId="7DD728F8" w14:textId="77777777" w:rsidTr="002B5847">
        <w:tc>
          <w:tcPr>
            <w:tcW w:w="1079" w:type="dxa"/>
            <w:tcBorders>
              <w:top w:val="single" w:sz="4" w:space="0" w:color="365F91"/>
              <w:left w:val="nil"/>
              <w:bottom w:val="single" w:sz="4" w:space="0" w:color="365F91"/>
              <w:right w:val="nil"/>
            </w:tcBorders>
            <w:hideMark/>
          </w:tcPr>
          <w:p w14:paraId="0AA23565" w14:textId="77777777" w:rsidR="00524720" w:rsidRPr="00D9348B" w:rsidRDefault="00524720">
            <w:pPr>
              <w:pStyle w:val="TableTextBold"/>
              <w:spacing w:before="40" w:after="40"/>
              <w:rPr>
                <w:noProof w:val="0"/>
              </w:rPr>
            </w:pPr>
            <w:r w:rsidRPr="00D9348B">
              <w:rPr>
                <w:noProof w:val="0"/>
              </w:rPr>
              <w:t>2016</w:t>
            </w:r>
          </w:p>
        </w:tc>
        <w:tc>
          <w:tcPr>
            <w:tcW w:w="1857" w:type="dxa"/>
            <w:tcBorders>
              <w:top w:val="single" w:sz="4" w:space="0" w:color="365F91"/>
              <w:left w:val="nil"/>
              <w:bottom w:val="single" w:sz="4" w:space="0" w:color="365F91"/>
              <w:right w:val="nil"/>
            </w:tcBorders>
            <w:hideMark/>
          </w:tcPr>
          <w:p w14:paraId="0BE72050" w14:textId="77777777" w:rsidR="00524720" w:rsidRPr="00D9348B" w:rsidRDefault="00524720">
            <w:pPr>
              <w:pStyle w:val="TableText"/>
              <w:spacing w:before="40" w:after="40"/>
              <w:jc w:val="center"/>
            </w:pPr>
            <w:r w:rsidRPr="00D9348B">
              <w:t>69.2</w:t>
            </w:r>
          </w:p>
        </w:tc>
        <w:tc>
          <w:tcPr>
            <w:tcW w:w="1856" w:type="dxa"/>
            <w:tcBorders>
              <w:top w:val="single" w:sz="4" w:space="0" w:color="365F91"/>
              <w:left w:val="nil"/>
              <w:bottom w:val="single" w:sz="4" w:space="0" w:color="365F91"/>
              <w:right w:val="nil"/>
            </w:tcBorders>
            <w:hideMark/>
          </w:tcPr>
          <w:p w14:paraId="3CCF4E84" w14:textId="77777777" w:rsidR="00524720" w:rsidRPr="00D9348B" w:rsidRDefault="00524720">
            <w:pPr>
              <w:pStyle w:val="TableText"/>
              <w:spacing w:before="40" w:after="40"/>
              <w:jc w:val="center"/>
            </w:pPr>
            <w:r w:rsidRPr="00D9348B">
              <w:t>89.0</w:t>
            </w:r>
          </w:p>
        </w:tc>
        <w:tc>
          <w:tcPr>
            <w:tcW w:w="1856" w:type="dxa"/>
            <w:tcBorders>
              <w:top w:val="single" w:sz="4" w:space="0" w:color="365F91"/>
              <w:left w:val="nil"/>
              <w:bottom w:val="single" w:sz="4" w:space="0" w:color="365F91"/>
              <w:right w:val="nil"/>
            </w:tcBorders>
            <w:hideMark/>
          </w:tcPr>
          <w:p w14:paraId="7803F34B" w14:textId="77777777" w:rsidR="00524720" w:rsidRPr="00D9348B" w:rsidRDefault="00524720">
            <w:pPr>
              <w:pStyle w:val="TableText"/>
              <w:spacing w:before="40" w:after="40"/>
              <w:jc w:val="center"/>
            </w:pPr>
            <w:r w:rsidRPr="00D9348B">
              <w:t>5.4</w:t>
            </w:r>
          </w:p>
        </w:tc>
        <w:tc>
          <w:tcPr>
            <w:tcW w:w="1857" w:type="dxa"/>
            <w:tcBorders>
              <w:top w:val="single" w:sz="4" w:space="0" w:color="365F91"/>
              <w:left w:val="nil"/>
              <w:bottom w:val="single" w:sz="4" w:space="0" w:color="365F91"/>
              <w:right w:val="nil"/>
            </w:tcBorders>
            <w:hideMark/>
          </w:tcPr>
          <w:p w14:paraId="4A99802D" w14:textId="77777777" w:rsidR="00524720" w:rsidRPr="00D9348B" w:rsidRDefault="00524720">
            <w:pPr>
              <w:pStyle w:val="TableText"/>
              <w:spacing w:before="40" w:after="40"/>
              <w:jc w:val="center"/>
            </w:pPr>
            <w:r w:rsidRPr="00D9348B">
              <w:t>163.6</w:t>
            </w:r>
          </w:p>
        </w:tc>
      </w:tr>
      <w:tr w:rsidR="00524720" w:rsidRPr="00D9348B" w14:paraId="49D53645" w14:textId="77777777" w:rsidTr="002B5847">
        <w:tc>
          <w:tcPr>
            <w:tcW w:w="1079" w:type="dxa"/>
            <w:tcBorders>
              <w:top w:val="single" w:sz="4" w:space="0" w:color="365F91"/>
              <w:left w:val="nil"/>
              <w:bottom w:val="single" w:sz="4" w:space="0" w:color="365F91"/>
              <w:right w:val="nil"/>
            </w:tcBorders>
            <w:hideMark/>
          </w:tcPr>
          <w:p w14:paraId="424B9E24" w14:textId="77777777" w:rsidR="00524720" w:rsidRPr="00D9348B" w:rsidRDefault="00524720">
            <w:pPr>
              <w:pStyle w:val="TableTextBold"/>
              <w:spacing w:before="40" w:after="40"/>
              <w:rPr>
                <w:noProof w:val="0"/>
              </w:rPr>
            </w:pPr>
            <w:r w:rsidRPr="00D9348B">
              <w:rPr>
                <w:noProof w:val="0"/>
              </w:rPr>
              <w:t>2017</w:t>
            </w:r>
          </w:p>
        </w:tc>
        <w:tc>
          <w:tcPr>
            <w:tcW w:w="1857" w:type="dxa"/>
            <w:tcBorders>
              <w:top w:val="single" w:sz="4" w:space="0" w:color="365F91"/>
              <w:left w:val="nil"/>
              <w:bottom w:val="single" w:sz="4" w:space="0" w:color="365F91"/>
              <w:right w:val="nil"/>
            </w:tcBorders>
            <w:hideMark/>
          </w:tcPr>
          <w:p w14:paraId="69FEA238" w14:textId="77777777" w:rsidR="00524720" w:rsidRPr="00D9348B" w:rsidRDefault="00524720">
            <w:pPr>
              <w:pStyle w:val="TableText"/>
              <w:spacing w:before="40" w:after="40"/>
              <w:jc w:val="center"/>
            </w:pPr>
            <w:r w:rsidRPr="00D9348B">
              <w:t>71.2</w:t>
            </w:r>
          </w:p>
        </w:tc>
        <w:tc>
          <w:tcPr>
            <w:tcW w:w="1856" w:type="dxa"/>
            <w:tcBorders>
              <w:top w:val="single" w:sz="4" w:space="0" w:color="365F91"/>
              <w:left w:val="nil"/>
              <w:bottom w:val="single" w:sz="4" w:space="0" w:color="365F91"/>
              <w:right w:val="nil"/>
            </w:tcBorders>
            <w:hideMark/>
          </w:tcPr>
          <w:p w14:paraId="68A221B2" w14:textId="77777777" w:rsidR="00524720" w:rsidRPr="00D9348B" w:rsidRDefault="00524720">
            <w:pPr>
              <w:pStyle w:val="TableText"/>
              <w:spacing w:before="40" w:after="40"/>
              <w:jc w:val="center"/>
            </w:pPr>
            <w:r w:rsidRPr="00D9348B">
              <w:t>87.2</w:t>
            </w:r>
          </w:p>
        </w:tc>
        <w:tc>
          <w:tcPr>
            <w:tcW w:w="1856" w:type="dxa"/>
            <w:tcBorders>
              <w:top w:val="single" w:sz="4" w:space="0" w:color="365F91"/>
              <w:left w:val="nil"/>
              <w:bottom w:val="single" w:sz="4" w:space="0" w:color="365F91"/>
              <w:right w:val="nil"/>
            </w:tcBorders>
            <w:hideMark/>
          </w:tcPr>
          <w:p w14:paraId="2EF3A453" w14:textId="77777777" w:rsidR="00524720" w:rsidRPr="00D9348B" w:rsidRDefault="00524720">
            <w:pPr>
              <w:pStyle w:val="TableText"/>
              <w:spacing w:before="40" w:after="40"/>
              <w:jc w:val="center"/>
            </w:pPr>
            <w:r w:rsidRPr="00D9348B">
              <w:t>4.9</w:t>
            </w:r>
          </w:p>
        </w:tc>
        <w:tc>
          <w:tcPr>
            <w:tcW w:w="1857" w:type="dxa"/>
            <w:tcBorders>
              <w:top w:val="single" w:sz="4" w:space="0" w:color="365F91"/>
              <w:left w:val="nil"/>
              <w:bottom w:val="single" w:sz="4" w:space="0" w:color="365F91"/>
              <w:right w:val="nil"/>
            </w:tcBorders>
            <w:hideMark/>
          </w:tcPr>
          <w:p w14:paraId="53F3C4E4" w14:textId="77777777" w:rsidR="00524720" w:rsidRPr="00D9348B" w:rsidRDefault="00524720">
            <w:pPr>
              <w:pStyle w:val="TableText"/>
              <w:spacing w:before="40" w:after="40"/>
              <w:jc w:val="center"/>
            </w:pPr>
            <w:r w:rsidRPr="00D9348B">
              <w:t>163.4</w:t>
            </w:r>
          </w:p>
        </w:tc>
      </w:tr>
      <w:tr w:rsidR="00524720" w:rsidRPr="00D9348B" w14:paraId="71EF7C00" w14:textId="77777777" w:rsidTr="002B5847">
        <w:tc>
          <w:tcPr>
            <w:tcW w:w="1079" w:type="dxa"/>
            <w:tcBorders>
              <w:top w:val="single" w:sz="4" w:space="0" w:color="365F91"/>
              <w:left w:val="nil"/>
              <w:bottom w:val="single" w:sz="4" w:space="0" w:color="365F91"/>
              <w:right w:val="nil"/>
            </w:tcBorders>
            <w:hideMark/>
          </w:tcPr>
          <w:p w14:paraId="138FCDEF" w14:textId="77777777" w:rsidR="00524720" w:rsidRPr="00D9348B" w:rsidRDefault="00524720">
            <w:pPr>
              <w:pStyle w:val="TableTextBold"/>
              <w:spacing w:before="40" w:after="40"/>
              <w:rPr>
                <w:noProof w:val="0"/>
              </w:rPr>
            </w:pPr>
            <w:r w:rsidRPr="00D9348B">
              <w:rPr>
                <w:noProof w:val="0"/>
              </w:rPr>
              <w:t>2018</w:t>
            </w:r>
          </w:p>
        </w:tc>
        <w:tc>
          <w:tcPr>
            <w:tcW w:w="1857" w:type="dxa"/>
            <w:tcBorders>
              <w:top w:val="single" w:sz="4" w:space="0" w:color="365F91"/>
              <w:left w:val="nil"/>
              <w:bottom w:val="single" w:sz="4" w:space="0" w:color="365F91"/>
              <w:right w:val="nil"/>
            </w:tcBorders>
            <w:hideMark/>
          </w:tcPr>
          <w:p w14:paraId="0EDC0DA3" w14:textId="77777777" w:rsidR="00524720" w:rsidRPr="00D9348B" w:rsidRDefault="00524720">
            <w:pPr>
              <w:pStyle w:val="TableText"/>
              <w:spacing w:before="40" w:after="40"/>
              <w:jc w:val="center"/>
            </w:pPr>
            <w:r w:rsidRPr="00D9348B">
              <w:t>72.7</w:t>
            </w:r>
          </w:p>
        </w:tc>
        <w:tc>
          <w:tcPr>
            <w:tcW w:w="1856" w:type="dxa"/>
            <w:tcBorders>
              <w:top w:val="single" w:sz="4" w:space="0" w:color="365F91"/>
              <w:left w:val="nil"/>
              <w:bottom w:val="single" w:sz="4" w:space="0" w:color="365F91"/>
              <w:right w:val="nil"/>
            </w:tcBorders>
            <w:hideMark/>
          </w:tcPr>
          <w:p w14:paraId="2B03E874" w14:textId="77777777" w:rsidR="00524720" w:rsidRPr="00D9348B" w:rsidRDefault="00524720">
            <w:pPr>
              <w:pStyle w:val="TableText"/>
              <w:spacing w:before="40" w:after="40"/>
              <w:jc w:val="center"/>
            </w:pPr>
            <w:r w:rsidRPr="00D9348B">
              <w:t>77.7</w:t>
            </w:r>
          </w:p>
        </w:tc>
        <w:tc>
          <w:tcPr>
            <w:tcW w:w="1856" w:type="dxa"/>
            <w:tcBorders>
              <w:top w:val="single" w:sz="4" w:space="0" w:color="365F91"/>
              <w:left w:val="nil"/>
              <w:bottom w:val="single" w:sz="4" w:space="0" w:color="365F91"/>
              <w:right w:val="nil"/>
            </w:tcBorders>
            <w:hideMark/>
          </w:tcPr>
          <w:p w14:paraId="4FF9737F" w14:textId="77777777" w:rsidR="00524720" w:rsidRPr="00D9348B" w:rsidRDefault="00524720">
            <w:pPr>
              <w:pStyle w:val="TableText"/>
              <w:spacing w:before="40" w:after="40"/>
              <w:jc w:val="center"/>
            </w:pPr>
            <w:r w:rsidRPr="00D9348B">
              <w:t>5.2</w:t>
            </w:r>
          </w:p>
        </w:tc>
        <w:tc>
          <w:tcPr>
            <w:tcW w:w="1857" w:type="dxa"/>
            <w:tcBorders>
              <w:top w:val="single" w:sz="4" w:space="0" w:color="365F91"/>
              <w:left w:val="nil"/>
              <w:bottom w:val="single" w:sz="4" w:space="0" w:color="365F91"/>
              <w:right w:val="nil"/>
            </w:tcBorders>
            <w:hideMark/>
          </w:tcPr>
          <w:p w14:paraId="2FD0A24F" w14:textId="77777777" w:rsidR="00524720" w:rsidRPr="00D9348B" w:rsidRDefault="00524720">
            <w:pPr>
              <w:pStyle w:val="TableText"/>
              <w:spacing w:before="40" w:after="40"/>
              <w:jc w:val="center"/>
            </w:pPr>
            <w:r w:rsidRPr="00D9348B">
              <w:t>155.7</w:t>
            </w:r>
          </w:p>
        </w:tc>
      </w:tr>
    </w:tbl>
    <w:p w14:paraId="0B74FAE6" w14:textId="77777777" w:rsidR="00524720" w:rsidRPr="00D9348B" w:rsidRDefault="00524720" w:rsidP="00524720">
      <w:pPr>
        <w:pStyle w:val="Noteundertable"/>
      </w:pPr>
      <w:r w:rsidRPr="00D9348B">
        <w:rPr>
          <w:b/>
        </w:rPr>
        <w:t>Note:</w:t>
      </w:r>
      <w:r w:rsidRPr="00D9348B">
        <w:t xml:space="preserve"> </w:t>
      </w:r>
      <w:r w:rsidRPr="00D9348B">
        <w:tab/>
        <w:t>TOW = Total organic product in wastewater. Columns may not total due to rounding.</w:t>
      </w:r>
    </w:p>
    <w:p w14:paraId="21C9F670" w14:textId="77777777" w:rsidR="00524720" w:rsidRPr="00D9348B" w:rsidRDefault="00524720" w:rsidP="00524720">
      <w:pPr>
        <w:pStyle w:val="BodyText"/>
      </w:pPr>
      <w:r w:rsidRPr="00D9348B">
        <w:t>Table 7.5.4 reports the activity data for the total nitrogen in effluent from industrial wastewater.</w:t>
      </w:r>
    </w:p>
    <w:p w14:paraId="5BFFF8F5" w14:textId="77777777" w:rsidR="00524720" w:rsidRPr="00D9348B" w:rsidRDefault="00524720" w:rsidP="00524720">
      <w:pPr>
        <w:pStyle w:val="Table"/>
      </w:pPr>
      <w:bookmarkStart w:id="2839" w:name="_Toc5269581"/>
      <w:bookmarkStart w:id="2840" w:name="_Toc32828539"/>
      <w:bookmarkStart w:id="2841" w:name="_Toc32591369"/>
      <w:bookmarkStart w:id="2842" w:name="_Toc36224662"/>
      <w:r w:rsidRPr="00D9348B">
        <w:t xml:space="preserve">Table 7.5.4 </w:t>
      </w:r>
      <w:r w:rsidRPr="00D9348B">
        <w:tab/>
        <w:t>Nitrogen in effluent from industrial wastewater 1990 to </w:t>
      </w:r>
      <w:bookmarkEnd w:id="2839"/>
      <w:r w:rsidRPr="00D9348B">
        <w:t>2018</w:t>
      </w:r>
      <w:bookmarkEnd w:id="2840"/>
      <w:bookmarkEnd w:id="2841"/>
      <w:bookmarkEnd w:id="2842"/>
    </w:p>
    <w:tbl>
      <w:tblPr>
        <w:tblW w:w="8613" w:type="dxa"/>
        <w:tblInd w:w="108" w:type="dxa"/>
        <w:tblLook w:val="04A0" w:firstRow="1" w:lastRow="0" w:firstColumn="1" w:lastColumn="0" w:noHBand="0" w:noVBand="1"/>
      </w:tblPr>
      <w:tblGrid>
        <w:gridCol w:w="925"/>
        <w:gridCol w:w="1590"/>
        <w:gridCol w:w="1548"/>
        <w:gridCol w:w="1616"/>
        <w:gridCol w:w="1358"/>
        <w:gridCol w:w="1576"/>
      </w:tblGrid>
      <w:tr w:rsidR="00524720" w:rsidRPr="00D9348B" w14:paraId="2B6AA840" w14:textId="77777777" w:rsidTr="00D54BA9">
        <w:trPr>
          <w:tblHeader/>
        </w:trPr>
        <w:tc>
          <w:tcPr>
            <w:tcW w:w="925" w:type="dxa"/>
            <w:tcBorders>
              <w:top w:val="single" w:sz="4" w:space="0" w:color="365F91"/>
              <w:left w:val="nil"/>
              <w:bottom w:val="single" w:sz="4" w:space="0" w:color="365F91"/>
              <w:right w:val="nil"/>
            </w:tcBorders>
            <w:shd w:val="clear" w:color="auto" w:fill="365F91"/>
            <w:vAlign w:val="bottom"/>
            <w:hideMark/>
          </w:tcPr>
          <w:p w14:paraId="05FEB9C8" w14:textId="77777777" w:rsidR="00524720" w:rsidRPr="00D9348B" w:rsidRDefault="00524720">
            <w:pPr>
              <w:pStyle w:val="TableTextBold"/>
              <w:spacing w:before="40" w:after="40"/>
              <w:rPr>
                <w:noProof w:val="0"/>
                <w:color w:val="FFFFFF"/>
              </w:rPr>
            </w:pPr>
            <w:r w:rsidRPr="00D9348B">
              <w:rPr>
                <w:noProof w:val="0"/>
                <w:color w:val="FFFFFF"/>
              </w:rPr>
              <w:t>Year</w:t>
            </w:r>
          </w:p>
        </w:tc>
        <w:tc>
          <w:tcPr>
            <w:tcW w:w="1590" w:type="dxa"/>
            <w:tcBorders>
              <w:top w:val="single" w:sz="4" w:space="0" w:color="365F91"/>
              <w:left w:val="nil"/>
              <w:bottom w:val="single" w:sz="4" w:space="0" w:color="365F91"/>
              <w:right w:val="nil"/>
            </w:tcBorders>
            <w:shd w:val="clear" w:color="auto" w:fill="365F91"/>
            <w:vAlign w:val="bottom"/>
            <w:hideMark/>
          </w:tcPr>
          <w:p w14:paraId="1829DAEA" w14:textId="77777777" w:rsidR="00524720" w:rsidRPr="00D9348B" w:rsidRDefault="00524720">
            <w:pPr>
              <w:pStyle w:val="TableTextBold"/>
              <w:spacing w:before="40" w:after="40"/>
              <w:jc w:val="center"/>
              <w:rPr>
                <w:noProof w:val="0"/>
                <w:color w:val="FFFFFF"/>
              </w:rPr>
            </w:pPr>
            <w:r w:rsidRPr="00D9348B">
              <w:rPr>
                <w:noProof w:val="0"/>
                <w:color w:val="FFFFFF"/>
              </w:rPr>
              <w:t xml:space="preserve">Meat industries </w:t>
            </w:r>
            <w:r w:rsidRPr="00D9348B">
              <w:rPr>
                <w:noProof w:val="0"/>
                <w:color w:val="FFFFFF"/>
              </w:rPr>
              <w:br/>
              <w:t>N in effluent (kt)</w:t>
            </w:r>
          </w:p>
        </w:tc>
        <w:tc>
          <w:tcPr>
            <w:tcW w:w="1548" w:type="dxa"/>
            <w:tcBorders>
              <w:top w:val="single" w:sz="4" w:space="0" w:color="365F91"/>
              <w:left w:val="nil"/>
              <w:bottom w:val="single" w:sz="4" w:space="0" w:color="365F91"/>
              <w:right w:val="nil"/>
            </w:tcBorders>
            <w:shd w:val="clear" w:color="auto" w:fill="365F91"/>
            <w:vAlign w:val="bottom"/>
            <w:hideMark/>
          </w:tcPr>
          <w:p w14:paraId="18C011C3" w14:textId="77777777" w:rsidR="00524720" w:rsidRPr="00D9348B" w:rsidRDefault="00524720">
            <w:pPr>
              <w:pStyle w:val="TableTextBold"/>
              <w:spacing w:before="40" w:after="40"/>
              <w:jc w:val="center"/>
              <w:rPr>
                <w:noProof w:val="0"/>
                <w:color w:val="FFFFFF"/>
              </w:rPr>
            </w:pPr>
            <w:r w:rsidRPr="00D9348B">
              <w:rPr>
                <w:noProof w:val="0"/>
                <w:color w:val="FFFFFF"/>
              </w:rPr>
              <w:t>Pulp and paper industry N in effluent (kt)</w:t>
            </w:r>
          </w:p>
        </w:tc>
        <w:tc>
          <w:tcPr>
            <w:tcW w:w="1616" w:type="dxa"/>
            <w:tcBorders>
              <w:top w:val="single" w:sz="4" w:space="0" w:color="365F91"/>
              <w:left w:val="nil"/>
              <w:bottom w:val="single" w:sz="4" w:space="0" w:color="365F91"/>
              <w:right w:val="nil"/>
            </w:tcBorders>
            <w:shd w:val="clear" w:color="auto" w:fill="365F91"/>
            <w:vAlign w:val="bottom"/>
            <w:hideMark/>
          </w:tcPr>
          <w:p w14:paraId="1B7615A6" w14:textId="77777777" w:rsidR="00524720" w:rsidRPr="00D9348B" w:rsidRDefault="00524720">
            <w:pPr>
              <w:pStyle w:val="TableTextBold"/>
              <w:spacing w:before="40" w:after="40"/>
              <w:jc w:val="center"/>
              <w:rPr>
                <w:noProof w:val="0"/>
                <w:color w:val="FFFFFF"/>
              </w:rPr>
            </w:pPr>
            <w:r w:rsidRPr="00D9348B">
              <w:rPr>
                <w:noProof w:val="0"/>
                <w:color w:val="FFFFFF"/>
              </w:rPr>
              <w:t>Dairy processing N in effluent (kt)</w:t>
            </w:r>
          </w:p>
        </w:tc>
        <w:tc>
          <w:tcPr>
            <w:tcW w:w="1358" w:type="dxa"/>
            <w:tcBorders>
              <w:top w:val="single" w:sz="4" w:space="0" w:color="365F91"/>
              <w:left w:val="nil"/>
              <w:bottom w:val="single" w:sz="4" w:space="0" w:color="365F91"/>
              <w:right w:val="nil"/>
            </w:tcBorders>
            <w:shd w:val="clear" w:color="auto" w:fill="365F91"/>
            <w:vAlign w:val="bottom"/>
            <w:hideMark/>
          </w:tcPr>
          <w:p w14:paraId="1C293070" w14:textId="77777777" w:rsidR="00524720" w:rsidRPr="00D9348B" w:rsidRDefault="00524720">
            <w:pPr>
              <w:pStyle w:val="TableTextBold"/>
              <w:spacing w:before="40" w:after="40"/>
              <w:jc w:val="center"/>
              <w:rPr>
                <w:noProof w:val="0"/>
                <w:color w:val="FFFFFF"/>
              </w:rPr>
            </w:pPr>
            <w:r w:rsidRPr="00D9348B">
              <w:rPr>
                <w:noProof w:val="0"/>
                <w:color w:val="FFFFFF"/>
              </w:rPr>
              <w:t>Leather &amp; skins N in effluent (kt)</w:t>
            </w:r>
          </w:p>
        </w:tc>
        <w:tc>
          <w:tcPr>
            <w:tcW w:w="1576" w:type="dxa"/>
            <w:tcBorders>
              <w:top w:val="single" w:sz="4" w:space="0" w:color="365F91"/>
              <w:left w:val="nil"/>
              <w:bottom w:val="single" w:sz="4" w:space="0" w:color="365F91"/>
              <w:right w:val="nil"/>
            </w:tcBorders>
            <w:shd w:val="clear" w:color="auto" w:fill="365F91"/>
            <w:vAlign w:val="bottom"/>
            <w:hideMark/>
          </w:tcPr>
          <w:p w14:paraId="7333F5D4" w14:textId="77777777" w:rsidR="00524720" w:rsidRPr="00D9348B" w:rsidRDefault="00524720">
            <w:pPr>
              <w:pStyle w:val="TableTextBold"/>
              <w:spacing w:before="40" w:after="40"/>
              <w:jc w:val="center"/>
              <w:rPr>
                <w:noProof w:val="0"/>
                <w:color w:val="FFFFFF"/>
              </w:rPr>
            </w:pPr>
            <w:r w:rsidRPr="00D9348B">
              <w:rPr>
                <w:noProof w:val="0"/>
                <w:color w:val="FFFFFF"/>
              </w:rPr>
              <w:t xml:space="preserve">Total industrial </w:t>
            </w:r>
            <w:r w:rsidRPr="00D9348B">
              <w:rPr>
                <w:noProof w:val="0"/>
                <w:color w:val="FFFFFF"/>
              </w:rPr>
              <w:br/>
              <w:t>N in effluent (kt)</w:t>
            </w:r>
          </w:p>
        </w:tc>
      </w:tr>
      <w:tr w:rsidR="00524720" w:rsidRPr="00D9348B" w14:paraId="26C0971E" w14:textId="77777777" w:rsidTr="002B5847">
        <w:tc>
          <w:tcPr>
            <w:tcW w:w="925" w:type="dxa"/>
            <w:tcBorders>
              <w:top w:val="single" w:sz="4" w:space="0" w:color="365F91"/>
              <w:left w:val="nil"/>
              <w:bottom w:val="single" w:sz="4" w:space="0" w:color="365F91"/>
              <w:right w:val="nil"/>
            </w:tcBorders>
            <w:hideMark/>
          </w:tcPr>
          <w:p w14:paraId="35C557D2" w14:textId="77777777" w:rsidR="00524720" w:rsidRPr="00D9348B" w:rsidRDefault="00524720">
            <w:pPr>
              <w:pStyle w:val="TableTextBold"/>
              <w:spacing w:before="40" w:after="40"/>
              <w:rPr>
                <w:noProof w:val="0"/>
              </w:rPr>
            </w:pPr>
            <w:r w:rsidRPr="00D9348B">
              <w:rPr>
                <w:noProof w:val="0"/>
              </w:rPr>
              <w:t>1990</w:t>
            </w:r>
          </w:p>
        </w:tc>
        <w:tc>
          <w:tcPr>
            <w:tcW w:w="1590" w:type="dxa"/>
            <w:tcBorders>
              <w:top w:val="single" w:sz="4" w:space="0" w:color="365F91"/>
              <w:left w:val="nil"/>
              <w:bottom w:val="single" w:sz="4" w:space="0" w:color="365F91"/>
              <w:right w:val="nil"/>
            </w:tcBorders>
            <w:hideMark/>
          </w:tcPr>
          <w:p w14:paraId="6EC6F272" w14:textId="77777777" w:rsidR="00524720" w:rsidRPr="00D9348B" w:rsidRDefault="00524720">
            <w:pPr>
              <w:pStyle w:val="TableText"/>
              <w:spacing w:before="40" w:after="40"/>
              <w:jc w:val="center"/>
              <w:rPr>
                <w:rFonts w:cs="Arial"/>
                <w:szCs w:val="16"/>
              </w:rPr>
            </w:pPr>
            <w:r w:rsidRPr="00D9348B">
              <w:t>1.37</w:t>
            </w:r>
          </w:p>
        </w:tc>
        <w:tc>
          <w:tcPr>
            <w:tcW w:w="1548" w:type="dxa"/>
            <w:tcBorders>
              <w:top w:val="single" w:sz="4" w:space="0" w:color="365F91"/>
              <w:left w:val="nil"/>
              <w:bottom w:val="single" w:sz="4" w:space="0" w:color="365F91"/>
              <w:right w:val="nil"/>
            </w:tcBorders>
            <w:hideMark/>
          </w:tcPr>
          <w:p w14:paraId="614FF37A" w14:textId="77777777" w:rsidR="00524720" w:rsidRPr="00D9348B" w:rsidRDefault="00524720">
            <w:pPr>
              <w:pStyle w:val="TableText"/>
              <w:spacing w:before="40" w:after="40"/>
              <w:jc w:val="center"/>
              <w:rPr>
                <w:rFonts w:cs="Arial"/>
                <w:szCs w:val="16"/>
              </w:rPr>
            </w:pPr>
            <w:r w:rsidRPr="00D9348B">
              <w:t>0.07</w:t>
            </w:r>
          </w:p>
        </w:tc>
        <w:tc>
          <w:tcPr>
            <w:tcW w:w="1616" w:type="dxa"/>
            <w:tcBorders>
              <w:top w:val="single" w:sz="4" w:space="0" w:color="365F91"/>
              <w:left w:val="nil"/>
              <w:bottom w:val="single" w:sz="4" w:space="0" w:color="365F91"/>
              <w:right w:val="nil"/>
            </w:tcBorders>
            <w:hideMark/>
          </w:tcPr>
          <w:p w14:paraId="533C7718" w14:textId="77777777" w:rsidR="00524720" w:rsidRPr="00D9348B" w:rsidRDefault="00524720">
            <w:pPr>
              <w:pStyle w:val="TableText"/>
              <w:spacing w:before="40" w:after="40"/>
              <w:jc w:val="center"/>
              <w:rPr>
                <w:rFonts w:cs="Arial"/>
                <w:szCs w:val="16"/>
              </w:rPr>
            </w:pPr>
            <w:r w:rsidRPr="00D9348B">
              <w:t>0.16</w:t>
            </w:r>
          </w:p>
        </w:tc>
        <w:tc>
          <w:tcPr>
            <w:tcW w:w="1358" w:type="dxa"/>
            <w:tcBorders>
              <w:top w:val="single" w:sz="4" w:space="0" w:color="365F91"/>
              <w:left w:val="nil"/>
              <w:bottom w:val="single" w:sz="4" w:space="0" w:color="365F91"/>
              <w:right w:val="nil"/>
            </w:tcBorders>
            <w:hideMark/>
          </w:tcPr>
          <w:p w14:paraId="51B1C383" w14:textId="77777777" w:rsidR="00524720" w:rsidRPr="00D9348B" w:rsidRDefault="00524720">
            <w:pPr>
              <w:pStyle w:val="TableText"/>
              <w:spacing w:before="40" w:after="40"/>
              <w:jc w:val="center"/>
            </w:pPr>
            <w:r w:rsidRPr="00D9348B">
              <w:t>1.22</w:t>
            </w:r>
          </w:p>
        </w:tc>
        <w:tc>
          <w:tcPr>
            <w:tcW w:w="1576" w:type="dxa"/>
            <w:tcBorders>
              <w:top w:val="single" w:sz="4" w:space="0" w:color="365F91"/>
              <w:left w:val="nil"/>
              <w:bottom w:val="single" w:sz="4" w:space="0" w:color="365F91"/>
              <w:right w:val="nil"/>
            </w:tcBorders>
            <w:hideMark/>
          </w:tcPr>
          <w:p w14:paraId="2BA652BB" w14:textId="77777777" w:rsidR="00524720" w:rsidRPr="00D9348B" w:rsidRDefault="00524720">
            <w:pPr>
              <w:pStyle w:val="TableText"/>
              <w:spacing w:before="40" w:after="40"/>
              <w:jc w:val="center"/>
              <w:rPr>
                <w:rFonts w:cs="Arial"/>
                <w:szCs w:val="16"/>
              </w:rPr>
            </w:pPr>
            <w:r w:rsidRPr="00D9348B">
              <w:t>2.82</w:t>
            </w:r>
          </w:p>
        </w:tc>
      </w:tr>
      <w:tr w:rsidR="00524720" w:rsidRPr="00D9348B" w14:paraId="12E30E56" w14:textId="77777777" w:rsidTr="002B5847">
        <w:tc>
          <w:tcPr>
            <w:tcW w:w="925" w:type="dxa"/>
            <w:tcBorders>
              <w:top w:val="single" w:sz="4" w:space="0" w:color="365F91"/>
              <w:left w:val="nil"/>
              <w:bottom w:val="single" w:sz="4" w:space="0" w:color="365F91"/>
              <w:right w:val="nil"/>
            </w:tcBorders>
            <w:hideMark/>
          </w:tcPr>
          <w:p w14:paraId="457222CE" w14:textId="77777777" w:rsidR="00524720" w:rsidRPr="00D9348B" w:rsidRDefault="00524720">
            <w:pPr>
              <w:pStyle w:val="TableTextBold"/>
              <w:spacing w:before="40" w:after="40"/>
              <w:rPr>
                <w:noProof w:val="0"/>
              </w:rPr>
            </w:pPr>
            <w:r w:rsidRPr="00D9348B">
              <w:rPr>
                <w:noProof w:val="0"/>
              </w:rPr>
              <w:t>1991</w:t>
            </w:r>
          </w:p>
        </w:tc>
        <w:tc>
          <w:tcPr>
            <w:tcW w:w="1590" w:type="dxa"/>
            <w:tcBorders>
              <w:top w:val="single" w:sz="4" w:space="0" w:color="365F91"/>
              <w:left w:val="nil"/>
              <w:bottom w:val="single" w:sz="4" w:space="0" w:color="365F91"/>
              <w:right w:val="nil"/>
            </w:tcBorders>
            <w:hideMark/>
          </w:tcPr>
          <w:p w14:paraId="46AE088F" w14:textId="77777777" w:rsidR="00524720" w:rsidRPr="00D9348B" w:rsidRDefault="00524720">
            <w:pPr>
              <w:pStyle w:val="TableText"/>
              <w:spacing w:before="40" w:after="40"/>
              <w:jc w:val="center"/>
              <w:rPr>
                <w:rFonts w:cs="Arial"/>
                <w:szCs w:val="16"/>
              </w:rPr>
            </w:pPr>
            <w:r w:rsidRPr="00D9348B">
              <w:t>1.45</w:t>
            </w:r>
          </w:p>
        </w:tc>
        <w:tc>
          <w:tcPr>
            <w:tcW w:w="1548" w:type="dxa"/>
            <w:tcBorders>
              <w:top w:val="single" w:sz="4" w:space="0" w:color="365F91"/>
              <w:left w:val="nil"/>
              <w:bottom w:val="single" w:sz="4" w:space="0" w:color="365F91"/>
              <w:right w:val="nil"/>
            </w:tcBorders>
            <w:hideMark/>
          </w:tcPr>
          <w:p w14:paraId="1D8B39FB" w14:textId="77777777" w:rsidR="00524720" w:rsidRPr="00D9348B" w:rsidRDefault="00524720">
            <w:pPr>
              <w:pStyle w:val="TableText"/>
              <w:spacing w:before="40" w:after="40"/>
              <w:jc w:val="center"/>
              <w:rPr>
                <w:rFonts w:cs="Arial"/>
                <w:szCs w:val="16"/>
              </w:rPr>
            </w:pPr>
            <w:r w:rsidRPr="00D9348B">
              <w:t>0.07</w:t>
            </w:r>
          </w:p>
        </w:tc>
        <w:tc>
          <w:tcPr>
            <w:tcW w:w="1616" w:type="dxa"/>
            <w:tcBorders>
              <w:top w:val="single" w:sz="4" w:space="0" w:color="365F91"/>
              <w:left w:val="nil"/>
              <w:bottom w:val="single" w:sz="4" w:space="0" w:color="365F91"/>
              <w:right w:val="nil"/>
            </w:tcBorders>
            <w:hideMark/>
          </w:tcPr>
          <w:p w14:paraId="013C1878" w14:textId="77777777" w:rsidR="00524720" w:rsidRPr="00D9348B" w:rsidRDefault="00524720">
            <w:pPr>
              <w:pStyle w:val="TableText"/>
              <w:spacing w:before="40" w:after="40"/>
              <w:jc w:val="center"/>
              <w:rPr>
                <w:rFonts w:cs="Arial"/>
                <w:szCs w:val="16"/>
              </w:rPr>
            </w:pPr>
            <w:r w:rsidRPr="00D9348B">
              <w:t>0.17</w:t>
            </w:r>
          </w:p>
        </w:tc>
        <w:tc>
          <w:tcPr>
            <w:tcW w:w="1358" w:type="dxa"/>
            <w:tcBorders>
              <w:top w:val="single" w:sz="4" w:space="0" w:color="365F91"/>
              <w:left w:val="nil"/>
              <w:bottom w:val="single" w:sz="4" w:space="0" w:color="365F91"/>
              <w:right w:val="nil"/>
            </w:tcBorders>
            <w:hideMark/>
          </w:tcPr>
          <w:p w14:paraId="7983759A" w14:textId="77777777" w:rsidR="00524720" w:rsidRPr="00D9348B" w:rsidRDefault="00524720">
            <w:pPr>
              <w:pStyle w:val="TableText"/>
              <w:spacing w:before="40" w:after="40"/>
              <w:jc w:val="center"/>
            </w:pPr>
            <w:r w:rsidRPr="00D9348B">
              <w:t>1.22</w:t>
            </w:r>
          </w:p>
        </w:tc>
        <w:tc>
          <w:tcPr>
            <w:tcW w:w="1576" w:type="dxa"/>
            <w:tcBorders>
              <w:top w:val="single" w:sz="4" w:space="0" w:color="365F91"/>
              <w:left w:val="nil"/>
              <w:bottom w:val="single" w:sz="4" w:space="0" w:color="365F91"/>
              <w:right w:val="nil"/>
            </w:tcBorders>
            <w:hideMark/>
          </w:tcPr>
          <w:p w14:paraId="4343961F" w14:textId="77777777" w:rsidR="00524720" w:rsidRPr="00D9348B" w:rsidRDefault="00524720">
            <w:pPr>
              <w:pStyle w:val="TableText"/>
              <w:spacing w:before="40" w:after="40"/>
              <w:jc w:val="center"/>
              <w:rPr>
                <w:rFonts w:cs="Arial"/>
                <w:szCs w:val="16"/>
              </w:rPr>
            </w:pPr>
            <w:r w:rsidRPr="00D9348B">
              <w:t>2.92</w:t>
            </w:r>
          </w:p>
        </w:tc>
      </w:tr>
      <w:tr w:rsidR="00524720" w:rsidRPr="00D9348B" w14:paraId="19BF52DB" w14:textId="77777777" w:rsidTr="002B5847">
        <w:tc>
          <w:tcPr>
            <w:tcW w:w="925" w:type="dxa"/>
            <w:tcBorders>
              <w:top w:val="single" w:sz="4" w:space="0" w:color="365F91"/>
              <w:left w:val="nil"/>
              <w:bottom w:val="single" w:sz="4" w:space="0" w:color="365F91"/>
              <w:right w:val="nil"/>
            </w:tcBorders>
            <w:hideMark/>
          </w:tcPr>
          <w:p w14:paraId="2BA9C260" w14:textId="77777777" w:rsidR="00524720" w:rsidRPr="00D9348B" w:rsidRDefault="00524720">
            <w:pPr>
              <w:pStyle w:val="TableTextBold"/>
              <w:spacing w:before="40" w:after="40"/>
              <w:rPr>
                <w:noProof w:val="0"/>
              </w:rPr>
            </w:pPr>
            <w:r w:rsidRPr="00D9348B">
              <w:rPr>
                <w:noProof w:val="0"/>
              </w:rPr>
              <w:t>1992</w:t>
            </w:r>
          </w:p>
        </w:tc>
        <w:tc>
          <w:tcPr>
            <w:tcW w:w="1590" w:type="dxa"/>
            <w:tcBorders>
              <w:top w:val="single" w:sz="4" w:space="0" w:color="365F91"/>
              <w:left w:val="nil"/>
              <w:bottom w:val="single" w:sz="4" w:space="0" w:color="365F91"/>
              <w:right w:val="nil"/>
            </w:tcBorders>
            <w:hideMark/>
          </w:tcPr>
          <w:p w14:paraId="2A929B24" w14:textId="77777777" w:rsidR="00524720" w:rsidRPr="00D9348B" w:rsidRDefault="00524720">
            <w:pPr>
              <w:pStyle w:val="TableText"/>
              <w:spacing w:before="40" w:after="40"/>
              <w:jc w:val="center"/>
              <w:rPr>
                <w:rFonts w:cs="Arial"/>
                <w:szCs w:val="16"/>
              </w:rPr>
            </w:pPr>
            <w:r w:rsidRPr="00D9348B">
              <w:t>1.58</w:t>
            </w:r>
          </w:p>
        </w:tc>
        <w:tc>
          <w:tcPr>
            <w:tcW w:w="1548" w:type="dxa"/>
            <w:tcBorders>
              <w:top w:val="single" w:sz="4" w:space="0" w:color="365F91"/>
              <w:left w:val="nil"/>
              <w:bottom w:val="single" w:sz="4" w:space="0" w:color="365F91"/>
              <w:right w:val="nil"/>
            </w:tcBorders>
            <w:hideMark/>
          </w:tcPr>
          <w:p w14:paraId="55568BBE" w14:textId="77777777" w:rsidR="00524720" w:rsidRPr="00D9348B" w:rsidRDefault="00524720">
            <w:pPr>
              <w:pStyle w:val="TableText"/>
              <w:spacing w:before="40" w:after="40"/>
              <w:jc w:val="center"/>
              <w:rPr>
                <w:rFonts w:cs="Arial"/>
                <w:szCs w:val="16"/>
              </w:rPr>
            </w:pPr>
            <w:r w:rsidRPr="00D9348B">
              <w:t>0.08</w:t>
            </w:r>
          </w:p>
        </w:tc>
        <w:tc>
          <w:tcPr>
            <w:tcW w:w="1616" w:type="dxa"/>
            <w:tcBorders>
              <w:top w:val="single" w:sz="4" w:space="0" w:color="365F91"/>
              <w:left w:val="nil"/>
              <w:bottom w:val="single" w:sz="4" w:space="0" w:color="365F91"/>
              <w:right w:val="nil"/>
            </w:tcBorders>
            <w:hideMark/>
          </w:tcPr>
          <w:p w14:paraId="743BE5CA" w14:textId="77777777" w:rsidR="00524720" w:rsidRPr="00D9348B" w:rsidRDefault="00524720">
            <w:pPr>
              <w:pStyle w:val="TableText"/>
              <w:spacing w:before="40" w:after="40"/>
              <w:jc w:val="center"/>
              <w:rPr>
                <w:rFonts w:cs="Arial"/>
                <w:szCs w:val="16"/>
              </w:rPr>
            </w:pPr>
            <w:r w:rsidRPr="00D9348B">
              <w:t>0.17</w:t>
            </w:r>
          </w:p>
        </w:tc>
        <w:tc>
          <w:tcPr>
            <w:tcW w:w="1358" w:type="dxa"/>
            <w:tcBorders>
              <w:top w:val="single" w:sz="4" w:space="0" w:color="365F91"/>
              <w:left w:val="nil"/>
              <w:bottom w:val="single" w:sz="4" w:space="0" w:color="365F91"/>
              <w:right w:val="nil"/>
            </w:tcBorders>
            <w:hideMark/>
          </w:tcPr>
          <w:p w14:paraId="38EB7A8F" w14:textId="77777777" w:rsidR="00524720" w:rsidRPr="00D9348B" w:rsidRDefault="00524720">
            <w:pPr>
              <w:pStyle w:val="TableText"/>
              <w:spacing w:before="40" w:after="40"/>
              <w:jc w:val="center"/>
            </w:pPr>
            <w:r w:rsidRPr="00D9348B">
              <w:t>1.22</w:t>
            </w:r>
          </w:p>
        </w:tc>
        <w:tc>
          <w:tcPr>
            <w:tcW w:w="1576" w:type="dxa"/>
            <w:tcBorders>
              <w:top w:val="single" w:sz="4" w:space="0" w:color="365F91"/>
              <w:left w:val="nil"/>
              <w:bottom w:val="single" w:sz="4" w:space="0" w:color="365F91"/>
              <w:right w:val="nil"/>
            </w:tcBorders>
            <w:hideMark/>
          </w:tcPr>
          <w:p w14:paraId="3CC9834F" w14:textId="77777777" w:rsidR="00524720" w:rsidRPr="00D9348B" w:rsidRDefault="00524720">
            <w:pPr>
              <w:pStyle w:val="TableText"/>
              <w:spacing w:before="40" w:after="40"/>
              <w:jc w:val="center"/>
              <w:rPr>
                <w:rFonts w:cs="Arial"/>
                <w:szCs w:val="16"/>
              </w:rPr>
            </w:pPr>
            <w:r w:rsidRPr="00D9348B">
              <w:t>3.05</w:t>
            </w:r>
          </w:p>
        </w:tc>
      </w:tr>
      <w:tr w:rsidR="00524720" w:rsidRPr="00D9348B" w14:paraId="22F3A11E" w14:textId="77777777" w:rsidTr="002B5847">
        <w:tc>
          <w:tcPr>
            <w:tcW w:w="925" w:type="dxa"/>
            <w:tcBorders>
              <w:top w:val="single" w:sz="4" w:space="0" w:color="365F91"/>
              <w:left w:val="nil"/>
              <w:bottom w:val="single" w:sz="4" w:space="0" w:color="365F91"/>
              <w:right w:val="nil"/>
            </w:tcBorders>
            <w:hideMark/>
          </w:tcPr>
          <w:p w14:paraId="5BDA5746" w14:textId="77777777" w:rsidR="00524720" w:rsidRPr="00D9348B" w:rsidRDefault="00524720">
            <w:pPr>
              <w:pStyle w:val="TableTextBold"/>
              <w:spacing w:before="40" w:after="40"/>
              <w:rPr>
                <w:noProof w:val="0"/>
              </w:rPr>
            </w:pPr>
            <w:r w:rsidRPr="00D9348B">
              <w:rPr>
                <w:noProof w:val="0"/>
              </w:rPr>
              <w:t>1993</w:t>
            </w:r>
          </w:p>
        </w:tc>
        <w:tc>
          <w:tcPr>
            <w:tcW w:w="1590" w:type="dxa"/>
            <w:tcBorders>
              <w:top w:val="single" w:sz="4" w:space="0" w:color="365F91"/>
              <w:left w:val="nil"/>
              <w:bottom w:val="single" w:sz="4" w:space="0" w:color="365F91"/>
              <w:right w:val="nil"/>
            </w:tcBorders>
            <w:hideMark/>
          </w:tcPr>
          <w:p w14:paraId="62530FB7" w14:textId="77777777" w:rsidR="00524720" w:rsidRPr="00D9348B" w:rsidRDefault="00524720">
            <w:pPr>
              <w:pStyle w:val="TableText"/>
              <w:spacing w:before="40" w:after="40"/>
              <w:jc w:val="center"/>
            </w:pPr>
            <w:r w:rsidRPr="00D9348B">
              <w:t>1.44</w:t>
            </w:r>
          </w:p>
        </w:tc>
        <w:tc>
          <w:tcPr>
            <w:tcW w:w="1548" w:type="dxa"/>
            <w:tcBorders>
              <w:top w:val="single" w:sz="4" w:space="0" w:color="365F91"/>
              <w:left w:val="nil"/>
              <w:bottom w:val="single" w:sz="4" w:space="0" w:color="365F91"/>
              <w:right w:val="nil"/>
            </w:tcBorders>
            <w:hideMark/>
          </w:tcPr>
          <w:p w14:paraId="278EBFEA" w14:textId="77777777" w:rsidR="00524720" w:rsidRPr="00D9348B" w:rsidRDefault="00524720">
            <w:pPr>
              <w:pStyle w:val="TableText"/>
              <w:spacing w:before="40" w:after="40"/>
              <w:jc w:val="center"/>
            </w:pPr>
            <w:r w:rsidRPr="00D9348B">
              <w:t>0.09</w:t>
            </w:r>
          </w:p>
        </w:tc>
        <w:tc>
          <w:tcPr>
            <w:tcW w:w="1616" w:type="dxa"/>
            <w:tcBorders>
              <w:top w:val="single" w:sz="4" w:space="0" w:color="365F91"/>
              <w:left w:val="nil"/>
              <w:bottom w:val="single" w:sz="4" w:space="0" w:color="365F91"/>
              <w:right w:val="nil"/>
            </w:tcBorders>
            <w:hideMark/>
          </w:tcPr>
          <w:p w14:paraId="2A654515" w14:textId="77777777" w:rsidR="00524720" w:rsidRPr="00D9348B" w:rsidRDefault="00524720">
            <w:pPr>
              <w:pStyle w:val="TableText"/>
              <w:spacing w:before="40" w:after="40"/>
              <w:jc w:val="center"/>
            </w:pPr>
            <w:r w:rsidRPr="00D9348B">
              <w:t>0.19</w:t>
            </w:r>
          </w:p>
        </w:tc>
        <w:tc>
          <w:tcPr>
            <w:tcW w:w="1358" w:type="dxa"/>
            <w:tcBorders>
              <w:top w:val="single" w:sz="4" w:space="0" w:color="365F91"/>
              <w:left w:val="nil"/>
              <w:bottom w:val="single" w:sz="4" w:space="0" w:color="365F91"/>
              <w:right w:val="nil"/>
            </w:tcBorders>
            <w:hideMark/>
          </w:tcPr>
          <w:p w14:paraId="0A17FEA3" w14:textId="77777777" w:rsidR="00524720" w:rsidRPr="00D9348B" w:rsidRDefault="00524720">
            <w:pPr>
              <w:pStyle w:val="TableText"/>
              <w:spacing w:before="40" w:after="40"/>
              <w:jc w:val="center"/>
            </w:pPr>
            <w:r w:rsidRPr="00D9348B">
              <w:t>1.22</w:t>
            </w:r>
          </w:p>
        </w:tc>
        <w:tc>
          <w:tcPr>
            <w:tcW w:w="1576" w:type="dxa"/>
            <w:tcBorders>
              <w:top w:val="single" w:sz="4" w:space="0" w:color="365F91"/>
              <w:left w:val="nil"/>
              <w:bottom w:val="single" w:sz="4" w:space="0" w:color="365F91"/>
              <w:right w:val="nil"/>
            </w:tcBorders>
            <w:hideMark/>
          </w:tcPr>
          <w:p w14:paraId="55907C0B" w14:textId="77777777" w:rsidR="00524720" w:rsidRPr="00D9348B" w:rsidRDefault="00524720">
            <w:pPr>
              <w:pStyle w:val="TableText"/>
              <w:spacing w:before="40" w:after="40"/>
              <w:jc w:val="center"/>
            </w:pPr>
            <w:r w:rsidRPr="00D9348B">
              <w:t>2.95</w:t>
            </w:r>
          </w:p>
        </w:tc>
      </w:tr>
      <w:tr w:rsidR="00524720" w:rsidRPr="00D9348B" w14:paraId="6062ADB1" w14:textId="77777777" w:rsidTr="002B5847">
        <w:tc>
          <w:tcPr>
            <w:tcW w:w="925" w:type="dxa"/>
            <w:tcBorders>
              <w:top w:val="single" w:sz="4" w:space="0" w:color="365F91"/>
              <w:left w:val="nil"/>
              <w:bottom w:val="single" w:sz="4" w:space="0" w:color="365F91"/>
              <w:right w:val="nil"/>
            </w:tcBorders>
            <w:hideMark/>
          </w:tcPr>
          <w:p w14:paraId="7778BDAF" w14:textId="77777777" w:rsidR="00524720" w:rsidRPr="00D9348B" w:rsidRDefault="00524720">
            <w:pPr>
              <w:pStyle w:val="TableTextBold"/>
              <w:spacing w:before="40" w:after="40"/>
              <w:rPr>
                <w:noProof w:val="0"/>
              </w:rPr>
            </w:pPr>
            <w:r w:rsidRPr="00D9348B">
              <w:rPr>
                <w:noProof w:val="0"/>
              </w:rPr>
              <w:t>1994</w:t>
            </w:r>
          </w:p>
        </w:tc>
        <w:tc>
          <w:tcPr>
            <w:tcW w:w="1590" w:type="dxa"/>
            <w:tcBorders>
              <w:top w:val="single" w:sz="4" w:space="0" w:color="365F91"/>
              <w:left w:val="nil"/>
              <w:bottom w:val="single" w:sz="4" w:space="0" w:color="365F91"/>
              <w:right w:val="nil"/>
            </w:tcBorders>
            <w:hideMark/>
          </w:tcPr>
          <w:p w14:paraId="6E11CED8" w14:textId="77777777" w:rsidR="00524720" w:rsidRPr="00D9348B" w:rsidRDefault="00524720">
            <w:pPr>
              <w:pStyle w:val="TableText"/>
              <w:spacing w:before="40" w:after="40"/>
              <w:jc w:val="center"/>
            </w:pPr>
            <w:r w:rsidRPr="00D9348B">
              <w:t>1.50</w:t>
            </w:r>
          </w:p>
        </w:tc>
        <w:tc>
          <w:tcPr>
            <w:tcW w:w="1548" w:type="dxa"/>
            <w:tcBorders>
              <w:top w:val="single" w:sz="4" w:space="0" w:color="365F91"/>
              <w:left w:val="nil"/>
              <w:bottom w:val="single" w:sz="4" w:space="0" w:color="365F91"/>
              <w:right w:val="nil"/>
            </w:tcBorders>
            <w:hideMark/>
          </w:tcPr>
          <w:p w14:paraId="3C392071" w14:textId="77777777" w:rsidR="00524720" w:rsidRPr="00D9348B" w:rsidRDefault="00524720">
            <w:pPr>
              <w:pStyle w:val="TableText"/>
              <w:spacing w:before="40" w:after="40"/>
              <w:jc w:val="center"/>
            </w:pPr>
            <w:r w:rsidRPr="00D9348B">
              <w:t>0.10</w:t>
            </w:r>
          </w:p>
        </w:tc>
        <w:tc>
          <w:tcPr>
            <w:tcW w:w="1616" w:type="dxa"/>
            <w:tcBorders>
              <w:top w:val="single" w:sz="4" w:space="0" w:color="365F91"/>
              <w:left w:val="nil"/>
              <w:bottom w:val="single" w:sz="4" w:space="0" w:color="365F91"/>
              <w:right w:val="nil"/>
            </w:tcBorders>
            <w:hideMark/>
          </w:tcPr>
          <w:p w14:paraId="769E5F25" w14:textId="77777777" w:rsidR="00524720" w:rsidRPr="00D9348B" w:rsidRDefault="00524720">
            <w:pPr>
              <w:pStyle w:val="TableText"/>
              <w:spacing w:before="40" w:after="40"/>
              <w:jc w:val="center"/>
            </w:pPr>
            <w:r w:rsidRPr="00D9348B">
              <w:t>0.19</w:t>
            </w:r>
          </w:p>
        </w:tc>
        <w:tc>
          <w:tcPr>
            <w:tcW w:w="1358" w:type="dxa"/>
            <w:tcBorders>
              <w:top w:val="single" w:sz="4" w:space="0" w:color="365F91"/>
              <w:left w:val="nil"/>
              <w:bottom w:val="single" w:sz="4" w:space="0" w:color="365F91"/>
              <w:right w:val="nil"/>
            </w:tcBorders>
            <w:hideMark/>
          </w:tcPr>
          <w:p w14:paraId="34B51550" w14:textId="77777777" w:rsidR="00524720" w:rsidRPr="00D9348B" w:rsidRDefault="00524720">
            <w:pPr>
              <w:pStyle w:val="TableText"/>
              <w:spacing w:before="40" w:after="40"/>
              <w:jc w:val="center"/>
            </w:pPr>
            <w:r w:rsidRPr="00D9348B">
              <w:t>1.22</w:t>
            </w:r>
          </w:p>
        </w:tc>
        <w:tc>
          <w:tcPr>
            <w:tcW w:w="1576" w:type="dxa"/>
            <w:tcBorders>
              <w:top w:val="single" w:sz="4" w:space="0" w:color="365F91"/>
              <w:left w:val="nil"/>
              <w:bottom w:val="single" w:sz="4" w:space="0" w:color="365F91"/>
              <w:right w:val="nil"/>
            </w:tcBorders>
            <w:hideMark/>
          </w:tcPr>
          <w:p w14:paraId="21FF761B" w14:textId="77777777" w:rsidR="00524720" w:rsidRPr="00D9348B" w:rsidRDefault="00524720">
            <w:pPr>
              <w:pStyle w:val="TableText"/>
              <w:spacing w:before="40" w:after="40"/>
              <w:jc w:val="center"/>
            </w:pPr>
            <w:r w:rsidRPr="00D9348B">
              <w:t>3.02</w:t>
            </w:r>
          </w:p>
        </w:tc>
      </w:tr>
      <w:tr w:rsidR="00524720" w:rsidRPr="00D9348B" w14:paraId="3FC5D9C2" w14:textId="77777777" w:rsidTr="002B5847">
        <w:tc>
          <w:tcPr>
            <w:tcW w:w="925" w:type="dxa"/>
            <w:tcBorders>
              <w:top w:val="single" w:sz="4" w:space="0" w:color="365F91"/>
              <w:left w:val="nil"/>
              <w:bottom w:val="single" w:sz="4" w:space="0" w:color="365F91"/>
              <w:right w:val="nil"/>
            </w:tcBorders>
            <w:hideMark/>
          </w:tcPr>
          <w:p w14:paraId="44AE4EDE" w14:textId="77777777" w:rsidR="00524720" w:rsidRPr="00D9348B" w:rsidRDefault="00524720">
            <w:pPr>
              <w:pStyle w:val="TableTextBold"/>
              <w:spacing w:before="40" w:after="40"/>
              <w:rPr>
                <w:noProof w:val="0"/>
              </w:rPr>
            </w:pPr>
            <w:r w:rsidRPr="00D9348B">
              <w:rPr>
                <w:noProof w:val="0"/>
              </w:rPr>
              <w:t>1995</w:t>
            </w:r>
          </w:p>
        </w:tc>
        <w:tc>
          <w:tcPr>
            <w:tcW w:w="1590" w:type="dxa"/>
            <w:tcBorders>
              <w:top w:val="single" w:sz="4" w:space="0" w:color="365F91"/>
              <w:left w:val="nil"/>
              <w:bottom w:val="single" w:sz="4" w:space="0" w:color="365F91"/>
              <w:right w:val="nil"/>
            </w:tcBorders>
            <w:hideMark/>
          </w:tcPr>
          <w:p w14:paraId="6E14863E" w14:textId="77777777" w:rsidR="00524720" w:rsidRPr="00D9348B" w:rsidRDefault="00524720">
            <w:pPr>
              <w:pStyle w:val="TableText"/>
              <w:spacing w:before="40" w:after="40"/>
              <w:jc w:val="center"/>
            </w:pPr>
            <w:r w:rsidRPr="00D9348B">
              <w:t>1.56</w:t>
            </w:r>
          </w:p>
        </w:tc>
        <w:tc>
          <w:tcPr>
            <w:tcW w:w="1548" w:type="dxa"/>
            <w:tcBorders>
              <w:top w:val="single" w:sz="4" w:space="0" w:color="365F91"/>
              <w:left w:val="nil"/>
              <w:bottom w:val="single" w:sz="4" w:space="0" w:color="365F91"/>
              <w:right w:val="nil"/>
            </w:tcBorders>
            <w:hideMark/>
          </w:tcPr>
          <w:p w14:paraId="246EF26F" w14:textId="77777777" w:rsidR="00524720" w:rsidRPr="00D9348B" w:rsidRDefault="00524720">
            <w:pPr>
              <w:pStyle w:val="TableText"/>
              <w:spacing w:before="40" w:after="40"/>
              <w:jc w:val="center"/>
            </w:pPr>
            <w:r w:rsidRPr="00D9348B">
              <w:t>0.11</w:t>
            </w:r>
          </w:p>
        </w:tc>
        <w:tc>
          <w:tcPr>
            <w:tcW w:w="1616" w:type="dxa"/>
            <w:tcBorders>
              <w:top w:val="single" w:sz="4" w:space="0" w:color="365F91"/>
              <w:left w:val="nil"/>
              <w:bottom w:val="single" w:sz="4" w:space="0" w:color="365F91"/>
              <w:right w:val="nil"/>
            </w:tcBorders>
            <w:hideMark/>
          </w:tcPr>
          <w:p w14:paraId="4F57542E" w14:textId="77777777" w:rsidR="00524720" w:rsidRPr="00D9348B" w:rsidRDefault="00524720">
            <w:pPr>
              <w:pStyle w:val="TableText"/>
              <w:spacing w:before="40" w:after="40"/>
              <w:jc w:val="center"/>
            </w:pPr>
            <w:r w:rsidRPr="00D9348B">
              <w:t>0.21</w:t>
            </w:r>
          </w:p>
        </w:tc>
        <w:tc>
          <w:tcPr>
            <w:tcW w:w="1358" w:type="dxa"/>
            <w:tcBorders>
              <w:top w:val="single" w:sz="4" w:space="0" w:color="365F91"/>
              <w:left w:val="nil"/>
              <w:bottom w:val="single" w:sz="4" w:space="0" w:color="365F91"/>
              <w:right w:val="nil"/>
            </w:tcBorders>
            <w:hideMark/>
          </w:tcPr>
          <w:p w14:paraId="644549F7" w14:textId="77777777" w:rsidR="00524720" w:rsidRPr="00D9348B" w:rsidRDefault="00524720">
            <w:pPr>
              <w:pStyle w:val="TableText"/>
              <w:spacing w:before="40" w:after="40"/>
              <w:jc w:val="center"/>
            </w:pPr>
            <w:r w:rsidRPr="00D9348B">
              <w:t>1.22</w:t>
            </w:r>
          </w:p>
        </w:tc>
        <w:tc>
          <w:tcPr>
            <w:tcW w:w="1576" w:type="dxa"/>
            <w:tcBorders>
              <w:top w:val="single" w:sz="4" w:space="0" w:color="365F91"/>
              <w:left w:val="nil"/>
              <w:bottom w:val="single" w:sz="4" w:space="0" w:color="365F91"/>
              <w:right w:val="nil"/>
            </w:tcBorders>
            <w:hideMark/>
          </w:tcPr>
          <w:p w14:paraId="51338017" w14:textId="77777777" w:rsidR="00524720" w:rsidRPr="00D9348B" w:rsidRDefault="00524720">
            <w:pPr>
              <w:pStyle w:val="TableText"/>
              <w:spacing w:before="40" w:after="40"/>
              <w:jc w:val="center"/>
            </w:pPr>
            <w:r w:rsidRPr="00D9348B">
              <w:t>3.10</w:t>
            </w:r>
          </w:p>
        </w:tc>
      </w:tr>
      <w:tr w:rsidR="00524720" w:rsidRPr="00D9348B" w14:paraId="4C429E97" w14:textId="77777777" w:rsidTr="002B5847">
        <w:tc>
          <w:tcPr>
            <w:tcW w:w="925" w:type="dxa"/>
            <w:tcBorders>
              <w:top w:val="single" w:sz="4" w:space="0" w:color="365F91"/>
              <w:left w:val="nil"/>
              <w:bottom w:val="single" w:sz="4" w:space="0" w:color="365F91"/>
              <w:right w:val="nil"/>
            </w:tcBorders>
            <w:hideMark/>
          </w:tcPr>
          <w:p w14:paraId="243FB46E" w14:textId="77777777" w:rsidR="00524720" w:rsidRPr="00D9348B" w:rsidRDefault="00524720">
            <w:pPr>
              <w:pStyle w:val="TableTextBold"/>
              <w:spacing w:before="40" w:after="40"/>
              <w:rPr>
                <w:noProof w:val="0"/>
              </w:rPr>
            </w:pPr>
            <w:r w:rsidRPr="00D9348B">
              <w:rPr>
                <w:noProof w:val="0"/>
              </w:rPr>
              <w:t>1996</w:t>
            </w:r>
          </w:p>
        </w:tc>
        <w:tc>
          <w:tcPr>
            <w:tcW w:w="1590" w:type="dxa"/>
            <w:tcBorders>
              <w:top w:val="single" w:sz="4" w:space="0" w:color="365F91"/>
              <w:left w:val="nil"/>
              <w:bottom w:val="single" w:sz="4" w:space="0" w:color="365F91"/>
              <w:right w:val="nil"/>
            </w:tcBorders>
            <w:hideMark/>
          </w:tcPr>
          <w:p w14:paraId="3AF9A858" w14:textId="77777777" w:rsidR="00524720" w:rsidRPr="00D9348B" w:rsidRDefault="00524720">
            <w:pPr>
              <w:pStyle w:val="TableText"/>
              <w:spacing w:before="40" w:after="40"/>
              <w:jc w:val="center"/>
            </w:pPr>
            <w:r w:rsidRPr="00D9348B">
              <w:t>1.59</w:t>
            </w:r>
          </w:p>
        </w:tc>
        <w:tc>
          <w:tcPr>
            <w:tcW w:w="1548" w:type="dxa"/>
            <w:tcBorders>
              <w:top w:val="single" w:sz="4" w:space="0" w:color="365F91"/>
              <w:left w:val="nil"/>
              <w:bottom w:val="single" w:sz="4" w:space="0" w:color="365F91"/>
              <w:right w:val="nil"/>
            </w:tcBorders>
            <w:hideMark/>
          </w:tcPr>
          <w:p w14:paraId="16BBFD48" w14:textId="77777777" w:rsidR="00524720" w:rsidRPr="00D9348B" w:rsidRDefault="00524720">
            <w:pPr>
              <w:pStyle w:val="TableText"/>
              <w:spacing w:before="40" w:after="40"/>
              <w:jc w:val="center"/>
            </w:pPr>
            <w:r w:rsidRPr="00D9348B">
              <w:t>0.11</w:t>
            </w:r>
          </w:p>
        </w:tc>
        <w:tc>
          <w:tcPr>
            <w:tcW w:w="1616" w:type="dxa"/>
            <w:tcBorders>
              <w:top w:val="single" w:sz="4" w:space="0" w:color="365F91"/>
              <w:left w:val="nil"/>
              <w:bottom w:val="single" w:sz="4" w:space="0" w:color="365F91"/>
              <w:right w:val="nil"/>
            </w:tcBorders>
            <w:hideMark/>
          </w:tcPr>
          <w:p w14:paraId="44F0674E" w14:textId="77777777" w:rsidR="00524720" w:rsidRPr="00D9348B" w:rsidRDefault="00524720">
            <w:pPr>
              <w:pStyle w:val="TableText"/>
              <w:spacing w:before="40" w:after="40"/>
              <w:jc w:val="center"/>
            </w:pPr>
            <w:r w:rsidRPr="00D9348B">
              <w:t>0.23</w:t>
            </w:r>
          </w:p>
        </w:tc>
        <w:tc>
          <w:tcPr>
            <w:tcW w:w="1358" w:type="dxa"/>
            <w:tcBorders>
              <w:top w:val="single" w:sz="4" w:space="0" w:color="365F91"/>
              <w:left w:val="nil"/>
              <w:bottom w:val="single" w:sz="4" w:space="0" w:color="365F91"/>
              <w:right w:val="nil"/>
            </w:tcBorders>
            <w:hideMark/>
          </w:tcPr>
          <w:p w14:paraId="55B8055C" w14:textId="77777777" w:rsidR="00524720" w:rsidRPr="00D9348B" w:rsidRDefault="00524720">
            <w:pPr>
              <w:pStyle w:val="TableText"/>
              <w:spacing w:before="40" w:after="40"/>
              <w:jc w:val="center"/>
            </w:pPr>
            <w:r w:rsidRPr="00D9348B">
              <w:t>1.22</w:t>
            </w:r>
          </w:p>
        </w:tc>
        <w:tc>
          <w:tcPr>
            <w:tcW w:w="1576" w:type="dxa"/>
            <w:tcBorders>
              <w:top w:val="single" w:sz="4" w:space="0" w:color="365F91"/>
              <w:left w:val="nil"/>
              <w:bottom w:val="single" w:sz="4" w:space="0" w:color="365F91"/>
              <w:right w:val="nil"/>
            </w:tcBorders>
            <w:hideMark/>
          </w:tcPr>
          <w:p w14:paraId="0FB27517" w14:textId="77777777" w:rsidR="00524720" w:rsidRPr="00D9348B" w:rsidRDefault="00524720">
            <w:pPr>
              <w:pStyle w:val="TableText"/>
              <w:spacing w:before="40" w:after="40"/>
              <w:jc w:val="center"/>
            </w:pPr>
            <w:r w:rsidRPr="00D9348B">
              <w:t>3.15</w:t>
            </w:r>
          </w:p>
        </w:tc>
      </w:tr>
      <w:tr w:rsidR="00524720" w:rsidRPr="00D9348B" w14:paraId="61EDB43A" w14:textId="77777777" w:rsidTr="002B5847">
        <w:tc>
          <w:tcPr>
            <w:tcW w:w="925" w:type="dxa"/>
            <w:tcBorders>
              <w:top w:val="single" w:sz="4" w:space="0" w:color="365F91"/>
              <w:left w:val="nil"/>
              <w:bottom w:val="single" w:sz="4" w:space="0" w:color="365F91"/>
              <w:right w:val="nil"/>
            </w:tcBorders>
            <w:hideMark/>
          </w:tcPr>
          <w:p w14:paraId="32CAD947" w14:textId="77777777" w:rsidR="00524720" w:rsidRPr="00D9348B" w:rsidRDefault="00524720">
            <w:pPr>
              <w:pStyle w:val="TableTextBold"/>
              <w:spacing w:before="40" w:after="40"/>
              <w:rPr>
                <w:noProof w:val="0"/>
              </w:rPr>
            </w:pPr>
            <w:r w:rsidRPr="00D9348B">
              <w:rPr>
                <w:noProof w:val="0"/>
              </w:rPr>
              <w:t>1997</w:t>
            </w:r>
          </w:p>
        </w:tc>
        <w:tc>
          <w:tcPr>
            <w:tcW w:w="1590" w:type="dxa"/>
            <w:tcBorders>
              <w:top w:val="single" w:sz="4" w:space="0" w:color="365F91"/>
              <w:left w:val="nil"/>
              <w:bottom w:val="single" w:sz="4" w:space="0" w:color="365F91"/>
              <w:right w:val="nil"/>
            </w:tcBorders>
            <w:hideMark/>
          </w:tcPr>
          <w:p w14:paraId="2AFE4B24" w14:textId="77777777" w:rsidR="00524720" w:rsidRPr="00D9348B" w:rsidRDefault="00524720">
            <w:pPr>
              <w:pStyle w:val="TableText"/>
              <w:spacing w:before="40" w:after="40"/>
              <w:jc w:val="center"/>
            </w:pPr>
            <w:r w:rsidRPr="00D9348B">
              <w:t>1.61</w:t>
            </w:r>
          </w:p>
        </w:tc>
        <w:tc>
          <w:tcPr>
            <w:tcW w:w="1548" w:type="dxa"/>
            <w:tcBorders>
              <w:top w:val="single" w:sz="4" w:space="0" w:color="365F91"/>
              <w:left w:val="nil"/>
              <w:bottom w:val="single" w:sz="4" w:space="0" w:color="365F91"/>
              <w:right w:val="nil"/>
            </w:tcBorders>
            <w:hideMark/>
          </w:tcPr>
          <w:p w14:paraId="78956F74" w14:textId="77777777" w:rsidR="00524720" w:rsidRPr="00D9348B" w:rsidRDefault="00524720">
            <w:pPr>
              <w:pStyle w:val="TableText"/>
              <w:spacing w:before="40" w:after="40"/>
              <w:jc w:val="center"/>
            </w:pPr>
            <w:r w:rsidRPr="00D9348B">
              <w:t>0.11</w:t>
            </w:r>
          </w:p>
        </w:tc>
        <w:tc>
          <w:tcPr>
            <w:tcW w:w="1616" w:type="dxa"/>
            <w:tcBorders>
              <w:top w:val="single" w:sz="4" w:space="0" w:color="365F91"/>
              <w:left w:val="nil"/>
              <w:bottom w:val="single" w:sz="4" w:space="0" w:color="365F91"/>
              <w:right w:val="nil"/>
            </w:tcBorders>
            <w:hideMark/>
          </w:tcPr>
          <w:p w14:paraId="17E1AB01" w14:textId="77777777" w:rsidR="00524720" w:rsidRPr="00D9348B" w:rsidRDefault="00524720">
            <w:pPr>
              <w:pStyle w:val="TableText"/>
              <w:spacing w:before="40" w:after="40"/>
              <w:jc w:val="center"/>
            </w:pPr>
            <w:r w:rsidRPr="00D9348B">
              <w:t>0.24</w:t>
            </w:r>
          </w:p>
        </w:tc>
        <w:tc>
          <w:tcPr>
            <w:tcW w:w="1358" w:type="dxa"/>
            <w:tcBorders>
              <w:top w:val="single" w:sz="4" w:space="0" w:color="365F91"/>
              <w:left w:val="nil"/>
              <w:bottom w:val="single" w:sz="4" w:space="0" w:color="365F91"/>
              <w:right w:val="nil"/>
            </w:tcBorders>
            <w:hideMark/>
          </w:tcPr>
          <w:p w14:paraId="476A1490" w14:textId="77777777" w:rsidR="00524720" w:rsidRPr="00D9348B" w:rsidRDefault="00524720">
            <w:pPr>
              <w:pStyle w:val="TableText"/>
              <w:spacing w:before="40" w:after="40"/>
              <w:jc w:val="center"/>
            </w:pPr>
            <w:r w:rsidRPr="00D9348B">
              <w:t>1.22</w:t>
            </w:r>
          </w:p>
        </w:tc>
        <w:tc>
          <w:tcPr>
            <w:tcW w:w="1576" w:type="dxa"/>
            <w:tcBorders>
              <w:top w:val="single" w:sz="4" w:space="0" w:color="365F91"/>
              <w:left w:val="nil"/>
              <w:bottom w:val="single" w:sz="4" w:space="0" w:color="365F91"/>
              <w:right w:val="nil"/>
            </w:tcBorders>
            <w:hideMark/>
          </w:tcPr>
          <w:p w14:paraId="4BA3B1ED" w14:textId="77777777" w:rsidR="00524720" w:rsidRPr="00D9348B" w:rsidRDefault="00524720">
            <w:pPr>
              <w:pStyle w:val="TableText"/>
              <w:spacing w:before="40" w:after="40"/>
              <w:jc w:val="center"/>
            </w:pPr>
            <w:r w:rsidRPr="00D9348B">
              <w:t>3.18</w:t>
            </w:r>
          </w:p>
        </w:tc>
      </w:tr>
      <w:tr w:rsidR="00524720" w:rsidRPr="00D9348B" w14:paraId="0467DCEE" w14:textId="77777777" w:rsidTr="002B5847">
        <w:tc>
          <w:tcPr>
            <w:tcW w:w="925" w:type="dxa"/>
            <w:tcBorders>
              <w:top w:val="single" w:sz="4" w:space="0" w:color="365F91"/>
              <w:left w:val="nil"/>
              <w:bottom w:val="single" w:sz="4" w:space="0" w:color="365F91"/>
              <w:right w:val="nil"/>
            </w:tcBorders>
            <w:hideMark/>
          </w:tcPr>
          <w:p w14:paraId="7727FAD2" w14:textId="77777777" w:rsidR="00524720" w:rsidRPr="00D9348B" w:rsidRDefault="00524720">
            <w:pPr>
              <w:pStyle w:val="TableTextBold"/>
              <w:spacing w:before="40" w:after="40"/>
              <w:rPr>
                <w:noProof w:val="0"/>
              </w:rPr>
            </w:pPr>
            <w:r w:rsidRPr="00D9348B">
              <w:rPr>
                <w:noProof w:val="0"/>
              </w:rPr>
              <w:t>1998</w:t>
            </w:r>
          </w:p>
        </w:tc>
        <w:tc>
          <w:tcPr>
            <w:tcW w:w="1590" w:type="dxa"/>
            <w:tcBorders>
              <w:top w:val="single" w:sz="4" w:space="0" w:color="365F91"/>
              <w:left w:val="nil"/>
              <w:bottom w:val="single" w:sz="4" w:space="0" w:color="365F91"/>
              <w:right w:val="nil"/>
            </w:tcBorders>
            <w:hideMark/>
          </w:tcPr>
          <w:p w14:paraId="53CE3DC1" w14:textId="77777777" w:rsidR="00524720" w:rsidRPr="00D9348B" w:rsidRDefault="00524720">
            <w:pPr>
              <w:pStyle w:val="TableText"/>
              <w:spacing w:before="40" w:after="40"/>
              <w:jc w:val="center"/>
            </w:pPr>
            <w:r w:rsidRPr="00D9348B">
              <w:t>1.65</w:t>
            </w:r>
          </w:p>
        </w:tc>
        <w:tc>
          <w:tcPr>
            <w:tcW w:w="1548" w:type="dxa"/>
            <w:tcBorders>
              <w:top w:val="single" w:sz="4" w:space="0" w:color="365F91"/>
              <w:left w:val="nil"/>
              <w:bottom w:val="single" w:sz="4" w:space="0" w:color="365F91"/>
              <w:right w:val="nil"/>
            </w:tcBorders>
            <w:hideMark/>
          </w:tcPr>
          <w:p w14:paraId="2A23EB82" w14:textId="77777777" w:rsidR="00524720" w:rsidRPr="00D9348B" w:rsidRDefault="00524720">
            <w:pPr>
              <w:pStyle w:val="TableText"/>
              <w:spacing w:before="40" w:after="40"/>
              <w:jc w:val="center"/>
            </w:pPr>
            <w:r w:rsidRPr="00D9348B">
              <w:t>0.12</w:t>
            </w:r>
          </w:p>
        </w:tc>
        <w:tc>
          <w:tcPr>
            <w:tcW w:w="1616" w:type="dxa"/>
            <w:tcBorders>
              <w:top w:val="single" w:sz="4" w:space="0" w:color="365F91"/>
              <w:left w:val="nil"/>
              <w:bottom w:val="single" w:sz="4" w:space="0" w:color="365F91"/>
              <w:right w:val="nil"/>
            </w:tcBorders>
            <w:hideMark/>
          </w:tcPr>
          <w:p w14:paraId="3F0E9E43" w14:textId="77777777" w:rsidR="00524720" w:rsidRPr="00D9348B" w:rsidRDefault="00524720">
            <w:pPr>
              <w:pStyle w:val="TableText"/>
              <w:spacing w:before="40" w:after="40"/>
              <w:jc w:val="center"/>
            </w:pPr>
            <w:r w:rsidRPr="00D9348B">
              <w:t>0.24</w:t>
            </w:r>
          </w:p>
        </w:tc>
        <w:tc>
          <w:tcPr>
            <w:tcW w:w="1358" w:type="dxa"/>
            <w:tcBorders>
              <w:top w:val="single" w:sz="4" w:space="0" w:color="365F91"/>
              <w:left w:val="nil"/>
              <w:bottom w:val="single" w:sz="4" w:space="0" w:color="365F91"/>
              <w:right w:val="nil"/>
            </w:tcBorders>
            <w:hideMark/>
          </w:tcPr>
          <w:p w14:paraId="2EDA477C" w14:textId="77777777" w:rsidR="00524720" w:rsidRPr="00D9348B" w:rsidRDefault="00524720">
            <w:pPr>
              <w:pStyle w:val="TableText"/>
              <w:spacing w:before="40" w:after="40"/>
              <w:jc w:val="center"/>
            </w:pPr>
            <w:r w:rsidRPr="00D9348B">
              <w:t>1.22</w:t>
            </w:r>
          </w:p>
        </w:tc>
        <w:tc>
          <w:tcPr>
            <w:tcW w:w="1576" w:type="dxa"/>
            <w:tcBorders>
              <w:top w:val="single" w:sz="4" w:space="0" w:color="365F91"/>
              <w:left w:val="nil"/>
              <w:bottom w:val="single" w:sz="4" w:space="0" w:color="365F91"/>
              <w:right w:val="nil"/>
            </w:tcBorders>
            <w:hideMark/>
          </w:tcPr>
          <w:p w14:paraId="06F51D0B" w14:textId="77777777" w:rsidR="00524720" w:rsidRPr="00D9348B" w:rsidRDefault="00524720">
            <w:pPr>
              <w:pStyle w:val="TableText"/>
              <w:spacing w:before="40" w:after="40"/>
              <w:jc w:val="center"/>
            </w:pPr>
            <w:r w:rsidRPr="00D9348B">
              <w:t>3.23</w:t>
            </w:r>
          </w:p>
        </w:tc>
      </w:tr>
      <w:tr w:rsidR="00524720" w:rsidRPr="00D9348B" w14:paraId="25330644" w14:textId="77777777" w:rsidTr="002B5847">
        <w:tc>
          <w:tcPr>
            <w:tcW w:w="925" w:type="dxa"/>
            <w:tcBorders>
              <w:top w:val="single" w:sz="4" w:space="0" w:color="365F91"/>
              <w:left w:val="nil"/>
              <w:bottom w:val="single" w:sz="4" w:space="0" w:color="365F91"/>
              <w:right w:val="nil"/>
            </w:tcBorders>
            <w:hideMark/>
          </w:tcPr>
          <w:p w14:paraId="1F935734" w14:textId="77777777" w:rsidR="00524720" w:rsidRPr="00D9348B" w:rsidRDefault="00524720">
            <w:pPr>
              <w:pStyle w:val="TableTextBold"/>
              <w:spacing w:before="40" w:after="40"/>
              <w:rPr>
                <w:noProof w:val="0"/>
              </w:rPr>
            </w:pPr>
            <w:r w:rsidRPr="00D9348B">
              <w:rPr>
                <w:noProof w:val="0"/>
              </w:rPr>
              <w:t>1999</w:t>
            </w:r>
          </w:p>
        </w:tc>
        <w:tc>
          <w:tcPr>
            <w:tcW w:w="1590" w:type="dxa"/>
            <w:tcBorders>
              <w:top w:val="single" w:sz="4" w:space="0" w:color="365F91"/>
              <w:left w:val="nil"/>
              <w:bottom w:val="single" w:sz="4" w:space="0" w:color="365F91"/>
              <w:right w:val="nil"/>
            </w:tcBorders>
            <w:hideMark/>
          </w:tcPr>
          <w:p w14:paraId="728516F7" w14:textId="77777777" w:rsidR="00524720" w:rsidRPr="00D9348B" w:rsidRDefault="00524720">
            <w:pPr>
              <w:pStyle w:val="TableText"/>
              <w:spacing w:before="40" w:after="40"/>
              <w:jc w:val="center"/>
            </w:pPr>
            <w:r w:rsidRPr="00D9348B">
              <w:t>1.46</w:t>
            </w:r>
          </w:p>
        </w:tc>
        <w:tc>
          <w:tcPr>
            <w:tcW w:w="1548" w:type="dxa"/>
            <w:tcBorders>
              <w:top w:val="single" w:sz="4" w:space="0" w:color="365F91"/>
              <w:left w:val="nil"/>
              <w:bottom w:val="single" w:sz="4" w:space="0" w:color="365F91"/>
              <w:right w:val="nil"/>
            </w:tcBorders>
            <w:hideMark/>
          </w:tcPr>
          <w:p w14:paraId="76CF00F5" w14:textId="77777777" w:rsidR="00524720" w:rsidRPr="00D9348B" w:rsidRDefault="00524720">
            <w:pPr>
              <w:pStyle w:val="TableText"/>
              <w:spacing w:before="40" w:after="40"/>
              <w:jc w:val="center"/>
            </w:pPr>
            <w:r w:rsidRPr="00D9348B">
              <w:t>0.13</w:t>
            </w:r>
          </w:p>
        </w:tc>
        <w:tc>
          <w:tcPr>
            <w:tcW w:w="1616" w:type="dxa"/>
            <w:tcBorders>
              <w:top w:val="single" w:sz="4" w:space="0" w:color="365F91"/>
              <w:left w:val="nil"/>
              <w:bottom w:val="single" w:sz="4" w:space="0" w:color="365F91"/>
              <w:right w:val="nil"/>
            </w:tcBorders>
            <w:hideMark/>
          </w:tcPr>
          <w:p w14:paraId="7E64A153" w14:textId="77777777" w:rsidR="00524720" w:rsidRPr="00D9348B" w:rsidRDefault="00524720">
            <w:pPr>
              <w:pStyle w:val="TableText"/>
              <w:spacing w:before="40" w:after="40"/>
              <w:jc w:val="center"/>
            </w:pPr>
            <w:r w:rsidRPr="00D9348B">
              <w:t>0.26</w:t>
            </w:r>
          </w:p>
        </w:tc>
        <w:tc>
          <w:tcPr>
            <w:tcW w:w="1358" w:type="dxa"/>
            <w:tcBorders>
              <w:top w:val="single" w:sz="4" w:space="0" w:color="365F91"/>
              <w:left w:val="nil"/>
              <w:bottom w:val="single" w:sz="4" w:space="0" w:color="365F91"/>
              <w:right w:val="nil"/>
            </w:tcBorders>
            <w:hideMark/>
          </w:tcPr>
          <w:p w14:paraId="758DE3C3" w14:textId="77777777" w:rsidR="00524720" w:rsidRPr="00D9348B" w:rsidRDefault="00524720">
            <w:pPr>
              <w:pStyle w:val="TableText"/>
              <w:spacing w:before="40" w:after="40"/>
              <w:jc w:val="center"/>
            </w:pPr>
            <w:r w:rsidRPr="00D9348B">
              <w:t>1.22</w:t>
            </w:r>
          </w:p>
        </w:tc>
        <w:tc>
          <w:tcPr>
            <w:tcW w:w="1576" w:type="dxa"/>
            <w:tcBorders>
              <w:top w:val="single" w:sz="4" w:space="0" w:color="365F91"/>
              <w:left w:val="nil"/>
              <w:bottom w:val="single" w:sz="4" w:space="0" w:color="365F91"/>
              <w:right w:val="nil"/>
            </w:tcBorders>
            <w:hideMark/>
          </w:tcPr>
          <w:p w14:paraId="5F679E5C" w14:textId="77777777" w:rsidR="00524720" w:rsidRPr="00D9348B" w:rsidRDefault="00524720">
            <w:pPr>
              <w:pStyle w:val="TableText"/>
              <w:spacing w:before="40" w:after="40"/>
              <w:jc w:val="center"/>
            </w:pPr>
            <w:r w:rsidRPr="00D9348B">
              <w:t>3.07</w:t>
            </w:r>
          </w:p>
        </w:tc>
      </w:tr>
      <w:tr w:rsidR="00524720" w:rsidRPr="00D9348B" w14:paraId="490897FA" w14:textId="77777777" w:rsidTr="002B5847">
        <w:tc>
          <w:tcPr>
            <w:tcW w:w="925" w:type="dxa"/>
            <w:tcBorders>
              <w:top w:val="single" w:sz="4" w:space="0" w:color="365F91"/>
              <w:left w:val="nil"/>
              <w:bottom w:val="single" w:sz="4" w:space="0" w:color="365F91"/>
              <w:right w:val="nil"/>
            </w:tcBorders>
            <w:hideMark/>
          </w:tcPr>
          <w:p w14:paraId="31842630" w14:textId="77777777" w:rsidR="00524720" w:rsidRPr="00D9348B" w:rsidRDefault="00524720">
            <w:pPr>
              <w:pStyle w:val="TableTextBold"/>
              <w:spacing w:before="40" w:after="40"/>
              <w:rPr>
                <w:noProof w:val="0"/>
              </w:rPr>
            </w:pPr>
            <w:r w:rsidRPr="00D9348B">
              <w:rPr>
                <w:noProof w:val="0"/>
              </w:rPr>
              <w:t>2000</w:t>
            </w:r>
          </w:p>
        </w:tc>
        <w:tc>
          <w:tcPr>
            <w:tcW w:w="1590" w:type="dxa"/>
            <w:tcBorders>
              <w:top w:val="single" w:sz="4" w:space="0" w:color="365F91"/>
              <w:left w:val="nil"/>
              <w:bottom w:val="single" w:sz="4" w:space="0" w:color="365F91"/>
              <w:right w:val="nil"/>
            </w:tcBorders>
            <w:hideMark/>
          </w:tcPr>
          <w:p w14:paraId="35B9BDDB" w14:textId="77777777" w:rsidR="00524720" w:rsidRPr="00D9348B" w:rsidRDefault="00524720">
            <w:pPr>
              <w:pStyle w:val="TableText"/>
              <w:spacing w:before="40" w:after="40"/>
              <w:jc w:val="center"/>
            </w:pPr>
            <w:r w:rsidRPr="00D9348B">
              <w:t>1.56</w:t>
            </w:r>
          </w:p>
        </w:tc>
        <w:tc>
          <w:tcPr>
            <w:tcW w:w="1548" w:type="dxa"/>
            <w:tcBorders>
              <w:top w:val="single" w:sz="4" w:space="0" w:color="365F91"/>
              <w:left w:val="nil"/>
              <w:bottom w:val="single" w:sz="4" w:space="0" w:color="365F91"/>
              <w:right w:val="nil"/>
            </w:tcBorders>
            <w:hideMark/>
          </w:tcPr>
          <w:p w14:paraId="31B539CD" w14:textId="77777777" w:rsidR="00524720" w:rsidRPr="00D9348B" w:rsidRDefault="00524720">
            <w:pPr>
              <w:pStyle w:val="TableText"/>
              <w:spacing w:before="40" w:after="40"/>
              <w:jc w:val="center"/>
            </w:pPr>
            <w:r w:rsidRPr="00D9348B">
              <w:t>0.14</w:t>
            </w:r>
          </w:p>
        </w:tc>
        <w:tc>
          <w:tcPr>
            <w:tcW w:w="1616" w:type="dxa"/>
            <w:tcBorders>
              <w:top w:val="single" w:sz="4" w:space="0" w:color="365F91"/>
              <w:left w:val="nil"/>
              <w:bottom w:val="single" w:sz="4" w:space="0" w:color="365F91"/>
              <w:right w:val="nil"/>
            </w:tcBorders>
            <w:hideMark/>
          </w:tcPr>
          <w:p w14:paraId="10772CA4" w14:textId="77777777" w:rsidR="00524720" w:rsidRPr="00D9348B" w:rsidRDefault="00524720">
            <w:pPr>
              <w:pStyle w:val="TableText"/>
              <w:spacing w:before="40" w:after="40"/>
              <w:jc w:val="center"/>
            </w:pPr>
            <w:r w:rsidRPr="00D9348B">
              <w:t>0.29</w:t>
            </w:r>
          </w:p>
        </w:tc>
        <w:tc>
          <w:tcPr>
            <w:tcW w:w="1358" w:type="dxa"/>
            <w:tcBorders>
              <w:top w:val="single" w:sz="4" w:space="0" w:color="365F91"/>
              <w:left w:val="nil"/>
              <w:bottom w:val="single" w:sz="4" w:space="0" w:color="365F91"/>
              <w:right w:val="nil"/>
            </w:tcBorders>
            <w:hideMark/>
          </w:tcPr>
          <w:p w14:paraId="46F847C6" w14:textId="77777777" w:rsidR="00524720" w:rsidRPr="00D9348B" w:rsidRDefault="00524720">
            <w:pPr>
              <w:pStyle w:val="TableText"/>
              <w:spacing w:before="40" w:after="40"/>
              <w:jc w:val="center"/>
            </w:pPr>
            <w:r w:rsidRPr="00D9348B">
              <w:t>1.22</w:t>
            </w:r>
          </w:p>
        </w:tc>
        <w:tc>
          <w:tcPr>
            <w:tcW w:w="1576" w:type="dxa"/>
            <w:tcBorders>
              <w:top w:val="single" w:sz="4" w:space="0" w:color="365F91"/>
              <w:left w:val="nil"/>
              <w:bottom w:val="single" w:sz="4" w:space="0" w:color="365F91"/>
              <w:right w:val="nil"/>
            </w:tcBorders>
            <w:hideMark/>
          </w:tcPr>
          <w:p w14:paraId="3DE6599C" w14:textId="77777777" w:rsidR="00524720" w:rsidRPr="00D9348B" w:rsidRDefault="00524720">
            <w:pPr>
              <w:pStyle w:val="TableText"/>
              <w:spacing w:before="40" w:after="40"/>
              <w:jc w:val="center"/>
            </w:pPr>
            <w:r w:rsidRPr="00D9348B">
              <w:t>3.21</w:t>
            </w:r>
          </w:p>
        </w:tc>
      </w:tr>
      <w:tr w:rsidR="00524720" w:rsidRPr="00D9348B" w14:paraId="5A58B476" w14:textId="77777777" w:rsidTr="002B5847">
        <w:tc>
          <w:tcPr>
            <w:tcW w:w="925" w:type="dxa"/>
            <w:tcBorders>
              <w:top w:val="single" w:sz="4" w:space="0" w:color="365F91"/>
              <w:left w:val="nil"/>
              <w:bottom w:val="single" w:sz="4" w:space="0" w:color="365F91"/>
              <w:right w:val="nil"/>
            </w:tcBorders>
            <w:hideMark/>
          </w:tcPr>
          <w:p w14:paraId="69BB37A5" w14:textId="77777777" w:rsidR="00524720" w:rsidRPr="00D9348B" w:rsidRDefault="00524720">
            <w:pPr>
              <w:pStyle w:val="TableTextBold"/>
              <w:spacing w:before="40" w:after="40"/>
              <w:rPr>
                <w:noProof w:val="0"/>
              </w:rPr>
            </w:pPr>
            <w:r w:rsidRPr="00D9348B">
              <w:rPr>
                <w:noProof w:val="0"/>
              </w:rPr>
              <w:t>2001</w:t>
            </w:r>
          </w:p>
        </w:tc>
        <w:tc>
          <w:tcPr>
            <w:tcW w:w="1590" w:type="dxa"/>
            <w:tcBorders>
              <w:top w:val="single" w:sz="4" w:space="0" w:color="365F91"/>
              <w:left w:val="nil"/>
              <w:bottom w:val="single" w:sz="4" w:space="0" w:color="365F91"/>
              <w:right w:val="nil"/>
            </w:tcBorders>
            <w:hideMark/>
          </w:tcPr>
          <w:p w14:paraId="4E52AF60" w14:textId="77777777" w:rsidR="00524720" w:rsidRPr="00D9348B" w:rsidRDefault="00524720">
            <w:pPr>
              <w:pStyle w:val="TableText"/>
              <w:spacing w:before="40" w:after="40"/>
              <w:jc w:val="center"/>
            </w:pPr>
            <w:r w:rsidRPr="00D9348B">
              <w:t>1.60</w:t>
            </w:r>
          </w:p>
        </w:tc>
        <w:tc>
          <w:tcPr>
            <w:tcW w:w="1548" w:type="dxa"/>
            <w:tcBorders>
              <w:top w:val="single" w:sz="4" w:space="0" w:color="365F91"/>
              <w:left w:val="nil"/>
              <w:bottom w:val="single" w:sz="4" w:space="0" w:color="365F91"/>
              <w:right w:val="nil"/>
            </w:tcBorders>
            <w:hideMark/>
          </w:tcPr>
          <w:p w14:paraId="551EC812" w14:textId="77777777" w:rsidR="00524720" w:rsidRPr="00D9348B" w:rsidRDefault="00524720">
            <w:pPr>
              <w:pStyle w:val="TableText"/>
              <w:spacing w:before="40" w:after="40"/>
              <w:jc w:val="center"/>
            </w:pPr>
            <w:r w:rsidRPr="00D9348B">
              <w:t>0.14</w:t>
            </w:r>
          </w:p>
        </w:tc>
        <w:tc>
          <w:tcPr>
            <w:tcW w:w="1616" w:type="dxa"/>
            <w:tcBorders>
              <w:top w:val="single" w:sz="4" w:space="0" w:color="365F91"/>
              <w:left w:val="nil"/>
              <w:bottom w:val="single" w:sz="4" w:space="0" w:color="365F91"/>
              <w:right w:val="nil"/>
            </w:tcBorders>
            <w:hideMark/>
          </w:tcPr>
          <w:p w14:paraId="18EE3E59" w14:textId="77777777" w:rsidR="00524720" w:rsidRPr="00D9348B" w:rsidRDefault="00524720">
            <w:pPr>
              <w:pStyle w:val="TableText"/>
              <w:spacing w:before="40" w:after="40"/>
              <w:jc w:val="center"/>
            </w:pPr>
            <w:r w:rsidRPr="00D9348B">
              <w:t>0.31</w:t>
            </w:r>
          </w:p>
        </w:tc>
        <w:tc>
          <w:tcPr>
            <w:tcW w:w="1358" w:type="dxa"/>
            <w:tcBorders>
              <w:top w:val="single" w:sz="4" w:space="0" w:color="365F91"/>
              <w:left w:val="nil"/>
              <w:bottom w:val="single" w:sz="4" w:space="0" w:color="365F91"/>
              <w:right w:val="nil"/>
            </w:tcBorders>
            <w:hideMark/>
          </w:tcPr>
          <w:p w14:paraId="06DA8DB7" w14:textId="77777777" w:rsidR="00524720" w:rsidRPr="00D9348B" w:rsidRDefault="00524720">
            <w:pPr>
              <w:pStyle w:val="TableText"/>
              <w:spacing w:before="40" w:after="40"/>
              <w:jc w:val="center"/>
            </w:pPr>
            <w:r w:rsidRPr="00D9348B">
              <w:t>1.22</w:t>
            </w:r>
          </w:p>
        </w:tc>
        <w:tc>
          <w:tcPr>
            <w:tcW w:w="1576" w:type="dxa"/>
            <w:tcBorders>
              <w:top w:val="single" w:sz="4" w:space="0" w:color="365F91"/>
              <w:left w:val="nil"/>
              <w:bottom w:val="single" w:sz="4" w:space="0" w:color="365F91"/>
              <w:right w:val="nil"/>
            </w:tcBorders>
            <w:hideMark/>
          </w:tcPr>
          <w:p w14:paraId="097B4D7F" w14:textId="77777777" w:rsidR="00524720" w:rsidRPr="00D9348B" w:rsidRDefault="00524720">
            <w:pPr>
              <w:pStyle w:val="TableText"/>
              <w:spacing w:before="40" w:after="40"/>
              <w:jc w:val="center"/>
            </w:pPr>
            <w:r w:rsidRPr="00D9348B">
              <w:t>3.28</w:t>
            </w:r>
          </w:p>
        </w:tc>
      </w:tr>
      <w:tr w:rsidR="00524720" w:rsidRPr="00D9348B" w14:paraId="00541771" w14:textId="77777777" w:rsidTr="002B5847">
        <w:tc>
          <w:tcPr>
            <w:tcW w:w="925" w:type="dxa"/>
            <w:tcBorders>
              <w:top w:val="single" w:sz="4" w:space="0" w:color="365F91"/>
              <w:left w:val="nil"/>
              <w:bottom w:val="single" w:sz="4" w:space="0" w:color="365F91"/>
              <w:right w:val="nil"/>
            </w:tcBorders>
            <w:hideMark/>
          </w:tcPr>
          <w:p w14:paraId="180FFCF8" w14:textId="77777777" w:rsidR="00524720" w:rsidRPr="00D9348B" w:rsidRDefault="00524720">
            <w:pPr>
              <w:pStyle w:val="TableTextBold"/>
              <w:spacing w:before="40" w:after="40"/>
              <w:rPr>
                <w:noProof w:val="0"/>
              </w:rPr>
            </w:pPr>
            <w:r w:rsidRPr="00D9348B">
              <w:rPr>
                <w:noProof w:val="0"/>
              </w:rPr>
              <w:t>2002</w:t>
            </w:r>
          </w:p>
        </w:tc>
        <w:tc>
          <w:tcPr>
            <w:tcW w:w="1590" w:type="dxa"/>
            <w:tcBorders>
              <w:top w:val="single" w:sz="4" w:space="0" w:color="365F91"/>
              <w:left w:val="nil"/>
              <w:bottom w:val="single" w:sz="4" w:space="0" w:color="365F91"/>
              <w:right w:val="nil"/>
            </w:tcBorders>
            <w:hideMark/>
          </w:tcPr>
          <w:p w14:paraId="3868715D" w14:textId="77777777" w:rsidR="00524720" w:rsidRPr="00D9348B" w:rsidRDefault="00524720">
            <w:pPr>
              <w:pStyle w:val="TableText"/>
              <w:spacing w:before="40" w:after="40"/>
              <w:jc w:val="center"/>
            </w:pPr>
            <w:r w:rsidRPr="00D9348B">
              <w:t>1.51</w:t>
            </w:r>
          </w:p>
        </w:tc>
        <w:tc>
          <w:tcPr>
            <w:tcW w:w="1548" w:type="dxa"/>
            <w:tcBorders>
              <w:top w:val="single" w:sz="4" w:space="0" w:color="365F91"/>
              <w:left w:val="nil"/>
              <w:bottom w:val="single" w:sz="4" w:space="0" w:color="365F91"/>
              <w:right w:val="nil"/>
            </w:tcBorders>
            <w:hideMark/>
          </w:tcPr>
          <w:p w14:paraId="19D1CA43" w14:textId="77777777" w:rsidR="00524720" w:rsidRPr="00D9348B" w:rsidRDefault="00524720">
            <w:pPr>
              <w:pStyle w:val="TableText"/>
              <w:spacing w:before="40" w:after="40"/>
              <w:jc w:val="center"/>
            </w:pPr>
            <w:r w:rsidRPr="00D9348B">
              <w:t>0.16</w:t>
            </w:r>
          </w:p>
        </w:tc>
        <w:tc>
          <w:tcPr>
            <w:tcW w:w="1616" w:type="dxa"/>
            <w:tcBorders>
              <w:top w:val="single" w:sz="4" w:space="0" w:color="365F91"/>
              <w:left w:val="nil"/>
              <w:bottom w:val="single" w:sz="4" w:space="0" w:color="365F91"/>
              <w:right w:val="nil"/>
            </w:tcBorders>
            <w:hideMark/>
          </w:tcPr>
          <w:p w14:paraId="20493F23" w14:textId="77777777" w:rsidR="00524720" w:rsidRPr="00D9348B" w:rsidRDefault="00524720">
            <w:pPr>
              <w:pStyle w:val="TableText"/>
              <w:spacing w:before="40" w:after="40"/>
              <w:jc w:val="center"/>
            </w:pPr>
            <w:r w:rsidRPr="00D9348B">
              <w:t>0.31</w:t>
            </w:r>
          </w:p>
        </w:tc>
        <w:tc>
          <w:tcPr>
            <w:tcW w:w="1358" w:type="dxa"/>
            <w:tcBorders>
              <w:top w:val="single" w:sz="4" w:space="0" w:color="365F91"/>
              <w:left w:val="nil"/>
              <w:bottom w:val="single" w:sz="4" w:space="0" w:color="365F91"/>
              <w:right w:val="nil"/>
            </w:tcBorders>
            <w:hideMark/>
          </w:tcPr>
          <w:p w14:paraId="3507F08A" w14:textId="77777777" w:rsidR="00524720" w:rsidRPr="00D9348B" w:rsidRDefault="00524720">
            <w:pPr>
              <w:pStyle w:val="TableText"/>
              <w:spacing w:before="40" w:after="40"/>
              <w:jc w:val="center"/>
            </w:pPr>
            <w:r w:rsidRPr="00D9348B">
              <w:t>0.61</w:t>
            </w:r>
          </w:p>
        </w:tc>
        <w:tc>
          <w:tcPr>
            <w:tcW w:w="1576" w:type="dxa"/>
            <w:tcBorders>
              <w:top w:val="single" w:sz="4" w:space="0" w:color="365F91"/>
              <w:left w:val="nil"/>
              <w:bottom w:val="single" w:sz="4" w:space="0" w:color="365F91"/>
              <w:right w:val="nil"/>
            </w:tcBorders>
            <w:hideMark/>
          </w:tcPr>
          <w:p w14:paraId="0CA3BB46" w14:textId="77777777" w:rsidR="00524720" w:rsidRPr="00D9348B" w:rsidRDefault="00524720">
            <w:pPr>
              <w:pStyle w:val="TableText"/>
              <w:spacing w:before="40" w:after="40"/>
              <w:jc w:val="center"/>
            </w:pPr>
            <w:r w:rsidRPr="00D9348B">
              <w:t>2.60</w:t>
            </w:r>
          </w:p>
        </w:tc>
      </w:tr>
      <w:tr w:rsidR="00524720" w:rsidRPr="00D9348B" w14:paraId="496595F9" w14:textId="77777777" w:rsidTr="002B5847">
        <w:tc>
          <w:tcPr>
            <w:tcW w:w="925" w:type="dxa"/>
            <w:tcBorders>
              <w:top w:val="single" w:sz="4" w:space="0" w:color="365F91"/>
              <w:left w:val="nil"/>
              <w:bottom w:val="single" w:sz="4" w:space="0" w:color="365F91"/>
              <w:right w:val="nil"/>
            </w:tcBorders>
            <w:hideMark/>
          </w:tcPr>
          <w:p w14:paraId="35140791" w14:textId="77777777" w:rsidR="00524720" w:rsidRPr="00D9348B" w:rsidRDefault="00524720">
            <w:pPr>
              <w:pStyle w:val="TableTextBold"/>
              <w:spacing w:before="40" w:after="40"/>
              <w:rPr>
                <w:noProof w:val="0"/>
              </w:rPr>
            </w:pPr>
            <w:r w:rsidRPr="00D9348B">
              <w:rPr>
                <w:noProof w:val="0"/>
              </w:rPr>
              <w:t>2003</w:t>
            </w:r>
          </w:p>
        </w:tc>
        <w:tc>
          <w:tcPr>
            <w:tcW w:w="1590" w:type="dxa"/>
            <w:tcBorders>
              <w:top w:val="single" w:sz="4" w:space="0" w:color="365F91"/>
              <w:left w:val="nil"/>
              <w:bottom w:val="single" w:sz="4" w:space="0" w:color="365F91"/>
              <w:right w:val="nil"/>
            </w:tcBorders>
            <w:hideMark/>
          </w:tcPr>
          <w:p w14:paraId="5C732463" w14:textId="77777777" w:rsidR="00524720" w:rsidRPr="00D9348B" w:rsidRDefault="00524720">
            <w:pPr>
              <w:pStyle w:val="TableText"/>
              <w:spacing w:before="40" w:after="40"/>
              <w:jc w:val="center"/>
            </w:pPr>
            <w:r w:rsidRPr="00D9348B">
              <w:t>1.63</w:t>
            </w:r>
          </w:p>
        </w:tc>
        <w:tc>
          <w:tcPr>
            <w:tcW w:w="1548" w:type="dxa"/>
            <w:tcBorders>
              <w:top w:val="single" w:sz="4" w:space="0" w:color="365F91"/>
              <w:left w:val="nil"/>
              <w:bottom w:val="single" w:sz="4" w:space="0" w:color="365F91"/>
              <w:right w:val="nil"/>
            </w:tcBorders>
            <w:hideMark/>
          </w:tcPr>
          <w:p w14:paraId="4847C29B" w14:textId="77777777" w:rsidR="00524720" w:rsidRPr="00D9348B" w:rsidRDefault="00524720">
            <w:pPr>
              <w:pStyle w:val="TableText"/>
              <w:spacing w:before="40" w:after="40"/>
              <w:jc w:val="center"/>
            </w:pPr>
            <w:r w:rsidRPr="00D9348B">
              <w:t>0.17</w:t>
            </w:r>
          </w:p>
        </w:tc>
        <w:tc>
          <w:tcPr>
            <w:tcW w:w="1616" w:type="dxa"/>
            <w:tcBorders>
              <w:top w:val="single" w:sz="4" w:space="0" w:color="365F91"/>
              <w:left w:val="nil"/>
              <w:bottom w:val="single" w:sz="4" w:space="0" w:color="365F91"/>
              <w:right w:val="nil"/>
            </w:tcBorders>
            <w:hideMark/>
          </w:tcPr>
          <w:p w14:paraId="04018995" w14:textId="77777777" w:rsidR="00524720" w:rsidRPr="00D9348B" w:rsidRDefault="00524720">
            <w:pPr>
              <w:pStyle w:val="TableText"/>
              <w:spacing w:before="40" w:after="40"/>
              <w:jc w:val="center"/>
            </w:pPr>
            <w:r w:rsidRPr="00D9348B">
              <w:t>0.33</w:t>
            </w:r>
          </w:p>
        </w:tc>
        <w:tc>
          <w:tcPr>
            <w:tcW w:w="1358" w:type="dxa"/>
            <w:tcBorders>
              <w:top w:val="single" w:sz="4" w:space="0" w:color="365F91"/>
              <w:left w:val="nil"/>
              <w:bottom w:val="single" w:sz="4" w:space="0" w:color="365F91"/>
              <w:right w:val="nil"/>
            </w:tcBorders>
            <w:hideMark/>
          </w:tcPr>
          <w:p w14:paraId="4A07C15D" w14:textId="77777777" w:rsidR="00524720" w:rsidRPr="00D9348B" w:rsidRDefault="00524720">
            <w:pPr>
              <w:pStyle w:val="TableText"/>
              <w:spacing w:before="40" w:after="40"/>
              <w:jc w:val="center"/>
            </w:pPr>
            <w:r w:rsidRPr="00D9348B">
              <w:t>0.61</w:t>
            </w:r>
          </w:p>
        </w:tc>
        <w:tc>
          <w:tcPr>
            <w:tcW w:w="1576" w:type="dxa"/>
            <w:tcBorders>
              <w:top w:val="single" w:sz="4" w:space="0" w:color="365F91"/>
              <w:left w:val="nil"/>
              <w:bottom w:val="single" w:sz="4" w:space="0" w:color="365F91"/>
              <w:right w:val="nil"/>
            </w:tcBorders>
            <w:hideMark/>
          </w:tcPr>
          <w:p w14:paraId="2691FB62" w14:textId="77777777" w:rsidR="00524720" w:rsidRPr="00D9348B" w:rsidRDefault="00524720">
            <w:pPr>
              <w:pStyle w:val="TableText"/>
              <w:spacing w:before="40" w:after="40"/>
              <w:jc w:val="center"/>
            </w:pPr>
            <w:r w:rsidRPr="00D9348B">
              <w:t>2.75</w:t>
            </w:r>
          </w:p>
        </w:tc>
      </w:tr>
      <w:tr w:rsidR="00524720" w:rsidRPr="00D9348B" w14:paraId="348E34DD" w14:textId="77777777" w:rsidTr="002B5847">
        <w:tc>
          <w:tcPr>
            <w:tcW w:w="925" w:type="dxa"/>
            <w:tcBorders>
              <w:top w:val="single" w:sz="4" w:space="0" w:color="365F91"/>
              <w:left w:val="nil"/>
              <w:bottom w:val="single" w:sz="4" w:space="0" w:color="365F91"/>
              <w:right w:val="nil"/>
            </w:tcBorders>
            <w:hideMark/>
          </w:tcPr>
          <w:p w14:paraId="59375436" w14:textId="77777777" w:rsidR="00524720" w:rsidRPr="00D9348B" w:rsidRDefault="00524720">
            <w:pPr>
              <w:pStyle w:val="TableTextBold"/>
              <w:spacing w:before="40" w:after="40"/>
              <w:rPr>
                <w:noProof w:val="0"/>
              </w:rPr>
            </w:pPr>
            <w:r w:rsidRPr="00D9348B">
              <w:rPr>
                <w:noProof w:val="0"/>
              </w:rPr>
              <w:t>2004</w:t>
            </w:r>
          </w:p>
        </w:tc>
        <w:tc>
          <w:tcPr>
            <w:tcW w:w="1590" w:type="dxa"/>
            <w:tcBorders>
              <w:top w:val="single" w:sz="4" w:space="0" w:color="365F91"/>
              <w:left w:val="nil"/>
              <w:bottom w:val="single" w:sz="4" w:space="0" w:color="365F91"/>
              <w:right w:val="nil"/>
            </w:tcBorders>
            <w:hideMark/>
          </w:tcPr>
          <w:p w14:paraId="3AA684E4" w14:textId="77777777" w:rsidR="00524720" w:rsidRPr="00D9348B" w:rsidRDefault="00524720">
            <w:pPr>
              <w:pStyle w:val="TableText"/>
              <w:spacing w:before="40" w:after="40"/>
              <w:jc w:val="center"/>
            </w:pPr>
            <w:r w:rsidRPr="00D9348B">
              <w:t>1.71</w:t>
            </w:r>
          </w:p>
        </w:tc>
        <w:tc>
          <w:tcPr>
            <w:tcW w:w="1548" w:type="dxa"/>
            <w:tcBorders>
              <w:top w:val="single" w:sz="4" w:space="0" w:color="365F91"/>
              <w:left w:val="nil"/>
              <w:bottom w:val="single" w:sz="4" w:space="0" w:color="365F91"/>
              <w:right w:val="nil"/>
            </w:tcBorders>
            <w:hideMark/>
          </w:tcPr>
          <w:p w14:paraId="21450089" w14:textId="77777777" w:rsidR="00524720" w:rsidRPr="00D9348B" w:rsidRDefault="00524720">
            <w:pPr>
              <w:pStyle w:val="TableText"/>
              <w:spacing w:before="40" w:after="40"/>
              <w:jc w:val="center"/>
            </w:pPr>
            <w:r w:rsidRPr="00D9348B">
              <w:t>0.19</w:t>
            </w:r>
          </w:p>
        </w:tc>
        <w:tc>
          <w:tcPr>
            <w:tcW w:w="1616" w:type="dxa"/>
            <w:tcBorders>
              <w:top w:val="single" w:sz="4" w:space="0" w:color="365F91"/>
              <w:left w:val="nil"/>
              <w:bottom w:val="single" w:sz="4" w:space="0" w:color="365F91"/>
              <w:right w:val="nil"/>
            </w:tcBorders>
            <w:hideMark/>
          </w:tcPr>
          <w:p w14:paraId="6F325C36" w14:textId="77777777" w:rsidR="00524720" w:rsidRPr="00D9348B" w:rsidRDefault="00524720">
            <w:pPr>
              <w:pStyle w:val="TableText"/>
              <w:spacing w:before="40" w:after="40"/>
              <w:jc w:val="center"/>
            </w:pPr>
            <w:r w:rsidRPr="00D9348B">
              <w:t>0.32</w:t>
            </w:r>
          </w:p>
        </w:tc>
        <w:tc>
          <w:tcPr>
            <w:tcW w:w="1358" w:type="dxa"/>
            <w:tcBorders>
              <w:top w:val="single" w:sz="4" w:space="0" w:color="365F91"/>
              <w:left w:val="nil"/>
              <w:bottom w:val="single" w:sz="4" w:space="0" w:color="365F91"/>
              <w:right w:val="nil"/>
            </w:tcBorders>
            <w:hideMark/>
          </w:tcPr>
          <w:p w14:paraId="7A0878A7" w14:textId="77777777" w:rsidR="00524720" w:rsidRPr="00D9348B" w:rsidRDefault="00524720">
            <w:pPr>
              <w:pStyle w:val="TableText"/>
              <w:spacing w:before="40" w:after="40"/>
              <w:jc w:val="center"/>
            </w:pPr>
            <w:r w:rsidRPr="00D9348B">
              <w:t>0.61</w:t>
            </w:r>
          </w:p>
        </w:tc>
        <w:tc>
          <w:tcPr>
            <w:tcW w:w="1576" w:type="dxa"/>
            <w:tcBorders>
              <w:top w:val="single" w:sz="4" w:space="0" w:color="365F91"/>
              <w:left w:val="nil"/>
              <w:bottom w:val="single" w:sz="4" w:space="0" w:color="365F91"/>
              <w:right w:val="nil"/>
            </w:tcBorders>
            <w:hideMark/>
          </w:tcPr>
          <w:p w14:paraId="32099462" w14:textId="77777777" w:rsidR="00524720" w:rsidRPr="00D9348B" w:rsidRDefault="00524720">
            <w:pPr>
              <w:pStyle w:val="TableText"/>
              <w:spacing w:before="40" w:after="40"/>
              <w:jc w:val="center"/>
            </w:pPr>
            <w:r w:rsidRPr="00D9348B">
              <w:t>2.83</w:t>
            </w:r>
          </w:p>
        </w:tc>
      </w:tr>
      <w:tr w:rsidR="00524720" w:rsidRPr="00D9348B" w14:paraId="273341CA" w14:textId="77777777" w:rsidTr="002B5847">
        <w:tc>
          <w:tcPr>
            <w:tcW w:w="925" w:type="dxa"/>
            <w:tcBorders>
              <w:top w:val="single" w:sz="4" w:space="0" w:color="365F91"/>
              <w:left w:val="nil"/>
              <w:bottom w:val="single" w:sz="4" w:space="0" w:color="365F91"/>
              <w:right w:val="nil"/>
            </w:tcBorders>
            <w:hideMark/>
          </w:tcPr>
          <w:p w14:paraId="4E8EE424" w14:textId="77777777" w:rsidR="00524720" w:rsidRPr="00D9348B" w:rsidRDefault="00524720">
            <w:pPr>
              <w:pStyle w:val="TableTextBold"/>
              <w:spacing w:before="40" w:after="40"/>
              <w:rPr>
                <w:noProof w:val="0"/>
              </w:rPr>
            </w:pPr>
            <w:r w:rsidRPr="00D9348B">
              <w:rPr>
                <w:noProof w:val="0"/>
              </w:rPr>
              <w:lastRenderedPageBreak/>
              <w:t>2005</w:t>
            </w:r>
          </w:p>
        </w:tc>
        <w:tc>
          <w:tcPr>
            <w:tcW w:w="1590" w:type="dxa"/>
            <w:tcBorders>
              <w:top w:val="single" w:sz="4" w:space="0" w:color="365F91"/>
              <w:left w:val="nil"/>
              <w:bottom w:val="single" w:sz="4" w:space="0" w:color="365F91"/>
              <w:right w:val="nil"/>
            </w:tcBorders>
            <w:hideMark/>
          </w:tcPr>
          <w:p w14:paraId="5AD31B75" w14:textId="77777777" w:rsidR="00524720" w:rsidRPr="00D9348B" w:rsidRDefault="00524720">
            <w:pPr>
              <w:pStyle w:val="TableText"/>
              <w:spacing w:before="40" w:after="40"/>
              <w:jc w:val="center"/>
            </w:pPr>
            <w:r w:rsidRPr="00D9348B">
              <w:t>1.67</w:t>
            </w:r>
          </w:p>
        </w:tc>
        <w:tc>
          <w:tcPr>
            <w:tcW w:w="1548" w:type="dxa"/>
            <w:tcBorders>
              <w:top w:val="single" w:sz="4" w:space="0" w:color="365F91"/>
              <w:left w:val="nil"/>
              <w:bottom w:val="single" w:sz="4" w:space="0" w:color="365F91"/>
              <w:right w:val="nil"/>
            </w:tcBorders>
            <w:hideMark/>
          </w:tcPr>
          <w:p w14:paraId="6FD1444C" w14:textId="77777777" w:rsidR="00524720" w:rsidRPr="00D9348B" w:rsidRDefault="00524720">
            <w:pPr>
              <w:pStyle w:val="TableText"/>
              <w:spacing w:before="40" w:after="40"/>
              <w:jc w:val="center"/>
            </w:pPr>
            <w:r w:rsidRPr="00D9348B">
              <w:t>0.20</w:t>
            </w:r>
          </w:p>
        </w:tc>
        <w:tc>
          <w:tcPr>
            <w:tcW w:w="1616" w:type="dxa"/>
            <w:tcBorders>
              <w:top w:val="single" w:sz="4" w:space="0" w:color="365F91"/>
              <w:left w:val="nil"/>
              <w:bottom w:val="single" w:sz="4" w:space="0" w:color="365F91"/>
              <w:right w:val="nil"/>
            </w:tcBorders>
            <w:hideMark/>
          </w:tcPr>
          <w:p w14:paraId="4A360DEC" w14:textId="77777777" w:rsidR="00524720" w:rsidRPr="00D9348B" w:rsidRDefault="00524720">
            <w:pPr>
              <w:pStyle w:val="TableText"/>
              <w:spacing w:before="40" w:after="40"/>
              <w:jc w:val="center"/>
            </w:pPr>
            <w:r w:rsidRPr="00D9348B">
              <w:t>0.33</w:t>
            </w:r>
          </w:p>
        </w:tc>
        <w:tc>
          <w:tcPr>
            <w:tcW w:w="1358" w:type="dxa"/>
            <w:tcBorders>
              <w:top w:val="single" w:sz="4" w:space="0" w:color="365F91"/>
              <w:left w:val="nil"/>
              <w:bottom w:val="single" w:sz="4" w:space="0" w:color="365F91"/>
              <w:right w:val="nil"/>
            </w:tcBorders>
            <w:hideMark/>
          </w:tcPr>
          <w:p w14:paraId="16C0E962" w14:textId="77777777" w:rsidR="00524720" w:rsidRPr="00D9348B" w:rsidRDefault="00524720">
            <w:pPr>
              <w:pStyle w:val="TableText"/>
              <w:spacing w:before="40" w:after="40"/>
              <w:jc w:val="center"/>
            </w:pPr>
            <w:r w:rsidRPr="00D9348B">
              <w:t>0.61</w:t>
            </w:r>
          </w:p>
        </w:tc>
        <w:tc>
          <w:tcPr>
            <w:tcW w:w="1576" w:type="dxa"/>
            <w:tcBorders>
              <w:top w:val="single" w:sz="4" w:space="0" w:color="365F91"/>
              <w:left w:val="nil"/>
              <w:bottom w:val="single" w:sz="4" w:space="0" w:color="365F91"/>
              <w:right w:val="nil"/>
            </w:tcBorders>
            <w:hideMark/>
          </w:tcPr>
          <w:p w14:paraId="01C6157E" w14:textId="77777777" w:rsidR="00524720" w:rsidRPr="00D9348B" w:rsidRDefault="00524720">
            <w:pPr>
              <w:pStyle w:val="TableText"/>
              <w:spacing w:before="40" w:after="40"/>
              <w:jc w:val="center"/>
            </w:pPr>
            <w:r w:rsidRPr="00D9348B">
              <w:t>2.81</w:t>
            </w:r>
          </w:p>
        </w:tc>
      </w:tr>
      <w:tr w:rsidR="00524720" w:rsidRPr="00D9348B" w14:paraId="497FA208" w14:textId="77777777" w:rsidTr="002B5847">
        <w:tc>
          <w:tcPr>
            <w:tcW w:w="925" w:type="dxa"/>
            <w:tcBorders>
              <w:top w:val="single" w:sz="4" w:space="0" w:color="365F91"/>
              <w:left w:val="nil"/>
              <w:bottom w:val="single" w:sz="4" w:space="0" w:color="365F91"/>
              <w:right w:val="nil"/>
            </w:tcBorders>
            <w:hideMark/>
          </w:tcPr>
          <w:p w14:paraId="746FB301" w14:textId="77777777" w:rsidR="00524720" w:rsidRPr="00D9348B" w:rsidRDefault="00524720">
            <w:pPr>
              <w:pStyle w:val="TableTextBold"/>
              <w:spacing w:before="40" w:after="40"/>
              <w:rPr>
                <w:noProof w:val="0"/>
              </w:rPr>
            </w:pPr>
            <w:r w:rsidRPr="00D9348B">
              <w:rPr>
                <w:noProof w:val="0"/>
              </w:rPr>
              <w:t>2006</w:t>
            </w:r>
          </w:p>
        </w:tc>
        <w:tc>
          <w:tcPr>
            <w:tcW w:w="1590" w:type="dxa"/>
            <w:tcBorders>
              <w:top w:val="single" w:sz="4" w:space="0" w:color="365F91"/>
              <w:left w:val="nil"/>
              <w:bottom w:val="single" w:sz="4" w:space="0" w:color="365F91"/>
              <w:right w:val="nil"/>
            </w:tcBorders>
            <w:hideMark/>
          </w:tcPr>
          <w:p w14:paraId="7C332F49" w14:textId="77777777" w:rsidR="00524720" w:rsidRPr="00D9348B" w:rsidRDefault="00524720">
            <w:pPr>
              <w:pStyle w:val="TableText"/>
              <w:spacing w:before="40" w:after="40"/>
              <w:jc w:val="center"/>
            </w:pPr>
            <w:r w:rsidRPr="00D9348B">
              <w:t>1.65</w:t>
            </w:r>
          </w:p>
        </w:tc>
        <w:tc>
          <w:tcPr>
            <w:tcW w:w="1548" w:type="dxa"/>
            <w:tcBorders>
              <w:top w:val="single" w:sz="4" w:space="0" w:color="365F91"/>
              <w:left w:val="nil"/>
              <w:bottom w:val="single" w:sz="4" w:space="0" w:color="365F91"/>
              <w:right w:val="nil"/>
            </w:tcBorders>
            <w:hideMark/>
          </w:tcPr>
          <w:p w14:paraId="52AA0286" w14:textId="77777777" w:rsidR="00524720" w:rsidRPr="00D9348B" w:rsidRDefault="00524720">
            <w:pPr>
              <w:pStyle w:val="TableText"/>
              <w:spacing w:before="40" w:after="40"/>
              <w:jc w:val="center"/>
            </w:pPr>
            <w:r w:rsidRPr="00D9348B">
              <w:t>0.18</w:t>
            </w:r>
          </w:p>
        </w:tc>
        <w:tc>
          <w:tcPr>
            <w:tcW w:w="1616" w:type="dxa"/>
            <w:tcBorders>
              <w:top w:val="single" w:sz="4" w:space="0" w:color="365F91"/>
              <w:left w:val="nil"/>
              <w:bottom w:val="single" w:sz="4" w:space="0" w:color="365F91"/>
              <w:right w:val="nil"/>
            </w:tcBorders>
            <w:hideMark/>
          </w:tcPr>
          <w:p w14:paraId="5F2FA405" w14:textId="77777777" w:rsidR="00524720" w:rsidRPr="00D9348B" w:rsidRDefault="00524720">
            <w:pPr>
              <w:pStyle w:val="TableText"/>
              <w:spacing w:before="40" w:after="40"/>
              <w:jc w:val="center"/>
            </w:pPr>
            <w:r w:rsidRPr="00D9348B">
              <w:t>0.34</w:t>
            </w:r>
          </w:p>
        </w:tc>
        <w:tc>
          <w:tcPr>
            <w:tcW w:w="1358" w:type="dxa"/>
            <w:tcBorders>
              <w:top w:val="single" w:sz="4" w:space="0" w:color="365F91"/>
              <w:left w:val="nil"/>
              <w:bottom w:val="single" w:sz="4" w:space="0" w:color="365F91"/>
              <w:right w:val="nil"/>
            </w:tcBorders>
            <w:hideMark/>
          </w:tcPr>
          <w:p w14:paraId="41B44FBF" w14:textId="77777777" w:rsidR="00524720" w:rsidRPr="00D9348B" w:rsidRDefault="00524720">
            <w:pPr>
              <w:pStyle w:val="TableText"/>
              <w:spacing w:before="40" w:after="40"/>
              <w:jc w:val="center"/>
            </w:pPr>
            <w:r w:rsidRPr="00D9348B">
              <w:t>0.61</w:t>
            </w:r>
          </w:p>
        </w:tc>
        <w:tc>
          <w:tcPr>
            <w:tcW w:w="1576" w:type="dxa"/>
            <w:tcBorders>
              <w:top w:val="single" w:sz="4" w:space="0" w:color="365F91"/>
              <w:left w:val="nil"/>
              <w:bottom w:val="single" w:sz="4" w:space="0" w:color="365F91"/>
              <w:right w:val="nil"/>
            </w:tcBorders>
            <w:hideMark/>
          </w:tcPr>
          <w:p w14:paraId="3D643CDC" w14:textId="77777777" w:rsidR="00524720" w:rsidRPr="00D9348B" w:rsidRDefault="00524720">
            <w:pPr>
              <w:pStyle w:val="TableText"/>
              <w:spacing w:before="40" w:after="40"/>
              <w:jc w:val="center"/>
            </w:pPr>
            <w:r w:rsidRPr="00D9348B">
              <w:t>2.79</w:t>
            </w:r>
          </w:p>
        </w:tc>
      </w:tr>
      <w:tr w:rsidR="00524720" w:rsidRPr="00D9348B" w14:paraId="1614CC2C" w14:textId="77777777" w:rsidTr="002B5847">
        <w:tc>
          <w:tcPr>
            <w:tcW w:w="925" w:type="dxa"/>
            <w:tcBorders>
              <w:top w:val="single" w:sz="4" w:space="0" w:color="365F91"/>
              <w:left w:val="nil"/>
              <w:bottom w:val="single" w:sz="4" w:space="0" w:color="365F91"/>
              <w:right w:val="nil"/>
            </w:tcBorders>
            <w:hideMark/>
          </w:tcPr>
          <w:p w14:paraId="4077EC24" w14:textId="77777777" w:rsidR="00524720" w:rsidRPr="00D9348B" w:rsidRDefault="00524720">
            <w:pPr>
              <w:pStyle w:val="TableTextBold"/>
              <w:spacing w:before="40" w:after="40"/>
              <w:rPr>
                <w:noProof w:val="0"/>
              </w:rPr>
            </w:pPr>
            <w:r w:rsidRPr="00D9348B">
              <w:rPr>
                <w:noProof w:val="0"/>
              </w:rPr>
              <w:t>2007</w:t>
            </w:r>
          </w:p>
        </w:tc>
        <w:tc>
          <w:tcPr>
            <w:tcW w:w="1590" w:type="dxa"/>
            <w:tcBorders>
              <w:top w:val="single" w:sz="4" w:space="0" w:color="365F91"/>
              <w:left w:val="nil"/>
              <w:bottom w:val="single" w:sz="4" w:space="0" w:color="365F91"/>
              <w:right w:val="nil"/>
            </w:tcBorders>
            <w:hideMark/>
          </w:tcPr>
          <w:p w14:paraId="53AAF5BF" w14:textId="77777777" w:rsidR="00524720" w:rsidRPr="00D9348B" w:rsidRDefault="00524720">
            <w:pPr>
              <w:pStyle w:val="TableText"/>
              <w:spacing w:before="40" w:after="40"/>
              <w:jc w:val="center"/>
            </w:pPr>
            <w:r w:rsidRPr="00D9348B">
              <w:t>1.68</w:t>
            </w:r>
          </w:p>
        </w:tc>
        <w:tc>
          <w:tcPr>
            <w:tcW w:w="1548" w:type="dxa"/>
            <w:tcBorders>
              <w:top w:val="single" w:sz="4" w:space="0" w:color="365F91"/>
              <w:left w:val="nil"/>
              <w:bottom w:val="single" w:sz="4" w:space="0" w:color="365F91"/>
              <w:right w:val="nil"/>
            </w:tcBorders>
            <w:hideMark/>
          </w:tcPr>
          <w:p w14:paraId="60A283F7" w14:textId="77777777" w:rsidR="00524720" w:rsidRPr="00D9348B" w:rsidRDefault="00524720">
            <w:pPr>
              <w:pStyle w:val="TableText"/>
              <w:spacing w:before="40" w:after="40"/>
              <w:jc w:val="center"/>
            </w:pPr>
            <w:r w:rsidRPr="00D9348B">
              <w:t>0.19</w:t>
            </w:r>
          </w:p>
        </w:tc>
        <w:tc>
          <w:tcPr>
            <w:tcW w:w="1616" w:type="dxa"/>
            <w:tcBorders>
              <w:top w:val="single" w:sz="4" w:space="0" w:color="365F91"/>
              <w:left w:val="nil"/>
              <w:bottom w:val="single" w:sz="4" w:space="0" w:color="365F91"/>
              <w:right w:val="nil"/>
            </w:tcBorders>
            <w:hideMark/>
          </w:tcPr>
          <w:p w14:paraId="55AD83EE" w14:textId="77777777" w:rsidR="00524720" w:rsidRPr="00D9348B" w:rsidRDefault="00524720">
            <w:pPr>
              <w:pStyle w:val="TableText"/>
              <w:spacing w:before="40" w:after="40"/>
              <w:jc w:val="center"/>
            </w:pPr>
            <w:r w:rsidRPr="00D9348B">
              <w:t>0.33</w:t>
            </w:r>
          </w:p>
        </w:tc>
        <w:tc>
          <w:tcPr>
            <w:tcW w:w="1358" w:type="dxa"/>
            <w:tcBorders>
              <w:top w:val="single" w:sz="4" w:space="0" w:color="365F91"/>
              <w:left w:val="nil"/>
              <w:bottom w:val="single" w:sz="4" w:space="0" w:color="365F91"/>
              <w:right w:val="nil"/>
            </w:tcBorders>
            <w:hideMark/>
          </w:tcPr>
          <w:p w14:paraId="7CAB1C32" w14:textId="77777777" w:rsidR="00524720" w:rsidRPr="00D9348B" w:rsidRDefault="00524720">
            <w:pPr>
              <w:pStyle w:val="TableText"/>
              <w:spacing w:before="40" w:after="40"/>
              <w:jc w:val="center"/>
            </w:pPr>
            <w:r w:rsidRPr="00D9348B">
              <w:t>0.61</w:t>
            </w:r>
          </w:p>
        </w:tc>
        <w:tc>
          <w:tcPr>
            <w:tcW w:w="1576" w:type="dxa"/>
            <w:tcBorders>
              <w:top w:val="single" w:sz="4" w:space="0" w:color="365F91"/>
              <w:left w:val="nil"/>
              <w:bottom w:val="single" w:sz="4" w:space="0" w:color="365F91"/>
              <w:right w:val="nil"/>
            </w:tcBorders>
            <w:hideMark/>
          </w:tcPr>
          <w:p w14:paraId="4B65A918" w14:textId="77777777" w:rsidR="00524720" w:rsidRPr="00D9348B" w:rsidRDefault="00524720">
            <w:pPr>
              <w:pStyle w:val="TableText"/>
              <w:spacing w:before="40" w:after="40"/>
              <w:jc w:val="center"/>
            </w:pPr>
            <w:r w:rsidRPr="00D9348B">
              <w:t>2.81</w:t>
            </w:r>
          </w:p>
        </w:tc>
      </w:tr>
      <w:tr w:rsidR="00524720" w:rsidRPr="00D9348B" w14:paraId="23A2BADE" w14:textId="77777777" w:rsidTr="002B5847">
        <w:tc>
          <w:tcPr>
            <w:tcW w:w="925" w:type="dxa"/>
            <w:tcBorders>
              <w:top w:val="single" w:sz="4" w:space="0" w:color="365F91"/>
              <w:left w:val="nil"/>
              <w:bottom w:val="single" w:sz="4" w:space="0" w:color="365F91"/>
              <w:right w:val="nil"/>
            </w:tcBorders>
            <w:hideMark/>
          </w:tcPr>
          <w:p w14:paraId="36E96E48" w14:textId="77777777" w:rsidR="00524720" w:rsidRPr="00D9348B" w:rsidRDefault="00524720">
            <w:pPr>
              <w:pStyle w:val="TableTextBold"/>
              <w:spacing w:before="40" w:after="40"/>
              <w:rPr>
                <w:noProof w:val="0"/>
              </w:rPr>
            </w:pPr>
            <w:r w:rsidRPr="00D9348B">
              <w:rPr>
                <w:noProof w:val="0"/>
              </w:rPr>
              <w:t>2008</w:t>
            </w:r>
          </w:p>
        </w:tc>
        <w:tc>
          <w:tcPr>
            <w:tcW w:w="1590" w:type="dxa"/>
            <w:tcBorders>
              <w:top w:val="single" w:sz="4" w:space="0" w:color="365F91"/>
              <w:left w:val="nil"/>
              <w:bottom w:val="single" w:sz="4" w:space="0" w:color="365F91"/>
              <w:right w:val="nil"/>
            </w:tcBorders>
            <w:hideMark/>
          </w:tcPr>
          <w:p w14:paraId="34387FC5" w14:textId="77777777" w:rsidR="00524720" w:rsidRPr="00D9348B" w:rsidRDefault="00524720">
            <w:pPr>
              <w:pStyle w:val="TableText"/>
              <w:spacing w:before="40" w:after="40"/>
              <w:jc w:val="center"/>
            </w:pPr>
            <w:r w:rsidRPr="00D9348B">
              <w:t>1.69</w:t>
            </w:r>
          </w:p>
        </w:tc>
        <w:tc>
          <w:tcPr>
            <w:tcW w:w="1548" w:type="dxa"/>
            <w:tcBorders>
              <w:top w:val="single" w:sz="4" w:space="0" w:color="365F91"/>
              <w:left w:val="nil"/>
              <w:bottom w:val="single" w:sz="4" w:space="0" w:color="365F91"/>
              <w:right w:val="nil"/>
            </w:tcBorders>
            <w:hideMark/>
          </w:tcPr>
          <w:p w14:paraId="768A8A92" w14:textId="77777777" w:rsidR="00524720" w:rsidRPr="00D9348B" w:rsidRDefault="00524720">
            <w:pPr>
              <w:pStyle w:val="TableText"/>
              <w:spacing w:before="40" w:after="40"/>
              <w:jc w:val="center"/>
            </w:pPr>
            <w:r w:rsidRPr="00D9348B">
              <w:t>0.18</w:t>
            </w:r>
          </w:p>
        </w:tc>
        <w:tc>
          <w:tcPr>
            <w:tcW w:w="1616" w:type="dxa"/>
            <w:tcBorders>
              <w:top w:val="single" w:sz="4" w:space="0" w:color="365F91"/>
              <w:left w:val="nil"/>
              <w:bottom w:val="single" w:sz="4" w:space="0" w:color="365F91"/>
              <w:right w:val="nil"/>
            </w:tcBorders>
            <w:hideMark/>
          </w:tcPr>
          <w:p w14:paraId="3BF2F35B" w14:textId="77777777" w:rsidR="00524720" w:rsidRPr="00D9348B" w:rsidRDefault="00524720">
            <w:pPr>
              <w:pStyle w:val="TableText"/>
              <w:spacing w:before="40" w:after="40"/>
              <w:jc w:val="center"/>
            </w:pPr>
            <w:r w:rsidRPr="00D9348B">
              <w:t>0.36</w:t>
            </w:r>
          </w:p>
        </w:tc>
        <w:tc>
          <w:tcPr>
            <w:tcW w:w="1358" w:type="dxa"/>
            <w:tcBorders>
              <w:top w:val="single" w:sz="4" w:space="0" w:color="365F91"/>
              <w:left w:val="nil"/>
              <w:bottom w:val="single" w:sz="4" w:space="0" w:color="365F91"/>
              <w:right w:val="nil"/>
            </w:tcBorders>
            <w:hideMark/>
          </w:tcPr>
          <w:p w14:paraId="726ECEAF" w14:textId="77777777" w:rsidR="00524720" w:rsidRPr="00D9348B" w:rsidRDefault="00524720">
            <w:pPr>
              <w:pStyle w:val="TableText"/>
              <w:spacing w:before="40" w:after="40"/>
              <w:jc w:val="center"/>
            </w:pPr>
            <w:r w:rsidRPr="00D9348B">
              <w:t>0.61</w:t>
            </w:r>
          </w:p>
        </w:tc>
        <w:tc>
          <w:tcPr>
            <w:tcW w:w="1576" w:type="dxa"/>
            <w:tcBorders>
              <w:top w:val="single" w:sz="4" w:space="0" w:color="365F91"/>
              <w:left w:val="nil"/>
              <w:bottom w:val="single" w:sz="4" w:space="0" w:color="365F91"/>
              <w:right w:val="nil"/>
            </w:tcBorders>
            <w:hideMark/>
          </w:tcPr>
          <w:p w14:paraId="1FFC0D9B" w14:textId="77777777" w:rsidR="00524720" w:rsidRPr="00D9348B" w:rsidRDefault="00524720">
            <w:pPr>
              <w:pStyle w:val="TableText"/>
              <w:spacing w:before="40" w:after="40"/>
              <w:jc w:val="center"/>
            </w:pPr>
            <w:r w:rsidRPr="00D9348B">
              <w:t>2.85</w:t>
            </w:r>
          </w:p>
        </w:tc>
      </w:tr>
      <w:tr w:rsidR="00524720" w:rsidRPr="00D9348B" w14:paraId="0FEF5454" w14:textId="77777777" w:rsidTr="002B5847">
        <w:tc>
          <w:tcPr>
            <w:tcW w:w="925" w:type="dxa"/>
            <w:tcBorders>
              <w:top w:val="single" w:sz="4" w:space="0" w:color="365F91"/>
              <w:left w:val="nil"/>
              <w:bottom w:val="single" w:sz="4" w:space="0" w:color="365F91"/>
              <w:right w:val="nil"/>
            </w:tcBorders>
            <w:hideMark/>
          </w:tcPr>
          <w:p w14:paraId="34E79C08" w14:textId="77777777" w:rsidR="00524720" w:rsidRPr="00D9348B" w:rsidRDefault="00524720">
            <w:pPr>
              <w:pStyle w:val="TableTextBold"/>
              <w:spacing w:before="40" w:after="40"/>
              <w:rPr>
                <w:noProof w:val="0"/>
              </w:rPr>
            </w:pPr>
            <w:r w:rsidRPr="00D9348B">
              <w:rPr>
                <w:noProof w:val="0"/>
              </w:rPr>
              <w:t>2009</w:t>
            </w:r>
          </w:p>
        </w:tc>
        <w:tc>
          <w:tcPr>
            <w:tcW w:w="1590" w:type="dxa"/>
            <w:tcBorders>
              <w:top w:val="single" w:sz="4" w:space="0" w:color="365F91"/>
              <w:left w:val="nil"/>
              <w:bottom w:val="single" w:sz="4" w:space="0" w:color="365F91"/>
              <w:right w:val="nil"/>
            </w:tcBorders>
            <w:hideMark/>
          </w:tcPr>
          <w:p w14:paraId="3459C064" w14:textId="77777777" w:rsidR="00524720" w:rsidRPr="00D9348B" w:rsidRDefault="00524720">
            <w:pPr>
              <w:pStyle w:val="TableText"/>
              <w:spacing w:before="40" w:after="40"/>
              <w:jc w:val="center"/>
            </w:pPr>
            <w:r w:rsidRPr="00D9348B">
              <w:t>1.59</w:t>
            </w:r>
          </w:p>
        </w:tc>
        <w:tc>
          <w:tcPr>
            <w:tcW w:w="1548" w:type="dxa"/>
            <w:tcBorders>
              <w:top w:val="single" w:sz="4" w:space="0" w:color="365F91"/>
              <w:left w:val="nil"/>
              <w:bottom w:val="single" w:sz="4" w:space="0" w:color="365F91"/>
              <w:right w:val="nil"/>
            </w:tcBorders>
            <w:hideMark/>
          </w:tcPr>
          <w:p w14:paraId="72367BDD" w14:textId="77777777" w:rsidR="00524720" w:rsidRPr="00D9348B" w:rsidRDefault="00524720">
            <w:pPr>
              <w:pStyle w:val="TableText"/>
              <w:spacing w:before="40" w:after="40"/>
              <w:jc w:val="center"/>
            </w:pPr>
            <w:r w:rsidRPr="00D9348B">
              <w:t>0.17</w:t>
            </w:r>
          </w:p>
        </w:tc>
        <w:tc>
          <w:tcPr>
            <w:tcW w:w="1616" w:type="dxa"/>
            <w:tcBorders>
              <w:top w:val="single" w:sz="4" w:space="0" w:color="365F91"/>
              <w:left w:val="nil"/>
              <w:bottom w:val="single" w:sz="4" w:space="0" w:color="365F91"/>
              <w:right w:val="nil"/>
            </w:tcBorders>
            <w:hideMark/>
          </w:tcPr>
          <w:p w14:paraId="2F3ACEB0" w14:textId="77777777" w:rsidR="00524720" w:rsidRPr="00D9348B" w:rsidRDefault="00524720">
            <w:pPr>
              <w:pStyle w:val="TableText"/>
              <w:spacing w:before="40" w:after="40"/>
              <w:jc w:val="center"/>
            </w:pPr>
            <w:r w:rsidRPr="00D9348B">
              <w:t>0.37</w:t>
            </w:r>
          </w:p>
        </w:tc>
        <w:tc>
          <w:tcPr>
            <w:tcW w:w="1358" w:type="dxa"/>
            <w:tcBorders>
              <w:top w:val="single" w:sz="4" w:space="0" w:color="365F91"/>
              <w:left w:val="nil"/>
              <w:bottom w:val="single" w:sz="4" w:space="0" w:color="365F91"/>
              <w:right w:val="nil"/>
            </w:tcBorders>
            <w:hideMark/>
          </w:tcPr>
          <w:p w14:paraId="7E180416" w14:textId="77777777" w:rsidR="00524720" w:rsidRPr="00D9348B" w:rsidRDefault="00524720">
            <w:pPr>
              <w:pStyle w:val="TableText"/>
              <w:spacing w:before="40" w:after="40"/>
              <w:jc w:val="center"/>
            </w:pPr>
            <w:r w:rsidRPr="00D9348B">
              <w:t>0.61</w:t>
            </w:r>
          </w:p>
        </w:tc>
        <w:tc>
          <w:tcPr>
            <w:tcW w:w="1576" w:type="dxa"/>
            <w:tcBorders>
              <w:top w:val="single" w:sz="4" w:space="0" w:color="365F91"/>
              <w:left w:val="nil"/>
              <w:bottom w:val="single" w:sz="4" w:space="0" w:color="365F91"/>
              <w:right w:val="nil"/>
            </w:tcBorders>
            <w:hideMark/>
          </w:tcPr>
          <w:p w14:paraId="7A61AB23" w14:textId="77777777" w:rsidR="00524720" w:rsidRPr="00D9348B" w:rsidRDefault="00524720">
            <w:pPr>
              <w:pStyle w:val="TableText"/>
              <w:spacing w:before="40" w:after="40"/>
              <w:jc w:val="center"/>
            </w:pPr>
            <w:r w:rsidRPr="00D9348B">
              <w:t>2.74</w:t>
            </w:r>
          </w:p>
        </w:tc>
      </w:tr>
      <w:tr w:rsidR="00524720" w:rsidRPr="00D9348B" w14:paraId="1F8E5F6C" w14:textId="77777777" w:rsidTr="002B5847">
        <w:tc>
          <w:tcPr>
            <w:tcW w:w="925" w:type="dxa"/>
            <w:tcBorders>
              <w:top w:val="single" w:sz="4" w:space="0" w:color="365F91"/>
              <w:left w:val="nil"/>
              <w:bottom w:val="single" w:sz="4" w:space="0" w:color="365F91"/>
              <w:right w:val="nil"/>
            </w:tcBorders>
            <w:hideMark/>
          </w:tcPr>
          <w:p w14:paraId="6B82E2AB" w14:textId="77777777" w:rsidR="00524720" w:rsidRPr="00D9348B" w:rsidRDefault="00524720">
            <w:pPr>
              <w:pStyle w:val="TableTextBold"/>
              <w:spacing w:before="40" w:after="40"/>
              <w:rPr>
                <w:noProof w:val="0"/>
              </w:rPr>
            </w:pPr>
            <w:r w:rsidRPr="00D9348B">
              <w:rPr>
                <w:noProof w:val="0"/>
              </w:rPr>
              <w:t>2010</w:t>
            </w:r>
          </w:p>
        </w:tc>
        <w:tc>
          <w:tcPr>
            <w:tcW w:w="1590" w:type="dxa"/>
            <w:tcBorders>
              <w:top w:val="single" w:sz="4" w:space="0" w:color="365F91"/>
              <w:left w:val="nil"/>
              <w:bottom w:val="single" w:sz="4" w:space="0" w:color="365F91"/>
              <w:right w:val="nil"/>
            </w:tcBorders>
            <w:hideMark/>
          </w:tcPr>
          <w:p w14:paraId="173EB741" w14:textId="77777777" w:rsidR="00524720" w:rsidRPr="00D9348B" w:rsidRDefault="00524720">
            <w:pPr>
              <w:pStyle w:val="TableText"/>
              <w:spacing w:before="40" w:after="40"/>
              <w:jc w:val="center"/>
            </w:pPr>
            <w:r w:rsidRPr="00D9348B">
              <w:t>1.53</w:t>
            </w:r>
          </w:p>
        </w:tc>
        <w:tc>
          <w:tcPr>
            <w:tcW w:w="1548" w:type="dxa"/>
            <w:tcBorders>
              <w:top w:val="single" w:sz="4" w:space="0" w:color="365F91"/>
              <w:left w:val="nil"/>
              <w:bottom w:val="single" w:sz="4" w:space="0" w:color="365F91"/>
              <w:right w:val="nil"/>
            </w:tcBorders>
            <w:hideMark/>
          </w:tcPr>
          <w:p w14:paraId="5C08F946" w14:textId="77777777" w:rsidR="00524720" w:rsidRPr="00D9348B" w:rsidRDefault="00524720">
            <w:pPr>
              <w:pStyle w:val="TableText"/>
              <w:spacing w:before="40" w:after="40"/>
              <w:jc w:val="center"/>
            </w:pPr>
            <w:r w:rsidRPr="00D9348B">
              <w:t>0.18</w:t>
            </w:r>
          </w:p>
        </w:tc>
        <w:tc>
          <w:tcPr>
            <w:tcW w:w="1616" w:type="dxa"/>
            <w:tcBorders>
              <w:top w:val="single" w:sz="4" w:space="0" w:color="365F91"/>
              <w:left w:val="nil"/>
              <w:bottom w:val="single" w:sz="4" w:space="0" w:color="365F91"/>
              <w:right w:val="nil"/>
            </w:tcBorders>
            <w:hideMark/>
          </w:tcPr>
          <w:p w14:paraId="5F4FE944" w14:textId="77777777" w:rsidR="00524720" w:rsidRPr="00D9348B" w:rsidRDefault="00524720">
            <w:pPr>
              <w:pStyle w:val="TableText"/>
              <w:spacing w:before="40" w:after="40"/>
              <w:jc w:val="center"/>
            </w:pPr>
            <w:r w:rsidRPr="00D9348B">
              <w:t>0.39</w:t>
            </w:r>
          </w:p>
        </w:tc>
        <w:tc>
          <w:tcPr>
            <w:tcW w:w="1358" w:type="dxa"/>
            <w:tcBorders>
              <w:top w:val="single" w:sz="4" w:space="0" w:color="365F91"/>
              <w:left w:val="nil"/>
              <w:bottom w:val="single" w:sz="4" w:space="0" w:color="365F91"/>
              <w:right w:val="nil"/>
            </w:tcBorders>
            <w:hideMark/>
          </w:tcPr>
          <w:p w14:paraId="17B4B2B1" w14:textId="77777777" w:rsidR="00524720" w:rsidRPr="00D9348B" w:rsidRDefault="00524720">
            <w:pPr>
              <w:pStyle w:val="TableText"/>
              <w:spacing w:before="40" w:after="40"/>
              <w:jc w:val="center"/>
            </w:pPr>
            <w:r w:rsidRPr="00D9348B">
              <w:t>0.61</w:t>
            </w:r>
          </w:p>
        </w:tc>
        <w:tc>
          <w:tcPr>
            <w:tcW w:w="1576" w:type="dxa"/>
            <w:tcBorders>
              <w:top w:val="single" w:sz="4" w:space="0" w:color="365F91"/>
              <w:left w:val="nil"/>
              <w:bottom w:val="single" w:sz="4" w:space="0" w:color="365F91"/>
              <w:right w:val="nil"/>
            </w:tcBorders>
            <w:hideMark/>
          </w:tcPr>
          <w:p w14:paraId="0A37F3BD" w14:textId="77777777" w:rsidR="00524720" w:rsidRPr="00D9348B" w:rsidRDefault="00524720">
            <w:pPr>
              <w:pStyle w:val="TableText"/>
              <w:spacing w:before="40" w:after="40"/>
              <w:jc w:val="center"/>
            </w:pPr>
            <w:r w:rsidRPr="00D9348B">
              <w:t>2.72</w:t>
            </w:r>
          </w:p>
        </w:tc>
      </w:tr>
      <w:tr w:rsidR="00524720" w:rsidRPr="00D9348B" w14:paraId="504EFBD1" w14:textId="77777777" w:rsidTr="002B5847">
        <w:tc>
          <w:tcPr>
            <w:tcW w:w="925" w:type="dxa"/>
            <w:tcBorders>
              <w:top w:val="single" w:sz="4" w:space="0" w:color="365F91"/>
              <w:left w:val="nil"/>
              <w:bottom w:val="single" w:sz="4" w:space="0" w:color="365F91"/>
              <w:right w:val="nil"/>
            </w:tcBorders>
            <w:hideMark/>
          </w:tcPr>
          <w:p w14:paraId="33EF69D5" w14:textId="77777777" w:rsidR="00524720" w:rsidRPr="00D9348B" w:rsidRDefault="00524720">
            <w:pPr>
              <w:pStyle w:val="TableTextBold"/>
              <w:spacing w:before="40" w:after="40"/>
              <w:rPr>
                <w:noProof w:val="0"/>
              </w:rPr>
            </w:pPr>
            <w:r w:rsidRPr="00D9348B">
              <w:rPr>
                <w:noProof w:val="0"/>
              </w:rPr>
              <w:t>2011</w:t>
            </w:r>
          </w:p>
        </w:tc>
        <w:tc>
          <w:tcPr>
            <w:tcW w:w="1590" w:type="dxa"/>
            <w:tcBorders>
              <w:top w:val="single" w:sz="4" w:space="0" w:color="365F91"/>
              <w:left w:val="nil"/>
              <w:bottom w:val="single" w:sz="4" w:space="0" w:color="365F91"/>
              <w:right w:val="nil"/>
            </w:tcBorders>
            <w:hideMark/>
          </w:tcPr>
          <w:p w14:paraId="02BBE1AE" w14:textId="77777777" w:rsidR="00524720" w:rsidRPr="00D9348B" w:rsidRDefault="00524720">
            <w:pPr>
              <w:pStyle w:val="TableText"/>
              <w:spacing w:before="40" w:after="40"/>
              <w:jc w:val="center"/>
            </w:pPr>
            <w:r w:rsidRPr="00D9348B">
              <w:t>1.48</w:t>
            </w:r>
          </w:p>
        </w:tc>
        <w:tc>
          <w:tcPr>
            <w:tcW w:w="1548" w:type="dxa"/>
            <w:tcBorders>
              <w:top w:val="single" w:sz="4" w:space="0" w:color="365F91"/>
              <w:left w:val="nil"/>
              <w:bottom w:val="single" w:sz="4" w:space="0" w:color="365F91"/>
              <w:right w:val="nil"/>
            </w:tcBorders>
            <w:hideMark/>
          </w:tcPr>
          <w:p w14:paraId="7CCD86C1" w14:textId="77777777" w:rsidR="00524720" w:rsidRPr="00D9348B" w:rsidRDefault="00524720">
            <w:pPr>
              <w:pStyle w:val="TableText"/>
              <w:spacing w:before="40" w:after="40"/>
              <w:jc w:val="center"/>
            </w:pPr>
            <w:r w:rsidRPr="00D9348B">
              <w:t>0.20</w:t>
            </w:r>
          </w:p>
        </w:tc>
        <w:tc>
          <w:tcPr>
            <w:tcW w:w="1616" w:type="dxa"/>
            <w:tcBorders>
              <w:top w:val="single" w:sz="4" w:space="0" w:color="365F91"/>
              <w:left w:val="nil"/>
              <w:bottom w:val="single" w:sz="4" w:space="0" w:color="365F91"/>
              <w:right w:val="nil"/>
            </w:tcBorders>
            <w:hideMark/>
          </w:tcPr>
          <w:p w14:paraId="73B7A34E" w14:textId="77777777" w:rsidR="00524720" w:rsidRPr="00D9348B" w:rsidRDefault="00524720">
            <w:pPr>
              <w:pStyle w:val="TableText"/>
              <w:spacing w:before="40" w:after="40"/>
              <w:jc w:val="center"/>
            </w:pPr>
            <w:r w:rsidRPr="00D9348B">
              <w:t>0.43</w:t>
            </w:r>
          </w:p>
        </w:tc>
        <w:tc>
          <w:tcPr>
            <w:tcW w:w="1358" w:type="dxa"/>
            <w:tcBorders>
              <w:top w:val="single" w:sz="4" w:space="0" w:color="365F91"/>
              <w:left w:val="nil"/>
              <w:bottom w:val="single" w:sz="4" w:space="0" w:color="365F91"/>
              <w:right w:val="nil"/>
            </w:tcBorders>
            <w:hideMark/>
          </w:tcPr>
          <w:p w14:paraId="6700EE94" w14:textId="77777777" w:rsidR="00524720" w:rsidRPr="00D9348B" w:rsidRDefault="00524720">
            <w:pPr>
              <w:pStyle w:val="TableText"/>
              <w:spacing w:before="40" w:after="40"/>
              <w:jc w:val="center"/>
            </w:pPr>
            <w:r w:rsidRPr="00D9348B">
              <w:t>0.61</w:t>
            </w:r>
          </w:p>
        </w:tc>
        <w:tc>
          <w:tcPr>
            <w:tcW w:w="1576" w:type="dxa"/>
            <w:tcBorders>
              <w:top w:val="single" w:sz="4" w:space="0" w:color="365F91"/>
              <w:left w:val="nil"/>
              <w:bottom w:val="single" w:sz="4" w:space="0" w:color="365F91"/>
              <w:right w:val="nil"/>
            </w:tcBorders>
            <w:hideMark/>
          </w:tcPr>
          <w:p w14:paraId="29CD9EBA" w14:textId="77777777" w:rsidR="00524720" w:rsidRPr="00D9348B" w:rsidRDefault="00524720">
            <w:pPr>
              <w:pStyle w:val="TableText"/>
              <w:spacing w:before="40" w:after="40"/>
              <w:jc w:val="center"/>
            </w:pPr>
            <w:r w:rsidRPr="00D9348B">
              <w:t>2.73</w:t>
            </w:r>
          </w:p>
        </w:tc>
      </w:tr>
      <w:tr w:rsidR="00524720" w:rsidRPr="00D9348B" w14:paraId="1DA82FBA" w14:textId="77777777" w:rsidTr="002B5847">
        <w:tc>
          <w:tcPr>
            <w:tcW w:w="925" w:type="dxa"/>
            <w:tcBorders>
              <w:top w:val="single" w:sz="4" w:space="0" w:color="365F91"/>
              <w:left w:val="nil"/>
              <w:bottom w:val="single" w:sz="4" w:space="0" w:color="365F91"/>
              <w:right w:val="nil"/>
            </w:tcBorders>
            <w:hideMark/>
          </w:tcPr>
          <w:p w14:paraId="011F6E40" w14:textId="77777777" w:rsidR="00524720" w:rsidRPr="00D9348B" w:rsidRDefault="00524720">
            <w:pPr>
              <w:pStyle w:val="TableTextBold"/>
              <w:spacing w:before="40" w:after="40"/>
              <w:rPr>
                <w:noProof w:val="0"/>
              </w:rPr>
            </w:pPr>
            <w:r w:rsidRPr="00D9348B">
              <w:rPr>
                <w:noProof w:val="0"/>
              </w:rPr>
              <w:t>2012</w:t>
            </w:r>
          </w:p>
        </w:tc>
        <w:tc>
          <w:tcPr>
            <w:tcW w:w="1590" w:type="dxa"/>
            <w:tcBorders>
              <w:top w:val="single" w:sz="4" w:space="0" w:color="365F91"/>
              <w:left w:val="nil"/>
              <w:bottom w:val="single" w:sz="4" w:space="0" w:color="365F91"/>
              <w:right w:val="nil"/>
            </w:tcBorders>
            <w:hideMark/>
          </w:tcPr>
          <w:p w14:paraId="2DD54140" w14:textId="77777777" w:rsidR="00524720" w:rsidRPr="00D9348B" w:rsidRDefault="00524720">
            <w:pPr>
              <w:pStyle w:val="TableText"/>
              <w:spacing w:before="40" w:after="40"/>
              <w:jc w:val="center"/>
            </w:pPr>
            <w:r w:rsidRPr="00D9348B">
              <w:t>1.47</w:t>
            </w:r>
          </w:p>
        </w:tc>
        <w:tc>
          <w:tcPr>
            <w:tcW w:w="1548" w:type="dxa"/>
            <w:tcBorders>
              <w:top w:val="single" w:sz="4" w:space="0" w:color="365F91"/>
              <w:left w:val="nil"/>
              <w:bottom w:val="single" w:sz="4" w:space="0" w:color="365F91"/>
              <w:right w:val="nil"/>
            </w:tcBorders>
            <w:hideMark/>
          </w:tcPr>
          <w:p w14:paraId="69351056" w14:textId="77777777" w:rsidR="00524720" w:rsidRPr="00D9348B" w:rsidRDefault="00524720">
            <w:pPr>
              <w:pStyle w:val="TableText"/>
              <w:spacing w:before="40" w:after="40"/>
              <w:jc w:val="center"/>
            </w:pPr>
            <w:r w:rsidRPr="00D9348B">
              <w:t>0.21</w:t>
            </w:r>
          </w:p>
        </w:tc>
        <w:tc>
          <w:tcPr>
            <w:tcW w:w="1616" w:type="dxa"/>
            <w:tcBorders>
              <w:top w:val="single" w:sz="4" w:space="0" w:color="365F91"/>
              <w:left w:val="nil"/>
              <w:bottom w:val="single" w:sz="4" w:space="0" w:color="365F91"/>
              <w:right w:val="nil"/>
            </w:tcBorders>
            <w:hideMark/>
          </w:tcPr>
          <w:p w14:paraId="33C0A1A6" w14:textId="77777777" w:rsidR="00524720" w:rsidRPr="00D9348B" w:rsidRDefault="00524720">
            <w:pPr>
              <w:pStyle w:val="TableText"/>
              <w:spacing w:before="40" w:after="40"/>
              <w:jc w:val="center"/>
            </w:pPr>
            <w:r w:rsidRPr="00D9348B">
              <w:t>0.42</w:t>
            </w:r>
          </w:p>
        </w:tc>
        <w:tc>
          <w:tcPr>
            <w:tcW w:w="1358" w:type="dxa"/>
            <w:tcBorders>
              <w:top w:val="single" w:sz="4" w:space="0" w:color="365F91"/>
              <w:left w:val="nil"/>
              <w:bottom w:val="single" w:sz="4" w:space="0" w:color="365F91"/>
              <w:right w:val="nil"/>
            </w:tcBorders>
            <w:hideMark/>
          </w:tcPr>
          <w:p w14:paraId="00063CC4" w14:textId="77777777" w:rsidR="00524720" w:rsidRPr="00D9348B" w:rsidRDefault="00524720">
            <w:pPr>
              <w:pStyle w:val="TableText"/>
              <w:spacing w:before="40" w:after="40"/>
              <w:jc w:val="center"/>
            </w:pPr>
            <w:r w:rsidRPr="00D9348B">
              <w:t>0.61</w:t>
            </w:r>
          </w:p>
        </w:tc>
        <w:tc>
          <w:tcPr>
            <w:tcW w:w="1576" w:type="dxa"/>
            <w:tcBorders>
              <w:top w:val="single" w:sz="4" w:space="0" w:color="365F91"/>
              <w:left w:val="nil"/>
              <w:bottom w:val="single" w:sz="4" w:space="0" w:color="365F91"/>
              <w:right w:val="nil"/>
            </w:tcBorders>
            <w:hideMark/>
          </w:tcPr>
          <w:p w14:paraId="0A55EE6B" w14:textId="77777777" w:rsidR="00524720" w:rsidRPr="00D9348B" w:rsidRDefault="00524720">
            <w:pPr>
              <w:pStyle w:val="TableText"/>
              <w:spacing w:before="40" w:after="40"/>
              <w:jc w:val="center"/>
            </w:pPr>
            <w:r w:rsidRPr="00D9348B">
              <w:t>2.72</w:t>
            </w:r>
          </w:p>
        </w:tc>
      </w:tr>
      <w:tr w:rsidR="00524720" w:rsidRPr="00D9348B" w14:paraId="280D5CD3" w14:textId="77777777" w:rsidTr="002B5847">
        <w:tc>
          <w:tcPr>
            <w:tcW w:w="925" w:type="dxa"/>
            <w:tcBorders>
              <w:top w:val="single" w:sz="4" w:space="0" w:color="365F91"/>
              <w:left w:val="nil"/>
              <w:bottom w:val="single" w:sz="4" w:space="0" w:color="365F91"/>
              <w:right w:val="nil"/>
            </w:tcBorders>
            <w:hideMark/>
          </w:tcPr>
          <w:p w14:paraId="583BC42F" w14:textId="77777777" w:rsidR="00524720" w:rsidRPr="00D9348B" w:rsidRDefault="00524720">
            <w:pPr>
              <w:pStyle w:val="TableTextBold"/>
              <w:spacing w:before="40" w:after="40"/>
              <w:rPr>
                <w:noProof w:val="0"/>
              </w:rPr>
            </w:pPr>
            <w:r w:rsidRPr="00D9348B">
              <w:rPr>
                <w:noProof w:val="0"/>
              </w:rPr>
              <w:t>2013</w:t>
            </w:r>
          </w:p>
        </w:tc>
        <w:tc>
          <w:tcPr>
            <w:tcW w:w="1590" w:type="dxa"/>
            <w:tcBorders>
              <w:top w:val="single" w:sz="4" w:space="0" w:color="365F91"/>
              <w:left w:val="nil"/>
              <w:bottom w:val="single" w:sz="4" w:space="0" w:color="365F91"/>
              <w:right w:val="nil"/>
            </w:tcBorders>
            <w:hideMark/>
          </w:tcPr>
          <w:p w14:paraId="07E22FFF" w14:textId="77777777" w:rsidR="00524720" w:rsidRPr="00D9348B" w:rsidRDefault="00524720">
            <w:pPr>
              <w:pStyle w:val="TableText"/>
              <w:spacing w:before="40" w:after="40"/>
              <w:jc w:val="center"/>
            </w:pPr>
            <w:r w:rsidRPr="00D9348B">
              <w:t>1.53</w:t>
            </w:r>
          </w:p>
        </w:tc>
        <w:tc>
          <w:tcPr>
            <w:tcW w:w="1548" w:type="dxa"/>
            <w:tcBorders>
              <w:top w:val="single" w:sz="4" w:space="0" w:color="365F91"/>
              <w:left w:val="nil"/>
              <w:bottom w:val="single" w:sz="4" w:space="0" w:color="365F91"/>
              <w:right w:val="nil"/>
            </w:tcBorders>
            <w:hideMark/>
          </w:tcPr>
          <w:p w14:paraId="0B57F2DA" w14:textId="77777777" w:rsidR="00524720" w:rsidRPr="00D9348B" w:rsidRDefault="00524720">
            <w:pPr>
              <w:pStyle w:val="TableText"/>
              <w:spacing w:before="40" w:after="40"/>
              <w:jc w:val="center"/>
            </w:pPr>
            <w:r w:rsidRPr="00D9348B">
              <w:t>0.22</w:t>
            </w:r>
          </w:p>
        </w:tc>
        <w:tc>
          <w:tcPr>
            <w:tcW w:w="1616" w:type="dxa"/>
            <w:tcBorders>
              <w:top w:val="single" w:sz="4" w:space="0" w:color="365F91"/>
              <w:left w:val="nil"/>
              <w:bottom w:val="single" w:sz="4" w:space="0" w:color="365F91"/>
              <w:right w:val="nil"/>
            </w:tcBorders>
            <w:hideMark/>
          </w:tcPr>
          <w:p w14:paraId="480C44ED" w14:textId="77777777" w:rsidR="00524720" w:rsidRPr="00D9348B" w:rsidRDefault="00524720">
            <w:pPr>
              <w:pStyle w:val="TableText"/>
              <w:spacing w:before="40" w:after="40"/>
              <w:jc w:val="center"/>
            </w:pPr>
            <w:r w:rsidRPr="00D9348B">
              <w:t>0.46</w:t>
            </w:r>
          </w:p>
        </w:tc>
        <w:tc>
          <w:tcPr>
            <w:tcW w:w="1358" w:type="dxa"/>
            <w:tcBorders>
              <w:top w:val="single" w:sz="4" w:space="0" w:color="365F91"/>
              <w:left w:val="nil"/>
              <w:bottom w:val="single" w:sz="4" w:space="0" w:color="365F91"/>
              <w:right w:val="nil"/>
            </w:tcBorders>
            <w:hideMark/>
          </w:tcPr>
          <w:p w14:paraId="19BD06A0" w14:textId="77777777" w:rsidR="00524720" w:rsidRPr="00D9348B" w:rsidRDefault="00524720">
            <w:pPr>
              <w:pStyle w:val="TableText"/>
              <w:spacing w:before="40" w:after="40"/>
              <w:jc w:val="center"/>
            </w:pPr>
            <w:r w:rsidRPr="00D9348B">
              <w:t>0.61</w:t>
            </w:r>
          </w:p>
        </w:tc>
        <w:tc>
          <w:tcPr>
            <w:tcW w:w="1576" w:type="dxa"/>
            <w:tcBorders>
              <w:top w:val="single" w:sz="4" w:space="0" w:color="365F91"/>
              <w:left w:val="nil"/>
              <w:bottom w:val="single" w:sz="4" w:space="0" w:color="365F91"/>
              <w:right w:val="nil"/>
            </w:tcBorders>
            <w:hideMark/>
          </w:tcPr>
          <w:p w14:paraId="03B3E964" w14:textId="77777777" w:rsidR="00524720" w:rsidRPr="00D9348B" w:rsidRDefault="00524720">
            <w:pPr>
              <w:pStyle w:val="TableText"/>
              <w:spacing w:before="40" w:after="40"/>
              <w:jc w:val="center"/>
            </w:pPr>
            <w:r w:rsidRPr="00D9348B">
              <w:t>2.82</w:t>
            </w:r>
          </w:p>
        </w:tc>
      </w:tr>
      <w:tr w:rsidR="00524720" w:rsidRPr="00D9348B" w14:paraId="31786167" w14:textId="77777777" w:rsidTr="002B5847">
        <w:tc>
          <w:tcPr>
            <w:tcW w:w="925" w:type="dxa"/>
            <w:tcBorders>
              <w:top w:val="single" w:sz="4" w:space="0" w:color="365F91"/>
              <w:left w:val="nil"/>
              <w:bottom w:val="single" w:sz="4" w:space="0" w:color="365F91"/>
              <w:right w:val="nil"/>
            </w:tcBorders>
            <w:hideMark/>
          </w:tcPr>
          <w:p w14:paraId="23AEC6AC" w14:textId="77777777" w:rsidR="00524720" w:rsidRPr="00D9348B" w:rsidRDefault="00524720">
            <w:pPr>
              <w:pStyle w:val="TableTextBold"/>
              <w:spacing w:before="40" w:after="40"/>
              <w:rPr>
                <w:noProof w:val="0"/>
              </w:rPr>
            </w:pPr>
            <w:r w:rsidRPr="00D9348B">
              <w:rPr>
                <w:noProof w:val="0"/>
              </w:rPr>
              <w:t>2014</w:t>
            </w:r>
          </w:p>
        </w:tc>
        <w:tc>
          <w:tcPr>
            <w:tcW w:w="1590" w:type="dxa"/>
            <w:tcBorders>
              <w:top w:val="single" w:sz="4" w:space="0" w:color="365F91"/>
              <w:left w:val="nil"/>
              <w:bottom w:val="single" w:sz="4" w:space="0" w:color="365F91"/>
              <w:right w:val="nil"/>
            </w:tcBorders>
            <w:hideMark/>
          </w:tcPr>
          <w:p w14:paraId="03087AEC" w14:textId="77777777" w:rsidR="00524720" w:rsidRPr="00D9348B" w:rsidRDefault="00524720">
            <w:pPr>
              <w:pStyle w:val="TableText"/>
              <w:spacing w:before="40" w:after="40"/>
              <w:jc w:val="center"/>
            </w:pPr>
            <w:r w:rsidRPr="00D9348B">
              <w:t>1.54</w:t>
            </w:r>
          </w:p>
        </w:tc>
        <w:tc>
          <w:tcPr>
            <w:tcW w:w="1548" w:type="dxa"/>
            <w:tcBorders>
              <w:top w:val="single" w:sz="4" w:space="0" w:color="365F91"/>
              <w:left w:val="nil"/>
              <w:bottom w:val="single" w:sz="4" w:space="0" w:color="365F91"/>
              <w:right w:val="nil"/>
            </w:tcBorders>
            <w:hideMark/>
          </w:tcPr>
          <w:p w14:paraId="77605951" w14:textId="77777777" w:rsidR="00524720" w:rsidRPr="00D9348B" w:rsidRDefault="00524720">
            <w:pPr>
              <w:pStyle w:val="TableText"/>
              <w:spacing w:before="40" w:after="40"/>
              <w:jc w:val="center"/>
            </w:pPr>
            <w:r w:rsidRPr="00D9348B">
              <w:t>0.23</w:t>
            </w:r>
          </w:p>
        </w:tc>
        <w:tc>
          <w:tcPr>
            <w:tcW w:w="1616" w:type="dxa"/>
            <w:tcBorders>
              <w:top w:val="single" w:sz="4" w:space="0" w:color="365F91"/>
              <w:left w:val="nil"/>
              <w:bottom w:val="single" w:sz="4" w:space="0" w:color="365F91"/>
              <w:right w:val="nil"/>
            </w:tcBorders>
            <w:hideMark/>
          </w:tcPr>
          <w:p w14:paraId="464F715D" w14:textId="77777777" w:rsidR="00524720" w:rsidRPr="00D9348B" w:rsidRDefault="00524720">
            <w:pPr>
              <w:pStyle w:val="TableText"/>
              <w:spacing w:before="40" w:after="40"/>
              <w:jc w:val="center"/>
            </w:pPr>
            <w:r w:rsidRPr="00D9348B">
              <w:t>0.48</w:t>
            </w:r>
          </w:p>
        </w:tc>
        <w:tc>
          <w:tcPr>
            <w:tcW w:w="1358" w:type="dxa"/>
            <w:tcBorders>
              <w:top w:val="single" w:sz="4" w:space="0" w:color="365F91"/>
              <w:left w:val="nil"/>
              <w:bottom w:val="single" w:sz="4" w:space="0" w:color="365F91"/>
              <w:right w:val="nil"/>
            </w:tcBorders>
            <w:hideMark/>
          </w:tcPr>
          <w:p w14:paraId="70BCCDC8" w14:textId="77777777" w:rsidR="00524720" w:rsidRPr="00D9348B" w:rsidRDefault="00524720">
            <w:pPr>
              <w:pStyle w:val="TableText"/>
              <w:spacing w:before="40" w:after="40"/>
              <w:jc w:val="center"/>
            </w:pPr>
            <w:r w:rsidRPr="00D9348B">
              <w:t>0.61</w:t>
            </w:r>
          </w:p>
        </w:tc>
        <w:tc>
          <w:tcPr>
            <w:tcW w:w="1576" w:type="dxa"/>
            <w:tcBorders>
              <w:top w:val="single" w:sz="4" w:space="0" w:color="365F91"/>
              <w:left w:val="nil"/>
              <w:bottom w:val="single" w:sz="4" w:space="0" w:color="365F91"/>
              <w:right w:val="nil"/>
            </w:tcBorders>
            <w:hideMark/>
          </w:tcPr>
          <w:p w14:paraId="162F590F" w14:textId="77777777" w:rsidR="00524720" w:rsidRPr="00D9348B" w:rsidRDefault="00524720">
            <w:pPr>
              <w:pStyle w:val="TableText"/>
              <w:spacing w:before="40" w:after="40"/>
              <w:jc w:val="center"/>
            </w:pPr>
            <w:r w:rsidRPr="00D9348B">
              <w:t>2.86</w:t>
            </w:r>
          </w:p>
        </w:tc>
      </w:tr>
      <w:tr w:rsidR="00524720" w:rsidRPr="00D9348B" w14:paraId="29F2B813" w14:textId="77777777" w:rsidTr="002B5847">
        <w:tc>
          <w:tcPr>
            <w:tcW w:w="925" w:type="dxa"/>
            <w:tcBorders>
              <w:top w:val="single" w:sz="4" w:space="0" w:color="365F91"/>
              <w:left w:val="nil"/>
              <w:bottom w:val="single" w:sz="4" w:space="0" w:color="365F91"/>
              <w:right w:val="nil"/>
            </w:tcBorders>
            <w:hideMark/>
          </w:tcPr>
          <w:p w14:paraId="723D74CC" w14:textId="77777777" w:rsidR="00524720" w:rsidRPr="00D9348B" w:rsidRDefault="00524720">
            <w:pPr>
              <w:pStyle w:val="TableTextBold"/>
              <w:spacing w:before="40" w:after="40"/>
              <w:rPr>
                <w:noProof w:val="0"/>
              </w:rPr>
            </w:pPr>
            <w:r w:rsidRPr="00D9348B">
              <w:rPr>
                <w:noProof w:val="0"/>
              </w:rPr>
              <w:t>2015</w:t>
            </w:r>
          </w:p>
        </w:tc>
        <w:tc>
          <w:tcPr>
            <w:tcW w:w="1590" w:type="dxa"/>
            <w:tcBorders>
              <w:top w:val="single" w:sz="4" w:space="0" w:color="365F91"/>
              <w:left w:val="nil"/>
              <w:bottom w:val="single" w:sz="4" w:space="0" w:color="365F91"/>
              <w:right w:val="nil"/>
            </w:tcBorders>
            <w:hideMark/>
          </w:tcPr>
          <w:p w14:paraId="3AB6A1C8" w14:textId="77777777" w:rsidR="00524720" w:rsidRPr="00D9348B" w:rsidRDefault="00524720">
            <w:pPr>
              <w:pStyle w:val="TableText"/>
              <w:spacing w:before="40" w:after="40"/>
              <w:jc w:val="center"/>
            </w:pPr>
            <w:r w:rsidRPr="00D9348B">
              <w:t>1.59</w:t>
            </w:r>
          </w:p>
        </w:tc>
        <w:tc>
          <w:tcPr>
            <w:tcW w:w="1548" w:type="dxa"/>
            <w:tcBorders>
              <w:top w:val="single" w:sz="4" w:space="0" w:color="365F91"/>
              <w:left w:val="nil"/>
              <w:bottom w:val="single" w:sz="4" w:space="0" w:color="365F91"/>
              <w:right w:val="nil"/>
            </w:tcBorders>
            <w:hideMark/>
          </w:tcPr>
          <w:p w14:paraId="0B695040" w14:textId="77777777" w:rsidR="00524720" w:rsidRPr="00D9348B" w:rsidRDefault="00524720">
            <w:pPr>
              <w:pStyle w:val="TableText"/>
              <w:spacing w:before="40" w:after="40"/>
              <w:jc w:val="center"/>
            </w:pPr>
            <w:r w:rsidRPr="00D9348B">
              <w:t>0.25</w:t>
            </w:r>
          </w:p>
        </w:tc>
        <w:tc>
          <w:tcPr>
            <w:tcW w:w="1616" w:type="dxa"/>
            <w:tcBorders>
              <w:top w:val="single" w:sz="4" w:space="0" w:color="365F91"/>
              <w:left w:val="nil"/>
              <w:bottom w:val="single" w:sz="4" w:space="0" w:color="365F91"/>
              <w:right w:val="nil"/>
            </w:tcBorders>
            <w:hideMark/>
          </w:tcPr>
          <w:p w14:paraId="62384B83" w14:textId="77777777" w:rsidR="00524720" w:rsidRPr="00D9348B" w:rsidRDefault="00524720">
            <w:pPr>
              <w:pStyle w:val="TableText"/>
              <w:spacing w:before="40" w:after="40"/>
              <w:jc w:val="center"/>
            </w:pPr>
            <w:r w:rsidRPr="00D9348B">
              <w:t>0.47</w:t>
            </w:r>
          </w:p>
        </w:tc>
        <w:tc>
          <w:tcPr>
            <w:tcW w:w="1358" w:type="dxa"/>
            <w:tcBorders>
              <w:top w:val="single" w:sz="4" w:space="0" w:color="365F91"/>
              <w:left w:val="nil"/>
              <w:bottom w:val="single" w:sz="4" w:space="0" w:color="365F91"/>
              <w:right w:val="nil"/>
            </w:tcBorders>
            <w:hideMark/>
          </w:tcPr>
          <w:p w14:paraId="24B5DD7F" w14:textId="77777777" w:rsidR="00524720" w:rsidRPr="00D9348B" w:rsidRDefault="00524720">
            <w:pPr>
              <w:pStyle w:val="TableText"/>
              <w:spacing w:before="40" w:after="40"/>
              <w:jc w:val="center"/>
            </w:pPr>
            <w:r w:rsidRPr="00D9348B">
              <w:t>0.61</w:t>
            </w:r>
          </w:p>
        </w:tc>
        <w:tc>
          <w:tcPr>
            <w:tcW w:w="1576" w:type="dxa"/>
            <w:tcBorders>
              <w:top w:val="single" w:sz="4" w:space="0" w:color="365F91"/>
              <w:left w:val="nil"/>
              <w:bottom w:val="single" w:sz="4" w:space="0" w:color="365F91"/>
              <w:right w:val="nil"/>
            </w:tcBorders>
            <w:hideMark/>
          </w:tcPr>
          <w:p w14:paraId="6FFF231B" w14:textId="77777777" w:rsidR="00524720" w:rsidRPr="00D9348B" w:rsidRDefault="00524720">
            <w:pPr>
              <w:pStyle w:val="TableText"/>
              <w:spacing w:before="40" w:after="40"/>
              <w:jc w:val="center"/>
            </w:pPr>
            <w:r w:rsidRPr="00D9348B">
              <w:t>2.92</w:t>
            </w:r>
          </w:p>
        </w:tc>
      </w:tr>
      <w:tr w:rsidR="00524720" w:rsidRPr="00D9348B" w14:paraId="5DAF1AE7" w14:textId="77777777" w:rsidTr="002B5847">
        <w:tc>
          <w:tcPr>
            <w:tcW w:w="925" w:type="dxa"/>
            <w:tcBorders>
              <w:top w:val="single" w:sz="4" w:space="0" w:color="365F91"/>
              <w:left w:val="nil"/>
              <w:bottom w:val="single" w:sz="4" w:space="0" w:color="365F91"/>
              <w:right w:val="nil"/>
            </w:tcBorders>
            <w:hideMark/>
          </w:tcPr>
          <w:p w14:paraId="5F8C6EB7" w14:textId="77777777" w:rsidR="00524720" w:rsidRPr="00D9348B" w:rsidRDefault="00524720">
            <w:pPr>
              <w:pStyle w:val="TableTextBold"/>
              <w:spacing w:before="40" w:after="40"/>
              <w:rPr>
                <w:noProof w:val="0"/>
              </w:rPr>
            </w:pPr>
            <w:r w:rsidRPr="00D9348B">
              <w:rPr>
                <w:noProof w:val="0"/>
              </w:rPr>
              <w:t>2016</w:t>
            </w:r>
          </w:p>
        </w:tc>
        <w:tc>
          <w:tcPr>
            <w:tcW w:w="1590" w:type="dxa"/>
            <w:tcBorders>
              <w:top w:val="single" w:sz="4" w:space="0" w:color="365F91"/>
              <w:left w:val="nil"/>
              <w:bottom w:val="single" w:sz="4" w:space="0" w:color="365F91"/>
              <w:right w:val="nil"/>
            </w:tcBorders>
            <w:hideMark/>
          </w:tcPr>
          <w:p w14:paraId="29805D11" w14:textId="77777777" w:rsidR="00524720" w:rsidRPr="00D9348B" w:rsidRDefault="00524720">
            <w:pPr>
              <w:pStyle w:val="TableText"/>
              <w:spacing w:before="40" w:after="40"/>
              <w:jc w:val="center"/>
            </w:pPr>
            <w:r w:rsidRPr="00D9348B">
              <w:t>1.51</w:t>
            </w:r>
          </w:p>
        </w:tc>
        <w:tc>
          <w:tcPr>
            <w:tcW w:w="1548" w:type="dxa"/>
            <w:tcBorders>
              <w:top w:val="single" w:sz="4" w:space="0" w:color="365F91"/>
              <w:left w:val="nil"/>
              <w:bottom w:val="single" w:sz="4" w:space="0" w:color="365F91"/>
              <w:right w:val="nil"/>
            </w:tcBorders>
            <w:hideMark/>
          </w:tcPr>
          <w:p w14:paraId="3C7F0EF2" w14:textId="77777777" w:rsidR="00524720" w:rsidRPr="00D9348B" w:rsidRDefault="00524720">
            <w:pPr>
              <w:pStyle w:val="TableText"/>
              <w:spacing w:before="40" w:after="40"/>
              <w:jc w:val="center"/>
            </w:pPr>
            <w:r w:rsidRPr="00D9348B">
              <w:t>0.27</w:t>
            </w:r>
          </w:p>
        </w:tc>
        <w:tc>
          <w:tcPr>
            <w:tcW w:w="1616" w:type="dxa"/>
            <w:tcBorders>
              <w:top w:val="single" w:sz="4" w:space="0" w:color="365F91"/>
              <w:left w:val="nil"/>
              <w:bottom w:val="single" w:sz="4" w:space="0" w:color="365F91"/>
              <w:right w:val="nil"/>
            </w:tcBorders>
            <w:hideMark/>
          </w:tcPr>
          <w:p w14:paraId="716D3579" w14:textId="77777777" w:rsidR="00524720" w:rsidRPr="00D9348B" w:rsidRDefault="00524720">
            <w:pPr>
              <w:pStyle w:val="TableText"/>
              <w:spacing w:before="40" w:after="40"/>
              <w:jc w:val="center"/>
            </w:pPr>
            <w:r w:rsidRPr="00D9348B">
              <w:t>0.47</w:t>
            </w:r>
          </w:p>
        </w:tc>
        <w:tc>
          <w:tcPr>
            <w:tcW w:w="1358" w:type="dxa"/>
            <w:tcBorders>
              <w:top w:val="single" w:sz="4" w:space="0" w:color="365F91"/>
              <w:left w:val="nil"/>
              <w:bottom w:val="single" w:sz="4" w:space="0" w:color="365F91"/>
              <w:right w:val="nil"/>
            </w:tcBorders>
            <w:hideMark/>
          </w:tcPr>
          <w:p w14:paraId="05A961D1" w14:textId="77777777" w:rsidR="00524720" w:rsidRPr="00D9348B" w:rsidRDefault="00524720">
            <w:pPr>
              <w:pStyle w:val="TableText"/>
              <w:spacing w:before="40" w:after="40"/>
              <w:jc w:val="center"/>
            </w:pPr>
            <w:r w:rsidRPr="00D9348B">
              <w:t>0.61</w:t>
            </w:r>
          </w:p>
        </w:tc>
        <w:tc>
          <w:tcPr>
            <w:tcW w:w="1576" w:type="dxa"/>
            <w:tcBorders>
              <w:top w:val="single" w:sz="4" w:space="0" w:color="365F91"/>
              <w:left w:val="nil"/>
              <w:bottom w:val="single" w:sz="4" w:space="0" w:color="365F91"/>
              <w:right w:val="nil"/>
            </w:tcBorders>
            <w:hideMark/>
          </w:tcPr>
          <w:p w14:paraId="4E1A2FF8" w14:textId="77777777" w:rsidR="00524720" w:rsidRPr="00D9348B" w:rsidRDefault="00524720">
            <w:pPr>
              <w:pStyle w:val="TableText"/>
              <w:spacing w:before="40" w:after="40"/>
              <w:jc w:val="center"/>
            </w:pPr>
            <w:r w:rsidRPr="00D9348B">
              <w:t>2.85</w:t>
            </w:r>
          </w:p>
        </w:tc>
      </w:tr>
      <w:tr w:rsidR="00524720" w:rsidRPr="00D9348B" w14:paraId="5A1F9D16" w14:textId="77777777" w:rsidTr="002B5847">
        <w:tc>
          <w:tcPr>
            <w:tcW w:w="925" w:type="dxa"/>
            <w:tcBorders>
              <w:top w:val="single" w:sz="4" w:space="0" w:color="365F91"/>
              <w:left w:val="nil"/>
              <w:bottom w:val="single" w:sz="4" w:space="0" w:color="365F91"/>
              <w:right w:val="nil"/>
            </w:tcBorders>
            <w:hideMark/>
          </w:tcPr>
          <w:p w14:paraId="21A7F9A5" w14:textId="77777777" w:rsidR="00524720" w:rsidRPr="00D9348B" w:rsidRDefault="00524720">
            <w:pPr>
              <w:pStyle w:val="TableTextBold"/>
              <w:spacing w:before="40" w:after="40"/>
              <w:rPr>
                <w:noProof w:val="0"/>
              </w:rPr>
            </w:pPr>
            <w:r w:rsidRPr="00D9348B">
              <w:rPr>
                <w:noProof w:val="0"/>
              </w:rPr>
              <w:t>2017</w:t>
            </w:r>
          </w:p>
        </w:tc>
        <w:tc>
          <w:tcPr>
            <w:tcW w:w="1590" w:type="dxa"/>
            <w:tcBorders>
              <w:top w:val="single" w:sz="4" w:space="0" w:color="365F91"/>
              <w:left w:val="nil"/>
              <w:bottom w:val="single" w:sz="4" w:space="0" w:color="365F91"/>
              <w:right w:val="nil"/>
            </w:tcBorders>
            <w:hideMark/>
          </w:tcPr>
          <w:p w14:paraId="4420EDBB" w14:textId="77777777" w:rsidR="00524720" w:rsidRPr="00D9348B" w:rsidRDefault="00524720">
            <w:pPr>
              <w:pStyle w:val="TableText"/>
              <w:spacing w:before="40" w:after="40"/>
              <w:jc w:val="center"/>
            </w:pPr>
            <w:r w:rsidRPr="00D9348B">
              <w:t>1.55</w:t>
            </w:r>
          </w:p>
        </w:tc>
        <w:tc>
          <w:tcPr>
            <w:tcW w:w="1548" w:type="dxa"/>
            <w:tcBorders>
              <w:top w:val="single" w:sz="4" w:space="0" w:color="365F91"/>
              <w:left w:val="nil"/>
              <w:bottom w:val="single" w:sz="4" w:space="0" w:color="365F91"/>
              <w:right w:val="nil"/>
            </w:tcBorders>
            <w:hideMark/>
          </w:tcPr>
          <w:p w14:paraId="3E4D0104" w14:textId="77777777" w:rsidR="00524720" w:rsidRPr="00D9348B" w:rsidRDefault="00524720">
            <w:pPr>
              <w:pStyle w:val="TableText"/>
              <w:spacing w:before="40" w:after="40"/>
              <w:jc w:val="center"/>
            </w:pPr>
            <w:r w:rsidRPr="00D9348B">
              <w:t>0.28</w:t>
            </w:r>
          </w:p>
        </w:tc>
        <w:tc>
          <w:tcPr>
            <w:tcW w:w="1616" w:type="dxa"/>
            <w:tcBorders>
              <w:top w:val="single" w:sz="4" w:space="0" w:color="365F91"/>
              <w:left w:val="nil"/>
              <w:bottom w:val="single" w:sz="4" w:space="0" w:color="365F91"/>
              <w:right w:val="nil"/>
            </w:tcBorders>
            <w:hideMark/>
          </w:tcPr>
          <w:p w14:paraId="2B2CC761" w14:textId="77777777" w:rsidR="00524720" w:rsidRPr="00D9348B" w:rsidRDefault="00524720">
            <w:pPr>
              <w:pStyle w:val="TableText"/>
              <w:spacing w:before="40" w:after="40"/>
              <w:jc w:val="center"/>
            </w:pPr>
            <w:r w:rsidRPr="00D9348B">
              <w:t>0.47</w:t>
            </w:r>
          </w:p>
        </w:tc>
        <w:tc>
          <w:tcPr>
            <w:tcW w:w="1358" w:type="dxa"/>
            <w:tcBorders>
              <w:top w:val="single" w:sz="4" w:space="0" w:color="365F91"/>
              <w:left w:val="nil"/>
              <w:bottom w:val="single" w:sz="4" w:space="0" w:color="365F91"/>
              <w:right w:val="nil"/>
            </w:tcBorders>
            <w:hideMark/>
          </w:tcPr>
          <w:p w14:paraId="6FE98E4E" w14:textId="77777777" w:rsidR="00524720" w:rsidRPr="00D9348B" w:rsidRDefault="00524720">
            <w:pPr>
              <w:pStyle w:val="TableText"/>
              <w:spacing w:before="40" w:after="40"/>
              <w:jc w:val="center"/>
            </w:pPr>
            <w:r w:rsidRPr="00D9348B">
              <w:t>0.61</w:t>
            </w:r>
          </w:p>
        </w:tc>
        <w:tc>
          <w:tcPr>
            <w:tcW w:w="1576" w:type="dxa"/>
            <w:tcBorders>
              <w:top w:val="single" w:sz="4" w:space="0" w:color="365F91"/>
              <w:left w:val="nil"/>
              <w:bottom w:val="single" w:sz="4" w:space="0" w:color="365F91"/>
              <w:right w:val="nil"/>
            </w:tcBorders>
            <w:hideMark/>
          </w:tcPr>
          <w:p w14:paraId="6E053DC5" w14:textId="77777777" w:rsidR="00524720" w:rsidRPr="00D9348B" w:rsidRDefault="00524720">
            <w:pPr>
              <w:pStyle w:val="TableText"/>
              <w:spacing w:before="40" w:after="40"/>
              <w:jc w:val="center"/>
            </w:pPr>
            <w:r w:rsidRPr="00D9348B">
              <w:t>2.91</w:t>
            </w:r>
          </w:p>
        </w:tc>
      </w:tr>
      <w:tr w:rsidR="00524720" w:rsidRPr="00D9348B" w14:paraId="3D99A4DE" w14:textId="77777777" w:rsidTr="002B5847">
        <w:tc>
          <w:tcPr>
            <w:tcW w:w="925" w:type="dxa"/>
            <w:tcBorders>
              <w:top w:val="single" w:sz="4" w:space="0" w:color="365F91"/>
              <w:left w:val="nil"/>
              <w:bottom w:val="single" w:sz="4" w:space="0" w:color="365F91"/>
              <w:right w:val="nil"/>
            </w:tcBorders>
            <w:hideMark/>
          </w:tcPr>
          <w:p w14:paraId="09DA2BD6" w14:textId="77777777" w:rsidR="00524720" w:rsidRPr="00D9348B" w:rsidRDefault="00524720">
            <w:pPr>
              <w:pStyle w:val="TableTextBold"/>
              <w:spacing w:before="40" w:after="40"/>
              <w:rPr>
                <w:noProof w:val="0"/>
              </w:rPr>
            </w:pPr>
            <w:r w:rsidRPr="00D9348B">
              <w:rPr>
                <w:noProof w:val="0"/>
              </w:rPr>
              <w:t>2018</w:t>
            </w:r>
          </w:p>
        </w:tc>
        <w:tc>
          <w:tcPr>
            <w:tcW w:w="1590" w:type="dxa"/>
            <w:tcBorders>
              <w:top w:val="single" w:sz="4" w:space="0" w:color="365F91"/>
              <w:left w:val="nil"/>
              <w:bottom w:val="single" w:sz="4" w:space="0" w:color="365F91"/>
              <w:right w:val="nil"/>
            </w:tcBorders>
            <w:hideMark/>
          </w:tcPr>
          <w:p w14:paraId="11D0783A" w14:textId="77777777" w:rsidR="00524720" w:rsidRPr="00D9348B" w:rsidRDefault="00524720">
            <w:pPr>
              <w:pStyle w:val="TableText"/>
              <w:spacing w:before="40" w:after="40"/>
              <w:jc w:val="center"/>
            </w:pPr>
            <w:r w:rsidRPr="00D9348B">
              <w:t>1.56</w:t>
            </w:r>
          </w:p>
        </w:tc>
        <w:tc>
          <w:tcPr>
            <w:tcW w:w="1548" w:type="dxa"/>
            <w:tcBorders>
              <w:top w:val="single" w:sz="4" w:space="0" w:color="365F91"/>
              <w:left w:val="nil"/>
              <w:bottom w:val="single" w:sz="4" w:space="0" w:color="365F91"/>
              <w:right w:val="nil"/>
            </w:tcBorders>
            <w:hideMark/>
          </w:tcPr>
          <w:p w14:paraId="05A1077D" w14:textId="77777777" w:rsidR="00524720" w:rsidRPr="00D9348B" w:rsidRDefault="00524720">
            <w:pPr>
              <w:pStyle w:val="TableText"/>
              <w:spacing w:before="40" w:after="40"/>
              <w:jc w:val="center"/>
            </w:pPr>
            <w:r w:rsidRPr="00D9348B">
              <w:t>0.30</w:t>
            </w:r>
          </w:p>
        </w:tc>
        <w:tc>
          <w:tcPr>
            <w:tcW w:w="1616" w:type="dxa"/>
            <w:tcBorders>
              <w:top w:val="single" w:sz="4" w:space="0" w:color="365F91"/>
              <w:left w:val="nil"/>
              <w:bottom w:val="single" w:sz="4" w:space="0" w:color="365F91"/>
              <w:right w:val="nil"/>
            </w:tcBorders>
            <w:hideMark/>
          </w:tcPr>
          <w:p w14:paraId="0DA905A7" w14:textId="77777777" w:rsidR="00524720" w:rsidRPr="00D9348B" w:rsidRDefault="00524720">
            <w:pPr>
              <w:pStyle w:val="TableText"/>
              <w:spacing w:before="40" w:after="40"/>
              <w:jc w:val="center"/>
            </w:pPr>
            <w:r w:rsidRPr="00D9348B">
              <w:t>0.48</w:t>
            </w:r>
          </w:p>
        </w:tc>
        <w:tc>
          <w:tcPr>
            <w:tcW w:w="1358" w:type="dxa"/>
            <w:tcBorders>
              <w:top w:val="single" w:sz="4" w:space="0" w:color="365F91"/>
              <w:left w:val="nil"/>
              <w:bottom w:val="single" w:sz="4" w:space="0" w:color="365F91"/>
              <w:right w:val="nil"/>
            </w:tcBorders>
            <w:hideMark/>
          </w:tcPr>
          <w:p w14:paraId="284A96D6" w14:textId="77777777" w:rsidR="00524720" w:rsidRPr="00D9348B" w:rsidRDefault="00524720">
            <w:pPr>
              <w:pStyle w:val="TableText"/>
              <w:spacing w:before="40" w:after="40"/>
              <w:jc w:val="center"/>
            </w:pPr>
            <w:r w:rsidRPr="00D9348B">
              <w:t>0.61</w:t>
            </w:r>
          </w:p>
        </w:tc>
        <w:tc>
          <w:tcPr>
            <w:tcW w:w="1576" w:type="dxa"/>
            <w:tcBorders>
              <w:top w:val="single" w:sz="4" w:space="0" w:color="365F91"/>
              <w:left w:val="nil"/>
              <w:bottom w:val="single" w:sz="4" w:space="0" w:color="365F91"/>
              <w:right w:val="nil"/>
            </w:tcBorders>
            <w:hideMark/>
          </w:tcPr>
          <w:p w14:paraId="508947F0" w14:textId="77777777" w:rsidR="00524720" w:rsidRPr="00D9348B" w:rsidRDefault="00524720">
            <w:pPr>
              <w:pStyle w:val="TableText"/>
              <w:spacing w:before="40" w:after="40"/>
              <w:jc w:val="center"/>
            </w:pPr>
            <w:r w:rsidRPr="00D9348B">
              <w:t>2.95</w:t>
            </w:r>
          </w:p>
        </w:tc>
      </w:tr>
    </w:tbl>
    <w:p w14:paraId="4A56BAF4" w14:textId="77777777" w:rsidR="00524720" w:rsidRPr="00D9348B" w:rsidRDefault="00524720" w:rsidP="00524720">
      <w:pPr>
        <w:pStyle w:val="Noteundertable"/>
      </w:pPr>
      <w:r w:rsidRPr="00D9348B">
        <w:rPr>
          <w:b/>
        </w:rPr>
        <w:t>Note:</w:t>
      </w:r>
      <w:r w:rsidRPr="00D9348B">
        <w:t xml:space="preserve"> </w:t>
      </w:r>
      <w:r w:rsidRPr="00D9348B">
        <w:tab/>
        <w:t>N = nitrogen. Columns may not total due to rounding.</w:t>
      </w:r>
    </w:p>
    <w:p w14:paraId="7C4F0877" w14:textId="77777777" w:rsidR="00524720" w:rsidRPr="00D9348B" w:rsidRDefault="00524720" w:rsidP="00D54BA9">
      <w:pPr>
        <w:pStyle w:val="Heading5"/>
        <w:spacing w:before="160"/>
      </w:pPr>
      <w:r w:rsidRPr="00D9348B">
        <w:t>Meat industry</w:t>
      </w:r>
    </w:p>
    <w:p w14:paraId="7F04B7A9" w14:textId="77777777" w:rsidR="00524720" w:rsidRPr="00D9348B" w:rsidRDefault="00524720" w:rsidP="00524720">
      <w:pPr>
        <w:pStyle w:val="BodyText"/>
      </w:pPr>
      <w:r w:rsidRPr="00D9348B">
        <w:t>Methane emissions from the meat industry are calculated from an estimate of the wastewater output from meat processing. This estimate is based on the total production (kills) from the different producers in the meat industry and uses data as far as possible consistent with the data for kills used in the Agriculture sector.</w:t>
      </w:r>
    </w:p>
    <w:p w14:paraId="7306C71A" w14:textId="77777777" w:rsidR="00524720" w:rsidRPr="00D9348B" w:rsidRDefault="00524720" w:rsidP="00524720">
      <w:pPr>
        <w:pStyle w:val="BodyText"/>
      </w:pPr>
      <w:r w:rsidRPr="00D9348B">
        <w:t>Poultry processing is calculated separately from other meat processing because its fraction of waste treated in anaerobic ponds and the unit chemical oxygen demand (COD) load are higher than other meat processing (Cardno, unpublished).</w:t>
      </w:r>
    </w:p>
    <w:p w14:paraId="66112242" w14:textId="77777777" w:rsidR="00524720" w:rsidRPr="00D9348B" w:rsidRDefault="00524720" w:rsidP="00524720">
      <w:pPr>
        <w:pStyle w:val="BodyText"/>
      </w:pPr>
      <w:r w:rsidRPr="00D9348B">
        <w:t>Rendering loads are not separated out in order to simplify the inventory calculations, because there are only a few standalone rendering plants in New Zealand and the rest are combined with meat processing plants. So the unit COD load includes rendering operations (Cardno, unpublished).</w:t>
      </w:r>
    </w:p>
    <w:p w14:paraId="3A5C3AE2" w14:textId="33FAF100" w:rsidR="00524720" w:rsidRPr="00D9348B" w:rsidRDefault="00524720" w:rsidP="00524720">
      <w:pPr>
        <w:pStyle w:val="BodyText"/>
      </w:pPr>
      <w:r w:rsidRPr="00D9348B">
        <w:t>Nitrous oxide emissions from the meat industry are calculated using the same activity data as</w:t>
      </w:r>
      <w:r w:rsidR="002B5847" w:rsidRPr="00D9348B">
        <w:t> </w:t>
      </w:r>
      <w:r w:rsidRPr="00D9348B">
        <w:t>for CH</w:t>
      </w:r>
      <w:r w:rsidRPr="00D9348B">
        <w:rPr>
          <w:vertAlign w:val="subscript"/>
        </w:rPr>
        <w:t>4</w:t>
      </w:r>
      <w:r w:rsidRPr="00D9348B">
        <w:t xml:space="preserve"> emissions. </w:t>
      </w:r>
    </w:p>
    <w:p w14:paraId="7F4BC212" w14:textId="77777777" w:rsidR="00524720" w:rsidRPr="00D9348B" w:rsidRDefault="00524720" w:rsidP="00D54BA9">
      <w:pPr>
        <w:pStyle w:val="Heading5"/>
        <w:spacing w:before="160"/>
      </w:pPr>
      <w:r w:rsidRPr="00D9348B">
        <w:t>Pulp and paper industry</w:t>
      </w:r>
    </w:p>
    <w:p w14:paraId="186121CE" w14:textId="77777777" w:rsidR="00524720" w:rsidRPr="00D9348B" w:rsidRDefault="00524720" w:rsidP="00524720">
      <w:pPr>
        <w:pStyle w:val="BodyText"/>
      </w:pPr>
      <w:r w:rsidRPr="00D9348B">
        <w:t>Estimated pulp and paper wastewater output is based on paper, paperboard and pulp production. This information is obtained from the Ministry for Primary Industries.</w:t>
      </w:r>
    </w:p>
    <w:p w14:paraId="615A99A6" w14:textId="77777777" w:rsidR="00524720" w:rsidRPr="00D9348B" w:rsidRDefault="00524720" w:rsidP="00D54BA9">
      <w:pPr>
        <w:pStyle w:val="Heading5"/>
        <w:spacing w:before="160"/>
      </w:pPr>
      <w:r w:rsidRPr="00D9348B">
        <w:t>Wine industry</w:t>
      </w:r>
    </w:p>
    <w:p w14:paraId="6BC56FE3" w14:textId="77777777" w:rsidR="00524720" w:rsidRPr="00D9348B" w:rsidRDefault="00524720" w:rsidP="00524720">
      <w:pPr>
        <w:pStyle w:val="BodyText"/>
      </w:pPr>
      <w:r w:rsidRPr="00D9348B">
        <w:t>Methane emissions from wastewater for the wine industry are based on the outputs obtained from the national organisation for New Zealand’s grape and wine sector. For the purposes of this assessment, an average industry wastewater discharge metric of 2.7 cubic metres of water per tonne of grapes processed is assumed. This value is derived from national data. It is noted that this value is significantly lower than IPCC default values (Beca Ltd, unpublished).</w:t>
      </w:r>
    </w:p>
    <w:p w14:paraId="1062379A" w14:textId="77777777" w:rsidR="00524720" w:rsidRPr="00D9348B" w:rsidRDefault="00524720" w:rsidP="00D54BA9">
      <w:pPr>
        <w:pStyle w:val="Heading5"/>
        <w:spacing w:before="160"/>
      </w:pPr>
      <w:r w:rsidRPr="00D9348B">
        <w:lastRenderedPageBreak/>
        <w:t>Wool scouring industry</w:t>
      </w:r>
    </w:p>
    <w:p w14:paraId="22FBC439" w14:textId="39895D36" w:rsidR="00524720" w:rsidRPr="00D9348B" w:rsidRDefault="00524720" w:rsidP="00524720">
      <w:pPr>
        <w:pStyle w:val="BodyText"/>
        <w:spacing w:after="100"/>
      </w:pPr>
      <w:r w:rsidRPr="00D9348B">
        <w:t>Methane emissions from wastewater for the wool scouring industry are based on the outputs obtained by SCS Wetherill Environmental (unpublished) for the years up to 2000. From 2001 to</w:t>
      </w:r>
      <w:r w:rsidR="002B5847" w:rsidRPr="00D9348B">
        <w:t> </w:t>
      </w:r>
      <w:r w:rsidRPr="00D9348B">
        <w:t>2012, the SCS estimates have been prorated against the industry’s output data and applied to the output data for these years. After 2012, the wool scouring industry used only aerobic treatment of wastewater and, consequently, no emissions are reported for 2013 onwards (Beca Ltd, unpublished).</w:t>
      </w:r>
    </w:p>
    <w:p w14:paraId="2FA377CE" w14:textId="77777777" w:rsidR="00524720" w:rsidRPr="00D9348B" w:rsidRDefault="00524720" w:rsidP="00D54BA9">
      <w:pPr>
        <w:pStyle w:val="Heading5"/>
        <w:spacing w:before="160"/>
      </w:pPr>
      <w:r w:rsidRPr="00D9348B">
        <w:t>Dairy processing industry</w:t>
      </w:r>
    </w:p>
    <w:p w14:paraId="2D37DD0C" w14:textId="24A7D198" w:rsidR="00524720" w:rsidRPr="00D9348B" w:rsidRDefault="00524720" w:rsidP="00524720">
      <w:pPr>
        <w:pStyle w:val="BodyText"/>
        <w:spacing w:before="100" w:after="100"/>
      </w:pPr>
      <w:r w:rsidRPr="00D9348B">
        <w:t>The dairy processing industry predominantly uses aerobic treatment. There is only one factory that uses anaerobic treatment. The emissions from the wastewater treatment process are recovered and most of the captured biogas (consisting of 55 per cent CH</w:t>
      </w:r>
      <w:r w:rsidRPr="00D9348B">
        <w:rPr>
          <w:vertAlign w:val="subscript"/>
        </w:rPr>
        <w:t>4</w:t>
      </w:r>
      <w:r w:rsidRPr="00D9348B">
        <w:t>) is used in boilers. The remainder is flared. Consequently, no CH</w:t>
      </w:r>
      <w:r w:rsidRPr="00D9348B">
        <w:rPr>
          <w:vertAlign w:val="subscript"/>
        </w:rPr>
        <w:t>4</w:t>
      </w:r>
      <w:r w:rsidRPr="00D9348B">
        <w:t xml:space="preserve"> emissions are reported from this industry (Beca</w:t>
      </w:r>
      <w:r w:rsidR="00CA56F2" w:rsidRPr="00D9348B">
        <w:t> </w:t>
      </w:r>
      <w:r w:rsidRPr="00D9348B">
        <w:t>Infrastructure Ltd, unpublished).</w:t>
      </w:r>
    </w:p>
    <w:p w14:paraId="5327EC93" w14:textId="77777777" w:rsidR="00524720" w:rsidRPr="00D9348B" w:rsidRDefault="00524720" w:rsidP="00524720">
      <w:pPr>
        <w:pStyle w:val="BodyText"/>
        <w:spacing w:before="100" w:after="100"/>
      </w:pPr>
      <w:r w:rsidRPr="00D9348B">
        <w:t>Nitrous oxide emissions from dairy industry wastewater are included, based on the review of methods for industrial wastewater by Cardno (unpublished). Emission estimates are based on the total litres of milk processed, consistent with data reported in the Agriculture sector. The production data are then converted from litres to kilograms by multiplying by 1.031 (the weight of 1 litre of milk) for the activity data used in the emissions calculations.</w:t>
      </w:r>
    </w:p>
    <w:p w14:paraId="3DABADBA" w14:textId="77777777" w:rsidR="00524720" w:rsidRPr="00D9348B" w:rsidRDefault="00524720" w:rsidP="00543AA5">
      <w:pPr>
        <w:pStyle w:val="Heading5"/>
        <w:spacing w:before="160"/>
      </w:pPr>
      <w:r w:rsidRPr="00D9348B">
        <w:t>Leather and skins industry</w:t>
      </w:r>
    </w:p>
    <w:p w14:paraId="7E3488BD" w14:textId="13F48898" w:rsidR="00524720" w:rsidRPr="00D9348B" w:rsidRDefault="00524720" w:rsidP="00524720">
      <w:pPr>
        <w:pStyle w:val="BodyText"/>
        <w:rPr>
          <w:spacing w:val="-2"/>
        </w:rPr>
      </w:pPr>
      <w:r w:rsidRPr="00D9348B">
        <w:rPr>
          <w:spacing w:val="-2"/>
        </w:rPr>
        <w:t xml:space="preserve">Methane emissions from wastewater for the leather and skins industry, also known as </w:t>
      </w:r>
      <w:r w:rsidR="00C453DB" w:rsidRPr="00D9348B">
        <w:rPr>
          <w:spacing w:val="-2"/>
        </w:rPr>
        <w:t>tanneries</w:t>
      </w:r>
      <w:r w:rsidR="00C453DB">
        <w:rPr>
          <w:spacing w:val="-2"/>
        </w:rPr>
        <w:t> </w:t>
      </w:r>
      <w:r w:rsidR="00C453DB" w:rsidRPr="00D9348B">
        <w:rPr>
          <w:spacing w:val="-2"/>
        </w:rPr>
        <w:t xml:space="preserve">and </w:t>
      </w:r>
      <w:r w:rsidRPr="00D9348B">
        <w:rPr>
          <w:spacing w:val="-2"/>
        </w:rPr>
        <w:t xml:space="preserve">fellmongers, are based on the outputs obtained by SCS Wetherill Environmental (unpublished) for the years up to 2001. From 2002, all wastewater from the tanneries is accounted for in domestic wastewater because all tanneries now discharge to the municipal wastewater system, however, some fellmongers still use aerobic treatment (Cardno, unpublished). </w:t>
      </w:r>
    </w:p>
    <w:p w14:paraId="406EC880" w14:textId="77777777" w:rsidR="00524720" w:rsidRPr="00D9348B" w:rsidRDefault="00524720" w:rsidP="00524720">
      <w:pPr>
        <w:pStyle w:val="BodyText"/>
      </w:pPr>
      <w:r w:rsidRPr="00D9348B">
        <w:t>Nitrous oxide emissions from wastewater for the leather and skins industry are based on the outputs obtained by SCS Wetherill Environmental (unpublished), reducing in 2002 to account for the tanneries that discharge entirely to the domestic system.</w:t>
      </w:r>
    </w:p>
    <w:p w14:paraId="750EAA7E" w14:textId="77777777" w:rsidR="00524720" w:rsidRPr="00D9348B" w:rsidRDefault="00524720" w:rsidP="00543AA5">
      <w:pPr>
        <w:pStyle w:val="Heading4"/>
        <w:spacing w:before="160"/>
      </w:pPr>
      <w:r w:rsidRPr="00D9348B">
        <w:t>Choice of methods</w:t>
      </w:r>
    </w:p>
    <w:p w14:paraId="4EAF955D" w14:textId="77777777" w:rsidR="00524720" w:rsidRPr="00D9348B" w:rsidRDefault="00524720" w:rsidP="00524720">
      <w:pPr>
        <w:pStyle w:val="BodyText"/>
      </w:pPr>
      <w:r w:rsidRPr="00D9348B">
        <w:t>Methods used to calculate emissions from wastewater handling are summarised in table 7.5.5. For domestic wastewater, the TOW is estimated for each individual treatment plant based on the population in the district served by the plant.</w:t>
      </w:r>
    </w:p>
    <w:p w14:paraId="4101F8B6" w14:textId="77777777" w:rsidR="00524720" w:rsidRPr="00D9348B" w:rsidRDefault="00524720" w:rsidP="00524720">
      <w:pPr>
        <w:pStyle w:val="Table"/>
        <w:spacing w:before="160"/>
      </w:pPr>
      <w:bookmarkStart w:id="2843" w:name="_Toc32828540"/>
      <w:bookmarkStart w:id="2844" w:name="_Toc32591370"/>
      <w:bookmarkStart w:id="2845" w:name="_Toc5269582"/>
      <w:bookmarkStart w:id="2846" w:name="_Toc511116833"/>
      <w:bookmarkStart w:id="2847" w:name="_Toc508019335"/>
      <w:bookmarkStart w:id="2848" w:name="_Toc481751608"/>
      <w:bookmarkStart w:id="2849" w:name="_Toc451176178"/>
      <w:bookmarkStart w:id="2850" w:name="_Toc444001626"/>
      <w:bookmarkStart w:id="2851" w:name="_Toc36224663"/>
      <w:r w:rsidRPr="00D9348B">
        <w:t>Table 7.5.5</w:t>
      </w:r>
      <w:r w:rsidRPr="00D9348B">
        <w:tab/>
        <w:t>Methods used for calculating emissions from wastewater treatment</w:t>
      </w:r>
      <w:bookmarkEnd w:id="2843"/>
      <w:bookmarkEnd w:id="2844"/>
      <w:bookmarkEnd w:id="2845"/>
      <w:bookmarkEnd w:id="2846"/>
      <w:bookmarkEnd w:id="2847"/>
      <w:bookmarkEnd w:id="2848"/>
      <w:bookmarkEnd w:id="2849"/>
      <w:bookmarkEnd w:id="2850"/>
      <w:bookmarkEnd w:id="2851"/>
    </w:p>
    <w:tbl>
      <w:tblPr>
        <w:tblW w:w="8505" w:type="dxa"/>
        <w:tblInd w:w="108" w:type="dxa"/>
        <w:tblBorders>
          <w:top w:val="single" w:sz="6" w:space="0" w:color="365F91"/>
          <w:bottom w:val="single" w:sz="6" w:space="0" w:color="365F91"/>
          <w:insideH w:val="single" w:sz="6" w:space="0" w:color="365F91"/>
        </w:tblBorders>
        <w:tblLook w:val="04A0" w:firstRow="1" w:lastRow="0" w:firstColumn="1" w:lastColumn="0" w:noHBand="0" w:noVBand="1"/>
      </w:tblPr>
      <w:tblGrid>
        <w:gridCol w:w="2268"/>
        <w:gridCol w:w="567"/>
        <w:gridCol w:w="2127"/>
        <w:gridCol w:w="850"/>
        <w:gridCol w:w="2693"/>
      </w:tblGrid>
      <w:tr w:rsidR="00B81BDA" w:rsidRPr="00D9348B" w14:paraId="5C020F0F" w14:textId="77777777" w:rsidTr="00B81BDA">
        <w:trPr>
          <w:tblHeader/>
        </w:trPr>
        <w:tc>
          <w:tcPr>
            <w:tcW w:w="2268" w:type="dxa"/>
            <w:tcBorders>
              <w:top w:val="single" w:sz="4" w:space="0" w:color="365F91"/>
              <w:left w:val="nil"/>
              <w:bottom w:val="single" w:sz="4" w:space="0" w:color="365F91"/>
              <w:right w:val="nil"/>
            </w:tcBorders>
            <w:shd w:val="clear" w:color="auto" w:fill="365F91"/>
            <w:hideMark/>
          </w:tcPr>
          <w:p w14:paraId="03AF357D" w14:textId="77777777" w:rsidR="00524720" w:rsidRPr="00D9348B" w:rsidRDefault="00524720" w:rsidP="00CA56F2">
            <w:pPr>
              <w:pStyle w:val="TableTextBold"/>
              <w:keepNext/>
              <w:rPr>
                <w:noProof w:val="0"/>
                <w:color w:val="FFFFFF"/>
              </w:rPr>
            </w:pPr>
            <w:r w:rsidRPr="00D9348B">
              <w:rPr>
                <w:noProof w:val="0"/>
                <w:color w:val="FFFFFF"/>
              </w:rPr>
              <w:t>Emissions category</w:t>
            </w:r>
          </w:p>
        </w:tc>
        <w:tc>
          <w:tcPr>
            <w:tcW w:w="567" w:type="dxa"/>
            <w:tcBorders>
              <w:top w:val="single" w:sz="4" w:space="0" w:color="365F91"/>
              <w:left w:val="nil"/>
              <w:bottom w:val="single" w:sz="4" w:space="0" w:color="365F91"/>
              <w:right w:val="nil"/>
            </w:tcBorders>
            <w:shd w:val="clear" w:color="auto" w:fill="365F91"/>
            <w:hideMark/>
          </w:tcPr>
          <w:p w14:paraId="73A3A7F1" w14:textId="77777777" w:rsidR="00524720" w:rsidRPr="00D9348B" w:rsidRDefault="00524720" w:rsidP="00CA56F2">
            <w:pPr>
              <w:pStyle w:val="TableTextBold"/>
              <w:keepNext/>
              <w:rPr>
                <w:noProof w:val="0"/>
                <w:color w:val="FFFFFF"/>
              </w:rPr>
            </w:pPr>
            <w:r w:rsidRPr="00D9348B">
              <w:rPr>
                <w:noProof w:val="0"/>
                <w:color w:val="FFFFFF"/>
              </w:rPr>
              <w:t>Gas</w:t>
            </w:r>
          </w:p>
        </w:tc>
        <w:tc>
          <w:tcPr>
            <w:tcW w:w="2127" w:type="dxa"/>
            <w:tcBorders>
              <w:top w:val="single" w:sz="4" w:space="0" w:color="365F91"/>
              <w:left w:val="nil"/>
              <w:bottom w:val="single" w:sz="4" w:space="0" w:color="365F91"/>
              <w:right w:val="nil"/>
            </w:tcBorders>
            <w:shd w:val="clear" w:color="auto" w:fill="365F91"/>
            <w:hideMark/>
          </w:tcPr>
          <w:p w14:paraId="686EB6D8" w14:textId="77777777" w:rsidR="00524720" w:rsidRPr="00D9348B" w:rsidRDefault="00524720" w:rsidP="00CA56F2">
            <w:pPr>
              <w:pStyle w:val="TableTextBold"/>
              <w:keepNext/>
              <w:rPr>
                <w:noProof w:val="0"/>
                <w:color w:val="FFFFFF"/>
              </w:rPr>
            </w:pPr>
            <w:r w:rsidRPr="00D9348B">
              <w:rPr>
                <w:noProof w:val="0"/>
                <w:color w:val="FFFFFF"/>
              </w:rPr>
              <w:t>Comment</w:t>
            </w:r>
          </w:p>
        </w:tc>
        <w:tc>
          <w:tcPr>
            <w:tcW w:w="850" w:type="dxa"/>
            <w:tcBorders>
              <w:top w:val="single" w:sz="4" w:space="0" w:color="365F91"/>
              <w:left w:val="nil"/>
              <w:bottom w:val="single" w:sz="4" w:space="0" w:color="365F91"/>
              <w:right w:val="nil"/>
            </w:tcBorders>
            <w:shd w:val="clear" w:color="auto" w:fill="365F91"/>
            <w:hideMark/>
          </w:tcPr>
          <w:p w14:paraId="7A6964B1" w14:textId="77777777" w:rsidR="00524720" w:rsidRPr="00D9348B" w:rsidRDefault="00524720" w:rsidP="00CA56F2">
            <w:pPr>
              <w:pStyle w:val="TableTextBold"/>
              <w:keepNext/>
              <w:rPr>
                <w:noProof w:val="0"/>
                <w:color w:val="FFFFFF"/>
              </w:rPr>
            </w:pPr>
            <w:r w:rsidRPr="00D9348B">
              <w:rPr>
                <w:noProof w:val="0"/>
                <w:color w:val="FFFFFF"/>
              </w:rPr>
              <w:t>Method</w:t>
            </w:r>
          </w:p>
        </w:tc>
        <w:tc>
          <w:tcPr>
            <w:tcW w:w="2693" w:type="dxa"/>
            <w:tcBorders>
              <w:top w:val="single" w:sz="4" w:space="0" w:color="365F91"/>
              <w:left w:val="nil"/>
              <w:bottom w:val="single" w:sz="4" w:space="0" w:color="365F91"/>
              <w:right w:val="nil"/>
            </w:tcBorders>
            <w:shd w:val="clear" w:color="auto" w:fill="365F91"/>
            <w:hideMark/>
          </w:tcPr>
          <w:p w14:paraId="3848CD8B" w14:textId="77777777" w:rsidR="00524720" w:rsidRPr="00D9348B" w:rsidRDefault="00524720" w:rsidP="00CA56F2">
            <w:pPr>
              <w:pStyle w:val="TableTextBold"/>
              <w:keepNext/>
              <w:rPr>
                <w:noProof w:val="0"/>
                <w:color w:val="FFFFFF"/>
              </w:rPr>
            </w:pPr>
            <w:r w:rsidRPr="00D9348B">
              <w:rPr>
                <w:noProof w:val="0"/>
                <w:color w:val="FFFFFF"/>
              </w:rPr>
              <w:t>Source</w:t>
            </w:r>
          </w:p>
        </w:tc>
      </w:tr>
      <w:tr w:rsidR="00524720" w:rsidRPr="00D9348B" w14:paraId="19698D9A" w14:textId="77777777" w:rsidTr="00B81BDA">
        <w:tc>
          <w:tcPr>
            <w:tcW w:w="2268" w:type="dxa"/>
            <w:tcBorders>
              <w:top w:val="single" w:sz="4" w:space="0" w:color="365F91"/>
              <w:left w:val="nil"/>
              <w:bottom w:val="single" w:sz="6" w:space="0" w:color="365F91"/>
              <w:right w:val="nil"/>
            </w:tcBorders>
            <w:shd w:val="clear" w:color="auto" w:fill="FFFFFF"/>
            <w:hideMark/>
          </w:tcPr>
          <w:p w14:paraId="560889D1" w14:textId="77777777" w:rsidR="00524720" w:rsidRPr="00D9348B" w:rsidRDefault="00524720">
            <w:pPr>
              <w:pStyle w:val="TableText"/>
              <w:spacing w:before="40" w:after="40"/>
              <w:rPr>
                <w:rFonts w:cs="Arial"/>
                <w:bCs/>
              </w:rPr>
            </w:pPr>
            <w:r w:rsidRPr="00D9348B">
              <w:rPr>
                <w:rFonts w:cs="Arial"/>
                <w:bCs/>
              </w:rPr>
              <w:t>Domestic wastewater (5.D.1)</w:t>
            </w:r>
          </w:p>
        </w:tc>
        <w:tc>
          <w:tcPr>
            <w:tcW w:w="567" w:type="dxa"/>
            <w:tcBorders>
              <w:top w:val="single" w:sz="4" w:space="0" w:color="365F91"/>
              <w:left w:val="nil"/>
              <w:bottom w:val="single" w:sz="6" w:space="0" w:color="365F91"/>
              <w:right w:val="nil"/>
            </w:tcBorders>
            <w:shd w:val="clear" w:color="auto" w:fill="FFFFFF"/>
            <w:hideMark/>
          </w:tcPr>
          <w:p w14:paraId="209BE8D3" w14:textId="77777777" w:rsidR="00524720" w:rsidRPr="00D9348B" w:rsidRDefault="00524720">
            <w:pPr>
              <w:pStyle w:val="TableText"/>
              <w:spacing w:before="40" w:after="40"/>
              <w:rPr>
                <w:rFonts w:cs="Arial"/>
                <w:bCs/>
              </w:rPr>
            </w:pPr>
            <w:r w:rsidRPr="00D9348B">
              <w:t>CH</w:t>
            </w:r>
            <w:r w:rsidRPr="00D9348B">
              <w:rPr>
                <w:vertAlign w:val="subscript"/>
              </w:rPr>
              <w:t>4</w:t>
            </w:r>
          </w:p>
        </w:tc>
        <w:tc>
          <w:tcPr>
            <w:tcW w:w="2127" w:type="dxa"/>
            <w:tcBorders>
              <w:top w:val="single" w:sz="4" w:space="0" w:color="365F91"/>
              <w:left w:val="nil"/>
              <w:bottom w:val="single" w:sz="6" w:space="0" w:color="365F91"/>
              <w:right w:val="nil"/>
            </w:tcBorders>
            <w:shd w:val="clear" w:color="auto" w:fill="FFFFFF"/>
          </w:tcPr>
          <w:p w14:paraId="183FAE96" w14:textId="77777777" w:rsidR="00524720" w:rsidRPr="00D9348B" w:rsidRDefault="00524720">
            <w:pPr>
              <w:pStyle w:val="TableText"/>
              <w:spacing w:before="40" w:after="40"/>
              <w:rPr>
                <w:rFonts w:cs="Arial"/>
                <w:bCs/>
              </w:rPr>
            </w:pPr>
          </w:p>
        </w:tc>
        <w:tc>
          <w:tcPr>
            <w:tcW w:w="850" w:type="dxa"/>
            <w:tcBorders>
              <w:top w:val="single" w:sz="4" w:space="0" w:color="365F91"/>
              <w:left w:val="nil"/>
              <w:bottom w:val="single" w:sz="6" w:space="0" w:color="365F91"/>
              <w:right w:val="nil"/>
            </w:tcBorders>
            <w:shd w:val="clear" w:color="auto" w:fill="FFFFFF"/>
            <w:hideMark/>
          </w:tcPr>
          <w:p w14:paraId="5E19725A" w14:textId="77777777" w:rsidR="00524720" w:rsidRPr="00D9348B" w:rsidRDefault="00524720">
            <w:pPr>
              <w:pStyle w:val="TableText"/>
              <w:spacing w:before="40" w:after="40"/>
              <w:rPr>
                <w:rFonts w:cs="Arial"/>
              </w:rPr>
            </w:pPr>
            <w:r w:rsidRPr="00D9348B">
              <w:rPr>
                <w:rFonts w:cs="Arial"/>
              </w:rPr>
              <w:t>Tier 2</w:t>
            </w:r>
          </w:p>
        </w:tc>
        <w:tc>
          <w:tcPr>
            <w:tcW w:w="2693" w:type="dxa"/>
            <w:tcBorders>
              <w:top w:val="single" w:sz="4" w:space="0" w:color="365F91"/>
              <w:left w:val="nil"/>
              <w:bottom w:val="single" w:sz="6" w:space="0" w:color="365F91"/>
              <w:right w:val="nil"/>
            </w:tcBorders>
            <w:shd w:val="clear" w:color="auto" w:fill="FFFFFF"/>
            <w:hideMark/>
          </w:tcPr>
          <w:p w14:paraId="1144D9F0" w14:textId="77777777" w:rsidR="00524720" w:rsidRPr="00D9348B" w:rsidRDefault="00524720">
            <w:pPr>
              <w:pStyle w:val="TableText"/>
              <w:spacing w:before="40" w:after="40"/>
              <w:rPr>
                <w:rFonts w:cs="Arial"/>
              </w:rPr>
            </w:pPr>
            <w:r w:rsidRPr="00D9348B">
              <w:rPr>
                <w:rFonts w:cs="Arial"/>
              </w:rPr>
              <w:t>SCS Wetherill Environmental (unpublished), Beca Infrastructure Ltd (unpublished)</w:t>
            </w:r>
          </w:p>
        </w:tc>
      </w:tr>
      <w:tr w:rsidR="00524720" w:rsidRPr="00D9348B" w14:paraId="7F5585D8" w14:textId="77777777" w:rsidTr="00B81BDA">
        <w:tc>
          <w:tcPr>
            <w:tcW w:w="2268" w:type="dxa"/>
            <w:tcBorders>
              <w:top w:val="single" w:sz="4" w:space="0" w:color="365F91"/>
              <w:left w:val="nil"/>
              <w:bottom w:val="single" w:sz="6" w:space="0" w:color="365F91"/>
              <w:right w:val="nil"/>
            </w:tcBorders>
            <w:shd w:val="clear" w:color="auto" w:fill="FFFFFF"/>
            <w:hideMark/>
          </w:tcPr>
          <w:p w14:paraId="016A1661" w14:textId="77777777" w:rsidR="00524720" w:rsidRPr="00D9348B" w:rsidRDefault="00524720">
            <w:pPr>
              <w:pStyle w:val="TableText"/>
              <w:spacing w:before="40" w:after="40"/>
              <w:rPr>
                <w:rFonts w:cs="Arial"/>
                <w:bCs/>
              </w:rPr>
            </w:pPr>
            <w:r w:rsidRPr="00D9348B">
              <w:rPr>
                <w:rFonts w:cs="Arial"/>
                <w:bCs/>
              </w:rPr>
              <w:t>Domestic wastewater (5.D.1)</w:t>
            </w:r>
          </w:p>
        </w:tc>
        <w:tc>
          <w:tcPr>
            <w:tcW w:w="567" w:type="dxa"/>
            <w:tcBorders>
              <w:top w:val="single" w:sz="4" w:space="0" w:color="365F91"/>
              <w:left w:val="nil"/>
              <w:bottom w:val="single" w:sz="6" w:space="0" w:color="365F91"/>
              <w:right w:val="nil"/>
            </w:tcBorders>
            <w:shd w:val="clear" w:color="auto" w:fill="FFFFFF"/>
            <w:hideMark/>
          </w:tcPr>
          <w:p w14:paraId="5DE93B03" w14:textId="77777777" w:rsidR="00524720" w:rsidRPr="00D9348B" w:rsidRDefault="00524720">
            <w:pPr>
              <w:pStyle w:val="TableText"/>
              <w:spacing w:before="40" w:after="40"/>
              <w:rPr>
                <w:rFonts w:cs="Arial"/>
                <w:bCs/>
              </w:rPr>
            </w:pPr>
            <w:r w:rsidRPr="00D9348B">
              <w:t>N</w:t>
            </w:r>
            <w:r w:rsidRPr="00D9348B">
              <w:rPr>
                <w:vertAlign w:val="subscript"/>
              </w:rPr>
              <w:t>2</w:t>
            </w:r>
            <w:r w:rsidRPr="00D9348B">
              <w:t>O</w:t>
            </w:r>
          </w:p>
        </w:tc>
        <w:tc>
          <w:tcPr>
            <w:tcW w:w="2127" w:type="dxa"/>
            <w:tcBorders>
              <w:top w:val="single" w:sz="4" w:space="0" w:color="365F91"/>
              <w:left w:val="nil"/>
              <w:bottom w:val="single" w:sz="6" w:space="0" w:color="365F91"/>
              <w:right w:val="nil"/>
            </w:tcBorders>
            <w:shd w:val="clear" w:color="auto" w:fill="FFFFFF"/>
            <w:hideMark/>
          </w:tcPr>
          <w:p w14:paraId="5789CFA3" w14:textId="77777777" w:rsidR="00524720" w:rsidRPr="00D9348B" w:rsidRDefault="00524720">
            <w:pPr>
              <w:pStyle w:val="TableText"/>
              <w:spacing w:before="40" w:after="40"/>
              <w:rPr>
                <w:rFonts w:cs="Arial"/>
                <w:bCs/>
              </w:rPr>
            </w:pPr>
            <w:r w:rsidRPr="00D9348B">
              <w:rPr>
                <w:rFonts w:cs="Arial"/>
                <w:bCs/>
              </w:rPr>
              <w:t>Based on average per-capita protein intake</w:t>
            </w:r>
          </w:p>
        </w:tc>
        <w:tc>
          <w:tcPr>
            <w:tcW w:w="850" w:type="dxa"/>
            <w:tcBorders>
              <w:top w:val="single" w:sz="4" w:space="0" w:color="365F91"/>
              <w:left w:val="nil"/>
              <w:bottom w:val="single" w:sz="6" w:space="0" w:color="365F91"/>
              <w:right w:val="nil"/>
            </w:tcBorders>
            <w:shd w:val="clear" w:color="auto" w:fill="FFFFFF"/>
            <w:hideMark/>
          </w:tcPr>
          <w:p w14:paraId="5CEF7495" w14:textId="77777777" w:rsidR="00524720" w:rsidRPr="00D9348B" w:rsidRDefault="00524720">
            <w:pPr>
              <w:pStyle w:val="TableText"/>
              <w:spacing w:before="40" w:after="40"/>
              <w:rPr>
                <w:rFonts w:cs="Arial"/>
              </w:rPr>
            </w:pPr>
            <w:r w:rsidRPr="00D9348B">
              <w:rPr>
                <w:rFonts w:cs="Arial"/>
              </w:rPr>
              <w:t>Tier 1</w:t>
            </w:r>
          </w:p>
        </w:tc>
        <w:tc>
          <w:tcPr>
            <w:tcW w:w="2693" w:type="dxa"/>
            <w:tcBorders>
              <w:top w:val="single" w:sz="4" w:space="0" w:color="365F91"/>
              <w:left w:val="nil"/>
              <w:bottom w:val="single" w:sz="6" w:space="0" w:color="365F91"/>
              <w:right w:val="nil"/>
            </w:tcBorders>
            <w:shd w:val="clear" w:color="auto" w:fill="FFFFFF"/>
            <w:hideMark/>
          </w:tcPr>
          <w:p w14:paraId="69586632" w14:textId="77777777" w:rsidR="00524720" w:rsidRPr="00D9348B" w:rsidRDefault="00524720">
            <w:pPr>
              <w:pStyle w:val="TableText"/>
              <w:spacing w:before="40" w:after="40"/>
              <w:rPr>
                <w:rFonts w:cs="Arial"/>
              </w:rPr>
            </w:pPr>
            <w:r w:rsidRPr="00D9348B">
              <w:rPr>
                <w:rFonts w:cs="Arial"/>
              </w:rPr>
              <w:t>IPCC (2006a)</w:t>
            </w:r>
          </w:p>
        </w:tc>
      </w:tr>
      <w:tr w:rsidR="00524720" w:rsidRPr="00D9348B" w14:paraId="24A3A75C" w14:textId="77777777" w:rsidTr="00B81BDA">
        <w:tc>
          <w:tcPr>
            <w:tcW w:w="2268" w:type="dxa"/>
            <w:tcBorders>
              <w:top w:val="single" w:sz="4" w:space="0" w:color="365F91"/>
              <w:left w:val="nil"/>
              <w:bottom w:val="single" w:sz="6" w:space="0" w:color="365F91"/>
              <w:right w:val="nil"/>
            </w:tcBorders>
            <w:shd w:val="clear" w:color="auto" w:fill="FFFFFF"/>
            <w:hideMark/>
          </w:tcPr>
          <w:p w14:paraId="0EFCAF13" w14:textId="77777777" w:rsidR="00524720" w:rsidRPr="00D9348B" w:rsidRDefault="00524720">
            <w:pPr>
              <w:pStyle w:val="TableText"/>
              <w:spacing w:before="40" w:after="40"/>
              <w:rPr>
                <w:rFonts w:cs="Arial"/>
                <w:bCs/>
              </w:rPr>
            </w:pPr>
            <w:r w:rsidRPr="00D9348B">
              <w:rPr>
                <w:rFonts w:cs="Arial"/>
                <w:bCs/>
              </w:rPr>
              <w:t xml:space="preserve">Industrial wastewater (5.D.2) </w:t>
            </w:r>
            <w:r w:rsidRPr="00D9348B">
              <w:rPr>
                <w:rFonts w:cs="Arial"/>
                <w:bCs/>
              </w:rPr>
              <w:br/>
              <w:t>– Meat industry</w:t>
            </w:r>
          </w:p>
        </w:tc>
        <w:tc>
          <w:tcPr>
            <w:tcW w:w="567" w:type="dxa"/>
            <w:tcBorders>
              <w:top w:val="single" w:sz="4" w:space="0" w:color="365F91"/>
              <w:left w:val="nil"/>
              <w:bottom w:val="single" w:sz="6" w:space="0" w:color="365F91"/>
              <w:right w:val="nil"/>
            </w:tcBorders>
            <w:shd w:val="clear" w:color="auto" w:fill="FFFFFF"/>
            <w:hideMark/>
          </w:tcPr>
          <w:p w14:paraId="0ED52C45" w14:textId="77777777" w:rsidR="00524720" w:rsidRPr="00D9348B" w:rsidRDefault="00524720">
            <w:pPr>
              <w:pStyle w:val="TableText"/>
              <w:spacing w:before="40" w:after="40"/>
              <w:rPr>
                <w:rFonts w:cs="Arial"/>
                <w:bCs/>
              </w:rPr>
            </w:pPr>
            <w:r w:rsidRPr="00D9348B">
              <w:t>CH</w:t>
            </w:r>
            <w:r w:rsidRPr="00D9348B">
              <w:rPr>
                <w:vertAlign w:val="subscript"/>
              </w:rPr>
              <w:t>4</w:t>
            </w:r>
          </w:p>
        </w:tc>
        <w:tc>
          <w:tcPr>
            <w:tcW w:w="2127" w:type="dxa"/>
            <w:tcBorders>
              <w:top w:val="single" w:sz="4" w:space="0" w:color="365F91"/>
              <w:left w:val="nil"/>
              <w:bottom w:val="single" w:sz="6" w:space="0" w:color="365F91"/>
              <w:right w:val="nil"/>
            </w:tcBorders>
            <w:shd w:val="clear" w:color="auto" w:fill="FFFFFF"/>
          </w:tcPr>
          <w:p w14:paraId="231007AB" w14:textId="77777777" w:rsidR="00524720" w:rsidRPr="00D9348B" w:rsidRDefault="00524720">
            <w:pPr>
              <w:pStyle w:val="TableText"/>
              <w:spacing w:before="40" w:after="40"/>
              <w:rPr>
                <w:rFonts w:cs="Arial"/>
                <w:bCs/>
              </w:rPr>
            </w:pPr>
          </w:p>
        </w:tc>
        <w:tc>
          <w:tcPr>
            <w:tcW w:w="850" w:type="dxa"/>
            <w:tcBorders>
              <w:top w:val="single" w:sz="4" w:space="0" w:color="365F91"/>
              <w:left w:val="nil"/>
              <w:bottom w:val="single" w:sz="6" w:space="0" w:color="365F91"/>
              <w:right w:val="nil"/>
            </w:tcBorders>
            <w:shd w:val="clear" w:color="auto" w:fill="FFFFFF"/>
            <w:hideMark/>
          </w:tcPr>
          <w:p w14:paraId="3902F23B" w14:textId="77777777" w:rsidR="00524720" w:rsidRPr="00D9348B" w:rsidRDefault="00524720">
            <w:pPr>
              <w:pStyle w:val="TableText"/>
              <w:spacing w:before="40" w:after="40"/>
              <w:rPr>
                <w:rFonts w:cs="Arial"/>
              </w:rPr>
            </w:pPr>
            <w:r w:rsidRPr="00D9348B">
              <w:rPr>
                <w:rFonts w:cs="Arial"/>
              </w:rPr>
              <w:t>Tier 1</w:t>
            </w:r>
          </w:p>
        </w:tc>
        <w:tc>
          <w:tcPr>
            <w:tcW w:w="2693" w:type="dxa"/>
            <w:tcBorders>
              <w:top w:val="single" w:sz="4" w:space="0" w:color="365F91"/>
              <w:left w:val="nil"/>
              <w:bottom w:val="single" w:sz="6" w:space="0" w:color="365F91"/>
              <w:right w:val="nil"/>
            </w:tcBorders>
            <w:shd w:val="clear" w:color="auto" w:fill="FFFFFF"/>
            <w:hideMark/>
          </w:tcPr>
          <w:p w14:paraId="4113835F" w14:textId="77777777" w:rsidR="00524720" w:rsidRPr="00D9348B" w:rsidRDefault="00524720">
            <w:pPr>
              <w:pStyle w:val="TableText"/>
              <w:spacing w:before="40" w:after="40"/>
              <w:rPr>
                <w:rFonts w:cs="Arial"/>
              </w:rPr>
            </w:pPr>
            <w:r w:rsidRPr="00D9348B">
              <w:rPr>
                <w:rFonts w:cs="Arial"/>
              </w:rPr>
              <w:t>IPCC (2006a)</w:t>
            </w:r>
          </w:p>
        </w:tc>
      </w:tr>
      <w:tr w:rsidR="00524720" w:rsidRPr="00D9348B" w14:paraId="0DF0E98D" w14:textId="77777777" w:rsidTr="00B81BDA">
        <w:tc>
          <w:tcPr>
            <w:tcW w:w="2268" w:type="dxa"/>
            <w:tcBorders>
              <w:top w:val="single" w:sz="6" w:space="0" w:color="365F91"/>
              <w:left w:val="nil"/>
              <w:bottom w:val="single" w:sz="6" w:space="0" w:color="365F91"/>
              <w:right w:val="nil"/>
            </w:tcBorders>
            <w:shd w:val="clear" w:color="auto" w:fill="FFFFFF"/>
            <w:hideMark/>
          </w:tcPr>
          <w:p w14:paraId="355831B7" w14:textId="77777777" w:rsidR="00524720" w:rsidRPr="00D9348B" w:rsidRDefault="00524720">
            <w:pPr>
              <w:pStyle w:val="TableText"/>
              <w:spacing w:before="40" w:after="40"/>
              <w:rPr>
                <w:rFonts w:cs="Arial"/>
                <w:bCs/>
              </w:rPr>
            </w:pPr>
            <w:r w:rsidRPr="00D9348B">
              <w:rPr>
                <w:rFonts w:cs="Arial"/>
                <w:bCs/>
              </w:rPr>
              <w:t xml:space="preserve">Industrial wastewater (5.D.2) </w:t>
            </w:r>
            <w:r w:rsidRPr="00D9348B">
              <w:rPr>
                <w:rFonts w:cs="Arial"/>
                <w:bCs/>
              </w:rPr>
              <w:br/>
              <w:t>– Pulp and paper industry</w:t>
            </w:r>
          </w:p>
        </w:tc>
        <w:tc>
          <w:tcPr>
            <w:tcW w:w="567" w:type="dxa"/>
            <w:tcBorders>
              <w:top w:val="single" w:sz="6" w:space="0" w:color="365F91"/>
              <w:left w:val="nil"/>
              <w:bottom w:val="single" w:sz="6" w:space="0" w:color="365F91"/>
              <w:right w:val="nil"/>
            </w:tcBorders>
            <w:shd w:val="clear" w:color="auto" w:fill="FFFFFF"/>
            <w:hideMark/>
          </w:tcPr>
          <w:p w14:paraId="1378034A" w14:textId="77777777" w:rsidR="00524720" w:rsidRPr="00D9348B" w:rsidRDefault="00524720">
            <w:pPr>
              <w:pStyle w:val="TableText"/>
              <w:spacing w:before="40" w:after="40"/>
              <w:rPr>
                <w:rFonts w:cs="Arial"/>
                <w:bCs/>
              </w:rPr>
            </w:pPr>
            <w:r w:rsidRPr="00D9348B">
              <w:t>CH</w:t>
            </w:r>
            <w:r w:rsidRPr="00D9348B">
              <w:rPr>
                <w:vertAlign w:val="subscript"/>
              </w:rPr>
              <w:t>4</w:t>
            </w:r>
          </w:p>
        </w:tc>
        <w:tc>
          <w:tcPr>
            <w:tcW w:w="2127" w:type="dxa"/>
            <w:tcBorders>
              <w:top w:val="single" w:sz="6" w:space="0" w:color="365F91"/>
              <w:left w:val="nil"/>
              <w:bottom w:val="single" w:sz="6" w:space="0" w:color="365F91"/>
              <w:right w:val="nil"/>
            </w:tcBorders>
            <w:shd w:val="clear" w:color="auto" w:fill="FFFFFF"/>
          </w:tcPr>
          <w:p w14:paraId="7E22DE22" w14:textId="77777777" w:rsidR="00524720" w:rsidRPr="00D9348B" w:rsidRDefault="00524720">
            <w:pPr>
              <w:pStyle w:val="TableText"/>
              <w:spacing w:before="40" w:after="40"/>
              <w:rPr>
                <w:rFonts w:cs="Arial"/>
                <w:bCs/>
              </w:rPr>
            </w:pPr>
          </w:p>
        </w:tc>
        <w:tc>
          <w:tcPr>
            <w:tcW w:w="850" w:type="dxa"/>
            <w:tcBorders>
              <w:top w:val="single" w:sz="6" w:space="0" w:color="365F91"/>
              <w:left w:val="nil"/>
              <w:bottom w:val="single" w:sz="6" w:space="0" w:color="365F91"/>
              <w:right w:val="nil"/>
            </w:tcBorders>
            <w:shd w:val="clear" w:color="auto" w:fill="FFFFFF"/>
            <w:hideMark/>
          </w:tcPr>
          <w:p w14:paraId="1AB0BDA8" w14:textId="77777777" w:rsidR="00524720" w:rsidRPr="00D9348B" w:rsidRDefault="00524720">
            <w:pPr>
              <w:pStyle w:val="TableText"/>
              <w:spacing w:before="40" w:after="40"/>
              <w:rPr>
                <w:rFonts w:cs="Arial"/>
              </w:rPr>
            </w:pPr>
            <w:r w:rsidRPr="00D9348B">
              <w:rPr>
                <w:rFonts w:cs="Arial"/>
              </w:rPr>
              <w:t>Tier 1</w:t>
            </w:r>
          </w:p>
        </w:tc>
        <w:tc>
          <w:tcPr>
            <w:tcW w:w="2693" w:type="dxa"/>
            <w:tcBorders>
              <w:top w:val="single" w:sz="6" w:space="0" w:color="365F91"/>
              <w:left w:val="nil"/>
              <w:bottom w:val="single" w:sz="6" w:space="0" w:color="365F91"/>
              <w:right w:val="nil"/>
            </w:tcBorders>
            <w:shd w:val="clear" w:color="auto" w:fill="FFFFFF"/>
            <w:hideMark/>
          </w:tcPr>
          <w:p w14:paraId="0968A0E3" w14:textId="77777777" w:rsidR="00524720" w:rsidRPr="00D9348B" w:rsidRDefault="00524720">
            <w:pPr>
              <w:pStyle w:val="TableText"/>
              <w:spacing w:before="40" w:after="40"/>
              <w:rPr>
                <w:rFonts w:cs="Arial"/>
              </w:rPr>
            </w:pPr>
            <w:r w:rsidRPr="00D9348B">
              <w:rPr>
                <w:rFonts w:cs="Arial"/>
              </w:rPr>
              <w:t>IPCC (2006a)</w:t>
            </w:r>
          </w:p>
        </w:tc>
      </w:tr>
      <w:tr w:rsidR="00524720" w:rsidRPr="00D9348B" w14:paraId="700D5313" w14:textId="77777777" w:rsidTr="00B81BDA">
        <w:tc>
          <w:tcPr>
            <w:tcW w:w="2268" w:type="dxa"/>
            <w:tcBorders>
              <w:top w:val="single" w:sz="6" w:space="0" w:color="365F91"/>
              <w:left w:val="nil"/>
              <w:bottom w:val="single" w:sz="6" w:space="0" w:color="365F91"/>
              <w:right w:val="nil"/>
            </w:tcBorders>
            <w:shd w:val="clear" w:color="auto" w:fill="FFFFFF"/>
            <w:hideMark/>
          </w:tcPr>
          <w:p w14:paraId="6E3C8BD4" w14:textId="77777777" w:rsidR="00524720" w:rsidRPr="00D9348B" w:rsidRDefault="00524720" w:rsidP="00543AA5">
            <w:pPr>
              <w:pStyle w:val="TableText"/>
              <w:keepNext/>
              <w:spacing w:before="40" w:after="40"/>
              <w:rPr>
                <w:rFonts w:cs="Arial"/>
                <w:bCs/>
              </w:rPr>
            </w:pPr>
            <w:r w:rsidRPr="00D9348B">
              <w:rPr>
                <w:rFonts w:cs="Arial"/>
                <w:bCs/>
              </w:rPr>
              <w:lastRenderedPageBreak/>
              <w:t xml:space="preserve">Industrial wastewater (5.D.2) </w:t>
            </w:r>
            <w:r w:rsidRPr="00D9348B">
              <w:rPr>
                <w:rFonts w:cs="Arial"/>
                <w:bCs/>
              </w:rPr>
              <w:br/>
              <w:t>– Wine industry</w:t>
            </w:r>
          </w:p>
        </w:tc>
        <w:tc>
          <w:tcPr>
            <w:tcW w:w="567" w:type="dxa"/>
            <w:tcBorders>
              <w:top w:val="single" w:sz="6" w:space="0" w:color="365F91"/>
              <w:left w:val="nil"/>
              <w:bottom w:val="single" w:sz="6" w:space="0" w:color="365F91"/>
              <w:right w:val="nil"/>
            </w:tcBorders>
            <w:shd w:val="clear" w:color="auto" w:fill="FFFFFF"/>
            <w:hideMark/>
          </w:tcPr>
          <w:p w14:paraId="23CD3A68" w14:textId="77777777" w:rsidR="00524720" w:rsidRPr="00D9348B" w:rsidRDefault="00524720" w:rsidP="00543AA5">
            <w:pPr>
              <w:pStyle w:val="TableText"/>
              <w:keepNext/>
              <w:spacing w:before="40" w:after="40"/>
              <w:rPr>
                <w:rFonts w:cs="Arial"/>
                <w:bCs/>
              </w:rPr>
            </w:pPr>
            <w:r w:rsidRPr="00D9348B">
              <w:t>CH</w:t>
            </w:r>
            <w:r w:rsidRPr="00D9348B">
              <w:rPr>
                <w:vertAlign w:val="subscript"/>
              </w:rPr>
              <w:t>4</w:t>
            </w:r>
          </w:p>
        </w:tc>
        <w:tc>
          <w:tcPr>
            <w:tcW w:w="2127" w:type="dxa"/>
            <w:tcBorders>
              <w:top w:val="single" w:sz="6" w:space="0" w:color="365F91"/>
              <w:left w:val="nil"/>
              <w:bottom w:val="single" w:sz="6" w:space="0" w:color="365F91"/>
              <w:right w:val="nil"/>
            </w:tcBorders>
            <w:shd w:val="clear" w:color="auto" w:fill="FFFFFF"/>
          </w:tcPr>
          <w:p w14:paraId="13465AF6" w14:textId="77777777" w:rsidR="00524720" w:rsidRPr="00D9348B" w:rsidRDefault="00524720" w:rsidP="00543AA5">
            <w:pPr>
              <w:pStyle w:val="TableText"/>
              <w:keepNext/>
              <w:spacing w:before="40" w:after="40"/>
              <w:rPr>
                <w:rFonts w:cs="Arial"/>
                <w:bCs/>
              </w:rPr>
            </w:pPr>
          </w:p>
        </w:tc>
        <w:tc>
          <w:tcPr>
            <w:tcW w:w="850" w:type="dxa"/>
            <w:tcBorders>
              <w:top w:val="single" w:sz="6" w:space="0" w:color="365F91"/>
              <w:left w:val="nil"/>
              <w:bottom w:val="single" w:sz="6" w:space="0" w:color="365F91"/>
              <w:right w:val="nil"/>
            </w:tcBorders>
            <w:shd w:val="clear" w:color="auto" w:fill="FFFFFF"/>
            <w:hideMark/>
          </w:tcPr>
          <w:p w14:paraId="0D1C452B" w14:textId="77777777" w:rsidR="00524720" w:rsidRPr="00D9348B" w:rsidRDefault="00524720" w:rsidP="00543AA5">
            <w:pPr>
              <w:pStyle w:val="TableText"/>
              <w:keepNext/>
              <w:spacing w:before="40" w:after="40"/>
              <w:rPr>
                <w:rFonts w:cs="Arial"/>
              </w:rPr>
            </w:pPr>
            <w:r w:rsidRPr="00D9348B">
              <w:rPr>
                <w:rFonts w:cs="Arial"/>
              </w:rPr>
              <w:t>Tier 2</w:t>
            </w:r>
          </w:p>
        </w:tc>
        <w:tc>
          <w:tcPr>
            <w:tcW w:w="2693" w:type="dxa"/>
            <w:tcBorders>
              <w:top w:val="single" w:sz="6" w:space="0" w:color="365F91"/>
              <w:left w:val="nil"/>
              <w:bottom w:val="single" w:sz="6" w:space="0" w:color="365F91"/>
              <w:right w:val="nil"/>
            </w:tcBorders>
            <w:shd w:val="clear" w:color="auto" w:fill="FFFFFF"/>
            <w:hideMark/>
          </w:tcPr>
          <w:p w14:paraId="10964622" w14:textId="77777777" w:rsidR="00524720" w:rsidRPr="00D9348B" w:rsidRDefault="00524720" w:rsidP="00543AA5">
            <w:pPr>
              <w:pStyle w:val="TableText"/>
              <w:keepNext/>
              <w:spacing w:before="40" w:after="40"/>
              <w:rPr>
                <w:rFonts w:cs="Arial"/>
              </w:rPr>
            </w:pPr>
            <w:r w:rsidRPr="00D9348B">
              <w:rPr>
                <w:rFonts w:cs="Arial"/>
              </w:rPr>
              <w:t>Beca Ltd (unpublished)</w:t>
            </w:r>
          </w:p>
        </w:tc>
      </w:tr>
      <w:tr w:rsidR="00524720" w:rsidRPr="00D9348B" w14:paraId="642FB95E" w14:textId="77777777" w:rsidTr="00B81BDA">
        <w:tc>
          <w:tcPr>
            <w:tcW w:w="2268" w:type="dxa"/>
            <w:tcBorders>
              <w:top w:val="single" w:sz="6" w:space="0" w:color="365F91"/>
              <w:left w:val="nil"/>
              <w:bottom w:val="single" w:sz="6" w:space="0" w:color="365F91"/>
              <w:right w:val="nil"/>
            </w:tcBorders>
            <w:shd w:val="clear" w:color="auto" w:fill="FFFFFF"/>
            <w:hideMark/>
          </w:tcPr>
          <w:p w14:paraId="4A39001B" w14:textId="77777777" w:rsidR="00524720" w:rsidRPr="00D9348B" w:rsidRDefault="00524720">
            <w:pPr>
              <w:pStyle w:val="TableText"/>
              <w:spacing w:before="40" w:after="40"/>
              <w:rPr>
                <w:rFonts w:cs="Arial"/>
                <w:bCs/>
              </w:rPr>
            </w:pPr>
            <w:r w:rsidRPr="00D9348B">
              <w:rPr>
                <w:rFonts w:cs="Arial"/>
                <w:bCs/>
              </w:rPr>
              <w:t>Industrial wastewater (5.D.2)</w:t>
            </w:r>
            <w:r w:rsidRPr="00D9348B">
              <w:rPr>
                <w:rFonts w:cs="Arial"/>
                <w:bCs/>
              </w:rPr>
              <w:br/>
              <w:t>– Wool scouring industry</w:t>
            </w:r>
          </w:p>
        </w:tc>
        <w:tc>
          <w:tcPr>
            <w:tcW w:w="567" w:type="dxa"/>
            <w:tcBorders>
              <w:top w:val="single" w:sz="6" w:space="0" w:color="365F91"/>
              <w:left w:val="nil"/>
              <w:bottom w:val="single" w:sz="6" w:space="0" w:color="365F91"/>
              <w:right w:val="nil"/>
            </w:tcBorders>
            <w:shd w:val="clear" w:color="auto" w:fill="FFFFFF"/>
            <w:hideMark/>
          </w:tcPr>
          <w:p w14:paraId="07C5DD8F" w14:textId="77777777" w:rsidR="00524720" w:rsidRPr="00D9348B" w:rsidRDefault="00524720">
            <w:pPr>
              <w:pStyle w:val="TableText"/>
              <w:spacing w:before="40" w:after="40"/>
              <w:rPr>
                <w:rFonts w:cs="Arial"/>
                <w:bCs/>
              </w:rPr>
            </w:pPr>
            <w:r w:rsidRPr="00D9348B">
              <w:t>CH</w:t>
            </w:r>
            <w:r w:rsidRPr="00D9348B">
              <w:rPr>
                <w:vertAlign w:val="subscript"/>
              </w:rPr>
              <w:t>4</w:t>
            </w:r>
          </w:p>
        </w:tc>
        <w:tc>
          <w:tcPr>
            <w:tcW w:w="2127" w:type="dxa"/>
            <w:tcBorders>
              <w:top w:val="single" w:sz="6" w:space="0" w:color="365F91"/>
              <w:left w:val="nil"/>
              <w:bottom w:val="single" w:sz="6" w:space="0" w:color="365F91"/>
              <w:right w:val="nil"/>
            </w:tcBorders>
            <w:shd w:val="clear" w:color="auto" w:fill="FFFFFF"/>
          </w:tcPr>
          <w:p w14:paraId="4CD170F1" w14:textId="77777777" w:rsidR="00524720" w:rsidRPr="00D9348B" w:rsidRDefault="00524720">
            <w:pPr>
              <w:pStyle w:val="TableText"/>
              <w:spacing w:before="40" w:after="40"/>
              <w:rPr>
                <w:rFonts w:cs="Arial"/>
                <w:bCs/>
              </w:rPr>
            </w:pPr>
          </w:p>
        </w:tc>
        <w:tc>
          <w:tcPr>
            <w:tcW w:w="850" w:type="dxa"/>
            <w:tcBorders>
              <w:top w:val="single" w:sz="6" w:space="0" w:color="365F91"/>
              <w:left w:val="nil"/>
              <w:bottom w:val="single" w:sz="6" w:space="0" w:color="365F91"/>
              <w:right w:val="nil"/>
            </w:tcBorders>
            <w:shd w:val="clear" w:color="auto" w:fill="FFFFFF"/>
            <w:hideMark/>
          </w:tcPr>
          <w:p w14:paraId="19E6BE05" w14:textId="77777777" w:rsidR="00524720" w:rsidRPr="00D9348B" w:rsidRDefault="00524720">
            <w:pPr>
              <w:pStyle w:val="TableText"/>
              <w:spacing w:before="40" w:after="40"/>
              <w:rPr>
                <w:rFonts w:cs="Arial"/>
              </w:rPr>
            </w:pPr>
            <w:r w:rsidRPr="00D9348B">
              <w:rPr>
                <w:rFonts w:cs="Arial"/>
              </w:rPr>
              <w:t>Tier 1</w:t>
            </w:r>
          </w:p>
        </w:tc>
        <w:tc>
          <w:tcPr>
            <w:tcW w:w="2693" w:type="dxa"/>
            <w:tcBorders>
              <w:top w:val="single" w:sz="6" w:space="0" w:color="365F91"/>
              <w:left w:val="nil"/>
              <w:bottom w:val="single" w:sz="6" w:space="0" w:color="365F91"/>
              <w:right w:val="nil"/>
            </w:tcBorders>
            <w:shd w:val="clear" w:color="auto" w:fill="FFFFFF"/>
            <w:hideMark/>
          </w:tcPr>
          <w:p w14:paraId="441491F2" w14:textId="77777777" w:rsidR="00524720" w:rsidRPr="00D9348B" w:rsidRDefault="00524720">
            <w:pPr>
              <w:pStyle w:val="TableText"/>
              <w:spacing w:before="40" w:after="40"/>
              <w:rPr>
                <w:rFonts w:cs="Arial"/>
              </w:rPr>
            </w:pPr>
            <w:r w:rsidRPr="00D9348B">
              <w:rPr>
                <w:rFonts w:cs="Arial"/>
              </w:rPr>
              <w:t>IPCC (2006a)</w:t>
            </w:r>
          </w:p>
        </w:tc>
      </w:tr>
      <w:tr w:rsidR="00524720" w:rsidRPr="00D9348B" w14:paraId="60B18168" w14:textId="77777777" w:rsidTr="00B81BDA">
        <w:tc>
          <w:tcPr>
            <w:tcW w:w="2268" w:type="dxa"/>
            <w:tcBorders>
              <w:top w:val="single" w:sz="6" w:space="0" w:color="365F91"/>
              <w:left w:val="nil"/>
              <w:bottom w:val="single" w:sz="6" w:space="0" w:color="365F91"/>
              <w:right w:val="nil"/>
            </w:tcBorders>
            <w:shd w:val="clear" w:color="auto" w:fill="FFFFFF"/>
            <w:hideMark/>
          </w:tcPr>
          <w:p w14:paraId="15E73DCB" w14:textId="77777777" w:rsidR="00524720" w:rsidRPr="00D9348B" w:rsidRDefault="00524720">
            <w:pPr>
              <w:pStyle w:val="TableText"/>
              <w:spacing w:before="40" w:after="40"/>
              <w:rPr>
                <w:rFonts w:cs="Arial"/>
                <w:bCs/>
              </w:rPr>
            </w:pPr>
            <w:r w:rsidRPr="00D9348B">
              <w:rPr>
                <w:rFonts w:cs="Arial"/>
                <w:bCs/>
              </w:rPr>
              <w:t>Industrial wastewater (5.D.2)</w:t>
            </w:r>
          </w:p>
        </w:tc>
        <w:tc>
          <w:tcPr>
            <w:tcW w:w="567" w:type="dxa"/>
            <w:tcBorders>
              <w:top w:val="single" w:sz="6" w:space="0" w:color="365F91"/>
              <w:left w:val="nil"/>
              <w:bottom w:val="single" w:sz="6" w:space="0" w:color="365F91"/>
              <w:right w:val="nil"/>
            </w:tcBorders>
            <w:shd w:val="clear" w:color="auto" w:fill="FFFFFF"/>
            <w:hideMark/>
          </w:tcPr>
          <w:p w14:paraId="633A44C6" w14:textId="77777777" w:rsidR="00524720" w:rsidRPr="00D9348B" w:rsidRDefault="00524720">
            <w:pPr>
              <w:pStyle w:val="TableText"/>
              <w:spacing w:before="40" w:after="40"/>
              <w:rPr>
                <w:rFonts w:cs="Arial"/>
                <w:bCs/>
              </w:rPr>
            </w:pPr>
            <w:r w:rsidRPr="00D9348B">
              <w:t>N</w:t>
            </w:r>
            <w:r w:rsidRPr="00D9348B">
              <w:rPr>
                <w:vertAlign w:val="subscript"/>
              </w:rPr>
              <w:t>2</w:t>
            </w:r>
            <w:r w:rsidRPr="00D9348B">
              <w:t>O</w:t>
            </w:r>
          </w:p>
        </w:tc>
        <w:tc>
          <w:tcPr>
            <w:tcW w:w="2127" w:type="dxa"/>
            <w:tcBorders>
              <w:top w:val="single" w:sz="6" w:space="0" w:color="365F91"/>
              <w:left w:val="nil"/>
              <w:bottom w:val="single" w:sz="6" w:space="0" w:color="365F91"/>
              <w:right w:val="nil"/>
            </w:tcBorders>
            <w:shd w:val="clear" w:color="auto" w:fill="FFFFFF"/>
            <w:hideMark/>
          </w:tcPr>
          <w:p w14:paraId="4D6D4A54" w14:textId="77777777" w:rsidR="00524720" w:rsidRPr="00D9348B" w:rsidRDefault="00524720">
            <w:pPr>
              <w:pStyle w:val="TableText"/>
              <w:spacing w:before="40" w:after="40"/>
              <w:rPr>
                <w:rFonts w:cs="Arial"/>
                <w:bCs/>
              </w:rPr>
            </w:pPr>
            <w:r w:rsidRPr="00D9348B">
              <w:rPr>
                <w:rFonts w:cs="Arial"/>
                <w:bCs/>
              </w:rPr>
              <w:t xml:space="preserve">Based on chemical oxygen demand from </w:t>
            </w:r>
            <w:r w:rsidRPr="00D9348B">
              <w:t>CH</w:t>
            </w:r>
            <w:r w:rsidRPr="00D9348B">
              <w:rPr>
                <w:vertAlign w:val="subscript"/>
              </w:rPr>
              <w:t xml:space="preserve">4 </w:t>
            </w:r>
            <w:r w:rsidRPr="00D9348B">
              <w:rPr>
                <w:rFonts w:cs="Arial"/>
                <w:bCs/>
              </w:rPr>
              <w:t>emissions</w:t>
            </w:r>
          </w:p>
        </w:tc>
        <w:tc>
          <w:tcPr>
            <w:tcW w:w="850" w:type="dxa"/>
            <w:tcBorders>
              <w:top w:val="single" w:sz="6" w:space="0" w:color="365F91"/>
              <w:left w:val="nil"/>
              <w:bottom w:val="single" w:sz="6" w:space="0" w:color="365F91"/>
              <w:right w:val="nil"/>
            </w:tcBorders>
            <w:shd w:val="clear" w:color="auto" w:fill="FFFFFF"/>
            <w:hideMark/>
          </w:tcPr>
          <w:p w14:paraId="74C94FA8" w14:textId="77777777" w:rsidR="00524720" w:rsidRPr="00D9348B" w:rsidRDefault="00524720">
            <w:pPr>
              <w:pStyle w:val="TableText"/>
              <w:spacing w:before="40" w:after="40"/>
              <w:rPr>
                <w:rFonts w:cs="Arial"/>
              </w:rPr>
            </w:pPr>
            <w:r w:rsidRPr="00D9348B">
              <w:rPr>
                <w:rFonts w:cs="Arial"/>
              </w:rPr>
              <w:t>Tier 2</w:t>
            </w:r>
          </w:p>
        </w:tc>
        <w:tc>
          <w:tcPr>
            <w:tcW w:w="2693" w:type="dxa"/>
            <w:tcBorders>
              <w:top w:val="single" w:sz="6" w:space="0" w:color="365F91"/>
              <w:left w:val="nil"/>
              <w:bottom w:val="single" w:sz="6" w:space="0" w:color="365F91"/>
              <w:right w:val="nil"/>
            </w:tcBorders>
            <w:shd w:val="clear" w:color="auto" w:fill="FFFFFF"/>
            <w:hideMark/>
          </w:tcPr>
          <w:p w14:paraId="6A01C362" w14:textId="77777777" w:rsidR="00524720" w:rsidRPr="00D9348B" w:rsidRDefault="00524720">
            <w:pPr>
              <w:pStyle w:val="TableText"/>
              <w:spacing w:before="40" w:after="40"/>
              <w:rPr>
                <w:rFonts w:cs="Arial"/>
              </w:rPr>
            </w:pPr>
            <w:r w:rsidRPr="00D9348B">
              <w:rPr>
                <w:rFonts w:cs="Arial"/>
              </w:rPr>
              <w:t>Cardno (unpublished)</w:t>
            </w:r>
          </w:p>
        </w:tc>
      </w:tr>
    </w:tbl>
    <w:p w14:paraId="14BE67D2" w14:textId="77777777" w:rsidR="00524720" w:rsidRPr="00D9348B" w:rsidRDefault="00524720" w:rsidP="00524720">
      <w:pPr>
        <w:pStyle w:val="Heading5"/>
        <w:spacing w:before="360"/>
      </w:pPr>
      <w:r w:rsidRPr="00D9348B">
        <w:t>Wine industry</w:t>
      </w:r>
    </w:p>
    <w:p w14:paraId="67A1B27C" w14:textId="77777777" w:rsidR="00524720" w:rsidRPr="00D9348B" w:rsidRDefault="00524720" w:rsidP="00524720">
      <w:pPr>
        <w:pStyle w:val="BodyText"/>
      </w:pPr>
      <w:r w:rsidRPr="00D9348B">
        <w:t>A Tier 2 approach is used to estimate emissions from the wine industry. Information on the wastewater treatment practices of the industry was obtained from a survey (Beca Ltd, unpublished). IPCC default values are used where New Zealand-specific information is not available.</w:t>
      </w:r>
    </w:p>
    <w:p w14:paraId="41493F06" w14:textId="77777777" w:rsidR="00524720" w:rsidRPr="00D9348B" w:rsidRDefault="00524720" w:rsidP="00543AA5">
      <w:pPr>
        <w:pStyle w:val="Heading5"/>
        <w:spacing w:before="160"/>
        <w:rPr>
          <w:iCs w:val="0"/>
        </w:rPr>
      </w:pPr>
      <w:r w:rsidRPr="00D9348B">
        <w:t>Nitrous oxide emissions</w:t>
      </w:r>
    </w:p>
    <w:p w14:paraId="3203AC50" w14:textId="77777777" w:rsidR="00524720" w:rsidRPr="00D9348B" w:rsidRDefault="00524720" w:rsidP="00524720">
      <w:pPr>
        <w:pStyle w:val="BodyText"/>
      </w:pPr>
      <w:r w:rsidRPr="00D9348B">
        <w:t>Direct emissions of N</w:t>
      </w:r>
      <w:r w:rsidRPr="00D9348B">
        <w:rPr>
          <w:vertAlign w:val="subscript"/>
        </w:rPr>
        <w:t>2</w:t>
      </w:r>
      <w:r w:rsidRPr="00D9348B">
        <w:t>O from domestic wastewater plants are typically minor and only occur in advanced centralised treatment plants. Good practice guidelines (IPCC, 2006a) advise that the estimation of direct N</w:t>
      </w:r>
      <w:r w:rsidRPr="00D9348B">
        <w:rPr>
          <w:vertAlign w:val="subscript"/>
        </w:rPr>
        <w:t>2</w:t>
      </w:r>
      <w:r w:rsidRPr="00D9348B">
        <w:t>O emissions is only necessary where advanced centralised treatment plants account for a major proportion of wastewater treatment. There is one wastewater treatment plant in Auckland that serves about a million people, however, direct N</w:t>
      </w:r>
      <w:r w:rsidRPr="00D9348B">
        <w:rPr>
          <w:vertAlign w:val="subscript"/>
        </w:rPr>
        <w:t>2</w:t>
      </w:r>
      <w:r w:rsidRPr="00D9348B">
        <w:t>O emissions are not estimated because they are likely to be small.</w:t>
      </w:r>
    </w:p>
    <w:p w14:paraId="51F63873" w14:textId="77777777" w:rsidR="00524720" w:rsidRPr="00D9348B" w:rsidRDefault="00524720" w:rsidP="00524720">
      <w:pPr>
        <w:pStyle w:val="BodyText"/>
      </w:pPr>
      <w:r w:rsidRPr="00D9348B">
        <w:t>However, indirect emissions of N</w:t>
      </w:r>
      <w:r w:rsidRPr="00D9348B">
        <w:rPr>
          <w:vertAlign w:val="subscript"/>
        </w:rPr>
        <w:t>2</w:t>
      </w:r>
      <w:r w:rsidRPr="00D9348B">
        <w:t>O may occur after disposal of effluent into waterways, lakes or the ocean. New Zealand reports indirect emissions of N</w:t>
      </w:r>
      <w:r w:rsidRPr="00D9348B">
        <w:rPr>
          <w:vertAlign w:val="subscript"/>
        </w:rPr>
        <w:t>2</w:t>
      </w:r>
      <w:r w:rsidRPr="00D9348B">
        <w:t>O from domestic wastewater.</w:t>
      </w:r>
    </w:p>
    <w:p w14:paraId="6DE0873D" w14:textId="77777777" w:rsidR="00524720" w:rsidRPr="00D9348B" w:rsidRDefault="00524720" w:rsidP="00524720">
      <w:pPr>
        <w:pStyle w:val="BodyText"/>
      </w:pPr>
      <w:r w:rsidRPr="00D9348B">
        <w:t>The IPCC Guidelines (IPCC, 2006a) indicate that, compared with domestic wastewater, the N</w:t>
      </w:r>
      <w:r w:rsidRPr="00D9348B">
        <w:rPr>
          <w:vertAlign w:val="subscript"/>
        </w:rPr>
        <w:t>2</w:t>
      </w:r>
      <w:r w:rsidRPr="00D9348B">
        <w:t>O emissions from industrial wastewater are believed to be insignificant. However, these emissions are not insignificant in New Zealand, because the meat and dairy processing industries produce nitrogen-rich wastewaters.</w:t>
      </w:r>
    </w:p>
    <w:p w14:paraId="59B12BD7" w14:textId="77777777" w:rsidR="00524720" w:rsidRPr="00D9348B" w:rsidRDefault="00524720" w:rsidP="00524720">
      <w:pPr>
        <w:pStyle w:val="BodyText"/>
      </w:pPr>
      <w:r w:rsidRPr="00D9348B">
        <w:t>The IPCC does not provide a method for calculating N</w:t>
      </w:r>
      <w:r w:rsidRPr="00D9348B">
        <w:rPr>
          <w:vertAlign w:val="subscript"/>
        </w:rPr>
        <w:t>2</w:t>
      </w:r>
      <w:r w:rsidRPr="00D9348B">
        <w:t>O emissions from industrial wastewater and, consequently, a New Zealand-derived method has been applied. The total nitrogen load is calculated by adopting the COD load as determined in calculating CH</w:t>
      </w:r>
      <w:r w:rsidRPr="00D9348B">
        <w:rPr>
          <w:vertAlign w:val="subscript"/>
        </w:rPr>
        <w:t>4</w:t>
      </w:r>
      <w:r w:rsidRPr="00D9348B">
        <w:t xml:space="preserve"> emissions from the same wastewater, and using an estimated ratio of COD to nitrogen in the wastewater for each of the different producers in the meat, dairy processing and leather and skins industries.</w:t>
      </w:r>
    </w:p>
    <w:p w14:paraId="7CEBBA88" w14:textId="77777777" w:rsidR="00524720" w:rsidRPr="00D9348B" w:rsidRDefault="00524720" w:rsidP="00865BDB">
      <w:pPr>
        <w:pStyle w:val="Heading4"/>
      </w:pPr>
      <w:r w:rsidRPr="00D9348B">
        <w:t>Choice of emission factors</w:t>
      </w:r>
    </w:p>
    <w:p w14:paraId="7A5FF507" w14:textId="77777777" w:rsidR="00524720" w:rsidRPr="00D9348B" w:rsidRDefault="00524720" w:rsidP="00524720">
      <w:pPr>
        <w:pStyle w:val="Heading5"/>
        <w:spacing w:before="120"/>
      </w:pPr>
      <w:r w:rsidRPr="00D9348B">
        <w:t>Domestic wastewater (5.D.1)</w:t>
      </w:r>
    </w:p>
    <w:p w14:paraId="4E481709" w14:textId="77777777" w:rsidR="00524720" w:rsidRPr="00D9348B" w:rsidRDefault="00524720" w:rsidP="00524720">
      <w:pPr>
        <w:pStyle w:val="Heading6"/>
        <w:spacing w:before="120"/>
        <w:rPr>
          <w:lang w:eastAsia="en-NZ"/>
        </w:rPr>
      </w:pPr>
      <w:r w:rsidRPr="00D9348B">
        <w:rPr>
          <w:lang w:eastAsia="en-NZ"/>
        </w:rPr>
        <w:t>Methane emissions from domestic wastewater treatment</w:t>
      </w:r>
    </w:p>
    <w:p w14:paraId="3EA89A19" w14:textId="77777777" w:rsidR="00524720" w:rsidRPr="00D9348B" w:rsidRDefault="00524720" w:rsidP="00524720">
      <w:pPr>
        <w:pStyle w:val="BodyText"/>
      </w:pPr>
      <w:r w:rsidRPr="00D9348B">
        <w:t>Table 7.5.6 provides a summary of the parameter values applied for estimating CH</w:t>
      </w:r>
      <w:r w:rsidRPr="00D9348B">
        <w:rPr>
          <w:vertAlign w:val="subscript"/>
        </w:rPr>
        <w:t>4</w:t>
      </w:r>
      <w:r w:rsidRPr="00D9348B">
        <w:t xml:space="preserve"> emissions from domestic wastewater treatment.</w:t>
      </w:r>
    </w:p>
    <w:p w14:paraId="652C8526" w14:textId="77777777" w:rsidR="00524720" w:rsidRPr="00D9348B" w:rsidRDefault="00524720" w:rsidP="00524720">
      <w:pPr>
        <w:pStyle w:val="Table"/>
      </w:pPr>
      <w:bookmarkStart w:id="2852" w:name="_Toc32828541"/>
      <w:bookmarkStart w:id="2853" w:name="_Toc32591371"/>
      <w:bookmarkStart w:id="2854" w:name="_Toc5269583"/>
      <w:bookmarkStart w:id="2855" w:name="_Toc511116834"/>
      <w:bookmarkStart w:id="2856" w:name="_Toc508019336"/>
      <w:bookmarkStart w:id="2857" w:name="_Toc481751609"/>
      <w:bookmarkStart w:id="2858" w:name="_Toc451176179"/>
      <w:bookmarkStart w:id="2859" w:name="_Toc444001627"/>
      <w:bookmarkStart w:id="2860" w:name="_Toc321399252"/>
      <w:bookmarkStart w:id="2861" w:name="_Toc36224664"/>
      <w:r w:rsidRPr="00D9348B">
        <w:lastRenderedPageBreak/>
        <w:t>Table 7.5.6</w:t>
      </w:r>
      <w:r w:rsidRPr="00D9348B">
        <w:tab/>
        <w:t>Parameter values applied by New Zealand for estimating methane emissions</w:t>
      </w:r>
      <w:r w:rsidRPr="00D9348B">
        <w:br/>
        <w:t>for domestic wastewater treatment</w:t>
      </w:r>
      <w:bookmarkEnd w:id="2852"/>
      <w:bookmarkEnd w:id="2853"/>
      <w:bookmarkEnd w:id="2854"/>
      <w:bookmarkEnd w:id="2855"/>
      <w:bookmarkEnd w:id="2856"/>
      <w:bookmarkEnd w:id="2857"/>
      <w:bookmarkEnd w:id="2858"/>
      <w:bookmarkEnd w:id="2859"/>
      <w:bookmarkEnd w:id="2860"/>
      <w:bookmarkEnd w:id="2861"/>
      <w:r w:rsidRPr="00D9348B">
        <w:t xml:space="preserve"> </w:t>
      </w:r>
    </w:p>
    <w:tbl>
      <w:tblPr>
        <w:tblW w:w="8505" w:type="dxa"/>
        <w:tblInd w:w="108" w:type="dxa"/>
        <w:tblLook w:val="04A0" w:firstRow="1" w:lastRow="0" w:firstColumn="1" w:lastColumn="0" w:noHBand="0" w:noVBand="1"/>
      </w:tblPr>
      <w:tblGrid>
        <w:gridCol w:w="2887"/>
        <w:gridCol w:w="1649"/>
        <w:gridCol w:w="1701"/>
        <w:gridCol w:w="2268"/>
      </w:tblGrid>
      <w:tr w:rsidR="00524720" w:rsidRPr="00D9348B" w14:paraId="4F43C1B1" w14:textId="77777777" w:rsidTr="00AD0CC5">
        <w:trPr>
          <w:tblHeader/>
        </w:trPr>
        <w:tc>
          <w:tcPr>
            <w:tcW w:w="2887" w:type="dxa"/>
            <w:tcBorders>
              <w:top w:val="single" w:sz="4" w:space="0" w:color="5B9BD5"/>
              <w:left w:val="nil"/>
              <w:bottom w:val="single" w:sz="4" w:space="0" w:color="365F91"/>
              <w:right w:val="nil"/>
            </w:tcBorders>
            <w:shd w:val="clear" w:color="auto" w:fill="365F91"/>
            <w:hideMark/>
          </w:tcPr>
          <w:p w14:paraId="77FCFB5C" w14:textId="77777777" w:rsidR="00524720" w:rsidRPr="00D9348B" w:rsidRDefault="00524720">
            <w:pPr>
              <w:pStyle w:val="TableTextBold"/>
              <w:keepNext/>
              <w:rPr>
                <w:noProof w:val="0"/>
                <w:color w:val="FFFFFF"/>
              </w:rPr>
            </w:pPr>
            <w:r w:rsidRPr="00D9348B">
              <w:rPr>
                <w:noProof w:val="0"/>
                <w:color w:val="FFFFFF"/>
              </w:rPr>
              <w:t>Parameter</w:t>
            </w:r>
          </w:p>
        </w:tc>
        <w:tc>
          <w:tcPr>
            <w:tcW w:w="1649" w:type="dxa"/>
            <w:tcBorders>
              <w:top w:val="single" w:sz="4" w:space="0" w:color="5B9BD5"/>
              <w:left w:val="nil"/>
              <w:bottom w:val="single" w:sz="4" w:space="0" w:color="365F91"/>
              <w:right w:val="nil"/>
            </w:tcBorders>
            <w:shd w:val="clear" w:color="auto" w:fill="365F91"/>
            <w:hideMark/>
          </w:tcPr>
          <w:p w14:paraId="3F440297" w14:textId="77777777" w:rsidR="00524720" w:rsidRPr="00D9348B" w:rsidRDefault="00524720">
            <w:pPr>
              <w:pStyle w:val="TableTextBold"/>
              <w:keepNext/>
              <w:rPr>
                <w:noProof w:val="0"/>
                <w:color w:val="FFFFFF"/>
              </w:rPr>
            </w:pPr>
            <w:r w:rsidRPr="00D9348B">
              <w:rPr>
                <w:noProof w:val="0"/>
                <w:color w:val="FFFFFF"/>
              </w:rPr>
              <w:t>Value</w:t>
            </w:r>
          </w:p>
        </w:tc>
        <w:tc>
          <w:tcPr>
            <w:tcW w:w="1701" w:type="dxa"/>
            <w:tcBorders>
              <w:top w:val="single" w:sz="4" w:space="0" w:color="5B9BD5"/>
              <w:left w:val="nil"/>
              <w:bottom w:val="single" w:sz="4" w:space="0" w:color="365F91"/>
              <w:right w:val="nil"/>
            </w:tcBorders>
            <w:shd w:val="clear" w:color="auto" w:fill="365F91"/>
            <w:hideMark/>
          </w:tcPr>
          <w:p w14:paraId="2F243299" w14:textId="77777777" w:rsidR="00524720" w:rsidRPr="00D9348B" w:rsidRDefault="00524720">
            <w:pPr>
              <w:pStyle w:val="TableTextBold"/>
              <w:keepNext/>
              <w:rPr>
                <w:noProof w:val="0"/>
                <w:color w:val="FFFFFF"/>
              </w:rPr>
            </w:pPr>
            <w:r w:rsidRPr="00D9348B">
              <w:rPr>
                <w:noProof w:val="0"/>
                <w:color w:val="FFFFFF"/>
              </w:rPr>
              <w:t>Source</w:t>
            </w:r>
          </w:p>
        </w:tc>
        <w:tc>
          <w:tcPr>
            <w:tcW w:w="2268" w:type="dxa"/>
            <w:tcBorders>
              <w:top w:val="single" w:sz="4" w:space="0" w:color="5B9BD5"/>
              <w:left w:val="nil"/>
              <w:bottom w:val="single" w:sz="4" w:space="0" w:color="365F91"/>
              <w:right w:val="nil"/>
            </w:tcBorders>
            <w:shd w:val="clear" w:color="auto" w:fill="365F91"/>
            <w:hideMark/>
          </w:tcPr>
          <w:p w14:paraId="1AB5E5F6" w14:textId="77777777" w:rsidR="00524720" w:rsidRPr="00D9348B" w:rsidRDefault="00524720">
            <w:pPr>
              <w:pStyle w:val="TableTextBold"/>
              <w:keepNext/>
              <w:rPr>
                <w:noProof w:val="0"/>
                <w:color w:val="FFFFFF"/>
              </w:rPr>
            </w:pPr>
            <w:r w:rsidRPr="00D9348B">
              <w:rPr>
                <w:noProof w:val="0"/>
                <w:color w:val="FFFFFF"/>
              </w:rPr>
              <w:t>Reference</w:t>
            </w:r>
          </w:p>
        </w:tc>
      </w:tr>
      <w:tr w:rsidR="00524720" w:rsidRPr="00D9348B" w14:paraId="77BAEE0C" w14:textId="77777777" w:rsidTr="00AD0CC5">
        <w:tc>
          <w:tcPr>
            <w:tcW w:w="2887" w:type="dxa"/>
            <w:tcBorders>
              <w:top w:val="single" w:sz="4" w:space="0" w:color="365F91"/>
              <w:left w:val="nil"/>
              <w:bottom w:val="single" w:sz="4" w:space="0" w:color="365F91"/>
              <w:right w:val="nil"/>
            </w:tcBorders>
            <w:hideMark/>
          </w:tcPr>
          <w:p w14:paraId="756A8D65" w14:textId="77777777" w:rsidR="00524720" w:rsidRPr="00D9348B" w:rsidRDefault="00524720">
            <w:pPr>
              <w:pStyle w:val="TableText"/>
              <w:keepNext/>
            </w:pPr>
            <w:r w:rsidRPr="00D9348B">
              <w:t>Methane correction factors</w:t>
            </w:r>
          </w:p>
        </w:tc>
        <w:tc>
          <w:tcPr>
            <w:tcW w:w="1649" w:type="dxa"/>
            <w:tcBorders>
              <w:top w:val="single" w:sz="4" w:space="0" w:color="365F91"/>
              <w:left w:val="nil"/>
              <w:bottom w:val="single" w:sz="4" w:space="0" w:color="365F91"/>
              <w:right w:val="nil"/>
            </w:tcBorders>
          </w:tcPr>
          <w:p w14:paraId="13BF63B0" w14:textId="77777777" w:rsidR="00524720" w:rsidRPr="00D9348B" w:rsidRDefault="00524720">
            <w:pPr>
              <w:pStyle w:val="TableText"/>
              <w:keepNext/>
            </w:pPr>
          </w:p>
        </w:tc>
        <w:tc>
          <w:tcPr>
            <w:tcW w:w="1701" w:type="dxa"/>
            <w:tcBorders>
              <w:top w:val="single" w:sz="4" w:space="0" w:color="365F91"/>
              <w:left w:val="nil"/>
              <w:bottom w:val="single" w:sz="4" w:space="0" w:color="365F91"/>
              <w:right w:val="nil"/>
            </w:tcBorders>
          </w:tcPr>
          <w:p w14:paraId="3060247D" w14:textId="77777777" w:rsidR="00524720" w:rsidRPr="00D9348B" w:rsidRDefault="00524720">
            <w:pPr>
              <w:pStyle w:val="TableText"/>
              <w:keepNext/>
            </w:pPr>
          </w:p>
        </w:tc>
        <w:tc>
          <w:tcPr>
            <w:tcW w:w="2268" w:type="dxa"/>
            <w:tcBorders>
              <w:top w:val="single" w:sz="4" w:space="0" w:color="365F91"/>
              <w:left w:val="nil"/>
              <w:bottom w:val="single" w:sz="4" w:space="0" w:color="365F91"/>
              <w:right w:val="nil"/>
            </w:tcBorders>
          </w:tcPr>
          <w:p w14:paraId="7364A92C" w14:textId="77777777" w:rsidR="00524720" w:rsidRPr="00D9348B" w:rsidRDefault="00524720">
            <w:pPr>
              <w:pStyle w:val="TableText"/>
              <w:keepNext/>
            </w:pPr>
          </w:p>
        </w:tc>
      </w:tr>
      <w:tr w:rsidR="00524720" w:rsidRPr="00D9348B" w14:paraId="3743F6EA" w14:textId="77777777" w:rsidTr="00AD0CC5">
        <w:tc>
          <w:tcPr>
            <w:tcW w:w="2887" w:type="dxa"/>
            <w:tcBorders>
              <w:top w:val="single" w:sz="4" w:space="0" w:color="365F91"/>
              <w:left w:val="nil"/>
              <w:bottom w:val="single" w:sz="4" w:space="0" w:color="365F91"/>
              <w:right w:val="nil"/>
            </w:tcBorders>
            <w:hideMark/>
          </w:tcPr>
          <w:p w14:paraId="594B464F" w14:textId="77777777" w:rsidR="00524720" w:rsidRPr="00D9348B" w:rsidRDefault="00524720">
            <w:pPr>
              <w:pStyle w:val="TableText"/>
              <w:keepNext/>
              <w:ind w:left="142"/>
              <w:rPr>
                <w:i/>
                <w:color w:val="000000"/>
              </w:rPr>
            </w:pPr>
            <w:r w:rsidRPr="00D9348B">
              <w:rPr>
                <w:i/>
                <w:color w:val="000000"/>
              </w:rPr>
              <w:t xml:space="preserve">Handling systems </w:t>
            </w:r>
            <w:r w:rsidRPr="00D9348B">
              <w:rPr>
                <w:i/>
              </w:rPr>
              <w:t>methane correction factor</w:t>
            </w:r>
          </w:p>
        </w:tc>
        <w:tc>
          <w:tcPr>
            <w:tcW w:w="1649" w:type="dxa"/>
            <w:tcBorders>
              <w:top w:val="single" w:sz="4" w:space="0" w:color="365F91"/>
              <w:left w:val="nil"/>
              <w:bottom w:val="single" w:sz="4" w:space="0" w:color="365F91"/>
              <w:right w:val="nil"/>
            </w:tcBorders>
            <w:hideMark/>
          </w:tcPr>
          <w:p w14:paraId="37D51998" w14:textId="77777777" w:rsidR="00524720" w:rsidRPr="00D9348B" w:rsidRDefault="00524720">
            <w:pPr>
              <w:pStyle w:val="TableText"/>
              <w:keepNext/>
            </w:pPr>
            <w:r w:rsidRPr="00D9348B">
              <w:t>Range of 0–0.65</w:t>
            </w:r>
          </w:p>
        </w:tc>
        <w:tc>
          <w:tcPr>
            <w:tcW w:w="1701" w:type="dxa"/>
            <w:tcBorders>
              <w:top w:val="single" w:sz="4" w:space="0" w:color="365F91"/>
              <w:left w:val="nil"/>
              <w:bottom w:val="single" w:sz="4" w:space="0" w:color="365F91"/>
              <w:right w:val="nil"/>
            </w:tcBorders>
            <w:hideMark/>
          </w:tcPr>
          <w:p w14:paraId="0543AE58" w14:textId="77777777" w:rsidR="00524720" w:rsidRPr="00D9348B" w:rsidRDefault="00524720">
            <w:pPr>
              <w:pStyle w:val="TableText"/>
              <w:keepNext/>
            </w:pPr>
            <w:r w:rsidRPr="00D9348B">
              <w:t>New Zealand specific</w:t>
            </w:r>
          </w:p>
        </w:tc>
        <w:tc>
          <w:tcPr>
            <w:tcW w:w="2268" w:type="dxa"/>
            <w:tcBorders>
              <w:top w:val="single" w:sz="4" w:space="0" w:color="365F91"/>
              <w:left w:val="nil"/>
              <w:bottom w:val="single" w:sz="4" w:space="0" w:color="365F91"/>
              <w:right w:val="nil"/>
            </w:tcBorders>
            <w:hideMark/>
          </w:tcPr>
          <w:p w14:paraId="10841C72" w14:textId="77777777" w:rsidR="00524720" w:rsidRPr="00D9348B" w:rsidRDefault="00524720">
            <w:pPr>
              <w:pStyle w:val="TableText"/>
              <w:keepNext/>
            </w:pPr>
            <w:r w:rsidRPr="00D9348B">
              <w:t>SCS Wetherill Environmental (unpublished)</w:t>
            </w:r>
          </w:p>
        </w:tc>
      </w:tr>
      <w:tr w:rsidR="00524720" w:rsidRPr="00D9348B" w14:paraId="68DE2A8E" w14:textId="77777777" w:rsidTr="00AD0CC5">
        <w:tc>
          <w:tcPr>
            <w:tcW w:w="2887" w:type="dxa"/>
            <w:tcBorders>
              <w:top w:val="single" w:sz="4" w:space="0" w:color="365F91"/>
              <w:left w:val="nil"/>
              <w:bottom w:val="single" w:sz="4" w:space="0" w:color="365F91"/>
              <w:right w:val="nil"/>
            </w:tcBorders>
            <w:hideMark/>
          </w:tcPr>
          <w:p w14:paraId="45643D02" w14:textId="77777777" w:rsidR="00524720" w:rsidRPr="00D9348B" w:rsidRDefault="00524720">
            <w:pPr>
              <w:pStyle w:val="TableText"/>
              <w:ind w:left="142"/>
              <w:rPr>
                <w:i/>
                <w:color w:val="000000"/>
              </w:rPr>
            </w:pPr>
            <w:r w:rsidRPr="00D9348B">
              <w:rPr>
                <w:i/>
                <w:color w:val="000000"/>
              </w:rPr>
              <w:t xml:space="preserve">Aggregated </w:t>
            </w:r>
            <w:r w:rsidRPr="00D9348B">
              <w:rPr>
                <w:i/>
              </w:rPr>
              <w:t>methane correction factor</w:t>
            </w:r>
          </w:p>
        </w:tc>
        <w:tc>
          <w:tcPr>
            <w:tcW w:w="1649" w:type="dxa"/>
            <w:tcBorders>
              <w:top w:val="single" w:sz="4" w:space="0" w:color="365F91"/>
              <w:left w:val="nil"/>
              <w:bottom w:val="single" w:sz="4" w:space="0" w:color="365F91"/>
              <w:right w:val="nil"/>
            </w:tcBorders>
            <w:hideMark/>
          </w:tcPr>
          <w:p w14:paraId="318552F0" w14:textId="77777777" w:rsidR="00524720" w:rsidRPr="00D9348B" w:rsidRDefault="00524720">
            <w:pPr>
              <w:pStyle w:val="TableText"/>
            </w:pPr>
            <w:r w:rsidRPr="00D9348B">
              <w:t>Range of 0.032–0.043</w:t>
            </w:r>
          </w:p>
        </w:tc>
        <w:tc>
          <w:tcPr>
            <w:tcW w:w="1701" w:type="dxa"/>
            <w:tcBorders>
              <w:top w:val="single" w:sz="4" w:space="0" w:color="365F91"/>
              <w:left w:val="nil"/>
              <w:bottom w:val="single" w:sz="4" w:space="0" w:color="365F91"/>
              <w:right w:val="nil"/>
            </w:tcBorders>
            <w:hideMark/>
          </w:tcPr>
          <w:p w14:paraId="62CB9987" w14:textId="77777777" w:rsidR="00524720" w:rsidRPr="00D9348B" w:rsidRDefault="00524720">
            <w:pPr>
              <w:pStyle w:val="TableText"/>
            </w:pPr>
            <w:r w:rsidRPr="00D9348B">
              <w:t>New Zealand specific</w:t>
            </w:r>
          </w:p>
        </w:tc>
        <w:tc>
          <w:tcPr>
            <w:tcW w:w="2268" w:type="dxa"/>
            <w:tcBorders>
              <w:top w:val="single" w:sz="4" w:space="0" w:color="365F91"/>
              <w:left w:val="nil"/>
              <w:bottom w:val="single" w:sz="4" w:space="0" w:color="365F91"/>
              <w:right w:val="nil"/>
            </w:tcBorders>
            <w:hideMark/>
          </w:tcPr>
          <w:p w14:paraId="37CDAFCD" w14:textId="77777777" w:rsidR="00524720" w:rsidRPr="00D9348B" w:rsidRDefault="00524720">
            <w:pPr>
              <w:pStyle w:val="TableText"/>
            </w:pPr>
            <w:r w:rsidRPr="00D9348B">
              <w:t>SCS Wetherill Environmental (unpublished)</w:t>
            </w:r>
          </w:p>
        </w:tc>
      </w:tr>
      <w:tr w:rsidR="00524720" w:rsidRPr="00D9348B" w14:paraId="0EC18B85" w14:textId="77777777" w:rsidTr="00AD0CC5">
        <w:tc>
          <w:tcPr>
            <w:tcW w:w="2887" w:type="dxa"/>
            <w:tcBorders>
              <w:top w:val="single" w:sz="4" w:space="0" w:color="365F91"/>
              <w:left w:val="nil"/>
              <w:bottom w:val="single" w:sz="4" w:space="0" w:color="365F91"/>
              <w:right w:val="nil"/>
            </w:tcBorders>
            <w:hideMark/>
          </w:tcPr>
          <w:p w14:paraId="2E1376AF" w14:textId="77777777" w:rsidR="00524720" w:rsidRPr="00D9348B" w:rsidRDefault="00524720">
            <w:pPr>
              <w:pStyle w:val="TableText"/>
              <w:rPr>
                <w:color w:val="000000"/>
              </w:rPr>
            </w:pPr>
            <w:r w:rsidRPr="00D9348B">
              <w:rPr>
                <w:color w:val="000000"/>
              </w:rPr>
              <w:t>Biochemical oxygen demand (BOD) (kg BOD/person/year)</w:t>
            </w:r>
          </w:p>
        </w:tc>
        <w:tc>
          <w:tcPr>
            <w:tcW w:w="1649" w:type="dxa"/>
            <w:tcBorders>
              <w:top w:val="single" w:sz="4" w:space="0" w:color="365F91"/>
              <w:left w:val="nil"/>
              <w:bottom w:val="single" w:sz="4" w:space="0" w:color="365F91"/>
              <w:right w:val="nil"/>
            </w:tcBorders>
            <w:hideMark/>
          </w:tcPr>
          <w:p w14:paraId="3BBCDD09" w14:textId="77777777" w:rsidR="00524720" w:rsidRPr="00D9348B" w:rsidRDefault="00524720">
            <w:pPr>
              <w:pStyle w:val="TableText"/>
            </w:pPr>
            <w:r w:rsidRPr="00D9348B">
              <w:t>26</w:t>
            </w:r>
          </w:p>
        </w:tc>
        <w:tc>
          <w:tcPr>
            <w:tcW w:w="1701" w:type="dxa"/>
            <w:tcBorders>
              <w:top w:val="single" w:sz="4" w:space="0" w:color="365F91"/>
              <w:left w:val="nil"/>
              <w:bottom w:val="single" w:sz="4" w:space="0" w:color="365F91"/>
              <w:right w:val="nil"/>
            </w:tcBorders>
            <w:hideMark/>
          </w:tcPr>
          <w:p w14:paraId="5778645B" w14:textId="77777777" w:rsidR="00524720" w:rsidRPr="00D9348B" w:rsidRDefault="00524720">
            <w:pPr>
              <w:pStyle w:val="TableText"/>
            </w:pPr>
            <w:r w:rsidRPr="00D9348B">
              <w:t>New Zealand specific</w:t>
            </w:r>
          </w:p>
        </w:tc>
        <w:tc>
          <w:tcPr>
            <w:tcW w:w="2268" w:type="dxa"/>
            <w:tcBorders>
              <w:top w:val="single" w:sz="4" w:space="0" w:color="365F91"/>
              <w:left w:val="nil"/>
              <w:bottom w:val="single" w:sz="4" w:space="0" w:color="365F91"/>
              <w:right w:val="nil"/>
            </w:tcBorders>
            <w:hideMark/>
          </w:tcPr>
          <w:p w14:paraId="40AED8D7" w14:textId="77777777" w:rsidR="00524720" w:rsidRPr="00D9348B" w:rsidRDefault="00524720">
            <w:pPr>
              <w:pStyle w:val="TableText"/>
            </w:pPr>
            <w:r w:rsidRPr="00D9348B">
              <w:t>Beca Infrastructure Ltd (unpublished)</w:t>
            </w:r>
          </w:p>
        </w:tc>
      </w:tr>
      <w:tr w:rsidR="00524720" w:rsidRPr="00D9348B" w14:paraId="4CB8BEF3" w14:textId="77777777" w:rsidTr="00AD0CC5">
        <w:tc>
          <w:tcPr>
            <w:tcW w:w="2887" w:type="dxa"/>
            <w:tcBorders>
              <w:top w:val="single" w:sz="4" w:space="0" w:color="365F91"/>
              <w:left w:val="nil"/>
              <w:bottom w:val="single" w:sz="4" w:space="0" w:color="365F91"/>
              <w:right w:val="nil"/>
            </w:tcBorders>
            <w:hideMark/>
          </w:tcPr>
          <w:p w14:paraId="321237DF" w14:textId="77777777" w:rsidR="00524720" w:rsidRPr="00D9348B" w:rsidRDefault="00524720">
            <w:pPr>
              <w:pStyle w:val="TableText"/>
              <w:rPr>
                <w:color w:val="000000"/>
              </w:rPr>
            </w:pPr>
            <w:r w:rsidRPr="00D9348B">
              <w:rPr>
                <w:color w:val="000000"/>
              </w:rPr>
              <w:t>Correction factor for BOD</w:t>
            </w:r>
          </w:p>
        </w:tc>
        <w:tc>
          <w:tcPr>
            <w:tcW w:w="1649" w:type="dxa"/>
            <w:tcBorders>
              <w:top w:val="single" w:sz="4" w:space="0" w:color="365F91"/>
              <w:left w:val="nil"/>
              <w:bottom w:val="single" w:sz="4" w:space="0" w:color="365F91"/>
              <w:right w:val="nil"/>
            </w:tcBorders>
            <w:hideMark/>
          </w:tcPr>
          <w:p w14:paraId="7FF63595" w14:textId="77777777" w:rsidR="00524720" w:rsidRPr="00D9348B" w:rsidRDefault="00524720">
            <w:pPr>
              <w:pStyle w:val="TableText"/>
            </w:pPr>
            <w:r w:rsidRPr="00D9348B">
              <w:t>Range of 1.0–14.9</w:t>
            </w:r>
          </w:p>
        </w:tc>
        <w:tc>
          <w:tcPr>
            <w:tcW w:w="1701" w:type="dxa"/>
            <w:tcBorders>
              <w:top w:val="single" w:sz="4" w:space="0" w:color="365F91"/>
              <w:left w:val="nil"/>
              <w:bottom w:val="single" w:sz="4" w:space="0" w:color="365F91"/>
              <w:right w:val="nil"/>
            </w:tcBorders>
            <w:hideMark/>
          </w:tcPr>
          <w:p w14:paraId="23729196" w14:textId="77777777" w:rsidR="00524720" w:rsidRPr="00D9348B" w:rsidRDefault="00524720">
            <w:pPr>
              <w:pStyle w:val="TableText"/>
            </w:pPr>
            <w:r w:rsidRPr="00D9348B">
              <w:t>New Zealand specific</w:t>
            </w:r>
          </w:p>
        </w:tc>
        <w:tc>
          <w:tcPr>
            <w:tcW w:w="2268" w:type="dxa"/>
            <w:tcBorders>
              <w:top w:val="single" w:sz="4" w:space="0" w:color="365F91"/>
              <w:left w:val="nil"/>
              <w:bottom w:val="single" w:sz="4" w:space="0" w:color="365F91"/>
              <w:right w:val="nil"/>
            </w:tcBorders>
            <w:hideMark/>
          </w:tcPr>
          <w:p w14:paraId="7D47F617" w14:textId="77777777" w:rsidR="00524720" w:rsidRPr="00D9348B" w:rsidRDefault="00524720">
            <w:pPr>
              <w:pStyle w:val="TableText"/>
              <w:rPr>
                <w:highlight w:val="yellow"/>
              </w:rPr>
            </w:pPr>
            <w:r w:rsidRPr="00D9348B">
              <w:t>Beca Infrastructure Ltd (unpublished)</w:t>
            </w:r>
          </w:p>
        </w:tc>
      </w:tr>
      <w:tr w:rsidR="00524720" w:rsidRPr="00D9348B" w14:paraId="37F0A261" w14:textId="77777777" w:rsidTr="00AD0CC5">
        <w:tc>
          <w:tcPr>
            <w:tcW w:w="2887" w:type="dxa"/>
            <w:tcBorders>
              <w:top w:val="single" w:sz="4" w:space="0" w:color="365F91"/>
              <w:left w:val="nil"/>
              <w:bottom w:val="single" w:sz="4" w:space="0" w:color="365F91"/>
              <w:right w:val="nil"/>
            </w:tcBorders>
            <w:hideMark/>
          </w:tcPr>
          <w:p w14:paraId="66824E03" w14:textId="77777777" w:rsidR="00524720" w:rsidRPr="00D9348B" w:rsidRDefault="00524720">
            <w:pPr>
              <w:pStyle w:val="TableText"/>
              <w:rPr>
                <w:color w:val="000000"/>
              </w:rPr>
            </w:pPr>
            <w:r w:rsidRPr="00D9348B">
              <w:rPr>
                <w:color w:val="000000"/>
              </w:rPr>
              <w:t>Maximum methane producing capacity (kg CH</w:t>
            </w:r>
            <w:r w:rsidRPr="00D9348B">
              <w:rPr>
                <w:color w:val="000000"/>
                <w:vertAlign w:val="subscript"/>
              </w:rPr>
              <w:t>4</w:t>
            </w:r>
            <w:r w:rsidRPr="00D9348B">
              <w:rPr>
                <w:color w:val="000000"/>
              </w:rPr>
              <w:t>/kg BOD)</w:t>
            </w:r>
          </w:p>
        </w:tc>
        <w:tc>
          <w:tcPr>
            <w:tcW w:w="1649" w:type="dxa"/>
            <w:tcBorders>
              <w:top w:val="single" w:sz="4" w:space="0" w:color="365F91"/>
              <w:left w:val="nil"/>
              <w:bottom w:val="single" w:sz="4" w:space="0" w:color="365F91"/>
              <w:right w:val="nil"/>
            </w:tcBorders>
            <w:hideMark/>
          </w:tcPr>
          <w:p w14:paraId="2FF7ABD9" w14:textId="77777777" w:rsidR="00524720" w:rsidRPr="00D9348B" w:rsidRDefault="00524720">
            <w:pPr>
              <w:pStyle w:val="TableText"/>
            </w:pPr>
            <w:r w:rsidRPr="00D9348B">
              <w:t>0.625</w:t>
            </w:r>
          </w:p>
        </w:tc>
        <w:tc>
          <w:tcPr>
            <w:tcW w:w="1701" w:type="dxa"/>
            <w:tcBorders>
              <w:top w:val="single" w:sz="4" w:space="0" w:color="365F91"/>
              <w:left w:val="nil"/>
              <w:bottom w:val="single" w:sz="4" w:space="0" w:color="365F91"/>
              <w:right w:val="nil"/>
            </w:tcBorders>
            <w:hideMark/>
          </w:tcPr>
          <w:p w14:paraId="4B8866BE" w14:textId="77777777" w:rsidR="00524720" w:rsidRPr="00D9348B" w:rsidRDefault="00524720">
            <w:pPr>
              <w:pStyle w:val="TableText"/>
            </w:pPr>
            <w:r w:rsidRPr="00D9348B">
              <w:t>New Zealand specific</w:t>
            </w:r>
          </w:p>
        </w:tc>
        <w:tc>
          <w:tcPr>
            <w:tcW w:w="2268" w:type="dxa"/>
            <w:tcBorders>
              <w:top w:val="single" w:sz="4" w:space="0" w:color="365F91"/>
              <w:left w:val="nil"/>
              <w:bottom w:val="single" w:sz="4" w:space="0" w:color="365F91"/>
              <w:right w:val="nil"/>
            </w:tcBorders>
            <w:hideMark/>
          </w:tcPr>
          <w:p w14:paraId="4ADA68BB" w14:textId="77777777" w:rsidR="00524720" w:rsidRPr="00D9348B" w:rsidRDefault="00524720">
            <w:pPr>
              <w:pStyle w:val="TableText"/>
            </w:pPr>
            <w:r w:rsidRPr="00D9348B">
              <w:t>SCS Wetherill Environmental (unpublished)</w:t>
            </w:r>
          </w:p>
        </w:tc>
      </w:tr>
    </w:tbl>
    <w:p w14:paraId="259231EA" w14:textId="77777777" w:rsidR="00524720" w:rsidRPr="00D9348B" w:rsidRDefault="00524720" w:rsidP="00524720">
      <w:pPr>
        <w:pStyle w:val="Heading6"/>
        <w:spacing w:before="360"/>
        <w:rPr>
          <w:lang w:eastAsia="en-GB"/>
        </w:rPr>
      </w:pPr>
      <w:r w:rsidRPr="00D9348B">
        <w:rPr>
          <w:lang w:eastAsia="en-NZ"/>
        </w:rPr>
        <w:t>Methane correction factors for handling systems</w:t>
      </w:r>
    </w:p>
    <w:p w14:paraId="7491AD34" w14:textId="77777777" w:rsidR="00524720" w:rsidRPr="00D9348B" w:rsidRDefault="00524720" w:rsidP="00524720">
      <w:pPr>
        <w:pStyle w:val="BodyText"/>
      </w:pPr>
      <w:r w:rsidRPr="00D9348B">
        <w:t xml:space="preserve">Methane correction factors for the different handling systems in New Zealand were estimated by SCS Wetherill Environmental (unpublished). These factors range from zero up to 0.65 for the different types of anaerobic treatment. The different treatment types are added together, weighted by the population for each type of treatment, to give an aggregated </w:t>
      </w:r>
      <w:r w:rsidRPr="00D9348B">
        <w:rPr>
          <w:color w:val="000000"/>
        </w:rPr>
        <w:t>CH</w:t>
      </w:r>
      <w:r w:rsidRPr="00D9348B">
        <w:rPr>
          <w:color w:val="000000"/>
          <w:vertAlign w:val="subscript"/>
        </w:rPr>
        <w:t>4</w:t>
      </w:r>
      <w:r w:rsidRPr="00D9348B">
        <w:t xml:space="preserve"> correction factor ranging between 0.032 and 0.043. Table 7.5.2 shows the aggregate </w:t>
      </w:r>
      <w:r w:rsidRPr="00D9348B">
        <w:rPr>
          <w:color w:val="000000"/>
        </w:rPr>
        <w:t>CH</w:t>
      </w:r>
      <w:r w:rsidRPr="00D9348B">
        <w:rPr>
          <w:color w:val="000000"/>
          <w:vertAlign w:val="subscript"/>
        </w:rPr>
        <w:t>4</w:t>
      </w:r>
      <w:r w:rsidRPr="00D9348B">
        <w:t xml:space="preserve"> correction factor applied across the time series.</w:t>
      </w:r>
    </w:p>
    <w:p w14:paraId="13AEA3DF" w14:textId="77777777" w:rsidR="00524720" w:rsidRPr="00D9348B" w:rsidRDefault="00524720" w:rsidP="00524720">
      <w:pPr>
        <w:pStyle w:val="Heading6"/>
        <w:rPr>
          <w:lang w:eastAsia="en-NZ"/>
        </w:rPr>
      </w:pPr>
      <w:r w:rsidRPr="00D9348B">
        <w:rPr>
          <w:lang w:eastAsia="en-NZ"/>
        </w:rPr>
        <w:t>Adjustments to biochemical oxygen demand</w:t>
      </w:r>
    </w:p>
    <w:p w14:paraId="2DD15EC8" w14:textId="77777777" w:rsidR="00524720" w:rsidRPr="00D9348B" w:rsidRDefault="00524720" w:rsidP="00524720">
      <w:pPr>
        <w:pStyle w:val="BodyText"/>
        <w:rPr>
          <w:spacing w:val="-2"/>
        </w:rPr>
      </w:pPr>
      <w:r w:rsidRPr="00D9348B">
        <w:rPr>
          <w:spacing w:val="-2"/>
        </w:rPr>
        <w:t>New Zealand uses a value of 26 kilograms biochemical oxygen demand (BOD) per person per year. This is equivalent to the IPCC high-range default value for the Oceania region of about 70 grams per person per day (IPCC, 2006a). This value has been determined as a typical value for wastewater treatment methods adopted in New Zealand (Beca Infrastructure Ltd, unpublished).</w:t>
      </w:r>
    </w:p>
    <w:p w14:paraId="542DDE0B" w14:textId="77777777" w:rsidR="00524720" w:rsidRPr="00D9348B" w:rsidRDefault="00524720" w:rsidP="00524720">
      <w:pPr>
        <w:pStyle w:val="BodyText"/>
      </w:pPr>
      <w:r w:rsidRPr="00D9348B">
        <w:t>This value has been increased by 25 per cent for most treatment plants, to allow for the additional wastewater that they take from commercial and industrial activity within the municipal area. Ten of the treatment plants have been identified as accepting much larger amounts of industrial and/or commercial wastewater. The correction factor for BOD for these plants ranges from 77 per cent to 1,390 per cent above the amount of domestic wastewater (Beca Infrastructure Ltd, unpublished). No adjustment to the BOD is made for septic tanks.</w:t>
      </w:r>
    </w:p>
    <w:p w14:paraId="7EAC3F75" w14:textId="77777777" w:rsidR="00524720" w:rsidRPr="00D9348B" w:rsidRDefault="00524720" w:rsidP="00524720">
      <w:pPr>
        <w:pStyle w:val="Heading6"/>
        <w:rPr>
          <w:lang w:eastAsia="en-NZ"/>
        </w:rPr>
      </w:pPr>
      <w:r w:rsidRPr="00D9348B">
        <w:rPr>
          <w:lang w:eastAsia="en-NZ"/>
        </w:rPr>
        <w:t>Recovery</w:t>
      </w:r>
    </w:p>
    <w:p w14:paraId="310B6830" w14:textId="5B3CF61E" w:rsidR="00524720" w:rsidRPr="00D9348B" w:rsidRDefault="00524720" w:rsidP="00524720">
      <w:pPr>
        <w:pStyle w:val="BodyText"/>
      </w:pPr>
      <w:r w:rsidRPr="00D9348B">
        <w:t>Methane removal via flaring or for energy production is known to occur at eight plants in</w:t>
      </w:r>
      <w:r w:rsidR="00782F1A" w:rsidRPr="00D9348B">
        <w:t> </w:t>
      </w:r>
      <w:r w:rsidRPr="00D9348B">
        <w:t>New Zealand. All CH</w:t>
      </w:r>
      <w:r w:rsidRPr="00D9348B">
        <w:rPr>
          <w:vertAlign w:val="subscript"/>
        </w:rPr>
        <w:t>4</w:t>
      </w:r>
      <w:r w:rsidRPr="00D9348B">
        <w:t xml:space="preserve"> generated at these plants is flared or used for energy production and, consequently, there are no reported CH</w:t>
      </w:r>
      <w:r w:rsidRPr="00D9348B">
        <w:rPr>
          <w:vertAlign w:val="subscript"/>
        </w:rPr>
        <w:t>4</w:t>
      </w:r>
      <w:r w:rsidRPr="00D9348B">
        <w:t xml:space="preserve"> emissions for those plants (Beca Infrastructure Ltd, unpublished).</w:t>
      </w:r>
    </w:p>
    <w:p w14:paraId="1DA8B682" w14:textId="77777777" w:rsidR="00524720" w:rsidRPr="00D9348B" w:rsidRDefault="00524720" w:rsidP="00524720">
      <w:pPr>
        <w:pStyle w:val="Heading5"/>
      </w:pPr>
      <w:r w:rsidRPr="00D9348B">
        <w:t xml:space="preserve">Nitrous oxide emissions from domestic wastewater </w:t>
      </w:r>
    </w:p>
    <w:p w14:paraId="6C6E4E20" w14:textId="77777777" w:rsidR="00524720" w:rsidRPr="00D9348B" w:rsidRDefault="00524720" w:rsidP="00524720">
      <w:pPr>
        <w:pStyle w:val="BodyText"/>
      </w:pPr>
      <w:r w:rsidRPr="00D9348B">
        <w:t>Table 7.5.7 provides a summary of the parameter values applied for estimating N</w:t>
      </w:r>
      <w:r w:rsidRPr="00D9348B">
        <w:rPr>
          <w:vertAlign w:val="subscript"/>
        </w:rPr>
        <w:t>2</w:t>
      </w:r>
      <w:r w:rsidRPr="00D9348B">
        <w:t>O emissions from domestic and commercial wastewater treatment.</w:t>
      </w:r>
    </w:p>
    <w:p w14:paraId="5EB8049B" w14:textId="77777777" w:rsidR="00524720" w:rsidRPr="00D9348B" w:rsidRDefault="00524720" w:rsidP="00524720">
      <w:pPr>
        <w:pStyle w:val="Table"/>
      </w:pPr>
      <w:bookmarkStart w:id="2862" w:name="_Toc32828542"/>
      <w:bookmarkStart w:id="2863" w:name="_Toc32591372"/>
      <w:bookmarkStart w:id="2864" w:name="_Toc5269584"/>
      <w:bookmarkStart w:id="2865" w:name="_Toc511116835"/>
      <w:bookmarkStart w:id="2866" w:name="_Toc508019337"/>
      <w:bookmarkStart w:id="2867" w:name="_Toc481751610"/>
      <w:bookmarkStart w:id="2868" w:name="_Toc451176180"/>
      <w:bookmarkStart w:id="2869" w:name="_Toc444001628"/>
      <w:bookmarkStart w:id="2870" w:name="_Toc36224665"/>
      <w:r w:rsidRPr="00D9348B">
        <w:lastRenderedPageBreak/>
        <w:t>Table 7.5.7</w:t>
      </w:r>
      <w:r w:rsidRPr="00D9348B">
        <w:tab/>
        <w:t>Parameter values applied by New Zealand for estimating nitrous oxide emissions</w:t>
      </w:r>
      <w:r w:rsidRPr="00D9348B">
        <w:br/>
        <w:t>from domestic and commercial wastewater treatment</w:t>
      </w:r>
      <w:bookmarkEnd w:id="2862"/>
      <w:bookmarkEnd w:id="2863"/>
      <w:bookmarkEnd w:id="2864"/>
      <w:bookmarkEnd w:id="2865"/>
      <w:bookmarkEnd w:id="2866"/>
      <w:bookmarkEnd w:id="2867"/>
      <w:bookmarkEnd w:id="2868"/>
      <w:bookmarkEnd w:id="2869"/>
      <w:bookmarkEnd w:id="2870"/>
      <w:r w:rsidRPr="00D9348B">
        <w:t xml:space="preserve"> </w:t>
      </w:r>
    </w:p>
    <w:tbl>
      <w:tblPr>
        <w:tblW w:w="8505" w:type="dxa"/>
        <w:tblInd w:w="108" w:type="dxa"/>
        <w:tblLook w:val="04A0" w:firstRow="1" w:lastRow="0" w:firstColumn="1" w:lastColumn="0" w:noHBand="0" w:noVBand="1"/>
      </w:tblPr>
      <w:tblGrid>
        <w:gridCol w:w="3544"/>
        <w:gridCol w:w="898"/>
        <w:gridCol w:w="1654"/>
        <w:gridCol w:w="2409"/>
      </w:tblGrid>
      <w:tr w:rsidR="00524720" w:rsidRPr="00D9348B" w14:paraId="5399E020" w14:textId="77777777" w:rsidTr="00782F1A">
        <w:trPr>
          <w:tblHeader/>
        </w:trPr>
        <w:tc>
          <w:tcPr>
            <w:tcW w:w="3544" w:type="dxa"/>
            <w:tcBorders>
              <w:top w:val="single" w:sz="4" w:space="0" w:color="365F91"/>
              <w:left w:val="nil"/>
              <w:bottom w:val="single" w:sz="4" w:space="0" w:color="365F91"/>
              <w:right w:val="nil"/>
            </w:tcBorders>
            <w:shd w:val="clear" w:color="auto" w:fill="365F91"/>
            <w:hideMark/>
          </w:tcPr>
          <w:p w14:paraId="54958633" w14:textId="77777777" w:rsidR="00524720" w:rsidRPr="00D9348B" w:rsidRDefault="00524720">
            <w:pPr>
              <w:pStyle w:val="TableTextBold"/>
              <w:rPr>
                <w:noProof w:val="0"/>
                <w:color w:val="FFFFFF"/>
              </w:rPr>
            </w:pPr>
            <w:r w:rsidRPr="00D9348B">
              <w:rPr>
                <w:noProof w:val="0"/>
                <w:color w:val="FFFFFF"/>
              </w:rPr>
              <w:t>Parameter</w:t>
            </w:r>
          </w:p>
        </w:tc>
        <w:tc>
          <w:tcPr>
            <w:tcW w:w="898" w:type="dxa"/>
            <w:tcBorders>
              <w:top w:val="single" w:sz="4" w:space="0" w:color="365F91"/>
              <w:left w:val="nil"/>
              <w:bottom w:val="single" w:sz="4" w:space="0" w:color="365F91"/>
              <w:right w:val="nil"/>
            </w:tcBorders>
            <w:shd w:val="clear" w:color="auto" w:fill="365F91"/>
            <w:hideMark/>
          </w:tcPr>
          <w:p w14:paraId="074A2ED8" w14:textId="77777777" w:rsidR="00524720" w:rsidRPr="00D9348B" w:rsidRDefault="00524720">
            <w:pPr>
              <w:pStyle w:val="TableTextBold"/>
              <w:rPr>
                <w:noProof w:val="0"/>
                <w:color w:val="FFFFFF"/>
              </w:rPr>
            </w:pPr>
            <w:r w:rsidRPr="00D9348B">
              <w:rPr>
                <w:noProof w:val="0"/>
                <w:color w:val="FFFFFF"/>
              </w:rPr>
              <w:t>Value</w:t>
            </w:r>
          </w:p>
        </w:tc>
        <w:tc>
          <w:tcPr>
            <w:tcW w:w="1654" w:type="dxa"/>
            <w:tcBorders>
              <w:top w:val="single" w:sz="4" w:space="0" w:color="365F91"/>
              <w:left w:val="nil"/>
              <w:bottom w:val="single" w:sz="4" w:space="0" w:color="365F91"/>
              <w:right w:val="nil"/>
            </w:tcBorders>
            <w:shd w:val="clear" w:color="auto" w:fill="365F91"/>
            <w:hideMark/>
          </w:tcPr>
          <w:p w14:paraId="43F3BF8D" w14:textId="77777777" w:rsidR="00524720" w:rsidRPr="00D9348B" w:rsidRDefault="00524720">
            <w:pPr>
              <w:pStyle w:val="TableTextBold"/>
              <w:rPr>
                <w:noProof w:val="0"/>
                <w:color w:val="FFFFFF"/>
              </w:rPr>
            </w:pPr>
            <w:r w:rsidRPr="00D9348B">
              <w:rPr>
                <w:noProof w:val="0"/>
                <w:color w:val="FFFFFF"/>
              </w:rPr>
              <w:t>Source</w:t>
            </w:r>
          </w:p>
        </w:tc>
        <w:tc>
          <w:tcPr>
            <w:tcW w:w="2409" w:type="dxa"/>
            <w:tcBorders>
              <w:top w:val="single" w:sz="4" w:space="0" w:color="365F91"/>
              <w:left w:val="nil"/>
              <w:bottom w:val="single" w:sz="4" w:space="0" w:color="365F91"/>
              <w:right w:val="nil"/>
            </w:tcBorders>
            <w:shd w:val="clear" w:color="auto" w:fill="365F91"/>
            <w:hideMark/>
          </w:tcPr>
          <w:p w14:paraId="79086F11" w14:textId="77777777" w:rsidR="00524720" w:rsidRPr="00D9348B" w:rsidRDefault="00524720">
            <w:pPr>
              <w:pStyle w:val="TableTextBold"/>
              <w:rPr>
                <w:noProof w:val="0"/>
                <w:color w:val="FFFFFF"/>
              </w:rPr>
            </w:pPr>
            <w:r w:rsidRPr="00D9348B">
              <w:rPr>
                <w:noProof w:val="0"/>
                <w:color w:val="FFFFFF"/>
              </w:rPr>
              <w:t>Reference</w:t>
            </w:r>
          </w:p>
        </w:tc>
      </w:tr>
      <w:tr w:rsidR="00524720" w:rsidRPr="00D9348B" w14:paraId="126B521D" w14:textId="77777777" w:rsidTr="00782F1A">
        <w:tc>
          <w:tcPr>
            <w:tcW w:w="3544" w:type="dxa"/>
            <w:tcBorders>
              <w:top w:val="single" w:sz="4" w:space="0" w:color="365F91"/>
              <w:left w:val="nil"/>
              <w:bottom w:val="single" w:sz="4" w:space="0" w:color="365F91"/>
              <w:right w:val="nil"/>
            </w:tcBorders>
            <w:hideMark/>
          </w:tcPr>
          <w:p w14:paraId="51381CB1" w14:textId="77777777" w:rsidR="00524720" w:rsidRPr="00D9348B" w:rsidRDefault="00524720">
            <w:pPr>
              <w:pStyle w:val="TableText"/>
            </w:pPr>
            <w:r w:rsidRPr="00D9348B">
              <w:t>Per capita protein consumption (kg/person/year)</w:t>
            </w:r>
          </w:p>
        </w:tc>
        <w:tc>
          <w:tcPr>
            <w:tcW w:w="898" w:type="dxa"/>
            <w:tcBorders>
              <w:top w:val="single" w:sz="4" w:space="0" w:color="365F91"/>
              <w:left w:val="nil"/>
              <w:bottom w:val="single" w:sz="4" w:space="0" w:color="365F91"/>
              <w:right w:val="nil"/>
            </w:tcBorders>
            <w:hideMark/>
          </w:tcPr>
          <w:p w14:paraId="70B18FCF" w14:textId="77777777" w:rsidR="00524720" w:rsidRPr="00D9348B" w:rsidRDefault="00524720" w:rsidP="00D4315E">
            <w:pPr>
              <w:pStyle w:val="TableText"/>
            </w:pPr>
            <w:r w:rsidRPr="00D9348B">
              <w:t>36.135</w:t>
            </w:r>
          </w:p>
        </w:tc>
        <w:tc>
          <w:tcPr>
            <w:tcW w:w="1654" w:type="dxa"/>
            <w:tcBorders>
              <w:top w:val="single" w:sz="4" w:space="0" w:color="365F91"/>
              <w:left w:val="nil"/>
              <w:bottom w:val="single" w:sz="4" w:space="0" w:color="365F91"/>
              <w:right w:val="nil"/>
            </w:tcBorders>
            <w:hideMark/>
          </w:tcPr>
          <w:p w14:paraId="66E6EC69" w14:textId="77777777" w:rsidR="00524720" w:rsidRPr="00D9348B" w:rsidRDefault="00524720">
            <w:pPr>
              <w:pStyle w:val="TableText"/>
            </w:pPr>
            <w:r w:rsidRPr="00D9348B">
              <w:t>New Zealand specific</w:t>
            </w:r>
          </w:p>
        </w:tc>
        <w:tc>
          <w:tcPr>
            <w:tcW w:w="2409" w:type="dxa"/>
            <w:tcBorders>
              <w:top w:val="single" w:sz="4" w:space="0" w:color="365F91"/>
              <w:left w:val="nil"/>
              <w:bottom w:val="single" w:sz="4" w:space="0" w:color="365F91"/>
              <w:right w:val="nil"/>
            </w:tcBorders>
            <w:hideMark/>
          </w:tcPr>
          <w:p w14:paraId="44086DDB" w14:textId="77777777" w:rsidR="00524720" w:rsidRPr="00D9348B" w:rsidRDefault="00524720">
            <w:pPr>
              <w:pStyle w:val="TableText"/>
            </w:pPr>
            <w:r w:rsidRPr="00D9348B">
              <w:t>Beca Infrastructure Ltd (unpublished)</w:t>
            </w:r>
          </w:p>
        </w:tc>
      </w:tr>
      <w:tr w:rsidR="00524720" w:rsidRPr="00D9348B" w14:paraId="55530350" w14:textId="77777777" w:rsidTr="00782F1A">
        <w:tc>
          <w:tcPr>
            <w:tcW w:w="3544" w:type="dxa"/>
            <w:tcBorders>
              <w:top w:val="single" w:sz="4" w:space="0" w:color="365F91"/>
              <w:left w:val="nil"/>
              <w:bottom w:val="single" w:sz="4" w:space="0" w:color="365F91"/>
              <w:right w:val="nil"/>
            </w:tcBorders>
            <w:hideMark/>
          </w:tcPr>
          <w:p w14:paraId="3A39D710" w14:textId="77777777" w:rsidR="00524720" w:rsidRPr="00D9348B" w:rsidRDefault="00524720">
            <w:pPr>
              <w:pStyle w:val="TableText"/>
            </w:pPr>
            <w:r w:rsidRPr="00D9348B">
              <w:t xml:space="preserve">Fraction of nitrogen in protein </w:t>
            </w:r>
          </w:p>
        </w:tc>
        <w:tc>
          <w:tcPr>
            <w:tcW w:w="898" w:type="dxa"/>
            <w:tcBorders>
              <w:top w:val="single" w:sz="4" w:space="0" w:color="365F91"/>
              <w:left w:val="nil"/>
              <w:bottom w:val="single" w:sz="4" w:space="0" w:color="365F91"/>
              <w:right w:val="nil"/>
            </w:tcBorders>
            <w:hideMark/>
          </w:tcPr>
          <w:p w14:paraId="57FC40F3" w14:textId="77777777" w:rsidR="00524720" w:rsidRPr="00D9348B" w:rsidRDefault="00524720" w:rsidP="00D4315E">
            <w:pPr>
              <w:pStyle w:val="TableText"/>
            </w:pPr>
            <w:r w:rsidRPr="00D9348B">
              <w:t>0.16</w:t>
            </w:r>
          </w:p>
        </w:tc>
        <w:tc>
          <w:tcPr>
            <w:tcW w:w="1654" w:type="dxa"/>
            <w:tcBorders>
              <w:top w:val="single" w:sz="4" w:space="0" w:color="365F91"/>
              <w:left w:val="nil"/>
              <w:bottom w:val="single" w:sz="4" w:space="0" w:color="365F91"/>
              <w:right w:val="nil"/>
            </w:tcBorders>
            <w:hideMark/>
          </w:tcPr>
          <w:p w14:paraId="035496B4" w14:textId="77777777" w:rsidR="00524720" w:rsidRPr="00D9348B" w:rsidRDefault="00524720">
            <w:pPr>
              <w:pStyle w:val="TableText"/>
            </w:pPr>
            <w:r w:rsidRPr="00D9348B">
              <w:t>IPCC default</w:t>
            </w:r>
          </w:p>
        </w:tc>
        <w:tc>
          <w:tcPr>
            <w:tcW w:w="2409" w:type="dxa"/>
            <w:tcBorders>
              <w:top w:val="single" w:sz="4" w:space="0" w:color="365F91"/>
              <w:left w:val="nil"/>
              <w:bottom w:val="single" w:sz="4" w:space="0" w:color="365F91"/>
              <w:right w:val="nil"/>
            </w:tcBorders>
            <w:hideMark/>
          </w:tcPr>
          <w:p w14:paraId="5F26247F" w14:textId="77777777" w:rsidR="00524720" w:rsidRPr="00D9348B" w:rsidRDefault="00524720">
            <w:pPr>
              <w:pStyle w:val="TableText"/>
            </w:pPr>
            <w:r w:rsidRPr="00D9348B">
              <w:t>IPCC (2006a)</w:t>
            </w:r>
          </w:p>
        </w:tc>
      </w:tr>
      <w:tr w:rsidR="00524720" w:rsidRPr="00D9348B" w14:paraId="1842E4DD" w14:textId="77777777" w:rsidTr="00782F1A">
        <w:tc>
          <w:tcPr>
            <w:tcW w:w="3544" w:type="dxa"/>
            <w:tcBorders>
              <w:top w:val="single" w:sz="4" w:space="0" w:color="365F91"/>
              <w:left w:val="nil"/>
              <w:bottom w:val="single" w:sz="4" w:space="0" w:color="365F91"/>
              <w:right w:val="nil"/>
            </w:tcBorders>
            <w:hideMark/>
          </w:tcPr>
          <w:p w14:paraId="6CB30979" w14:textId="77777777" w:rsidR="00524720" w:rsidRPr="00D9348B" w:rsidRDefault="00524720">
            <w:pPr>
              <w:pStyle w:val="TableText"/>
            </w:pPr>
            <w:r w:rsidRPr="00D9348B">
              <w:t>Fraction of non-consumed protein</w:t>
            </w:r>
          </w:p>
        </w:tc>
        <w:tc>
          <w:tcPr>
            <w:tcW w:w="898" w:type="dxa"/>
            <w:tcBorders>
              <w:top w:val="single" w:sz="4" w:space="0" w:color="365F91"/>
              <w:left w:val="nil"/>
              <w:bottom w:val="single" w:sz="4" w:space="0" w:color="365F91"/>
              <w:right w:val="nil"/>
            </w:tcBorders>
            <w:hideMark/>
          </w:tcPr>
          <w:p w14:paraId="2B7F5900" w14:textId="77777777" w:rsidR="00524720" w:rsidRPr="00D9348B" w:rsidRDefault="00524720" w:rsidP="00D4315E">
            <w:pPr>
              <w:pStyle w:val="TableText"/>
            </w:pPr>
            <w:r w:rsidRPr="00D9348B">
              <w:t>1.4</w:t>
            </w:r>
          </w:p>
        </w:tc>
        <w:tc>
          <w:tcPr>
            <w:tcW w:w="1654" w:type="dxa"/>
            <w:tcBorders>
              <w:top w:val="single" w:sz="4" w:space="0" w:color="365F91"/>
              <w:left w:val="nil"/>
              <w:bottom w:val="single" w:sz="4" w:space="0" w:color="365F91"/>
              <w:right w:val="nil"/>
            </w:tcBorders>
            <w:hideMark/>
          </w:tcPr>
          <w:p w14:paraId="4F861A28" w14:textId="77777777" w:rsidR="00524720" w:rsidRPr="00D9348B" w:rsidRDefault="00524720">
            <w:pPr>
              <w:pStyle w:val="TableText"/>
            </w:pPr>
            <w:r w:rsidRPr="00D9348B">
              <w:t>IPCC default</w:t>
            </w:r>
          </w:p>
        </w:tc>
        <w:tc>
          <w:tcPr>
            <w:tcW w:w="2409" w:type="dxa"/>
            <w:tcBorders>
              <w:top w:val="single" w:sz="4" w:space="0" w:color="365F91"/>
              <w:left w:val="nil"/>
              <w:bottom w:val="single" w:sz="4" w:space="0" w:color="365F91"/>
              <w:right w:val="nil"/>
            </w:tcBorders>
            <w:hideMark/>
          </w:tcPr>
          <w:p w14:paraId="66A66378" w14:textId="77777777" w:rsidR="00524720" w:rsidRPr="00D9348B" w:rsidRDefault="00524720">
            <w:pPr>
              <w:pStyle w:val="TableText"/>
            </w:pPr>
            <w:r w:rsidRPr="00D9348B">
              <w:t>IPCC (2006a)</w:t>
            </w:r>
          </w:p>
        </w:tc>
      </w:tr>
      <w:tr w:rsidR="00524720" w:rsidRPr="00D9348B" w14:paraId="35FFEF44" w14:textId="77777777" w:rsidTr="00782F1A">
        <w:tc>
          <w:tcPr>
            <w:tcW w:w="3544" w:type="dxa"/>
            <w:tcBorders>
              <w:top w:val="single" w:sz="4" w:space="0" w:color="365F91"/>
              <w:left w:val="nil"/>
              <w:bottom w:val="single" w:sz="4" w:space="0" w:color="365F91"/>
              <w:right w:val="nil"/>
            </w:tcBorders>
            <w:hideMark/>
          </w:tcPr>
          <w:p w14:paraId="5952A5D6" w14:textId="77777777" w:rsidR="00524720" w:rsidRPr="00D9348B" w:rsidRDefault="00524720">
            <w:pPr>
              <w:pStyle w:val="TableText"/>
            </w:pPr>
            <w:r w:rsidRPr="00D9348B">
              <w:t>Fraction of industrial and commercial co</w:t>
            </w:r>
            <w:r w:rsidRPr="00D9348B">
              <w:noBreakHyphen/>
              <w:t>discharged protein</w:t>
            </w:r>
          </w:p>
        </w:tc>
        <w:tc>
          <w:tcPr>
            <w:tcW w:w="898" w:type="dxa"/>
            <w:tcBorders>
              <w:top w:val="single" w:sz="4" w:space="0" w:color="365F91"/>
              <w:left w:val="nil"/>
              <w:bottom w:val="single" w:sz="4" w:space="0" w:color="365F91"/>
              <w:right w:val="nil"/>
            </w:tcBorders>
            <w:hideMark/>
          </w:tcPr>
          <w:p w14:paraId="52B0DB62" w14:textId="77777777" w:rsidR="00524720" w:rsidRPr="00D9348B" w:rsidRDefault="00524720" w:rsidP="00D4315E">
            <w:pPr>
              <w:pStyle w:val="TableText"/>
            </w:pPr>
            <w:r w:rsidRPr="00D9348B">
              <w:t>1.25</w:t>
            </w:r>
          </w:p>
        </w:tc>
        <w:tc>
          <w:tcPr>
            <w:tcW w:w="1654" w:type="dxa"/>
            <w:tcBorders>
              <w:top w:val="single" w:sz="4" w:space="0" w:color="365F91"/>
              <w:left w:val="nil"/>
              <w:bottom w:val="single" w:sz="4" w:space="0" w:color="365F91"/>
              <w:right w:val="nil"/>
            </w:tcBorders>
            <w:hideMark/>
          </w:tcPr>
          <w:p w14:paraId="65DD13DE" w14:textId="77777777" w:rsidR="00524720" w:rsidRPr="00D9348B" w:rsidRDefault="00524720">
            <w:pPr>
              <w:pStyle w:val="TableText"/>
            </w:pPr>
            <w:r w:rsidRPr="00D9348B">
              <w:t>IPCC default</w:t>
            </w:r>
          </w:p>
        </w:tc>
        <w:tc>
          <w:tcPr>
            <w:tcW w:w="2409" w:type="dxa"/>
            <w:tcBorders>
              <w:top w:val="single" w:sz="4" w:space="0" w:color="365F91"/>
              <w:left w:val="nil"/>
              <w:bottom w:val="single" w:sz="4" w:space="0" w:color="365F91"/>
              <w:right w:val="nil"/>
            </w:tcBorders>
            <w:hideMark/>
          </w:tcPr>
          <w:p w14:paraId="6D50209C" w14:textId="77777777" w:rsidR="00524720" w:rsidRPr="00D9348B" w:rsidRDefault="00524720">
            <w:pPr>
              <w:pStyle w:val="TableText"/>
            </w:pPr>
            <w:r w:rsidRPr="00D9348B">
              <w:t>IPCC (2006a)</w:t>
            </w:r>
          </w:p>
        </w:tc>
      </w:tr>
      <w:tr w:rsidR="00524720" w:rsidRPr="00D9348B" w14:paraId="5E61D95D" w14:textId="77777777" w:rsidTr="00782F1A">
        <w:tc>
          <w:tcPr>
            <w:tcW w:w="3544" w:type="dxa"/>
            <w:tcBorders>
              <w:top w:val="single" w:sz="4" w:space="0" w:color="365F91"/>
              <w:left w:val="nil"/>
              <w:bottom w:val="single" w:sz="4" w:space="0" w:color="365F91"/>
              <w:right w:val="nil"/>
            </w:tcBorders>
            <w:hideMark/>
          </w:tcPr>
          <w:p w14:paraId="368AE170" w14:textId="77777777" w:rsidR="00524720" w:rsidRPr="00D9348B" w:rsidRDefault="00524720">
            <w:pPr>
              <w:pStyle w:val="TableText"/>
            </w:pPr>
            <w:r w:rsidRPr="00D9348B">
              <w:t>Nitrogen removed with sludge (kg)</w:t>
            </w:r>
          </w:p>
        </w:tc>
        <w:tc>
          <w:tcPr>
            <w:tcW w:w="898" w:type="dxa"/>
            <w:tcBorders>
              <w:top w:val="single" w:sz="4" w:space="0" w:color="365F91"/>
              <w:left w:val="nil"/>
              <w:bottom w:val="single" w:sz="4" w:space="0" w:color="365F91"/>
              <w:right w:val="nil"/>
            </w:tcBorders>
            <w:hideMark/>
          </w:tcPr>
          <w:p w14:paraId="08F76872" w14:textId="77777777" w:rsidR="00524720" w:rsidRPr="00D9348B" w:rsidRDefault="00524720" w:rsidP="00D4315E">
            <w:pPr>
              <w:pStyle w:val="TableText"/>
            </w:pPr>
            <w:r w:rsidRPr="00D9348B">
              <w:t>0</w:t>
            </w:r>
          </w:p>
        </w:tc>
        <w:tc>
          <w:tcPr>
            <w:tcW w:w="1654" w:type="dxa"/>
            <w:tcBorders>
              <w:top w:val="single" w:sz="4" w:space="0" w:color="365F91"/>
              <w:left w:val="nil"/>
              <w:bottom w:val="single" w:sz="4" w:space="0" w:color="365F91"/>
              <w:right w:val="nil"/>
            </w:tcBorders>
            <w:hideMark/>
          </w:tcPr>
          <w:p w14:paraId="166EA054" w14:textId="77777777" w:rsidR="00524720" w:rsidRPr="00D9348B" w:rsidRDefault="00524720">
            <w:pPr>
              <w:pStyle w:val="TableText"/>
            </w:pPr>
            <w:r w:rsidRPr="00D9348B">
              <w:t>IPCC default</w:t>
            </w:r>
          </w:p>
        </w:tc>
        <w:tc>
          <w:tcPr>
            <w:tcW w:w="2409" w:type="dxa"/>
            <w:tcBorders>
              <w:top w:val="single" w:sz="4" w:space="0" w:color="365F91"/>
              <w:left w:val="nil"/>
              <w:bottom w:val="single" w:sz="4" w:space="0" w:color="365F91"/>
              <w:right w:val="nil"/>
            </w:tcBorders>
            <w:hideMark/>
          </w:tcPr>
          <w:p w14:paraId="2D0971DC" w14:textId="77777777" w:rsidR="00524720" w:rsidRPr="00D9348B" w:rsidRDefault="00524720">
            <w:pPr>
              <w:pStyle w:val="TableText"/>
            </w:pPr>
            <w:r w:rsidRPr="00D9348B">
              <w:t>IPCC (2006a)</w:t>
            </w:r>
          </w:p>
        </w:tc>
      </w:tr>
      <w:tr w:rsidR="00524720" w:rsidRPr="00D9348B" w14:paraId="1A9BFC29" w14:textId="77777777" w:rsidTr="00782F1A">
        <w:tc>
          <w:tcPr>
            <w:tcW w:w="3544" w:type="dxa"/>
            <w:tcBorders>
              <w:top w:val="single" w:sz="4" w:space="0" w:color="365F91"/>
              <w:left w:val="nil"/>
              <w:bottom w:val="single" w:sz="4" w:space="0" w:color="365F91"/>
              <w:right w:val="nil"/>
            </w:tcBorders>
            <w:hideMark/>
          </w:tcPr>
          <w:p w14:paraId="6ADCB9D2" w14:textId="77777777" w:rsidR="00524720" w:rsidRPr="00D9348B" w:rsidRDefault="00524720">
            <w:pPr>
              <w:pStyle w:val="TableText"/>
            </w:pPr>
            <w:r w:rsidRPr="00D9348B">
              <w:t>Emission factor</w:t>
            </w:r>
          </w:p>
        </w:tc>
        <w:tc>
          <w:tcPr>
            <w:tcW w:w="898" w:type="dxa"/>
            <w:tcBorders>
              <w:top w:val="single" w:sz="4" w:space="0" w:color="365F91"/>
              <w:left w:val="nil"/>
              <w:bottom w:val="single" w:sz="4" w:space="0" w:color="365F91"/>
              <w:right w:val="nil"/>
            </w:tcBorders>
            <w:hideMark/>
          </w:tcPr>
          <w:p w14:paraId="30D1A2DA" w14:textId="77777777" w:rsidR="00524720" w:rsidRPr="00D9348B" w:rsidRDefault="00524720" w:rsidP="00D4315E">
            <w:pPr>
              <w:pStyle w:val="TableText"/>
            </w:pPr>
            <w:r w:rsidRPr="00D9348B">
              <w:t>0.005</w:t>
            </w:r>
          </w:p>
        </w:tc>
        <w:tc>
          <w:tcPr>
            <w:tcW w:w="1654" w:type="dxa"/>
            <w:tcBorders>
              <w:top w:val="single" w:sz="4" w:space="0" w:color="365F91"/>
              <w:left w:val="nil"/>
              <w:bottom w:val="single" w:sz="4" w:space="0" w:color="365F91"/>
              <w:right w:val="nil"/>
            </w:tcBorders>
            <w:hideMark/>
          </w:tcPr>
          <w:p w14:paraId="75615EE2" w14:textId="77777777" w:rsidR="00524720" w:rsidRPr="00D9348B" w:rsidRDefault="00524720">
            <w:pPr>
              <w:pStyle w:val="TableText"/>
            </w:pPr>
            <w:r w:rsidRPr="00D9348B">
              <w:t>IPCC default</w:t>
            </w:r>
          </w:p>
        </w:tc>
        <w:tc>
          <w:tcPr>
            <w:tcW w:w="2409" w:type="dxa"/>
            <w:tcBorders>
              <w:top w:val="single" w:sz="4" w:space="0" w:color="365F91"/>
              <w:left w:val="nil"/>
              <w:bottom w:val="single" w:sz="4" w:space="0" w:color="365F91"/>
              <w:right w:val="nil"/>
            </w:tcBorders>
            <w:hideMark/>
          </w:tcPr>
          <w:p w14:paraId="3381EE33" w14:textId="77777777" w:rsidR="00524720" w:rsidRPr="00D9348B" w:rsidRDefault="00524720">
            <w:pPr>
              <w:pStyle w:val="TableText"/>
            </w:pPr>
            <w:r w:rsidRPr="00D9348B">
              <w:t>IPCC (2006a)</w:t>
            </w:r>
          </w:p>
        </w:tc>
      </w:tr>
      <w:tr w:rsidR="00524720" w:rsidRPr="00D9348B" w14:paraId="54E7D030" w14:textId="77777777" w:rsidTr="00782F1A">
        <w:tc>
          <w:tcPr>
            <w:tcW w:w="3544" w:type="dxa"/>
            <w:tcBorders>
              <w:top w:val="single" w:sz="4" w:space="0" w:color="365F91"/>
              <w:left w:val="nil"/>
              <w:bottom w:val="single" w:sz="4" w:space="0" w:color="365F91"/>
              <w:right w:val="nil"/>
            </w:tcBorders>
            <w:hideMark/>
          </w:tcPr>
          <w:p w14:paraId="6D257E5E" w14:textId="77777777" w:rsidR="00524720" w:rsidRPr="00D9348B" w:rsidRDefault="00524720">
            <w:pPr>
              <w:pStyle w:val="TableText"/>
            </w:pPr>
            <w:r w:rsidRPr="00D9348B">
              <w:t>Emissions from wastewater treatment plants</w:t>
            </w:r>
          </w:p>
        </w:tc>
        <w:tc>
          <w:tcPr>
            <w:tcW w:w="898" w:type="dxa"/>
            <w:tcBorders>
              <w:top w:val="single" w:sz="4" w:space="0" w:color="365F91"/>
              <w:left w:val="nil"/>
              <w:bottom w:val="single" w:sz="4" w:space="0" w:color="365F91"/>
              <w:right w:val="nil"/>
            </w:tcBorders>
            <w:hideMark/>
          </w:tcPr>
          <w:p w14:paraId="526DD54F" w14:textId="77777777" w:rsidR="00524720" w:rsidRPr="00D9348B" w:rsidRDefault="00524720" w:rsidP="00D4315E">
            <w:pPr>
              <w:pStyle w:val="TableText"/>
            </w:pPr>
            <w:r w:rsidRPr="00D9348B">
              <w:t>0</w:t>
            </w:r>
          </w:p>
        </w:tc>
        <w:tc>
          <w:tcPr>
            <w:tcW w:w="1654" w:type="dxa"/>
            <w:tcBorders>
              <w:top w:val="single" w:sz="4" w:space="0" w:color="365F91"/>
              <w:left w:val="nil"/>
              <w:bottom w:val="single" w:sz="4" w:space="0" w:color="365F91"/>
              <w:right w:val="nil"/>
            </w:tcBorders>
            <w:hideMark/>
          </w:tcPr>
          <w:p w14:paraId="5A9D0699" w14:textId="77777777" w:rsidR="00524720" w:rsidRPr="00D9348B" w:rsidRDefault="00524720">
            <w:pPr>
              <w:pStyle w:val="TableText"/>
            </w:pPr>
            <w:r w:rsidRPr="00D9348B">
              <w:t>IPCC default</w:t>
            </w:r>
          </w:p>
        </w:tc>
        <w:tc>
          <w:tcPr>
            <w:tcW w:w="2409" w:type="dxa"/>
            <w:tcBorders>
              <w:top w:val="single" w:sz="4" w:space="0" w:color="365F91"/>
              <w:left w:val="nil"/>
              <w:bottom w:val="single" w:sz="4" w:space="0" w:color="365F91"/>
              <w:right w:val="nil"/>
            </w:tcBorders>
            <w:hideMark/>
          </w:tcPr>
          <w:p w14:paraId="5512FFAF" w14:textId="77777777" w:rsidR="00524720" w:rsidRPr="00D9348B" w:rsidRDefault="00524720">
            <w:pPr>
              <w:pStyle w:val="TableText"/>
            </w:pPr>
            <w:r w:rsidRPr="00D9348B">
              <w:t>IPCC (2006a)</w:t>
            </w:r>
          </w:p>
        </w:tc>
      </w:tr>
    </w:tbl>
    <w:p w14:paraId="5C2AA5B1" w14:textId="77777777" w:rsidR="00524720" w:rsidRPr="00D9348B" w:rsidRDefault="00524720" w:rsidP="00524720">
      <w:pPr>
        <w:pStyle w:val="BodyText"/>
        <w:spacing w:before="240"/>
      </w:pPr>
      <w:r w:rsidRPr="00D9348B">
        <w:t>A value of 36.135 kilograms of protein per person per year is used. This figure was the maximum value reported by New Zealand to the Food and Agriculture Organization.</w:t>
      </w:r>
    </w:p>
    <w:p w14:paraId="6B23527C" w14:textId="77777777" w:rsidR="00524720" w:rsidRPr="00D9348B" w:rsidRDefault="00524720" w:rsidP="00524720">
      <w:pPr>
        <w:pStyle w:val="Heading6"/>
        <w:spacing w:before="160"/>
        <w:rPr>
          <w:lang w:eastAsia="en-NZ"/>
        </w:rPr>
      </w:pPr>
      <w:r w:rsidRPr="00D9348B">
        <w:rPr>
          <w:lang w:eastAsia="en-NZ"/>
        </w:rPr>
        <w:t>Recovery</w:t>
      </w:r>
    </w:p>
    <w:p w14:paraId="4520616C" w14:textId="77777777" w:rsidR="00524720" w:rsidRPr="00D9348B" w:rsidRDefault="00524720" w:rsidP="00524720">
      <w:pPr>
        <w:pStyle w:val="BodyText"/>
      </w:pPr>
      <w:r w:rsidRPr="00D9348B">
        <w:t xml:space="preserve">There is no recovery of emissions reported for this source. </w:t>
      </w:r>
    </w:p>
    <w:p w14:paraId="0646482D" w14:textId="77777777" w:rsidR="00524720" w:rsidRPr="00D9348B" w:rsidRDefault="00524720" w:rsidP="00865BDB">
      <w:pPr>
        <w:pStyle w:val="Heading4"/>
      </w:pPr>
      <w:r w:rsidRPr="00D9348B">
        <w:t>Industrial wastewater (5.D.2)</w:t>
      </w:r>
    </w:p>
    <w:p w14:paraId="514B94F4" w14:textId="77777777" w:rsidR="00524720" w:rsidRPr="00D9348B" w:rsidRDefault="00524720" w:rsidP="00524720">
      <w:pPr>
        <w:pStyle w:val="Heading5"/>
        <w:spacing w:before="120"/>
      </w:pPr>
      <w:r w:rsidRPr="00D9348B">
        <w:t>Methane emissions from industrial wastewater treatment – Meat industry</w:t>
      </w:r>
    </w:p>
    <w:p w14:paraId="5B9E2DBB" w14:textId="77777777" w:rsidR="00524720" w:rsidRPr="00D9348B" w:rsidRDefault="00524720" w:rsidP="00524720">
      <w:pPr>
        <w:pStyle w:val="BodyText"/>
      </w:pPr>
      <w:r w:rsidRPr="00D9348B">
        <w:t>Table 7.5.8 provides a summary of the parameter values applied for estimating CH</w:t>
      </w:r>
      <w:r w:rsidRPr="00D9348B">
        <w:rPr>
          <w:vertAlign w:val="subscript"/>
        </w:rPr>
        <w:t>4</w:t>
      </w:r>
      <w:r w:rsidRPr="00D9348B">
        <w:t xml:space="preserve"> emissions from wastewater treatment by the meat industry.</w:t>
      </w:r>
    </w:p>
    <w:p w14:paraId="5E4D37A6" w14:textId="77777777" w:rsidR="00524720" w:rsidRPr="00D9348B" w:rsidRDefault="00524720" w:rsidP="00524720">
      <w:pPr>
        <w:pStyle w:val="Table"/>
      </w:pPr>
      <w:bookmarkStart w:id="2871" w:name="_Toc32828543"/>
      <w:bookmarkStart w:id="2872" w:name="_Toc32591373"/>
      <w:bookmarkStart w:id="2873" w:name="_Toc5269585"/>
      <w:bookmarkStart w:id="2874" w:name="_Toc511116836"/>
      <w:bookmarkStart w:id="2875" w:name="_Toc508019338"/>
      <w:bookmarkStart w:id="2876" w:name="_Toc481751611"/>
      <w:bookmarkStart w:id="2877" w:name="_Toc451176181"/>
      <w:bookmarkStart w:id="2878" w:name="_Toc444001629"/>
      <w:bookmarkStart w:id="2879" w:name="_Toc321399253"/>
      <w:bookmarkStart w:id="2880" w:name="_Toc36224666"/>
      <w:r w:rsidRPr="00D9348B">
        <w:t>Table 7.5.8</w:t>
      </w:r>
      <w:r w:rsidRPr="00D9348B">
        <w:tab/>
        <w:t>Parameter values applied by New Zealand for estimating methane emissions</w:t>
      </w:r>
      <w:r w:rsidRPr="00D9348B">
        <w:br/>
        <w:t>from wastewater treatment by the meat industry</w:t>
      </w:r>
      <w:bookmarkEnd w:id="2871"/>
      <w:bookmarkEnd w:id="2872"/>
      <w:bookmarkEnd w:id="2873"/>
      <w:bookmarkEnd w:id="2874"/>
      <w:bookmarkEnd w:id="2875"/>
      <w:bookmarkEnd w:id="2876"/>
      <w:bookmarkEnd w:id="2877"/>
      <w:bookmarkEnd w:id="2878"/>
      <w:bookmarkEnd w:id="2879"/>
      <w:bookmarkEnd w:id="2880"/>
    </w:p>
    <w:tbl>
      <w:tblPr>
        <w:tblW w:w="8562" w:type="dxa"/>
        <w:tblInd w:w="108" w:type="dxa"/>
        <w:tblLook w:val="04A0" w:firstRow="1" w:lastRow="0" w:firstColumn="1" w:lastColumn="0" w:noHBand="0" w:noVBand="1"/>
      </w:tblPr>
      <w:tblGrid>
        <w:gridCol w:w="2570"/>
        <w:gridCol w:w="1541"/>
        <w:gridCol w:w="1740"/>
        <w:gridCol w:w="2711"/>
      </w:tblGrid>
      <w:tr w:rsidR="00524720" w:rsidRPr="00D9348B" w14:paraId="7F2100B6" w14:textId="77777777" w:rsidTr="00782F1A">
        <w:tc>
          <w:tcPr>
            <w:tcW w:w="2570" w:type="dxa"/>
            <w:tcBorders>
              <w:top w:val="single" w:sz="4" w:space="0" w:color="365F91"/>
              <w:left w:val="nil"/>
              <w:bottom w:val="single" w:sz="4" w:space="0" w:color="365F91"/>
              <w:right w:val="nil"/>
            </w:tcBorders>
            <w:shd w:val="clear" w:color="auto" w:fill="365F91"/>
            <w:hideMark/>
          </w:tcPr>
          <w:p w14:paraId="535CB78A" w14:textId="77777777" w:rsidR="00524720" w:rsidRPr="00D9348B" w:rsidRDefault="00524720">
            <w:pPr>
              <w:pStyle w:val="TableTextBold"/>
              <w:keepNext/>
              <w:spacing w:before="40" w:after="40"/>
              <w:rPr>
                <w:noProof w:val="0"/>
                <w:color w:val="FFFFFF"/>
              </w:rPr>
            </w:pPr>
            <w:r w:rsidRPr="00D9348B">
              <w:rPr>
                <w:noProof w:val="0"/>
                <w:color w:val="FFFFFF"/>
              </w:rPr>
              <w:t>Parameter</w:t>
            </w:r>
          </w:p>
        </w:tc>
        <w:tc>
          <w:tcPr>
            <w:tcW w:w="1541" w:type="dxa"/>
            <w:tcBorders>
              <w:top w:val="single" w:sz="4" w:space="0" w:color="365F91"/>
              <w:left w:val="nil"/>
              <w:bottom w:val="single" w:sz="4" w:space="0" w:color="365F91"/>
              <w:right w:val="nil"/>
            </w:tcBorders>
            <w:shd w:val="clear" w:color="auto" w:fill="365F91"/>
            <w:hideMark/>
          </w:tcPr>
          <w:p w14:paraId="26FA19FA" w14:textId="77777777" w:rsidR="00524720" w:rsidRPr="00D9348B" w:rsidRDefault="00524720">
            <w:pPr>
              <w:pStyle w:val="TableTextBold"/>
              <w:keepNext/>
              <w:spacing w:before="40" w:after="40"/>
              <w:rPr>
                <w:noProof w:val="0"/>
                <w:color w:val="FFFFFF"/>
              </w:rPr>
            </w:pPr>
            <w:r w:rsidRPr="00D9348B">
              <w:rPr>
                <w:noProof w:val="0"/>
                <w:color w:val="FFFFFF"/>
              </w:rPr>
              <w:t>Value</w:t>
            </w:r>
          </w:p>
        </w:tc>
        <w:tc>
          <w:tcPr>
            <w:tcW w:w="1740" w:type="dxa"/>
            <w:tcBorders>
              <w:top w:val="single" w:sz="4" w:space="0" w:color="365F91"/>
              <w:left w:val="nil"/>
              <w:bottom w:val="single" w:sz="4" w:space="0" w:color="365F91"/>
              <w:right w:val="nil"/>
            </w:tcBorders>
            <w:shd w:val="clear" w:color="auto" w:fill="365F91"/>
            <w:hideMark/>
          </w:tcPr>
          <w:p w14:paraId="63C3546D" w14:textId="77777777" w:rsidR="00524720" w:rsidRPr="00D9348B" w:rsidRDefault="00524720">
            <w:pPr>
              <w:pStyle w:val="TableTextBold"/>
              <w:keepNext/>
              <w:spacing w:before="40" w:after="40"/>
              <w:rPr>
                <w:noProof w:val="0"/>
                <w:color w:val="FFFFFF"/>
              </w:rPr>
            </w:pPr>
            <w:r w:rsidRPr="00D9348B">
              <w:rPr>
                <w:noProof w:val="0"/>
                <w:color w:val="FFFFFF"/>
              </w:rPr>
              <w:t>Source</w:t>
            </w:r>
          </w:p>
        </w:tc>
        <w:tc>
          <w:tcPr>
            <w:tcW w:w="2711" w:type="dxa"/>
            <w:tcBorders>
              <w:top w:val="single" w:sz="4" w:space="0" w:color="365F91"/>
              <w:left w:val="nil"/>
              <w:bottom w:val="single" w:sz="4" w:space="0" w:color="365F91"/>
              <w:right w:val="nil"/>
            </w:tcBorders>
            <w:shd w:val="clear" w:color="auto" w:fill="365F91"/>
            <w:hideMark/>
          </w:tcPr>
          <w:p w14:paraId="578AB3CF" w14:textId="77777777" w:rsidR="00524720" w:rsidRPr="00D9348B" w:rsidRDefault="00524720">
            <w:pPr>
              <w:pStyle w:val="TableTextBold"/>
              <w:keepNext/>
              <w:spacing w:before="40" w:after="40"/>
              <w:rPr>
                <w:noProof w:val="0"/>
                <w:color w:val="FFFFFF"/>
              </w:rPr>
            </w:pPr>
            <w:r w:rsidRPr="00D9348B">
              <w:rPr>
                <w:noProof w:val="0"/>
                <w:color w:val="FFFFFF"/>
              </w:rPr>
              <w:t>Reference</w:t>
            </w:r>
          </w:p>
        </w:tc>
      </w:tr>
      <w:tr w:rsidR="00524720" w:rsidRPr="00D9348B" w14:paraId="5159EF5C" w14:textId="77777777" w:rsidTr="00782F1A">
        <w:tc>
          <w:tcPr>
            <w:tcW w:w="2570" w:type="dxa"/>
            <w:tcBorders>
              <w:top w:val="single" w:sz="4" w:space="0" w:color="365F91"/>
              <w:left w:val="nil"/>
              <w:bottom w:val="single" w:sz="4" w:space="0" w:color="365F91"/>
              <w:right w:val="nil"/>
            </w:tcBorders>
            <w:hideMark/>
          </w:tcPr>
          <w:p w14:paraId="30253144" w14:textId="77777777" w:rsidR="00524720" w:rsidRPr="00D9348B" w:rsidRDefault="00524720">
            <w:pPr>
              <w:pStyle w:val="TableText"/>
              <w:keepNext/>
            </w:pPr>
            <w:r w:rsidRPr="00D9348B">
              <w:t>Degradable organic component (kg COD/tonne of product)</w:t>
            </w:r>
          </w:p>
        </w:tc>
        <w:tc>
          <w:tcPr>
            <w:tcW w:w="1541" w:type="dxa"/>
            <w:tcBorders>
              <w:top w:val="single" w:sz="4" w:space="0" w:color="365F91"/>
              <w:left w:val="nil"/>
              <w:bottom w:val="single" w:sz="4" w:space="0" w:color="365F91"/>
              <w:right w:val="nil"/>
            </w:tcBorders>
            <w:hideMark/>
          </w:tcPr>
          <w:p w14:paraId="1DDFCDF4" w14:textId="77777777" w:rsidR="00524720" w:rsidRPr="00D9348B" w:rsidRDefault="00524720">
            <w:pPr>
              <w:pStyle w:val="TableText"/>
              <w:keepNext/>
            </w:pPr>
            <w:r w:rsidRPr="00D9348B">
              <w:t>50</w:t>
            </w:r>
          </w:p>
        </w:tc>
        <w:tc>
          <w:tcPr>
            <w:tcW w:w="1740" w:type="dxa"/>
            <w:tcBorders>
              <w:top w:val="single" w:sz="4" w:space="0" w:color="365F91"/>
              <w:left w:val="nil"/>
              <w:bottom w:val="single" w:sz="4" w:space="0" w:color="365F91"/>
              <w:right w:val="nil"/>
            </w:tcBorders>
            <w:hideMark/>
          </w:tcPr>
          <w:p w14:paraId="2DECD1B9" w14:textId="77777777" w:rsidR="00524720" w:rsidRPr="00D9348B" w:rsidRDefault="00524720">
            <w:pPr>
              <w:pStyle w:val="TableText"/>
              <w:keepNext/>
            </w:pPr>
            <w:r w:rsidRPr="00D9348B">
              <w:t>New Zealand specific</w:t>
            </w:r>
          </w:p>
        </w:tc>
        <w:tc>
          <w:tcPr>
            <w:tcW w:w="2711" w:type="dxa"/>
            <w:tcBorders>
              <w:top w:val="single" w:sz="4" w:space="0" w:color="365F91"/>
              <w:left w:val="nil"/>
              <w:bottom w:val="single" w:sz="4" w:space="0" w:color="365F91"/>
              <w:right w:val="nil"/>
            </w:tcBorders>
            <w:hideMark/>
          </w:tcPr>
          <w:p w14:paraId="71367601" w14:textId="77777777" w:rsidR="00524720" w:rsidRPr="00D9348B" w:rsidRDefault="00524720">
            <w:pPr>
              <w:pStyle w:val="TableText"/>
              <w:keepNext/>
            </w:pPr>
            <w:r w:rsidRPr="00D9348B">
              <w:t>SCS Wetherill Environmental (unpublished)</w:t>
            </w:r>
          </w:p>
        </w:tc>
      </w:tr>
      <w:tr w:rsidR="00524720" w:rsidRPr="00D9348B" w14:paraId="2F00F665" w14:textId="77777777" w:rsidTr="00782F1A">
        <w:tc>
          <w:tcPr>
            <w:tcW w:w="2570" w:type="dxa"/>
            <w:tcBorders>
              <w:top w:val="single" w:sz="4" w:space="0" w:color="365F91"/>
              <w:left w:val="nil"/>
              <w:bottom w:val="single" w:sz="4" w:space="0" w:color="365F91"/>
              <w:right w:val="nil"/>
            </w:tcBorders>
            <w:hideMark/>
          </w:tcPr>
          <w:p w14:paraId="024084F3" w14:textId="77777777" w:rsidR="00524720" w:rsidRPr="00D9348B" w:rsidRDefault="00524720">
            <w:pPr>
              <w:pStyle w:val="TableText"/>
              <w:keepNext/>
            </w:pPr>
            <w:r w:rsidRPr="00D9348B">
              <w:t>Methane correction factor</w:t>
            </w:r>
          </w:p>
        </w:tc>
        <w:tc>
          <w:tcPr>
            <w:tcW w:w="1541" w:type="dxa"/>
            <w:tcBorders>
              <w:top w:val="single" w:sz="4" w:space="0" w:color="365F91"/>
              <w:left w:val="nil"/>
              <w:bottom w:val="single" w:sz="4" w:space="0" w:color="365F91"/>
              <w:right w:val="nil"/>
            </w:tcBorders>
            <w:hideMark/>
          </w:tcPr>
          <w:p w14:paraId="003920AB" w14:textId="77777777" w:rsidR="00524720" w:rsidRPr="00D9348B" w:rsidRDefault="00524720">
            <w:pPr>
              <w:pStyle w:val="TableText"/>
              <w:keepNext/>
            </w:pPr>
            <w:r w:rsidRPr="00D9348B">
              <w:t>Range of 0–0.55</w:t>
            </w:r>
          </w:p>
        </w:tc>
        <w:tc>
          <w:tcPr>
            <w:tcW w:w="1740" w:type="dxa"/>
            <w:tcBorders>
              <w:top w:val="single" w:sz="4" w:space="0" w:color="365F91"/>
              <w:left w:val="nil"/>
              <w:bottom w:val="single" w:sz="4" w:space="0" w:color="365F91"/>
              <w:right w:val="nil"/>
            </w:tcBorders>
            <w:hideMark/>
          </w:tcPr>
          <w:p w14:paraId="2AA6F10E" w14:textId="77777777" w:rsidR="00524720" w:rsidRPr="00D9348B" w:rsidRDefault="00524720">
            <w:pPr>
              <w:pStyle w:val="TableText"/>
              <w:keepNext/>
            </w:pPr>
            <w:r w:rsidRPr="00D9348B">
              <w:t>New Zealand specific</w:t>
            </w:r>
          </w:p>
        </w:tc>
        <w:tc>
          <w:tcPr>
            <w:tcW w:w="2711" w:type="dxa"/>
            <w:tcBorders>
              <w:top w:val="single" w:sz="4" w:space="0" w:color="365F91"/>
              <w:left w:val="nil"/>
              <w:bottom w:val="single" w:sz="4" w:space="0" w:color="365F91"/>
              <w:right w:val="nil"/>
            </w:tcBorders>
            <w:hideMark/>
          </w:tcPr>
          <w:p w14:paraId="617A61A6" w14:textId="77777777" w:rsidR="00524720" w:rsidRPr="00D9348B" w:rsidRDefault="00524720">
            <w:pPr>
              <w:pStyle w:val="TableText"/>
              <w:keepNext/>
            </w:pPr>
            <w:r w:rsidRPr="00D9348B">
              <w:t>SCS Wetherill Environmental (unpublished)</w:t>
            </w:r>
          </w:p>
        </w:tc>
      </w:tr>
      <w:tr w:rsidR="00524720" w:rsidRPr="00D9348B" w14:paraId="22E75132" w14:textId="77777777" w:rsidTr="00782F1A">
        <w:tc>
          <w:tcPr>
            <w:tcW w:w="2570" w:type="dxa"/>
            <w:tcBorders>
              <w:top w:val="single" w:sz="4" w:space="0" w:color="365F91"/>
              <w:left w:val="nil"/>
              <w:bottom w:val="single" w:sz="4" w:space="0" w:color="365F91"/>
              <w:right w:val="nil"/>
            </w:tcBorders>
            <w:hideMark/>
          </w:tcPr>
          <w:p w14:paraId="52F95968" w14:textId="77777777" w:rsidR="00524720" w:rsidRPr="00D9348B" w:rsidRDefault="00524720">
            <w:pPr>
              <w:pStyle w:val="TableText"/>
            </w:pPr>
            <w:r w:rsidRPr="00D9348B">
              <w:t>Maximum CH</w:t>
            </w:r>
            <w:r w:rsidRPr="00D9348B">
              <w:rPr>
                <w:vertAlign w:val="subscript"/>
              </w:rPr>
              <w:t>4</w:t>
            </w:r>
            <w:r w:rsidRPr="00D9348B">
              <w:t>-producing capacity (kg CH</w:t>
            </w:r>
            <w:r w:rsidRPr="00D9348B">
              <w:rPr>
                <w:vertAlign w:val="subscript"/>
              </w:rPr>
              <w:t>4</w:t>
            </w:r>
            <w:r w:rsidRPr="00D9348B">
              <w:t>/kg COD)</w:t>
            </w:r>
          </w:p>
        </w:tc>
        <w:tc>
          <w:tcPr>
            <w:tcW w:w="1541" w:type="dxa"/>
            <w:tcBorders>
              <w:top w:val="single" w:sz="4" w:space="0" w:color="365F91"/>
              <w:left w:val="nil"/>
              <w:bottom w:val="single" w:sz="4" w:space="0" w:color="365F91"/>
              <w:right w:val="nil"/>
            </w:tcBorders>
            <w:hideMark/>
          </w:tcPr>
          <w:p w14:paraId="42E7C705" w14:textId="77777777" w:rsidR="00524720" w:rsidRPr="00D9348B" w:rsidRDefault="00524720">
            <w:pPr>
              <w:pStyle w:val="TableText"/>
            </w:pPr>
            <w:r w:rsidRPr="00D9348B">
              <w:t>0.25</w:t>
            </w:r>
          </w:p>
        </w:tc>
        <w:tc>
          <w:tcPr>
            <w:tcW w:w="1740" w:type="dxa"/>
            <w:tcBorders>
              <w:top w:val="single" w:sz="4" w:space="0" w:color="365F91"/>
              <w:left w:val="nil"/>
              <w:bottom w:val="single" w:sz="4" w:space="0" w:color="365F91"/>
              <w:right w:val="nil"/>
            </w:tcBorders>
            <w:hideMark/>
          </w:tcPr>
          <w:p w14:paraId="50CAD54B" w14:textId="77777777" w:rsidR="00524720" w:rsidRPr="00D9348B" w:rsidRDefault="00524720">
            <w:pPr>
              <w:pStyle w:val="TableText"/>
              <w:rPr>
                <w:highlight w:val="yellow"/>
              </w:rPr>
            </w:pPr>
            <w:r w:rsidRPr="00D9348B">
              <w:t>IPCC default</w:t>
            </w:r>
          </w:p>
        </w:tc>
        <w:tc>
          <w:tcPr>
            <w:tcW w:w="2711" w:type="dxa"/>
            <w:tcBorders>
              <w:top w:val="single" w:sz="4" w:space="0" w:color="365F91"/>
              <w:left w:val="nil"/>
              <w:bottom w:val="single" w:sz="4" w:space="0" w:color="365F91"/>
              <w:right w:val="nil"/>
            </w:tcBorders>
            <w:hideMark/>
          </w:tcPr>
          <w:p w14:paraId="10658D38" w14:textId="77777777" w:rsidR="00524720" w:rsidRPr="00D9348B" w:rsidRDefault="00524720">
            <w:pPr>
              <w:pStyle w:val="TableText"/>
              <w:rPr>
                <w:highlight w:val="yellow"/>
              </w:rPr>
            </w:pPr>
            <w:r w:rsidRPr="00D9348B">
              <w:t xml:space="preserve">IPCC (2006) </w:t>
            </w:r>
          </w:p>
        </w:tc>
      </w:tr>
      <w:tr w:rsidR="00524720" w:rsidRPr="00D9348B" w14:paraId="42964D87" w14:textId="77777777" w:rsidTr="00782F1A">
        <w:tc>
          <w:tcPr>
            <w:tcW w:w="2570" w:type="dxa"/>
            <w:tcBorders>
              <w:top w:val="single" w:sz="4" w:space="0" w:color="365F91"/>
              <w:left w:val="nil"/>
              <w:bottom w:val="single" w:sz="4" w:space="0" w:color="365F91"/>
              <w:right w:val="nil"/>
            </w:tcBorders>
            <w:hideMark/>
          </w:tcPr>
          <w:p w14:paraId="1F22B951" w14:textId="77777777" w:rsidR="00524720" w:rsidRPr="00D9348B" w:rsidRDefault="00524720">
            <w:pPr>
              <w:pStyle w:val="TableText"/>
            </w:pPr>
            <w:r w:rsidRPr="00D9348B">
              <w:t>Overall emission factor</w:t>
            </w:r>
          </w:p>
        </w:tc>
        <w:tc>
          <w:tcPr>
            <w:tcW w:w="1541" w:type="dxa"/>
            <w:tcBorders>
              <w:top w:val="single" w:sz="4" w:space="0" w:color="365F91"/>
              <w:left w:val="nil"/>
              <w:bottom w:val="single" w:sz="4" w:space="0" w:color="365F91"/>
              <w:right w:val="nil"/>
            </w:tcBorders>
            <w:hideMark/>
          </w:tcPr>
          <w:p w14:paraId="122C1D37" w14:textId="77777777" w:rsidR="00524720" w:rsidRPr="00D9348B" w:rsidRDefault="00524720">
            <w:pPr>
              <w:pStyle w:val="TableText"/>
            </w:pPr>
            <w:r w:rsidRPr="00D9348B">
              <w:t>0.036 (meat excluding poultry)</w:t>
            </w:r>
          </w:p>
          <w:p w14:paraId="416970B7" w14:textId="77777777" w:rsidR="00524720" w:rsidRPr="00D9348B" w:rsidRDefault="00524720">
            <w:pPr>
              <w:pStyle w:val="TableText"/>
            </w:pPr>
            <w:r w:rsidRPr="00D9348B">
              <w:t>0.0344 (poultry)</w:t>
            </w:r>
          </w:p>
        </w:tc>
        <w:tc>
          <w:tcPr>
            <w:tcW w:w="1740" w:type="dxa"/>
            <w:tcBorders>
              <w:top w:val="single" w:sz="4" w:space="0" w:color="365F91"/>
              <w:left w:val="nil"/>
              <w:bottom w:val="single" w:sz="4" w:space="0" w:color="365F91"/>
              <w:right w:val="nil"/>
            </w:tcBorders>
            <w:hideMark/>
          </w:tcPr>
          <w:p w14:paraId="0515FCFE" w14:textId="77777777" w:rsidR="00524720" w:rsidRPr="00D9348B" w:rsidRDefault="00524720">
            <w:pPr>
              <w:pStyle w:val="TableText"/>
            </w:pPr>
            <w:r w:rsidRPr="00D9348B">
              <w:t>New Zealand specific</w:t>
            </w:r>
          </w:p>
        </w:tc>
        <w:tc>
          <w:tcPr>
            <w:tcW w:w="2711" w:type="dxa"/>
            <w:tcBorders>
              <w:top w:val="single" w:sz="4" w:space="0" w:color="365F91"/>
              <w:left w:val="nil"/>
              <w:bottom w:val="single" w:sz="4" w:space="0" w:color="365F91"/>
              <w:right w:val="nil"/>
            </w:tcBorders>
            <w:hideMark/>
          </w:tcPr>
          <w:p w14:paraId="37974DF4" w14:textId="77777777" w:rsidR="00524720" w:rsidRPr="00D9348B" w:rsidRDefault="00524720">
            <w:pPr>
              <w:pStyle w:val="TableText"/>
            </w:pPr>
            <w:r w:rsidRPr="00D9348B">
              <w:t>Cardno (unpublished)</w:t>
            </w:r>
          </w:p>
        </w:tc>
      </w:tr>
    </w:tbl>
    <w:p w14:paraId="1B28FD40" w14:textId="77777777" w:rsidR="00524720" w:rsidRPr="00D9348B" w:rsidRDefault="00524720" w:rsidP="00524720">
      <w:pPr>
        <w:pStyle w:val="Noteundertable"/>
      </w:pPr>
      <w:r w:rsidRPr="00D9348B">
        <w:rPr>
          <w:b/>
        </w:rPr>
        <w:t>Note:</w:t>
      </w:r>
      <w:r w:rsidRPr="00D9348B">
        <w:t xml:space="preserve"> </w:t>
      </w:r>
      <w:r w:rsidRPr="00D9348B">
        <w:tab/>
        <w:t>COD = chemical oxygen demand.</w:t>
      </w:r>
    </w:p>
    <w:p w14:paraId="0E88457D" w14:textId="77777777" w:rsidR="00524720" w:rsidRPr="00D9348B" w:rsidRDefault="00524720" w:rsidP="00524720">
      <w:pPr>
        <w:pStyle w:val="Heading6"/>
      </w:pPr>
      <w:r w:rsidRPr="00D9348B">
        <w:rPr>
          <w:lang w:eastAsia="en-NZ"/>
        </w:rPr>
        <w:t>Recovery</w:t>
      </w:r>
    </w:p>
    <w:p w14:paraId="1CDE7998" w14:textId="77777777" w:rsidR="00524720" w:rsidRPr="00D9348B" w:rsidRDefault="00524720" w:rsidP="00524720">
      <w:pPr>
        <w:pStyle w:val="BodyText"/>
        <w:spacing w:after="0"/>
      </w:pPr>
      <w:r w:rsidRPr="00D9348B">
        <w:t xml:space="preserve">There is no recovery of emissions reported for this source. </w:t>
      </w:r>
    </w:p>
    <w:p w14:paraId="1DEB8401" w14:textId="77777777" w:rsidR="00524720" w:rsidRPr="00D9348B" w:rsidRDefault="00524720" w:rsidP="00524720">
      <w:pPr>
        <w:pStyle w:val="Heading5"/>
      </w:pPr>
      <w:r w:rsidRPr="00D9348B">
        <w:t>Methane emissions from industrial wastewater treatment – Pulp and paper</w:t>
      </w:r>
    </w:p>
    <w:p w14:paraId="6F33CE49" w14:textId="77777777" w:rsidR="00524720" w:rsidRPr="00D9348B" w:rsidRDefault="00524720" w:rsidP="001F4072">
      <w:pPr>
        <w:pStyle w:val="BodyText"/>
        <w:spacing w:before="100"/>
      </w:pPr>
      <w:r w:rsidRPr="00D9348B">
        <w:t>Table 7.5.9 provides a summary of the parameter values applied for estimating CH</w:t>
      </w:r>
      <w:r w:rsidRPr="00D9348B">
        <w:rPr>
          <w:vertAlign w:val="subscript"/>
        </w:rPr>
        <w:t>4</w:t>
      </w:r>
      <w:r w:rsidRPr="00D9348B">
        <w:t xml:space="preserve"> emissions from wastewater treatment by the pulp and paper industry.</w:t>
      </w:r>
    </w:p>
    <w:p w14:paraId="317DC201" w14:textId="77777777" w:rsidR="00524720" w:rsidRPr="00D9348B" w:rsidRDefault="00524720" w:rsidP="00524720">
      <w:pPr>
        <w:pStyle w:val="Table"/>
      </w:pPr>
      <w:bookmarkStart w:id="2881" w:name="_Toc32828544"/>
      <w:bookmarkStart w:id="2882" w:name="_Toc32591374"/>
      <w:bookmarkStart w:id="2883" w:name="_Toc5269586"/>
      <w:bookmarkStart w:id="2884" w:name="_Toc511116837"/>
      <w:bookmarkStart w:id="2885" w:name="_Toc508019339"/>
      <w:bookmarkStart w:id="2886" w:name="_Toc481751612"/>
      <w:bookmarkStart w:id="2887" w:name="_Toc451176182"/>
      <w:bookmarkStart w:id="2888" w:name="_Toc444001630"/>
      <w:bookmarkStart w:id="2889" w:name="_Toc321399254"/>
      <w:bookmarkStart w:id="2890" w:name="_Toc36224667"/>
      <w:r w:rsidRPr="00D9348B">
        <w:lastRenderedPageBreak/>
        <w:t>Table 7.5.9</w:t>
      </w:r>
      <w:r w:rsidRPr="00D9348B">
        <w:tab/>
        <w:t>Parameter values applied by New Zealand for estimating methane emissions</w:t>
      </w:r>
      <w:r w:rsidRPr="00D9348B">
        <w:br/>
        <w:t>for wastewater treatment by the pulp and paper industry</w:t>
      </w:r>
      <w:bookmarkEnd w:id="2881"/>
      <w:bookmarkEnd w:id="2882"/>
      <w:bookmarkEnd w:id="2883"/>
      <w:bookmarkEnd w:id="2884"/>
      <w:bookmarkEnd w:id="2885"/>
      <w:bookmarkEnd w:id="2886"/>
      <w:bookmarkEnd w:id="2887"/>
      <w:bookmarkEnd w:id="2888"/>
      <w:bookmarkEnd w:id="2889"/>
      <w:bookmarkEnd w:id="2890"/>
    </w:p>
    <w:tbl>
      <w:tblPr>
        <w:tblW w:w="8562" w:type="dxa"/>
        <w:tblInd w:w="108" w:type="dxa"/>
        <w:tblLook w:val="04A0" w:firstRow="1" w:lastRow="0" w:firstColumn="1" w:lastColumn="0" w:noHBand="0" w:noVBand="1"/>
      </w:tblPr>
      <w:tblGrid>
        <w:gridCol w:w="2552"/>
        <w:gridCol w:w="1276"/>
        <w:gridCol w:w="1842"/>
        <w:gridCol w:w="2892"/>
      </w:tblGrid>
      <w:tr w:rsidR="00524720" w:rsidRPr="00D9348B" w14:paraId="4650532B" w14:textId="77777777" w:rsidTr="001F4072">
        <w:trPr>
          <w:tblHeader/>
        </w:trPr>
        <w:tc>
          <w:tcPr>
            <w:tcW w:w="2552" w:type="dxa"/>
            <w:tcBorders>
              <w:top w:val="single" w:sz="4" w:space="0" w:color="365F91"/>
              <w:left w:val="nil"/>
              <w:bottom w:val="single" w:sz="4" w:space="0" w:color="365F91"/>
              <w:right w:val="nil"/>
            </w:tcBorders>
            <w:shd w:val="clear" w:color="auto" w:fill="365F91"/>
            <w:hideMark/>
          </w:tcPr>
          <w:p w14:paraId="40886107" w14:textId="77777777" w:rsidR="00524720" w:rsidRPr="00D9348B" w:rsidRDefault="00524720">
            <w:pPr>
              <w:pStyle w:val="TableTextBold"/>
              <w:keepNext/>
              <w:rPr>
                <w:noProof w:val="0"/>
                <w:color w:val="FFFFFF"/>
              </w:rPr>
            </w:pPr>
            <w:r w:rsidRPr="00D9348B">
              <w:rPr>
                <w:noProof w:val="0"/>
                <w:color w:val="FFFFFF"/>
              </w:rPr>
              <w:t>Parameter</w:t>
            </w:r>
          </w:p>
        </w:tc>
        <w:tc>
          <w:tcPr>
            <w:tcW w:w="1276" w:type="dxa"/>
            <w:tcBorders>
              <w:top w:val="single" w:sz="4" w:space="0" w:color="365F91"/>
              <w:left w:val="nil"/>
              <w:bottom w:val="single" w:sz="4" w:space="0" w:color="365F91"/>
              <w:right w:val="nil"/>
            </w:tcBorders>
            <w:shd w:val="clear" w:color="auto" w:fill="365F91"/>
            <w:hideMark/>
          </w:tcPr>
          <w:p w14:paraId="4AFF1A04" w14:textId="77777777" w:rsidR="00524720" w:rsidRPr="00D9348B" w:rsidRDefault="00524720">
            <w:pPr>
              <w:pStyle w:val="TableTextBold"/>
              <w:rPr>
                <w:noProof w:val="0"/>
                <w:color w:val="FFFFFF"/>
              </w:rPr>
            </w:pPr>
            <w:r w:rsidRPr="00D9348B">
              <w:rPr>
                <w:noProof w:val="0"/>
                <w:color w:val="FFFFFF"/>
              </w:rPr>
              <w:t>Value</w:t>
            </w:r>
          </w:p>
        </w:tc>
        <w:tc>
          <w:tcPr>
            <w:tcW w:w="1842" w:type="dxa"/>
            <w:tcBorders>
              <w:top w:val="single" w:sz="4" w:space="0" w:color="365F91"/>
              <w:left w:val="nil"/>
              <w:bottom w:val="single" w:sz="4" w:space="0" w:color="365F91"/>
              <w:right w:val="nil"/>
            </w:tcBorders>
            <w:shd w:val="clear" w:color="auto" w:fill="365F91"/>
            <w:hideMark/>
          </w:tcPr>
          <w:p w14:paraId="3795E871" w14:textId="77777777" w:rsidR="00524720" w:rsidRPr="00D9348B" w:rsidRDefault="00524720">
            <w:pPr>
              <w:pStyle w:val="TableTextBold"/>
              <w:rPr>
                <w:noProof w:val="0"/>
                <w:color w:val="FFFFFF"/>
              </w:rPr>
            </w:pPr>
            <w:r w:rsidRPr="00D9348B">
              <w:rPr>
                <w:noProof w:val="0"/>
                <w:color w:val="FFFFFF"/>
              </w:rPr>
              <w:t>Source</w:t>
            </w:r>
          </w:p>
        </w:tc>
        <w:tc>
          <w:tcPr>
            <w:tcW w:w="2892" w:type="dxa"/>
            <w:tcBorders>
              <w:top w:val="single" w:sz="4" w:space="0" w:color="365F91"/>
              <w:left w:val="nil"/>
              <w:bottom w:val="single" w:sz="4" w:space="0" w:color="365F91"/>
              <w:right w:val="nil"/>
            </w:tcBorders>
            <w:shd w:val="clear" w:color="auto" w:fill="365F91"/>
            <w:hideMark/>
          </w:tcPr>
          <w:p w14:paraId="0D02FA7D" w14:textId="77777777" w:rsidR="00524720" w:rsidRPr="00D9348B" w:rsidRDefault="00524720">
            <w:pPr>
              <w:pStyle w:val="TableTextBold"/>
              <w:rPr>
                <w:noProof w:val="0"/>
                <w:color w:val="FFFFFF"/>
              </w:rPr>
            </w:pPr>
            <w:r w:rsidRPr="00D9348B">
              <w:rPr>
                <w:noProof w:val="0"/>
                <w:color w:val="FFFFFF"/>
              </w:rPr>
              <w:t>Reference</w:t>
            </w:r>
          </w:p>
        </w:tc>
      </w:tr>
      <w:tr w:rsidR="00524720" w:rsidRPr="00D9348B" w14:paraId="24108055" w14:textId="77777777" w:rsidTr="001F4072">
        <w:tc>
          <w:tcPr>
            <w:tcW w:w="2552" w:type="dxa"/>
            <w:tcBorders>
              <w:top w:val="single" w:sz="4" w:space="0" w:color="365F91"/>
              <w:left w:val="nil"/>
              <w:bottom w:val="single" w:sz="4" w:space="0" w:color="365F91"/>
              <w:right w:val="nil"/>
            </w:tcBorders>
            <w:hideMark/>
          </w:tcPr>
          <w:p w14:paraId="12937696" w14:textId="77777777" w:rsidR="00524720" w:rsidRPr="00D9348B" w:rsidRDefault="00524720">
            <w:pPr>
              <w:pStyle w:val="TableText"/>
              <w:keepNext/>
              <w:spacing w:before="40" w:after="40"/>
            </w:pPr>
            <w:r w:rsidRPr="00D9348B">
              <w:t>Degradable organic component (kg COD/tonne of product)</w:t>
            </w:r>
          </w:p>
        </w:tc>
        <w:tc>
          <w:tcPr>
            <w:tcW w:w="1276" w:type="dxa"/>
            <w:tcBorders>
              <w:top w:val="single" w:sz="4" w:space="0" w:color="365F91"/>
              <w:left w:val="nil"/>
              <w:bottom w:val="single" w:sz="4" w:space="0" w:color="365F91"/>
              <w:right w:val="nil"/>
            </w:tcBorders>
            <w:hideMark/>
          </w:tcPr>
          <w:p w14:paraId="3E39036D" w14:textId="77777777" w:rsidR="00524720" w:rsidRPr="00D9348B" w:rsidRDefault="00524720">
            <w:pPr>
              <w:pStyle w:val="TableText"/>
              <w:spacing w:before="40" w:after="40"/>
            </w:pPr>
            <w:r w:rsidRPr="00D9348B">
              <w:t>36</w:t>
            </w:r>
          </w:p>
        </w:tc>
        <w:tc>
          <w:tcPr>
            <w:tcW w:w="1842" w:type="dxa"/>
            <w:tcBorders>
              <w:top w:val="single" w:sz="4" w:space="0" w:color="365F91"/>
              <w:left w:val="nil"/>
              <w:bottom w:val="single" w:sz="4" w:space="0" w:color="365F91"/>
              <w:right w:val="nil"/>
            </w:tcBorders>
            <w:hideMark/>
          </w:tcPr>
          <w:p w14:paraId="2C454983" w14:textId="77777777" w:rsidR="00524720" w:rsidRPr="00D9348B" w:rsidRDefault="00524720">
            <w:pPr>
              <w:pStyle w:val="TableText"/>
              <w:spacing w:before="40" w:after="40"/>
            </w:pPr>
            <w:r w:rsidRPr="00D9348B">
              <w:t>New Zealand specific</w:t>
            </w:r>
          </w:p>
        </w:tc>
        <w:tc>
          <w:tcPr>
            <w:tcW w:w="2892" w:type="dxa"/>
            <w:tcBorders>
              <w:top w:val="single" w:sz="4" w:space="0" w:color="365F91"/>
              <w:left w:val="nil"/>
              <w:bottom w:val="single" w:sz="4" w:space="0" w:color="365F91"/>
              <w:right w:val="nil"/>
            </w:tcBorders>
            <w:hideMark/>
          </w:tcPr>
          <w:p w14:paraId="7921E30E" w14:textId="77777777" w:rsidR="00524720" w:rsidRPr="00D9348B" w:rsidRDefault="00524720">
            <w:pPr>
              <w:pStyle w:val="TableText"/>
              <w:spacing w:before="40" w:after="40"/>
            </w:pPr>
            <w:r w:rsidRPr="00D9348B">
              <w:t>Beca Infrastructure Ltd (unpublished)</w:t>
            </w:r>
          </w:p>
        </w:tc>
      </w:tr>
      <w:tr w:rsidR="00524720" w:rsidRPr="00D9348B" w14:paraId="171FE52E" w14:textId="77777777" w:rsidTr="001F4072">
        <w:tc>
          <w:tcPr>
            <w:tcW w:w="2552" w:type="dxa"/>
            <w:tcBorders>
              <w:top w:val="single" w:sz="4" w:space="0" w:color="365F91"/>
              <w:left w:val="nil"/>
              <w:bottom w:val="single" w:sz="4" w:space="0" w:color="365F91"/>
              <w:right w:val="nil"/>
            </w:tcBorders>
            <w:hideMark/>
          </w:tcPr>
          <w:p w14:paraId="2817F441" w14:textId="77777777" w:rsidR="00524720" w:rsidRPr="00D9348B" w:rsidRDefault="00524720">
            <w:pPr>
              <w:pStyle w:val="TableText"/>
              <w:keepNext/>
              <w:spacing w:before="40" w:after="40"/>
            </w:pPr>
            <w:r w:rsidRPr="00D9348B">
              <w:t>Methane correction factor</w:t>
            </w:r>
          </w:p>
        </w:tc>
        <w:tc>
          <w:tcPr>
            <w:tcW w:w="1276" w:type="dxa"/>
            <w:tcBorders>
              <w:top w:val="single" w:sz="4" w:space="0" w:color="365F91"/>
              <w:left w:val="nil"/>
              <w:bottom w:val="single" w:sz="4" w:space="0" w:color="365F91"/>
              <w:right w:val="nil"/>
            </w:tcBorders>
            <w:hideMark/>
          </w:tcPr>
          <w:p w14:paraId="3A021E02" w14:textId="77777777" w:rsidR="00524720" w:rsidRPr="00D9348B" w:rsidRDefault="00524720">
            <w:pPr>
              <w:pStyle w:val="TableText"/>
              <w:spacing w:before="40" w:after="40"/>
            </w:pPr>
            <w:r w:rsidRPr="00D9348B">
              <w:t>Range of 0–0.8</w:t>
            </w:r>
          </w:p>
        </w:tc>
        <w:tc>
          <w:tcPr>
            <w:tcW w:w="1842" w:type="dxa"/>
            <w:tcBorders>
              <w:top w:val="single" w:sz="4" w:space="0" w:color="365F91"/>
              <w:left w:val="nil"/>
              <w:bottom w:val="single" w:sz="4" w:space="0" w:color="365F91"/>
              <w:right w:val="nil"/>
            </w:tcBorders>
            <w:hideMark/>
          </w:tcPr>
          <w:p w14:paraId="7E45F5A2" w14:textId="77777777" w:rsidR="00524720" w:rsidRPr="00D9348B" w:rsidRDefault="00524720">
            <w:pPr>
              <w:pStyle w:val="TableText"/>
              <w:spacing w:before="40" w:after="40"/>
            </w:pPr>
            <w:r w:rsidRPr="00D9348B">
              <w:t>New Zealand specific</w:t>
            </w:r>
          </w:p>
        </w:tc>
        <w:tc>
          <w:tcPr>
            <w:tcW w:w="2892" w:type="dxa"/>
            <w:tcBorders>
              <w:top w:val="single" w:sz="4" w:space="0" w:color="365F91"/>
              <w:left w:val="nil"/>
              <w:bottom w:val="single" w:sz="4" w:space="0" w:color="365F91"/>
              <w:right w:val="nil"/>
            </w:tcBorders>
            <w:hideMark/>
          </w:tcPr>
          <w:p w14:paraId="5CED4FEB" w14:textId="77777777" w:rsidR="00524720" w:rsidRPr="00D9348B" w:rsidRDefault="00524720">
            <w:pPr>
              <w:pStyle w:val="TableText"/>
              <w:spacing w:before="40" w:after="40"/>
            </w:pPr>
            <w:r w:rsidRPr="00D9348B">
              <w:t>Beca Infrastructure Ltd (unpublished)</w:t>
            </w:r>
          </w:p>
        </w:tc>
      </w:tr>
      <w:tr w:rsidR="00524720" w:rsidRPr="00D9348B" w14:paraId="1C5341D5" w14:textId="77777777" w:rsidTr="001F4072">
        <w:tc>
          <w:tcPr>
            <w:tcW w:w="2552" w:type="dxa"/>
            <w:tcBorders>
              <w:top w:val="single" w:sz="4" w:space="0" w:color="365F91"/>
              <w:left w:val="nil"/>
              <w:bottom w:val="single" w:sz="4" w:space="0" w:color="365F91"/>
              <w:right w:val="nil"/>
            </w:tcBorders>
            <w:hideMark/>
          </w:tcPr>
          <w:p w14:paraId="3DA7E463" w14:textId="4F6EA439" w:rsidR="00524720" w:rsidRPr="00D9348B" w:rsidRDefault="00524720">
            <w:pPr>
              <w:pStyle w:val="TableText"/>
              <w:spacing w:before="40" w:after="40"/>
            </w:pPr>
            <w:r w:rsidRPr="00D9348B">
              <w:t>Maximum CH</w:t>
            </w:r>
            <w:r w:rsidRPr="00D9348B">
              <w:rPr>
                <w:vertAlign w:val="subscript"/>
              </w:rPr>
              <w:t>4</w:t>
            </w:r>
            <w:r w:rsidRPr="00D9348B">
              <w:t>-producing capacity (kg</w:t>
            </w:r>
            <w:r w:rsidR="001F4072" w:rsidRPr="00D9348B">
              <w:t> </w:t>
            </w:r>
            <w:r w:rsidRPr="00D9348B">
              <w:t>CH</w:t>
            </w:r>
            <w:r w:rsidRPr="00D9348B">
              <w:rPr>
                <w:vertAlign w:val="subscript"/>
              </w:rPr>
              <w:t>4</w:t>
            </w:r>
            <w:r w:rsidRPr="00D9348B">
              <w:t>/kg COD)</w:t>
            </w:r>
          </w:p>
        </w:tc>
        <w:tc>
          <w:tcPr>
            <w:tcW w:w="1276" w:type="dxa"/>
            <w:tcBorders>
              <w:top w:val="single" w:sz="4" w:space="0" w:color="365F91"/>
              <w:left w:val="nil"/>
              <w:bottom w:val="single" w:sz="4" w:space="0" w:color="365F91"/>
              <w:right w:val="nil"/>
            </w:tcBorders>
            <w:hideMark/>
          </w:tcPr>
          <w:p w14:paraId="6CF17929" w14:textId="77777777" w:rsidR="00524720" w:rsidRPr="00D9348B" w:rsidRDefault="00524720">
            <w:pPr>
              <w:pStyle w:val="TableText"/>
              <w:spacing w:before="40" w:after="40"/>
            </w:pPr>
            <w:r w:rsidRPr="00D9348B">
              <w:t>0.25</w:t>
            </w:r>
          </w:p>
        </w:tc>
        <w:tc>
          <w:tcPr>
            <w:tcW w:w="1842" w:type="dxa"/>
            <w:tcBorders>
              <w:top w:val="single" w:sz="4" w:space="0" w:color="365F91"/>
              <w:left w:val="nil"/>
              <w:bottom w:val="single" w:sz="4" w:space="0" w:color="365F91"/>
              <w:right w:val="nil"/>
            </w:tcBorders>
            <w:hideMark/>
          </w:tcPr>
          <w:p w14:paraId="06C219E0" w14:textId="77777777" w:rsidR="00524720" w:rsidRPr="00D9348B" w:rsidRDefault="00524720">
            <w:pPr>
              <w:pStyle w:val="TableText"/>
              <w:spacing w:before="40" w:after="40"/>
            </w:pPr>
            <w:r w:rsidRPr="00D9348B">
              <w:t xml:space="preserve">IPCC default </w:t>
            </w:r>
          </w:p>
        </w:tc>
        <w:tc>
          <w:tcPr>
            <w:tcW w:w="2892" w:type="dxa"/>
            <w:tcBorders>
              <w:top w:val="single" w:sz="4" w:space="0" w:color="365F91"/>
              <w:left w:val="nil"/>
              <w:bottom w:val="single" w:sz="4" w:space="0" w:color="365F91"/>
              <w:right w:val="nil"/>
            </w:tcBorders>
            <w:hideMark/>
          </w:tcPr>
          <w:p w14:paraId="5F676324" w14:textId="77777777" w:rsidR="00524720" w:rsidRPr="00D9348B" w:rsidRDefault="00524720">
            <w:pPr>
              <w:pStyle w:val="TableText"/>
              <w:spacing w:before="40" w:after="40"/>
            </w:pPr>
            <w:r w:rsidRPr="00D9348B">
              <w:t>IPCC (2006a)</w:t>
            </w:r>
          </w:p>
        </w:tc>
      </w:tr>
      <w:tr w:rsidR="00524720" w:rsidRPr="00D9348B" w14:paraId="7A3B01AF" w14:textId="77777777" w:rsidTr="001F4072">
        <w:tc>
          <w:tcPr>
            <w:tcW w:w="2552" w:type="dxa"/>
            <w:tcBorders>
              <w:top w:val="single" w:sz="4" w:space="0" w:color="365F91"/>
              <w:left w:val="nil"/>
              <w:bottom w:val="single" w:sz="4" w:space="0" w:color="365F91"/>
              <w:right w:val="nil"/>
            </w:tcBorders>
            <w:hideMark/>
          </w:tcPr>
          <w:p w14:paraId="4111557B" w14:textId="77777777" w:rsidR="00524720" w:rsidRPr="00D9348B" w:rsidRDefault="00524720">
            <w:pPr>
              <w:pStyle w:val="TableText"/>
              <w:spacing w:before="40" w:after="40"/>
            </w:pPr>
            <w:r w:rsidRPr="00D9348B">
              <w:t>Overall emission factor</w:t>
            </w:r>
          </w:p>
        </w:tc>
        <w:tc>
          <w:tcPr>
            <w:tcW w:w="1276" w:type="dxa"/>
            <w:tcBorders>
              <w:top w:val="single" w:sz="4" w:space="0" w:color="365F91"/>
              <w:left w:val="nil"/>
              <w:bottom w:val="single" w:sz="4" w:space="0" w:color="365F91"/>
              <w:right w:val="nil"/>
            </w:tcBorders>
            <w:hideMark/>
          </w:tcPr>
          <w:p w14:paraId="51092600" w14:textId="77777777" w:rsidR="00524720" w:rsidRPr="00D9348B" w:rsidRDefault="00524720">
            <w:pPr>
              <w:pStyle w:val="TableText"/>
              <w:spacing w:before="40" w:after="40"/>
            </w:pPr>
            <w:r w:rsidRPr="00D9348B">
              <w:t>0.0117</w:t>
            </w:r>
          </w:p>
        </w:tc>
        <w:tc>
          <w:tcPr>
            <w:tcW w:w="1842" w:type="dxa"/>
            <w:tcBorders>
              <w:top w:val="single" w:sz="4" w:space="0" w:color="365F91"/>
              <w:left w:val="nil"/>
              <w:bottom w:val="single" w:sz="4" w:space="0" w:color="365F91"/>
              <w:right w:val="nil"/>
            </w:tcBorders>
            <w:hideMark/>
          </w:tcPr>
          <w:p w14:paraId="6703B16E" w14:textId="77777777" w:rsidR="00524720" w:rsidRPr="00D9348B" w:rsidRDefault="00524720">
            <w:pPr>
              <w:pStyle w:val="TableText"/>
              <w:spacing w:before="40" w:after="40"/>
            </w:pPr>
            <w:r w:rsidRPr="00D9348B">
              <w:t>New Zealand specific</w:t>
            </w:r>
          </w:p>
        </w:tc>
        <w:tc>
          <w:tcPr>
            <w:tcW w:w="2892" w:type="dxa"/>
            <w:tcBorders>
              <w:top w:val="single" w:sz="4" w:space="0" w:color="365F91"/>
              <w:left w:val="nil"/>
              <w:bottom w:val="single" w:sz="4" w:space="0" w:color="365F91"/>
              <w:right w:val="nil"/>
            </w:tcBorders>
            <w:hideMark/>
          </w:tcPr>
          <w:p w14:paraId="13BAA43A" w14:textId="77777777" w:rsidR="00524720" w:rsidRPr="00D9348B" w:rsidRDefault="00524720">
            <w:pPr>
              <w:pStyle w:val="TableText"/>
              <w:spacing w:before="40" w:after="40"/>
            </w:pPr>
            <w:r w:rsidRPr="00D9348B">
              <w:t>Cardno (unpublished)</w:t>
            </w:r>
          </w:p>
        </w:tc>
      </w:tr>
    </w:tbl>
    <w:p w14:paraId="44BC94C1" w14:textId="77777777" w:rsidR="00524720" w:rsidRPr="00D9348B" w:rsidRDefault="00524720" w:rsidP="00524720">
      <w:pPr>
        <w:pStyle w:val="Noteundertable"/>
      </w:pPr>
      <w:r w:rsidRPr="00D9348B">
        <w:rPr>
          <w:b/>
        </w:rPr>
        <w:t>Note:</w:t>
      </w:r>
      <w:r w:rsidRPr="00D9348B">
        <w:t xml:space="preserve"> </w:t>
      </w:r>
      <w:r w:rsidRPr="00D9348B">
        <w:tab/>
        <w:t>COD = chemical oxygen demand.</w:t>
      </w:r>
    </w:p>
    <w:p w14:paraId="11A38576" w14:textId="77777777" w:rsidR="00524720" w:rsidRPr="00D9348B" w:rsidRDefault="00524720" w:rsidP="00524720">
      <w:pPr>
        <w:pStyle w:val="Heading6"/>
        <w:spacing w:before="100"/>
      </w:pPr>
      <w:r w:rsidRPr="00D9348B">
        <w:rPr>
          <w:lang w:eastAsia="en-NZ"/>
        </w:rPr>
        <w:t>Recovery</w:t>
      </w:r>
    </w:p>
    <w:p w14:paraId="4943AF12" w14:textId="77777777" w:rsidR="00524720" w:rsidRPr="00D9348B" w:rsidRDefault="00524720" w:rsidP="00524720">
      <w:pPr>
        <w:pStyle w:val="BodyText"/>
        <w:spacing w:before="80" w:after="0"/>
      </w:pPr>
      <w:r w:rsidRPr="00D9348B">
        <w:t xml:space="preserve">There is no recovery of emissions reported for this source. </w:t>
      </w:r>
    </w:p>
    <w:p w14:paraId="44A03003" w14:textId="77777777" w:rsidR="00524720" w:rsidRPr="00D9348B" w:rsidRDefault="00524720" w:rsidP="00524720">
      <w:pPr>
        <w:pStyle w:val="Heading5"/>
        <w:spacing w:before="200"/>
      </w:pPr>
      <w:r w:rsidRPr="00D9348B">
        <w:t>Methane emissions from industrial wastewater treatment – Wine</w:t>
      </w:r>
    </w:p>
    <w:p w14:paraId="505EC133" w14:textId="77777777" w:rsidR="00524720" w:rsidRPr="00D9348B" w:rsidRDefault="00524720" w:rsidP="001F4072">
      <w:pPr>
        <w:pStyle w:val="BodyText"/>
        <w:spacing w:before="80"/>
      </w:pPr>
      <w:r w:rsidRPr="00D9348B">
        <w:t>Table 7.5.10 provides a summary of the parameter values applied for estimating CH</w:t>
      </w:r>
      <w:r w:rsidRPr="00D9348B">
        <w:rPr>
          <w:vertAlign w:val="subscript"/>
        </w:rPr>
        <w:t>4</w:t>
      </w:r>
      <w:r w:rsidRPr="00D9348B">
        <w:t xml:space="preserve"> emissions from wastewater treatment by the wine industry.</w:t>
      </w:r>
    </w:p>
    <w:p w14:paraId="5E26A0C2" w14:textId="77777777" w:rsidR="00524720" w:rsidRPr="00D9348B" w:rsidRDefault="00524720" w:rsidP="00524720">
      <w:pPr>
        <w:pStyle w:val="Table"/>
      </w:pPr>
      <w:bookmarkStart w:id="2891" w:name="_Toc32828545"/>
      <w:bookmarkStart w:id="2892" w:name="_Toc32591375"/>
      <w:bookmarkStart w:id="2893" w:name="_Toc5269587"/>
      <w:bookmarkStart w:id="2894" w:name="_Toc511116838"/>
      <w:bookmarkStart w:id="2895" w:name="_Toc508019340"/>
      <w:bookmarkStart w:id="2896" w:name="_Toc481751613"/>
      <w:bookmarkStart w:id="2897" w:name="_Toc451176183"/>
      <w:bookmarkStart w:id="2898" w:name="_Toc444001631"/>
      <w:bookmarkStart w:id="2899" w:name="_Toc36224668"/>
      <w:r w:rsidRPr="00D9348B">
        <w:t>Table 7.5.10</w:t>
      </w:r>
      <w:r w:rsidRPr="00D9348B">
        <w:tab/>
        <w:t>Parameter values applied by New Zealand for estimating methane emissions</w:t>
      </w:r>
      <w:r w:rsidRPr="00D9348B">
        <w:br/>
        <w:t>for wastewater treatment by the wine industry</w:t>
      </w:r>
      <w:bookmarkEnd w:id="2891"/>
      <w:bookmarkEnd w:id="2892"/>
      <w:bookmarkEnd w:id="2893"/>
      <w:bookmarkEnd w:id="2894"/>
      <w:bookmarkEnd w:id="2895"/>
      <w:bookmarkEnd w:id="2896"/>
      <w:bookmarkEnd w:id="2897"/>
      <w:bookmarkEnd w:id="2898"/>
      <w:bookmarkEnd w:id="2899"/>
    </w:p>
    <w:tbl>
      <w:tblPr>
        <w:tblW w:w="8562" w:type="dxa"/>
        <w:tblInd w:w="108" w:type="dxa"/>
        <w:tblLook w:val="04A0" w:firstRow="1" w:lastRow="0" w:firstColumn="1" w:lastColumn="0" w:noHBand="0" w:noVBand="1"/>
      </w:tblPr>
      <w:tblGrid>
        <w:gridCol w:w="2410"/>
        <w:gridCol w:w="1276"/>
        <w:gridCol w:w="1701"/>
        <w:gridCol w:w="3175"/>
      </w:tblGrid>
      <w:tr w:rsidR="00524720" w:rsidRPr="00D9348B" w14:paraId="35D9A44B" w14:textId="77777777" w:rsidTr="001F4072">
        <w:trPr>
          <w:tblHeader/>
        </w:trPr>
        <w:tc>
          <w:tcPr>
            <w:tcW w:w="2410" w:type="dxa"/>
            <w:tcBorders>
              <w:top w:val="single" w:sz="4" w:space="0" w:color="365F91"/>
              <w:left w:val="nil"/>
              <w:bottom w:val="single" w:sz="4" w:space="0" w:color="365F91"/>
              <w:right w:val="nil"/>
            </w:tcBorders>
            <w:shd w:val="clear" w:color="auto" w:fill="365F91"/>
            <w:hideMark/>
          </w:tcPr>
          <w:p w14:paraId="0AF22D83" w14:textId="77777777" w:rsidR="00524720" w:rsidRPr="00D9348B" w:rsidRDefault="00524720">
            <w:pPr>
              <w:pStyle w:val="TableTextBold"/>
              <w:keepNext/>
              <w:rPr>
                <w:noProof w:val="0"/>
                <w:color w:val="FFFFFF"/>
              </w:rPr>
            </w:pPr>
            <w:r w:rsidRPr="00D9348B">
              <w:rPr>
                <w:noProof w:val="0"/>
                <w:color w:val="FFFFFF"/>
              </w:rPr>
              <w:t>Parameter</w:t>
            </w:r>
          </w:p>
        </w:tc>
        <w:tc>
          <w:tcPr>
            <w:tcW w:w="1276" w:type="dxa"/>
            <w:tcBorders>
              <w:top w:val="single" w:sz="4" w:space="0" w:color="365F91"/>
              <w:left w:val="nil"/>
              <w:bottom w:val="single" w:sz="4" w:space="0" w:color="365F91"/>
              <w:right w:val="nil"/>
            </w:tcBorders>
            <w:shd w:val="clear" w:color="auto" w:fill="365F91"/>
            <w:hideMark/>
          </w:tcPr>
          <w:p w14:paraId="07C8B7CF" w14:textId="77777777" w:rsidR="00524720" w:rsidRPr="00D9348B" w:rsidRDefault="00524720" w:rsidP="001F4072">
            <w:pPr>
              <w:pStyle w:val="TableTextBold"/>
              <w:keepNext/>
              <w:rPr>
                <w:noProof w:val="0"/>
                <w:color w:val="FFFFFF"/>
              </w:rPr>
            </w:pPr>
            <w:r w:rsidRPr="00D9348B">
              <w:rPr>
                <w:noProof w:val="0"/>
                <w:color w:val="FFFFFF"/>
              </w:rPr>
              <w:t>Value</w:t>
            </w:r>
          </w:p>
        </w:tc>
        <w:tc>
          <w:tcPr>
            <w:tcW w:w="1701" w:type="dxa"/>
            <w:tcBorders>
              <w:top w:val="single" w:sz="4" w:space="0" w:color="365F91"/>
              <w:left w:val="nil"/>
              <w:bottom w:val="single" w:sz="4" w:space="0" w:color="365F91"/>
              <w:right w:val="nil"/>
            </w:tcBorders>
            <w:shd w:val="clear" w:color="auto" w:fill="365F91"/>
            <w:hideMark/>
          </w:tcPr>
          <w:p w14:paraId="3A404309" w14:textId="77777777" w:rsidR="00524720" w:rsidRPr="00D9348B" w:rsidRDefault="00524720">
            <w:pPr>
              <w:pStyle w:val="TableTextBold"/>
              <w:keepNext/>
              <w:rPr>
                <w:noProof w:val="0"/>
                <w:color w:val="FFFFFF"/>
              </w:rPr>
            </w:pPr>
            <w:r w:rsidRPr="00D9348B">
              <w:rPr>
                <w:noProof w:val="0"/>
                <w:color w:val="FFFFFF"/>
              </w:rPr>
              <w:t>Source</w:t>
            </w:r>
          </w:p>
        </w:tc>
        <w:tc>
          <w:tcPr>
            <w:tcW w:w="3175" w:type="dxa"/>
            <w:tcBorders>
              <w:top w:val="single" w:sz="4" w:space="0" w:color="365F91"/>
              <w:left w:val="nil"/>
              <w:bottom w:val="single" w:sz="4" w:space="0" w:color="365F91"/>
              <w:right w:val="nil"/>
            </w:tcBorders>
            <w:shd w:val="clear" w:color="auto" w:fill="365F91"/>
            <w:hideMark/>
          </w:tcPr>
          <w:p w14:paraId="4E588B02" w14:textId="77777777" w:rsidR="00524720" w:rsidRPr="00D9348B" w:rsidRDefault="00524720">
            <w:pPr>
              <w:pStyle w:val="TableTextBold"/>
              <w:keepNext/>
              <w:rPr>
                <w:noProof w:val="0"/>
                <w:color w:val="FFFFFF"/>
              </w:rPr>
            </w:pPr>
            <w:r w:rsidRPr="00D9348B">
              <w:rPr>
                <w:noProof w:val="0"/>
                <w:color w:val="FFFFFF"/>
              </w:rPr>
              <w:t>Reference</w:t>
            </w:r>
          </w:p>
        </w:tc>
      </w:tr>
      <w:tr w:rsidR="00524720" w:rsidRPr="00D9348B" w14:paraId="183446FC" w14:textId="77777777" w:rsidTr="001F4072">
        <w:tc>
          <w:tcPr>
            <w:tcW w:w="2410" w:type="dxa"/>
            <w:tcBorders>
              <w:top w:val="single" w:sz="4" w:space="0" w:color="365F91"/>
              <w:left w:val="nil"/>
              <w:bottom w:val="single" w:sz="4" w:space="0" w:color="365F91"/>
              <w:right w:val="nil"/>
            </w:tcBorders>
            <w:hideMark/>
          </w:tcPr>
          <w:p w14:paraId="79809F8B" w14:textId="77777777" w:rsidR="00524720" w:rsidRPr="00D9348B" w:rsidRDefault="00524720">
            <w:pPr>
              <w:pStyle w:val="TableText"/>
              <w:keepNext/>
              <w:spacing w:before="40" w:after="40"/>
            </w:pPr>
            <w:r w:rsidRPr="00D9348B">
              <w:t>Degradable organic component (kg COD/tonne of product)</w:t>
            </w:r>
          </w:p>
        </w:tc>
        <w:tc>
          <w:tcPr>
            <w:tcW w:w="1276" w:type="dxa"/>
            <w:tcBorders>
              <w:top w:val="single" w:sz="4" w:space="0" w:color="365F91"/>
              <w:left w:val="nil"/>
              <w:bottom w:val="single" w:sz="4" w:space="0" w:color="365F91"/>
              <w:right w:val="nil"/>
            </w:tcBorders>
            <w:hideMark/>
          </w:tcPr>
          <w:p w14:paraId="56759094" w14:textId="77777777" w:rsidR="00524720" w:rsidRPr="00D9348B" w:rsidRDefault="00524720" w:rsidP="001F4072">
            <w:pPr>
              <w:pStyle w:val="TableText"/>
              <w:keepNext/>
              <w:tabs>
                <w:tab w:val="decimal" w:pos="80"/>
              </w:tabs>
              <w:spacing w:before="40" w:after="40"/>
              <w:rPr>
                <w:highlight w:val="yellow"/>
              </w:rPr>
            </w:pPr>
            <w:r w:rsidRPr="00D9348B">
              <w:t>12.42</w:t>
            </w:r>
          </w:p>
        </w:tc>
        <w:tc>
          <w:tcPr>
            <w:tcW w:w="1701" w:type="dxa"/>
            <w:tcBorders>
              <w:top w:val="single" w:sz="4" w:space="0" w:color="365F91"/>
              <w:left w:val="nil"/>
              <w:bottom w:val="single" w:sz="4" w:space="0" w:color="365F91"/>
              <w:right w:val="nil"/>
            </w:tcBorders>
            <w:hideMark/>
          </w:tcPr>
          <w:p w14:paraId="77386BFB" w14:textId="77777777" w:rsidR="00524720" w:rsidRPr="00D9348B" w:rsidRDefault="00524720">
            <w:pPr>
              <w:pStyle w:val="TableText"/>
              <w:keepNext/>
              <w:spacing w:before="40" w:after="40"/>
            </w:pPr>
            <w:r w:rsidRPr="00D9348B">
              <w:t>New Zealand specific</w:t>
            </w:r>
          </w:p>
        </w:tc>
        <w:tc>
          <w:tcPr>
            <w:tcW w:w="3175" w:type="dxa"/>
            <w:tcBorders>
              <w:top w:val="single" w:sz="4" w:space="0" w:color="365F91"/>
              <w:left w:val="nil"/>
              <w:bottom w:val="single" w:sz="4" w:space="0" w:color="365F91"/>
              <w:right w:val="nil"/>
            </w:tcBorders>
            <w:hideMark/>
          </w:tcPr>
          <w:p w14:paraId="4A9383CE" w14:textId="77777777" w:rsidR="00524720" w:rsidRPr="00D9348B" w:rsidRDefault="00524720">
            <w:pPr>
              <w:pStyle w:val="TableText"/>
              <w:keepNext/>
              <w:spacing w:before="40" w:after="40"/>
            </w:pPr>
            <w:r w:rsidRPr="00D9348B">
              <w:t>Beca Infrastructure Ltd (unpublished)</w:t>
            </w:r>
          </w:p>
        </w:tc>
      </w:tr>
      <w:tr w:rsidR="00524720" w:rsidRPr="00D9348B" w14:paraId="768C7317" w14:textId="77777777" w:rsidTr="001F4072">
        <w:tc>
          <w:tcPr>
            <w:tcW w:w="2410" w:type="dxa"/>
            <w:tcBorders>
              <w:top w:val="single" w:sz="4" w:space="0" w:color="365F91"/>
              <w:left w:val="nil"/>
              <w:bottom w:val="single" w:sz="4" w:space="0" w:color="365F91"/>
              <w:right w:val="nil"/>
            </w:tcBorders>
            <w:hideMark/>
          </w:tcPr>
          <w:p w14:paraId="28940086" w14:textId="77777777" w:rsidR="00524720" w:rsidRPr="00D9348B" w:rsidRDefault="00524720">
            <w:pPr>
              <w:pStyle w:val="TableText"/>
              <w:keepNext/>
              <w:spacing w:before="40" w:after="40"/>
            </w:pPr>
            <w:r w:rsidRPr="00D9348B">
              <w:t>Methane correction factor</w:t>
            </w:r>
          </w:p>
        </w:tc>
        <w:tc>
          <w:tcPr>
            <w:tcW w:w="1276" w:type="dxa"/>
            <w:tcBorders>
              <w:top w:val="single" w:sz="4" w:space="0" w:color="365F91"/>
              <w:left w:val="nil"/>
              <w:bottom w:val="single" w:sz="4" w:space="0" w:color="365F91"/>
              <w:right w:val="nil"/>
            </w:tcBorders>
            <w:hideMark/>
          </w:tcPr>
          <w:p w14:paraId="50E4D963" w14:textId="77777777" w:rsidR="00524720" w:rsidRPr="00D9348B" w:rsidRDefault="00524720" w:rsidP="001F4072">
            <w:pPr>
              <w:pStyle w:val="TableText"/>
              <w:keepNext/>
              <w:tabs>
                <w:tab w:val="decimal" w:pos="80"/>
              </w:tabs>
              <w:spacing w:before="40" w:after="40"/>
              <w:rPr>
                <w:highlight w:val="yellow"/>
              </w:rPr>
            </w:pPr>
            <w:r w:rsidRPr="00D9348B">
              <w:t>Range of 0–0.5</w:t>
            </w:r>
          </w:p>
        </w:tc>
        <w:tc>
          <w:tcPr>
            <w:tcW w:w="1701" w:type="dxa"/>
            <w:tcBorders>
              <w:top w:val="single" w:sz="4" w:space="0" w:color="365F91"/>
              <w:left w:val="nil"/>
              <w:bottom w:val="single" w:sz="4" w:space="0" w:color="365F91"/>
              <w:right w:val="nil"/>
            </w:tcBorders>
            <w:hideMark/>
          </w:tcPr>
          <w:p w14:paraId="76749A75" w14:textId="77777777" w:rsidR="00524720" w:rsidRPr="00D9348B" w:rsidRDefault="00524720">
            <w:pPr>
              <w:pStyle w:val="TableText"/>
              <w:keepNext/>
              <w:spacing w:before="40" w:after="40"/>
            </w:pPr>
            <w:r w:rsidRPr="00D9348B">
              <w:t>New Zealand specific</w:t>
            </w:r>
          </w:p>
        </w:tc>
        <w:tc>
          <w:tcPr>
            <w:tcW w:w="3175" w:type="dxa"/>
            <w:tcBorders>
              <w:top w:val="single" w:sz="4" w:space="0" w:color="365F91"/>
              <w:left w:val="nil"/>
              <w:bottom w:val="single" w:sz="4" w:space="0" w:color="365F91"/>
              <w:right w:val="nil"/>
            </w:tcBorders>
            <w:hideMark/>
          </w:tcPr>
          <w:p w14:paraId="72565F21" w14:textId="77777777" w:rsidR="00524720" w:rsidRPr="00D9348B" w:rsidRDefault="00524720">
            <w:pPr>
              <w:pStyle w:val="TableText"/>
              <w:keepNext/>
              <w:spacing w:before="40" w:after="40"/>
            </w:pPr>
            <w:r w:rsidRPr="00D9348B">
              <w:t>Beca Infrastructure Ltd (unpublished)</w:t>
            </w:r>
          </w:p>
        </w:tc>
      </w:tr>
      <w:tr w:rsidR="00524720" w:rsidRPr="00D9348B" w14:paraId="7A86054C" w14:textId="77777777" w:rsidTr="001F4072">
        <w:tc>
          <w:tcPr>
            <w:tcW w:w="2410" w:type="dxa"/>
            <w:tcBorders>
              <w:top w:val="single" w:sz="4" w:space="0" w:color="365F91"/>
              <w:left w:val="nil"/>
              <w:bottom w:val="single" w:sz="4" w:space="0" w:color="365F91"/>
              <w:right w:val="nil"/>
            </w:tcBorders>
            <w:hideMark/>
          </w:tcPr>
          <w:p w14:paraId="05282E2C" w14:textId="77777777" w:rsidR="00524720" w:rsidRPr="00D9348B" w:rsidRDefault="00524720">
            <w:pPr>
              <w:pStyle w:val="TableText"/>
              <w:spacing w:before="40" w:after="40"/>
            </w:pPr>
            <w:r w:rsidRPr="00D9348B">
              <w:t>Maximum CH</w:t>
            </w:r>
            <w:r w:rsidRPr="00D9348B">
              <w:rPr>
                <w:vertAlign w:val="subscript"/>
              </w:rPr>
              <w:t>4</w:t>
            </w:r>
            <w:r w:rsidRPr="00D9348B">
              <w:t>-producing capacity (kg CH</w:t>
            </w:r>
            <w:r w:rsidRPr="00D9348B">
              <w:rPr>
                <w:vertAlign w:val="subscript"/>
              </w:rPr>
              <w:t>4</w:t>
            </w:r>
            <w:r w:rsidRPr="00D9348B">
              <w:t>/kg COD)</w:t>
            </w:r>
          </w:p>
        </w:tc>
        <w:tc>
          <w:tcPr>
            <w:tcW w:w="1276" w:type="dxa"/>
            <w:tcBorders>
              <w:top w:val="single" w:sz="4" w:space="0" w:color="365F91"/>
              <w:left w:val="nil"/>
              <w:bottom w:val="single" w:sz="4" w:space="0" w:color="365F91"/>
              <w:right w:val="nil"/>
            </w:tcBorders>
            <w:hideMark/>
          </w:tcPr>
          <w:p w14:paraId="7180085A" w14:textId="77777777" w:rsidR="00524720" w:rsidRPr="00D9348B" w:rsidRDefault="00524720" w:rsidP="001F4072">
            <w:pPr>
              <w:pStyle w:val="TableText"/>
              <w:tabs>
                <w:tab w:val="decimal" w:pos="80"/>
              </w:tabs>
              <w:spacing w:before="40" w:after="40"/>
            </w:pPr>
            <w:r w:rsidRPr="00D9348B">
              <w:t>0.25</w:t>
            </w:r>
          </w:p>
        </w:tc>
        <w:tc>
          <w:tcPr>
            <w:tcW w:w="1701" w:type="dxa"/>
            <w:tcBorders>
              <w:top w:val="single" w:sz="4" w:space="0" w:color="365F91"/>
              <w:left w:val="nil"/>
              <w:bottom w:val="single" w:sz="4" w:space="0" w:color="365F91"/>
              <w:right w:val="nil"/>
            </w:tcBorders>
            <w:hideMark/>
          </w:tcPr>
          <w:p w14:paraId="57CD51A4" w14:textId="77777777" w:rsidR="00524720" w:rsidRPr="00D9348B" w:rsidRDefault="00524720">
            <w:pPr>
              <w:pStyle w:val="TableText"/>
              <w:spacing w:before="40" w:after="40"/>
            </w:pPr>
            <w:r w:rsidRPr="00D9348B">
              <w:t xml:space="preserve">IPCC default </w:t>
            </w:r>
          </w:p>
        </w:tc>
        <w:tc>
          <w:tcPr>
            <w:tcW w:w="3175" w:type="dxa"/>
            <w:tcBorders>
              <w:top w:val="single" w:sz="4" w:space="0" w:color="365F91"/>
              <w:left w:val="nil"/>
              <w:bottom w:val="single" w:sz="4" w:space="0" w:color="365F91"/>
              <w:right w:val="nil"/>
            </w:tcBorders>
            <w:hideMark/>
          </w:tcPr>
          <w:p w14:paraId="7AC1DE9C" w14:textId="77777777" w:rsidR="00524720" w:rsidRPr="00D9348B" w:rsidRDefault="00524720">
            <w:pPr>
              <w:pStyle w:val="TableText"/>
              <w:spacing w:before="40" w:after="40"/>
            </w:pPr>
            <w:r w:rsidRPr="00D9348B">
              <w:t>IPCC (2006a)</w:t>
            </w:r>
          </w:p>
        </w:tc>
      </w:tr>
      <w:tr w:rsidR="00524720" w:rsidRPr="00D9348B" w14:paraId="685CAC73" w14:textId="77777777" w:rsidTr="001F4072">
        <w:tc>
          <w:tcPr>
            <w:tcW w:w="2410" w:type="dxa"/>
            <w:tcBorders>
              <w:top w:val="single" w:sz="4" w:space="0" w:color="365F91"/>
              <w:left w:val="nil"/>
              <w:bottom w:val="single" w:sz="4" w:space="0" w:color="365F91"/>
              <w:right w:val="nil"/>
            </w:tcBorders>
            <w:hideMark/>
          </w:tcPr>
          <w:p w14:paraId="028633EB" w14:textId="77777777" w:rsidR="00524720" w:rsidRPr="00D9348B" w:rsidRDefault="00524720">
            <w:pPr>
              <w:pStyle w:val="TableText"/>
              <w:spacing w:before="40" w:after="40"/>
            </w:pPr>
            <w:r w:rsidRPr="00D9348B">
              <w:t>Overall emission factor</w:t>
            </w:r>
          </w:p>
        </w:tc>
        <w:tc>
          <w:tcPr>
            <w:tcW w:w="1276" w:type="dxa"/>
            <w:tcBorders>
              <w:top w:val="single" w:sz="4" w:space="0" w:color="365F91"/>
              <w:left w:val="nil"/>
              <w:bottom w:val="single" w:sz="4" w:space="0" w:color="365F91"/>
              <w:right w:val="nil"/>
            </w:tcBorders>
            <w:hideMark/>
          </w:tcPr>
          <w:p w14:paraId="718262DC" w14:textId="77777777" w:rsidR="00524720" w:rsidRPr="00D9348B" w:rsidRDefault="00524720" w:rsidP="001F4072">
            <w:pPr>
              <w:pStyle w:val="TableText"/>
              <w:tabs>
                <w:tab w:val="decimal" w:pos="80"/>
              </w:tabs>
              <w:spacing w:before="40" w:after="40"/>
            </w:pPr>
            <w:r w:rsidRPr="00D9348B">
              <w:t>0.0167</w:t>
            </w:r>
          </w:p>
        </w:tc>
        <w:tc>
          <w:tcPr>
            <w:tcW w:w="1701" w:type="dxa"/>
            <w:tcBorders>
              <w:top w:val="single" w:sz="4" w:space="0" w:color="365F91"/>
              <w:left w:val="nil"/>
              <w:bottom w:val="single" w:sz="4" w:space="0" w:color="365F91"/>
              <w:right w:val="nil"/>
            </w:tcBorders>
            <w:hideMark/>
          </w:tcPr>
          <w:p w14:paraId="32177D5F" w14:textId="77777777" w:rsidR="00524720" w:rsidRPr="00D9348B" w:rsidRDefault="00524720">
            <w:pPr>
              <w:pStyle w:val="TableText"/>
              <w:spacing w:before="40" w:after="40"/>
            </w:pPr>
            <w:r w:rsidRPr="00D9348B">
              <w:t>New Zealand specific</w:t>
            </w:r>
          </w:p>
        </w:tc>
        <w:tc>
          <w:tcPr>
            <w:tcW w:w="3175" w:type="dxa"/>
            <w:tcBorders>
              <w:top w:val="single" w:sz="4" w:space="0" w:color="365F91"/>
              <w:left w:val="nil"/>
              <w:bottom w:val="single" w:sz="4" w:space="0" w:color="365F91"/>
              <w:right w:val="nil"/>
            </w:tcBorders>
            <w:hideMark/>
          </w:tcPr>
          <w:p w14:paraId="4A318233" w14:textId="77777777" w:rsidR="00524720" w:rsidRPr="00D9348B" w:rsidRDefault="00524720">
            <w:pPr>
              <w:pStyle w:val="TableText"/>
              <w:spacing w:before="40" w:after="40"/>
            </w:pPr>
            <w:r w:rsidRPr="00D9348B">
              <w:t>Cardno (unpublished)</w:t>
            </w:r>
          </w:p>
        </w:tc>
      </w:tr>
    </w:tbl>
    <w:p w14:paraId="4650B462" w14:textId="77777777" w:rsidR="00524720" w:rsidRPr="00D9348B" w:rsidRDefault="00524720" w:rsidP="00524720">
      <w:pPr>
        <w:pStyle w:val="Noteundertable"/>
      </w:pPr>
      <w:r w:rsidRPr="00D9348B">
        <w:rPr>
          <w:b/>
        </w:rPr>
        <w:t>Note:</w:t>
      </w:r>
      <w:r w:rsidRPr="00D9348B">
        <w:t xml:space="preserve"> </w:t>
      </w:r>
      <w:r w:rsidRPr="00D9348B">
        <w:tab/>
        <w:t>COD = chemical oxygen demand.</w:t>
      </w:r>
    </w:p>
    <w:p w14:paraId="2124F011" w14:textId="77777777" w:rsidR="00524720" w:rsidRPr="00D9348B" w:rsidRDefault="00524720" w:rsidP="00524720">
      <w:pPr>
        <w:pStyle w:val="Heading6"/>
        <w:spacing w:before="100"/>
      </w:pPr>
      <w:r w:rsidRPr="00D9348B">
        <w:rPr>
          <w:lang w:eastAsia="en-NZ"/>
        </w:rPr>
        <w:t>Recovery</w:t>
      </w:r>
    </w:p>
    <w:p w14:paraId="211A7533" w14:textId="77777777" w:rsidR="00524720" w:rsidRPr="00D9348B" w:rsidRDefault="00524720" w:rsidP="00524720">
      <w:pPr>
        <w:pStyle w:val="BodyText"/>
        <w:spacing w:before="80" w:after="80"/>
      </w:pPr>
      <w:r w:rsidRPr="00D9348B">
        <w:t xml:space="preserve">There is no recovery of emissions reported for this source. </w:t>
      </w:r>
    </w:p>
    <w:p w14:paraId="0F0EE1C6" w14:textId="77777777" w:rsidR="00524720" w:rsidRPr="00D9348B" w:rsidRDefault="00524720" w:rsidP="00524720">
      <w:pPr>
        <w:pStyle w:val="Heading5"/>
        <w:spacing w:before="200"/>
      </w:pPr>
      <w:r w:rsidRPr="00D9348B">
        <w:t>Methane emissions from industrial wastewater treatment – Wool scouring industry</w:t>
      </w:r>
    </w:p>
    <w:p w14:paraId="48F81DE7" w14:textId="77777777" w:rsidR="00524720" w:rsidRPr="00D9348B" w:rsidRDefault="00524720" w:rsidP="001F4072">
      <w:pPr>
        <w:pStyle w:val="BodyText"/>
        <w:spacing w:before="80" w:after="100"/>
      </w:pPr>
      <w:r w:rsidRPr="00D9348B">
        <w:t>Table 7.5.11 provides a summary of the parameter values applied for estimating CH</w:t>
      </w:r>
      <w:r w:rsidRPr="00D9348B">
        <w:rPr>
          <w:vertAlign w:val="subscript"/>
        </w:rPr>
        <w:t>4</w:t>
      </w:r>
      <w:r w:rsidRPr="00D9348B">
        <w:t xml:space="preserve"> emissions from wastewater treatment by the wool scouring industry.</w:t>
      </w:r>
    </w:p>
    <w:p w14:paraId="71A010DD" w14:textId="77777777" w:rsidR="00524720" w:rsidRPr="00D9348B" w:rsidRDefault="00524720" w:rsidP="00524720">
      <w:pPr>
        <w:pStyle w:val="Table"/>
      </w:pPr>
      <w:bookmarkStart w:id="2900" w:name="_Toc32828546"/>
      <w:bookmarkStart w:id="2901" w:name="_Toc32591376"/>
      <w:bookmarkStart w:id="2902" w:name="_Toc5269588"/>
      <w:bookmarkStart w:id="2903" w:name="_Toc511116839"/>
      <w:bookmarkStart w:id="2904" w:name="_Toc508019341"/>
      <w:bookmarkStart w:id="2905" w:name="_Toc481751614"/>
      <w:bookmarkStart w:id="2906" w:name="_Toc451176184"/>
      <w:bookmarkStart w:id="2907" w:name="_Toc444001632"/>
      <w:bookmarkStart w:id="2908" w:name="_Toc321399255"/>
      <w:bookmarkStart w:id="2909" w:name="_Toc36224669"/>
      <w:r w:rsidRPr="00D9348B">
        <w:t>Table 7.5.11</w:t>
      </w:r>
      <w:r w:rsidRPr="00D9348B">
        <w:tab/>
        <w:t>Parameter values applied by New Zealand for estimating methane emissions</w:t>
      </w:r>
      <w:r w:rsidRPr="00D9348B">
        <w:br/>
        <w:t>for wastewater treatment by the wool scouring industry</w:t>
      </w:r>
      <w:bookmarkEnd w:id="2900"/>
      <w:bookmarkEnd w:id="2901"/>
      <w:bookmarkEnd w:id="2902"/>
      <w:bookmarkEnd w:id="2903"/>
      <w:bookmarkEnd w:id="2904"/>
      <w:bookmarkEnd w:id="2905"/>
      <w:bookmarkEnd w:id="2906"/>
      <w:bookmarkEnd w:id="2907"/>
      <w:bookmarkEnd w:id="2908"/>
      <w:bookmarkEnd w:id="2909"/>
    </w:p>
    <w:tbl>
      <w:tblPr>
        <w:tblW w:w="8505" w:type="dxa"/>
        <w:tblInd w:w="108" w:type="dxa"/>
        <w:tblBorders>
          <w:top w:val="single" w:sz="8" w:space="0" w:color="5B9BD5"/>
          <w:bottom w:val="single" w:sz="8" w:space="0" w:color="5B9BD5"/>
          <w:insideH w:val="single" w:sz="8" w:space="0" w:color="5B9BD5"/>
        </w:tblBorders>
        <w:tblLook w:val="04A0" w:firstRow="1" w:lastRow="0" w:firstColumn="1" w:lastColumn="0" w:noHBand="0" w:noVBand="1"/>
      </w:tblPr>
      <w:tblGrid>
        <w:gridCol w:w="2694"/>
        <w:gridCol w:w="856"/>
        <w:gridCol w:w="1837"/>
        <w:gridCol w:w="3118"/>
      </w:tblGrid>
      <w:tr w:rsidR="00524720" w:rsidRPr="00D9348B" w14:paraId="2615A1B2" w14:textId="77777777" w:rsidTr="001F4072">
        <w:tc>
          <w:tcPr>
            <w:tcW w:w="2694" w:type="dxa"/>
            <w:tcBorders>
              <w:top w:val="single" w:sz="4" w:space="0" w:color="365F91"/>
              <w:left w:val="nil"/>
              <w:bottom w:val="single" w:sz="4" w:space="0" w:color="365F91"/>
              <w:right w:val="nil"/>
            </w:tcBorders>
            <w:shd w:val="clear" w:color="auto" w:fill="365F91"/>
            <w:hideMark/>
          </w:tcPr>
          <w:p w14:paraId="24B3E858" w14:textId="77777777" w:rsidR="00524720" w:rsidRPr="00D9348B" w:rsidRDefault="00524720">
            <w:pPr>
              <w:pStyle w:val="TableTextBold"/>
              <w:keepNext/>
              <w:rPr>
                <w:noProof w:val="0"/>
                <w:color w:val="FFFFFF"/>
              </w:rPr>
            </w:pPr>
            <w:r w:rsidRPr="00D9348B">
              <w:rPr>
                <w:noProof w:val="0"/>
                <w:color w:val="FFFFFF"/>
              </w:rPr>
              <w:t>Parameter</w:t>
            </w:r>
          </w:p>
        </w:tc>
        <w:tc>
          <w:tcPr>
            <w:tcW w:w="856" w:type="dxa"/>
            <w:tcBorders>
              <w:top w:val="single" w:sz="4" w:space="0" w:color="365F91"/>
              <w:left w:val="nil"/>
              <w:bottom w:val="single" w:sz="4" w:space="0" w:color="365F91"/>
              <w:right w:val="nil"/>
            </w:tcBorders>
            <w:shd w:val="clear" w:color="auto" w:fill="365F91"/>
            <w:hideMark/>
          </w:tcPr>
          <w:p w14:paraId="24E54DC3" w14:textId="77777777" w:rsidR="00524720" w:rsidRPr="00D9348B" w:rsidRDefault="00524720">
            <w:pPr>
              <w:pStyle w:val="TableTextBold"/>
              <w:keepNext/>
              <w:jc w:val="center"/>
              <w:rPr>
                <w:noProof w:val="0"/>
                <w:color w:val="FFFFFF"/>
              </w:rPr>
            </w:pPr>
            <w:r w:rsidRPr="00D9348B">
              <w:rPr>
                <w:noProof w:val="0"/>
                <w:color w:val="FFFFFF"/>
              </w:rPr>
              <w:t>Value</w:t>
            </w:r>
          </w:p>
        </w:tc>
        <w:tc>
          <w:tcPr>
            <w:tcW w:w="1837" w:type="dxa"/>
            <w:tcBorders>
              <w:top w:val="single" w:sz="4" w:space="0" w:color="365F91"/>
              <w:left w:val="nil"/>
              <w:bottom w:val="single" w:sz="4" w:space="0" w:color="365F91"/>
              <w:right w:val="nil"/>
            </w:tcBorders>
            <w:shd w:val="clear" w:color="auto" w:fill="365F91"/>
            <w:hideMark/>
          </w:tcPr>
          <w:p w14:paraId="0BE50ADC" w14:textId="77777777" w:rsidR="00524720" w:rsidRPr="00D9348B" w:rsidRDefault="00524720">
            <w:pPr>
              <w:pStyle w:val="TableTextBold"/>
              <w:keepNext/>
              <w:rPr>
                <w:noProof w:val="0"/>
                <w:color w:val="FFFFFF"/>
              </w:rPr>
            </w:pPr>
            <w:r w:rsidRPr="00D9348B">
              <w:rPr>
                <w:noProof w:val="0"/>
                <w:color w:val="FFFFFF"/>
              </w:rPr>
              <w:t>Source</w:t>
            </w:r>
          </w:p>
        </w:tc>
        <w:tc>
          <w:tcPr>
            <w:tcW w:w="3118" w:type="dxa"/>
            <w:tcBorders>
              <w:top w:val="single" w:sz="4" w:space="0" w:color="365F91"/>
              <w:left w:val="nil"/>
              <w:bottom w:val="single" w:sz="4" w:space="0" w:color="365F91"/>
              <w:right w:val="nil"/>
            </w:tcBorders>
            <w:shd w:val="clear" w:color="auto" w:fill="365F91"/>
            <w:hideMark/>
          </w:tcPr>
          <w:p w14:paraId="6CDE454E" w14:textId="77777777" w:rsidR="00524720" w:rsidRPr="00D9348B" w:rsidRDefault="00524720">
            <w:pPr>
              <w:pStyle w:val="TableTextBold"/>
              <w:keepNext/>
              <w:rPr>
                <w:noProof w:val="0"/>
                <w:color w:val="FFFFFF"/>
              </w:rPr>
            </w:pPr>
            <w:r w:rsidRPr="00D9348B">
              <w:rPr>
                <w:noProof w:val="0"/>
                <w:color w:val="FFFFFF"/>
              </w:rPr>
              <w:t>Reference</w:t>
            </w:r>
          </w:p>
        </w:tc>
      </w:tr>
      <w:tr w:rsidR="00524720" w:rsidRPr="00D9348B" w14:paraId="0AEA1544" w14:textId="77777777" w:rsidTr="001F4072">
        <w:tc>
          <w:tcPr>
            <w:tcW w:w="2694" w:type="dxa"/>
            <w:tcBorders>
              <w:top w:val="single" w:sz="4" w:space="0" w:color="365F91"/>
              <w:left w:val="nil"/>
              <w:bottom w:val="single" w:sz="4" w:space="0" w:color="365F91"/>
              <w:right w:val="nil"/>
            </w:tcBorders>
            <w:hideMark/>
          </w:tcPr>
          <w:p w14:paraId="26E8F3EB" w14:textId="77777777" w:rsidR="00524720" w:rsidRPr="00D9348B" w:rsidRDefault="00524720" w:rsidP="001F4072">
            <w:pPr>
              <w:pStyle w:val="TableText"/>
              <w:spacing w:before="40" w:after="40"/>
            </w:pPr>
            <w:r w:rsidRPr="00D9348B">
              <w:t>Degradable organic component (kg COD/tonne of product)</w:t>
            </w:r>
          </w:p>
        </w:tc>
        <w:tc>
          <w:tcPr>
            <w:tcW w:w="856" w:type="dxa"/>
            <w:tcBorders>
              <w:top w:val="single" w:sz="4" w:space="0" w:color="365F91"/>
              <w:left w:val="nil"/>
              <w:bottom w:val="single" w:sz="4" w:space="0" w:color="365F91"/>
              <w:right w:val="nil"/>
            </w:tcBorders>
            <w:hideMark/>
          </w:tcPr>
          <w:p w14:paraId="51E2586F" w14:textId="77777777" w:rsidR="00524720" w:rsidRPr="00D9348B" w:rsidRDefault="00524720">
            <w:pPr>
              <w:pStyle w:val="TableText"/>
              <w:spacing w:before="40" w:after="40"/>
              <w:jc w:val="center"/>
            </w:pPr>
            <w:r w:rsidRPr="00D9348B">
              <w:t>22</w:t>
            </w:r>
          </w:p>
        </w:tc>
        <w:tc>
          <w:tcPr>
            <w:tcW w:w="1837" w:type="dxa"/>
            <w:tcBorders>
              <w:top w:val="single" w:sz="4" w:space="0" w:color="365F91"/>
              <w:left w:val="nil"/>
              <w:bottom w:val="single" w:sz="4" w:space="0" w:color="365F91"/>
              <w:right w:val="nil"/>
            </w:tcBorders>
            <w:hideMark/>
          </w:tcPr>
          <w:p w14:paraId="736780E6" w14:textId="77777777" w:rsidR="00524720" w:rsidRPr="00D9348B" w:rsidRDefault="00524720">
            <w:pPr>
              <w:pStyle w:val="TableText"/>
              <w:spacing w:before="40" w:after="40"/>
            </w:pPr>
            <w:r w:rsidRPr="00D9348B">
              <w:t>New Zealand specific</w:t>
            </w:r>
          </w:p>
        </w:tc>
        <w:tc>
          <w:tcPr>
            <w:tcW w:w="3118" w:type="dxa"/>
            <w:tcBorders>
              <w:top w:val="single" w:sz="4" w:space="0" w:color="365F91"/>
              <w:left w:val="nil"/>
              <w:bottom w:val="single" w:sz="4" w:space="0" w:color="365F91"/>
              <w:right w:val="nil"/>
            </w:tcBorders>
            <w:hideMark/>
          </w:tcPr>
          <w:p w14:paraId="64C8EAF1" w14:textId="77777777" w:rsidR="00524720" w:rsidRPr="00D9348B" w:rsidRDefault="00524720">
            <w:pPr>
              <w:pStyle w:val="TableText"/>
              <w:spacing w:before="40" w:after="40"/>
            </w:pPr>
            <w:r w:rsidRPr="00D9348B">
              <w:t>SCS Wetherill Environmental (unpublished)</w:t>
            </w:r>
          </w:p>
        </w:tc>
      </w:tr>
      <w:tr w:rsidR="00524720" w:rsidRPr="00D9348B" w14:paraId="65AE7FC7" w14:textId="77777777" w:rsidTr="001F4072">
        <w:tc>
          <w:tcPr>
            <w:tcW w:w="2694" w:type="dxa"/>
            <w:tcBorders>
              <w:top w:val="single" w:sz="4" w:space="0" w:color="365F91"/>
              <w:left w:val="nil"/>
              <w:bottom w:val="single" w:sz="4" w:space="0" w:color="365F91"/>
              <w:right w:val="nil"/>
            </w:tcBorders>
            <w:hideMark/>
          </w:tcPr>
          <w:p w14:paraId="513E92E4" w14:textId="77777777" w:rsidR="00524720" w:rsidRPr="00D9348B" w:rsidRDefault="00524720" w:rsidP="001F4072">
            <w:pPr>
              <w:pStyle w:val="TableText"/>
              <w:spacing w:before="40" w:after="40"/>
            </w:pPr>
            <w:r w:rsidRPr="00D9348B">
              <w:t xml:space="preserve">Methane correction factor </w:t>
            </w:r>
          </w:p>
        </w:tc>
        <w:tc>
          <w:tcPr>
            <w:tcW w:w="856" w:type="dxa"/>
            <w:tcBorders>
              <w:top w:val="single" w:sz="4" w:space="0" w:color="365F91"/>
              <w:left w:val="nil"/>
              <w:bottom w:val="single" w:sz="4" w:space="0" w:color="365F91"/>
              <w:right w:val="nil"/>
            </w:tcBorders>
            <w:hideMark/>
          </w:tcPr>
          <w:p w14:paraId="68960FB7" w14:textId="77777777" w:rsidR="00524720" w:rsidRPr="00D9348B" w:rsidRDefault="00524720">
            <w:pPr>
              <w:pStyle w:val="TableText"/>
              <w:keepNext/>
              <w:spacing w:before="40" w:after="40"/>
              <w:jc w:val="center"/>
            </w:pPr>
            <w:r w:rsidRPr="00D9348B">
              <w:t>0.29</w:t>
            </w:r>
          </w:p>
        </w:tc>
        <w:tc>
          <w:tcPr>
            <w:tcW w:w="1837" w:type="dxa"/>
            <w:tcBorders>
              <w:top w:val="single" w:sz="4" w:space="0" w:color="365F91"/>
              <w:left w:val="nil"/>
              <w:bottom w:val="single" w:sz="4" w:space="0" w:color="365F91"/>
              <w:right w:val="nil"/>
            </w:tcBorders>
            <w:hideMark/>
          </w:tcPr>
          <w:p w14:paraId="5FE5C5FB" w14:textId="77777777" w:rsidR="00524720" w:rsidRPr="00D9348B" w:rsidRDefault="00524720">
            <w:pPr>
              <w:pStyle w:val="TableText"/>
              <w:keepNext/>
              <w:spacing w:before="40" w:after="40"/>
            </w:pPr>
            <w:r w:rsidRPr="00D9348B">
              <w:t>New Zealand specific</w:t>
            </w:r>
          </w:p>
        </w:tc>
        <w:tc>
          <w:tcPr>
            <w:tcW w:w="3118" w:type="dxa"/>
            <w:tcBorders>
              <w:top w:val="single" w:sz="4" w:space="0" w:color="365F91"/>
              <w:left w:val="nil"/>
              <w:bottom w:val="single" w:sz="4" w:space="0" w:color="365F91"/>
              <w:right w:val="nil"/>
            </w:tcBorders>
            <w:hideMark/>
          </w:tcPr>
          <w:p w14:paraId="0CE91A9C" w14:textId="77777777" w:rsidR="00524720" w:rsidRPr="00D9348B" w:rsidRDefault="00524720">
            <w:pPr>
              <w:pStyle w:val="TableText"/>
              <w:keepNext/>
              <w:spacing w:before="40" w:after="40"/>
            </w:pPr>
            <w:r w:rsidRPr="00D9348B">
              <w:t>SCS Wetherill Environmental (unpublished)</w:t>
            </w:r>
          </w:p>
        </w:tc>
      </w:tr>
      <w:tr w:rsidR="00524720" w:rsidRPr="00D9348B" w14:paraId="7451D749" w14:textId="77777777" w:rsidTr="001F4072">
        <w:tc>
          <w:tcPr>
            <w:tcW w:w="2694" w:type="dxa"/>
            <w:tcBorders>
              <w:top w:val="single" w:sz="4" w:space="0" w:color="365F91"/>
              <w:left w:val="nil"/>
              <w:bottom w:val="single" w:sz="4" w:space="0" w:color="365F91"/>
              <w:right w:val="nil"/>
            </w:tcBorders>
            <w:hideMark/>
          </w:tcPr>
          <w:p w14:paraId="7268DC77" w14:textId="77777777" w:rsidR="00524720" w:rsidRPr="00D9348B" w:rsidRDefault="00524720" w:rsidP="001F4072">
            <w:pPr>
              <w:pStyle w:val="TableText"/>
              <w:spacing w:before="40" w:after="40"/>
            </w:pPr>
            <w:r w:rsidRPr="00D9348B">
              <w:t>Maximum CH</w:t>
            </w:r>
            <w:r w:rsidRPr="00D9348B">
              <w:rPr>
                <w:vertAlign w:val="subscript"/>
              </w:rPr>
              <w:t>4</w:t>
            </w:r>
            <w:r w:rsidRPr="00D9348B">
              <w:t xml:space="preserve"> producing capacity (kg CH</w:t>
            </w:r>
            <w:r w:rsidRPr="00D9348B">
              <w:rPr>
                <w:vertAlign w:val="subscript"/>
              </w:rPr>
              <w:t>4</w:t>
            </w:r>
            <w:r w:rsidRPr="00D9348B">
              <w:t>/kg COD)</w:t>
            </w:r>
          </w:p>
        </w:tc>
        <w:tc>
          <w:tcPr>
            <w:tcW w:w="856" w:type="dxa"/>
            <w:tcBorders>
              <w:top w:val="single" w:sz="4" w:space="0" w:color="365F91"/>
              <w:left w:val="nil"/>
              <w:bottom w:val="single" w:sz="4" w:space="0" w:color="365F91"/>
              <w:right w:val="nil"/>
            </w:tcBorders>
            <w:hideMark/>
          </w:tcPr>
          <w:p w14:paraId="3BDEC601" w14:textId="77777777" w:rsidR="00524720" w:rsidRPr="00D9348B" w:rsidRDefault="00524720">
            <w:pPr>
              <w:pStyle w:val="TableText"/>
              <w:spacing w:before="40" w:after="40"/>
              <w:jc w:val="center"/>
            </w:pPr>
            <w:r w:rsidRPr="00D9348B">
              <w:t>0.25</w:t>
            </w:r>
          </w:p>
        </w:tc>
        <w:tc>
          <w:tcPr>
            <w:tcW w:w="1837" w:type="dxa"/>
            <w:tcBorders>
              <w:top w:val="single" w:sz="4" w:space="0" w:color="365F91"/>
              <w:left w:val="nil"/>
              <w:bottom w:val="single" w:sz="4" w:space="0" w:color="365F91"/>
              <w:right w:val="nil"/>
            </w:tcBorders>
            <w:hideMark/>
          </w:tcPr>
          <w:p w14:paraId="6C5EE91B" w14:textId="77777777" w:rsidR="00524720" w:rsidRPr="00D9348B" w:rsidRDefault="00524720">
            <w:pPr>
              <w:pStyle w:val="TableText"/>
              <w:spacing w:before="40" w:after="40"/>
            </w:pPr>
            <w:r w:rsidRPr="00D9348B">
              <w:t xml:space="preserve">IPCC default </w:t>
            </w:r>
          </w:p>
        </w:tc>
        <w:tc>
          <w:tcPr>
            <w:tcW w:w="3118" w:type="dxa"/>
            <w:tcBorders>
              <w:top w:val="single" w:sz="4" w:space="0" w:color="365F91"/>
              <w:left w:val="nil"/>
              <w:bottom w:val="single" w:sz="4" w:space="0" w:color="365F91"/>
              <w:right w:val="nil"/>
            </w:tcBorders>
            <w:hideMark/>
          </w:tcPr>
          <w:p w14:paraId="10219B5C" w14:textId="77777777" w:rsidR="00524720" w:rsidRPr="00D9348B" w:rsidRDefault="00524720">
            <w:pPr>
              <w:pStyle w:val="TableText"/>
              <w:spacing w:before="40" w:after="40"/>
            </w:pPr>
            <w:r w:rsidRPr="00D9348B">
              <w:t>IPCC (2006a)</w:t>
            </w:r>
          </w:p>
        </w:tc>
      </w:tr>
      <w:tr w:rsidR="00524720" w:rsidRPr="00D9348B" w14:paraId="21E9736B" w14:textId="77777777" w:rsidTr="001F4072">
        <w:tc>
          <w:tcPr>
            <w:tcW w:w="2694" w:type="dxa"/>
            <w:tcBorders>
              <w:top w:val="single" w:sz="4" w:space="0" w:color="365F91"/>
              <w:left w:val="nil"/>
              <w:bottom w:val="single" w:sz="4" w:space="0" w:color="365F91"/>
              <w:right w:val="nil"/>
            </w:tcBorders>
            <w:hideMark/>
          </w:tcPr>
          <w:p w14:paraId="02BCF493" w14:textId="77777777" w:rsidR="00524720" w:rsidRPr="00D9348B" w:rsidRDefault="00524720" w:rsidP="001F4072">
            <w:pPr>
              <w:pStyle w:val="TableText"/>
              <w:spacing w:before="40" w:after="40"/>
            </w:pPr>
            <w:r w:rsidRPr="00D9348B">
              <w:t>Overall emission factor</w:t>
            </w:r>
          </w:p>
        </w:tc>
        <w:tc>
          <w:tcPr>
            <w:tcW w:w="856" w:type="dxa"/>
            <w:tcBorders>
              <w:top w:val="single" w:sz="4" w:space="0" w:color="365F91"/>
              <w:left w:val="nil"/>
              <w:bottom w:val="single" w:sz="4" w:space="0" w:color="365F91"/>
              <w:right w:val="nil"/>
            </w:tcBorders>
            <w:hideMark/>
          </w:tcPr>
          <w:p w14:paraId="25FF51FE" w14:textId="77777777" w:rsidR="00524720" w:rsidRPr="00D9348B" w:rsidRDefault="00524720">
            <w:pPr>
              <w:pStyle w:val="TableText"/>
              <w:spacing w:before="40" w:after="40"/>
              <w:jc w:val="center"/>
            </w:pPr>
            <w:r w:rsidRPr="00D9348B">
              <w:t>0.0065</w:t>
            </w:r>
          </w:p>
        </w:tc>
        <w:tc>
          <w:tcPr>
            <w:tcW w:w="1837" w:type="dxa"/>
            <w:tcBorders>
              <w:top w:val="single" w:sz="4" w:space="0" w:color="365F91"/>
              <w:left w:val="nil"/>
              <w:bottom w:val="single" w:sz="4" w:space="0" w:color="365F91"/>
              <w:right w:val="nil"/>
            </w:tcBorders>
            <w:hideMark/>
          </w:tcPr>
          <w:p w14:paraId="4EF945A8" w14:textId="77777777" w:rsidR="00524720" w:rsidRPr="00D9348B" w:rsidRDefault="00524720">
            <w:pPr>
              <w:pStyle w:val="TableText"/>
              <w:spacing w:before="40" w:after="40"/>
            </w:pPr>
            <w:r w:rsidRPr="00D9348B">
              <w:t>New Zealand specific</w:t>
            </w:r>
          </w:p>
        </w:tc>
        <w:tc>
          <w:tcPr>
            <w:tcW w:w="3118" w:type="dxa"/>
            <w:tcBorders>
              <w:top w:val="single" w:sz="4" w:space="0" w:color="365F91"/>
              <w:left w:val="nil"/>
              <w:bottom w:val="single" w:sz="4" w:space="0" w:color="365F91"/>
              <w:right w:val="nil"/>
            </w:tcBorders>
            <w:hideMark/>
          </w:tcPr>
          <w:p w14:paraId="4BF21A58" w14:textId="77777777" w:rsidR="00524720" w:rsidRPr="00D9348B" w:rsidRDefault="00524720">
            <w:pPr>
              <w:pStyle w:val="TableText"/>
              <w:spacing w:before="40" w:after="40"/>
            </w:pPr>
            <w:r w:rsidRPr="00D9348B">
              <w:t>SCS Wetherill Environmental (unpublished)</w:t>
            </w:r>
          </w:p>
        </w:tc>
      </w:tr>
    </w:tbl>
    <w:p w14:paraId="13FD945C" w14:textId="77777777" w:rsidR="00524720" w:rsidRPr="00D9348B" w:rsidRDefault="00524720" w:rsidP="00524720">
      <w:pPr>
        <w:pStyle w:val="Noteundertable"/>
        <w:spacing w:after="80"/>
      </w:pPr>
      <w:r w:rsidRPr="00D9348B">
        <w:rPr>
          <w:b/>
        </w:rPr>
        <w:t>Note:</w:t>
      </w:r>
      <w:r w:rsidRPr="00D9348B">
        <w:t xml:space="preserve"> </w:t>
      </w:r>
      <w:r w:rsidRPr="00D9348B">
        <w:tab/>
        <w:t>COD = chemical oxygen demand.</w:t>
      </w:r>
    </w:p>
    <w:p w14:paraId="023141A7" w14:textId="77777777" w:rsidR="00524720" w:rsidRPr="00D9348B" w:rsidRDefault="00524720" w:rsidP="00524720">
      <w:pPr>
        <w:pStyle w:val="Heading6"/>
        <w:spacing w:before="100"/>
        <w:rPr>
          <w:lang w:eastAsia="en-NZ"/>
        </w:rPr>
      </w:pPr>
      <w:r w:rsidRPr="00D9348B">
        <w:rPr>
          <w:lang w:eastAsia="en-NZ"/>
        </w:rPr>
        <w:t>Recovery</w:t>
      </w:r>
    </w:p>
    <w:p w14:paraId="36B047EF" w14:textId="77777777" w:rsidR="00524720" w:rsidRPr="00D9348B" w:rsidRDefault="00524720" w:rsidP="00524720">
      <w:pPr>
        <w:pStyle w:val="BodyText"/>
        <w:spacing w:before="80" w:after="0"/>
      </w:pPr>
      <w:r w:rsidRPr="00D9348B">
        <w:t xml:space="preserve">There is no recovery of emissions reported for this source. </w:t>
      </w:r>
    </w:p>
    <w:p w14:paraId="23C4725F" w14:textId="77777777" w:rsidR="00524720" w:rsidRPr="00D9348B" w:rsidRDefault="00524720" w:rsidP="00524720">
      <w:pPr>
        <w:pStyle w:val="Heading5"/>
        <w:spacing w:before="200"/>
      </w:pPr>
      <w:r w:rsidRPr="00D9348B">
        <w:lastRenderedPageBreak/>
        <w:t>Methane emissions from industrial wastewater treatment – Leather and skins industry</w:t>
      </w:r>
    </w:p>
    <w:p w14:paraId="42646920" w14:textId="77777777" w:rsidR="00524720" w:rsidRPr="00D9348B" w:rsidRDefault="00524720" w:rsidP="00127C5A">
      <w:pPr>
        <w:pStyle w:val="BodyText"/>
        <w:spacing w:before="80"/>
      </w:pPr>
      <w:r w:rsidRPr="00D9348B">
        <w:t>Table 7.5.12 provides a summary of the parameter values applied for estimating CH</w:t>
      </w:r>
      <w:r w:rsidRPr="00D9348B">
        <w:rPr>
          <w:vertAlign w:val="subscript"/>
        </w:rPr>
        <w:t>4</w:t>
      </w:r>
      <w:r w:rsidRPr="00D9348B">
        <w:t xml:space="preserve"> emissions from wastewater treatment by the leather and skins industry.</w:t>
      </w:r>
    </w:p>
    <w:p w14:paraId="2121B676" w14:textId="77777777" w:rsidR="00524720" w:rsidRPr="00D9348B" w:rsidRDefault="00524720" w:rsidP="00524720">
      <w:pPr>
        <w:pStyle w:val="Table"/>
      </w:pPr>
      <w:bookmarkStart w:id="2910" w:name="_Toc32828547"/>
      <w:bookmarkStart w:id="2911" w:name="_Toc32591377"/>
      <w:bookmarkStart w:id="2912" w:name="_Toc5269589"/>
      <w:bookmarkStart w:id="2913" w:name="_Toc511116840"/>
      <w:bookmarkStart w:id="2914" w:name="_Toc36224670"/>
      <w:r w:rsidRPr="00D9348B">
        <w:t>Table 7.5.12</w:t>
      </w:r>
      <w:r w:rsidRPr="00D9348B">
        <w:tab/>
        <w:t>Parameter values applied by New Zealand for estimating methane emissions</w:t>
      </w:r>
      <w:r w:rsidRPr="00D9348B">
        <w:br/>
        <w:t>for wastewater treatment by the leather and skins industry</w:t>
      </w:r>
      <w:bookmarkEnd w:id="2910"/>
      <w:bookmarkEnd w:id="2911"/>
      <w:bookmarkEnd w:id="2912"/>
      <w:bookmarkEnd w:id="2913"/>
      <w:bookmarkEnd w:id="2914"/>
    </w:p>
    <w:tbl>
      <w:tblPr>
        <w:tblW w:w="8505" w:type="dxa"/>
        <w:tblInd w:w="108" w:type="dxa"/>
        <w:tblLook w:val="04A0" w:firstRow="1" w:lastRow="0" w:firstColumn="1" w:lastColumn="0" w:noHBand="0" w:noVBand="1"/>
      </w:tblPr>
      <w:tblGrid>
        <w:gridCol w:w="2268"/>
        <w:gridCol w:w="1276"/>
        <w:gridCol w:w="1701"/>
        <w:gridCol w:w="3260"/>
      </w:tblGrid>
      <w:tr w:rsidR="00524720" w:rsidRPr="00D9348B" w14:paraId="2B8E0128" w14:textId="77777777" w:rsidTr="001F4072">
        <w:trPr>
          <w:tblHeader/>
        </w:trPr>
        <w:tc>
          <w:tcPr>
            <w:tcW w:w="2268" w:type="dxa"/>
            <w:tcBorders>
              <w:top w:val="single" w:sz="4" w:space="0" w:color="365F91"/>
              <w:left w:val="nil"/>
              <w:bottom w:val="single" w:sz="4" w:space="0" w:color="365F91"/>
              <w:right w:val="nil"/>
            </w:tcBorders>
            <w:shd w:val="clear" w:color="auto" w:fill="365F91"/>
            <w:hideMark/>
          </w:tcPr>
          <w:p w14:paraId="25618B6F" w14:textId="77777777" w:rsidR="00524720" w:rsidRPr="00D9348B" w:rsidRDefault="00524720">
            <w:pPr>
              <w:pStyle w:val="TableTextBold"/>
              <w:rPr>
                <w:noProof w:val="0"/>
                <w:color w:val="FFFFFF"/>
              </w:rPr>
            </w:pPr>
            <w:r w:rsidRPr="00D9348B">
              <w:rPr>
                <w:noProof w:val="0"/>
                <w:color w:val="FFFFFF"/>
              </w:rPr>
              <w:t>Parameter</w:t>
            </w:r>
          </w:p>
        </w:tc>
        <w:tc>
          <w:tcPr>
            <w:tcW w:w="1276" w:type="dxa"/>
            <w:tcBorders>
              <w:top w:val="single" w:sz="4" w:space="0" w:color="365F91"/>
              <w:left w:val="nil"/>
              <w:bottom w:val="single" w:sz="4" w:space="0" w:color="365F91"/>
              <w:right w:val="nil"/>
            </w:tcBorders>
            <w:shd w:val="clear" w:color="auto" w:fill="365F91"/>
            <w:hideMark/>
          </w:tcPr>
          <w:p w14:paraId="2A2EEE81" w14:textId="77777777" w:rsidR="00524720" w:rsidRPr="00D9348B" w:rsidRDefault="00524720">
            <w:pPr>
              <w:pStyle w:val="TableTextBold"/>
              <w:rPr>
                <w:noProof w:val="0"/>
                <w:color w:val="FFFFFF"/>
              </w:rPr>
            </w:pPr>
            <w:r w:rsidRPr="00D9348B">
              <w:rPr>
                <w:noProof w:val="0"/>
                <w:color w:val="FFFFFF"/>
              </w:rPr>
              <w:t>Value</w:t>
            </w:r>
          </w:p>
        </w:tc>
        <w:tc>
          <w:tcPr>
            <w:tcW w:w="1701" w:type="dxa"/>
            <w:tcBorders>
              <w:top w:val="single" w:sz="4" w:space="0" w:color="365F91"/>
              <w:left w:val="nil"/>
              <w:bottom w:val="single" w:sz="4" w:space="0" w:color="365F91"/>
              <w:right w:val="nil"/>
            </w:tcBorders>
            <w:shd w:val="clear" w:color="auto" w:fill="365F91"/>
            <w:hideMark/>
          </w:tcPr>
          <w:p w14:paraId="658081C9" w14:textId="77777777" w:rsidR="00524720" w:rsidRPr="00D9348B" w:rsidRDefault="00524720">
            <w:pPr>
              <w:pStyle w:val="TableTextBold"/>
              <w:rPr>
                <w:noProof w:val="0"/>
                <w:color w:val="FFFFFF"/>
              </w:rPr>
            </w:pPr>
            <w:r w:rsidRPr="00D9348B">
              <w:rPr>
                <w:noProof w:val="0"/>
                <w:color w:val="FFFFFF"/>
              </w:rPr>
              <w:t>Source</w:t>
            </w:r>
          </w:p>
        </w:tc>
        <w:tc>
          <w:tcPr>
            <w:tcW w:w="3260" w:type="dxa"/>
            <w:tcBorders>
              <w:top w:val="single" w:sz="4" w:space="0" w:color="365F91"/>
              <w:left w:val="nil"/>
              <w:bottom w:val="single" w:sz="4" w:space="0" w:color="365F91"/>
              <w:right w:val="nil"/>
            </w:tcBorders>
            <w:shd w:val="clear" w:color="auto" w:fill="365F91"/>
            <w:hideMark/>
          </w:tcPr>
          <w:p w14:paraId="0DFFDB55" w14:textId="77777777" w:rsidR="00524720" w:rsidRPr="00D9348B" w:rsidRDefault="00524720">
            <w:pPr>
              <w:pStyle w:val="TableTextBold"/>
              <w:rPr>
                <w:noProof w:val="0"/>
                <w:color w:val="FFFFFF"/>
              </w:rPr>
            </w:pPr>
            <w:r w:rsidRPr="00D9348B">
              <w:rPr>
                <w:noProof w:val="0"/>
                <w:color w:val="FFFFFF"/>
              </w:rPr>
              <w:t>Reference</w:t>
            </w:r>
          </w:p>
        </w:tc>
      </w:tr>
      <w:tr w:rsidR="00524720" w:rsidRPr="00D9348B" w14:paraId="6F3AB7AD" w14:textId="77777777" w:rsidTr="001F4072">
        <w:tc>
          <w:tcPr>
            <w:tcW w:w="2268" w:type="dxa"/>
            <w:tcBorders>
              <w:top w:val="single" w:sz="4" w:space="0" w:color="365F91"/>
              <w:left w:val="nil"/>
              <w:bottom w:val="single" w:sz="4" w:space="0" w:color="365F91"/>
              <w:right w:val="nil"/>
            </w:tcBorders>
            <w:hideMark/>
          </w:tcPr>
          <w:p w14:paraId="01CF14A1" w14:textId="77777777" w:rsidR="00524720" w:rsidRPr="00D9348B" w:rsidRDefault="00524720">
            <w:pPr>
              <w:pStyle w:val="TableText"/>
              <w:keepNext/>
              <w:spacing w:before="40" w:after="40"/>
            </w:pPr>
            <w:r w:rsidRPr="00D9348B">
              <w:t>Degradable organic component (kg COD/tonne of product)</w:t>
            </w:r>
          </w:p>
        </w:tc>
        <w:tc>
          <w:tcPr>
            <w:tcW w:w="1276" w:type="dxa"/>
            <w:tcBorders>
              <w:top w:val="single" w:sz="4" w:space="0" w:color="365F91"/>
              <w:left w:val="nil"/>
              <w:bottom w:val="single" w:sz="4" w:space="0" w:color="365F91"/>
              <w:right w:val="nil"/>
            </w:tcBorders>
            <w:hideMark/>
          </w:tcPr>
          <w:p w14:paraId="005727B4" w14:textId="77777777" w:rsidR="00524720" w:rsidRPr="00D9348B" w:rsidRDefault="00524720">
            <w:pPr>
              <w:pStyle w:val="TableText"/>
              <w:spacing w:before="40" w:after="40"/>
            </w:pPr>
            <w:r w:rsidRPr="00D9348B">
              <w:t>180</w:t>
            </w:r>
          </w:p>
        </w:tc>
        <w:tc>
          <w:tcPr>
            <w:tcW w:w="1701" w:type="dxa"/>
            <w:tcBorders>
              <w:top w:val="single" w:sz="4" w:space="0" w:color="365F91"/>
              <w:left w:val="nil"/>
              <w:bottom w:val="single" w:sz="4" w:space="0" w:color="365F91"/>
              <w:right w:val="nil"/>
            </w:tcBorders>
            <w:hideMark/>
          </w:tcPr>
          <w:p w14:paraId="2A9AD53F" w14:textId="77777777" w:rsidR="00524720" w:rsidRPr="00D9348B" w:rsidRDefault="00524720">
            <w:pPr>
              <w:pStyle w:val="TableText"/>
              <w:spacing w:before="40" w:after="40"/>
            </w:pPr>
            <w:r w:rsidRPr="00D9348B">
              <w:t>New Zealand specific</w:t>
            </w:r>
          </w:p>
        </w:tc>
        <w:tc>
          <w:tcPr>
            <w:tcW w:w="3260" w:type="dxa"/>
            <w:tcBorders>
              <w:top w:val="single" w:sz="4" w:space="0" w:color="365F91"/>
              <w:left w:val="nil"/>
              <w:bottom w:val="single" w:sz="4" w:space="0" w:color="365F91"/>
              <w:right w:val="nil"/>
            </w:tcBorders>
            <w:hideMark/>
          </w:tcPr>
          <w:p w14:paraId="10F3ACD9" w14:textId="77777777" w:rsidR="00524720" w:rsidRPr="00D9348B" w:rsidRDefault="00524720">
            <w:pPr>
              <w:pStyle w:val="TableText"/>
              <w:spacing w:before="40" w:after="40"/>
              <w:rPr>
                <w:highlight w:val="yellow"/>
              </w:rPr>
            </w:pPr>
            <w:r w:rsidRPr="00D9348B">
              <w:t>SCS Wetherill Environmental (unpublished)</w:t>
            </w:r>
          </w:p>
        </w:tc>
      </w:tr>
      <w:tr w:rsidR="00524720" w:rsidRPr="00D9348B" w14:paraId="4D1CB8E0" w14:textId="77777777" w:rsidTr="001F4072">
        <w:tc>
          <w:tcPr>
            <w:tcW w:w="2268" w:type="dxa"/>
            <w:tcBorders>
              <w:top w:val="single" w:sz="4" w:space="0" w:color="365F91"/>
              <w:left w:val="nil"/>
              <w:bottom w:val="single" w:sz="4" w:space="0" w:color="365F91"/>
              <w:right w:val="nil"/>
            </w:tcBorders>
            <w:hideMark/>
          </w:tcPr>
          <w:p w14:paraId="3AA5668D" w14:textId="77777777" w:rsidR="00524720" w:rsidRPr="00D9348B" w:rsidRDefault="00524720">
            <w:pPr>
              <w:pStyle w:val="TableText"/>
              <w:keepNext/>
              <w:spacing w:before="40" w:after="40"/>
            </w:pPr>
            <w:r w:rsidRPr="00D9348B">
              <w:t>Methane correction factor</w:t>
            </w:r>
          </w:p>
        </w:tc>
        <w:tc>
          <w:tcPr>
            <w:tcW w:w="1276" w:type="dxa"/>
            <w:tcBorders>
              <w:top w:val="single" w:sz="4" w:space="0" w:color="365F91"/>
              <w:left w:val="nil"/>
              <w:bottom w:val="single" w:sz="4" w:space="0" w:color="365F91"/>
              <w:right w:val="nil"/>
            </w:tcBorders>
            <w:hideMark/>
          </w:tcPr>
          <w:p w14:paraId="765C0F0E" w14:textId="77777777" w:rsidR="00524720" w:rsidRPr="00D9348B" w:rsidRDefault="00524720">
            <w:pPr>
              <w:pStyle w:val="TableText"/>
              <w:spacing w:before="40" w:after="40"/>
            </w:pPr>
            <w:r w:rsidRPr="00D9348B">
              <w:t>Range of 0–0.55</w:t>
            </w:r>
          </w:p>
        </w:tc>
        <w:tc>
          <w:tcPr>
            <w:tcW w:w="1701" w:type="dxa"/>
            <w:tcBorders>
              <w:top w:val="single" w:sz="4" w:space="0" w:color="365F91"/>
              <w:left w:val="nil"/>
              <w:bottom w:val="single" w:sz="4" w:space="0" w:color="365F91"/>
              <w:right w:val="nil"/>
            </w:tcBorders>
            <w:hideMark/>
          </w:tcPr>
          <w:p w14:paraId="44BA7223" w14:textId="77777777" w:rsidR="00524720" w:rsidRPr="00D9348B" w:rsidRDefault="00524720">
            <w:pPr>
              <w:pStyle w:val="TableText"/>
              <w:spacing w:before="40" w:after="40"/>
            </w:pPr>
            <w:r w:rsidRPr="00D9348B">
              <w:t>New Zealand specific</w:t>
            </w:r>
          </w:p>
        </w:tc>
        <w:tc>
          <w:tcPr>
            <w:tcW w:w="3260" w:type="dxa"/>
            <w:tcBorders>
              <w:top w:val="single" w:sz="4" w:space="0" w:color="365F91"/>
              <w:left w:val="nil"/>
              <w:bottom w:val="single" w:sz="4" w:space="0" w:color="365F91"/>
              <w:right w:val="nil"/>
            </w:tcBorders>
            <w:hideMark/>
          </w:tcPr>
          <w:p w14:paraId="3FB991D7" w14:textId="77777777" w:rsidR="00524720" w:rsidRPr="00D9348B" w:rsidRDefault="00524720">
            <w:pPr>
              <w:pStyle w:val="TableText"/>
              <w:spacing w:before="40" w:after="40"/>
              <w:rPr>
                <w:highlight w:val="yellow"/>
              </w:rPr>
            </w:pPr>
            <w:r w:rsidRPr="00D9348B">
              <w:t>SCS Wetherill Environmental (unpublished)</w:t>
            </w:r>
          </w:p>
        </w:tc>
      </w:tr>
      <w:tr w:rsidR="00524720" w:rsidRPr="00D9348B" w14:paraId="2F5347C6" w14:textId="77777777" w:rsidTr="001F4072">
        <w:tc>
          <w:tcPr>
            <w:tcW w:w="2268" w:type="dxa"/>
            <w:tcBorders>
              <w:top w:val="single" w:sz="4" w:space="0" w:color="365F91"/>
              <w:left w:val="nil"/>
              <w:bottom w:val="single" w:sz="4" w:space="0" w:color="365F91"/>
              <w:right w:val="nil"/>
            </w:tcBorders>
            <w:hideMark/>
          </w:tcPr>
          <w:p w14:paraId="61ED460F" w14:textId="77777777" w:rsidR="00524720" w:rsidRPr="00D9348B" w:rsidRDefault="00524720">
            <w:pPr>
              <w:pStyle w:val="TableText"/>
              <w:spacing w:before="40" w:after="40"/>
            </w:pPr>
            <w:r w:rsidRPr="00D9348B">
              <w:t>Maximum CH</w:t>
            </w:r>
            <w:r w:rsidRPr="00D9348B">
              <w:rPr>
                <w:vertAlign w:val="subscript"/>
              </w:rPr>
              <w:t>4</w:t>
            </w:r>
            <w:r w:rsidRPr="00D9348B">
              <w:t>-producing capacity (kg CH</w:t>
            </w:r>
            <w:r w:rsidRPr="00D9348B">
              <w:rPr>
                <w:vertAlign w:val="subscript"/>
              </w:rPr>
              <w:t>4</w:t>
            </w:r>
            <w:r w:rsidRPr="00D9348B">
              <w:t>/kg COD)</w:t>
            </w:r>
          </w:p>
        </w:tc>
        <w:tc>
          <w:tcPr>
            <w:tcW w:w="1276" w:type="dxa"/>
            <w:tcBorders>
              <w:top w:val="single" w:sz="4" w:space="0" w:color="365F91"/>
              <w:left w:val="nil"/>
              <w:bottom w:val="single" w:sz="4" w:space="0" w:color="365F91"/>
              <w:right w:val="nil"/>
            </w:tcBorders>
            <w:hideMark/>
          </w:tcPr>
          <w:p w14:paraId="66A5A1BC" w14:textId="77777777" w:rsidR="00524720" w:rsidRPr="00D9348B" w:rsidRDefault="00524720">
            <w:pPr>
              <w:pStyle w:val="TableText"/>
              <w:spacing w:before="40" w:after="40"/>
            </w:pPr>
            <w:r w:rsidRPr="00D9348B">
              <w:t>0.25</w:t>
            </w:r>
          </w:p>
        </w:tc>
        <w:tc>
          <w:tcPr>
            <w:tcW w:w="1701" w:type="dxa"/>
            <w:tcBorders>
              <w:top w:val="single" w:sz="4" w:space="0" w:color="365F91"/>
              <w:left w:val="nil"/>
              <w:bottom w:val="single" w:sz="4" w:space="0" w:color="365F91"/>
              <w:right w:val="nil"/>
            </w:tcBorders>
            <w:hideMark/>
          </w:tcPr>
          <w:p w14:paraId="7B3AA5E6" w14:textId="77777777" w:rsidR="00524720" w:rsidRPr="00D9348B" w:rsidRDefault="00524720">
            <w:pPr>
              <w:pStyle w:val="TableText"/>
              <w:spacing w:before="40" w:after="40"/>
            </w:pPr>
            <w:r w:rsidRPr="00D9348B">
              <w:t xml:space="preserve">IPCC default </w:t>
            </w:r>
          </w:p>
        </w:tc>
        <w:tc>
          <w:tcPr>
            <w:tcW w:w="3260" w:type="dxa"/>
            <w:tcBorders>
              <w:top w:val="single" w:sz="4" w:space="0" w:color="365F91"/>
              <w:left w:val="nil"/>
              <w:bottom w:val="single" w:sz="4" w:space="0" w:color="365F91"/>
              <w:right w:val="nil"/>
            </w:tcBorders>
            <w:hideMark/>
          </w:tcPr>
          <w:p w14:paraId="13FB6B62" w14:textId="77777777" w:rsidR="00524720" w:rsidRPr="00D9348B" w:rsidRDefault="00524720">
            <w:pPr>
              <w:pStyle w:val="TableText"/>
              <w:spacing w:before="40" w:after="40"/>
            </w:pPr>
            <w:r w:rsidRPr="00D9348B">
              <w:t>IPCC (2006a)</w:t>
            </w:r>
          </w:p>
        </w:tc>
      </w:tr>
      <w:tr w:rsidR="00524720" w:rsidRPr="00D9348B" w14:paraId="4DEAAE69" w14:textId="77777777" w:rsidTr="001F4072">
        <w:tc>
          <w:tcPr>
            <w:tcW w:w="2268" w:type="dxa"/>
            <w:tcBorders>
              <w:top w:val="single" w:sz="4" w:space="0" w:color="365F91"/>
              <w:left w:val="nil"/>
              <w:bottom w:val="single" w:sz="4" w:space="0" w:color="365F91"/>
              <w:right w:val="nil"/>
            </w:tcBorders>
            <w:hideMark/>
          </w:tcPr>
          <w:p w14:paraId="28F5411C" w14:textId="77777777" w:rsidR="00524720" w:rsidRPr="00D9348B" w:rsidRDefault="00524720">
            <w:pPr>
              <w:pStyle w:val="TableText"/>
              <w:spacing w:before="40" w:after="40"/>
            </w:pPr>
            <w:r w:rsidRPr="00D9348B">
              <w:t>Overall emission factor</w:t>
            </w:r>
          </w:p>
        </w:tc>
        <w:tc>
          <w:tcPr>
            <w:tcW w:w="1276" w:type="dxa"/>
            <w:tcBorders>
              <w:top w:val="single" w:sz="4" w:space="0" w:color="365F91"/>
              <w:left w:val="nil"/>
              <w:bottom w:val="single" w:sz="4" w:space="0" w:color="365F91"/>
              <w:right w:val="nil"/>
            </w:tcBorders>
            <w:hideMark/>
          </w:tcPr>
          <w:p w14:paraId="63CFA244" w14:textId="77777777" w:rsidR="00524720" w:rsidRPr="00D9348B" w:rsidRDefault="00524720">
            <w:pPr>
              <w:pStyle w:val="TableText"/>
              <w:spacing w:before="40" w:after="40"/>
            </w:pPr>
            <w:r w:rsidRPr="00D9348B">
              <w:t>0.0124</w:t>
            </w:r>
          </w:p>
        </w:tc>
        <w:tc>
          <w:tcPr>
            <w:tcW w:w="1701" w:type="dxa"/>
            <w:tcBorders>
              <w:top w:val="single" w:sz="4" w:space="0" w:color="365F91"/>
              <w:left w:val="nil"/>
              <w:bottom w:val="single" w:sz="4" w:space="0" w:color="365F91"/>
              <w:right w:val="nil"/>
            </w:tcBorders>
            <w:hideMark/>
          </w:tcPr>
          <w:p w14:paraId="2F90F567" w14:textId="77777777" w:rsidR="00524720" w:rsidRPr="00D9348B" w:rsidRDefault="00524720">
            <w:pPr>
              <w:pStyle w:val="TableText"/>
              <w:spacing w:before="40" w:after="40"/>
            </w:pPr>
            <w:r w:rsidRPr="00D9348B">
              <w:t>New Zealand specific</w:t>
            </w:r>
          </w:p>
        </w:tc>
        <w:tc>
          <w:tcPr>
            <w:tcW w:w="3260" w:type="dxa"/>
            <w:tcBorders>
              <w:top w:val="single" w:sz="4" w:space="0" w:color="365F91"/>
              <w:left w:val="nil"/>
              <w:bottom w:val="single" w:sz="4" w:space="0" w:color="365F91"/>
              <w:right w:val="nil"/>
            </w:tcBorders>
            <w:hideMark/>
          </w:tcPr>
          <w:p w14:paraId="67233D11" w14:textId="77777777" w:rsidR="00524720" w:rsidRPr="00D9348B" w:rsidRDefault="00524720">
            <w:pPr>
              <w:pStyle w:val="TableText"/>
              <w:spacing w:before="40" w:after="40"/>
              <w:rPr>
                <w:highlight w:val="yellow"/>
              </w:rPr>
            </w:pPr>
            <w:r w:rsidRPr="00D9348B">
              <w:t>SCS Wetherill Environmental (unpublished)</w:t>
            </w:r>
          </w:p>
        </w:tc>
      </w:tr>
    </w:tbl>
    <w:p w14:paraId="3F31C7F0" w14:textId="77777777" w:rsidR="00524720" w:rsidRPr="00D9348B" w:rsidRDefault="00524720" w:rsidP="00FA30DD">
      <w:pPr>
        <w:pStyle w:val="Noteundertable"/>
        <w:spacing w:before="80" w:after="80"/>
      </w:pPr>
      <w:r w:rsidRPr="00D9348B">
        <w:rPr>
          <w:b/>
        </w:rPr>
        <w:t>Note:</w:t>
      </w:r>
      <w:r w:rsidRPr="00D9348B">
        <w:t xml:space="preserve"> </w:t>
      </w:r>
      <w:r w:rsidRPr="00D9348B">
        <w:tab/>
        <w:t>COD = chemical oxygen demand.</w:t>
      </w:r>
    </w:p>
    <w:p w14:paraId="73D01B33" w14:textId="77777777" w:rsidR="00524720" w:rsidRPr="00D9348B" w:rsidRDefault="00524720" w:rsidP="00524720">
      <w:pPr>
        <w:pStyle w:val="Heading6"/>
        <w:spacing w:before="120"/>
      </w:pPr>
      <w:r w:rsidRPr="00D9348B">
        <w:rPr>
          <w:lang w:eastAsia="en-NZ"/>
        </w:rPr>
        <w:t>Recovery</w:t>
      </w:r>
    </w:p>
    <w:p w14:paraId="11B06BA4" w14:textId="77777777" w:rsidR="00524720" w:rsidRPr="00D9348B" w:rsidRDefault="00524720" w:rsidP="007A4033">
      <w:pPr>
        <w:pStyle w:val="BodyText"/>
      </w:pPr>
      <w:r w:rsidRPr="00D9348B">
        <w:t xml:space="preserve">There is no recovery of emissions reported for this source. </w:t>
      </w:r>
    </w:p>
    <w:p w14:paraId="381E2CA6" w14:textId="77777777" w:rsidR="00524720" w:rsidRPr="00D9348B" w:rsidRDefault="00524720" w:rsidP="00127C5A">
      <w:pPr>
        <w:pStyle w:val="Heading5"/>
        <w:spacing w:before="120"/>
      </w:pPr>
      <w:r w:rsidRPr="00D9348B">
        <w:t>Nitrous oxide emissions from industrial wastewater treatment – Meat industry</w:t>
      </w:r>
    </w:p>
    <w:p w14:paraId="78A3AD60" w14:textId="77777777" w:rsidR="00524720" w:rsidRPr="00D9348B" w:rsidRDefault="00524720" w:rsidP="007A4033">
      <w:pPr>
        <w:pStyle w:val="BodyText"/>
        <w:spacing w:before="80"/>
      </w:pPr>
      <w:r w:rsidRPr="00D9348B">
        <w:t>Table 7.5.13 provides a summary of the parameter values applied for estimating N</w:t>
      </w:r>
      <w:r w:rsidRPr="00D9348B">
        <w:rPr>
          <w:vertAlign w:val="subscript"/>
        </w:rPr>
        <w:t>2</w:t>
      </w:r>
      <w:r w:rsidRPr="00D9348B">
        <w:t>O emissions from wastewater treatment by the meat industry.</w:t>
      </w:r>
    </w:p>
    <w:p w14:paraId="3A3F2A3F" w14:textId="77777777" w:rsidR="00524720" w:rsidRPr="00D9348B" w:rsidRDefault="00524720" w:rsidP="00524720">
      <w:pPr>
        <w:pStyle w:val="Table"/>
      </w:pPr>
      <w:bookmarkStart w:id="2915" w:name="_Toc32828548"/>
      <w:bookmarkStart w:id="2916" w:name="_Toc32591378"/>
      <w:bookmarkStart w:id="2917" w:name="_Toc5269590"/>
      <w:bookmarkStart w:id="2918" w:name="_Toc511116841"/>
      <w:bookmarkStart w:id="2919" w:name="_Toc508019342"/>
      <w:bookmarkStart w:id="2920" w:name="_Toc481751615"/>
      <w:bookmarkStart w:id="2921" w:name="_Toc451176185"/>
      <w:bookmarkStart w:id="2922" w:name="_Toc444001633"/>
      <w:bookmarkStart w:id="2923" w:name="_Toc321399258"/>
      <w:bookmarkStart w:id="2924" w:name="_Toc36224671"/>
      <w:r w:rsidRPr="00D9348B">
        <w:t>Table 7.5.13</w:t>
      </w:r>
      <w:r w:rsidRPr="00D9348B">
        <w:tab/>
        <w:t>Parameter values applied by New Zealand for estimating nitrous oxide emissions</w:t>
      </w:r>
      <w:r w:rsidRPr="00D9348B">
        <w:br/>
        <w:t>for wastewater treatment for the meat industry</w:t>
      </w:r>
      <w:bookmarkEnd w:id="2915"/>
      <w:bookmarkEnd w:id="2916"/>
      <w:bookmarkEnd w:id="2917"/>
      <w:bookmarkEnd w:id="2918"/>
      <w:bookmarkEnd w:id="2919"/>
      <w:bookmarkEnd w:id="2920"/>
      <w:bookmarkEnd w:id="2921"/>
      <w:bookmarkEnd w:id="2922"/>
      <w:bookmarkEnd w:id="2923"/>
      <w:bookmarkEnd w:id="2924"/>
    </w:p>
    <w:tbl>
      <w:tblPr>
        <w:tblW w:w="8505" w:type="dxa"/>
        <w:tblInd w:w="108" w:type="dxa"/>
        <w:tblBorders>
          <w:top w:val="single" w:sz="4" w:space="0" w:color="365F91"/>
          <w:bottom w:val="single" w:sz="4" w:space="0" w:color="365F91"/>
          <w:insideH w:val="single" w:sz="4" w:space="0" w:color="365F91"/>
          <w:insideV w:val="single" w:sz="4" w:space="0" w:color="365F91"/>
        </w:tblBorders>
        <w:tblLook w:val="04A0" w:firstRow="1" w:lastRow="0" w:firstColumn="1" w:lastColumn="0" w:noHBand="0" w:noVBand="1"/>
      </w:tblPr>
      <w:tblGrid>
        <w:gridCol w:w="2376"/>
        <w:gridCol w:w="1276"/>
        <w:gridCol w:w="1701"/>
        <w:gridCol w:w="3152"/>
      </w:tblGrid>
      <w:tr w:rsidR="00524720" w:rsidRPr="00D9348B" w14:paraId="5B2EC707" w14:textId="77777777" w:rsidTr="00A408D8">
        <w:tc>
          <w:tcPr>
            <w:tcW w:w="2376" w:type="dxa"/>
            <w:tcBorders>
              <w:top w:val="single" w:sz="4" w:space="0" w:color="365F91"/>
              <w:left w:val="nil"/>
              <w:bottom w:val="single" w:sz="4" w:space="0" w:color="365F91"/>
              <w:right w:val="single" w:sz="4" w:space="0" w:color="365F91"/>
            </w:tcBorders>
            <w:shd w:val="clear" w:color="auto" w:fill="365F91"/>
            <w:hideMark/>
          </w:tcPr>
          <w:p w14:paraId="24447BCB" w14:textId="77777777" w:rsidR="00524720" w:rsidRPr="00D9348B" w:rsidRDefault="00524720">
            <w:pPr>
              <w:pStyle w:val="TableTextBold"/>
              <w:rPr>
                <w:noProof w:val="0"/>
                <w:color w:val="FFFFFF"/>
              </w:rPr>
            </w:pPr>
            <w:r w:rsidRPr="00D9348B">
              <w:rPr>
                <w:noProof w:val="0"/>
                <w:color w:val="FFFFFF"/>
              </w:rPr>
              <w:t>Parameter</w:t>
            </w:r>
          </w:p>
        </w:tc>
        <w:tc>
          <w:tcPr>
            <w:tcW w:w="1276" w:type="dxa"/>
            <w:tcBorders>
              <w:top w:val="single" w:sz="4" w:space="0" w:color="365F91"/>
              <w:left w:val="single" w:sz="4" w:space="0" w:color="365F91"/>
              <w:bottom w:val="single" w:sz="4" w:space="0" w:color="365F91"/>
              <w:right w:val="single" w:sz="4" w:space="0" w:color="365F91"/>
            </w:tcBorders>
            <w:shd w:val="clear" w:color="auto" w:fill="365F91"/>
            <w:hideMark/>
          </w:tcPr>
          <w:p w14:paraId="724DEA78" w14:textId="77777777" w:rsidR="00524720" w:rsidRPr="00D9348B" w:rsidRDefault="00524720">
            <w:pPr>
              <w:pStyle w:val="TableTextBold"/>
              <w:rPr>
                <w:noProof w:val="0"/>
                <w:color w:val="FFFFFF"/>
              </w:rPr>
            </w:pPr>
            <w:r w:rsidRPr="00D9348B">
              <w:rPr>
                <w:noProof w:val="0"/>
                <w:color w:val="FFFFFF"/>
              </w:rPr>
              <w:t>Value</w:t>
            </w:r>
          </w:p>
        </w:tc>
        <w:tc>
          <w:tcPr>
            <w:tcW w:w="1701" w:type="dxa"/>
            <w:tcBorders>
              <w:top w:val="single" w:sz="4" w:space="0" w:color="365F91"/>
              <w:left w:val="single" w:sz="4" w:space="0" w:color="365F91"/>
              <w:bottom w:val="single" w:sz="4" w:space="0" w:color="365F91"/>
              <w:right w:val="single" w:sz="4" w:space="0" w:color="365F91"/>
            </w:tcBorders>
            <w:shd w:val="clear" w:color="auto" w:fill="365F91"/>
            <w:hideMark/>
          </w:tcPr>
          <w:p w14:paraId="3228E1A0" w14:textId="77777777" w:rsidR="00524720" w:rsidRPr="00D9348B" w:rsidRDefault="00524720">
            <w:pPr>
              <w:pStyle w:val="TableTextBold"/>
              <w:rPr>
                <w:noProof w:val="0"/>
                <w:color w:val="FFFFFF"/>
              </w:rPr>
            </w:pPr>
            <w:r w:rsidRPr="00D9348B">
              <w:rPr>
                <w:noProof w:val="0"/>
                <w:color w:val="FFFFFF"/>
              </w:rPr>
              <w:t>Source</w:t>
            </w:r>
          </w:p>
        </w:tc>
        <w:tc>
          <w:tcPr>
            <w:tcW w:w="3152" w:type="dxa"/>
            <w:tcBorders>
              <w:top w:val="single" w:sz="4" w:space="0" w:color="365F91"/>
              <w:left w:val="single" w:sz="4" w:space="0" w:color="365F91"/>
              <w:bottom w:val="single" w:sz="4" w:space="0" w:color="365F91"/>
              <w:right w:val="nil"/>
            </w:tcBorders>
            <w:shd w:val="clear" w:color="auto" w:fill="365F91"/>
            <w:hideMark/>
          </w:tcPr>
          <w:p w14:paraId="65647D7B" w14:textId="77777777" w:rsidR="00524720" w:rsidRPr="00D9348B" w:rsidRDefault="00524720">
            <w:pPr>
              <w:pStyle w:val="TableTextBold"/>
              <w:rPr>
                <w:noProof w:val="0"/>
                <w:color w:val="FFFFFF"/>
              </w:rPr>
            </w:pPr>
            <w:r w:rsidRPr="00D9348B">
              <w:rPr>
                <w:noProof w:val="0"/>
                <w:color w:val="FFFFFF"/>
              </w:rPr>
              <w:t>Reference</w:t>
            </w:r>
          </w:p>
        </w:tc>
      </w:tr>
      <w:tr w:rsidR="00524720" w:rsidRPr="00D9348B" w14:paraId="6BADB835" w14:textId="77777777" w:rsidTr="00A408D8">
        <w:tc>
          <w:tcPr>
            <w:tcW w:w="2376" w:type="dxa"/>
            <w:tcBorders>
              <w:top w:val="single" w:sz="4" w:space="0" w:color="365F91"/>
              <w:left w:val="nil"/>
              <w:bottom w:val="single" w:sz="4" w:space="0" w:color="365F91"/>
              <w:right w:val="nil"/>
            </w:tcBorders>
            <w:hideMark/>
          </w:tcPr>
          <w:p w14:paraId="2C962E3D" w14:textId="77777777" w:rsidR="00524720" w:rsidRPr="00D9348B" w:rsidRDefault="00524720">
            <w:pPr>
              <w:pStyle w:val="TableText"/>
              <w:spacing w:before="40" w:after="40"/>
            </w:pPr>
            <w:r w:rsidRPr="00D9348B">
              <w:t>Degradable organic component (kg COD/tonne of product)</w:t>
            </w:r>
          </w:p>
        </w:tc>
        <w:tc>
          <w:tcPr>
            <w:tcW w:w="1276" w:type="dxa"/>
            <w:tcBorders>
              <w:top w:val="single" w:sz="4" w:space="0" w:color="365F91"/>
              <w:left w:val="nil"/>
              <w:bottom w:val="single" w:sz="4" w:space="0" w:color="365F91"/>
              <w:right w:val="nil"/>
            </w:tcBorders>
            <w:hideMark/>
          </w:tcPr>
          <w:p w14:paraId="187893B5" w14:textId="77777777" w:rsidR="00524720" w:rsidRPr="00D9348B" w:rsidRDefault="00524720">
            <w:pPr>
              <w:pStyle w:val="TableText"/>
            </w:pPr>
            <w:r w:rsidRPr="00D9348B">
              <w:t>50</w:t>
            </w:r>
          </w:p>
        </w:tc>
        <w:tc>
          <w:tcPr>
            <w:tcW w:w="1701" w:type="dxa"/>
            <w:tcBorders>
              <w:top w:val="single" w:sz="4" w:space="0" w:color="365F91"/>
              <w:left w:val="nil"/>
              <w:bottom w:val="single" w:sz="4" w:space="0" w:color="365F91"/>
              <w:right w:val="nil"/>
            </w:tcBorders>
            <w:hideMark/>
          </w:tcPr>
          <w:p w14:paraId="64C74D69" w14:textId="77777777" w:rsidR="00524720" w:rsidRPr="00D9348B" w:rsidRDefault="00524720">
            <w:pPr>
              <w:pStyle w:val="TableText"/>
              <w:spacing w:before="40" w:after="40"/>
            </w:pPr>
            <w:r w:rsidRPr="00D9348B">
              <w:t>New Zealand specific</w:t>
            </w:r>
          </w:p>
        </w:tc>
        <w:tc>
          <w:tcPr>
            <w:tcW w:w="3152" w:type="dxa"/>
            <w:tcBorders>
              <w:top w:val="single" w:sz="4" w:space="0" w:color="365F91"/>
              <w:left w:val="nil"/>
              <w:bottom w:val="single" w:sz="4" w:space="0" w:color="365F91"/>
              <w:right w:val="nil"/>
            </w:tcBorders>
            <w:hideMark/>
          </w:tcPr>
          <w:p w14:paraId="4CF199FF" w14:textId="77777777" w:rsidR="00524720" w:rsidRPr="00D9348B" w:rsidRDefault="00524720">
            <w:pPr>
              <w:pStyle w:val="TableText"/>
              <w:spacing w:before="40" w:after="40"/>
            </w:pPr>
            <w:r w:rsidRPr="00D9348B">
              <w:t>SCS Wetherill Environmental (unpublished)</w:t>
            </w:r>
          </w:p>
        </w:tc>
      </w:tr>
      <w:tr w:rsidR="00524720" w:rsidRPr="00D9348B" w14:paraId="3CDF8DDC" w14:textId="77777777" w:rsidTr="00A408D8">
        <w:tc>
          <w:tcPr>
            <w:tcW w:w="2376" w:type="dxa"/>
            <w:tcBorders>
              <w:top w:val="single" w:sz="4" w:space="0" w:color="365F91"/>
              <w:left w:val="nil"/>
              <w:bottom w:val="single" w:sz="4" w:space="0" w:color="365F91"/>
              <w:right w:val="nil"/>
            </w:tcBorders>
            <w:hideMark/>
          </w:tcPr>
          <w:p w14:paraId="0280AAAA" w14:textId="77777777" w:rsidR="00524720" w:rsidRPr="00D9348B" w:rsidRDefault="00524720">
            <w:pPr>
              <w:pStyle w:val="TableText"/>
              <w:spacing w:before="40" w:after="40"/>
            </w:pPr>
            <w:r w:rsidRPr="00D9348B">
              <w:t>Ratio of total nitrogen to biodegradable COD (TN:COD</w:t>
            </w:r>
            <w:r w:rsidRPr="00D9348B">
              <w:rPr>
                <w:vertAlign w:val="subscript"/>
              </w:rPr>
              <w:t>b</w:t>
            </w:r>
            <w:r w:rsidRPr="00D9348B">
              <w:t>)</w:t>
            </w:r>
          </w:p>
        </w:tc>
        <w:tc>
          <w:tcPr>
            <w:tcW w:w="1276" w:type="dxa"/>
            <w:tcBorders>
              <w:top w:val="single" w:sz="4" w:space="0" w:color="365F91"/>
              <w:left w:val="nil"/>
              <w:bottom w:val="single" w:sz="4" w:space="0" w:color="365F91"/>
              <w:right w:val="nil"/>
            </w:tcBorders>
            <w:hideMark/>
          </w:tcPr>
          <w:p w14:paraId="1D1FF455" w14:textId="77777777" w:rsidR="00524720" w:rsidRPr="00D9348B" w:rsidRDefault="00524720">
            <w:pPr>
              <w:pStyle w:val="TableText"/>
            </w:pPr>
            <w:r w:rsidRPr="00D9348B">
              <w:t>0.090</w:t>
            </w:r>
          </w:p>
        </w:tc>
        <w:tc>
          <w:tcPr>
            <w:tcW w:w="1701" w:type="dxa"/>
            <w:tcBorders>
              <w:top w:val="single" w:sz="4" w:space="0" w:color="365F91"/>
              <w:left w:val="nil"/>
              <w:bottom w:val="single" w:sz="4" w:space="0" w:color="365F91"/>
              <w:right w:val="nil"/>
            </w:tcBorders>
            <w:hideMark/>
          </w:tcPr>
          <w:p w14:paraId="6DED19AD" w14:textId="77777777" w:rsidR="00524720" w:rsidRPr="00D9348B" w:rsidRDefault="00524720">
            <w:pPr>
              <w:pStyle w:val="TableText"/>
              <w:spacing w:before="40" w:after="40"/>
            </w:pPr>
            <w:r w:rsidRPr="00D9348B">
              <w:t>New Zealand specific</w:t>
            </w:r>
          </w:p>
        </w:tc>
        <w:tc>
          <w:tcPr>
            <w:tcW w:w="3152" w:type="dxa"/>
            <w:tcBorders>
              <w:top w:val="single" w:sz="4" w:space="0" w:color="365F91"/>
              <w:left w:val="nil"/>
              <w:bottom w:val="single" w:sz="4" w:space="0" w:color="365F91"/>
              <w:right w:val="nil"/>
            </w:tcBorders>
            <w:hideMark/>
          </w:tcPr>
          <w:p w14:paraId="3BFEE68D" w14:textId="77777777" w:rsidR="00524720" w:rsidRPr="00D9348B" w:rsidRDefault="00524720">
            <w:pPr>
              <w:pStyle w:val="TableText"/>
              <w:spacing w:before="40" w:after="40"/>
            </w:pPr>
            <w:r w:rsidRPr="00D9348B">
              <w:t>Cardno (unpublished)</w:t>
            </w:r>
          </w:p>
        </w:tc>
      </w:tr>
      <w:tr w:rsidR="00524720" w:rsidRPr="00D9348B" w14:paraId="336652D5" w14:textId="77777777" w:rsidTr="00A408D8">
        <w:tc>
          <w:tcPr>
            <w:tcW w:w="2376" w:type="dxa"/>
            <w:tcBorders>
              <w:top w:val="single" w:sz="4" w:space="0" w:color="365F91"/>
              <w:left w:val="nil"/>
              <w:bottom w:val="single" w:sz="4" w:space="0" w:color="365F91"/>
              <w:right w:val="nil"/>
            </w:tcBorders>
            <w:hideMark/>
          </w:tcPr>
          <w:p w14:paraId="6751F435" w14:textId="77777777" w:rsidR="00524720" w:rsidRPr="00D9348B" w:rsidRDefault="00524720">
            <w:pPr>
              <w:pStyle w:val="TableText"/>
              <w:spacing w:before="40" w:after="40"/>
            </w:pPr>
            <w:r w:rsidRPr="00D9348B">
              <w:t>Overall emission factor</w:t>
            </w:r>
          </w:p>
        </w:tc>
        <w:tc>
          <w:tcPr>
            <w:tcW w:w="1276" w:type="dxa"/>
            <w:tcBorders>
              <w:top w:val="single" w:sz="4" w:space="0" w:color="365F91"/>
              <w:left w:val="nil"/>
              <w:bottom w:val="single" w:sz="4" w:space="0" w:color="365F91"/>
              <w:right w:val="nil"/>
            </w:tcBorders>
            <w:hideMark/>
          </w:tcPr>
          <w:p w14:paraId="4E127370" w14:textId="77777777" w:rsidR="00524720" w:rsidRPr="00D9348B" w:rsidRDefault="00524720">
            <w:pPr>
              <w:pStyle w:val="TableText"/>
            </w:pPr>
            <w:r w:rsidRPr="00D9348B">
              <w:t xml:space="preserve">Range of </w:t>
            </w:r>
            <w:r w:rsidRPr="00D9348B">
              <w:br/>
              <w:t>0.0013–0.0019</w:t>
            </w:r>
          </w:p>
        </w:tc>
        <w:tc>
          <w:tcPr>
            <w:tcW w:w="1701" w:type="dxa"/>
            <w:tcBorders>
              <w:top w:val="single" w:sz="4" w:space="0" w:color="365F91"/>
              <w:left w:val="nil"/>
              <w:bottom w:val="single" w:sz="4" w:space="0" w:color="365F91"/>
              <w:right w:val="nil"/>
            </w:tcBorders>
            <w:hideMark/>
          </w:tcPr>
          <w:p w14:paraId="34E375E4" w14:textId="77777777" w:rsidR="00524720" w:rsidRPr="00D9348B" w:rsidRDefault="00524720">
            <w:pPr>
              <w:pStyle w:val="TableText"/>
              <w:spacing w:before="40" w:after="40"/>
            </w:pPr>
            <w:r w:rsidRPr="00D9348B">
              <w:t>New Zealand specific</w:t>
            </w:r>
          </w:p>
        </w:tc>
        <w:tc>
          <w:tcPr>
            <w:tcW w:w="3152" w:type="dxa"/>
            <w:tcBorders>
              <w:top w:val="single" w:sz="4" w:space="0" w:color="365F91"/>
              <w:left w:val="nil"/>
              <w:bottom w:val="single" w:sz="4" w:space="0" w:color="365F91"/>
              <w:right w:val="nil"/>
            </w:tcBorders>
            <w:hideMark/>
          </w:tcPr>
          <w:p w14:paraId="152E7C61" w14:textId="77777777" w:rsidR="00524720" w:rsidRPr="00D9348B" w:rsidRDefault="00524720">
            <w:pPr>
              <w:pStyle w:val="TableText"/>
              <w:spacing w:before="40" w:after="40"/>
            </w:pPr>
            <w:r w:rsidRPr="00D9348B">
              <w:t>Cardno (unpublished)</w:t>
            </w:r>
          </w:p>
        </w:tc>
      </w:tr>
    </w:tbl>
    <w:p w14:paraId="778474B1" w14:textId="77777777" w:rsidR="00524720" w:rsidRPr="00D9348B" w:rsidRDefault="00524720" w:rsidP="00FA30DD">
      <w:pPr>
        <w:pStyle w:val="Noteundertable"/>
        <w:spacing w:before="80"/>
      </w:pPr>
      <w:r w:rsidRPr="00D9348B">
        <w:rPr>
          <w:b/>
        </w:rPr>
        <w:t>Note:</w:t>
      </w:r>
      <w:r w:rsidRPr="00D9348B">
        <w:t xml:space="preserve"> </w:t>
      </w:r>
      <w:r w:rsidRPr="00D9348B">
        <w:tab/>
        <w:t>COD = chemical oxygen demand.</w:t>
      </w:r>
    </w:p>
    <w:p w14:paraId="2F7D96CC" w14:textId="77777777" w:rsidR="00524720" w:rsidRPr="00D9348B" w:rsidRDefault="00524720" w:rsidP="00524720">
      <w:pPr>
        <w:pStyle w:val="Heading6"/>
        <w:spacing w:before="120"/>
      </w:pPr>
      <w:r w:rsidRPr="00D9348B">
        <w:rPr>
          <w:lang w:eastAsia="en-NZ"/>
        </w:rPr>
        <w:t>Recovery</w:t>
      </w:r>
    </w:p>
    <w:p w14:paraId="000EEA8D" w14:textId="77777777" w:rsidR="00524720" w:rsidRPr="00D9348B" w:rsidRDefault="00524720" w:rsidP="00FA30DD">
      <w:pPr>
        <w:pStyle w:val="BodyText"/>
        <w:spacing w:before="80"/>
      </w:pPr>
      <w:r w:rsidRPr="00D9348B">
        <w:t>There is no recovery of emissions reported for this source.</w:t>
      </w:r>
    </w:p>
    <w:p w14:paraId="5748DFEA" w14:textId="3AD8933C" w:rsidR="00524720" w:rsidRPr="00D9348B" w:rsidRDefault="00524720" w:rsidP="00127C5A">
      <w:pPr>
        <w:pStyle w:val="Heading5"/>
        <w:spacing w:before="120"/>
      </w:pPr>
      <w:r w:rsidRPr="00D9348B">
        <w:t>Nitrous oxide emissions from industrial wastewater treatment</w:t>
      </w:r>
      <w:r w:rsidR="00A408D8" w:rsidRPr="00D9348B">
        <w:t xml:space="preserve"> </w:t>
      </w:r>
      <w:r w:rsidRPr="00D9348B">
        <w:t>– Dairy processing industry</w:t>
      </w:r>
    </w:p>
    <w:p w14:paraId="21C2F2CC" w14:textId="77777777" w:rsidR="00524720" w:rsidRPr="00D9348B" w:rsidRDefault="00524720" w:rsidP="007A4033">
      <w:pPr>
        <w:pStyle w:val="BodyText"/>
        <w:spacing w:before="80"/>
      </w:pPr>
      <w:r w:rsidRPr="00D9348B">
        <w:t>Table 7.5.14 provides a summary of the parameter values applied for estimating N</w:t>
      </w:r>
      <w:r w:rsidRPr="00D9348B">
        <w:rPr>
          <w:vertAlign w:val="subscript"/>
        </w:rPr>
        <w:t>2</w:t>
      </w:r>
      <w:r w:rsidRPr="00D9348B">
        <w:t>O emissions from wastewater treatment by the dairy processing industry.</w:t>
      </w:r>
    </w:p>
    <w:p w14:paraId="4EE9349B" w14:textId="77777777" w:rsidR="00524720" w:rsidRPr="00D9348B" w:rsidRDefault="00524720" w:rsidP="00524720">
      <w:pPr>
        <w:pStyle w:val="Table"/>
      </w:pPr>
      <w:bookmarkStart w:id="2925" w:name="_Toc32828549"/>
      <w:bookmarkStart w:id="2926" w:name="_Toc32591379"/>
      <w:bookmarkStart w:id="2927" w:name="_Toc5269591"/>
      <w:bookmarkStart w:id="2928" w:name="_Toc511116842"/>
      <w:bookmarkStart w:id="2929" w:name="_Toc508019343"/>
      <w:bookmarkStart w:id="2930" w:name="_Toc481751616"/>
      <w:bookmarkStart w:id="2931" w:name="_Toc451176186"/>
      <w:bookmarkStart w:id="2932" w:name="_Toc444001634"/>
      <w:bookmarkStart w:id="2933" w:name="_Toc36224672"/>
      <w:r w:rsidRPr="00D9348B">
        <w:t>Table 7.5.14</w:t>
      </w:r>
      <w:r w:rsidRPr="00D9348B">
        <w:tab/>
        <w:t>Parameter values applied by New Zealand for estimating nitrous oxide emissions</w:t>
      </w:r>
      <w:r w:rsidRPr="00D9348B">
        <w:br/>
        <w:t>for wastewater treatment for the dairy processing industry</w:t>
      </w:r>
      <w:bookmarkEnd w:id="2925"/>
      <w:bookmarkEnd w:id="2926"/>
      <w:bookmarkEnd w:id="2927"/>
      <w:bookmarkEnd w:id="2928"/>
      <w:bookmarkEnd w:id="2929"/>
      <w:bookmarkEnd w:id="2930"/>
      <w:bookmarkEnd w:id="2931"/>
      <w:bookmarkEnd w:id="2932"/>
      <w:bookmarkEnd w:id="2933"/>
    </w:p>
    <w:tbl>
      <w:tblPr>
        <w:tblW w:w="8505" w:type="dxa"/>
        <w:tblInd w:w="108" w:type="dxa"/>
        <w:tblBorders>
          <w:top w:val="single" w:sz="4" w:space="0" w:color="365F91"/>
          <w:bottom w:val="single" w:sz="4" w:space="0" w:color="365F91"/>
          <w:insideH w:val="single" w:sz="4" w:space="0" w:color="365F91"/>
        </w:tblBorders>
        <w:tblLook w:val="04A0" w:firstRow="1" w:lastRow="0" w:firstColumn="1" w:lastColumn="0" w:noHBand="0" w:noVBand="1"/>
      </w:tblPr>
      <w:tblGrid>
        <w:gridCol w:w="4111"/>
        <w:gridCol w:w="851"/>
        <w:gridCol w:w="1701"/>
        <w:gridCol w:w="1842"/>
      </w:tblGrid>
      <w:tr w:rsidR="00524720" w:rsidRPr="00D9348B" w14:paraId="0AE6AD9B" w14:textId="77777777" w:rsidTr="00127C5A">
        <w:tc>
          <w:tcPr>
            <w:tcW w:w="4111" w:type="dxa"/>
            <w:tcBorders>
              <w:top w:val="single" w:sz="4" w:space="0" w:color="365F91"/>
              <w:left w:val="nil"/>
              <w:bottom w:val="single" w:sz="4" w:space="0" w:color="365F91"/>
              <w:right w:val="nil"/>
            </w:tcBorders>
            <w:shd w:val="clear" w:color="auto" w:fill="365F91"/>
            <w:hideMark/>
          </w:tcPr>
          <w:p w14:paraId="6393F67F" w14:textId="77777777" w:rsidR="00524720" w:rsidRPr="00D9348B" w:rsidRDefault="00524720">
            <w:pPr>
              <w:pStyle w:val="TableTextBold"/>
              <w:spacing w:before="40" w:after="40"/>
              <w:rPr>
                <w:noProof w:val="0"/>
                <w:color w:val="FFFFFF"/>
              </w:rPr>
            </w:pPr>
            <w:r w:rsidRPr="00D9348B">
              <w:rPr>
                <w:noProof w:val="0"/>
                <w:color w:val="FFFFFF"/>
              </w:rPr>
              <w:t>Parameter</w:t>
            </w:r>
          </w:p>
        </w:tc>
        <w:tc>
          <w:tcPr>
            <w:tcW w:w="851" w:type="dxa"/>
            <w:tcBorders>
              <w:top w:val="single" w:sz="4" w:space="0" w:color="365F91"/>
              <w:left w:val="nil"/>
              <w:bottom w:val="single" w:sz="4" w:space="0" w:color="365F91"/>
              <w:right w:val="nil"/>
            </w:tcBorders>
            <w:shd w:val="clear" w:color="auto" w:fill="365F91"/>
            <w:hideMark/>
          </w:tcPr>
          <w:p w14:paraId="3E645E52" w14:textId="77777777" w:rsidR="00524720" w:rsidRPr="00D9348B" w:rsidRDefault="00524720" w:rsidP="00FA30DD">
            <w:pPr>
              <w:pStyle w:val="TableTextBold"/>
              <w:spacing w:before="40" w:after="40"/>
              <w:rPr>
                <w:noProof w:val="0"/>
                <w:color w:val="FFFFFF"/>
              </w:rPr>
            </w:pPr>
            <w:r w:rsidRPr="00D9348B">
              <w:rPr>
                <w:noProof w:val="0"/>
                <w:color w:val="FFFFFF"/>
              </w:rPr>
              <w:t>Value</w:t>
            </w:r>
          </w:p>
        </w:tc>
        <w:tc>
          <w:tcPr>
            <w:tcW w:w="1701" w:type="dxa"/>
            <w:tcBorders>
              <w:top w:val="single" w:sz="4" w:space="0" w:color="365F91"/>
              <w:left w:val="nil"/>
              <w:bottom w:val="single" w:sz="4" w:space="0" w:color="365F91"/>
              <w:right w:val="nil"/>
            </w:tcBorders>
            <w:shd w:val="clear" w:color="auto" w:fill="365F91"/>
            <w:hideMark/>
          </w:tcPr>
          <w:p w14:paraId="2B83571E" w14:textId="77777777" w:rsidR="00524720" w:rsidRPr="00D9348B" w:rsidRDefault="00524720">
            <w:pPr>
              <w:pStyle w:val="TableTextBold"/>
              <w:spacing w:before="40" w:after="40"/>
              <w:rPr>
                <w:noProof w:val="0"/>
                <w:color w:val="FFFFFF"/>
              </w:rPr>
            </w:pPr>
            <w:r w:rsidRPr="00D9348B">
              <w:rPr>
                <w:noProof w:val="0"/>
                <w:color w:val="FFFFFF"/>
              </w:rPr>
              <w:t>Source</w:t>
            </w:r>
          </w:p>
        </w:tc>
        <w:tc>
          <w:tcPr>
            <w:tcW w:w="1842" w:type="dxa"/>
            <w:tcBorders>
              <w:top w:val="single" w:sz="4" w:space="0" w:color="365F91"/>
              <w:left w:val="nil"/>
              <w:bottom w:val="single" w:sz="4" w:space="0" w:color="365F91"/>
              <w:right w:val="nil"/>
            </w:tcBorders>
            <w:shd w:val="clear" w:color="auto" w:fill="365F91"/>
            <w:hideMark/>
          </w:tcPr>
          <w:p w14:paraId="68B1DFE1" w14:textId="77777777" w:rsidR="00524720" w:rsidRPr="00D9348B" w:rsidRDefault="00524720">
            <w:pPr>
              <w:pStyle w:val="TableTextBold"/>
              <w:spacing w:before="40" w:after="40"/>
              <w:rPr>
                <w:noProof w:val="0"/>
                <w:color w:val="FFFFFF"/>
              </w:rPr>
            </w:pPr>
            <w:r w:rsidRPr="00D9348B">
              <w:rPr>
                <w:noProof w:val="0"/>
                <w:color w:val="FFFFFF"/>
              </w:rPr>
              <w:t>Reference</w:t>
            </w:r>
          </w:p>
        </w:tc>
      </w:tr>
      <w:tr w:rsidR="00524720" w:rsidRPr="00D9348B" w14:paraId="4FF37CC5" w14:textId="77777777" w:rsidTr="00127C5A">
        <w:tc>
          <w:tcPr>
            <w:tcW w:w="4111" w:type="dxa"/>
            <w:tcBorders>
              <w:top w:val="single" w:sz="4" w:space="0" w:color="365F91"/>
              <w:left w:val="nil"/>
              <w:bottom w:val="single" w:sz="4" w:space="0" w:color="365F91"/>
              <w:right w:val="nil"/>
            </w:tcBorders>
            <w:hideMark/>
          </w:tcPr>
          <w:p w14:paraId="4E9ED83E" w14:textId="77777777" w:rsidR="00524720" w:rsidRPr="00D9348B" w:rsidRDefault="00524720">
            <w:pPr>
              <w:pStyle w:val="TableText"/>
              <w:spacing w:before="40" w:after="40"/>
            </w:pPr>
            <w:r w:rsidRPr="00D9348B">
              <w:t>Degradable organic component (kg COD/tonne of product)</w:t>
            </w:r>
          </w:p>
        </w:tc>
        <w:tc>
          <w:tcPr>
            <w:tcW w:w="851" w:type="dxa"/>
            <w:tcBorders>
              <w:top w:val="single" w:sz="4" w:space="0" w:color="365F91"/>
              <w:left w:val="nil"/>
              <w:bottom w:val="single" w:sz="4" w:space="0" w:color="365F91"/>
              <w:right w:val="nil"/>
            </w:tcBorders>
            <w:hideMark/>
          </w:tcPr>
          <w:p w14:paraId="3EDAA08F" w14:textId="77777777" w:rsidR="00524720" w:rsidRPr="00D9348B" w:rsidRDefault="00524720" w:rsidP="00FA30DD">
            <w:pPr>
              <w:pStyle w:val="TableText"/>
              <w:spacing w:before="40" w:after="40"/>
            </w:pPr>
            <w:r w:rsidRPr="00D9348B">
              <w:t>2</w:t>
            </w:r>
          </w:p>
        </w:tc>
        <w:tc>
          <w:tcPr>
            <w:tcW w:w="1701" w:type="dxa"/>
            <w:tcBorders>
              <w:top w:val="single" w:sz="4" w:space="0" w:color="365F91"/>
              <w:left w:val="nil"/>
              <w:bottom w:val="single" w:sz="4" w:space="0" w:color="365F91"/>
              <w:right w:val="nil"/>
            </w:tcBorders>
            <w:hideMark/>
          </w:tcPr>
          <w:p w14:paraId="644E6636" w14:textId="77777777" w:rsidR="00524720" w:rsidRPr="00D9348B" w:rsidRDefault="00524720">
            <w:pPr>
              <w:pStyle w:val="TableText"/>
              <w:spacing w:before="40" w:after="40"/>
            </w:pPr>
            <w:r w:rsidRPr="00D9348B">
              <w:t>New Zealand specific</w:t>
            </w:r>
          </w:p>
        </w:tc>
        <w:tc>
          <w:tcPr>
            <w:tcW w:w="1842" w:type="dxa"/>
            <w:tcBorders>
              <w:top w:val="single" w:sz="4" w:space="0" w:color="365F91"/>
              <w:left w:val="nil"/>
              <w:bottom w:val="single" w:sz="4" w:space="0" w:color="365F91"/>
              <w:right w:val="nil"/>
            </w:tcBorders>
            <w:hideMark/>
          </w:tcPr>
          <w:p w14:paraId="2EB424C6" w14:textId="77777777" w:rsidR="00524720" w:rsidRPr="00D9348B" w:rsidRDefault="00524720">
            <w:pPr>
              <w:pStyle w:val="TableText"/>
              <w:spacing w:before="40" w:after="40"/>
            </w:pPr>
            <w:r w:rsidRPr="00D9348B">
              <w:t>Cardno (unpublished)</w:t>
            </w:r>
          </w:p>
        </w:tc>
      </w:tr>
      <w:tr w:rsidR="00524720" w:rsidRPr="00D9348B" w14:paraId="5D1CD797" w14:textId="77777777" w:rsidTr="00127C5A">
        <w:tc>
          <w:tcPr>
            <w:tcW w:w="4111" w:type="dxa"/>
            <w:tcBorders>
              <w:top w:val="single" w:sz="4" w:space="0" w:color="365F91"/>
              <w:left w:val="nil"/>
              <w:bottom w:val="single" w:sz="4" w:space="0" w:color="365F91"/>
              <w:right w:val="nil"/>
            </w:tcBorders>
            <w:hideMark/>
          </w:tcPr>
          <w:p w14:paraId="4B067E49" w14:textId="77777777" w:rsidR="00524720" w:rsidRPr="00D9348B" w:rsidRDefault="00524720">
            <w:pPr>
              <w:pStyle w:val="TableText"/>
              <w:spacing w:before="40" w:after="40"/>
            </w:pPr>
            <w:r w:rsidRPr="00D9348B">
              <w:t>Ratio of total nitrogen to biodegradable COD (TN:COD</w:t>
            </w:r>
            <w:r w:rsidRPr="00D9348B">
              <w:rPr>
                <w:vertAlign w:val="subscript"/>
              </w:rPr>
              <w:t>b</w:t>
            </w:r>
            <w:r w:rsidRPr="00D9348B">
              <w:t>)</w:t>
            </w:r>
          </w:p>
        </w:tc>
        <w:tc>
          <w:tcPr>
            <w:tcW w:w="851" w:type="dxa"/>
            <w:tcBorders>
              <w:top w:val="single" w:sz="4" w:space="0" w:color="365F91"/>
              <w:left w:val="nil"/>
              <w:bottom w:val="single" w:sz="4" w:space="0" w:color="365F91"/>
              <w:right w:val="nil"/>
            </w:tcBorders>
            <w:hideMark/>
          </w:tcPr>
          <w:p w14:paraId="5327A5DD" w14:textId="77777777" w:rsidR="00524720" w:rsidRPr="00D9348B" w:rsidRDefault="00524720" w:rsidP="00FA30DD">
            <w:pPr>
              <w:pStyle w:val="TableText"/>
              <w:spacing w:before="40" w:after="40"/>
            </w:pPr>
            <w:r w:rsidRPr="00D9348B">
              <w:t>0.044</w:t>
            </w:r>
          </w:p>
        </w:tc>
        <w:tc>
          <w:tcPr>
            <w:tcW w:w="1701" w:type="dxa"/>
            <w:tcBorders>
              <w:top w:val="single" w:sz="4" w:space="0" w:color="365F91"/>
              <w:left w:val="nil"/>
              <w:bottom w:val="single" w:sz="4" w:space="0" w:color="365F91"/>
              <w:right w:val="nil"/>
            </w:tcBorders>
            <w:hideMark/>
          </w:tcPr>
          <w:p w14:paraId="3312E5FA" w14:textId="77777777" w:rsidR="00524720" w:rsidRPr="00D9348B" w:rsidRDefault="00524720">
            <w:pPr>
              <w:pStyle w:val="TableText"/>
              <w:spacing w:before="40" w:after="40"/>
            </w:pPr>
            <w:r w:rsidRPr="00D9348B">
              <w:t>New Zealand specific</w:t>
            </w:r>
          </w:p>
        </w:tc>
        <w:tc>
          <w:tcPr>
            <w:tcW w:w="1842" w:type="dxa"/>
            <w:tcBorders>
              <w:top w:val="single" w:sz="4" w:space="0" w:color="365F91"/>
              <w:left w:val="nil"/>
              <w:bottom w:val="single" w:sz="4" w:space="0" w:color="365F91"/>
              <w:right w:val="nil"/>
            </w:tcBorders>
            <w:hideMark/>
          </w:tcPr>
          <w:p w14:paraId="770D87BA" w14:textId="77777777" w:rsidR="00524720" w:rsidRPr="00D9348B" w:rsidRDefault="00524720">
            <w:pPr>
              <w:pStyle w:val="TableText"/>
              <w:spacing w:before="40" w:after="40"/>
            </w:pPr>
            <w:r w:rsidRPr="00D9348B">
              <w:t>Cardno (unpublished)</w:t>
            </w:r>
          </w:p>
        </w:tc>
      </w:tr>
      <w:tr w:rsidR="00524720" w:rsidRPr="00D9348B" w14:paraId="467CA5A1" w14:textId="77777777" w:rsidTr="00127C5A">
        <w:tc>
          <w:tcPr>
            <w:tcW w:w="4111" w:type="dxa"/>
            <w:tcBorders>
              <w:top w:val="single" w:sz="4" w:space="0" w:color="365F91"/>
              <w:left w:val="nil"/>
              <w:bottom w:val="single" w:sz="4" w:space="0" w:color="365F91"/>
              <w:right w:val="nil"/>
            </w:tcBorders>
            <w:hideMark/>
          </w:tcPr>
          <w:p w14:paraId="3687A0C9" w14:textId="77777777" w:rsidR="00524720" w:rsidRPr="00D9348B" w:rsidRDefault="00524720">
            <w:pPr>
              <w:pStyle w:val="TableText"/>
              <w:spacing w:before="40" w:after="40"/>
            </w:pPr>
            <w:r w:rsidRPr="00D9348B">
              <w:t>Overall emission factor</w:t>
            </w:r>
          </w:p>
        </w:tc>
        <w:tc>
          <w:tcPr>
            <w:tcW w:w="851" w:type="dxa"/>
            <w:tcBorders>
              <w:top w:val="single" w:sz="4" w:space="0" w:color="365F91"/>
              <w:left w:val="nil"/>
              <w:bottom w:val="single" w:sz="4" w:space="0" w:color="365F91"/>
              <w:right w:val="nil"/>
            </w:tcBorders>
            <w:hideMark/>
          </w:tcPr>
          <w:p w14:paraId="0C300C33" w14:textId="77777777" w:rsidR="00524720" w:rsidRPr="00D9348B" w:rsidRDefault="00524720" w:rsidP="00FA30DD">
            <w:pPr>
              <w:pStyle w:val="TableText"/>
              <w:spacing w:before="40" w:after="40"/>
            </w:pPr>
            <w:r w:rsidRPr="00D9348B">
              <w:t>0.0028</w:t>
            </w:r>
          </w:p>
        </w:tc>
        <w:tc>
          <w:tcPr>
            <w:tcW w:w="1701" w:type="dxa"/>
            <w:tcBorders>
              <w:top w:val="single" w:sz="4" w:space="0" w:color="365F91"/>
              <w:left w:val="nil"/>
              <w:bottom w:val="single" w:sz="4" w:space="0" w:color="365F91"/>
              <w:right w:val="nil"/>
            </w:tcBorders>
            <w:hideMark/>
          </w:tcPr>
          <w:p w14:paraId="2A50B774" w14:textId="77777777" w:rsidR="00524720" w:rsidRPr="00D9348B" w:rsidRDefault="00524720">
            <w:pPr>
              <w:pStyle w:val="TableText"/>
              <w:spacing w:before="40" w:after="40"/>
            </w:pPr>
            <w:r w:rsidRPr="00D9348B">
              <w:t>New Zealand specific</w:t>
            </w:r>
          </w:p>
        </w:tc>
        <w:tc>
          <w:tcPr>
            <w:tcW w:w="1842" w:type="dxa"/>
            <w:tcBorders>
              <w:top w:val="single" w:sz="4" w:space="0" w:color="365F91"/>
              <w:left w:val="nil"/>
              <w:bottom w:val="single" w:sz="4" w:space="0" w:color="365F91"/>
              <w:right w:val="nil"/>
            </w:tcBorders>
            <w:hideMark/>
          </w:tcPr>
          <w:p w14:paraId="759A9615" w14:textId="77777777" w:rsidR="00524720" w:rsidRPr="00D9348B" w:rsidRDefault="00524720">
            <w:pPr>
              <w:pStyle w:val="TableText"/>
              <w:spacing w:before="40" w:after="40"/>
            </w:pPr>
            <w:r w:rsidRPr="00D9348B">
              <w:t>Cardno (unpublished)</w:t>
            </w:r>
          </w:p>
        </w:tc>
      </w:tr>
    </w:tbl>
    <w:p w14:paraId="36EAF106" w14:textId="77777777" w:rsidR="00524720" w:rsidRPr="00D9348B" w:rsidRDefault="00524720" w:rsidP="00FA30DD">
      <w:pPr>
        <w:pStyle w:val="Noteundertable"/>
        <w:spacing w:before="80"/>
      </w:pPr>
      <w:r w:rsidRPr="00D9348B">
        <w:rPr>
          <w:b/>
        </w:rPr>
        <w:t>Note:</w:t>
      </w:r>
      <w:r w:rsidRPr="00D9348B">
        <w:t xml:space="preserve"> </w:t>
      </w:r>
      <w:r w:rsidRPr="00D9348B">
        <w:tab/>
        <w:t>COD = chemical oxygen demand.</w:t>
      </w:r>
    </w:p>
    <w:p w14:paraId="6E2D3D5B" w14:textId="77777777" w:rsidR="00524720" w:rsidRPr="00D9348B" w:rsidRDefault="00524720" w:rsidP="00524720">
      <w:pPr>
        <w:pStyle w:val="Heading6"/>
        <w:spacing w:before="120"/>
      </w:pPr>
      <w:r w:rsidRPr="00D9348B">
        <w:rPr>
          <w:lang w:eastAsia="en-NZ"/>
        </w:rPr>
        <w:t>Recovery</w:t>
      </w:r>
    </w:p>
    <w:p w14:paraId="5897C584" w14:textId="77777777" w:rsidR="00524720" w:rsidRPr="00D9348B" w:rsidRDefault="00524720" w:rsidP="00524720">
      <w:pPr>
        <w:pStyle w:val="BodyText"/>
        <w:spacing w:before="80" w:after="80"/>
      </w:pPr>
      <w:r w:rsidRPr="00D9348B">
        <w:t>There is no recovery of emissions reported for this source.</w:t>
      </w:r>
    </w:p>
    <w:p w14:paraId="518143BA" w14:textId="77777777" w:rsidR="00524720" w:rsidRPr="00D9348B" w:rsidRDefault="00524720" w:rsidP="00FA30DD">
      <w:pPr>
        <w:pStyle w:val="Heading5"/>
        <w:spacing w:before="160"/>
        <w:ind w:right="-113"/>
        <w:rPr>
          <w:spacing w:val="-2"/>
        </w:rPr>
      </w:pPr>
      <w:r w:rsidRPr="00D9348B">
        <w:rPr>
          <w:spacing w:val="-2"/>
        </w:rPr>
        <w:lastRenderedPageBreak/>
        <w:t>Nitrous oxide emissions from industrial wastewater treatment – Leather and skins industry</w:t>
      </w:r>
    </w:p>
    <w:p w14:paraId="67100A30" w14:textId="77777777" w:rsidR="00524720" w:rsidRPr="00D9348B" w:rsidRDefault="00524720" w:rsidP="00524720">
      <w:pPr>
        <w:pStyle w:val="BodyText"/>
      </w:pPr>
      <w:r w:rsidRPr="00D9348B">
        <w:t>Table 7.5.15 provides a summary of the parameter values applied for estimating N</w:t>
      </w:r>
      <w:r w:rsidRPr="00D9348B">
        <w:rPr>
          <w:vertAlign w:val="subscript"/>
        </w:rPr>
        <w:t>2</w:t>
      </w:r>
      <w:r w:rsidRPr="00D9348B">
        <w:t>O emissions from wastewater treatment by the leather and skins industry.</w:t>
      </w:r>
    </w:p>
    <w:p w14:paraId="6D63C88C" w14:textId="77777777" w:rsidR="00524720" w:rsidRPr="00D9348B" w:rsidRDefault="00524720" w:rsidP="00524720">
      <w:pPr>
        <w:pStyle w:val="Table"/>
      </w:pPr>
      <w:bookmarkStart w:id="2934" w:name="_Toc32828550"/>
      <w:bookmarkStart w:id="2935" w:name="_Toc32591380"/>
      <w:bookmarkStart w:id="2936" w:name="_Toc5269592"/>
      <w:bookmarkStart w:id="2937" w:name="_Toc511116843"/>
      <w:bookmarkStart w:id="2938" w:name="_Toc36224673"/>
      <w:r w:rsidRPr="00D9348B">
        <w:t>Table 7.5.15</w:t>
      </w:r>
      <w:r w:rsidRPr="00D9348B">
        <w:tab/>
        <w:t>Parameter values applied by New Zealand for estimating nitrous oxide emissions</w:t>
      </w:r>
      <w:r w:rsidRPr="00D9348B">
        <w:br/>
        <w:t>for wastewater treatment for the meat industry</w:t>
      </w:r>
      <w:bookmarkEnd w:id="2934"/>
      <w:bookmarkEnd w:id="2935"/>
      <w:bookmarkEnd w:id="2936"/>
      <w:bookmarkEnd w:id="2937"/>
      <w:bookmarkEnd w:id="2938"/>
    </w:p>
    <w:tbl>
      <w:tblPr>
        <w:tblW w:w="8505" w:type="dxa"/>
        <w:tblInd w:w="108" w:type="dxa"/>
        <w:tblBorders>
          <w:top w:val="single" w:sz="4" w:space="0" w:color="365F91"/>
          <w:bottom w:val="single" w:sz="4" w:space="0" w:color="365F91"/>
          <w:insideH w:val="single" w:sz="4" w:space="0" w:color="365F91"/>
          <w:insideV w:val="single" w:sz="4" w:space="0" w:color="365F91"/>
        </w:tblBorders>
        <w:tblLook w:val="04A0" w:firstRow="1" w:lastRow="0" w:firstColumn="1" w:lastColumn="0" w:noHBand="0" w:noVBand="1"/>
      </w:tblPr>
      <w:tblGrid>
        <w:gridCol w:w="2552"/>
        <w:gridCol w:w="709"/>
        <w:gridCol w:w="1842"/>
        <w:gridCol w:w="3402"/>
      </w:tblGrid>
      <w:tr w:rsidR="00524720" w:rsidRPr="00D9348B" w14:paraId="1B254616" w14:textId="77777777" w:rsidTr="00FA30DD">
        <w:tc>
          <w:tcPr>
            <w:tcW w:w="2552" w:type="dxa"/>
            <w:tcBorders>
              <w:top w:val="single" w:sz="4" w:space="0" w:color="365F91"/>
              <w:left w:val="nil"/>
              <w:bottom w:val="single" w:sz="4" w:space="0" w:color="365F91"/>
              <w:right w:val="single" w:sz="4" w:space="0" w:color="365F91"/>
            </w:tcBorders>
            <w:shd w:val="clear" w:color="auto" w:fill="365F91"/>
            <w:hideMark/>
          </w:tcPr>
          <w:p w14:paraId="28119F64" w14:textId="77777777" w:rsidR="00524720" w:rsidRPr="00D9348B" w:rsidRDefault="00524720">
            <w:pPr>
              <w:pStyle w:val="TableTextBold"/>
              <w:rPr>
                <w:noProof w:val="0"/>
                <w:color w:val="FFFFFF"/>
              </w:rPr>
            </w:pPr>
            <w:r w:rsidRPr="00D9348B">
              <w:rPr>
                <w:noProof w:val="0"/>
                <w:color w:val="FFFFFF"/>
              </w:rPr>
              <w:t>Parameter</w:t>
            </w:r>
          </w:p>
        </w:tc>
        <w:tc>
          <w:tcPr>
            <w:tcW w:w="709" w:type="dxa"/>
            <w:tcBorders>
              <w:top w:val="single" w:sz="4" w:space="0" w:color="365F91"/>
              <w:left w:val="single" w:sz="4" w:space="0" w:color="365F91"/>
              <w:bottom w:val="single" w:sz="4" w:space="0" w:color="365F91"/>
              <w:right w:val="single" w:sz="4" w:space="0" w:color="365F91"/>
            </w:tcBorders>
            <w:shd w:val="clear" w:color="auto" w:fill="365F91"/>
            <w:hideMark/>
          </w:tcPr>
          <w:p w14:paraId="471C94F9" w14:textId="77777777" w:rsidR="00524720" w:rsidRPr="00D9348B" w:rsidRDefault="00524720" w:rsidP="00FA30DD">
            <w:pPr>
              <w:pStyle w:val="TableTextBold"/>
              <w:jc w:val="both"/>
              <w:rPr>
                <w:noProof w:val="0"/>
                <w:color w:val="FFFFFF"/>
              </w:rPr>
            </w:pPr>
            <w:r w:rsidRPr="00D9348B">
              <w:rPr>
                <w:noProof w:val="0"/>
                <w:color w:val="FFFFFF"/>
              </w:rPr>
              <w:t>Value</w:t>
            </w:r>
          </w:p>
        </w:tc>
        <w:tc>
          <w:tcPr>
            <w:tcW w:w="1842" w:type="dxa"/>
            <w:tcBorders>
              <w:top w:val="single" w:sz="4" w:space="0" w:color="365F91"/>
              <w:left w:val="single" w:sz="4" w:space="0" w:color="365F91"/>
              <w:bottom w:val="single" w:sz="4" w:space="0" w:color="365F91"/>
              <w:right w:val="single" w:sz="4" w:space="0" w:color="365F91"/>
            </w:tcBorders>
            <w:shd w:val="clear" w:color="auto" w:fill="365F91"/>
            <w:hideMark/>
          </w:tcPr>
          <w:p w14:paraId="2E8BDF89" w14:textId="77777777" w:rsidR="00524720" w:rsidRPr="00D9348B" w:rsidRDefault="00524720">
            <w:pPr>
              <w:pStyle w:val="TableTextBold"/>
              <w:rPr>
                <w:noProof w:val="0"/>
                <w:color w:val="FFFFFF"/>
              </w:rPr>
            </w:pPr>
            <w:r w:rsidRPr="00D9348B">
              <w:rPr>
                <w:noProof w:val="0"/>
                <w:color w:val="FFFFFF"/>
              </w:rPr>
              <w:t>Source</w:t>
            </w:r>
          </w:p>
        </w:tc>
        <w:tc>
          <w:tcPr>
            <w:tcW w:w="3402" w:type="dxa"/>
            <w:tcBorders>
              <w:top w:val="single" w:sz="4" w:space="0" w:color="365F91"/>
              <w:left w:val="single" w:sz="4" w:space="0" w:color="365F91"/>
              <w:bottom w:val="single" w:sz="4" w:space="0" w:color="365F91"/>
              <w:right w:val="nil"/>
            </w:tcBorders>
            <w:shd w:val="clear" w:color="auto" w:fill="365F91"/>
            <w:hideMark/>
          </w:tcPr>
          <w:p w14:paraId="470B64C2" w14:textId="77777777" w:rsidR="00524720" w:rsidRPr="00D9348B" w:rsidRDefault="00524720">
            <w:pPr>
              <w:pStyle w:val="TableTextBold"/>
              <w:rPr>
                <w:noProof w:val="0"/>
                <w:color w:val="FFFFFF"/>
              </w:rPr>
            </w:pPr>
            <w:r w:rsidRPr="00D9348B">
              <w:rPr>
                <w:noProof w:val="0"/>
                <w:color w:val="FFFFFF"/>
              </w:rPr>
              <w:t>Reference</w:t>
            </w:r>
          </w:p>
        </w:tc>
      </w:tr>
      <w:tr w:rsidR="00524720" w:rsidRPr="00D9348B" w14:paraId="4570EF92" w14:textId="77777777" w:rsidTr="00FA30DD">
        <w:tc>
          <w:tcPr>
            <w:tcW w:w="2552" w:type="dxa"/>
            <w:tcBorders>
              <w:top w:val="single" w:sz="4" w:space="0" w:color="365F91"/>
              <w:left w:val="nil"/>
              <w:bottom w:val="single" w:sz="4" w:space="0" w:color="365F91"/>
              <w:right w:val="nil"/>
            </w:tcBorders>
            <w:hideMark/>
          </w:tcPr>
          <w:p w14:paraId="7FFE8B23" w14:textId="77777777" w:rsidR="00524720" w:rsidRPr="00D9348B" w:rsidRDefault="00524720">
            <w:pPr>
              <w:pStyle w:val="TableText"/>
              <w:spacing w:before="40" w:after="40"/>
            </w:pPr>
            <w:r w:rsidRPr="00D9348B">
              <w:t>Degradable organic component (kg COD/tonne of product)</w:t>
            </w:r>
          </w:p>
        </w:tc>
        <w:tc>
          <w:tcPr>
            <w:tcW w:w="709" w:type="dxa"/>
            <w:tcBorders>
              <w:top w:val="single" w:sz="4" w:space="0" w:color="365F91"/>
              <w:left w:val="nil"/>
              <w:bottom w:val="single" w:sz="4" w:space="0" w:color="365F91"/>
              <w:right w:val="nil"/>
            </w:tcBorders>
            <w:hideMark/>
          </w:tcPr>
          <w:p w14:paraId="632CB30D" w14:textId="77777777" w:rsidR="00524720" w:rsidRPr="00D9348B" w:rsidRDefault="00524720" w:rsidP="00FA30DD">
            <w:pPr>
              <w:pStyle w:val="TableText"/>
              <w:tabs>
                <w:tab w:val="decimal" w:pos="176"/>
              </w:tabs>
              <w:spacing w:before="40" w:after="40"/>
              <w:jc w:val="both"/>
            </w:pPr>
            <w:r w:rsidRPr="00D9348B">
              <w:t>180</w:t>
            </w:r>
          </w:p>
        </w:tc>
        <w:tc>
          <w:tcPr>
            <w:tcW w:w="1842" w:type="dxa"/>
            <w:tcBorders>
              <w:top w:val="single" w:sz="4" w:space="0" w:color="365F91"/>
              <w:left w:val="nil"/>
              <w:bottom w:val="single" w:sz="4" w:space="0" w:color="365F91"/>
              <w:right w:val="nil"/>
            </w:tcBorders>
            <w:hideMark/>
          </w:tcPr>
          <w:p w14:paraId="44DDE4F2" w14:textId="77777777" w:rsidR="00524720" w:rsidRPr="00D9348B" w:rsidRDefault="00524720">
            <w:pPr>
              <w:pStyle w:val="TableText"/>
              <w:spacing w:before="40" w:after="40"/>
            </w:pPr>
            <w:r w:rsidRPr="00D9348B">
              <w:t>New Zealand specific</w:t>
            </w:r>
          </w:p>
        </w:tc>
        <w:tc>
          <w:tcPr>
            <w:tcW w:w="3402" w:type="dxa"/>
            <w:tcBorders>
              <w:top w:val="single" w:sz="4" w:space="0" w:color="365F91"/>
              <w:left w:val="nil"/>
              <w:bottom w:val="single" w:sz="4" w:space="0" w:color="365F91"/>
              <w:right w:val="nil"/>
            </w:tcBorders>
            <w:hideMark/>
          </w:tcPr>
          <w:p w14:paraId="0FA4EEFC" w14:textId="77777777" w:rsidR="00524720" w:rsidRPr="00D9348B" w:rsidRDefault="00524720">
            <w:pPr>
              <w:pStyle w:val="TableText"/>
              <w:spacing w:before="40" w:after="40"/>
            </w:pPr>
            <w:r w:rsidRPr="00D9348B">
              <w:t>SCS Wetherill Environmental (unpublished)</w:t>
            </w:r>
          </w:p>
        </w:tc>
      </w:tr>
      <w:tr w:rsidR="00524720" w:rsidRPr="00D9348B" w14:paraId="52A0AE74" w14:textId="77777777" w:rsidTr="00FA30DD">
        <w:tc>
          <w:tcPr>
            <w:tcW w:w="2552" w:type="dxa"/>
            <w:tcBorders>
              <w:top w:val="single" w:sz="4" w:space="0" w:color="365F91"/>
              <w:left w:val="nil"/>
              <w:bottom w:val="single" w:sz="4" w:space="0" w:color="365F91"/>
              <w:right w:val="nil"/>
            </w:tcBorders>
            <w:hideMark/>
          </w:tcPr>
          <w:p w14:paraId="18A38C75" w14:textId="77777777" w:rsidR="00524720" w:rsidRPr="00D9348B" w:rsidRDefault="00524720">
            <w:pPr>
              <w:pStyle w:val="TableText"/>
              <w:spacing w:before="40" w:after="40"/>
            </w:pPr>
            <w:r w:rsidRPr="00D9348B">
              <w:t>Ratio of total nitrogen to biodegradable COD (TN:COD</w:t>
            </w:r>
            <w:r w:rsidRPr="00D9348B">
              <w:rPr>
                <w:vertAlign w:val="subscript"/>
              </w:rPr>
              <w:t>b</w:t>
            </w:r>
            <w:r w:rsidRPr="00D9348B">
              <w:t>)</w:t>
            </w:r>
          </w:p>
        </w:tc>
        <w:tc>
          <w:tcPr>
            <w:tcW w:w="709" w:type="dxa"/>
            <w:tcBorders>
              <w:top w:val="single" w:sz="4" w:space="0" w:color="365F91"/>
              <w:left w:val="nil"/>
              <w:bottom w:val="single" w:sz="4" w:space="0" w:color="365F91"/>
              <w:right w:val="nil"/>
            </w:tcBorders>
            <w:hideMark/>
          </w:tcPr>
          <w:p w14:paraId="555024DE" w14:textId="77777777" w:rsidR="00524720" w:rsidRPr="00D9348B" w:rsidRDefault="00524720" w:rsidP="00FA30DD">
            <w:pPr>
              <w:pStyle w:val="TableText"/>
              <w:spacing w:before="40" w:after="40"/>
              <w:jc w:val="both"/>
            </w:pPr>
            <w:r w:rsidRPr="00D9348B">
              <w:t>0.080</w:t>
            </w:r>
          </w:p>
        </w:tc>
        <w:tc>
          <w:tcPr>
            <w:tcW w:w="1842" w:type="dxa"/>
            <w:tcBorders>
              <w:top w:val="single" w:sz="4" w:space="0" w:color="365F91"/>
              <w:left w:val="nil"/>
              <w:bottom w:val="single" w:sz="4" w:space="0" w:color="365F91"/>
              <w:right w:val="nil"/>
            </w:tcBorders>
            <w:hideMark/>
          </w:tcPr>
          <w:p w14:paraId="7EA3339C" w14:textId="77777777" w:rsidR="00524720" w:rsidRPr="00D9348B" w:rsidRDefault="00524720">
            <w:pPr>
              <w:pStyle w:val="TableText"/>
              <w:spacing w:before="40" w:after="40"/>
            </w:pPr>
            <w:r w:rsidRPr="00D9348B">
              <w:t>New Zealand specific</w:t>
            </w:r>
          </w:p>
        </w:tc>
        <w:tc>
          <w:tcPr>
            <w:tcW w:w="3402" w:type="dxa"/>
            <w:tcBorders>
              <w:top w:val="single" w:sz="4" w:space="0" w:color="365F91"/>
              <w:left w:val="nil"/>
              <w:bottom w:val="single" w:sz="4" w:space="0" w:color="365F91"/>
              <w:right w:val="nil"/>
            </w:tcBorders>
            <w:hideMark/>
          </w:tcPr>
          <w:p w14:paraId="55FFD524" w14:textId="77777777" w:rsidR="00524720" w:rsidRPr="00D9348B" w:rsidRDefault="00524720">
            <w:pPr>
              <w:pStyle w:val="TableText"/>
              <w:spacing w:before="40" w:after="40"/>
            </w:pPr>
            <w:r w:rsidRPr="00D9348B">
              <w:t>SCS Wetherill Environmental (unpublished)</w:t>
            </w:r>
          </w:p>
        </w:tc>
      </w:tr>
      <w:tr w:rsidR="00524720" w:rsidRPr="00D9348B" w14:paraId="79FFB34D" w14:textId="77777777" w:rsidTr="00FA30DD">
        <w:tc>
          <w:tcPr>
            <w:tcW w:w="2552" w:type="dxa"/>
            <w:tcBorders>
              <w:top w:val="single" w:sz="4" w:space="0" w:color="365F91"/>
              <w:left w:val="nil"/>
              <w:bottom w:val="single" w:sz="4" w:space="0" w:color="365F91"/>
              <w:right w:val="nil"/>
            </w:tcBorders>
            <w:hideMark/>
          </w:tcPr>
          <w:p w14:paraId="795172F3" w14:textId="77777777" w:rsidR="00524720" w:rsidRPr="00D9348B" w:rsidRDefault="00524720">
            <w:pPr>
              <w:pStyle w:val="TableText"/>
              <w:spacing w:before="40" w:after="40"/>
            </w:pPr>
            <w:r w:rsidRPr="00D9348B">
              <w:t>Overall emission factor</w:t>
            </w:r>
          </w:p>
        </w:tc>
        <w:tc>
          <w:tcPr>
            <w:tcW w:w="709" w:type="dxa"/>
            <w:tcBorders>
              <w:top w:val="single" w:sz="4" w:space="0" w:color="365F91"/>
              <w:left w:val="nil"/>
              <w:bottom w:val="single" w:sz="4" w:space="0" w:color="365F91"/>
              <w:right w:val="nil"/>
            </w:tcBorders>
            <w:hideMark/>
          </w:tcPr>
          <w:p w14:paraId="44B3DA2D" w14:textId="77777777" w:rsidR="00524720" w:rsidRPr="00D9348B" w:rsidRDefault="00524720" w:rsidP="00FA30DD">
            <w:pPr>
              <w:pStyle w:val="TableText"/>
              <w:spacing w:before="40" w:after="40"/>
              <w:jc w:val="both"/>
            </w:pPr>
            <w:r w:rsidRPr="00D9348B">
              <w:t>0.02</w:t>
            </w:r>
          </w:p>
        </w:tc>
        <w:tc>
          <w:tcPr>
            <w:tcW w:w="1842" w:type="dxa"/>
            <w:tcBorders>
              <w:top w:val="single" w:sz="4" w:space="0" w:color="365F91"/>
              <w:left w:val="nil"/>
              <w:bottom w:val="single" w:sz="4" w:space="0" w:color="365F91"/>
              <w:right w:val="nil"/>
            </w:tcBorders>
            <w:hideMark/>
          </w:tcPr>
          <w:p w14:paraId="42C5BA9A" w14:textId="77777777" w:rsidR="00524720" w:rsidRPr="00D9348B" w:rsidRDefault="00524720">
            <w:pPr>
              <w:pStyle w:val="TableText"/>
              <w:spacing w:before="40" w:after="40"/>
            </w:pPr>
            <w:r w:rsidRPr="00D9348B">
              <w:t>New Zealand specific</w:t>
            </w:r>
          </w:p>
        </w:tc>
        <w:tc>
          <w:tcPr>
            <w:tcW w:w="3402" w:type="dxa"/>
            <w:tcBorders>
              <w:top w:val="single" w:sz="4" w:space="0" w:color="365F91"/>
              <w:left w:val="nil"/>
              <w:bottom w:val="single" w:sz="4" w:space="0" w:color="365F91"/>
              <w:right w:val="nil"/>
            </w:tcBorders>
            <w:hideMark/>
          </w:tcPr>
          <w:p w14:paraId="36948003" w14:textId="77777777" w:rsidR="00524720" w:rsidRPr="00D9348B" w:rsidRDefault="00524720">
            <w:pPr>
              <w:pStyle w:val="TableText"/>
              <w:spacing w:before="40" w:after="40"/>
            </w:pPr>
            <w:r w:rsidRPr="00D9348B">
              <w:t>SCS Wetherill Environmental (unpublished)</w:t>
            </w:r>
          </w:p>
        </w:tc>
      </w:tr>
    </w:tbl>
    <w:p w14:paraId="618E845C" w14:textId="77777777" w:rsidR="00524720" w:rsidRPr="00D9348B" w:rsidRDefault="00524720" w:rsidP="00524720">
      <w:pPr>
        <w:pStyle w:val="Noteundertable"/>
      </w:pPr>
      <w:r w:rsidRPr="00D9348B">
        <w:rPr>
          <w:b/>
        </w:rPr>
        <w:t>Note:</w:t>
      </w:r>
      <w:r w:rsidRPr="00D9348B">
        <w:t xml:space="preserve"> </w:t>
      </w:r>
      <w:r w:rsidRPr="00D9348B">
        <w:tab/>
        <w:t>COD = chemical oxygen demand.</w:t>
      </w:r>
    </w:p>
    <w:p w14:paraId="3378B323" w14:textId="77777777" w:rsidR="00524720" w:rsidRPr="00D9348B" w:rsidRDefault="00524720" w:rsidP="00524720">
      <w:pPr>
        <w:pStyle w:val="Heading6"/>
        <w:spacing w:before="120"/>
      </w:pPr>
      <w:r w:rsidRPr="00D9348B">
        <w:rPr>
          <w:lang w:eastAsia="en-NZ"/>
        </w:rPr>
        <w:t>Recovery</w:t>
      </w:r>
    </w:p>
    <w:p w14:paraId="387D06E7" w14:textId="77777777" w:rsidR="00524720" w:rsidRPr="00D9348B" w:rsidRDefault="00524720" w:rsidP="00524720">
      <w:pPr>
        <w:pStyle w:val="BodyText"/>
        <w:spacing w:before="80" w:after="80"/>
      </w:pPr>
      <w:r w:rsidRPr="00D9348B">
        <w:t>There is no recovery of emissions reported for this source.</w:t>
      </w:r>
    </w:p>
    <w:p w14:paraId="2F7EA6CF" w14:textId="77777777" w:rsidR="00524720" w:rsidRPr="00D9348B" w:rsidRDefault="00524720" w:rsidP="00FA30DD">
      <w:pPr>
        <w:pStyle w:val="Heading3"/>
        <w:spacing w:before="320"/>
      </w:pPr>
      <w:bookmarkStart w:id="2939" w:name="_Toc32828353"/>
      <w:r w:rsidRPr="00D9348B">
        <w:t xml:space="preserve">7.5.3 </w:t>
      </w:r>
      <w:r w:rsidRPr="00D9348B">
        <w:tab/>
        <w:t>Uncertainties and time-series consistency</w:t>
      </w:r>
      <w:bookmarkEnd w:id="2939"/>
    </w:p>
    <w:p w14:paraId="28D21357" w14:textId="77777777" w:rsidR="00524720" w:rsidRPr="00D9348B" w:rsidRDefault="00524720" w:rsidP="009F74CF">
      <w:pPr>
        <w:pStyle w:val="Heading4"/>
        <w:spacing w:before="160"/>
      </w:pPr>
      <w:r w:rsidRPr="00D9348B">
        <w:t>Uncertainties</w:t>
      </w:r>
    </w:p>
    <w:p w14:paraId="1E3CB6AA" w14:textId="77777777" w:rsidR="00524720" w:rsidRPr="00D9348B" w:rsidRDefault="00524720" w:rsidP="00524720">
      <w:pPr>
        <w:pStyle w:val="Table"/>
        <w:spacing w:before="200"/>
      </w:pPr>
      <w:bookmarkStart w:id="2940" w:name="_Toc32828551"/>
      <w:bookmarkStart w:id="2941" w:name="_Toc32591381"/>
      <w:bookmarkStart w:id="2942" w:name="_Toc5269593"/>
      <w:bookmarkStart w:id="2943" w:name="_Toc511116844"/>
      <w:bookmarkStart w:id="2944" w:name="_Toc508019344"/>
      <w:bookmarkStart w:id="2945" w:name="_Toc481751617"/>
      <w:bookmarkStart w:id="2946" w:name="_Toc451176187"/>
      <w:bookmarkStart w:id="2947" w:name="_Toc444001635"/>
      <w:bookmarkStart w:id="2948" w:name="_Toc36224674"/>
      <w:r w:rsidRPr="00D9348B">
        <w:t>Table 7.5.16</w:t>
      </w:r>
      <w:r w:rsidRPr="00D9348B">
        <w:tab/>
        <w:t>Uncertainty in emissions from wastewater</w:t>
      </w:r>
      <w:bookmarkEnd w:id="2940"/>
      <w:bookmarkEnd w:id="2941"/>
      <w:bookmarkEnd w:id="2942"/>
      <w:bookmarkEnd w:id="2943"/>
      <w:bookmarkEnd w:id="2944"/>
      <w:bookmarkEnd w:id="2945"/>
      <w:bookmarkEnd w:id="2946"/>
      <w:bookmarkEnd w:id="2947"/>
      <w:bookmarkEnd w:id="2948"/>
    </w:p>
    <w:tbl>
      <w:tblPr>
        <w:tblW w:w="8505" w:type="dxa"/>
        <w:tblInd w:w="108" w:type="dxa"/>
        <w:tblBorders>
          <w:top w:val="single" w:sz="6" w:space="0" w:color="365F91"/>
          <w:bottom w:val="single" w:sz="6" w:space="0" w:color="365F91"/>
          <w:insideH w:val="single" w:sz="6" w:space="0" w:color="365F91"/>
        </w:tblBorders>
        <w:tblLook w:val="04A0" w:firstRow="1" w:lastRow="0" w:firstColumn="1" w:lastColumn="0" w:noHBand="0" w:noVBand="1"/>
      </w:tblPr>
      <w:tblGrid>
        <w:gridCol w:w="2977"/>
        <w:gridCol w:w="2410"/>
        <w:gridCol w:w="3118"/>
      </w:tblGrid>
      <w:tr w:rsidR="00524720" w:rsidRPr="00D9348B" w14:paraId="26CB5A5B" w14:textId="77777777" w:rsidTr="00FA30DD">
        <w:tc>
          <w:tcPr>
            <w:tcW w:w="2977" w:type="dxa"/>
            <w:tcBorders>
              <w:top w:val="single" w:sz="4" w:space="0" w:color="365F91"/>
              <w:left w:val="nil"/>
              <w:bottom w:val="single" w:sz="4" w:space="0" w:color="365F91"/>
              <w:right w:val="nil"/>
            </w:tcBorders>
            <w:shd w:val="clear" w:color="auto" w:fill="365F91"/>
            <w:vAlign w:val="bottom"/>
            <w:hideMark/>
          </w:tcPr>
          <w:p w14:paraId="1A386B3B" w14:textId="77777777" w:rsidR="00524720" w:rsidRPr="00D9348B" w:rsidRDefault="00524720">
            <w:pPr>
              <w:pStyle w:val="TableTextBold"/>
              <w:keepNext/>
              <w:rPr>
                <w:noProof w:val="0"/>
                <w:color w:val="FFFFFF"/>
              </w:rPr>
            </w:pPr>
            <w:r w:rsidRPr="00D9348B">
              <w:rPr>
                <w:noProof w:val="0"/>
                <w:color w:val="FFFFFF"/>
              </w:rPr>
              <w:t>Emissions category</w:t>
            </w:r>
          </w:p>
        </w:tc>
        <w:tc>
          <w:tcPr>
            <w:tcW w:w="2410" w:type="dxa"/>
            <w:tcBorders>
              <w:top w:val="single" w:sz="4" w:space="0" w:color="365F91"/>
              <w:left w:val="nil"/>
              <w:bottom w:val="single" w:sz="4" w:space="0" w:color="365F91"/>
              <w:right w:val="nil"/>
            </w:tcBorders>
            <w:shd w:val="clear" w:color="auto" w:fill="365F91"/>
            <w:vAlign w:val="bottom"/>
            <w:hideMark/>
          </w:tcPr>
          <w:p w14:paraId="01767740" w14:textId="77777777" w:rsidR="00524720" w:rsidRPr="00D9348B" w:rsidRDefault="00524720">
            <w:pPr>
              <w:pStyle w:val="TableTextBold"/>
              <w:jc w:val="center"/>
              <w:rPr>
                <w:noProof w:val="0"/>
                <w:color w:val="FFFFFF"/>
              </w:rPr>
            </w:pPr>
            <w:r w:rsidRPr="00D9348B">
              <w:rPr>
                <w:noProof w:val="0"/>
                <w:color w:val="FFFFFF"/>
              </w:rPr>
              <w:t>Uncertainty in activity data (%)</w:t>
            </w:r>
          </w:p>
        </w:tc>
        <w:tc>
          <w:tcPr>
            <w:tcW w:w="3118" w:type="dxa"/>
            <w:tcBorders>
              <w:top w:val="single" w:sz="4" w:space="0" w:color="365F91"/>
              <w:left w:val="nil"/>
              <w:bottom w:val="single" w:sz="4" w:space="0" w:color="365F91"/>
              <w:right w:val="nil"/>
            </w:tcBorders>
            <w:shd w:val="clear" w:color="auto" w:fill="365F91"/>
            <w:vAlign w:val="bottom"/>
            <w:hideMark/>
          </w:tcPr>
          <w:p w14:paraId="38C98A4C" w14:textId="77777777" w:rsidR="00524720" w:rsidRPr="00D9348B" w:rsidRDefault="00524720">
            <w:pPr>
              <w:pStyle w:val="TableTextBold"/>
              <w:jc w:val="center"/>
              <w:rPr>
                <w:noProof w:val="0"/>
              </w:rPr>
            </w:pPr>
            <w:r w:rsidRPr="00D9348B">
              <w:rPr>
                <w:noProof w:val="0"/>
                <w:color w:val="FFFFFF"/>
              </w:rPr>
              <w:t>Uncertainty in emission factors (%)</w:t>
            </w:r>
          </w:p>
        </w:tc>
      </w:tr>
      <w:tr w:rsidR="00524720" w:rsidRPr="00D9348B" w14:paraId="45873A84" w14:textId="77777777" w:rsidTr="00FA30DD">
        <w:trPr>
          <w:trHeight w:val="127"/>
        </w:trPr>
        <w:tc>
          <w:tcPr>
            <w:tcW w:w="2977" w:type="dxa"/>
            <w:tcBorders>
              <w:top w:val="single" w:sz="4" w:space="0" w:color="365F91"/>
              <w:left w:val="nil"/>
              <w:bottom w:val="single" w:sz="6" w:space="0" w:color="365F91"/>
              <w:right w:val="nil"/>
            </w:tcBorders>
            <w:shd w:val="clear" w:color="auto" w:fill="FFFFFF"/>
            <w:hideMark/>
          </w:tcPr>
          <w:p w14:paraId="625624B5" w14:textId="77777777" w:rsidR="00524720" w:rsidRPr="00D9348B" w:rsidRDefault="00524720">
            <w:pPr>
              <w:pStyle w:val="TableText"/>
              <w:keepNext/>
              <w:spacing w:before="40" w:after="40"/>
              <w:rPr>
                <w:rFonts w:cs="Arial"/>
                <w:bCs/>
              </w:rPr>
            </w:pPr>
            <w:r w:rsidRPr="00D9348B">
              <w:rPr>
                <w:rFonts w:cs="Arial"/>
                <w:bCs/>
              </w:rPr>
              <w:t>Domestic and industrial wastewater (CH</w:t>
            </w:r>
            <w:r w:rsidRPr="00D9348B">
              <w:rPr>
                <w:rFonts w:cs="Arial"/>
                <w:bCs/>
                <w:vertAlign w:val="subscript"/>
              </w:rPr>
              <w:t>4</w:t>
            </w:r>
            <w:r w:rsidRPr="00D9348B">
              <w:rPr>
                <w:rFonts w:cs="Arial"/>
                <w:bCs/>
              </w:rPr>
              <w:t>)</w:t>
            </w:r>
          </w:p>
        </w:tc>
        <w:tc>
          <w:tcPr>
            <w:tcW w:w="2410" w:type="dxa"/>
            <w:tcBorders>
              <w:top w:val="single" w:sz="4" w:space="0" w:color="365F91"/>
              <w:left w:val="nil"/>
              <w:bottom w:val="single" w:sz="6" w:space="0" w:color="365F91"/>
              <w:right w:val="nil"/>
            </w:tcBorders>
            <w:shd w:val="clear" w:color="auto" w:fill="FFFFFF"/>
            <w:hideMark/>
          </w:tcPr>
          <w:p w14:paraId="1DCB10D1" w14:textId="77777777" w:rsidR="00524720" w:rsidRPr="00D9348B" w:rsidRDefault="00524720">
            <w:pPr>
              <w:pStyle w:val="TableText"/>
              <w:spacing w:before="40" w:after="40"/>
              <w:jc w:val="center"/>
              <w:rPr>
                <w:rFonts w:cs="Arial"/>
              </w:rPr>
            </w:pPr>
            <w:r w:rsidRPr="00D9348B">
              <w:rPr>
                <w:rFonts w:cs="Arial"/>
              </w:rPr>
              <w:t>±10</w:t>
            </w:r>
          </w:p>
        </w:tc>
        <w:tc>
          <w:tcPr>
            <w:tcW w:w="3118" w:type="dxa"/>
            <w:tcBorders>
              <w:top w:val="single" w:sz="4" w:space="0" w:color="365F91"/>
              <w:left w:val="nil"/>
              <w:bottom w:val="single" w:sz="6" w:space="0" w:color="365F91"/>
              <w:right w:val="nil"/>
            </w:tcBorders>
            <w:shd w:val="clear" w:color="auto" w:fill="FFFFFF"/>
            <w:hideMark/>
          </w:tcPr>
          <w:p w14:paraId="1250EC55" w14:textId="77777777" w:rsidR="00524720" w:rsidRPr="00D9348B" w:rsidRDefault="00524720">
            <w:pPr>
              <w:pStyle w:val="TableText"/>
              <w:spacing w:before="40" w:after="40"/>
              <w:jc w:val="center"/>
              <w:rPr>
                <w:rFonts w:cs="Arial"/>
              </w:rPr>
            </w:pPr>
            <w:r w:rsidRPr="00D9348B">
              <w:rPr>
                <w:rFonts w:cs="Arial"/>
              </w:rPr>
              <w:t>±40</w:t>
            </w:r>
          </w:p>
        </w:tc>
      </w:tr>
      <w:tr w:rsidR="00524720" w:rsidRPr="00D9348B" w14:paraId="6C2CE279" w14:textId="77777777" w:rsidTr="00FA30DD">
        <w:tc>
          <w:tcPr>
            <w:tcW w:w="2977" w:type="dxa"/>
            <w:tcBorders>
              <w:top w:val="single" w:sz="6" w:space="0" w:color="365F91"/>
              <w:left w:val="nil"/>
              <w:bottom w:val="single" w:sz="6" w:space="0" w:color="365F91"/>
              <w:right w:val="nil"/>
            </w:tcBorders>
            <w:shd w:val="clear" w:color="auto" w:fill="FFFFFF"/>
            <w:hideMark/>
          </w:tcPr>
          <w:p w14:paraId="6FDCB849" w14:textId="77777777" w:rsidR="00524720" w:rsidRPr="00D9348B" w:rsidRDefault="00524720">
            <w:pPr>
              <w:pStyle w:val="TableText"/>
              <w:spacing w:before="40" w:after="40"/>
              <w:rPr>
                <w:rFonts w:cs="Arial"/>
                <w:bCs/>
              </w:rPr>
            </w:pPr>
            <w:r w:rsidRPr="00D9348B">
              <w:rPr>
                <w:rFonts w:cs="Arial"/>
                <w:bCs/>
              </w:rPr>
              <w:t>Domestic and industrial wastewater (N</w:t>
            </w:r>
            <w:r w:rsidRPr="00D9348B">
              <w:rPr>
                <w:rFonts w:cs="Arial"/>
                <w:bCs/>
                <w:vertAlign w:val="subscript"/>
              </w:rPr>
              <w:t>2</w:t>
            </w:r>
            <w:r w:rsidRPr="00D9348B">
              <w:rPr>
                <w:rFonts w:cs="Arial"/>
                <w:bCs/>
              </w:rPr>
              <w:t>O)</w:t>
            </w:r>
          </w:p>
        </w:tc>
        <w:tc>
          <w:tcPr>
            <w:tcW w:w="2410" w:type="dxa"/>
            <w:tcBorders>
              <w:top w:val="single" w:sz="6" w:space="0" w:color="365F91"/>
              <w:left w:val="nil"/>
              <w:bottom w:val="single" w:sz="6" w:space="0" w:color="365F91"/>
              <w:right w:val="nil"/>
            </w:tcBorders>
            <w:shd w:val="clear" w:color="auto" w:fill="FFFFFF"/>
            <w:hideMark/>
          </w:tcPr>
          <w:p w14:paraId="0196BCAA" w14:textId="77777777" w:rsidR="00524720" w:rsidRPr="00D9348B" w:rsidRDefault="00524720">
            <w:pPr>
              <w:pStyle w:val="TableText"/>
              <w:spacing w:before="40" w:after="40"/>
              <w:jc w:val="center"/>
              <w:rPr>
                <w:rFonts w:cs="Arial"/>
              </w:rPr>
            </w:pPr>
            <w:r w:rsidRPr="00D9348B">
              <w:rPr>
                <w:rFonts w:cs="Arial"/>
              </w:rPr>
              <w:t>±10</w:t>
            </w:r>
          </w:p>
        </w:tc>
        <w:tc>
          <w:tcPr>
            <w:tcW w:w="3118" w:type="dxa"/>
            <w:tcBorders>
              <w:top w:val="single" w:sz="6" w:space="0" w:color="365F91"/>
              <w:left w:val="nil"/>
              <w:bottom w:val="single" w:sz="6" w:space="0" w:color="365F91"/>
              <w:right w:val="nil"/>
            </w:tcBorders>
            <w:shd w:val="clear" w:color="auto" w:fill="FFFFFF"/>
            <w:hideMark/>
          </w:tcPr>
          <w:p w14:paraId="0ED067DB" w14:textId="77777777" w:rsidR="00524720" w:rsidRPr="00D9348B" w:rsidRDefault="00524720">
            <w:pPr>
              <w:pStyle w:val="TableText"/>
              <w:spacing w:before="40" w:after="40"/>
              <w:jc w:val="center"/>
              <w:rPr>
                <w:rFonts w:cs="Arial"/>
              </w:rPr>
            </w:pPr>
            <w:r w:rsidRPr="00D9348B">
              <w:rPr>
                <w:rFonts w:cs="Arial"/>
              </w:rPr>
              <w:t>±90</w:t>
            </w:r>
          </w:p>
        </w:tc>
      </w:tr>
    </w:tbl>
    <w:p w14:paraId="10F91DDB" w14:textId="77777777" w:rsidR="00524720" w:rsidRPr="00D9348B" w:rsidRDefault="00524720" w:rsidP="00524720">
      <w:pPr>
        <w:pStyle w:val="Heading5"/>
        <w:spacing w:before="320"/>
      </w:pPr>
      <w:r w:rsidRPr="00D9348B">
        <w:t xml:space="preserve">Methane emissions </w:t>
      </w:r>
    </w:p>
    <w:p w14:paraId="3FFB06FE" w14:textId="77777777" w:rsidR="00524720" w:rsidRPr="00D9348B" w:rsidRDefault="00524720" w:rsidP="00524720">
      <w:pPr>
        <w:pStyle w:val="BodyText"/>
        <w:spacing w:before="100" w:after="100"/>
      </w:pPr>
      <w:r w:rsidRPr="00D9348B">
        <w:t>The parameters used to estimate CH</w:t>
      </w:r>
      <w:r w:rsidRPr="00D9348B">
        <w:rPr>
          <w:vertAlign w:val="subscript"/>
        </w:rPr>
        <w:t>4</w:t>
      </w:r>
      <w:r w:rsidRPr="00D9348B">
        <w:t xml:space="preserve"> emissions from domestic and industrial wastewater (table 7.5.16) have an estimated uncertainty of ±40 per cent (SCS Wetherill Environmental, unpublished). This uncertainty stems from:</w:t>
      </w:r>
    </w:p>
    <w:p w14:paraId="1C480D1A" w14:textId="77777777" w:rsidR="00524720" w:rsidRPr="00D9348B" w:rsidRDefault="00524720" w:rsidP="00771A8F">
      <w:pPr>
        <w:pStyle w:val="Bullet"/>
        <w:numPr>
          <w:ilvl w:val="0"/>
          <w:numId w:val="28"/>
        </w:numPr>
        <w:spacing w:after="100"/>
      </w:pPr>
      <w:r w:rsidRPr="00D9348B">
        <w:t xml:space="preserve">uncertainties in the factors used to calculate emissions from the different wastewater treatment processes </w:t>
      </w:r>
    </w:p>
    <w:p w14:paraId="132B5539" w14:textId="77777777" w:rsidR="00524720" w:rsidRPr="00D9348B" w:rsidRDefault="00524720" w:rsidP="00771A8F">
      <w:pPr>
        <w:pStyle w:val="Bullet"/>
        <w:numPr>
          <w:ilvl w:val="0"/>
          <w:numId w:val="28"/>
        </w:numPr>
        <w:spacing w:after="100"/>
      </w:pPr>
      <w:r w:rsidRPr="00D9348B">
        <w:t xml:space="preserve">uncertainties in the quantities of wastewater handled by the different wastewater treatment plants </w:t>
      </w:r>
    </w:p>
    <w:p w14:paraId="007116B8" w14:textId="77777777" w:rsidR="00524720" w:rsidRPr="00D9348B" w:rsidRDefault="00524720" w:rsidP="00771A8F">
      <w:pPr>
        <w:pStyle w:val="Bullet"/>
        <w:numPr>
          <w:ilvl w:val="0"/>
          <w:numId w:val="28"/>
        </w:numPr>
        <w:spacing w:after="100"/>
      </w:pPr>
      <w:r w:rsidRPr="00D9348B">
        <w:t xml:space="preserve">uncertainties in the accuracy and completeness of the data relating to each plant </w:t>
      </w:r>
    </w:p>
    <w:p w14:paraId="0D814E5D" w14:textId="77777777" w:rsidR="00524720" w:rsidRPr="00D9348B" w:rsidRDefault="00524720" w:rsidP="00771A8F">
      <w:pPr>
        <w:pStyle w:val="Bullet"/>
        <w:numPr>
          <w:ilvl w:val="0"/>
          <w:numId w:val="28"/>
        </w:numPr>
        <w:spacing w:after="100"/>
      </w:pPr>
      <w:r w:rsidRPr="00D9348B">
        <w:t>uncertainties in the factors used to calculate the degradable organic content in the wastewater</w:t>
      </w:r>
    </w:p>
    <w:p w14:paraId="34A7FE22" w14:textId="77777777" w:rsidR="00524720" w:rsidRPr="00D9348B" w:rsidRDefault="00524720" w:rsidP="00771A8F">
      <w:pPr>
        <w:pStyle w:val="Bullet"/>
        <w:numPr>
          <w:ilvl w:val="0"/>
          <w:numId w:val="28"/>
        </w:numPr>
        <w:spacing w:after="100"/>
      </w:pPr>
      <w:proofErr w:type="gramStart"/>
      <w:r w:rsidRPr="00D9348B">
        <w:t>uncertainties</w:t>
      </w:r>
      <w:proofErr w:type="gramEnd"/>
      <w:r w:rsidRPr="00D9348B">
        <w:t xml:space="preserve"> in the wastewater treatment methods.</w:t>
      </w:r>
    </w:p>
    <w:p w14:paraId="2BCD341C" w14:textId="77777777" w:rsidR="00524720" w:rsidRPr="00D9348B" w:rsidRDefault="00524720" w:rsidP="00FA30DD">
      <w:pPr>
        <w:pStyle w:val="Heading5"/>
        <w:spacing w:before="160"/>
      </w:pPr>
      <w:r w:rsidRPr="00D9348B">
        <w:t xml:space="preserve">Nitrous oxide emissions </w:t>
      </w:r>
    </w:p>
    <w:p w14:paraId="7A54D885" w14:textId="77777777" w:rsidR="00524720" w:rsidRPr="00D9348B" w:rsidRDefault="00524720" w:rsidP="00524720">
      <w:pPr>
        <w:pStyle w:val="BodyText"/>
        <w:spacing w:before="100" w:after="100"/>
      </w:pPr>
      <w:r w:rsidRPr="00D9348B">
        <w:t>Large uncertainties are associated with the IPCC default emission factors for N</w:t>
      </w:r>
      <w:r w:rsidRPr="00D9348B">
        <w:rPr>
          <w:vertAlign w:val="subscript"/>
        </w:rPr>
        <w:t>2</w:t>
      </w:r>
      <w:r w:rsidRPr="00D9348B">
        <w:t xml:space="preserve">O emissions from wastewater treatment effluent (IPCC, 2006a). The uncertainty is estimated to be ±90 per cent based on the ranges experienced in collecting and applying similar data internationally, and expert judgement on the application of this experience to New Zealand (Law et al., 2012). </w:t>
      </w:r>
    </w:p>
    <w:p w14:paraId="24034D4F" w14:textId="77777777" w:rsidR="00524720" w:rsidRPr="00D9348B" w:rsidRDefault="00524720" w:rsidP="00865BDB">
      <w:pPr>
        <w:pStyle w:val="Heading4"/>
      </w:pPr>
      <w:r w:rsidRPr="00D9348B">
        <w:lastRenderedPageBreak/>
        <w:t>Time-series consistency</w:t>
      </w:r>
    </w:p>
    <w:p w14:paraId="2DB9899F" w14:textId="77777777" w:rsidR="00524720" w:rsidRPr="00D9348B" w:rsidRDefault="00524720" w:rsidP="00524720">
      <w:pPr>
        <w:pStyle w:val="BodyText"/>
        <w:spacing w:before="100" w:after="100"/>
      </w:pPr>
      <w:r w:rsidRPr="00D9348B">
        <w:t>Time-series consistency is ensured by the use of consistent models and parameters across the period. Where changes to methodologies or emission factors have occurred, the entire time series has been recalculated.</w:t>
      </w:r>
    </w:p>
    <w:p w14:paraId="41E15BE6" w14:textId="77777777" w:rsidR="00524720" w:rsidRPr="00D9348B" w:rsidRDefault="00524720" w:rsidP="00524720">
      <w:pPr>
        <w:pStyle w:val="Heading3"/>
        <w:spacing w:before="280"/>
      </w:pPr>
      <w:bookmarkStart w:id="2949" w:name="_Toc32828354"/>
      <w:r w:rsidRPr="00D9348B">
        <w:t xml:space="preserve">7.5.4 </w:t>
      </w:r>
      <w:r w:rsidRPr="00D9348B">
        <w:tab/>
        <w:t>Source-specific QA/QC and verification</w:t>
      </w:r>
      <w:bookmarkEnd w:id="2949"/>
    </w:p>
    <w:p w14:paraId="7D8F56CD" w14:textId="77777777" w:rsidR="00524720" w:rsidRPr="00D9348B" w:rsidRDefault="00524720" w:rsidP="00524720">
      <w:pPr>
        <w:pStyle w:val="BodyText"/>
        <w:spacing w:before="100" w:after="100"/>
      </w:pPr>
      <w:r w:rsidRPr="00D9348B">
        <w:t xml:space="preserve">In the preparation for this inventory submission, the data for the </w:t>
      </w:r>
      <w:r w:rsidRPr="00D9348B">
        <w:rPr>
          <w:i/>
        </w:rPr>
        <w:t xml:space="preserve">Wastewater treatment and discharge </w:t>
      </w:r>
      <w:r w:rsidRPr="00D9348B">
        <w:t xml:space="preserve">category underwent Tier 1 quality checks. </w:t>
      </w:r>
    </w:p>
    <w:p w14:paraId="7F01E4EA" w14:textId="77777777" w:rsidR="00524720" w:rsidRPr="00D9348B" w:rsidRDefault="00524720" w:rsidP="00524720">
      <w:pPr>
        <w:pStyle w:val="Heading3"/>
        <w:spacing w:before="280"/>
      </w:pPr>
      <w:bookmarkStart w:id="2950" w:name="_Toc32828355"/>
      <w:r w:rsidRPr="00D9348B">
        <w:t xml:space="preserve">7.5.5 </w:t>
      </w:r>
      <w:r w:rsidRPr="00D9348B">
        <w:tab/>
        <w:t>Source-specific recalculations</w:t>
      </w:r>
      <w:bookmarkEnd w:id="2950"/>
    </w:p>
    <w:p w14:paraId="06B7DB53" w14:textId="77777777" w:rsidR="00524720" w:rsidRPr="00D9348B" w:rsidRDefault="00524720" w:rsidP="009F74CF">
      <w:pPr>
        <w:pStyle w:val="Heading4"/>
        <w:spacing w:before="160"/>
      </w:pPr>
      <w:r w:rsidRPr="00D9348B">
        <w:t xml:space="preserve">Emissions from domestic and industrial wastewater treatment </w:t>
      </w:r>
    </w:p>
    <w:p w14:paraId="5665AB6F" w14:textId="77777777" w:rsidR="00524720" w:rsidRPr="00D9348B" w:rsidRDefault="00524720" w:rsidP="00524720">
      <w:pPr>
        <w:pStyle w:val="BodyText"/>
        <w:spacing w:before="100" w:after="100"/>
      </w:pPr>
      <w:r w:rsidRPr="00D9348B">
        <w:t>Emissions from domestic wastewater have been recalculated for the entire time series due to:</w:t>
      </w:r>
    </w:p>
    <w:p w14:paraId="156EA894" w14:textId="77777777" w:rsidR="00524720" w:rsidRPr="00D9348B" w:rsidRDefault="00524720" w:rsidP="00771A8F">
      <w:pPr>
        <w:pStyle w:val="Bullet"/>
        <w:numPr>
          <w:ilvl w:val="0"/>
          <w:numId w:val="28"/>
        </w:numPr>
      </w:pPr>
      <w:proofErr w:type="gramStart"/>
      <w:r w:rsidRPr="00D9348B">
        <w:t>changes</w:t>
      </w:r>
      <w:proofErr w:type="gramEnd"/>
      <w:r w:rsidRPr="00D9348B">
        <w:t xml:space="preserve"> in the CH</w:t>
      </w:r>
      <w:r w:rsidRPr="00D9348B">
        <w:rPr>
          <w:vertAlign w:val="subscript"/>
        </w:rPr>
        <w:t>4</w:t>
      </w:r>
      <w:r w:rsidRPr="00D9348B">
        <w:t xml:space="preserve"> calculations for domestic wastewater (5.D.1) that have increased emissions by 6.9 kt CO</w:t>
      </w:r>
      <w:r w:rsidRPr="00D9348B">
        <w:rPr>
          <w:vertAlign w:val="subscript"/>
        </w:rPr>
        <w:t>2</w:t>
      </w:r>
      <w:r w:rsidRPr="00D9348B">
        <w:t>-e (4.9 per cent) in 1990 and reduced them by 2.8 kt CO</w:t>
      </w:r>
      <w:r w:rsidRPr="00D9348B">
        <w:rPr>
          <w:vertAlign w:val="subscript"/>
        </w:rPr>
        <w:t>2</w:t>
      </w:r>
      <w:r w:rsidRPr="00D9348B">
        <w:t>-e (1.8 per cent) in 2017. The main change was driven by an update on the population growth rate based on new revised data released by Statistics New Zealand</w:t>
      </w:r>
    </w:p>
    <w:p w14:paraId="5145F4C8" w14:textId="21B49174" w:rsidR="00524720" w:rsidRPr="00D9348B" w:rsidRDefault="00524720" w:rsidP="00771A8F">
      <w:pPr>
        <w:pStyle w:val="BodyText"/>
        <w:numPr>
          <w:ilvl w:val="0"/>
          <w:numId w:val="28"/>
        </w:numPr>
        <w:spacing w:before="100" w:after="100"/>
      </w:pPr>
      <w:r w:rsidRPr="00D9348B">
        <w:t>recalculation of emissions from industrial wastewater for some industries resulting in small changes and that have cumulatively reduced emissions by a maximum of 0.1</w:t>
      </w:r>
      <w:r w:rsidR="004B5F20" w:rsidRPr="00D9348B">
        <w:t> </w:t>
      </w:r>
      <w:r w:rsidRPr="00D9348B">
        <w:t>kt</w:t>
      </w:r>
      <w:r w:rsidR="004B5F20" w:rsidRPr="00D9348B">
        <w:t> </w:t>
      </w:r>
      <w:r w:rsidRPr="00D9348B">
        <w:t>CO</w:t>
      </w:r>
      <w:r w:rsidRPr="00D9348B">
        <w:rPr>
          <w:vertAlign w:val="subscript"/>
        </w:rPr>
        <w:t>2</w:t>
      </w:r>
      <w:r w:rsidR="004B5F20" w:rsidRPr="00D9348B">
        <w:noBreakHyphen/>
      </w:r>
      <w:r w:rsidRPr="00D9348B">
        <w:t>e (–0.1 per cent) in 2017 due to activity data for meat and poultry (5.D.2) being</w:t>
      </w:r>
      <w:r w:rsidR="004B5F20" w:rsidRPr="00D9348B">
        <w:t> </w:t>
      </w:r>
      <w:r w:rsidRPr="00D9348B">
        <w:t>adjusted based on revised data released by the Ministry for Primary Industries and</w:t>
      </w:r>
      <w:r w:rsidR="004B5F20" w:rsidRPr="00D9348B">
        <w:t> </w:t>
      </w:r>
      <w:r w:rsidRPr="00D9348B">
        <w:t>the Poultry Industry Association of New Zealand.</w:t>
      </w:r>
    </w:p>
    <w:p w14:paraId="03CC6D48" w14:textId="77777777" w:rsidR="00524720" w:rsidRPr="00D9348B" w:rsidRDefault="00524720" w:rsidP="00524720">
      <w:pPr>
        <w:pStyle w:val="BodyText"/>
        <w:spacing w:before="100" w:after="100"/>
      </w:pPr>
      <w:r w:rsidRPr="00D9348B">
        <w:t>More details on recalculations are provided in chapter 10.</w:t>
      </w:r>
    </w:p>
    <w:p w14:paraId="548927B7" w14:textId="77777777" w:rsidR="00524720" w:rsidRPr="00D9348B" w:rsidRDefault="00524720" w:rsidP="00524720">
      <w:pPr>
        <w:pStyle w:val="Heading3"/>
      </w:pPr>
      <w:bookmarkStart w:id="2951" w:name="_Toc32828356"/>
      <w:r w:rsidRPr="00D9348B">
        <w:t xml:space="preserve">7.5.6 </w:t>
      </w:r>
      <w:r w:rsidRPr="00D9348B">
        <w:tab/>
        <w:t>Source-specific planned improvements</w:t>
      </w:r>
      <w:bookmarkEnd w:id="2951"/>
    </w:p>
    <w:p w14:paraId="2CC5790A" w14:textId="77777777" w:rsidR="00524720" w:rsidRPr="00D9348B" w:rsidRDefault="00524720" w:rsidP="00524720">
      <w:pPr>
        <w:pStyle w:val="BodyText"/>
      </w:pPr>
      <w:r w:rsidRPr="00D9348B">
        <w:t>No specific improvements are planned for this source category.</w:t>
      </w:r>
    </w:p>
    <w:p w14:paraId="2EC13B24" w14:textId="77777777" w:rsidR="00524720" w:rsidRPr="00D9348B" w:rsidRDefault="00524720" w:rsidP="00524720">
      <w:pPr>
        <w:pStyle w:val="Heading2"/>
        <w:spacing w:before="0" w:after="280"/>
      </w:pPr>
      <w:r w:rsidRPr="00D9348B">
        <w:rPr>
          <w:b w:val="0"/>
        </w:rPr>
        <w:br w:type="page"/>
      </w:r>
      <w:bookmarkStart w:id="2952" w:name="_Toc32828357"/>
      <w:bookmarkStart w:id="2953" w:name="_Toc5269391"/>
      <w:bookmarkStart w:id="2954" w:name="_Toc511116629"/>
      <w:bookmarkStart w:id="2955" w:name="_Toc481751414"/>
      <w:bookmarkStart w:id="2956" w:name="_Toc448321552"/>
      <w:bookmarkStart w:id="2957" w:name="_Toc36224431"/>
      <w:r w:rsidRPr="00D9348B">
        <w:lastRenderedPageBreak/>
        <w:t>Chapter 7: References</w:t>
      </w:r>
      <w:bookmarkEnd w:id="2952"/>
      <w:bookmarkEnd w:id="2953"/>
      <w:bookmarkEnd w:id="2954"/>
      <w:bookmarkEnd w:id="2955"/>
      <w:bookmarkEnd w:id="2956"/>
      <w:bookmarkEnd w:id="2957"/>
    </w:p>
    <w:p w14:paraId="4606AAFF" w14:textId="77777777" w:rsidR="00524720" w:rsidRPr="00D9348B" w:rsidRDefault="00524720" w:rsidP="00524720">
      <w:pPr>
        <w:pStyle w:val="References"/>
      </w:pPr>
      <w:r w:rsidRPr="00D9348B">
        <w:t>Beca Infrastructure Ltd. Unpublished. National Greenhouse Gas Inventory from Wastewater Treatment and Discharge. Report commissioned by the Ministry for the Environment in 2007.</w:t>
      </w:r>
    </w:p>
    <w:p w14:paraId="08DAC717" w14:textId="77777777" w:rsidR="00524720" w:rsidRPr="00D9348B" w:rsidRDefault="00524720" w:rsidP="00524720">
      <w:pPr>
        <w:pStyle w:val="References"/>
      </w:pPr>
      <w:r w:rsidRPr="00D9348B">
        <w:t xml:space="preserve">Beca Ltd. Unpublished. Industrial Wastewater Greenhouse Gas (GHG) Estimates from the Pulp and Paper, Wool Scouring and Wine Industries for New Zealand’s GHG Inventory. Report commissioned by the Ministry for the Environment in 2013. </w:t>
      </w:r>
    </w:p>
    <w:p w14:paraId="4C1477A6" w14:textId="77777777" w:rsidR="00524720" w:rsidRPr="00D9348B" w:rsidRDefault="00524720" w:rsidP="00524720">
      <w:pPr>
        <w:pStyle w:val="References"/>
        <w:rPr>
          <w:i/>
        </w:rPr>
      </w:pPr>
      <w:r w:rsidRPr="00D9348B">
        <w:t>Cardno. Unpublished. Greenhouse Gas Emissions from Industrial Wastewater Treatment. Report commissioned by the Ministry for the Environment in 2015.</w:t>
      </w:r>
    </w:p>
    <w:p w14:paraId="483F0148" w14:textId="77777777" w:rsidR="00524720" w:rsidRPr="00D9348B" w:rsidRDefault="00524720" w:rsidP="00524720">
      <w:pPr>
        <w:pStyle w:val="References"/>
      </w:pPr>
      <w:r w:rsidRPr="00D9348B">
        <w:t>Eunomia Research and Consulting and Waste Not Consulting. Unpublished. Incorporating Waste Minimisation Act Data into New Zealand’s Greenhouse Gas Estimates. Report commissioned by the Ministry for the Environment in 2014.</w:t>
      </w:r>
    </w:p>
    <w:p w14:paraId="3421092A" w14:textId="77777777" w:rsidR="00524720" w:rsidRPr="00D9348B" w:rsidRDefault="00524720" w:rsidP="00524720">
      <w:pPr>
        <w:pStyle w:val="References"/>
      </w:pPr>
      <w:r w:rsidRPr="00D9348B">
        <w:t xml:space="preserve">GHD. 2013. </w:t>
      </w:r>
      <w:r w:rsidRPr="00D9348B">
        <w:rPr>
          <w:i/>
        </w:rPr>
        <w:t>Non-natural Rural Wastes: Site survey analysis</w:t>
      </w:r>
      <w:r w:rsidRPr="00D9348B">
        <w:t>.</w:t>
      </w:r>
      <w:r w:rsidRPr="00D9348B">
        <w:rPr>
          <w:i/>
        </w:rPr>
        <w:t xml:space="preserve"> </w:t>
      </w:r>
      <w:r w:rsidRPr="00D9348B">
        <w:t>GHD Ltd for the</w:t>
      </w:r>
      <w:r w:rsidRPr="00D9348B">
        <w:rPr>
          <w:i/>
        </w:rPr>
        <w:t xml:space="preserve"> </w:t>
      </w:r>
      <w:r w:rsidRPr="00D9348B">
        <w:t xml:space="preserve">Canterbury Regional Council, published as Canterbury Regional Council Report No R13/52. Available from </w:t>
      </w:r>
      <w:hyperlink r:id="rId245" w:history="1">
        <w:r w:rsidRPr="00D9348B">
          <w:t>https://ecan.govt.nz/document/download?uri=1851763</w:t>
        </w:r>
      </w:hyperlink>
      <w:r w:rsidRPr="00D9348B">
        <w:t xml:space="preserve"> (accessed 9 November 2017).</w:t>
      </w:r>
    </w:p>
    <w:p w14:paraId="72695A36" w14:textId="77777777" w:rsidR="00524720" w:rsidRPr="00D9348B" w:rsidRDefault="00524720" w:rsidP="00524720">
      <w:pPr>
        <w:pStyle w:val="References"/>
      </w:pPr>
      <w:r w:rsidRPr="00D9348B">
        <w:t xml:space="preserve">GHD. 2014. </w:t>
      </w:r>
      <w:r w:rsidRPr="00D9348B">
        <w:rPr>
          <w:i/>
        </w:rPr>
        <w:t>Rural waste surveys data analysis: Waikato and Bay of Plenty</w:t>
      </w:r>
      <w:r w:rsidRPr="00D9348B">
        <w:t xml:space="preserve">. GHD Ltd for the Waikato Regional Council, published as Waikato Regional Council Report No 3114554. Available from </w:t>
      </w:r>
      <w:hyperlink r:id="rId246" w:history="1">
        <w:r w:rsidRPr="00D9348B">
          <w:t>www.waikatoregion.govt.nz/assets/PageFiles/30542/TR201455.pdf</w:t>
        </w:r>
      </w:hyperlink>
      <w:r w:rsidRPr="00D9348B">
        <w:t xml:space="preserve"> (accessed 9 November 2017).</w:t>
      </w:r>
    </w:p>
    <w:p w14:paraId="4EB6AE2C" w14:textId="77777777" w:rsidR="00524720" w:rsidRPr="00D9348B" w:rsidRDefault="00524720" w:rsidP="00524720">
      <w:pPr>
        <w:pStyle w:val="References"/>
        <w:rPr>
          <w:spacing w:val="-2"/>
        </w:rPr>
      </w:pPr>
      <w:r w:rsidRPr="00D9348B">
        <w:rPr>
          <w:spacing w:val="-2"/>
        </w:rPr>
        <w:t>IPCC. 2006a. Eggleston HS, Buendia L, Miwa K, Ngara T, Tanabe K (</w:t>
      </w:r>
      <w:proofErr w:type="gramStart"/>
      <w:r w:rsidRPr="00D9348B">
        <w:rPr>
          <w:spacing w:val="-2"/>
        </w:rPr>
        <w:t>eds</w:t>
      </w:r>
      <w:proofErr w:type="gramEnd"/>
      <w:r w:rsidRPr="00D9348B">
        <w:rPr>
          <w:spacing w:val="-2"/>
        </w:rPr>
        <w:t xml:space="preserve">). </w:t>
      </w:r>
      <w:r w:rsidRPr="00D9348B">
        <w:rPr>
          <w:i/>
          <w:spacing w:val="-2"/>
        </w:rPr>
        <w:t>2006 IPCC Guidelines for National Greenhouse Gas Inventories. Volume 5. Waste</w:t>
      </w:r>
      <w:r w:rsidRPr="00D9348B">
        <w:rPr>
          <w:spacing w:val="-2"/>
        </w:rPr>
        <w:t xml:space="preserve">. IPCC National Greenhouse Gas Inventories Programme. Japan: Institute for Global Environmental Strategies for IPCC. </w:t>
      </w:r>
    </w:p>
    <w:p w14:paraId="51449ED5" w14:textId="77777777" w:rsidR="00524720" w:rsidRPr="00D9348B" w:rsidRDefault="00524720" w:rsidP="00524720">
      <w:pPr>
        <w:pStyle w:val="References"/>
        <w:rPr>
          <w:spacing w:val="-2"/>
        </w:rPr>
      </w:pPr>
      <w:r w:rsidRPr="00D9348B">
        <w:rPr>
          <w:spacing w:val="-2"/>
        </w:rPr>
        <w:t>IPCC. 2006b. Eggleston HS, Buendia L, Miwa K, Ngara T, Tanabe K (</w:t>
      </w:r>
      <w:proofErr w:type="gramStart"/>
      <w:r w:rsidRPr="00D9348B">
        <w:rPr>
          <w:spacing w:val="-2"/>
        </w:rPr>
        <w:t>eds</w:t>
      </w:r>
      <w:proofErr w:type="gramEnd"/>
      <w:r w:rsidRPr="00D9348B">
        <w:rPr>
          <w:spacing w:val="-2"/>
        </w:rPr>
        <w:t xml:space="preserve">). </w:t>
      </w:r>
      <w:r w:rsidRPr="00D9348B">
        <w:rPr>
          <w:i/>
          <w:spacing w:val="-2"/>
        </w:rPr>
        <w:t>2006 IPCC Guidelines for National Greenhouse Gas Inventories. Volume 2. Energy</w:t>
      </w:r>
      <w:r w:rsidRPr="00D9348B">
        <w:rPr>
          <w:spacing w:val="-2"/>
        </w:rPr>
        <w:t xml:space="preserve">. IPCC National Greenhouse Gas Inventories Programme. Japan: Institute for Global Environmental Strategies for IPCC. </w:t>
      </w:r>
    </w:p>
    <w:p w14:paraId="508E2AD8" w14:textId="77777777" w:rsidR="00524720" w:rsidRPr="00D9348B" w:rsidRDefault="00524720" w:rsidP="00524720">
      <w:pPr>
        <w:pStyle w:val="References"/>
      </w:pPr>
      <w:r w:rsidRPr="00D9348B">
        <w:t xml:space="preserve">Law Y, Ye L, Pan Y, Yuan Z. 2012. Nitrous oxide emissions from wastewater treatment processes. </w:t>
      </w:r>
      <w:r w:rsidRPr="00D9348B">
        <w:rPr>
          <w:i/>
        </w:rPr>
        <w:t>Philosophical Transactions of the Royal Society ‘B’</w:t>
      </w:r>
      <w:r w:rsidRPr="00D9348B">
        <w:t xml:space="preserve"> 367(1593): 1265–1277. </w:t>
      </w:r>
    </w:p>
    <w:p w14:paraId="790E75A9" w14:textId="77777777" w:rsidR="00524720" w:rsidRPr="00D9348B" w:rsidRDefault="00524720" w:rsidP="00524720">
      <w:pPr>
        <w:pStyle w:val="References"/>
      </w:pPr>
      <w:r w:rsidRPr="00D9348B">
        <w:t xml:space="preserve">Ministry for the Environment. 1997. </w:t>
      </w:r>
      <w:r w:rsidRPr="00D9348B">
        <w:rPr>
          <w:i/>
        </w:rPr>
        <w:t>National Waste Data Report</w:t>
      </w:r>
      <w:r w:rsidRPr="00D9348B">
        <w:t>. Wellington: Ministry for the Environment.</w:t>
      </w:r>
    </w:p>
    <w:p w14:paraId="3AC4C264" w14:textId="77777777" w:rsidR="00524720" w:rsidRPr="00D9348B" w:rsidRDefault="00524720" w:rsidP="00524720">
      <w:pPr>
        <w:pStyle w:val="References"/>
      </w:pPr>
      <w:r w:rsidRPr="00D9348B">
        <w:t xml:space="preserve">Ministry for the Environment. 2002a. </w:t>
      </w:r>
      <w:proofErr w:type="gramStart"/>
      <w:r w:rsidRPr="00D9348B">
        <w:rPr>
          <w:i/>
        </w:rPr>
        <w:t>The</w:t>
      </w:r>
      <w:proofErr w:type="gramEnd"/>
      <w:r w:rsidRPr="00D9348B">
        <w:rPr>
          <w:i/>
        </w:rPr>
        <w:t xml:space="preserve"> New Zealand Waste Strategy</w:t>
      </w:r>
      <w:r w:rsidRPr="00D9348B">
        <w:t>. Wellington: Ministry for the Environment.</w:t>
      </w:r>
    </w:p>
    <w:p w14:paraId="296242AF" w14:textId="77777777" w:rsidR="00524720" w:rsidRPr="00D9348B" w:rsidRDefault="00524720" w:rsidP="00524720">
      <w:pPr>
        <w:pStyle w:val="References"/>
      </w:pPr>
      <w:r w:rsidRPr="00D9348B">
        <w:t xml:space="preserve">Ministry for the Environment. 2002b. </w:t>
      </w:r>
      <w:r w:rsidRPr="00D9348B">
        <w:rPr>
          <w:i/>
        </w:rPr>
        <w:t>Solid Waste Analysis Protocol</w:t>
      </w:r>
      <w:r w:rsidRPr="00D9348B">
        <w:t>.</w:t>
      </w:r>
      <w:r w:rsidRPr="00D9348B">
        <w:rPr>
          <w:i/>
        </w:rPr>
        <w:t xml:space="preserve"> </w:t>
      </w:r>
      <w:r w:rsidRPr="00D9348B">
        <w:t>Wellington: Ministry for the Environment.</w:t>
      </w:r>
    </w:p>
    <w:p w14:paraId="39A4EA93" w14:textId="77777777" w:rsidR="00524720" w:rsidRPr="00D9348B" w:rsidRDefault="00524720" w:rsidP="00524720">
      <w:pPr>
        <w:pStyle w:val="References"/>
      </w:pPr>
      <w:r w:rsidRPr="00D9348B">
        <w:t xml:space="preserve">Ministry for the Environment. 2010. </w:t>
      </w:r>
      <w:r w:rsidRPr="00D9348B">
        <w:rPr>
          <w:i/>
        </w:rPr>
        <w:t>The New Zealand Waste Strategy: Reducing Harm, Improving Efficiency</w:t>
      </w:r>
      <w:r w:rsidRPr="00D9348B">
        <w:t>.</w:t>
      </w:r>
      <w:r w:rsidRPr="00D9348B">
        <w:rPr>
          <w:i/>
        </w:rPr>
        <w:t xml:space="preserve"> </w:t>
      </w:r>
      <w:r w:rsidRPr="00D9348B">
        <w:t xml:space="preserve">Wellington: Ministry for the Environment. </w:t>
      </w:r>
    </w:p>
    <w:p w14:paraId="06C7C952" w14:textId="77777777" w:rsidR="00524720" w:rsidRPr="00D9348B" w:rsidRDefault="00524720" w:rsidP="00524720">
      <w:pPr>
        <w:pStyle w:val="References"/>
        <w:rPr>
          <w:rFonts w:cs="Arial"/>
          <w:szCs w:val="16"/>
        </w:rPr>
      </w:pPr>
      <w:r w:rsidRPr="00D9348B">
        <w:rPr>
          <w:rFonts w:cs="Arial"/>
          <w:szCs w:val="16"/>
        </w:rPr>
        <w:t xml:space="preserve">Ministry of Commerce. 1993. </w:t>
      </w:r>
      <w:r w:rsidRPr="00D9348B">
        <w:rPr>
          <w:rFonts w:cs="Arial"/>
          <w:i/>
          <w:szCs w:val="16"/>
        </w:rPr>
        <w:t>New Zealand Energy Information Handbook:</w:t>
      </w:r>
      <w:r w:rsidRPr="00D9348B">
        <w:rPr>
          <w:rFonts w:cs="Arial"/>
          <w:szCs w:val="16"/>
        </w:rPr>
        <w:t xml:space="preserve"> </w:t>
      </w:r>
      <w:r w:rsidRPr="00D9348B">
        <w:rPr>
          <w:rFonts w:cs="Arial"/>
          <w:i/>
          <w:szCs w:val="16"/>
        </w:rPr>
        <w:t>Energy Data, Conversion Factors, Definitions.</w:t>
      </w:r>
      <w:r w:rsidRPr="00D9348B">
        <w:rPr>
          <w:rFonts w:cs="Arial"/>
          <w:szCs w:val="16"/>
        </w:rPr>
        <w:t xml:space="preserve"> Taylor Baines and Associates.</w:t>
      </w:r>
    </w:p>
    <w:p w14:paraId="3982FFF1" w14:textId="77777777" w:rsidR="00524720" w:rsidRPr="00D9348B" w:rsidRDefault="00524720" w:rsidP="00524720">
      <w:pPr>
        <w:pStyle w:val="References"/>
        <w:rPr>
          <w:i/>
        </w:rPr>
      </w:pPr>
      <w:r w:rsidRPr="00D9348B">
        <w:t xml:space="preserve">MWH. 2017. </w:t>
      </w:r>
      <w:r w:rsidRPr="00D9348B">
        <w:rPr>
          <w:i/>
        </w:rPr>
        <w:t xml:space="preserve">National Waste Disposal Survey. Final Report. </w:t>
      </w:r>
      <w:r w:rsidRPr="00D9348B">
        <w:t>MWH for the Ministry for the Environment, published as National waste disposal survey final report 2017 No CR275. Available from www.mfe.govt.nz/sites/default/files/media/Waste/National%20Waste%20Disposal%20Survey%20Final%20Report.pdf (accessed 9 November 2017).</w:t>
      </w:r>
    </w:p>
    <w:p w14:paraId="71A1A062" w14:textId="77777777" w:rsidR="00524720" w:rsidRPr="00D9348B" w:rsidRDefault="00524720" w:rsidP="00524720">
      <w:pPr>
        <w:pStyle w:val="References"/>
      </w:pPr>
      <w:r w:rsidRPr="00D9348B">
        <w:rPr>
          <w:rFonts w:cs="Arial"/>
          <w:szCs w:val="16"/>
        </w:rPr>
        <w:t xml:space="preserve">New Zealand Gazette. 2014. </w:t>
      </w:r>
      <w:r w:rsidRPr="00D9348B">
        <w:rPr>
          <w:rFonts w:cs="Arial"/>
          <w:i/>
          <w:szCs w:val="16"/>
        </w:rPr>
        <w:t>Notice of Approval of Unique Emissions Factors.</w:t>
      </w:r>
      <w:r w:rsidRPr="00D9348B">
        <w:rPr>
          <w:rFonts w:cs="Arial"/>
          <w:szCs w:val="16"/>
        </w:rPr>
        <w:t xml:space="preserve"> New Zealand Gazette </w:t>
      </w:r>
      <w:r w:rsidRPr="00D9348B">
        <w:t xml:space="preserve">Office. Retrieved from </w:t>
      </w:r>
      <w:hyperlink r:id="rId247" w:history="1">
        <w:r w:rsidRPr="00D9348B">
          <w:t>https://gazette.govt.nz/notice/id/2014-au3648</w:t>
        </w:r>
      </w:hyperlink>
      <w:r w:rsidRPr="00D9348B">
        <w:t xml:space="preserve"> (accessed September 2018).</w:t>
      </w:r>
    </w:p>
    <w:p w14:paraId="6092B5A7" w14:textId="77777777" w:rsidR="00524720" w:rsidRPr="00D9348B" w:rsidRDefault="00524720" w:rsidP="00524720">
      <w:pPr>
        <w:pStyle w:val="References"/>
      </w:pPr>
      <w:r w:rsidRPr="00D9348B">
        <w:rPr>
          <w:rFonts w:cs="Arial"/>
          <w:szCs w:val="16"/>
        </w:rPr>
        <w:t xml:space="preserve">New Zealand Gazette. 2015. </w:t>
      </w:r>
      <w:r w:rsidRPr="00D9348B">
        <w:rPr>
          <w:rFonts w:cs="Arial"/>
          <w:i/>
          <w:szCs w:val="16"/>
        </w:rPr>
        <w:t>Notice of Approval of Unique Emissions Factors.</w:t>
      </w:r>
      <w:r w:rsidRPr="00D9348B">
        <w:rPr>
          <w:rFonts w:cs="Arial"/>
          <w:szCs w:val="16"/>
        </w:rPr>
        <w:t xml:space="preserve"> New Zealand Gazette </w:t>
      </w:r>
      <w:r w:rsidRPr="00D9348B">
        <w:t xml:space="preserve">Office. Retrieved from </w:t>
      </w:r>
      <w:hyperlink r:id="rId248" w:history="1">
        <w:r w:rsidRPr="00D9348B">
          <w:t>https://gazette.govt.nz/notice/id/2015-au2831</w:t>
        </w:r>
      </w:hyperlink>
      <w:r w:rsidRPr="00D9348B">
        <w:t xml:space="preserve"> (accessed September 2018).</w:t>
      </w:r>
    </w:p>
    <w:p w14:paraId="774FB0CA" w14:textId="77777777" w:rsidR="00524720" w:rsidRPr="00D9348B" w:rsidRDefault="00524720" w:rsidP="00524720">
      <w:pPr>
        <w:pStyle w:val="References"/>
      </w:pPr>
      <w:r w:rsidRPr="00D9348B">
        <w:t xml:space="preserve">New Zealand Gazette. 2016. </w:t>
      </w:r>
      <w:r w:rsidRPr="00D9348B">
        <w:rPr>
          <w:i/>
        </w:rPr>
        <w:t>Notice of Approval of Unique Emissions Factors.</w:t>
      </w:r>
      <w:r w:rsidRPr="00D9348B">
        <w:t xml:space="preserve"> New Zealand Gazette Office. Retrieved from </w:t>
      </w:r>
      <w:hyperlink r:id="rId249" w:history="1">
        <w:r w:rsidRPr="00D9348B">
          <w:t>https://gazette.govt.nz/notice/id/2016-au1239</w:t>
        </w:r>
      </w:hyperlink>
      <w:r w:rsidRPr="00D9348B">
        <w:t xml:space="preserve"> (accessed September 2018).</w:t>
      </w:r>
    </w:p>
    <w:p w14:paraId="473E2F84" w14:textId="77777777" w:rsidR="00524720" w:rsidRPr="00D9348B" w:rsidRDefault="00524720" w:rsidP="00524720">
      <w:pPr>
        <w:pStyle w:val="References"/>
      </w:pPr>
      <w:r w:rsidRPr="00D9348B">
        <w:rPr>
          <w:rFonts w:cs="Arial"/>
          <w:szCs w:val="16"/>
        </w:rPr>
        <w:lastRenderedPageBreak/>
        <w:t xml:space="preserve">New Zealand Gazette. 2017. </w:t>
      </w:r>
      <w:r w:rsidRPr="00D9348B">
        <w:rPr>
          <w:rFonts w:cs="Arial"/>
          <w:i/>
          <w:szCs w:val="16"/>
        </w:rPr>
        <w:t>Notice of Approval of Unique Emissions Factors.</w:t>
      </w:r>
      <w:r w:rsidRPr="00D9348B">
        <w:rPr>
          <w:rFonts w:cs="Arial"/>
          <w:szCs w:val="16"/>
        </w:rPr>
        <w:t xml:space="preserve"> New Zealand Gazette </w:t>
      </w:r>
      <w:r w:rsidRPr="00D9348B">
        <w:t xml:space="preserve">Office. Retrieved from </w:t>
      </w:r>
      <w:hyperlink r:id="rId250" w:history="1">
        <w:r w:rsidRPr="00D9348B">
          <w:t>https://gazette.govt.nz/notice/id/2017-au1739</w:t>
        </w:r>
      </w:hyperlink>
      <w:r w:rsidRPr="00D9348B">
        <w:t xml:space="preserve"> (accessed September 2018).</w:t>
      </w:r>
    </w:p>
    <w:p w14:paraId="37B1B7CA" w14:textId="77777777" w:rsidR="00524720" w:rsidRPr="00D9348B" w:rsidRDefault="00524720" w:rsidP="00524720">
      <w:pPr>
        <w:pStyle w:val="References"/>
      </w:pPr>
      <w:r w:rsidRPr="00D9348B">
        <w:t>SCS Wetherill Environmental. Unpublished. National Greenhouse Gas Inventory from the Waste Sector 1990–2020.</w:t>
      </w:r>
      <w:r w:rsidRPr="00D9348B">
        <w:rPr>
          <w:i/>
        </w:rPr>
        <w:t xml:space="preserve"> </w:t>
      </w:r>
      <w:r w:rsidRPr="00D9348B">
        <w:t>Report commissioned by the Ministry for the Environment in 2002.</w:t>
      </w:r>
    </w:p>
    <w:p w14:paraId="37E49C3F" w14:textId="77777777" w:rsidR="00524720" w:rsidRPr="00D9348B" w:rsidRDefault="00524720" w:rsidP="00524720">
      <w:pPr>
        <w:pStyle w:val="References"/>
      </w:pPr>
      <w:r w:rsidRPr="00D9348B">
        <w:t xml:space="preserve">SKM. </w:t>
      </w:r>
      <w:proofErr w:type="gramStart"/>
      <w:r w:rsidRPr="00D9348B">
        <w:t>Unpublished(</w:t>
      </w:r>
      <w:proofErr w:type="gramEnd"/>
      <w:r w:rsidRPr="00D9348B">
        <w:t>a). Greenhouse Gases from the Waste Incineration Sector. Report commissioned by the Ministry for the Environment in 2007.</w:t>
      </w:r>
    </w:p>
    <w:p w14:paraId="584AEAE3" w14:textId="77777777" w:rsidR="00524720" w:rsidRPr="00D9348B" w:rsidRDefault="00524720" w:rsidP="00524720">
      <w:pPr>
        <w:pStyle w:val="References"/>
      </w:pPr>
      <w:r w:rsidRPr="00D9348B">
        <w:t xml:space="preserve">SKM. </w:t>
      </w:r>
      <w:proofErr w:type="gramStart"/>
      <w:r w:rsidRPr="00D9348B">
        <w:t>Unpublished(</w:t>
      </w:r>
      <w:proofErr w:type="gramEnd"/>
      <w:r w:rsidRPr="00D9348B">
        <w:t>b). Estimates of Landfill Methane Recovered in New Zealand 1990–2012. Report commissioned by the Ministry for the Environment in 2009.</w:t>
      </w:r>
    </w:p>
    <w:p w14:paraId="4D21E3AD" w14:textId="77777777" w:rsidR="00524720" w:rsidRPr="00D9348B" w:rsidRDefault="00524720" w:rsidP="00524720">
      <w:pPr>
        <w:pStyle w:val="References"/>
      </w:pPr>
      <w:r w:rsidRPr="00D9348B">
        <w:t xml:space="preserve">Tonkin and Taylor Ltd. </w:t>
      </w:r>
      <w:proofErr w:type="gramStart"/>
      <w:r w:rsidRPr="00D9348B">
        <w:t>Unpublished(</w:t>
      </w:r>
      <w:proofErr w:type="gramEnd"/>
      <w:r w:rsidRPr="00D9348B">
        <w:t>a). National Greenhouse Gas Emissions from Wastewater Sludge. Report commissioned by the Ministry for the Environment in 2011.</w:t>
      </w:r>
    </w:p>
    <w:p w14:paraId="28283C31" w14:textId="77777777" w:rsidR="00524720" w:rsidRPr="00D9348B" w:rsidRDefault="00524720" w:rsidP="00524720">
      <w:pPr>
        <w:pStyle w:val="References"/>
      </w:pPr>
      <w:r w:rsidRPr="00D9348B">
        <w:t xml:space="preserve">Tonkin and Taylor Ltd. </w:t>
      </w:r>
      <w:proofErr w:type="gramStart"/>
      <w:r w:rsidRPr="00D9348B">
        <w:t>Unpublished(</w:t>
      </w:r>
      <w:proofErr w:type="gramEnd"/>
      <w:r w:rsidRPr="00D9348B">
        <w:t>b). GHG Estimates from Non-municipal Landfills New Zealand. Report commissioned by the Ministry for the Environment in 2014.</w:t>
      </w:r>
    </w:p>
    <w:p w14:paraId="2A99DD33" w14:textId="77777777" w:rsidR="00524720" w:rsidRPr="00D9348B" w:rsidRDefault="00524720" w:rsidP="00524720">
      <w:pPr>
        <w:pStyle w:val="References"/>
      </w:pPr>
      <w:r w:rsidRPr="00D9348B">
        <w:t>Tonkin and Taylor Ltd. Unpublished(c). Emissions Trading Scheme: Landfill Gas Technical Advice 2016. Reported commissioned by the Ministry for the Environment in 2017.</w:t>
      </w:r>
    </w:p>
    <w:p w14:paraId="6BC7A63F" w14:textId="77777777" w:rsidR="00524720" w:rsidRPr="00D9348B" w:rsidRDefault="00524720" w:rsidP="00524720">
      <w:pPr>
        <w:pStyle w:val="References"/>
      </w:pPr>
      <w:r w:rsidRPr="00D9348B">
        <w:t>United States Environmental Protection Agency. Infographic about Municipal Solid Waste (MSW) in the United States in 2014. Retrieved from www.epa.gov/smm/infographic-about-municipal-solid-waste-msw-united-states-2014 (21 December 2017).</w:t>
      </w:r>
    </w:p>
    <w:p w14:paraId="6541ABFB" w14:textId="77777777" w:rsidR="00524720" w:rsidRPr="00D9348B" w:rsidRDefault="00524720" w:rsidP="00524720">
      <w:pPr>
        <w:pStyle w:val="References"/>
      </w:pPr>
      <w:proofErr w:type="gramStart"/>
      <w:r w:rsidRPr="00D9348B">
        <w:t>van</w:t>
      </w:r>
      <w:proofErr w:type="gramEnd"/>
      <w:r w:rsidRPr="00D9348B">
        <w:t xml:space="preserve"> der Weerden A, de Klein C, Kelliher R, Rollo M. 2014.</w:t>
      </w:r>
      <w:r w:rsidRPr="00D9348B">
        <w:rPr>
          <w:i/>
        </w:rPr>
        <w:t xml:space="preserve"> Reporting to 2006 IPCC Guidelines for N</w:t>
      </w:r>
      <w:r w:rsidRPr="00D9348B">
        <w:rPr>
          <w:i/>
          <w:vertAlign w:val="subscript"/>
        </w:rPr>
        <w:t>2</w:t>
      </w:r>
      <w:r w:rsidRPr="00D9348B">
        <w:rPr>
          <w:i/>
        </w:rPr>
        <w:t>O Emissions from Additional Sources of Organic N: Final report</w:t>
      </w:r>
      <w:r w:rsidRPr="00D9348B">
        <w:t xml:space="preserve">. Wellington: Ministry for Primary Industries. </w:t>
      </w:r>
    </w:p>
    <w:p w14:paraId="236FA802" w14:textId="77777777" w:rsidR="00524720" w:rsidRPr="00D9348B" w:rsidRDefault="00524720" w:rsidP="00524720">
      <w:pPr>
        <w:pStyle w:val="References"/>
      </w:pPr>
      <w:r w:rsidRPr="00D9348B">
        <w:t xml:space="preserve">Waste Not Consulting. </w:t>
      </w:r>
      <w:proofErr w:type="gramStart"/>
      <w:r w:rsidRPr="00D9348B">
        <w:t>Unpublished(</w:t>
      </w:r>
      <w:proofErr w:type="gramEnd"/>
      <w:r w:rsidRPr="00D9348B">
        <w:t>a). Waste Composition and Construction Waste Data. Report commissioned by the Ministry for the Environment in 2006.</w:t>
      </w:r>
    </w:p>
    <w:p w14:paraId="0D8D16D1" w14:textId="77777777" w:rsidR="00524720" w:rsidRPr="00D9348B" w:rsidRDefault="00524720" w:rsidP="00524720">
      <w:pPr>
        <w:pStyle w:val="References"/>
      </w:pPr>
      <w:r w:rsidRPr="00D9348B">
        <w:t xml:space="preserve">Waste Not Consulting. </w:t>
      </w:r>
      <w:proofErr w:type="gramStart"/>
      <w:r w:rsidRPr="00D9348B">
        <w:t>Unpublished(</w:t>
      </w:r>
      <w:proofErr w:type="gramEnd"/>
      <w:r w:rsidRPr="00D9348B">
        <w:t xml:space="preserve">b). Reviewing the 2008 National Waste Composition Estimate and Producing a 2012 Estimate. Report commissioned by the Ministry for the Environment in 2013. </w:t>
      </w:r>
    </w:p>
    <w:p w14:paraId="78B10B57" w14:textId="665BAC7E" w:rsidR="00524720" w:rsidRPr="00D9348B" w:rsidRDefault="00524720" w:rsidP="00524720">
      <w:pPr>
        <w:pStyle w:val="References"/>
      </w:pPr>
    </w:p>
    <w:p w14:paraId="7DA7B499" w14:textId="77777777" w:rsidR="00EC7ADE" w:rsidRPr="00D9348B" w:rsidRDefault="00EC7ADE" w:rsidP="00524720">
      <w:pPr>
        <w:pStyle w:val="References"/>
        <w:sectPr w:rsidR="00EC7ADE" w:rsidRPr="00D9348B" w:rsidSect="002D0986">
          <w:footerReference w:type="even" r:id="rId251"/>
          <w:pgSz w:w="11907" w:h="16840" w:code="9"/>
          <w:pgMar w:top="1418" w:right="1701" w:bottom="1560" w:left="1701" w:header="567" w:footer="567" w:gutter="0"/>
          <w:cols w:space="720"/>
        </w:sectPr>
      </w:pPr>
    </w:p>
    <w:p w14:paraId="6175D072" w14:textId="77777777" w:rsidR="00A71B0D" w:rsidRPr="00D9348B" w:rsidRDefault="00A71B0D" w:rsidP="00A71B0D">
      <w:pPr>
        <w:pStyle w:val="Heading1"/>
      </w:pPr>
      <w:bookmarkStart w:id="2958" w:name="_Toc5269392"/>
      <w:bookmarkStart w:id="2959" w:name="_Toc36224432"/>
      <w:r w:rsidRPr="00D9348B">
        <w:lastRenderedPageBreak/>
        <w:t>Chapter 8: Tokelau</w:t>
      </w:r>
      <w:bookmarkEnd w:id="2958"/>
      <w:r w:rsidRPr="00D9348B">
        <w:t xml:space="preserve"> (other) sector</w:t>
      </w:r>
      <w:bookmarkEnd w:id="2959"/>
    </w:p>
    <w:p w14:paraId="7FCA8A90" w14:textId="77777777" w:rsidR="00A71B0D" w:rsidRPr="00D9348B" w:rsidRDefault="00A71B0D" w:rsidP="00A71B0D">
      <w:pPr>
        <w:pStyle w:val="BodyText"/>
      </w:pPr>
      <w:r w:rsidRPr="00D9348B">
        <w:t xml:space="preserve">New Zealand ratified the </w:t>
      </w:r>
      <w:r w:rsidRPr="00D9348B">
        <w:rPr>
          <w:bCs/>
        </w:rPr>
        <w:t>United Nations Framework Convention on Climate Change</w:t>
      </w:r>
      <w:r w:rsidRPr="00D9348B">
        <w:t xml:space="preserve"> (the Convention) on 16 September 1993 and the Paris Agreement on 4 October 2016. The extension to Tokelau (as of 13 November 2017) of New Zealand’s ratification of the Convention and of the Paris Agreement requires New Zealand to include Tokelau in the obligatory climate change reporting managed by the Ministry for the Environment. Delivering on this obligation, </w:t>
      </w:r>
      <w:r w:rsidRPr="00D9348B">
        <w:rPr>
          <w:i/>
        </w:rPr>
        <w:t>inter alia</w:t>
      </w:r>
      <w:r w:rsidRPr="00D9348B">
        <w:t xml:space="preserve">, means that New Zealand’s national greenhouse gas (GHG) inventory shall include the GHG estimates from Tokelau. </w:t>
      </w:r>
    </w:p>
    <w:p w14:paraId="1832BEC2" w14:textId="77777777" w:rsidR="00A71B0D" w:rsidRPr="00D9348B" w:rsidRDefault="00A71B0D" w:rsidP="00A71B0D">
      <w:pPr>
        <w:pStyle w:val="BodyText"/>
      </w:pPr>
      <w:r w:rsidRPr="00D9348B">
        <w:t>Roles and responsibilities in relation to GHG inventory reporting from Tokelau are outlined below in section 8.1.3. The information on quality assurance and quality control planning for Tokelau is included in annex 6.</w:t>
      </w:r>
    </w:p>
    <w:p w14:paraId="6DCCE979" w14:textId="77777777" w:rsidR="00A71B0D" w:rsidRPr="00D9348B" w:rsidRDefault="00A71B0D" w:rsidP="00A71B0D">
      <w:pPr>
        <w:pStyle w:val="BodyText"/>
      </w:pPr>
      <w:r w:rsidRPr="00D9348B">
        <w:t>To maintain transparency of the inventory and visibility of the GHG data from Tokelau, common reporting format (CRF) sector 6 (Other) is used to present emissions from Tokelau by sector in the CRF. This chapter provides an overview of Tokelau’s economy and industry. It includes information on emissions trends and methodological notes in regard to the GHG emissions from Tokelau.</w:t>
      </w:r>
    </w:p>
    <w:p w14:paraId="6925AE5B" w14:textId="77777777" w:rsidR="00A71B0D" w:rsidRPr="00D9348B" w:rsidRDefault="00A71B0D" w:rsidP="00A71B0D">
      <w:pPr>
        <w:pStyle w:val="Heading2"/>
        <w:spacing w:before="280"/>
      </w:pPr>
      <w:bookmarkStart w:id="2960" w:name="_Toc5269393"/>
      <w:bookmarkStart w:id="2961" w:name="_Toc36224433"/>
      <w:r w:rsidRPr="00D9348B">
        <w:t xml:space="preserve">8.1 </w:t>
      </w:r>
      <w:r w:rsidRPr="00D9348B">
        <w:tab/>
        <w:t>Tokelau overview</w:t>
      </w:r>
      <w:bookmarkEnd w:id="2960"/>
      <w:bookmarkEnd w:id="2961"/>
    </w:p>
    <w:p w14:paraId="659ECC5F" w14:textId="77777777" w:rsidR="00A71B0D" w:rsidRPr="00D9348B" w:rsidRDefault="00A71B0D" w:rsidP="00A71B0D">
      <w:pPr>
        <w:pStyle w:val="Heading3"/>
        <w:spacing w:before="160"/>
      </w:pPr>
      <w:r w:rsidRPr="00D9348B">
        <w:t xml:space="preserve">8.1.1 </w:t>
      </w:r>
      <w:r w:rsidRPr="00D9348B">
        <w:tab/>
        <w:t>Geography</w:t>
      </w:r>
    </w:p>
    <w:p w14:paraId="18134742" w14:textId="77777777" w:rsidR="00A71B0D" w:rsidRPr="00D9348B" w:rsidRDefault="00A71B0D" w:rsidP="00A71B0D">
      <w:pPr>
        <w:pStyle w:val="BodyText"/>
      </w:pPr>
      <w:r w:rsidRPr="00D9348B">
        <w:t>Tokelau is a non-self-governing territory</w:t>
      </w:r>
      <w:r w:rsidRPr="00D9348B">
        <w:rPr>
          <w:rStyle w:val="FootnoteReference"/>
        </w:rPr>
        <w:footnoteReference w:id="69"/>
      </w:r>
      <w:r w:rsidRPr="00D9348B">
        <w:t xml:space="preserve"> of New Zealand. Tokelau is made up of three small coral atolls: Atafu, Nukunonu and Fakaofo. The total land area is only 12 square kilometres within an Exclusive Economic Zone (EEZ) covering 318,990 square kilometres. Atafu, the northern atoll, has a surface area of 3.5 square kilometres; Nukunonu, the central atoll, is 4.7 square kilometres and Fakaofo, the southern atoll, is 4 square kilometres (figure 8.1.1).</w:t>
      </w:r>
    </w:p>
    <w:p w14:paraId="36A17449" w14:textId="77777777" w:rsidR="00A71B0D" w:rsidRPr="00D9348B" w:rsidRDefault="00A71B0D" w:rsidP="00A71B0D">
      <w:pPr>
        <w:pStyle w:val="Figure"/>
      </w:pPr>
      <w:bookmarkStart w:id="2962" w:name="_Toc5269721"/>
      <w:bookmarkStart w:id="2963" w:name="_Toc36292824"/>
      <w:r w:rsidRPr="00D9348B">
        <w:t xml:space="preserve">Figure 8.1.1 </w:t>
      </w:r>
      <w:r w:rsidRPr="00D9348B">
        <w:tab/>
        <w:t>Map of Tokelau</w:t>
      </w:r>
      <w:bookmarkEnd w:id="2962"/>
      <w:bookmarkEnd w:id="2963"/>
    </w:p>
    <w:p w14:paraId="6AF6EF08" w14:textId="7C499C4A" w:rsidR="00A71B0D" w:rsidRPr="00D9348B" w:rsidRDefault="007165CF" w:rsidP="00A71B0D">
      <w:pPr>
        <w:pStyle w:val="BodyText"/>
        <w:jc w:val="center"/>
      </w:pPr>
      <w:r>
        <w:pict w14:anchorId="5A2298B7">
          <v:shape id="_x0000_i1155" type="#_x0000_t75" style="width:317.45pt;height:160.9pt;visibility:visible;mso-wrap-style:square">
            <v:imagedata r:id="rId252" o:title="" croptop="28252f" cropbottom="9174f" cropleft="4582f" cropright="31244f"/>
          </v:shape>
        </w:pict>
      </w:r>
    </w:p>
    <w:p w14:paraId="1E3CEFEF" w14:textId="77777777" w:rsidR="00A71B0D" w:rsidRPr="00D9348B" w:rsidRDefault="00A71B0D" w:rsidP="00A71B0D">
      <w:pPr>
        <w:pStyle w:val="BodyText"/>
      </w:pPr>
      <w:r w:rsidRPr="00D9348B">
        <w:lastRenderedPageBreak/>
        <w:t>From Atafu in the north to Fakaofo in the south, Tokelau extends for less than 200 kilometres. The atolls are approximately 3 to 5 metres above sea level. The maximum width of any island (motu) on the atolls’ rims is 200 metres. Tokelau is therefore particularly vulnerable to natural hazards.</w:t>
      </w:r>
    </w:p>
    <w:p w14:paraId="22CD5834" w14:textId="77777777" w:rsidR="00A71B0D" w:rsidRPr="00D9348B" w:rsidRDefault="00A71B0D" w:rsidP="000072D8">
      <w:pPr>
        <w:pStyle w:val="Heading3"/>
        <w:spacing w:before="240"/>
      </w:pPr>
      <w:r w:rsidRPr="00D9348B">
        <w:t xml:space="preserve">8.1.2 </w:t>
      </w:r>
      <w:r w:rsidRPr="00D9348B">
        <w:tab/>
        <w:t>Censuses of dwellings and population</w:t>
      </w:r>
    </w:p>
    <w:p w14:paraId="3ABD7518" w14:textId="77777777" w:rsidR="00A71B0D" w:rsidRPr="00D9348B" w:rsidRDefault="00A71B0D" w:rsidP="00A71B0D">
      <w:pPr>
        <w:pStyle w:val="BodyText"/>
        <w:spacing w:before="100"/>
      </w:pPr>
      <w:r w:rsidRPr="00D9348B">
        <w:t xml:space="preserve">Tokelauans have New Zealand citizenship. </w:t>
      </w:r>
    </w:p>
    <w:p w14:paraId="1141E806" w14:textId="77777777" w:rsidR="00A71B0D" w:rsidRPr="00D9348B" w:rsidRDefault="00A71B0D" w:rsidP="00A71B0D">
      <w:pPr>
        <w:pStyle w:val="BodyText"/>
        <w:spacing w:before="100"/>
        <w:rPr>
          <w:rFonts w:eastAsia="Calibri"/>
        </w:rPr>
      </w:pPr>
      <w:r w:rsidRPr="00D9348B">
        <w:rPr>
          <w:rFonts w:eastAsia="Calibri"/>
        </w:rPr>
        <w:t>Tokelau has carried out independent censuses of population and dwellings five yearly; detailed data are available on the number of inhabitants, livestock, housing, and some appliances. Only the past three censuses in Tokelau (2006, 2011 and 2016) have used a precise definition of who is a ‘</w:t>
      </w:r>
      <w:r w:rsidRPr="00D9348B">
        <w:rPr>
          <w:rFonts w:eastAsia="Calibri"/>
          <w:i/>
        </w:rPr>
        <w:t>de jure</w:t>
      </w:r>
      <w:r w:rsidRPr="00D9348B">
        <w:rPr>
          <w:rFonts w:eastAsia="Calibri"/>
        </w:rPr>
        <w:t xml:space="preserve"> Tokelauan’ and the people who actually lived in Tokelau during the census night (</w:t>
      </w:r>
      <w:r w:rsidRPr="00D9348B">
        <w:rPr>
          <w:rFonts w:eastAsia="Calibri"/>
          <w:i/>
        </w:rPr>
        <w:t>de facto</w:t>
      </w:r>
      <w:r w:rsidRPr="00D9348B">
        <w:rPr>
          <w:rFonts w:eastAsia="Calibri"/>
          <w:iCs/>
        </w:rPr>
        <w:t xml:space="preserve"> </w:t>
      </w:r>
      <w:r w:rsidRPr="00D9348B">
        <w:rPr>
          <w:rFonts w:eastAsia="Calibri"/>
        </w:rPr>
        <w:t xml:space="preserve">population). Tokelau’s </w:t>
      </w:r>
      <w:r w:rsidRPr="00D9348B">
        <w:rPr>
          <w:rFonts w:eastAsia="Calibri"/>
          <w:i/>
        </w:rPr>
        <w:t>de jure</w:t>
      </w:r>
      <w:r w:rsidRPr="00D9348B">
        <w:rPr>
          <w:rFonts w:eastAsia="Calibri"/>
        </w:rPr>
        <w:t xml:space="preserve"> population on 18 September 2016 was 1,499 people. The </w:t>
      </w:r>
      <w:r w:rsidRPr="00D9348B">
        <w:rPr>
          <w:rFonts w:eastAsia="Calibri"/>
          <w:i/>
        </w:rPr>
        <w:t>de facto</w:t>
      </w:r>
      <w:r w:rsidRPr="00D9348B">
        <w:rPr>
          <w:rFonts w:eastAsia="Calibri"/>
          <w:iCs/>
        </w:rPr>
        <w:t xml:space="preserve"> </w:t>
      </w:r>
      <w:r w:rsidRPr="00D9348B">
        <w:rPr>
          <w:rFonts w:eastAsia="Calibri"/>
        </w:rPr>
        <w:t xml:space="preserve">population has been used for the purposes of estimating emissions, which was 1,285 people in 2016. From 1990 to 2016, the population was fluctuating but generally declined for both </w:t>
      </w:r>
      <w:r w:rsidRPr="00D9348B">
        <w:rPr>
          <w:rFonts w:eastAsia="Calibri"/>
          <w:i/>
        </w:rPr>
        <w:t>de facto</w:t>
      </w:r>
      <w:r w:rsidRPr="00D9348B">
        <w:rPr>
          <w:rFonts w:eastAsia="Calibri"/>
        </w:rPr>
        <w:t xml:space="preserve"> and </w:t>
      </w:r>
      <w:r w:rsidRPr="00D9348B">
        <w:rPr>
          <w:rFonts w:eastAsia="Calibri"/>
          <w:i/>
        </w:rPr>
        <w:t>de jure</w:t>
      </w:r>
      <w:r w:rsidRPr="00D9348B">
        <w:rPr>
          <w:rFonts w:eastAsia="Calibri"/>
        </w:rPr>
        <w:t xml:space="preserve"> measures. For reference, about 15,000 people identify as Tokelauan that live overseas, mainly in New Zealand.</w:t>
      </w:r>
    </w:p>
    <w:p w14:paraId="286EDA8A" w14:textId="77777777" w:rsidR="00A71B0D" w:rsidRPr="00D9348B" w:rsidRDefault="00A71B0D" w:rsidP="00A71B0D">
      <w:pPr>
        <w:pStyle w:val="BodyText"/>
        <w:spacing w:before="100"/>
        <w:rPr>
          <w:rFonts w:eastAsia="Calibri"/>
        </w:rPr>
      </w:pPr>
      <w:r w:rsidRPr="00D9348B">
        <w:rPr>
          <w:rFonts w:eastAsia="Calibri"/>
        </w:rPr>
        <w:t xml:space="preserve">Tokelau has a subsistence economy in which sharing (inati) plays an important and significant role. The inhabitants are dependent on local natural resources, particularly fishing in the lagoon and deep sea, growing coconuts and breadfruit, and keeping domesticated pigs and chickens. </w:t>
      </w:r>
    </w:p>
    <w:p w14:paraId="3FC2A7FD" w14:textId="77777777" w:rsidR="00A71B0D" w:rsidRPr="00D9348B" w:rsidRDefault="00A71B0D" w:rsidP="00A71B0D">
      <w:pPr>
        <w:pStyle w:val="BodyText"/>
        <w:spacing w:before="100"/>
        <w:rPr>
          <w:rFonts w:eastAsia="Calibri"/>
        </w:rPr>
      </w:pPr>
      <w:r w:rsidRPr="00D9348B">
        <w:rPr>
          <w:rFonts w:eastAsia="Calibri"/>
        </w:rPr>
        <w:t>The coral atolls provide a subsistence lifestyle within a fragile environment. Tokelau imports most of its foodstuffs from Samoa. The Tokelau economy is dependent on two major financial resources: economic and administrative assistance from New Zealand, and income from fisheries. New Zealand provides general budget support to help the delivery of essential services, consistent with its constitutional and United Nations Charter obligations.</w:t>
      </w:r>
    </w:p>
    <w:p w14:paraId="29B3762B" w14:textId="77777777" w:rsidR="00A71B0D" w:rsidRPr="00D9348B" w:rsidRDefault="00A71B0D" w:rsidP="000072D8">
      <w:pPr>
        <w:pStyle w:val="Heading3"/>
        <w:spacing w:before="120"/>
      </w:pPr>
      <w:r w:rsidRPr="00D9348B">
        <w:t xml:space="preserve">8.1.3 </w:t>
      </w:r>
      <w:r w:rsidRPr="00D9348B">
        <w:tab/>
        <w:t xml:space="preserve">Emissions reporting </w:t>
      </w:r>
    </w:p>
    <w:p w14:paraId="64C9209E" w14:textId="77777777" w:rsidR="00A71B0D" w:rsidRPr="00D9348B" w:rsidRDefault="00A71B0D" w:rsidP="00A71B0D">
      <w:pPr>
        <w:pStyle w:val="BodyText"/>
        <w:spacing w:after="100"/>
      </w:pPr>
      <w:r w:rsidRPr="00D9348B">
        <w:t>Due to the small land size area, small population and absence of industry, Tokelau has a very low impact on the environment and emits very small amounts of GHGs. The total amount of all GHGs from all sources in Tokelau in 2018 was 3.62 kilotonnes carbon dioxide equivalent</w:t>
      </w:r>
      <w:r w:rsidRPr="00D9348B" w:rsidDel="000B3E2B">
        <w:t xml:space="preserve"> </w:t>
      </w:r>
      <w:r w:rsidRPr="00D9348B">
        <w:t>(kt CO</w:t>
      </w:r>
      <w:r w:rsidRPr="00D9348B">
        <w:rPr>
          <w:vertAlign w:val="subscript"/>
        </w:rPr>
        <w:t>2</w:t>
      </w:r>
      <w:r w:rsidRPr="00D9348B">
        <w:t>-e), contributing approximately 0.005 per cent to New Zealand’s gross emissions, which is below the significance threshold as defined in paragraph 37(b) of the United Nations Framework Convention on Climate Change (UNFCCC) reporting guidelines for GHG inventories (UNFCCC, 2014). The emission in Tokelau are limited to:</w:t>
      </w:r>
    </w:p>
    <w:p w14:paraId="12F534CD" w14:textId="77777777" w:rsidR="00A71B0D" w:rsidRPr="00D9348B" w:rsidRDefault="00A71B0D" w:rsidP="00A71B0D">
      <w:pPr>
        <w:pStyle w:val="Bullet"/>
        <w:tabs>
          <w:tab w:val="clear" w:pos="567"/>
        </w:tabs>
        <w:spacing w:after="100"/>
      </w:pPr>
      <w:r w:rsidRPr="00D9348B">
        <w:t>carbon dioxide (CO</w:t>
      </w:r>
      <w:r w:rsidRPr="00D9348B">
        <w:rPr>
          <w:vertAlign w:val="subscript"/>
        </w:rPr>
        <w:t>2</w:t>
      </w:r>
      <w:r w:rsidRPr="00D9348B">
        <w:t>) from boat engines and vehicles</w:t>
      </w:r>
    </w:p>
    <w:p w14:paraId="63F7696C" w14:textId="77777777" w:rsidR="00A71B0D" w:rsidRPr="00D9348B" w:rsidRDefault="00A71B0D" w:rsidP="00A71B0D">
      <w:pPr>
        <w:pStyle w:val="Bullet"/>
        <w:tabs>
          <w:tab w:val="clear" w:pos="567"/>
        </w:tabs>
        <w:spacing w:after="100"/>
      </w:pPr>
      <w:r w:rsidRPr="00D9348B">
        <w:t>CO</w:t>
      </w:r>
      <w:r w:rsidRPr="00D9348B">
        <w:rPr>
          <w:vertAlign w:val="subscript"/>
        </w:rPr>
        <w:t>2</w:t>
      </w:r>
      <w:r w:rsidRPr="00D9348B">
        <w:t xml:space="preserve"> from back-up power generators</w:t>
      </w:r>
    </w:p>
    <w:p w14:paraId="259442FB" w14:textId="77777777" w:rsidR="00A71B0D" w:rsidRPr="00D9348B" w:rsidRDefault="00A71B0D" w:rsidP="00A71B0D">
      <w:pPr>
        <w:pStyle w:val="Bullet"/>
        <w:tabs>
          <w:tab w:val="clear" w:pos="567"/>
        </w:tabs>
        <w:spacing w:after="100"/>
      </w:pPr>
      <w:r w:rsidRPr="00D9348B">
        <w:t>fluorinated gases from the use of refrigerants</w:t>
      </w:r>
    </w:p>
    <w:p w14:paraId="43DA5C7E" w14:textId="77777777" w:rsidR="00A71B0D" w:rsidRPr="00D9348B" w:rsidRDefault="00A71B0D" w:rsidP="00A71B0D">
      <w:pPr>
        <w:pStyle w:val="Bullet"/>
        <w:tabs>
          <w:tab w:val="clear" w:pos="567"/>
        </w:tabs>
        <w:spacing w:after="100"/>
      </w:pPr>
      <w:r w:rsidRPr="00D9348B">
        <w:t>methane (CH</w:t>
      </w:r>
      <w:r w:rsidRPr="00D9348B">
        <w:rPr>
          <w:vertAlign w:val="subscript"/>
        </w:rPr>
        <w:t>4</w:t>
      </w:r>
      <w:r w:rsidRPr="00D9348B">
        <w:t>) and nitrous oxide (N</w:t>
      </w:r>
      <w:r w:rsidRPr="00D9348B">
        <w:rPr>
          <w:vertAlign w:val="subscript"/>
        </w:rPr>
        <w:t>2</w:t>
      </w:r>
      <w:r w:rsidRPr="00D9348B">
        <w:t>O) from livestock (pigs and poultry)</w:t>
      </w:r>
    </w:p>
    <w:p w14:paraId="2B1B284A" w14:textId="77777777" w:rsidR="00A71B0D" w:rsidRPr="00D9348B" w:rsidRDefault="00A71B0D" w:rsidP="00A71B0D">
      <w:pPr>
        <w:pStyle w:val="Bullet"/>
        <w:tabs>
          <w:tab w:val="clear" w:pos="567"/>
        </w:tabs>
      </w:pPr>
      <w:r w:rsidRPr="00D9348B">
        <w:t>CH</w:t>
      </w:r>
      <w:r w:rsidRPr="00D9348B">
        <w:rPr>
          <w:vertAlign w:val="subscript"/>
        </w:rPr>
        <w:t>4</w:t>
      </w:r>
      <w:r w:rsidRPr="00D9348B">
        <w:t>, CO</w:t>
      </w:r>
      <w:r w:rsidRPr="00D9348B">
        <w:rPr>
          <w:vertAlign w:val="subscript"/>
        </w:rPr>
        <w:t>2</w:t>
      </w:r>
      <w:r w:rsidRPr="00D9348B">
        <w:t xml:space="preserve"> and N</w:t>
      </w:r>
      <w:r w:rsidRPr="00D9348B">
        <w:rPr>
          <w:vertAlign w:val="subscript"/>
        </w:rPr>
        <w:t>2</w:t>
      </w:r>
      <w:r w:rsidRPr="00D9348B">
        <w:t>O from waste.</w:t>
      </w:r>
    </w:p>
    <w:p w14:paraId="4BE5628B" w14:textId="77777777" w:rsidR="00A71B0D" w:rsidRPr="00D9348B" w:rsidRDefault="00A71B0D" w:rsidP="00A71B0D">
      <w:pPr>
        <w:pStyle w:val="Heading5"/>
      </w:pPr>
      <w:r w:rsidRPr="00D9348B">
        <w:t>2018</w:t>
      </w:r>
    </w:p>
    <w:p w14:paraId="3A024929" w14:textId="77777777" w:rsidR="00A71B0D" w:rsidRPr="00D9348B" w:rsidRDefault="00A71B0D" w:rsidP="00A71B0D">
      <w:pPr>
        <w:pStyle w:val="BodyText"/>
        <w:spacing w:before="100" w:after="100"/>
      </w:pPr>
      <w:r w:rsidRPr="00D9348B">
        <w:t>Carbon dioxide dominates emissions from Tokelau, contributing 51.7 per cent (1.87 kt CO</w:t>
      </w:r>
      <w:r w:rsidRPr="00D9348B">
        <w:rPr>
          <w:vertAlign w:val="subscript"/>
        </w:rPr>
        <w:t>2</w:t>
      </w:r>
      <w:r w:rsidRPr="00D9348B">
        <w:t>-e) of its total emissions. At 1.83 kt CO</w:t>
      </w:r>
      <w:r w:rsidRPr="00D9348B">
        <w:rPr>
          <w:vertAlign w:val="subscript"/>
        </w:rPr>
        <w:t>2</w:t>
      </w:r>
      <w:r w:rsidRPr="00D9348B">
        <w:t>, the Energy sector contributes 97.9 per cent of total CO</w:t>
      </w:r>
      <w:r w:rsidRPr="00D9348B">
        <w:rPr>
          <w:vertAlign w:val="subscript"/>
        </w:rPr>
        <w:t>2</w:t>
      </w:r>
      <w:r w:rsidRPr="00D9348B">
        <w:t xml:space="preserve"> emissions, mostly from </w:t>
      </w:r>
      <w:r w:rsidRPr="00D9348B">
        <w:rPr>
          <w:i/>
        </w:rPr>
        <w:t>Domestic navigation</w:t>
      </w:r>
      <w:r w:rsidRPr="00D9348B">
        <w:t xml:space="preserve">; with the remaining 2.1 per cent (0.04 kt) coming from </w:t>
      </w:r>
      <w:r w:rsidRPr="00D9348B">
        <w:rPr>
          <w:i/>
        </w:rPr>
        <w:t>Open burning of waste</w:t>
      </w:r>
      <w:r w:rsidRPr="00D9348B">
        <w:t xml:space="preserve"> in the Waste sector. </w:t>
      </w:r>
    </w:p>
    <w:p w14:paraId="04BD7B7F" w14:textId="77777777" w:rsidR="00A71B0D" w:rsidRPr="00D9348B" w:rsidRDefault="00A71B0D" w:rsidP="00A71B0D">
      <w:pPr>
        <w:pStyle w:val="BodyText"/>
        <w:spacing w:after="100"/>
      </w:pPr>
      <w:r w:rsidRPr="00D9348B">
        <w:lastRenderedPageBreak/>
        <w:t>Methane emissions contribute 40.7 per cent (1.47 kt CO</w:t>
      </w:r>
      <w:r w:rsidRPr="00D9348B">
        <w:rPr>
          <w:vertAlign w:val="subscript"/>
        </w:rPr>
        <w:t>2</w:t>
      </w:r>
      <w:r w:rsidRPr="00D9348B">
        <w:t>-e) to the total emissions from Tokelau. The Agriculture sector in Tokelau contributes 56.0 per cent of CH</w:t>
      </w:r>
      <w:r w:rsidRPr="00D9348B">
        <w:rPr>
          <w:vertAlign w:val="subscript"/>
        </w:rPr>
        <w:t>4</w:t>
      </w:r>
      <w:r w:rsidRPr="00D9348B">
        <w:t xml:space="preserve"> emissions (0.82 kt CO</w:t>
      </w:r>
      <w:r w:rsidRPr="00D9348B">
        <w:rPr>
          <w:vertAlign w:val="subscript"/>
        </w:rPr>
        <w:t>2</w:t>
      </w:r>
      <w:r w:rsidRPr="00D9348B">
        <w:t xml:space="preserve">-e), that mostly come from </w:t>
      </w:r>
      <w:r w:rsidRPr="00D9348B">
        <w:rPr>
          <w:i/>
        </w:rPr>
        <w:t>Manure management</w:t>
      </w:r>
      <w:r w:rsidRPr="00D9348B">
        <w:t>. A significant portion of CH</w:t>
      </w:r>
      <w:r w:rsidRPr="00D9348B">
        <w:rPr>
          <w:vertAlign w:val="subscript"/>
        </w:rPr>
        <w:t>4</w:t>
      </w:r>
      <w:r w:rsidRPr="00D9348B">
        <w:t xml:space="preserve"> emissions, 17.7 per cent (0.64 kt CO</w:t>
      </w:r>
      <w:r w:rsidRPr="00D9348B">
        <w:rPr>
          <w:vertAlign w:val="subscript"/>
        </w:rPr>
        <w:t>2</w:t>
      </w:r>
      <w:r w:rsidRPr="00D9348B">
        <w:t xml:space="preserve">-e), comes from the Waste sector, largely from </w:t>
      </w:r>
      <w:r w:rsidRPr="00D9348B">
        <w:rPr>
          <w:i/>
        </w:rPr>
        <w:t>Solid waste disposal</w:t>
      </w:r>
      <w:r w:rsidRPr="00D9348B">
        <w:t>. The Energy sector contributes the remaining 0.2 per cent of CH</w:t>
      </w:r>
      <w:r w:rsidRPr="00D9348B">
        <w:rPr>
          <w:vertAlign w:val="subscript"/>
        </w:rPr>
        <w:t>4</w:t>
      </w:r>
      <w:r w:rsidRPr="00D9348B">
        <w:t xml:space="preserve"> emissions (0.01 kt) that mostly come from </w:t>
      </w:r>
      <w:r w:rsidRPr="00D9348B">
        <w:rPr>
          <w:i/>
        </w:rPr>
        <w:t>Domestic navigation</w:t>
      </w:r>
      <w:r w:rsidRPr="00D9348B">
        <w:t>.</w:t>
      </w:r>
    </w:p>
    <w:p w14:paraId="74376331" w14:textId="77777777" w:rsidR="00A71B0D" w:rsidRPr="00D9348B" w:rsidRDefault="00A71B0D" w:rsidP="00A71B0D">
      <w:pPr>
        <w:pStyle w:val="BodyText"/>
        <w:spacing w:after="100"/>
      </w:pPr>
      <w:r w:rsidRPr="00D9348B">
        <w:t>Nitrous oxide emissions contribute 1.1 per cent (0.04 kt CO</w:t>
      </w:r>
      <w:r w:rsidRPr="00D9348B">
        <w:rPr>
          <w:vertAlign w:val="subscript"/>
        </w:rPr>
        <w:t>2</w:t>
      </w:r>
      <w:r w:rsidRPr="00D9348B">
        <w:t>-e) to the total emissions from Tokelau. The IPPU sector contributes the largest amount of N</w:t>
      </w:r>
      <w:r w:rsidRPr="00D9348B">
        <w:rPr>
          <w:vertAlign w:val="subscript"/>
        </w:rPr>
        <w:t>2</w:t>
      </w:r>
      <w:r w:rsidRPr="00D9348B">
        <w:t>O, 40.8 per cent (0.02 kt CO</w:t>
      </w:r>
      <w:r w:rsidRPr="00D9348B">
        <w:rPr>
          <w:vertAlign w:val="subscript"/>
        </w:rPr>
        <w:t>2</w:t>
      </w:r>
      <w:r w:rsidRPr="00D9348B">
        <w:t>-e) of the total N</w:t>
      </w:r>
      <w:r w:rsidRPr="00D9348B">
        <w:rPr>
          <w:vertAlign w:val="subscript"/>
        </w:rPr>
        <w:t>2</w:t>
      </w:r>
      <w:r w:rsidRPr="00D9348B">
        <w:t>O, from the use of metered dose inhalers. The Energy sector contributes a further</w:t>
      </w:r>
      <w:r w:rsidRPr="00D9348B" w:rsidDel="007B238F">
        <w:t xml:space="preserve"> </w:t>
      </w:r>
      <w:r w:rsidRPr="00D9348B">
        <w:t>31.4 per cent (0.01 kt CO</w:t>
      </w:r>
      <w:r w:rsidRPr="00D9348B">
        <w:rPr>
          <w:vertAlign w:val="subscript"/>
        </w:rPr>
        <w:t>2</w:t>
      </w:r>
      <w:r w:rsidRPr="00D9348B">
        <w:t>-e) that comes largely from domestic navigation. The Waste sector contributes the remaining 27.7 per cent of N</w:t>
      </w:r>
      <w:r w:rsidRPr="00D9348B">
        <w:rPr>
          <w:vertAlign w:val="subscript"/>
        </w:rPr>
        <w:t>2</w:t>
      </w:r>
      <w:r w:rsidRPr="00D9348B">
        <w:t>O (0.01 kt CO</w:t>
      </w:r>
      <w:r w:rsidRPr="00D9348B">
        <w:rPr>
          <w:vertAlign w:val="subscript"/>
        </w:rPr>
        <w:t>2</w:t>
      </w:r>
      <w:r w:rsidRPr="00D9348B">
        <w:t>-e) from open burning and wastewater treatment and discharge.</w:t>
      </w:r>
    </w:p>
    <w:p w14:paraId="0BE54784" w14:textId="77777777" w:rsidR="00A71B0D" w:rsidRPr="00D9348B" w:rsidRDefault="00A71B0D" w:rsidP="00A71B0D">
      <w:pPr>
        <w:pStyle w:val="BodyText"/>
        <w:spacing w:after="100"/>
      </w:pPr>
      <w:r w:rsidRPr="00D9348B">
        <w:t>Emissions of fluorinated gases from Tokelau consist of hydrofluorocarbon (HFC) emissions only, contributing 6.5 per cent (0.23 kt CO</w:t>
      </w:r>
      <w:r w:rsidRPr="00D9348B">
        <w:rPr>
          <w:vertAlign w:val="subscript"/>
        </w:rPr>
        <w:t>2</w:t>
      </w:r>
      <w:r w:rsidRPr="00D9348B">
        <w:t xml:space="preserve">-e) to the total emissions from Tokelau. These emissions are largely coming from the use of refrigerants in domestic fridges and freezers. Emissions of perfluorocarbons (PFCs), nitrogen trifluoride and sulphur hexafluoride are not occurring in Tokelau. </w:t>
      </w:r>
    </w:p>
    <w:p w14:paraId="75F5380A" w14:textId="77777777" w:rsidR="00A71B0D" w:rsidRPr="00D9348B" w:rsidRDefault="00A71B0D" w:rsidP="00A71B0D">
      <w:pPr>
        <w:pStyle w:val="BodyText"/>
      </w:pPr>
      <w:r w:rsidRPr="00D9348B">
        <w:t xml:space="preserve">Figures 8.1.2 and 8.1.3 show emissions from Tokelau by gas and by sector. </w:t>
      </w:r>
    </w:p>
    <w:p w14:paraId="5B73D476" w14:textId="77777777" w:rsidR="00A71B0D" w:rsidRPr="00D9348B" w:rsidRDefault="00A71B0D" w:rsidP="00C900F8">
      <w:pPr>
        <w:pStyle w:val="Figure"/>
        <w:spacing w:after="0"/>
      </w:pPr>
      <w:bookmarkStart w:id="2964" w:name="_Toc5269722"/>
      <w:bookmarkStart w:id="2965" w:name="_Toc36292825"/>
      <w:r w:rsidRPr="00D9348B">
        <w:t xml:space="preserve">Figure 8.1.2 </w:t>
      </w:r>
      <w:r w:rsidRPr="00D9348B">
        <w:tab/>
        <w:t>Tokelau’s emissions by gas in 2018</w:t>
      </w:r>
      <w:bookmarkEnd w:id="2964"/>
      <w:bookmarkEnd w:id="2965"/>
    </w:p>
    <w:p w14:paraId="05AAA463" w14:textId="237199CB" w:rsidR="00A71B0D" w:rsidRPr="00D9348B" w:rsidRDefault="007165CF" w:rsidP="00A71B0D">
      <w:pPr>
        <w:pStyle w:val="BodyText"/>
      </w:pPr>
      <w:bookmarkStart w:id="2966" w:name="_Toc5269723"/>
      <w:r>
        <w:pict w14:anchorId="621D9596">
          <v:shape id="_x0000_i1156" type="#_x0000_t75" style="width:401.3pt;height:183.45pt;visibility:visible;mso-wrap-style:square">
            <v:imagedata r:id="rId253" o:title="" croptop="7830f" cropleft="1276f"/>
          </v:shape>
        </w:pict>
      </w:r>
    </w:p>
    <w:p w14:paraId="7E71248E" w14:textId="77777777" w:rsidR="00A71B0D" w:rsidRPr="00D9348B" w:rsidRDefault="00A71B0D" w:rsidP="00A71B0D">
      <w:pPr>
        <w:pStyle w:val="BodyText"/>
        <w:spacing w:before="0"/>
      </w:pPr>
    </w:p>
    <w:p w14:paraId="55945D70" w14:textId="77777777" w:rsidR="00A71B0D" w:rsidRPr="00D9348B" w:rsidRDefault="00A71B0D" w:rsidP="00C900F8">
      <w:pPr>
        <w:pStyle w:val="Figure"/>
        <w:spacing w:after="0"/>
      </w:pPr>
      <w:bookmarkStart w:id="2967" w:name="_Toc36292826"/>
      <w:r w:rsidRPr="00D9348B">
        <w:t xml:space="preserve">Figure 8.1.3 </w:t>
      </w:r>
      <w:r w:rsidRPr="00D9348B">
        <w:tab/>
        <w:t>Tokelau’s emissions by sector in 2018</w:t>
      </w:r>
      <w:bookmarkEnd w:id="2966"/>
      <w:bookmarkEnd w:id="2967"/>
    </w:p>
    <w:p w14:paraId="37D16349" w14:textId="0A9970C9" w:rsidR="00A71B0D" w:rsidRPr="00D9348B" w:rsidRDefault="007165CF" w:rsidP="00A71B0D">
      <w:pPr>
        <w:pStyle w:val="BodyText"/>
        <w:spacing w:before="0"/>
      </w:pPr>
      <w:r>
        <w:pict w14:anchorId="26118EA1">
          <v:shape id="_x0000_i1157" type="#_x0000_t75" style="width:424.5pt;height:135.25pt;visibility:visible;mso-wrap-style:square">
            <v:imagedata r:id="rId254" o:title="" croptop="15967f" cropleft="811f" cropright="921f"/>
          </v:shape>
        </w:pict>
      </w:r>
    </w:p>
    <w:p w14:paraId="76DAB9F0" w14:textId="77777777" w:rsidR="00A71B0D" w:rsidRPr="00D9348B" w:rsidRDefault="00A71B0D" w:rsidP="00865BDB">
      <w:pPr>
        <w:pStyle w:val="Heading4"/>
      </w:pPr>
      <w:r w:rsidRPr="00D9348B">
        <w:lastRenderedPageBreak/>
        <w:t>1990–2018</w:t>
      </w:r>
    </w:p>
    <w:p w14:paraId="401C24E6" w14:textId="3A9693D6" w:rsidR="00A71B0D" w:rsidRPr="00D9348B" w:rsidRDefault="00A71B0D" w:rsidP="00A71B0D">
      <w:pPr>
        <w:pStyle w:val="BodyText"/>
        <w:spacing w:before="100"/>
      </w:pPr>
      <w:r w:rsidRPr="00D9348B">
        <w:t>In 1990, the total emissions from Tokelau were 3.17 kt CO</w:t>
      </w:r>
      <w:r w:rsidRPr="00D9348B">
        <w:rPr>
          <w:vertAlign w:val="subscript"/>
        </w:rPr>
        <w:t>2</w:t>
      </w:r>
      <w:r w:rsidRPr="00D9348B">
        <w:t>-e. Between 1990 and 2018, the</w:t>
      </w:r>
      <w:r w:rsidR="000072D8" w:rsidRPr="00D9348B">
        <w:t> </w:t>
      </w:r>
      <w:r w:rsidRPr="00D9348B">
        <w:t>total emissions increased by 14.2 per cent (0.45 kt CO</w:t>
      </w:r>
      <w:r w:rsidRPr="00D9348B">
        <w:rPr>
          <w:vertAlign w:val="subscript"/>
        </w:rPr>
        <w:t>2</w:t>
      </w:r>
      <w:r w:rsidRPr="00D9348B">
        <w:t>-e) to 3.62 kt CO</w:t>
      </w:r>
      <w:r w:rsidRPr="00D9348B">
        <w:rPr>
          <w:vertAlign w:val="subscript"/>
        </w:rPr>
        <w:t>2</w:t>
      </w:r>
      <w:r w:rsidRPr="00D9348B">
        <w:t>-e (table 8.1.1). From 1990 to 2018, the average annual increase in gross emissions was 0.60</w:t>
      </w:r>
      <w:r w:rsidRPr="00D9348B">
        <w:rPr>
          <w:rFonts w:cs="Arial"/>
          <w:szCs w:val="16"/>
        </w:rPr>
        <w:t xml:space="preserve"> </w:t>
      </w:r>
      <w:r w:rsidRPr="00D9348B">
        <w:t>per cent.</w:t>
      </w:r>
    </w:p>
    <w:p w14:paraId="12C05703" w14:textId="77777777" w:rsidR="00A71B0D" w:rsidRPr="00D9348B" w:rsidRDefault="00A71B0D" w:rsidP="00A71B0D">
      <w:pPr>
        <w:pStyle w:val="Table"/>
      </w:pPr>
      <w:bookmarkStart w:id="2968" w:name="_Toc36224675"/>
      <w:bookmarkStart w:id="2969" w:name="_Toc5269724"/>
      <w:r w:rsidRPr="00D9348B">
        <w:t xml:space="preserve">Table 8.1.1 </w:t>
      </w:r>
      <w:r w:rsidRPr="00D9348B">
        <w:tab/>
        <w:t>Gross emissions from Tokelau by gas in 1990 and 2018</w:t>
      </w:r>
      <w:bookmarkEnd w:id="2968"/>
    </w:p>
    <w:tbl>
      <w:tblPr>
        <w:tblW w:w="8562" w:type="dxa"/>
        <w:tblInd w:w="108" w:type="dxa"/>
        <w:tblBorders>
          <w:bottom w:val="single" w:sz="8" w:space="0" w:color="365F91"/>
          <w:insideH w:val="single" w:sz="8" w:space="0" w:color="365F91"/>
        </w:tblBorders>
        <w:tblLook w:val="01E0" w:firstRow="1" w:lastRow="1" w:firstColumn="1" w:lastColumn="1" w:noHBand="0" w:noVBand="0"/>
      </w:tblPr>
      <w:tblGrid>
        <w:gridCol w:w="2782"/>
        <w:gridCol w:w="1464"/>
        <w:gridCol w:w="1318"/>
        <w:gridCol w:w="1610"/>
        <w:gridCol w:w="1388"/>
      </w:tblGrid>
      <w:tr w:rsidR="00A71B0D" w:rsidRPr="00D9348B" w14:paraId="352A3B5D" w14:textId="77777777" w:rsidTr="000072D8">
        <w:tc>
          <w:tcPr>
            <w:tcW w:w="2764" w:type="dxa"/>
            <w:vMerge w:val="restart"/>
            <w:tcBorders>
              <w:top w:val="single" w:sz="4" w:space="0" w:color="365F91"/>
              <w:left w:val="nil"/>
              <w:bottom w:val="nil"/>
              <w:right w:val="nil"/>
              <w:tl2br w:val="nil"/>
              <w:tr2bl w:val="nil"/>
            </w:tcBorders>
            <w:shd w:val="clear" w:color="auto" w:fill="365F91"/>
            <w:vAlign w:val="bottom"/>
          </w:tcPr>
          <w:p w14:paraId="77D6BE31" w14:textId="77777777" w:rsidR="00A71B0D" w:rsidRPr="00D9348B" w:rsidRDefault="00A71B0D" w:rsidP="00FB63D8">
            <w:pPr>
              <w:pStyle w:val="TableTextBold"/>
              <w:spacing w:before="40" w:after="40"/>
              <w:rPr>
                <w:noProof w:val="0"/>
                <w:color w:val="FFFFFF"/>
              </w:rPr>
            </w:pPr>
            <w:r w:rsidRPr="00D9348B">
              <w:rPr>
                <w:noProof w:val="0"/>
                <w:color w:val="FFFFFF"/>
              </w:rPr>
              <w:t>Direct greenhouse gas emissions</w:t>
            </w:r>
          </w:p>
        </w:tc>
        <w:tc>
          <w:tcPr>
            <w:tcW w:w="2763" w:type="dxa"/>
            <w:gridSpan w:val="2"/>
            <w:tcBorders>
              <w:top w:val="single" w:sz="4" w:space="0" w:color="365F91"/>
              <w:left w:val="nil"/>
              <w:bottom w:val="nil"/>
              <w:right w:val="nil"/>
              <w:tl2br w:val="nil"/>
              <w:tr2bl w:val="nil"/>
            </w:tcBorders>
            <w:shd w:val="clear" w:color="auto" w:fill="365F91"/>
            <w:vAlign w:val="bottom"/>
          </w:tcPr>
          <w:p w14:paraId="044B4F2C" w14:textId="77777777" w:rsidR="00A71B0D" w:rsidRPr="00D9348B" w:rsidRDefault="00A71B0D" w:rsidP="00FB63D8">
            <w:pPr>
              <w:pStyle w:val="TableTextBold"/>
              <w:spacing w:before="40" w:after="40"/>
              <w:jc w:val="center"/>
              <w:rPr>
                <w:noProof w:val="0"/>
                <w:color w:val="FFFFFF"/>
              </w:rPr>
            </w:pPr>
            <w:r w:rsidRPr="00D9348B">
              <w:rPr>
                <w:noProof w:val="0"/>
                <w:color w:val="FFFFFF"/>
              </w:rPr>
              <w:t>kt CO</w:t>
            </w:r>
            <w:r w:rsidRPr="00D9348B">
              <w:rPr>
                <w:noProof w:val="0"/>
                <w:color w:val="FFFFFF"/>
                <w:vertAlign w:val="subscript"/>
              </w:rPr>
              <w:t>2</w:t>
            </w:r>
            <w:r w:rsidRPr="00D9348B">
              <w:rPr>
                <w:noProof w:val="0"/>
                <w:color w:val="FFFFFF"/>
              </w:rPr>
              <w:t>-e</w:t>
            </w:r>
          </w:p>
        </w:tc>
        <w:tc>
          <w:tcPr>
            <w:tcW w:w="1599" w:type="dxa"/>
            <w:vMerge w:val="restart"/>
            <w:tcBorders>
              <w:top w:val="single" w:sz="4" w:space="0" w:color="365F91"/>
              <w:left w:val="nil"/>
              <w:bottom w:val="nil"/>
              <w:right w:val="nil"/>
              <w:tl2br w:val="nil"/>
              <w:tr2bl w:val="nil"/>
            </w:tcBorders>
            <w:shd w:val="clear" w:color="auto" w:fill="365F91"/>
            <w:vAlign w:val="bottom"/>
          </w:tcPr>
          <w:p w14:paraId="5828F7B7" w14:textId="77777777" w:rsidR="00A71B0D" w:rsidRPr="00D9348B" w:rsidRDefault="00A71B0D" w:rsidP="00FB63D8">
            <w:pPr>
              <w:pStyle w:val="TableTextBold"/>
              <w:spacing w:before="40" w:after="40"/>
              <w:jc w:val="center"/>
              <w:rPr>
                <w:noProof w:val="0"/>
                <w:color w:val="FFFFFF"/>
              </w:rPr>
            </w:pPr>
            <w:r w:rsidRPr="00D9348B">
              <w:rPr>
                <w:noProof w:val="0"/>
                <w:color w:val="FFFFFF"/>
              </w:rPr>
              <w:t>Change from 1990 (kt CO</w:t>
            </w:r>
            <w:r w:rsidRPr="00D9348B">
              <w:rPr>
                <w:noProof w:val="0"/>
                <w:color w:val="FFFFFF"/>
                <w:vertAlign w:val="subscript"/>
              </w:rPr>
              <w:t>2</w:t>
            </w:r>
            <w:r w:rsidRPr="00D9348B">
              <w:rPr>
                <w:noProof w:val="0"/>
                <w:color w:val="FFFFFF"/>
              </w:rPr>
              <w:t>-e)</w:t>
            </w:r>
          </w:p>
        </w:tc>
        <w:tc>
          <w:tcPr>
            <w:tcW w:w="1379" w:type="dxa"/>
            <w:vMerge w:val="restart"/>
            <w:tcBorders>
              <w:top w:val="single" w:sz="4" w:space="0" w:color="365F91"/>
              <w:left w:val="nil"/>
              <w:bottom w:val="nil"/>
              <w:right w:val="nil"/>
              <w:tl2br w:val="nil"/>
              <w:tr2bl w:val="nil"/>
            </w:tcBorders>
            <w:shd w:val="clear" w:color="auto" w:fill="365F91"/>
            <w:vAlign w:val="bottom"/>
          </w:tcPr>
          <w:p w14:paraId="36B4122E" w14:textId="77777777" w:rsidR="00A71B0D" w:rsidRPr="00D9348B" w:rsidRDefault="00A71B0D" w:rsidP="00FB63D8">
            <w:pPr>
              <w:pStyle w:val="TableTextBold"/>
              <w:spacing w:before="40" w:after="40"/>
              <w:jc w:val="center"/>
              <w:rPr>
                <w:noProof w:val="0"/>
                <w:color w:val="FFFFFF"/>
              </w:rPr>
            </w:pPr>
            <w:r w:rsidRPr="00D9348B">
              <w:rPr>
                <w:noProof w:val="0"/>
                <w:color w:val="FFFFFF"/>
              </w:rPr>
              <w:t>Change from 1990 (%)</w:t>
            </w:r>
          </w:p>
        </w:tc>
      </w:tr>
      <w:tr w:rsidR="00A71B0D" w:rsidRPr="00D9348B" w14:paraId="26E392D5" w14:textId="77777777" w:rsidTr="000072D8">
        <w:tc>
          <w:tcPr>
            <w:tcW w:w="2764" w:type="dxa"/>
            <w:vMerge/>
            <w:tcBorders>
              <w:top w:val="nil"/>
              <w:bottom w:val="single" w:sz="4" w:space="0" w:color="365F91"/>
            </w:tcBorders>
            <w:shd w:val="clear" w:color="auto" w:fill="365F91"/>
            <w:vAlign w:val="bottom"/>
          </w:tcPr>
          <w:p w14:paraId="303431A8" w14:textId="77777777" w:rsidR="00A71B0D" w:rsidRPr="00D9348B" w:rsidRDefault="00A71B0D" w:rsidP="00FB63D8">
            <w:pPr>
              <w:pStyle w:val="TableTextBold"/>
              <w:spacing w:before="40" w:after="40"/>
              <w:rPr>
                <w:rFonts w:ascii="Arial" w:hAnsi="Arial"/>
                <w:noProof w:val="0"/>
                <w:color w:val="FFFFFF"/>
              </w:rPr>
            </w:pPr>
          </w:p>
        </w:tc>
        <w:tc>
          <w:tcPr>
            <w:tcW w:w="1454" w:type="dxa"/>
            <w:tcBorders>
              <w:top w:val="nil"/>
              <w:bottom w:val="single" w:sz="4" w:space="0" w:color="365F91"/>
            </w:tcBorders>
            <w:shd w:val="clear" w:color="auto" w:fill="365F91"/>
            <w:vAlign w:val="bottom"/>
          </w:tcPr>
          <w:p w14:paraId="5D61CFD3" w14:textId="77777777" w:rsidR="00A71B0D" w:rsidRPr="00D9348B" w:rsidRDefault="00A71B0D" w:rsidP="00FB63D8">
            <w:pPr>
              <w:pStyle w:val="TableTextBold"/>
              <w:spacing w:before="40" w:after="40"/>
              <w:jc w:val="center"/>
              <w:rPr>
                <w:noProof w:val="0"/>
                <w:color w:val="FFFFFF"/>
              </w:rPr>
            </w:pPr>
            <w:r w:rsidRPr="00D9348B">
              <w:rPr>
                <w:noProof w:val="0"/>
                <w:color w:val="FFFFFF"/>
              </w:rPr>
              <w:t>1990</w:t>
            </w:r>
          </w:p>
        </w:tc>
        <w:tc>
          <w:tcPr>
            <w:tcW w:w="1309" w:type="dxa"/>
            <w:tcBorders>
              <w:top w:val="nil"/>
              <w:bottom w:val="single" w:sz="4" w:space="0" w:color="365F91"/>
            </w:tcBorders>
            <w:shd w:val="clear" w:color="auto" w:fill="365F91"/>
            <w:vAlign w:val="bottom"/>
          </w:tcPr>
          <w:p w14:paraId="0C6EAAAC" w14:textId="77777777" w:rsidR="00A71B0D" w:rsidRPr="00D9348B" w:rsidRDefault="00A71B0D" w:rsidP="00FB63D8">
            <w:pPr>
              <w:pStyle w:val="TableTextBold"/>
              <w:spacing w:before="40" w:after="40"/>
              <w:jc w:val="center"/>
              <w:rPr>
                <w:noProof w:val="0"/>
                <w:color w:val="FFFFFF"/>
              </w:rPr>
            </w:pPr>
            <w:r w:rsidRPr="00D9348B">
              <w:rPr>
                <w:noProof w:val="0"/>
                <w:color w:val="FFFFFF"/>
              </w:rPr>
              <w:t>2018</w:t>
            </w:r>
          </w:p>
        </w:tc>
        <w:tc>
          <w:tcPr>
            <w:tcW w:w="1599" w:type="dxa"/>
            <w:vMerge/>
            <w:tcBorders>
              <w:top w:val="nil"/>
              <w:bottom w:val="single" w:sz="4" w:space="0" w:color="365F91"/>
            </w:tcBorders>
            <w:shd w:val="clear" w:color="auto" w:fill="365F91"/>
            <w:vAlign w:val="bottom"/>
          </w:tcPr>
          <w:p w14:paraId="0C9633DF" w14:textId="77777777" w:rsidR="00A71B0D" w:rsidRPr="00D9348B" w:rsidRDefault="00A71B0D" w:rsidP="00FB63D8">
            <w:pPr>
              <w:pStyle w:val="TableTextBold"/>
              <w:spacing w:before="40" w:after="40"/>
              <w:jc w:val="center"/>
              <w:rPr>
                <w:rFonts w:ascii="Arial" w:hAnsi="Arial"/>
                <w:noProof w:val="0"/>
                <w:color w:val="FFFFFF"/>
              </w:rPr>
            </w:pPr>
          </w:p>
        </w:tc>
        <w:tc>
          <w:tcPr>
            <w:tcW w:w="1379" w:type="dxa"/>
            <w:vMerge/>
            <w:tcBorders>
              <w:top w:val="nil"/>
              <w:bottom w:val="single" w:sz="4" w:space="0" w:color="365F91"/>
            </w:tcBorders>
            <w:shd w:val="clear" w:color="auto" w:fill="365F91"/>
            <w:vAlign w:val="bottom"/>
          </w:tcPr>
          <w:p w14:paraId="7950AC01" w14:textId="77777777" w:rsidR="00A71B0D" w:rsidRPr="00D9348B" w:rsidRDefault="00A71B0D" w:rsidP="00FB63D8">
            <w:pPr>
              <w:pStyle w:val="TableTextBold"/>
              <w:spacing w:before="40" w:after="40"/>
              <w:jc w:val="center"/>
              <w:rPr>
                <w:rFonts w:ascii="Arial" w:hAnsi="Arial"/>
                <w:noProof w:val="0"/>
                <w:color w:val="FFFFFF"/>
              </w:rPr>
            </w:pPr>
          </w:p>
        </w:tc>
      </w:tr>
      <w:tr w:rsidR="00A71B0D" w:rsidRPr="00D9348B" w14:paraId="3EDF1A9E" w14:textId="77777777" w:rsidTr="000072D8">
        <w:tc>
          <w:tcPr>
            <w:tcW w:w="2764" w:type="dxa"/>
            <w:tcBorders>
              <w:top w:val="single" w:sz="4" w:space="0" w:color="365F91"/>
            </w:tcBorders>
            <w:shd w:val="clear" w:color="auto" w:fill="auto"/>
          </w:tcPr>
          <w:p w14:paraId="0384C196" w14:textId="77777777" w:rsidR="00A71B0D" w:rsidRPr="00D9348B" w:rsidRDefault="00A71B0D" w:rsidP="00FB63D8">
            <w:pPr>
              <w:pStyle w:val="TableText"/>
              <w:spacing w:before="40" w:after="40"/>
            </w:pPr>
            <w:r w:rsidRPr="00D9348B">
              <w:t xml:space="preserve">CO2 </w:t>
            </w:r>
          </w:p>
        </w:tc>
        <w:tc>
          <w:tcPr>
            <w:tcW w:w="1454" w:type="dxa"/>
            <w:tcBorders>
              <w:top w:val="single" w:sz="4" w:space="0" w:color="365F91"/>
            </w:tcBorders>
            <w:shd w:val="clear" w:color="auto" w:fill="auto"/>
            <w:vAlign w:val="bottom"/>
          </w:tcPr>
          <w:p w14:paraId="1703408E" w14:textId="77777777" w:rsidR="00A71B0D" w:rsidRPr="00D9348B" w:rsidRDefault="00A71B0D" w:rsidP="00FB63D8">
            <w:pPr>
              <w:pStyle w:val="TableText"/>
              <w:spacing w:before="40" w:after="40"/>
              <w:jc w:val="center"/>
            </w:pPr>
            <w:r w:rsidRPr="00D9348B">
              <w:t>1.30</w:t>
            </w:r>
          </w:p>
        </w:tc>
        <w:tc>
          <w:tcPr>
            <w:tcW w:w="1309" w:type="dxa"/>
            <w:tcBorders>
              <w:top w:val="single" w:sz="4" w:space="0" w:color="365F91"/>
            </w:tcBorders>
            <w:shd w:val="clear" w:color="auto" w:fill="auto"/>
            <w:vAlign w:val="bottom"/>
          </w:tcPr>
          <w:p w14:paraId="72D04FBD" w14:textId="77777777" w:rsidR="00A71B0D" w:rsidRPr="00D9348B" w:rsidRDefault="00A71B0D" w:rsidP="00FB63D8">
            <w:pPr>
              <w:pStyle w:val="TableText"/>
              <w:spacing w:before="40" w:after="40"/>
              <w:jc w:val="center"/>
            </w:pPr>
            <w:r w:rsidRPr="00D9348B">
              <w:t>1.87</w:t>
            </w:r>
          </w:p>
        </w:tc>
        <w:tc>
          <w:tcPr>
            <w:tcW w:w="1599" w:type="dxa"/>
            <w:tcBorders>
              <w:top w:val="single" w:sz="4" w:space="0" w:color="365F91"/>
            </w:tcBorders>
            <w:shd w:val="clear" w:color="auto" w:fill="auto"/>
            <w:vAlign w:val="bottom"/>
          </w:tcPr>
          <w:p w14:paraId="3C9002CA" w14:textId="77777777" w:rsidR="00A71B0D" w:rsidRPr="00D9348B" w:rsidRDefault="00A71B0D" w:rsidP="00FB63D8">
            <w:pPr>
              <w:pStyle w:val="TableText"/>
              <w:spacing w:before="40" w:after="40"/>
              <w:jc w:val="center"/>
            </w:pPr>
            <w:r w:rsidRPr="00D9348B">
              <w:t>0.57</w:t>
            </w:r>
          </w:p>
        </w:tc>
        <w:tc>
          <w:tcPr>
            <w:tcW w:w="1379" w:type="dxa"/>
            <w:tcBorders>
              <w:top w:val="single" w:sz="4" w:space="0" w:color="365F91"/>
            </w:tcBorders>
            <w:shd w:val="clear" w:color="auto" w:fill="auto"/>
            <w:vAlign w:val="bottom"/>
          </w:tcPr>
          <w:p w14:paraId="7BC7E668" w14:textId="77777777" w:rsidR="00A71B0D" w:rsidRPr="00D9348B" w:rsidRDefault="00A71B0D" w:rsidP="00FB63D8">
            <w:pPr>
              <w:pStyle w:val="TableText"/>
              <w:spacing w:before="40" w:after="40"/>
              <w:jc w:val="center"/>
            </w:pPr>
            <w:r w:rsidRPr="00D9348B">
              <w:t>44.2</w:t>
            </w:r>
          </w:p>
        </w:tc>
      </w:tr>
      <w:tr w:rsidR="00A71B0D" w:rsidRPr="00D9348B" w14:paraId="1670FE5D" w14:textId="77777777" w:rsidTr="000072D8">
        <w:tc>
          <w:tcPr>
            <w:tcW w:w="2764" w:type="dxa"/>
            <w:shd w:val="clear" w:color="auto" w:fill="auto"/>
          </w:tcPr>
          <w:p w14:paraId="100CFC8A" w14:textId="77777777" w:rsidR="00A71B0D" w:rsidRPr="00D9348B" w:rsidRDefault="00A71B0D" w:rsidP="00FB63D8">
            <w:pPr>
              <w:pStyle w:val="TableText"/>
              <w:spacing w:before="40" w:after="40"/>
            </w:pPr>
            <w:r w:rsidRPr="00D9348B">
              <w:t xml:space="preserve">CH4 </w:t>
            </w:r>
          </w:p>
        </w:tc>
        <w:tc>
          <w:tcPr>
            <w:tcW w:w="1454" w:type="dxa"/>
            <w:shd w:val="clear" w:color="auto" w:fill="auto"/>
            <w:vAlign w:val="bottom"/>
          </w:tcPr>
          <w:p w14:paraId="5D40E524" w14:textId="77777777" w:rsidR="00A71B0D" w:rsidRPr="00D9348B" w:rsidRDefault="00A71B0D" w:rsidP="00FB63D8">
            <w:pPr>
              <w:pStyle w:val="TableText"/>
              <w:spacing w:before="40" w:after="40"/>
              <w:jc w:val="center"/>
            </w:pPr>
            <w:r w:rsidRPr="00D9348B">
              <w:t>1.78</w:t>
            </w:r>
          </w:p>
        </w:tc>
        <w:tc>
          <w:tcPr>
            <w:tcW w:w="1309" w:type="dxa"/>
            <w:shd w:val="clear" w:color="auto" w:fill="auto"/>
            <w:vAlign w:val="bottom"/>
          </w:tcPr>
          <w:p w14:paraId="1DA379F6" w14:textId="77777777" w:rsidR="00A71B0D" w:rsidRPr="00D9348B" w:rsidRDefault="00A71B0D" w:rsidP="00FB63D8">
            <w:pPr>
              <w:pStyle w:val="TableText"/>
              <w:spacing w:before="40" w:after="40"/>
              <w:jc w:val="center"/>
            </w:pPr>
            <w:r w:rsidRPr="00D9348B">
              <w:t>1.47</w:t>
            </w:r>
          </w:p>
        </w:tc>
        <w:tc>
          <w:tcPr>
            <w:tcW w:w="1599" w:type="dxa"/>
            <w:shd w:val="clear" w:color="auto" w:fill="auto"/>
            <w:vAlign w:val="bottom"/>
          </w:tcPr>
          <w:p w14:paraId="238A8AB7" w14:textId="77777777" w:rsidR="00A71B0D" w:rsidRPr="00D9348B" w:rsidRDefault="00A71B0D" w:rsidP="00FB63D8">
            <w:pPr>
              <w:pStyle w:val="TableText"/>
              <w:spacing w:before="40" w:after="40"/>
              <w:jc w:val="center"/>
            </w:pPr>
            <w:r w:rsidRPr="00D9348B">
              <w:t>–0.31</w:t>
            </w:r>
          </w:p>
        </w:tc>
        <w:tc>
          <w:tcPr>
            <w:tcW w:w="1379" w:type="dxa"/>
            <w:shd w:val="clear" w:color="auto" w:fill="auto"/>
            <w:vAlign w:val="bottom"/>
          </w:tcPr>
          <w:p w14:paraId="14F858BD" w14:textId="77777777" w:rsidR="00A71B0D" w:rsidRPr="00D9348B" w:rsidRDefault="00A71B0D" w:rsidP="00FB63D8">
            <w:pPr>
              <w:pStyle w:val="TableText"/>
              <w:spacing w:before="40" w:after="40"/>
              <w:jc w:val="center"/>
            </w:pPr>
            <w:r w:rsidRPr="00D9348B">
              <w:t>–17.5</w:t>
            </w:r>
          </w:p>
        </w:tc>
      </w:tr>
      <w:tr w:rsidR="00A71B0D" w:rsidRPr="00D9348B" w14:paraId="770BF404" w14:textId="77777777" w:rsidTr="000072D8">
        <w:tc>
          <w:tcPr>
            <w:tcW w:w="2764" w:type="dxa"/>
            <w:shd w:val="clear" w:color="auto" w:fill="auto"/>
          </w:tcPr>
          <w:p w14:paraId="07DAF601" w14:textId="77777777" w:rsidR="00A71B0D" w:rsidRPr="00D9348B" w:rsidRDefault="00A71B0D" w:rsidP="00FB63D8">
            <w:pPr>
              <w:pStyle w:val="TableText"/>
              <w:spacing w:before="40" w:after="40"/>
            </w:pPr>
            <w:r w:rsidRPr="00D9348B">
              <w:t xml:space="preserve">N2O </w:t>
            </w:r>
          </w:p>
        </w:tc>
        <w:tc>
          <w:tcPr>
            <w:tcW w:w="1454" w:type="dxa"/>
            <w:shd w:val="clear" w:color="auto" w:fill="auto"/>
            <w:vAlign w:val="bottom"/>
          </w:tcPr>
          <w:p w14:paraId="761C2B06" w14:textId="77777777" w:rsidR="00A71B0D" w:rsidRPr="00D9348B" w:rsidRDefault="00A71B0D" w:rsidP="00FB63D8">
            <w:pPr>
              <w:pStyle w:val="TableText"/>
              <w:spacing w:before="40" w:after="40"/>
              <w:jc w:val="center"/>
            </w:pPr>
            <w:r w:rsidRPr="00D9348B">
              <w:t>0.09</w:t>
            </w:r>
          </w:p>
        </w:tc>
        <w:tc>
          <w:tcPr>
            <w:tcW w:w="1309" w:type="dxa"/>
            <w:shd w:val="clear" w:color="auto" w:fill="auto"/>
            <w:vAlign w:val="bottom"/>
          </w:tcPr>
          <w:p w14:paraId="31AB7AE5" w14:textId="77777777" w:rsidR="00A71B0D" w:rsidRPr="00D9348B" w:rsidRDefault="00A71B0D" w:rsidP="00FB63D8">
            <w:pPr>
              <w:pStyle w:val="TableText"/>
              <w:spacing w:before="40" w:after="40"/>
              <w:jc w:val="center"/>
            </w:pPr>
            <w:r w:rsidRPr="00D9348B">
              <w:t>0.04</w:t>
            </w:r>
          </w:p>
        </w:tc>
        <w:tc>
          <w:tcPr>
            <w:tcW w:w="1599" w:type="dxa"/>
            <w:shd w:val="clear" w:color="auto" w:fill="auto"/>
            <w:vAlign w:val="bottom"/>
          </w:tcPr>
          <w:p w14:paraId="1A966475" w14:textId="77777777" w:rsidR="00A71B0D" w:rsidRPr="00D9348B" w:rsidRDefault="00A71B0D" w:rsidP="00FB63D8">
            <w:pPr>
              <w:pStyle w:val="TableText"/>
              <w:spacing w:before="40" w:after="40"/>
              <w:jc w:val="center"/>
            </w:pPr>
            <w:r w:rsidRPr="00D9348B">
              <w:t>–0.05</w:t>
            </w:r>
          </w:p>
        </w:tc>
        <w:tc>
          <w:tcPr>
            <w:tcW w:w="1379" w:type="dxa"/>
            <w:shd w:val="clear" w:color="auto" w:fill="auto"/>
            <w:vAlign w:val="bottom"/>
          </w:tcPr>
          <w:p w14:paraId="16989800" w14:textId="31E41DDF" w:rsidR="00A71B0D" w:rsidRPr="00D9348B" w:rsidRDefault="00A71B0D" w:rsidP="00FB63D8">
            <w:pPr>
              <w:pStyle w:val="TableText"/>
              <w:spacing w:before="40" w:after="40"/>
              <w:jc w:val="center"/>
            </w:pPr>
            <w:r w:rsidRPr="00D9348B">
              <w:t>–53.</w:t>
            </w:r>
            <w:r w:rsidR="00833D4F">
              <w:t>5</w:t>
            </w:r>
          </w:p>
        </w:tc>
      </w:tr>
      <w:tr w:rsidR="00A71B0D" w:rsidRPr="00D9348B" w14:paraId="58EFB8C4" w14:textId="77777777" w:rsidTr="000072D8">
        <w:tc>
          <w:tcPr>
            <w:tcW w:w="2764" w:type="dxa"/>
            <w:shd w:val="clear" w:color="auto" w:fill="auto"/>
          </w:tcPr>
          <w:p w14:paraId="209D2A40" w14:textId="77777777" w:rsidR="00A71B0D" w:rsidRPr="00D9348B" w:rsidRDefault="00A71B0D" w:rsidP="00FB63D8">
            <w:pPr>
              <w:pStyle w:val="TableText"/>
              <w:spacing w:before="40" w:after="40"/>
            </w:pPr>
            <w:r w:rsidRPr="00D9348B">
              <w:t>HFCs</w:t>
            </w:r>
          </w:p>
        </w:tc>
        <w:tc>
          <w:tcPr>
            <w:tcW w:w="1454" w:type="dxa"/>
            <w:shd w:val="clear" w:color="auto" w:fill="auto"/>
            <w:vAlign w:val="bottom"/>
          </w:tcPr>
          <w:p w14:paraId="486AA933" w14:textId="77777777" w:rsidR="00A71B0D" w:rsidRPr="00D9348B" w:rsidRDefault="00A71B0D" w:rsidP="00FB63D8">
            <w:pPr>
              <w:pStyle w:val="TableText"/>
              <w:spacing w:before="40" w:after="40"/>
              <w:jc w:val="center"/>
            </w:pPr>
            <w:r w:rsidRPr="00D9348B">
              <w:t>NO</w:t>
            </w:r>
          </w:p>
        </w:tc>
        <w:tc>
          <w:tcPr>
            <w:tcW w:w="1309" w:type="dxa"/>
            <w:shd w:val="clear" w:color="auto" w:fill="auto"/>
            <w:vAlign w:val="bottom"/>
          </w:tcPr>
          <w:p w14:paraId="3EE9DC19" w14:textId="77777777" w:rsidR="00A71B0D" w:rsidRPr="00D9348B" w:rsidRDefault="00A71B0D" w:rsidP="00FB63D8">
            <w:pPr>
              <w:pStyle w:val="TableText"/>
              <w:spacing w:before="40" w:after="40"/>
              <w:jc w:val="center"/>
            </w:pPr>
            <w:r w:rsidRPr="00D9348B">
              <w:t>0.23</w:t>
            </w:r>
          </w:p>
        </w:tc>
        <w:tc>
          <w:tcPr>
            <w:tcW w:w="1599" w:type="dxa"/>
            <w:shd w:val="clear" w:color="auto" w:fill="auto"/>
            <w:vAlign w:val="bottom"/>
          </w:tcPr>
          <w:p w14:paraId="2CAD8B5E" w14:textId="77777777" w:rsidR="00A71B0D" w:rsidRPr="00D9348B" w:rsidRDefault="00A71B0D" w:rsidP="00FB63D8">
            <w:pPr>
              <w:pStyle w:val="TableText"/>
              <w:spacing w:before="40" w:after="40"/>
              <w:jc w:val="center"/>
            </w:pPr>
            <w:r w:rsidRPr="00D9348B">
              <w:t>0.23</w:t>
            </w:r>
          </w:p>
        </w:tc>
        <w:tc>
          <w:tcPr>
            <w:tcW w:w="1379" w:type="dxa"/>
            <w:shd w:val="clear" w:color="auto" w:fill="auto"/>
            <w:vAlign w:val="center"/>
          </w:tcPr>
          <w:p w14:paraId="18C85849" w14:textId="77777777" w:rsidR="00A71B0D" w:rsidRPr="00D9348B" w:rsidRDefault="00A71B0D" w:rsidP="00FB63D8">
            <w:pPr>
              <w:pStyle w:val="TableText"/>
              <w:spacing w:before="40" w:after="40"/>
              <w:jc w:val="center"/>
            </w:pPr>
            <w:r w:rsidRPr="00D9348B">
              <w:t>NA</w:t>
            </w:r>
          </w:p>
        </w:tc>
      </w:tr>
      <w:tr w:rsidR="00A71B0D" w:rsidRPr="00D9348B" w14:paraId="6BDFFFBC" w14:textId="77777777" w:rsidTr="000072D8">
        <w:tc>
          <w:tcPr>
            <w:tcW w:w="2764" w:type="dxa"/>
            <w:shd w:val="clear" w:color="auto" w:fill="auto"/>
          </w:tcPr>
          <w:p w14:paraId="7F9025A5" w14:textId="77777777" w:rsidR="00A71B0D" w:rsidRPr="00D9348B" w:rsidRDefault="00A71B0D" w:rsidP="00FB63D8">
            <w:pPr>
              <w:pStyle w:val="TableText"/>
              <w:spacing w:before="40" w:after="40"/>
            </w:pPr>
            <w:r w:rsidRPr="00D9348B">
              <w:t>PFCs</w:t>
            </w:r>
          </w:p>
        </w:tc>
        <w:tc>
          <w:tcPr>
            <w:tcW w:w="1454" w:type="dxa"/>
            <w:shd w:val="clear" w:color="auto" w:fill="auto"/>
            <w:vAlign w:val="bottom"/>
          </w:tcPr>
          <w:p w14:paraId="5801211A" w14:textId="77777777" w:rsidR="00A71B0D" w:rsidRPr="00D9348B" w:rsidRDefault="00A71B0D" w:rsidP="00FB63D8">
            <w:pPr>
              <w:pStyle w:val="TableText"/>
              <w:spacing w:before="40" w:after="40"/>
              <w:jc w:val="center"/>
            </w:pPr>
            <w:r w:rsidRPr="00D9348B">
              <w:t>NO</w:t>
            </w:r>
          </w:p>
        </w:tc>
        <w:tc>
          <w:tcPr>
            <w:tcW w:w="1309" w:type="dxa"/>
            <w:shd w:val="clear" w:color="auto" w:fill="auto"/>
            <w:vAlign w:val="bottom"/>
          </w:tcPr>
          <w:p w14:paraId="3E5FCD85" w14:textId="77777777" w:rsidR="00A71B0D" w:rsidRPr="00D9348B" w:rsidRDefault="00A71B0D" w:rsidP="00FB63D8">
            <w:pPr>
              <w:pStyle w:val="TableText"/>
              <w:spacing w:before="40" w:after="40"/>
              <w:jc w:val="center"/>
            </w:pPr>
            <w:r w:rsidRPr="00D9348B">
              <w:t>NO</w:t>
            </w:r>
          </w:p>
        </w:tc>
        <w:tc>
          <w:tcPr>
            <w:tcW w:w="1599" w:type="dxa"/>
            <w:shd w:val="clear" w:color="auto" w:fill="auto"/>
            <w:vAlign w:val="center"/>
          </w:tcPr>
          <w:p w14:paraId="7C5C3071" w14:textId="77777777" w:rsidR="00A71B0D" w:rsidRPr="00D9348B" w:rsidRDefault="00A71B0D" w:rsidP="00FB63D8">
            <w:pPr>
              <w:pStyle w:val="TableText"/>
              <w:spacing w:before="40" w:after="40"/>
              <w:jc w:val="center"/>
            </w:pPr>
            <w:r w:rsidRPr="00D9348B">
              <w:t>NA</w:t>
            </w:r>
          </w:p>
        </w:tc>
        <w:tc>
          <w:tcPr>
            <w:tcW w:w="1379" w:type="dxa"/>
            <w:shd w:val="clear" w:color="auto" w:fill="auto"/>
            <w:vAlign w:val="center"/>
          </w:tcPr>
          <w:p w14:paraId="77BB6A0A" w14:textId="77777777" w:rsidR="00A71B0D" w:rsidRPr="00D9348B" w:rsidRDefault="00A71B0D" w:rsidP="00FB63D8">
            <w:pPr>
              <w:pStyle w:val="TableText"/>
              <w:spacing w:before="40" w:after="40"/>
              <w:jc w:val="center"/>
            </w:pPr>
            <w:r w:rsidRPr="00D9348B">
              <w:t>NA</w:t>
            </w:r>
          </w:p>
        </w:tc>
      </w:tr>
      <w:tr w:rsidR="00A71B0D" w:rsidRPr="00D9348B" w14:paraId="0B212C19" w14:textId="77777777" w:rsidTr="000072D8">
        <w:tc>
          <w:tcPr>
            <w:tcW w:w="2764" w:type="dxa"/>
            <w:shd w:val="clear" w:color="auto" w:fill="auto"/>
          </w:tcPr>
          <w:p w14:paraId="0B62C41D" w14:textId="77777777" w:rsidR="00A71B0D" w:rsidRPr="00D9348B" w:rsidRDefault="00A71B0D" w:rsidP="00FB63D8">
            <w:pPr>
              <w:pStyle w:val="TableText"/>
              <w:spacing w:before="40" w:after="40"/>
            </w:pPr>
            <w:r w:rsidRPr="00D9348B">
              <w:t>SF6</w:t>
            </w:r>
          </w:p>
        </w:tc>
        <w:tc>
          <w:tcPr>
            <w:tcW w:w="1454" w:type="dxa"/>
            <w:shd w:val="clear" w:color="auto" w:fill="auto"/>
            <w:vAlign w:val="bottom"/>
          </w:tcPr>
          <w:p w14:paraId="670A46E7" w14:textId="77777777" w:rsidR="00A71B0D" w:rsidRPr="00D9348B" w:rsidRDefault="00A71B0D" w:rsidP="00FB63D8">
            <w:pPr>
              <w:pStyle w:val="TableText"/>
              <w:spacing w:before="40" w:after="40"/>
              <w:jc w:val="center"/>
            </w:pPr>
            <w:r w:rsidRPr="00D9348B">
              <w:t>NO</w:t>
            </w:r>
          </w:p>
        </w:tc>
        <w:tc>
          <w:tcPr>
            <w:tcW w:w="1309" w:type="dxa"/>
            <w:shd w:val="clear" w:color="auto" w:fill="auto"/>
            <w:vAlign w:val="bottom"/>
          </w:tcPr>
          <w:p w14:paraId="104EF8DE" w14:textId="77777777" w:rsidR="00A71B0D" w:rsidRPr="00D9348B" w:rsidRDefault="00A71B0D" w:rsidP="00FB63D8">
            <w:pPr>
              <w:pStyle w:val="TableText"/>
              <w:spacing w:before="40" w:after="40"/>
              <w:jc w:val="center"/>
            </w:pPr>
            <w:r w:rsidRPr="00D9348B">
              <w:t>NO</w:t>
            </w:r>
          </w:p>
        </w:tc>
        <w:tc>
          <w:tcPr>
            <w:tcW w:w="1599" w:type="dxa"/>
            <w:shd w:val="clear" w:color="auto" w:fill="auto"/>
            <w:vAlign w:val="center"/>
          </w:tcPr>
          <w:p w14:paraId="40AE142C" w14:textId="77777777" w:rsidR="00A71B0D" w:rsidRPr="00D9348B" w:rsidRDefault="00A71B0D" w:rsidP="00FB63D8">
            <w:pPr>
              <w:pStyle w:val="TableText"/>
              <w:spacing w:before="40" w:after="40"/>
              <w:jc w:val="center"/>
            </w:pPr>
            <w:r w:rsidRPr="00D9348B">
              <w:t>NA</w:t>
            </w:r>
          </w:p>
        </w:tc>
        <w:tc>
          <w:tcPr>
            <w:tcW w:w="1379" w:type="dxa"/>
            <w:shd w:val="clear" w:color="auto" w:fill="auto"/>
            <w:vAlign w:val="center"/>
          </w:tcPr>
          <w:p w14:paraId="7148A650" w14:textId="77777777" w:rsidR="00A71B0D" w:rsidRPr="00D9348B" w:rsidRDefault="00A71B0D" w:rsidP="00FB63D8">
            <w:pPr>
              <w:pStyle w:val="TableText"/>
              <w:spacing w:before="40" w:after="40"/>
              <w:jc w:val="center"/>
            </w:pPr>
            <w:r w:rsidRPr="00D9348B">
              <w:t>NA</w:t>
            </w:r>
          </w:p>
        </w:tc>
      </w:tr>
      <w:tr w:rsidR="00A71B0D" w:rsidRPr="00D9348B" w14:paraId="4E830E6E" w14:textId="77777777" w:rsidTr="000072D8">
        <w:tc>
          <w:tcPr>
            <w:tcW w:w="2764" w:type="dxa"/>
            <w:shd w:val="clear" w:color="auto" w:fill="auto"/>
          </w:tcPr>
          <w:p w14:paraId="12A57741" w14:textId="77777777" w:rsidR="00A71B0D" w:rsidRPr="00D9348B" w:rsidRDefault="00A71B0D" w:rsidP="00FB63D8">
            <w:pPr>
              <w:pStyle w:val="TableText"/>
              <w:spacing w:before="40" w:after="40"/>
            </w:pPr>
            <w:r w:rsidRPr="00D9348B">
              <w:t>NF3</w:t>
            </w:r>
          </w:p>
        </w:tc>
        <w:tc>
          <w:tcPr>
            <w:tcW w:w="1454" w:type="dxa"/>
            <w:shd w:val="clear" w:color="auto" w:fill="auto"/>
            <w:vAlign w:val="bottom"/>
          </w:tcPr>
          <w:p w14:paraId="70DCA69E" w14:textId="77777777" w:rsidR="00A71B0D" w:rsidRPr="00D9348B" w:rsidRDefault="00A71B0D" w:rsidP="00FB63D8">
            <w:pPr>
              <w:pStyle w:val="TableText"/>
              <w:spacing w:before="40" w:after="40"/>
              <w:jc w:val="center"/>
            </w:pPr>
            <w:r w:rsidRPr="00D9348B">
              <w:t>NO</w:t>
            </w:r>
          </w:p>
        </w:tc>
        <w:tc>
          <w:tcPr>
            <w:tcW w:w="1309" w:type="dxa"/>
            <w:shd w:val="clear" w:color="auto" w:fill="auto"/>
            <w:vAlign w:val="bottom"/>
          </w:tcPr>
          <w:p w14:paraId="5BF0E977" w14:textId="77777777" w:rsidR="00A71B0D" w:rsidRPr="00D9348B" w:rsidRDefault="00A71B0D" w:rsidP="00FB63D8">
            <w:pPr>
              <w:pStyle w:val="TableText"/>
              <w:spacing w:before="40" w:after="40"/>
              <w:jc w:val="center"/>
            </w:pPr>
            <w:r w:rsidRPr="00D9348B">
              <w:t>NO</w:t>
            </w:r>
          </w:p>
        </w:tc>
        <w:tc>
          <w:tcPr>
            <w:tcW w:w="1599" w:type="dxa"/>
            <w:shd w:val="clear" w:color="auto" w:fill="auto"/>
            <w:vAlign w:val="center"/>
          </w:tcPr>
          <w:p w14:paraId="443973FD" w14:textId="77777777" w:rsidR="00A71B0D" w:rsidRPr="00D9348B" w:rsidRDefault="00A71B0D" w:rsidP="00FB63D8">
            <w:pPr>
              <w:pStyle w:val="TableText"/>
              <w:spacing w:before="40" w:after="40"/>
              <w:jc w:val="center"/>
            </w:pPr>
            <w:r w:rsidRPr="00D9348B">
              <w:t>NA</w:t>
            </w:r>
          </w:p>
        </w:tc>
        <w:tc>
          <w:tcPr>
            <w:tcW w:w="1379" w:type="dxa"/>
            <w:shd w:val="clear" w:color="auto" w:fill="auto"/>
            <w:vAlign w:val="center"/>
          </w:tcPr>
          <w:p w14:paraId="6B23911E" w14:textId="77777777" w:rsidR="00A71B0D" w:rsidRPr="00D9348B" w:rsidRDefault="00A71B0D" w:rsidP="00FB63D8">
            <w:pPr>
              <w:pStyle w:val="TableText"/>
              <w:spacing w:before="40" w:after="40"/>
              <w:jc w:val="center"/>
            </w:pPr>
            <w:r w:rsidRPr="00D9348B">
              <w:t>NA</w:t>
            </w:r>
          </w:p>
        </w:tc>
      </w:tr>
      <w:tr w:rsidR="00A71B0D" w:rsidRPr="00D9348B" w14:paraId="70467C86" w14:textId="77777777" w:rsidTr="000072D8">
        <w:tc>
          <w:tcPr>
            <w:tcW w:w="2764" w:type="dxa"/>
            <w:shd w:val="clear" w:color="auto" w:fill="auto"/>
          </w:tcPr>
          <w:p w14:paraId="14CD6668" w14:textId="77777777" w:rsidR="00A71B0D" w:rsidRPr="00D9348B" w:rsidRDefault="00A71B0D" w:rsidP="00FB63D8">
            <w:pPr>
              <w:pStyle w:val="TableTextBold"/>
              <w:spacing w:before="40" w:after="40"/>
              <w:rPr>
                <w:noProof w:val="0"/>
              </w:rPr>
            </w:pPr>
            <w:r w:rsidRPr="00D9348B">
              <w:rPr>
                <w:noProof w:val="0"/>
              </w:rPr>
              <w:t>Gross, all gases</w:t>
            </w:r>
          </w:p>
        </w:tc>
        <w:tc>
          <w:tcPr>
            <w:tcW w:w="1454" w:type="dxa"/>
            <w:shd w:val="clear" w:color="auto" w:fill="auto"/>
            <w:vAlign w:val="center"/>
          </w:tcPr>
          <w:p w14:paraId="26DE7275" w14:textId="77777777" w:rsidR="00A71B0D" w:rsidRPr="00D9348B" w:rsidRDefault="00A71B0D" w:rsidP="00FB63D8">
            <w:pPr>
              <w:pStyle w:val="TableTextBold"/>
              <w:spacing w:before="40" w:after="40"/>
              <w:jc w:val="center"/>
              <w:rPr>
                <w:noProof w:val="0"/>
              </w:rPr>
            </w:pPr>
            <w:r w:rsidRPr="00D9348B">
              <w:rPr>
                <w:noProof w:val="0"/>
              </w:rPr>
              <w:t>3.17</w:t>
            </w:r>
          </w:p>
        </w:tc>
        <w:tc>
          <w:tcPr>
            <w:tcW w:w="1309" w:type="dxa"/>
            <w:shd w:val="clear" w:color="auto" w:fill="auto"/>
            <w:vAlign w:val="center"/>
          </w:tcPr>
          <w:p w14:paraId="3ED9C1B4" w14:textId="77777777" w:rsidR="00A71B0D" w:rsidRPr="00D9348B" w:rsidRDefault="00A71B0D" w:rsidP="00FB63D8">
            <w:pPr>
              <w:pStyle w:val="TableTextBold"/>
              <w:spacing w:before="40" w:after="40"/>
              <w:jc w:val="center"/>
              <w:rPr>
                <w:noProof w:val="0"/>
              </w:rPr>
            </w:pPr>
            <w:r w:rsidRPr="00D9348B">
              <w:rPr>
                <w:noProof w:val="0"/>
              </w:rPr>
              <w:t>3.62</w:t>
            </w:r>
          </w:p>
        </w:tc>
        <w:tc>
          <w:tcPr>
            <w:tcW w:w="1599" w:type="dxa"/>
            <w:shd w:val="clear" w:color="auto" w:fill="auto"/>
            <w:vAlign w:val="center"/>
          </w:tcPr>
          <w:p w14:paraId="42E8F001" w14:textId="77777777" w:rsidR="00A71B0D" w:rsidRPr="00D9348B" w:rsidRDefault="00A71B0D" w:rsidP="00FB63D8">
            <w:pPr>
              <w:pStyle w:val="TableTextBold"/>
              <w:spacing w:before="40" w:after="40"/>
              <w:jc w:val="center"/>
              <w:rPr>
                <w:noProof w:val="0"/>
              </w:rPr>
            </w:pPr>
            <w:r w:rsidRPr="00D9348B">
              <w:rPr>
                <w:noProof w:val="0"/>
              </w:rPr>
              <w:t>0.45</w:t>
            </w:r>
          </w:p>
        </w:tc>
        <w:tc>
          <w:tcPr>
            <w:tcW w:w="1379" w:type="dxa"/>
            <w:shd w:val="clear" w:color="auto" w:fill="auto"/>
            <w:vAlign w:val="center"/>
          </w:tcPr>
          <w:p w14:paraId="7D4C397D" w14:textId="77777777" w:rsidR="00A71B0D" w:rsidRPr="00D9348B" w:rsidRDefault="00A71B0D" w:rsidP="00FB63D8">
            <w:pPr>
              <w:pStyle w:val="TableTextBold"/>
              <w:spacing w:before="40" w:after="40"/>
              <w:jc w:val="center"/>
              <w:rPr>
                <w:noProof w:val="0"/>
              </w:rPr>
            </w:pPr>
            <w:r w:rsidRPr="00D9348B">
              <w:rPr>
                <w:noProof w:val="0"/>
              </w:rPr>
              <w:t>14.2</w:t>
            </w:r>
          </w:p>
        </w:tc>
      </w:tr>
    </w:tbl>
    <w:p w14:paraId="5B24144B" w14:textId="77777777" w:rsidR="00A71B0D" w:rsidRPr="00D9348B" w:rsidRDefault="00A71B0D" w:rsidP="00A71B0D">
      <w:pPr>
        <w:pStyle w:val="Noteundertable"/>
      </w:pPr>
      <w:r w:rsidRPr="00D9348B">
        <w:rPr>
          <w:b/>
        </w:rPr>
        <w:t xml:space="preserve">Note: </w:t>
      </w:r>
      <w:r w:rsidRPr="00D9348B">
        <w:rPr>
          <w:b/>
        </w:rPr>
        <w:tab/>
      </w:r>
      <w:r w:rsidRPr="00D9348B">
        <w:t>Emissions from LULUCF are not estimated for Tokelau.</w:t>
      </w:r>
      <w:r w:rsidRPr="00D9348B">
        <w:rPr>
          <w:b/>
        </w:rPr>
        <w:t xml:space="preserve"> </w:t>
      </w:r>
      <w:r w:rsidRPr="00D9348B">
        <w:t>The percentage change for HFCs is not applicable (NA) because HFC production or use was not occurring (NO) in 1990. Columns may not total due to rounding. Presented percentages are calculated from unrounded values.</w:t>
      </w:r>
    </w:p>
    <w:bookmarkEnd w:id="2969"/>
    <w:p w14:paraId="122B6594" w14:textId="77777777" w:rsidR="00A71B0D" w:rsidRPr="00D9348B" w:rsidRDefault="00A71B0D" w:rsidP="00A71B0D">
      <w:pPr>
        <w:pStyle w:val="BodyText"/>
      </w:pPr>
      <w:r w:rsidRPr="00D9348B">
        <w:t xml:space="preserve">A significant rise, then drop (by approximately 400 per cent and 82.5 per cent, respectively) in consumption of imported petroleum products used for electricity production in Tokelau drove most of the changes in Energy emissions. This is the result of, first, the introduction of 24 hour, 7 days a week availability of electricity to households in 2004. (Before 2004, power was ‘on’ daily between 6 pm and 10 pm only.) Second, in 2012, a solar photovoltaics energy system was installed, once again reducing emissions. Tokelau’s ownership and use of the ferry </w:t>
      </w:r>
      <w:r w:rsidRPr="00D9348B">
        <w:rPr>
          <w:i/>
        </w:rPr>
        <w:t>Mataliki</w:t>
      </w:r>
      <w:r w:rsidRPr="00D9348B">
        <w:t xml:space="preserve"> in 2016 and cargo vessel </w:t>
      </w:r>
      <w:r w:rsidRPr="00D9348B">
        <w:rPr>
          <w:i/>
        </w:rPr>
        <w:t>Kalopaga</w:t>
      </w:r>
      <w:r w:rsidRPr="00D9348B">
        <w:t xml:space="preserve"> in 2018 (as opposed to chartering boats) led to an increasing number of sea voyages between the atolls, which increased transport emissions. Emissions have also increased slightly from IPPU because fridges and freezers have become more common. Emissions from agriculture have decreased slightly as a result of a reduced population of pigs. </w:t>
      </w:r>
    </w:p>
    <w:p w14:paraId="25E49A8F" w14:textId="77777777" w:rsidR="00A71B0D" w:rsidRPr="00D9348B" w:rsidRDefault="00A71B0D" w:rsidP="00A71B0D">
      <w:pPr>
        <w:pStyle w:val="BodyText"/>
      </w:pPr>
      <w:r w:rsidRPr="00D9348B">
        <w:t>Figure 8.1.4 shows emission trends by sector for Tokelau.</w:t>
      </w:r>
    </w:p>
    <w:p w14:paraId="4E0A37D7" w14:textId="77777777" w:rsidR="00A71B0D" w:rsidRPr="00D9348B" w:rsidRDefault="00A71B0D" w:rsidP="00A71B0D">
      <w:pPr>
        <w:pStyle w:val="Figure"/>
        <w:spacing w:after="0"/>
        <w:rPr>
          <w:rFonts w:eastAsia="Calibri"/>
        </w:rPr>
      </w:pPr>
      <w:bookmarkStart w:id="2970" w:name="_Toc36292827"/>
      <w:r w:rsidRPr="00D9348B">
        <w:rPr>
          <w:rFonts w:eastAsia="Calibri"/>
        </w:rPr>
        <w:t xml:space="preserve">Figure 8.1.4 </w:t>
      </w:r>
      <w:r w:rsidRPr="00D9348B">
        <w:rPr>
          <w:rFonts w:eastAsia="Calibri"/>
        </w:rPr>
        <w:tab/>
        <w:t>Emissions by sector for Tokelau (kt CO</w:t>
      </w:r>
      <w:r w:rsidRPr="00D9348B">
        <w:rPr>
          <w:rFonts w:eastAsia="Calibri"/>
          <w:vertAlign w:val="subscript"/>
        </w:rPr>
        <w:t>2</w:t>
      </w:r>
      <w:r w:rsidRPr="00D9348B">
        <w:rPr>
          <w:rFonts w:eastAsia="Calibri"/>
        </w:rPr>
        <w:t>-e) from 1990 to 2018</w:t>
      </w:r>
      <w:bookmarkEnd w:id="2970"/>
    </w:p>
    <w:p w14:paraId="790D0F6A" w14:textId="13F79F64" w:rsidR="00A71B0D" w:rsidRPr="00D9348B" w:rsidRDefault="007165CF" w:rsidP="00A71B0D">
      <w:pPr>
        <w:pStyle w:val="BodyText"/>
        <w:jc w:val="center"/>
        <w:rPr>
          <w:rFonts w:eastAsia="Calibri"/>
        </w:rPr>
      </w:pPr>
      <w:r>
        <w:rPr>
          <w:rFonts w:eastAsia="Calibri"/>
        </w:rPr>
        <w:pict w14:anchorId="0AE52636">
          <v:shape id="_x0000_i1158" type="#_x0000_t75" style="width:361.9pt;height:198.45pt;visibility:visible;mso-wrap-style:square">
            <v:imagedata r:id="rId255" o:title="" cropbottom="2399f" cropleft="1577f"/>
          </v:shape>
        </w:pict>
      </w:r>
    </w:p>
    <w:p w14:paraId="05154D52" w14:textId="77777777" w:rsidR="00A71B0D" w:rsidRPr="00D9348B" w:rsidRDefault="00A71B0D" w:rsidP="00A71B0D">
      <w:pPr>
        <w:pStyle w:val="Heading5"/>
        <w:spacing w:before="120"/>
      </w:pPr>
      <w:r w:rsidRPr="00D9348B">
        <w:lastRenderedPageBreak/>
        <w:t>2017–2018</w:t>
      </w:r>
    </w:p>
    <w:p w14:paraId="1D44075A" w14:textId="77777777" w:rsidR="00A71B0D" w:rsidRPr="00D9348B" w:rsidRDefault="00A71B0D" w:rsidP="00FB63D8">
      <w:pPr>
        <w:pStyle w:val="BodyText"/>
        <w:spacing w:before="100" w:after="100"/>
      </w:pPr>
      <w:r w:rsidRPr="00D9348B">
        <w:t>Total Tokelau emissions in 2018 were 0.10 kt CO</w:t>
      </w:r>
      <w:r w:rsidRPr="00D9348B">
        <w:rPr>
          <w:vertAlign w:val="subscript"/>
        </w:rPr>
        <w:t>2</w:t>
      </w:r>
      <w:r w:rsidRPr="00D9348B">
        <w:t>-e (2.8 per cent) higher than emissions in 2017. This increase is largely the result of increases in CO</w:t>
      </w:r>
      <w:r w:rsidRPr="00D9348B">
        <w:rPr>
          <w:vertAlign w:val="subscript"/>
        </w:rPr>
        <w:t>2</w:t>
      </w:r>
      <w:r w:rsidRPr="00D9348B">
        <w:t xml:space="preserve"> emissions in the </w:t>
      </w:r>
      <w:r w:rsidRPr="00D9348B">
        <w:rPr>
          <w:i/>
        </w:rPr>
        <w:t>Domestic navigation</w:t>
      </w:r>
      <w:r w:rsidRPr="00D9348B">
        <w:t xml:space="preserve"> category, due to increasing shipping within Tokelau. </w:t>
      </w:r>
    </w:p>
    <w:p w14:paraId="55DAC2E3" w14:textId="77777777" w:rsidR="00A71B0D" w:rsidRPr="00D9348B" w:rsidRDefault="00A71B0D" w:rsidP="00FB63D8">
      <w:pPr>
        <w:pStyle w:val="Heading5"/>
        <w:spacing w:before="160"/>
      </w:pPr>
      <w:r w:rsidRPr="00D9348B">
        <w:t>Key categories</w:t>
      </w:r>
    </w:p>
    <w:p w14:paraId="44736B56" w14:textId="77777777" w:rsidR="00A71B0D" w:rsidRPr="00D9348B" w:rsidRDefault="00A71B0D" w:rsidP="00FB63D8">
      <w:pPr>
        <w:pStyle w:val="BodyText"/>
        <w:spacing w:before="100"/>
        <w:rPr>
          <w:b/>
        </w:rPr>
      </w:pPr>
      <w:r w:rsidRPr="00D9348B">
        <w:t>Emission categories from Tokelau have been included in the key category analysis, along with all categories reported in New Zealand’s inventory. None of the emission categories from Tokelau are key categories (either level or trend) in the 2020 submission.</w:t>
      </w:r>
    </w:p>
    <w:p w14:paraId="1AE99929" w14:textId="77777777" w:rsidR="00A71B0D" w:rsidRPr="00D9348B" w:rsidRDefault="00A71B0D" w:rsidP="00865BDB">
      <w:pPr>
        <w:pStyle w:val="Heading4"/>
      </w:pPr>
      <w:r w:rsidRPr="00D9348B">
        <w:t>Reporting arrangements</w:t>
      </w:r>
    </w:p>
    <w:p w14:paraId="0EA58859" w14:textId="77777777" w:rsidR="00A71B0D" w:rsidRPr="00D9348B" w:rsidRDefault="00A71B0D" w:rsidP="00FB63D8">
      <w:pPr>
        <w:pStyle w:val="BodyText"/>
        <w:spacing w:before="100"/>
      </w:pPr>
      <w:r w:rsidRPr="00D9348B">
        <w:t xml:space="preserve">Including Tokelau in New Zealand’s inventory reporting is a gradual process. This requires building the expert capacity and establishing connections with the various organisations and businesses in Tokelau that participate in data collection and processing. Estimates include emissions from the largest Tokelau contributors, which are the Energy, Industrial Processes and Product Use (IPPU), Agriculture and Waste sectors using Tier 1 methodologies with Intergovernmental Panel on Climate Change (IPCC) default emission factors for all reported categories (IPCC, 2006a). Improvements made for the 2020 submission include improved modelling of the energy sector and its division into electricity and transport. The Land Use, Land-Use Change and Forestry (LULUCF) sector is not estimated because there are no planted or managed forests in Tokelau and any emissions are expected to be negligible. </w:t>
      </w:r>
    </w:p>
    <w:p w14:paraId="7F6C789F" w14:textId="77777777" w:rsidR="00A71B0D" w:rsidRPr="00D9348B" w:rsidRDefault="00A71B0D" w:rsidP="00A71B0D">
      <w:pPr>
        <w:pStyle w:val="BodyText"/>
      </w:pPr>
      <w:r w:rsidRPr="00D9348B">
        <w:t>New Zealand and Tokelau signed a Memorandum of Understanding (MoU) on 18 January 2018 to establish the relationship between Tokelau and New Zealand regarding the governance of international climate change reporting relating to the inclusion of Tokelau in New Zealand’s national inventory system. According to the MoU, both New Zealand’s central inventory agency (MfE) and the Tokelau Department for Climate Change have roles in inventory reporting.</w:t>
      </w:r>
    </w:p>
    <w:p w14:paraId="7F5C7819" w14:textId="77777777" w:rsidR="00A71B0D" w:rsidRPr="00D9348B" w:rsidRDefault="00A71B0D" w:rsidP="00A71B0D">
      <w:pPr>
        <w:pStyle w:val="BodyText"/>
        <w:keepNext/>
      </w:pPr>
      <w:r w:rsidRPr="00D9348B">
        <w:t>MfE will take responsibility for the following:</w:t>
      </w:r>
    </w:p>
    <w:p w14:paraId="19785F87" w14:textId="77777777" w:rsidR="00A71B0D" w:rsidRPr="00D9348B" w:rsidRDefault="00A71B0D" w:rsidP="00A71B0D">
      <w:pPr>
        <w:pStyle w:val="Bullet"/>
        <w:tabs>
          <w:tab w:val="clear" w:pos="567"/>
        </w:tabs>
      </w:pPr>
      <w:r w:rsidRPr="00D9348B">
        <w:t>coordination of communications between New Zealand and Tokelau officials, as well as communications with project consultants in New Zealand and overseas</w:t>
      </w:r>
    </w:p>
    <w:p w14:paraId="39F58F0B" w14:textId="77777777" w:rsidR="00A71B0D" w:rsidRPr="00D9348B" w:rsidRDefault="00A71B0D" w:rsidP="00A71B0D">
      <w:pPr>
        <w:pStyle w:val="Bullet"/>
        <w:tabs>
          <w:tab w:val="clear" w:pos="567"/>
        </w:tabs>
      </w:pPr>
      <w:r w:rsidRPr="00D9348B">
        <w:t>coordination with other New Zealand government agencies participating in the inventory production, should their consulting or advice be required for the project</w:t>
      </w:r>
    </w:p>
    <w:p w14:paraId="1C7D5A09" w14:textId="77777777" w:rsidR="00A71B0D" w:rsidRPr="00D9348B" w:rsidRDefault="00A71B0D" w:rsidP="00A71B0D">
      <w:pPr>
        <w:pStyle w:val="Bullet"/>
        <w:tabs>
          <w:tab w:val="clear" w:pos="567"/>
        </w:tabs>
      </w:pPr>
      <w:r w:rsidRPr="00D9348B">
        <w:t>initial consultation on developing a national GHG inventory system for Tokelau, together with the relevant instructive materials, principles, protocols and procedures of Tier 1 statistics, and methodological guidance for the inventory</w:t>
      </w:r>
    </w:p>
    <w:p w14:paraId="0FF3D839" w14:textId="77777777" w:rsidR="00A71B0D" w:rsidRPr="00D9348B" w:rsidRDefault="00A71B0D" w:rsidP="00A71B0D">
      <w:pPr>
        <w:pStyle w:val="Bullet"/>
        <w:tabs>
          <w:tab w:val="clear" w:pos="567"/>
        </w:tabs>
      </w:pPr>
      <w:r w:rsidRPr="00D9348B">
        <w:t>technical advice on various aspects of the project regarding the subject matter, the legal background (the Convention reporting guidance), software issues, and the quality assurance and quality control (QA/QC) issues associated with the changes in the national inventory system</w:t>
      </w:r>
    </w:p>
    <w:p w14:paraId="18BACB17" w14:textId="77777777" w:rsidR="00A71B0D" w:rsidRPr="00D9348B" w:rsidRDefault="00A71B0D" w:rsidP="00A71B0D">
      <w:pPr>
        <w:pStyle w:val="Bullet"/>
        <w:tabs>
          <w:tab w:val="clear" w:pos="567"/>
        </w:tabs>
      </w:pPr>
      <w:r w:rsidRPr="00D9348B">
        <w:t>final integration of the Tokelau GHG inventory component into the joint inventory submission to the Convention</w:t>
      </w:r>
    </w:p>
    <w:p w14:paraId="510DF6AA" w14:textId="77777777" w:rsidR="00A71B0D" w:rsidRPr="00D9348B" w:rsidRDefault="00A71B0D" w:rsidP="00A71B0D">
      <w:pPr>
        <w:pStyle w:val="Bullet"/>
        <w:tabs>
          <w:tab w:val="clear" w:pos="567"/>
        </w:tabs>
      </w:pPr>
      <w:r w:rsidRPr="00D9348B">
        <w:t>submitting the joint inventory to the Convention and coordinating communication with the Convention associated with the inventory submission and review</w:t>
      </w:r>
    </w:p>
    <w:p w14:paraId="1FBCB246" w14:textId="77777777" w:rsidR="00A71B0D" w:rsidRPr="00D9348B" w:rsidRDefault="00A71B0D" w:rsidP="00A71B0D">
      <w:pPr>
        <w:pStyle w:val="Bullet"/>
        <w:tabs>
          <w:tab w:val="clear" w:pos="567"/>
        </w:tabs>
      </w:pPr>
      <w:proofErr w:type="gramStart"/>
      <w:r w:rsidRPr="00D9348B">
        <w:t>publication</w:t>
      </w:r>
      <w:proofErr w:type="gramEnd"/>
      <w:r w:rsidRPr="00D9348B">
        <w:t xml:space="preserve"> of the joint inventory report and the CRF tables online, as well as all supplementary materials.</w:t>
      </w:r>
    </w:p>
    <w:p w14:paraId="250FEB18" w14:textId="77777777" w:rsidR="00A71B0D" w:rsidRPr="00D9348B" w:rsidRDefault="00A71B0D" w:rsidP="00A71B0D">
      <w:pPr>
        <w:pStyle w:val="BodyText"/>
      </w:pPr>
      <w:r w:rsidRPr="00D9348B">
        <w:lastRenderedPageBreak/>
        <w:t>The Tokelau Ministry for Climate, Oceans and Resilience (MiCORE; formerly known as the Climate Change Agency) will take responsibility for the following:</w:t>
      </w:r>
    </w:p>
    <w:p w14:paraId="6EBAAC04" w14:textId="77777777" w:rsidR="00A71B0D" w:rsidRPr="00D9348B" w:rsidRDefault="00A71B0D" w:rsidP="00A71B0D">
      <w:pPr>
        <w:pStyle w:val="Bullet"/>
        <w:tabs>
          <w:tab w:val="clear" w:pos="567"/>
        </w:tabs>
      </w:pPr>
      <w:r w:rsidRPr="00D9348B">
        <w:t>coordinating the project implementation in Tokelau by communicating with the relevant agencies, organisations and individuals involved in the GHG inventory; coordinating their efforts and delegating responsibilities to ensure that sufficient information and support are provided to those agencies, organisations and individuals to enable GHG inventory production</w:t>
      </w:r>
    </w:p>
    <w:p w14:paraId="0A660D6B" w14:textId="77777777" w:rsidR="00A71B0D" w:rsidRPr="00D9348B" w:rsidRDefault="00A71B0D" w:rsidP="00A71B0D">
      <w:pPr>
        <w:pStyle w:val="Bullet"/>
        <w:tabs>
          <w:tab w:val="clear" w:pos="567"/>
        </w:tabs>
      </w:pPr>
      <w:r w:rsidRPr="00D9348B">
        <w:t>providing timely advice on all cultural aspects of the project and assisting in resolving any issues associated with potential cultural issues</w:t>
      </w:r>
    </w:p>
    <w:p w14:paraId="081D6E02" w14:textId="77777777" w:rsidR="00A71B0D" w:rsidRPr="00D9348B" w:rsidRDefault="00A71B0D" w:rsidP="00A71B0D">
      <w:pPr>
        <w:pStyle w:val="Bullet"/>
        <w:tabs>
          <w:tab w:val="clear" w:pos="567"/>
        </w:tabs>
      </w:pPr>
      <w:r w:rsidRPr="00D9348B">
        <w:t>ensuring that the agreed project schedule is fully complied with and the relevant timeframes are met, which includes submission of Tokelau’s GHG data and information to New Zealand’s national inventory compiler within the agreed timeframe</w:t>
      </w:r>
    </w:p>
    <w:p w14:paraId="6C11F5AD" w14:textId="77777777" w:rsidR="00A71B0D" w:rsidRPr="00D9348B" w:rsidRDefault="00A71B0D" w:rsidP="00A71B0D">
      <w:pPr>
        <w:pStyle w:val="Bullet"/>
        <w:tabs>
          <w:tab w:val="clear" w:pos="567"/>
        </w:tabs>
      </w:pPr>
      <w:r w:rsidRPr="00D9348B">
        <w:t xml:space="preserve">coordinating Tokelau’s efforts in activity data collection for the inventory reporting and data processing </w:t>
      </w:r>
    </w:p>
    <w:p w14:paraId="080ADB79" w14:textId="77777777" w:rsidR="00A71B0D" w:rsidRPr="00D9348B" w:rsidRDefault="00A71B0D" w:rsidP="00A71B0D">
      <w:pPr>
        <w:pStyle w:val="Bullet"/>
        <w:tabs>
          <w:tab w:val="clear" w:pos="567"/>
        </w:tabs>
      </w:pPr>
      <w:proofErr w:type="gramStart"/>
      <w:r w:rsidRPr="00D9348B">
        <w:t>producing</w:t>
      </w:r>
      <w:proofErr w:type="gramEnd"/>
      <w:r w:rsidRPr="00D9348B">
        <w:t xml:space="preserve"> the complete set of the data tables in agreed formats, and a peer-reviewed draft of the Tokelau Annex for the inventory submission based on the 2006 IPCC guidelines and the Convention reporting guidelines, and in compliance with the Convention inventory quality principles and good practices. </w:t>
      </w:r>
    </w:p>
    <w:p w14:paraId="23925A8B" w14:textId="77777777" w:rsidR="00A71B0D" w:rsidRPr="00D9348B" w:rsidRDefault="00A71B0D" w:rsidP="00A71B0D">
      <w:pPr>
        <w:pStyle w:val="BodyText"/>
      </w:pPr>
      <w:r w:rsidRPr="00D9348B">
        <w:t>Both MfE and MiCORE are responsible for adhering to the principles and protocols for producers of Tier 1 statistics.</w:t>
      </w:r>
    </w:p>
    <w:p w14:paraId="40A85911" w14:textId="77777777" w:rsidR="00A71B0D" w:rsidRPr="00D9348B" w:rsidRDefault="00A71B0D" w:rsidP="00865BDB">
      <w:pPr>
        <w:pStyle w:val="Heading4"/>
      </w:pPr>
      <w:r w:rsidRPr="00D9348B">
        <w:t>Methodological issues</w:t>
      </w:r>
    </w:p>
    <w:p w14:paraId="156DC176" w14:textId="77777777" w:rsidR="00A71B0D" w:rsidRPr="00D9348B" w:rsidRDefault="00A71B0D" w:rsidP="00A71B0D">
      <w:pPr>
        <w:pStyle w:val="Heading5"/>
        <w:spacing w:before="120"/>
      </w:pPr>
      <w:r w:rsidRPr="00D9348B">
        <w:t>Methods and emission factors</w:t>
      </w:r>
    </w:p>
    <w:p w14:paraId="2EA38F01" w14:textId="77777777" w:rsidR="00A71B0D" w:rsidRPr="00D9348B" w:rsidRDefault="00A71B0D" w:rsidP="00A71B0D">
      <w:pPr>
        <w:pStyle w:val="BodyText"/>
      </w:pPr>
      <w:r w:rsidRPr="00D9348B">
        <w:t xml:space="preserve">Tokelau is making its first steps in GHG inventory reporting. Consequently, Tier 1 methodological approaches with default emission factors were used for estimating emissions from all Tokelau source categories. </w:t>
      </w:r>
    </w:p>
    <w:p w14:paraId="53B1E99C" w14:textId="77777777" w:rsidR="00A71B0D" w:rsidRPr="00D9348B" w:rsidRDefault="00A71B0D" w:rsidP="00A71B0D">
      <w:pPr>
        <w:pStyle w:val="BodyText"/>
      </w:pPr>
      <w:r w:rsidRPr="00D9348B">
        <w:t xml:space="preserve">Tokelau is in a different climate zone from New Zealand and has a different lifestyle and technologies. There are also differences in the scale of operations, especially in the Agriculture sector, that do not allow applying New Zealand’s definition of a farm to Tokelau. For estimating emissions from Tokelau, the 2006 IPCC default emission factors for Oceania with a warm climate are used, whereas New Zealand uses default emission factors associated with a temperate climate. </w:t>
      </w:r>
    </w:p>
    <w:p w14:paraId="6B5BF41D" w14:textId="77777777" w:rsidR="00A71B0D" w:rsidRPr="00D9348B" w:rsidRDefault="00A71B0D" w:rsidP="00A71B0D">
      <w:pPr>
        <w:pStyle w:val="BodyText"/>
      </w:pPr>
      <w:r w:rsidRPr="00D9348B">
        <w:t>The calorific values for fuels used for Tokelau are also different from those used for New Zealand because those fuels are coming from different sources. Relevant emission factors used for estimating emissions and references to the methods are included in sections 8.2 to 8.5 dedicated to the inventory sectors reported by Tokelau.</w:t>
      </w:r>
    </w:p>
    <w:p w14:paraId="41B0F2B3" w14:textId="77777777" w:rsidR="00A71B0D" w:rsidRPr="00D9348B" w:rsidRDefault="00A71B0D" w:rsidP="00A71B0D">
      <w:pPr>
        <w:pStyle w:val="Heading5"/>
      </w:pPr>
      <w:r w:rsidRPr="00D9348B">
        <w:t>Activity data</w:t>
      </w:r>
    </w:p>
    <w:p w14:paraId="3C5B81BD" w14:textId="77777777" w:rsidR="00A71B0D" w:rsidRPr="00D9348B" w:rsidRDefault="00A71B0D" w:rsidP="00A71B0D">
      <w:pPr>
        <w:pStyle w:val="BodyText"/>
      </w:pPr>
      <w:r w:rsidRPr="00D9348B">
        <w:t xml:space="preserve">The Tokelau National Statistics Office collects and processes activity data from Tokelau for inventory preparation. Table 8.1.2 contains the key sources of the activity data from Tokelau used in the GHG inventory. </w:t>
      </w:r>
    </w:p>
    <w:p w14:paraId="1D8CF8CB" w14:textId="77777777" w:rsidR="00A71B0D" w:rsidRPr="00D9348B" w:rsidRDefault="00A71B0D" w:rsidP="00A71B0D">
      <w:pPr>
        <w:pStyle w:val="Table"/>
      </w:pPr>
      <w:bookmarkStart w:id="2971" w:name="_Toc5269595"/>
      <w:bookmarkStart w:id="2972" w:name="_Toc36224676"/>
      <w:r w:rsidRPr="00D9348B">
        <w:lastRenderedPageBreak/>
        <w:t>Table 8.1.2</w:t>
      </w:r>
      <w:r w:rsidRPr="00D9348B">
        <w:tab/>
        <w:t>Key sources for activity data in Tokelau</w:t>
      </w:r>
      <w:bookmarkEnd w:id="2971"/>
      <w:bookmarkEnd w:id="2972"/>
    </w:p>
    <w:tbl>
      <w:tblPr>
        <w:tblW w:w="8562" w:type="dxa"/>
        <w:tblInd w:w="108" w:type="dxa"/>
        <w:tblBorders>
          <w:top w:val="single" w:sz="4" w:space="0" w:color="365F91"/>
          <w:bottom w:val="single" w:sz="4" w:space="0" w:color="365F91"/>
          <w:insideH w:val="single" w:sz="4" w:space="0" w:color="365F91"/>
        </w:tblBorders>
        <w:tblLayout w:type="fixed"/>
        <w:tblCellMar>
          <w:left w:w="85" w:type="dxa"/>
          <w:right w:w="85" w:type="dxa"/>
        </w:tblCellMar>
        <w:tblLook w:val="04A0" w:firstRow="1" w:lastRow="0" w:firstColumn="1" w:lastColumn="0" w:noHBand="0" w:noVBand="1"/>
      </w:tblPr>
      <w:tblGrid>
        <w:gridCol w:w="571"/>
        <w:gridCol w:w="1531"/>
        <w:gridCol w:w="2727"/>
        <w:gridCol w:w="3733"/>
      </w:tblGrid>
      <w:tr w:rsidR="00A71B0D" w:rsidRPr="00D9348B" w14:paraId="2FD3785F" w14:textId="77777777" w:rsidTr="00390E89">
        <w:trPr>
          <w:tblHeader/>
        </w:trPr>
        <w:tc>
          <w:tcPr>
            <w:tcW w:w="567" w:type="dxa"/>
            <w:shd w:val="clear" w:color="auto" w:fill="365F91"/>
            <w:vAlign w:val="bottom"/>
          </w:tcPr>
          <w:p w14:paraId="44314203" w14:textId="77777777" w:rsidR="00A71B0D" w:rsidRPr="00D9348B" w:rsidRDefault="00A71B0D" w:rsidP="00FB63D8">
            <w:pPr>
              <w:pStyle w:val="TableTextBold"/>
              <w:keepNext/>
              <w:rPr>
                <w:rFonts w:eastAsia="Calibri" w:cs="Calibri"/>
                <w:bCs/>
                <w:noProof w:val="0"/>
                <w:color w:val="FFFFFF"/>
                <w:szCs w:val="16"/>
              </w:rPr>
            </w:pPr>
            <w:r w:rsidRPr="00D9348B">
              <w:rPr>
                <w:rFonts w:eastAsia="Calibri" w:cs="Calibri"/>
                <w:bCs/>
                <w:noProof w:val="0"/>
                <w:color w:val="FFFFFF"/>
                <w:szCs w:val="16"/>
              </w:rPr>
              <w:t>Item</w:t>
            </w:r>
          </w:p>
        </w:tc>
        <w:tc>
          <w:tcPr>
            <w:tcW w:w="1521" w:type="dxa"/>
            <w:shd w:val="clear" w:color="auto" w:fill="365F91"/>
            <w:vAlign w:val="bottom"/>
          </w:tcPr>
          <w:p w14:paraId="30BE44C2" w14:textId="77777777" w:rsidR="00A71B0D" w:rsidRPr="00D9348B" w:rsidRDefault="00A71B0D" w:rsidP="00FB63D8">
            <w:pPr>
              <w:pStyle w:val="TableTextBold"/>
              <w:keepNext/>
              <w:rPr>
                <w:rFonts w:eastAsia="Calibri" w:cs="Calibri"/>
                <w:bCs/>
                <w:noProof w:val="0"/>
                <w:color w:val="FFFFFF"/>
                <w:szCs w:val="16"/>
              </w:rPr>
            </w:pPr>
            <w:r w:rsidRPr="00D9348B">
              <w:rPr>
                <w:rFonts w:eastAsia="Calibri" w:cs="Calibri"/>
                <w:bCs/>
                <w:noProof w:val="0"/>
                <w:color w:val="FFFFFF"/>
                <w:szCs w:val="16"/>
              </w:rPr>
              <w:t>Name/abbreviation</w:t>
            </w:r>
          </w:p>
        </w:tc>
        <w:tc>
          <w:tcPr>
            <w:tcW w:w="2709" w:type="dxa"/>
            <w:shd w:val="clear" w:color="auto" w:fill="365F91"/>
            <w:vAlign w:val="bottom"/>
          </w:tcPr>
          <w:p w14:paraId="0E608DE3" w14:textId="77777777" w:rsidR="00A71B0D" w:rsidRPr="00D9348B" w:rsidRDefault="00A71B0D" w:rsidP="00FB63D8">
            <w:pPr>
              <w:pStyle w:val="TableTextBold"/>
              <w:keepNext/>
              <w:rPr>
                <w:rFonts w:eastAsia="Calibri" w:cs="Calibri"/>
                <w:bCs/>
                <w:noProof w:val="0"/>
                <w:color w:val="FFFFFF"/>
                <w:szCs w:val="16"/>
              </w:rPr>
            </w:pPr>
            <w:r w:rsidRPr="00D9348B">
              <w:rPr>
                <w:rFonts w:eastAsia="Calibri" w:cs="Calibri"/>
                <w:bCs/>
                <w:noProof w:val="0"/>
                <w:color w:val="FFFFFF"/>
                <w:szCs w:val="16"/>
              </w:rPr>
              <w:t>Explanation</w:t>
            </w:r>
          </w:p>
        </w:tc>
        <w:tc>
          <w:tcPr>
            <w:tcW w:w="3708" w:type="dxa"/>
            <w:shd w:val="clear" w:color="auto" w:fill="365F91"/>
            <w:vAlign w:val="bottom"/>
          </w:tcPr>
          <w:p w14:paraId="292FF4EA" w14:textId="77777777" w:rsidR="00A71B0D" w:rsidRPr="00D9348B" w:rsidRDefault="00A71B0D" w:rsidP="00FB63D8">
            <w:pPr>
              <w:pStyle w:val="TableTextBold"/>
              <w:keepNext/>
              <w:rPr>
                <w:rFonts w:eastAsia="Calibri" w:cs="Calibri"/>
                <w:bCs/>
                <w:noProof w:val="0"/>
                <w:color w:val="FFFFFF"/>
                <w:szCs w:val="16"/>
              </w:rPr>
            </w:pPr>
            <w:r w:rsidRPr="00D9348B">
              <w:rPr>
                <w:rFonts w:eastAsia="Calibri" w:cs="Calibri"/>
                <w:bCs/>
                <w:noProof w:val="0"/>
                <w:color w:val="FFFFFF"/>
                <w:szCs w:val="16"/>
              </w:rPr>
              <w:t>Used where</w:t>
            </w:r>
          </w:p>
        </w:tc>
      </w:tr>
      <w:tr w:rsidR="00A71B0D" w:rsidRPr="00D9348B" w14:paraId="21F81D1A" w14:textId="77777777" w:rsidTr="00390E89">
        <w:tc>
          <w:tcPr>
            <w:tcW w:w="567" w:type="dxa"/>
            <w:shd w:val="clear" w:color="auto" w:fill="FFFFFF"/>
          </w:tcPr>
          <w:p w14:paraId="5EBD934D" w14:textId="77777777" w:rsidR="00A71B0D" w:rsidRPr="00D9348B" w:rsidRDefault="00A71B0D" w:rsidP="00390016">
            <w:pPr>
              <w:pStyle w:val="TableText"/>
              <w:spacing w:before="50"/>
              <w:rPr>
                <w:rFonts w:eastAsia="Calibri" w:cs="Calibri"/>
                <w:b/>
                <w:bCs/>
                <w:szCs w:val="16"/>
              </w:rPr>
            </w:pPr>
            <w:r w:rsidRPr="00D9348B">
              <w:rPr>
                <w:rFonts w:eastAsia="Calibri" w:cs="Calibri"/>
                <w:b/>
                <w:bCs/>
                <w:szCs w:val="16"/>
              </w:rPr>
              <w:t>1</w:t>
            </w:r>
          </w:p>
        </w:tc>
        <w:tc>
          <w:tcPr>
            <w:tcW w:w="1521" w:type="dxa"/>
            <w:shd w:val="clear" w:color="auto" w:fill="auto"/>
          </w:tcPr>
          <w:p w14:paraId="29C8D30E" w14:textId="77777777" w:rsidR="00A71B0D" w:rsidRPr="00D9348B" w:rsidRDefault="00A71B0D" w:rsidP="00390016">
            <w:pPr>
              <w:pStyle w:val="TableText"/>
              <w:spacing w:before="50"/>
              <w:rPr>
                <w:rFonts w:eastAsia="Calibri" w:cs="Calibri"/>
                <w:szCs w:val="16"/>
              </w:rPr>
            </w:pPr>
            <w:r w:rsidRPr="00D9348B">
              <w:rPr>
                <w:rFonts w:eastAsia="Calibri" w:cs="Calibri"/>
                <w:szCs w:val="16"/>
              </w:rPr>
              <w:t>Census</w:t>
            </w:r>
          </w:p>
        </w:tc>
        <w:tc>
          <w:tcPr>
            <w:tcW w:w="2709" w:type="dxa"/>
            <w:shd w:val="clear" w:color="auto" w:fill="auto"/>
          </w:tcPr>
          <w:p w14:paraId="18559103" w14:textId="77777777" w:rsidR="00A71B0D" w:rsidRPr="00D9348B" w:rsidRDefault="00A71B0D" w:rsidP="00390016">
            <w:pPr>
              <w:pStyle w:val="TableText"/>
              <w:spacing w:before="50" w:after="0"/>
              <w:rPr>
                <w:rFonts w:eastAsia="Calibri" w:cs="Calibri"/>
                <w:szCs w:val="16"/>
              </w:rPr>
            </w:pPr>
            <w:r w:rsidRPr="00D9348B">
              <w:rPr>
                <w:rFonts w:eastAsia="Calibri" w:cs="Calibri"/>
                <w:szCs w:val="16"/>
              </w:rPr>
              <w:t>Tokelau Census of Population and Dwellings 2006, 2011, 2016</w:t>
            </w:r>
          </w:p>
          <w:p w14:paraId="25A8DA29" w14:textId="77777777" w:rsidR="00A71B0D" w:rsidRPr="00D9348B" w:rsidRDefault="00A71B0D" w:rsidP="00390016">
            <w:pPr>
              <w:pStyle w:val="TableText"/>
              <w:spacing w:before="50"/>
              <w:rPr>
                <w:rFonts w:eastAsia="Calibri" w:cs="Calibri"/>
                <w:szCs w:val="16"/>
              </w:rPr>
            </w:pPr>
            <w:r w:rsidRPr="00D9348B">
              <w:rPr>
                <w:rFonts w:eastAsia="Calibri" w:cs="Calibri"/>
                <w:szCs w:val="16"/>
              </w:rPr>
              <w:t>www.tinyurl.com/TokelauCensus</w:t>
            </w:r>
          </w:p>
        </w:tc>
        <w:tc>
          <w:tcPr>
            <w:tcW w:w="3708" w:type="dxa"/>
            <w:shd w:val="clear" w:color="auto" w:fill="auto"/>
          </w:tcPr>
          <w:p w14:paraId="59C627F7" w14:textId="77777777" w:rsidR="00A71B0D" w:rsidRPr="00D9348B" w:rsidRDefault="00A71B0D" w:rsidP="00390016">
            <w:pPr>
              <w:pStyle w:val="TableText"/>
              <w:spacing w:before="50"/>
              <w:rPr>
                <w:rFonts w:eastAsia="Calibri" w:cs="Calibri"/>
                <w:szCs w:val="16"/>
              </w:rPr>
            </w:pPr>
            <w:r w:rsidRPr="00D9348B">
              <w:rPr>
                <w:rFonts w:eastAsia="Calibri" w:cs="Calibri"/>
                <w:szCs w:val="16"/>
              </w:rPr>
              <w:t>Census data; interpolations for populations of people and livestock; solid and water waste disposal (flush toilets), number of private aluminium boats/outboard motors, home appliances</w:t>
            </w:r>
          </w:p>
        </w:tc>
      </w:tr>
      <w:tr w:rsidR="00A71B0D" w:rsidRPr="00D9348B" w14:paraId="58F6B888" w14:textId="77777777" w:rsidTr="00390E89">
        <w:tc>
          <w:tcPr>
            <w:tcW w:w="567" w:type="dxa"/>
            <w:shd w:val="clear" w:color="auto" w:fill="FFFFFF"/>
          </w:tcPr>
          <w:p w14:paraId="46813747" w14:textId="77777777" w:rsidR="00A71B0D" w:rsidRPr="00D9348B" w:rsidRDefault="00A71B0D" w:rsidP="00390016">
            <w:pPr>
              <w:pStyle w:val="TableText"/>
              <w:spacing w:before="50"/>
              <w:rPr>
                <w:rFonts w:eastAsia="Calibri" w:cs="Calibri"/>
                <w:b/>
                <w:bCs/>
                <w:szCs w:val="16"/>
              </w:rPr>
            </w:pPr>
            <w:r w:rsidRPr="00D9348B">
              <w:rPr>
                <w:rFonts w:eastAsia="Calibri" w:cs="Calibri"/>
                <w:b/>
                <w:bCs/>
                <w:szCs w:val="16"/>
              </w:rPr>
              <w:t>2</w:t>
            </w:r>
          </w:p>
        </w:tc>
        <w:tc>
          <w:tcPr>
            <w:tcW w:w="1521" w:type="dxa"/>
            <w:shd w:val="clear" w:color="auto" w:fill="auto"/>
          </w:tcPr>
          <w:p w14:paraId="6632678C" w14:textId="77777777" w:rsidR="00A71B0D" w:rsidRPr="00D9348B" w:rsidRDefault="00A71B0D" w:rsidP="00390016">
            <w:pPr>
              <w:pStyle w:val="TableText"/>
              <w:spacing w:before="50"/>
              <w:rPr>
                <w:rFonts w:eastAsia="Calibri" w:cs="Calibri"/>
                <w:szCs w:val="16"/>
              </w:rPr>
            </w:pPr>
            <w:r w:rsidRPr="00D9348B">
              <w:rPr>
                <w:rFonts w:eastAsia="Calibri" w:cs="Calibri"/>
                <w:szCs w:val="16"/>
              </w:rPr>
              <w:t>Archives NZ</w:t>
            </w:r>
          </w:p>
        </w:tc>
        <w:tc>
          <w:tcPr>
            <w:tcW w:w="2709" w:type="dxa"/>
            <w:shd w:val="clear" w:color="auto" w:fill="auto"/>
          </w:tcPr>
          <w:p w14:paraId="36BB4E03" w14:textId="77777777" w:rsidR="00A71B0D" w:rsidRPr="00D9348B" w:rsidRDefault="00A71B0D" w:rsidP="00390016">
            <w:pPr>
              <w:pStyle w:val="TableText"/>
              <w:spacing w:before="50"/>
              <w:rPr>
                <w:rFonts w:eastAsia="Calibri" w:cs="Calibri"/>
                <w:szCs w:val="16"/>
              </w:rPr>
            </w:pPr>
            <w:r w:rsidRPr="00D9348B">
              <w:rPr>
                <w:rFonts w:eastAsia="Calibri" w:cs="Calibri"/>
                <w:szCs w:val="16"/>
              </w:rPr>
              <w:t>Archives New Zealand, Wellington</w:t>
            </w:r>
          </w:p>
        </w:tc>
        <w:tc>
          <w:tcPr>
            <w:tcW w:w="3708" w:type="dxa"/>
            <w:shd w:val="clear" w:color="auto" w:fill="auto"/>
          </w:tcPr>
          <w:p w14:paraId="4AAC8EFF" w14:textId="77777777" w:rsidR="00A71B0D" w:rsidRPr="00D9348B" w:rsidRDefault="00A71B0D" w:rsidP="00390016">
            <w:pPr>
              <w:pStyle w:val="TableText"/>
              <w:spacing w:before="50"/>
              <w:rPr>
                <w:rFonts w:eastAsia="Calibri" w:cs="Calibri"/>
                <w:szCs w:val="16"/>
              </w:rPr>
            </w:pPr>
            <w:r w:rsidRPr="00D9348B">
              <w:rPr>
                <w:rFonts w:eastAsia="Calibri" w:cs="Calibri"/>
                <w:szCs w:val="16"/>
              </w:rPr>
              <w:t>Historic Census records going back to 1951, at five-year intervals (TNSO collation and analysis)</w:t>
            </w:r>
          </w:p>
        </w:tc>
      </w:tr>
      <w:tr w:rsidR="00A71B0D" w:rsidRPr="00D9348B" w14:paraId="57174F62" w14:textId="77777777" w:rsidTr="00390E89">
        <w:tc>
          <w:tcPr>
            <w:tcW w:w="567" w:type="dxa"/>
            <w:shd w:val="clear" w:color="auto" w:fill="FFFFFF"/>
          </w:tcPr>
          <w:p w14:paraId="0C1228D4" w14:textId="77777777" w:rsidR="00A71B0D" w:rsidRPr="00D9348B" w:rsidRDefault="00A71B0D" w:rsidP="00390016">
            <w:pPr>
              <w:pStyle w:val="TableText"/>
              <w:spacing w:before="50"/>
              <w:rPr>
                <w:rFonts w:eastAsia="Calibri" w:cs="Calibri"/>
                <w:b/>
                <w:bCs/>
                <w:szCs w:val="16"/>
              </w:rPr>
            </w:pPr>
            <w:r w:rsidRPr="00D9348B">
              <w:rPr>
                <w:rFonts w:eastAsia="Calibri" w:cs="Calibri"/>
                <w:b/>
                <w:bCs/>
                <w:szCs w:val="16"/>
              </w:rPr>
              <w:t>3</w:t>
            </w:r>
          </w:p>
        </w:tc>
        <w:tc>
          <w:tcPr>
            <w:tcW w:w="1521" w:type="dxa"/>
            <w:shd w:val="clear" w:color="auto" w:fill="auto"/>
          </w:tcPr>
          <w:p w14:paraId="2FB50450" w14:textId="77777777" w:rsidR="00A71B0D" w:rsidRPr="00D9348B" w:rsidRDefault="00A71B0D" w:rsidP="00390016">
            <w:pPr>
              <w:pStyle w:val="TableText"/>
              <w:spacing w:before="50"/>
              <w:rPr>
                <w:rFonts w:eastAsia="Calibri" w:cs="Calibri"/>
                <w:szCs w:val="16"/>
              </w:rPr>
            </w:pPr>
            <w:r w:rsidRPr="00D9348B">
              <w:rPr>
                <w:rFonts w:eastAsia="Calibri" w:cs="Calibri"/>
                <w:szCs w:val="16"/>
              </w:rPr>
              <w:t>HIES</w:t>
            </w:r>
          </w:p>
        </w:tc>
        <w:tc>
          <w:tcPr>
            <w:tcW w:w="2709" w:type="dxa"/>
            <w:shd w:val="clear" w:color="auto" w:fill="auto"/>
          </w:tcPr>
          <w:p w14:paraId="4E734CD9" w14:textId="77777777" w:rsidR="00A71B0D" w:rsidRPr="00D9348B" w:rsidRDefault="00A71B0D" w:rsidP="00390016">
            <w:pPr>
              <w:pStyle w:val="TableText"/>
              <w:spacing w:before="50" w:after="0"/>
              <w:rPr>
                <w:rFonts w:eastAsia="Calibri" w:cs="Calibri"/>
                <w:szCs w:val="16"/>
              </w:rPr>
            </w:pPr>
            <w:r w:rsidRPr="00D9348B">
              <w:rPr>
                <w:rFonts w:eastAsia="Calibri" w:cs="Calibri"/>
                <w:szCs w:val="16"/>
              </w:rPr>
              <w:t>Tokelau Household Income and Expenditure Survey 2015/16</w:t>
            </w:r>
          </w:p>
          <w:p w14:paraId="38580E3A" w14:textId="77777777" w:rsidR="00A71B0D" w:rsidRPr="00D9348B" w:rsidRDefault="00A71B0D" w:rsidP="00390016">
            <w:pPr>
              <w:pStyle w:val="TableText"/>
              <w:spacing w:before="50"/>
              <w:rPr>
                <w:rFonts w:eastAsia="Calibri" w:cs="Calibri"/>
                <w:szCs w:val="16"/>
              </w:rPr>
            </w:pPr>
            <w:r w:rsidRPr="00D9348B">
              <w:rPr>
                <w:rFonts w:eastAsia="Calibri" w:cs="Calibri"/>
                <w:szCs w:val="16"/>
              </w:rPr>
              <w:t>www.tinyurl.com/TokelauHIES</w:t>
            </w:r>
          </w:p>
        </w:tc>
        <w:tc>
          <w:tcPr>
            <w:tcW w:w="3708" w:type="dxa"/>
            <w:shd w:val="clear" w:color="auto" w:fill="auto"/>
          </w:tcPr>
          <w:p w14:paraId="2526A867" w14:textId="77777777" w:rsidR="00A71B0D" w:rsidRPr="00D9348B" w:rsidRDefault="00A71B0D" w:rsidP="00390016">
            <w:pPr>
              <w:pStyle w:val="TableText"/>
              <w:spacing w:before="50"/>
              <w:rPr>
                <w:rFonts w:eastAsia="Calibri" w:cs="Calibri"/>
                <w:szCs w:val="16"/>
              </w:rPr>
            </w:pPr>
            <w:r w:rsidRPr="00D9348B">
              <w:rPr>
                <w:rFonts w:eastAsia="Calibri" w:cs="Calibri"/>
                <w:szCs w:val="16"/>
              </w:rPr>
              <w:t>Population and dwellings data supplementary to Census, in partnership with Pacific Community (SPC)</w:t>
            </w:r>
          </w:p>
        </w:tc>
      </w:tr>
      <w:tr w:rsidR="00A71B0D" w:rsidRPr="00D9348B" w14:paraId="6962E18A" w14:textId="77777777" w:rsidTr="00390E89">
        <w:tc>
          <w:tcPr>
            <w:tcW w:w="567" w:type="dxa"/>
            <w:shd w:val="clear" w:color="auto" w:fill="FFFFFF"/>
          </w:tcPr>
          <w:p w14:paraId="344D45E2" w14:textId="77777777" w:rsidR="00A71B0D" w:rsidRPr="00D9348B" w:rsidRDefault="00A71B0D" w:rsidP="00390016">
            <w:pPr>
              <w:pStyle w:val="TableText"/>
              <w:spacing w:before="50"/>
              <w:rPr>
                <w:rFonts w:eastAsia="Calibri" w:cs="Calibri"/>
                <w:b/>
                <w:bCs/>
                <w:szCs w:val="16"/>
              </w:rPr>
            </w:pPr>
            <w:r w:rsidRPr="00D9348B">
              <w:rPr>
                <w:rFonts w:eastAsia="Calibri" w:cs="Calibri"/>
                <w:b/>
                <w:bCs/>
                <w:szCs w:val="16"/>
              </w:rPr>
              <w:t>4</w:t>
            </w:r>
          </w:p>
        </w:tc>
        <w:tc>
          <w:tcPr>
            <w:tcW w:w="1521" w:type="dxa"/>
            <w:shd w:val="clear" w:color="auto" w:fill="auto"/>
          </w:tcPr>
          <w:p w14:paraId="137EBC6E" w14:textId="77777777" w:rsidR="00A71B0D" w:rsidRPr="00D9348B" w:rsidRDefault="00A71B0D" w:rsidP="00390016">
            <w:pPr>
              <w:pStyle w:val="TableText"/>
              <w:spacing w:before="50"/>
              <w:rPr>
                <w:rFonts w:eastAsia="Calibri" w:cs="Calibri"/>
                <w:szCs w:val="16"/>
              </w:rPr>
            </w:pPr>
            <w:r w:rsidRPr="00D9348B">
              <w:rPr>
                <w:rFonts w:eastAsia="Calibri" w:cs="Calibri"/>
                <w:szCs w:val="16"/>
              </w:rPr>
              <w:t>SNZ, StatsNZ</w:t>
            </w:r>
          </w:p>
        </w:tc>
        <w:tc>
          <w:tcPr>
            <w:tcW w:w="2709" w:type="dxa"/>
            <w:shd w:val="clear" w:color="auto" w:fill="auto"/>
          </w:tcPr>
          <w:p w14:paraId="000F8CD3" w14:textId="77777777" w:rsidR="00A71B0D" w:rsidRPr="00D9348B" w:rsidRDefault="00A71B0D" w:rsidP="00390016">
            <w:pPr>
              <w:pStyle w:val="TableText"/>
              <w:spacing w:before="50" w:after="0"/>
              <w:rPr>
                <w:rFonts w:eastAsia="Calibri" w:cs="Calibri"/>
                <w:szCs w:val="16"/>
              </w:rPr>
            </w:pPr>
            <w:r w:rsidRPr="00D9348B">
              <w:rPr>
                <w:rFonts w:eastAsia="Calibri" w:cs="Calibri"/>
                <w:szCs w:val="16"/>
              </w:rPr>
              <w:t>Statistics New Zealand, Wellington</w:t>
            </w:r>
          </w:p>
          <w:p w14:paraId="6F9A2B5A" w14:textId="77777777" w:rsidR="00A71B0D" w:rsidRPr="00D9348B" w:rsidRDefault="00DA6C03" w:rsidP="00390016">
            <w:pPr>
              <w:pStyle w:val="TableText"/>
              <w:spacing w:before="50"/>
              <w:rPr>
                <w:rFonts w:eastAsia="Calibri" w:cs="Calibri"/>
                <w:szCs w:val="16"/>
              </w:rPr>
            </w:pPr>
            <w:hyperlink r:id="rId256" w:history="1">
              <w:r w:rsidR="00A71B0D" w:rsidRPr="00D9348B">
                <w:rPr>
                  <w:rStyle w:val="Hyperlink"/>
                  <w:rFonts w:eastAsia="Calibri" w:cs="Calibri"/>
                  <w:color w:val="auto"/>
                  <w:szCs w:val="16"/>
                </w:rPr>
                <w:t>www.stats.govt.nz</w:t>
              </w:r>
            </w:hyperlink>
          </w:p>
        </w:tc>
        <w:tc>
          <w:tcPr>
            <w:tcW w:w="3708" w:type="dxa"/>
            <w:shd w:val="clear" w:color="auto" w:fill="auto"/>
          </w:tcPr>
          <w:p w14:paraId="087E1E73" w14:textId="77777777" w:rsidR="00A71B0D" w:rsidRPr="00D9348B" w:rsidRDefault="00A71B0D" w:rsidP="00390016">
            <w:pPr>
              <w:pStyle w:val="TableText"/>
              <w:spacing w:before="50"/>
              <w:rPr>
                <w:rFonts w:eastAsia="Calibri" w:cs="Calibri"/>
                <w:szCs w:val="16"/>
              </w:rPr>
            </w:pPr>
            <w:r w:rsidRPr="00D9348B">
              <w:rPr>
                <w:rFonts w:eastAsia="Calibri" w:cs="Calibri"/>
                <w:szCs w:val="16"/>
              </w:rPr>
              <w:t>Major partner in collection, analysis and publication of Tokelau Census data</w:t>
            </w:r>
          </w:p>
        </w:tc>
      </w:tr>
      <w:tr w:rsidR="00A71B0D" w:rsidRPr="00D9348B" w14:paraId="33CEC4ED" w14:textId="77777777" w:rsidTr="00390E89">
        <w:tc>
          <w:tcPr>
            <w:tcW w:w="567" w:type="dxa"/>
            <w:shd w:val="clear" w:color="auto" w:fill="FFFFFF"/>
          </w:tcPr>
          <w:p w14:paraId="11735B14" w14:textId="77777777" w:rsidR="00A71B0D" w:rsidRPr="00D9348B" w:rsidRDefault="00A71B0D" w:rsidP="00390016">
            <w:pPr>
              <w:pStyle w:val="TableText"/>
              <w:spacing w:before="50"/>
              <w:rPr>
                <w:rFonts w:eastAsia="Calibri" w:cs="Calibri"/>
                <w:b/>
                <w:bCs/>
                <w:szCs w:val="16"/>
              </w:rPr>
            </w:pPr>
            <w:r w:rsidRPr="00D9348B">
              <w:rPr>
                <w:rFonts w:eastAsia="Calibri" w:cs="Calibri"/>
                <w:b/>
                <w:bCs/>
                <w:szCs w:val="16"/>
              </w:rPr>
              <w:t>5</w:t>
            </w:r>
          </w:p>
        </w:tc>
        <w:tc>
          <w:tcPr>
            <w:tcW w:w="1521" w:type="dxa"/>
            <w:shd w:val="clear" w:color="auto" w:fill="auto"/>
          </w:tcPr>
          <w:p w14:paraId="1179CFFB" w14:textId="77777777" w:rsidR="00A71B0D" w:rsidRPr="00D9348B" w:rsidRDefault="00A71B0D" w:rsidP="00390016">
            <w:pPr>
              <w:pStyle w:val="TableText"/>
              <w:spacing w:before="50"/>
              <w:rPr>
                <w:rFonts w:eastAsia="Calibri" w:cs="Calibri"/>
                <w:szCs w:val="16"/>
              </w:rPr>
            </w:pPr>
            <w:r w:rsidRPr="00D9348B">
              <w:rPr>
                <w:rFonts w:eastAsia="Calibri" w:cs="Calibri"/>
                <w:szCs w:val="16"/>
              </w:rPr>
              <w:t>TNSO</w:t>
            </w:r>
          </w:p>
        </w:tc>
        <w:tc>
          <w:tcPr>
            <w:tcW w:w="2709" w:type="dxa"/>
            <w:shd w:val="clear" w:color="auto" w:fill="auto"/>
          </w:tcPr>
          <w:p w14:paraId="092C8F21" w14:textId="77777777" w:rsidR="00A71B0D" w:rsidRPr="00D9348B" w:rsidRDefault="00A71B0D" w:rsidP="00390016">
            <w:pPr>
              <w:pStyle w:val="TableText"/>
              <w:spacing w:before="50" w:after="0"/>
              <w:rPr>
                <w:rFonts w:eastAsia="Calibri" w:cs="Calibri"/>
                <w:szCs w:val="16"/>
              </w:rPr>
            </w:pPr>
            <w:r w:rsidRPr="00D9348B">
              <w:rPr>
                <w:rFonts w:eastAsia="Calibri" w:cs="Calibri"/>
                <w:szCs w:val="16"/>
              </w:rPr>
              <w:t>Tokelau National Statistics Office, Apia</w:t>
            </w:r>
          </w:p>
          <w:p w14:paraId="0D7B8848" w14:textId="77777777" w:rsidR="00A71B0D" w:rsidRPr="00D9348B" w:rsidRDefault="00DA6C03" w:rsidP="00390016">
            <w:pPr>
              <w:pStyle w:val="TableText"/>
              <w:spacing w:before="50"/>
              <w:rPr>
                <w:rFonts w:eastAsia="Calibri" w:cs="Calibri"/>
                <w:szCs w:val="16"/>
              </w:rPr>
            </w:pPr>
            <w:hyperlink r:id="rId257" w:history="1">
              <w:r w:rsidR="00A71B0D" w:rsidRPr="00D9348B">
                <w:rPr>
                  <w:rStyle w:val="Hyperlink"/>
                  <w:rFonts w:eastAsia="Calibri" w:cs="Calibri"/>
                  <w:color w:val="auto"/>
                  <w:szCs w:val="16"/>
                </w:rPr>
                <w:t>www.tokelau.org.nz/Stats.html</w:t>
              </w:r>
            </w:hyperlink>
          </w:p>
        </w:tc>
        <w:tc>
          <w:tcPr>
            <w:tcW w:w="3708" w:type="dxa"/>
            <w:shd w:val="clear" w:color="auto" w:fill="auto"/>
          </w:tcPr>
          <w:p w14:paraId="5727FAD6" w14:textId="77777777" w:rsidR="00A71B0D" w:rsidRPr="00D9348B" w:rsidRDefault="00A71B0D" w:rsidP="00390016">
            <w:pPr>
              <w:pStyle w:val="TableText"/>
              <w:spacing w:before="50"/>
              <w:rPr>
                <w:rFonts w:eastAsia="Calibri" w:cs="Calibri"/>
                <w:szCs w:val="16"/>
              </w:rPr>
            </w:pPr>
            <w:r w:rsidRPr="00D9348B">
              <w:rPr>
                <w:rFonts w:eastAsia="Calibri" w:cs="Calibri"/>
                <w:szCs w:val="16"/>
              </w:rPr>
              <w:t xml:space="preserve">Joint collection, analysis and publication of Tokelau Census data </w:t>
            </w:r>
          </w:p>
        </w:tc>
      </w:tr>
      <w:tr w:rsidR="00A71B0D" w:rsidRPr="00D9348B" w14:paraId="0E6680C8" w14:textId="77777777" w:rsidTr="00390E89">
        <w:tc>
          <w:tcPr>
            <w:tcW w:w="567" w:type="dxa"/>
            <w:shd w:val="clear" w:color="auto" w:fill="FFFFFF"/>
          </w:tcPr>
          <w:p w14:paraId="1E658221" w14:textId="77777777" w:rsidR="00A71B0D" w:rsidRPr="00D9348B" w:rsidRDefault="00A71B0D" w:rsidP="00390016">
            <w:pPr>
              <w:pStyle w:val="TableText"/>
              <w:spacing w:before="50"/>
              <w:rPr>
                <w:rFonts w:eastAsia="Calibri" w:cs="Calibri"/>
                <w:b/>
                <w:bCs/>
                <w:szCs w:val="16"/>
              </w:rPr>
            </w:pPr>
            <w:r w:rsidRPr="00D9348B">
              <w:rPr>
                <w:rFonts w:eastAsia="Calibri" w:cs="Calibri"/>
                <w:b/>
                <w:bCs/>
                <w:szCs w:val="16"/>
              </w:rPr>
              <w:t>6</w:t>
            </w:r>
          </w:p>
        </w:tc>
        <w:tc>
          <w:tcPr>
            <w:tcW w:w="1521" w:type="dxa"/>
            <w:shd w:val="clear" w:color="auto" w:fill="auto"/>
          </w:tcPr>
          <w:p w14:paraId="373DF126" w14:textId="77777777" w:rsidR="00A71B0D" w:rsidRPr="00D9348B" w:rsidRDefault="00A71B0D" w:rsidP="00390016">
            <w:pPr>
              <w:pStyle w:val="TableText"/>
              <w:spacing w:before="50"/>
              <w:rPr>
                <w:rFonts w:eastAsia="Calibri" w:cs="Calibri"/>
                <w:szCs w:val="16"/>
              </w:rPr>
            </w:pPr>
            <w:r w:rsidRPr="00D9348B">
              <w:rPr>
                <w:rFonts w:eastAsia="Calibri" w:cs="Calibri"/>
                <w:szCs w:val="16"/>
              </w:rPr>
              <w:t>DoE</w:t>
            </w:r>
          </w:p>
        </w:tc>
        <w:tc>
          <w:tcPr>
            <w:tcW w:w="2709" w:type="dxa"/>
            <w:shd w:val="clear" w:color="auto" w:fill="auto"/>
          </w:tcPr>
          <w:p w14:paraId="5E590B61" w14:textId="77777777" w:rsidR="00A71B0D" w:rsidRPr="00D9348B" w:rsidRDefault="00A71B0D" w:rsidP="00390016">
            <w:pPr>
              <w:pStyle w:val="TableText"/>
              <w:spacing w:before="50"/>
              <w:rPr>
                <w:rFonts w:eastAsia="Calibri" w:cs="Calibri"/>
                <w:szCs w:val="16"/>
              </w:rPr>
            </w:pPr>
            <w:r w:rsidRPr="00D9348B">
              <w:rPr>
                <w:rFonts w:eastAsia="Calibri" w:cs="Calibri"/>
                <w:szCs w:val="16"/>
              </w:rPr>
              <w:t>Tokelau Department of Energy</w:t>
            </w:r>
          </w:p>
        </w:tc>
        <w:tc>
          <w:tcPr>
            <w:tcW w:w="3708" w:type="dxa"/>
            <w:shd w:val="clear" w:color="auto" w:fill="auto"/>
          </w:tcPr>
          <w:p w14:paraId="19167A82" w14:textId="77777777" w:rsidR="00A71B0D" w:rsidRPr="00D9348B" w:rsidRDefault="00A71B0D" w:rsidP="00390016">
            <w:pPr>
              <w:pStyle w:val="TableText"/>
              <w:spacing w:before="50"/>
              <w:rPr>
                <w:rFonts w:eastAsia="Calibri" w:cs="Calibri"/>
                <w:szCs w:val="16"/>
              </w:rPr>
            </w:pPr>
            <w:r w:rsidRPr="00D9348B">
              <w:rPr>
                <w:rFonts w:eastAsia="Calibri" w:cs="Calibri"/>
                <w:szCs w:val="16"/>
              </w:rPr>
              <w:t>Estimate of diesel use for 24/7 power generation in 2004, plus before and after installation of solar in July–September 2012 (personal communication Mr Robin Pene, DoE director)</w:t>
            </w:r>
          </w:p>
        </w:tc>
      </w:tr>
      <w:tr w:rsidR="00A71B0D" w:rsidRPr="00D9348B" w14:paraId="6F838E8D" w14:textId="77777777" w:rsidTr="00390E89">
        <w:tc>
          <w:tcPr>
            <w:tcW w:w="567" w:type="dxa"/>
            <w:shd w:val="clear" w:color="auto" w:fill="FFFFFF"/>
          </w:tcPr>
          <w:p w14:paraId="0D672AF0" w14:textId="77777777" w:rsidR="00A71B0D" w:rsidRPr="00D9348B" w:rsidRDefault="00A71B0D" w:rsidP="00390016">
            <w:pPr>
              <w:pStyle w:val="TableText"/>
              <w:spacing w:before="50"/>
              <w:rPr>
                <w:rFonts w:eastAsia="Calibri" w:cs="Calibri"/>
                <w:b/>
                <w:bCs/>
                <w:szCs w:val="16"/>
              </w:rPr>
            </w:pPr>
            <w:r w:rsidRPr="00D9348B">
              <w:rPr>
                <w:rFonts w:eastAsia="Calibri" w:cs="Calibri"/>
                <w:b/>
                <w:bCs/>
                <w:szCs w:val="16"/>
              </w:rPr>
              <w:t>7</w:t>
            </w:r>
          </w:p>
        </w:tc>
        <w:tc>
          <w:tcPr>
            <w:tcW w:w="1521" w:type="dxa"/>
            <w:shd w:val="clear" w:color="auto" w:fill="auto"/>
          </w:tcPr>
          <w:p w14:paraId="49E6E818" w14:textId="77777777" w:rsidR="00A71B0D" w:rsidRPr="00D9348B" w:rsidRDefault="00A71B0D" w:rsidP="00390016">
            <w:pPr>
              <w:pStyle w:val="TableText"/>
              <w:spacing w:before="50"/>
              <w:rPr>
                <w:rFonts w:eastAsia="Calibri" w:cs="Calibri"/>
                <w:szCs w:val="16"/>
              </w:rPr>
            </w:pPr>
            <w:r w:rsidRPr="00D9348B">
              <w:rPr>
                <w:rFonts w:eastAsia="Calibri" w:cs="Calibri"/>
                <w:szCs w:val="16"/>
              </w:rPr>
              <w:t>PPS</w:t>
            </w:r>
          </w:p>
        </w:tc>
        <w:tc>
          <w:tcPr>
            <w:tcW w:w="2709" w:type="dxa"/>
            <w:shd w:val="clear" w:color="auto" w:fill="auto"/>
          </w:tcPr>
          <w:p w14:paraId="3A62AF52" w14:textId="77777777" w:rsidR="00A71B0D" w:rsidRPr="00D9348B" w:rsidRDefault="00A71B0D" w:rsidP="00390016">
            <w:pPr>
              <w:pStyle w:val="TableText"/>
              <w:spacing w:before="50"/>
              <w:rPr>
                <w:rFonts w:eastAsia="Calibri" w:cs="Calibri"/>
                <w:szCs w:val="16"/>
              </w:rPr>
            </w:pPr>
            <w:r w:rsidRPr="00D9348B">
              <w:rPr>
                <w:rFonts w:eastAsia="Calibri" w:cs="Calibri"/>
                <w:szCs w:val="16"/>
              </w:rPr>
              <w:t>Petroleum Product Supplies Ltd Apia</w:t>
            </w:r>
          </w:p>
        </w:tc>
        <w:tc>
          <w:tcPr>
            <w:tcW w:w="3708" w:type="dxa"/>
            <w:shd w:val="clear" w:color="auto" w:fill="auto"/>
          </w:tcPr>
          <w:p w14:paraId="76ECA504" w14:textId="77777777" w:rsidR="00A71B0D" w:rsidRPr="00D9348B" w:rsidRDefault="00A71B0D" w:rsidP="00390016">
            <w:pPr>
              <w:pStyle w:val="TableText"/>
              <w:spacing w:before="50"/>
              <w:rPr>
                <w:rFonts w:eastAsia="Calibri" w:cs="Calibri"/>
                <w:szCs w:val="16"/>
              </w:rPr>
            </w:pPr>
            <w:r w:rsidRPr="00D9348B">
              <w:rPr>
                <w:rFonts w:eastAsia="Calibri" w:cs="Calibri"/>
                <w:szCs w:val="16"/>
              </w:rPr>
              <w:t>Fuel prices and volumes supplied for shipping and on-atoll use of diesel, petrol, kerosene and lubricant oil</w:t>
            </w:r>
          </w:p>
        </w:tc>
      </w:tr>
      <w:tr w:rsidR="00A71B0D" w:rsidRPr="00D9348B" w14:paraId="58D9713E" w14:textId="77777777" w:rsidTr="00390E89">
        <w:tc>
          <w:tcPr>
            <w:tcW w:w="567" w:type="dxa"/>
            <w:shd w:val="clear" w:color="auto" w:fill="FFFFFF"/>
          </w:tcPr>
          <w:p w14:paraId="25009A0E" w14:textId="77777777" w:rsidR="00A71B0D" w:rsidRPr="00D9348B" w:rsidRDefault="00A71B0D" w:rsidP="00390016">
            <w:pPr>
              <w:pStyle w:val="TableText"/>
              <w:spacing w:before="50"/>
              <w:rPr>
                <w:rFonts w:eastAsia="Calibri" w:cs="Calibri"/>
                <w:b/>
                <w:bCs/>
                <w:szCs w:val="16"/>
              </w:rPr>
            </w:pPr>
            <w:r w:rsidRPr="00D9348B">
              <w:rPr>
                <w:rFonts w:eastAsia="Calibri" w:cs="Calibri"/>
                <w:b/>
                <w:bCs/>
                <w:szCs w:val="16"/>
              </w:rPr>
              <w:t>8</w:t>
            </w:r>
          </w:p>
        </w:tc>
        <w:tc>
          <w:tcPr>
            <w:tcW w:w="1521" w:type="dxa"/>
            <w:shd w:val="clear" w:color="auto" w:fill="auto"/>
          </w:tcPr>
          <w:p w14:paraId="2322D50B" w14:textId="77777777" w:rsidR="00A71B0D" w:rsidRPr="00D9348B" w:rsidRDefault="00A71B0D" w:rsidP="00390016">
            <w:pPr>
              <w:pStyle w:val="TableText"/>
              <w:spacing w:before="50"/>
              <w:rPr>
                <w:rFonts w:eastAsia="Calibri" w:cs="Calibri"/>
                <w:szCs w:val="16"/>
              </w:rPr>
            </w:pPr>
            <w:r w:rsidRPr="00D9348B">
              <w:rPr>
                <w:rFonts w:eastAsia="Calibri" w:cs="Calibri"/>
                <w:szCs w:val="16"/>
              </w:rPr>
              <w:t>DoF</w:t>
            </w:r>
          </w:p>
        </w:tc>
        <w:tc>
          <w:tcPr>
            <w:tcW w:w="2709" w:type="dxa"/>
            <w:shd w:val="clear" w:color="auto" w:fill="auto"/>
          </w:tcPr>
          <w:p w14:paraId="0A53C531" w14:textId="77777777" w:rsidR="00A71B0D" w:rsidRPr="00D9348B" w:rsidRDefault="00A71B0D" w:rsidP="00390016">
            <w:pPr>
              <w:pStyle w:val="TableText"/>
              <w:spacing w:before="50"/>
              <w:rPr>
                <w:rFonts w:eastAsia="Calibri" w:cs="Calibri"/>
                <w:szCs w:val="16"/>
              </w:rPr>
            </w:pPr>
            <w:r w:rsidRPr="00D9348B">
              <w:rPr>
                <w:rFonts w:eastAsia="Calibri" w:cs="Calibri"/>
                <w:szCs w:val="16"/>
              </w:rPr>
              <w:t>Tokelau Department of Finance</w:t>
            </w:r>
          </w:p>
        </w:tc>
        <w:tc>
          <w:tcPr>
            <w:tcW w:w="3708" w:type="dxa"/>
            <w:shd w:val="clear" w:color="auto" w:fill="auto"/>
          </w:tcPr>
          <w:p w14:paraId="4AC09323" w14:textId="77777777" w:rsidR="00A71B0D" w:rsidRPr="00D9348B" w:rsidRDefault="00A71B0D" w:rsidP="00390016">
            <w:pPr>
              <w:pStyle w:val="TableText"/>
              <w:spacing w:before="50"/>
              <w:rPr>
                <w:rFonts w:eastAsia="Calibri" w:cs="Calibri"/>
                <w:szCs w:val="16"/>
              </w:rPr>
            </w:pPr>
            <w:r w:rsidRPr="00D9348B">
              <w:rPr>
                <w:rFonts w:eastAsia="Calibri" w:cs="Calibri"/>
                <w:szCs w:val="16"/>
              </w:rPr>
              <w:t>Paid invoices and payment records to PPS, Origin, and on-atoll stores</w:t>
            </w:r>
          </w:p>
        </w:tc>
      </w:tr>
      <w:tr w:rsidR="00A71B0D" w:rsidRPr="00D9348B" w14:paraId="149B6857" w14:textId="77777777" w:rsidTr="00390E89">
        <w:tc>
          <w:tcPr>
            <w:tcW w:w="567" w:type="dxa"/>
            <w:shd w:val="clear" w:color="auto" w:fill="FFFFFF"/>
          </w:tcPr>
          <w:p w14:paraId="28DA34F6" w14:textId="77777777" w:rsidR="00A71B0D" w:rsidRPr="00D9348B" w:rsidRDefault="00A71B0D" w:rsidP="00390016">
            <w:pPr>
              <w:pStyle w:val="TableText"/>
              <w:spacing w:before="50"/>
              <w:rPr>
                <w:rFonts w:eastAsia="Calibri" w:cs="Calibri"/>
                <w:b/>
                <w:bCs/>
                <w:szCs w:val="16"/>
              </w:rPr>
            </w:pPr>
            <w:r w:rsidRPr="00D9348B">
              <w:rPr>
                <w:rFonts w:eastAsia="Calibri" w:cs="Calibri"/>
                <w:b/>
                <w:bCs/>
                <w:szCs w:val="16"/>
              </w:rPr>
              <w:t>9</w:t>
            </w:r>
          </w:p>
        </w:tc>
        <w:tc>
          <w:tcPr>
            <w:tcW w:w="1521" w:type="dxa"/>
            <w:shd w:val="clear" w:color="auto" w:fill="auto"/>
          </w:tcPr>
          <w:p w14:paraId="562E8840" w14:textId="77777777" w:rsidR="00A71B0D" w:rsidRPr="00D9348B" w:rsidRDefault="00A71B0D" w:rsidP="00390016">
            <w:pPr>
              <w:pStyle w:val="TableText"/>
              <w:spacing w:before="50"/>
              <w:rPr>
                <w:rFonts w:eastAsia="Calibri" w:cs="Calibri"/>
                <w:szCs w:val="16"/>
              </w:rPr>
            </w:pPr>
            <w:r w:rsidRPr="00D9348B">
              <w:rPr>
                <w:rFonts w:eastAsia="Calibri" w:cs="Calibri"/>
                <w:szCs w:val="16"/>
              </w:rPr>
              <w:t>2018 vehicle survey</w:t>
            </w:r>
          </w:p>
        </w:tc>
        <w:tc>
          <w:tcPr>
            <w:tcW w:w="2709" w:type="dxa"/>
            <w:shd w:val="clear" w:color="auto" w:fill="auto"/>
          </w:tcPr>
          <w:p w14:paraId="522DD2A5" w14:textId="77777777" w:rsidR="00A71B0D" w:rsidRPr="00D9348B" w:rsidRDefault="00A71B0D" w:rsidP="00390016">
            <w:pPr>
              <w:pStyle w:val="TableText"/>
              <w:spacing w:before="50"/>
              <w:rPr>
                <w:rFonts w:eastAsia="Calibri" w:cs="Calibri"/>
                <w:szCs w:val="16"/>
              </w:rPr>
            </w:pPr>
            <w:r w:rsidRPr="00D9348B">
              <w:rPr>
                <w:rFonts w:eastAsia="Calibri" w:cs="Calibri"/>
                <w:szCs w:val="16"/>
              </w:rPr>
              <w:t>Photo survey of Tokelau motorised vehicles on-atoll, August–December 2018</w:t>
            </w:r>
          </w:p>
        </w:tc>
        <w:tc>
          <w:tcPr>
            <w:tcW w:w="3708" w:type="dxa"/>
            <w:shd w:val="clear" w:color="auto" w:fill="auto"/>
          </w:tcPr>
          <w:p w14:paraId="42F6E426" w14:textId="77777777" w:rsidR="00A71B0D" w:rsidRPr="00D9348B" w:rsidRDefault="00A71B0D" w:rsidP="00390016">
            <w:pPr>
              <w:pStyle w:val="TableText"/>
              <w:spacing w:before="50"/>
              <w:rPr>
                <w:rFonts w:eastAsia="Calibri" w:cs="Calibri"/>
                <w:szCs w:val="16"/>
              </w:rPr>
            </w:pPr>
            <w:r w:rsidRPr="00D9348B">
              <w:rPr>
                <w:rFonts w:eastAsia="Calibri" w:cs="Calibri"/>
                <w:szCs w:val="16"/>
              </w:rPr>
              <w:t>Personal communication JA Jasperse, TNSO</w:t>
            </w:r>
          </w:p>
        </w:tc>
      </w:tr>
      <w:tr w:rsidR="00A71B0D" w:rsidRPr="00D9348B" w14:paraId="40ECFDE8" w14:textId="77777777" w:rsidTr="00390E89">
        <w:tc>
          <w:tcPr>
            <w:tcW w:w="567" w:type="dxa"/>
            <w:shd w:val="clear" w:color="auto" w:fill="FFFFFF"/>
          </w:tcPr>
          <w:p w14:paraId="28FE7F9D" w14:textId="77777777" w:rsidR="00A71B0D" w:rsidRPr="00D9348B" w:rsidRDefault="00A71B0D" w:rsidP="00390016">
            <w:pPr>
              <w:pStyle w:val="TableText"/>
              <w:spacing w:before="50"/>
              <w:rPr>
                <w:rFonts w:eastAsia="Calibri" w:cs="Calibri"/>
                <w:b/>
                <w:bCs/>
                <w:szCs w:val="16"/>
              </w:rPr>
            </w:pPr>
            <w:r w:rsidRPr="00D9348B">
              <w:rPr>
                <w:rFonts w:eastAsia="Calibri" w:cs="Calibri"/>
                <w:b/>
                <w:bCs/>
                <w:szCs w:val="16"/>
              </w:rPr>
              <w:t>10</w:t>
            </w:r>
          </w:p>
        </w:tc>
        <w:tc>
          <w:tcPr>
            <w:tcW w:w="1521" w:type="dxa"/>
            <w:shd w:val="clear" w:color="auto" w:fill="auto"/>
          </w:tcPr>
          <w:p w14:paraId="467271BE" w14:textId="77777777" w:rsidR="00A71B0D" w:rsidRPr="00D9348B" w:rsidRDefault="00A71B0D" w:rsidP="00390016">
            <w:pPr>
              <w:pStyle w:val="TableText"/>
              <w:spacing w:before="50"/>
              <w:rPr>
                <w:rFonts w:eastAsia="Calibri" w:cs="Calibri"/>
                <w:szCs w:val="16"/>
              </w:rPr>
            </w:pPr>
            <w:r w:rsidRPr="00D9348B">
              <w:rPr>
                <w:rFonts w:eastAsia="Calibri" w:cs="Calibri"/>
                <w:szCs w:val="16"/>
              </w:rPr>
              <w:t>Origin</w:t>
            </w:r>
          </w:p>
        </w:tc>
        <w:tc>
          <w:tcPr>
            <w:tcW w:w="2709" w:type="dxa"/>
            <w:shd w:val="clear" w:color="auto" w:fill="auto"/>
          </w:tcPr>
          <w:p w14:paraId="2F825958" w14:textId="77777777" w:rsidR="00A71B0D" w:rsidRPr="00D9348B" w:rsidRDefault="00A71B0D" w:rsidP="00390016">
            <w:pPr>
              <w:pStyle w:val="TableText"/>
              <w:spacing w:before="50"/>
              <w:rPr>
                <w:rFonts w:eastAsia="Calibri" w:cs="Calibri"/>
                <w:szCs w:val="16"/>
              </w:rPr>
            </w:pPr>
            <w:r w:rsidRPr="00D9348B">
              <w:rPr>
                <w:rFonts w:eastAsia="Calibri" w:cs="Calibri"/>
                <w:szCs w:val="16"/>
              </w:rPr>
              <w:t>Origin Energy Samoa Ltd, Apia</w:t>
            </w:r>
          </w:p>
        </w:tc>
        <w:tc>
          <w:tcPr>
            <w:tcW w:w="3708" w:type="dxa"/>
            <w:shd w:val="clear" w:color="auto" w:fill="auto"/>
          </w:tcPr>
          <w:p w14:paraId="36AA5E36" w14:textId="77777777" w:rsidR="00A71B0D" w:rsidRPr="00D9348B" w:rsidRDefault="00A71B0D" w:rsidP="00390016">
            <w:pPr>
              <w:pStyle w:val="TableText"/>
              <w:spacing w:before="50"/>
              <w:rPr>
                <w:rFonts w:eastAsia="Calibri" w:cs="Calibri"/>
                <w:szCs w:val="16"/>
              </w:rPr>
            </w:pPr>
            <w:r w:rsidRPr="00D9348B">
              <w:rPr>
                <w:rFonts w:eastAsia="Calibri" w:cs="Calibri"/>
                <w:szCs w:val="16"/>
              </w:rPr>
              <w:t>Prices and volumes supplied for on-atoll use of propane for cooking</w:t>
            </w:r>
          </w:p>
        </w:tc>
      </w:tr>
      <w:tr w:rsidR="00A71B0D" w:rsidRPr="00D9348B" w14:paraId="4C637939" w14:textId="77777777" w:rsidTr="00390E89">
        <w:tc>
          <w:tcPr>
            <w:tcW w:w="567" w:type="dxa"/>
            <w:shd w:val="clear" w:color="auto" w:fill="FFFFFF"/>
          </w:tcPr>
          <w:p w14:paraId="5ED58146" w14:textId="77777777" w:rsidR="00A71B0D" w:rsidRPr="00D9348B" w:rsidRDefault="00A71B0D" w:rsidP="00390016">
            <w:pPr>
              <w:pStyle w:val="TableText"/>
              <w:spacing w:before="50"/>
              <w:rPr>
                <w:rFonts w:eastAsia="Calibri" w:cs="Calibri"/>
                <w:b/>
                <w:bCs/>
                <w:szCs w:val="16"/>
              </w:rPr>
            </w:pPr>
            <w:r w:rsidRPr="00D9348B">
              <w:rPr>
                <w:rFonts w:eastAsia="Calibri" w:cs="Calibri"/>
                <w:b/>
                <w:bCs/>
                <w:szCs w:val="16"/>
              </w:rPr>
              <w:t>11</w:t>
            </w:r>
          </w:p>
        </w:tc>
        <w:tc>
          <w:tcPr>
            <w:tcW w:w="1521" w:type="dxa"/>
            <w:shd w:val="clear" w:color="auto" w:fill="auto"/>
          </w:tcPr>
          <w:p w14:paraId="3FCD4C05" w14:textId="77777777" w:rsidR="00A71B0D" w:rsidRPr="00D9348B" w:rsidRDefault="00A71B0D" w:rsidP="00390016">
            <w:pPr>
              <w:pStyle w:val="TableText"/>
              <w:spacing w:before="50"/>
              <w:rPr>
                <w:rFonts w:eastAsia="Calibri" w:cs="Calibri"/>
                <w:szCs w:val="16"/>
              </w:rPr>
            </w:pPr>
            <w:r w:rsidRPr="00D9348B">
              <w:rPr>
                <w:rFonts w:eastAsia="Calibri" w:cs="Calibri"/>
                <w:szCs w:val="16"/>
              </w:rPr>
              <w:t>PCTrade-Green</w:t>
            </w:r>
          </w:p>
        </w:tc>
        <w:tc>
          <w:tcPr>
            <w:tcW w:w="2709" w:type="dxa"/>
            <w:shd w:val="clear" w:color="auto" w:fill="auto"/>
          </w:tcPr>
          <w:p w14:paraId="41EA43BE" w14:textId="77777777" w:rsidR="00A71B0D" w:rsidRPr="00D9348B" w:rsidRDefault="00A71B0D" w:rsidP="00390016">
            <w:pPr>
              <w:pStyle w:val="TableText"/>
              <w:spacing w:before="50"/>
              <w:rPr>
                <w:rFonts w:eastAsia="Calibri" w:cs="Calibri"/>
                <w:szCs w:val="16"/>
              </w:rPr>
            </w:pPr>
            <w:r w:rsidRPr="00D9348B">
              <w:rPr>
                <w:rFonts w:eastAsia="Calibri" w:cs="Calibri"/>
                <w:szCs w:val="16"/>
              </w:rPr>
              <w:t>Excel version of PCTrade package developed by StatsNZ, Christchurch</w:t>
            </w:r>
          </w:p>
        </w:tc>
        <w:tc>
          <w:tcPr>
            <w:tcW w:w="3708" w:type="dxa"/>
            <w:shd w:val="clear" w:color="auto" w:fill="auto"/>
          </w:tcPr>
          <w:p w14:paraId="5335A764" w14:textId="77777777" w:rsidR="00A71B0D" w:rsidRPr="00D9348B" w:rsidRDefault="00A71B0D" w:rsidP="00390016">
            <w:pPr>
              <w:pStyle w:val="TableText"/>
              <w:spacing w:before="50"/>
              <w:rPr>
                <w:rFonts w:eastAsia="Calibri" w:cs="Calibri"/>
                <w:szCs w:val="16"/>
              </w:rPr>
            </w:pPr>
            <w:r w:rsidRPr="00D9348B">
              <w:rPr>
                <w:rFonts w:eastAsia="Calibri" w:cs="Calibri"/>
                <w:szCs w:val="16"/>
              </w:rPr>
              <w:t>Used for analysing cargo shipping manifests, providing number of return voyages Apia–Tokelau over time, imports of goods, and exports of recyclables to date (2014 – June 2019 data available)</w:t>
            </w:r>
          </w:p>
        </w:tc>
      </w:tr>
      <w:tr w:rsidR="00A71B0D" w:rsidRPr="00D9348B" w14:paraId="643869BB" w14:textId="77777777" w:rsidTr="00390E89">
        <w:tc>
          <w:tcPr>
            <w:tcW w:w="567" w:type="dxa"/>
            <w:shd w:val="clear" w:color="auto" w:fill="FFFFFF"/>
          </w:tcPr>
          <w:p w14:paraId="1F2E6E01" w14:textId="77777777" w:rsidR="00A71B0D" w:rsidRPr="00D9348B" w:rsidRDefault="00A71B0D" w:rsidP="00390016">
            <w:pPr>
              <w:pStyle w:val="TableText"/>
              <w:spacing w:before="50"/>
              <w:rPr>
                <w:rFonts w:eastAsia="Calibri" w:cs="Calibri"/>
                <w:b/>
                <w:bCs/>
                <w:szCs w:val="16"/>
              </w:rPr>
            </w:pPr>
            <w:r w:rsidRPr="00D9348B">
              <w:rPr>
                <w:rFonts w:eastAsia="Calibri" w:cs="Calibri"/>
                <w:b/>
                <w:bCs/>
                <w:szCs w:val="16"/>
              </w:rPr>
              <w:t>12</w:t>
            </w:r>
          </w:p>
        </w:tc>
        <w:tc>
          <w:tcPr>
            <w:tcW w:w="1521" w:type="dxa"/>
            <w:shd w:val="clear" w:color="auto" w:fill="auto"/>
          </w:tcPr>
          <w:p w14:paraId="533EDE39" w14:textId="77777777" w:rsidR="00A71B0D" w:rsidRPr="00D9348B" w:rsidRDefault="00A71B0D" w:rsidP="00390016">
            <w:pPr>
              <w:pStyle w:val="TableText"/>
              <w:spacing w:before="50"/>
              <w:rPr>
                <w:rFonts w:eastAsia="Calibri" w:cs="Calibri"/>
                <w:szCs w:val="16"/>
              </w:rPr>
            </w:pPr>
            <w:r w:rsidRPr="00D9348B">
              <w:rPr>
                <w:rFonts w:eastAsia="Calibri" w:cs="Calibri"/>
                <w:szCs w:val="16"/>
              </w:rPr>
              <w:t>DoH</w:t>
            </w:r>
          </w:p>
        </w:tc>
        <w:tc>
          <w:tcPr>
            <w:tcW w:w="2709" w:type="dxa"/>
            <w:shd w:val="clear" w:color="auto" w:fill="auto"/>
          </w:tcPr>
          <w:p w14:paraId="2DE023F3" w14:textId="77777777" w:rsidR="00A71B0D" w:rsidRPr="00D9348B" w:rsidRDefault="00A71B0D" w:rsidP="00390016">
            <w:pPr>
              <w:pStyle w:val="TableText"/>
              <w:spacing w:before="50"/>
              <w:rPr>
                <w:rFonts w:eastAsia="Calibri" w:cs="Calibri"/>
                <w:szCs w:val="16"/>
              </w:rPr>
            </w:pPr>
            <w:r w:rsidRPr="00D9348B">
              <w:rPr>
                <w:rFonts w:eastAsia="Calibri" w:cs="Calibri"/>
                <w:szCs w:val="16"/>
              </w:rPr>
              <w:t>Tokelau Department of Health</w:t>
            </w:r>
          </w:p>
        </w:tc>
        <w:tc>
          <w:tcPr>
            <w:tcW w:w="3708" w:type="dxa"/>
            <w:shd w:val="clear" w:color="auto" w:fill="auto"/>
          </w:tcPr>
          <w:p w14:paraId="0ACFE2B1" w14:textId="77777777" w:rsidR="00A71B0D" w:rsidRPr="00D9348B" w:rsidRDefault="00A71B0D" w:rsidP="00390016">
            <w:pPr>
              <w:pStyle w:val="TableText"/>
              <w:spacing w:before="50"/>
              <w:rPr>
                <w:rFonts w:eastAsia="Calibri" w:cs="Calibri"/>
                <w:szCs w:val="16"/>
              </w:rPr>
            </w:pPr>
            <w:r w:rsidRPr="00D9348B">
              <w:rPr>
                <w:rFonts w:eastAsia="Calibri" w:cs="Calibri"/>
                <w:szCs w:val="16"/>
              </w:rPr>
              <w:t>Anecdotal information on inhalers, laser gas, fire extinguishers</w:t>
            </w:r>
          </w:p>
        </w:tc>
      </w:tr>
      <w:tr w:rsidR="00A71B0D" w:rsidRPr="00D9348B" w14:paraId="58543BD2" w14:textId="77777777" w:rsidTr="00390E89">
        <w:tc>
          <w:tcPr>
            <w:tcW w:w="567" w:type="dxa"/>
            <w:shd w:val="clear" w:color="auto" w:fill="FFFFFF"/>
          </w:tcPr>
          <w:p w14:paraId="633D0512" w14:textId="77777777" w:rsidR="00A71B0D" w:rsidRPr="00D9348B" w:rsidRDefault="00A71B0D" w:rsidP="00390016">
            <w:pPr>
              <w:pStyle w:val="TableText"/>
              <w:spacing w:before="50"/>
              <w:rPr>
                <w:rFonts w:eastAsia="Calibri" w:cs="Calibri"/>
                <w:b/>
                <w:bCs/>
                <w:szCs w:val="16"/>
              </w:rPr>
            </w:pPr>
            <w:r w:rsidRPr="00D9348B">
              <w:rPr>
                <w:rFonts w:eastAsia="Calibri" w:cs="Calibri"/>
                <w:b/>
                <w:bCs/>
                <w:szCs w:val="16"/>
              </w:rPr>
              <w:t>13</w:t>
            </w:r>
          </w:p>
        </w:tc>
        <w:tc>
          <w:tcPr>
            <w:tcW w:w="1521" w:type="dxa"/>
            <w:shd w:val="clear" w:color="auto" w:fill="auto"/>
          </w:tcPr>
          <w:p w14:paraId="36F87116" w14:textId="77777777" w:rsidR="00A71B0D" w:rsidRPr="00D9348B" w:rsidRDefault="00A71B0D" w:rsidP="00390016">
            <w:pPr>
              <w:pStyle w:val="TableText"/>
              <w:spacing w:before="50"/>
              <w:rPr>
                <w:rFonts w:eastAsia="Calibri" w:cs="Calibri"/>
                <w:szCs w:val="16"/>
              </w:rPr>
            </w:pPr>
            <w:r w:rsidRPr="00D9348B">
              <w:rPr>
                <w:rFonts w:eastAsia="Calibri" w:cs="Calibri"/>
                <w:szCs w:val="16"/>
              </w:rPr>
              <w:t>TSS</w:t>
            </w:r>
          </w:p>
        </w:tc>
        <w:tc>
          <w:tcPr>
            <w:tcW w:w="2709" w:type="dxa"/>
            <w:shd w:val="clear" w:color="auto" w:fill="auto"/>
          </w:tcPr>
          <w:p w14:paraId="741721E5" w14:textId="77777777" w:rsidR="00A71B0D" w:rsidRPr="00D9348B" w:rsidRDefault="00A71B0D" w:rsidP="00390016">
            <w:pPr>
              <w:pStyle w:val="TableText"/>
              <w:spacing w:before="50"/>
              <w:rPr>
                <w:rFonts w:eastAsia="Calibri" w:cs="Calibri"/>
                <w:szCs w:val="16"/>
              </w:rPr>
            </w:pPr>
            <w:r w:rsidRPr="00D9348B">
              <w:rPr>
                <w:rFonts w:eastAsia="Calibri" w:cs="Calibri"/>
                <w:szCs w:val="16"/>
              </w:rPr>
              <w:t>Tokelau Department of Transport and Support Services, Apia</w:t>
            </w:r>
          </w:p>
        </w:tc>
        <w:tc>
          <w:tcPr>
            <w:tcW w:w="3708" w:type="dxa"/>
            <w:shd w:val="clear" w:color="auto" w:fill="auto"/>
          </w:tcPr>
          <w:p w14:paraId="367C4448" w14:textId="77777777" w:rsidR="00A71B0D" w:rsidRPr="00D9348B" w:rsidRDefault="00A71B0D" w:rsidP="00390016">
            <w:pPr>
              <w:pStyle w:val="TableText"/>
              <w:spacing w:before="50"/>
              <w:rPr>
                <w:rFonts w:eastAsia="Calibri" w:cs="Calibri"/>
                <w:szCs w:val="16"/>
              </w:rPr>
            </w:pPr>
            <w:r w:rsidRPr="00D9348B">
              <w:rPr>
                <w:rFonts w:eastAsia="Calibri" w:cs="Calibri"/>
                <w:szCs w:val="16"/>
              </w:rPr>
              <w:t>Cargo shipping manifests for analysis of imports of all goods, and export of recyclables</w:t>
            </w:r>
          </w:p>
        </w:tc>
      </w:tr>
      <w:tr w:rsidR="00A71B0D" w:rsidRPr="00D9348B" w14:paraId="788F9612" w14:textId="77777777" w:rsidTr="00390E89">
        <w:tc>
          <w:tcPr>
            <w:tcW w:w="567" w:type="dxa"/>
            <w:shd w:val="clear" w:color="auto" w:fill="FFFFFF"/>
          </w:tcPr>
          <w:p w14:paraId="3287D3F0" w14:textId="77777777" w:rsidR="00A71B0D" w:rsidRPr="00D9348B" w:rsidRDefault="00A71B0D" w:rsidP="00390016">
            <w:pPr>
              <w:pStyle w:val="TableTextBold"/>
              <w:spacing w:before="50"/>
              <w:rPr>
                <w:rFonts w:eastAsia="Calibri"/>
                <w:noProof w:val="0"/>
              </w:rPr>
            </w:pPr>
            <w:r w:rsidRPr="00D9348B">
              <w:rPr>
                <w:rFonts w:eastAsia="Calibri"/>
                <w:noProof w:val="0"/>
              </w:rPr>
              <w:t>14</w:t>
            </w:r>
          </w:p>
        </w:tc>
        <w:tc>
          <w:tcPr>
            <w:tcW w:w="1521" w:type="dxa"/>
            <w:shd w:val="clear" w:color="auto" w:fill="auto"/>
          </w:tcPr>
          <w:p w14:paraId="1FDA6034" w14:textId="77777777" w:rsidR="00A71B0D" w:rsidRPr="00D9348B" w:rsidRDefault="00A71B0D" w:rsidP="00390016">
            <w:pPr>
              <w:pStyle w:val="TableText"/>
              <w:keepNext/>
              <w:spacing w:before="50"/>
              <w:rPr>
                <w:rFonts w:eastAsia="Calibri" w:cs="Calibri"/>
                <w:szCs w:val="16"/>
              </w:rPr>
            </w:pPr>
            <w:r w:rsidRPr="00D9348B">
              <w:rPr>
                <w:rFonts w:eastAsia="Calibri" w:cs="Calibri"/>
                <w:szCs w:val="16"/>
              </w:rPr>
              <w:t>2014 Imports study</w:t>
            </w:r>
          </w:p>
        </w:tc>
        <w:tc>
          <w:tcPr>
            <w:tcW w:w="2709" w:type="dxa"/>
            <w:shd w:val="clear" w:color="auto" w:fill="auto"/>
          </w:tcPr>
          <w:p w14:paraId="17A95F58" w14:textId="77777777" w:rsidR="00A71B0D" w:rsidRPr="00D9348B" w:rsidRDefault="00A71B0D" w:rsidP="00390016">
            <w:pPr>
              <w:pStyle w:val="TableText"/>
              <w:keepNext/>
              <w:spacing w:before="50"/>
              <w:rPr>
                <w:rFonts w:eastAsia="Calibri" w:cs="Calibri"/>
                <w:szCs w:val="16"/>
              </w:rPr>
            </w:pPr>
            <w:r w:rsidRPr="00D9348B">
              <w:rPr>
                <w:rFonts w:eastAsia="Calibri" w:cs="Calibri"/>
                <w:szCs w:val="16"/>
              </w:rPr>
              <w:t>Jasperse</w:t>
            </w:r>
            <w:r w:rsidRPr="00D9348B">
              <w:rPr>
                <w:rFonts w:eastAsia="Calibri" w:cs="Calibri"/>
                <w:i/>
                <w:iCs/>
                <w:szCs w:val="16"/>
              </w:rPr>
              <w:t xml:space="preserve"> </w:t>
            </w:r>
            <w:r w:rsidRPr="00D9348B">
              <w:rPr>
                <w:rFonts w:eastAsia="Calibri" w:cs="Calibri"/>
                <w:szCs w:val="16"/>
              </w:rPr>
              <w:t xml:space="preserve">JA. 2016. </w:t>
            </w:r>
            <w:r w:rsidRPr="00D9348B">
              <w:rPr>
                <w:rFonts w:eastAsia="Calibri" w:cs="Calibri"/>
                <w:i/>
                <w:iCs/>
                <w:szCs w:val="16"/>
              </w:rPr>
              <w:t>Analysis of 2014 imports into Tokelau from Samoa, Part 2: Stores’ invoices reconciled with cargo manifests, and quality of life implications</w:t>
            </w:r>
            <w:r w:rsidRPr="00D9348B">
              <w:rPr>
                <w:rFonts w:eastAsia="Calibri" w:cs="Calibri"/>
                <w:szCs w:val="16"/>
              </w:rPr>
              <w:t xml:space="preserve">, Tokelau National Statistics Office </w:t>
            </w:r>
          </w:p>
        </w:tc>
        <w:tc>
          <w:tcPr>
            <w:tcW w:w="3708" w:type="dxa"/>
            <w:shd w:val="clear" w:color="auto" w:fill="auto"/>
          </w:tcPr>
          <w:p w14:paraId="57BB6C23" w14:textId="77777777" w:rsidR="00A71B0D" w:rsidRPr="00D9348B" w:rsidRDefault="00A71B0D" w:rsidP="00390016">
            <w:pPr>
              <w:pStyle w:val="TableText"/>
              <w:keepNext/>
              <w:spacing w:before="50" w:after="0"/>
              <w:rPr>
                <w:rFonts w:eastAsia="Calibri" w:cs="Calibri"/>
                <w:szCs w:val="16"/>
              </w:rPr>
            </w:pPr>
            <w:r w:rsidRPr="00D9348B">
              <w:rPr>
                <w:rFonts w:eastAsia="Calibri" w:cs="Calibri"/>
                <w:szCs w:val="16"/>
              </w:rPr>
              <w:t>Various Energy and Waste sector data, for example, calculation of per capita protein consumption</w:t>
            </w:r>
          </w:p>
          <w:p w14:paraId="4C306B42" w14:textId="77777777" w:rsidR="00A71B0D" w:rsidRPr="00D9348B" w:rsidRDefault="00DA6C03" w:rsidP="00390016">
            <w:pPr>
              <w:pStyle w:val="TableText"/>
              <w:keepNext/>
              <w:spacing w:before="50"/>
              <w:rPr>
                <w:rFonts w:eastAsia="Calibri" w:cs="Calibri"/>
                <w:szCs w:val="16"/>
              </w:rPr>
            </w:pPr>
            <w:hyperlink r:id="rId258" w:history="1">
              <w:r w:rsidR="00A71B0D" w:rsidRPr="00D9348B">
                <w:rPr>
                  <w:rStyle w:val="Hyperlink"/>
                  <w:rFonts w:eastAsia="Calibri" w:cs="Calibri"/>
                  <w:color w:val="auto"/>
                  <w:szCs w:val="16"/>
                </w:rPr>
                <w:t>www.tokelau.org.nz/Bulletin/September+2016/2014+imports+final.html</w:t>
              </w:r>
            </w:hyperlink>
          </w:p>
        </w:tc>
      </w:tr>
      <w:tr w:rsidR="00A71B0D" w:rsidRPr="00D9348B" w14:paraId="249418EA" w14:textId="77777777" w:rsidTr="00390E89">
        <w:tc>
          <w:tcPr>
            <w:tcW w:w="567" w:type="dxa"/>
            <w:shd w:val="clear" w:color="auto" w:fill="FFFFFF"/>
          </w:tcPr>
          <w:p w14:paraId="377D1B3D" w14:textId="77777777" w:rsidR="00A71B0D" w:rsidRPr="00D9348B" w:rsidRDefault="00A71B0D" w:rsidP="00390016">
            <w:pPr>
              <w:pStyle w:val="TableText"/>
              <w:spacing w:before="50"/>
              <w:rPr>
                <w:rFonts w:eastAsia="Calibri" w:cs="Calibri"/>
                <w:b/>
                <w:bCs/>
                <w:szCs w:val="16"/>
              </w:rPr>
            </w:pPr>
            <w:r w:rsidRPr="00D9348B">
              <w:rPr>
                <w:rFonts w:eastAsia="Calibri" w:cs="Calibri"/>
                <w:b/>
                <w:bCs/>
                <w:szCs w:val="16"/>
              </w:rPr>
              <w:t>15</w:t>
            </w:r>
          </w:p>
        </w:tc>
        <w:tc>
          <w:tcPr>
            <w:tcW w:w="1521" w:type="dxa"/>
            <w:shd w:val="clear" w:color="auto" w:fill="auto"/>
          </w:tcPr>
          <w:p w14:paraId="558ABFD0" w14:textId="77777777" w:rsidR="00A71B0D" w:rsidRPr="00D9348B" w:rsidRDefault="00A71B0D" w:rsidP="00390016">
            <w:pPr>
              <w:pStyle w:val="TableText"/>
              <w:spacing w:before="50"/>
              <w:rPr>
                <w:rFonts w:eastAsia="Calibri" w:cs="Calibri"/>
                <w:szCs w:val="16"/>
              </w:rPr>
            </w:pPr>
            <w:r w:rsidRPr="00D9348B">
              <w:rPr>
                <w:rFonts w:eastAsia="Calibri" w:cs="Calibri"/>
                <w:szCs w:val="16"/>
              </w:rPr>
              <w:t>EDNRE</w:t>
            </w:r>
          </w:p>
        </w:tc>
        <w:tc>
          <w:tcPr>
            <w:tcW w:w="2709" w:type="dxa"/>
            <w:shd w:val="clear" w:color="auto" w:fill="auto"/>
          </w:tcPr>
          <w:p w14:paraId="46ED616F" w14:textId="77777777" w:rsidR="00A71B0D" w:rsidRPr="00D9348B" w:rsidRDefault="00A71B0D" w:rsidP="00390016">
            <w:pPr>
              <w:pStyle w:val="TableText"/>
              <w:spacing w:before="50"/>
              <w:rPr>
                <w:rFonts w:eastAsia="Calibri" w:cs="Calibri"/>
                <w:szCs w:val="16"/>
              </w:rPr>
            </w:pPr>
            <w:r w:rsidRPr="00D9348B">
              <w:rPr>
                <w:rFonts w:eastAsia="Calibri" w:cs="Calibri"/>
                <w:szCs w:val="16"/>
              </w:rPr>
              <w:t>Tokelau Department of Economic Development, Natural Resources and Environment</w:t>
            </w:r>
          </w:p>
        </w:tc>
        <w:tc>
          <w:tcPr>
            <w:tcW w:w="3708" w:type="dxa"/>
            <w:shd w:val="clear" w:color="auto" w:fill="auto"/>
          </w:tcPr>
          <w:p w14:paraId="1BBFB51F" w14:textId="77777777" w:rsidR="00A71B0D" w:rsidRPr="00D9348B" w:rsidRDefault="00A71B0D" w:rsidP="00390016">
            <w:pPr>
              <w:pStyle w:val="TableText"/>
              <w:spacing w:before="50"/>
              <w:rPr>
                <w:rFonts w:eastAsia="Calibri" w:cs="Calibri"/>
                <w:szCs w:val="16"/>
              </w:rPr>
            </w:pPr>
            <w:r w:rsidRPr="00D9348B">
              <w:rPr>
                <w:rFonts w:eastAsia="Calibri" w:cs="Calibri"/>
                <w:szCs w:val="16"/>
              </w:rPr>
              <w:t>Anecdotal information on waste disposal and export</w:t>
            </w:r>
          </w:p>
        </w:tc>
      </w:tr>
      <w:tr w:rsidR="00A71B0D" w:rsidRPr="00D9348B" w14:paraId="5C6FB501" w14:textId="77777777" w:rsidTr="00390E89">
        <w:tc>
          <w:tcPr>
            <w:tcW w:w="567" w:type="dxa"/>
            <w:shd w:val="clear" w:color="auto" w:fill="FFFFFF"/>
          </w:tcPr>
          <w:p w14:paraId="608C9AC1" w14:textId="77777777" w:rsidR="00A71B0D" w:rsidRPr="00D9348B" w:rsidRDefault="00A71B0D" w:rsidP="00390016">
            <w:pPr>
              <w:pStyle w:val="TableText"/>
              <w:spacing w:before="50"/>
              <w:rPr>
                <w:rFonts w:eastAsia="Calibri" w:cs="Calibri"/>
                <w:b/>
                <w:bCs/>
                <w:szCs w:val="16"/>
              </w:rPr>
            </w:pPr>
            <w:r w:rsidRPr="00D9348B">
              <w:rPr>
                <w:rFonts w:eastAsia="Calibri" w:cs="Calibri"/>
                <w:b/>
                <w:bCs/>
                <w:szCs w:val="16"/>
              </w:rPr>
              <w:t>16</w:t>
            </w:r>
          </w:p>
        </w:tc>
        <w:tc>
          <w:tcPr>
            <w:tcW w:w="1521" w:type="dxa"/>
            <w:shd w:val="clear" w:color="auto" w:fill="auto"/>
          </w:tcPr>
          <w:p w14:paraId="0D19BE79" w14:textId="77777777" w:rsidR="00A71B0D" w:rsidRPr="00D9348B" w:rsidRDefault="00A71B0D" w:rsidP="00390016">
            <w:pPr>
              <w:pStyle w:val="TableText"/>
              <w:spacing w:before="50"/>
              <w:rPr>
                <w:rFonts w:eastAsia="Calibri" w:cs="Calibri"/>
                <w:szCs w:val="16"/>
              </w:rPr>
            </w:pPr>
            <w:r w:rsidRPr="00D9348B">
              <w:rPr>
                <w:rFonts w:eastAsia="Calibri" w:cs="Calibri"/>
                <w:szCs w:val="16"/>
              </w:rPr>
              <w:t>PCRAFI</w:t>
            </w:r>
          </w:p>
        </w:tc>
        <w:tc>
          <w:tcPr>
            <w:tcW w:w="2709" w:type="dxa"/>
            <w:shd w:val="clear" w:color="auto" w:fill="auto"/>
          </w:tcPr>
          <w:p w14:paraId="2FACF210" w14:textId="77777777" w:rsidR="00A71B0D" w:rsidRPr="00D9348B" w:rsidRDefault="00A71B0D" w:rsidP="00390016">
            <w:pPr>
              <w:pStyle w:val="TableText"/>
              <w:spacing w:before="50"/>
              <w:rPr>
                <w:rFonts w:eastAsia="Calibri" w:cs="Calibri"/>
                <w:szCs w:val="16"/>
              </w:rPr>
            </w:pPr>
            <w:r w:rsidRPr="00D9348B">
              <w:rPr>
                <w:rFonts w:eastAsia="Calibri" w:cs="Calibri"/>
                <w:szCs w:val="16"/>
              </w:rPr>
              <w:t xml:space="preserve">Koroisamanunu, Iva; Joy Papao; Mereoni Ketewai; and Arieta Sokota: </w:t>
            </w:r>
            <w:r w:rsidRPr="00D9348B">
              <w:rPr>
                <w:rFonts w:eastAsia="Calibri" w:cs="Calibri"/>
                <w:i/>
                <w:iCs/>
                <w:szCs w:val="16"/>
              </w:rPr>
              <w:t>Mission Preliminary Report (Fieldwork undertaken from 8 August – 2 September 2013). SOPAC technical note (PR193)</w:t>
            </w:r>
            <w:r w:rsidRPr="00D9348B">
              <w:rPr>
                <w:rFonts w:eastAsia="Calibri" w:cs="Calibri"/>
                <w:szCs w:val="16"/>
              </w:rPr>
              <w:t>, May 2014. Water and Sanitation Programme and Disaster Reduction Programme. Applied Geoscience and Technology Division (SOPAC), Suva, Fiji Islands</w:t>
            </w:r>
          </w:p>
        </w:tc>
        <w:tc>
          <w:tcPr>
            <w:tcW w:w="3708" w:type="dxa"/>
            <w:shd w:val="clear" w:color="auto" w:fill="auto"/>
          </w:tcPr>
          <w:p w14:paraId="18CF1BF1" w14:textId="77777777" w:rsidR="00A71B0D" w:rsidRPr="00D9348B" w:rsidRDefault="00A71B0D" w:rsidP="00390016">
            <w:pPr>
              <w:pStyle w:val="TableText"/>
              <w:spacing w:before="50"/>
              <w:rPr>
                <w:rFonts w:eastAsia="Calibri" w:cs="Calibri"/>
                <w:szCs w:val="16"/>
              </w:rPr>
            </w:pPr>
            <w:r w:rsidRPr="00D9348B">
              <w:rPr>
                <w:rFonts w:eastAsia="Calibri" w:cs="Calibri"/>
                <w:szCs w:val="16"/>
              </w:rPr>
              <w:t>Information on drinking water, wastewater and sanitation</w:t>
            </w:r>
          </w:p>
        </w:tc>
      </w:tr>
      <w:tr w:rsidR="00A71B0D" w:rsidRPr="00D9348B" w14:paraId="25D36D4A" w14:textId="77777777" w:rsidTr="00390E89">
        <w:tc>
          <w:tcPr>
            <w:tcW w:w="567" w:type="dxa"/>
            <w:shd w:val="clear" w:color="auto" w:fill="FFFFFF"/>
          </w:tcPr>
          <w:p w14:paraId="447FDA01" w14:textId="77777777" w:rsidR="00A71B0D" w:rsidRPr="00D9348B" w:rsidRDefault="00A71B0D" w:rsidP="00390016">
            <w:pPr>
              <w:pStyle w:val="TableText"/>
              <w:spacing w:before="50"/>
              <w:rPr>
                <w:rFonts w:eastAsia="Calibri" w:cs="Calibri"/>
                <w:b/>
                <w:bCs/>
                <w:szCs w:val="16"/>
              </w:rPr>
            </w:pPr>
            <w:r w:rsidRPr="00D9348B">
              <w:rPr>
                <w:rFonts w:eastAsia="Calibri" w:cs="Calibri"/>
                <w:b/>
                <w:bCs/>
                <w:szCs w:val="16"/>
              </w:rPr>
              <w:t>17</w:t>
            </w:r>
          </w:p>
        </w:tc>
        <w:tc>
          <w:tcPr>
            <w:tcW w:w="1521" w:type="dxa"/>
            <w:shd w:val="clear" w:color="auto" w:fill="auto"/>
          </w:tcPr>
          <w:p w14:paraId="77DB2EC1" w14:textId="77777777" w:rsidR="00A71B0D" w:rsidRPr="00D9348B" w:rsidRDefault="00A71B0D" w:rsidP="00390016">
            <w:pPr>
              <w:pStyle w:val="TableText"/>
              <w:spacing w:before="50"/>
              <w:rPr>
                <w:rFonts w:eastAsia="Calibri" w:cs="Calibri"/>
                <w:szCs w:val="16"/>
              </w:rPr>
            </w:pPr>
            <w:r w:rsidRPr="00D9348B">
              <w:rPr>
                <w:rFonts w:eastAsia="Calibri" w:cs="Calibri"/>
                <w:szCs w:val="16"/>
              </w:rPr>
              <w:t>MiCORE</w:t>
            </w:r>
          </w:p>
        </w:tc>
        <w:tc>
          <w:tcPr>
            <w:tcW w:w="2709" w:type="dxa"/>
            <w:shd w:val="clear" w:color="auto" w:fill="auto"/>
          </w:tcPr>
          <w:p w14:paraId="2E9D8C83" w14:textId="77777777" w:rsidR="00A71B0D" w:rsidRPr="00D9348B" w:rsidRDefault="00A71B0D" w:rsidP="00390016">
            <w:pPr>
              <w:pStyle w:val="TableText"/>
              <w:spacing w:before="50"/>
              <w:rPr>
                <w:rFonts w:eastAsia="Calibri" w:cs="Calibri"/>
                <w:szCs w:val="16"/>
              </w:rPr>
            </w:pPr>
            <w:r w:rsidRPr="00D9348B">
              <w:rPr>
                <w:rFonts w:eastAsia="Calibri" w:cs="Calibri"/>
                <w:szCs w:val="16"/>
              </w:rPr>
              <w:t>Tokelau Ministry of Climate, Oceans and Resilience</w:t>
            </w:r>
          </w:p>
        </w:tc>
        <w:tc>
          <w:tcPr>
            <w:tcW w:w="3708" w:type="dxa"/>
            <w:shd w:val="clear" w:color="auto" w:fill="auto"/>
          </w:tcPr>
          <w:p w14:paraId="6D2454BB" w14:textId="77777777" w:rsidR="00A71B0D" w:rsidRPr="00D9348B" w:rsidRDefault="00A71B0D" w:rsidP="00390016">
            <w:pPr>
              <w:pStyle w:val="TableText"/>
              <w:spacing w:before="50"/>
              <w:rPr>
                <w:rFonts w:eastAsia="Calibri" w:cs="Calibri"/>
                <w:szCs w:val="16"/>
              </w:rPr>
            </w:pPr>
            <w:r w:rsidRPr="00D9348B">
              <w:rPr>
                <w:rFonts w:eastAsia="Calibri" w:cs="Calibri"/>
                <w:szCs w:val="16"/>
              </w:rPr>
              <w:t>Partner to Memorandum of Understanding (MOU) with New Zealand Ministry for the Environment (MfE) leading to the present inventory</w:t>
            </w:r>
          </w:p>
        </w:tc>
      </w:tr>
    </w:tbl>
    <w:p w14:paraId="3B148454" w14:textId="77777777" w:rsidR="00A71B0D" w:rsidRPr="00D9348B" w:rsidRDefault="00A71B0D" w:rsidP="00A71B0D">
      <w:pPr>
        <w:pStyle w:val="Heading5"/>
        <w:spacing w:before="480"/>
      </w:pPr>
      <w:r w:rsidRPr="00D9348B">
        <w:lastRenderedPageBreak/>
        <w:t>Tokelau’s data and information in the Common Reporting Format Reporter</w:t>
      </w:r>
    </w:p>
    <w:p w14:paraId="1D255931" w14:textId="77777777" w:rsidR="00A71B0D" w:rsidRPr="00D9348B" w:rsidRDefault="00A71B0D" w:rsidP="00A71B0D">
      <w:pPr>
        <w:pStyle w:val="BodyText"/>
        <w:spacing w:before="100" w:after="100"/>
      </w:pPr>
      <w:r w:rsidRPr="00D9348B">
        <w:t xml:space="preserve">Because methodologies for estimating emissions in Tokelau and New Zealand differ, adding Tokelau and New Zealand’s activity data at a category level and estimating combined emissions within each category is currently not possible. Due to limitations of the CRF software, including specific categories for Tokelau consistently across all inventory sectors was also not possible. </w:t>
      </w:r>
    </w:p>
    <w:p w14:paraId="3CDB7C00" w14:textId="77777777" w:rsidR="00A71B0D" w:rsidRPr="00D9348B" w:rsidRDefault="00A71B0D" w:rsidP="00A71B0D">
      <w:pPr>
        <w:pStyle w:val="BodyText"/>
        <w:spacing w:before="100" w:after="100"/>
      </w:pPr>
      <w:r w:rsidRPr="00D9348B">
        <w:t xml:space="preserve">Tokelau requested New Zealand’s inventory team to maintain visibility of the data from Tokelau in the CRF, so that Tokelau officials could use them for other reporting and policy purposes. Reporting Tokelau as a different inventory sector provides this visibility. </w:t>
      </w:r>
    </w:p>
    <w:p w14:paraId="4B30E59D" w14:textId="4C562EE8" w:rsidR="00A71B0D" w:rsidRPr="00D9348B" w:rsidRDefault="00A71B0D" w:rsidP="00A71B0D">
      <w:pPr>
        <w:pStyle w:val="BodyText"/>
        <w:spacing w:before="100" w:after="100"/>
      </w:pPr>
      <w:r w:rsidRPr="00D9348B">
        <w:t xml:space="preserve">To maintain transparency of the inventory and visibility of the GHG data from Tokelau, CRF sector 6 (Other) was used to present emissions from Tokelau by sector in the CRF. Currently, the CRF Reporter does not allow creating subcategory levels in sector 6. To avoid double counting in the CRF, the data and information are aggregated for each of the Energy, IPPU, </w:t>
      </w:r>
      <w:proofErr w:type="gramStart"/>
      <w:r w:rsidRPr="00D9348B">
        <w:t>Agriculture</w:t>
      </w:r>
      <w:proofErr w:type="gramEnd"/>
      <w:r w:rsidRPr="00D9348B">
        <w:t xml:space="preserve"> and Waste sectors. In addition, annex 7 includes detailed tables with</w:t>
      </w:r>
      <w:r w:rsidR="00DA0C50" w:rsidRPr="00D9348B">
        <w:t> </w:t>
      </w:r>
      <w:r w:rsidRPr="00D9348B">
        <w:t xml:space="preserve">time series from 1990 to 2018 for each category reported for Tokelau. For comparability reasons, these tables are in the same format as the CRF entry tables, and the table names follow the CRF naming convention for emission categories. The executive summary and chapter 2 of the National Inventory Report include comparisons between Tokelau and New Zealand’s emissions. </w:t>
      </w:r>
    </w:p>
    <w:p w14:paraId="2DE59B2B" w14:textId="77777777" w:rsidR="00A71B0D" w:rsidRPr="00D9348B" w:rsidRDefault="00A71B0D" w:rsidP="00DA0C50">
      <w:pPr>
        <w:pStyle w:val="Heading3"/>
        <w:spacing w:before="280"/>
      </w:pPr>
      <w:r w:rsidRPr="00D9348B">
        <w:t>8.1.4</w:t>
      </w:r>
      <w:r w:rsidRPr="00D9348B">
        <w:tab/>
        <w:t>Recalculation and improvements</w:t>
      </w:r>
    </w:p>
    <w:p w14:paraId="5C7E8002" w14:textId="64FE8405" w:rsidR="00A71B0D" w:rsidRPr="00D9348B" w:rsidRDefault="00A71B0D" w:rsidP="00A71B0D">
      <w:pPr>
        <w:pStyle w:val="BodyText"/>
        <w:spacing w:before="100" w:after="100"/>
        <w:rPr>
          <w:rFonts w:eastAsia="Arial"/>
        </w:rPr>
      </w:pPr>
      <w:r w:rsidRPr="00D9348B">
        <w:rPr>
          <w:lang w:eastAsia="en-GB"/>
        </w:rPr>
        <w:t xml:space="preserve">There have been significant changes and improvements in the Tokelau emission estimates since the 2019 submission. These improvements are a combination of refinements as a result of historic information coming to hand (for electricity in 2004 and for transport 1990–2014); improved fuel calculations (based on a full year rather than 9 months; estimated number of roundtrips Apia–Tokelau during 1990–2014; average fuel use per trip), and the correction of errors including to the number of pigs. </w:t>
      </w:r>
      <w:r w:rsidRPr="00D9348B">
        <w:rPr>
          <w:rFonts w:eastAsia="Arial"/>
        </w:rPr>
        <w:t>Improvements and recalculations made for the Tokelau</w:t>
      </w:r>
      <w:r w:rsidR="00DA0C50" w:rsidRPr="00D9348B">
        <w:rPr>
          <w:rFonts w:eastAsia="Arial"/>
        </w:rPr>
        <w:t> </w:t>
      </w:r>
      <w:r w:rsidRPr="00D9348B">
        <w:rPr>
          <w:rFonts w:eastAsia="Arial"/>
        </w:rPr>
        <w:t>sector have resulted in a 13 per cent (–0.5 kt CO</w:t>
      </w:r>
      <w:r w:rsidRPr="00D9348B">
        <w:rPr>
          <w:rFonts w:eastAsia="Arial"/>
          <w:vertAlign w:val="subscript"/>
        </w:rPr>
        <w:t>2</w:t>
      </w:r>
      <w:r w:rsidRPr="00D9348B">
        <w:rPr>
          <w:rFonts w:eastAsia="Arial"/>
        </w:rPr>
        <w:t>-e) decrease in emissions in 1990 and</w:t>
      </w:r>
      <w:r w:rsidR="00DA0C50" w:rsidRPr="00D9348B">
        <w:rPr>
          <w:rFonts w:eastAsia="Arial"/>
        </w:rPr>
        <w:t> </w:t>
      </w:r>
      <w:r w:rsidRPr="00D9348B">
        <w:rPr>
          <w:rFonts w:eastAsia="Arial"/>
        </w:rPr>
        <w:t>a 22.9 per cent (0.7 kt CO</w:t>
      </w:r>
      <w:r w:rsidRPr="00D9348B">
        <w:rPr>
          <w:rFonts w:eastAsia="Arial"/>
          <w:vertAlign w:val="subscript"/>
        </w:rPr>
        <w:t>2</w:t>
      </w:r>
      <w:r w:rsidRPr="00D9348B">
        <w:rPr>
          <w:rFonts w:eastAsia="Arial"/>
        </w:rPr>
        <w:t xml:space="preserve">-e) increase in emissions in 2017. </w:t>
      </w:r>
    </w:p>
    <w:p w14:paraId="7C01C030" w14:textId="2643B31B" w:rsidR="00A71B0D" w:rsidRPr="00D9348B" w:rsidRDefault="00A71B0D" w:rsidP="00A71B0D">
      <w:pPr>
        <w:pStyle w:val="BodyText"/>
        <w:spacing w:before="100" w:after="100"/>
        <w:rPr>
          <w:lang w:eastAsia="en-GB"/>
        </w:rPr>
      </w:pPr>
      <w:r w:rsidRPr="00D9348B">
        <w:rPr>
          <w:lang w:eastAsia="en-GB"/>
        </w:rPr>
        <w:t>The previously reported decrease of on-island diesel use of 80 per cent in 2012 negated an increase of 400 per cent in 2004, when Tokelau households and the public sector got access to</w:t>
      </w:r>
      <w:r w:rsidR="00DA0C50" w:rsidRPr="00D9348B">
        <w:rPr>
          <w:lang w:eastAsia="en-GB"/>
        </w:rPr>
        <w:t> </w:t>
      </w:r>
      <w:r w:rsidRPr="00D9348B">
        <w:rPr>
          <w:lang w:eastAsia="en-GB"/>
        </w:rPr>
        <w:t xml:space="preserve">electric power for 24 hours, 7 days a week. </w:t>
      </w:r>
    </w:p>
    <w:p w14:paraId="6A36EE1E" w14:textId="77777777" w:rsidR="00A71B0D" w:rsidRPr="00D9348B" w:rsidRDefault="00A71B0D" w:rsidP="00A71B0D">
      <w:pPr>
        <w:pStyle w:val="BodyText"/>
        <w:spacing w:before="100" w:after="100"/>
        <w:rPr>
          <w:lang w:eastAsia="en-GB"/>
        </w:rPr>
      </w:pPr>
      <w:r w:rsidRPr="00D9348B">
        <w:rPr>
          <w:lang w:eastAsia="en-GB"/>
        </w:rPr>
        <w:t xml:space="preserve">Several other improvements and minor corrections have been made to all categories, in the process of automating the calculation of Tokelau’s emissions using a model developed in an Excel spreadsheet, based on the IPPC reporting framework. It requires annual updates of input data such as fuel purchases, number of voyages (roundtrips Apia–Tokelau, inter-island trips) and 5 yearly Census data to be input into a single worksheet. </w:t>
      </w:r>
    </w:p>
    <w:p w14:paraId="5859D854" w14:textId="77777777" w:rsidR="00A71B0D" w:rsidRPr="00D9348B" w:rsidRDefault="00A71B0D" w:rsidP="00A71B0D">
      <w:pPr>
        <w:pStyle w:val="BodyText"/>
        <w:spacing w:before="100" w:after="100"/>
        <w:rPr>
          <w:lang w:eastAsia="en-GB"/>
        </w:rPr>
      </w:pPr>
      <w:r w:rsidRPr="00D9348B">
        <w:rPr>
          <w:lang w:eastAsia="en-GB"/>
        </w:rPr>
        <w:t>Further details on improvements can be found under methodological issues for each category as relevant and also in chapter 10.</w:t>
      </w:r>
    </w:p>
    <w:p w14:paraId="09CCE9C8" w14:textId="77777777" w:rsidR="00A71B0D" w:rsidRPr="00D9348B" w:rsidRDefault="00A71B0D" w:rsidP="00DA0C50">
      <w:pPr>
        <w:pStyle w:val="Heading2"/>
        <w:spacing w:before="280"/>
      </w:pPr>
      <w:bookmarkStart w:id="2973" w:name="_Toc5269394"/>
      <w:bookmarkStart w:id="2974" w:name="_Toc36224434"/>
      <w:r w:rsidRPr="00D9348B">
        <w:t xml:space="preserve">8.2 </w:t>
      </w:r>
      <w:r w:rsidRPr="00D9348B">
        <w:tab/>
        <w:t>Energy emissions from Tokelau (CRF 6. Tokelau_1)</w:t>
      </w:r>
      <w:bookmarkEnd w:id="2973"/>
      <w:bookmarkEnd w:id="2974"/>
    </w:p>
    <w:p w14:paraId="15315A47" w14:textId="77777777" w:rsidR="00A71B0D" w:rsidRPr="00D9348B" w:rsidRDefault="00A71B0D" w:rsidP="00A71B0D">
      <w:pPr>
        <w:pStyle w:val="BodyText"/>
      </w:pPr>
      <w:r w:rsidRPr="00D9348B">
        <w:t>The total amount of all energy emissions in Tokelau in 2018 was 1.85 kt CO</w:t>
      </w:r>
      <w:r w:rsidRPr="00D9348B">
        <w:rPr>
          <w:vertAlign w:val="subscript"/>
        </w:rPr>
        <w:t>2</w:t>
      </w:r>
      <w:r w:rsidRPr="00D9348B">
        <w:t xml:space="preserve">-e. They contributed 51.2 per cent to the total emissions from Tokelau and 0.0023 per cent to New Zealand’s gross emissions including Tokelau. The categories that contributed to the energy emissions were </w:t>
      </w:r>
      <w:r w:rsidRPr="00D9348B">
        <w:rPr>
          <w:i/>
        </w:rPr>
        <w:t>Domestic navigation</w:t>
      </w:r>
      <w:r w:rsidRPr="00D9348B">
        <w:t>,</w:t>
      </w:r>
      <w:r w:rsidRPr="00D9348B">
        <w:rPr>
          <w:i/>
        </w:rPr>
        <w:t xml:space="preserve"> Public electricity and heat production </w:t>
      </w:r>
      <w:r w:rsidRPr="00D9348B">
        <w:t>and</w:t>
      </w:r>
      <w:r w:rsidRPr="00D9348B">
        <w:rPr>
          <w:i/>
        </w:rPr>
        <w:t xml:space="preserve"> Residential</w:t>
      </w:r>
      <w:r w:rsidRPr="00D9348B">
        <w:t xml:space="preserve">. </w:t>
      </w:r>
    </w:p>
    <w:p w14:paraId="2161073F" w14:textId="77777777" w:rsidR="00A71B0D" w:rsidRPr="00D9348B" w:rsidRDefault="00A71B0D" w:rsidP="00A71B0D">
      <w:pPr>
        <w:pStyle w:val="BodyText"/>
        <w:spacing w:before="100" w:after="100"/>
      </w:pPr>
      <w:r w:rsidRPr="00D9348B">
        <w:lastRenderedPageBreak/>
        <w:t xml:space="preserve">For all energy categories, emissions were estimated using the Tier 1 methodological approach with default emission factors (2006 IPCC Guidelines). Default uncertainty values from the 2006 IPCC Guidelines were used for all estimates (IPCC, 2006a). </w:t>
      </w:r>
    </w:p>
    <w:p w14:paraId="225FD13B" w14:textId="77777777" w:rsidR="00A71B0D" w:rsidRPr="00D9348B" w:rsidRDefault="00A71B0D" w:rsidP="00A71B0D">
      <w:pPr>
        <w:pStyle w:val="BodyText"/>
        <w:spacing w:before="100" w:after="100"/>
        <w:rPr>
          <w:lang w:eastAsia="en-GB"/>
        </w:rPr>
      </w:pPr>
      <w:r w:rsidRPr="00D9348B">
        <w:rPr>
          <w:lang w:eastAsia="en-GB"/>
        </w:rPr>
        <w:t xml:space="preserve">Tokelau predominately uses diesel oil and petrol (for back-up generators and transport) and liquefied petroleum gas (LPG) (for cooking purposes). Solid fuels are not used in Tokelau, other than on a small scale and are not estimated, for instance the husks of </w:t>
      </w:r>
      <w:r w:rsidRPr="00D9348B">
        <w:t>locally</w:t>
      </w:r>
      <w:r w:rsidRPr="00D9348B">
        <w:rPr>
          <w:lang w:eastAsia="en-GB"/>
        </w:rPr>
        <w:t xml:space="preserve"> grown coconuts. </w:t>
      </w:r>
    </w:p>
    <w:p w14:paraId="50EA9A00" w14:textId="77777777" w:rsidR="00A71B0D" w:rsidRPr="00D9348B" w:rsidRDefault="00A71B0D" w:rsidP="00A71B0D">
      <w:pPr>
        <w:pStyle w:val="BodyText"/>
        <w:spacing w:before="100" w:after="100"/>
        <w:rPr>
          <w:lang w:eastAsia="en-GB"/>
        </w:rPr>
      </w:pPr>
      <w:r w:rsidRPr="00D9348B">
        <w:rPr>
          <w:lang w:eastAsia="en-GB"/>
        </w:rPr>
        <w:t xml:space="preserve">Miniscule amounts of other fossil fuels are imported by Tokelau, which are assumed to be combusted. These include gasoline, other kerosene and lubricants: their combustion is accounted for under </w:t>
      </w:r>
      <w:r w:rsidRPr="00D9348B">
        <w:rPr>
          <w:i/>
          <w:lang w:eastAsia="en-GB"/>
        </w:rPr>
        <w:t>Gas/diesel oil</w:t>
      </w:r>
      <w:r w:rsidRPr="00D9348B">
        <w:rPr>
          <w:lang w:eastAsia="en-GB"/>
        </w:rPr>
        <w:t xml:space="preserve">. Approximately 40 drums (205-litre capacity per drum) of oil were imported annually, the bulk of which was presumably mixed with petrol and used for ‘outboard’ engines and combusted, with only a few drums used to lubricate cars and other engines. Because none of those were recycled, combustion is the most likely outcome. Oil changes carried out in Apia during servicing of the ferries </w:t>
      </w:r>
      <w:r w:rsidRPr="00D9348B">
        <w:rPr>
          <w:i/>
          <w:lang w:eastAsia="en-GB"/>
        </w:rPr>
        <w:t>Mataliki</w:t>
      </w:r>
      <w:r w:rsidRPr="00D9348B">
        <w:rPr>
          <w:lang w:eastAsia="en-GB"/>
        </w:rPr>
        <w:t xml:space="preserve"> and </w:t>
      </w:r>
      <w:r w:rsidRPr="00D9348B">
        <w:rPr>
          <w:i/>
          <w:lang w:eastAsia="en-GB"/>
        </w:rPr>
        <w:t>Kalopaga</w:t>
      </w:r>
      <w:r w:rsidRPr="00D9348B">
        <w:rPr>
          <w:lang w:eastAsia="en-GB"/>
        </w:rPr>
        <w:t>, after every five roundtrips, has the more significant amount of waste oil remaining in Samoa not Tokelau.</w:t>
      </w:r>
    </w:p>
    <w:p w14:paraId="5322DC79" w14:textId="77777777" w:rsidR="00A71B0D" w:rsidRPr="00D9348B" w:rsidRDefault="00A71B0D" w:rsidP="00A71B0D">
      <w:pPr>
        <w:pStyle w:val="BodyText"/>
        <w:spacing w:before="100" w:after="100"/>
        <w:rPr>
          <w:lang w:eastAsia="en-GB"/>
        </w:rPr>
      </w:pPr>
      <w:r w:rsidRPr="00D9348B">
        <w:rPr>
          <w:lang w:eastAsia="en-GB"/>
        </w:rPr>
        <w:t>For consistency with New Zealand’s Energy sector, gross calorific values were used for Energy sector estimates from Tokelau. The relevant default IPCC emission factors were adjusted accordingly by multiplying them by 0.95 and 0.90 for liquid and gaseous fuels respectively.</w:t>
      </w:r>
    </w:p>
    <w:p w14:paraId="7B70EC10" w14:textId="77777777" w:rsidR="00A71B0D" w:rsidRPr="00D9348B" w:rsidRDefault="00A71B0D" w:rsidP="00A71B0D">
      <w:pPr>
        <w:pStyle w:val="Heading3"/>
        <w:spacing w:before="280"/>
      </w:pPr>
      <w:r w:rsidRPr="00D9348B">
        <w:t xml:space="preserve">8.2.1 </w:t>
      </w:r>
      <w:r w:rsidRPr="00D9348B">
        <w:tab/>
        <w:t>Reference approach</w:t>
      </w:r>
    </w:p>
    <w:p w14:paraId="361D2769" w14:textId="77777777" w:rsidR="00A71B0D" w:rsidRPr="00D9348B" w:rsidRDefault="00A71B0D" w:rsidP="00A71B0D">
      <w:pPr>
        <w:pStyle w:val="BodyText"/>
        <w:spacing w:before="100" w:after="100"/>
        <w:rPr>
          <w:lang w:eastAsia="en-GB"/>
        </w:rPr>
      </w:pPr>
      <w:r w:rsidRPr="00D9348B">
        <w:rPr>
          <w:lang w:eastAsia="en-GB"/>
        </w:rPr>
        <w:t xml:space="preserve">The reference approach calculations were performed according to the methods described in the 2006 IPCC Guidelines. Equations 6.1 – 6.4 from chapter 6 in the 2006 IPCC Guidelines were used for calculating apparent consumption and estimating emissions (IPCC, 2006a). Gross calorific values were used for all calculations. </w:t>
      </w:r>
    </w:p>
    <w:p w14:paraId="177DBBE4" w14:textId="77777777" w:rsidR="00A71B0D" w:rsidRPr="00D9348B" w:rsidRDefault="00A71B0D" w:rsidP="00A71B0D">
      <w:pPr>
        <w:pStyle w:val="BodyText"/>
        <w:spacing w:before="100" w:after="100"/>
        <w:rPr>
          <w:lang w:eastAsia="en-GB"/>
        </w:rPr>
      </w:pPr>
      <w:r w:rsidRPr="00D9348B">
        <w:rPr>
          <w:lang w:eastAsia="en-GB"/>
        </w:rPr>
        <w:t>In 2018, total CO</w:t>
      </w:r>
      <w:r w:rsidRPr="00D9348B">
        <w:rPr>
          <w:vertAlign w:val="subscript"/>
          <w:lang w:eastAsia="en-GB"/>
        </w:rPr>
        <w:t>2</w:t>
      </w:r>
      <w:r w:rsidRPr="00D9348B">
        <w:rPr>
          <w:lang w:eastAsia="en-GB"/>
        </w:rPr>
        <w:t xml:space="preserve"> emissions from the reference approach in Tokelau were 1.80 kt, which differs from the sectoral approach by 2.0 per cent. The average variation of differences between the sectoral and reference approach across the time series was 2.2 per cent. </w:t>
      </w:r>
    </w:p>
    <w:p w14:paraId="4D9DDE03" w14:textId="77777777" w:rsidR="00A71B0D" w:rsidRPr="00D9348B" w:rsidRDefault="00A71B0D" w:rsidP="00A71B0D">
      <w:pPr>
        <w:pStyle w:val="Heading3"/>
        <w:spacing w:before="280"/>
      </w:pPr>
      <w:r w:rsidRPr="00D9348B">
        <w:rPr>
          <w:lang w:eastAsia="en-GB"/>
        </w:rPr>
        <w:t>8.2.2</w:t>
      </w:r>
      <w:r w:rsidRPr="00D9348B">
        <w:rPr>
          <w:lang w:eastAsia="en-GB"/>
        </w:rPr>
        <w:tab/>
        <w:t>International bunker fuels</w:t>
      </w:r>
    </w:p>
    <w:p w14:paraId="3C5AFE2B" w14:textId="77777777" w:rsidR="00A71B0D" w:rsidRPr="00D9348B" w:rsidRDefault="00A71B0D" w:rsidP="00A71B0D">
      <w:pPr>
        <w:pStyle w:val="BodyText"/>
        <w:spacing w:before="100" w:after="100"/>
        <w:rPr>
          <w:lang w:eastAsia="en-GB"/>
        </w:rPr>
      </w:pPr>
      <w:r w:rsidRPr="00D9348B">
        <w:rPr>
          <w:lang w:eastAsia="en-GB"/>
        </w:rPr>
        <w:t>There is no fuel usage for international navigation in Tokelau, because only domestic voyages are made by Tokelau’s vessels. All international voyages use the fuel loaded in Samoa and there is no refuelling in Tokelau for the international routes.</w:t>
      </w:r>
    </w:p>
    <w:p w14:paraId="09D592BD" w14:textId="77777777" w:rsidR="00A71B0D" w:rsidRPr="00D9348B" w:rsidRDefault="00A71B0D" w:rsidP="00A71B0D">
      <w:pPr>
        <w:pStyle w:val="BodyText"/>
        <w:spacing w:before="100" w:after="100"/>
        <w:rPr>
          <w:lang w:eastAsia="en-GB"/>
        </w:rPr>
      </w:pPr>
      <w:r w:rsidRPr="00D9348B">
        <w:rPr>
          <w:lang w:eastAsia="en-GB"/>
        </w:rPr>
        <w:t xml:space="preserve">There is no aviation transportation (domestic or international) in Tokelau. </w:t>
      </w:r>
    </w:p>
    <w:p w14:paraId="616B0B57" w14:textId="77777777" w:rsidR="00A71B0D" w:rsidRPr="00D9348B" w:rsidRDefault="00A71B0D" w:rsidP="00A71B0D">
      <w:pPr>
        <w:pStyle w:val="Heading3"/>
        <w:spacing w:before="280"/>
      </w:pPr>
      <w:r w:rsidRPr="00D9348B">
        <w:t xml:space="preserve">8.2.3 </w:t>
      </w:r>
      <w:r w:rsidRPr="00D9348B">
        <w:tab/>
        <w:t xml:space="preserve">Stationary combustion: </w:t>
      </w:r>
      <w:r w:rsidRPr="00D9348B">
        <w:rPr>
          <w:i/>
        </w:rPr>
        <w:t>Public electricity and heat production</w:t>
      </w:r>
    </w:p>
    <w:p w14:paraId="629EE8A9" w14:textId="77777777" w:rsidR="00A71B0D" w:rsidRPr="00D9348B" w:rsidRDefault="00A71B0D" w:rsidP="009F74CF">
      <w:pPr>
        <w:pStyle w:val="Heading4"/>
        <w:spacing w:before="160"/>
      </w:pPr>
      <w:r w:rsidRPr="00D9348B">
        <w:t>Description</w:t>
      </w:r>
    </w:p>
    <w:p w14:paraId="0550965B" w14:textId="77777777" w:rsidR="00A71B0D" w:rsidRPr="00D9348B" w:rsidRDefault="00A71B0D" w:rsidP="00A71B0D">
      <w:pPr>
        <w:pStyle w:val="BodyText"/>
        <w:spacing w:before="100" w:after="100"/>
      </w:pPr>
      <w:r w:rsidRPr="00D9348B">
        <w:t xml:space="preserve">The main source of emissions from this category in Tokelau includes electricity production from back-up generators. Tokelau uses liquid fossil fuels for these purposes, therefore, only liquid fossil fuels are reported under the </w:t>
      </w:r>
      <w:r w:rsidRPr="00D9348B">
        <w:rPr>
          <w:i/>
        </w:rPr>
        <w:t>Energy industries</w:t>
      </w:r>
      <w:r w:rsidRPr="00D9348B">
        <w:t xml:space="preserve"> category. </w:t>
      </w:r>
    </w:p>
    <w:p w14:paraId="7FA4D74E" w14:textId="77777777" w:rsidR="00A71B0D" w:rsidRPr="00D9348B" w:rsidRDefault="00A71B0D" w:rsidP="00A71B0D">
      <w:pPr>
        <w:pStyle w:val="BodyText"/>
        <w:spacing w:before="100" w:after="100"/>
      </w:pPr>
      <w:r w:rsidRPr="00D9348B">
        <w:t>Like most small Pacific Island nations and territories, Tokelau has been heavily reliant on the importation of fossil fuels for energy generation. Imports increased significantly in 2004, when electric power became available for households 24 hours a day, 7 days a week. Prior to that, electricity was generated between 6 pm and 10 pm daily, and annual diesel consumption was about 20 per cent of the value in 2011.</w:t>
      </w:r>
    </w:p>
    <w:p w14:paraId="71E4B8A7" w14:textId="77777777" w:rsidR="00A71B0D" w:rsidRPr="00D9348B" w:rsidRDefault="00A71B0D" w:rsidP="00A71B0D">
      <w:pPr>
        <w:pStyle w:val="BodyText"/>
      </w:pPr>
      <w:r w:rsidRPr="00D9348B">
        <w:lastRenderedPageBreak/>
        <w:t xml:space="preserve">In 2012, the installation of about 4,000 solar panels across the three atolls was completed (figure 8.2.1). Each of the three Tokelau atolls now has a significant array of solar panels that cater for almost all local electric power requirements. </w:t>
      </w:r>
    </w:p>
    <w:p w14:paraId="6E8CDF78" w14:textId="77777777" w:rsidR="00A71B0D" w:rsidRPr="00D9348B" w:rsidRDefault="00A71B0D" w:rsidP="00A71B0D">
      <w:pPr>
        <w:pStyle w:val="Figure"/>
      </w:pPr>
      <w:bookmarkStart w:id="2975" w:name="_Toc5269725"/>
      <w:bookmarkStart w:id="2976" w:name="_Toc36292828"/>
      <w:r w:rsidRPr="00D9348B">
        <w:t xml:space="preserve">Figure 8.2.1 </w:t>
      </w:r>
      <w:r w:rsidRPr="00D9348B">
        <w:tab/>
        <w:t>Cluster block diagram for Tokelau’s solar project</w:t>
      </w:r>
      <w:bookmarkEnd w:id="2975"/>
      <w:bookmarkEnd w:id="2976"/>
    </w:p>
    <w:p w14:paraId="2D65E1BA" w14:textId="5832C861" w:rsidR="00A71B0D" w:rsidRPr="00D9348B" w:rsidRDefault="00DA6C03" w:rsidP="00A71B0D">
      <w:pPr>
        <w:pStyle w:val="BodyText"/>
      </w:pPr>
      <w:r>
        <w:pict w14:anchorId="645CD3B6">
          <v:shape id="Picture 2" o:spid="_x0000_s1099" type="#_x0000_t75" style="position:absolute;margin-left:239.1pt;margin-top:149.2pt;width:159.45pt;height:98.0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59" o:title="" croptop="27386f" cropbottom="8516f" cropleft="13960f" cropright="25892f"/>
          </v:shape>
        </w:pict>
      </w:r>
      <w:r w:rsidR="00A71B0D" w:rsidRPr="00D9348B">
        <w:t xml:space="preserve"> .</w:t>
      </w:r>
      <w:r w:rsidR="007165CF">
        <w:pict w14:anchorId="50C441EC">
          <v:shape id="_x0000_i1159" type="#_x0000_t75" style="width:378.8pt;height:219.15pt;visibility:visible;mso-wrap-style:square">
            <v:imagedata r:id="rId260" o:title="" croptop="20820f" cropbottom="21049f" cropleft="21179f" cropright="21567f"/>
          </v:shape>
        </w:pict>
      </w:r>
    </w:p>
    <w:p w14:paraId="38915C09" w14:textId="77777777" w:rsidR="00A71B0D" w:rsidRPr="00D9348B" w:rsidRDefault="00A71B0D" w:rsidP="00A71B0D">
      <w:pPr>
        <w:pStyle w:val="Source"/>
        <w:spacing w:after="120"/>
      </w:pPr>
      <w:r w:rsidRPr="00D9348B">
        <w:t xml:space="preserve">Source: SMA. </w:t>
      </w:r>
    </w:p>
    <w:p w14:paraId="3B849957" w14:textId="77777777" w:rsidR="00A71B0D" w:rsidRPr="00D9348B" w:rsidRDefault="00A71B0D" w:rsidP="00A71B0D">
      <w:pPr>
        <w:pStyle w:val="BodyText"/>
      </w:pPr>
      <w:r w:rsidRPr="00D9348B">
        <w:t>Tokelau received wide media coverage for their solar installation.</w:t>
      </w:r>
      <w:r w:rsidRPr="00D9348B">
        <w:rPr>
          <w:vertAlign w:val="superscript"/>
        </w:rPr>
        <w:footnoteReference w:id="70"/>
      </w:r>
      <w:r w:rsidRPr="00D9348B">
        <w:t xml:space="preserve"> The change resulted in a significant drop in liquid fossil fuels consumption for electricity production in Tokelau (by approximately 82.5 per cent) and a decrease of the total energy emissions by 36.4 per cent between 2011 and 2013. However, some power generation using diesel remains necessary as backup, during prolonged cloudy spells, and to meet the steadily increasing demand from households and the public sector.</w:t>
      </w:r>
    </w:p>
    <w:p w14:paraId="68FB70CD" w14:textId="77777777" w:rsidR="00A71B0D" w:rsidRPr="00D9348B" w:rsidRDefault="00A71B0D" w:rsidP="00A71B0D">
      <w:pPr>
        <w:pStyle w:val="Heading5"/>
      </w:pPr>
      <w:r w:rsidRPr="00D9348B">
        <w:t>Energy emission trends</w:t>
      </w:r>
    </w:p>
    <w:p w14:paraId="11234C48" w14:textId="65EDCE1C" w:rsidR="00A71B0D" w:rsidRPr="00D9348B" w:rsidRDefault="00A71B0D" w:rsidP="00A71B0D">
      <w:pPr>
        <w:pStyle w:val="BodyText"/>
      </w:pPr>
      <w:r w:rsidRPr="00D9348B">
        <w:rPr>
          <w:lang w:eastAsia="en-GB"/>
        </w:rPr>
        <w:t xml:space="preserve">For Tokelau, the </w:t>
      </w:r>
      <w:r w:rsidRPr="00D9348B">
        <w:rPr>
          <w:i/>
          <w:lang w:eastAsia="en-GB"/>
        </w:rPr>
        <w:t>Public electricity and heat production</w:t>
      </w:r>
      <w:r w:rsidRPr="00D9348B">
        <w:rPr>
          <w:lang w:eastAsia="en-GB"/>
        </w:rPr>
        <w:t xml:space="preserve"> category accounted for </w:t>
      </w:r>
      <w:r w:rsidRPr="00D9348B">
        <w:t>100 per cent</w:t>
      </w:r>
      <w:r w:rsidRPr="00D9348B">
        <w:rPr>
          <w:lang w:eastAsia="en-GB"/>
        </w:rPr>
        <w:t xml:space="preserve"> of the emissions from the </w:t>
      </w:r>
      <w:r w:rsidRPr="00D9348B">
        <w:rPr>
          <w:i/>
          <w:lang w:eastAsia="en-GB"/>
        </w:rPr>
        <w:t>Energy industries</w:t>
      </w:r>
      <w:r w:rsidRPr="00D9348B">
        <w:rPr>
          <w:lang w:eastAsia="en-GB"/>
        </w:rPr>
        <w:t xml:space="preserve"> category for the entire time series. In </w:t>
      </w:r>
      <w:r w:rsidRPr="00D9348B">
        <w:t>2018</w:t>
      </w:r>
      <w:r w:rsidRPr="00D9348B">
        <w:rPr>
          <w:lang w:eastAsia="en-GB"/>
        </w:rPr>
        <w:t xml:space="preserve">, emissions from the </w:t>
      </w:r>
      <w:r w:rsidRPr="00D9348B">
        <w:rPr>
          <w:i/>
          <w:lang w:eastAsia="en-GB"/>
        </w:rPr>
        <w:t>Energy industries</w:t>
      </w:r>
      <w:r w:rsidRPr="00D9348B">
        <w:rPr>
          <w:lang w:eastAsia="en-GB"/>
        </w:rPr>
        <w:t xml:space="preserve"> category totalled </w:t>
      </w:r>
      <w:r w:rsidRPr="00D9348B">
        <w:t xml:space="preserve">0.22 </w:t>
      </w:r>
      <w:r w:rsidRPr="00D9348B">
        <w:rPr>
          <w:lang w:eastAsia="en-GB"/>
        </w:rPr>
        <w:t>kt CO</w:t>
      </w:r>
      <w:r w:rsidRPr="00D9348B">
        <w:rPr>
          <w:vertAlign w:val="subscript"/>
          <w:lang w:eastAsia="en-GB"/>
        </w:rPr>
        <w:t>2</w:t>
      </w:r>
      <w:r w:rsidRPr="00D9348B">
        <w:rPr>
          <w:lang w:eastAsia="en-GB"/>
        </w:rPr>
        <w:t>-e (</w:t>
      </w:r>
      <w:r w:rsidRPr="00D9348B">
        <w:t>12.0 per cent</w:t>
      </w:r>
      <w:r w:rsidRPr="00D9348B">
        <w:rPr>
          <w:lang w:eastAsia="en-GB"/>
        </w:rPr>
        <w:t xml:space="preserve"> of all energy emissions from Tokelau). Emissions from energy industries have </w:t>
      </w:r>
      <w:r w:rsidRPr="00D9348B">
        <w:t>decreased by 0.01 </w:t>
      </w:r>
      <w:r w:rsidRPr="00D9348B">
        <w:rPr>
          <w:lang w:eastAsia="en-GB"/>
        </w:rPr>
        <w:t>kt CO</w:t>
      </w:r>
      <w:r w:rsidRPr="00D9348B">
        <w:rPr>
          <w:vertAlign w:val="subscript"/>
          <w:lang w:eastAsia="en-GB"/>
        </w:rPr>
        <w:t>2</w:t>
      </w:r>
      <w:r w:rsidRPr="00D9348B">
        <w:rPr>
          <w:lang w:eastAsia="en-GB"/>
        </w:rPr>
        <w:t>-e (–3.7</w:t>
      </w:r>
      <w:r w:rsidRPr="00D9348B">
        <w:t xml:space="preserve"> per cent</w:t>
      </w:r>
      <w:r w:rsidRPr="00D9348B">
        <w:rPr>
          <w:lang w:eastAsia="en-GB"/>
        </w:rPr>
        <w:t xml:space="preserve">) since the 1990 level of </w:t>
      </w:r>
      <w:r w:rsidRPr="00D9348B">
        <w:t xml:space="preserve">0.23 </w:t>
      </w:r>
      <w:r w:rsidRPr="00D9348B">
        <w:rPr>
          <w:lang w:eastAsia="en-GB"/>
        </w:rPr>
        <w:t>kt CO</w:t>
      </w:r>
      <w:r w:rsidRPr="00D9348B">
        <w:rPr>
          <w:vertAlign w:val="subscript"/>
          <w:lang w:eastAsia="en-GB"/>
        </w:rPr>
        <w:t>2</w:t>
      </w:r>
      <w:r w:rsidRPr="00D9348B">
        <w:rPr>
          <w:lang w:eastAsia="en-GB"/>
        </w:rPr>
        <w:t>-e. Effectively, the increase in emissions due to continuously generating electricity from fossil fuels in 2004 was offset by the decrease due to installing the solar units in 2012 and solar energy dominating the electricity production sources in Tokelau since then.</w:t>
      </w:r>
      <w:r w:rsidR="001B6A52">
        <w:t xml:space="preserve"> Figure 8.2.2</w:t>
      </w:r>
      <w:r w:rsidRPr="00D9348B">
        <w:t xml:space="preserve"> shows emission trends in the Energy sector by category for Tokelau.</w:t>
      </w:r>
    </w:p>
    <w:p w14:paraId="1232178A" w14:textId="77777777" w:rsidR="00A71B0D" w:rsidRPr="00D9348B" w:rsidRDefault="00A71B0D" w:rsidP="00A71B0D">
      <w:pPr>
        <w:pStyle w:val="Figure"/>
        <w:rPr>
          <w:rFonts w:eastAsia="Calibri"/>
        </w:rPr>
      </w:pPr>
      <w:bookmarkStart w:id="2977" w:name="_Toc36292829"/>
      <w:r w:rsidRPr="00D9348B">
        <w:rPr>
          <w:rFonts w:eastAsia="Calibri"/>
        </w:rPr>
        <w:lastRenderedPageBreak/>
        <w:t xml:space="preserve">Figure 8.2.2 </w:t>
      </w:r>
      <w:r w:rsidRPr="00D9348B">
        <w:rPr>
          <w:rFonts w:eastAsia="Calibri"/>
        </w:rPr>
        <w:tab/>
        <w:t>Energy emissions by category for Tokelau (kt CO</w:t>
      </w:r>
      <w:r w:rsidRPr="00D9348B">
        <w:rPr>
          <w:rFonts w:eastAsia="Calibri"/>
          <w:vertAlign w:val="subscript"/>
        </w:rPr>
        <w:t>2</w:t>
      </w:r>
      <w:r w:rsidRPr="00D9348B">
        <w:rPr>
          <w:rFonts w:eastAsia="Calibri"/>
        </w:rPr>
        <w:t>-e) from 1990 to 2018</w:t>
      </w:r>
      <w:bookmarkEnd w:id="2977"/>
    </w:p>
    <w:p w14:paraId="26BDB125" w14:textId="044856D0" w:rsidR="00A71B0D" w:rsidRPr="00D9348B" w:rsidRDefault="007165CF" w:rsidP="00A71B0D">
      <w:pPr>
        <w:pStyle w:val="BodyText"/>
        <w:spacing w:before="60"/>
        <w:rPr>
          <w:lang w:eastAsia="en-GB"/>
        </w:rPr>
      </w:pPr>
      <w:r>
        <w:pict w14:anchorId="09CFCF17">
          <v:shape id="_x0000_i1160" type="#_x0000_t75" style="width:401.3pt;height:209.1pt;visibility:visible;mso-wrap-style:square">
            <v:imagedata r:id="rId261" o:title="" cropbottom="3732f"/>
          </v:shape>
        </w:pict>
      </w:r>
    </w:p>
    <w:p w14:paraId="5641B221" w14:textId="77777777" w:rsidR="00A71B0D" w:rsidRPr="00D9348B" w:rsidRDefault="00A71B0D" w:rsidP="00865BDB">
      <w:pPr>
        <w:pStyle w:val="Heading4"/>
      </w:pPr>
      <w:r w:rsidRPr="00D9348B">
        <w:t>Methodological issues</w:t>
      </w:r>
    </w:p>
    <w:p w14:paraId="315B8617" w14:textId="77777777" w:rsidR="00A71B0D" w:rsidRPr="00D9348B" w:rsidRDefault="00A71B0D" w:rsidP="00A71B0D">
      <w:pPr>
        <w:pStyle w:val="Heading5"/>
        <w:spacing w:before="120"/>
      </w:pPr>
      <w:r w:rsidRPr="00D9348B">
        <w:t>Activity data</w:t>
      </w:r>
    </w:p>
    <w:p w14:paraId="1F33DBA0" w14:textId="77777777" w:rsidR="00A71B0D" w:rsidRPr="00D9348B" w:rsidRDefault="00A71B0D" w:rsidP="00A71B0D">
      <w:pPr>
        <w:pStyle w:val="BodyText"/>
        <w:rPr>
          <w:lang w:eastAsia="en-GB"/>
        </w:rPr>
      </w:pPr>
      <w:r w:rsidRPr="00D9348B">
        <w:rPr>
          <w:lang w:eastAsia="en-GB"/>
        </w:rPr>
        <w:t>The sources of activity data for the energy industries category are included in table 8.1.2. Key sources for the energy supply and consumption data are the Tokelau Department of Energy and Petroleum Product Supplies Ltd (Apia, Samoa). The Tokelau Department of Energy</w:t>
      </w:r>
      <w:r w:rsidRPr="00D9348B" w:rsidDel="003F6449">
        <w:rPr>
          <w:lang w:eastAsia="en-GB"/>
        </w:rPr>
        <w:t xml:space="preserve"> </w:t>
      </w:r>
      <w:r w:rsidRPr="00D9348B">
        <w:rPr>
          <w:lang w:eastAsia="en-GB"/>
        </w:rPr>
        <w:t xml:space="preserve">provided background data for estimates of diesel use for power generation around the time that electricity changed to 24 hours a day, 7 days a week in Tokelau in 2004; as well as before and after installation of solar panels in July–September 2012 and participated in making those estimates (item 6 in table 8.1.2). Based on purchase information, the Department of Finance provided the data on fuel prices and volumes supplied by Petroleum Product Supplies Ltd for shipping and on-atoll use of diesel, petrol, kerosene and lubricant oil (item 7 in table 8.1.2). Only liquid fossil fuels (gas and diesel oil) are used in the </w:t>
      </w:r>
      <w:r w:rsidRPr="00D9348B">
        <w:rPr>
          <w:i/>
          <w:lang w:eastAsia="en-GB"/>
        </w:rPr>
        <w:t>Energy industry</w:t>
      </w:r>
      <w:r w:rsidRPr="00D9348B">
        <w:rPr>
          <w:lang w:eastAsia="en-GB"/>
        </w:rPr>
        <w:t xml:space="preserve"> category. Because all fossil fuels in Tokelau are imported, activity data are mostly obtained from analysis of invoices from main suppliers and shipping manifests.</w:t>
      </w:r>
    </w:p>
    <w:p w14:paraId="237D569A" w14:textId="77777777" w:rsidR="00A71B0D" w:rsidRPr="00D9348B" w:rsidRDefault="00A71B0D" w:rsidP="00A71B0D">
      <w:pPr>
        <w:pStyle w:val="BodyText"/>
        <w:rPr>
          <w:lang w:eastAsia="en-GB"/>
        </w:rPr>
      </w:pPr>
      <w:r w:rsidRPr="00D9348B">
        <w:rPr>
          <w:lang w:eastAsia="en-GB"/>
        </w:rPr>
        <w:t>In the course of the analysis of available data, big discrepancies were discovered between the fuel imports shown on shipping manifests and the more reliable financial fuel purchase data that were audited. Detailed data were not available for each year from 1990</w:t>
      </w:r>
      <w:r w:rsidRPr="00D9348B">
        <w:rPr>
          <w:color w:val="000000"/>
        </w:rPr>
        <w:t>–</w:t>
      </w:r>
      <w:r w:rsidRPr="00D9348B">
        <w:rPr>
          <w:lang w:eastAsia="en-GB"/>
        </w:rPr>
        <w:t>2018 (or data reliability was not high), so a trade-off was made between data granularity and data quality. The biggest and most reliably recorded data variations are reflected in the time series. For electricity generation, there were two important events: first, the changeover to 24 hour, 7 days a week electricity in 2004 (from 6 pm to 10 pm prior to that, at an estimated 20 per cent of the 24 hour, 7 days a week</w:t>
      </w:r>
      <w:r w:rsidRPr="00D9348B" w:rsidDel="005C0F9A">
        <w:rPr>
          <w:lang w:eastAsia="en-GB"/>
        </w:rPr>
        <w:t xml:space="preserve"> </w:t>
      </w:r>
      <w:r w:rsidRPr="00D9348B">
        <w:rPr>
          <w:lang w:eastAsia="en-GB"/>
        </w:rPr>
        <w:t>value in 2011); and second the introduction of solar power in 2012. The change during 2012 due to the installation of solar units was reasonably well documented and, therefore, reflected in the time series. For the years 1990</w:t>
      </w:r>
      <w:r w:rsidRPr="00D9348B">
        <w:rPr>
          <w:color w:val="000000"/>
        </w:rPr>
        <w:t>–</w:t>
      </w:r>
      <w:r w:rsidRPr="00D9348B">
        <w:rPr>
          <w:lang w:eastAsia="en-GB"/>
        </w:rPr>
        <w:t>2003, 2005</w:t>
      </w:r>
      <w:r w:rsidRPr="00D9348B">
        <w:rPr>
          <w:color w:val="000000"/>
        </w:rPr>
        <w:t>–</w:t>
      </w:r>
      <w:r w:rsidRPr="00D9348B">
        <w:rPr>
          <w:lang w:eastAsia="en-GB"/>
        </w:rPr>
        <w:t>11 and 2013</w:t>
      </w:r>
      <w:r w:rsidRPr="00D9348B">
        <w:rPr>
          <w:color w:val="000000"/>
        </w:rPr>
        <w:t>–</w:t>
      </w:r>
      <w:r w:rsidRPr="00D9348B">
        <w:rPr>
          <w:lang w:eastAsia="en-GB"/>
        </w:rPr>
        <w:t xml:space="preserve">15, the activity data (and corresponding emissions) are shown as constant. </w:t>
      </w:r>
    </w:p>
    <w:p w14:paraId="1A7024BE" w14:textId="336B383D" w:rsidR="00A71B0D" w:rsidRPr="00D9348B" w:rsidRDefault="00A71B0D" w:rsidP="00A71B0D">
      <w:pPr>
        <w:pStyle w:val="BodyText"/>
        <w:rPr>
          <w:lang w:eastAsia="en-GB"/>
        </w:rPr>
      </w:pPr>
      <w:r w:rsidRPr="00D9348B">
        <w:rPr>
          <w:lang w:eastAsia="en-GB"/>
        </w:rPr>
        <w:t>The diesel data for 2013</w:t>
      </w:r>
      <w:r w:rsidRPr="00D9348B">
        <w:rPr>
          <w:color w:val="000000"/>
        </w:rPr>
        <w:t>–</w:t>
      </w:r>
      <w:r w:rsidRPr="00D9348B">
        <w:rPr>
          <w:lang w:eastAsia="en-GB"/>
        </w:rPr>
        <w:t>17 were entirely based on analysis during 2018 of fuel purchases, when, for the first time, Tokelau’s analysts could clearly separate out the diesel used on</w:t>
      </w:r>
      <w:r w:rsidR="00DA0C50" w:rsidRPr="00D9348B">
        <w:rPr>
          <w:lang w:eastAsia="en-GB"/>
        </w:rPr>
        <w:noBreakHyphen/>
      </w:r>
      <w:r w:rsidRPr="00D9348B">
        <w:rPr>
          <w:lang w:eastAsia="en-GB"/>
        </w:rPr>
        <w:t>atoll</w:t>
      </w:r>
      <w:r w:rsidR="00DA0C50" w:rsidRPr="00D9348B">
        <w:rPr>
          <w:lang w:eastAsia="en-GB"/>
        </w:rPr>
        <w:t> </w:t>
      </w:r>
      <w:r w:rsidRPr="00D9348B">
        <w:rPr>
          <w:lang w:eastAsia="en-GB"/>
        </w:rPr>
        <w:t>and for shipping. The methodology for such analyses that was put in place for the</w:t>
      </w:r>
      <w:r w:rsidR="00DA0C50" w:rsidRPr="00D9348B">
        <w:rPr>
          <w:lang w:eastAsia="en-GB"/>
        </w:rPr>
        <w:t> </w:t>
      </w:r>
      <w:r w:rsidRPr="00D9348B">
        <w:rPr>
          <w:lang w:eastAsia="en-GB"/>
        </w:rPr>
        <w:t>2019 inventory submission was refined for the 2020 submission and can be re-used in the</w:t>
      </w:r>
      <w:r w:rsidR="00DA0C50" w:rsidRPr="00D9348B">
        <w:rPr>
          <w:lang w:eastAsia="en-GB"/>
        </w:rPr>
        <w:t> </w:t>
      </w:r>
      <w:r w:rsidRPr="00D9348B">
        <w:rPr>
          <w:lang w:eastAsia="en-GB"/>
        </w:rPr>
        <w:t xml:space="preserve">coming years. </w:t>
      </w:r>
    </w:p>
    <w:p w14:paraId="5B3E5BD9" w14:textId="77777777" w:rsidR="00A71B0D" w:rsidRPr="00D9348B" w:rsidRDefault="00A71B0D" w:rsidP="00A71B0D">
      <w:pPr>
        <w:pStyle w:val="BodyText"/>
        <w:rPr>
          <w:lang w:eastAsia="en-GB"/>
        </w:rPr>
      </w:pPr>
      <w:r w:rsidRPr="00D9348B">
        <w:rPr>
          <w:lang w:eastAsia="en-GB"/>
        </w:rPr>
        <w:lastRenderedPageBreak/>
        <w:t>Diesel is delivered on ‘dangerous goods sailings’ to Tokelau in the ships’ fuel bunkers. On arrival, it is pumped into drums on a barge, for shipping to shore and transport to the generator sites.</w:t>
      </w:r>
    </w:p>
    <w:p w14:paraId="025670F9" w14:textId="77777777" w:rsidR="00A71B0D" w:rsidRPr="00D9348B" w:rsidRDefault="00A71B0D" w:rsidP="00A71B0D">
      <w:pPr>
        <w:pStyle w:val="Heading5"/>
      </w:pPr>
      <w:r w:rsidRPr="00D9348B">
        <w:t>Methods and emission factors</w:t>
      </w:r>
    </w:p>
    <w:p w14:paraId="4938AB77" w14:textId="77777777" w:rsidR="00A71B0D" w:rsidRPr="00D9348B" w:rsidRDefault="00A71B0D" w:rsidP="00A71B0D">
      <w:pPr>
        <w:pStyle w:val="BodyText"/>
        <w:rPr>
          <w:lang w:eastAsia="en-GB"/>
        </w:rPr>
      </w:pPr>
      <w:r w:rsidRPr="00D9348B">
        <w:rPr>
          <w:lang w:eastAsia="en-GB"/>
        </w:rPr>
        <w:t xml:space="preserve">A Tier 1 method was applied for estimating emissions from the </w:t>
      </w:r>
      <w:r w:rsidRPr="00D9348B">
        <w:rPr>
          <w:i/>
          <w:lang w:eastAsia="en-GB"/>
        </w:rPr>
        <w:t>Public electricity and heat production</w:t>
      </w:r>
      <w:r w:rsidRPr="00D9348B" w:rsidDel="00194BA4">
        <w:rPr>
          <w:i/>
          <w:lang w:eastAsia="en-GB"/>
        </w:rPr>
        <w:t xml:space="preserve"> </w:t>
      </w:r>
      <w:r w:rsidRPr="00D9348B">
        <w:rPr>
          <w:lang w:eastAsia="en-GB"/>
        </w:rPr>
        <w:t>category. The method required the data on the amount of LPG combusted in the source category and a default emissions factor from table 2.2, section 2.3.2.1, volume 2, of the 2006 IPCC Guidelines. Default emission factors from the 2006 IPCC Guidelines were converted from net calorific values to gross calorific values using the Organisation for Economic Co</w:t>
      </w:r>
      <w:r w:rsidRPr="00D9348B">
        <w:rPr>
          <w:lang w:eastAsia="en-GB"/>
        </w:rPr>
        <w:noBreakHyphen/>
        <w:t>operation and Development (OECD) and International Energy Agency (IEA) assumptions to make these conversions:</w:t>
      </w:r>
    </w:p>
    <w:p w14:paraId="1E16D81D" w14:textId="77777777" w:rsidR="00A71B0D" w:rsidRPr="00D9348B" w:rsidRDefault="00A71B0D" w:rsidP="00A71B0D">
      <w:pPr>
        <w:pStyle w:val="BodyText"/>
        <w:jc w:val="center"/>
        <w:rPr>
          <w:sz w:val="20"/>
          <w:lang w:eastAsia="en-GB"/>
        </w:rPr>
      </w:pPr>
      <w:r w:rsidRPr="00D9348B">
        <w:rPr>
          <w:sz w:val="20"/>
          <w:lang w:eastAsia="en-GB"/>
        </w:rPr>
        <w:t>Gross Emission Factor (liquid fuels) = 0.95 x Net Emission Factor</w:t>
      </w:r>
    </w:p>
    <w:p w14:paraId="6D6D9FE2" w14:textId="77777777" w:rsidR="00A71B0D" w:rsidRPr="00D9348B" w:rsidRDefault="00A71B0D" w:rsidP="00A71B0D">
      <w:pPr>
        <w:pStyle w:val="BodyText"/>
        <w:rPr>
          <w:lang w:eastAsia="en-GB"/>
        </w:rPr>
      </w:pPr>
      <w:r w:rsidRPr="00D9348B">
        <w:rPr>
          <w:lang w:eastAsia="en-GB"/>
        </w:rPr>
        <w:t xml:space="preserve">Equations 2.1 and 2.2 from section 2.3.1.1 in the 2006 IPCC Guidelines were used for estimating emissions (IPCC, 2006a). </w:t>
      </w:r>
    </w:p>
    <w:p w14:paraId="219B88A8" w14:textId="77777777" w:rsidR="00A71B0D" w:rsidRPr="00D9348B" w:rsidRDefault="00A71B0D" w:rsidP="00865BDB">
      <w:pPr>
        <w:pStyle w:val="Heading4"/>
      </w:pPr>
      <w:r w:rsidRPr="00D9348B">
        <w:t>Uncertainties</w:t>
      </w:r>
    </w:p>
    <w:p w14:paraId="66D649B4" w14:textId="77777777" w:rsidR="00A71B0D" w:rsidRPr="00D9348B" w:rsidRDefault="00A71B0D" w:rsidP="00A71B0D">
      <w:pPr>
        <w:pStyle w:val="BodyText"/>
        <w:rPr>
          <w:lang w:eastAsia="en-GB"/>
        </w:rPr>
      </w:pPr>
      <w:r w:rsidRPr="00D9348B">
        <w:rPr>
          <w:lang w:eastAsia="en-GB"/>
        </w:rPr>
        <w:t>For this submission, it was not possible to develop Tokelau-specific uncertainty values, so, for emission factors, default uncertainty values provided in the 2006 IPCC Guidelines were used for CO</w:t>
      </w:r>
      <w:r w:rsidRPr="00D9348B">
        <w:rPr>
          <w:vertAlign w:val="subscript"/>
          <w:lang w:eastAsia="en-GB"/>
        </w:rPr>
        <w:t>2</w:t>
      </w:r>
      <w:r w:rsidRPr="00D9348B">
        <w:rPr>
          <w:lang w:eastAsia="en-GB"/>
        </w:rPr>
        <w:t xml:space="preserve"> and CH</w:t>
      </w:r>
      <w:r w:rsidRPr="00D9348B">
        <w:rPr>
          <w:vertAlign w:val="subscript"/>
          <w:lang w:eastAsia="en-GB"/>
        </w:rPr>
        <w:t>4</w:t>
      </w:r>
      <w:r w:rsidRPr="00D9348B">
        <w:rPr>
          <w:lang w:eastAsia="en-GB"/>
        </w:rPr>
        <w:t xml:space="preserve"> (for public power, co-generation and district heating) (IPCC, 2006a). Because no quantified default emissions factor is provided for N</w:t>
      </w:r>
      <w:r w:rsidRPr="00D9348B">
        <w:rPr>
          <w:vertAlign w:val="subscript"/>
          <w:lang w:eastAsia="en-GB"/>
        </w:rPr>
        <w:t>2</w:t>
      </w:r>
      <w:r w:rsidRPr="00D9348B">
        <w:rPr>
          <w:lang w:eastAsia="en-GB"/>
        </w:rPr>
        <w:t>O, New Zealand’s emission factor uncertainty across the Energy sector for N</w:t>
      </w:r>
      <w:r w:rsidRPr="00D9348B">
        <w:rPr>
          <w:vertAlign w:val="subscript"/>
          <w:lang w:eastAsia="en-GB"/>
        </w:rPr>
        <w:t>2</w:t>
      </w:r>
      <w:r w:rsidRPr="00D9348B">
        <w:rPr>
          <w:lang w:eastAsia="en-GB"/>
        </w:rPr>
        <w:t xml:space="preserve">O was used for this category. </w:t>
      </w:r>
    </w:p>
    <w:p w14:paraId="45D672D4" w14:textId="77777777" w:rsidR="00A71B0D" w:rsidRPr="00D9348B" w:rsidRDefault="00A71B0D" w:rsidP="00A71B0D">
      <w:pPr>
        <w:pStyle w:val="BodyText"/>
        <w:rPr>
          <w:lang w:eastAsia="en-GB"/>
        </w:rPr>
      </w:pPr>
      <w:r w:rsidRPr="00D9348B">
        <w:rPr>
          <w:lang w:eastAsia="en-GB"/>
        </w:rPr>
        <w:t xml:space="preserve">For activity data, due to the lack of detailed pre-2018 fuel data, an upper level of the default uncertainty range for the main activity electricity and heat production associated with data extrapolation from the 2006 IPCC Guidelines was applied (IPCC, 2006a). Table 8.2.1 shows the use of uncertainties for the </w:t>
      </w:r>
      <w:r w:rsidRPr="00D9348B">
        <w:rPr>
          <w:i/>
          <w:lang w:eastAsia="en-GB"/>
        </w:rPr>
        <w:t xml:space="preserve">Energy industries </w:t>
      </w:r>
      <w:r w:rsidRPr="00D9348B">
        <w:rPr>
          <w:lang w:eastAsia="en-GB"/>
        </w:rPr>
        <w:t>category.</w:t>
      </w:r>
    </w:p>
    <w:p w14:paraId="4F001332" w14:textId="77777777" w:rsidR="00A71B0D" w:rsidRPr="00D9348B" w:rsidRDefault="00A71B0D" w:rsidP="00A71B0D">
      <w:pPr>
        <w:pStyle w:val="Table"/>
      </w:pPr>
      <w:bookmarkStart w:id="2978" w:name="_Toc5269596"/>
      <w:bookmarkStart w:id="2979" w:name="_Toc36224677"/>
      <w:r w:rsidRPr="00D9348B">
        <w:t>Table 8.2.1</w:t>
      </w:r>
      <w:r w:rsidRPr="00D9348B">
        <w:tab/>
        <w:t>Uncertainties for the Energy industries category</w:t>
      </w:r>
      <w:bookmarkEnd w:id="2978"/>
      <w:bookmarkEnd w:id="2979"/>
    </w:p>
    <w:tbl>
      <w:tblPr>
        <w:tblW w:w="8562" w:type="dxa"/>
        <w:tblInd w:w="108" w:type="dxa"/>
        <w:tblBorders>
          <w:top w:val="single" w:sz="4" w:space="0" w:color="365F91"/>
          <w:bottom w:val="single" w:sz="4" w:space="0" w:color="365F91"/>
          <w:insideH w:val="single" w:sz="4" w:space="0" w:color="365F91"/>
          <w:insideV w:val="single" w:sz="4" w:space="0" w:color="365F91"/>
        </w:tblBorders>
        <w:tblLook w:val="0420" w:firstRow="1" w:lastRow="0" w:firstColumn="0" w:lastColumn="0" w:noHBand="0" w:noVBand="1"/>
      </w:tblPr>
      <w:tblGrid>
        <w:gridCol w:w="570"/>
        <w:gridCol w:w="990"/>
        <w:gridCol w:w="1416"/>
        <w:gridCol w:w="1702"/>
        <w:gridCol w:w="3884"/>
      </w:tblGrid>
      <w:tr w:rsidR="00A71B0D" w:rsidRPr="00D9348B" w14:paraId="60FC6AF2" w14:textId="77777777" w:rsidTr="00DA0C50">
        <w:trPr>
          <w:tblHeader/>
        </w:trPr>
        <w:tc>
          <w:tcPr>
            <w:tcW w:w="333" w:type="pct"/>
            <w:shd w:val="clear" w:color="auto" w:fill="365F91"/>
            <w:noWrap/>
            <w:vAlign w:val="bottom"/>
            <w:hideMark/>
          </w:tcPr>
          <w:p w14:paraId="50ED3962" w14:textId="77777777" w:rsidR="00A71B0D" w:rsidRPr="00D9348B" w:rsidRDefault="00A71B0D" w:rsidP="00DB330E">
            <w:pPr>
              <w:pStyle w:val="TableTextBold"/>
              <w:keepNext/>
              <w:rPr>
                <w:noProof w:val="0"/>
                <w:color w:val="FFFFFF"/>
                <w:szCs w:val="16"/>
              </w:rPr>
            </w:pPr>
            <w:r w:rsidRPr="00D9348B">
              <w:rPr>
                <w:noProof w:val="0"/>
                <w:color w:val="FFFFFF"/>
                <w:szCs w:val="16"/>
              </w:rPr>
              <w:t>Gas</w:t>
            </w:r>
          </w:p>
        </w:tc>
        <w:tc>
          <w:tcPr>
            <w:tcW w:w="578" w:type="pct"/>
            <w:shd w:val="clear" w:color="auto" w:fill="365F91"/>
            <w:noWrap/>
            <w:vAlign w:val="bottom"/>
            <w:hideMark/>
          </w:tcPr>
          <w:p w14:paraId="37BF44BC" w14:textId="77777777" w:rsidR="00A71B0D" w:rsidRPr="00D9348B" w:rsidRDefault="00A71B0D" w:rsidP="00DB330E">
            <w:pPr>
              <w:pStyle w:val="TableTextBold"/>
              <w:keepNext/>
              <w:rPr>
                <w:noProof w:val="0"/>
                <w:color w:val="FFFFFF"/>
                <w:szCs w:val="16"/>
              </w:rPr>
            </w:pPr>
            <w:r w:rsidRPr="00D9348B">
              <w:rPr>
                <w:noProof w:val="0"/>
                <w:color w:val="FFFFFF"/>
                <w:szCs w:val="16"/>
              </w:rPr>
              <w:t>Fuel type</w:t>
            </w:r>
          </w:p>
        </w:tc>
        <w:tc>
          <w:tcPr>
            <w:tcW w:w="827" w:type="pct"/>
            <w:shd w:val="clear" w:color="auto" w:fill="365F91"/>
            <w:vAlign w:val="bottom"/>
            <w:hideMark/>
          </w:tcPr>
          <w:p w14:paraId="3FBCBBDC" w14:textId="77777777" w:rsidR="00A71B0D" w:rsidRPr="00D9348B" w:rsidRDefault="00A71B0D" w:rsidP="00DB330E">
            <w:pPr>
              <w:pStyle w:val="TableTextBold"/>
              <w:keepNext/>
              <w:jc w:val="center"/>
              <w:rPr>
                <w:noProof w:val="0"/>
                <w:color w:val="FFFFFF"/>
                <w:szCs w:val="16"/>
              </w:rPr>
            </w:pPr>
            <w:r w:rsidRPr="00D9348B">
              <w:rPr>
                <w:noProof w:val="0"/>
                <w:color w:val="FFFFFF"/>
                <w:szCs w:val="16"/>
              </w:rPr>
              <w:t>Activity data (AD) uncertainty (%)</w:t>
            </w:r>
          </w:p>
        </w:tc>
        <w:tc>
          <w:tcPr>
            <w:tcW w:w="994" w:type="pct"/>
            <w:shd w:val="clear" w:color="auto" w:fill="365F91"/>
            <w:vAlign w:val="bottom"/>
            <w:hideMark/>
          </w:tcPr>
          <w:p w14:paraId="467FBF6A" w14:textId="77777777" w:rsidR="00A71B0D" w:rsidRPr="00D9348B" w:rsidRDefault="00A71B0D" w:rsidP="00DB330E">
            <w:pPr>
              <w:pStyle w:val="TableTextBold"/>
              <w:keepNext/>
              <w:jc w:val="center"/>
              <w:rPr>
                <w:noProof w:val="0"/>
                <w:color w:val="FFFFFF"/>
                <w:szCs w:val="16"/>
              </w:rPr>
            </w:pPr>
            <w:r w:rsidRPr="00D9348B">
              <w:rPr>
                <w:noProof w:val="0"/>
                <w:color w:val="FFFFFF"/>
                <w:szCs w:val="16"/>
              </w:rPr>
              <w:t>Emission factor (EF) uncertainty (%)</w:t>
            </w:r>
          </w:p>
        </w:tc>
        <w:tc>
          <w:tcPr>
            <w:tcW w:w="2268" w:type="pct"/>
            <w:shd w:val="clear" w:color="auto" w:fill="365F91"/>
            <w:vAlign w:val="bottom"/>
          </w:tcPr>
          <w:p w14:paraId="2DDF0CD7" w14:textId="77777777" w:rsidR="00A71B0D" w:rsidRPr="00D9348B" w:rsidRDefault="00A71B0D" w:rsidP="00DB330E">
            <w:pPr>
              <w:pStyle w:val="TableTextBold"/>
              <w:keepNext/>
              <w:jc w:val="center"/>
              <w:rPr>
                <w:noProof w:val="0"/>
                <w:color w:val="FFFFFF"/>
                <w:szCs w:val="16"/>
              </w:rPr>
            </w:pPr>
            <w:r w:rsidRPr="00D9348B">
              <w:rPr>
                <w:noProof w:val="0"/>
                <w:color w:val="FFFFFF"/>
                <w:szCs w:val="16"/>
              </w:rPr>
              <w:t>Source</w:t>
            </w:r>
          </w:p>
        </w:tc>
      </w:tr>
      <w:tr w:rsidR="00A71B0D" w:rsidRPr="00D9348B" w14:paraId="351FDB56" w14:textId="77777777" w:rsidTr="00DA0C50">
        <w:tc>
          <w:tcPr>
            <w:tcW w:w="333" w:type="pct"/>
            <w:shd w:val="clear" w:color="auto" w:fill="auto"/>
            <w:noWrap/>
            <w:hideMark/>
          </w:tcPr>
          <w:p w14:paraId="4E9FB3C2" w14:textId="77777777" w:rsidR="00A71B0D" w:rsidRPr="00D9348B" w:rsidRDefault="00A71B0D" w:rsidP="00DB330E">
            <w:pPr>
              <w:pStyle w:val="TableText"/>
              <w:rPr>
                <w:szCs w:val="16"/>
              </w:rPr>
            </w:pPr>
            <w:r w:rsidRPr="00D9348B">
              <w:rPr>
                <w:szCs w:val="16"/>
              </w:rPr>
              <w:t>CO</w:t>
            </w:r>
            <w:r w:rsidRPr="00D9348B">
              <w:rPr>
                <w:szCs w:val="16"/>
                <w:vertAlign w:val="subscript"/>
              </w:rPr>
              <w:t>2</w:t>
            </w:r>
          </w:p>
        </w:tc>
        <w:tc>
          <w:tcPr>
            <w:tcW w:w="578" w:type="pct"/>
            <w:shd w:val="clear" w:color="auto" w:fill="auto"/>
            <w:noWrap/>
            <w:hideMark/>
          </w:tcPr>
          <w:p w14:paraId="5FBFFE41" w14:textId="77777777" w:rsidR="00A71B0D" w:rsidRPr="00D9348B" w:rsidRDefault="00A71B0D" w:rsidP="00DB330E">
            <w:pPr>
              <w:pStyle w:val="TableText"/>
              <w:rPr>
                <w:szCs w:val="16"/>
              </w:rPr>
            </w:pPr>
            <w:r w:rsidRPr="00D9348B">
              <w:rPr>
                <w:szCs w:val="16"/>
              </w:rPr>
              <w:t>Liquid fuels</w:t>
            </w:r>
          </w:p>
        </w:tc>
        <w:tc>
          <w:tcPr>
            <w:tcW w:w="827" w:type="pct"/>
            <w:shd w:val="clear" w:color="auto" w:fill="auto"/>
            <w:noWrap/>
            <w:hideMark/>
          </w:tcPr>
          <w:p w14:paraId="6389E937" w14:textId="77777777" w:rsidR="00A71B0D" w:rsidRPr="00D9348B" w:rsidRDefault="00A71B0D" w:rsidP="00DB330E">
            <w:pPr>
              <w:pStyle w:val="TableText"/>
              <w:jc w:val="center"/>
              <w:rPr>
                <w:szCs w:val="16"/>
              </w:rPr>
            </w:pPr>
            <w:r w:rsidRPr="00D9348B">
              <w:rPr>
                <w:szCs w:val="16"/>
              </w:rPr>
              <w:t>10</w:t>
            </w:r>
          </w:p>
        </w:tc>
        <w:tc>
          <w:tcPr>
            <w:tcW w:w="994" w:type="pct"/>
            <w:shd w:val="clear" w:color="auto" w:fill="auto"/>
            <w:noWrap/>
            <w:hideMark/>
          </w:tcPr>
          <w:p w14:paraId="3CC4C882" w14:textId="77777777" w:rsidR="00A71B0D" w:rsidRPr="00D9348B" w:rsidRDefault="00A71B0D" w:rsidP="00DB330E">
            <w:pPr>
              <w:pStyle w:val="TableText"/>
              <w:jc w:val="center"/>
              <w:rPr>
                <w:szCs w:val="16"/>
              </w:rPr>
            </w:pPr>
            <w:r w:rsidRPr="00D9348B">
              <w:rPr>
                <w:szCs w:val="16"/>
              </w:rPr>
              <w:t>±7</w:t>
            </w:r>
          </w:p>
        </w:tc>
        <w:tc>
          <w:tcPr>
            <w:tcW w:w="2268" w:type="pct"/>
          </w:tcPr>
          <w:p w14:paraId="644D01C9" w14:textId="77777777" w:rsidR="00A71B0D" w:rsidRPr="00D9348B" w:rsidRDefault="00A71B0D" w:rsidP="00DB330E">
            <w:pPr>
              <w:pStyle w:val="TableText"/>
              <w:rPr>
                <w:szCs w:val="16"/>
              </w:rPr>
            </w:pPr>
            <w:r w:rsidRPr="00D9348B">
              <w:rPr>
                <w:szCs w:val="16"/>
              </w:rPr>
              <w:t>AD: page 2.41, IPCC, 2006a (table 2.15)</w:t>
            </w:r>
          </w:p>
          <w:p w14:paraId="794A5EB2" w14:textId="77777777" w:rsidR="00A71B0D" w:rsidRPr="00D9348B" w:rsidRDefault="00A71B0D" w:rsidP="00DB330E">
            <w:pPr>
              <w:pStyle w:val="TableText"/>
              <w:spacing w:before="0"/>
              <w:rPr>
                <w:szCs w:val="16"/>
              </w:rPr>
            </w:pPr>
            <w:r w:rsidRPr="00D9348B">
              <w:rPr>
                <w:szCs w:val="16"/>
              </w:rPr>
              <w:t xml:space="preserve">EF: page 2.38, IPCC, 2006a </w:t>
            </w:r>
          </w:p>
        </w:tc>
      </w:tr>
      <w:tr w:rsidR="00A71B0D" w:rsidRPr="00D9348B" w14:paraId="268A4FEE" w14:textId="77777777" w:rsidTr="00DA0C50">
        <w:tc>
          <w:tcPr>
            <w:tcW w:w="333" w:type="pct"/>
            <w:shd w:val="clear" w:color="auto" w:fill="auto"/>
            <w:noWrap/>
            <w:hideMark/>
          </w:tcPr>
          <w:p w14:paraId="222E31B5" w14:textId="77777777" w:rsidR="00A71B0D" w:rsidRPr="00D9348B" w:rsidRDefault="00A71B0D" w:rsidP="00DB330E">
            <w:pPr>
              <w:pStyle w:val="TableText"/>
              <w:rPr>
                <w:szCs w:val="16"/>
              </w:rPr>
            </w:pPr>
            <w:r w:rsidRPr="00D9348B">
              <w:rPr>
                <w:szCs w:val="16"/>
              </w:rPr>
              <w:t>CH</w:t>
            </w:r>
            <w:r w:rsidRPr="00D9348B">
              <w:rPr>
                <w:szCs w:val="16"/>
                <w:vertAlign w:val="subscript"/>
              </w:rPr>
              <w:t>4</w:t>
            </w:r>
          </w:p>
        </w:tc>
        <w:tc>
          <w:tcPr>
            <w:tcW w:w="578" w:type="pct"/>
            <w:shd w:val="clear" w:color="auto" w:fill="auto"/>
            <w:noWrap/>
            <w:hideMark/>
          </w:tcPr>
          <w:p w14:paraId="6135C0D2" w14:textId="77777777" w:rsidR="00A71B0D" w:rsidRPr="00D9348B" w:rsidRDefault="00A71B0D" w:rsidP="00DB330E">
            <w:pPr>
              <w:pStyle w:val="TableText"/>
              <w:rPr>
                <w:szCs w:val="16"/>
              </w:rPr>
            </w:pPr>
            <w:r w:rsidRPr="00D9348B">
              <w:rPr>
                <w:szCs w:val="16"/>
              </w:rPr>
              <w:t>Liquid fuels</w:t>
            </w:r>
          </w:p>
        </w:tc>
        <w:tc>
          <w:tcPr>
            <w:tcW w:w="827" w:type="pct"/>
            <w:shd w:val="clear" w:color="auto" w:fill="auto"/>
            <w:noWrap/>
            <w:hideMark/>
          </w:tcPr>
          <w:p w14:paraId="663330D9" w14:textId="77777777" w:rsidR="00A71B0D" w:rsidRPr="00D9348B" w:rsidRDefault="00A71B0D" w:rsidP="00DB330E">
            <w:pPr>
              <w:pStyle w:val="TableText"/>
              <w:jc w:val="center"/>
              <w:rPr>
                <w:szCs w:val="16"/>
              </w:rPr>
            </w:pPr>
            <w:r w:rsidRPr="00D9348B">
              <w:rPr>
                <w:szCs w:val="16"/>
              </w:rPr>
              <w:t>10</w:t>
            </w:r>
          </w:p>
        </w:tc>
        <w:tc>
          <w:tcPr>
            <w:tcW w:w="994" w:type="pct"/>
            <w:shd w:val="clear" w:color="auto" w:fill="auto"/>
            <w:noWrap/>
            <w:hideMark/>
          </w:tcPr>
          <w:p w14:paraId="54E5D8A3" w14:textId="77777777" w:rsidR="00A71B0D" w:rsidRPr="00D9348B" w:rsidRDefault="00A71B0D" w:rsidP="00DB330E">
            <w:pPr>
              <w:pStyle w:val="TableText"/>
              <w:jc w:val="center"/>
              <w:rPr>
                <w:szCs w:val="16"/>
              </w:rPr>
            </w:pPr>
            <w:r w:rsidRPr="00D9348B">
              <w:rPr>
                <w:szCs w:val="16"/>
              </w:rPr>
              <w:t>±50.0</w:t>
            </w:r>
          </w:p>
        </w:tc>
        <w:tc>
          <w:tcPr>
            <w:tcW w:w="2268" w:type="pct"/>
          </w:tcPr>
          <w:p w14:paraId="10B4BCF6" w14:textId="77777777" w:rsidR="00A71B0D" w:rsidRPr="00D9348B" w:rsidRDefault="00A71B0D" w:rsidP="00DB330E">
            <w:pPr>
              <w:pStyle w:val="TableText"/>
              <w:rPr>
                <w:szCs w:val="16"/>
              </w:rPr>
            </w:pPr>
            <w:r w:rsidRPr="00D9348B">
              <w:rPr>
                <w:szCs w:val="16"/>
              </w:rPr>
              <w:t>AD: page 2.41, IPCC, 2006a (table 2.15)</w:t>
            </w:r>
          </w:p>
          <w:p w14:paraId="00C1D162" w14:textId="77777777" w:rsidR="00A71B0D" w:rsidRPr="00D9348B" w:rsidRDefault="00A71B0D" w:rsidP="00DB330E">
            <w:pPr>
              <w:pStyle w:val="TableText"/>
              <w:spacing w:before="0"/>
              <w:rPr>
                <w:szCs w:val="16"/>
              </w:rPr>
            </w:pPr>
            <w:r w:rsidRPr="00D9348B">
              <w:rPr>
                <w:szCs w:val="16"/>
              </w:rPr>
              <w:t>EF: page 2.38, IPCC, 2006a (table 2.12)</w:t>
            </w:r>
          </w:p>
        </w:tc>
      </w:tr>
      <w:tr w:rsidR="00A71B0D" w:rsidRPr="00D9348B" w14:paraId="04D6D772" w14:textId="77777777" w:rsidTr="00DA0C50">
        <w:tc>
          <w:tcPr>
            <w:tcW w:w="333" w:type="pct"/>
            <w:shd w:val="clear" w:color="auto" w:fill="auto"/>
            <w:noWrap/>
            <w:hideMark/>
          </w:tcPr>
          <w:p w14:paraId="23292133" w14:textId="77777777" w:rsidR="00A71B0D" w:rsidRPr="00D9348B" w:rsidRDefault="00A71B0D" w:rsidP="00DB330E">
            <w:pPr>
              <w:pStyle w:val="TableText"/>
              <w:rPr>
                <w:szCs w:val="16"/>
              </w:rPr>
            </w:pPr>
            <w:r w:rsidRPr="00D9348B">
              <w:rPr>
                <w:szCs w:val="16"/>
              </w:rPr>
              <w:t>N</w:t>
            </w:r>
            <w:r w:rsidRPr="00D9348B">
              <w:rPr>
                <w:szCs w:val="16"/>
                <w:vertAlign w:val="subscript"/>
              </w:rPr>
              <w:t>2</w:t>
            </w:r>
            <w:r w:rsidRPr="00D9348B">
              <w:rPr>
                <w:szCs w:val="16"/>
              </w:rPr>
              <w:t>O</w:t>
            </w:r>
          </w:p>
        </w:tc>
        <w:tc>
          <w:tcPr>
            <w:tcW w:w="578" w:type="pct"/>
            <w:shd w:val="clear" w:color="auto" w:fill="auto"/>
            <w:noWrap/>
            <w:hideMark/>
          </w:tcPr>
          <w:p w14:paraId="7BEB684B" w14:textId="77777777" w:rsidR="00A71B0D" w:rsidRPr="00D9348B" w:rsidRDefault="00A71B0D" w:rsidP="00DB330E">
            <w:pPr>
              <w:pStyle w:val="TableText"/>
              <w:rPr>
                <w:szCs w:val="16"/>
              </w:rPr>
            </w:pPr>
            <w:r w:rsidRPr="00D9348B">
              <w:rPr>
                <w:szCs w:val="16"/>
              </w:rPr>
              <w:t>Liquid fuels</w:t>
            </w:r>
          </w:p>
        </w:tc>
        <w:tc>
          <w:tcPr>
            <w:tcW w:w="827" w:type="pct"/>
            <w:shd w:val="clear" w:color="auto" w:fill="auto"/>
            <w:noWrap/>
            <w:hideMark/>
          </w:tcPr>
          <w:p w14:paraId="110D07BD" w14:textId="77777777" w:rsidR="00A71B0D" w:rsidRPr="00D9348B" w:rsidRDefault="00A71B0D" w:rsidP="00DB330E">
            <w:pPr>
              <w:pStyle w:val="TableText"/>
              <w:jc w:val="center"/>
              <w:rPr>
                <w:szCs w:val="16"/>
              </w:rPr>
            </w:pPr>
            <w:r w:rsidRPr="00D9348B">
              <w:rPr>
                <w:szCs w:val="16"/>
              </w:rPr>
              <w:t>10</w:t>
            </w:r>
          </w:p>
        </w:tc>
        <w:tc>
          <w:tcPr>
            <w:tcW w:w="994" w:type="pct"/>
            <w:shd w:val="clear" w:color="auto" w:fill="auto"/>
            <w:noWrap/>
            <w:hideMark/>
          </w:tcPr>
          <w:p w14:paraId="3BEE8A8B" w14:textId="77777777" w:rsidR="00A71B0D" w:rsidRPr="00D9348B" w:rsidRDefault="00A71B0D" w:rsidP="00DB330E">
            <w:pPr>
              <w:pStyle w:val="TableText"/>
              <w:jc w:val="center"/>
              <w:rPr>
                <w:szCs w:val="16"/>
              </w:rPr>
            </w:pPr>
            <w:r w:rsidRPr="00D9348B">
              <w:rPr>
                <w:szCs w:val="16"/>
              </w:rPr>
              <w:t>±50.0</w:t>
            </w:r>
          </w:p>
        </w:tc>
        <w:tc>
          <w:tcPr>
            <w:tcW w:w="2268" w:type="pct"/>
          </w:tcPr>
          <w:p w14:paraId="4945C8C4" w14:textId="77777777" w:rsidR="00A71B0D" w:rsidRPr="00D9348B" w:rsidRDefault="00A71B0D" w:rsidP="00DB330E">
            <w:pPr>
              <w:pStyle w:val="TableText"/>
              <w:rPr>
                <w:szCs w:val="16"/>
              </w:rPr>
            </w:pPr>
            <w:r w:rsidRPr="00D9348B">
              <w:rPr>
                <w:szCs w:val="16"/>
              </w:rPr>
              <w:t>AD: page 2.41, IPCC, 2006a (table 2.15)</w:t>
            </w:r>
          </w:p>
          <w:p w14:paraId="1533F1FB" w14:textId="77777777" w:rsidR="00A71B0D" w:rsidRPr="00D9348B" w:rsidRDefault="00A71B0D" w:rsidP="00DB330E">
            <w:pPr>
              <w:pStyle w:val="TableText"/>
              <w:spacing w:before="0"/>
              <w:rPr>
                <w:szCs w:val="16"/>
              </w:rPr>
            </w:pPr>
            <w:r w:rsidRPr="00D9348B">
              <w:rPr>
                <w:szCs w:val="16"/>
              </w:rPr>
              <w:t>EF: New Zealand’s value is used (table 3.3.1, chapter 3)</w:t>
            </w:r>
          </w:p>
        </w:tc>
      </w:tr>
    </w:tbl>
    <w:p w14:paraId="4113D8CD" w14:textId="77777777" w:rsidR="00A71B0D" w:rsidRPr="00D9348B" w:rsidRDefault="00A71B0D" w:rsidP="00865BDB">
      <w:pPr>
        <w:pStyle w:val="Heading4"/>
      </w:pPr>
      <w:r w:rsidRPr="00D9348B">
        <w:t>Source-specific recalculations</w:t>
      </w:r>
    </w:p>
    <w:p w14:paraId="317106A4" w14:textId="77777777" w:rsidR="00A71B0D" w:rsidRPr="00D9348B" w:rsidRDefault="00A71B0D" w:rsidP="00A71B0D">
      <w:pPr>
        <w:pStyle w:val="BodyText"/>
      </w:pPr>
      <w:r w:rsidRPr="00D9348B">
        <w:t xml:space="preserve">The estimates for energy have undergone significant improvement since analysis done for the 2019 submission. This is because fuel purchase data for the Tokelau ships are now available for the entirety of 2018 (as opposed to 9 months extrapolated to a year in the 2019 submission). Prior to 2018, a significant number of voyages were made by Samoan charter boats, whose fuel use is commercially sensitive and not readily obtainable. </w:t>
      </w:r>
    </w:p>
    <w:p w14:paraId="58189712" w14:textId="77777777" w:rsidR="00A71B0D" w:rsidRPr="00D9348B" w:rsidRDefault="00A71B0D" w:rsidP="00A71B0D">
      <w:pPr>
        <w:pStyle w:val="BodyText"/>
      </w:pPr>
      <w:r w:rsidRPr="00D9348B">
        <w:t xml:space="preserve">However, the 2018 data allowed calculation of the average use of diesel, about 16,000 litres per voyage, with the balance of purchased diesel being used on-atoll. Accurate annual voyage </w:t>
      </w:r>
      <w:r w:rsidRPr="00D9348B">
        <w:lastRenderedPageBreak/>
        <w:t>numbers are available from 2014 onwards; prior voyage numbers were calculated from an estimate of two trips per month during the 1990s (confirmed by the Director of Transport and Support Services, Mr Simona Mei), then interpolated to the 2014 value.</w:t>
      </w:r>
    </w:p>
    <w:p w14:paraId="4268710B" w14:textId="77777777" w:rsidR="00A71B0D" w:rsidRPr="00D9348B" w:rsidRDefault="00A71B0D" w:rsidP="00A71B0D">
      <w:pPr>
        <w:pStyle w:val="BodyText"/>
      </w:pPr>
      <w:r w:rsidRPr="00D9348B">
        <w:t>The 2020 submission also better separates emissions from electricity generation and transport and helps to identify the reasons for the major changes (major power changes in 2004 and 2012, and the increase in shipping over the time series).</w:t>
      </w:r>
    </w:p>
    <w:p w14:paraId="3BC5953A" w14:textId="77777777" w:rsidR="00A71B0D" w:rsidRPr="00D9348B" w:rsidRDefault="00A71B0D" w:rsidP="00865BDB">
      <w:pPr>
        <w:pStyle w:val="Heading4"/>
      </w:pPr>
      <w:r w:rsidRPr="00D9348B">
        <w:t>Source-specific planned improvements</w:t>
      </w:r>
    </w:p>
    <w:p w14:paraId="25FAB0EE" w14:textId="77777777" w:rsidR="00A71B0D" w:rsidRPr="00D9348B" w:rsidRDefault="00A71B0D" w:rsidP="00A71B0D">
      <w:pPr>
        <w:pStyle w:val="BodyText"/>
      </w:pPr>
      <w:r w:rsidRPr="00D9348B">
        <w:t>There are no planned improvements for energy industries. Some areas identified for possible improvements are better monitoring of diesel fuel actually landing on-atoll at the power sites, and clearly separating fuel used for power generation from heavy machinery and diesel</w:t>
      </w:r>
      <w:r w:rsidRPr="00D9348B">
        <w:noBreakHyphen/>
        <w:t>powered vehicles. Data on gross electricity production from oil were acquired late 2019 from the International Renewable Energy Agency; these could provide additional detail and verification of energy use back to their base year 2000. Future imports of coolants (ethylene glycol) for the solar power plant may also be considered in future.</w:t>
      </w:r>
    </w:p>
    <w:p w14:paraId="1D6272A7" w14:textId="77777777" w:rsidR="00A71B0D" w:rsidRPr="00D9348B" w:rsidRDefault="00A71B0D" w:rsidP="00A71B0D">
      <w:pPr>
        <w:pStyle w:val="Heading3"/>
      </w:pPr>
      <w:r w:rsidRPr="00D9348B">
        <w:t xml:space="preserve">8.2.4 </w:t>
      </w:r>
      <w:r w:rsidRPr="00D9348B">
        <w:tab/>
        <w:t xml:space="preserve">Stationary combustion: </w:t>
      </w:r>
      <w:r w:rsidRPr="00D9348B">
        <w:rPr>
          <w:i/>
        </w:rPr>
        <w:t>Other sectors – residential</w:t>
      </w:r>
    </w:p>
    <w:p w14:paraId="64D5427D" w14:textId="77777777" w:rsidR="00A71B0D" w:rsidRPr="00D9348B" w:rsidRDefault="00A71B0D" w:rsidP="009F74CF">
      <w:pPr>
        <w:pStyle w:val="Heading4"/>
        <w:spacing w:before="160"/>
      </w:pPr>
      <w:r w:rsidRPr="00D9348B">
        <w:t>Description</w:t>
      </w:r>
    </w:p>
    <w:p w14:paraId="64649CBC" w14:textId="77777777" w:rsidR="00A71B0D" w:rsidRPr="00D9348B" w:rsidRDefault="00A71B0D" w:rsidP="00A71B0D">
      <w:pPr>
        <w:pStyle w:val="BodyText"/>
      </w:pPr>
      <w:r w:rsidRPr="00D9348B">
        <w:t xml:space="preserve">There is no significant industry in Tokelau. All energy is used by domestic and fishing activities and community–government activities (for example, meeting halls and offices, village freezers, building projects, stevedoring). Therefore, emissions associated with energy consumption in Tokelau (except fishing) are included in the category </w:t>
      </w:r>
      <w:proofErr w:type="gramStart"/>
      <w:r w:rsidRPr="00D9348B">
        <w:rPr>
          <w:i/>
        </w:rPr>
        <w:t>Other</w:t>
      </w:r>
      <w:proofErr w:type="gramEnd"/>
      <w:r w:rsidRPr="00D9348B">
        <w:rPr>
          <w:i/>
        </w:rPr>
        <w:t xml:space="preserve"> sectors – Residential</w:t>
      </w:r>
      <w:r w:rsidRPr="00D9348B">
        <w:t xml:space="preserve">. The small amount of emissions associated with communal activities is not easily distinguishable from those coming from residential activities and so are therefore included under the </w:t>
      </w:r>
      <w:proofErr w:type="gramStart"/>
      <w:r w:rsidRPr="00D9348B">
        <w:rPr>
          <w:i/>
        </w:rPr>
        <w:t>Other</w:t>
      </w:r>
      <w:proofErr w:type="gramEnd"/>
      <w:r w:rsidRPr="00D9348B">
        <w:rPr>
          <w:i/>
        </w:rPr>
        <w:t xml:space="preserve"> sectors – Residential</w:t>
      </w:r>
      <w:r w:rsidRPr="00D9348B">
        <w:t xml:space="preserve"> category. Emissions from fishing are included under </w:t>
      </w:r>
      <w:r w:rsidRPr="00D9348B">
        <w:rPr>
          <w:i/>
        </w:rPr>
        <w:t>Domestic navigation</w:t>
      </w:r>
      <w:r w:rsidRPr="00D9348B">
        <w:t xml:space="preserve">. This is because it is very difficult to distinguish fuel use for fishing from fuel use for domestic navigation in Tokelau, because families use the same boats for both purposes. </w:t>
      </w:r>
    </w:p>
    <w:p w14:paraId="02DDC4A6" w14:textId="77777777" w:rsidR="00A71B0D" w:rsidRPr="00D9348B" w:rsidRDefault="00A71B0D" w:rsidP="00A71B0D">
      <w:pPr>
        <w:pStyle w:val="BodyText"/>
      </w:pPr>
      <w:r w:rsidRPr="00D9348B">
        <w:t>According to the 2016 Tokelau Census, every household has a fridge and a freezer, and some households now have air conditioning. Most households (over 60 per cent) also own a washing machine, a computer and a television. The United Nations Development Programme, under the Tokelau Energy Sector Support Project, has recently funded a programme of replacing old inefficient fridges and freezers with new ones. Home appliances in Tokelau mainly use the power provided by solar units, supplemented as needed by back-up diesel</w:t>
      </w:r>
      <w:r w:rsidRPr="00D9348B">
        <w:noBreakHyphen/>
        <w:t xml:space="preserve">powered generators. Emissions associated with the use of diesel-powered back-up generators are included under the </w:t>
      </w:r>
      <w:r w:rsidRPr="00D9348B">
        <w:rPr>
          <w:i/>
        </w:rPr>
        <w:t xml:space="preserve">Energy industries </w:t>
      </w:r>
      <w:r w:rsidRPr="00D9348B">
        <w:t xml:space="preserve">category. </w:t>
      </w:r>
    </w:p>
    <w:p w14:paraId="10CDBA72" w14:textId="036FE6FF" w:rsidR="00A71B0D" w:rsidRPr="00D9348B" w:rsidRDefault="00A71B0D" w:rsidP="00A71B0D">
      <w:pPr>
        <w:pStyle w:val="BodyText"/>
      </w:pPr>
      <w:r w:rsidRPr="00D9348B">
        <w:t>Gas cooking using imported natural gas (LPG) is the preferred method used by 72.0 per cent of households, replacing kerosene stoves. For the past decade, the use of kerosene stoves dropped from 56.6 per cent of households in 2006 to 23.6 per cent in 2016 (2016</w:t>
      </w:r>
      <w:r w:rsidR="0016306C" w:rsidRPr="00D9348B">
        <w:t> </w:t>
      </w:r>
      <w:r w:rsidRPr="00D9348B">
        <w:t xml:space="preserve">Tokelau Census). Associated activity data and emissions are included under </w:t>
      </w:r>
      <w:r w:rsidR="0016306C" w:rsidRPr="00D9348B">
        <w:br/>
      </w:r>
      <w:proofErr w:type="gramStart"/>
      <w:r w:rsidRPr="00D9348B">
        <w:rPr>
          <w:i/>
        </w:rPr>
        <w:t>Other</w:t>
      </w:r>
      <w:proofErr w:type="gramEnd"/>
      <w:r w:rsidR="00292C83" w:rsidRPr="00D9348B">
        <w:rPr>
          <w:i/>
        </w:rPr>
        <w:t xml:space="preserve"> </w:t>
      </w:r>
      <w:r w:rsidRPr="00D9348B">
        <w:rPr>
          <w:i/>
        </w:rPr>
        <w:t>sectors – Residential</w:t>
      </w:r>
      <w:r w:rsidRPr="00D9348B">
        <w:t xml:space="preserve"> category.</w:t>
      </w:r>
    </w:p>
    <w:p w14:paraId="3F766C5A" w14:textId="77777777" w:rsidR="00A71B0D" w:rsidRPr="00D9348B" w:rsidRDefault="00A71B0D" w:rsidP="00A71B0D">
      <w:pPr>
        <w:pStyle w:val="BodyText"/>
      </w:pPr>
      <w:r w:rsidRPr="00D9348B">
        <w:t xml:space="preserve">In 2018, emissions from the </w:t>
      </w:r>
      <w:proofErr w:type="gramStart"/>
      <w:r w:rsidRPr="00D9348B">
        <w:rPr>
          <w:i/>
        </w:rPr>
        <w:t>Other</w:t>
      </w:r>
      <w:proofErr w:type="gramEnd"/>
      <w:r w:rsidRPr="00D9348B">
        <w:rPr>
          <w:i/>
        </w:rPr>
        <w:t xml:space="preserve"> sectors – Residential</w:t>
      </w:r>
      <w:r w:rsidRPr="00D9348B">
        <w:t xml:space="preserve"> category</w:t>
      </w:r>
      <w:r w:rsidRPr="00D9348B">
        <w:rPr>
          <w:lang w:eastAsia="en-GB"/>
        </w:rPr>
        <w:t xml:space="preserve"> </w:t>
      </w:r>
      <w:r w:rsidRPr="00D9348B">
        <w:t>were 0.13 kt CO</w:t>
      </w:r>
      <w:r w:rsidRPr="00D9348B">
        <w:rPr>
          <w:vertAlign w:val="subscript"/>
        </w:rPr>
        <w:t>2</w:t>
      </w:r>
      <w:r w:rsidRPr="00D9348B">
        <w:t>-e (6.8 per cent of all energy emissions from Tokelau).</w:t>
      </w:r>
    </w:p>
    <w:p w14:paraId="3D27875F" w14:textId="77777777" w:rsidR="00A71B0D" w:rsidRPr="00D9348B" w:rsidRDefault="00A71B0D" w:rsidP="00865BDB">
      <w:pPr>
        <w:pStyle w:val="Heading4"/>
      </w:pPr>
      <w:r w:rsidRPr="00D9348B">
        <w:lastRenderedPageBreak/>
        <w:t>Methodological issues</w:t>
      </w:r>
    </w:p>
    <w:p w14:paraId="308116B6" w14:textId="77777777" w:rsidR="00A71B0D" w:rsidRPr="00D9348B" w:rsidRDefault="00A71B0D" w:rsidP="00A71B0D">
      <w:pPr>
        <w:pStyle w:val="Heading5"/>
        <w:spacing w:before="120"/>
        <w:rPr>
          <w:lang w:eastAsia="en-GB"/>
        </w:rPr>
      </w:pPr>
      <w:r w:rsidRPr="00D9348B">
        <w:rPr>
          <w:lang w:eastAsia="en-GB"/>
        </w:rPr>
        <w:t>Activity data</w:t>
      </w:r>
    </w:p>
    <w:p w14:paraId="63511DBB" w14:textId="77777777" w:rsidR="00A71B0D" w:rsidRPr="00D9348B" w:rsidRDefault="00A71B0D" w:rsidP="00A71B0D">
      <w:pPr>
        <w:pStyle w:val="BodyText"/>
      </w:pPr>
      <w:r w:rsidRPr="00D9348B">
        <w:rPr>
          <w:lang w:eastAsia="en-GB"/>
        </w:rPr>
        <w:t xml:space="preserve">The sources of activity data for the </w:t>
      </w:r>
      <w:proofErr w:type="gramStart"/>
      <w:r w:rsidRPr="00D9348B">
        <w:rPr>
          <w:i/>
          <w:lang w:eastAsia="en-GB"/>
        </w:rPr>
        <w:t>Other</w:t>
      </w:r>
      <w:proofErr w:type="gramEnd"/>
      <w:r w:rsidRPr="00D9348B">
        <w:rPr>
          <w:i/>
          <w:lang w:eastAsia="en-GB"/>
        </w:rPr>
        <w:t xml:space="preserve"> sectors – Residential</w:t>
      </w:r>
      <w:r w:rsidRPr="00D9348B">
        <w:rPr>
          <w:lang w:eastAsia="en-GB"/>
        </w:rPr>
        <w:t xml:space="preserve"> category are included in table 8.1.2. The key data source for the category is paid invoices from Origin Energy Samoa Ltd (Apia, Samoa) providing prices and volumes of propane supplied on-atoll for cooking.</w:t>
      </w:r>
    </w:p>
    <w:p w14:paraId="39EE7210" w14:textId="77777777" w:rsidR="00A71B0D" w:rsidRPr="00D9348B" w:rsidRDefault="00A71B0D" w:rsidP="00A71B0D">
      <w:pPr>
        <w:pStyle w:val="Heading5"/>
        <w:rPr>
          <w:lang w:eastAsia="en-GB"/>
        </w:rPr>
      </w:pPr>
      <w:r w:rsidRPr="00D9348B">
        <w:rPr>
          <w:lang w:eastAsia="en-GB"/>
        </w:rPr>
        <w:t>Methods and emission factors</w:t>
      </w:r>
    </w:p>
    <w:p w14:paraId="0B9AB592" w14:textId="77777777" w:rsidR="00A71B0D" w:rsidRPr="00D9348B" w:rsidRDefault="00A71B0D" w:rsidP="00A71B0D">
      <w:pPr>
        <w:pStyle w:val="BodyText"/>
        <w:rPr>
          <w:lang w:eastAsia="en-GB"/>
        </w:rPr>
      </w:pPr>
      <w:r w:rsidRPr="00D9348B">
        <w:rPr>
          <w:lang w:eastAsia="en-GB"/>
        </w:rPr>
        <w:t xml:space="preserve">A Tier 1 method was applied for estimating emissions from the </w:t>
      </w:r>
      <w:proofErr w:type="gramStart"/>
      <w:r w:rsidRPr="00D9348B">
        <w:rPr>
          <w:i/>
          <w:lang w:eastAsia="en-GB"/>
        </w:rPr>
        <w:t>Other</w:t>
      </w:r>
      <w:proofErr w:type="gramEnd"/>
      <w:r w:rsidRPr="00D9348B">
        <w:rPr>
          <w:i/>
          <w:lang w:eastAsia="en-GB"/>
        </w:rPr>
        <w:t xml:space="preserve"> sectors – Residential</w:t>
      </w:r>
      <w:r w:rsidRPr="00D9348B">
        <w:rPr>
          <w:lang w:eastAsia="en-GB"/>
        </w:rPr>
        <w:t xml:space="preserve"> category. The method required the data on the amount of LPG combusted in the source category and a default emissions factor from table 2.2, section 2.3.2.1, </w:t>
      </w:r>
      <w:proofErr w:type="gramStart"/>
      <w:r w:rsidRPr="00D9348B">
        <w:rPr>
          <w:lang w:eastAsia="en-GB"/>
        </w:rPr>
        <w:t>volume</w:t>
      </w:r>
      <w:proofErr w:type="gramEnd"/>
      <w:r w:rsidRPr="00D9348B">
        <w:rPr>
          <w:lang w:eastAsia="en-GB"/>
        </w:rPr>
        <w:t xml:space="preserve"> 2 of the 2006 IPCC Guidelines. Default emission factors from the 2006 IPCC Guidelines were converted from net calorific values to gross calorific values using the OECD and IEA assumptions to make these conversions:</w:t>
      </w:r>
    </w:p>
    <w:p w14:paraId="493448C7" w14:textId="77777777" w:rsidR="00A71B0D" w:rsidRPr="00D9348B" w:rsidRDefault="00A71B0D" w:rsidP="00A71B0D">
      <w:pPr>
        <w:pStyle w:val="BodyText"/>
        <w:jc w:val="center"/>
        <w:rPr>
          <w:sz w:val="20"/>
          <w:lang w:eastAsia="en-GB"/>
        </w:rPr>
      </w:pPr>
      <w:r w:rsidRPr="00D9348B">
        <w:rPr>
          <w:sz w:val="20"/>
          <w:lang w:eastAsia="en-GB"/>
        </w:rPr>
        <w:t>Gross Emission Factor (gaseous fuels) = 0.90 x Net Emission Factor</w:t>
      </w:r>
    </w:p>
    <w:p w14:paraId="75D8D09B" w14:textId="77777777" w:rsidR="00A71B0D" w:rsidRPr="00D9348B" w:rsidRDefault="00A71B0D" w:rsidP="00A71B0D">
      <w:pPr>
        <w:pStyle w:val="BodyText"/>
        <w:rPr>
          <w:lang w:eastAsia="en-GB"/>
        </w:rPr>
      </w:pPr>
      <w:r w:rsidRPr="00D9348B">
        <w:rPr>
          <w:lang w:eastAsia="en-GB"/>
        </w:rPr>
        <w:t xml:space="preserve">Equations 2.1 and 2.2 from section 2.3.1.1 in the 2006 IPCC Guidelines were used for estimating emissions (IPCC, 2006a). </w:t>
      </w:r>
    </w:p>
    <w:p w14:paraId="19C7D41B" w14:textId="77777777" w:rsidR="00A71B0D" w:rsidRPr="00D9348B" w:rsidRDefault="00A71B0D" w:rsidP="00865BDB">
      <w:pPr>
        <w:pStyle w:val="Heading4"/>
      </w:pPr>
      <w:r w:rsidRPr="00D9348B">
        <w:t>Uncertainties</w:t>
      </w:r>
    </w:p>
    <w:p w14:paraId="2220C4C9" w14:textId="77777777" w:rsidR="00A71B0D" w:rsidRPr="00D9348B" w:rsidRDefault="00A71B0D" w:rsidP="00A71B0D">
      <w:pPr>
        <w:pStyle w:val="BodyText"/>
        <w:rPr>
          <w:lang w:eastAsia="en-GB"/>
        </w:rPr>
      </w:pPr>
      <w:r w:rsidRPr="00D9348B">
        <w:rPr>
          <w:lang w:eastAsia="en-GB"/>
        </w:rPr>
        <w:t>For this submission, it was not possible to develop Tokelau-specific uncertainty values, so for emission factors, default uncertainty values provided in the 2006 IPCC Guidelines were used for CO</w:t>
      </w:r>
      <w:r w:rsidRPr="00D9348B">
        <w:rPr>
          <w:vertAlign w:val="subscript"/>
          <w:lang w:eastAsia="en-GB"/>
        </w:rPr>
        <w:t xml:space="preserve">2 </w:t>
      </w:r>
      <w:r w:rsidRPr="00D9348B">
        <w:rPr>
          <w:lang w:eastAsia="en-GB"/>
        </w:rPr>
        <w:t>and CH</w:t>
      </w:r>
      <w:r w:rsidRPr="00D9348B">
        <w:rPr>
          <w:vertAlign w:val="subscript"/>
          <w:lang w:eastAsia="en-GB"/>
        </w:rPr>
        <w:t>4</w:t>
      </w:r>
      <w:r w:rsidRPr="00D9348B">
        <w:rPr>
          <w:lang w:eastAsia="en-GB"/>
        </w:rPr>
        <w:t xml:space="preserve"> (for commercial, institutional and residential combustion) (IPCC, 2006a). Because no quantified default emissions factor is provided for N</w:t>
      </w:r>
      <w:r w:rsidRPr="00D9348B">
        <w:rPr>
          <w:vertAlign w:val="subscript"/>
          <w:lang w:eastAsia="en-GB"/>
        </w:rPr>
        <w:t>2</w:t>
      </w:r>
      <w:r w:rsidRPr="00D9348B">
        <w:rPr>
          <w:lang w:eastAsia="en-GB"/>
        </w:rPr>
        <w:t>O, New Zealand’s emission factor uncertainty across the Energy sector for N</w:t>
      </w:r>
      <w:r w:rsidRPr="00D9348B">
        <w:rPr>
          <w:vertAlign w:val="subscript"/>
          <w:lang w:eastAsia="en-GB"/>
        </w:rPr>
        <w:t>2</w:t>
      </w:r>
      <w:r w:rsidRPr="00D9348B">
        <w:rPr>
          <w:lang w:eastAsia="en-GB"/>
        </w:rPr>
        <w:t xml:space="preserve">O was used for this category. </w:t>
      </w:r>
    </w:p>
    <w:p w14:paraId="5E2A169A" w14:textId="77777777" w:rsidR="00A71B0D" w:rsidRPr="00D9348B" w:rsidRDefault="00A71B0D" w:rsidP="00A71B0D">
      <w:pPr>
        <w:pStyle w:val="BodyText"/>
        <w:rPr>
          <w:lang w:eastAsia="en-GB"/>
        </w:rPr>
      </w:pPr>
      <w:r w:rsidRPr="00D9348B">
        <w:rPr>
          <w:lang w:eastAsia="en-GB"/>
        </w:rPr>
        <w:t xml:space="preserve">For activity data, a mid-range level of default uncertainty range associated with data extrapolation from the 2006 IPCC Guidelines was applied (IPCC, 2006a). Table 8.2.2 shows the use of uncertainties for the </w:t>
      </w:r>
      <w:proofErr w:type="gramStart"/>
      <w:r w:rsidRPr="00D9348B">
        <w:rPr>
          <w:i/>
          <w:lang w:eastAsia="en-GB"/>
        </w:rPr>
        <w:t>Other</w:t>
      </w:r>
      <w:proofErr w:type="gramEnd"/>
      <w:r w:rsidRPr="00D9348B">
        <w:rPr>
          <w:i/>
          <w:lang w:eastAsia="en-GB"/>
        </w:rPr>
        <w:t xml:space="preserve"> sectors – Residential </w:t>
      </w:r>
      <w:r w:rsidRPr="00D9348B">
        <w:rPr>
          <w:lang w:eastAsia="en-GB"/>
        </w:rPr>
        <w:t>category.</w:t>
      </w:r>
    </w:p>
    <w:p w14:paraId="0FB20C02" w14:textId="77777777" w:rsidR="00A71B0D" w:rsidRPr="00D9348B" w:rsidRDefault="00A71B0D" w:rsidP="00A71B0D">
      <w:pPr>
        <w:pStyle w:val="Table"/>
      </w:pPr>
      <w:bookmarkStart w:id="2980" w:name="_Toc5269597"/>
      <w:bookmarkStart w:id="2981" w:name="_Toc36224678"/>
      <w:r w:rsidRPr="00D9348B">
        <w:t>Table 8.2.2</w:t>
      </w:r>
      <w:r w:rsidRPr="00D9348B">
        <w:tab/>
        <w:t xml:space="preserve">Uncertainties for the </w:t>
      </w:r>
      <w:proofErr w:type="gramStart"/>
      <w:r w:rsidRPr="00D9348B">
        <w:rPr>
          <w:i/>
        </w:rPr>
        <w:t>Other</w:t>
      </w:r>
      <w:proofErr w:type="gramEnd"/>
      <w:r w:rsidRPr="00D9348B">
        <w:rPr>
          <w:i/>
        </w:rPr>
        <w:t xml:space="preserve"> sectors – Residential </w:t>
      </w:r>
      <w:r w:rsidRPr="00D9348B">
        <w:t>category</w:t>
      </w:r>
      <w:bookmarkEnd w:id="2980"/>
      <w:bookmarkEnd w:id="2981"/>
    </w:p>
    <w:tbl>
      <w:tblPr>
        <w:tblW w:w="8505" w:type="dxa"/>
        <w:tblInd w:w="108" w:type="dxa"/>
        <w:tblBorders>
          <w:top w:val="single" w:sz="4" w:space="0" w:color="365F91"/>
          <w:bottom w:val="single" w:sz="4" w:space="0" w:color="365F91"/>
          <w:insideH w:val="single" w:sz="4" w:space="0" w:color="365F91"/>
          <w:insideV w:val="single" w:sz="4" w:space="0" w:color="365F91"/>
        </w:tblBorders>
        <w:tblLook w:val="0420" w:firstRow="1" w:lastRow="0" w:firstColumn="0" w:lastColumn="0" w:noHBand="0" w:noVBand="1"/>
      </w:tblPr>
      <w:tblGrid>
        <w:gridCol w:w="567"/>
        <w:gridCol w:w="1119"/>
        <w:gridCol w:w="1575"/>
        <w:gridCol w:w="1701"/>
        <w:gridCol w:w="3543"/>
      </w:tblGrid>
      <w:tr w:rsidR="00A71B0D" w:rsidRPr="00D9348B" w14:paraId="2C11012A" w14:textId="77777777" w:rsidTr="001C1581">
        <w:trPr>
          <w:tblHeader/>
        </w:trPr>
        <w:tc>
          <w:tcPr>
            <w:tcW w:w="333" w:type="pct"/>
            <w:shd w:val="clear" w:color="auto" w:fill="365F91"/>
            <w:noWrap/>
            <w:vAlign w:val="bottom"/>
            <w:hideMark/>
          </w:tcPr>
          <w:p w14:paraId="3C835815" w14:textId="77777777" w:rsidR="00A71B0D" w:rsidRPr="00D9348B" w:rsidRDefault="00A71B0D" w:rsidP="00DB330E">
            <w:pPr>
              <w:pStyle w:val="TableTextBold"/>
              <w:rPr>
                <w:noProof w:val="0"/>
                <w:color w:val="FFFFFF"/>
                <w:szCs w:val="16"/>
              </w:rPr>
            </w:pPr>
            <w:r w:rsidRPr="00D9348B">
              <w:rPr>
                <w:noProof w:val="0"/>
                <w:color w:val="FFFFFF"/>
                <w:szCs w:val="16"/>
              </w:rPr>
              <w:t>Gas</w:t>
            </w:r>
          </w:p>
        </w:tc>
        <w:tc>
          <w:tcPr>
            <w:tcW w:w="658" w:type="pct"/>
            <w:shd w:val="clear" w:color="auto" w:fill="365F91"/>
            <w:noWrap/>
            <w:vAlign w:val="bottom"/>
            <w:hideMark/>
          </w:tcPr>
          <w:p w14:paraId="15D6EFAE" w14:textId="77777777" w:rsidR="00A71B0D" w:rsidRPr="00D9348B" w:rsidRDefault="00A71B0D" w:rsidP="00DB330E">
            <w:pPr>
              <w:pStyle w:val="TableTextBold"/>
              <w:rPr>
                <w:noProof w:val="0"/>
                <w:color w:val="FFFFFF"/>
                <w:szCs w:val="16"/>
              </w:rPr>
            </w:pPr>
            <w:r w:rsidRPr="00D9348B">
              <w:rPr>
                <w:noProof w:val="0"/>
                <w:color w:val="FFFFFF"/>
                <w:szCs w:val="16"/>
              </w:rPr>
              <w:t>Fuel type</w:t>
            </w:r>
          </w:p>
        </w:tc>
        <w:tc>
          <w:tcPr>
            <w:tcW w:w="926" w:type="pct"/>
            <w:shd w:val="clear" w:color="auto" w:fill="365F91"/>
            <w:vAlign w:val="bottom"/>
            <w:hideMark/>
          </w:tcPr>
          <w:p w14:paraId="71B595B6" w14:textId="77777777" w:rsidR="00A71B0D" w:rsidRPr="00D9348B" w:rsidRDefault="00A71B0D" w:rsidP="00DB330E">
            <w:pPr>
              <w:pStyle w:val="TableTextBold"/>
              <w:jc w:val="center"/>
              <w:rPr>
                <w:noProof w:val="0"/>
                <w:color w:val="FFFFFF"/>
                <w:szCs w:val="16"/>
              </w:rPr>
            </w:pPr>
            <w:r w:rsidRPr="00D9348B">
              <w:rPr>
                <w:noProof w:val="0"/>
                <w:color w:val="FFFFFF"/>
                <w:szCs w:val="16"/>
              </w:rPr>
              <w:t>Activity data (AD) uncertainty (%)</w:t>
            </w:r>
          </w:p>
        </w:tc>
        <w:tc>
          <w:tcPr>
            <w:tcW w:w="1000" w:type="pct"/>
            <w:shd w:val="clear" w:color="auto" w:fill="365F91"/>
            <w:vAlign w:val="bottom"/>
            <w:hideMark/>
          </w:tcPr>
          <w:p w14:paraId="5E3D6D76" w14:textId="77777777" w:rsidR="00A71B0D" w:rsidRPr="00D9348B" w:rsidRDefault="00A71B0D" w:rsidP="00DB330E">
            <w:pPr>
              <w:pStyle w:val="TableTextBold"/>
              <w:jc w:val="center"/>
              <w:rPr>
                <w:noProof w:val="0"/>
                <w:color w:val="FFFFFF"/>
                <w:szCs w:val="16"/>
              </w:rPr>
            </w:pPr>
            <w:r w:rsidRPr="00D9348B">
              <w:rPr>
                <w:noProof w:val="0"/>
                <w:color w:val="FFFFFF"/>
                <w:szCs w:val="16"/>
              </w:rPr>
              <w:t>Emission factor (EF) uncertainty (%)</w:t>
            </w:r>
          </w:p>
        </w:tc>
        <w:tc>
          <w:tcPr>
            <w:tcW w:w="2083" w:type="pct"/>
            <w:shd w:val="clear" w:color="auto" w:fill="365F91"/>
            <w:vAlign w:val="bottom"/>
          </w:tcPr>
          <w:p w14:paraId="759D3BEE" w14:textId="77777777" w:rsidR="00A71B0D" w:rsidRPr="00D9348B" w:rsidRDefault="00A71B0D" w:rsidP="00DB330E">
            <w:pPr>
              <w:pStyle w:val="TableTextBold"/>
              <w:jc w:val="center"/>
              <w:rPr>
                <w:noProof w:val="0"/>
                <w:color w:val="FFFFFF"/>
                <w:szCs w:val="16"/>
              </w:rPr>
            </w:pPr>
            <w:r w:rsidRPr="00D9348B">
              <w:rPr>
                <w:noProof w:val="0"/>
                <w:color w:val="FFFFFF"/>
                <w:szCs w:val="16"/>
              </w:rPr>
              <w:t>Source</w:t>
            </w:r>
          </w:p>
        </w:tc>
      </w:tr>
      <w:tr w:rsidR="00A71B0D" w:rsidRPr="00D9348B" w14:paraId="6C3FBC5D" w14:textId="77777777" w:rsidTr="001C1581">
        <w:tc>
          <w:tcPr>
            <w:tcW w:w="333" w:type="pct"/>
            <w:shd w:val="clear" w:color="auto" w:fill="auto"/>
            <w:noWrap/>
            <w:hideMark/>
          </w:tcPr>
          <w:p w14:paraId="23666AB9" w14:textId="77777777" w:rsidR="00A71B0D" w:rsidRPr="00D9348B" w:rsidRDefault="00A71B0D" w:rsidP="00DB330E">
            <w:pPr>
              <w:pStyle w:val="TableText"/>
              <w:rPr>
                <w:szCs w:val="16"/>
              </w:rPr>
            </w:pPr>
            <w:r w:rsidRPr="00D9348B">
              <w:rPr>
                <w:szCs w:val="16"/>
              </w:rPr>
              <w:t>CO</w:t>
            </w:r>
            <w:r w:rsidRPr="00D9348B">
              <w:rPr>
                <w:szCs w:val="16"/>
                <w:vertAlign w:val="subscript"/>
              </w:rPr>
              <w:t>2</w:t>
            </w:r>
          </w:p>
        </w:tc>
        <w:tc>
          <w:tcPr>
            <w:tcW w:w="658" w:type="pct"/>
            <w:shd w:val="clear" w:color="auto" w:fill="auto"/>
            <w:noWrap/>
            <w:hideMark/>
          </w:tcPr>
          <w:p w14:paraId="2B18F31B" w14:textId="77777777" w:rsidR="00A71B0D" w:rsidRPr="00D9348B" w:rsidRDefault="00A71B0D" w:rsidP="00DB330E">
            <w:pPr>
              <w:pStyle w:val="TableText"/>
              <w:rPr>
                <w:szCs w:val="16"/>
              </w:rPr>
            </w:pPr>
            <w:r w:rsidRPr="00D9348B">
              <w:rPr>
                <w:szCs w:val="16"/>
              </w:rPr>
              <w:t>Liquid fuels</w:t>
            </w:r>
          </w:p>
        </w:tc>
        <w:tc>
          <w:tcPr>
            <w:tcW w:w="926" w:type="pct"/>
            <w:shd w:val="clear" w:color="auto" w:fill="auto"/>
            <w:noWrap/>
            <w:hideMark/>
          </w:tcPr>
          <w:p w14:paraId="7733199D" w14:textId="77777777" w:rsidR="00A71B0D" w:rsidRPr="00D9348B" w:rsidRDefault="00A71B0D" w:rsidP="00DB330E">
            <w:pPr>
              <w:pStyle w:val="TableText"/>
              <w:jc w:val="center"/>
              <w:rPr>
                <w:szCs w:val="16"/>
              </w:rPr>
            </w:pPr>
            <w:r w:rsidRPr="00D9348B">
              <w:rPr>
                <w:szCs w:val="16"/>
              </w:rPr>
              <w:t>20</w:t>
            </w:r>
          </w:p>
        </w:tc>
        <w:tc>
          <w:tcPr>
            <w:tcW w:w="1000" w:type="pct"/>
            <w:shd w:val="clear" w:color="auto" w:fill="auto"/>
            <w:noWrap/>
            <w:hideMark/>
          </w:tcPr>
          <w:p w14:paraId="7E6A8ED2" w14:textId="77777777" w:rsidR="00A71B0D" w:rsidRPr="00D9348B" w:rsidRDefault="00A71B0D" w:rsidP="00DB330E">
            <w:pPr>
              <w:pStyle w:val="TableText"/>
              <w:jc w:val="center"/>
              <w:rPr>
                <w:szCs w:val="16"/>
              </w:rPr>
            </w:pPr>
            <w:r w:rsidRPr="00D9348B">
              <w:rPr>
                <w:szCs w:val="16"/>
              </w:rPr>
              <w:t>±7</w:t>
            </w:r>
          </w:p>
        </w:tc>
        <w:tc>
          <w:tcPr>
            <w:tcW w:w="2083" w:type="pct"/>
          </w:tcPr>
          <w:p w14:paraId="58F618FB" w14:textId="77777777" w:rsidR="00A71B0D" w:rsidRPr="00D9348B" w:rsidRDefault="00A71B0D" w:rsidP="00DB330E">
            <w:pPr>
              <w:pStyle w:val="TableText"/>
              <w:rPr>
                <w:szCs w:val="16"/>
              </w:rPr>
            </w:pPr>
            <w:r w:rsidRPr="00D9348B">
              <w:rPr>
                <w:szCs w:val="16"/>
              </w:rPr>
              <w:t>AD: page 2.41, IPCC, 2006a (table 2.15)</w:t>
            </w:r>
          </w:p>
          <w:p w14:paraId="74293769" w14:textId="77777777" w:rsidR="00A71B0D" w:rsidRPr="00D9348B" w:rsidRDefault="00A71B0D" w:rsidP="00DB330E">
            <w:pPr>
              <w:pStyle w:val="TableText"/>
              <w:spacing w:before="0"/>
              <w:rPr>
                <w:szCs w:val="16"/>
              </w:rPr>
            </w:pPr>
            <w:r w:rsidRPr="00D9348B">
              <w:rPr>
                <w:szCs w:val="16"/>
              </w:rPr>
              <w:t>EF: page 2.38, IPCC, 2006a</w:t>
            </w:r>
            <w:r w:rsidRPr="00D9348B" w:rsidDel="00AE346E">
              <w:rPr>
                <w:szCs w:val="16"/>
              </w:rPr>
              <w:t xml:space="preserve"> </w:t>
            </w:r>
          </w:p>
        </w:tc>
      </w:tr>
      <w:tr w:rsidR="00A71B0D" w:rsidRPr="00D9348B" w14:paraId="35E8B3C5" w14:textId="77777777" w:rsidTr="001C1581">
        <w:tc>
          <w:tcPr>
            <w:tcW w:w="333" w:type="pct"/>
            <w:shd w:val="clear" w:color="auto" w:fill="auto"/>
            <w:noWrap/>
            <w:hideMark/>
          </w:tcPr>
          <w:p w14:paraId="642A3A7D" w14:textId="77777777" w:rsidR="00A71B0D" w:rsidRPr="00D9348B" w:rsidRDefault="00A71B0D" w:rsidP="00DB330E">
            <w:pPr>
              <w:pStyle w:val="TableText"/>
              <w:rPr>
                <w:szCs w:val="16"/>
              </w:rPr>
            </w:pPr>
            <w:r w:rsidRPr="00D9348B">
              <w:rPr>
                <w:szCs w:val="16"/>
              </w:rPr>
              <w:t>CH</w:t>
            </w:r>
            <w:r w:rsidRPr="00D9348B">
              <w:rPr>
                <w:szCs w:val="16"/>
                <w:vertAlign w:val="subscript"/>
              </w:rPr>
              <w:t>4</w:t>
            </w:r>
          </w:p>
        </w:tc>
        <w:tc>
          <w:tcPr>
            <w:tcW w:w="658" w:type="pct"/>
            <w:shd w:val="clear" w:color="auto" w:fill="auto"/>
            <w:noWrap/>
            <w:hideMark/>
          </w:tcPr>
          <w:p w14:paraId="4312AD3E" w14:textId="77777777" w:rsidR="00A71B0D" w:rsidRPr="00D9348B" w:rsidRDefault="00A71B0D" w:rsidP="00DB330E">
            <w:pPr>
              <w:pStyle w:val="TableText"/>
              <w:rPr>
                <w:szCs w:val="16"/>
              </w:rPr>
            </w:pPr>
            <w:r w:rsidRPr="00D9348B">
              <w:rPr>
                <w:szCs w:val="16"/>
              </w:rPr>
              <w:t>Liquid fuels</w:t>
            </w:r>
          </w:p>
        </w:tc>
        <w:tc>
          <w:tcPr>
            <w:tcW w:w="926" w:type="pct"/>
            <w:shd w:val="clear" w:color="auto" w:fill="auto"/>
            <w:noWrap/>
            <w:hideMark/>
          </w:tcPr>
          <w:p w14:paraId="3E8D0994" w14:textId="77777777" w:rsidR="00A71B0D" w:rsidRPr="00D9348B" w:rsidRDefault="00A71B0D" w:rsidP="00DB330E">
            <w:pPr>
              <w:pStyle w:val="TableText"/>
              <w:jc w:val="center"/>
              <w:rPr>
                <w:szCs w:val="16"/>
              </w:rPr>
            </w:pPr>
            <w:r w:rsidRPr="00D9348B">
              <w:rPr>
                <w:szCs w:val="16"/>
              </w:rPr>
              <w:t>20</w:t>
            </w:r>
          </w:p>
        </w:tc>
        <w:tc>
          <w:tcPr>
            <w:tcW w:w="1000" w:type="pct"/>
            <w:shd w:val="clear" w:color="auto" w:fill="auto"/>
            <w:noWrap/>
            <w:hideMark/>
          </w:tcPr>
          <w:p w14:paraId="43B53561" w14:textId="77777777" w:rsidR="00A71B0D" w:rsidRPr="00D9348B" w:rsidRDefault="00A71B0D" w:rsidP="00DB330E">
            <w:pPr>
              <w:pStyle w:val="TableText"/>
              <w:jc w:val="center"/>
              <w:rPr>
                <w:szCs w:val="16"/>
              </w:rPr>
            </w:pPr>
            <w:r w:rsidRPr="00D9348B">
              <w:rPr>
                <w:szCs w:val="16"/>
              </w:rPr>
              <w:t>±50.0</w:t>
            </w:r>
          </w:p>
        </w:tc>
        <w:tc>
          <w:tcPr>
            <w:tcW w:w="2083" w:type="pct"/>
          </w:tcPr>
          <w:p w14:paraId="19CD9013" w14:textId="77777777" w:rsidR="00A71B0D" w:rsidRPr="00D9348B" w:rsidRDefault="00A71B0D" w:rsidP="00DB330E">
            <w:pPr>
              <w:pStyle w:val="TableText"/>
              <w:rPr>
                <w:szCs w:val="16"/>
              </w:rPr>
            </w:pPr>
            <w:r w:rsidRPr="00D9348B">
              <w:rPr>
                <w:szCs w:val="16"/>
              </w:rPr>
              <w:t>AD: page 2.41, IPCC, 2006a (table 2.15)</w:t>
            </w:r>
          </w:p>
          <w:p w14:paraId="7E1CE777" w14:textId="77777777" w:rsidR="00A71B0D" w:rsidRPr="00D9348B" w:rsidRDefault="00A71B0D" w:rsidP="00DB330E">
            <w:pPr>
              <w:pStyle w:val="TableText"/>
              <w:spacing w:before="0"/>
              <w:rPr>
                <w:szCs w:val="16"/>
              </w:rPr>
            </w:pPr>
            <w:r w:rsidRPr="00D9348B">
              <w:rPr>
                <w:szCs w:val="16"/>
              </w:rPr>
              <w:t>EF: page 2.38, IPCC, 2006a (table 2.12)</w:t>
            </w:r>
          </w:p>
        </w:tc>
      </w:tr>
      <w:tr w:rsidR="00A71B0D" w:rsidRPr="00D9348B" w14:paraId="0406E019" w14:textId="77777777" w:rsidTr="001C1581">
        <w:tc>
          <w:tcPr>
            <w:tcW w:w="333" w:type="pct"/>
            <w:shd w:val="clear" w:color="auto" w:fill="auto"/>
            <w:noWrap/>
            <w:hideMark/>
          </w:tcPr>
          <w:p w14:paraId="3B456A01" w14:textId="77777777" w:rsidR="00A71B0D" w:rsidRPr="00D9348B" w:rsidRDefault="00A71B0D" w:rsidP="00DB330E">
            <w:pPr>
              <w:pStyle w:val="TableText"/>
              <w:rPr>
                <w:szCs w:val="16"/>
              </w:rPr>
            </w:pPr>
            <w:r w:rsidRPr="00D9348B">
              <w:rPr>
                <w:szCs w:val="16"/>
              </w:rPr>
              <w:t>N</w:t>
            </w:r>
            <w:r w:rsidRPr="00D9348B">
              <w:rPr>
                <w:szCs w:val="16"/>
                <w:vertAlign w:val="subscript"/>
              </w:rPr>
              <w:t>2</w:t>
            </w:r>
            <w:r w:rsidRPr="00D9348B">
              <w:rPr>
                <w:szCs w:val="16"/>
              </w:rPr>
              <w:t>O</w:t>
            </w:r>
          </w:p>
        </w:tc>
        <w:tc>
          <w:tcPr>
            <w:tcW w:w="658" w:type="pct"/>
            <w:shd w:val="clear" w:color="auto" w:fill="auto"/>
            <w:noWrap/>
            <w:hideMark/>
          </w:tcPr>
          <w:p w14:paraId="71006F3E" w14:textId="77777777" w:rsidR="00A71B0D" w:rsidRPr="00D9348B" w:rsidRDefault="00A71B0D" w:rsidP="00DB330E">
            <w:pPr>
              <w:pStyle w:val="TableText"/>
              <w:rPr>
                <w:szCs w:val="16"/>
              </w:rPr>
            </w:pPr>
            <w:r w:rsidRPr="00D9348B">
              <w:rPr>
                <w:szCs w:val="16"/>
              </w:rPr>
              <w:t>Liquid fuels</w:t>
            </w:r>
          </w:p>
        </w:tc>
        <w:tc>
          <w:tcPr>
            <w:tcW w:w="926" w:type="pct"/>
            <w:shd w:val="clear" w:color="auto" w:fill="auto"/>
            <w:noWrap/>
            <w:hideMark/>
          </w:tcPr>
          <w:p w14:paraId="38B89748" w14:textId="77777777" w:rsidR="00A71B0D" w:rsidRPr="00D9348B" w:rsidRDefault="00A71B0D" w:rsidP="00DB330E">
            <w:pPr>
              <w:pStyle w:val="TableText"/>
              <w:jc w:val="center"/>
              <w:rPr>
                <w:szCs w:val="16"/>
              </w:rPr>
            </w:pPr>
            <w:r w:rsidRPr="00D9348B">
              <w:rPr>
                <w:szCs w:val="16"/>
              </w:rPr>
              <w:t>20</w:t>
            </w:r>
          </w:p>
        </w:tc>
        <w:tc>
          <w:tcPr>
            <w:tcW w:w="1000" w:type="pct"/>
            <w:shd w:val="clear" w:color="auto" w:fill="auto"/>
            <w:noWrap/>
            <w:hideMark/>
          </w:tcPr>
          <w:p w14:paraId="1C908571" w14:textId="77777777" w:rsidR="00A71B0D" w:rsidRPr="00D9348B" w:rsidRDefault="00A71B0D" w:rsidP="00DB330E">
            <w:pPr>
              <w:pStyle w:val="TableText"/>
              <w:jc w:val="center"/>
              <w:rPr>
                <w:szCs w:val="16"/>
              </w:rPr>
            </w:pPr>
            <w:r w:rsidRPr="00D9348B">
              <w:rPr>
                <w:szCs w:val="16"/>
              </w:rPr>
              <w:t>±50.0</w:t>
            </w:r>
          </w:p>
        </w:tc>
        <w:tc>
          <w:tcPr>
            <w:tcW w:w="2083" w:type="pct"/>
          </w:tcPr>
          <w:p w14:paraId="6F5C032F" w14:textId="77777777" w:rsidR="00A71B0D" w:rsidRPr="00D9348B" w:rsidRDefault="00A71B0D" w:rsidP="00DB330E">
            <w:pPr>
              <w:pStyle w:val="TableText"/>
              <w:rPr>
                <w:szCs w:val="16"/>
              </w:rPr>
            </w:pPr>
            <w:r w:rsidRPr="00D9348B">
              <w:rPr>
                <w:szCs w:val="16"/>
              </w:rPr>
              <w:t>AD: page 2.41, IPCC, 2006a (table 2.15)</w:t>
            </w:r>
          </w:p>
          <w:p w14:paraId="37F318B0" w14:textId="77777777" w:rsidR="00A71B0D" w:rsidRPr="00D9348B" w:rsidRDefault="00A71B0D" w:rsidP="00DB330E">
            <w:pPr>
              <w:pStyle w:val="TableText"/>
              <w:spacing w:before="0"/>
              <w:rPr>
                <w:szCs w:val="16"/>
              </w:rPr>
            </w:pPr>
            <w:r w:rsidRPr="00D9348B">
              <w:rPr>
                <w:szCs w:val="16"/>
              </w:rPr>
              <w:t>EF: New Zealand’s value (table 3.3.1, chapter 3)</w:t>
            </w:r>
          </w:p>
        </w:tc>
      </w:tr>
    </w:tbl>
    <w:p w14:paraId="16CFCF7D" w14:textId="77777777" w:rsidR="00A71B0D" w:rsidRPr="00D9348B" w:rsidRDefault="00A71B0D" w:rsidP="00865BDB">
      <w:pPr>
        <w:pStyle w:val="Heading4"/>
      </w:pPr>
      <w:r w:rsidRPr="00D9348B">
        <w:t>Source-specific planned improvements</w:t>
      </w:r>
    </w:p>
    <w:p w14:paraId="3D57AEED" w14:textId="30DABB65" w:rsidR="00A71B0D" w:rsidRPr="00D9348B" w:rsidRDefault="00A71B0D" w:rsidP="00A71B0D">
      <w:pPr>
        <w:pStyle w:val="BodyText"/>
        <w:rPr>
          <w:lang w:eastAsia="en-GB"/>
        </w:rPr>
      </w:pPr>
      <w:r w:rsidRPr="00D9348B">
        <w:rPr>
          <w:lang w:eastAsia="en-GB"/>
        </w:rPr>
        <w:t xml:space="preserve">There are no planned improvements for the </w:t>
      </w:r>
      <w:proofErr w:type="gramStart"/>
      <w:r w:rsidRPr="00D9348B">
        <w:rPr>
          <w:i/>
          <w:lang w:eastAsia="en-GB"/>
        </w:rPr>
        <w:t>Other</w:t>
      </w:r>
      <w:proofErr w:type="gramEnd"/>
      <w:r w:rsidRPr="00D9348B">
        <w:rPr>
          <w:i/>
          <w:lang w:eastAsia="en-GB"/>
        </w:rPr>
        <w:t xml:space="preserve"> sectors – Residential</w:t>
      </w:r>
      <w:r w:rsidRPr="00D9348B">
        <w:rPr>
          <w:lang w:eastAsia="en-GB"/>
        </w:rPr>
        <w:t xml:space="preserve"> category. One area identified for possible improvement is to consider additional LPG imports purchased from Aute Gas (Apia, Samoa), for Nukunonu. However, the difference is likely to be small, compared</w:t>
      </w:r>
      <w:r w:rsidR="001C1581" w:rsidRPr="00D9348B">
        <w:rPr>
          <w:lang w:eastAsia="en-GB"/>
        </w:rPr>
        <w:t> </w:t>
      </w:r>
      <w:r w:rsidRPr="00D9348B">
        <w:rPr>
          <w:lang w:eastAsia="en-GB"/>
        </w:rPr>
        <w:t>with the current approach (where Nukunonu is taken as the average between the</w:t>
      </w:r>
      <w:r w:rsidR="00E11E79" w:rsidRPr="00D9348B">
        <w:rPr>
          <w:lang w:eastAsia="en-GB"/>
        </w:rPr>
        <w:t> </w:t>
      </w:r>
      <w:r w:rsidRPr="00D9348B">
        <w:rPr>
          <w:lang w:eastAsia="en-GB"/>
        </w:rPr>
        <w:t xml:space="preserve">fuel purchases from Origin, by Atafu and Fakaofo). For future submissions, further analysis of activity data from Tokelau, to reflect year-to-year variations, will be considered as far as resources will allow. </w:t>
      </w:r>
    </w:p>
    <w:p w14:paraId="67DE7CA2" w14:textId="77777777" w:rsidR="00A71B0D" w:rsidRPr="00D9348B" w:rsidRDefault="00A71B0D" w:rsidP="00A71B0D">
      <w:pPr>
        <w:pStyle w:val="Heading3"/>
      </w:pPr>
      <w:r w:rsidRPr="00D9348B">
        <w:lastRenderedPageBreak/>
        <w:t xml:space="preserve">8.2.5 </w:t>
      </w:r>
      <w:r w:rsidRPr="00D9348B">
        <w:tab/>
        <w:t xml:space="preserve">Mobile combustion: </w:t>
      </w:r>
      <w:r w:rsidRPr="00D9348B">
        <w:rPr>
          <w:i/>
        </w:rPr>
        <w:t>Domestic navigation</w:t>
      </w:r>
    </w:p>
    <w:p w14:paraId="5D603814" w14:textId="77777777" w:rsidR="00A71B0D" w:rsidRPr="00D9348B" w:rsidRDefault="00A71B0D" w:rsidP="009F13BC">
      <w:pPr>
        <w:pStyle w:val="Heading4"/>
        <w:spacing w:before="160"/>
      </w:pPr>
      <w:r w:rsidRPr="00D9348B">
        <w:t>Description</w:t>
      </w:r>
    </w:p>
    <w:p w14:paraId="4F544051" w14:textId="77777777" w:rsidR="00A71B0D" w:rsidRPr="00D9348B" w:rsidRDefault="00A71B0D" w:rsidP="009F13BC">
      <w:pPr>
        <w:pStyle w:val="BodyText"/>
      </w:pPr>
      <w:r w:rsidRPr="00D9348B">
        <w:t>The only means of transport to and from Tokelau is by sea; there is no air transportation. All travel and supplies to Tokelau originate and terminate in Samoa, Tokelau’s closest neighbour. A direct trip from any of the three atolls to the nearest port, Apia, usually takes between 26 hours and 40 hours. There are no ports and terminals in Tokelau, and no offshore anchorage is available: barges that can enter the fringe reef are used for loading and offloading ships.</w:t>
      </w:r>
    </w:p>
    <w:p w14:paraId="6E34303A" w14:textId="77777777" w:rsidR="00A71B0D" w:rsidRPr="00D9348B" w:rsidRDefault="00A71B0D" w:rsidP="009F13BC">
      <w:pPr>
        <w:pStyle w:val="BodyText"/>
      </w:pPr>
      <w:r w:rsidRPr="00D9348B">
        <w:t>The passenger ferries and cargo ships arriving from Apia (distance approximately 500 kilometres) generally visit the three atolls in succession: they are 60 kilometres and 90 kilometres apart, respectively. A round trip is about 1,300 kilometres using diesel from Apia, of which the fraction (300/1300) is included in domestic navigation within Tokelau.</w:t>
      </w:r>
    </w:p>
    <w:p w14:paraId="632B01E0" w14:textId="77777777" w:rsidR="00A71B0D" w:rsidRPr="00D9348B" w:rsidRDefault="00A71B0D" w:rsidP="009F13BC">
      <w:pPr>
        <w:pStyle w:val="BodyText"/>
      </w:pPr>
      <w:r w:rsidRPr="00D9348B">
        <w:t>Until recently, the main forms of road transport on the atolls were trucks, pick-ups, motorbikes and a range of golf carts. Some vehicles are electric, fuelled by solar energy. Solar-powered streetlights ensure safety on the roadways. The private importation of other vehicles has increased recently.</w:t>
      </w:r>
    </w:p>
    <w:p w14:paraId="03F3E24B" w14:textId="77777777" w:rsidR="00A71B0D" w:rsidRPr="00D9348B" w:rsidRDefault="00A71B0D" w:rsidP="009F13BC">
      <w:pPr>
        <w:pStyle w:val="BodyText"/>
      </w:pPr>
      <w:r w:rsidRPr="00D9348B">
        <w:t xml:space="preserve">The number of petrol cars has been very small in Tokelau and in 2018 there were only about 40 cars (in addition to the vehicles above) and 30 motorbikes, with the entire network of unsealed roads being about 10 kilometres. Census 2001 and prior record only four registered cars. Aluminium boats with an outboard motor are widely used by families. Emissions from fuels used for road transport are orders of magnitude lower than from boats, and it was not possible to distinguish the small amounts of fuels used by cars from the total amount used by boats and cars. That is why emissions from road transport are included under the Domestic navigation category. </w:t>
      </w:r>
    </w:p>
    <w:p w14:paraId="3E3D0AA6" w14:textId="77777777" w:rsidR="00A71B0D" w:rsidRPr="00D9348B" w:rsidRDefault="00A71B0D" w:rsidP="009F13BC">
      <w:pPr>
        <w:pStyle w:val="BodyText"/>
      </w:pPr>
      <w:r w:rsidRPr="00D9348B">
        <w:t xml:space="preserve">According to its 2016 census, Tokelau has 176 aluminium boats with 160 outboard motors, which use most of the imported petrol to travel within and outside the large lagoons. Most of the diesel use is by the ferries travelling to and from Samoa. Fetu o </w:t>
      </w:r>
      <w:proofErr w:type="gramStart"/>
      <w:r w:rsidRPr="00D9348B">
        <w:t>te</w:t>
      </w:r>
      <w:proofErr w:type="gramEnd"/>
      <w:r w:rsidRPr="00D9348B">
        <w:t xml:space="preserve"> Moana is a new search and rescue vessel that will also provide general inter-atoll transport. It was delivered early in 2019, and this is expected to increase the use of diesel within Tokelau, as will be addressed in future submissions. </w:t>
      </w:r>
    </w:p>
    <w:p w14:paraId="46CE4D02" w14:textId="77777777" w:rsidR="00A71B0D" w:rsidRPr="00D9348B" w:rsidRDefault="00A71B0D" w:rsidP="009F13BC">
      <w:pPr>
        <w:pStyle w:val="BodyText"/>
      </w:pPr>
      <w:r w:rsidRPr="00D9348B">
        <w:t xml:space="preserve">For Tokelau, the category </w:t>
      </w:r>
      <w:r w:rsidRPr="00D9348B">
        <w:rPr>
          <w:i/>
        </w:rPr>
        <w:t>Domestic navigation</w:t>
      </w:r>
      <w:r w:rsidRPr="00D9348B">
        <w:t xml:space="preserve"> accounted for 100 per cent of the emissions from the </w:t>
      </w:r>
      <w:r w:rsidRPr="00D9348B">
        <w:rPr>
          <w:i/>
        </w:rPr>
        <w:t>Transport</w:t>
      </w:r>
      <w:r w:rsidRPr="00D9348B">
        <w:t xml:space="preserve"> category for the entire time series. In 2018, emissions from the </w:t>
      </w:r>
      <w:r w:rsidRPr="00D9348B">
        <w:rPr>
          <w:i/>
        </w:rPr>
        <w:t>Domestic navigation</w:t>
      </w:r>
      <w:r w:rsidRPr="00D9348B">
        <w:t xml:space="preserve"> category totalled 1.50 kt CO</w:t>
      </w:r>
      <w:r w:rsidRPr="00D9348B">
        <w:rPr>
          <w:vertAlign w:val="subscript"/>
        </w:rPr>
        <w:t>2</w:t>
      </w:r>
      <w:r w:rsidRPr="00D9348B">
        <w:t>-e (81.2 per cent of all energy emissions from Tokelau).</w:t>
      </w:r>
    </w:p>
    <w:p w14:paraId="736D233C" w14:textId="77777777" w:rsidR="00A71B0D" w:rsidRPr="00D9348B" w:rsidRDefault="00A71B0D" w:rsidP="00865BDB">
      <w:pPr>
        <w:pStyle w:val="Heading4"/>
      </w:pPr>
      <w:r w:rsidRPr="00D9348B">
        <w:t>Methodological issues</w:t>
      </w:r>
    </w:p>
    <w:p w14:paraId="3CEDA903" w14:textId="77777777" w:rsidR="00A71B0D" w:rsidRPr="00D9348B" w:rsidRDefault="00A71B0D" w:rsidP="00A71B0D">
      <w:pPr>
        <w:pStyle w:val="Heading5"/>
        <w:spacing w:before="120"/>
      </w:pPr>
      <w:r w:rsidRPr="00D9348B">
        <w:t>Activity data</w:t>
      </w:r>
    </w:p>
    <w:p w14:paraId="0479A771" w14:textId="77777777" w:rsidR="00A71B0D" w:rsidRPr="00D9348B" w:rsidRDefault="00A71B0D" w:rsidP="009F13BC">
      <w:pPr>
        <w:pStyle w:val="BodyText"/>
        <w:rPr>
          <w:rFonts w:ascii="TimesNewRomanPSMT" w:hAnsi="TimesNewRomanPSMT" w:cs="TimesNewRomanPSMT"/>
          <w:sz w:val="20"/>
        </w:rPr>
      </w:pPr>
      <w:r w:rsidRPr="00D9348B">
        <w:rPr>
          <w:lang w:eastAsia="en-GB"/>
        </w:rPr>
        <w:t xml:space="preserve">The sources of activity data for the </w:t>
      </w:r>
      <w:r w:rsidRPr="00D9348B">
        <w:rPr>
          <w:i/>
          <w:lang w:eastAsia="en-GB"/>
        </w:rPr>
        <w:t>Transport</w:t>
      </w:r>
      <w:r w:rsidRPr="00D9348B">
        <w:rPr>
          <w:lang w:eastAsia="en-GB"/>
        </w:rPr>
        <w:t xml:space="preserve"> category are included in table 8.1.2. Activity data sources for the category are paid invoices from Petroleum Product Supplies Ltd (Apia, Samoa) with data on fuel prices and volumes supplied </w:t>
      </w:r>
      <w:r w:rsidRPr="00D9348B">
        <w:t>for</w:t>
      </w:r>
      <w:r w:rsidRPr="00D9348B">
        <w:rPr>
          <w:lang w:eastAsia="en-GB"/>
        </w:rPr>
        <w:t xml:space="preserve"> shipping and on-atoll use: diesel, petrol, kerosene and lubricant oil (item 7 in table 8.1.2); the Tokelau Department of Finance’s invoices and payment records to Petroleum Product Supplies Ltd, Origin and on-atoll stores; and a photo survey of Tokelau motorised vehicles </w:t>
      </w:r>
      <w:r w:rsidRPr="00D9348B">
        <w:t>on</w:t>
      </w:r>
      <w:r w:rsidRPr="00D9348B">
        <w:rPr>
          <w:lang w:eastAsia="en-GB"/>
        </w:rPr>
        <w:t xml:space="preserve">-atoll, August–December 2018. Additional energy data related to cargo manifests were obtained from an </w:t>
      </w:r>
      <w:r w:rsidRPr="00D9348B">
        <w:rPr>
          <w:i/>
          <w:lang w:eastAsia="en-GB"/>
        </w:rPr>
        <w:t xml:space="preserve">Analysis of 2014 Imports into Tokelau from Samoa, Part 2: Stores’ invoices reconciled with cargo manifests, and quality of life </w:t>
      </w:r>
      <w:r w:rsidRPr="00D9348B">
        <w:rPr>
          <w:i/>
          <w:lang w:eastAsia="en-GB"/>
        </w:rPr>
        <w:lastRenderedPageBreak/>
        <w:t>implications</w:t>
      </w:r>
      <w:r w:rsidRPr="00D9348B">
        <w:rPr>
          <w:lang w:eastAsia="en-GB"/>
        </w:rPr>
        <w:t xml:space="preserve"> (Tokelau National Statistics Office, 2016). Only liquid fossil fuels (gas and diesel oil) are used for fuelling Tokelau’s transport.</w:t>
      </w:r>
    </w:p>
    <w:p w14:paraId="4A195B3D" w14:textId="77777777" w:rsidR="00A71B0D" w:rsidRPr="00D9348B" w:rsidRDefault="00A71B0D" w:rsidP="00A71B0D">
      <w:pPr>
        <w:pStyle w:val="BodyText"/>
        <w:rPr>
          <w:lang w:eastAsia="en-GB"/>
        </w:rPr>
      </w:pPr>
      <w:r w:rsidRPr="00D9348B">
        <w:rPr>
          <w:lang w:eastAsia="en-GB"/>
        </w:rPr>
        <w:t xml:space="preserve">Due to large discrepancies between different sources of raw data, reliable statistics on fuel consumption across the period 1990–2018 are not available. Some anecdotal transport data exist for the number of roundtrips Apia–Tokelau during the </w:t>
      </w:r>
      <w:r w:rsidRPr="00D9348B">
        <w:t>years</w:t>
      </w:r>
      <w:r w:rsidRPr="00D9348B">
        <w:rPr>
          <w:lang w:eastAsia="en-GB"/>
        </w:rPr>
        <w:t xml:space="preserve"> 1990–2014; after this period actual records are available. Applying the statistics for fuel-use data assembled during 2018 was the best available accurate estimate and was applied for the entire time series from 1990 to 2018. The results of raw data analysis and conversion of raw data to activity data in energy units are included in annex 7, table A7.1.1. </w:t>
      </w:r>
    </w:p>
    <w:p w14:paraId="49CE0E0C" w14:textId="77777777" w:rsidR="00A71B0D" w:rsidRPr="00D9348B" w:rsidRDefault="00A71B0D" w:rsidP="00E11E79">
      <w:pPr>
        <w:pStyle w:val="Heading5"/>
        <w:spacing w:before="120"/>
        <w:rPr>
          <w:lang w:eastAsia="en-GB"/>
        </w:rPr>
      </w:pPr>
      <w:r w:rsidRPr="00D9348B">
        <w:rPr>
          <w:lang w:eastAsia="en-GB"/>
        </w:rPr>
        <w:t>Methods and emission factors</w:t>
      </w:r>
    </w:p>
    <w:p w14:paraId="00FDC8DE" w14:textId="77777777" w:rsidR="00A71B0D" w:rsidRPr="00D9348B" w:rsidRDefault="00A71B0D" w:rsidP="00A71B0D">
      <w:pPr>
        <w:pStyle w:val="BodyText"/>
        <w:rPr>
          <w:lang w:eastAsia="en-GB"/>
        </w:rPr>
      </w:pPr>
      <w:r w:rsidRPr="00D9348B">
        <w:rPr>
          <w:lang w:eastAsia="en-GB"/>
        </w:rPr>
        <w:t xml:space="preserve">A Tier 1 method was applied for estimating emissions from the </w:t>
      </w:r>
      <w:r w:rsidRPr="00D9348B">
        <w:rPr>
          <w:i/>
          <w:lang w:eastAsia="en-GB"/>
        </w:rPr>
        <w:t>Domestic navigation</w:t>
      </w:r>
      <w:r w:rsidRPr="00D9348B">
        <w:rPr>
          <w:lang w:eastAsia="en-GB"/>
        </w:rPr>
        <w:t xml:space="preserve"> category. The method required the data on the amount of fuel combusted in the source category and a default emissions factor from tables 3.5.2 (for CO</w:t>
      </w:r>
      <w:r w:rsidRPr="00D9348B">
        <w:rPr>
          <w:vertAlign w:val="subscript"/>
          <w:lang w:eastAsia="en-GB"/>
        </w:rPr>
        <w:t>2</w:t>
      </w:r>
      <w:r w:rsidRPr="00D9348B">
        <w:rPr>
          <w:lang w:eastAsia="en-GB"/>
        </w:rPr>
        <w:t>) and 3.5.3 (for non-CO</w:t>
      </w:r>
      <w:r w:rsidRPr="00D9348B">
        <w:rPr>
          <w:vertAlign w:val="subscript"/>
          <w:lang w:eastAsia="en-GB"/>
        </w:rPr>
        <w:t>2</w:t>
      </w:r>
      <w:r w:rsidRPr="00D9348B">
        <w:rPr>
          <w:lang w:eastAsia="en-GB"/>
        </w:rPr>
        <w:t xml:space="preserve"> gases), section 3.5.1.2, volume 2 of the 2006 IPCC Guidelines. Default emission factors from the 2006 IPCC Guidelines were converted from net calorific values to gross calorific values using the OECD and IEA assumptions to make these conversions:</w:t>
      </w:r>
    </w:p>
    <w:p w14:paraId="230F8C58" w14:textId="77777777" w:rsidR="00A71B0D" w:rsidRPr="00D9348B" w:rsidRDefault="00A71B0D" w:rsidP="00A71B0D">
      <w:pPr>
        <w:pStyle w:val="BodyText"/>
        <w:jc w:val="center"/>
        <w:rPr>
          <w:sz w:val="20"/>
          <w:lang w:eastAsia="en-GB"/>
        </w:rPr>
      </w:pPr>
      <w:r w:rsidRPr="00D9348B">
        <w:rPr>
          <w:sz w:val="20"/>
          <w:lang w:eastAsia="en-GB"/>
        </w:rPr>
        <w:t>Gross Emission Factor (liquid fuels) = 0.95 x Net Emission Factor</w:t>
      </w:r>
    </w:p>
    <w:p w14:paraId="2687DF71" w14:textId="77777777" w:rsidR="00A71B0D" w:rsidRPr="00D9348B" w:rsidRDefault="00A71B0D" w:rsidP="00A71B0D">
      <w:pPr>
        <w:pStyle w:val="BodyText"/>
        <w:rPr>
          <w:lang w:eastAsia="en-GB"/>
        </w:rPr>
      </w:pPr>
      <w:r w:rsidRPr="00D9348B">
        <w:rPr>
          <w:lang w:eastAsia="en-GB"/>
        </w:rPr>
        <w:t xml:space="preserve">Equation 3.5.1 in section 3.5.1.1 in the 2006 IPCC Guidelines was used for estimating emissions (IPCC, 2006a). </w:t>
      </w:r>
    </w:p>
    <w:p w14:paraId="4593BE5D" w14:textId="77777777" w:rsidR="00A71B0D" w:rsidRPr="00D9348B" w:rsidRDefault="00A71B0D" w:rsidP="00865BDB">
      <w:pPr>
        <w:pStyle w:val="Heading4"/>
      </w:pPr>
      <w:r w:rsidRPr="00D9348B">
        <w:t>Uncertainties</w:t>
      </w:r>
    </w:p>
    <w:p w14:paraId="4FFAE2D8" w14:textId="77777777" w:rsidR="00A71B0D" w:rsidRPr="00D9348B" w:rsidRDefault="00A71B0D" w:rsidP="00A71B0D">
      <w:pPr>
        <w:pStyle w:val="BodyText"/>
        <w:rPr>
          <w:lang w:eastAsia="en-GB"/>
        </w:rPr>
      </w:pPr>
      <w:r w:rsidRPr="00D9348B">
        <w:rPr>
          <w:lang w:eastAsia="en-GB"/>
        </w:rPr>
        <w:t>For this submission, it was not possible to develop Tokelau-specific uncertainty values, so for emission factors, default uncertainty provided in the 2006 IPCC Guidelines were used for CO</w:t>
      </w:r>
      <w:r w:rsidRPr="00D9348B">
        <w:rPr>
          <w:vertAlign w:val="subscript"/>
          <w:lang w:eastAsia="en-GB"/>
        </w:rPr>
        <w:t>2</w:t>
      </w:r>
      <w:r w:rsidRPr="00D9348B">
        <w:rPr>
          <w:lang w:eastAsia="en-GB"/>
        </w:rPr>
        <w:t xml:space="preserve"> (for diesel) and CH</w:t>
      </w:r>
      <w:r w:rsidRPr="00D9348B">
        <w:rPr>
          <w:vertAlign w:val="subscript"/>
          <w:lang w:eastAsia="en-GB"/>
        </w:rPr>
        <w:t>4</w:t>
      </w:r>
      <w:r w:rsidRPr="00D9348B">
        <w:rPr>
          <w:lang w:eastAsia="en-GB"/>
        </w:rPr>
        <w:t xml:space="preserve"> (upper value) (IPCC, 2006a). For N</w:t>
      </w:r>
      <w:r w:rsidRPr="00D9348B">
        <w:rPr>
          <w:vertAlign w:val="subscript"/>
          <w:lang w:eastAsia="en-GB"/>
        </w:rPr>
        <w:t>2</w:t>
      </w:r>
      <w:r w:rsidRPr="00D9348B">
        <w:rPr>
          <w:lang w:eastAsia="en-GB"/>
        </w:rPr>
        <w:t>O, New Zealand’s emissions factor uncertainty across the Energy sector for N</w:t>
      </w:r>
      <w:r w:rsidRPr="00D9348B">
        <w:rPr>
          <w:vertAlign w:val="subscript"/>
          <w:lang w:eastAsia="en-GB"/>
        </w:rPr>
        <w:t>2</w:t>
      </w:r>
      <w:r w:rsidRPr="00D9348B">
        <w:rPr>
          <w:lang w:eastAsia="en-GB"/>
        </w:rPr>
        <w:t xml:space="preserve">O was used for this category, which is within the default uncertainty range. </w:t>
      </w:r>
    </w:p>
    <w:p w14:paraId="66DD4D96" w14:textId="77777777" w:rsidR="00A71B0D" w:rsidRPr="00D9348B" w:rsidRDefault="00A71B0D" w:rsidP="00A71B0D">
      <w:pPr>
        <w:pStyle w:val="BodyText"/>
        <w:rPr>
          <w:lang w:eastAsia="en-GB"/>
        </w:rPr>
      </w:pPr>
      <w:r w:rsidRPr="00D9348B">
        <w:rPr>
          <w:lang w:eastAsia="en-GB"/>
        </w:rPr>
        <w:t xml:space="preserve">For activity data, due to discrepancies between different data sources, an upper level of default uncertainty range associated with incomplete surveys from the 2006 IPCC Guidelines was applied (IPCC, 2006a). Table 8.2.3 shows the use of uncertainties for </w:t>
      </w:r>
      <w:r w:rsidRPr="00D9348B">
        <w:rPr>
          <w:i/>
          <w:lang w:eastAsia="en-GB"/>
        </w:rPr>
        <w:t>Domestic navigation</w:t>
      </w:r>
      <w:r w:rsidRPr="00D9348B">
        <w:rPr>
          <w:lang w:eastAsia="en-GB"/>
        </w:rPr>
        <w:t xml:space="preserve"> (diesel).</w:t>
      </w:r>
    </w:p>
    <w:p w14:paraId="52F65A85" w14:textId="77777777" w:rsidR="00A71B0D" w:rsidRPr="00D9348B" w:rsidRDefault="00A71B0D" w:rsidP="00A71B0D">
      <w:pPr>
        <w:pStyle w:val="Table"/>
      </w:pPr>
      <w:bookmarkStart w:id="2982" w:name="_Toc5269598"/>
      <w:bookmarkStart w:id="2983" w:name="_Toc36224679"/>
      <w:r w:rsidRPr="00D9348B">
        <w:t>Table 8.2.3</w:t>
      </w:r>
      <w:r w:rsidRPr="00D9348B">
        <w:tab/>
        <w:t>Uncertainties for the Mobile combustion category</w:t>
      </w:r>
      <w:bookmarkEnd w:id="2982"/>
      <w:bookmarkEnd w:id="2983"/>
    </w:p>
    <w:tbl>
      <w:tblPr>
        <w:tblW w:w="8505" w:type="dxa"/>
        <w:tblInd w:w="108" w:type="dxa"/>
        <w:tblBorders>
          <w:top w:val="single" w:sz="4" w:space="0" w:color="1F497D"/>
          <w:bottom w:val="single" w:sz="4" w:space="0" w:color="1F497D"/>
          <w:insideH w:val="single" w:sz="4" w:space="0" w:color="1F497D"/>
          <w:insideV w:val="single" w:sz="4" w:space="0" w:color="1F497D"/>
        </w:tblBorders>
        <w:tblLook w:val="0420" w:firstRow="1" w:lastRow="0" w:firstColumn="0" w:lastColumn="0" w:noHBand="0" w:noVBand="1"/>
      </w:tblPr>
      <w:tblGrid>
        <w:gridCol w:w="567"/>
        <w:gridCol w:w="1119"/>
        <w:gridCol w:w="1716"/>
        <w:gridCol w:w="1842"/>
        <w:gridCol w:w="3261"/>
      </w:tblGrid>
      <w:tr w:rsidR="00A71B0D" w:rsidRPr="00D9348B" w14:paraId="6C22C0BA" w14:textId="77777777" w:rsidTr="00E11E79">
        <w:trPr>
          <w:tblHeader/>
        </w:trPr>
        <w:tc>
          <w:tcPr>
            <w:tcW w:w="333" w:type="pct"/>
            <w:tcBorders>
              <w:right w:val="single" w:sz="4" w:space="0" w:color="365F91"/>
            </w:tcBorders>
            <w:shd w:val="clear" w:color="auto" w:fill="365F91"/>
            <w:noWrap/>
            <w:vAlign w:val="bottom"/>
            <w:hideMark/>
          </w:tcPr>
          <w:p w14:paraId="4FFB70CA" w14:textId="77777777" w:rsidR="00A71B0D" w:rsidRPr="00D9348B" w:rsidRDefault="00A71B0D" w:rsidP="00DB330E">
            <w:pPr>
              <w:pStyle w:val="TableTextBold"/>
              <w:rPr>
                <w:noProof w:val="0"/>
                <w:color w:val="FFFFFF"/>
                <w:szCs w:val="16"/>
              </w:rPr>
            </w:pPr>
            <w:r w:rsidRPr="00D9348B">
              <w:rPr>
                <w:noProof w:val="0"/>
                <w:color w:val="FFFFFF"/>
                <w:szCs w:val="16"/>
              </w:rPr>
              <w:t>Gas</w:t>
            </w:r>
          </w:p>
        </w:tc>
        <w:tc>
          <w:tcPr>
            <w:tcW w:w="658" w:type="pct"/>
            <w:tcBorders>
              <w:top w:val="single" w:sz="4" w:space="0" w:color="365F91"/>
              <w:left w:val="single" w:sz="4" w:space="0" w:color="365F91"/>
              <w:bottom w:val="single" w:sz="4" w:space="0" w:color="365F91"/>
              <w:right w:val="single" w:sz="4" w:space="0" w:color="365F91"/>
            </w:tcBorders>
            <w:shd w:val="clear" w:color="auto" w:fill="365F91"/>
            <w:noWrap/>
            <w:vAlign w:val="bottom"/>
            <w:hideMark/>
          </w:tcPr>
          <w:p w14:paraId="7C22D25E" w14:textId="77777777" w:rsidR="00A71B0D" w:rsidRPr="00D9348B" w:rsidRDefault="00A71B0D" w:rsidP="00DB330E">
            <w:pPr>
              <w:pStyle w:val="TableTextBold"/>
              <w:rPr>
                <w:noProof w:val="0"/>
                <w:color w:val="FFFFFF"/>
                <w:szCs w:val="16"/>
              </w:rPr>
            </w:pPr>
            <w:r w:rsidRPr="00D9348B">
              <w:rPr>
                <w:noProof w:val="0"/>
                <w:color w:val="FFFFFF"/>
                <w:szCs w:val="16"/>
              </w:rPr>
              <w:t>Fuel type</w:t>
            </w:r>
          </w:p>
        </w:tc>
        <w:tc>
          <w:tcPr>
            <w:tcW w:w="1009" w:type="pct"/>
            <w:tcBorders>
              <w:top w:val="single" w:sz="4" w:space="0" w:color="365F91"/>
              <w:left w:val="single" w:sz="4" w:space="0" w:color="365F91"/>
              <w:bottom w:val="single" w:sz="4" w:space="0" w:color="365F91"/>
              <w:right w:val="single" w:sz="4" w:space="0" w:color="365F91"/>
            </w:tcBorders>
            <w:shd w:val="clear" w:color="auto" w:fill="365F91"/>
            <w:vAlign w:val="bottom"/>
            <w:hideMark/>
          </w:tcPr>
          <w:p w14:paraId="5EED49F2" w14:textId="77777777" w:rsidR="00A71B0D" w:rsidRPr="00D9348B" w:rsidRDefault="00A71B0D" w:rsidP="00DB330E">
            <w:pPr>
              <w:pStyle w:val="TableTextBold"/>
              <w:jc w:val="center"/>
              <w:rPr>
                <w:noProof w:val="0"/>
                <w:color w:val="FFFFFF"/>
                <w:szCs w:val="16"/>
              </w:rPr>
            </w:pPr>
            <w:r w:rsidRPr="00D9348B">
              <w:rPr>
                <w:noProof w:val="0"/>
                <w:color w:val="FFFFFF"/>
                <w:szCs w:val="16"/>
              </w:rPr>
              <w:t>Activity data (AD) uncertainty (%)</w:t>
            </w:r>
          </w:p>
        </w:tc>
        <w:tc>
          <w:tcPr>
            <w:tcW w:w="1083" w:type="pct"/>
            <w:tcBorders>
              <w:left w:val="single" w:sz="4" w:space="0" w:color="365F91"/>
            </w:tcBorders>
            <w:shd w:val="clear" w:color="auto" w:fill="365F91"/>
            <w:vAlign w:val="bottom"/>
            <w:hideMark/>
          </w:tcPr>
          <w:p w14:paraId="503AB509" w14:textId="77777777" w:rsidR="00A71B0D" w:rsidRPr="00D9348B" w:rsidRDefault="00A71B0D" w:rsidP="00DB330E">
            <w:pPr>
              <w:pStyle w:val="TableTextBold"/>
              <w:jc w:val="center"/>
              <w:rPr>
                <w:noProof w:val="0"/>
                <w:color w:val="FFFFFF"/>
                <w:szCs w:val="16"/>
              </w:rPr>
            </w:pPr>
            <w:r w:rsidRPr="00D9348B">
              <w:rPr>
                <w:noProof w:val="0"/>
                <w:color w:val="FFFFFF"/>
                <w:szCs w:val="16"/>
              </w:rPr>
              <w:t>Emission factor (EF) uncertainty (%)</w:t>
            </w:r>
          </w:p>
        </w:tc>
        <w:tc>
          <w:tcPr>
            <w:tcW w:w="1917" w:type="pct"/>
            <w:tcBorders>
              <w:left w:val="single" w:sz="4" w:space="0" w:color="365F91"/>
            </w:tcBorders>
            <w:shd w:val="clear" w:color="auto" w:fill="365F91"/>
            <w:vAlign w:val="bottom"/>
          </w:tcPr>
          <w:p w14:paraId="773FF83A" w14:textId="77777777" w:rsidR="00A71B0D" w:rsidRPr="00D9348B" w:rsidRDefault="00A71B0D" w:rsidP="00DB330E">
            <w:pPr>
              <w:pStyle w:val="TableTextBold"/>
              <w:jc w:val="center"/>
              <w:rPr>
                <w:noProof w:val="0"/>
                <w:color w:val="FFFFFF"/>
                <w:szCs w:val="16"/>
              </w:rPr>
            </w:pPr>
            <w:r w:rsidRPr="00D9348B">
              <w:rPr>
                <w:noProof w:val="0"/>
                <w:color w:val="FFFFFF"/>
                <w:szCs w:val="16"/>
              </w:rPr>
              <w:t>Source</w:t>
            </w:r>
          </w:p>
        </w:tc>
      </w:tr>
      <w:tr w:rsidR="00A71B0D" w:rsidRPr="00D9348B" w14:paraId="57E918BF" w14:textId="77777777" w:rsidTr="00E11E79">
        <w:tc>
          <w:tcPr>
            <w:tcW w:w="333" w:type="pct"/>
            <w:tcBorders>
              <w:right w:val="single" w:sz="4" w:space="0" w:color="365F91"/>
            </w:tcBorders>
            <w:shd w:val="clear" w:color="auto" w:fill="auto"/>
            <w:noWrap/>
            <w:hideMark/>
          </w:tcPr>
          <w:p w14:paraId="0C48A2EC" w14:textId="77777777" w:rsidR="00A71B0D" w:rsidRPr="00D9348B" w:rsidRDefault="00A71B0D" w:rsidP="00DB330E">
            <w:pPr>
              <w:pStyle w:val="TableText"/>
              <w:rPr>
                <w:szCs w:val="16"/>
              </w:rPr>
            </w:pPr>
            <w:r w:rsidRPr="00D9348B">
              <w:rPr>
                <w:szCs w:val="16"/>
              </w:rPr>
              <w:t>CO</w:t>
            </w:r>
            <w:r w:rsidRPr="00D9348B">
              <w:rPr>
                <w:szCs w:val="16"/>
                <w:vertAlign w:val="subscript"/>
              </w:rPr>
              <w:t>2</w:t>
            </w:r>
          </w:p>
        </w:tc>
        <w:tc>
          <w:tcPr>
            <w:tcW w:w="658" w:type="pct"/>
            <w:tcBorders>
              <w:top w:val="single" w:sz="4" w:space="0" w:color="365F91"/>
              <w:left w:val="single" w:sz="4" w:space="0" w:color="365F91"/>
              <w:bottom w:val="single" w:sz="4" w:space="0" w:color="365F91"/>
              <w:right w:val="single" w:sz="4" w:space="0" w:color="365F91"/>
            </w:tcBorders>
            <w:shd w:val="clear" w:color="auto" w:fill="auto"/>
            <w:noWrap/>
            <w:hideMark/>
          </w:tcPr>
          <w:p w14:paraId="599EFB3E" w14:textId="77777777" w:rsidR="00A71B0D" w:rsidRPr="00D9348B" w:rsidRDefault="00A71B0D" w:rsidP="00DB330E">
            <w:pPr>
              <w:pStyle w:val="TableText"/>
              <w:rPr>
                <w:szCs w:val="16"/>
              </w:rPr>
            </w:pPr>
            <w:r w:rsidRPr="00D9348B">
              <w:rPr>
                <w:szCs w:val="16"/>
              </w:rPr>
              <w:t>Liquid fuels</w:t>
            </w:r>
          </w:p>
        </w:tc>
        <w:tc>
          <w:tcPr>
            <w:tcW w:w="1009" w:type="pct"/>
            <w:tcBorders>
              <w:top w:val="single" w:sz="4" w:space="0" w:color="365F91"/>
              <w:left w:val="single" w:sz="4" w:space="0" w:color="365F91"/>
              <w:bottom w:val="single" w:sz="4" w:space="0" w:color="365F91"/>
              <w:right w:val="single" w:sz="4" w:space="0" w:color="365F91"/>
            </w:tcBorders>
            <w:shd w:val="clear" w:color="auto" w:fill="auto"/>
            <w:noWrap/>
            <w:hideMark/>
          </w:tcPr>
          <w:p w14:paraId="43196C9D" w14:textId="77777777" w:rsidR="00A71B0D" w:rsidRPr="00D9348B" w:rsidRDefault="00A71B0D" w:rsidP="00DB330E">
            <w:pPr>
              <w:pStyle w:val="TableText"/>
              <w:jc w:val="center"/>
              <w:rPr>
                <w:szCs w:val="16"/>
              </w:rPr>
            </w:pPr>
            <w:r w:rsidRPr="00D9348B">
              <w:rPr>
                <w:szCs w:val="16"/>
              </w:rPr>
              <w:t>±50</w:t>
            </w:r>
          </w:p>
        </w:tc>
        <w:tc>
          <w:tcPr>
            <w:tcW w:w="1083" w:type="pct"/>
            <w:tcBorders>
              <w:left w:val="single" w:sz="4" w:space="0" w:color="365F91"/>
            </w:tcBorders>
            <w:shd w:val="clear" w:color="auto" w:fill="auto"/>
            <w:noWrap/>
            <w:hideMark/>
          </w:tcPr>
          <w:p w14:paraId="41689CE0" w14:textId="77777777" w:rsidR="00A71B0D" w:rsidRPr="00D9348B" w:rsidRDefault="00A71B0D" w:rsidP="00DB330E">
            <w:pPr>
              <w:pStyle w:val="TableText"/>
              <w:jc w:val="center"/>
              <w:rPr>
                <w:szCs w:val="16"/>
              </w:rPr>
            </w:pPr>
            <w:r w:rsidRPr="00D9348B">
              <w:rPr>
                <w:szCs w:val="16"/>
              </w:rPr>
              <w:t>±1.5</w:t>
            </w:r>
          </w:p>
        </w:tc>
        <w:tc>
          <w:tcPr>
            <w:tcW w:w="1917" w:type="pct"/>
            <w:tcBorders>
              <w:left w:val="single" w:sz="4" w:space="0" w:color="365F91"/>
            </w:tcBorders>
          </w:tcPr>
          <w:p w14:paraId="65570F0B" w14:textId="77777777" w:rsidR="00A71B0D" w:rsidRPr="00D9348B" w:rsidRDefault="00A71B0D" w:rsidP="00DB330E">
            <w:pPr>
              <w:pStyle w:val="TableText"/>
              <w:rPr>
                <w:szCs w:val="16"/>
              </w:rPr>
            </w:pPr>
            <w:r w:rsidRPr="00D9348B">
              <w:rPr>
                <w:szCs w:val="16"/>
              </w:rPr>
              <w:t>Section 3.5.1.7, IPCC, 2006a</w:t>
            </w:r>
          </w:p>
        </w:tc>
      </w:tr>
      <w:tr w:rsidR="00A71B0D" w:rsidRPr="00D9348B" w14:paraId="7F126D4C" w14:textId="77777777" w:rsidTr="00E11E79">
        <w:tc>
          <w:tcPr>
            <w:tcW w:w="333" w:type="pct"/>
            <w:tcBorders>
              <w:right w:val="single" w:sz="4" w:space="0" w:color="365F91"/>
            </w:tcBorders>
            <w:shd w:val="clear" w:color="auto" w:fill="auto"/>
            <w:noWrap/>
            <w:hideMark/>
          </w:tcPr>
          <w:p w14:paraId="24674BFA" w14:textId="77777777" w:rsidR="00A71B0D" w:rsidRPr="00D9348B" w:rsidRDefault="00A71B0D" w:rsidP="00DB330E">
            <w:pPr>
              <w:pStyle w:val="TableText"/>
              <w:rPr>
                <w:szCs w:val="16"/>
              </w:rPr>
            </w:pPr>
            <w:r w:rsidRPr="00D9348B">
              <w:rPr>
                <w:szCs w:val="16"/>
              </w:rPr>
              <w:t>CH</w:t>
            </w:r>
            <w:r w:rsidRPr="00D9348B">
              <w:rPr>
                <w:szCs w:val="16"/>
                <w:vertAlign w:val="subscript"/>
              </w:rPr>
              <w:t>4</w:t>
            </w:r>
          </w:p>
        </w:tc>
        <w:tc>
          <w:tcPr>
            <w:tcW w:w="658" w:type="pct"/>
            <w:tcBorders>
              <w:top w:val="single" w:sz="4" w:space="0" w:color="365F91"/>
              <w:left w:val="single" w:sz="4" w:space="0" w:color="365F91"/>
              <w:bottom w:val="single" w:sz="4" w:space="0" w:color="365F91"/>
              <w:right w:val="single" w:sz="4" w:space="0" w:color="365F91"/>
            </w:tcBorders>
            <w:shd w:val="clear" w:color="auto" w:fill="auto"/>
            <w:noWrap/>
            <w:hideMark/>
          </w:tcPr>
          <w:p w14:paraId="29DA8193" w14:textId="77777777" w:rsidR="00A71B0D" w:rsidRPr="00D9348B" w:rsidRDefault="00A71B0D" w:rsidP="00DB330E">
            <w:pPr>
              <w:pStyle w:val="TableText"/>
              <w:rPr>
                <w:szCs w:val="16"/>
              </w:rPr>
            </w:pPr>
            <w:r w:rsidRPr="00D9348B">
              <w:rPr>
                <w:szCs w:val="16"/>
              </w:rPr>
              <w:t>Liquid fuels</w:t>
            </w:r>
          </w:p>
        </w:tc>
        <w:tc>
          <w:tcPr>
            <w:tcW w:w="1009" w:type="pct"/>
            <w:tcBorders>
              <w:top w:val="single" w:sz="4" w:space="0" w:color="365F91"/>
              <w:left w:val="single" w:sz="4" w:space="0" w:color="365F91"/>
              <w:bottom w:val="single" w:sz="4" w:space="0" w:color="365F91"/>
              <w:right w:val="single" w:sz="4" w:space="0" w:color="365F91"/>
            </w:tcBorders>
            <w:shd w:val="clear" w:color="auto" w:fill="auto"/>
            <w:noWrap/>
            <w:hideMark/>
          </w:tcPr>
          <w:p w14:paraId="3EA9B061" w14:textId="77777777" w:rsidR="00A71B0D" w:rsidRPr="00D9348B" w:rsidRDefault="00A71B0D" w:rsidP="00DB330E">
            <w:pPr>
              <w:pStyle w:val="TableText"/>
              <w:jc w:val="center"/>
              <w:rPr>
                <w:szCs w:val="16"/>
              </w:rPr>
            </w:pPr>
            <w:r w:rsidRPr="00D9348B">
              <w:rPr>
                <w:szCs w:val="16"/>
              </w:rPr>
              <w:t>±50</w:t>
            </w:r>
          </w:p>
        </w:tc>
        <w:tc>
          <w:tcPr>
            <w:tcW w:w="1083" w:type="pct"/>
            <w:tcBorders>
              <w:left w:val="single" w:sz="4" w:space="0" w:color="365F91"/>
            </w:tcBorders>
            <w:shd w:val="clear" w:color="auto" w:fill="auto"/>
            <w:noWrap/>
            <w:hideMark/>
          </w:tcPr>
          <w:p w14:paraId="0EE05A20" w14:textId="77777777" w:rsidR="00A71B0D" w:rsidRPr="00D9348B" w:rsidRDefault="00A71B0D" w:rsidP="00DB330E">
            <w:pPr>
              <w:pStyle w:val="TableText"/>
              <w:jc w:val="center"/>
              <w:rPr>
                <w:szCs w:val="16"/>
              </w:rPr>
            </w:pPr>
            <w:r w:rsidRPr="00D9348B">
              <w:rPr>
                <w:szCs w:val="16"/>
              </w:rPr>
              <w:t>±50.0</w:t>
            </w:r>
          </w:p>
        </w:tc>
        <w:tc>
          <w:tcPr>
            <w:tcW w:w="1917" w:type="pct"/>
            <w:tcBorders>
              <w:left w:val="single" w:sz="4" w:space="0" w:color="365F91"/>
            </w:tcBorders>
          </w:tcPr>
          <w:p w14:paraId="4FEE2BC8" w14:textId="77777777" w:rsidR="00A71B0D" w:rsidRPr="00D9348B" w:rsidRDefault="00A71B0D" w:rsidP="00DB330E">
            <w:pPr>
              <w:pStyle w:val="TableText"/>
              <w:rPr>
                <w:szCs w:val="16"/>
              </w:rPr>
            </w:pPr>
            <w:r w:rsidRPr="00D9348B">
              <w:rPr>
                <w:szCs w:val="16"/>
              </w:rPr>
              <w:t>Section 3.5.1.7, IPCC, 2006a</w:t>
            </w:r>
          </w:p>
        </w:tc>
      </w:tr>
      <w:tr w:rsidR="00A71B0D" w:rsidRPr="00D9348B" w14:paraId="449F4882" w14:textId="77777777" w:rsidTr="00E11E79">
        <w:tc>
          <w:tcPr>
            <w:tcW w:w="333" w:type="pct"/>
            <w:tcBorders>
              <w:right w:val="single" w:sz="4" w:space="0" w:color="365F91"/>
            </w:tcBorders>
            <w:shd w:val="clear" w:color="auto" w:fill="auto"/>
            <w:noWrap/>
            <w:hideMark/>
          </w:tcPr>
          <w:p w14:paraId="00F7EE0E" w14:textId="77777777" w:rsidR="00A71B0D" w:rsidRPr="00D9348B" w:rsidRDefault="00A71B0D" w:rsidP="00DB330E">
            <w:pPr>
              <w:pStyle w:val="TableText"/>
              <w:rPr>
                <w:szCs w:val="16"/>
              </w:rPr>
            </w:pPr>
            <w:r w:rsidRPr="00D9348B">
              <w:rPr>
                <w:szCs w:val="16"/>
              </w:rPr>
              <w:t>N</w:t>
            </w:r>
            <w:r w:rsidRPr="00D9348B">
              <w:rPr>
                <w:szCs w:val="16"/>
                <w:vertAlign w:val="subscript"/>
              </w:rPr>
              <w:t>2</w:t>
            </w:r>
            <w:r w:rsidRPr="00D9348B">
              <w:rPr>
                <w:szCs w:val="16"/>
              </w:rPr>
              <w:t>O</w:t>
            </w:r>
          </w:p>
        </w:tc>
        <w:tc>
          <w:tcPr>
            <w:tcW w:w="658" w:type="pct"/>
            <w:tcBorders>
              <w:top w:val="single" w:sz="4" w:space="0" w:color="365F91"/>
              <w:left w:val="single" w:sz="4" w:space="0" w:color="365F91"/>
              <w:bottom w:val="single" w:sz="4" w:space="0" w:color="365F91"/>
              <w:right w:val="single" w:sz="4" w:space="0" w:color="365F91"/>
            </w:tcBorders>
            <w:shd w:val="clear" w:color="auto" w:fill="auto"/>
            <w:noWrap/>
            <w:hideMark/>
          </w:tcPr>
          <w:p w14:paraId="427442DD" w14:textId="77777777" w:rsidR="00A71B0D" w:rsidRPr="00D9348B" w:rsidRDefault="00A71B0D" w:rsidP="00DB330E">
            <w:pPr>
              <w:pStyle w:val="TableText"/>
              <w:rPr>
                <w:szCs w:val="16"/>
              </w:rPr>
            </w:pPr>
            <w:r w:rsidRPr="00D9348B">
              <w:rPr>
                <w:szCs w:val="16"/>
              </w:rPr>
              <w:t>Liquid fuels</w:t>
            </w:r>
          </w:p>
        </w:tc>
        <w:tc>
          <w:tcPr>
            <w:tcW w:w="1009" w:type="pct"/>
            <w:tcBorders>
              <w:top w:val="single" w:sz="4" w:space="0" w:color="365F91"/>
              <w:left w:val="single" w:sz="4" w:space="0" w:color="365F91"/>
              <w:bottom w:val="single" w:sz="4" w:space="0" w:color="365F91"/>
              <w:right w:val="single" w:sz="4" w:space="0" w:color="365F91"/>
            </w:tcBorders>
            <w:shd w:val="clear" w:color="auto" w:fill="auto"/>
            <w:noWrap/>
            <w:hideMark/>
          </w:tcPr>
          <w:p w14:paraId="0135DF79" w14:textId="77777777" w:rsidR="00A71B0D" w:rsidRPr="00D9348B" w:rsidRDefault="00A71B0D" w:rsidP="00DB330E">
            <w:pPr>
              <w:pStyle w:val="TableText"/>
              <w:jc w:val="center"/>
              <w:rPr>
                <w:szCs w:val="16"/>
              </w:rPr>
            </w:pPr>
            <w:r w:rsidRPr="00D9348B">
              <w:rPr>
                <w:szCs w:val="16"/>
              </w:rPr>
              <w:t>±50</w:t>
            </w:r>
          </w:p>
        </w:tc>
        <w:tc>
          <w:tcPr>
            <w:tcW w:w="1083" w:type="pct"/>
            <w:tcBorders>
              <w:left w:val="single" w:sz="4" w:space="0" w:color="365F91"/>
            </w:tcBorders>
            <w:shd w:val="clear" w:color="auto" w:fill="auto"/>
            <w:noWrap/>
            <w:hideMark/>
          </w:tcPr>
          <w:p w14:paraId="0ACAD2F7" w14:textId="77777777" w:rsidR="00A71B0D" w:rsidRPr="00D9348B" w:rsidRDefault="00A71B0D" w:rsidP="00DB330E">
            <w:pPr>
              <w:pStyle w:val="TableText"/>
              <w:jc w:val="center"/>
              <w:rPr>
                <w:szCs w:val="16"/>
              </w:rPr>
            </w:pPr>
            <w:r w:rsidRPr="00D9348B">
              <w:rPr>
                <w:szCs w:val="16"/>
              </w:rPr>
              <w:t>±50.0</w:t>
            </w:r>
          </w:p>
        </w:tc>
        <w:tc>
          <w:tcPr>
            <w:tcW w:w="1917" w:type="pct"/>
            <w:tcBorders>
              <w:left w:val="single" w:sz="4" w:space="0" w:color="365F91"/>
            </w:tcBorders>
          </w:tcPr>
          <w:p w14:paraId="220C1571" w14:textId="77777777" w:rsidR="00A71B0D" w:rsidRPr="00D9348B" w:rsidRDefault="00A71B0D" w:rsidP="00DB330E">
            <w:pPr>
              <w:pStyle w:val="TableText"/>
              <w:rPr>
                <w:szCs w:val="16"/>
              </w:rPr>
            </w:pPr>
            <w:r w:rsidRPr="00D9348B">
              <w:rPr>
                <w:szCs w:val="16"/>
              </w:rPr>
              <w:t>New Zealand’s value is used (table 3.3.1, chapter 3), section 3.5.1.7, IPCC, 2006a</w:t>
            </w:r>
          </w:p>
        </w:tc>
      </w:tr>
    </w:tbl>
    <w:p w14:paraId="2DAD8B1E" w14:textId="77777777" w:rsidR="00A71B0D" w:rsidRPr="00D9348B" w:rsidRDefault="00A71B0D" w:rsidP="00865BDB">
      <w:pPr>
        <w:pStyle w:val="Heading4"/>
      </w:pPr>
      <w:r w:rsidRPr="00D9348B">
        <w:t>Source-specific planned improvements</w:t>
      </w:r>
    </w:p>
    <w:p w14:paraId="75BEBEA2" w14:textId="77777777" w:rsidR="00A71B0D" w:rsidRPr="00D9348B" w:rsidRDefault="00A71B0D" w:rsidP="00A71B0D">
      <w:pPr>
        <w:pStyle w:val="BodyText"/>
        <w:rPr>
          <w:lang w:eastAsia="en-GB"/>
        </w:rPr>
      </w:pPr>
      <w:r w:rsidRPr="00D9348B">
        <w:rPr>
          <w:lang w:eastAsia="en-GB"/>
        </w:rPr>
        <w:t xml:space="preserve">There are no planned improvements for </w:t>
      </w:r>
      <w:r w:rsidRPr="00D9348B">
        <w:rPr>
          <w:i/>
          <w:lang w:eastAsia="en-GB"/>
        </w:rPr>
        <w:t>Transport</w:t>
      </w:r>
      <w:r w:rsidRPr="00D9348B">
        <w:rPr>
          <w:lang w:eastAsia="en-GB"/>
        </w:rPr>
        <w:t xml:space="preserve">. For future submissions, further analysis of activity data to reflect year-to-year variations will be considered as far as resources allow. </w:t>
      </w:r>
    </w:p>
    <w:p w14:paraId="31A44AA8" w14:textId="77777777" w:rsidR="00A71B0D" w:rsidRPr="00D9348B" w:rsidRDefault="00A71B0D" w:rsidP="00A71B0D">
      <w:pPr>
        <w:pStyle w:val="Heading2"/>
      </w:pPr>
      <w:bookmarkStart w:id="2984" w:name="_Toc5269395"/>
      <w:bookmarkStart w:id="2985" w:name="_Toc36224435"/>
      <w:r w:rsidRPr="00D9348B">
        <w:lastRenderedPageBreak/>
        <w:t>8.3</w:t>
      </w:r>
      <w:r w:rsidRPr="00D9348B">
        <w:tab/>
        <w:t>Emissions from Industrial Processes and Product Use</w:t>
      </w:r>
      <w:r w:rsidRPr="00D9348B">
        <w:br/>
        <w:t>in Tokelau (CRF 6. Tokelau_2)</w:t>
      </w:r>
      <w:bookmarkEnd w:id="2984"/>
      <w:bookmarkEnd w:id="2985"/>
    </w:p>
    <w:p w14:paraId="06D0E7FA" w14:textId="77777777" w:rsidR="00A71B0D" w:rsidRPr="00D9348B" w:rsidRDefault="00A71B0D" w:rsidP="00A71B0D">
      <w:pPr>
        <w:pStyle w:val="BodyText"/>
      </w:pPr>
      <w:r w:rsidRPr="00D9348B">
        <w:t>There is no significant industry in Tokelau. The emissions associated with the IPPU sector are coming from the following activities:</w:t>
      </w:r>
    </w:p>
    <w:p w14:paraId="1760063D" w14:textId="77777777" w:rsidR="00A71B0D" w:rsidRPr="00D9348B" w:rsidRDefault="00A71B0D" w:rsidP="00A71B0D">
      <w:pPr>
        <w:pStyle w:val="Bullet"/>
        <w:tabs>
          <w:tab w:val="clear" w:pos="567"/>
        </w:tabs>
      </w:pPr>
      <w:r w:rsidRPr="00D9348B">
        <w:t>use of refrigeration and air conditioning – HFCs</w:t>
      </w:r>
    </w:p>
    <w:p w14:paraId="59DC1046" w14:textId="77777777" w:rsidR="00A71B0D" w:rsidRPr="00D9348B" w:rsidRDefault="00A71B0D" w:rsidP="00A71B0D">
      <w:pPr>
        <w:pStyle w:val="Bullet"/>
        <w:tabs>
          <w:tab w:val="clear" w:pos="567"/>
        </w:tabs>
      </w:pPr>
      <w:r w:rsidRPr="00D9348B">
        <w:t xml:space="preserve">use of metered dose inhalers – HFC-134a and HFC-227ea </w:t>
      </w:r>
    </w:p>
    <w:p w14:paraId="6A693D85" w14:textId="77777777" w:rsidR="00A71B0D" w:rsidRPr="00D9348B" w:rsidRDefault="00A71B0D" w:rsidP="00A71B0D">
      <w:pPr>
        <w:pStyle w:val="Bullet"/>
        <w:tabs>
          <w:tab w:val="clear" w:pos="567"/>
        </w:tabs>
      </w:pPr>
      <w:proofErr w:type="gramStart"/>
      <w:r w:rsidRPr="00D9348B">
        <w:t>medical</w:t>
      </w:r>
      <w:proofErr w:type="gramEnd"/>
      <w:r w:rsidRPr="00D9348B">
        <w:t xml:space="preserve"> applications of N</w:t>
      </w:r>
      <w:r w:rsidRPr="00D9348B">
        <w:rPr>
          <w:vertAlign w:val="subscript"/>
        </w:rPr>
        <w:t>2</w:t>
      </w:r>
      <w:r w:rsidRPr="00D9348B">
        <w:t>O.</w:t>
      </w:r>
    </w:p>
    <w:p w14:paraId="626A0D54" w14:textId="77777777" w:rsidR="00A71B0D" w:rsidRPr="00D9348B" w:rsidRDefault="00A71B0D" w:rsidP="00A71B0D">
      <w:pPr>
        <w:pStyle w:val="BodyText"/>
      </w:pPr>
      <w:r w:rsidRPr="00D9348B">
        <w:t xml:space="preserve">Thus, the source categories included in this report are </w:t>
      </w:r>
      <w:r w:rsidRPr="00D9348B">
        <w:rPr>
          <w:i/>
        </w:rPr>
        <w:t>Refrigeration and air conditioning</w:t>
      </w:r>
      <w:r w:rsidRPr="00D9348B">
        <w:t xml:space="preserve"> (2.F.1), </w:t>
      </w:r>
      <w:r w:rsidRPr="00D9348B">
        <w:rPr>
          <w:i/>
        </w:rPr>
        <w:t>Metered dose inhalers</w:t>
      </w:r>
      <w:r w:rsidRPr="00D9348B">
        <w:t xml:space="preserve"> (2.F.4) and </w:t>
      </w:r>
      <w:r w:rsidRPr="00D9348B">
        <w:rPr>
          <w:i/>
        </w:rPr>
        <w:t xml:space="preserve">Medical applications </w:t>
      </w:r>
      <w:r w:rsidRPr="00D9348B">
        <w:t>(2.G.3).</w:t>
      </w:r>
    </w:p>
    <w:p w14:paraId="198E2C94" w14:textId="77777777" w:rsidR="00A71B0D" w:rsidRPr="00D9348B" w:rsidRDefault="00A71B0D" w:rsidP="00A71B0D">
      <w:pPr>
        <w:pStyle w:val="BodyText"/>
      </w:pPr>
      <w:r w:rsidRPr="00D9348B">
        <w:t>The total amount of all IPPU emissions in Tokelau in 2018 was 0.25 kt CO</w:t>
      </w:r>
      <w:r w:rsidRPr="00D9348B">
        <w:rPr>
          <w:vertAlign w:val="subscript"/>
        </w:rPr>
        <w:t>2</w:t>
      </w:r>
      <w:r w:rsidRPr="00D9348B">
        <w:t xml:space="preserve">-e. They contributed 6.9 per cent to the total emissions from Tokelau and 0.0003 per cent to New Zealand’s gross emissions including Tokelau. The biggest contributor to the total IPPU HFC emissions is </w:t>
      </w:r>
      <w:r w:rsidRPr="00D9348B">
        <w:rPr>
          <w:i/>
        </w:rPr>
        <w:t>Stationary air conditioning</w:t>
      </w:r>
      <w:r w:rsidRPr="00D9348B">
        <w:t xml:space="preserve"> followed by </w:t>
      </w:r>
      <w:r w:rsidRPr="00D9348B">
        <w:rPr>
          <w:i/>
        </w:rPr>
        <w:t>Domestic refrigeration</w:t>
      </w:r>
      <w:r w:rsidRPr="00D9348B">
        <w:t>, with 68.0 per cent and 17.8 per cent of IPPU emissions from Tokelau, respectively. Figure 8.3.1 shows emission trends in the IPPU sector by category for Tokelau.</w:t>
      </w:r>
    </w:p>
    <w:p w14:paraId="7E50F42A" w14:textId="77777777" w:rsidR="00A71B0D" w:rsidRPr="00D9348B" w:rsidRDefault="00A71B0D" w:rsidP="00A71B0D">
      <w:pPr>
        <w:pStyle w:val="Figure"/>
        <w:spacing w:after="0"/>
        <w:rPr>
          <w:rFonts w:eastAsia="Calibri"/>
        </w:rPr>
      </w:pPr>
      <w:bookmarkStart w:id="2986" w:name="_Toc36292830"/>
      <w:r w:rsidRPr="00D9348B">
        <w:rPr>
          <w:rFonts w:eastAsia="Calibri"/>
        </w:rPr>
        <w:t xml:space="preserve">Figure 8.3.1 </w:t>
      </w:r>
      <w:r w:rsidRPr="00D9348B">
        <w:rPr>
          <w:rFonts w:eastAsia="Calibri"/>
        </w:rPr>
        <w:tab/>
        <w:t>IPPU emissions by category for Tokelau (kt CO</w:t>
      </w:r>
      <w:r w:rsidRPr="00D9348B">
        <w:rPr>
          <w:rFonts w:eastAsia="Calibri"/>
          <w:vertAlign w:val="subscript"/>
        </w:rPr>
        <w:t>2</w:t>
      </w:r>
      <w:r w:rsidRPr="00D9348B">
        <w:rPr>
          <w:rFonts w:eastAsia="Calibri"/>
        </w:rPr>
        <w:t>-e) from 1990 to 2018</w:t>
      </w:r>
      <w:bookmarkEnd w:id="2986"/>
    </w:p>
    <w:p w14:paraId="02B3FDA0" w14:textId="14E5C69F" w:rsidR="00A71B0D" w:rsidRPr="00D9348B" w:rsidRDefault="007165CF" w:rsidP="00A71B0D">
      <w:pPr>
        <w:pStyle w:val="BodyText"/>
        <w:spacing w:after="0"/>
        <w:rPr>
          <w:rFonts w:eastAsia="Calibri"/>
        </w:rPr>
      </w:pPr>
      <w:r>
        <w:rPr>
          <w:rFonts w:eastAsia="Calibri"/>
        </w:rPr>
        <w:pict w14:anchorId="6457BC75">
          <v:shape id="_x0000_i1161" type="#_x0000_t75" style="width:368.15pt;height:214.75pt;visibility:visible;mso-wrap-style:square">
            <v:imagedata r:id="rId262" o:title="" croptop="1030f" cropbottom="1555f"/>
          </v:shape>
        </w:pict>
      </w:r>
    </w:p>
    <w:p w14:paraId="4E159B19" w14:textId="77777777" w:rsidR="00A71B0D" w:rsidRPr="00D9348B" w:rsidRDefault="00A71B0D" w:rsidP="00A71B0D">
      <w:pPr>
        <w:pStyle w:val="Heading3"/>
      </w:pPr>
      <w:r w:rsidRPr="00D9348B">
        <w:t>8.3.1</w:t>
      </w:r>
      <w:r w:rsidRPr="00D9348B">
        <w:tab/>
        <w:t xml:space="preserve">Emissions from Refrigeration air conditioning in Tokelau </w:t>
      </w:r>
    </w:p>
    <w:p w14:paraId="2DEBDBDD" w14:textId="77777777" w:rsidR="00A71B0D" w:rsidRPr="00D9348B" w:rsidRDefault="00A71B0D" w:rsidP="00A71B0D">
      <w:pPr>
        <w:pStyle w:val="BodyText"/>
      </w:pPr>
      <w:r w:rsidRPr="00D9348B">
        <w:t xml:space="preserve">Due to a very small number of air-conditioned vehicles in Tokelau, all emissions from this category are reported under </w:t>
      </w:r>
      <w:r w:rsidRPr="00D9348B">
        <w:rPr>
          <w:i/>
        </w:rPr>
        <w:t>Stationary air conditioning</w:t>
      </w:r>
      <w:r w:rsidRPr="00D9348B">
        <w:t xml:space="preserve"> (2.F.1.f). </w:t>
      </w:r>
    </w:p>
    <w:p w14:paraId="4C5E663B" w14:textId="77777777" w:rsidR="00A71B0D" w:rsidRPr="00D9348B" w:rsidRDefault="00A71B0D" w:rsidP="00A71B0D">
      <w:pPr>
        <w:pStyle w:val="BodyText"/>
      </w:pPr>
      <w:r w:rsidRPr="00D9348B">
        <w:t xml:space="preserve">Because most fridge and freezer appliances are installed in households, the emissions associated with refrigeration are reported under </w:t>
      </w:r>
      <w:r w:rsidRPr="00D9348B">
        <w:rPr>
          <w:i/>
        </w:rPr>
        <w:t>Domestic refrigeration</w:t>
      </w:r>
      <w:r w:rsidRPr="00D9348B">
        <w:t xml:space="preserve"> (2.F.1.b). Emissions from fridge and freezer appliances are based on the number of those appliances, however, no HFCs were used before 1994. To account for the phase-in of HFCs, it has been assumed that the proportion of appliances using HFCs increased 10 per cent per year, starting at 10 per cent of appliances in 1994 and reaching 100 per cent of appliances in 2003. This phase-in is reflected in figure 8.3.1. Emissions continue to change after 2003 due to changes in the overall number of appliances.</w:t>
      </w:r>
    </w:p>
    <w:p w14:paraId="5C84C112" w14:textId="77777777" w:rsidR="00A71B0D" w:rsidRPr="00D9348B" w:rsidRDefault="00A71B0D" w:rsidP="00865BDB">
      <w:pPr>
        <w:pStyle w:val="Heading4"/>
      </w:pPr>
      <w:r w:rsidRPr="00D9348B">
        <w:lastRenderedPageBreak/>
        <w:t>Source-specific planned improvements</w:t>
      </w:r>
    </w:p>
    <w:p w14:paraId="6BEFAEFF" w14:textId="77777777" w:rsidR="00A71B0D" w:rsidRPr="00D9348B" w:rsidRDefault="00A71B0D" w:rsidP="00A71B0D">
      <w:pPr>
        <w:pStyle w:val="BodyText"/>
      </w:pPr>
      <w:r w:rsidRPr="00D9348B">
        <w:t xml:space="preserve">Due to resource constraints, improvements were prioritised according to the amount of emissions contributed by each sector to the total emissions from Tokelau. Because the IPPU sector contributes only a very small amount of emissions, no improvements, except ongoing data refinement as far as resources allow, are planned for the next inventory submission. </w:t>
      </w:r>
    </w:p>
    <w:p w14:paraId="65195635" w14:textId="77777777" w:rsidR="00A71B0D" w:rsidRPr="00D9348B" w:rsidRDefault="00A71B0D" w:rsidP="00865BDB">
      <w:pPr>
        <w:pStyle w:val="Heading4"/>
      </w:pPr>
      <w:r w:rsidRPr="00D9348B">
        <w:t>Methodological issues</w:t>
      </w:r>
    </w:p>
    <w:p w14:paraId="180D2CE9" w14:textId="77777777" w:rsidR="00A71B0D" w:rsidRPr="00D9348B" w:rsidRDefault="00A71B0D" w:rsidP="00A71B0D">
      <w:pPr>
        <w:pStyle w:val="Heading5"/>
        <w:spacing w:before="160"/>
      </w:pPr>
      <w:r w:rsidRPr="00D9348B">
        <w:t>Activity data</w:t>
      </w:r>
    </w:p>
    <w:p w14:paraId="4C80B193" w14:textId="77777777" w:rsidR="00A71B0D" w:rsidRPr="00D9348B" w:rsidRDefault="00A71B0D" w:rsidP="00A71B0D">
      <w:pPr>
        <w:pStyle w:val="BodyText"/>
      </w:pPr>
      <w:r w:rsidRPr="00D9348B">
        <w:t>The data for the number of appliances are sourced from:</w:t>
      </w:r>
    </w:p>
    <w:p w14:paraId="00292075" w14:textId="77777777" w:rsidR="00A71B0D" w:rsidRPr="00D9348B" w:rsidRDefault="00A71B0D" w:rsidP="00A71B0D">
      <w:pPr>
        <w:pStyle w:val="Bullet"/>
        <w:tabs>
          <w:tab w:val="clear" w:pos="567"/>
        </w:tabs>
      </w:pPr>
      <w:r w:rsidRPr="00D9348B">
        <w:t xml:space="preserve">Tokelau Census of Population and Dwellings (2006, 2011, 2016) (item 1 in table 8.1.2) for 2006–16 data points </w:t>
      </w:r>
    </w:p>
    <w:p w14:paraId="44CEE9FE" w14:textId="77777777" w:rsidR="00A71B0D" w:rsidRPr="00D9348B" w:rsidRDefault="00A71B0D" w:rsidP="00A71B0D">
      <w:pPr>
        <w:pStyle w:val="Bullet"/>
        <w:tabs>
          <w:tab w:val="clear" w:pos="567"/>
        </w:tabs>
      </w:pPr>
      <w:r w:rsidRPr="00D9348B">
        <w:t xml:space="preserve">Archives New Zealand (Wellington, New Zealand) for historic Census records going back to 1950, mostly at five-year intervals </w:t>
      </w:r>
    </w:p>
    <w:p w14:paraId="50F385AC" w14:textId="77777777" w:rsidR="00A71B0D" w:rsidRPr="00D9348B" w:rsidRDefault="00A71B0D" w:rsidP="00A71B0D">
      <w:pPr>
        <w:pStyle w:val="Bullet"/>
        <w:tabs>
          <w:tab w:val="clear" w:pos="567"/>
        </w:tabs>
      </w:pPr>
      <w:r w:rsidRPr="00D9348B">
        <w:t xml:space="preserve">Tokelau Household Income and Expenditure Survey 2015/16 for population and dwellings data supplementary to the Census </w:t>
      </w:r>
    </w:p>
    <w:p w14:paraId="295BFBE4" w14:textId="77777777" w:rsidR="00A71B0D" w:rsidRPr="00D9348B" w:rsidRDefault="00A71B0D" w:rsidP="00A71B0D">
      <w:pPr>
        <w:pStyle w:val="Bullet"/>
        <w:tabs>
          <w:tab w:val="clear" w:pos="567"/>
        </w:tabs>
      </w:pPr>
      <w:r w:rsidRPr="00D9348B">
        <w:t>Tokelau Department of Health for anecdotal information on inhalers, the laser gas, and fire extinguishers</w:t>
      </w:r>
    </w:p>
    <w:p w14:paraId="48DB1C97" w14:textId="77777777" w:rsidR="00A71B0D" w:rsidRPr="00D9348B" w:rsidRDefault="00A71B0D" w:rsidP="00A71B0D">
      <w:pPr>
        <w:pStyle w:val="Bullet"/>
        <w:tabs>
          <w:tab w:val="clear" w:pos="567"/>
        </w:tabs>
      </w:pPr>
      <w:r w:rsidRPr="00D9348B">
        <w:t>Tokelau Department of Transport and Support Services (Apia, Samoa) for cargo shipping manifests for analysis of imports of all goods</w:t>
      </w:r>
    </w:p>
    <w:p w14:paraId="18E4A0A1" w14:textId="77777777" w:rsidR="00A71B0D" w:rsidRPr="00D9348B" w:rsidRDefault="00A71B0D" w:rsidP="00A71B0D">
      <w:pPr>
        <w:pStyle w:val="Bullet"/>
        <w:tabs>
          <w:tab w:val="clear" w:pos="567"/>
        </w:tabs>
      </w:pPr>
      <w:r w:rsidRPr="00D9348B">
        <w:t>Statistics New Zealand (Wellington, New Zealand), which helped in the collection, analysis and publication of Tokelau Census data</w:t>
      </w:r>
    </w:p>
    <w:p w14:paraId="15F2F6D0" w14:textId="77777777" w:rsidR="00A71B0D" w:rsidRPr="00D9348B" w:rsidRDefault="00A71B0D" w:rsidP="00A71B0D">
      <w:pPr>
        <w:pStyle w:val="Bullet"/>
        <w:tabs>
          <w:tab w:val="clear" w:pos="567"/>
        </w:tabs>
      </w:pPr>
      <w:r w:rsidRPr="00D9348B">
        <w:t>Tokelau National Statistics Office, which performed collection, analysis and publication of Tokelau Census data with subsequent data collation and analyses.</w:t>
      </w:r>
    </w:p>
    <w:p w14:paraId="24F3577D" w14:textId="77777777" w:rsidR="00A71B0D" w:rsidRPr="00D9348B" w:rsidRDefault="00A71B0D" w:rsidP="00A71B0D">
      <w:pPr>
        <w:pStyle w:val="BodyText"/>
        <w:rPr>
          <w:highlight w:val="yellow"/>
        </w:rPr>
      </w:pPr>
      <w:r w:rsidRPr="00D9348B">
        <w:t xml:space="preserve">The raw data on the number of appliances used in Tokelau obtained from the Census have been further analysed and cross-referenced through other sources (for example, see those listed in table 8.1.2); available data points are increased by equal increments between the data collection years. </w:t>
      </w:r>
    </w:p>
    <w:p w14:paraId="26702CA8" w14:textId="77777777" w:rsidR="00A71B0D" w:rsidRPr="00D9348B" w:rsidRDefault="00A71B0D" w:rsidP="00A71B0D">
      <w:pPr>
        <w:pStyle w:val="Heading5"/>
      </w:pPr>
      <w:r w:rsidRPr="00D9348B">
        <w:t>Method and emission factors</w:t>
      </w:r>
    </w:p>
    <w:p w14:paraId="386DDF21" w14:textId="77777777" w:rsidR="00A71B0D" w:rsidRPr="00D9348B" w:rsidRDefault="00A71B0D" w:rsidP="00A71B0D">
      <w:pPr>
        <w:pStyle w:val="BodyText"/>
      </w:pPr>
      <w:r w:rsidRPr="00D9348B">
        <w:t xml:space="preserve">For both air conditioning and domestic refrigeration, the following assumptions were made: </w:t>
      </w:r>
    </w:p>
    <w:p w14:paraId="6A15D45F" w14:textId="77777777" w:rsidR="00A71B0D" w:rsidRPr="00D9348B" w:rsidRDefault="00A71B0D" w:rsidP="00A71B0D">
      <w:pPr>
        <w:pStyle w:val="Bullet"/>
        <w:tabs>
          <w:tab w:val="clear" w:pos="567"/>
        </w:tabs>
      </w:pPr>
      <w:r w:rsidRPr="00D9348B">
        <w:t>no chemicals are imported or exported, except as a component of each sort of equipment; emissions are assumed to be derived from current equipment only</w:t>
      </w:r>
    </w:p>
    <w:p w14:paraId="6281231E" w14:textId="77777777" w:rsidR="00A71B0D" w:rsidRPr="00D9348B" w:rsidRDefault="00A71B0D" w:rsidP="00A71B0D">
      <w:pPr>
        <w:pStyle w:val="Bullet"/>
        <w:tabs>
          <w:tab w:val="clear" w:pos="567"/>
        </w:tabs>
      </w:pPr>
      <w:r w:rsidRPr="00D9348B">
        <w:t>HFCs and PFCs are neither produced nor exported or disposed of in Tokelau. Therefore, the net consumption is essentially equal to imports</w:t>
      </w:r>
    </w:p>
    <w:p w14:paraId="0F2D113D" w14:textId="77777777" w:rsidR="00A71B0D" w:rsidRPr="00D9348B" w:rsidRDefault="00A71B0D" w:rsidP="00A71B0D">
      <w:pPr>
        <w:pStyle w:val="Bullet"/>
        <w:tabs>
          <w:tab w:val="clear" w:pos="567"/>
        </w:tabs>
      </w:pPr>
      <w:r w:rsidRPr="00D9348B">
        <w:t>a composite default emissions factor of 15 per cent can be used for estimating emissions for both domestic refrigeration and stationary air conditioning</w:t>
      </w:r>
    </w:p>
    <w:p w14:paraId="4EFB14BF" w14:textId="77777777" w:rsidR="00A71B0D" w:rsidRPr="00D9348B" w:rsidRDefault="00A71B0D" w:rsidP="00A71B0D">
      <w:pPr>
        <w:pStyle w:val="Bullet"/>
        <w:tabs>
          <w:tab w:val="clear" w:pos="567"/>
        </w:tabs>
      </w:pPr>
      <w:r w:rsidRPr="00D9348B">
        <w:t>assumed percentage of new equipment exported (0 per cent for Tokelau)</w:t>
      </w:r>
    </w:p>
    <w:p w14:paraId="1157B716" w14:textId="77777777" w:rsidR="00A71B0D" w:rsidRPr="00D9348B" w:rsidRDefault="00A71B0D" w:rsidP="00A71B0D">
      <w:pPr>
        <w:pStyle w:val="Bullet"/>
        <w:tabs>
          <w:tab w:val="clear" w:pos="567"/>
        </w:tabs>
      </w:pPr>
      <w:r w:rsidRPr="00D9348B">
        <w:t>assumed percentage of new equipment imported (100 per cent for Tokelau)</w:t>
      </w:r>
    </w:p>
    <w:p w14:paraId="6D177658" w14:textId="77777777" w:rsidR="00A71B0D" w:rsidRPr="00D9348B" w:rsidRDefault="00A71B0D" w:rsidP="00A71B0D">
      <w:pPr>
        <w:pStyle w:val="Bullet"/>
        <w:tabs>
          <w:tab w:val="clear" w:pos="567"/>
        </w:tabs>
      </w:pPr>
      <w:r w:rsidRPr="00D9348B">
        <w:t xml:space="preserve">the HFC emissions from stationary air conditioning did not occur until 2006 </w:t>
      </w:r>
    </w:p>
    <w:p w14:paraId="38240661" w14:textId="77777777" w:rsidR="00A71B0D" w:rsidRPr="00D9348B" w:rsidRDefault="00A71B0D" w:rsidP="00A71B0D">
      <w:pPr>
        <w:pStyle w:val="Bullet"/>
        <w:tabs>
          <w:tab w:val="clear" w:pos="567"/>
        </w:tabs>
      </w:pPr>
      <w:r w:rsidRPr="00D9348B">
        <w:t>the HFC emissions from domestic refrigeration did not occur until 1994 (the same as for New Zealand)</w:t>
      </w:r>
    </w:p>
    <w:p w14:paraId="59158D2E" w14:textId="77777777" w:rsidR="00A71B0D" w:rsidRPr="00D9348B" w:rsidRDefault="00A71B0D" w:rsidP="00A71B0D">
      <w:pPr>
        <w:pStyle w:val="Bullet"/>
        <w:tabs>
          <w:tab w:val="clear" w:pos="567"/>
        </w:tabs>
      </w:pPr>
      <w:r w:rsidRPr="00D9348B">
        <w:lastRenderedPageBreak/>
        <w:t>the average charge for fridges and freezers has the upper limit of the mass of gas of 0.5 kilograms (from table 7.9 of the 2006 IPCC Guidelines (IPCC, 2006b))</w:t>
      </w:r>
    </w:p>
    <w:p w14:paraId="2AD604AA" w14:textId="77777777" w:rsidR="00A71B0D" w:rsidRPr="00D9348B" w:rsidRDefault="00A71B0D" w:rsidP="00A71B0D">
      <w:pPr>
        <w:pStyle w:val="Bullet"/>
        <w:tabs>
          <w:tab w:val="clear" w:pos="567"/>
        </w:tabs>
      </w:pPr>
      <w:r w:rsidRPr="00D9348B">
        <w:t>the average charge for an air conditioning unit is 10 kilograms (default value from 2006 IPCC Guidelines (IPCC, 2006a))</w:t>
      </w:r>
    </w:p>
    <w:p w14:paraId="6F7DB743" w14:textId="77777777" w:rsidR="00A71B0D" w:rsidRPr="00D9348B" w:rsidRDefault="00A71B0D" w:rsidP="00A71B0D">
      <w:pPr>
        <w:pStyle w:val="Bullet"/>
        <w:tabs>
          <w:tab w:val="clear" w:pos="567"/>
        </w:tabs>
      </w:pPr>
      <w:proofErr w:type="gramStart"/>
      <w:r w:rsidRPr="00D9348B">
        <w:t>for</w:t>
      </w:r>
      <w:proofErr w:type="gramEnd"/>
      <w:r w:rsidRPr="00D9348B">
        <w:t xml:space="preserve"> air conditioning units and fridges and freezers, Tokelau reports the same set of HFCs as New Zealand. These are HFC-32, HFC-125 and HFC-134a for air conditioning units, and HFC-134a for refrigeration.</w:t>
      </w:r>
    </w:p>
    <w:p w14:paraId="44EC6672" w14:textId="77777777" w:rsidR="00A71B0D" w:rsidRPr="00D9348B" w:rsidRDefault="00A71B0D" w:rsidP="00A71B0D">
      <w:pPr>
        <w:pStyle w:val="BodyText"/>
      </w:pPr>
      <w:r w:rsidRPr="00D9348B">
        <w:t xml:space="preserve">The Tier 1a method from the 2006 IPCC Guidelines is used for estimating emissions from category 2.F.1 in Tokelau (IPCC, 2006b). In this method, activity data are represented by a net consumption value (equation 7.1 from volume 3 of the 2006 IPCC Guidelines), while the emission factor is a value that represents a weighted average of several parameters as shown in table 7.9 from volume 3 of the 2006 IPCC guidelines below (IPCC, 2006b). </w:t>
      </w:r>
    </w:p>
    <w:p w14:paraId="3C230CD7" w14:textId="77777777" w:rsidR="00A71B0D" w:rsidRPr="00D9348B" w:rsidRDefault="00A71B0D" w:rsidP="00A71B0D">
      <w:pPr>
        <w:pStyle w:val="BodyText"/>
        <w:keepNext/>
      </w:pPr>
      <w:r w:rsidRPr="00D9348B">
        <w:t>The calculation formula for net consumption within the Tier 1a method is as follows.</w:t>
      </w:r>
    </w:p>
    <w:p w14:paraId="27B05D63" w14:textId="17AAEF15" w:rsidR="00A71B0D" w:rsidRPr="00D9348B" w:rsidRDefault="007165CF" w:rsidP="00A71B0D">
      <w:pPr>
        <w:pStyle w:val="BodyText"/>
        <w:spacing w:before="80"/>
        <w:jc w:val="center"/>
      </w:pPr>
      <w:r>
        <w:pict w14:anchorId="464672B2">
          <v:shape id="_x0000_i1162" type="#_x0000_t75" style="width:327.45pt;height:45.1pt;visibility:visible;mso-wrap-style:square">
            <v:imagedata r:id="rId263" o:title=""/>
          </v:shape>
        </w:pict>
      </w:r>
    </w:p>
    <w:p w14:paraId="33FB6B2B" w14:textId="77777777" w:rsidR="00A71B0D" w:rsidRPr="00D9348B" w:rsidRDefault="00A71B0D" w:rsidP="00A71B0D">
      <w:pPr>
        <w:pStyle w:val="BodyText"/>
      </w:pPr>
      <w:r w:rsidRPr="00D9348B">
        <w:t>Net consumption values for each HFC are then used to calculate annual emissions for applications exhibiting prompt emissions as follows.</w:t>
      </w:r>
    </w:p>
    <w:p w14:paraId="4F4B200B" w14:textId="574FE9D3" w:rsidR="00A71B0D" w:rsidRPr="00D9348B" w:rsidRDefault="007165CF" w:rsidP="00A71B0D">
      <w:pPr>
        <w:pStyle w:val="BodyText"/>
        <w:spacing w:before="80" w:after="80"/>
        <w:jc w:val="center"/>
        <w:rPr>
          <w:rFonts w:ascii="TimesNewRomanPSMT" w:hAnsi="TimesNewRomanPSMT" w:cs="TimesNewRomanPSMT"/>
        </w:rPr>
      </w:pPr>
      <w:r>
        <w:pict w14:anchorId="28837C9A">
          <v:shape id="_x0000_i1163" type="#_x0000_t75" style="width:329.3pt;height:45.1pt;visibility:visible;mso-wrap-style:square">
            <v:imagedata r:id="rId264" o:title=""/>
          </v:shape>
        </w:pict>
      </w:r>
    </w:p>
    <w:p w14:paraId="10193485" w14:textId="77777777" w:rsidR="00A71B0D" w:rsidRPr="00D9348B" w:rsidRDefault="00A71B0D" w:rsidP="00865BDB">
      <w:pPr>
        <w:pStyle w:val="Heading4"/>
      </w:pPr>
      <w:r w:rsidRPr="00D9348B">
        <w:t>Uncertainties</w:t>
      </w:r>
    </w:p>
    <w:p w14:paraId="320082B9" w14:textId="77777777" w:rsidR="00A71B0D" w:rsidRPr="00D9348B" w:rsidRDefault="00A71B0D" w:rsidP="00A71B0D">
      <w:pPr>
        <w:pStyle w:val="BodyText"/>
      </w:pPr>
      <w:r w:rsidRPr="00D9348B">
        <w:t>Because a composite emission factor was used for both 2.F.1.b and 2.F.1.f categories, the uncertainty level for activity data is assumed at a level of ±32 per cent. The 2006 IPCC Guidelines (IPCC, 2006b) do not provide a default value for the composite factors, so New Zealand’s value for uncertainties to describe refrigerant leakages was used for both categories.</w:t>
      </w:r>
    </w:p>
    <w:p w14:paraId="58A3B3B8" w14:textId="77777777" w:rsidR="00A71B0D" w:rsidRPr="00D9348B" w:rsidRDefault="00A71B0D" w:rsidP="00A71B0D">
      <w:pPr>
        <w:pStyle w:val="Table"/>
      </w:pPr>
      <w:bookmarkStart w:id="2987" w:name="_Toc5269599"/>
      <w:bookmarkStart w:id="2988" w:name="_Toc36224680"/>
      <w:r w:rsidRPr="00D9348B">
        <w:t>Table 8.3.1</w:t>
      </w:r>
      <w:r w:rsidRPr="00D9348B">
        <w:tab/>
        <w:t>Uncertainties for Refrigeration and air conditioning category</w:t>
      </w:r>
      <w:bookmarkEnd w:id="2987"/>
      <w:bookmarkEnd w:id="2988"/>
    </w:p>
    <w:tbl>
      <w:tblPr>
        <w:tblW w:w="8505" w:type="dxa"/>
        <w:tblInd w:w="108" w:type="dxa"/>
        <w:tblBorders>
          <w:top w:val="single" w:sz="4" w:space="0" w:color="1F497D"/>
          <w:bottom w:val="single" w:sz="4" w:space="0" w:color="1F497D"/>
          <w:insideH w:val="single" w:sz="4" w:space="0" w:color="1F497D"/>
          <w:insideV w:val="single" w:sz="4" w:space="0" w:color="1F497D"/>
        </w:tblBorders>
        <w:tblLook w:val="0420" w:firstRow="1" w:lastRow="0" w:firstColumn="0" w:lastColumn="0" w:noHBand="0" w:noVBand="1"/>
      </w:tblPr>
      <w:tblGrid>
        <w:gridCol w:w="686"/>
        <w:gridCol w:w="1158"/>
        <w:gridCol w:w="1313"/>
        <w:gridCol w:w="1665"/>
        <w:gridCol w:w="3683"/>
      </w:tblGrid>
      <w:tr w:rsidR="00A71B0D" w:rsidRPr="00D9348B" w14:paraId="5CCEEE24" w14:textId="77777777" w:rsidTr="00E11E79">
        <w:trPr>
          <w:tblHeader/>
        </w:trPr>
        <w:tc>
          <w:tcPr>
            <w:tcW w:w="403" w:type="pct"/>
            <w:tcBorders>
              <w:top w:val="single" w:sz="4" w:space="0" w:color="365F91"/>
              <w:bottom w:val="single" w:sz="4" w:space="0" w:color="365F91"/>
              <w:right w:val="nil"/>
            </w:tcBorders>
            <w:shd w:val="clear" w:color="auto" w:fill="365F91"/>
            <w:noWrap/>
            <w:vAlign w:val="bottom"/>
            <w:hideMark/>
          </w:tcPr>
          <w:p w14:paraId="1B3282BF" w14:textId="77777777" w:rsidR="00A71B0D" w:rsidRPr="00D9348B" w:rsidRDefault="00A71B0D" w:rsidP="00DB330E">
            <w:pPr>
              <w:pStyle w:val="TableTextBold"/>
              <w:rPr>
                <w:noProof w:val="0"/>
                <w:color w:val="FFFFFF"/>
              </w:rPr>
            </w:pPr>
            <w:r w:rsidRPr="00D9348B">
              <w:rPr>
                <w:noProof w:val="0"/>
                <w:color w:val="FFFFFF"/>
              </w:rPr>
              <w:t>Gas</w:t>
            </w:r>
          </w:p>
        </w:tc>
        <w:tc>
          <w:tcPr>
            <w:tcW w:w="681" w:type="pct"/>
            <w:tcBorders>
              <w:top w:val="single" w:sz="4" w:space="0" w:color="365F91"/>
              <w:left w:val="nil"/>
              <w:bottom w:val="single" w:sz="4" w:space="0" w:color="365F91"/>
              <w:right w:val="nil"/>
            </w:tcBorders>
            <w:shd w:val="clear" w:color="auto" w:fill="365F91"/>
            <w:noWrap/>
            <w:vAlign w:val="bottom"/>
            <w:hideMark/>
          </w:tcPr>
          <w:p w14:paraId="7BCE9840" w14:textId="77777777" w:rsidR="00A71B0D" w:rsidRPr="00D9348B" w:rsidRDefault="00A71B0D" w:rsidP="00DB330E">
            <w:pPr>
              <w:pStyle w:val="TableTextBold"/>
              <w:rPr>
                <w:noProof w:val="0"/>
                <w:color w:val="FFFFFF"/>
              </w:rPr>
            </w:pPr>
            <w:r w:rsidRPr="00D9348B">
              <w:rPr>
                <w:noProof w:val="0"/>
                <w:color w:val="FFFFFF"/>
              </w:rPr>
              <w:t>Subcategory</w:t>
            </w:r>
          </w:p>
        </w:tc>
        <w:tc>
          <w:tcPr>
            <w:tcW w:w="772" w:type="pct"/>
            <w:tcBorders>
              <w:top w:val="single" w:sz="4" w:space="0" w:color="365F91"/>
              <w:left w:val="nil"/>
              <w:bottom w:val="single" w:sz="4" w:space="0" w:color="365F91"/>
              <w:right w:val="nil"/>
            </w:tcBorders>
            <w:shd w:val="clear" w:color="auto" w:fill="365F91"/>
            <w:vAlign w:val="bottom"/>
            <w:hideMark/>
          </w:tcPr>
          <w:p w14:paraId="3FB3B84D" w14:textId="77777777" w:rsidR="00A71B0D" w:rsidRPr="00D9348B" w:rsidRDefault="00A71B0D" w:rsidP="00DB330E">
            <w:pPr>
              <w:pStyle w:val="TableTextBold"/>
              <w:jc w:val="center"/>
              <w:rPr>
                <w:noProof w:val="0"/>
                <w:color w:val="FFFFFF"/>
              </w:rPr>
            </w:pPr>
            <w:r w:rsidRPr="00D9348B">
              <w:rPr>
                <w:noProof w:val="0"/>
                <w:color w:val="FFFFFF"/>
              </w:rPr>
              <w:t>Activity data uncertainty (%)</w:t>
            </w:r>
          </w:p>
        </w:tc>
        <w:tc>
          <w:tcPr>
            <w:tcW w:w="979" w:type="pct"/>
            <w:tcBorders>
              <w:top w:val="single" w:sz="4" w:space="0" w:color="365F91"/>
              <w:left w:val="nil"/>
              <w:bottom w:val="single" w:sz="4" w:space="0" w:color="365F91"/>
              <w:right w:val="nil"/>
            </w:tcBorders>
            <w:shd w:val="clear" w:color="auto" w:fill="365F91"/>
            <w:vAlign w:val="bottom"/>
            <w:hideMark/>
          </w:tcPr>
          <w:p w14:paraId="6CB22EEC" w14:textId="77777777" w:rsidR="00A71B0D" w:rsidRPr="00D9348B" w:rsidRDefault="00A71B0D" w:rsidP="00DB330E">
            <w:pPr>
              <w:pStyle w:val="TableTextBold"/>
              <w:jc w:val="center"/>
              <w:rPr>
                <w:noProof w:val="0"/>
                <w:color w:val="FFFFFF"/>
              </w:rPr>
            </w:pPr>
            <w:r w:rsidRPr="00D9348B">
              <w:rPr>
                <w:noProof w:val="0"/>
                <w:color w:val="FFFFFF"/>
              </w:rPr>
              <w:t>Emission factor uncertainty (%)</w:t>
            </w:r>
          </w:p>
        </w:tc>
        <w:tc>
          <w:tcPr>
            <w:tcW w:w="2166" w:type="pct"/>
            <w:tcBorders>
              <w:top w:val="single" w:sz="4" w:space="0" w:color="365F91"/>
              <w:left w:val="nil"/>
              <w:bottom w:val="single" w:sz="4" w:space="0" w:color="365F91"/>
            </w:tcBorders>
            <w:shd w:val="clear" w:color="auto" w:fill="365F91"/>
            <w:vAlign w:val="bottom"/>
          </w:tcPr>
          <w:p w14:paraId="0ABF027B" w14:textId="77777777" w:rsidR="00A71B0D" w:rsidRPr="00D9348B" w:rsidRDefault="00A71B0D" w:rsidP="00DB330E">
            <w:pPr>
              <w:pStyle w:val="TableTextBold"/>
              <w:jc w:val="center"/>
              <w:rPr>
                <w:noProof w:val="0"/>
                <w:color w:val="FFFFFF"/>
              </w:rPr>
            </w:pPr>
            <w:r w:rsidRPr="00D9348B">
              <w:rPr>
                <w:noProof w:val="0"/>
                <w:color w:val="FFFFFF"/>
              </w:rPr>
              <w:t>Source</w:t>
            </w:r>
          </w:p>
        </w:tc>
      </w:tr>
      <w:tr w:rsidR="00A71B0D" w:rsidRPr="00D9348B" w14:paraId="3FA8FD52" w14:textId="77777777" w:rsidTr="00E11E79">
        <w:tc>
          <w:tcPr>
            <w:tcW w:w="403" w:type="pct"/>
            <w:tcBorders>
              <w:top w:val="single" w:sz="4" w:space="0" w:color="365F91"/>
              <w:right w:val="single" w:sz="4" w:space="0" w:color="365F91"/>
            </w:tcBorders>
            <w:shd w:val="clear" w:color="auto" w:fill="auto"/>
            <w:noWrap/>
            <w:hideMark/>
          </w:tcPr>
          <w:p w14:paraId="0992C388" w14:textId="77777777" w:rsidR="00A71B0D" w:rsidRPr="00D9348B" w:rsidRDefault="00A71B0D" w:rsidP="00DB330E">
            <w:pPr>
              <w:pStyle w:val="TableText"/>
            </w:pPr>
            <w:r w:rsidRPr="00D9348B">
              <w:t>HFCs</w:t>
            </w:r>
          </w:p>
        </w:tc>
        <w:tc>
          <w:tcPr>
            <w:tcW w:w="681" w:type="pct"/>
            <w:tcBorders>
              <w:top w:val="single" w:sz="4" w:space="0" w:color="365F91"/>
              <w:left w:val="single" w:sz="4" w:space="0" w:color="365F91"/>
              <w:bottom w:val="single" w:sz="4" w:space="0" w:color="365F91"/>
              <w:right w:val="single" w:sz="4" w:space="0" w:color="365F91"/>
            </w:tcBorders>
            <w:shd w:val="clear" w:color="auto" w:fill="auto"/>
            <w:noWrap/>
            <w:hideMark/>
          </w:tcPr>
          <w:p w14:paraId="5E63F3D3" w14:textId="77777777" w:rsidR="00A71B0D" w:rsidRPr="00D9348B" w:rsidRDefault="00A71B0D" w:rsidP="00DB330E">
            <w:pPr>
              <w:pStyle w:val="TableText"/>
            </w:pPr>
            <w:r w:rsidRPr="00D9348B">
              <w:t>2.F.1</w:t>
            </w:r>
          </w:p>
        </w:tc>
        <w:tc>
          <w:tcPr>
            <w:tcW w:w="772" w:type="pct"/>
            <w:tcBorders>
              <w:top w:val="single" w:sz="4" w:space="0" w:color="365F91"/>
              <w:left w:val="single" w:sz="4" w:space="0" w:color="365F91"/>
              <w:bottom w:val="single" w:sz="4" w:space="0" w:color="365F91"/>
              <w:right w:val="single" w:sz="4" w:space="0" w:color="365F91"/>
            </w:tcBorders>
            <w:shd w:val="clear" w:color="auto" w:fill="auto"/>
            <w:noWrap/>
            <w:hideMark/>
          </w:tcPr>
          <w:p w14:paraId="3B8DC111" w14:textId="77777777" w:rsidR="00A71B0D" w:rsidRPr="00D9348B" w:rsidRDefault="00A71B0D" w:rsidP="00DB330E">
            <w:pPr>
              <w:pStyle w:val="TableText"/>
            </w:pPr>
            <w:r w:rsidRPr="00D9348B">
              <w:t>±32</w:t>
            </w:r>
          </w:p>
        </w:tc>
        <w:tc>
          <w:tcPr>
            <w:tcW w:w="979" w:type="pct"/>
            <w:tcBorders>
              <w:top w:val="single" w:sz="4" w:space="0" w:color="365F91"/>
              <w:left w:val="single" w:sz="4" w:space="0" w:color="365F91"/>
            </w:tcBorders>
            <w:shd w:val="clear" w:color="auto" w:fill="auto"/>
            <w:noWrap/>
            <w:hideMark/>
          </w:tcPr>
          <w:p w14:paraId="483473BB" w14:textId="77777777" w:rsidR="00A71B0D" w:rsidRPr="00D9348B" w:rsidRDefault="00A71B0D" w:rsidP="00DB330E">
            <w:pPr>
              <w:pStyle w:val="TableText"/>
            </w:pPr>
            <w:r w:rsidRPr="00D9348B">
              <w:t>NA</w:t>
            </w:r>
          </w:p>
        </w:tc>
        <w:tc>
          <w:tcPr>
            <w:tcW w:w="2166" w:type="pct"/>
            <w:tcBorders>
              <w:top w:val="single" w:sz="4" w:space="0" w:color="365F91"/>
              <w:left w:val="single" w:sz="4" w:space="0" w:color="365F91"/>
            </w:tcBorders>
          </w:tcPr>
          <w:p w14:paraId="1F489C82" w14:textId="77777777" w:rsidR="00A71B0D" w:rsidRPr="00D9348B" w:rsidRDefault="00A71B0D" w:rsidP="00DB330E">
            <w:pPr>
              <w:pStyle w:val="TableText"/>
            </w:pPr>
            <w:r w:rsidRPr="00D9348B">
              <w:t>New Zealand’s value is used (table 4.7.3, chapter 4)</w:t>
            </w:r>
          </w:p>
        </w:tc>
      </w:tr>
    </w:tbl>
    <w:p w14:paraId="510B0150" w14:textId="77777777" w:rsidR="00A71B0D" w:rsidRPr="00D9348B" w:rsidRDefault="00A71B0D" w:rsidP="00A71B0D">
      <w:pPr>
        <w:pStyle w:val="Heading3"/>
        <w:spacing w:before="480"/>
      </w:pPr>
      <w:r w:rsidRPr="00D9348B">
        <w:t xml:space="preserve">8.3.2 </w:t>
      </w:r>
      <w:r w:rsidRPr="00D9348B">
        <w:tab/>
        <w:t>Emissions from Metered dose inhalers and</w:t>
      </w:r>
      <w:r w:rsidRPr="00D9348B">
        <w:br/>
        <w:t>Medical applications in Tokelau</w:t>
      </w:r>
    </w:p>
    <w:p w14:paraId="2E3E41B1" w14:textId="77777777" w:rsidR="00A71B0D" w:rsidRPr="00D9348B" w:rsidRDefault="00A71B0D" w:rsidP="00A71B0D">
      <w:pPr>
        <w:pStyle w:val="BodyText"/>
      </w:pPr>
      <w:r w:rsidRPr="00D9348B">
        <w:t xml:space="preserve">The </w:t>
      </w:r>
      <w:r w:rsidRPr="00D9348B">
        <w:rPr>
          <w:i/>
        </w:rPr>
        <w:t>Metered dose inhalers</w:t>
      </w:r>
      <w:r w:rsidRPr="00D9348B">
        <w:t xml:space="preserve"> (2.F.4.a) and </w:t>
      </w:r>
      <w:r w:rsidRPr="00D9348B">
        <w:rPr>
          <w:i/>
        </w:rPr>
        <w:t xml:space="preserve">Medical applications </w:t>
      </w:r>
      <w:r w:rsidRPr="00D9348B">
        <w:t>categories (2.G.3.a) contribute negligible amounts of HFC (HFC-134a and HFC-227ea) and N</w:t>
      </w:r>
      <w:r w:rsidRPr="00D9348B">
        <w:rPr>
          <w:vertAlign w:val="subscript"/>
        </w:rPr>
        <w:t>2</w:t>
      </w:r>
      <w:r w:rsidRPr="00D9348B">
        <w:t xml:space="preserve">O emissions respectively to the total emissions from the IPPU sector in Tokelau. They are reported by scaling New Zealand’s emissions from the same category by Tokelau’s </w:t>
      </w:r>
      <w:r w:rsidRPr="00D9348B">
        <w:rPr>
          <w:i/>
        </w:rPr>
        <w:t>de facto</w:t>
      </w:r>
      <w:r w:rsidRPr="00D9348B">
        <w:t xml:space="preserve"> population.</w:t>
      </w:r>
    </w:p>
    <w:p w14:paraId="256ADECC" w14:textId="77777777" w:rsidR="00A71B0D" w:rsidRPr="00D9348B" w:rsidRDefault="00A71B0D" w:rsidP="00A71B0D">
      <w:pPr>
        <w:pStyle w:val="BodyText"/>
      </w:pPr>
      <w:r w:rsidRPr="00D9348B">
        <w:t xml:space="preserve">In 2018, the </w:t>
      </w:r>
      <w:r w:rsidRPr="00D9348B">
        <w:rPr>
          <w:i/>
        </w:rPr>
        <w:t xml:space="preserve">Metered dose inhalers </w:t>
      </w:r>
      <w:r w:rsidRPr="00D9348B">
        <w:t xml:space="preserve">category contributes 7.6 per cent to total IPPU emissions from Tokelau, and the category </w:t>
      </w:r>
      <w:r w:rsidRPr="00D9348B">
        <w:rPr>
          <w:i/>
        </w:rPr>
        <w:t>Medical applications</w:t>
      </w:r>
      <w:r w:rsidRPr="00D9348B">
        <w:t xml:space="preserve"> contributes 6.5 per cent to the sector, which amounts to 0.04 kt CO</w:t>
      </w:r>
      <w:r w:rsidRPr="00D9348B">
        <w:rPr>
          <w:vertAlign w:val="subscript"/>
        </w:rPr>
        <w:t>2</w:t>
      </w:r>
      <w:r w:rsidRPr="00D9348B">
        <w:t>-e from both categories.</w:t>
      </w:r>
    </w:p>
    <w:p w14:paraId="0FF1F421" w14:textId="77777777" w:rsidR="00A71B0D" w:rsidRPr="00D9348B" w:rsidRDefault="00A71B0D" w:rsidP="00865BDB">
      <w:pPr>
        <w:pStyle w:val="Heading4"/>
      </w:pPr>
      <w:r w:rsidRPr="00D9348B">
        <w:lastRenderedPageBreak/>
        <w:t>Methodological issues</w:t>
      </w:r>
    </w:p>
    <w:p w14:paraId="502F5C6C" w14:textId="77777777" w:rsidR="00A71B0D" w:rsidRPr="00D9348B" w:rsidRDefault="00A71B0D" w:rsidP="00A71B0D">
      <w:pPr>
        <w:pStyle w:val="Heading5"/>
        <w:spacing w:before="120"/>
      </w:pPr>
      <w:r w:rsidRPr="00D9348B">
        <w:t>Activity data</w:t>
      </w:r>
    </w:p>
    <w:p w14:paraId="43F96B2F" w14:textId="77777777" w:rsidR="00A71B0D" w:rsidRPr="00D9348B" w:rsidRDefault="00A71B0D" w:rsidP="00A71B0D">
      <w:pPr>
        <w:pStyle w:val="BodyText"/>
      </w:pPr>
      <w:r w:rsidRPr="00D9348B">
        <w:t xml:space="preserve">Only anecdotal evidence associated with the activity data for both categories is available from Tokelau’s Department of Health (see table 8.1.2). They are reported by scaling New Zealand’s emissions from the same category by Tokelau’s </w:t>
      </w:r>
      <w:r w:rsidRPr="00D9348B">
        <w:rPr>
          <w:i/>
        </w:rPr>
        <w:t>de facto</w:t>
      </w:r>
      <w:r w:rsidRPr="00D9348B">
        <w:t xml:space="preserve"> population for the entire time series to each gas. </w:t>
      </w:r>
    </w:p>
    <w:p w14:paraId="5291BCA5" w14:textId="77777777" w:rsidR="00A71B0D" w:rsidRPr="00D9348B" w:rsidRDefault="00A71B0D" w:rsidP="00E11E79">
      <w:pPr>
        <w:pStyle w:val="Heading5"/>
        <w:spacing w:before="120"/>
      </w:pPr>
      <w:r w:rsidRPr="00D9348B">
        <w:t>Method and emission factors</w:t>
      </w:r>
    </w:p>
    <w:p w14:paraId="3BFEE63A" w14:textId="77777777" w:rsidR="00A71B0D" w:rsidRPr="00D9348B" w:rsidRDefault="00A71B0D" w:rsidP="00A71B0D">
      <w:pPr>
        <w:pStyle w:val="BodyText"/>
      </w:pPr>
      <w:r w:rsidRPr="00D9348B">
        <w:t xml:space="preserve">For both categories, effectively a Tier 1a methodology was applied because New Zealand applied this methodology for estimating emissions from 2.F.4 and Tier 1 methodology for 2.G.3 (IPCC, 2006b). In addition, population ratios from population statistics of Tokelau and New Zealand have been calculated for each year of the time series except the years when the emissions were not occurring (until 1995 for HFC-134a and 2011 for HFC-227ea). </w:t>
      </w:r>
    </w:p>
    <w:p w14:paraId="3CD30235" w14:textId="77777777" w:rsidR="00A71B0D" w:rsidRPr="00D9348B" w:rsidRDefault="00A71B0D" w:rsidP="00A71B0D">
      <w:pPr>
        <w:pStyle w:val="BodyText"/>
      </w:pPr>
      <w:r w:rsidRPr="00D9348B">
        <w:t>For 2.F.4.a, a product life factor of 100 per cent was used. For 2.G.3a, it was assumed that N</w:t>
      </w:r>
      <w:r w:rsidRPr="00D9348B">
        <w:rPr>
          <w:vertAlign w:val="subscript"/>
        </w:rPr>
        <w:t>2</w:t>
      </w:r>
      <w:r w:rsidRPr="00D9348B">
        <w:t>O is used as a propellant in pressurised and aerosol food products, none of the N</w:t>
      </w:r>
      <w:r w:rsidRPr="00D9348B">
        <w:rPr>
          <w:vertAlign w:val="subscript"/>
        </w:rPr>
        <w:t>2</w:t>
      </w:r>
      <w:r w:rsidRPr="00D9348B">
        <w:t>O is reacted during the process and all of the N</w:t>
      </w:r>
      <w:r w:rsidRPr="00D9348B">
        <w:rPr>
          <w:vertAlign w:val="subscript"/>
        </w:rPr>
        <w:t>2</w:t>
      </w:r>
      <w:r w:rsidRPr="00D9348B">
        <w:t>O is emitted to the atmosphere. Therefore, a default emission factor of 1.0 was used for this category.</w:t>
      </w:r>
    </w:p>
    <w:p w14:paraId="06087B82" w14:textId="77777777" w:rsidR="00A71B0D" w:rsidRPr="00D9348B" w:rsidRDefault="00A71B0D" w:rsidP="00865BDB">
      <w:pPr>
        <w:pStyle w:val="Heading4"/>
      </w:pPr>
      <w:r w:rsidRPr="00D9348B">
        <w:t>Uncertainty</w:t>
      </w:r>
    </w:p>
    <w:p w14:paraId="0E76CBF3" w14:textId="77777777" w:rsidR="00A71B0D" w:rsidRPr="00D9348B" w:rsidRDefault="00A71B0D" w:rsidP="00A71B0D">
      <w:pPr>
        <w:pStyle w:val="BodyText"/>
      </w:pPr>
      <w:r w:rsidRPr="00D9348B">
        <w:t>For consistency of reporting, the same uncertainty values for categories 2.G.3.a were applied for Tokelau and New Zealand (see section 4.8.1 in chapter 4 and table 8.3.2). The same uncertainty for 2.F.1 has also been applied to 2.F.4 in the absence of further information.</w:t>
      </w:r>
    </w:p>
    <w:p w14:paraId="7E7AD2B6" w14:textId="77777777" w:rsidR="00A71B0D" w:rsidRPr="00D9348B" w:rsidRDefault="00A71B0D" w:rsidP="00A71B0D">
      <w:pPr>
        <w:pStyle w:val="Table"/>
      </w:pPr>
      <w:bookmarkStart w:id="2989" w:name="_Toc5269600"/>
      <w:bookmarkStart w:id="2990" w:name="_Toc36224681"/>
      <w:r w:rsidRPr="00D9348B">
        <w:t>Table 8.3.2</w:t>
      </w:r>
      <w:r w:rsidRPr="00D9348B">
        <w:tab/>
        <w:t>Uncertainty in emissions from other product manufacture and use</w:t>
      </w:r>
      <w:bookmarkEnd w:id="2989"/>
      <w:bookmarkEnd w:id="2990"/>
    </w:p>
    <w:tbl>
      <w:tblPr>
        <w:tblW w:w="8562" w:type="dxa"/>
        <w:tblInd w:w="108" w:type="dxa"/>
        <w:tblBorders>
          <w:top w:val="single" w:sz="4" w:space="0" w:color="365F91"/>
          <w:bottom w:val="single" w:sz="4" w:space="0" w:color="365F91"/>
          <w:insideH w:val="single" w:sz="4" w:space="0" w:color="365F91"/>
        </w:tblBorders>
        <w:tblCellMar>
          <w:left w:w="0" w:type="dxa"/>
          <w:right w:w="0" w:type="dxa"/>
        </w:tblCellMar>
        <w:tblLook w:val="04A0" w:firstRow="1" w:lastRow="0" w:firstColumn="1" w:lastColumn="0" w:noHBand="0" w:noVBand="1"/>
      </w:tblPr>
      <w:tblGrid>
        <w:gridCol w:w="2127"/>
        <w:gridCol w:w="3827"/>
        <w:gridCol w:w="2608"/>
      </w:tblGrid>
      <w:tr w:rsidR="00A71B0D" w:rsidRPr="00D9348B" w14:paraId="69E373D1" w14:textId="77777777" w:rsidTr="00E11E79">
        <w:tc>
          <w:tcPr>
            <w:tcW w:w="2127" w:type="dxa"/>
            <w:shd w:val="clear" w:color="auto" w:fill="365F91"/>
            <w:tcMar>
              <w:top w:w="0" w:type="dxa"/>
              <w:left w:w="108" w:type="dxa"/>
              <w:bottom w:w="0" w:type="dxa"/>
              <w:right w:w="108" w:type="dxa"/>
            </w:tcMar>
            <w:vAlign w:val="bottom"/>
            <w:hideMark/>
          </w:tcPr>
          <w:p w14:paraId="48F27B1D" w14:textId="77777777" w:rsidR="00A71B0D" w:rsidRPr="00D9348B" w:rsidRDefault="00A71B0D" w:rsidP="00DB330E">
            <w:pPr>
              <w:pStyle w:val="TableTextBold"/>
              <w:keepNext/>
              <w:jc w:val="center"/>
              <w:rPr>
                <w:noProof w:val="0"/>
                <w:color w:val="FFFFFF"/>
              </w:rPr>
            </w:pPr>
            <w:r w:rsidRPr="00D9348B">
              <w:rPr>
                <w:noProof w:val="0"/>
                <w:color w:val="FFFFFF"/>
              </w:rPr>
              <w:t>Category</w:t>
            </w:r>
          </w:p>
        </w:tc>
        <w:tc>
          <w:tcPr>
            <w:tcW w:w="3827" w:type="dxa"/>
            <w:shd w:val="clear" w:color="auto" w:fill="365F91"/>
            <w:tcMar>
              <w:top w:w="0" w:type="dxa"/>
              <w:left w:w="108" w:type="dxa"/>
              <w:bottom w:w="0" w:type="dxa"/>
              <w:right w:w="108" w:type="dxa"/>
            </w:tcMar>
            <w:vAlign w:val="bottom"/>
            <w:hideMark/>
          </w:tcPr>
          <w:p w14:paraId="1969F010" w14:textId="77777777" w:rsidR="00A71B0D" w:rsidRPr="00D9348B" w:rsidRDefault="00A71B0D" w:rsidP="00DB330E">
            <w:pPr>
              <w:pStyle w:val="TableTextBold"/>
              <w:keepNext/>
              <w:rPr>
                <w:noProof w:val="0"/>
                <w:color w:val="FFFFFF"/>
              </w:rPr>
            </w:pPr>
            <w:r w:rsidRPr="00D9348B">
              <w:rPr>
                <w:noProof w:val="0"/>
                <w:color w:val="FFFFFF"/>
              </w:rPr>
              <w:t>Uncertainty in activity data (%)</w:t>
            </w:r>
          </w:p>
        </w:tc>
        <w:tc>
          <w:tcPr>
            <w:tcW w:w="2608" w:type="dxa"/>
            <w:shd w:val="clear" w:color="auto" w:fill="365F91"/>
            <w:tcMar>
              <w:top w:w="0" w:type="dxa"/>
              <w:left w:w="108" w:type="dxa"/>
              <w:bottom w:w="0" w:type="dxa"/>
              <w:right w:w="108" w:type="dxa"/>
            </w:tcMar>
            <w:vAlign w:val="bottom"/>
            <w:hideMark/>
          </w:tcPr>
          <w:p w14:paraId="102B5834" w14:textId="77777777" w:rsidR="00A71B0D" w:rsidRPr="00D9348B" w:rsidRDefault="00A71B0D" w:rsidP="00DB330E">
            <w:pPr>
              <w:pStyle w:val="TableTextBold"/>
              <w:keepNext/>
              <w:rPr>
                <w:noProof w:val="0"/>
                <w:color w:val="FFFFFF"/>
              </w:rPr>
            </w:pPr>
            <w:r w:rsidRPr="00D9348B">
              <w:rPr>
                <w:noProof w:val="0"/>
                <w:color w:val="FFFFFF"/>
              </w:rPr>
              <w:t>Uncertainty in emission factors</w:t>
            </w:r>
          </w:p>
        </w:tc>
      </w:tr>
      <w:tr w:rsidR="00A71B0D" w:rsidRPr="00D9348B" w14:paraId="614A722C" w14:textId="77777777" w:rsidTr="00E11E79">
        <w:tc>
          <w:tcPr>
            <w:tcW w:w="2127" w:type="dxa"/>
            <w:shd w:val="clear" w:color="auto" w:fill="FFFFFF"/>
            <w:tcMar>
              <w:top w:w="0" w:type="dxa"/>
              <w:left w:w="108" w:type="dxa"/>
              <w:bottom w:w="0" w:type="dxa"/>
              <w:right w:w="108" w:type="dxa"/>
            </w:tcMar>
            <w:hideMark/>
          </w:tcPr>
          <w:p w14:paraId="55DF0A37" w14:textId="77777777" w:rsidR="00A71B0D" w:rsidRPr="00D9348B" w:rsidRDefault="00A71B0D" w:rsidP="00DB330E">
            <w:pPr>
              <w:pStyle w:val="TableText"/>
            </w:pPr>
            <w:r w:rsidRPr="00D9348B">
              <w:t>N</w:t>
            </w:r>
            <w:r w:rsidRPr="00D9348B">
              <w:rPr>
                <w:vertAlign w:val="subscript"/>
              </w:rPr>
              <w:t>2</w:t>
            </w:r>
            <w:r w:rsidRPr="00D9348B">
              <w:t>O from other product uses</w:t>
            </w:r>
          </w:p>
        </w:tc>
        <w:tc>
          <w:tcPr>
            <w:tcW w:w="3827" w:type="dxa"/>
            <w:shd w:val="clear" w:color="auto" w:fill="FFFFFF"/>
            <w:tcMar>
              <w:top w:w="0" w:type="dxa"/>
              <w:left w:w="108" w:type="dxa"/>
              <w:bottom w:w="0" w:type="dxa"/>
              <w:right w:w="108" w:type="dxa"/>
            </w:tcMar>
            <w:hideMark/>
          </w:tcPr>
          <w:p w14:paraId="6897D265" w14:textId="77777777" w:rsidR="00A71B0D" w:rsidRPr="00D9348B" w:rsidRDefault="00A71B0D" w:rsidP="00DB330E">
            <w:pPr>
              <w:pStyle w:val="TableText"/>
              <w:spacing w:after="0"/>
            </w:pPr>
            <w:r w:rsidRPr="00D9348B">
              <w:t>±30 (2002–12)</w:t>
            </w:r>
          </w:p>
          <w:p w14:paraId="236F548B" w14:textId="77777777" w:rsidR="00A71B0D" w:rsidRPr="00D9348B" w:rsidRDefault="00A71B0D" w:rsidP="00DB330E">
            <w:pPr>
              <w:pStyle w:val="TableText"/>
            </w:pPr>
            <w:r w:rsidRPr="00D9348B">
              <w:t xml:space="preserve">±5 (2013–18) </w:t>
            </w:r>
          </w:p>
          <w:p w14:paraId="010B28E6" w14:textId="77777777" w:rsidR="00A71B0D" w:rsidRPr="00D9348B" w:rsidRDefault="00A71B0D" w:rsidP="00DB330E">
            <w:pPr>
              <w:pStyle w:val="TableText"/>
              <w:spacing w:before="0"/>
            </w:pPr>
            <w:r w:rsidRPr="00D9348B">
              <w:t>For simplicity, an average of 15% has been used</w:t>
            </w:r>
          </w:p>
        </w:tc>
        <w:tc>
          <w:tcPr>
            <w:tcW w:w="2608" w:type="dxa"/>
            <w:shd w:val="clear" w:color="auto" w:fill="FFFFFF"/>
            <w:tcMar>
              <w:top w:w="0" w:type="dxa"/>
              <w:left w:w="108" w:type="dxa"/>
              <w:bottom w:w="0" w:type="dxa"/>
              <w:right w:w="108" w:type="dxa"/>
            </w:tcMar>
            <w:hideMark/>
          </w:tcPr>
          <w:p w14:paraId="242CAF36" w14:textId="77777777" w:rsidR="00A71B0D" w:rsidRPr="00D9348B" w:rsidRDefault="00A71B0D" w:rsidP="00DB330E">
            <w:pPr>
              <w:pStyle w:val="TableText"/>
            </w:pPr>
            <w:r w:rsidRPr="00D9348B">
              <w:t>NA</w:t>
            </w:r>
          </w:p>
        </w:tc>
      </w:tr>
    </w:tbl>
    <w:p w14:paraId="000AF93D" w14:textId="77777777" w:rsidR="00A71B0D" w:rsidRPr="00D9348B" w:rsidRDefault="00A71B0D" w:rsidP="00A71B0D">
      <w:pPr>
        <w:pStyle w:val="Heading2"/>
        <w:spacing w:before="480"/>
      </w:pPr>
      <w:bookmarkStart w:id="2991" w:name="_Toc5269396"/>
      <w:bookmarkStart w:id="2992" w:name="_Toc36224436"/>
      <w:r w:rsidRPr="00D9348B">
        <w:t>8.4</w:t>
      </w:r>
      <w:r w:rsidRPr="00D9348B">
        <w:tab/>
        <w:t xml:space="preserve">Emissions from the Agriculture sector in </w:t>
      </w:r>
      <w:proofErr w:type="gramStart"/>
      <w:r w:rsidRPr="00D9348B">
        <w:t>Tokelau</w:t>
      </w:r>
      <w:proofErr w:type="gramEnd"/>
      <w:r w:rsidRPr="00D9348B">
        <w:br/>
        <w:t>(CRF 6. Tokelau_3)</w:t>
      </w:r>
      <w:bookmarkEnd w:id="2991"/>
      <w:bookmarkEnd w:id="2992"/>
    </w:p>
    <w:p w14:paraId="40083C87" w14:textId="77777777" w:rsidR="00A71B0D" w:rsidRPr="00D9348B" w:rsidRDefault="00A71B0D" w:rsidP="00A71B0D">
      <w:pPr>
        <w:pStyle w:val="BodyText"/>
      </w:pPr>
      <w:r w:rsidRPr="00D9348B">
        <w:t>Fish, not locally produced plants or animals, are the most important food source in Tokelau. The low fertility of the coral soil means few crops are supported. Food needs are not met by locally grown produce and are heavily supplemented by imports.</w:t>
      </w:r>
    </w:p>
    <w:p w14:paraId="1706D6B2" w14:textId="77777777" w:rsidR="00A71B0D" w:rsidRPr="00D9348B" w:rsidRDefault="00A71B0D" w:rsidP="00A71B0D">
      <w:pPr>
        <w:pStyle w:val="BodyText"/>
      </w:pPr>
      <w:r w:rsidRPr="00D9348B">
        <w:t>Cultivated food crops are</w:t>
      </w:r>
      <w:r w:rsidRPr="00D9348B" w:rsidDel="00302D78">
        <w:t xml:space="preserve"> </w:t>
      </w:r>
      <w:r w:rsidRPr="00D9348B">
        <w:t>limited to breadfruit (</w:t>
      </w:r>
      <w:r w:rsidRPr="00D9348B">
        <w:rPr>
          <w:i/>
        </w:rPr>
        <w:t>Artocarpus altilis</w:t>
      </w:r>
      <w:r w:rsidRPr="00D9348B">
        <w:t>), giant swamp taro ‘pulaka’ (</w:t>
      </w:r>
      <w:r w:rsidRPr="00D9348B">
        <w:rPr>
          <w:i/>
        </w:rPr>
        <w:t>Cyrtosperma chamissonis</w:t>
      </w:r>
      <w:r w:rsidRPr="00D9348B">
        <w:t>), taro palagi (</w:t>
      </w:r>
      <w:r w:rsidRPr="00D9348B">
        <w:rPr>
          <w:i/>
        </w:rPr>
        <w:t>Xanthosoma sagittifolium</w:t>
      </w:r>
      <w:r w:rsidRPr="00D9348B">
        <w:t>), giant taro (</w:t>
      </w:r>
      <w:r w:rsidRPr="00D9348B">
        <w:rPr>
          <w:i/>
        </w:rPr>
        <w:t>Alocasia macrorrhizos</w:t>
      </w:r>
      <w:r w:rsidRPr="00D9348B">
        <w:t>), banana (</w:t>
      </w:r>
      <w:r w:rsidRPr="00D9348B">
        <w:rPr>
          <w:i/>
        </w:rPr>
        <w:t>Mus</w:t>
      </w:r>
      <w:r w:rsidRPr="00D9348B">
        <w:t xml:space="preserve"> sp. [2 varieties]), papaya (</w:t>
      </w:r>
      <w:r w:rsidRPr="00D9348B">
        <w:rPr>
          <w:i/>
        </w:rPr>
        <w:t>Carica papaya</w:t>
      </w:r>
      <w:r w:rsidRPr="00D9348B">
        <w:t>), pumpkin (</w:t>
      </w:r>
      <w:r w:rsidRPr="00D9348B">
        <w:rPr>
          <w:i/>
        </w:rPr>
        <w:t>Cucurbita</w:t>
      </w:r>
      <w:r w:rsidRPr="00D9348B">
        <w:t xml:space="preserve"> sp.) and coconut (</w:t>
      </w:r>
      <w:r w:rsidRPr="00D9348B">
        <w:rPr>
          <w:i/>
        </w:rPr>
        <w:t>Cocos nucifera</w:t>
      </w:r>
      <w:r w:rsidRPr="00D9348B">
        <w:t>).</w:t>
      </w:r>
    </w:p>
    <w:p w14:paraId="7C672EFF" w14:textId="767A295B" w:rsidR="00A71B0D" w:rsidRPr="00D9348B" w:rsidRDefault="00A71B0D" w:rsidP="00A71B0D">
      <w:pPr>
        <w:pStyle w:val="BodyText"/>
      </w:pPr>
      <w:r w:rsidRPr="00D9348B">
        <w:t>There is a small amount of subsistence agriculture in Tokelau. Coconuts are used for human and livestock consumption. Fakaofo grows small amounts of swamp taro. The villages have breadfruit trees and some banana patches; the women’s committees run community gardens and grow pandanus ‘fala’ (</w:t>
      </w:r>
      <w:r w:rsidRPr="00D9348B">
        <w:rPr>
          <w:i/>
        </w:rPr>
        <w:t>Pandanus odoratissimus</w:t>
      </w:r>
      <w:r w:rsidRPr="00D9348B">
        <w:t xml:space="preserve">) for traditional crafts (mats, hats, fans). </w:t>
      </w:r>
      <w:r w:rsidRPr="00D9348B">
        <w:lastRenderedPageBreak/>
        <w:t>A</w:t>
      </w:r>
      <w:r w:rsidR="00E11E79" w:rsidRPr="00D9348B">
        <w:t> </w:t>
      </w:r>
      <w:r w:rsidRPr="00D9348B">
        <w:t>recent United Nations Development Programme-sponsored project for the establishment of keyhole gardens</w:t>
      </w:r>
      <w:r w:rsidRPr="00D9348B">
        <w:rPr>
          <w:vertAlign w:val="superscript"/>
        </w:rPr>
        <w:footnoteReference w:id="71"/>
      </w:r>
      <w:r w:rsidRPr="00D9348B">
        <w:t xml:space="preserve"> by Tokelau youth has been abandoned. </w:t>
      </w:r>
    </w:p>
    <w:p w14:paraId="1D82DFA7" w14:textId="77777777" w:rsidR="00A71B0D" w:rsidRPr="00D9348B" w:rsidRDefault="00A71B0D" w:rsidP="00A71B0D">
      <w:pPr>
        <w:pStyle w:val="BodyText"/>
      </w:pPr>
      <w:r w:rsidRPr="00D9348B">
        <w:t>There is no industrial-scale farming in Tokelau. Tokelau atolls do not have any large agricultural and horticultural development that would fall under New Zealand’s definition of a farm. There are no cows, sheep or deer, with agricultural livestock represented by small numbers of pen-kept pigs and free</w:t>
      </w:r>
      <w:r w:rsidRPr="00D9348B">
        <w:noBreakHyphen/>
        <w:t>range chickens only.</w:t>
      </w:r>
    </w:p>
    <w:p w14:paraId="40CADC9D" w14:textId="77777777" w:rsidR="00A71B0D" w:rsidRPr="00D9348B" w:rsidRDefault="00A71B0D" w:rsidP="00A71B0D">
      <w:pPr>
        <w:pStyle w:val="BodyText"/>
      </w:pPr>
      <w:r w:rsidRPr="00D9348B">
        <w:t xml:space="preserve">There is also no pasture in Tokelau and no managed agricultural soils, therefore emissions from the </w:t>
      </w:r>
      <w:r w:rsidRPr="00D9348B">
        <w:rPr>
          <w:i/>
        </w:rPr>
        <w:t>Direct N</w:t>
      </w:r>
      <w:r w:rsidRPr="00D9348B">
        <w:rPr>
          <w:i/>
          <w:vertAlign w:val="subscript"/>
        </w:rPr>
        <w:t>2</w:t>
      </w:r>
      <w:r w:rsidRPr="00D9348B">
        <w:rPr>
          <w:i/>
        </w:rPr>
        <w:t>O emissions from managed soils</w:t>
      </w:r>
      <w:r w:rsidRPr="00D9348B">
        <w:t xml:space="preserve"> and </w:t>
      </w:r>
      <w:r w:rsidRPr="00D9348B">
        <w:rPr>
          <w:i/>
        </w:rPr>
        <w:t>Indirect N</w:t>
      </w:r>
      <w:r w:rsidRPr="00D9348B">
        <w:rPr>
          <w:i/>
          <w:vertAlign w:val="subscript"/>
        </w:rPr>
        <w:t>2</w:t>
      </w:r>
      <w:r w:rsidRPr="00D9348B">
        <w:rPr>
          <w:i/>
        </w:rPr>
        <w:t>O emissions from managed soils</w:t>
      </w:r>
      <w:r w:rsidRPr="00D9348B">
        <w:t xml:space="preserve"> categories are discounted and reported as NO (not occurring).</w:t>
      </w:r>
    </w:p>
    <w:p w14:paraId="417E4FCC" w14:textId="77777777" w:rsidR="00A71B0D" w:rsidRPr="00D9348B" w:rsidRDefault="00A71B0D" w:rsidP="00A71B0D">
      <w:pPr>
        <w:pStyle w:val="BodyText"/>
      </w:pPr>
      <w:r w:rsidRPr="00D9348B">
        <w:t>This submission includes agricultural emissions from Tokelau associated with enteric fermentation and manure management from swine and poultry.</w:t>
      </w:r>
    </w:p>
    <w:p w14:paraId="25C81A01" w14:textId="77777777" w:rsidR="00A71B0D" w:rsidRPr="00D9348B" w:rsidRDefault="00A71B0D" w:rsidP="00A71B0D">
      <w:pPr>
        <w:pStyle w:val="BodyText"/>
      </w:pPr>
      <w:r w:rsidRPr="00D9348B">
        <w:t>Total emissions from the Agriculture sector in Tokelau amount to 0.82 kt CO</w:t>
      </w:r>
      <w:r w:rsidRPr="00D9348B">
        <w:rPr>
          <w:vertAlign w:val="subscript"/>
        </w:rPr>
        <w:t>2</w:t>
      </w:r>
      <w:r w:rsidRPr="00D9348B">
        <w:t>-e, making this sector the second biggest emitter in Tokelau: 22.8 per cent of the total emissions from Tokelau and 0.001 per cent of New Zealand’s gross emissions. Figure 8.3.1 shows emission trends in the Agriculture sector by category for Tokelau.</w:t>
      </w:r>
    </w:p>
    <w:p w14:paraId="089A6A7D" w14:textId="30D46689" w:rsidR="00A71B0D" w:rsidRPr="00D9348B" w:rsidRDefault="00A71B0D" w:rsidP="00A71B0D">
      <w:pPr>
        <w:pStyle w:val="Figure"/>
        <w:spacing w:after="0"/>
        <w:rPr>
          <w:rFonts w:eastAsia="Calibri"/>
        </w:rPr>
      </w:pPr>
      <w:bookmarkStart w:id="2993" w:name="_Toc36292831"/>
      <w:r w:rsidRPr="00D9348B">
        <w:rPr>
          <w:rFonts w:eastAsia="Calibri"/>
        </w:rPr>
        <w:t>Figure 8.3.</w:t>
      </w:r>
      <w:r w:rsidR="00724803" w:rsidRPr="00D9348B">
        <w:rPr>
          <w:rFonts w:eastAsia="Calibri"/>
        </w:rPr>
        <w:t>2</w:t>
      </w:r>
      <w:r w:rsidRPr="00D9348B">
        <w:rPr>
          <w:rFonts w:eastAsia="Calibri"/>
        </w:rPr>
        <w:t xml:space="preserve"> </w:t>
      </w:r>
      <w:r w:rsidRPr="00D9348B">
        <w:rPr>
          <w:rFonts w:eastAsia="Calibri"/>
        </w:rPr>
        <w:tab/>
        <w:t>Agriculture emissions by category for Tokelau (kt CO</w:t>
      </w:r>
      <w:r w:rsidRPr="00D9348B">
        <w:rPr>
          <w:rFonts w:eastAsia="Calibri"/>
          <w:vertAlign w:val="subscript"/>
        </w:rPr>
        <w:t>2</w:t>
      </w:r>
      <w:r w:rsidRPr="00D9348B">
        <w:rPr>
          <w:rFonts w:eastAsia="Calibri"/>
        </w:rPr>
        <w:t>-e) from 1990 to 2018</w:t>
      </w:r>
      <w:bookmarkEnd w:id="2993"/>
    </w:p>
    <w:p w14:paraId="26F3F3E3" w14:textId="5B1891C0" w:rsidR="00A71B0D" w:rsidRPr="00D9348B" w:rsidRDefault="007165CF" w:rsidP="00A71B0D">
      <w:pPr>
        <w:pStyle w:val="BodyText"/>
        <w:rPr>
          <w:rFonts w:eastAsia="Calibri"/>
        </w:rPr>
      </w:pPr>
      <w:r>
        <w:rPr>
          <w:rFonts w:eastAsia="Calibri"/>
        </w:rPr>
        <w:pict w14:anchorId="75DDDA9C">
          <v:shape id="_x0000_i1164" type="#_x0000_t75" style="width:391.3pt;height:231.05pt;visibility:visible;mso-wrap-style:square">
            <v:imagedata r:id="rId265" o:title="" croptop="1f" cropbottom="1449f"/>
          </v:shape>
        </w:pict>
      </w:r>
    </w:p>
    <w:p w14:paraId="77E000F6" w14:textId="77777777" w:rsidR="00A71B0D" w:rsidRPr="00D9348B" w:rsidRDefault="00A71B0D" w:rsidP="00A71B0D">
      <w:pPr>
        <w:pStyle w:val="Heading3"/>
      </w:pPr>
      <w:r w:rsidRPr="00D9348B">
        <w:t>Source-specific planned improvements</w:t>
      </w:r>
    </w:p>
    <w:p w14:paraId="6791D1BB" w14:textId="77777777" w:rsidR="00A71B0D" w:rsidRPr="00D9348B" w:rsidRDefault="00A71B0D" w:rsidP="00A71B0D">
      <w:pPr>
        <w:pStyle w:val="BodyText"/>
        <w:rPr>
          <w:spacing w:val="-2"/>
        </w:rPr>
      </w:pPr>
      <w:r w:rsidRPr="00D9348B">
        <w:rPr>
          <w:lang w:eastAsia="en-GB"/>
        </w:rPr>
        <w:t xml:space="preserve">There are no planned improvements for agriculture. For future submissions, further analysis of historical activity data, to reflect year-to-year variations, will be considered as far as resources allow. </w:t>
      </w:r>
    </w:p>
    <w:p w14:paraId="6027D038" w14:textId="77777777" w:rsidR="00A71B0D" w:rsidRPr="00D9348B" w:rsidRDefault="00A71B0D" w:rsidP="00A71B0D">
      <w:pPr>
        <w:pStyle w:val="Heading3"/>
        <w:rPr>
          <w:sz w:val="16"/>
        </w:rPr>
      </w:pPr>
      <w:r w:rsidRPr="00D9348B">
        <w:lastRenderedPageBreak/>
        <w:t xml:space="preserve">8.4.1 </w:t>
      </w:r>
      <w:r w:rsidRPr="00D9348B">
        <w:tab/>
        <w:t>Emissions from Enteric fermentation in Tokelau</w:t>
      </w:r>
    </w:p>
    <w:p w14:paraId="726BD3A6" w14:textId="77777777" w:rsidR="00A71B0D" w:rsidRPr="00D9348B" w:rsidRDefault="00A71B0D" w:rsidP="00A71B0D">
      <w:pPr>
        <w:pStyle w:val="BodyText"/>
      </w:pPr>
      <w:r w:rsidRPr="00D9348B">
        <w:t>The only domestic farm animals kept are pigs (in community pens) and chickens (free range) (table 8.4.1). There is the potential of generating energy from the piggery waste and reducing the effluent pollution of the lagoon.</w:t>
      </w:r>
    </w:p>
    <w:p w14:paraId="2DA3894F" w14:textId="77777777" w:rsidR="00A71B0D" w:rsidRPr="00D9348B" w:rsidRDefault="00A71B0D" w:rsidP="00A71B0D">
      <w:pPr>
        <w:pStyle w:val="Table"/>
      </w:pPr>
      <w:bookmarkStart w:id="2994" w:name="_Toc5269601"/>
      <w:bookmarkStart w:id="2995" w:name="_Toc36224682"/>
      <w:r w:rsidRPr="00D9348B">
        <w:t xml:space="preserve">Table 8.4.1 </w:t>
      </w:r>
      <w:r w:rsidRPr="00D9348B">
        <w:tab/>
        <w:t>Number of livestock in Tokelau (2016)</w:t>
      </w:r>
      <w:bookmarkEnd w:id="2994"/>
      <w:bookmarkEnd w:id="2995"/>
      <w:r w:rsidRPr="00D9348B">
        <w:t xml:space="preserve"> </w:t>
      </w:r>
    </w:p>
    <w:tbl>
      <w:tblPr>
        <w:tblW w:w="8505" w:type="dxa"/>
        <w:tblInd w:w="108" w:type="dxa"/>
        <w:tblLayout w:type="fixed"/>
        <w:tblLook w:val="04A0" w:firstRow="1" w:lastRow="0" w:firstColumn="1" w:lastColumn="0" w:noHBand="0" w:noVBand="1"/>
      </w:tblPr>
      <w:tblGrid>
        <w:gridCol w:w="1963"/>
        <w:gridCol w:w="2617"/>
        <w:gridCol w:w="2136"/>
        <w:gridCol w:w="1789"/>
      </w:tblGrid>
      <w:tr w:rsidR="00A71B0D" w:rsidRPr="00D9348B" w14:paraId="7E63D143" w14:textId="77777777" w:rsidTr="00E11E79">
        <w:trPr>
          <w:trHeight w:val="322"/>
        </w:trPr>
        <w:tc>
          <w:tcPr>
            <w:tcW w:w="1963" w:type="dxa"/>
            <w:tcBorders>
              <w:top w:val="single" w:sz="4" w:space="0" w:color="365F91"/>
              <w:left w:val="nil"/>
              <w:bottom w:val="single" w:sz="4" w:space="0" w:color="365F91"/>
              <w:right w:val="nil"/>
            </w:tcBorders>
            <w:shd w:val="clear" w:color="auto" w:fill="365F91"/>
            <w:hideMark/>
          </w:tcPr>
          <w:p w14:paraId="75D754DE" w14:textId="77777777" w:rsidR="00A71B0D" w:rsidRPr="00D9348B" w:rsidRDefault="00A71B0D" w:rsidP="00DB330E">
            <w:pPr>
              <w:pStyle w:val="TableTextBold"/>
              <w:jc w:val="center"/>
              <w:rPr>
                <w:noProof w:val="0"/>
                <w:color w:val="FFFFFF"/>
                <w:szCs w:val="16"/>
              </w:rPr>
            </w:pPr>
            <w:r w:rsidRPr="00D9348B">
              <w:rPr>
                <w:noProof w:val="0"/>
                <w:color w:val="FFFFFF"/>
                <w:szCs w:val="16"/>
              </w:rPr>
              <w:t>Atoll</w:t>
            </w:r>
          </w:p>
        </w:tc>
        <w:tc>
          <w:tcPr>
            <w:tcW w:w="2617" w:type="dxa"/>
            <w:tcBorders>
              <w:top w:val="single" w:sz="4" w:space="0" w:color="365F91"/>
              <w:left w:val="nil"/>
              <w:bottom w:val="single" w:sz="4" w:space="0" w:color="365F91"/>
              <w:right w:val="nil"/>
            </w:tcBorders>
            <w:shd w:val="clear" w:color="auto" w:fill="365F91"/>
            <w:hideMark/>
          </w:tcPr>
          <w:p w14:paraId="60DFB930" w14:textId="77777777" w:rsidR="00A71B0D" w:rsidRPr="00D9348B" w:rsidRDefault="00A71B0D" w:rsidP="00DB330E">
            <w:pPr>
              <w:pStyle w:val="TableTextBold"/>
              <w:jc w:val="center"/>
              <w:rPr>
                <w:noProof w:val="0"/>
                <w:color w:val="FFFFFF"/>
                <w:szCs w:val="16"/>
              </w:rPr>
            </w:pPr>
            <w:r w:rsidRPr="00D9348B">
              <w:rPr>
                <w:noProof w:val="0"/>
                <w:color w:val="FFFFFF"/>
                <w:szCs w:val="16"/>
              </w:rPr>
              <w:t>Households</w:t>
            </w:r>
          </w:p>
        </w:tc>
        <w:tc>
          <w:tcPr>
            <w:tcW w:w="2136" w:type="dxa"/>
            <w:tcBorders>
              <w:top w:val="single" w:sz="4" w:space="0" w:color="365F91"/>
              <w:left w:val="nil"/>
              <w:bottom w:val="single" w:sz="4" w:space="0" w:color="365F91"/>
              <w:right w:val="nil"/>
            </w:tcBorders>
            <w:shd w:val="clear" w:color="auto" w:fill="365F91"/>
            <w:hideMark/>
          </w:tcPr>
          <w:p w14:paraId="01D0600D" w14:textId="77777777" w:rsidR="00A71B0D" w:rsidRPr="00D9348B" w:rsidRDefault="00A71B0D" w:rsidP="00DB330E">
            <w:pPr>
              <w:pStyle w:val="TableTextBold"/>
              <w:jc w:val="center"/>
              <w:rPr>
                <w:noProof w:val="0"/>
                <w:color w:val="FFFFFF"/>
                <w:szCs w:val="16"/>
              </w:rPr>
            </w:pPr>
            <w:r w:rsidRPr="00D9348B">
              <w:rPr>
                <w:noProof w:val="0"/>
                <w:color w:val="FFFFFF"/>
                <w:szCs w:val="16"/>
              </w:rPr>
              <w:t>Pigs</w:t>
            </w:r>
          </w:p>
        </w:tc>
        <w:tc>
          <w:tcPr>
            <w:tcW w:w="1789" w:type="dxa"/>
            <w:tcBorders>
              <w:top w:val="single" w:sz="4" w:space="0" w:color="365F91"/>
              <w:left w:val="nil"/>
              <w:bottom w:val="single" w:sz="4" w:space="0" w:color="365F91"/>
              <w:right w:val="nil"/>
            </w:tcBorders>
            <w:shd w:val="clear" w:color="auto" w:fill="365F91"/>
            <w:hideMark/>
          </w:tcPr>
          <w:p w14:paraId="32017EA2" w14:textId="77777777" w:rsidR="00A71B0D" w:rsidRPr="00D9348B" w:rsidRDefault="00A71B0D" w:rsidP="00DB330E">
            <w:pPr>
              <w:pStyle w:val="TableTextBold"/>
              <w:jc w:val="center"/>
              <w:rPr>
                <w:noProof w:val="0"/>
                <w:color w:val="FFFFFF"/>
                <w:szCs w:val="16"/>
              </w:rPr>
            </w:pPr>
            <w:r w:rsidRPr="00D9348B">
              <w:rPr>
                <w:noProof w:val="0"/>
                <w:color w:val="FFFFFF"/>
                <w:szCs w:val="16"/>
              </w:rPr>
              <w:t>Chickens</w:t>
            </w:r>
          </w:p>
        </w:tc>
      </w:tr>
      <w:tr w:rsidR="00A71B0D" w:rsidRPr="00D9348B" w14:paraId="0E805A1D" w14:textId="77777777" w:rsidTr="00E11E79">
        <w:trPr>
          <w:trHeight w:val="115"/>
        </w:trPr>
        <w:tc>
          <w:tcPr>
            <w:tcW w:w="1963" w:type="dxa"/>
            <w:tcBorders>
              <w:top w:val="single" w:sz="4" w:space="0" w:color="365F91"/>
              <w:left w:val="nil"/>
              <w:bottom w:val="nil"/>
              <w:right w:val="nil"/>
            </w:tcBorders>
            <w:shd w:val="clear" w:color="auto" w:fill="auto"/>
            <w:hideMark/>
          </w:tcPr>
          <w:p w14:paraId="565FE1F6" w14:textId="77777777" w:rsidR="00A71B0D" w:rsidRPr="00D9348B" w:rsidRDefault="00A71B0D" w:rsidP="00DB330E">
            <w:pPr>
              <w:pStyle w:val="TableText"/>
              <w:rPr>
                <w:szCs w:val="16"/>
              </w:rPr>
            </w:pPr>
            <w:r w:rsidRPr="00D9348B">
              <w:rPr>
                <w:szCs w:val="16"/>
              </w:rPr>
              <w:t>Atafu</w:t>
            </w:r>
          </w:p>
        </w:tc>
        <w:tc>
          <w:tcPr>
            <w:tcW w:w="2617" w:type="dxa"/>
            <w:tcBorders>
              <w:top w:val="single" w:sz="4" w:space="0" w:color="365F91"/>
              <w:left w:val="nil"/>
              <w:bottom w:val="nil"/>
              <w:right w:val="nil"/>
            </w:tcBorders>
            <w:shd w:val="clear" w:color="auto" w:fill="auto"/>
            <w:hideMark/>
          </w:tcPr>
          <w:p w14:paraId="376C867D" w14:textId="77777777" w:rsidR="00A71B0D" w:rsidRPr="00D9348B" w:rsidRDefault="00A71B0D" w:rsidP="00DB330E">
            <w:pPr>
              <w:pStyle w:val="TableText"/>
              <w:jc w:val="center"/>
              <w:rPr>
                <w:szCs w:val="16"/>
              </w:rPr>
            </w:pPr>
            <w:r w:rsidRPr="00D9348B">
              <w:rPr>
                <w:szCs w:val="16"/>
              </w:rPr>
              <w:t>88</w:t>
            </w:r>
          </w:p>
        </w:tc>
        <w:tc>
          <w:tcPr>
            <w:tcW w:w="2136" w:type="dxa"/>
            <w:tcBorders>
              <w:top w:val="single" w:sz="4" w:space="0" w:color="365F91"/>
              <w:left w:val="nil"/>
              <w:bottom w:val="nil"/>
              <w:right w:val="nil"/>
            </w:tcBorders>
            <w:shd w:val="clear" w:color="auto" w:fill="auto"/>
            <w:hideMark/>
          </w:tcPr>
          <w:p w14:paraId="5970475E" w14:textId="77777777" w:rsidR="00A71B0D" w:rsidRPr="00D9348B" w:rsidRDefault="00A71B0D" w:rsidP="00DB330E">
            <w:pPr>
              <w:pStyle w:val="TableText"/>
              <w:jc w:val="center"/>
              <w:rPr>
                <w:szCs w:val="16"/>
              </w:rPr>
            </w:pPr>
            <w:r w:rsidRPr="00D9348B">
              <w:rPr>
                <w:szCs w:val="16"/>
              </w:rPr>
              <w:t>742</w:t>
            </w:r>
          </w:p>
        </w:tc>
        <w:tc>
          <w:tcPr>
            <w:tcW w:w="1789" w:type="dxa"/>
            <w:tcBorders>
              <w:top w:val="single" w:sz="4" w:space="0" w:color="365F91"/>
              <w:left w:val="nil"/>
              <w:bottom w:val="nil"/>
              <w:right w:val="nil"/>
            </w:tcBorders>
            <w:shd w:val="clear" w:color="auto" w:fill="auto"/>
            <w:hideMark/>
          </w:tcPr>
          <w:p w14:paraId="436ED8CF" w14:textId="77777777" w:rsidR="00A71B0D" w:rsidRPr="00D9348B" w:rsidRDefault="00A71B0D" w:rsidP="00DB330E">
            <w:pPr>
              <w:pStyle w:val="TableText"/>
              <w:jc w:val="center"/>
              <w:rPr>
                <w:szCs w:val="16"/>
              </w:rPr>
            </w:pPr>
            <w:r w:rsidRPr="00D9348B">
              <w:rPr>
                <w:szCs w:val="16"/>
              </w:rPr>
              <w:t>270</w:t>
            </w:r>
          </w:p>
        </w:tc>
      </w:tr>
      <w:tr w:rsidR="00A71B0D" w:rsidRPr="00D9348B" w14:paraId="31D16C36" w14:textId="77777777" w:rsidTr="00E11E79">
        <w:trPr>
          <w:trHeight w:val="223"/>
        </w:trPr>
        <w:tc>
          <w:tcPr>
            <w:tcW w:w="1963" w:type="dxa"/>
            <w:tcBorders>
              <w:top w:val="nil"/>
              <w:left w:val="nil"/>
              <w:bottom w:val="nil"/>
              <w:right w:val="nil"/>
            </w:tcBorders>
            <w:shd w:val="clear" w:color="auto" w:fill="auto"/>
            <w:hideMark/>
          </w:tcPr>
          <w:p w14:paraId="6D0DC700" w14:textId="77777777" w:rsidR="00A71B0D" w:rsidRPr="00D9348B" w:rsidRDefault="00A71B0D" w:rsidP="00DB330E">
            <w:pPr>
              <w:pStyle w:val="TableText"/>
              <w:rPr>
                <w:szCs w:val="16"/>
              </w:rPr>
            </w:pPr>
            <w:r w:rsidRPr="00D9348B">
              <w:rPr>
                <w:szCs w:val="16"/>
              </w:rPr>
              <w:t>Fakaofo</w:t>
            </w:r>
          </w:p>
        </w:tc>
        <w:tc>
          <w:tcPr>
            <w:tcW w:w="2617" w:type="dxa"/>
            <w:tcBorders>
              <w:top w:val="nil"/>
              <w:left w:val="nil"/>
              <w:bottom w:val="nil"/>
              <w:right w:val="nil"/>
            </w:tcBorders>
            <w:shd w:val="clear" w:color="auto" w:fill="auto"/>
            <w:hideMark/>
          </w:tcPr>
          <w:p w14:paraId="44983B3E" w14:textId="77777777" w:rsidR="00A71B0D" w:rsidRPr="00D9348B" w:rsidRDefault="00A71B0D" w:rsidP="00DB330E">
            <w:pPr>
              <w:pStyle w:val="TableText"/>
              <w:jc w:val="center"/>
              <w:rPr>
                <w:szCs w:val="16"/>
              </w:rPr>
            </w:pPr>
            <w:r w:rsidRPr="00D9348B">
              <w:rPr>
                <w:szCs w:val="16"/>
              </w:rPr>
              <w:t>85</w:t>
            </w:r>
          </w:p>
        </w:tc>
        <w:tc>
          <w:tcPr>
            <w:tcW w:w="2136" w:type="dxa"/>
            <w:tcBorders>
              <w:top w:val="nil"/>
              <w:left w:val="nil"/>
              <w:bottom w:val="nil"/>
              <w:right w:val="nil"/>
            </w:tcBorders>
            <w:shd w:val="clear" w:color="auto" w:fill="auto"/>
            <w:hideMark/>
          </w:tcPr>
          <w:p w14:paraId="1F259743" w14:textId="77777777" w:rsidR="00A71B0D" w:rsidRPr="00D9348B" w:rsidRDefault="00A71B0D" w:rsidP="00DB330E">
            <w:pPr>
              <w:pStyle w:val="TableText"/>
              <w:jc w:val="center"/>
              <w:rPr>
                <w:szCs w:val="16"/>
              </w:rPr>
            </w:pPr>
            <w:r w:rsidRPr="00D9348B">
              <w:rPr>
                <w:szCs w:val="16"/>
              </w:rPr>
              <w:t>419</w:t>
            </w:r>
          </w:p>
        </w:tc>
        <w:tc>
          <w:tcPr>
            <w:tcW w:w="1789" w:type="dxa"/>
            <w:tcBorders>
              <w:top w:val="nil"/>
              <w:left w:val="nil"/>
              <w:bottom w:val="nil"/>
              <w:right w:val="nil"/>
            </w:tcBorders>
            <w:shd w:val="clear" w:color="auto" w:fill="auto"/>
            <w:hideMark/>
          </w:tcPr>
          <w:p w14:paraId="0028A1BC" w14:textId="77777777" w:rsidR="00A71B0D" w:rsidRPr="00D9348B" w:rsidRDefault="00A71B0D" w:rsidP="00DB330E">
            <w:pPr>
              <w:pStyle w:val="TableText"/>
              <w:jc w:val="center"/>
              <w:rPr>
                <w:szCs w:val="16"/>
              </w:rPr>
            </w:pPr>
            <w:r w:rsidRPr="00D9348B">
              <w:rPr>
                <w:szCs w:val="16"/>
              </w:rPr>
              <w:t>50</w:t>
            </w:r>
          </w:p>
        </w:tc>
      </w:tr>
      <w:tr w:rsidR="00A71B0D" w:rsidRPr="00D9348B" w14:paraId="4C6A3DF8" w14:textId="77777777" w:rsidTr="00E11E79">
        <w:trPr>
          <w:trHeight w:val="141"/>
        </w:trPr>
        <w:tc>
          <w:tcPr>
            <w:tcW w:w="1963" w:type="dxa"/>
            <w:tcBorders>
              <w:top w:val="nil"/>
              <w:left w:val="nil"/>
              <w:bottom w:val="single" w:sz="4" w:space="0" w:color="365F91"/>
              <w:right w:val="nil"/>
            </w:tcBorders>
            <w:shd w:val="clear" w:color="auto" w:fill="auto"/>
            <w:hideMark/>
          </w:tcPr>
          <w:p w14:paraId="4A310EF6" w14:textId="77777777" w:rsidR="00A71B0D" w:rsidRPr="00D9348B" w:rsidRDefault="00A71B0D" w:rsidP="00DB330E">
            <w:pPr>
              <w:pStyle w:val="TableText"/>
              <w:rPr>
                <w:szCs w:val="16"/>
              </w:rPr>
            </w:pPr>
            <w:r w:rsidRPr="00D9348B">
              <w:rPr>
                <w:szCs w:val="16"/>
              </w:rPr>
              <w:t>Nukunonu</w:t>
            </w:r>
          </w:p>
        </w:tc>
        <w:tc>
          <w:tcPr>
            <w:tcW w:w="2617" w:type="dxa"/>
            <w:tcBorders>
              <w:top w:val="nil"/>
              <w:left w:val="nil"/>
              <w:bottom w:val="single" w:sz="4" w:space="0" w:color="365F91"/>
              <w:right w:val="nil"/>
            </w:tcBorders>
            <w:shd w:val="clear" w:color="auto" w:fill="auto"/>
            <w:hideMark/>
          </w:tcPr>
          <w:p w14:paraId="5717D632" w14:textId="77777777" w:rsidR="00A71B0D" w:rsidRPr="00D9348B" w:rsidRDefault="00A71B0D" w:rsidP="00DB330E">
            <w:pPr>
              <w:pStyle w:val="TableText"/>
              <w:jc w:val="center"/>
              <w:rPr>
                <w:szCs w:val="16"/>
              </w:rPr>
            </w:pPr>
            <w:r w:rsidRPr="00D9348B">
              <w:rPr>
                <w:szCs w:val="16"/>
              </w:rPr>
              <w:t>83</w:t>
            </w:r>
          </w:p>
        </w:tc>
        <w:tc>
          <w:tcPr>
            <w:tcW w:w="2136" w:type="dxa"/>
            <w:tcBorders>
              <w:top w:val="nil"/>
              <w:left w:val="nil"/>
              <w:bottom w:val="single" w:sz="4" w:space="0" w:color="365F91"/>
              <w:right w:val="nil"/>
            </w:tcBorders>
            <w:shd w:val="clear" w:color="auto" w:fill="auto"/>
            <w:hideMark/>
          </w:tcPr>
          <w:p w14:paraId="48812C68" w14:textId="77777777" w:rsidR="00A71B0D" w:rsidRPr="00D9348B" w:rsidRDefault="00A71B0D" w:rsidP="00DB330E">
            <w:pPr>
              <w:pStyle w:val="TableText"/>
              <w:jc w:val="center"/>
              <w:rPr>
                <w:szCs w:val="16"/>
              </w:rPr>
            </w:pPr>
            <w:r w:rsidRPr="00D9348B">
              <w:rPr>
                <w:szCs w:val="16"/>
              </w:rPr>
              <w:t>536</w:t>
            </w:r>
          </w:p>
        </w:tc>
        <w:tc>
          <w:tcPr>
            <w:tcW w:w="1789" w:type="dxa"/>
            <w:tcBorders>
              <w:top w:val="nil"/>
              <w:left w:val="nil"/>
              <w:bottom w:val="single" w:sz="4" w:space="0" w:color="365F91"/>
              <w:right w:val="nil"/>
            </w:tcBorders>
            <w:shd w:val="clear" w:color="auto" w:fill="auto"/>
            <w:hideMark/>
          </w:tcPr>
          <w:p w14:paraId="1E916F5E" w14:textId="77777777" w:rsidR="00A71B0D" w:rsidRPr="00D9348B" w:rsidRDefault="00A71B0D" w:rsidP="00DB330E">
            <w:pPr>
              <w:pStyle w:val="TableText"/>
              <w:jc w:val="center"/>
              <w:rPr>
                <w:szCs w:val="16"/>
              </w:rPr>
            </w:pPr>
            <w:r w:rsidRPr="00D9348B">
              <w:rPr>
                <w:szCs w:val="16"/>
              </w:rPr>
              <w:t>305</w:t>
            </w:r>
          </w:p>
        </w:tc>
      </w:tr>
      <w:tr w:rsidR="00A71B0D" w:rsidRPr="00D9348B" w14:paraId="7720427E" w14:textId="77777777" w:rsidTr="00E11E79">
        <w:trPr>
          <w:trHeight w:val="315"/>
        </w:trPr>
        <w:tc>
          <w:tcPr>
            <w:tcW w:w="1963" w:type="dxa"/>
            <w:tcBorders>
              <w:top w:val="single" w:sz="4" w:space="0" w:color="365F91"/>
              <w:left w:val="nil"/>
              <w:bottom w:val="single" w:sz="4" w:space="0" w:color="365F91"/>
              <w:right w:val="nil"/>
            </w:tcBorders>
            <w:shd w:val="clear" w:color="auto" w:fill="auto"/>
            <w:hideMark/>
          </w:tcPr>
          <w:p w14:paraId="22D81E40" w14:textId="77777777" w:rsidR="00A71B0D" w:rsidRPr="00D9348B" w:rsidRDefault="00A71B0D" w:rsidP="00DB330E">
            <w:pPr>
              <w:pStyle w:val="TableText"/>
              <w:rPr>
                <w:szCs w:val="16"/>
              </w:rPr>
            </w:pPr>
            <w:r w:rsidRPr="00D9348B">
              <w:rPr>
                <w:szCs w:val="16"/>
              </w:rPr>
              <w:t>Tokelau</w:t>
            </w:r>
          </w:p>
        </w:tc>
        <w:tc>
          <w:tcPr>
            <w:tcW w:w="2617" w:type="dxa"/>
            <w:tcBorders>
              <w:top w:val="single" w:sz="4" w:space="0" w:color="365F91"/>
              <w:left w:val="nil"/>
              <w:bottom w:val="single" w:sz="4" w:space="0" w:color="365F91"/>
              <w:right w:val="nil"/>
            </w:tcBorders>
            <w:shd w:val="clear" w:color="auto" w:fill="auto"/>
            <w:hideMark/>
          </w:tcPr>
          <w:p w14:paraId="580D37D8" w14:textId="77777777" w:rsidR="00A71B0D" w:rsidRPr="00D9348B" w:rsidRDefault="00A71B0D" w:rsidP="00DB330E">
            <w:pPr>
              <w:pStyle w:val="TableText"/>
              <w:jc w:val="center"/>
              <w:rPr>
                <w:szCs w:val="16"/>
              </w:rPr>
            </w:pPr>
            <w:r w:rsidRPr="00D9348B">
              <w:rPr>
                <w:szCs w:val="16"/>
              </w:rPr>
              <w:t>256</w:t>
            </w:r>
          </w:p>
        </w:tc>
        <w:tc>
          <w:tcPr>
            <w:tcW w:w="2136" w:type="dxa"/>
            <w:tcBorders>
              <w:top w:val="single" w:sz="4" w:space="0" w:color="365F91"/>
              <w:left w:val="nil"/>
              <w:bottom w:val="single" w:sz="4" w:space="0" w:color="365F91"/>
              <w:right w:val="nil"/>
            </w:tcBorders>
            <w:shd w:val="clear" w:color="auto" w:fill="auto"/>
            <w:hideMark/>
          </w:tcPr>
          <w:p w14:paraId="0E2434F6" w14:textId="77777777" w:rsidR="00A71B0D" w:rsidRPr="00D9348B" w:rsidRDefault="00A71B0D" w:rsidP="00DB330E">
            <w:pPr>
              <w:pStyle w:val="TableText"/>
              <w:jc w:val="center"/>
              <w:rPr>
                <w:szCs w:val="16"/>
              </w:rPr>
            </w:pPr>
            <w:r w:rsidRPr="00D9348B">
              <w:rPr>
                <w:szCs w:val="16"/>
              </w:rPr>
              <w:t>1,697</w:t>
            </w:r>
          </w:p>
        </w:tc>
        <w:tc>
          <w:tcPr>
            <w:tcW w:w="1789" w:type="dxa"/>
            <w:tcBorders>
              <w:top w:val="single" w:sz="4" w:space="0" w:color="365F91"/>
              <w:left w:val="nil"/>
              <w:bottom w:val="single" w:sz="4" w:space="0" w:color="365F91"/>
              <w:right w:val="nil"/>
            </w:tcBorders>
            <w:shd w:val="clear" w:color="auto" w:fill="auto"/>
            <w:hideMark/>
          </w:tcPr>
          <w:p w14:paraId="1E106C87" w14:textId="77777777" w:rsidR="00A71B0D" w:rsidRPr="00D9348B" w:rsidRDefault="00A71B0D" w:rsidP="00DB330E">
            <w:pPr>
              <w:pStyle w:val="TableText"/>
              <w:jc w:val="center"/>
              <w:rPr>
                <w:szCs w:val="16"/>
              </w:rPr>
            </w:pPr>
            <w:r w:rsidRPr="00D9348B">
              <w:rPr>
                <w:szCs w:val="16"/>
              </w:rPr>
              <w:t>625</w:t>
            </w:r>
          </w:p>
        </w:tc>
      </w:tr>
    </w:tbl>
    <w:p w14:paraId="2BA3D89B" w14:textId="77777777" w:rsidR="00A71B0D" w:rsidRPr="00D9348B" w:rsidRDefault="00A71B0D" w:rsidP="00A71B0D">
      <w:pPr>
        <w:pStyle w:val="BodyText"/>
        <w:spacing w:before="240"/>
        <w:rPr>
          <w:rFonts w:eastAsia="Calibri"/>
        </w:rPr>
      </w:pPr>
      <w:r w:rsidRPr="00D9348B">
        <w:rPr>
          <w:rFonts w:eastAsia="Calibri"/>
        </w:rPr>
        <w:t xml:space="preserve">Because the 2006 IPCC Guidelines do not provide a default emission factor for enteric fermentation for poultry, this category is reported as NE (not estimated) (paragraph 37(b), footnote 6 of the UNFCCC reporting guidelines) (UNFCCC, 2014). Therefore, only swine (pigs) are included under the </w:t>
      </w:r>
      <w:proofErr w:type="gramStart"/>
      <w:r w:rsidRPr="00D9348B">
        <w:rPr>
          <w:rFonts w:eastAsia="Calibri"/>
          <w:i/>
        </w:rPr>
        <w:t>Enteric</w:t>
      </w:r>
      <w:proofErr w:type="gramEnd"/>
      <w:r w:rsidRPr="00D9348B">
        <w:rPr>
          <w:rFonts w:eastAsia="Calibri"/>
          <w:i/>
        </w:rPr>
        <w:t xml:space="preserve"> fermentation</w:t>
      </w:r>
      <w:r w:rsidRPr="00D9348B">
        <w:rPr>
          <w:rFonts w:eastAsia="Calibri"/>
        </w:rPr>
        <w:t xml:space="preserve"> (3.A.3) category.</w:t>
      </w:r>
    </w:p>
    <w:p w14:paraId="47B97D76" w14:textId="77777777" w:rsidR="00A71B0D" w:rsidRPr="00D9348B" w:rsidRDefault="00A71B0D" w:rsidP="00A71B0D">
      <w:pPr>
        <w:pStyle w:val="BodyText"/>
      </w:pPr>
      <w:r w:rsidRPr="00D9348B">
        <w:t xml:space="preserve">The </w:t>
      </w:r>
      <w:r w:rsidRPr="00D9348B">
        <w:rPr>
          <w:i/>
        </w:rPr>
        <w:t xml:space="preserve">Enteric fermentation – Swine </w:t>
      </w:r>
      <w:r w:rsidRPr="00D9348B">
        <w:t>category contributes 7.5 per cent to the total Agriculture emissions in Tokelau, and amounts to 0.06 kt CO</w:t>
      </w:r>
      <w:r w:rsidRPr="00D9348B">
        <w:rPr>
          <w:vertAlign w:val="subscript"/>
        </w:rPr>
        <w:t>2</w:t>
      </w:r>
      <w:r w:rsidRPr="00D9348B">
        <w:t>-e.</w:t>
      </w:r>
    </w:p>
    <w:p w14:paraId="320EF8D3" w14:textId="77777777" w:rsidR="00A71B0D" w:rsidRPr="00D9348B" w:rsidRDefault="00A71B0D" w:rsidP="00865BDB">
      <w:pPr>
        <w:pStyle w:val="Heading4"/>
      </w:pPr>
      <w:r w:rsidRPr="00D9348B">
        <w:t>Methodological issues</w:t>
      </w:r>
    </w:p>
    <w:p w14:paraId="036C9225" w14:textId="77777777" w:rsidR="00A71B0D" w:rsidRPr="00D9348B" w:rsidRDefault="00A71B0D" w:rsidP="00A71B0D">
      <w:pPr>
        <w:pStyle w:val="Heading5"/>
        <w:spacing w:before="120"/>
      </w:pPr>
      <w:r w:rsidRPr="00D9348B">
        <w:t>Activity data</w:t>
      </w:r>
    </w:p>
    <w:p w14:paraId="772F4099" w14:textId="77777777" w:rsidR="00A71B0D" w:rsidRPr="00D9348B" w:rsidRDefault="00A71B0D" w:rsidP="00A71B0D">
      <w:pPr>
        <w:pStyle w:val="BodyText"/>
      </w:pPr>
      <w:r w:rsidRPr="00D9348B">
        <w:t>Animal population figures were obtained from the Tokelau Census data (see table 8.1.2). The animal population between the census years is calculated by equal increments between the data collection points, to obtain the average animal population (AAP) per year.</w:t>
      </w:r>
    </w:p>
    <w:p w14:paraId="6ACE1F65" w14:textId="77777777" w:rsidR="00A71B0D" w:rsidRPr="00D9348B" w:rsidRDefault="00A71B0D" w:rsidP="00A71B0D">
      <w:pPr>
        <w:pStyle w:val="BodyText"/>
      </w:pPr>
      <w:r w:rsidRPr="00D9348B">
        <w:t>An average pig weight of 80 kilograms is used.</w:t>
      </w:r>
    </w:p>
    <w:p w14:paraId="0097629A" w14:textId="77777777" w:rsidR="00A71B0D" w:rsidRPr="00D9348B" w:rsidRDefault="00A71B0D" w:rsidP="00A71B0D">
      <w:pPr>
        <w:pStyle w:val="Heading5"/>
      </w:pPr>
      <w:r w:rsidRPr="00D9348B">
        <w:t>Methods and emission factors</w:t>
      </w:r>
    </w:p>
    <w:p w14:paraId="4AAE59A1" w14:textId="77777777" w:rsidR="00A71B0D" w:rsidRPr="00D9348B" w:rsidRDefault="00A71B0D" w:rsidP="00A71B0D">
      <w:pPr>
        <w:pStyle w:val="BodyText"/>
      </w:pPr>
      <w:r w:rsidRPr="00D9348B">
        <w:t>Tier 1 methodology with a default emission factor of 1.5 kg CH</w:t>
      </w:r>
      <w:r w:rsidRPr="00D9348B">
        <w:rPr>
          <w:vertAlign w:val="subscript"/>
        </w:rPr>
        <w:t>4</w:t>
      </w:r>
      <w:r w:rsidRPr="00D9348B">
        <w:t>/head/year from table 10.10, volume 4 of the 2006 IPCC Guidelines was used for calculating emissions from this category (IPCC, 2006c). Tokelau’s allocation by climate zone is 100 per cent to a warm climate.</w:t>
      </w:r>
    </w:p>
    <w:p w14:paraId="1DB14B5C" w14:textId="77777777" w:rsidR="00A71B0D" w:rsidRPr="00D9348B" w:rsidRDefault="00A71B0D" w:rsidP="00A71B0D">
      <w:pPr>
        <w:pStyle w:val="BodyText"/>
      </w:pPr>
      <w:r w:rsidRPr="00D9348B">
        <w:t>The following equation was used for calculating emissions from swine (pigs).</w:t>
      </w:r>
    </w:p>
    <w:p w14:paraId="35A4CD82" w14:textId="77777777" w:rsidR="00A71B0D" w:rsidRPr="00D9348B" w:rsidRDefault="00A71B0D" w:rsidP="00A71B0D">
      <w:pPr>
        <w:pStyle w:val="BodyText"/>
        <w:jc w:val="center"/>
        <w:rPr>
          <w:sz w:val="20"/>
        </w:rPr>
      </w:pPr>
      <w:r w:rsidRPr="00D9348B">
        <w:rPr>
          <w:sz w:val="20"/>
        </w:rPr>
        <w:t>Emissions (kt CH</w:t>
      </w:r>
      <w:r w:rsidRPr="00D9348B">
        <w:rPr>
          <w:sz w:val="20"/>
          <w:vertAlign w:val="subscript"/>
        </w:rPr>
        <w:t>4</w:t>
      </w:r>
      <w:r w:rsidRPr="00D9348B">
        <w:rPr>
          <w:sz w:val="20"/>
        </w:rPr>
        <w:t>) = AAP (Swine)*1.5 [kg CH</w:t>
      </w:r>
      <w:r w:rsidRPr="00D9348B">
        <w:rPr>
          <w:sz w:val="20"/>
          <w:vertAlign w:val="subscript"/>
        </w:rPr>
        <w:t>4</w:t>
      </w:r>
      <w:r w:rsidRPr="00D9348B">
        <w:rPr>
          <w:sz w:val="20"/>
        </w:rPr>
        <w:t xml:space="preserve"> head</w:t>
      </w:r>
      <w:r w:rsidRPr="00D9348B">
        <w:rPr>
          <w:sz w:val="20"/>
          <w:vertAlign w:val="superscript"/>
        </w:rPr>
        <w:t>–1</w:t>
      </w:r>
      <w:r w:rsidRPr="00D9348B">
        <w:rPr>
          <w:sz w:val="20"/>
        </w:rPr>
        <w:t>year</w:t>
      </w:r>
      <w:r w:rsidRPr="00D9348B">
        <w:rPr>
          <w:sz w:val="20"/>
          <w:vertAlign w:val="superscript"/>
        </w:rPr>
        <w:t>–1</w:t>
      </w:r>
      <w:r w:rsidRPr="00D9348B">
        <w:rPr>
          <w:sz w:val="20"/>
        </w:rPr>
        <w:t>]/10</w:t>
      </w:r>
      <w:r w:rsidRPr="00D9348B">
        <w:rPr>
          <w:sz w:val="20"/>
          <w:vertAlign w:val="superscript"/>
        </w:rPr>
        <w:t>6</w:t>
      </w:r>
      <w:r w:rsidRPr="00D9348B">
        <w:rPr>
          <w:sz w:val="20"/>
        </w:rPr>
        <w:t>[kg/kt]</w:t>
      </w:r>
    </w:p>
    <w:p w14:paraId="0E6CB9D7" w14:textId="77777777" w:rsidR="00A71B0D" w:rsidRPr="00D9348B" w:rsidRDefault="00A71B0D" w:rsidP="00865BDB">
      <w:pPr>
        <w:pStyle w:val="Heading4"/>
      </w:pPr>
      <w:r w:rsidRPr="00D9348B">
        <w:t>Uncertainty</w:t>
      </w:r>
    </w:p>
    <w:p w14:paraId="7C2216C3" w14:textId="77777777" w:rsidR="00A71B0D" w:rsidRPr="00D9348B" w:rsidRDefault="00A71B0D" w:rsidP="00A71B0D">
      <w:pPr>
        <w:pStyle w:val="BodyText"/>
      </w:pPr>
      <w:r w:rsidRPr="00D9348B">
        <w:t>Section 10.2.3 (volume 4) of the 2006 IPCC Guidelines states that the uncertainty associated with animal populations will vary widely depending on the source, but should be known within </w:t>
      </w:r>
      <w:r w:rsidRPr="00D9348B">
        <w:rPr>
          <w:u w:val="single"/>
        </w:rPr>
        <w:t>+</w:t>
      </w:r>
      <w:r w:rsidRPr="00D9348B">
        <w:t xml:space="preserve">20 per cent (IPCC, 2006c). The default emission factor uncertainty is </w:t>
      </w:r>
      <w:r w:rsidRPr="00D9348B">
        <w:rPr>
          <w:u w:val="single"/>
        </w:rPr>
        <w:t>+</w:t>
      </w:r>
      <w:r w:rsidRPr="00D9348B">
        <w:t xml:space="preserve">30 per cent to 50 per cent (default mid-range is </w:t>
      </w:r>
      <w:r w:rsidRPr="00D9348B">
        <w:rPr>
          <w:u w:val="single"/>
        </w:rPr>
        <w:t>+</w:t>
      </w:r>
      <w:r w:rsidRPr="00D9348B">
        <w:t>40 per cent).</w:t>
      </w:r>
    </w:p>
    <w:p w14:paraId="42D036BE" w14:textId="77777777" w:rsidR="00A71B0D" w:rsidRPr="00D9348B" w:rsidRDefault="00A71B0D" w:rsidP="00A71B0D">
      <w:pPr>
        <w:pStyle w:val="BodyText"/>
      </w:pPr>
      <w:r w:rsidRPr="00D9348B">
        <w:t xml:space="preserve">For this category, the default uncertainty value of </w:t>
      </w:r>
      <w:r w:rsidRPr="00D9348B">
        <w:rPr>
          <w:u w:val="single"/>
        </w:rPr>
        <w:t>+</w:t>
      </w:r>
      <w:r w:rsidRPr="00D9348B">
        <w:t xml:space="preserve">20 per cent for activity data and an upper range default emission factor uncertainty of </w:t>
      </w:r>
      <w:r w:rsidRPr="00D9348B">
        <w:rPr>
          <w:u w:val="single"/>
        </w:rPr>
        <w:t>+</w:t>
      </w:r>
      <w:r w:rsidRPr="00D9348B">
        <w:t>50 per cent were used.</w:t>
      </w:r>
    </w:p>
    <w:p w14:paraId="48D0F343" w14:textId="77777777" w:rsidR="00A71B0D" w:rsidRPr="00D9348B" w:rsidRDefault="00A71B0D" w:rsidP="00A71B0D">
      <w:pPr>
        <w:pStyle w:val="Heading3"/>
      </w:pPr>
      <w:r w:rsidRPr="00D9348B">
        <w:lastRenderedPageBreak/>
        <w:t xml:space="preserve">8.4.2 </w:t>
      </w:r>
      <w:r w:rsidRPr="00D9348B">
        <w:tab/>
        <w:t>Emissions from Manure management in Tokelau</w:t>
      </w:r>
    </w:p>
    <w:p w14:paraId="13111BD2" w14:textId="77777777" w:rsidR="00A71B0D" w:rsidRPr="00D9348B" w:rsidRDefault="00A71B0D" w:rsidP="00A71B0D">
      <w:pPr>
        <w:pStyle w:val="BodyText"/>
      </w:pPr>
      <w:r w:rsidRPr="00D9348B">
        <w:t xml:space="preserve">The 2006 IPCC Guidelines provide default emission factors for </w:t>
      </w:r>
      <w:r w:rsidRPr="00D9348B">
        <w:rPr>
          <w:i/>
        </w:rPr>
        <w:t>Manure management</w:t>
      </w:r>
      <w:r w:rsidRPr="00D9348B">
        <w:t xml:space="preserve"> (3.B.1) for both swine and poultry, therefore, both animal types are included in reporting from this category (IPCC, 2006c).</w:t>
      </w:r>
    </w:p>
    <w:p w14:paraId="12650FE6" w14:textId="77777777" w:rsidR="00A71B0D" w:rsidRPr="00D9348B" w:rsidRDefault="00A71B0D" w:rsidP="00A71B0D">
      <w:pPr>
        <w:pStyle w:val="BodyText"/>
      </w:pPr>
      <w:r w:rsidRPr="00D9348B">
        <w:rPr>
          <w:i/>
        </w:rPr>
        <w:t>Manure management – Swine</w:t>
      </w:r>
      <w:r w:rsidRPr="00D9348B">
        <w:t xml:space="preserve"> contributes 92.4 per cent to the total agriculture emissions in Tokelau, and amounts to 0.76 kt CO</w:t>
      </w:r>
      <w:r w:rsidRPr="00D9348B">
        <w:rPr>
          <w:vertAlign w:val="subscript"/>
        </w:rPr>
        <w:t>2</w:t>
      </w:r>
      <w:r w:rsidRPr="00D9348B">
        <w:t xml:space="preserve">-e. </w:t>
      </w:r>
      <w:r w:rsidRPr="00D9348B">
        <w:rPr>
          <w:i/>
        </w:rPr>
        <w:t>Manure management</w:t>
      </w:r>
      <w:r w:rsidRPr="00D9348B">
        <w:t xml:space="preserve"> – </w:t>
      </w:r>
      <w:r w:rsidRPr="00D9348B">
        <w:rPr>
          <w:i/>
        </w:rPr>
        <w:t>poultry</w:t>
      </w:r>
      <w:r w:rsidRPr="00D9348B">
        <w:t xml:space="preserve"> is negligible (0.0005 kt CO</w:t>
      </w:r>
      <w:r w:rsidRPr="00D9348B">
        <w:rPr>
          <w:vertAlign w:val="subscript"/>
        </w:rPr>
        <w:t>2</w:t>
      </w:r>
      <w:r w:rsidRPr="00D9348B">
        <w:t>-e).</w:t>
      </w:r>
    </w:p>
    <w:p w14:paraId="4A1F9E68" w14:textId="77777777" w:rsidR="00A71B0D" w:rsidRPr="00D9348B" w:rsidRDefault="00A71B0D" w:rsidP="00865BDB">
      <w:pPr>
        <w:pStyle w:val="Heading4"/>
      </w:pPr>
      <w:r w:rsidRPr="00D9348B">
        <w:t>Methodological issues</w:t>
      </w:r>
    </w:p>
    <w:p w14:paraId="3A0CC9EF" w14:textId="77777777" w:rsidR="00A71B0D" w:rsidRPr="00D9348B" w:rsidRDefault="00A71B0D" w:rsidP="00A71B0D">
      <w:pPr>
        <w:pStyle w:val="Heading5"/>
        <w:spacing w:before="160"/>
      </w:pPr>
      <w:r w:rsidRPr="00D9348B">
        <w:t>Activity data</w:t>
      </w:r>
    </w:p>
    <w:p w14:paraId="17AB9A9C" w14:textId="77777777" w:rsidR="00A71B0D" w:rsidRPr="00D9348B" w:rsidRDefault="00A71B0D" w:rsidP="00A71B0D">
      <w:pPr>
        <w:pStyle w:val="BodyText"/>
      </w:pPr>
      <w:r w:rsidRPr="00D9348B">
        <w:t xml:space="preserve">The activity data entries for </w:t>
      </w:r>
      <w:r w:rsidRPr="00D9348B">
        <w:rPr>
          <w:i/>
        </w:rPr>
        <w:t>Manure management</w:t>
      </w:r>
      <w:r w:rsidRPr="00D9348B">
        <w:t xml:space="preserve"> are exactly the same as for </w:t>
      </w:r>
      <w:proofErr w:type="gramStart"/>
      <w:r w:rsidRPr="00D9348B">
        <w:rPr>
          <w:i/>
        </w:rPr>
        <w:t>Enteric</w:t>
      </w:r>
      <w:proofErr w:type="gramEnd"/>
      <w:r w:rsidRPr="00D9348B">
        <w:rPr>
          <w:i/>
        </w:rPr>
        <w:t xml:space="preserve"> fermentation</w:t>
      </w:r>
      <w:r w:rsidRPr="00D9348B">
        <w:t xml:space="preserve"> (see section 8.4.1).</w:t>
      </w:r>
    </w:p>
    <w:p w14:paraId="2D5722C6" w14:textId="77777777" w:rsidR="00A71B0D" w:rsidRPr="00D9348B" w:rsidRDefault="00A71B0D" w:rsidP="00A71B0D">
      <w:pPr>
        <w:pStyle w:val="BodyText"/>
      </w:pPr>
      <w:r w:rsidRPr="00D9348B">
        <w:t>The assumption is that all poultry are dry layers.</w:t>
      </w:r>
    </w:p>
    <w:p w14:paraId="02DDC014" w14:textId="77777777" w:rsidR="00A71B0D" w:rsidRPr="00D9348B" w:rsidRDefault="00A71B0D" w:rsidP="00E11E79">
      <w:pPr>
        <w:pStyle w:val="Heading5"/>
        <w:spacing w:before="160"/>
      </w:pPr>
      <w:r w:rsidRPr="00D9348B">
        <w:t>Methods and emission factors</w:t>
      </w:r>
    </w:p>
    <w:p w14:paraId="101E70F2" w14:textId="77777777" w:rsidR="00A71B0D" w:rsidRPr="00D9348B" w:rsidRDefault="00A71B0D" w:rsidP="00A71B0D">
      <w:pPr>
        <w:pStyle w:val="BodyText"/>
      </w:pPr>
      <w:r w:rsidRPr="00D9348B">
        <w:t xml:space="preserve">A Tier 1 methodology with default emission factors provided in table 10.15, volume 4 of the 2006 IPCC Guidelines were used for estimating emissions from the </w:t>
      </w:r>
      <w:r w:rsidRPr="00D9348B">
        <w:rPr>
          <w:i/>
        </w:rPr>
        <w:t>Manure management</w:t>
      </w:r>
      <w:r w:rsidRPr="00D9348B">
        <w:t xml:space="preserve"> category. The Tier 1 method is based on animal population data and does not require distinguishing between different manure management systems. Equation 10.22 from volume 4 of the 2006 IPCC Guidelines was applied in conjunction with the default emission factors from table 10.14, volume 4 of 2006 IPCC Guidelines for Oceania/warm climate. These are 18.5 kg CH</w:t>
      </w:r>
      <w:r w:rsidRPr="00D9348B">
        <w:rPr>
          <w:vertAlign w:val="subscript"/>
        </w:rPr>
        <w:t>4</w:t>
      </w:r>
      <w:r w:rsidRPr="00D9348B">
        <w:t>/head/year for swine and 0.03 kg CH</w:t>
      </w:r>
      <w:r w:rsidRPr="00D9348B">
        <w:rPr>
          <w:vertAlign w:val="subscript"/>
        </w:rPr>
        <w:t>4</w:t>
      </w:r>
      <w:r w:rsidRPr="00D9348B">
        <w:t>/head/year for poultry (IPCC, 2006c).</w:t>
      </w:r>
    </w:p>
    <w:p w14:paraId="7ADFB7CC" w14:textId="77777777" w:rsidR="00A71B0D" w:rsidRPr="00D9348B" w:rsidRDefault="00A71B0D" w:rsidP="00865BDB">
      <w:pPr>
        <w:pStyle w:val="Heading4"/>
      </w:pPr>
      <w:r w:rsidRPr="00D9348B">
        <w:t>Uncertainty</w:t>
      </w:r>
    </w:p>
    <w:p w14:paraId="739B13AE" w14:textId="77777777" w:rsidR="00A71B0D" w:rsidRPr="00D9348B" w:rsidRDefault="00A71B0D" w:rsidP="00A71B0D">
      <w:pPr>
        <w:pStyle w:val="BodyText"/>
      </w:pPr>
      <w:r w:rsidRPr="00D9348B">
        <w:t xml:space="preserve">Default uncertainty values for activity data and emission factors were used for this category. Section 10.2.3 in volume 4 of the 2006 IPCC Guidelines states that the uncertainty associated with populations will vary widely depending on the source, but should be known within </w:t>
      </w:r>
      <w:r w:rsidRPr="00D9348B">
        <w:rPr>
          <w:u w:val="single"/>
        </w:rPr>
        <w:t>+</w:t>
      </w:r>
      <w:r w:rsidRPr="00D9348B">
        <w:t xml:space="preserve">20 per cent (IPCC, 2006c). The default emissions factor uncertainty for </w:t>
      </w:r>
      <w:r w:rsidRPr="00D9348B">
        <w:rPr>
          <w:i/>
        </w:rPr>
        <w:t>Manure management</w:t>
      </w:r>
      <w:r w:rsidRPr="00D9348B">
        <w:t xml:space="preserve"> is </w:t>
      </w:r>
      <w:r w:rsidRPr="00D9348B">
        <w:rPr>
          <w:u w:val="single"/>
        </w:rPr>
        <w:t>+</w:t>
      </w:r>
      <w:r w:rsidRPr="00D9348B">
        <w:t>30 per cent.</w:t>
      </w:r>
    </w:p>
    <w:p w14:paraId="1F4EDCBE" w14:textId="77777777" w:rsidR="00A71B0D" w:rsidRPr="00D9348B" w:rsidRDefault="00A71B0D" w:rsidP="00A71B0D">
      <w:pPr>
        <w:pStyle w:val="Heading2"/>
      </w:pPr>
      <w:bookmarkStart w:id="2996" w:name="_Toc5269397"/>
      <w:bookmarkStart w:id="2997" w:name="_Toc36224437"/>
      <w:r w:rsidRPr="00D9348B">
        <w:t xml:space="preserve">8.5 </w:t>
      </w:r>
      <w:r w:rsidRPr="00D9348B">
        <w:tab/>
        <w:t xml:space="preserve">Emissions from the Waste sector in </w:t>
      </w:r>
      <w:proofErr w:type="gramStart"/>
      <w:r w:rsidRPr="00D9348B">
        <w:t>Tokelau</w:t>
      </w:r>
      <w:proofErr w:type="gramEnd"/>
      <w:r w:rsidRPr="00D9348B">
        <w:br/>
        <w:t>(CRF 6 Tokelau_5)</w:t>
      </w:r>
      <w:bookmarkEnd w:id="2996"/>
      <w:bookmarkEnd w:id="2997"/>
    </w:p>
    <w:p w14:paraId="2F773978" w14:textId="77777777" w:rsidR="00A71B0D" w:rsidRPr="00D9348B" w:rsidRDefault="00A71B0D" w:rsidP="00A71B0D">
      <w:pPr>
        <w:pStyle w:val="BodyText"/>
      </w:pPr>
      <w:r w:rsidRPr="00D9348B">
        <w:t>The total amount of all Waste sector emissions in Tokelau in 2018 was 0.69 kt CO</w:t>
      </w:r>
      <w:r w:rsidRPr="00D9348B">
        <w:rPr>
          <w:vertAlign w:val="subscript"/>
        </w:rPr>
        <w:t>2</w:t>
      </w:r>
      <w:r w:rsidRPr="00D9348B">
        <w:t xml:space="preserve">-e, making the Waste sector the third-biggest emitter in Tokelau. The Waste sector contributed 19.1 per cent to the total emissions from Tokelau and 0.0009 per cent to New Zealand’s gross emissions including Tokelau. The sources of emissions in the Waste sector in Tokelau are the </w:t>
      </w:r>
      <w:r w:rsidRPr="00D9348B">
        <w:rPr>
          <w:i/>
        </w:rPr>
        <w:t>Solid waste disposal</w:t>
      </w:r>
      <w:r w:rsidRPr="00D9348B">
        <w:t xml:space="preserve">, </w:t>
      </w:r>
      <w:r w:rsidRPr="00D9348B">
        <w:rPr>
          <w:i/>
        </w:rPr>
        <w:t>Wastewater treatment and discharge</w:t>
      </w:r>
      <w:r w:rsidRPr="00D9348B">
        <w:rPr>
          <w:iCs/>
        </w:rPr>
        <w:t>,</w:t>
      </w:r>
      <w:r w:rsidRPr="00D9348B">
        <w:rPr>
          <w:i/>
        </w:rPr>
        <w:t xml:space="preserve"> </w:t>
      </w:r>
      <w:r w:rsidRPr="00D9348B">
        <w:rPr>
          <w:iCs/>
        </w:rPr>
        <w:t xml:space="preserve">and </w:t>
      </w:r>
      <w:r w:rsidRPr="00D9348B">
        <w:rPr>
          <w:i/>
        </w:rPr>
        <w:t>Incineration and open burning of waste</w:t>
      </w:r>
      <w:r w:rsidRPr="00D9348B">
        <w:t xml:space="preserve"> contributing 44.2 per cent, 38.2 per cent and 17.6 per cent, respectively, to the total emissions from the Waste sector in Tokelau.</w:t>
      </w:r>
    </w:p>
    <w:p w14:paraId="0BE47F46" w14:textId="77777777" w:rsidR="00A71B0D" w:rsidRPr="00D9348B" w:rsidRDefault="00A71B0D" w:rsidP="00A71B0D">
      <w:pPr>
        <w:pStyle w:val="BodyText"/>
      </w:pPr>
      <w:r w:rsidRPr="00D9348B">
        <w:t>The raw data related to the Waste sector were obtained from multiple sources (see items 1 to 5, 11 and 13 to 16 in table 8.1.2). The data were compiled, analysed and processed by the Tokelau National Statistics Office to produce activity data. The human population data are used as a driver for estimates in all of the Waste categories.</w:t>
      </w:r>
    </w:p>
    <w:p w14:paraId="57F34944" w14:textId="77777777" w:rsidR="00A71B0D" w:rsidRPr="00D9348B" w:rsidRDefault="00A71B0D" w:rsidP="00A71B0D">
      <w:pPr>
        <w:pStyle w:val="BodyText"/>
      </w:pPr>
      <w:r w:rsidRPr="00D9348B">
        <w:lastRenderedPageBreak/>
        <w:t xml:space="preserve">Emissions from all categories reported in the Waste sector for Tokelau were estimated using a Tier 1 methodological approach (IPCC, 2006d). </w:t>
      </w:r>
    </w:p>
    <w:p w14:paraId="2B4E8F52" w14:textId="77777777" w:rsidR="00A71B0D" w:rsidRPr="00D9348B" w:rsidRDefault="00A71B0D" w:rsidP="00A71B0D">
      <w:pPr>
        <w:pStyle w:val="BodyText"/>
      </w:pPr>
      <w:r w:rsidRPr="00D9348B">
        <w:t>Figure 8.5.1 shows emission trends in the Waste sector by category for Tokelau.</w:t>
      </w:r>
    </w:p>
    <w:p w14:paraId="7FDCF98D" w14:textId="77777777" w:rsidR="00A71B0D" w:rsidRPr="00D9348B" w:rsidRDefault="00A71B0D" w:rsidP="00A71B0D">
      <w:pPr>
        <w:pStyle w:val="Figure"/>
        <w:rPr>
          <w:rFonts w:eastAsia="Calibri"/>
        </w:rPr>
      </w:pPr>
      <w:bookmarkStart w:id="2998" w:name="_Toc36292832"/>
      <w:r w:rsidRPr="00D9348B">
        <w:rPr>
          <w:rFonts w:eastAsia="Calibri"/>
        </w:rPr>
        <w:t xml:space="preserve">Figure 8.5.1 </w:t>
      </w:r>
      <w:r w:rsidRPr="00D9348B">
        <w:rPr>
          <w:rFonts w:eastAsia="Calibri"/>
        </w:rPr>
        <w:tab/>
        <w:t>Waste sector emissions by category for Tokelau (kt CO</w:t>
      </w:r>
      <w:r w:rsidRPr="00D9348B">
        <w:rPr>
          <w:rFonts w:eastAsia="Calibri"/>
          <w:vertAlign w:val="subscript"/>
        </w:rPr>
        <w:t>2</w:t>
      </w:r>
      <w:r w:rsidRPr="00D9348B">
        <w:rPr>
          <w:rFonts w:eastAsia="Calibri"/>
        </w:rPr>
        <w:t>-e) from 1990 to 2018</w:t>
      </w:r>
      <w:bookmarkEnd w:id="2998"/>
    </w:p>
    <w:p w14:paraId="5B5EA256" w14:textId="30DB18A6" w:rsidR="00A71B0D" w:rsidRPr="00D9348B" w:rsidRDefault="007165CF" w:rsidP="00A71B0D">
      <w:pPr>
        <w:pStyle w:val="BodyText"/>
        <w:spacing w:after="60"/>
        <w:rPr>
          <w:rFonts w:eastAsia="Calibri"/>
        </w:rPr>
      </w:pPr>
      <w:r>
        <w:rPr>
          <w:rFonts w:eastAsia="Calibri"/>
        </w:rPr>
        <w:pict w14:anchorId="3761753B">
          <v:shape id="_x0000_i1165" type="#_x0000_t75" style="width:391.95pt;height:224.75pt;visibility:visible;mso-wrap-style:square">
            <v:imagedata r:id="rId266" o:title="" croptop="1769f" cropbottom="1743f"/>
          </v:shape>
        </w:pict>
      </w:r>
    </w:p>
    <w:p w14:paraId="5886B0DB" w14:textId="77777777" w:rsidR="00A71B0D" w:rsidRPr="00D9348B" w:rsidRDefault="00A71B0D" w:rsidP="00865BDB">
      <w:pPr>
        <w:pStyle w:val="Heading4"/>
      </w:pPr>
      <w:r w:rsidRPr="00D9348B">
        <w:t>Source-specific recalculations</w:t>
      </w:r>
    </w:p>
    <w:p w14:paraId="423BA5D0" w14:textId="77777777" w:rsidR="00A71B0D" w:rsidRPr="00D9348B" w:rsidRDefault="00A71B0D" w:rsidP="00A71B0D">
      <w:pPr>
        <w:pStyle w:val="BodyText"/>
      </w:pPr>
      <w:r w:rsidRPr="00D9348B">
        <w:t xml:space="preserve">A correction has been made to the original, now outdated, assumption about the ratio of septic tank–sea discharge for the </w:t>
      </w:r>
      <w:r w:rsidRPr="00D9348B">
        <w:rPr>
          <w:i/>
        </w:rPr>
        <w:t>Domestic wastewater</w:t>
      </w:r>
      <w:r w:rsidRPr="00D9348B">
        <w:t xml:space="preserve"> category. For this, 5 yearly Census data was used and interpolated linearly between the data points. Instead of the </w:t>
      </w:r>
      <w:r w:rsidRPr="00D9348B">
        <w:rPr>
          <w:i/>
        </w:rPr>
        <w:t>de jure</w:t>
      </w:r>
      <w:r w:rsidRPr="00D9348B">
        <w:t xml:space="preserve"> residential population (which includes Tokelauan public servants and their families working and living in Apia), the </w:t>
      </w:r>
      <w:r w:rsidRPr="00D9348B">
        <w:rPr>
          <w:i/>
        </w:rPr>
        <w:t>de facto</w:t>
      </w:r>
      <w:r w:rsidRPr="00D9348B">
        <w:t xml:space="preserve"> Census night population is used as a more accurate indicator of contributors to waste production on-atoll.</w:t>
      </w:r>
    </w:p>
    <w:p w14:paraId="0554F7C1" w14:textId="77777777" w:rsidR="00A71B0D" w:rsidRPr="00D9348B" w:rsidRDefault="00A71B0D" w:rsidP="00865BDB">
      <w:pPr>
        <w:pStyle w:val="Heading4"/>
      </w:pPr>
      <w:r w:rsidRPr="00D9348B">
        <w:t>Source-specific planned improvements</w:t>
      </w:r>
    </w:p>
    <w:p w14:paraId="27B15CC4" w14:textId="77777777" w:rsidR="00A71B0D" w:rsidRPr="00D9348B" w:rsidRDefault="00A71B0D" w:rsidP="00A71B0D">
      <w:pPr>
        <w:pStyle w:val="BodyText"/>
      </w:pPr>
      <w:r w:rsidRPr="00D9348B">
        <w:t xml:space="preserve">There are no planned improvements for the waste sector. Possible improvements in the Waste sector will focus on ongoing data refinement as far as resources allow. </w:t>
      </w:r>
    </w:p>
    <w:p w14:paraId="5A4080C7" w14:textId="77777777" w:rsidR="00A71B0D" w:rsidRPr="00D9348B" w:rsidRDefault="00A71B0D" w:rsidP="00A71B0D">
      <w:pPr>
        <w:pStyle w:val="Heading3"/>
        <w:spacing w:before="240"/>
      </w:pPr>
      <w:r w:rsidRPr="00D9348B">
        <w:t xml:space="preserve">8.5.1 </w:t>
      </w:r>
      <w:r w:rsidRPr="00D9348B">
        <w:tab/>
        <w:t>Emissions from Solid waste disposal in Tokelau</w:t>
      </w:r>
    </w:p>
    <w:p w14:paraId="77992742" w14:textId="77777777" w:rsidR="00A71B0D" w:rsidRPr="00D9348B" w:rsidRDefault="00A71B0D" w:rsidP="00A71B0D">
      <w:pPr>
        <w:pStyle w:val="BodyText"/>
      </w:pPr>
      <w:r w:rsidRPr="00D9348B">
        <w:rPr>
          <w:spacing w:val="-2"/>
        </w:rPr>
        <w:t>According to the 2016 Tokelau Census, most household rubbish is collected by village workers. Fakaofo had the highest proportion of households where all rubbish was collected (72.9 per cent). Of all private occupied dwellings, 98.8 per cent had at least some of their household rubbish collected. Most of the collected rubbish is either burned on the reef or buried in centralised areas of the islands. Exceptions are the organic waste, which is fed daily to pigs, large beer bottles that are exported for recycling to Apia (Samoa) and metal waste that is collected and sold as scrap in Apia under a memorandum of understanding with a Samoan company</w:t>
      </w:r>
      <w:r w:rsidRPr="00D9348B">
        <w:t>.</w:t>
      </w:r>
      <w:r w:rsidRPr="00D9348B">
        <w:rPr>
          <w:rStyle w:val="FootnoteReference"/>
        </w:rPr>
        <w:footnoteReference w:id="72"/>
      </w:r>
      <w:r w:rsidRPr="00D9348B">
        <w:t xml:space="preserve"> </w:t>
      </w:r>
    </w:p>
    <w:p w14:paraId="49840E6E" w14:textId="77777777" w:rsidR="00A71B0D" w:rsidRPr="00D9348B" w:rsidRDefault="00A71B0D" w:rsidP="00A71B0D">
      <w:pPr>
        <w:pStyle w:val="BodyText"/>
      </w:pPr>
      <w:r w:rsidRPr="00D9348B">
        <w:lastRenderedPageBreak/>
        <w:t>Where village workers do not collect household rubbish, households use alternative methods for disposal. The most common methods are burning, burial and disposing of in the garden. There are no dedicated categorised landfills in Tokelau, therefore, solid waste disposal is reported for uncategorised landfills only.</w:t>
      </w:r>
    </w:p>
    <w:p w14:paraId="6A2A6AC0" w14:textId="77777777" w:rsidR="00A71B0D" w:rsidRPr="00D9348B" w:rsidRDefault="00A71B0D" w:rsidP="00A71B0D">
      <w:pPr>
        <w:pStyle w:val="BodyText"/>
      </w:pPr>
      <w:r w:rsidRPr="00D9348B">
        <w:t xml:space="preserve">The </w:t>
      </w:r>
      <w:r w:rsidRPr="00D9348B">
        <w:rPr>
          <w:i/>
        </w:rPr>
        <w:t xml:space="preserve">Solid waste disposal </w:t>
      </w:r>
      <w:r w:rsidRPr="00D9348B">
        <w:t>category contributes 44.2 per cent to the total Waste emissions in Tokelau, which amounts to 0.31 kt CO</w:t>
      </w:r>
      <w:r w:rsidRPr="00D9348B">
        <w:rPr>
          <w:vertAlign w:val="subscript"/>
        </w:rPr>
        <w:t>2</w:t>
      </w:r>
      <w:r w:rsidRPr="00D9348B">
        <w:t>-e.</w:t>
      </w:r>
    </w:p>
    <w:p w14:paraId="784E2AF4" w14:textId="77777777" w:rsidR="00A71B0D" w:rsidRPr="00D9348B" w:rsidRDefault="00A71B0D" w:rsidP="00865BDB">
      <w:pPr>
        <w:pStyle w:val="Heading4"/>
      </w:pPr>
      <w:r w:rsidRPr="00D9348B">
        <w:t>Methodological issues</w:t>
      </w:r>
    </w:p>
    <w:p w14:paraId="69D2BF5C" w14:textId="77777777" w:rsidR="00A71B0D" w:rsidRPr="00D9348B" w:rsidRDefault="00A71B0D" w:rsidP="00A71B0D">
      <w:pPr>
        <w:pStyle w:val="Heading5"/>
        <w:spacing w:before="160"/>
      </w:pPr>
      <w:r w:rsidRPr="00D9348B">
        <w:t>Activity data</w:t>
      </w:r>
    </w:p>
    <w:p w14:paraId="55041BD7" w14:textId="77777777" w:rsidR="00A71B0D" w:rsidRPr="00D9348B" w:rsidRDefault="00A71B0D" w:rsidP="00A71B0D">
      <w:pPr>
        <w:pStyle w:val="Bullet"/>
        <w:tabs>
          <w:tab w:val="clear" w:pos="567"/>
        </w:tabs>
        <w:spacing w:before="120"/>
      </w:pPr>
      <w:r w:rsidRPr="00D9348B">
        <w:t>The total amount of solid waste is based on the 2006 IPCC default 690 kg/person/year for Oceania (IPCC, 2006d). This is likely to be an overestimate, however, a country-specific value is not available.</w:t>
      </w:r>
    </w:p>
    <w:p w14:paraId="19ACE4C5" w14:textId="77777777" w:rsidR="00A71B0D" w:rsidRPr="00D9348B" w:rsidRDefault="00A71B0D" w:rsidP="00A71B0D">
      <w:pPr>
        <w:pStyle w:val="Bullet"/>
        <w:tabs>
          <w:tab w:val="clear" w:pos="567"/>
        </w:tabs>
      </w:pPr>
      <w:r w:rsidRPr="00D9348B">
        <w:t>Solid waste is assumed to be half buried and the other half burned. As above, this does not account for exported solid waste or organic waste fed to pigs and will be an overestimate.</w:t>
      </w:r>
    </w:p>
    <w:p w14:paraId="18D10EFE" w14:textId="77777777" w:rsidR="00A71B0D" w:rsidRPr="00D9348B" w:rsidRDefault="00A71B0D" w:rsidP="00A71B0D">
      <w:pPr>
        <w:pStyle w:val="Bullet"/>
        <w:tabs>
          <w:tab w:val="clear" w:pos="567"/>
        </w:tabs>
      </w:pPr>
      <w:r w:rsidRPr="00D9348B">
        <w:t>The composition of solid waste for the landfill calculations is based on the 2006 IPCC default (67.5 per cent food, 6 per cent paper/cardboard, 2.5 per cent wood, and the remaining 24 per cent is ‘inert’) (IPCC, 2006d). This does not take into account the food waste that is fed to animals or used for composting and gardens, nor data on waste composition, such as disposable nappies, and will likely be an overestimate overall.</w:t>
      </w:r>
    </w:p>
    <w:p w14:paraId="2738ED4F" w14:textId="77777777" w:rsidR="00A71B0D" w:rsidRPr="00D9348B" w:rsidRDefault="00A71B0D" w:rsidP="00A71B0D">
      <w:pPr>
        <w:pStyle w:val="Heading5"/>
      </w:pPr>
      <w:r w:rsidRPr="00D9348B">
        <w:t>Methods and emission factors</w:t>
      </w:r>
    </w:p>
    <w:p w14:paraId="4DF4AAAB" w14:textId="77777777" w:rsidR="00A71B0D" w:rsidRPr="00D9348B" w:rsidRDefault="00A71B0D" w:rsidP="00A71B0D">
      <w:pPr>
        <w:pStyle w:val="BodyText"/>
      </w:pPr>
      <w:r w:rsidRPr="00D9348B">
        <w:t>A Tier 1 methodology has been applied to estimate emissions from this category. The Tier 1 approach is to use all default values. It is assumed that 50 per cent of waste is buried (landfilled) and the other 50 per cent is burned. Any amounts of waste shipped offshore are additional and are not counted. Table 8.5.1 sums up the information about parameters used for calculating emissions from this category.</w:t>
      </w:r>
    </w:p>
    <w:p w14:paraId="3E443A16" w14:textId="77777777" w:rsidR="00A71B0D" w:rsidRPr="00D9348B" w:rsidRDefault="00A71B0D" w:rsidP="00A71B0D">
      <w:pPr>
        <w:pStyle w:val="Table"/>
        <w:rPr>
          <w:rFonts w:eastAsia="Calibri"/>
        </w:rPr>
      </w:pPr>
      <w:bookmarkStart w:id="2999" w:name="_Toc5269602"/>
      <w:bookmarkStart w:id="3000" w:name="_Toc36224683"/>
      <w:r w:rsidRPr="00D9348B">
        <w:rPr>
          <w:rFonts w:eastAsia="Calibri"/>
        </w:rPr>
        <w:t>Table 8.5.1</w:t>
      </w:r>
      <w:r w:rsidRPr="00D9348B">
        <w:rPr>
          <w:rFonts w:eastAsia="Calibri"/>
        </w:rPr>
        <w:tab/>
        <w:t>Summary of parameters for uncategorised landfills in Tokelau</w:t>
      </w:r>
      <w:bookmarkEnd w:id="2999"/>
      <w:bookmarkEnd w:id="3000"/>
    </w:p>
    <w:tbl>
      <w:tblPr>
        <w:tblW w:w="8505" w:type="dxa"/>
        <w:tblInd w:w="108" w:type="dxa"/>
        <w:tblLook w:val="04A0" w:firstRow="1" w:lastRow="0" w:firstColumn="1" w:lastColumn="0" w:noHBand="0" w:noVBand="1"/>
      </w:tblPr>
      <w:tblGrid>
        <w:gridCol w:w="2694"/>
        <w:gridCol w:w="992"/>
        <w:gridCol w:w="1984"/>
        <w:gridCol w:w="2835"/>
      </w:tblGrid>
      <w:tr w:rsidR="00A71B0D" w:rsidRPr="00D9348B" w14:paraId="43C7973C" w14:textId="77777777" w:rsidTr="00EA71DA">
        <w:trPr>
          <w:tblHeader/>
        </w:trPr>
        <w:tc>
          <w:tcPr>
            <w:tcW w:w="2694" w:type="dxa"/>
            <w:tcBorders>
              <w:top w:val="single" w:sz="4" w:space="0" w:color="365F91"/>
              <w:bottom w:val="single" w:sz="4" w:space="0" w:color="365F91"/>
            </w:tcBorders>
            <w:shd w:val="clear" w:color="auto" w:fill="365F91"/>
          </w:tcPr>
          <w:p w14:paraId="5A754145" w14:textId="77777777" w:rsidR="00A71B0D" w:rsidRPr="00D9348B" w:rsidRDefault="00A71B0D" w:rsidP="00DB330E">
            <w:pPr>
              <w:pStyle w:val="TableTextBold"/>
              <w:rPr>
                <w:rFonts w:cs="Calibri"/>
                <w:noProof w:val="0"/>
                <w:color w:val="FFFFFF"/>
                <w:szCs w:val="16"/>
              </w:rPr>
            </w:pPr>
            <w:r w:rsidRPr="00D9348B">
              <w:rPr>
                <w:rFonts w:cs="Calibri"/>
                <w:noProof w:val="0"/>
                <w:color w:val="FFFFFF"/>
                <w:szCs w:val="16"/>
              </w:rPr>
              <w:t xml:space="preserve">Parameter </w:t>
            </w:r>
          </w:p>
        </w:tc>
        <w:tc>
          <w:tcPr>
            <w:tcW w:w="992" w:type="dxa"/>
            <w:tcBorders>
              <w:top w:val="single" w:sz="4" w:space="0" w:color="365F91"/>
              <w:bottom w:val="single" w:sz="4" w:space="0" w:color="365F91"/>
            </w:tcBorders>
            <w:shd w:val="clear" w:color="auto" w:fill="365F91"/>
          </w:tcPr>
          <w:p w14:paraId="5F55E7C1" w14:textId="77777777" w:rsidR="00A71B0D" w:rsidRPr="00D9348B" w:rsidRDefault="00A71B0D" w:rsidP="00DB330E">
            <w:pPr>
              <w:pStyle w:val="TableTextBold"/>
              <w:rPr>
                <w:rFonts w:cs="Calibri"/>
                <w:noProof w:val="0"/>
                <w:color w:val="FFFFFF"/>
                <w:szCs w:val="16"/>
              </w:rPr>
            </w:pPr>
            <w:r w:rsidRPr="00D9348B">
              <w:rPr>
                <w:rFonts w:cs="Calibri"/>
                <w:noProof w:val="0"/>
                <w:color w:val="FFFFFF"/>
                <w:szCs w:val="16"/>
              </w:rPr>
              <w:t xml:space="preserve">Values </w:t>
            </w:r>
          </w:p>
        </w:tc>
        <w:tc>
          <w:tcPr>
            <w:tcW w:w="1984" w:type="dxa"/>
            <w:tcBorders>
              <w:top w:val="single" w:sz="4" w:space="0" w:color="365F91"/>
              <w:bottom w:val="single" w:sz="4" w:space="0" w:color="365F91"/>
            </w:tcBorders>
            <w:shd w:val="clear" w:color="auto" w:fill="365F91"/>
          </w:tcPr>
          <w:p w14:paraId="7DA8C255" w14:textId="77777777" w:rsidR="00A71B0D" w:rsidRPr="00D9348B" w:rsidRDefault="00A71B0D" w:rsidP="00DB330E">
            <w:pPr>
              <w:pStyle w:val="TableTextBold"/>
              <w:rPr>
                <w:rFonts w:cs="Calibri"/>
                <w:noProof w:val="0"/>
                <w:color w:val="FFFFFF"/>
                <w:szCs w:val="16"/>
              </w:rPr>
            </w:pPr>
            <w:r w:rsidRPr="00D9348B">
              <w:rPr>
                <w:rFonts w:cs="Calibri"/>
                <w:noProof w:val="0"/>
                <w:color w:val="FFFFFF"/>
                <w:szCs w:val="16"/>
              </w:rPr>
              <w:t>Source</w:t>
            </w:r>
          </w:p>
        </w:tc>
        <w:tc>
          <w:tcPr>
            <w:tcW w:w="2835" w:type="dxa"/>
            <w:tcBorders>
              <w:top w:val="single" w:sz="4" w:space="0" w:color="365F91"/>
              <w:bottom w:val="single" w:sz="4" w:space="0" w:color="365F91"/>
            </w:tcBorders>
            <w:shd w:val="clear" w:color="auto" w:fill="365F91"/>
          </w:tcPr>
          <w:p w14:paraId="4E34344F" w14:textId="77777777" w:rsidR="00A71B0D" w:rsidRPr="00D9348B" w:rsidRDefault="00A71B0D" w:rsidP="00DB330E">
            <w:pPr>
              <w:pStyle w:val="TableTextBold"/>
              <w:rPr>
                <w:rFonts w:cs="Calibri"/>
                <w:noProof w:val="0"/>
                <w:color w:val="FFFFFF"/>
                <w:szCs w:val="16"/>
              </w:rPr>
            </w:pPr>
            <w:r w:rsidRPr="00D9348B">
              <w:rPr>
                <w:rFonts w:cs="Calibri"/>
                <w:noProof w:val="0"/>
                <w:color w:val="FFFFFF"/>
                <w:szCs w:val="16"/>
              </w:rPr>
              <w:t>Reference</w:t>
            </w:r>
          </w:p>
        </w:tc>
      </w:tr>
      <w:tr w:rsidR="00A71B0D" w:rsidRPr="00D9348B" w14:paraId="5C633978" w14:textId="77777777" w:rsidTr="00EA71DA">
        <w:tc>
          <w:tcPr>
            <w:tcW w:w="2694" w:type="dxa"/>
            <w:tcBorders>
              <w:top w:val="single" w:sz="4" w:space="0" w:color="365F91"/>
              <w:bottom w:val="single" w:sz="4" w:space="0" w:color="365F91"/>
            </w:tcBorders>
          </w:tcPr>
          <w:p w14:paraId="5B01BF26" w14:textId="77777777" w:rsidR="00A71B0D" w:rsidRPr="00D9348B" w:rsidRDefault="00A71B0D" w:rsidP="00DB330E">
            <w:pPr>
              <w:pStyle w:val="TableText"/>
              <w:rPr>
                <w:rFonts w:eastAsia="Calibri" w:cs="Calibri"/>
                <w:szCs w:val="16"/>
              </w:rPr>
            </w:pPr>
            <w:r w:rsidRPr="00D9348B">
              <w:rPr>
                <w:rFonts w:eastAsia="Calibri" w:cs="Calibri"/>
                <w:szCs w:val="16"/>
              </w:rPr>
              <w:t>Bulk MSW DOC(kt C/kt waste)</w:t>
            </w:r>
          </w:p>
        </w:tc>
        <w:tc>
          <w:tcPr>
            <w:tcW w:w="992" w:type="dxa"/>
            <w:tcBorders>
              <w:top w:val="single" w:sz="4" w:space="0" w:color="365F91"/>
              <w:bottom w:val="single" w:sz="4" w:space="0" w:color="365F91"/>
            </w:tcBorders>
          </w:tcPr>
          <w:p w14:paraId="6D0EF349" w14:textId="77777777" w:rsidR="00A71B0D" w:rsidRPr="00D9348B" w:rsidRDefault="00A71B0D" w:rsidP="00DB330E">
            <w:pPr>
              <w:pStyle w:val="TableText"/>
              <w:rPr>
                <w:rFonts w:eastAsia="Calibri" w:cs="Calibri"/>
                <w:szCs w:val="16"/>
              </w:rPr>
            </w:pPr>
            <w:r w:rsidRPr="00D9348B">
              <w:rPr>
                <w:rFonts w:eastAsia="Calibri" w:cs="Calibri"/>
                <w:szCs w:val="16"/>
              </w:rPr>
              <w:t>0.14</w:t>
            </w:r>
          </w:p>
        </w:tc>
        <w:tc>
          <w:tcPr>
            <w:tcW w:w="1984" w:type="dxa"/>
            <w:tcBorders>
              <w:top w:val="single" w:sz="4" w:space="0" w:color="365F91"/>
              <w:bottom w:val="single" w:sz="4" w:space="0" w:color="365F91"/>
            </w:tcBorders>
          </w:tcPr>
          <w:p w14:paraId="71983998" w14:textId="77777777" w:rsidR="00A71B0D" w:rsidRPr="00D9348B" w:rsidRDefault="00A71B0D" w:rsidP="00DB330E">
            <w:pPr>
              <w:pStyle w:val="TableText"/>
              <w:rPr>
                <w:rFonts w:eastAsia="Calibri" w:cs="Calibri"/>
                <w:szCs w:val="16"/>
              </w:rPr>
            </w:pPr>
            <w:r w:rsidRPr="00D9348B">
              <w:rPr>
                <w:rFonts w:eastAsia="Calibri" w:cs="Calibri"/>
                <w:szCs w:val="16"/>
              </w:rPr>
              <w:t>IPCC default</w:t>
            </w:r>
          </w:p>
        </w:tc>
        <w:tc>
          <w:tcPr>
            <w:tcW w:w="2835" w:type="dxa"/>
            <w:tcBorders>
              <w:top w:val="single" w:sz="4" w:space="0" w:color="365F91"/>
              <w:bottom w:val="single" w:sz="4" w:space="0" w:color="365F91"/>
            </w:tcBorders>
          </w:tcPr>
          <w:p w14:paraId="77E662A5" w14:textId="77777777" w:rsidR="00A71B0D" w:rsidRPr="00D9348B" w:rsidRDefault="00A71B0D" w:rsidP="00DB330E">
            <w:pPr>
              <w:pStyle w:val="TableText"/>
              <w:rPr>
                <w:rFonts w:eastAsia="Calibri" w:cs="Calibri"/>
                <w:szCs w:val="16"/>
              </w:rPr>
            </w:pPr>
            <w:r w:rsidRPr="00D9348B">
              <w:rPr>
                <w:rFonts w:eastAsia="Calibri" w:cs="Calibri"/>
                <w:szCs w:val="16"/>
              </w:rPr>
              <w:t>IPCC, 2006d (worksheets for SWDS)</w:t>
            </w:r>
          </w:p>
        </w:tc>
      </w:tr>
      <w:tr w:rsidR="00A71B0D" w:rsidRPr="00D9348B" w14:paraId="45ADD3EF" w14:textId="77777777" w:rsidTr="00EA71DA">
        <w:tc>
          <w:tcPr>
            <w:tcW w:w="2694" w:type="dxa"/>
            <w:tcBorders>
              <w:top w:val="single" w:sz="4" w:space="0" w:color="365F91"/>
              <w:bottom w:val="single" w:sz="4" w:space="0" w:color="365F91"/>
            </w:tcBorders>
          </w:tcPr>
          <w:p w14:paraId="65A08F3A" w14:textId="77777777" w:rsidR="00A71B0D" w:rsidRPr="00D9348B" w:rsidRDefault="00A71B0D" w:rsidP="00DB330E">
            <w:pPr>
              <w:pStyle w:val="TableText"/>
              <w:rPr>
                <w:rFonts w:eastAsia="Calibri" w:cs="Calibri"/>
                <w:szCs w:val="16"/>
              </w:rPr>
            </w:pPr>
            <w:r w:rsidRPr="00D9348B">
              <w:rPr>
                <w:rFonts w:eastAsia="Calibri" w:cs="Calibri"/>
                <w:szCs w:val="16"/>
              </w:rPr>
              <w:t>k-value</w:t>
            </w:r>
          </w:p>
        </w:tc>
        <w:tc>
          <w:tcPr>
            <w:tcW w:w="992" w:type="dxa"/>
            <w:tcBorders>
              <w:top w:val="single" w:sz="4" w:space="0" w:color="365F91"/>
              <w:bottom w:val="single" w:sz="4" w:space="0" w:color="365F91"/>
            </w:tcBorders>
          </w:tcPr>
          <w:p w14:paraId="5BA38DB8" w14:textId="77777777" w:rsidR="00A71B0D" w:rsidRPr="00D9348B" w:rsidRDefault="00A71B0D" w:rsidP="00DB330E">
            <w:pPr>
              <w:pStyle w:val="TableText"/>
              <w:rPr>
                <w:rFonts w:eastAsia="Calibri" w:cs="Calibri"/>
                <w:szCs w:val="16"/>
              </w:rPr>
            </w:pPr>
            <w:r w:rsidRPr="00D9348B">
              <w:rPr>
                <w:rFonts w:eastAsia="Calibri" w:cs="Calibri"/>
                <w:szCs w:val="16"/>
              </w:rPr>
              <w:t>0.17</w:t>
            </w:r>
          </w:p>
        </w:tc>
        <w:tc>
          <w:tcPr>
            <w:tcW w:w="1984" w:type="dxa"/>
            <w:tcBorders>
              <w:top w:val="single" w:sz="4" w:space="0" w:color="365F91"/>
              <w:bottom w:val="single" w:sz="4" w:space="0" w:color="365F91"/>
            </w:tcBorders>
          </w:tcPr>
          <w:p w14:paraId="2C80AA08" w14:textId="77777777" w:rsidR="00A71B0D" w:rsidRPr="00D9348B" w:rsidRDefault="00A71B0D" w:rsidP="00DB330E">
            <w:pPr>
              <w:pStyle w:val="TableText"/>
              <w:rPr>
                <w:rFonts w:eastAsia="Calibri" w:cs="Calibri"/>
                <w:szCs w:val="16"/>
              </w:rPr>
            </w:pPr>
            <w:r w:rsidRPr="00D9348B">
              <w:rPr>
                <w:rFonts w:eastAsia="Calibri" w:cs="Calibri"/>
                <w:szCs w:val="16"/>
              </w:rPr>
              <w:t>IPCC default</w:t>
            </w:r>
          </w:p>
        </w:tc>
        <w:tc>
          <w:tcPr>
            <w:tcW w:w="2835" w:type="dxa"/>
            <w:tcBorders>
              <w:top w:val="single" w:sz="4" w:space="0" w:color="365F91"/>
              <w:bottom w:val="single" w:sz="4" w:space="0" w:color="365F91"/>
            </w:tcBorders>
          </w:tcPr>
          <w:p w14:paraId="5F07B4BE" w14:textId="77777777" w:rsidR="00A71B0D" w:rsidRPr="00D9348B" w:rsidRDefault="00A71B0D" w:rsidP="00DB330E">
            <w:pPr>
              <w:pStyle w:val="TableText"/>
              <w:rPr>
                <w:rFonts w:eastAsia="Calibri" w:cs="Calibri"/>
                <w:szCs w:val="16"/>
              </w:rPr>
            </w:pPr>
            <w:r w:rsidRPr="00D9348B">
              <w:rPr>
                <w:rFonts w:eastAsia="Calibri" w:cs="Calibri"/>
                <w:szCs w:val="16"/>
              </w:rPr>
              <w:t>Table 3.2, IPCC, 2006d</w:t>
            </w:r>
          </w:p>
        </w:tc>
      </w:tr>
      <w:tr w:rsidR="00A71B0D" w:rsidRPr="00D9348B" w14:paraId="13ABF361" w14:textId="77777777" w:rsidTr="00EA71DA">
        <w:tc>
          <w:tcPr>
            <w:tcW w:w="2694" w:type="dxa"/>
            <w:tcBorders>
              <w:top w:val="single" w:sz="4" w:space="0" w:color="365F91"/>
              <w:bottom w:val="single" w:sz="4" w:space="0" w:color="365F91"/>
            </w:tcBorders>
          </w:tcPr>
          <w:p w14:paraId="38A85BC8" w14:textId="77777777" w:rsidR="00A71B0D" w:rsidRPr="00D9348B" w:rsidRDefault="00A71B0D" w:rsidP="00DB330E">
            <w:pPr>
              <w:pStyle w:val="TableText"/>
              <w:rPr>
                <w:rFonts w:eastAsia="Calibri" w:cs="Calibri"/>
                <w:szCs w:val="16"/>
              </w:rPr>
            </w:pPr>
            <w:r w:rsidRPr="00D9348B">
              <w:rPr>
                <w:rFonts w:eastAsia="Calibri" w:cs="Calibri"/>
                <w:szCs w:val="16"/>
              </w:rPr>
              <w:t>Methane correction factor</w:t>
            </w:r>
          </w:p>
        </w:tc>
        <w:tc>
          <w:tcPr>
            <w:tcW w:w="992" w:type="dxa"/>
            <w:tcBorders>
              <w:top w:val="single" w:sz="4" w:space="0" w:color="365F91"/>
              <w:bottom w:val="single" w:sz="4" w:space="0" w:color="365F91"/>
            </w:tcBorders>
          </w:tcPr>
          <w:p w14:paraId="2DD5C6F9" w14:textId="77777777" w:rsidR="00A71B0D" w:rsidRPr="00D9348B" w:rsidRDefault="00A71B0D" w:rsidP="00DB330E">
            <w:pPr>
              <w:pStyle w:val="TableText"/>
              <w:rPr>
                <w:rFonts w:eastAsia="Calibri" w:cs="Calibri"/>
                <w:szCs w:val="16"/>
              </w:rPr>
            </w:pPr>
            <w:r w:rsidRPr="00D9348B">
              <w:rPr>
                <w:rFonts w:eastAsia="Calibri" w:cs="Calibri"/>
                <w:szCs w:val="16"/>
              </w:rPr>
              <w:t>0.6</w:t>
            </w:r>
          </w:p>
        </w:tc>
        <w:tc>
          <w:tcPr>
            <w:tcW w:w="1984" w:type="dxa"/>
            <w:tcBorders>
              <w:top w:val="single" w:sz="4" w:space="0" w:color="365F91"/>
              <w:bottom w:val="single" w:sz="4" w:space="0" w:color="365F91"/>
            </w:tcBorders>
          </w:tcPr>
          <w:p w14:paraId="7D3F0496" w14:textId="77777777" w:rsidR="00A71B0D" w:rsidRPr="00D9348B" w:rsidRDefault="00A71B0D" w:rsidP="00DB330E">
            <w:pPr>
              <w:pStyle w:val="TableText"/>
              <w:rPr>
                <w:rFonts w:eastAsia="Calibri" w:cs="Calibri"/>
                <w:szCs w:val="16"/>
              </w:rPr>
            </w:pPr>
            <w:r w:rsidRPr="00D9348B">
              <w:rPr>
                <w:rFonts w:eastAsia="Calibri" w:cs="Calibri"/>
                <w:szCs w:val="16"/>
              </w:rPr>
              <w:t>IPCC default</w:t>
            </w:r>
          </w:p>
        </w:tc>
        <w:tc>
          <w:tcPr>
            <w:tcW w:w="2835" w:type="dxa"/>
            <w:tcBorders>
              <w:top w:val="single" w:sz="4" w:space="0" w:color="365F91"/>
              <w:bottom w:val="single" w:sz="4" w:space="0" w:color="365F91"/>
            </w:tcBorders>
          </w:tcPr>
          <w:p w14:paraId="759FEF4A" w14:textId="77777777" w:rsidR="00A71B0D" w:rsidRPr="00D9348B" w:rsidRDefault="00A71B0D" w:rsidP="00DB330E">
            <w:pPr>
              <w:pStyle w:val="TableText"/>
              <w:rPr>
                <w:rFonts w:eastAsia="Calibri" w:cs="Calibri"/>
                <w:szCs w:val="16"/>
              </w:rPr>
            </w:pPr>
            <w:r w:rsidRPr="00D9348B">
              <w:rPr>
                <w:rFonts w:eastAsia="Calibri" w:cs="Calibri"/>
                <w:szCs w:val="16"/>
              </w:rPr>
              <w:t>Table 3.1, IPCC, 2006d</w:t>
            </w:r>
          </w:p>
        </w:tc>
      </w:tr>
      <w:tr w:rsidR="00A71B0D" w:rsidRPr="00D9348B" w14:paraId="1C891324" w14:textId="77777777" w:rsidTr="00EA71DA">
        <w:tc>
          <w:tcPr>
            <w:tcW w:w="2694" w:type="dxa"/>
            <w:tcBorders>
              <w:top w:val="single" w:sz="4" w:space="0" w:color="365F91"/>
              <w:bottom w:val="single" w:sz="4" w:space="0" w:color="365F91"/>
            </w:tcBorders>
          </w:tcPr>
          <w:p w14:paraId="46A48FB4" w14:textId="77777777" w:rsidR="00A71B0D" w:rsidRPr="00D9348B" w:rsidRDefault="00A71B0D" w:rsidP="00DB330E">
            <w:pPr>
              <w:pStyle w:val="TableText"/>
              <w:rPr>
                <w:rFonts w:eastAsia="Calibri" w:cs="Calibri"/>
                <w:szCs w:val="16"/>
              </w:rPr>
            </w:pPr>
            <w:r w:rsidRPr="00D9348B">
              <w:rPr>
                <w:rFonts w:eastAsia="Calibri" w:cs="Calibri"/>
                <w:szCs w:val="16"/>
              </w:rPr>
              <w:t>Oxidation factor</w:t>
            </w:r>
          </w:p>
        </w:tc>
        <w:tc>
          <w:tcPr>
            <w:tcW w:w="992" w:type="dxa"/>
            <w:tcBorders>
              <w:top w:val="single" w:sz="4" w:space="0" w:color="365F91"/>
              <w:bottom w:val="single" w:sz="4" w:space="0" w:color="365F91"/>
            </w:tcBorders>
          </w:tcPr>
          <w:p w14:paraId="3229C076" w14:textId="77777777" w:rsidR="00A71B0D" w:rsidRPr="00D9348B" w:rsidRDefault="00A71B0D" w:rsidP="00DB330E">
            <w:pPr>
              <w:pStyle w:val="TableText"/>
              <w:rPr>
                <w:rFonts w:eastAsia="Calibri" w:cs="Calibri"/>
                <w:szCs w:val="16"/>
              </w:rPr>
            </w:pPr>
            <w:r w:rsidRPr="00D9348B">
              <w:rPr>
                <w:rFonts w:eastAsia="Calibri" w:cs="Calibri"/>
                <w:szCs w:val="16"/>
              </w:rPr>
              <w:t>0 per cent</w:t>
            </w:r>
          </w:p>
        </w:tc>
        <w:tc>
          <w:tcPr>
            <w:tcW w:w="1984" w:type="dxa"/>
            <w:tcBorders>
              <w:top w:val="single" w:sz="4" w:space="0" w:color="365F91"/>
              <w:bottom w:val="single" w:sz="4" w:space="0" w:color="365F91"/>
            </w:tcBorders>
          </w:tcPr>
          <w:p w14:paraId="06C94111" w14:textId="77777777" w:rsidR="00A71B0D" w:rsidRPr="00D9348B" w:rsidRDefault="00A71B0D" w:rsidP="00DB330E">
            <w:pPr>
              <w:pStyle w:val="TableText"/>
              <w:rPr>
                <w:rFonts w:eastAsia="Calibri" w:cs="Calibri"/>
                <w:szCs w:val="16"/>
              </w:rPr>
            </w:pPr>
            <w:r w:rsidRPr="00D9348B">
              <w:rPr>
                <w:rFonts w:eastAsia="Calibri" w:cs="Calibri"/>
                <w:szCs w:val="16"/>
              </w:rPr>
              <w:t>IPCC default</w:t>
            </w:r>
          </w:p>
        </w:tc>
        <w:tc>
          <w:tcPr>
            <w:tcW w:w="2835" w:type="dxa"/>
            <w:tcBorders>
              <w:top w:val="single" w:sz="4" w:space="0" w:color="365F91"/>
              <w:bottom w:val="single" w:sz="4" w:space="0" w:color="365F91"/>
            </w:tcBorders>
          </w:tcPr>
          <w:p w14:paraId="71D1E69D" w14:textId="77777777" w:rsidR="00A71B0D" w:rsidRPr="00D9348B" w:rsidRDefault="00A71B0D" w:rsidP="00DB330E">
            <w:pPr>
              <w:pStyle w:val="TableText"/>
              <w:rPr>
                <w:rFonts w:eastAsia="Calibri" w:cs="Calibri"/>
                <w:szCs w:val="16"/>
              </w:rPr>
            </w:pPr>
            <w:r w:rsidRPr="00D9348B">
              <w:rPr>
                <w:rFonts w:eastAsia="Calibri" w:cs="Calibri"/>
                <w:szCs w:val="16"/>
              </w:rPr>
              <w:t>Table 3.2, IPCC, 2006d</w:t>
            </w:r>
          </w:p>
        </w:tc>
      </w:tr>
      <w:tr w:rsidR="00A71B0D" w:rsidRPr="00D9348B" w14:paraId="7BC7D069" w14:textId="77777777" w:rsidTr="00EA71DA">
        <w:tc>
          <w:tcPr>
            <w:tcW w:w="2694" w:type="dxa"/>
            <w:tcBorders>
              <w:top w:val="single" w:sz="4" w:space="0" w:color="365F91"/>
              <w:bottom w:val="single" w:sz="4" w:space="0" w:color="365F91"/>
            </w:tcBorders>
          </w:tcPr>
          <w:p w14:paraId="51B01A87" w14:textId="77777777" w:rsidR="00A71B0D" w:rsidRPr="00D9348B" w:rsidRDefault="00A71B0D" w:rsidP="00DB330E">
            <w:pPr>
              <w:pStyle w:val="TableText"/>
              <w:rPr>
                <w:rFonts w:eastAsia="Calibri" w:cs="Calibri"/>
                <w:szCs w:val="16"/>
              </w:rPr>
            </w:pPr>
            <w:r w:rsidRPr="00D9348B">
              <w:rPr>
                <w:rFonts w:eastAsia="Calibri" w:cs="Calibri"/>
                <w:szCs w:val="16"/>
              </w:rPr>
              <w:t>Starting year</w:t>
            </w:r>
          </w:p>
        </w:tc>
        <w:tc>
          <w:tcPr>
            <w:tcW w:w="992" w:type="dxa"/>
            <w:tcBorders>
              <w:top w:val="single" w:sz="4" w:space="0" w:color="365F91"/>
              <w:bottom w:val="single" w:sz="4" w:space="0" w:color="365F91"/>
            </w:tcBorders>
          </w:tcPr>
          <w:p w14:paraId="6BF68DB3" w14:textId="77777777" w:rsidR="00A71B0D" w:rsidRPr="00D9348B" w:rsidRDefault="00A71B0D" w:rsidP="00DB330E">
            <w:pPr>
              <w:pStyle w:val="TableText"/>
              <w:rPr>
                <w:rFonts w:eastAsia="Calibri" w:cs="Calibri"/>
                <w:szCs w:val="16"/>
              </w:rPr>
            </w:pPr>
            <w:r w:rsidRPr="00D9348B">
              <w:rPr>
                <w:rFonts w:eastAsia="Calibri" w:cs="Calibri"/>
                <w:szCs w:val="16"/>
              </w:rPr>
              <w:t>1950</w:t>
            </w:r>
          </w:p>
        </w:tc>
        <w:tc>
          <w:tcPr>
            <w:tcW w:w="1984" w:type="dxa"/>
            <w:tcBorders>
              <w:top w:val="single" w:sz="4" w:space="0" w:color="365F91"/>
              <w:bottom w:val="single" w:sz="4" w:space="0" w:color="365F91"/>
            </w:tcBorders>
          </w:tcPr>
          <w:p w14:paraId="6CA6F201" w14:textId="77777777" w:rsidR="00A71B0D" w:rsidRPr="00D9348B" w:rsidRDefault="00A71B0D" w:rsidP="00DB330E">
            <w:pPr>
              <w:pStyle w:val="TableText"/>
              <w:rPr>
                <w:rFonts w:eastAsia="Calibri" w:cs="Calibri"/>
                <w:szCs w:val="16"/>
              </w:rPr>
            </w:pPr>
            <w:r w:rsidRPr="00D9348B">
              <w:rPr>
                <w:rFonts w:eastAsia="Calibri" w:cs="Calibri"/>
                <w:szCs w:val="16"/>
              </w:rPr>
              <w:t>IPCC default</w:t>
            </w:r>
          </w:p>
        </w:tc>
        <w:tc>
          <w:tcPr>
            <w:tcW w:w="2835" w:type="dxa"/>
            <w:tcBorders>
              <w:top w:val="single" w:sz="4" w:space="0" w:color="365F91"/>
              <w:bottom w:val="single" w:sz="4" w:space="0" w:color="365F91"/>
            </w:tcBorders>
          </w:tcPr>
          <w:p w14:paraId="5B9EF271" w14:textId="77777777" w:rsidR="00A71B0D" w:rsidRPr="00D9348B" w:rsidRDefault="00A71B0D" w:rsidP="00DB330E">
            <w:pPr>
              <w:pStyle w:val="TableText"/>
              <w:rPr>
                <w:rFonts w:eastAsia="Calibri" w:cs="Calibri"/>
                <w:szCs w:val="16"/>
              </w:rPr>
            </w:pPr>
            <w:r w:rsidRPr="00D9348B">
              <w:rPr>
                <w:rFonts w:eastAsia="Calibri" w:cs="Calibri"/>
                <w:szCs w:val="16"/>
              </w:rPr>
              <w:t>Section 3.6, p 3.24, IPCC, 2006d</w:t>
            </w:r>
          </w:p>
        </w:tc>
      </w:tr>
      <w:tr w:rsidR="00A71B0D" w:rsidRPr="00D9348B" w14:paraId="04F6FB4D" w14:textId="77777777" w:rsidTr="00EA71DA">
        <w:tc>
          <w:tcPr>
            <w:tcW w:w="2694" w:type="dxa"/>
            <w:tcBorders>
              <w:top w:val="single" w:sz="4" w:space="0" w:color="365F91"/>
              <w:bottom w:val="single" w:sz="4" w:space="0" w:color="365F91"/>
            </w:tcBorders>
          </w:tcPr>
          <w:p w14:paraId="3B93338C" w14:textId="77777777" w:rsidR="00A71B0D" w:rsidRPr="00D9348B" w:rsidRDefault="00A71B0D" w:rsidP="00DB330E">
            <w:pPr>
              <w:pStyle w:val="TableText"/>
              <w:rPr>
                <w:rFonts w:eastAsia="Calibri" w:cs="Calibri"/>
                <w:szCs w:val="16"/>
              </w:rPr>
            </w:pPr>
            <w:r w:rsidRPr="00D9348B">
              <w:rPr>
                <w:rFonts w:eastAsia="Calibri" w:cs="Calibri"/>
                <w:szCs w:val="16"/>
              </w:rPr>
              <w:t>Delay time</w:t>
            </w:r>
          </w:p>
        </w:tc>
        <w:tc>
          <w:tcPr>
            <w:tcW w:w="992" w:type="dxa"/>
            <w:tcBorders>
              <w:top w:val="single" w:sz="4" w:space="0" w:color="365F91"/>
              <w:bottom w:val="single" w:sz="4" w:space="0" w:color="365F91"/>
            </w:tcBorders>
          </w:tcPr>
          <w:p w14:paraId="192D4ED0" w14:textId="77777777" w:rsidR="00A71B0D" w:rsidRPr="00D9348B" w:rsidRDefault="00A71B0D" w:rsidP="00DB330E">
            <w:pPr>
              <w:pStyle w:val="TableText"/>
              <w:rPr>
                <w:rFonts w:eastAsia="Calibri" w:cs="Calibri"/>
                <w:szCs w:val="16"/>
              </w:rPr>
            </w:pPr>
            <w:r w:rsidRPr="00D9348B">
              <w:rPr>
                <w:rFonts w:eastAsia="Calibri" w:cs="Calibri"/>
                <w:szCs w:val="16"/>
              </w:rPr>
              <w:t>6 months</w:t>
            </w:r>
          </w:p>
        </w:tc>
        <w:tc>
          <w:tcPr>
            <w:tcW w:w="1984" w:type="dxa"/>
            <w:tcBorders>
              <w:top w:val="single" w:sz="4" w:space="0" w:color="365F91"/>
              <w:bottom w:val="single" w:sz="4" w:space="0" w:color="365F91"/>
            </w:tcBorders>
          </w:tcPr>
          <w:p w14:paraId="7A3549F1" w14:textId="77777777" w:rsidR="00A71B0D" w:rsidRPr="00D9348B" w:rsidRDefault="00A71B0D" w:rsidP="00DB330E">
            <w:pPr>
              <w:pStyle w:val="TableText"/>
              <w:rPr>
                <w:rFonts w:eastAsia="Calibri" w:cs="Calibri"/>
                <w:szCs w:val="16"/>
              </w:rPr>
            </w:pPr>
            <w:r w:rsidRPr="00D9348B">
              <w:rPr>
                <w:rFonts w:eastAsia="Calibri" w:cs="Calibri"/>
                <w:szCs w:val="16"/>
              </w:rPr>
              <w:t>IPCC default</w:t>
            </w:r>
          </w:p>
        </w:tc>
        <w:tc>
          <w:tcPr>
            <w:tcW w:w="2835" w:type="dxa"/>
            <w:tcBorders>
              <w:top w:val="single" w:sz="4" w:space="0" w:color="365F91"/>
              <w:bottom w:val="single" w:sz="4" w:space="0" w:color="365F91"/>
            </w:tcBorders>
          </w:tcPr>
          <w:p w14:paraId="69628E38" w14:textId="77777777" w:rsidR="00A71B0D" w:rsidRPr="00D9348B" w:rsidRDefault="00A71B0D" w:rsidP="00DB330E">
            <w:pPr>
              <w:pStyle w:val="TableText"/>
              <w:rPr>
                <w:rFonts w:eastAsia="Calibri" w:cs="Calibri"/>
                <w:szCs w:val="16"/>
              </w:rPr>
            </w:pPr>
            <w:r w:rsidRPr="00D9348B">
              <w:rPr>
                <w:rFonts w:eastAsia="Calibri" w:cs="Calibri"/>
                <w:szCs w:val="16"/>
              </w:rPr>
              <w:t>Section 3.2.3, p 3.19, IPCC, 2006d</w:t>
            </w:r>
          </w:p>
        </w:tc>
      </w:tr>
      <w:tr w:rsidR="00A71B0D" w:rsidRPr="00D9348B" w14:paraId="012755AF" w14:textId="77777777" w:rsidTr="00EA71DA">
        <w:tc>
          <w:tcPr>
            <w:tcW w:w="2694" w:type="dxa"/>
            <w:tcBorders>
              <w:top w:val="single" w:sz="4" w:space="0" w:color="365F91"/>
              <w:bottom w:val="single" w:sz="4" w:space="0" w:color="365F91"/>
            </w:tcBorders>
          </w:tcPr>
          <w:p w14:paraId="12135D3E" w14:textId="77777777" w:rsidR="00A71B0D" w:rsidRPr="00D9348B" w:rsidRDefault="00A71B0D" w:rsidP="00DB330E">
            <w:pPr>
              <w:pStyle w:val="TableText"/>
              <w:rPr>
                <w:rFonts w:eastAsia="Calibri" w:cs="Calibri"/>
                <w:szCs w:val="16"/>
              </w:rPr>
            </w:pPr>
            <w:r w:rsidRPr="00D9348B">
              <w:rPr>
                <w:rFonts w:eastAsia="Calibri" w:cs="Calibri"/>
                <w:szCs w:val="16"/>
              </w:rPr>
              <w:t>Fraction of DOC that decomposes</w:t>
            </w:r>
          </w:p>
        </w:tc>
        <w:tc>
          <w:tcPr>
            <w:tcW w:w="992" w:type="dxa"/>
            <w:tcBorders>
              <w:top w:val="single" w:sz="4" w:space="0" w:color="365F91"/>
              <w:bottom w:val="single" w:sz="4" w:space="0" w:color="365F91"/>
            </w:tcBorders>
          </w:tcPr>
          <w:p w14:paraId="0BECC3B5" w14:textId="77777777" w:rsidR="00A71B0D" w:rsidRPr="00D9348B" w:rsidRDefault="00A71B0D" w:rsidP="00DB330E">
            <w:pPr>
              <w:pStyle w:val="TableText"/>
              <w:rPr>
                <w:rFonts w:eastAsia="Calibri" w:cs="Calibri"/>
                <w:szCs w:val="16"/>
              </w:rPr>
            </w:pPr>
            <w:r w:rsidRPr="00D9348B">
              <w:rPr>
                <w:rFonts w:eastAsia="Calibri" w:cs="Calibri"/>
                <w:szCs w:val="16"/>
              </w:rPr>
              <w:t>0.5</w:t>
            </w:r>
          </w:p>
        </w:tc>
        <w:tc>
          <w:tcPr>
            <w:tcW w:w="1984" w:type="dxa"/>
            <w:tcBorders>
              <w:top w:val="single" w:sz="4" w:space="0" w:color="365F91"/>
              <w:bottom w:val="single" w:sz="4" w:space="0" w:color="365F91"/>
            </w:tcBorders>
          </w:tcPr>
          <w:p w14:paraId="151CA25D" w14:textId="77777777" w:rsidR="00A71B0D" w:rsidRPr="00D9348B" w:rsidRDefault="00A71B0D" w:rsidP="00DB330E">
            <w:pPr>
              <w:pStyle w:val="TableText"/>
              <w:rPr>
                <w:rFonts w:eastAsia="Calibri" w:cs="Calibri"/>
                <w:szCs w:val="16"/>
              </w:rPr>
            </w:pPr>
            <w:r w:rsidRPr="00D9348B">
              <w:rPr>
                <w:rFonts w:eastAsia="Calibri" w:cs="Calibri"/>
                <w:szCs w:val="16"/>
              </w:rPr>
              <w:t>IPCC default</w:t>
            </w:r>
          </w:p>
        </w:tc>
        <w:tc>
          <w:tcPr>
            <w:tcW w:w="2835" w:type="dxa"/>
            <w:tcBorders>
              <w:top w:val="single" w:sz="4" w:space="0" w:color="365F91"/>
              <w:bottom w:val="single" w:sz="4" w:space="0" w:color="365F91"/>
            </w:tcBorders>
          </w:tcPr>
          <w:p w14:paraId="068D98B0" w14:textId="77777777" w:rsidR="00A71B0D" w:rsidRPr="00D9348B" w:rsidRDefault="00A71B0D" w:rsidP="00DB330E">
            <w:pPr>
              <w:pStyle w:val="TableText"/>
              <w:rPr>
                <w:rFonts w:eastAsia="Calibri" w:cs="Calibri"/>
                <w:szCs w:val="16"/>
              </w:rPr>
            </w:pPr>
            <w:r w:rsidRPr="00D9348B">
              <w:rPr>
                <w:rFonts w:eastAsia="Calibri" w:cs="Calibri"/>
                <w:szCs w:val="16"/>
              </w:rPr>
              <w:t>Section 3.2.3, p 3.13, IPCC, 2006d</w:t>
            </w:r>
          </w:p>
        </w:tc>
      </w:tr>
      <w:tr w:rsidR="00A71B0D" w:rsidRPr="00D9348B" w14:paraId="1CF9B5AB" w14:textId="77777777" w:rsidTr="00EA71DA">
        <w:tc>
          <w:tcPr>
            <w:tcW w:w="2694" w:type="dxa"/>
            <w:tcBorders>
              <w:top w:val="single" w:sz="4" w:space="0" w:color="365F91"/>
              <w:bottom w:val="single" w:sz="4" w:space="0" w:color="365F91"/>
            </w:tcBorders>
          </w:tcPr>
          <w:p w14:paraId="5D0EC176" w14:textId="77777777" w:rsidR="00A71B0D" w:rsidRPr="00D9348B" w:rsidRDefault="00A71B0D" w:rsidP="00DB330E">
            <w:pPr>
              <w:pStyle w:val="TableText"/>
              <w:rPr>
                <w:rFonts w:eastAsia="Calibri" w:cs="Calibri"/>
                <w:szCs w:val="16"/>
              </w:rPr>
            </w:pPr>
            <w:r w:rsidRPr="00D9348B">
              <w:rPr>
                <w:rFonts w:eastAsia="Calibri" w:cs="Calibri"/>
                <w:szCs w:val="16"/>
              </w:rPr>
              <w:t>Fraction of CH</w:t>
            </w:r>
            <w:r w:rsidRPr="00D9348B">
              <w:rPr>
                <w:rFonts w:eastAsia="Calibri" w:cs="Calibri"/>
                <w:szCs w:val="16"/>
                <w:vertAlign w:val="subscript"/>
              </w:rPr>
              <w:t>4</w:t>
            </w:r>
            <w:r w:rsidRPr="00D9348B">
              <w:rPr>
                <w:rFonts w:eastAsia="Calibri" w:cs="Calibri"/>
                <w:szCs w:val="16"/>
              </w:rPr>
              <w:t xml:space="preserve"> in gas</w:t>
            </w:r>
          </w:p>
        </w:tc>
        <w:tc>
          <w:tcPr>
            <w:tcW w:w="992" w:type="dxa"/>
            <w:tcBorders>
              <w:top w:val="single" w:sz="4" w:space="0" w:color="365F91"/>
              <w:bottom w:val="single" w:sz="4" w:space="0" w:color="365F91"/>
            </w:tcBorders>
          </w:tcPr>
          <w:p w14:paraId="1A20B020" w14:textId="77777777" w:rsidR="00A71B0D" w:rsidRPr="00D9348B" w:rsidRDefault="00A71B0D" w:rsidP="00DB330E">
            <w:pPr>
              <w:pStyle w:val="TableText"/>
              <w:rPr>
                <w:rFonts w:eastAsia="Calibri" w:cs="Calibri"/>
                <w:szCs w:val="16"/>
              </w:rPr>
            </w:pPr>
            <w:r w:rsidRPr="00D9348B">
              <w:rPr>
                <w:rFonts w:eastAsia="Calibri" w:cs="Calibri"/>
                <w:szCs w:val="16"/>
              </w:rPr>
              <w:t>0.5</w:t>
            </w:r>
          </w:p>
        </w:tc>
        <w:tc>
          <w:tcPr>
            <w:tcW w:w="1984" w:type="dxa"/>
            <w:tcBorders>
              <w:top w:val="single" w:sz="4" w:space="0" w:color="365F91"/>
              <w:bottom w:val="single" w:sz="4" w:space="0" w:color="365F91"/>
            </w:tcBorders>
          </w:tcPr>
          <w:p w14:paraId="73117BE9" w14:textId="77777777" w:rsidR="00A71B0D" w:rsidRPr="00D9348B" w:rsidRDefault="00A71B0D" w:rsidP="00DB330E">
            <w:pPr>
              <w:pStyle w:val="TableText"/>
              <w:rPr>
                <w:rFonts w:eastAsia="Calibri" w:cs="Calibri"/>
                <w:szCs w:val="16"/>
              </w:rPr>
            </w:pPr>
            <w:r w:rsidRPr="00D9348B">
              <w:rPr>
                <w:rFonts w:eastAsia="Calibri" w:cs="Calibri"/>
                <w:szCs w:val="16"/>
              </w:rPr>
              <w:t>IPCC default</w:t>
            </w:r>
          </w:p>
        </w:tc>
        <w:tc>
          <w:tcPr>
            <w:tcW w:w="2835" w:type="dxa"/>
            <w:tcBorders>
              <w:top w:val="single" w:sz="4" w:space="0" w:color="365F91"/>
              <w:bottom w:val="single" w:sz="4" w:space="0" w:color="365F91"/>
            </w:tcBorders>
          </w:tcPr>
          <w:p w14:paraId="00CB9402" w14:textId="77777777" w:rsidR="00A71B0D" w:rsidRPr="00D9348B" w:rsidRDefault="00A71B0D" w:rsidP="00DB330E">
            <w:pPr>
              <w:pStyle w:val="TableText"/>
              <w:rPr>
                <w:rFonts w:eastAsia="Calibri" w:cs="Calibri"/>
                <w:szCs w:val="16"/>
              </w:rPr>
            </w:pPr>
            <w:r w:rsidRPr="00D9348B">
              <w:rPr>
                <w:rFonts w:eastAsia="Calibri" w:cs="Calibri"/>
                <w:szCs w:val="16"/>
              </w:rPr>
              <w:t>Section 3.2.3, p 3.15, IPCC, 2006d</w:t>
            </w:r>
          </w:p>
        </w:tc>
      </w:tr>
      <w:tr w:rsidR="00A71B0D" w:rsidRPr="00D9348B" w14:paraId="08C6BC7D" w14:textId="77777777" w:rsidTr="00EA71DA">
        <w:tc>
          <w:tcPr>
            <w:tcW w:w="2694" w:type="dxa"/>
            <w:tcBorders>
              <w:top w:val="single" w:sz="4" w:space="0" w:color="365F91"/>
              <w:bottom w:val="single" w:sz="4" w:space="0" w:color="365F91"/>
            </w:tcBorders>
          </w:tcPr>
          <w:p w14:paraId="32BB29A7" w14:textId="77777777" w:rsidR="00A71B0D" w:rsidRPr="00D9348B" w:rsidRDefault="00A71B0D" w:rsidP="00DB330E">
            <w:pPr>
              <w:pStyle w:val="TableText"/>
              <w:rPr>
                <w:rFonts w:eastAsia="Calibri" w:cs="Calibri"/>
                <w:szCs w:val="16"/>
              </w:rPr>
            </w:pPr>
            <w:r w:rsidRPr="00D9348B">
              <w:rPr>
                <w:rFonts w:eastAsia="Calibri" w:cs="Calibri"/>
                <w:szCs w:val="16"/>
              </w:rPr>
              <w:t>Amount of waste per person per year</w:t>
            </w:r>
          </w:p>
        </w:tc>
        <w:tc>
          <w:tcPr>
            <w:tcW w:w="992" w:type="dxa"/>
            <w:tcBorders>
              <w:top w:val="single" w:sz="4" w:space="0" w:color="365F91"/>
              <w:bottom w:val="single" w:sz="4" w:space="0" w:color="365F91"/>
            </w:tcBorders>
          </w:tcPr>
          <w:p w14:paraId="5139CA6A" w14:textId="77777777" w:rsidR="00A71B0D" w:rsidRPr="00D9348B" w:rsidRDefault="00A71B0D" w:rsidP="00DB330E">
            <w:pPr>
              <w:pStyle w:val="TableText"/>
              <w:rPr>
                <w:rFonts w:eastAsia="Calibri" w:cs="Calibri"/>
                <w:szCs w:val="16"/>
              </w:rPr>
            </w:pPr>
            <w:r w:rsidRPr="00D9348B">
              <w:rPr>
                <w:rFonts w:eastAsia="Calibri" w:cs="Calibri"/>
                <w:szCs w:val="16"/>
              </w:rPr>
              <w:t>690 kg</w:t>
            </w:r>
          </w:p>
        </w:tc>
        <w:tc>
          <w:tcPr>
            <w:tcW w:w="1984" w:type="dxa"/>
            <w:tcBorders>
              <w:top w:val="single" w:sz="4" w:space="0" w:color="365F91"/>
              <w:bottom w:val="single" w:sz="4" w:space="0" w:color="365F91"/>
            </w:tcBorders>
          </w:tcPr>
          <w:p w14:paraId="3117256E" w14:textId="77777777" w:rsidR="00A71B0D" w:rsidRPr="00D9348B" w:rsidRDefault="00A71B0D" w:rsidP="00DB330E">
            <w:pPr>
              <w:pStyle w:val="TableText"/>
              <w:rPr>
                <w:rFonts w:eastAsia="Calibri" w:cs="Calibri"/>
                <w:szCs w:val="16"/>
              </w:rPr>
            </w:pPr>
            <w:r w:rsidRPr="00D9348B">
              <w:rPr>
                <w:rFonts w:eastAsia="Calibri" w:cs="Calibri"/>
                <w:szCs w:val="16"/>
              </w:rPr>
              <w:t>IPCC default for Oceania</w:t>
            </w:r>
          </w:p>
        </w:tc>
        <w:tc>
          <w:tcPr>
            <w:tcW w:w="2835" w:type="dxa"/>
            <w:tcBorders>
              <w:top w:val="single" w:sz="4" w:space="0" w:color="365F91"/>
              <w:bottom w:val="single" w:sz="4" w:space="0" w:color="365F91"/>
            </w:tcBorders>
          </w:tcPr>
          <w:p w14:paraId="6003B1BE" w14:textId="77777777" w:rsidR="00A71B0D" w:rsidRPr="00D9348B" w:rsidRDefault="00A71B0D" w:rsidP="00DB330E">
            <w:pPr>
              <w:pStyle w:val="TableText"/>
              <w:rPr>
                <w:rFonts w:eastAsia="Calibri" w:cs="Calibri"/>
                <w:szCs w:val="16"/>
              </w:rPr>
            </w:pPr>
            <w:r w:rsidRPr="00D9348B">
              <w:rPr>
                <w:rFonts w:eastAsia="Calibri" w:cs="Calibri"/>
                <w:szCs w:val="16"/>
              </w:rPr>
              <w:t xml:space="preserve">Annex 2A.1, IPCC, 2006d </w:t>
            </w:r>
          </w:p>
        </w:tc>
      </w:tr>
      <w:tr w:rsidR="00A71B0D" w:rsidRPr="00D9348B" w14:paraId="28722DDE" w14:textId="77777777" w:rsidTr="00EA71DA">
        <w:tc>
          <w:tcPr>
            <w:tcW w:w="2694" w:type="dxa"/>
            <w:tcBorders>
              <w:top w:val="single" w:sz="4" w:space="0" w:color="365F91"/>
              <w:bottom w:val="single" w:sz="4" w:space="0" w:color="365F91"/>
            </w:tcBorders>
          </w:tcPr>
          <w:p w14:paraId="4B39C18E" w14:textId="77777777" w:rsidR="00A71B0D" w:rsidRPr="00D9348B" w:rsidRDefault="00A71B0D" w:rsidP="00DB330E">
            <w:pPr>
              <w:pStyle w:val="TableText"/>
              <w:rPr>
                <w:rFonts w:eastAsia="Calibri" w:cs="Calibri"/>
                <w:szCs w:val="16"/>
              </w:rPr>
            </w:pPr>
            <w:r w:rsidRPr="00D9348B">
              <w:rPr>
                <w:rFonts w:eastAsia="Calibri" w:cs="Calibri"/>
                <w:szCs w:val="16"/>
              </w:rPr>
              <w:t>Amount of waste landfilled</w:t>
            </w:r>
          </w:p>
        </w:tc>
        <w:tc>
          <w:tcPr>
            <w:tcW w:w="992" w:type="dxa"/>
            <w:tcBorders>
              <w:top w:val="single" w:sz="4" w:space="0" w:color="365F91"/>
              <w:bottom w:val="single" w:sz="4" w:space="0" w:color="365F91"/>
            </w:tcBorders>
          </w:tcPr>
          <w:p w14:paraId="01C33CA1" w14:textId="77777777" w:rsidR="00A71B0D" w:rsidRPr="00D9348B" w:rsidRDefault="00A71B0D" w:rsidP="00DB330E">
            <w:pPr>
              <w:pStyle w:val="TableText"/>
              <w:rPr>
                <w:rFonts w:eastAsia="Calibri" w:cs="Calibri"/>
                <w:szCs w:val="16"/>
              </w:rPr>
            </w:pPr>
            <w:r w:rsidRPr="00D9348B">
              <w:rPr>
                <w:rFonts w:eastAsia="Calibri" w:cs="Calibri"/>
                <w:szCs w:val="16"/>
              </w:rPr>
              <w:t>50 per cent</w:t>
            </w:r>
          </w:p>
        </w:tc>
        <w:tc>
          <w:tcPr>
            <w:tcW w:w="1984" w:type="dxa"/>
            <w:tcBorders>
              <w:top w:val="single" w:sz="4" w:space="0" w:color="365F91"/>
              <w:bottom w:val="single" w:sz="4" w:space="0" w:color="365F91"/>
            </w:tcBorders>
          </w:tcPr>
          <w:p w14:paraId="39F9B060" w14:textId="77777777" w:rsidR="00A71B0D" w:rsidRPr="00D9348B" w:rsidRDefault="00A71B0D" w:rsidP="00DB330E">
            <w:pPr>
              <w:pStyle w:val="TableText"/>
              <w:rPr>
                <w:rFonts w:eastAsia="Calibri" w:cs="Calibri"/>
                <w:szCs w:val="16"/>
              </w:rPr>
            </w:pPr>
            <w:r w:rsidRPr="00D9348B">
              <w:rPr>
                <w:rFonts w:eastAsia="Calibri" w:cs="Calibri"/>
                <w:szCs w:val="16"/>
              </w:rPr>
              <w:t>Assumption</w:t>
            </w:r>
          </w:p>
        </w:tc>
        <w:tc>
          <w:tcPr>
            <w:tcW w:w="2835" w:type="dxa"/>
            <w:tcBorders>
              <w:top w:val="single" w:sz="4" w:space="0" w:color="365F91"/>
              <w:bottom w:val="single" w:sz="4" w:space="0" w:color="365F91"/>
            </w:tcBorders>
          </w:tcPr>
          <w:p w14:paraId="3AF01C15" w14:textId="77777777" w:rsidR="00A71B0D" w:rsidRPr="00D9348B" w:rsidRDefault="00A71B0D" w:rsidP="00DB330E">
            <w:pPr>
              <w:pStyle w:val="TableText"/>
              <w:rPr>
                <w:rFonts w:eastAsia="Calibri" w:cs="Calibri"/>
                <w:szCs w:val="16"/>
              </w:rPr>
            </w:pPr>
          </w:p>
        </w:tc>
      </w:tr>
    </w:tbl>
    <w:p w14:paraId="3F566821" w14:textId="77777777" w:rsidR="00A71B0D" w:rsidRPr="00D9348B" w:rsidRDefault="00A71B0D" w:rsidP="00A71B0D">
      <w:pPr>
        <w:pStyle w:val="Noteundertable"/>
      </w:pPr>
      <w:r w:rsidRPr="00D9348B">
        <w:rPr>
          <w:b/>
        </w:rPr>
        <w:t>Note:</w:t>
      </w:r>
      <w:r w:rsidRPr="00D9348B">
        <w:t xml:space="preserve"> </w:t>
      </w:r>
      <w:r w:rsidRPr="00D9348B">
        <w:tab/>
        <w:t xml:space="preserve">MSW = municipal waste disposal; </w:t>
      </w:r>
      <w:r w:rsidRPr="00D9348B">
        <w:rPr>
          <w:rFonts w:eastAsia="Calibri"/>
        </w:rPr>
        <w:t>DOC</w:t>
      </w:r>
      <w:r w:rsidRPr="00D9348B">
        <w:t xml:space="preserve"> = degradable organic carbon; SWDS = solid waste disposable sites.</w:t>
      </w:r>
    </w:p>
    <w:p w14:paraId="70E58297" w14:textId="77777777" w:rsidR="00A71B0D" w:rsidRPr="00D9348B" w:rsidRDefault="00A71B0D" w:rsidP="00865BDB">
      <w:pPr>
        <w:pStyle w:val="Heading4"/>
      </w:pPr>
      <w:r w:rsidRPr="00D9348B">
        <w:lastRenderedPageBreak/>
        <w:t>Uncertainty</w:t>
      </w:r>
    </w:p>
    <w:p w14:paraId="2FCFDB6F" w14:textId="77777777" w:rsidR="00A71B0D" w:rsidRPr="00D9348B" w:rsidRDefault="00A71B0D" w:rsidP="00A71B0D">
      <w:pPr>
        <w:pStyle w:val="BodyText"/>
      </w:pPr>
      <w:r w:rsidRPr="00D9348B">
        <w:t>The same uncertainty data for uncategorised landfills were used for Tokelau and New Zealand (table 7.2.9, chapter 7 of the NIR; for methodological notes, refer to the uncertainties</w:t>
      </w:r>
      <w:r w:rsidRPr="00D9348B">
        <w:rPr>
          <w:i/>
        </w:rPr>
        <w:t xml:space="preserve"> </w:t>
      </w:r>
      <w:r w:rsidRPr="00D9348B">
        <w:t>for the</w:t>
      </w:r>
      <w:r w:rsidRPr="00D9348B">
        <w:rPr>
          <w:i/>
        </w:rPr>
        <w:t xml:space="preserve"> Solid waste</w:t>
      </w:r>
      <w:r w:rsidRPr="00D9348B">
        <w:t xml:space="preserve"> category, section 7.2.3, chapter 7 of the NIR and table 8.5.2). </w:t>
      </w:r>
    </w:p>
    <w:p w14:paraId="5421FF79" w14:textId="77777777" w:rsidR="00A71B0D" w:rsidRPr="00D9348B" w:rsidRDefault="00A71B0D" w:rsidP="00A71B0D">
      <w:pPr>
        <w:pStyle w:val="Table"/>
      </w:pPr>
      <w:bookmarkStart w:id="3001" w:name="_Toc5269603"/>
      <w:bookmarkStart w:id="3002" w:name="_Toc36224684"/>
      <w:r w:rsidRPr="00D9348B">
        <w:t>Table 8.5.2</w:t>
      </w:r>
      <w:r w:rsidRPr="00D9348B">
        <w:tab/>
        <w:t>Uncertainty in emissions from the Solid waste disposal category</w:t>
      </w:r>
      <w:bookmarkEnd w:id="3001"/>
      <w:bookmarkEnd w:id="3002"/>
    </w:p>
    <w:tbl>
      <w:tblPr>
        <w:tblW w:w="8505" w:type="dxa"/>
        <w:tblInd w:w="108" w:type="dxa"/>
        <w:tblBorders>
          <w:top w:val="single" w:sz="4" w:space="0" w:color="365F91"/>
          <w:bottom w:val="single" w:sz="4" w:space="0" w:color="365F91"/>
          <w:insideH w:val="single" w:sz="4" w:space="0" w:color="365F91"/>
        </w:tblBorders>
        <w:tblCellMar>
          <w:left w:w="0" w:type="dxa"/>
          <w:right w:w="0" w:type="dxa"/>
        </w:tblCellMar>
        <w:tblLook w:val="04A0" w:firstRow="1" w:lastRow="0" w:firstColumn="1" w:lastColumn="0" w:noHBand="0" w:noVBand="1"/>
      </w:tblPr>
      <w:tblGrid>
        <w:gridCol w:w="2835"/>
        <w:gridCol w:w="2694"/>
        <w:gridCol w:w="2976"/>
      </w:tblGrid>
      <w:tr w:rsidR="00A71B0D" w:rsidRPr="00D9348B" w14:paraId="62DA146C" w14:textId="77777777" w:rsidTr="00AB0571">
        <w:trPr>
          <w:tblHeader/>
        </w:trPr>
        <w:tc>
          <w:tcPr>
            <w:tcW w:w="2835" w:type="dxa"/>
            <w:shd w:val="clear" w:color="auto" w:fill="365F91"/>
            <w:tcMar>
              <w:top w:w="0" w:type="dxa"/>
              <w:left w:w="108" w:type="dxa"/>
              <w:bottom w:w="0" w:type="dxa"/>
              <w:right w:w="108" w:type="dxa"/>
            </w:tcMar>
            <w:vAlign w:val="bottom"/>
            <w:hideMark/>
          </w:tcPr>
          <w:p w14:paraId="3752B01B" w14:textId="77777777" w:rsidR="00A71B0D" w:rsidRPr="00D9348B" w:rsidRDefault="00A71B0D" w:rsidP="00DB330E">
            <w:pPr>
              <w:pStyle w:val="TableTextBold"/>
              <w:keepNext/>
              <w:spacing w:before="50" w:after="50"/>
              <w:rPr>
                <w:noProof w:val="0"/>
                <w:color w:val="FFFFFF"/>
                <w:szCs w:val="16"/>
              </w:rPr>
            </w:pPr>
            <w:r w:rsidRPr="00D9348B">
              <w:rPr>
                <w:noProof w:val="0"/>
                <w:color w:val="FFFFFF"/>
                <w:szCs w:val="16"/>
              </w:rPr>
              <w:t>Emissions category</w:t>
            </w:r>
          </w:p>
        </w:tc>
        <w:tc>
          <w:tcPr>
            <w:tcW w:w="2694" w:type="dxa"/>
            <w:shd w:val="clear" w:color="auto" w:fill="365F91"/>
            <w:tcMar>
              <w:top w:w="0" w:type="dxa"/>
              <w:left w:w="108" w:type="dxa"/>
              <w:bottom w:w="0" w:type="dxa"/>
              <w:right w:w="108" w:type="dxa"/>
            </w:tcMar>
            <w:vAlign w:val="bottom"/>
            <w:hideMark/>
          </w:tcPr>
          <w:p w14:paraId="7A3ACBE7" w14:textId="77777777" w:rsidR="00A71B0D" w:rsidRPr="00D9348B" w:rsidRDefault="00A71B0D" w:rsidP="00DB330E">
            <w:pPr>
              <w:pStyle w:val="TableTextBold"/>
              <w:keepNext/>
              <w:spacing w:before="50" w:after="50"/>
              <w:jc w:val="center"/>
              <w:rPr>
                <w:noProof w:val="0"/>
                <w:color w:val="FFFFFF"/>
                <w:szCs w:val="16"/>
              </w:rPr>
            </w:pPr>
            <w:r w:rsidRPr="00D9348B">
              <w:rPr>
                <w:noProof w:val="0"/>
                <w:color w:val="FFFFFF"/>
                <w:szCs w:val="16"/>
              </w:rPr>
              <w:t>Uncertainty in activity data (%)</w:t>
            </w:r>
          </w:p>
        </w:tc>
        <w:tc>
          <w:tcPr>
            <w:tcW w:w="2976" w:type="dxa"/>
            <w:shd w:val="clear" w:color="auto" w:fill="365F91"/>
            <w:tcMar>
              <w:top w:w="0" w:type="dxa"/>
              <w:left w:w="108" w:type="dxa"/>
              <w:bottom w:w="0" w:type="dxa"/>
              <w:right w:w="108" w:type="dxa"/>
            </w:tcMar>
            <w:vAlign w:val="bottom"/>
            <w:hideMark/>
          </w:tcPr>
          <w:p w14:paraId="3CAD63CA" w14:textId="77777777" w:rsidR="00A71B0D" w:rsidRPr="00D9348B" w:rsidRDefault="00A71B0D" w:rsidP="00DB330E">
            <w:pPr>
              <w:pStyle w:val="TableTextBold"/>
              <w:keepNext/>
              <w:spacing w:before="50" w:after="50"/>
              <w:jc w:val="center"/>
              <w:rPr>
                <w:noProof w:val="0"/>
                <w:color w:val="FFFFFF"/>
                <w:szCs w:val="16"/>
              </w:rPr>
            </w:pPr>
            <w:r w:rsidRPr="00D9348B">
              <w:rPr>
                <w:noProof w:val="0"/>
                <w:color w:val="FFFFFF"/>
                <w:szCs w:val="16"/>
              </w:rPr>
              <w:t>Uncertainty in emission factors (%)</w:t>
            </w:r>
          </w:p>
        </w:tc>
      </w:tr>
      <w:tr w:rsidR="00A71B0D" w:rsidRPr="00D9348B" w14:paraId="2FDD3161" w14:textId="77777777" w:rsidTr="00AB0571">
        <w:tc>
          <w:tcPr>
            <w:tcW w:w="2835" w:type="dxa"/>
            <w:shd w:val="clear" w:color="auto" w:fill="FFFFFF"/>
            <w:tcMar>
              <w:top w:w="0" w:type="dxa"/>
              <w:left w:w="108" w:type="dxa"/>
              <w:bottom w:w="0" w:type="dxa"/>
              <w:right w:w="108" w:type="dxa"/>
            </w:tcMar>
            <w:hideMark/>
          </w:tcPr>
          <w:p w14:paraId="634E5D7B" w14:textId="77777777" w:rsidR="00A71B0D" w:rsidRPr="00D9348B" w:rsidRDefault="00A71B0D" w:rsidP="00DB330E">
            <w:pPr>
              <w:pStyle w:val="TableText"/>
              <w:spacing w:before="50" w:after="50"/>
              <w:rPr>
                <w:szCs w:val="16"/>
              </w:rPr>
            </w:pPr>
            <w:r w:rsidRPr="00D9348B">
              <w:rPr>
                <w:szCs w:val="16"/>
              </w:rPr>
              <w:t>Uncategorised landfills</w:t>
            </w:r>
          </w:p>
        </w:tc>
        <w:tc>
          <w:tcPr>
            <w:tcW w:w="2694" w:type="dxa"/>
            <w:shd w:val="clear" w:color="auto" w:fill="FFFFFF"/>
            <w:tcMar>
              <w:top w:w="0" w:type="dxa"/>
              <w:left w:w="108" w:type="dxa"/>
              <w:bottom w:w="0" w:type="dxa"/>
              <w:right w:w="108" w:type="dxa"/>
            </w:tcMar>
            <w:hideMark/>
          </w:tcPr>
          <w:p w14:paraId="50652740" w14:textId="77777777" w:rsidR="00A71B0D" w:rsidRPr="00D9348B" w:rsidRDefault="00A71B0D" w:rsidP="00DB330E">
            <w:pPr>
              <w:pStyle w:val="TableText"/>
              <w:spacing w:before="50" w:after="50"/>
              <w:jc w:val="center"/>
              <w:rPr>
                <w:szCs w:val="16"/>
              </w:rPr>
            </w:pPr>
            <w:r w:rsidRPr="00D9348B">
              <w:rPr>
                <w:szCs w:val="16"/>
              </w:rPr>
              <w:t>±140</w:t>
            </w:r>
          </w:p>
        </w:tc>
        <w:tc>
          <w:tcPr>
            <w:tcW w:w="2976" w:type="dxa"/>
            <w:shd w:val="clear" w:color="auto" w:fill="FFFFFF"/>
            <w:tcMar>
              <w:top w:w="0" w:type="dxa"/>
              <w:left w:w="108" w:type="dxa"/>
              <w:bottom w:w="0" w:type="dxa"/>
              <w:right w:w="108" w:type="dxa"/>
            </w:tcMar>
            <w:hideMark/>
          </w:tcPr>
          <w:p w14:paraId="539FADD9" w14:textId="77777777" w:rsidR="00A71B0D" w:rsidRPr="00D9348B" w:rsidRDefault="00A71B0D" w:rsidP="00DB330E">
            <w:pPr>
              <w:pStyle w:val="TableText"/>
              <w:spacing w:before="50" w:after="50"/>
              <w:jc w:val="center"/>
              <w:rPr>
                <w:szCs w:val="16"/>
              </w:rPr>
            </w:pPr>
            <w:r w:rsidRPr="00D9348B">
              <w:rPr>
                <w:szCs w:val="16"/>
              </w:rPr>
              <w:t>±40</w:t>
            </w:r>
          </w:p>
        </w:tc>
      </w:tr>
    </w:tbl>
    <w:p w14:paraId="53BC1E05" w14:textId="77777777" w:rsidR="00A71B0D" w:rsidRPr="00D9348B" w:rsidRDefault="00A71B0D" w:rsidP="00A71B0D">
      <w:pPr>
        <w:pStyle w:val="Heading3"/>
        <w:spacing w:before="480"/>
      </w:pPr>
      <w:r w:rsidRPr="00D9348B">
        <w:t xml:space="preserve">8.5.2 </w:t>
      </w:r>
      <w:r w:rsidRPr="00D9348B">
        <w:tab/>
        <w:t>Emissions from Open burning and incineration in Tokelau</w:t>
      </w:r>
    </w:p>
    <w:p w14:paraId="72D8801A" w14:textId="77777777" w:rsidR="00A71B0D" w:rsidRPr="00D9348B" w:rsidRDefault="00A71B0D" w:rsidP="00A71B0D">
      <w:pPr>
        <w:pStyle w:val="BodyText"/>
      </w:pPr>
      <w:r w:rsidRPr="00D9348B">
        <w:t xml:space="preserve">Because there are no major incineration facilities in Tokelau, all emissions associated with waste burning are reported under the </w:t>
      </w:r>
      <w:r w:rsidRPr="00D9348B">
        <w:rPr>
          <w:i/>
        </w:rPr>
        <w:t>Open burning</w:t>
      </w:r>
      <w:r w:rsidRPr="00D9348B">
        <w:t xml:space="preserve"> category. Carbon dioxide, CH</w:t>
      </w:r>
      <w:r w:rsidRPr="00D9348B">
        <w:rPr>
          <w:vertAlign w:val="subscript"/>
        </w:rPr>
        <w:t>4</w:t>
      </w:r>
      <w:r w:rsidRPr="00D9348B">
        <w:t xml:space="preserve"> and N</w:t>
      </w:r>
      <w:r w:rsidRPr="00D9348B">
        <w:rPr>
          <w:vertAlign w:val="subscript"/>
        </w:rPr>
        <w:t>2</w:t>
      </w:r>
      <w:r w:rsidRPr="00D9348B">
        <w:t>O are reported in this category.</w:t>
      </w:r>
    </w:p>
    <w:p w14:paraId="76B760ED" w14:textId="77777777" w:rsidR="00A71B0D" w:rsidRPr="00D9348B" w:rsidRDefault="00A71B0D" w:rsidP="00A71B0D">
      <w:pPr>
        <w:pStyle w:val="BodyText"/>
      </w:pPr>
      <w:r w:rsidRPr="00D9348B">
        <w:t>The composition of solid waste for CO</w:t>
      </w:r>
      <w:r w:rsidRPr="00D9348B">
        <w:rPr>
          <w:vertAlign w:val="subscript"/>
        </w:rPr>
        <w:t>2</w:t>
      </w:r>
      <w:r w:rsidRPr="00D9348B">
        <w:t xml:space="preserve"> from open burning is the same as for landfills, except that the 24 per cent ‘inert’ is considered to be ‘other inert’ for open burning purposes (and not disaggregated into glass, metal, plastic and so on). Keeping the 24 per cent in ‘other inert’ is likely to result in an overestimate.</w:t>
      </w:r>
    </w:p>
    <w:p w14:paraId="740E4B1F" w14:textId="77777777" w:rsidR="00A71B0D" w:rsidRPr="00D9348B" w:rsidRDefault="00A71B0D" w:rsidP="00A71B0D">
      <w:pPr>
        <w:pStyle w:val="BodyText"/>
      </w:pPr>
      <w:r w:rsidRPr="00D9348B">
        <w:t>The emission factors for open burning of solid waste for CH</w:t>
      </w:r>
      <w:r w:rsidRPr="00D9348B">
        <w:rPr>
          <w:vertAlign w:val="subscript"/>
        </w:rPr>
        <w:t>4</w:t>
      </w:r>
      <w:r w:rsidRPr="00D9348B">
        <w:t xml:space="preserve"> and N</w:t>
      </w:r>
      <w:r w:rsidRPr="00D9348B">
        <w:rPr>
          <w:vertAlign w:val="subscript"/>
        </w:rPr>
        <w:t>2</w:t>
      </w:r>
      <w:r w:rsidRPr="00D9348B">
        <w:t>O are the IPCC defaults for municipal solid waste and are based on a generic waste composition. It is not clear if this will over- or under-estimate emissions.</w:t>
      </w:r>
    </w:p>
    <w:p w14:paraId="6364DB2C" w14:textId="77777777" w:rsidR="00A71B0D" w:rsidRPr="00D9348B" w:rsidRDefault="00A71B0D" w:rsidP="00A71B0D">
      <w:pPr>
        <w:pStyle w:val="BodyText"/>
      </w:pPr>
      <w:r w:rsidRPr="00D9348B">
        <w:t xml:space="preserve">The category </w:t>
      </w:r>
      <w:r w:rsidRPr="00D9348B">
        <w:rPr>
          <w:i/>
        </w:rPr>
        <w:t xml:space="preserve">Open burning and incineration </w:t>
      </w:r>
      <w:r w:rsidRPr="00D9348B">
        <w:t>contributes 17.6 per cent to the total Waste sector emissions in Tokelau, which amounts to 0.12 kt CO</w:t>
      </w:r>
      <w:r w:rsidRPr="00D9348B">
        <w:rPr>
          <w:vertAlign w:val="subscript"/>
        </w:rPr>
        <w:t>2</w:t>
      </w:r>
      <w:r w:rsidRPr="00D9348B">
        <w:t>-e.</w:t>
      </w:r>
    </w:p>
    <w:p w14:paraId="2F390B04" w14:textId="77777777" w:rsidR="00A71B0D" w:rsidRPr="00D9348B" w:rsidRDefault="00A71B0D" w:rsidP="00865BDB">
      <w:pPr>
        <w:pStyle w:val="Heading4"/>
      </w:pPr>
      <w:r w:rsidRPr="00D9348B">
        <w:t>Methodological issues</w:t>
      </w:r>
    </w:p>
    <w:p w14:paraId="3A685EBD" w14:textId="77777777" w:rsidR="00A71B0D" w:rsidRPr="00D9348B" w:rsidRDefault="00A71B0D" w:rsidP="00A71B0D">
      <w:pPr>
        <w:pStyle w:val="Heading5"/>
        <w:spacing w:before="160"/>
      </w:pPr>
      <w:r w:rsidRPr="00D9348B">
        <w:t>Activity data</w:t>
      </w:r>
    </w:p>
    <w:p w14:paraId="51073AAC" w14:textId="77777777" w:rsidR="00A71B0D" w:rsidRPr="00D9348B" w:rsidRDefault="00A71B0D" w:rsidP="00A71B0D">
      <w:pPr>
        <w:pStyle w:val="BodyText"/>
      </w:pPr>
      <w:r w:rsidRPr="00D9348B">
        <w:t>The calculations are based on Tokelau’s population data and assume that 50 per cent of the waste is landfilled and the other 50 per cent is burned. This information is reported as ‘non</w:t>
      </w:r>
      <w:r w:rsidRPr="00D9348B">
        <w:noBreakHyphen/>
        <w:t>biogenic’ open burning, because only fossil carbon is reported, and the emission factors for CH</w:t>
      </w:r>
      <w:r w:rsidRPr="00D9348B">
        <w:rPr>
          <w:vertAlign w:val="subscript"/>
        </w:rPr>
        <w:t>4</w:t>
      </w:r>
      <w:r w:rsidRPr="00D9348B">
        <w:t xml:space="preserve"> and N</w:t>
      </w:r>
      <w:r w:rsidRPr="00D9348B">
        <w:rPr>
          <w:vertAlign w:val="subscript"/>
        </w:rPr>
        <w:t>2</w:t>
      </w:r>
      <w:r w:rsidRPr="00D9348B">
        <w:t>O are for municipal solid waste, which does not distinguish biogenic and non</w:t>
      </w:r>
      <w:r w:rsidRPr="00D9348B">
        <w:noBreakHyphen/>
        <w:t xml:space="preserve">biogenic wastes. </w:t>
      </w:r>
    </w:p>
    <w:p w14:paraId="1D62B34D" w14:textId="77777777" w:rsidR="00A71B0D" w:rsidRPr="00D9348B" w:rsidRDefault="00A71B0D" w:rsidP="00A71B0D">
      <w:pPr>
        <w:pStyle w:val="Heading5"/>
      </w:pPr>
      <w:r w:rsidRPr="00D9348B">
        <w:t>Methods and emission factors</w:t>
      </w:r>
    </w:p>
    <w:p w14:paraId="6E854A24" w14:textId="77777777" w:rsidR="00A71B0D" w:rsidRPr="00D9348B" w:rsidRDefault="00A71B0D" w:rsidP="00A71B0D">
      <w:pPr>
        <w:pStyle w:val="BodyText"/>
      </w:pPr>
      <w:r w:rsidRPr="00D9348B">
        <w:t>A Tier 1 methodology with default 2006 IPCC parameters was used for calculating emissions from this category.</w:t>
      </w:r>
    </w:p>
    <w:p w14:paraId="0A7A37A0" w14:textId="77777777" w:rsidR="00A71B0D" w:rsidRPr="00D9348B" w:rsidRDefault="00A71B0D" w:rsidP="00A71B0D">
      <w:pPr>
        <w:pStyle w:val="BodyText"/>
      </w:pPr>
      <w:r w:rsidRPr="00D9348B">
        <w:t>The emission factor for CO</w:t>
      </w:r>
      <w:r w:rsidRPr="00D9348B">
        <w:rPr>
          <w:vertAlign w:val="subscript"/>
        </w:rPr>
        <w:t>2</w:t>
      </w:r>
      <w:r w:rsidRPr="00D9348B">
        <w:t xml:space="preserve"> was the weighted average of calculated factors from table 8.5.3 and a 58 per cent oxidation factor for open burning. For other gases, the following 2006 IPCC default emission factors were used: for CH</w:t>
      </w:r>
      <w:r w:rsidRPr="00D9348B">
        <w:rPr>
          <w:vertAlign w:val="subscript"/>
        </w:rPr>
        <w:t>4</w:t>
      </w:r>
      <w:r w:rsidRPr="00D9348B">
        <w:t>, the default emission factor for municipal solid waste in section 5.4.2 (6,500 kg CH</w:t>
      </w:r>
      <w:r w:rsidRPr="00D9348B">
        <w:rPr>
          <w:vertAlign w:val="subscript"/>
        </w:rPr>
        <w:t>4</w:t>
      </w:r>
      <w:r w:rsidRPr="00D9348B">
        <w:t>/gigagrams (Gg) wet waste); for N</w:t>
      </w:r>
      <w:r w:rsidRPr="00D9348B">
        <w:rPr>
          <w:vertAlign w:val="subscript"/>
        </w:rPr>
        <w:t>2</w:t>
      </w:r>
      <w:r w:rsidRPr="00D9348B">
        <w:t>O, the default emission factor for open burning of municipal solid waste from table 5.6 (150 kg N</w:t>
      </w:r>
      <w:r w:rsidRPr="00D9348B">
        <w:rPr>
          <w:vertAlign w:val="subscript"/>
        </w:rPr>
        <w:t>2</w:t>
      </w:r>
      <w:r w:rsidRPr="00D9348B">
        <w:t>O/Gg dry waste) (IPCC, 2006d). Converted waste volume to dry weight by using dry matter conversion was calculated for CO</w:t>
      </w:r>
      <w:r w:rsidRPr="00D9348B">
        <w:rPr>
          <w:vertAlign w:val="subscript"/>
        </w:rPr>
        <w:t>2</w:t>
      </w:r>
      <w:r w:rsidRPr="00D9348B">
        <w:t xml:space="preserve"> (56.1 per cent). Table 8.5.3 shows waste type and the composition data based on default 2006 IPCC parameters used in estimating emissions from 5.C.2.</w:t>
      </w:r>
    </w:p>
    <w:p w14:paraId="0DB4A203" w14:textId="77777777" w:rsidR="00A71B0D" w:rsidRPr="00D9348B" w:rsidRDefault="00A71B0D" w:rsidP="00A71B0D">
      <w:pPr>
        <w:pStyle w:val="Table"/>
        <w:rPr>
          <w:rFonts w:eastAsia="Calibri" w:cs="Arial"/>
          <w:szCs w:val="16"/>
        </w:rPr>
      </w:pPr>
      <w:bookmarkStart w:id="3003" w:name="_Toc5269604"/>
      <w:bookmarkStart w:id="3004" w:name="_Toc36224685"/>
      <w:r w:rsidRPr="00D9348B">
        <w:rPr>
          <w:rFonts w:eastAsia="Calibri" w:cs="Arial"/>
          <w:szCs w:val="16"/>
        </w:rPr>
        <w:lastRenderedPageBreak/>
        <w:t>Table 8.5.3</w:t>
      </w:r>
      <w:r w:rsidRPr="00D9348B">
        <w:rPr>
          <w:rFonts w:eastAsia="Calibri" w:cs="Arial"/>
          <w:szCs w:val="16"/>
        </w:rPr>
        <w:tab/>
        <w:t>Composition data and carbon content used for estimating emissions from 5.C.2</w:t>
      </w:r>
      <w:bookmarkEnd w:id="3003"/>
      <w:bookmarkEnd w:id="3004"/>
    </w:p>
    <w:tbl>
      <w:tblPr>
        <w:tblW w:w="8505" w:type="dxa"/>
        <w:tblInd w:w="108" w:type="dxa"/>
        <w:tblBorders>
          <w:top w:val="single" w:sz="4" w:space="0" w:color="365F91"/>
          <w:bottom w:val="single" w:sz="4" w:space="0" w:color="365F91"/>
          <w:insideH w:val="single" w:sz="4" w:space="0" w:color="365F91"/>
          <w:insideV w:val="single" w:sz="4" w:space="0" w:color="365F91"/>
        </w:tblBorders>
        <w:tblLook w:val="04A0" w:firstRow="1" w:lastRow="0" w:firstColumn="1" w:lastColumn="0" w:noHBand="0" w:noVBand="1"/>
      </w:tblPr>
      <w:tblGrid>
        <w:gridCol w:w="2019"/>
        <w:gridCol w:w="1587"/>
        <w:gridCol w:w="1497"/>
        <w:gridCol w:w="1134"/>
        <w:gridCol w:w="1276"/>
        <w:gridCol w:w="992"/>
      </w:tblGrid>
      <w:tr w:rsidR="00A71B0D" w:rsidRPr="00D9348B" w14:paraId="636616CE" w14:textId="77777777" w:rsidTr="00DB4D4F">
        <w:tc>
          <w:tcPr>
            <w:tcW w:w="2019" w:type="dxa"/>
            <w:shd w:val="clear" w:color="auto" w:fill="365F91"/>
            <w:vAlign w:val="bottom"/>
          </w:tcPr>
          <w:p w14:paraId="65B7F8FF" w14:textId="77777777" w:rsidR="00A71B0D" w:rsidRPr="00D9348B" w:rsidRDefault="00A71B0D" w:rsidP="00DB330E">
            <w:pPr>
              <w:pStyle w:val="TableTextBold"/>
              <w:rPr>
                <w:rFonts w:eastAsia="Calibri" w:cs="Calibri"/>
                <w:bCs/>
                <w:noProof w:val="0"/>
                <w:color w:val="FFFFFF"/>
                <w:szCs w:val="16"/>
              </w:rPr>
            </w:pPr>
            <w:r w:rsidRPr="00D9348B">
              <w:rPr>
                <w:rFonts w:eastAsia="Calibri" w:cs="Calibri"/>
                <w:bCs/>
                <w:noProof w:val="0"/>
                <w:color w:val="FFFFFF"/>
                <w:szCs w:val="16"/>
              </w:rPr>
              <w:t>Waste type</w:t>
            </w:r>
          </w:p>
        </w:tc>
        <w:tc>
          <w:tcPr>
            <w:tcW w:w="1587" w:type="dxa"/>
            <w:shd w:val="clear" w:color="auto" w:fill="365F91"/>
            <w:vAlign w:val="bottom"/>
          </w:tcPr>
          <w:p w14:paraId="5DD83968" w14:textId="77777777" w:rsidR="00A71B0D" w:rsidRPr="00D9348B" w:rsidRDefault="00A71B0D" w:rsidP="00DB330E">
            <w:pPr>
              <w:pStyle w:val="TableTextBold"/>
              <w:jc w:val="center"/>
              <w:rPr>
                <w:rFonts w:eastAsia="Calibri" w:cs="Calibri"/>
                <w:bCs/>
                <w:noProof w:val="0"/>
                <w:color w:val="FFFFFF"/>
                <w:szCs w:val="16"/>
              </w:rPr>
            </w:pPr>
            <w:r w:rsidRPr="00D9348B">
              <w:rPr>
                <w:rFonts w:eastAsia="Calibri" w:cs="Calibri"/>
                <w:bCs/>
                <w:noProof w:val="0"/>
                <w:color w:val="FFFFFF"/>
                <w:szCs w:val="16"/>
              </w:rPr>
              <w:t>Landfill composition (%)</w:t>
            </w:r>
          </w:p>
        </w:tc>
        <w:tc>
          <w:tcPr>
            <w:tcW w:w="1497" w:type="dxa"/>
            <w:shd w:val="clear" w:color="auto" w:fill="365F91"/>
            <w:vAlign w:val="bottom"/>
          </w:tcPr>
          <w:p w14:paraId="4B1F44C4" w14:textId="77777777" w:rsidR="00A71B0D" w:rsidRPr="00D9348B" w:rsidRDefault="00A71B0D" w:rsidP="00DB330E">
            <w:pPr>
              <w:pStyle w:val="TableTextBold"/>
              <w:jc w:val="center"/>
              <w:rPr>
                <w:rFonts w:eastAsia="Calibri" w:cs="Calibri"/>
                <w:bCs/>
                <w:noProof w:val="0"/>
                <w:color w:val="FFFFFF"/>
                <w:szCs w:val="16"/>
              </w:rPr>
            </w:pPr>
            <w:r w:rsidRPr="00D9348B">
              <w:rPr>
                <w:rFonts w:eastAsia="Calibri" w:cs="Calibri"/>
                <w:bCs/>
                <w:noProof w:val="0"/>
                <w:color w:val="FFFFFF"/>
                <w:szCs w:val="16"/>
              </w:rPr>
              <w:t>CO</w:t>
            </w:r>
            <w:r w:rsidRPr="00D9348B">
              <w:rPr>
                <w:rFonts w:eastAsia="Calibri" w:cs="Calibri"/>
                <w:bCs/>
                <w:noProof w:val="0"/>
                <w:color w:val="FFFFFF"/>
                <w:szCs w:val="16"/>
                <w:vertAlign w:val="subscript"/>
              </w:rPr>
              <w:t>2</w:t>
            </w:r>
            <w:r w:rsidRPr="00D9348B">
              <w:rPr>
                <w:rFonts w:eastAsia="Calibri" w:cs="Calibri"/>
                <w:bCs/>
                <w:noProof w:val="0"/>
                <w:color w:val="FFFFFF"/>
                <w:szCs w:val="16"/>
              </w:rPr>
              <w:t xml:space="preserve"> incineration composition (%)</w:t>
            </w:r>
          </w:p>
        </w:tc>
        <w:tc>
          <w:tcPr>
            <w:tcW w:w="1134" w:type="dxa"/>
            <w:shd w:val="clear" w:color="auto" w:fill="365F91"/>
            <w:vAlign w:val="bottom"/>
          </w:tcPr>
          <w:p w14:paraId="099DE1F5" w14:textId="77777777" w:rsidR="00A71B0D" w:rsidRPr="00D9348B" w:rsidRDefault="00A71B0D" w:rsidP="00DB330E">
            <w:pPr>
              <w:pStyle w:val="TableTextBold"/>
              <w:jc w:val="center"/>
              <w:rPr>
                <w:rFonts w:eastAsia="Calibri" w:cs="Calibri"/>
                <w:bCs/>
                <w:noProof w:val="0"/>
                <w:color w:val="FFFFFF"/>
                <w:szCs w:val="16"/>
              </w:rPr>
            </w:pPr>
            <w:r w:rsidRPr="00D9348B">
              <w:rPr>
                <w:rFonts w:eastAsia="Calibri" w:cs="Calibri"/>
                <w:bCs/>
                <w:noProof w:val="0"/>
                <w:color w:val="FFFFFF"/>
                <w:szCs w:val="16"/>
              </w:rPr>
              <w:t>Dry matter (%)</w:t>
            </w:r>
          </w:p>
        </w:tc>
        <w:tc>
          <w:tcPr>
            <w:tcW w:w="1276" w:type="dxa"/>
            <w:shd w:val="clear" w:color="auto" w:fill="365F91"/>
            <w:vAlign w:val="bottom"/>
          </w:tcPr>
          <w:p w14:paraId="08F223D0" w14:textId="77777777" w:rsidR="00A71B0D" w:rsidRPr="00D9348B" w:rsidRDefault="00A71B0D" w:rsidP="00DB330E">
            <w:pPr>
              <w:pStyle w:val="TableTextBold"/>
              <w:jc w:val="center"/>
              <w:rPr>
                <w:rFonts w:eastAsia="Calibri" w:cs="Calibri"/>
                <w:bCs/>
                <w:noProof w:val="0"/>
                <w:color w:val="FFFFFF"/>
                <w:szCs w:val="16"/>
              </w:rPr>
            </w:pPr>
            <w:r w:rsidRPr="00D9348B">
              <w:rPr>
                <w:rFonts w:eastAsia="Calibri" w:cs="Calibri"/>
                <w:bCs/>
                <w:noProof w:val="0"/>
                <w:color w:val="FFFFFF"/>
                <w:szCs w:val="16"/>
              </w:rPr>
              <w:t>Total carbon (%)</w:t>
            </w:r>
          </w:p>
        </w:tc>
        <w:tc>
          <w:tcPr>
            <w:tcW w:w="992" w:type="dxa"/>
            <w:shd w:val="clear" w:color="auto" w:fill="365F91"/>
            <w:vAlign w:val="bottom"/>
          </w:tcPr>
          <w:p w14:paraId="4C5491B1" w14:textId="77777777" w:rsidR="00A71B0D" w:rsidRPr="00D9348B" w:rsidRDefault="00A71B0D" w:rsidP="00DB330E">
            <w:pPr>
              <w:pStyle w:val="TableTextBold"/>
              <w:jc w:val="center"/>
              <w:rPr>
                <w:rFonts w:eastAsia="Calibri" w:cs="Calibri"/>
                <w:bCs/>
                <w:noProof w:val="0"/>
                <w:color w:val="FFFFFF"/>
                <w:szCs w:val="16"/>
              </w:rPr>
            </w:pPr>
            <w:r w:rsidRPr="00D9348B">
              <w:rPr>
                <w:rFonts w:eastAsia="Calibri" w:cs="Calibri"/>
                <w:bCs/>
                <w:noProof w:val="0"/>
                <w:color w:val="FFFFFF"/>
                <w:szCs w:val="16"/>
              </w:rPr>
              <w:t>Fossil carbon (%)</w:t>
            </w:r>
          </w:p>
        </w:tc>
      </w:tr>
      <w:tr w:rsidR="00A71B0D" w:rsidRPr="00D9348B" w14:paraId="54A064AF" w14:textId="77777777" w:rsidTr="00DB4D4F">
        <w:tc>
          <w:tcPr>
            <w:tcW w:w="2019" w:type="dxa"/>
            <w:shd w:val="clear" w:color="auto" w:fill="FFFFFF"/>
          </w:tcPr>
          <w:p w14:paraId="5E85BF11" w14:textId="77777777" w:rsidR="00A71B0D" w:rsidRPr="00D9348B" w:rsidRDefault="00A71B0D" w:rsidP="00DB330E">
            <w:pPr>
              <w:pStyle w:val="TableText"/>
              <w:rPr>
                <w:rFonts w:eastAsia="Calibri" w:cs="Calibri"/>
                <w:bCs/>
                <w:szCs w:val="16"/>
              </w:rPr>
            </w:pPr>
            <w:r w:rsidRPr="00D9348B">
              <w:rPr>
                <w:rFonts w:eastAsia="Calibri" w:cs="Calibri"/>
                <w:bCs/>
                <w:szCs w:val="16"/>
              </w:rPr>
              <w:t>Paper/card</w:t>
            </w:r>
          </w:p>
        </w:tc>
        <w:tc>
          <w:tcPr>
            <w:tcW w:w="3084" w:type="dxa"/>
            <w:gridSpan w:val="2"/>
            <w:shd w:val="clear" w:color="auto" w:fill="auto"/>
          </w:tcPr>
          <w:p w14:paraId="4BFFCE09" w14:textId="77777777" w:rsidR="00A71B0D" w:rsidRPr="00D9348B" w:rsidRDefault="00A71B0D" w:rsidP="00DB330E">
            <w:pPr>
              <w:pStyle w:val="TableText"/>
              <w:jc w:val="center"/>
              <w:rPr>
                <w:rFonts w:eastAsia="Calibri" w:cs="Calibri"/>
                <w:szCs w:val="16"/>
              </w:rPr>
            </w:pPr>
            <w:r w:rsidRPr="00D9348B">
              <w:rPr>
                <w:rFonts w:eastAsia="Calibri" w:cs="Calibri"/>
                <w:szCs w:val="16"/>
              </w:rPr>
              <w:t>6.0</w:t>
            </w:r>
          </w:p>
        </w:tc>
        <w:tc>
          <w:tcPr>
            <w:tcW w:w="1134" w:type="dxa"/>
            <w:shd w:val="clear" w:color="auto" w:fill="auto"/>
          </w:tcPr>
          <w:p w14:paraId="2F900776" w14:textId="77777777" w:rsidR="00A71B0D" w:rsidRPr="00D9348B" w:rsidRDefault="00A71B0D" w:rsidP="00DB330E">
            <w:pPr>
              <w:pStyle w:val="TableText"/>
              <w:jc w:val="center"/>
              <w:rPr>
                <w:rFonts w:eastAsia="Calibri" w:cs="Calibri"/>
                <w:szCs w:val="16"/>
              </w:rPr>
            </w:pPr>
            <w:r w:rsidRPr="00D9348B">
              <w:rPr>
                <w:rFonts w:eastAsia="Calibri" w:cs="Calibri"/>
                <w:szCs w:val="16"/>
              </w:rPr>
              <w:t>90</w:t>
            </w:r>
          </w:p>
        </w:tc>
        <w:tc>
          <w:tcPr>
            <w:tcW w:w="1276" w:type="dxa"/>
            <w:shd w:val="clear" w:color="auto" w:fill="auto"/>
          </w:tcPr>
          <w:p w14:paraId="437B0BB0" w14:textId="77777777" w:rsidR="00A71B0D" w:rsidRPr="00D9348B" w:rsidRDefault="00A71B0D" w:rsidP="00DB330E">
            <w:pPr>
              <w:pStyle w:val="TableText"/>
              <w:jc w:val="center"/>
              <w:rPr>
                <w:rFonts w:eastAsia="Calibri" w:cs="Calibri"/>
                <w:szCs w:val="16"/>
              </w:rPr>
            </w:pPr>
            <w:r w:rsidRPr="00D9348B">
              <w:rPr>
                <w:rFonts w:eastAsia="Calibri" w:cs="Calibri"/>
                <w:szCs w:val="16"/>
              </w:rPr>
              <w:t>43</w:t>
            </w:r>
          </w:p>
        </w:tc>
        <w:tc>
          <w:tcPr>
            <w:tcW w:w="992" w:type="dxa"/>
            <w:shd w:val="clear" w:color="auto" w:fill="auto"/>
          </w:tcPr>
          <w:p w14:paraId="627C4643" w14:textId="77777777" w:rsidR="00A71B0D" w:rsidRPr="00D9348B" w:rsidRDefault="00A71B0D" w:rsidP="00DB330E">
            <w:pPr>
              <w:pStyle w:val="TableText"/>
              <w:jc w:val="center"/>
              <w:rPr>
                <w:rFonts w:eastAsia="Calibri" w:cs="Calibri"/>
                <w:szCs w:val="16"/>
              </w:rPr>
            </w:pPr>
            <w:r w:rsidRPr="00D9348B">
              <w:rPr>
                <w:rFonts w:eastAsia="Calibri" w:cs="Calibri"/>
                <w:szCs w:val="16"/>
              </w:rPr>
              <w:t>1</w:t>
            </w:r>
          </w:p>
        </w:tc>
      </w:tr>
      <w:tr w:rsidR="00A71B0D" w:rsidRPr="00D9348B" w14:paraId="4D2BD4E3" w14:textId="77777777" w:rsidTr="00DB4D4F">
        <w:tc>
          <w:tcPr>
            <w:tcW w:w="2019" w:type="dxa"/>
            <w:shd w:val="clear" w:color="auto" w:fill="FFFFFF"/>
          </w:tcPr>
          <w:p w14:paraId="28438071" w14:textId="77777777" w:rsidR="00A71B0D" w:rsidRPr="00D9348B" w:rsidRDefault="00A71B0D" w:rsidP="00DB330E">
            <w:pPr>
              <w:pStyle w:val="TableText"/>
              <w:rPr>
                <w:rFonts w:eastAsia="Calibri" w:cs="Calibri"/>
                <w:bCs/>
                <w:szCs w:val="16"/>
              </w:rPr>
            </w:pPr>
            <w:r w:rsidRPr="00D9348B">
              <w:rPr>
                <w:rFonts w:eastAsia="Calibri" w:cs="Calibri"/>
                <w:bCs/>
                <w:szCs w:val="16"/>
              </w:rPr>
              <w:t>Textiles</w:t>
            </w:r>
          </w:p>
        </w:tc>
        <w:tc>
          <w:tcPr>
            <w:tcW w:w="3084" w:type="dxa"/>
            <w:gridSpan w:val="2"/>
            <w:shd w:val="clear" w:color="auto" w:fill="auto"/>
          </w:tcPr>
          <w:p w14:paraId="40A333FC" w14:textId="77777777" w:rsidR="00A71B0D" w:rsidRPr="00D9348B" w:rsidRDefault="00A71B0D" w:rsidP="00DB330E">
            <w:pPr>
              <w:pStyle w:val="TableText"/>
              <w:jc w:val="center"/>
              <w:rPr>
                <w:rFonts w:eastAsia="Calibri" w:cs="Calibri"/>
                <w:szCs w:val="16"/>
              </w:rPr>
            </w:pPr>
            <w:r w:rsidRPr="00D9348B">
              <w:rPr>
                <w:rFonts w:eastAsia="Calibri" w:cs="Calibri"/>
                <w:szCs w:val="16"/>
              </w:rPr>
              <w:t>0</w:t>
            </w:r>
          </w:p>
        </w:tc>
        <w:tc>
          <w:tcPr>
            <w:tcW w:w="1134" w:type="dxa"/>
            <w:shd w:val="clear" w:color="auto" w:fill="auto"/>
          </w:tcPr>
          <w:p w14:paraId="500E2895" w14:textId="77777777" w:rsidR="00A71B0D" w:rsidRPr="00D9348B" w:rsidRDefault="00A71B0D" w:rsidP="00DB330E">
            <w:pPr>
              <w:pStyle w:val="TableText"/>
              <w:jc w:val="center"/>
              <w:rPr>
                <w:rFonts w:eastAsia="Calibri" w:cs="Calibri"/>
                <w:szCs w:val="16"/>
              </w:rPr>
            </w:pPr>
            <w:r w:rsidRPr="00D9348B">
              <w:rPr>
                <w:rFonts w:eastAsia="Calibri" w:cs="Calibri"/>
                <w:szCs w:val="16"/>
              </w:rPr>
              <w:t>80</w:t>
            </w:r>
          </w:p>
        </w:tc>
        <w:tc>
          <w:tcPr>
            <w:tcW w:w="1276" w:type="dxa"/>
            <w:shd w:val="clear" w:color="auto" w:fill="auto"/>
          </w:tcPr>
          <w:p w14:paraId="4A37B465" w14:textId="77777777" w:rsidR="00A71B0D" w:rsidRPr="00D9348B" w:rsidRDefault="00A71B0D" w:rsidP="00DB330E">
            <w:pPr>
              <w:pStyle w:val="TableText"/>
              <w:jc w:val="center"/>
              <w:rPr>
                <w:rFonts w:eastAsia="Calibri" w:cs="Calibri"/>
                <w:szCs w:val="16"/>
              </w:rPr>
            </w:pPr>
            <w:r w:rsidRPr="00D9348B">
              <w:rPr>
                <w:rFonts w:eastAsia="Calibri" w:cs="Calibri"/>
                <w:szCs w:val="16"/>
              </w:rPr>
              <w:t>50</w:t>
            </w:r>
          </w:p>
        </w:tc>
        <w:tc>
          <w:tcPr>
            <w:tcW w:w="992" w:type="dxa"/>
            <w:shd w:val="clear" w:color="auto" w:fill="auto"/>
          </w:tcPr>
          <w:p w14:paraId="56105F7B" w14:textId="77777777" w:rsidR="00A71B0D" w:rsidRPr="00D9348B" w:rsidRDefault="00A71B0D" w:rsidP="00DB330E">
            <w:pPr>
              <w:pStyle w:val="TableText"/>
              <w:jc w:val="center"/>
              <w:rPr>
                <w:rFonts w:eastAsia="Calibri" w:cs="Calibri"/>
                <w:szCs w:val="16"/>
              </w:rPr>
            </w:pPr>
            <w:r w:rsidRPr="00D9348B">
              <w:rPr>
                <w:rFonts w:eastAsia="Calibri" w:cs="Calibri"/>
                <w:szCs w:val="16"/>
              </w:rPr>
              <w:t>20</w:t>
            </w:r>
          </w:p>
        </w:tc>
      </w:tr>
      <w:tr w:rsidR="00A71B0D" w:rsidRPr="00D9348B" w14:paraId="68369BA3" w14:textId="77777777" w:rsidTr="00DB4D4F">
        <w:tc>
          <w:tcPr>
            <w:tcW w:w="2019" w:type="dxa"/>
            <w:shd w:val="clear" w:color="auto" w:fill="FFFFFF"/>
          </w:tcPr>
          <w:p w14:paraId="2592F530" w14:textId="77777777" w:rsidR="00A71B0D" w:rsidRPr="00D9348B" w:rsidRDefault="00A71B0D" w:rsidP="00DB330E">
            <w:pPr>
              <w:pStyle w:val="TableText"/>
              <w:rPr>
                <w:rFonts w:eastAsia="Calibri" w:cs="Calibri"/>
                <w:bCs/>
                <w:szCs w:val="16"/>
              </w:rPr>
            </w:pPr>
            <w:r w:rsidRPr="00D9348B">
              <w:rPr>
                <w:rFonts w:eastAsia="Calibri" w:cs="Calibri"/>
                <w:bCs/>
                <w:szCs w:val="16"/>
              </w:rPr>
              <w:t>Food waste</w:t>
            </w:r>
          </w:p>
        </w:tc>
        <w:tc>
          <w:tcPr>
            <w:tcW w:w="3084" w:type="dxa"/>
            <w:gridSpan w:val="2"/>
            <w:shd w:val="clear" w:color="auto" w:fill="auto"/>
          </w:tcPr>
          <w:p w14:paraId="11D4FB6C" w14:textId="77777777" w:rsidR="00A71B0D" w:rsidRPr="00D9348B" w:rsidRDefault="00A71B0D" w:rsidP="00DB330E">
            <w:pPr>
              <w:pStyle w:val="TableText"/>
              <w:jc w:val="center"/>
              <w:rPr>
                <w:rFonts w:eastAsia="Calibri" w:cs="Calibri"/>
                <w:szCs w:val="16"/>
              </w:rPr>
            </w:pPr>
            <w:r w:rsidRPr="00D9348B">
              <w:rPr>
                <w:rFonts w:eastAsia="Calibri" w:cs="Calibri"/>
                <w:szCs w:val="16"/>
              </w:rPr>
              <w:t>67.5</w:t>
            </w:r>
          </w:p>
        </w:tc>
        <w:tc>
          <w:tcPr>
            <w:tcW w:w="1134" w:type="dxa"/>
            <w:shd w:val="clear" w:color="auto" w:fill="auto"/>
          </w:tcPr>
          <w:p w14:paraId="32BE0E90" w14:textId="77777777" w:rsidR="00A71B0D" w:rsidRPr="00D9348B" w:rsidRDefault="00A71B0D" w:rsidP="00DB330E">
            <w:pPr>
              <w:pStyle w:val="TableText"/>
              <w:jc w:val="center"/>
              <w:rPr>
                <w:rFonts w:eastAsia="Calibri" w:cs="Calibri"/>
                <w:szCs w:val="16"/>
              </w:rPr>
            </w:pPr>
            <w:r w:rsidRPr="00D9348B">
              <w:rPr>
                <w:rFonts w:eastAsia="Calibri" w:cs="Calibri"/>
                <w:szCs w:val="16"/>
              </w:rPr>
              <w:t>40</w:t>
            </w:r>
          </w:p>
        </w:tc>
        <w:tc>
          <w:tcPr>
            <w:tcW w:w="1276" w:type="dxa"/>
            <w:shd w:val="clear" w:color="auto" w:fill="auto"/>
          </w:tcPr>
          <w:p w14:paraId="40418A39" w14:textId="77777777" w:rsidR="00A71B0D" w:rsidRPr="00D9348B" w:rsidRDefault="00A71B0D" w:rsidP="00DB330E">
            <w:pPr>
              <w:pStyle w:val="TableText"/>
              <w:jc w:val="center"/>
              <w:rPr>
                <w:rFonts w:eastAsia="Calibri" w:cs="Calibri"/>
                <w:szCs w:val="16"/>
              </w:rPr>
            </w:pPr>
            <w:r w:rsidRPr="00D9348B">
              <w:rPr>
                <w:rFonts w:eastAsia="Calibri" w:cs="Calibri"/>
                <w:szCs w:val="16"/>
              </w:rPr>
              <w:t>38</w:t>
            </w:r>
          </w:p>
        </w:tc>
        <w:tc>
          <w:tcPr>
            <w:tcW w:w="992" w:type="dxa"/>
            <w:shd w:val="clear" w:color="auto" w:fill="auto"/>
          </w:tcPr>
          <w:p w14:paraId="2D60735E" w14:textId="77777777" w:rsidR="00A71B0D" w:rsidRPr="00D9348B" w:rsidRDefault="00A71B0D" w:rsidP="00DB330E">
            <w:pPr>
              <w:pStyle w:val="TableText"/>
              <w:jc w:val="center"/>
              <w:rPr>
                <w:rFonts w:eastAsia="Calibri" w:cs="Calibri"/>
                <w:szCs w:val="16"/>
              </w:rPr>
            </w:pPr>
            <w:r w:rsidRPr="00D9348B">
              <w:rPr>
                <w:rFonts w:eastAsia="Calibri" w:cs="Calibri"/>
                <w:szCs w:val="16"/>
              </w:rPr>
              <w:t>0</w:t>
            </w:r>
          </w:p>
        </w:tc>
      </w:tr>
      <w:tr w:rsidR="00A71B0D" w:rsidRPr="00D9348B" w14:paraId="7EB37E92" w14:textId="77777777" w:rsidTr="00DB4D4F">
        <w:tc>
          <w:tcPr>
            <w:tcW w:w="2019" w:type="dxa"/>
            <w:shd w:val="clear" w:color="auto" w:fill="FFFFFF"/>
          </w:tcPr>
          <w:p w14:paraId="11FDA8CA" w14:textId="77777777" w:rsidR="00A71B0D" w:rsidRPr="00D9348B" w:rsidRDefault="00A71B0D" w:rsidP="00DB330E">
            <w:pPr>
              <w:pStyle w:val="TableText"/>
              <w:rPr>
                <w:rFonts w:eastAsia="Calibri" w:cs="Calibri"/>
                <w:bCs/>
                <w:szCs w:val="16"/>
              </w:rPr>
            </w:pPr>
            <w:r w:rsidRPr="00D9348B">
              <w:rPr>
                <w:rFonts w:eastAsia="Calibri" w:cs="Calibri"/>
                <w:bCs/>
                <w:szCs w:val="16"/>
              </w:rPr>
              <w:t>Wood</w:t>
            </w:r>
          </w:p>
        </w:tc>
        <w:tc>
          <w:tcPr>
            <w:tcW w:w="3084" w:type="dxa"/>
            <w:gridSpan w:val="2"/>
            <w:shd w:val="clear" w:color="auto" w:fill="auto"/>
          </w:tcPr>
          <w:p w14:paraId="4B41086D" w14:textId="77777777" w:rsidR="00A71B0D" w:rsidRPr="00D9348B" w:rsidRDefault="00A71B0D" w:rsidP="00DB330E">
            <w:pPr>
              <w:pStyle w:val="TableText"/>
              <w:jc w:val="center"/>
              <w:rPr>
                <w:rFonts w:eastAsia="Calibri" w:cs="Calibri"/>
                <w:szCs w:val="16"/>
              </w:rPr>
            </w:pPr>
            <w:r w:rsidRPr="00D9348B">
              <w:rPr>
                <w:rFonts w:eastAsia="Calibri" w:cs="Calibri"/>
                <w:szCs w:val="16"/>
              </w:rPr>
              <w:t>2.5</w:t>
            </w:r>
          </w:p>
        </w:tc>
        <w:tc>
          <w:tcPr>
            <w:tcW w:w="1134" w:type="dxa"/>
            <w:shd w:val="clear" w:color="auto" w:fill="auto"/>
          </w:tcPr>
          <w:p w14:paraId="18ED1C89" w14:textId="77777777" w:rsidR="00A71B0D" w:rsidRPr="00D9348B" w:rsidRDefault="00A71B0D" w:rsidP="00DB330E">
            <w:pPr>
              <w:pStyle w:val="TableText"/>
              <w:jc w:val="center"/>
              <w:rPr>
                <w:rFonts w:eastAsia="Calibri" w:cs="Calibri"/>
                <w:szCs w:val="16"/>
              </w:rPr>
            </w:pPr>
            <w:r w:rsidRPr="00D9348B">
              <w:rPr>
                <w:rFonts w:eastAsia="Calibri" w:cs="Calibri"/>
                <w:szCs w:val="16"/>
              </w:rPr>
              <w:t>85</w:t>
            </w:r>
          </w:p>
        </w:tc>
        <w:tc>
          <w:tcPr>
            <w:tcW w:w="1276" w:type="dxa"/>
            <w:shd w:val="clear" w:color="auto" w:fill="auto"/>
          </w:tcPr>
          <w:p w14:paraId="5B6C6C90" w14:textId="77777777" w:rsidR="00A71B0D" w:rsidRPr="00D9348B" w:rsidRDefault="00A71B0D" w:rsidP="00DB330E">
            <w:pPr>
              <w:pStyle w:val="TableText"/>
              <w:jc w:val="center"/>
              <w:rPr>
                <w:rFonts w:eastAsia="Calibri" w:cs="Calibri"/>
                <w:szCs w:val="16"/>
              </w:rPr>
            </w:pPr>
            <w:r w:rsidRPr="00D9348B">
              <w:rPr>
                <w:rFonts w:eastAsia="Calibri" w:cs="Calibri"/>
                <w:szCs w:val="16"/>
              </w:rPr>
              <w:t>50</w:t>
            </w:r>
          </w:p>
        </w:tc>
        <w:tc>
          <w:tcPr>
            <w:tcW w:w="992" w:type="dxa"/>
            <w:shd w:val="clear" w:color="auto" w:fill="auto"/>
          </w:tcPr>
          <w:p w14:paraId="698DC460" w14:textId="77777777" w:rsidR="00A71B0D" w:rsidRPr="00D9348B" w:rsidRDefault="00A71B0D" w:rsidP="00DB330E">
            <w:pPr>
              <w:pStyle w:val="TableText"/>
              <w:jc w:val="center"/>
              <w:rPr>
                <w:rFonts w:eastAsia="Calibri" w:cs="Calibri"/>
                <w:szCs w:val="16"/>
              </w:rPr>
            </w:pPr>
            <w:r w:rsidRPr="00D9348B">
              <w:rPr>
                <w:rFonts w:eastAsia="Calibri" w:cs="Calibri"/>
                <w:szCs w:val="16"/>
              </w:rPr>
              <w:t>0</w:t>
            </w:r>
          </w:p>
        </w:tc>
      </w:tr>
      <w:tr w:rsidR="00A71B0D" w:rsidRPr="00D9348B" w14:paraId="32A06E10" w14:textId="77777777" w:rsidTr="00DB4D4F">
        <w:tc>
          <w:tcPr>
            <w:tcW w:w="2019" w:type="dxa"/>
            <w:shd w:val="clear" w:color="auto" w:fill="FFFFFF"/>
          </w:tcPr>
          <w:p w14:paraId="470BB63A" w14:textId="77777777" w:rsidR="00A71B0D" w:rsidRPr="00D9348B" w:rsidRDefault="00A71B0D" w:rsidP="00DB330E">
            <w:pPr>
              <w:pStyle w:val="TableText"/>
              <w:rPr>
                <w:rFonts w:eastAsia="Calibri" w:cs="Calibri"/>
                <w:bCs/>
                <w:szCs w:val="16"/>
              </w:rPr>
            </w:pPr>
            <w:r w:rsidRPr="00D9348B">
              <w:rPr>
                <w:rFonts w:eastAsia="Calibri" w:cs="Calibri"/>
                <w:bCs/>
                <w:szCs w:val="16"/>
              </w:rPr>
              <w:t>Garden and park waste</w:t>
            </w:r>
          </w:p>
        </w:tc>
        <w:tc>
          <w:tcPr>
            <w:tcW w:w="3084" w:type="dxa"/>
            <w:gridSpan w:val="2"/>
            <w:shd w:val="clear" w:color="auto" w:fill="auto"/>
          </w:tcPr>
          <w:p w14:paraId="275AAD68" w14:textId="77777777" w:rsidR="00A71B0D" w:rsidRPr="00D9348B" w:rsidRDefault="00A71B0D" w:rsidP="00DB330E">
            <w:pPr>
              <w:pStyle w:val="TableText"/>
              <w:jc w:val="center"/>
              <w:rPr>
                <w:rFonts w:eastAsia="Calibri" w:cs="Calibri"/>
                <w:szCs w:val="16"/>
              </w:rPr>
            </w:pPr>
            <w:r w:rsidRPr="00D9348B">
              <w:rPr>
                <w:rFonts w:eastAsia="Calibri" w:cs="Calibri"/>
                <w:szCs w:val="16"/>
              </w:rPr>
              <w:t>0</w:t>
            </w:r>
          </w:p>
        </w:tc>
        <w:tc>
          <w:tcPr>
            <w:tcW w:w="1134" w:type="dxa"/>
            <w:shd w:val="clear" w:color="auto" w:fill="auto"/>
          </w:tcPr>
          <w:p w14:paraId="5CBB3C8E" w14:textId="77777777" w:rsidR="00A71B0D" w:rsidRPr="00D9348B" w:rsidRDefault="00A71B0D" w:rsidP="00DB330E">
            <w:pPr>
              <w:pStyle w:val="TableText"/>
              <w:jc w:val="center"/>
              <w:rPr>
                <w:rFonts w:eastAsia="Calibri" w:cs="Calibri"/>
                <w:szCs w:val="16"/>
              </w:rPr>
            </w:pPr>
            <w:r w:rsidRPr="00D9348B">
              <w:rPr>
                <w:rFonts w:eastAsia="Calibri" w:cs="Calibri"/>
                <w:szCs w:val="16"/>
              </w:rPr>
              <w:t>40</w:t>
            </w:r>
          </w:p>
        </w:tc>
        <w:tc>
          <w:tcPr>
            <w:tcW w:w="1276" w:type="dxa"/>
            <w:shd w:val="clear" w:color="auto" w:fill="auto"/>
          </w:tcPr>
          <w:p w14:paraId="160F0242" w14:textId="77777777" w:rsidR="00A71B0D" w:rsidRPr="00D9348B" w:rsidRDefault="00A71B0D" w:rsidP="00DB330E">
            <w:pPr>
              <w:pStyle w:val="TableText"/>
              <w:jc w:val="center"/>
              <w:rPr>
                <w:rFonts w:eastAsia="Calibri" w:cs="Calibri"/>
                <w:szCs w:val="16"/>
              </w:rPr>
            </w:pPr>
            <w:r w:rsidRPr="00D9348B">
              <w:rPr>
                <w:rFonts w:eastAsia="Calibri" w:cs="Calibri"/>
                <w:szCs w:val="16"/>
              </w:rPr>
              <w:t>49</w:t>
            </w:r>
          </w:p>
        </w:tc>
        <w:tc>
          <w:tcPr>
            <w:tcW w:w="992" w:type="dxa"/>
            <w:shd w:val="clear" w:color="auto" w:fill="auto"/>
          </w:tcPr>
          <w:p w14:paraId="58D65C51" w14:textId="77777777" w:rsidR="00A71B0D" w:rsidRPr="00D9348B" w:rsidRDefault="00A71B0D" w:rsidP="00DB330E">
            <w:pPr>
              <w:pStyle w:val="TableText"/>
              <w:jc w:val="center"/>
              <w:rPr>
                <w:rFonts w:eastAsia="Calibri" w:cs="Calibri"/>
                <w:szCs w:val="16"/>
              </w:rPr>
            </w:pPr>
            <w:r w:rsidRPr="00D9348B">
              <w:rPr>
                <w:rFonts w:eastAsia="Calibri" w:cs="Calibri"/>
                <w:szCs w:val="16"/>
              </w:rPr>
              <w:t>0</w:t>
            </w:r>
          </w:p>
        </w:tc>
      </w:tr>
      <w:tr w:rsidR="00A71B0D" w:rsidRPr="00D9348B" w14:paraId="188B79A5" w14:textId="77777777" w:rsidTr="00DB4D4F">
        <w:tc>
          <w:tcPr>
            <w:tcW w:w="2019" w:type="dxa"/>
            <w:shd w:val="clear" w:color="auto" w:fill="FFFFFF"/>
          </w:tcPr>
          <w:p w14:paraId="4FAB1F19" w14:textId="77777777" w:rsidR="00A71B0D" w:rsidRPr="00D9348B" w:rsidRDefault="00A71B0D" w:rsidP="00DB330E">
            <w:pPr>
              <w:pStyle w:val="TableText"/>
              <w:rPr>
                <w:rFonts w:eastAsia="Calibri" w:cs="Calibri"/>
                <w:bCs/>
                <w:szCs w:val="16"/>
              </w:rPr>
            </w:pPr>
            <w:r w:rsidRPr="00D9348B">
              <w:rPr>
                <w:rFonts w:eastAsia="Calibri" w:cs="Calibri"/>
                <w:bCs/>
                <w:szCs w:val="16"/>
              </w:rPr>
              <w:t>Nappies</w:t>
            </w:r>
          </w:p>
        </w:tc>
        <w:tc>
          <w:tcPr>
            <w:tcW w:w="3084" w:type="dxa"/>
            <w:gridSpan w:val="2"/>
            <w:shd w:val="clear" w:color="auto" w:fill="auto"/>
          </w:tcPr>
          <w:p w14:paraId="72D4E044" w14:textId="77777777" w:rsidR="00A71B0D" w:rsidRPr="00D9348B" w:rsidRDefault="00A71B0D" w:rsidP="00DB330E">
            <w:pPr>
              <w:pStyle w:val="TableText"/>
              <w:jc w:val="center"/>
              <w:rPr>
                <w:rFonts w:eastAsia="Calibri" w:cs="Calibri"/>
                <w:szCs w:val="16"/>
              </w:rPr>
            </w:pPr>
            <w:r w:rsidRPr="00D9348B">
              <w:rPr>
                <w:rFonts w:eastAsia="Calibri" w:cs="Calibri"/>
                <w:szCs w:val="16"/>
              </w:rPr>
              <w:t>0</w:t>
            </w:r>
          </w:p>
        </w:tc>
        <w:tc>
          <w:tcPr>
            <w:tcW w:w="1134" w:type="dxa"/>
            <w:shd w:val="clear" w:color="auto" w:fill="auto"/>
          </w:tcPr>
          <w:p w14:paraId="6BAC76E7" w14:textId="77777777" w:rsidR="00A71B0D" w:rsidRPr="00D9348B" w:rsidRDefault="00A71B0D" w:rsidP="00DB330E">
            <w:pPr>
              <w:pStyle w:val="TableText"/>
              <w:jc w:val="center"/>
              <w:rPr>
                <w:rFonts w:eastAsia="Calibri" w:cs="Calibri"/>
                <w:szCs w:val="16"/>
              </w:rPr>
            </w:pPr>
            <w:r w:rsidRPr="00D9348B">
              <w:rPr>
                <w:rFonts w:eastAsia="Calibri" w:cs="Calibri"/>
                <w:szCs w:val="16"/>
              </w:rPr>
              <w:t>40</w:t>
            </w:r>
          </w:p>
        </w:tc>
        <w:tc>
          <w:tcPr>
            <w:tcW w:w="1276" w:type="dxa"/>
            <w:shd w:val="clear" w:color="auto" w:fill="auto"/>
          </w:tcPr>
          <w:p w14:paraId="525A72D4" w14:textId="77777777" w:rsidR="00A71B0D" w:rsidRPr="00D9348B" w:rsidRDefault="00A71B0D" w:rsidP="00DB330E">
            <w:pPr>
              <w:pStyle w:val="TableText"/>
              <w:jc w:val="center"/>
              <w:rPr>
                <w:rFonts w:eastAsia="Calibri" w:cs="Calibri"/>
                <w:szCs w:val="16"/>
              </w:rPr>
            </w:pPr>
            <w:r w:rsidRPr="00D9348B">
              <w:rPr>
                <w:rFonts w:eastAsia="Calibri" w:cs="Calibri"/>
                <w:szCs w:val="16"/>
              </w:rPr>
              <w:t>70</w:t>
            </w:r>
          </w:p>
        </w:tc>
        <w:tc>
          <w:tcPr>
            <w:tcW w:w="992" w:type="dxa"/>
            <w:shd w:val="clear" w:color="auto" w:fill="auto"/>
          </w:tcPr>
          <w:p w14:paraId="72F4130B" w14:textId="77777777" w:rsidR="00A71B0D" w:rsidRPr="00D9348B" w:rsidRDefault="00A71B0D" w:rsidP="00DB330E">
            <w:pPr>
              <w:pStyle w:val="TableText"/>
              <w:jc w:val="center"/>
              <w:rPr>
                <w:rFonts w:eastAsia="Calibri" w:cs="Calibri"/>
                <w:szCs w:val="16"/>
              </w:rPr>
            </w:pPr>
            <w:r w:rsidRPr="00D9348B">
              <w:rPr>
                <w:rFonts w:eastAsia="Calibri" w:cs="Calibri"/>
                <w:szCs w:val="16"/>
              </w:rPr>
              <w:t>10</w:t>
            </w:r>
          </w:p>
        </w:tc>
      </w:tr>
      <w:tr w:rsidR="00A71B0D" w:rsidRPr="00D9348B" w14:paraId="2015AA1D" w14:textId="77777777" w:rsidTr="00DB4D4F">
        <w:tc>
          <w:tcPr>
            <w:tcW w:w="2019" w:type="dxa"/>
            <w:shd w:val="clear" w:color="auto" w:fill="FFFFFF"/>
          </w:tcPr>
          <w:p w14:paraId="39C6711B" w14:textId="77777777" w:rsidR="00A71B0D" w:rsidRPr="00D9348B" w:rsidRDefault="00A71B0D" w:rsidP="00DB330E">
            <w:pPr>
              <w:pStyle w:val="TableText"/>
              <w:rPr>
                <w:rFonts w:eastAsia="Calibri" w:cs="Calibri"/>
                <w:bCs/>
                <w:szCs w:val="16"/>
              </w:rPr>
            </w:pPr>
            <w:r w:rsidRPr="00D9348B">
              <w:rPr>
                <w:rFonts w:eastAsia="Calibri" w:cs="Calibri"/>
                <w:bCs/>
                <w:szCs w:val="16"/>
              </w:rPr>
              <w:t>Rubber and leather</w:t>
            </w:r>
          </w:p>
        </w:tc>
        <w:tc>
          <w:tcPr>
            <w:tcW w:w="1587" w:type="dxa"/>
            <w:vMerge w:val="restart"/>
            <w:shd w:val="clear" w:color="auto" w:fill="auto"/>
            <w:vAlign w:val="center"/>
          </w:tcPr>
          <w:p w14:paraId="0CEDDB33" w14:textId="77777777" w:rsidR="00A71B0D" w:rsidRPr="00D9348B" w:rsidRDefault="00A71B0D" w:rsidP="00DB330E">
            <w:pPr>
              <w:pStyle w:val="TableText"/>
              <w:spacing w:after="0"/>
              <w:jc w:val="center"/>
              <w:rPr>
                <w:rFonts w:eastAsia="Calibri" w:cs="Calibri"/>
                <w:szCs w:val="16"/>
              </w:rPr>
            </w:pPr>
            <w:r w:rsidRPr="00D9348B">
              <w:rPr>
                <w:rFonts w:eastAsia="Calibri" w:cs="Calibri"/>
                <w:szCs w:val="16"/>
              </w:rPr>
              <w:t>24.0</w:t>
            </w:r>
          </w:p>
          <w:p w14:paraId="1BFEE475" w14:textId="77777777" w:rsidR="00A71B0D" w:rsidRPr="00D9348B" w:rsidRDefault="00A71B0D" w:rsidP="00DB330E">
            <w:pPr>
              <w:pStyle w:val="TableText"/>
              <w:jc w:val="center"/>
              <w:rPr>
                <w:rFonts w:eastAsia="Calibri" w:cs="Calibri"/>
                <w:szCs w:val="16"/>
              </w:rPr>
            </w:pPr>
            <w:r w:rsidRPr="00D9348B">
              <w:rPr>
                <w:rFonts w:eastAsia="Calibri" w:cs="Calibri"/>
                <w:szCs w:val="16"/>
              </w:rPr>
              <w:t>(‘inert’)</w:t>
            </w:r>
          </w:p>
        </w:tc>
        <w:tc>
          <w:tcPr>
            <w:tcW w:w="1497" w:type="dxa"/>
            <w:shd w:val="clear" w:color="auto" w:fill="auto"/>
          </w:tcPr>
          <w:p w14:paraId="1C8F276F" w14:textId="77777777" w:rsidR="00A71B0D" w:rsidRPr="00D9348B" w:rsidRDefault="00A71B0D" w:rsidP="00DB330E">
            <w:pPr>
              <w:pStyle w:val="TableText"/>
              <w:jc w:val="center"/>
              <w:rPr>
                <w:rFonts w:eastAsia="Calibri" w:cs="Calibri"/>
                <w:szCs w:val="16"/>
              </w:rPr>
            </w:pPr>
            <w:r w:rsidRPr="00D9348B">
              <w:rPr>
                <w:rFonts w:eastAsia="Calibri" w:cs="Calibri"/>
                <w:szCs w:val="16"/>
              </w:rPr>
              <w:t>0</w:t>
            </w:r>
          </w:p>
        </w:tc>
        <w:tc>
          <w:tcPr>
            <w:tcW w:w="1134" w:type="dxa"/>
            <w:shd w:val="clear" w:color="auto" w:fill="auto"/>
          </w:tcPr>
          <w:p w14:paraId="3AE89961" w14:textId="77777777" w:rsidR="00A71B0D" w:rsidRPr="00D9348B" w:rsidRDefault="00A71B0D" w:rsidP="00DB330E">
            <w:pPr>
              <w:pStyle w:val="TableText"/>
              <w:jc w:val="center"/>
              <w:rPr>
                <w:rFonts w:eastAsia="Calibri" w:cs="Calibri"/>
                <w:szCs w:val="16"/>
              </w:rPr>
            </w:pPr>
            <w:r w:rsidRPr="00D9348B">
              <w:rPr>
                <w:rFonts w:eastAsia="Calibri" w:cs="Calibri"/>
                <w:szCs w:val="16"/>
              </w:rPr>
              <w:t>84</w:t>
            </w:r>
          </w:p>
        </w:tc>
        <w:tc>
          <w:tcPr>
            <w:tcW w:w="1276" w:type="dxa"/>
            <w:shd w:val="clear" w:color="auto" w:fill="auto"/>
          </w:tcPr>
          <w:p w14:paraId="0850DFBB" w14:textId="77777777" w:rsidR="00A71B0D" w:rsidRPr="00D9348B" w:rsidRDefault="00A71B0D" w:rsidP="00DB330E">
            <w:pPr>
              <w:pStyle w:val="TableText"/>
              <w:jc w:val="center"/>
              <w:rPr>
                <w:rFonts w:eastAsia="Calibri" w:cs="Calibri"/>
                <w:szCs w:val="16"/>
              </w:rPr>
            </w:pPr>
            <w:r w:rsidRPr="00D9348B">
              <w:rPr>
                <w:rFonts w:eastAsia="Calibri" w:cs="Calibri"/>
                <w:szCs w:val="16"/>
              </w:rPr>
              <w:t>67</w:t>
            </w:r>
          </w:p>
        </w:tc>
        <w:tc>
          <w:tcPr>
            <w:tcW w:w="992" w:type="dxa"/>
            <w:shd w:val="clear" w:color="auto" w:fill="auto"/>
          </w:tcPr>
          <w:p w14:paraId="21A3B2F8" w14:textId="77777777" w:rsidR="00A71B0D" w:rsidRPr="00D9348B" w:rsidRDefault="00A71B0D" w:rsidP="00DB330E">
            <w:pPr>
              <w:pStyle w:val="TableText"/>
              <w:jc w:val="center"/>
              <w:rPr>
                <w:rFonts w:eastAsia="Calibri" w:cs="Calibri"/>
                <w:szCs w:val="16"/>
              </w:rPr>
            </w:pPr>
            <w:r w:rsidRPr="00D9348B">
              <w:rPr>
                <w:rFonts w:eastAsia="Calibri" w:cs="Calibri"/>
                <w:szCs w:val="16"/>
              </w:rPr>
              <w:t>20</w:t>
            </w:r>
          </w:p>
        </w:tc>
      </w:tr>
      <w:tr w:rsidR="00A71B0D" w:rsidRPr="00D9348B" w14:paraId="6C1BB7F1" w14:textId="77777777" w:rsidTr="00DB4D4F">
        <w:tc>
          <w:tcPr>
            <w:tcW w:w="2019" w:type="dxa"/>
            <w:shd w:val="clear" w:color="auto" w:fill="FFFFFF"/>
          </w:tcPr>
          <w:p w14:paraId="7A2BE217" w14:textId="77777777" w:rsidR="00A71B0D" w:rsidRPr="00D9348B" w:rsidRDefault="00A71B0D" w:rsidP="00DB330E">
            <w:pPr>
              <w:pStyle w:val="TableText"/>
              <w:rPr>
                <w:rFonts w:eastAsia="Calibri" w:cs="Calibri"/>
                <w:bCs/>
                <w:szCs w:val="16"/>
              </w:rPr>
            </w:pPr>
            <w:r w:rsidRPr="00D9348B">
              <w:rPr>
                <w:rFonts w:eastAsia="Calibri" w:cs="Calibri"/>
                <w:bCs/>
                <w:szCs w:val="16"/>
              </w:rPr>
              <w:t>Plastics</w:t>
            </w:r>
          </w:p>
        </w:tc>
        <w:tc>
          <w:tcPr>
            <w:tcW w:w="1587" w:type="dxa"/>
            <w:vMerge/>
            <w:shd w:val="clear" w:color="auto" w:fill="auto"/>
          </w:tcPr>
          <w:p w14:paraId="008D781B" w14:textId="77777777" w:rsidR="00A71B0D" w:rsidRPr="00D9348B" w:rsidRDefault="00A71B0D" w:rsidP="00DB330E">
            <w:pPr>
              <w:spacing w:before="120"/>
              <w:rPr>
                <w:rFonts w:eastAsia="Calibri" w:cs="Calibri"/>
                <w:sz w:val="16"/>
                <w:szCs w:val="16"/>
              </w:rPr>
            </w:pPr>
          </w:p>
        </w:tc>
        <w:tc>
          <w:tcPr>
            <w:tcW w:w="1497" w:type="dxa"/>
            <w:shd w:val="clear" w:color="auto" w:fill="auto"/>
          </w:tcPr>
          <w:p w14:paraId="4E455F14" w14:textId="77777777" w:rsidR="00A71B0D" w:rsidRPr="00D9348B" w:rsidRDefault="00A71B0D" w:rsidP="00DB330E">
            <w:pPr>
              <w:pStyle w:val="TableText"/>
              <w:jc w:val="center"/>
              <w:rPr>
                <w:rFonts w:eastAsia="Calibri" w:cs="Calibri"/>
                <w:szCs w:val="16"/>
              </w:rPr>
            </w:pPr>
            <w:r w:rsidRPr="00D9348B">
              <w:rPr>
                <w:rFonts w:eastAsia="Calibri" w:cs="Calibri"/>
                <w:szCs w:val="16"/>
              </w:rPr>
              <w:t>0</w:t>
            </w:r>
          </w:p>
        </w:tc>
        <w:tc>
          <w:tcPr>
            <w:tcW w:w="1134" w:type="dxa"/>
            <w:shd w:val="clear" w:color="auto" w:fill="auto"/>
          </w:tcPr>
          <w:p w14:paraId="565D4FBE" w14:textId="77777777" w:rsidR="00A71B0D" w:rsidRPr="00D9348B" w:rsidRDefault="00A71B0D" w:rsidP="00DB330E">
            <w:pPr>
              <w:pStyle w:val="TableText"/>
              <w:jc w:val="center"/>
              <w:rPr>
                <w:rFonts w:eastAsia="Calibri" w:cs="Calibri"/>
                <w:szCs w:val="16"/>
              </w:rPr>
            </w:pPr>
            <w:r w:rsidRPr="00D9348B">
              <w:rPr>
                <w:rFonts w:eastAsia="Calibri" w:cs="Calibri"/>
                <w:szCs w:val="16"/>
              </w:rPr>
              <w:t>100</w:t>
            </w:r>
          </w:p>
        </w:tc>
        <w:tc>
          <w:tcPr>
            <w:tcW w:w="1276" w:type="dxa"/>
            <w:shd w:val="clear" w:color="auto" w:fill="auto"/>
          </w:tcPr>
          <w:p w14:paraId="54C90A48" w14:textId="77777777" w:rsidR="00A71B0D" w:rsidRPr="00D9348B" w:rsidRDefault="00A71B0D" w:rsidP="00DB330E">
            <w:pPr>
              <w:pStyle w:val="TableText"/>
              <w:jc w:val="center"/>
              <w:rPr>
                <w:rFonts w:eastAsia="Calibri" w:cs="Calibri"/>
                <w:szCs w:val="16"/>
              </w:rPr>
            </w:pPr>
            <w:r w:rsidRPr="00D9348B">
              <w:rPr>
                <w:rFonts w:eastAsia="Calibri" w:cs="Calibri"/>
                <w:szCs w:val="16"/>
              </w:rPr>
              <w:t>75</w:t>
            </w:r>
          </w:p>
        </w:tc>
        <w:tc>
          <w:tcPr>
            <w:tcW w:w="992" w:type="dxa"/>
            <w:shd w:val="clear" w:color="auto" w:fill="auto"/>
          </w:tcPr>
          <w:p w14:paraId="3F9C5954" w14:textId="77777777" w:rsidR="00A71B0D" w:rsidRPr="00D9348B" w:rsidRDefault="00A71B0D" w:rsidP="00DB330E">
            <w:pPr>
              <w:pStyle w:val="TableText"/>
              <w:jc w:val="center"/>
              <w:rPr>
                <w:rFonts w:eastAsia="Calibri" w:cs="Calibri"/>
                <w:szCs w:val="16"/>
              </w:rPr>
            </w:pPr>
            <w:r w:rsidRPr="00D9348B">
              <w:rPr>
                <w:rFonts w:eastAsia="Calibri" w:cs="Calibri"/>
                <w:szCs w:val="16"/>
              </w:rPr>
              <w:t>100</w:t>
            </w:r>
          </w:p>
        </w:tc>
      </w:tr>
      <w:tr w:rsidR="00A71B0D" w:rsidRPr="00D9348B" w14:paraId="5DAFA3E9" w14:textId="77777777" w:rsidTr="00DB4D4F">
        <w:tc>
          <w:tcPr>
            <w:tcW w:w="2019" w:type="dxa"/>
            <w:shd w:val="clear" w:color="auto" w:fill="FFFFFF"/>
          </w:tcPr>
          <w:p w14:paraId="7E6C7CE0" w14:textId="77777777" w:rsidR="00A71B0D" w:rsidRPr="00D9348B" w:rsidRDefault="00A71B0D" w:rsidP="00DB330E">
            <w:pPr>
              <w:pStyle w:val="TableText"/>
              <w:rPr>
                <w:rFonts w:eastAsia="Calibri" w:cs="Calibri"/>
                <w:bCs/>
                <w:szCs w:val="16"/>
              </w:rPr>
            </w:pPr>
            <w:r w:rsidRPr="00D9348B">
              <w:rPr>
                <w:rFonts w:eastAsia="Calibri" w:cs="Calibri"/>
                <w:bCs/>
                <w:szCs w:val="16"/>
              </w:rPr>
              <w:t>Metal</w:t>
            </w:r>
          </w:p>
        </w:tc>
        <w:tc>
          <w:tcPr>
            <w:tcW w:w="1587" w:type="dxa"/>
            <w:vMerge/>
            <w:shd w:val="clear" w:color="auto" w:fill="auto"/>
          </w:tcPr>
          <w:p w14:paraId="22FFA5F9" w14:textId="77777777" w:rsidR="00A71B0D" w:rsidRPr="00D9348B" w:rsidRDefault="00A71B0D" w:rsidP="00DB330E">
            <w:pPr>
              <w:spacing w:before="120"/>
              <w:rPr>
                <w:rFonts w:eastAsia="Calibri" w:cs="Calibri"/>
                <w:sz w:val="16"/>
                <w:szCs w:val="16"/>
              </w:rPr>
            </w:pPr>
          </w:p>
        </w:tc>
        <w:tc>
          <w:tcPr>
            <w:tcW w:w="1497" w:type="dxa"/>
            <w:shd w:val="clear" w:color="auto" w:fill="auto"/>
          </w:tcPr>
          <w:p w14:paraId="448EFA07" w14:textId="77777777" w:rsidR="00A71B0D" w:rsidRPr="00D9348B" w:rsidRDefault="00A71B0D" w:rsidP="00DB330E">
            <w:pPr>
              <w:pStyle w:val="TableText"/>
              <w:jc w:val="center"/>
              <w:rPr>
                <w:rFonts w:eastAsia="Calibri" w:cs="Calibri"/>
                <w:szCs w:val="16"/>
              </w:rPr>
            </w:pPr>
            <w:r w:rsidRPr="00D9348B">
              <w:rPr>
                <w:rFonts w:eastAsia="Calibri" w:cs="Calibri"/>
                <w:szCs w:val="16"/>
              </w:rPr>
              <w:t>0</w:t>
            </w:r>
          </w:p>
        </w:tc>
        <w:tc>
          <w:tcPr>
            <w:tcW w:w="1134" w:type="dxa"/>
            <w:shd w:val="clear" w:color="auto" w:fill="auto"/>
          </w:tcPr>
          <w:p w14:paraId="3C1ABDB4" w14:textId="77777777" w:rsidR="00A71B0D" w:rsidRPr="00D9348B" w:rsidRDefault="00A71B0D" w:rsidP="00DB330E">
            <w:pPr>
              <w:pStyle w:val="TableText"/>
              <w:jc w:val="center"/>
              <w:rPr>
                <w:rFonts w:eastAsia="Calibri" w:cs="Calibri"/>
                <w:szCs w:val="16"/>
              </w:rPr>
            </w:pPr>
            <w:r w:rsidRPr="00D9348B">
              <w:rPr>
                <w:rFonts w:eastAsia="Calibri" w:cs="Calibri"/>
                <w:szCs w:val="16"/>
              </w:rPr>
              <w:t>100</w:t>
            </w:r>
          </w:p>
        </w:tc>
        <w:tc>
          <w:tcPr>
            <w:tcW w:w="1276" w:type="dxa"/>
            <w:shd w:val="clear" w:color="auto" w:fill="auto"/>
          </w:tcPr>
          <w:p w14:paraId="68EC7017" w14:textId="77777777" w:rsidR="00A71B0D" w:rsidRPr="00D9348B" w:rsidRDefault="00A71B0D" w:rsidP="00DB330E">
            <w:pPr>
              <w:pStyle w:val="TableText"/>
              <w:jc w:val="center"/>
              <w:rPr>
                <w:rFonts w:eastAsia="Calibri" w:cs="Calibri"/>
                <w:szCs w:val="16"/>
              </w:rPr>
            </w:pPr>
            <w:r w:rsidRPr="00D9348B">
              <w:rPr>
                <w:rFonts w:eastAsia="Calibri" w:cs="Calibri"/>
                <w:szCs w:val="16"/>
              </w:rPr>
              <w:t>NA</w:t>
            </w:r>
          </w:p>
        </w:tc>
        <w:tc>
          <w:tcPr>
            <w:tcW w:w="992" w:type="dxa"/>
            <w:shd w:val="clear" w:color="auto" w:fill="auto"/>
          </w:tcPr>
          <w:p w14:paraId="51950A0E" w14:textId="77777777" w:rsidR="00A71B0D" w:rsidRPr="00D9348B" w:rsidRDefault="00A71B0D" w:rsidP="00DB330E">
            <w:pPr>
              <w:pStyle w:val="TableText"/>
              <w:jc w:val="center"/>
              <w:rPr>
                <w:rFonts w:eastAsia="Calibri" w:cs="Calibri"/>
                <w:szCs w:val="16"/>
              </w:rPr>
            </w:pPr>
            <w:r w:rsidRPr="00D9348B">
              <w:rPr>
                <w:rFonts w:eastAsia="Calibri" w:cs="Calibri"/>
                <w:szCs w:val="16"/>
              </w:rPr>
              <w:t>NA</w:t>
            </w:r>
          </w:p>
        </w:tc>
      </w:tr>
      <w:tr w:rsidR="00A71B0D" w:rsidRPr="00D9348B" w14:paraId="480BA078" w14:textId="77777777" w:rsidTr="00DB4D4F">
        <w:tc>
          <w:tcPr>
            <w:tcW w:w="2019" w:type="dxa"/>
            <w:shd w:val="clear" w:color="auto" w:fill="FFFFFF"/>
          </w:tcPr>
          <w:p w14:paraId="362FFFE8" w14:textId="77777777" w:rsidR="00A71B0D" w:rsidRPr="00D9348B" w:rsidRDefault="00A71B0D" w:rsidP="00DB330E">
            <w:pPr>
              <w:pStyle w:val="TableText"/>
              <w:rPr>
                <w:rFonts w:eastAsia="Calibri" w:cs="Calibri"/>
                <w:bCs/>
                <w:szCs w:val="16"/>
              </w:rPr>
            </w:pPr>
            <w:r w:rsidRPr="00D9348B">
              <w:rPr>
                <w:rFonts w:eastAsia="Calibri" w:cs="Calibri"/>
                <w:bCs/>
                <w:szCs w:val="16"/>
              </w:rPr>
              <w:t>Glass</w:t>
            </w:r>
          </w:p>
        </w:tc>
        <w:tc>
          <w:tcPr>
            <w:tcW w:w="1587" w:type="dxa"/>
            <w:vMerge/>
            <w:shd w:val="clear" w:color="auto" w:fill="auto"/>
          </w:tcPr>
          <w:p w14:paraId="6A792E16" w14:textId="77777777" w:rsidR="00A71B0D" w:rsidRPr="00D9348B" w:rsidRDefault="00A71B0D" w:rsidP="00DB330E">
            <w:pPr>
              <w:spacing w:before="120"/>
              <w:rPr>
                <w:rFonts w:eastAsia="Calibri" w:cs="Calibri"/>
                <w:sz w:val="16"/>
                <w:szCs w:val="16"/>
              </w:rPr>
            </w:pPr>
          </w:p>
        </w:tc>
        <w:tc>
          <w:tcPr>
            <w:tcW w:w="1497" w:type="dxa"/>
            <w:shd w:val="clear" w:color="auto" w:fill="auto"/>
          </w:tcPr>
          <w:p w14:paraId="45E9F4C8" w14:textId="77777777" w:rsidR="00A71B0D" w:rsidRPr="00D9348B" w:rsidRDefault="00A71B0D" w:rsidP="00DB330E">
            <w:pPr>
              <w:pStyle w:val="TableText"/>
              <w:jc w:val="center"/>
              <w:rPr>
                <w:rFonts w:eastAsia="Calibri" w:cs="Calibri"/>
                <w:szCs w:val="16"/>
              </w:rPr>
            </w:pPr>
            <w:r w:rsidRPr="00D9348B">
              <w:rPr>
                <w:rFonts w:eastAsia="Calibri" w:cs="Calibri"/>
                <w:szCs w:val="16"/>
              </w:rPr>
              <w:t>0</w:t>
            </w:r>
          </w:p>
        </w:tc>
        <w:tc>
          <w:tcPr>
            <w:tcW w:w="1134" w:type="dxa"/>
            <w:shd w:val="clear" w:color="auto" w:fill="auto"/>
          </w:tcPr>
          <w:p w14:paraId="3B6080FC" w14:textId="77777777" w:rsidR="00A71B0D" w:rsidRPr="00D9348B" w:rsidRDefault="00A71B0D" w:rsidP="00DB330E">
            <w:pPr>
              <w:pStyle w:val="TableText"/>
              <w:jc w:val="center"/>
              <w:rPr>
                <w:rFonts w:eastAsia="Calibri" w:cs="Calibri"/>
                <w:szCs w:val="16"/>
              </w:rPr>
            </w:pPr>
            <w:r w:rsidRPr="00D9348B">
              <w:rPr>
                <w:rFonts w:eastAsia="Calibri" w:cs="Calibri"/>
                <w:szCs w:val="16"/>
              </w:rPr>
              <w:t>100</w:t>
            </w:r>
          </w:p>
        </w:tc>
        <w:tc>
          <w:tcPr>
            <w:tcW w:w="1276" w:type="dxa"/>
            <w:shd w:val="clear" w:color="auto" w:fill="auto"/>
          </w:tcPr>
          <w:p w14:paraId="004125B5" w14:textId="77777777" w:rsidR="00A71B0D" w:rsidRPr="00D9348B" w:rsidRDefault="00A71B0D" w:rsidP="00DB330E">
            <w:pPr>
              <w:pStyle w:val="TableText"/>
              <w:jc w:val="center"/>
              <w:rPr>
                <w:rFonts w:eastAsia="Calibri" w:cs="Calibri"/>
                <w:szCs w:val="16"/>
              </w:rPr>
            </w:pPr>
            <w:r w:rsidRPr="00D9348B">
              <w:rPr>
                <w:rFonts w:eastAsia="Calibri" w:cs="Calibri"/>
                <w:szCs w:val="16"/>
              </w:rPr>
              <w:t>NA</w:t>
            </w:r>
          </w:p>
        </w:tc>
        <w:tc>
          <w:tcPr>
            <w:tcW w:w="992" w:type="dxa"/>
            <w:shd w:val="clear" w:color="auto" w:fill="auto"/>
          </w:tcPr>
          <w:p w14:paraId="5E504248" w14:textId="77777777" w:rsidR="00A71B0D" w:rsidRPr="00D9348B" w:rsidRDefault="00A71B0D" w:rsidP="00DB330E">
            <w:pPr>
              <w:pStyle w:val="TableText"/>
              <w:jc w:val="center"/>
              <w:rPr>
                <w:rFonts w:eastAsia="Calibri" w:cs="Calibri"/>
                <w:szCs w:val="16"/>
              </w:rPr>
            </w:pPr>
            <w:r w:rsidRPr="00D9348B">
              <w:rPr>
                <w:rFonts w:eastAsia="Calibri" w:cs="Calibri"/>
                <w:szCs w:val="16"/>
              </w:rPr>
              <w:t>NA</w:t>
            </w:r>
          </w:p>
        </w:tc>
      </w:tr>
      <w:tr w:rsidR="00A71B0D" w:rsidRPr="00D9348B" w14:paraId="65FD5391" w14:textId="77777777" w:rsidTr="00DB4D4F">
        <w:tc>
          <w:tcPr>
            <w:tcW w:w="2019" w:type="dxa"/>
            <w:tcBorders>
              <w:bottom w:val="single" w:sz="4" w:space="0" w:color="365F91"/>
            </w:tcBorders>
            <w:shd w:val="clear" w:color="auto" w:fill="FFFFFF"/>
          </w:tcPr>
          <w:p w14:paraId="0117FB6E" w14:textId="77777777" w:rsidR="00A71B0D" w:rsidRPr="00D9348B" w:rsidRDefault="00A71B0D" w:rsidP="00DB330E">
            <w:pPr>
              <w:pStyle w:val="TableText"/>
              <w:rPr>
                <w:rFonts w:eastAsia="Calibri" w:cs="Calibri"/>
                <w:bCs/>
                <w:szCs w:val="16"/>
              </w:rPr>
            </w:pPr>
            <w:r w:rsidRPr="00D9348B">
              <w:rPr>
                <w:rFonts w:eastAsia="Calibri" w:cs="Calibri"/>
                <w:bCs/>
                <w:szCs w:val="16"/>
              </w:rPr>
              <w:t>Other, inert</w:t>
            </w:r>
          </w:p>
        </w:tc>
        <w:tc>
          <w:tcPr>
            <w:tcW w:w="1587" w:type="dxa"/>
            <w:vMerge/>
            <w:tcBorders>
              <w:bottom w:val="single" w:sz="4" w:space="0" w:color="365F91"/>
            </w:tcBorders>
            <w:shd w:val="clear" w:color="auto" w:fill="auto"/>
          </w:tcPr>
          <w:p w14:paraId="10156AA7" w14:textId="77777777" w:rsidR="00A71B0D" w:rsidRPr="00D9348B" w:rsidRDefault="00A71B0D" w:rsidP="00DB330E">
            <w:pPr>
              <w:spacing w:before="120"/>
              <w:rPr>
                <w:rFonts w:eastAsia="Calibri" w:cs="Calibri"/>
                <w:sz w:val="16"/>
                <w:szCs w:val="16"/>
              </w:rPr>
            </w:pPr>
          </w:p>
        </w:tc>
        <w:tc>
          <w:tcPr>
            <w:tcW w:w="1497" w:type="dxa"/>
            <w:tcBorders>
              <w:bottom w:val="single" w:sz="4" w:space="0" w:color="365F91"/>
            </w:tcBorders>
            <w:shd w:val="clear" w:color="auto" w:fill="auto"/>
          </w:tcPr>
          <w:p w14:paraId="20A94B48" w14:textId="77777777" w:rsidR="00A71B0D" w:rsidRPr="00D9348B" w:rsidRDefault="00A71B0D" w:rsidP="00DB330E">
            <w:pPr>
              <w:pStyle w:val="TableText"/>
              <w:jc w:val="center"/>
              <w:rPr>
                <w:rFonts w:eastAsia="Calibri" w:cs="Calibri"/>
                <w:szCs w:val="16"/>
              </w:rPr>
            </w:pPr>
            <w:r w:rsidRPr="00D9348B">
              <w:rPr>
                <w:rFonts w:eastAsia="Calibri" w:cs="Calibri"/>
                <w:szCs w:val="16"/>
              </w:rPr>
              <w:t>24.0</w:t>
            </w:r>
          </w:p>
        </w:tc>
        <w:tc>
          <w:tcPr>
            <w:tcW w:w="1134" w:type="dxa"/>
            <w:tcBorders>
              <w:bottom w:val="single" w:sz="4" w:space="0" w:color="365F91"/>
            </w:tcBorders>
            <w:shd w:val="clear" w:color="auto" w:fill="auto"/>
          </w:tcPr>
          <w:p w14:paraId="19B9DA7E" w14:textId="77777777" w:rsidR="00A71B0D" w:rsidRPr="00D9348B" w:rsidRDefault="00A71B0D" w:rsidP="00DB330E">
            <w:pPr>
              <w:pStyle w:val="TableText"/>
              <w:jc w:val="center"/>
              <w:rPr>
                <w:rFonts w:eastAsia="Calibri" w:cs="Calibri"/>
                <w:szCs w:val="16"/>
              </w:rPr>
            </w:pPr>
            <w:r w:rsidRPr="00D9348B">
              <w:rPr>
                <w:rFonts w:eastAsia="Calibri" w:cs="Calibri"/>
                <w:szCs w:val="16"/>
              </w:rPr>
              <w:t>90</w:t>
            </w:r>
          </w:p>
        </w:tc>
        <w:tc>
          <w:tcPr>
            <w:tcW w:w="1276" w:type="dxa"/>
            <w:tcBorders>
              <w:bottom w:val="single" w:sz="4" w:space="0" w:color="365F91"/>
            </w:tcBorders>
            <w:shd w:val="clear" w:color="auto" w:fill="auto"/>
          </w:tcPr>
          <w:p w14:paraId="09FFE0FE" w14:textId="77777777" w:rsidR="00A71B0D" w:rsidRPr="00D9348B" w:rsidRDefault="00A71B0D" w:rsidP="00DB330E">
            <w:pPr>
              <w:pStyle w:val="TableText"/>
              <w:jc w:val="center"/>
              <w:rPr>
                <w:rFonts w:eastAsia="Calibri" w:cs="Calibri"/>
                <w:szCs w:val="16"/>
              </w:rPr>
            </w:pPr>
            <w:r w:rsidRPr="00D9348B">
              <w:rPr>
                <w:rFonts w:eastAsia="Calibri" w:cs="Calibri"/>
                <w:szCs w:val="16"/>
              </w:rPr>
              <w:t>3</w:t>
            </w:r>
          </w:p>
        </w:tc>
        <w:tc>
          <w:tcPr>
            <w:tcW w:w="992" w:type="dxa"/>
            <w:tcBorders>
              <w:bottom w:val="single" w:sz="4" w:space="0" w:color="365F91"/>
            </w:tcBorders>
            <w:shd w:val="clear" w:color="auto" w:fill="auto"/>
          </w:tcPr>
          <w:p w14:paraId="38671780" w14:textId="77777777" w:rsidR="00A71B0D" w:rsidRPr="00D9348B" w:rsidRDefault="00A71B0D" w:rsidP="00DB330E">
            <w:pPr>
              <w:pStyle w:val="TableText"/>
              <w:jc w:val="center"/>
              <w:rPr>
                <w:rFonts w:eastAsia="Calibri" w:cs="Calibri"/>
                <w:szCs w:val="16"/>
              </w:rPr>
            </w:pPr>
            <w:r w:rsidRPr="00D9348B">
              <w:rPr>
                <w:rFonts w:eastAsia="Calibri" w:cs="Calibri"/>
                <w:szCs w:val="16"/>
              </w:rPr>
              <w:t>100</w:t>
            </w:r>
          </w:p>
        </w:tc>
      </w:tr>
      <w:tr w:rsidR="00A71B0D" w:rsidRPr="00D9348B" w14:paraId="75413880" w14:textId="77777777" w:rsidTr="00DB4D4F">
        <w:tc>
          <w:tcPr>
            <w:tcW w:w="5103" w:type="dxa"/>
            <w:gridSpan w:val="3"/>
            <w:tcBorders>
              <w:right w:val="nil"/>
            </w:tcBorders>
            <w:shd w:val="clear" w:color="auto" w:fill="EBEFF4"/>
          </w:tcPr>
          <w:p w14:paraId="427BBD8A" w14:textId="77777777" w:rsidR="00A71B0D" w:rsidRPr="00D9348B" w:rsidRDefault="00A71B0D" w:rsidP="00DB330E">
            <w:pPr>
              <w:pStyle w:val="TableTextBold"/>
              <w:jc w:val="right"/>
              <w:rPr>
                <w:rFonts w:eastAsia="Calibri" w:cs="Calibri"/>
                <w:b w:val="0"/>
                <w:bCs/>
                <w:noProof w:val="0"/>
                <w:szCs w:val="16"/>
              </w:rPr>
            </w:pPr>
            <w:r w:rsidRPr="00D9348B">
              <w:rPr>
                <w:rFonts w:eastAsia="Calibri" w:cs="Calibri"/>
                <w:b w:val="0"/>
                <w:bCs/>
                <w:noProof w:val="0"/>
                <w:szCs w:val="16"/>
              </w:rPr>
              <w:t>Calculated weighted average</w:t>
            </w:r>
          </w:p>
        </w:tc>
        <w:tc>
          <w:tcPr>
            <w:tcW w:w="1134" w:type="dxa"/>
            <w:shd w:val="clear" w:color="auto" w:fill="EBEFF4"/>
          </w:tcPr>
          <w:p w14:paraId="20232523" w14:textId="77777777" w:rsidR="00A71B0D" w:rsidRPr="00D9348B" w:rsidRDefault="00A71B0D" w:rsidP="00DB330E">
            <w:pPr>
              <w:pStyle w:val="TableTextBold"/>
              <w:jc w:val="center"/>
              <w:rPr>
                <w:rFonts w:eastAsia="Calibri" w:cs="Calibri"/>
                <w:noProof w:val="0"/>
                <w:szCs w:val="16"/>
              </w:rPr>
            </w:pPr>
            <w:r w:rsidRPr="00D9348B">
              <w:rPr>
                <w:rFonts w:eastAsia="Calibri" w:cs="Calibri"/>
                <w:noProof w:val="0"/>
                <w:szCs w:val="16"/>
              </w:rPr>
              <w:t>56.13</w:t>
            </w:r>
          </w:p>
        </w:tc>
        <w:tc>
          <w:tcPr>
            <w:tcW w:w="1276" w:type="dxa"/>
            <w:shd w:val="clear" w:color="auto" w:fill="EBEFF4"/>
          </w:tcPr>
          <w:p w14:paraId="7F54668F" w14:textId="77777777" w:rsidR="00A71B0D" w:rsidRPr="00D9348B" w:rsidRDefault="00A71B0D" w:rsidP="00DB330E">
            <w:pPr>
              <w:pStyle w:val="TableTextBold"/>
              <w:jc w:val="center"/>
              <w:rPr>
                <w:rFonts w:eastAsia="Calibri" w:cs="Calibri"/>
                <w:noProof w:val="0"/>
                <w:szCs w:val="16"/>
              </w:rPr>
            </w:pPr>
            <w:r w:rsidRPr="00D9348B">
              <w:rPr>
                <w:rFonts w:eastAsia="Calibri" w:cs="Calibri"/>
                <w:noProof w:val="0"/>
                <w:szCs w:val="16"/>
              </w:rPr>
              <w:t>30.20</w:t>
            </w:r>
          </w:p>
        </w:tc>
        <w:tc>
          <w:tcPr>
            <w:tcW w:w="992" w:type="dxa"/>
            <w:shd w:val="clear" w:color="auto" w:fill="EBEFF4"/>
          </w:tcPr>
          <w:p w14:paraId="63EF7AA7" w14:textId="77777777" w:rsidR="00A71B0D" w:rsidRPr="00D9348B" w:rsidRDefault="00A71B0D" w:rsidP="00DB330E">
            <w:pPr>
              <w:pStyle w:val="TableTextBold"/>
              <w:jc w:val="center"/>
              <w:rPr>
                <w:rFonts w:eastAsia="Calibri" w:cs="Calibri"/>
                <w:noProof w:val="0"/>
                <w:szCs w:val="16"/>
              </w:rPr>
            </w:pPr>
            <w:r w:rsidRPr="00D9348B">
              <w:rPr>
                <w:rFonts w:eastAsia="Calibri" w:cs="Calibri"/>
                <w:noProof w:val="0"/>
                <w:szCs w:val="16"/>
              </w:rPr>
              <w:t>24.06</w:t>
            </w:r>
          </w:p>
        </w:tc>
      </w:tr>
    </w:tbl>
    <w:p w14:paraId="62216C8D" w14:textId="77777777" w:rsidR="00A71B0D" w:rsidRPr="00D9348B" w:rsidRDefault="00A71B0D" w:rsidP="00A71B0D">
      <w:pPr>
        <w:pStyle w:val="BodyText"/>
        <w:spacing w:before="240"/>
      </w:pPr>
      <w:r w:rsidRPr="00D9348B">
        <w:t xml:space="preserve">Percentages in table 8.5.3 are defaults from table 2.3 and table 2.4 of volume 5, 2006 IPCC Guidelines (IPCC, 2006d). </w:t>
      </w:r>
    </w:p>
    <w:p w14:paraId="374E4659" w14:textId="77777777" w:rsidR="00A71B0D" w:rsidRPr="00D9348B" w:rsidRDefault="00A71B0D" w:rsidP="00A71B0D">
      <w:pPr>
        <w:pStyle w:val="BodyText"/>
        <w:rPr>
          <w:spacing w:val="-2"/>
        </w:rPr>
      </w:pPr>
      <w:r w:rsidRPr="00D9348B">
        <w:rPr>
          <w:spacing w:val="-2"/>
        </w:rPr>
        <w:t>An assumption was made that ‘inert’ waste for landfills is classified entirely as ‘other inert’ waste for incineration (the impact of this assumption is that emissions are slightly higher than distributing the 24 per cent over the various inert types due to the high fossil carbon percentage).</w:t>
      </w:r>
    </w:p>
    <w:p w14:paraId="50ED981A" w14:textId="77777777" w:rsidR="00A71B0D" w:rsidRPr="00D9348B" w:rsidRDefault="00A71B0D" w:rsidP="00865BDB">
      <w:pPr>
        <w:pStyle w:val="Heading4"/>
      </w:pPr>
      <w:r w:rsidRPr="00D9348B">
        <w:t>Uncertainty</w:t>
      </w:r>
    </w:p>
    <w:p w14:paraId="45F0FA22" w14:textId="77777777" w:rsidR="00A71B0D" w:rsidRPr="00D9348B" w:rsidRDefault="00A71B0D" w:rsidP="00A71B0D">
      <w:pPr>
        <w:pStyle w:val="BodyText"/>
      </w:pPr>
      <w:r w:rsidRPr="00D9348B">
        <w:t xml:space="preserve">The same uncertainty data for open burning of waste were used for Tokelau and New Zealand (table 7.4.6, chapter 7; for methodological notes, refer to uncertainties in emissions from incineration and open burning, section 7.4.3, chapter 7). </w:t>
      </w:r>
    </w:p>
    <w:p w14:paraId="48B8B847" w14:textId="77777777" w:rsidR="00A71B0D" w:rsidRPr="00D9348B" w:rsidRDefault="00A71B0D" w:rsidP="00A71B0D">
      <w:pPr>
        <w:pStyle w:val="Table"/>
      </w:pPr>
      <w:bookmarkStart w:id="3005" w:name="_Toc5269605"/>
      <w:bookmarkStart w:id="3006" w:name="_Toc36224686"/>
      <w:r w:rsidRPr="00D9348B">
        <w:t>Table 8.5.4</w:t>
      </w:r>
      <w:r w:rsidRPr="00D9348B">
        <w:tab/>
        <w:t>Uncertainty in emissions from open burning for Tokelau.</w:t>
      </w:r>
      <w:bookmarkEnd w:id="3005"/>
      <w:bookmarkEnd w:id="3006"/>
    </w:p>
    <w:tbl>
      <w:tblPr>
        <w:tblW w:w="8505" w:type="dxa"/>
        <w:tblInd w:w="108" w:type="dxa"/>
        <w:tblBorders>
          <w:top w:val="single" w:sz="4" w:space="0" w:color="365F91"/>
          <w:bottom w:val="single" w:sz="4" w:space="0" w:color="365F91"/>
          <w:insideH w:val="single" w:sz="4" w:space="0" w:color="365F91"/>
        </w:tblBorders>
        <w:tblCellMar>
          <w:left w:w="0" w:type="dxa"/>
          <w:right w:w="0" w:type="dxa"/>
        </w:tblCellMar>
        <w:tblLook w:val="04A0" w:firstRow="1" w:lastRow="0" w:firstColumn="1" w:lastColumn="0" w:noHBand="0" w:noVBand="1"/>
      </w:tblPr>
      <w:tblGrid>
        <w:gridCol w:w="2620"/>
        <w:gridCol w:w="2787"/>
        <w:gridCol w:w="3098"/>
      </w:tblGrid>
      <w:tr w:rsidR="00A71B0D" w:rsidRPr="00D9348B" w14:paraId="6EDC2DC5" w14:textId="77777777" w:rsidTr="00195C62">
        <w:tc>
          <w:tcPr>
            <w:tcW w:w="2620" w:type="dxa"/>
            <w:shd w:val="clear" w:color="auto" w:fill="365F91"/>
            <w:tcMar>
              <w:top w:w="0" w:type="dxa"/>
              <w:left w:w="108" w:type="dxa"/>
              <w:bottom w:w="0" w:type="dxa"/>
              <w:right w:w="108" w:type="dxa"/>
            </w:tcMar>
            <w:vAlign w:val="bottom"/>
            <w:hideMark/>
          </w:tcPr>
          <w:p w14:paraId="71825208" w14:textId="77777777" w:rsidR="00A71B0D" w:rsidRPr="00D9348B" w:rsidRDefault="00A71B0D" w:rsidP="00DB330E">
            <w:pPr>
              <w:pStyle w:val="TableTextBold"/>
              <w:keepNext/>
              <w:spacing w:before="50" w:after="50"/>
              <w:rPr>
                <w:noProof w:val="0"/>
                <w:color w:val="FFFFFF"/>
                <w:szCs w:val="16"/>
              </w:rPr>
            </w:pPr>
            <w:r w:rsidRPr="00D9348B">
              <w:rPr>
                <w:noProof w:val="0"/>
                <w:color w:val="FFFFFF"/>
                <w:szCs w:val="16"/>
              </w:rPr>
              <w:t>Emissions category</w:t>
            </w:r>
          </w:p>
        </w:tc>
        <w:tc>
          <w:tcPr>
            <w:tcW w:w="2787" w:type="dxa"/>
            <w:shd w:val="clear" w:color="auto" w:fill="365F91"/>
            <w:tcMar>
              <w:top w:w="0" w:type="dxa"/>
              <w:left w:w="108" w:type="dxa"/>
              <w:bottom w:w="0" w:type="dxa"/>
              <w:right w:w="108" w:type="dxa"/>
            </w:tcMar>
            <w:vAlign w:val="bottom"/>
            <w:hideMark/>
          </w:tcPr>
          <w:p w14:paraId="2F91FFBB" w14:textId="77777777" w:rsidR="00A71B0D" w:rsidRPr="00D9348B" w:rsidRDefault="00A71B0D" w:rsidP="00DB330E">
            <w:pPr>
              <w:pStyle w:val="TableTextBold"/>
              <w:keepNext/>
              <w:spacing w:before="50" w:after="50"/>
              <w:jc w:val="center"/>
              <w:rPr>
                <w:noProof w:val="0"/>
                <w:color w:val="FFFFFF"/>
                <w:szCs w:val="16"/>
              </w:rPr>
            </w:pPr>
            <w:r w:rsidRPr="00D9348B">
              <w:rPr>
                <w:noProof w:val="0"/>
                <w:color w:val="FFFFFF"/>
                <w:szCs w:val="16"/>
              </w:rPr>
              <w:t>Uncertainty in activity data (%)</w:t>
            </w:r>
          </w:p>
        </w:tc>
        <w:tc>
          <w:tcPr>
            <w:tcW w:w="3098" w:type="dxa"/>
            <w:shd w:val="clear" w:color="auto" w:fill="365F91"/>
            <w:tcMar>
              <w:top w:w="0" w:type="dxa"/>
              <w:left w:w="108" w:type="dxa"/>
              <w:bottom w:w="0" w:type="dxa"/>
              <w:right w:w="108" w:type="dxa"/>
            </w:tcMar>
            <w:vAlign w:val="bottom"/>
            <w:hideMark/>
          </w:tcPr>
          <w:p w14:paraId="0F0C8878" w14:textId="77777777" w:rsidR="00A71B0D" w:rsidRPr="00D9348B" w:rsidRDefault="00A71B0D" w:rsidP="00DB330E">
            <w:pPr>
              <w:pStyle w:val="TableTextBold"/>
              <w:keepNext/>
              <w:spacing w:before="50" w:after="50"/>
              <w:jc w:val="center"/>
              <w:rPr>
                <w:noProof w:val="0"/>
                <w:color w:val="FFFFFF"/>
                <w:szCs w:val="16"/>
              </w:rPr>
            </w:pPr>
            <w:r w:rsidRPr="00D9348B">
              <w:rPr>
                <w:noProof w:val="0"/>
                <w:color w:val="FFFFFF"/>
                <w:szCs w:val="16"/>
              </w:rPr>
              <w:t>Uncertainty in emission factors (%)</w:t>
            </w:r>
          </w:p>
        </w:tc>
      </w:tr>
      <w:tr w:rsidR="00A71B0D" w:rsidRPr="00D9348B" w14:paraId="1130B518" w14:textId="77777777" w:rsidTr="00195C62">
        <w:trPr>
          <w:trHeight w:val="127"/>
        </w:trPr>
        <w:tc>
          <w:tcPr>
            <w:tcW w:w="2620" w:type="dxa"/>
            <w:shd w:val="clear" w:color="auto" w:fill="FFFFFF"/>
            <w:tcMar>
              <w:top w:w="0" w:type="dxa"/>
              <w:left w:w="108" w:type="dxa"/>
              <w:bottom w:w="0" w:type="dxa"/>
              <w:right w:w="108" w:type="dxa"/>
            </w:tcMar>
            <w:hideMark/>
          </w:tcPr>
          <w:p w14:paraId="0FD4D807" w14:textId="77777777" w:rsidR="00A71B0D" w:rsidRPr="00D9348B" w:rsidRDefault="00A71B0D" w:rsidP="00DB330E">
            <w:pPr>
              <w:pStyle w:val="TableText"/>
              <w:rPr>
                <w:szCs w:val="16"/>
              </w:rPr>
            </w:pPr>
            <w:r w:rsidRPr="00D9348B">
              <w:rPr>
                <w:szCs w:val="16"/>
              </w:rPr>
              <w:t>Waste open burning (CO</w:t>
            </w:r>
            <w:r w:rsidRPr="00D9348B">
              <w:rPr>
                <w:szCs w:val="16"/>
                <w:vertAlign w:val="subscript"/>
              </w:rPr>
              <w:t>2</w:t>
            </w:r>
            <w:r w:rsidRPr="00D9348B">
              <w:rPr>
                <w:szCs w:val="16"/>
              </w:rPr>
              <w:t>)</w:t>
            </w:r>
          </w:p>
        </w:tc>
        <w:tc>
          <w:tcPr>
            <w:tcW w:w="2787" w:type="dxa"/>
            <w:shd w:val="clear" w:color="auto" w:fill="FFFFFF"/>
            <w:tcMar>
              <w:top w:w="0" w:type="dxa"/>
              <w:left w:w="108" w:type="dxa"/>
              <w:bottom w:w="0" w:type="dxa"/>
              <w:right w:w="108" w:type="dxa"/>
            </w:tcMar>
            <w:hideMark/>
          </w:tcPr>
          <w:p w14:paraId="737048F3" w14:textId="77777777" w:rsidR="00A71B0D" w:rsidRPr="00D9348B" w:rsidRDefault="00A71B0D" w:rsidP="00DB330E">
            <w:pPr>
              <w:pStyle w:val="TableText"/>
              <w:jc w:val="center"/>
              <w:rPr>
                <w:szCs w:val="16"/>
              </w:rPr>
            </w:pPr>
            <w:r w:rsidRPr="00D9348B">
              <w:rPr>
                <w:szCs w:val="16"/>
              </w:rPr>
              <w:t>±50</w:t>
            </w:r>
          </w:p>
        </w:tc>
        <w:tc>
          <w:tcPr>
            <w:tcW w:w="3098" w:type="dxa"/>
            <w:shd w:val="clear" w:color="auto" w:fill="FFFFFF"/>
            <w:tcMar>
              <w:top w:w="0" w:type="dxa"/>
              <w:left w:w="108" w:type="dxa"/>
              <w:bottom w:w="0" w:type="dxa"/>
              <w:right w:w="108" w:type="dxa"/>
            </w:tcMar>
            <w:hideMark/>
          </w:tcPr>
          <w:p w14:paraId="35AB8C43" w14:textId="77777777" w:rsidR="00A71B0D" w:rsidRPr="00D9348B" w:rsidRDefault="00A71B0D" w:rsidP="00DB330E">
            <w:pPr>
              <w:pStyle w:val="TableText"/>
              <w:jc w:val="center"/>
              <w:rPr>
                <w:szCs w:val="16"/>
              </w:rPr>
            </w:pPr>
            <w:r w:rsidRPr="00D9348B">
              <w:rPr>
                <w:szCs w:val="16"/>
              </w:rPr>
              <w:t>±40</w:t>
            </w:r>
          </w:p>
        </w:tc>
      </w:tr>
      <w:tr w:rsidR="00A71B0D" w:rsidRPr="00D9348B" w14:paraId="5E3733A4" w14:textId="77777777" w:rsidTr="00195C62">
        <w:trPr>
          <w:trHeight w:val="127"/>
        </w:trPr>
        <w:tc>
          <w:tcPr>
            <w:tcW w:w="2620" w:type="dxa"/>
            <w:shd w:val="clear" w:color="auto" w:fill="FFFFFF"/>
            <w:tcMar>
              <w:top w:w="0" w:type="dxa"/>
              <w:left w:w="108" w:type="dxa"/>
              <w:bottom w:w="0" w:type="dxa"/>
              <w:right w:w="108" w:type="dxa"/>
            </w:tcMar>
            <w:hideMark/>
          </w:tcPr>
          <w:p w14:paraId="14A00987" w14:textId="77777777" w:rsidR="00A71B0D" w:rsidRPr="00D9348B" w:rsidRDefault="00A71B0D" w:rsidP="00DB330E">
            <w:pPr>
              <w:pStyle w:val="TableText"/>
              <w:rPr>
                <w:szCs w:val="16"/>
              </w:rPr>
            </w:pPr>
            <w:r w:rsidRPr="00D9348B">
              <w:rPr>
                <w:szCs w:val="16"/>
              </w:rPr>
              <w:t>Waste open burning (CH</w:t>
            </w:r>
            <w:r w:rsidRPr="00D9348B">
              <w:rPr>
                <w:szCs w:val="16"/>
                <w:vertAlign w:val="subscript"/>
              </w:rPr>
              <w:t>4</w:t>
            </w:r>
            <w:r w:rsidRPr="00D9348B">
              <w:rPr>
                <w:szCs w:val="16"/>
              </w:rPr>
              <w:t>)</w:t>
            </w:r>
          </w:p>
        </w:tc>
        <w:tc>
          <w:tcPr>
            <w:tcW w:w="2787" w:type="dxa"/>
            <w:shd w:val="clear" w:color="auto" w:fill="FFFFFF"/>
            <w:tcMar>
              <w:top w:w="0" w:type="dxa"/>
              <w:left w:w="108" w:type="dxa"/>
              <w:bottom w:w="0" w:type="dxa"/>
              <w:right w:w="108" w:type="dxa"/>
            </w:tcMar>
            <w:hideMark/>
          </w:tcPr>
          <w:p w14:paraId="5A9A2F2C" w14:textId="77777777" w:rsidR="00A71B0D" w:rsidRPr="00D9348B" w:rsidRDefault="00A71B0D" w:rsidP="00DB330E">
            <w:pPr>
              <w:pStyle w:val="TableText"/>
              <w:jc w:val="center"/>
              <w:rPr>
                <w:szCs w:val="16"/>
              </w:rPr>
            </w:pPr>
            <w:r w:rsidRPr="00D9348B">
              <w:rPr>
                <w:szCs w:val="16"/>
              </w:rPr>
              <w:t>±50</w:t>
            </w:r>
          </w:p>
        </w:tc>
        <w:tc>
          <w:tcPr>
            <w:tcW w:w="3098" w:type="dxa"/>
            <w:shd w:val="clear" w:color="auto" w:fill="FFFFFF"/>
            <w:tcMar>
              <w:top w:w="0" w:type="dxa"/>
              <w:left w:w="108" w:type="dxa"/>
              <w:bottom w:w="0" w:type="dxa"/>
              <w:right w:w="108" w:type="dxa"/>
            </w:tcMar>
            <w:hideMark/>
          </w:tcPr>
          <w:p w14:paraId="68108E7D" w14:textId="77777777" w:rsidR="00A71B0D" w:rsidRPr="00D9348B" w:rsidRDefault="00A71B0D" w:rsidP="00DB330E">
            <w:pPr>
              <w:pStyle w:val="TableText"/>
              <w:jc w:val="center"/>
              <w:rPr>
                <w:szCs w:val="16"/>
              </w:rPr>
            </w:pPr>
            <w:r w:rsidRPr="00D9348B">
              <w:rPr>
                <w:szCs w:val="16"/>
              </w:rPr>
              <w:t>±100</w:t>
            </w:r>
          </w:p>
        </w:tc>
      </w:tr>
      <w:tr w:rsidR="00A71B0D" w:rsidRPr="00D9348B" w14:paraId="2C239747" w14:textId="77777777" w:rsidTr="00195C62">
        <w:trPr>
          <w:trHeight w:val="127"/>
        </w:trPr>
        <w:tc>
          <w:tcPr>
            <w:tcW w:w="2620" w:type="dxa"/>
            <w:shd w:val="clear" w:color="auto" w:fill="FFFFFF"/>
            <w:tcMar>
              <w:top w:w="0" w:type="dxa"/>
              <w:left w:w="108" w:type="dxa"/>
              <w:bottom w:w="0" w:type="dxa"/>
              <w:right w:w="108" w:type="dxa"/>
            </w:tcMar>
            <w:hideMark/>
          </w:tcPr>
          <w:p w14:paraId="06C4F971" w14:textId="77777777" w:rsidR="00A71B0D" w:rsidRPr="00D9348B" w:rsidRDefault="00A71B0D" w:rsidP="00DB330E">
            <w:pPr>
              <w:pStyle w:val="TableText"/>
              <w:rPr>
                <w:szCs w:val="16"/>
              </w:rPr>
            </w:pPr>
            <w:r w:rsidRPr="00D9348B">
              <w:rPr>
                <w:szCs w:val="16"/>
              </w:rPr>
              <w:t>Waste open burning (N</w:t>
            </w:r>
            <w:r w:rsidRPr="00D9348B">
              <w:rPr>
                <w:szCs w:val="16"/>
                <w:vertAlign w:val="subscript"/>
              </w:rPr>
              <w:t>2</w:t>
            </w:r>
            <w:r w:rsidRPr="00D9348B">
              <w:rPr>
                <w:szCs w:val="16"/>
              </w:rPr>
              <w:t>O)</w:t>
            </w:r>
          </w:p>
        </w:tc>
        <w:tc>
          <w:tcPr>
            <w:tcW w:w="2787" w:type="dxa"/>
            <w:shd w:val="clear" w:color="auto" w:fill="FFFFFF"/>
            <w:tcMar>
              <w:top w:w="0" w:type="dxa"/>
              <w:left w:w="108" w:type="dxa"/>
              <w:bottom w:w="0" w:type="dxa"/>
              <w:right w:w="108" w:type="dxa"/>
            </w:tcMar>
            <w:hideMark/>
          </w:tcPr>
          <w:p w14:paraId="4DA215E1" w14:textId="77777777" w:rsidR="00A71B0D" w:rsidRPr="00D9348B" w:rsidRDefault="00A71B0D" w:rsidP="00DB330E">
            <w:pPr>
              <w:pStyle w:val="TableText"/>
              <w:jc w:val="center"/>
              <w:rPr>
                <w:szCs w:val="16"/>
              </w:rPr>
            </w:pPr>
            <w:r w:rsidRPr="00D9348B">
              <w:rPr>
                <w:szCs w:val="16"/>
              </w:rPr>
              <w:t>±50</w:t>
            </w:r>
          </w:p>
        </w:tc>
        <w:tc>
          <w:tcPr>
            <w:tcW w:w="3098" w:type="dxa"/>
            <w:shd w:val="clear" w:color="auto" w:fill="FFFFFF"/>
            <w:tcMar>
              <w:top w:w="0" w:type="dxa"/>
              <w:left w:w="108" w:type="dxa"/>
              <w:bottom w:w="0" w:type="dxa"/>
              <w:right w:w="108" w:type="dxa"/>
            </w:tcMar>
            <w:hideMark/>
          </w:tcPr>
          <w:p w14:paraId="5E2E2A8F" w14:textId="77777777" w:rsidR="00A71B0D" w:rsidRPr="00D9348B" w:rsidRDefault="00A71B0D" w:rsidP="00DB330E">
            <w:pPr>
              <w:pStyle w:val="TableText"/>
              <w:jc w:val="center"/>
              <w:rPr>
                <w:szCs w:val="16"/>
              </w:rPr>
            </w:pPr>
            <w:r w:rsidRPr="00D9348B">
              <w:rPr>
                <w:szCs w:val="16"/>
              </w:rPr>
              <w:t>±100</w:t>
            </w:r>
          </w:p>
        </w:tc>
      </w:tr>
    </w:tbl>
    <w:p w14:paraId="6C6F44C6" w14:textId="77777777" w:rsidR="00A71B0D" w:rsidRPr="00D9348B" w:rsidRDefault="00A71B0D" w:rsidP="00A71B0D">
      <w:pPr>
        <w:pStyle w:val="Heading3"/>
        <w:spacing w:before="480"/>
      </w:pPr>
      <w:r w:rsidRPr="00D9348B">
        <w:t xml:space="preserve">8.5.3 </w:t>
      </w:r>
      <w:r w:rsidRPr="00D9348B">
        <w:tab/>
        <w:t>Emissions from Wastewater treatment and discharge in Tokelau</w:t>
      </w:r>
    </w:p>
    <w:p w14:paraId="03AE52CC" w14:textId="77777777" w:rsidR="00A71B0D" w:rsidRPr="00D9348B" w:rsidRDefault="00A71B0D" w:rsidP="00A71B0D">
      <w:pPr>
        <w:pStyle w:val="BodyText"/>
      </w:pPr>
      <w:r w:rsidRPr="00D9348B">
        <w:t xml:space="preserve">In the absence of industrial plants in Tokelau, all emissions associated with wastewater treatment and discharge are reported under the </w:t>
      </w:r>
      <w:r w:rsidRPr="00D9348B">
        <w:rPr>
          <w:i/>
        </w:rPr>
        <w:t>Domestic wastewater</w:t>
      </w:r>
      <w:r w:rsidRPr="00D9348B">
        <w:t xml:space="preserve"> category (5.D.1). The category uses the same population values as in the </w:t>
      </w:r>
      <w:r w:rsidRPr="00D9348B">
        <w:rPr>
          <w:i/>
        </w:rPr>
        <w:t>Solid waste disposal</w:t>
      </w:r>
      <w:r w:rsidRPr="00D9348B">
        <w:t xml:space="preserve"> and </w:t>
      </w:r>
      <w:proofErr w:type="gramStart"/>
      <w:r w:rsidRPr="00D9348B">
        <w:rPr>
          <w:i/>
        </w:rPr>
        <w:t>Open</w:t>
      </w:r>
      <w:proofErr w:type="gramEnd"/>
      <w:r w:rsidRPr="00D9348B">
        <w:rPr>
          <w:i/>
        </w:rPr>
        <w:t xml:space="preserve"> burning of Waste categories</w:t>
      </w:r>
      <w:r w:rsidRPr="00D9348B">
        <w:t xml:space="preserve"> (see above). The category includes emissions of CH</w:t>
      </w:r>
      <w:r w:rsidRPr="00D9348B">
        <w:rPr>
          <w:vertAlign w:val="subscript"/>
        </w:rPr>
        <w:t>4</w:t>
      </w:r>
      <w:r w:rsidRPr="00D9348B">
        <w:t xml:space="preserve"> and N</w:t>
      </w:r>
      <w:r w:rsidRPr="00D9348B">
        <w:rPr>
          <w:vertAlign w:val="subscript"/>
        </w:rPr>
        <w:t>2</w:t>
      </w:r>
      <w:r w:rsidRPr="00D9348B">
        <w:t>O.</w:t>
      </w:r>
    </w:p>
    <w:p w14:paraId="51AB211E" w14:textId="77777777" w:rsidR="00A71B0D" w:rsidRPr="00D9348B" w:rsidRDefault="00A71B0D" w:rsidP="00A71B0D">
      <w:pPr>
        <w:pStyle w:val="BodyText"/>
      </w:pPr>
      <w:r w:rsidRPr="00D9348B">
        <w:t xml:space="preserve">The </w:t>
      </w:r>
      <w:r w:rsidRPr="00D9348B">
        <w:rPr>
          <w:i/>
        </w:rPr>
        <w:t xml:space="preserve">Domestic wastewater </w:t>
      </w:r>
      <w:r w:rsidRPr="00D9348B">
        <w:t>category</w:t>
      </w:r>
      <w:r w:rsidRPr="00D9348B">
        <w:rPr>
          <w:i/>
        </w:rPr>
        <w:t xml:space="preserve"> </w:t>
      </w:r>
      <w:r w:rsidRPr="00D9348B">
        <w:t>contributes 38.2 per cent to the total of Waste sector emissions from Tokelau, which amounts to 0.26 kt CO</w:t>
      </w:r>
      <w:r w:rsidRPr="00D9348B">
        <w:rPr>
          <w:vertAlign w:val="subscript"/>
        </w:rPr>
        <w:t>2</w:t>
      </w:r>
      <w:r w:rsidRPr="00D9348B">
        <w:t>-e.</w:t>
      </w:r>
    </w:p>
    <w:p w14:paraId="2D2260E7" w14:textId="77777777" w:rsidR="00A71B0D" w:rsidRPr="00D9348B" w:rsidRDefault="00A71B0D" w:rsidP="00865BDB">
      <w:pPr>
        <w:pStyle w:val="Heading4"/>
      </w:pPr>
      <w:r w:rsidRPr="00D9348B">
        <w:lastRenderedPageBreak/>
        <w:t>Methodological issues</w:t>
      </w:r>
    </w:p>
    <w:p w14:paraId="1AEC5211" w14:textId="77777777" w:rsidR="00A71B0D" w:rsidRPr="00D9348B" w:rsidRDefault="00A71B0D" w:rsidP="00A71B0D">
      <w:pPr>
        <w:pStyle w:val="BodyText"/>
        <w:spacing w:before="100" w:after="100"/>
      </w:pPr>
      <w:r w:rsidRPr="00D9348B">
        <w:t>A Tier 1 methodology with the 2006 IPCC default emission factors (except the protein consumption value) for all gases was applied for estimating emissions from this category.</w:t>
      </w:r>
    </w:p>
    <w:p w14:paraId="771508F9" w14:textId="77777777" w:rsidR="00A71B0D" w:rsidRPr="00D9348B" w:rsidRDefault="00A71B0D" w:rsidP="00A71B0D">
      <w:pPr>
        <w:pStyle w:val="BodyText"/>
        <w:spacing w:before="100" w:after="100"/>
      </w:pPr>
      <w:r w:rsidRPr="00D9348B">
        <w:t>Assumptions for estimating CH</w:t>
      </w:r>
      <w:r w:rsidRPr="00D9348B">
        <w:rPr>
          <w:vertAlign w:val="subscript"/>
        </w:rPr>
        <w:t>4</w:t>
      </w:r>
      <w:r w:rsidRPr="00D9348B">
        <w:t xml:space="preserve"> emissions from wastewater:</w:t>
      </w:r>
    </w:p>
    <w:p w14:paraId="7D063E80" w14:textId="77777777" w:rsidR="00A71B0D" w:rsidRPr="00D9348B" w:rsidRDefault="00A71B0D" w:rsidP="00A71B0D">
      <w:pPr>
        <w:pStyle w:val="Bullet"/>
        <w:tabs>
          <w:tab w:val="clear" w:pos="567"/>
        </w:tabs>
        <w:spacing w:after="100"/>
      </w:pPr>
      <w:r w:rsidRPr="00D9348B">
        <w:t>60 grams biochemical oxygen demand (BOD) per person per day (as for Canada, Europe, Russia and Oceania), which calculates as 21.9 kg/person/year</w:t>
      </w:r>
    </w:p>
    <w:p w14:paraId="7398B30D" w14:textId="77777777" w:rsidR="00A71B0D" w:rsidRPr="00D9348B" w:rsidRDefault="00A71B0D" w:rsidP="00A71B0D">
      <w:pPr>
        <w:pStyle w:val="Bullet"/>
        <w:tabs>
          <w:tab w:val="clear" w:pos="567"/>
        </w:tabs>
        <w:spacing w:after="100"/>
      </w:pPr>
      <w:r w:rsidRPr="00D9348B">
        <w:t>for population, the same time series as in categories 5.A.3 and 5.C was used</w:t>
      </w:r>
    </w:p>
    <w:p w14:paraId="4419F1FC" w14:textId="77777777" w:rsidR="00A71B0D" w:rsidRPr="00D9348B" w:rsidRDefault="00A71B0D" w:rsidP="00A71B0D">
      <w:pPr>
        <w:pStyle w:val="Bullet"/>
        <w:tabs>
          <w:tab w:val="clear" w:pos="567"/>
        </w:tabs>
        <w:spacing w:after="100"/>
      </w:pPr>
      <w:proofErr w:type="gramStart"/>
      <w:r w:rsidRPr="00D9348B">
        <w:t>despite</w:t>
      </w:r>
      <w:proofErr w:type="gramEnd"/>
      <w:r w:rsidRPr="00D9348B">
        <w:t xml:space="preserve"> having no wastewater collection system, a correction factor for industrial BOD discharged in sewers of 1.25 is used (default for collected systems) to account for any industrial and commercial activity in Tokelau, such as fishing. No other estimates of industrial wastewater are made (effectively 5.D.2 </w:t>
      </w:r>
      <w:r w:rsidRPr="00D9348B">
        <w:rPr>
          <w:i/>
        </w:rPr>
        <w:t>Industrial wastewater</w:t>
      </w:r>
      <w:r w:rsidRPr="00D9348B">
        <w:t xml:space="preserve"> is ‘IE’ (included elsewhere) and included in 5.D.1 </w:t>
      </w:r>
      <w:r w:rsidRPr="00D9348B">
        <w:rPr>
          <w:i/>
        </w:rPr>
        <w:t>Domestic wastewater</w:t>
      </w:r>
      <w:r w:rsidRPr="00D9348B">
        <w:t>)</w:t>
      </w:r>
    </w:p>
    <w:p w14:paraId="3265188E" w14:textId="77777777" w:rsidR="00A71B0D" w:rsidRPr="00D9348B" w:rsidRDefault="00A71B0D" w:rsidP="00A71B0D">
      <w:pPr>
        <w:pStyle w:val="Bullet"/>
        <w:tabs>
          <w:tab w:val="clear" w:pos="567"/>
        </w:tabs>
        <w:spacing w:after="100"/>
      </w:pPr>
      <w:proofErr w:type="gramStart"/>
      <w:r w:rsidRPr="00D9348B">
        <w:t>in</w:t>
      </w:r>
      <w:proofErr w:type="gramEnd"/>
      <w:r w:rsidRPr="00D9348B">
        <w:t xml:space="preserve"> 2016, most Tokelauans had access to a private toilet in their homes using septic tanks: 72.9 per cent of private occupied dwellings had an indoor flush toilet, and 21.6 per cent of dwellings had an outdoor flush toilet. Atafu had the highest proportion of dwellings with an indoor toilet (87.4 per cent), and Nukunonu had the highest proportion of households with an outdoor toilet (34.9 per cent) (Census 2016, similar to values for 2011 and 2006). The percentage of open water toilets gradually reduced from 65 per cent of dwellings in 1991 to nil by 2016.</w:t>
      </w:r>
    </w:p>
    <w:p w14:paraId="6B6BC86A" w14:textId="77777777" w:rsidR="00A71B0D" w:rsidRPr="00D9348B" w:rsidRDefault="00A71B0D" w:rsidP="00A71B0D">
      <w:pPr>
        <w:pStyle w:val="BodyText"/>
      </w:pPr>
      <w:r w:rsidRPr="00D9348B">
        <w:t>Table 8.5.5 sums up default parameters used for estimating CH</w:t>
      </w:r>
      <w:r w:rsidRPr="00D9348B">
        <w:rPr>
          <w:vertAlign w:val="subscript"/>
        </w:rPr>
        <w:t>4</w:t>
      </w:r>
      <w:r w:rsidRPr="00D9348B">
        <w:t xml:space="preserve"> emissions for Tokelau wastewater treatment. The default BOD correction factor for collected systems is used to account for industrial and commercial water, because there is no separate estimate.</w:t>
      </w:r>
    </w:p>
    <w:p w14:paraId="20F479A1" w14:textId="77777777" w:rsidR="00A71B0D" w:rsidRPr="00D9348B" w:rsidRDefault="00A71B0D" w:rsidP="00A71B0D">
      <w:pPr>
        <w:pStyle w:val="Table"/>
      </w:pPr>
      <w:bookmarkStart w:id="3007" w:name="_Toc5269606"/>
      <w:bookmarkStart w:id="3008" w:name="_Toc36224687"/>
      <w:r w:rsidRPr="00D9348B">
        <w:t>Table 8.5.5</w:t>
      </w:r>
      <w:r w:rsidRPr="00D9348B">
        <w:tab/>
        <w:t>Parameters for estimating methane emissions for Tokelau wastewater treatment</w:t>
      </w:r>
      <w:bookmarkEnd w:id="3007"/>
      <w:bookmarkEnd w:id="3008"/>
      <w:r w:rsidRPr="00D9348B">
        <w:t xml:space="preserve"> </w:t>
      </w:r>
    </w:p>
    <w:tbl>
      <w:tblPr>
        <w:tblW w:w="8505" w:type="dxa"/>
        <w:tblInd w:w="108" w:type="dxa"/>
        <w:tblBorders>
          <w:top w:val="single" w:sz="4" w:space="0" w:color="365F91"/>
          <w:bottom w:val="single" w:sz="4" w:space="0" w:color="365F91"/>
          <w:insideH w:val="single" w:sz="4" w:space="0" w:color="365F91"/>
          <w:insideV w:val="single" w:sz="4" w:space="0" w:color="365F91"/>
        </w:tblBorders>
        <w:tblLook w:val="04A0" w:firstRow="1" w:lastRow="0" w:firstColumn="1" w:lastColumn="0" w:noHBand="0" w:noVBand="1"/>
      </w:tblPr>
      <w:tblGrid>
        <w:gridCol w:w="3261"/>
        <w:gridCol w:w="708"/>
        <w:gridCol w:w="1843"/>
        <w:gridCol w:w="2693"/>
      </w:tblGrid>
      <w:tr w:rsidR="00A71B0D" w:rsidRPr="00D9348B" w14:paraId="7EDF4832" w14:textId="77777777" w:rsidTr="00321557">
        <w:tc>
          <w:tcPr>
            <w:tcW w:w="3261" w:type="dxa"/>
            <w:shd w:val="clear" w:color="auto" w:fill="365F91"/>
          </w:tcPr>
          <w:p w14:paraId="5DEAD759" w14:textId="77777777" w:rsidR="00A71B0D" w:rsidRPr="00D9348B" w:rsidRDefault="00A71B0D" w:rsidP="00DB330E">
            <w:pPr>
              <w:pStyle w:val="TableTextBold"/>
              <w:spacing w:before="40" w:after="40"/>
              <w:rPr>
                <w:noProof w:val="0"/>
                <w:color w:val="FFFFFF"/>
                <w:szCs w:val="16"/>
              </w:rPr>
            </w:pPr>
            <w:r w:rsidRPr="00D9348B">
              <w:rPr>
                <w:noProof w:val="0"/>
                <w:color w:val="FFFFFF"/>
                <w:szCs w:val="16"/>
              </w:rPr>
              <w:t>Parameter</w:t>
            </w:r>
          </w:p>
        </w:tc>
        <w:tc>
          <w:tcPr>
            <w:tcW w:w="708" w:type="dxa"/>
            <w:shd w:val="clear" w:color="auto" w:fill="365F91"/>
          </w:tcPr>
          <w:p w14:paraId="15546493" w14:textId="77777777" w:rsidR="00A71B0D" w:rsidRPr="00D9348B" w:rsidRDefault="00A71B0D" w:rsidP="00DB330E">
            <w:pPr>
              <w:pStyle w:val="TableTextBold"/>
              <w:spacing w:before="40" w:after="40"/>
              <w:rPr>
                <w:noProof w:val="0"/>
                <w:color w:val="FFFFFF"/>
                <w:szCs w:val="16"/>
              </w:rPr>
            </w:pPr>
            <w:r w:rsidRPr="00D9348B">
              <w:rPr>
                <w:noProof w:val="0"/>
                <w:color w:val="FFFFFF"/>
                <w:szCs w:val="16"/>
              </w:rPr>
              <w:t>Value</w:t>
            </w:r>
          </w:p>
        </w:tc>
        <w:tc>
          <w:tcPr>
            <w:tcW w:w="1843" w:type="dxa"/>
            <w:shd w:val="clear" w:color="auto" w:fill="365F91"/>
          </w:tcPr>
          <w:p w14:paraId="61A31CD0" w14:textId="77777777" w:rsidR="00A71B0D" w:rsidRPr="00D9348B" w:rsidRDefault="00A71B0D" w:rsidP="00DB330E">
            <w:pPr>
              <w:pStyle w:val="TableTextBold"/>
              <w:spacing w:before="40" w:after="40"/>
              <w:rPr>
                <w:noProof w:val="0"/>
                <w:color w:val="FFFFFF"/>
                <w:szCs w:val="16"/>
              </w:rPr>
            </w:pPr>
            <w:r w:rsidRPr="00D9348B">
              <w:rPr>
                <w:noProof w:val="0"/>
                <w:color w:val="FFFFFF"/>
                <w:szCs w:val="16"/>
              </w:rPr>
              <w:t>Source</w:t>
            </w:r>
          </w:p>
        </w:tc>
        <w:tc>
          <w:tcPr>
            <w:tcW w:w="2693" w:type="dxa"/>
            <w:shd w:val="clear" w:color="auto" w:fill="365F91"/>
          </w:tcPr>
          <w:p w14:paraId="4995475B" w14:textId="77777777" w:rsidR="00A71B0D" w:rsidRPr="00D9348B" w:rsidRDefault="00A71B0D" w:rsidP="00DB330E">
            <w:pPr>
              <w:pStyle w:val="TableTextBold"/>
              <w:spacing w:before="40" w:after="40"/>
              <w:rPr>
                <w:noProof w:val="0"/>
                <w:color w:val="FFFFFF"/>
                <w:szCs w:val="16"/>
              </w:rPr>
            </w:pPr>
            <w:r w:rsidRPr="00D9348B">
              <w:rPr>
                <w:noProof w:val="0"/>
                <w:color w:val="FFFFFF"/>
                <w:szCs w:val="16"/>
              </w:rPr>
              <w:t>Reference</w:t>
            </w:r>
          </w:p>
        </w:tc>
      </w:tr>
      <w:tr w:rsidR="00A71B0D" w:rsidRPr="00D9348B" w14:paraId="376418F7" w14:textId="77777777" w:rsidTr="00321557">
        <w:tc>
          <w:tcPr>
            <w:tcW w:w="3261" w:type="dxa"/>
          </w:tcPr>
          <w:p w14:paraId="56E193B5" w14:textId="77777777" w:rsidR="00A71B0D" w:rsidRPr="00D9348B" w:rsidRDefault="00A71B0D" w:rsidP="00DB330E">
            <w:pPr>
              <w:pStyle w:val="TableText"/>
              <w:spacing w:before="50" w:after="50"/>
              <w:rPr>
                <w:szCs w:val="16"/>
              </w:rPr>
            </w:pPr>
            <w:r w:rsidRPr="00D9348B">
              <w:rPr>
                <w:szCs w:val="16"/>
              </w:rPr>
              <w:t>Methane correction factors</w:t>
            </w:r>
          </w:p>
        </w:tc>
        <w:tc>
          <w:tcPr>
            <w:tcW w:w="708" w:type="dxa"/>
          </w:tcPr>
          <w:p w14:paraId="26EC762D" w14:textId="77777777" w:rsidR="00A71B0D" w:rsidRPr="00D9348B" w:rsidRDefault="00A71B0D" w:rsidP="00DB330E">
            <w:pPr>
              <w:pStyle w:val="TableText"/>
              <w:spacing w:before="50" w:after="50"/>
              <w:rPr>
                <w:szCs w:val="16"/>
              </w:rPr>
            </w:pPr>
          </w:p>
        </w:tc>
        <w:tc>
          <w:tcPr>
            <w:tcW w:w="1843" w:type="dxa"/>
          </w:tcPr>
          <w:p w14:paraId="587E53A5" w14:textId="77777777" w:rsidR="00A71B0D" w:rsidRPr="00D9348B" w:rsidRDefault="00A71B0D" w:rsidP="00DB330E">
            <w:pPr>
              <w:pStyle w:val="TableText"/>
              <w:spacing w:before="50" w:after="50"/>
              <w:rPr>
                <w:szCs w:val="16"/>
              </w:rPr>
            </w:pPr>
          </w:p>
        </w:tc>
        <w:tc>
          <w:tcPr>
            <w:tcW w:w="2693" w:type="dxa"/>
          </w:tcPr>
          <w:p w14:paraId="015BBCBC" w14:textId="77777777" w:rsidR="00A71B0D" w:rsidRPr="00D9348B" w:rsidRDefault="00A71B0D" w:rsidP="00DB330E">
            <w:pPr>
              <w:pStyle w:val="TableText"/>
              <w:spacing w:before="50" w:after="50"/>
              <w:rPr>
                <w:szCs w:val="16"/>
              </w:rPr>
            </w:pPr>
          </w:p>
        </w:tc>
      </w:tr>
      <w:tr w:rsidR="00A71B0D" w:rsidRPr="00D9348B" w14:paraId="382A38D1" w14:textId="77777777" w:rsidTr="00321557">
        <w:tc>
          <w:tcPr>
            <w:tcW w:w="3261" w:type="dxa"/>
          </w:tcPr>
          <w:p w14:paraId="161E9D11" w14:textId="77777777" w:rsidR="00A71B0D" w:rsidRPr="00D9348B" w:rsidRDefault="00A71B0D" w:rsidP="00DB330E">
            <w:pPr>
              <w:pStyle w:val="TableText"/>
              <w:spacing w:before="50" w:after="50"/>
              <w:ind w:left="113"/>
              <w:rPr>
                <w:i/>
                <w:szCs w:val="16"/>
              </w:rPr>
            </w:pPr>
            <w:r w:rsidRPr="00D9348B">
              <w:rPr>
                <w:i/>
                <w:szCs w:val="16"/>
              </w:rPr>
              <w:t>Septic system</w:t>
            </w:r>
          </w:p>
        </w:tc>
        <w:tc>
          <w:tcPr>
            <w:tcW w:w="708" w:type="dxa"/>
          </w:tcPr>
          <w:p w14:paraId="2F7C523E" w14:textId="77777777" w:rsidR="00A71B0D" w:rsidRPr="00D9348B" w:rsidRDefault="00A71B0D" w:rsidP="00DB330E">
            <w:pPr>
              <w:pStyle w:val="TableText"/>
              <w:spacing w:before="50" w:after="50"/>
              <w:rPr>
                <w:szCs w:val="16"/>
              </w:rPr>
            </w:pPr>
            <w:r w:rsidRPr="00D9348B">
              <w:rPr>
                <w:szCs w:val="16"/>
              </w:rPr>
              <w:t>0.5</w:t>
            </w:r>
          </w:p>
        </w:tc>
        <w:tc>
          <w:tcPr>
            <w:tcW w:w="1843" w:type="dxa"/>
          </w:tcPr>
          <w:p w14:paraId="4F6BEFC9" w14:textId="77777777" w:rsidR="00A71B0D" w:rsidRPr="00D9348B" w:rsidRDefault="00A71B0D" w:rsidP="00DB330E">
            <w:pPr>
              <w:pStyle w:val="TableText"/>
              <w:spacing w:before="50" w:after="50"/>
              <w:rPr>
                <w:szCs w:val="16"/>
              </w:rPr>
            </w:pPr>
            <w:r w:rsidRPr="00D9348B">
              <w:rPr>
                <w:szCs w:val="16"/>
              </w:rPr>
              <w:t>IPCC default</w:t>
            </w:r>
          </w:p>
        </w:tc>
        <w:tc>
          <w:tcPr>
            <w:tcW w:w="2693" w:type="dxa"/>
          </w:tcPr>
          <w:p w14:paraId="7ADAD4FF" w14:textId="77777777" w:rsidR="00A71B0D" w:rsidRPr="00D9348B" w:rsidRDefault="00A71B0D" w:rsidP="00DB330E">
            <w:pPr>
              <w:pStyle w:val="TableText"/>
              <w:spacing w:before="50" w:after="50"/>
              <w:rPr>
                <w:szCs w:val="16"/>
              </w:rPr>
            </w:pPr>
            <w:r w:rsidRPr="00D9348B">
              <w:rPr>
                <w:szCs w:val="16"/>
              </w:rPr>
              <w:t>Table 6.3, section 6.2.2.2, IPCC, 2006d</w:t>
            </w:r>
          </w:p>
        </w:tc>
      </w:tr>
      <w:tr w:rsidR="00A71B0D" w:rsidRPr="00D9348B" w14:paraId="52034393" w14:textId="77777777" w:rsidTr="00321557">
        <w:tc>
          <w:tcPr>
            <w:tcW w:w="3261" w:type="dxa"/>
          </w:tcPr>
          <w:p w14:paraId="46D27F45" w14:textId="77777777" w:rsidR="00A71B0D" w:rsidRPr="00D9348B" w:rsidRDefault="00A71B0D" w:rsidP="00DB330E">
            <w:pPr>
              <w:pStyle w:val="TableText"/>
              <w:spacing w:before="50" w:after="50"/>
              <w:ind w:left="113"/>
              <w:rPr>
                <w:i/>
                <w:szCs w:val="16"/>
              </w:rPr>
            </w:pPr>
            <w:r w:rsidRPr="00D9348B">
              <w:rPr>
                <w:i/>
                <w:szCs w:val="16"/>
              </w:rPr>
              <w:t>Sea, river and lake discharge</w:t>
            </w:r>
          </w:p>
        </w:tc>
        <w:tc>
          <w:tcPr>
            <w:tcW w:w="708" w:type="dxa"/>
          </w:tcPr>
          <w:p w14:paraId="14694FA3" w14:textId="77777777" w:rsidR="00A71B0D" w:rsidRPr="00D9348B" w:rsidRDefault="00A71B0D" w:rsidP="00DB330E">
            <w:pPr>
              <w:pStyle w:val="TableText"/>
              <w:spacing w:before="50" w:after="50"/>
              <w:rPr>
                <w:szCs w:val="16"/>
              </w:rPr>
            </w:pPr>
            <w:r w:rsidRPr="00D9348B">
              <w:rPr>
                <w:szCs w:val="16"/>
              </w:rPr>
              <w:t>0.1</w:t>
            </w:r>
          </w:p>
        </w:tc>
        <w:tc>
          <w:tcPr>
            <w:tcW w:w="1843" w:type="dxa"/>
          </w:tcPr>
          <w:p w14:paraId="2720E454" w14:textId="77777777" w:rsidR="00A71B0D" w:rsidRPr="00D9348B" w:rsidRDefault="00A71B0D" w:rsidP="00DB330E">
            <w:pPr>
              <w:pStyle w:val="TableText"/>
              <w:spacing w:before="50" w:after="50"/>
              <w:rPr>
                <w:szCs w:val="16"/>
              </w:rPr>
            </w:pPr>
            <w:r w:rsidRPr="00D9348B">
              <w:rPr>
                <w:szCs w:val="16"/>
              </w:rPr>
              <w:t>IPCC default</w:t>
            </w:r>
          </w:p>
        </w:tc>
        <w:tc>
          <w:tcPr>
            <w:tcW w:w="2693" w:type="dxa"/>
          </w:tcPr>
          <w:p w14:paraId="33E42243" w14:textId="77777777" w:rsidR="00A71B0D" w:rsidRPr="00D9348B" w:rsidRDefault="00A71B0D" w:rsidP="00DB330E">
            <w:pPr>
              <w:pStyle w:val="TableText"/>
              <w:spacing w:before="50" w:after="50"/>
              <w:rPr>
                <w:szCs w:val="16"/>
              </w:rPr>
            </w:pPr>
            <w:r w:rsidRPr="00D9348B">
              <w:rPr>
                <w:szCs w:val="16"/>
              </w:rPr>
              <w:t xml:space="preserve">Table 6.3, section 6.2.2.2, IPCC, 2006d </w:t>
            </w:r>
          </w:p>
        </w:tc>
      </w:tr>
      <w:tr w:rsidR="00A71B0D" w:rsidRPr="00D9348B" w14:paraId="7A0D1EDA" w14:textId="77777777" w:rsidTr="00321557">
        <w:tc>
          <w:tcPr>
            <w:tcW w:w="3261" w:type="dxa"/>
          </w:tcPr>
          <w:p w14:paraId="62443312" w14:textId="77777777" w:rsidR="00A71B0D" w:rsidRPr="00D9348B" w:rsidRDefault="00A71B0D" w:rsidP="00DB330E">
            <w:pPr>
              <w:pStyle w:val="TableText"/>
              <w:spacing w:before="50" w:after="50"/>
              <w:ind w:left="113"/>
              <w:rPr>
                <w:i/>
                <w:szCs w:val="16"/>
              </w:rPr>
            </w:pPr>
            <w:r w:rsidRPr="00D9348B">
              <w:rPr>
                <w:i/>
                <w:szCs w:val="16"/>
              </w:rPr>
              <w:t>Weighted average methane correction factor</w:t>
            </w:r>
          </w:p>
        </w:tc>
        <w:tc>
          <w:tcPr>
            <w:tcW w:w="708" w:type="dxa"/>
          </w:tcPr>
          <w:p w14:paraId="6D681D1E" w14:textId="77777777" w:rsidR="00A71B0D" w:rsidRPr="00D9348B" w:rsidRDefault="00A71B0D" w:rsidP="00DB330E">
            <w:pPr>
              <w:pStyle w:val="TableText"/>
              <w:spacing w:before="50" w:after="50"/>
              <w:rPr>
                <w:szCs w:val="16"/>
              </w:rPr>
            </w:pPr>
            <w:r w:rsidRPr="00D9348B">
              <w:rPr>
                <w:szCs w:val="16"/>
              </w:rPr>
              <w:t>0.233</w:t>
            </w:r>
          </w:p>
        </w:tc>
        <w:tc>
          <w:tcPr>
            <w:tcW w:w="1843" w:type="dxa"/>
          </w:tcPr>
          <w:p w14:paraId="4E31F119" w14:textId="77777777" w:rsidR="00A71B0D" w:rsidRPr="00D9348B" w:rsidRDefault="00A71B0D" w:rsidP="00DB330E">
            <w:pPr>
              <w:pStyle w:val="TableText"/>
              <w:spacing w:before="50" w:after="50"/>
              <w:rPr>
                <w:szCs w:val="16"/>
              </w:rPr>
            </w:pPr>
            <w:r w:rsidRPr="00D9348B">
              <w:rPr>
                <w:szCs w:val="16"/>
              </w:rPr>
              <w:t>Calculated</w:t>
            </w:r>
          </w:p>
        </w:tc>
        <w:tc>
          <w:tcPr>
            <w:tcW w:w="2693" w:type="dxa"/>
          </w:tcPr>
          <w:p w14:paraId="6CFB26D1" w14:textId="77777777" w:rsidR="00A71B0D" w:rsidRPr="00D9348B" w:rsidRDefault="00A71B0D" w:rsidP="00DB330E">
            <w:pPr>
              <w:pStyle w:val="TableText"/>
              <w:spacing w:before="50" w:after="50"/>
              <w:rPr>
                <w:szCs w:val="16"/>
              </w:rPr>
            </w:pPr>
          </w:p>
        </w:tc>
      </w:tr>
      <w:tr w:rsidR="00A71B0D" w:rsidRPr="00D9348B" w14:paraId="784C7D15" w14:textId="77777777" w:rsidTr="00321557">
        <w:tc>
          <w:tcPr>
            <w:tcW w:w="3261" w:type="dxa"/>
          </w:tcPr>
          <w:p w14:paraId="64658602" w14:textId="77777777" w:rsidR="00A71B0D" w:rsidRPr="00D9348B" w:rsidRDefault="00A71B0D" w:rsidP="00DB330E">
            <w:pPr>
              <w:pStyle w:val="TableText"/>
              <w:spacing w:before="50" w:after="50"/>
              <w:rPr>
                <w:szCs w:val="16"/>
              </w:rPr>
            </w:pPr>
            <w:r w:rsidRPr="00D9348B">
              <w:rPr>
                <w:szCs w:val="16"/>
              </w:rPr>
              <w:t>Maximum methane producing capacity (kg CH</w:t>
            </w:r>
            <w:r w:rsidRPr="00D9348B">
              <w:rPr>
                <w:szCs w:val="16"/>
                <w:vertAlign w:val="subscript"/>
              </w:rPr>
              <w:t>4</w:t>
            </w:r>
            <w:r w:rsidRPr="00D9348B">
              <w:rPr>
                <w:szCs w:val="16"/>
              </w:rPr>
              <w:t>/kg BOD)</w:t>
            </w:r>
          </w:p>
        </w:tc>
        <w:tc>
          <w:tcPr>
            <w:tcW w:w="708" w:type="dxa"/>
          </w:tcPr>
          <w:p w14:paraId="25D2DB76" w14:textId="77777777" w:rsidR="00A71B0D" w:rsidRPr="00D9348B" w:rsidRDefault="00A71B0D" w:rsidP="00DB330E">
            <w:pPr>
              <w:pStyle w:val="TableText"/>
              <w:spacing w:before="50" w:after="50"/>
              <w:rPr>
                <w:szCs w:val="16"/>
              </w:rPr>
            </w:pPr>
            <w:r w:rsidRPr="00D9348B">
              <w:rPr>
                <w:szCs w:val="16"/>
              </w:rPr>
              <w:t>0.6</w:t>
            </w:r>
          </w:p>
        </w:tc>
        <w:tc>
          <w:tcPr>
            <w:tcW w:w="1843" w:type="dxa"/>
          </w:tcPr>
          <w:p w14:paraId="253A0474" w14:textId="77777777" w:rsidR="00A71B0D" w:rsidRPr="00D9348B" w:rsidRDefault="00A71B0D" w:rsidP="00DB330E">
            <w:pPr>
              <w:pStyle w:val="TableText"/>
              <w:spacing w:before="50" w:after="50"/>
              <w:rPr>
                <w:szCs w:val="16"/>
              </w:rPr>
            </w:pPr>
            <w:r w:rsidRPr="00D9348B">
              <w:rPr>
                <w:szCs w:val="16"/>
              </w:rPr>
              <w:t>IPCC default</w:t>
            </w:r>
          </w:p>
        </w:tc>
        <w:tc>
          <w:tcPr>
            <w:tcW w:w="2693" w:type="dxa"/>
          </w:tcPr>
          <w:p w14:paraId="3DC98DAA" w14:textId="77777777" w:rsidR="00A71B0D" w:rsidRPr="00D9348B" w:rsidRDefault="00A71B0D" w:rsidP="00DB330E">
            <w:pPr>
              <w:pStyle w:val="TableText"/>
              <w:spacing w:before="50" w:after="50"/>
              <w:rPr>
                <w:szCs w:val="16"/>
              </w:rPr>
            </w:pPr>
            <w:r w:rsidRPr="00D9348B">
              <w:rPr>
                <w:szCs w:val="16"/>
              </w:rPr>
              <w:t>Table 6.2, section 6.2.2.2, IPCC, 2006d</w:t>
            </w:r>
          </w:p>
        </w:tc>
      </w:tr>
      <w:tr w:rsidR="00A71B0D" w:rsidRPr="00D9348B" w14:paraId="5514B138" w14:textId="77777777" w:rsidTr="00321557">
        <w:tc>
          <w:tcPr>
            <w:tcW w:w="3261" w:type="dxa"/>
          </w:tcPr>
          <w:p w14:paraId="29679607" w14:textId="77777777" w:rsidR="00A71B0D" w:rsidRPr="00D9348B" w:rsidRDefault="00A71B0D" w:rsidP="00DB330E">
            <w:pPr>
              <w:pStyle w:val="TableText"/>
              <w:spacing w:before="50" w:after="50"/>
              <w:rPr>
                <w:szCs w:val="16"/>
              </w:rPr>
            </w:pPr>
            <w:r w:rsidRPr="00D9348B">
              <w:rPr>
                <w:szCs w:val="16"/>
              </w:rPr>
              <w:t>Biochemical oxygen demand (BOD) (kg BOD/person/year)</w:t>
            </w:r>
          </w:p>
        </w:tc>
        <w:tc>
          <w:tcPr>
            <w:tcW w:w="708" w:type="dxa"/>
          </w:tcPr>
          <w:p w14:paraId="05F346B7" w14:textId="77777777" w:rsidR="00A71B0D" w:rsidRPr="00D9348B" w:rsidRDefault="00A71B0D" w:rsidP="00DB330E">
            <w:pPr>
              <w:pStyle w:val="TableText"/>
              <w:spacing w:before="50" w:after="50"/>
              <w:rPr>
                <w:szCs w:val="16"/>
              </w:rPr>
            </w:pPr>
            <w:r w:rsidRPr="00D9348B">
              <w:rPr>
                <w:szCs w:val="16"/>
              </w:rPr>
              <w:t>21.9</w:t>
            </w:r>
          </w:p>
        </w:tc>
        <w:tc>
          <w:tcPr>
            <w:tcW w:w="1843" w:type="dxa"/>
          </w:tcPr>
          <w:p w14:paraId="60EC887C" w14:textId="77777777" w:rsidR="00A71B0D" w:rsidRPr="00D9348B" w:rsidRDefault="00A71B0D" w:rsidP="00DB330E">
            <w:pPr>
              <w:pStyle w:val="TableText"/>
              <w:spacing w:before="50" w:after="50"/>
              <w:rPr>
                <w:szCs w:val="16"/>
              </w:rPr>
            </w:pPr>
            <w:r w:rsidRPr="00D9348B">
              <w:rPr>
                <w:szCs w:val="16"/>
              </w:rPr>
              <w:t>IPCC default for Oceania</w:t>
            </w:r>
          </w:p>
        </w:tc>
        <w:tc>
          <w:tcPr>
            <w:tcW w:w="2693" w:type="dxa"/>
          </w:tcPr>
          <w:p w14:paraId="6D3CEB1D" w14:textId="77777777" w:rsidR="00A71B0D" w:rsidRPr="00D9348B" w:rsidRDefault="00A71B0D" w:rsidP="00DB330E">
            <w:pPr>
              <w:pStyle w:val="TableText"/>
              <w:spacing w:before="50" w:after="50"/>
              <w:rPr>
                <w:szCs w:val="16"/>
              </w:rPr>
            </w:pPr>
            <w:r w:rsidRPr="00D9348B">
              <w:rPr>
                <w:rFonts w:eastAsia="Calibri"/>
                <w:szCs w:val="16"/>
              </w:rPr>
              <w:t>IPCC</w:t>
            </w:r>
            <w:r w:rsidRPr="00D9348B">
              <w:rPr>
                <w:szCs w:val="16"/>
              </w:rPr>
              <w:t>, 2006d</w:t>
            </w:r>
            <w:r w:rsidRPr="00D9348B">
              <w:rPr>
                <w:rFonts w:eastAsia="Calibri"/>
                <w:szCs w:val="16"/>
              </w:rPr>
              <w:t xml:space="preserve"> (worksheets for SWDS)</w:t>
            </w:r>
          </w:p>
        </w:tc>
      </w:tr>
      <w:tr w:rsidR="00A71B0D" w:rsidRPr="00D9348B" w14:paraId="1D2E1E1F" w14:textId="77777777" w:rsidTr="00321557">
        <w:tc>
          <w:tcPr>
            <w:tcW w:w="3261" w:type="dxa"/>
          </w:tcPr>
          <w:p w14:paraId="15DF8A96" w14:textId="77777777" w:rsidR="00A71B0D" w:rsidRPr="00D9348B" w:rsidRDefault="00A71B0D" w:rsidP="00DB330E">
            <w:pPr>
              <w:pStyle w:val="TableText"/>
              <w:spacing w:before="50" w:after="50"/>
              <w:rPr>
                <w:szCs w:val="16"/>
              </w:rPr>
            </w:pPr>
            <w:r w:rsidRPr="00D9348B">
              <w:rPr>
                <w:szCs w:val="16"/>
              </w:rPr>
              <w:t>Correction factor for BOD</w:t>
            </w:r>
          </w:p>
        </w:tc>
        <w:tc>
          <w:tcPr>
            <w:tcW w:w="708" w:type="dxa"/>
          </w:tcPr>
          <w:p w14:paraId="3BD45CC8" w14:textId="77777777" w:rsidR="00A71B0D" w:rsidRPr="00D9348B" w:rsidRDefault="00A71B0D" w:rsidP="00DB330E">
            <w:pPr>
              <w:pStyle w:val="TableText"/>
              <w:spacing w:before="50" w:after="50"/>
              <w:rPr>
                <w:szCs w:val="16"/>
              </w:rPr>
            </w:pPr>
            <w:r w:rsidRPr="00D9348B">
              <w:rPr>
                <w:szCs w:val="16"/>
              </w:rPr>
              <w:t>1.25</w:t>
            </w:r>
          </w:p>
        </w:tc>
        <w:tc>
          <w:tcPr>
            <w:tcW w:w="1843" w:type="dxa"/>
          </w:tcPr>
          <w:p w14:paraId="5CF838A6" w14:textId="77777777" w:rsidR="00A71B0D" w:rsidRPr="00D9348B" w:rsidRDefault="00A71B0D" w:rsidP="00DB330E">
            <w:pPr>
              <w:pStyle w:val="TableText"/>
              <w:spacing w:before="50" w:after="50"/>
              <w:rPr>
                <w:szCs w:val="16"/>
              </w:rPr>
            </w:pPr>
            <w:r w:rsidRPr="00D9348B">
              <w:rPr>
                <w:szCs w:val="16"/>
              </w:rPr>
              <w:t>IPCC default for collected systems</w:t>
            </w:r>
          </w:p>
        </w:tc>
        <w:tc>
          <w:tcPr>
            <w:tcW w:w="2693" w:type="dxa"/>
          </w:tcPr>
          <w:p w14:paraId="39A229E6" w14:textId="77777777" w:rsidR="00A71B0D" w:rsidRPr="00D9348B" w:rsidRDefault="00A71B0D" w:rsidP="00DB330E">
            <w:pPr>
              <w:pStyle w:val="TableText"/>
              <w:spacing w:before="50" w:after="50"/>
              <w:rPr>
                <w:szCs w:val="16"/>
              </w:rPr>
            </w:pPr>
            <w:r w:rsidRPr="00D9348B">
              <w:rPr>
                <w:szCs w:val="16"/>
              </w:rPr>
              <w:t>Section 6.2.2.3, p 6.14, IPCC, 2006d</w:t>
            </w:r>
          </w:p>
        </w:tc>
      </w:tr>
    </w:tbl>
    <w:p w14:paraId="0D463C45" w14:textId="77777777" w:rsidR="00A71B0D" w:rsidRPr="00D9348B" w:rsidRDefault="00A71B0D" w:rsidP="00A71B0D">
      <w:pPr>
        <w:pStyle w:val="Noteundertable"/>
      </w:pPr>
      <w:r w:rsidRPr="00D9348B">
        <w:rPr>
          <w:b/>
        </w:rPr>
        <w:t>Note:</w:t>
      </w:r>
      <w:r w:rsidRPr="00D9348B">
        <w:t xml:space="preserve"> </w:t>
      </w:r>
      <w:r w:rsidRPr="00D9348B">
        <w:tab/>
        <w:t>SWDS = solid waste disposable sites.</w:t>
      </w:r>
    </w:p>
    <w:p w14:paraId="5A82CE99" w14:textId="77777777" w:rsidR="00A71B0D" w:rsidRPr="00D9348B" w:rsidRDefault="00A71B0D" w:rsidP="00865BDB">
      <w:pPr>
        <w:pStyle w:val="Heading4"/>
      </w:pPr>
      <w:r w:rsidRPr="00D9348B">
        <w:t>Assumptions for estimating nitrous oxide emissions from wastewater</w:t>
      </w:r>
    </w:p>
    <w:p w14:paraId="673CB1E0" w14:textId="77777777" w:rsidR="00A71B0D" w:rsidRPr="00D9348B" w:rsidRDefault="00A71B0D" w:rsidP="00A71B0D">
      <w:pPr>
        <w:pStyle w:val="BodyText"/>
        <w:spacing w:before="100" w:after="100"/>
      </w:pPr>
      <w:r w:rsidRPr="00D9348B">
        <w:t>Table 8.5.6 shows the parameters used to calculate N</w:t>
      </w:r>
      <w:r w:rsidRPr="00D9348B">
        <w:rPr>
          <w:vertAlign w:val="subscript"/>
        </w:rPr>
        <w:t>2</w:t>
      </w:r>
      <w:r w:rsidRPr="00D9348B">
        <w:t>O emissions from wastewater. It is assumed that septic tanks do not discharge to the sea and that only the population using open water toilets contributes to the nitrogen in effluent calculation.</w:t>
      </w:r>
    </w:p>
    <w:p w14:paraId="1E80C69A" w14:textId="77777777" w:rsidR="00A71B0D" w:rsidRPr="00D9348B" w:rsidRDefault="00A71B0D" w:rsidP="00A71B0D">
      <w:pPr>
        <w:pStyle w:val="BodyText"/>
        <w:spacing w:before="100"/>
      </w:pPr>
      <w:r w:rsidRPr="00D9348B">
        <w:t>Protein consumption of 32.45 kg/person/year has been calculated based on known consumption compiled by the Tokelau National Statistics Office. The fraction of industrial and commercial co-discharged protein accounts for any commercial and industrial activities because there is no separate estimate.</w:t>
      </w:r>
    </w:p>
    <w:p w14:paraId="4D4FCED2" w14:textId="77777777" w:rsidR="00A71B0D" w:rsidRPr="00D9348B" w:rsidRDefault="00A71B0D" w:rsidP="00A71B0D">
      <w:pPr>
        <w:pStyle w:val="Table"/>
      </w:pPr>
      <w:bookmarkStart w:id="3009" w:name="_Toc5269607"/>
      <w:bookmarkStart w:id="3010" w:name="_Toc36224688"/>
      <w:r w:rsidRPr="00D9348B">
        <w:lastRenderedPageBreak/>
        <w:t>Table 8.5.6</w:t>
      </w:r>
      <w:r w:rsidRPr="00D9348B">
        <w:tab/>
        <w:t xml:space="preserve">Parameter values applied for estimating nitrous oxide emissions for </w:t>
      </w:r>
      <w:r w:rsidRPr="00D9348B">
        <w:br/>
        <w:t>Tokelau wastewater treatment</w:t>
      </w:r>
      <w:bookmarkEnd w:id="3009"/>
      <w:bookmarkEnd w:id="3010"/>
      <w:r w:rsidRPr="00D9348B">
        <w:t xml:space="preserve"> </w:t>
      </w:r>
    </w:p>
    <w:tbl>
      <w:tblPr>
        <w:tblW w:w="8505" w:type="dxa"/>
        <w:tblInd w:w="108" w:type="dxa"/>
        <w:tblBorders>
          <w:top w:val="single" w:sz="4" w:space="0" w:color="365F91"/>
          <w:bottom w:val="single" w:sz="4" w:space="0" w:color="365F91"/>
          <w:insideH w:val="single" w:sz="4" w:space="0" w:color="365F91"/>
        </w:tblBorders>
        <w:tblLook w:val="04A0" w:firstRow="1" w:lastRow="0" w:firstColumn="1" w:lastColumn="0" w:noHBand="0" w:noVBand="1"/>
      </w:tblPr>
      <w:tblGrid>
        <w:gridCol w:w="3261"/>
        <w:gridCol w:w="850"/>
        <w:gridCol w:w="1701"/>
        <w:gridCol w:w="2693"/>
      </w:tblGrid>
      <w:tr w:rsidR="00A71B0D" w:rsidRPr="00D9348B" w14:paraId="1434D347" w14:textId="77777777" w:rsidTr="00321557">
        <w:trPr>
          <w:tblHeader/>
        </w:trPr>
        <w:tc>
          <w:tcPr>
            <w:tcW w:w="3261" w:type="dxa"/>
            <w:shd w:val="clear" w:color="auto" w:fill="365F91"/>
          </w:tcPr>
          <w:p w14:paraId="09BE3612" w14:textId="77777777" w:rsidR="00A71B0D" w:rsidRPr="00D9348B" w:rsidRDefault="00A71B0D" w:rsidP="00DB330E">
            <w:pPr>
              <w:pStyle w:val="TableTextBold"/>
              <w:rPr>
                <w:noProof w:val="0"/>
                <w:color w:val="FFFFFF"/>
                <w:szCs w:val="16"/>
              </w:rPr>
            </w:pPr>
            <w:r w:rsidRPr="00D9348B">
              <w:rPr>
                <w:noProof w:val="0"/>
                <w:color w:val="FFFFFF"/>
                <w:szCs w:val="16"/>
              </w:rPr>
              <w:t>Parameter</w:t>
            </w:r>
          </w:p>
        </w:tc>
        <w:tc>
          <w:tcPr>
            <w:tcW w:w="850" w:type="dxa"/>
            <w:shd w:val="clear" w:color="auto" w:fill="365F91"/>
          </w:tcPr>
          <w:p w14:paraId="612CF39B" w14:textId="77777777" w:rsidR="00A71B0D" w:rsidRPr="00D9348B" w:rsidRDefault="00A71B0D" w:rsidP="00DB330E">
            <w:pPr>
              <w:pStyle w:val="TableTextBold"/>
              <w:rPr>
                <w:noProof w:val="0"/>
                <w:color w:val="FFFFFF"/>
                <w:szCs w:val="16"/>
              </w:rPr>
            </w:pPr>
            <w:r w:rsidRPr="00D9348B">
              <w:rPr>
                <w:noProof w:val="0"/>
                <w:color w:val="FFFFFF"/>
                <w:szCs w:val="16"/>
              </w:rPr>
              <w:t>Value</w:t>
            </w:r>
          </w:p>
        </w:tc>
        <w:tc>
          <w:tcPr>
            <w:tcW w:w="1701" w:type="dxa"/>
            <w:shd w:val="clear" w:color="auto" w:fill="365F91"/>
          </w:tcPr>
          <w:p w14:paraId="148A5B73" w14:textId="77777777" w:rsidR="00A71B0D" w:rsidRPr="00D9348B" w:rsidRDefault="00A71B0D" w:rsidP="00DB330E">
            <w:pPr>
              <w:pStyle w:val="TableTextBold"/>
              <w:rPr>
                <w:noProof w:val="0"/>
                <w:color w:val="FFFFFF"/>
                <w:szCs w:val="16"/>
              </w:rPr>
            </w:pPr>
            <w:r w:rsidRPr="00D9348B">
              <w:rPr>
                <w:noProof w:val="0"/>
                <w:color w:val="FFFFFF"/>
                <w:szCs w:val="16"/>
              </w:rPr>
              <w:t>Source</w:t>
            </w:r>
          </w:p>
        </w:tc>
        <w:tc>
          <w:tcPr>
            <w:tcW w:w="2693" w:type="dxa"/>
            <w:shd w:val="clear" w:color="auto" w:fill="365F91"/>
          </w:tcPr>
          <w:p w14:paraId="1AE311F6" w14:textId="77777777" w:rsidR="00A71B0D" w:rsidRPr="00D9348B" w:rsidRDefault="00A71B0D" w:rsidP="00DB330E">
            <w:pPr>
              <w:pStyle w:val="TableTextBold"/>
              <w:rPr>
                <w:noProof w:val="0"/>
                <w:color w:val="FFFFFF"/>
                <w:szCs w:val="16"/>
              </w:rPr>
            </w:pPr>
            <w:r w:rsidRPr="00D9348B">
              <w:rPr>
                <w:noProof w:val="0"/>
                <w:color w:val="FFFFFF"/>
                <w:szCs w:val="16"/>
              </w:rPr>
              <w:t>Reference</w:t>
            </w:r>
          </w:p>
        </w:tc>
      </w:tr>
      <w:tr w:rsidR="00A71B0D" w:rsidRPr="00D9348B" w14:paraId="10A91538" w14:textId="77777777" w:rsidTr="00321557">
        <w:tc>
          <w:tcPr>
            <w:tcW w:w="3261" w:type="dxa"/>
          </w:tcPr>
          <w:p w14:paraId="4999F427" w14:textId="77777777" w:rsidR="00A71B0D" w:rsidRPr="00D9348B" w:rsidRDefault="00A71B0D" w:rsidP="00DB330E">
            <w:pPr>
              <w:pStyle w:val="TableText"/>
              <w:rPr>
                <w:szCs w:val="16"/>
              </w:rPr>
            </w:pPr>
            <w:r w:rsidRPr="00D9348B">
              <w:rPr>
                <w:szCs w:val="16"/>
              </w:rPr>
              <w:t>Per capita protein consumption (kg/person/year)</w:t>
            </w:r>
          </w:p>
        </w:tc>
        <w:tc>
          <w:tcPr>
            <w:tcW w:w="850" w:type="dxa"/>
          </w:tcPr>
          <w:p w14:paraId="32386033" w14:textId="77777777" w:rsidR="00A71B0D" w:rsidRPr="00D9348B" w:rsidRDefault="00A71B0D" w:rsidP="00DB330E">
            <w:pPr>
              <w:pStyle w:val="TableText"/>
              <w:rPr>
                <w:szCs w:val="16"/>
              </w:rPr>
            </w:pPr>
            <w:r w:rsidRPr="00D9348B">
              <w:rPr>
                <w:szCs w:val="16"/>
              </w:rPr>
              <w:t>32.448</w:t>
            </w:r>
          </w:p>
        </w:tc>
        <w:tc>
          <w:tcPr>
            <w:tcW w:w="1701" w:type="dxa"/>
          </w:tcPr>
          <w:p w14:paraId="37CF4AD0" w14:textId="77777777" w:rsidR="00A71B0D" w:rsidRPr="00D9348B" w:rsidRDefault="00A71B0D" w:rsidP="00DB330E">
            <w:pPr>
              <w:pStyle w:val="TableText"/>
              <w:rPr>
                <w:szCs w:val="16"/>
              </w:rPr>
            </w:pPr>
            <w:r w:rsidRPr="00D9348B">
              <w:rPr>
                <w:szCs w:val="16"/>
              </w:rPr>
              <w:t>Tokelau specific</w:t>
            </w:r>
          </w:p>
        </w:tc>
        <w:tc>
          <w:tcPr>
            <w:tcW w:w="2693" w:type="dxa"/>
          </w:tcPr>
          <w:p w14:paraId="2675CF94" w14:textId="77777777" w:rsidR="00A71B0D" w:rsidRPr="00D9348B" w:rsidRDefault="00A71B0D" w:rsidP="00DB330E">
            <w:pPr>
              <w:pStyle w:val="TableText"/>
              <w:rPr>
                <w:szCs w:val="16"/>
              </w:rPr>
            </w:pPr>
            <w:r w:rsidRPr="00D9348B">
              <w:rPr>
                <w:szCs w:val="16"/>
              </w:rPr>
              <w:t>Developed by Tokelau’s National Statistics Office using imports data (see table 8.1.2)</w:t>
            </w:r>
          </w:p>
        </w:tc>
      </w:tr>
      <w:tr w:rsidR="00A71B0D" w:rsidRPr="00D9348B" w14:paraId="2216A031" w14:textId="77777777" w:rsidTr="00321557">
        <w:tc>
          <w:tcPr>
            <w:tcW w:w="3261" w:type="dxa"/>
          </w:tcPr>
          <w:p w14:paraId="419FBE84" w14:textId="77777777" w:rsidR="00A71B0D" w:rsidRPr="00D9348B" w:rsidRDefault="00A71B0D" w:rsidP="00DB330E">
            <w:pPr>
              <w:pStyle w:val="TableText"/>
              <w:rPr>
                <w:szCs w:val="16"/>
              </w:rPr>
            </w:pPr>
            <w:r w:rsidRPr="00D9348B">
              <w:rPr>
                <w:szCs w:val="16"/>
              </w:rPr>
              <w:t xml:space="preserve">Fraction of nitrogen in protein </w:t>
            </w:r>
          </w:p>
        </w:tc>
        <w:tc>
          <w:tcPr>
            <w:tcW w:w="850" w:type="dxa"/>
          </w:tcPr>
          <w:p w14:paraId="285C9822" w14:textId="77777777" w:rsidR="00A71B0D" w:rsidRPr="00D9348B" w:rsidRDefault="00A71B0D" w:rsidP="00DB330E">
            <w:pPr>
              <w:pStyle w:val="TableText"/>
              <w:rPr>
                <w:szCs w:val="16"/>
              </w:rPr>
            </w:pPr>
            <w:r w:rsidRPr="00D9348B">
              <w:rPr>
                <w:szCs w:val="16"/>
              </w:rPr>
              <w:t>0.16</w:t>
            </w:r>
          </w:p>
        </w:tc>
        <w:tc>
          <w:tcPr>
            <w:tcW w:w="1701" w:type="dxa"/>
          </w:tcPr>
          <w:p w14:paraId="03452373" w14:textId="77777777" w:rsidR="00A71B0D" w:rsidRPr="00D9348B" w:rsidRDefault="00A71B0D" w:rsidP="00DB330E">
            <w:pPr>
              <w:pStyle w:val="TableText"/>
              <w:rPr>
                <w:szCs w:val="16"/>
              </w:rPr>
            </w:pPr>
            <w:r w:rsidRPr="00D9348B">
              <w:rPr>
                <w:szCs w:val="16"/>
              </w:rPr>
              <w:t>IPCC default</w:t>
            </w:r>
          </w:p>
        </w:tc>
        <w:tc>
          <w:tcPr>
            <w:tcW w:w="2693" w:type="dxa"/>
          </w:tcPr>
          <w:p w14:paraId="0E6DB71E" w14:textId="77777777" w:rsidR="00A71B0D" w:rsidRPr="00D9348B" w:rsidRDefault="00A71B0D" w:rsidP="00DB330E">
            <w:pPr>
              <w:pStyle w:val="TableText"/>
              <w:rPr>
                <w:szCs w:val="16"/>
              </w:rPr>
            </w:pPr>
            <w:r w:rsidRPr="00D9348B">
              <w:rPr>
                <w:szCs w:val="16"/>
              </w:rPr>
              <w:t>Section 6.3.1.3, p 6.25, IPCC, 2006d</w:t>
            </w:r>
          </w:p>
        </w:tc>
      </w:tr>
      <w:tr w:rsidR="00A71B0D" w:rsidRPr="00D9348B" w14:paraId="77813DA0" w14:textId="77777777" w:rsidTr="00321557">
        <w:tc>
          <w:tcPr>
            <w:tcW w:w="3261" w:type="dxa"/>
          </w:tcPr>
          <w:p w14:paraId="590C3B4F" w14:textId="77777777" w:rsidR="00A71B0D" w:rsidRPr="00D9348B" w:rsidRDefault="00A71B0D" w:rsidP="00DB330E">
            <w:pPr>
              <w:pStyle w:val="TableText"/>
              <w:rPr>
                <w:szCs w:val="16"/>
              </w:rPr>
            </w:pPr>
            <w:r w:rsidRPr="00D9348B">
              <w:rPr>
                <w:szCs w:val="16"/>
              </w:rPr>
              <w:t>Fraction of non-consumed protein</w:t>
            </w:r>
          </w:p>
        </w:tc>
        <w:tc>
          <w:tcPr>
            <w:tcW w:w="850" w:type="dxa"/>
          </w:tcPr>
          <w:p w14:paraId="454C38CA" w14:textId="77777777" w:rsidR="00A71B0D" w:rsidRPr="00D9348B" w:rsidRDefault="00A71B0D" w:rsidP="00DB330E">
            <w:pPr>
              <w:pStyle w:val="TableText"/>
              <w:rPr>
                <w:szCs w:val="16"/>
              </w:rPr>
            </w:pPr>
            <w:r w:rsidRPr="00D9348B">
              <w:rPr>
                <w:szCs w:val="16"/>
              </w:rPr>
              <w:t>1.1</w:t>
            </w:r>
          </w:p>
        </w:tc>
        <w:tc>
          <w:tcPr>
            <w:tcW w:w="1701" w:type="dxa"/>
          </w:tcPr>
          <w:p w14:paraId="182B7739" w14:textId="77777777" w:rsidR="00A71B0D" w:rsidRPr="00D9348B" w:rsidRDefault="00A71B0D" w:rsidP="00DB330E">
            <w:pPr>
              <w:pStyle w:val="TableText"/>
              <w:rPr>
                <w:szCs w:val="16"/>
              </w:rPr>
            </w:pPr>
            <w:r w:rsidRPr="00D9348B">
              <w:rPr>
                <w:szCs w:val="16"/>
              </w:rPr>
              <w:t>IPCC default for developing countries</w:t>
            </w:r>
          </w:p>
        </w:tc>
        <w:tc>
          <w:tcPr>
            <w:tcW w:w="2693" w:type="dxa"/>
          </w:tcPr>
          <w:p w14:paraId="56899761" w14:textId="77777777" w:rsidR="00A71B0D" w:rsidRPr="00D9348B" w:rsidRDefault="00A71B0D" w:rsidP="00DB330E">
            <w:pPr>
              <w:pStyle w:val="TableText"/>
              <w:rPr>
                <w:szCs w:val="16"/>
              </w:rPr>
            </w:pPr>
            <w:r w:rsidRPr="00D9348B">
              <w:rPr>
                <w:szCs w:val="16"/>
              </w:rPr>
              <w:t>Table 6.11, section 6.3.3, IPCC, 2006d</w:t>
            </w:r>
          </w:p>
        </w:tc>
      </w:tr>
      <w:tr w:rsidR="00A71B0D" w:rsidRPr="00D9348B" w14:paraId="7CCB8C14" w14:textId="77777777" w:rsidTr="00321557">
        <w:tc>
          <w:tcPr>
            <w:tcW w:w="3261" w:type="dxa"/>
          </w:tcPr>
          <w:p w14:paraId="342617B7" w14:textId="77777777" w:rsidR="00A71B0D" w:rsidRPr="00D9348B" w:rsidRDefault="00A71B0D" w:rsidP="00DB330E">
            <w:pPr>
              <w:pStyle w:val="TableText"/>
              <w:rPr>
                <w:szCs w:val="16"/>
              </w:rPr>
            </w:pPr>
            <w:r w:rsidRPr="00D9348B">
              <w:rPr>
                <w:szCs w:val="16"/>
              </w:rPr>
              <w:t>Fraction of industrial and commercial co</w:t>
            </w:r>
            <w:r w:rsidRPr="00D9348B">
              <w:rPr>
                <w:szCs w:val="16"/>
              </w:rPr>
              <w:noBreakHyphen/>
              <w:t>discharged protein</w:t>
            </w:r>
          </w:p>
        </w:tc>
        <w:tc>
          <w:tcPr>
            <w:tcW w:w="850" w:type="dxa"/>
          </w:tcPr>
          <w:p w14:paraId="3468933C" w14:textId="77777777" w:rsidR="00A71B0D" w:rsidRPr="00D9348B" w:rsidRDefault="00A71B0D" w:rsidP="00DB330E">
            <w:pPr>
              <w:pStyle w:val="TableText"/>
              <w:rPr>
                <w:szCs w:val="16"/>
              </w:rPr>
            </w:pPr>
            <w:r w:rsidRPr="00D9348B">
              <w:rPr>
                <w:szCs w:val="16"/>
              </w:rPr>
              <w:t>1.25</w:t>
            </w:r>
          </w:p>
        </w:tc>
        <w:tc>
          <w:tcPr>
            <w:tcW w:w="1701" w:type="dxa"/>
          </w:tcPr>
          <w:p w14:paraId="2AE530C7" w14:textId="77777777" w:rsidR="00A71B0D" w:rsidRPr="00D9348B" w:rsidRDefault="00A71B0D" w:rsidP="00DB330E">
            <w:pPr>
              <w:pStyle w:val="TableText"/>
              <w:rPr>
                <w:szCs w:val="16"/>
              </w:rPr>
            </w:pPr>
            <w:r w:rsidRPr="00D9348B">
              <w:rPr>
                <w:szCs w:val="16"/>
              </w:rPr>
              <w:t>IPCC default</w:t>
            </w:r>
          </w:p>
        </w:tc>
        <w:tc>
          <w:tcPr>
            <w:tcW w:w="2693" w:type="dxa"/>
          </w:tcPr>
          <w:p w14:paraId="358CFCD0" w14:textId="77777777" w:rsidR="00A71B0D" w:rsidRPr="00D9348B" w:rsidRDefault="00A71B0D" w:rsidP="00DB330E">
            <w:pPr>
              <w:pStyle w:val="TableText"/>
              <w:rPr>
                <w:szCs w:val="16"/>
              </w:rPr>
            </w:pPr>
            <w:r w:rsidRPr="00D9348B">
              <w:rPr>
                <w:szCs w:val="16"/>
              </w:rPr>
              <w:t>Table 6.11, section 6.3.3, IPCC, 2006d</w:t>
            </w:r>
          </w:p>
        </w:tc>
      </w:tr>
      <w:tr w:rsidR="00A71B0D" w:rsidRPr="00D9348B" w14:paraId="4E8AF734" w14:textId="77777777" w:rsidTr="00321557">
        <w:tc>
          <w:tcPr>
            <w:tcW w:w="3261" w:type="dxa"/>
          </w:tcPr>
          <w:p w14:paraId="27C9D746" w14:textId="77777777" w:rsidR="00A71B0D" w:rsidRPr="00D9348B" w:rsidRDefault="00A71B0D" w:rsidP="00DB330E">
            <w:pPr>
              <w:pStyle w:val="TableText"/>
              <w:rPr>
                <w:szCs w:val="16"/>
              </w:rPr>
            </w:pPr>
            <w:r w:rsidRPr="00D9348B">
              <w:rPr>
                <w:szCs w:val="16"/>
              </w:rPr>
              <w:t>Nitrogen removed with sludge (kg)</w:t>
            </w:r>
          </w:p>
        </w:tc>
        <w:tc>
          <w:tcPr>
            <w:tcW w:w="850" w:type="dxa"/>
          </w:tcPr>
          <w:p w14:paraId="05546396" w14:textId="77777777" w:rsidR="00A71B0D" w:rsidRPr="00D9348B" w:rsidRDefault="00A71B0D" w:rsidP="00DB330E">
            <w:pPr>
              <w:pStyle w:val="TableText"/>
              <w:rPr>
                <w:szCs w:val="16"/>
              </w:rPr>
            </w:pPr>
            <w:r w:rsidRPr="00D9348B">
              <w:rPr>
                <w:szCs w:val="16"/>
              </w:rPr>
              <w:t>0</w:t>
            </w:r>
          </w:p>
        </w:tc>
        <w:tc>
          <w:tcPr>
            <w:tcW w:w="1701" w:type="dxa"/>
          </w:tcPr>
          <w:p w14:paraId="117D2C17" w14:textId="77777777" w:rsidR="00A71B0D" w:rsidRPr="00D9348B" w:rsidRDefault="00A71B0D" w:rsidP="00DB330E">
            <w:pPr>
              <w:pStyle w:val="TableText"/>
              <w:rPr>
                <w:szCs w:val="16"/>
              </w:rPr>
            </w:pPr>
            <w:r w:rsidRPr="00D9348B">
              <w:rPr>
                <w:szCs w:val="16"/>
              </w:rPr>
              <w:t>IPCC default</w:t>
            </w:r>
          </w:p>
        </w:tc>
        <w:tc>
          <w:tcPr>
            <w:tcW w:w="2693" w:type="dxa"/>
          </w:tcPr>
          <w:p w14:paraId="0A11237C" w14:textId="77777777" w:rsidR="00A71B0D" w:rsidRPr="00D9348B" w:rsidRDefault="00A71B0D" w:rsidP="00DB330E">
            <w:pPr>
              <w:pStyle w:val="TableText"/>
              <w:rPr>
                <w:szCs w:val="16"/>
              </w:rPr>
            </w:pPr>
            <w:r w:rsidRPr="00D9348B">
              <w:rPr>
                <w:szCs w:val="16"/>
              </w:rPr>
              <w:t>Section 6.3.1.3, p 6.25, IPCC, 2006d</w:t>
            </w:r>
          </w:p>
        </w:tc>
      </w:tr>
      <w:tr w:rsidR="00A71B0D" w:rsidRPr="00D9348B" w14:paraId="766DE971" w14:textId="77777777" w:rsidTr="00321557">
        <w:tc>
          <w:tcPr>
            <w:tcW w:w="3261" w:type="dxa"/>
          </w:tcPr>
          <w:p w14:paraId="443A77B5" w14:textId="77777777" w:rsidR="00A71B0D" w:rsidRPr="00D9348B" w:rsidRDefault="00A71B0D" w:rsidP="00DB330E">
            <w:pPr>
              <w:pStyle w:val="TableText"/>
              <w:rPr>
                <w:szCs w:val="16"/>
              </w:rPr>
            </w:pPr>
            <w:r w:rsidRPr="00D9348B">
              <w:rPr>
                <w:szCs w:val="16"/>
              </w:rPr>
              <w:t>Emission factor</w:t>
            </w:r>
          </w:p>
        </w:tc>
        <w:tc>
          <w:tcPr>
            <w:tcW w:w="850" w:type="dxa"/>
          </w:tcPr>
          <w:p w14:paraId="120F3139" w14:textId="77777777" w:rsidR="00A71B0D" w:rsidRPr="00D9348B" w:rsidRDefault="00A71B0D" w:rsidP="00DB330E">
            <w:pPr>
              <w:pStyle w:val="TableText"/>
              <w:rPr>
                <w:szCs w:val="16"/>
              </w:rPr>
            </w:pPr>
            <w:r w:rsidRPr="00D9348B">
              <w:rPr>
                <w:szCs w:val="16"/>
              </w:rPr>
              <w:t>0.005</w:t>
            </w:r>
          </w:p>
        </w:tc>
        <w:tc>
          <w:tcPr>
            <w:tcW w:w="1701" w:type="dxa"/>
          </w:tcPr>
          <w:p w14:paraId="6BE022B5" w14:textId="77777777" w:rsidR="00A71B0D" w:rsidRPr="00D9348B" w:rsidRDefault="00A71B0D" w:rsidP="00DB330E">
            <w:pPr>
              <w:pStyle w:val="TableText"/>
              <w:rPr>
                <w:szCs w:val="16"/>
              </w:rPr>
            </w:pPr>
            <w:r w:rsidRPr="00D9348B">
              <w:rPr>
                <w:szCs w:val="16"/>
              </w:rPr>
              <w:t>IPCC default</w:t>
            </w:r>
          </w:p>
        </w:tc>
        <w:tc>
          <w:tcPr>
            <w:tcW w:w="2693" w:type="dxa"/>
          </w:tcPr>
          <w:p w14:paraId="10A07324" w14:textId="77777777" w:rsidR="00A71B0D" w:rsidRPr="00D9348B" w:rsidRDefault="00A71B0D" w:rsidP="00DB330E">
            <w:pPr>
              <w:pStyle w:val="TableText"/>
              <w:rPr>
                <w:szCs w:val="16"/>
              </w:rPr>
            </w:pPr>
            <w:r w:rsidRPr="00D9348B">
              <w:rPr>
                <w:szCs w:val="16"/>
              </w:rPr>
              <w:t>Table 6.11, section 6.3.3, IPCC, 2006d</w:t>
            </w:r>
          </w:p>
        </w:tc>
      </w:tr>
      <w:tr w:rsidR="00A71B0D" w:rsidRPr="00D9348B" w14:paraId="7B5DBD69" w14:textId="77777777" w:rsidTr="00321557">
        <w:tc>
          <w:tcPr>
            <w:tcW w:w="3261" w:type="dxa"/>
          </w:tcPr>
          <w:p w14:paraId="71A18B2F" w14:textId="77777777" w:rsidR="00A71B0D" w:rsidRPr="00D9348B" w:rsidRDefault="00A71B0D" w:rsidP="00DB330E">
            <w:pPr>
              <w:pStyle w:val="TableText"/>
              <w:rPr>
                <w:szCs w:val="16"/>
              </w:rPr>
            </w:pPr>
            <w:r w:rsidRPr="00D9348B">
              <w:rPr>
                <w:szCs w:val="16"/>
              </w:rPr>
              <w:t>Emissions from wastewater treatment plants</w:t>
            </w:r>
          </w:p>
        </w:tc>
        <w:tc>
          <w:tcPr>
            <w:tcW w:w="850" w:type="dxa"/>
          </w:tcPr>
          <w:p w14:paraId="5D658315" w14:textId="77777777" w:rsidR="00A71B0D" w:rsidRPr="00D9348B" w:rsidRDefault="00A71B0D" w:rsidP="00DB330E">
            <w:pPr>
              <w:pStyle w:val="TableText"/>
              <w:rPr>
                <w:szCs w:val="16"/>
              </w:rPr>
            </w:pPr>
            <w:r w:rsidRPr="00D9348B">
              <w:rPr>
                <w:szCs w:val="16"/>
              </w:rPr>
              <w:t>0</w:t>
            </w:r>
          </w:p>
        </w:tc>
        <w:tc>
          <w:tcPr>
            <w:tcW w:w="1701" w:type="dxa"/>
          </w:tcPr>
          <w:p w14:paraId="1A62A3F5" w14:textId="77777777" w:rsidR="00A71B0D" w:rsidRPr="00D9348B" w:rsidRDefault="00A71B0D" w:rsidP="00DB330E">
            <w:pPr>
              <w:pStyle w:val="TableText"/>
              <w:rPr>
                <w:szCs w:val="16"/>
              </w:rPr>
            </w:pPr>
            <w:r w:rsidRPr="00D9348B">
              <w:rPr>
                <w:szCs w:val="16"/>
              </w:rPr>
              <w:t>IPCC default</w:t>
            </w:r>
          </w:p>
        </w:tc>
        <w:tc>
          <w:tcPr>
            <w:tcW w:w="2693" w:type="dxa"/>
          </w:tcPr>
          <w:p w14:paraId="5538B3FC" w14:textId="77777777" w:rsidR="00A71B0D" w:rsidRPr="00D9348B" w:rsidRDefault="00A71B0D" w:rsidP="00DB330E">
            <w:pPr>
              <w:pStyle w:val="TableText"/>
              <w:rPr>
                <w:szCs w:val="16"/>
              </w:rPr>
            </w:pPr>
            <w:r w:rsidRPr="00D9348B">
              <w:rPr>
                <w:szCs w:val="16"/>
              </w:rPr>
              <w:t>IPCC (2006d)</w:t>
            </w:r>
          </w:p>
        </w:tc>
      </w:tr>
    </w:tbl>
    <w:p w14:paraId="56385071" w14:textId="77777777" w:rsidR="00A71B0D" w:rsidRPr="00D9348B" w:rsidRDefault="00A71B0D" w:rsidP="00865BDB">
      <w:pPr>
        <w:pStyle w:val="Heading4"/>
      </w:pPr>
      <w:r w:rsidRPr="00D9348B">
        <w:t>Uncertainty</w:t>
      </w:r>
    </w:p>
    <w:p w14:paraId="4972DD16" w14:textId="77777777" w:rsidR="00A71B0D" w:rsidRPr="00D9348B" w:rsidRDefault="00A71B0D" w:rsidP="00A71B0D">
      <w:pPr>
        <w:pStyle w:val="BodyText"/>
      </w:pPr>
      <w:r w:rsidRPr="00D9348B">
        <w:t>The same uncertainty data for domestic wastewater were used for Tokelau and New Zealand (table 7.5.16, chapter 7; for methodological notes, refer to uncertainties in emissions from domestic wastewater in section 7.5.3, chapter 7). Table 8.5.7 shows uncertainties for activity data and emission factors used by Tokelau for domestic wastewater.</w:t>
      </w:r>
    </w:p>
    <w:p w14:paraId="56986D42" w14:textId="77777777" w:rsidR="00A71B0D" w:rsidRPr="00D9348B" w:rsidRDefault="00A71B0D" w:rsidP="00A71B0D">
      <w:pPr>
        <w:pStyle w:val="Table"/>
        <w:rPr>
          <w:rFonts w:eastAsia="Calibri"/>
        </w:rPr>
      </w:pPr>
      <w:bookmarkStart w:id="3011" w:name="_Toc5269608"/>
      <w:bookmarkStart w:id="3012" w:name="_Toc36224689"/>
      <w:r w:rsidRPr="00D9348B">
        <w:t>Table 8.5.7</w:t>
      </w:r>
      <w:r w:rsidRPr="00D9348B">
        <w:tab/>
        <w:t>Uncertainty in emissions from domestic wastewater</w:t>
      </w:r>
      <w:bookmarkEnd w:id="3011"/>
      <w:bookmarkEnd w:id="3012"/>
    </w:p>
    <w:tbl>
      <w:tblPr>
        <w:tblW w:w="8505" w:type="dxa"/>
        <w:tblInd w:w="108" w:type="dxa"/>
        <w:tblBorders>
          <w:top w:val="single" w:sz="4" w:space="0" w:color="365F91"/>
          <w:bottom w:val="single" w:sz="4" w:space="0" w:color="365F91"/>
          <w:insideH w:val="single" w:sz="4" w:space="0" w:color="365F91"/>
          <w:insideV w:val="single" w:sz="4" w:space="0" w:color="365F91"/>
        </w:tblBorders>
        <w:tblCellMar>
          <w:left w:w="0" w:type="dxa"/>
          <w:right w:w="0" w:type="dxa"/>
        </w:tblCellMar>
        <w:tblLook w:val="04A0" w:firstRow="1" w:lastRow="0" w:firstColumn="1" w:lastColumn="0" w:noHBand="0" w:noVBand="1"/>
      </w:tblPr>
      <w:tblGrid>
        <w:gridCol w:w="3523"/>
        <w:gridCol w:w="2289"/>
        <w:gridCol w:w="2693"/>
      </w:tblGrid>
      <w:tr w:rsidR="00A71B0D" w:rsidRPr="00D9348B" w14:paraId="594CD2D8" w14:textId="77777777" w:rsidTr="006F55FE">
        <w:tc>
          <w:tcPr>
            <w:tcW w:w="3523" w:type="dxa"/>
            <w:shd w:val="clear" w:color="auto" w:fill="365F91"/>
            <w:tcMar>
              <w:top w:w="0" w:type="dxa"/>
              <w:left w:w="108" w:type="dxa"/>
              <w:bottom w:w="0" w:type="dxa"/>
              <w:right w:w="108" w:type="dxa"/>
            </w:tcMar>
            <w:vAlign w:val="bottom"/>
            <w:hideMark/>
          </w:tcPr>
          <w:p w14:paraId="30A455C5" w14:textId="77777777" w:rsidR="00A71B0D" w:rsidRPr="00D9348B" w:rsidRDefault="00A71B0D" w:rsidP="00DB330E">
            <w:pPr>
              <w:pStyle w:val="TableTextBold"/>
              <w:keepNext/>
              <w:rPr>
                <w:noProof w:val="0"/>
                <w:color w:val="FFFFFF"/>
                <w:szCs w:val="16"/>
              </w:rPr>
            </w:pPr>
            <w:r w:rsidRPr="00D9348B">
              <w:rPr>
                <w:noProof w:val="0"/>
                <w:color w:val="FFFFFF"/>
                <w:szCs w:val="16"/>
              </w:rPr>
              <w:t>Emissions category</w:t>
            </w:r>
          </w:p>
        </w:tc>
        <w:tc>
          <w:tcPr>
            <w:tcW w:w="2289" w:type="dxa"/>
            <w:shd w:val="clear" w:color="auto" w:fill="365F91"/>
            <w:tcMar>
              <w:top w:w="0" w:type="dxa"/>
              <w:left w:w="108" w:type="dxa"/>
              <w:bottom w:w="0" w:type="dxa"/>
              <w:right w:w="108" w:type="dxa"/>
            </w:tcMar>
            <w:vAlign w:val="bottom"/>
            <w:hideMark/>
          </w:tcPr>
          <w:p w14:paraId="2B7B2369" w14:textId="46508E0D" w:rsidR="00A71B0D" w:rsidRPr="00D9348B" w:rsidRDefault="00A71B0D" w:rsidP="00DB330E">
            <w:pPr>
              <w:pStyle w:val="TableTextBold"/>
              <w:jc w:val="center"/>
              <w:rPr>
                <w:noProof w:val="0"/>
                <w:color w:val="FFFFFF"/>
                <w:szCs w:val="16"/>
              </w:rPr>
            </w:pPr>
            <w:r w:rsidRPr="00D9348B">
              <w:rPr>
                <w:noProof w:val="0"/>
                <w:color w:val="FFFFFF"/>
                <w:szCs w:val="16"/>
              </w:rPr>
              <w:t>Uncertainty in activity data (%)</w:t>
            </w:r>
          </w:p>
        </w:tc>
        <w:tc>
          <w:tcPr>
            <w:tcW w:w="2693" w:type="dxa"/>
            <w:shd w:val="clear" w:color="auto" w:fill="365F91"/>
            <w:tcMar>
              <w:top w:w="0" w:type="dxa"/>
              <w:left w:w="108" w:type="dxa"/>
              <w:bottom w:w="0" w:type="dxa"/>
              <w:right w:w="108" w:type="dxa"/>
            </w:tcMar>
            <w:vAlign w:val="bottom"/>
            <w:hideMark/>
          </w:tcPr>
          <w:p w14:paraId="2E0A3981" w14:textId="290BD755" w:rsidR="00A71B0D" w:rsidRPr="00D9348B" w:rsidRDefault="00A71B0D" w:rsidP="00DB330E">
            <w:pPr>
              <w:pStyle w:val="TableTextBold"/>
              <w:jc w:val="center"/>
              <w:rPr>
                <w:noProof w:val="0"/>
                <w:szCs w:val="16"/>
              </w:rPr>
            </w:pPr>
            <w:r w:rsidRPr="00D9348B">
              <w:rPr>
                <w:noProof w:val="0"/>
                <w:color w:val="FFFFFF"/>
                <w:szCs w:val="16"/>
              </w:rPr>
              <w:t>Uncertainty in emission factors (%)</w:t>
            </w:r>
          </w:p>
        </w:tc>
      </w:tr>
      <w:tr w:rsidR="00A71B0D" w:rsidRPr="00D9348B" w14:paraId="54DA56A0" w14:textId="77777777" w:rsidTr="006F55FE">
        <w:trPr>
          <w:trHeight w:val="127"/>
        </w:trPr>
        <w:tc>
          <w:tcPr>
            <w:tcW w:w="3523" w:type="dxa"/>
            <w:shd w:val="clear" w:color="auto" w:fill="FFFFFF"/>
            <w:tcMar>
              <w:top w:w="0" w:type="dxa"/>
              <w:left w:w="108" w:type="dxa"/>
              <w:bottom w:w="0" w:type="dxa"/>
              <w:right w:w="108" w:type="dxa"/>
            </w:tcMar>
            <w:hideMark/>
          </w:tcPr>
          <w:p w14:paraId="73417F28" w14:textId="77777777" w:rsidR="00A71B0D" w:rsidRPr="00D9348B" w:rsidRDefault="00A71B0D" w:rsidP="00DB330E">
            <w:pPr>
              <w:pStyle w:val="TableText"/>
              <w:rPr>
                <w:szCs w:val="16"/>
              </w:rPr>
            </w:pPr>
            <w:r w:rsidRPr="00D9348B">
              <w:rPr>
                <w:szCs w:val="16"/>
              </w:rPr>
              <w:t>Domestic and industrial wastewater (CH</w:t>
            </w:r>
            <w:r w:rsidRPr="00D9348B">
              <w:rPr>
                <w:szCs w:val="16"/>
                <w:vertAlign w:val="subscript"/>
              </w:rPr>
              <w:t>4</w:t>
            </w:r>
            <w:r w:rsidRPr="00D9348B">
              <w:rPr>
                <w:szCs w:val="16"/>
              </w:rPr>
              <w:t>)</w:t>
            </w:r>
          </w:p>
        </w:tc>
        <w:tc>
          <w:tcPr>
            <w:tcW w:w="2289" w:type="dxa"/>
            <w:shd w:val="clear" w:color="auto" w:fill="FFFFFF"/>
            <w:tcMar>
              <w:top w:w="0" w:type="dxa"/>
              <w:left w:w="108" w:type="dxa"/>
              <w:bottom w:w="0" w:type="dxa"/>
              <w:right w:w="108" w:type="dxa"/>
            </w:tcMar>
            <w:hideMark/>
          </w:tcPr>
          <w:p w14:paraId="32B827CE" w14:textId="77777777" w:rsidR="00A71B0D" w:rsidRPr="00D9348B" w:rsidRDefault="00A71B0D" w:rsidP="00DB330E">
            <w:pPr>
              <w:pStyle w:val="TableText"/>
              <w:jc w:val="center"/>
              <w:rPr>
                <w:szCs w:val="16"/>
              </w:rPr>
            </w:pPr>
            <w:r w:rsidRPr="00D9348B">
              <w:rPr>
                <w:szCs w:val="16"/>
              </w:rPr>
              <w:t>±10</w:t>
            </w:r>
          </w:p>
        </w:tc>
        <w:tc>
          <w:tcPr>
            <w:tcW w:w="2693" w:type="dxa"/>
            <w:shd w:val="clear" w:color="auto" w:fill="FFFFFF"/>
            <w:tcMar>
              <w:top w:w="0" w:type="dxa"/>
              <w:left w:w="108" w:type="dxa"/>
              <w:bottom w:w="0" w:type="dxa"/>
              <w:right w:w="108" w:type="dxa"/>
            </w:tcMar>
            <w:hideMark/>
          </w:tcPr>
          <w:p w14:paraId="5DDBD07E" w14:textId="77777777" w:rsidR="00A71B0D" w:rsidRPr="00D9348B" w:rsidRDefault="00A71B0D" w:rsidP="00DB330E">
            <w:pPr>
              <w:pStyle w:val="TableText"/>
              <w:jc w:val="center"/>
              <w:rPr>
                <w:szCs w:val="16"/>
              </w:rPr>
            </w:pPr>
            <w:r w:rsidRPr="00D9348B">
              <w:rPr>
                <w:szCs w:val="16"/>
              </w:rPr>
              <w:t>±40</w:t>
            </w:r>
          </w:p>
        </w:tc>
      </w:tr>
      <w:tr w:rsidR="00A71B0D" w:rsidRPr="00D9348B" w14:paraId="0373E032" w14:textId="77777777" w:rsidTr="006F55FE">
        <w:tc>
          <w:tcPr>
            <w:tcW w:w="3523" w:type="dxa"/>
            <w:shd w:val="clear" w:color="auto" w:fill="FFFFFF"/>
            <w:tcMar>
              <w:top w:w="0" w:type="dxa"/>
              <w:left w:w="108" w:type="dxa"/>
              <w:bottom w:w="0" w:type="dxa"/>
              <w:right w:w="108" w:type="dxa"/>
            </w:tcMar>
            <w:hideMark/>
          </w:tcPr>
          <w:p w14:paraId="573A24B2" w14:textId="77777777" w:rsidR="00A71B0D" w:rsidRPr="00D9348B" w:rsidRDefault="00A71B0D" w:rsidP="00DB330E">
            <w:pPr>
              <w:pStyle w:val="TableText"/>
              <w:rPr>
                <w:szCs w:val="16"/>
              </w:rPr>
            </w:pPr>
            <w:r w:rsidRPr="00D9348B">
              <w:rPr>
                <w:szCs w:val="16"/>
              </w:rPr>
              <w:t>Domestic and industrial wastewater (N</w:t>
            </w:r>
            <w:r w:rsidRPr="00D9348B">
              <w:rPr>
                <w:szCs w:val="16"/>
                <w:vertAlign w:val="subscript"/>
              </w:rPr>
              <w:t>2</w:t>
            </w:r>
            <w:r w:rsidRPr="00D9348B">
              <w:rPr>
                <w:szCs w:val="16"/>
              </w:rPr>
              <w:t>O)</w:t>
            </w:r>
          </w:p>
        </w:tc>
        <w:tc>
          <w:tcPr>
            <w:tcW w:w="2289" w:type="dxa"/>
            <w:shd w:val="clear" w:color="auto" w:fill="FFFFFF"/>
            <w:tcMar>
              <w:top w:w="0" w:type="dxa"/>
              <w:left w:w="108" w:type="dxa"/>
              <w:bottom w:w="0" w:type="dxa"/>
              <w:right w:w="108" w:type="dxa"/>
            </w:tcMar>
            <w:hideMark/>
          </w:tcPr>
          <w:p w14:paraId="6C9EA212" w14:textId="77777777" w:rsidR="00A71B0D" w:rsidRPr="00D9348B" w:rsidRDefault="00A71B0D" w:rsidP="00DB330E">
            <w:pPr>
              <w:pStyle w:val="TableText"/>
              <w:jc w:val="center"/>
              <w:rPr>
                <w:szCs w:val="16"/>
              </w:rPr>
            </w:pPr>
            <w:r w:rsidRPr="00D9348B">
              <w:rPr>
                <w:szCs w:val="16"/>
              </w:rPr>
              <w:t>±10</w:t>
            </w:r>
          </w:p>
        </w:tc>
        <w:tc>
          <w:tcPr>
            <w:tcW w:w="2693" w:type="dxa"/>
            <w:shd w:val="clear" w:color="auto" w:fill="FFFFFF"/>
            <w:tcMar>
              <w:top w:w="0" w:type="dxa"/>
              <w:left w:w="108" w:type="dxa"/>
              <w:bottom w:w="0" w:type="dxa"/>
              <w:right w:w="108" w:type="dxa"/>
            </w:tcMar>
            <w:hideMark/>
          </w:tcPr>
          <w:p w14:paraId="1CBC6B7A" w14:textId="77777777" w:rsidR="00A71B0D" w:rsidRPr="00D9348B" w:rsidRDefault="00A71B0D" w:rsidP="00DB330E">
            <w:pPr>
              <w:pStyle w:val="TableText"/>
              <w:jc w:val="center"/>
              <w:rPr>
                <w:szCs w:val="16"/>
              </w:rPr>
            </w:pPr>
            <w:r w:rsidRPr="00D9348B">
              <w:rPr>
                <w:szCs w:val="16"/>
              </w:rPr>
              <w:t>±90</w:t>
            </w:r>
          </w:p>
        </w:tc>
      </w:tr>
    </w:tbl>
    <w:p w14:paraId="0F6C8C79" w14:textId="77777777" w:rsidR="00A71B0D" w:rsidRPr="00D9348B" w:rsidRDefault="00A71B0D" w:rsidP="006F55FE">
      <w:pPr>
        <w:pStyle w:val="BodyText"/>
      </w:pPr>
    </w:p>
    <w:p w14:paraId="5255BB2C" w14:textId="77777777" w:rsidR="00A71B0D" w:rsidRPr="00D9348B" w:rsidRDefault="00A71B0D" w:rsidP="00A71B0D">
      <w:pPr>
        <w:pStyle w:val="Heading2"/>
        <w:spacing w:before="0" w:after="360"/>
      </w:pPr>
      <w:r w:rsidRPr="00D9348B">
        <w:br w:type="page"/>
      </w:r>
      <w:bookmarkStart w:id="3013" w:name="_Toc5269398"/>
      <w:bookmarkStart w:id="3014" w:name="_Toc36224438"/>
      <w:r w:rsidRPr="00D9348B">
        <w:lastRenderedPageBreak/>
        <w:t>Chapter 8: References</w:t>
      </w:r>
      <w:bookmarkEnd w:id="3013"/>
      <w:bookmarkEnd w:id="3014"/>
    </w:p>
    <w:p w14:paraId="3DFA702F" w14:textId="77777777" w:rsidR="00A71B0D" w:rsidRPr="00D9348B" w:rsidRDefault="00A71B0D" w:rsidP="00A71B0D">
      <w:pPr>
        <w:pStyle w:val="References"/>
      </w:pPr>
      <w:r w:rsidRPr="00D9348B">
        <w:t xml:space="preserve">Government of Tokelau. 2017. </w:t>
      </w:r>
      <w:r w:rsidRPr="00D9348B">
        <w:rPr>
          <w:i/>
        </w:rPr>
        <w:t>Solid Waste Management: MOU Signed between Tokelau EDNRE and Pacific Recycle Co. Ltd</w:t>
      </w:r>
      <w:r w:rsidRPr="00D9348B">
        <w:t>. Retrieved</w:t>
      </w:r>
      <w:r w:rsidRPr="00D9348B">
        <w:rPr>
          <w:sz w:val="19"/>
          <w:szCs w:val="19"/>
        </w:rPr>
        <w:t xml:space="preserve"> f</w:t>
      </w:r>
      <w:r w:rsidRPr="00D9348B">
        <w:t xml:space="preserve">rom </w:t>
      </w:r>
      <w:hyperlink r:id="rId267" w:history="1">
        <w:r w:rsidRPr="00D9348B">
          <w:t>www.tokelau.org.nz/Bulletin/December+2017/Solid+Waste+ Management+MOU+Signed+between+Tokelau+EDNRE+and+Pacific++Recycle+Co.+Ltd.html</w:t>
        </w:r>
      </w:hyperlink>
      <w:r w:rsidRPr="00D9348B">
        <w:t xml:space="preserve"> (9 March 2018).</w:t>
      </w:r>
    </w:p>
    <w:p w14:paraId="4BAE95D0" w14:textId="77777777" w:rsidR="00A71B0D" w:rsidRPr="00D9348B" w:rsidRDefault="00A71B0D" w:rsidP="00A71B0D">
      <w:pPr>
        <w:pStyle w:val="References"/>
      </w:pPr>
      <w:r w:rsidRPr="00D9348B">
        <w:t>IPCC 2006a. Eggleston HS, Buendia L, Miwa K, Ngara T, Tanabe K (</w:t>
      </w:r>
      <w:proofErr w:type="gramStart"/>
      <w:r w:rsidRPr="00D9348B">
        <w:t>eds</w:t>
      </w:r>
      <w:proofErr w:type="gramEnd"/>
      <w:r w:rsidRPr="00D9348B">
        <w:t xml:space="preserve">). </w:t>
      </w:r>
      <w:r w:rsidRPr="00D9348B">
        <w:rPr>
          <w:i/>
          <w:iCs/>
        </w:rPr>
        <w:t>2006 IPCC Guidelines for National Greenhouse Gas Inventories. Volume 2. Energy</w:t>
      </w:r>
      <w:r w:rsidRPr="00D9348B">
        <w:t>. IPCC National Greenhouse Gas Inventories Programme. Japan: Institute for Global Environmental Strategies for IPCC.</w:t>
      </w:r>
    </w:p>
    <w:p w14:paraId="03B62522" w14:textId="77777777" w:rsidR="00A71B0D" w:rsidRPr="00D9348B" w:rsidRDefault="00A71B0D" w:rsidP="00A71B0D">
      <w:pPr>
        <w:pStyle w:val="References"/>
      </w:pPr>
      <w:r w:rsidRPr="00D9348B">
        <w:t>IPCC. 2006b. Eggleston HS, Buendia L, Miwa K, Ngara T, Tanabe K (</w:t>
      </w:r>
      <w:proofErr w:type="gramStart"/>
      <w:r w:rsidRPr="00D9348B">
        <w:t>eds</w:t>
      </w:r>
      <w:proofErr w:type="gramEnd"/>
      <w:r w:rsidRPr="00D9348B">
        <w:t xml:space="preserve">). </w:t>
      </w:r>
      <w:r w:rsidRPr="00D9348B">
        <w:rPr>
          <w:i/>
        </w:rPr>
        <w:t>2006 IPCC</w:t>
      </w:r>
      <w:r w:rsidRPr="00D9348B">
        <w:t xml:space="preserve"> </w:t>
      </w:r>
      <w:r w:rsidRPr="00D9348B">
        <w:rPr>
          <w:i/>
        </w:rPr>
        <w:t>Guidelines for National Greenhouse Gas Inventories. Volume 3. Industrial Processes and Product Use</w:t>
      </w:r>
      <w:r w:rsidRPr="00D9348B">
        <w:t>. IPCC National Greenhouse Gas Inventories Programme. Japan: IPCC by the Institute for Global Environmental Strategies.</w:t>
      </w:r>
    </w:p>
    <w:p w14:paraId="7DBB3149" w14:textId="77777777" w:rsidR="00A71B0D" w:rsidRPr="00D9348B" w:rsidRDefault="00A71B0D" w:rsidP="00A71B0D">
      <w:pPr>
        <w:pStyle w:val="References"/>
      </w:pPr>
      <w:r w:rsidRPr="00D9348B">
        <w:t xml:space="preserve">IPCC. 2006c. Eggleston HS, Buendia L, Miwa K, Ngara T, Tanabe K (eds). </w:t>
      </w:r>
      <w:r w:rsidRPr="00D9348B">
        <w:rPr>
          <w:i/>
          <w:iCs/>
        </w:rPr>
        <w:t>2006 IPCC Guidelines for National Greenhouse Gas Inventories. Volume 4. Agriculture, Forestry and Other Land Use. IPCC National Greenhouse Gas Inventories Programme</w:t>
      </w:r>
      <w:r w:rsidRPr="00D9348B">
        <w:t>. Japan: Institute for Global Environmental Strategies for IPCC.</w:t>
      </w:r>
    </w:p>
    <w:p w14:paraId="115EB69B" w14:textId="77777777" w:rsidR="00A71B0D" w:rsidRPr="00D9348B" w:rsidRDefault="00A71B0D" w:rsidP="00A71B0D">
      <w:pPr>
        <w:pStyle w:val="References"/>
        <w:rPr>
          <w:spacing w:val="-2"/>
        </w:rPr>
      </w:pPr>
      <w:r w:rsidRPr="00D9348B">
        <w:rPr>
          <w:spacing w:val="-2"/>
        </w:rPr>
        <w:t>IPCC. 2006d. Eggleston HS, Buendia L, Miwa K, Ngara T, Tanabe K (</w:t>
      </w:r>
      <w:proofErr w:type="gramStart"/>
      <w:r w:rsidRPr="00D9348B">
        <w:rPr>
          <w:spacing w:val="-2"/>
        </w:rPr>
        <w:t>eds</w:t>
      </w:r>
      <w:proofErr w:type="gramEnd"/>
      <w:r w:rsidRPr="00D9348B">
        <w:rPr>
          <w:spacing w:val="-2"/>
        </w:rPr>
        <w:t xml:space="preserve">). </w:t>
      </w:r>
      <w:r w:rsidRPr="00D9348B">
        <w:rPr>
          <w:i/>
          <w:spacing w:val="-2"/>
        </w:rPr>
        <w:t>2006 IPCC Guidelines for National Greenhouse Gas Inventories. Volume 5. Waste</w:t>
      </w:r>
      <w:r w:rsidRPr="00D9348B">
        <w:rPr>
          <w:spacing w:val="-2"/>
        </w:rPr>
        <w:t xml:space="preserve">. IPCC National Greenhouse Gas Inventories Programme. Japan: Institute for Global Environmental Strategies for IPCC. </w:t>
      </w:r>
    </w:p>
    <w:p w14:paraId="79902029" w14:textId="77777777" w:rsidR="00A71B0D" w:rsidRPr="00D9348B" w:rsidRDefault="00A71B0D" w:rsidP="00A71B0D">
      <w:pPr>
        <w:pStyle w:val="References"/>
      </w:pPr>
      <w:r w:rsidRPr="00D9348B">
        <w:t>Jasperse JA. 2016.</w:t>
      </w:r>
      <w:r w:rsidRPr="00D9348B">
        <w:rPr>
          <w:i/>
          <w:lang w:eastAsia="en-GB"/>
        </w:rPr>
        <w:t xml:space="preserve"> Analysis of 2014 imports into Tokelau from Samoa, Part 2: Stores’ invoices reconciled with cargo manifests, and quality of life implications</w:t>
      </w:r>
      <w:r w:rsidRPr="00D9348B">
        <w:rPr>
          <w:lang w:eastAsia="en-GB"/>
        </w:rPr>
        <w:t xml:space="preserve">. Apia, Samoa: </w:t>
      </w:r>
      <w:r w:rsidRPr="00D9348B">
        <w:t xml:space="preserve">Tokelau National Statistics Office. Retrieved from </w:t>
      </w:r>
      <w:hyperlink r:id="rId268" w:history="1">
        <w:r w:rsidRPr="00D9348B">
          <w:t>www.tokelau.org.nz/Bulletin/September+2016/2014+imports +final.html</w:t>
        </w:r>
      </w:hyperlink>
      <w:r w:rsidRPr="00D9348B">
        <w:t xml:space="preserve"> (28 February 2019).</w:t>
      </w:r>
    </w:p>
    <w:p w14:paraId="292ECC84" w14:textId="77777777" w:rsidR="00A71B0D" w:rsidRPr="00D9348B" w:rsidRDefault="00A71B0D" w:rsidP="00A71B0D">
      <w:pPr>
        <w:pStyle w:val="References"/>
      </w:pPr>
      <w:r w:rsidRPr="00D9348B">
        <w:rPr>
          <w:rFonts w:eastAsia="Calibri"/>
        </w:rPr>
        <w:t xml:space="preserve">Koroisamanunu I, Papao J, Ketewai M and Sokota A. 2014. </w:t>
      </w:r>
      <w:r w:rsidRPr="00D9348B">
        <w:rPr>
          <w:rFonts w:eastAsia="Calibri"/>
          <w:i/>
        </w:rPr>
        <w:t>Mission Preliminary Report (Fieldwork undertaken from 8 August – 2 September 2013). SOPAC technical note (PR193), May 2014</w:t>
      </w:r>
      <w:r w:rsidRPr="00D9348B">
        <w:rPr>
          <w:rFonts w:eastAsia="Calibri"/>
        </w:rPr>
        <w:t>. Suva, Fiji: Water and Sanitation Programme and Disaster Reduction Programme. Applied Geoscience and Technology Division (SOPAC).</w:t>
      </w:r>
    </w:p>
    <w:p w14:paraId="0368B51B" w14:textId="77777777" w:rsidR="00A71B0D" w:rsidRPr="00D9348B" w:rsidRDefault="00A71B0D" w:rsidP="00A71B0D">
      <w:pPr>
        <w:pStyle w:val="References"/>
      </w:pPr>
      <w:r w:rsidRPr="00D9348B">
        <w:t>UN. 1945.</w:t>
      </w:r>
      <w:r w:rsidRPr="00D9348B">
        <w:rPr>
          <w:rFonts w:cs="Calibri"/>
          <w:color w:val="222222"/>
          <w:sz w:val="18"/>
          <w:szCs w:val="18"/>
          <w:shd w:val="clear" w:color="auto" w:fill="FFFFFF"/>
        </w:rPr>
        <w:t xml:space="preserve"> </w:t>
      </w:r>
      <w:r w:rsidRPr="00D9348B">
        <w:rPr>
          <w:bCs/>
          <w:i/>
        </w:rPr>
        <w:t xml:space="preserve">Charter of the United Nations, 1945. </w:t>
      </w:r>
      <w:r w:rsidRPr="00D9348B">
        <w:rPr>
          <w:bCs/>
        </w:rPr>
        <w:t xml:space="preserve">Retrieved from </w:t>
      </w:r>
      <w:hyperlink r:id="rId269" w:history="1">
        <w:r w:rsidRPr="00D9348B">
          <w:t>www.un.org/en/sections/un-charter/ chapter-xi</w:t>
        </w:r>
      </w:hyperlink>
      <w:r w:rsidRPr="00D9348B">
        <w:t xml:space="preserve"> (7 February 2019).</w:t>
      </w:r>
    </w:p>
    <w:p w14:paraId="62F8756B" w14:textId="77777777" w:rsidR="00A71B0D" w:rsidRPr="00D9348B" w:rsidRDefault="00A71B0D" w:rsidP="00A71B0D">
      <w:pPr>
        <w:pStyle w:val="References"/>
      </w:pPr>
      <w:r w:rsidRPr="00D9348B">
        <w:t>UNFCCC. 2014</w:t>
      </w:r>
      <w:r w:rsidRPr="00D9348B">
        <w:rPr>
          <w:i/>
        </w:rPr>
        <w:t>. Report of the Conference of the Parties on its nineteenth session, held in Warsaw from 11 to 23 November 2013: Addendum – Part 2: Action taken by the Conference of the Parties at its nineteenth session</w:t>
      </w:r>
      <w:r w:rsidRPr="00D9348B">
        <w:t>. FCCC/CP/2013/10/Add.3, Decision 24/CP.19.</w:t>
      </w:r>
    </w:p>
    <w:p w14:paraId="70BD74F1" w14:textId="77777777" w:rsidR="00A71B0D" w:rsidRPr="00D9348B" w:rsidRDefault="00A71B0D" w:rsidP="00A71B0D">
      <w:pPr>
        <w:pStyle w:val="References"/>
      </w:pPr>
    </w:p>
    <w:p w14:paraId="35658A80" w14:textId="77777777" w:rsidR="00117A42" w:rsidRPr="00D9348B" w:rsidRDefault="00117A42" w:rsidP="00C4400C">
      <w:pPr>
        <w:sectPr w:rsidR="00117A42" w:rsidRPr="00D9348B" w:rsidSect="00DB330E">
          <w:footerReference w:type="even" r:id="rId270"/>
          <w:pgSz w:w="11907" w:h="16840" w:code="9"/>
          <w:pgMar w:top="1418" w:right="1701" w:bottom="1560" w:left="1701" w:header="567" w:footer="567" w:gutter="0"/>
          <w:cols w:space="720"/>
        </w:sectPr>
      </w:pPr>
    </w:p>
    <w:p w14:paraId="51B9DA51" w14:textId="37DC980F" w:rsidR="00493BA9" w:rsidRPr="00D9348B" w:rsidRDefault="00493BA9" w:rsidP="00493BA9">
      <w:pPr>
        <w:pStyle w:val="Heading1"/>
      </w:pPr>
      <w:bookmarkStart w:id="3015" w:name="_Toc5269399"/>
      <w:bookmarkStart w:id="3016" w:name="_Toc36224439"/>
      <w:r w:rsidRPr="00D9348B">
        <w:lastRenderedPageBreak/>
        <w:t>Chapter 9: Indirect carbon dioxide and</w:t>
      </w:r>
      <w:r w:rsidR="00C056CB" w:rsidRPr="00D9348B">
        <w:t> </w:t>
      </w:r>
      <w:r w:rsidRPr="00D9348B">
        <w:t>nitrous oxide emissions</w:t>
      </w:r>
      <w:bookmarkEnd w:id="3015"/>
      <w:bookmarkEnd w:id="3016"/>
      <w:r w:rsidRPr="00D9348B">
        <w:t xml:space="preserve"> </w:t>
      </w:r>
    </w:p>
    <w:p w14:paraId="61F932DC" w14:textId="2880CEE6" w:rsidR="00493BA9" w:rsidRPr="00D9348B" w:rsidRDefault="00493BA9" w:rsidP="00C056CB">
      <w:pPr>
        <w:pStyle w:val="BodyText"/>
      </w:pPr>
      <w:r w:rsidRPr="00D9348B">
        <w:t>New Zealand elected not to report indirect carbon dioxide emissions in its 2020 Inventory submission. Indirect nitrous oxide emissions are reported in the Agriculture sector (chapter 5) and the Land Use, Land-Use Change and Forestry sector (chapter 6).</w:t>
      </w:r>
    </w:p>
    <w:p w14:paraId="708E096B" w14:textId="77777777" w:rsidR="00C056CB" w:rsidRPr="00D9348B" w:rsidRDefault="00C056CB" w:rsidP="00493BA9">
      <w:pPr>
        <w:pStyle w:val="BodyText"/>
      </w:pPr>
    </w:p>
    <w:p w14:paraId="30210F2B" w14:textId="77777777" w:rsidR="00493BA9" w:rsidRPr="00D9348B" w:rsidRDefault="00493BA9" w:rsidP="00493BA9">
      <w:pPr>
        <w:pStyle w:val="BodyText"/>
      </w:pPr>
    </w:p>
    <w:p w14:paraId="41099AB4" w14:textId="77777777" w:rsidR="00C056CB" w:rsidRPr="00D9348B" w:rsidRDefault="00C056CB" w:rsidP="00C4400C">
      <w:pPr>
        <w:sectPr w:rsidR="00C056CB" w:rsidRPr="00D9348B" w:rsidSect="00DB330E">
          <w:footerReference w:type="even" r:id="rId271"/>
          <w:footerReference w:type="default" r:id="rId272"/>
          <w:pgSz w:w="11907" w:h="16840" w:code="9"/>
          <w:pgMar w:top="1418" w:right="1701" w:bottom="1418" w:left="1701" w:header="567" w:footer="567" w:gutter="0"/>
          <w:cols w:space="720"/>
        </w:sectPr>
      </w:pPr>
    </w:p>
    <w:p w14:paraId="79C5E3AB" w14:textId="77777777" w:rsidR="00971A1F" w:rsidRPr="00D9348B" w:rsidRDefault="00971A1F" w:rsidP="00971A1F">
      <w:pPr>
        <w:pStyle w:val="Heading1"/>
      </w:pPr>
      <w:bookmarkStart w:id="3017" w:name="_Toc5269400"/>
      <w:bookmarkStart w:id="3018" w:name="_Toc36224440"/>
      <w:r w:rsidRPr="00D9348B">
        <w:lastRenderedPageBreak/>
        <w:t>Chapter 10: Recalculations and improvements</w:t>
      </w:r>
      <w:bookmarkEnd w:id="3017"/>
      <w:bookmarkEnd w:id="3018"/>
    </w:p>
    <w:p w14:paraId="37BC074A" w14:textId="39327E32" w:rsidR="00971A1F" w:rsidRPr="00D9348B" w:rsidRDefault="00971A1F" w:rsidP="00971A1F">
      <w:pPr>
        <w:pStyle w:val="BodyText"/>
      </w:pPr>
      <w:r w:rsidRPr="00D9348B">
        <w:t>This chapter summarises the recalculations and improvements made to the inventory following the 2019 submission. Further details on the recalculations and improvements for</w:t>
      </w:r>
      <w:r w:rsidR="000756C0" w:rsidRPr="00D9348B">
        <w:t> </w:t>
      </w:r>
      <w:r w:rsidRPr="00D9348B">
        <w:t>each sector are provided in chapters 3 to 8 and 11.</w:t>
      </w:r>
    </w:p>
    <w:p w14:paraId="43707893" w14:textId="2440AB2C" w:rsidR="00971A1F" w:rsidRPr="00D9348B" w:rsidRDefault="00971A1F" w:rsidP="00971A1F">
      <w:pPr>
        <w:pStyle w:val="BodyText"/>
      </w:pPr>
      <w:r w:rsidRPr="00D9348B">
        <w:t>Recalculations of estimates reported in the previous submission of the inventory are due to</w:t>
      </w:r>
      <w:r w:rsidR="000756C0" w:rsidRPr="00D9348B">
        <w:t> </w:t>
      </w:r>
      <w:r w:rsidRPr="00D9348B">
        <w:t>improvements in:</w:t>
      </w:r>
    </w:p>
    <w:p w14:paraId="4CCE7F4F" w14:textId="77777777" w:rsidR="00971A1F" w:rsidRPr="00D9348B" w:rsidRDefault="00971A1F" w:rsidP="00971A1F">
      <w:pPr>
        <w:pStyle w:val="Bullet"/>
        <w:tabs>
          <w:tab w:val="clear" w:pos="567"/>
        </w:tabs>
      </w:pPr>
      <w:r w:rsidRPr="00D9348B">
        <w:t>activity data</w:t>
      </w:r>
    </w:p>
    <w:p w14:paraId="28F6E6B9" w14:textId="77777777" w:rsidR="00971A1F" w:rsidRPr="00D9348B" w:rsidRDefault="00971A1F" w:rsidP="00971A1F">
      <w:pPr>
        <w:pStyle w:val="Bullet"/>
        <w:tabs>
          <w:tab w:val="clear" w:pos="567"/>
        </w:tabs>
      </w:pPr>
      <w:r w:rsidRPr="00D9348B">
        <w:t>parameters for estimating emissions including emission factors</w:t>
      </w:r>
    </w:p>
    <w:p w14:paraId="22FE05B3" w14:textId="77777777" w:rsidR="00971A1F" w:rsidRPr="00D9348B" w:rsidRDefault="00971A1F" w:rsidP="00971A1F">
      <w:pPr>
        <w:pStyle w:val="Bullet"/>
        <w:tabs>
          <w:tab w:val="clear" w:pos="567"/>
        </w:tabs>
      </w:pPr>
      <w:r w:rsidRPr="00D9348B">
        <w:t>methodology, including correcting errors</w:t>
      </w:r>
    </w:p>
    <w:p w14:paraId="062D6A3D" w14:textId="77777777" w:rsidR="00971A1F" w:rsidRPr="00D9348B" w:rsidRDefault="00971A1F" w:rsidP="00971A1F">
      <w:pPr>
        <w:pStyle w:val="Bullet"/>
        <w:tabs>
          <w:tab w:val="clear" w:pos="567"/>
        </w:tabs>
      </w:pPr>
      <w:proofErr w:type="gramStart"/>
      <w:r w:rsidRPr="00D9348B">
        <w:t>activity</w:t>
      </w:r>
      <w:proofErr w:type="gramEnd"/>
      <w:r w:rsidRPr="00D9348B">
        <w:t xml:space="preserve"> data and emission factors that became available for certain sources that were previously reported as ‘NE’ (not estimated) because of insufficient data.</w:t>
      </w:r>
    </w:p>
    <w:p w14:paraId="17516135" w14:textId="77777777" w:rsidR="00971A1F" w:rsidRPr="00D9348B" w:rsidRDefault="00971A1F" w:rsidP="00971A1F">
      <w:pPr>
        <w:pStyle w:val="BodyText"/>
      </w:pPr>
      <w:r w:rsidRPr="00D9348B">
        <w:t xml:space="preserve">It is good practice to recalculate the whole time series from 1990 to the </w:t>
      </w:r>
      <w:r w:rsidRPr="00D9348B">
        <w:rPr>
          <w:spacing w:val="-2"/>
        </w:rPr>
        <w:t xml:space="preserve">latest reporting year, </w:t>
      </w:r>
      <w:r w:rsidRPr="00D9348B">
        <w:t>to ensure consistency across the time series. This means some estimates of emissions and/or removals reported in this submission are different from estimates reported in the previous submission. There may be exceptions to recalculating the entire time series and, where this has occurred, explanations are provided.</w:t>
      </w:r>
    </w:p>
    <w:p w14:paraId="280AE6D4" w14:textId="77777777" w:rsidR="00971A1F" w:rsidRPr="00D9348B" w:rsidRDefault="00971A1F" w:rsidP="00971A1F">
      <w:pPr>
        <w:pStyle w:val="Heading2"/>
        <w:spacing w:before="240"/>
      </w:pPr>
      <w:bookmarkStart w:id="3019" w:name="_Toc352504887"/>
      <w:bookmarkStart w:id="3020" w:name="_Toc384581682"/>
      <w:bookmarkStart w:id="3021" w:name="_Toc414531336"/>
      <w:bookmarkStart w:id="3022" w:name="_Toc448321556"/>
      <w:bookmarkStart w:id="3023" w:name="_Toc481751418"/>
      <w:bookmarkStart w:id="3024" w:name="_Toc511116633"/>
      <w:bookmarkStart w:id="3025" w:name="_Toc5269401"/>
      <w:bookmarkStart w:id="3026" w:name="_Toc36224441"/>
      <w:r w:rsidRPr="00D9348B">
        <w:t>10.1</w:t>
      </w:r>
      <w:r w:rsidRPr="00D9348B">
        <w:tab/>
        <w:t>Implications and justifications</w:t>
      </w:r>
      <w:bookmarkEnd w:id="3019"/>
      <w:bookmarkEnd w:id="3020"/>
      <w:bookmarkEnd w:id="3021"/>
      <w:bookmarkEnd w:id="3022"/>
      <w:bookmarkEnd w:id="3023"/>
      <w:bookmarkEnd w:id="3024"/>
      <w:bookmarkEnd w:id="3025"/>
      <w:bookmarkEnd w:id="3026"/>
    </w:p>
    <w:p w14:paraId="45460BD0" w14:textId="296C4EE8" w:rsidR="00971A1F" w:rsidRDefault="00971A1F" w:rsidP="00971A1F">
      <w:pPr>
        <w:pStyle w:val="BodyText"/>
      </w:pPr>
      <w:r w:rsidRPr="00D9348B">
        <w:rPr>
          <w:rFonts w:eastAsia="Arial"/>
        </w:rPr>
        <w:t>The effect of recalculations on New Zealand’s gross emissions is shown in figure 10.1.1. There was a 3.2 per cent (2,077.3 kilotonnes carbon dioxide equivalent (kt CO</w:t>
      </w:r>
      <w:r w:rsidRPr="00D9348B">
        <w:rPr>
          <w:rFonts w:eastAsia="Arial"/>
          <w:vertAlign w:val="subscript"/>
        </w:rPr>
        <w:t>2</w:t>
      </w:r>
      <w:r w:rsidRPr="00D9348B">
        <w:rPr>
          <w:rFonts w:eastAsia="Arial"/>
        </w:rPr>
        <w:t>-e) decrease in gross emissions in 1990 and a 1.5 per cent (1,212.6 kt CO</w:t>
      </w:r>
      <w:r w:rsidRPr="00D9348B">
        <w:rPr>
          <w:rFonts w:eastAsia="Arial"/>
          <w:vertAlign w:val="subscript"/>
        </w:rPr>
        <w:t>2</w:t>
      </w:r>
      <w:r w:rsidRPr="00D9348B">
        <w:rPr>
          <w:rFonts w:eastAsia="Arial"/>
        </w:rPr>
        <w:t xml:space="preserve">-e) decrease for the 2017 year. The greatest contribution to the decrease in estimates for gross emissions across the time series came from the Agriculture sector. </w:t>
      </w:r>
      <w:r w:rsidRPr="00D9348B">
        <w:t>This decrease is mainly the result of new nitrous oxide (N</w:t>
      </w:r>
      <w:r w:rsidRPr="00D9348B">
        <w:rPr>
          <w:vertAlign w:val="subscript"/>
        </w:rPr>
        <w:t>2</w:t>
      </w:r>
      <w:r w:rsidRPr="00D9348B">
        <w:t>O) emission factors in the Agriculture sector for livestock excreta, to more accurately reflect emissions resulting from different kinds of livestock grazed on flat land and sloped land.</w:t>
      </w:r>
    </w:p>
    <w:p w14:paraId="53F63E59" w14:textId="77777777" w:rsidR="001B6A52" w:rsidRPr="00D9348B" w:rsidRDefault="001B6A52" w:rsidP="001B6A52">
      <w:pPr>
        <w:pStyle w:val="Figure"/>
      </w:pPr>
      <w:r w:rsidRPr="00D9348B">
        <w:t>Figure 10.1.1</w:t>
      </w:r>
      <w:r w:rsidRPr="00D9348B">
        <w:tab/>
        <w:t>Effect of recalculations on New Zealand’s gross greenhouse gas emissions from 1990 to 2017</w:t>
      </w:r>
    </w:p>
    <w:p w14:paraId="3B1BF180" w14:textId="24F87184" w:rsidR="001B6A52" w:rsidRPr="00D9348B" w:rsidRDefault="007165CF" w:rsidP="00971A1F">
      <w:pPr>
        <w:pStyle w:val="BodyText"/>
        <w:rPr>
          <w:rFonts w:eastAsia="Arial"/>
        </w:rPr>
      </w:pPr>
      <w:r>
        <w:pict w14:anchorId="30F60E24">
          <v:shape id="_x0000_i1166" type="#_x0000_t75" style="width:368.15pt;height:179.7pt;visibility:visible;mso-wrap-style:square">
            <v:imagedata r:id="rId273" o:title="" croptop="2123f" cropbottom="4028f"/>
          </v:shape>
        </w:pict>
      </w:r>
    </w:p>
    <w:p w14:paraId="11A20A76" w14:textId="77777777" w:rsidR="00971A1F" w:rsidRPr="00D9348B" w:rsidRDefault="00971A1F" w:rsidP="00971A1F">
      <w:pPr>
        <w:pStyle w:val="BodyText"/>
        <w:rPr>
          <w:rFonts w:eastAsia="Arial"/>
          <w:spacing w:val="2"/>
        </w:rPr>
      </w:pPr>
      <w:r w:rsidRPr="00D9348B">
        <w:rPr>
          <w:rFonts w:eastAsia="Arial"/>
        </w:rPr>
        <w:lastRenderedPageBreak/>
        <w:t>The effect of recalculations on net emissions, which includes the Land Use, Land-Use Change and Forestry (LULUCF) sector, was an increase of 2.3 per cent (787.4 kt CO</w:t>
      </w:r>
      <w:r w:rsidRPr="00D9348B">
        <w:rPr>
          <w:rFonts w:eastAsia="Arial"/>
          <w:vertAlign w:val="subscript"/>
        </w:rPr>
        <w:t>2</w:t>
      </w:r>
      <w:r w:rsidRPr="00D9348B">
        <w:rPr>
          <w:rFonts w:eastAsia="Arial"/>
        </w:rPr>
        <w:t>-e) in net emissions in 1990 and an increase of 0.1 per cent (35.7 kt CO</w:t>
      </w:r>
      <w:r w:rsidRPr="00D9348B">
        <w:rPr>
          <w:rFonts w:eastAsia="Arial"/>
          <w:vertAlign w:val="subscript"/>
        </w:rPr>
        <w:t>2</w:t>
      </w:r>
      <w:r w:rsidRPr="00D9348B">
        <w:rPr>
          <w:rFonts w:eastAsia="Arial"/>
        </w:rPr>
        <w:t xml:space="preserve">-e) in net emissions in 2017. This is the combined effect of a number of changes made to gross emissions </w:t>
      </w:r>
      <w:r w:rsidRPr="00D9348B">
        <w:t>and changes in LULUCF sector emissions mainly due to a revised analysis of the pre-1990 natural forest plot data.</w:t>
      </w:r>
    </w:p>
    <w:p w14:paraId="107808C4" w14:textId="77777777" w:rsidR="00971A1F" w:rsidRPr="00D9348B" w:rsidRDefault="00971A1F" w:rsidP="00971A1F">
      <w:pPr>
        <w:pStyle w:val="BodyText"/>
      </w:pPr>
      <w:r w:rsidRPr="00D9348B">
        <w:t>The following tables show for each sector the category that had the largest recalculations across the time series. Table 10.1.1 shows the recalculations that increased emissions estimates the most for each sector.</w:t>
      </w:r>
    </w:p>
    <w:p w14:paraId="67F50E02" w14:textId="77777777" w:rsidR="00971A1F" w:rsidRPr="00D9348B" w:rsidRDefault="00971A1F" w:rsidP="00971A1F">
      <w:pPr>
        <w:pStyle w:val="Table"/>
      </w:pPr>
      <w:bookmarkStart w:id="3027" w:name="_Toc5269609"/>
      <w:bookmarkStart w:id="3028" w:name="_Toc36224690"/>
      <w:r w:rsidRPr="00D9348B">
        <w:t xml:space="preserve">Table 10.1.1 </w:t>
      </w:r>
      <w:r w:rsidRPr="00D9348B">
        <w:tab/>
      </w:r>
      <w:proofErr w:type="gramStart"/>
      <w:r w:rsidRPr="00D9348B">
        <w:t>Largest</w:t>
      </w:r>
      <w:proofErr w:type="gramEnd"/>
      <w:r w:rsidRPr="00D9348B">
        <w:t xml:space="preserve"> recalculations in each sector that increase emissions estimates</w:t>
      </w:r>
      <w:bookmarkEnd w:id="3027"/>
      <w:bookmarkEnd w:id="3028"/>
    </w:p>
    <w:tbl>
      <w:tblPr>
        <w:tblW w:w="8613" w:type="dxa"/>
        <w:tblInd w:w="108" w:type="dxa"/>
        <w:tblBorders>
          <w:bottom w:val="single" w:sz="4" w:space="0" w:color="365F91"/>
          <w:insideH w:val="single" w:sz="4" w:space="0" w:color="365F91"/>
        </w:tblBorders>
        <w:tblLook w:val="04A0" w:firstRow="1" w:lastRow="0" w:firstColumn="1" w:lastColumn="0" w:noHBand="0" w:noVBand="1"/>
      </w:tblPr>
      <w:tblGrid>
        <w:gridCol w:w="993"/>
        <w:gridCol w:w="3118"/>
        <w:gridCol w:w="2410"/>
        <w:gridCol w:w="2092"/>
      </w:tblGrid>
      <w:tr w:rsidR="00971A1F" w:rsidRPr="00D9348B" w14:paraId="0A933DF5" w14:textId="77777777" w:rsidTr="00C20AB4">
        <w:trPr>
          <w:tblHeader/>
        </w:trPr>
        <w:tc>
          <w:tcPr>
            <w:tcW w:w="993" w:type="dxa"/>
            <w:tcBorders>
              <w:top w:val="single" w:sz="4" w:space="0" w:color="365F91"/>
            </w:tcBorders>
            <w:shd w:val="clear" w:color="auto" w:fill="365F91"/>
            <w:vAlign w:val="bottom"/>
          </w:tcPr>
          <w:p w14:paraId="3F275584" w14:textId="77777777" w:rsidR="00971A1F" w:rsidRPr="00D9348B" w:rsidRDefault="00971A1F" w:rsidP="00DB330E">
            <w:pPr>
              <w:pStyle w:val="TableTextBold"/>
              <w:rPr>
                <w:noProof w:val="0"/>
                <w:color w:val="FFFFFF"/>
              </w:rPr>
            </w:pPr>
            <w:r w:rsidRPr="00D9348B">
              <w:rPr>
                <w:noProof w:val="0"/>
                <w:color w:val="FFFFFF"/>
              </w:rPr>
              <w:t>Sector</w:t>
            </w:r>
          </w:p>
        </w:tc>
        <w:tc>
          <w:tcPr>
            <w:tcW w:w="3118" w:type="dxa"/>
            <w:tcBorders>
              <w:top w:val="single" w:sz="4" w:space="0" w:color="365F91"/>
            </w:tcBorders>
            <w:shd w:val="clear" w:color="auto" w:fill="365F91"/>
            <w:vAlign w:val="bottom"/>
          </w:tcPr>
          <w:p w14:paraId="63088D48" w14:textId="7C2F5EE3" w:rsidR="00971A1F" w:rsidRPr="00D9348B" w:rsidRDefault="00971A1F" w:rsidP="00DB330E">
            <w:pPr>
              <w:pStyle w:val="TableTextBold"/>
              <w:rPr>
                <w:noProof w:val="0"/>
                <w:color w:val="FFFFFF"/>
              </w:rPr>
            </w:pPr>
            <w:r w:rsidRPr="00D9348B">
              <w:rPr>
                <w:noProof w:val="0"/>
                <w:color w:val="FFFFFF"/>
              </w:rPr>
              <w:t>Category with the largest increase in estimated emissions across the entire time</w:t>
            </w:r>
            <w:r w:rsidR="00C20AB4" w:rsidRPr="00D9348B">
              <w:rPr>
                <w:noProof w:val="0"/>
                <w:color w:val="FFFFFF"/>
              </w:rPr>
              <w:t> </w:t>
            </w:r>
            <w:r w:rsidRPr="00D9348B">
              <w:rPr>
                <w:noProof w:val="0"/>
                <w:color w:val="FFFFFF"/>
              </w:rPr>
              <w:t>series</w:t>
            </w:r>
          </w:p>
        </w:tc>
        <w:tc>
          <w:tcPr>
            <w:tcW w:w="2410" w:type="dxa"/>
            <w:tcBorders>
              <w:top w:val="single" w:sz="4" w:space="0" w:color="365F91"/>
            </w:tcBorders>
            <w:shd w:val="clear" w:color="auto" w:fill="365F91"/>
            <w:vAlign w:val="bottom"/>
          </w:tcPr>
          <w:p w14:paraId="5A20E550" w14:textId="77777777" w:rsidR="00971A1F" w:rsidRPr="00D9348B" w:rsidRDefault="00971A1F" w:rsidP="00DB330E">
            <w:pPr>
              <w:pStyle w:val="TableTextBold"/>
              <w:rPr>
                <w:noProof w:val="0"/>
                <w:color w:val="FFFFFF"/>
              </w:rPr>
            </w:pPr>
            <w:r w:rsidRPr="00D9348B">
              <w:rPr>
                <w:noProof w:val="0"/>
                <w:color w:val="FFFFFF"/>
              </w:rPr>
              <w:t>Largest single increase in emissions estimates for the category (kt CO</w:t>
            </w:r>
            <w:r w:rsidRPr="00D9348B">
              <w:rPr>
                <w:noProof w:val="0"/>
                <w:color w:val="FFFFFF"/>
                <w:vertAlign w:val="subscript"/>
              </w:rPr>
              <w:t>2</w:t>
            </w:r>
            <w:r w:rsidRPr="00D9348B">
              <w:rPr>
                <w:noProof w:val="0"/>
                <w:color w:val="FFFFFF"/>
              </w:rPr>
              <w:t>-e)</w:t>
            </w:r>
          </w:p>
        </w:tc>
        <w:tc>
          <w:tcPr>
            <w:tcW w:w="2092" w:type="dxa"/>
            <w:tcBorders>
              <w:top w:val="single" w:sz="4" w:space="0" w:color="365F91"/>
            </w:tcBorders>
            <w:shd w:val="clear" w:color="auto" w:fill="365F91"/>
            <w:vAlign w:val="bottom"/>
          </w:tcPr>
          <w:p w14:paraId="3B0A05F4" w14:textId="77777777" w:rsidR="00971A1F" w:rsidRPr="00D9348B" w:rsidRDefault="00971A1F" w:rsidP="00DB330E">
            <w:pPr>
              <w:pStyle w:val="TableTextBold"/>
              <w:rPr>
                <w:noProof w:val="0"/>
                <w:color w:val="FFFFFF"/>
              </w:rPr>
            </w:pPr>
            <w:r w:rsidRPr="00D9348B">
              <w:rPr>
                <w:noProof w:val="0"/>
                <w:color w:val="FFFFFF"/>
              </w:rPr>
              <w:t>Year of the largest increase in estimated emissions</w:t>
            </w:r>
          </w:p>
        </w:tc>
      </w:tr>
      <w:tr w:rsidR="00971A1F" w:rsidRPr="00D9348B" w14:paraId="4520F9CA" w14:textId="77777777" w:rsidTr="00C20AB4">
        <w:tc>
          <w:tcPr>
            <w:tcW w:w="993" w:type="dxa"/>
          </w:tcPr>
          <w:p w14:paraId="4DBC8B16" w14:textId="77777777" w:rsidR="00971A1F" w:rsidRPr="00D9348B" w:rsidRDefault="00971A1F" w:rsidP="00DB330E">
            <w:pPr>
              <w:pStyle w:val="TableText"/>
            </w:pPr>
            <w:r w:rsidRPr="00D9348B">
              <w:t>Energy</w:t>
            </w:r>
          </w:p>
        </w:tc>
        <w:tc>
          <w:tcPr>
            <w:tcW w:w="3118" w:type="dxa"/>
          </w:tcPr>
          <w:p w14:paraId="5530B5D7" w14:textId="77777777" w:rsidR="00971A1F" w:rsidRPr="00D9348B" w:rsidRDefault="00971A1F" w:rsidP="00DB330E">
            <w:pPr>
              <w:pStyle w:val="TableText"/>
            </w:pPr>
            <w:r w:rsidRPr="00D9348B">
              <w:t>1.A.3.b.ii Road transportation – Diesel oil</w:t>
            </w:r>
          </w:p>
        </w:tc>
        <w:tc>
          <w:tcPr>
            <w:tcW w:w="2410" w:type="dxa"/>
          </w:tcPr>
          <w:p w14:paraId="48BCD3B2" w14:textId="77777777" w:rsidR="00971A1F" w:rsidRPr="00D9348B" w:rsidRDefault="00971A1F" w:rsidP="00DB330E">
            <w:pPr>
              <w:pStyle w:val="TableText"/>
              <w:jc w:val="center"/>
            </w:pPr>
            <w:r w:rsidRPr="00D9348B">
              <w:t>152.7</w:t>
            </w:r>
          </w:p>
        </w:tc>
        <w:tc>
          <w:tcPr>
            <w:tcW w:w="2092" w:type="dxa"/>
          </w:tcPr>
          <w:p w14:paraId="0F121E4C" w14:textId="77777777" w:rsidR="00971A1F" w:rsidRPr="00D9348B" w:rsidRDefault="00971A1F" w:rsidP="00DB330E">
            <w:pPr>
              <w:pStyle w:val="TableText"/>
              <w:jc w:val="center"/>
            </w:pPr>
            <w:r w:rsidRPr="00D9348B">
              <w:t>2017</w:t>
            </w:r>
          </w:p>
        </w:tc>
      </w:tr>
      <w:tr w:rsidR="00971A1F" w:rsidRPr="00D9348B" w14:paraId="4022EA7D" w14:textId="77777777" w:rsidTr="00C20AB4">
        <w:tc>
          <w:tcPr>
            <w:tcW w:w="993" w:type="dxa"/>
          </w:tcPr>
          <w:p w14:paraId="1D1B8C5B" w14:textId="77777777" w:rsidR="00971A1F" w:rsidRPr="00D9348B" w:rsidRDefault="00971A1F" w:rsidP="00DB330E">
            <w:pPr>
              <w:pStyle w:val="TableText"/>
            </w:pPr>
            <w:r w:rsidRPr="00D9348B">
              <w:t>IPPU</w:t>
            </w:r>
          </w:p>
        </w:tc>
        <w:tc>
          <w:tcPr>
            <w:tcW w:w="3118" w:type="dxa"/>
          </w:tcPr>
          <w:p w14:paraId="44E44DF5" w14:textId="77777777" w:rsidR="00971A1F" w:rsidRPr="00D9348B" w:rsidRDefault="00971A1F" w:rsidP="00DB330E">
            <w:pPr>
              <w:pStyle w:val="TableText"/>
            </w:pPr>
            <w:r w:rsidRPr="00D9348B">
              <w:t>2.F.1.a Commercial refrigeration – HFC-143a</w:t>
            </w:r>
          </w:p>
        </w:tc>
        <w:tc>
          <w:tcPr>
            <w:tcW w:w="2410" w:type="dxa"/>
          </w:tcPr>
          <w:p w14:paraId="058F941D" w14:textId="77777777" w:rsidR="00971A1F" w:rsidRPr="00D9348B" w:rsidRDefault="00971A1F" w:rsidP="00DB330E">
            <w:pPr>
              <w:pStyle w:val="TableText"/>
              <w:jc w:val="center"/>
            </w:pPr>
            <w:r w:rsidRPr="00D9348B">
              <w:t>69.7</w:t>
            </w:r>
          </w:p>
        </w:tc>
        <w:tc>
          <w:tcPr>
            <w:tcW w:w="2092" w:type="dxa"/>
          </w:tcPr>
          <w:p w14:paraId="7031C36C" w14:textId="77777777" w:rsidR="00971A1F" w:rsidRPr="00D9348B" w:rsidRDefault="00971A1F" w:rsidP="00DB330E">
            <w:pPr>
              <w:pStyle w:val="TableText"/>
              <w:jc w:val="center"/>
            </w:pPr>
            <w:r w:rsidRPr="00D9348B">
              <w:t>2017</w:t>
            </w:r>
          </w:p>
        </w:tc>
      </w:tr>
      <w:tr w:rsidR="00971A1F" w:rsidRPr="00D9348B" w14:paraId="56E55D54" w14:textId="77777777" w:rsidTr="00C20AB4">
        <w:tc>
          <w:tcPr>
            <w:tcW w:w="993" w:type="dxa"/>
          </w:tcPr>
          <w:p w14:paraId="168A98C0" w14:textId="77777777" w:rsidR="00971A1F" w:rsidRPr="00D9348B" w:rsidRDefault="00971A1F" w:rsidP="00DB330E">
            <w:pPr>
              <w:pStyle w:val="TableText"/>
            </w:pPr>
            <w:r w:rsidRPr="00D9348B">
              <w:t>Agriculture</w:t>
            </w:r>
          </w:p>
        </w:tc>
        <w:tc>
          <w:tcPr>
            <w:tcW w:w="3118" w:type="dxa"/>
          </w:tcPr>
          <w:p w14:paraId="5E12C155" w14:textId="77777777" w:rsidR="00971A1F" w:rsidRPr="00D9348B" w:rsidRDefault="00971A1F" w:rsidP="00DB330E">
            <w:pPr>
              <w:pStyle w:val="TableText"/>
            </w:pPr>
            <w:r w:rsidRPr="00D9348B">
              <w:t>3.A.2 Enteric fermentation – Sheep</w:t>
            </w:r>
          </w:p>
        </w:tc>
        <w:tc>
          <w:tcPr>
            <w:tcW w:w="2410" w:type="dxa"/>
          </w:tcPr>
          <w:p w14:paraId="108FD3F1" w14:textId="77777777" w:rsidR="00971A1F" w:rsidRPr="00D9348B" w:rsidRDefault="00971A1F" w:rsidP="00DB330E">
            <w:pPr>
              <w:pStyle w:val="TableText"/>
              <w:jc w:val="center"/>
            </w:pPr>
            <w:r w:rsidRPr="00D9348B">
              <w:t>103.1</w:t>
            </w:r>
          </w:p>
        </w:tc>
        <w:tc>
          <w:tcPr>
            <w:tcW w:w="2092" w:type="dxa"/>
          </w:tcPr>
          <w:p w14:paraId="78C273E7" w14:textId="77777777" w:rsidR="00971A1F" w:rsidRPr="00D9348B" w:rsidRDefault="00971A1F" w:rsidP="00DB330E">
            <w:pPr>
              <w:pStyle w:val="TableText"/>
              <w:jc w:val="center"/>
            </w:pPr>
            <w:r w:rsidRPr="00D9348B">
              <w:t>2017</w:t>
            </w:r>
          </w:p>
        </w:tc>
      </w:tr>
      <w:tr w:rsidR="00971A1F" w:rsidRPr="00D9348B" w14:paraId="7D24FFCD" w14:textId="77777777" w:rsidTr="00C20AB4">
        <w:tc>
          <w:tcPr>
            <w:tcW w:w="993" w:type="dxa"/>
          </w:tcPr>
          <w:p w14:paraId="383A3576" w14:textId="77777777" w:rsidR="00971A1F" w:rsidRPr="00D9348B" w:rsidRDefault="00971A1F" w:rsidP="00DB330E">
            <w:pPr>
              <w:pStyle w:val="TableText"/>
            </w:pPr>
            <w:r w:rsidRPr="00D9348B">
              <w:t>LULUCF</w:t>
            </w:r>
          </w:p>
        </w:tc>
        <w:tc>
          <w:tcPr>
            <w:tcW w:w="3118" w:type="dxa"/>
          </w:tcPr>
          <w:p w14:paraId="2C21B075" w14:textId="77777777" w:rsidR="00971A1F" w:rsidRPr="00D9348B" w:rsidRDefault="00971A1F" w:rsidP="00DB330E">
            <w:pPr>
              <w:pStyle w:val="TableText"/>
            </w:pPr>
            <w:r w:rsidRPr="00D9348B">
              <w:t>4.A.1.i Forest land remaining forest land – Pre-1990 planted forest</w:t>
            </w:r>
          </w:p>
        </w:tc>
        <w:tc>
          <w:tcPr>
            <w:tcW w:w="2410" w:type="dxa"/>
          </w:tcPr>
          <w:p w14:paraId="237B4203" w14:textId="77777777" w:rsidR="00971A1F" w:rsidRPr="00D9348B" w:rsidRDefault="00971A1F" w:rsidP="00DB330E">
            <w:pPr>
              <w:pStyle w:val="TableText"/>
              <w:jc w:val="center"/>
            </w:pPr>
            <w:r w:rsidRPr="00D9348B">
              <w:t>4,590.5</w:t>
            </w:r>
          </w:p>
        </w:tc>
        <w:tc>
          <w:tcPr>
            <w:tcW w:w="2092" w:type="dxa"/>
          </w:tcPr>
          <w:p w14:paraId="4AA027D5" w14:textId="77777777" w:rsidR="00971A1F" w:rsidRPr="00D9348B" w:rsidRDefault="00971A1F" w:rsidP="00DB330E">
            <w:pPr>
              <w:pStyle w:val="TableText"/>
              <w:jc w:val="center"/>
            </w:pPr>
            <w:r w:rsidRPr="00D9348B">
              <w:t>2013</w:t>
            </w:r>
          </w:p>
        </w:tc>
      </w:tr>
      <w:tr w:rsidR="00971A1F" w:rsidRPr="00D9348B" w14:paraId="30B675DF" w14:textId="77777777" w:rsidTr="00C20AB4">
        <w:tc>
          <w:tcPr>
            <w:tcW w:w="993" w:type="dxa"/>
          </w:tcPr>
          <w:p w14:paraId="0F764B1E" w14:textId="77777777" w:rsidR="00971A1F" w:rsidRPr="00D9348B" w:rsidRDefault="00971A1F" w:rsidP="00DB330E">
            <w:pPr>
              <w:pStyle w:val="TableText"/>
            </w:pPr>
            <w:r w:rsidRPr="00D9348B">
              <w:t>Waste</w:t>
            </w:r>
          </w:p>
        </w:tc>
        <w:tc>
          <w:tcPr>
            <w:tcW w:w="3118" w:type="dxa"/>
          </w:tcPr>
          <w:p w14:paraId="482C8A40" w14:textId="77777777" w:rsidR="00971A1F" w:rsidRPr="00D9348B" w:rsidRDefault="00971A1F" w:rsidP="00DB330E">
            <w:pPr>
              <w:pStyle w:val="TableText"/>
            </w:pPr>
            <w:r w:rsidRPr="00D9348B">
              <w:t>5.D.1 Domestic Wastewater</w:t>
            </w:r>
          </w:p>
        </w:tc>
        <w:tc>
          <w:tcPr>
            <w:tcW w:w="2410" w:type="dxa"/>
          </w:tcPr>
          <w:p w14:paraId="6FC0969C" w14:textId="77777777" w:rsidR="00971A1F" w:rsidRPr="00D9348B" w:rsidRDefault="00971A1F" w:rsidP="00DB330E">
            <w:pPr>
              <w:pStyle w:val="TableText"/>
              <w:jc w:val="center"/>
            </w:pPr>
            <w:r w:rsidRPr="00D9348B">
              <w:t>6.2</w:t>
            </w:r>
          </w:p>
        </w:tc>
        <w:tc>
          <w:tcPr>
            <w:tcW w:w="2092" w:type="dxa"/>
          </w:tcPr>
          <w:p w14:paraId="4A5EC4F3" w14:textId="77777777" w:rsidR="00971A1F" w:rsidRPr="00D9348B" w:rsidRDefault="00971A1F" w:rsidP="00DB330E">
            <w:pPr>
              <w:pStyle w:val="TableText"/>
              <w:jc w:val="center"/>
            </w:pPr>
            <w:r w:rsidRPr="00D9348B">
              <w:t>1990</w:t>
            </w:r>
          </w:p>
        </w:tc>
      </w:tr>
      <w:tr w:rsidR="00971A1F" w:rsidRPr="00D9348B" w14:paraId="3CE75996" w14:textId="77777777" w:rsidTr="00C20AB4">
        <w:tc>
          <w:tcPr>
            <w:tcW w:w="993" w:type="dxa"/>
          </w:tcPr>
          <w:p w14:paraId="62D4AC73" w14:textId="77777777" w:rsidR="00971A1F" w:rsidRPr="00D9348B" w:rsidRDefault="00971A1F" w:rsidP="00DB330E">
            <w:pPr>
              <w:pStyle w:val="TableText"/>
            </w:pPr>
            <w:r w:rsidRPr="00D9348B">
              <w:t>Tokelau</w:t>
            </w:r>
          </w:p>
        </w:tc>
        <w:tc>
          <w:tcPr>
            <w:tcW w:w="3118" w:type="dxa"/>
          </w:tcPr>
          <w:p w14:paraId="13E899B6" w14:textId="77777777" w:rsidR="00971A1F" w:rsidRPr="00D9348B" w:rsidRDefault="00971A1F" w:rsidP="00DB330E">
            <w:pPr>
              <w:pStyle w:val="TableText"/>
            </w:pPr>
            <w:r w:rsidRPr="00D9348B">
              <w:t>6.Tokelau_3 – Agriculture</w:t>
            </w:r>
          </w:p>
        </w:tc>
        <w:tc>
          <w:tcPr>
            <w:tcW w:w="2410" w:type="dxa"/>
          </w:tcPr>
          <w:p w14:paraId="5D5D9E1A" w14:textId="77777777" w:rsidR="00971A1F" w:rsidRPr="00D9348B" w:rsidRDefault="00971A1F" w:rsidP="00DB330E">
            <w:pPr>
              <w:pStyle w:val="TableText"/>
              <w:jc w:val="center"/>
            </w:pPr>
            <w:r w:rsidRPr="00D9348B">
              <w:t>1.3</w:t>
            </w:r>
          </w:p>
        </w:tc>
        <w:tc>
          <w:tcPr>
            <w:tcW w:w="2092" w:type="dxa"/>
          </w:tcPr>
          <w:p w14:paraId="6B87341E" w14:textId="77777777" w:rsidR="00971A1F" w:rsidRPr="00D9348B" w:rsidRDefault="00971A1F" w:rsidP="00DB330E">
            <w:pPr>
              <w:pStyle w:val="TableText"/>
              <w:jc w:val="center"/>
            </w:pPr>
            <w:r w:rsidRPr="00D9348B">
              <w:t>2001</w:t>
            </w:r>
          </w:p>
        </w:tc>
      </w:tr>
    </w:tbl>
    <w:p w14:paraId="12649E8B" w14:textId="09DE2DF1" w:rsidR="00971A1F" w:rsidRPr="00D9348B" w:rsidRDefault="00971A1F" w:rsidP="00971A1F">
      <w:pPr>
        <w:pStyle w:val="BodyText"/>
        <w:spacing w:before="360"/>
      </w:pPr>
      <w:r w:rsidRPr="00D9348B">
        <w:t>Table 10.1.2 shows the recalculations that reduced emissions estimates the most for each</w:t>
      </w:r>
      <w:r w:rsidR="009F10D5" w:rsidRPr="00D9348B">
        <w:t> </w:t>
      </w:r>
      <w:r w:rsidRPr="00D9348B">
        <w:t>sector.</w:t>
      </w:r>
    </w:p>
    <w:p w14:paraId="3923062D" w14:textId="77777777" w:rsidR="00971A1F" w:rsidRPr="00D9348B" w:rsidRDefault="00971A1F" w:rsidP="00971A1F">
      <w:pPr>
        <w:pStyle w:val="Table"/>
      </w:pPr>
      <w:bookmarkStart w:id="3029" w:name="_Toc5269610"/>
      <w:bookmarkStart w:id="3030" w:name="_Toc36224691"/>
      <w:r w:rsidRPr="00D9348B">
        <w:t xml:space="preserve">Table 10.1.2 </w:t>
      </w:r>
      <w:r w:rsidRPr="00D9348B">
        <w:tab/>
      </w:r>
      <w:proofErr w:type="gramStart"/>
      <w:r w:rsidRPr="00D9348B">
        <w:t>Largest</w:t>
      </w:r>
      <w:proofErr w:type="gramEnd"/>
      <w:r w:rsidRPr="00D9348B">
        <w:t xml:space="preserve"> recalculations in each sector that reduce emissions estimates</w:t>
      </w:r>
      <w:bookmarkEnd w:id="3029"/>
      <w:bookmarkEnd w:id="3030"/>
    </w:p>
    <w:tbl>
      <w:tblPr>
        <w:tblW w:w="8613" w:type="dxa"/>
        <w:tblInd w:w="108" w:type="dxa"/>
        <w:tblBorders>
          <w:bottom w:val="single" w:sz="4" w:space="0" w:color="365F91"/>
          <w:insideH w:val="single" w:sz="4" w:space="0" w:color="365F91"/>
        </w:tblBorders>
        <w:tblLook w:val="04A0" w:firstRow="1" w:lastRow="0" w:firstColumn="1" w:lastColumn="0" w:noHBand="0" w:noVBand="1"/>
      </w:tblPr>
      <w:tblGrid>
        <w:gridCol w:w="993"/>
        <w:gridCol w:w="3118"/>
        <w:gridCol w:w="2348"/>
        <w:gridCol w:w="2154"/>
      </w:tblGrid>
      <w:tr w:rsidR="00971A1F" w:rsidRPr="00D9348B" w14:paraId="3AB98B4E" w14:textId="77777777" w:rsidTr="00C20AB4">
        <w:trPr>
          <w:tblHeader/>
        </w:trPr>
        <w:tc>
          <w:tcPr>
            <w:tcW w:w="993" w:type="dxa"/>
            <w:tcBorders>
              <w:top w:val="single" w:sz="4" w:space="0" w:color="365F91"/>
            </w:tcBorders>
            <w:shd w:val="clear" w:color="auto" w:fill="365F91"/>
            <w:vAlign w:val="bottom"/>
          </w:tcPr>
          <w:p w14:paraId="0FB0B15C" w14:textId="77777777" w:rsidR="00971A1F" w:rsidRPr="00D9348B" w:rsidRDefault="00971A1F" w:rsidP="00DB330E">
            <w:pPr>
              <w:pStyle w:val="TableTextBold"/>
              <w:rPr>
                <w:noProof w:val="0"/>
                <w:color w:val="FFFFFF"/>
              </w:rPr>
            </w:pPr>
            <w:r w:rsidRPr="00D9348B">
              <w:rPr>
                <w:noProof w:val="0"/>
                <w:color w:val="FFFFFF"/>
              </w:rPr>
              <w:t>Sector</w:t>
            </w:r>
          </w:p>
        </w:tc>
        <w:tc>
          <w:tcPr>
            <w:tcW w:w="3118" w:type="dxa"/>
            <w:tcBorders>
              <w:top w:val="single" w:sz="4" w:space="0" w:color="365F91"/>
            </w:tcBorders>
            <w:shd w:val="clear" w:color="auto" w:fill="365F91"/>
            <w:vAlign w:val="bottom"/>
          </w:tcPr>
          <w:p w14:paraId="0890D511" w14:textId="77777777" w:rsidR="00971A1F" w:rsidRPr="00D9348B" w:rsidRDefault="00971A1F" w:rsidP="00DB330E">
            <w:pPr>
              <w:pStyle w:val="TableTextBold"/>
              <w:rPr>
                <w:noProof w:val="0"/>
                <w:color w:val="FFFFFF"/>
              </w:rPr>
            </w:pPr>
            <w:r w:rsidRPr="00D9348B">
              <w:rPr>
                <w:noProof w:val="0"/>
                <w:color w:val="FFFFFF"/>
              </w:rPr>
              <w:t>Category with the largest reduction in estimated emissions across the entire time series</w:t>
            </w:r>
          </w:p>
        </w:tc>
        <w:tc>
          <w:tcPr>
            <w:tcW w:w="2348" w:type="dxa"/>
            <w:tcBorders>
              <w:top w:val="single" w:sz="4" w:space="0" w:color="365F91"/>
            </w:tcBorders>
            <w:shd w:val="clear" w:color="auto" w:fill="365F91"/>
            <w:vAlign w:val="bottom"/>
          </w:tcPr>
          <w:p w14:paraId="374A9AF5" w14:textId="77777777" w:rsidR="00971A1F" w:rsidRPr="00D9348B" w:rsidRDefault="00971A1F" w:rsidP="00DB330E">
            <w:pPr>
              <w:pStyle w:val="TableTextBold"/>
              <w:rPr>
                <w:noProof w:val="0"/>
                <w:color w:val="FFFFFF"/>
              </w:rPr>
            </w:pPr>
            <w:r w:rsidRPr="00D9348B">
              <w:rPr>
                <w:noProof w:val="0"/>
                <w:color w:val="FFFFFF"/>
              </w:rPr>
              <w:t>Largest single reduction in emissions estimates for the category (kt CO</w:t>
            </w:r>
            <w:r w:rsidRPr="00D9348B">
              <w:rPr>
                <w:noProof w:val="0"/>
                <w:color w:val="FFFFFF"/>
                <w:vertAlign w:val="subscript"/>
              </w:rPr>
              <w:t>2</w:t>
            </w:r>
            <w:r w:rsidRPr="00D9348B">
              <w:rPr>
                <w:noProof w:val="0"/>
                <w:color w:val="FFFFFF"/>
              </w:rPr>
              <w:t>-e)</w:t>
            </w:r>
          </w:p>
        </w:tc>
        <w:tc>
          <w:tcPr>
            <w:tcW w:w="2154" w:type="dxa"/>
            <w:tcBorders>
              <w:top w:val="single" w:sz="4" w:space="0" w:color="365F91"/>
            </w:tcBorders>
            <w:shd w:val="clear" w:color="auto" w:fill="365F91"/>
            <w:vAlign w:val="bottom"/>
          </w:tcPr>
          <w:p w14:paraId="4427822B" w14:textId="77777777" w:rsidR="00971A1F" w:rsidRPr="00D9348B" w:rsidRDefault="00971A1F" w:rsidP="00DB330E">
            <w:pPr>
              <w:pStyle w:val="TableTextBold"/>
              <w:rPr>
                <w:noProof w:val="0"/>
                <w:color w:val="FFFFFF"/>
              </w:rPr>
            </w:pPr>
            <w:r w:rsidRPr="00D9348B">
              <w:rPr>
                <w:noProof w:val="0"/>
                <w:color w:val="FFFFFF"/>
              </w:rPr>
              <w:t>Year of the largest decrease in estimated emissions</w:t>
            </w:r>
          </w:p>
        </w:tc>
      </w:tr>
      <w:tr w:rsidR="00971A1F" w:rsidRPr="00D9348B" w14:paraId="22C1F7FE" w14:textId="77777777" w:rsidTr="00C20AB4">
        <w:tc>
          <w:tcPr>
            <w:tcW w:w="993" w:type="dxa"/>
          </w:tcPr>
          <w:p w14:paraId="7B220773" w14:textId="77777777" w:rsidR="00971A1F" w:rsidRPr="00D9348B" w:rsidRDefault="00971A1F" w:rsidP="00DB330E">
            <w:pPr>
              <w:pStyle w:val="TableText"/>
            </w:pPr>
            <w:r w:rsidRPr="00D9348B">
              <w:t>Energy</w:t>
            </w:r>
          </w:p>
        </w:tc>
        <w:tc>
          <w:tcPr>
            <w:tcW w:w="3118" w:type="dxa"/>
          </w:tcPr>
          <w:p w14:paraId="6384B7FE" w14:textId="77777777" w:rsidR="00971A1F" w:rsidRPr="00D9348B" w:rsidRDefault="00971A1F" w:rsidP="00DB330E">
            <w:pPr>
              <w:pStyle w:val="TableText"/>
            </w:pPr>
            <w:r w:rsidRPr="00D9348B">
              <w:t>1.A.4.a Other sectors – Commercial/institutional</w:t>
            </w:r>
          </w:p>
        </w:tc>
        <w:tc>
          <w:tcPr>
            <w:tcW w:w="2348" w:type="dxa"/>
          </w:tcPr>
          <w:p w14:paraId="759376CB" w14:textId="77777777" w:rsidR="00971A1F" w:rsidRPr="00D9348B" w:rsidRDefault="00971A1F" w:rsidP="00DB330E">
            <w:pPr>
              <w:pStyle w:val="TableText"/>
              <w:jc w:val="center"/>
            </w:pPr>
            <w:r w:rsidRPr="00D9348B">
              <w:t>–320.8</w:t>
            </w:r>
          </w:p>
        </w:tc>
        <w:tc>
          <w:tcPr>
            <w:tcW w:w="2154" w:type="dxa"/>
          </w:tcPr>
          <w:p w14:paraId="35413CB0" w14:textId="77777777" w:rsidR="00971A1F" w:rsidRPr="00D9348B" w:rsidRDefault="00971A1F" w:rsidP="00DB330E">
            <w:pPr>
              <w:pStyle w:val="TableText"/>
              <w:jc w:val="center"/>
            </w:pPr>
            <w:r w:rsidRPr="00D9348B">
              <w:t>2017</w:t>
            </w:r>
          </w:p>
        </w:tc>
      </w:tr>
      <w:tr w:rsidR="00971A1F" w:rsidRPr="00D9348B" w14:paraId="71FB5B73" w14:textId="77777777" w:rsidTr="00C20AB4">
        <w:tc>
          <w:tcPr>
            <w:tcW w:w="993" w:type="dxa"/>
          </w:tcPr>
          <w:p w14:paraId="06538CC4" w14:textId="77777777" w:rsidR="00971A1F" w:rsidRPr="00D9348B" w:rsidRDefault="00971A1F" w:rsidP="00DB330E">
            <w:pPr>
              <w:pStyle w:val="TableText"/>
            </w:pPr>
            <w:r w:rsidRPr="00D9348B">
              <w:t>IPPU</w:t>
            </w:r>
          </w:p>
        </w:tc>
        <w:tc>
          <w:tcPr>
            <w:tcW w:w="3118" w:type="dxa"/>
          </w:tcPr>
          <w:p w14:paraId="4E4BE53D" w14:textId="77777777" w:rsidR="00971A1F" w:rsidRPr="00D9348B" w:rsidRDefault="00971A1F" w:rsidP="00DB330E">
            <w:pPr>
              <w:pStyle w:val="TableText"/>
            </w:pPr>
            <w:r w:rsidRPr="00D9348B">
              <w:t>2.F.1.a Commercial refrigeration – HFC-143a</w:t>
            </w:r>
          </w:p>
        </w:tc>
        <w:tc>
          <w:tcPr>
            <w:tcW w:w="2348" w:type="dxa"/>
          </w:tcPr>
          <w:p w14:paraId="50A62B2D" w14:textId="77777777" w:rsidR="00971A1F" w:rsidRPr="00D9348B" w:rsidRDefault="00971A1F" w:rsidP="00DB330E">
            <w:pPr>
              <w:pStyle w:val="TableText"/>
              <w:jc w:val="center"/>
            </w:pPr>
            <w:r w:rsidRPr="00D9348B">
              <w:t>–46.5</w:t>
            </w:r>
          </w:p>
        </w:tc>
        <w:tc>
          <w:tcPr>
            <w:tcW w:w="2154" w:type="dxa"/>
          </w:tcPr>
          <w:p w14:paraId="11D34B45" w14:textId="77777777" w:rsidR="00971A1F" w:rsidRPr="00D9348B" w:rsidRDefault="00971A1F" w:rsidP="00DB330E">
            <w:pPr>
              <w:pStyle w:val="TableText"/>
              <w:jc w:val="center"/>
            </w:pPr>
            <w:r w:rsidRPr="00D9348B">
              <w:t>2015</w:t>
            </w:r>
          </w:p>
        </w:tc>
      </w:tr>
      <w:tr w:rsidR="00971A1F" w:rsidRPr="00D9348B" w14:paraId="4F3FE588" w14:textId="77777777" w:rsidTr="00C20AB4">
        <w:tc>
          <w:tcPr>
            <w:tcW w:w="993" w:type="dxa"/>
          </w:tcPr>
          <w:p w14:paraId="52F02C42" w14:textId="77777777" w:rsidR="00971A1F" w:rsidRPr="00D9348B" w:rsidRDefault="00971A1F" w:rsidP="00DB330E">
            <w:pPr>
              <w:pStyle w:val="TableText"/>
            </w:pPr>
            <w:r w:rsidRPr="00D9348B">
              <w:t>Agriculture</w:t>
            </w:r>
          </w:p>
        </w:tc>
        <w:tc>
          <w:tcPr>
            <w:tcW w:w="3118" w:type="dxa"/>
          </w:tcPr>
          <w:p w14:paraId="62DEC5F4" w14:textId="77777777" w:rsidR="00971A1F" w:rsidRPr="00D9348B" w:rsidRDefault="00971A1F" w:rsidP="00DB330E">
            <w:pPr>
              <w:pStyle w:val="TableText"/>
            </w:pPr>
            <w:r w:rsidRPr="00D9348B">
              <w:t>3.D.1.3 Direct N</w:t>
            </w:r>
            <w:r w:rsidRPr="00D9348B">
              <w:rPr>
                <w:vertAlign w:val="subscript"/>
              </w:rPr>
              <w:t>2</w:t>
            </w:r>
            <w:r w:rsidRPr="00D9348B">
              <w:t>O emissions from managed soils – Urine and dung deposited by grazing animals</w:t>
            </w:r>
          </w:p>
        </w:tc>
        <w:tc>
          <w:tcPr>
            <w:tcW w:w="2348" w:type="dxa"/>
          </w:tcPr>
          <w:p w14:paraId="175D03A6" w14:textId="77777777" w:rsidR="00971A1F" w:rsidRPr="00D9348B" w:rsidRDefault="00971A1F" w:rsidP="00DB330E">
            <w:pPr>
              <w:pStyle w:val="TableText"/>
              <w:jc w:val="center"/>
            </w:pPr>
            <w:r w:rsidRPr="00D9348B">
              <w:t>–2,211.6</w:t>
            </w:r>
          </w:p>
        </w:tc>
        <w:tc>
          <w:tcPr>
            <w:tcW w:w="2154" w:type="dxa"/>
          </w:tcPr>
          <w:p w14:paraId="6661C142" w14:textId="77777777" w:rsidR="00971A1F" w:rsidRPr="00D9348B" w:rsidRDefault="00971A1F" w:rsidP="00DB330E">
            <w:pPr>
              <w:pStyle w:val="TableText"/>
              <w:jc w:val="center"/>
            </w:pPr>
            <w:r w:rsidRPr="00D9348B">
              <w:t>1990</w:t>
            </w:r>
          </w:p>
        </w:tc>
      </w:tr>
      <w:tr w:rsidR="00971A1F" w:rsidRPr="00D9348B" w14:paraId="5C58641D" w14:textId="77777777" w:rsidTr="00C20AB4">
        <w:tc>
          <w:tcPr>
            <w:tcW w:w="993" w:type="dxa"/>
          </w:tcPr>
          <w:p w14:paraId="6155631A" w14:textId="77777777" w:rsidR="00971A1F" w:rsidRPr="00D9348B" w:rsidRDefault="00971A1F" w:rsidP="00DB330E">
            <w:pPr>
              <w:pStyle w:val="TableText"/>
            </w:pPr>
            <w:r w:rsidRPr="00D9348B">
              <w:t>LULUCF</w:t>
            </w:r>
          </w:p>
        </w:tc>
        <w:tc>
          <w:tcPr>
            <w:tcW w:w="3118" w:type="dxa"/>
          </w:tcPr>
          <w:p w14:paraId="23C7CE57" w14:textId="77777777" w:rsidR="00971A1F" w:rsidRPr="00D9348B" w:rsidRDefault="00971A1F" w:rsidP="00DB330E">
            <w:pPr>
              <w:pStyle w:val="TableText"/>
            </w:pPr>
            <w:r w:rsidRPr="00D9348B">
              <w:t>4.A.1.i Forest land remaining forest land – Pre-1990 natural forest converted to pre-1990 planted forest</w:t>
            </w:r>
          </w:p>
        </w:tc>
        <w:tc>
          <w:tcPr>
            <w:tcW w:w="2348" w:type="dxa"/>
          </w:tcPr>
          <w:p w14:paraId="434396AE" w14:textId="77777777" w:rsidR="00971A1F" w:rsidRPr="00D9348B" w:rsidRDefault="00971A1F" w:rsidP="00DB330E">
            <w:pPr>
              <w:pStyle w:val="TableText"/>
              <w:jc w:val="center"/>
            </w:pPr>
            <w:r w:rsidRPr="00D9348B">
              <w:t>–2,888.0</w:t>
            </w:r>
          </w:p>
        </w:tc>
        <w:tc>
          <w:tcPr>
            <w:tcW w:w="2154" w:type="dxa"/>
          </w:tcPr>
          <w:p w14:paraId="12F85819" w14:textId="77777777" w:rsidR="00971A1F" w:rsidRPr="00D9348B" w:rsidRDefault="00971A1F" w:rsidP="00DB330E">
            <w:pPr>
              <w:pStyle w:val="TableText"/>
              <w:jc w:val="center"/>
            </w:pPr>
            <w:r w:rsidRPr="00D9348B">
              <w:t>1996</w:t>
            </w:r>
          </w:p>
        </w:tc>
      </w:tr>
      <w:tr w:rsidR="00971A1F" w:rsidRPr="00D9348B" w14:paraId="334F2570" w14:textId="77777777" w:rsidTr="00C20AB4">
        <w:tc>
          <w:tcPr>
            <w:tcW w:w="993" w:type="dxa"/>
          </w:tcPr>
          <w:p w14:paraId="46058CBE" w14:textId="77777777" w:rsidR="00971A1F" w:rsidRPr="00D9348B" w:rsidRDefault="00971A1F" w:rsidP="00DB330E">
            <w:pPr>
              <w:pStyle w:val="TableText"/>
            </w:pPr>
            <w:r w:rsidRPr="00D9348B">
              <w:t>Waste</w:t>
            </w:r>
          </w:p>
        </w:tc>
        <w:tc>
          <w:tcPr>
            <w:tcW w:w="3118" w:type="dxa"/>
          </w:tcPr>
          <w:p w14:paraId="5DF5378D" w14:textId="77777777" w:rsidR="00971A1F" w:rsidRPr="00D9348B" w:rsidRDefault="00971A1F" w:rsidP="00DB330E">
            <w:pPr>
              <w:pStyle w:val="TableText"/>
              <w:rPr>
                <w:b/>
              </w:rPr>
            </w:pPr>
            <w:r w:rsidRPr="00D9348B">
              <w:t>5.A.2 Solid waste disposal – Unmanaged waste disposal sites</w:t>
            </w:r>
          </w:p>
        </w:tc>
        <w:tc>
          <w:tcPr>
            <w:tcW w:w="2348" w:type="dxa"/>
          </w:tcPr>
          <w:p w14:paraId="236116F5" w14:textId="77777777" w:rsidR="00971A1F" w:rsidRPr="00D9348B" w:rsidRDefault="00971A1F" w:rsidP="00DB330E">
            <w:pPr>
              <w:pStyle w:val="TableText"/>
              <w:jc w:val="center"/>
            </w:pPr>
            <w:r w:rsidRPr="00D9348B">
              <w:t>–31.5</w:t>
            </w:r>
          </w:p>
        </w:tc>
        <w:tc>
          <w:tcPr>
            <w:tcW w:w="2154" w:type="dxa"/>
          </w:tcPr>
          <w:p w14:paraId="5EBA7CB5" w14:textId="77777777" w:rsidR="00971A1F" w:rsidRPr="00D9348B" w:rsidRDefault="00971A1F" w:rsidP="00DB330E">
            <w:pPr>
              <w:pStyle w:val="TableText"/>
              <w:jc w:val="center"/>
            </w:pPr>
            <w:r w:rsidRPr="00D9348B">
              <w:t>2016</w:t>
            </w:r>
          </w:p>
        </w:tc>
      </w:tr>
      <w:tr w:rsidR="00971A1F" w:rsidRPr="00D9348B" w14:paraId="5941A9BE" w14:textId="77777777" w:rsidTr="00C20AB4">
        <w:tc>
          <w:tcPr>
            <w:tcW w:w="993" w:type="dxa"/>
          </w:tcPr>
          <w:p w14:paraId="7E5C12EC" w14:textId="77777777" w:rsidR="00971A1F" w:rsidRPr="00D9348B" w:rsidRDefault="00971A1F" w:rsidP="00DB330E">
            <w:pPr>
              <w:pStyle w:val="TableText"/>
            </w:pPr>
            <w:r w:rsidRPr="00D9348B">
              <w:t>Tokelau</w:t>
            </w:r>
          </w:p>
        </w:tc>
        <w:tc>
          <w:tcPr>
            <w:tcW w:w="3118" w:type="dxa"/>
          </w:tcPr>
          <w:p w14:paraId="2D4EF4C0" w14:textId="77777777" w:rsidR="00971A1F" w:rsidRPr="00D9348B" w:rsidRDefault="00971A1F" w:rsidP="00DB330E">
            <w:pPr>
              <w:pStyle w:val="TableText"/>
            </w:pPr>
            <w:r w:rsidRPr="00D9348B">
              <w:t>6.Tokelau_1 – Energy</w:t>
            </w:r>
          </w:p>
        </w:tc>
        <w:tc>
          <w:tcPr>
            <w:tcW w:w="2348" w:type="dxa"/>
          </w:tcPr>
          <w:p w14:paraId="49103DE5" w14:textId="77777777" w:rsidR="00971A1F" w:rsidRPr="00D9348B" w:rsidRDefault="00971A1F" w:rsidP="00DB330E">
            <w:pPr>
              <w:pStyle w:val="TableText"/>
              <w:jc w:val="center"/>
            </w:pPr>
            <w:r w:rsidRPr="00D9348B">
              <w:t>–1.6</w:t>
            </w:r>
          </w:p>
        </w:tc>
        <w:tc>
          <w:tcPr>
            <w:tcW w:w="2154" w:type="dxa"/>
          </w:tcPr>
          <w:p w14:paraId="0F23535C" w14:textId="77777777" w:rsidR="00971A1F" w:rsidRPr="00D9348B" w:rsidRDefault="00971A1F" w:rsidP="00DB330E">
            <w:pPr>
              <w:pStyle w:val="TableText"/>
              <w:jc w:val="center"/>
            </w:pPr>
            <w:r w:rsidRPr="00D9348B">
              <w:t>1991</w:t>
            </w:r>
          </w:p>
        </w:tc>
      </w:tr>
    </w:tbl>
    <w:p w14:paraId="4719B624" w14:textId="77777777" w:rsidR="00971A1F" w:rsidRPr="00D9348B" w:rsidRDefault="00971A1F" w:rsidP="00971A1F">
      <w:pPr>
        <w:pStyle w:val="BodyText"/>
        <w:spacing w:before="240"/>
      </w:pPr>
      <w:r w:rsidRPr="00D9348B">
        <w:rPr>
          <w:rFonts w:eastAsia="Arial"/>
        </w:rPr>
        <w:t>The following sections detail the effect of and reasons for recalculations for each sector and summarise the improvements that resulted in the recalculations.</w:t>
      </w:r>
    </w:p>
    <w:p w14:paraId="406D4DEF" w14:textId="77777777" w:rsidR="00971A1F" w:rsidRPr="00D9348B" w:rsidRDefault="00971A1F" w:rsidP="00C21F88">
      <w:pPr>
        <w:pStyle w:val="Heading3"/>
        <w:spacing w:before="240"/>
      </w:pPr>
      <w:r w:rsidRPr="00D9348B">
        <w:t>10.1.1</w:t>
      </w:r>
      <w:r w:rsidRPr="00D9348B">
        <w:tab/>
        <w:t>Energy</w:t>
      </w:r>
    </w:p>
    <w:p w14:paraId="3C538EE9" w14:textId="77777777" w:rsidR="00971A1F" w:rsidRPr="00D9348B" w:rsidRDefault="00971A1F" w:rsidP="00971A1F">
      <w:pPr>
        <w:pStyle w:val="BodyText"/>
      </w:pPr>
      <w:bookmarkStart w:id="3031" w:name="_Toc352505169"/>
      <w:bookmarkStart w:id="3032" w:name="_Toc447275721"/>
      <w:bookmarkStart w:id="3033" w:name="_Toc481752040"/>
      <w:bookmarkStart w:id="3034" w:name="_Toc511116994"/>
      <w:r w:rsidRPr="00D9348B">
        <w:t>Changes to activity data in the Energy sector have resulted in a 0.03 per cent (7.3 kt CO</w:t>
      </w:r>
      <w:r w:rsidRPr="00D9348B">
        <w:rPr>
          <w:vertAlign w:val="subscript"/>
        </w:rPr>
        <w:t>2</w:t>
      </w:r>
      <w:r w:rsidRPr="00D9348B">
        <w:noBreakHyphen/>
        <w:t>e) decrease in energy emissions in 1990 and a 0.4 per cent (128.0 kt CO</w:t>
      </w:r>
      <w:r w:rsidRPr="00D9348B">
        <w:rPr>
          <w:vertAlign w:val="subscript"/>
        </w:rPr>
        <w:t>2</w:t>
      </w:r>
      <w:r w:rsidRPr="00D9348B">
        <w:t xml:space="preserve">-e) increase in energy emissions in 2017 (figure 10.1.2). No significant improvements or methodological changes have occurred for the Energy sector. However, changes in the level of emissions estimates </w:t>
      </w:r>
      <w:r w:rsidRPr="00D9348B">
        <w:lastRenderedPageBreak/>
        <w:t>have occurred due to small changes in the activity data. Energy activity data for the years 1990–2017 have been updated according to the latest energy statistics published by the Ministry of Business, Innovation and Employment.</w:t>
      </w:r>
    </w:p>
    <w:p w14:paraId="6C9E4640" w14:textId="77777777" w:rsidR="00971A1F" w:rsidRPr="00D9348B" w:rsidRDefault="00971A1F" w:rsidP="00971A1F">
      <w:pPr>
        <w:pStyle w:val="Figure"/>
        <w:spacing w:after="60"/>
      </w:pPr>
      <w:bookmarkStart w:id="3035" w:name="_Toc5269729"/>
      <w:bookmarkStart w:id="3036" w:name="_Toc36292834"/>
      <w:r w:rsidRPr="00D9348B">
        <w:t>Figure 10.1.2</w:t>
      </w:r>
      <w:r w:rsidRPr="00D9348B">
        <w:tab/>
        <w:t>Effect of changes to activity data on New Zealand’s Energy sector from 1990 to</w:t>
      </w:r>
      <w:bookmarkEnd w:id="3031"/>
      <w:r w:rsidRPr="00D9348B">
        <w:t> </w:t>
      </w:r>
      <w:bookmarkEnd w:id="3032"/>
      <w:bookmarkEnd w:id="3033"/>
      <w:bookmarkEnd w:id="3034"/>
      <w:bookmarkEnd w:id="3035"/>
      <w:r w:rsidRPr="00D9348B">
        <w:t>2017</w:t>
      </w:r>
      <w:bookmarkEnd w:id="3036"/>
    </w:p>
    <w:p w14:paraId="0EF9FBA4" w14:textId="6E2F5E7B" w:rsidR="00971A1F" w:rsidRPr="00D9348B" w:rsidRDefault="007165CF" w:rsidP="00971A1F">
      <w:pPr>
        <w:spacing w:after="120"/>
      </w:pPr>
      <w:r>
        <w:pict w14:anchorId="01E9DE38">
          <v:shape id="Picture 2" o:spid="_x0000_i1167" type="#_x0000_t75" style="width:390.05pt;height:194.7pt;visibility:visible;mso-wrap-style:square">
            <v:imagedata r:id="rId274" o:title="" cropbottom="4668f"/>
          </v:shape>
        </w:pict>
      </w:r>
    </w:p>
    <w:p w14:paraId="273775C2" w14:textId="77777777" w:rsidR="00971A1F" w:rsidRPr="00D9348B" w:rsidRDefault="00971A1F" w:rsidP="006E1BC8">
      <w:pPr>
        <w:pStyle w:val="Heading3"/>
        <w:spacing w:before="240"/>
      </w:pPr>
      <w:r w:rsidRPr="00D9348B">
        <w:t>10.1.2</w:t>
      </w:r>
      <w:r w:rsidRPr="00D9348B">
        <w:tab/>
        <w:t>Industrial Processes and Product Use</w:t>
      </w:r>
    </w:p>
    <w:p w14:paraId="15AD4947" w14:textId="77777777" w:rsidR="00971A1F" w:rsidRPr="00D9348B" w:rsidRDefault="00971A1F" w:rsidP="00971A1F">
      <w:pPr>
        <w:pStyle w:val="BodyText"/>
        <w:rPr>
          <w:rFonts w:eastAsia="Arial"/>
        </w:rPr>
      </w:pPr>
      <w:bookmarkStart w:id="3037" w:name="_Toc352505170"/>
      <w:bookmarkStart w:id="3038" w:name="_Toc414531638"/>
      <w:bookmarkStart w:id="3039" w:name="_Toc447275722"/>
      <w:bookmarkStart w:id="3040" w:name="_Toc481752041"/>
      <w:bookmarkStart w:id="3041" w:name="_Toc511116995"/>
      <w:bookmarkStart w:id="3042" w:name="_Toc5269730"/>
      <w:r w:rsidRPr="00D9348B">
        <w:rPr>
          <w:rFonts w:eastAsia="Arial"/>
        </w:rPr>
        <w:t>Improvements and recalculations made in the</w:t>
      </w:r>
      <w:r w:rsidRPr="00D9348B">
        <w:t xml:space="preserve"> Industrial Processes and Product Use</w:t>
      </w:r>
      <w:r w:rsidRPr="00D9348B">
        <w:rPr>
          <w:rFonts w:eastAsia="Arial"/>
        </w:rPr>
        <w:t xml:space="preserve"> (IPPU) sector have resulted in no change for 1990 and a 3.1 per cent increase in emissions for 2017 (152.8 kt CO</w:t>
      </w:r>
      <w:r w:rsidRPr="00D9348B">
        <w:rPr>
          <w:rFonts w:eastAsia="Arial"/>
          <w:vertAlign w:val="subscript"/>
        </w:rPr>
        <w:t>2</w:t>
      </w:r>
      <w:r w:rsidRPr="00D9348B">
        <w:rPr>
          <w:rFonts w:eastAsia="Arial"/>
        </w:rPr>
        <w:t xml:space="preserve">-e) (figure 10.1.3). The increase in 2017 is due to a recalculation of emissions from the </w:t>
      </w:r>
      <w:r w:rsidRPr="00D9348B">
        <w:rPr>
          <w:rFonts w:eastAsia="Arial"/>
          <w:i/>
        </w:rPr>
        <w:t xml:space="preserve">Refrigeration and air conditioning </w:t>
      </w:r>
      <w:r w:rsidRPr="00D9348B">
        <w:rPr>
          <w:rFonts w:eastAsia="Arial"/>
        </w:rPr>
        <w:t xml:space="preserve">category. The increase in reported emissions for 2017 is almost entirely due to a reassessment of the annual amounts of refrigerant gases imported, stockpiled by importers, sold and used. This changed the timing of these emissions. </w:t>
      </w:r>
    </w:p>
    <w:p w14:paraId="33E0EC4E" w14:textId="77777777" w:rsidR="00971A1F" w:rsidRPr="00D9348B" w:rsidRDefault="00971A1F" w:rsidP="00971A1F">
      <w:pPr>
        <w:pStyle w:val="BodyText"/>
        <w:rPr>
          <w:rFonts w:eastAsia="Arial"/>
          <w:spacing w:val="-2"/>
        </w:rPr>
      </w:pPr>
      <w:r w:rsidRPr="00D9348B">
        <w:rPr>
          <w:rFonts w:eastAsia="+mn-ea"/>
          <w:spacing w:val="-2"/>
        </w:rPr>
        <w:t xml:space="preserve">Other recalculations and improvements, as detailed in </w:t>
      </w:r>
      <w:r w:rsidRPr="00D9348B">
        <w:rPr>
          <w:rFonts w:eastAsia="Arial"/>
          <w:spacing w:val="-2"/>
        </w:rPr>
        <w:t>table 10.1.3,</w:t>
      </w:r>
      <w:r w:rsidRPr="00D9348B">
        <w:rPr>
          <w:rFonts w:eastAsia="+mn-ea"/>
          <w:spacing w:val="-2"/>
        </w:rPr>
        <w:t xml:space="preserve"> have had only a minor effect</w:t>
      </w:r>
      <w:r w:rsidRPr="00D9348B">
        <w:rPr>
          <w:rFonts w:eastAsia="Arial"/>
          <w:spacing w:val="-2"/>
        </w:rPr>
        <w:t>.</w:t>
      </w:r>
    </w:p>
    <w:p w14:paraId="56D63910" w14:textId="77777777" w:rsidR="00971A1F" w:rsidRPr="00D9348B" w:rsidRDefault="00971A1F" w:rsidP="00971A1F">
      <w:pPr>
        <w:pStyle w:val="Figure"/>
        <w:spacing w:after="60"/>
      </w:pPr>
      <w:bookmarkStart w:id="3043" w:name="_Toc36292835"/>
      <w:r w:rsidRPr="00D9348B">
        <w:t>Figure 10.1.3</w:t>
      </w:r>
      <w:r w:rsidRPr="00D9348B">
        <w:tab/>
        <w:t>Effect of recalculations on the IPPU sector from 1990 to</w:t>
      </w:r>
      <w:bookmarkEnd w:id="3037"/>
      <w:r w:rsidRPr="00D9348B">
        <w:t> 201</w:t>
      </w:r>
      <w:bookmarkEnd w:id="3038"/>
      <w:bookmarkEnd w:id="3039"/>
      <w:bookmarkEnd w:id="3040"/>
      <w:bookmarkEnd w:id="3041"/>
      <w:bookmarkEnd w:id="3042"/>
      <w:r w:rsidRPr="00D9348B">
        <w:t>7</w:t>
      </w:r>
      <w:bookmarkEnd w:id="3043"/>
    </w:p>
    <w:p w14:paraId="7357F4A6" w14:textId="457C1BEC" w:rsidR="00971A1F" w:rsidRPr="00D9348B" w:rsidRDefault="007165CF" w:rsidP="00971A1F">
      <w:pPr>
        <w:spacing w:after="120"/>
      </w:pPr>
      <w:r>
        <w:pict w14:anchorId="22A2AC3C">
          <v:shape id="Picture 3" o:spid="_x0000_i1168" type="#_x0000_t75" style="width:387.55pt;height:196.6pt;visibility:visible;mso-wrap-style:square">
            <v:imagedata r:id="rId275" o:title="" cropbottom="4246f"/>
          </v:shape>
        </w:pict>
      </w:r>
    </w:p>
    <w:p w14:paraId="10517C58" w14:textId="77777777" w:rsidR="00971A1F" w:rsidRPr="00D9348B" w:rsidRDefault="00971A1F" w:rsidP="00971A1F">
      <w:pPr>
        <w:pStyle w:val="Table"/>
      </w:pPr>
      <w:bookmarkStart w:id="3044" w:name="_Toc451176189"/>
      <w:bookmarkStart w:id="3045" w:name="_Toc481751619"/>
      <w:bookmarkStart w:id="3046" w:name="_Toc511116846"/>
      <w:bookmarkStart w:id="3047" w:name="_Toc5269612"/>
      <w:bookmarkStart w:id="3048" w:name="_Toc36224692"/>
      <w:r w:rsidRPr="00D9348B">
        <w:lastRenderedPageBreak/>
        <w:t>Table 10.1.3</w:t>
      </w:r>
      <w:r w:rsidRPr="00D9348B">
        <w:tab/>
        <w:t>Explanations and justifications for recalculations in the IPPU sector</w:t>
      </w:r>
      <w:bookmarkEnd w:id="3044"/>
      <w:bookmarkEnd w:id="3045"/>
      <w:bookmarkEnd w:id="3046"/>
      <w:bookmarkEnd w:id="3047"/>
      <w:bookmarkEnd w:id="3048"/>
    </w:p>
    <w:tbl>
      <w:tblPr>
        <w:tblW w:w="8505" w:type="dxa"/>
        <w:tblInd w:w="108" w:type="dxa"/>
        <w:tblLayout w:type="fixed"/>
        <w:tblLook w:val="04A0" w:firstRow="1" w:lastRow="0" w:firstColumn="1" w:lastColumn="0" w:noHBand="0" w:noVBand="1"/>
      </w:tblPr>
      <w:tblGrid>
        <w:gridCol w:w="3969"/>
        <w:gridCol w:w="1418"/>
        <w:gridCol w:w="3118"/>
      </w:tblGrid>
      <w:tr w:rsidR="000331B3" w:rsidRPr="00D9348B" w14:paraId="748EB803" w14:textId="77777777" w:rsidTr="000331B3">
        <w:trPr>
          <w:tblHeader/>
        </w:trPr>
        <w:tc>
          <w:tcPr>
            <w:tcW w:w="3969" w:type="dxa"/>
            <w:tcBorders>
              <w:top w:val="single" w:sz="4" w:space="0" w:color="365F91"/>
              <w:bottom w:val="single" w:sz="4" w:space="0" w:color="365F91"/>
            </w:tcBorders>
            <w:shd w:val="clear" w:color="auto" w:fill="365F91"/>
            <w:vAlign w:val="bottom"/>
          </w:tcPr>
          <w:p w14:paraId="211BEF26" w14:textId="77777777" w:rsidR="00971A1F" w:rsidRPr="00D9348B" w:rsidRDefault="00971A1F" w:rsidP="00DB330E">
            <w:pPr>
              <w:pStyle w:val="TableTextBold"/>
              <w:keepNext/>
              <w:rPr>
                <w:noProof w:val="0"/>
                <w:color w:val="FFFFFF"/>
              </w:rPr>
            </w:pPr>
            <w:r w:rsidRPr="00D9348B">
              <w:rPr>
                <w:noProof w:val="0"/>
                <w:color w:val="FFFFFF"/>
              </w:rPr>
              <w:t>Explanation of recalculation</w:t>
            </w:r>
          </w:p>
        </w:tc>
        <w:tc>
          <w:tcPr>
            <w:tcW w:w="1418" w:type="dxa"/>
            <w:tcBorders>
              <w:top w:val="single" w:sz="4" w:space="0" w:color="365F91"/>
              <w:bottom w:val="single" w:sz="4" w:space="0" w:color="365F91"/>
            </w:tcBorders>
            <w:shd w:val="clear" w:color="auto" w:fill="365F91"/>
            <w:vAlign w:val="bottom"/>
          </w:tcPr>
          <w:p w14:paraId="47B23A9A" w14:textId="2BCB9FB8" w:rsidR="00971A1F" w:rsidRPr="00D9348B" w:rsidRDefault="00971A1F" w:rsidP="00DB330E">
            <w:pPr>
              <w:pStyle w:val="TableTextBold"/>
              <w:keepNext/>
              <w:rPr>
                <w:noProof w:val="0"/>
                <w:color w:val="FFFFFF"/>
              </w:rPr>
            </w:pPr>
            <w:r w:rsidRPr="00D9348B">
              <w:rPr>
                <w:noProof w:val="0"/>
                <w:color w:val="FFFFFF"/>
              </w:rPr>
              <w:t>Underpinning UNFCCC</w:t>
            </w:r>
            <w:r w:rsidR="000331B3" w:rsidRPr="00D9348B">
              <w:rPr>
                <w:noProof w:val="0"/>
                <w:color w:val="FFFFFF"/>
              </w:rPr>
              <w:t> </w:t>
            </w:r>
            <w:r w:rsidRPr="00D9348B">
              <w:rPr>
                <w:noProof w:val="0"/>
                <w:color w:val="FFFFFF"/>
              </w:rPr>
              <w:t>principle</w:t>
            </w:r>
          </w:p>
        </w:tc>
        <w:tc>
          <w:tcPr>
            <w:tcW w:w="3118" w:type="dxa"/>
            <w:tcBorders>
              <w:top w:val="single" w:sz="4" w:space="0" w:color="365F91"/>
              <w:bottom w:val="single" w:sz="4" w:space="0" w:color="365F91"/>
            </w:tcBorders>
            <w:shd w:val="clear" w:color="auto" w:fill="365F91"/>
            <w:vAlign w:val="bottom"/>
          </w:tcPr>
          <w:p w14:paraId="1B7F0FD2" w14:textId="77777777" w:rsidR="00971A1F" w:rsidRPr="00D9348B" w:rsidRDefault="00971A1F" w:rsidP="00DB330E">
            <w:pPr>
              <w:pStyle w:val="TableTextBold"/>
              <w:keepNext/>
              <w:rPr>
                <w:noProof w:val="0"/>
                <w:color w:val="FFFFFF"/>
              </w:rPr>
            </w:pPr>
            <w:r w:rsidRPr="00D9348B">
              <w:rPr>
                <w:noProof w:val="0"/>
                <w:color w:val="FFFFFF"/>
              </w:rPr>
              <w:t>Additional justification</w:t>
            </w:r>
          </w:p>
        </w:tc>
      </w:tr>
      <w:tr w:rsidR="00971A1F" w:rsidRPr="00D9348B" w14:paraId="6D26B5F4" w14:textId="77777777" w:rsidTr="000331B3">
        <w:tc>
          <w:tcPr>
            <w:tcW w:w="3969" w:type="dxa"/>
            <w:tcBorders>
              <w:top w:val="single" w:sz="4" w:space="0" w:color="365F91"/>
              <w:bottom w:val="single" w:sz="4" w:space="0" w:color="365F91"/>
            </w:tcBorders>
            <w:shd w:val="clear" w:color="auto" w:fill="auto"/>
          </w:tcPr>
          <w:p w14:paraId="22364B4B" w14:textId="77777777" w:rsidR="00971A1F" w:rsidRPr="00D9348B" w:rsidRDefault="00971A1F" w:rsidP="00DB330E">
            <w:pPr>
              <w:pStyle w:val="TableText"/>
            </w:pPr>
            <w:r w:rsidRPr="00D9348B">
              <w:t xml:space="preserve">A minor error was corrected in the </w:t>
            </w:r>
            <w:r w:rsidRPr="00D9348B">
              <w:rPr>
                <w:i/>
              </w:rPr>
              <w:t xml:space="preserve">Foam blowing agents </w:t>
            </w:r>
            <w:r w:rsidRPr="00D9348B">
              <w:t xml:space="preserve">category, adding a small amount to 2017 emissions. </w:t>
            </w:r>
          </w:p>
        </w:tc>
        <w:tc>
          <w:tcPr>
            <w:tcW w:w="1418" w:type="dxa"/>
            <w:tcBorders>
              <w:top w:val="single" w:sz="4" w:space="0" w:color="365F91"/>
              <w:bottom w:val="single" w:sz="4" w:space="0" w:color="365F91"/>
            </w:tcBorders>
            <w:shd w:val="clear" w:color="auto" w:fill="auto"/>
          </w:tcPr>
          <w:p w14:paraId="17F34DFF" w14:textId="77777777" w:rsidR="00971A1F" w:rsidRPr="00D9348B" w:rsidRDefault="00971A1F" w:rsidP="00DB330E">
            <w:pPr>
              <w:pStyle w:val="TableText"/>
            </w:pPr>
            <w:r w:rsidRPr="00D9348B">
              <w:t>Accuracy</w:t>
            </w:r>
          </w:p>
        </w:tc>
        <w:tc>
          <w:tcPr>
            <w:tcW w:w="3118" w:type="dxa"/>
            <w:tcBorders>
              <w:top w:val="single" w:sz="4" w:space="0" w:color="365F91"/>
              <w:bottom w:val="single" w:sz="4" w:space="0" w:color="365F91"/>
            </w:tcBorders>
            <w:shd w:val="clear" w:color="auto" w:fill="auto"/>
          </w:tcPr>
          <w:p w14:paraId="6C03E9A1" w14:textId="77777777" w:rsidR="00971A1F" w:rsidRPr="00D9348B" w:rsidRDefault="00971A1F" w:rsidP="00DB330E">
            <w:pPr>
              <w:pStyle w:val="TableText"/>
            </w:pPr>
            <w:r w:rsidRPr="00D9348B">
              <w:t xml:space="preserve">Correction of an error. </w:t>
            </w:r>
          </w:p>
        </w:tc>
      </w:tr>
      <w:tr w:rsidR="00971A1F" w:rsidRPr="00D9348B" w14:paraId="7EC8054E" w14:textId="77777777" w:rsidTr="000331B3">
        <w:tc>
          <w:tcPr>
            <w:tcW w:w="3969" w:type="dxa"/>
            <w:tcBorders>
              <w:top w:val="single" w:sz="4" w:space="0" w:color="365F91"/>
              <w:bottom w:val="single" w:sz="4" w:space="0" w:color="365F91"/>
            </w:tcBorders>
            <w:shd w:val="clear" w:color="auto" w:fill="auto"/>
          </w:tcPr>
          <w:p w14:paraId="011F4436" w14:textId="77777777" w:rsidR="00971A1F" w:rsidRPr="00D9348B" w:rsidRDefault="00971A1F" w:rsidP="00DB330E">
            <w:pPr>
              <w:pStyle w:val="TableText"/>
            </w:pPr>
            <w:r w:rsidRPr="00D9348B">
              <w:t xml:space="preserve">Emissions in the </w:t>
            </w:r>
            <w:r w:rsidRPr="00D9348B">
              <w:rPr>
                <w:i/>
              </w:rPr>
              <w:t>Refrigeration and air conditioning</w:t>
            </w:r>
            <w:r w:rsidRPr="00D9348B">
              <w:t xml:space="preserve"> category for 2013–17 have been recalculated because of a reassessment of stockpiling by importers and users from time to time, and because of a reassessment of some import data by Statistics New Zealand.</w:t>
            </w:r>
          </w:p>
        </w:tc>
        <w:tc>
          <w:tcPr>
            <w:tcW w:w="1418" w:type="dxa"/>
            <w:tcBorders>
              <w:top w:val="single" w:sz="4" w:space="0" w:color="365F91"/>
              <w:bottom w:val="single" w:sz="4" w:space="0" w:color="365F91"/>
            </w:tcBorders>
            <w:shd w:val="clear" w:color="auto" w:fill="auto"/>
          </w:tcPr>
          <w:p w14:paraId="278874C1" w14:textId="77777777" w:rsidR="00971A1F" w:rsidRPr="00D9348B" w:rsidRDefault="00971A1F" w:rsidP="00DB330E">
            <w:pPr>
              <w:pStyle w:val="TableText"/>
            </w:pPr>
            <w:r w:rsidRPr="00D9348B">
              <w:t>Accuracy</w:t>
            </w:r>
          </w:p>
        </w:tc>
        <w:tc>
          <w:tcPr>
            <w:tcW w:w="3118" w:type="dxa"/>
            <w:tcBorders>
              <w:top w:val="single" w:sz="4" w:space="0" w:color="365F91"/>
              <w:bottom w:val="single" w:sz="4" w:space="0" w:color="365F91"/>
            </w:tcBorders>
            <w:shd w:val="clear" w:color="auto" w:fill="auto"/>
          </w:tcPr>
          <w:p w14:paraId="38F3DF3D" w14:textId="77777777" w:rsidR="00971A1F" w:rsidRPr="00D9348B" w:rsidRDefault="00971A1F" w:rsidP="00DB330E">
            <w:pPr>
              <w:pStyle w:val="TableText"/>
            </w:pPr>
            <w:r w:rsidRPr="00D9348B">
              <w:t>Stockpiling of hydrofluorocarbons (HFCs) in response to price changes and simply because of single large shipments from time to time can create an issue for accurate allocation of emissions over time.</w:t>
            </w:r>
          </w:p>
        </w:tc>
      </w:tr>
      <w:tr w:rsidR="00971A1F" w:rsidRPr="00D9348B" w14:paraId="55577B4C" w14:textId="77777777" w:rsidTr="000331B3">
        <w:tc>
          <w:tcPr>
            <w:tcW w:w="3969" w:type="dxa"/>
            <w:tcBorders>
              <w:top w:val="single" w:sz="4" w:space="0" w:color="365F91"/>
              <w:bottom w:val="single" w:sz="4" w:space="0" w:color="365F91"/>
            </w:tcBorders>
            <w:shd w:val="clear" w:color="auto" w:fill="auto"/>
          </w:tcPr>
          <w:p w14:paraId="5A807746" w14:textId="77777777" w:rsidR="00971A1F" w:rsidRPr="00D9348B" w:rsidRDefault="00971A1F" w:rsidP="00DB330E">
            <w:pPr>
              <w:pStyle w:val="TableText"/>
            </w:pPr>
            <w:r w:rsidRPr="00D9348B">
              <w:t xml:space="preserve">Import data on vehicles for 2017 have been revised by Statistics New Zealand but the effect on emissions from mobile air conditioning has been insignificant. </w:t>
            </w:r>
          </w:p>
        </w:tc>
        <w:tc>
          <w:tcPr>
            <w:tcW w:w="1418" w:type="dxa"/>
            <w:tcBorders>
              <w:top w:val="single" w:sz="4" w:space="0" w:color="365F91"/>
              <w:bottom w:val="single" w:sz="4" w:space="0" w:color="365F91"/>
            </w:tcBorders>
            <w:shd w:val="clear" w:color="auto" w:fill="auto"/>
          </w:tcPr>
          <w:p w14:paraId="0D6C8EAD" w14:textId="77777777" w:rsidR="00971A1F" w:rsidRPr="00D9348B" w:rsidRDefault="00971A1F" w:rsidP="00DB330E">
            <w:pPr>
              <w:pStyle w:val="TableText"/>
            </w:pPr>
            <w:r w:rsidRPr="00D9348B">
              <w:t>Accuracy</w:t>
            </w:r>
          </w:p>
        </w:tc>
        <w:tc>
          <w:tcPr>
            <w:tcW w:w="3118" w:type="dxa"/>
            <w:tcBorders>
              <w:top w:val="single" w:sz="4" w:space="0" w:color="365F91"/>
              <w:bottom w:val="single" w:sz="4" w:space="0" w:color="365F91"/>
            </w:tcBorders>
            <w:shd w:val="clear" w:color="auto" w:fill="auto"/>
          </w:tcPr>
          <w:p w14:paraId="18AA38F3" w14:textId="77777777" w:rsidR="00971A1F" w:rsidRPr="00D9348B" w:rsidRDefault="00971A1F" w:rsidP="00DB330E">
            <w:pPr>
              <w:pStyle w:val="TableText"/>
            </w:pPr>
          </w:p>
        </w:tc>
      </w:tr>
      <w:tr w:rsidR="00971A1F" w:rsidRPr="00D9348B" w14:paraId="183A5993" w14:textId="77777777" w:rsidTr="000331B3">
        <w:tc>
          <w:tcPr>
            <w:tcW w:w="3969" w:type="dxa"/>
            <w:tcBorders>
              <w:top w:val="single" w:sz="4" w:space="0" w:color="365F91"/>
              <w:bottom w:val="single" w:sz="4" w:space="0" w:color="365F91"/>
            </w:tcBorders>
            <w:shd w:val="clear" w:color="auto" w:fill="auto"/>
          </w:tcPr>
          <w:p w14:paraId="1821F538" w14:textId="77777777" w:rsidR="00971A1F" w:rsidRPr="00D9348B" w:rsidRDefault="00971A1F" w:rsidP="00DB330E">
            <w:pPr>
              <w:pStyle w:val="TableText"/>
            </w:pPr>
            <w:r w:rsidRPr="00D9348B">
              <w:t>Emissions of sulphur hexafluoride used in electrical equipment have been recalculated for 2011 on the basis of improved data provided by users.</w:t>
            </w:r>
          </w:p>
        </w:tc>
        <w:tc>
          <w:tcPr>
            <w:tcW w:w="1418" w:type="dxa"/>
            <w:tcBorders>
              <w:top w:val="single" w:sz="4" w:space="0" w:color="365F91"/>
              <w:bottom w:val="single" w:sz="4" w:space="0" w:color="365F91"/>
            </w:tcBorders>
            <w:shd w:val="clear" w:color="auto" w:fill="auto"/>
          </w:tcPr>
          <w:p w14:paraId="69C91A51" w14:textId="77777777" w:rsidR="00971A1F" w:rsidRPr="00D9348B" w:rsidRDefault="00971A1F" w:rsidP="00DB330E">
            <w:pPr>
              <w:pStyle w:val="TableText"/>
            </w:pPr>
            <w:r w:rsidRPr="00D9348B">
              <w:t>Accuracy</w:t>
            </w:r>
          </w:p>
        </w:tc>
        <w:tc>
          <w:tcPr>
            <w:tcW w:w="3118" w:type="dxa"/>
            <w:tcBorders>
              <w:top w:val="single" w:sz="4" w:space="0" w:color="365F91"/>
              <w:bottom w:val="single" w:sz="4" w:space="0" w:color="365F91"/>
            </w:tcBorders>
            <w:shd w:val="clear" w:color="auto" w:fill="auto"/>
          </w:tcPr>
          <w:p w14:paraId="63037F5F" w14:textId="77777777" w:rsidR="00971A1F" w:rsidRPr="00D9348B" w:rsidRDefault="00971A1F" w:rsidP="00DB330E">
            <w:pPr>
              <w:pStyle w:val="TableText"/>
            </w:pPr>
          </w:p>
        </w:tc>
      </w:tr>
    </w:tbl>
    <w:p w14:paraId="118B0BC3" w14:textId="77777777" w:rsidR="00971A1F" w:rsidRPr="00D9348B" w:rsidRDefault="00971A1F" w:rsidP="00DB7FA6">
      <w:pPr>
        <w:pStyle w:val="Heading3"/>
      </w:pPr>
      <w:r w:rsidRPr="00D9348B">
        <w:t>10.1.3</w:t>
      </w:r>
      <w:r w:rsidRPr="00D9348B">
        <w:tab/>
        <w:t>Agriculture</w:t>
      </w:r>
    </w:p>
    <w:p w14:paraId="1E4EE387" w14:textId="77777777" w:rsidR="00971A1F" w:rsidRPr="00D9348B" w:rsidRDefault="00971A1F" w:rsidP="00DB7FA6">
      <w:pPr>
        <w:pStyle w:val="BodyText"/>
        <w:spacing w:before="80"/>
      </w:pPr>
      <w:r w:rsidRPr="00D9348B">
        <w:t>Improvements and recalculations made to the Agriculture sector in the 2020 inventory submission have resulted in a 6.1 per cent (2,075.3 kt CO</w:t>
      </w:r>
      <w:r w:rsidRPr="00D9348B">
        <w:rPr>
          <w:vertAlign w:val="subscript"/>
        </w:rPr>
        <w:t>2</w:t>
      </w:r>
      <w:r w:rsidRPr="00D9348B">
        <w:t>-e) decrease in estimated agricultural emissions in 1990 and a 3.8 per cent (1,462.0 kt CO</w:t>
      </w:r>
      <w:r w:rsidRPr="00D9348B">
        <w:rPr>
          <w:vertAlign w:val="subscript"/>
        </w:rPr>
        <w:t>2</w:t>
      </w:r>
      <w:r w:rsidRPr="00D9348B">
        <w:t>-e) decrease in agricultural emissions in 2018, as shown in figure 10.1.4.</w:t>
      </w:r>
    </w:p>
    <w:p w14:paraId="537B618C" w14:textId="77777777" w:rsidR="00971A1F" w:rsidRPr="00D9348B" w:rsidRDefault="00971A1F" w:rsidP="007A09C6">
      <w:pPr>
        <w:pStyle w:val="Figure"/>
        <w:spacing w:after="0"/>
      </w:pPr>
      <w:bookmarkStart w:id="3049" w:name="_Toc414531639"/>
      <w:bookmarkStart w:id="3050" w:name="_Toc447275723"/>
      <w:bookmarkStart w:id="3051" w:name="_Toc481752042"/>
      <w:bookmarkStart w:id="3052" w:name="_Toc511116996"/>
      <w:bookmarkStart w:id="3053" w:name="_Toc5269731"/>
      <w:bookmarkStart w:id="3054" w:name="_Toc36292836"/>
      <w:r w:rsidRPr="00D9348B">
        <w:t>Figure 10.1.4</w:t>
      </w:r>
      <w:r w:rsidRPr="00D9348B">
        <w:tab/>
        <w:t>Effect of recalculations on New Zealand’s Agriculture sector from 1990 to </w:t>
      </w:r>
      <w:bookmarkEnd w:id="3049"/>
      <w:bookmarkEnd w:id="3050"/>
      <w:bookmarkEnd w:id="3051"/>
      <w:bookmarkEnd w:id="3052"/>
      <w:bookmarkEnd w:id="3053"/>
      <w:r w:rsidRPr="00D9348B">
        <w:t>2017</w:t>
      </w:r>
      <w:bookmarkEnd w:id="3054"/>
    </w:p>
    <w:p w14:paraId="3F5A17D8" w14:textId="3484B71F" w:rsidR="00971A1F" w:rsidRPr="00D9348B" w:rsidRDefault="007165CF" w:rsidP="00971A1F">
      <w:r>
        <w:pict w14:anchorId="0E2B9FCF">
          <v:shape id="Picture 4" o:spid="_x0000_i1169" type="#_x0000_t75" style="width:390.05pt;height:194.7pt;visibility:visible;mso-wrap-style:square">
            <v:imagedata r:id="rId276" o:title="" cropbottom="4450f"/>
          </v:shape>
        </w:pict>
      </w:r>
    </w:p>
    <w:p w14:paraId="7E518717" w14:textId="77777777" w:rsidR="00971A1F" w:rsidRPr="00D9348B" w:rsidRDefault="00971A1F" w:rsidP="000331B3">
      <w:pPr>
        <w:pStyle w:val="BodyText"/>
        <w:spacing w:after="80"/>
      </w:pPr>
      <w:r w:rsidRPr="00D9348B">
        <w:t>The improvements that have been implemented in the 2020 Agriculture inventory are:</w:t>
      </w:r>
    </w:p>
    <w:p w14:paraId="18B88474" w14:textId="77777777" w:rsidR="00971A1F" w:rsidRPr="00D9348B" w:rsidRDefault="00971A1F" w:rsidP="00771A8F">
      <w:pPr>
        <w:pStyle w:val="Bullet"/>
        <w:numPr>
          <w:ilvl w:val="0"/>
          <w:numId w:val="20"/>
        </w:numPr>
        <w:spacing w:after="80"/>
      </w:pPr>
      <w:proofErr w:type="gramStart"/>
      <w:r w:rsidRPr="00D9348B">
        <w:t>use</w:t>
      </w:r>
      <w:proofErr w:type="gramEnd"/>
      <w:r w:rsidRPr="00D9348B">
        <w:t xml:space="preserve"> of new N</w:t>
      </w:r>
      <w:r w:rsidRPr="00D9348B">
        <w:rPr>
          <w:vertAlign w:val="subscript"/>
        </w:rPr>
        <w:t>2</w:t>
      </w:r>
      <w:r w:rsidRPr="00D9348B">
        <w:t>O emission factors from animal excreta (EF</w:t>
      </w:r>
      <w:r w:rsidRPr="00D9348B">
        <w:rPr>
          <w:vertAlign w:val="subscript"/>
        </w:rPr>
        <w:t>3,PRP</w:t>
      </w:r>
      <w:r w:rsidRPr="00D9348B">
        <w:t xml:space="preserve">) split by stock type and hill slope. These are applied using a nutrient transfer model (described in annex 3, section 3.1.3), which calculates the amount of livestock excreta deposited onto different slopes (low, medium and steep) </w:t>
      </w:r>
    </w:p>
    <w:p w14:paraId="79BE1CCB" w14:textId="77777777" w:rsidR="00971A1F" w:rsidRPr="00D9348B" w:rsidRDefault="00971A1F" w:rsidP="00771A8F">
      <w:pPr>
        <w:pStyle w:val="Bullet"/>
        <w:numPr>
          <w:ilvl w:val="0"/>
          <w:numId w:val="20"/>
        </w:numPr>
        <w:spacing w:after="80"/>
      </w:pPr>
      <w:r w:rsidRPr="00D9348B">
        <w:t xml:space="preserve">use of revised activity data for the proportion of dairy goats in the overall farmed goat population </w:t>
      </w:r>
    </w:p>
    <w:p w14:paraId="0D63A2F7" w14:textId="4892EC10" w:rsidR="00971A1F" w:rsidRPr="00D9348B" w:rsidRDefault="00971A1F" w:rsidP="00771A8F">
      <w:pPr>
        <w:pStyle w:val="Bullet"/>
        <w:numPr>
          <w:ilvl w:val="0"/>
          <w:numId w:val="20"/>
        </w:numPr>
        <w:spacing w:after="80"/>
      </w:pPr>
      <w:r w:rsidRPr="00D9348B">
        <w:t>minor improvements to the equations used to estimate energy required for maintenance (k</w:t>
      </w:r>
      <w:r w:rsidRPr="00D9348B">
        <w:rPr>
          <w:vertAlign w:val="subscript"/>
        </w:rPr>
        <w:t>m</w:t>
      </w:r>
      <w:r w:rsidRPr="00D9348B">
        <w:t xml:space="preserve">) for beef cattle, sheep and deer, including the specification of a constant to more significant figures and reverting to the Intergovernmental Panel on Climate Change (IPCC) default value for the gross energy content of feed of 18.45 </w:t>
      </w:r>
      <w:r w:rsidR="004168AB" w:rsidRPr="00D9348B">
        <w:t>megajoules per kilogram of dry matter (</w:t>
      </w:r>
      <w:r w:rsidRPr="00D9348B">
        <w:t xml:space="preserve">MJ/kg </w:t>
      </w:r>
      <w:r w:rsidR="002117C8" w:rsidRPr="00D9348B">
        <w:t>DM)</w:t>
      </w:r>
      <w:r w:rsidRPr="00D9348B">
        <w:t>, following recommendations from the Agriculture Inventory Advisory Panel in 2019.</w:t>
      </w:r>
    </w:p>
    <w:p w14:paraId="426FA417" w14:textId="77777777" w:rsidR="00971A1F" w:rsidRPr="00D9348B" w:rsidRDefault="00971A1F" w:rsidP="00971A1F">
      <w:pPr>
        <w:pStyle w:val="BodyText"/>
      </w:pPr>
      <w:r w:rsidRPr="00D9348B">
        <w:lastRenderedPageBreak/>
        <w:t>Emissions estimates from livestock have also been updated using the latest available activity data from the sources described in chapter 5, section 5.1.4.</w:t>
      </w:r>
    </w:p>
    <w:p w14:paraId="4FF6CF56" w14:textId="5163E793" w:rsidR="00971A1F" w:rsidRPr="00D9348B" w:rsidRDefault="00971A1F" w:rsidP="002117C8">
      <w:pPr>
        <w:pStyle w:val="Heading5"/>
        <w:spacing w:before="160"/>
      </w:pPr>
      <w:r w:rsidRPr="00D9348B">
        <w:t>New EF</w:t>
      </w:r>
      <w:r w:rsidRPr="00D9348B">
        <w:rPr>
          <w:vertAlign w:val="subscript"/>
        </w:rPr>
        <w:t>3</w:t>
      </w:r>
      <w:r w:rsidRPr="00D9348B">
        <w:t xml:space="preserve"> emission factor values for cattle, sheep and deer, and new methodology to</w:t>
      </w:r>
      <w:r w:rsidR="00C21F88" w:rsidRPr="00D9348B">
        <w:t> </w:t>
      </w:r>
      <w:r w:rsidRPr="00D9348B">
        <w:t>allocate</w:t>
      </w:r>
      <w:r w:rsidR="00C21F88" w:rsidRPr="00D9348B">
        <w:t> </w:t>
      </w:r>
      <w:r w:rsidRPr="00D9348B">
        <w:t>nitrogen excretion to different hill slopes</w:t>
      </w:r>
    </w:p>
    <w:p w14:paraId="4A7CECEF" w14:textId="77777777" w:rsidR="00971A1F" w:rsidRPr="00D9348B" w:rsidRDefault="00971A1F" w:rsidP="00971A1F">
      <w:pPr>
        <w:pStyle w:val="BodyText"/>
      </w:pPr>
      <w:r w:rsidRPr="00D9348B">
        <w:t>For the 2020 inventory submission, a new set of emission factors to calculate N</w:t>
      </w:r>
      <w:r w:rsidRPr="00D9348B">
        <w:rPr>
          <w:vertAlign w:val="subscript"/>
        </w:rPr>
        <w:t>2</w:t>
      </w:r>
      <w:r w:rsidRPr="00D9348B">
        <w:t>O emissions for sheep, deer, beef cattle and dairy cattle from dung and urine deposited directly onto pasture (EF</w:t>
      </w:r>
      <w:r w:rsidRPr="00D9348B">
        <w:rPr>
          <w:vertAlign w:val="subscript"/>
        </w:rPr>
        <w:t>3,PRP</w:t>
      </w:r>
      <w:r w:rsidRPr="00D9348B">
        <w:t xml:space="preserve">) has been adopted based on meta-analysis on current research by van der Weerden et al. (2019). More information on the body of research presented by the meta-analysis and the new emission factors are in chapter 5, section 5.5.2, under </w:t>
      </w:r>
      <w:r w:rsidRPr="00D9348B">
        <w:rPr>
          <w:i/>
        </w:rPr>
        <w:t>Urine and dung deposited by grazing animals (CRF 3.D.1.3)</w:t>
      </w:r>
      <w:r w:rsidRPr="00D9348B">
        <w:t>.</w:t>
      </w:r>
    </w:p>
    <w:p w14:paraId="359A6CBC" w14:textId="77777777" w:rsidR="00971A1F" w:rsidRPr="00D9348B" w:rsidRDefault="00971A1F" w:rsidP="00971A1F">
      <w:pPr>
        <w:pStyle w:val="BodyText"/>
      </w:pPr>
      <w:r w:rsidRPr="00D9348B">
        <w:t>As part of this inventory improvement, a nutrient transfer model developed by Saggar et al. (2015) is used to allocate total urine and dung N</w:t>
      </w:r>
      <w:r w:rsidRPr="00D9348B">
        <w:rPr>
          <w:vertAlign w:val="subscript"/>
        </w:rPr>
        <w:t>ex</w:t>
      </w:r>
      <w:r w:rsidRPr="00D9348B">
        <w:t xml:space="preserve"> (calculated using the methods described in chapter 5, section 5.3) to the different hill slope categories. The nutrient transfer model uses data on the area of farm land under different slope classes, and accounts for animal behaviour where livestock spend more time on lower slopes relative to steeper slopes. For more information on this model, please refer to annex 3, section 3.1.3.</w:t>
      </w:r>
    </w:p>
    <w:p w14:paraId="004A2EF5" w14:textId="77777777" w:rsidR="00971A1F" w:rsidRPr="00D9348B" w:rsidRDefault="00971A1F" w:rsidP="00971A1F">
      <w:pPr>
        <w:pStyle w:val="BodyText"/>
      </w:pPr>
      <w:r w:rsidRPr="00D9348B">
        <w:t>In the previous inventory submissions, an EF</w:t>
      </w:r>
      <w:r w:rsidRPr="00D9348B">
        <w:rPr>
          <w:vertAlign w:val="subscript"/>
        </w:rPr>
        <w:t>3</w:t>
      </w:r>
      <w:proofErr w:type="gramStart"/>
      <w:r w:rsidRPr="00D9348B">
        <w:rPr>
          <w:vertAlign w:val="subscript"/>
        </w:rPr>
        <w:t>,PRP</w:t>
      </w:r>
      <w:proofErr w:type="gramEnd"/>
      <w:r w:rsidRPr="00D9348B" w:rsidDel="00467F93">
        <w:t xml:space="preserve"> </w:t>
      </w:r>
      <w:r w:rsidRPr="00D9348B">
        <w:t>emission factor of 0.01 was used for urine from cattle, sheep and deer, and an EF</w:t>
      </w:r>
      <w:r w:rsidRPr="00D9348B">
        <w:rPr>
          <w:vertAlign w:val="subscript"/>
        </w:rPr>
        <w:t>3,PRP</w:t>
      </w:r>
      <w:r w:rsidRPr="00D9348B" w:rsidDel="00467F93">
        <w:t xml:space="preserve"> </w:t>
      </w:r>
      <w:r w:rsidRPr="00D9348B">
        <w:t>emission factor of 0.0025 was used for dung from cattle, sheep and deer.</w:t>
      </w:r>
    </w:p>
    <w:p w14:paraId="38F82B7F" w14:textId="77777777" w:rsidR="00971A1F" w:rsidRPr="00D9348B" w:rsidRDefault="00971A1F" w:rsidP="00971A1F">
      <w:pPr>
        <w:pStyle w:val="BodyText"/>
      </w:pPr>
      <w:r w:rsidRPr="00D9348B">
        <w:t>The implementation of the updated emission factors and associated methodology change caused estimated emissions from the Agriculture sector to decrease by 6.5 per cent in 1990 and 4.3 per cent in 2018 (see table 10.1.4).</w:t>
      </w:r>
    </w:p>
    <w:p w14:paraId="23A96D59" w14:textId="5F9819BD" w:rsidR="00971A1F" w:rsidRPr="00D9348B" w:rsidRDefault="00971A1F" w:rsidP="00971A1F">
      <w:pPr>
        <w:pStyle w:val="Table"/>
      </w:pPr>
      <w:bookmarkStart w:id="3055" w:name="_Toc5269613"/>
      <w:bookmarkStart w:id="3056" w:name="_Toc36224693"/>
      <w:r w:rsidRPr="00D9348B">
        <w:t>Table 10.1.4</w:t>
      </w:r>
      <w:r w:rsidRPr="00D9348B">
        <w:tab/>
        <w:t>Effect of revised EF</w:t>
      </w:r>
      <w:r w:rsidRPr="00D9348B">
        <w:rPr>
          <w:vertAlign w:val="subscript"/>
        </w:rPr>
        <w:t>3</w:t>
      </w:r>
      <w:proofErr w:type="gramStart"/>
      <w:r w:rsidRPr="00D9348B">
        <w:rPr>
          <w:vertAlign w:val="subscript"/>
        </w:rPr>
        <w:t>,PRP</w:t>
      </w:r>
      <w:proofErr w:type="gramEnd"/>
      <w:r w:rsidRPr="00D9348B">
        <w:t xml:space="preserve"> values for cattle, sheep and deer, and new methodology to</w:t>
      </w:r>
      <w:r w:rsidR="00695807" w:rsidRPr="00D9348B">
        <w:t> </w:t>
      </w:r>
      <w:r w:rsidRPr="00D9348B">
        <w:t>allocate N</w:t>
      </w:r>
      <w:r w:rsidRPr="00D9348B">
        <w:rPr>
          <w:vertAlign w:val="subscript"/>
        </w:rPr>
        <w:t>ex</w:t>
      </w:r>
      <w:r w:rsidR="00695807" w:rsidRPr="00D9348B">
        <w:t> </w:t>
      </w:r>
      <w:r w:rsidRPr="00D9348B">
        <w:t>to different hill slopes on agricultural emissions estimates, 1990</w:t>
      </w:r>
      <w:r w:rsidR="00695807" w:rsidRPr="00D9348B">
        <w:t> </w:t>
      </w:r>
      <w:r w:rsidRPr="00D9348B">
        <w:t>to</w:t>
      </w:r>
      <w:r w:rsidR="00695807" w:rsidRPr="00D9348B">
        <w:t> </w:t>
      </w:r>
      <w:r w:rsidRPr="00D9348B">
        <w:t>2018</w:t>
      </w:r>
      <w:bookmarkEnd w:id="3055"/>
      <w:bookmarkEnd w:id="3056"/>
    </w:p>
    <w:tbl>
      <w:tblPr>
        <w:tblW w:w="8562" w:type="dxa"/>
        <w:tblInd w:w="108" w:type="dxa"/>
        <w:tblBorders>
          <w:top w:val="single" w:sz="4" w:space="0" w:color="365F91"/>
          <w:bottom w:val="single" w:sz="4" w:space="0" w:color="365F91"/>
          <w:insideH w:val="single" w:sz="4" w:space="0" w:color="365F91"/>
        </w:tblBorders>
        <w:tblCellMar>
          <w:right w:w="85" w:type="dxa"/>
        </w:tblCellMar>
        <w:tblLook w:val="0000" w:firstRow="0" w:lastRow="0" w:firstColumn="0" w:lastColumn="0" w:noHBand="0" w:noVBand="0"/>
      </w:tblPr>
      <w:tblGrid>
        <w:gridCol w:w="1611"/>
        <w:gridCol w:w="2075"/>
        <w:gridCol w:w="850"/>
        <w:gridCol w:w="851"/>
        <w:gridCol w:w="1559"/>
        <w:gridCol w:w="1616"/>
      </w:tblGrid>
      <w:tr w:rsidR="00971A1F" w:rsidRPr="00D9348B" w14:paraId="5FE501CF" w14:textId="77777777" w:rsidTr="004D50CC">
        <w:trPr>
          <w:tblHeader/>
        </w:trPr>
        <w:tc>
          <w:tcPr>
            <w:tcW w:w="3686" w:type="dxa"/>
            <w:gridSpan w:val="2"/>
            <w:vMerge w:val="restart"/>
            <w:shd w:val="clear" w:color="auto" w:fill="365F91"/>
            <w:vAlign w:val="bottom"/>
          </w:tcPr>
          <w:p w14:paraId="35D4B8C3" w14:textId="77777777" w:rsidR="00971A1F" w:rsidRPr="00D9348B" w:rsidRDefault="00971A1F" w:rsidP="00DB330E">
            <w:pPr>
              <w:pStyle w:val="TableTextBold"/>
              <w:keepNext/>
              <w:rPr>
                <w:rFonts w:cs="Arial"/>
                <w:noProof w:val="0"/>
                <w:color w:val="FFFFFF"/>
                <w:szCs w:val="16"/>
              </w:rPr>
            </w:pPr>
          </w:p>
        </w:tc>
        <w:tc>
          <w:tcPr>
            <w:tcW w:w="1701" w:type="dxa"/>
            <w:gridSpan w:val="2"/>
            <w:shd w:val="clear" w:color="auto" w:fill="365F91"/>
            <w:vAlign w:val="bottom"/>
          </w:tcPr>
          <w:p w14:paraId="3CC0EAFB" w14:textId="77777777" w:rsidR="00971A1F" w:rsidRPr="00D9348B" w:rsidRDefault="00971A1F" w:rsidP="00DB330E">
            <w:pPr>
              <w:pStyle w:val="TableTextBold"/>
              <w:jc w:val="center"/>
              <w:rPr>
                <w:rFonts w:cs="Arial"/>
                <w:noProof w:val="0"/>
                <w:color w:val="FFFFFF"/>
              </w:rPr>
            </w:pPr>
          </w:p>
        </w:tc>
        <w:tc>
          <w:tcPr>
            <w:tcW w:w="1559" w:type="dxa"/>
            <w:vMerge w:val="restart"/>
            <w:shd w:val="clear" w:color="auto" w:fill="365F91"/>
            <w:vAlign w:val="bottom"/>
          </w:tcPr>
          <w:p w14:paraId="5003665D" w14:textId="77777777" w:rsidR="00971A1F" w:rsidRPr="00D9348B" w:rsidRDefault="00971A1F" w:rsidP="00DB330E">
            <w:pPr>
              <w:pStyle w:val="TableTextBold"/>
              <w:jc w:val="center"/>
              <w:rPr>
                <w:rFonts w:cs="Arial"/>
                <w:noProof w:val="0"/>
                <w:color w:val="FFFFFF"/>
                <w:szCs w:val="16"/>
              </w:rPr>
            </w:pPr>
            <w:r w:rsidRPr="00D9348B">
              <w:rPr>
                <w:rFonts w:cs="Arial"/>
                <w:noProof w:val="0"/>
                <w:color w:val="FFFFFF"/>
                <w:szCs w:val="16"/>
              </w:rPr>
              <w:t>Change in emission outputs between 1990 and 2018 (kt CO</w:t>
            </w:r>
            <w:r w:rsidRPr="00D9348B">
              <w:rPr>
                <w:rFonts w:cs="Arial"/>
                <w:noProof w:val="0"/>
                <w:color w:val="FFFFFF"/>
                <w:szCs w:val="16"/>
                <w:vertAlign w:val="subscript"/>
              </w:rPr>
              <w:t>2</w:t>
            </w:r>
            <w:r w:rsidRPr="00D9348B">
              <w:rPr>
                <w:rFonts w:cs="Arial"/>
                <w:noProof w:val="0"/>
                <w:color w:val="FFFFFF"/>
                <w:szCs w:val="16"/>
              </w:rPr>
              <w:t xml:space="preserve">-e) </w:t>
            </w:r>
          </w:p>
        </w:tc>
        <w:tc>
          <w:tcPr>
            <w:tcW w:w="1616" w:type="dxa"/>
            <w:vMerge w:val="restart"/>
            <w:shd w:val="clear" w:color="auto" w:fill="365F91"/>
            <w:vAlign w:val="bottom"/>
          </w:tcPr>
          <w:p w14:paraId="2D7AED0E" w14:textId="77777777" w:rsidR="00971A1F" w:rsidRPr="00D9348B" w:rsidRDefault="00971A1F" w:rsidP="00DB330E">
            <w:pPr>
              <w:pStyle w:val="TableTextBold"/>
              <w:jc w:val="center"/>
              <w:rPr>
                <w:rFonts w:cs="Arial"/>
                <w:noProof w:val="0"/>
                <w:color w:val="FFFFFF"/>
                <w:szCs w:val="16"/>
              </w:rPr>
            </w:pPr>
            <w:r w:rsidRPr="00D9348B">
              <w:rPr>
                <w:rFonts w:cs="Arial"/>
                <w:noProof w:val="0"/>
                <w:color w:val="FFFFFF"/>
                <w:szCs w:val="16"/>
              </w:rPr>
              <w:t>Percentage change in emission outputs between 1990 and 2018</w:t>
            </w:r>
          </w:p>
        </w:tc>
      </w:tr>
      <w:tr w:rsidR="00971A1F" w:rsidRPr="00D9348B" w14:paraId="4FAA0DF1" w14:textId="77777777" w:rsidTr="004D50CC">
        <w:trPr>
          <w:trHeight w:val="513"/>
          <w:tblHeader/>
        </w:trPr>
        <w:tc>
          <w:tcPr>
            <w:tcW w:w="3686" w:type="dxa"/>
            <w:gridSpan w:val="2"/>
            <w:vMerge/>
            <w:shd w:val="clear" w:color="auto" w:fill="365F91"/>
            <w:vAlign w:val="bottom"/>
          </w:tcPr>
          <w:p w14:paraId="6F83463A" w14:textId="77777777" w:rsidR="00971A1F" w:rsidRPr="00D9348B" w:rsidRDefault="00971A1F" w:rsidP="00DB330E">
            <w:pPr>
              <w:pStyle w:val="TableTextBold"/>
              <w:keepNext/>
              <w:rPr>
                <w:rFonts w:cs="Arial"/>
                <w:noProof w:val="0"/>
                <w:color w:val="FFFFFF"/>
                <w:szCs w:val="16"/>
              </w:rPr>
            </w:pPr>
          </w:p>
        </w:tc>
        <w:tc>
          <w:tcPr>
            <w:tcW w:w="850" w:type="dxa"/>
            <w:shd w:val="clear" w:color="auto" w:fill="365F91"/>
            <w:vAlign w:val="bottom"/>
          </w:tcPr>
          <w:p w14:paraId="1A2A0BB8" w14:textId="77777777" w:rsidR="00971A1F" w:rsidRPr="00D9348B" w:rsidRDefault="00971A1F" w:rsidP="00DB330E">
            <w:pPr>
              <w:pStyle w:val="TableTextBold"/>
              <w:keepNext/>
              <w:jc w:val="center"/>
              <w:rPr>
                <w:rFonts w:cs="Arial"/>
                <w:noProof w:val="0"/>
                <w:color w:val="FFFFFF"/>
              </w:rPr>
            </w:pPr>
            <w:r w:rsidRPr="00D9348B">
              <w:rPr>
                <w:rFonts w:cs="Arial"/>
                <w:noProof w:val="0"/>
                <w:color w:val="FFFFFF"/>
              </w:rPr>
              <w:t>1990</w:t>
            </w:r>
          </w:p>
        </w:tc>
        <w:tc>
          <w:tcPr>
            <w:tcW w:w="851" w:type="dxa"/>
            <w:shd w:val="clear" w:color="auto" w:fill="365F91"/>
            <w:vAlign w:val="bottom"/>
          </w:tcPr>
          <w:p w14:paraId="5A105401" w14:textId="77777777" w:rsidR="00971A1F" w:rsidRPr="00D9348B" w:rsidRDefault="00971A1F" w:rsidP="00DB330E">
            <w:pPr>
              <w:pStyle w:val="TableTextBold"/>
              <w:jc w:val="center"/>
              <w:rPr>
                <w:rFonts w:cs="Arial"/>
                <w:noProof w:val="0"/>
                <w:color w:val="FFFFFF"/>
              </w:rPr>
            </w:pPr>
            <w:r w:rsidRPr="00D9348B">
              <w:rPr>
                <w:rFonts w:cs="Arial"/>
                <w:noProof w:val="0"/>
                <w:color w:val="FFFFFF"/>
              </w:rPr>
              <w:t>2018</w:t>
            </w:r>
          </w:p>
        </w:tc>
        <w:tc>
          <w:tcPr>
            <w:tcW w:w="1559" w:type="dxa"/>
            <w:vMerge/>
            <w:shd w:val="clear" w:color="auto" w:fill="365F91"/>
            <w:vAlign w:val="bottom"/>
          </w:tcPr>
          <w:p w14:paraId="3F73931D" w14:textId="77777777" w:rsidR="00971A1F" w:rsidRPr="00D9348B" w:rsidRDefault="00971A1F" w:rsidP="00DB330E">
            <w:pPr>
              <w:pStyle w:val="TableTextBold"/>
              <w:jc w:val="center"/>
              <w:rPr>
                <w:rFonts w:cs="Arial"/>
                <w:noProof w:val="0"/>
                <w:color w:val="FFFFFF"/>
                <w:szCs w:val="16"/>
              </w:rPr>
            </w:pPr>
          </w:p>
        </w:tc>
        <w:tc>
          <w:tcPr>
            <w:tcW w:w="1616" w:type="dxa"/>
            <w:vMerge/>
            <w:shd w:val="clear" w:color="auto" w:fill="365F91"/>
            <w:vAlign w:val="bottom"/>
          </w:tcPr>
          <w:p w14:paraId="4FDF96D3" w14:textId="77777777" w:rsidR="00971A1F" w:rsidRPr="00D9348B" w:rsidRDefault="00971A1F" w:rsidP="00DB330E">
            <w:pPr>
              <w:pStyle w:val="TableTextBold"/>
              <w:jc w:val="center"/>
              <w:rPr>
                <w:rFonts w:cs="Arial"/>
                <w:noProof w:val="0"/>
                <w:color w:val="FFFFFF"/>
                <w:szCs w:val="16"/>
              </w:rPr>
            </w:pPr>
          </w:p>
        </w:tc>
      </w:tr>
      <w:tr w:rsidR="00971A1F" w:rsidRPr="00D9348B" w14:paraId="091CB4D4" w14:textId="77777777" w:rsidTr="004D50CC">
        <w:trPr>
          <w:trHeight w:val="454"/>
        </w:trPr>
        <w:tc>
          <w:tcPr>
            <w:tcW w:w="1611" w:type="dxa"/>
            <w:vMerge w:val="restart"/>
            <w:vAlign w:val="center"/>
          </w:tcPr>
          <w:p w14:paraId="49E5C8F7" w14:textId="77777777" w:rsidR="00971A1F" w:rsidRPr="00D9348B" w:rsidRDefault="00971A1F" w:rsidP="00DB330E">
            <w:pPr>
              <w:pStyle w:val="TableText"/>
              <w:keepNext/>
            </w:pPr>
            <w:r w:rsidRPr="00D9348B">
              <w:t>Total emissions from Agriculture category (kt CO</w:t>
            </w:r>
            <w:r w:rsidRPr="00D9348B">
              <w:rPr>
                <w:vertAlign w:val="subscript"/>
              </w:rPr>
              <w:t>2</w:t>
            </w:r>
            <w:r w:rsidRPr="00D9348B">
              <w:t>-e)</w:t>
            </w:r>
          </w:p>
        </w:tc>
        <w:tc>
          <w:tcPr>
            <w:tcW w:w="2075" w:type="dxa"/>
          </w:tcPr>
          <w:p w14:paraId="0F5B9396" w14:textId="77777777" w:rsidR="00971A1F" w:rsidRPr="00D9348B" w:rsidRDefault="00971A1F" w:rsidP="00DB330E">
            <w:pPr>
              <w:pStyle w:val="TableText"/>
              <w:keepNext/>
            </w:pPr>
            <w:r w:rsidRPr="00D9348B">
              <w:t xml:space="preserve">2020 (1990–2018) emissions estimate </w:t>
            </w:r>
            <w:r w:rsidRPr="00D9348B">
              <w:rPr>
                <w:i/>
              </w:rPr>
              <w:t>with previous</w:t>
            </w:r>
            <w:r w:rsidRPr="00D9348B">
              <w:t xml:space="preserve"> emission factors and methodology </w:t>
            </w:r>
          </w:p>
        </w:tc>
        <w:tc>
          <w:tcPr>
            <w:tcW w:w="850" w:type="dxa"/>
            <w:vAlign w:val="center"/>
          </w:tcPr>
          <w:p w14:paraId="47398B87" w14:textId="77777777" w:rsidR="00971A1F" w:rsidRPr="00D9348B" w:rsidRDefault="00971A1F" w:rsidP="00DB330E">
            <w:pPr>
              <w:pStyle w:val="TableText"/>
              <w:keepNext/>
              <w:jc w:val="center"/>
              <w:rPr>
                <w:rFonts w:cs="Arial"/>
              </w:rPr>
            </w:pPr>
            <w:r w:rsidRPr="00D9348B">
              <w:t>34,425.4</w:t>
            </w:r>
          </w:p>
        </w:tc>
        <w:tc>
          <w:tcPr>
            <w:tcW w:w="851" w:type="dxa"/>
            <w:vAlign w:val="center"/>
          </w:tcPr>
          <w:p w14:paraId="05AA9011" w14:textId="77777777" w:rsidR="00971A1F" w:rsidRPr="00D9348B" w:rsidRDefault="00971A1F" w:rsidP="00DB330E">
            <w:pPr>
              <w:pStyle w:val="TableText"/>
              <w:jc w:val="center"/>
              <w:rPr>
                <w:rFonts w:cs="Arial"/>
              </w:rPr>
            </w:pPr>
            <w:r w:rsidRPr="00D9348B">
              <w:t>39,370.4</w:t>
            </w:r>
          </w:p>
        </w:tc>
        <w:tc>
          <w:tcPr>
            <w:tcW w:w="1559" w:type="dxa"/>
            <w:vAlign w:val="center"/>
          </w:tcPr>
          <w:p w14:paraId="7B657D5E" w14:textId="77777777" w:rsidR="00971A1F" w:rsidRPr="00D9348B" w:rsidRDefault="00971A1F" w:rsidP="00DB330E">
            <w:pPr>
              <w:pStyle w:val="TableText"/>
              <w:jc w:val="center"/>
              <w:rPr>
                <w:rFonts w:cs="Arial"/>
              </w:rPr>
            </w:pPr>
            <w:r w:rsidRPr="00D9348B">
              <w:t>4,945.1</w:t>
            </w:r>
          </w:p>
        </w:tc>
        <w:tc>
          <w:tcPr>
            <w:tcW w:w="1616" w:type="dxa"/>
            <w:vAlign w:val="center"/>
          </w:tcPr>
          <w:p w14:paraId="7F876AE4" w14:textId="77777777" w:rsidR="00971A1F" w:rsidRPr="00D9348B" w:rsidRDefault="00971A1F" w:rsidP="00DB330E">
            <w:pPr>
              <w:pStyle w:val="TableText"/>
              <w:jc w:val="center"/>
              <w:rPr>
                <w:rFonts w:cs="Arial"/>
              </w:rPr>
            </w:pPr>
            <w:r w:rsidRPr="00D9348B">
              <w:t>14.4</w:t>
            </w:r>
          </w:p>
        </w:tc>
      </w:tr>
      <w:tr w:rsidR="00971A1F" w:rsidRPr="00D9348B" w14:paraId="3822D75F" w14:textId="77777777" w:rsidTr="004D50CC">
        <w:trPr>
          <w:trHeight w:val="454"/>
        </w:trPr>
        <w:tc>
          <w:tcPr>
            <w:tcW w:w="1611" w:type="dxa"/>
            <w:vMerge/>
          </w:tcPr>
          <w:p w14:paraId="2D51D034" w14:textId="77777777" w:rsidR="00971A1F" w:rsidRPr="00D9348B" w:rsidRDefault="00971A1F" w:rsidP="00DB330E">
            <w:pPr>
              <w:pStyle w:val="TableText"/>
              <w:keepNext/>
            </w:pPr>
          </w:p>
        </w:tc>
        <w:tc>
          <w:tcPr>
            <w:tcW w:w="2075" w:type="dxa"/>
          </w:tcPr>
          <w:p w14:paraId="36AD34A8" w14:textId="77777777" w:rsidR="00971A1F" w:rsidRPr="00D9348B" w:rsidRDefault="00971A1F" w:rsidP="00DB330E">
            <w:pPr>
              <w:pStyle w:val="TableText"/>
              <w:keepNext/>
            </w:pPr>
            <w:r w:rsidRPr="00D9348B">
              <w:t xml:space="preserve">2020 (1990–2018) emissions estimate </w:t>
            </w:r>
            <w:r w:rsidRPr="00D9348B">
              <w:rPr>
                <w:i/>
              </w:rPr>
              <w:t>with new</w:t>
            </w:r>
            <w:r w:rsidRPr="00D9348B">
              <w:t xml:space="preserve"> emission factors and methodology </w:t>
            </w:r>
          </w:p>
        </w:tc>
        <w:tc>
          <w:tcPr>
            <w:tcW w:w="850" w:type="dxa"/>
            <w:vAlign w:val="center"/>
          </w:tcPr>
          <w:p w14:paraId="2DC9DBBC" w14:textId="77777777" w:rsidR="00971A1F" w:rsidRPr="00D9348B" w:rsidRDefault="00971A1F" w:rsidP="00DB330E">
            <w:pPr>
              <w:pStyle w:val="TableText"/>
              <w:keepNext/>
              <w:jc w:val="center"/>
              <w:rPr>
                <w:rFonts w:cs="Arial"/>
              </w:rPr>
            </w:pPr>
            <w:r w:rsidRPr="00D9348B">
              <w:t>32,182.0</w:t>
            </w:r>
          </w:p>
        </w:tc>
        <w:tc>
          <w:tcPr>
            <w:tcW w:w="851" w:type="dxa"/>
            <w:vAlign w:val="center"/>
          </w:tcPr>
          <w:p w14:paraId="33FF98CF" w14:textId="77777777" w:rsidR="00971A1F" w:rsidRPr="00D9348B" w:rsidRDefault="00971A1F" w:rsidP="00DB330E">
            <w:pPr>
              <w:pStyle w:val="TableText"/>
              <w:jc w:val="center"/>
              <w:rPr>
                <w:rFonts w:cs="Arial"/>
              </w:rPr>
            </w:pPr>
            <w:r w:rsidRPr="00D9348B">
              <w:t>37,697.0</w:t>
            </w:r>
          </w:p>
        </w:tc>
        <w:tc>
          <w:tcPr>
            <w:tcW w:w="1559" w:type="dxa"/>
            <w:vAlign w:val="center"/>
          </w:tcPr>
          <w:p w14:paraId="6F960B0C" w14:textId="77777777" w:rsidR="00971A1F" w:rsidRPr="00D9348B" w:rsidRDefault="00971A1F" w:rsidP="00DB330E">
            <w:pPr>
              <w:pStyle w:val="TableText"/>
              <w:jc w:val="center"/>
              <w:rPr>
                <w:rFonts w:cs="Arial"/>
              </w:rPr>
            </w:pPr>
            <w:r w:rsidRPr="00D9348B">
              <w:t>5,515.0</w:t>
            </w:r>
          </w:p>
        </w:tc>
        <w:tc>
          <w:tcPr>
            <w:tcW w:w="1616" w:type="dxa"/>
            <w:vAlign w:val="center"/>
          </w:tcPr>
          <w:p w14:paraId="6A32C0FF" w14:textId="77777777" w:rsidR="00971A1F" w:rsidRPr="00D9348B" w:rsidRDefault="00971A1F" w:rsidP="00DB330E">
            <w:pPr>
              <w:pStyle w:val="TableText"/>
              <w:jc w:val="center"/>
              <w:rPr>
                <w:rFonts w:cs="Arial"/>
              </w:rPr>
            </w:pPr>
            <w:r w:rsidRPr="00D9348B">
              <w:t>17.1</w:t>
            </w:r>
          </w:p>
        </w:tc>
      </w:tr>
      <w:tr w:rsidR="00971A1F" w:rsidRPr="00D9348B" w14:paraId="73C31256" w14:textId="77777777" w:rsidTr="004D50CC">
        <w:trPr>
          <w:trHeight w:val="454"/>
        </w:trPr>
        <w:tc>
          <w:tcPr>
            <w:tcW w:w="1611" w:type="dxa"/>
            <w:vMerge/>
          </w:tcPr>
          <w:p w14:paraId="2BAD1E19" w14:textId="77777777" w:rsidR="00971A1F" w:rsidRPr="00D9348B" w:rsidRDefault="00971A1F" w:rsidP="00DB330E">
            <w:pPr>
              <w:pStyle w:val="TableText"/>
              <w:keepNext/>
            </w:pPr>
          </w:p>
        </w:tc>
        <w:tc>
          <w:tcPr>
            <w:tcW w:w="2075" w:type="dxa"/>
          </w:tcPr>
          <w:p w14:paraId="2B685C9B" w14:textId="77777777" w:rsidR="00971A1F" w:rsidRPr="00D9348B" w:rsidRDefault="00971A1F" w:rsidP="00DB330E">
            <w:pPr>
              <w:pStyle w:val="TableText"/>
              <w:keepNext/>
            </w:pPr>
            <w:r w:rsidRPr="00D9348B">
              <w:t>Difference in emissions estimates compared with previous inventory</w:t>
            </w:r>
          </w:p>
        </w:tc>
        <w:tc>
          <w:tcPr>
            <w:tcW w:w="850" w:type="dxa"/>
            <w:vAlign w:val="center"/>
          </w:tcPr>
          <w:p w14:paraId="5DB570A3" w14:textId="77777777" w:rsidR="00971A1F" w:rsidRPr="00D9348B" w:rsidRDefault="00971A1F" w:rsidP="00DB330E">
            <w:pPr>
              <w:pStyle w:val="TableText"/>
              <w:keepNext/>
              <w:jc w:val="center"/>
              <w:rPr>
                <w:rFonts w:cs="Arial"/>
              </w:rPr>
            </w:pPr>
            <w:r w:rsidRPr="00D9348B">
              <w:t>–2,243.4</w:t>
            </w:r>
          </w:p>
        </w:tc>
        <w:tc>
          <w:tcPr>
            <w:tcW w:w="851" w:type="dxa"/>
            <w:vAlign w:val="center"/>
          </w:tcPr>
          <w:p w14:paraId="14AEFE40" w14:textId="77777777" w:rsidR="00971A1F" w:rsidRPr="00D9348B" w:rsidRDefault="00971A1F" w:rsidP="00DB330E">
            <w:pPr>
              <w:pStyle w:val="TableText"/>
              <w:jc w:val="center"/>
              <w:rPr>
                <w:rFonts w:cs="Arial"/>
              </w:rPr>
            </w:pPr>
            <w:r w:rsidRPr="00D9348B">
              <w:t>–1,673.5</w:t>
            </w:r>
          </w:p>
        </w:tc>
        <w:tc>
          <w:tcPr>
            <w:tcW w:w="1559" w:type="dxa"/>
            <w:vAlign w:val="center"/>
          </w:tcPr>
          <w:p w14:paraId="185C9958" w14:textId="77777777" w:rsidR="00971A1F" w:rsidRPr="00D9348B" w:rsidRDefault="00971A1F" w:rsidP="00DB330E">
            <w:pPr>
              <w:pStyle w:val="TableText"/>
              <w:jc w:val="center"/>
              <w:rPr>
                <w:rFonts w:cs="Arial"/>
              </w:rPr>
            </w:pPr>
            <w:r w:rsidRPr="00D9348B">
              <w:t>569.9</w:t>
            </w:r>
          </w:p>
        </w:tc>
        <w:tc>
          <w:tcPr>
            <w:tcW w:w="1616" w:type="dxa"/>
            <w:vAlign w:val="center"/>
          </w:tcPr>
          <w:p w14:paraId="3373925F" w14:textId="77777777" w:rsidR="00971A1F" w:rsidRPr="00D9348B" w:rsidRDefault="00971A1F" w:rsidP="00DB330E">
            <w:pPr>
              <w:pStyle w:val="TableText"/>
              <w:jc w:val="center"/>
              <w:rPr>
                <w:rFonts w:cs="Arial"/>
              </w:rPr>
            </w:pPr>
          </w:p>
        </w:tc>
      </w:tr>
      <w:tr w:rsidR="00971A1F" w:rsidRPr="00D9348B" w14:paraId="1AE08D14" w14:textId="77777777" w:rsidTr="004D50CC">
        <w:trPr>
          <w:trHeight w:val="454"/>
        </w:trPr>
        <w:tc>
          <w:tcPr>
            <w:tcW w:w="1611" w:type="dxa"/>
            <w:vMerge/>
          </w:tcPr>
          <w:p w14:paraId="1DA3668E" w14:textId="77777777" w:rsidR="00971A1F" w:rsidRPr="00D9348B" w:rsidRDefault="00971A1F" w:rsidP="00DB330E">
            <w:pPr>
              <w:pStyle w:val="TableText"/>
              <w:keepNext/>
            </w:pPr>
          </w:p>
        </w:tc>
        <w:tc>
          <w:tcPr>
            <w:tcW w:w="2075" w:type="dxa"/>
          </w:tcPr>
          <w:p w14:paraId="20A20C10" w14:textId="77777777" w:rsidR="00971A1F" w:rsidRPr="00D9348B" w:rsidRDefault="00971A1F" w:rsidP="00DB330E">
            <w:pPr>
              <w:pStyle w:val="TableText"/>
              <w:keepNext/>
            </w:pPr>
            <w:r w:rsidRPr="00D9348B">
              <w:t>Percentage difference in emissions estimates</w:t>
            </w:r>
          </w:p>
        </w:tc>
        <w:tc>
          <w:tcPr>
            <w:tcW w:w="850" w:type="dxa"/>
            <w:vAlign w:val="center"/>
          </w:tcPr>
          <w:p w14:paraId="03B57751" w14:textId="77777777" w:rsidR="00971A1F" w:rsidRPr="00D9348B" w:rsidRDefault="00971A1F" w:rsidP="00DB330E">
            <w:pPr>
              <w:pStyle w:val="TableText"/>
              <w:keepNext/>
              <w:jc w:val="center"/>
              <w:rPr>
                <w:rFonts w:cs="Arial"/>
              </w:rPr>
            </w:pPr>
            <w:r w:rsidRPr="00D9348B">
              <w:t>–6.5</w:t>
            </w:r>
          </w:p>
        </w:tc>
        <w:tc>
          <w:tcPr>
            <w:tcW w:w="851" w:type="dxa"/>
            <w:vAlign w:val="center"/>
          </w:tcPr>
          <w:p w14:paraId="63AF0610" w14:textId="77777777" w:rsidR="00971A1F" w:rsidRPr="00D9348B" w:rsidRDefault="00971A1F" w:rsidP="00DB330E">
            <w:pPr>
              <w:pStyle w:val="TableText"/>
              <w:jc w:val="center"/>
              <w:rPr>
                <w:rFonts w:cs="Arial"/>
              </w:rPr>
            </w:pPr>
            <w:r w:rsidRPr="00D9348B">
              <w:t>–4.3</w:t>
            </w:r>
          </w:p>
        </w:tc>
        <w:tc>
          <w:tcPr>
            <w:tcW w:w="1559" w:type="dxa"/>
            <w:vAlign w:val="center"/>
          </w:tcPr>
          <w:p w14:paraId="4C887106" w14:textId="77777777" w:rsidR="00971A1F" w:rsidRPr="00D9348B" w:rsidRDefault="00971A1F" w:rsidP="00DB330E">
            <w:pPr>
              <w:pStyle w:val="TableText"/>
              <w:jc w:val="center"/>
              <w:rPr>
                <w:rFonts w:cs="Arial"/>
              </w:rPr>
            </w:pPr>
          </w:p>
        </w:tc>
        <w:tc>
          <w:tcPr>
            <w:tcW w:w="1616" w:type="dxa"/>
            <w:vAlign w:val="center"/>
          </w:tcPr>
          <w:p w14:paraId="2964CB86" w14:textId="77777777" w:rsidR="00971A1F" w:rsidRPr="00D9348B" w:rsidRDefault="00971A1F" w:rsidP="00DB330E">
            <w:pPr>
              <w:pStyle w:val="TableText"/>
              <w:jc w:val="center"/>
              <w:rPr>
                <w:rFonts w:cs="Arial"/>
              </w:rPr>
            </w:pPr>
          </w:p>
        </w:tc>
      </w:tr>
    </w:tbl>
    <w:p w14:paraId="3390F0FD" w14:textId="77777777" w:rsidR="00971A1F" w:rsidRPr="00D9348B" w:rsidRDefault="00971A1F" w:rsidP="00971A1F">
      <w:pPr>
        <w:pStyle w:val="Heading5"/>
        <w:spacing w:before="360"/>
      </w:pPr>
      <w:r w:rsidRPr="00D9348B">
        <w:t>Revised activity data on dairy goats</w:t>
      </w:r>
    </w:p>
    <w:p w14:paraId="5A79E0A4" w14:textId="77777777" w:rsidR="00971A1F" w:rsidRPr="00D9348B" w:rsidRDefault="00971A1F" w:rsidP="00971A1F">
      <w:pPr>
        <w:pStyle w:val="BodyText"/>
      </w:pPr>
      <w:r w:rsidRPr="00D9348B">
        <w:t xml:space="preserve">A revised set of estimates on the dairy goat population from 1990 to 2018 has been used for the 2020 submission. This activity data improvement has a small effect on estimated emissions from the Agriculture sector as detailed in table 10.1.5. </w:t>
      </w:r>
    </w:p>
    <w:p w14:paraId="10ABDF67" w14:textId="77777777" w:rsidR="00971A1F" w:rsidRPr="00D9348B" w:rsidRDefault="00971A1F" w:rsidP="00971A1F">
      <w:pPr>
        <w:pStyle w:val="BodyText"/>
      </w:pPr>
      <w:r w:rsidRPr="00D9348B">
        <w:t xml:space="preserve">Emissions from goats are currently estimated using a Tier 1 methodological approach, with country-specific emission factors and parameters developed by Lassey (2011). Activity data on </w:t>
      </w:r>
      <w:r w:rsidRPr="00D9348B">
        <w:lastRenderedPageBreak/>
        <w:t>the total goat population are sourced from Statistics New Zealand (Stats NZ), and until this inventory submission, research provided for the Ministry for Primary Industries by Lassey (2011) was used to estimate the population of dairy goats.</w:t>
      </w:r>
    </w:p>
    <w:p w14:paraId="2CA63482" w14:textId="77777777" w:rsidR="00971A1F" w:rsidRPr="00D9348B" w:rsidRDefault="00971A1F" w:rsidP="00971A1F">
      <w:pPr>
        <w:pStyle w:val="BodyText"/>
      </w:pPr>
      <w:r w:rsidRPr="00D9348B">
        <w:t>In the current inventory, a weighted emission factor for enteric fermentation (kg methane (CH</w:t>
      </w:r>
      <w:r w:rsidRPr="00D9348B">
        <w:rPr>
          <w:vertAlign w:val="subscript"/>
        </w:rPr>
        <w:t>4</w:t>
      </w:r>
      <w:r w:rsidRPr="00D9348B">
        <w:t>) per goat per year, EF</w:t>
      </w:r>
      <w:r w:rsidRPr="00D9348B">
        <w:rPr>
          <w:vertAlign w:val="subscript"/>
        </w:rPr>
        <w:t>Goats</w:t>
      </w:r>
      <w:r w:rsidRPr="00D9348B">
        <w:t xml:space="preserve">) is calculated based on the estimated proportion of dairy goats in the overall population. A similar calculation is used to estimate </w:t>
      </w:r>
      <w:proofErr w:type="gramStart"/>
      <w:r w:rsidRPr="00D9348B">
        <w:t>N</w:t>
      </w:r>
      <w:r w:rsidRPr="00D9348B">
        <w:rPr>
          <w:vertAlign w:val="subscript"/>
        </w:rPr>
        <w:t>ex</w:t>
      </w:r>
      <w:proofErr w:type="gramEnd"/>
      <w:r w:rsidRPr="00D9348B">
        <w:t xml:space="preserve"> (kg nitrogen (N) excreted per goat per year). While EF</w:t>
      </w:r>
      <w:r w:rsidRPr="00D9348B">
        <w:rPr>
          <w:vertAlign w:val="subscript"/>
        </w:rPr>
        <w:t>Goats</w:t>
      </w:r>
      <w:r w:rsidRPr="00D9348B">
        <w:t xml:space="preserve"> and </w:t>
      </w:r>
      <w:proofErr w:type="gramStart"/>
      <w:r w:rsidRPr="00D9348B">
        <w:t>N</w:t>
      </w:r>
      <w:r w:rsidRPr="00D9348B">
        <w:rPr>
          <w:vertAlign w:val="subscript"/>
        </w:rPr>
        <w:t>ex</w:t>
      </w:r>
      <w:proofErr w:type="gramEnd"/>
      <w:r w:rsidRPr="00D9348B">
        <w:t xml:space="preserve"> per goat are based on the estimated proportion of dairy goats, there is no explicit separation between dairy and other goats. </w:t>
      </w:r>
    </w:p>
    <w:p w14:paraId="7F391AA4" w14:textId="77777777" w:rsidR="00971A1F" w:rsidRPr="00D9348B" w:rsidRDefault="00971A1F" w:rsidP="00971A1F">
      <w:pPr>
        <w:pStyle w:val="BodyText"/>
      </w:pPr>
      <w:r w:rsidRPr="00D9348B">
        <w:t>Recent research from Burggraaf et al. (2019), has been used in this inventory submission to update our assumptions on the number of dairy goats in New Zealand. It is now assumed that dairy goats comprised 3 per cent of total goat population in 1990, with this proportion increasing linearly to 67 per cent by 2017. The remaining population has been assumed to be split equally between meat and fibre goats. In late 2019, the Agricultural Inventory Advisory Panel recommended that the updated dairy goat population estimates from Burggraaf et al. (2019) be used in the inventory. Table 10.1.5 shows the change in estimated goat population numbers from the updated research.</w:t>
      </w:r>
    </w:p>
    <w:p w14:paraId="4CC0075A" w14:textId="77777777" w:rsidR="00971A1F" w:rsidRPr="00D9348B" w:rsidRDefault="00971A1F" w:rsidP="00971A1F">
      <w:pPr>
        <w:pStyle w:val="Table"/>
      </w:pPr>
      <w:bookmarkStart w:id="3057" w:name="_Toc36224694"/>
      <w:r w:rsidRPr="00D9348B">
        <w:t>Table 10.1.5</w:t>
      </w:r>
      <w:r w:rsidRPr="00D9348B">
        <w:tab/>
        <w:t>Comparison of previous and new dairy goat population estimates</w:t>
      </w:r>
      <w:bookmarkEnd w:id="3057"/>
    </w:p>
    <w:tbl>
      <w:tblPr>
        <w:tblW w:w="8397" w:type="dxa"/>
        <w:tblInd w:w="108" w:type="dxa"/>
        <w:tblBorders>
          <w:top w:val="single" w:sz="4" w:space="0" w:color="365F91"/>
          <w:bottom w:val="single" w:sz="4" w:space="0" w:color="365F91"/>
          <w:insideH w:val="single" w:sz="4" w:space="0" w:color="365F91"/>
        </w:tblBorders>
        <w:tblLayout w:type="fixed"/>
        <w:tblLook w:val="01E0" w:firstRow="1" w:lastRow="1" w:firstColumn="1" w:lastColumn="1" w:noHBand="0" w:noVBand="0"/>
      </w:tblPr>
      <w:tblGrid>
        <w:gridCol w:w="993"/>
        <w:gridCol w:w="2835"/>
        <w:gridCol w:w="2835"/>
        <w:gridCol w:w="1734"/>
      </w:tblGrid>
      <w:tr w:rsidR="00971A1F" w:rsidRPr="00D9348B" w14:paraId="73A3E977" w14:textId="77777777" w:rsidTr="000C636D">
        <w:tc>
          <w:tcPr>
            <w:tcW w:w="993" w:type="dxa"/>
            <w:shd w:val="clear" w:color="auto" w:fill="365F91"/>
            <w:vAlign w:val="bottom"/>
          </w:tcPr>
          <w:p w14:paraId="7DE6F89C" w14:textId="77777777" w:rsidR="00971A1F" w:rsidRPr="00D9348B" w:rsidRDefault="00971A1F" w:rsidP="00F92EBA">
            <w:pPr>
              <w:pStyle w:val="TableTextBold"/>
              <w:keepNext/>
              <w:spacing w:after="0"/>
              <w:rPr>
                <w:rFonts w:cs="Arial"/>
                <w:noProof w:val="0"/>
                <w:color w:val="FFFFFF"/>
              </w:rPr>
            </w:pPr>
          </w:p>
        </w:tc>
        <w:tc>
          <w:tcPr>
            <w:tcW w:w="5670" w:type="dxa"/>
            <w:gridSpan w:val="2"/>
            <w:shd w:val="clear" w:color="auto" w:fill="365F91"/>
            <w:vAlign w:val="bottom"/>
          </w:tcPr>
          <w:p w14:paraId="20DC6E9C" w14:textId="77777777" w:rsidR="00971A1F" w:rsidRPr="00D9348B" w:rsidRDefault="00971A1F" w:rsidP="00F92EBA">
            <w:pPr>
              <w:pStyle w:val="TableTextBold"/>
              <w:keepNext/>
              <w:spacing w:after="0"/>
              <w:jc w:val="center"/>
              <w:rPr>
                <w:rFonts w:cs="Arial"/>
                <w:noProof w:val="0"/>
                <w:color w:val="FFFFFF"/>
              </w:rPr>
            </w:pPr>
            <w:r w:rsidRPr="00D9348B">
              <w:rPr>
                <w:rFonts w:cs="Arial"/>
                <w:noProof w:val="0"/>
                <w:color w:val="FFFFFF"/>
              </w:rPr>
              <w:t>Dairy goat population</w:t>
            </w:r>
          </w:p>
        </w:tc>
        <w:tc>
          <w:tcPr>
            <w:tcW w:w="1734" w:type="dxa"/>
            <w:shd w:val="clear" w:color="auto" w:fill="365F91"/>
            <w:vAlign w:val="bottom"/>
          </w:tcPr>
          <w:p w14:paraId="438C2CEA" w14:textId="77777777" w:rsidR="00971A1F" w:rsidRPr="00D9348B" w:rsidRDefault="00971A1F" w:rsidP="00F92EBA">
            <w:pPr>
              <w:pStyle w:val="TableTextBold"/>
              <w:keepNext/>
              <w:spacing w:after="0"/>
              <w:rPr>
                <w:rFonts w:cs="Arial"/>
                <w:noProof w:val="0"/>
                <w:color w:val="FFFFFF"/>
              </w:rPr>
            </w:pPr>
          </w:p>
        </w:tc>
      </w:tr>
      <w:tr w:rsidR="00971A1F" w:rsidRPr="00D9348B" w14:paraId="21ABE7B8" w14:textId="77777777" w:rsidTr="000C636D">
        <w:tc>
          <w:tcPr>
            <w:tcW w:w="993" w:type="dxa"/>
            <w:shd w:val="clear" w:color="auto" w:fill="365F91"/>
            <w:vAlign w:val="bottom"/>
          </w:tcPr>
          <w:p w14:paraId="72407FFA" w14:textId="77777777" w:rsidR="00971A1F" w:rsidRPr="00D9348B" w:rsidRDefault="00971A1F" w:rsidP="00DB330E">
            <w:pPr>
              <w:pStyle w:val="TableTextBold"/>
              <w:keepNext/>
              <w:rPr>
                <w:rFonts w:cs="Arial"/>
                <w:noProof w:val="0"/>
                <w:color w:val="FFFFFF"/>
              </w:rPr>
            </w:pPr>
            <w:r w:rsidRPr="00D9348B">
              <w:rPr>
                <w:rFonts w:cs="Arial"/>
                <w:noProof w:val="0"/>
                <w:color w:val="FFFFFF"/>
              </w:rPr>
              <w:t>Year</w:t>
            </w:r>
          </w:p>
        </w:tc>
        <w:tc>
          <w:tcPr>
            <w:tcW w:w="2835" w:type="dxa"/>
            <w:shd w:val="clear" w:color="auto" w:fill="365F91"/>
            <w:vAlign w:val="bottom"/>
          </w:tcPr>
          <w:p w14:paraId="2F7A7C81" w14:textId="77777777" w:rsidR="00971A1F" w:rsidRPr="00D9348B" w:rsidRDefault="00971A1F" w:rsidP="00DB330E">
            <w:pPr>
              <w:pStyle w:val="TableTextBold"/>
              <w:keepNext/>
              <w:rPr>
                <w:rFonts w:cs="Arial"/>
                <w:noProof w:val="0"/>
                <w:color w:val="FFFFFF"/>
              </w:rPr>
            </w:pPr>
            <w:r w:rsidRPr="00D9348B">
              <w:rPr>
                <w:rFonts w:cs="Arial"/>
                <w:noProof w:val="0"/>
                <w:color w:val="FFFFFF"/>
              </w:rPr>
              <w:t>Using previous methodology in Lassey (2011)</w:t>
            </w:r>
          </w:p>
        </w:tc>
        <w:tc>
          <w:tcPr>
            <w:tcW w:w="2835" w:type="dxa"/>
            <w:shd w:val="clear" w:color="auto" w:fill="365F91"/>
            <w:vAlign w:val="bottom"/>
          </w:tcPr>
          <w:p w14:paraId="09071CE2" w14:textId="77777777" w:rsidR="00971A1F" w:rsidRPr="00D9348B" w:rsidRDefault="00971A1F" w:rsidP="00DB330E">
            <w:pPr>
              <w:pStyle w:val="TableTextBold"/>
              <w:keepNext/>
              <w:rPr>
                <w:rFonts w:cs="Arial"/>
                <w:noProof w:val="0"/>
                <w:color w:val="FFFFFF"/>
              </w:rPr>
            </w:pPr>
            <w:r w:rsidRPr="00D9348B">
              <w:rPr>
                <w:rFonts w:cs="Arial"/>
                <w:noProof w:val="0"/>
                <w:color w:val="FFFFFF"/>
              </w:rPr>
              <w:t>Using new methodology in Burggraaf et al. (2019)</w:t>
            </w:r>
          </w:p>
        </w:tc>
        <w:tc>
          <w:tcPr>
            <w:tcW w:w="1734" w:type="dxa"/>
            <w:shd w:val="clear" w:color="auto" w:fill="365F91"/>
            <w:vAlign w:val="bottom"/>
          </w:tcPr>
          <w:p w14:paraId="70EBD088" w14:textId="77777777" w:rsidR="00971A1F" w:rsidRPr="00D9348B" w:rsidRDefault="00971A1F" w:rsidP="00DB330E">
            <w:pPr>
              <w:pStyle w:val="TableTextBold"/>
              <w:keepNext/>
              <w:rPr>
                <w:rFonts w:cs="Arial"/>
                <w:noProof w:val="0"/>
                <w:color w:val="FFFFFF"/>
              </w:rPr>
            </w:pPr>
            <w:r w:rsidRPr="00D9348B">
              <w:rPr>
                <w:rFonts w:cs="Arial"/>
                <w:noProof w:val="0"/>
                <w:color w:val="FFFFFF"/>
              </w:rPr>
              <w:t>Total goat population</w:t>
            </w:r>
          </w:p>
        </w:tc>
      </w:tr>
      <w:tr w:rsidR="00971A1F" w:rsidRPr="00D9348B" w14:paraId="54E78A26" w14:textId="77777777" w:rsidTr="000C636D">
        <w:tc>
          <w:tcPr>
            <w:tcW w:w="993" w:type="dxa"/>
            <w:shd w:val="clear" w:color="auto" w:fill="auto"/>
          </w:tcPr>
          <w:p w14:paraId="5AE5507D" w14:textId="77777777" w:rsidR="00971A1F" w:rsidRPr="00D9348B" w:rsidRDefault="00971A1F" w:rsidP="00DB330E">
            <w:pPr>
              <w:pStyle w:val="TableText"/>
            </w:pPr>
            <w:r w:rsidRPr="00D9348B">
              <w:t xml:space="preserve">1990 </w:t>
            </w:r>
          </w:p>
        </w:tc>
        <w:tc>
          <w:tcPr>
            <w:tcW w:w="2835" w:type="dxa"/>
            <w:shd w:val="clear" w:color="auto" w:fill="auto"/>
          </w:tcPr>
          <w:p w14:paraId="2A4DB2AA" w14:textId="77777777" w:rsidR="00971A1F" w:rsidRPr="00D9348B" w:rsidRDefault="00971A1F" w:rsidP="00DB330E">
            <w:pPr>
              <w:pStyle w:val="TableText"/>
            </w:pPr>
            <w:r w:rsidRPr="00D9348B">
              <w:t>37,426</w:t>
            </w:r>
          </w:p>
        </w:tc>
        <w:tc>
          <w:tcPr>
            <w:tcW w:w="2835" w:type="dxa"/>
            <w:shd w:val="clear" w:color="auto" w:fill="auto"/>
          </w:tcPr>
          <w:p w14:paraId="01CBE2C7" w14:textId="77777777" w:rsidR="00971A1F" w:rsidRPr="00D9348B" w:rsidRDefault="00971A1F" w:rsidP="00DB330E">
            <w:pPr>
              <w:pStyle w:val="TableText"/>
            </w:pPr>
            <w:r w:rsidRPr="00D9348B">
              <w:t>31,887</w:t>
            </w:r>
          </w:p>
        </w:tc>
        <w:tc>
          <w:tcPr>
            <w:tcW w:w="1734" w:type="dxa"/>
            <w:shd w:val="clear" w:color="auto" w:fill="auto"/>
          </w:tcPr>
          <w:p w14:paraId="05C7968E" w14:textId="77777777" w:rsidR="00971A1F" w:rsidRPr="00D9348B" w:rsidRDefault="00971A1F" w:rsidP="00DB330E">
            <w:pPr>
              <w:pStyle w:val="TableText"/>
            </w:pPr>
            <w:r w:rsidRPr="00D9348B">
              <w:t>1,062,900</w:t>
            </w:r>
          </w:p>
        </w:tc>
      </w:tr>
      <w:tr w:rsidR="00971A1F" w:rsidRPr="00D9348B" w14:paraId="6953ECEB" w14:textId="77777777" w:rsidTr="000C636D">
        <w:tc>
          <w:tcPr>
            <w:tcW w:w="993" w:type="dxa"/>
          </w:tcPr>
          <w:p w14:paraId="51ABA5FE" w14:textId="77777777" w:rsidR="00971A1F" w:rsidRPr="00D9348B" w:rsidRDefault="00971A1F" w:rsidP="00DB330E">
            <w:pPr>
              <w:pStyle w:val="TableText"/>
            </w:pPr>
            <w:r w:rsidRPr="00D9348B">
              <w:t>2005</w:t>
            </w:r>
          </w:p>
        </w:tc>
        <w:tc>
          <w:tcPr>
            <w:tcW w:w="2835" w:type="dxa"/>
          </w:tcPr>
          <w:p w14:paraId="410BD5CB" w14:textId="77777777" w:rsidR="00971A1F" w:rsidRPr="00D9348B" w:rsidRDefault="00971A1F" w:rsidP="00DB330E">
            <w:pPr>
              <w:pStyle w:val="TableText"/>
            </w:pPr>
            <w:r w:rsidRPr="00D9348B">
              <w:t>30,738</w:t>
            </w:r>
          </w:p>
        </w:tc>
        <w:tc>
          <w:tcPr>
            <w:tcW w:w="2835" w:type="dxa"/>
          </w:tcPr>
          <w:p w14:paraId="7E15A263" w14:textId="77777777" w:rsidR="00971A1F" w:rsidRPr="00D9348B" w:rsidRDefault="00971A1F" w:rsidP="00DB330E">
            <w:pPr>
              <w:pStyle w:val="TableText"/>
            </w:pPr>
            <w:r w:rsidRPr="00D9348B">
              <w:t>52,482</w:t>
            </w:r>
          </w:p>
        </w:tc>
        <w:tc>
          <w:tcPr>
            <w:tcW w:w="1734" w:type="dxa"/>
          </w:tcPr>
          <w:p w14:paraId="1F03A169" w14:textId="77777777" w:rsidR="00971A1F" w:rsidRPr="00D9348B" w:rsidRDefault="00971A1F" w:rsidP="00DB330E">
            <w:pPr>
              <w:pStyle w:val="TableText"/>
            </w:pPr>
            <w:r w:rsidRPr="00D9348B">
              <w:t>136,120</w:t>
            </w:r>
          </w:p>
        </w:tc>
      </w:tr>
      <w:tr w:rsidR="00971A1F" w:rsidRPr="00D9348B" w14:paraId="567DD3E7" w14:textId="77777777" w:rsidTr="000C636D">
        <w:tc>
          <w:tcPr>
            <w:tcW w:w="993" w:type="dxa"/>
          </w:tcPr>
          <w:p w14:paraId="53B4E0EA" w14:textId="77777777" w:rsidR="00971A1F" w:rsidRPr="00D9348B" w:rsidRDefault="00971A1F" w:rsidP="00DB330E">
            <w:pPr>
              <w:pStyle w:val="TableText"/>
            </w:pPr>
            <w:r w:rsidRPr="00D9348B">
              <w:t>2018</w:t>
            </w:r>
          </w:p>
        </w:tc>
        <w:tc>
          <w:tcPr>
            <w:tcW w:w="2835" w:type="dxa"/>
          </w:tcPr>
          <w:p w14:paraId="5D256046" w14:textId="77777777" w:rsidR="00971A1F" w:rsidRPr="00D9348B" w:rsidRDefault="00971A1F" w:rsidP="00DB330E">
            <w:pPr>
              <w:pStyle w:val="TableText"/>
            </w:pPr>
            <w:r w:rsidRPr="00D9348B">
              <w:t>24,941</w:t>
            </w:r>
          </w:p>
        </w:tc>
        <w:tc>
          <w:tcPr>
            <w:tcW w:w="2835" w:type="dxa"/>
          </w:tcPr>
          <w:p w14:paraId="7DEB5383" w14:textId="77777777" w:rsidR="00971A1F" w:rsidRPr="00D9348B" w:rsidRDefault="00971A1F" w:rsidP="00DB330E">
            <w:pPr>
              <w:pStyle w:val="TableText"/>
            </w:pPr>
            <w:r w:rsidRPr="00D9348B">
              <w:t>59,486</w:t>
            </w:r>
          </w:p>
        </w:tc>
        <w:tc>
          <w:tcPr>
            <w:tcW w:w="1734" w:type="dxa"/>
          </w:tcPr>
          <w:p w14:paraId="47EFD2FB" w14:textId="77777777" w:rsidR="00971A1F" w:rsidRPr="00D9348B" w:rsidRDefault="00971A1F" w:rsidP="00DB330E">
            <w:pPr>
              <w:pStyle w:val="TableText"/>
            </w:pPr>
            <w:r w:rsidRPr="00D9348B">
              <w:t>88,785</w:t>
            </w:r>
          </w:p>
        </w:tc>
      </w:tr>
    </w:tbl>
    <w:p w14:paraId="34373443" w14:textId="77777777" w:rsidR="00971A1F" w:rsidRPr="00D9348B" w:rsidRDefault="00971A1F" w:rsidP="00402DC1">
      <w:pPr>
        <w:pStyle w:val="BodyText"/>
        <w:spacing w:before="240"/>
        <w:rPr>
          <w:rFonts w:cs="Arial"/>
          <w:color w:val="FFFFFF"/>
          <w:spacing w:val="-2"/>
          <w:szCs w:val="16"/>
        </w:rPr>
      </w:pPr>
      <w:bookmarkStart w:id="3058" w:name="_Toc5269614"/>
      <w:r w:rsidRPr="00D9348B">
        <w:rPr>
          <w:spacing w:val="-2"/>
        </w:rPr>
        <w:t>After the adoption of these new population estimates, estimated emissions from the Agriculture sector were unchanged in 1990 and increased slightly by 0.0 per cent (2.0 kt CO</w:t>
      </w:r>
      <w:r w:rsidRPr="00D9348B">
        <w:rPr>
          <w:spacing w:val="-2"/>
          <w:vertAlign w:val="subscript"/>
        </w:rPr>
        <w:t>2</w:t>
      </w:r>
      <w:r w:rsidRPr="00D9348B">
        <w:rPr>
          <w:spacing w:val="-2"/>
        </w:rPr>
        <w:t>-e) in 2018.</w:t>
      </w:r>
    </w:p>
    <w:p w14:paraId="44DCC508" w14:textId="77777777" w:rsidR="00971A1F" w:rsidRPr="00D9348B" w:rsidRDefault="00971A1F" w:rsidP="00971A1F">
      <w:pPr>
        <w:pStyle w:val="Table"/>
      </w:pPr>
      <w:bookmarkStart w:id="3059" w:name="_Toc36224695"/>
      <w:r w:rsidRPr="00D9348B">
        <w:t>Table 10.1.6</w:t>
      </w:r>
      <w:r w:rsidRPr="00D9348B">
        <w:tab/>
        <w:t>Effect of revised dairy goat population estimates on agricultural emissions estimates, 1990 to </w:t>
      </w:r>
      <w:bookmarkEnd w:id="3058"/>
      <w:r w:rsidRPr="00D9348B">
        <w:t>2018</w:t>
      </w:r>
      <w:bookmarkEnd w:id="3059"/>
    </w:p>
    <w:tbl>
      <w:tblPr>
        <w:tblW w:w="8562" w:type="dxa"/>
        <w:tblInd w:w="108" w:type="dxa"/>
        <w:tblBorders>
          <w:top w:val="single" w:sz="4" w:space="0" w:color="365F91"/>
          <w:bottom w:val="single" w:sz="4" w:space="0" w:color="365F91"/>
          <w:insideH w:val="single" w:sz="4" w:space="0" w:color="365F91"/>
        </w:tblBorders>
        <w:tblLayout w:type="fixed"/>
        <w:tblLook w:val="0000" w:firstRow="0" w:lastRow="0" w:firstColumn="0" w:lastColumn="0" w:noHBand="0" w:noVBand="0"/>
      </w:tblPr>
      <w:tblGrid>
        <w:gridCol w:w="1726"/>
        <w:gridCol w:w="2268"/>
        <w:gridCol w:w="850"/>
        <w:gridCol w:w="851"/>
        <w:gridCol w:w="1417"/>
        <w:gridCol w:w="1450"/>
      </w:tblGrid>
      <w:tr w:rsidR="00971A1F" w:rsidRPr="00D9348B" w14:paraId="3E866E40" w14:textId="77777777" w:rsidTr="00F92EBA">
        <w:trPr>
          <w:trHeight w:val="432"/>
          <w:tblHeader/>
        </w:trPr>
        <w:tc>
          <w:tcPr>
            <w:tcW w:w="1726" w:type="dxa"/>
            <w:vMerge w:val="restart"/>
            <w:shd w:val="clear" w:color="auto" w:fill="365F91"/>
            <w:vAlign w:val="bottom"/>
          </w:tcPr>
          <w:p w14:paraId="647FA3D0" w14:textId="77777777" w:rsidR="00971A1F" w:rsidRPr="00D9348B" w:rsidRDefault="00971A1F" w:rsidP="00DB330E">
            <w:pPr>
              <w:pStyle w:val="TableTextBold"/>
              <w:keepNext/>
              <w:rPr>
                <w:rFonts w:cs="Arial"/>
                <w:noProof w:val="0"/>
                <w:color w:val="FFFFFF"/>
                <w:szCs w:val="16"/>
              </w:rPr>
            </w:pPr>
          </w:p>
        </w:tc>
        <w:tc>
          <w:tcPr>
            <w:tcW w:w="2268" w:type="dxa"/>
            <w:vMerge w:val="restart"/>
            <w:shd w:val="clear" w:color="auto" w:fill="365F91"/>
            <w:vAlign w:val="bottom"/>
          </w:tcPr>
          <w:p w14:paraId="0FBC4F96" w14:textId="77777777" w:rsidR="00971A1F" w:rsidRPr="00D9348B" w:rsidRDefault="00971A1F" w:rsidP="00DB330E">
            <w:pPr>
              <w:pStyle w:val="TableTextBold"/>
              <w:keepNext/>
              <w:rPr>
                <w:rFonts w:cs="Arial"/>
                <w:noProof w:val="0"/>
                <w:color w:val="FFFFFF"/>
                <w:szCs w:val="16"/>
              </w:rPr>
            </w:pPr>
          </w:p>
        </w:tc>
        <w:tc>
          <w:tcPr>
            <w:tcW w:w="1701" w:type="dxa"/>
            <w:gridSpan w:val="2"/>
            <w:tcBorders>
              <w:bottom w:val="nil"/>
            </w:tcBorders>
            <w:shd w:val="clear" w:color="auto" w:fill="365F91"/>
            <w:vAlign w:val="bottom"/>
          </w:tcPr>
          <w:p w14:paraId="4645EBFB" w14:textId="77777777" w:rsidR="00971A1F" w:rsidRPr="00D9348B" w:rsidRDefault="00971A1F" w:rsidP="00DB330E">
            <w:pPr>
              <w:pStyle w:val="TableTextBold"/>
              <w:jc w:val="center"/>
              <w:rPr>
                <w:rFonts w:cs="Arial"/>
                <w:noProof w:val="0"/>
                <w:color w:val="FFFFFF"/>
              </w:rPr>
            </w:pPr>
          </w:p>
        </w:tc>
        <w:tc>
          <w:tcPr>
            <w:tcW w:w="1417" w:type="dxa"/>
            <w:vMerge w:val="restart"/>
            <w:shd w:val="clear" w:color="auto" w:fill="365F91"/>
            <w:vAlign w:val="bottom"/>
          </w:tcPr>
          <w:p w14:paraId="037AE8C2" w14:textId="77777777" w:rsidR="00971A1F" w:rsidRPr="00D9348B" w:rsidRDefault="00971A1F" w:rsidP="00DB330E">
            <w:pPr>
              <w:pStyle w:val="TableTextBold"/>
              <w:jc w:val="center"/>
              <w:rPr>
                <w:rFonts w:cs="Arial"/>
                <w:noProof w:val="0"/>
                <w:color w:val="FFFFFF"/>
                <w:szCs w:val="16"/>
              </w:rPr>
            </w:pPr>
            <w:r w:rsidRPr="00D9348B">
              <w:rPr>
                <w:rFonts w:cs="Arial"/>
                <w:noProof w:val="0"/>
                <w:color w:val="FFFFFF"/>
                <w:szCs w:val="16"/>
              </w:rPr>
              <w:t xml:space="preserve">Change in emission outputs between 1990 and 2018 </w:t>
            </w:r>
            <w:r w:rsidRPr="00D9348B">
              <w:rPr>
                <w:rFonts w:cs="Arial"/>
                <w:noProof w:val="0"/>
                <w:color w:val="FFFFFF"/>
                <w:szCs w:val="16"/>
              </w:rPr>
              <w:br/>
              <w:t>(kt CO</w:t>
            </w:r>
            <w:r w:rsidRPr="00D9348B">
              <w:rPr>
                <w:rFonts w:cs="Arial"/>
                <w:noProof w:val="0"/>
                <w:color w:val="FFFFFF"/>
                <w:szCs w:val="16"/>
                <w:vertAlign w:val="subscript"/>
              </w:rPr>
              <w:t>2</w:t>
            </w:r>
            <w:r w:rsidRPr="00D9348B">
              <w:rPr>
                <w:rFonts w:cs="Arial"/>
                <w:noProof w:val="0"/>
                <w:color w:val="FFFFFF"/>
                <w:szCs w:val="16"/>
              </w:rPr>
              <w:t xml:space="preserve">-e) </w:t>
            </w:r>
          </w:p>
        </w:tc>
        <w:tc>
          <w:tcPr>
            <w:tcW w:w="1450" w:type="dxa"/>
            <w:vMerge w:val="restart"/>
            <w:shd w:val="clear" w:color="auto" w:fill="365F91"/>
            <w:vAlign w:val="bottom"/>
          </w:tcPr>
          <w:p w14:paraId="1D401586" w14:textId="77777777" w:rsidR="00971A1F" w:rsidRPr="00D9348B" w:rsidRDefault="00971A1F" w:rsidP="00DB330E">
            <w:pPr>
              <w:pStyle w:val="TableTextBold"/>
              <w:jc w:val="center"/>
              <w:rPr>
                <w:rFonts w:cs="Arial"/>
                <w:noProof w:val="0"/>
                <w:color w:val="FFFFFF"/>
                <w:szCs w:val="16"/>
              </w:rPr>
            </w:pPr>
            <w:r w:rsidRPr="00D9348B">
              <w:rPr>
                <w:rFonts w:cs="Arial"/>
                <w:noProof w:val="0"/>
                <w:color w:val="FFFFFF"/>
                <w:szCs w:val="16"/>
              </w:rPr>
              <w:t>Percentage change in emission outputs between 1990 and 2018</w:t>
            </w:r>
          </w:p>
        </w:tc>
      </w:tr>
      <w:tr w:rsidR="00971A1F" w:rsidRPr="00D9348B" w14:paraId="4FDD5E38" w14:textId="77777777" w:rsidTr="00F92EBA">
        <w:trPr>
          <w:trHeight w:val="432"/>
          <w:tblHeader/>
        </w:trPr>
        <w:tc>
          <w:tcPr>
            <w:tcW w:w="1726" w:type="dxa"/>
            <w:vMerge/>
            <w:shd w:val="clear" w:color="auto" w:fill="365F91"/>
            <w:vAlign w:val="bottom"/>
          </w:tcPr>
          <w:p w14:paraId="46406C69" w14:textId="77777777" w:rsidR="00971A1F" w:rsidRPr="00D9348B" w:rsidRDefault="00971A1F" w:rsidP="00DB330E">
            <w:pPr>
              <w:pStyle w:val="TableTextBold"/>
              <w:keepNext/>
              <w:rPr>
                <w:rFonts w:cs="Arial"/>
                <w:noProof w:val="0"/>
                <w:color w:val="FFFFFF"/>
                <w:szCs w:val="16"/>
              </w:rPr>
            </w:pPr>
          </w:p>
        </w:tc>
        <w:tc>
          <w:tcPr>
            <w:tcW w:w="2268" w:type="dxa"/>
            <w:vMerge/>
            <w:shd w:val="clear" w:color="auto" w:fill="365F91"/>
            <w:vAlign w:val="bottom"/>
          </w:tcPr>
          <w:p w14:paraId="308BC5D9" w14:textId="77777777" w:rsidR="00971A1F" w:rsidRPr="00D9348B" w:rsidRDefault="00971A1F" w:rsidP="00DB330E">
            <w:pPr>
              <w:pStyle w:val="TableTextBold"/>
              <w:keepNext/>
              <w:rPr>
                <w:rFonts w:cs="Arial"/>
                <w:noProof w:val="0"/>
                <w:color w:val="FFFFFF"/>
                <w:szCs w:val="16"/>
              </w:rPr>
            </w:pPr>
          </w:p>
        </w:tc>
        <w:tc>
          <w:tcPr>
            <w:tcW w:w="850" w:type="dxa"/>
            <w:tcBorders>
              <w:top w:val="nil"/>
            </w:tcBorders>
            <w:shd w:val="clear" w:color="auto" w:fill="365F91"/>
            <w:vAlign w:val="bottom"/>
          </w:tcPr>
          <w:p w14:paraId="7D31D72B" w14:textId="77777777" w:rsidR="00971A1F" w:rsidRPr="00D9348B" w:rsidRDefault="00971A1F" w:rsidP="00DB330E">
            <w:pPr>
              <w:pStyle w:val="TableTextBold"/>
              <w:keepNext/>
              <w:jc w:val="center"/>
              <w:rPr>
                <w:rFonts w:cs="Arial"/>
                <w:noProof w:val="0"/>
                <w:color w:val="FFFFFF"/>
              </w:rPr>
            </w:pPr>
            <w:r w:rsidRPr="00D9348B">
              <w:rPr>
                <w:rFonts w:cs="Arial"/>
                <w:noProof w:val="0"/>
                <w:color w:val="FFFFFF"/>
              </w:rPr>
              <w:t>1990</w:t>
            </w:r>
          </w:p>
        </w:tc>
        <w:tc>
          <w:tcPr>
            <w:tcW w:w="851" w:type="dxa"/>
            <w:tcBorders>
              <w:top w:val="nil"/>
            </w:tcBorders>
            <w:shd w:val="clear" w:color="auto" w:fill="365F91"/>
            <w:vAlign w:val="bottom"/>
          </w:tcPr>
          <w:p w14:paraId="7C187571" w14:textId="77777777" w:rsidR="00971A1F" w:rsidRPr="00D9348B" w:rsidRDefault="00971A1F" w:rsidP="00DB330E">
            <w:pPr>
              <w:pStyle w:val="TableTextBold"/>
              <w:jc w:val="center"/>
              <w:rPr>
                <w:rFonts w:cs="Arial"/>
                <w:noProof w:val="0"/>
                <w:color w:val="FFFFFF"/>
              </w:rPr>
            </w:pPr>
            <w:r w:rsidRPr="00D9348B">
              <w:rPr>
                <w:rFonts w:cs="Arial"/>
                <w:noProof w:val="0"/>
                <w:color w:val="FFFFFF"/>
              </w:rPr>
              <w:t>2018</w:t>
            </w:r>
          </w:p>
        </w:tc>
        <w:tc>
          <w:tcPr>
            <w:tcW w:w="1417" w:type="dxa"/>
            <w:vMerge/>
            <w:shd w:val="clear" w:color="auto" w:fill="365F91"/>
            <w:vAlign w:val="bottom"/>
          </w:tcPr>
          <w:p w14:paraId="515E74C0" w14:textId="77777777" w:rsidR="00971A1F" w:rsidRPr="00D9348B" w:rsidRDefault="00971A1F" w:rsidP="00DB330E">
            <w:pPr>
              <w:pStyle w:val="TableTextBold"/>
              <w:jc w:val="center"/>
              <w:rPr>
                <w:rFonts w:cs="Arial"/>
                <w:noProof w:val="0"/>
                <w:color w:val="FFFFFF"/>
                <w:szCs w:val="16"/>
              </w:rPr>
            </w:pPr>
          </w:p>
        </w:tc>
        <w:tc>
          <w:tcPr>
            <w:tcW w:w="1450" w:type="dxa"/>
            <w:vMerge/>
            <w:shd w:val="clear" w:color="auto" w:fill="365F91"/>
            <w:vAlign w:val="bottom"/>
          </w:tcPr>
          <w:p w14:paraId="2FB1B79A" w14:textId="77777777" w:rsidR="00971A1F" w:rsidRPr="00D9348B" w:rsidRDefault="00971A1F" w:rsidP="00DB330E">
            <w:pPr>
              <w:pStyle w:val="TableTextBold"/>
              <w:jc w:val="center"/>
              <w:rPr>
                <w:rFonts w:cs="Arial"/>
                <w:noProof w:val="0"/>
                <w:color w:val="FFFFFF"/>
                <w:szCs w:val="16"/>
              </w:rPr>
            </w:pPr>
          </w:p>
        </w:tc>
      </w:tr>
      <w:tr w:rsidR="00971A1F" w:rsidRPr="00D9348B" w14:paraId="784D8EBC" w14:textId="77777777" w:rsidTr="00DB330E">
        <w:trPr>
          <w:trHeight w:val="454"/>
        </w:trPr>
        <w:tc>
          <w:tcPr>
            <w:tcW w:w="1726" w:type="dxa"/>
            <w:vMerge w:val="restart"/>
            <w:vAlign w:val="center"/>
          </w:tcPr>
          <w:p w14:paraId="7A746AEC" w14:textId="77777777" w:rsidR="00971A1F" w:rsidRPr="00D9348B" w:rsidRDefault="00971A1F" w:rsidP="00DB330E">
            <w:pPr>
              <w:pStyle w:val="TableText"/>
              <w:spacing w:after="50"/>
            </w:pPr>
            <w:r w:rsidRPr="00D9348B">
              <w:t>Total emissions from Agriculture category (kt CO</w:t>
            </w:r>
            <w:r w:rsidRPr="00D9348B">
              <w:rPr>
                <w:vertAlign w:val="subscript"/>
              </w:rPr>
              <w:t>2</w:t>
            </w:r>
            <w:r w:rsidRPr="00D9348B">
              <w:t>-e)</w:t>
            </w:r>
          </w:p>
        </w:tc>
        <w:tc>
          <w:tcPr>
            <w:tcW w:w="2268" w:type="dxa"/>
          </w:tcPr>
          <w:p w14:paraId="5F36E51B" w14:textId="77777777" w:rsidR="00971A1F" w:rsidRPr="00D9348B" w:rsidRDefault="00971A1F" w:rsidP="00DB330E">
            <w:pPr>
              <w:pStyle w:val="TableText"/>
              <w:keepNext/>
              <w:spacing w:after="50"/>
            </w:pPr>
            <w:r w:rsidRPr="00D9348B">
              <w:t xml:space="preserve">2020 (1990–2018) emissions estimate </w:t>
            </w:r>
            <w:r w:rsidRPr="00D9348B">
              <w:rPr>
                <w:i/>
              </w:rPr>
              <w:t xml:space="preserve">using previous </w:t>
            </w:r>
            <w:r w:rsidRPr="00D9348B">
              <w:t>dairy goat population estimates</w:t>
            </w:r>
          </w:p>
        </w:tc>
        <w:tc>
          <w:tcPr>
            <w:tcW w:w="850" w:type="dxa"/>
            <w:vAlign w:val="center"/>
          </w:tcPr>
          <w:p w14:paraId="580022EF" w14:textId="77777777" w:rsidR="00971A1F" w:rsidRPr="00D9348B" w:rsidRDefault="00971A1F" w:rsidP="00DB330E">
            <w:pPr>
              <w:pStyle w:val="TableText"/>
              <w:keepNext/>
              <w:spacing w:after="50"/>
              <w:jc w:val="center"/>
            </w:pPr>
            <w:r w:rsidRPr="00D9348B">
              <w:t>32,182.0</w:t>
            </w:r>
          </w:p>
        </w:tc>
        <w:tc>
          <w:tcPr>
            <w:tcW w:w="851" w:type="dxa"/>
            <w:vAlign w:val="center"/>
          </w:tcPr>
          <w:p w14:paraId="18491AC5" w14:textId="77777777" w:rsidR="00971A1F" w:rsidRPr="00D9348B" w:rsidRDefault="00971A1F" w:rsidP="00DB330E">
            <w:pPr>
              <w:pStyle w:val="TableText"/>
              <w:spacing w:after="50"/>
              <w:jc w:val="center"/>
            </w:pPr>
            <w:r w:rsidRPr="00D9348B">
              <w:t>37,694.9</w:t>
            </w:r>
          </w:p>
        </w:tc>
        <w:tc>
          <w:tcPr>
            <w:tcW w:w="1417" w:type="dxa"/>
            <w:vAlign w:val="center"/>
          </w:tcPr>
          <w:p w14:paraId="4794B947" w14:textId="77777777" w:rsidR="00971A1F" w:rsidRPr="00D9348B" w:rsidRDefault="00971A1F" w:rsidP="00DB330E">
            <w:pPr>
              <w:pStyle w:val="TableText"/>
              <w:spacing w:after="50"/>
              <w:jc w:val="center"/>
            </w:pPr>
            <w:r w:rsidRPr="00D9348B">
              <w:t>5,513.0</w:t>
            </w:r>
          </w:p>
        </w:tc>
        <w:tc>
          <w:tcPr>
            <w:tcW w:w="1450" w:type="dxa"/>
            <w:vAlign w:val="center"/>
          </w:tcPr>
          <w:p w14:paraId="2F94BE19" w14:textId="77777777" w:rsidR="00971A1F" w:rsidRPr="00D9348B" w:rsidRDefault="00971A1F" w:rsidP="00DB330E">
            <w:pPr>
              <w:pStyle w:val="TableText"/>
              <w:spacing w:after="50"/>
              <w:jc w:val="center"/>
            </w:pPr>
            <w:r w:rsidRPr="00D9348B">
              <w:t>17.1</w:t>
            </w:r>
          </w:p>
        </w:tc>
      </w:tr>
      <w:tr w:rsidR="00971A1F" w:rsidRPr="00D9348B" w14:paraId="29EBA930" w14:textId="77777777" w:rsidTr="00DB330E">
        <w:trPr>
          <w:trHeight w:val="454"/>
        </w:trPr>
        <w:tc>
          <w:tcPr>
            <w:tcW w:w="1726" w:type="dxa"/>
            <w:vMerge/>
          </w:tcPr>
          <w:p w14:paraId="5269B157" w14:textId="77777777" w:rsidR="00971A1F" w:rsidRPr="00D9348B" w:rsidRDefault="00971A1F" w:rsidP="00DB330E">
            <w:pPr>
              <w:pStyle w:val="TableText"/>
              <w:keepNext/>
              <w:spacing w:after="50"/>
            </w:pPr>
          </w:p>
        </w:tc>
        <w:tc>
          <w:tcPr>
            <w:tcW w:w="2268" w:type="dxa"/>
          </w:tcPr>
          <w:p w14:paraId="3BC537F0" w14:textId="77777777" w:rsidR="00971A1F" w:rsidRPr="00D9348B" w:rsidRDefault="00971A1F" w:rsidP="00DB330E">
            <w:pPr>
              <w:pStyle w:val="TableText"/>
              <w:keepNext/>
              <w:spacing w:after="50"/>
            </w:pPr>
            <w:r w:rsidRPr="00D9348B">
              <w:t xml:space="preserve">2020 (1990–2018) emissions estimate </w:t>
            </w:r>
            <w:r w:rsidRPr="00D9348B">
              <w:rPr>
                <w:i/>
              </w:rPr>
              <w:t>using new</w:t>
            </w:r>
            <w:r w:rsidRPr="00D9348B">
              <w:t xml:space="preserve"> dairy goat population estimates</w:t>
            </w:r>
          </w:p>
        </w:tc>
        <w:tc>
          <w:tcPr>
            <w:tcW w:w="850" w:type="dxa"/>
            <w:vAlign w:val="center"/>
          </w:tcPr>
          <w:p w14:paraId="17FFCA28" w14:textId="77777777" w:rsidR="00971A1F" w:rsidRPr="00D9348B" w:rsidRDefault="00971A1F" w:rsidP="00DB330E">
            <w:pPr>
              <w:pStyle w:val="TableText"/>
              <w:keepNext/>
              <w:spacing w:after="50"/>
              <w:jc w:val="center"/>
            </w:pPr>
            <w:r w:rsidRPr="00D9348B">
              <w:t>32,182.0</w:t>
            </w:r>
          </w:p>
        </w:tc>
        <w:tc>
          <w:tcPr>
            <w:tcW w:w="851" w:type="dxa"/>
            <w:vAlign w:val="center"/>
          </w:tcPr>
          <w:p w14:paraId="4AFB1D73" w14:textId="77777777" w:rsidR="00971A1F" w:rsidRPr="00D9348B" w:rsidRDefault="00971A1F" w:rsidP="00DB330E">
            <w:pPr>
              <w:pStyle w:val="TableText"/>
              <w:spacing w:after="50"/>
              <w:jc w:val="center"/>
            </w:pPr>
            <w:r w:rsidRPr="00D9348B">
              <w:t>37,697.0</w:t>
            </w:r>
          </w:p>
        </w:tc>
        <w:tc>
          <w:tcPr>
            <w:tcW w:w="1417" w:type="dxa"/>
            <w:vAlign w:val="center"/>
          </w:tcPr>
          <w:p w14:paraId="1EA5921B" w14:textId="77777777" w:rsidR="00971A1F" w:rsidRPr="00D9348B" w:rsidRDefault="00971A1F" w:rsidP="00DB330E">
            <w:pPr>
              <w:pStyle w:val="TableText"/>
              <w:spacing w:after="50"/>
              <w:jc w:val="center"/>
            </w:pPr>
            <w:r w:rsidRPr="00D9348B">
              <w:t>5,515.0</w:t>
            </w:r>
          </w:p>
        </w:tc>
        <w:tc>
          <w:tcPr>
            <w:tcW w:w="1450" w:type="dxa"/>
            <w:vAlign w:val="center"/>
          </w:tcPr>
          <w:p w14:paraId="50E2DAAB" w14:textId="77777777" w:rsidR="00971A1F" w:rsidRPr="00D9348B" w:rsidRDefault="00971A1F" w:rsidP="00DB330E">
            <w:pPr>
              <w:pStyle w:val="TableText"/>
              <w:spacing w:after="50"/>
              <w:jc w:val="center"/>
            </w:pPr>
            <w:r w:rsidRPr="00D9348B">
              <w:t>17.1</w:t>
            </w:r>
          </w:p>
        </w:tc>
      </w:tr>
      <w:tr w:rsidR="00971A1F" w:rsidRPr="00D9348B" w14:paraId="0C12346F" w14:textId="77777777" w:rsidTr="00DB330E">
        <w:trPr>
          <w:trHeight w:val="454"/>
        </w:trPr>
        <w:tc>
          <w:tcPr>
            <w:tcW w:w="1726" w:type="dxa"/>
            <w:vMerge/>
          </w:tcPr>
          <w:p w14:paraId="50C672D3" w14:textId="77777777" w:rsidR="00971A1F" w:rsidRPr="00D9348B" w:rsidRDefault="00971A1F" w:rsidP="00DB330E">
            <w:pPr>
              <w:pStyle w:val="TableText"/>
              <w:keepNext/>
              <w:spacing w:after="50"/>
            </w:pPr>
          </w:p>
        </w:tc>
        <w:tc>
          <w:tcPr>
            <w:tcW w:w="2268" w:type="dxa"/>
          </w:tcPr>
          <w:p w14:paraId="682FE111" w14:textId="77777777" w:rsidR="00971A1F" w:rsidRPr="00D9348B" w:rsidRDefault="00971A1F" w:rsidP="00DB330E">
            <w:pPr>
              <w:pStyle w:val="TableText"/>
              <w:keepNext/>
              <w:spacing w:after="50"/>
            </w:pPr>
            <w:r w:rsidRPr="00D9348B">
              <w:t>Difference in emissions estimates compared with previous inventory</w:t>
            </w:r>
          </w:p>
        </w:tc>
        <w:tc>
          <w:tcPr>
            <w:tcW w:w="850" w:type="dxa"/>
            <w:vAlign w:val="center"/>
          </w:tcPr>
          <w:p w14:paraId="0FDA2FE8" w14:textId="77777777" w:rsidR="00971A1F" w:rsidRPr="00D9348B" w:rsidRDefault="00971A1F" w:rsidP="00DB330E">
            <w:pPr>
              <w:pStyle w:val="TableText"/>
              <w:keepNext/>
              <w:spacing w:after="50"/>
              <w:jc w:val="center"/>
            </w:pPr>
            <w:r w:rsidRPr="00D9348B">
              <w:t>0.0</w:t>
            </w:r>
          </w:p>
        </w:tc>
        <w:tc>
          <w:tcPr>
            <w:tcW w:w="851" w:type="dxa"/>
            <w:vAlign w:val="center"/>
          </w:tcPr>
          <w:p w14:paraId="406C8BE2" w14:textId="77777777" w:rsidR="00971A1F" w:rsidRPr="00D9348B" w:rsidRDefault="00971A1F" w:rsidP="00DB330E">
            <w:pPr>
              <w:pStyle w:val="TableText"/>
              <w:spacing w:after="50"/>
              <w:jc w:val="center"/>
            </w:pPr>
            <w:r w:rsidRPr="00D9348B">
              <w:t>2.0</w:t>
            </w:r>
          </w:p>
        </w:tc>
        <w:tc>
          <w:tcPr>
            <w:tcW w:w="1417" w:type="dxa"/>
            <w:vAlign w:val="center"/>
          </w:tcPr>
          <w:p w14:paraId="1F3F2436" w14:textId="77777777" w:rsidR="00971A1F" w:rsidRPr="00D9348B" w:rsidRDefault="00971A1F" w:rsidP="00DB330E">
            <w:pPr>
              <w:pStyle w:val="TableText"/>
              <w:spacing w:after="50"/>
              <w:jc w:val="center"/>
            </w:pPr>
            <w:r w:rsidRPr="00D9348B">
              <w:t>2.0</w:t>
            </w:r>
          </w:p>
        </w:tc>
        <w:tc>
          <w:tcPr>
            <w:tcW w:w="1450" w:type="dxa"/>
            <w:vAlign w:val="center"/>
          </w:tcPr>
          <w:p w14:paraId="545CED8E" w14:textId="77777777" w:rsidR="00971A1F" w:rsidRPr="00D9348B" w:rsidRDefault="00971A1F" w:rsidP="00DB330E">
            <w:pPr>
              <w:pStyle w:val="TableText"/>
              <w:spacing w:after="50"/>
              <w:jc w:val="center"/>
            </w:pPr>
          </w:p>
        </w:tc>
      </w:tr>
      <w:tr w:rsidR="00971A1F" w:rsidRPr="00D9348B" w14:paraId="2E16513E" w14:textId="77777777" w:rsidTr="00DB330E">
        <w:trPr>
          <w:trHeight w:val="454"/>
        </w:trPr>
        <w:tc>
          <w:tcPr>
            <w:tcW w:w="1726" w:type="dxa"/>
            <w:vMerge/>
          </w:tcPr>
          <w:p w14:paraId="3172439E" w14:textId="77777777" w:rsidR="00971A1F" w:rsidRPr="00D9348B" w:rsidRDefault="00971A1F" w:rsidP="00DB330E">
            <w:pPr>
              <w:pStyle w:val="TableText"/>
              <w:keepNext/>
              <w:spacing w:after="50"/>
            </w:pPr>
          </w:p>
        </w:tc>
        <w:tc>
          <w:tcPr>
            <w:tcW w:w="2268" w:type="dxa"/>
          </w:tcPr>
          <w:p w14:paraId="0798CE35" w14:textId="77777777" w:rsidR="00971A1F" w:rsidRPr="00D9348B" w:rsidRDefault="00971A1F" w:rsidP="00DB330E">
            <w:pPr>
              <w:pStyle w:val="TableText"/>
              <w:keepNext/>
              <w:spacing w:after="50"/>
            </w:pPr>
            <w:r w:rsidRPr="00D9348B">
              <w:t>Percentage difference in emissions estimates</w:t>
            </w:r>
          </w:p>
        </w:tc>
        <w:tc>
          <w:tcPr>
            <w:tcW w:w="850" w:type="dxa"/>
            <w:vAlign w:val="center"/>
          </w:tcPr>
          <w:p w14:paraId="0C2B7783" w14:textId="77777777" w:rsidR="00971A1F" w:rsidRPr="00D9348B" w:rsidRDefault="00971A1F" w:rsidP="00DB330E">
            <w:pPr>
              <w:pStyle w:val="TableText"/>
              <w:keepNext/>
              <w:spacing w:after="50"/>
              <w:jc w:val="center"/>
            </w:pPr>
            <w:r w:rsidRPr="00D9348B">
              <w:t>0.0</w:t>
            </w:r>
          </w:p>
        </w:tc>
        <w:tc>
          <w:tcPr>
            <w:tcW w:w="851" w:type="dxa"/>
            <w:vAlign w:val="center"/>
          </w:tcPr>
          <w:p w14:paraId="7A948F2A" w14:textId="77777777" w:rsidR="00971A1F" w:rsidRPr="00D9348B" w:rsidRDefault="00971A1F" w:rsidP="00DB330E">
            <w:pPr>
              <w:pStyle w:val="TableText"/>
              <w:spacing w:after="50"/>
              <w:jc w:val="center"/>
            </w:pPr>
            <w:r w:rsidRPr="00D9348B">
              <w:t>0.0</w:t>
            </w:r>
          </w:p>
        </w:tc>
        <w:tc>
          <w:tcPr>
            <w:tcW w:w="1417" w:type="dxa"/>
            <w:vAlign w:val="center"/>
          </w:tcPr>
          <w:p w14:paraId="30452F67" w14:textId="77777777" w:rsidR="00971A1F" w:rsidRPr="00D9348B" w:rsidRDefault="00971A1F" w:rsidP="00DB330E">
            <w:pPr>
              <w:pStyle w:val="TableText"/>
              <w:spacing w:after="50"/>
              <w:jc w:val="center"/>
            </w:pPr>
          </w:p>
        </w:tc>
        <w:tc>
          <w:tcPr>
            <w:tcW w:w="1450" w:type="dxa"/>
            <w:vAlign w:val="center"/>
          </w:tcPr>
          <w:p w14:paraId="693840AE" w14:textId="77777777" w:rsidR="00971A1F" w:rsidRPr="00D9348B" w:rsidRDefault="00971A1F" w:rsidP="00DB330E">
            <w:pPr>
              <w:pStyle w:val="TableText"/>
              <w:spacing w:after="50"/>
              <w:jc w:val="center"/>
            </w:pPr>
          </w:p>
        </w:tc>
      </w:tr>
    </w:tbl>
    <w:p w14:paraId="29377EEF" w14:textId="77777777" w:rsidR="00971A1F" w:rsidRPr="00D9348B" w:rsidRDefault="00971A1F" w:rsidP="000C636D">
      <w:pPr>
        <w:pStyle w:val="BodyText"/>
        <w:spacing w:before="240"/>
      </w:pPr>
      <w:r w:rsidRPr="00D9348B">
        <w:t xml:space="preserve">More significant improvements were proposed for the goat sector, particularly the manure management component of the goat inventory. However, these additional changes were not recommended for inclusion by the Agricultural Inventory Advisory Panel. The Panel considered that the proposed emission calculation methodology was based on insufficient activity data, </w:t>
      </w:r>
      <w:r w:rsidRPr="00D9348B">
        <w:lastRenderedPageBreak/>
        <w:t>which increased the likelihood of errors in the estimates. These improvements will be revisited with updated evidence and data at a future Advisory Panel meeting.</w:t>
      </w:r>
    </w:p>
    <w:p w14:paraId="510D4E45" w14:textId="77777777" w:rsidR="00971A1F" w:rsidRPr="00D9348B" w:rsidRDefault="00971A1F" w:rsidP="00971A1F">
      <w:pPr>
        <w:pStyle w:val="Heading5"/>
      </w:pPr>
      <w:r w:rsidRPr="00D9348B">
        <w:t>Minor improvements to the equations used to estimate energy efficiency for maintenance (k</w:t>
      </w:r>
      <w:r w:rsidRPr="00D9348B">
        <w:rPr>
          <w:vertAlign w:val="subscript"/>
        </w:rPr>
        <w:t>m</w:t>
      </w:r>
      <w:r w:rsidRPr="00D9348B">
        <w:t>)</w:t>
      </w:r>
    </w:p>
    <w:p w14:paraId="068096CB" w14:textId="77777777" w:rsidR="00971A1F" w:rsidRPr="00D9348B" w:rsidRDefault="00971A1F" w:rsidP="00971A1F">
      <w:pPr>
        <w:pStyle w:val="BodyText"/>
      </w:pPr>
      <w:r w:rsidRPr="00D9348B">
        <w:t>The variable k</w:t>
      </w:r>
      <w:r w:rsidRPr="00D9348B">
        <w:rPr>
          <w:vertAlign w:val="subscript"/>
        </w:rPr>
        <w:t>m</w:t>
      </w:r>
      <w:r w:rsidRPr="00D9348B">
        <w:t xml:space="preserve"> estimates the efficiency of energy used for maintenance activities for cattle, sheep and deer, which is used to help calculate energy requirements, intake, and nitrogen excretion. For the 2020 submission, minor improvements were made to this equation for beef cattle, sheep and deer (not dairy cattle), so that it is consistent with the Commonwealth Scientific and Industrial Research Organisation (CSIRO) (1990) ruminant feeding standards methodology and the 2006 IPCC Guidelines (IPCC, 2006). These improvements included:</w:t>
      </w:r>
    </w:p>
    <w:p w14:paraId="0E25A88A" w14:textId="77777777" w:rsidR="00971A1F" w:rsidRPr="00D9348B" w:rsidRDefault="00971A1F" w:rsidP="000C636D">
      <w:pPr>
        <w:pStyle w:val="Bullet"/>
      </w:pPr>
      <w:r w:rsidRPr="00D9348B">
        <w:t>specifying the values of constants and variables in the k</w:t>
      </w:r>
      <w:r w:rsidRPr="00D9348B">
        <w:rPr>
          <w:vertAlign w:val="subscript"/>
        </w:rPr>
        <w:t>m</w:t>
      </w:r>
      <w:r w:rsidRPr="00D9348B">
        <w:t xml:space="preserve"> equation to more significant figures, to be consistent with CSIRO (1990) methodological guidelines</w:t>
      </w:r>
    </w:p>
    <w:p w14:paraId="55BF71DA" w14:textId="12863AC1" w:rsidR="00971A1F" w:rsidRPr="00D9348B" w:rsidRDefault="00971A1F" w:rsidP="000C636D">
      <w:pPr>
        <w:pStyle w:val="Bullet"/>
      </w:pPr>
      <w:proofErr w:type="gramStart"/>
      <w:r w:rsidRPr="00D9348B">
        <w:t>adopting</w:t>
      </w:r>
      <w:proofErr w:type="gramEnd"/>
      <w:r w:rsidRPr="00D9348B">
        <w:t xml:space="preserve"> the IPCC default value for the gross energy content of feed – 18.45 MJ/kg dry matter (the value previously used in the inventory was 18.4 for cattle and deer and 18.5</w:t>
      </w:r>
      <w:r w:rsidR="000C636D" w:rsidRPr="00D9348B">
        <w:t> </w:t>
      </w:r>
      <w:r w:rsidRPr="00D9348B">
        <w:t>for sheep).</w:t>
      </w:r>
    </w:p>
    <w:p w14:paraId="2C7F891F" w14:textId="77777777" w:rsidR="00971A1F" w:rsidRPr="00D9348B" w:rsidRDefault="00971A1F" w:rsidP="00971A1F">
      <w:pPr>
        <w:pStyle w:val="BodyText"/>
      </w:pPr>
      <w:r w:rsidRPr="00D9348B">
        <w:t>After these improvements, estimated emissions from the Agriculture sector decreased by 0.1 per cent (24.0 kt CO</w:t>
      </w:r>
      <w:r w:rsidRPr="00D9348B">
        <w:rPr>
          <w:vertAlign w:val="subscript"/>
        </w:rPr>
        <w:t>2</w:t>
      </w:r>
      <w:r w:rsidRPr="00D9348B">
        <w:t>-e) in 1990 and 0.0 per cent (11.7 kt CO</w:t>
      </w:r>
      <w:r w:rsidRPr="00D9348B">
        <w:rPr>
          <w:vertAlign w:val="subscript"/>
        </w:rPr>
        <w:t>2</w:t>
      </w:r>
      <w:r w:rsidRPr="00D9348B">
        <w:t>-e) in 2018 (table 10.1.7).</w:t>
      </w:r>
    </w:p>
    <w:p w14:paraId="33BC2455" w14:textId="77777777" w:rsidR="00971A1F" w:rsidRPr="00D9348B" w:rsidRDefault="00971A1F" w:rsidP="00971A1F">
      <w:pPr>
        <w:pStyle w:val="Table"/>
      </w:pPr>
      <w:bookmarkStart w:id="3060" w:name="_Toc5269615"/>
      <w:bookmarkStart w:id="3061" w:name="_Toc36224696"/>
      <w:r w:rsidRPr="00D9348B">
        <w:t>Table 10.1.7</w:t>
      </w:r>
      <w:r w:rsidRPr="00D9348B">
        <w:tab/>
        <w:t>Effect of changes to energy efficiency for maintenance (k</w:t>
      </w:r>
      <w:r w:rsidRPr="00D9348B">
        <w:rPr>
          <w:vertAlign w:val="subscript"/>
        </w:rPr>
        <w:t>m</w:t>
      </w:r>
      <w:r w:rsidRPr="00D9348B">
        <w:t>) equations on agricultural</w:t>
      </w:r>
      <w:r w:rsidRPr="00D9348B">
        <w:br/>
        <w:t>emissions estimates, 1990 to </w:t>
      </w:r>
      <w:bookmarkEnd w:id="3060"/>
      <w:r w:rsidRPr="00D9348B">
        <w:t>2018</w:t>
      </w:r>
      <w:bookmarkEnd w:id="3061"/>
    </w:p>
    <w:tbl>
      <w:tblPr>
        <w:tblW w:w="8562" w:type="dxa"/>
        <w:tblInd w:w="108" w:type="dxa"/>
        <w:tblBorders>
          <w:top w:val="single" w:sz="4" w:space="0" w:color="365F91"/>
          <w:bottom w:val="single" w:sz="4" w:space="0" w:color="365F91"/>
          <w:insideH w:val="single" w:sz="4" w:space="0" w:color="365F91"/>
        </w:tblBorders>
        <w:tblLayout w:type="fixed"/>
        <w:tblLook w:val="0000" w:firstRow="0" w:lastRow="0" w:firstColumn="0" w:lastColumn="0" w:noHBand="0" w:noVBand="0"/>
      </w:tblPr>
      <w:tblGrid>
        <w:gridCol w:w="1525"/>
        <w:gridCol w:w="2111"/>
        <w:gridCol w:w="880"/>
        <w:gridCol w:w="880"/>
        <w:gridCol w:w="1642"/>
        <w:gridCol w:w="1524"/>
      </w:tblGrid>
      <w:tr w:rsidR="00971A1F" w:rsidRPr="00D9348B" w14:paraId="166F6238" w14:textId="77777777" w:rsidTr="00402DC1">
        <w:trPr>
          <w:trHeight w:val="608"/>
          <w:tblHeader/>
        </w:trPr>
        <w:tc>
          <w:tcPr>
            <w:tcW w:w="1474" w:type="dxa"/>
            <w:shd w:val="clear" w:color="auto" w:fill="365F91"/>
            <w:vAlign w:val="bottom"/>
          </w:tcPr>
          <w:p w14:paraId="53CAA1F3" w14:textId="77777777" w:rsidR="00971A1F" w:rsidRPr="00D9348B" w:rsidRDefault="00971A1F" w:rsidP="00DB330E">
            <w:pPr>
              <w:pStyle w:val="TableTextBold"/>
              <w:keepNext/>
              <w:rPr>
                <w:rFonts w:cs="Arial"/>
                <w:noProof w:val="0"/>
                <w:color w:val="FFFFFF"/>
                <w:szCs w:val="16"/>
              </w:rPr>
            </w:pPr>
          </w:p>
        </w:tc>
        <w:tc>
          <w:tcPr>
            <w:tcW w:w="2041" w:type="dxa"/>
            <w:shd w:val="clear" w:color="auto" w:fill="365F91"/>
            <w:vAlign w:val="bottom"/>
          </w:tcPr>
          <w:p w14:paraId="1FB3D5A6" w14:textId="77777777" w:rsidR="00971A1F" w:rsidRPr="00D9348B" w:rsidRDefault="00971A1F" w:rsidP="00DB330E">
            <w:pPr>
              <w:pStyle w:val="TableTextBold"/>
              <w:keepNext/>
              <w:rPr>
                <w:rFonts w:cs="Arial"/>
                <w:noProof w:val="0"/>
                <w:color w:val="FFFFFF"/>
                <w:szCs w:val="16"/>
              </w:rPr>
            </w:pPr>
          </w:p>
        </w:tc>
        <w:tc>
          <w:tcPr>
            <w:tcW w:w="851" w:type="dxa"/>
            <w:shd w:val="clear" w:color="auto" w:fill="365F91"/>
            <w:vAlign w:val="bottom"/>
          </w:tcPr>
          <w:p w14:paraId="51180A22" w14:textId="77777777" w:rsidR="00971A1F" w:rsidRPr="00D9348B" w:rsidRDefault="00971A1F" w:rsidP="00DB330E">
            <w:pPr>
              <w:pStyle w:val="TableTextBold"/>
              <w:keepNext/>
              <w:jc w:val="center"/>
              <w:rPr>
                <w:rFonts w:cs="Arial"/>
                <w:noProof w:val="0"/>
                <w:color w:val="FFFFFF"/>
              </w:rPr>
            </w:pPr>
            <w:r w:rsidRPr="00D9348B">
              <w:rPr>
                <w:rFonts w:cs="Arial"/>
                <w:noProof w:val="0"/>
                <w:color w:val="FFFFFF"/>
              </w:rPr>
              <w:t>1990</w:t>
            </w:r>
          </w:p>
        </w:tc>
        <w:tc>
          <w:tcPr>
            <w:tcW w:w="851" w:type="dxa"/>
            <w:shd w:val="clear" w:color="auto" w:fill="365F91"/>
            <w:vAlign w:val="bottom"/>
          </w:tcPr>
          <w:p w14:paraId="2249A979" w14:textId="77777777" w:rsidR="00971A1F" w:rsidRPr="00D9348B" w:rsidRDefault="00971A1F" w:rsidP="00DB330E">
            <w:pPr>
              <w:pStyle w:val="TableTextBold"/>
              <w:jc w:val="center"/>
              <w:rPr>
                <w:rFonts w:cs="Arial"/>
                <w:noProof w:val="0"/>
                <w:color w:val="FFFFFF"/>
              </w:rPr>
            </w:pPr>
            <w:r w:rsidRPr="00D9348B">
              <w:rPr>
                <w:rFonts w:cs="Arial"/>
                <w:noProof w:val="0"/>
                <w:color w:val="FFFFFF"/>
              </w:rPr>
              <w:t>2018</w:t>
            </w:r>
          </w:p>
        </w:tc>
        <w:tc>
          <w:tcPr>
            <w:tcW w:w="1588" w:type="dxa"/>
            <w:shd w:val="clear" w:color="auto" w:fill="365F91"/>
            <w:vAlign w:val="bottom"/>
          </w:tcPr>
          <w:p w14:paraId="7EF748BE" w14:textId="77777777" w:rsidR="00971A1F" w:rsidRPr="00D9348B" w:rsidRDefault="00971A1F" w:rsidP="00DB330E">
            <w:pPr>
              <w:pStyle w:val="TableTextBold"/>
              <w:jc w:val="center"/>
              <w:rPr>
                <w:rFonts w:cs="Arial"/>
                <w:noProof w:val="0"/>
                <w:color w:val="FFFFFF"/>
                <w:szCs w:val="16"/>
              </w:rPr>
            </w:pPr>
            <w:r w:rsidRPr="00D9348B">
              <w:rPr>
                <w:rFonts w:cs="Arial"/>
                <w:noProof w:val="0"/>
                <w:color w:val="FFFFFF"/>
                <w:szCs w:val="16"/>
              </w:rPr>
              <w:t xml:space="preserve">Change in emission outputs between 1990 and 2018 </w:t>
            </w:r>
            <w:r w:rsidRPr="00D9348B">
              <w:rPr>
                <w:rFonts w:cs="Arial"/>
                <w:noProof w:val="0"/>
                <w:color w:val="FFFFFF"/>
                <w:szCs w:val="16"/>
              </w:rPr>
              <w:br/>
              <w:t>(kt CO</w:t>
            </w:r>
            <w:r w:rsidRPr="00D9348B">
              <w:rPr>
                <w:rFonts w:cs="Arial"/>
                <w:noProof w:val="0"/>
                <w:color w:val="FFFFFF"/>
                <w:szCs w:val="16"/>
                <w:vertAlign w:val="subscript"/>
              </w:rPr>
              <w:t>2</w:t>
            </w:r>
            <w:r w:rsidRPr="00D9348B">
              <w:rPr>
                <w:rFonts w:cs="Arial"/>
                <w:noProof w:val="0"/>
                <w:color w:val="FFFFFF"/>
                <w:szCs w:val="16"/>
              </w:rPr>
              <w:t xml:space="preserve">-e) </w:t>
            </w:r>
          </w:p>
        </w:tc>
        <w:tc>
          <w:tcPr>
            <w:tcW w:w="1474" w:type="dxa"/>
            <w:shd w:val="clear" w:color="auto" w:fill="365F91"/>
            <w:vAlign w:val="bottom"/>
          </w:tcPr>
          <w:p w14:paraId="6FAE8D4B" w14:textId="77777777" w:rsidR="00971A1F" w:rsidRPr="00D9348B" w:rsidRDefault="00971A1F" w:rsidP="00DB330E">
            <w:pPr>
              <w:pStyle w:val="TableTextBold"/>
              <w:jc w:val="center"/>
              <w:rPr>
                <w:rFonts w:cs="Arial"/>
                <w:noProof w:val="0"/>
                <w:color w:val="FFFFFF"/>
                <w:szCs w:val="16"/>
              </w:rPr>
            </w:pPr>
            <w:r w:rsidRPr="00D9348B">
              <w:rPr>
                <w:rFonts w:cs="Arial"/>
                <w:noProof w:val="0"/>
                <w:color w:val="FFFFFF"/>
                <w:szCs w:val="16"/>
              </w:rPr>
              <w:t>Percentage change in emission outputs between 1990 and 2018</w:t>
            </w:r>
          </w:p>
        </w:tc>
      </w:tr>
      <w:tr w:rsidR="00971A1F" w:rsidRPr="00D9348B" w14:paraId="0BAEC0C2" w14:textId="77777777" w:rsidTr="00402DC1">
        <w:trPr>
          <w:trHeight w:val="454"/>
        </w:trPr>
        <w:tc>
          <w:tcPr>
            <w:tcW w:w="1474" w:type="dxa"/>
            <w:vMerge w:val="restart"/>
            <w:vAlign w:val="center"/>
          </w:tcPr>
          <w:p w14:paraId="4A17CE71" w14:textId="77777777" w:rsidR="00971A1F" w:rsidRPr="00D9348B" w:rsidRDefault="00971A1F" w:rsidP="00DB330E">
            <w:pPr>
              <w:pStyle w:val="TableText"/>
              <w:spacing w:before="50"/>
            </w:pPr>
            <w:r w:rsidRPr="00D9348B">
              <w:t>Total emissions from Agriculture category (kt CO</w:t>
            </w:r>
            <w:r w:rsidRPr="00D9348B">
              <w:rPr>
                <w:vertAlign w:val="subscript"/>
              </w:rPr>
              <w:t>2</w:t>
            </w:r>
            <w:r w:rsidRPr="00D9348B">
              <w:t>-e)</w:t>
            </w:r>
          </w:p>
        </w:tc>
        <w:tc>
          <w:tcPr>
            <w:tcW w:w="2041" w:type="dxa"/>
          </w:tcPr>
          <w:p w14:paraId="0E57A590" w14:textId="77777777" w:rsidR="00971A1F" w:rsidRPr="00D9348B" w:rsidRDefault="00971A1F" w:rsidP="00DB330E">
            <w:pPr>
              <w:pStyle w:val="TableText"/>
              <w:keepNext/>
              <w:spacing w:before="50"/>
            </w:pPr>
            <w:r w:rsidRPr="00D9348B">
              <w:t xml:space="preserve">2020 (1990–2018) emissions estimate </w:t>
            </w:r>
            <w:r w:rsidRPr="00D9348B">
              <w:rPr>
                <w:i/>
                <w:iCs/>
              </w:rPr>
              <w:t xml:space="preserve">using previous </w:t>
            </w:r>
            <w:r w:rsidRPr="00D9348B">
              <w:t>k</w:t>
            </w:r>
            <w:r w:rsidRPr="00D9348B">
              <w:rPr>
                <w:vertAlign w:val="subscript"/>
              </w:rPr>
              <w:t>m</w:t>
            </w:r>
            <w:r w:rsidRPr="00D9348B">
              <w:t xml:space="preserve"> equation specification</w:t>
            </w:r>
          </w:p>
        </w:tc>
        <w:tc>
          <w:tcPr>
            <w:tcW w:w="851" w:type="dxa"/>
            <w:vAlign w:val="center"/>
          </w:tcPr>
          <w:p w14:paraId="537736FD" w14:textId="77777777" w:rsidR="00971A1F" w:rsidRPr="00D9348B" w:rsidRDefault="00971A1F" w:rsidP="00DB330E">
            <w:pPr>
              <w:pStyle w:val="TableText"/>
              <w:keepNext/>
              <w:spacing w:before="50"/>
              <w:jc w:val="center"/>
              <w:rPr>
                <w:rFonts w:cs="Arial"/>
              </w:rPr>
            </w:pPr>
            <w:r w:rsidRPr="00D9348B">
              <w:t>32,205.9</w:t>
            </w:r>
          </w:p>
        </w:tc>
        <w:tc>
          <w:tcPr>
            <w:tcW w:w="851" w:type="dxa"/>
            <w:vAlign w:val="center"/>
          </w:tcPr>
          <w:p w14:paraId="1F857229" w14:textId="77777777" w:rsidR="00971A1F" w:rsidRPr="00D9348B" w:rsidRDefault="00971A1F" w:rsidP="00DB330E">
            <w:pPr>
              <w:pStyle w:val="TableText"/>
              <w:spacing w:before="50"/>
              <w:jc w:val="center"/>
              <w:rPr>
                <w:rFonts w:cs="Arial"/>
              </w:rPr>
            </w:pPr>
            <w:r w:rsidRPr="00D9348B">
              <w:t>37,708.7</w:t>
            </w:r>
          </w:p>
        </w:tc>
        <w:tc>
          <w:tcPr>
            <w:tcW w:w="1588" w:type="dxa"/>
            <w:vAlign w:val="center"/>
          </w:tcPr>
          <w:p w14:paraId="5D795819" w14:textId="77777777" w:rsidR="00971A1F" w:rsidRPr="00D9348B" w:rsidRDefault="00971A1F" w:rsidP="00DB330E">
            <w:pPr>
              <w:pStyle w:val="TableText"/>
              <w:spacing w:before="50"/>
              <w:jc w:val="center"/>
              <w:rPr>
                <w:rFonts w:cs="Arial"/>
              </w:rPr>
            </w:pPr>
            <w:r w:rsidRPr="00D9348B">
              <w:t>5,502.7</w:t>
            </w:r>
          </w:p>
        </w:tc>
        <w:tc>
          <w:tcPr>
            <w:tcW w:w="1474" w:type="dxa"/>
            <w:vAlign w:val="center"/>
          </w:tcPr>
          <w:p w14:paraId="1335A2AF" w14:textId="77777777" w:rsidR="00971A1F" w:rsidRPr="00D9348B" w:rsidRDefault="00971A1F" w:rsidP="00DB330E">
            <w:pPr>
              <w:pStyle w:val="TableText"/>
              <w:spacing w:before="50"/>
              <w:jc w:val="center"/>
              <w:rPr>
                <w:rFonts w:cs="Arial"/>
              </w:rPr>
            </w:pPr>
            <w:r w:rsidRPr="00D9348B">
              <w:t>17.1</w:t>
            </w:r>
          </w:p>
        </w:tc>
      </w:tr>
      <w:tr w:rsidR="00971A1F" w:rsidRPr="00D9348B" w14:paraId="391486AC" w14:textId="77777777" w:rsidTr="00402DC1">
        <w:trPr>
          <w:trHeight w:val="454"/>
        </w:trPr>
        <w:tc>
          <w:tcPr>
            <w:tcW w:w="1474" w:type="dxa"/>
            <w:vMerge/>
          </w:tcPr>
          <w:p w14:paraId="4A259A42" w14:textId="77777777" w:rsidR="00971A1F" w:rsidRPr="00D9348B" w:rsidRDefault="00971A1F" w:rsidP="00DB330E">
            <w:pPr>
              <w:pStyle w:val="TableText"/>
              <w:keepNext/>
              <w:spacing w:before="50"/>
            </w:pPr>
          </w:p>
        </w:tc>
        <w:tc>
          <w:tcPr>
            <w:tcW w:w="2041" w:type="dxa"/>
          </w:tcPr>
          <w:p w14:paraId="1F9BB044" w14:textId="77777777" w:rsidR="00971A1F" w:rsidRPr="00D9348B" w:rsidRDefault="00971A1F" w:rsidP="00DB330E">
            <w:pPr>
              <w:pStyle w:val="TableText"/>
              <w:keepNext/>
              <w:spacing w:before="50"/>
            </w:pPr>
            <w:r w:rsidRPr="00D9348B">
              <w:t xml:space="preserve">2020 (1990–2018) emissions estimate </w:t>
            </w:r>
            <w:r w:rsidRPr="00D9348B">
              <w:rPr>
                <w:i/>
                <w:iCs/>
              </w:rPr>
              <w:t>using new</w:t>
            </w:r>
            <w:r w:rsidRPr="00D9348B">
              <w:t xml:space="preserve"> k</w:t>
            </w:r>
            <w:r w:rsidRPr="00D9348B">
              <w:rPr>
                <w:vertAlign w:val="subscript"/>
              </w:rPr>
              <w:t>m</w:t>
            </w:r>
            <w:r w:rsidRPr="00D9348B">
              <w:t xml:space="preserve"> equation specification</w:t>
            </w:r>
          </w:p>
        </w:tc>
        <w:tc>
          <w:tcPr>
            <w:tcW w:w="851" w:type="dxa"/>
            <w:vAlign w:val="center"/>
          </w:tcPr>
          <w:p w14:paraId="32C5F5D3" w14:textId="77777777" w:rsidR="00971A1F" w:rsidRPr="00D9348B" w:rsidRDefault="00971A1F" w:rsidP="00DB330E">
            <w:pPr>
              <w:pStyle w:val="TableText"/>
              <w:keepNext/>
              <w:spacing w:before="50"/>
              <w:jc w:val="center"/>
              <w:rPr>
                <w:rFonts w:cs="Arial"/>
              </w:rPr>
            </w:pPr>
            <w:r w:rsidRPr="00D9348B">
              <w:t>32,182.0</w:t>
            </w:r>
          </w:p>
        </w:tc>
        <w:tc>
          <w:tcPr>
            <w:tcW w:w="851" w:type="dxa"/>
            <w:vAlign w:val="center"/>
          </w:tcPr>
          <w:p w14:paraId="6F746050" w14:textId="77777777" w:rsidR="00971A1F" w:rsidRPr="00D9348B" w:rsidRDefault="00971A1F" w:rsidP="00DB330E">
            <w:pPr>
              <w:pStyle w:val="TableText"/>
              <w:spacing w:before="50"/>
              <w:jc w:val="center"/>
              <w:rPr>
                <w:rFonts w:cs="Arial"/>
              </w:rPr>
            </w:pPr>
            <w:r w:rsidRPr="00D9348B">
              <w:t>37,697.0</w:t>
            </w:r>
          </w:p>
        </w:tc>
        <w:tc>
          <w:tcPr>
            <w:tcW w:w="1588" w:type="dxa"/>
            <w:vAlign w:val="center"/>
          </w:tcPr>
          <w:p w14:paraId="5E9FD3E6" w14:textId="77777777" w:rsidR="00971A1F" w:rsidRPr="00D9348B" w:rsidRDefault="00971A1F" w:rsidP="00DB330E">
            <w:pPr>
              <w:pStyle w:val="TableText"/>
              <w:spacing w:before="50"/>
              <w:jc w:val="center"/>
              <w:rPr>
                <w:rFonts w:cs="Arial"/>
              </w:rPr>
            </w:pPr>
            <w:r w:rsidRPr="00D9348B">
              <w:t>5,515.0</w:t>
            </w:r>
          </w:p>
        </w:tc>
        <w:tc>
          <w:tcPr>
            <w:tcW w:w="1474" w:type="dxa"/>
            <w:vAlign w:val="center"/>
          </w:tcPr>
          <w:p w14:paraId="3490FBB1" w14:textId="77777777" w:rsidR="00971A1F" w:rsidRPr="00D9348B" w:rsidRDefault="00971A1F" w:rsidP="00DB330E">
            <w:pPr>
              <w:pStyle w:val="TableText"/>
              <w:spacing w:before="50"/>
              <w:jc w:val="center"/>
              <w:rPr>
                <w:rFonts w:cs="Arial"/>
              </w:rPr>
            </w:pPr>
            <w:r w:rsidRPr="00D9348B">
              <w:t>17.1</w:t>
            </w:r>
          </w:p>
        </w:tc>
      </w:tr>
      <w:tr w:rsidR="00971A1F" w:rsidRPr="00D9348B" w14:paraId="14E0B30D" w14:textId="77777777" w:rsidTr="00402DC1">
        <w:trPr>
          <w:trHeight w:val="454"/>
        </w:trPr>
        <w:tc>
          <w:tcPr>
            <w:tcW w:w="1474" w:type="dxa"/>
            <w:vMerge/>
          </w:tcPr>
          <w:p w14:paraId="637F585D" w14:textId="77777777" w:rsidR="00971A1F" w:rsidRPr="00D9348B" w:rsidRDefault="00971A1F" w:rsidP="00DB330E">
            <w:pPr>
              <w:pStyle w:val="TableText"/>
              <w:keepNext/>
              <w:spacing w:before="50"/>
            </w:pPr>
          </w:p>
        </w:tc>
        <w:tc>
          <w:tcPr>
            <w:tcW w:w="2041" w:type="dxa"/>
          </w:tcPr>
          <w:p w14:paraId="276DC67F" w14:textId="77777777" w:rsidR="00971A1F" w:rsidRPr="00D9348B" w:rsidRDefault="00971A1F" w:rsidP="00DB330E">
            <w:pPr>
              <w:pStyle w:val="TableText"/>
              <w:keepNext/>
              <w:spacing w:before="50"/>
            </w:pPr>
            <w:r w:rsidRPr="00D9348B">
              <w:t>Difference in emissions estimates compared with previous inventory</w:t>
            </w:r>
          </w:p>
        </w:tc>
        <w:tc>
          <w:tcPr>
            <w:tcW w:w="851" w:type="dxa"/>
            <w:vAlign w:val="center"/>
          </w:tcPr>
          <w:p w14:paraId="3964C064" w14:textId="77777777" w:rsidR="00971A1F" w:rsidRPr="00D9348B" w:rsidRDefault="00971A1F" w:rsidP="00DB330E">
            <w:pPr>
              <w:pStyle w:val="TableText"/>
              <w:keepNext/>
              <w:spacing w:before="50"/>
              <w:jc w:val="center"/>
              <w:rPr>
                <w:rFonts w:cs="Arial"/>
              </w:rPr>
            </w:pPr>
            <w:r w:rsidRPr="00D9348B">
              <w:t>–24.0</w:t>
            </w:r>
          </w:p>
        </w:tc>
        <w:tc>
          <w:tcPr>
            <w:tcW w:w="851" w:type="dxa"/>
            <w:vAlign w:val="center"/>
          </w:tcPr>
          <w:p w14:paraId="69359664" w14:textId="77777777" w:rsidR="00971A1F" w:rsidRPr="00D9348B" w:rsidRDefault="00971A1F" w:rsidP="00DB330E">
            <w:pPr>
              <w:pStyle w:val="TableText"/>
              <w:spacing w:before="50"/>
              <w:jc w:val="center"/>
              <w:rPr>
                <w:rFonts w:cs="Arial"/>
              </w:rPr>
            </w:pPr>
            <w:r w:rsidRPr="00D9348B">
              <w:t>–11.7</w:t>
            </w:r>
          </w:p>
        </w:tc>
        <w:tc>
          <w:tcPr>
            <w:tcW w:w="1588" w:type="dxa"/>
            <w:vAlign w:val="center"/>
          </w:tcPr>
          <w:p w14:paraId="47D760E8" w14:textId="77777777" w:rsidR="00971A1F" w:rsidRPr="00D9348B" w:rsidRDefault="00971A1F" w:rsidP="00DB330E">
            <w:pPr>
              <w:pStyle w:val="TableText"/>
              <w:spacing w:before="50"/>
              <w:jc w:val="center"/>
              <w:rPr>
                <w:rFonts w:cs="Arial"/>
              </w:rPr>
            </w:pPr>
            <w:r w:rsidRPr="00D9348B">
              <w:t>12.3</w:t>
            </w:r>
          </w:p>
        </w:tc>
        <w:tc>
          <w:tcPr>
            <w:tcW w:w="1474" w:type="dxa"/>
            <w:vAlign w:val="center"/>
          </w:tcPr>
          <w:p w14:paraId="2CAD714F" w14:textId="77777777" w:rsidR="00971A1F" w:rsidRPr="00D9348B" w:rsidRDefault="00971A1F" w:rsidP="00DB330E">
            <w:pPr>
              <w:pStyle w:val="TableText"/>
              <w:spacing w:before="50"/>
              <w:jc w:val="center"/>
              <w:rPr>
                <w:rFonts w:cs="Arial"/>
              </w:rPr>
            </w:pPr>
          </w:p>
        </w:tc>
      </w:tr>
      <w:tr w:rsidR="00971A1F" w:rsidRPr="00D9348B" w14:paraId="3D4ABE7F" w14:textId="77777777" w:rsidTr="00402DC1">
        <w:trPr>
          <w:trHeight w:val="454"/>
        </w:trPr>
        <w:tc>
          <w:tcPr>
            <w:tcW w:w="1474" w:type="dxa"/>
            <w:vMerge/>
          </w:tcPr>
          <w:p w14:paraId="0B41BAEA" w14:textId="77777777" w:rsidR="00971A1F" w:rsidRPr="00D9348B" w:rsidRDefault="00971A1F" w:rsidP="00DB330E">
            <w:pPr>
              <w:pStyle w:val="TableText"/>
              <w:keepNext/>
              <w:spacing w:before="50"/>
            </w:pPr>
          </w:p>
        </w:tc>
        <w:tc>
          <w:tcPr>
            <w:tcW w:w="2041" w:type="dxa"/>
          </w:tcPr>
          <w:p w14:paraId="73AC5788" w14:textId="77777777" w:rsidR="00971A1F" w:rsidRPr="00D9348B" w:rsidRDefault="00971A1F" w:rsidP="00DB330E">
            <w:pPr>
              <w:pStyle w:val="TableText"/>
              <w:keepNext/>
              <w:spacing w:before="50"/>
            </w:pPr>
            <w:r w:rsidRPr="00D9348B">
              <w:t>Percentage difference in emissions estimates</w:t>
            </w:r>
          </w:p>
        </w:tc>
        <w:tc>
          <w:tcPr>
            <w:tcW w:w="851" w:type="dxa"/>
            <w:vAlign w:val="center"/>
          </w:tcPr>
          <w:p w14:paraId="35A6E2E9" w14:textId="77777777" w:rsidR="00971A1F" w:rsidRPr="00D9348B" w:rsidRDefault="00971A1F" w:rsidP="00DB330E">
            <w:pPr>
              <w:pStyle w:val="TableText"/>
              <w:keepNext/>
              <w:spacing w:before="50"/>
              <w:jc w:val="center"/>
              <w:rPr>
                <w:rFonts w:cs="Arial"/>
              </w:rPr>
            </w:pPr>
            <w:r w:rsidRPr="00D9348B">
              <w:t>–0.1</w:t>
            </w:r>
          </w:p>
        </w:tc>
        <w:tc>
          <w:tcPr>
            <w:tcW w:w="851" w:type="dxa"/>
            <w:vAlign w:val="center"/>
          </w:tcPr>
          <w:p w14:paraId="5E5BCAB3" w14:textId="77777777" w:rsidR="00971A1F" w:rsidRPr="00D9348B" w:rsidRDefault="00971A1F" w:rsidP="00DB330E">
            <w:pPr>
              <w:pStyle w:val="TableText"/>
              <w:spacing w:before="50"/>
              <w:jc w:val="center"/>
              <w:rPr>
                <w:rFonts w:cs="Arial"/>
              </w:rPr>
            </w:pPr>
            <w:r w:rsidRPr="00D9348B">
              <w:t>0.0</w:t>
            </w:r>
          </w:p>
        </w:tc>
        <w:tc>
          <w:tcPr>
            <w:tcW w:w="1588" w:type="dxa"/>
            <w:vAlign w:val="center"/>
          </w:tcPr>
          <w:p w14:paraId="027C2EDD" w14:textId="77777777" w:rsidR="00971A1F" w:rsidRPr="00D9348B" w:rsidRDefault="00971A1F" w:rsidP="00DB330E">
            <w:pPr>
              <w:pStyle w:val="TableText"/>
              <w:spacing w:before="50"/>
              <w:jc w:val="center"/>
              <w:rPr>
                <w:rFonts w:cs="Arial"/>
              </w:rPr>
            </w:pPr>
          </w:p>
        </w:tc>
        <w:tc>
          <w:tcPr>
            <w:tcW w:w="1474" w:type="dxa"/>
            <w:vAlign w:val="center"/>
          </w:tcPr>
          <w:p w14:paraId="711E9518" w14:textId="77777777" w:rsidR="00971A1F" w:rsidRPr="00D9348B" w:rsidRDefault="00971A1F" w:rsidP="00DB330E">
            <w:pPr>
              <w:pStyle w:val="TableText"/>
              <w:spacing w:before="50"/>
              <w:jc w:val="center"/>
              <w:rPr>
                <w:rFonts w:cs="Arial"/>
              </w:rPr>
            </w:pPr>
          </w:p>
        </w:tc>
      </w:tr>
    </w:tbl>
    <w:p w14:paraId="777AD398" w14:textId="77777777" w:rsidR="00971A1F" w:rsidRPr="00D9348B" w:rsidRDefault="00971A1F" w:rsidP="00971A1F">
      <w:pPr>
        <w:pStyle w:val="Heading5"/>
        <w:spacing w:before="360"/>
      </w:pPr>
      <w:r w:rsidRPr="00D9348B">
        <w:t>Revision of agricultural statistics</w:t>
      </w:r>
    </w:p>
    <w:p w14:paraId="3E1456AB" w14:textId="77777777" w:rsidR="00971A1F" w:rsidRPr="00D9348B" w:rsidRDefault="00971A1F" w:rsidP="00971A1F">
      <w:pPr>
        <w:pStyle w:val="BodyText"/>
        <w:spacing w:before="100"/>
      </w:pPr>
      <w:r w:rsidRPr="00D9348B">
        <w:t>Revision and finalisation of agricultural data from Stats NZ can mean emissions estimates for the latest two years vary from the previous submission for certain source categories.</w:t>
      </w:r>
    </w:p>
    <w:p w14:paraId="2D4DC00E" w14:textId="3E09BA5D" w:rsidR="00971A1F" w:rsidRPr="00D9348B" w:rsidRDefault="00971A1F" w:rsidP="00971A1F">
      <w:pPr>
        <w:pStyle w:val="BodyText"/>
        <w:spacing w:before="100"/>
      </w:pPr>
      <w:r w:rsidRPr="00D9348B">
        <w:t>The calculation of emissions for the most recent year requires data from Stats NZ that are only</w:t>
      </w:r>
      <w:r w:rsidR="000C636D" w:rsidRPr="00D9348B">
        <w:t> </w:t>
      </w:r>
      <w:r w:rsidRPr="00D9348B">
        <w:t>provisional at the time the inventory is compiled. These figures can change after receiving</w:t>
      </w:r>
      <w:r w:rsidR="000C636D" w:rsidRPr="00D9348B">
        <w:t> </w:t>
      </w:r>
      <w:r w:rsidRPr="00D9348B">
        <w:t>final animal numbers and data. The final figures will be taken account of in the 2021</w:t>
      </w:r>
      <w:r w:rsidR="000C636D" w:rsidRPr="00D9348B">
        <w:t> </w:t>
      </w:r>
      <w:r w:rsidRPr="00D9348B">
        <w:t>(1990–2019) submission.</w:t>
      </w:r>
    </w:p>
    <w:p w14:paraId="1ACD9C13" w14:textId="77777777" w:rsidR="00971A1F" w:rsidRPr="00D9348B" w:rsidRDefault="00971A1F" w:rsidP="00B132D1">
      <w:pPr>
        <w:pStyle w:val="Heading3"/>
        <w:tabs>
          <w:tab w:val="left" w:pos="993"/>
        </w:tabs>
        <w:spacing w:before="240"/>
        <w:ind w:left="993" w:hanging="993"/>
      </w:pPr>
      <w:r w:rsidRPr="00D9348B">
        <w:t xml:space="preserve">10.1.4 </w:t>
      </w:r>
      <w:r w:rsidRPr="00D9348B">
        <w:tab/>
        <w:t>Land use, land-use change and forestry</w:t>
      </w:r>
    </w:p>
    <w:p w14:paraId="5CE94736" w14:textId="77777777" w:rsidR="00971A1F" w:rsidRPr="00D9348B" w:rsidRDefault="00971A1F" w:rsidP="00971A1F">
      <w:pPr>
        <w:pStyle w:val="BodyText"/>
      </w:pPr>
      <w:bookmarkStart w:id="3062" w:name="_Toc414531641"/>
      <w:bookmarkStart w:id="3063" w:name="_Toc447275724"/>
      <w:bookmarkStart w:id="3064" w:name="_Toc481752043"/>
      <w:bookmarkStart w:id="3065" w:name="_Toc511116997"/>
      <w:r w:rsidRPr="00D9348B">
        <w:t xml:space="preserve">Improvements made to the LULUCF sector have resulted in a </w:t>
      </w:r>
      <w:r w:rsidRPr="00D9348B">
        <w:rPr>
          <w:rFonts w:cs="Arial"/>
          <w:color w:val="000000"/>
          <w:szCs w:val="16"/>
        </w:rPr>
        <w:t>9.2</w:t>
      </w:r>
      <w:r w:rsidRPr="00D9348B">
        <w:t xml:space="preserve"> per cent (2,864.7 kt CO</w:t>
      </w:r>
      <w:r w:rsidRPr="00D9348B">
        <w:rPr>
          <w:vertAlign w:val="subscript"/>
        </w:rPr>
        <w:t>2</w:t>
      </w:r>
      <w:r w:rsidRPr="00D9348B">
        <w:noBreakHyphen/>
        <w:t>e) decrease in net LULUCF removals in 1990 and a 5.2 per cent (</w:t>
      </w:r>
      <w:r w:rsidRPr="00D9348B">
        <w:rPr>
          <w:rFonts w:cs="Arial"/>
          <w:color w:val="000000"/>
          <w:szCs w:val="16"/>
        </w:rPr>
        <w:t xml:space="preserve">1,248.3 </w:t>
      </w:r>
      <w:r w:rsidRPr="00D9348B">
        <w:t>kt CO</w:t>
      </w:r>
      <w:r w:rsidRPr="00D9348B">
        <w:rPr>
          <w:vertAlign w:val="subscript"/>
        </w:rPr>
        <w:t>2</w:t>
      </w:r>
      <w:r w:rsidRPr="00D9348B">
        <w:t>-e) decrease in net LULUCF removals in 2017 (figure 10.1.5).</w:t>
      </w:r>
    </w:p>
    <w:p w14:paraId="7C5DD94D" w14:textId="77777777" w:rsidR="00971A1F" w:rsidRPr="00D9348B" w:rsidRDefault="00971A1F" w:rsidP="000C636D">
      <w:pPr>
        <w:pStyle w:val="Figure"/>
      </w:pPr>
      <w:bookmarkStart w:id="3066" w:name="_Toc5269732"/>
      <w:bookmarkStart w:id="3067" w:name="_Toc36292837"/>
      <w:r w:rsidRPr="00D9348B">
        <w:lastRenderedPageBreak/>
        <w:t>Figure 10.1.5</w:t>
      </w:r>
      <w:r w:rsidRPr="00D9348B">
        <w:tab/>
        <w:t>Effect of recalculations on net emissions from New Zealand’s LULUCF sector from 1990 to 201</w:t>
      </w:r>
      <w:bookmarkEnd w:id="3062"/>
      <w:bookmarkEnd w:id="3063"/>
      <w:bookmarkEnd w:id="3064"/>
      <w:bookmarkEnd w:id="3065"/>
      <w:r w:rsidRPr="00D9348B">
        <w:t>7</w:t>
      </w:r>
      <w:bookmarkEnd w:id="3066"/>
      <w:bookmarkEnd w:id="3067"/>
    </w:p>
    <w:p w14:paraId="37665463" w14:textId="2E4E21E5" w:rsidR="00971A1F" w:rsidRPr="00D9348B" w:rsidRDefault="007165CF" w:rsidP="00971A1F">
      <w:r>
        <w:pict w14:anchorId="18D6138A">
          <v:shape id="Picture 5" o:spid="_x0000_i1170" type="#_x0000_t75" style="width:409.45pt;height:221pt;visibility:visible;mso-wrap-style:square">
            <v:imagedata r:id="rId277" o:title="" croptop="2252f" cropbottom="5041f" cropright="2344f"/>
          </v:shape>
        </w:pict>
      </w:r>
    </w:p>
    <w:p w14:paraId="6BC025B7" w14:textId="6DA24872" w:rsidR="00971A1F" w:rsidRPr="00D9348B" w:rsidRDefault="00971A1F" w:rsidP="00971A1F">
      <w:pPr>
        <w:pStyle w:val="Noteundertable"/>
      </w:pPr>
      <w:r w:rsidRPr="00D9348B">
        <w:rPr>
          <w:b/>
        </w:rPr>
        <w:t>Note:</w:t>
      </w:r>
      <w:r w:rsidRPr="00D9348B">
        <w:t xml:space="preserve"> </w:t>
      </w:r>
      <w:r w:rsidRPr="00D9348B">
        <w:tab/>
        <w:t>Net emissions are expressed as a negative value to help clarify that the value is a removal and not an</w:t>
      </w:r>
      <w:r w:rsidR="000C636D" w:rsidRPr="00D9348B">
        <w:t> </w:t>
      </w:r>
      <w:r w:rsidRPr="00D9348B">
        <w:t xml:space="preserve">emission. </w:t>
      </w:r>
    </w:p>
    <w:p w14:paraId="4573CFD2" w14:textId="77777777" w:rsidR="00971A1F" w:rsidRPr="00D9348B" w:rsidRDefault="00971A1F" w:rsidP="00971A1F">
      <w:pPr>
        <w:pStyle w:val="BodyText"/>
        <w:keepNext/>
      </w:pPr>
      <w:bookmarkStart w:id="3068" w:name="_Toc451176191"/>
      <w:bookmarkStart w:id="3069" w:name="_Toc481751622"/>
      <w:r w:rsidRPr="00D9348B">
        <w:t xml:space="preserve">Significant improvements to the 2020 inventory submission are summarised in table 10.1.8. Further details on these changes are given in chapter 6. </w:t>
      </w:r>
    </w:p>
    <w:p w14:paraId="06F88C53" w14:textId="77777777" w:rsidR="00971A1F" w:rsidRPr="00D9348B" w:rsidRDefault="00971A1F" w:rsidP="00971A1F">
      <w:pPr>
        <w:pStyle w:val="Table"/>
      </w:pPr>
      <w:bookmarkStart w:id="3070" w:name="_Toc511116850"/>
      <w:bookmarkStart w:id="3071" w:name="_Toc5269617"/>
      <w:bookmarkStart w:id="3072" w:name="_Toc36224697"/>
      <w:r w:rsidRPr="00D9348B">
        <w:t>Table 10.1.8</w:t>
      </w:r>
      <w:r w:rsidRPr="00D9348B">
        <w:tab/>
        <w:t>Explanations and justifications for recalculations in the LULUCF sector</w:t>
      </w:r>
      <w:bookmarkEnd w:id="3068"/>
      <w:bookmarkEnd w:id="3069"/>
      <w:bookmarkEnd w:id="3070"/>
      <w:bookmarkEnd w:id="3071"/>
      <w:bookmarkEnd w:id="3072"/>
    </w:p>
    <w:tbl>
      <w:tblPr>
        <w:tblW w:w="8562" w:type="dxa"/>
        <w:tblInd w:w="108" w:type="dxa"/>
        <w:tblLook w:val="04A0" w:firstRow="1" w:lastRow="0" w:firstColumn="1" w:lastColumn="0" w:noHBand="0" w:noVBand="1"/>
      </w:tblPr>
      <w:tblGrid>
        <w:gridCol w:w="4139"/>
        <w:gridCol w:w="1855"/>
        <w:gridCol w:w="2568"/>
      </w:tblGrid>
      <w:tr w:rsidR="00971A1F" w:rsidRPr="00D9348B" w14:paraId="17BA0911" w14:textId="77777777" w:rsidTr="00DB330E">
        <w:trPr>
          <w:tblHeader/>
        </w:trPr>
        <w:tc>
          <w:tcPr>
            <w:tcW w:w="4139" w:type="dxa"/>
            <w:tcBorders>
              <w:top w:val="single" w:sz="4" w:space="0" w:color="365F91"/>
              <w:bottom w:val="single" w:sz="4" w:space="0" w:color="365F91"/>
            </w:tcBorders>
            <w:shd w:val="clear" w:color="auto" w:fill="365F91"/>
            <w:vAlign w:val="bottom"/>
          </w:tcPr>
          <w:p w14:paraId="082C0840" w14:textId="77777777" w:rsidR="00971A1F" w:rsidRPr="00D9348B" w:rsidRDefault="00971A1F" w:rsidP="00DB330E">
            <w:pPr>
              <w:pStyle w:val="TableTextBold"/>
              <w:keepNext/>
              <w:rPr>
                <w:noProof w:val="0"/>
                <w:color w:val="FFFFFF"/>
              </w:rPr>
            </w:pPr>
            <w:r w:rsidRPr="00D9348B">
              <w:rPr>
                <w:noProof w:val="0"/>
                <w:color w:val="FFFFFF"/>
              </w:rPr>
              <w:t>Explanation of recalculation</w:t>
            </w:r>
          </w:p>
        </w:tc>
        <w:tc>
          <w:tcPr>
            <w:tcW w:w="1855" w:type="dxa"/>
            <w:tcBorders>
              <w:top w:val="single" w:sz="4" w:space="0" w:color="365F91"/>
              <w:bottom w:val="single" w:sz="4" w:space="0" w:color="365F91"/>
            </w:tcBorders>
            <w:shd w:val="clear" w:color="auto" w:fill="365F91"/>
            <w:vAlign w:val="bottom"/>
          </w:tcPr>
          <w:p w14:paraId="1C45264A" w14:textId="77777777" w:rsidR="00971A1F" w:rsidRPr="00D9348B" w:rsidRDefault="00971A1F" w:rsidP="00DB330E">
            <w:pPr>
              <w:pStyle w:val="TableTextBold"/>
              <w:keepNext/>
              <w:rPr>
                <w:noProof w:val="0"/>
                <w:color w:val="FFFFFF"/>
              </w:rPr>
            </w:pPr>
            <w:r w:rsidRPr="00D9348B">
              <w:rPr>
                <w:noProof w:val="0"/>
                <w:color w:val="FFFFFF"/>
              </w:rPr>
              <w:t>Underpinning UNFCCC principle</w:t>
            </w:r>
          </w:p>
        </w:tc>
        <w:tc>
          <w:tcPr>
            <w:tcW w:w="2568" w:type="dxa"/>
            <w:tcBorders>
              <w:top w:val="single" w:sz="4" w:space="0" w:color="365F91"/>
              <w:bottom w:val="single" w:sz="4" w:space="0" w:color="365F91"/>
            </w:tcBorders>
            <w:shd w:val="clear" w:color="auto" w:fill="365F91"/>
            <w:vAlign w:val="bottom"/>
          </w:tcPr>
          <w:p w14:paraId="23DAB0B6" w14:textId="77777777" w:rsidR="00971A1F" w:rsidRPr="00D9348B" w:rsidRDefault="00971A1F" w:rsidP="00DB330E">
            <w:pPr>
              <w:pStyle w:val="TableTextBold"/>
              <w:keepNext/>
              <w:rPr>
                <w:noProof w:val="0"/>
                <w:color w:val="FFFFFF"/>
              </w:rPr>
            </w:pPr>
            <w:r w:rsidRPr="00D9348B">
              <w:rPr>
                <w:noProof w:val="0"/>
                <w:color w:val="FFFFFF"/>
              </w:rPr>
              <w:t>Additional justification</w:t>
            </w:r>
          </w:p>
        </w:tc>
      </w:tr>
      <w:tr w:rsidR="00971A1F" w:rsidRPr="00D9348B" w14:paraId="6AF982C4" w14:textId="77777777" w:rsidTr="00DB330E">
        <w:tc>
          <w:tcPr>
            <w:tcW w:w="4139" w:type="dxa"/>
            <w:tcBorders>
              <w:top w:val="single" w:sz="4" w:space="0" w:color="365F91"/>
              <w:bottom w:val="single" w:sz="4" w:space="0" w:color="365F91"/>
            </w:tcBorders>
          </w:tcPr>
          <w:p w14:paraId="56FA8793" w14:textId="77777777" w:rsidR="00971A1F" w:rsidRPr="00D9348B" w:rsidRDefault="00971A1F" w:rsidP="00DB330E">
            <w:pPr>
              <w:pStyle w:val="TableText"/>
              <w:keepNext/>
            </w:pPr>
            <w:r w:rsidRPr="00D9348B">
              <w:t>A revised analysis of the pre-1990 natural forest plot data was undertaken for the 2020 submission (Paul et al., unpublished). This resulted in a significant reduction in the estimate for carbon stock change in the regenerating component of pre-1990 natural forest, compared with the previous submission. Details of the revised analysis and the drivers of this reduction can be found in chapter 6, section 6.4.5, under Forest land.</w:t>
            </w:r>
          </w:p>
        </w:tc>
        <w:tc>
          <w:tcPr>
            <w:tcW w:w="1855" w:type="dxa"/>
            <w:tcBorders>
              <w:top w:val="single" w:sz="4" w:space="0" w:color="365F91"/>
              <w:bottom w:val="single" w:sz="4" w:space="0" w:color="365F91"/>
            </w:tcBorders>
          </w:tcPr>
          <w:p w14:paraId="642FE74B" w14:textId="77777777" w:rsidR="00971A1F" w:rsidRPr="00D9348B" w:rsidRDefault="00971A1F" w:rsidP="00DB330E">
            <w:pPr>
              <w:pStyle w:val="TableText"/>
              <w:keepNext/>
            </w:pPr>
            <w:r w:rsidRPr="00D9348B">
              <w:t xml:space="preserve">Accuracy </w:t>
            </w:r>
          </w:p>
        </w:tc>
        <w:tc>
          <w:tcPr>
            <w:tcW w:w="2568" w:type="dxa"/>
            <w:tcBorders>
              <w:top w:val="single" w:sz="4" w:space="0" w:color="365F91"/>
              <w:bottom w:val="single" w:sz="4" w:space="0" w:color="365F91"/>
            </w:tcBorders>
          </w:tcPr>
          <w:p w14:paraId="1CC920BC" w14:textId="77777777" w:rsidR="00971A1F" w:rsidRPr="00D9348B" w:rsidDel="00DF05BA" w:rsidRDefault="00971A1F" w:rsidP="00DB330E">
            <w:pPr>
              <w:pStyle w:val="TableText"/>
              <w:keepNext/>
            </w:pPr>
            <w:r w:rsidRPr="00D9348B">
              <w:t>Key category improvement (</w:t>
            </w:r>
            <w:r w:rsidRPr="00D9348B">
              <w:rPr>
                <w:i/>
              </w:rPr>
              <w:t>Forest land remaining forest land</w:t>
            </w:r>
            <w:r w:rsidRPr="00D9348B">
              <w:t>)</w:t>
            </w:r>
          </w:p>
        </w:tc>
      </w:tr>
      <w:tr w:rsidR="00971A1F" w:rsidRPr="00D9348B" w14:paraId="29DCCF6E" w14:textId="77777777" w:rsidTr="00DB330E">
        <w:tc>
          <w:tcPr>
            <w:tcW w:w="4139" w:type="dxa"/>
            <w:tcBorders>
              <w:top w:val="single" w:sz="4" w:space="0" w:color="365F91"/>
              <w:bottom w:val="single" w:sz="4" w:space="0" w:color="365F91"/>
            </w:tcBorders>
          </w:tcPr>
          <w:p w14:paraId="011A9B6F" w14:textId="77777777" w:rsidR="00971A1F" w:rsidRPr="00D9348B" w:rsidDel="008840B1" w:rsidRDefault="00971A1F" w:rsidP="00DB330E">
            <w:pPr>
              <w:pStyle w:val="TableText"/>
            </w:pPr>
            <w:r w:rsidRPr="00D9348B">
              <w:t>The post-1989 planted forest yield table has been revised for the 2020 submission. The revised yield table uses data from the annual national forest inventories of 2016, 2017 and 2018 and previous periodic national forest inventories between 2007 and 2015. The analysis of the data collected has provided a plot-based estimate of carbon stock and mean carbon density within this forest type, which leads to more accurate estimates.</w:t>
            </w:r>
          </w:p>
        </w:tc>
        <w:tc>
          <w:tcPr>
            <w:tcW w:w="1855" w:type="dxa"/>
            <w:tcBorders>
              <w:top w:val="single" w:sz="4" w:space="0" w:color="365F91"/>
              <w:bottom w:val="single" w:sz="4" w:space="0" w:color="365F91"/>
            </w:tcBorders>
          </w:tcPr>
          <w:p w14:paraId="74C9991C" w14:textId="77777777" w:rsidR="00971A1F" w:rsidRPr="00D9348B" w:rsidRDefault="00971A1F" w:rsidP="00DB330E">
            <w:pPr>
              <w:pStyle w:val="TableText"/>
            </w:pPr>
            <w:r w:rsidRPr="00D9348B">
              <w:t>Accuracy</w:t>
            </w:r>
          </w:p>
        </w:tc>
        <w:tc>
          <w:tcPr>
            <w:tcW w:w="2568" w:type="dxa"/>
            <w:tcBorders>
              <w:top w:val="single" w:sz="4" w:space="0" w:color="365F91"/>
              <w:bottom w:val="single" w:sz="4" w:space="0" w:color="365F91"/>
            </w:tcBorders>
          </w:tcPr>
          <w:p w14:paraId="7503B251" w14:textId="77777777" w:rsidR="00971A1F" w:rsidRPr="00D9348B" w:rsidDel="008840B1" w:rsidRDefault="00971A1F" w:rsidP="00DB330E">
            <w:pPr>
              <w:pStyle w:val="TableText"/>
            </w:pPr>
            <w:r w:rsidRPr="00D9348B">
              <w:t>Key category improvement (</w:t>
            </w:r>
            <w:r w:rsidRPr="00D9348B">
              <w:rPr>
                <w:i/>
              </w:rPr>
              <w:t>Forest land remaining forest land</w:t>
            </w:r>
            <w:r w:rsidRPr="00D9348B">
              <w:t xml:space="preserve">; </w:t>
            </w:r>
            <w:r w:rsidRPr="00D9348B">
              <w:rPr>
                <w:i/>
              </w:rPr>
              <w:t>Land converted to forest land</w:t>
            </w:r>
            <w:r w:rsidRPr="00D9348B">
              <w:t xml:space="preserve">; </w:t>
            </w:r>
            <w:r w:rsidRPr="00D9348B">
              <w:rPr>
                <w:i/>
              </w:rPr>
              <w:t>Land converted to grassland</w:t>
            </w:r>
            <w:r w:rsidRPr="00D9348B">
              <w:t>)</w:t>
            </w:r>
          </w:p>
        </w:tc>
      </w:tr>
    </w:tbl>
    <w:p w14:paraId="170E6822" w14:textId="77777777" w:rsidR="00971A1F" w:rsidRPr="00D9348B" w:rsidRDefault="00971A1F" w:rsidP="00402DC1">
      <w:pPr>
        <w:pStyle w:val="Heading3"/>
        <w:tabs>
          <w:tab w:val="left" w:pos="993"/>
        </w:tabs>
        <w:ind w:left="993" w:hanging="993"/>
      </w:pPr>
      <w:r w:rsidRPr="00D9348B">
        <w:t xml:space="preserve">10.1.5 </w:t>
      </w:r>
      <w:r w:rsidRPr="00D9348B">
        <w:tab/>
        <w:t>Waste</w:t>
      </w:r>
    </w:p>
    <w:p w14:paraId="1EBDAA88" w14:textId="77777777" w:rsidR="00971A1F" w:rsidRPr="00D9348B" w:rsidRDefault="00971A1F" w:rsidP="00971A1F">
      <w:pPr>
        <w:pStyle w:val="BodyText"/>
        <w:rPr>
          <w:rFonts w:eastAsia="Arial"/>
        </w:rPr>
      </w:pPr>
      <w:r w:rsidRPr="00D9348B">
        <w:rPr>
          <w:rFonts w:eastAsia="Arial"/>
        </w:rPr>
        <w:t>Improvements and recalculations made in the Waste sector have resulted in a 0.1 per cent (5.8 kt CO</w:t>
      </w:r>
      <w:r w:rsidRPr="00D9348B">
        <w:rPr>
          <w:rFonts w:eastAsia="Arial"/>
          <w:vertAlign w:val="subscript"/>
        </w:rPr>
        <w:t>2</w:t>
      </w:r>
      <w:r w:rsidRPr="00D9348B">
        <w:rPr>
          <w:rFonts w:eastAsia="Arial"/>
        </w:rPr>
        <w:t>-e) increase in emissions in 1990 and a 0.8 per cent (32.1 kt CO</w:t>
      </w:r>
      <w:r w:rsidRPr="00D9348B">
        <w:rPr>
          <w:rFonts w:eastAsia="Arial"/>
          <w:vertAlign w:val="subscript"/>
        </w:rPr>
        <w:t>2</w:t>
      </w:r>
      <w:r w:rsidRPr="00D9348B">
        <w:rPr>
          <w:rFonts w:eastAsia="Arial"/>
        </w:rPr>
        <w:t xml:space="preserve">-e) decrease in emissions in 2017 (figure 10.1.6). Minor improvements and corrections have been made to the Waste sector in the 2020 submission, including responses to findings resulting from expert review team reviews. The most significant changes to emissions are in the </w:t>
      </w:r>
      <w:proofErr w:type="gramStart"/>
      <w:r w:rsidRPr="00D9348B">
        <w:rPr>
          <w:rFonts w:eastAsia="Arial"/>
          <w:i/>
        </w:rPr>
        <w:t>Unmanaged</w:t>
      </w:r>
      <w:proofErr w:type="gramEnd"/>
      <w:r w:rsidRPr="00D9348B">
        <w:rPr>
          <w:rFonts w:eastAsia="Arial"/>
          <w:i/>
        </w:rPr>
        <w:t xml:space="preserve"> waste disposal sites</w:t>
      </w:r>
      <w:r w:rsidRPr="00D9348B">
        <w:rPr>
          <w:rFonts w:eastAsia="Arial"/>
        </w:rPr>
        <w:t xml:space="preserve"> and </w:t>
      </w:r>
      <w:r w:rsidRPr="00D9348B">
        <w:rPr>
          <w:rFonts w:eastAsia="Arial"/>
          <w:i/>
        </w:rPr>
        <w:t>Domestic wastewater</w:t>
      </w:r>
      <w:r w:rsidRPr="00D9348B">
        <w:rPr>
          <w:rFonts w:eastAsia="Arial"/>
        </w:rPr>
        <w:t xml:space="preserve"> source categories. </w:t>
      </w:r>
    </w:p>
    <w:p w14:paraId="6D43F680" w14:textId="77777777" w:rsidR="00971A1F" w:rsidRPr="00D9348B" w:rsidRDefault="00971A1F" w:rsidP="00971A1F">
      <w:pPr>
        <w:pStyle w:val="BodyText"/>
      </w:pPr>
      <w:bookmarkStart w:id="3073" w:name="_Toc481752044"/>
      <w:r w:rsidRPr="00D9348B">
        <w:rPr>
          <w:rFonts w:eastAsia="Arial"/>
        </w:rPr>
        <w:t>A full list of recalculations is made in table 10.1.9.</w:t>
      </w:r>
    </w:p>
    <w:p w14:paraId="63547732" w14:textId="77777777" w:rsidR="00971A1F" w:rsidRPr="00D9348B" w:rsidRDefault="00971A1F" w:rsidP="000C636D">
      <w:pPr>
        <w:pStyle w:val="Figure"/>
      </w:pPr>
      <w:bookmarkStart w:id="3074" w:name="_Toc511116998"/>
      <w:bookmarkStart w:id="3075" w:name="_Toc5269733"/>
      <w:bookmarkStart w:id="3076" w:name="_Toc36292838"/>
      <w:r w:rsidRPr="00D9348B">
        <w:lastRenderedPageBreak/>
        <w:t>Figure 10.1.6</w:t>
      </w:r>
      <w:r w:rsidRPr="00D9348B">
        <w:tab/>
        <w:t>Effect of recalculations on New Zealand’s Waste sector from 1990 to </w:t>
      </w:r>
      <w:bookmarkEnd w:id="3073"/>
      <w:bookmarkEnd w:id="3074"/>
      <w:bookmarkEnd w:id="3075"/>
      <w:r w:rsidRPr="00D9348B">
        <w:t>2017</w:t>
      </w:r>
      <w:bookmarkEnd w:id="3076"/>
    </w:p>
    <w:p w14:paraId="3A6DAC2E" w14:textId="41D95CB4" w:rsidR="00971A1F" w:rsidRPr="00D9348B" w:rsidRDefault="007165CF" w:rsidP="000C636D">
      <w:pPr>
        <w:spacing w:after="120"/>
      </w:pPr>
      <w:r>
        <w:pict w14:anchorId="3D46A908">
          <v:shape id="Picture 6" o:spid="_x0000_i1171" type="#_x0000_t75" style="width:386.9pt;height:191.6pt;visibility:visible;mso-wrap-style:square">
            <v:imagedata r:id="rId278" o:title="" croptop="1904f" cropbottom="4043f"/>
          </v:shape>
        </w:pict>
      </w:r>
    </w:p>
    <w:p w14:paraId="1C733396" w14:textId="77777777" w:rsidR="00971A1F" w:rsidRPr="00D9348B" w:rsidRDefault="00971A1F" w:rsidP="00971A1F">
      <w:pPr>
        <w:pStyle w:val="Table"/>
      </w:pPr>
      <w:bookmarkStart w:id="3077" w:name="_Toc481751623"/>
      <w:bookmarkStart w:id="3078" w:name="_Toc511116851"/>
      <w:bookmarkStart w:id="3079" w:name="_Toc5269618"/>
      <w:bookmarkStart w:id="3080" w:name="_Toc36224698"/>
      <w:r w:rsidRPr="00D9348B">
        <w:t>Table 10.1.9</w:t>
      </w:r>
      <w:r w:rsidRPr="00D9348B">
        <w:tab/>
        <w:t>Explanations and justifications for recalculations in the Waste sector</w:t>
      </w:r>
      <w:bookmarkEnd w:id="3077"/>
      <w:bookmarkEnd w:id="3078"/>
      <w:bookmarkEnd w:id="3079"/>
      <w:bookmarkEnd w:id="3080"/>
    </w:p>
    <w:tbl>
      <w:tblPr>
        <w:tblW w:w="8505" w:type="dxa"/>
        <w:tblInd w:w="108" w:type="dxa"/>
        <w:tblLayout w:type="fixed"/>
        <w:tblLook w:val="04A0" w:firstRow="1" w:lastRow="0" w:firstColumn="1" w:lastColumn="0" w:noHBand="0" w:noVBand="1"/>
      </w:tblPr>
      <w:tblGrid>
        <w:gridCol w:w="4820"/>
        <w:gridCol w:w="1701"/>
        <w:gridCol w:w="1984"/>
      </w:tblGrid>
      <w:tr w:rsidR="00971A1F" w:rsidRPr="00D9348B" w14:paraId="1EA7997F" w14:textId="77777777" w:rsidTr="00402DC1">
        <w:trPr>
          <w:tblHeader/>
        </w:trPr>
        <w:tc>
          <w:tcPr>
            <w:tcW w:w="4820" w:type="dxa"/>
            <w:tcBorders>
              <w:top w:val="single" w:sz="4" w:space="0" w:color="365F91"/>
              <w:bottom w:val="single" w:sz="4" w:space="0" w:color="365F91"/>
            </w:tcBorders>
            <w:shd w:val="clear" w:color="auto" w:fill="365F91"/>
            <w:vAlign w:val="bottom"/>
          </w:tcPr>
          <w:p w14:paraId="0A8EB0ED" w14:textId="77777777" w:rsidR="00971A1F" w:rsidRPr="00D9348B" w:rsidRDefault="00971A1F" w:rsidP="00DB330E">
            <w:pPr>
              <w:pStyle w:val="TableTextBold"/>
              <w:keepNext/>
              <w:rPr>
                <w:noProof w:val="0"/>
                <w:color w:val="FFFFFF"/>
              </w:rPr>
            </w:pPr>
            <w:r w:rsidRPr="00D9348B">
              <w:rPr>
                <w:noProof w:val="0"/>
                <w:color w:val="FFFFFF"/>
              </w:rPr>
              <w:t>Explanation of recalculation</w:t>
            </w:r>
          </w:p>
        </w:tc>
        <w:tc>
          <w:tcPr>
            <w:tcW w:w="1701" w:type="dxa"/>
            <w:tcBorders>
              <w:top w:val="single" w:sz="4" w:space="0" w:color="365F91"/>
              <w:bottom w:val="single" w:sz="4" w:space="0" w:color="365F91"/>
            </w:tcBorders>
            <w:shd w:val="clear" w:color="auto" w:fill="365F91"/>
            <w:vAlign w:val="bottom"/>
          </w:tcPr>
          <w:p w14:paraId="1F2626C0" w14:textId="77777777" w:rsidR="00971A1F" w:rsidRPr="00D9348B" w:rsidRDefault="00971A1F" w:rsidP="00DB330E">
            <w:pPr>
              <w:pStyle w:val="TableTextBold"/>
              <w:keepNext/>
              <w:rPr>
                <w:noProof w:val="0"/>
                <w:color w:val="FFFFFF"/>
              </w:rPr>
            </w:pPr>
            <w:r w:rsidRPr="00D9348B">
              <w:rPr>
                <w:noProof w:val="0"/>
                <w:color w:val="FFFFFF"/>
              </w:rPr>
              <w:t>Underpinning UNFCCC principle</w:t>
            </w:r>
          </w:p>
        </w:tc>
        <w:tc>
          <w:tcPr>
            <w:tcW w:w="1984" w:type="dxa"/>
            <w:tcBorders>
              <w:top w:val="single" w:sz="4" w:space="0" w:color="365F91"/>
              <w:bottom w:val="single" w:sz="4" w:space="0" w:color="365F91"/>
            </w:tcBorders>
            <w:shd w:val="clear" w:color="auto" w:fill="365F91"/>
            <w:vAlign w:val="bottom"/>
          </w:tcPr>
          <w:p w14:paraId="15A96580" w14:textId="77777777" w:rsidR="00971A1F" w:rsidRPr="00D9348B" w:rsidRDefault="00971A1F" w:rsidP="00DB330E">
            <w:pPr>
              <w:pStyle w:val="TableTextBold"/>
              <w:keepNext/>
              <w:rPr>
                <w:noProof w:val="0"/>
                <w:color w:val="FFFFFF"/>
              </w:rPr>
            </w:pPr>
            <w:r w:rsidRPr="00D9348B">
              <w:rPr>
                <w:noProof w:val="0"/>
                <w:color w:val="FFFFFF"/>
              </w:rPr>
              <w:t>Additional justification</w:t>
            </w:r>
          </w:p>
        </w:tc>
      </w:tr>
      <w:tr w:rsidR="00971A1F" w:rsidRPr="00D9348B" w14:paraId="202F13E7" w14:textId="77777777" w:rsidTr="00402DC1">
        <w:tc>
          <w:tcPr>
            <w:tcW w:w="4820" w:type="dxa"/>
            <w:tcBorders>
              <w:top w:val="single" w:sz="4" w:space="0" w:color="365F91"/>
              <w:bottom w:val="single" w:sz="4" w:space="0" w:color="365F91"/>
            </w:tcBorders>
            <w:shd w:val="clear" w:color="auto" w:fill="auto"/>
          </w:tcPr>
          <w:p w14:paraId="1EB8673E" w14:textId="77777777" w:rsidR="00971A1F" w:rsidRPr="00D9348B" w:rsidRDefault="00971A1F" w:rsidP="00DB330E">
            <w:pPr>
              <w:pStyle w:val="TableText"/>
            </w:pPr>
            <w:r w:rsidRPr="00D9348B">
              <w:t xml:space="preserve">One landfill site that is closed to municipal waste but now conducts landfill gas recovery has been updated in the model accordingly. </w:t>
            </w:r>
          </w:p>
        </w:tc>
        <w:tc>
          <w:tcPr>
            <w:tcW w:w="1701" w:type="dxa"/>
            <w:tcBorders>
              <w:top w:val="single" w:sz="4" w:space="0" w:color="365F91"/>
              <w:bottom w:val="single" w:sz="4" w:space="0" w:color="365F91"/>
            </w:tcBorders>
            <w:shd w:val="clear" w:color="auto" w:fill="auto"/>
          </w:tcPr>
          <w:p w14:paraId="235D81A7" w14:textId="77777777" w:rsidR="00971A1F" w:rsidRPr="00D9348B" w:rsidRDefault="00971A1F" w:rsidP="00DB330E">
            <w:pPr>
              <w:pStyle w:val="TableText"/>
            </w:pPr>
            <w:r w:rsidRPr="00D9348B">
              <w:t>Accuracy</w:t>
            </w:r>
          </w:p>
        </w:tc>
        <w:tc>
          <w:tcPr>
            <w:tcW w:w="1984" w:type="dxa"/>
            <w:tcBorders>
              <w:top w:val="single" w:sz="4" w:space="0" w:color="365F91"/>
              <w:bottom w:val="single" w:sz="4" w:space="0" w:color="365F91"/>
            </w:tcBorders>
            <w:shd w:val="clear" w:color="auto" w:fill="auto"/>
          </w:tcPr>
          <w:p w14:paraId="5543AC1F" w14:textId="77777777" w:rsidR="00971A1F" w:rsidRPr="00D9348B" w:rsidRDefault="00971A1F" w:rsidP="00DB330E">
            <w:pPr>
              <w:pStyle w:val="TableText"/>
            </w:pPr>
            <w:r w:rsidRPr="00D9348B">
              <w:rPr>
                <w:i/>
              </w:rPr>
              <w:t>Solid waste disposal</w:t>
            </w:r>
            <w:r w:rsidRPr="00D9348B">
              <w:t xml:space="preserve"> is a key category</w:t>
            </w:r>
          </w:p>
        </w:tc>
      </w:tr>
      <w:tr w:rsidR="00971A1F" w:rsidRPr="00D9348B" w14:paraId="3FED3C10" w14:textId="77777777" w:rsidTr="00402DC1">
        <w:tc>
          <w:tcPr>
            <w:tcW w:w="4820" w:type="dxa"/>
            <w:tcBorders>
              <w:top w:val="single" w:sz="4" w:space="0" w:color="365F91"/>
              <w:bottom w:val="single" w:sz="4" w:space="0" w:color="365F91"/>
            </w:tcBorders>
            <w:shd w:val="clear" w:color="auto" w:fill="auto"/>
          </w:tcPr>
          <w:p w14:paraId="491B5B4F" w14:textId="77777777" w:rsidR="00971A1F" w:rsidRPr="00D9348B" w:rsidRDefault="00971A1F" w:rsidP="00DB330E">
            <w:pPr>
              <w:pStyle w:val="TableText"/>
            </w:pPr>
            <w:r w:rsidRPr="00D9348B">
              <w:t xml:space="preserve">Changes in the emission calculations for </w:t>
            </w:r>
            <w:r w:rsidRPr="00D9348B">
              <w:rPr>
                <w:i/>
              </w:rPr>
              <w:t>Domestic wastewater</w:t>
            </w:r>
            <w:r w:rsidRPr="00D9348B">
              <w:t xml:space="preserve"> (5.D.1) have increased emissions by 6.2 kt CO</w:t>
            </w:r>
            <w:r w:rsidRPr="00D9348B">
              <w:rPr>
                <w:vertAlign w:val="subscript"/>
              </w:rPr>
              <w:t>2</w:t>
            </w:r>
            <w:r w:rsidRPr="00D9348B">
              <w:t>-e (3.0 per cent) in 1990 and reduced emissions by 3.4 kt CO</w:t>
            </w:r>
            <w:r w:rsidRPr="00D9348B">
              <w:rPr>
                <w:vertAlign w:val="subscript"/>
              </w:rPr>
              <w:t>2</w:t>
            </w:r>
            <w:r w:rsidRPr="00D9348B">
              <w:t>-e (1.3 per cent) in 2017. The main change was driven by an update to the population growth rate based on revised data released by Stats NZ.</w:t>
            </w:r>
          </w:p>
        </w:tc>
        <w:tc>
          <w:tcPr>
            <w:tcW w:w="1701" w:type="dxa"/>
            <w:tcBorders>
              <w:top w:val="single" w:sz="4" w:space="0" w:color="365F91"/>
              <w:bottom w:val="single" w:sz="4" w:space="0" w:color="365F91"/>
            </w:tcBorders>
            <w:shd w:val="clear" w:color="auto" w:fill="auto"/>
          </w:tcPr>
          <w:p w14:paraId="398AD019" w14:textId="77777777" w:rsidR="00971A1F" w:rsidRPr="00D9348B" w:rsidRDefault="00971A1F" w:rsidP="00DB330E">
            <w:pPr>
              <w:pStyle w:val="TableText"/>
            </w:pPr>
            <w:r w:rsidRPr="00D9348B" w:rsidDel="00F450DD">
              <w:t>Accuracy</w:t>
            </w:r>
          </w:p>
        </w:tc>
        <w:tc>
          <w:tcPr>
            <w:tcW w:w="1984" w:type="dxa"/>
            <w:tcBorders>
              <w:top w:val="single" w:sz="4" w:space="0" w:color="365F91"/>
              <w:bottom w:val="single" w:sz="4" w:space="0" w:color="365F91"/>
            </w:tcBorders>
            <w:shd w:val="clear" w:color="auto" w:fill="auto"/>
          </w:tcPr>
          <w:p w14:paraId="1D5E263A" w14:textId="77777777" w:rsidR="00971A1F" w:rsidRPr="00D9348B" w:rsidRDefault="00971A1F" w:rsidP="00DB330E">
            <w:pPr>
              <w:pStyle w:val="TableText"/>
            </w:pPr>
            <w:r w:rsidRPr="00D9348B">
              <w:rPr>
                <w:i/>
              </w:rPr>
              <w:t>Wastewater treatment and discharge</w:t>
            </w:r>
            <w:r w:rsidRPr="00D9348B">
              <w:t xml:space="preserve"> is a key category</w:t>
            </w:r>
          </w:p>
        </w:tc>
      </w:tr>
      <w:tr w:rsidR="00971A1F" w:rsidRPr="00D9348B" w14:paraId="419BBEDB" w14:textId="77777777" w:rsidTr="00402DC1">
        <w:tc>
          <w:tcPr>
            <w:tcW w:w="4820" w:type="dxa"/>
            <w:tcBorders>
              <w:top w:val="single" w:sz="4" w:space="0" w:color="365F91"/>
              <w:bottom w:val="single" w:sz="4" w:space="0" w:color="365F91"/>
            </w:tcBorders>
            <w:shd w:val="clear" w:color="auto" w:fill="auto"/>
          </w:tcPr>
          <w:p w14:paraId="0B26061C" w14:textId="77777777" w:rsidR="00971A1F" w:rsidRPr="00D9348B" w:rsidRDefault="00971A1F" w:rsidP="00DB330E">
            <w:pPr>
              <w:pStyle w:val="TableText"/>
            </w:pPr>
            <w:r w:rsidRPr="00D9348B">
              <w:t xml:space="preserve">Activity data for meat and poultry (within </w:t>
            </w:r>
            <w:r w:rsidRPr="00D9348B">
              <w:rPr>
                <w:i/>
              </w:rPr>
              <w:t>Industrial wastewater</w:t>
            </w:r>
            <w:r w:rsidRPr="00D9348B">
              <w:t xml:space="preserve"> 5.D.2) have been adjusted for all emission calculations based on revised data released by the Ministry for Primary Industries, Deer Industry New Zealand and the Poultry Industry Association of New Zealand. </w:t>
            </w:r>
          </w:p>
        </w:tc>
        <w:tc>
          <w:tcPr>
            <w:tcW w:w="1701" w:type="dxa"/>
            <w:tcBorders>
              <w:top w:val="single" w:sz="4" w:space="0" w:color="365F91"/>
              <w:bottom w:val="single" w:sz="4" w:space="0" w:color="365F91"/>
            </w:tcBorders>
            <w:shd w:val="clear" w:color="auto" w:fill="auto"/>
          </w:tcPr>
          <w:p w14:paraId="4CC520E9" w14:textId="77777777" w:rsidR="00971A1F" w:rsidRPr="00D9348B" w:rsidRDefault="00971A1F" w:rsidP="00DB330E">
            <w:pPr>
              <w:pStyle w:val="TableText"/>
            </w:pPr>
            <w:r w:rsidRPr="00D9348B" w:rsidDel="00AD6C75">
              <w:t>Accuracy</w:t>
            </w:r>
          </w:p>
        </w:tc>
        <w:tc>
          <w:tcPr>
            <w:tcW w:w="1984" w:type="dxa"/>
            <w:tcBorders>
              <w:top w:val="single" w:sz="4" w:space="0" w:color="365F91"/>
              <w:bottom w:val="single" w:sz="4" w:space="0" w:color="365F91"/>
            </w:tcBorders>
            <w:shd w:val="clear" w:color="auto" w:fill="auto"/>
          </w:tcPr>
          <w:p w14:paraId="418C6216" w14:textId="77777777" w:rsidR="00971A1F" w:rsidRPr="00D9348B" w:rsidRDefault="00971A1F" w:rsidP="00DB330E">
            <w:pPr>
              <w:pStyle w:val="TableText"/>
            </w:pPr>
            <w:r w:rsidRPr="00D9348B" w:rsidDel="00AD6C75">
              <w:rPr>
                <w:i/>
              </w:rPr>
              <w:t>Wastewater treatment and discharge</w:t>
            </w:r>
            <w:r w:rsidRPr="00D9348B" w:rsidDel="00AD6C75">
              <w:t xml:space="preserve"> is a key category</w:t>
            </w:r>
          </w:p>
        </w:tc>
      </w:tr>
      <w:tr w:rsidR="00971A1F" w:rsidRPr="00D9348B" w14:paraId="619FAECB" w14:textId="77777777" w:rsidTr="00402DC1">
        <w:tc>
          <w:tcPr>
            <w:tcW w:w="4820" w:type="dxa"/>
            <w:tcBorders>
              <w:top w:val="single" w:sz="4" w:space="0" w:color="365F91"/>
              <w:bottom w:val="single" w:sz="4" w:space="0" w:color="365F91"/>
            </w:tcBorders>
            <w:shd w:val="clear" w:color="auto" w:fill="auto"/>
          </w:tcPr>
          <w:p w14:paraId="0EF5C1BC" w14:textId="77777777" w:rsidR="00971A1F" w:rsidRPr="00D9348B" w:rsidRDefault="00971A1F" w:rsidP="00DB330E">
            <w:pPr>
              <w:pStyle w:val="TableText"/>
            </w:pPr>
            <w:r w:rsidRPr="00D9348B">
              <w:t>Corrections to methods for non-municipal solid waste disposal sites</w:t>
            </w:r>
            <w:r w:rsidRPr="00D9348B">
              <w:rPr>
                <w:i/>
              </w:rPr>
              <w:t xml:space="preserve"> </w:t>
            </w:r>
            <w:r w:rsidRPr="00D9348B">
              <w:t>within the</w:t>
            </w:r>
            <w:r w:rsidRPr="00D9348B">
              <w:rPr>
                <w:i/>
              </w:rPr>
              <w:t xml:space="preserve"> Unmanaged waste disposal</w:t>
            </w:r>
            <w:r w:rsidRPr="00D9348B">
              <w:t xml:space="preserve"> </w:t>
            </w:r>
            <w:r w:rsidRPr="00D9348B">
              <w:rPr>
                <w:i/>
              </w:rPr>
              <w:t>sites</w:t>
            </w:r>
            <w:r w:rsidRPr="00D9348B">
              <w:t xml:space="preserve"> category </w:t>
            </w:r>
            <w:r w:rsidRPr="00D9348B">
              <w:rPr>
                <w:spacing w:val="-2"/>
              </w:rPr>
              <w:t>have decreased emissions from this category by 0.3 kt CO</w:t>
            </w:r>
            <w:r w:rsidRPr="00D9348B">
              <w:rPr>
                <w:spacing w:val="-2"/>
                <w:vertAlign w:val="subscript"/>
              </w:rPr>
              <w:t>2</w:t>
            </w:r>
            <w:r w:rsidRPr="00D9348B">
              <w:rPr>
                <w:spacing w:val="-2"/>
              </w:rPr>
              <w:t>-e (0.0 per cent) in 1990 and decreased emissions by 25.2 kt CO</w:t>
            </w:r>
            <w:r w:rsidRPr="00D9348B">
              <w:rPr>
                <w:spacing w:val="-2"/>
                <w:vertAlign w:val="subscript"/>
              </w:rPr>
              <w:t>2</w:t>
            </w:r>
            <w:r w:rsidRPr="00D9348B">
              <w:rPr>
                <w:spacing w:val="-2"/>
              </w:rPr>
              <w:t>-e (1.1 per cent) in 2017. This change is the result of corrections made to the calculations.</w:t>
            </w:r>
          </w:p>
        </w:tc>
        <w:tc>
          <w:tcPr>
            <w:tcW w:w="1701" w:type="dxa"/>
            <w:tcBorders>
              <w:top w:val="single" w:sz="4" w:space="0" w:color="365F91"/>
              <w:bottom w:val="single" w:sz="4" w:space="0" w:color="365F91"/>
            </w:tcBorders>
            <w:shd w:val="clear" w:color="auto" w:fill="auto"/>
          </w:tcPr>
          <w:p w14:paraId="05160B8A" w14:textId="77777777" w:rsidR="00971A1F" w:rsidRPr="00D9348B" w:rsidRDefault="00971A1F" w:rsidP="00DB330E">
            <w:pPr>
              <w:pStyle w:val="TableText"/>
            </w:pPr>
            <w:r w:rsidRPr="00D9348B">
              <w:t>Accuracy</w:t>
            </w:r>
          </w:p>
        </w:tc>
        <w:tc>
          <w:tcPr>
            <w:tcW w:w="1984" w:type="dxa"/>
            <w:tcBorders>
              <w:top w:val="single" w:sz="4" w:space="0" w:color="365F91"/>
              <w:bottom w:val="single" w:sz="4" w:space="0" w:color="365F91"/>
            </w:tcBorders>
            <w:shd w:val="clear" w:color="auto" w:fill="auto"/>
          </w:tcPr>
          <w:p w14:paraId="39C55020" w14:textId="77777777" w:rsidR="00971A1F" w:rsidRPr="00D9348B" w:rsidRDefault="00971A1F" w:rsidP="00DB330E">
            <w:pPr>
              <w:pStyle w:val="TableText"/>
            </w:pPr>
            <w:r w:rsidRPr="00D9348B">
              <w:rPr>
                <w:i/>
              </w:rPr>
              <w:t>Solid waste disposal</w:t>
            </w:r>
            <w:r w:rsidRPr="00D9348B">
              <w:t xml:space="preserve"> is a key category</w:t>
            </w:r>
          </w:p>
        </w:tc>
      </w:tr>
    </w:tbl>
    <w:p w14:paraId="4601936A" w14:textId="77777777" w:rsidR="00971A1F" w:rsidRPr="00D9348B" w:rsidRDefault="00971A1F" w:rsidP="00971A1F">
      <w:pPr>
        <w:pStyle w:val="Heading3"/>
        <w:tabs>
          <w:tab w:val="left" w:pos="993"/>
        </w:tabs>
        <w:spacing w:before="440"/>
        <w:ind w:left="993" w:hanging="993"/>
      </w:pPr>
      <w:r w:rsidRPr="00D9348B">
        <w:t xml:space="preserve">10.1.6 </w:t>
      </w:r>
      <w:r w:rsidRPr="00D9348B">
        <w:tab/>
        <w:t>Other sector (Tokelau)</w:t>
      </w:r>
    </w:p>
    <w:p w14:paraId="4581120A" w14:textId="30AE608A" w:rsidR="00971A1F" w:rsidRPr="00D9348B" w:rsidRDefault="00971A1F" w:rsidP="00971A1F">
      <w:pPr>
        <w:pStyle w:val="BodyText"/>
        <w:rPr>
          <w:lang w:eastAsia="en-GB"/>
        </w:rPr>
      </w:pPr>
      <w:r w:rsidRPr="00D9348B">
        <w:rPr>
          <w:lang w:eastAsia="en-GB"/>
        </w:rPr>
        <w:t>The improvements to the Other (Tokelau) sector are a combination of refinements as a result of historical information coming to hand (electricity: 2004; transport 1990–2014); improved fuel calculations (based on a full year rather than 9 months, upscaled; estimated number of roundtrips Apia–Tokelau during 1990–2014; average fuel use per trip); and the correction of a</w:t>
      </w:r>
      <w:r w:rsidR="000C636D" w:rsidRPr="00D9348B">
        <w:rPr>
          <w:lang w:eastAsia="en-GB"/>
        </w:rPr>
        <w:t> </w:t>
      </w:r>
      <w:r w:rsidRPr="00D9348B">
        <w:rPr>
          <w:lang w:eastAsia="en-GB"/>
        </w:rPr>
        <w:t xml:space="preserve">major error (number of pigs). </w:t>
      </w:r>
    </w:p>
    <w:p w14:paraId="039DDCE2" w14:textId="77777777" w:rsidR="00971A1F" w:rsidRPr="00D9348B" w:rsidRDefault="00971A1F" w:rsidP="00971A1F">
      <w:pPr>
        <w:pStyle w:val="BodyText"/>
        <w:rPr>
          <w:rFonts w:eastAsia="Arial"/>
        </w:rPr>
      </w:pPr>
      <w:r w:rsidRPr="00D9348B">
        <w:rPr>
          <w:rFonts w:eastAsia="Arial"/>
        </w:rPr>
        <w:t xml:space="preserve">Improvements and recalculations made for the Tokelau sector have resulted in a 13 per cent </w:t>
      </w:r>
      <w:r w:rsidRPr="00D9348B">
        <w:rPr>
          <w:rFonts w:eastAsia="Arial"/>
        </w:rPr>
        <w:br/>
        <w:t>(–0.5 kt CO</w:t>
      </w:r>
      <w:r w:rsidRPr="00D9348B">
        <w:rPr>
          <w:rFonts w:eastAsia="Arial"/>
          <w:vertAlign w:val="subscript"/>
        </w:rPr>
        <w:t>2</w:t>
      </w:r>
      <w:r w:rsidRPr="00D9348B">
        <w:rPr>
          <w:rFonts w:eastAsia="Arial"/>
        </w:rPr>
        <w:t>-e) decrease in emissions in 1990 and a 22.9 per cent (0.7 kt CO</w:t>
      </w:r>
      <w:r w:rsidRPr="00D9348B">
        <w:rPr>
          <w:rFonts w:eastAsia="Arial"/>
          <w:vertAlign w:val="subscript"/>
        </w:rPr>
        <w:t>2</w:t>
      </w:r>
      <w:r w:rsidRPr="00D9348B">
        <w:rPr>
          <w:rFonts w:eastAsia="Arial"/>
        </w:rPr>
        <w:t xml:space="preserve">-e) increase in emissions in 2017 (figure 10.1.7). </w:t>
      </w:r>
    </w:p>
    <w:p w14:paraId="5A2F7602" w14:textId="77777777" w:rsidR="00971A1F" w:rsidRPr="00D9348B" w:rsidRDefault="00971A1F" w:rsidP="00971A1F">
      <w:pPr>
        <w:pStyle w:val="BodyText"/>
        <w:rPr>
          <w:lang w:eastAsia="en-GB"/>
        </w:rPr>
      </w:pPr>
      <w:r w:rsidRPr="00D9348B">
        <w:rPr>
          <w:lang w:eastAsia="en-GB"/>
        </w:rPr>
        <w:t xml:space="preserve">Several other improvements and minor corrections have been made to all categories, in the process of automating the calculation of Tokelau’s emissions using a model developed in an Excel spreadsheet, based on the IPPC reporting framework. It requires only annual updates of fuel purchases, number of voyages (roundtrips Apia–Tokelau, inter-island trips) and 5-yearly Census data to be input into a single worksheet. </w:t>
      </w:r>
    </w:p>
    <w:p w14:paraId="69CF157F" w14:textId="77777777" w:rsidR="00971A1F" w:rsidRPr="00D9348B" w:rsidRDefault="00971A1F" w:rsidP="00971A1F">
      <w:pPr>
        <w:pStyle w:val="BodyText"/>
        <w:rPr>
          <w:rFonts w:eastAsia="Arial"/>
        </w:rPr>
      </w:pPr>
      <w:r w:rsidRPr="00D9348B">
        <w:rPr>
          <w:rFonts w:eastAsia="Arial"/>
        </w:rPr>
        <w:lastRenderedPageBreak/>
        <w:t>A full list of recalculations is made in table 10.1.10.</w:t>
      </w:r>
    </w:p>
    <w:p w14:paraId="4878A31F" w14:textId="77777777" w:rsidR="00971A1F" w:rsidRPr="00D9348B" w:rsidRDefault="00971A1F" w:rsidP="00865000">
      <w:pPr>
        <w:pStyle w:val="Figure"/>
      </w:pPr>
      <w:bookmarkStart w:id="3081" w:name="_Toc36224699"/>
      <w:bookmarkStart w:id="3082" w:name="_Toc36292839"/>
      <w:r w:rsidRPr="00D9348B">
        <w:t>Figure 10.1.7</w:t>
      </w:r>
      <w:r w:rsidRPr="00D9348B">
        <w:tab/>
        <w:t>Explanations and justifications for recalculations in the Tokelau sector</w:t>
      </w:r>
      <w:bookmarkEnd w:id="3081"/>
      <w:bookmarkEnd w:id="3082"/>
    </w:p>
    <w:p w14:paraId="5716AB03" w14:textId="09F6D006" w:rsidR="00971A1F" w:rsidRPr="00D9348B" w:rsidRDefault="007165CF" w:rsidP="000C636D">
      <w:pPr>
        <w:pStyle w:val="BodyText"/>
        <w:spacing w:before="0"/>
      </w:pPr>
      <w:r>
        <w:pict w14:anchorId="0A02520D">
          <v:shape id="Picture 7" o:spid="_x0000_i1172" type="#_x0000_t75" style="width:398.2pt;height:216.65pt;visibility:visible;mso-wrap-style:square">
            <v:imagedata r:id="rId279" o:title="" croptop="3109f" cropbottom="4787f" cropleft="3366f"/>
          </v:shape>
        </w:pict>
      </w:r>
    </w:p>
    <w:p w14:paraId="1BAB6843" w14:textId="0052A8B9" w:rsidR="00971A1F" w:rsidRPr="00D9348B" w:rsidRDefault="00971A1F" w:rsidP="00971A1F">
      <w:pPr>
        <w:pStyle w:val="Table"/>
      </w:pPr>
      <w:bookmarkStart w:id="3083" w:name="_Toc36224700"/>
      <w:r w:rsidRPr="00D9348B">
        <w:t>Table 10.1.10</w:t>
      </w:r>
      <w:r w:rsidRPr="00D9348B">
        <w:tab/>
        <w:t>Explanation and justifications for recalculating Energy, Agriculture and Waste water</w:t>
      </w:r>
      <w:r w:rsidR="00CF4043" w:rsidRPr="00D9348B">
        <w:t> </w:t>
      </w:r>
      <w:r w:rsidRPr="00D9348B">
        <w:t>sectors</w:t>
      </w:r>
      <w:bookmarkEnd w:id="3083"/>
    </w:p>
    <w:tbl>
      <w:tblPr>
        <w:tblW w:w="8562" w:type="dxa"/>
        <w:tblInd w:w="108" w:type="dxa"/>
        <w:tblBorders>
          <w:top w:val="single" w:sz="4" w:space="0" w:color="365F91"/>
          <w:bottom w:val="single" w:sz="4" w:space="0" w:color="365F91"/>
          <w:insideH w:val="single" w:sz="4" w:space="0" w:color="365F91"/>
        </w:tblBorders>
        <w:tblCellMar>
          <w:left w:w="85" w:type="dxa"/>
          <w:right w:w="85" w:type="dxa"/>
        </w:tblCellMar>
        <w:tblLook w:val="04A0" w:firstRow="1" w:lastRow="0" w:firstColumn="1" w:lastColumn="0" w:noHBand="0" w:noVBand="1"/>
      </w:tblPr>
      <w:tblGrid>
        <w:gridCol w:w="4841"/>
        <w:gridCol w:w="1819"/>
        <w:gridCol w:w="1902"/>
      </w:tblGrid>
      <w:tr w:rsidR="00971A1F" w:rsidRPr="00D9348B" w14:paraId="2FAAF4EC" w14:textId="77777777" w:rsidTr="00BC736E">
        <w:trPr>
          <w:tblHeader/>
        </w:trPr>
        <w:tc>
          <w:tcPr>
            <w:tcW w:w="2827" w:type="pct"/>
            <w:shd w:val="clear" w:color="auto" w:fill="365F91"/>
            <w:vAlign w:val="bottom"/>
          </w:tcPr>
          <w:p w14:paraId="19CB8179" w14:textId="77777777" w:rsidR="00971A1F" w:rsidRPr="00D9348B" w:rsidRDefault="00971A1F" w:rsidP="00DB330E">
            <w:pPr>
              <w:pStyle w:val="TableTextBold"/>
              <w:rPr>
                <w:rFonts w:eastAsia="Calibri"/>
                <w:bCs/>
                <w:noProof w:val="0"/>
                <w:color w:val="FFFFFF"/>
              </w:rPr>
            </w:pPr>
            <w:r w:rsidRPr="00D9348B">
              <w:rPr>
                <w:rFonts w:eastAsia="Calibri"/>
                <w:bCs/>
                <w:noProof w:val="0"/>
                <w:color w:val="FFFFFF"/>
              </w:rPr>
              <w:t>Explanation of recalculation</w:t>
            </w:r>
          </w:p>
        </w:tc>
        <w:tc>
          <w:tcPr>
            <w:tcW w:w="1062" w:type="pct"/>
            <w:shd w:val="clear" w:color="auto" w:fill="365F91"/>
          </w:tcPr>
          <w:p w14:paraId="2F32BC1A" w14:textId="77777777" w:rsidR="00971A1F" w:rsidRPr="00D9348B" w:rsidRDefault="00971A1F" w:rsidP="00DB330E">
            <w:pPr>
              <w:pStyle w:val="TableTextBold"/>
              <w:rPr>
                <w:rFonts w:eastAsia="Calibri"/>
                <w:bCs/>
                <w:noProof w:val="0"/>
                <w:color w:val="FFFFFF"/>
              </w:rPr>
            </w:pPr>
            <w:r w:rsidRPr="00D9348B">
              <w:rPr>
                <w:rFonts w:eastAsia="Calibri"/>
                <w:bCs/>
                <w:noProof w:val="0"/>
                <w:color w:val="FFFFFF"/>
              </w:rPr>
              <w:t>Underpinning UNFCCC principle</w:t>
            </w:r>
          </w:p>
        </w:tc>
        <w:tc>
          <w:tcPr>
            <w:tcW w:w="1111" w:type="pct"/>
            <w:shd w:val="clear" w:color="auto" w:fill="365F91"/>
            <w:vAlign w:val="bottom"/>
          </w:tcPr>
          <w:p w14:paraId="4866ED50" w14:textId="77777777" w:rsidR="00971A1F" w:rsidRPr="00D9348B" w:rsidRDefault="00971A1F" w:rsidP="00DB330E">
            <w:pPr>
              <w:pStyle w:val="TableTextBold"/>
              <w:rPr>
                <w:rFonts w:eastAsia="Calibri"/>
                <w:bCs/>
                <w:noProof w:val="0"/>
                <w:color w:val="FFFFFF"/>
              </w:rPr>
            </w:pPr>
            <w:r w:rsidRPr="00D9348B">
              <w:rPr>
                <w:rFonts w:eastAsia="Calibri"/>
                <w:bCs/>
                <w:noProof w:val="0"/>
                <w:color w:val="FFFFFF"/>
              </w:rPr>
              <w:t>Additional justification</w:t>
            </w:r>
          </w:p>
        </w:tc>
      </w:tr>
      <w:tr w:rsidR="00971A1F" w:rsidRPr="00D9348B" w14:paraId="25E07903" w14:textId="77777777" w:rsidTr="00BC736E">
        <w:tc>
          <w:tcPr>
            <w:tcW w:w="2827" w:type="pct"/>
            <w:shd w:val="clear" w:color="auto" w:fill="auto"/>
          </w:tcPr>
          <w:p w14:paraId="4C82D9ED" w14:textId="77777777" w:rsidR="00971A1F" w:rsidRPr="00D9348B" w:rsidRDefault="00971A1F" w:rsidP="00DB330E">
            <w:pPr>
              <w:pStyle w:val="TableText"/>
              <w:rPr>
                <w:rFonts w:eastAsia="Calibri"/>
              </w:rPr>
            </w:pPr>
            <w:r w:rsidRPr="00D9348B">
              <w:rPr>
                <w:rFonts w:eastAsia="Calibri"/>
              </w:rPr>
              <w:t xml:space="preserve">The </w:t>
            </w:r>
            <w:r w:rsidRPr="00D9348B">
              <w:rPr>
                <w:rFonts w:eastAsia="Calibri"/>
                <w:b/>
              </w:rPr>
              <w:t xml:space="preserve">Energy sector </w:t>
            </w:r>
            <w:r w:rsidRPr="00D9348B">
              <w:rPr>
                <w:rFonts w:eastAsia="Calibri"/>
                <w:bCs/>
              </w:rPr>
              <w:t xml:space="preserve">was split </w:t>
            </w:r>
            <w:r w:rsidRPr="00D9348B">
              <w:rPr>
                <w:rFonts w:eastAsia="Calibri"/>
              </w:rPr>
              <w:t xml:space="preserve">into </w:t>
            </w:r>
            <w:r w:rsidRPr="00D9348B">
              <w:rPr>
                <w:rFonts w:eastAsia="Calibri"/>
                <w:b/>
              </w:rPr>
              <w:t xml:space="preserve">electricity </w:t>
            </w:r>
            <w:r w:rsidRPr="00D9348B">
              <w:rPr>
                <w:rFonts w:eastAsia="Calibri"/>
              </w:rPr>
              <w:t xml:space="preserve">and </w:t>
            </w:r>
            <w:r w:rsidRPr="00D9348B">
              <w:rPr>
                <w:rFonts w:eastAsia="Calibri"/>
                <w:b/>
              </w:rPr>
              <w:t>transport</w:t>
            </w:r>
            <w:r w:rsidRPr="00D9348B">
              <w:rPr>
                <w:rFonts w:eastAsia="Calibri"/>
              </w:rPr>
              <w:t>, to bring out more clearly the changes that have taken place over time. Transport showed a gradual increase, but electricity had two key events, in 2004 and 2012. These are explained in chapter 8, section 8.1.3.</w:t>
            </w:r>
          </w:p>
        </w:tc>
        <w:tc>
          <w:tcPr>
            <w:tcW w:w="1062" w:type="pct"/>
          </w:tcPr>
          <w:p w14:paraId="52EF2AEB" w14:textId="77777777" w:rsidR="00971A1F" w:rsidRPr="00D9348B" w:rsidRDefault="00971A1F" w:rsidP="00DB330E">
            <w:pPr>
              <w:pStyle w:val="TableText"/>
              <w:rPr>
                <w:rFonts w:eastAsia="Calibri"/>
              </w:rPr>
            </w:pPr>
            <w:r w:rsidRPr="00D9348B">
              <w:rPr>
                <w:rFonts w:eastAsia="Calibri"/>
              </w:rPr>
              <w:t>Accuracy, transparency</w:t>
            </w:r>
          </w:p>
        </w:tc>
        <w:tc>
          <w:tcPr>
            <w:tcW w:w="1111" w:type="pct"/>
            <w:shd w:val="clear" w:color="auto" w:fill="auto"/>
          </w:tcPr>
          <w:p w14:paraId="3C4E60B3" w14:textId="77777777" w:rsidR="00971A1F" w:rsidRPr="00D9348B" w:rsidRDefault="00971A1F" w:rsidP="00DB330E">
            <w:pPr>
              <w:pStyle w:val="TableText"/>
              <w:rPr>
                <w:rFonts w:eastAsia="Calibri"/>
              </w:rPr>
            </w:pPr>
          </w:p>
        </w:tc>
      </w:tr>
      <w:tr w:rsidR="00971A1F" w:rsidRPr="00D9348B" w14:paraId="6395B128" w14:textId="77777777" w:rsidTr="00BC736E">
        <w:tc>
          <w:tcPr>
            <w:tcW w:w="2827" w:type="pct"/>
            <w:shd w:val="clear" w:color="auto" w:fill="auto"/>
          </w:tcPr>
          <w:p w14:paraId="2F8F3498" w14:textId="77777777" w:rsidR="00971A1F" w:rsidRPr="00D9348B" w:rsidRDefault="00971A1F" w:rsidP="00DB330E">
            <w:pPr>
              <w:pStyle w:val="TableText"/>
              <w:rPr>
                <w:rFonts w:eastAsia="Calibri"/>
              </w:rPr>
            </w:pPr>
            <w:r w:rsidRPr="00D9348B">
              <w:rPr>
                <w:rFonts w:eastAsia="Calibri"/>
              </w:rPr>
              <w:t xml:space="preserve">This submission reflects that, during 2004, Tokelau achieved 24 hours, 7 days a week availability of electricity to households and the public sector: up from 6–10 pm daily availability until then. This reputedly led to a five-fold increase in diesel consumption for power generation nationally. The previous submission had assumed constant diesel use up to the point where solar power was introduced in 2012. This time, the emissions from power generation were kept constant </w:t>
            </w:r>
            <w:proofErr w:type="gramStart"/>
            <w:r w:rsidRPr="00D9348B">
              <w:rPr>
                <w:rFonts w:eastAsia="Calibri"/>
              </w:rPr>
              <w:t>between 1990–2003</w:t>
            </w:r>
            <w:proofErr w:type="gramEnd"/>
            <w:r w:rsidRPr="00D9348B">
              <w:rPr>
                <w:rFonts w:eastAsia="Calibri"/>
              </w:rPr>
              <w:t xml:space="preserve"> and between 2005–11.</w:t>
            </w:r>
          </w:p>
        </w:tc>
        <w:tc>
          <w:tcPr>
            <w:tcW w:w="1062" w:type="pct"/>
          </w:tcPr>
          <w:p w14:paraId="23E17028" w14:textId="77777777" w:rsidR="00971A1F" w:rsidRPr="00D9348B" w:rsidRDefault="00971A1F" w:rsidP="00DB330E">
            <w:pPr>
              <w:pStyle w:val="TableText"/>
              <w:rPr>
                <w:rFonts w:eastAsia="Calibri"/>
              </w:rPr>
            </w:pPr>
            <w:r w:rsidRPr="00D9348B">
              <w:rPr>
                <w:rFonts w:eastAsia="Calibri"/>
              </w:rPr>
              <w:t>Accuracy, consistency, transparency</w:t>
            </w:r>
          </w:p>
        </w:tc>
        <w:tc>
          <w:tcPr>
            <w:tcW w:w="1111" w:type="pct"/>
            <w:shd w:val="clear" w:color="auto" w:fill="auto"/>
          </w:tcPr>
          <w:p w14:paraId="1A986635" w14:textId="77777777" w:rsidR="00971A1F" w:rsidRPr="00D9348B" w:rsidRDefault="00971A1F" w:rsidP="00DB330E">
            <w:pPr>
              <w:pStyle w:val="TableText"/>
              <w:rPr>
                <w:rFonts w:eastAsia="Calibri"/>
              </w:rPr>
            </w:pPr>
          </w:p>
        </w:tc>
      </w:tr>
      <w:tr w:rsidR="00971A1F" w:rsidRPr="00D9348B" w14:paraId="5A22D71D" w14:textId="77777777" w:rsidTr="00BC736E">
        <w:tc>
          <w:tcPr>
            <w:tcW w:w="2827" w:type="pct"/>
            <w:shd w:val="clear" w:color="auto" w:fill="auto"/>
          </w:tcPr>
          <w:p w14:paraId="00BA2453" w14:textId="77777777" w:rsidR="00971A1F" w:rsidRPr="00D9348B" w:rsidRDefault="00971A1F" w:rsidP="00DB330E">
            <w:pPr>
              <w:pStyle w:val="TableText"/>
              <w:rPr>
                <w:rFonts w:eastAsia="Calibri"/>
              </w:rPr>
            </w:pPr>
            <w:r w:rsidRPr="00D9348B">
              <w:rPr>
                <w:rFonts w:eastAsia="Calibri"/>
              </w:rPr>
              <w:t>Diesel consumption for electricity was previously assumed to be constant since the introduction of solar power during 2012, using the value for 2015. We have now incorporated a 10 per cent increase between 2015 and 2018.</w:t>
            </w:r>
          </w:p>
        </w:tc>
        <w:tc>
          <w:tcPr>
            <w:tcW w:w="1062" w:type="pct"/>
          </w:tcPr>
          <w:p w14:paraId="00104100" w14:textId="77777777" w:rsidR="00971A1F" w:rsidRPr="00D9348B" w:rsidRDefault="00971A1F" w:rsidP="00DB330E">
            <w:pPr>
              <w:pStyle w:val="TableText"/>
              <w:rPr>
                <w:rFonts w:eastAsia="Calibri"/>
              </w:rPr>
            </w:pPr>
            <w:r w:rsidRPr="00D9348B">
              <w:rPr>
                <w:rFonts w:eastAsia="Calibri"/>
              </w:rPr>
              <w:t>Accuracy</w:t>
            </w:r>
          </w:p>
        </w:tc>
        <w:tc>
          <w:tcPr>
            <w:tcW w:w="1111" w:type="pct"/>
            <w:shd w:val="clear" w:color="auto" w:fill="auto"/>
          </w:tcPr>
          <w:p w14:paraId="0A9A3D00" w14:textId="77777777" w:rsidR="00971A1F" w:rsidRPr="00D9348B" w:rsidRDefault="00971A1F" w:rsidP="00DB330E">
            <w:pPr>
              <w:pStyle w:val="TableText"/>
              <w:rPr>
                <w:rFonts w:eastAsia="Calibri"/>
              </w:rPr>
            </w:pPr>
          </w:p>
        </w:tc>
      </w:tr>
      <w:tr w:rsidR="00971A1F" w:rsidRPr="00D9348B" w14:paraId="48536842" w14:textId="77777777" w:rsidTr="00BC736E">
        <w:tc>
          <w:tcPr>
            <w:tcW w:w="2827" w:type="pct"/>
            <w:shd w:val="clear" w:color="auto" w:fill="auto"/>
          </w:tcPr>
          <w:p w14:paraId="05A36A67" w14:textId="77777777" w:rsidR="00971A1F" w:rsidRPr="00D9348B" w:rsidRDefault="00971A1F" w:rsidP="00DB330E">
            <w:pPr>
              <w:pStyle w:val="TableText"/>
              <w:rPr>
                <w:rFonts w:eastAsia="Calibri"/>
              </w:rPr>
            </w:pPr>
            <w:r w:rsidRPr="00D9348B">
              <w:rPr>
                <w:rFonts w:eastAsia="Calibri"/>
              </w:rPr>
              <w:t>Almost all the diesel used on-atoll for machinery (such as trucks, tractors, cranes) is sourced from the fuel supply for electricity. It was therefore not possible to clearly separate emissions from the two types of sources. Given the relatively small number of diesel-powered vehicles in Tokelau, we lumped their fraction with that of electricity.</w:t>
            </w:r>
          </w:p>
        </w:tc>
        <w:tc>
          <w:tcPr>
            <w:tcW w:w="1062" w:type="pct"/>
          </w:tcPr>
          <w:p w14:paraId="6935AF75" w14:textId="77777777" w:rsidR="00971A1F" w:rsidRPr="00D9348B" w:rsidRDefault="00971A1F" w:rsidP="00DB330E">
            <w:pPr>
              <w:pStyle w:val="TableText"/>
              <w:rPr>
                <w:rFonts w:eastAsia="Calibri"/>
              </w:rPr>
            </w:pPr>
            <w:r w:rsidRPr="00D9348B">
              <w:rPr>
                <w:rFonts w:eastAsia="Calibri"/>
              </w:rPr>
              <w:t>Accuracy, transparency</w:t>
            </w:r>
          </w:p>
        </w:tc>
        <w:tc>
          <w:tcPr>
            <w:tcW w:w="1111" w:type="pct"/>
            <w:shd w:val="clear" w:color="auto" w:fill="auto"/>
          </w:tcPr>
          <w:p w14:paraId="4B9904A1" w14:textId="77777777" w:rsidR="00971A1F" w:rsidRPr="00D9348B" w:rsidRDefault="00971A1F" w:rsidP="00DB330E">
            <w:pPr>
              <w:pStyle w:val="TableText"/>
              <w:rPr>
                <w:rFonts w:eastAsia="Calibri"/>
              </w:rPr>
            </w:pPr>
          </w:p>
        </w:tc>
      </w:tr>
      <w:tr w:rsidR="00971A1F" w:rsidRPr="00D9348B" w14:paraId="79710862" w14:textId="77777777" w:rsidTr="00BC736E">
        <w:tc>
          <w:tcPr>
            <w:tcW w:w="2827" w:type="pct"/>
            <w:shd w:val="clear" w:color="auto" w:fill="auto"/>
          </w:tcPr>
          <w:p w14:paraId="42D388AA" w14:textId="77777777" w:rsidR="00971A1F" w:rsidRPr="00D9348B" w:rsidRDefault="00971A1F" w:rsidP="00DB330E">
            <w:pPr>
              <w:pStyle w:val="TableText"/>
              <w:rPr>
                <w:rFonts w:eastAsia="Calibri"/>
              </w:rPr>
            </w:pPr>
            <w:r w:rsidRPr="00D9348B">
              <w:rPr>
                <w:rFonts w:eastAsia="Calibri"/>
              </w:rPr>
              <w:t>We therefore limit the calculation of emissions from local transport to the use of petrol and lubricating oil used by petrol cars and outboard motors around the atolls.</w:t>
            </w:r>
          </w:p>
        </w:tc>
        <w:tc>
          <w:tcPr>
            <w:tcW w:w="1062" w:type="pct"/>
          </w:tcPr>
          <w:p w14:paraId="482EAFAF" w14:textId="77777777" w:rsidR="00971A1F" w:rsidRPr="00D9348B" w:rsidRDefault="00971A1F" w:rsidP="00DB330E">
            <w:pPr>
              <w:pStyle w:val="TableText"/>
              <w:rPr>
                <w:rFonts w:eastAsia="Calibri"/>
              </w:rPr>
            </w:pPr>
            <w:r w:rsidRPr="00D9348B">
              <w:rPr>
                <w:rFonts w:eastAsia="Calibri"/>
              </w:rPr>
              <w:t>Accuracy, transparency</w:t>
            </w:r>
          </w:p>
        </w:tc>
        <w:tc>
          <w:tcPr>
            <w:tcW w:w="1111" w:type="pct"/>
            <w:shd w:val="clear" w:color="auto" w:fill="auto"/>
          </w:tcPr>
          <w:p w14:paraId="4216A2D1" w14:textId="77777777" w:rsidR="00971A1F" w:rsidRPr="00D9348B" w:rsidRDefault="00971A1F" w:rsidP="00DB330E">
            <w:pPr>
              <w:pStyle w:val="TableText"/>
              <w:rPr>
                <w:rFonts w:eastAsia="Calibri"/>
              </w:rPr>
            </w:pPr>
          </w:p>
        </w:tc>
      </w:tr>
      <w:tr w:rsidR="00971A1F" w:rsidRPr="00D9348B" w14:paraId="0FAFC9E9" w14:textId="77777777" w:rsidTr="00BC736E">
        <w:tc>
          <w:tcPr>
            <w:tcW w:w="2827" w:type="pct"/>
            <w:shd w:val="clear" w:color="auto" w:fill="auto"/>
          </w:tcPr>
          <w:p w14:paraId="005B9D5A" w14:textId="77777777" w:rsidR="00971A1F" w:rsidRPr="00D9348B" w:rsidRDefault="00971A1F" w:rsidP="00DB330E">
            <w:pPr>
              <w:pStyle w:val="TableText"/>
              <w:rPr>
                <w:rFonts w:eastAsia="Calibri"/>
              </w:rPr>
            </w:pPr>
            <w:r w:rsidRPr="00D9348B">
              <w:rPr>
                <w:rFonts w:eastAsia="Calibri"/>
              </w:rPr>
              <w:t>To estimate annual fuel purchases, the full financial data for 2018 were available this time. Our first calculations used fuel purchases during the first 9 months of 2018, upscaled to one year. (Note that fuel volumes in prior years would be incomplete because much use was made of chartered boats then.)</w:t>
            </w:r>
          </w:p>
        </w:tc>
        <w:tc>
          <w:tcPr>
            <w:tcW w:w="1062" w:type="pct"/>
          </w:tcPr>
          <w:p w14:paraId="55B04203" w14:textId="77777777" w:rsidR="00971A1F" w:rsidRPr="00D9348B" w:rsidRDefault="00971A1F" w:rsidP="00DB330E">
            <w:pPr>
              <w:pStyle w:val="TableText"/>
              <w:rPr>
                <w:rFonts w:eastAsia="Calibri"/>
              </w:rPr>
            </w:pPr>
            <w:r w:rsidRPr="00D9348B">
              <w:rPr>
                <w:rFonts w:eastAsia="Calibri"/>
              </w:rPr>
              <w:t>Accuracy, transparency</w:t>
            </w:r>
          </w:p>
        </w:tc>
        <w:tc>
          <w:tcPr>
            <w:tcW w:w="1111" w:type="pct"/>
            <w:shd w:val="clear" w:color="auto" w:fill="auto"/>
          </w:tcPr>
          <w:p w14:paraId="65E14F65" w14:textId="77777777" w:rsidR="00971A1F" w:rsidRPr="00D9348B" w:rsidRDefault="00971A1F" w:rsidP="00DB330E">
            <w:pPr>
              <w:pStyle w:val="TableText"/>
              <w:rPr>
                <w:rFonts w:eastAsia="Calibri"/>
              </w:rPr>
            </w:pPr>
          </w:p>
        </w:tc>
      </w:tr>
      <w:tr w:rsidR="00971A1F" w:rsidRPr="00D9348B" w14:paraId="308A769E" w14:textId="77777777" w:rsidTr="00BC736E">
        <w:tc>
          <w:tcPr>
            <w:tcW w:w="2827" w:type="pct"/>
            <w:shd w:val="clear" w:color="auto" w:fill="auto"/>
          </w:tcPr>
          <w:p w14:paraId="65E1988E" w14:textId="77777777" w:rsidR="00971A1F" w:rsidRPr="00D9348B" w:rsidRDefault="00971A1F" w:rsidP="00DB330E">
            <w:pPr>
              <w:pStyle w:val="TableText"/>
              <w:rPr>
                <w:rFonts w:eastAsia="Calibri"/>
              </w:rPr>
            </w:pPr>
            <w:r w:rsidRPr="00D9348B">
              <w:rPr>
                <w:rFonts w:eastAsia="Calibri"/>
              </w:rPr>
              <w:t xml:space="preserve">Using data on fuel purchases during 2018, we were able to determine the average diesel use per roundtrip Apia–Tokelau by the ferries and cargo ships: around 16,000 litres each. </w:t>
            </w:r>
          </w:p>
        </w:tc>
        <w:tc>
          <w:tcPr>
            <w:tcW w:w="1062" w:type="pct"/>
          </w:tcPr>
          <w:p w14:paraId="1AA6602C" w14:textId="77777777" w:rsidR="00971A1F" w:rsidRPr="00D9348B" w:rsidRDefault="00971A1F" w:rsidP="00DB330E">
            <w:pPr>
              <w:pStyle w:val="TableText"/>
              <w:rPr>
                <w:rFonts w:eastAsia="Calibri"/>
              </w:rPr>
            </w:pPr>
            <w:r w:rsidRPr="00D9348B">
              <w:rPr>
                <w:rFonts w:eastAsia="Calibri"/>
              </w:rPr>
              <w:t>Accuracy, transparency</w:t>
            </w:r>
          </w:p>
        </w:tc>
        <w:tc>
          <w:tcPr>
            <w:tcW w:w="1111" w:type="pct"/>
            <w:shd w:val="clear" w:color="auto" w:fill="auto"/>
          </w:tcPr>
          <w:p w14:paraId="7BC430A0" w14:textId="77777777" w:rsidR="00971A1F" w:rsidRPr="00D9348B" w:rsidRDefault="00971A1F" w:rsidP="00DB330E">
            <w:pPr>
              <w:pStyle w:val="TableText"/>
              <w:rPr>
                <w:rFonts w:eastAsia="Calibri"/>
              </w:rPr>
            </w:pPr>
          </w:p>
        </w:tc>
      </w:tr>
      <w:tr w:rsidR="00971A1F" w:rsidRPr="00D9348B" w14:paraId="08F331FF" w14:textId="77777777" w:rsidTr="00BC736E">
        <w:tc>
          <w:tcPr>
            <w:tcW w:w="2827" w:type="pct"/>
            <w:shd w:val="clear" w:color="auto" w:fill="auto"/>
          </w:tcPr>
          <w:p w14:paraId="4AF5550D" w14:textId="77777777" w:rsidR="00971A1F" w:rsidRPr="00D9348B" w:rsidRDefault="00971A1F" w:rsidP="00B132D1">
            <w:pPr>
              <w:pStyle w:val="TableText"/>
              <w:keepNext/>
              <w:rPr>
                <w:rFonts w:eastAsia="Calibri"/>
              </w:rPr>
            </w:pPr>
            <w:r w:rsidRPr="00D9348B">
              <w:rPr>
                <w:rFonts w:eastAsia="Calibri"/>
              </w:rPr>
              <w:lastRenderedPageBreak/>
              <w:t>We estimated the number of round trips increased from about two a month in the 1990s, to actual values known from 2014–18. Then we calculated total diesel use for shipping accordingly, rather than using the 2014 value as a constant back to 1990. We continued to allocate a fraction of 300/1300 to Tokelau, ignoring emissions from international shipping (1000/1300) between Tokelau and its nearest port, Apia.</w:t>
            </w:r>
          </w:p>
        </w:tc>
        <w:tc>
          <w:tcPr>
            <w:tcW w:w="1062" w:type="pct"/>
          </w:tcPr>
          <w:p w14:paraId="40CCC2C4" w14:textId="77777777" w:rsidR="00971A1F" w:rsidRPr="00D9348B" w:rsidRDefault="00971A1F" w:rsidP="00B132D1">
            <w:pPr>
              <w:pStyle w:val="TableText"/>
              <w:keepNext/>
              <w:rPr>
                <w:rFonts w:eastAsia="Calibri"/>
              </w:rPr>
            </w:pPr>
            <w:r w:rsidRPr="00D9348B">
              <w:rPr>
                <w:rFonts w:eastAsia="Calibri"/>
              </w:rPr>
              <w:t>Accuracy, transparency</w:t>
            </w:r>
          </w:p>
        </w:tc>
        <w:tc>
          <w:tcPr>
            <w:tcW w:w="1111" w:type="pct"/>
            <w:shd w:val="clear" w:color="auto" w:fill="auto"/>
          </w:tcPr>
          <w:p w14:paraId="0A58BA64" w14:textId="77777777" w:rsidR="00971A1F" w:rsidRPr="00D9348B" w:rsidRDefault="00971A1F" w:rsidP="00B132D1">
            <w:pPr>
              <w:pStyle w:val="TableText"/>
              <w:keepNext/>
              <w:rPr>
                <w:rFonts w:eastAsia="Calibri"/>
              </w:rPr>
            </w:pPr>
          </w:p>
        </w:tc>
      </w:tr>
      <w:tr w:rsidR="00971A1F" w:rsidRPr="00D9348B" w14:paraId="489B26C3" w14:textId="77777777" w:rsidTr="00BC736E">
        <w:tc>
          <w:tcPr>
            <w:tcW w:w="2827" w:type="pct"/>
            <w:shd w:val="clear" w:color="auto" w:fill="auto"/>
          </w:tcPr>
          <w:p w14:paraId="74D1C8CB" w14:textId="77777777" w:rsidR="00971A1F" w:rsidRPr="00D9348B" w:rsidRDefault="00971A1F" w:rsidP="00DB330E">
            <w:pPr>
              <w:pStyle w:val="TableText"/>
              <w:rPr>
                <w:rFonts w:eastAsia="Calibri"/>
              </w:rPr>
            </w:pPr>
            <w:r w:rsidRPr="00D9348B">
              <w:rPr>
                <w:rFonts w:eastAsia="Calibri"/>
              </w:rPr>
              <w:t>A minor change was made to how the numbers of refrigerators, freezers and air conditioning units in Tokelau were calculated. In Tokelau’s first submission, the data from a smoothed regression line were used. In this submission, the actual census year data and interpolated intervening years were used.</w:t>
            </w:r>
          </w:p>
        </w:tc>
        <w:tc>
          <w:tcPr>
            <w:tcW w:w="1062" w:type="pct"/>
          </w:tcPr>
          <w:p w14:paraId="2F1106B0" w14:textId="77777777" w:rsidR="00971A1F" w:rsidRPr="00D9348B" w:rsidRDefault="00971A1F" w:rsidP="00DB330E">
            <w:pPr>
              <w:pStyle w:val="TableText"/>
              <w:rPr>
                <w:rFonts w:eastAsia="Calibri"/>
              </w:rPr>
            </w:pPr>
            <w:r w:rsidRPr="00D9348B">
              <w:rPr>
                <w:rFonts w:eastAsia="Calibri"/>
              </w:rPr>
              <w:t>Accuracy, transparency</w:t>
            </w:r>
          </w:p>
        </w:tc>
        <w:tc>
          <w:tcPr>
            <w:tcW w:w="1111" w:type="pct"/>
            <w:shd w:val="clear" w:color="auto" w:fill="auto"/>
          </w:tcPr>
          <w:p w14:paraId="3B3A59FE" w14:textId="77777777" w:rsidR="00971A1F" w:rsidRPr="00D9348B" w:rsidRDefault="00971A1F" w:rsidP="00DB330E">
            <w:pPr>
              <w:pStyle w:val="TableText"/>
              <w:rPr>
                <w:rFonts w:eastAsia="Calibri"/>
              </w:rPr>
            </w:pPr>
          </w:p>
        </w:tc>
      </w:tr>
      <w:tr w:rsidR="00971A1F" w:rsidRPr="00D9348B" w14:paraId="1D662C75" w14:textId="77777777" w:rsidTr="00BC736E">
        <w:tc>
          <w:tcPr>
            <w:tcW w:w="2827" w:type="pct"/>
            <w:shd w:val="clear" w:color="auto" w:fill="auto"/>
          </w:tcPr>
          <w:p w14:paraId="032AD73E" w14:textId="77777777" w:rsidR="00971A1F" w:rsidRPr="00D9348B" w:rsidRDefault="00971A1F" w:rsidP="00DB330E">
            <w:pPr>
              <w:pStyle w:val="TableText"/>
              <w:rPr>
                <w:rFonts w:eastAsia="Calibri"/>
              </w:rPr>
            </w:pPr>
            <w:r w:rsidRPr="00D9348B">
              <w:t>To account for the phase in of hydrofluorocarbons (HFCs), it has been assumed that the proportion of appliances using HFCs increased 10 per cent per year, starting at 10 per cent of appliances in 1994 and reaching 100 per cent of appliances in 2003.</w:t>
            </w:r>
          </w:p>
        </w:tc>
        <w:tc>
          <w:tcPr>
            <w:tcW w:w="1062" w:type="pct"/>
          </w:tcPr>
          <w:p w14:paraId="1D90152E" w14:textId="77777777" w:rsidR="00971A1F" w:rsidRPr="00D9348B" w:rsidRDefault="00971A1F" w:rsidP="00DB330E">
            <w:pPr>
              <w:pStyle w:val="TableText"/>
              <w:rPr>
                <w:rFonts w:eastAsia="Calibri"/>
              </w:rPr>
            </w:pPr>
            <w:r w:rsidRPr="00D9348B">
              <w:rPr>
                <w:rFonts w:eastAsia="Calibri"/>
              </w:rPr>
              <w:t>Accuracy, transparency</w:t>
            </w:r>
          </w:p>
        </w:tc>
        <w:tc>
          <w:tcPr>
            <w:tcW w:w="1111" w:type="pct"/>
            <w:shd w:val="clear" w:color="auto" w:fill="auto"/>
          </w:tcPr>
          <w:p w14:paraId="3B894D45" w14:textId="77777777" w:rsidR="00971A1F" w:rsidRPr="00D9348B" w:rsidRDefault="00971A1F" w:rsidP="00DB330E">
            <w:pPr>
              <w:pStyle w:val="TableText"/>
              <w:rPr>
                <w:rFonts w:eastAsia="Calibri"/>
              </w:rPr>
            </w:pPr>
          </w:p>
        </w:tc>
      </w:tr>
      <w:tr w:rsidR="00971A1F" w:rsidRPr="00D9348B" w14:paraId="0B426D80" w14:textId="77777777" w:rsidTr="00BC736E">
        <w:tc>
          <w:tcPr>
            <w:tcW w:w="2827" w:type="pct"/>
            <w:shd w:val="clear" w:color="auto" w:fill="auto"/>
          </w:tcPr>
          <w:p w14:paraId="73C4368E" w14:textId="77777777" w:rsidR="00971A1F" w:rsidRPr="00D9348B" w:rsidRDefault="00971A1F" w:rsidP="00DB330E">
            <w:pPr>
              <w:pStyle w:val="TableText"/>
              <w:rPr>
                <w:rFonts w:eastAsia="Calibri"/>
              </w:rPr>
            </w:pPr>
            <w:r w:rsidRPr="00D9348B">
              <w:rPr>
                <w:rFonts w:eastAsia="Calibri"/>
              </w:rPr>
              <w:t>Agriculture did not feature strongly in Tokelau’s first estimates for 1990–2017, as a result of an error in the pig population size. The IPCC methodology (3.A.3 and 3.B.1.3) requires the swine population to be reported in 1000s, and the resulting per milli fraction was used to calculate emissions from pigs, which were hence a factor 1,000 too small. The current submission corrects this.</w:t>
            </w:r>
          </w:p>
        </w:tc>
        <w:tc>
          <w:tcPr>
            <w:tcW w:w="1062" w:type="pct"/>
          </w:tcPr>
          <w:p w14:paraId="496DCC50" w14:textId="77777777" w:rsidR="00971A1F" w:rsidRPr="00D9348B" w:rsidRDefault="00971A1F" w:rsidP="00DB330E">
            <w:pPr>
              <w:pStyle w:val="TableText"/>
              <w:rPr>
                <w:rFonts w:eastAsia="Calibri"/>
              </w:rPr>
            </w:pPr>
            <w:r w:rsidRPr="00D9348B">
              <w:rPr>
                <w:rFonts w:eastAsia="Calibri"/>
              </w:rPr>
              <w:t>Accuracy, consistency, transparency</w:t>
            </w:r>
          </w:p>
          <w:p w14:paraId="1443F41A" w14:textId="77777777" w:rsidR="00971A1F" w:rsidRPr="00D9348B" w:rsidRDefault="00971A1F" w:rsidP="00DB330E">
            <w:pPr>
              <w:pStyle w:val="TableText"/>
              <w:rPr>
                <w:rFonts w:eastAsia="Calibri"/>
              </w:rPr>
            </w:pPr>
          </w:p>
        </w:tc>
        <w:tc>
          <w:tcPr>
            <w:tcW w:w="1111" w:type="pct"/>
            <w:shd w:val="clear" w:color="auto" w:fill="auto"/>
          </w:tcPr>
          <w:p w14:paraId="0DF85786" w14:textId="77777777" w:rsidR="00971A1F" w:rsidRPr="00D9348B" w:rsidRDefault="00971A1F" w:rsidP="00DB330E">
            <w:pPr>
              <w:pStyle w:val="TableText"/>
              <w:rPr>
                <w:rFonts w:eastAsia="Calibri"/>
              </w:rPr>
            </w:pPr>
          </w:p>
        </w:tc>
      </w:tr>
      <w:tr w:rsidR="00971A1F" w:rsidRPr="00D9348B" w14:paraId="53207346" w14:textId="77777777" w:rsidTr="00BC736E">
        <w:tc>
          <w:tcPr>
            <w:tcW w:w="2827" w:type="pct"/>
            <w:shd w:val="clear" w:color="auto" w:fill="auto"/>
          </w:tcPr>
          <w:p w14:paraId="0E6F755C" w14:textId="77777777" w:rsidR="00971A1F" w:rsidRPr="00D9348B" w:rsidRDefault="00971A1F" w:rsidP="00DB330E">
            <w:pPr>
              <w:pStyle w:val="TableText"/>
              <w:rPr>
                <w:rFonts w:eastAsia="Calibri"/>
              </w:rPr>
            </w:pPr>
            <w:r w:rsidRPr="00D9348B">
              <w:rPr>
                <w:rFonts w:eastAsia="Calibri"/>
              </w:rPr>
              <w:t xml:space="preserve">For our calculations of waste, we are now using the </w:t>
            </w:r>
            <w:r w:rsidRPr="00D9348B">
              <w:rPr>
                <w:rFonts w:eastAsia="Calibri"/>
                <w:i/>
              </w:rPr>
              <w:t>de facto</w:t>
            </w:r>
            <w:r w:rsidRPr="00D9348B">
              <w:rPr>
                <w:rFonts w:eastAsia="Calibri"/>
              </w:rPr>
              <w:t xml:space="preserve"> census night population, instead of the official, </w:t>
            </w:r>
            <w:r w:rsidRPr="00D9348B">
              <w:rPr>
                <w:rFonts w:eastAsia="Calibri"/>
                <w:i/>
              </w:rPr>
              <w:t>de jure</w:t>
            </w:r>
            <w:r w:rsidRPr="00D9348B">
              <w:rPr>
                <w:rFonts w:eastAsia="Calibri"/>
              </w:rPr>
              <w:t xml:space="preserve"> usually resident population of Tokelau. The distinction was first made in Census 1991 to include travellers, plus Tokelau public servants and their families who live and work in Apia, Samoa (and hence do not contribute to Tokelau waste). The </w:t>
            </w:r>
            <w:r w:rsidRPr="00D9348B">
              <w:rPr>
                <w:rFonts w:eastAsia="Calibri"/>
                <w:i/>
              </w:rPr>
              <w:t>de jure</w:t>
            </w:r>
            <w:r w:rsidRPr="00D9348B">
              <w:rPr>
                <w:rFonts w:eastAsia="Calibri"/>
              </w:rPr>
              <w:t xml:space="preserve"> population also includes residents who are away from Tokelau for less than 6 months for education, health or holiday, hence are also not contributing to waste production.</w:t>
            </w:r>
          </w:p>
        </w:tc>
        <w:tc>
          <w:tcPr>
            <w:tcW w:w="1062" w:type="pct"/>
          </w:tcPr>
          <w:p w14:paraId="64F60431" w14:textId="77777777" w:rsidR="00971A1F" w:rsidRPr="00D9348B" w:rsidRDefault="00971A1F" w:rsidP="00DB330E">
            <w:pPr>
              <w:pStyle w:val="TableText"/>
              <w:rPr>
                <w:rFonts w:eastAsia="Calibri"/>
              </w:rPr>
            </w:pPr>
            <w:r w:rsidRPr="00D9348B">
              <w:rPr>
                <w:rFonts w:eastAsia="Calibri"/>
              </w:rPr>
              <w:t>Accuracy, transparency</w:t>
            </w:r>
          </w:p>
        </w:tc>
        <w:tc>
          <w:tcPr>
            <w:tcW w:w="1111" w:type="pct"/>
            <w:shd w:val="clear" w:color="auto" w:fill="auto"/>
          </w:tcPr>
          <w:p w14:paraId="4D0BA75D" w14:textId="77777777" w:rsidR="00971A1F" w:rsidRPr="00D9348B" w:rsidRDefault="00971A1F" w:rsidP="00DB330E">
            <w:pPr>
              <w:pStyle w:val="TableText"/>
              <w:rPr>
                <w:rFonts w:eastAsia="Calibri"/>
              </w:rPr>
            </w:pPr>
          </w:p>
        </w:tc>
      </w:tr>
      <w:tr w:rsidR="00971A1F" w:rsidRPr="00D9348B" w14:paraId="7970C0D4" w14:textId="77777777" w:rsidTr="00BC736E">
        <w:tc>
          <w:tcPr>
            <w:tcW w:w="2827" w:type="pct"/>
            <w:shd w:val="clear" w:color="auto" w:fill="auto"/>
          </w:tcPr>
          <w:p w14:paraId="1EF33221" w14:textId="77777777" w:rsidR="00971A1F" w:rsidRPr="00D9348B" w:rsidRDefault="00971A1F" w:rsidP="00DB330E">
            <w:pPr>
              <w:pStyle w:val="TableText"/>
              <w:rPr>
                <w:rFonts w:eastAsia="Calibri"/>
              </w:rPr>
            </w:pPr>
            <w:r w:rsidRPr="00D9348B">
              <w:rPr>
                <w:rFonts w:eastAsia="Calibri"/>
              </w:rPr>
              <w:t>A more accurate time series in waste water was developed by using 5-yearly Census data to calculate a reduction of open water toilets from 65 per cent in 1991, to 0 per cent in 2016. Previously, 66 per cent was assumed as a constant. The percentage of septic tanks, that is, the complement to open water toilets, was increased accordingly from 35 per cent to 100 per cent. This change increases emissions from methane and reduces emissions from nitrous oxide.</w:t>
            </w:r>
          </w:p>
        </w:tc>
        <w:tc>
          <w:tcPr>
            <w:tcW w:w="1062" w:type="pct"/>
          </w:tcPr>
          <w:p w14:paraId="72D6CC77" w14:textId="77777777" w:rsidR="00971A1F" w:rsidRPr="00D9348B" w:rsidRDefault="00971A1F" w:rsidP="00DB330E">
            <w:pPr>
              <w:pStyle w:val="TableText"/>
              <w:rPr>
                <w:rFonts w:eastAsia="Calibri"/>
              </w:rPr>
            </w:pPr>
            <w:r w:rsidRPr="00D9348B">
              <w:rPr>
                <w:rFonts w:eastAsia="Calibri"/>
              </w:rPr>
              <w:t>Accuracy, transparency</w:t>
            </w:r>
          </w:p>
        </w:tc>
        <w:tc>
          <w:tcPr>
            <w:tcW w:w="1111" w:type="pct"/>
            <w:shd w:val="clear" w:color="auto" w:fill="auto"/>
          </w:tcPr>
          <w:p w14:paraId="356EDF14" w14:textId="77777777" w:rsidR="00971A1F" w:rsidRPr="00D9348B" w:rsidRDefault="00971A1F" w:rsidP="00DB330E">
            <w:pPr>
              <w:pStyle w:val="TableText"/>
              <w:rPr>
                <w:rFonts w:eastAsia="Calibri"/>
              </w:rPr>
            </w:pPr>
          </w:p>
        </w:tc>
      </w:tr>
      <w:tr w:rsidR="00971A1F" w:rsidRPr="00D9348B" w14:paraId="2550563A" w14:textId="77777777" w:rsidTr="00BC736E">
        <w:tc>
          <w:tcPr>
            <w:tcW w:w="2827" w:type="pct"/>
            <w:shd w:val="clear" w:color="auto" w:fill="auto"/>
          </w:tcPr>
          <w:p w14:paraId="75A2788D" w14:textId="24793996" w:rsidR="00971A1F" w:rsidRPr="00D9348B" w:rsidRDefault="00971A1F" w:rsidP="00DB330E">
            <w:pPr>
              <w:pStyle w:val="TableText"/>
              <w:rPr>
                <w:rFonts w:eastAsia="Calibri"/>
              </w:rPr>
            </w:pPr>
            <w:r w:rsidRPr="00D9348B">
              <w:rPr>
                <w:rFonts w:eastAsia="Calibri"/>
              </w:rPr>
              <w:t>The above refinements led to somewhat lower emissions for 1990 and to higher emissions for 2018 than in our previous estimate. Hence, our</w:t>
            </w:r>
            <w:r w:rsidR="000C636D" w:rsidRPr="00D9348B">
              <w:rPr>
                <w:rFonts w:eastAsia="Calibri"/>
              </w:rPr>
              <w:t> </w:t>
            </w:r>
            <w:r w:rsidRPr="00D9348B">
              <w:rPr>
                <w:rFonts w:eastAsia="Calibri"/>
              </w:rPr>
              <w:t>overall emissions appear to have increased by 14.2 per cent over that period (whereas our previous submission reported a decrease of 21</w:t>
            </w:r>
            <w:r w:rsidR="000C636D" w:rsidRPr="00D9348B">
              <w:rPr>
                <w:rFonts w:eastAsia="Calibri"/>
              </w:rPr>
              <w:t> </w:t>
            </w:r>
            <w:r w:rsidRPr="00D9348B">
              <w:rPr>
                <w:rFonts w:eastAsia="Calibri"/>
              </w:rPr>
              <w:t xml:space="preserve">per cent). </w:t>
            </w:r>
          </w:p>
          <w:p w14:paraId="74F7BD05" w14:textId="5AFDDDD7" w:rsidR="00971A1F" w:rsidRPr="00D9348B" w:rsidRDefault="00971A1F" w:rsidP="00DB330E">
            <w:pPr>
              <w:pStyle w:val="TableText"/>
              <w:rPr>
                <w:rFonts w:eastAsia="Calibri"/>
              </w:rPr>
            </w:pPr>
            <w:r w:rsidRPr="00D9348B">
              <w:rPr>
                <w:rFonts w:eastAsia="Calibri"/>
              </w:rPr>
              <w:t>While the change to solar power in 2012 meant a positive and deliberately drastic reduction in emissions, it appears to have merely negated the developmental increase in 2004. For Tokelau, 2005 would be a more realistic baseline to set its reduction target from, than 1990 as</w:t>
            </w:r>
            <w:r w:rsidR="000C636D" w:rsidRPr="00D9348B">
              <w:rPr>
                <w:rFonts w:eastAsia="Calibri"/>
              </w:rPr>
              <w:t> </w:t>
            </w:r>
            <w:r w:rsidRPr="00D9348B">
              <w:rPr>
                <w:rFonts w:eastAsia="Calibri"/>
              </w:rPr>
              <w:t>used for developed countries.</w:t>
            </w:r>
          </w:p>
        </w:tc>
        <w:tc>
          <w:tcPr>
            <w:tcW w:w="1062" w:type="pct"/>
          </w:tcPr>
          <w:p w14:paraId="5F1B5623" w14:textId="77777777" w:rsidR="00971A1F" w:rsidRPr="00D9348B" w:rsidRDefault="00971A1F" w:rsidP="00DB330E">
            <w:pPr>
              <w:pStyle w:val="TableText"/>
              <w:rPr>
                <w:rFonts w:eastAsia="Calibri"/>
              </w:rPr>
            </w:pPr>
            <w:r w:rsidRPr="00D9348B">
              <w:rPr>
                <w:rFonts w:eastAsia="Calibri"/>
              </w:rPr>
              <w:t>Accuracy, consistency, transparency</w:t>
            </w:r>
          </w:p>
        </w:tc>
        <w:tc>
          <w:tcPr>
            <w:tcW w:w="1111" w:type="pct"/>
            <w:shd w:val="clear" w:color="auto" w:fill="auto"/>
          </w:tcPr>
          <w:p w14:paraId="36C45727" w14:textId="77777777" w:rsidR="00971A1F" w:rsidRPr="00D9348B" w:rsidRDefault="00971A1F" w:rsidP="00DB330E">
            <w:pPr>
              <w:pStyle w:val="TableText"/>
              <w:rPr>
                <w:rFonts w:eastAsia="Calibri"/>
              </w:rPr>
            </w:pPr>
          </w:p>
        </w:tc>
      </w:tr>
    </w:tbl>
    <w:p w14:paraId="1608A77F" w14:textId="77777777" w:rsidR="00971A1F" w:rsidRPr="00D9348B" w:rsidRDefault="00971A1F" w:rsidP="00971A1F">
      <w:pPr>
        <w:pStyle w:val="Heading3"/>
        <w:tabs>
          <w:tab w:val="left" w:pos="993"/>
        </w:tabs>
        <w:spacing w:before="440"/>
        <w:ind w:left="993" w:hanging="993"/>
      </w:pPr>
      <w:r w:rsidRPr="00D9348B">
        <w:t xml:space="preserve">10.1.7 </w:t>
      </w:r>
      <w:r w:rsidRPr="00D9348B">
        <w:tab/>
        <w:t>Article 3.3 activities under the Kyoto Protocol</w:t>
      </w:r>
    </w:p>
    <w:p w14:paraId="650E5DFE" w14:textId="77777777" w:rsidR="00971A1F" w:rsidRPr="00D9348B" w:rsidRDefault="00971A1F" w:rsidP="00971A1F">
      <w:pPr>
        <w:pStyle w:val="BodyText"/>
      </w:pPr>
      <w:bookmarkStart w:id="3084" w:name="_Toc310423434"/>
      <w:bookmarkStart w:id="3085" w:name="_Toc342470806"/>
      <w:bookmarkStart w:id="3086" w:name="_Toc352505058"/>
      <w:bookmarkStart w:id="3087" w:name="_Toc391023546"/>
      <w:bookmarkStart w:id="3088" w:name="_Toc414531520"/>
      <w:bookmarkStart w:id="3089" w:name="_Toc451176193"/>
      <w:bookmarkStart w:id="3090" w:name="_Toc481751624"/>
      <w:bookmarkStart w:id="3091" w:name="_Toc384581683"/>
      <w:bookmarkStart w:id="3092" w:name="_Toc414531337"/>
      <w:bookmarkStart w:id="3093" w:name="_Toc448321557"/>
      <w:bookmarkStart w:id="3094" w:name="_Toc481751419"/>
      <w:bookmarkStart w:id="3095" w:name="_Toc511116634"/>
      <w:r w:rsidRPr="00D9348B">
        <w:t>New Zealand’s greenhouse gas estimates for activities under Article 3.3 and Article 3.4 of the Kyoto Protocol have been recalculated since the 2019 inventory submission (tables 10.1.12, 10.1.13 and 10.1.14). The recalculations incorporate improved activity data and emission factors (see chapter 11 and table 10.2.1). Table 10.1.11 lists the recalculations in order of decreasing magnitude.</w:t>
      </w:r>
    </w:p>
    <w:p w14:paraId="7338D594" w14:textId="77777777" w:rsidR="00971A1F" w:rsidRPr="00D9348B" w:rsidRDefault="00971A1F" w:rsidP="00971A1F">
      <w:pPr>
        <w:pStyle w:val="Table"/>
      </w:pPr>
      <w:bookmarkStart w:id="3096" w:name="_Toc511116852"/>
      <w:bookmarkStart w:id="3097" w:name="_Toc5269619"/>
      <w:bookmarkStart w:id="3098" w:name="_Toc36224701"/>
      <w:r w:rsidRPr="00D9348B">
        <w:lastRenderedPageBreak/>
        <w:t>Table 10.1.11</w:t>
      </w:r>
      <w:r w:rsidRPr="00D9348B">
        <w:tab/>
        <w:t>Explanations and justifications for recalculations of New Zealand’s previous</w:t>
      </w:r>
      <w:r w:rsidRPr="00D9348B">
        <w:br/>
        <w:t>Kyoto Protocol estimates</w:t>
      </w:r>
      <w:bookmarkEnd w:id="3084"/>
      <w:bookmarkEnd w:id="3085"/>
      <w:bookmarkEnd w:id="3086"/>
      <w:bookmarkEnd w:id="3087"/>
      <w:bookmarkEnd w:id="3088"/>
      <w:bookmarkEnd w:id="3089"/>
      <w:bookmarkEnd w:id="3090"/>
      <w:bookmarkEnd w:id="3096"/>
      <w:bookmarkEnd w:id="3097"/>
      <w:bookmarkEnd w:id="3098"/>
    </w:p>
    <w:tbl>
      <w:tblPr>
        <w:tblW w:w="8562" w:type="dxa"/>
        <w:tblInd w:w="108" w:type="dxa"/>
        <w:tblLayout w:type="fixed"/>
        <w:tblLook w:val="04A0" w:firstRow="1" w:lastRow="0" w:firstColumn="1" w:lastColumn="0" w:noHBand="0" w:noVBand="1"/>
      </w:tblPr>
      <w:tblGrid>
        <w:gridCol w:w="4820"/>
        <w:gridCol w:w="1701"/>
        <w:gridCol w:w="2041"/>
      </w:tblGrid>
      <w:tr w:rsidR="00971A1F" w:rsidRPr="00D9348B" w14:paraId="715F05E4" w14:textId="77777777" w:rsidTr="00B132D1">
        <w:trPr>
          <w:tblHeader/>
        </w:trPr>
        <w:tc>
          <w:tcPr>
            <w:tcW w:w="4820" w:type="dxa"/>
            <w:tcBorders>
              <w:top w:val="single" w:sz="4" w:space="0" w:color="365F91"/>
              <w:bottom w:val="single" w:sz="4" w:space="0" w:color="365F91"/>
            </w:tcBorders>
            <w:shd w:val="clear" w:color="auto" w:fill="365F91"/>
            <w:vAlign w:val="bottom"/>
          </w:tcPr>
          <w:p w14:paraId="666675B7" w14:textId="77777777" w:rsidR="00971A1F" w:rsidRPr="00D9348B" w:rsidRDefault="00971A1F" w:rsidP="00DB330E">
            <w:pPr>
              <w:pStyle w:val="TableTextBold"/>
              <w:keepNext/>
              <w:spacing w:before="40" w:after="40"/>
              <w:rPr>
                <w:noProof w:val="0"/>
                <w:color w:val="FFFFFF"/>
              </w:rPr>
            </w:pPr>
            <w:r w:rsidRPr="00D9348B">
              <w:rPr>
                <w:noProof w:val="0"/>
                <w:color w:val="FFFFFF"/>
              </w:rPr>
              <w:t>Explanation of recalculation</w:t>
            </w:r>
          </w:p>
        </w:tc>
        <w:tc>
          <w:tcPr>
            <w:tcW w:w="1701" w:type="dxa"/>
            <w:tcBorders>
              <w:top w:val="single" w:sz="4" w:space="0" w:color="365F91"/>
              <w:bottom w:val="single" w:sz="4" w:space="0" w:color="365F91"/>
            </w:tcBorders>
            <w:shd w:val="clear" w:color="auto" w:fill="365F91"/>
            <w:vAlign w:val="bottom"/>
          </w:tcPr>
          <w:p w14:paraId="03BEDD81" w14:textId="77777777" w:rsidR="00971A1F" w:rsidRPr="00D9348B" w:rsidRDefault="00971A1F" w:rsidP="00DB330E">
            <w:pPr>
              <w:pStyle w:val="TableTextBold"/>
              <w:keepNext/>
              <w:spacing w:before="40" w:after="40"/>
              <w:rPr>
                <w:noProof w:val="0"/>
                <w:color w:val="FFFFFF"/>
              </w:rPr>
            </w:pPr>
            <w:r w:rsidRPr="00D9348B">
              <w:rPr>
                <w:noProof w:val="0"/>
                <w:color w:val="FFFFFF"/>
              </w:rPr>
              <w:t>Underpinning UNFCCC principle</w:t>
            </w:r>
          </w:p>
        </w:tc>
        <w:tc>
          <w:tcPr>
            <w:tcW w:w="2041" w:type="dxa"/>
            <w:tcBorders>
              <w:top w:val="single" w:sz="4" w:space="0" w:color="365F91"/>
              <w:bottom w:val="single" w:sz="4" w:space="0" w:color="365F91"/>
            </w:tcBorders>
            <w:shd w:val="clear" w:color="auto" w:fill="365F91"/>
            <w:vAlign w:val="bottom"/>
          </w:tcPr>
          <w:p w14:paraId="4C44402E" w14:textId="77777777" w:rsidR="00971A1F" w:rsidRPr="00D9348B" w:rsidRDefault="00971A1F" w:rsidP="00DB330E">
            <w:pPr>
              <w:pStyle w:val="TableTextBold"/>
              <w:keepNext/>
              <w:spacing w:before="40" w:after="40"/>
              <w:rPr>
                <w:noProof w:val="0"/>
                <w:color w:val="FFFFFF"/>
              </w:rPr>
            </w:pPr>
            <w:r w:rsidRPr="00D9348B">
              <w:rPr>
                <w:noProof w:val="0"/>
                <w:color w:val="FFFFFF"/>
              </w:rPr>
              <w:t>Additional justification</w:t>
            </w:r>
          </w:p>
        </w:tc>
      </w:tr>
      <w:tr w:rsidR="00971A1F" w:rsidRPr="00D9348B" w14:paraId="40FF4CF9" w14:textId="77777777" w:rsidTr="00B132D1">
        <w:tc>
          <w:tcPr>
            <w:tcW w:w="4820" w:type="dxa"/>
            <w:tcBorders>
              <w:top w:val="single" w:sz="4" w:space="0" w:color="365F91"/>
              <w:bottom w:val="single" w:sz="4" w:space="0" w:color="365F91"/>
            </w:tcBorders>
            <w:shd w:val="clear" w:color="auto" w:fill="auto"/>
          </w:tcPr>
          <w:p w14:paraId="6571EC38" w14:textId="77777777" w:rsidR="00971A1F" w:rsidRPr="00D9348B" w:rsidRDefault="00971A1F" w:rsidP="00DB330E">
            <w:pPr>
              <w:pStyle w:val="TableText"/>
              <w:spacing w:before="40" w:after="40"/>
            </w:pPr>
            <w:r w:rsidRPr="00D9348B">
              <w:t>A revised analysis of the pre-1990 natural forest plot data was undertaken for the 2020 submission (Paul et al., unpublished). This resulted in a significant reduction in the estimate for carbon stock change in the regenerating component of pre-1990 natural forest, compared with the previous submission. Details of the revised analysis and the drivers of this reduction can be found in chapter 6, section 6.4.5, under Forest land.</w:t>
            </w:r>
          </w:p>
        </w:tc>
        <w:tc>
          <w:tcPr>
            <w:tcW w:w="1701" w:type="dxa"/>
            <w:tcBorders>
              <w:top w:val="single" w:sz="4" w:space="0" w:color="365F91"/>
              <w:bottom w:val="single" w:sz="4" w:space="0" w:color="365F91"/>
            </w:tcBorders>
            <w:shd w:val="clear" w:color="auto" w:fill="auto"/>
          </w:tcPr>
          <w:p w14:paraId="5E800BDD" w14:textId="77777777" w:rsidR="00971A1F" w:rsidRPr="00D9348B" w:rsidRDefault="00971A1F" w:rsidP="00DB330E">
            <w:pPr>
              <w:pStyle w:val="TableText"/>
              <w:spacing w:before="40" w:after="40"/>
            </w:pPr>
            <w:r w:rsidRPr="00D9348B">
              <w:t xml:space="preserve">Accuracy, </w:t>
            </w:r>
          </w:p>
        </w:tc>
        <w:tc>
          <w:tcPr>
            <w:tcW w:w="2041" w:type="dxa"/>
            <w:tcBorders>
              <w:top w:val="single" w:sz="4" w:space="0" w:color="365F91"/>
              <w:bottom w:val="single" w:sz="4" w:space="0" w:color="365F91"/>
            </w:tcBorders>
            <w:shd w:val="clear" w:color="auto" w:fill="auto"/>
          </w:tcPr>
          <w:p w14:paraId="71541039" w14:textId="77777777" w:rsidR="00971A1F" w:rsidRPr="00D9348B" w:rsidRDefault="00971A1F" w:rsidP="00DB330E">
            <w:pPr>
              <w:pStyle w:val="TableText"/>
              <w:spacing w:before="40" w:after="40"/>
            </w:pPr>
            <w:r w:rsidRPr="00D9348B">
              <w:t>Key category improvement (</w:t>
            </w:r>
            <w:r w:rsidRPr="00D9348B">
              <w:rPr>
                <w:i/>
              </w:rPr>
              <w:t>Forest land remaining forest land</w:t>
            </w:r>
            <w:r w:rsidRPr="00D9348B">
              <w:t>)</w:t>
            </w:r>
          </w:p>
        </w:tc>
      </w:tr>
      <w:tr w:rsidR="00971A1F" w:rsidRPr="00D9348B" w14:paraId="4A711B7D" w14:textId="77777777" w:rsidTr="00B132D1">
        <w:tc>
          <w:tcPr>
            <w:tcW w:w="4820" w:type="dxa"/>
            <w:tcBorders>
              <w:top w:val="single" w:sz="4" w:space="0" w:color="365F91"/>
              <w:bottom w:val="single" w:sz="4" w:space="0" w:color="365F91"/>
            </w:tcBorders>
            <w:shd w:val="clear" w:color="auto" w:fill="auto"/>
          </w:tcPr>
          <w:p w14:paraId="1D38C673" w14:textId="77777777" w:rsidR="00971A1F" w:rsidRPr="00D9348B" w:rsidRDefault="00971A1F" w:rsidP="00DB330E">
            <w:pPr>
              <w:pStyle w:val="TableText"/>
              <w:spacing w:before="40" w:after="40"/>
            </w:pPr>
            <w:r w:rsidRPr="00D9348B">
              <w:t>The post-1989 planted forest yield table has been revised for the 2020 submission. The revised yield table uses data from the annual national forest inventories of 2016, 2017 and 2018 and previous periodic national forest inventories between 2007 and 2015. The analysis of the data collected has provided a plot-based estimate of carbon stock and mean carbon density within this forest type, which leads to more accurate estimates.</w:t>
            </w:r>
          </w:p>
        </w:tc>
        <w:tc>
          <w:tcPr>
            <w:tcW w:w="1701" w:type="dxa"/>
            <w:tcBorders>
              <w:top w:val="single" w:sz="4" w:space="0" w:color="365F91"/>
              <w:bottom w:val="single" w:sz="4" w:space="0" w:color="365F91"/>
            </w:tcBorders>
            <w:shd w:val="clear" w:color="auto" w:fill="auto"/>
          </w:tcPr>
          <w:p w14:paraId="2621E306" w14:textId="77777777" w:rsidR="00971A1F" w:rsidRPr="00D9348B" w:rsidRDefault="00971A1F" w:rsidP="00DB330E">
            <w:pPr>
              <w:pStyle w:val="TableText"/>
              <w:spacing w:before="40" w:after="40"/>
            </w:pPr>
            <w:r w:rsidRPr="00D9348B">
              <w:t>Accuracy</w:t>
            </w:r>
          </w:p>
        </w:tc>
        <w:tc>
          <w:tcPr>
            <w:tcW w:w="2041" w:type="dxa"/>
            <w:tcBorders>
              <w:top w:val="single" w:sz="4" w:space="0" w:color="365F91"/>
              <w:bottom w:val="single" w:sz="4" w:space="0" w:color="365F91"/>
            </w:tcBorders>
            <w:shd w:val="clear" w:color="auto" w:fill="auto"/>
          </w:tcPr>
          <w:p w14:paraId="7D0F2E53" w14:textId="77777777" w:rsidR="00971A1F" w:rsidRPr="00D9348B" w:rsidRDefault="00971A1F" w:rsidP="00DB330E">
            <w:pPr>
              <w:pStyle w:val="TableText"/>
              <w:spacing w:before="40" w:after="40"/>
            </w:pPr>
            <w:r w:rsidRPr="00D9348B">
              <w:t>Key category improvement (</w:t>
            </w:r>
            <w:r w:rsidRPr="00D9348B">
              <w:rPr>
                <w:i/>
              </w:rPr>
              <w:t>Forest land remaining forest land</w:t>
            </w:r>
            <w:r w:rsidRPr="00D9348B">
              <w:t xml:space="preserve">; </w:t>
            </w:r>
            <w:r w:rsidRPr="00D9348B">
              <w:rPr>
                <w:i/>
              </w:rPr>
              <w:t>Land converted to forest land</w:t>
            </w:r>
            <w:r w:rsidRPr="00D9348B">
              <w:t xml:space="preserve">; </w:t>
            </w:r>
            <w:r w:rsidRPr="00D9348B">
              <w:rPr>
                <w:i/>
              </w:rPr>
              <w:t>Land converted to grassland</w:t>
            </w:r>
            <w:r w:rsidRPr="00D9348B">
              <w:t>)</w:t>
            </w:r>
          </w:p>
        </w:tc>
      </w:tr>
    </w:tbl>
    <w:p w14:paraId="7503E855" w14:textId="77777777" w:rsidR="00971A1F" w:rsidRPr="00D9348B" w:rsidRDefault="00971A1F" w:rsidP="00971A1F">
      <w:pPr>
        <w:pStyle w:val="BodyText"/>
        <w:spacing w:before="240"/>
      </w:pPr>
      <w:bookmarkStart w:id="3099" w:name="_Toc310423435"/>
      <w:bookmarkStart w:id="3100" w:name="_Toc342470807"/>
      <w:bookmarkStart w:id="3101" w:name="_Toc352505059"/>
      <w:bookmarkStart w:id="3102" w:name="_Toc391023547"/>
      <w:bookmarkStart w:id="3103" w:name="_Toc414531521"/>
      <w:bookmarkStart w:id="3104" w:name="_Toc451176194"/>
      <w:bookmarkStart w:id="3105" w:name="_Toc481751625"/>
      <w:r w:rsidRPr="00D9348B">
        <w:rPr>
          <w:rFonts w:cs="Arial"/>
        </w:rPr>
        <w:t xml:space="preserve">Improvements in activity data (table 10.1.13) have affected emissions recalculations for all three Kyoto Protocol activities </w:t>
      </w:r>
      <w:r w:rsidRPr="00D9348B">
        <w:t xml:space="preserve">(table 10.1.12). </w:t>
      </w:r>
    </w:p>
    <w:p w14:paraId="31F506F5" w14:textId="77777777" w:rsidR="00971A1F" w:rsidRPr="00D9348B" w:rsidRDefault="00971A1F" w:rsidP="00971A1F">
      <w:pPr>
        <w:pStyle w:val="Table"/>
        <w:spacing w:before="240"/>
      </w:pPr>
      <w:bookmarkStart w:id="3106" w:name="_Toc511116853"/>
      <w:bookmarkStart w:id="3107" w:name="_Toc5269620"/>
      <w:bookmarkStart w:id="3108" w:name="_Toc36224702"/>
      <w:r w:rsidRPr="00D9348B">
        <w:t>Table 10.1.12</w:t>
      </w:r>
      <w:r w:rsidRPr="00D9348B">
        <w:tab/>
        <w:t>Impact of the recalculations of New Zealand’s net emissions under</w:t>
      </w:r>
      <w:r w:rsidRPr="00D9348B">
        <w:br/>
        <w:t xml:space="preserve">Article 3.3 and Article 3.4 of the Kyoto Protocol in </w:t>
      </w:r>
      <w:bookmarkEnd w:id="3099"/>
      <w:bookmarkEnd w:id="3100"/>
      <w:bookmarkEnd w:id="3101"/>
      <w:bookmarkEnd w:id="3102"/>
      <w:r w:rsidRPr="00D9348B">
        <w:t>201</w:t>
      </w:r>
      <w:bookmarkEnd w:id="3103"/>
      <w:bookmarkEnd w:id="3104"/>
      <w:bookmarkEnd w:id="3105"/>
      <w:bookmarkEnd w:id="3106"/>
      <w:bookmarkEnd w:id="3107"/>
      <w:r w:rsidRPr="00D9348B">
        <w:t>7</w:t>
      </w:r>
      <w:bookmarkEnd w:id="3108"/>
    </w:p>
    <w:tbl>
      <w:tblPr>
        <w:tblW w:w="8505" w:type="dxa"/>
        <w:tblInd w:w="108" w:type="dxa"/>
        <w:tblLook w:val="04A0" w:firstRow="1" w:lastRow="0" w:firstColumn="1" w:lastColumn="0" w:noHBand="0" w:noVBand="1"/>
      </w:tblPr>
      <w:tblGrid>
        <w:gridCol w:w="3424"/>
        <w:gridCol w:w="1722"/>
        <w:gridCol w:w="1621"/>
        <w:gridCol w:w="1738"/>
      </w:tblGrid>
      <w:tr w:rsidR="00971A1F" w:rsidRPr="00D9348B" w14:paraId="493DF024" w14:textId="77777777" w:rsidTr="003C3954">
        <w:tc>
          <w:tcPr>
            <w:tcW w:w="3424" w:type="dxa"/>
            <w:vMerge w:val="restart"/>
            <w:tcBorders>
              <w:top w:val="single" w:sz="4" w:space="0" w:color="365F91"/>
            </w:tcBorders>
            <w:shd w:val="clear" w:color="auto" w:fill="365F91"/>
            <w:vAlign w:val="bottom"/>
          </w:tcPr>
          <w:p w14:paraId="2018A512" w14:textId="77777777" w:rsidR="00971A1F" w:rsidRPr="00D9348B" w:rsidRDefault="00971A1F" w:rsidP="00DB330E">
            <w:pPr>
              <w:pStyle w:val="TableTextBold"/>
              <w:spacing w:before="40" w:after="40"/>
              <w:rPr>
                <w:noProof w:val="0"/>
                <w:color w:val="FFFFFF"/>
              </w:rPr>
            </w:pPr>
            <w:r w:rsidRPr="00D9348B">
              <w:rPr>
                <w:noProof w:val="0"/>
                <w:color w:val="FFFFFF"/>
              </w:rPr>
              <w:t xml:space="preserve">Activities under the Kyoto Protocol </w:t>
            </w:r>
          </w:p>
        </w:tc>
        <w:tc>
          <w:tcPr>
            <w:tcW w:w="3343" w:type="dxa"/>
            <w:gridSpan w:val="2"/>
            <w:tcBorders>
              <w:top w:val="single" w:sz="4" w:space="0" w:color="365F91"/>
              <w:bottom w:val="single" w:sz="4" w:space="0" w:color="365F91"/>
            </w:tcBorders>
            <w:shd w:val="clear" w:color="auto" w:fill="365F91"/>
            <w:vAlign w:val="bottom"/>
          </w:tcPr>
          <w:p w14:paraId="6C8162A0" w14:textId="77777777" w:rsidR="00971A1F" w:rsidRPr="00D9348B" w:rsidRDefault="00971A1F" w:rsidP="00DB330E">
            <w:pPr>
              <w:pStyle w:val="TableTextBold"/>
              <w:spacing w:before="40" w:after="40"/>
              <w:jc w:val="center"/>
              <w:rPr>
                <w:noProof w:val="0"/>
                <w:color w:val="FFFFFF"/>
              </w:rPr>
            </w:pPr>
            <w:r w:rsidRPr="00D9348B">
              <w:rPr>
                <w:noProof w:val="0"/>
                <w:color w:val="FFFFFF"/>
              </w:rPr>
              <w:t>2017 net emissions</w:t>
            </w:r>
            <w:r w:rsidRPr="00D9348B">
              <w:rPr>
                <w:noProof w:val="0"/>
                <w:color w:val="FFFFFF"/>
              </w:rPr>
              <w:br/>
              <w:t>(kt CO</w:t>
            </w:r>
            <w:r w:rsidRPr="00D9348B">
              <w:rPr>
                <w:noProof w:val="0"/>
                <w:color w:val="FFFFFF"/>
                <w:vertAlign w:val="subscript"/>
              </w:rPr>
              <w:t>2</w:t>
            </w:r>
            <w:r w:rsidRPr="00D9348B">
              <w:rPr>
                <w:noProof w:val="0"/>
                <w:color w:val="FFFFFF"/>
              </w:rPr>
              <w:t>-e)</w:t>
            </w:r>
          </w:p>
        </w:tc>
        <w:tc>
          <w:tcPr>
            <w:tcW w:w="1738" w:type="dxa"/>
            <w:vMerge w:val="restart"/>
            <w:tcBorders>
              <w:top w:val="single" w:sz="4" w:space="0" w:color="365F91"/>
            </w:tcBorders>
            <w:shd w:val="clear" w:color="auto" w:fill="365F91"/>
            <w:vAlign w:val="bottom"/>
          </w:tcPr>
          <w:p w14:paraId="3AB19215" w14:textId="77777777" w:rsidR="00971A1F" w:rsidRPr="00D9348B" w:rsidRDefault="00971A1F" w:rsidP="00DB330E">
            <w:pPr>
              <w:pStyle w:val="TableTextBold"/>
              <w:spacing w:before="40" w:after="40"/>
              <w:jc w:val="center"/>
              <w:rPr>
                <w:noProof w:val="0"/>
                <w:color w:val="FFFFFF"/>
              </w:rPr>
            </w:pPr>
            <w:r w:rsidRPr="00D9348B">
              <w:rPr>
                <w:noProof w:val="0"/>
                <w:color w:val="FFFFFF"/>
              </w:rPr>
              <w:t>Change from 2019 submission (%)</w:t>
            </w:r>
          </w:p>
        </w:tc>
      </w:tr>
      <w:tr w:rsidR="00971A1F" w:rsidRPr="00D9348B" w14:paraId="0B504277" w14:textId="77777777" w:rsidTr="003C3954">
        <w:tc>
          <w:tcPr>
            <w:tcW w:w="3424" w:type="dxa"/>
            <w:vMerge/>
            <w:tcBorders>
              <w:bottom w:val="single" w:sz="4" w:space="0" w:color="365F91"/>
            </w:tcBorders>
            <w:shd w:val="clear" w:color="auto" w:fill="365F91"/>
            <w:vAlign w:val="center"/>
          </w:tcPr>
          <w:p w14:paraId="68327DFA" w14:textId="77777777" w:rsidR="00971A1F" w:rsidRPr="00D9348B" w:rsidRDefault="00971A1F" w:rsidP="00DB330E">
            <w:pPr>
              <w:pStyle w:val="TableTextBold"/>
              <w:spacing w:before="40" w:after="40"/>
              <w:rPr>
                <w:noProof w:val="0"/>
                <w:color w:val="FFFFFF"/>
              </w:rPr>
            </w:pPr>
          </w:p>
        </w:tc>
        <w:tc>
          <w:tcPr>
            <w:tcW w:w="1722" w:type="dxa"/>
            <w:tcBorders>
              <w:top w:val="single" w:sz="4" w:space="0" w:color="365F91"/>
              <w:bottom w:val="single" w:sz="4" w:space="0" w:color="365F91"/>
            </w:tcBorders>
            <w:shd w:val="clear" w:color="auto" w:fill="365F91"/>
            <w:vAlign w:val="center"/>
          </w:tcPr>
          <w:p w14:paraId="7417C50C" w14:textId="77777777" w:rsidR="00971A1F" w:rsidRPr="00D9348B" w:rsidRDefault="00971A1F" w:rsidP="00DB330E">
            <w:pPr>
              <w:pStyle w:val="TableTextBold"/>
              <w:spacing w:before="40" w:after="40"/>
              <w:jc w:val="center"/>
              <w:rPr>
                <w:noProof w:val="0"/>
                <w:color w:val="FFFFFF"/>
              </w:rPr>
            </w:pPr>
            <w:r w:rsidRPr="00D9348B">
              <w:rPr>
                <w:noProof w:val="0"/>
                <w:color w:val="FFFFFF"/>
              </w:rPr>
              <w:t>2019 submission</w:t>
            </w:r>
          </w:p>
        </w:tc>
        <w:tc>
          <w:tcPr>
            <w:tcW w:w="1621" w:type="dxa"/>
            <w:tcBorders>
              <w:top w:val="single" w:sz="4" w:space="0" w:color="365F91"/>
              <w:bottom w:val="single" w:sz="4" w:space="0" w:color="365F91"/>
            </w:tcBorders>
            <w:shd w:val="clear" w:color="auto" w:fill="365F91"/>
            <w:vAlign w:val="center"/>
          </w:tcPr>
          <w:p w14:paraId="4EEF4669" w14:textId="77777777" w:rsidR="00971A1F" w:rsidRPr="00D9348B" w:rsidRDefault="00971A1F" w:rsidP="00DB330E">
            <w:pPr>
              <w:pStyle w:val="TableTextBold"/>
              <w:spacing w:before="40" w:after="40"/>
              <w:jc w:val="center"/>
              <w:rPr>
                <w:noProof w:val="0"/>
                <w:color w:val="FFFFFF"/>
              </w:rPr>
            </w:pPr>
            <w:r w:rsidRPr="00D9348B">
              <w:rPr>
                <w:noProof w:val="0"/>
                <w:color w:val="FFFFFF"/>
              </w:rPr>
              <w:t>2020 submission</w:t>
            </w:r>
          </w:p>
        </w:tc>
        <w:tc>
          <w:tcPr>
            <w:tcW w:w="1738" w:type="dxa"/>
            <w:vMerge/>
            <w:tcBorders>
              <w:bottom w:val="single" w:sz="4" w:space="0" w:color="365F91"/>
            </w:tcBorders>
            <w:shd w:val="clear" w:color="auto" w:fill="365F91"/>
            <w:vAlign w:val="center"/>
          </w:tcPr>
          <w:p w14:paraId="4C6CF718" w14:textId="77777777" w:rsidR="00971A1F" w:rsidRPr="00D9348B" w:rsidRDefault="00971A1F" w:rsidP="00DB330E">
            <w:pPr>
              <w:pStyle w:val="TableTextBold"/>
              <w:spacing w:before="40" w:after="40"/>
              <w:rPr>
                <w:noProof w:val="0"/>
                <w:color w:val="FFFFFF"/>
              </w:rPr>
            </w:pPr>
          </w:p>
        </w:tc>
      </w:tr>
      <w:tr w:rsidR="00971A1F" w:rsidRPr="00D9348B" w14:paraId="65B01149" w14:textId="77777777" w:rsidTr="00DB330E">
        <w:tc>
          <w:tcPr>
            <w:tcW w:w="3424" w:type="dxa"/>
            <w:tcBorders>
              <w:top w:val="single" w:sz="4" w:space="0" w:color="365F91"/>
              <w:bottom w:val="single" w:sz="4" w:space="0" w:color="365F91"/>
            </w:tcBorders>
            <w:shd w:val="clear" w:color="auto" w:fill="auto"/>
          </w:tcPr>
          <w:p w14:paraId="2112948B" w14:textId="77777777" w:rsidR="00971A1F" w:rsidRPr="00D9348B" w:rsidRDefault="00971A1F" w:rsidP="00DB330E">
            <w:pPr>
              <w:pStyle w:val="TableText"/>
              <w:spacing w:before="50" w:after="50"/>
            </w:pPr>
            <w:r w:rsidRPr="00D9348B">
              <w:t>Afforestation/reforestation</w:t>
            </w:r>
          </w:p>
        </w:tc>
        <w:tc>
          <w:tcPr>
            <w:tcW w:w="1722" w:type="dxa"/>
            <w:tcBorders>
              <w:top w:val="single" w:sz="4" w:space="0" w:color="365F91"/>
              <w:bottom w:val="single" w:sz="4" w:space="0" w:color="365F91"/>
            </w:tcBorders>
            <w:shd w:val="clear" w:color="auto" w:fill="auto"/>
          </w:tcPr>
          <w:p w14:paraId="60D94CA5" w14:textId="77777777" w:rsidR="00971A1F" w:rsidRPr="00D9348B" w:rsidRDefault="00971A1F" w:rsidP="00DB330E">
            <w:pPr>
              <w:pStyle w:val="TableText"/>
              <w:tabs>
                <w:tab w:val="decimal" w:pos="689"/>
              </w:tabs>
              <w:spacing w:before="50" w:after="50"/>
              <w:jc w:val="right"/>
            </w:pPr>
            <w:r w:rsidRPr="00D9348B">
              <w:t xml:space="preserve">–17,610.0 </w:t>
            </w:r>
          </w:p>
        </w:tc>
        <w:tc>
          <w:tcPr>
            <w:tcW w:w="1621" w:type="dxa"/>
            <w:tcBorders>
              <w:top w:val="single" w:sz="4" w:space="0" w:color="365F91"/>
              <w:bottom w:val="single" w:sz="4" w:space="0" w:color="365F91"/>
            </w:tcBorders>
            <w:shd w:val="clear" w:color="auto" w:fill="auto"/>
          </w:tcPr>
          <w:p w14:paraId="0B5E3FF8" w14:textId="77777777" w:rsidR="00971A1F" w:rsidRPr="00D9348B" w:rsidRDefault="00971A1F" w:rsidP="00DB330E">
            <w:pPr>
              <w:pStyle w:val="TableText"/>
              <w:tabs>
                <w:tab w:val="decimal" w:pos="689"/>
              </w:tabs>
              <w:spacing w:before="50" w:after="50"/>
              <w:jc w:val="right"/>
            </w:pPr>
            <w:r w:rsidRPr="00D9348B">
              <w:t xml:space="preserve">–17,790.2 </w:t>
            </w:r>
          </w:p>
        </w:tc>
        <w:tc>
          <w:tcPr>
            <w:tcW w:w="1738" w:type="dxa"/>
            <w:tcBorders>
              <w:top w:val="single" w:sz="4" w:space="0" w:color="365F91"/>
              <w:bottom w:val="single" w:sz="4" w:space="0" w:color="365F91"/>
            </w:tcBorders>
            <w:shd w:val="clear" w:color="auto" w:fill="auto"/>
          </w:tcPr>
          <w:p w14:paraId="39C8C165" w14:textId="77777777" w:rsidR="00971A1F" w:rsidRPr="00D9348B" w:rsidRDefault="00971A1F" w:rsidP="00DB330E">
            <w:pPr>
              <w:pStyle w:val="TableText"/>
              <w:tabs>
                <w:tab w:val="decimal" w:pos="689"/>
              </w:tabs>
              <w:spacing w:before="50" w:after="50"/>
              <w:jc w:val="right"/>
            </w:pPr>
            <w:r w:rsidRPr="00D9348B">
              <w:t>–1.0%</w:t>
            </w:r>
          </w:p>
        </w:tc>
      </w:tr>
      <w:tr w:rsidR="00971A1F" w:rsidRPr="00D9348B" w14:paraId="1AA2CF35" w14:textId="77777777" w:rsidTr="00DB330E">
        <w:tc>
          <w:tcPr>
            <w:tcW w:w="3424" w:type="dxa"/>
            <w:tcBorders>
              <w:top w:val="single" w:sz="4" w:space="0" w:color="365F91"/>
              <w:bottom w:val="single" w:sz="4" w:space="0" w:color="365F91"/>
            </w:tcBorders>
            <w:shd w:val="clear" w:color="auto" w:fill="auto"/>
          </w:tcPr>
          <w:p w14:paraId="2E94164E" w14:textId="77777777" w:rsidR="00971A1F" w:rsidRPr="00D9348B" w:rsidRDefault="00971A1F" w:rsidP="00DB330E">
            <w:pPr>
              <w:pStyle w:val="TableText"/>
              <w:spacing w:before="50" w:after="50"/>
            </w:pPr>
            <w:r w:rsidRPr="00D9348B">
              <w:t xml:space="preserve">Deforestation </w:t>
            </w:r>
          </w:p>
        </w:tc>
        <w:tc>
          <w:tcPr>
            <w:tcW w:w="1722" w:type="dxa"/>
            <w:tcBorders>
              <w:top w:val="single" w:sz="4" w:space="0" w:color="365F91"/>
              <w:bottom w:val="single" w:sz="4" w:space="0" w:color="365F91"/>
            </w:tcBorders>
            <w:shd w:val="clear" w:color="auto" w:fill="auto"/>
          </w:tcPr>
          <w:p w14:paraId="022880B0" w14:textId="77777777" w:rsidR="00971A1F" w:rsidRPr="00D9348B" w:rsidRDefault="00971A1F" w:rsidP="00DB330E">
            <w:pPr>
              <w:pStyle w:val="TableText"/>
              <w:tabs>
                <w:tab w:val="decimal" w:pos="689"/>
              </w:tabs>
              <w:spacing w:before="50" w:after="50"/>
              <w:jc w:val="right"/>
            </w:pPr>
            <w:r w:rsidRPr="00D9348B">
              <w:t xml:space="preserve"> 1,657.0 </w:t>
            </w:r>
          </w:p>
        </w:tc>
        <w:tc>
          <w:tcPr>
            <w:tcW w:w="1621" w:type="dxa"/>
            <w:tcBorders>
              <w:top w:val="single" w:sz="4" w:space="0" w:color="365F91"/>
              <w:bottom w:val="single" w:sz="4" w:space="0" w:color="365F91"/>
            </w:tcBorders>
            <w:shd w:val="clear" w:color="auto" w:fill="auto"/>
          </w:tcPr>
          <w:p w14:paraId="66DD84F3" w14:textId="77777777" w:rsidR="00971A1F" w:rsidRPr="00D9348B" w:rsidRDefault="00971A1F" w:rsidP="00DB330E">
            <w:pPr>
              <w:pStyle w:val="TableText"/>
              <w:tabs>
                <w:tab w:val="decimal" w:pos="689"/>
              </w:tabs>
              <w:spacing w:before="50" w:after="50"/>
              <w:jc w:val="right"/>
            </w:pPr>
            <w:r w:rsidRPr="00D9348B">
              <w:t xml:space="preserve"> 1,977.1 </w:t>
            </w:r>
          </w:p>
        </w:tc>
        <w:tc>
          <w:tcPr>
            <w:tcW w:w="1738" w:type="dxa"/>
            <w:tcBorders>
              <w:top w:val="single" w:sz="4" w:space="0" w:color="365F91"/>
              <w:bottom w:val="single" w:sz="4" w:space="0" w:color="365F91"/>
            </w:tcBorders>
            <w:shd w:val="clear" w:color="auto" w:fill="auto"/>
          </w:tcPr>
          <w:p w14:paraId="5B425424" w14:textId="77777777" w:rsidR="00971A1F" w:rsidRPr="00D9348B" w:rsidRDefault="00971A1F" w:rsidP="00DB330E">
            <w:pPr>
              <w:pStyle w:val="TableText"/>
              <w:tabs>
                <w:tab w:val="decimal" w:pos="689"/>
              </w:tabs>
              <w:spacing w:before="50" w:after="50"/>
              <w:jc w:val="right"/>
            </w:pPr>
            <w:r w:rsidRPr="00D9348B">
              <w:t>–19.3%</w:t>
            </w:r>
          </w:p>
        </w:tc>
      </w:tr>
      <w:tr w:rsidR="00971A1F" w:rsidRPr="00D9348B" w14:paraId="03B2431D" w14:textId="77777777" w:rsidTr="00DB330E">
        <w:tc>
          <w:tcPr>
            <w:tcW w:w="3424" w:type="dxa"/>
            <w:tcBorders>
              <w:top w:val="single" w:sz="4" w:space="0" w:color="365F91"/>
              <w:bottom w:val="single" w:sz="4" w:space="0" w:color="365F91"/>
            </w:tcBorders>
            <w:shd w:val="clear" w:color="auto" w:fill="auto"/>
          </w:tcPr>
          <w:p w14:paraId="72F3EDD5" w14:textId="77777777" w:rsidR="00971A1F" w:rsidRPr="00D9348B" w:rsidRDefault="00971A1F" w:rsidP="00DB330E">
            <w:pPr>
              <w:pStyle w:val="TableText"/>
              <w:spacing w:before="50" w:after="50"/>
            </w:pPr>
            <w:r w:rsidRPr="00D9348B">
              <w:t>Forest management</w:t>
            </w:r>
          </w:p>
        </w:tc>
        <w:tc>
          <w:tcPr>
            <w:tcW w:w="1722" w:type="dxa"/>
            <w:tcBorders>
              <w:top w:val="single" w:sz="4" w:space="0" w:color="365F91"/>
              <w:bottom w:val="single" w:sz="4" w:space="0" w:color="365F91"/>
            </w:tcBorders>
            <w:shd w:val="clear" w:color="auto" w:fill="auto"/>
          </w:tcPr>
          <w:p w14:paraId="12F7EC75" w14:textId="77777777" w:rsidR="00971A1F" w:rsidRPr="00D9348B" w:rsidRDefault="00971A1F" w:rsidP="00DB330E">
            <w:pPr>
              <w:pStyle w:val="TableText"/>
              <w:tabs>
                <w:tab w:val="decimal" w:pos="689"/>
              </w:tabs>
              <w:spacing w:before="50" w:after="50"/>
              <w:jc w:val="right"/>
            </w:pPr>
            <w:r w:rsidRPr="00D9348B">
              <w:t xml:space="preserve">–14,553.9 </w:t>
            </w:r>
          </w:p>
        </w:tc>
        <w:tc>
          <w:tcPr>
            <w:tcW w:w="1621" w:type="dxa"/>
            <w:tcBorders>
              <w:top w:val="single" w:sz="4" w:space="0" w:color="365F91"/>
              <w:bottom w:val="single" w:sz="4" w:space="0" w:color="365F91"/>
            </w:tcBorders>
            <w:shd w:val="clear" w:color="auto" w:fill="auto"/>
          </w:tcPr>
          <w:p w14:paraId="4C370385" w14:textId="77777777" w:rsidR="00971A1F" w:rsidRPr="00D9348B" w:rsidRDefault="00971A1F" w:rsidP="00DB330E">
            <w:pPr>
              <w:pStyle w:val="TableText"/>
              <w:tabs>
                <w:tab w:val="decimal" w:pos="689"/>
              </w:tabs>
              <w:spacing w:before="50" w:after="50"/>
              <w:jc w:val="right"/>
            </w:pPr>
            <w:r w:rsidRPr="00D9348B">
              <w:t xml:space="preserve">–13,136.0 </w:t>
            </w:r>
          </w:p>
        </w:tc>
        <w:tc>
          <w:tcPr>
            <w:tcW w:w="1738" w:type="dxa"/>
            <w:tcBorders>
              <w:top w:val="single" w:sz="4" w:space="0" w:color="365F91"/>
              <w:bottom w:val="single" w:sz="4" w:space="0" w:color="365F91"/>
            </w:tcBorders>
            <w:shd w:val="clear" w:color="auto" w:fill="auto"/>
          </w:tcPr>
          <w:p w14:paraId="758ED5F0" w14:textId="77777777" w:rsidR="00971A1F" w:rsidRPr="00D9348B" w:rsidRDefault="00971A1F" w:rsidP="00DB330E">
            <w:pPr>
              <w:pStyle w:val="TableText"/>
              <w:tabs>
                <w:tab w:val="decimal" w:pos="689"/>
              </w:tabs>
              <w:spacing w:before="50" w:after="50"/>
              <w:jc w:val="right"/>
            </w:pPr>
            <w:r w:rsidRPr="00D9348B">
              <w:t>9.7%</w:t>
            </w:r>
          </w:p>
        </w:tc>
      </w:tr>
      <w:tr w:rsidR="00971A1F" w:rsidRPr="00D9348B" w14:paraId="6F8AB764" w14:textId="77777777" w:rsidTr="00DB330E">
        <w:tc>
          <w:tcPr>
            <w:tcW w:w="3424" w:type="dxa"/>
            <w:tcBorders>
              <w:top w:val="single" w:sz="4" w:space="0" w:color="365F91"/>
              <w:bottom w:val="single" w:sz="4" w:space="0" w:color="365F91"/>
            </w:tcBorders>
            <w:shd w:val="clear" w:color="auto" w:fill="auto"/>
          </w:tcPr>
          <w:p w14:paraId="68C56ACD" w14:textId="77777777" w:rsidR="00971A1F" w:rsidRPr="00D9348B" w:rsidRDefault="00971A1F" w:rsidP="00DB330E">
            <w:pPr>
              <w:pStyle w:val="Tableboldblue"/>
              <w:spacing w:before="50" w:after="50"/>
            </w:pPr>
            <w:r w:rsidRPr="00D9348B">
              <w:t>Total</w:t>
            </w:r>
          </w:p>
        </w:tc>
        <w:tc>
          <w:tcPr>
            <w:tcW w:w="1722" w:type="dxa"/>
            <w:tcBorders>
              <w:top w:val="single" w:sz="4" w:space="0" w:color="365F91"/>
              <w:bottom w:val="single" w:sz="4" w:space="0" w:color="365F91"/>
            </w:tcBorders>
            <w:shd w:val="clear" w:color="auto" w:fill="auto"/>
          </w:tcPr>
          <w:p w14:paraId="789F2E4F" w14:textId="77777777" w:rsidR="00971A1F" w:rsidRPr="00D9348B" w:rsidRDefault="00971A1F" w:rsidP="00DB330E">
            <w:pPr>
              <w:pStyle w:val="Tableboldblue"/>
              <w:tabs>
                <w:tab w:val="decimal" w:pos="689"/>
              </w:tabs>
              <w:spacing w:before="50" w:after="50"/>
              <w:jc w:val="right"/>
            </w:pPr>
            <w:r w:rsidRPr="00D9348B">
              <w:t xml:space="preserve">–30,506.9 </w:t>
            </w:r>
          </w:p>
        </w:tc>
        <w:tc>
          <w:tcPr>
            <w:tcW w:w="1621" w:type="dxa"/>
            <w:tcBorders>
              <w:top w:val="single" w:sz="4" w:space="0" w:color="365F91"/>
              <w:bottom w:val="single" w:sz="4" w:space="0" w:color="365F91"/>
            </w:tcBorders>
            <w:shd w:val="clear" w:color="auto" w:fill="auto"/>
          </w:tcPr>
          <w:p w14:paraId="0DC085DD" w14:textId="77777777" w:rsidR="00971A1F" w:rsidRPr="00D9348B" w:rsidRDefault="00971A1F" w:rsidP="00DB330E">
            <w:pPr>
              <w:pStyle w:val="Tableboldblue"/>
              <w:tabs>
                <w:tab w:val="decimal" w:pos="689"/>
              </w:tabs>
              <w:spacing w:before="50" w:after="50"/>
              <w:jc w:val="right"/>
            </w:pPr>
            <w:r w:rsidRPr="00D9348B">
              <w:t xml:space="preserve">–28,949.2 </w:t>
            </w:r>
          </w:p>
        </w:tc>
        <w:tc>
          <w:tcPr>
            <w:tcW w:w="1738" w:type="dxa"/>
            <w:tcBorders>
              <w:top w:val="single" w:sz="4" w:space="0" w:color="365F91"/>
              <w:bottom w:val="single" w:sz="4" w:space="0" w:color="365F91"/>
            </w:tcBorders>
            <w:shd w:val="clear" w:color="auto" w:fill="auto"/>
          </w:tcPr>
          <w:p w14:paraId="2DDC17D3" w14:textId="77777777" w:rsidR="00971A1F" w:rsidRPr="00D9348B" w:rsidRDefault="00971A1F" w:rsidP="00DB330E">
            <w:pPr>
              <w:pStyle w:val="Tableboldblue"/>
              <w:tabs>
                <w:tab w:val="decimal" w:pos="689"/>
              </w:tabs>
              <w:spacing w:before="50" w:after="50"/>
              <w:jc w:val="right"/>
            </w:pPr>
            <w:r w:rsidRPr="00D9348B">
              <w:t>5.1%</w:t>
            </w:r>
          </w:p>
        </w:tc>
      </w:tr>
    </w:tbl>
    <w:p w14:paraId="37AA6AF1" w14:textId="77777777" w:rsidR="00971A1F" w:rsidRPr="00D9348B" w:rsidRDefault="00971A1F" w:rsidP="00971A1F">
      <w:pPr>
        <w:pStyle w:val="Noteundertable"/>
      </w:pPr>
      <w:r w:rsidRPr="00D9348B">
        <w:rPr>
          <w:b/>
        </w:rPr>
        <w:t>Note:</w:t>
      </w:r>
      <w:r w:rsidRPr="00D9348B">
        <w:t xml:space="preserve"> </w:t>
      </w:r>
      <w:r w:rsidRPr="00D9348B">
        <w:tab/>
        <w:t>Net emissions are expressed as a negative value to help clarify that the value is a removal and not an emission. Percentages presented are calculated from unrounded values.</w:t>
      </w:r>
    </w:p>
    <w:p w14:paraId="1FD583E2" w14:textId="77777777" w:rsidR="00971A1F" w:rsidRPr="00D9348B" w:rsidRDefault="00971A1F" w:rsidP="00971A1F">
      <w:pPr>
        <w:pStyle w:val="Table"/>
      </w:pPr>
      <w:bookmarkStart w:id="3109" w:name="_Toc310423436"/>
      <w:bookmarkStart w:id="3110" w:name="_Toc342470808"/>
      <w:bookmarkStart w:id="3111" w:name="_Toc352505060"/>
      <w:bookmarkStart w:id="3112" w:name="_Toc391023548"/>
      <w:bookmarkStart w:id="3113" w:name="_Toc414531522"/>
      <w:bookmarkStart w:id="3114" w:name="_Toc451176195"/>
      <w:bookmarkStart w:id="3115" w:name="_Toc481751626"/>
      <w:bookmarkStart w:id="3116" w:name="_Toc511116854"/>
      <w:bookmarkStart w:id="3117" w:name="_Toc5269621"/>
      <w:bookmarkStart w:id="3118" w:name="_Toc36224703"/>
      <w:r w:rsidRPr="00D9348B">
        <w:t>Table 10.1.13</w:t>
      </w:r>
      <w:r w:rsidRPr="00D9348B">
        <w:tab/>
        <w:t>Recalculations to New Zealand’s 2017 activity data under the Kyoto Protocol</w:t>
      </w:r>
      <w:bookmarkEnd w:id="3109"/>
      <w:bookmarkEnd w:id="3110"/>
      <w:bookmarkEnd w:id="3111"/>
      <w:bookmarkEnd w:id="3112"/>
      <w:bookmarkEnd w:id="3113"/>
      <w:bookmarkEnd w:id="3114"/>
      <w:bookmarkEnd w:id="3115"/>
      <w:bookmarkEnd w:id="3116"/>
      <w:bookmarkEnd w:id="3117"/>
      <w:bookmarkEnd w:id="3118"/>
    </w:p>
    <w:tbl>
      <w:tblPr>
        <w:tblW w:w="8505" w:type="dxa"/>
        <w:tblInd w:w="108" w:type="dxa"/>
        <w:tblLook w:val="04A0" w:firstRow="1" w:lastRow="0" w:firstColumn="1" w:lastColumn="0" w:noHBand="0" w:noVBand="1"/>
      </w:tblPr>
      <w:tblGrid>
        <w:gridCol w:w="3083"/>
        <w:gridCol w:w="1798"/>
        <w:gridCol w:w="1751"/>
        <w:gridCol w:w="1873"/>
      </w:tblGrid>
      <w:tr w:rsidR="00971A1F" w:rsidRPr="00D9348B" w14:paraId="5FE96CFF" w14:textId="77777777" w:rsidTr="00DB330E">
        <w:tc>
          <w:tcPr>
            <w:tcW w:w="3083" w:type="dxa"/>
            <w:vMerge w:val="restart"/>
            <w:tcBorders>
              <w:top w:val="single" w:sz="4" w:space="0" w:color="365F91"/>
              <w:left w:val="nil"/>
              <w:bottom w:val="nil"/>
              <w:right w:val="nil"/>
              <w:tl2br w:val="nil"/>
              <w:tr2bl w:val="nil"/>
            </w:tcBorders>
            <w:shd w:val="clear" w:color="auto" w:fill="365F91"/>
            <w:vAlign w:val="bottom"/>
          </w:tcPr>
          <w:p w14:paraId="5D3130E5" w14:textId="77777777" w:rsidR="00971A1F" w:rsidRPr="00D9348B" w:rsidRDefault="00971A1F" w:rsidP="00DB330E">
            <w:pPr>
              <w:pStyle w:val="TableTextBold"/>
              <w:keepNext/>
              <w:spacing w:before="40" w:after="40"/>
              <w:rPr>
                <w:noProof w:val="0"/>
                <w:color w:val="FFFFFF"/>
              </w:rPr>
            </w:pPr>
            <w:r w:rsidRPr="00D9348B">
              <w:rPr>
                <w:noProof w:val="0"/>
                <w:color w:val="FFFFFF"/>
              </w:rPr>
              <w:t xml:space="preserve">Activities under the Kyoto Protocol </w:t>
            </w:r>
          </w:p>
        </w:tc>
        <w:tc>
          <w:tcPr>
            <w:tcW w:w="3549" w:type="dxa"/>
            <w:gridSpan w:val="2"/>
            <w:tcBorders>
              <w:top w:val="single" w:sz="4" w:space="0" w:color="365F91"/>
              <w:left w:val="nil"/>
              <w:bottom w:val="nil"/>
              <w:right w:val="nil"/>
              <w:tl2br w:val="nil"/>
              <w:tr2bl w:val="nil"/>
            </w:tcBorders>
            <w:shd w:val="clear" w:color="auto" w:fill="365F91"/>
            <w:vAlign w:val="bottom"/>
          </w:tcPr>
          <w:p w14:paraId="432D9915" w14:textId="77777777" w:rsidR="00971A1F" w:rsidRPr="00D9348B" w:rsidRDefault="00971A1F" w:rsidP="00DB330E">
            <w:pPr>
              <w:pStyle w:val="TableTextBold"/>
              <w:keepNext/>
              <w:spacing w:before="40" w:after="40"/>
              <w:jc w:val="center"/>
              <w:rPr>
                <w:noProof w:val="0"/>
                <w:color w:val="FFFFFF"/>
              </w:rPr>
            </w:pPr>
            <w:r w:rsidRPr="00D9348B">
              <w:rPr>
                <w:noProof w:val="0"/>
                <w:color w:val="FFFFFF"/>
              </w:rPr>
              <w:t>Area as at 2017 (ha)</w:t>
            </w:r>
          </w:p>
        </w:tc>
        <w:tc>
          <w:tcPr>
            <w:tcW w:w="1873" w:type="dxa"/>
            <w:vMerge w:val="restart"/>
            <w:tcBorders>
              <w:top w:val="single" w:sz="4" w:space="0" w:color="365F91"/>
              <w:left w:val="nil"/>
              <w:bottom w:val="nil"/>
              <w:right w:val="nil"/>
              <w:tl2br w:val="nil"/>
              <w:tr2bl w:val="nil"/>
            </w:tcBorders>
            <w:shd w:val="clear" w:color="auto" w:fill="365F91"/>
            <w:vAlign w:val="bottom"/>
          </w:tcPr>
          <w:p w14:paraId="475696F1" w14:textId="77777777" w:rsidR="00971A1F" w:rsidRPr="00D9348B" w:rsidRDefault="00971A1F" w:rsidP="00DB330E">
            <w:pPr>
              <w:pStyle w:val="TableTextBold"/>
              <w:keepNext/>
              <w:spacing w:before="40" w:after="40"/>
              <w:jc w:val="right"/>
              <w:rPr>
                <w:noProof w:val="0"/>
                <w:color w:val="FFFFFF"/>
              </w:rPr>
            </w:pPr>
            <w:r w:rsidRPr="00D9348B">
              <w:rPr>
                <w:noProof w:val="0"/>
                <w:color w:val="FFFFFF"/>
              </w:rPr>
              <w:t>Change from 2019 submission (%)</w:t>
            </w:r>
          </w:p>
        </w:tc>
      </w:tr>
      <w:tr w:rsidR="00971A1F" w:rsidRPr="00D9348B" w14:paraId="1BEDCD10" w14:textId="77777777" w:rsidTr="00DB330E">
        <w:trPr>
          <w:trHeight w:val="54"/>
        </w:trPr>
        <w:tc>
          <w:tcPr>
            <w:tcW w:w="3083" w:type="dxa"/>
            <w:vMerge/>
            <w:tcBorders>
              <w:bottom w:val="single" w:sz="4" w:space="0" w:color="365F91"/>
            </w:tcBorders>
            <w:shd w:val="clear" w:color="auto" w:fill="365F91"/>
            <w:vAlign w:val="bottom"/>
          </w:tcPr>
          <w:p w14:paraId="19075D7D" w14:textId="77777777" w:rsidR="00971A1F" w:rsidRPr="00D9348B" w:rsidRDefault="00971A1F" w:rsidP="00DB330E">
            <w:pPr>
              <w:pStyle w:val="TableTextBold"/>
              <w:keepNext/>
              <w:spacing w:before="40" w:after="40"/>
              <w:rPr>
                <w:noProof w:val="0"/>
                <w:color w:val="FFFFFF"/>
              </w:rPr>
            </w:pPr>
          </w:p>
        </w:tc>
        <w:tc>
          <w:tcPr>
            <w:tcW w:w="1798" w:type="dxa"/>
            <w:tcBorders>
              <w:bottom w:val="single" w:sz="4" w:space="0" w:color="365F91"/>
            </w:tcBorders>
            <w:shd w:val="clear" w:color="auto" w:fill="365F91"/>
            <w:vAlign w:val="bottom"/>
          </w:tcPr>
          <w:p w14:paraId="4A9A38A3" w14:textId="77777777" w:rsidR="00971A1F" w:rsidRPr="00D9348B" w:rsidRDefault="00971A1F" w:rsidP="00DB330E">
            <w:pPr>
              <w:pStyle w:val="TableTextBold"/>
              <w:keepNext/>
              <w:spacing w:before="40" w:after="40"/>
              <w:jc w:val="right"/>
              <w:rPr>
                <w:noProof w:val="0"/>
                <w:color w:val="FFFFFF"/>
              </w:rPr>
            </w:pPr>
            <w:r w:rsidRPr="00D9348B">
              <w:rPr>
                <w:noProof w:val="0"/>
                <w:color w:val="FFFFFF"/>
              </w:rPr>
              <w:t>2019 submission</w:t>
            </w:r>
          </w:p>
        </w:tc>
        <w:tc>
          <w:tcPr>
            <w:tcW w:w="1751" w:type="dxa"/>
            <w:tcBorders>
              <w:bottom w:val="single" w:sz="4" w:space="0" w:color="365F91"/>
            </w:tcBorders>
            <w:shd w:val="clear" w:color="auto" w:fill="365F91"/>
            <w:vAlign w:val="bottom"/>
          </w:tcPr>
          <w:p w14:paraId="197B8FD9" w14:textId="77777777" w:rsidR="00971A1F" w:rsidRPr="00D9348B" w:rsidRDefault="00971A1F" w:rsidP="00DB330E">
            <w:pPr>
              <w:pStyle w:val="TableTextBold"/>
              <w:keepNext/>
              <w:spacing w:before="40" w:after="40"/>
              <w:jc w:val="right"/>
              <w:rPr>
                <w:noProof w:val="0"/>
                <w:color w:val="FFFFFF"/>
              </w:rPr>
            </w:pPr>
            <w:r w:rsidRPr="00D9348B">
              <w:rPr>
                <w:noProof w:val="0"/>
                <w:color w:val="FFFFFF"/>
              </w:rPr>
              <w:t>2020 submission</w:t>
            </w:r>
          </w:p>
        </w:tc>
        <w:tc>
          <w:tcPr>
            <w:tcW w:w="1873" w:type="dxa"/>
            <w:vMerge/>
            <w:tcBorders>
              <w:bottom w:val="single" w:sz="4" w:space="0" w:color="365F91"/>
            </w:tcBorders>
            <w:shd w:val="clear" w:color="auto" w:fill="365F91"/>
            <w:vAlign w:val="bottom"/>
          </w:tcPr>
          <w:p w14:paraId="344A2803" w14:textId="77777777" w:rsidR="00971A1F" w:rsidRPr="00D9348B" w:rsidRDefault="00971A1F" w:rsidP="00DB330E">
            <w:pPr>
              <w:pStyle w:val="TableTextBold"/>
              <w:keepNext/>
              <w:spacing w:before="40" w:after="40"/>
              <w:rPr>
                <w:noProof w:val="0"/>
                <w:color w:val="FFFFFF"/>
              </w:rPr>
            </w:pPr>
          </w:p>
        </w:tc>
      </w:tr>
      <w:tr w:rsidR="00971A1F" w:rsidRPr="00D9348B" w14:paraId="56BB6C50" w14:textId="77777777" w:rsidTr="00DB330E">
        <w:tc>
          <w:tcPr>
            <w:tcW w:w="3083" w:type="dxa"/>
            <w:tcBorders>
              <w:top w:val="single" w:sz="4" w:space="0" w:color="365F91"/>
              <w:bottom w:val="single" w:sz="4" w:space="0" w:color="365F91"/>
            </w:tcBorders>
            <w:shd w:val="clear" w:color="auto" w:fill="auto"/>
          </w:tcPr>
          <w:p w14:paraId="0CE0ADB7" w14:textId="77777777" w:rsidR="00971A1F" w:rsidRPr="00D9348B" w:rsidRDefault="00971A1F" w:rsidP="00402DC1">
            <w:pPr>
              <w:pStyle w:val="TableText"/>
              <w:spacing w:before="50" w:after="50"/>
            </w:pPr>
            <w:r w:rsidRPr="00D9348B">
              <w:t>Afforestation/reforestation</w:t>
            </w:r>
          </w:p>
        </w:tc>
        <w:tc>
          <w:tcPr>
            <w:tcW w:w="1798" w:type="dxa"/>
            <w:tcBorders>
              <w:top w:val="single" w:sz="4" w:space="0" w:color="365F91"/>
              <w:bottom w:val="single" w:sz="4" w:space="0" w:color="365F91"/>
            </w:tcBorders>
            <w:shd w:val="clear" w:color="auto" w:fill="auto"/>
          </w:tcPr>
          <w:p w14:paraId="22750339" w14:textId="77777777" w:rsidR="00971A1F" w:rsidRPr="00D9348B" w:rsidRDefault="00971A1F" w:rsidP="00402DC1">
            <w:pPr>
              <w:pStyle w:val="TableText"/>
              <w:spacing w:before="50" w:after="50"/>
              <w:jc w:val="right"/>
            </w:pPr>
            <w:r w:rsidRPr="00D9348B">
              <w:t>680,086</w:t>
            </w:r>
          </w:p>
        </w:tc>
        <w:tc>
          <w:tcPr>
            <w:tcW w:w="1751" w:type="dxa"/>
            <w:tcBorders>
              <w:top w:val="single" w:sz="4" w:space="0" w:color="365F91"/>
              <w:bottom w:val="single" w:sz="4" w:space="0" w:color="365F91"/>
            </w:tcBorders>
            <w:shd w:val="clear" w:color="auto" w:fill="auto"/>
          </w:tcPr>
          <w:p w14:paraId="7E096EF4" w14:textId="77777777" w:rsidR="00971A1F" w:rsidRPr="00D9348B" w:rsidRDefault="00971A1F" w:rsidP="00402DC1">
            <w:pPr>
              <w:pStyle w:val="TableText"/>
              <w:spacing w:before="50" w:after="50"/>
              <w:jc w:val="right"/>
            </w:pPr>
            <w:r w:rsidRPr="00D9348B">
              <w:t>689,747</w:t>
            </w:r>
          </w:p>
        </w:tc>
        <w:tc>
          <w:tcPr>
            <w:tcW w:w="1873" w:type="dxa"/>
            <w:tcBorders>
              <w:top w:val="single" w:sz="4" w:space="0" w:color="365F91"/>
              <w:bottom w:val="single" w:sz="4" w:space="0" w:color="365F91"/>
            </w:tcBorders>
            <w:shd w:val="clear" w:color="auto" w:fill="auto"/>
          </w:tcPr>
          <w:p w14:paraId="4AF29142" w14:textId="77777777" w:rsidR="00971A1F" w:rsidRPr="00D9348B" w:rsidRDefault="00971A1F" w:rsidP="00402DC1">
            <w:pPr>
              <w:pStyle w:val="TableText"/>
              <w:spacing w:before="50" w:after="50"/>
              <w:jc w:val="right"/>
            </w:pPr>
            <w:r w:rsidRPr="00D9348B">
              <w:t xml:space="preserve"> 1.4 </w:t>
            </w:r>
          </w:p>
        </w:tc>
      </w:tr>
      <w:tr w:rsidR="00971A1F" w:rsidRPr="00D9348B" w:rsidDel="00286390" w14:paraId="0CA0F884" w14:textId="77777777" w:rsidTr="00DB330E">
        <w:tc>
          <w:tcPr>
            <w:tcW w:w="3083" w:type="dxa"/>
            <w:tcBorders>
              <w:top w:val="single" w:sz="4" w:space="0" w:color="365F91"/>
              <w:bottom w:val="single" w:sz="4" w:space="0" w:color="365F91"/>
            </w:tcBorders>
            <w:shd w:val="clear" w:color="auto" w:fill="auto"/>
          </w:tcPr>
          <w:p w14:paraId="6F372302" w14:textId="77777777" w:rsidR="00971A1F" w:rsidRPr="00D9348B" w:rsidDel="00286390" w:rsidRDefault="00971A1F" w:rsidP="00402DC1">
            <w:pPr>
              <w:pStyle w:val="TableText"/>
              <w:spacing w:before="50" w:after="50"/>
            </w:pPr>
            <w:r w:rsidRPr="00D9348B">
              <w:t>Deforestation</w:t>
            </w:r>
          </w:p>
        </w:tc>
        <w:tc>
          <w:tcPr>
            <w:tcW w:w="1798" w:type="dxa"/>
            <w:tcBorders>
              <w:top w:val="single" w:sz="4" w:space="0" w:color="365F91"/>
              <w:bottom w:val="single" w:sz="4" w:space="0" w:color="365F91"/>
            </w:tcBorders>
            <w:shd w:val="clear" w:color="auto" w:fill="auto"/>
          </w:tcPr>
          <w:p w14:paraId="3146FDC9" w14:textId="77777777" w:rsidR="00971A1F" w:rsidRPr="00D9348B" w:rsidDel="00286390" w:rsidRDefault="00971A1F" w:rsidP="00402DC1">
            <w:pPr>
              <w:pStyle w:val="TableText"/>
              <w:spacing w:before="50" w:after="50"/>
              <w:jc w:val="right"/>
            </w:pPr>
            <w:r w:rsidRPr="00D9348B">
              <w:t>200,161</w:t>
            </w:r>
          </w:p>
        </w:tc>
        <w:tc>
          <w:tcPr>
            <w:tcW w:w="1751" w:type="dxa"/>
            <w:tcBorders>
              <w:top w:val="single" w:sz="4" w:space="0" w:color="365F91"/>
              <w:bottom w:val="single" w:sz="4" w:space="0" w:color="365F91"/>
            </w:tcBorders>
            <w:shd w:val="clear" w:color="auto" w:fill="auto"/>
          </w:tcPr>
          <w:p w14:paraId="0B82DDD1" w14:textId="77777777" w:rsidR="00971A1F" w:rsidRPr="00D9348B" w:rsidDel="00286390" w:rsidRDefault="00971A1F" w:rsidP="00402DC1">
            <w:pPr>
              <w:pStyle w:val="TableText"/>
              <w:spacing w:before="50" w:after="50"/>
              <w:jc w:val="right"/>
            </w:pPr>
            <w:r w:rsidRPr="00D9348B">
              <w:t>197,466</w:t>
            </w:r>
          </w:p>
        </w:tc>
        <w:tc>
          <w:tcPr>
            <w:tcW w:w="1873" w:type="dxa"/>
            <w:tcBorders>
              <w:top w:val="single" w:sz="4" w:space="0" w:color="365F91"/>
              <w:bottom w:val="single" w:sz="4" w:space="0" w:color="365F91"/>
            </w:tcBorders>
            <w:shd w:val="clear" w:color="auto" w:fill="auto"/>
          </w:tcPr>
          <w:p w14:paraId="36844D94" w14:textId="77777777" w:rsidR="00971A1F" w:rsidRPr="00D9348B" w:rsidDel="00286390" w:rsidRDefault="00971A1F" w:rsidP="00402DC1">
            <w:pPr>
              <w:pStyle w:val="TableText"/>
              <w:spacing w:before="50" w:after="50"/>
              <w:jc w:val="right"/>
            </w:pPr>
            <w:r w:rsidRPr="00D9348B">
              <w:t xml:space="preserve">–1.3 </w:t>
            </w:r>
          </w:p>
        </w:tc>
      </w:tr>
      <w:tr w:rsidR="00971A1F" w:rsidRPr="00D9348B" w:rsidDel="00286390" w14:paraId="04111E9C" w14:textId="77777777" w:rsidTr="00DB330E">
        <w:tc>
          <w:tcPr>
            <w:tcW w:w="3083" w:type="dxa"/>
            <w:tcBorders>
              <w:top w:val="single" w:sz="4" w:space="0" w:color="365F91"/>
              <w:bottom w:val="single" w:sz="4" w:space="0" w:color="365F91"/>
            </w:tcBorders>
            <w:shd w:val="clear" w:color="auto" w:fill="auto"/>
          </w:tcPr>
          <w:p w14:paraId="166A99F3" w14:textId="77777777" w:rsidR="00971A1F" w:rsidRPr="00D9348B" w:rsidDel="00286390" w:rsidRDefault="00971A1F" w:rsidP="00402DC1">
            <w:pPr>
              <w:pStyle w:val="TableText"/>
              <w:spacing w:before="50" w:after="50"/>
            </w:pPr>
            <w:r w:rsidRPr="00D9348B">
              <w:t>Forest management</w:t>
            </w:r>
          </w:p>
        </w:tc>
        <w:tc>
          <w:tcPr>
            <w:tcW w:w="1798" w:type="dxa"/>
            <w:tcBorders>
              <w:top w:val="single" w:sz="4" w:space="0" w:color="365F91"/>
              <w:bottom w:val="single" w:sz="4" w:space="0" w:color="365F91"/>
            </w:tcBorders>
            <w:shd w:val="clear" w:color="auto" w:fill="auto"/>
          </w:tcPr>
          <w:p w14:paraId="12A0C962" w14:textId="77777777" w:rsidR="00971A1F" w:rsidRPr="00D9348B" w:rsidDel="00286390" w:rsidRDefault="00971A1F" w:rsidP="00402DC1">
            <w:pPr>
              <w:pStyle w:val="TableText"/>
              <w:spacing w:before="50" w:after="50"/>
              <w:jc w:val="right"/>
            </w:pPr>
            <w:r w:rsidRPr="00D9348B">
              <w:t>9,245,248</w:t>
            </w:r>
          </w:p>
        </w:tc>
        <w:tc>
          <w:tcPr>
            <w:tcW w:w="1751" w:type="dxa"/>
            <w:tcBorders>
              <w:top w:val="single" w:sz="4" w:space="0" w:color="365F91"/>
              <w:bottom w:val="single" w:sz="4" w:space="0" w:color="365F91"/>
            </w:tcBorders>
            <w:shd w:val="clear" w:color="auto" w:fill="auto"/>
          </w:tcPr>
          <w:p w14:paraId="3D5A80BB" w14:textId="77777777" w:rsidR="00971A1F" w:rsidRPr="00D9348B" w:rsidDel="00286390" w:rsidRDefault="00971A1F" w:rsidP="00402DC1">
            <w:pPr>
              <w:pStyle w:val="TableText"/>
              <w:spacing w:before="50" w:after="50"/>
              <w:jc w:val="right"/>
            </w:pPr>
            <w:r w:rsidRPr="00D9348B">
              <w:t>9,210,186</w:t>
            </w:r>
          </w:p>
        </w:tc>
        <w:tc>
          <w:tcPr>
            <w:tcW w:w="1873" w:type="dxa"/>
            <w:tcBorders>
              <w:top w:val="single" w:sz="4" w:space="0" w:color="365F91"/>
              <w:bottom w:val="single" w:sz="4" w:space="0" w:color="365F91"/>
            </w:tcBorders>
            <w:shd w:val="clear" w:color="auto" w:fill="auto"/>
          </w:tcPr>
          <w:p w14:paraId="54094E63" w14:textId="77777777" w:rsidR="00971A1F" w:rsidRPr="00D9348B" w:rsidDel="00286390" w:rsidRDefault="00971A1F" w:rsidP="00402DC1">
            <w:pPr>
              <w:pStyle w:val="TableText"/>
              <w:spacing w:before="50" w:after="50"/>
              <w:jc w:val="right"/>
            </w:pPr>
            <w:r w:rsidRPr="00D9348B">
              <w:t xml:space="preserve">–0.4 </w:t>
            </w:r>
          </w:p>
        </w:tc>
      </w:tr>
      <w:tr w:rsidR="00971A1F" w:rsidRPr="00D9348B" w14:paraId="4E466504" w14:textId="77777777" w:rsidTr="00DB330E">
        <w:tc>
          <w:tcPr>
            <w:tcW w:w="3083" w:type="dxa"/>
            <w:tcBorders>
              <w:top w:val="single" w:sz="4" w:space="0" w:color="365F91"/>
              <w:bottom w:val="single" w:sz="4" w:space="0" w:color="365F91"/>
            </w:tcBorders>
            <w:shd w:val="clear" w:color="auto" w:fill="365F91"/>
            <w:vAlign w:val="bottom"/>
          </w:tcPr>
          <w:p w14:paraId="1FCFF6B4" w14:textId="77777777" w:rsidR="00971A1F" w:rsidRPr="00D9348B" w:rsidRDefault="00971A1F" w:rsidP="00DB330E">
            <w:pPr>
              <w:pStyle w:val="TableTextBold"/>
              <w:keepNext/>
              <w:spacing w:before="50" w:after="50"/>
              <w:rPr>
                <w:noProof w:val="0"/>
                <w:color w:val="FFFFFF"/>
              </w:rPr>
            </w:pPr>
            <w:r w:rsidRPr="00D9348B">
              <w:rPr>
                <w:noProof w:val="0"/>
                <w:color w:val="FFFFFF"/>
              </w:rPr>
              <w:t>Activities occurring in 2017</w:t>
            </w:r>
          </w:p>
        </w:tc>
        <w:tc>
          <w:tcPr>
            <w:tcW w:w="3549" w:type="dxa"/>
            <w:gridSpan w:val="2"/>
            <w:tcBorders>
              <w:top w:val="single" w:sz="4" w:space="0" w:color="365F91"/>
              <w:bottom w:val="single" w:sz="4" w:space="0" w:color="365F91"/>
            </w:tcBorders>
            <w:shd w:val="clear" w:color="auto" w:fill="365F91"/>
            <w:vAlign w:val="bottom"/>
          </w:tcPr>
          <w:p w14:paraId="08381B6E" w14:textId="77777777" w:rsidR="00971A1F" w:rsidRPr="00D9348B" w:rsidRDefault="00971A1F" w:rsidP="00DB330E">
            <w:pPr>
              <w:pStyle w:val="TableTextBold"/>
              <w:keepNext/>
              <w:spacing w:before="50" w:after="50"/>
              <w:jc w:val="right"/>
              <w:rPr>
                <w:noProof w:val="0"/>
                <w:color w:val="FFFFFF"/>
              </w:rPr>
            </w:pPr>
          </w:p>
        </w:tc>
        <w:tc>
          <w:tcPr>
            <w:tcW w:w="1873" w:type="dxa"/>
            <w:tcBorders>
              <w:top w:val="single" w:sz="4" w:space="0" w:color="365F91"/>
              <w:bottom w:val="single" w:sz="4" w:space="0" w:color="365F91"/>
            </w:tcBorders>
            <w:shd w:val="clear" w:color="auto" w:fill="365F91"/>
            <w:vAlign w:val="bottom"/>
          </w:tcPr>
          <w:p w14:paraId="6B80FBBD" w14:textId="77777777" w:rsidR="00971A1F" w:rsidRPr="00D9348B" w:rsidRDefault="00971A1F" w:rsidP="00DB330E">
            <w:pPr>
              <w:pStyle w:val="TableTextBold"/>
              <w:keepNext/>
              <w:spacing w:before="50" w:after="50"/>
              <w:jc w:val="right"/>
              <w:rPr>
                <w:noProof w:val="0"/>
                <w:color w:val="FFFFFF"/>
              </w:rPr>
            </w:pPr>
          </w:p>
        </w:tc>
      </w:tr>
      <w:tr w:rsidR="00971A1F" w:rsidRPr="00D9348B" w14:paraId="053A5E25" w14:textId="77777777" w:rsidTr="00DB330E">
        <w:tc>
          <w:tcPr>
            <w:tcW w:w="3083" w:type="dxa"/>
            <w:tcBorders>
              <w:top w:val="single" w:sz="4" w:space="0" w:color="365F91"/>
              <w:bottom w:val="single" w:sz="4" w:space="0" w:color="365F91"/>
            </w:tcBorders>
            <w:shd w:val="clear" w:color="auto" w:fill="auto"/>
          </w:tcPr>
          <w:p w14:paraId="7D9E1EE5" w14:textId="77777777" w:rsidR="00971A1F" w:rsidRPr="00D9348B" w:rsidRDefault="00971A1F" w:rsidP="00402DC1">
            <w:pPr>
              <w:pStyle w:val="TableText"/>
              <w:spacing w:before="50" w:after="50"/>
            </w:pPr>
            <w:r w:rsidRPr="00D9348B">
              <w:t>New planting</w:t>
            </w:r>
          </w:p>
        </w:tc>
        <w:tc>
          <w:tcPr>
            <w:tcW w:w="1798" w:type="dxa"/>
            <w:tcBorders>
              <w:top w:val="single" w:sz="4" w:space="0" w:color="365F91"/>
              <w:bottom w:val="single" w:sz="4" w:space="0" w:color="365F91"/>
            </w:tcBorders>
            <w:shd w:val="clear" w:color="auto" w:fill="auto"/>
          </w:tcPr>
          <w:p w14:paraId="36142C3B" w14:textId="77777777" w:rsidR="00971A1F" w:rsidRPr="00D9348B" w:rsidRDefault="00971A1F" w:rsidP="00402DC1">
            <w:pPr>
              <w:pStyle w:val="TableText"/>
              <w:spacing w:before="50" w:after="50"/>
              <w:jc w:val="right"/>
            </w:pPr>
            <w:r w:rsidRPr="00D9348B">
              <w:t>4,979</w:t>
            </w:r>
          </w:p>
        </w:tc>
        <w:tc>
          <w:tcPr>
            <w:tcW w:w="1751" w:type="dxa"/>
            <w:tcBorders>
              <w:top w:val="single" w:sz="4" w:space="0" w:color="365F91"/>
              <w:bottom w:val="single" w:sz="4" w:space="0" w:color="365F91"/>
            </w:tcBorders>
            <w:shd w:val="clear" w:color="auto" w:fill="auto"/>
          </w:tcPr>
          <w:p w14:paraId="3EF1A2C8" w14:textId="77777777" w:rsidR="00971A1F" w:rsidRPr="00D9348B" w:rsidRDefault="00971A1F" w:rsidP="00402DC1">
            <w:pPr>
              <w:pStyle w:val="TableText"/>
              <w:spacing w:before="50" w:after="50"/>
              <w:jc w:val="right"/>
            </w:pPr>
            <w:r w:rsidRPr="00D9348B">
              <w:t>6,461</w:t>
            </w:r>
          </w:p>
        </w:tc>
        <w:tc>
          <w:tcPr>
            <w:tcW w:w="1873" w:type="dxa"/>
            <w:tcBorders>
              <w:top w:val="single" w:sz="4" w:space="0" w:color="365F91"/>
              <w:bottom w:val="single" w:sz="4" w:space="0" w:color="365F91"/>
            </w:tcBorders>
            <w:shd w:val="clear" w:color="auto" w:fill="auto"/>
          </w:tcPr>
          <w:p w14:paraId="56FEBA35" w14:textId="77777777" w:rsidR="00971A1F" w:rsidRPr="00D9348B" w:rsidRDefault="00971A1F" w:rsidP="00402DC1">
            <w:pPr>
              <w:pStyle w:val="TableText"/>
              <w:spacing w:before="50" w:after="50"/>
              <w:jc w:val="right"/>
            </w:pPr>
            <w:r w:rsidRPr="00D9348B">
              <w:t xml:space="preserve"> 29.8 </w:t>
            </w:r>
          </w:p>
        </w:tc>
      </w:tr>
      <w:tr w:rsidR="00971A1F" w:rsidRPr="00D9348B" w14:paraId="64AF2CA7" w14:textId="77777777" w:rsidTr="00DB330E">
        <w:tc>
          <w:tcPr>
            <w:tcW w:w="3083" w:type="dxa"/>
            <w:tcBorders>
              <w:top w:val="single" w:sz="4" w:space="0" w:color="365F91"/>
              <w:bottom w:val="single" w:sz="4" w:space="0" w:color="365F91"/>
            </w:tcBorders>
            <w:shd w:val="clear" w:color="auto" w:fill="auto"/>
          </w:tcPr>
          <w:p w14:paraId="2B3A7195" w14:textId="77777777" w:rsidR="00971A1F" w:rsidRPr="00D9348B" w:rsidRDefault="00971A1F" w:rsidP="00402DC1">
            <w:pPr>
              <w:pStyle w:val="TableText"/>
              <w:spacing w:before="50" w:after="50"/>
            </w:pPr>
            <w:r w:rsidRPr="00D9348B">
              <w:t>Deforestation</w:t>
            </w:r>
          </w:p>
        </w:tc>
        <w:tc>
          <w:tcPr>
            <w:tcW w:w="1798" w:type="dxa"/>
            <w:tcBorders>
              <w:top w:val="single" w:sz="4" w:space="0" w:color="365F91"/>
              <w:bottom w:val="single" w:sz="4" w:space="0" w:color="365F91"/>
            </w:tcBorders>
            <w:shd w:val="clear" w:color="auto" w:fill="auto"/>
          </w:tcPr>
          <w:p w14:paraId="7C24272F" w14:textId="77777777" w:rsidR="00971A1F" w:rsidRPr="00D9348B" w:rsidRDefault="00971A1F" w:rsidP="00402DC1">
            <w:pPr>
              <w:pStyle w:val="TableText"/>
              <w:spacing w:before="50" w:after="50"/>
              <w:jc w:val="right"/>
            </w:pPr>
          </w:p>
        </w:tc>
        <w:tc>
          <w:tcPr>
            <w:tcW w:w="1751" w:type="dxa"/>
            <w:tcBorders>
              <w:top w:val="single" w:sz="4" w:space="0" w:color="365F91"/>
              <w:bottom w:val="single" w:sz="4" w:space="0" w:color="365F91"/>
            </w:tcBorders>
            <w:shd w:val="clear" w:color="auto" w:fill="auto"/>
          </w:tcPr>
          <w:p w14:paraId="12002FE9" w14:textId="77777777" w:rsidR="00971A1F" w:rsidRPr="00D9348B" w:rsidRDefault="00971A1F" w:rsidP="00402DC1">
            <w:pPr>
              <w:pStyle w:val="TableText"/>
              <w:spacing w:before="50" w:after="50"/>
              <w:jc w:val="right"/>
            </w:pPr>
          </w:p>
        </w:tc>
        <w:tc>
          <w:tcPr>
            <w:tcW w:w="1873" w:type="dxa"/>
            <w:tcBorders>
              <w:top w:val="single" w:sz="4" w:space="0" w:color="365F91"/>
              <w:bottom w:val="single" w:sz="4" w:space="0" w:color="365F91"/>
            </w:tcBorders>
            <w:shd w:val="clear" w:color="auto" w:fill="auto"/>
          </w:tcPr>
          <w:p w14:paraId="2C3ABE9C" w14:textId="77777777" w:rsidR="00971A1F" w:rsidRPr="00D9348B" w:rsidRDefault="00971A1F" w:rsidP="00402DC1">
            <w:pPr>
              <w:pStyle w:val="TableText"/>
              <w:spacing w:before="50" w:after="50"/>
              <w:jc w:val="right"/>
            </w:pPr>
          </w:p>
        </w:tc>
      </w:tr>
      <w:tr w:rsidR="00971A1F" w:rsidRPr="00D9348B" w14:paraId="7129A013" w14:textId="77777777" w:rsidTr="00DB330E">
        <w:tc>
          <w:tcPr>
            <w:tcW w:w="3083" w:type="dxa"/>
            <w:tcBorders>
              <w:top w:val="single" w:sz="4" w:space="0" w:color="365F91"/>
              <w:bottom w:val="single" w:sz="4" w:space="0" w:color="365F91"/>
            </w:tcBorders>
            <w:shd w:val="clear" w:color="auto" w:fill="auto"/>
          </w:tcPr>
          <w:p w14:paraId="2F50F589" w14:textId="77777777" w:rsidR="00971A1F" w:rsidRPr="00D9348B" w:rsidRDefault="00971A1F" w:rsidP="00402DC1">
            <w:pPr>
              <w:pStyle w:val="TableText"/>
              <w:spacing w:before="50" w:after="50"/>
              <w:ind w:left="227"/>
            </w:pPr>
            <w:r w:rsidRPr="00D9348B">
              <w:t>Pre-1990 natural forest</w:t>
            </w:r>
          </w:p>
        </w:tc>
        <w:tc>
          <w:tcPr>
            <w:tcW w:w="1798" w:type="dxa"/>
            <w:tcBorders>
              <w:top w:val="single" w:sz="4" w:space="0" w:color="365F91"/>
              <w:bottom w:val="single" w:sz="4" w:space="0" w:color="365F91"/>
            </w:tcBorders>
            <w:shd w:val="clear" w:color="auto" w:fill="auto"/>
          </w:tcPr>
          <w:p w14:paraId="4FE84DB4" w14:textId="77777777" w:rsidR="00971A1F" w:rsidRPr="00D9348B" w:rsidRDefault="00971A1F" w:rsidP="00402DC1">
            <w:pPr>
              <w:pStyle w:val="TableText"/>
              <w:spacing w:before="50" w:after="50"/>
              <w:jc w:val="right"/>
            </w:pPr>
            <w:r w:rsidRPr="00D9348B">
              <w:t>772</w:t>
            </w:r>
          </w:p>
        </w:tc>
        <w:tc>
          <w:tcPr>
            <w:tcW w:w="1751" w:type="dxa"/>
            <w:tcBorders>
              <w:top w:val="single" w:sz="4" w:space="0" w:color="365F91"/>
              <w:bottom w:val="single" w:sz="4" w:space="0" w:color="365F91"/>
            </w:tcBorders>
            <w:shd w:val="clear" w:color="auto" w:fill="auto"/>
          </w:tcPr>
          <w:p w14:paraId="1DF9D06E" w14:textId="77777777" w:rsidR="00971A1F" w:rsidRPr="00D9348B" w:rsidRDefault="00971A1F" w:rsidP="00402DC1">
            <w:pPr>
              <w:pStyle w:val="TableText"/>
              <w:spacing w:before="50" w:after="50"/>
              <w:jc w:val="right"/>
            </w:pPr>
            <w:r w:rsidRPr="00D9348B">
              <w:t xml:space="preserve"> 740 </w:t>
            </w:r>
          </w:p>
        </w:tc>
        <w:tc>
          <w:tcPr>
            <w:tcW w:w="1873" w:type="dxa"/>
            <w:tcBorders>
              <w:top w:val="single" w:sz="4" w:space="0" w:color="365F91"/>
              <w:bottom w:val="single" w:sz="4" w:space="0" w:color="365F91"/>
            </w:tcBorders>
            <w:shd w:val="clear" w:color="auto" w:fill="auto"/>
          </w:tcPr>
          <w:p w14:paraId="13BDBDDE" w14:textId="77777777" w:rsidR="00971A1F" w:rsidRPr="00D9348B" w:rsidRDefault="00971A1F" w:rsidP="00402DC1">
            <w:pPr>
              <w:pStyle w:val="TableText"/>
              <w:spacing w:before="50" w:after="50"/>
              <w:jc w:val="right"/>
            </w:pPr>
            <w:r w:rsidRPr="00D9348B">
              <w:t xml:space="preserve">–4.1 </w:t>
            </w:r>
          </w:p>
        </w:tc>
      </w:tr>
      <w:tr w:rsidR="00971A1F" w:rsidRPr="00D9348B" w14:paraId="6161F6F0" w14:textId="77777777" w:rsidTr="00DB330E">
        <w:tc>
          <w:tcPr>
            <w:tcW w:w="3083" w:type="dxa"/>
            <w:tcBorders>
              <w:top w:val="single" w:sz="4" w:space="0" w:color="365F91"/>
              <w:bottom w:val="single" w:sz="4" w:space="0" w:color="365F91"/>
            </w:tcBorders>
            <w:shd w:val="clear" w:color="auto" w:fill="auto"/>
          </w:tcPr>
          <w:p w14:paraId="64EEDC1B" w14:textId="77777777" w:rsidR="00971A1F" w:rsidRPr="00D9348B" w:rsidRDefault="00971A1F" w:rsidP="00DB330E">
            <w:pPr>
              <w:pStyle w:val="TableText"/>
              <w:spacing w:before="50" w:after="50"/>
              <w:ind w:left="227"/>
            </w:pPr>
            <w:r w:rsidRPr="00D9348B">
              <w:t>Pre-1990 planted forest</w:t>
            </w:r>
          </w:p>
        </w:tc>
        <w:tc>
          <w:tcPr>
            <w:tcW w:w="1798" w:type="dxa"/>
            <w:tcBorders>
              <w:top w:val="single" w:sz="4" w:space="0" w:color="365F91"/>
              <w:bottom w:val="single" w:sz="4" w:space="0" w:color="365F91"/>
            </w:tcBorders>
            <w:shd w:val="clear" w:color="auto" w:fill="auto"/>
          </w:tcPr>
          <w:p w14:paraId="3A7EE488" w14:textId="77777777" w:rsidR="00971A1F" w:rsidRPr="00D9348B" w:rsidRDefault="00971A1F" w:rsidP="00DB330E">
            <w:pPr>
              <w:pStyle w:val="TableText"/>
              <w:spacing w:before="50" w:after="50"/>
              <w:jc w:val="right"/>
            </w:pPr>
            <w:r w:rsidRPr="00D9348B">
              <w:t>1,713</w:t>
            </w:r>
          </w:p>
        </w:tc>
        <w:tc>
          <w:tcPr>
            <w:tcW w:w="1751" w:type="dxa"/>
            <w:tcBorders>
              <w:top w:val="single" w:sz="4" w:space="0" w:color="365F91"/>
              <w:bottom w:val="single" w:sz="4" w:space="0" w:color="365F91"/>
            </w:tcBorders>
            <w:shd w:val="clear" w:color="auto" w:fill="auto"/>
          </w:tcPr>
          <w:p w14:paraId="3111FE63" w14:textId="77777777" w:rsidR="00971A1F" w:rsidRPr="00D9348B" w:rsidRDefault="00971A1F" w:rsidP="00DB330E">
            <w:pPr>
              <w:pStyle w:val="TableText"/>
              <w:spacing w:before="50" w:after="50"/>
              <w:jc w:val="right"/>
            </w:pPr>
            <w:r w:rsidRPr="00D9348B">
              <w:t xml:space="preserve"> 2,117 </w:t>
            </w:r>
          </w:p>
        </w:tc>
        <w:tc>
          <w:tcPr>
            <w:tcW w:w="1873" w:type="dxa"/>
            <w:tcBorders>
              <w:top w:val="single" w:sz="4" w:space="0" w:color="365F91"/>
              <w:bottom w:val="single" w:sz="4" w:space="0" w:color="365F91"/>
            </w:tcBorders>
            <w:shd w:val="clear" w:color="auto" w:fill="auto"/>
          </w:tcPr>
          <w:p w14:paraId="1A58F2A9" w14:textId="77777777" w:rsidR="00971A1F" w:rsidRPr="00D9348B" w:rsidRDefault="00971A1F" w:rsidP="00DB330E">
            <w:pPr>
              <w:pStyle w:val="TableText"/>
              <w:spacing w:before="50" w:after="50"/>
              <w:jc w:val="right"/>
            </w:pPr>
            <w:r w:rsidRPr="00D9348B">
              <w:t xml:space="preserve"> 23.6 </w:t>
            </w:r>
          </w:p>
        </w:tc>
      </w:tr>
      <w:tr w:rsidR="00971A1F" w:rsidRPr="00D9348B" w14:paraId="30D8E2E0" w14:textId="77777777" w:rsidTr="00DB330E">
        <w:tc>
          <w:tcPr>
            <w:tcW w:w="3083" w:type="dxa"/>
            <w:tcBorders>
              <w:top w:val="single" w:sz="4" w:space="0" w:color="365F91"/>
              <w:bottom w:val="single" w:sz="4" w:space="0" w:color="365F91"/>
            </w:tcBorders>
            <w:shd w:val="clear" w:color="auto" w:fill="auto"/>
          </w:tcPr>
          <w:p w14:paraId="064B4236" w14:textId="77777777" w:rsidR="00971A1F" w:rsidRPr="00D9348B" w:rsidRDefault="00971A1F" w:rsidP="00DB330E">
            <w:pPr>
              <w:pStyle w:val="TableText"/>
              <w:spacing w:before="50" w:after="50"/>
              <w:ind w:left="227"/>
            </w:pPr>
            <w:r w:rsidRPr="00D9348B">
              <w:t>Post-1989 forest</w:t>
            </w:r>
          </w:p>
        </w:tc>
        <w:tc>
          <w:tcPr>
            <w:tcW w:w="1798" w:type="dxa"/>
            <w:tcBorders>
              <w:top w:val="single" w:sz="4" w:space="0" w:color="365F91"/>
              <w:bottom w:val="single" w:sz="4" w:space="0" w:color="365F91"/>
            </w:tcBorders>
            <w:shd w:val="clear" w:color="auto" w:fill="auto"/>
          </w:tcPr>
          <w:p w14:paraId="1037D01C" w14:textId="77777777" w:rsidR="00971A1F" w:rsidRPr="00D9348B" w:rsidRDefault="00971A1F" w:rsidP="00DB330E">
            <w:pPr>
              <w:pStyle w:val="TableText"/>
              <w:spacing w:before="50" w:after="50"/>
              <w:jc w:val="right"/>
            </w:pPr>
            <w:r w:rsidRPr="00D9348B">
              <w:t>462</w:t>
            </w:r>
          </w:p>
        </w:tc>
        <w:tc>
          <w:tcPr>
            <w:tcW w:w="1751" w:type="dxa"/>
            <w:tcBorders>
              <w:top w:val="single" w:sz="4" w:space="0" w:color="365F91"/>
              <w:bottom w:val="single" w:sz="4" w:space="0" w:color="365F91"/>
            </w:tcBorders>
            <w:shd w:val="clear" w:color="auto" w:fill="auto"/>
          </w:tcPr>
          <w:p w14:paraId="48378861" w14:textId="77777777" w:rsidR="00971A1F" w:rsidRPr="00D9348B" w:rsidRDefault="00971A1F" w:rsidP="00DB330E">
            <w:pPr>
              <w:pStyle w:val="TableText"/>
              <w:spacing w:before="50" w:after="50"/>
              <w:jc w:val="right"/>
            </w:pPr>
            <w:r w:rsidRPr="00D9348B">
              <w:t xml:space="preserve"> 635 </w:t>
            </w:r>
          </w:p>
        </w:tc>
        <w:tc>
          <w:tcPr>
            <w:tcW w:w="1873" w:type="dxa"/>
            <w:tcBorders>
              <w:top w:val="single" w:sz="4" w:space="0" w:color="365F91"/>
              <w:bottom w:val="single" w:sz="4" w:space="0" w:color="365F91"/>
            </w:tcBorders>
            <w:shd w:val="clear" w:color="auto" w:fill="auto"/>
          </w:tcPr>
          <w:p w14:paraId="1577D2A6" w14:textId="77777777" w:rsidR="00971A1F" w:rsidRPr="00D9348B" w:rsidRDefault="00971A1F" w:rsidP="00DB330E">
            <w:pPr>
              <w:pStyle w:val="TableText"/>
              <w:spacing w:before="50" w:after="50"/>
              <w:jc w:val="right"/>
            </w:pPr>
            <w:r w:rsidRPr="00D9348B">
              <w:t xml:space="preserve"> 37.6 </w:t>
            </w:r>
          </w:p>
        </w:tc>
      </w:tr>
    </w:tbl>
    <w:p w14:paraId="0B848A8A" w14:textId="77777777" w:rsidR="00971A1F" w:rsidRPr="00D9348B" w:rsidRDefault="00971A1F" w:rsidP="00971A1F">
      <w:pPr>
        <w:pStyle w:val="Noteundertable"/>
      </w:pPr>
      <w:r w:rsidRPr="00D9348B">
        <w:rPr>
          <w:b/>
        </w:rPr>
        <w:t>Note:</w:t>
      </w:r>
      <w:r w:rsidRPr="00D9348B">
        <w:t xml:space="preserve"> </w:t>
      </w:r>
      <w:r w:rsidRPr="00D9348B">
        <w:tab/>
        <w:t>Percentages presented are calculated from unrounded values.</w:t>
      </w:r>
    </w:p>
    <w:p w14:paraId="76C37778" w14:textId="42DA94E2" w:rsidR="00971A1F" w:rsidRPr="00D9348B" w:rsidRDefault="00971A1F" w:rsidP="00971A1F">
      <w:pPr>
        <w:pStyle w:val="Heading2"/>
      </w:pPr>
      <w:bookmarkStart w:id="3119" w:name="_Toc5269402"/>
      <w:bookmarkStart w:id="3120" w:name="_Toc36224442"/>
      <w:r w:rsidRPr="00D9348B">
        <w:lastRenderedPageBreak/>
        <w:t>10.2</w:t>
      </w:r>
      <w:r w:rsidRPr="00D9348B">
        <w:tab/>
        <w:t>Recalculations and planned improvements in</w:t>
      </w:r>
      <w:r w:rsidR="00F30FA7" w:rsidRPr="00D9348B">
        <w:br/>
      </w:r>
      <w:r w:rsidRPr="00D9348B">
        <w:t>response to the review process</w:t>
      </w:r>
      <w:bookmarkEnd w:id="3091"/>
      <w:bookmarkEnd w:id="3092"/>
      <w:bookmarkEnd w:id="3093"/>
      <w:bookmarkEnd w:id="3094"/>
      <w:bookmarkEnd w:id="3095"/>
      <w:bookmarkEnd w:id="3119"/>
      <w:bookmarkEnd w:id="3120"/>
    </w:p>
    <w:p w14:paraId="43CB1E4B" w14:textId="3412F444" w:rsidR="00971A1F" w:rsidRPr="00D9348B" w:rsidRDefault="00971A1F" w:rsidP="00971A1F">
      <w:pPr>
        <w:pStyle w:val="BodyText"/>
      </w:pPr>
      <w:bookmarkStart w:id="3121" w:name="_Toc451176196"/>
      <w:bookmarkStart w:id="3122" w:name="_Toc481751627"/>
      <w:bookmarkStart w:id="3123" w:name="_Toc511116855"/>
      <w:r w:rsidRPr="00D9348B">
        <w:t>New Zealand has made improvements to the inventory to take into account the findings from the reviews of previous submissions. There was an in-country review of the 2019 submission, however, the assessment review report (ARR) was not published in time to respond to the recommendations in this submission. Where possible, improvements have been made in response to some of the preliminary findings from the in-country review of the</w:t>
      </w:r>
      <w:r w:rsidR="00F30FA7" w:rsidRPr="00D9348B">
        <w:t> </w:t>
      </w:r>
      <w:r w:rsidRPr="00D9348B">
        <w:t>2019 submission.</w:t>
      </w:r>
    </w:p>
    <w:p w14:paraId="62560C12" w14:textId="77777777" w:rsidR="00971A1F" w:rsidRPr="00D9348B" w:rsidRDefault="00971A1F" w:rsidP="00971A1F">
      <w:pPr>
        <w:pStyle w:val="BodyText"/>
      </w:pPr>
      <w:r w:rsidRPr="00D9348B">
        <w:t>The most recent ARR available at the time of writing was the 2017 report published in April 2018 (UNFCCC, 2018), which is responded to in this submission</w:t>
      </w:r>
      <w:r w:rsidRPr="00D9348B">
        <w:rPr>
          <w:rFonts w:eastAsia="Arial"/>
        </w:rPr>
        <w:t xml:space="preserve">. </w:t>
      </w:r>
      <w:r w:rsidRPr="00D9348B">
        <w:t>The 2017 ARR includes findings from reviews of the 2017 and earlier submissions of New Zealand’s inventory. New Zealand has endeavoured to address as many recommendations as practicable in the 2018, 2019 and 2020 submissions. Further improvements will be implemented in future submissions.</w:t>
      </w:r>
    </w:p>
    <w:p w14:paraId="1A19ECCD" w14:textId="77777777" w:rsidR="00971A1F" w:rsidRPr="00D9348B" w:rsidRDefault="00971A1F" w:rsidP="00971A1F">
      <w:pPr>
        <w:pStyle w:val="BodyText"/>
      </w:pPr>
      <w:r w:rsidRPr="00D9348B">
        <w:t>Table 3 and table 4 of the 2017 ARR contain assessment of progress in addressing recommendations provided by the expert review teams (ERTs) during the reviews of the 2016 and earlier inventory submissions. These recommendations are detailed in table 10.2.1 along with New Zealand’s latest responses to those recommendations.</w:t>
      </w:r>
    </w:p>
    <w:p w14:paraId="6F9E3B47" w14:textId="77777777" w:rsidR="00971A1F" w:rsidRPr="00D9348B" w:rsidRDefault="00971A1F" w:rsidP="00971A1F">
      <w:pPr>
        <w:pStyle w:val="BodyText"/>
        <w:rPr>
          <w:rFonts w:eastAsia="Arial"/>
        </w:rPr>
      </w:pPr>
      <w:r w:rsidRPr="00D9348B">
        <w:t>Table 5 of the 2017 ARR contains new recommendations related to the review of the 2017 inventory submission. These recommendations, along with New Zealand’s latest responses to date, are detailed in table 10.2.2.</w:t>
      </w:r>
    </w:p>
    <w:p w14:paraId="24550596" w14:textId="77777777" w:rsidR="00971A1F" w:rsidRPr="00D9348B" w:rsidRDefault="00971A1F" w:rsidP="00971A1F">
      <w:pPr>
        <w:pStyle w:val="Table"/>
      </w:pPr>
      <w:bookmarkStart w:id="3124" w:name="_Toc5269622"/>
      <w:bookmarkStart w:id="3125" w:name="_Toc36224704"/>
      <w:r w:rsidRPr="00D9348B">
        <w:t>Table 10.2.1</w:t>
      </w:r>
      <w:r w:rsidRPr="00D9348B">
        <w:tab/>
        <w:t>New Zealand’s response to recommendations still relevant as reported in table 3</w:t>
      </w:r>
      <w:r w:rsidRPr="00D9348B">
        <w:br/>
        <w:t>and table 4 of the 2017 assessment review report for issues raised in earlier reviews</w:t>
      </w:r>
      <w:bookmarkEnd w:id="3121"/>
      <w:bookmarkEnd w:id="3122"/>
      <w:bookmarkEnd w:id="3123"/>
      <w:bookmarkEnd w:id="3124"/>
      <w:bookmarkEnd w:id="3125"/>
    </w:p>
    <w:tbl>
      <w:tblPr>
        <w:tblW w:w="8562" w:type="dxa"/>
        <w:tblInd w:w="108" w:type="dxa"/>
        <w:tblCellMar>
          <w:left w:w="85" w:type="dxa"/>
          <w:right w:w="85" w:type="dxa"/>
        </w:tblCellMar>
        <w:tblLook w:val="04A0" w:firstRow="1" w:lastRow="0" w:firstColumn="1" w:lastColumn="0" w:noHBand="0" w:noVBand="1"/>
      </w:tblPr>
      <w:tblGrid>
        <w:gridCol w:w="24"/>
        <w:gridCol w:w="1802"/>
        <w:gridCol w:w="953"/>
        <w:gridCol w:w="3121"/>
        <w:gridCol w:w="2662"/>
      </w:tblGrid>
      <w:tr w:rsidR="00971A1F" w:rsidRPr="00D9348B" w14:paraId="5F6FDA9B" w14:textId="77777777" w:rsidTr="008D68F9">
        <w:trPr>
          <w:tblHeader/>
        </w:trPr>
        <w:tc>
          <w:tcPr>
            <w:tcW w:w="1814" w:type="dxa"/>
            <w:gridSpan w:val="2"/>
            <w:tcBorders>
              <w:top w:val="single" w:sz="4" w:space="0" w:color="365F91"/>
              <w:bottom w:val="single" w:sz="4" w:space="0" w:color="365F91"/>
            </w:tcBorders>
            <w:shd w:val="clear" w:color="auto" w:fill="365F91"/>
            <w:tcMar>
              <w:left w:w="57" w:type="dxa"/>
            </w:tcMar>
            <w:vAlign w:val="bottom"/>
          </w:tcPr>
          <w:p w14:paraId="6CC40975" w14:textId="77777777" w:rsidR="00971A1F" w:rsidRPr="00D9348B" w:rsidRDefault="00971A1F" w:rsidP="00DB330E">
            <w:pPr>
              <w:pStyle w:val="TableTextBold"/>
              <w:rPr>
                <w:noProof w:val="0"/>
                <w:color w:val="FFFFFF"/>
              </w:rPr>
            </w:pPr>
            <w:r w:rsidRPr="00D9348B">
              <w:rPr>
                <w:noProof w:val="0"/>
                <w:color w:val="FFFFFF"/>
              </w:rPr>
              <w:t>Sector</w:t>
            </w:r>
          </w:p>
        </w:tc>
        <w:tc>
          <w:tcPr>
            <w:tcW w:w="964" w:type="dxa"/>
            <w:tcBorders>
              <w:top w:val="single" w:sz="4" w:space="0" w:color="365F91"/>
              <w:bottom w:val="single" w:sz="4" w:space="0" w:color="365F91"/>
            </w:tcBorders>
            <w:shd w:val="clear" w:color="auto" w:fill="365F91"/>
            <w:vAlign w:val="bottom"/>
          </w:tcPr>
          <w:p w14:paraId="37ABAFA9" w14:textId="77777777" w:rsidR="00971A1F" w:rsidRPr="00D9348B" w:rsidRDefault="00971A1F" w:rsidP="00DB330E">
            <w:pPr>
              <w:pStyle w:val="TableTextBold"/>
              <w:rPr>
                <w:noProof w:val="0"/>
                <w:color w:val="FFFFFF"/>
              </w:rPr>
            </w:pPr>
            <w:r w:rsidRPr="00D9348B">
              <w:rPr>
                <w:noProof w:val="0"/>
                <w:color w:val="FFFFFF"/>
              </w:rPr>
              <w:t>ID number</w:t>
            </w:r>
          </w:p>
        </w:tc>
        <w:tc>
          <w:tcPr>
            <w:tcW w:w="3193" w:type="dxa"/>
            <w:tcBorders>
              <w:top w:val="single" w:sz="4" w:space="0" w:color="365F91"/>
              <w:bottom w:val="single" w:sz="4" w:space="0" w:color="365F91"/>
            </w:tcBorders>
            <w:shd w:val="clear" w:color="auto" w:fill="365F91"/>
            <w:vAlign w:val="bottom"/>
          </w:tcPr>
          <w:p w14:paraId="507EBE6F" w14:textId="77777777" w:rsidR="00971A1F" w:rsidRPr="00D9348B" w:rsidRDefault="00971A1F" w:rsidP="00DB330E">
            <w:pPr>
              <w:pStyle w:val="TableTextBold"/>
              <w:rPr>
                <w:noProof w:val="0"/>
                <w:color w:val="FFFFFF"/>
              </w:rPr>
            </w:pPr>
            <w:r w:rsidRPr="00D9348B">
              <w:rPr>
                <w:noProof w:val="0"/>
                <w:color w:val="FFFFFF"/>
              </w:rPr>
              <w:t xml:space="preserve">Expert review team recommendation </w:t>
            </w:r>
          </w:p>
        </w:tc>
        <w:tc>
          <w:tcPr>
            <w:tcW w:w="2722" w:type="dxa"/>
            <w:tcBorders>
              <w:top w:val="single" w:sz="4" w:space="0" w:color="365F91"/>
              <w:bottom w:val="single" w:sz="4" w:space="0" w:color="365F91"/>
            </w:tcBorders>
            <w:shd w:val="clear" w:color="auto" w:fill="365F91"/>
            <w:vAlign w:val="bottom"/>
          </w:tcPr>
          <w:p w14:paraId="295C9293" w14:textId="77777777" w:rsidR="00971A1F" w:rsidRPr="00D9348B" w:rsidRDefault="00971A1F" w:rsidP="00DB330E">
            <w:pPr>
              <w:pStyle w:val="TableTextBold"/>
              <w:rPr>
                <w:noProof w:val="0"/>
                <w:color w:val="FFFFFF"/>
              </w:rPr>
            </w:pPr>
            <w:r w:rsidRPr="00D9348B">
              <w:rPr>
                <w:noProof w:val="0"/>
                <w:color w:val="FFFFFF"/>
              </w:rPr>
              <w:t>New Zealand response</w:t>
            </w:r>
          </w:p>
        </w:tc>
      </w:tr>
      <w:tr w:rsidR="00971A1F" w:rsidRPr="00D9348B" w14:paraId="4235FFEA" w14:textId="77777777" w:rsidTr="008D68F9">
        <w:tc>
          <w:tcPr>
            <w:tcW w:w="1814" w:type="dxa"/>
            <w:gridSpan w:val="2"/>
            <w:tcBorders>
              <w:top w:val="single" w:sz="4" w:space="0" w:color="365F91"/>
              <w:bottom w:val="single" w:sz="4" w:space="0" w:color="365F91"/>
            </w:tcBorders>
            <w:shd w:val="clear" w:color="auto" w:fill="auto"/>
            <w:tcMar>
              <w:left w:w="57" w:type="dxa"/>
            </w:tcMar>
          </w:tcPr>
          <w:p w14:paraId="612257E7" w14:textId="77777777" w:rsidR="00971A1F" w:rsidRPr="00D9348B" w:rsidRDefault="00971A1F" w:rsidP="00DB330E">
            <w:pPr>
              <w:pStyle w:val="TableText"/>
              <w:spacing w:before="50" w:after="50"/>
              <w:rPr>
                <w:bCs/>
              </w:rPr>
            </w:pPr>
            <w:r w:rsidRPr="00D9348B">
              <w:rPr>
                <w:bCs/>
              </w:rPr>
              <w:t>General</w:t>
            </w:r>
          </w:p>
        </w:tc>
        <w:tc>
          <w:tcPr>
            <w:tcW w:w="964" w:type="dxa"/>
            <w:tcBorders>
              <w:top w:val="single" w:sz="4" w:space="0" w:color="365F91"/>
              <w:bottom w:val="single" w:sz="4" w:space="0" w:color="365F91"/>
            </w:tcBorders>
          </w:tcPr>
          <w:p w14:paraId="7D9332D3" w14:textId="77777777" w:rsidR="00971A1F" w:rsidRPr="00D9348B" w:rsidRDefault="00971A1F" w:rsidP="00DB330E">
            <w:pPr>
              <w:pStyle w:val="TableText"/>
              <w:spacing w:before="50" w:after="50"/>
            </w:pPr>
            <w:r w:rsidRPr="00D9348B">
              <w:t>G.1, 2017</w:t>
            </w:r>
          </w:p>
        </w:tc>
        <w:tc>
          <w:tcPr>
            <w:tcW w:w="3193" w:type="dxa"/>
            <w:tcBorders>
              <w:top w:val="single" w:sz="4" w:space="0" w:color="365F91"/>
              <w:bottom w:val="single" w:sz="4" w:space="0" w:color="365F91"/>
            </w:tcBorders>
            <w:shd w:val="clear" w:color="auto" w:fill="auto"/>
          </w:tcPr>
          <w:p w14:paraId="1311B6CD" w14:textId="77777777" w:rsidR="00971A1F" w:rsidRPr="00D9348B" w:rsidRDefault="00971A1F" w:rsidP="00DB330E">
            <w:pPr>
              <w:pStyle w:val="TableText"/>
              <w:spacing w:before="50" w:after="50"/>
            </w:pPr>
            <w:r w:rsidRPr="00D9348B">
              <w:t>Prioritise resources to resolve the issues related to improving the transparency of the National Inventory Report (NIR) in accordance with the detailed recommendations given under the different sectors.</w:t>
            </w:r>
            <w:r w:rsidRPr="00D9348B">
              <w:rPr>
                <w:i/>
              </w:rPr>
              <w:t xml:space="preserve"> </w:t>
            </w:r>
          </w:p>
        </w:tc>
        <w:tc>
          <w:tcPr>
            <w:tcW w:w="2722" w:type="dxa"/>
            <w:tcBorders>
              <w:top w:val="single" w:sz="4" w:space="0" w:color="365F91"/>
              <w:bottom w:val="single" w:sz="4" w:space="0" w:color="365F91"/>
            </w:tcBorders>
            <w:shd w:val="clear" w:color="auto" w:fill="auto"/>
          </w:tcPr>
          <w:p w14:paraId="299E8A8D" w14:textId="77777777" w:rsidR="00971A1F" w:rsidRPr="00D9348B" w:rsidRDefault="00971A1F" w:rsidP="00DB330E">
            <w:pPr>
              <w:pStyle w:val="TableText"/>
              <w:spacing w:before="50" w:after="50"/>
              <w:rPr>
                <w:b/>
                <w:bCs/>
              </w:rPr>
            </w:pPr>
            <w:r w:rsidRPr="00D9348B">
              <w:rPr>
                <w:b/>
                <w:bCs/>
              </w:rPr>
              <w:t>Resolved.</w:t>
            </w:r>
            <w:r w:rsidRPr="00D9348B">
              <w:t xml:space="preserve"> The efforts of the inventory staff have been prioritised to improve inventory transparency. This includes providing transparent explanations for the methodological issues associated with activity data, emission factors and methods. As a result of these efforts, the NIR 2019 contains a substantial amount of new information and shows improved organisation of the previously included sections. For example, the inventory also includes additional tables (e.g., table 3.2.1 in chapter 3 to show energy use and non-energy use for natural gas, table 7.2.2 in chapter 7 to provide a more transparent account on activity data for solid waste deposited to municipal and uncategorised landfills), notes on the use of the New Zealand Emissions Trading Scheme (NZ ETS) data and a note on the cement and glass production in the Industrial Processes and Product Use (IPPU) sector, as well as dedicated sections to categories 2.F and 2.G. Similar progress in overall transparency improvement has been achieved across other inventory sectors as far as resources allowed.</w:t>
            </w:r>
          </w:p>
        </w:tc>
      </w:tr>
      <w:tr w:rsidR="00971A1F" w:rsidRPr="00D9348B" w14:paraId="3448F236" w14:textId="77777777" w:rsidTr="008D68F9">
        <w:tc>
          <w:tcPr>
            <w:tcW w:w="1814" w:type="dxa"/>
            <w:gridSpan w:val="2"/>
            <w:tcBorders>
              <w:top w:val="single" w:sz="4" w:space="0" w:color="365F91"/>
              <w:bottom w:val="single" w:sz="4" w:space="0" w:color="365F91"/>
            </w:tcBorders>
            <w:shd w:val="clear" w:color="auto" w:fill="auto"/>
            <w:tcMar>
              <w:left w:w="57" w:type="dxa"/>
            </w:tcMar>
          </w:tcPr>
          <w:p w14:paraId="2CA792CB" w14:textId="77777777" w:rsidR="00971A1F" w:rsidRPr="00D9348B" w:rsidRDefault="00971A1F" w:rsidP="00B132D1">
            <w:pPr>
              <w:pStyle w:val="TableText"/>
              <w:keepNext/>
              <w:spacing w:before="50" w:after="50"/>
            </w:pPr>
            <w:r w:rsidRPr="00D9348B">
              <w:lastRenderedPageBreak/>
              <w:t>General</w:t>
            </w:r>
          </w:p>
        </w:tc>
        <w:tc>
          <w:tcPr>
            <w:tcW w:w="964" w:type="dxa"/>
            <w:tcBorders>
              <w:top w:val="single" w:sz="4" w:space="0" w:color="365F91"/>
              <w:bottom w:val="single" w:sz="4" w:space="0" w:color="365F91"/>
            </w:tcBorders>
          </w:tcPr>
          <w:p w14:paraId="33B746F8" w14:textId="77777777" w:rsidR="00971A1F" w:rsidRPr="00D9348B" w:rsidRDefault="00971A1F" w:rsidP="00B132D1">
            <w:pPr>
              <w:pStyle w:val="TableText"/>
              <w:keepNext/>
            </w:pPr>
            <w:r w:rsidRPr="00D9348B">
              <w:t>G.2 2017</w:t>
            </w:r>
          </w:p>
        </w:tc>
        <w:tc>
          <w:tcPr>
            <w:tcW w:w="3193" w:type="dxa"/>
            <w:tcBorders>
              <w:top w:val="single" w:sz="4" w:space="0" w:color="365F91"/>
              <w:bottom w:val="single" w:sz="4" w:space="0" w:color="365F91"/>
            </w:tcBorders>
            <w:shd w:val="clear" w:color="auto" w:fill="auto"/>
          </w:tcPr>
          <w:p w14:paraId="192A6E0A" w14:textId="77777777" w:rsidR="00971A1F" w:rsidRPr="00D9348B" w:rsidRDefault="00971A1F" w:rsidP="00B132D1">
            <w:pPr>
              <w:pStyle w:val="TableText"/>
              <w:keepNext/>
            </w:pPr>
            <w:r w:rsidRPr="00D9348B">
              <w:t>Strengthen quality assurance/ quality control procedures related to consistency checks between information reported in the common reporting format tables and the NIR, in order to avoid similar mistakes in the next submission and thus improve the transparency of its reporting.</w:t>
            </w:r>
          </w:p>
        </w:tc>
        <w:tc>
          <w:tcPr>
            <w:tcW w:w="2722" w:type="dxa"/>
            <w:tcBorders>
              <w:top w:val="single" w:sz="4" w:space="0" w:color="365F91"/>
              <w:bottom w:val="single" w:sz="4" w:space="0" w:color="365F91"/>
            </w:tcBorders>
            <w:shd w:val="clear" w:color="auto" w:fill="auto"/>
          </w:tcPr>
          <w:p w14:paraId="0BCC3639" w14:textId="4E449CD3" w:rsidR="00971A1F" w:rsidRPr="00D9348B" w:rsidRDefault="00971A1F" w:rsidP="00B132D1">
            <w:pPr>
              <w:pStyle w:val="TableText"/>
              <w:keepNext/>
              <w:spacing w:before="50" w:after="50"/>
            </w:pPr>
            <w:r w:rsidRPr="00D9348B">
              <w:rPr>
                <w:b/>
                <w:bCs/>
              </w:rPr>
              <w:t>Resolved.</w:t>
            </w:r>
            <w:r w:rsidRPr="00D9348B">
              <w:t xml:space="preserve"> The quality assessment/</w:t>
            </w:r>
            <w:r w:rsidR="009F5151">
              <w:t xml:space="preserve"> </w:t>
            </w:r>
            <w:r w:rsidRPr="00D9348B">
              <w:t>quality control (QA/QC) process has been significantly improved in 2018/19, which included completion of the automated QC tools applied to all inventory sectors; ensuring that QC deliverables are well understood by all sector leads and are fit for purpose; changing the inventory approval process at the sectoral level by including mandatory checks for common reporting format (CRF) data integrity performed at the sectoral level and by the central inventory agency using custom-made QC tools prior to sectoral submissions. The checks for consistency between NIR and CRF have also been integrated in the inventory QC process.</w:t>
            </w:r>
          </w:p>
        </w:tc>
      </w:tr>
      <w:tr w:rsidR="00971A1F" w:rsidRPr="00D9348B" w14:paraId="712B90E6" w14:textId="77777777" w:rsidTr="008D68F9">
        <w:tc>
          <w:tcPr>
            <w:tcW w:w="1814" w:type="dxa"/>
            <w:gridSpan w:val="2"/>
            <w:tcBorders>
              <w:top w:val="single" w:sz="4" w:space="0" w:color="365F91"/>
              <w:bottom w:val="single" w:sz="4" w:space="0" w:color="365F91"/>
            </w:tcBorders>
            <w:shd w:val="clear" w:color="auto" w:fill="auto"/>
            <w:tcMar>
              <w:left w:w="57" w:type="dxa"/>
            </w:tcMar>
          </w:tcPr>
          <w:p w14:paraId="6D80E2B9" w14:textId="77777777" w:rsidR="00971A1F" w:rsidRPr="00D9348B" w:rsidRDefault="00971A1F" w:rsidP="00DB330E">
            <w:pPr>
              <w:pStyle w:val="TableText"/>
              <w:spacing w:before="50" w:after="50"/>
            </w:pPr>
            <w:r w:rsidRPr="00D9348B">
              <w:t>Energy – Reference approach</w:t>
            </w:r>
          </w:p>
        </w:tc>
        <w:tc>
          <w:tcPr>
            <w:tcW w:w="964" w:type="dxa"/>
            <w:tcBorders>
              <w:top w:val="single" w:sz="4" w:space="0" w:color="365F91"/>
              <w:bottom w:val="single" w:sz="4" w:space="0" w:color="365F91"/>
            </w:tcBorders>
          </w:tcPr>
          <w:p w14:paraId="0486BCA3" w14:textId="77777777" w:rsidR="00971A1F" w:rsidRPr="00D9348B" w:rsidRDefault="00971A1F" w:rsidP="00DB330E">
            <w:pPr>
              <w:pStyle w:val="TableText"/>
              <w:spacing w:before="50" w:after="50"/>
            </w:pPr>
            <w:r w:rsidRPr="00D9348B">
              <w:t>E.1, 2017</w:t>
            </w:r>
          </w:p>
        </w:tc>
        <w:tc>
          <w:tcPr>
            <w:tcW w:w="3193" w:type="dxa"/>
            <w:tcBorders>
              <w:top w:val="single" w:sz="4" w:space="0" w:color="365F91"/>
              <w:bottom w:val="single" w:sz="4" w:space="0" w:color="365F91"/>
            </w:tcBorders>
            <w:shd w:val="clear" w:color="auto" w:fill="auto"/>
          </w:tcPr>
          <w:p w14:paraId="3FFF5C35" w14:textId="77777777" w:rsidR="00971A1F" w:rsidRPr="00D9348B" w:rsidRDefault="00971A1F" w:rsidP="00DB330E">
            <w:pPr>
              <w:pStyle w:val="TableText"/>
              <w:spacing w:before="50" w:after="50"/>
            </w:pPr>
            <w:r w:rsidRPr="00D9348B">
              <w:t>Endeavour to separate naphtha and crude oil with a view to improving the transparency of the reference approach as well as the accuracy of the reporting of non-energy use of fuels and feedstocks.</w:t>
            </w:r>
          </w:p>
        </w:tc>
        <w:tc>
          <w:tcPr>
            <w:tcW w:w="2722" w:type="dxa"/>
            <w:tcBorders>
              <w:top w:val="single" w:sz="4" w:space="0" w:color="365F91"/>
              <w:bottom w:val="single" w:sz="4" w:space="0" w:color="365F91"/>
            </w:tcBorders>
            <w:shd w:val="clear" w:color="auto" w:fill="auto"/>
          </w:tcPr>
          <w:p w14:paraId="4281306D" w14:textId="77777777" w:rsidR="00971A1F" w:rsidRPr="00D9348B" w:rsidRDefault="00971A1F" w:rsidP="00DB330E">
            <w:pPr>
              <w:pStyle w:val="TableText"/>
              <w:spacing w:before="50" w:after="50"/>
            </w:pPr>
            <w:r w:rsidRPr="00D9348B">
              <w:rPr>
                <w:b/>
              </w:rPr>
              <w:t>Addressing</w:t>
            </w:r>
            <w:r w:rsidRPr="00D9348B">
              <w:t>. Preliminary disaggregated data for the production of naphtha and crude oil have been identified. The necessary changes to the energy greenhouse gas data system have been included in the 2020 workplan and this improvement is expected to be implemented in the reference approach for the 2021 submission.</w:t>
            </w:r>
          </w:p>
        </w:tc>
      </w:tr>
      <w:tr w:rsidR="00971A1F" w:rsidRPr="00D9348B" w14:paraId="1C7BDB96" w14:textId="77777777" w:rsidTr="008D68F9">
        <w:tc>
          <w:tcPr>
            <w:tcW w:w="1814" w:type="dxa"/>
            <w:gridSpan w:val="2"/>
            <w:tcBorders>
              <w:top w:val="single" w:sz="4" w:space="0" w:color="365F91"/>
              <w:bottom w:val="single" w:sz="4" w:space="0" w:color="365F91"/>
            </w:tcBorders>
            <w:shd w:val="clear" w:color="auto" w:fill="auto"/>
            <w:tcMar>
              <w:left w:w="57" w:type="dxa"/>
            </w:tcMar>
          </w:tcPr>
          <w:p w14:paraId="2F62B673" w14:textId="77777777" w:rsidR="00971A1F" w:rsidRPr="00D9348B" w:rsidRDefault="00971A1F" w:rsidP="00DB330E">
            <w:pPr>
              <w:pStyle w:val="TableText"/>
              <w:spacing w:before="50" w:after="50"/>
            </w:pPr>
            <w:r w:rsidRPr="00D9348B">
              <w:t>Energy – Stationary combustion: solid fuels – CO</w:t>
            </w:r>
            <w:r w:rsidRPr="00D9348B">
              <w:rPr>
                <w:vertAlign w:val="subscript"/>
              </w:rPr>
              <w:t>2</w:t>
            </w:r>
          </w:p>
        </w:tc>
        <w:tc>
          <w:tcPr>
            <w:tcW w:w="964" w:type="dxa"/>
            <w:tcBorders>
              <w:top w:val="single" w:sz="4" w:space="0" w:color="365F91"/>
              <w:bottom w:val="single" w:sz="4" w:space="0" w:color="365F91"/>
            </w:tcBorders>
          </w:tcPr>
          <w:p w14:paraId="78FE2D05" w14:textId="77777777" w:rsidR="00971A1F" w:rsidRPr="00D9348B" w:rsidRDefault="00971A1F" w:rsidP="00DB330E">
            <w:pPr>
              <w:pStyle w:val="TableText"/>
              <w:spacing w:before="50" w:after="50"/>
            </w:pPr>
            <w:r w:rsidRPr="00D9348B">
              <w:t>E.8, 2017</w:t>
            </w:r>
          </w:p>
        </w:tc>
        <w:tc>
          <w:tcPr>
            <w:tcW w:w="3193" w:type="dxa"/>
            <w:tcBorders>
              <w:top w:val="single" w:sz="4" w:space="0" w:color="365F91"/>
              <w:bottom w:val="single" w:sz="4" w:space="0" w:color="365F91"/>
            </w:tcBorders>
            <w:shd w:val="clear" w:color="auto" w:fill="auto"/>
          </w:tcPr>
          <w:p w14:paraId="4A121173" w14:textId="77777777" w:rsidR="00971A1F" w:rsidRPr="00D9348B" w:rsidRDefault="00971A1F" w:rsidP="00DB330E">
            <w:pPr>
              <w:pStyle w:val="TableText"/>
              <w:spacing w:before="50" w:after="50"/>
            </w:pPr>
            <w:r w:rsidRPr="00D9348B">
              <w:t>Critically assess whether the New Zealand Emissions Trading Scheme factors reviewed in 2009 are indeed more appropriate for the estimation of emissions from solid fuels and report on this assessment.</w:t>
            </w:r>
          </w:p>
        </w:tc>
        <w:tc>
          <w:tcPr>
            <w:tcW w:w="2722" w:type="dxa"/>
            <w:tcBorders>
              <w:top w:val="single" w:sz="4" w:space="0" w:color="365F91"/>
              <w:bottom w:val="single" w:sz="4" w:space="0" w:color="365F91"/>
            </w:tcBorders>
            <w:shd w:val="clear" w:color="auto" w:fill="auto"/>
          </w:tcPr>
          <w:p w14:paraId="323453B4" w14:textId="77777777" w:rsidR="00971A1F" w:rsidRPr="00D9348B" w:rsidRDefault="00971A1F" w:rsidP="00DB330E">
            <w:pPr>
              <w:pStyle w:val="TableText"/>
              <w:spacing w:before="50" w:after="50"/>
              <w:rPr>
                <w:b/>
              </w:rPr>
            </w:pPr>
            <w:r w:rsidRPr="00D9348B">
              <w:rPr>
                <w:b/>
                <w:bCs/>
              </w:rPr>
              <w:t>Not applicable.</w:t>
            </w:r>
            <w:r w:rsidRPr="00D9348B">
              <w:t xml:space="preserve"> NZ ETS factors are not used for the estimation of emissions from solid fuels, and the agency responsible for estimating these emissions does not have legal access to the relevant NZ ETS returns.</w:t>
            </w:r>
          </w:p>
        </w:tc>
      </w:tr>
      <w:tr w:rsidR="00971A1F" w:rsidRPr="00D9348B" w14:paraId="2B9F0D0B" w14:textId="77777777" w:rsidTr="008D68F9">
        <w:tc>
          <w:tcPr>
            <w:tcW w:w="1814" w:type="dxa"/>
            <w:gridSpan w:val="2"/>
            <w:tcBorders>
              <w:top w:val="single" w:sz="4" w:space="0" w:color="365F91"/>
              <w:bottom w:val="single" w:sz="4" w:space="0" w:color="365F91"/>
            </w:tcBorders>
            <w:shd w:val="clear" w:color="auto" w:fill="auto"/>
            <w:tcMar>
              <w:left w:w="57" w:type="dxa"/>
            </w:tcMar>
          </w:tcPr>
          <w:p w14:paraId="56A3D000" w14:textId="77777777" w:rsidR="00971A1F" w:rsidRPr="00D9348B" w:rsidRDefault="00971A1F" w:rsidP="00156F21">
            <w:pPr>
              <w:pStyle w:val="TableText"/>
            </w:pPr>
            <w:r w:rsidRPr="00D9348B">
              <w:t>Energy – Reference approach – CO</w:t>
            </w:r>
            <w:r w:rsidRPr="00D9348B">
              <w:rPr>
                <w:vertAlign w:val="subscript"/>
              </w:rPr>
              <w:t>2</w:t>
            </w:r>
          </w:p>
        </w:tc>
        <w:tc>
          <w:tcPr>
            <w:tcW w:w="964" w:type="dxa"/>
            <w:tcBorders>
              <w:top w:val="single" w:sz="4" w:space="0" w:color="365F91"/>
              <w:bottom w:val="single" w:sz="4" w:space="0" w:color="365F91"/>
            </w:tcBorders>
          </w:tcPr>
          <w:p w14:paraId="656F66EA" w14:textId="77777777" w:rsidR="00971A1F" w:rsidRPr="00D9348B" w:rsidRDefault="00971A1F" w:rsidP="00DB330E">
            <w:pPr>
              <w:pStyle w:val="TableText"/>
              <w:spacing w:before="50" w:after="50"/>
            </w:pPr>
            <w:r w:rsidRPr="00D9348B">
              <w:t>E.2, 2017</w:t>
            </w:r>
          </w:p>
        </w:tc>
        <w:tc>
          <w:tcPr>
            <w:tcW w:w="3193" w:type="dxa"/>
            <w:tcBorders>
              <w:top w:val="single" w:sz="4" w:space="0" w:color="365F91"/>
              <w:bottom w:val="single" w:sz="4" w:space="0" w:color="365F91"/>
            </w:tcBorders>
            <w:shd w:val="clear" w:color="auto" w:fill="auto"/>
          </w:tcPr>
          <w:p w14:paraId="7DCC13D1" w14:textId="18747273" w:rsidR="00971A1F" w:rsidRPr="00D9348B" w:rsidRDefault="00971A1F" w:rsidP="00DB330E">
            <w:pPr>
              <w:pStyle w:val="TableText"/>
              <w:spacing w:before="50" w:after="50"/>
            </w:pPr>
            <w:r w:rsidRPr="00D9348B">
              <w:t>Report in the NIR on progress in addressing the recommendation on reporting naphtha and crude oil using aggregate values (see ID#</w:t>
            </w:r>
            <w:r w:rsidR="008D68F9">
              <w:t> </w:t>
            </w:r>
            <w:r w:rsidRPr="00D9348B">
              <w:t>E.1 above).</w:t>
            </w:r>
          </w:p>
        </w:tc>
        <w:tc>
          <w:tcPr>
            <w:tcW w:w="2722" w:type="dxa"/>
            <w:tcBorders>
              <w:top w:val="single" w:sz="4" w:space="0" w:color="365F91"/>
              <w:bottom w:val="single" w:sz="4" w:space="0" w:color="365F91"/>
            </w:tcBorders>
            <w:shd w:val="clear" w:color="auto" w:fill="auto"/>
          </w:tcPr>
          <w:p w14:paraId="19213FF3" w14:textId="77777777" w:rsidR="00971A1F" w:rsidRPr="00D9348B" w:rsidRDefault="00971A1F" w:rsidP="00DB330E">
            <w:pPr>
              <w:pStyle w:val="TableText"/>
              <w:spacing w:before="50" w:after="50"/>
            </w:pPr>
            <w:r w:rsidRPr="00D9348B">
              <w:rPr>
                <w:b/>
              </w:rPr>
              <w:t xml:space="preserve">Resolved. </w:t>
            </w:r>
            <w:r w:rsidRPr="00D9348B">
              <w:t>Progress has been reported in NIR section A4.5.</w:t>
            </w:r>
          </w:p>
        </w:tc>
      </w:tr>
      <w:tr w:rsidR="00971A1F" w:rsidRPr="00D9348B" w14:paraId="69CE4056" w14:textId="77777777" w:rsidTr="008D68F9">
        <w:tc>
          <w:tcPr>
            <w:tcW w:w="1814" w:type="dxa"/>
            <w:gridSpan w:val="2"/>
            <w:tcBorders>
              <w:top w:val="single" w:sz="4" w:space="0" w:color="365F91"/>
              <w:bottom w:val="single" w:sz="4" w:space="0" w:color="365F91"/>
            </w:tcBorders>
            <w:shd w:val="clear" w:color="auto" w:fill="auto"/>
            <w:tcMar>
              <w:left w:w="57" w:type="dxa"/>
            </w:tcMar>
          </w:tcPr>
          <w:p w14:paraId="0FC42894" w14:textId="77777777" w:rsidR="00971A1F" w:rsidRPr="00D9348B" w:rsidRDefault="00971A1F" w:rsidP="00156F21">
            <w:pPr>
              <w:pStyle w:val="TableText"/>
            </w:pPr>
            <w:r w:rsidRPr="00D9348B">
              <w:t>Energy – Reference approach – CO</w:t>
            </w:r>
            <w:r w:rsidRPr="00D9348B">
              <w:rPr>
                <w:vertAlign w:val="subscript"/>
              </w:rPr>
              <w:t>2</w:t>
            </w:r>
          </w:p>
        </w:tc>
        <w:tc>
          <w:tcPr>
            <w:tcW w:w="964" w:type="dxa"/>
            <w:tcBorders>
              <w:top w:val="single" w:sz="4" w:space="0" w:color="365F91"/>
              <w:bottom w:val="single" w:sz="4" w:space="0" w:color="365F91"/>
            </w:tcBorders>
          </w:tcPr>
          <w:p w14:paraId="7355777A" w14:textId="77777777" w:rsidR="00971A1F" w:rsidRPr="00D9348B" w:rsidRDefault="00971A1F" w:rsidP="00DB330E">
            <w:pPr>
              <w:pStyle w:val="TableText"/>
              <w:spacing w:before="50" w:after="50"/>
            </w:pPr>
            <w:r w:rsidRPr="00D9348B">
              <w:t>E.3, 2017</w:t>
            </w:r>
          </w:p>
        </w:tc>
        <w:tc>
          <w:tcPr>
            <w:tcW w:w="3193" w:type="dxa"/>
            <w:tcBorders>
              <w:top w:val="single" w:sz="4" w:space="0" w:color="365F91"/>
              <w:bottom w:val="single" w:sz="4" w:space="0" w:color="365F91"/>
            </w:tcBorders>
            <w:shd w:val="clear" w:color="auto" w:fill="auto"/>
          </w:tcPr>
          <w:p w14:paraId="30D568A0" w14:textId="77777777" w:rsidR="00971A1F" w:rsidRPr="00D9348B" w:rsidRDefault="00971A1F" w:rsidP="00DB330E">
            <w:pPr>
              <w:pStyle w:val="TableText"/>
              <w:spacing w:before="50" w:after="50"/>
            </w:pPr>
            <w:r w:rsidRPr="00D9348B">
              <w:t>Endeavour to incorporate disaggregated data for lubricants, petroleum coke and bitumen in the submission or, if this is not possible, report on progress in addressing the recommendation.</w:t>
            </w:r>
          </w:p>
        </w:tc>
        <w:tc>
          <w:tcPr>
            <w:tcW w:w="2722" w:type="dxa"/>
            <w:tcBorders>
              <w:top w:val="single" w:sz="4" w:space="0" w:color="365F91"/>
              <w:bottom w:val="single" w:sz="4" w:space="0" w:color="365F91"/>
            </w:tcBorders>
            <w:shd w:val="clear" w:color="auto" w:fill="auto"/>
          </w:tcPr>
          <w:p w14:paraId="061B8BC9" w14:textId="77777777" w:rsidR="00971A1F" w:rsidRPr="00D9348B" w:rsidRDefault="00971A1F" w:rsidP="00DB330E">
            <w:pPr>
              <w:pStyle w:val="TableText"/>
              <w:spacing w:before="50" w:after="50"/>
              <w:rPr>
                <w:b/>
              </w:rPr>
            </w:pPr>
            <w:r w:rsidRPr="00D9348B">
              <w:rPr>
                <w:b/>
              </w:rPr>
              <w:t xml:space="preserve">Addressing. </w:t>
            </w:r>
            <w:r w:rsidRPr="00D9348B">
              <w:t>Disaggregated data for the imports of petroleum coke and bitumen have been identified. The necessary changes to the energy greenhouse gas data system have been included in the 2020 workplan and the improvement is expected to be implemented in the reference approach for the 2021 submission.</w:t>
            </w:r>
          </w:p>
        </w:tc>
      </w:tr>
      <w:tr w:rsidR="00971A1F" w:rsidRPr="00D9348B" w14:paraId="350ED201" w14:textId="77777777" w:rsidTr="008D68F9">
        <w:tc>
          <w:tcPr>
            <w:tcW w:w="1814" w:type="dxa"/>
            <w:gridSpan w:val="2"/>
            <w:tcBorders>
              <w:top w:val="single" w:sz="4" w:space="0" w:color="365F91"/>
              <w:bottom w:val="single" w:sz="4" w:space="0" w:color="365F91"/>
            </w:tcBorders>
            <w:shd w:val="clear" w:color="auto" w:fill="auto"/>
            <w:tcMar>
              <w:left w:w="57" w:type="dxa"/>
            </w:tcMar>
          </w:tcPr>
          <w:p w14:paraId="2887046D" w14:textId="77777777" w:rsidR="00971A1F" w:rsidRPr="00D9348B" w:rsidRDefault="00971A1F" w:rsidP="00DB330E">
            <w:pPr>
              <w:pStyle w:val="TableText"/>
              <w:spacing w:before="50" w:after="50"/>
            </w:pPr>
            <w:r w:rsidRPr="00D9348B">
              <w:t>Energy – Feedstocks, reductants and other non-energy uses of fuels – CO</w:t>
            </w:r>
            <w:r w:rsidRPr="00D9348B">
              <w:rPr>
                <w:vertAlign w:val="subscript"/>
              </w:rPr>
              <w:t>2</w:t>
            </w:r>
          </w:p>
        </w:tc>
        <w:tc>
          <w:tcPr>
            <w:tcW w:w="964" w:type="dxa"/>
            <w:tcBorders>
              <w:top w:val="single" w:sz="4" w:space="0" w:color="365F91"/>
              <w:bottom w:val="single" w:sz="4" w:space="0" w:color="365F91"/>
            </w:tcBorders>
          </w:tcPr>
          <w:p w14:paraId="5EC193A0" w14:textId="77777777" w:rsidR="00971A1F" w:rsidRPr="00D9348B" w:rsidRDefault="00971A1F" w:rsidP="00DB330E">
            <w:pPr>
              <w:pStyle w:val="TableText"/>
              <w:spacing w:before="50" w:after="50"/>
            </w:pPr>
            <w:r w:rsidRPr="00D9348B">
              <w:t>E.4, 2017</w:t>
            </w:r>
          </w:p>
        </w:tc>
        <w:tc>
          <w:tcPr>
            <w:tcW w:w="3193" w:type="dxa"/>
            <w:tcBorders>
              <w:top w:val="single" w:sz="4" w:space="0" w:color="365F91"/>
              <w:bottom w:val="single" w:sz="4" w:space="0" w:color="365F91"/>
            </w:tcBorders>
            <w:shd w:val="clear" w:color="auto" w:fill="auto"/>
          </w:tcPr>
          <w:p w14:paraId="43494CA6" w14:textId="77777777" w:rsidR="00971A1F" w:rsidRPr="00D9348B" w:rsidRDefault="00971A1F" w:rsidP="00DB330E">
            <w:pPr>
              <w:pStyle w:val="TableText"/>
              <w:spacing w:before="50" w:after="50"/>
            </w:pPr>
            <w:r w:rsidRPr="00D9348B">
              <w:t>Improve the transparency of its reporting of non-energy uses of fuels by adding a table on energy and non-energy uses of fuels for natural gas together with associated emissions and the categories where these are reported.</w:t>
            </w:r>
          </w:p>
        </w:tc>
        <w:tc>
          <w:tcPr>
            <w:tcW w:w="2722" w:type="dxa"/>
            <w:tcBorders>
              <w:top w:val="single" w:sz="4" w:space="0" w:color="365F91"/>
              <w:bottom w:val="single" w:sz="4" w:space="0" w:color="365F91"/>
            </w:tcBorders>
            <w:shd w:val="clear" w:color="auto" w:fill="auto"/>
          </w:tcPr>
          <w:p w14:paraId="6E0E48E1" w14:textId="77777777" w:rsidR="00971A1F" w:rsidRPr="00D9348B" w:rsidRDefault="00971A1F" w:rsidP="00DB330E">
            <w:pPr>
              <w:pStyle w:val="TableText"/>
              <w:spacing w:before="50" w:after="50"/>
            </w:pPr>
            <w:r w:rsidRPr="00D9348B">
              <w:rPr>
                <w:b/>
              </w:rPr>
              <w:t>Resolved.</w:t>
            </w:r>
            <w:r w:rsidRPr="00D9348B">
              <w:t xml:space="preserve"> Further explanation as well as a chart and table showing natural gas energy and non-energy use were included in the 2018 submission.</w:t>
            </w:r>
          </w:p>
        </w:tc>
      </w:tr>
      <w:tr w:rsidR="00971A1F" w:rsidRPr="00D9348B" w14:paraId="3BB87DE4" w14:textId="77777777" w:rsidTr="008D68F9">
        <w:tc>
          <w:tcPr>
            <w:tcW w:w="1814" w:type="dxa"/>
            <w:gridSpan w:val="2"/>
            <w:tcBorders>
              <w:top w:val="single" w:sz="4" w:space="0" w:color="365F91"/>
              <w:bottom w:val="single" w:sz="4" w:space="0" w:color="365F91"/>
            </w:tcBorders>
            <w:shd w:val="clear" w:color="auto" w:fill="auto"/>
            <w:tcMar>
              <w:left w:w="57" w:type="dxa"/>
            </w:tcMar>
          </w:tcPr>
          <w:p w14:paraId="149B4A5B" w14:textId="77777777" w:rsidR="00971A1F" w:rsidRPr="00D9348B" w:rsidRDefault="00971A1F" w:rsidP="00DB330E">
            <w:pPr>
              <w:pStyle w:val="TableText"/>
              <w:spacing w:before="50" w:after="50"/>
            </w:pPr>
            <w:r w:rsidRPr="00D9348B">
              <w:t>Energy – Feedstocks, reductants and other non-energy uses of fuels – CO</w:t>
            </w:r>
            <w:r w:rsidRPr="00D9348B">
              <w:rPr>
                <w:vertAlign w:val="subscript"/>
              </w:rPr>
              <w:t>2</w:t>
            </w:r>
          </w:p>
        </w:tc>
        <w:tc>
          <w:tcPr>
            <w:tcW w:w="964" w:type="dxa"/>
            <w:tcBorders>
              <w:top w:val="single" w:sz="4" w:space="0" w:color="365F91"/>
              <w:bottom w:val="single" w:sz="4" w:space="0" w:color="365F91"/>
            </w:tcBorders>
          </w:tcPr>
          <w:p w14:paraId="24803E4E" w14:textId="77777777" w:rsidR="00971A1F" w:rsidRPr="00D9348B" w:rsidRDefault="00971A1F" w:rsidP="00DB330E">
            <w:pPr>
              <w:pStyle w:val="TableText"/>
              <w:spacing w:before="50" w:after="50"/>
            </w:pPr>
            <w:r w:rsidRPr="00D9348B">
              <w:t>E.5, 2017</w:t>
            </w:r>
          </w:p>
        </w:tc>
        <w:tc>
          <w:tcPr>
            <w:tcW w:w="3193" w:type="dxa"/>
            <w:tcBorders>
              <w:top w:val="single" w:sz="4" w:space="0" w:color="365F91"/>
              <w:bottom w:val="single" w:sz="4" w:space="0" w:color="365F91"/>
            </w:tcBorders>
            <w:shd w:val="clear" w:color="auto" w:fill="auto"/>
          </w:tcPr>
          <w:p w14:paraId="66E3077B" w14:textId="77777777" w:rsidR="00971A1F" w:rsidRPr="00D9348B" w:rsidRDefault="00971A1F" w:rsidP="00DB330E">
            <w:pPr>
              <w:pStyle w:val="TableText"/>
              <w:spacing w:before="50" w:after="50"/>
            </w:pPr>
            <w:r w:rsidRPr="00D9348B">
              <w:t>Review the notation keys reported for emissions from the different categories.</w:t>
            </w:r>
          </w:p>
        </w:tc>
        <w:tc>
          <w:tcPr>
            <w:tcW w:w="2722" w:type="dxa"/>
            <w:tcBorders>
              <w:top w:val="single" w:sz="4" w:space="0" w:color="365F91"/>
              <w:bottom w:val="single" w:sz="4" w:space="0" w:color="365F91"/>
            </w:tcBorders>
            <w:shd w:val="clear" w:color="auto" w:fill="auto"/>
          </w:tcPr>
          <w:p w14:paraId="2EA2EF06" w14:textId="77777777" w:rsidR="00971A1F" w:rsidRPr="00D9348B" w:rsidRDefault="00971A1F" w:rsidP="00DB330E">
            <w:pPr>
              <w:pStyle w:val="TableText"/>
              <w:spacing w:before="50" w:after="50"/>
            </w:pPr>
            <w:r w:rsidRPr="00D9348B">
              <w:rPr>
                <w:b/>
              </w:rPr>
              <w:t xml:space="preserve">Resolved. </w:t>
            </w:r>
            <w:r w:rsidRPr="00D9348B">
              <w:t>The notation keys have been reviewed, and we are satisfied with the status quo.</w:t>
            </w:r>
          </w:p>
        </w:tc>
      </w:tr>
      <w:tr w:rsidR="00971A1F" w:rsidRPr="00D9348B" w14:paraId="24F40918" w14:textId="77777777" w:rsidTr="008D68F9">
        <w:tc>
          <w:tcPr>
            <w:tcW w:w="1814" w:type="dxa"/>
            <w:gridSpan w:val="2"/>
            <w:tcBorders>
              <w:top w:val="single" w:sz="4" w:space="0" w:color="365F91"/>
              <w:bottom w:val="single" w:sz="4" w:space="0" w:color="365F91"/>
            </w:tcBorders>
            <w:shd w:val="clear" w:color="auto" w:fill="auto"/>
            <w:tcMar>
              <w:left w:w="57" w:type="dxa"/>
            </w:tcMar>
          </w:tcPr>
          <w:p w14:paraId="2FC25CF6" w14:textId="77777777" w:rsidR="00971A1F" w:rsidRPr="00D9348B" w:rsidRDefault="00971A1F" w:rsidP="00DB330E">
            <w:pPr>
              <w:pStyle w:val="TableText"/>
              <w:spacing w:before="50" w:after="50"/>
            </w:pPr>
            <w:r w:rsidRPr="00D9348B">
              <w:t>Energy – Manufacture of solid fuels and other energy industries: solid fuels – CO</w:t>
            </w:r>
            <w:r w:rsidRPr="00D9348B">
              <w:rPr>
                <w:vertAlign w:val="subscript"/>
              </w:rPr>
              <w:t>2</w:t>
            </w:r>
            <w:r w:rsidRPr="00D9348B">
              <w:t>, CH</w:t>
            </w:r>
            <w:r w:rsidRPr="00D9348B">
              <w:rPr>
                <w:vertAlign w:val="subscript"/>
              </w:rPr>
              <w:t>4</w:t>
            </w:r>
            <w:r w:rsidRPr="00D9348B">
              <w:t xml:space="preserve"> and N</w:t>
            </w:r>
            <w:r w:rsidRPr="00D9348B">
              <w:rPr>
                <w:vertAlign w:val="subscript"/>
              </w:rPr>
              <w:t>2</w:t>
            </w:r>
            <w:r w:rsidRPr="00D9348B">
              <w:t>O</w:t>
            </w:r>
          </w:p>
        </w:tc>
        <w:tc>
          <w:tcPr>
            <w:tcW w:w="964" w:type="dxa"/>
            <w:tcBorders>
              <w:top w:val="single" w:sz="4" w:space="0" w:color="365F91"/>
              <w:bottom w:val="single" w:sz="4" w:space="0" w:color="365F91"/>
            </w:tcBorders>
          </w:tcPr>
          <w:p w14:paraId="4E7507A2" w14:textId="77777777" w:rsidR="00971A1F" w:rsidRPr="00D9348B" w:rsidRDefault="00971A1F" w:rsidP="00DB330E">
            <w:pPr>
              <w:pStyle w:val="TableText"/>
              <w:spacing w:before="50" w:after="50"/>
            </w:pPr>
            <w:r w:rsidRPr="00D9348B">
              <w:t>E. 7, 2017</w:t>
            </w:r>
          </w:p>
        </w:tc>
        <w:tc>
          <w:tcPr>
            <w:tcW w:w="3193" w:type="dxa"/>
            <w:tcBorders>
              <w:top w:val="single" w:sz="4" w:space="0" w:color="365F91"/>
              <w:bottom w:val="single" w:sz="4" w:space="0" w:color="365F91"/>
            </w:tcBorders>
            <w:shd w:val="clear" w:color="auto" w:fill="auto"/>
          </w:tcPr>
          <w:p w14:paraId="7AB2A984" w14:textId="2435342E" w:rsidR="00971A1F" w:rsidRPr="00D9348B" w:rsidRDefault="00971A1F" w:rsidP="00DB330E">
            <w:pPr>
              <w:pStyle w:val="TableText"/>
              <w:spacing w:before="50" w:after="50"/>
            </w:pPr>
            <w:r w:rsidRPr="00D9348B">
              <w:t xml:space="preserve">Estimate and report these emissions or, if these emissions are considered insignificant by the Party, report them as “NE” (not estimated) and provide a quantitative estimate of the likely level of the emissions in accordance with paragraph 37(b) of the United Nations Framework Convention on </w:t>
            </w:r>
            <w:r w:rsidRPr="00D9348B">
              <w:lastRenderedPageBreak/>
              <w:t>Climate Change (UNFCCC) Annex I inventory reporting guidelines in order for the ERT to assess whether the sum of all gases and categories considered insignificant remains below 0.1 per cent of the national total GHG</w:t>
            </w:r>
            <w:r w:rsidR="008D68F9">
              <w:t> </w:t>
            </w:r>
            <w:r w:rsidRPr="00D9348B">
              <w:t>emissions.</w:t>
            </w:r>
          </w:p>
        </w:tc>
        <w:tc>
          <w:tcPr>
            <w:tcW w:w="2722" w:type="dxa"/>
            <w:tcBorders>
              <w:top w:val="single" w:sz="4" w:space="0" w:color="365F91"/>
              <w:bottom w:val="single" w:sz="4" w:space="0" w:color="365F91"/>
            </w:tcBorders>
            <w:shd w:val="clear" w:color="auto" w:fill="auto"/>
          </w:tcPr>
          <w:p w14:paraId="331E1AB9" w14:textId="77777777" w:rsidR="00971A1F" w:rsidRPr="00D9348B" w:rsidRDefault="00971A1F" w:rsidP="00DB330E">
            <w:pPr>
              <w:pStyle w:val="TableText"/>
              <w:spacing w:before="50" w:after="50"/>
              <w:rPr>
                <w:b/>
              </w:rPr>
            </w:pPr>
            <w:r w:rsidRPr="00D9348B">
              <w:rPr>
                <w:b/>
              </w:rPr>
              <w:lastRenderedPageBreak/>
              <w:t xml:space="preserve">Resolved. </w:t>
            </w:r>
            <w:r w:rsidRPr="00D9348B">
              <w:t>The NIR has been updated to clarify that this activity is ‘not occurring’ for the entire time series.</w:t>
            </w:r>
          </w:p>
        </w:tc>
      </w:tr>
      <w:tr w:rsidR="00971A1F" w:rsidRPr="00D9348B" w14:paraId="06B38E11" w14:textId="77777777" w:rsidTr="008D68F9">
        <w:tc>
          <w:tcPr>
            <w:tcW w:w="1814" w:type="dxa"/>
            <w:gridSpan w:val="2"/>
            <w:tcBorders>
              <w:top w:val="single" w:sz="4" w:space="0" w:color="365F91"/>
              <w:bottom w:val="single" w:sz="4" w:space="0" w:color="365F91"/>
            </w:tcBorders>
            <w:shd w:val="clear" w:color="auto" w:fill="auto"/>
            <w:tcMar>
              <w:left w:w="57" w:type="dxa"/>
            </w:tcMar>
          </w:tcPr>
          <w:p w14:paraId="410DA80C" w14:textId="2EB8E99B" w:rsidR="00971A1F" w:rsidRPr="00D9348B" w:rsidRDefault="00971A1F" w:rsidP="00DB330E">
            <w:pPr>
              <w:pStyle w:val="TableText"/>
              <w:spacing w:before="50" w:after="50"/>
            </w:pPr>
            <w:r w:rsidRPr="00D9348B">
              <w:t xml:space="preserve">Energy – Domestic aviation: liquid fuels </w:t>
            </w:r>
            <w:r w:rsidR="00301D21">
              <w:br/>
            </w:r>
            <w:r w:rsidRPr="00D9348B">
              <w:t>– CO</w:t>
            </w:r>
            <w:r w:rsidRPr="00D9348B">
              <w:rPr>
                <w:vertAlign w:val="subscript"/>
              </w:rPr>
              <w:t>2</w:t>
            </w:r>
          </w:p>
        </w:tc>
        <w:tc>
          <w:tcPr>
            <w:tcW w:w="964" w:type="dxa"/>
            <w:tcBorders>
              <w:top w:val="single" w:sz="4" w:space="0" w:color="365F91"/>
              <w:bottom w:val="single" w:sz="4" w:space="0" w:color="365F91"/>
            </w:tcBorders>
          </w:tcPr>
          <w:p w14:paraId="43F4B564" w14:textId="77777777" w:rsidR="00971A1F" w:rsidRPr="00D9348B" w:rsidRDefault="00971A1F" w:rsidP="00DB330E">
            <w:pPr>
              <w:pStyle w:val="TableText"/>
              <w:spacing w:before="50" w:after="50"/>
            </w:pPr>
            <w:r w:rsidRPr="00D9348B">
              <w:t>E.9, 2017</w:t>
            </w:r>
          </w:p>
        </w:tc>
        <w:tc>
          <w:tcPr>
            <w:tcW w:w="3193" w:type="dxa"/>
            <w:tcBorders>
              <w:top w:val="single" w:sz="4" w:space="0" w:color="365F91"/>
              <w:bottom w:val="single" w:sz="4" w:space="0" w:color="365F91"/>
            </w:tcBorders>
            <w:shd w:val="clear" w:color="auto" w:fill="auto"/>
          </w:tcPr>
          <w:p w14:paraId="1DDF9FC9" w14:textId="77777777" w:rsidR="00971A1F" w:rsidRPr="00D9348B" w:rsidRDefault="00971A1F" w:rsidP="00DB330E">
            <w:pPr>
              <w:pStyle w:val="TableText"/>
              <w:spacing w:before="50" w:after="50"/>
            </w:pPr>
            <w:r w:rsidRPr="00D9348B">
              <w:t>Estimate CO</w:t>
            </w:r>
            <w:r w:rsidRPr="00D9348B">
              <w:rPr>
                <w:vertAlign w:val="subscript"/>
              </w:rPr>
              <w:t>2</w:t>
            </w:r>
            <w:r w:rsidRPr="00D9348B">
              <w:t xml:space="preserve"> emissions from domestic aviation using a tier 2 or 3 methodology, in accordance with the 2006 IPCC Guidelines.</w:t>
            </w:r>
          </w:p>
        </w:tc>
        <w:tc>
          <w:tcPr>
            <w:tcW w:w="2722" w:type="dxa"/>
            <w:tcBorders>
              <w:top w:val="single" w:sz="4" w:space="0" w:color="365F91"/>
              <w:bottom w:val="single" w:sz="4" w:space="0" w:color="365F91"/>
            </w:tcBorders>
            <w:shd w:val="clear" w:color="auto" w:fill="auto"/>
          </w:tcPr>
          <w:p w14:paraId="2701AF6C" w14:textId="77777777" w:rsidR="00971A1F" w:rsidRPr="00D9348B" w:rsidRDefault="00971A1F" w:rsidP="00DB330E">
            <w:pPr>
              <w:pStyle w:val="TableText"/>
              <w:spacing w:before="50" w:after="50"/>
              <w:rPr>
                <w:szCs w:val="16"/>
              </w:rPr>
            </w:pPr>
            <w:r w:rsidRPr="00D9348B">
              <w:rPr>
                <w:b/>
                <w:bCs/>
              </w:rPr>
              <w:t xml:space="preserve">Resolved. </w:t>
            </w:r>
            <w:r w:rsidRPr="00D9348B">
              <w:rPr>
                <w:bCs/>
              </w:rPr>
              <w:t>For estimating emissions from domestic aviation, a country-specific carbon dioxide (CO</w:t>
            </w:r>
            <w:r w:rsidRPr="00D9348B">
              <w:rPr>
                <w:bCs/>
                <w:vertAlign w:val="subscript"/>
              </w:rPr>
              <w:t>2</w:t>
            </w:r>
            <w:r w:rsidRPr="00D9348B">
              <w:rPr>
                <w:bCs/>
              </w:rPr>
              <w:t>) emissions factor is used for jet kerosene and an IPCC default for gasoline. Carbon dioxide emissions are estimated based on fuel consumption and origin and destination. Estimating CO</w:t>
            </w:r>
            <w:r w:rsidRPr="00D9348B">
              <w:rPr>
                <w:bCs/>
                <w:vertAlign w:val="subscript"/>
              </w:rPr>
              <w:t>2</w:t>
            </w:r>
            <w:r w:rsidRPr="00D9348B">
              <w:rPr>
                <w:bCs/>
              </w:rPr>
              <w:t xml:space="preserve"> emissions based on landing and take-off cycles would not improve</w:t>
            </w:r>
            <w:r w:rsidRPr="00D9348B">
              <w:rPr>
                <w:b/>
                <w:bCs/>
              </w:rPr>
              <w:t xml:space="preserve"> </w:t>
            </w:r>
            <w:r w:rsidRPr="00D9348B">
              <w:rPr>
                <w:bCs/>
              </w:rPr>
              <w:t>accuracy.</w:t>
            </w:r>
          </w:p>
        </w:tc>
      </w:tr>
      <w:tr w:rsidR="00971A1F" w:rsidRPr="00D9348B" w14:paraId="7D7B66F5" w14:textId="77777777" w:rsidTr="008D68F9">
        <w:tc>
          <w:tcPr>
            <w:tcW w:w="1814" w:type="dxa"/>
            <w:gridSpan w:val="2"/>
            <w:tcBorders>
              <w:top w:val="single" w:sz="4" w:space="0" w:color="365F91"/>
              <w:bottom w:val="single" w:sz="4" w:space="0" w:color="365F91"/>
            </w:tcBorders>
            <w:shd w:val="clear" w:color="auto" w:fill="auto"/>
            <w:tcMar>
              <w:left w:w="57" w:type="dxa"/>
            </w:tcMar>
          </w:tcPr>
          <w:p w14:paraId="315DCEC2" w14:textId="77777777" w:rsidR="00971A1F" w:rsidRPr="00D9348B" w:rsidRDefault="00971A1F" w:rsidP="00DB330E">
            <w:pPr>
              <w:pStyle w:val="TableText"/>
              <w:spacing w:before="50" w:after="50"/>
            </w:pPr>
            <w:r w:rsidRPr="00D9348B">
              <w:t>Energy – Road transportation: liquid and gaseous fuels – CO</w:t>
            </w:r>
            <w:r w:rsidRPr="00D9348B">
              <w:rPr>
                <w:vertAlign w:val="subscript"/>
              </w:rPr>
              <w:t>2</w:t>
            </w:r>
          </w:p>
        </w:tc>
        <w:tc>
          <w:tcPr>
            <w:tcW w:w="964" w:type="dxa"/>
            <w:tcBorders>
              <w:top w:val="single" w:sz="4" w:space="0" w:color="365F91"/>
              <w:bottom w:val="single" w:sz="4" w:space="0" w:color="365F91"/>
            </w:tcBorders>
          </w:tcPr>
          <w:p w14:paraId="76D1C53C" w14:textId="77777777" w:rsidR="00971A1F" w:rsidRPr="00D9348B" w:rsidRDefault="00971A1F" w:rsidP="00DB330E">
            <w:pPr>
              <w:pStyle w:val="TableText"/>
              <w:spacing w:before="50" w:after="50"/>
            </w:pPr>
            <w:r w:rsidRPr="00D9348B">
              <w:t>E.10, 2017</w:t>
            </w:r>
          </w:p>
        </w:tc>
        <w:tc>
          <w:tcPr>
            <w:tcW w:w="3193" w:type="dxa"/>
            <w:tcBorders>
              <w:top w:val="single" w:sz="4" w:space="0" w:color="365F91"/>
              <w:bottom w:val="single" w:sz="4" w:space="0" w:color="365F91"/>
            </w:tcBorders>
            <w:shd w:val="clear" w:color="auto" w:fill="auto"/>
          </w:tcPr>
          <w:p w14:paraId="68888A0D" w14:textId="77777777" w:rsidR="00971A1F" w:rsidRPr="00D9348B" w:rsidRDefault="00971A1F" w:rsidP="00DB330E">
            <w:pPr>
              <w:pStyle w:val="TableText"/>
              <w:spacing w:before="50" w:after="50"/>
            </w:pPr>
            <w:r w:rsidRPr="00D9348B">
              <w:t>Continue to estimate the CO</w:t>
            </w:r>
            <w:r w:rsidRPr="00D9348B">
              <w:rPr>
                <w:vertAlign w:val="subscript"/>
              </w:rPr>
              <w:t>2</w:t>
            </w:r>
            <w:r w:rsidRPr="00D9348B">
              <w:t xml:space="preserve"> emissions based on fuel sold but report the CO</w:t>
            </w:r>
            <w:r w:rsidRPr="00D9348B">
              <w:rPr>
                <w:vertAlign w:val="subscript"/>
              </w:rPr>
              <w:t>2</w:t>
            </w:r>
            <w:r w:rsidRPr="00D9348B">
              <w:t xml:space="preserve"> emissions disaggregated by vehicle mode using the data collected for the estimation of CH</w:t>
            </w:r>
            <w:r w:rsidRPr="00D9348B">
              <w:rPr>
                <w:vertAlign w:val="subscript"/>
              </w:rPr>
              <w:t>4</w:t>
            </w:r>
            <w:r w:rsidRPr="00D9348B">
              <w:t xml:space="preserve"> and N</w:t>
            </w:r>
            <w:r w:rsidRPr="00D9348B">
              <w:rPr>
                <w:vertAlign w:val="subscript"/>
              </w:rPr>
              <w:t>2</w:t>
            </w:r>
            <w:r w:rsidRPr="00D9348B">
              <w:t>O emissions assuming that any discrepancies can be resolved between the top-down and bottom-up approaches; if this is not possible, continue to report CO</w:t>
            </w:r>
            <w:r w:rsidRPr="00D9348B">
              <w:rPr>
                <w:vertAlign w:val="subscript"/>
              </w:rPr>
              <w:t>2</w:t>
            </w:r>
            <w:r w:rsidRPr="00D9348B">
              <w:t xml:space="preserve"> emissions aggregated, but investigate and describe in the NIR the possible reasons for the discrepancy in the results of the comparison.</w:t>
            </w:r>
          </w:p>
        </w:tc>
        <w:tc>
          <w:tcPr>
            <w:tcW w:w="2722" w:type="dxa"/>
            <w:tcBorders>
              <w:top w:val="single" w:sz="4" w:space="0" w:color="365F91"/>
              <w:bottom w:val="single" w:sz="4" w:space="0" w:color="365F91"/>
            </w:tcBorders>
            <w:shd w:val="clear" w:color="auto" w:fill="auto"/>
          </w:tcPr>
          <w:p w14:paraId="59250D48" w14:textId="77777777" w:rsidR="00971A1F" w:rsidRPr="00D9348B" w:rsidRDefault="00971A1F" w:rsidP="00DB330E">
            <w:pPr>
              <w:pStyle w:val="TableText"/>
              <w:spacing w:before="50" w:after="50"/>
              <w:rPr>
                <w:b/>
              </w:rPr>
            </w:pPr>
            <w:r w:rsidRPr="00D9348B">
              <w:rPr>
                <w:b/>
              </w:rPr>
              <w:t xml:space="preserve">Resolved. </w:t>
            </w:r>
            <w:r w:rsidRPr="00D9348B">
              <w:t>Data is now disaggregated where possible, or estimated based on IPCC guidelines where disaggregated data are unavailable.</w:t>
            </w:r>
          </w:p>
        </w:tc>
      </w:tr>
      <w:tr w:rsidR="00971A1F" w:rsidRPr="00D9348B" w14:paraId="390DDC23" w14:textId="77777777" w:rsidTr="008D68F9">
        <w:tc>
          <w:tcPr>
            <w:tcW w:w="1814" w:type="dxa"/>
            <w:gridSpan w:val="2"/>
            <w:tcBorders>
              <w:top w:val="single" w:sz="4" w:space="0" w:color="365F91"/>
              <w:bottom w:val="single" w:sz="4" w:space="0" w:color="365F91"/>
            </w:tcBorders>
            <w:shd w:val="clear" w:color="auto" w:fill="auto"/>
            <w:tcMar>
              <w:left w:w="57" w:type="dxa"/>
            </w:tcMar>
          </w:tcPr>
          <w:p w14:paraId="0229C31D" w14:textId="77777777" w:rsidR="00971A1F" w:rsidRPr="00D9348B" w:rsidRDefault="00971A1F" w:rsidP="00DB330E">
            <w:pPr>
              <w:pStyle w:val="TableText"/>
              <w:spacing w:before="50" w:after="50"/>
            </w:pPr>
            <w:r w:rsidRPr="00D9348B">
              <w:t>Energy – Coal mining and handling – CH</w:t>
            </w:r>
            <w:r w:rsidRPr="00D9348B">
              <w:rPr>
                <w:vertAlign w:val="subscript"/>
              </w:rPr>
              <w:t>4</w:t>
            </w:r>
          </w:p>
        </w:tc>
        <w:tc>
          <w:tcPr>
            <w:tcW w:w="964" w:type="dxa"/>
            <w:tcBorders>
              <w:top w:val="single" w:sz="4" w:space="0" w:color="365F91"/>
              <w:bottom w:val="single" w:sz="4" w:space="0" w:color="365F91"/>
            </w:tcBorders>
          </w:tcPr>
          <w:p w14:paraId="172ED7A0" w14:textId="77777777" w:rsidR="00971A1F" w:rsidRPr="00D9348B" w:rsidRDefault="00971A1F" w:rsidP="00DB330E">
            <w:pPr>
              <w:pStyle w:val="TableText"/>
              <w:spacing w:before="50" w:after="50"/>
            </w:pPr>
            <w:r w:rsidRPr="00D9348B">
              <w:t>E.14, 2017</w:t>
            </w:r>
          </w:p>
        </w:tc>
        <w:tc>
          <w:tcPr>
            <w:tcW w:w="3193" w:type="dxa"/>
            <w:tcBorders>
              <w:top w:val="single" w:sz="4" w:space="0" w:color="365F91"/>
              <w:bottom w:val="single" w:sz="4" w:space="0" w:color="365F91"/>
            </w:tcBorders>
            <w:shd w:val="clear" w:color="auto" w:fill="auto"/>
          </w:tcPr>
          <w:p w14:paraId="7B12CF6B" w14:textId="77777777" w:rsidR="00971A1F" w:rsidRPr="00D9348B" w:rsidRDefault="00971A1F" w:rsidP="00DB330E">
            <w:pPr>
              <w:pStyle w:val="TableText"/>
              <w:spacing w:before="50" w:after="50"/>
            </w:pPr>
            <w:r w:rsidRPr="00D9348B">
              <w:t>Estimate these CH</w:t>
            </w:r>
            <w:r w:rsidRPr="00D9348B">
              <w:rPr>
                <w:vertAlign w:val="subscript"/>
              </w:rPr>
              <w:t>4</w:t>
            </w:r>
            <w:r w:rsidRPr="00D9348B">
              <w:t xml:space="preserve"> emissions or, if these emissions are considered insignificant by the Party, report them as “NE” (not estimated) and provide a quantitative estimate of the likely level of the emissions in accordance with paragraph 37(b) of the UNFCCC Annex I inventory reporting guidelines in order for the ERT to assess whether the sum of all gases and categories considered insignificant remain below 0.1 per cent of the national total GHG emissions.</w:t>
            </w:r>
          </w:p>
        </w:tc>
        <w:tc>
          <w:tcPr>
            <w:tcW w:w="2722" w:type="dxa"/>
            <w:tcBorders>
              <w:top w:val="single" w:sz="4" w:space="0" w:color="365F91"/>
              <w:bottom w:val="single" w:sz="4" w:space="0" w:color="365F91"/>
            </w:tcBorders>
            <w:shd w:val="clear" w:color="auto" w:fill="auto"/>
          </w:tcPr>
          <w:p w14:paraId="1BAC38DB" w14:textId="77777777" w:rsidR="00971A1F" w:rsidRPr="00D9348B" w:rsidRDefault="00971A1F" w:rsidP="00DB330E">
            <w:pPr>
              <w:pStyle w:val="TableText"/>
              <w:spacing w:before="50" w:after="50"/>
            </w:pPr>
            <w:r w:rsidRPr="00D9348B">
              <w:rPr>
                <w:b/>
                <w:bCs/>
              </w:rPr>
              <w:t>Addressing.</w:t>
            </w:r>
            <w:r w:rsidRPr="00D9348B">
              <w:t xml:space="preserve"> An update has been provided in the NIR.</w:t>
            </w:r>
          </w:p>
        </w:tc>
      </w:tr>
      <w:tr w:rsidR="00971A1F" w:rsidRPr="00D9348B" w14:paraId="7DD70F75" w14:textId="77777777" w:rsidTr="008D68F9">
        <w:tc>
          <w:tcPr>
            <w:tcW w:w="1814" w:type="dxa"/>
            <w:gridSpan w:val="2"/>
            <w:tcBorders>
              <w:top w:val="single" w:sz="4" w:space="0" w:color="365F91"/>
              <w:bottom w:val="single" w:sz="4" w:space="0" w:color="365F91"/>
            </w:tcBorders>
            <w:shd w:val="clear" w:color="auto" w:fill="auto"/>
            <w:tcMar>
              <w:left w:w="57" w:type="dxa"/>
            </w:tcMar>
          </w:tcPr>
          <w:p w14:paraId="63C2F57E" w14:textId="77777777" w:rsidR="00971A1F" w:rsidRPr="00D9348B" w:rsidRDefault="00971A1F" w:rsidP="00DB330E">
            <w:pPr>
              <w:pStyle w:val="TableText"/>
              <w:spacing w:before="50" w:after="50"/>
            </w:pPr>
            <w:r w:rsidRPr="00D9348B">
              <w:t>Energy – Natural gas processing – CO</w:t>
            </w:r>
            <w:r w:rsidRPr="00D9348B">
              <w:rPr>
                <w:vertAlign w:val="subscript"/>
              </w:rPr>
              <w:t>2</w:t>
            </w:r>
            <w:r w:rsidRPr="00D9348B">
              <w:t xml:space="preserve"> and CH</w:t>
            </w:r>
            <w:r w:rsidRPr="00D9348B">
              <w:rPr>
                <w:vertAlign w:val="subscript"/>
              </w:rPr>
              <w:t>4</w:t>
            </w:r>
          </w:p>
        </w:tc>
        <w:tc>
          <w:tcPr>
            <w:tcW w:w="964" w:type="dxa"/>
            <w:tcBorders>
              <w:top w:val="single" w:sz="4" w:space="0" w:color="365F91"/>
              <w:bottom w:val="single" w:sz="4" w:space="0" w:color="365F91"/>
            </w:tcBorders>
          </w:tcPr>
          <w:p w14:paraId="4950C741" w14:textId="77777777" w:rsidR="00971A1F" w:rsidRPr="00D9348B" w:rsidRDefault="00971A1F" w:rsidP="00DB330E">
            <w:pPr>
              <w:pStyle w:val="TableText"/>
              <w:spacing w:before="50" w:after="50"/>
            </w:pPr>
            <w:r w:rsidRPr="00D9348B">
              <w:t>E.17, 2017</w:t>
            </w:r>
          </w:p>
        </w:tc>
        <w:tc>
          <w:tcPr>
            <w:tcW w:w="3193" w:type="dxa"/>
            <w:tcBorders>
              <w:top w:val="single" w:sz="4" w:space="0" w:color="365F91"/>
              <w:bottom w:val="single" w:sz="4" w:space="0" w:color="365F91"/>
            </w:tcBorders>
            <w:shd w:val="clear" w:color="auto" w:fill="auto"/>
          </w:tcPr>
          <w:p w14:paraId="3AF8D258" w14:textId="77777777" w:rsidR="00971A1F" w:rsidRPr="00D9348B" w:rsidRDefault="00971A1F" w:rsidP="00DB330E">
            <w:pPr>
              <w:pStyle w:val="TableText"/>
              <w:spacing w:before="50" w:after="50"/>
            </w:pPr>
            <w:r w:rsidRPr="00D9348B">
              <w:t>Encourages New Zealand to report fugitive (leakage) CH</w:t>
            </w:r>
            <w:r w:rsidRPr="00D9348B">
              <w:rPr>
                <w:vertAlign w:val="subscript"/>
              </w:rPr>
              <w:t>4</w:t>
            </w:r>
            <w:r w:rsidRPr="00D9348B">
              <w:t xml:space="preserve"> emissions from natural gas processing under the category natural gas processing to enhance comparability with other Parties. If this is not possible, the ERT recommends that the Party report these emissions as “IE” (included elsewhere) and clearly explain the allocation of the fugitive CH</w:t>
            </w:r>
            <w:r w:rsidRPr="00D9348B">
              <w:rPr>
                <w:vertAlign w:val="subscript"/>
              </w:rPr>
              <w:t>4</w:t>
            </w:r>
            <w:r w:rsidRPr="00D9348B">
              <w:t xml:space="preserve"> emissions of Kapuni gas treatment plant in the NIR.</w:t>
            </w:r>
          </w:p>
        </w:tc>
        <w:tc>
          <w:tcPr>
            <w:tcW w:w="2722" w:type="dxa"/>
            <w:tcBorders>
              <w:top w:val="single" w:sz="4" w:space="0" w:color="365F91"/>
              <w:bottom w:val="single" w:sz="4" w:space="0" w:color="365F91"/>
            </w:tcBorders>
            <w:shd w:val="clear" w:color="auto" w:fill="auto"/>
          </w:tcPr>
          <w:p w14:paraId="76AA499D" w14:textId="77777777" w:rsidR="00971A1F" w:rsidRPr="00D9348B" w:rsidRDefault="00971A1F" w:rsidP="00DB330E">
            <w:pPr>
              <w:pStyle w:val="TableText"/>
              <w:spacing w:before="50" w:after="50"/>
            </w:pPr>
            <w:r w:rsidRPr="00D9348B">
              <w:rPr>
                <w:b/>
              </w:rPr>
              <w:t>Resolved.</w:t>
            </w:r>
            <w:r w:rsidRPr="00D9348B">
              <w:t xml:space="preserve"> The CRF tables have been revised.</w:t>
            </w:r>
          </w:p>
        </w:tc>
      </w:tr>
      <w:tr w:rsidR="00971A1F" w:rsidRPr="00D9348B" w14:paraId="52A05165" w14:textId="77777777" w:rsidTr="008D68F9">
        <w:trPr>
          <w:gridBefore w:val="1"/>
          <w:wBefore w:w="25" w:type="dxa"/>
        </w:trPr>
        <w:tc>
          <w:tcPr>
            <w:tcW w:w="1814" w:type="dxa"/>
            <w:tcBorders>
              <w:top w:val="single" w:sz="4" w:space="0" w:color="365F91"/>
              <w:bottom w:val="single" w:sz="4" w:space="0" w:color="365F91"/>
            </w:tcBorders>
            <w:shd w:val="clear" w:color="auto" w:fill="auto"/>
            <w:tcMar>
              <w:left w:w="57" w:type="dxa"/>
            </w:tcMar>
          </w:tcPr>
          <w:p w14:paraId="3E78EC6C" w14:textId="77777777" w:rsidR="00971A1F" w:rsidRPr="00D9348B" w:rsidRDefault="00971A1F" w:rsidP="00DB330E">
            <w:pPr>
              <w:pStyle w:val="TableText"/>
              <w:spacing w:before="50" w:after="50"/>
            </w:pPr>
            <w:r w:rsidRPr="00D9348B">
              <w:t>Energy – 1.A.3.b Road transportation – liquid fuels – CH</w:t>
            </w:r>
            <w:r w:rsidRPr="00D9348B">
              <w:rPr>
                <w:vertAlign w:val="subscript"/>
              </w:rPr>
              <w:t>4</w:t>
            </w:r>
            <w:r w:rsidRPr="00D9348B">
              <w:t xml:space="preserve"> and N</w:t>
            </w:r>
            <w:r w:rsidRPr="00D9348B">
              <w:rPr>
                <w:vertAlign w:val="subscript"/>
              </w:rPr>
              <w:t>2</w:t>
            </w:r>
            <w:r w:rsidRPr="00D9348B">
              <w:t>O</w:t>
            </w:r>
          </w:p>
        </w:tc>
        <w:tc>
          <w:tcPr>
            <w:tcW w:w="964" w:type="dxa"/>
            <w:tcBorders>
              <w:top w:val="single" w:sz="4" w:space="0" w:color="365F91"/>
              <w:bottom w:val="single" w:sz="4" w:space="0" w:color="365F91"/>
            </w:tcBorders>
          </w:tcPr>
          <w:p w14:paraId="4012BAE2" w14:textId="77777777" w:rsidR="00971A1F" w:rsidRPr="00D9348B" w:rsidRDefault="00971A1F" w:rsidP="00DB330E">
            <w:pPr>
              <w:pStyle w:val="TableText"/>
              <w:spacing w:before="50" w:after="50"/>
            </w:pPr>
            <w:r w:rsidRPr="00D9348B">
              <w:t>E.11, 2017</w:t>
            </w:r>
          </w:p>
        </w:tc>
        <w:tc>
          <w:tcPr>
            <w:tcW w:w="3193" w:type="dxa"/>
            <w:tcBorders>
              <w:top w:val="single" w:sz="4" w:space="0" w:color="365F91"/>
              <w:bottom w:val="single" w:sz="4" w:space="0" w:color="365F91"/>
            </w:tcBorders>
            <w:shd w:val="clear" w:color="auto" w:fill="auto"/>
          </w:tcPr>
          <w:p w14:paraId="29984D2A" w14:textId="77777777" w:rsidR="00971A1F" w:rsidRPr="00D9348B" w:rsidRDefault="00971A1F" w:rsidP="00DB330E">
            <w:pPr>
              <w:pStyle w:val="TableText"/>
              <w:spacing w:before="50" w:after="50"/>
            </w:pPr>
            <w:r w:rsidRPr="00D9348B">
              <w:t>Apply the procedure for validating vehicle-kilometres travelled with fuel statistics data before estimating CH</w:t>
            </w:r>
            <w:r w:rsidRPr="00D9348B">
              <w:rPr>
                <w:vertAlign w:val="subscript"/>
              </w:rPr>
              <w:t>4</w:t>
            </w:r>
            <w:r w:rsidRPr="00D9348B">
              <w:t xml:space="preserve"> and N</w:t>
            </w:r>
            <w:r w:rsidRPr="00D9348B">
              <w:rPr>
                <w:vertAlign w:val="subscript"/>
              </w:rPr>
              <w:t>2</w:t>
            </w:r>
            <w:r w:rsidRPr="00D9348B">
              <w:t>O emissions with the COPERT IV model and describe this procedure in the NIR.</w:t>
            </w:r>
          </w:p>
        </w:tc>
        <w:tc>
          <w:tcPr>
            <w:tcW w:w="2722" w:type="dxa"/>
            <w:tcBorders>
              <w:top w:val="single" w:sz="4" w:space="0" w:color="365F91"/>
              <w:bottom w:val="single" w:sz="4" w:space="0" w:color="365F91"/>
            </w:tcBorders>
            <w:shd w:val="clear" w:color="auto" w:fill="auto"/>
          </w:tcPr>
          <w:p w14:paraId="52D50EA9" w14:textId="77777777" w:rsidR="00971A1F" w:rsidRPr="00D9348B" w:rsidRDefault="00971A1F" w:rsidP="00DB330E">
            <w:pPr>
              <w:pStyle w:val="TableText"/>
              <w:spacing w:before="50" w:after="50"/>
            </w:pPr>
            <w:r w:rsidRPr="00D9348B">
              <w:rPr>
                <w:b/>
                <w:bCs/>
              </w:rPr>
              <w:t xml:space="preserve">Resolved. </w:t>
            </w:r>
            <w:r w:rsidRPr="00D9348B">
              <w:rPr>
                <w:bCs/>
              </w:rPr>
              <w:t>The procedure for validating vehicle-kilometres travelled with fuel statistics has been described in the NIR</w:t>
            </w:r>
          </w:p>
        </w:tc>
      </w:tr>
      <w:tr w:rsidR="00971A1F" w:rsidRPr="00D9348B" w14:paraId="4BEE7CA6" w14:textId="77777777" w:rsidTr="008D68F9">
        <w:trPr>
          <w:gridBefore w:val="1"/>
          <w:wBefore w:w="25" w:type="dxa"/>
        </w:trPr>
        <w:tc>
          <w:tcPr>
            <w:tcW w:w="1814" w:type="dxa"/>
            <w:tcBorders>
              <w:top w:val="single" w:sz="4" w:space="0" w:color="365F91"/>
              <w:bottom w:val="single" w:sz="4" w:space="0" w:color="365F91"/>
            </w:tcBorders>
            <w:shd w:val="clear" w:color="auto" w:fill="auto"/>
            <w:tcMar>
              <w:left w:w="57" w:type="dxa"/>
            </w:tcMar>
          </w:tcPr>
          <w:p w14:paraId="6B5F6E06" w14:textId="06E6B315" w:rsidR="00971A1F" w:rsidRPr="00D9348B" w:rsidRDefault="00971A1F" w:rsidP="00DB330E">
            <w:pPr>
              <w:pStyle w:val="TableText"/>
              <w:spacing w:before="50" w:after="50"/>
            </w:pPr>
            <w:r w:rsidRPr="00D9348B">
              <w:t xml:space="preserve">Energy – 1.A.4.c Agriculture/forestry/ fishing – liquid fuels </w:t>
            </w:r>
            <w:r w:rsidR="00301D21">
              <w:br/>
            </w:r>
            <w:r w:rsidRPr="00D9348B">
              <w:t>– CH</w:t>
            </w:r>
            <w:r w:rsidRPr="00D9348B">
              <w:rPr>
                <w:vertAlign w:val="subscript"/>
              </w:rPr>
              <w:t>4</w:t>
            </w:r>
            <w:r w:rsidRPr="00D9348B">
              <w:t xml:space="preserve"> and N</w:t>
            </w:r>
            <w:r w:rsidRPr="00D9348B">
              <w:rPr>
                <w:vertAlign w:val="subscript"/>
              </w:rPr>
              <w:t>2</w:t>
            </w:r>
            <w:r w:rsidRPr="00D9348B">
              <w:t>O</w:t>
            </w:r>
          </w:p>
        </w:tc>
        <w:tc>
          <w:tcPr>
            <w:tcW w:w="964" w:type="dxa"/>
            <w:tcBorders>
              <w:top w:val="single" w:sz="4" w:space="0" w:color="365F91"/>
              <w:bottom w:val="single" w:sz="4" w:space="0" w:color="365F91"/>
            </w:tcBorders>
          </w:tcPr>
          <w:p w14:paraId="470CD052" w14:textId="77777777" w:rsidR="00971A1F" w:rsidRPr="00D9348B" w:rsidRDefault="00971A1F" w:rsidP="00DB330E">
            <w:pPr>
              <w:pStyle w:val="TableText"/>
              <w:spacing w:before="50" w:after="50"/>
            </w:pPr>
            <w:r w:rsidRPr="00D9348B">
              <w:t>E.13, 2017</w:t>
            </w:r>
          </w:p>
        </w:tc>
        <w:tc>
          <w:tcPr>
            <w:tcW w:w="3193" w:type="dxa"/>
            <w:tcBorders>
              <w:top w:val="single" w:sz="4" w:space="0" w:color="365F91"/>
              <w:bottom w:val="single" w:sz="4" w:space="0" w:color="365F91"/>
            </w:tcBorders>
            <w:shd w:val="clear" w:color="auto" w:fill="auto"/>
          </w:tcPr>
          <w:p w14:paraId="51A0A23E" w14:textId="77777777" w:rsidR="00971A1F" w:rsidRPr="00D9348B" w:rsidDel="00BC55D4" w:rsidRDefault="00971A1F" w:rsidP="00DB330E">
            <w:pPr>
              <w:pStyle w:val="TableText"/>
              <w:spacing w:before="50" w:after="50"/>
            </w:pPr>
            <w:r w:rsidRPr="00D9348B">
              <w:t>Collect separate AD for off-road vehicles and other machinery, fishing and stationary combustion activities in this category, and that it estimate CH</w:t>
            </w:r>
            <w:r w:rsidRPr="00D9348B">
              <w:rPr>
                <w:vertAlign w:val="subscript"/>
              </w:rPr>
              <w:t>4</w:t>
            </w:r>
            <w:r w:rsidRPr="00D9348B">
              <w:t xml:space="preserve"> and N</w:t>
            </w:r>
            <w:r w:rsidRPr="00D9348B">
              <w:rPr>
                <w:vertAlign w:val="subscript"/>
              </w:rPr>
              <w:t>2</w:t>
            </w:r>
            <w:r w:rsidRPr="00D9348B">
              <w:t>O emissions by applying appropriate EFs for mobile combustion and stationary combustion.</w:t>
            </w:r>
          </w:p>
        </w:tc>
        <w:tc>
          <w:tcPr>
            <w:tcW w:w="2722" w:type="dxa"/>
            <w:tcBorders>
              <w:top w:val="single" w:sz="4" w:space="0" w:color="365F91"/>
              <w:bottom w:val="single" w:sz="4" w:space="0" w:color="365F91"/>
            </w:tcBorders>
            <w:shd w:val="clear" w:color="auto" w:fill="auto"/>
          </w:tcPr>
          <w:p w14:paraId="1A7D172B" w14:textId="77777777" w:rsidR="00971A1F" w:rsidRPr="00D9348B" w:rsidRDefault="00971A1F" w:rsidP="00DB330E">
            <w:pPr>
              <w:pStyle w:val="TableText"/>
              <w:spacing w:before="50" w:after="50"/>
            </w:pPr>
            <w:r w:rsidRPr="00D9348B">
              <w:rPr>
                <w:b/>
                <w:bCs/>
              </w:rPr>
              <w:t>Resolved.</w:t>
            </w:r>
            <w:r w:rsidRPr="00D9348B">
              <w:t xml:space="preserve"> The emissions estimates have been disaggregated and reported in the CRF tables.</w:t>
            </w:r>
          </w:p>
        </w:tc>
      </w:tr>
      <w:tr w:rsidR="00971A1F" w:rsidRPr="00D9348B" w14:paraId="36D8E274" w14:textId="77777777" w:rsidTr="008D68F9">
        <w:trPr>
          <w:gridBefore w:val="1"/>
          <w:wBefore w:w="25" w:type="dxa"/>
        </w:trPr>
        <w:tc>
          <w:tcPr>
            <w:tcW w:w="1814" w:type="dxa"/>
            <w:tcBorders>
              <w:top w:val="single" w:sz="4" w:space="0" w:color="365F91"/>
              <w:bottom w:val="single" w:sz="4" w:space="0" w:color="365F91"/>
            </w:tcBorders>
            <w:shd w:val="clear" w:color="auto" w:fill="auto"/>
            <w:tcMar>
              <w:left w:w="57" w:type="dxa"/>
            </w:tcMar>
          </w:tcPr>
          <w:p w14:paraId="1730D6B5" w14:textId="5B70E2F3" w:rsidR="00971A1F" w:rsidRPr="00D9348B" w:rsidRDefault="00971A1F" w:rsidP="00DB330E">
            <w:pPr>
              <w:pStyle w:val="TableText"/>
              <w:spacing w:before="50" w:after="50"/>
            </w:pPr>
            <w:r w:rsidRPr="00D9348B">
              <w:t xml:space="preserve">Energy – 1.B.1.a Coal mining and handling </w:t>
            </w:r>
            <w:r w:rsidR="00301D21">
              <w:br/>
            </w:r>
            <w:r w:rsidRPr="00D9348B">
              <w:t>– CH</w:t>
            </w:r>
            <w:r w:rsidRPr="00D9348B">
              <w:rPr>
                <w:vertAlign w:val="subscript"/>
              </w:rPr>
              <w:t>4</w:t>
            </w:r>
          </w:p>
        </w:tc>
        <w:tc>
          <w:tcPr>
            <w:tcW w:w="964" w:type="dxa"/>
            <w:tcBorders>
              <w:top w:val="single" w:sz="4" w:space="0" w:color="365F91"/>
              <w:bottom w:val="single" w:sz="4" w:space="0" w:color="365F91"/>
            </w:tcBorders>
          </w:tcPr>
          <w:p w14:paraId="47A98E88" w14:textId="77777777" w:rsidR="00971A1F" w:rsidRPr="00D9348B" w:rsidRDefault="00971A1F" w:rsidP="00DB330E">
            <w:pPr>
              <w:pStyle w:val="TableText"/>
              <w:spacing w:before="50" w:after="50"/>
            </w:pPr>
            <w:r w:rsidRPr="00D9348B">
              <w:t>E.16, 2017</w:t>
            </w:r>
          </w:p>
        </w:tc>
        <w:tc>
          <w:tcPr>
            <w:tcW w:w="3193" w:type="dxa"/>
            <w:tcBorders>
              <w:top w:val="single" w:sz="4" w:space="0" w:color="365F91"/>
              <w:bottom w:val="single" w:sz="4" w:space="0" w:color="365F91"/>
            </w:tcBorders>
            <w:shd w:val="clear" w:color="auto" w:fill="auto"/>
          </w:tcPr>
          <w:p w14:paraId="4ECDDAC3" w14:textId="77777777" w:rsidR="00971A1F" w:rsidRPr="00D9348B" w:rsidDel="00BC55D4" w:rsidRDefault="00971A1F" w:rsidP="00DB330E">
            <w:pPr>
              <w:pStyle w:val="TableText"/>
              <w:spacing w:before="50" w:after="50"/>
            </w:pPr>
            <w:r w:rsidRPr="00D9348B">
              <w:t>Improve transparency by describing in the NIR its rationale for the choice of CH</w:t>
            </w:r>
            <w:r w:rsidRPr="00D9348B">
              <w:rPr>
                <w:vertAlign w:val="subscript"/>
              </w:rPr>
              <w:t>4</w:t>
            </w:r>
            <w:r w:rsidRPr="00D9348B">
              <w:t xml:space="preserve"> EFs for underground mining of bituminous and sub-bituminous coal, as well as by providing a </w:t>
            </w:r>
            <w:r w:rsidRPr="00D9348B">
              <w:lastRenderedPageBreak/>
              <w:t>description of the number and types of coal mines active in New Zealand.</w:t>
            </w:r>
          </w:p>
        </w:tc>
        <w:tc>
          <w:tcPr>
            <w:tcW w:w="2722" w:type="dxa"/>
            <w:tcBorders>
              <w:top w:val="single" w:sz="4" w:space="0" w:color="365F91"/>
              <w:bottom w:val="single" w:sz="4" w:space="0" w:color="365F91"/>
            </w:tcBorders>
            <w:shd w:val="clear" w:color="auto" w:fill="auto"/>
          </w:tcPr>
          <w:p w14:paraId="4A4E3F22" w14:textId="77777777" w:rsidR="00971A1F" w:rsidRPr="00D9348B" w:rsidRDefault="00971A1F" w:rsidP="00DB330E">
            <w:pPr>
              <w:pStyle w:val="TableText"/>
              <w:spacing w:before="50" w:after="50"/>
              <w:rPr>
                <w:b/>
              </w:rPr>
            </w:pPr>
            <w:r w:rsidRPr="00D9348B">
              <w:rPr>
                <w:b/>
              </w:rPr>
              <w:lastRenderedPageBreak/>
              <w:t xml:space="preserve">Resolved. </w:t>
            </w:r>
            <w:r w:rsidRPr="00D9348B">
              <w:t>Further explanation has been included in the 2018 submission. (Note this activity is not occurring).</w:t>
            </w:r>
          </w:p>
        </w:tc>
      </w:tr>
      <w:tr w:rsidR="00971A1F" w:rsidRPr="00D9348B" w14:paraId="47AB91CF" w14:textId="77777777" w:rsidTr="008D68F9">
        <w:trPr>
          <w:gridBefore w:val="1"/>
          <w:wBefore w:w="25" w:type="dxa"/>
        </w:trPr>
        <w:tc>
          <w:tcPr>
            <w:tcW w:w="1814" w:type="dxa"/>
            <w:tcBorders>
              <w:top w:val="single" w:sz="4" w:space="0" w:color="365F91"/>
              <w:bottom w:val="single" w:sz="4" w:space="0" w:color="365F91"/>
            </w:tcBorders>
            <w:shd w:val="clear" w:color="auto" w:fill="auto"/>
            <w:tcMar>
              <w:left w:w="57" w:type="dxa"/>
            </w:tcMar>
          </w:tcPr>
          <w:p w14:paraId="39745395" w14:textId="77777777" w:rsidR="00971A1F" w:rsidRPr="00D9348B" w:rsidRDefault="00971A1F" w:rsidP="008D68F9">
            <w:pPr>
              <w:pStyle w:val="TableText"/>
              <w:keepNext/>
              <w:spacing w:before="50" w:after="50"/>
            </w:pPr>
            <w:r w:rsidRPr="00D9348B">
              <w:t>Energy – 1.B.2.b Natural gas – CO</w:t>
            </w:r>
            <w:r w:rsidRPr="00D9348B">
              <w:rPr>
                <w:vertAlign w:val="subscript"/>
              </w:rPr>
              <w:t>2</w:t>
            </w:r>
          </w:p>
        </w:tc>
        <w:tc>
          <w:tcPr>
            <w:tcW w:w="964" w:type="dxa"/>
            <w:tcBorders>
              <w:top w:val="single" w:sz="4" w:space="0" w:color="365F91"/>
              <w:bottom w:val="single" w:sz="4" w:space="0" w:color="365F91"/>
            </w:tcBorders>
          </w:tcPr>
          <w:p w14:paraId="3EB753FF" w14:textId="77777777" w:rsidR="00971A1F" w:rsidRPr="00D9348B" w:rsidRDefault="00971A1F" w:rsidP="00DB330E">
            <w:pPr>
              <w:pStyle w:val="TableText"/>
              <w:spacing w:before="50" w:after="50"/>
            </w:pPr>
            <w:r w:rsidRPr="00D9348B">
              <w:t>E.18, 2017</w:t>
            </w:r>
          </w:p>
        </w:tc>
        <w:tc>
          <w:tcPr>
            <w:tcW w:w="3193" w:type="dxa"/>
            <w:tcBorders>
              <w:top w:val="single" w:sz="4" w:space="0" w:color="365F91"/>
              <w:bottom w:val="single" w:sz="4" w:space="0" w:color="365F91"/>
            </w:tcBorders>
            <w:shd w:val="clear" w:color="auto" w:fill="auto"/>
          </w:tcPr>
          <w:p w14:paraId="1A1E2173" w14:textId="77777777" w:rsidR="00971A1F" w:rsidRPr="00D9348B" w:rsidDel="00BC55D4" w:rsidRDefault="00971A1F" w:rsidP="00DB330E">
            <w:pPr>
              <w:pStyle w:val="TableText"/>
              <w:spacing w:before="50" w:after="50"/>
            </w:pPr>
            <w:r w:rsidRPr="00D9348B">
              <w:t>Improve comparability by reporting CO</w:t>
            </w:r>
            <w:r w:rsidRPr="00D9348B">
              <w:rPr>
                <w:vertAlign w:val="subscript"/>
              </w:rPr>
              <w:t>2</w:t>
            </w:r>
            <w:r w:rsidRPr="00D9348B">
              <w:t xml:space="preserve"> venting from natural gas processing in category 1.B.2.c.2 (gas venting).</w:t>
            </w:r>
          </w:p>
        </w:tc>
        <w:tc>
          <w:tcPr>
            <w:tcW w:w="2722" w:type="dxa"/>
            <w:tcBorders>
              <w:top w:val="single" w:sz="4" w:space="0" w:color="365F91"/>
              <w:bottom w:val="single" w:sz="4" w:space="0" w:color="365F91"/>
            </w:tcBorders>
            <w:shd w:val="clear" w:color="auto" w:fill="auto"/>
          </w:tcPr>
          <w:p w14:paraId="10F5FB04" w14:textId="77777777" w:rsidR="00971A1F" w:rsidRPr="00D9348B" w:rsidRDefault="00971A1F" w:rsidP="00DB330E">
            <w:pPr>
              <w:pStyle w:val="TableText"/>
              <w:spacing w:before="50" w:after="50"/>
              <w:rPr>
                <w:b/>
              </w:rPr>
            </w:pPr>
            <w:r w:rsidRPr="00D9348B">
              <w:rPr>
                <w:b/>
              </w:rPr>
              <w:t>Resolved.</w:t>
            </w:r>
            <w:r w:rsidRPr="00D9348B">
              <w:t xml:space="preserve"> Information has been added to the NIR.</w:t>
            </w:r>
          </w:p>
        </w:tc>
      </w:tr>
      <w:tr w:rsidR="00971A1F" w:rsidRPr="00D9348B" w14:paraId="6488C905" w14:textId="77777777" w:rsidTr="008D68F9">
        <w:trPr>
          <w:gridBefore w:val="1"/>
          <w:wBefore w:w="25" w:type="dxa"/>
        </w:trPr>
        <w:tc>
          <w:tcPr>
            <w:tcW w:w="1814" w:type="dxa"/>
            <w:tcBorders>
              <w:top w:val="single" w:sz="4" w:space="0" w:color="365F91"/>
              <w:bottom w:val="single" w:sz="4" w:space="0" w:color="365F91"/>
            </w:tcBorders>
            <w:shd w:val="clear" w:color="auto" w:fill="auto"/>
            <w:tcMar>
              <w:left w:w="57" w:type="dxa"/>
            </w:tcMar>
          </w:tcPr>
          <w:p w14:paraId="1C05855F" w14:textId="77777777" w:rsidR="00971A1F" w:rsidRPr="00D9348B" w:rsidRDefault="00971A1F" w:rsidP="00DB330E">
            <w:pPr>
              <w:pStyle w:val="TableText"/>
              <w:spacing w:before="50" w:after="50"/>
            </w:pPr>
            <w:r w:rsidRPr="00D9348B">
              <w:t>Energy – 1.B.2.b Natural gas – CO</w:t>
            </w:r>
            <w:r w:rsidRPr="00D9348B">
              <w:rPr>
                <w:vertAlign w:val="subscript"/>
              </w:rPr>
              <w:t>2</w:t>
            </w:r>
          </w:p>
        </w:tc>
        <w:tc>
          <w:tcPr>
            <w:tcW w:w="964" w:type="dxa"/>
            <w:tcBorders>
              <w:top w:val="single" w:sz="4" w:space="0" w:color="365F91"/>
              <w:bottom w:val="single" w:sz="4" w:space="0" w:color="365F91"/>
            </w:tcBorders>
          </w:tcPr>
          <w:p w14:paraId="1ADA58D1" w14:textId="77777777" w:rsidR="00971A1F" w:rsidRPr="00D9348B" w:rsidRDefault="00971A1F" w:rsidP="00DB330E">
            <w:pPr>
              <w:pStyle w:val="TableText"/>
              <w:spacing w:before="50" w:after="50"/>
            </w:pPr>
            <w:r w:rsidRPr="00D9348B">
              <w:t>E.19, 2017</w:t>
            </w:r>
          </w:p>
        </w:tc>
        <w:tc>
          <w:tcPr>
            <w:tcW w:w="3193" w:type="dxa"/>
            <w:tcBorders>
              <w:top w:val="single" w:sz="4" w:space="0" w:color="365F91"/>
              <w:bottom w:val="single" w:sz="4" w:space="0" w:color="365F91"/>
            </w:tcBorders>
            <w:shd w:val="clear" w:color="auto" w:fill="auto"/>
          </w:tcPr>
          <w:p w14:paraId="458E1275" w14:textId="77777777" w:rsidR="00971A1F" w:rsidRPr="00D9348B" w:rsidDel="00BC55D4" w:rsidRDefault="00971A1F" w:rsidP="00DB330E">
            <w:pPr>
              <w:pStyle w:val="TableText"/>
              <w:spacing w:before="50" w:after="50"/>
            </w:pPr>
            <w:r w:rsidRPr="00D9348B">
              <w:t>The ERT, noting its recommendation in ID#E.17 (2017), recommends that, if it chooses not to report CH</w:t>
            </w:r>
            <w:r w:rsidRPr="00D9348B">
              <w:rPr>
                <w:vertAlign w:val="subscript"/>
              </w:rPr>
              <w:t>4</w:t>
            </w:r>
            <w:r w:rsidRPr="00D9348B">
              <w:t xml:space="preserve"> emissions from the Kapuni gas treatment plant, New Zealand change the notation key used for fugitive CH</w:t>
            </w:r>
            <w:r w:rsidRPr="00D9348B">
              <w:rPr>
                <w:vertAlign w:val="subscript"/>
              </w:rPr>
              <w:t>4</w:t>
            </w:r>
            <w:r w:rsidRPr="00D9348B">
              <w:t xml:space="preserve"> emissions from natural gas processing (category 1.B.2.b.3) from “NO” to “NE” and describe these emissions in the NIR, as well as provide a justification for their insignificance in accordance with decision 24/CP.19, annex, paragraph 37(b).</w:t>
            </w:r>
          </w:p>
        </w:tc>
        <w:tc>
          <w:tcPr>
            <w:tcW w:w="2722" w:type="dxa"/>
            <w:tcBorders>
              <w:top w:val="single" w:sz="4" w:space="0" w:color="365F91"/>
              <w:bottom w:val="single" w:sz="4" w:space="0" w:color="365F91"/>
            </w:tcBorders>
            <w:shd w:val="clear" w:color="auto" w:fill="auto"/>
          </w:tcPr>
          <w:p w14:paraId="7666E5BF" w14:textId="77777777" w:rsidR="00971A1F" w:rsidRPr="00D9348B" w:rsidRDefault="00971A1F" w:rsidP="00DB330E">
            <w:pPr>
              <w:pStyle w:val="TableText"/>
              <w:spacing w:before="50" w:after="50"/>
              <w:rPr>
                <w:b/>
              </w:rPr>
            </w:pPr>
            <w:r w:rsidRPr="00D9348B">
              <w:rPr>
                <w:b/>
                <w:bCs/>
              </w:rPr>
              <w:t xml:space="preserve">Resolved. </w:t>
            </w:r>
            <w:r w:rsidRPr="00D9348B">
              <w:rPr>
                <w:bCs/>
              </w:rPr>
              <w:t>The CRF tables and the NIR have been updated.</w:t>
            </w:r>
          </w:p>
        </w:tc>
      </w:tr>
      <w:tr w:rsidR="00971A1F" w:rsidRPr="00D9348B" w14:paraId="604C11C4" w14:textId="77777777" w:rsidTr="008D68F9">
        <w:trPr>
          <w:gridBefore w:val="1"/>
          <w:wBefore w:w="25" w:type="dxa"/>
        </w:trPr>
        <w:tc>
          <w:tcPr>
            <w:tcW w:w="1814" w:type="dxa"/>
            <w:tcBorders>
              <w:top w:val="single" w:sz="4" w:space="0" w:color="365F91"/>
              <w:bottom w:val="single" w:sz="4" w:space="0" w:color="365F91"/>
            </w:tcBorders>
            <w:shd w:val="clear" w:color="auto" w:fill="auto"/>
            <w:tcMar>
              <w:left w:w="57" w:type="dxa"/>
            </w:tcMar>
          </w:tcPr>
          <w:p w14:paraId="6E94AFBD" w14:textId="77777777" w:rsidR="00971A1F" w:rsidRPr="00D9348B" w:rsidRDefault="00971A1F" w:rsidP="00DB330E">
            <w:pPr>
              <w:pStyle w:val="TableText"/>
              <w:spacing w:before="50" w:after="50"/>
            </w:pPr>
            <w:r w:rsidRPr="00D9348B">
              <w:t>IPPU – General</w:t>
            </w:r>
          </w:p>
        </w:tc>
        <w:tc>
          <w:tcPr>
            <w:tcW w:w="964" w:type="dxa"/>
            <w:tcBorders>
              <w:top w:val="single" w:sz="4" w:space="0" w:color="365F91"/>
              <w:bottom w:val="single" w:sz="4" w:space="0" w:color="365F91"/>
            </w:tcBorders>
          </w:tcPr>
          <w:p w14:paraId="5926C737" w14:textId="77777777" w:rsidR="00971A1F" w:rsidRPr="00D9348B" w:rsidRDefault="00971A1F" w:rsidP="00DB330E">
            <w:pPr>
              <w:pStyle w:val="TableText"/>
              <w:spacing w:before="50" w:after="50"/>
            </w:pPr>
            <w:r w:rsidRPr="00D9348B">
              <w:t>I.1, 2017</w:t>
            </w:r>
          </w:p>
        </w:tc>
        <w:tc>
          <w:tcPr>
            <w:tcW w:w="3193" w:type="dxa"/>
            <w:tcBorders>
              <w:top w:val="single" w:sz="4" w:space="0" w:color="365F91"/>
              <w:bottom w:val="single" w:sz="4" w:space="0" w:color="365F91"/>
            </w:tcBorders>
            <w:shd w:val="clear" w:color="auto" w:fill="auto"/>
          </w:tcPr>
          <w:p w14:paraId="3FB57600" w14:textId="77777777" w:rsidR="00971A1F" w:rsidRPr="00D9348B" w:rsidRDefault="00971A1F" w:rsidP="00DB330E">
            <w:pPr>
              <w:pStyle w:val="TableText"/>
              <w:spacing w:before="50" w:after="50"/>
            </w:pPr>
            <w:r w:rsidRPr="00D9348B">
              <w:t>Include in the NIR detailed information and methodological descriptions on how plant-specific data are estimated.</w:t>
            </w:r>
          </w:p>
        </w:tc>
        <w:tc>
          <w:tcPr>
            <w:tcW w:w="2722" w:type="dxa"/>
            <w:tcBorders>
              <w:top w:val="single" w:sz="4" w:space="0" w:color="365F91"/>
              <w:bottom w:val="single" w:sz="4" w:space="0" w:color="365F91"/>
            </w:tcBorders>
            <w:shd w:val="clear" w:color="auto" w:fill="auto"/>
          </w:tcPr>
          <w:p w14:paraId="2F7CC2DB" w14:textId="77777777" w:rsidR="00971A1F" w:rsidRPr="00D9348B" w:rsidRDefault="00971A1F" w:rsidP="00DB330E">
            <w:pPr>
              <w:pStyle w:val="TableText"/>
              <w:spacing w:before="50" w:after="50"/>
            </w:pPr>
            <w:r w:rsidRPr="00D9348B">
              <w:rPr>
                <w:b/>
              </w:rPr>
              <w:t>Resolved.</w:t>
            </w:r>
            <w:r w:rsidRPr="00D9348B">
              <w:t xml:space="preserve"> Plant-specific descriptions and references to NZ ETS regulations have been included in the 2018 NIR.</w:t>
            </w:r>
          </w:p>
        </w:tc>
      </w:tr>
      <w:tr w:rsidR="00971A1F" w:rsidRPr="00D9348B" w14:paraId="27FD0306" w14:textId="77777777" w:rsidTr="008D68F9">
        <w:tc>
          <w:tcPr>
            <w:tcW w:w="1814" w:type="dxa"/>
            <w:gridSpan w:val="2"/>
            <w:tcBorders>
              <w:top w:val="single" w:sz="4" w:space="0" w:color="365F91"/>
              <w:bottom w:val="single" w:sz="4" w:space="0" w:color="365F91"/>
            </w:tcBorders>
            <w:shd w:val="clear" w:color="auto" w:fill="auto"/>
            <w:tcMar>
              <w:left w:w="57" w:type="dxa"/>
            </w:tcMar>
          </w:tcPr>
          <w:p w14:paraId="61526D9C" w14:textId="77777777" w:rsidR="00971A1F" w:rsidRPr="00D9348B" w:rsidRDefault="00971A1F" w:rsidP="00DB330E">
            <w:pPr>
              <w:pStyle w:val="TableText"/>
              <w:spacing w:before="50" w:after="50"/>
            </w:pPr>
            <w:r w:rsidRPr="00D9348B">
              <w:t>IPPU – General</w:t>
            </w:r>
          </w:p>
        </w:tc>
        <w:tc>
          <w:tcPr>
            <w:tcW w:w="964" w:type="dxa"/>
            <w:tcBorders>
              <w:top w:val="single" w:sz="4" w:space="0" w:color="365F91"/>
              <w:bottom w:val="single" w:sz="4" w:space="0" w:color="365F91"/>
            </w:tcBorders>
          </w:tcPr>
          <w:p w14:paraId="3243D89B" w14:textId="77777777" w:rsidR="00971A1F" w:rsidRPr="00D9348B" w:rsidRDefault="00971A1F" w:rsidP="00DB330E">
            <w:pPr>
              <w:pStyle w:val="TableText"/>
              <w:spacing w:before="50" w:after="50"/>
            </w:pPr>
            <w:r w:rsidRPr="00D9348B">
              <w:t>I.2, 2017</w:t>
            </w:r>
          </w:p>
        </w:tc>
        <w:tc>
          <w:tcPr>
            <w:tcW w:w="3193" w:type="dxa"/>
            <w:tcBorders>
              <w:top w:val="single" w:sz="4" w:space="0" w:color="365F91"/>
              <w:bottom w:val="single" w:sz="4" w:space="0" w:color="365F91"/>
            </w:tcBorders>
            <w:shd w:val="clear" w:color="auto" w:fill="auto"/>
          </w:tcPr>
          <w:p w14:paraId="6FD99177" w14:textId="77777777" w:rsidR="00971A1F" w:rsidRPr="00D9348B" w:rsidRDefault="00971A1F" w:rsidP="00DB330E">
            <w:pPr>
              <w:pStyle w:val="TableText"/>
              <w:spacing w:before="50" w:after="50"/>
            </w:pPr>
            <w:r w:rsidRPr="00D9348B">
              <w:t>Incorporate in the NIR the information available in the NZ ETS regulation, including regarding coverage and methodologies used for reporting, as well as the additional information not included in the NZ ETS regulation provided to the ERT during the review, for example, the frequency of measurement.</w:t>
            </w:r>
          </w:p>
        </w:tc>
        <w:tc>
          <w:tcPr>
            <w:tcW w:w="2722" w:type="dxa"/>
            <w:tcBorders>
              <w:top w:val="single" w:sz="4" w:space="0" w:color="365F91"/>
              <w:bottom w:val="single" w:sz="4" w:space="0" w:color="365F91"/>
            </w:tcBorders>
            <w:shd w:val="clear" w:color="auto" w:fill="auto"/>
          </w:tcPr>
          <w:p w14:paraId="08AE764C" w14:textId="77777777" w:rsidR="00971A1F" w:rsidRPr="00D9348B" w:rsidRDefault="00971A1F" w:rsidP="00DB330E">
            <w:pPr>
              <w:pStyle w:val="TableText"/>
              <w:spacing w:before="50" w:after="50"/>
            </w:pPr>
            <w:r w:rsidRPr="00D9348B">
              <w:rPr>
                <w:b/>
              </w:rPr>
              <w:t>Resolved.</w:t>
            </w:r>
            <w:r w:rsidRPr="00D9348B">
              <w:t xml:space="preserve"> A description of the NZ ETS data calculation and reporting is included in the 2018 NIR along with a reference to the relevant NZ ETS regulations. </w:t>
            </w:r>
          </w:p>
        </w:tc>
      </w:tr>
      <w:tr w:rsidR="00971A1F" w:rsidRPr="00D9348B" w14:paraId="6BC79EF8" w14:textId="77777777" w:rsidTr="008D68F9">
        <w:tc>
          <w:tcPr>
            <w:tcW w:w="1814" w:type="dxa"/>
            <w:gridSpan w:val="2"/>
            <w:tcBorders>
              <w:top w:val="single" w:sz="4" w:space="0" w:color="365F91"/>
              <w:bottom w:val="single" w:sz="4" w:space="0" w:color="365F91"/>
            </w:tcBorders>
            <w:shd w:val="clear" w:color="auto" w:fill="auto"/>
            <w:tcMar>
              <w:left w:w="57" w:type="dxa"/>
            </w:tcMar>
          </w:tcPr>
          <w:p w14:paraId="3069C69C" w14:textId="77777777" w:rsidR="00971A1F" w:rsidRPr="00D9348B" w:rsidRDefault="00971A1F" w:rsidP="00DB330E">
            <w:pPr>
              <w:pStyle w:val="TableText"/>
              <w:keepNext/>
              <w:spacing w:before="50" w:after="50"/>
            </w:pPr>
            <w:r w:rsidRPr="00D9348B">
              <w:t>IPPU – Cement production</w:t>
            </w:r>
          </w:p>
        </w:tc>
        <w:tc>
          <w:tcPr>
            <w:tcW w:w="964" w:type="dxa"/>
            <w:tcBorders>
              <w:top w:val="single" w:sz="4" w:space="0" w:color="365F91"/>
              <w:bottom w:val="single" w:sz="4" w:space="0" w:color="365F91"/>
            </w:tcBorders>
          </w:tcPr>
          <w:p w14:paraId="64F528CF" w14:textId="77777777" w:rsidR="00971A1F" w:rsidRPr="00D9348B" w:rsidRDefault="00971A1F" w:rsidP="00DB330E">
            <w:pPr>
              <w:pStyle w:val="TableText"/>
              <w:spacing w:before="50" w:after="50"/>
            </w:pPr>
            <w:r w:rsidRPr="00D9348B">
              <w:t>I.3, 2017</w:t>
            </w:r>
          </w:p>
        </w:tc>
        <w:tc>
          <w:tcPr>
            <w:tcW w:w="3193" w:type="dxa"/>
            <w:tcBorders>
              <w:top w:val="single" w:sz="4" w:space="0" w:color="365F91"/>
              <w:bottom w:val="single" w:sz="4" w:space="0" w:color="365F91"/>
            </w:tcBorders>
            <w:shd w:val="clear" w:color="auto" w:fill="auto"/>
          </w:tcPr>
          <w:p w14:paraId="2C2B7ABF" w14:textId="77777777" w:rsidR="00971A1F" w:rsidRPr="00D9348B" w:rsidRDefault="00971A1F" w:rsidP="00DB330E">
            <w:pPr>
              <w:pStyle w:val="TableText"/>
              <w:spacing w:before="50" w:after="50"/>
            </w:pPr>
            <w:r w:rsidRPr="00D9348B">
              <w:t>Continue with efforts to improve the transparency of the reporting regarding information on cement production by providing more detailed information in the NIR, while maintaining the confidentiality of the sensitive data.</w:t>
            </w:r>
          </w:p>
        </w:tc>
        <w:tc>
          <w:tcPr>
            <w:tcW w:w="2722" w:type="dxa"/>
            <w:tcBorders>
              <w:top w:val="single" w:sz="4" w:space="0" w:color="365F91"/>
              <w:bottom w:val="single" w:sz="4" w:space="0" w:color="365F91"/>
            </w:tcBorders>
            <w:shd w:val="clear" w:color="auto" w:fill="auto"/>
          </w:tcPr>
          <w:p w14:paraId="1B10BA4B" w14:textId="77777777" w:rsidR="00971A1F" w:rsidRPr="00D9348B" w:rsidRDefault="00971A1F" w:rsidP="00DB330E">
            <w:pPr>
              <w:pStyle w:val="TableText"/>
              <w:spacing w:before="50" w:after="50"/>
            </w:pPr>
            <w:r w:rsidRPr="00D9348B">
              <w:rPr>
                <w:b/>
              </w:rPr>
              <w:t>Resolved.</w:t>
            </w:r>
            <w:r w:rsidRPr="00D9348B">
              <w:t xml:space="preserve"> The activity data for this category are confidential and, therefore, cannot be included in submissions. To follow good practice, these data can be provided to the ERT on request during the review. </w:t>
            </w:r>
          </w:p>
        </w:tc>
      </w:tr>
      <w:tr w:rsidR="00971A1F" w:rsidRPr="00D9348B" w14:paraId="1DB2AE35" w14:textId="77777777" w:rsidTr="008D68F9">
        <w:tc>
          <w:tcPr>
            <w:tcW w:w="1814" w:type="dxa"/>
            <w:gridSpan w:val="2"/>
            <w:tcBorders>
              <w:top w:val="single" w:sz="4" w:space="0" w:color="365F91"/>
              <w:bottom w:val="single" w:sz="4" w:space="0" w:color="365F91"/>
            </w:tcBorders>
            <w:shd w:val="clear" w:color="auto" w:fill="auto"/>
            <w:tcMar>
              <w:left w:w="57" w:type="dxa"/>
            </w:tcMar>
          </w:tcPr>
          <w:p w14:paraId="642A741F" w14:textId="77777777" w:rsidR="00971A1F" w:rsidRPr="00D9348B" w:rsidRDefault="00971A1F" w:rsidP="00DB330E">
            <w:pPr>
              <w:pStyle w:val="TableText"/>
              <w:spacing w:before="50" w:after="50"/>
            </w:pPr>
            <w:r w:rsidRPr="00D9348B">
              <w:t>IPPU – Glass production – CO</w:t>
            </w:r>
            <w:r w:rsidRPr="00D9348B">
              <w:rPr>
                <w:vertAlign w:val="subscript"/>
              </w:rPr>
              <w:t>2</w:t>
            </w:r>
          </w:p>
        </w:tc>
        <w:tc>
          <w:tcPr>
            <w:tcW w:w="964" w:type="dxa"/>
            <w:tcBorders>
              <w:top w:val="single" w:sz="4" w:space="0" w:color="365F91"/>
              <w:bottom w:val="single" w:sz="4" w:space="0" w:color="365F91"/>
            </w:tcBorders>
          </w:tcPr>
          <w:p w14:paraId="4BB5B5FB" w14:textId="77777777" w:rsidR="00971A1F" w:rsidRPr="00D9348B" w:rsidRDefault="00971A1F" w:rsidP="00DB330E">
            <w:pPr>
              <w:pStyle w:val="TableText"/>
              <w:spacing w:before="50" w:after="50"/>
            </w:pPr>
            <w:r w:rsidRPr="00D9348B">
              <w:t>I.5, 2017</w:t>
            </w:r>
          </w:p>
        </w:tc>
        <w:tc>
          <w:tcPr>
            <w:tcW w:w="3193" w:type="dxa"/>
            <w:tcBorders>
              <w:top w:val="single" w:sz="4" w:space="0" w:color="365F91"/>
              <w:bottom w:val="single" w:sz="4" w:space="0" w:color="365F91"/>
            </w:tcBorders>
            <w:shd w:val="clear" w:color="auto" w:fill="auto"/>
          </w:tcPr>
          <w:p w14:paraId="15134D88" w14:textId="77777777" w:rsidR="00971A1F" w:rsidRPr="00D9348B" w:rsidRDefault="00971A1F" w:rsidP="00DB330E">
            <w:pPr>
              <w:pStyle w:val="TableText"/>
              <w:spacing w:before="50" w:after="50"/>
            </w:pPr>
            <w:r w:rsidRPr="00D9348B">
              <w:t>Continue with efforts to improve the transparency of the reporting regarding information on glass production by providing more detailed information in the NIR, while maintaining the confidentiality of the sensitive data.</w:t>
            </w:r>
          </w:p>
        </w:tc>
        <w:tc>
          <w:tcPr>
            <w:tcW w:w="2722" w:type="dxa"/>
            <w:tcBorders>
              <w:top w:val="single" w:sz="4" w:space="0" w:color="365F91"/>
              <w:bottom w:val="single" w:sz="4" w:space="0" w:color="365F91"/>
            </w:tcBorders>
            <w:shd w:val="clear" w:color="auto" w:fill="auto"/>
          </w:tcPr>
          <w:p w14:paraId="20920ABD" w14:textId="77777777" w:rsidR="00971A1F" w:rsidRPr="00D9348B" w:rsidRDefault="00971A1F" w:rsidP="00DB330E">
            <w:pPr>
              <w:pStyle w:val="TableText"/>
              <w:spacing w:before="50" w:after="50"/>
            </w:pPr>
            <w:r w:rsidRPr="00D9348B">
              <w:rPr>
                <w:b/>
              </w:rPr>
              <w:t xml:space="preserve">Resolved. </w:t>
            </w:r>
            <w:r w:rsidRPr="00D9348B">
              <w:t>The use of confidential data was transparently described in the 2017 and 2018 NIR.</w:t>
            </w:r>
          </w:p>
        </w:tc>
      </w:tr>
      <w:tr w:rsidR="00971A1F" w:rsidRPr="00D9348B" w14:paraId="7EED509B" w14:textId="77777777" w:rsidTr="008D68F9">
        <w:tc>
          <w:tcPr>
            <w:tcW w:w="1814" w:type="dxa"/>
            <w:gridSpan w:val="2"/>
            <w:tcBorders>
              <w:top w:val="single" w:sz="4" w:space="0" w:color="365F91"/>
              <w:bottom w:val="single" w:sz="4" w:space="0" w:color="365F91"/>
            </w:tcBorders>
            <w:shd w:val="clear" w:color="auto" w:fill="auto"/>
            <w:tcMar>
              <w:left w:w="57" w:type="dxa"/>
            </w:tcMar>
          </w:tcPr>
          <w:p w14:paraId="6AD1EDE9" w14:textId="77777777" w:rsidR="00971A1F" w:rsidRPr="00D9348B" w:rsidRDefault="00971A1F" w:rsidP="0036223D">
            <w:pPr>
              <w:pStyle w:val="TableText"/>
            </w:pPr>
            <w:r w:rsidRPr="00D9348B">
              <w:t>IPPU – 2.B.5 Carbide production – CO</w:t>
            </w:r>
            <w:r w:rsidRPr="00D9348B">
              <w:rPr>
                <w:vertAlign w:val="subscript"/>
              </w:rPr>
              <w:t>2</w:t>
            </w:r>
          </w:p>
        </w:tc>
        <w:tc>
          <w:tcPr>
            <w:tcW w:w="964" w:type="dxa"/>
            <w:tcBorders>
              <w:top w:val="single" w:sz="4" w:space="0" w:color="365F91"/>
              <w:bottom w:val="single" w:sz="4" w:space="0" w:color="365F91"/>
            </w:tcBorders>
          </w:tcPr>
          <w:p w14:paraId="12A0E880" w14:textId="77777777" w:rsidR="00971A1F" w:rsidRPr="00D9348B" w:rsidRDefault="00971A1F" w:rsidP="00DB330E">
            <w:pPr>
              <w:pStyle w:val="TableText"/>
              <w:spacing w:before="50" w:after="50"/>
            </w:pPr>
            <w:r w:rsidRPr="00D9348B">
              <w:t>I.11, 2017</w:t>
            </w:r>
          </w:p>
        </w:tc>
        <w:tc>
          <w:tcPr>
            <w:tcW w:w="3193" w:type="dxa"/>
            <w:tcBorders>
              <w:top w:val="single" w:sz="4" w:space="0" w:color="365F91"/>
              <w:bottom w:val="single" w:sz="4" w:space="0" w:color="365F91"/>
            </w:tcBorders>
            <w:shd w:val="clear" w:color="auto" w:fill="auto"/>
          </w:tcPr>
          <w:p w14:paraId="42043CDC" w14:textId="77777777" w:rsidR="00971A1F" w:rsidRPr="00D9348B" w:rsidRDefault="00971A1F" w:rsidP="00DB330E">
            <w:pPr>
              <w:pStyle w:val="TableText"/>
              <w:spacing w:before="50" w:after="50"/>
            </w:pPr>
            <w:r w:rsidRPr="00D9348B">
              <w:t>Include the category carbide production in the NIR under chemical industry, including information on the methodology used, choice of EF and source of activity data for this category and review QA/QC checks related to this category.</w:t>
            </w:r>
          </w:p>
        </w:tc>
        <w:tc>
          <w:tcPr>
            <w:tcW w:w="2722" w:type="dxa"/>
            <w:tcBorders>
              <w:top w:val="single" w:sz="4" w:space="0" w:color="365F91"/>
              <w:bottom w:val="single" w:sz="4" w:space="0" w:color="365F91"/>
            </w:tcBorders>
            <w:shd w:val="clear" w:color="auto" w:fill="auto"/>
          </w:tcPr>
          <w:p w14:paraId="379F8CE7" w14:textId="77777777" w:rsidR="00971A1F" w:rsidRPr="00D9348B" w:rsidRDefault="00971A1F" w:rsidP="00DB330E">
            <w:pPr>
              <w:pStyle w:val="TableText"/>
              <w:spacing w:before="50" w:after="50"/>
            </w:pPr>
            <w:r w:rsidRPr="00D9348B">
              <w:rPr>
                <w:b/>
              </w:rPr>
              <w:t xml:space="preserve">Resolved. </w:t>
            </w:r>
            <w:r w:rsidRPr="00D9348B">
              <w:t>This information is now included in the 2018 NIR, and QA procedures are expected to identify any similar omissions in future submissions.</w:t>
            </w:r>
          </w:p>
        </w:tc>
      </w:tr>
      <w:tr w:rsidR="00971A1F" w:rsidRPr="00D9348B" w14:paraId="65F0676D" w14:textId="77777777" w:rsidTr="008D68F9">
        <w:tc>
          <w:tcPr>
            <w:tcW w:w="1814" w:type="dxa"/>
            <w:gridSpan w:val="2"/>
            <w:tcBorders>
              <w:top w:val="single" w:sz="4" w:space="0" w:color="365F91"/>
              <w:bottom w:val="single" w:sz="4" w:space="0" w:color="365F91"/>
            </w:tcBorders>
            <w:shd w:val="clear" w:color="auto" w:fill="auto"/>
            <w:tcMar>
              <w:left w:w="57" w:type="dxa"/>
            </w:tcMar>
          </w:tcPr>
          <w:p w14:paraId="713A5094" w14:textId="77777777" w:rsidR="00971A1F" w:rsidRPr="00D9348B" w:rsidRDefault="00971A1F" w:rsidP="00DB330E">
            <w:pPr>
              <w:pStyle w:val="TableText"/>
              <w:spacing w:before="50" w:after="50"/>
            </w:pPr>
            <w:r w:rsidRPr="00D9348B">
              <w:t>IPPU – 2.D Non-energy products from fuels and solvents use – CO</w:t>
            </w:r>
            <w:r w:rsidRPr="00D9348B">
              <w:rPr>
                <w:vertAlign w:val="subscript"/>
              </w:rPr>
              <w:t>2</w:t>
            </w:r>
          </w:p>
        </w:tc>
        <w:tc>
          <w:tcPr>
            <w:tcW w:w="964" w:type="dxa"/>
            <w:tcBorders>
              <w:top w:val="single" w:sz="4" w:space="0" w:color="365F91"/>
              <w:bottom w:val="single" w:sz="4" w:space="0" w:color="365F91"/>
            </w:tcBorders>
          </w:tcPr>
          <w:p w14:paraId="65322AC9" w14:textId="77777777" w:rsidR="00971A1F" w:rsidRPr="00D9348B" w:rsidRDefault="00971A1F" w:rsidP="00DB330E">
            <w:pPr>
              <w:pStyle w:val="TableText"/>
              <w:spacing w:before="50" w:after="50"/>
            </w:pPr>
            <w:r w:rsidRPr="00D9348B">
              <w:t>I.15, 2017</w:t>
            </w:r>
          </w:p>
        </w:tc>
        <w:tc>
          <w:tcPr>
            <w:tcW w:w="3193" w:type="dxa"/>
            <w:tcBorders>
              <w:top w:val="single" w:sz="4" w:space="0" w:color="365F91"/>
              <w:bottom w:val="single" w:sz="4" w:space="0" w:color="365F91"/>
            </w:tcBorders>
            <w:shd w:val="clear" w:color="auto" w:fill="auto"/>
          </w:tcPr>
          <w:p w14:paraId="50A045F2" w14:textId="77777777" w:rsidR="00971A1F" w:rsidRPr="00D9348B" w:rsidRDefault="00971A1F" w:rsidP="00DB330E">
            <w:pPr>
              <w:pStyle w:val="TableText"/>
              <w:spacing w:before="50" w:after="50"/>
            </w:pPr>
            <w:r w:rsidRPr="00D9348B">
              <w:t>Describe the activity data for paraffin wax use and lubricant use in CRF table 2(I).A-Hs2 consistently with the description in the NIR, and reassess the QA/QC checks for these sources in order to ensure consistency of the information between the NIR and CRF table 2(I).A-Hs2.</w:t>
            </w:r>
          </w:p>
        </w:tc>
        <w:tc>
          <w:tcPr>
            <w:tcW w:w="2722" w:type="dxa"/>
            <w:tcBorders>
              <w:top w:val="single" w:sz="4" w:space="0" w:color="365F91"/>
              <w:bottom w:val="single" w:sz="4" w:space="0" w:color="365F91"/>
            </w:tcBorders>
            <w:shd w:val="clear" w:color="auto" w:fill="auto"/>
          </w:tcPr>
          <w:p w14:paraId="2FA84874" w14:textId="77777777" w:rsidR="00971A1F" w:rsidRPr="00D9348B" w:rsidRDefault="00971A1F" w:rsidP="00DB330E">
            <w:pPr>
              <w:pStyle w:val="TableText"/>
              <w:spacing w:before="50" w:after="50"/>
            </w:pPr>
            <w:r w:rsidRPr="00D9348B">
              <w:rPr>
                <w:b/>
              </w:rPr>
              <w:t xml:space="preserve">Resolved. </w:t>
            </w:r>
            <w:r w:rsidRPr="00D9348B">
              <w:t>This information is now correctly described in the CRF tables for the 2018 NIR submission.</w:t>
            </w:r>
          </w:p>
        </w:tc>
      </w:tr>
      <w:tr w:rsidR="00971A1F" w:rsidRPr="00D9348B" w14:paraId="12D3E889" w14:textId="77777777" w:rsidTr="008D68F9">
        <w:trPr>
          <w:gridBefore w:val="1"/>
          <w:wBefore w:w="25" w:type="dxa"/>
        </w:trPr>
        <w:tc>
          <w:tcPr>
            <w:tcW w:w="1814" w:type="dxa"/>
            <w:tcBorders>
              <w:top w:val="single" w:sz="4" w:space="0" w:color="365F91"/>
              <w:bottom w:val="single" w:sz="4" w:space="0" w:color="365F91"/>
            </w:tcBorders>
            <w:shd w:val="clear" w:color="auto" w:fill="auto"/>
            <w:tcMar>
              <w:left w:w="57" w:type="dxa"/>
            </w:tcMar>
          </w:tcPr>
          <w:p w14:paraId="52BC9FE8" w14:textId="77777777" w:rsidR="00971A1F" w:rsidRPr="00D9348B" w:rsidRDefault="00971A1F" w:rsidP="00DB330E">
            <w:pPr>
              <w:pStyle w:val="TableText"/>
              <w:spacing w:before="50" w:after="50"/>
            </w:pPr>
            <w:r w:rsidRPr="00D9348B">
              <w:t>IPPU – Electronics industry (2.D)</w:t>
            </w:r>
          </w:p>
          <w:p w14:paraId="294F62EC" w14:textId="77777777" w:rsidR="00971A1F" w:rsidRPr="00D9348B" w:rsidRDefault="00971A1F" w:rsidP="00DB330E">
            <w:pPr>
              <w:pStyle w:val="TableText"/>
              <w:spacing w:before="50" w:after="50"/>
            </w:pPr>
            <w:r w:rsidRPr="00D9348B">
              <w:t xml:space="preserve">Product uses as substitutes for ozone-depleting substances (2.F) </w:t>
            </w:r>
          </w:p>
          <w:p w14:paraId="6592B0D4" w14:textId="77777777" w:rsidR="00971A1F" w:rsidRPr="00D9348B" w:rsidRDefault="00971A1F" w:rsidP="00DB330E">
            <w:pPr>
              <w:pStyle w:val="TableText"/>
              <w:spacing w:before="50" w:after="50"/>
            </w:pPr>
            <w:r w:rsidRPr="00D9348B">
              <w:t xml:space="preserve">Other product manufacture and use (2.G) – hydrofluorocarbons (HFCs), perfluorocarbons </w:t>
            </w:r>
            <w:r w:rsidRPr="00D9348B">
              <w:lastRenderedPageBreak/>
              <w:t>(PFCs), sulfur hexafluoride (SF</w:t>
            </w:r>
            <w:r w:rsidRPr="00D9348B">
              <w:rPr>
                <w:vertAlign w:val="subscript"/>
              </w:rPr>
              <w:t>6</w:t>
            </w:r>
            <w:r w:rsidRPr="00D9348B">
              <w:t>) and nitrogen trifluoride (NF</w:t>
            </w:r>
            <w:r w:rsidRPr="00D9348B">
              <w:rPr>
                <w:vertAlign w:val="subscript"/>
              </w:rPr>
              <w:t>3</w:t>
            </w:r>
            <w:r w:rsidRPr="00D9348B">
              <w:t>)</w:t>
            </w:r>
          </w:p>
        </w:tc>
        <w:tc>
          <w:tcPr>
            <w:tcW w:w="964" w:type="dxa"/>
            <w:tcBorders>
              <w:top w:val="single" w:sz="4" w:space="0" w:color="365F91"/>
              <w:bottom w:val="single" w:sz="4" w:space="0" w:color="365F91"/>
            </w:tcBorders>
          </w:tcPr>
          <w:p w14:paraId="47969E97" w14:textId="77777777" w:rsidR="00971A1F" w:rsidRPr="00D9348B" w:rsidRDefault="00971A1F" w:rsidP="00DB330E">
            <w:pPr>
              <w:pStyle w:val="TableText"/>
              <w:spacing w:before="50" w:after="50"/>
            </w:pPr>
            <w:r w:rsidRPr="00D9348B">
              <w:lastRenderedPageBreak/>
              <w:t>I.16, 2017</w:t>
            </w:r>
          </w:p>
        </w:tc>
        <w:tc>
          <w:tcPr>
            <w:tcW w:w="3193" w:type="dxa"/>
            <w:tcBorders>
              <w:top w:val="single" w:sz="4" w:space="0" w:color="365F91"/>
              <w:bottom w:val="single" w:sz="4" w:space="0" w:color="365F91"/>
            </w:tcBorders>
            <w:shd w:val="clear" w:color="auto" w:fill="auto"/>
          </w:tcPr>
          <w:p w14:paraId="784EDE12" w14:textId="77777777" w:rsidR="00971A1F" w:rsidRPr="00D9348B" w:rsidRDefault="00971A1F" w:rsidP="00DB330E">
            <w:pPr>
              <w:pStyle w:val="TableText"/>
              <w:spacing w:before="50" w:after="50"/>
            </w:pPr>
            <w:r w:rsidRPr="00D9348B">
              <w:t xml:space="preserve">Include all the information indicated in the section ‘reporting and documentation’ of the IPCC guidelines for these categories (e.g., volume 3, chapter 7.5.4.2) for the information to be included for the category </w:t>
            </w:r>
            <w:r w:rsidRPr="00D9348B">
              <w:rPr>
                <w:i/>
              </w:rPr>
              <w:t>Product uses as substitutes for ozone-depleting substances</w:t>
            </w:r>
            <w:r w:rsidRPr="00D9348B">
              <w:t>.</w:t>
            </w:r>
          </w:p>
        </w:tc>
        <w:tc>
          <w:tcPr>
            <w:tcW w:w="2722" w:type="dxa"/>
            <w:tcBorders>
              <w:top w:val="single" w:sz="4" w:space="0" w:color="365F91"/>
              <w:bottom w:val="single" w:sz="4" w:space="0" w:color="365F91"/>
            </w:tcBorders>
            <w:shd w:val="clear" w:color="auto" w:fill="auto"/>
          </w:tcPr>
          <w:p w14:paraId="04AA42DE" w14:textId="77777777" w:rsidR="00971A1F" w:rsidRPr="00D9348B" w:rsidRDefault="00971A1F" w:rsidP="00DB330E">
            <w:pPr>
              <w:pStyle w:val="TableText"/>
              <w:spacing w:before="50" w:after="50"/>
            </w:pPr>
            <w:r w:rsidRPr="00D9348B">
              <w:rPr>
                <w:b/>
              </w:rPr>
              <w:t>Addressing.</w:t>
            </w:r>
            <w:r w:rsidRPr="00D9348B">
              <w:t xml:space="preserve"> This is not relevant to 2.E (</w:t>
            </w:r>
            <w:r w:rsidRPr="00D9348B">
              <w:rPr>
                <w:i/>
              </w:rPr>
              <w:t>Electronics industry</w:t>
            </w:r>
            <w:r w:rsidRPr="00D9348B">
              <w:t xml:space="preserve">). For 2.D and 2.G, all recommended information is reported in the NIR. For 2.F, the description of these information sources in the NIR has been improved by adding information about sources, and survey details can be made available to reviewers as required. The description in the NIR will be further reviewed and improved for future submissions. </w:t>
            </w:r>
          </w:p>
        </w:tc>
      </w:tr>
      <w:tr w:rsidR="00971A1F" w:rsidRPr="00D9348B" w14:paraId="7001289A" w14:textId="77777777" w:rsidTr="008D68F9">
        <w:trPr>
          <w:gridBefore w:val="1"/>
          <w:wBefore w:w="25" w:type="dxa"/>
        </w:trPr>
        <w:tc>
          <w:tcPr>
            <w:tcW w:w="1814" w:type="dxa"/>
            <w:tcBorders>
              <w:top w:val="single" w:sz="4" w:space="0" w:color="365F91"/>
              <w:bottom w:val="single" w:sz="4" w:space="0" w:color="365F91"/>
            </w:tcBorders>
            <w:shd w:val="clear" w:color="auto" w:fill="auto"/>
            <w:tcMar>
              <w:left w:w="57" w:type="dxa"/>
            </w:tcMar>
          </w:tcPr>
          <w:p w14:paraId="668C97D9" w14:textId="77777777" w:rsidR="00971A1F" w:rsidRPr="00D9348B" w:rsidRDefault="00971A1F" w:rsidP="00DB330E">
            <w:pPr>
              <w:pStyle w:val="TableText"/>
              <w:spacing w:before="50" w:after="50"/>
            </w:pPr>
            <w:r w:rsidRPr="00D9348B">
              <w:t>IPPU – 2.E Electronics industry 2.F Product uses as substitutes for ozone depleting substances 2.G Other product manufacture and use – HFCs, PFCs, SF</w:t>
            </w:r>
            <w:r w:rsidRPr="00D9348B">
              <w:rPr>
                <w:vertAlign w:val="subscript"/>
              </w:rPr>
              <w:t>6</w:t>
            </w:r>
            <w:r w:rsidRPr="00D9348B">
              <w:t xml:space="preserve"> and NF</w:t>
            </w:r>
            <w:r w:rsidRPr="00D9348B">
              <w:rPr>
                <w:vertAlign w:val="subscript"/>
              </w:rPr>
              <w:t>3</w:t>
            </w:r>
          </w:p>
        </w:tc>
        <w:tc>
          <w:tcPr>
            <w:tcW w:w="964" w:type="dxa"/>
            <w:tcBorders>
              <w:top w:val="single" w:sz="4" w:space="0" w:color="365F91"/>
              <w:bottom w:val="single" w:sz="4" w:space="0" w:color="365F91"/>
            </w:tcBorders>
          </w:tcPr>
          <w:p w14:paraId="3AAA55FF" w14:textId="77777777" w:rsidR="00971A1F" w:rsidRPr="00D9348B" w:rsidRDefault="00971A1F" w:rsidP="00DB330E">
            <w:pPr>
              <w:pStyle w:val="TableText"/>
              <w:spacing w:before="50" w:after="50"/>
            </w:pPr>
            <w:r w:rsidRPr="00D9348B">
              <w:t>I.17, 2016</w:t>
            </w:r>
          </w:p>
        </w:tc>
        <w:tc>
          <w:tcPr>
            <w:tcW w:w="3193" w:type="dxa"/>
            <w:tcBorders>
              <w:top w:val="single" w:sz="4" w:space="0" w:color="365F91"/>
              <w:bottom w:val="single" w:sz="4" w:space="0" w:color="365F91"/>
            </w:tcBorders>
            <w:shd w:val="clear" w:color="auto" w:fill="auto"/>
          </w:tcPr>
          <w:p w14:paraId="33B1DC46" w14:textId="77777777" w:rsidR="00971A1F" w:rsidRPr="00D9348B" w:rsidRDefault="00971A1F" w:rsidP="00DB330E">
            <w:pPr>
              <w:pStyle w:val="TableText"/>
              <w:spacing w:before="50" w:after="50"/>
            </w:pPr>
            <w:r w:rsidRPr="00D9348B">
              <w:t>Describe in its NIR the methodology it used to derive the 2 per cent decline in refrigerant charge in vehicle air-conditioning systems, and demonstrate that this methodology is in line with the splicing techniques in the 2006 IPCC Guidelines.</w:t>
            </w:r>
          </w:p>
        </w:tc>
        <w:tc>
          <w:tcPr>
            <w:tcW w:w="2722" w:type="dxa"/>
            <w:tcBorders>
              <w:top w:val="single" w:sz="4" w:space="0" w:color="365F91"/>
              <w:bottom w:val="single" w:sz="4" w:space="0" w:color="365F91"/>
            </w:tcBorders>
            <w:shd w:val="clear" w:color="auto" w:fill="auto"/>
          </w:tcPr>
          <w:p w14:paraId="495C2B97" w14:textId="77777777" w:rsidR="00971A1F" w:rsidRPr="00D9348B" w:rsidRDefault="00971A1F" w:rsidP="00DB330E">
            <w:pPr>
              <w:pStyle w:val="TableText"/>
              <w:spacing w:before="50" w:after="50"/>
            </w:pPr>
            <w:r w:rsidRPr="00D9348B">
              <w:rPr>
                <w:b/>
              </w:rPr>
              <w:t xml:space="preserve">Resolved. </w:t>
            </w:r>
            <w:r w:rsidRPr="00D9348B">
              <w:t>This description is included in the 2017 NIR.</w:t>
            </w:r>
          </w:p>
        </w:tc>
      </w:tr>
      <w:tr w:rsidR="00971A1F" w:rsidRPr="00D9348B" w14:paraId="3F4F1337" w14:textId="77777777" w:rsidTr="008D68F9">
        <w:trPr>
          <w:gridBefore w:val="1"/>
          <w:wBefore w:w="25" w:type="dxa"/>
        </w:trPr>
        <w:tc>
          <w:tcPr>
            <w:tcW w:w="1814" w:type="dxa"/>
            <w:tcBorders>
              <w:top w:val="single" w:sz="4" w:space="0" w:color="365F91"/>
              <w:bottom w:val="single" w:sz="4" w:space="0" w:color="365F91"/>
            </w:tcBorders>
            <w:shd w:val="clear" w:color="auto" w:fill="auto"/>
            <w:tcMar>
              <w:left w:w="57" w:type="dxa"/>
            </w:tcMar>
          </w:tcPr>
          <w:p w14:paraId="777F9999" w14:textId="77777777" w:rsidR="00971A1F" w:rsidRPr="00D9348B" w:rsidRDefault="00971A1F" w:rsidP="00DB330E">
            <w:pPr>
              <w:pStyle w:val="TableText"/>
              <w:spacing w:before="40" w:after="40"/>
            </w:pPr>
            <w:r w:rsidRPr="00D9348B">
              <w:t>IPPU – Other product manufacture and use (2.G) – SF</w:t>
            </w:r>
            <w:r w:rsidRPr="00D9348B">
              <w:rPr>
                <w:vertAlign w:val="subscript"/>
              </w:rPr>
              <w:t>6</w:t>
            </w:r>
          </w:p>
        </w:tc>
        <w:tc>
          <w:tcPr>
            <w:tcW w:w="964" w:type="dxa"/>
            <w:tcBorders>
              <w:top w:val="single" w:sz="4" w:space="0" w:color="365F91"/>
              <w:bottom w:val="single" w:sz="4" w:space="0" w:color="365F91"/>
            </w:tcBorders>
          </w:tcPr>
          <w:p w14:paraId="753473F2" w14:textId="77777777" w:rsidR="00971A1F" w:rsidRPr="00D9348B" w:rsidRDefault="00971A1F" w:rsidP="00DB330E">
            <w:pPr>
              <w:pStyle w:val="TableText"/>
              <w:spacing w:before="40" w:after="40"/>
            </w:pPr>
            <w:r w:rsidRPr="00D9348B">
              <w:t>I.21, 2017</w:t>
            </w:r>
          </w:p>
        </w:tc>
        <w:tc>
          <w:tcPr>
            <w:tcW w:w="3193" w:type="dxa"/>
            <w:tcBorders>
              <w:top w:val="single" w:sz="4" w:space="0" w:color="365F91"/>
              <w:bottom w:val="single" w:sz="4" w:space="0" w:color="365F91"/>
            </w:tcBorders>
            <w:shd w:val="clear" w:color="auto" w:fill="auto"/>
          </w:tcPr>
          <w:p w14:paraId="7851045F" w14:textId="77777777" w:rsidR="00971A1F" w:rsidRPr="00D9348B" w:rsidRDefault="00971A1F" w:rsidP="00DB330E">
            <w:pPr>
              <w:pStyle w:val="TableText"/>
              <w:spacing w:before="40" w:after="40"/>
            </w:pPr>
            <w:r w:rsidRPr="00D9348B">
              <w:t>Include in the NIR the explanations provided to the ERT during the review on the analysis of SF</w:t>
            </w:r>
            <w:r w:rsidRPr="00D9348B">
              <w:rPr>
                <w:vertAlign w:val="subscript"/>
              </w:rPr>
              <w:t>6</w:t>
            </w:r>
            <w:r w:rsidRPr="00D9348B">
              <w:t xml:space="preserve"> emissions from SF</w:t>
            </w:r>
            <w:r w:rsidRPr="00D9348B">
              <w:rPr>
                <w:vertAlign w:val="subscript"/>
              </w:rPr>
              <w:t>6</w:t>
            </w:r>
            <w:r w:rsidRPr="00D9348B">
              <w:t xml:space="preserve"> use in shoes and double-glazed windows that were provided as direct responses and through the background report.</w:t>
            </w:r>
          </w:p>
        </w:tc>
        <w:tc>
          <w:tcPr>
            <w:tcW w:w="2722" w:type="dxa"/>
            <w:tcBorders>
              <w:top w:val="single" w:sz="4" w:space="0" w:color="365F91"/>
              <w:bottom w:val="single" w:sz="4" w:space="0" w:color="365F91"/>
            </w:tcBorders>
            <w:shd w:val="clear" w:color="auto" w:fill="auto"/>
          </w:tcPr>
          <w:p w14:paraId="57219B49" w14:textId="77777777" w:rsidR="00971A1F" w:rsidRPr="00D9348B" w:rsidRDefault="00971A1F" w:rsidP="00DB330E">
            <w:pPr>
              <w:pStyle w:val="TableText"/>
              <w:spacing w:before="40" w:after="40"/>
              <w:rPr>
                <w:b/>
              </w:rPr>
            </w:pPr>
            <w:r w:rsidRPr="00D9348B">
              <w:rPr>
                <w:b/>
              </w:rPr>
              <w:t xml:space="preserve">Resolved. </w:t>
            </w:r>
            <w:r w:rsidRPr="00D9348B">
              <w:t>This information is included.</w:t>
            </w:r>
          </w:p>
        </w:tc>
      </w:tr>
      <w:tr w:rsidR="00971A1F" w:rsidRPr="00D9348B" w14:paraId="77FC90D8" w14:textId="77777777" w:rsidTr="008D68F9">
        <w:trPr>
          <w:gridBefore w:val="1"/>
          <w:wBefore w:w="25" w:type="dxa"/>
        </w:trPr>
        <w:tc>
          <w:tcPr>
            <w:tcW w:w="1814" w:type="dxa"/>
            <w:tcBorders>
              <w:top w:val="single" w:sz="4" w:space="0" w:color="365F91"/>
              <w:bottom w:val="single" w:sz="4" w:space="0" w:color="365F91"/>
            </w:tcBorders>
            <w:shd w:val="clear" w:color="auto" w:fill="auto"/>
            <w:tcMar>
              <w:left w:w="57" w:type="dxa"/>
            </w:tcMar>
          </w:tcPr>
          <w:p w14:paraId="57A0FAB3" w14:textId="77777777" w:rsidR="00971A1F" w:rsidRPr="00D9348B" w:rsidRDefault="00971A1F" w:rsidP="00DB330E">
            <w:pPr>
              <w:pStyle w:val="TableText"/>
              <w:spacing w:before="40" w:after="40"/>
            </w:pPr>
            <w:r w:rsidRPr="00D9348B">
              <w:t>Agriculture – 3.B.1 Cattle – CH</w:t>
            </w:r>
            <w:r w:rsidRPr="00D9348B">
              <w:rPr>
                <w:vertAlign w:val="subscript"/>
              </w:rPr>
              <w:t>4</w:t>
            </w:r>
          </w:p>
        </w:tc>
        <w:tc>
          <w:tcPr>
            <w:tcW w:w="964" w:type="dxa"/>
            <w:tcBorders>
              <w:top w:val="single" w:sz="4" w:space="0" w:color="365F91"/>
              <w:bottom w:val="single" w:sz="4" w:space="0" w:color="365F91"/>
            </w:tcBorders>
          </w:tcPr>
          <w:p w14:paraId="55BE7713" w14:textId="77777777" w:rsidR="00971A1F" w:rsidRPr="00D9348B" w:rsidRDefault="00971A1F" w:rsidP="00DB330E">
            <w:pPr>
              <w:pStyle w:val="TableText"/>
              <w:spacing w:before="40" w:after="40"/>
            </w:pPr>
            <w:r w:rsidRPr="00D9348B">
              <w:t>A.1, 2017</w:t>
            </w:r>
          </w:p>
        </w:tc>
        <w:tc>
          <w:tcPr>
            <w:tcW w:w="3193" w:type="dxa"/>
            <w:tcBorders>
              <w:top w:val="single" w:sz="4" w:space="0" w:color="365F91"/>
              <w:bottom w:val="single" w:sz="4" w:space="0" w:color="365F91"/>
            </w:tcBorders>
            <w:shd w:val="clear" w:color="auto" w:fill="auto"/>
          </w:tcPr>
          <w:p w14:paraId="06EAE9C6" w14:textId="77777777" w:rsidR="00971A1F" w:rsidRPr="00D9348B" w:rsidRDefault="00971A1F" w:rsidP="00DB330E">
            <w:pPr>
              <w:pStyle w:val="TableText"/>
              <w:spacing w:before="40" w:after="40"/>
            </w:pPr>
            <w:r w:rsidRPr="00D9348B">
              <w:t>Include more detailed information in the NIR on possible reasons for the significant inter-annual changes in the CH</w:t>
            </w:r>
            <w:r w:rsidRPr="00D9348B">
              <w:rPr>
                <w:vertAlign w:val="subscript"/>
              </w:rPr>
              <w:t>4</w:t>
            </w:r>
            <w:r w:rsidRPr="00D9348B">
              <w:t xml:space="preserve"> implied emission factor (e.g., the variability of typical climate events in New Zealand, the distribution of agricultural industries across New Zealand, commodity prices and improvements in breeding and genetics).</w:t>
            </w:r>
          </w:p>
        </w:tc>
        <w:tc>
          <w:tcPr>
            <w:tcW w:w="2722" w:type="dxa"/>
            <w:tcBorders>
              <w:top w:val="single" w:sz="4" w:space="0" w:color="365F91"/>
              <w:bottom w:val="single" w:sz="4" w:space="0" w:color="365F91"/>
            </w:tcBorders>
            <w:shd w:val="clear" w:color="auto" w:fill="auto"/>
          </w:tcPr>
          <w:p w14:paraId="7D170A8C" w14:textId="77777777" w:rsidR="00971A1F" w:rsidRPr="00D9348B" w:rsidRDefault="00971A1F" w:rsidP="00DB330E">
            <w:pPr>
              <w:pStyle w:val="TableText"/>
              <w:spacing w:before="40" w:after="40"/>
              <w:rPr>
                <w:b/>
              </w:rPr>
            </w:pPr>
            <w:r w:rsidRPr="00D9348B">
              <w:rPr>
                <w:b/>
              </w:rPr>
              <w:t xml:space="preserve">Resolved. </w:t>
            </w:r>
            <w:r w:rsidRPr="00D9348B">
              <w:t>New Zealand has provided more comprehensive information on the causes of inter-annual changes in the CH</w:t>
            </w:r>
            <w:r w:rsidRPr="00D9348B">
              <w:rPr>
                <w:vertAlign w:val="subscript"/>
              </w:rPr>
              <w:t>4</w:t>
            </w:r>
            <w:r w:rsidRPr="00D9348B">
              <w:t xml:space="preserve"> implied emission factor in the 2019 NIR. See chapter 5, section 5.1.1, Effect of productivity improvements and climatic events on implied emissions.</w:t>
            </w:r>
          </w:p>
        </w:tc>
      </w:tr>
      <w:tr w:rsidR="00971A1F" w:rsidRPr="00D9348B" w14:paraId="30A0D345" w14:textId="77777777" w:rsidTr="008D68F9">
        <w:trPr>
          <w:gridBefore w:val="1"/>
          <w:wBefore w:w="25" w:type="dxa"/>
        </w:trPr>
        <w:tc>
          <w:tcPr>
            <w:tcW w:w="1814" w:type="dxa"/>
            <w:tcBorders>
              <w:top w:val="single" w:sz="4" w:space="0" w:color="365F91"/>
              <w:bottom w:val="single" w:sz="4" w:space="0" w:color="365F91"/>
            </w:tcBorders>
            <w:shd w:val="clear" w:color="auto" w:fill="auto"/>
            <w:tcMar>
              <w:left w:w="57" w:type="dxa"/>
            </w:tcMar>
          </w:tcPr>
          <w:p w14:paraId="2F4DB591" w14:textId="77777777" w:rsidR="00971A1F" w:rsidRPr="00D9348B" w:rsidRDefault="00971A1F" w:rsidP="00DB330E">
            <w:pPr>
              <w:pStyle w:val="TableText"/>
              <w:spacing w:before="40" w:after="40"/>
            </w:pPr>
            <w:r w:rsidRPr="00D9348B">
              <w:t>Agriculture – 3.D.a.1 Inorganic N fertilisers – N</w:t>
            </w:r>
            <w:r w:rsidRPr="00D9348B">
              <w:rPr>
                <w:vertAlign w:val="subscript"/>
              </w:rPr>
              <w:t>2</w:t>
            </w:r>
            <w:r w:rsidRPr="00D9348B">
              <w:t>O</w:t>
            </w:r>
          </w:p>
        </w:tc>
        <w:tc>
          <w:tcPr>
            <w:tcW w:w="964" w:type="dxa"/>
            <w:tcBorders>
              <w:top w:val="single" w:sz="4" w:space="0" w:color="365F91"/>
              <w:bottom w:val="single" w:sz="4" w:space="0" w:color="365F91"/>
            </w:tcBorders>
          </w:tcPr>
          <w:p w14:paraId="533B4255" w14:textId="77777777" w:rsidR="00971A1F" w:rsidRPr="00D9348B" w:rsidRDefault="00971A1F" w:rsidP="00DB330E">
            <w:pPr>
              <w:pStyle w:val="TableText"/>
              <w:spacing w:before="40" w:after="40"/>
            </w:pPr>
            <w:r w:rsidRPr="00D9348B">
              <w:t>A.2, 2017</w:t>
            </w:r>
          </w:p>
        </w:tc>
        <w:tc>
          <w:tcPr>
            <w:tcW w:w="3193" w:type="dxa"/>
            <w:tcBorders>
              <w:top w:val="single" w:sz="4" w:space="0" w:color="365F91"/>
              <w:bottom w:val="single" w:sz="4" w:space="0" w:color="365F91"/>
            </w:tcBorders>
            <w:shd w:val="clear" w:color="auto" w:fill="auto"/>
          </w:tcPr>
          <w:p w14:paraId="236C9BBC" w14:textId="77777777" w:rsidR="00971A1F" w:rsidRPr="00D9348B" w:rsidRDefault="00971A1F" w:rsidP="00DB330E">
            <w:pPr>
              <w:pStyle w:val="TableText"/>
              <w:spacing w:before="40" w:after="40"/>
            </w:pPr>
            <w:r w:rsidRPr="00D9348B">
              <w:t>Correct the observed inconsistency between the NIR and CRF tables regarding N</w:t>
            </w:r>
            <w:r w:rsidRPr="00D9348B">
              <w:rPr>
                <w:vertAlign w:val="subscript"/>
              </w:rPr>
              <w:t>2</w:t>
            </w:r>
            <w:r w:rsidRPr="00D9348B">
              <w:t>O emissions from synthetic nitrogen fertiliser use, and improve the QA/QC procedures related to this category.</w:t>
            </w:r>
          </w:p>
        </w:tc>
        <w:tc>
          <w:tcPr>
            <w:tcW w:w="2722" w:type="dxa"/>
            <w:tcBorders>
              <w:top w:val="single" w:sz="4" w:space="0" w:color="365F91"/>
              <w:bottom w:val="single" w:sz="4" w:space="0" w:color="365F91"/>
            </w:tcBorders>
            <w:shd w:val="clear" w:color="auto" w:fill="auto"/>
          </w:tcPr>
          <w:p w14:paraId="189F4182" w14:textId="77777777" w:rsidR="00971A1F" w:rsidRPr="00D9348B" w:rsidRDefault="00971A1F" w:rsidP="00DB330E">
            <w:pPr>
              <w:pStyle w:val="TableText"/>
              <w:spacing w:before="40" w:after="40"/>
              <w:rPr>
                <w:b/>
              </w:rPr>
            </w:pPr>
            <w:r w:rsidRPr="00D9348B">
              <w:rPr>
                <w:b/>
              </w:rPr>
              <w:t xml:space="preserve">Resolved. </w:t>
            </w:r>
            <w:r w:rsidRPr="00D9348B">
              <w:t>Updated information on synthetic nitrogen fertiliser use is provided in the 2019 NIR.</w:t>
            </w:r>
          </w:p>
        </w:tc>
      </w:tr>
      <w:tr w:rsidR="00971A1F" w:rsidRPr="00D9348B" w14:paraId="30812032" w14:textId="77777777" w:rsidTr="008D68F9">
        <w:trPr>
          <w:gridBefore w:val="1"/>
          <w:wBefore w:w="25" w:type="dxa"/>
        </w:trPr>
        <w:tc>
          <w:tcPr>
            <w:tcW w:w="1814" w:type="dxa"/>
            <w:tcBorders>
              <w:top w:val="single" w:sz="4" w:space="0" w:color="365F91"/>
              <w:bottom w:val="single" w:sz="4" w:space="0" w:color="365F91"/>
            </w:tcBorders>
            <w:shd w:val="clear" w:color="auto" w:fill="auto"/>
            <w:tcMar>
              <w:left w:w="57" w:type="dxa"/>
            </w:tcMar>
          </w:tcPr>
          <w:p w14:paraId="24D5DD01" w14:textId="77777777" w:rsidR="00971A1F" w:rsidRPr="00D9348B" w:rsidRDefault="00971A1F" w:rsidP="00DB330E">
            <w:pPr>
              <w:pStyle w:val="TableText"/>
              <w:keepNext/>
              <w:spacing w:before="40" w:after="40"/>
            </w:pPr>
            <w:r w:rsidRPr="00D9348B">
              <w:t>Agriculture – 3.F Field burning of agricultural residues – CH</w:t>
            </w:r>
            <w:r w:rsidRPr="00D9348B">
              <w:rPr>
                <w:vertAlign w:val="subscript"/>
              </w:rPr>
              <w:t>4</w:t>
            </w:r>
            <w:r w:rsidRPr="00D9348B">
              <w:t>, and N</w:t>
            </w:r>
            <w:r w:rsidRPr="00D9348B">
              <w:rPr>
                <w:vertAlign w:val="subscript"/>
              </w:rPr>
              <w:t>2</w:t>
            </w:r>
            <w:r w:rsidRPr="00D9348B">
              <w:t>O</w:t>
            </w:r>
          </w:p>
        </w:tc>
        <w:tc>
          <w:tcPr>
            <w:tcW w:w="964" w:type="dxa"/>
            <w:tcBorders>
              <w:top w:val="single" w:sz="4" w:space="0" w:color="365F91"/>
              <w:bottom w:val="single" w:sz="4" w:space="0" w:color="365F91"/>
            </w:tcBorders>
          </w:tcPr>
          <w:p w14:paraId="3B8C2829" w14:textId="77777777" w:rsidR="00971A1F" w:rsidRPr="00D9348B" w:rsidRDefault="00971A1F" w:rsidP="00DB330E">
            <w:pPr>
              <w:pStyle w:val="TableText"/>
              <w:spacing w:before="40" w:after="40"/>
            </w:pPr>
            <w:r w:rsidRPr="00D9348B">
              <w:t>A.3, 2017</w:t>
            </w:r>
          </w:p>
        </w:tc>
        <w:tc>
          <w:tcPr>
            <w:tcW w:w="3193" w:type="dxa"/>
            <w:tcBorders>
              <w:top w:val="single" w:sz="4" w:space="0" w:color="365F91"/>
              <w:bottom w:val="single" w:sz="4" w:space="0" w:color="365F91"/>
            </w:tcBorders>
            <w:shd w:val="clear" w:color="auto" w:fill="auto"/>
          </w:tcPr>
          <w:p w14:paraId="0AED7A99" w14:textId="77777777" w:rsidR="00971A1F" w:rsidRPr="00D9348B" w:rsidRDefault="00971A1F" w:rsidP="00DB330E">
            <w:pPr>
              <w:pStyle w:val="TableText"/>
              <w:spacing w:before="40" w:after="40"/>
            </w:pPr>
            <w:r w:rsidRPr="00D9348B">
              <w:t>Correct the inconsistencies between the NIR and CRF table 3.F relating to the field burning of agricultural residues, specifically reporting information in the NIR for the years for which greenhouse gas emissions are reported in the CRF tables, and improve the QA/QC procedures related to this category.</w:t>
            </w:r>
          </w:p>
        </w:tc>
        <w:tc>
          <w:tcPr>
            <w:tcW w:w="2722" w:type="dxa"/>
            <w:tcBorders>
              <w:top w:val="single" w:sz="4" w:space="0" w:color="365F91"/>
              <w:bottom w:val="single" w:sz="4" w:space="0" w:color="365F91"/>
            </w:tcBorders>
            <w:shd w:val="clear" w:color="auto" w:fill="auto"/>
          </w:tcPr>
          <w:p w14:paraId="538500EB" w14:textId="77777777" w:rsidR="00971A1F" w:rsidRPr="00D9348B" w:rsidRDefault="00971A1F" w:rsidP="00DB330E">
            <w:pPr>
              <w:pStyle w:val="TableText"/>
              <w:spacing w:before="40" w:after="40"/>
              <w:rPr>
                <w:b/>
              </w:rPr>
            </w:pPr>
            <w:r w:rsidRPr="00D9348B">
              <w:rPr>
                <w:b/>
              </w:rPr>
              <w:t xml:space="preserve">Resolved. </w:t>
            </w:r>
            <w:r w:rsidRPr="00D9348B">
              <w:t>Updated information on the burning of agricultural residues is provided in the 2019 NIR.</w:t>
            </w:r>
          </w:p>
        </w:tc>
      </w:tr>
      <w:tr w:rsidR="00971A1F" w:rsidRPr="00D9348B" w14:paraId="0614D14A" w14:textId="77777777" w:rsidTr="008D68F9">
        <w:trPr>
          <w:gridBefore w:val="1"/>
          <w:wBefore w:w="25" w:type="dxa"/>
        </w:trPr>
        <w:tc>
          <w:tcPr>
            <w:tcW w:w="1814" w:type="dxa"/>
            <w:tcBorders>
              <w:top w:val="single" w:sz="4" w:space="0" w:color="365F91"/>
              <w:bottom w:val="single" w:sz="4" w:space="0" w:color="365F91"/>
            </w:tcBorders>
            <w:shd w:val="clear" w:color="auto" w:fill="auto"/>
            <w:tcMar>
              <w:left w:w="57" w:type="dxa"/>
            </w:tcMar>
          </w:tcPr>
          <w:p w14:paraId="64BCFC6C" w14:textId="77777777" w:rsidR="00971A1F" w:rsidRPr="00D9348B" w:rsidRDefault="00971A1F" w:rsidP="00DB330E">
            <w:pPr>
              <w:pStyle w:val="TableText"/>
              <w:spacing w:before="40" w:after="40"/>
            </w:pPr>
            <w:r w:rsidRPr="00D9348B">
              <w:t>LULUCF – General – CO</w:t>
            </w:r>
            <w:r w:rsidRPr="00D9348B">
              <w:rPr>
                <w:vertAlign w:val="subscript"/>
              </w:rPr>
              <w:t>2</w:t>
            </w:r>
            <w:r w:rsidRPr="00D9348B">
              <w:t>, CH</w:t>
            </w:r>
            <w:r w:rsidRPr="00D9348B">
              <w:rPr>
                <w:vertAlign w:val="subscript"/>
              </w:rPr>
              <w:t>4</w:t>
            </w:r>
            <w:r w:rsidRPr="00D9348B">
              <w:t xml:space="preserve"> and N</w:t>
            </w:r>
            <w:r w:rsidRPr="00D9348B">
              <w:rPr>
                <w:vertAlign w:val="subscript"/>
              </w:rPr>
              <w:t>2</w:t>
            </w:r>
            <w:r w:rsidRPr="00D9348B">
              <w:t>O</w:t>
            </w:r>
          </w:p>
        </w:tc>
        <w:tc>
          <w:tcPr>
            <w:tcW w:w="964" w:type="dxa"/>
            <w:tcBorders>
              <w:top w:val="single" w:sz="4" w:space="0" w:color="365F91"/>
              <w:bottom w:val="single" w:sz="4" w:space="0" w:color="365F91"/>
            </w:tcBorders>
          </w:tcPr>
          <w:p w14:paraId="412CA868" w14:textId="77777777" w:rsidR="00971A1F" w:rsidRPr="00D9348B" w:rsidRDefault="00971A1F" w:rsidP="00DB330E">
            <w:pPr>
              <w:pStyle w:val="TableText"/>
              <w:spacing w:before="40" w:after="40"/>
            </w:pPr>
            <w:r w:rsidRPr="00D9348B">
              <w:t>L.1, 2017</w:t>
            </w:r>
          </w:p>
        </w:tc>
        <w:tc>
          <w:tcPr>
            <w:tcW w:w="3193" w:type="dxa"/>
            <w:tcBorders>
              <w:top w:val="single" w:sz="4" w:space="0" w:color="365F91"/>
              <w:bottom w:val="single" w:sz="4" w:space="0" w:color="365F91"/>
            </w:tcBorders>
            <w:shd w:val="clear" w:color="auto" w:fill="auto"/>
          </w:tcPr>
          <w:p w14:paraId="69456A35" w14:textId="77777777" w:rsidR="00971A1F" w:rsidRPr="00D9348B" w:rsidRDefault="00971A1F" w:rsidP="00DB330E">
            <w:pPr>
              <w:pStyle w:val="TableText"/>
              <w:spacing w:before="40" w:after="40"/>
            </w:pPr>
            <w:r w:rsidRPr="00D9348B">
              <w:t>Review and, where necessary, update the carbon fractions of biomass using the appropriate values in the 2006 IPCC Guidelines.</w:t>
            </w:r>
          </w:p>
        </w:tc>
        <w:tc>
          <w:tcPr>
            <w:tcW w:w="2722" w:type="dxa"/>
            <w:tcBorders>
              <w:top w:val="single" w:sz="4" w:space="0" w:color="365F91"/>
              <w:bottom w:val="single" w:sz="4" w:space="0" w:color="365F91"/>
            </w:tcBorders>
            <w:shd w:val="clear" w:color="auto" w:fill="auto"/>
          </w:tcPr>
          <w:p w14:paraId="27085796" w14:textId="77777777" w:rsidR="00971A1F" w:rsidRPr="00D9348B" w:rsidRDefault="00971A1F" w:rsidP="00DB330E">
            <w:pPr>
              <w:pStyle w:val="TableText"/>
              <w:spacing w:before="40" w:after="40"/>
              <w:rPr>
                <w:b/>
              </w:rPr>
            </w:pPr>
            <w:r w:rsidRPr="00D9348B">
              <w:rPr>
                <w:b/>
              </w:rPr>
              <w:t>Resolved.</w:t>
            </w:r>
            <w:r w:rsidRPr="00D9348B">
              <w:t xml:space="preserve"> New Zealand has updated the carbon fractions where appropriate.</w:t>
            </w:r>
          </w:p>
        </w:tc>
      </w:tr>
      <w:tr w:rsidR="00971A1F" w:rsidRPr="00D9348B" w14:paraId="37172537" w14:textId="77777777" w:rsidTr="008D68F9">
        <w:trPr>
          <w:gridBefore w:val="1"/>
          <w:wBefore w:w="25" w:type="dxa"/>
        </w:trPr>
        <w:tc>
          <w:tcPr>
            <w:tcW w:w="1814" w:type="dxa"/>
            <w:tcBorders>
              <w:top w:val="single" w:sz="4" w:space="0" w:color="365F91"/>
              <w:bottom w:val="single" w:sz="4" w:space="0" w:color="365F91"/>
            </w:tcBorders>
            <w:shd w:val="clear" w:color="auto" w:fill="auto"/>
            <w:tcMar>
              <w:left w:w="57" w:type="dxa"/>
            </w:tcMar>
          </w:tcPr>
          <w:p w14:paraId="67ADB569" w14:textId="77777777" w:rsidR="00971A1F" w:rsidRPr="00D9348B" w:rsidRDefault="00971A1F" w:rsidP="0036223D">
            <w:pPr>
              <w:pStyle w:val="TableText"/>
              <w:keepNext/>
              <w:spacing w:before="50" w:after="50"/>
            </w:pPr>
            <w:r w:rsidRPr="00D9348B">
              <w:t>Waste – General – CH</w:t>
            </w:r>
            <w:r w:rsidRPr="00D9348B">
              <w:rPr>
                <w:vertAlign w:val="subscript"/>
              </w:rPr>
              <w:t>4</w:t>
            </w:r>
          </w:p>
        </w:tc>
        <w:tc>
          <w:tcPr>
            <w:tcW w:w="964" w:type="dxa"/>
            <w:tcBorders>
              <w:top w:val="single" w:sz="4" w:space="0" w:color="365F91"/>
              <w:bottom w:val="single" w:sz="4" w:space="0" w:color="365F91"/>
            </w:tcBorders>
          </w:tcPr>
          <w:p w14:paraId="0E155976" w14:textId="77777777" w:rsidR="00971A1F" w:rsidRPr="00D9348B" w:rsidRDefault="00971A1F" w:rsidP="0036223D">
            <w:pPr>
              <w:pStyle w:val="TableText"/>
              <w:keepNext/>
              <w:spacing w:before="50" w:after="50"/>
            </w:pPr>
            <w:r w:rsidRPr="00D9348B">
              <w:t>W.1, 2017</w:t>
            </w:r>
          </w:p>
        </w:tc>
        <w:tc>
          <w:tcPr>
            <w:tcW w:w="3193" w:type="dxa"/>
            <w:tcBorders>
              <w:top w:val="single" w:sz="4" w:space="0" w:color="365F91"/>
              <w:bottom w:val="single" w:sz="4" w:space="0" w:color="365F91"/>
            </w:tcBorders>
            <w:shd w:val="clear" w:color="auto" w:fill="auto"/>
          </w:tcPr>
          <w:p w14:paraId="6415AEF3" w14:textId="77777777" w:rsidR="00971A1F" w:rsidRPr="00D9348B" w:rsidRDefault="00971A1F" w:rsidP="0036223D">
            <w:pPr>
              <w:pStyle w:val="TableText"/>
              <w:keepNext/>
              <w:spacing w:before="50" w:after="50"/>
            </w:pPr>
            <w:r w:rsidRPr="00D9348B">
              <w:t>Provide in the NIR tables information on activity data (full time series) at the level at which the estimates are calculated. Or, where this is not possible owing to the large amount of data or for confidentiality reasons, provide summaries of activity data at an appropriate level, to increase transparency and to allow the ERT to review the accuracy of the estimates and time series.</w:t>
            </w:r>
          </w:p>
        </w:tc>
        <w:tc>
          <w:tcPr>
            <w:tcW w:w="2722" w:type="dxa"/>
            <w:tcBorders>
              <w:top w:val="single" w:sz="4" w:space="0" w:color="365F91"/>
              <w:bottom w:val="single" w:sz="4" w:space="0" w:color="365F91"/>
            </w:tcBorders>
            <w:shd w:val="clear" w:color="auto" w:fill="auto"/>
          </w:tcPr>
          <w:p w14:paraId="2EE58B20" w14:textId="77777777" w:rsidR="00971A1F" w:rsidRPr="00D9348B" w:rsidRDefault="00971A1F" w:rsidP="0036223D">
            <w:pPr>
              <w:pStyle w:val="TableText"/>
              <w:keepNext/>
              <w:spacing w:before="50" w:after="50"/>
              <w:rPr>
                <w:b/>
              </w:rPr>
            </w:pPr>
            <w:r w:rsidRPr="00D9348B">
              <w:rPr>
                <w:b/>
              </w:rPr>
              <w:t xml:space="preserve">Resolved. </w:t>
            </w:r>
            <w:r w:rsidRPr="00D9348B">
              <w:t>Aggregate activity data for all categories are provided in the NIR since the 2019 submission.</w:t>
            </w:r>
          </w:p>
        </w:tc>
      </w:tr>
      <w:tr w:rsidR="00971A1F" w:rsidRPr="00D9348B" w14:paraId="3070B83D" w14:textId="77777777" w:rsidTr="008D68F9">
        <w:trPr>
          <w:gridBefore w:val="1"/>
          <w:wBefore w:w="25" w:type="dxa"/>
        </w:trPr>
        <w:tc>
          <w:tcPr>
            <w:tcW w:w="1814" w:type="dxa"/>
            <w:tcBorders>
              <w:top w:val="single" w:sz="4" w:space="0" w:color="365F91"/>
              <w:bottom w:val="single" w:sz="4" w:space="0" w:color="365F91"/>
            </w:tcBorders>
            <w:shd w:val="clear" w:color="auto" w:fill="auto"/>
            <w:tcMar>
              <w:left w:w="57" w:type="dxa"/>
            </w:tcMar>
          </w:tcPr>
          <w:p w14:paraId="0DFB799D" w14:textId="77777777" w:rsidR="00971A1F" w:rsidRPr="00D9348B" w:rsidRDefault="00971A1F" w:rsidP="00DB330E">
            <w:pPr>
              <w:pStyle w:val="TableText"/>
              <w:spacing w:before="50" w:after="50"/>
            </w:pPr>
            <w:r w:rsidRPr="00D9348B">
              <w:t>Waste – 5. General (waste) – CH</w:t>
            </w:r>
            <w:r w:rsidRPr="00D9348B">
              <w:rPr>
                <w:vertAlign w:val="subscript"/>
              </w:rPr>
              <w:t>4</w:t>
            </w:r>
            <w:r w:rsidRPr="00D9348B">
              <w:t>, N</w:t>
            </w:r>
            <w:r w:rsidRPr="00D9348B">
              <w:rPr>
                <w:vertAlign w:val="subscript"/>
              </w:rPr>
              <w:t>2</w:t>
            </w:r>
            <w:r w:rsidRPr="00D9348B">
              <w:t>O and CO</w:t>
            </w:r>
            <w:r w:rsidRPr="00D9348B">
              <w:rPr>
                <w:vertAlign w:val="subscript"/>
              </w:rPr>
              <w:t>2</w:t>
            </w:r>
          </w:p>
        </w:tc>
        <w:tc>
          <w:tcPr>
            <w:tcW w:w="964" w:type="dxa"/>
            <w:tcBorders>
              <w:top w:val="single" w:sz="4" w:space="0" w:color="365F91"/>
              <w:bottom w:val="single" w:sz="4" w:space="0" w:color="365F91"/>
            </w:tcBorders>
          </w:tcPr>
          <w:p w14:paraId="03752C38" w14:textId="77777777" w:rsidR="00971A1F" w:rsidRPr="00D9348B" w:rsidRDefault="00971A1F" w:rsidP="00DB330E">
            <w:pPr>
              <w:pStyle w:val="TableText"/>
              <w:spacing w:before="50" w:after="50"/>
            </w:pPr>
            <w:r w:rsidRPr="00D9348B">
              <w:t>W.2, 2017</w:t>
            </w:r>
          </w:p>
        </w:tc>
        <w:tc>
          <w:tcPr>
            <w:tcW w:w="3193" w:type="dxa"/>
            <w:tcBorders>
              <w:top w:val="single" w:sz="4" w:space="0" w:color="365F91"/>
              <w:bottom w:val="single" w:sz="4" w:space="0" w:color="365F91"/>
            </w:tcBorders>
            <w:shd w:val="clear" w:color="auto" w:fill="auto"/>
          </w:tcPr>
          <w:p w14:paraId="412E0BF4" w14:textId="77777777" w:rsidR="00971A1F" w:rsidRPr="00D9348B" w:rsidRDefault="00971A1F" w:rsidP="00DB330E">
            <w:pPr>
              <w:pStyle w:val="TableText"/>
              <w:spacing w:before="50" w:after="50"/>
            </w:pPr>
            <w:r w:rsidRPr="00D9348B">
              <w:t>Noting the general recommendation in ID#W.1 in table 3, provide, in the NIR, tables with information on waste generation and various treatment options (with the full time series).</w:t>
            </w:r>
          </w:p>
        </w:tc>
        <w:tc>
          <w:tcPr>
            <w:tcW w:w="2722" w:type="dxa"/>
            <w:tcBorders>
              <w:top w:val="single" w:sz="4" w:space="0" w:color="365F91"/>
              <w:bottom w:val="single" w:sz="4" w:space="0" w:color="365F91"/>
            </w:tcBorders>
            <w:shd w:val="clear" w:color="auto" w:fill="auto"/>
          </w:tcPr>
          <w:p w14:paraId="1E8D5E8B" w14:textId="77777777" w:rsidR="00971A1F" w:rsidRPr="00D9348B" w:rsidRDefault="00971A1F" w:rsidP="00DB330E">
            <w:pPr>
              <w:pStyle w:val="TableText"/>
              <w:spacing w:before="50" w:after="50"/>
              <w:rPr>
                <w:b/>
              </w:rPr>
            </w:pPr>
            <w:r w:rsidRPr="00D9348B">
              <w:rPr>
                <w:b/>
              </w:rPr>
              <w:t xml:space="preserve">Resolved. </w:t>
            </w:r>
            <w:r w:rsidRPr="00D9348B">
              <w:t>Aggregate activity data for all categories are provided in the NIR since the 2019 submission.</w:t>
            </w:r>
          </w:p>
        </w:tc>
      </w:tr>
      <w:tr w:rsidR="00971A1F" w:rsidRPr="00D9348B" w14:paraId="08F4827E" w14:textId="77777777" w:rsidTr="008D68F9">
        <w:trPr>
          <w:gridBefore w:val="1"/>
          <w:wBefore w:w="25" w:type="dxa"/>
        </w:trPr>
        <w:tc>
          <w:tcPr>
            <w:tcW w:w="1814" w:type="dxa"/>
            <w:tcBorders>
              <w:top w:val="single" w:sz="4" w:space="0" w:color="365F91"/>
              <w:bottom w:val="single" w:sz="4" w:space="0" w:color="365F91"/>
            </w:tcBorders>
            <w:shd w:val="clear" w:color="auto" w:fill="auto"/>
            <w:tcMar>
              <w:left w:w="57" w:type="dxa"/>
            </w:tcMar>
          </w:tcPr>
          <w:p w14:paraId="6F58C969" w14:textId="77777777" w:rsidR="00971A1F" w:rsidRPr="00D9348B" w:rsidRDefault="00971A1F" w:rsidP="00DB330E">
            <w:pPr>
              <w:pStyle w:val="TableText"/>
              <w:spacing w:before="50" w:after="50"/>
            </w:pPr>
            <w:r w:rsidRPr="00D9348B">
              <w:t>Waste – Solid waste disposal (5.A) – CH</w:t>
            </w:r>
            <w:r w:rsidRPr="00D9348B">
              <w:rPr>
                <w:vertAlign w:val="subscript"/>
              </w:rPr>
              <w:t>4</w:t>
            </w:r>
          </w:p>
        </w:tc>
        <w:tc>
          <w:tcPr>
            <w:tcW w:w="964" w:type="dxa"/>
            <w:tcBorders>
              <w:top w:val="single" w:sz="4" w:space="0" w:color="365F91"/>
              <w:bottom w:val="single" w:sz="4" w:space="0" w:color="365F91"/>
            </w:tcBorders>
          </w:tcPr>
          <w:p w14:paraId="3C33A566" w14:textId="77777777" w:rsidR="00971A1F" w:rsidRPr="00D9348B" w:rsidRDefault="00971A1F" w:rsidP="00DB330E">
            <w:pPr>
              <w:pStyle w:val="TableText"/>
              <w:spacing w:before="50" w:after="50"/>
            </w:pPr>
            <w:r w:rsidRPr="00D9348B">
              <w:t>W.4, 2017</w:t>
            </w:r>
          </w:p>
        </w:tc>
        <w:tc>
          <w:tcPr>
            <w:tcW w:w="3193" w:type="dxa"/>
            <w:tcBorders>
              <w:top w:val="single" w:sz="4" w:space="0" w:color="365F91"/>
              <w:bottom w:val="single" w:sz="4" w:space="0" w:color="365F91"/>
            </w:tcBorders>
            <w:shd w:val="clear" w:color="auto" w:fill="auto"/>
          </w:tcPr>
          <w:p w14:paraId="245D1565" w14:textId="77777777" w:rsidR="00971A1F" w:rsidRPr="00D9348B" w:rsidRDefault="00971A1F" w:rsidP="00DB330E">
            <w:pPr>
              <w:pStyle w:val="TableText"/>
              <w:spacing w:before="50" w:after="50"/>
            </w:pPr>
            <w:r w:rsidRPr="00D9348B">
              <w:t>Provide a summary of activity data (amount) for the entire time series by waste type and solid waste disposal site (SWDS) type, as well as additional information on the source of the data.</w:t>
            </w:r>
          </w:p>
        </w:tc>
        <w:tc>
          <w:tcPr>
            <w:tcW w:w="2722" w:type="dxa"/>
            <w:tcBorders>
              <w:top w:val="single" w:sz="4" w:space="0" w:color="365F91"/>
              <w:bottom w:val="single" w:sz="4" w:space="0" w:color="365F91"/>
            </w:tcBorders>
            <w:shd w:val="clear" w:color="auto" w:fill="auto"/>
          </w:tcPr>
          <w:p w14:paraId="220A8747" w14:textId="77777777" w:rsidR="00971A1F" w:rsidRPr="00D9348B" w:rsidRDefault="00971A1F" w:rsidP="00DB330E">
            <w:pPr>
              <w:pStyle w:val="TableText"/>
              <w:spacing w:before="50" w:after="50"/>
              <w:rPr>
                <w:b/>
              </w:rPr>
            </w:pPr>
            <w:r w:rsidRPr="00D9348B">
              <w:rPr>
                <w:b/>
              </w:rPr>
              <w:t xml:space="preserve">Resolved. </w:t>
            </w:r>
            <w:r w:rsidRPr="00D9348B">
              <w:t>Aggregate activity data for all categories is provided in the NIR since the 2019 submission.</w:t>
            </w:r>
          </w:p>
        </w:tc>
      </w:tr>
      <w:tr w:rsidR="00971A1F" w:rsidRPr="00D9348B" w14:paraId="0B6FFCA8" w14:textId="77777777" w:rsidTr="008D68F9">
        <w:trPr>
          <w:gridBefore w:val="1"/>
          <w:wBefore w:w="25" w:type="dxa"/>
        </w:trPr>
        <w:tc>
          <w:tcPr>
            <w:tcW w:w="1814" w:type="dxa"/>
            <w:tcBorders>
              <w:top w:val="single" w:sz="4" w:space="0" w:color="365F91"/>
              <w:bottom w:val="single" w:sz="4" w:space="0" w:color="365F91"/>
            </w:tcBorders>
            <w:shd w:val="clear" w:color="auto" w:fill="auto"/>
            <w:tcMar>
              <w:left w:w="57" w:type="dxa"/>
            </w:tcMar>
          </w:tcPr>
          <w:p w14:paraId="273ECB21" w14:textId="77777777" w:rsidR="00971A1F" w:rsidRPr="00D9348B" w:rsidRDefault="00971A1F" w:rsidP="006D0A98">
            <w:pPr>
              <w:pStyle w:val="TableText"/>
              <w:keepNext/>
              <w:spacing w:before="50" w:after="50"/>
            </w:pPr>
            <w:r w:rsidRPr="00D9348B">
              <w:lastRenderedPageBreak/>
              <w:t>Waste – Solid waste disposal (5.A) – CH</w:t>
            </w:r>
            <w:r w:rsidRPr="00D9348B">
              <w:rPr>
                <w:vertAlign w:val="subscript"/>
              </w:rPr>
              <w:t>4</w:t>
            </w:r>
          </w:p>
        </w:tc>
        <w:tc>
          <w:tcPr>
            <w:tcW w:w="964" w:type="dxa"/>
            <w:tcBorders>
              <w:top w:val="single" w:sz="4" w:space="0" w:color="365F91"/>
              <w:bottom w:val="single" w:sz="4" w:space="0" w:color="365F91"/>
            </w:tcBorders>
          </w:tcPr>
          <w:p w14:paraId="2F038309" w14:textId="77777777" w:rsidR="00971A1F" w:rsidRPr="00D9348B" w:rsidRDefault="00971A1F" w:rsidP="006D0A98">
            <w:pPr>
              <w:pStyle w:val="TableText"/>
              <w:keepNext/>
              <w:spacing w:before="50" w:after="50"/>
            </w:pPr>
            <w:r w:rsidRPr="00D9348B">
              <w:t>W.5, 2017</w:t>
            </w:r>
          </w:p>
        </w:tc>
        <w:tc>
          <w:tcPr>
            <w:tcW w:w="3193" w:type="dxa"/>
            <w:tcBorders>
              <w:top w:val="single" w:sz="4" w:space="0" w:color="365F91"/>
              <w:bottom w:val="single" w:sz="4" w:space="0" w:color="365F91"/>
            </w:tcBorders>
            <w:shd w:val="clear" w:color="auto" w:fill="auto"/>
          </w:tcPr>
          <w:p w14:paraId="34C6C623" w14:textId="77777777" w:rsidR="00971A1F" w:rsidRPr="00D9348B" w:rsidRDefault="00971A1F" w:rsidP="006D0A98">
            <w:pPr>
              <w:pStyle w:val="TableText"/>
              <w:keepNext/>
              <w:spacing w:before="50" w:after="50"/>
            </w:pPr>
            <w:r w:rsidRPr="00D9348B">
              <w:t>Provide substantive justification for the country-specific default values on CH</w:t>
            </w:r>
            <w:r w:rsidRPr="00D9348B">
              <w:rPr>
                <w:vertAlign w:val="subscript"/>
              </w:rPr>
              <w:t>4</w:t>
            </w:r>
            <w:r w:rsidRPr="00D9348B">
              <w:t xml:space="preserve"> recovery efficiency, including on the factors that can enhance the recovery (e.g., through measurement results or scientific literature confirming the used values) or that New Zealand revises its estimates for CH</w:t>
            </w:r>
            <w:r w:rsidRPr="00D9348B">
              <w:rPr>
                <w:vertAlign w:val="subscript"/>
              </w:rPr>
              <w:t>4</w:t>
            </w:r>
            <w:r w:rsidRPr="00D9348B">
              <w:t xml:space="preserve"> recovery at SWDSs for which metered data are not available to 20 per cent, in order to be consistent with the guidance in the 2006 IPCC Guidelines.</w:t>
            </w:r>
          </w:p>
        </w:tc>
        <w:tc>
          <w:tcPr>
            <w:tcW w:w="2722" w:type="dxa"/>
            <w:tcBorders>
              <w:top w:val="single" w:sz="4" w:space="0" w:color="365F91"/>
              <w:bottom w:val="single" w:sz="4" w:space="0" w:color="365F91"/>
            </w:tcBorders>
            <w:shd w:val="clear" w:color="auto" w:fill="auto"/>
          </w:tcPr>
          <w:p w14:paraId="48AC0CB3" w14:textId="77777777" w:rsidR="00971A1F" w:rsidRPr="00D9348B" w:rsidRDefault="00971A1F" w:rsidP="006D0A98">
            <w:pPr>
              <w:pStyle w:val="TableText"/>
              <w:keepNext/>
              <w:spacing w:before="50" w:after="50"/>
              <w:rPr>
                <w:b/>
              </w:rPr>
            </w:pPr>
            <w:r w:rsidRPr="00D9348B">
              <w:rPr>
                <w:b/>
              </w:rPr>
              <w:t xml:space="preserve">Resolved. </w:t>
            </w:r>
            <w:r w:rsidRPr="00D9348B">
              <w:t xml:space="preserve">Significant justification has been provided in the NIR since the 2018 submission, under gas recovery in chapter 7, section 7.2.2. </w:t>
            </w:r>
          </w:p>
        </w:tc>
      </w:tr>
      <w:tr w:rsidR="00971A1F" w:rsidRPr="00D9348B" w14:paraId="065E98C8" w14:textId="77777777" w:rsidTr="008D68F9">
        <w:trPr>
          <w:gridBefore w:val="1"/>
          <w:wBefore w:w="25" w:type="dxa"/>
        </w:trPr>
        <w:tc>
          <w:tcPr>
            <w:tcW w:w="1814" w:type="dxa"/>
            <w:tcBorders>
              <w:top w:val="single" w:sz="4" w:space="0" w:color="365F91"/>
              <w:bottom w:val="single" w:sz="4" w:space="0" w:color="365F91"/>
            </w:tcBorders>
            <w:shd w:val="clear" w:color="auto" w:fill="auto"/>
            <w:tcMar>
              <w:left w:w="57" w:type="dxa"/>
            </w:tcMar>
          </w:tcPr>
          <w:p w14:paraId="623C7366" w14:textId="77777777" w:rsidR="00971A1F" w:rsidRPr="00D9348B" w:rsidRDefault="00971A1F" w:rsidP="00DB330E">
            <w:pPr>
              <w:pStyle w:val="TableText"/>
              <w:spacing w:before="50" w:after="50"/>
            </w:pPr>
            <w:r w:rsidRPr="00D9348B">
              <w:t>Waste – Solid waste disposal (5.A) – CH</w:t>
            </w:r>
            <w:r w:rsidRPr="00D9348B">
              <w:rPr>
                <w:vertAlign w:val="subscript"/>
              </w:rPr>
              <w:t>4</w:t>
            </w:r>
          </w:p>
        </w:tc>
        <w:tc>
          <w:tcPr>
            <w:tcW w:w="964" w:type="dxa"/>
            <w:tcBorders>
              <w:top w:val="single" w:sz="4" w:space="0" w:color="365F91"/>
              <w:bottom w:val="single" w:sz="4" w:space="0" w:color="365F91"/>
            </w:tcBorders>
          </w:tcPr>
          <w:p w14:paraId="4423FD00" w14:textId="77777777" w:rsidR="00971A1F" w:rsidRPr="00D9348B" w:rsidRDefault="00971A1F" w:rsidP="00DB330E">
            <w:pPr>
              <w:pStyle w:val="TableText"/>
              <w:spacing w:before="50" w:after="50"/>
            </w:pPr>
            <w:r w:rsidRPr="00D9348B">
              <w:t>W.6, 2017</w:t>
            </w:r>
          </w:p>
        </w:tc>
        <w:tc>
          <w:tcPr>
            <w:tcW w:w="3193" w:type="dxa"/>
            <w:tcBorders>
              <w:top w:val="single" w:sz="4" w:space="0" w:color="365F91"/>
              <w:bottom w:val="single" w:sz="4" w:space="0" w:color="365F91"/>
            </w:tcBorders>
            <w:shd w:val="clear" w:color="auto" w:fill="auto"/>
          </w:tcPr>
          <w:p w14:paraId="33ADC6E3" w14:textId="77777777" w:rsidR="00971A1F" w:rsidRPr="00D9348B" w:rsidRDefault="00971A1F" w:rsidP="00DB330E">
            <w:pPr>
              <w:pStyle w:val="TableText"/>
              <w:spacing w:before="50" w:after="50"/>
            </w:pPr>
            <w:r w:rsidRPr="00D9348B">
              <w:t>Confirm the data used for each year, either by continuous monitoring of the CH</w:t>
            </w:r>
            <w:r w:rsidRPr="00D9348B">
              <w:rPr>
                <w:vertAlign w:val="subscript"/>
              </w:rPr>
              <w:t>4</w:t>
            </w:r>
            <w:r w:rsidRPr="00D9348B">
              <w:t xml:space="preserve"> recovered from the sites or by using drivers such as electricity production using the recovered gas, in accordance with the 2006 IPCC Guidelines.</w:t>
            </w:r>
          </w:p>
        </w:tc>
        <w:tc>
          <w:tcPr>
            <w:tcW w:w="2722" w:type="dxa"/>
            <w:tcBorders>
              <w:top w:val="single" w:sz="4" w:space="0" w:color="365F91"/>
              <w:bottom w:val="single" w:sz="4" w:space="0" w:color="365F91"/>
            </w:tcBorders>
            <w:shd w:val="clear" w:color="auto" w:fill="auto"/>
          </w:tcPr>
          <w:p w14:paraId="2CB3BCCC" w14:textId="77777777" w:rsidR="00971A1F" w:rsidRPr="00D9348B" w:rsidRDefault="00971A1F" w:rsidP="00DB330E">
            <w:pPr>
              <w:pStyle w:val="TableText"/>
              <w:spacing w:before="50" w:after="50"/>
              <w:rPr>
                <w:b/>
              </w:rPr>
            </w:pPr>
            <w:r w:rsidRPr="00D9348B">
              <w:rPr>
                <w:b/>
              </w:rPr>
              <w:t xml:space="preserve">Resolved. </w:t>
            </w:r>
            <w:r w:rsidRPr="00D9348B">
              <w:t>New Zealand has improved data on landfill gas collection rates by incorporating data from the NZ ETS in the NIR since the 2019 submission. There is detailed explanation of the data used under gas recovery in chapter 7, section 7.2.2.</w:t>
            </w:r>
          </w:p>
        </w:tc>
      </w:tr>
      <w:tr w:rsidR="00971A1F" w:rsidRPr="00D9348B" w14:paraId="546665C8" w14:textId="77777777" w:rsidTr="008D68F9">
        <w:trPr>
          <w:gridBefore w:val="1"/>
          <w:wBefore w:w="25" w:type="dxa"/>
        </w:trPr>
        <w:tc>
          <w:tcPr>
            <w:tcW w:w="1814" w:type="dxa"/>
            <w:tcBorders>
              <w:top w:val="single" w:sz="4" w:space="0" w:color="365F91"/>
              <w:bottom w:val="single" w:sz="4" w:space="0" w:color="365F91"/>
            </w:tcBorders>
            <w:shd w:val="clear" w:color="auto" w:fill="auto"/>
            <w:tcMar>
              <w:left w:w="57" w:type="dxa"/>
            </w:tcMar>
          </w:tcPr>
          <w:p w14:paraId="7617ECBF" w14:textId="77777777" w:rsidR="00971A1F" w:rsidRPr="00D9348B" w:rsidRDefault="00971A1F" w:rsidP="00DB330E">
            <w:pPr>
              <w:pStyle w:val="TableText"/>
              <w:spacing w:before="50" w:after="50"/>
            </w:pPr>
            <w:r w:rsidRPr="00D9348B">
              <w:t>Waste – Solid waste disposal (5.A) – CH</w:t>
            </w:r>
            <w:r w:rsidRPr="00D9348B">
              <w:rPr>
                <w:vertAlign w:val="subscript"/>
              </w:rPr>
              <w:t>4</w:t>
            </w:r>
          </w:p>
        </w:tc>
        <w:tc>
          <w:tcPr>
            <w:tcW w:w="964" w:type="dxa"/>
            <w:tcBorders>
              <w:top w:val="single" w:sz="4" w:space="0" w:color="365F91"/>
              <w:bottom w:val="single" w:sz="4" w:space="0" w:color="365F91"/>
            </w:tcBorders>
          </w:tcPr>
          <w:p w14:paraId="0EE24F27" w14:textId="77777777" w:rsidR="00971A1F" w:rsidRPr="00D9348B" w:rsidRDefault="00971A1F" w:rsidP="00DB330E">
            <w:pPr>
              <w:pStyle w:val="TableText"/>
              <w:spacing w:before="50" w:after="50"/>
            </w:pPr>
            <w:r w:rsidRPr="00D9348B">
              <w:t>W.7, 2017</w:t>
            </w:r>
          </w:p>
        </w:tc>
        <w:tc>
          <w:tcPr>
            <w:tcW w:w="3193" w:type="dxa"/>
            <w:tcBorders>
              <w:top w:val="single" w:sz="4" w:space="0" w:color="365F91"/>
              <w:bottom w:val="single" w:sz="4" w:space="0" w:color="365F91"/>
            </w:tcBorders>
            <w:shd w:val="clear" w:color="auto" w:fill="auto"/>
          </w:tcPr>
          <w:p w14:paraId="1B035713" w14:textId="77777777" w:rsidR="00971A1F" w:rsidRPr="00D9348B" w:rsidRDefault="00971A1F" w:rsidP="00DB330E">
            <w:pPr>
              <w:pStyle w:val="TableText"/>
              <w:spacing w:before="50" w:after="50"/>
            </w:pPr>
            <w:r w:rsidRPr="00D9348B">
              <w:t>Provide data on the SWDSs at which it is confirmed that CH</w:t>
            </w:r>
            <w:r w:rsidRPr="00D9348B">
              <w:rPr>
                <w:vertAlign w:val="subscript"/>
              </w:rPr>
              <w:t>4</w:t>
            </w:r>
            <w:r w:rsidRPr="00D9348B">
              <w:t xml:space="preserve"> recovery takes place and data on the amount of CH</w:t>
            </w:r>
            <w:r w:rsidRPr="00D9348B">
              <w:rPr>
                <w:vertAlign w:val="subscript"/>
              </w:rPr>
              <w:t>4</w:t>
            </w:r>
            <w:r w:rsidRPr="00D9348B">
              <w:t xml:space="preserve"> recovered for which metered data on the recovery are available in each future annual inventory submission. The ERT also recommends that the Party provides this information separately for energy recovery and flaring. The information can be provided as an aggregate value for the SWDSs in question.</w:t>
            </w:r>
          </w:p>
        </w:tc>
        <w:tc>
          <w:tcPr>
            <w:tcW w:w="2722" w:type="dxa"/>
            <w:tcBorders>
              <w:top w:val="single" w:sz="4" w:space="0" w:color="365F91"/>
              <w:bottom w:val="single" w:sz="4" w:space="0" w:color="365F91"/>
            </w:tcBorders>
            <w:shd w:val="clear" w:color="auto" w:fill="auto"/>
          </w:tcPr>
          <w:p w14:paraId="6A302773" w14:textId="77777777" w:rsidR="00971A1F" w:rsidRPr="00D9348B" w:rsidRDefault="00971A1F" w:rsidP="00DB330E">
            <w:pPr>
              <w:pStyle w:val="TableText"/>
              <w:spacing w:before="50" w:after="50"/>
              <w:rPr>
                <w:b/>
              </w:rPr>
            </w:pPr>
            <w:r w:rsidRPr="00D9348B">
              <w:rPr>
                <w:b/>
              </w:rPr>
              <w:t xml:space="preserve">Resolved. </w:t>
            </w:r>
            <w:r w:rsidRPr="00D9348B">
              <w:t>Details on CH</w:t>
            </w:r>
            <w:r w:rsidRPr="00D9348B">
              <w:rPr>
                <w:vertAlign w:val="subscript"/>
              </w:rPr>
              <w:t>4</w:t>
            </w:r>
            <w:r w:rsidRPr="00D9348B">
              <w:t xml:space="preserve"> recovery are provided in the NIR since the 2018 submission, under gas recovery in chapter 7, section 7.2.2, including table 7.2.6, which reports data on CH</w:t>
            </w:r>
            <w:r w:rsidRPr="00D9348B">
              <w:rPr>
                <w:vertAlign w:val="subscript"/>
              </w:rPr>
              <w:t>4</w:t>
            </w:r>
            <w:r w:rsidRPr="00D9348B">
              <w:t xml:space="preserve"> recovery at landfills.</w:t>
            </w:r>
          </w:p>
        </w:tc>
      </w:tr>
      <w:tr w:rsidR="00971A1F" w:rsidRPr="00D9348B" w14:paraId="73E6547C" w14:textId="77777777" w:rsidTr="008D68F9">
        <w:trPr>
          <w:gridBefore w:val="1"/>
          <w:wBefore w:w="25" w:type="dxa"/>
        </w:trPr>
        <w:tc>
          <w:tcPr>
            <w:tcW w:w="1814" w:type="dxa"/>
            <w:tcBorders>
              <w:top w:val="single" w:sz="4" w:space="0" w:color="365F91"/>
              <w:bottom w:val="single" w:sz="4" w:space="0" w:color="365F91"/>
            </w:tcBorders>
            <w:shd w:val="clear" w:color="auto" w:fill="auto"/>
            <w:tcMar>
              <w:left w:w="57" w:type="dxa"/>
            </w:tcMar>
          </w:tcPr>
          <w:p w14:paraId="775B7EEC" w14:textId="77777777" w:rsidR="00971A1F" w:rsidRPr="00D9348B" w:rsidRDefault="00971A1F" w:rsidP="00DB330E">
            <w:pPr>
              <w:pStyle w:val="TableText"/>
              <w:spacing w:before="50" w:after="50"/>
            </w:pPr>
            <w:r w:rsidRPr="00D9348B">
              <w:t>Waste – Solid waste disposal (5.A) – CH</w:t>
            </w:r>
            <w:r w:rsidRPr="00D9348B">
              <w:rPr>
                <w:vertAlign w:val="subscript"/>
              </w:rPr>
              <w:t>4</w:t>
            </w:r>
          </w:p>
        </w:tc>
        <w:tc>
          <w:tcPr>
            <w:tcW w:w="964" w:type="dxa"/>
            <w:tcBorders>
              <w:top w:val="single" w:sz="4" w:space="0" w:color="365F91"/>
              <w:bottom w:val="single" w:sz="4" w:space="0" w:color="365F91"/>
            </w:tcBorders>
          </w:tcPr>
          <w:p w14:paraId="0C2118B3" w14:textId="77777777" w:rsidR="00971A1F" w:rsidRPr="00D9348B" w:rsidRDefault="00971A1F" w:rsidP="00DB330E">
            <w:pPr>
              <w:pStyle w:val="TableText"/>
              <w:spacing w:before="50" w:after="50"/>
            </w:pPr>
            <w:r w:rsidRPr="00D9348B">
              <w:t>W.8, 2017</w:t>
            </w:r>
          </w:p>
        </w:tc>
        <w:tc>
          <w:tcPr>
            <w:tcW w:w="3193" w:type="dxa"/>
            <w:tcBorders>
              <w:top w:val="single" w:sz="4" w:space="0" w:color="365F91"/>
              <w:bottom w:val="single" w:sz="4" w:space="0" w:color="365F91"/>
            </w:tcBorders>
            <w:shd w:val="clear" w:color="auto" w:fill="auto"/>
          </w:tcPr>
          <w:p w14:paraId="6CBD5355" w14:textId="77777777" w:rsidR="00971A1F" w:rsidRPr="00D9348B" w:rsidRDefault="00971A1F" w:rsidP="00DB330E">
            <w:pPr>
              <w:pStyle w:val="TableText"/>
              <w:spacing w:before="50" w:after="50"/>
            </w:pPr>
            <w:r w:rsidRPr="00D9348B">
              <w:t>Ensure consistency in the methodology and parameters used to estimate CH</w:t>
            </w:r>
            <w:r w:rsidRPr="00D9348B">
              <w:rPr>
                <w:vertAlign w:val="subscript"/>
              </w:rPr>
              <w:t>4</w:t>
            </w:r>
            <w:r w:rsidRPr="00D9348B">
              <w:t xml:space="preserve"> generation across SWDSs and, if the methodology and parameters are not from the 2006 IPCC Guidelines, justify the applicability of the methodology used to the national circumstances.</w:t>
            </w:r>
          </w:p>
          <w:p w14:paraId="3632C895" w14:textId="77777777" w:rsidR="00971A1F" w:rsidRPr="00D9348B" w:rsidRDefault="00971A1F" w:rsidP="00DB330E">
            <w:pPr>
              <w:pStyle w:val="TableText"/>
              <w:spacing w:before="50" w:after="50"/>
            </w:pPr>
            <w:r w:rsidRPr="00D9348B">
              <w:t>The ERT also recommends that New Zealand improves the description in the NIR, when SWDS-specific parameters are used in the estimation of the CH</w:t>
            </w:r>
            <w:r w:rsidRPr="00D9348B">
              <w:rPr>
                <w:vertAlign w:val="subscript"/>
              </w:rPr>
              <w:t>4</w:t>
            </w:r>
            <w:r w:rsidRPr="00D9348B">
              <w:t xml:space="preserve"> emissions from SWDSs, by clarifying the sources for the parameters and providing reasons why different parameters are used.</w:t>
            </w:r>
          </w:p>
        </w:tc>
        <w:tc>
          <w:tcPr>
            <w:tcW w:w="2722" w:type="dxa"/>
            <w:tcBorders>
              <w:top w:val="single" w:sz="4" w:space="0" w:color="365F91"/>
              <w:bottom w:val="single" w:sz="4" w:space="0" w:color="365F91"/>
            </w:tcBorders>
            <w:shd w:val="clear" w:color="auto" w:fill="auto"/>
          </w:tcPr>
          <w:p w14:paraId="5545DAC3" w14:textId="77777777" w:rsidR="00971A1F" w:rsidRPr="00D9348B" w:rsidRDefault="00971A1F" w:rsidP="00DB330E">
            <w:pPr>
              <w:pStyle w:val="TableText"/>
              <w:spacing w:before="50" w:after="50"/>
              <w:rPr>
                <w:b/>
              </w:rPr>
            </w:pPr>
            <w:r w:rsidRPr="00D9348B">
              <w:rPr>
                <w:b/>
              </w:rPr>
              <w:t xml:space="preserve">Resolved. </w:t>
            </w:r>
            <w:r w:rsidRPr="00D9348B">
              <w:t>New Zealand has provided more detail on the methods applied to estimate emissions from SWDS in the NIR since the 2018 submission, under CH</w:t>
            </w:r>
            <w:r w:rsidRPr="00D9348B">
              <w:rPr>
                <w:vertAlign w:val="subscript"/>
              </w:rPr>
              <w:t>4</w:t>
            </w:r>
            <w:r w:rsidRPr="00D9348B">
              <w:t xml:space="preserve"> generation rates in section 7.2.2.</w:t>
            </w:r>
          </w:p>
        </w:tc>
      </w:tr>
      <w:tr w:rsidR="00971A1F" w:rsidRPr="00D9348B" w14:paraId="4FD2C7A0" w14:textId="77777777" w:rsidTr="008D68F9">
        <w:trPr>
          <w:gridBefore w:val="1"/>
          <w:wBefore w:w="25" w:type="dxa"/>
        </w:trPr>
        <w:tc>
          <w:tcPr>
            <w:tcW w:w="1814" w:type="dxa"/>
            <w:tcBorders>
              <w:top w:val="single" w:sz="4" w:space="0" w:color="365F91"/>
              <w:bottom w:val="single" w:sz="4" w:space="0" w:color="365F91"/>
            </w:tcBorders>
            <w:shd w:val="clear" w:color="auto" w:fill="auto"/>
            <w:tcMar>
              <w:left w:w="57" w:type="dxa"/>
            </w:tcMar>
          </w:tcPr>
          <w:p w14:paraId="66441D98" w14:textId="77777777" w:rsidR="00971A1F" w:rsidRPr="00D9348B" w:rsidRDefault="00971A1F" w:rsidP="0036223D">
            <w:pPr>
              <w:pStyle w:val="TableText"/>
              <w:keepNext/>
              <w:spacing w:before="50" w:after="50"/>
            </w:pPr>
            <w:r w:rsidRPr="00D9348B">
              <w:t>Waste – 5.A.1 Managed waste disposal sites – CH</w:t>
            </w:r>
            <w:r w:rsidRPr="00D9348B">
              <w:rPr>
                <w:vertAlign w:val="subscript"/>
              </w:rPr>
              <w:t>4</w:t>
            </w:r>
          </w:p>
        </w:tc>
        <w:tc>
          <w:tcPr>
            <w:tcW w:w="964" w:type="dxa"/>
            <w:tcBorders>
              <w:top w:val="single" w:sz="4" w:space="0" w:color="365F91"/>
              <w:bottom w:val="single" w:sz="4" w:space="0" w:color="365F91"/>
            </w:tcBorders>
          </w:tcPr>
          <w:p w14:paraId="5E30367F" w14:textId="77777777" w:rsidR="00971A1F" w:rsidRPr="00D9348B" w:rsidRDefault="00971A1F" w:rsidP="0036223D">
            <w:pPr>
              <w:pStyle w:val="TableText"/>
              <w:keepNext/>
              <w:spacing w:before="50" w:after="50"/>
            </w:pPr>
            <w:r w:rsidRPr="00D9348B">
              <w:t>W.9, 2017</w:t>
            </w:r>
          </w:p>
        </w:tc>
        <w:tc>
          <w:tcPr>
            <w:tcW w:w="3193" w:type="dxa"/>
            <w:tcBorders>
              <w:top w:val="single" w:sz="4" w:space="0" w:color="365F91"/>
              <w:bottom w:val="single" w:sz="4" w:space="0" w:color="365F91"/>
            </w:tcBorders>
            <w:shd w:val="clear" w:color="auto" w:fill="auto"/>
          </w:tcPr>
          <w:p w14:paraId="7AA77DA6" w14:textId="77777777" w:rsidR="00971A1F" w:rsidRPr="00D9348B" w:rsidRDefault="00971A1F" w:rsidP="0036223D">
            <w:pPr>
              <w:pStyle w:val="TableText"/>
              <w:keepNext/>
              <w:spacing w:before="50" w:after="50"/>
            </w:pPr>
            <w:r w:rsidRPr="00D9348B">
              <w:t>Either provide a better justification for the country-specific rate constant for biodegradation in landfills for municipal solid waste, or calculate CH</w:t>
            </w:r>
            <w:r w:rsidRPr="00D9348B">
              <w:rPr>
                <w:vertAlign w:val="subscript"/>
              </w:rPr>
              <w:t>4</w:t>
            </w:r>
            <w:r w:rsidRPr="00D9348B">
              <w:t xml:space="preserve"> generation for municipal landfills with the default rate constant for biodegradation from the 2006 IPCC Guidelines.</w:t>
            </w:r>
          </w:p>
        </w:tc>
        <w:tc>
          <w:tcPr>
            <w:tcW w:w="2722" w:type="dxa"/>
            <w:tcBorders>
              <w:top w:val="single" w:sz="4" w:space="0" w:color="365F91"/>
              <w:bottom w:val="single" w:sz="4" w:space="0" w:color="365F91"/>
            </w:tcBorders>
            <w:shd w:val="clear" w:color="auto" w:fill="auto"/>
          </w:tcPr>
          <w:p w14:paraId="068C4F81" w14:textId="77777777" w:rsidR="00971A1F" w:rsidRPr="00D9348B" w:rsidRDefault="00971A1F" w:rsidP="0036223D">
            <w:pPr>
              <w:pStyle w:val="TableText"/>
              <w:keepNext/>
              <w:spacing w:before="50" w:after="50"/>
              <w:rPr>
                <w:b/>
              </w:rPr>
            </w:pPr>
            <w:r w:rsidRPr="00D9348B">
              <w:rPr>
                <w:b/>
              </w:rPr>
              <w:t xml:space="preserve">Resolved. </w:t>
            </w:r>
            <w:r w:rsidRPr="00D9348B">
              <w:t>New Zealand has provided more detail on the methods applied to estimate emissions from solid waste disposal sites since the NIR for the 2018 submission, under CH</w:t>
            </w:r>
            <w:r w:rsidRPr="00D9348B">
              <w:rPr>
                <w:vertAlign w:val="subscript"/>
              </w:rPr>
              <w:t>4</w:t>
            </w:r>
            <w:r w:rsidRPr="00D9348B">
              <w:t xml:space="preserve"> generation rates in chapter 7, section 7.2.2. In addition, an additional summary from a key report was included for the 2020 submission to explain the choice of k values.</w:t>
            </w:r>
          </w:p>
        </w:tc>
      </w:tr>
      <w:tr w:rsidR="00971A1F" w:rsidRPr="00D9348B" w14:paraId="52AC2534" w14:textId="77777777" w:rsidTr="008D68F9">
        <w:trPr>
          <w:gridBefore w:val="1"/>
          <w:wBefore w:w="25" w:type="dxa"/>
        </w:trPr>
        <w:tc>
          <w:tcPr>
            <w:tcW w:w="1814" w:type="dxa"/>
            <w:tcBorders>
              <w:top w:val="single" w:sz="4" w:space="0" w:color="365F91"/>
              <w:bottom w:val="single" w:sz="4" w:space="0" w:color="365F91"/>
            </w:tcBorders>
            <w:shd w:val="clear" w:color="auto" w:fill="auto"/>
            <w:tcMar>
              <w:left w:w="57" w:type="dxa"/>
            </w:tcMar>
          </w:tcPr>
          <w:p w14:paraId="64413511" w14:textId="77777777" w:rsidR="00971A1F" w:rsidRPr="00D9348B" w:rsidRDefault="00971A1F" w:rsidP="00DB330E">
            <w:pPr>
              <w:pStyle w:val="TableText"/>
              <w:spacing w:before="50" w:after="50"/>
            </w:pPr>
            <w:r w:rsidRPr="00D9348B">
              <w:t>Waste – 5.A.2 Unmanaged waste disposal sites – CH</w:t>
            </w:r>
            <w:r w:rsidRPr="00D9348B">
              <w:rPr>
                <w:vertAlign w:val="subscript"/>
              </w:rPr>
              <w:t>4</w:t>
            </w:r>
          </w:p>
        </w:tc>
        <w:tc>
          <w:tcPr>
            <w:tcW w:w="964" w:type="dxa"/>
            <w:tcBorders>
              <w:top w:val="single" w:sz="4" w:space="0" w:color="365F91"/>
              <w:bottom w:val="single" w:sz="4" w:space="0" w:color="365F91"/>
            </w:tcBorders>
          </w:tcPr>
          <w:p w14:paraId="349DB541" w14:textId="77777777" w:rsidR="00971A1F" w:rsidRPr="00D9348B" w:rsidRDefault="00971A1F" w:rsidP="00DB330E">
            <w:pPr>
              <w:pStyle w:val="TableText"/>
              <w:spacing w:before="50" w:after="50"/>
            </w:pPr>
            <w:r w:rsidRPr="00D9348B">
              <w:t>W.10, 2017</w:t>
            </w:r>
          </w:p>
        </w:tc>
        <w:tc>
          <w:tcPr>
            <w:tcW w:w="3193" w:type="dxa"/>
            <w:tcBorders>
              <w:top w:val="single" w:sz="4" w:space="0" w:color="365F91"/>
              <w:bottom w:val="single" w:sz="4" w:space="0" w:color="365F91"/>
            </w:tcBorders>
            <w:shd w:val="clear" w:color="auto" w:fill="auto"/>
          </w:tcPr>
          <w:p w14:paraId="213F3D8E" w14:textId="77777777" w:rsidR="00971A1F" w:rsidRPr="00D9348B" w:rsidRDefault="00971A1F" w:rsidP="00DB330E">
            <w:pPr>
              <w:pStyle w:val="TableText"/>
              <w:spacing w:before="50" w:after="50"/>
            </w:pPr>
            <w:r w:rsidRPr="00D9348B">
              <w:t>Improve the degradable organic carbon content of farm waste based on the average waste composition of the various farm wastes determined from local studies.</w:t>
            </w:r>
          </w:p>
        </w:tc>
        <w:tc>
          <w:tcPr>
            <w:tcW w:w="2722" w:type="dxa"/>
            <w:tcBorders>
              <w:top w:val="single" w:sz="4" w:space="0" w:color="365F91"/>
              <w:bottom w:val="single" w:sz="4" w:space="0" w:color="365F91"/>
            </w:tcBorders>
            <w:shd w:val="clear" w:color="auto" w:fill="auto"/>
          </w:tcPr>
          <w:p w14:paraId="12293A3E" w14:textId="78B9D77F" w:rsidR="00971A1F" w:rsidRPr="00D9348B" w:rsidRDefault="00971A1F" w:rsidP="00DB330E">
            <w:pPr>
              <w:pStyle w:val="TableText"/>
              <w:spacing w:before="50" w:after="50"/>
              <w:rPr>
                <w:b/>
              </w:rPr>
            </w:pPr>
            <w:r w:rsidRPr="00D9348B">
              <w:rPr>
                <w:b/>
              </w:rPr>
              <w:t>Resolved.</w:t>
            </w:r>
            <w:r w:rsidRPr="00D9348B">
              <w:t xml:space="preserve"> New Zealand has incorporated additional survey data on farm waste since the 2018 submission and has also derived degradable organic carbon values based on the composition of waste for each specific farm type. An additional summary from a key report was also included for the 2020 submission to explain the degradable organ</w:t>
            </w:r>
            <w:r w:rsidR="00F04E69">
              <w:t>ic carbon values for farm waste</w:t>
            </w:r>
            <w:r w:rsidRPr="00D9348B">
              <w:t>.</w:t>
            </w:r>
          </w:p>
        </w:tc>
      </w:tr>
      <w:tr w:rsidR="00971A1F" w:rsidRPr="00D9348B" w14:paraId="2B72BB87" w14:textId="77777777" w:rsidTr="008D68F9">
        <w:trPr>
          <w:gridBefore w:val="1"/>
          <w:wBefore w:w="25" w:type="dxa"/>
        </w:trPr>
        <w:tc>
          <w:tcPr>
            <w:tcW w:w="1814" w:type="dxa"/>
            <w:tcBorders>
              <w:top w:val="single" w:sz="4" w:space="0" w:color="365F91"/>
              <w:bottom w:val="single" w:sz="4" w:space="0" w:color="365F91"/>
            </w:tcBorders>
            <w:shd w:val="clear" w:color="auto" w:fill="auto"/>
            <w:tcMar>
              <w:left w:w="57" w:type="dxa"/>
            </w:tcMar>
          </w:tcPr>
          <w:p w14:paraId="311C1D13" w14:textId="77777777" w:rsidR="00971A1F" w:rsidRPr="00D9348B" w:rsidRDefault="00971A1F" w:rsidP="006D0A98">
            <w:pPr>
              <w:pStyle w:val="TableText"/>
              <w:keepNext/>
              <w:spacing w:before="50" w:after="50"/>
            </w:pPr>
            <w:r w:rsidRPr="00D9348B">
              <w:lastRenderedPageBreak/>
              <w:t>Waste – 5.D.1 Domestic wastewater – CH</w:t>
            </w:r>
            <w:r w:rsidRPr="00D9348B">
              <w:rPr>
                <w:vertAlign w:val="subscript"/>
              </w:rPr>
              <w:t>4</w:t>
            </w:r>
          </w:p>
        </w:tc>
        <w:tc>
          <w:tcPr>
            <w:tcW w:w="964" w:type="dxa"/>
            <w:tcBorders>
              <w:top w:val="single" w:sz="4" w:space="0" w:color="365F91"/>
              <w:bottom w:val="single" w:sz="4" w:space="0" w:color="365F91"/>
            </w:tcBorders>
          </w:tcPr>
          <w:p w14:paraId="1E942BEF" w14:textId="77777777" w:rsidR="00971A1F" w:rsidRPr="00D9348B" w:rsidRDefault="00971A1F" w:rsidP="006D0A98">
            <w:pPr>
              <w:pStyle w:val="TableText"/>
              <w:keepNext/>
              <w:spacing w:before="50" w:after="50"/>
            </w:pPr>
            <w:r w:rsidRPr="00D9348B">
              <w:t>W.13, 2017</w:t>
            </w:r>
          </w:p>
        </w:tc>
        <w:tc>
          <w:tcPr>
            <w:tcW w:w="3193" w:type="dxa"/>
            <w:tcBorders>
              <w:top w:val="single" w:sz="4" w:space="0" w:color="365F91"/>
              <w:bottom w:val="single" w:sz="4" w:space="0" w:color="365F91"/>
            </w:tcBorders>
            <w:shd w:val="clear" w:color="auto" w:fill="auto"/>
          </w:tcPr>
          <w:p w14:paraId="356634FC" w14:textId="77777777" w:rsidR="00971A1F" w:rsidRPr="00D9348B" w:rsidRDefault="00971A1F" w:rsidP="006D0A98">
            <w:pPr>
              <w:pStyle w:val="TableText"/>
              <w:keepNext/>
              <w:spacing w:before="50" w:after="50"/>
            </w:pPr>
            <w:r w:rsidRPr="00D9348B">
              <w:t>Calculate emissions from septic tanks assuming an ‘I’ of 1.</w:t>
            </w:r>
          </w:p>
        </w:tc>
        <w:tc>
          <w:tcPr>
            <w:tcW w:w="2722" w:type="dxa"/>
            <w:tcBorders>
              <w:top w:val="single" w:sz="4" w:space="0" w:color="365F91"/>
              <w:bottom w:val="single" w:sz="4" w:space="0" w:color="365F91"/>
            </w:tcBorders>
            <w:shd w:val="clear" w:color="auto" w:fill="auto"/>
          </w:tcPr>
          <w:p w14:paraId="2D0B7420" w14:textId="77777777" w:rsidR="00971A1F" w:rsidRPr="00D9348B" w:rsidRDefault="00971A1F" w:rsidP="006D0A98">
            <w:pPr>
              <w:pStyle w:val="TableText"/>
              <w:keepNext/>
              <w:spacing w:before="50" w:after="50"/>
              <w:rPr>
                <w:b/>
              </w:rPr>
            </w:pPr>
            <w:r w:rsidRPr="00D9348B">
              <w:rPr>
                <w:b/>
              </w:rPr>
              <w:t xml:space="preserve">Resolved. </w:t>
            </w:r>
            <w:r w:rsidRPr="00D9348B">
              <w:t>New Zealand has revised and corrected this parameter for septic tanks in domestic wastewater calculations for the 2019 submission.</w:t>
            </w:r>
          </w:p>
        </w:tc>
      </w:tr>
      <w:tr w:rsidR="00971A1F" w:rsidRPr="00D9348B" w14:paraId="5C6FA977" w14:textId="77777777" w:rsidTr="008D68F9">
        <w:trPr>
          <w:gridBefore w:val="1"/>
          <w:wBefore w:w="25" w:type="dxa"/>
        </w:trPr>
        <w:tc>
          <w:tcPr>
            <w:tcW w:w="1814" w:type="dxa"/>
            <w:tcBorders>
              <w:top w:val="single" w:sz="4" w:space="0" w:color="365F91"/>
              <w:bottom w:val="single" w:sz="4" w:space="0" w:color="365F91"/>
            </w:tcBorders>
            <w:shd w:val="clear" w:color="auto" w:fill="auto"/>
            <w:tcMar>
              <w:left w:w="57" w:type="dxa"/>
            </w:tcMar>
          </w:tcPr>
          <w:p w14:paraId="6B9103F4" w14:textId="77777777" w:rsidR="00971A1F" w:rsidRPr="00D9348B" w:rsidRDefault="00971A1F" w:rsidP="00DB330E">
            <w:pPr>
              <w:pStyle w:val="TableText"/>
              <w:spacing w:before="50" w:after="50"/>
            </w:pPr>
            <w:r w:rsidRPr="00D9348B">
              <w:t>KP-LULUCF – Forest management – CO</w:t>
            </w:r>
            <w:r w:rsidRPr="00D9348B">
              <w:rPr>
                <w:vertAlign w:val="subscript"/>
              </w:rPr>
              <w:t>2</w:t>
            </w:r>
            <w:r w:rsidRPr="00D9348B">
              <w:t>, CH</w:t>
            </w:r>
            <w:r w:rsidRPr="00D9348B">
              <w:rPr>
                <w:vertAlign w:val="subscript"/>
              </w:rPr>
              <w:t>4</w:t>
            </w:r>
            <w:r w:rsidRPr="00D9348B">
              <w:t xml:space="preserve"> and N</w:t>
            </w:r>
            <w:r w:rsidRPr="00D9348B">
              <w:rPr>
                <w:vertAlign w:val="subscript"/>
              </w:rPr>
              <w:t>2</w:t>
            </w:r>
            <w:r w:rsidRPr="00D9348B">
              <w:t>O</w:t>
            </w:r>
          </w:p>
        </w:tc>
        <w:tc>
          <w:tcPr>
            <w:tcW w:w="964" w:type="dxa"/>
            <w:tcBorders>
              <w:top w:val="single" w:sz="4" w:space="0" w:color="365F91"/>
              <w:bottom w:val="single" w:sz="4" w:space="0" w:color="365F91"/>
            </w:tcBorders>
          </w:tcPr>
          <w:p w14:paraId="3551A6A5" w14:textId="77777777" w:rsidR="00971A1F" w:rsidRPr="00D9348B" w:rsidRDefault="00971A1F" w:rsidP="00DB330E">
            <w:pPr>
              <w:pStyle w:val="TableText"/>
              <w:spacing w:before="50" w:after="50"/>
            </w:pPr>
            <w:r w:rsidRPr="00D9348B">
              <w:t>KL.1, 2017</w:t>
            </w:r>
          </w:p>
        </w:tc>
        <w:tc>
          <w:tcPr>
            <w:tcW w:w="3193" w:type="dxa"/>
            <w:tcBorders>
              <w:top w:val="single" w:sz="4" w:space="0" w:color="365F91"/>
              <w:bottom w:val="single" w:sz="4" w:space="0" w:color="365F91"/>
            </w:tcBorders>
            <w:shd w:val="clear" w:color="auto" w:fill="auto"/>
          </w:tcPr>
          <w:p w14:paraId="1872DD4A" w14:textId="77777777" w:rsidR="00971A1F" w:rsidRPr="00D9348B" w:rsidRDefault="00971A1F" w:rsidP="00DB330E">
            <w:pPr>
              <w:pStyle w:val="TableText"/>
              <w:spacing w:before="50" w:after="50"/>
            </w:pPr>
            <w:r w:rsidRPr="00D9348B">
              <w:t>Improve the transparency of the reporting of the FMRL</w:t>
            </w:r>
            <w:r w:rsidRPr="00D9348B">
              <w:rPr>
                <w:i/>
                <w:vertAlign w:val="subscript"/>
              </w:rPr>
              <w:t>corr</w:t>
            </w:r>
            <w:r w:rsidRPr="00D9348B">
              <w:t xml:space="preserve"> by clearly separating the original forest management reference level, the various technical corrections and their totals, and the FMRL</w:t>
            </w:r>
            <w:r w:rsidRPr="00D9348B">
              <w:rPr>
                <w:i/>
                <w:vertAlign w:val="subscript"/>
              </w:rPr>
              <w:t>corr</w:t>
            </w:r>
            <w:r w:rsidRPr="00D9348B">
              <w:t>.</w:t>
            </w:r>
          </w:p>
        </w:tc>
        <w:tc>
          <w:tcPr>
            <w:tcW w:w="2722" w:type="dxa"/>
            <w:tcBorders>
              <w:top w:val="single" w:sz="4" w:space="0" w:color="365F91"/>
              <w:bottom w:val="single" w:sz="4" w:space="0" w:color="365F91"/>
            </w:tcBorders>
            <w:shd w:val="clear" w:color="auto" w:fill="auto"/>
          </w:tcPr>
          <w:p w14:paraId="09A00F17" w14:textId="77777777" w:rsidR="00971A1F" w:rsidRPr="00D9348B" w:rsidRDefault="00971A1F" w:rsidP="00DB330E">
            <w:pPr>
              <w:pStyle w:val="TableText"/>
              <w:spacing w:before="50" w:after="50"/>
              <w:rPr>
                <w:b/>
              </w:rPr>
            </w:pPr>
            <w:r w:rsidRPr="00D9348B">
              <w:rPr>
                <w:b/>
              </w:rPr>
              <w:t xml:space="preserve">Resolved. </w:t>
            </w:r>
            <w:r w:rsidRPr="00D9348B">
              <w:t>Refer to annex 5.1.</w:t>
            </w:r>
          </w:p>
        </w:tc>
      </w:tr>
      <w:tr w:rsidR="00971A1F" w:rsidRPr="00D9348B" w14:paraId="235CE36E" w14:textId="77777777" w:rsidTr="008D68F9">
        <w:trPr>
          <w:gridBefore w:val="1"/>
          <w:wBefore w:w="25" w:type="dxa"/>
        </w:trPr>
        <w:tc>
          <w:tcPr>
            <w:tcW w:w="1814" w:type="dxa"/>
            <w:tcBorders>
              <w:top w:val="single" w:sz="4" w:space="0" w:color="365F91"/>
              <w:bottom w:val="single" w:sz="4" w:space="0" w:color="365F91"/>
            </w:tcBorders>
            <w:shd w:val="clear" w:color="auto" w:fill="auto"/>
            <w:tcMar>
              <w:left w:w="57" w:type="dxa"/>
            </w:tcMar>
          </w:tcPr>
          <w:p w14:paraId="42C51857" w14:textId="77777777" w:rsidR="00971A1F" w:rsidRPr="00D9348B" w:rsidRDefault="00971A1F" w:rsidP="00DB330E">
            <w:pPr>
              <w:pStyle w:val="TableText"/>
              <w:spacing w:before="50" w:after="50"/>
            </w:pPr>
            <w:r w:rsidRPr="00D9348B">
              <w:t>KP-LULUCF – Forest management – CO</w:t>
            </w:r>
            <w:r w:rsidRPr="00D9348B">
              <w:rPr>
                <w:vertAlign w:val="subscript"/>
              </w:rPr>
              <w:t>2</w:t>
            </w:r>
          </w:p>
        </w:tc>
        <w:tc>
          <w:tcPr>
            <w:tcW w:w="964" w:type="dxa"/>
            <w:tcBorders>
              <w:top w:val="single" w:sz="4" w:space="0" w:color="365F91"/>
              <w:bottom w:val="single" w:sz="4" w:space="0" w:color="365F91"/>
            </w:tcBorders>
          </w:tcPr>
          <w:p w14:paraId="1E43A0D7" w14:textId="77777777" w:rsidR="00971A1F" w:rsidRPr="00D9348B" w:rsidRDefault="00971A1F" w:rsidP="00DB330E">
            <w:pPr>
              <w:pStyle w:val="TableText"/>
              <w:spacing w:before="50" w:after="50"/>
            </w:pPr>
            <w:r w:rsidRPr="00D9348B">
              <w:t>KL.2, 2017</w:t>
            </w:r>
          </w:p>
        </w:tc>
        <w:tc>
          <w:tcPr>
            <w:tcW w:w="3193" w:type="dxa"/>
            <w:tcBorders>
              <w:top w:val="single" w:sz="4" w:space="0" w:color="365F91"/>
              <w:bottom w:val="single" w:sz="4" w:space="0" w:color="365F91"/>
            </w:tcBorders>
            <w:shd w:val="clear" w:color="auto" w:fill="auto"/>
          </w:tcPr>
          <w:p w14:paraId="237E2CC7" w14:textId="77777777" w:rsidR="00971A1F" w:rsidRPr="00D9348B" w:rsidRDefault="00971A1F" w:rsidP="00DB330E">
            <w:pPr>
              <w:pStyle w:val="TableText"/>
              <w:spacing w:before="50" w:after="50"/>
            </w:pPr>
            <w:r w:rsidRPr="00D9348B">
              <w:t>Report consistently across the NIR and the CRF tables by correcting the values of the “total technical corrections” in table 11.3.3 of the NIR (–17.26) and the corresponding value in annex 5.1 to the NIR and the CRF table “Accounting” (–17.25).</w:t>
            </w:r>
          </w:p>
        </w:tc>
        <w:tc>
          <w:tcPr>
            <w:tcW w:w="2722" w:type="dxa"/>
            <w:tcBorders>
              <w:top w:val="single" w:sz="4" w:space="0" w:color="365F91"/>
              <w:bottom w:val="single" w:sz="4" w:space="0" w:color="365F91"/>
            </w:tcBorders>
            <w:shd w:val="clear" w:color="auto" w:fill="auto"/>
          </w:tcPr>
          <w:p w14:paraId="3A888B83" w14:textId="77777777" w:rsidR="00971A1F" w:rsidRPr="00D9348B" w:rsidRDefault="00971A1F" w:rsidP="00DB330E">
            <w:pPr>
              <w:pStyle w:val="TableText"/>
              <w:spacing w:before="50" w:after="50"/>
              <w:rPr>
                <w:b/>
              </w:rPr>
            </w:pPr>
            <w:r w:rsidRPr="00D9348B">
              <w:rPr>
                <w:b/>
              </w:rPr>
              <w:t xml:space="preserve">Resolved: </w:t>
            </w:r>
            <w:r w:rsidRPr="00D9348B">
              <w:t>Reporting of ‘total technical corrections’ has been revised in the NIR and CRF tables of the 2018 submission.</w:t>
            </w:r>
          </w:p>
        </w:tc>
      </w:tr>
    </w:tbl>
    <w:p w14:paraId="3D8DA756" w14:textId="77777777" w:rsidR="00971A1F" w:rsidRPr="00D9348B" w:rsidRDefault="00971A1F" w:rsidP="00971A1F"/>
    <w:p w14:paraId="7E5966CE" w14:textId="77777777" w:rsidR="00971A1F" w:rsidRPr="00D9348B" w:rsidRDefault="00971A1F" w:rsidP="00971A1F">
      <w:pPr>
        <w:pStyle w:val="Table"/>
      </w:pPr>
      <w:bookmarkStart w:id="3126" w:name="_Toc451176197"/>
      <w:bookmarkStart w:id="3127" w:name="_Toc481751628"/>
      <w:bookmarkStart w:id="3128" w:name="_Toc511116856"/>
      <w:bookmarkStart w:id="3129" w:name="_Toc5269623"/>
      <w:bookmarkStart w:id="3130" w:name="_Toc36224705"/>
      <w:r w:rsidRPr="00D9348B">
        <w:t>Table 10.2.2</w:t>
      </w:r>
      <w:r w:rsidRPr="00D9348B">
        <w:tab/>
        <w:t>New Zealand’s response to recommendations as reported in table 5 of the 2017</w:t>
      </w:r>
      <w:r w:rsidRPr="00D9348B">
        <w:br/>
        <w:t>assessment review report from the review of New Zealand’s 2017 inventory submission</w:t>
      </w:r>
      <w:bookmarkEnd w:id="3126"/>
      <w:bookmarkEnd w:id="3127"/>
      <w:bookmarkEnd w:id="3128"/>
      <w:bookmarkEnd w:id="3129"/>
      <w:bookmarkEnd w:id="3130"/>
    </w:p>
    <w:tbl>
      <w:tblPr>
        <w:tblW w:w="8562" w:type="dxa"/>
        <w:tblInd w:w="108" w:type="dxa"/>
        <w:tblLayout w:type="fixed"/>
        <w:tblCellMar>
          <w:left w:w="85" w:type="dxa"/>
          <w:right w:w="85" w:type="dxa"/>
        </w:tblCellMar>
        <w:tblLook w:val="04A0" w:firstRow="1" w:lastRow="0" w:firstColumn="1" w:lastColumn="0" w:noHBand="0" w:noVBand="1"/>
      </w:tblPr>
      <w:tblGrid>
        <w:gridCol w:w="1688"/>
        <w:gridCol w:w="1001"/>
        <w:gridCol w:w="3567"/>
        <w:gridCol w:w="2306"/>
      </w:tblGrid>
      <w:tr w:rsidR="00971A1F" w:rsidRPr="00D9348B" w14:paraId="46589B3D" w14:textId="77777777" w:rsidTr="00DB330E">
        <w:trPr>
          <w:tblHeader/>
        </w:trPr>
        <w:tc>
          <w:tcPr>
            <w:tcW w:w="1688" w:type="dxa"/>
            <w:tcBorders>
              <w:top w:val="single" w:sz="4" w:space="0" w:color="365F91"/>
              <w:bottom w:val="single" w:sz="4" w:space="0" w:color="365F91"/>
            </w:tcBorders>
            <w:shd w:val="clear" w:color="auto" w:fill="365F91"/>
            <w:vAlign w:val="bottom"/>
          </w:tcPr>
          <w:p w14:paraId="46C9E180" w14:textId="77777777" w:rsidR="00971A1F" w:rsidRPr="00D9348B" w:rsidRDefault="00971A1F" w:rsidP="00DB330E">
            <w:pPr>
              <w:pStyle w:val="TableTextBold"/>
              <w:keepNext/>
              <w:spacing w:before="40" w:after="40"/>
              <w:rPr>
                <w:noProof w:val="0"/>
                <w:color w:val="FFFFFF"/>
              </w:rPr>
            </w:pPr>
            <w:r w:rsidRPr="00D9348B">
              <w:rPr>
                <w:noProof w:val="0"/>
                <w:color w:val="FFFFFF"/>
              </w:rPr>
              <w:t>Sector</w:t>
            </w:r>
          </w:p>
        </w:tc>
        <w:tc>
          <w:tcPr>
            <w:tcW w:w="1001" w:type="dxa"/>
            <w:tcBorders>
              <w:top w:val="single" w:sz="4" w:space="0" w:color="365F91"/>
              <w:bottom w:val="single" w:sz="4" w:space="0" w:color="365F91"/>
            </w:tcBorders>
            <w:shd w:val="clear" w:color="auto" w:fill="365F91"/>
          </w:tcPr>
          <w:p w14:paraId="49DCBE4C" w14:textId="77777777" w:rsidR="00971A1F" w:rsidRPr="00D9348B" w:rsidRDefault="00971A1F" w:rsidP="00DB330E">
            <w:pPr>
              <w:pStyle w:val="TableTextBold"/>
              <w:spacing w:before="40" w:after="40"/>
              <w:rPr>
                <w:noProof w:val="0"/>
                <w:color w:val="FFFFFF"/>
              </w:rPr>
            </w:pPr>
            <w:r w:rsidRPr="00D9348B">
              <w:rPr>
                <w:noProof w:val="0"/>
                <w:color w:val="FFFFFF"/>
              </w:rPr>
              <w:t>ID number</w:t>
            </w:r>
          </w:p>
        </w:tc>
        <w:tc>
          <w:tcPr>
            <w:tcW w:w="3567" w:type="dxa"/>
            <w:tcBorders>
              <w:top w:val="single" w:sz="4" w:space="0" w:color="365F91"/>
              <w:bottom w:val="single" w:sz="4" w:space="0" w:color="365F91"/>
            </w:tcBorders>
            <w:shd w:val="clear" w:color="auto" w:fill="365F91"/>
            <w:vAlign w:val="bottom"/>
          </w:tcPr>
          <w:p w14:paraId="347D386F" w14:textId="77777777" w:rsidR="00971A1F" w:rsidRPr="00D9348B" w:rsidRDefault="00971A1F" w:rsidP="00DB330E">
            <w:pPr>
              <w:pStyle w:val="TableTextBold"/>
              <w:spacing w:before="40" w:after="40"/>
              <w:rPr>
                <w:noProof w:val="0"/>
                <w:color w:val="FFFFFF"/>
              </w:rPr>
            </w:pPr>
            <w:r w:rsidRPr="00D9348B">
              <w:rPr>
                <w:noProof w:val="0"/>
                <w:color w:val="FFFFFF"/>
              </w:rPr>
              <w:t>Expert review team recommendation</w:t>
            </w:r>
          </w:p>
        </w:tc>
        <w:tc>
          <w:tcPr>
            <w:tcW w:w="2306" w:type="dxa"/>
            <w:tcBorders>
              <w:top w:val="single" w:sz="4" w:space="0" w:color="365F91"/>
              <w:bottom w:val="single" w:sz="4" w:space="0" w:color="365F91"/>
            </w:tcBorders>
            <w:shd w:val="clear" w:color="auto" w:fill="365F91"/>
            <w:vAlign w:val="bottom"/>
          </w:tcPr>
          <w:p w14:paraId="42EAD776" w14:textId="77777777" w:rsidR="00971A1F" w:rsidRPr="00D9348B" w:rsidRDefault="00971A1F" w:rsidP="00DB330E">
            <w:pPr>
              <w:pStyle w:val="TableTextBold"/>
              <w:spacing w:before="40" w:after="40"/>
              <w:rPr>
                <w:noProof w:val="0"/>
                <w:color w:val="FFFFFF"/>
              </w:rPr>
            </w:pPr>
            <w:r w:rsidRPr="00D9348B">
              <w:rPr>
                <w:noProof w:val="0"/>
                <w:color w:val="FFFFFF"/>
              </w:rPr>
              <w:t>New Zealand response</w:t>
            </w:r>
          </w:p>
        </w:tc>
      </w:tr>
      <w:tr w:rsidR="00971A1F" w:rsidRPr="00D9348B" w14:paraId="5A86FE38" w14:textId="77777777" w:rsidTr="00DB330E">
        <w:tc>
          <w:tcPr>
            <w:tcW w:w="1688" w:type="dxa"/>
            <w:tcBorders>
              <w:top w:val="single" w:sz="4" w:space="0" w:color="365F91"/>
              <w:bottom w:val="single" w:sz="4" w:space="0" w:color="365F91"/>
            </w:tcBorders>
            <w:shd w:val="clear" w:color="auto" w:fill="auto"/>
          </w:tcPr>
          <w:p w14:paraId="5048570A" w14:textId="77777777" w:rsidR="00971A1F" w:rsidRPr="00D9348B" w:rsidRDefault="00971A1F" w:rsidP="00DB330E">
            <w:pPr>
              <w:pStyle w:val="TableText"/>
              <w:spacing w:before="40" w:after="40"/>
            </w:pPr>
            <w:r w:rsidRPr="00D9348B">
              <w:t>Energy – General</w:t>
            </w:r>
          </w:p>
        </w:tc>
        <w:tc>
          <w:tcPr>
            <w:tcW w:w="1001" w:type="dxa"/>
            <w:tcBorders>
              <w:top w:val="single" w:sz="4" w:space="0" w:color="365F91"/>
              <w:bottom w:val="single" w:sz="4" w:space="0" w:color="365F91"/>
            </w:tcBorders>
          </w:tcPr>
          <w:p w14:paraId="023FF959" w14:textId="77777777" w:rsidR="00971A1F" w:rsidRPr="00D9348B" w:rsidRDefault="00971A1F" w:rsidP="00DB330E">
            <w:pPr>
              <w:pStyle w:val="TableText"/>
              <w:spacing w:before="40" w:after="40"/>
            </w:pPr>
            <w:r w:rsidRPr="00D9348B">
              <w:t>E.22, 2017</w:t>
            </w:r>
          </w:p>
        </w:tc>
        <w:tc>
          <w:tcPr>
            <w:tcW w:w="3567" w:type="dxa"/>
            <w:tcBorders>
              <w:top w:val="single" w:sz="4" w:space="0" w:color="365F91"/>
              <w:bottom w:val="single" w:sz="4" w:space="0" w:color="365F91"/>
            </w:tcBorders>
            <w:shd w:val="clear" w:color="auto" w:fill="auto"/>
          </w:tcPr>
          <w:p w14:paraId="6B4D6F38" w14:textId="77777777" w:rsidR="00971A1F" w:rsidRPr="00D9348B" w:rsidRDefault="00971A1F" w:rsidP="00DB330E">
            <w:pPr>
              <w:pStyle w:val="TableText"/>
              <w:spacing w:before="40" w:after="40"/>
            </w:pPr>
            <w:r w:rsidRPr="00D9348B">
              <w:t>The ERT recommends that New Zealand correct a number of inconsistencies in the 2017 annual submission.</w:t>
            </w:r>
          </w:p>
        </w:tc>
        <w:tc>
          <w:tcPr>
            <w:tcW w:w="2306" w:type="dxa"/>
            <w:tcBorders>
              <w:top w:val="single" w:sz="4" w:space="0" w:color="365F91"/>
              <w:bottom w:val="single" w:sz="4" w:space="0" w:color="365F91"/>
            </w:tcBorders>
            <w:shd w:val="clear" w:color="auto" w:fill="auto"/>
          </w:tcPr>
          <w:p w14:paraId="14B0B7C7" w14:textId="77777777" w:rsidR="00971A1F" w:rsidRPr="00D9348B" w:rsidRDefault="00971A1F" w:rsidP="00DB330E">
            <w:pPr>
              <w:pStyle w:val="TableText"/>
              <w:spacing w:before="40" w:after="40"/>
              <w:rPr>
                <w:b/>
              </w:rPr>
            </w:pPr>
            <w:r w:rsidRPr="00D9348B">
              <w:rPr>
                <w:b/>
                <w:bCs/>
              </w:rPr>
              <w:t xml:space="preserve">Resolved. </w:t>
            </w:r>
            <w:r w:rsidRPr="00D9348B">
              <w:t>These inconsistencies have been corrected.</w:t>
            </w:r>
          </w:p>
        </w:tc>
      </w:tr>
      <w:tr w:rsidR="00971A1F" w:rsidRPr="00D9348B" w14:paraId="3E397491" w14:textId="77777777" w:rsidTr="00DB330E">
        <w:tc>
          <w:tcPr>
            <w:tcW w:w="1688" w:type="dxa"/>
            <w:tcBorders>
              <w:top w:val="single" w:sz="4" w:space="0" w:color="365F91"/>
              <w:bottom w:val="single" w:sz="4" w:space="0" w:color="365F91"/>
            </w:tcBorders>
            <w:shd w:val="clear" w:color="auto" w:fill="auto"/>
          </w:tcPr>
          <w:p w14:paraId="07D39BA4" w14:textId="77777777" w:rsidR="00971A1F" w:rsidRPr="00D9348B" w:rsidRDefault="00971A1F" w:rsidP="00DB330E">
            <w:pPr>
              <w:pStyle w:val="TableText"/>
              <w:spacing w:before="40" w:after="40"/>
            </w:pPr>
            <w:r w:rsidRPr="00D9348B">
              <w:t>Energy – Reference approach</w:t>
            </w:r>
          </w:p>
        </w:tc>
        <w:tc>
          <w:tcPr>
            <w:tcW w:w="1001" w:type="dxa"/>
            <w:tcBorders>
              <w:top w:val="single" w:sz="4" w:space="0" w:color="365F91"/>
              <w:bottom w:val="single" w:sz="4" w:space="0" w:color="365F91"/>
            </w:tcBorders>
          </w:tcPr>
          <w:p w14:paraId="5C068844" w14:textId="77777777" w:rsidR="00971A1F" w:rsidRPr="00D9348B" w:rsidRDefault="00971A1F" w:rsidP="00DB330E">
            <w:pPr>
              <w:pStyle w:val="TableText"/>
              <w:spacing w:before="40" w:after="40"/>
            </w:pPr>
            <w:r w:rsidRPr="00D9348B">
              <w:t>E.23, 2017</w:t>
            </w:r>
          </w:p>
        </w:tc>
        <w:tc>
          <w:tcPr>
            <w:tcW w:w="3567" w:type="dxa"/>
            <w:tcBorders>
              <w:top w:val="single" w:sz="4" w:space="0" w:color="365F91"/>
              <w:bottom w:val="single" w:sz="4" w:space="0" w:color="365F91"/>
            </w:tcBorders>
            <w:shd w:val="clear" w:color="auto" w:fill="auto"/>
          </w:tcPr>
          <w:p w14:paraId="01A6808F" w14:textId="77777777" w:rsidR="00971A1F" w:rsidRPr="00D9348B" w:rsidRDefault="00971A1F" w:rsidP="00DB330E">
            <w:pPr>
              <w:pStyle w:val="TableText"/>
              <w:spacing w:before="40" w:after="40"/>
            </w:pPr>
            <w:r w:rsidRPr="00D9348B">
              <w:t>The ERT recommends that New Zealand clarify whether AD for other oil occur in the country and, if so, report the notation key “IE” in CRF table 1.A(b); or correct the information in the documentation box by excluding the mention that emissions from other oil are grouped under bitumen, since these emissions are not occurring.</w:t>
            </w:r>
          </w:p>
        </w:tc>
        <w:tc>
          <w:tcPr>
            <w:tcW w:w="2306" w:type="dxa"/>
            <w:tcBorders>
              <w:top w:val="single" w:sz="4" w:space="0" w:color="365F91"/>
              <w:bottom w:val="single" w:sz="4" w:space="0" w:color="365F91"/>
            </w:tcBorders>
            <w:shd w:val="clear" w:color="auto" w:fill="auto"/>
          </w:tcPr>
          <w:p w14:paraId="6B9E97FB" w14:textId="77777777" w:rsidR="00971A1F" w:rsidRPr="00D9348B" w:rsidRDefault="00971A1F" w:rsidP="00DB330E">
            <w:pPr>
              <w:pStyle w:val="TableText"/>
              <w:spacing w:before="40" w:after="40"/>
              <w:rPr>
                <w:b/>
              </w:rPr>
            </w:pPr>
            <w:r w:rsidRPr="00D9348B">
              <w:rPr>
                <w:b/>
                <w:bCs/>
              </w:rPr>
              <w:t xml:space="preserve">Resolved. </w:t>
            </w:r>
            <w:r w:rsidRPr="00D9348B">
              <w:t xml:space="preserve">The notation key ‘IE’ has been used in table </w:t>
            </w:r>
            <w:proofErr w:type="gramStart"/>
            <w:r w:rsidRPr="00D9348B">
              <w:t>1.A(</w:t>
            </w:r>
            <w:proofErr w:type="gramEnd"/>
            <w:r w:rsidRPr="00D9348B">
              <w:t>b).</w:t>
            </w:r>
          </w:p>
        </w:tc>
      </w:tr>
      <w:tr w:rsidR="00971A1F" w:rsidRPr="00D9348B" w14:paraId="33A55768" w14:textId="77777777" w:rsidTr="00DB330E">
        <w:tc>
          <w:tcPr>
            <w:tcW w:w="1688" w:type="dxa"/>
            <w:tcBorders>
              <w:top w:val="single" w:sz="4" w:space="0" w:color="365F91"/>
              <w:bottom w:val="single" w:sz="4" w:space="0" w:color="365F91"/>
            </w:tcBorders>
            <w:shd w:val="clear" w:color="auto" w:fill="auto"/>
          </w:tcPr>
          <w:p w14:paraId="3D39B1C6" w14:textId="77777777" w:rsidR="00971A1F" w:rsidRPr="00D9348B" w:rsidRDefault="00971A1F" w:rsidP="00DB330E">
            <w:pPr>
              <w:pStyle w:val="TableText"/>
              <w:spacing w:before="40" w:after="40"/>
            </w:pPr>
            <w:r w:rsidRPr="00D9348B">
              <w:t>Energy – Reference approach</w:t>
            </w:r>
          </w:p>
        </w:tc>
        <w:tc>
          <w:tcPr>
            <w:tcW w:w="1001" w:type="dxa"/>
            <w:tcBorders>
              <w:top w:val="single" w:sz="4" w:space="0" w:color="365F91"/>
              <w:bottom w:val="single" w:sz="4" w:space="0" w:color="365F91"/>
            </w:tcBorders>
          </w:tcPr>
          <w:p w14:paraId="6965BD43" w14:textId="77777777" w:rsidR="00971A1F" w:rsidRPr="00D9348B" w:rsidRDefault="00971A1F" w:rsidP="00DB330E">
            <w:pPr>
              <w:pStyle w:val="TableText"/>
              <w:spacing w:before="40" w:after="40"/>
            </w:pPr>
            <w:r w:rsidRPr="00D9348B">
              <w:t>E.24, 2017</w:t>
            </w:r>
          </w:p>
        </w:tc>
        <w:tc>
          <w:tcPr>
            <w:tcW w:w="3567" w:type="dxa"/>
            <w:tcBorders>
              <w:top w:val="single" w:sz="4" w:space="0" w:color="365F91"/>
              <w:bottom w:val="single" w:sz="4" w:space="0" w:color="365F91"/>
            </w:tcBorders>
            <w:shd w:val="clear" w:color="auto" w:fill="auto"/>
          </w:tcPr>
          <w:p w14:paraId="7F1AA65A" w14:textId="77777777" w:rsidR="00971A1F" w:rsidRPr="00D9348B" w:rsidRDefault="00971A1F" w:rsidP="00DB330E">
            <w:pPr>
              <w:pStyle w:val="TableText"/>
              <w:spacing w:before="40" w:after="40"/>
            </w:pPr>
            <w:r w:rsidRPr="00D9348B">
              <w:t xml:space="preserve">The ERT recommends that New Zealand provide in the NIR a comparison of the allocation of fuel consumption data used in the inventory (CRF table </w:t>
            </w:r>
            <w:proofErr w:type="gramStart"/>
            <w:r w:rsidRPr="00D9348B">
              <w:t>1.A(</w:t>
            </w:r>
            <w:proofErr w:type="gramEnd"/>
            <w:r w:rsidRPr="00D9348B">
              <w:t>b)) and in the energy balance.</w:t>
            </w:r>
          </w:p>
        </w:tc>
        <w:tc>
          <w:tcPr>
            <w:tcW w:w="2306" w:type="dxa"/>
            <w:tcBorders>
              <w:top w:val="single" w:sz="4" w:space="0" w:color="365F91"/>
              <w:bottom w:val="single" w:sz="4" w:space="0" w:color="365F91"/>
            </w:tcBorders>
            <w:shd w:val="clear" w:color="auto" w:fill="auto"/>
          </w:tcPr>
          <w:p w14:paraId="3C6CC3EE" w14:textId="77777777" w:rsidR="00971A1F" w:rsidRPr="00D9348B" w:rsidRDefault="00971A1F" w:rsidP="00DB330E">
            <w:pPr>
              <w:pStyle w:val="TableText"/>
              <w:spacing w:before="40" w:after="40"/>
              <w:rPr>
                <w:b/>
              </w:rPr>
            </w:pPr>
            <w:r w:rsidRPr="00D9348B">
              <w:rPr>
                <w:b/>
                <w:bCs/>
              </w:rPr>
              <w:t xml:space="preserve">Not resolved. </w:t>
            </w:r>
            <w:r w:rsidRPr="00D9348B">
              <w:t>This will be considered as resources allow.</w:t>
            </w:r>
          </w:p>
        </w:tc>
      </w:tr>
      <w:tr w:rsidR="00971A1F" w:rsidRPr="00D9348B" w14:paraId="030E7029" w14:textId="77777777" w:rsidTr="00DB330E">
        <w:tc>
          <w:tcPr>
            <w:tcW w:w="1688" w:type="dxa"/>
            <w:tcBorders>
              <w:top w:val="single" w:sz="4" w:space="0" w:color="365F91"/>
              <w:bottom w:val="single" w:sz="4" w:space="0" w:color="365F91"/>
            </w:tcBorders>
            <w:shd w:val="clear" w:color="auto" w:fill="auto"/>
          </w:tcPr>
          <w:p w14:paraId="6916F15E" w14:textId="77777777" w:rsidR="00971A1F" w:rsidRPr="00D9348B" w:rsidRDefault="00971A1F" w:rsidP="00DB330E">
            <w:pPr>
              <w:pStyle w:val="TableText"/>
              <w:spacing w:before="40" w:after="40"/>
            </w:pPr>
            <w:r w:rsidRPr="00D9348B">
              <w:t>Energy – International aviation</w:t>
            </w:r>
          </w:p>
        </w:tc>
        <w:tc>
          <w:tcPr>
            <w:tcW w:w="1001" w:type="dxa"/>
            <w:tcBorders>
              <w:top w:val="single" w:sz="4" w:space="0" w:color="365F91"/>
              <w:bottom w:val="single" w:sz="4" w:space="0" w:color="365F91"/>
            </w:tcBorders>
          </w:tcPr>
          <w:p w14:paraId="30369305" w14:textId="77777777" w:rsidR="00971A1F" w:rsidRPr="00D9348B" w:rsidRDefault="00971A1F" w:rsidP="00DB330E">
            <w:pPr>
              <w:pStyle w:val="TableText"/>
              <w:spacing w:before="40" w:after="40"/>
            </w:pPr>
            <w:r w:rsidRPr="00D9348B">
              <w:t>E.25, 2017</w:t>
            </w:r>
          </w:p>
        </w:tc>
        <w:tc>
          <w:tcPr>
            <w:tcW w:w="3567" w:type="dxa"/>
            <w:tcBorders>
              <w:top w:val="single" w:sz="4" w:space="0" w:color="365F91"/>
              <w:bottom w:val="single" w:sz="4" w:space="0" w:color="365F91"/>
            </w:tcBorders>
            <w:shd w:val="clear" w:color="auto" w:fill="auto"/>
          </w:tcPr>
          <w:p w14:paraId="38B2E190" w14:textId="77777777" w:rsidR="00971A1F" w:rsidRPr="00D9348B" w:rsidRDefault="00971A1F" w:rsidP="00DB330E">
            <w:pPr>
              <w:pStyle w:val="TableText"/>
              <w:spacing w:before="40" w:after="40"/>
            </w:pPr>
            <w:r w:rsidRPr="00D9348B">
              <w:t xml:space="preserve">The ERT recommends that New Zealand evaluate these differences between AD reported in CRF table 1.D and CRF table </w:t>
            </w:r>
            <w:proofErr w:type="gramStart"/>
            <w:r w:rsidRPr="00D9348B">
              <w:t>1.A(</w:t>
            </w:r>
            <w:proofErr w:type="gramEnd"/>
            <w:r w:rsidRPr="00D9348B">
              <w:t>b) for jet kerosene (international aviation bunkers) for all years and correct the identified discrepancies.</w:t>
            </w:r>
          </w:p>
        </w:tc>
        <w:tc>
          <w:tcPr>
            <w:tcW w:w="2306" w:type="dxa"/>
            <w:tcBorders>
              <w:top w:val="single" w:sz="4" w:space="0" w:color="365F91"/>
              <w:bottom w:val="single" w:sz="4" w:space="0" w:color="365F91"/>
            </w:tcBorders>
            <w:shd w:val="clear" w:color="auto" w:fill="auto"/>
          </w:tcPr>
          <w:p w14:paraId="41841460" w14:textId="77777777" w:rsidR="00971A1F" w:rsidRPr="00D9348B" w:rsidRDefault="00971A1F" w:rsidP="00DB330E">
            <w:pPr>
              <w:pStyle w:val="TableText"/>
              <w:spacing w:before="40" w:after="40"/>
            </w:pPr>
            <w:r w:rsidRPr="00D9348B">
              <w:rPr>
                <w:b/>
                <w:bCs/>
              </w:rPr>
              <w:t>Resolved.</w:t>
            </w:r>
            <w:r w:rsidRPr="00D9348B">
              <w:rPr>
                <w:bCs/>
              </w:rPr>
              <w:t xml:space="preserve"> There are no differences for most years (e.g., 2008–12 and 2015–17) and for the remaining years, the differences are insignificant (less than 0.03 per cent).</w:t>
            </w:r>
            <w:r w:rsidRPr="00D9348B">
              <w:t xml:space="preserve"> </w:t>
            </w:r>
          </w:p>
        </w:tc>
      </w:tr>
      <w:tr w:rsidR="00971A1F" w:rsidRPr="00D9348B" w14:paraId="09DABC89" w14:textId="77777777" w:rsidTr="00DB330E">
        <w:tc>
          <w:tcPr>
            <w:tcW w:w="1688" w:type="dxa"/>
            <w:tcBorders>
              <w:top w:val="single" w:sz="4" w:space="0" w:color="365F91"/>
              <w:bottom w:val="single" w:sz="4" w:space="0" w:color="365F91"/>
            </w:tcBorders>
            <w:shd w:val="clear" w:color="auto" w:fill="auto"/>
          </w:tcPr>
          <w:p w14:paraId="5BF17ABB" w14:textId="77777777" w:rsidR="00971A1F" w:rsidRPr="00D9348B" w:rsidRDefault="00971A1F" w:rsidP="0036223D">
            <w:pPr>
              <w:pStyle w:val="TableText"/>
              <w:keepNext/>
              <w:spacing w:before="40" w:after="40"/>
            </w:pPr>
            <w:r w:rsidRPr="00D9348B">
              <w:t>Energy – Coal mining and handling</w:t>
            </w:r>
          </w:p>
        </w:tc>
        <w:tc>
          <w:tcPr>
            <w:tcW w:w="1001" w:type="dxa"/>
            <w:tcBorders>
              <w:top w:val="single" w:sz="4" w:space="0" w:color="365F91"/>
              <w:bottom w:val="single" w:sz="4" w:space="0" w:color="365F91"/>
            </w:tcBorders>
          </w:tcPr>
          <w:p w14:paraId="59FE4DB9" w14:textId="77777777" w:rsidR="00971A1F" w:rsidRPr="00D9348B" w:rsidRDefault="00971A1F" w:rsidP="0036223D">
            <w:pPr>
              <w:pStyle w:val="TableText"/>
              <w:keepNext/>
              <w:spacing w:before="40" w:after="40"/>
            </w:pPr>
            <w:r w:rsidRPr="00D9348B">
              <w:t>E.26, 2017</w:t>
            </w:r>
          </w:p>
        </w:tc>
        <w:tc>
          <w:tcPr>
            <w:tcW w:w="3567" w:type="dxa"/>
            <w:tcBorders>
              <w:top w:val="single" w:sz="4" w:space="0" w:color="365F91"/>
              <w:bottom w:val="single" w:sz="4" w:space="0" w:color="365F91"/>
            </w:tcBorders>
            <w:shd w:val="clear" w:color="auto" w:fill="auto"/>
          </w:tcPr>
          <w:p w14:paraId="0BF8915F" w14:textId="77777777" w:rsidR="00971A1F" w:rsidRPr="00D9348B" w:rsidRDefault="00971A1F" w:rsidP="0036223D">
            <w:pPr>
              <w:pStyle w:val="TableText"/>
              <w:keepNext/>
              <w:spacing w:before="40" w:after="40"/>
            </w:pPr>
            <w:r w:rsidRPr="00D9348B">
              <w:t>The ERT recommends that New Zealand clarify in the NIR whether there are any emissions relating to CH</w:t>
            </w:r>
            <w:r w:rsidRPr="00D9348B">
              <w:rPr>
                <w:vertAlign w:val="subscript"/>
              </w:rPr>
              <w:t>4</w:t>
            </w:r>
            <w:r w:rsidRPr="00D9348B">
              <w:t xml:space="preserve"> recovery/flaring under category 1.B.1.a.i (abandoned underground mines) that are not estimated. If emissions from recovery/flaring do occur, estimate the amount of CH</w:t>
            </w:r>
            <w:r w:rsidRPr="00D9348B">
              <w:rPr>
                <w:vertAlign w:val="subscript"/>
              </w:rPr>
              <w:t>4</w:t>
            </w:r>
            <w:r w:rsidRPr="00D9348B">
              <w:t xml:space="preserve"> recovered in accordance with the 2006 IPCC Guidelines (volume 2, chapter 4.1.5.3, p.4.28). And if such emissions do not occur, change the notation key in CRF table 1.B.1 from “NE” to “NO”.</w:t>
            </w:r>
          </w:p>
        </w:tc>
        <w:tc>
          <w:tcPr>
            <w:tcW w:w="2306" w:type="dxa"/>
            <w:tcBorders>
              <w:top w:val="single" w:sz="4" w:space="0" w:color="365F91"/>
              <w:bottom w:val="single" w:sz="4" w:space="0" w:color="365F91"/>
            </w:tcBorders>
            <w:shd w:val="clear" w:color="auto" w:fill="auto"/>
          </w:tcPr>
          <w:p w14:paraId="59ED90D9" w14:textId="77777777" w:rsidR="00971A1F" w:rsidRPr="00D9348B" w:rsidRDefault="00971A1F" w:rsidP="0036223D">
            <w:pPr>
              <w:pStyle w:val="TableText"/>
              <w:keepNext/>
              <w:spacing w:before="40" w:after="40"/>
            </w:pPr>
            <w:r w:rsidRPr="00D9348B">
              <w:rPr>
                <w:b/>
                <w:bCs/>
              </w:rPr>
              <w:t xml:space="preserve">Resolved. </w:t>
            </w:r>
            <w:r w:rsidRPr="00D9348B">
              <w:rPr>
                <w:bCs/>
              </w:rPr>
              <w:t xml:space="preserve">The NIR has been updated to clarify that recovery/flaring does not occur. </w:t>
            </w:r>
          </w:p>
        </w:tc>
      </w:tr>
      <w:tr w:rsidR="00971A1F" w:rsidRPr="00D9348B" w14:paraId="4BE453EE" w14:textId="77777777" w:rsidTr="00DB330E">
        <w:tc>
          <w:tcPr>
            <w:tcW w:w="1688" w:type="dxa"/>
            <w:tcBorders>
              <w:top w:val="single" w:sz="4" w:space="0" w:color="365F91"/>
              <w:bottom w:val="single" w:sz="4" w:space="0" w:color="365F91"/>
            </w:tcBorders>
            <w:shd w:val="clear" w:color="auto" w:fill="auto"/>
          </w:tcPr>
          <w:p w14:paraId="277F963C" w14:textId="77777777" w:rsidR="00971A1F" w:rsidRPr="00D9348B" w:rsidRDefault="00971A1F" w:rsidP="00DB330E">
            <w:pPr>
              <w:pStyle w:val="TableText"/>
              <w:spacing w:before="40" w:after="40"/>
            </w:pPr>
            <w:r w:rsidRPr="00D9348B">
              <w:t>IPPU – 2.A Mineral industry – CO</w:t>
            </w:r>
            <w:r w:rsidRPr="00D9348B">
              <w:rPr>
                <w:vertAlign w:val="subscript"/>
              </w:rPr>
              <w:t>2</w:t>
            </w:r>
          </w:p>
        </w:tc>
        <w:tc>
          <w:tcPr>
            <w:tcW w:w="1001" w:type="dxa"/>
            <w:tcBorders>
              <w:top w:val="single" w:sz="4" w:space="0" w:color="365F91"/>
              <w:bottom w:val="single" w:sz="4" w:space="0" w:color="365F91"/>
            </w:tcBorders>
          </w:tcPr>
          <w:p w14:paraId="64B333B1" w14:textId="77777777" w:rsidR="00971A1F" w:rsidRPr="00D9348B" w:rsidRDefault="00971A1F" w:rsidP="00DB330E">
            <w:pPr>
              <w:pStyle w:val="TableText"/>
              <w:spacing w:before="40" w:after="40"/>
            </w:pPr>
            <w:r w:rsidRPr="00D9348B">
              <w:t>I.22, 2017</w:t>
            </w:r>
          </w:p>
        </w:tc>
        <w:tc>
          <w:tcPr>
            <w:tcW w:w="3567" w:type="dxa"/>
            <w:tcBorders>
              <w:top w:val="single" w:sz="4" w:space="0" w:color="365F91"/>
              <w:bottom w:val="single" w:sz="4" w:space="0" w:color="365F91"/>
            </w:tcBorders>
            <w:shd w:val="clear" w:color="auto" w:fill="auto"/>
          </w:tcPr>
          <w:p w14:paraId="49D2FA79" w14:textId="77777777" w:rsidR="00971A1F" w:rsidRPr="00D9348B" w:rsidRDefault="00971A1F" w:rsidP="00DB330E">
            <w:pPr>
              <w:pStyle w:val="TableText"/>
              <w:spacing w:before="40" w:after="40"/>
            </w:pPr>
            <w:r w:rsidRPr="00D9348B">
              <w:t>Review the calculation of the uncertainty for category 2.A and correct the values in NIR table 4.2.1 and A2.1.1, annex 2, if needed.</w:t>
            </w:r>
          </w:p>
        </w:tc>
        <w:tc>
          <w:tcPr>
            <w:tcW w:w="2306" w:type="dxa"/>
            <w:tcBorders>
              <w:top w:val="single" w:sz="4" w:space="0" w:color="365F91"/>
              <w:bottom w:val="single" w:sz="4" w:space="0" w:color="365F91"/>
            </w:tcBorders>
            <w:shd w:val="clear" w:color="auto" w:fill="auto"/>
          </w:tcPr>
          <w:p w14:paraId="3DDFC062" w14:textId="77777777" w:rsidR="00971A1F" w:rsidRPr="00D9348B" w:rsidRDefault="00971A1F" w:rsidP="00DB330E">
            <w:pPr>
              <w:pStyle w:val="TableText"/>
              <w:spacing w:before="40" w:after="40"/>
            </w:pPr>
            <w:r w:rsidRPr="00D9348B">
              <w:rPr>
                <w:b/>
              </w:rPr>
              <w:t xml:space="preserve">Resolved. </w:t>
            </w:r>
            <w:r w:rsidRPr="00D9348B">
              <w:t xml:space="preserve">This has been reviewed. </w:t>
            </w:r>
          </w:p>
        </w:tc>
      </w:tr>
      <w:tr w:rsidR="00971A1F" w:rsidRPr="00D9348B" w14:paraId="795D8584" w14:textId="77777777" w:rsidTr="00DB330E">
        <w:tc>
          <w:tcPr>
            <w:tcW w:w="1688" w:type="dxa"/>
            <w:tcBorders>
              <w:top w:val="single" w:sz="4" w:space="0" w:color="365F91"/>
              <w:bottom w:val="single" w:sz="4" w:space="0" w:color="365F91"/>
            </w:tcBorders>
            <w:shd w:val="clear" w:color="auto" w:fill="auto"/>
          </w:tcPr>
          <w:p w14:paraId="1174B39F" w14:textId="77777777" w:rsidR="00971A1F" w:rsidRPr="00D9348B" w:rsidRDefault="00971A1F" w:rsidP="00DB330E">
            <w:pPr>
              <w:pStyle w:val="TableText"/>
              <w:spacing w:before="40" w:after="40"/>
            </w:pPr>
            <w:r w:rsidRPr="00D9348B">
              <w:t>IPPU – 2.A.2 Lime production – CO</w:t>
            </w:r>
            <w:r w:rsidRPr="00D9348B">
              <w:rPr>
                <w:vertAlign w:val="subscript"/>
              </w:rPr>
              <w:t>2</w:t>
            </w:r>
          </w:p>
        </w:tc>
        <w:tc>
          <w:tcPr>
            <w:tcW w:w="1001" w:type="dxa"/>
            <w:tcBorders>
              <w:top w:val="single" w:sz="4" w:space="0" w:color="365F91"/>
              <w:bottom w:val="single" w:sz="4" w:space="0" w:color="365F91"/>
            </w:tcBorders>
          </w:tcPr>
          <w:p w14:paraId="451B8C4A" w14:textId="77777777" w:rsidR="00971A1F" w:rsidRPr="00D9348B" w:rsidRDefault="00971A1F" w:rsidP="00DB330E">
            <w:pPr>
              <w:pStyle w:val="TableText"/>
              <w:spacing w:before="40" w:after="40"/>
            </w:pPr>
            <w:r w:rsidRPr="00D9348B">
              <w:t>I.23, 2017</w:t>
            </w:r>
          </w:p>
        </w:tc>
        <w:tc>
          <w:tcPr>
            <w:tcW w:w="3567" w:type="dxa"/>
            <w:tcBorders>
              <w:top w:val="single" w:sz="4" w:space="0" w:color="365F91"/>
              <w:bottom w:val="single" w:sz="4" w:space="0" w:color="365F91"/>
            </w:tcBorders>
            <w:shd w:val="clear" w:color="auto" w:fill="auto"/>
          </w:tcPr>
          <w:p w14:paraId="4CE1CF32" w14:textId="77777777" w:rsidR="00971A1F" w:rsidRPr="00D9348B" w:rsidRDefault="00971A1F" w:rsidP="00DB330E">
            <w:pPr>
              <w:pStyle w:val="TableText"/>
              <w:spacing w:before="40" w:after="40"/>
            </w:pPr>
            <w:r w:rsidRPr="00D9348B">
              <w:t>Report in CRF table 2(I).A-Hs1 a consistent type of AD for lime production for all years (e.g. by converting “pure CaO” to “burnt lime” using an appropriate conversion factor) and apply the default EF from the 2006 IPCC Guidelines for 1990–2013 accordingly. In addition, the ERT recommends that the Party update the description in the NIR to correctly reflect the AD and EFs used and to clarify the assumptions and methods applied for 1990–2013 and 2014 onwards.</w:t>
            </w:r>
          </w:p>
        </w:tc>
        <w:tc>
          <w:tcPr>
            <w:tcW w:w="2306" w:type="dxa"/>
            <w:tcBorders>
              <w:top w:val="single" w:sz="4" w:space="0" w:color="365F91"/>
              <w:bottom w:val="single" w:sz="4" w:space="0" w:color="365F91"/>
            </w:tcBorders>
            <w:shd w:val="clear" w:color="auto" w:fill="auto"/>
          </w:tcPr>
          <w:p w14:paraId="0DD6829D" w14:textId="77777777" w:rsidR="00971A1F" w:rsidRPr="00D9348B" w:rsidRDefault="00971A1F" w:rsidP="00DB330E">
            <w:pPr>
              <w:pStyle w:val="TableText"/>
              <w:spacing w:before="40" w:after="40"/>
            </w:pPr>
            <w:r w:rsidRPr="00D9348B">
              <w:rPr>
                <w:b/>
              </w:rPr>
              <w:t xml:space="preserve">Resolved. </w:t>
            </w:r>
            <w:r w:rsidRPr="00D9348B">
              <w:t xml:space="preserve">The amounts of impure burnt lime are now used consistently for the entire time series. </w:t>
            </w:r>
          </w:p>
        </w:tc>
      </w:tr>
      <w:tr w:rsidR="00971A1F" w:rsidRPr="00D9348B" w14:paraId="0474AA40" w14:textId="77777777" w:rsidTr="00DB330E">
        <w:tc>
          <w:tcPr>
            <w:tcW w:w="1688" w:type="dxa"/>
            <w:tcBorders>
              <w:top w:val="single" w:sz="4" w:space="0" w:color="365F91"/>
              <w:bottom w:val="single" w:sz="4" w:space="0" w:color="365F91"/>
            </w:tcBorders>
            <w:shd w:val="clear" w:color="auto" w:fill="auto"/>
          </w:tcPr>
          <w:p w14:paraId="13D819E8" w14:textId="77777777" w:rsidR="00971A1F" w:rsidRPr="00D9348B" w:rsidRDefault="00971A1F" w:rsidP="00DB330E">
            <w:pPr>
              <w:pStyle w:val="TableText"/>
              <w:keepNext/>
              <w:spacing w:before="40" w:after="40"/>
            </w:pPr>
            <w:r w:rsidRPr="00D9348B">
              <w:lastRenderedPageBreak/>
              <w:t>IPPU – 2.B.1 Ammonia production – CO</w:t>
            </w:r>
            <w:r w:rsidRPr="00D9348B">
              <w:rPr>
                <w:vertAlign w:val="subscript"/>
              </w:rPr>
              <w:t>2</w:t>
            </w:r>
          </w:p>
        </w:tc>
        <w:tc>
          <w:tcPr>
            <w:tcW w:w="1001" w:type="dxa"/>
            <w:tcBorders>
              <w:top w:val="single" w:sz="4" w:space="0" w:color="365F91"/>
              <w:bottom w:val="single" w:sz="4" w:space="0" w:color="365F91"/>
            </w:tcBorders>
          </w:tcPr>
          <w:p w14:paraId="6466A3FC" w14:textId="77777777" w:rsidR="00971A1F" w:rsidRPr="00D9348B" w:rsidRDefault="00971A1F" w:rsidP="00DB330E">
            <w:pPr>
              <w:pStyle w:val="TableText"/>
              <w:spacing w:before="40" w:after="40"/>
            </w:pPr>
            <w:r w:rsidRPr="00D9348B">
              <w:t>I.24, 2017</w:t>
            </w:r>
          </w:p>
        </w:tc>
        <w:tc>
          <w:tcPr>
            <w:tcW w:w="3567" w:type="dxa"/>
            <w:tcBorders>
              <w:top w:val="single" w:sz="4" w:space="0" w:color="365F91"/>
              <w:bottom w:val="single" w:sz="4" w:space="0" w:color="365F91"/>
            </w:tcBorders>
            <w:shd w:val="clear" w:color="auto" w:fill="auto"/>
          </w:tcPr>
          <w:p w14:paraId="50ADD80F" w14:textId="77777777" w:rsidR="00971A1F" w:rsidRPr="00D9348B" w:rsidRDefault="00971A1F" w:rsidP="00DB330E">
            <w:pPr>
              <w:pStyle w:val="TableText"/>
              <w:spacing w:before="40" w:after="40"/>
            </w:pPr>
            <w:r w:rsidRPr="00D9348B">
              <w:t>Clarify in the NIR (section 4.3.2) that urea used as fertilizer is reported under category 3.H. The ERT also recommends that New Zealand either: (a) provide an estimate for urea use in selective catalytic reduction (under category 2.D.3) in line with the 2006 IPCC Guidelines; or (b) provide a justification for its exclusion in terms of the likely level of emissions, in accordance with the requirements in paragraph 37(b) of the UNFCCC Annex I inventory reporting guidelines.</w:t>
            </w:r>
          </w:p>
        </w:tc>
        <w:tc>
          <w:tcPr>
            <w:tcW w:w="2306" w:type="dxa"/>
            <w:tcBorders>
              <w:top w:val="single" w:sz="4" w:space="0" w:color="365F91"/>
              <w:bottom w:val="single" w:sz="4" w:space="0" w:color="365F91"/>
            </w:tcBorders>
            <w:shd w:val="clear" w:color="auto" w:fill="auto"/>
          </w:tcPr>
          <w:p w14:paraId="3846854D" w14:textId="77777777" w:rsidR="00971A1F" w:rsidRPr="00D9348B" w:rsidRDefault="00971A1F" w:rsidP="00DB330E">
            <w:pPr>
              <w:pStyle w:val="TableText"/>
              <w:spacing w:before="40" w:after="40"/>
              <w:rPr>
                <w:b/>
              </w:rPr>
            </w:pPr>
            <w:r w:rsidRPr="00D9348B">
              <w:rPr>
                <w:b/>
              </w:rPr>
              <w:t xml:space="preserve">Resolved. </w:t>
            </w:r>
            <w:r w:rsidRPr="00D9348B">
              <w:t xml:space="preserve">The use of urea as a catalyst is now reported. </w:t>
            </w:r>
          </w:p>
        </w:tc>
      </w:tr>
      <w:tr w:rsidR="00971A1F" w:rsidRPr="00D9348B" w14:paraId="073D3FC3" w14:textId="77777777" w:rsidTr="00DB330E">
        <w:tc>
          <w:tcPr>
            <w:tcW w:w="1688" w:type="dxa"/>
            <w:tcBorders>
              <w:top w:val="single" w:sz="4" w:space="0" w:color="365F91"/>
              <w:bottom w:val="single" w:sz="4" w:space="0" w:color="365F91"/>
            </w:tcBorders>
            <w:shd w:val="clear" w:color="auto" w:fill="auto"/>
          </w:tcPr>
          <w:p w14:paraId="0AB41379" w14:textId="77777777" w:rsidR="00971A1F" w:rsidRPr="00D9348B" w:rsidRDefault="00971A1F" w:rsidP="00DB330E">
            <w:pPr>
              <w:pStyle w:val="TableText"/>
              <w:spacing w:before="40" w:after="40"/>
            </w:pPr>
            <w:r w:rsidRPr="00D9348B">
              <w:t>IPPU – 2.B Chemical industry – CO</w:t>
            </w:r>
            <w:r w:rsidRPr="00D9348B">
              <w:rPr>
                <w:vertAlign w:val="subscript"/>
              </w:rPr>
              <w:t>2</w:t>
            </w:r>
          </w:p>
        </w:tc>
        <w:tc>
          <w:tcPr>
            <w:tcW w:w="1001" w:type="dxa"/>
            <w:tcBorders>
              <w:top w:val="single" w:sz="4" w:space="0" w:color="365F91"/>
              <w:bottom w:val="single" w:sz="4" w:space="0" w:color="365F91"/>
            </w:tcBorders>
          </w:tcPr>
          <w:p w14:paraId="395BC19B" w14:textId="77777777" w:rsidR="00971A1F" w:rsidRPr="00D9348B" w:rsidRDefault="00971A1F" w:rsidP="00DB330E">
            <w:pPr>
              <w:pStyle w:val="TableText"/>
              <w:spacing w:before="40" w:after="40"/>
            </w:pPr>
            <w:r w:rsidRPr="00D9348B">
              <w:t>I.25, 2017</w:t>
            </w:r>
          </w:p>
        </w:tc>
        <w:tc>
          <w:tcPr>
            <w:tcW w:w="3567" w:type="dxa"/>
            <w:tcBorders>
              <w:top w:val="single" w:sz="4" w:space="0" w:color="365F91"/>
              <w:bottom w:val="single" w:sz="4" w:space="0" w:color="365F91"/>
            </w:tcBorders>
            <w:shd w:val="clear" w:color="auto" w:fill="auto"/>
          </w:tcPr>
          <w:p w14:paraId="101F1713" w14:textId="77777777" w:rsidR="00971A1F" w:rsidRPr="00D9348B" w:rsidRDefault="00971A1F" w:rsidP="00DB330E">
            <w:pPr>
              <w:pStyle w:val="TableText"/>
              <w:spacing w:before="40" w:after="40"/>
            </w:pPr>
            <w:r w:rsidRPr="00D9348B">
              <w:t>Review the calculation of the uncertainties for category 2.B and correct the values given in the NIR (annex 2, table A2.1.1) if necessary.</w:t>
            </w:r>
          </w:p>
        </w:tc>
        <w:tc>
          <w:tcPr>
            <w:tcW w:w="2306" w:type="dxa"/>
            <w:tcBorders>
              <w:top w:val="single" w:sz="4" w:space="0" w:color="365F91"/>
              <w:bottom w:val="single" w:sz="4" w:space="0" w:color="365F91"/>
            </w:tcBorders>
            <w:shd w:val="clear" w:color="auto" w:fill="auto"/>
          </w:tcPr>
          <w:p w14:paraId="13C4FD7C" w14:textId="77777777" w:rsidR="00971A1F" w:rsidRPr="00D9348B" w:rsidRDefault="00971A1F" w:rsidP="00DB330E">
            <w:pPr>
              <w:pStyle w:val="TableText"/>
              <w:spacing w:before="40" w:after="40"/>
            </w:pPr>
            <w:r w:rsidRPr="00D9348B">
              <w:rPr>
                <w:b/>
              </w:rPr>
              <w:t>Resolved.</w:t>
            </w:r>
            <w:r w:rsidRPr="00D9348B">
              <w:t xml:space="preserve"> This has been reviewed. </w:t>
            </w:r>
          </w:p>
        </w:tc>
      </w:tr>
      <w:tr w:rsidR="00971A1F" w:rsidRPr="00D9348B" w14:paraId="6C5ADE48" w14:textId="77777777" w:rsidTr="00DB330E">
        <w:tc>
          <w:tcPr>
            <w:tcW w:w="1688" w:type="dxa"/>
            <w:tcBorders>
              <w:top w:val="single" w:sz="4" w:space="0" w:color="365F91"/>
              <w:bottom w:val="single" w:sz="4" w:space="0" w:color="365F91"/>
            </w:tcBorders>
            <w:shd w:val="clear" w:color="auto" w:fill="auto"/>
          </w:tcPr>
          <w:p w14:paraId="53C3DAC7" w14:textId="77777777" w:rsidR="00971A1F" w:rsidRPr="00D9348B" w:rsidRDefault="00971A1F" w:rsidP="00DB330E">
            <w:pPr>
              <w:pStyle w:val="TableText"/>
              <w:spacing w:before="40" w:after="40"/>
            </w:pPr>
            <w:r w:rsidRPr="00D9348B">
              <w:t>IPPU – 2.C.1 Iron and steel production – CO</w:t>
            </w:r>
            <w:r w:rsidRPr="00D9348B">
              <w:rPr>
                <w:vertAlign w:val="subscript"/>
              </w:rPr>
              <w:t>2</w:t>
            </w:r>
          </w:p>
        </w:tc>
        <w:tc>
          <w:tcPr>
            <w:tcW w:w="1001" w:type="dxa"/>
            <w:tcBorders>
              <w:top w:val="single" w:sz="4" w:space="0" w:color="365F91"/>
              <w:bottom w:val="single" w:sz="4" w:space="0" w:color="365F91"/>
            </w:tcBorders>
          </w:tcPr>
          <w:p w14:paraId="1BACF450" w14:textId="77777777" w:rsidR="00971A1F" w:rsidRPr="00D9348B" w:rsidRDefault="00971A1F" w:rsidP="00DB330E">
            <w:pPr>
              <w:pStyle w:val="TableText"/>
              <w:spacing w:before="40" w:after="40"/>
            </w:pPr>
            <w:r w:rsidRPr="00D9348B">
              <w:t>I.26, 2017</w:t>
            </w:r>
          </w:p>
        </w:tc>
        <w:tc>
          <w:tcPr>
            <w:tcW w:w="3567" w:type="dxa"/>
            <w:tcBorders>
              <w:top w:val="single" w:sz="4" w:space="0" w:color="365F91"/>
              <w:bottom w:val="single" w:sz="4" w:space="0" w:color="365F91"/>
            </w:tcBorders>
            <w:shd w:val="clear" w:color="auto" w:fill="auto"/>
          </w:tcPr>
          <w:p w14:paraId="552569BE" w14:textId="77777777" w:rsidR="00971A1F" w:rsidRPr="00D9348B" w:rsidRDefault="00971A1F" w:rsidP="00DB330E">
            <w:pPr>
              <w:pStyle w:val="TableText"/>
              <w:spacing w:before="40" w:after="40"/>
            </w:pPr>
            <w:r w:rsidRPr="00D9348B">
              <w:t>Estimate CO</w:t>
            </w:r>
            <w:r w:rsidRPr="00D9348B">
              <w:rPr>
                <w:vertAlign w:val="subscript"/>
              </w:rPr>
              <w:t>2</w:t>
            </w:r>
            <w:r w:rsidRPr="00D9348B">
              <w:t xml:space="preserve"> emissions from electric steel production at the Pacific Steel plant, either by using a carbon balance or by applying an appropriate EF, and report these emissions under category 2.C.1.</w:t>
            </w:r>
          </w:p>
        </w:tc>
        <w:tc>
          <w:tcPr>
            <w:tcW w:w="2306" w:type="dxa"/>
            <w:tcBorders>
              <w:top w:val="single" w:sz="4" w:space="0" w:color="365F91"/>
              <w:bottom w:val="single" w:sz="4" w:space="0" w:color="365F91"/>
            </w:tcBorders>
            <w:shd w:val="clear" w:color="auto" w:fill="auto"/>
          </w:tcPr>
          <w:p w14:paraId="17567F35" w14:textId="77777777" w:rsidR="00971A1F" w:rsidRPr="00D9348B" w:rsidRDefault="00971A1F" w:rsidP="00DB330E">
            <w:pPr>
              <w:pStyle w:val="TableText"/>
              <w:spacing w:before="40" w:after="40"/>
              <w:rPr>
                <w:b/>
              </w:rPr>
            </w:pPr>
            <w:r w:rsidRPr="00D9348B">
              <w:rPr>
                <w:b/>
              </w:rPr>
              <w:t xml:space="preserve">Resolved. </w:t>
            </w:r>
            <w:r w:rsidRPr="00D9348B">
              <w:rPr>
                <w:bCs/>
              </w:rPr>
              <w:t>The electric arc steel plant was closed in 2015. The relevant data became unavailable.</w:t>
            </w:r>
            <w:r w:rsidRPr="00D9348B">
              <w:t xml:space="preserve"> </w:t>
            </w:r>
          </w:p>
        </w:tc>
      </w:tr>
      <w:tr w:rsidR="00971A1F" w:rsidRPr="00D9348B" w14:paraId="25FD960F" w14:textId="77777777" w:rsidTr="00DB330E">
        <w:tc>
          <w:tcPr>
            <w:tcW w:w="1688" w:type="dxa"/>
            <w:tcBorders>
              <w:top w:val="single" w:sz="4" w:space="0" w:color="365F91"/>
              <w:bottom w:val="single" w:sz="4" w:space="0" w:color="365F91"/>
            </w:tcBorders>
            <w:shd w:val="clear" w:color="auto" w:fill="auto"/>
          </w:tcPr>
          <w:p w14:paraId="750E5BAD" w14:textId="77777777" w:rsidR="00971A1F" w:rsidRPr="00D9348B" w:rsidRDefault="00971A1F" w:rsidP="00DB330E">
            <w:pPr>
              <w:pStyle w:val="TableText"/>
              <w:spacing w:before="40" w:after="40"/>
            </w:pPr>
            <w:r w:rsidRPr="00D9348B">
              <w:t>IPPU – 2.B.1 Aluminium production – PFCs</w:t>
            </w:r>
          </w:p>
        </w:tc>
        <w:tc>
          <w:tcPr>
            <w:tcW w:w="1001" w:type="dxa"/>
            <w:tcBorders>
              <w:top w:val="single" w:sz="4" w:space="0" w:color="365F91"/>
              <w:bottom w:val="single" w:sz="4" w:space="0" w:color="365F91"/>
            </w:tcBorders>
          </w:tcPr>
          <w:p w14:paraId="42DFEEDD" w14:textId="77777777" w:rsidR="00971A1F" w:rsidRPr="00D9348B" w:rsidRDefault="00971A1F" w:rsidP="00DB330E">
            <w:pPr>
              <w:pStyle w:val="TableText"/>
              <w:spacing w:before="40" w:after="40"/>
            </w:pPr>
            <w:r w:rsidRPr="00D9348B">
              <w:t>I.27, 2017</w:t>
            </w:r>
          </w:p>
        </w:tc>
        <w:tc>
          <w:tcPr>
            <w:tcW w:w="3567" w:type="dxa"/>
            <w:tcBorders>
              <w:top w:val="single" w:sz="4" w:space="0" w:color="365F91"/>
              <w:bottom w:val="single" w:sz="4" w:space="0" w:color="365F91"/>
            </w:tcBorders>
            <w:shd w:val="clear" w:color="auto" w:fill="auto"/>
          </w:tcPr>
          <w:p w14:paraId="23DB673C" w14:textId="77777777" w:rsidR="00971A1F" w:rsidRPr="00D9348B" w:rsidRDefault="00971A1F" w:rsidP="00DB330E">
            <w:pPr>
              <w:pStyle w:val="TableText"/>
              <w:spacing w:before="40" w:after="40"/>
            </w:pPr>
            <w:r w:rsidRPr="00D9348B">
              <w:t>Improve the description in the NIR of the reasons for the choice for using a tier 1 method for 1990 and 1991, including the information provided to the ERT during the review … which reduced the occurrence of anode effects and which explains the decrease in emissions and in the EF between the years 1990–1991 and later years.</w:t>
            </w:r>
          </w:p>
        </w:tc>
        <w:tc>
          <w:tcPr>
            <w:tcW w:w="2306" w:type="dxa"/>
            <w:tcBorders>
              <w:top w:val="single" w:sz="4" w:space="0" w:color="365F91"/>
              <w:bottom w:val="single" w:sz="4" w:space="0" w:color="365F91"/>
            </w:tcBorders>
            <w:shd w:val="clear" w:color="auto" w:fill="auto"/>
          </w:tcPr>
          <w:p w14:paraId="33141F32" w14:textId="77777777" w:rsidR="00971A1F" w:rsidRPr="00D9348B" w:rsidRDefault="00971A1F" w:rsidP="00DB330E">
            <w:pPr>
              <w:pStyle w:val="TableText"/>
              <w:spacing w:before="40" w:after="40"/>
              <w:rPr>
                <w:b/>
              </w:rPr>
            </w:pPr>
            <w:r w:rsidRPr="00D9348B">
              <w:rPr>
                <w:b/>
              </w:rPr>
              <w:t>Resolved.</w:t>
            </w:r>
            <w:r w:rsidRPr="00D9348B">
              <w:t xml:space="preserve"> This explanation has been included in the NIR. </w:t>
            </w:r>
          </w:p>
        </w:tc>
      </w:tr>
      <w:tr w:rsidR="00971A1F" w:rsidRPr="00D9348B" w14:paraId="3849F11B" w14:textId="77777777" w:rsidTr="00DB330E">
        <w:tc>
          <w:tcPr>
            <w:tcW w:w="1688" w:type="dxa"/>
            <w:tcBorders>
              <w:top w:val="single" w:sz="4" w:space="0" w:color="365F91"/>
              <w:bottom w:val="single" w:sz="4" w:space="0" w:color="365F91"/>
            </w:tcBorders>
            <w:shd w:val="clear" w:color="auto" w:fill="auto"/>
          </w:tcPr>
          <w:p w14:paraId="0C728F93" w14:textId="77777777" w:rsidR="00971A1F" w:rsidRPr="00D9348B" w:rsidRDefault="00971A1F" w:rsidP="00DB330E">
            <w:pPr>
              <w:pStyle w:val="TableText"/>
              <w:spacing w:before="40" w:after="40"/>
            </w:pPr>
            <w:r w:rsidRPr="00D9348B">
              <w:t>IPPU – 2.C.4 Magnesium production – SF</w:t>
            </w:r>
            <w:r w:rsidRPr="00D9348B">
              <w:rPr>
                <w:vertAlign w:val="subscript"/>
              </w:rPr>
              <w:t>6</w:t>
            </w:r>
          </w:p>
        </w:tc>
        <w:tc>
          <w:tcPr>
            <w:tcW w:w="1001" w:type="dxa"/>
            <w:tcBorders>
              <w:top w:val="single" w:sz="4" w:space="0" w:color="365F91"/>
              <w:bottom w:val="single" w:sz="4" w:space="0" w:color="365F91"/>
            </w:tcBorders>
          </w:tcPr>
          <w:p w14:paraId="21FAB0E1" w14:textId="77777777" w:rsidR="00971A1F" w:rsidRPr="00D9348B" w:rsidRDefault="00971A1F" w:rsidP="00DB330E">
            <w:pPr>
              <w:pStyle w:val="TableText"/>
              <w:spacing w:before="40" w:after="40"/>
            </w:pPr>
            <w:r w:rsidRPr="00D9348B">
              <w:t>I.28, 2017</w:t>
            </w:r>
          </w:p>
        </w:tc>
        <w:tc>
          <w:tcPr>
            <w:tcW w:w="3567" w:type="dxa"/>
            <w:tcBorders>
              <w:top w:val="single" w:sz="4" w:space="0" w:color="365F91"/>
              <w:bottom w:val="single" w:sz="4" w:space="0" w:color="365F91"/>
            </w:tcBorders>
            <w:shd w:val="clear" w:color="auto" w:fill="auto"/>
          </w:tcPr>
          <w:p w14:paraId="29605D3D" w14:textId="77777777" w:rsidR="00971A1F" w:rsidRPr="00D9348B" w:rsidRDefault="00971A1F" w:rsidP="00DB330E">
            <w:pPr>
              <w:pStyle w:val="TableText"/>
              <w:spacing w:before="40" w:after="40"/>
            </w:pPr>
            <w:r w:rsidRPr="00D9348B">
              <w:t>Correct NIR table 4.4.2 (p.119) to reflect that AD uncertainty is 100 per cent and EF uncertainty is reported as “zero”; and state in the NIR that for SF</w:t>
            </w:r>
            <w:r w:rsidRPr="00D9348B">
              <w:rPr>
                <w:vertAlign w:val="subscript"/>
              </w:rPr>
              <w:t>6</w:t>
            </w:r>
            <w:r w:rsidRPr="00D9348B">
              <w:t xml:space="preserve"> emissions from magnesium casting, a country-specific uncertainty is used rather than the IPCC default uncertainty and explain the reason for it.</w:t>
            </w:r>
          </w:p>
        </w:tc>
        <w:tc>
          <w:tcPr>
            <w:tcW w:w="2306" w:type="dxa"/>
            <w:tcBorders>
              <w:top w:val="single" w:sz="4" w:space="0" w:color="365F91"/>
              <w:bottom w:val="single" w:sz="4" w:space="0" w:color="365F91"/>
            </w:tcBorders>
            <w:shd w:val="clear" w:color="auto" w:fill="auto"/>
          </w:tcPr>
          <w:p w14:paraId="70E5BB28" w14:textId="77777777" w:rsidR="00971A1F" w:rsidRPr="00D9348B" w:rsidRDefault="00971A1F" w:rsidP="00DB330E">
            <w:pPr>
              <w:pStyle w:val="TableText"/>
              <w:spacing w:before="40" w:after="40"/>
            </w:pPr>
            <w:r w:rsidRPr="00D9348B">
              <w:rPr>
                <w:b/>
              </w:rPr>
              <w:t>Resolved.</w:t>
            </w:r>
            <w:r w:rsidRPr="00D9348B">
              <w:t xml:space="preserve"> This table has been corrected. </w:t>
            </w:r>
          </w:p>
        </w:tc>
      </w:tr>
      <w:tr w:rsidR="00971A1F" w:rsidRPr="00D9348B" w14:paraId="5024DED7" w14:textId="77777777" w:rsidTr="00DB330E">
        <w:tc>
          <w:tcPr>
            <w:tcW w:w="1688" w:type="dxa"/>
            <w:tcBorders>
              <w:top w:val="single" w:sz="4" w:space="0" w:color="365F91"/>
              <w:bottom w:val="single" w:sz="4" w:space="0" w:color="365F91"/>
            </w:tcBorders>
            <w:shd w:val="clear" w:color="auto" w:fill="auto"/>
          </w:tcPr>
          <w:p w14:paraId="07B37127" w14:textId="77777777" w:rsidR="00971A1F" w:rsidRPr="00D9348B" w:rsidRDefault="00971A1F" w:rsidP="00DB330E">
            <w:pPr>
              <w:pStyle w:val="TableText"/>
              <w:spacing w:before="40" w:after="40"/>
            </w:pPr>
            <w:r w:rsidRPr="00D9348B">
              <w:t>IPPU – 2.D.1 Lubricant use – CO</w:t>
            </w:r>
            <w:r w:rsidRPr="00D9348B">
              <w:rPr>
                <w:vertAlign w:val="subscript"/>
              </w:rPr>
              <w:t>2</w:t>
            </w:r>
          </w:p>
        </w:tc>
        <w:tc>
          <w:tcPr>
            <w:tcW w:w="1001" w:type="dxa"/>
            <w:tcBorders>
              <w:top w:val="single" w:sz="4" w:space="0" w:color="365F91"/>
              <w:bottom w:val="single" w:sz="4" w:space="0" w:color="365F91"/>
            </w:tcBorders>
          </w:tcPr>
          <w:p w14:paraId="0A089E91" w14:textId="77777777" w:rsidR="00971A1F" w:rsidRPr="00D9348B" w:rsidRDefault="00971A1F" w:rsidP="00DB330E">
            <w:pPr>
              <w:pStyle w:val="TableText"/>
              <w:spacing w:before="40" w:after="40"/>
            </w:pPr>
            <w:r w:rsidRPr="00D9348B">
              <w:t>I.29, 2017</w:t>
            </w:r>
          </w:p>
        </w:tc>
        <w:tc>
          <w:tcPr>
            <w:tcW w:w="3567" w:type="dxa"/>
            <w:tcBorders>
              <w:top w:val="single" w:sz="4" w:space="0" w:color="365F91"/>
              <w:bottom w:val="single" w:sz="4" w:space="0" w:color="365F91"/>
            </w:tcBorders>
            <w:shd w:val="clear" w:color="auto" w:fill="auto"/>
          </w:tcPr>
          <w:p w14:paraId="07B7D966" w14:textId="77777777" w:rsidR="00971A1F" w:rsidRPr="00D9348B" w:rsidRDefault="00971A1F" w:rsidP="00DB330E">
            <w:pPr>
              <w:pStyle w:val="TableText"/>
              <w:spacing w:before="40" w:after="40"/>
            </w:pPr>
            <w:r w:rsidRPr="00D9348B">
              <w:t>If an outlier is found in the estimates of lubricant use, the Party consider averaging the AD before estimating emissions, rather than averaging the emission data. The ERT also recommends that the Party revise its estimates for 2011–2014 to improve consistency of the time series and include 2015 data in the assumption to avoid significant changes in the CO</w:t>
            </w:r>
            <w:r w:rsidRPr="00D9348B">
              <w:rPr>
                <w:vertAlign w:val="subscript"/>
              </w:rPr>
              <w:t>2</w:t>
            </w:r>
            <w:r w:rsidRPr="00D9348B">
              <w:t xml:space="preserve"> IEF.</w:t>
            </w:r>
          </w:p>
        </w:tc>
        <w:tc>
          <w:tcPr>
            <w:tcW w:w="2306" w:type="dxa"/>
            <w:tcBorders>
              <w:top w:val="single" w:sz="4" w:space="0" w:color="365F91"/>
              <w:bottom w:val="single" w:sz="4" w:space="0" w:color="365F91"/>
            </w:tcBorders>
            <w:shd w:val="clear" w:color="auto" w:fill="auto"/>
          </w:tcPr>
          <w:p w14:paraId="331BE4CA" w14:textId="77777777" w:rsidR="00971A1F" w:rsidRPr="00D9348B" w:rsidRDefault="00971A1F" w:rsidP="00DB330E">
            <w:pPr>
              <w:pStyle w:val="TableText"/>
              <w:spacing w:before="40" w:after="40"/>
              <w:rPr>
                <w:b/>
              </w:rPr>
            </w:pPr>
            <w:r w:rsidRPr="00D9348B">
              <w:rPr>
                <w:b/>
              </w:rPr>
              <w:t>Resolved.</w:t>
            </w:r>
            <w:r w:rsidRPr="00D9348B">
              <w:t xml:space="preserve"> The data used have been reviewed and a different selection made for the 2019 submission, due to variance in reported import volumes. </w:t>
            </w:r>
          </w:p>
        </w:tc>
      </w:tr>
      <w:tr w:rsidR="00971A1F" w:rsidRPr="00D9348B" w14:paraId="0F45E63A" w14:textId="77777777" w:rsidTr="00DB330E">
        <w:tc>
          <w:tcPr>
            <w:tcW w:w="1688" w:type="dxa"/>
            <w:tcBorders>
              <w:top w:val="single" w:sz="4" w:space="0" w:color="365F91"/>
              <w:bottom w:val="single" w:sz="4" w:space="0" w:color="365F91"/>
            </w:tcBorders>
            <w:shd w:val="clear" w:color="auto" w:fill="auto"/>
          </w:tcPr>
          <w:p w14:paraId="3185C68F" w14:textId="77777777" w:rsidR="00971A1F" w:rsidRPr="00D9348B" w:rsidRDefault="00971A1F" w:rsidP="00DB330E">
            <w:pPr>
              <w:pStyle w:val="TableText"/>
              <w:spacing w:before="40" w:after="40"/>
            </w:pPr>
            <w:r w:rsidRPr="00D9348B">
              <w:t>IPPU – 2.F Product uses as substitutes for ozone depleting substances – HFCs</w:t>
            </w:r>
          </w:p>
        </w:tc>
        <w:tc>
          <w:tcPr>
            <w:tcW w:w="1001" w:type="dxa"/>
            <w:tcBorders>
              <w:top w:val="single" w:sz="4" w:space="0" w:color="365F91"/>
              <w:bottom w:val="single" w:sz="4" w:space="0" w:color="365F91"/>
            </w:tcBorders>
          </w:tcPr>
          <w:p w14:paraId="741F175D" w14:textId="77777777" w:rsidR="00971A1F" w:rsidRPr="00D9348B" w:rsidRDefault="00971A1F" w:rsidP="00DB330E">
            <w:pPr>
              <w:pStyle w:val="TableText"/>
              <w:spacing w:before="40" w:after="40"/>
            </w:pPr>
            <w:r w:rsidRPr="00D9348B">
              <w:t>I.30, 2017</w:t>
            </w:r>
          </w:p>
        </w:tc>
        <w:tc>
          <w:tcPr>
            <w:tcW w:w="3567" w:type="dxa"/>
            <w:tcBorders>
              <w:top w:val="single" w:sz="4" w:space="0" w:color="365F91"/>
              <w:bottom w:val="single" w:sz="4" w:space="0" w:color="365F91"/>
            </w:tcBorders>
            <w:shd w:val="clear" w:color="auto" w:fill="auto"/>
          </w:tcPr>
          <w:p w14:paraId="67D04C8F" w14:textId="77777777" w:rsidR="00971A1F" w:rsidRPr="00D9348B" w:rsidRDefault="00971A1F" w:rsidP="00DB330E">
            <w:pPr>
              <w:pStyle w:val="TableText"/>
              <w:spacing w:before="40" w:after="40"/>
            </w:pPr>
            <w:r w:rsidRPr="00D9348B">
              <w:t>Explain, in section 4.7.3 of the NIR, which approach (other than a combination of uncertainties) was used to derive the uncertainty of ±35 per cent, presented in NIR table A.2.1.1.</w:t>
            </w:r>
          </w:p>
        </w:tc>
        <w:tc>
          <w:tcPr>
            <w:tcW w:w="2306" w:type="dxa"/>
            <w:tcBorders>
              <w:top w:val="single" w:sz="4" w:space="0" w:color="365F91"/>
              <w:bottom w:val="single" w:sz="4" w:space="0" w:color="365F91"/>
            </w:tcBorders>
            <w:shd w:val="clear" w:color="auto" w:fill="auto"/>
          </w:tcPr>
          <w:p w14:paraId="3D15FADE" w14:textId="77777777" w:rsidR="00971A1F" w:rsidRPr="00D9348B" w:rsidRDefault="00971A1F" w:rsidP="00DB330E">
            <w:pPr>
              <w:pStyle w:val="TableText"/>
              <w:spacing w:before="40" w:after="40"/>
              <w:rPr>
                <w:b/>
              </w:rPr>
            </w:pPr>
            <w:r w:rsidRPr="00D9348B">
              <w:rPr>
                <w:b/>
              </w:rPr>
              <w:t>Resolved.</w:t>
            </w:r>
            <w:r w:rsidRPr="00D9348B">
              <w:t xml:space="preserve"> This explanation has been provided, and details are available to the ERT on request. </w:t>
            </w:r>
          </w:p>
        </w:tc>
      </w:tr>
      <w:tr w:rsidR="00971A1F" w:rsidRPr="00D9348B" w14:paraId="50F3968B" w14:textId="77777777" w:rsidTr="00DB330E">
        <w:tc>
          <w:tcPr>
            <w:tcW w:w="1688" w:type="dxa"/>
            <w:tcBorders>
              <w:top w:val="single" w:sz="4" w:space="0" w:color="365F91"/>
              <w:bottom w:val="single" w:sz="4" w:space="0" w:color="365F91"/>
            </w:tcBorders>
            <w:shd w:val="clear" w:color="auto" w:fill="auto"/>
          </w:tcPr>
          <w:p w14:paraId="079DEECE" w14:textId="77777777" w:rsidR="00971A1F" w:rsidRPr="00D9348B" w:rsidRDefault="00971A1F" w:rsidP="00DB330E">
            <w:pPr>
              <w:pStyle w:val="TableText"/>
              <w:spacing w:before="40" w:after="40"/>
            </w:pPr>
            <w:r w:rsidRPr="00D9348B">
              <w:t>IPPU – 2.F.1 Refrigeration and air conditioning – HFCs</w:t>
            </w:r>
          </w:p>
        </w:tc>
        <w:tc>
          <w:tcPr>
            <w:tcW w:w="1001" w:type="dxa"/>
            <w:tcBorders>
              <w:top w:val="single" w:sz="4" w:space="0" w:color="365F91"/>
              <w:bottom w:val="single" w:sz="4" w:space="0" w:color="365F91"/>
            </w:tcBorders>
          </w:tcPr>
          <w:p w14:paraId="50DEFCFF" w14:textId="77777777" w:rsidR="00971A1F" w:rsidRPr="00D9348B" w:rsidRDefault="00971A1F" w:rsidP="00DB330E">
            <w:pPr>
              <w:pStyle w:val="TableText"/>
              <w:spacing w:before="40" w:after="40"/>
            </w:pPr>
            <w:r w:rsidRPr="00D9348B">
              <w:t>I.31, 2017</w:t>
            </w:r>
          </w:p>
        </w:tc>
        <w:tc>
          <w:tcPr>
            <w:tcW w:w="3567" w:type="dxa"/>
            <w:tcBorders>
              <w:top w:val="single" w:sz="4" w:space="0" w:color="365F91"/>
              <w:bottom w:val="single" w:sz="4" w:space="0" w:color="365F91"/>
            </w:tcBorders>
            <w:shd w:val="clear" w:color="auto" w:fill="auto"/>
          </w:tcPr>
          <w:p w14:paraId="159CAA44" w14:textId="77777777" w:rsidR="00971A1F" w:rsidRPr="00D9348B" w:rsidRDefault="00971A1F" w:rsidP="00DB330E">
            <w:pPr>
              <w:pStyle w:val="TableText"/>
              <w:spacing w:before="40" w:after="40"/>
            </w:pPr>
            <w:r w:rsidRPr="00D9348B">
              <w:t>Review the data underlying the estimation of HFC emissions from commercial and industrial refrigeration, in particular the development of average annual stocks in recent years. The ERT also recommends that New Zealand provide, in section 4.7.2 of the NIR, a brief explanation for the exceptionally high product life factors of HFC143a and HFC-134a, respectively, in these categories.</w:t>
            </w:r>
          </w:p>
        </w:tc>
        <w:tc>
          <w:tcPr>
            <w:tcW w:w="2306" w:type="dxa"/>
            <w:tcBorders>
              <w:top w:val="single" w:sz="4" w:space="0" w:color="365F91"/>
              <w:bottom w:val="single" w:sz="4" w:space="0" w:color="365F91"/>
            </w:tcBorders>
            <w:shd w:val="clear" w:color="auto" w:fill="auto"/>
          </w:tcPr>
          <w:p w14:paraId="363CAE32" w14:textId="77777777" w:rsidR="00971A1F" w:rsidRPr="00D9348B" w:rsidRDefault="00971A1F" w:rsidP="00DB330E">
            <w:pPr>
              <w:pStyle w:val="TableText"/>
              <w:spacing w:before="40" w:after="40"/>
              <w:rPr>
                <w:b/>
              </w:rPr>
            </w:pPr>
            <w:r w:rsidRPr="00D9348B">
              <w:rPr>
                <w:b/>
              </w:rPr>
              <w:t>Resolved.</w:t>
            </w:r>
            <w:r w:rsidRPr="00D9348B">
              <w:t xml:space="preserve"> This explanation has been provided, and details are available to the ERT on request. </w:t>
            </w:r>
          </w:p>
        </w:tc>
      </w:tr>
      <w:tr w:rsidR="00971A1F" w:rsidRPr="00D9348B" w14:paraId="2E56F344" w14:textId="77777777" w:rsidTr="00DB330E">
        <w:tc>
          <w:tcPr>
            <w:tcW w:w="1688" w:type="dxa"/>
            <w:tcBorders>
              <w:top w:val="single" w:sz="4" w:space="0" w:color="365F91"/>
              <w:bottom w:val="single" w:sz="4" w:space="0" w:color="365F91"/>
            </w:tcBorders>
            <w:shd w:val="clear" w:color="auto" w:fill="auto"/>
          </w:tcPr>
          <w:p w14:paraId="2BE33F4B" w14:textId="77777777" w:rsidR="00971A1F" w:rsidRPr="00D9348B" w:rsidRDefault="00971A1F" w:rsidP="0036223D">
            <w:pPr>
              <w:pStyle w:val="TableText"/>
              <w:spacing w:before="40"/>
            </w:pPr>
            <w:r w:rsidRPr="00D9348B">
              <w:t>IPPU – 2.F.1 Refrigeration and air conditioning – HFCs</w:t>
            </w:r>
          </w:p>
        </w:tc>
        <w:tc>
          <w:tcPr>
            <w:tcW w:w="1001" w:type="dxa"/>
            <w:tcBorders>
              <w:top w:val="single" w:sz="4" w:space="0" w:color="365F91"/>
              <w:bottom w:val="single" w:sz="4" w:space="0" w:color="365F91"/>
            </w:tcBorders>
          </w:tcPr>
          <w:p w14:paraId="47FFF032" w14:textId="77777777" w:rsidR="00971A1F" w:rsidRPr="00D9348B" w:rsidRDefault="00971A1F" w:rsidP="00DB330E">
            <w:pPr>
              <w:pStyle w:val="TableText"/>
              <w:spacing w:before="40" w:after="40"/>
            </w:pPr>
            <w:r w:rsidRPr="00D9348B">
              <w:t>I.32, 2017</w:t>
            </w:r>
          </w:p>
        </w:tc>
        <w:tc>
          <w:tcPr>
            <w:tcW w:w="3567" w:type="dxa"/>
            <w:tcBorders>
              <w:top w:val="single" w:sz="4" w:space="0" w:color="365F91"/>
              <w:bottom w:val="single" w:sz="4" w:space="0" w:color="365F91"/>
            </w:tcBorders>
            <w:shd w:val="clear" w:color="auto" w:fill="auto"/>
          </w:tcPr>
          <w:p w14:paraId="40AE80BC" w14:textId="77777777" w:rsidR="00971A1F" w:rsidRPr="00D9348B" w:rsidRDefault="00971A1F" w:rsidP="00DB330E">
            <w:pPr>
              <w:pStyle w:val="TableText"/>
              <w:spacing w:before="40" w:after="40"/>
            </w:pPr>
            <w:r w:rsidRPr="00D9348B">
              <w:t>Update the average charge of HFC-134a for the years from 2010 onwards by taking into consideration the cars added to the fleet in recent years, based on data available from importers and/or from fleet statistics.</w:t>
            </w:r>
          </w:p>
        </w:tc>
        <w:tc>
          <w:tcPr>
            <w:tcW w:w="2306" w:type="dxa"/>
            <w:tcBorders>
              <w:top w:val="single" w:sz="4" w:space="0" w:color="365F91"/>
              <w:bottom w:val="single" w:sz="4" w:space="0" w:color="365F91"/>
            </w:tcBorders>
            <w:shd w:val="clear" w:color="auto" w:fill="auto"/>
          </w:tcPr>
          <w:p w14:paraId="018D8C95" w14:textId="77777777" w:rsidR="00971A1F" w:rsidRPr="00D9348B" w:rsidRDefault="00971A1F" w:rsidP="00DB330E">
            <w:pPr>
              <w:pStyle w:val="TableText"/>
              <w:spacing w:before="40" w:after="40"/>
              <w:rPr>
                <w:b/>
              </w:rPr>
            </w:pPr>
            <w:r w:rsidRPr="00D9348B">
              <w:rPr>
                <w:b/>
              </w:rPr>
              <w:t>Resolved.</w:t>
            </w:r>
            <w:r w:rsidRPr="00D9348B">
              <w:t xml:space="preserve"> This has been reassessed and a brief explanation provided in the NIR. </w:t>
            </w:r>
          </w:p>
        </w:tc>
      </w:tr>
      <w:tr w:rsidR="00971A1F" w:rsidRPr="00D9348B" w14:paraId="3FE80120" w14:textId="77777777" w:rsidTr="00DB330E">
        <w:tc>
          <w:tcPr>
            <w:tcW w:w="1688" w:type="dxa"/>
            <w:tcBorders>
              <w:top w:val="single" w:sz="4" w:space="0" w:color="365F91"/>
              <w:bottom w:val="single" w:sz="4" w:space="0" w:color="365F91"/>
            </w:tcBorders>
            <w:shd w:val="clear" w:color="auto" w:fill="auto"/>
          </w:tcPr>
          <w:p w14:paraId="58BF47F4" w14:textId="77777777" w:rsidR="00971A1F" w:rsidRPr="00D9348B" w:rsidRDefault="00971A1F" w:rsidP="0036223D">
            <w:pPr>
              <w:pStyle w:val="TableText"/>
              <w:spacing w:before="40"/>
            </w:pPr>
            <w:r w:rsidRPr="00D9348B">
              <w:t>Agriculture – General – CH</w:t>
            </w:r>
            <w:r w:rsidRPr="00D9348B">
              <w:rPr>
                <w:vertAlign w:val="subscript"/>
              </w:rPr>
              <w:t>4</w:t>
            </w:r>
          </w:p>
        </w:tc>
        <w:tc>
          <w:tcPr>
            <w:tcW w:w="1001" w:type="dxa"/>
            <w:tcBorders>
              <w:top w:val="single" w:sz="4" w:space="0" w:color="365F91"/>
              <w:bottom w:val="single" w:sz="4" w:space="0" w:color="365F91"/>
            </w:tcBorders>
          </w:tcPr>
          <w:p w14:paraId="3D382F39" w14:textId="77777777" w:rsidR="00971A1F" w:rsidRPr="00D9348B" w:rsidRDefault="00971A1F" w:rsidP="00DB330E">
            <w:pPr>
              <w:pStyle w:val="TableText"/>
              <w:keepNext/>
              <w:spacing w:before="40" w:after="40"/>
            </w:pPr>
            <w:r w:rsidRPr="00D9348B">
              <w:t>A.4, 2017</w:t>
            </w:r>
          </w:p>
        </w:tc>
        <w:tc>
          <w:tcPr>
            <w:tcW w:w="3567" w:type="dxa"/>
            <w:tcBorders>
              <w:top w:val="single" w:sz="4" w:space="0" w:color="365F91"/>
              <w:bottom w:val="single" w:sz="4" w:space="0" w:color="365F91"/>
            </w:tcBorders>
            <w:shd w:val="clear" w:color="auto" w:fill="auto"/>
          </w:tcPr>
          <w:p w14:paraId="2F787C1E" w14:textId="77777777" w:rsidR="00971A1F" w:rsidRPr="00D9348B" w:rsidRDefault="00971A1F" w:rsidP="00DB330E">
            <w:pPr>
              <w:pStyle w:val="TableText"/>
              <w:keepNext/>
              <w:spacing w:before="40" w:after="40"/>
            </w:pPr>
            <w:r w:rsidRPr="00D9348B">
              <w:t>Provide in its NIR the list of livestock species included in the category other poultry and provide explanations regarding the methodology it uses to estimate emissions and EFs for ostriches and emus.</w:t>
            </w:r>
          </w:p>
        </w:tc>
        <w:tc>
          <w:tcPr>
            <w:tcW w:w="2306" w:type="dxa"/>
            <w:tcBorders>
              <w:top w:val="single" w:sz="4" w:space="0" w:color="365F91"/>
              <w:bottom w:val="single" w:sz="4" w:space="0" w:color="365F91"/>
            </w:tcBorders>
            <w:shd w:val="clear" w:color="auto" w:fill="auto"/>
          </w:tcPr>
          <w:p w14:paraId="3C3E5FA5" w14:textId="77777777" w:rsidR="00971A1F" w:rsidRPr="00D9348B" w:rsidRDefault="00971A1F" w:rsidP="00DB330E">
            <w:pPr>
              <w:pStyle w:val="TableText"/>
              <w:keepNext/>
              <w:spacing w:before="40" w:after="40"/>
              <w:rPr>
                <w:b/>
              </w:rPr>
            </w:pPr>
            <w:r w:rsidRPr="00D9348B">
              <w:rPr>
                <w:b/>
                <w:bCs/>
              </w:rPr>
              <w:t xml:space="preserve">Resolved. </w:t>
            </w:r>
            <w:r w:rsidRPr="00D9348B">
              <w:t xml:space="preserve">Additional information on the species included in ‘other poultry’ is in the 2019 NIR. </w:t>
            </w:r>
          </w:p>
        </w:tc>
      </w:tr>
      <w:tr w:rsidR="00971A1F" w:rsidRPr="00D9348B" w14:paraId="00726434" w14:textId="77777777" w:rsidTr="00DB330E">
        <w:tc>
          <w:tcPr>
            <w:tcW w:w="1688" w:type="dxa"/>
            <w:tcBorders>
              <w:top w:val="single" w:sz="4" w:space="0" w:color="365F91"/>
              <w:bottom w:val="single" w:sz="4" w:space="0" w:color="365F91"/>
            </w:tcBorders>
            <w:shd w:val="clear" w:color="auto" w:fill="auto"/>
          </w:tcPr>
          <w:p w14:paraId="42800DB4" w14:textId="77777777" w:rsidR="00971A1F" w:rsidRPr="00D9348B" w:rsidRDefault="00971A1F" w:rsidP="00DB330E">
            <w:pPr>
              <w:pStyle w:val="TableText"/>
              <w:spacing w:before="40" w:after="40"/>
            </w:pPr>
            <w:r w:rsidRPr="00D9348B">
              <w:t>Agriculture – 3.A.4 Other livestock – CH</w:t>
            </w:r>
            <w:r w:rsidRPr="00D9348B">
              <w:rPr>
                <w:vertAlign w:val="subscript"/>
              </w:rPr>
              <w:t>4</w:t>
            </w:r>
          </w:p>
        </w:tc>
        <w:tc>
          <w:tcPr>
            <w:tcW w:w="1001" w:type="dxa"/>
            <w:tcBorders>
              <w:top w:val="single" w:sz="4" w:space="0" w:color="365F91"/>
              <w:bottom w:val="single" w:sz="4" w:space="0" w:color="365F91"/>
            </w:tcBorders>
          </w:tcPr>
          <w:p w14:paraId="459A8D81" w14:textId="77777777" w:rsidR="00971A1F" w:rsidRPr="00D9348B" w:rsidRDefault="00971A1F" w:rsidP="00DB330E">
            <w:pPr>
              <w:pStyle w:val="TableText"/>
              <w:spacing w:before="40" w:after="40"/>
            </w:pPr>
            <w:r w:rsidRPr="00D9348B">
              <w:t>A.5, 2017</w:t>
            </w:r>
          </w:p>
        </w:tc>
        <w:tc>
          <w:tcPr>
            <w:tcW w:w="3567" w:type="dxa"/>
            <w:tcBorders>
              <w:top w:val="single" w:sz="4" w:space="0" w:color="365F91"/>
              <w:bottom w:val="single" w:sz="4" w:space="0" w:color="365F91"/>
            </w:tcBorders>
            <w:shd w:val="clear" w:color="auto" w:fill="auto"/>
          </w:tcPr>
          <w:p w14:paraId="553362E8" w14:textId="77777777" w:rsidR="00971A1F" w:rsidRPr="00D9348B" w:rsidRDefault="00971A1F" w:rsidP="00DB330E">
            <w:pPr>
              <w:pStyle w:val="TableText"/>
              <w:spacing w:before="40" w:after="40"/>
            </w:pPr>
            <w:r w:rsidRPr="00D9348B">
              <w:t>Provide information on the breeding of rabbits and fur-bearing animals in its NIR.</w:t>
            </w:r>
          </w:p>
        </w:tc>
        <w:tc>
          <w:tcPr>
            <w:tcW w:w="2306" w:type="dxa"/>
            <w:tcBorders>
              <w:top w:val="single" w:sz="4" w:space="0" w:color="365F91"/>
              <w:bottom w:val="single" w:sz="4" w:space="0" w:color="365F91"/>
            </w:tcBorders>
            <w:shd w:val="clear" w:color="auto" w:fill="auto"/>
          </w:tcPr>
          <w:p w14:paraId="2F663E57" w14:textId="77777777" w:rsidR="00971A1F" w:rsidRPr="00D9348B" w:rsidRDefault="00971A1F" w:rsidP="00DB330E">
            <w:pPr>
              <w:pStyle w:val="TableText"/>
              <w:spacing w:before="40" w:after="40"/>
              <w:rPr>
                <w:b/>
              </w:rPr>
            </w:pPr>
            <w:r w:rsidRPr="00D9348B">
              <w:rPr>
                <w:b/>
                <w:bCs/>
              </w:rPr>
              <w:t xml:space="preserve">Addressing. </w:t>
            </w:r>
            <w:r w:rsidRPr="00D9348B">
              <w:t xml:space="preserve">The Ministry for Primary Industries has investigated this issue. Rabbits are considered an agricultural pest and only a very small number are farmed rabbits. </w:t>
            </w:r>
            <w:r w:rsidRPr="00D9348B">
              <w:lastRenderedPageBreak/>
              <w:t>There is no farming of other fur-bearing animals. This explanation has been included in chapter 1, section 1.4 and chapter 5, section 5.1.4.</w:t>
            </w:r>
          </w:p>
        </w:tc>
      </w:tr>
      <w:tr w:rsidR="00971A1F" w:rsidRPr="00D9348B" w14:paraId="0652495E" w14:textId="77777777" w:rsidTr="00DB330E">
        <w:tc>
          <w:tcPr>
            <w:tcW w:w="1688" w:type="dxa"/>
            <w:tcBorders>
              <w:top w:val="single" w:sz="4" w:space="0" w:color="365F91"/>
              <w:bottom w:val="single" w:sz="4" w:space="0" w:color="365F91"/>
            </w:tcBorders>
            <w:shd w:val="clear" w:color="auto" w:fill="auto"/>
          </w:tcPr>
          <w:p w14:paraId="3F7AD524" w14:textId="77777777" w:rsidR="00971A1F" w:rsidRPr="00D9348B" w:rsidRDefault="00971A1F" w:rsidP="00DB330E">
            <w:pPr>
              <w:pStyle w:val="TableText"/>
              <w:spacing w:before="40" w:after="40"/>
            </w:pPr>
            <w:r w:rsidRPr="00D9348B">
              <w:lastRenderedPageBreak/>
              <w:t>LULUCF – Forest land – CO</w:t>
            </w:r>
            <w:r w:rsidRPr="00D9348B">
              <w:rPr>
                <w:vertAlign w:val="subscript"/>
              </w:rPr>
              <w:t>2</w:t>
            </w:r>
          </w:p>
        </w:tc>
        <w:tc>
          <w:tcPr>
            <w:tcW w:w="1001" w:type="dxa"/>
            <w:tcBorders>
              <w:top w:val="single" w:sz="4" w:space="0" w:color="365F91"/>
              <w:bottom w:val="single" w:sz="4" w:space="0" w:color="365F91"/>
            </w:tcBorders>
          </w:tcPr>
          <w:p w14:paraId="664F8D09" w14:textId="77777777" w:rsidR="00971A1F" w:rsidRPr="00D9348B" w:rsidRDefault="00971A1F" w:rsidP="00DB330E">
            <w:pPr>
              <w:pStyle w:val="TableText"/>
              <w:spacing w:before="40" w:after="40"/>
            </w:pPr>
            <w:r w:rsidRPr="00D9348B">
              <w:t>L.3, 2017</w:t>
            </w:r>
          </w:p>
        </w:tc>
        <w:tc>
          <w:tcPr>
            <w:tcW w:w="3567" w:type="dxa"/>
            <w:tcBorders>
              <w:top w:val="single" w:sz="4" w:space="0" w:color="365F91"/>
              <w:bottom w:val="single" w:sz="4" w:space="0" w:color="365F91"/>
            </w:tcBorders>
            <w:shd w:val="clear" w:color="auto" w:fill="auto"/>
          </w:tcPr>
          <w:p w14:paraId="14E2781A" w14:textId="77777777" w:rsidR="00971A1F" w:rsidRPr="00D9348B" w:rsidRDefault="00971A1F" w:rsidP="00DB330E">
            <w:pPr>
              <w:pStyle w:val="TableText"/>
              <w:spacing w:before="40" w:after="40"/>
            </w:pPr>
            <w:r w:rsidRPr="00D9348B">
              <w:t>New Zealand re-analyse the harvesting age assumption on the average harvest age and recalculate the emissions if it cannot provide a justification that emissions are not overestimated or underestimated; and report the outcomes of this exercise in the NIR.</w:t>
            </w:r>
          </w:p>
        </w:tc>
        <w:tc>
          <w:tcPr>
            <w:tcW w:w="2306" w:type="dxa"/>
            <w:tcBorders>
              <w:top w:val="single" w:sz="4" w:space="0" w:color="365F91"/>
              <w:bottom w:val="single" w:sz="4" w:space="0" w:color="365F91"/>
            </w:tcBorders>
            <w:shd w:val="clear" w:color="auto" w:fill="auto"/>
          </w:tcPr>
          <w:p w14:paraId="4F262B27" w14:textId="77777777" w:rsidR="00971A1F" w:rsidRPr="00D9348B" w:rsidRDefault="00971A1F" w:rsidP="00DB330E">
            <w:pPr>
              <w:pStyle w:val="TableText"/>
              <w:spacing w:before="40" w:after="40"/>
              <w:rPr>
                <w:b/>
              </w:rPr>
            </w:pPr>
            <w:r w:rsidRPr="00D9348B">
              <w:rPr>
                <w:rFonts w:cs="Arial"/>
                <w:b/>
                <w:szCs w:val="16"/>
              </w:rPr>
              <w:t>Addressing.</w:t>
            </w:r>
            <w:r w:rsidRPr="00D9348B">
              <w:rPr>
                <w:rFonts w:cs="Arial"/>
                <w:szCs w:val="16"/>
              </w:rPr>
              <w:t xml:space="preserve"> Analysis is scheduled for 2019/20.</w:t>
            </w:r>
          </w:p>
        </w:tc>
      </w:tr>
      <w:tr w:rsidR="00971A1F" w:rsidRPr="00D9348B" w14:paraId="63ABC366" w14:textId="77777777" w:rsidTr="00DB330E">
        <w:tc>
          <w:tcPr>
            <w:tcW w:w="1688" w:type="dxa"/>
            <w:tcBorders>
              <w:top w:val="single" w:sz="4" w:space="0" w:color="365F91"/>
              <w:bottom w:val="single" w:sz="4" w:space="0" w:color="365F91"/>
            </w:tcBorders>
            <w:shd w:val="clear" w:color="auto" w:fill="auto"/>
          </w:tcPr>
          <w:p w14:paraId="1DD55898" w14:textId="77777777" w:rsidR="00971A1F" w:rsidRPr="00D9348B" w:rsidRDefault="00971A1F" w:rsidP="00DB330E">
            <w:pPr>
              <w:pStyle w:val="TableText"/>
              <w:spacing w:before="40" w:after="40"/>
            </w:pPr>
            <w:r w:rsidRPr="00D9348B">
              <w:t>LULUCF – Forest land – CO</w:t>
            </w:r>
            <w:r w:rsidRPr="00D9348B">
              <w:rPr>
                <w:vertAlign w:val="subscript"/>
              </w:rPr>
              <w:t>2</w:t>
            </w:r>
          </w:p>
        </w:tc>
        <w:tc>
          <w:tcPr>
            <w:tcW w:w="1001" w:type="dxa"/>
            <w:tcBorders>
              <w:top w:val="single" w:sz="4" w:space="0" w:color="365F91"/>
              <w:bottom w:val="single" w:sz="4" w:space="0" w:color="365F91"/>
            </w:tcBorders>
          </w:tcPr>
          <w:p w14:paraId="1CB47099" w14:textId="77777777" w:rsidR="00971A1F" w:rsidRPr="00D9348B" w:rsidRDefault="00971A1F" w:rsidP="00DB330E">
            <w:pPr>
              <w:pStyle w:val="TableText"/>
              <w:spacing w:before="40" w:after="40"/>
            </w:pPr>
            <w:r w:rsidRPr="00D9348B">
              <w:t>L.4, 2017</w:t>
            </w:r>
          </w:p>
        </w:tc>
        <w:tc>
          <w:tcPr>
            <w:tcW w:w="3567" w:type="dxa"/>
            <w:tcBorders>
              <w:top w:val="single" w:sz="4" w:space="0" w:color="365F91"/>
              <w:bottom w:val="single" w:sz="4" w:space="0" w:color="365F91"/>
            </w:tcBorders>
            <w:shd w:val="clear" w:color="auto" w:fill="auto"/>
          </w:tcPr>
          <w:p w14:paraId="51506BF5" w14:textId="250C0C87" w:rsidR="00971A1F" w:rsidRPr="00D9348B" w:rsidRDefault="00971A1F" w:rsidP="00DB330E">
            <w:pPr>
              <w:pStyle w:val="TableText"/>
              <w:spacing w:before="40" w:after="40"/>
            </w:pPr>
            <w:r w:rsidRPr="00D9348B">
              <w:t>Consider ways to reduce uncertainties in the stock change estimates when further designing the systems to estimate carbon stock change in pre</w:t>
            </w:r>
            <w:r w:rsidR="00111A34">
              <w:noBreakHyphen/>
            </w:r>
            <w:r w:rsidRPr="00D9348B">
              <w:t>1990 natural forests.</w:t>
            </w:r>
          </w:p>
        </w:tc>
        <w:tc>
          <w:tcPr>
            <w:tcW w:w="2306" w:type="dxa"/>
            <w:tcBorders>
              <w:top w:val="single" w:sz="4" w:space="0" w:color="365F91"/>
              <w:bottom w:val="single" w:sz="4" w:space="0" w:color="365F91"/>
            </w:tcBorders>
            <w:shd w:val="clear" w:color="auto" w:fill="auto"/>
          </w:tcPr>
          <w:p w14:paraId="154A6FB2" w14:textId="77777777" w:rsidR="00971A1F" w:rsidRPr="00D9348B" w:rsidRDefault="00971A1F" w:rsidP="00DB330E">
            <w:pPr>
              <w:pStyle w:val="TableText"/>
              <w:spacing w:before="40" w:after="40"/>
              <w:rPr>
                <w:b/>
              </w:rPr>
            </w:pPr>
            <w:r w:rsidRPr="00D9348B">
              <w:rPr>
                <w:rFonts w:cs="Arial"/>
                <w:b/>
                <w:szCs w:val="16"/>
              </w:rPr>
              <w:t>Resolved.</w:t>
            </w:r>
            <w:r w:rsidRPr="00D9348B">
              <w:rPr>
                <w:rFonts w:cs="Arial"/>
                <w:szCs w:val="16"/>
              </w:rPr>
              <w:t xml:space="preserve"> Uncertainty of the pre-1990 natural forest carbon stock change has been reduced through applying different methods, as described in the NIR.</w:t>
            </w:r>
          </w:p>
        </w:tc>
      </w:tr>
      <w:tr w:rsidR="00971A1F" w:rsidRPr="00D9348B" w14:paraId="0005F409" w14:textId="77777777" w:rsidTr="00DB330E">
        <w:tc>
          <w:tcPr>
            <w:tcW w:w="1688" w:type="dxa"/>
            <w:tcBorders>
              <w:top w:val="single" w:sz="4" w:space="0" w:color="365F91"/>
              <w:bottom w:val="single" w:sz="4" w:space="0" w:color="365F91"/>
            </w:tcBorders>
            <w:shd w:val="clear" w:color="auto" w:fill="auto"/>
          </w:tcPr>
          <w:p w14:paraId="4F7401B0" w14:textId="77777777" w:rsidR="00971A1F" w:rsidRPr="00D9348B" w:rsidRDefault="00971A1F" w:rsidP="00DB330E">
            <w:pPr>
              <w:pStyle w:val="TableText"/>
              <w:spacing w:before="40" w:after="40"/>
            </w:pPr>
            <w:r w:rsidRPr="00D9348B">
              <w:t>LULUCF – Forest land remaining forest land – CO</w:t>
            </w:r>
            <w:r w:rsidRPr="00D9348B">
              <w:rPr>
                <w:vertAlign w:val="subscript"/>
              </w:rPr>
              <w:t>2</w:t>
            </w:r>
          </w:p>
        </w:tc>
        <w:tc>
          <w:tcPr>
            <w:tcW w:w="1001" w:type="dxa"/>
            <w:tcBorders>
              <w:top w:val="single" w:sz="4" w:space="0" w:color="365F91"/>
              <w:bottom w:val="single" w:sz="4" w:space="0" w:color="365F91"/>
            </w:tcBorders>
          </w:tcPr>
          <w:p w14:paraId="30718A6A" w14:textId="77777777" w:rsidR="00971A1F" w:rsidRPr="00D9348B" w:rsidRDefault="00971A1F" w:rsidP="00DB330E">
            <w:pPr>
              <w:pStyle w:val="TableText"/>
              <w:spacing w:before="40" w:after="40"/>
            </w:pPr>
            <w:r w:rsidRPr="00D9348B">
              <w:t>L.5, 2017</w:t>
            </w:r>
          </w:p>
        </w:tc>
        <w:tc>
          <w:tcPr>
            <w:tcW w:w="3567" w:type="dxa"/>
            <w:tcBorders>
              <w:top w:val="single" w:sz="4" w:space="0" w:color="365F91"/>
              <w:bottom w:val="single" w:sz="4" w:space="0" w:color="365F91"/>
            </w:tcBorders>
            <w:shd w:val="clear" w:color="auto" w:fill="auto"/>
          </w:tcPr>
          <w:p w14:paraId="0ED7D74F" w14:textId="77777777" w:rsidR="00971A1F" w:rsidRPr="00D9348B" w:rsidRDefault="00971A1F" w:rsidP="00DB330E">
            <w:pPr>
              <w:pStyle w:val="TableText"/>
              <w:spacing w:before="40" w:after="40"/>
            </w:pPr>
            <w:r w:rsidRPr="00D9348B">
              <w:t>Update the below-ground biomass ratios, or, while that update is not possible, report in the NIR on the progress on the ongoing work to update the below-ground biomass ratios.</w:t>
            </w:r>
          </w:p>
        </w:tc>
        <w:tc>
          <w:tcPr>
            <w:tcW w:w="2306" w:type="dxa"/>
            <w:tcBorders>
              <w:top w:val="single" w:sz="4" w:space="0" w:color="365F91"/>
              <w:bottom w:val="single" w:sz="4" w:space="0" w:color="365F91"/>
            </w:tcBorders>
            <w:shd w:val="clear" w:color="auto" w:fill="auto"/>
          </w:tcPr>
          <w:p w14:paraId="096B9A2A" w14:textId="77777777" w:rsidR="00971A1F" w:rsidRPr="00D9348B" w:rsidRDefault="00971A1F" w:rsidP="00DB330E">
            <w:pPr>
              <w:pStyle w:val="TableText"/>
              <w:spacing w:before="40" w:after="40"/>
              <w:rPr>
                <w:b/>
              </w:rPr>
            </w:pPr>
            <w:r w:rsidRPr="00D9348B">
              <w:rPr>
                <w:rFonts w:cs="Arial"/>
                <w:b/>
                <w:szCs w:val="16"/>
              </w:rPr>
              <w:t>Resolved.</w:t>
            </w:r>
            <w:r w:rsidRPr="00D9348B">
              <w:rPr>
                <w:rFonts w:cs="Arial"/>
                <w:szCs w:val="16"/>
              </w:rPr>
              <w:t xml:space="preserve"> Below ground biomass ratios have been updated in the 2020 submission.</w:t>
            </w:r>
          </w:p>
        </w:tc>
      </w:tr>
      <w:tr w:rsidR="00971A1F" w:rsidRPr="00D9348B" w14:paraId="3DE6C894" w14:textId="77777777" w:rsidTr="00DB330E">
        <w:tc>
          <w:tcPr>
            <w:tcW w:w="1688" w:type="dxa"/>
            <w:tcBorders>
              <w:top w:val="single" w:sz="4" w:space="0" w:color="365F91"/>
              <w:bottom w:val="single" w:sz="4" w:space="0" w:color="365F91"/>
            </w:tcBorders>
            <w:shd w:val="clear" w:color="auto" w:fill="auto"/>
          </w:tcPr>
          <w:p w14:paraId="7F6FA846" w14:textId="77777777" w:rsidR="00971A1F" w:rsidRPr="00D9348B" w:rsidRDefault="00971A1F" w:rsidP="00DB330E">
            <w:pPr>
              <w:pStyle w:val="TableText"/>
              <w:spacing w:before="40" w:after="40"/>
            </w:pPr>
            <w:r w:rsidRPr="00D9348B">
              <w:t>LULUCF – Land converted to forest land – CO</w:t>
            </w:r>
            <w:r w:rsidRPr="00D9348B">
              <w:rPr>
                <w:vertAlign w:val="subscript"/>
              </w:rPr>
              <w:t>2</w:t>
            </w:r>
          </w:p>
        </w:tc>
        <w:tc>
          <w:tcPr>
            <w:tcW w:w="1001" w:type="dxa"/>
            <w:tcBorders>
              <w:top w:val="single" w:sz="4" w:space="0" w:color="365F91"/>
              <w:bottom w:val="single" w:sz="4" w:space="0" w:color="365F91"/>
            </w:tcBorders>
          </w:tcPr>
          <w:p w14:paraId="79978FAC" w14:textId="77777777" w:rsidR="00971A1F" w:rsidRPr="00D9348B" w:rsidRDefault="00971A1F" w:rsidP="00DB330E">
            <w:pPr>
              <w:pStyle w:val="TableText"/>
              <w:spacing w:before="40" w:after="40"/>
            </w:pPr>
            <w:r w:rsidRPr="00D9348B">
              <w:t>L.6, 2017</w:t>
            </w:r>
          </w:p>
        </w:tc>
        <w:tc>
          <w:tcPr>
            <w:tcW w:w="3567" w:type="dxa"/>
            <w:tcBorders>
              <w:top w:val="single" w:sz="4" w:space="0" w:color="365F91"/>
              <w:bottom w:val="single" w:sz="4" w:space="0" w:color="365F91"/>
            </w:tcBorders>
            <w:shd w:val="clear" w:color="auto" w:fill="auto"/>
          </w:tcPr>
          <w:p w14:paraId="466FA60E" w14:textId="77777777" w:rsidR="00971A1F" w:rsidRPr="00D9348B" w:rsidRDefault="00971A1F" w:rsidP="00DB330E">
            <w:pPr>
              <w:pStyle w:val="TableText"/>
              <w:spacing w:before="40" w:after="40"/>
            </w:pPr>
            <w:r w:rsidRPr="00D9348B">
              <w:t>Include information on the reasons for the inter-annual changes in the net carbon stock change in dead wood per area for category 4.A.2.4 (settlements converted to forest land), in particular the inter-annual changes observed for 2011 onwards.</w:t>
            </w:r>
          </w:p>
        </w:tc>
        <w:tc>
          <w:tcPr>
            <w:tcW w:w="2306" w:type="dxa"/>
            <w:tcBorders>
              <w:top w:val="single" w:sz="4" w:space="0" w:color="365F91"/>
              <w:bottom w:val="single" w:sz="4" w:space="0" w:color="365F91"/>
            </w:tcBorders>
            <w:shd w:val="clear" w:color="auto" w:fill="auto"/>
          </w:tcPr>
          <w:p w14:paraId="44424891" w14:textId="77777777" w:rsidR="00971A1F" w:rsidRPr="00D9348B" w:rsidRDefault="00971A1F" w:rsidP="00DB330E">
            <w:pPr>
              <w:pStyle w:val="TableText"/>
              <w:spacing w:before="40" w:after="40"/>
              <w:rPr>
                <w:b/>
              </w:rPr>
            </w:pPr>
            <w:r w:rsidRPr="00D9348B">
              <w:rPr>
                <w:rFonts w:cs="Arial"/>
                <w:b/>
                <w:szCs w:val="16"/>
              </w:rPr>
              <w:t>Resolved.</w:t>
            </w:r>
            <w:r w:rsidRPr="00D9348B">
              <w:rPr>
                <w:rFonts w:cs="Arial"/>
                <w:szCs w:val="16"/>
              </w:rPr>
              <w:t xml:space="preserve"> An explanation was provided in the 2019 NIR describing how active management affects dead wood stocks.</w:t>
            </w:r>
          </w:p>
        </w:tc>
      </w:tr>
      <w:tr w:rsidR="00971A1F" w:rsidRPr="00D9348B" w14:paraId="4C717F25" w14:textId="77777777" w:rsidTr="00DB330E">
        <w:tc>
          <w:tcPr>
            <w:tcW w:w="1688" w:type="dxa"/>
            <w:tcBorders>
              <w:top w:val="single" w:sz="4" w:space="0" w:color="365F91"/>
              <w:bottom w:val="single" w:sz="4" w:space="0" w:color="365F91"/>
            </w:tcBorders>
            <w:shd w:val="clear" w:color="auto" w:fill="auto"/>
          </w:tcPr>
          <w:p w14:paraId="59A9B0CD" w14:textId="77777777" w:rsidR="00971A1F" w:rsidRPr="00D9348B" w:rsidRDefault="00971A1F" w:rsidP="00DB330E">
            <w:pPr>
              <w:pStyle w:val="TableText"/>
              <w:spacing w:before="40" w:after="40"/>
            </w:pPr>
            <w:r w:rsidRPr="00D9348B">
              <w:t>LULUCF – Wetlands – CO</w:t>
            </w:r>
            <w:r w:rsidRPr="00D9348B">
              <w:rPr>
                <w:vertAlign w:val="subscript"/>
              </w:rPr>
              <w:t>2</w:t>
            </w:r>
          </w:p>
        </w:tc>
        <w:tc>
          <w:tcPr>
            <w:tcW w:w="1001" w:type="dxa"/>
            <w:tcBorders>
              <w:top w:val="single" w:sz="4" w:space="0" w:color="365F91"/>
              <w:bottom w:val="single" w:sz="4" w:space="0" w:color="365F91"/>
            </w:tcBorders>
          </w:tcPr>
          <w:p w14:paraId="5DF09CE9" w14:textId="77777777" w:rsidR="00971A1F" w:rsidRPr="00D9348B" w:rsidRDefault="00971A1F" w:rsidP="00DB330E">
            <w:pPr>
              <w:pStyle w:val="TableText"/>
              <w:spacing w:before="40" w:after="40"/>
            </w:pPr>
            <w:r w:rsidRPr="00D9348B">
              <w:t>L.7, 2017</w:t>
            </w:r>
          </w:p>
        </w:tc>
        <w:tc>
          <w:tcPr>
            <w:tcW w:w="3567" w:type="dxa"/>
            <w:tcBorders>
              <w:top w:val="single" w:sz="4" w:space="0" w:color="365F91"/>
              <w:bottom w:val="single" w:sz="4" w:space="0" w:color="365F91"/>
            </w:tcBorders>
            <w:shd w:val="clear" w:color="auto" w:fill="auto"/>
          </w:tcPr>
          <w:p w14:paraId="72C07AD2" w14:textId="77777777" w:rsidR="00971A1F" w:rsidRPr="00D9348B" w:rsidRDefault="00971A1F" w:rsidP="00DB330E">
            <w:pPr>
              <w:pStyle w:val="TableText"/>
              <w:spacing w:before="40" w:after="40"/>
            </w:pPr>
            <w:r w:rsidRPr="00D9348B">
              <w:t>Continue the ongoing work to improve its estimates for wetlands and report the emissions for categories 4.D.1.1 and 4.D.2.1.</w:t>
            </w:r>
          </w:p>
        </w:tc>
        <w:tc>
          <w:tcPr>
            <w:tcW w:w="2306" w:type="dxa"/>
            <w:tcBorders>
              <w:top w:val="single" w:sz="4" w:space="0" w:color="365F91"/>
              <w:bottom w:val="single" w:sz="4" w:space="0" w:color="365F91"/>
            </w:tcBorders>
            <w:shd w:val="clear" w:color="auto" w:fill="auto"/>
          </w:tcPr>
          <w:p w14:paraId="5D34C4DF" w14:textId="77777777" w:rsidR="00971A1F" w:rsidRPr="00D9348B" w:rsidRDefault="00971A1F" w:rsidP="00DB330E">
            <w:pPr>
              <w:pStyle w:val="TableText"/>
              <w:spacing w:before="40" w:after="40"/>
              <w:rPr>
                <w:b/>
              </w:rPr>
            </w:pPr>
            <w:r w:rsidRPr="00D9348B">
              <w:rPr>
                <w:b/>
              </w:rPr>
              <w:t>Resolved.</w:t>
            </w:r>
            <w:r w:rsidRPr="00D9348B">
              <w:t xml:space="preserve"> New Zealand is now reporting on these two categories since the 2018 submission.</w:t>
            </w:r>
          </w:p>
        </w:tc>
      </w:tr>
      <w:tr w:rsidR="00971A1F" w:rsidRPr="00D9348B" w14:paraId="36E2E2F8" w14:textId="77777777" w:rsidTr="00DB330E">
        <w:tc>
          <w:tcPr>
            <w:tcW w:w="1688" w:type="dxa"/>
            <w:tcBorders>
              <w:top w:val="single" w:sz="4" w:space="0" w:color="365F91"/>
              <w:bottom w:val="single" w:sz="4" w:space="0" w:color="365F91"/>
            </w:tcBorders>
            <w:shd w:val="clear" w:color="auto" w:fill="auto"/>
          </w:tcPr>
          <w:p w14:paraId="39278A01" w14:textId="77777777" w:rsidR="00971A1F" w:rsidRPr="00D9348B" w:rsidRDefault="00971A1F" w:rsidP="00DB330E">
            <w:pPr>
              <w:pStyle w:val="TableText"/>
              <w:spacing w:before="40" w:after="40"/>
            </w:pPr>
            <w:r w:rsidRPr="00D9348B">
              <w:t>LULUCF – Direct N</w:t>
            </w:r>
            <w:r w:rsidRPr="00D9348B">
              <w:rPr>
                <w:vertAlign w:val="subscript"/>
              </w:rPr>
              <w:t>2</w:t>
            </w:r>
            <w:r w:rsidRPr="00D9348B">
              <w:t>O emissions from N mineralization/ immobilization – N</w:t>
            </w:r>
            <w:r w:rsidRPr="00D9348B">
              <w:rPr>
                <w:vertAlign w:val="subscript"/>
              </w:rPr>
              <w:t>2</w:t>
            </w:r>
            <w:r w:rsidRPr="00D9348B">
              <w:t>O</w:t>
            </w:r>
          </w:p>
        </w:tc>
        <w:tc>
          <w:tcPr>
            <w:tcW w:w="1001" w:type="dxa"/>
            <w:tcBorders>
              <w:top w:val="single" w:sz="4" w:space="0" w:color="365F91"/>
              <w:bottom w:val="single" w:sz="4" w:space="0" w:color="365F91"/>
            </w:tcBorders>
          </w:tcPr>
          <w:p w14:paraId="3CE620DB" w14:textId="77777777" w:rsidR="00971A1F" w:rsidRPr="00D9348B" w:rsidRDefault="00971A1F" w:rsidP="00DB330E">
            <w:pPr>
              <w:pStyle w:val="TableText"/>
              <w:spacing w:before="40" w:after="40"/>
            </w:pPr>
            <w:r w:rsidRPr="00D9348B">
              <w:t>L.9, 2017</w:t>
            </w:r>
          </w:p>
        </w:tc>
        <w:tc>
          <w:tcPr>
            <w:tcW w:w="3567" w:type="dxa"/>
            <w:tcBorders>
              <w:top w:val="single" w:sz="4" w:space="0" w:color="365F91"/>
              <w:bottom w:val="single" w:sz="4" w:space="0" w:color="365F91"/>
            </w:tcBorders>
            <w:shd w:val="clear" w:color="auto" w:fill="auto"/>
          </w:tcPr>
          <w:p w14:paraId="638738E3" w14:textId="77777777" w:rsidR="00971A1F" w:rsidRPr="00D9348B" w:rsidRDefault="00971A1F" w:rsidP="00DB330E">
            <w:pPr>
              <w:pStyle w:val="TableText"/>
              <w:spacing w:before="40" w:after="40"/>
            </w:pPr>
            <w:r w:rsidRPr="00D9348B">
              <w:t>The ERT recommends that New Zealand correct the C/N ratio to 15:1 in the NIR (p.300).</w:t>
            </w:r>
          </w:p>
        </w:tc>
        <w:tc>
          <w:tcPr>
            <w:tcW w:w="2306" w:type="dxa"/>
            <w:tcBorders>
              <w:top w:val="single" w:sz="4" w:space="0" w:color="365F91"/>
              <w:bottom w:val="single" w:sz="4" w:space="0" w:color="365F91"/>
            </w:tcBorders>
            <w:shd w:val="clear" w:color="auto" w:fill="auto"/>
          </w:tcPr>
          <w:p w14:paraId="559E59AB" w14:textId="77777777" w:rsidR="00971A1F" w:rsidRPr="00D9348B" w:rsidRDefault="00971A1F" w:rsidP="00DB330E">
            <w:pPr>
              <w:pStyle w:val="TableText"/>
              <w:spacing w:before="40" w:after="40"/>
              <w:rPr>
                <w:b/>
              </w:rPr>
            </w:pPr>
            <w:r w:rsidRPr="00D9348B">
              <w:rPr>
                <w:b/>
              </w:rPr>
              <w:t>Resolved.</w:t>
            </w:r>
            <w:r w:rsidRPr="00D9348B">
              <w:t xml:space="preserve"> This has been correctly reported since the 2018 submission.</w:t>
            </w:r>
          </w:p>
        </w:tc>
      </w:tr>
      <w:tr w:rsidR="00971A1F" w:rsidRPr="00D9348B" w14:paraId="612DFEC4" w14:textId="77777777" w:rsidTr="00DB330E">
        <w:tc>
          <w:tcPr>
            <w:tcW w:w="1688" w:type="dxa"/>
            <w:tcBorders>
              <w:top w:val="single" w:sz="4" w:space="0" w:color="365F91"/>
              <w:bottom w:val="single" w:sz="4" w:space="0" w:color="365F91"/>
            </w:tcBorders>
            <w:shd w:val="clear" w:color="auto" w:fill="auto"/>
          </w:tcPr>
          <w:p w14:paraId="392A0282" w14:textId="77777777" w:rsidR="00971A1F" w:rsidRPr="00D9348B" w:rsidRDefault="00971A1F" w:rsidP="00DB330E">
            <w:pPr>
              <w:pStyle w:val="TableText"/>
              <w:spacing w:before="40" w:after="40"/>
            </w:pPr>
            <w:r w:rsidRPr="00D9348B">
              <w:t>Waste – 5.A.1.a Anaerobic– General</w:t>
            </w:r>
          </w:p>
        </w:tc>
        <w:tc>
          <w:tcPr>
            <w:tcW w:w="1001" w:type="dxa"/>
            <w:tcBorders>
              <w:top w:val="single" w:sz="4" w:space="0" w:color="365F91"/>
              <w:bottom w:val="single" w:sz="4" w:space="0" w:color="365F91"/>
            </w:tcBorders>
          </w:tcPr>
          <w:p w14:paraId="1BAF1AD5" w14:textId="77777777" w:rsidR="00971A1F" w:rsidRPr="00D9348B" w:rsidRDefault="00971A1F" w:rsidP="00DB330E">
            <w:pPr>
              <w:pStyle w:val="TableText"/>
              <w:spacing w:before="40" w:after="40"/>
            </w:pPr>
            <w:r w:rsidRPr="00D9348B">
              <w:t>W.14, 2017</w:t>
            </w:r>
          </w:p>
        </w:tc>
        <w:tc>
          <w:tcPr>
            <w:tcW w:w="3567" w:type="dxa"/>
            <w:tcBorders>
              <w:top w:val="single" w:sz="4" w:space="0" w:color="365F91"/>
              <w:bottom w:val="single" w:sz="4" w:space="0" w:color="365F91"/>
            </w:tcBorders>
            <w:shd w:val="clear" w:color="auto" w:fill="auto"/>
          </w:tcPr>
          <w:p w14:paraId="27A51C8C" w14:textId="77777777" w:rsidR="00971A1F" w:rsidRPr="00D9348B" w:rsidRDefault="00971A1F" w:rsidP="00DB330E">
            <w:pPr>
              <w:pStyle w:val="TableText"/>
              <w:spacing w:before="40" w:after="40"/>
            </w:pPr>
            <w:r w:rsidRPr="00D9348B">
              <w:t>Update the NIR and make reference to category 5.A.1.a in the subheading ‘Municipal landfills’ under NIR section 7.2.2.</w:t>
            </w:r>
          </w:p>
        </w:tc>
        <w:tc>
          <w:tcPr>
            <w:tcW w:w="2306" w:type="dxa"/>
            <w:tcBorders>
              <w:top w:val="single" w:sz="4" w:space="0" w:color="365F91"/>
              <w:bottom w:val="single" w:sz="4" w:space="0" w:color="365F91"/>
            </w:tcBorders>
            <w:shd w:val="clear" w:color="auto" w:fill="auto"/>
          </w:tcPr>
          <w:p w14:paraId="0444DF0F" w14:textId="77777777" w:rsidR="00971A1F" w:rsidRPr="00D9348B" w:rsidRDefault="00971A1F" w:rsidP="00DB330E">
            <w:pPr>
              <w:pStyle w:val="TableText"/>
              <w:spacing w:before="40" w:after="40"/>
              <w:rPr>
                <w:b/>
              </w:rPr>
            </w:pPr>
            <w:r w:rsidRPr="00D9348B">
              <w:rPr>
                <w:b/>
              </w:rPr>
              <w:t xml:space="preserve">Resolved. </w:t>
            </w:r>
            <w:r w:rsidRPr="00D9348B">
              <w:t>The NIR was corrected for the 2018 submission.</w:t>
            </w:r>
          </w:p>
        </w:tc>
      </w:tr>
      <w:tr w:rsidR="00971A1F" w:rsidRPr="00D9348B" w14:paraId="48BB9B61" w14:textId="77777777" w:rsidTr="00DB330E">
        <w:tc>
          <w:tcPr>
            <w:tcW w:w="1688" w:type="dxa"/>
            <w:tcBorders>
              <w:top w:val="single" w:sz="4" w:space="0" w:color="365F91"/>
              <w:bottom w:val="single" w:sz="4" w:space="0" w:color="365F91"/>
            </w:tcBorders>
            <w:shd w:val="clear" w:color="auto" w:fill="auto"/>
          </w:tcPr>
          <w:p w14:paraId="3C938782" w14:textId="77777777" w:rsidR="00971A1F" w:rsidRPr="00D9348B" w:rsidRDefault="00971A1F" w:rsidP="00DB330E">
            <w:pPr>
              <w:pStyle w:val="TableText"/>
              <w:keepNext/>
              <w:spacing w:before="40" w:after="40"/>
            </w:pPr>
            <w:r w:rsidRPr="00D9348B">
              <w:t>Waste – 5.B.1 Composting – CH</w:t>
            </w:r>
            <w:r w:rsidRPr="00D9348B">
              <w:rPr>
                <w:vertAlign w:val="subscript"/>
              </w:rPr>
              <w:t>4</w:t>
            </w:r>
            <w:r w:rsidRPr="00D9348B">
              <w:t xml:space="preserve"> and N</w:t>
            </w:r>
            <w:r w:rsidRPr="00D9348B">
              <w:rPr>
                <w:vertAlign w:val="subscript"/>
              </w:rPr>
              <w:t>2</w:t>
            </w:r>
            <w:r w:rsidRPr="00D9348B">
              <w:t>O</w:t>
            </w:r>
          </w:p>
        </w:tc>
        <w:tc>
          <w:tcPr>
            <w:tcW w:w="1001" w:type="dxa"/>
            <w:tcBorders>
              <w:top w:val="single" w:sz="4" w:space="0" w:color="365F91"/>
              <w:bottom w:val="single" w:sz="4" w:space="0" w:color="365F91"/>
            </w:tcBorders>
          </w:tcPr>
          <w:p w14:paraId="02C26C0F" w14:textId="77777777" w:rsidR="00971A1F" w:rsidRPr="00D9348B" w:rsidRDefault="00971A1F" w:rsidP="00DB330E">
            <w:pPr>
              <w:pStyle w:val="TableText"/>
              <w:spacing w:before="40" w:after="40"/>
            </w:pPr>
            <w:r w:rsidRPr="00D9348B">
              <w:t>W.15, 2017</w:t>
            </w:r>
          </w:p>
        </w:tc>
        <w:tc>
          <w:tcPr>
            <w:tcW w:w="3567" w:type="dxa"/>
            <w:tcBorders>
              <w:top w:val="single" w:sz="4" w:space="0" w:color="365F91"/>
              <w:bottom w:val="single" w:sz="4" w:space="0" w:color="365F91"/>
            </w:tcBorders>
            <w:shd w:val="clear" w:color="auto" w:fill="auto"/>
          </w:tcPr>
          <w:p w14:paraId="77B82927" w14:textId="77777777" w:rsidR="00971A1F" w:rsidRPr="00D9348B" w:rsidRDefault="00971A1F" w:rsidP="00DB330E">
            <w:pPr>
              <w:pStyle w:val="TableText"/>
              <w:spacing w:before="40" w:after="40"/>
            </w:pPr>
            <w:r w:rsidRPr="00D9348B">
              <w:t>Improve the consistency of its reporting in NIR sections 7.1.2 and 7.3, including figure 7.1.2 (p.314), to reflect that category 5.B.1 is ‘NE’ (not estimated). The ERT also recommends that the Party includes information on the exclusion of category 5.B.1 in terms of the likely level of emissions in the waste chapter (under the relevant section) and includes a cross reference to annex A6.2.1.</w:t>
            </w:r>
          </w:p>
        </w:tc>
        <w:tc>
          <w:tcPr>
            <w:tcW w:w="2306" w:type="dxa"/>
            <w:tcBorders>
              <w:top w:val="single" w:sz="4" w:space="0" w:color="365F91"/>
              <w:bottom w:val="single" w:sz="4" w:space="0" w:color="365F91"/>
            </w:tcBorders>
            <w:shd w:val="clear" w:color="auto" w:fill="auto"/>
          </w:tcPr>
          <w:p w14:paraId="6F0FB5BA" w14:textId="77777777" w:rsidR="00971A1F" w:rsidRPr="00D9348B" w:rsidRDefault="00971A1F" w:rsidP="00DB330E">
            <w:pPr>
              <w:pStyle w:val="TableText"/>
              <w:spacing w:before="40" w:after="40"/>
              <w:rPr>
                <w:b/>
              </w:rPr>
            </w:pPr>
            <w:r w:rsidRPr="00D9348B">
              <w:rPr>
                <w:b/>
              </w:rPr>
              <w:t xml:space="preserve">Resolved. </w:t>
            </w:r>
            <w:r w:rsidRPr="00D9348B">
              <w:t>The NIR was corrected for the 2018 submission. Emissions for composting are reported since the 2019 submission.</w:t>
            </w:r>
          </w:p>
        </w:tc>
      </w:tr>
      <w:tr w:rsidR="00971A1F" w:rsidRPr="00D9348B" w14:paraId="33933A6A" w14:textId="77777777" w:rsidTr="00DB330E">
        <w:tc>
          <w:tcPr>
            <w:tcW w:w="1688" w:type="dxa"/>
            <w:tcBorders>
              <w:top w:val="single" w:sz="4" w:space="0" w:color="365F91"/>
              <w:bottom w:val="single" w:sz="4" w:space="0" w:color="365F91"/>
            </w:tcBorders>
            <w:shd w:val="clear" w:color="auto" w:fill="auto"/>
          </w:tcPr>
          <w:p w14:paraId="6044A6FC" w14:textId="77777777" w:rsidR="00971A1F" w:rsidRPr="00D9348B" w:rsidRDefault="00971A1F" w:rsidP="00DB330E">
            <w:pPr>
              <w:pStyle w:val="TableText"/>
              <w:keepNext/>
              <w:spacing w:before="40" w:after="40"/>
            </w:pPr>
            <w:r w:rsidRPr="00D9348B">
              <w:t>Waste – 5.B.1 Composting – CH</w:t>
            </w:r>
            <w:r w:rsidRPr="00D9348B">
              <w:rPr>
                <w:vertAlign w:val="subscript"/>
              </w:rPr>
              <w:t>4</w:t>
            </w:r>
            <w:r w:rsidRPr="00D9348B">
              <w:t xml:space="preserve"> and N</w:t>
            </w:r>
            <w:r w:rsidRPr="00D9348B">
              <w:rPr>
                <w:vertAlign w:val="subscript"/>
              </w:rPr>
              <w:t>2</w:t>
            </w:r>
            <w:r w:rsidRPr="00D9348B">
              <w:t>O</w:t>
            </w:r>
          </w:p>
        </w:tc>
        <w:tc>
          <w:tcPr>
            <w:tcW w:w="1001" w:type="dxa"/>
            <w:tcBorders>
              <w:top w:val="single" w:sz="4" w:space="0" w:color="365F91"/>
              <w:bottom w:val="single" w:sz="4" w:space="0" w:color="365F91"/>
            </w:tcBorders>
          </w:tcPr>
          <w:p w14:paraId="44C70E14" w14:textId="77777777" w:rsidR="00971A1F" w:rsidRPr="00D9348B" w:rsidRDefault="00971A1F" w:rsidP="00DB330E">
            <w:pPr>
              <w:pStyle w:val="TableText"/>
              <w:spacing w:before="40" w:after="40"/>
            </w:pPr>
            <w:r w:rsidRPr="00D9348B">
              <w:t>W.16, 2017</w:t>
            </w:r>
          </w:p>
        </w:tc>
        <w:tc>
          <w:tcPr>
            <w:tcW w:w="3567" w:type="dxa"/>
            <w:tcBorders>
              <w:top w:val="single" w:sz="4" w:space="0" w:color="365F91"/>
              <w:bottom w:val="single" w:sz="4" w:space="0" w:color="365F91"/>
            </w:tcBorders>
            <w:shd w:val="clear" w:color="auto" w:fill="auto"/>
          </w:tcPr>
          <w:p w14:paraId="2373EAC3" w14:textId="77777777" w:rsidR="00971A1F" w:rsidRPr="00D9348B" w:rsidRDefault="00971A1F" w:rsidP="00DB330E">
            <w:pPr>
              <w:pStyle w:val="TableText"/>
              <w:spacing w:before="40" w:after="40"/>
            </w:pPr>
            <w:r w:rsidRPr="00D9348B">
              <w:t>Update its calculation provided in the NIR to justify the use of ‘NE’ (not estimated) for CH</w:t>
            </w:r>
            <w:r w:rsidRPr="00D9348B">
              <w:rPr>
                <w:vertAlign w:val="subscript"/>
              </w:rPr>
              <w:t>4</w:t>
            </w:r>
            <w:r w:rsidRPr="00D9348B">
              <w:t xml:space="preserve"> and nitrous oxide (N</w:t>
            </w:r>
            <w:r w:rsidRPr="00D9348B">
              <w:rPr>
                <w:vertAlign w:val="subscript"/>
              </w:rPr>
              <w:t>2</w:t>
            </w:r>
            <w:r w:rsidRPr="00D9348B">
              <w:t>O) emissions from category 5.B.1 (composting) in the NIR (annex A6.2.1, p.499).</w:t>
            </w:r>
          </w:p>
        </w:tc>
        <w:tc>
          <w:tcPr>
            <w:tcW w:w="2306" w:type="dxa"/>
            <w:tcBorders>
              <w:top w:val="single" w:sz="4" w:space="0" w:color="365F91"/>
              <w:bottom w:val="single" w:sz="4" w:space="0" w:color="365F91"/>
            </w:tcBorders>
            <w:shd w:val="clear" w:color="auto" w:fill="auto"/>
          </w:tcPr>
          <w:p w14:paraId="3101F7FC" w14:textId="77777777" w:rsidR="00971A1F" w:rsidRPr="00D9348B" w:rsidRDefault="00971A1F" w:rsidP="00DB330E">
            <w:pPr>
              <w:pStyle w:val="TableText"/>
              <w:spacing w:before="40" w:after="40"/>
              <w:rPr>
                <w:b/>
              </w:rPr>
            </w:pPr>
            <w:r w:rsidRPr="00D9348B">
              <w:rPr>
                <w:b/>
              </w:rPr>
              <w:t xml:space="preserve">Resolved. </w:t>
            </w:r>
            <w:r w:rsidRPr="00D9348B">
              <w:t>The NIR was corrected for the 2018 submission. Emissions for composting are reported since the 2019 submission.</w:t>
            </w:r>
          </w:p>
        </w:tc>
      </w:tr>
      <w:tr w:rsidR="00971A1F" w:rsidRPr="00D9348B" w14:paraId="682EF214" w14:textId="77777777" w:rsidTr="00DB330E">
        <w:tc>
          <w:tcPr>
            <w:tcW w:w="1688" w:type="dxa"/>
            <w:tcBorders>
              <w:top w:val="single" w:sz="4" w:space="0" w:color="365F91"/>
              <w:bottom w:val="single" w:sz="4" w:space="0" w:color="365F91"/>
            </w:tcBorders>
            <w:shd w:val="clear" w:color="auto" w:fill="auto"/>
          </w:tcPr>
          <w:p w14:paraId="3234D35E" w14:textId="77777777" w:rsidR="00971A1F" w:rsidRPr="00D9348B" w:rsidRDefault="00971A1F" w:rsidP="00DB330E">
            <w:pPr>
              <w:pStyle w:val="TableText"/>
              <w:spacing w:before="40" w:after="40"/>
            </w:pPr>
            <w:r w:rsidRPr="00D9348B">
              <w:t>Waste – 5.C.1 Waste incineration – CH</w:t>
            </w:r>
            <w:r w:rsidRPr="00D9348B">
              <w:rPr>
                <w:vertAlign w:val="subscript"/>
              </w:rPr>
              <w:t>4</w:t>
            </w:r>
            <w:r w:rsidRPr="00D9348B">
              <w:t xml:space="preserve"> and N</w:t>
            </w:r>
            <w:r w:rsidRPr="00D9348B">
              <w:rPr>
                <w:vertAlign w:val="subscript"/>
              </w:rPr>
              <w:t>2</w:t>
            </w:r>
            <w:r w:rsidRPr="00D9348B">
              <w:t>O</w:t>
            </w:r>
          </w:p>
        </w:tc>
        <w:tc>
          <w:tcPr>
            <w:tcW w:w="1001" w:type="dxa"/>
            <w:tcBorders>
              <w:top w:val="single" w:sz="4" w:space="0" w:color="365F91"/>
              <w:bottom w:val="single" w:sz="4" w:space="0" w:color="365F91"/>
            </w:tcBorders>
          </w:tcPr>
          <w:p w14:paraId="2F9D9557" w14:textId="77777777" w:rsidR="00971A1F" w:rsidRPr="00D9348B" w:rsidRDefault="00971A1F" w:rsidP="00DB330E">
            <w:pPr>
              <w:pStyle w:val="TableText"/>
              <w:spacing w:before="40" w:after="40"/>
            </w:pPr>
            <w:r w:rsidRPr="00D9348B">
              <w:t>W.17, 2017</w:t>
            </w:r>
          </w:p>
        </w:tc>
        <w:tc>
          <w:tcPr>
            <w:tcW w:w="3567" w:type="dxa"/>
            <w:tcBorders>
              <w:top w:val="single" w:sz="4" w:space="0" w:color="365F91"/>
              <w:bottom w:val="single" w:sz="4" w:space="0" w:color="365F91"/>
            </w:tcBorders>
            <w:shd w:val="clear" w:color="auto" w:fill="auto"/>
          </w:tcPr>
          <w:p w14:paraId="4B76FC6D" w14:textId="77777777" w:rsidR="00971A1F" w:rsidRPr="00D9348B" w:rsidRDefault="00971A1F" w:rsidP="00DB330E">
            <w:pPr>
              <w:pStyle w:val="TableText"/>
              <w:spacing w:before="40" w:after="40"/>
            </w:pPr>
            <w:r w:rsidRPr="00D9348B">
              <w:t>Explain the assumptions and how the EFs were obtained. The ERT further recommends that the Party checks the value of the CH</w:t>
            </w:r>
            <w:r w:rsidRPr="00D9348B">
              <w:rPr>
                <w:vertAlign w:val="subscript"/>
              </w:rPr>
              <w:t>4</w:t>
            </w:r>
            <w:r w:rsidRPr="00D9348B">
              <w:t xml:space="preserve"> EF for clinical waste in NIR table 7.4.1 (1.79 kg/kt) and in the spreadsheet (17.86 kg/kt) and correct it, as appropriate.</w:t>
            </w:r>
          </w:p>
        </w:tc>
        <w:tc>
          <w:tcPr>
            <w:tcW w:w="2306" w:type="dxa"/>
            <w:tcBorders>
              <w:top w:val="single" w:sz="4" w:space="0" w:color="365F91"/>
              <w:bottom w:val="single" w:sz="4" w:space="0" w:color="365F91"/>
            </w:tcBorders>
            <w:shd w:val="clear" w:color="auto" w:fill="auto"/>
          </w:tcPr>
          <w:p w14:paraId="2EBEC8ED" w14:textId="77777777" w:rsidR="00971A1F" w:rsidRPr="00D9348B" w:rsidRDefault="00971A1F" w:rsidP="00DB330E">
            <w:pPr>
              <w:pStyle w:val="TableText"/>
              <w:spacing w:before="40" w:after="40"/>
              <w:rPr>
                <w:b/>
              </w:rPr>
            </w:pPr>
            <w:r w:rsidRPr="00D9348B">
              <w:rPr>
                <w:b/>
              </w:rPr>
              <w:t xml:space="preserve">Resolved. </w:t>
            </w:r>
            <w:r w:rsidRPr="00D9348B">
              <w:t>The sources of the emission factors were clarified in table 7.4.4 in the 2019 NIR.</w:t>
            </w:r>
          </w:p>
        </w:tc>
      </w:tr>
      <w:tr w:rsidR="00971A1F" w:rsidRPr="00D9348B" w14:paraId="608571FC" w14:textId="77777777" w:rsidTr="00DB330E">
        <w:tc>
          <w:tcPr>
            <w:tcW w:w="1688" w:type="dxa"/>
            <w:tcBorders>
              <w:top w:val="single" w:sz="4" w:space="0" w:color="365F91"/>
              <w:bottom w:val="single" w:sz="4" w:space="0" w:color="365F91"/>
            </w:tcBorders>
            <w:shd w:val="clear" w:color="auto" w:fill="auto"/>
          </w:tcPr>
          <w:p w14:paraId="6C09DC21" w14:textId="77777777" w:rsidR="00971A1F" w:rsidRPr="00D9348B" w:rsidRDefault="00971A1F" w:rsidP="00DB330E">
            <w:pPr>
              <w:pStyle w:val="TableText"/>
              <w:spacing w:before="40" w:after="40"/>
            </w:pPr>
            <w:r w:rsidRPr="00D9348B">
              <w:t>Waste – 5.D.1 Domestic wastewater – CH</w:t>
            </w:r>
            <w:r w:rsidRPr="00D9348B">
              <w:rPr>
                <w:vertAlign w:val="subscript"/>
              </w:rPr>
              <w:t>4</w:t>
            </w:r>
            <w:r w:rsidRPr="00D9348B">
              <w:t xml:space="preserve"> and N</w:t>
            </w:r>
            <w:r w:rsidRPr="00D9348B">
              <w:rPr>
                <w:vertAlign w:val="subscript"/>
              </w:rPr>
              <w:t>2</w:t>
            </w:r>
            <w:r w:rsidRPr="00D9348B">
              <w:t>O</w:t>
            </w:r>
          </w:p>
        </w:tc>
        <w:tc>
          <w:tcPr>
            <w:tcW w:w="1001" w:type="dxa"/>
            <w:tcBorders>
              <w:top w:val="single" w:sz="4" w:space="0" w:color="365F91"/>
              <w:bottom w:val="single" w:sz="4" w:space="0" w:color="365F91"/>
            </w:tcBorders>
          </w:tcPr>
          <w:p w14:paraId="514EC949" w14:textId="77777777" w:rsidR="00971A1F" w:rsidRPr="00D9348B" w:rsidRDefault="00971A1F" w:rsidP="00DB330E">
            <w:pPr>
              <w:pStyle w:val="TableText"/>
              <w:spacing w:before="40" w:after="40"/>
            </w:pPr>
            <w:r w:rsidRPr="00D9348B">
              <w:t>W.18, 2017</w:t>
            </w:r>
          </w:p>
        </w:tc>
        <w:tc>
          <w:tcPr>
            <w:tcW w:w="3567" w:type="dxa"/>
            <w:tcBorders>
              <w:top w:val="single" w:sz="4" w:space="0" w:color="365F91"/>
              <w:bottom w:val="single" w:sz="4" w:space="0" w:color="365F91"/>
            </w:tcBorders>
            <w:shd w:val="clear" w:color="auto" w:fill="auto"/>
          </w:tcPr>
          <w:p w14:paraId="568CD38E" w14:textId="77777777" w:rsidR="00971A1F" w:rsidRPr="00D9348B" w:rsidRDefault="00971A1F" w:rsidP="00DB330E">
            <w:pPr>
              <w:pStyle w:val="TableText"/>
              <w:spacing w:before="40" w:after="40"/>
            </w:pPr>
            <w:r w:rsidRPr="00D9348B">
              <w:t>Apply an average population inflation factor to all known populations served by wastewater treatment plants to estimate emissions for category 5.D.1 and provide the associated justification of methods and assumptions in the NIR.</w:t>
            </w:r>
          </w:p>
        </w:tc>
        <w:tc>
          <w:tcPr>
            <w:tcW w:w="2306" w:type="dxa"/>
            <w:tcBorders>
              <w:top w:val="single" w:sz="4" w:space="0" w:color="365F91"/>
              <w:bottom w:val="single" w:sz="4" w:space="0" w:color="365F91"/>
            </w:tcBorders>
            <w:shd w:val="clear" w:color="auto" w:fill="auto"/>
          </w:tcPr>
          <w:p w14:paraId="739CC6D9" w14:textId="77777777" w:rsidR="00971A1F" w:rsidRPr="00D9348B" w:rsidRDefault="00971A1F" w:rsidP="00DB330E">
            <w:pPr>
              <w:pStyle w:val="TableText"/>
              <w:spacing w:before="40" w:after="40"/>
              <w:rPr>
                <w:b/>
              </w:rPr>
            </w:pPr>
            <w:r w:rsidRPr="00D9348B">
              <w:rPr>
                <w:b/>
              </w:rPr>
              <w:t xml:space="preserve">Resolved. </w:t>
            </w:r>
            <w:r w:rsidRPr="00D9348B">
              <w:t>The full population has been accounted for since the 2018 submission and the NIR updated to explain the methods.</w:t>
            </w:r>
          </w:p>
        </w:tc>
      </w:tr>
      <w:tr w:rsidR="00971A1F" w:rsidRPr="00D9348B" w14:paraId="43893F2A" w14:textId="77777777" w:rsidTr="00DB330E">
        <w:tc>
          <w:tcPr>
            <w:tcW w:w="1688" w:type="dxa"/>
            <w:tcBorders>
              <w:top w:val="single" w:sz="4" w:space="0" w:color="365F91"/>
              <w:bottom w:val="single" w:sz="4" w:space="0" w:color="365F91"/>
            </w:tcBorders>
            <w:shd w:val="clear" w:color="auto" w:fill="auto"/>
          </w:tcPr>
          <w:p w14:paraId="7A72B3D3" w14:textId="77777777" w:rsidR="00971A1F" w:rsidRPr="00D9348B" w:rsidRDefault="00971A1F" w:rsidP="006D0A98">
            <w:pPr>
              <w:pStyle w:val="TableText"/>
              <w:keepNext/>
              <w:spacing w:before="40" w:after="40"/>
            </w:pPr>
            <w:r w:rsidRPr="00D9348B">
              <w:lastRenderedPageBreak/>
              <w:t>Waste – 5.D.1 Domestic wastewater – N</w:t>
            </w:r>
            <w:r w:rsidRPr="00D9348B">
              <w:rPr>
                <w:vertAlign w:val="subscript"/>
              </w:rPr>
              <w:t>2</w:t>
            </w:r>
            <w:r w:rsidRPr="00D9348B">
              <w:t>O</w:t>
            </w:r>
          </w:p>
        </w:tc>
        <w:tc>
          <w:tcPr>
            <w:tcW w:w="1001" w:type="dxa"/>
            <w:tcBorders>
              <w:top w:val="single" w:sz="4" w:space="0" w:color="365F91"/>
              <w:bottom w:val="single" w:sz="4" w:space="0" w:color="365F91"/>
            </w:tcBorders>
          </w:tcPr>
          <w:p w14:paraId="1D699958" w14:textId="77777777" w:rsidR="00971A1F" w:rsidRPr="00D9348B" w:rsidRDefault="00971A1F" w:rsidP="006D0A98">
            <w:pPr>
              <w:pStyle w:val="TableText"/>
              <w:keepNext/>
              <w:spacing w:before="40" w:after="40"/>
            </w:pPr>
            <w:r w:rsidRPr="00D9348B">
              <w:t>W.19, 2017</w:t>
            </w:r>
          </w:p>
        </w:tc>
        <w:tc>
          <w:tcPr>
            <w:tcW w:w="3567" w:type="dxa"/>
            <w:tcBorders>
              <w:top w:val="single" w:sz="4" w:space="0" w:color="365F91"/>
              <w:bottom w:val="single" w:sz="4" w:space="0" w:color="365F91"/>
            </w:tcBorders>
            <w:shd w:val="clear" w:color="auto" w:fill="auto"/>
          </w:tcPr>
          <w:p w14:paraId="772C89D3" w14:textId="77777777" w:rsidR="00971A1F" w:rsidRPr="00D9348B" w:rsidRDefault="00971A1F" w:rsidP="006D0A98">
            <w:pPr>
              <w:pStyle w:val="TableText"/>
              <w:keepNext/>
              <w:spacing w:before="40" w:after="40"/>
            </w:pPr>
            <w:r w:rsidRPr="00D9348B">
              <w:t>Report a value of 1.25 for the industrial and commercial co-discharged protein parameter and 1.40 for the fraction of non-consumed protein in CRF table 5.D.</w:t>
            </w:r>
          </w:p>
        </w:tc>
        <w:tc>
          <w:tcPr>
            <w:tcW w:w="2306" w:type="dxa"/>
            <w:tcBorders>
              <w:top w:val="single" w:sz="4" w:space="0" w:color="365F91"/>
              <w:bottom w:val="single" w:sz="4" w:space="0" w:color="365F91"/>
            </w:tcBorders>
            <w:shd w:val="clear" w:color="auto" w:fill="auto"/>
          </w:tcPr>
          <w:p w14:paraId="02B06116" w14:textId="77777777" w:rsidR="00971A1F" w:rsidRPr="00D9348B" w:rsidRDefault="00971A1F" w:rsidP="006D0A98">
            <w:pPr>
              <w:pStyle w:val="TableText"/>
              <w:keepNext/>
              <w:spacing w:before="40" w:after="40"/>
              <w:rPr>
                <w:b/>
              </w:rPr>
            </w:pPr>
            <w:r w:rsidRPr="00D9348B">
              <w:rPr>
                <w:b/>
              </w:rPr>
              <w:t xml:space="preserve">Resolved. </w:t>
            </w:r>
            <w:r w:rsidRPr="00D9348B">
              <w:t>The correct parameters were included in the CRF for the 2018 submission.</w:t>
            </w:r>
          </w:p>
        </w:tc>
      </w:tr>
      <w:tr w:rsidR="00971A1F" w:rsidRPr="00D9348B" w14:paraId="63B91F46" w14:textId="77777777" w:rsidTr="00DB330E">
        <w:tc>
          <w:tcPr>
            <w:tcW w:w="1688" w:type="dxa"/>
            <w:tcBorders>
              <w:top w:val="single" w:sz="4" w:space="0" w:color="365F91"/>
              <w:bottom w:val="single" w:sz="4" w:space="0" w:color="365F91"/>
            </w:tcBorders>
            <w:shd w:val="clear" w:color="auto" w:fill="auto"/>
          </w:tcPr>
          <w:p w14:paraId="0349149E" w14:textId="77777777" w:rsidR="00971A1F" w:rsidRPr="00D9348B" w:rsidRDefault="00971A1F" w:rsidP="00DB330E">
            <w:pPr>
              <w:pStyle w:val="TableText"/>
              <w:spacing w:before="40" w:after="40"/>
            </w:pPr>
            <w:r w:rsidRPr="00D9348B">
              <w:t>KP-LULUCF – General – CO</w:t>
            </w:r>
            <w:r w:rsidRPr="00D9348B">
              <w:rPr>
                <w:vertAlign w:val="subscript"/>
              </w:rPr>
              <w:t>2</w:t>
            </w:r>
            <w:r w:rsidRPr="00D9348B">
              <w:t>, CH</w:t>
            </w:r>
            <w:r w:rsidRPr="00D9348B">
              <w:rPr>
                <w:vertAlign w:val="subscript"/>
              </w:rPr>
              <w:t>4</w:t>
            </w:r>
            <w:r w:rsidRPr="00D9348B">
              <w:t xml:space="preserve"> and N</w:t>
            </w:r>
            <w:r w:rsidRPr="00D9348B">
              <w:rPr>
                <w:vertAlign w:val="subscript"/>
              </w:rPr>
              <w:t>2</w:t>
            </w:r>
            <w:r w:rsidRPr="00D9348B">
              <w:t>O</w:t>
            </w:r>
          </w:p>
        </w:tc>
        <w:tc>
          <w:tcPr>
            <w:tcW w:w="1001" w:type="dxa"/>
            <w:tcBorders>
              <w:top w:val="single" w:sz="4" w:space="0" w:color="365F91"/>
              <w:bottom w:val="single" w:sz="4" w:space="0" w:color="365F91"/>
            </w:tcBorders>
          </w:tcPr>
          <w:p w14:paraId="25A89A29" w14:textId="77777777" w:rsidR="00971A1F" w:rsidRPr="00D9348B" w:rsidRDefault="00971A1F" w:rsidP="00DB330E">
            <w:pPr>
              <w:pStyle w:val="TableText"/>
              <w:spacing w:before="40" w:after="40"/>
            </w:pPr>
            <w:r w:rsidRPr="00D9348B">
              <w:t>KL.3, 2017</w:t>
            </w:r>
          </w:p>
        </w:tc>
        <w:tc>
          <w:tcPr>
            <w:tcW w:w="3567" w:type="dxa"/>
            <w:tcBorders>
              <w:top w:val="single" w:sz="4" w:space="0" w:color="365F91"/>
              <w:bottom w:val="single" w:sz="4" w:space="0" w:color="365F91"/>
            </w:tcBorders>
            <w:shd w:val="clear" w:color="auto" w:fill="auto"/>
          </w:tcPr>
          <w:p w14:paraId="502EE98B" w14:textId="77777777" w:rsidR="00971A1F" w:rsidRPr="00D9348B" w:rsidRDefault="00971A1F" w:rsidP="00DB330E">
            <w:pPr>
              <w:pStyle w:val="TableText"/>
              <w:spacing w:before="40" w:after="40"/>
            </w:pPr>
            <w:r w:rsidRPr="00D9348B">
              <w:t>The ERT recommends that New Zealand enhance the internal coherence of the NIR and its adherence to the reporting guidelines under Article 7, paragraph 1, of the Kyoto Protocol, by including the correct approaches and methods used.</w:t>
            </w:r>
          </w:p>
        </w:tc>
        <w:tc>
          <w:tcPr>
            <w:tcW w:w="2306" w:type="dxa"/>
            <w:tcBorders>
              <w:top w:val="single" w:sz="4" w:space="0" w:color="365F91"/>
              <w:bottom w:val="single" w:sz="4" w:space="0" w:color="365F91"/>
            </w:tcBorders>
            <w:shd w:val="clear" w:color="auto" w:fill="auto"/>
          </w:tcPr>
          <w:p w14:paraId="32C25163" w14:textId="77777777" w:rsidR="00971A1F" w:rsidRPr="00D9348B" w:rsidRDefault="00971A1F" w:rsidP="00DB330E">
            <w:pPr>
              <w:pStyle w:val="TableText"/>
              <w:spacing w:before="40" w:after="40"/>
            </w:pPr>
            <w:r w:rsidRPr="00D9348B">
              <w:rPr>
                <w:b/>
              </w:rPr>
              <w:t>Resolved.</w:t>
            </w:r>
            <w:r w:rsidRPr="00D9348B">
              <w:t xml:space="preserve"> New Zealand has improved explanations of the approaches and methods used in chapter 11, section 11.2.3.</w:t>
            </w:r>
          </w:p>
        </w:tc>
      </w:tr>
      <w:tr w:rsidR="00971A1F" w:rsidRPr="00D9348B" w14:paraId="4D00FD76" w14:textId="77777777" w:rsidTr="00DB330E">
        <w:tc>
          <w:tcPr>
            <w:tcW w:w="1688" w:type="dxa"/>
            <w:tcBorders>
              <w:top w:val="single" w:sz="4" w:space="0" w:color="365F91"/>
              <w:bottom w:val="single" w:sz="4" w:space="0" w:color="365F91"/>
            </w:tcBorders>
            <w:shd w:val="clear" w:color="auto" w:fill="auto"/>
          </w:tcPr>
          <w:p w14:paraId="4FF1B83D" w14:textId="77777777" w:rsidR="00971A1F" w:rsidRPr="00D9348B" w:rsidRDefault="00971A1F" w:rsidP="00DB330E">
            <w:pPr>
              <w:pStyle w:val="TableText"/>
              <w:spacing w:before="40" w:after="40"/>
            </w:pPr>
            <w:r w:rsidRPr="00D9348B">
              <w:t>KP-LULUCF – Forest management – CO</w:t>
            </w:r>
            <w:r w:rsidRPr="00D9348B">
              <w:rPr>
                <w:vertAlign w:val="subscript"/>
              </w:rPr>
              <w:t>2</w:t>
            </w:r>
          </w:p>
        </w:tc>
        <w:tc>
          <w:tcPr>
            <w:tcW w:w="1001" w:type="dxa"/>
            <w:tcBorders>
              <w:top w:val="single" w:sz="4" w:space="0" w:color="365F91"/>
              <w:bottom w:val="single" w:sz="4" w:space="0" w:color="365F91"/>
            </w:tcBorders>
          </w:tcPr>
          <w:p w14:paraId="0735E703" w14:textId="77777777" w:rsidR="00971A1F" w:rsidRPr="00D9348B" w:rsidRDefault="00971A1F" w:rsidP="00DB330E">
            <w:pPr>
              <w:pStyle w:val="TableText"/>
              <w:spacing w:before="40" w:after="40"/>
            </w:pPr>
            <w:r w:rsidRPr="00D9348B">
              <w:t>KL.4, 2017</w:t>
            </w:r>
          </w:p>
        </w:tc>
        <w:tc>
          <w:tcPr>
            <w:tcW w:w="3567" w:type="dxa"/>
            <w:tcBorders>
              <w:top w:val="single" w:sz="4" w:space="0" w:color="365F91"/>
              <w:bottom w:val="single" w:sz="4" w:space="0" w:color="365F91"/>
            </w:tcBorders>
            <w:shd w:val="clear" w:color="auto" w:fill="auto"/>
          </w:tcPr>
          <w:p w14:paraId="39EC1251" w14:textId="77777777" w:rsidR="00971A1F" w:rsidRPr="00D9348B" w:rsidRDefault="00971A1F" w:rsidP="00DB330E">
            <w:pPr>
              <w:pStyle w:val="TableText"/>
              <w:spacing w:before="40" w:after="40"/>
            </w:pPr>
            <w:r w:rsidRPr="00D9348B">
              <w:t>Include relevant information in the NIR in support of the mandatory requirement to demonstrate that the mineral soil pool under FM activity is not a source, following the guidance in section 2.3.1 in the Kyoto Protocol Supplement.</w:t>
            </w:r>
          </w:p>
        </w:tc>
        <w:tc>
          <w:tcPr>
            <w:tcW w:w="2306" w:type="dxa"/>
            <w:tcBorders>
              <w:top w:val="single" w:sz="4" w:space="0" w:color="365F91"/>
              <w:bottom w:val="single" w:sz="4" w:space="0" w:color="365F91"/>
            </w:tcBorders>
            <w:shd w:val="clear" w:color="auto" w:fill="auto"/>
          </w:tcPr>
          <w:p w14:paraId="3087780E" w14:textId="77777777" w:rsidR="00971A1F" w:rsidRPr="00D9348B" w:rsidRDefault="00971A1F" w:rsidP="00DB330E">
            <w:pPr>
              <w:pStyle w:val="TableText"/>
              <w:spacing w:before="40" w:after="40"/>
            </w:pPr>
            <w:r w:rsidRPr="00D9348B">
              <w:rPr>
                <w:b/>
              </w:rPr>
              <w:t>Resolved.</w:t>
            </w:r>
            <w:r w:rsidRPr="00D9348B">
              <w:t xml:space="preserve"> New Zealand has added the information requested here in chapter 11, section 11.3.4.</w:t>
            </w:r>
          </w:p>
          <w:p w14:paraId="581587A1" w14:textId="77777777" w:rsidR="00971A1F" w:rsidRPr="00D9348B" w:rsidRDefault="00971A1F" w:rsidP="00DB330E">
            <w:pPr>
              <w:pStyle w:val="TableText"/>
              <w:spacing w:before="40" w:after="40"/>
            </w:pPr>
          </w:p>
        </w:tc>
      </w:tr>
      <w:tr w:rsidR="00971A1F" w:rsidRPr="00D9348B" w14:paraId="28610277" w14:textId="77777777" w:rsidTr="00DB330E">
        <w:tc>
          <w:tcPr>
            <w:tcW w:w="1688" w:type="dxa"/>
            <w:tcBorders>
              <w:top w:val="single" w:sz="4" w:space="0" w:color="365F91"/>
              <w:bottom w:val="single" w:sz="4" w:space="0" w:color="365F91"/>
            </w:tcBorders>
            <w:shd w:val="clear" w:color="auto" w:fill="auto"/>
          </w:tcPr>
          <w:p w14:paraId="3A0866C4" w14:textId="77777777" w:rsidR="00971A1F" w:rsidRPr="00D9348B" w:rsidRDefault="00971A1F" w:rsidP="00DB330E">
            <w:pPr>
              <w:pStyle w:val="TableText"/>
              <w:spacing w:before="40" w:after="40"/>
            </w:pPr>
            <w:r w:rsidRPr="00D9348B">
              <w:t>KP-LULUCF – Afforestation and reforestation – CO</w:t>
            </w:r>
            <w:r w:rsidRPr="00D9348B">
              <w:rPr>
                <w:vertAlign w:val="subscript"/>
              </w:rPr>
              <w:t>2</w:t>
            </w:r>
          </w:p>
        </w:tc>
        <w:tc>
          <w:tcPr>
            <w:tcW w:w="1001" w:type="dxa"/>
            <w:tcBorders>
              <w:top w:val="single" w:sz="4" w:space="0" w:color="365F91"/>
              <w:bottom w:val="single" w:sz="4" w:space="0" w:color="365F91"/>
            </w:tcBorders>
          </w:tcPr>
          <w:p w14:paraId="6F5B514E" w14:textId="77777777" w:rsidR="00971A1F" w:rsidRPr="00D9348B" w:rsidRDefault="00971A1F" w:rsidP="00DB330E">
            <w:pPr>
              <w:pStyle w:val="TableText"/>
              <w:spacing w:before="40" w:after="40"/>
            </w:pPr>
            <w:r w:rsidRPr="00D9348B">
              <w:t>KL.5, 2017</w:t>
            </w:r>
          </w:p>
        </w:tc>
        <w:tc>
          <w:tcPr>
            <w:tcW w:w="3567" w:type="dxa"/>
            <w:tcBorders>
              <w:top w:val="single" w:sz="4" w:space="0" w:color="365F91"/>
              <w:bottom w:val="single" w:sz="4" w:space="0" w:color="365F91"/>
            </w:tcBorders>
            <w:shd w:val="clear" w:color="auto" w:fill="auto"/>
          </w:tcPr>
          <w:p w14:paraId="1D4B10F4" w14:textId="77777777" w:rsidR="00971A1F" w:rsidRPr="00D9348B" w:rsidRDefault="00971A1F" w:rsidP="00DB330E">
            <w:pPr>
              <w:pStyle w:val="TableText"/>
              <w:spacing w:before="40" w:after="40"/>
            </w:pPr>
            <w:r w:rsidRPr="00D9348B">
              <w:t>Include in the NIR synthesized information on the correspondence between forest land (i.e. the area of planted forest versus natural forest as presented in CRF table 4.A) and AR areas reported in CRF table 4(KP-1</w:t>
            </w:r>
            <w:proofErr w:type="gramStart"/>
            <w:r w:rsidRPr="00D9348B">
              <w:t>)A.1</w:t>
            </w:r>
            <w:proofErr w:type="gramEnd"/>
            <w:r w:rsidRPr="00D9348B">
              <w:t>.</w:t>
            </w:r>
          </w:p>
        </w:tc>
        <w:tc>
          <w:tcPr>
            <w:tcW w:w="2306" w:type="dxa"/>
            <w:tcBorders>
              <w:top w:val="single" w:sz="4" w:space="0" w:color="365F91"/>
              <w:bottom w:val="single" w:sz="4" w:space="0" w:color="365F91"/>
            </w:tcBorders>
            <w:shd w:val="clear" w:color="auto" w:fill="auto"/>
          </w:tcPr>
          <w:p w14:paraId="63D61E9B" w14:textId="77777777" w:rsidR="00971A1F" w:rsidRPr="00D9348B" w:rsidRDefault="00971A1F" w:rsidP="00DB330E">
            <w:pPr>
              <w:pStyle w:val="TableText"/>
              <w:spacing w:before="40" w:after="40"/>
            </w:pPr>
            <w:r w:rsidRPr="00D9348B">
              <w:rPr>
                <w:b/>
              </w:rPr>
              <w:t>Resolved.</w:t>
            </w:r>
            <w:r w:rsidRPr="00D9348B">
              <w:t xml:space="preserve"> New Zealand has added table 11.3.1a to section 11.3.2 in chapter 11, providing this information.</w:t>
            </w:r>
          </w:p>
        </w:tc>
      </w:tr>
      <w:tr w:rsidR="00971A1F" w:rsidRPr="00D9348B" w14:paraId="070274CE" w14:textId="77777777" w:rsidTr="00DB330E">
        <w:tc>
          <w:tcPr>
            <w:tcW w:w="1688" w:type="dxa"/>
            <w:tcBorders>
              <w:top w:val="single" w:sz="4" w:space="0" w:color="365F91"/>
              <w:bottom w:val="single" w:sz="4" w:space="0" w:color="365F91"/>
            </w:tcBorders>
            <w:shd w:val="clear" w:color="auto" w:fill="auto"/>
          </w:tcPr>
          <w:p w14:paraId="2CA8671F" w14:textId="77777777" w:rsidR="00971A1F" w:rsidRPr="00D9348B" w:rsidRDefault="00971A1F" w:rsidP="00DB330E">
            <w:pPr>
              <w:pStyle w:val="TableText"/>
              <w:spacing w:before="40" w:after="40"/>
            </w:pPr>
            <w:r w:rsidRPr="00D9348B">
              <w:t>KP-LULUCF – Afforestation and reforestation – CO</w:t>
            </w:r>
            <w:r w:rsidRPr="00D9348B">
              <w:rPr>
                <w:vertAlign w:val="subscript"/>
              </w:rPr>
              <w:t>2</w:t>
            </w:r>
          </w:p>
        </w:tc>
        <w:tc>
          <w:tcPr>
            <w:tcW w:w="1001" w:type="dxa"/>
            <w:tcBorders>
              <w:top w:val="single" w:sz="4" w:space="0" w:color="365F91"/>
              <w:bottom w:val="single" w:sz="4" w:space="0" w:color="365F91"/>
            </w:tcBorders>
          </w:tcPr>
          <w:p w14:paraId="5388EC93" w14:textId="77777777" w:rsidR="00971A1F" w:rsidRPr="00D9348B" w:rsidRDefault="00971A1F" w:rsidP="00DB330E">
            <w:pPr>
              <w:pStyle w:val="TableText"/>
              <w:spacing w:before="40" w:after="40"/>
            </w:pPr>
            <w:r w:rsidRPr="00D9348B">
              <w:t>KL.6, 2017</w:t>
            </w:r>
          </w:p>
        </w:tc>
        <w:tc>
          <w:tcPr>
            <w:tcW w:w="3567" w:type="dxa"/>
            <w:tcBorders>
              <w:top w:val="single" w:sz="4" w:space="0" w:color="365F91"/>
              <w:bottom w:val="single" w:sz="4" w:space="0" w:color="365F91"/>
            </w:tcBorders>
            <w:shd w:val="clear" w:color="auto" w:fill="auto"/>
          </w:tcPr>
          <w:p w14:paraId="46E894D9" w14:textId="77777777" w:rsidR="00971A1F" w:rsidRPr="00D9348B" w:rsidRDefault="00971A1F" w:rsidP="00DB330E">
            <w:pPr>
              <w:pStyle w:val="TableText"/>
              <w:spacing w:before="40" w:after="40"/>
            </w:pPr>
            <w:r w:rsidRPr="00D9348B">
              <w:t>Include in the NIR the information provided to the ERT during the review on how surrogate data sets on AR used for the periods 1990–2007 and 2008–2012 are applied in order to demonstrate that: (a) the AR areas meet the forest definition; (b) AR is directly human induced and differentiated from natural expansion and/or restocking; and (c) the geographical location of the boundaries of the areas that encompass lands subject to AR activities are identifiable.</w:t>
            </w:r>
          </w:p>
        </w:tc>
        <w:tc>
          <w:tcPr>
            <w:tcW w:w="2306" w:type="dxa"/>
            <w:tcBorders>
              <w:top w:val="single" w:sz="4" w:space="0" w:color="365F91"/>
              <w:bottom w:val="single" w:sz="4" w:space="0" w:color="365F91"/>
            </w:tcBorders>
            <w:shd w:val="clear" w:color="auto" w:fill="auto"/>
          </w:tcPr>
          <w:p w14:paraId="63A333AE" w14:textId="77777777" w:rsidR="00971A1F" w:rsidRPr="00D9348B" w:rsidRDefault="00971A1F" w:rsidP="00DB330E">
            <w:pPr>
              <w:pStyle w:val="TableText"/>
              <w:spacing w:before="40" w:after="40"/>
            </w:pPr>
            <w:r w:rsidRPr="00D9348B">
              <w:rPr>
                <w:b/>
              </w:rPr>
              <w:t>Resolved.</w:t>
            </w:r>
            <w:r w:rsidRPr="00D9348B">
              <w:t xml:space="preserve"> New Zealand has included this information in chapter 11, sections 11.5.1 and 11.5.3. Additionally, these sections have been updated since the 2019 in</w:t>
            </w:r>
            <w:r w:rsidRPr="00D9348B">
              <w:noBreakHyphen/>
              <w:t>country review of the 2019 submission.</w:t>
            </w:r>
          </w:p>
        </w:tc>
      </w:tr>
      <w:tr w:rsidR="00971A1F" w:rsidRPr="00D9348B" w14:paraId="29AF8E1B" w14:textId="77777777" w:rsidTr="00DB330E">
        <w:tc>
          <w:tcPr>
            <w:tcW w:w="1688" w:type="dxa"/>
            <w:tcBorders>
              <w:top w:val="single" w:sz="4" w:space="0" w:color="365F91"/>
              <w:bottom w:val="single" w:sz="4" w:space="0" w:color="365F91"/>
            </w:tcBorders>
            <w:shd w:val="clear" w:color="auto" w:fill="auto"/>
          </w:tcPr>
          <w:p w14:paraId="0447A71B" w14:textId="77777777" w:rsidR="00971A1F" w:rsidRPr="00D9348B" w:rsidRDefault="00971A1F" w:rsidP="00DB330E">
            <w:pPr>
              <w:pStyle w:val="TableText"/>
              <w:spacing w:before="40" w:after="40"/>
            </w:pPr>
            <w:r w:rsidRPr="00D9348B">
              <w:t>KP-LULUCF – Deforestation – CO</w:t>
            </w:r>
            <w:r w:rsidRPr="00D9348B">
              <w:rPr>
                <w:vertAlign w:val="subscript"/>
              </w:rPr>
              <w:t>2</w:t>
            </w:r>
            <w:r w:rsidRPr="00D9348B">
              <w:t>, CH</w:t>
            </w:r>
            <w:r w:rsidRPr="00D9348B">
              <w:rPr>
                <w:vertAlign w:val="subscript"/>
              </w:rPr>
              <w:t>4</w:t>
            </w:r>
            <w:r w:rsidRPr="00D9348B">
              <w:t xml:space="preserve"> and N</w:t>
            </w:r>
            <w:r w:rsidRPr="00D9348B">
              <w:rPr>
                <w:vertAlign w:val="subscript"/>
              </w:rPr>
              <w:t>2</w:t>
            </w:r>
            <w:r w:rsidRPr="00D9348B">
              <w:t>O</w:t>
            </w:r>
          </w:p>
        </w:tc>
        <w:tc>
          <w:tcPr>
            <w:tcW w:w="1001" w:type="dxa"/>
            <w:tcBorders>
              <w:top w:val="single" w:sz="4" w:space="0" w:color="365F91"/>
              <w:bottom w:val="single" w:sz="4" w:space="0" w:color="365F91"/>
            </w:tcBorders>
          </w:tcPr>
          <w:p w14:paraId="4BE266FD" w14:textId="77777777" w:rsidR="00971A1F" w:rsidRPr="00D9348B" w:rsidRDefault="00971A1F" w:rsidP="00DB330E">
            <w:pPr>
              <w:pStyle w:val="TableText"/>
              <w:spacing w:before="40" w:after="40"/>
            </w:pPr>
            <w:r w:rsidRPr="00D9348B">
              <w:t>KL.7, 2017</w:t>
            </w:r>
          </w:p>
        </w:tc>
        <w:tc>
          <w:tcPr>
            <w:tcW w:w="3567" w:type="dxa"/>
            <w:tcBorders>
              <w:top w:val="single" w:sz="4" w:space="0" w:color="365F91"/>
              <w:bottom w:val="single" w:sz="4" w:space="0" w:color="365F91"/>
            </w:tcBorders>
            <w:shd w:val="clear" w:color="auto" w:fill="auto"/>
          </w:tcPr>
          <w:p w14:paraId="4795C9E2" w14:textId="77777777" w:rsidR="00971A1F" w:rsidRPr="00D9348B" w:rsidRDefault="00971A1F" w:rsidP="00DB330E">
            <w:pPr>
              <w:pStyle w:val="TableText"/>
              <w:spacing w:before="40" w:after="40"/>
            </w:pPr>
            <w:r w:rsidRPr="00D9348B">
              <w:t>Include in the NIR the additional information provided to the ERT during the review, explaining (a) how the forest definition is distinguishable from, for example, the subcategory grassland with up to 30 per cent woody biomass; and (b) the geographical location of the boundaries of the areas that encompass lands subject to deforestation activities. In addition, the ERT recommends that the Party include in the NIR the information contained in the spreadsheet provided to the ERT during the review on the split of the areas for deforestation.</w:t>
            </w:r>
          </w:p>
        </w:tc>
        <w:tc>
          <w:tcPr>
            <w:tcW w:w="2306" w:type="dxa"/>
            <w:tcBorders>
              <w:top w:val="single" w:sz="4" w:space="0" w:color="365F91"/>
              <w:bottom w:val="single" w:sz="4" w:space="0" w:color="365F91"/>
            </w:tcBorders>
            <w:shd w:val="clear" w:color="auto" w:fill="auto"/>
          </w:tcPr>
          <w:p w14:paraId="586EB200" w14:textId="77777777" w:rsidR="00971A1F" w:rsidRPr="00D9348B" w:rsidRDefault="00971A1F" w:rsidP="00DB330E">
            <w:pPr>
              <w:pStyle w:val="TableText"/>
              <w:spacing w:before="40" w:after="40"/>
            </w:pPr>
            <w:r w:rsidRPr="00D9348B">
              <w:rPr>
                <w:b/>
              </w:rPr>
              <w:t>Resolved.</w:t>
            </w:r>
            <w:r w:rsidRPr="00D9348B">
              <w:t xml:space="preserve"> New Zealand has included this information in chapter 11, section 11.5.3.</w:t>
            </w:r>
          </w:p>
        </w:tc>
      </w:tr>
      <w:tr w:rsidR="00971A1F" w:rsidRPr="00D9348B" w14:paraId="4B86B53B" w14:textId="77777777" w:rsidTr="00DB330E">
        <w:tc>
          <w:tcPr>
            <w:tcW w:w="1688" w:type="dxa"/>
            <w:tcBorders>
              <w:top w:val="single" w:sz="4" w:space="0" w:color="365F91"/>
              <w:bottom w:val="single" w:sz="4" w:space="0" w:color="365F91"/>
            </w:tcBorders>
            <w:shd w:val="clear" w:color="auto" w:fill="auto"/>
          </w:tcPr>
          <w:p w14:paraId="4EEB6F0F" w14:textId="77777777" w:rsidR="00971A1F" w:rsidRPr="00D9348B" w:rsidRDefault="00971A1F" w:rsidP="00DB330E">
            <w:pPr>
              <w:pStyle w:val="TableText"/>
              <w:spacing w:before="40" w:after="40"/>
            </w:pPr>
            <w:r w:rsidRPr="00D9348B">
              <w:t>KP-LULUCF – Forest management – CO</w:t>
            </w:r>
            <w:r w:rsidRPr="00D9348B">
              <w:rPr>
                <w:vertAlign w:val="subscript"/>
              </w:rPr>
              <w:t>2</w:t>
            </w:r>
          </w:p>
        </w:tc>
        <w:tc>
          <w:tcPr>
            <w:tcW w:w="1001" w:type="dxa"/>
            <w:tcBorders>
              <w:top w:val="single" w:sz="4" w:space="0" w:color="365F91"/>
              <w:bottom w:val="single" w:sz="4" w:space="0" w:color="365F91"/>
            </w:tcBorders>
          </w:tcPr>
          <w:p w14:paraId="391076B4" w14:textId="77777777" w:rsidR="00971A1F" w:rsidRPr="00D9348B" w:rsidRDefault="00971A1F" w:rsidP="00DB330E">
            <w:pPr>
              <w:pStyle w:val="TableText"/>
              <w:spacing w:before="40" w:after="40"/>
            </w:pPr>
            <w:r w:rsidRPr="00D9348B">
              <w:t>KL.8, 2017</w:t>
            </w:r>
          </w:p>
        </w:tc>
        <w:tc>
          <w:tcPr>
            <w:tcW w:w="3567" w:type="dxa"/>
            <w:tcBorders>
              <w:top w:val="single" w:sz="4" w:space="0" w:color="365F91"/>
              <w:bottom w:val="single" w:sz="4" w:space="0" w:color="365F91"/>
            </w:tcBorders>
            <w:shd w:val="clear" w:color="auto" w:fill="auto"/>
          </w:tcPr>
          <w:p w14:paraId="47A6B294" w14:textId="77777777" w:rsidR="00971A1F" w:rsidRPr="00D9348B" w:rsidRDefault="00971A1F" w:rsidP="00DB330E">
            <w:pPr>
              <w:pStyle w:val="TableText"/>
              <w:spacing w:before="40" w:after="40"/>
            </w:pPr>
            <w:r w:rsidRPr="00D9348B">
              <w:t>Include information in the NIR on which areas/categories of forest land (as in CRF table 4.A) are related to the areas of forest management in CRF table 4(KP-I</w:t>
            </w:r>
            <w:proofErr w:type="gramStart"/>
            <w:r w:rsidRPr="00D9348B">
              <w:t>)B.1</w:t>
            </w:r>
            <w:proofErr w:type="gramEnd"/>
            <w:r w:rsidRPr="00D9348B">
              <w:t>.</w:t>
            </w:r>
          </w:p>
        </w:tc>
        <w:tc>
          <w:tcPr>
            <w:tcW w:w="2306" w:type="dxa"/>
            <w:tcBorders>
              <w:top w:val="single" w:sz="4" w:space="0" w:color="365F91"/>
              <w:bottom w:val="single" w:sz="4" w:space="0" w:color="365F91"/>
            </w:tcBorders>
            <w:shd w:val="clear" w:color="auto" w:fill="auto"/>
          </w:tcPr>
          <w:p w14:paraId="611DB3C7" w14:textId="77777777" w:rsidR="00971A1F" w:rsidRPr="00D9348B" w:rsidRDefault="00971A1F" w:rsidP="00DB330E">
            <w:pPr>
              <w:pStyle w:val="TableText"/>
              <w:spacing w:before="40" w:after="40"/>
            </w:pPr>
            <w:r w:rsidRPr="00D9348B">
              <w:rPr>
                <w:b/>
              </w:rPr>
              <w:t>Resolved.</w:t>
            </w:r>
            <w:r w:rsidRPr="00D9348B">
              <w:t xml:space="preserve"> New Zealand has included this information in chapter 11, table 11.3.3, of the 2020 submission.</w:t>
            </w:r>
          </w:p>
        </w:tc>
      </w:tr>
      <w:tr w:rsidR="00971A1F" w:rsidRPr="00D9348B" w14:paraId="02E814DE" w14:textId="77777777" w:rsidTr="00DB330E">
        <w:tc>
          <w:tcPr>
            <w:tcW w:w="1688" w:type="dxa"/>
            <w:tcBorders>
              <w:top w:val="single" w:sz="4" w:space="0" w:color="365F91"/>
              <w:bottom w:val="single" w:sz="4" w:space="0" w:color="365F91"/>
            </w:tcBorders>
            <w:shd w:val="clear" w:color="auto" w:fill="auto"/>
          </w:tcPr>
          <w:p w14:paraId="09E36D68" w14:textId="77777777" w:rsidR="00971A1F" w:rsidRPr="00D9348B" w:rsidRDefault="00971A1F" w:rsidP="00DB330E">
            <w:pPr>
              <w:pStyle w:val="TableText"/>
              <w:spacing w:before="40" w:after="40"/>
            </w:pPr>
            <w:r w:rsidRPr="00D9348B">
              <w:t>KP-LULUCF – Forest management – CO</w:t>
            </w:r>
            <w:r w:rsidRPr="00D9348B">
              <w:rPr>
                <w:vertAlign w:val="subscript"/>
              </w:rPr>
              <w:t>2</w:t>
            </w:r>
          </w:p>
        </w:tc>
        <w:tc>
          <w:tcPr>
            <w:tcW w:w="1001" w:type="dxa"/>
            <w:tcBorders>
              <w:top w:val="single" w:sz="4" w:space="0" w:color="365F91"/>
              <w:bottom w:val="single" w:sz="4" w:space="0" w:color="365F91"/>
            </w:tcBorders>
          </w:tcPr>
          <w:p w14:paraId="74E8E181" w14:textId="77777777" w:rsidR="00971A1F" w:rsidRPr="00D9348B" w:rsidRDefault="00971A1F" w:rsidP="00DB330E">
            <w:pPr>
              <w:pStyle w:val="TableText"/>
              <w:spacing w:before="40" w:after="40"/>
            </w:pPr>
            <w:r w:rsidRPr="00D9348B">
              <w:t>KL.9, 2017</w:t>
            </w:r>
          </w:p>
        </w:tc>
        <w:tc>
          <w:tcPr>
            <w:tcW w:w="3567" w:type="dxa"/>
            <w:tcBorders>
              <w:top w:val="single" w:sz="4" w:space="0" w:color="365F91"/>
              <w:bottom w:val="single" w:sz="4" w:space="0" w:color="365F91"/>
            </w:tcBorders>
            <w:shd w:val="clear" w:color="auto" w:fill="auto"/>
          </w:tcPr>
          <w:p w14:paraId="252010F2" w14:textId="77777777" w:rsidR="00971A1F" w:rsidRPr="00D9348B" w:rsidRDefault="00971A1F" w:rsidP="00DB330E">
            <w:pPr>
              <w:pStyle w:val="TableText"/>
              <w:spacing w:before="40" w:after="40"/>
            </w:pPr>
            <w:r w:rsidRPr="00D9348B">
              <w:t>Report on the area subject to the carbon equivalent forest provision and associated emissions in CRF table 4(KP-1)B.1.2, starting with the next submission, and provide additional information on the difference between the assumptions on carbon equivalent forest AD made in the original/revised FMRL submissions and the actual AD in the GHG inventory.</w:t>
            </w:r>
          </w:p>
        </w:tc>
        <w:tc>
          <w:tcPr>
            <w:tcW w:w="2306" w:type="dxa"/>
            <w:tcBorders>
              <w:top w:val="single" w:sz="4" w:space="0" w:color="365F91"/>
              <w:bottom w:val="single" w:sz="4" w:space="0" w:color="365F91"/>
            </w:tcBorders>
            <w:shd w:val="clear" w:color="auto" w:fill="auto"/>
          </w:tcPr>
          <w:p w14:paraId="5A36C9C9" w14:textId="77777777" w:rsidR="00971A1F" w:rsidRPr="00D9348B" w:rsidRDefault="00971A1F" w:rsidP="00DB330E">
            <w:pPr>
              <w:pStyle w:val="TableText"/>
              <w:spacing w:before="40" w:after="40"/>
            </w:pPr>
            <w:r w:rsidRPr="00D9348B">
              <w:rPr>
                <w:b/>
              </w:rPr>
              <w:t>Resolved.</w:t>
            </w:r>
            <w:r w:rsidRPr="00D9348B">
              <w:t xml:space="preserve"> New Zealand has begun reporting on carbon equivalent forests since its 2018 submission.</w:t>
            </w:r>
          </w:p>
        </w:tc>
      </w:tr>
    </w:tbl>
    <w:p w14:paraId="1C752AE5" w14:textId="77777777" w:rsidR="00971A1F" w:rsidRPr="00D9348B" w:rsidRDefault="00971A1F" w:rsidP="00971A1F">
      <w:pPr>
        <w:pStyle w:val="BodyText"/>
      </w:pPr>
      <w:bookmarkStart w:id="3131" w:name="_Toc414531338"/>
      <w:bookmarkStart w:id="3132" w:name="_Toc448321558"/>
      <w:bookmarkStart w:id="3133" w:name="_Toc481751420"/>
    </w:p>
    <w:p w14:paraId="55FB470B" w14:textId="77777777" w:rsidR="00971A1F" w:rsidRPr="00D9348B" w:rsidRDefault="00971A1F" w:rsidP="00971A1F">
      <w:pPr>
        <w:pStyle w:val="Heading2"/>
        <w:spacing w:before="0" w:after="360"/>
        <w:ind w:left="0" w:firstLine="0"/>
      </w:pPr>
      <w:r w:rsidRPr="00D9348B">
        <w:br w:type="page"/>
      </w:r>
      <w:bookmarkStart w:id="3134" w:name="_Toc511116635"/>
      <w:bookmarkStart w:id="3135" w:name="_Toc5269403"/>
      <w:bookmarkStart w:id="3136" w:name="_Toc36224443"/>
      <w:r w:rsidRPr="00D9348B">
        <w:lastRenderedPageBreak/>
        <w:t>Chapter 10: References</w:t>
      </w:r>
      <w:bookmarkEnd w:id="3131"/>
      <w:bookmarkEnd w:id="3132"/>
      <w:bookmarkEnd w:id="3133"/>
      <w:bookmarkEnd w:id="3134"/>
      <w:bookmarkEnd w:id="3135"/>
      <w:bookmarkEnd w:id="3136"/>
    </w:p>
    <w:p w14:paraId="23E15627" w14:textId="77777777" w:rsidR="00971A1F" w:rsidRPr="00D9348B" w:rsidRDefault="00971A1F" w:rsidP="00971A1F">
      <w:pPr>
        <w:pStyle w:val="References"/>
      </w:pPr>
      <w:r w:rsidRPr="00D9348B">
        <w:t>Burggraaf V, Rollo M, de Klein CAM, Lio, J. Unpublished. A review of greenhouse gas emissions inventory methodology for farmed goats in New Zealand. Report prepared for the Ministry for Primary Industries by AgResearch in 2019.</w:t>
      </w:r>
    </w:p>
    <w:p w14:paraId="16B2D1E3" w14:textId="77777777" w:rsidR="00971A1F" w:rsidRPr="00D9348B" w:rsidRDefault="00971A1F" w:rsidP="00971A1F">
      <w:pPr>
        <w:pStyle w:val="References"/>
      </w:pPr>
      <w:r w:rsidRPr="00D9348B">
        <w:t xml:space="preserve">CSIRO. 1990. </w:t>
      </w:r>
      <w:r w:rsidRPr="00D9348B">
        <w:rPr>
          <w:i/>
        </w:rPr>
        <w:t>Ruminants: Feeding Standards for Australian Livestock</w:t>
      </w:r>
      <w:r w:rsidRPr="00D9348B">
        <w:t>. Victoria, Australia: Commonwealth Scientific and Industrial Research Organisation.</w:t>
      </w:r>
    </w:p>
    <w:p w14:paraId="652AC263" w14:textId="77777777" w:rsidR="00971A1F" w:rsidRPr="00D9348B" w:rsidRDefault="00971A1F" w:rsidP="00971A1F">
      <w:pPr>
        <w:pStyle w:val="References"/>
      </w:pPr>
      <w:r w:rsidRPr="00D9348B">
        <w:t xml:space="preserve">IPCC, 2003. </w:t>
      </w:r>
      <w:r w:rsidRPr="00D9348B">
        <w:rPr>
          <w:i/>
          <w:iCs/>
        </w:rPr>
        <w:t>Good Practice Guidance for Land-use, Land-use Change and Forestry</w:t>
      </w:r>
      <w:r w:rsidRPr="00D9348B">
        <w:t>. IPCC National Greenhouse Gas Inventories Programme. Published for the IPCC by the Institute for Global Environmental Strategies, Japan.</w:t>
      </w:r>
    </w:p>
    <w:p w14:paraId="34703066" w14:textId="77777777" w:rsidR="00971A1F" w:rsidRPr="00D9348B" w:rsidRDefault="00971A1F" w:rsidP="00971A1F">
      <w:pPr>
        <w:pStyle w:val="References"/>
      </w:pPr>
      <w:r w:rsidRPr="00D9348B">
        <w:t xml:space="preserve">IPCC. 2006. Eggleston HS, Buendia L, Miwa K, Ngara T, Tanabe K (eds). </w:t>
      </w:r>
      <w:r w:rsidRPr="00D9348B">
        <w:rPr>
          <w:i/>
          <w:iCs/>
        </w:rPr>
        <w:t>2006 IPCC Guidelines for National Greenhouse Gas Inventories. Volume 4. Agriculture, Forestry and Other Land Use. IPCC National Greenhouse Gas Inventories Programme</w:t>
      </w:r>
      <w:r w:rsidRPr="00D9348B">
        <w:t>. Japan: Institute for Global Environmental Strategies for IPCC.</w:t>
      </w:r>
    </w:p>
    <w:p w14:paraId="4EFD8A20" w14:textId="77777777" w:rsidR="00971A1F" w:rsidRPr="00D9348B" w:rsidRDefault="00971A1F" w:rsidP="00971A1F">
      <w:pPr>
        <w:pStyle w:val="References"/>
      </w:pPr>
      <w:r w:rsidRPr="00D9348B">
        <w:t xml:space="preserve">IPCC. 2014. Hiraishi T, Krug T, Tanabe K, Srivastava N, Baasansuren J, Fukuda M, and Troxler TG (eds). </w:t>
      </w:r>
      <w:r w:rsidRPr="00D9348B">
        <w:rPr>
          <w:i/>
          <w:iCs/>
        </w:rPr>
        <w:t>2013 Revised Supplementary Methods and Good Practice Guidance Arising from the Kyoto Protocol</w:t>
      </w:r>
      <w:r w:rsidRPr="00D9348B">
        <w:t>. Geneva, Switzerland: IPCC.</w:t>
      </w:r>
    </w:p>
    <w:p w14:paraId="6FA8DBFE" w14:textId="77777777" w:rsidR="00971A1F" w:rsidRPr="00D9348B" w:rsidRDefault="00971A1F" w:rsidP="00971A1F">
      <w:pPr>
        <w:pStyle w:val="References"/>
      </w:pPr>
      <w:r w:rsidRPr="00D9348B">
        <w:rPr>
          <w:rFonts w:cs="Calibri"/>
        </w:rPr>
        <w:t xml:space="preserve">Lassey K. 2011. </w:t>
      </w:r>
      <w:r w:rsidRPr="00D9348B">
        <w:rPr>
          <w:rFonts w:cs="Calibri"/>
          <w:i/>
        </w:rPr>
        <w:t>Methane Emissions and Nitrogen Excretion Rates for New Zealand Goats</w:t>
      </w:r>
      <w:r w:rsidRPr="00D9348B">
        <w:rPr>
          <w:rFonts w:cs="Calibri"/>
        </w:rPr>
        <w:t>. Report for the Ministry of Agriculture and Forestry, National Institute of Water and Atmospheric Research. Wellington: National Institute of Water and Atmospheric Research.</w:t>
      </w:r>
    </w:p>
    <w:p w14:paraId="3C0C8E78" w14:textId="77777777" w:rsidR="00971A1F" w:rsidRPr="00D9348B" w:rsidRDefault="00971A1F" w:rsidP="00971A1F">
      <w:pPr>
        <w:pStyle w:val="References"/>
      </w:pPr>
      <w:r w:rsidRPr="00D9348B">
        <w:t>Ledgard S, Brier G. Unpublished. Estimation of the Proportion of Animal Excreta Transferred to the Farm Dairy Effluent System. Report prepared for Ministry of Agriculture and Forestry by AgResearch in 2004.</w:t>
      </w:r>
    </w:p>
    <w:p w14:paraId="48C25A59" w14:textId="77777777" w:rsidR="00971A1F" w:rsidRPr="00D9348B" w:rsidRDefault="00971A1F" w:rsidP="00971A1F">
      <w:pPr>
        <w:pStyle w:val="References"/>
      </w:pPr>
      <w:r w:rsidRPr="00D9348B">
        <w:t xml:space="preserve">Paul TSH, Kimberley MO, Beets PN. Unpublished. </w:t>
      </w:r>
      <w:r w:rsidRPr="00D9348B">
        <w:rPr>
          <w:i/>
        </w:rPr>
        <w:t>Carbon stocks and change in New Zealand’s natural forests: estimates from the first two complete inventory cycles 2002–2007 and 2007–2014.</w:t>
      </w:r>
      <w:r w:rsidRPr="00D9348B">
        <w:t xml:space="preserve"> Contract report prepared for the Ministry for the Environment by the New Zealand Forest Research Institute Ltd (trading as Scion) in 2019.</w:t>
      </w:r>
    </w:p>
    <w:p w14:paraId="6310F07B" w14:textId="77777777" w:rsidR="00971A1F" w:rsidRPr="00D9348B" w:rsidRDefault="00971A1F" w:rsidP="00971A1F">
      <w:pPr>
        <w:pStyle w:val="References"/>
      </w:pPr>
      <w:r w:rsidRPr="00D9348B">
        <w:t>Rollo M, Ledgard S, Longhurst B. Unpublished. Final report: Trends in dairy effluent management. Report prepared for the Ministry for Primary Industries by AgResearch in 2017.</w:t>
      </w:r>
    </w:p>
    <w:p w14:paraId="1BE68AF5" w14:textId="77777777" w:rsidR="00971A1F" w:rsidRPr="00D9348B" w:rsidRDefault="00971A1F" w:rsidP="00971A1F">
      <w:pPr>
        <w:pStyle w:val="References"/>
      </w:pPr>
      <w:r w:rsidRPr="00D9348B">
        <w:rPr>
          <w:rFonts w:cs="Calibri"/>
        </w:rPr>
        <w:t>Saggar S, Giltrap DL, Davison R, Gibson R, de Klein C, Rollo M, Ettema P, Rys G. 2015. Estimating direct N</w:t>
      </w:r>
      <w:r w:rsidRPr="00D9348B">
        <w:rPr>
          <w:rFonts w:cs="Calibri"/>
          <w:vertAlign w:val="subscript"/>
        </w:rPr>
        <w:t>2</w:t>
      </w:r>
      <w:r w:rsidRPr="00D9348B">
        <w:rPr>
          <w:rFonts w:cs="Calibri"/>
        </w:rPr>
        <w:t>O emissions from sheep, beef, and deer grazed pastures in New Zealand hill country: Accounting for the effect of land slope on the N</w:t>
      </w:r>
      <w:r w:rsidRPr="00D9348B">
        <w:rPr>
          <w:rFonts w:cs="Calibri"/>
          <w:vertAlign w:val="subscript"/>
        </w:rPr>
        <w:t>2</w:t>
      </w:r>
      <w:r w:rsidRPr="00D9348B">
        <w:rPr>
          <w:rFonts w:cs="Calibri"/>
        </w:rPr>
        <w:t xml:space="preserve">O emission factors from urine and dung. </w:t>
      </w:r>
      <w:r w:rsidRPr="00D9348B">
        <w:rPr>
          <w:rFonts w:cs="Calibri"/>
          <w:i/>
        </w:rPr>
        <w:t>Agriculture Ecosystems &amp; Environment</w:t>
      </w:r>
      <w:r w:rsidRPr="00D9348B">
        <w:rPr>
          <w:rFonts w:cs="Calibri"/>
        </w:rPr>
        <w:t xml:space="preserve"> 205: 70–78.</w:t>
      </w:r>
    </w:p>
    <w:p w14:paraId="766D9E89" w14:textId="77777777" w:rsidR="00971A1F" w:rsidRPr="00D9348B" w:rsidRDefault="00971A1F" w:rsidP="00971A1F">
      <w:pPr>
        <w:spacing w:after="100"/>
      </w:pPr>
      <w:r w:rsidRPr="00D9348B">
        <w:rPr>
          <w:sz w:val="20"/>
        </w:rPr>
        <w:t xml:space="preserve">UNFCCC. 2018. FCCC/ARR/2017/NZL. </w:t>
      </w:r>
      <w:r w:rsidRPr="00D9348B">
        <w:rPr>
          <w:i/>
          <w:sz w:val="20"/>
        </w:rPr>
        <w:t xml:space="preserve">Report on the individual review of the annual submission of New Zealand submitted in 2017. </w:t>
      </w:r>
      <w:r w:rsidRPr="00D9348B">
        <w:rPr>
          <w:sz w:val="20"/>
        </w:rPr>
        <w:t>Centralised Review.</w:t>
      </w:r>
    </w:p>
    <w:p w14:paraId="6667DD30" w14:textId="77777777" w:rsidR="00971A1F" w:rsidRPr="00D9348B" w:rsidRDefault="00971A1F" w:rsidP="00971A1F">
      <w:pPr>
        <w:pStyle w:val="References"/>
        <w:rPr>
          <w:rFonts w:cs="Calibri"/>
        </w:rPr>
      </w:pPr>
      <w:proofErr w:type="gramStart"/>
      <w:r w:rsidRPr="00D9348B">
        <w:rPr>
          <w:rFonts w:cs="Calibri"/>
        </w:rPr>
        <w:t>van</w:t>
      </w:r>
      <w:proofErr w:type="gramEnd"/>
      <w:r w:rsidRPr="00D9348B">
        <w:rPr>
          <w:rFonts w:cs="Calibri"/>
        </w:rPr>
        <w:t xml:space="preserve"> der Weerden T, Noble A, Giltrap D, Luo S, Saggar S. 2019. </w:t>
      </w:r>
      <w:r w:rsidRPr="00D9348B">
        <w:rPr>
          <w:rFonts w:cs="Calibri"/>
          <w:i/>
        </w:rPr>
        <w:t>Meta-analysis of nitrous oxide emission factors for excreta deposited onto pasture: final report.</w:t>
      </w:r>
      <w:r w:rsidRPr="00D9348B">
        <w:rPr>
          <w:rFonts w:cs="Calibri"/>
        </w:rPr>
        <w:t xml:space="preserve"> Report prepared for the Ministry for Primary Industries by AgResearch in 2019.</w:t>
      </w:r>
    </w:p>
    <w:p w14:paraId="399D582C" w14:textId="77777777" w:rsidR="00971A1F" w:rsidRPr="00D9348B" w:rsidRDefault="00971A1F" w:rsidP="00971A1F"/>
    <w:p w14:paraId="51DF8865" w14:textId="07805FE3" w:rsidR="003A09BB" w:rsidRPr="00D9348B" w:rsidRDefault="003A09BB" w:rsidP="003A09BB"/>
    <w:p w14:paraId="62EB4F18" w14:textId="78463E6E" w:rsidR="003A09BB" w:rsidRPr="00D9348B" w:rsidRDefault="003A09BB" w:rsidP="003A09BB"/>
    <w:p w14:paraId="6CBE7273" w14:textId="77777777" w:rsidR="003A09BB" w:rsidRPr="00D9348B" w:rsidRDefault="003A09BB" w:rsidP="003A09BB">
      <w:pPr>
        <w:sectPr w:rsidR="003A09BB" w:rsidRPr="00D9348B" w:rsidSect="00DB330E">
          <w:footerReference w:type="even" r:id="rId280"/>
          <w:pgSz w:w="11907" w:h="16840" w:code="9"/>
          <w:pgMar w:top="1418" w:right="1701" w:bottom="1418" w:left="1701" w:header="567" w:footer="567" w:gutter="0"/>
          <w:cols w:space="720"/>
        </w:sectPr>
      </w:pPr>
    </w:p>
    <w:p w14:paraId="3DC6FBCF" w14:textId="77777777" w:rsidR="00627CA1" w:rsidRPr="00D9348B" w:rsidRDefault="00627CA1" w:rsidP="00627CA1">
      <w:pPr>
        <w:pStyle w:val="Heading1"/>
      </w:pPr>
      <w:bookmarkStart w:id="3137" w:name="_Toc5269404"/>
      <w:bookmarkStart w:id="3138" w:name="_Toc36224444"/>
      <w:r w:rsidRPr="00D9348B">
        <w:lastRenderedPageBreak/>
        <w:t>Chapter 11: KP-LULUCF</w:t>
      </w:r>
      <w:bookmarkEnd w:id="3137"/>
      <w:bookmarkEnd w:id="3138"/>
    </w:p>
    <w:p w14:paraId="15B70CEB" w14:textId="77777777" w:rsidR="00627CA1" w:rsidRPr="00D9348B" w:rsidRDefault="00627CA1" w:rsidP="00627CA1">
      <w:pPr>
        <w:pStyle w:val="Heading2"/>
        <w:spacing w:before="240"/>
      </w:pPr>
      <w:bookmarkStart w:id="3139" w:name="_Toc261513277"/>
      <w:bookmarkStart w:id="3140" w:name="_Toc261513890"/>
      <w:bookmarkStart w:id="3141" w:name="_Toc280630380"/>
      <w:bookmarkStart w:id="3142" w:name="_Toc310423464"/>
      <w:bookmarkStart w:id="3143" w:name="_Toc342470732"/>
      <w:bookmarkStart w:id="3144" w:name="_Toc352504891"/>
      <w:bookmarkStart w:id="3145" w:name="_Toc377043714"/>
      <w:bookmarkStart w:id="3146" w:name="_Toc391023461"/>
      <w:bookmarkStart w:id="3147" w:name="_Toc400967252"/>
      <w:bookmarkStart w:id="3148" w:name="_Toc414531340"/>
      <w:bookmarkStart w:id="3149" w:name="_Toc456179169"/>
      <w:bookmarkStart w:id="3150" w:name="_Toc481751422"/>
      <w:bookmarkStart w:id="3151" w:name="_Toc522013961"/>
      <w:bookmarkStart w:id="3152" w:name="_Toc5269405"/>
      <w:bookmarkStart w:id="3153" w:name="_Toc36224445"/>
      <w:r w:rsidRPr="00D9348B">
        <w:t xml:space="preserve">11.1 </w:t>
      </w:r>
      <w:r w:rsidRPr="00D9348B">
        <w:tab/>
        <w:t>General information</w:t>
      </w:r>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p>
    <w:p w14:paraId="2A77493F" w14:textId="77777777" w:rsidR="00627CA1" w:rsidRPr="00D9348B" w:rsidRDefault="00627CA1" w:rsidP="006D0A98">
      <w:pPr>
        <w:pStyle w:val="Heading4"/>
        <w:spacing w:before="160"/>
      </w:pPr>
      <w:r w:rsidRPr="00D9348B">
        <w:t>Emissions summary</w:t>
      </w:r>
    </w:p>
    <w:p w14:paraId="3D41C05E" w14:textId="77777777" w:rsidR="00627CA1" w:rsidRPr="00D9348B" w:rsidRDefault="00627CA1" w:rsidP="00627CA1">
      <w:pPr>
        <w:pStyle w:val="Heading5"/>
        <w:spacing w:before="120"/>
      </w:pPr>
      <w:r w:rsidRPr="00D9348B">
        <w:t>2018</w:t>
      </w:r>
    </w:p>
    <w:p w14:paraId="1E7D9EC2" w14:textId="77777777" w:rsidR="00627CA1" w:rsidRPr="00D9348B" w:rsidRDefault="00627CA1" w:rsidP="00627CA1">
      <w:pPr>
        <w:pStyle w:val="BodyText"/>
      </w:pPr>
      <w:r w:rsidRPr="00D9348B">
        <w:t>In 2018, net emissions from land subject to Article 3.3 and Article 3.4 activities under the Kyoto Protocol were –29,346.0 kilotonnes carbon dioxide equivalent (kt CO</w:t>
      </w:r>
      <w:r w:rsidRPr="00D9348B">
        <w:rPr>
          <w:vertAlign w:val="subscript"/>
        </w:rPr>
        <w:t>2</w:t>
      </w:r>
      <w:r w:rsidRPr="00D9348B">
        <w:t>-e) (table 11.1.1). This is comparable to net emissions in the previous five years.</w:t>
      </w:r>
    </w:p>
    <w:p w14:paraId="54402C53" w14:textId="77777777" w:rsidR="00627CA1" w:rsidRPr="00D9348B" w:rsidRDefault="00627CA1" w:rsidP="00627CA1">
      <w:pPr>
        <w:pStyle w:val="BodyText"/>
      </w:pPr>
      <w:r w:rsidRPr="00D9348B">
        <w:t xml:space="preserve">In 2018, net emissions from </w:t>
      </w:r>
      <w:r w:rsidRPr="00D9348B">
        <w:rPr>
          <w:i/>
        </w:rPr>
        <w:t>Afforestation and reforestation</w:t>
      </w:r>
      <w:r w:rsidRPr="00D9348B">
        <w:t xml:space="preserve"> and </w:t>
      </w:r>
      <w:r w:rsidRPr="00D9348B">
        <w:rPr>
          <w:i/>
        </w:rPr>
        <w:t>Deforestation</w:t>
      </w:r>
      <w:r w:rsidRPr="00D9348B">
        <w:t xml:space="preserve"> activities </w:t>
      </w:r>
      <w:r w:rsidRPr="00D9348B">
        <w:br/>
        <w:t>were –15,447.0 kt CO</w:t>
      </w:r>
      <w:r w:rsidRPr="00D9348B">
        <w:rPr>
          <w:vertAlign w:val="subscript"/>
        </w:rPr>
        <w:t>2</w:t>
      </w:r>
      <w:r w:rsidRPr="00D9348B">
        <w:t xml:space="preserve">-e. This value is the total of all emissions and removals from activities under Decision 2/CMP.7, Article 3.3 of the Kyoto Protocol. It includes removals from growth, emissions from harvesting, and emissions and removals from harvested wood products in post-1989 forests; emissions from the conversion of land to post-1989 forest; and emissions from deforestation of all forest land and emissions from biomass burning and mineralisation of soil nitrogen associated with afforestation, reforestation or deforestation activities since 1990. </w:t>
      </w:r>
    </w:p>
    <w:p w14:paraId="3CF160AB" w14:textId="77777777" w:rsidR="00627CA1" w:rsidRPr="00D9348B" w:rsidRDefault="00627CA1" w:rsidP="00627CA1">
      <w:pPr>
        <w:pStyle w:val="BodyText"/>
      </w:pPr>
      <w:r w:rsidRPr="00D9348B">
        <w:t xml:space="preserve">In 2018, net emissions from </w:t>
      </w:r>
      <w:r w:rsidRPr="00D9348B">
        <w:rPr>
          <w:i/>
        </w:rPr>
        <w:t>Forest</w:t>
      </w:r>
      <w:r w:rsidRPr="00D9348B">
        <w:t xml:space="preserve"> </w:t>
      </w:r>
      <w:r w:rsidRPr="00D9348B">
        <w:rPr>
          <w:i/>
        </w:rPr>
        <w:t>management</w:t>
      </w:r>
      <w:r w:rsidRPr="00D9348B">
        <w:t xml:space="preserve"> were –13,898.9 kt CO</w:t>
      </w:r>
      <w:r w:rsidRPr="00D9348B">
        <w:rPr>
          <w:vertAlign w:val="subscript"/>
        </w:rPr>
        <w:t>2</w:t>
      </w:r>
      <w:r w:rsidRPr="00D9348B">
        <w:t>-e (table 11.1.1). This includes removals from growth of pre-1990 natural forest and pre-1990 planted forest, emissions from harvesting of these forests, emissions and removals from harvested wood products from these forests, and emissions from biomass burning.</w:t>
      </w:r>
      <w:bookmarkStart w:id="3154" w:name="_Toc280630483"/>
      <w:bookmarkStart w:id="3155" w:name="_Toc310423438"/>
      <w:bookmarkStart w:id="3156" w:name="_Toc318362731"/>
      <w:bookmarkStart w:id="3157" w:name="_Toc342470810"/>
      <w:bookmarkStart w:id="3158" w:name="_Toc352505062"/>
      <w:bookmarkStart w:id="3159" w:name="_Toc377043698"/>
      <w:bookmarkStart w:id="3160" w:name="_Toc391023550"/>
      <w:bookmarkStart w:id="3161" w:name="_Toc414531524"/>
    </w:p>
    <w:p w14:paraId="131644E9" w14:textId="77777777" w:rsidR="00627CA1" w:rsidRPr="00D9348B" w:rsidRDefault="00627CA1" w:rsidP="00627CA1">
      <w:pPr>
        <w:pStyle w:val="Table"/>
      </w:pPr>
      <w:bookmarkStart w:id="3162" w:name="_Toc456179103"/>
      <w:bookmarkStart w:id="3163" w:name="_Toc481751629"/>
      <w:bookmarkStart w:id="3164" w:name="_Toc522010654"/>
      <w:bookmarkStart w:id="3165" w:name="_Toc5269624"/>
      <w:bookmarkStart w:id="3166" w:name="_Toc36224706"/>
      <w:r w:rsidRPr="00D9348B">
        <w:t>Table 11.1.1</w:t>
      </w:r>
      <w:r w:rsidRPr="00D9348B">
        <w:tab/>
        <w:t>New Zealand’s emissions under Article 3.3 and Article 3.4 of the Kyoto Protocol</w:t>
      </w:r>
      <w:r w:rsidRPr="00D9348B">
        <w:br/>
      </w:r>
      <w:bookmarkEnd w:id="3154"/>
      <w:bookmarkEnd w:id="3155"/>
      <w:bookmarkEnd w:id="3156"/>
      <w:bookmarkEnd w:id="3157"/>
      <w:bookmarkEnd w:id="3158"/>
      <w:bookmarkEnd w:id="3159"/>
      <w:bookmarkEnd w:id="3160"/>
      <w:bookmarkEnd w:id="3161"/>
      <w:bookmarkEnd w:id="3162"/>
      <w:r w:rsidRPr="00D9348B">
        <w:t>during the second reporting period</w:t>
      </w:r>
      <w:bookmarkEnd w:id="3163"/>
      <w:bookmarkEnd w:id="3164"/>
      <w:bookmarkEnd w:id="3165"/>
      <w:bookmarkEnd w:id="3166"/>
    </w:p>
    <w:tbl>
      <w:tblPr>
        <w:tblW w:w="8562" w:type="dxa"/>
        <w:tblInd w:w="90" w:type="dxa"/>
        <w:tblLayout w:type="fixed"/>
        <w:tblLook w:val="04A0" w:firstRow="1" w:lastRow="0" w:firstColumn="1" w:lastColumn="0" w:noHBand="0" w:noVBand="1"/>
      </w:tblPr>
      <w:tblGrid>
        <w:gridCol w:w="2692"/>
        <w:gridCol w:w="979"/>
        <w:gridCol w:w="979"/>
        <w:gridCol w:w="978"/>
        <w:gridCol w:w="978"/>
        <w:gridCol w:w="978"/>
        <w:gridCol w:w="978"/>
      </w:tblGrid>
      <w:tr w:rsidR="00627CA1" w:rsidRPr="00D9348B" w14:paraId="1D8EAAF3" w14:textId="77777777" w:rsidTr="00DB330E">
        <w:tc>
          <w:tcPr>
            <w:tcW w:w="2495" w:type="dxa"/>
            <w:tcBorders>
              <w:top w:val="single" w:sz="8" w:space="0" w:color="365F91"/>
              <w:left w:val="nil"/>
              <w:bottom w:val="single" w:sz="8" w:space="0" w:color="365F91"/>
              <w:right w:val="nil"/>
            </w:tcBorders>
            <w:shd w:val="clear" w:color="000000" w:fill="365F91"/>
            <w:vAlign w:val="center"/>
            <w:hideMark/>
          </w:tcPr>
          <w:p w14:paraId="585E4861" w14:textId="77777777" w:rsidR="00627CA1" w:rsidRPr="00D9348B" w:rsidRDefault="00627CA1" w:rsidP="00DB330E">
            <w:pPr>
              <w:pStyle w:val="TableTextBold"/>
              <w:jc w:val="right"/>
              <w:rPr>
                <w:rFonts w:cs="Calibri"/>
                <w:noProof w:val="0"/>
                <w:color w:val="FFFFFF"/>
                <w:szCs w:val="16"/>
              </w:rPr>
            </w:pPr>
            <w:r w:rsidRPr="00D9348B">
              <w:rPr>
                <w:rFonts w:cs="Calibri"/>
                <w:noProof w:val="0"/>
                <w:color w:val="FFFFFF"/>
                <w:szCs w:val="16"/>
              </w:rPr>
              <w:t> </w:t>
            </w:r>
          </w:p>
        </w:tc>
        <w:tc>
          <w:tcPr>
            <w:tcW w:w="907" w:type="dxa"/>
            <w:tcBorders>
              <w:top w:val="single" w:sz="8" w:space="0" w:color="365F91"/>
              <w:left w:val="nil"/>
              <w:bottom w:val="single" w:sz="8" w:space="0" w:color="365F91"/>
              <w:right w:val="nil"/>
            </w:tcBorders>
            <w:shd w:val="clear" w:color="000000" w:fill="365F91"/>
            <w:vAlign w:val="center"/>
            <w:hideMark/>
          </w:tcPr>
          <w:p w14:paraId="340B91BF" w14:textId="77777777" w:rsidR="00627CA1" w:rsidRPr="00D9348B" w:rsidRDefault="00627CA1" w:rsidP="00DB330E">
            <w:pPr>
              <w:pStyle w:val="TableTextBold"/>
              <w:jc w:val="right"/>
              <w:rPr>
                <w:rFonts w:cs="Calibri"/>
                <w:noProof w:val="0"/>
                <w:color w:val="FFFFFF"/>
                <w:szCs w:val="16"/>
              </w:rPr>
            </w:pPr>
            <w:r w:rsidRPr="00D9348B">
              <w:rPr>
                <w:rFonts w:cs="Calibri"/>
                <w:noProof w:val="0"/>
                <w:color w:val="FFFFFF"/>
                <w:szCs w:val="16"/>
              </w:rPr>
              <w:t>2013</w:t>
            </w:r>
          </w:p>
        </w:tc>
        <w:tc>
          <w:tcPr>
            <w:tcW w:w="907" w:type="dxa"/>
            <w:tcBorders>
              <w:top w:val="single" w:sz="8" w:space="0" w:color="365F91"/>
              <w:left w:val="nil"/>
              <w:bottom w:val="single" w:sz="8" w:space="0" w:color="365F91"/>
              <w:right w:val="nil"/>
            </w:tcBorders>
            <w:shd w:val="clear" w:color="000000" w:fill="365F91"/>
            <w:vAlign w:val="center"/>
            <w:hideMark/>
          </w:tcPr>
          <w:p w14:paraId="3AE3246E" w14:textId="77777777" w:rsidR="00627CA1" w:rsidRPr="00D9348B" w:rsidRDefault="00627CA1" w:rsidP="00DB330E">
            <w:pPr>
              <w:pStyle w:val="TableTextBold"/>
              <w:jc w:val="right"/>
              <w:rPr>
                <w:rFonts w:cs="Calibri"/>
                <w:noProof w:val="0"/>
                <w:color w:val="FFFFFF"/>
                <w:szCs w:val="16"/>
              </w:rPr>
            </w:pPr>
            <w:r w:rsidRPr="00D9348B">
              <w:rPr>
                <w:rFonts w:cs="Calibri"/>
                <w:noProof w:val="0"/>
                <w:color w:val="FFFFFF"/>
                <w:szCs w:val="16"/>
              </w:rPr>
              <w:t>2014</w:t>
            </w:r>
          </w:p>
        </w:tc>
        <w:tc>
          <w:tcPr>
            <w:tcW w:w="907" w:type="dxa"/>
            <w:tcBorders>
              <w:top w:val="single" w:sz="8" w:space="0" w:color="365F91"/>
              <w:left w:val="nil"/>
              <w:bottom w:val="single" w:sz="8" w:space="0" w:color="365F91"/>
              <w:right w:val="nil"/>
            </w:tcBorders>
            <w:shd w:val="clear" w:color="000000" w:fill="365F91"/>
            <w:vAlign w:val="center"/>
            <w:hideMark/>
          </w:tcPr>
          <w:p w14:paraId="36F953D9" w14:textId="77777777" w:rsidR="00627CA1" w:rsidRPr="00D9348B" w:rsidRDefault="00627CA1" w:rsidP="00DB330E">
            <w:pPr>
              <w:pStyle w:val="TableTextBold"/>
              <w:jc w:val="right"/>
              <w:rPr>
                <w:rFonts w:cs="Calibri"/>
                <w:noProof w:val="0"/>
                <w:color w:val="FFFFFF"/>
                <w:szCs w:val="16"/>
              </w:rPr>
            </w:pPr>
            <w:r w:rsidRPr="00D9348B">
              <w:rPr>
                <w:rFonts w:cs="Calibri"/>
                <w:noProof w:val="0"/>
                <w:color w:val="FFFFFF"/>
                <w:szCs w:val="16"/>
              </w:rPr>
              <w:t>2015</w:t>
            </w:r>
          </w:p>
        </w:tc>
        <w:tc>
          <w:tcPr>
            <w:tcW w:w="907" w:type="dxa"/>
            <w:tcBorders>
              <w:top w:val="single" w:sz="8" w:space="0" w:color="365F91"/>
              <w:left w:val="nil"/>
              <w:bottom w:val="single" w:sz="8" w:space="0" w:color="365F91"/>
              <w:right w:val="nil"/>
            </w:tcBorders>
            <w:shd w:val="clear" w:color="000000" w:fill="365F91"/>
            <w:vAlign w:val="center"/>
            <w:hideMark/>
          </w:tcPr>
          <w:p w14:paraId="1612750A" w14:textId="77777777" w:rsidR="00627CA1" w:rsidRPr="00D9348B" w:rsidRDefault="00627CA1" w:rsidP="00DB330E">
            <w:pPr>
              <w:pStyle w:val="TableTextBold"/>
              <w:jc w:val="right"/>
              <w:rPr>
                <w:rFonts w:cs="Calibri"/>
                <w:noProof w:val="0"/>
                <w:color w:val="FFFFFF"/>
                <w:szCs w:val="16"/>
              </w:rPr>
            </w:pPr>
            <w:r w:rsidRPr="00D9348B">
              <w:rPr>
                <w:rFonts w:cs="Calibri"/>
                <w:noProof w:val="0"/>
                <w:color w:val="FFFFFF"/>
                <w:szCs w:val="16"/>
              </w:rPr>
              <w:t>2016</w:t>
            </w:r>
          </w:p>
        </w:tc>
        <w:tc>
          <w:tcPr>
            <w:tcW w:w="907" w:type="dxa"/>
            <w:tcBorders>
              <w:top w:val="single" w:sz="8" w:space="0" w:color="365F91"/>
              <w:left w:val="nil"/>
              <w:bottom w:val="single" w:sz="8" w:space="0" w:color="365F91"/>
              <w:right w:val="nil"/>
            </w:tcBorders>
            <w:shd w:val="clear" w:color="000000" w:fill="365F91"/>
          </w:tcPr>
          <w:p w14:paraId="5D20C5DD" w14:textId="77777777" w:rsidR="00627CA1" w:rsidRPr="00D9348B" w:rsidRDefault="00627CA1" w:rsidP="00DB330E">
            <w:pPr>
              <w:pStyle w:val="TableTextBold"/>
              <w:jc w:val="right"/>
              <w:rPr>
                <w:rFonts w:cs="Calibri"/>
                <w:noProof w:val="0"/>
                <w:color w:val="FFFFFF"/>
                <w:szCs w:val="16"/>
              </w:rPr>
            </w:pPr>
            <w:r w:rsidRPr="00D9348B">
              <w:rPr>
                <w:rFonts w:cs="Calibri"/>
                <w:noProof w:val="0"/>
                <w:color w:val="FFFFFF"/>
                <w:szCs w:val="16"/>
              </w:rPr>
              <w:t>2017</w:t>
            </w:r>
            <w:r w:rsidRPr="00D9348B">
              <w:rPr>
                <w:rFonts w:cs="Calibri"/>
                <w:noProof w:val="0"/>
                <w:color w:val="FFFFFF"/>
                <w:szCs w:val="16"/>
                <w:vertAlign w:val="superscript"/>
              </w:rPr>
              <w:t>P</w:t>
            </w:r>
          </w:p>
        </w:tc>
        <w:tc>
          <w:tcPr>
            <w:tcW w:w="907" w:type="dxa"/>
            <w:tcBorders>
              <w:top w:val="single" w:sz="8" w:space="0" w:color="365F91"/>
              <w:left w:val="nil"/>
              <w:bottom w:val="single" w:sz="8" w:space="0" w:color="365F91"/>
              <w:right w:val="nil"/>
            </w:tcBorders>
            <w:shd w:val="clear" w:color="000000" w:fill="365F91"/>
          </w:tcPr>
          <w:p w14:paraId="4D53A931" w14:textId="77777777" w:rsidR="00627CA1" w:rsidRPr="00D9348B" w:rsidRDefault="00627CA1" w:rsidP="00DB330E">
            <w:pPr>
              <w:pStyle w:val="TableTextBold"/>
              <w:jc w:val="right"/>
              <w:rPr>
                <w:rFonts w:cs="Calibri"/>
                <w:noProof w:val="0"/>
                <w:color w:val="FFFFFF"/>
                <w:szCs w:val="16"/>
              </w:rPr>
            </w:pPr>
            <w:r w:rsidRPr="00D9348B">
              <w:rPr>
                <w:rFonts w:cs="Calibri"/>
                <w:noProof w:val="0"/>
                <w:color w:val="FFFFFF"/>
                <w:szCs w:val="16"/>
              </w:rPr>
              <w:t>2018</w:t>
            </w:r>
            <w:r w:rsidRPr="00D9348B">
              <w:rPr>
                <w:rFonts w:cs="Calibri"/>
                <w:noProof w:val="0"/>
                <w:color w:val="FFFFFF"/>
                <w:szCs w:val="16"/>
                <w:vertAlign w:val="superscript"/>
              </w:rPr>
              <w:t>P</w:t>
            </w:r>
          </w:p>
        </w:tc>
      </w:tr>
      <w:tr w:rsidR="00627CA1" w:rsidRPr="00D9348B" w14:paraId="592D24C6" w14:textId="77777777" w:rsidTr="00DB330E">
        <w:tc>
          <w:tcPr>
            <w:tcW w:w="2495" w:type="dxa"/>
            <w:tcBorders>
              <w:top w:val="single" w:sz="8" w:space="0" w:color="365F91"/>
              <w:left w:val="nil"/>
              <w:bottom w:val="single" w:sz="4" w:space="0" w:color="auto"/>
              <w:right w:val="nil"/>
            </w:tcBorders>
            <w:shd w:val="clear" w:color="auto" w:fill="auto"/>
            <w:vAlign w:val="center"/>
            <w:hideMark/>
          </w:tcPr>
          <w:p w14:paraId="0540E035" w14:textId="77777777" w:rsidR="00627CA1" w:rsidRPr="00D9348B" w:rsidRDefault="00627CA1" w:rsidP="00DB330E">
            <w:pPr>
              <w:pStyle w:val="TableTextBold"/>
              <w:rPr>
                <w:rFonts w:cs="Calibri"/>
                <w:noProof w:val="0"/>
                <w:szCs w:val="16"/>
              </w:rPr>
            </w:pPr>
            <w:r w:rsidRPr="00D9348B">
              <w:rPr>
                <w:rFonts w:cs="Calibri"/>
                <w:noProof w:val="0"/>
                <w:szCs w:val="16"/>
              </w:rPr>
              <w:t>Afforestation and reforestation</w:t>
            </w:r>
          </w:p>
        </w:tc>
        <w:tc>
          <w:tcPr>
            <w:tcW w:w="907" w:type="dxa"/>
            <w:tcBorders>
              <w:top w:val="single" w:sz="8" w:space="0" w:color="365F91"/>
              <w:left w:val="nil"/>
              <w:bottom w:val="single" w:sz="4" w:space="0" w:color="auto"/>
              <w:right w:val="nil"/>
            </w:tcBorders>
            <w:shd w:val="clear" w:color="auto" w:fill="auto"/>
            <w:noWrap/>
            <w:vAlign w:val="bottom"/>
            <w:hideMark/>
          </w:tcPr>
          <w:p w14:paraId="24E60003" w14:textId="77777777" w:rsidR="00627CA1" w:rsidRPr="00D9348B" w:rsidRDefault="00627CA1" w:rsidP="00DB330E">
            <w:pPr>
              <w:pStyle w:val="TableTextBold"/>
              <w:rPr>
                <w:rFonts w:cs="Calibri"/>
                <w:noProof w:val="0"/>
                <w:szCs w:val="16"/>
              </w:rPr>
            </w:pPr>
          </w:p>
        </w:tc>
        <w:tc>
          <w:tcPr>
            <w:tcW w:w="907" w:type="dxa"/>
            <w:tcBorders>
              <w:top w:val="single" w:sz="8" w:space="0" w:color="365F91"/>
              <w:left w:val="nil"/>
              <w:bottom w:val="single" w:sz="4" w:space="0" w:color="auto"/>
              <w:right w:val="nil"/>
            </w:tcBorders>
            <w:shd w:val="clear" w:color="auto" w:fill="auto"/>
            <w:noWrap/>
            <w:vAlign w:val="bottom"/>
            <w:hideMark/>
          </w:tcPr>
          <w:p w14:paraId="269B33C1" w14:textId="77777777" w:rsidR="00627CA1" w:rsidRPr="00D9348B" w:rsidRDefault="00627CA1" w:rsidP="00DB330E">
            <w:pPr>
              <w:pStyle w:val="TableTextBold"/>
              <w:rPr>
                <w:rFonts w:cs="Calibri"/>
                <w:noProof w:val="0"/>
                <w:szCs w:val="16"/>
              </w:rPr>
            </w:pPr>
          </w:p>
        </w:tc>
        <w:tc>
          <w:tcPr>
            <w:tcW w:w="907" w:type="dxa"/>
            <w:tcBorders>
              <w:top w:val="single" w:sz="8" w:space="0" w:color="365F91"/>
              <w:left w:val="nil"/>
              <w:bottom w:val="single" w:sz="4" w:space="0" w:color="auto"/>
              <w:right w:val="nil"/>
            </w:tcBorders>
            <w:shd w:val="clear" w:color="auto" w:fill="auto"/>
            <w:noWrap/>
            <w:vAlign w:val="bottom"/>
            <w:hideMark/>
          </w:tcPr>
          <w:p w14:paraId="2B1D4396" w14:textId="77777777" w:rsidR="00627CA1" w:rsidRPr="00D9348B" w:rsidRDefault="00627CA1" w:rsidP="00DB330E">
            <w:pPr>
              <w:pStyle w:val="TableTextBold"/>
              <w:rPr>
                <w:rFonts w:cs="Calibri"/>
                <w:noProof w:val="0"/>
                <w:szCs w:val="16"/>
              </w:rPr>
            </w:pPr>
          </w:p>
        </w:tc>
        <w:tc>
          <w:tcPr>
            <w:tcW w:w="907" w:type="dxa"/>
            <w:tcBorders>
              <w:top w:val="single" w:sz="8" w:space="0" w:color="365F91"/>
              <w:left w:val="nil"/>
              <w:bottom w:val="single" w:sz="4" w:space="0" w:color="auto"/>
              <w:right w:val="nil"/>
            </w:tcBorders>
            <w:shd w:val="clear" w:color="auto" w:fill="auto"/>
            <w:noWrap/>
            <w:vAlign w:val="bottom"/>
            <w:hideMark/>
          </w:tcPr>
          <w:p w14:paraId="1CB6AE7B" w14:textId="77777777" w:rsidR="00627CA1" w:rsidRPr="00D9348B" w:rsidRDefault="00627CA1" w:rsidP="00DB330E">
            <w:pPr>
              <w:pStyle w:val="TableTextBold"/>
              <w:rPr>
                <w:rFonts w:cs="Calibri"/>
                <w:noProof w:val="0"/>
                <w:szCs w:val="16"/>
              </w:rPr>
            </w:pPr>
          </w:p>
        </w:tc>
        <w:tc>
          <w:tcPr>
            <w:tcW w:w="907" w:type="dxa"/>
            <w:tcBorders>
              <w:top w:val="single" w:sz="8" w:space="0" w:color="365F91"/>
              <w:left w:val="nil"/>
              <w:bottom w:val="single" w:sz="4" w:space="0" w:color="auto"/>
              <w:right w:val="nil"/>
            </w:tcBorders>
          </w:tcPr>
          <w:p w14:paraId="2750681F" w14:textId="77777777" w:rsidR="00627CA1" w:rsidRPr="00D9348B" w:rsidRDefault="00627CA1" w:rsidP="00DB330E">
            <w:pPr>
              <w:pStyle w:val="TableTextBold"/>
              <w:rPr>
                <w:rFonts w:cs="Calibri"/>
                <w:noProof w:val="0"/>
                <w:szCs w:val="16"/>
              </w:rPr>
            </w:pPr>
          </w:p>
        </w:tc>
        <w:tc>
          <w:tcPr>
            <w:tcW w:w="907" w:type="dxa"/>
            <w:tcBorders>
              <w:top w:val="single" w:sz="8" w:space="0" w:color="365F91"/>
              <w:left w:val="nil"/>
              <w:bottom w:val="single" w:sz="4" w:space="0" w:color="auto"/>
              <w:right w:val="nil"/>
            </w:tcBorders>
          </w:tcPr>
          <w:p w14:paraId="52B73305" w14:textId="77777777" w:rsidR="00627CA1" w:rsidRPr="00D9348B" w:rsidRDefault="00627CA1" w:rsidP="00DB330E">
            <w:pPr>
              <w:pStyle w:val="TableTextBold"/>
              <w:rPr>
                <w:rFonts w:cs="Calibri"/>
                <w:noProof w:val="0"/>
                <w:szCs w:val="16"/>
              </w:rPr>
            </w:pPr>
          </w:p>
        </w:tc>
      </w:tr>
      <w:tr w:rsidR="00627CA1" w:rsidRPr="00D9348B" w14:paraId="79DE7B14" w14:textId="77777777" w:rsidTr="00DB330E">
        <w:tc>
          <w:tcPr>
            <w:tcW w:w="2495" w:type="dxa"/>
            <w:tcBorders>
              <w:top w:val="single" w:sz="4" w:space="0" w:color="auto"/>
              <w:left w:val="nil"/>
              <w:right w:val="nil"/>
            </w:tcBorders>
            <w:shd w:val="clear" w:color="auto" w:fill="auto"/>
            <w:vAlign w:val="center"/>
            <w:hideMark/>
          </w:tcPr>
          <w:p w14:paraId="33E8B797" w14:textId="77777777" w:rsidR="00627CA1" w:rsidRPr="00D9348B" w:rsidRDefault="00627CA1" w:rsidP="00DB330E">
            <w:pPr>
              <w:pStyle w:val="TableText"/>
              <w:rPr>
                <w:rFonts w:cs="Calibri"/>
                <w:szCs w:val="16"/>
              </w:rPr>
            </w:pPr>
            <w:r w:rsidRPr="00D9348B">
              <w:rPr>
                <w:rFonts w:cs="Calibri"/>
                <w:szCs w:val="16"/>
              </w:rPr>
              <w:t>Net cumulative area since 1990 (ha)</w:t>
            </w:r>
          </w:p>
        </w:tc>
        <w:tc>
          <w:tcPr>
            <w:tcW w:w="907" w:type="dxa"/>
            <w:tcBorders>
              <w:top w:val="single" w:sz="4" w:space="0" w:color="auto"/>
              <w:left w:val="nil"/>
              <w:right w:val="nil"/>
            </w:tcBorders>
            <w:shd w:val="clear" w:color="auto" w:fill="auto"/>
            <w:hideMark/>
          </w:tcPr>
          <w:p w14:paraId="01D7F8C5" w14:textId="77777777" w:rsidR="00627CA1" w:rsidRPr="00D9348B" w:rsidRDefault="00627CA1" w:rsidP="00DB330E">
            <w:pPr>
              <w:pStyle w:val="TableText"/>
              <w:jc w:val="right"/>
              <w:rPr>
                <w:rFonts w:cs="Calibri"/>
                <w:szCs w:val="16"/>
              </w:rPr>
            </w:pPr>
            <w:r w:rsidRPr="00D9348B">
              <w:rPr>
                <w:rFonts w:cs="Calibri"/>
                <w:szCs w:val="16"/>
              </w:rPr>
              <w:t>677,229</w:t>
            </w:r>
          </w:p>
        </w:tc>
        <w:tc>
          <w:tcPr>
            <w:tcW w:w="907" w:type="dxa"/>
            <w:tcBorders>
              <w:top w:val="single" w:sz="4" w:space="0" w:color="auto"/>
              <w:left w:val="nil"/>
              <w:right w:val="nil"/>
            </w:tcBorders>
            <w:shd w:val="clear" w:color="auto" w:fill="auto"/>
            <w:hideMark/>
          </w:tcPr>
          <w:p w14:paraId="556F5A08" w14:textId="77777777" w:rsidR="00627CA1" w:rsidRPr="00D9348B" w:rsidRDefault="00627CA1" w:rsidP="00DB330E">
            <w:pPr>
              <w:pStyle w:val="TableText"/>
              <w:jc w:val="right"/>
              <w:rPr>
                <w:rFonts w:cs="Calibri"/>
                <w:szCs w:val="16"/>
              </w:rPr>
            </w:pPr>
            <w:r w:rsidRPr="00D9348B">
              <w:rPr>
                <w:rFonts w:cs="Calibri"/>
                <w:szCs w:val="16"/>
              </w:rPr>
              <w:t>679,128</w:t>
            </w:r>
          </w:p>
        </w:tc>
        <w:tc>
          <w:tcPr>
            <w:tcW w:w="907" w:type="dxa"/>
            <w:tcBorders>
              <w:top w:val="single" w:sz="4" w:space="0" w:color="auto"/>
              <w:left w:val="nil"/>
              <w:right w:val="nil"/>
            </w:tcBorders>
            <w:shd w:val="clear" w:color="auto" w:fill="auto"/>
            <w:hideMark/>
          </w:tcPr>
          <w:p w14:paraId="2BDDD527" w14:textId="77777777" w:rsidR="00627CA1" w:rsidRPr="00D9348B" w:rsidRDefault="00627CA1" w:rsidP="00DB330E">
            <w:pPr>
              <w:pStyle w:val="TableText"/>
              <w:jc w:val="right"/>
              <w:rPr>
                <w:rFonts w:cs="Calibri"/>
                <w:szCs w:val="16"/>
              </w:rPr>
            </w:pPr>
            <w:r w:rsidRPr="00D9348B">
              <w:rPr>
                <w:rFonts w:cs="Calibri"/>
                <w:szCs w:val="16"/>
              </w:rPr>
              <w:t>680,963</w:t>
            </w:r>
          </w:p>
        </w:tc>
        <w:tc>
          <w:tcPr>
            <w:tcW w:w="907" w:type="dxa"/>
            <w:tcBorders>
              <w:top w:val="single" w:sz="4" w:space="0" w:color="auto"/>
              <w:left w:val="nil"/>
              <w:right w:val="nil"/>
            </w:tcBorders>
            <w:shd w:val="clear" w:color="auto" w:fill="auto"/>
            <w:hideMark/>
          </w:tcPr>
          <w:p w14:paraId="78470764" w14:textId="77777777" w:rsidR="00627CA1" w:rsidRPr="00D9348B" w:rsidRDefault="00627CA1" w:rsidP="00DB330E">
            <w:pPr>
              <w:pStyle w:val="TableText"/>
              <w:jc w:val="right"/>
              <w:rPr>
                <w:rFonts w:cs="Calibri"/>
                <w:szCs w:val="16"/>
              </w:rPr>
            </w:pPr>
            <w:r w:rsidRPr="00D9348B">
              <w:rPr>
                <w:rFonts w:cs="Calibri"/>
                <w:szCs w:val="16"/>
              </w:rPr>
              <w:t>683,921</w:t>
            </w:r>
          </w:p>
        </w:tc>
        <w:tc>
          <w:tcPr>
            <w:tcW w:w="907" w:type="dxa"/>
            <w:tcBorders>
              <w:top w:val="single" w:sz="4" w:space="0" w:color="auto"/>
              <w:left w:val="nil"/>
              <w:right w:val="nil"/>
            </w:tcBorders>
          </w:tcPr>
          <w:p w14:paraId="57F37971" w14:textId="77777777" w:rsidR="00627CA1" w:rsidRPr="00D9348B" w:rsidRDefault="00627CA1" w:rsidP="00DB330E">
            <w:pPr>
              <w:pStyle w:val="TableText"/>
              <w:jc w:val="right"/>
              <w:rPr>
                <w:rFonts w:cs="Calibri"/>
                <w:szCs w:val="16"/>
              </w:rPr>
            </w:pPr>
            <w:r w:rsidRPr="00D9348B">
              <w:rPr>
                <w:rFonts w:cs="Calibri"/>
                <w:szCs w:val="16"/>
              </w:rPr>
              <w:t>689,747</w:t>
            </w:r>
          </w:p>
        </w:tc>
        <w:tc>
          <w:tcPr>
            <w:tcW w:w="907" w:type="dxa"/>
            <w:tcBorders>
              <w:top w:val="single" w:sz="4" w:space="0" w:color="auto"/>
              <w:left w:val="nil"/>
              <w:right w:val="nil"/>
            </w:tcBorders>
          </w:tcPr>
          <w:p w14:paraId="3286D678" w14:textId="77777777" w:rsidR="00627CA1" w:rsidRPr="00D9348B" w:rsidRDefault="00627CA1" w:rsidP="00DB330E">
            <w:pPr>
              <w:pStyle w:val="TableText"/>
              <w:jc w:val="right"/>
              <w:rPr>
                <w:rFonts w:cs="Calibri"/>
                <w:szCs w:val="16"/>
              </w:rPr>
            </w:pPr>
            <w:r w:rsidRPr="00D9348B">
              <w:rPr>
                <w:rFonts w:cs="Calibri"/>
                <w:szCs w:val="16"/>
              </w:rPr>
              <w:t>698,497</w:t>
            </w:r>
          </w:p>
        </w:tc>
      </w:tr>
      <w:tr w:rsidR="00627CA1" w:rsidRPr="00D9348B" w14:paraId="1F272918" w14:textId="77777777" w:rsidTr="00DB330E">
        <w:tc>
          <w:tcPr>
            <w:tcW w:w="2495" w:type="dxa"/>
            <w:tcBorders>
              <w:left w:val="nil"/>
              <w:right w:val="nil"/>
            </w:tcBorders>
            <w:shd w:val="clear" w:color="auto" w:fill="auto"/>
            <w:vAlign w:val="center"/>
            <w:hideMark/>
          </w:tcPr>
          <w:p w14:paraId="6724A506" w14:textId="77777777" w:rsidR="00627CA1" w:rsidRPr="00D9348B" w:rsidRDefault="00627CA1" w:rsidP="001F12CA">
            <w:pPr>
              <w:pStyle w:val="TableText"/>
            </w:pPr>
            <w:r w:rsidRPr="00D9348B">
              <w:t>Area in calendar year (ha)</w:t>
            </w:r>
          </w:p>
        </w:tc>
        <w:tc>
          <w:tcPr>
            <w:tcW w:w="907" w:type="dxa"/>
            <w:tcBorders>
              <w:left w:val="nil"/>
              <w:right w:val="nil"/>
            </w:tcBorders>
            <w:shd w:val="clear" w:color="auto" w:fill="auto"/>
            <w:hideMark/>
          </w:tcPr>
          <w:p w14:paraId="03DBD3A4" w14:textId="77777777" w:rsidR="00627CA1" w:rsidRPr="00D9348B" w:rsidRDefault="00627CA1" w:rsidP="001F12CA">
            <w:pPr>
              <w:pStyle w:val="TableText"/>
              <w:jc w:val="right"/>
            </w:pPr>
            <w:r w:rsidRPr="00D9348B">
              <w:t>4,530</w:t>
            </w:r>
          </w:p>
        </w:tc>
        <w:tc>
          <w:tcPr>
            <w:tcW w:w="907" w:type="dxa"/>
            <w:tcBorders>
              <w:left w:val="nil"/>
              <w:right w:val="nil"/>
            </w:tcBorders>
            <w:shd w:val="clear" w:color="auto" w:fill="auto"/>
            <w:hideMark/>
          </w:tcPr>
          <w:p w14:paraId="2352E2BE" w14:textId="77777777" w:rsidR="00627CA1" w:rsidRPr="00D9348B" w:rsidRDefault="00627CA1" w:rsidP="001F12CA">
            <w:pPr>
              <w:pStyle w:val="TableText"/>
              <w:jc w:val="right"/>
            </w:pPr>
            <w:r w:rsidRPr="00D9348B">
              <w:t>3,447</w:t>
            </w:r>
          </w:p>
        </w:tc>
        <w:tc>
          <w:tcPr>
            <w:tcW w:w="907" w:type="dxa"/>
            <w:tcBorders>
              <w:left w:val="nil"/>
              <w:right w:val="nil"/>
            </w:tcBorders>
            <w:shd w:val="clear" w:color="auto" w:fill="auto"/>
            <w:hideMark/>
          </w:tcPr>
          <w:p w14:paraId="3DD15449" w14:textId="77777777" w:rsidR="00627CA1" w:rsidRPr="00D9348B" w:rsidRDefault="00627CA1" w:rsidP="001F12CA">
            <w:pPr>
              <w:pStyle w:val="TableText"/>
              <w:jc w:val="right"/>
            </w:pPr>
            <w:r w:rsidRPr="00D9348B">
              <w:t>3,502</w:t>
            </w:r>
          </w:p>
        </w:tc>
        <w:tc>
          <w:tcPr>
            <w:tcW w:w="907" w:type="dxa"/>
            <w:tcBorders>
              <w:left w:val="nil"/>
              <w:right w:val="nil"/>
            </w:tcBorders>
            <w:shd w:val="clear" w:color="auto" w:fill="auto"/>
            <w:hideMark/>
          </w:tcPr>
          <w:p w14:paraId="229B5661" w14:textId="77777777" w:rsidR="00627CA1" w:rsidRPr="00D9348B" w:rsidRDefault="00627CA1" w:rsidP="001F12CA">
            <w:pPr>
              <w:pStyle w:val="TableText"/>
              <w:jc w:val="right"/>
            </w:pPr>
            <w:r w:rsidRPr="00D9348B">
              <w:t>4,281</w:t>
            </w:r>
          </w:p>
        </w:tc>
        <w:tc>
          <w:tcPr>
            <w:tcW w:w="907" w:type="dxa"/>
            <w:tcBorders>
              <w:left w:val="nil"/>
              <w:right w:val="nil"/>
            </w:tcBorders>
          </w:tcPr>
          <w:p w14:paraId="3C4D8342" w14:textId="77777777" w:rsidR="00627CA1" w:rsidRPr="00D9348B" w:rsidRDefault="00627CA1" w:rsidP="001F12CA">
            <w:pPr>
              <w:pStyle w:val="TableText"/>
              <w:jc w:val="right"/>
            </w:pPr>
            <w:r w:rsidRPr="00D9348B">
              <w:t>6,461</w:t>
            </w:r>
          </w:p>
        </w:tc>
        <w:tc>
          <w:tcPr>
            <w:tcW w:w="907" w:type="dxa"/>
            <w:tcBorders>
              <w:left w:val="nil"/>
              <w:right w:val="nil"/>
            </w:tcBorders>
          </w:tcPr>
          <w:p w14:paraId="04B1416A" w14:textId="77777777" w:rsidR="00627CA1" w:rsidRPr="00D9348B" w:rsidRDefault="00627CA1" w:rsidP="001F12CA">
            <w:pPr>
              <w:pStyle w:val="TableText"/>
              <w:jc w:val="right"/>
            </w:pPr>
            <w:r w:rsidRPr="00D9348B">
              <w:t>9,443</w:t>
            </w:r>
          </w:p>
        </w:tc>
      </w:tr>
      <w:tr w:rsidR="00627CA1" w:rsidRPr="00D9348B" w14:paraId="466BF798" w14:textId="77777777" w:rsidTr="00DB330E">
        <w:tc>
          <w:tcPr>
            <w:tcW w:w="2495" w:type="dxa"/>
            <w:tcBorders>
              <w:left w:val="nil"/>
              <w:bottom w:val="single" w:sz="8" w:space="0" w:color="44546A"/>
              <w:right w:val="nil"/>
            </w:tcBorders>
            <w:shd w:val="clear" w:color="auto" w:fill="auto"/>
            <w:vAlign w:val="center"/>
            <w:hideMark/>
          </w:tcPr>
          <w:p w14:paraId="3C60504A" w14:textId="77777777" w:rsidR="00627CA1" w:rsidRPr="00D9348B" w:rsidRDefault="00627CA1" w:rsidP="00DB330E">
            <w:pPr>
              <w:pStyle w:val="TableText"/>
              <w:rPr>
                <w:rFonts w:cs="Calibri"/>
                <w:szCs w:val="16"/>
              </w:rPr>
            </w:pPr>
            <w:r w:rsidRPr="00D9348B">
              <w:rPr>
                <w:rFonts w:cs="Calibri"/>
                <w:szCs w:val="16"/>
              </w:rPr>
              <w:t>Net emissions in calendar year (kt CO</w:t>
            </w:r>
            <w:r w:rsidRPr="00D9348B">
              <w:rPr>
                <w:rFonts w:cs="Calibri"/>
                <w:szCs w:val="16"/>
                <w:vertAlign w:val="subscript"/>
              </w:rPr>
              <w:t>2</w:t>
            </w:r>
            <w:r w:rsidRPr="00D9348B">
              <w:rPr>
                <w:rFonts w:cs="Calibri"/>
                <w:szCs w:val="16"/>
              </w:rPr>
              <w:t>-e)</w:t>
            </w:r>
          </w:p>
        </w:tc>
        <w:tc>
          <w:tcPr>
            <w:tcW w:w="907" w:type="dxa"/>
            <w:tcBorders>
              <w:left w:val="nil"/>
              <w:bottom w:val="single" w:sz="8" w:space="0" w:color="44546A"/>
              <w:right w:val="nil"/>
            </w:tcBorders>
            <w:shd w:val="clear" w:color="auto" w:fill="auto"/>
            <w:hideMark/>
          </w:tcPr>
          <w:p w14:paraId="55F5072A" w14:textId="77777777" w:rsidR="00627CA1" w:rsidRPr="00D9348B" w:rsidRDefault="00627CA1" w:rsidP="001F12CA">
            <w:pPr>
              <w:pStyle w:val="TableText"/>
              <w:jc w:val="right"/>
            </w:pPr>
            <w:r w:rsidRPr="00D9348B">
              <w:t xml:space="preserve">–17,542.2 </w:t>
            </w:r>
          </w:p>
        </w:tc>
        <w:tc>
          <w:tcPr>
            <w:tcW w:w="907" w:type="dxa"/>
            <w:tcBorders>
              <w:left w:val="nil"/>
              <w:bottom w:val="single" w:sz="8" w:space="0" w:color="44546A"/>
              <w:right w:val="nil"/>
            </w:tcBorders>
            <w:shd w:val="clear" w:color="auto" w:fill="auto"/>
            <w:hideMark/>
          </w:tcPr>
          <w:p w14:paraId="3420BFC2" w14:textId="77777777" w:rsidR="00627CA1" w:rsidRPr="00D9348B" w:rsidRDefault="00627CA1" w:rsidP="001F12CA">
            <w:pPr>
              <w:pStyle w:val="TableText"/>
              <w:jc w:val="right"/>
            </w:pPr>
            <w:r w:rsidRPr="00D9348B">
              <w:t xml:space="preserve">–17,824.5 </w:t>
            </w:r>
          </w:p>
        </w:tc>
        <w:tc>
          <w:tcPr>
            <w:tcW w:w="907" w:type="dxa"/>
            <w:tcBorders>
              <w:left w:val="nil"/>
              <w:bottom w:val="single" w:sz="8" w:space="0" w:color="44546A"/>
              <w:right w:val="nil"/>
            </w:tcBorders>
            <w:shd w:val="clear" w:color="auto" w:fill="auto"/>
            <w:hideMark/>
          </w:tcPr>
          <w:p w14:paraId="676945B9" w14:textId="77777777" w:rsidR="00627CA1" w:rsidRPr="00D9348B" w:rsidRDefault="00627CA1" w:rsidP="001F12CA">
            <w:pPr>
              <w:pStyle w:val="TableText"/>
              <w:jc w:val="right"/>
            </w:pPr>
            <w:r w:rsidRPr="00D9348B">
              <w:t xml:space="preserve">–18,066.9 </w:t>
            </w:r>
          </w:p>
        </w:tc>
        <w:tc>
          <w:tcPr>
            <w:tcW w:w="907" w:type="dxa"/>
            <w:tcBorders>
              <w:left w:val="nil"/>
              <w:bottom w:val="single" w:sz="8" w:space="0" w:color="44546A"/>
              <w:right w:val="nil"/>
            </w:tcBorders>
            <w:shd w:val="clear" w:color="auto" w:fill="auto"/>
            <w:hideMark/>
          </w:tcPr>
          <w:p w14:paraId="4CA4B8A7" w14:textId="77777777" w:rsidR="00627CA1" w:rsidRPr="00D9348B" w:rsidRDefault="00627CA1" w:rsidP="001F12CA">
            <w:pPr>
              <w:pStyle w:val="TableText"/>
              <w:jc w:val="right"/>
            </w:pPr>
            <w:r w:rsidRPr="00D9348B">
              <w:t xml:space="preserve">–17,790.2 </w:t>
            </w:r>
          </w:p>
        </w:tc>
        <w:tc>
          <w:tcPr>
            <w:tcW w:w="907" w:type="dxa"/>
            <w:tcBorders>
              <w:left w:val="nil"/>
              <w:bottom w:val="single" w:sz="8" w:space="0" w:color="44546A"/>
              <w:right w:val="nil"/>
            </w:tcBorders>
          </w:tcPr>
          <w:p w14:paraId="664CAE77" w14:textId="77777777" w:rsidR="00627CA1" w:rsidRPr="00D9348B" w:rsidRDefault="00627CA1" w:rsidP="001F12CA">
            <w:pPr>
              <w:pStyle w:val="TableText"/>
              <w:jc w:val="right"/>
            </w:pPr>
            <w:r w:rsidRPr="00D9348B">
              <w:t xml:space="preserve">–17,790.2 </w:t>
            </w:r>
          </w:p>
        </w:tc>
        <w:tc>
          <w:tcPr>
            <w:tcW w:w="907" w:type="dxa"/>
            <w:tcBorders>
              <w:left w:val="nil"/>
              <w:bottom w:val="single" w:sz="8" w:space="0" w:color="44546A"/>
              <w:right w:val="nil"/>
            </w:tcBorders>
          </w:tcPr>
          <w:p w14:paraId="26CDF63B" w14:textId="77777777" w:rsidR="00627CA1" w:rsidRPr="00D9348B" w:rsidRDefault="00627CA1" w:rsidP="001F12CA">
            <w:pPr>
              <w:pStyle w:val="TableText"/>
              <w:jc w:val="right"/>
            </w:pPr>
            <w:r w:rsidRPr="00D9348B">
              <w:t xml:space="preserve">–17,593.2 </w:t>
            </w:r>
          </w:p>
        </w:tc>
      </w:tr>
      <w:tr w:rsidR="00627CA1" w:rsidRPr="00D9348B" w14:paraId="1EDA178A" w14:textId="77777777" w:rsidTr="00DB330E">
        <w:tc>
          <w:tcPr>
            <w:tcW w:w="2495" w:type="dxa"/>
            <w:tcBorders>
              <w:top w:val="nil"/>
              <w:left w:val="nil"/>
              <w:bottom w:val="single" w:sz="4" w:space="0" w:color="auto"/>
              <w:right w:val="nil"/>
            </w:tcBorders>
            <w:shd w:val="clear" w:color="auto" w:fill="auto"/>
            <w:vAlign w:val="center"/>
            <w:hideMark/>
          </w:tcPr>
          <w:p w14:paraId="37066AF8" w14:textId="77777777" w:rsidR="00627CA1" w:rsidRPr="00D9348B" w:rsidRDefault="00627CA1" w:rsidP="00DB330E">
            <w:pPr>
              <w:pStyle w:val="TableTextBold"/>
              <w:rPr>
                <w:rFonts w:cs="Calibri"/>
                <w:noProof w:val="0"/>
                <w:szCs w:val="16"/>
              </w:rPr>
            </w:pPr>
            <w:r w:rsidRPr="00D9348B">
              <w:rPr>
                <w:rFonts w:cs="Calibri"/>
                <w:noProof w:val="0"/>
                <w:szCs w:val="16"/>
              </w:rPr>
              <w:t>Deforestation</w:t>
            </w:r>
          </w:p>
        </w:tc>
        <w:tc>
          <w:tcPr>
            <w:tcW w:w="907" w:type="dxa"/>
            <w:tcBorders>
              <w:top w:val="nil"/>
              <w:left w:val="nil"/>
              <w:bottom w:val="single" w:sz="4" w:space="0" w:color="auto"/>
              <w:right w:val="nil"/>
            </w:tcBorders>
            <w:shd w:val="clear" w:color="auto" w:fill="auto"/>
            <w:hideMark/>
          </w:tcPr>
          <w:p w14:paraId="0C428364" w14:textId="77777777" w:rsidR="00627CA1" w:rsidRPr="00D9348B" w:rsidRDefault="00627CA1" w:rsidP="00DB330E">
            <w:pPr>
              <w:pStyle w:val="TableTextBold"/>
              <w:jc w:val="right"/>
              <w:rPr>
                <w:rFonts w:cs="Calibri"/>
                <w:noProof w:val="0"/>
                <w:szCs w:val="16"/>
              </w:rPr>
            </w:pPr>
          </w:p>
        </w:tc>
        <w:tc>
          <w:tcPr>
            <w:tcW w:w="907" w:type="dxa"/>
            <w:tcBorders>
              <w:top w:val="nil"/>
              <w:left w:val="nil"/>
              <w:bottom w:val="single" w:sz="4" w:space="0" w:color="auto"/>
              <w:right w:val="nil"/>
            </w:tcBorders>
            <w:shd w:val="clear" w:color="auto" w:fill="auto"/>
            <w:hideMark/>
          </w:tcPr>
          <w:p w14:paraId="6EB737E4" w14:textId="77777777" w:rsidR="00627CA1" w:rsidRPr="00D9348B" w:rsidRDefault="00627CA1" w:rsidP="00DB330E">
            <w:pPr>
              <w:pStyle w:val="TableTextBold"/>
              <w:jc w:val="right"/>
              <w:rPr>
                <w:rFonts w:cs="Calibri"/>
                <w:noProof w:val="0"/>
                <w:szCs w:val="16"/>
              </w:rPr>
            </w:pPr>
          </w:p>
        </w:tc>
        <w:tc>
          <w:tcPr>
            <w:tcW w:w="907" w:type="dxa"/>
            <w:tcBorders>
              <w:top w:val="nil"/>
              <w:left w:val="nil"/>
              <w:bottom w:val="single" w:sz="4" w:space="0" w:color="auto"/>
              <w:right w:val="nil"/>
            </w:tcBorders>
            <w:shd w:val="clear" w:color="auto" w:fill="auto"/>
            <w:hideMark/>
          </w:tcPr>
          <w:p w14:paraId="05E8183F" w14:textId="77777777" w:rsidR="00627CA1" w:rsidRPr="00D9348B" w:rsidRDefault="00627CA1" w:rsidP="00DB330E">
            <w:pPr>
              <w:pStyle w:val="TableTextBold"/>
              <w:jc w:val="right"/>
              <w:rPr>
                <w:rFonts w:cs="Calibri"/>
                <w:noProof w:val="0"/>
                <w:szCs w:val="16"/>
              </w:rPr>
            </w:pPr>
          </w:p>
        </w:tc>
        <w:tc>
          <w:tcPr>
            <w:tcW w:w="907" w:type="dxa"/>
            <w:tcBorders>
              <w:top w:val="nil"/>
              <w:left w:val="nil"/>
              <w:bottom w:val="single" w:sz="4" w:space="0" w:color="auto"/>
              <w:right w:val="nil"/>
            </w:tcBorders>
            <w:shd w:val="clear" w:color="auto" w:fill="auto"/>
            <w:hideMark/>
          </w:tcPr>
          <w:p w14:paraId="33F6EA73" w14:textId="77777777" w:rsidR="00627CA1" w:rsidRPr="00D9348B" w:rsidRDefault="00627CA1" w:rsidP="00DB330E">
            <w:pPr>
              <w:pStyle w:val="TableTextBold"/>
              <w:jc w:val="right"/>
              <w:rPr>
                <w:rFonts w:cs="Calibri"/>
                <w:noProof w:val="0"/>
                <w:szCs w:val="16"/>
              </w:rPr>
            </w:pPr>
          </w:p>
        </w:tc>
        <w:tc>
          <w:tcPr>
            <w:tcW w:w="907" w:type="dxa"/>
            <w:tcBorders>
              <w:top w:val="nil"/>
              <w:left w:val="nil"/>
              <w:bottom w:val="single" w:sz="4" w:space="0" w:color="auto"/>
              <w:right w:val="nil"/>
            </w:tcBorders>
          </w:tcPr>
          <w:p w14:paraId="228D1525" w14:textId="77777777" w:rsidR="00627CA1" w:rsidRPr="00D9348B" w:rsidRDefault="00627CA1" w:rsidP="00DB330E">
            <w:pPr>
              <w:pStyle w:val="TableTextBold"/>
              <w:jc w:val="right"/>
              <w:rPr>
                <w:rFonts w:cs="Calibri"/>
                <w:noProof w:val="0"/>
                <w:szCs w:val="16"/>
              </w:rPr>
            </w:pPr>
          </w:p>
        </w:tc>
        <w:tc>
          <w:tcPr>
            <w:tcW w:w="907" w:type="dxa"/>
            <w:tcBorders>
              <w:top w:val="nil"/>
              <w:left w:val="nil"/>
              <w:bottom w:val="single" w:sz="4" w:space="0" w:color="auto"/>
              <w:right w:val="nil"/>
            </w:tcBorders>
          </w:tcPr>
          <w:p w14:paraId="1970FE57" w14:textId="77777777" w:rsidR="00627CA1" w:rsidRPr="00D9348B" w:rsidRDefault="00627CA1" w:rsidP="00DB330E">
            <w:pPr>
              <w:pStyle w:val="TableTextBold"/>
              <w:jc w:val="right"/>
              <w:rPr>
                <w:rFonts w:cs="Calibri"/>
                <w:noProof w:val="0"/>
                <w:szCs w:val="16"/>
              </w:rPr>
            </w:pPr>
          </w:p>
        </w:tc>
      </w:tr>
      <w:tr w:rsidR="00627CA1" w:rsidRPr="00D9348B" w14:paraId="4E64E554" w14:textId="77777777" w:rsidTr="00DB330E">
        <w:tc>
          <w:tcPr>
            <w:tcW w:w="2495" w:type="dxa"/>
            <w:tcBorders>
              <w:top w:val="single" w:sz="4" w:space="0" w:color="auto"/>
              <w:left w:val="nil"/>
              <w:right w:val="nil"/>
            </w:tcBorders>
            <w:shd w:val="clear" w:color="auto" w:fill="auto"/>
            <w:vAlign w:val="center"/>
            <w:hideMark/>
          </w:tcPr>
          <w:p w14:paraId="2FC5CAFF" w14:textId="77777777" w:rsidR="00627CA1" w:rsidRPr="00D9348B" w:rsidRDefault="00627CA1" w:rsidP="00DB330E">
            <w:pPr>
              <w:pStyle w:val="TableText"/>
              <w:rPr>
                <w:rFonts w:cs="Calibri"/>
                <w:szCs w:val="16"/>
              </w:rPr>
            </w:pPr>
            <w:r w:rsidRPr="00D9348B">
              <w:rPr>
                <w:rFonts w:cs="Calibri"/>
                <w:szCs w:val="16"/>
              </w:rPr>
              <w:t>Net cumulative area since 1990 (ha)</w:t>
            </w:r>
          </w:p>
        </w:tc>
        <w:tc>
          <w:tcPr>
            <w:tcW w:w="907" w:type="dxa"/>
            <w:tcBorders>
              <w:top w:val="single" w:sz="4" w:space="0" w:color="auto"/>
              <w:left w:val="nil"/>
              <w:right w:val="nil"/>
            </w:tcBorders>
            <w:shd w:val="clear" w:color="auto" w:fill="auto"/>
            <w:hideMark/>
          </w:tcPr>
          <w:p w14:paraId="52096583" w14:textId="77777777" w:rsidR="00627CA1" w:rsidRPr="00D9348B" w:rsidRDefault="00627CA1" w:rsidP="00DB330E">
            <w:pPr>
              <w:pStyle w:val="TableText"/>
              <w:jc w:val="right"/>
              <w:rPr>
                <w:rFonts w:cs="Calibri"/>
                <w:szCs w:val="16"/>
              </w:rPr>
            </w:pPr>
            <w:r w:rsidRPr="00D9348B">
              <w:rPr>
                <w:rFonts w:cs="Calibri"/>
                <w:color w:val="000000"/>
                <w:szCs w:val="16"/>
              </w:rPr>
              <w:t>176,101</w:t>
            </w:r>
          </w:p>
        </w:tc>
        <w:tc>
          <w:tcPr>
            <w:tcW w:w="907" w:type="dxa"/>
            <w:tcBorders>
              <w:top w:val="single" w:sz="4" w:space="0" w:color="auto"/>
              <w:left w:val="nil"/>
              <w:right w:val="nil"/>
            </w:tcBorders>
            <w:shd w:val="clear" w:color="auto" w:fill="auto"/>
            <w:hideMark/>
          </w:tcPr>
          <w:p w14:paraId="4D883A5D" w14:textId="77777777" w:rsidR="00627CA1" w:rsidRPr="00D9348B" w:rsidRDefault="00627CA1" w:rsidP="00DB330E">
            <w:pPr>
              <w:pStyle w:val="TableText"/>
              <w:jc w:val="right"/>
              <w:rPr>
                <w:rFonts w:cs="Calibri"/>
                <w:szCs w:val="16"/>
              </w:rPr>
            </w:pPr>
            <w:r w:rsidRPr="00D9348B">
              <w:rPr>
                <w:rFonts w:cs="Calibri"/>
                <w:color w:val="000000"/>
                <w:szCs w:val="16"/>
              </w:rPr>
              <w:t>184,637</w:t>
            </w:r>
          </w:p>
        </w:tc>
        <w:tc>
          <w:tcPr>
            <w:tcW w:w="907" w:type="dxa"/>
            <w:tcBorders>
              <w:top w:val="single" w:sz="4" w:space="0" w:color="auto"/>
              <w:left w:val="nil"/>
              <w:right w:val="nil"/>
            </w:tcBorders>
            <w:shd w:val="clear" w:color="auto" w:fill="auto"/>
            <w:hideMark/>
          </w:tcPr>
          <w:p w14:paraId="7E33F193" w14:textId="77777777" w:rsidR="00627CA1" w:rsidRPr="00D9348B" w:rsidRDefault="00627CA1" w:rsidP="00DB330E">
            <w:pPr>
              <w:pStyle w:val="TableText"/>
              <w:jc w:val="right"/>
              <w:rPr>
                <w:rFonts w:cs="Calibri"/>
                <w:szCs w:val="16"/>
              </w:rPr>
            </w:pPr>
            <w:r w:rsidRPr="00D9348B">
              <w:rPr>
                <w:rFonts w:cs="Calibri"/>
                <w:color w:val="000000"/>
                <w:szCs w:val="16"/>
              </w:rPr>
              <w:t>190,560</w:t>
            </w:r>
          </w:p>
        </w:tc>
        <w:tc>
          <w:tcPr>
            <w:tcW w:w="907" w:type="dxa"/>
            <w:tcBorders>
              <w:top w:val="single" w:sz="4" w:space="0" w:color="auto"/>
              <w:left w:val="nil"/>
              <w:right w:val="nil"/>
            </w:tcBorders>
            <w:shd w:val="clear" w:color="auto" w:fill="auto"/>
            <w:hideMark/>
          </w:tcPr>
          <w:p w14:paraId="29C794E8" w14:textId="77777777" w:rsidR="00627CA1" w:rsidRPr="00D9348B" w:rsidRDefault="00627CA1" w:rsidP="00DB330E">
            <w:pPr>
              <w:pStyle w:val="TableText"/>
              <w:jc w:val="right"/>
              <w:rPr>
                <w:rFonts w:cs="Calibri"/>
                <w:szCs w:val="16"/>
              </w:rPr>
            </w:pPr>
            <w:r w:rsidRPr="00D9348B">
              <w:rPr>
                <w:rFonts w:cs="Calibri"/>
                <w:color w:val="000000"/>
                <w:szCs w:val="16"/>
              </w:rPr>
              <w:t>193,974</w:t>
            </w:r>
          </w:p>
        </w:tc>
        <w:tc>
          <w:tcPr>
            <w:tcW w:w="907" w:type="dxa"/>
            <w:tcBorders>
              <w:top w:val="single" w:sz="4" w:space="0" w:color="auto"/>
              <w:left w:val="nil"/>
              <w:right w:val="nil"/>
            </w:tcBorders>
          </w:tcPr>
          <w:p w14:paraId="68A84F89" w14:textId="77777777" w:rsidR="00627CA1" w:rsidRPr="00D9348B" w:rsidRDefault="00627CA1" w:rsidP="00DB330E">
            <w:pPr>
              <w:pStyle w:val="TableText"/>
              <w:jc w:val="right"/>
              <w:rPr>
                <w:rFonts w:cs="Calibri"/>
                <w:szCs w:val="16"/>
              </w:rPr>
            </w:pPr>
            <w:r w:rsidRPr="00D9348B">
              <w:rPr>
                <w:rFonts w:cs="Calibri"/>
                <w:color w:val="000000"/>
                <w:szCs w:val="16"/>
              </w:rPr>
              <w:t>197,466</w:t>
            </w:r>
          </w:p>
        </w:tc>
        <w:tc>
          <w:tcPr>
            <w:tcW w:w="907" w:type="dxa"/>
            <w:tcBorders>
              <w:top w:val="single" w:sz="4" w:space="0" w:color="auto"/>
              <w:left w:val="nil"/>
              <w:right w:val="nil"/>
            </w:tcBorders>
          </w:tcPr>
          <w:p w14:paraId="1C003102" w14:textId="77777777" w:rsidR="00627CA1" w:rsidRPr="00D9348B" w:rsidRDefault="00627CA1" w:rsidP="00DB330E">
            <w:pPr>
              <w:pStyle w:val="TableText"/>
              <w:jc w:val="right"/>
              <w:rPr>
                <w:rFonts w:cs="Calibri"/>
                <w:szCs w:val="16"/>
              </w:rPr>
            </w:pPr>
            <w:r w:rsidRPr="00D9348B">
              <w:rPr>
                <w:rFonts w:cs="Calibri"/>
                <w:color w:val="000000"/>
                <w:szCs w:val="16"/>
              </w:rPr>
              <w:t>201,206</w:t>
            </w:r>
          </w:p>
        </w:tc>
      </w:tr>
      <w:tr w:rsidR="00627CA1" w:rsidRPr="00D9348B" w14:paraId="1080BD08" w14:textId="77777777" w:rsidTr="00DB330E">
        <w:tc>
          <w:tcPr>
            <w:tcW w:w="2495" w:type="dxa"/>
            <w:tcBorders>
              <w:left w:val="nil"/>
              <w:right w:val="nil"/>
            </w:tcBorders>
            <w:shd w:val="clear" w:color="auto" w:fill="auto"/>
            <w:vAlign w:val="center"/>
            <w:hideMark/>
          </w:tcPr>
          <w:p w14:paraId="0FBEABEC" w14:textId="77777777" w:rsidR="00627CA1" w:rsidRPr="00D9348B" w:rsidRDefault="00627CA1" w:rsidP="00DB330E">
            <w:pPr>
              <w:pStyle w:val="TableText"/>
              <w:rPr>
                <w:rFonts w:cs="Calibri"/>
                <w:szCs w:val="16"/>
              </w:rPr>
            </w:pPr>
            <w:r w:rsidRPr="00D9348B">
              <w:rPr>
                <w:rFonts w:cs="Calibri"/>
                <w:szCs w:val="16"/>
              </w:rPr>
              <w:t>Area in calendar year (ha)</w:t>
            </w:r>
          </w:p>
        </w:tc>
        <w:tc>
          <w:tcPr>
            <w:tcW w:w="907" w:type="dxa"/>
            <w:tcBorders>
              <w:left w:val="nil"/>
              <w:right w:val="nil"/>
            </w:tcBorders>
            <w:shd w:val="clear" w:color="auto" w:fill="auto"/>
            <w:hideMark/>
          </w:tcPr>
          <w:p w14:paraId="20D63F7F" w14:textId="77777777" w:rsidR="00627CA1" w:rsidRPr="00D9348B" w:rsidRDefault="00627CA1" w:rsidP="00DB330E">
            <w:pPr>
              <w:pStyle w:val="TableText"/>
              <w:jc w:val="right"/>
              <w:rPr>
                <w:rFonts w:cs="Calibri"/>
                <w:szCs w:val="16"/>
              </w:rPr>
            </w:pPr>
            <w:r w:rsidRPr="00D9348B">
              <w:rPr>
                <w:rFonts w:cs="Calibri"/>
                <w:color w:val="000000"/>
                <w:szCs w:val="16"/>
              </w:rPr>
              <w:t>14,232</w:t>
            </w:r>
          </w:p>
        </w:tc>
        <w:tc>
          <w:tcPr>
            <w:tcW w:w="907" w:type="dxa"/>
            <w:tcBorders>
              <w:left w:val="nil"/>
              <w:right w:val="nil"/>
            </w:tcBorders>
            <w:shd w:val="clear" w:color="auto" w:fill="auto"/>
            <w:hideMark/>
          </w:tcPr>
          <w:p w14:paraId="564EBEE8" w14:textId="77777777" w:rsidR="00627CA1" w:rsidRPr="00D9348B" w:rsidRDefault="00627CA1" w:rsidP="00DB330E">
            <w:pPr>
              <w:pStyle w:val="TableText"/>
              <w:jc w:val="right"/>
              <w:rPr>
                <w:rFonts w:cs="Calibri"/>
                <w:szCs w:val="16"/>
              </w:rPr>
            </w:pPr>
            <w:r w:rsidRPr="00D9348B">
              <w:rPr>
                <w:rFonts w:cs="Calibri"/>
                <w:color w:val="000000"/>
                <w:szCs w:val="16"/>
              </w:rPr>
              <w:t>8,536</w:t>
            </w:r>
          </w:p>
        </w:tc>
        <w:tc>
          <w:tcPr>
            <w:tcW w:w="907" w:type="dxa"/>
            <w:tcBorders>
              <w:left w:val="nil"/>
              <w:right w:val="nil"/>
            </w:tcBorders>
            <w:shd w:val="clear" w:color="auto" w:fill="auto"/>
            <w:hideMark/>
          </w:tcPr>
          <w:p w14:paraId="25FEA6F8" w14:textId="77777777" w:rsidR="00627CA1" w:rsidRPr="00D9348B" w:rsidRDefault="00627CA1" w:rsidP="00DB330E">
            <w:pPr>
              <w:pStyle w:val="TableText"/>
              <w:jc w:val="right"/>
              <w:rPr>
                <w:rFonts w:cs="Calibri"/>
                <w:szCs w:val="16"/>
                <w:vertAlign w:val="superscript"/>
              </w:rPr>
            </w:pPr>
            <w:r w:rsidRPr="00D9348B">
              <w:rPr>
                <w:rFonts w:cs="Calibri"/>
                <w:color w:val="000000"/>
                <w:szCs w:val="16"/>
              </w:rPr>
              <w:t>5,923</w:t>
            </w:r>
          </w:p>
        </w:tc>
        <w:tc>
          <w:tcPr>
            <w:tcW w:w="907" w:type="dxa"/>
            <w:tcBorders>
              <w:left w:val="nil"/>
              <w:right w:val="nil"/>
            </w:tcBorders>
            <w:shd w:val="clear" w:color="auto" w:fill="auto"/>
            <w:hideMark/>
          </w:tcPr>
          <w:p w14:paraId="35584605" w14:textId="77777777" w:rsidR="00627CA1" w:rsidRPr="00D9348B" w:rsidRDefault="00627CA1" w:rsidP="00DB330E">
            <w:pPr>
              <w:pStyle w:val="TableText"/>
              <w:jc w:val="right"/>
              <w:rPr>
                <w:rFonts w:cs="Calibri"/>
                <w:szCs w:val="16"/>
              </w:rPr>
            </w:pPr>
            <w:r w:rsidRPr="00D9348B">
              <w:rPr>
                <w:rFonts w:cs="Calibri"/>
                <w:color w:val="000000"/>
                <w:szCs w:val="16"/>
              </w:rPr>
              <w:t>3,414</w:t>
            </w:r>
          </w:p>
        </w:tc>
        <w:tc>
          <w:tcPr>
            <w:tcW w:w="907" w:type="dxa"/>
            <w:tcBorders>
              <w:left w:val="nil"/>
              <w:right w:val="nil"/>
            </w:tcBorders>
          </w:tcPr>
          <w:p w14:paraId="16830410" w14:textId="77777777" w:rsidR="00627CA1" w:rsidRPr="00D9348B" w:rsidRDefault="00627CA1" w:rsidP="00DB330E">
            <w:pPr>
              <w:pStyle w:val="TableText"/>
              <w:jc w:val="right"/>
              <w:rPr>
                <w:rFonts w:cs="Calibri"/>
                <w:szCs w:val="16"/>
              </w:rPr>
            </w:pPr>
            <w:r w:rsidRPr="00D9348B">
              <w:rPr>
                <w:rFonts w:cs="Calibri"/>
                <w:color w:val="000000"/>
                <w:szCs w:val="16"/>
              </w:rPr>
              <w:t>3,493</w:t>
            </w:r>
          </w:p>
        </w:tc>
        <w:tc>
          <w:tcPr>
            <w:tcW w:w="907" w:type="dxa"/>
            <w:tcBorders>
              <w:left w:val="nil"/>
              <w:right w:val="nil"/>
            </w:tcBorders>
          </w:tcPr>
          <w:p w14:paraId="3B3F8FE9" w14:textId="77777777" w:rsidR="00627CA1" w:rsidRPr="00D9348B" w:rsidRDefault="00627CA1" w:rsidP="00DB330E">
            <w:pPr>
              <w:pStyle w:val="TableText"/>
              <w:jc w:val="right"/>
              <w:rPr>
                <w:rFonts w:cs="Calibri"/>
                <w:color w:val="000000"/>
                <w:szCs w:val="16"/>
              </w:rPr>
            </w:pPr>
            <w:r w:rsidRPr="00D9348B">
              <w:rPr>
                <w:rFonts w:cs="Calibri"/>
                <w:color w:val="000000"/>
                <w:szCs w:val="16"/>
              </w:rPr>
              <w:t>3,740</w:t>
            </w:r>
          </w:p>
        </w:tc>
      </w:tr>
      <w:tr w:rsidR="00627CA1" w:rsidRPr="00D9348B" w14:paraId="42C53673" w14:textId="77777777" w:rsidTr="00DB330E">
        <w:tc>
          <w:tcPr>
            <w:tcW w:w="2495" w:type="dxa"/>
            <w:tcBorders>
              <w:left w:val="nil"/>
              <w:bottom w:val="single" w:sz="8" w:space="0" w:color="44546A"/>
              <w:right w:val="nil"/>
            </w:tcBorders>
            <w:shd w:val="clear" w:color="auto" w:fill="auto"/>
            <w:vAlign w:val="center"/>
            <w:hideMark/>
          </w:tcPr>
          <w:p w14:paraId="35E09826" w14:textId="77777777" w:rsidR="00627CA1" w:rsidRPr="00D9348B" w:rsidRDefault="00627CA1" w:rsidP="00DB330E">
            <w:pPr>
              <w:pStyle w:val="TableText"/>
              <w:rPr>
                <w:rFonts w:cs="Calibri"/>
                <w:szCs w:val="16"/>
              </w:rPr>
            </w:pPr>
            <w:r w:rsidRPr="00D9348B">
              <w:rPr>
                <w:rFonts w:cs="Calibri"/>
                <w:szCs w:val="16"/>
              </w:rPr>
              <w:t>Net emissions in calendar year (kt CO</w:t>
            </w:r>
            <w:r w:rsidRPr="00D9348B">
              <w:rPr>
                <w:rFonts w:cs="Calibri"/>
                <w:szCs w:val="16"/>
                <w:vertAlign w:val="subscript"/>
              </w:rPr>
              <w:t>2</w:t>
            </w:r>
            <w:r w:rsidRPr="00D9348B">
              <w:rPr>
                <w:rFonts w:cs="Calibri"/>
                <w:szCs w:val="16"/>
              </w:rPr>
              <w:t>-e)</w:t>
            </w:r>
          </w:p>
        </w:tc>
        <w:tc>
          <w:tcPr>
            <w:tcW w:w="907" w:type="dxa"/>
            <w:tcBorders>
              <w:left w:val="nil"/>
              <w:bottom w:val="single" w:sz="8" w:space="0" w:color="44546A"/>
              <w:right w:val="nil"/>
            </w:tcBorders>
            <w:shd w:val="clear" w:color="auto" w:fill="auto"/>
            <w:hideMark/>
          </w:tcPr>
          <w:p w14:paraId="0439C525" w14:textId="77777777" w:rsidR="00627CA1" w:rsidRPr="00D9348B" w:rsidRDefault="00627CA1" w:rsidP="00DB330E">
            <w:pPr>
              <w:pStyle w:val="TableText"/>
              <w:jc w:val="right"/>
              <w:rPr>
                <w:rFonts w:cs="Calibri"/>
                <w:szCs w:val="16"/>
              </w:rPr>
            </w:pPr>
            <w:r w:rsidRPr="00D9348B">
              <w:rPr>
                <w:rFonts w:cs="Calibri"/>
                <w:color w:val="000000"/>
                <w:szCs w:val="16"/>
              </w:rPr>
              <w:t>9,525.6</w:t>
            </w:r>
          </w:p>
        </w:tc>
        <w:tc>
          <w:tcPr>
            <w:tcW w:w="907" w:type="dxa"/>
            <w:tcBorders>
              <w:left w:val="nil"/>
              <w:bottom w:val="single" w:sz="8" w:space="0" w:color="44546A"/>
              <w:right w:val="nil"/>
            </w:tcBorders>
            <w:shd w:val="clear" w:color="auto" w:fill="auto"/>
            <w:hideMark/>
          </w:tcPr>
          <w:p w14:paraId="374CE007" w14:textId="77777777" w:rsidR="00627CA1" w:rsidRPr="00D9348B" w:rsidRDefault="00627CA1" w:rsidP="00DB330E">
            <w:pPr>
              <w:pStyle w:val="TableText"/>
              <w:jc w:val="right"/>
              <w:rPr>
                <w:rFonts w:cs="Calibri"/>
                <w:szCs w:val="16"/>
              </w:rPr>
            </w:pPr>
            <w:r w:rsidRPr="00D9348B">
              <w:rPr>
                <w:rFonts w:cs="Calibri"/>
                <w:color w:val="000000"/>
                <w:szCs w:val="16"/>
              </w:rPr>
              <w:t>5,667.4</w:t>
            </w:r>
          </w:p>
        </w:tc>
        <w:tc>
          <w:tcPr>
            <w:tcW w:w="907" w:type="dxa"/>
            <w:tcBorders>
              <w:left w:val="nil"/>
              <w:bottom w:val="single" w:sz="8" w:space="0" w:color="44546A"/>
              <w:right w:val="nil"/>
            </w:tcBorders>
            <w:shd w:val="clear" w:color="auto" w:fill="auto"/>
            <w:hideMark/>
          </w:tcPr>
          <w:p w14:paraId="1B3B403E" w14:textId="77777777" w:rsidR="00627CA1" w:rsidRPr="00D9348B" w:rsidRDefault="00627CA1" w:rsidP="00DB330E">
            <w:pPr>
              <w:pStyle w:val="TableText"/>
              <w:jc w:val="right"/>
              <w:rPr>
                <w:rFonts w:cs="Calibri"/>
                <w:szCs w:val="16"/>
              </w:rPr>
            </w:pPr>
            <w:r w:rsidRPr="00D9348B">
              <w:rPr>
                <w:rFonts w:cs="Calibri"/>
                <w:color w:val="000000"/>
                <w:szCs w:val="16"/>
              </w:rPr>
              <w:t>3,640.3</w:t>
            </w:r>
          </w:p>
        </w:tc>
        <w:tc>
          <w:tcPr>
            <w:tcW w:w="907" w:type="dxa"/>
            <w:tcBorders>
              <w:left w:val="nil"/>
              <w:bottom w:val="single" w:sz="8" w:space="0" w:color="44546A"/>
              <w:right w:val="nil"/>
            </w:tcBorders>
            <w:shd w:val="clear" w:color="auto" w:fill="auto"/>
            <w:hideMark/>
          </w:tcPr>
          <w:p w14:paraId="4B1C39E1" w14:textId="77777777" w:rsidR="00627CA1" w:rsidRPr="00D9348B" w:rsidRDefault="00627CA1" w:rsidP="00DB330E">
            <w:pPr>
              <w:pStyle w:val="TableText"/>
              <w:jc w:val="right"/>
              <w:rPr>
                <w:rFonts w:cs="Calibri"/>
                <w:szCs w:val="16"/>
              </w:rPr>
            </w:pPr>
            <w:r w:rsidRPr="00D9348B">
              <w:rPr>
                <w:rFonts w:cs="Calibri"/>
                <w:color w:val="000000"/>
                <w:szCs w:val="16"/>
              </w:rPr>
              <w:t>1,821.5</w:t>
            </w:r>
          </w:p>
        </w:tc>
        <w:tc>
          <w:tcPr>
            <w:tcW w:w="907" w:type="dxa"/>
            <w:tcBorders>
              <w:left w:val="nil"/>
              <w:bottom w:val="single" w:sz="8" w:space="0" w:color="44546A"/>
              <w:right w:val="nil"/>
            </w:tcBorders>
          </w:tcPr>
          <w:p w14:paraId="14E53ECA" w14:textId="77777777" w:rsidR="00627CA1" w:rsidRPr="00D9348B" w:rsidRDefault="00627CA1" w:rsidP="00DB330E">
            <w:pPr>
              <w:pStyle w:val="TableText"/>
              <w:jc w:val="right"/>
              <w:rPr>
                <w:rFonts w:cs="Calibri"/>
                <w:szCs w:val="16"/>
              </w:rPr>
            </w:pPr>
            <w:r w:rsidRPr="00D9348B">
              <w:rPr>
                <w:rFonts w:cs="Calibri"/>
                <w:color w:val="000000"/>
                <w:szCs w:val="16"/>
              </w:rPr>
              <w:t>1,977.1</w:t>
            </w:r>
          </w:p>
        </w:tc>
        <w:tc>
          <w:tcPr>
            <w:tcW w:w="907" w:type="dxa"/>
            <w:tcBorders>
              <w:left w:val="nil"/>
              <w:bottom w:val="single" w:sz="8" w:space="0" w:color="44546A"/>
              <w:right w:val="nil"/>
            </w:tcBorders>
          </w:tcPr>
          <w:p w14:paraId="39A67AE3" w14:textId="77777777" w:rsidR="00627CA1" w:rsidRPr="00D9348B" w:rsidRDefault="00627CA1" w:rsidP="00DB330E">
            <w:pPr>
              <w:pStyle w:val="TableText"/>
              <w:jc w:val="right"/>
              <w:rPr>
                <w:rFonts w:cs="Calibri"/>
                <w:szCs w:val="16"/>
              </w:rPr>
            </w:pPr>
            <w:r w:rsidRPr="00D9348B">
              <w:rPr>
                <w:rFonts w:cs="Calibri"/>
                <w:color w:val="000000"/>
                <w:szCs w:val="16"/>
              </w:rPr>
              <w:t>2,146.2</w:t>
            </w:r>
          </w:p>
        </w:tc>
      </w:tr>
      <w:tr w:rsidR="00627CA1" w:rsidRPr="00D9348B" w14:paraId="57AF90E6" w14:textId="77777777" w:rsidTr="00DB330E">
        <w:tc>
          <w:tcPr>
            <w:tcW w:w="2495" w:type="dxa"/>
            <w:tcBorders>
              <w:top w:val="nil"/>
              <w:left w:val="nil"/>
              <w:bottom w:val="single" w:sz="4" w:space="0" w:color="auto"/>
              <w:right w:val="nil"/>
            </w:tcBorders>
            <w:shd w:val="clear" w:color="auto" w:fill="auto"/>
            <w:vAlign w:val="center"/>
            <w:hideMark/>
          </w:tcPr>
          <w:p w14:paraId="22C6A768" w14:textId="77777777" w:rsidR="00627CA1" w:rsidRPr="00D9348B" w:rsidRDefault="00627CA1" w:rsidP="00DB330E">
            <w:pPr>
              <w:pStyle w:val="TableTextBold"/>
              <w:rPr>
                <w:rFonts w:cs="Calibri"/>
                <w:noProof w:val="0"/>
                <w:szCs w:val="16"/>
              </w:rPr>
            </w:pPr>
            <w:r w:rsidRPr="00D9348B">
              <w:rPr>
                <w:rFonts w:cs="Calibri"/>
                <w:noProof w:val="0"/>
                <w:szCs w:val="16"/>
              </w:rPr>
              <w:t>Forest management</w:t>
            </w:r>
          </w:p>
        </w:tc>
        <w:tc>
          <w:tcPr>
            <w:tcW w:w="907" w:type="dxa"/>
            <w:tcBorders>
              <w:top w:val="nil"/>
              <w:left w:val="nil"/>
              <w:bottom w:val="single" w:sz="4" w:space="0" w:color="auto"/>
              <w:right w:val="nil"/>
            </w:tcBorders>
            <w:shd w:val="clear" w:color="auto" w:fill="auto"/>
            <w:hideMark/>
          </w:tcPr>
          <w:p w14:paraId="3A10FB27" w14:textId="77777777" w:rsidR="00627CA1" w:rsidRPr="00D9348B" w:rsidRDefault="00627CA1" w:rsidP="00DB330E">
            <w:pPr>
              <w:pStyle w:val="TableTextBold"/>
              <w:jc w:val="right"/>
              <w:rPr>
                <w:rFonts w:cs="Calibri"/>
                <w:noProof w:val="0"/>
                <w:szCs w:val="16"/>
              </w:rPr>
            </w:pPr>
          </w:p>
        </w:tc>
        <w:tc>
          <w:tcPr>
            <w:tcW w:w="907" w:type="dxa"/>
            <w:tcBorders>
              <w:top w:val="nil"/>
              <w:left w:val="nil"/>
              <w:bottom w:val="single" w:sz="4" w:space="0" w:color="auto"/>
              <w:right w:val="nil"/>
            </w:tcBorders>
            <w:shd w:val="clear" w:color="auto" w:fill="auto"/>
            <w:hideMark/>
          </w:tcPr>
          <w:p w14:paraId="387FCDC0" w14:textId="77777777" w:rsidR="00627CA1" w:rsidRPr="00D9348B" w:rsidRDefault="00627CA1" w:rsidP="00DB330E">
            <w:pPr>
              <w:pStyle w:val="TableTextBold"/>
              <w:jc w:val="right"/>
              <w:rPr>
                <w:rFonts w:cs="Calibri"/>
                <w:noProof w:val="0"/>
                <w:szCs w:val="16"/>
              </w:rPr>
            </w:pPr>
          </w:p>
        </w:tc>
        <w:tc>
          <w:tcPr>
            <w:tcW w:w="907" w:type="dxa"/>
            <w:tcBorders>
              <w:top w:val="nil"/>
              <w:left w:val="nil"/>
              <w:bottom w:val="single" w:sz="4" w:space="0" w:color="auto"/>
              <w:right w:val="nil"/>
            </w:tcBorders>
            <w:shd w:val="clear" w:color="auto" w:fill="auto"/>
            <w:hideMark/>
          </w:tcPr>
          <w:p w14:paraId="1A051CA3" w14:textId="77777777" w:rsidR="00627CA1" w:rsidRPr="00D9348B" w:rsidRDefault="00627CA1" w:rsidP="00DB330E">
            <w:pPr>
              <w:pStyle w:val="TableTextBold"/>
              <w:jc w:val="right"/>
              <w:rPr>
                <w:rFonts w:cs="Calibri"/>
                <w:noProof w:val="0"/>
                <w:szCs w:val="16"/>
              </w:rPr>
            </w:pPr>
          </w:p>
        </w:tc>
        <w:tc>
          <w:tcPr>
            <w:tcW w:w="907" w:type="dxa"/>
            <w:tcBorders>
              <w:top w:val="nil"/>
              <w:left w:val="nil"/>
              <w:bottom w:val="single" w:sz="4" w:space="0" w:color="auto"/>
              <w:right w:val="nil"/>
            </w:tcBorders>
            <w:shd w:val="clear" w:color="auto" w:fill="auto"/>
            <w:hideMark/>
          </w:tcPr>
          <w:p w14:paraId="5128638B" w14:textId="77777777" w:rsidR="00627CA1" w:rsidRPr="00D9348B" w:rsidRDefault="00627CA1" w:rsidP="00DB330E">
            <w:pPr>
              <w:pStyle w:val="TableTextBold"/>
              <w:jc w:val="right"/>
              <w:rPr>
                <w:rFonts w:cs="Calibri"/>
                <w:noProof w:val="0"/>
                <w:szCs w:val="16"/>
              </w:rPr>
            </w:pPr>
          </w:p>
        </w:tc>
        <w:tc>
          <w:tcPr>
            <w:tcW w:w="907" w:type="dxa"/>
            <w:tcBorders>
              <w:top w:val="nil"/>
              <w:left w:val="nil"/>
              <w:bottom w:val="single" w:sz="4" w:space="0" w:color="auto"/>
              <w:right w:val="nil"/>
            </w:tcBorders>
          </w:tcPr>
          <w:p w14:paraId="157FAC88" w14:textId="77777777" w:rsidR="00627CA1" w:rsidRPr="00D9348B" w:rsidRDefault="00627CA1" w:rsidP="00DB330E">
            <w:pPr>
              <w:pStyle w:val="TableTextBold"/>
              <w:jc w:val="right"/>
              <w:rPr>
                <w:rFonts w:cs="Calibri"/>
                <w:noProof w:val="0"/>
                <w:szCs w:val="16"/>
              </w:rPr>
            </w:pPr>
          </w:p>
        </w:tc>
        <w:tc>
          <w:tcPr>
            <w:tcW w:w="907" w:type="dxa"/>
            <w:tcBorders>
              <w:top w:val="nil"/>
              <w:left w:val="nil"/>
              <w:bottom w:val="single" w:sz="4" w:space="0" w:color="auto"/>
              <w:right w:val="nil"/>
            </w:tcBorders>
          </w:tcPr>
          <w:p w14:paraId="5E0A997F" w14:textId="77777777" w:rsidR="00627CA1" w:rsidRPr="00D9348B" w:rsidRDefault="00627CA1" w:rsidP="00DB330E">
            <w:pPr>
              <w:pStyle w:val="TableTextBold"/>
              <w:jc w:val="right"/>
              <w:rPr>
                <w:rFonts w:cs="Calibri"/>
                <w:noProof w:val="0"/>
                <w:szCs w:val="16"/>
              </w:rPr>
            </w:pPr>
          </w:p>
        </w:tc>
      </w:tr>
      <w:tr w:rsidR="00627CA1" w:rsidRPr="00D9348B" w14:paraId="3D81CC70" w14:textId="77777777" w:rsidTr="00DB330E">
        <w:tc>
          <w:tcPr>
            <w:tcW w:w="2495" w:type="dxa"/>
            <w:tcBorders>
              <w:top w:val="single" w:sz="4" w:space="0" w:color="auto"/>
              <w:left w:val="nil"/>
              <w:right w:val="nil"/>
            </w:tcBorders>
            <w:shd w:val="clear" w:color="auto" w:fill="auto"/>
            <w:vAlign w:val="center"/>
            <w:hideMark/>
          </w:tcPr>
          <w:p w14:paraId="0556B9C0" w14:textId="77777777" w:rsidR="00627CA1" w:rsidRPr="00D9348B" w:rsidRDefault="00627CA1" w:rsidP="00DB330E">
            <w:pPr>
              <w:pStyle w:val="TableText"/>
              <w:rPr>
                <w:rFonts w:cs="Calibri"/>
                <w:szCs w:val="16"/>
              </w:rPr>
            </w:pPr>
            <w:r w:rsidRPr="00D9348B">
              <w:rPr>
                <w:rFonts w:cs="Calibri"/>
                <w:szCs w:val="16"/>
              </w:rPr>
              <w:t>Area included (ha)</w:t>
            </w:r>
          </w:p>
        </w:tc>
        <w:tc>
          <w:tcPr>
            <w:tcW w:w="907" w:type="dxa"/>
            <w:tcBorders>
              <w:top w:val="single" w:sz="4" w:space="0" w:color="auto"/>
              <w:left w:val="nil"/>
              <w:right w:val="nil"/>
            </w:tcBorders>
            <w:shd w:val="clear" w:color="auto" w:fill="auto"/>
            <w:hideMark/>
          </w:tcPr>
          <w:p w14:paraId="6B20A754" w14:textId="77777777" w:rsidR="00627CA1" w:rsidRPr="00D9348B" w:rsidRDefault="00627CA1" w:rsidP="00DB330E">
            <w:pPr>
              <w:pStyle w:val="TableText"/>
              <w:jc w:val="right"/>
              <w:rPr>
                <w:rFonts w:cs="Calibri"/>
                <w:szCs w:val="16"/>
              </w:rPr>
            </w:pPr>
            <w:r w:rsidRPr="00D9348B">
              <w:rPr>
                <w:rFonts w:cs="Calibri"/>
                <w:color w:val="000000"/>
                <w:szCs w:val="16"/>
              </w:rPr>
              <w:t>9,224,080</w:t>
            </w:r>
          </w:p>
        </w:tc>
        <w:tc>
          <w:tcPr>
            <w:tcW w:w="907" w:type="dxa"/>
            <w:tcBorders>
              <w:top w:val="single" w:sz="4" w:space="0" w:color="auto"/>
              <w:left w:val="nil"/>
              <w:right w:val="nil"/>
            </w:tcBorders>
            <w:shd w:val="clear" w:color="auto" w:fill="auto"/>
            <w:hideMark/>
          </w:tcPr>
          <w:p w14:paraId="5EC044A3" w14:textId="77777777" w:rsidR="00627CA1" w:rsidRPr="00D9348B" w:rsidRDefault="00627CA1" w:rsidP="00DB330E">
            <w:pPr>
              <w:pStyle w:val="TableText"/>
              <w:jc w:val="right"/>
              <w:rPr>
                <w:rFonts w:cs="Calibri"/>
                <w:szCs w:val="16"/>
              </w:rPr>
            </w:pPr>
            <w:r w:rsidRPr="00D9348B">
              <w:rPr>
                <w:rFonts w:cs="Calibri"/>
                <w:color w:val="000000"/>
                <w:szCs w:val="16"/>
              </w:rPr>
              <w:t>9,217,093</w:t>
            </w:r>
          </w:p>
        </w:tc>
        <w:tc>
          <w:tcPr>
            <w:tcW w:w="907" w:type="dxa"/>
            <w:tcBorders>
              <w:top w:val="single" w:sz="4" w:space="0" w:color="auto"/>
              <w:left w:val="nil"/>
              <w:right w:val="nil"/>
            </w:tcBorders>
            <w:shd w:val="clear" w:color="auto" w:fill="auto"/>
            <w:hideMark/>
          </w:tcPr>
          <w:p w14:paraId="11161CA0" w14:textId="77777777" w:rsidR="00627CA1" w:rsidRPr="00D9348B" w:rsidRDefault="00627CA1" w:rsidP="00DB330E">
            <w:pPr>
              <w:pStyle w:val="TableText"/>
              <w:jc w:val="right"/>
              <w:rPr>
                <w:rFonts w:cs="Calibri"/>
                <w:szCs w:val="16"/>
              </w:rPr>
            </w:pPr>
            <w:r w:rsidRPr="00D9348B">
              <w:rPr>
                <w:rFonts w:cs="Calibri"/>
                <w:color w:val="000000"/>
                <w:szCs w:val="16"/>
              </w:rPr>
              <w:t>9,212,837</w:t>
            </w:r>
          </w:p>
        </w:tc>
        <w:tc>
          <w:tcPr>
            <w:tcW w:w="907" w:type="dxa"/>
            <w:tcBorders>
              <w:top w:val="single" w:sz="4" w:space="0" w:color="auto"/>
              <w:left w:val="nil"/>
              <w:right w:val="nil"/>
            </w:tcBorders>
            <w:shd w:val="clear" w:color="auto" w:fill="auto"/>
            <w:hideMark/>
          </w:tcPr>
          <w:p w14:paraId="1854DFD3" w14:textId="77777777" w:rsidR="00627CA1" w:rsidRPr="00D9348B" w:rsidRDefault="00627CA1" w:rsidP="00DB330E">
            <w:pPr>
              <w:pStyle w:val="TableText"/>
              <w:jc w:val="right"/>
              <w:rPr>
                <w:rFonts w:cs="Calibri"/>
                <w:szCs w:val="16"/>
              </w:rPr>
            </w:pPr>
            <w:r w:rsidRPr="00D9348B">
              <w:rPr>
                <w:rFonts w:cs="Calibri"/>
                <w:color w:val="000000"/>
                <w:szCs w:val="16"/>
              </w:rPr>
              <w:t>9,211,357</w:t>
            </w:r>
          </w:p>
        </w:tc>
        <w:tc>
          <w:tcPr>
            <w:tcW w:w="907" w:type="dxa"/>
            <w:tcBorders>
              <w:top w:val="single" w:sz="4" w:space="0" w:color="auto"/>
              <w:left w:val="nil"/>
              <w:right w:val="nil"/>
            </w:tcBorders>
          </w:tcPr>
          <w:p w14:paraId="0B1B4FE3" w14:textId="77777777" w:rsidR="00627CA1" w:rsidRPr="00D9348B" w:rsidRDefault="00627CA1" w:rsidP="00DB330E">
            <w:pPr>
              <w:pStyle w:val="TableText"/>
              <w:jc w:val="right"/>
              <w:rPr>
                <w:rFonts w:cs="Calibri"/>
                <w:szCs w:val="16"/>
              </w:rPr>
            </w:pPr>
            <w:r w:rsidRPr="00D9348B">
              <w:rPr>
                <w:rFonts w:cs="Calibri"/>
                <w:color w:val="000000"/>
                <w:szCs w:val="16"/>
              </w:rPr>
              <w:t>9,210,186</w:t>
            </w:r>
          </w:p>
        </w:tc>
        <w:tc>
          <w:tcPr>
            <w:tcW w:w="907" w:type="dxa"/>
            <w:tcBorders>
              <w:top w:val="single" w:sz="4" w:space="0" w:color="auto"/>
              <w:left w:val="nil"/>
              <w:right w:val="nil"/>
            </w:tcBorders>
          </w:tcPr>
          <w:p w14:paraId="31D46DB7" w14:textId="77777777" w:rsidR="00627CA1" w:rsidRPr="00D9348B" w:rsidRDefault="00627CA1" w:rsidP="00DB330E">
            <w:pPr>
              <w:pStyle w:val="TableText"/>
              <w:jc w:val="right"/>
              <w:rPr>
                <w:rFonts w:cs="Calibri"/>
                <w:szCs w:val="16"/>
              </w:rPr>
            </w:pPr>
            <w:r w:rsidRPr="00D9348B">
              <w:rPr>
                <w:rFonts w:cs="Calibri"/>
                <w:color w:val="000000"/>
                <w:szCs w:val="16"/>
              </w:rPr>
              <w:t>9,208,933</w:t>
            </w:r>
          </w:p>
        </w:tc>
      </w:tr>
      <w:tr w:rsidR="00627CA1" w:rsidRPr="00D9348B" w14:paraId="473531F1" w14:textId="77777777" w:rsidTr="00DB330E">
        <w:tc>
          <w:tcPr>
            <w:tcW w:w="2495" w:type="dxa"/>
            <w:tcBorders>
              <w:left w:val="nil"/>
              <w:bottom w:val="single" w:sz="4" w:space="0" w:color="auto"/>
              <w:right w:val="nil"/>
            </w:tcBorders>
            <w:shd w:val="clear" w:color="auto" w:fill="auto"/>
            <w:vAlign w:val="center"/>
            <w:hideMark/>
          </w:tcPr>
          <w:p w14:paraId="378CBF0D" w14:textId="77777777" w:rsidR="00627CA1" w:rsidRPr="00D9348B" w:rsidRDefault="00627CA1" w:rsidP="00DB330E">
            <w:pPr>
              <w:pStyle w:val="TableText"/>
              <w:rPr>
                <w:rFonts w:cs="Calibri"/>
                <w:szCs w:val="16"/>
              </w:rPr>
            </w:pPr>
            <w:r w:rsidRPr="00D9348B">
              <w:rPr>
                <w:rFonts w:cs="Calibri"/>
                <w:szCs w:val="16"/>
              </w:rPr>
              <w:t>Net emissions in calendar year (kt CO</w:t>
            </w:r>
            <w:r w:rsidRPr="00D9348B">
              <w:rPr>
                <w:rFonts w:cs="Calibri"/>
                <w:szCs w:val="16"/>
                <w:vertAlign w:val="subscript"/>
              </w:rPr>
              <w:t>2</w:t>
            </w:r>
            <w:r w:rsidRPr="00D9348B">
              <w:rPr>
                <w:rFonts w:cs="Calibri"/>
                <w:szCs w:val="16"/>
              </w:rPr>
              <w:t>-e)</w:t>
            </w:r>
          </w:p>
        </w:tc>
        <w:tc>
          <w:tcPr>
            <w:tcW w:w="907" w:type="dxa"/>
            <w:tcBorders>
              <w:left w:val="nil"/>
              <w:bottom w:val="single" w:sz="4" w:space="0" w:color="auto"/>
              <w:right w:val="nil"/>
            </w:tcBorders>
            <w:shd w:val="clear" w:color="auto" w:fill="auto"/>
            <w:hideMark/>
          </w:tcPr>
          <w:p w14:paraId="2D8A31D0" w14:textId="77777777" w:rsidR="00627CA1" w:rsidRPr="00D9348B" w:rsidRDefault="00627CA1" w:rsidP="00DB330E">
            <w:pPr>
              <w:pStyle w:val="TableText"/>
              <w:jc w:val="right"/>
              <w:rPr>
                <w:rFonts w:cs="Calibri"/>
                <w:szCs w:val="16"/>
              </w:rPr>
            </w:pPr>
            <w:r w:rsidRPr="00D9348B">
              <w:rPr>
                <w:rFonts w:cs="Calibri"/>
                <w:color w:val="000000"/>
                <w:szCs w:val="16"/>
              </w:rPr>
              <w:t xml:space="preserve">–18,487.6 </w:t>
            </w:r>
          </w:p>
        </w:tc>
        <w:tc>
          <w:tcPr>
            <w:tcW w:w="907" w:type="dxa"/>
            <w:tcBorders>
              <w:left w:val="nil"/>
              <w:bottom w:val="single" w:sz="4" w:space="0" w:color="auto"/>
              <w:right w:val="nil"/>
            </w:tcBorders>
            <w:shd w:val="clear" w:color="auto" w:fill="auto"/>
            <w:hideMark/>
          </w:tcPr>
          <w:p w14:paraId="29A5B51B" w14:textId="77777777" w:rsidR="00627CA1" w:rsidRPr="00D9348B" w:rsidRDefault="00627CA1" w:rsidP="00DB330E">
            <w:pPr>
              <w:pStyle w:val="TableText"/>
              <w:jc w:val="right"/>
              <w:rPr>
                <w:rFonts w:cs="Calibri"/>
                <w:szCs w:val="16"/>
              </w:rPr>
            </w:pPr>
            <w:r w:rsidRPr="00D9348B">
              <w:rPr>
                <w:rFonts w:cs="Calibri"/>
                <w:color w:val="000000"/>
                <w:szCs w:val="16"/>
              </w:rPr>
              <w:t xml:space="preserve">–16,962.0 </w:t>
            </w:r>
          </w:p>
        </w:tc>
        <w:tc>
          <w:tcPr>
            <w:tcW w:w="907" w:type="dxa"/>
            <w:tcBorders>
              <w:left w:val="nil"/>
              <w:bottom w:val="single" w:sz="4" w:space="0" w:color="auto"/>
              <w:right w:val="nil"/>
            </w:tcBorders>
            <w:shd w:val="clear" w:color="auto" w:fill="auto"/>
            <w:hideMark/>
          </w:tcPr>
          <w:p w14:paraId="55219DA8" w14:textId="77777777" w:rsidR="00627CA1" w:rsidRPr="00D9348B" w:rsidRDefault="00627CA1" w:rsidP="00DB330E">
            <w:pPr>
              <w:pStyle w:val="TableText"/>
              <w:jc w:val="right"/>
              <w:rPr>
                <w:rFonts w:cs="Calibri"/>
                <w:szCs w:val="16"/>
              </w:rPr>
            </w:pPr>
            <w:r w:rsidRPr="00D9348B">
              <w:rPr>
                <w:rFonts w:cs="Calibri"/>
                <w:color w:val="000000"/>
                <w:szCs w:val="16"/>
              </w:rPr>
              <w:t xml:space="preserve">–15,470.4 </w:t>
            </w:r>
          </w:p>
        </w:tc>
        <w:tc>
          <w:tcPr>
            <w:tcW w:w="907" w:type="dxa"/>
            <w:tcBorders>
              <w:left w:val="nil"/>
              <w:bottom w:val="single" w:sz="4" w:space="0" w:color="auto"/>
              <w:right w:val="nil"/>
            </w:tcBorders>
            <w:shd w:val="clear" w:color="auto" w:fill="auto"/>
            <w:hideMark/>
          </w:tcPr>
          <w:p w14:paraId="05AA0F80" w14:textId="77777777" w:rsidR="00627CA1" w:rsidRPr="00D9348B" w:rsidRDefault="00627CA1" w:rsidP="00DB330E">
            <w:pPr>
              <w:pStyle w:val="TableText"/>
              <w:jc w:val="right"/>
              <w:rPr>
                <w:rFonts w:cs="Calibri"/>
                <w:szCs w:val="16"/>
              </w:rPr>
            </w:pPr>
            <w:r w:rsidRPr="00D9348B">
              <w:rPr>
                <w:rFonts w:cs="Calibri"/>
                <w:color w:val="000000"/>
                <w:szCs w:val="16"/>
              </w:rPr>
              <w:t xml:space="preserve">–13,119.5 </w:t>
            </w:r>
          </w:p>
        </w:tc>
        <w:tc>
          <w:tcPr>
            <w:tcW w:w="907" w:type="dxa"/>
            <w:tcBorders>
              <w:left w:val="nil"/>
              <w:bottom w:val="single" w:sz="4" w:space="0" w:color="auto"/>
              <w:right w:val="nil"/>
            </w:tcBorders>
          </w:tcPr>
          <w:p w14:paraId="68215054" w14:textId="77777777" w:rsidR="00627CA1" w:rsidRPr="00D9348B" w:rsidRDefault="00627CA1" w:rsidP="00DB330E">
            <w:pPr>
              <w:pStyle w:val="TableText"/>
              <w:jc w:val="right"/>
              <w:rPr>
                <w:rFonts w:cs="Calibri"/>
                <w:szCs w:val="16"/>
              </w:rPr>
            </w:pPr>
            <w:r w:rsidRPr="00D9348B">
              <w:rPr>
                <w:rFonts w:cs="Calibri"/>
                <w:color w:val="000000"/>
                <w:szCs w:val="16"/>
              </w:rPr>
              <w:t xml:space="preserve">–13,136.0 </w:t>
            </w:r>
          </w:p>
        </w:tc>
        <w:tc>
          <w:tcPr>
            <w:tcW w:w="907" w:type="dxa"/>
            <w:tcBorders>
              <w:left w:val="nil"/>
              <w:bottom w:val="single" w:sz="4" w:space="0" w:color="auto"/>
              <w:right w:val="nil"/>
            </w:tcBorders>
          </w:tcPr>
          <w:p w14:paraId="61139482" w14:textId="77777777" w:rsidR="00627CA1" w:rsidRPr="00D9348B" w:rsidRDefault="00627CA1" w:rsidP="00DB330E">
            <w:pPr>
              <w:pStyle w:val="TableText"/>
              <w:jc w:val="right"/>
              <w:rPr>
                <w:rFonts w:cs="Calibri"/>
                <w:szCs w:val="16"/>
              </w:rPr>
            </w:pPr>
            <w:r w:rsidRPr="00D9348B">
              <w:rPr>
                <w:rFonts w:cs="Calibri"/>
                <w:color w:val="000000"/>
                <w:szCs w:val="16"/>
              </w:rPr>
              <w:t xml:space="preserve">–13,898.9 </w:t>
            </w:r>
          </w:p>
        </w:tc>
      </w:tr>
      <w:tr w:rsidR="00627CA1" w:rsidRPr="00D9348B" w14:paraId="538B9F3D" w14:textId="77777777" w:rsidTr="00DB330E">
        <w:tc>
          <w:tcPr>
            <w:tcW w:w="2495" w:type="dxa"/>
            <w:tcBorders>
              <w:top w:val="single" w:sz="4" w:space="0" w:color="auto"/>
              <w:left w:val="nil"/>
              <w:bottom w:val="single" w:sz="8" w:space="0" w:color="44546A"/>
              <w:right w:val="nil"/>
            </w:tcBorders>
            <w:shd w:val="clear" w:color="auto" w:fill="auto"/>
            <w:vAlign w:val="center"/>
            <w:hideMark/>
          </w:tcPr>
          <w:p w14:paraId="5EC9C7E9" w14:textId="77777777" w:rsidR="00627CA1" w:rsidRPr="00D9348B" w:rsidRDefault="00627CA1" w:rsidP="00DB330E">
            <w:pPr>
              <w:pStyle w:val="TableTextBold"/>
              <w:rPr>
                <w:rFonts w:cs="Calibri"/>
                <w:noProof w:val="0"/>
                <w:szCs w:val="16"/>
              </w:rPr>
            </w:pPr>
            <w:r w:rsidRPr="00D9348B">
              <w:rPr>
                <w:rFonts w:cs="Calibri"/>
                <w:noProof w:val="0"/>
                <w:szCs w:val="16"/>
              </w:rPr>
              <w:t>Total area included (ha)</w:t>
            </w:r>
          </w:p>
        </w:tc>
        <w:tc>
          <w:tcPr>
            <w:tcW w:w="907" w:type="dxa"/>
            <w:tcBorders>
              <w:top w:val="single" w:sz="4" w:space="0" w:color="auto"/>
              <w:left w:val="nil"/>
              <w:bottom w:val="single" w:sz="8" w:space="0" w:color="44546A"/>
              <w:right w:val="nil"/>
            </w:tcBorders>
            <w:shd w:val="clear" w:color="auto" w:fill="auto"/>
            <w:hideMark/>
          </w:tcPr>
          <w:p w14:paraId="7E071BEB" w14:textId="77777777" w:rsidR="00627CA1" w:rsidRPr="00D9348B" w:rsidRDefault="00627CA1" w:rsidP="00DB330E">
            <w:pPr>
              <w:pStyle w:val="TableTextBold"/>
              <w:jc w:val="right"/>
              <w:rPr>
                <w:rFonts w:cs="Calibri"/>
                <w:noProof w:val="0"/>
                <w:szCs w:val="16"/>
              </w:rPr>
            </w:pPr>
            <w:r w:rsidRPr="00D9348B">
              <w:rPr>
                <w:rFonts w:cs="Calibri"/>
                <w:bCs/>
                <w:noProof w:val="0"/>
                <w:color w:val="000000"/>
                <w:szCs w:val="16"/>
              </w:rPr>
              <w:t>10,077,410</w:t>
            </w:r>
          </w:p>
        </w:tc>
        <w:tc>
          <w:tcPr>
            <w:tcW w:w="907" w:type="dxa"/>
            <w:tcBorders>
              <w:top w:val="single" w:sz="4" w:space="0" w:color="auto"/>
              <w:left w:val="nil"/>
              <w:bottom w:val="single" w:sz="8" w:space="0" w:color="44546A"/>
              <w:right w:val="nil"/>
            </w:tcBorders>
            <w:shd w:val="clear" w:color="auto" w:fill="auto"/>
            <w:hideMark/>
          </w:tcPr>
          <w:p w14:paraId="71C7043F" w14:textId="77777777" w:rsidR="00627CA1" w:rsidRPr="00D9348B" w:rsidRDefault="00627CA1" w:rsidP="00DB330E">
            <w:pPr>
              <w:pStyle w:val="TableTextBold"/>
              <w:jc w:val="right"/>
              <w:rPr>
                <w:rFonts w:cs="Calibri"/>
                <w:noProof w:val="0"/>
                <w:szCs w:val="16"/>
              </w:rPr>
            </w:pPr>
            <w:r w:rsidRPr="00D9348B">
              <w:rPr>
                <w:rFonts w:cs="Calibri"/>
                <w:bCs/>
                <w:noProof w:val="0"/>
                <w:color w:val="000000"/>
                <w:szCs w:val="16"/>
              </w:rPr>
              <w:t>10,080,857</w:t>
            </w:r>
          </w:p>
        </w:tc>
        <w:tc>
          <w:tcPr>
            <w:tcW w:w="907" w:type="dxa"/>
            <w:tcBorders>
              <w:top w:val="single" w:sz="4" w:space="0" w:color="auto"/>
              <w:left w:val="nil"/>
              <w:bottom w:val="single" w:sz="8" w:space="0" w:color="44546A"/>
              <w:right w:val="nil"/>
            </w:tcBorders>
            <w:shd w:val="clear" w:color="auto" w:fill="auto"/>
            <w:hideMark/>
          </w:tcPr>
          <w:p w14:paraId="7AFAEB14" w14:textId="77777777" w:rsidR="00627CA1" w:rsidRPr="00D9348B" w:rsidRDefault="00627CA1" w:rsidP="00DB330E">
            <w:pPr>
              <w:pStyle w:val="TableTextBold"/>
              <w:jc w:val="right"/>
              <w:rPr>
                <w:rFonts w:cs="Calibri"/>
                <w:noProof w:val="0"/>
                <w:szCs w:val="16"/>
              </w:rPr>
            </w:pPr>
            <w:r w:rsidRPr="00D9348B">
              <w:rPr>
                <w:rFonts w:cs="Calibri"/>
                <w:bCs/>
                <w:noProof w:val="0"/>
                <w:color w:val="000000"/>
                <w:szCs w:val="16"/>
              </w:rPr>
              <w:t>10,084,359</w:t>
            </w:r>
          </w:p>
        </w:tc>
        <w:tc>
          <w:tcPr>
            <w:tcW w:w="907" w:type="dxa"/>
            <w:tcBorders>
              <w:top w:val="single" w:sz="4" w:space="0" w:color="auto"/>
              <w:left w:val="nil"/>
              <w:bottom w:val="single" w:sz="8" w:space="0" w:color="44546A"/>
              <w:right w:val="nil"/>
            </w:tcBorders>
            <w:shd w:val="clear" w:color="auto" w:fill="auto"/>
            <w:hideMark/>
          </w:tcPr>
          <w:p w14:paraId="07196AC3" w14:textId="77777777" w:rsidR="00627CA1" w:rsidRPr="00D9348B" w:rsidRDefault="00627CA1" w:rsidP="00DB330E">
            <w:pPr>
              <w:pStyle w:val="TableTextBold"/>
              <w:jc w:val="right"/>
              <w:rPr>
                <w:rFonts w:cs="Calibri"/>
                <w:noProof w:val="0"/>
                <w:szCs w:val="16"/>
              </w:rPr>
            </w:pPr>
            <w:r w:rsidRPr="00D9348B">
              <w:rPr>
                <w:rFonts w:cs="Calibri"/>
                <w:bCs/>
                <w:noProof w:val="0"/>
                <w:color w:val="000000"/>
                <w:szCs w:val="16"/>
              </w:rPr>
              <w:t>10,089,252</w:t>
            </w:r>
          </w:p>
        </w:tc>
        <w:tc>
          <w:tcPr>
            <w:tcW w:w="907" w:type="dxa"/>
            <w:tcBorders>
              <w:top w:val="single" w:sz="4" w:space="0" w:color="auto"/>
              <w:left w:val="nil"/>
              <w:bottom w:val="single" w:sz="8" w:space="0" w:color="44546A"/>
              <w:right w:val="nil"/>
            </w:tcBorders>
          </w:tcPr>
          <w:p w14:paraId="75215E21" w14:textId="77777777" w:rsidR="00627CA1" w:rsidRPr="00D9348B" w:rsidRDefault="00627CA1" w:rsidP="00DB330E">
            <w:pPr>
              <w:pStyle w:val="TableTextBold"/>
              <w:jc w:val="right"/>
              <w:rPr>
                <w:rFonts w:cs="Calibri"/>
                <w:noProof w:val="0"/>
                <w:szCs w:val="16"/>
              </w:rPr>
            </w:pPr>
            <w:r w:rsidRPr="00D9348B">
              <w:rPr>
                <w:rFonts w:cs="Calibri"/>
                <w:bCs/>
                <w:noProof w:val="0"/>
                <w:color w:val="000000"/>
                <w:szCs w:val="16"/>
              </w:rPr>
              <w:t>10,097,399</w:t>
            </w:r>
          </w:p>
        </w:tc>
        <w:tc>
          <w:tcPr>
            <w:tcW w:w="907" w:type="dxa"/>
            <w:tcBorders>
              <w:top w:val="single" w:sz="4" w:space="0" w:color="auto"/>
              <w:left w:val="nil"/>
              <w:bottom w:val="single" w:sz="8" w:space="0" w:color="44546A"/>
              <w:right w:val="nil"/>
            </w:tcBorders>
          </w:tcPr>
          <w:p w14:paraId="1C250709" w14:textId="77777777" w:rsidR="00627CA1" w:rsidRPr="00D9348B" w:rsidRDefault="00627CA1" w:rsidP="00DB330E">
            <w:pPr>
              <w:pStyle w:val="TableTextBold"/>
              <w:jc w:val="right"/>
              <w:rPr>
                <w:rFonts w:cs="Calibri"/>
                <w:noProof w:val="0"/>
                <w:szCs w:val="16"/>
              </w:rPr>
            </w:pPr>
            <w:r w:rsidRPr="00D9348B">
              <w:rPr>
                <w:rFonts w:cs="Calibri"/>
                <w:bCs/>
                <w:noProof w:val="0"/>
                <w:color w:val="000000"/>
                <w:szCs w:val="16"/>
              </w:rPr>
              <w:t>10,108,636</w:t>
            </w:r>
          </w:p>
        </w:tc>
      </w:tr>
      <w:tr w:rsidR="00627CA1" w:rsidRPr="00D9348B" w14:paraId="278F1F54" w14:textId="77777777" w:rsidTr="00DB330E">
        <w:tc>
          <w:tcPr>
            <w:tcW w:w="2495" w:type="dxa"/>
            <w:tcBorders>
              <w:top w:val="nil"/>
              <w:left w:val="nil"/>
              <w:bottom w:val="single" w:sz="8" w:space="0" w:color="44546A"/>
              <w:right w:val="nil"/>
            </w:tcBorders>
            <w:shd w:val="clear" w:color="auto" w:fill="auto"/>
            <w:vAlign w:val="center"/>
            <w:hideMark/>
          </w:tcPr>
          <w:p w14:paraId="2E68BF21" w14:textId="77777777" w:rsidR="00627CA1" w:rsidRPr="00D9348B" w:rsidRDefault="00627CA1" w:rsidP="00DB330E">
            <w:pPr>
              <w:pStyle w:val="TableTextBold"/>
              <w:rPr>
                <w:rFonts w:cs="Calibri"/>
                <w:noProof w:val="0"/>
                <w:szCs w:val="16"/>
              </w:rPr>
            </w:pPr>
            <w:r w:rsidRPr="00D9348B">
              <w:rPr>
                <w:rFonts w:cs="Calibri"/>
                <w:noProof w:val="0"/>
                <w:szCs w:val="16"/>
              </w:rPr>
              <w:t>Net emissions in calendar year (kt CO</w:t>
            </w:r>
            <w:r w:rsidRPr="00D9348B">
              <w:rPr>
                <w:rFonts w:cs="Calibri"/>
                <w:noProof w:val="0"/>
                <w:szCs w:val="16"/>
                <w:vertAlign w:val="subscript"/>
              </w:rPr>
              <w:t>2</w:t>
            </w:r>
            <w:r w:rsidRPr="00D9348B">
              <w:rPr>
                <w:rFonts w:cs="Calibri"/>
                <w:noProof w:val="0"/>
                <w:szCs w:val="16"/>
              </w:rPr>
              <w:t>-e)</w:t>
            </w:r>
          </w:p>
        </w:tc>
        <w:tc>
          <w:tcPr>
            <w:tcW w:w="907" w:type="dxa"/>
            <w:tcBorders>
              <w:top w:val="nil"/>
              <w:left w:val="nil"/>
              <w:bottom w:val="single" w:sz="8" w:space="0" w:color="44546A"/>
              <w:right w:val="nil"/>
            </w:tcBorders>
            <w:shd w:val="clear" w:color="auto" w:fill="auto"/>
            <w:hideMark/>
          </w:tcPr>
          <w:p w14:paraId="037911E9" w14:textId="77777777" w:rsidR="00627CA1" w:rsidRPr="00D9348B" w:rsidRDefault="00627CA1" w:rsidP="00DB330E">
            <w:pPr>
              <w:pStyle w:val="TableTextBold"/>
              <w:jc w:val="right"/>
              <w:rPr>
                <w:rFonts w:cs="Calibri"/>
                <w:noProof w:val="0"/>
                <w:szCs w:val="16"/>
              </w:rPr>
            </w:pPr>
            <w:r w:rsidRPr="00D9348B">
              <w:rPr>
                <w:rFonts w:cs="Calibri"/>
                <w:bCs/>
                <w:noProof w:val="0"/>
                <w:color w:val="000000"/>
                <w:szCs w:val="16"/>
              </w:rPr>
              <w:t xml:space="preserve">–26,504.2 </w:t>
            </w:r>
          </w:p>
        </w:tc>
        <w:tc>
          <w:tcPr>
            <w:tcW w:w="907" w:type="dxa"/>
            <w:tcBorders>
              <w:top w:val="nil"/>
              <w:left w:val="nil"/>
              <w:bottom w:val="single" w:sz="8" w:space="0" w:color="44546A"/>
              <w:right w:val="nil"/>
            </w:tcBorders>
            <w:shd w:val="clear" w:color="auto" w:fill="auto"/>
            <w:hideMark/>
          </w:tcPr>
          <w:p w14:paraId="56B0BE9B" w14:textId="77777777" w:rsidR="00627CA1" w:rsidRPr="00D9348B" w:rsidRDefault="00627CA1" w:rsidP="00DB330E">
            <w:pPr>
              <w:pStyle w:val="TableTextBold"/>
              <w:jc w:val="right"/>
              <w:rPr>
                <w:rFonts w:cs="Calibri"/>
                <w:noProof w:val="0"/>
                <w:szCs w:val="16"/>
              </w:rPr>
            </w:pPr>
            <w:r w:rsidRPr="00D9348B">
              <w:rPr>
                <w:rFonts w:cs="Calibri"/>
                <w:bCs/>
                <w:noProof w:val="0"/>
                <w:color w:val="000000"/>
                <w:szCs w:val="16"/>
              </w:rPr>
              <w:t xml:space="preserve">–29,119.1 </w:t>
            </w:r>
          </w:p>
        </w:tc>
        <w:tc>
          <w:tcPr>
            <w:tcW w:w="907" w:type="dxa"/>
            <w:tcBorders>
              <w:top w:val="nil"/>
              <w:left w:val="nil"/>
              <w:bottom w:val="single" w:sz="8" w:space="0" w:color="44546A"/>
              <w:right w:val="nil"/>
            </w:tcBorders>
            <w:shd w:val="clear" w:color="auto" w:fill="auto"/>
            <w:hideMark/>
          </w:tcPr>
          <w:p w14:paraId="558D2B88" w14:textId="77777777" w:rsidR="00627CA1" w:rsidRPr="00D9348B" w:rsidRDefault="00627CA1" w:rsidP="00DB330E">
            <w:pPr>
              <w:pStyle w:val="TableTextBold"/>
              <w:jc w:val="right"/>
              <w:rPr>
                <w:rFonts w:cs="Calibri"/>
                <w:noProof w:val="0"/>
                <w:szCs w:val="16"/>
              </w:rPr>
            </w:pPr>
            <w:r w:rsidRPr="00D9348B">
              <w:rPr>
                <w:rFonts w:cs="Calibri"/>
                <w:bCs/>
                <w:noProof w:val="0"/>
                <w:color w:val="000000"/>
                <w:szCs w:val="16"/>
              </w:rPr>
              <w:t xml:space="preserve">–29,897.0 </w:t>
            </w:r>
          </w:p>
        </w:tc>
        <w:tc>
          <w:tcPr>
            <w:tcW w:w="907" w:type="dxa"/>
            <w:tcBorders>
              <w:top w:val="nil"/>
              <w:left w:val="nil"/>
              <w:bottom w:val="single" w:sz="8" w:space="0" w:color="44546A"/>
              <w:right w:val="nil"/>
            </w:tcBorders>
            <w:shd w:val="clear" w:color="auto" w:fill="auto"/>
            <w:hideMark/>
          </w:tcPr>
          <w:p w14:paraId="23CBD77A" w14:textId="77777777" w:rsidR="00627CA1" w:rsidRPr="00D9348B" w:rsidRDefault="00627CA1" w:rsidP="00DB330E">
            <w:pPr>
              <w:pStyle w:val="TableTextBold"/>
              <w:jc w:val="right"/>
              <w:rPr>
                <w:rFonts w:cs="Calibri"/>
                <w:noProof w:val="0"/>
                <w:szCs w:val="16"/>
              </w:rPr>
            </w:pPr>
            <w:r w:rsidRPr="00D9348B">
              <w:rPr>
                <w:rFonts w:cs="Calibri"/>
                <w:bCs/>
                <w:noProof w:val="0"/>
                <w:color w:val="000000"/>
                <w:szCs w:val="16"/>
              </w:rPr>
              <w:t xml:space="preserve">–29,088.2 </w:t>
            </w:r>
          </w:p>
        </w:tc>
        <w:tc>
          <w:tcPr>
            <w:tcW w:w="907" w:type="dxa"/>
            <w:tcBorders>
              <w:top w:val="nil"/>
              <w:left w:val="nil"/>
              <w:bottom w:val="single" w:sz="8" w:space="0" w:color="44546A"/>
              <w:right w:val="nil"/>
            </w:tcBorders>
          </w:tcPr>
          <w:p w14:paraId="5E161958" w14:textId="77777777" w:rsidR="00627CA1" w:rsidRPr="00D9348B" w:rsidRDefault="00627CA1" w:rsidP="00DB330E">
            <w:pPr>
              <w:pStyle w:val="TableTextBold"/>
              <w:jc w:val="right"/>
              <w:rPr>
                <w:rFonts w:cs="Calibri"/>
                <w:noProof w:val="0"/>
                <w:szCs w:val="16"/>
              </w:rPr>
            </w:pPr>
            <w:r w:rsidRPr="00D9348B">
              <w:rPr>
                <w:rFonts w:cs="Calibri"/>
                <w:bCs/>
                <w:noProof w:val="0"/>
                <w:color w:val="000000"/>
                <w:szCs w:val="16"/>
              </w:rPr>
              <w:t xml:space="preserve">–28,949.2 </w:t>
            </w:r>
          </w:p>
        </w:tc>
        <w:tc>
          <w:tcPr>
            <w:tcW w:w="907" w:type="dxa"/>
            <w:tcBorders>
              <w:top w:val="nil"/>
              <w:left w:val="nil"/>
              <w:bottom w:val="single" w:sz="8" w:space="0" w:color="44546A"/>
              <w:right w:val="nil"/>
            </w:tcBorders>
          </w:tcPr>
          <w:p w14:paraId="10D71D63" w14:textId="77777777" w:rsidR="00627CA1" w:rsidRPr="00D9348B" w:rsidRDefault="00627CA1" w:rsidP="00DB330E">
            <w:pPr>
              <w:pStyle w:val="TableTextBold"/>
              <w:jc w:val="right"/>
              <w:rPr>
                <w:rFonts w:cs="Calibri"/>
                <w:noProof w:val="0"/>
                <w:szCs w:val="16"/>
              </w:rPr>
            </w:pPr>
            <w:r w:rsidRPr="00D9348B">
              <w:rPr>
                <w:rFonts w:cs="Calibri"/>
                <w:bCs/>
                <w:noProof w:val="0"/>
                <w:color w:val="000000"/>
                <w:szCs w:val="16"/>
              </w:rPr>
              <w:t xml:space="preserve">–29,346.0 </w:t>
            </w:r>
          </w:p>
        </w:tc>
      </w:tr>
      <w:tr w:rsidR="00627CA1" w:rsidRPr="00D9348B" w14:paraId="7D4AFA96" w14:textId="77777777" w:rsidTr="00DB330E">
        <w:tc>
          <w:tcPr>
            <w:tcW w:w="2495" w:type="dxa"/>
            <w:tcBorders>
              <w:top w:val="nil"/>
              <w:left w:val="nil"/>
              <w:bottom w:val="single" w:sz="8" w:space="0" w:color="44546A"/>
              <w:right w:val="nil"/>
            </w:tcBorders>
            <w:shd w:val="clear" w:color="auto" w:fill="auto"/>
            <w:vAlign w:val="center"/>
            <w:hideMark/>
          </w:tcPr>
          <w:p w14:paraId="38B1B47B" w14:textId="77777777" w:rsidR="00627CA1" w:rsidRPr="00D9348B" w:rsidRDefault="00627CA1" w:rsidP="00DB330E">
            <w:pPr>
              <w:pStyle w:val="Tableboldblue"/>
              <w:rPr>
                <w:rFonts w:cs="Calibri"/>
                <w:szCs w:val="16"/>
                <w:lang w:eastAsia="en-NZ"/>
              </w:rPr>
            </w:pPr>
            <w:r w:rsidRPr="00D9348B">
              <w:rPr>
                <w:rFonts w:cs="Calibri"/>
                <w:szCs w:val="16"/>
                <w:lang w:eastAsia="en-NZ"/>
              </w:rPr>
              <w:t>Accounting quantity (kt CO</w:t>
            </w:r>
            <w:r w:rsidRPr="00D9348B">
              <w:rPr>
                <w:rFonts w:cs="Calibri"/>
                <w:szCs w:val="16"/>
                <w:vertAlign w:val="subscript"/>
                <w:lang w:eastAsia="en-NZ"/>
              </w:rPr>
              <w:t>2</w:t>
            </w:r>
            <w:r w:rsidRPr="00D9348B">
              <w:rPr>
                <w:rFonts w:cs="Calibri"/>
                <w:szCs w:val="16"/>
                <w:lang w:eastAsia="en-NZ"/>
              </w:rPr>
              <w:t>-e)</w:t>
            </w:r>
          </w:p>
        </w:tc>
        <w:tc>
          <w:tcPr>
            <w:tcW w:w="907" w:type="dxa"/>
            <w:tcBorders>
              <w:top w:val="nil"/>
              <w:left w:val="nil"/>
              <w:bottom w:val="single" w:sz="8" w:space="0" w:color="44546A"/>
              <w:right w:val="nil"/>
            </w:tcBorders>
            <w:shd w:val="clear" w:color="auto" w:fill="auto"/>
            <w:hideMark/>
          </w:tcPr>
          <w:p w14:paraId="146599CB" w14:textId="77777777" w:rsidR="00627CA1" w:rsidRPr="00D9348B" w:rsidRDefault="00627CA1" w:rsidP="00DB330E">
            <w:pPr>
              <w:pStyle w:val="Tableboldblue"/>
              <w:jc w:val="right"/>
              <w:rPr>
                <w:rFonts w:cs="Calibri"/>
                <w:szCs w:val="16"/>
                <w:lang w:eastAsia="en-NZ"/>
              </w:rPr>
            </w:pPr>
            <w:r w:rsidRPr="00D9348B">
              <w:rPr>
                <w:rFonts w:cs="Calibri"/>
                <w:bCs/>
                <w:szCs w:val="16"/>
              </w:rPr>
              <w:t xml:space="preserve">–8,016.6 </w:t>
            </w:r>
          </w:p>
        </w:tc>
        <w:tc>
          <w:tcPr>
            <w:tcW w:w="907" w:type="dxa"/>
            <w:tcBorders>
              <w:top w:val="nil"/>
              <w:left w:val="nil"/>
              <w:bottom w:val="single" w:sz="8" w:space="0" w:color="44546A"/>
              <w:right w:val="nil"/>
            </w:tcBorders>
            <w:shd w:val="clear" w:color="auto" w:fill="auto"/>
            <w:hideMark/>
          </w:tcPr>
          <w:p w14:paraId="18C9C2B0" w14:textId="77777777" w:rsidR="00627CA1" w:rsidRPr="00D9348B" w:rsidRDefault="00627CA1" w:rsidP="00DB330E">
            <w:pPr>
              <w:pStyle w:val="Tableboldblue"/>
              <w:jc w:val="right"/>
              <w:rPr>
                <w:rFonts w:cs="Calibri"/>
                <w:szCs w:val="16"/>
                <w:lang w:eastAsia="en-NZ"/>
              </w:rPr>
            </w:pPr>
            <w:r w:rsidRPr="00D9348B">
              <w:rPr>
                <w:rFonts w:cs="Calibri"/>
                <w:bCs/>
                <w:szCs w:val="16"/>
              </w:rPr>
              <w:t xml:space="preserve">–12,157.1 </w:t>
            </w:r>
          </w:p>
        </w:tc>
        <w:tc>
          <w:tcPr>
            <w:tcW w:w="907" w:type="dxa"/>
            <w:tcBorders>
              <w:top w:val="nil"/>
              <w:left w:val="nil"/>
              <w:bottom w:val="single" w:sz="8" w:space="0" w:color="44546A"/>
              <w:right w:val="nil"/>
            </w:tcBorders>
            <w:shd w:val="clear" w:color="auto" w:fill="auto"/>
            <w:hideMark/>
          </w:tcPr>
          <w:p w14:paraId="0F3E876C" w14:textId="77777777" w:rsidR="00627CA1" w:rsidRPr="00D9348B" w:rsidRDefault="00627CA1" w:rsidP="00DB330E">
            <w:pPr>
              <w:pStyle w:val="Tableboldblue"/>
              <w:jc w:val="right"/>
              <w:rPr>
                <w:rFonts w:cs="Calibri"/>
                <w:szCs w:val="16"/>
                <w:lang w:eastAsia="en-NZ"/>
              </w:rPr>
            </w:pPr>
            <w:r w:rsidRPr="00D9348B">
              <w:rPr>
                <w:rFonts w:cs="Calibri"/>
                <w:bCs/>
                <w:szCs w:val="16"/>
              </w:rPr>
              <w:t xml:space="preserve">–14,426.6 </w:t>
            </w:r>
          </w:p>
        </w:tc>
        <w:tc>
          <w:tcPr>
            <w:tcW w:w="907" w:type="dxa"/>
            <w:tcBorders>
              <w:top w:val="nil"/>
              <w:left w:val="nil"/>
              <w:bottom w:val="single" w:sz="8" w:space="0" w:color="44546A"/>
              <w:right w:val="nil"/>
            </w:tcBorders>
            <w:shd w:val="clear" w:color="auto" w:fill="auto"/>
            <w:hideMark/>
          </w:tcPr>
          <w:p w14:paraId="6CDDF786" w14:textId="77777777" w:rsidR="00627CA1" w:rsidRPr="00D9348B" w:rsidRDefault="00627CA1" w:rsidP="00DB330E">
            <w:pPr>
              <w:pStyle w:val="Tableboldblue"/>
              <w:jc w:val="right"/>
              <w:rPr>
                <w:rFonts w:cs="Calibri"/>
                <w:szCs w:val="16"/>
                <w:lang w:eastAsia="en-NZ"/>
              </w:rPr>
            </w:pPr>
            <w:r w:rsidRPr="00D9348B">
              <w:rPr>
                <w:rFonts w:cs="Calibri"/>
                <w:bCs/>
                <w:szCs w:val="16"/>
              </w:rPr>
              <w:t xml:space="preserve">–15,968.7 </w:t>
            </w:r>
          </w:p>
        </w:tc>
        <w:tc>
          <w:tcPr>
            <w:tcW w:w="907" w:type="dxa"/>
            <w:tcBorders>
              <w:top w:val="nil"/>
              <w:left w:val="nil"/>
              <w:bottom w:val="single" w:sz="8" w:space="0" w:color="44546A"/>
              <w:right w:val="nil"/>
            </w:tcBorders>
          </w:tcPr>
          <w:p w14:paraId="1A6DBFDA" w14:textId="77777777" w:rsidR="00627CA1" w:rsidRPr="00D9348B" w:rsidRDefault="00627CA1" w:rsidP="00DB330E">
            <w:pPr>
              <w:pStyle w:val="Tableboldblue"/>
              <w:jc w:val="right"/>
              <w:rPr>
                <w:rFonts w:cs="Calibri"/>
                <w:szCs w:val="16"/>
              </w:rPr>
            </w:pPr>
            <w:r w:rsidRPr="00D9348B">
              <w:rPr>
                <w:rFonts w:cs="Calibri"/>
                <w:bCs/>
                <w:szCs w:val="16"/>
              </w:rPr>
              <w:t xml:space="preserve">–15,813.2 </w:t>
            </w:r>
          </w:p>
        </w:tc>
        <w:tc>
          <w:tcPr>
            <w:tcW w:w="907" w:type="dxa"/>
            <w:tcBorders>
              <w:top w:val="nil"/>
              <w:left w:val="nil"/>
              <w:bottom w:val="single" w:sz="8" w:space="0" w:color="44546A"/>
              <w:right w:val="nil"/>
            </w:tcBorders>
          </w:tcPr>
          <w:p w14:paraId="7F65BE85" w14:textId="77777777" w:rsidR="00627CA1" w:rsidRPr="00D9348B" w:rsidRDefault="00627CA1" w:rsidP="00DB330E">
            <w:pPr>
              <w:pStyle w:val="Tableboldblue"/>
              <w:jc w:val="right"/>
              <w:rPr>
                <w:rFonts w:cs="Calibri"/>
                <w:szCs w:val="16"/>
              </w:rPr>
            </w:pPr>
            <w:r w:rsidRPr="00D9348B">
              <w:rPr>
                <w:rFonts w:cs="Calibri"/>
                <w:bCs/>
                <w:szCs w:val="16"/>
              </w:rPr>
              <w:t xml:space="preserve">–15,447.0 </w:t>
            </w:r>
          </w:p>
        </w:tc>
      </w:tr>
    </w:tbl>
    <w:p w14:paraId="407C3983" w14:textId="77777777" w:rsidR="00627CA1" w:rsidRPr="00D9348B" w:rsidRDefault="00627CA1" w:rsidP="00627CA1">
      <w:pPr>
        <w:pStyle w:val="Noteundertable"/>
        <w:keepLines/>
        <w:rPr>
          <w:szCs w:val="18"/>
        </w:rPr>
      </w:pPr>
      <w:r w:rsidRPr="00D9348B">
        <w:rPr>
          <w:b/>
          <w:szCs w:val="18"/>
        </w:rPr>
        <w:lastRenderedPageBreak/>
        <w:t>Note:</w:t>
      </w:r>
      <w:r w:rsidRPr="00D9348B">
        <w:rPr>
          <w:szCs w:val="18"/>
        </w:rPr>
        <w:t xml:space="preserve"> </w:t>
      </w:r>
      <w:r w:rsidRPr="00D9348B">
        <w:rPr>
          <w:szCs w:val="18"/>
        </w:rPr>
        <w:tab/>
        <w:t xml:space="preserve">Where net emissions result in removals, they are expressed as a negative value as per section 2.2.3 of the IPCC Guidelines (IPCC, 2006a). The accounting quantity excludes net emissions from forest management because these will be accounted for at the end of the commitment period against a forest management reference level and a cap will apply to limit credits; further information on these is included later in the chapter. Columns may not total due to rounding. </w:t>
      </w:r>
      <w:proofErr w:type="gramStart"/>
      <w:r w:rsidRPr="00D9348B">
        <w:t>ha</w:t>
      </w:r>
      <w:proofErr w:type="gramEnd"/>
      <w:r w:rsidRPr="00D9348B">
        <w:t> = hectares; P = provisional figure (all figures for 2017 and 2018 are provisional). Afforestation and deforestation differs from that in chapter 6 due to carbon equivalent forests being reported separately.</w:t>
      </w:r>
    </w:p>
    <w:p w14:paraId="78B73B84" w14:textId="77777777" w:rsidR="00627CA1" w:rsidRPr="00D9348B" w:rsidRDefault="00627CA1" w:rsidP="00627CA1">
      <w:pPr>
        <w:pStyle w:val="Heading5"/>
      </w:pPr>
      <w:r w:rsidRPr="00D9348B">
        <w:t>1990–2018</w:t>
      </w:r>
    </w:p>
    <w:p w14:paraId="28732A7F" w14:textId="77777777" w:rsidR="00627CA1" w:rsidRPr="00D9348B" w:rsidRDefault="00627CA1" w:rsidP="00627CA1">
      <w:pPr>
        <w:pStyle w:val="BodyText"/>
        <w:spacing w:after="100"/>
      </w:pPr>
      <w:r w:rsidRPr="00D9348B">
        <w:t xml:space="preserve">Between 1 January 1990 and 31 December 2018, 726,858 hectares of new forest (post-1989 forest) were established as a result of afforestation and reforestation activities – an average of 25,064 hectares per year. This figure is 28,361 hectares greater than the Kyoto Protocol defined area of afforestation and reforestation, due to subsequent deforestation activity that has occurred in these forests. During 2018, an estimated 9,443 hectares of new forest were planted, which is greater than the area planted in 2017 (6,461 hectares) (table 11.1.1). </w:t>
      </w:r>
    </w:p>
    <w:p w14:paraId="65320135" w14:textId="77777777" w:rsidR="00627CA1" w:rsidRPr="00D9348B" w:rsidRDefault="00627CA1" w:rsidP="00627CA1">
      <w:pPr>
        <w:pStyle w:val="BodyText"/>
        <w:spacing w:after="100"/>
      </w:pPr>
      <w:r w:rsidRPr="00D9348B">
        <w:t xml:space="preserve">The carbon equivalent forest provision creates a misalignment for the afforestation and deforestation area reported under the Kyoto Protocol and the United Nations Framework Convention on Climate Change (UNFCCC) sections of the inventory. The carbon equivalent forest provision is not recognised under the UNFCCC and is reported as </w:t>
      </w:r>
      <w:r w:rsidRPr="00D9348B">
        <w:rPr>
          <w:i/>
        </w:rPr>
        <w:t>Land converted to forest land</w:t>
      </w:r>
      <w:r w:rsidRPr="00D9348B">
        <w:t xml:space="preserve"> (afforestation) and </w:t>
      </w:r>
      <w:r w:rsidRPr="00D9348B">
        <w:rPr>
          <w:i/>
        </w:rPr>
        <w:t>Forest land converted to other land uses</w:t>
      </w:r>
      <w:r w:rsidRPr="00D9348B">
        <w:t xml:space="preserve"> (deforestation). </w:t>
      </w:r>
    </w:p>
    <w:p w14:paraId="4A653B80" w14:textId="77777777" w:rsidR="00627CA1" w:rsidRPr="00D9348B" w:rsidRDefault="00627CA1" w:rsidP="00627CA1">
      <w:pPr>
        <w:pStyle w:val="BodyText"/>
        <w:spacing w:after="100"/>
      </w:pPr>
      <w:r w:rsidRPr="00D9348B">
        <w:t xml:space="preserve">Deforestation of all subcategories of </w:t>
      </w:r>
      <w:r w:rsidRPr="00D9348B">
        <w:rPr>
          <w:i/>
        </w:rPr>
        <w:t>Forest land</w:t>
      </w:r>
      <w:r w:rsidRPr="00D9348B">
        <w:t xml:space="preserve"> (post-1989, pre-1990 planted and pre-1990 natural forest) during 2018 was estimated at </w:t>
      </w:r>
      <w:r w:rsidRPr="00D9348B">
        <w:rPr>
          <w:rFonts w:cs="Arial"/>
        </w:rPr>
        <w:t>3,740</w:t>
      </w:r>
      <w:r w:rsidRPr="00D9348B">
        <w:t xml:space="preserve"> hectares. Since 1990, the area of deforestation of all subcategories of </w:t>
      </w:r>
      <w:r w:rsidRPr="00D9348B">
        <w:rPr>
          <w:i/>
        </w:rPr>
        <w:t>Forest land</w:t>
      </w:r>
      <w:r w:rsidRPr="00D9348B">
        <w:t xml:space="preserve"> is estimated as 201,206 hectares. </w:t>
      </w:r>
    </w:p>
    <w:p w14:paraId="28A870E6" w14:textId="77777777" w:rsidR="00627CA1" w:rsidRPr="00D9348B" w:rsidRDefault="00627CA1" w:rsidP="00627CA1">
      <w:pPr>
        <w:pStyle w:val="BodyText"/>
        <w:spacing w:after="100"/>
      </w:pPr>
      <w:r w:rsidRPr="00D9348B">
        <w:t xml:space="preserve">Between 1 January 1990 and 31 December 2018, the total area of </w:t>
      </w:r>
      <w:r w:rsidRPr="00D9348B">
        <w:rPr>
          <w:i/>
        </w:rPr>
        <w:t>Forest management</w:t>
      </w:r>
      <w:r w:rsidRPr="00D9348B">
        <w:t xml:space="preserve"> land deforested was 173,356 hectares. However, due to the application of the carbon equivalent forest provision (Kyoto Protocol Supplement, IPCC, 2014a, section 2.7.2) the net area under </w:t>
      </w:r>
      <w:r w:rsidRPr="00D9348B">
        <w:rPr>
          <w:i/>
        </w:rPr>
        <w:t>Forest management</w:t>
      </w:r>
      <w:r w:rsidRPr="00D9348B">
        <w:t xml:space="preserve"> only decreased by 165,841 hectares, or 1.8 per cent. This is the result of:</w:t>
      </w:r>
    </w:p>
    <w:p w14:paraId="60FFE166" w14:textId="77777777" w:rsidR="00627CA1" w:rsidRPr="00D9348B" w:rsidRDefault="00627CA1" w:rsidP="00627CA1">
      <w:pPr>
        <w:pStyle w:val="Bullet"/>
      </w:pPr>
      <w:r w:rsidRPr="00D9348B">
        <w:t xml:space="preserve">165,841 hectares of land being transferred from Article 3.4 – </w:t>
      </w:r>
      <w:r w:rsidRPr="00D9348B">
        <w:rPr>
          <w:i/>
        </w:rPr>
        <w:t>Forest management</w:t>
      </w:r>
      <w:r w:rsidRPr="00D9348B">
        <w:t xml:space="preserve"> reporting to Article 3.3 – </w:t>
      </w:r>
      <w:r w:rsidRPr="00D9348B">
        <w:rPr>
          <w:i/>
        </w:rPr>
        <w:t>Deforestation</w:t>
      </w:r>
      <w:r w:rsidRPr="00D9348B">
        <w:t xml:space="preserve"> reporting due to deforestation</w:t>
      </w:r>
    </w:p>
    <w:p w14:paraId="5376E896" w14:textId="77777777" w:rsidR="00627CA1" w:rsidRPr="00D9348B" w:rsidRDefault="00627CA1" w:rsidP="00627CA1">
      <w:pPr>
        <w:pStyle w:val="Bullet"/>
      </w:pPr>
      <w:r w:rsidRPr="00D9348B">
        <w:t>3,422 hectares of land converted to a non-forest land use (</w:t>
      </w:r>
      <w:r w:rsidRPr="00D9348B">
        <w:rPr>
          <w:i/>
        </w:rPr>
        <w:t>Carbon equivalent forest – harvested and converted (CEF</w:t>
      </w:r>
      <w:r w:rsidRPr="00D9348B">
        <w:rPr>
          <w:i/>
          <w:vertAlign w:val="subscript"/>
        </w:rPr>
        <w:t>HC</w:t>
      </w:r>
      <w:r w:rsidRPr="00D9348B">
        <w:rPr>
          <w:i/>
        </w:rPr>
        <w:t>)</w:t>
      </w:r>
      <w:r w:rsidRPr="00D9348B">
        <w:t xml:space="preserve">) included in Article 3.4 – </w:t>
      </w:r>
      <w:r w:rsidRPr="00D9348B">
        <w:rPr>
          <w:i/>
        </w:rPr>
        <w:t>Forest managemen</w:t>
      </w:r>
      <w:r w:rsidRPr="00D9348B">
        <w:t>t reporting as a result of applying the carbon equivalent forest provision (Kyoto Protocol Supplement, IPCC, 2014a, section 2.7.2)</w:t>
      </w:r>
    </w:p>
    <w:p w14:paraId="13C596DD" w14:textId="77777777" w:rsidR="00627CA1" w:rsidRPr="00D9348B" w:rsidRDefault="00627CA1" w:rsidP="00627CA1">
      <w:pPr>
        <w:pStyle w:val="Bullet"/>
      </w:pPr>
      <w:r w:rsidRPr="00D9348B">
        <w:t xml:space="preserve">4,093 hectares of newly established forest </w:t>
      </w:r>
      <w:r w:rsidRPr="00D9348B">
        <w:rPr>
          <w:iCs/>
        </w:rPr>
        <w:t>(</w:t>
      </w:r>
      <w:r w:rsidRPr="00D9348B">
        <w:rPr>
          <w:i/>
        </w:rPr>
        <w:t>Carbon equivalent forest – newly established (CEF</w:t>
      </w:r>
      <w:r w:rsidRPr="00D9348B">
        <w:rPr>
          <w:i/>
          <w:vertAlign w:val="subscript"/>
        </w:rPr>
        <w:t>NE</w:t>
      </w:r>
      <w:r w:rsidRPr="00D9348B">
        <w:rPr>
          <w:i/>
        </w:rPr>
        <w:t>)</w:t>
      </w:r>
      <w:r w:rsidRPr="00D9348B">
        <w:rPr>
          <w:iCs/>
        </w:rPr>
        <w:t>)</w:t>
      </w:r>
      <w:r w:rsidRPr="00D9348B">
        <w:t xml:space="preserve"> added to Article 3.4 – </w:t>
      </w:r>
      <w:r w:rsidRPr="00D9348B">
        <w:rPr>
          <w:i/>
        </w:rPr>
        <w:t>Forest management</w:t>
      </w:r>
      <w:r w:rsidRPr="00D9348B">
        <w:t xml:space="preserve"> under the Kyoto Protocol as a result of applying the carbon equivalent forest provision</w:t>
      </w:r>
      <w:r w:rsidRPr="00D9348B" w:rsidDel="0060303B">
        <w:t xml:space="preserve"> </w:t>
      </w:r>
      <w:r w:rsidRPr="00D9348B">
        <w:t xml:space="preserve">(Kyoto Protocol Supplement, IPCC, 2014a, section 2.7.2). </w:t>
      </w:r>
    </w:p>
    <w:p w14:paraId="1E3963FE" w14:textId="77777777" w:rsidR="00627CA1" w:rsidRPr="00D9348B" w:rsidRDefault="00627CA1" w:rsidP="00627CA1">
      <w:pPr>
        <w:pStyle w:val="Heading5"/>
      </w:pPr>
      <w:bookmarkStart w:id="3167" w:name="_Toc261513280"/>
      <w:bookmarkStart w:id="3168" w:name="_Toc261513893"/>
      <w:bookmarkStart w:id="3169" w:name="_Toc280630383"/>
      <w:bookmarkStart w:id="3170" w:name="_Toc377043715"/>
      <w:r w:rsidRPr="00D9348B">
        <w:t>New Zealand’s Article 3.3 and Article 3.4 emissions by source for the second commitment period</w:t>
      </w:r>
    </w:p>
    <w:p w14:paraId="1ABDDA99" w14:textId="77777777" w:rsidR="00627CA1" w:rsidRPr="00D9348B" w:rsidRDefault="00627CA1" w:rsidP="00627CA1">
      <w:pPr>
        <w:pStyle w:val="BodyText"/>
      </w:pPr>
      <w:r w:rsidRPr="00D9348B">
        <w:t xml:space="preserve">Table 11.1.2 provides a breakdown of New Zealand’s emissions under the Kyoto Protocol by greenhouse gas source category for the first five years of the second commitment period. </w:t>
      </w:r>
    </w:p>
    <w:p w14:paraId="0077D276" w14:textId="77777777" w:rsidR="00627CA1" w:rsidRPr="00D9348B" w:rsidRDefault="00627CA1" w:rsidP="00627CA1">
      <w:pPr>
        <w:pStyle w:val="Table"/>
      </w:pPr>
      <w:bookmarkStart w:id="3171" w:name="_Toc456179104"/>
      <w:bookmarkStart w:id="3172" w:name="_Toc481751630"/>
      <w:bookmarkStart w:id="3173" w:name="_Toc522010655"/>
      <w:bookmarkStart w:id="3174" w:name="_Toc5269625"/>
      <w:bookmarkStart w:id="3175" w:name="_Toc36224707"/>
      <w:r w:rsidRPr="00D9348B">
        <w:lastRenderedPageBreak/>
        <w:t>Table 11.1.2</w:t>
      </w:r>
      <w:r w:rsidRPr="00D9348B">
        <w:tab/>
        <w:t>New Zealand’s emissions for the second commitment period of the Kyoto Protocol</w:t>
      </w:r>
      <w:r w:rsidRPr="00D9348B">
        <w:br/>
        <w:t>by greenhouse gas source category</w:t>
      </w:r>
      <w:bookmarkEnd w:id="3171"/>
      <w:bookmarkEnd w:id="3172"/>
      <w:bookmarkEnd w:id="3173"/>
      <w:bookmarkEnd w:id="3174"/>
      <w:bookmarkEnd w:id="3175"/>
    </w:p>
    <w:tbl>
      <w:tblPr>
        <w:tblW w:w="8505" w:type="dxa"/>
        <w:tblInd w:w="108" w:type="dxa"/>
        <w:tblBorders>
          <w:top w:val="single" w:sz="4" w:space="0" w:color="2E74B5"/>
          <w:bottom w:val="single" w:sz="4" w:space="0" w:color="2E74B5"/>
          <w:insideH w:val="single" w:sz="4" w:space="0" w:color="2E74B5"/>
        </w:tblBorders>
        <w:tblLook w:val="04A0" w:firstRow="1" w:lastRow="0" w:firstColumn="1" w:lastColumn="0" w:noHBand="0" w:noVBand="1"/>
      </w:tblPr>
      <w:tblGrid>
        <w:gridCol w:w="4536"/>
        <w:gridCol w:w="1276"/>
        <w:gridCol w:w="1419"/>
        <w:gridCol w:w="1274"/>
      </w:tblGrid>
      <w:tr w:rsidR="00627CA1" w:rsidRPr="00D9348B" w14:paraId="04629CC7" w14:textId="77777777" w:rsidTr="00DB330E">
        <w:trPr>
          <w:tblHeader/>
        </w:trPr>
        <w:tc>
          <w:tcPr>
            <w:tcW w:w="2667" w:type="pct"/>
            <w:vMerge w:val="restart"/>
            <w:tcBorders>
              <w:top w:val="single" w:sz="4" w:space="0" w:color="365F91"/>
              <w:bottom w:val="nil"/>
            </w:tcBorders>
            <w:shd w:val="clear" w:color="auto" w:fill="365F91"/>
            <w:vAlign w:val="bottom"/>
          </w:tcPr>
          <w:p w14:paraId="0FD1B929" w14:textId="77777777" w:rsidR="00627CA1" w:rsidRPr="00D9348B" w:rsidRDefault="00627CA1" w:rsidP="00DB330E">
            <w:pPr>
              <w:pStyle w:val="TableTextBold"/>
              <w:keepNext/>
              <w:rPr>
                <w:bCs/>
                <w:noProof w:val="0"/>
                <w:color w:val="FFFFFF"/>
              </w:rPr>
            </w:pPr>
            <w:r w:rsidRPr="00D9348B">
              <w:rPr>
                <w:bCs/>
                <w:noProof w:val="0"/>
                <w:color w:val="FFFFFF"/>
              </w:rPr>
              <w:t>Greenhouse gas source category</w:t>
            </w:r>
          </w:p>
        </w:tc>
        <w:tc>
          <w:tcPr>
            <w:tcW w:w="2333" w:type="pct"/>
            <w:gridSpan w:val="3"/>
            <w:tcBorders>
              <w:top w:val="single" w:sz="4" w:space="0" w:color="365F91"/>
              <w:bottom w:val="nil"/>
            </w:tcBorders>
            <w:shd w:val="clear" w:color="auto" w:fill="365F91"/>
            <w:vAlign w:val="bottom"/>
          </w:tcPr>
          <w:p w14:paraId="7BB90786" w14:textId="77777777" w:rsidR="00627CA1" w:rsidRPr="00D9348B" w:rsidRDefault="00627CA1" w:rsidP="00DB330E">
            <w:pPr>
              <w:pStyle w:val="TableTextBold"/>
              <w:keepNext/>
              <w:spacing w:after="0"/>
              <w:jc w:val="center"/>
              <w:rPr>
                <w:bCs/>
                <w:noProof w:val="0"/>
                <w:color w:val="FFFFFF"/>
              </w:rPr>
            </w:pPr>
            <w:r w:rsidRPr="00D9348B">
              <w:rPr>
                <w:bCs/>
                <w:noProof w:val="0"/>
                <w:color w:val="FFFFFF"/>
              </w:rPr>
              <w:t>Net emissions for 2013–18 (kt)</w:t>
            </w:r>
          </w:p>
        </w:tc>
      </w:tr>
      <w:tr w:rsidR="00627CA1" w:rsidRPr="00D9348B" w14:paraId="2E6C844D" w14:textId="77777777" w:rsidTr="00DB330E">
        <w:tc>
          <w:tcPr>
            <w:tcW w:w="2667" w:type="pct"/>
            <w:vMerge/>
            <w:tcBorders>
              <w:top w:val="nil"/>
              <w:left w:val="nil"/>
              <w:bottom w:val="single" w:sz="4" w:space="0" w:color="365F91"/>
            </w:tcBorders>
            <w:shd w:val="clear" w:color="auto" w:fill="365F91"/>
            <w:vAlign w:val="bottom"/>
          </w:tcPr>
          <w:p w14:paraId="5625282D" w14:textId="77777777" w:rsidR="00627CA1" w:rsidRPr="00D9348B" w:rsidRDefault="00627CA1" w:rsidP="00DB330E">
            <w:pPr>
              <w:pStyle w:val="TableTextBold"/>
              <w:keepNext/>
              <w:rPr>
                <w:b w:val="0"/>
                <w:bCs/>
                <w:noProof w:val="0"/>
              </w:rPr>
            </w:pPr>
          </w:p>
        </w:tc>
        <w:tc>
          <w:tcPr>
            <w:tcW w:w="750" w:type="pct"/>
            <w:tcBorders>
              <w:top w:val="nil"/>
              <w:bottom w:val="single" w:sz="4" w:space="0" w:color="365F91"/>
            </w:tcBorders>
            <w:shd w:val="clear" w:color="auto" w:fill="365F91"/>
            <w:vAlign w:val="bottom"/>
          </w:tcPr>
          <w:p w14:paraId="6A8334CA" w14:textId="77777777" w:rsidR="00627CA1" w:rsidRPr="00D9348B" w:rsidRDefault="00627CA1" w:rsidP="00DB330E">
            <w:pPr>
              <w:pStyle w:val="TableTextBold"/>
              <w:keepNext/>
              <w:jc w:val="center"/>
              <w:rPr>
                <w:noProof w:val="0"/>
                <w:color w:val="FFFFFF"/>
              </w:rPr>
            </w:pPr>
            <w:r w:rsidRPr="00D9348B">
              <w:rPr>
                <w:noProof w:val="0"/>
                <w:color w:val="FFFFFF"/>
              </w:rPr>
              <w:t>Source form</w:t>
            </w:r>
          </w:p>
        </w:tc>
        <w:tc>
          <w:tcPr>
            <w:tcW w:w="834" w:type="pct"/>
            <w:tcBorders>
              <w:top w:val="nil"/>
              <w:bottom w:val="single" w:sz="4" w:space="0" w:color="365F91"/>
            </w:tcBorders>
            <w:shd w:val="clear" w:color="auto" w:fill="365F91"/>
            <w:vAlign w:val="bottom"/>
          </w:tcPr>
          <w:p w14:paraId="468D1F8B" w14:textId="77777777" w:rsidR="00627CA1" w:rsidRPr="00D9348B" w:rsidRDefault="00627CA1" w:rsidP="00DB330E">
            <w:pPr>
              <w:pStyle w:val="TableTextBold"/>
              <w:keepNext/>
              <w:jc w:val="center"/>
              <w:rPr>
                <w:noProof w:val="0"/>
                <w:color w:val="FFFFFF"/>
              </w:rPr>
            </w:pPr>
            <w:r w:rsidRPr="00D9348B">
              <w:rPr>
                <w:noProof w:val="0"/>
                <w:color w:val="FFFFFF"/>
              </w:rPr>
              <w:t>Source emission</w:t>
            </w:r>
          </w:p>
        </w:tc>
        <w:tc>
          <w:tcPr>
            <w:tcW w:w="749" w:type="pct"/>
            <w:tcBorders>
              <w:top w:val="nil"/>
              <w:bottom w:val="single" w:sz="4" w:space="0" w:color="365F91"/>
              <w:right w:val="nil"/>
            </w:tcBorders>
            <w:shd w:val="clear" w:color="auto" w:fill="365F91"/>
            <w:vAlign w:val="bottom"/>
          </w:tcPr>
          <w:p w14:paraId="2F00027F" w14:textId="77777777" w:rsidR="00627CA1" w:rsidRPr="00D9348B" w:rsidRDefault="00627CA1" w:rsidP="00DB330E">
            <w:pPr>
              <w:pStyle w:val="TableTextBold"/>
              <w:keepNext/>
              <w:jc w:val="center"/>
              <w:rPr>
                <w:noProof w:val="0"/>
                <w:color w:val="FFFFFF"/>
              </w:rPr>
            </w:pPr>
            <w:r w:rsidRPr="00D9348B">
              <w:rPr>
                <w:noProof w:val="0"/>
                <w:color w:val="FFFFFF"/>
              </w:rPr>
              <w:t>CO</w:t>
            </w:r>
            <w:r w:rsidRPr="00D9348B">
              <w:rPr>
                <w:noProof w:val="0"/>
                <w:color w:val="FFFFFF"/>
                <w:vertAlign w:val="subscript"/>
              </w:rPr>
              <w:t>2</w:t>
            </w:r>
            <w:r w:rsidRPr="00D9348B">
              <w:rPr>
                <w:noProof w:val="0"/>
                <w:color w:val="FFFFFF"/>
              </w:rPr>
              <w:t>-equivalent</w:t>
            </w:r>
          </w:p>
        </w:tc>
      </w:tr>
      <w:tr w:rsidR="00627CA1" w:rsidRPr="00D9348B" w14:paraId="3A255D04" w14:textId="77777777" w:rsidTr="00DB330E">
        <w:tc>
          <w:tcPr>
            <w:tcW w:w="2667" w:type="pct"/>
            <w:tcBorders>
              <w:top w:val="single" w:sz="4" w:space="0" w:color="365F91"/>
              <w:bottom w:val="single" w:sz="4" w:space="0" w:color="365F91"/>
            </w:tcBorders>
            <w:shd w:val="clear" w:color="auto" w:fill="auto"/>
            <w:vAlign w:val="center"/>
          </w:tcPr>
          <w:p w14:paraId="141C405D" w14:textId="77777777" w:rsidR="00627CA1" w:rsidRPr="00D9348B" w:rsidRDefault="00627CA1" w:rsidP="00DB330E">
            <w:pPr>
              <w:pStyle w:val="TableText"/>
              <w:spacing w:before="50" w:after="50"/>
              <w:rPr>
                <w:bCs/>
              </w:rPr>
            </w:pPr>
            <w:r w:rsidRPr="00D9348B">
              <w:rPr>
                <w:bCs/>
              </w:rPr>
              <w:t>Emissions from afforestation and reforestation</w:t>
            </w:r>
          </w:p>
        </w:tc>
        <w:tc>
          <w:tcPr>
            <w:tcW w:w="750" w:type="pct"/>
            <w:tcBorders>
              <w:top w:val="single" w:sz="4" w:space="0" w:color="365F91"/>
              <w:bottom w:val="single" w:sz="4" w:space="0" w:color="365F91"/>
            </w:tcBorders>
            <w:shd w:val="clear" w:color="auto" w:fill="auto"/>
            <w:vAlign w:val="center"/>
          </w:tcPr>
          <w:p w14:paraId="1ADDE0B7" w14:textId="77777777" w:rsidR="00627CA1" w:rsidRPr="00D9348B" w:rsidRDefault="00627CA1" w:rsidP="00DB330E">
            <w:pPr>
              <w:pStyle w:val="TableText"/>
              <w:spacing w:before="50" w:after="50"/>
              <w:jc w:val="center"/>
            </w:pPr>
            <w:r w:rsidRPr="00D9348B">
              <w:t>CO</w:t>
            </w:r>
            <w:r w:rsidRPr="00D9348B">
              <w:rPr>
                <w:vertAlign w:val="subscript"/>
              </w:rPr>
              <w:t>2</w:t>
            </w:r>
          </w:p>
        </w:tc>
        <w:tc>
          <w:tcPr>
            <w:tcW w:w="834" w:type="pct"/>
            <w:tcBorders>
              <w:top w:val="single" w:sz="4" w:space="0" w:color="365F91"/>
              <w:bottom w:val="single" w:sz="4" w:space="0" w:color="365F91"/>
            </w:tcBorders>
            <w:shd w:val="clear" w:color="auto" w:fill="auto"/>
            <w:vAlign w:val="center"/>
          </w:tcPr>
          <w:p w14:paraId="4D029769" w14:textId="77777777" w:rsidR="00627CA1" w:rsidRPr="00D9348B" w:rsidRDefault="00627CA1" w:rsidP="00DB330E">
            <w:pPr>
              <w:pStyle w:val="TableText"/>
              <w:spacing w:before="50" w:after="50"/>
              <w:jc w:val="right"/>
            </w:pPr>
            <w:r w:rsidRPr="00D9348B">
              <w:rPr>
                <w:rFonts w:cs="Arial"/>
                <w:color w:val="000000"/>
                <w:szCs w:val="16"/>
              </w:rPr>
              <w:t>–107,090.2</w:t>
            </w:r>
          </w:p>
        </w:tc>
        <w:tc>
          <w:tcPr>
            <w:tcW w:w="749" w:type="pct"/>
            <w:tcBorders>
              <w:top w:val="single" w:sz="4" w:space="0" w:color="365F91"/>
              <w:bottom w:val="single" w:sz="4" w:space="0" w:color="365F91"/>
            </w:tcBorders>
            <w:shd w:val="clear" w:color="auto" w:fill="auto"/>
            <w:vAlign w:val="center"/>
          </w:tcPr>
          <w:p w14:paraId="77776332" w14:textId="77777777" w:rsidR="00627CA1" w:rsidRPr="00D9348B" w:rsidRDefault="00627CA1" w:rsidP="00DB330E">
            <w:pPr>
              <w:pStyle w:val="TableText"/>
              <w:spacing w:before="50" w:after="50"/>
              <w:jc w:val="right"/>
            </w:pPr>
            <w:r w:rsidRPr="00D9348B">
              <w:rPr>
                <w:rFonts w:cs="Arial"/>
                <w:color w:val="000000"/>
                <w:szCs w:val="16"/>
              </w:rPr>
              <w:t>–107,090.2</w:t>
            </w:r>
          </w:p>
        </w:tc>
      </w:tr>
      <w:tr w:rsidR="00627CA1" w:rsidRPr="00D9348B" w14:paraId="7B8D632B" w14:textId="77777777" w:rsidTr="00DB330E">
        <w:tc>
          <w:tcPr>
            <w:tcW w:w="2667" w:type="pct"/>
            <w:tcBorders>
              <w:top w:val="single" w:sz="4" w:space="0" w:color="365F91"/>
              <w:bottom w:val="single" w:sz="4" w:space="0" w:color="365F91"/>
            </w:tcBorders>
            <w:shd w:val="clear" w:color="auto" w:fill="auto"/>
            <w:vAlign w:val="center"/>
          </w:tcPr>
          <w:p w14:paraId="466E3300" w14:textId="77777777" w:rsidR="00627CA1" w:rsidRPr="00D9348B" w:rsidRDefault="00627CA1" w:rsidP="00DB330E">
            <w:pPr>
              <w:pStyle w:val="TableText"/>
              <w:spacing w:before="50" w:after="50"/>
              <w:rPr>
                <w:bCs/>
              </w:rPr>
            </w:pPr>
            <w:r w:rsidRPr="00D9348B">
              <w:rPr>
                <w:bCs/>
              </w:rPr>
              <w:t>Emissions from deforestation</w:t>
            </w:r>
          </w:p>
        </w:tc>
        <w:tc>
          <w:tcPr>
            <w:tcW w:w="750" w:type="pct"/>
            <w:tcBorders>
              <w:top w:val="single" w:sz="4" w:space="0" w:color="365F91"/>
              <w:bottom w:val="single" w:sz="4" w:space="0" w:color="365F91"/>
            </w:tcBorders>
            <w:shd w:val="clear" w:color="auto" w:fill="auto"/>
            <w:vAlign w:val="center"/>
          </w:tcPr>
          <w:p w14:paraId="0CA76AF5" w14:textId="77777777" w:rsidR="00627CA1" w:rsidRPr="00D9348B" w:rsidRDefault="00627CA1" w:rsidP="00DB330E">
            <w:pPr>
              <w:pStyle w:val="TableText"/>
              <w:spacing w:before="50" w:after="50"/>
              <w:jc w:val="center"/>
            </w:pPr>
            <w:r w:rsidRPr="00D9348B">
              <w:t>CO</w:t>
            </w:r>
            <w:r w:rsidRPr="00D9348B">
              <w:rPr>
                <w:vertAlign w:val="subscript"/>
              </w:rPr>
              <w:t>2</w:t>
            </w:r>
          </w:p>
        </w:tc>
        <w:tc>
          <w:tcPr>
            <w:tcW w:w="834" w:type="pct"/>
            <w:tcBorders>
              <w:top w:val="single" w:sz="4" w:space="0" w:color="365F91"/>
              <w:bottom w:val="single" w:sz="4" w:space="0" w:color="365F91"/>
            </w:tcBorders>
            <w:shd w:val="clear" w:color="auto" w:fill="auto"/>
            <w:vAlign w:val="center"/>
          </w:tcPr>
          <w:p w14:paraId="0DBEF852" w14:textId="77777777" w:rsidR="00627CA1" w:rsidRPr="00D9348B" w:rsidRDefault="00627CA1" w:rsidP="00DB330E">
            <w:pPr>
              <w:pStyle w:val="TableText"/>
              <w:spacing w:before="50" w:after="50"/>
              <w:jc w:val="right"/>
            </w:pPr>
            <w:r w:rsidRPr="00D9348B">
              <w:rPr>
                <w:rFonts w:cs="Arial"/>
                <w:color w:val="000000"/>
                <w:szCs w:val="16"/>
              </w:rPr>
              <w:t>24,607.0</w:t>
            </w:r>
          </w:p>
        </w:tc>
        <w:tc>
          <w:tcPr>
            <w:tcW w:w="749" w:type="pct"/>
            <w:tcBorders>
              <w:top w:val="single" w:sz="4" w:space="0" w:color="365F91"/>
              <w:bottom w:val="single" w:sz="4" w:space="0" w:color="365F91"/>
            </w:tcBorders>
            <w:shd w:val="clear" w:color="auto" w:fill="auto"/>
            <w:vAlign w:val="center"/>
          </w:tcPr>
          <w:p w14:paraId="724927EB" w14:textId="77777777" w:rsidR="00627CA1" w:rsidRPr="00D9348B" w:rsidRDefault="00627CA1" w:rsidP="00DB330E">
            <w:pPr>
              <w:pStyle w:val="TableText"/>
              <w:spacing w:before="50" w:after="50"/>
              <w:jc w:val="right"/>
            </w:pPr>
            <w:r w:rsidRPr="00D9348B">
              <w:rPr>
                <w:rFonts w:cs="Arial"/>
                <w:color w:val="000000"/>
                <w:szCs w:val="16"/>
              </w:rPr>
              <w:t>24,607.0</w:t>
            </w:r>
          </w:p>
        </w:tc>
      </w:tr>
      <w:tr w:rsidR="00627CA1" w:rsidRPr="00D9348B" w14:paraId="21F3D3D0" w14:textId="77777777" w:rsidTr="00DB330E">
        <w:tc>
          <w:tcPr>
            <w:tcW w:w="2667" w:type="pct"/>
            <w:tcBorders>
              <w:top w:val="single" w:sz="4" w:space="0" w:color="365F91"/>
              <w:bottom w:val="single" w:sz="4" w:space="0" w:color="365F91"/>
            </w:tcBorders>
            <w:shd w:val="clear" w:color="auto" w:fill="auto"/>
            <w:vAlign w:val="center"/>
          </w:tcPr>
          <w:p w14:paraId="7A22721C" w14:textId="77777777" w:rsidR="00627CA1" w:rsidRPr="00D9348B" w:rsidRDefault="00627CA1" w:rsidP="00DB330E">
            <w:pPr>
              <w:pStyle w:val="TableText"/>
              <w:spacing w:before="50" w:after="50"/>
              <w:rPr>
                <w:bCs/>
              </w:rPr>
            </w:pPr>
            <w:r w:rsidRPr="00D9348B">
              <w:rPr>
                <w:bCs/>
              </w:rPr>
              <w:t>Emissions from forest management activities</w:t>
            </w:r>
          </w:p>
        </w:tc>
        <w:tc>
          <w:tcPr>
            <w:tcW w:w="750" w:type="pct"/>
            <w:tcBorders>
              <w:top w:val="single" w:sz="4" w:space="0" w:color="365F91"/>
              <w:bottom w:val="single" w:sz="4" w:space="0" w:color="365F91"/>
            </w:tcBorders>
            <w:shd w:val="clear" w:color="auto" w:fill="auto"/>
            <w:vAlign w:val="center"/>
          </w:tcPr>
          <w:p w14:paraId="1680A85E" w14:textId="77777777" w:rsidR="00627CA1" w:rsidRPr="00D9348B" w:rsidRDefault="00627CA1" w:rsidP="00DB330E">
            <w:pPr>
              <w:pStyle w:val="TableText"/>
              <w:spacing w:before="50" w:after="50"/>
              <w:jc w:val="center"/>
            </w:pPr>
            <w:r w:rsidRPr="00D9348B">
              <w:t>CO</w:t>
            </w:r>
            <w:r w:rsidRPr="00D9348B">
              <w:rPr>
                <w:vertAlign w:val="subscript"/>
              </w:rPr>
              <w:t>2</w:t>
            </w:r>
          </w:p>
        </w:tc>
        <w:tc>
          <w:tcPr>
            <w:tcW w:w="834" w:type="pct"/>
            <w:tcBorders>
              <w:top w:val="single" w:sz="4" w:space="0" w:color="365F91"/>
              <w:bottom w:val="single" w:sz="4" w:space="0" w:color="365F91"/>
            </w:tcBorders>
            <w:shd w:val="clear" w:color="auto" w:fill="auto"/>
            <w:vAlign w:val="center"/>
          </w:tcPr>
          <w:p w14:paraId="60C7CBEE" w14:textId="77777777" w:rsidR="00627CA1" w:rsidRPr="00D9348B" w:rsidRDefault="00627CA1" w:rsidP="00DB330E">
            <w:pPr>
              <w:pStyle w:val="TableText"/>
              <w:spacing w:before="50" w:after="50"/>
              <w:jc w:val="right"/>
              <w:rPr>
                <w:highlight w:val="red"/>
              </w:rPr>
            </w:pPr>
            <w:r w:rsidRPr="00D9348B">
              <w:rPr>
                <w:rFonts w:cs="Arial"/>
                <w:color w:val="000000"/>
                <w:szCs w:val="16"/>
              </w:rPr>
              <w:t>–91,166.8</w:t>
            </w:r>
          </w:p>
        </w:tc>
        <w:tc>
          <w:tcPr>
            <w:tcW w:w="749" w:type="pct"/>
            <w:tcBorders>
              <w:top w:val="single" w:sz="4" w:space="0" w:color="365F91"/>
              <w:bottom w:val="single" w:sz="4" w:space="0" w:color="365F91"/>
            </w:tcBorders>
            <w:shd w:val="clear" w:color="auto" w:fill="auto"/>
            <w:vAlign w:val="center"/>
          </w:tcPr>
          <w:p w14:paraId="6BE742A0" w14:textId="77777777" w:rsidR="00627CA1" w:rsidRPr="00D9348B" w:rsidRDefault="00627CA1" w:rsidP="00DB330E">
            <w:pPr>
              <w:pStyle w:val="TableText"/>
              <w:spacing w:before="50" w:after="50"/>
              <w:jc w:val="right"/>
              <w:rPr>
                <w:highlight w:val="red"/>
              </w:rPr>
            </w:pPr>
            <w:r w:rsidRPr="00D9348B">
              <w:rPr>
                <w:rFonts w:cs="Arial"/>
                <w:color w:val="000000"/>
                <w:szCs w:val="16"/>
              </w:rPr>
              <w:t>–91,166.8</w:t>
            </w:r>
          </w:p>
        </w:tc>
      </w:tr>
      <w:tr w:rsidR="00627CA1" w:rsidRPr="00D9348B" w14:paraId="21FE40BF" w14:textId="77777777" w:rsidTr="00DB330E">
        <w:tc>
          <w:tcPr>
            <w:tcW w:w="2667" w:type="pct"/>
            <w:tcBorders>
              <w:top w:val="single" w:sz="4" w:space="0" w:color="365F91"/>
              <w:bottom w:val="single" w:sz="4" w:space="0" w:color="365F91"/>
            </w:tcBorders>
            <w:shd w:val="clear" w:color="auto" w:fill="auto"/>
          </w:tcPr>
          <w:p w14:paraId="22118464" w14:textId="77777777" w:rsidR="00627CA1" w:rsidRPr="00D9348B" w:rsidRDefault="00627CA1" w:rsidP="00DB330E">
            <w:pPr>
              <w:pStyle w:val="TableText"/>
              <w:spacing w:before="50" w:after="50"/>
              <w:rPr>
                <w:bCs/>
              </w:rPr>
            </w:pPr>
            <w:r w:rsidRPr="00D9348B">
              <w:rPr>
                <w:bCs/>
              </w:rPr>
              <w:t>Mineralisation of soil nitrogen associated with land-use change</w:t>
            </w:r>
          </w:p>
        </w:tc>
        <w:tc>
          <w:tcPr>
            <w:tcW w:w="750" w:type="pct"/>
            <w:tcBorders>
              <w:top w:val="single" w:sz="4" w:space="0" w:color="365F91"/>
              <w:bottom w:val="single" w:sz="4" w:space="0" w:color="365F91"/>
            </w:tcBorders>
            <w:shd w:val="clear" w:color="auto" w:fill="auto"/>
          </w:tcPr>
          <w:p w14:paraId="1510C227" w14:textId="77777777" w:rsidR="00627CA1" w:rsidRPr="00D9348B" w:rsidRDefault="00627CA1" w:rsidP="00DB330E">
            <w:pPr>
              <w:pStyle w:val="TableText"/>
              <w:spacing w:before="50" w:after="50"/>
              <w:jc w:val="center"/>
            </w:pPr>
            <w:r w:rsidRPr="00D9348B">
              <w:t>N</w:t>
            </w:r>
            <w:r w:rsidRPr="00D9348B">
              <w:rPr>
                <w:vertAlign w:val="subscript"/>
              </w:rPr>
              <w:t>2</w:t>
            </w:r>
            <w:r w:rsidRPr="00D9348B">
              <w:t>O</w:t>
            </w:r>
          </w:p>
        </w:tc>
        <w:tc>
          <w:tcPr>
            <w:tcW w:w="834" w:type="pct"/>
            <w:tcBorders>
              <w:top w:val="single" w:sz="4" w:space="0" w:color="365F91"/>
              <w:bottom w:val="single" w:sz="4" w:space="0" w:color="365F91"/>
            </w:tcBorders>
            <w:shd w:val="clear" w:color="auto" w:fill="auto"/>
          </w:tcPr>
          <w:p w14:paraId="3EF51322" w14:textId="77777777" w:rsidR="00627CA1" w:rsidRPr="00D9348B" w:rsidRDefault="00627CA1" w:rsidP="00DB330E">
            <w:pPr>
              <w:pStyle w:val="TableText"/>
              <w:spacing w:before="50" w:after="50"/>
              <w:jc w:val="right"/>
            </w:pPr>
            <w:r w:rsidRPr="00D9348B">
              <w:rPr>
                <w:rFonts w:cs="Arial"/>
                <w:color w:val="000000"/>
                <w:szCs w:val="16"/>
              </w:rPr>
              <w:t>1.5</w:t>
            </w:r>
          </w:p>
        </w:tc>
        <w:tc>
          <w:tcPr>
            <w:tcW w:w="749" w:type="pct"/>
            <w:tcBorders>
              <w:top w:val="single" w:sz="4" w:space="0" w:color="365F91"/>
              <w:bottom w:val="single" w:sz="4" w:space="0" w:color="365F91"/>
            </w:tcBorders>
            <w:shd w:val="clear" w:color="auto" w:fill="auto"/>
          </w:tcPr>
          <w:p w14:paraId="5AEBC555" w14:textId="77777777" w:rsidR="00627CA1" w:rsidRPr="00D9348B" w:rsidRDefault="00627CA1" w:rsidP="00DB330E">
            <w:pPr>
              <w:pStyle w:val="TableText"/>
              <w:spacing w:before="50" w:after="50"/>
              <w:jc w:val="right"/>
            </w:pPr>
            <w:r w:rsidRPr="00D9348B">
              <w:rPr>
                <w:rFonts w:cs="Arial"/>
                <w:color w:val="000000"/>
                <w:szCs w:val="16"/>
              </w:rPr>
              <w:t>457.7</w:t>
            </w:r>
          </w:p>
        </w:tc>
      </w:tr>
      <w:tr w:rsidR="00627CA1" w:rsidRPr="00D9348B" w14:paraId="274D251A" w14:textId="77777777" w:rsidTr="00DB330E">
        <w:tc>
          <w:tcPr>
            <w:tcW w:w="2667" w:type="pct"/>
            <w:tcBorders>
              <w:top w:val="single" w:sz="4" w:space="0" w:color="365F91"/>
              <w:bottom w:val="single" w:sz="4" w:space="0" w:color="365F91"/>
            </w:tcBorders>
            <w:shd w:val="clear" w:color="auto" w:fill="auto"/>
            <w:vAlign w:val="center"/>
          </w:tcPr>
          <w:p w14:paraId="3206A452" w14:textId="77777777" w:rsidR="00627CA1" w:rsidRPr="00D9348B" w:rsidRDefault="00627CA1" w:rsidP="00DB330E">
            <w:pPr>
              <w:pStyle w:val="TableText"/>
              <w:spacing w:before="50" w:after="50"/>
              <w:rPr>
                <w:bCs/>
              </w:rPr>
            </w:pPr>
            <w:r w:rsidRPr="00D9348B">
              <w:rPr>
                <w:bCs/>
              </w:rPr>
              <w:t xml:space="preserve">Biomass burning </w:t>
            </w:r>
          </w:p>
        </w:tc>
        <w:tc>
          <w:tcPr>
            <w:tcW w:w="750" w:type="pct"/>
            <w:tcBorders>
              <w:top w:val="single" w:sz="4" w:space="0" w:color="365F91"/>
              <w:bottom w:val="single" w:sz="4" w:space="0" w:color="365F91"/>
            </w:tcBorders>
            <w:shd w:val="clear" w:color="auto" w:fill="auto"/>
            <w:vAlign w:val="center"/>
          </w:tcPr>
          <w:p w14:paraId="43DABBD3" w14:textId="77777777" w:rsidR="00627CA1" w:rsidRPr="00D9348B" w:rsidRDefault="00627CA1" w:rsidP="00DB330E">
            <w:pPr>
              <w:pStyle w:val="TableText"/>
              <w:spacing w:before="50" w:after="50"/>
              <w:jc w:val="center"/>
            </w:pPr>
            <w:r w:rsidRPr="00D9348B">
              <w:t>CH</w:t>
            </w:r>
            <w:r w:rsidRPr="00D9348B">
              <w:rPr>
                <w:vertAlign w:val="subscript"/>
              </w:rPr>
              <w:t>4</w:t>
            </w:r>
          </w:p>
        </w:tc>
        <w:tc>
          <w:tcPr>
            <w:tcW w:w="834" w:type="pct"/>
            <w:tcBorders>
              <w:top w:val="single" w:sz="4" w:space="0" w:color="365F91"/>
              <w:bottom w:val="single" w:sz="4" w:space="0" w:color="365F91"/>
            </w:tcBorders>
            <w:shd w:val="clear" w:color="auto" w:fill="auto"/>
            <w:vAlign w:val="center"/>
          </w:tcPr>
          <w:p w14:paraId="396465EB" w14:textId="77777777" w:rsidR="00627CA1" w:rsidRPr="00D9348B" w:rsidRDefault="00627CA1" w:rsidP="00DB330E">
            <w:pPr>
              <w:pStyle w:val="TableText"/>
              <w:spacing w:before="50" w:after="50"/>
              <w:jc w:val="right"/>
            </w:pPr>
            <w:r w:rsidRPr="00D9348B">
              <w:rPr>
                <w:rFonts w:cs="Arial"/>
                <w:color w:val="000000"/>
                <w:szCs w:val="16"/>
              </w:rPr>
              <w:t>7.8</w:t>
            </w:r>
          </w:p>
        </w:tc>
        <w:tc>
          <w:tcPr>
            <w:tcW w:w="749" w:type="pct"/>
            <w:tcBorders>
              <w:top w:val="single" w:sz="4" w:space="0" w:color="365F91"/>
              <w:bottom w:val="single" w:sz="4" w:space="0" w:color="365F91"/>
            </w:tcBorders>
            <w:shd w:val="clear" w:color="auto" w:fill="auto"/>
            <w:vAlign w:val="center"/>
          </w:tcPr>
          <w:p w14:paraId="5BA6C129" w14:textId="77777777" w:rsidR="00627CA1" w:rsidRPr="00D9348B" w:rsidRDefault="00627CA1" w:rsidP="00DB330E">
            <w:pPr>
              <w:pStyle w:val="TableText"/>
              <w:spacing w:before="50" w:after="50"/>
              <w:jc w:val="right"/>
            </w:pPr>
            <w:r w:rsidRPr="00D9348B">
              <w:rPr>
                <w:rFonts w:cs="Arial"/>
                <w:color w:val="000000"/>
                <w:szCs w:val="16"/>
              </w:rPr>
              <w:t>194.1</w:t>
            </w:r>
          </w:p>
        </w:tc>
      </w:tr>
      <w:tr w:rsidR="00627CA1" w:rsidRPr="00D9348B" w14:paraId="4FD35D5B" w14:textId="77777777" w:rsidTr="00DB330E">
        <w:tc>
          <w:tcPr>
            <w:tcW w:w="2667" w:type="pct"/>
            <w:tcBorders>
              <w:top w:val="single" w:sz="4" w:space="0" w:color="365F91"/>
              <w:bottom w:val="single" w:sz="4" w:space="0" w:color="365F91"/>
            </w:tcBorders>
            <w:shd w:val="clear" w:color="auto" w:fill="auto"/>
            <w:vAlign w:val="center"/>
          </w:tcPr>
          <w:p w14:paraId="55951CCD" w14:textId="77777777" w:rsidR="00627CA1" w:rsidRPr="00D9348B" w:rsidRDefault="00627CA1" w:rsidP="00DB330E">
            <w:pPr>
              <w:pStyle w:val="TableText"/>
              <w:spacing w:before="50" w:after="50"/>
              <w:rPr>
                <w:bCs/>
              </w:rPr>
            </w:pPr>
            <w:r w:rsidRPr="00D9348B">
              <w:rPr>
                <w:bCs/>
              </w:rPr>
              <w:t xml:space="preserve">Biomass burning </w:t>
            </w:r>
          </w:p>
        </w:tc>
        <w:tc>
          <w:tcPr>
            <w:tcW w:w="750" w:type="pct"/>
            <w:tcBorders>
              <w:top w:val="single" w:sz="4" w:space="0" w:color="365F91"/>
              <w:bottom w:val="single" w:sz="4" w:space="0" w:color="365F91"/>
            </w:tcBorders>
            <w:shd w:val="clear" w:color="auto" w:fill="auto"/>
            <w:vAlign w:val="center"/>
          </w:tcPr>
          <w:p w14:paraId="547ED3D1" w14:textId="77777777" w:rsidR="00627CA1" w:rsidRPr="00D9348B" w:rsidRDefault="00627CA1" w:rsidP="00DB330E">
            <w:pPr>
              <w:pStyle w:val="TableText"/>
              <w:spacing w:before="50" w:after="50"/>
              <w:jc w:val="center"/>
            </w:pPr>
            <w:r w:rsidRPr="00D9348B">
              <w:t>N</w:t>
            </w:r>
            <w:r w:rsidRPr="00D9348B">
              <w:rPr>
                <w:vertAlign w:val="subscript"/>
              </w:rPr>
              <w:t>2</w:t>
            </w:r>
            <w:r w:rsidRPr="00D9348B">
              <w:t>O</w:t>
            </w:r>
          </w:p>
        </w:tc>
        <w:tc>
          <w:tcPr>
            <w:tcW w:w="834" w:type="pct"/>
            <w:tcBorders>
              <w:top w:val="single" w:sz="4" w:space="0" w:color="365F91"/>
              <w:bottom w:val="single" w:sz="4" w:space="0" w:color="365F91"/>
            </w:tcBorders>
            <w:shd w:val="clear" w:color="auto" w:fill="auto"/>
            <w:vAlign w:val="center"/>
          </w:tcPr>
          <w:p w14:paraId="2090CF9F" w14:textId="77777777" w:rsidR="00627CA1" w:rsidRPr="00D9348B" w:rsidRDefault="00627CA1" w:rsidP="00DB330E">
            <w:pPr>
              <w:pStyle w:val="TableText"/>
              <w:spacing w:before="50" w:after="50"/>
              <w:jc w:val="right"/>
            </w:pPr>
            <w:r w:rsidRPr="00D9348B">
              <w:rPr>
                <w:rFonts w:cs="Arial"/>
                <w:color w:val="000000"/>
                <w:szCs w:val="16"/>
              </w:rPr>
              <w:t>0.32</w:t>
            </w:r>
          </w:p>
        </w:tc>
        <w:tc>
          <w:tcPr>
            <w:tcW w:w="749" w:type="pct"/>
            <w:tcBorders>
              <w:top w:val="single" w:sz="4" w:space="0" w:color="365F91"/>
              <w:bottom w:val="single" w:sz="4" w:space="0" w:color="365F91"/>
            </w:tcBorders>
            <w:shd w:val="clear" w:color="auto" w:fill="auto"/>
            <w:vAlign w:val="center"/>
          </w:tcPr>
          <w:p w14:paraId="6E79C04E" w14:textId="77777777" w:rsidR="00627CA1" w:rsidRPr="00D9348B" w:rsidRDefault="00627CA1" w:rsidP="00DB330E">
            <w:pPr>
              <w:pStyle w:val="TableText"/>
              <w:spacing w:before="50" w:after="50"/>
              <w:jc w:val="right"/>
            </w:pPr>
            <w:r w:rsidRPr="00D9348B">
              <w:rPr>
                <w:rFonts w:cs="Arial"/>
                <w:color w:val="000000"/>
                <w:szCs w:val="16"/>
              </w:rPr>
              <w:t>94.5</w:t>
            </w:r>
          </w:p>
        </w:tc>
      </w:tr>
      <w:tr w:rsidR="00627CA1" w:rsidRPr="00D9348B" w14:paraId="0F7A1FD0" w14:textId="77777777" w:rsidTr="00DB330E">
        <w:tc>
          <w:tcPr>
            <w:tcW w:w="2667" w:type="pct"/>
            <w:tcBorders>
              <w:top w:val="single" w:sz="4" w:space="0" w:color="365F91"/>
              <w:bottom w:val="single" w:sz="4" w:space="0" w:color="365F91"/>
            </w:tcBorders>
            <w:shd w:val="clear" w:color="auto" w:fill="auto"/>
            <w:vAlign w:val="center"/>
          </w:tcPr>
          <w:p w14:paraId="7AB150FC" w14:textId="77777777" w:rsidR="00627CA1" w:rsidRPr="00D9348B" w:rsidRDefault="00627CA1" w:rsidP="00DB330E">
            <w:pPr>
              <w:pStyle w:val="Tableboldblue"/>
              <w:spacing w:before="50" w:after="50"/>
            </w:pPr>
            <w:r w:rsidRPr="00D9348B">
              <w:t>Net emissions</w:t>
            </w:r>
          </w:p>
        </w:tc>
        <w:tc>
          <w:tcPr>
            <w:tcW w:w="750" w:type="pct"/>
            <w:tcBorders>
              <w:top w:val="single" w:sz="4" w:space="0" w:color="365F91"/>
              <w:bottom w:val="single" w:sz="4" w:space="0" w:color="365F91"/>
            </w:tcBorders>
            <w:shd w:val="clear" w:color="auto" w:fill="auto"/>
            <w:vAlign w:val="center"/>
          </w:tcPr>
          <w:p w14:paraId="7F7CC715" w14:textId="77777777" w:rsidR="00627CA1" w:rsidRPr="00D9348B" w:rsidRDefault="00627CA1" w:rsidP="00DB330E">
            <w:pPr>
              <w:pStyle w:val="Tableboldblue"/>
              <w:spacing w:before="50" w:after="50"/>
              <w:jc w:val="right"/>
            </w:pPr>
          </w:p>
        </w:tc>
        <w:tc>
          <w:tcPr>
            <w:tcW w:w="834" w:type="pct"/>
            <w:tcBorders>
              <w:top w:val="single" w:sz="4" w:space="0" w:color="365F91"/>
              <w:bottom w:val="single" w:sz="4" w:space="0" w:color="365F91"/>
            </w:tcBorders>
            <w:shd w:val="clear" w:color="auto" w:fill="auto"/>
            <w:vAlign w:val="center"/>
          </w:tcPr>
          <w:p w14:paraId="70EE746D" w14:textId="77777777" w:rsidR="00627CA1" w:rsidRPr="00D9348B" w:rsidRDefault="00627CA1" w:rsidP="00DB330E">
            <w:pPr>
              <w:pStyle w:val="Tableboldblue"/>
              <w:spacing w:before="50" w:after="50"/>
              <w:jc w:val="right"/>
            </w:pPr>
            <w:r w:rsidRPr="00D9348B">
              <w:t> </w:t>
            </w:r>
          </w:p>
        </w:tc>
        <w:tc>
          <w:tcPr>
            <w:tcW w:w="749" w:type="pct"/>
            <w:tcBorders>
              <w:top w:val="single" w:sz="4" w:space="0" w:color="365F91"/>
              <w:bottom w:val="single" w:sz="4" w:space="0" w:color="365F91"/>
            </w:tcBorders>
            <w:shd w:val="clear" w:color="auto" w:fill="auto"/>
            <w:vAlign w:val="center"/>
          </w:tcPr>
          <w:p w14:paraId="06F566EC" w14:textId="77777777" w:rsidR="00627CA1" w:rsidRPr="00D9348B" w:rsidRDefault="00627CA1" w:rsidP="00DB330E">
            <w:pPr>
              <w:pStyle w:val="Tableboldblue"/>
              <w:spacing w:before="50" w:after="50"/>
              <w:jc w:val="right"/>
            </w:pPr>
            <w:r w:rsidRPr="00D9348B">
              <w:t>–172,903.7</w:t>
            </w:r>
          </w:p>
        </w:tc>
      </w:tr>
    </w:tbl>
    <w:p w14:paraId="5B232B41" w14:textId="77777777" w:rsidR="00627CA1" w:rsidRPr="00D9348B" w:rsidRDefault="00627CA1" w:rsidP="00627CA1">
      <w:pPr>
        <w:pStyle w:val="Noteundertable"/>
      </w:pPr>
      <w:r w:rsidRPr="00D9348B">
        <w:rPr>
          <w:b/>
        </w:rPr>
        <w:t>Note:</w:t>
      </w:r>
      <w:r w:rsidRPr="00D9348B">
        <w:tab/>
        <w:t>CO</w:t>
      </w:r>
      <w:r w:rsidRPr="00D9348B">
        <w:rPr>
          <w:vertAlign w:val="subscript"/>
        </w:rPr>
        <w:t>2</w:t>
      </w:r>
      <w:r w:rsidRPr="00D9348B">
        <w:t xml:space="preserve"> = carbon dioxide; N</w:t>
      </w:r>
      <w:r w:rsidRPr="00D9348B">
        <w:rPr>
          <w:vertAlign w:val="subscript"/>
        </w:rPr>
        <w:t>2</w:t>
      </w:r>
      <w:r w:rsidRPr="00D9348B">
        <w:t>O = nitrous oxide; CH</w:t>
      </w:r>
      <w:r w:rsidRPr="00D9348B">
        <w:rPr>
          <w:vertAlign w:val="subscript"/>
        </w:rPr>
        <w:t>4</w:t>
      </w:r>
      <w:r w:rsidRPr="00D9348B">
        <w:t xml:space="preserve"> = methane. Columns may not total due to rounding.</w:t>
      </w:r>
    </w:p>
    <w:p w14:paraId="6F3F3B65" w14:textId="77777777" w:rsidR="00627CA1" w:rsidRPr="00D9348B" w:rsidRDefault="00627CA1" w:rsidP="00627CA1">
      <w:pPr>
        <w:pStyle w:val="Heading5"/>
        <w:spacing w:before="120"/>
      </w:pPr>
      <w:r w:rsidRPr="00D9348B">
        <w:t>Key categories</w:t>
      </w:r>
    </w:p>
    <w:p w14:paraId="67D68946" w14:textId="77777777" w:rsidR="00627CA1" w:rsidRPr="00D9348B" w:rsidRDefault="00627CA1" w:rsidP="00627CA1">
      <w:pPr>
        <w:pStyle w:val="BodyText"/>
        <w:spacing w:before="100"/>
      </w:pPr>
      <w:r w:rsidRPr="00D9348B">
        <w:t xml:space="preserve">Conversion to </w:t>
      </w:r>
      <w:r w:rsidRPr="00D9348B">
        <w:rPr>
          <w:i/>
        </w:rPr>
        <w:t>Forest land</w:t>
      </w:r>
      <w:r w:rsidRPr="00D9348B">
        <w:t xml:space="preserve"> (</w:t>
      </w:r>
      <w:r w:rsidRPr="00D9348B">
        <w:rPr>
          <w:i/>
        </w:rPr>
        <w:t>Afforestation and reforestation</w:t>
      </w:r>
      <w:r w:rsidRPr="00D9348B">
        <w:t xml:space="preserve">), conversion to </w:t>
      </w:r>
      <w:r w:rsidRPr="00D9348B">
        <w:rPr>
          <w:i/>
        </w:rPr>
        <w:t>Grassland</w:t>
      </w:r>
      <w:r w:rsidRPr="00D9348B">
        <w:t xml:space="preserve"> (</w:t>
      </w:r>
      <w:r w:rsidRPr="00D9348B">
        <w:rPr>
          <w:i/>
        </w:rPr>
        <w:t>Deforestation</w:t>
      </w:r>
      <w:r w:rsidRPr="00D9348B">
        <w:t xml:space="preserve">) and </w:t>
      </w:r>
      <w:r w:rsidRPr="00D9348B">
        <w:rPr>
          <w:i/>
        </w:rPr>
        <w:t>Forest land remaining forest land</w:t>
      </w:r>
      <w:r w:rsidRPr="00D9348B">
        <w:t xml:space="preserve"> (</w:t>
      </w:r>
      <w:r w:rsidRPr="00D9348B">
        <w:rPr>
          <w:i/>
        </w:rPr>
        <w:t>Forest management</w:t>
      </w:r>
      <w:r w:rsidRPr="00D9348B">
        <w:t>) are all key categories for New Zealand (table 1.5.4, chapter 1).</w:t>
      </w:r>
    </w:p>
    <w:p w14:paraId="2C5D3EBD" w14:textId="77777777" w:rsidR="00627CA1" w:rsidRPr="00D9348B" w:rsidRDefault="00627CA1" w:rsidP="00627CA1">
      <w:pPr>
        <w:pStyle w:val="Heading3"/>
        <w:spacing w:before="280"/>
      </w:pPr>
      <w:bookmarkStart w:id="3176" w:name="_Toc400967253"/>
      <w:r w:rsidRPr="00D9348B">
        <w:t xml:space="preserve">11.1.1 </w:t>
      </w:r>
      <w:r w:rsidRPr="00D9348B">
        <w:tab/>
        <w:t>Definitions of forest and any other criteria</w:t>
      </w:r>
      <w:bookmarkEnd w:id="3167"/>
      <w:bookmarkEnd w:id="3168"/>
      <w:bookmarkEnd w:id="3169"/>
      <w:bookmarkEnd w:id="3170"/>
      <w:bookmarkEnd w:id="3176"/>
    </w:p>
    <w:p w14:paraId="103C9940" w14:textId="77777777" w:rsidR="00627CA1" w:rsidRPr="00D9348B" w:rsidRDefault="00627CA1" w:rsidP="00627CA1">
      <w:pPr>
        <w:pStyle w:val="BodyText"/>
      </w:pPr>
      <w:r w:rsidRPr="00D9348B">
        <w:t xml:space="preserve">New Zealand is using the same </w:t>
      </w:r>
      <w:r w:rsidRPr="00D9348B">
        <w:rPr>
          <w:i/>
        </w:rPr>
        <w:t>Forest land</w:t>
      </w:r>
      <w:r w:rsidRPr="00D9348B">
        <w:t xml:space="preserve"> definition for the period to 2020 as that used for the first commitment period and as defined in </w:t>
      </w:r>
      <w:r w:rsidRPr="00D9348B">
        <w:rPr>
          <w:i/>
        </w:rPr>
        <w:t xml:space="preserve">New Zealand’s Initial Report under the Kyoto Protocol </w:t>
      </w:r>
      <w:r w:rsidRPr="00D9348B">
        <w:t xml:space="preserve">(Ministry for the Environment, 2006). This definition is consistent with that used for the Land Use, Land-Use Change and Forestry (LULUCF) sector under the UNFCCC reporting (chapter 6). Table 11.1.3 provides the defining parameters for </w:t>
      </w:r>
      <w:r w:rsidRPr="00D9348B">
        <w:rPr>
          <w:i/>
        </w:rPr>
        <w:t>Forest land</w:t>
      </w:r>
      <w:r w:rsidRPr="00D9348B">
        <w:t>.</w:t>
      </w:r>
    </w:p>
    <w:p w14:paraId="7FCFF5C0" w14:textId="77777777" w:rsidR="00627CA1" w:rsidRPr="00D9348B" w:rsidRDefault="00627CA1" w:rsidP="00627CA1">
      <w:pPr>
        <w:pStyle w:val="Table"/>
      </w:pPr>
      <w:bookmarkStart w:id="3177" w:name="_Toc280630485"/>
      <w:bookmarkStart w:id="3178" w:name="_Toc310423442"/>
      <w:bookmarkStart w:id="3179" w:name="_Toc318362735"/>
      <w:bookmarkStart w:id="3180" w:name="_Toc342470814"/>
      <w:bookmarkStart w:id="3181" w:name="_Toc352505067"/>
      <w:bookmarkStart w:id="3182" w:name="_Toc377043703"/>
      <w:bookmarkStart w:id="3183" w:name="_Toc391023555"/>
      <w:bookmarkStart w:id="3184" w:name="_Toc414531526"/>
      <w:bookmarkStart w:id="3185" w:name="_Toc456179105"/>
      <w:bookmarkStart w:id="3186" w:name="_Toc481751631"/>
      <w:bookmarkStart w:id="3187" w:name="_Toc522010656"/>
      <w:bookmarkStart w:id="3188" w:name="_Toc5269626"/>
      <w:bookmarkStart w:id="3189" w:name="_Toc36224708"/>
      <w:r w:rsidRPr="00D9348B">
        <w:t>Table 11.1.3</w:t>
      </w:r>
      <w:r w:rsidRPr="00D9348B">
        <w:tab/>
        <w:t>Parameters defining Forest land in New Zealand</w:t>
      </w:r>
      <w:bookmarkEnd w:id="3177"/>
      <w:bookmarkEnd w:id="3178"/>
      <w:bookmarkEnd w:id="3179"/>
      <w:bookmarkEnd w:id="3180"/>
      <w:bookmarkEnd w:id="3181"/>
      <w:bookmarkEnd w:id="3182"/>
      <w:bookmarkEnd w:id="3183"/>
      <w:bookmarkEnd w:id="3184"/>
      <w:bookmarkEnd w:id="3185"/>
      <w:bookmarkEnd w:id="3186"/>
      <w:bookmarkEnd w:id="3187"/>
      <w:bookmarkEnd w:id="3188"/>
      <w:bookmarkEnd w:id="3189"/>
    </w:p>
    <w:tbl>
      <w:tblPr>
        <w:tblW w:w="8562" w:type="dxa"/>
        <w:tblInd w:w="108" w:type="dxa"/>
        <w:tblBorders>
          <w:top w:val="single" w:sz="4" w:space="0" w:color="365F91"/>
          <w:bottom w:val="single" w:sz="4" w:space="0" w:color="365F91"/>
          <w:insideH w:val="single" w:sz="4" w:space="0" w:color="365F91"/>
        </w:tblBorders>
        <w:tblLook w:val="01E0" w:firstRow="1" w:lastRow="1" w:firstColumn="1" w:lastColumn="1" w:noHBand="0" w:noVBand="0"/>
      </w:tblPr>
      <w:tblGrid>
        <w:gridCol w:w="3082"/>
        <w:gridCol w:w="2701"/>
        <w:gridCol w:w="2779"/>
      </w:tblGrid>
      <w:tr w:rsidR="00627CA1" w:rsidRPr="00D9348B" w14:paraId="7D052208" w14:textId="77777777" w:rsidTr="00DB330E">
        <w:tc>
          <w:tcPr>
            <w:tcW w:w="2672" w:type="dxa"/>
            <w:shd w:val="clear" w:color="auto" w:fill="365F91"/>
            <w:vAlign w:val="center"/>
          </w:tcPr>
          <w:p w14:paraId="6813CE38" w14:textId="77777777" w:rsidR="00627CA1" w:rsidRPr="00D9348B" w:rsidRDefault="00627CA1" w:rsidP="00DB330E">
            <w:pPr>
              <w:pStyle w:val="TableTextBold"/>
              <w:rPr>
                <w:noProof w:val="0"/>
                <w:color w:val="FFFFFF"/>
                <w:szCs w:val="16"/>
              </w:rPr>
            </w:pPr>
            <w:r w:rsidRPr="00D9348B">
              <w:rPr>
                <w:noProof w:val="0"/>
                <w:color w:val="FFFFFF"/>
                <w:szCs w:val="16"/>
              </w:rPr>
              <w:t>Forest parameter</w:t>
            </w:r>
          </w:p>
        </w:tc>
        <w:tc>
          <w:tcPr>
            <w:tcW w:w="2341" w:type="dxa"/>
            <w:shd w:val="clear" w:color="auto" w:fill="365F91"/>
            <w:vAlign w:val="center"/>
          </w:tcPr>
          <w:p w14:paraId="5ADB23C4" w14:textId="77777777" w:rsidR="00627CA1" w:rsidRPr="00D9348B" w:rsidRDefault="00627CA1" w:rsidP="00DB330E">
            <w:pPr>
              <w:pStyle w:val="TableTextBold"/>
              <w:jc w:val="center"/>
              <w:rPr>
                <w:noProof w:val="0"/>
                <w:color w:val="FFFFFF"/>
                <w:szCs w:val="16"/>
              </w:rPr>
            </w:pPr>
            <w:r w:rsidRPr="00D9348B">
              <w:rPr>
                <w:noProof w:val="0"/>
                <w:color w:val="FFFFFF"/>
                <w:szCs w:val="16"/>
              </w:rPr>
              <w:t>Kyoto Protocol range</w:t>
            </w:r>
          </w:p>
        </w:tc>
        <w:tc>
          <w:tcPr>
            <w:tcW w:w="2409" w:type="dxa"/>
            <w:shd w:val="clear" w:color="auto" w:fill="365F91"/>
            <w:vAlign w:val="center"/>
          </w:tcPr>
          <w:p w14:paraId="23F805D9" w14:textId="77777777" w:rsidR="00627CA1" w:rsidRPr="00D9348B" w:rsidRDefault="00627CA1" w:rsidP="00DB330E">
            <w:pPr>
              <w:pStyle w:val="TableTextBold"/>
              <w:jc w:val="center"/>
              <w:rPr>
                <w:noProof w:val="0"/>
                <w:color w:val="FFFFFF"/>
                <w:szCs w:val="16"/>
              </w:rPr>
            </w:pPr>
            <w:r w:rsidRPr="00D9348B">
              <w:rPr>
                <w:noProof w:val="0"/>
                <w:color w:val="FFFFFF"/>
                <w:szCs w:val="16"/>
              </w:rPr>
              <w:t>New Zealand selected value</w:t>
            </w:r>
          </w:p>
        </w:tc>
      </w:tr>
      <w:tr w:rsidR="00627CA1" w:rsidRPr="00D9348B" w14:paraId="7CE550F6" w14:textId="77777777" w:rsidTr="00DB330E">
        <w:tc>
          <w:tcPr>
            <w:tcW w:w="2672" w:type="dxa"/>
            <w:shd w:val="clear" w:color="auto" w:fill="auto"/>
            <w:vAlign w:val="center"/>
          </w:tcPr>
          <w:p w14:paraId="48F782B1" w14:textId="77777777" w:rsidR="00627CA1" w:rsidRPr="00D9348B" w:rsidRDefault="00627CA1" w:rsidP="00DB330E">
            <w:pPr>
              <w:pStyle w:val="TableText"/>
              <w:spacing w:before="50" w:after="50"/>
              <w:rPr>
                <w:szCs w:val="16"/>
              </w:rPr>
            </w:pPr>
            <w:r w:rsidRPr="00D9348B">
              <w:rPr>
                <w:szCs w:val="16"/>
              </w:rPr>
              <w:t>Minimum land area (ha)</w:t>
            </w:r>
          </w:p>
        </w:tc>
        <w:tc>
          <w:tcPr>
            <w:tcW w:w="2341" w:type="dxa"/>
            <w:shd w:val="clear" w:color="auto" w:fill="auto"/>
            <w:vAlign w:val="center"/>
          </w:tcPr>
          <w:p w14:paraId="5A5DAED2" w14:textId="77777777" w:rsidR="00627CA1" w:rsidRPr="00D9348B" w:rsidRDefault="00627CA1" w:rsidP="00DB330E">
            <w:pPr>
              <w:pStyle w:val="TableText"/>
              <w:spacing w:before="50" w:after="50"/>
              <w:jc w:val="center"/>
              <w:rPr>
                <w:szCs w:val="16"/>
              </w:rPr>
            </w:pPr>
            <w:r w:rsidRPr="00D9348B">
              <w:rPr>
                <w:szCs w:val="16"/>
              </w:rPr>
              <w:t>0.05–1</w:t>
            </w:r>
          </w:p>
        </w:tc>
        <w:tc>
          <w:tcPr>
            <w:tcW w:w="2409" w:type="dxa"/>
            <w:shd w:val="clear" w:color="auto" w:fill="auto"/>
            <w:vAlign w:val="center"/>
          </w:tcPr>
          <w:p w14:paraId="5708850E" w14:textId="77777777" w:rsidR="00627CA1" w:rsidRPr="00D9348B" w:rsidRDefault="00627CA1" w:rsidP="00DB330E">
            <w:pPr>
              <w:pStyle w:val="TableText"/>
              <w:spacing w:before="50" w:after="50"/>
              <w:jc w:val="center"/>
              <w:rPr>
                <w:bCs/>
                <w:szCs w:val="16"/>
              </w:rPr>
            </w:pPr>
            <w:r w:rsidRPr="00D9348B">
              <w:rPr>
                <w:bCs/>
                <w:szCs w:val="16"/>
              </w:rPr>
              <w:t>1</w:t>
            </w:r>
          </w:p>
        </w:tc>
      </w:tr>
      <w:tr w:rsidR="00627CA1" w:rsidRPr="00D9348B" w14:paraId="0347808C" w14:textId="77777777" w:rsidTr="00DB330E">
        <w:tc>
          <w:tcPr>
            <w:tcW w:w="2672" w:type="dxa"/>
            <w:tcBorders>
              <w:bottom w:val="single" w:sz="4" w:space="0" w:color="365F91"/>
            </w:tcBorders>
            <w:shd w:val="clear" w:color="auto" w:fill="auto"/>
            <w:vAlign w:val="center"/>
          </w:tcPr>
          <w:p w14:paraId="045FD645" w14:textId="77777777" w:rsidR="00627CA1" w:rsidRPr="00D9348B" w:rsidRDefault="00627CA1" w:rsidP="00DB330E">
            <w:pPr>
              <w:pStyle w:val="TableText"/>
              <w:spacing w:before="50" w:after="50"/>
              <w:rPr>
                <w:szCs w:val="16"/>
              </w:rPr>
            </w:pPr>
            <w:r w:rsidRPr="00D9348B">
              <w:rPr>
                <w:szCs w:val="16"/>
              </w:rPr>
              <w:t>Minimum crown cover (%)</w:t>
            </w:r>
          </w:p>
        </w:tc>
        <w:tc>
          <w:tcPr>
            <w:tcW w:w="2341" w:type="dxa"/>
            <w:tcBorders>
              <w:bottom w:val="single" w:sz="4" w:space="0" w:color="365F91"/>
            </w:tcBorders>
            <w:shd w:val="clear" w:color="auto" w:fill="auto"/>
            <w:vAlign w:val="center"/>
          </w:tcPr>
          <w:p w14:paraId="6BABD3EE" w14:textId="77777777" w:rsidR="00627CA1" w:rsidRPr="00D9348B" w:rsidRDefault="00627CA1" w:rsidP="00DB330E">
            <w:pPr>
              <w:pStyle w:val="TableText"/>
              <w:spacing w:before="50" w:after="50"/>
              <w:jc w:val="center"/>
              <w:rPr>
                <w:szCs w:val="16"/>
              </w:rPr>
            </w:pPr>
            <w:r w:rsidRPr="00D9348B">
              <w:rPr>
                <w:szCs w:val="16"/>
              </w:rPr>
              <w:t>10–30</w:t>
            </w:r>
          </w:p>
        </w:tc>
        <w:tc>
          <w:tcPr>
            <w:tcW w:w="2409" w:type="dxa"/>
            <w:tcBorders>
              <w:bottom w:val="single" w:sz="4" w:space="0" w:color="365F91"/>
            </w:tcBorders>
            <w:shd w:val="clear" w:color="auto" w:fill="auto"/>
            <w:vAlign w:val="center"/>
          </w:tcPr>
          <w:p w14:paraId="39EE3A83" w14:textId="77777777" w:rsidR="00627CA1" w:rsidRPr="00D9348B" w:rsidRDefault="00627CA1" w:rsidP="00DB330E">
            <w:pPr>
              <w:pStyle w:val="TableText"/>
              <w:spacing w:before="50" w:after="50"/>
              <w:jc w:val="center"/>
              <w:rPr>
                <w:bCs/>
                <w:szCs w:val="16"/>
              </w:rPr>
            </w:pPr>
            <w:r w:rsidRPr="00D9348B">
              <w:rPr>
                <w:bCs/>
                <w:szCs w:val="16"/>
              </w:rPr>
              <w:t>30</w:t>
            </w:r>
          </w:p>
        </w:tc>
      </w:tr>
      <w:tr w:rsidR="00627CA1" w:rsidRPr="00D9348B" w14:paraId="5BC7CC55" w14:textId="77777777" w:rsidTr="00DB330E">
        <w:tc>
          <w:tcPr>
            <w:tcW w:w="2672" w:type="dxa"/>
            <w:shd w:val="clear" w:color="auto" w:fill="auto"/>
            <w:vAlign w:val="center"/>
          </w:tcPr>
          <w:p w14:paraId="691B1CE0" w14:textId="77777777" w:rsidR="00627CA1" w:rsidRPr="00D9348B" w:rsidRDefault="00627CA1" w:rsidP="00DB330E">
            <w:pPr>
              <w:pStyle w:val="TableText"/>
              <w:spacing w:before="50" w:after="50"/>
              <w:rPr>
                <w:szCs w:val="16"/>
              </w:rPr>
            </w:pPr>
            <w:r w:rsidRPr="00D9348B">
              <w:rPr>
                <w:szCs w:val="16"/>
              </w:rPr>
              <w:t>Minimum height (m)</w:t>
            </w:r>
          </w:p>
        </w:tc>
        <w:tc>
          <w:tcPr>
            <w:tcW w:w="2341" w:type="dxa"/>
            <w:shd w:val="clear" w:color="auto" w:fill="auto"/>
            <w:vAlign w:val="center"/>
          </w:tcPr>
          <w:p w14:paraId="502FA90C" w14:textId="77777777" w:rsidR="00627CA1" w:rsidRPr="00D9348B" w:rsidRDefault="00627CA1" w:rsidP="00DB330E">
            <w:pPr>
              <w:pStyle w:val="TableText"/>
              <w:spacing w:before="50" w:after="50"/>
              <w:jc w:val="center"/>
              <w:rPr>
                <w:bCs/>
                <w:szCs w:val="16"/>
              </w:rPr>
            </w:pPr>
            <w:r w:rsidRPr="00D9348B">
              <w:rPr>
                <w:bCs/>
                <w:szCs w:val="16"/>
              </w:rPr>
              <w:t>2–5</w:t>
            </w:r>
          </w:p>
        </w:tc>
        <w:tc>
          <w:tcPr>
            <w:tcW w:w="2409" w:type="dxa"/>
            <w:shd w:val="clear" w:color="auto" w:fill="auto"/>
            <w:vAlign w:val="center"/>
          </w:tcPr>
          <w:p w14:paraId="4F7522E0" w14:textId="77777777" w:rsidR="00627CA1" w:rsidRPr="00D9348B" w:rsidRDefault="00627CA1" w:rsidP="00DB330E">
            <w:pPr>
              <w:pStyle w:val="TableText"/>
              <w:spacing w:before="50" w:after="50"/>
              <w:jc w:val="center"/>
              <w:rPr>
                <w:bCs/>
                <w:szCs w:val="16"/>
              </w:rPr>
            </w:pPr>
            <w:r w:rsidRPr="00D9348B">
              <w:rPr>
                <w:bCs/>
                <w:szCs w:val="16"/>
              </w:rPr>
              <w:t>5</w:t>
            </w:r>
          </w:p>
        </w:tc>
      </w:tr>
    </w:tbl>
    <w:p w14:paraId="1AF6B45E" w14:textId="77777777" w:rsidR="00627CA1" w:rsidRPr="00D9348B" w:rsidRDefault="00627CA1" w:rsidP="00627CA1">
      <w:pPr>
        <w:pStyle w:val="Noteundertable"/>
      </w:pPr>
      <w:r w:rsidRPr="00D9348B">
        <w:rPr>
          <w:b/>
        </w:rPr>
        <w:t>Note:</w:t>
      </w:r>
      <w:r w:rsidRPr="00D9348B">
        <w:tab/>
        <w:t xml:space="preserve">The range values represent the minimum forest definition values as defined under the Kyoto Protocol, Decision 16/CMP.1 (UNFCCC, 2006). </w:t>
      </w:r>
    </w:p>
    <w:p w14:paraId="05724BAD" w14:textId="77777777" w:rsidR="00627CA1" w:rsidRPr="00D9348B" w:rsidRDefault="00627CA1" w:rsidP="00627CA1">
      <w:pPr>
        <w:pStyle w:val="BodyText"/>
      </w:pPr>
      <w:r w:rsidRPr="00D9348B">
        <w:t xml:space="preserve">New Zealand also uses a minimum forest width of 30 metres, which removes linear shelterbelts from the </w:t>
      </w:r>
      <w:r w:rsidRPr="00D9348B">
        <w:rPr>
          <w:i/>
        </w:rPr>
        <w:t>Forest land</w:t>
      </w:r>
      <w:r w:rsidRPr="00D9348B">
        <w:t xml:space="preserve"> category. Linear shelterbelts can vary in width and height, because they are trimmed and topped from time to time. Further, they form part of non</w:t>
      </w:r>
      <w:r w:rsidRPr="00D9348B">
        <w:noBreakHyphen/>
        <w:t xml:space="preserve">forest land uses, namely </w:t>
      </w:r>
      <w:r w:rsidRPr="00D9348B">
        <w:rPr>
          <w:i/>
        </w:rPr>
        <w:t>Cropland</w:t>
      </w:r>
      <w:r w:rsidRPr="00D9348B">
        <w:t xml:space="preserve"> and </w:t>
      </w:r>
      <w:r w:rsidRPr="00D9348B">
        <w:rPr>
          <w:i/>
        </w:rPr>
        <w:t>Grassland</w:t>
      </w:r>
      <w:r w:rsidRPr="00D9348B">
        <w:t xml:space="preserve"> as shelter to crops and/or animals.</w:t>
      </w:r>
    </w:p>
    <w:p w14:paraId="0CCDD0F1" w14:textId="77777777" w:rsidR="00627CA1" w:rsidRPr="00D9348B" w:rsidRDefault="00627CA1" w:rsidP="00627CA1">
      <w:pPr>
        <w:pStyle w:val="BodyText"/>
      </w:pPr>
      <w:r w:rsidRPr="00D9348B">
        <w:t xml:space="preserve">For reporting under the Kyoto Protocol, New Zealand has categorised its forests into three types: pre-1990 natural forest, pre-1990 planted forest and post-1989 forest. These subcategories are also used for inventory reporting on the LULUCF sector under the UNFCCC (see chapter 6). </w:t>
      </w:r>
    </w:p>
    <w:p w14:paraId="4ED55DA7" w14:textId="77777777" w:rsidR="00627CA1" w:rsidRPr="00D9348B" w:rsidRDefault="00627CA1" w:rsidP="00627CA1">
      <w:pPr>
        <w:pStyle w:val="BodyText"/>
        <w:spacing w:before="100" w:after="100"/>
      </w:pPr>
      <w:r w:rsidRPr="00D9348B">
        <w:t xml:space="preserve">For post-1989 forest, emissions and removals from carbon losses and gains due to </w:t>
      </w:r>
      <w:r w:rsidRPr="00D9348B">
        <w:rPr>
          <w:i/>
        </w:rPr>
        <w:t>Afforestation and reforestation</w:t>
      </w:r>
      <w:r w:rsidRPr="00D9348B">
        <w:rPr>
          <w:rStyle w:val="FootnoteReference"/>
        </w:rPr>
        <w:footnoteReference w:id="73"/>
      </w:r>
      <w:r w:rsidRPr="00D9348B">
        <w:t xml:space="preserve"> and </w:t>
      </w:r>
      <w:r w:rsidRPr="00D9348B">
        <w:rPr>
          <w:i/>
        </w:rPr>
        <w:t xml:space="preserve">Deforestation </w:t>
      </w:r>
      <w:r w:rsidRPr="00D9348B">
        <w:t xml:space="preserve">activities are reported under Article 3.3, along with emissions from </w:t>
      </w:r>
      <w:r w:rsidRPr="00D9348B">
        <w:rPr>
          <w:i/>
        </w:rPr>
        <w:t>Deforestation</w:t>
      </w:r>
      <w:r w:rsidRPr="00D9348B">
        <w:t xml:space="preserve"> activities in pre-1990 natural and pre-1990 planted </w:t>
      </w:r>
      <w:r w:rsidRPr="00D9348B">
        <w:lastRenderedPageBreak/>
        <w:t xml:space="preserve">forest. For all </w:t>
      </w:r>
      <w:r w:rsidRPr="00D9348B">
        <w:rPr>
          <w:i/>
        </w:rPr>
        <w:t>Forest land</w:t>
      </w:r>
      <w:r w:rsidRPr="00D9348B">
        <w:t xml:space="preserve"> that existed on 31 December 1989, which has been categorised as either pre-1990 natural forest or pre-1990 planted forest, all emissions and removals not associated with </w:t>
      </w:r>
      <w:r w:rsidRPr="00D9348B">
        <w:rPr>
          <w:i/>
        </w:rPr>
        <w:t>Afforestation and reforestation</w:t>
      </w:r>
      <w:r w:rsidRPr="00D9348B">
        <w:t xml:space="preserve"> or </w:t>
      </w:r>
      <w:r w:rsidRPr="00D9348B">
        <w:rPr>
          <w:i/>
        </w:rPr>
        <w:t>Deforestation</w:t>
      </w:r>
      <w:r w:rsidRPr="00D9348B">
        <w:t xml:space="preserve"> activities are reported under Article 3.4 – </w:t>
      </w:r>
      <w:r w:rsidRPr="00D9348B">
        <w:rPr>
          <w:i/>
        </w:rPr>
        <w:t>Forest management</w:t>
      </w:r>
      <w:r w:rsidRPr="00D9348B">
        <w:t xml:space="preserve">. Emissions and removals from the harvest and conversion of forest plantations and establishment of new forests that satisfy the requirements of Decision 2/CMP.7, Annex para 37 (UNFCCC, 2012), are reported under Article 3.4 – </w:t>
      </w:r>
      <w:r w:rsidRPr="00D9348B">
        <w:rPr>
          <w:i/>
        </w:rPr>
        <w:t xml:space="preserve">Forest management </w:t>
      </w:r>
      <w:r w:rsidRPr="00D9348B">
        <w:t>as carbon equivalent forests.</w:t>
      </w:r>
    </w:p>
    <w:p w14:paraId="6A76C108" w14:textId="77777777" w:rsidR="00627CA1" w:rsidRPr="00D9348B" w:rsidRDefault="00627CA1" w:rsidP="00627CA1">
      <w:pPr>
        <w:pStyle w:val="BodyText"/>
        <w:spacing w:before="100" w:after="100"/>
      </w:pPr>
      <w:r w:rsidRPr="00D9348B">
        <w:t xml:space="preserve">The definition of forest used for reporting to the Food and Agriculture Organization (FAO) is currently different from that used for reporting under the Convention and the Kyoto Protocol. For reporting to the FAO, New Zealand subdivided forests into two estates based on their biological characteristics, the management regimes applied to the forests and their respective roles and national objectives (Ministry of Agriculture and Forestry, 2002). The two estates are indigenous and planted production forest. The former estate is included within the pre-1990 natural forest as reported in this submission. The planted production forest area largely equates to the productive area in pre-1990 planted forest and post-1989 planted forest. </w:t>
      </w:r>
    </w:p>
    <w:p w14:paraId="68D8494A" w14:textId="77777777" w:rsidR="00627CA1" w:rsidRPr="00D9348B" w:rsidRDefault="00627CA1" w:rsidP="00627CA1">
      <w:pPr>
        <w:pStyle w:val="Heading3"/>
        <w:spacing w:before="280"/>
      </w:pPr>
      <w:bookmarkStart w:id="3190" w:name="_Toc261513281"/>
      <w:bookmarkStart w:id="3191" w:name="_Toc261513894"/>
      <w:bookmarkStart w:id="3192" w:name="_Toc280630384"/>
      <w:bookmarkStart w:id="3193" w:name="_Toc377043716"/>
      <w:bookmarkStart w:id="3194" w:name="_Toc400967254"/>
      <w:r w:rsidRPr="00D9348B">
        <w:t>11.1.2</w:t>
      </w:r>
      <w:r w:rsidRPr="00D9348B">
        <w:tab/>
        <w:t>Elected activities under Article 3.4</w:t>
      </w:r>
      <w:bookmarkEnd w:id="3190"/>
      <w:bookmarkEnd w:id="3191"/>
      <w:bookmarkEnd w:id="3192"/>
      <w:bookmarkEnd w:id="3193"/>
      <w:bookmarkEnd w:id="3194"/>
    </w:p>
    <w:p w14:paraId="4C807F9D" w14:textId="77777777" w:rsidR="00627CA1" w:rsidRPr="00D9348B" w:rsidRDefault="00627CA1" w:rsidP="00627CA1">
      <w:pPr>
        <w:pStyle w:val="BodyText"/>
      </w:pPr>
      <w:r w:rsidRPr="00D9348B">
        <w:t>New Zealand has not elected to report on any of the voluntary activities under Article 3.4 of the Kyoto Protocol for the second commitment period. This is consistent with New Zealand’s reporting for the first commitment period.</w:t>
      </w:r>
    </w:p>
    <w:p w14:paraId="78AC7ACE" w14:textId="77777777" w:rsidR="00627CA1" w:rsidRPr="00D9348B" w:rsidRDefault="00627CA1" w:rsidP="00627CA1">
      <w:pPr>
        <w:pStyle w:val="Heading3"/>
        <w:spacing w:before="280"/>
      </w:pPr>
      <w:r w:rsidRPr="00D9348B">
        <w:t xml:space="preserve">11.1.3 </w:t>
      </w:r>
      <w:r w:rsidRPr="00D9348B">
        <w:tab/>
        <w:t>Election of the Natural disturbance provision</w:t>
      </w:r>
    </w:p>
    <w:p w14:paraId="0BF029B3" w14:textId="77777777" w:rsidR="00627CA1" w:rsidRPr="00D9348B" w:rsidRDefault="00627CA1" w:rsidP="00627CA1">
      <w:pPr>
        <w:pStyle w:val="BodyText"/>
        <w:spacing w:before="100" w:after="100"/>
      </w:pPr>
      <w:r w:rsidRPr="00D9348B">
        <w:t xml:space="preserve">In the event of a significant natural disturbance, New Zealand intends to apply the provision to exclude emissions due to natural disturbances from accounting for </w:t>
      </w:r>
      <w:r w:rsidRPr="00D9348B">
        <w:rPr>
          <w:i/>
        </w:rPr>
        <w:t>Afforestation and reforestation</w:t>
      </w:r>
      <w:r w:rsidRPr="00D9348B">
        <w:t xml:space="preserve"> under Article 3.3, and </w:t>
      </w:r>
      <w:r w:rsidRPr="00D9348B">
        <w:rPr>
          <w:i/>
        </w:rPr>
        <w:t>Forest management</w:t>
      </w:r>
      <w:r w:rsidRPr="00D9348B">
        <w:t xml:space="preserve"> under Article 3.4, of the Kyoto Protocol, in accordance with Decision 2/CMP.7 (Annex, paras 33 and 34, UNFCCC, 2012). </w:t>
      </w:r>
    </w:p>
    <w:p w14:paraId="177C6B0E" w14:textId="77777777" w:rsidR="00627CA1" w:rsidRPr="00D9348B" w:rsidRDefault="00627CA1" w:rsidP="00627CA1">
      <w:pPr>
        <w:pStyle w:val="BodyText"/>
        <w:spacing w:before="100" w:after="100"/>
      </w:pPr>
      <w:r w:rsidRPr="00D9348B">
        <w:t>Information on how New Zealand has calculated the background level for natural disturbance is included in annex 5.2.</w:t>
      </w:r>
    </w:p>
    <w:p w14:paraId="1B23C650" w14:textId="77777777" w:rsidR="00627CA1" w:rsidRPr="00D9348B" w:rsidRDefault="00627CA1" w:rsidP="00627CA1">
      <w:pPr>
        <w:pStyle w:val="Heading3"/>
        <w:spacing w:before="280"/>
      </w:pPr>
      <w:bookmarkStart w:id="3195" w:name="_Toc261513282"/>
      <w:bookmarkStart w:id="3196" w:name="_Toc261513895"/>
      <w:bookmarkStart w:id="3197" w:name="_Toc280630385"/>
      <w:bookmarkStart w:id="3198" w:name="_Toc377043717"/>
      <w:bookmarkStart w:id="3199" w:name="_Toc400967255"/>
      <w:r w:rsidRPr="00D9348B">
        <w:t>11.1.4</w:t>
      </w:r>
      <w:r w:rsidRPr="00D9348B">
        <w:tab/>
        <w:t>Implementation of Article 3.3</w:t>
      </w:r>
      <w:bookmarkEnd w:id="3195"/>
      <w:bookmarkEnd w:id="3196"/>
      <w:bookmarkEnd w:id="3197"/>
      <w:bookmarkEnd w:id="3198"/>
      <w:r w:rsidRPr="00D9348B">
        <w:t xml:space="preserve"> and Article 3.4</w:t>
      </w:r>
      <w:bookmarkEnd w:id="3199"/>
      <w:r w:rsidRPr="00D9348B">
        <w:t xml:space="preserve"> reporting</w:t>
      </w:r>
    </w:p>
    <w:p w14:paraId="467BB6D1" w14:textId="77777777" w:rsidR="00627CA1" w:rsidRPr="00D9348B" w:rsidRDefault="00627CA1" w:rsidP="00627CA1">
      <w:pPr>
        <w:pStyle w:val="BodyText"/>
        <w:spacing w:before="100" w:after="100"/>
      </w:pPr>
      <w:r w:rsidRPr="00D9348B">
        <w:t xml:space="preserve">New Zealand reports </w:t>
      </w:r>
      <w:r w:rsidRPr="00D9348B">
        <w:rPr>
          <w:i/>
        </w:rPr>
        <w:t>Afforestation and reforestation</w:t>
      </w:r>
      <w:r w:rsidRPr="00D9348B">
        <w:t xml:space="preserve">, </w:t>
      </w:r>
      <w:r w:rsidRPr="00D9348B">
        <w:rPr>
          <w:i/>
        </w:rPr>
        <w:t>Deforestation</w:t>
      </w:r>
      <w:r w:rsidRPr="00D9348B">
        <w:t xml:space="preserve"> and </w:t>
      </w:r>
      <w:r w:rsidRPr="00D9348B">
        <w:rPr>
          <w:i/>
        </w:rPr>
        <w:t>Forest management</w:t>
      </w:r>
      <w:r w:rsidRPr="00D9348B">
        <w:t xml:space="preserve"> under Article 3.3 and Article 3.4 respectively. In 2018, this covered 10,149,356 hectares, or 37.7 per cent, of New Zealand’s total land area.</w:t>
      </w:r>
    </w:p>
    <w:p w14:paraId="13213BE8" w14:textId="77777777" w:rsidR="00627CA1" w:rsidRPr="00D9348B" w:rsidRDefault="00627CA1" w:rsidP="00627CA1">
      <w:pPr>
        <w:pStyle w:val="BodyText"/>
        <w:spacing w:before="100" w:after="100"/>
      </w:pPr>
      <w:r w:rsidRPr="00D9348B">
        <w:t xml:space="preserve">The hierarchy used by New Zealand in the reporting of these activities is as set out in section 1.2 of the Kyoto Protocol Supplement (IPCC, 2014a). This hierarchy means that once a forest area has been identified as deforested, it remains in this category. Therefore, all subsequent stock changes, emissions and removals on this land are reported under </w:t>
      </w:r>
      <w:r w:rsidRPr="00D9348B">
        <w:rPr>
          <w:i/>
        </w:rPr>
        <w:t>Deforestation</w:t>
      </w:r>
      <w:r w:rsidRPr="00D9348B">
        <w:t>.</w:t>
      </w:r>
    </w:p>
    <w:p w14:paraId="7D03EDCC" w14:textId="3EED99E9" w:rsidR="00627CA1" w:rsidRPr="00D9348B" w:rsidRDefault="00627CA1" w:rsidP="00627CA1">
      <w:pPr>
        <w:pStyle w:val="BodyText"/>
        <w:spacing w:before="100" w:after="100"/>
      </w:pPr>
      <w:r w:rsidRPr="00D9348B">
        <w:t xml:space="preserve">Tracking of these deforested areas during the calculation and </w:t>
      </w:r>
      <w:r w:rsidR="00EA7212">
        <w:t>land-use</w:t>
      </w:r>
      <w:r w:rsidRPr="00D9348B">
        <w:t xml:space="preserve"> mapping processes (explained in chapter 6, section 6.2.2) ensures that land areas, once deforested, cannot be reported under </w:t>
      </w:r>
      <w:r w:rsidRPr="00D9348B">
        <w:rPr>
          <w:i/>
        </w:rPr>
        <w:t>Afforestation and reforestation</w:t>
      </w:r>
      <w:r w:rsidRPr="00D9348B">
        <w:t xml:space="preserve"> or </w:t>
      </w:r>
      <w:r w:rsidRPr="00D9348B">
        <w:rPr>
          <w:i/>
        </w:rPr>
        <w:t>Forest management</w:t>
      </w:r>
      <w:r w:rsidRPr="00D9348B">
        <w:t xml:space="preserve">, and that the emissions and removals associated with the new land use or any subsequent land uses are reported under </w:t>
      </w:r>
      <w:r w:rsidRPr="00D9348B">
        <w:rPr>
          <w:i/>
        </w:rPr>
        <w:t>Deforestation</w:t>
      </w:r>
      <w:r w:rsidRPr="00D9348B">
        <w:t>. The process for identification of deforested land is outlined in section 11.5.</w:t>
      </w:r>
    </w:p>
    <w:p w14:paraId="1AC6A5FF" w14:textId="77777777" w:rsidR="00627CA1" w:rsidRPr="00D9348B" w:rsidRDefault="00627CA1" w:rsidP="00627CA1">
      <w:pPr>
        <w:pStyle w:val="BodyText"/>
        <w:spacing w:before="100" w:after="100"/>
      </w:pPr>
      <w:r w:rsidRPr="00D9348B">
        <w:t xml:space="preserve">Areas subject to the carbon equivalent forest provision are tracked separately and reported under </w:t>
      </w:r>
      <w:r w:rsidRPr="00D9348B">
        <w:rPr>
          <w:i/>
        </w:rPr>
        <w:t>Forest management</w:t>
      </w:r>
      <w:r w:rsidRPr="00D9348B">
        <w:t xml:space="preserve"> (refer to sections 11.2.2 and 11.3.4 for more detail). </w:t>
      </w:r>
    </w:p>
    <w:p w14:paraId="51DAD6EA" w14:textId="77777777" w:rsidR="00627CA1" w:rsidRPr="00D9348B" w:rsidRDefault="00627CA1" w:rsidP="00627CA1">
      <w:pPr>
        <w:pStyle w:val="Heading2"/>
      </w:pPr>
      <w:bookmarkStart w:id="3200" w:name="_Toc261513283"/>
      <w:bookmarkStart w:id="3201" w:name="_Toc261513896"/>
      <w:bookmarkStart w:id="3202" w:name="_Toc280630386"/>
      <w:bookmarkStart w:id="3203" w:name="_Toc310423465"/>
      <w:bookmarkStart w:id="3204" w:name="_Toc342470733"/>
      <w:bookmarkStart w:id="3205" w:name="_Toc352504892"/>
      <w:bookmarkStart w:id="3206" w:name="_Toc377043718"/>
      <w:bookmarkStart w:id="3207" w:name="_Toc391023462"/>
      <w:bookmarkStart w:id="3208" w:name="_Toc400967256"/>
      <w:bookmarkStart w:id="3209" w:name="_Toc414531341"/>
      <w:bookmarkStart w:id="3210" w:name="_Toc456179170"/>
      <w:bookmarkStart w:id="3211" w:name="_Toc481751423"/>
      <w:bookmarkStart w:id="3212" w:name="_Toc522013962"/>
      <w:bookmarkStart w:id="3213" w:name="_Toc5269406"/>
      <w:bookmarkStart w:id="3214" w:name="_Toc36224446"/>
      <w:r w:rsidRPr="00D9348B">
        <w:lastRenderedPageBreak/>
        <w:t>11.2</w:t>
      </w:r>
      <w:r w:rsidRPr="00D9348B">
        <w:tab/>
        <w:t>Land-related information</w:t>
      </w:r>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p>
    <w:p w14:paraId="5373C073" w14:textId="77777777" w:rsidR="00627CA1" w:rsidRPr="00D9348B" w:rsidRDefault="00627CA1" w:rsidP="00627CA1">
      <w:pPr>
        <w:pStyle w:val="Heading3"/>
        <w:spacing w:before="160"/>
      </w:pPr>
      <w:bookmarkStart w:id="3215" w:name="_Toc261513284"/>
      <w:bookmarkStart w:id="3216" w:name="_Toc261513897"/>
      <w:bookmarkStart w:id="3217" w:name="_Toc280630387"/>
      <w:bookmarkStart w:id="3218" w:name="_Toc377043719"/>
      <w:bookmarkStart w:id="3219" w:name="_Toc400967257"/>
      <w:r w:rsidRPr="00D9348B">
        <w:t xml:space="preserve">11.2.1 </w:t>
      </w:r>
      <w:r w:rsidRPr="00D9348B">
        <w:tab/>
        <w:t>Spatial assessment unit</w:t>
      </w:r>
      <w:bookmarkEnd w:id="3215"/>
      <w:bookmarkEnd w:id="3216"/>
      <w:bookmarkEnd w:id="3217"/>
      <w:bookmarkEnd w:id="3218"/>
      <w:bookmarkEnd w:id="3219"/>
    </w:p>
    <w:p w14:paraId="1AAAD5C5" w14:textId="77777777" w:rsidR="00627CA1" w:rsidRPr="00D9348B" w:rsidRDefault="00627CA1" w:rsidP="00627CA1">
      <w:pPr>
        <w:pStyle w:val="BodyText"/>
      </w:pPr>
      <w:r w:rsidRPr="00D9348B">
        <w:t>New Zealand is using a minimum mapping unit of 1 hectare.</w:t>
      </w:r>
    </w:p>
    <w:p w14:paraId="26D79FD0" w14:textId="77777777" w:rsidR="00627CA1" w:rsidRPr="00D9348B" w:rsidRDefault="00627CA1" w:rsidP="00627CA1">
      <w:pPr>
        <w:pStyle w:val="Heading3"/>
        <w:spacing w:before="280"/>
      </w:pPr>
      <w:bookmarkStart w:id="3220" w:name="_Toc261513285"/>
      <w:bookmarkStart w:id="3221" w:name="_Toc261513898"/>
      <w:bookmarkStart w:id="3222" w:name="_Toc280630388"/>
      <w:bookmarkStart w:id="3223" w:name="_Toc377043720"/>
      <w:bookmarkStart w:id="3224" w:name="_Toc400967258"/>
      <w:r w:rsidRPr="00D9348B">
        <w:t xml:space="preserve">11.2.2 </w:t>
      </w:r>
      <w:r w:rsidRPr="00D9348B">
        <w:tab/>
        <w:t>Methodology for land transition matrix</w:t>
      </w:r>
      <w:bookmarkEnd w:id="3220"/>
      <w:bookmarkEnd w:id="3221"/>
      <w:bookmarkEnd w:id="3222"/>
      <w:bookmarkEnd w:id="3223"/>
      <w:bookmarkEnd w:id="3224"/>
    </w:p>
    <w:p w14:paraId="391ABFB6" w14:textId="77777777" w:rsidR="00627CA1" w:rsidRPr="00D9348B" w:rsidRDefault="00627CA1" w:rsidP="00627CA1">
      <w:pPr>
        <w:pStyle w:val="BodyText"/>
      </w:pPr>
      <w:r w:rsidRPr="00D9348B">
        <w:t>The land transition matrix is based on data derived from the following sources:</w:t>
      </w:r>
    </w:p>
    <w:p w14:paraId="52397817" w14:textId="618E76C8" w:rsidR="00627CA1" w:rsidRPr="00D9348B" w:rsidRDefault="00627CA1" w:rsidP="00771A8F">
      <w:pPr>
        <w:pStyle w:val="Bullet"/>
        <w:numPr>
          <w:ilvl w:val="0"/>
          <w:numId w:val="20"/>
        </w:numPr>
      </w:pPr>
      <w:r w:rsidRPr="00D9348B">
        <w:t xml:space="preserve">the 1990, 2008, 2012 and 2016 </w:t>
      </w:r>
      <w:r w:rsidR="00EA7212">
        <w:t>land-use</w:t>
      </w:r>
      <w:r w:rsidRPr="00D9348B">
        <w:t xml:space="preserve"> maps</w:t>
      </w:r>
    </w:p>
    <w:p w14:paraId="01C0F56F" w14:textId="77777777" w:rsidR="00627CA1" w:rsidRPr="00D9348B" w:rsidRDefault="00627CA1" w:rsidP="00771A8F">
      <w:pPr>
        <w:pStyle w:val="Bullet"/>
        <w:numPr>
          <w:ilvl w:val="0"/>
          <w:numId w:val="20"/>
        </w:numPr>
      </w:pPr>
      <w:r w:rsidRPr="00D9348B">
        <w:t>an estimate of total afforestation for the period 2013 to 2018 from the National Exotic Forest Description (NEFD) (Ministry for Primary Industries, 2018b)</w:t>
      </w:r>
    </w:p>
    <w:p w14:paraId="62944617" w14:textId="77777777" w:rsidR="00627CA1" w:rsidRPr="00D9348B" w:rsidRDefault="00627CA1" w:rsidP="00771A8F">
      <w:pPr>
        <w:pStyle w:val="Bullet"/>
        <w:numPr>
          <w:ilvl w:val="0"/>
          <w:numId w:val="20"/>
        </w:numPr>
      </w:pPr>
      <w:r w:rsidRPr="00D9348B">
        <w:t>deforestation mapping for 2008 to 2016 (Indufor Asia Pacific, 2013, 2016, 2018)</w:t>
      </w:r>
      <w:r w:rsidRPr="00D9348B" w:rsidDel="00D152CF">
        <w:t xml:space="preserve"> </w:t>
      </w:r>
    </w:p>
    <w:p w14:paraId="6D51C4FC" w14:textId="77777777" w:rsidR="00627CA1" w:rsidRPr="00D9348B" w:rsidRDefault="00627CA1" w:rsidP="00771A8F">
      <w:pPr>
        <w:pStyle w:val="Bullet"/>
        <w:numPr>
          <w:ilvl w:val="0"/>
          <w:numId w:val="20"/>
        </w:numPr>
      </w:pPr>
      <w:proofErr w:type="gramStart"/>
      <w:r w:rsidRPr="00D9348B">
        <w:t>estimates</w:t>
      </w:r>
      <w:proofErr w:type="gramEnd"/>
      <w:r w:rsidRPr="00D9348B">
        <w:t xml:space="preserve"> for 2017 and 2018 deforestation based on the Deforestation Intentions Survey 2017 (Manley, 2018) and the Deforestation Intentions Survey 2018 (Manley, 2019).</w:t>
      </w:r>
    </w:p>
    <w:p w14:paraId="74FEE637" w14:textId="54BA1D48" w:rsidR="00627CA1" w:rsidRPr="00D9348B" w:rsidRDefault="00627CA1" w:rsidP="00627CA1">
      <w:pPr>
        <w:pStyle w:val="BodyText"/>
      </w:pPr>
      <w:r w:rsidRPr="00D9348B">
        <w:t xml:space="preserve">Due to the </w:t>
      </w:r>
      <w:r w:rsidR="00EA7212">
        <w:t>land-use</w:t>
      </w:r>
      <w:r w:rsidRPr="00D9348B">
        <w:t xml:space="preserve"> category definitions used by New Zealand, which split forests established before 1990 from those established after 1989, the land transition matrix is derived from the sequence of land-use changes occurring through the reporting period. Using the 1990 </w:t>
      </w:r>
      <w:r w:rsidR="00EA7212">
        <w:t>land-use</w:t>
      </w:r>
      <w:r w:rsidRPr="00D9348B">
        <w:t xml:space="preserve"> map as the baseline, areas of deforestation can be tracked through time to ensure that, regardless of subsequent land-use change, the net emissions that occur on the deforested land are reported under </w:t>
      </w:r>
      <w:r w:rsidRPr="00D9348B">
        <w:rPr>
          <w:i/>
        </w:rPr>
        <w:t>Deforestation</w:t>
      </w:r>
      <w:r w:rsidRPr="00D9348B">
        <w:t xml:space="preserve">. Where a pre-1990 planted forest is harvested and converted to another land use under the carbon equivalent forest provision, the land is tracked spatially and its net emissions are reported under </w:t>
      </w:r>
      <w:r w:rsidRPr="00D9348B">
        <w:rPr>
          <w:i/>
        </w:rPr>
        <w:t>Forest management</w:t>
      </w:r>
      <w:r w:rsidRPr="00D9348B">
        <w:t xml:space="preserve">, as are the areas and net emissions due to the new forest that was established to compensate for the harvested and converted forest. </w:t>
      </w:r>
    </w:p>
    <w:p w14:paraId="71D2B0C2" w14:textId="77777777" w:rsidR="00627CA1" w:rsidRPr="00D9348B" w:rsidRDefault="00627CA1" w:rsidP="00627CA1">
      <w:pPr>
        <w:pStyle w:val="BodyText"/>
      </w:pPr>
      <w:r w:rsidRPr="00D9348B">
        <w:t>The relationship between mapped land-use changes and activities reported under Article 3.3 and Article 3.4 is shown in table 11.2.1.</w:t>
      </w:r>
    </w:p>
    <w:p w14:paraId="3AD3E828" w14:textId="77777777" w:rsidR="00627CA1" w:rsidRPr="00D9348B" w:rsidRDefault="00DA6C03" w:rsidP="00627CA1">
      <w:pPr>
        <w:pStyle w:val="Table"/>
      </w:pPr>
      <w:bookmarkStart w:id="3225" w:name="_Toc414531529"/>
      <w:bookmarkStart w:id="3226" w:name="_Toc456179106"/>
      <w:bookmarkStart w:id="3227" w:name="_Toc481751632"/>
      <w:bookmarkStart w:id="3228" w:name="_Toc522010657"/>
      <w:bookmarkStart w:id="3229" w:name="_Toc5269627"/>
      <w:bookmarkStart w:id="3230" w:name="_Toc36224709"/>
      <w:r>
        <w:pict w14:anchorId="78B6176F">
          <v:line id="Straight Connector 37" o:spid="_x0000_s1120" style="position:absolute;left:0;text-align:left;z-index:3;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1.55pt,33.5pt" to="59.6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jS4wEAAKcDAAAOAAAAZHJzL2Uyb0RvYy54bWysU01v2zAMvQ/YfxB0X+y2qdMacXpIkF2K&#10;LUC2H8DKsi1MXxC12Pn3o5SPttttqA8CRYqP5OPz8mkymh1kQOVsw29mJWfSCtcq2zf854/tlwfO&#10;MIJtQTsrG36UyJ9Wnz8tR1/LWzc43crACMRiPfqGDzH6uihQDNIAzpyXloKdCwYiXUNftAFGQje6&#10;uC3LqhhdaH1wQiKSd3MK8lXG7zop4veuQxmZbjj1FvMZ8vmSzmK1hLoP4Aclzm3Af3RhQFkqeoXa&#10;QAT2O6h/oIwSwaHr4kw4U7iuU0LmGWiam/KvafYDeJlnIXLQX2nCj4MV3w67wFRLu3usOLNgaEn7&#10;GED1Q2RrZy1R6AK7WySqRo81ZaztLqRhxWT3/tmJX0ix4l0wXdCfnk1dMOk5TcumTP3xSr2cIhPk&#10;XCyqqrznTFBoPl+U87yaAupLsg8Yv0pnWDIarpVNzEANh2eMqTzUlyfJbd1WaZ23qy0bG17d3dP+&#10;BZDGOg2RTONparQ9Z6B7Eq+IISOi06pN2QkHj7jWgR2A9EOya93ImQaM5Gz4Nn+JGKr+Li21sgEc&#10;Tok5dJKaUZH0rpVp+EOZvnO2tqmazIo9D/RKYbJeXHvchQvPpIZc9KzcJLe3d7Lf/l+rPwAAAP//&#10;AwBQSwMEFAAGAAgAAAAhAI1uQh/dAAAACQEAAA8AAABkcnMvZG93bnJldi54bWxMj8FOwzAQRO9I&#10;/IO1SNxaOwmqIMSpEIIjSIRKXF1nG0eN11HspoGvZ3uC245mNPum2i5+EDNOsQ+kIVsrEEg2tD11&#10;Gnafr6t7EDEZas0QCDV8Y4RtfX1VmbINZ/rAuUmd4BKKpdHgUhpLKaN16E1chxGJvUOYvEksp062&#10;kzlzuR9krtRGetMTf3BmxGeH9ticvIb+K9oX26RdXmTHN+XeZ/+TH7S+vVmeHkEkXNJfGC74jA41&#10;M+3DidooBg2rIuOkho3iSRc/e8hB7Pko1B3IupL/F9S/AAAA//8DAFBLAQItABQABgAIAAAAIQC2&#10;gziS/gAAAOEBAAATAAAAAAAAAAAAAAAAAAAAAABbQ29udGVudF9UeXBlc10ueG1sUEsBAi0AFAAG&#10;AAgAAAAhADj9If/WAAAAlAEAAAsAAAAAAAAAAAAAAAAALwEAAF9yZWxzLy5yZWxzUEsBAi0AFAAG&#10;AAgAAAAhABSOONLjAQAApwMAAA4AAAAAAAAAAAAAAAAALgIAAGRycy9lMm9Eb2MueG1sUEsBAi0A&#10;FAAGAAgAAAAhAI1uQh/dAAAACQEAAA8AAAAAAAAAAAAAAAAAPQQAAGRycy9kb3ducmV2LnhtbFBL&#10;BQYAAAAABAAEAPMAAABHBQAAAAA=&#10;" strokecolor="window" strokeweight=".5pt">
            <v:stroke joinstyle="miter"/>
            <o:lock v:ext="edit" shapetype="f"/>
          </v:line>
        </w:pict>
      </w:r>
      <w:r w:rsidR="00627CA1" w:rsidRPr="00D9348B">
        <w:t>Table 11.2.1</w:t>
      </w:r>
      <w:r w:rsidR="00627CA1" w:rsidRPr="00D9348B">
        <w:tab/>
        <w:t>Relationship between mapped land-use changes and activities reported under</w:t>
      </w:r>
      <w:r w:rsidR="00627CA1" w:rsidRPr="00D9348B">
        <w:br/>
        <w:t>Article 3.3 and Article 3.4</w:t>
      </w:r>
      <w:bookmarkEnd w:id="3225"/>
      <w:bookmarkEnd w:id="3226"/>
      <w:bookmarkEnd w:id="3227"/>
      <w:bookmarkEnd w:id="3228"/>
      <w:bookmarkEnd w:id="3229"/>
      <w:bookmarkEnd w:id="3230"/>
    </w:p>
    <w:tbl>
      <w:tblPr>
        <w:tblW w:w="8505" w:type="dxa"/>
        <w:tblInd w:w="108" w:type="dxa"/>
        <w:tblBorders>
          <w:top w:val="single" w:sz="4" w:space="0" w:color="365F91"/>
          <w:bottom w:val="single" w:sz="4" w:space="0" w:color="365F91"/>
          <w:insideH w:val="single" w:sz="4" w:space="0" w:color="365F91"/>
        </w:tblBorders>
        <w:tblLook w:val="04A0" w:firstRow="1" w:lastRow="0" w:firstColumn="1" w:lastColumn="0" w:noHBand="0" w:noVBand="1"/>
      </w:tblPr>
      <w:tblGrid>
        <w:gridCol w:w="1225"/>
        <w:gridCol w:w="906"/>
        <w:gridCol w:w="907"/>
        <w:gridCol w:w="902"/>
        <w:gridCol w:w="916"/>
        <w:gridCol w:w="913"/>
        <w:gridCol w:w="837"/>
        <w:gridCol w:w="998"/>
        <w:gridCol w:w="901"/>
      </w:tblGrid>
      <w:tr w:rsidR="00627CA1" w:rsidRPr="00D9348B" w14:paraId="3F16A3C8" w14:textId="77777777" w:rsidTr="00DB330E">
        <w:tc>
          <w:tcPr>
            <w:tcW w:w="1242" w:type="dxa"/>
            <w:shd w:val="clear" w:color="auto" w:fill="365F91"/>
            <w:tcMar>
              <w:left w:w="85" w:type="dxa"/>
              <w:right w:w="85" w:type="dxa"/>
            </w:tcMar>
            <w:vAlign w:val="bottom"/>
          </w:tcPr>
          <w:p w14:paraId="6E7E0CBD" w14:textId="77777777" w:rsidR="00627CA1" w:rsidRPr="00D9348B" w:rsidRDefault="00627CA1" w:rsidP="00DB330E">
            <w:pPr>
              <w:pStyle w:val="TableTextBold"/>
              <w:jc w:val="right"/>
              <w:rPr>
                <w:rFonts w:cs="Calibri"/>
                <w:noProof w:val="0"/>
                <w:color w:val="FFFFFF"/>
                <w:szCs w:val="16"/>
              </w:rPr>
            </w:pPr>
            <w:r w:rsidRPr="00D9348B">
              <w:rPr>
                <w:rFonts w:cs="Calibri"/>
                <w:noProof w:val="0"/>
                <w:color w:val="FFFFFF"/>
                <w:szCs w:val="16"/>
              </w:rPr>
              <w:t>Final</w:t>
            </w:r>
          </w:p>
          <w:p w14:paraId="74BB9010" w14:textId="77777777" w:rsidR="00627CA1" w:rsidRPr="00D9348B" w:rsidRDefault="00627CA1" w:rsidP="00DB330E">
            <w:pPr>
              <w:pStyle w:val="TableTextBold"/>
              <w:rPr>
                <w:rFonts w:cs="Calibri"/>
                <w:noProof w:val="0"/>
                <w:color w:val="FFFFFF"/>
                <w:szCs w:val="16"/>
              </w:rPr>
            </w:pPr>
            <w:r w:rsidRPr="00D9348B">
              <w:rPr>
                <w:rFonts w:cs="Calibri"/>
                <w:noProof w:val="0"/>
                <w:color w:val="FFFFFF"/>
                <w:szCs w:val="16"/>
              </w:rPr>
              <w:t>Initial</w:t>
            </w:r>
          </w:p>
        </w:tc>
        <w:tc>
          <w:tcPr>
            <w:tcW w:w="921" w:type="dxa"/>
            <w:shd w:val="clear" w:color="auto" w:fill="365F91"/>
            <w:tcMar>
              <w:left w:w="85" w:type="dxa"/>
              <w:right w:w="85" w:type="dxa"/>
            </w:tcMar>
            <w:vAlign w:val="bottom"/>
          </w:tcPr>
          <w:p w14:paraId="5A92BB1C" w14:textId="77777777" w:rsidR="00627CA1" w:rsidRPr="00D9348B" w:rsidRDefault="00627CA1" w:rsidP="00DB330E">
            <w:pPr>
              <w:pStyle w:val="TableTextBold"/>
              <w:jc w:val="center"/>
              <w:rPr>
                <w:rFonts w:cs="Calibri"/>
                <w:noProof w:val="0"/>
                <w:color w:val="FFFFFF"/>
                <w:szCs w:val="16"/>
              </w:rPr>
            </w:pPr>
            <w:r w:rsidRPr="00D9348B">
              <w:rPr>
                <w:rFonts w:cs="Calibri"/>
                <w:noProof w:val="0"/>
                <w:color w:val="FFFFFF"/>
                <w:szCs w:val="16"/>
              </w:rPr>
              <w:t>Pre-1990 natural forest</w:t>
            </w:r>
          </w:p>
        </w:tc>
        <w:tc>
          <w:tcPr>
            <w:tcW w:w="921" w:type="dxa"/>
            <w:shd w:val="clear" w:color="auto" w:fill="365F91"/>
            <w:tcMar>
              <w:left w:w="85" w:type="dxa"/>
              <w:right w:w="85" w:type="dxa"/>
            </w:tcMar>
            <w:vAlign w:val="bottom"/>
          </w:tcPr>
          <w:p w14:paraId="4A210068" w14:textId="77777777" w:rsidR="00627CA1" w:rsidRPr="00D9348B" w:rsidRDefault="00627CA1" w:rsidP="00DB330E">
            <w:pPr>
              <w:pStyle w:val="TableTextBold"/>
              <w:jc w:val="center"/>
              <w:rPr>
                <w:rFonts w:cs="Calibri"/>
                <w:noProof w:val="0"/>
                <w:color w:val="FFFFFF"/>
                <w:szCs w:val="16"/>
              </w:rPr>
            </w:pPr>
            <w:r w:rsidRPr="00D9348B">
              <w:rPr>
                <w:rFonts w:cs="Calibri"/>
                <w:noProof w:val="0"/>
                <w:color w:val="FFFFFF"/>
                <w:szCs w:val="16"/>
              </w:rPr>
              <w:t>Pre-1990 planted forest</w:t>
            </w:r>
          </w:p>
        </w:tc>
        <w:tc>
          <w:tcPr>
            <w:tcW w:w="922" w:type="dxa"/>
            <w:shd w:val="clear" w:color="auto" w:fill="365F91"/>
            <w:tcMar>
              <w:left w:w="85" w:type="dxa"/>
              <w:right w:w="85" w:type="dxa"/>
            </w:tcMar>
            <w:vAlign w:val="bottom"/>
          </w:tcPr>
          <w:p w14:paraId="6F196A73" w14:textId="77777777" w:rsidR="00627CA1" w:rsidRPr="00D9348B" w:rsidRDefault="00627CA1" w:rsidP="00DB330E">
            <w:pPr>
              <w:pStyle w:val="TableTextBold"/>
              <w:jc w:val="center"/>
              <w:rPr>
                <w:rFonts w:cs="Calibri"/>
                <w:noProof w:val="0"/>
                <w:color w:val="FFFFFF"/>
                <w:szCs w:val="16"/>
              </w:rPr>
            </w:pPr>
            <w:r w:rsidRPr="00D9348B">
              <w:rPr>
                <w:rFonts w:cs="Calibri"/>
                <w:noProof w:val="0"/>
                <w:color w:val="FFFFFF"/>
                <w:szCs w:val="16"/>
              </w:rPr>
              <w:t>Post-1989 forest</w:t>
            </w:r>
          </w:p>
        </w:tc>
        <w:tc>
          <w:tcPr>
            <w:tcW w:w="921" w:type="dxa"/>
            <w:shd w:val="clear" w:color="auto" w:fill="365F91"/>
            <w:tcMar>
              <w:left w:w="85" w:type="dxa"/>
              <w:right w:w="85" w:type="dxa"/>
            </w:tcMar>
            <w:vAlign w:val="bottom"/>
          </w:tcPr>
          <w:p w14:paraId="3D15A15C" w14:textId="77777777" w:rsidR="00627CA1" w:rsidRPr="00D9348B" w:rsidRDefault="00627CA1" w:rsidP="00DB330E">
            <w:pPr>
              <w:pStyle w:val="TableTextBold"/>
              <w:jc w:val="center"/>
              <w:rPr>
                <w:rFonts w:cs="Calibri"/>
                <w:noProof w:val="0"/>
                <w:color w:val="FFFFFF"/>
                <w:szCs w:val="16"/>
              </w:rPr>
            </w:pPr>
            <w:r w:rsidRPr="00D9348B">
              <w:rPr>
                <w:rFonts w:cs="Calibri"/>
                <w:noProof w:val="0"/>
                <w:color w:val="FFFFFF"/>
                <w:szCs w:val="16"/>
              </w:rPr>
              <w:t>Grassland</w:t>
            </w:r>
          </w:p>
        </w:tc>
        <w:tc>
          <w:tcPr>
            <w:tcW w:w="921" w:type="dxa"/>
            <w:shd w:val="clear" w:color="auto" w:fill="365F91"/>
            <w:tcMar>
              <w:left w:w="85" w:type="dxa"/>
              <w:right w:w="85" w:type="dxa"/>
            </w:tcMar>
            <w:vAlign w:val="bottom"/>
          </w:tcPr>
          <w:p w14:paraId="01DC0956" w14:textId="77777777" w:rsidR="00627CA1" w:rsidRPr="00D9348B" w:rsidRDefault="00627CA1" w:rsidP="00DB330E">
            <w:pPr>
              <w:pStyle w:val="TableTextBold"/>
              <w:jc w:val="center"/>
              <w:rPr>
                <w:rFonts w:cs="Calibri"/>
                <w:noProof w:val="0"/>
                <w:color w:val="FFFFFF"/>
                <w:szCs w:val="16"/>
              </w:rPr>
            </w:pPr>
            <w:r w:rsidRPr="00D9348B">
              <w:rPr>
                <w:rFonts w:cs="Calibri"/>
                <w:noProof w:val="0"/>
                <w:color w:val="FFFFFF"/>
                <w:szCs w:val="16"/>
              </w:rPr>
              <w:t>Cropland</w:t>
            </w:r>
          </w:p>
        </w:tc>
        <w:tc>
          <w:tcPr>
            <w:tcW w:w="843" w:type="dxa"/>
            <w:shd w:val="clear" w:color="auto" w:fill="365F91"/>
            <w:tcMar>
              <w:left w:w="85" w:type="dxa"/>
              <w:right w:w="85" w:type="dxa"/>
            </w:tcMar>
            <w:vAlign w:val="bottom"/>
          </w:tcPr>
          <w:p w14:paraId="715EE395" w14:textId="77777777" w:rsidR="00627CA1" w:rsidRPr="00D9348B" w:rsidRDefault="00627CA1" w:rsidP="00DB330E">
            <w:pPr>
              <w:pStyle w:val="TableTextBold"/>
              <w:jc w:val="center"/>
              <w:rPr>
                <w:rFonts w:cs="Calibri"/>
                <w:noProof w:val="0"/>
                <w:color w:val="FFFFFF"/>
                <w:szCs w:val="16"/>
              </w:rPr>
            </w:pPr>
            <w:r w:rsidRPr="00D9348B">
              <w:rPr>
                <w:rFonts w:cs="Calibri"/>
                <w:noProof w:val="0"/>
                <w:color w:val="FFFFFF"/>
                <w:szCs w:val="16"/>
              </w:rPr>
              <w:t>Wetland</w:t>
            </w:r>
          </w:p>
        </w:tc>
        <w:tc>
          <w:tcPr>
            <w:tcW w:w="1000" w:type="dxa"/>
            <w:shd w:val="clear" w:color="auto" w:fill="365F91"/>
            <w:tcMar>
              <w:left w:w="85" w:type="dxa"/>
              <w:right w:w="85" w:type="dxa"/>
            </w:tcMar>
            <w:vAlign w:val="bottom"/>
          </w:tcPr>
          <w:p w14:paraId="604DC5F0" w14:textId="77777777" w:rsidR="00627CA1" w:rsidRPr="00D9348B" w:rsidRDefault="00627CA1" w:rsidP="00DB330E">
            <w:pPr>
              <w:pStyle w:val="TableTextBold"/>
              <w:jc w:val="center"/>
              <w:rPr>
                <w:rFonts w:cs="Calibri"/>
                <w:noProof w:val="0"/>
                <w:color w:val="FFFFFF"/>
                <w:szCs w:val="16"/>
              </w:rPr>
            </w:pPr>
            <w:r w:rsidRPr="00D9348B">
              <w:rPr>
                <w:rFonts w:cs="Calibri"/>
                <w:noProof w:val="0"/>
                <w:color w:val="FFFFFF"/>
                <w:szCs w:val="16"/>
              </w:rPr>
              <w:t>Settlements</w:t>
            </w:r>
          </w:p>
        </w:tc>
        <w:tc>
          <w:tcPr>
            <w:tcW w:w="922" w:type="dxa"/>
            <w:shd w:val="clear" w:color="auto" w:fill="365F91"/>
            <w:tcMar>
              <w:left w:w="85" w:type="dxa"/>
              <w:right w:w="85" w:type="dxa"/>
            </w:tcMar>
            <w:vAlign w:val="bottom"/>
          </w:tcPr>
          <w:p w14:paraId="22AF6DDE" w14:textId="77777777" w:rsidR="00627CA1" w:rsidRPr="00D9348B" w:rsidRDefault="00627CA1" w:rsidP="00DB330E">
            <w:pPr>
              <w:pStyle w:val="TableTextBold"/>
              <w:jc w:val="center"/>
              <w:rPr>
                <w:rFonts w:cs="Calibri"/>
                <w:noProof w:val="0"/>
                <w:color w:val="FFFFFF"/>
                <w:szCs w:val="16"/>
              </w:rPr>
            </w:pPr>
            <w:r w:rsidRPr="00D9348B">
              <w:rPr>
                <w:rFonts w:cs="Calibri"/>
                <w:noProof w:val="0"/>
                <w:color w:val="FFFFFF"/>
                <w:szCs w:val="16"/>
              </w:rPr>
              <w:t>Other land</w:t>
            </w:r>
          </w:p>
        </w:tc>
      </w:tr>
      <w:tr w:rsidR="00627CA1" w:rsidRPr="00D9348B" w14:paraId="5497C37D" w14:textId="77777777" w:rsidTr="00DB330E">
        <w:tc>
          <w:tcPr>
            <w:tcW w:w="1242" w:type="dxa"/>
            <w:shd w:val="clear" w:color="auto" w:fill="auto"/>
            <w:tcMar>
              <w:left w:w="85" w:type="dxa"/>
              <w:right w:w="85" w:type="dxa"/>
            </w:tcMar>
          </w:tcPr>
          <w:p w14:paraId="62960A18" w14:textId="77777777" w:rsidR="00627CA1" w:rsidRPr="00D9348B" w:rsidRDefault="00627CA1" w:rsidP="00DB330E">
            <w:pPr>
              <w:pStyle w:val="TableText"/>
              <w:rPr>
                <w:rFonts w:cs="Calibri"/>
                <w:szCs w:val="16"/>
              </w:rPr>
            </w:pPr>
            <w:r w:rsidRPr="00D9348B">
              <w:rPr>
                <w:rFonts w:cs="Calibri"/>
                <w:szCs w:val="16"/>
              </w:rPr>
              <w:t>Pre-1990 natural forest</w:t>
            </w:r>
          </w:p>
        </w:tc>
        <w:tc>
          <w:tcPr>
            <w:tcW w:w="921" w:type="dxa"/>
            <w:shd w:val="clear" w:color="auto" w:fill="auto"/>
            <w:tcMar>
              <w:left w:w="85" w:type="dxa"/>
              <w:right w:w="85" w:type="dxa"/>
            </w:tcMar>
          </w:tcPr>
          <w:p w14:paraId="310E1DC6" w14:textId="77777777" w:rsidR="00627CA1" w:rsidRPr="00D9348B" w:rsidRDefault="00627CA1" w:rsidP="00DB330E">
            <w:pPr>
              <w:pStyle w:val="TableText"/>
              <w:jc w:val="center"/>
              <w:rPr>
                <w:rFonts w:cs="Calibri"/>
                <w:szCs w:val="16"/>
              </w:rPr>
            </w:pPr>
            <w:r w:rsidRPr="00D9348B">
              <w:rPr>
                <w:rFonts w:cs="Calibri"/>
                <w:szCs w:val="16"/>
              </w:rPr>
              <w:t>FM</w:t>
            </w:r>
          </w:p>
        </w:tc>
        <w:tc>
          <w:tcPr>
            <w:tcW w:w="921" w:type="dxa"/>
            <w:shd w:val="clear" w:color="auto" w:fill="auto"/>
            <w:tcMar>
              <w:left w:w="85" w:type="dxa"/>
              <w:right w:w="85" w:type="dxa"/>
            </w:tcMar>
          </w:tcPr>
          <w:p w14:paraId="059913B8" w14:textId="77777777" w:rsidR="00627CA1" w:rsidRPr="00D9348B" w:rsidRDefault="00627CA1" w:rsidP="00DB330E">
            <w:pPr>
              <w:pStyle w:val="TableText"/>
              <w:jc w:val="center"/>
              <w:rPr>
                <w:rFonts w:cs="Calibri"/>
                <w:szCs w:val="16"/>
              </w:rPr>
            </w:pPr>
            <w:r w:rsidRPr="00D9348B">
              <w:rPr>
                <w:rFonts w:cs="Calibri"/>
                <w:szCs w:val="16"/>
              </w:rPr>
              <w:t>FM</w:t>
            </w:r>
          </w:p>
        </w:tc>
        <w:tc>
          <w:tcPr>
            <w:tcW w:w="922" w:type="dxa"/>
            <w:shd w:val="clear" w:color="auto" w:fill="auto"/>
            <w:tcMar>
              <w:left w:w="85" w:type="dxa"/>
              <w:right w:w="85" w:type="dxa"/>
            </w:tcMar>
          </w:tcPr>
          <w:p w14:paraId="5C9624B4" w14:textId="77777777" w:rsidR="00627CA1" w:rsidRPr="00D9348B" w:rsidRDefault="00627CA1" w:rsidP="00DB330E">
            <w:pPr>
              <w:pStyle w:val="TableText"/>
              <w:jc w:val="center"/>
              <w:rPr>
                <w:rFonts w:cs="Calibri"/>
                <w:szCs w:val="16"/>
              </w:rPr>
            </w:pPr>
            <w:r w:rsidRPr="00D9348B">
              <w:rPr>
                <w:rFonts w:cs="Calibri"/>
                <w:szCs w:val="16"/>
              </w:rPr>
              <w:t>–</w:t>
            </w:r>
          </w:p>
        </w:tc>
        <w:tc>
          <w:tcPr>
            <w:tcW w:w="921" w:type="dxa"/>
            <w:shd w:val="clear" w:color="auto" w:fill="auto"/>
            <w:tcMar>
              <w:left w:w="85" w:type="dxa"/>
              <w:right w:w="85" w:type="dxa"/>
            </w:tcMar>
          </w:tcPr>
          <w:p w14:paraId="070AE356" w14:textId="77777777" w:rsidR="00627CA1" w:rsidRPr="00D9348B" w:rsidRDefault="00627CA1" w:rsidP="00DB330E">
            <w:pPr>
              <w:pStyle w:val="TableText"/>
              <w:jc w:val="center"/>
              <w:rPr>
                <w:rFonts w:cs="Calibri"/>
                <w:szCs w:val="16"/>
              </w:rPr>
            </w:pPr>
            <w:r w:rsidRPr="00D9348B">
              <w:rPr>
                <w:rFonts w:cs="Calibri"/>
                <w:szCs w:val="16"/>
              </w:rPr>
              <w:t>D</w:t>
            </w:r>
          </w:p>
        </w:tc>
        <w:tc>
          <w:tcPr>
            <w:tcW w:w="921" w:type="dxa"/>
            <w:shd w:val="clear" w:color="auto" w:fill="auto"/>
            <w:tcMar>
              <w:left w:w="85" w:type="dxa"/>
              <w:right w:w="85" w:type="dxa"/>
            </w:tcMar>
          </w:tcPr>
          <w:p w14:paraId="47C01AD5" w14:textId="77777777" w:rsidR="00627CA1" w:rsidRPr="00D9348B" w:rsidRDefault="00627CA1" w:rsidP="00DB330E">
            <w:pPr>
              <w:pStyle w:val="TableText"/>
              <w:jc w:val="center"/>
              <w:rPr>
                <w:rFonts w:cs="Calibri"/>
                <w:szCs w:val="16"/>
              </w:rPr>
            </w:pPr>
            <w:r w:rsidRPr="00D9348B">
              <w:rPr>
                <w:rFonts w:cs="Calibri"/>
                <w:szCs w:val="16"/>
              </w:rPr>
              <w:t>D</w:t>
            </w:r>
          </w:p>
        </w:tc>
        <w:tc>
          <w:tcPr>
            <w:tcW w:w="843" w:type="dxa"/>
            <w:shd w:val="clear" w:color="auto" w:fill="auto"/>
            <w:tcMar>
              <w:left w:w="85" w:type="dxa"/>
              <w:right w:w="85" w:type="dxa"/>
            </w:tcMar>
          </w:tcPr>
          <w:p w14:paraId="2FD226E3" w14:textId="77777777" w:rsidR="00627CA1" w:rsidRPr="00D9348B" w:rsidRDefault="00627CA1" w:rsidP="00DB330E">
            <w:pPr>
              <w:pStyle w:val="TableText"/>
              <w:jc w:val="center"/>
              <w:rPr>
                <w:rFonts w:cs="Calibri"/>
                <w:szCs w:val="16"/>
              </w:rPr>
            </w:pPr>
            <w:r w:rsidRPr="00D9348B">
              <w:rPr>
                <w:rFonts w:cs="Calibri"/>
                <w:szCs w:val="16"/>
              </w:rPr>
              <w:t>D</w:t>
            </w:r>
          </w:p>
        </w:tc>
        <w:tc>
          <w:tcPr>
            <w:tcW w:w="1000" w:type="dxa"/>
            <w:shd w:val="clear" w:color="auto" w:fill="auto"/>
            <w:tcMar>
              <w:left w:w="85" w:type="dxa"/>
              <w:right w:w="85" w:type="dxa"/>
            </w:tcMar>
          </w:tcPr>
          <w:p w14:paraId="2C2A8D36" w14:textId="77777777" w:rsidR="00627CA1" w:rsidRPr="00D9348B" w:rsidRDefault="00627CA1" w:rsidP="00DB330E">
            <w:pPr>
              <w:pStyle w:val="TableText"/>
              <w:jc w:val="center"/>
              <w:rPr>
                <w:rFonts w:cs="Calibri"/>
                <w:szCs w:val="16"/>
              </w:rPr>
            </w:pPr>
            <w:r w:rsidRPr="00D9348B">
              <w:rPr>
                <w:rFonts w:cs="Calibri"/>
                <w:szCs w:val="16"/>
              </w:rPr>
              <w:t>D</w:t>
            </w:r>
          </w:p>
        </w:tc>
        <w:tc>
          <w:tcPr>
            <w:tcW w:w="922" w:type="dxa"/>
            <w:shd w:val="clear" w:color="auto" w:fill="auto"/>
            <w:tcMar>
              <w:left w:w="85" w:type="dxa"/>
              <w:right w:w="85" w:type="dxa"/>
            </w:tcMar>
          </w:tcPr>
          <w:p w14:paraId="777813AD" w14:textId="77777777" w:rsidR="00627CA1" w:rsidRPr="00D9348B" w:rsidRDefault="00627CA1" w:rsidP="00DB330E">
            <w:pPr>
              <w:pStyle w:val="TableText"/>
              <w:jc w:val="center"/>
              <w:rPr>
                <w:rFonts w:cs="Calibri"/>
                <w:szCs w:val="16"/>
              </w:rPr>
            </w:pPr>
            <w:r w:rsidRPr="00D9348B">
              <w:rPr>
                <w:rFonts w:cs="Calibri"/>
                <w:szCs w:val="16"/>
              </w:rPr>
              <w:t>D</w:t>
            </w:r>
          </w:p>
        </w:tc>
      </w:tr>
      <w:tr w:rsidR="00627CA1" w:rsidRPr="00D9348B" w14:paraId="4670F52A" w14:textId="77777777" w:rsidTr="00DB330E">
        <w:tc>
          <w:tcPr>
            <w:tcW w:w="1242" w:type="dxa"/>
            <w:shd w:val="clear" w:color="auto" w:fill="auto"/>
            <w:tcMar>
              <w:left w:w="85" w:type="dxa"/>
              <w:right w:w="85" w:type="dxa"/>
            </w:tcMar>
          </w:tcPr>
          <w:p w14:paraId="5D338520" w14:textId="77777777" w:rsidR="00627CA1" w:rsidRPr="00D9348B" w:rsidRDefault="00627CA1" w:rsidP="00DB330E">
            <w:pPr>
              <w:pStyle w:val="TableText"/>
              <w:rPr>
                <w:rFonts w:cs="Calibri"/>
                <w:szCs w:val="16"/>
              </w:rPr>
            </w:pPr>
            <w:r w:rsidRPr="00D9348B">
              <w:rPr>
                <w:rFonts w:cs="Calibri"/>
                <w:szCs w:val="16"/>
              </w:rPr>
              <w:t>Pre-1990 planted forest</w:t>
            </w:r>
          </w:p>
        </w:tc>
        <w:tc>
          <w:tcPr>
            <w:tcW w:w="921" w:type="dxa"/>
            <w:shd w:val="clear" w:color="auto" w:fill="auto"/>
            <w:tcMar>
              <w:left w:w="85" w:type="dxa"/>
              <w:right w:w="85" w:type="dxa"/>
            </w:tcMar>
          </w:tcPr>
          <w:p w14:paraId="1C86F9FD" w14:textId="77777777" w:rsidR="00627CA1" w:rsidRPr="00D9348B" w:rsidRDefault="00627CA1" w:rsidP="00DB330E">
            <w:pPr>
              <w:pStyle w:val="TableText"/>
              <w:jc w:val="center"/>
              <w:rPr>
                <w:rFonts w:cs="Calibri"/>
                <w:szCs w:val="16"/>
              </w:rPr>
            </w:pPr>
            <w:r w:rsidRPr="00D9348B">
              <w:rPr>
                <w:rFonts w:cs="Calibri"/>
                <w:szCs w:val="16"/>
              </w:rPr>
              <w:t>FM</w:t>
            </w:r>
          </w:p>
        </w:tc>
        <w:tc>
          <w:tcPr>
            <w:tcW w:w="921" w:type="dxa"/>
            <w:shd w:val="clear" w:color="auto" w:fill="auto"/>
            <w:tcMar>
              <w:left w:w="85" w:type="dxa"/>
              <w:right w:w="85" w:type="dxa"/>
            </w:tcMar>
          </w:tcPr>
          <w:p w14:paraId="01311ED4" w14:textId="77777777" w:rsidR="00627CA1" w:rsidRPr="00D9348B" w:rsidRDefault="00627CA1" w:rsidP="00DB330E">
            <w:pPr>
              <w:pStyle w:val="TableText"/>
              <w:jc w:val="center"/>
              <w:rPr>
                <w:rFonts w:cs="Calibri"/>
                <w:szCs w:val="16"/>
              </w:rPr>
            </w:pPr>
            <w:r w:rsidRPr="00D9348B">
              <w:rPr>
                <w:rFonts w:cs="Calibri"/>
                <w:szCs w:val="16"/>
              </w:rPr>
              <w:t>FM</w:t>
            </w:r>
          </w:p>
        </w:tc>
        <w:tc>
          <w:tcPr>
            <w:tcW w:w="922" w:type="dxa"/>
            <w:shd w:val="clear" w:color="auto" w:fill="auto"/>
            <w:tcMar>
              <w:left w:w="85" w:type="dxa"/>
              <w:right w:w="85" w:type="dxa"/>
            </w:tcMar>
          </w:tcPr>
          <w:p w14:paraId="54785C2B" w14:textId="77777777" w:rsidR="00627CA1" w:rsidRPr="00D9348B" w:rsidRDefault="00627CA1" w:rsidP="00DB330E">
            <w:pPr>
              <w:pStyle w:val="TableText"/>
              <w:jc w:val="center"/>
              <w:rPr>
                <w:rFonts w:cs="Calibri"/>
                <w:szCs w:val="16"/>
              </w:rPr>
            </w:pPr>
            <w:r w:rsidRPr="00D9348B">
              <w:rPr>
                <w:rFonts w:cs="Calibri"/>
                <w:szCs w:val="16"/>
              </w:rPr>
              <w:t>–</w:t>
            </w:r>
          </w:p>
        </w:tc>
        <w:tc>
          <w:tcPr>
            <w:tcW w:w="921" w:type="dxa"/>
            <w:shd w:val="clear" w:color="auto" w:fill="auto"/>
            <w:tcMar>
              <w:left w:w="85" w:type="dxa"/>
              <w:right w:w="85" w:type="dxa"/>
            </w:tcMar>
          </w:tcPr>
          <w:p w14:paraId="2874BD75" w14:textId="77777777" w:rsidR="00627CA1" w:rsidRPr="00D9348B" w:rsidRDefault="00627CA1" w:rsidP="00DB330E">
            <w:pPr>
              <w:pStyle w:val="TableText"/>
              <w:jc w:val="center"/>
              <w:rPr>
                <w:rFonts w:cs="Calibri"/>
                <w:szCs w:val="16"/>
              </w:rPr>
            </w:pPr>
            <w:r w:rsidRPr="00D9348B">
              <w:rPr>
                <w:rFonts w:cs="Calibri"/>
                <w:szCs w:val="16"/>
              </w:rPr>
              <w:t>D/FM</w:t>
            </w:r>
          </w:p>
        </w:tc>
        <w:tc>
          <w:tcPr>
            <w:tcW w:w="921" w:type="dxa"/>
            <w:shd w:val="clear" w:color="auto" w:fill="auto"/>
            <w:tcMar>
              <w:left w:w="85" w:type="dxa"/>
              <w:right w:w="85" w:type="dxa"/>
            </w:tcMar>
          </w:tcPr>
          <w:p w14:paraId="2194FCA9" w14:textId="77777777" w:rsidR="00627CA1" w:rsidRPr="00D9348B" w:rsidRDefault="00627CA1" w:rsidP="00DB330E">
            <w:pPr>
              <w:pStyle w:val="TableText"/>
              <w:jc w:val="center"/>
              <w:rPr>
                <w:rFonts w:cs="Calibri"/>
                <w:szCs w:val="16"/>
              </w:rPr>
            </w:pPr>
            <w:r w:rsidRPr="00D9348B">
              <w:rPr>
                <w:rFonts w:cs="Calibri"/>
                <w:szCs w:val="16"/>
              </w:rPr>
              <w:t>D/FM</w:t>
            </w:r>
          </w:p>
        </w:tc>
        <w:tc>
          <w:tcPr>
            <w:tcW w:w="843" w:type="dxa"/>
            <w:shd w:val="clear" w:color="auto" w:fill="auto"/>
            <w:tcMar>
              <w:left w:w="85" w:type="dxa"/>
              <w:right w:w="85" w:type="dxa"/>
            </w:tcMar>
          </w:tcPr>
          <w:p w14:paraId="6BAD99FC" w14:textId="77777777" w:rsidR="00627CA1" w:rsidRPr="00D9348B" w:rsidRDefault="00627CA1" w:rsidP="00DB330E">
            <w:pPr>
              <w:pStyle w:val="TableText"/>
              <w:jc w:val="center"/>
              <w:rPr>
                <w:rFonts w:cs="Calibri"/>
                <w:szCs w:val="16"/>
              </w:rPr>
            </w:pPr>
            <w:r w:rsidRPr="00D9348B">
              <w:rPr>
                <w:rFonts w:cs="Calibri"/>
                <w:szCs w:val="16"/>
              </w:rPr>
              <w:t>D/FM</w:t>
            </w:r>
          </w:p>
        </w:tc>
        <w:tc>
          <w:tcPr>
            <w:tcW w:w="1000" w:type="dxa"/>
            <w:shd w:val="clear" w:color="auto" w:fill="auto"/>
            <w:tcMar>
              <w:left w:w="85" w:type="dxa"/>
              <w:right w:w="85" w:type="dxa"/>
            </w:tcMar>
          </w:tcPr>
          <w:p w14:paraId="7DF95A65" w14:textId="77777777" w:rsidR="00627CA1" w:rsidRPr="00D9348B" w:rsidRDefault="00627CA1" w:rsidP="00DB330E">
            <w:pPr>
              <w:pStyle w:val="TableText"/>
              <w:jc w:val="center"/>
              <w:rPr>
                <w:rFonts w:cs="Calibri"/>
                <w:szCs w:val="16"/>
              </w:rPr>
            </w:pPr>
            <w:r w:rsidRPr="00D9348B">
              <w:rPr>
                <w:rFonts w:cs="Calibri"/>
                <w:szCs w:val="16"/>
              </w:rPr>
              <w:t>D/FM</w:t>
            </w:r>
          </w:p>
        </w:tc>
        <w:tc>
          <w:tcPr>
            <w:tcW w:w="922" w:type="dxa"/>
            <w:shd w:val="clear" w:color="auto" w:fill="auto"/>
            <w:tcMar>
              <w:left w:w="85" w:type="dxa"/>
              <w:right w:w="85" w:type="dxa"/>
            </w:tcMar>
          </w:tcPr>
          <w:p w14:paraId="620DCCA6" w14:textId="77777777" w:rsidR="00627CA1" w:rsidRPr="00D9348B" w:rsidRDefault="00627CA1" w:rsidP="00DB330E">
            <w:pPr>
              <w:pStyle w:val="TableText"/>
              <w:jc w:val="center"/>
              <w:rPr>
                <w:rFonts w:cs="Calibri"/>
                <w:szCs w:val="16"/>
              </w:rPr>
            </w:pPr>
            <w:r w:rsidRPr="00D9348B">
              <w:rPr>
                <w:rFonts w:cs="Calibri"/>
                <w:szCs w:val="16"/>
              </w:rPr>
              <w:t>D/FM</w:t>
            </w:r>
          </w:p>
        </w:tc>
      </w:tr>
      <w:tr w:rsidR="00627CA1" w:rsidRPr="00D9348B" w14:paraId="360E624B" w14:textId="77777777" w:rsidTr="00DB330E">
        <w:tc>
          <w:tcPr>
            <w:tcW w:w="1242" w:type="dxa"/>
            <w:shd w:val="clear" w:color="auto" w:fill="auto"/>
            <w:tcMar>
              <w:left w:w="85" w:type="dxa"/>
              <w:right w:w="85" w:type="dxa"/>
            </w:tcMar>
          </w:tcPr>
          <w:p w14:paraId="767A2592" w14:textId="77777777" w:rsidR="00627CA1" w:rsidRPr="00D9348B" w:rsidRDefault="00627CA1" w:rsidP="00DB330E">
            <w:pPr>
              <w:pStyle w:val="TableText"/>
              <w:rPr>
                <w:rFonts w:cs="Calibri"/>
                <w:szCs w:val="16"/>
              </w:rPr>
            </w:pPr>
            <w:r w:rsidRPr="00D9348B">
              <w:rPr>
                <w:rFonts w:cs="Calibri"/>
                <w:szCs w:val="16"/>
              </w:rPr>
              <w:t>Post-1989 forest</w:t>
            </w:r>
          </w:p>
        </w:tc>
        <w:tc>
          <w:tcPr>
            <w:tcW w:w="921" w:type="dxa"/>
            <w:shd w:val="clear" w:color="auto" w:fill="auto"/>
            <w:tcMar>
              <w:left w:w="85" w:type="dxa"/>
              <w:right w:w="85" w:type="dxa"/>
            </w:tcMar>
          </w:tcPr>
          <w:p w14:paraId="47003FA9" w14:textId="77777777" w:rsidR="00627CA1" w:rsidRPr="00D9348B" w:rsidRDefault="00627CA1" w:rsidP="00DB330E">
            <w:pPr>
              <w:pStyle w:val="TableText"/>
              <w:jc w:val="center"/>
              <w:rPr>
                <w:rFonts w:cs="Calibri"/>
                <w:szCs w:val="16"/>
              </w:rPr>
            </w:pPr>
            <w:r w:rsidRPr="00D9348B">
              <w:rPr>
                <w:rFonts w:cs="Calibri"/>
                <w:szCs w:val="16"/>
              </w:rPr>
              <w:t>–</w:t>
            </w:r>
          </w:p>
        </w:tc>
        <w:tc>
          <w:tcPr>
            <w:tcW w:w="921" w:type="dxa"/>
            <w:shd w:val="clear" w:color="auto" w:fill="auto"/>
            <w:tcMar>
              <w:left w:w="85" w:type="dxa"/>
              <w:right w:w="85" w:type="dxa"/>
            </w:tcMar>
          </w:tcPr>
          <w:p w14:paraId="6F970657" w14:textId="77777777" w:rsidR="00627CA1" w:rsidRPr="00D9348B" w:rsidRDefault="00627CA1" w:rsidP="00DB330E">
            <w:pPr>
              <w:pStyle w:val="TableText"/>
              <w:jc w:val="center"/>
              <w:rPr>
                <w:rFonts w:cs="Calibri"/>
                <w:szCs w:val="16"/>
              </w:rPr>
            </w:pPr>
            <w:r w:rsidRPr="00D9348B">
              <w:rPr>
                <w:rFonts w:cs="Calibri"/>
                <w:szCs w:val="16"/>
              </w:rPr>
              <w:t>–</w:t>
            </w:r>
          </w:p>
        </w:tc>
        <w:tc>
          <w:tcPr>
            <w:tcW w:w="922" w:type="dxa"/>
            <w:shd w:val="clear" w:color="auto" w:fill="auto"/>
            <w:tcMar>
              <w:left w:w="85" w:type="dxa"/>
              <w:right w:w="85" w:type="dxa"/>
            </w:tcMar>
          </w:tcPr>
          <w:p w14:paraId="0FDB308B" w14:textId="77777777" w:rsidR="00627CA1" w:rsidRPr="00D9348B" w:rsidRDefault="00627CA1" w:rsidP="00DB330E">
            <w:pPr>
              <w:pStyle w:val="TableText"/>
              <w:jc w:val="center"/>
              <w:rPr>
                <w:rFonts w:cs="Calibri"/>
                <w:szCs w:val="16"/>
              </w:rPr>
            </w:pPr>
            <w:r w:rsidRPr="00D9348B">
              <w:rPr>
                <w:rFonts w:cs="Calibri"/>
                <w:szCs w:val="16"/>
              </w:rPr>
              <w:t>A</w:t>
            </w:r>
          </w:p>
        </w:tc>
        <w:tc>
          <w:tcPr>
            <w:tcW w:w="921" w:type="dxa"/>
            <w:shd w:val="clear" w:color="auto" w:fill="auto"/>
            <w:tcMar>
              <w:left w:w="85" w:type="dxa"/>
              <w:right w:w="85" w:type="dxa"/>
            </w:tcMar>
          </w:tcPr>
          <w:p w14:paraId="66E1FE90" w14:textId="77777777" w:rsidR="00627CA1" w:rsidRPr="00D9348B" w:rsidRDefault="00627CA1" w:rsidP="00DB330E">
            <w:pPr>
              <w:pStyle w:val="TableText"/>
              <w:jc w:val="center"/>
              <w:rPr>
                <w:rFonts w:cs="Calibri"/>
                <w:szCs w:val="16"/>
              </w:rPr>
            </w:pPr>
            <w:r w:rsidRPr="00D9348B">
              <w:rPr>
                <w:rFonts w:cs="Calibri"/>
                <w:szCs w:val="16"/>
              </w:rPr>
              <w:t>D</w:t>
            </w:r>
          </w:p>
        </w:tc>
        <w:tc>
          <w:tcPr>
            <w:tcW w:w="921" w:type="dxa"/>
            <w:shd w:val="clear" w:color="auto" w:fill="auto"/>
            <w:tcMar>
              <w:left w:w="85" w:type="dxa"/>
              <w:right w:w="85" w:type="dxa"/>
            </w:tcMar>
          </w:tcPr>
          <w:p w14:paraId="06EFD1C1" w14:textId="77777777" w:rsidR="00627CA1" w:rsidRPr="00D9348B" w:rsidRDefault="00627CA1" w:rsidP="00DB330E">
            <w:pPr>
              <w:pStyle w:val="TableText"/>
              <w:jc w:val="center"/>
              <w:rPr>
                <w:rFonts w:cs="Calibri"/>
                <w:szCs w:val="16"/>
              </w:rPr>
            </w:pPr>
            <w:r w:rsidRPr="00D9348B">
              <w:rPr>
                <w:rFonts w:cs="Calibri"/>
                <w:szCs w:val="16"/>
              </w:rPr>
              <w:t>D</w:t>
            </w:r>
          </w:p>
        </w:tc>
        <w:tc>
          <w:tcPr>
            <w:tcW w:w="843" w:type="dxa"/>
            <w:shd w:val="clear" w:color="auto" w:fill="auto"/>
            <w:tcMar>
              <w:left w:w="85" w:type="dxa"/>
              <w:right w:w="85" w:type="dxa"/>
            </w:tcMar>
          </w:tcPr>
          <w:p w14:paraId="394E7AC2" w14:textId="77777777" w:rsidR="00627CA1" w:rsidRPr="00D9348B" w:rsidRDefault="00627CA1" w:rsidP="00DB330E">
            <w:pPr>
              <w:pStyle w:val="TableText"/>
              <w:jc w:val="center"/>
              <w:rPr>
                <w:rFonts w:cs="Calibri"/>
                <w:szCs w:val="16"/>
              </w:rPr>
            </w:pPr>
            <w:r w:rsidRPr="00D9348B">
              <w:rPr>
                <w:rFonts w:cs="Calibri"/>
                <w:szCs w:val="16"/>
              </w:rPr>
              <w:t>D</w:t>
            </w:r>
          </w:p>
        </w:tc>
        <w:tc>
          <w:tcPr>
            <w:tcW w:w="1000" w:type="dxa"/>
            <w:shd w:val="clear" w:color="auto" w:fill="auto"/>
            <w:tcMar>
              <w:left w:w="85" w:type="dxa"/>
              <w:right w:w="85" w:type="dxa"/>
            </w:tcMar>
          </w:tcPr>
          <w:p w14:paraId="12C82D4F" w14:textId="77777777" w:rsidR="00627CA1" w:rsidRPr="00D9348B" w:rsidRDefault="00627CA1" w:rsidP="00DB330E">
            <w:pPr>
              <w:pStyle w:val="TableText"/>
              <w:jc w:val="center"/>
              <w:rPr>
                <w:rFonts w:cs="Calibri"/>
                <w:szCs w:val="16"/>
              </w:rPr>
            </w:pPr>
            <w:r w:rsidRPr="00D9348B">
              <w:rPr>
                <w:rFonts w:cs="Calibri"/>
                <w:szCs w:val="16"/>
              </w:rPr>
              <w:t>D</w:t>
            </w:r>
          </w:p>
        </w:tc>
        <w:tc>
          <w:tcPr>
            <w:tcW w:w="922" w:type="dxa"/>
            <w:shd w:val="clear" w:color="auto" w:fill="auto"/>
            <w:tcMar>
              <w:left w:w="85" w:type="dxa"/>
              <w:right w:w="85" w:type="dxa"/>
            </w:tcMar>
          </w:tcPr>
          <w:p w14:paraId="247EF875" w14:textId="77777777" w:rsidR="00627CA1" w:rsidRPr="00D9348B" w:rsidRDefault="00627CA1" w:rsidP="00DB330E">
            <w:pPr>
              <w:pStyle w:val="TableText"/>
              <w:jc w:val="center"/>
              <w:rPr>
                <w:rFonts w:cs="Calibri"/>
                <w:szCs w:val="16"/>
              </w:rPr>
            </w:pPr>
            <w:r w:rsidRPr="00D9348B">
              <w:rPr>
                <w:rFonts w:cs="Calibri"/>
                <w:szCs w:val="16"/>
              </w:rPr>
              <w:t>D</w:t>
            </w:r>
          </w:p>
        </w:tc>
      </w:tr>
      <w:tr w:rsidR="00627CA1" w:rsidRPr="00D9348B" w14:paraId="32333D54" w14:textId="77777777" w:rsidTr="00DB330E">
        <w:tc>
          <w:tcPr>
            <w:tcW w:w="1242" w:type="dxa"/>
            <w:shd w:val="clear" w:color="auto" w:fill="auto"/>
            <w:tcMar>
              <w:left w:w="85" w:type="dxa"/>
              <w:right w:w="85" w:type="dxa"/>
            </w:tcMar>
          </w:tcPr>
          <w:p w14:paraId="60DD9D27" w14:textId="77777777" w:rsidR="00627CA1" w:rsidRPr="00D9348B" w:rsidRDefault="00627CA1" w:rsidP="00DB330E">
            <w:pPr>
              <w:pStyle w:val="TableText"/>
              <w:rPr>
                <w:rFonts w:cs="Calibri"/>
                <w:szCs w:val="16"/>
              </w:rPr>
            </w:pPr>
            <w:r w:rsidRPr="00D9348B">
              <w:rPr>
                <w:rFonts w:cs="Calibri"/>
                <w:szCs w:val="16"/>
              </w:rPr>
              <w:t>Grassland</w:t>
            </w:r>
          </w:p>
        </w:tc>
        <w:tc>
          <w:tcPr>
            <w:tcW w:w="921" w:type="dxa"/>
            <w:shd w:val="clear" w:color="auto" w:fill="auto"/>
            <w:tcMar>
              <w:left w:w="85" w:type="dxa"/>
              <w:right w:w="85" w:type="dxa"/>
            </w:tcMar>
          </w:tcPr>
          <w:p w14:paraId="30E2CD11" w14:textId="77777777" w:rsidR="00627CA1" w:rsidRPr="00D9348B" w:rsidRDefault="00627CA1" w:rsidP="00DB330E">
            <w:pPr>
              <w:pStyle w:val="TableText"/>
              <w:jc w:val="center"/>
              <w:rPr>
                <w:rFonts w:cs="Calibri"/>
                <w:szCs w:val="16"/>
              </w:rPr>
            </w:pPr>
            <w:r w:rsidRPr="00D9348B">
              <w:rPr>
                <w:rFonts w:cs="Calibri"/>
                <w:szCs w:val="16"/>
              </w:rPr>
              <w:t>*D</w:t>
            </w:r>
          </w:p>
        </w:tc>
        <w:tc>
          <w:tcPr>
            <w:tcW w:w="921" w:type="dxa"/>
            <w:shd w:val="clear" w:color="auto" w:fill="auto"/>
            <w:tcMar>
              <w:left w:w="85" w:type="dxa"/>
              <w:right w:w="85" w:type="dxa"/>
            </w:tcMar>
          </w:tcPr>
          <w:p w14:paraId="07E1CE3C" w14:textId="77777777" w:rsidR="00627CA1" w:rsidRPr="00D9348B" w:rsidRDefault="00627CA1" w:rsidP="00DB330E">
            <w:pPr>
              <w:pStyle w:val="TableText"/>
              <w:jc w:val="center"/>
              <w:rPr>
                <w:rFonts w:cs="Calibri"/>
                <w:szCs w:val="16"/>
              </w:rPr>
            </w:pPr>
            <w:r w:rsidRPr="00D9348B">
              <w:rPr>
                <w:rFonts w:cs="Calibri"/>
                <w:szCs w:val="16"/>
              </w:rPr>
              <w:t>*D</w:t>
            </w:r>
          </w:p>
        </w:tc>
        <w:tc>
          <w:tcPr>
            <w:tcW w:w="922" w:type="dxa"/>
            <w:shd w:val="clear" w:color="auto" w:fill="auto"/>
            <w:tcMar>
              <w:left w:w="85" w:type="dxa"/>
              <w:right w:w="85" w:type="dxa"/>
            </w:tcMar>
          </w:tcPr>
          <w:p w14:paraId="7CB18B17" w14:textId="77777777" w:rsidR="00627CA1" w:rsidRPr="00D9348B" w:rsidRDefault="00627CA1" w:rsidP="00DB330E">
            <w:pPr>
              <w:pStyle w:val="TableText"/>
              <w:jc w:val="center"/>
              <w:rPr>
                <w:rFonts w:cs="Calibri"/>
                <w:szCs w:val="16"/>
              </w:rPr>
            </w:pPr>
            <w:r w:rsidRPr="00D9348B">
              <w:rPr>
                <w:rFonts w:cs="Calibri"/>
                <w:szCs w:val="16"/>
              </w:rPr>
              <w:t>A/FM</w:t>
            </w:r>
          </w:p>
        </w:tc>
        <w:tc>
          <w:tcPr>
            <w:tcW w:w="921" w:type="dxa"/>
            <w:shd w:val="clear" w:color="auto" w:fill="auto"/>
            <w:tcMar>
              <w:left w:w="85" w:type="dxa"/>
              <w:right w:w="85" w:type="dxa"/>
            </w:tcMar>
          </w:tcPr>
          <w:p w14:paraId="4231F382" w14:textId="77777777" w:rsidR="00627CA1" w:rsidRPr="00D9348B" w:rsidRDefault="00627CA1" w:rsidP="00DB330E">
            <w:pPr>
              <w:pStyle w:val="TableText"/>
              <w:jc w:val="center"/>
              <w:rPr>
                <w:rFonts w:cs="Calibri"/>
                <w:szCs w:val="16"/>
              </w:rPr>
            </w:pPr>
          </w:p>
        </w:tc>
        <w:tc>
          <w:tcPr>
            <w:tcW w:w="921" w:type="dxa"/>
            <w:shd w:val="clear" w:color="auto" w:fill="auto"/>
            <w:tcMar>
              <w:left w:w="85" w:type="dxa"/>
              <w:right w:w="85" w:type="dxa"/>
            </w:tcMar>
          </w:tcPr>
          <w:p w14:paraId="11578956" w14:textId="77777777" w:rsidR="00627CA1" w:rsidRPr="00D9348B" w:rsidRDefault="00627CA1" w:rsidP="00DB330E">
            <w:pPr>
              <w:pStyle w:val="TableText"/>
              <w:jc w:val="center"/>
              <w:rPr>
                <w:rFonts w:cs="Calibri"/>
                <w:szCs w:val="16"/>
              </w:rPr>
            </w:pPr>
          </w:p>
        </w:tc>
        <w:tc>
          <w:tcPr>
            <w:tcW w:w="843" w:type="dxa"/>
            <w:shd w:val="clear" w:color="auto" w:fill="auto"/>
            <w:tcMar>
              <w:left w:w="85" w:type="dxa"/>
              <w:right w:w="85" w:type="dxa"/>
            </w:tcMar>
          </w:tcPr>
          <w:p w14:paraId="663C6A2D" w14:textId="77777777" w:rsidR="00627CA1" w:rsidRPr="00D9348B" w:rsidRDefault="00627CA1" w:rsidP="00DB330E">
            <w:pPr>
              <w:pStyle w:val="TableText"/>
              <w:jc w:val="center"/>
              <w:rPr>
                <w:rFonts w:cs="Calibri"/>
                <w:szCs w:val="16"/>
              </w:rPr>
            </w:pPr>
          </w:p>
        </w:tc>
        <w:tc>
          <w:tcPr>
            <w:tcW w:w="1000" w:type="dxa"/>
            <w:shd w:val="clear" w:color="auto" w:fill="auto"/>
            <w:tcMar>
              <w:left w:w="85" w:type="dxa"/>
              <w:right w:w="85" w:type="dxa"/>
            </w:tcMar>
          </w:tcPr>
          <w:p w14:paraId="36C23A8E" w14:textId="77777777" w:rsidR="00627CA1" w:rsidRPr="00D9348B" w:rsidRDefault="00627CA1" w:rsidP="00DB330E">
            <w:pPr>
              <w:pStyle w:val="TableText"/>
              <w:jc w:val="center"/>
              <w:rPr>
                <w:rFonts w:cs="Calibri"/>
                <w:szCs w:val="16"/>
              </w:rPr>
            </w:pPr>
          </w:p>
        </w:tc>
        <w:tc>
          <w:tcPr>
            <w:tcW w:w="922" w:type="dxa"/>
            <w:shd w:val="clear" w:color="auto" w:fill="auto"/>
            <w:tcMar>
              <w:left w:w="85" w:type="dxa"/>
              <w:right w:w="85" w:type="dxa"/>
            </w:tcMar>
          </w:tcPr>
          <w:p w14:paraId="544D3D3D" w14:textId="77777777" w:rsidR="00627CA1" w:rsidRPr="00D9348B" w:rsidRDefault="00627CA1" w:rsidP="00DB330E">
            <w:pPr>
              <w:pStyle w:val="TableText"/>
              <w:jc w:val="center"/>
              <w:rPr>
                <w:rFonts w:cs="Calibri"/>
                <w:szCs w:val="16"/>
              </w:rPr>
            </w:pPr>
          </w:p>
        </w:tc>
      </w:tr>
      <w:tr w:rsidR="00627CA1" w:rsidRPr="00D9348B" w14:paraId="118D52BF" w14:textId="77777777" w:rsidTr="00DB330E">
        <w:tc>
          <w:tcPr>
            <w:tcW w:w="1242" w:type="dxa"/>
            <w:shd w:val="clear" w:color="auto" w:fill="auto"/>
            <w:tcMar>
              <w:left w:w="85" w:type="dxa"/>
              <w:right w:w="85" w:type="dxa"/>
            </w:tcMar>
          </w:tcPr>
          <w:p w14:paraId="72C49621" w14:textId="77777777" w:rsidR="00627CA1" w:rsidRPr="00D9348B" w:rsidRDefault="00627CA1" w:rsidP="00DB330E">
            <w:pPr>
              <w:pStyle w:val="TableText"/>
              <w:rPr>
                <w:rFonts w:cs="Calibri"/>
                <w:szCs w:val="16"/>
              </w:rPr>
            </w:pPr>
            <w:r w:rsidRPr="00D9348B">
              <w:rPr>
                <w:rFonts w:cs="Calibri"/>
                <w:szCs w:val="16"/>
              </w:rPr>
              <w:t>Cropland</w:t>
            </w:r>
          </w:p>
        </w:tc>
        <w:tc>
          <w:tcPr>
            <w:tcW w:w="921" w:type="dxa"/>
            <w:shd w:val="clear" w:color="auto" w:fill="auto"/>
            <w:tcMar>
              <w:left w:w="85" w:type="dxa"/>
              <w:right w:w="85" w:type="dxa"/>
            </w:tcMar>
          </w:tcPr>
          <w:p w14:paraId="7AC06F4A" w14:textId="77777777" w:rsidR="00627CA1" w:rsidRPr="00D9348B" w:rsidRDefault="00627CA1" w:rsidP="00DB330E">
            <w:pPr>
              <w:pStyle w:val="TableText"/>
              <w:jc w:val="center"/>
              <w:rPr>
                <w:rFonts w:cs="Calibri"/>
                <w:szCs w:val="16"/>
              </w:rPr>
            </w:pPr>
            <w:r w:rsidRPr="00D9348B">
              <w:rPr>
                <w:rFonts w:cs="Calibri"/>
                <w:szCs w:val="16"/>
              </w:rPr>
              <w:t>*D</w:t>
            </w:r>
          </w:p>
        </w:tc>
        <w:tc>
          <w:tcPr>
            <w:tcW w:w="921" w:type="dxa"/>
            <w:shd w:val="clear" w:color="auto" w:fill="auto"/>
            <w:tcMar>
              <w:left w:w="85" w:type="dxa"/>
              <w:right w:w="85" w:type="dxa"/>
            </w:tcMar>
          </w:tcPr>
          <w:p w14:paraId="437A5B19" w14:textId="77777777" w:rsidR="00627CA1" w:rsidRPr="00D9348B" w:rsidRDefault="00627CA1" w:rsidP="00DB330E">
            <w:pPr>
              <w:pStyle w:val="TableText"/>
              <w:jc w:val="center"/>
              <w:rPr>
                <w:rFonts w:cs="Calibri"/>
                <w:szCs w:val="16"/>
              </w:rPr>
            </w:pPr>
            <w:r w:rsidRPr="00D9348B">
              <w:rPr>
                <w:rFonts w:cs="Calibri"/>
                <w:szCs w:val="16"/>
              </w:rPr>
              <w:t>*D</w:t>
            </w:r>
          </w:p>
        </w:tc>
        <w:tc>
          <w:tcPr>
            <w:tcW w:w="922" w:type="dxa"/>
            <w:shd w:val="clear" w:color="auto" w:fill="auto"/>
            <w:tcMar>
              <w:left w:w="85" w:type="dxa"/>
              <w:right w:w="85" w:type="dxa"/>
            </w:tcMar>
          </w:tcPr>
          <w:p w14:paraId="4805B99B" w14:textId="77777777" w:rsidR="00627CA1" w:rsidRPr="00D9348B" w:rsidRDefault="00627CA1" w:rsidP="00DB330E">
            <w:pPr>
              <w:pStyle w:val="TableText"/>
              <w:jc w:val="center"/>
              <w:rPr>
                <w:rFonts w:cs="Calibri"/>
                <w:szCs w:val="16"/>
              </w:rPr>
            </w:pPr>
            <w:r w:rsidRPr="00D9348B">
              <w:rPr>
                <w:rFonts w:cs="Calibri"/>
                <w:szCs w:val="16"/>
              </w:rPr>
              <w:t>A/FM</w:t>
            </w:r>
          </w:p>
        </w:tc>
        <w:tc>
          <w:tcPr>
            <w:tcW w:w="921" w:type="dxa"/>
            <w:shd w:val="clear" w:color="auto" w:fill="auto"/>
            <w:tcMar>
              <w:left w:w="85" w:type="dxa"/>
              <w:right w:w="85" w:type="dxa"/>
            </w:tcMar>
          </w:tcPr>
          <w:p w14:paraId="1EAE3BE3" w14:textId="77777777" w:rsidR="00627CA1" w:rsidRPr="00D9348B" w:rsidRDefault="00627CA1" w:rsidP="00DB330E">
            <w:pPr>
              <w:pStyle w:val="TableText"/>
              <w:jc w:val="center"/>
              <w:rPr>
                <w:rFonts w:cs="Calibri"/>
                <w:szCs w:val="16"/>
              </w:rPr>
            </w:pPr>
          </w:p>
        </w:tc>
        <w:tc>
          <w:tcPr>
            <w:tcW w:w="921" w:type="dxa"/>
            <w:shd w:val="clear" w:color="auto" w:fill="auto"/>
            <w:tcMar>
              <w:left w:w="85" w:type="dxa"/>
              <w:right w:w="85" w:type="dxa"/>
            </w:tcMar>
          </w:tcPr>
          <w:p w14:paraId="1D3C3F5F" w14:textId="77777777" w:rsidR="00627CA1" w:rsidRPr="00D9348B" w:rsidRDefault="00627CA1" w:rsidP="00DB330E">
            <w:pPr>
              <w:pStyle w:val="TableText"/>
              <w:jc w:val="center"/>
              <w:rPr>
                <w:rFonts w:cs="Calibri"/>
                <w:szCs w:val="16"/>
              </w:rPr>
            </w:pPr>
          </w:p>
        </w:tc>
        <w:tc>
          <w:tcPr>
            <w:tcW w:w="843" w:type="dxa"/>
            <w:shd w:val="clear" w:color="auto" w:fill="auto"/>
            <w:tcMar>
              <w:left w:w="85" w:type="dxa"/>
              <w:right w:w="85" w:type="dxa"/>
            </w:tcMar>
          </w:tcPr>
          <w:p w14:paraId="2B57D310" w14:textId="77777777" w:rsidR="00627CA1" w:rsidRPr="00D9348B" w:rsidRDefault="00627CA1" w:rsidP="00DB330E">
            <w:pPr>
              <w:pStyle w:val="TableText"/>
              <w:jc w:val="center"/>
              <w:rPr>
                <w:rFonts w:cs="Calibri"/>
                <w:szCs w:val="16"/>
              </w:rPr>
            </w:pPr>
          </w:p>
        </w:tc>
        <w:tc>
          <w:tcPr>
            <w:tcW w:w="1000" w:type="dxa"/>
            <w:shd w:val="clear" w:color="auto" w:fill="auto"/>
            <w:tcMar>
              <w:left w:w="85" w:type="dxa"/>
              <w:right w:w="85" w:type="dxa"/>
            </w:tcMar>
          </w:tcPr>
          <w:p w14:paraId="6348E573" w14:textId="77777777" w:rsidR="00627CA1" w:rsidRPr="00D9348B" w:rsidRDefault="00627CA1" w:rsidP="00DB330E">
            <w:pPr>
              <w:pStyle w:val="TableText"/>
              <w:jc w:val="center"/>
              <w:rPr>
                <w:rFonts w:cs="Calibri"/>
                <w:szCs w:val="16"/>
              </w:rPr>
            </w:pPr>
          </w:p>
        </w:tc>
        <w:tc>
          <w:tcPr>
            <w:tcW w:w="922" w:type="dxa"/>
            <w:shd w:val="clear" w:color="auto" w:fill="auto"/>
            <w:tcMar>
              <w:left w:w="85" w:type="dxa"/>
              <w:right w:w="85" w:type="dxa"/>
            </w:tcMar>
          </w:tcPr>
          <w:p w14:paraId="7E976868" w14:textId="77777777" w:rsidR="00627CA1" w:rsidRPr="00D9348B" w:rsidRDefault="00627CA1" w:rsidP="00DB330E">
            <w:pPr>
              <w:pStyle w:val="TableText"/>
              <w:jc w:val="center"/>
              <w:rPr>
                <w:rFonts w:cs="Calibri"/>
                <w:szCs w:val="16"/>
              </w:rPr>
            </w:pPr>
          </w:p>
        </w:tc>
      </w:tr>
      <w:tr w:rsidR="00627CA1" w:rsidRPr="00D9348B" w14:paraId="5D3AB0D3" w14:textId="77777777" w:rsidTr="00DB330E">
        <w:tc>
          <w:tcPr>
            <w:tcW w:w="1242" w:type="dxa"/>
            <w:shd w:val="clear" w:color="auto" w:fill="auto"/>
            <w:tcMar>
              <w:left w:w="85" w:type="dxa"/>
              <w:right w:w="85" w:type="dxa"/>
            </w:tcMar>
          </w:tcPr>
          <w:p w14:paraId="75AC31B1" w14:textId="77777777" w:rsidR="00627CA1" w:rsidRPr="00D9348B" w:rsidRDefault="00627CA1" w:rsidP="00DB330E">
            <w:pPr>
              <w:pStyle w:val="TableText"/>
              <w:rPr>
                <w:rFonts w:cs="Calibri"/>
                <w:szCs w:val="16"/>
              </w:rPr>
            </w:pPr>
            <w:r w:rsidRPr="00D9348B">
              <w:rPr>
                <w:rFonts w:cs="Calibri"/>
                <w:szCs w:val="16"/>
              </w:rPr>
              <w:t>Wetland</w:t>
            </w:r>
          </w:p>
        </w:tc>
        <w:tc>
          <w:tcPr>
            <w:tcW w:w="921" w:type="dxa"/>
            <w:shd w:val="clear" w:color="auto" w:fill="auto"/>
            <w:tcMar>
              <w:left w:w="85" w:type="dxa"/>
              <w:right w:w="85" w:type="dxa"/>
            </w:tcMar>
          </w:tcPr>
          <w:p w14:paraId="69FB3801" w14:textId="77777777" w:rsidR="00627CA1" w:rsidRPr="00D9348B" w:rsidRDefault="00627CA1" w:rsidP="00DB330E">
            <w:pPr>
              <w:pStyle w:val="TableText"/>
              <w:jc w:val="center"/>
              <w:rPr>
                <w:rFonts w:cs="Calibri"/>
                <w:szCs w:val="16"/>
              </w:rPr>
            </w:pPr>
            <w:r w:rsidRPr="00D9348B">
              <w:rPr>
                <w:rFonts w:cs="Calibri"/>
                <w:szCs w:val="16"/>
              </w:rPr>
              <w:t>*D</w:t>
            </w:r>
          </w:p>
        </w:tc>
        <w:tc>
          <w:tcPr>
            <w:tcW w:w="921" w:type="dxa"/>
            <w:shd w:val="clear" w:color="auto" w:fill="auto"/>
            <w:tcMar>
              <w:left w:w="85" w:type="dxa"/>
              <w:right w:w="85" w:type="dxa"/>
            </w:tcMar>
          </w:tcPr>
          <w:p w14:paraId="65A05CFF" w14:textId="77777777" w:rsidR="00627CA1" w:rsidRPr="00D9348B" w:rsidRDefault="00627CA1" w:rsidP="00DB330E">
            <w:pPr>
              <w:pStyle w:val="TableText"/>
              <w:jc w:val="center"/>
              <w:rPr>
                <w:rFonts w:cs="Calibri"/>
                <w:szCs w:val="16"/>
              </w:rPr>
            </w:pPr>
            <w:r w:rsidRPr="00D9348B">
              <w:rPr>
                <w:rFonts w:cs="Calibri"/>
                <w:szCs w:val="16"/>
              </w:rPr>
              <w:t>*D</w:t>
            </w:r>
          </w:p>
        </w:tc>
        <w:tc>
          <w:tcPr>
            <w:tcW w:w="922" w:type="dxa"/>
            <w:shd w:val="clear" w:color="auto" w:fill="auto"/>
            <w:tcMar>
              <w:left w:w="85" w:type="dxa"/>
              <w:right w:w="85" w:type="dxa"/>
            </w:tcMar>
          </w:tcPr>
          <w:p w14:paraId="541C8C49" w14:textId="77777777" w:rsidR="00627CA1" w:rsidRPr="00D9348B" w:rsidRDefault="00627CA1" w:rsidP="00DB330E">
            <w:pPr>
              <w:pStyle w:val="TableText"/>
              <w:jc w:val="center"/>
              <w:rPr>
                <w:rFonts w:cs="Calibri"/>
                <w:szCs w:val="16"/>
              </w:rPr>
            </w:pPr>
            <w:r w:rsidRPr="00D9348B">
              <w:rPr>
                <w:rFonts w:cs="Calibri"/>
                <w:szCs w:val="16"/>
              </w:rPr>
              <w:t>A/FM</w:t>
            </w:r>
          </w:p>
        </w:tc>
        <w:tc>
          <w:tcPr>
            <w:tcW w:w="921" w:type="dxa"/>
            <w:shd w:val="clear" w:color="auto" w:fill="auto"/>
            <w:tcMar>
              <w:left w:w="85" w:type="dxa"/>
              <w:right w:w="85" w:type="dxa"/>
            </w:tcMar>
          </w:tcPr>
          <w:p w14:paraId="663EAAB4" w14:textId="77777777" w:rsidR="00627CA1" w:rsidRPr="00D9348B" w:rsidRDefault="00627CA1" w:rsidP="00DB330E">
            <w:pPr>
              <w:pStyle w:val="TableText"/>
              <w:jc w:val="center"/>
              <w:rPr>
                <w:rFonts w:cs="Calibri"/>
                <w:szCs w:val="16"/>
              </w:rPr>
            </w:pPr>
          </w:p>
        </w:tc>
        <w:tc>
          <w:tcPr>
            <w:tcW w:w="921" w:type="dxa"/>
            <w:shd w:val="clear" w:color="auto" w:fill="auto"/>
            <w:tcMar>
              <w:left w:w="85" w:type="dxa"/>
              <w:right w:w="85" w:type="dxa"/>
            </w:tcMar>
          </w:tcPr>
          <w:p w14:paraId="0D27A199" w14:textId="77777777" w:rsidR="00627CA1" w:rsidRPr="00D9348B" w:rsidRDefault="00627CA1" w:rsidP="00DB330E">
            <w:pPr>
              <w:pStyle w:val="TableText"/>
              <w:jc w:val="center"/>
              <w:rPr>
                <w:rFonts w:cs="Calibri"/>
                <w:szCs w:val="16"/>
              </w:rPr>
            </w:pPr>
          </w:p>
        </w:tc>
        <w:tc>
          <w:tcPr>
            <w:tcW w:w="843" w:type="dxa"/>
            <w:shd w:val="clear" w:color="auto" w:fill="auto"/>
            <w:tcMar>
              <w:left w:w="85" w:type="dxa"/>
              <w:right w:w="85" w:type="dxa"/>
            </w:tcMar>
          </w:tcPr>
          <w:p w14:paraId="446F14C4" w14:textId="77777777" w:rsidR="00627CA1" w:rsidRPr="00D9348B" w:rsidRDefault="00627CA1" w:rsidP="00DB330E">
            <w:pPr>
              <w:pStyle w:val="TableText"/>
              <w:jc w:val="center"/>
              <w:rPr>
                <w:rFonts w:cs="Calibri"/>
                <w:szCs w:val="16"/>
              </w:rPr>
            </w:pPr>
          </w:p>
        </w:tc>
        <w:tc>
          <w:tcPr>
            <w:tcW w:w="1000" w:type="dxa"/>
            <w:shd w:val="clear" w:color="auto" w:fill="auto"/>
            <w:tcMar>
              <w:left w:w="85" w:type="dxa"/>
              <w:right w:w="85" w:type="dxa"/>
            </w:tcMar>
          </w:tcPr>
          <w:p w14:paraId="747C8728" w14:textId="77777777" w:rsidR="00627CA1" w:rsidRPr="00D9348B" w:rsidRDefault="00627CA1" w:rsidP="00DB330E">
            <w:pPr>
              <w:pStyle w:val="TableText"/>
              <w:jc w:val="center"/>
              <w:rPr>
                <w:rFonts w:cs="Calibri"/>
                <w:szCs w:val="16"/>
              </w:rPr>
            </w:pPr>
          </w:p>
        </w:tc>
        <w:tc>
          <w:tcPr>
            <w:tcW w:w="922" w:type="dxa"/>
            <w:shd w:val="clear" w:color="auto" w:fill="auto"/>
            <w:tcMar>
              <w:left w:w="85" w:type="dxa"/>
              <w:right w:w="85" w:type="dxa"/>
            </w:tcMar>
          </w:tcPr>
          <w:p w14:paraId="6859EF35" w14:textId="77777777" w:rsidR="00627CA1" w:rsidRPr="00D9348B" w:rsidRDefault="00627CA1" w:rsidP="00DB330E">
            <w:pPr>
              <w:pStyle w:val="TableText"/>
              <w:jc w:val="center"/>
              <w:rPr>
                <w:rFonts w:cs="Calibri"/>
                <w:szCs w:val="16"/>
              </w:rPr>
            </w:pPr>
          </w:p>
        </w:tc>
      </w:tr>
      <w:tr w:rsidR="00627CA1" w:rsidRPr="00D9348B" w14:paraId="0599A6BB" w14:textId="77777777" w:rsidTr="00DB330E">
        <w:tc>
          <w:tcPr>
            <w:tcW w:w="1242" w:type="dxa"/>
            <w:shd w:val="clear" w:color="auto" w:fill="auto"/>
            <w:tcMar>
              <w:left w:w="85" w:type="dxa"/>
              <w:right w:w="85" w:type="dxa"/>
            </w:tcMar>
          </w:tcPr>
          <w:p w14:paraId="2F9E700F" w14:textId="77777777" w:rsidR="00627CA1" w:rsidRPr="00D9348B" w:rsidRDefault="00627CA1" w:rsidP="00DB330E">
            <w:pPr>
              <w:pStyle w:val="TableText"/>
              <w:rPr>
                <w:rFonts w:cs="Calibri"/>
                <w:szCs w:val="16"/>
              </w:rPr>
            </w:pPr>
            <w:r w:rsidRPr="00D9348B">
              <w:rPr>
                <w:rFonts w:cs="Calibri"/>
                <w:szCs w:val="16"/>
              </w:rPr>
              <w:t>Settlements</w:t>
            </w:r>
          </w:p>
        </w:tc>
        <w:tc>
          <w:tcPr>
            <w:tcW w:w="921" w:type="dxa"/>
            <w:shd w:val="clear" w:color="auto" w:fill="auto"/>
            <w:tcMar>
              <w:left w:w="85" w:type="dxa"/>
              <w:right w:w="85" w:type="dxa"/>
            </w:tcMar>
          </w:tcPr>
          <w:p w14:paraId="6C3DCE62" w14:textId="77777777" w:rsidR="00627CA1" w:rsidRPr="00D9348B" w:rsidRDefault="00627CA1" w:rsidP="00DB330E">
            <w:pPr>
              <w:pStyle w:val="TableText"/>
              <w:jc w:val="center"/>
              <w:rPr>
                <w:rFonts w:cs="Calibri"/>
                <w:szCs w:val="16"/>
              </w:rPr>
            </w:pPr>
            <w:r w:rsidRPr="00D9348B">
              <w:rPr>
                <w:rFonts w:cs="Calibri"/>
                <w:szCs w:val="16"/>
              </w:rPr>
              <w:t>*D</w:t>
            </w:r>
          </w:p>
        </w:tc>
        <w:tc>
          <w:tcPr>
            <w:tcW w:w="921" w:type="dxa"/>
            <w:shd w:val="clear" w:color="auto" w:fill="auto"/>
            <w:tcMar>
              <w:left w:w="85" w:type="dxa"/>
              <w:right w:w="85" w:type="dxa"/>
            </w:tcMar>
          </w:tcPr>
          <w:p w14:paraId="1A2364C3" w14:textId="77777777" w:rsidR="00627CA1" w:rsidRPr="00D9348B" w:rsidRDefault="00627CA1" w:rsidP="00DB330E">
            <w:pPr>
              <w:pStyle w:val="TableText"/>
              <w:jc w:val="center"/>
              <w:rPr>
                <w:rFonts w:cs="Calibri"/>
                <w:szCs w:val="16"/>
              </w:rPr>
            </w:pPr>
            <w:r w:rsidRPr="00D9348B">
              <w:rPr>
                <w:rFonts w:cs="Calibri"/>
                <w:szCs w:val="16"/>
              </w:rPr>
              <w:t>*D</w:t>
            </w:r>
          </w:p>
        </w:tc>
        <w:tc>
          <w:tcPr>
            <w:tcW w:w="922" w:type="dxa"/>
            <w:shd w:val="clear" w:color="auto" w:fill="auto"/>
            <w:tcMar>
              <w:left w:w="85" w:type="dxa"/>
              <w:right w:w="85" w:type="dxa"/>
            </w:tcMar>
          </w:tcPr>
          <w:p w14:paraId="5ADD5AB0" w14:textId="77777777" w:rsidR="00627CA1" w:rsidRPr="00D9348B" w:rsidRDefault="00627CA1" w:rsidP="00DB330E">
            <w:pPr>
              <w:pStyle w:val="TableText"/>
              <w:jc w:val="center"/>
              <w:rPr>
                <w:rFonts w:cs="Calibri"/>
                <w:szCs w:val="16"/>
              </w:rPr>
            </w:pPr>
            <w:r w:rsidRPr="00D9348B">
              <w:rPr>
                <w:rFonts w:cs="Calibri"/>
                <w:szCs w:val="16"/>
              </w:rPr>
              <w:t>A/FM</w:t>
            </w:r>
          </w:p>
        </w:tc>
        <w:tc>
          <w:tcPr>
            <w:tcW w:w="921" w:type="dxa"/>
            <w:shd w:val="clear" w:color="auto" w:fill="auto"/>
            <w:tcMar>
              <w:left w:w="85" w:type="dxa"/>
              <w:right w:w="85" w:type="dxa"/>
            </w:tcMar>
          </w:tcPr>
          <w:p w14:paraId="78ED0792" w14:textId="77777777" w:rsidR="00627CA1" w:rsidRPr="00D9348B" w:rsidRDefault="00627CA1" w:rsidP="00DB330E">
            <w:pPr>
              <w:pStyle w:val="TableText"/>
              <w:jc w:val="center"/>
              <w:rPr>
                <w:rFonts w:cs="Calibri"/>
                <w:szCs w:val="16"/>
              </w:rPr>
            </w:pPr>
          </w:p>
        </w:tc>
        <w:tc>
          <w:tcPr>
            <w:tcW w:w="921" w:type="dxa"/>
            <w:shd w:val="clear" w:color="auto" w:fill="auto"/>
            <w:tcMar>
              <w:left w:w="85" w:type="dxa"/>
              <w:right w:w="85" w:type="dxa"/>
            </w:tcMar>
          </w:tcPr>
          <w:p w14:paraId="384872FC" w14:textId="77777777" w:rsidR="00627CA1" w:rsidRPr="00D9348B" w:rsidRDefault="00627CA1" w:rsidP="00DB330E">
            <w:pPr>
              <w:pStyle w:val="TableText"/>
              <w:jc w:val="center"/>
              <w:rPr>
                <w:rFonts w:cs="Calibri"/>
                <w:szCs w:val="16"/>
              </w:rPr>
            </w:pPr>
          </w:p>
        </w:tc>
        <w:tc>
          <w:tcPr>
            <w:tcW w:w="843" w:type="dxa"/>
            <w:shd w:val="clear" w:color="auto" w:fill="auto"/>
            <w:tcMar>
              <w:left w:w="85" w:type="dxa"/>
              <w:right w:w="85" w:type="dxa"/>
            </w:tcMar>
          </w:tcPr>
          <w:p w14:paraId="4E700CA1" w14:textId="77777777" w:rsidR="00627CA1" w:rsidRPr="00D9348B" w:rsidRDefault="00627CA1" w:rsidP="00DB330E">
            <w:pPr>
              <w:pStyle w:val="TableText"/>
              <w:jc w:val="center"/>
              <w:rPr>
                <w:rFonts w:cs="Calibri"/>
                <w:szCs w:val="16"/>
              </w:rPr>
            </w:pPr>
          </w:p>
        </w:tc>
        <w:tc>
          <w:tcPr>
            <w:tcW w:w="1000" w:type="dxa"/>
            <w:shd w:val="clear" w:color="auto" w:fill="auto"/>
            <w:tcMar>
              <w:left w:w="85" w:type="dxa"/>
              <w:right w:w="85" w:type="dxa"/>
            </w:tcMar>
          </w:tcPr>
          <w:p w14:paraId="3BA16996" w14:textId="77777777" w:rsidR="00627CA1" w:rsidRPr="00D9348B" w:rsidRDefault="00627CA1" w:rsidP="00DB330E">
            <w:pPr>
              <w:pStyle w:val="TableText"/>
              <w:jc w:val="center"/>
              <w:rPr>
                <w:rFonts w:cs="Calibri"/>
                <w:szCs w:val="16"/>
              </w:rPr>
            </w:pPr>
          </w:p>
        </w:tc>
        <w:tc>
          <w:tcPr>
            <w:tcW w:w="922" w:type="dxa"/>
            <w:shd w:val="clear" w:color="auto" w:fill="auto"/>
            <w:tcMar>
              <w:left w:w="85" w:type="dxa"/>
              <w:right w:w="85" w:type="dxa"/>
            </w:tcMar>
          </w:tcPr>
          <w:p w14:paraId="3A5C64F4" w14:textId="77777777" w:rsidR="00627CA1" w:rsidRPr="00D9348B" w:rsidRDefault="00627CA1" w:rsidP="00DB330E">
            <w:pPr>
              <w:pStyle w:val="TableText"/>
              <w:jc w:val="center"/>
              <w:rPr>
                <w:rFonts w:cs="Calibri"/>
                <w:szCs w:val="16"/>
              </w:rPr>
            </w:pPr>
          </w:p>
        </w:tc>
      </w:tr>
      <w:tr w:rsidR="00627CA1" w:rsidRPr="00D9348B" w14:paraId="39CEBADC" w14:textId="77777777" w:rsidTr="00DB330E">
        <w:tc>
          <w:tcPr>
            <w:tcW w:w="1242" w:type="dxa"/>
            <w:shd w:val="clear" w:color="auto" w:fill="auto"/>
            <w:tcMar>
              <w:left w:w="85" w:type="dxa"/>
              <w:right w:w="85" w:type="dxa"/>
            </w:tcMar>
          </w:tcPr>
          <w:p w14:paraId="729E0F59" w14:textId="77777777" w:rsidR="00627CA1" w:rsidRPr="00D9348B" w:rsidRDefault="00627CA1" w:rsidP="00DB330E">
            <w:pPr>
              <w:pStyle w:val="TableText"/>
              <w:rPr>
                <w:rFonts w:cs="Calibri"/>
                <w:szCs w:val="16"/>
              </w:rPr>
            </w:pPr>
            <w:r w:rsidRPr="00D9348B">
              <w:rPr>
                <w:rFonts w:cs="Calibri"/>
                <w:szCs w:val="16"/>
              </w:rPr>
              <w:t>Other land</w:t>
            </w:r>
          </w:p>
        </w:tc>
        <w:tc>
          <w:tcPr>
            <w:tcW w:w="921" w:type="dxa"/>
            <w:shd w:val="clear" w:color="auto" w:fill="auto"/>
            <w:tcMar>
              <w:left w:w="85" w:type="dxa"/>
              <w:right w:w="85" w:type="dxa"/>
            </w:tcMar>
          </w:tcPr>
          <w:p w14:paraId="34BFCB1C" w14:textId="77777777" w:rsidR="00627CA1" w:rsidRPr="00D9348B" w:rsidRDefault="00627CA1" w:rsidP="00DB330E">
            <w:pPr>
              <w:pStyle w:val="TableText"/>
              <w:jc w:val="center"/>
              <w:rPr>
                <w:rFonts w:cs="Calibri"/>
                <w:szCs w:val="16"/>
              </w:rPr>
            </w:pPr>
            <w:r w:rsidRPr="00D9348B">
              <w:rPr>
                <w:rFonts w:cs="Calibri"/>
                <w:szCs w:val="16"/>
              </w:rPr>
              <w:t>*D</w:t>
            </w:r>
          </w:p>
        </w:tc>
        <w:tc>
          <w:tcPr>
            <w:tcW w:w="921" w:type="dxa"/>
            <w:shd w:val="clear" w:color="auto" w:fill="auto"/>
            <w:tcMar>
              <w:left w:w="85" w:type="dxa"/>
              <w:right w:w="85" w:type="dxa"/>
            </w:tcMar>
          </w:tcPr>
          <w:p w14:paraId="3CDFBBBA" w14:textId="77777777" w:rsidR="00627CA1" w:rsidRPr="00D9348B" w:rsidRDefault="00627CA1" w:rsidP="00DB330E">
            <w:pPr>
              <w:pStyle w:val="TableText"/>
              <w:jc w:val="center"/>
              <w:rPr>
                <w:rFonts w:cs="Calibri"/>
                <w:szCs w:val="16"/>
              </w:rPr>
            </w:pPr>
            <w:r w:rsidRPr="00D9348B">
              <w:rPr>
                <w:rFonts w:cs="Calibri"/>
                <w:szCs w:val="16"/>
              </w:rPr>
              <w:t>*D</w:t>
            </w:r>
          </w:p>
        </w:tc>
        <w:tc>
          <w:tcPr>
            <w:tcW w:w="922" w:type="dxa"/>
            <w:shd w:val="clear" w:color="auto" w:fill="auto"/>
            <w:tcMar>
              <w:left w:w="85" w:type="dxa"/>
              <w:right w:w="85" w:type="dxa"/>
            </w:tcMar>
          </w:tcPr>
          <w:p w14:paraId="6E319E24" w14:textId="77777777" w:rsidR="00627CA1" w:rsidRPr="00D9348B" w:rsidRDefault="00627CA1" w:rsidP="00DB330E">
            <w:pPr>
              <w:pStyle w:val="TableText"/>
              <w:jc w:val="center"/>
              <w:rPr>
                <w:rFonts w:cs="Calibri"/>
                <w:szCs w:val="16"/>
              </w:rPr>
            </w:pPr>
            <w:r w:rsidRPr="00D9348B">
              <w:rPr>
                <w:rFonts w:cs="Calibri"/>
                <w:szCs w:val="16"/>
              </w:rPr>
              <w:t>A/FM</w:t>
            </w:r>
          </w:p>
        </w:tc>
        <w:tc>
          <w:tcPr>
            <w:tcW w:w="921" w:type="dxa"/>
            <w:shd w:val="clear" w:color="auto" w:fill="auto"/>
            <w:tcMar>
              <w:left w:w="85" w:type="dxa"/>
              <w:right w:w="85" w:type="dxa"/>
            </w:tcMar>
          </w:tcPr>
          <w:p w14:paraId="008CC78A" w14:textId="77777777" w:rsidR="00627CA1" w:rsidRPr="00D9348B" w:rsidRDefault="00627CA1" w:rsidP="00DB330E">
            <w:pPr>
              <w:pStyle w:val="TableText"/>
              <w:jc w:val="center"/>
              <w:rPr>
                <w:rFonts w:cs="Calibri"/>
                <w:szCs w:val="16"/>
              </w:rPr>
            </w:pPr>
          </w:p>
        </w:tc>
        <w:tc>
          <w:tcPr>
            <w:tcW w:w="921" w:type="dxa"/>
            <w:shd w:val="clear" w:color="auto" w:fill="auto"/>
            <w:tcMar>
              <w:left w:w="85" w:type="dxa"/>
              <w:right w:w="85" w:type="dxa"/>
            </w:tcMar>
          </w:tcPr>
          <w:p w14:paraId="33CFA15F" w14:textId="77777777" w:rsidR="00627CA1" w:rsidRPr="00D9348B" w:rsidRDefault="00627CA1" w:rsidP="00DB330E">
            <w:pPr>
              <w:pStyle w:val="TableText"/>
              <w:jc w:val="center"/>
              <w:rPr>
                <w:rFonts w:cs="Calibri"/>
                <w:szCs w:val="16"/>
              </w:rPr>
            </w:pPr>
          </w:p>
        </w:tc>
        <w:tc>
          <w:tcPr>
            <w:tcW w:w="843" w:type="dxa"/>
            <w:shd w:val="clear" w:color="auto" w:fill="auto"/>
            <w:tcMar>
              <w:left w:w="85" w:type="dxa"/>
              <w:right w:w="85" w:type="dxa"/>
            </w:tcMar>
          </w:tcPr>
          <w:p w14:paraId="3F6E81BE" w14:textId="77777777" w:rsidR="00627CA1" w:rsidRPr="00D9348B" w:rsidRDefault="00627CA1" w:rsidP="00DB330E">
            <w:pPr>
              <w:pStyle w:val="TableText"/>
              <w:jc w:val="center"/>
              <w:rPr>
                <w:rFonts w:cs="Calibri"/>
                <w:szCs w:val="16"/>
              </w:rPr>
            </w:pPr>
          </w:p>
        </w:tc>
        <w:tc>
          <w:tcPr>
            <w:tcW w:w="1000" w:type="dxa"/>
            <w:shd w:val="clear" w:color="auto" w:fill="auto"/>
            <w:tcMar>
              <w:left w:w="85" w:type="dxa"/>
              <w:right w:w="85" w:type="dxa"/>
            </w:tcMar>
          </w:tcPr>
          <w:p w14:paraId="0D743F43" w14:textId="77777777" w:rsidR="00627CA1" w:rsidRPr="00D9348B" w:rsidRDefault="00627CA1" w:rsidP="00DB330E">
            <w:pPr>
              <w:pStyle w:val="TableText"/>
              <w:jc w:val="center"/>
              <w:rPr>
                <w:rFonts w:cs="Calibri"/>
                <w:szCs w:val="16"/>
              </w:rPr>
            </w:pPr>
          </w:p>
        </w:tc>
        <w:tc>
          <w:tcPr>
            <w:tcW w:w="922" w:type="dxa"/>
            <w:shd w:val="clear" w:color="auto" w:fill="auto"/>
            <w:tcMar>
              <w:left w:w="85" w:type="dxa"/>
              <w:right w:w="85" w:type="dxa"/>
            </w:tcMar>
          </w:tcPr>
          <w:p w14:paraId="3FABB86B" w14:textId="77777777" w:rsidR="00627CA1" w:rsidRPr="00D9348B" w:rsidRDefault="00627CA1" w:rsidP="00DB330E">
            <w:pPr>
              <w:pStyle w:val="TableText"/>
              <w:jc w:val="center"/>
              <w:rPr>
                <w:rFonts w:cs="Calibri"/>
                <w:szCs w:val="16"/>
              </w:rPr>
            </w:pPr>
          </w:p>
        </w:tc>
      </w:tr>
    </w:tbl>
    <w:p w14:paraId="4AE36988" w14:textId="446E1969" w:rsidR="00627CA1" w:rsidRPr="00D9348B" w:rsidRDefault="00627CA1" w:rsidP="00627CA1">
      <w:pPr>
        <w:pStyle w:val="Noteundertable"/>
      </w:pPr>
      <w:r w:rsidRPr="00D9348B">
        <w:rPr>
          <w:b/>
        </w:rPr>
        <w:t>Note:</w:t>
      </w:r>
      <w:r w:rsidRPr="00D9348B">
        <w:t xml:space="preserve"> </w:t>
      </w:r>
      <w:r w:rsidRPr="00D9348B">
        <w:tab/>
        <w:t xml:space="preserve">A = </w:t>
      </w:r>
      <w:r w:rsidRPr="00D9348B">
        <w:rPr>
          <w:i/>
        </w:rPr>
        <w:t>Afforestation and reforestation</w:t>
      </w:r>
      <w:r w:rsidRPr="00D9348B">
        <w:t xml:space="preserve">; D = </w:t>
      </w:r>
      <w:r w:rsidRPr="00D9348B">
        <w:rPr>
          <w:i/>
        </w:rPr>
        <w:t>Deforestation</w:t>
      </w:r>
      <w:r w:rsidRPr="00D9348B">
        <w:t xml:space="preserve">; FM = </w:t>
      </w:r>
      <w:r w:rsidRPr="00D9348B">
        <w:rPr>
          <w:i/>
        </w:rPr>
        <w:t>Forest management</w:t>
      </w:r>
      <w:r w:rsidRPr="00D9348B">
        <w:t xml:space="preserve">; A/FM indicates that a forest establishment activity could be accounted for under </w:t>
      </w:r>
      <w:r w:rsidRPr="00D9348B">
        <w:rPr>
          <w:i/>
        </w:rPr>
        <w:t>Forest management</w:t>
      </w:r>
      <w:r w:rsidRPr="00D9348B">
        <w:t xml:space="preserve"> if the land is subject to the carbon equivalent forest provision; D/FM indicates that a forest harvest and conversion activity could be accounted for under </w:t>
      </w:r>
      <w:r w:rsidRPr="00D9348B">
        <w:rPr>
          <w:i/>
        </w:rPr>
        <w:t>Forest management</w:t>
      </w:r>
      <w:r w:rsidRPr="00D9348B">
        <w:t xml:space="preserve"> if the land is subject to the carbon equivalent forest provision; </w:t>
      </w:r>
      <w:r w:rsidRPr="00D9348B">
        <w:br/>
      </w:r>
      <w:r w:rsidRPr="00D9348B">
        <w:lastRenderedPageBreak/>
        <w:t xml:space="preserve">‘–’ denotes land-use changes that are not possible given the </w:t>
      </w:r>
      <w:r w:rsidR="00EA7212">
        <w:t>land-use</w:t>
      </w:r>
      <w:r w:rsidRPr="00D9348B">
        <w:t xml:space="preserve"> definitions; ‘*D’ denotes land-use changes that are valid only if the land was forested at 1990, in which case the </w:t>
      </w:r>
      <w:r w:rsidR="00EA7212">
        <w:t>land-use</w:t>
      </w:r>
      <w:r w:rsidRPr="00D9348B">
        <w:t xml:space="preserve"> transition is accounted for under deforestation (e.g., pre-1990 planted forest converted to grassland since 1990 that is later converted back to pre-1990 planted forest would be reported under </w:t>
      </w:r>
      <w:r w:rsidRPr="00D9348B">
        <w:rPr>
          <w:i/>
        </w:rPr>
        <w:t>Deforestation</w:t>
      </w:r>
      <w:r w:rsidRPr="00D9348B">
        <w:t xml:space="preserve">). </w:t>
      </w:r>
    </w:p>
    <w:p w14:paraId="1154578F" w14:textId="77777777" w:rsidR="00627CA1" w:rsidRPr="00D9348B" w:rsidRDefault="00627CA1" w:rsidP="00627CA1">
      <w:pPr>
        <w:pStyle w:val="BodyText"/>
        <w:spacing w:after="100"/>
      </w:pPr>
      <w:r w:rsidRPr="00D9348B">
        <w:t>Mapping of land-use change is described in chapter 6, sections 6.2.2 and 6.2.3. Further information on the estimation of the total area of afforested and reforested land occurring between 2008 and 2018 can be found in section 6.4.1.</w:t>
      </w:r>
    </w:p>
    <w:p w14:paraId="6BAFB18F" w14:textId="77777777" w:rsidR="00627CA1" w:rsidRPr="00D9348B" w:rsidRDefault="00627CA1" w:rsidP="00627CA1">
      <w:pPr>
        <w:pStyle w:val="BodyText"/>
        <w:spacing w:after="100"/>
      </w:pPr>
      <w:r w:rsidRPr="00D9348B">
        <w:t>Accurate classification of pre-1990 forest is essential to correctly determine the area reported as afforested and reforested in the land transition matrix. Satellite imagery at various dates near to 1990 and mapping from the New Zealand Emissions Trading Scheme (NZ ETS) have been used to ensure that these forests are classified correctly. An illustration of this process is shown in chapter 6, figure 6.2.4.</w:t>
      </w:r>
    </w:p>
    <w:p w14:paraId="4E3BA605" w14:textId="77777777" w:rsidR="00627CA1" w:rsidRPr="00D9348B" w:rsidRDefault="00627CA1" w:rsidP="00627CA1">
      <w:pPr>
        <w:pStyle w:val="BodyText"/>
        <w:spacing w:after="100"/>
      </w:pPr>
      <w:r w:rsidRPr="00D9348B">
        <w:t xml:space="preserve">Transitions to </w:t>
      </w:r>
      <w:r w:rsidRPr="00D9348B">
        <w:rPr>
          <w:spacing w:val="-2"/>
        </w:rPr>
        <w:t>deforestation</w:t>
      </w:r>
      <w:r w:rsidRPr="00D9348B">
        <w:t xml:space="preserve"> are based on </w:t>
      </w:r>
      <w:r w:rsidRPr="00D9348B">
        <w:rPr>
          <w:spacing w:val="-2"/>
        </w:rPr>
        <w:t>deforestation</w:t>
      </w:r>
      <w:r w:rsidRPr="00D9348B">
        <w:t xml:space="preserve"> mapping, as described in chapter 6, section 6.2.2. All areas of </w:t>
      </w:r>
      <w:r w:rsidRPr="00D9348B">
        <w:rPr>
          <w:spacing w:val="-2"/>
        </w:rPr>
        <w:t>deforestation</w:t>
      </w:r>
      <w:r w:rsidRPr="00D9348B">
        <w:t xml:space="preserve"> are confirmed using aerial photography. For </w:t>
      </w:r>
      <w:r w:rsidRPr="00D9348B">
        <w:rPr>
          <w:spacing w:val="-2"/>
        </w:rPr>
        <w:t>deforestation</w:t>
      </w:r>
      <w:r w:rsidRPr="00D9348B">
        <w:t xml:space="preserve"> occurring between 2008 and 2016, annual Landsat and/or Sentinel-2 satellite imagery is used to estimate the year of the conversion.</w:t>
      </w:r>
    </w:p>
    <w:p w14:paraId="615CFD62" w14:textId="77777777" w:rsidR="00627CA1" w:rsidRPr="00D9348B" w:rsidRDefault="00627CA1" w:rsidP="00690F44">
      <w:pPr>
        <w:pStyle w:val="Heading3"/>
        <w:spacing w:before="240"/>
      </w:pPr>
      <w:bookmarkStart w:id="3231" w:name="_Toc261513287"/>
      <w:bookmarkStart w:id="3232" w:name="_Toc261513900"/>
      <w:bookmarkStart w:id="3233" w:name="_Toc280630390"/>
      <w:bookmarkStart w:id="3234" w:name="_Toc377043721"/>
      <w:bookmarkStart w:id="3235" w:name="_Toc400967259"/>
      <w:r w:rsidRPr="00D9348B">
        <w:t xml:space="preserve">11.2.3 </w:t>
      </w:r>
      <w:r w:rsidRPr="00D9348B">
        <w:tab/>
        <w:t>Identifying geographical locations</w:t>
      </w:r>
      <w:bookmarkEnd w:id="3231"/>
      <w:bookmarkEnd w:id="3232"/>
      <w:bookmarkEnd w:id="3233"/>
      <w:bookmarkEnd w:id="3234"/>
      <w:bookmarkEnd w:id="3235"/>
    </w:p>
    <w:p w14:paraId="47718433" w14:textId="77777777" w:rsidR="00627CA1" w:rsidRPr="00D9348B" w:rsidRDefault="00627CA1" w:rsidP="00690F44">
      <w:pPr>
        <w:pStyle w:val="BodyText"/>
        <w:spacing w:before="100" w:after="100"/>
      </w:pPr>
      <w:r w:rsidRPr="00D9348B">
        <w:t xml:space="preserve">New Zealand has used Reporting Methods 1 and 2 for preparing estimates of emissions and removals for </w:t>
      </w:r>
      <w:r w:rsidRPr="00D9348B">
        <w:rPr>
          <w:i/>
        </w:rPr>
        <w:t>Afforestation</w:t>
      </w:r>
      <w:r w:rsidRPr="00D9348B">
        <w:t xml:space="preserve"> </w:t>
      </w:r>
      <w:r w:rsidRPr="00D9348B">
        <w:rPr>
          <w:i/>
        </w:rPr>
        <w:t>and</w:t>
      </w:r>
      <w:r w:rsidRPr="00D9348B">
        <w:t xml:space="preserve"> </w:t>
      </w:r>
      <w:r w:rsidRPr="00D9348B">
        <w:rPr>
          <w:i/>
        </w:rPr>
        <w:t>reforestation</w:t>
      </w:r>
      <w:r w:rsidRPr="00D9348B">
        <w:t xml:space="preserve"> and </w:t>
      </w:r>
      <w:r w:rsidRPr="00D9348B">
        <w:rPr>
          <w:i/>
          <w:spacing w:val="-2"/>
        </w:rPr>
        <w:t>Deforestation</w:t>
      </w:r>
      <w:r w:rsidRPr="00D9348B">
        <w:t xml:space="preserve">, and Approaches 2 and 3 to map land-use change. Wall-to-wall mapping is completed every four to five years, with national statistics and ancillary mapping data used in the intervening years to estimate afforested, reforested or </w:t>
      </w:r>
      <w:r w:rsidRPr="00D9348B">
        <w:rPr>
          <w:spacing w:val="-2"/>
        </w:rPr>
        <w:t>deforested areas</w:t>
      </w:r>
      <w:r w:rsidRPr="00D9348B">
        <w:t>.</w:t>
      </w:r>
    </w:p>
    <w:p w14:paraId="68E96C12" w14:textId="77777777" w:rsidR="00627CA1" w:rsidRPr="00D9348B" w:rsidRDefault="00627CA1" w:rsidP="00690F44">
      <w:pPr>
        <w:pStyle w:val="BodyText"/>
        <w:spacing w:before="100" w:after="100"/>
      </w:pPr>
      <w:r w:rsidRPr="00D9348B">
        <w:t xml:space="preserve">Included in New Zealand’s geographical extent are the following uninhabited offshore islands: Kermadec Islands, Three Kings Islands and Subantarctic Islands (Auckland Islands, Campbell Island, Antipodes Islands, Bounty Islands and Snares Islands). These islands are protected conservation sites with a total area of 74,052 hectares. They are not subject to land-use change and are therefore reported in a steady state of land use. </w:t>
      </w:r>
    </w:p>
    <w:p w14:paraId="5DE3DCAF" w14:textId="77777777" w:rsidR="00627CA1" w:rsidRPr="00D9348B" w:rsidRDefault="00627CA1" w:rsidP="00690F44">
      <w:pPr>
        <w:pStyle w:val="Heading2"/>
        <w:spacing w:before="240"/>
      </w:pPr>
      <w:bookmarkStart w:id="3236" w:name="_Toc261513288"/>
      <w:bookmarkStart w:id="3237" w:name="_Toc261513901"/>
      <w:bookmarkStart w:id="3238" w:name="_Toc280630391"/>
      <w:bookmarkStart w:id="3239" w:name="_Toc310423466"/>
      <w:bookmarkStart w:id="3240" w:name="_Toc342470734"/>
      <w:bookmarkStart w:id="3241" w:name="_Toc352504893"/>
      <w:bookmarkStart w:id="3242" w:name="_Toc377043722"/>
      <w:bookmarkStart w:id="3243" w:name="_Toc391023463"/>
      <w:bookmarkStart w:id="3244" w:name="_Toc400967260"/>
      <w:bookmarkStart w:id="3245" w:name="_Toc414531342"/>
      <w:bookmarkStart w:id="3246" w:name="_Toc456179171"/>
      <w:bookmarkStart w:id="3247" w:name="_Toc481751424"/>
      <w:bookmarkStart w:id="3248" w:name="_Toc522013963"/>
      <w:bookmarkStart w:id="3249" w:name="_Toc5269407"/>
      <w:bookmarkStart w:id="3250" w:name="_Toc36224447"/>
      <w:r w:rsidRPr="00D9348B">
        <w:t>11.3</w:t>
      </w:r>
      <w:r w:rsidRPr="00D9348B">
        <w:tab/>
        <w:t>Activity-specific information</w:t>
      </w:r>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p>
    <w:p w14:paraId="0995FFDE" w14:textId="77777777" w:rsidR="00627CA1" w:rsidRPr="00D9348B" w:rsidRDefault="00627CA1" w:rsidP="00627CA1">
      <w:pPr>
        <w:pStyle w:val="Heading3"/>
        <w:spacing w:before="160"/>
      </w:pPr>
      <w:r w:rsidRPr="00D9348B">
        <w:t>11.3.1</w:t>
      </w:r>
      <w:r w:rsidRPr="00D9348B">
        <w:tab/>
        <w:t>Estimating carbon stock change</w:t>
      </w:r>
    </w:p>
    <w:p w14:paraId="5A859667" w14:textId="77777777" w:rsidR="00627CA1" w:rsidRPr="00D9348B" w:rsidRDefault="00627CA1" w:rsidP="00690F44">
      <w:pPr>
        <w:pStyle w:val="BodyText"/>
        <w:spacing w:before="100" w:after="100"/>
        <w:rPr>
          <w:spacing w:val="-2"/>
        </w:rPr>
      </w:pPr>
      <w:r w:rsidRPr="00D9348B">
        <w:rPr>
          <w:spacing w:val="-2"/>
        </w:rPr>
        <w:t xml:space="preserve">Emissions and removals from </w:t>
      </w:r>
      <w:r w:rsidRPr="00D9348B">
        <w:rPr>
          <w:i/>
          <w:spacing w:val="-2"/>
        </w:rPr>
        <w:t>Afforestation and reforestation</w:t>
      </w:r>
      <w:r w:rsidRPr="00D9348B">
        <w:rPr>
          <w:spacing w:val="-2"/>
        </w:rPr>
        <w:t xml:space="preserve">, </w:t>
      </w:r>
      <w:r w:rsidRPr="00D9348B">
        <w:rPr>
          <w:i/>
          <w:spacing w:val="-2"/>
        </w:rPr>
        <w:t>Deforestation</w:t>
      </w:r>
      <w:r w:rsidRPr="00D9348B">
        <w:rPr>
          <w:spacing w:val="-2"/>
        </w:rPr>
        <w:t xml:space="preserve"> and </w:t>
      </w:r>
      <w:r w:rsidRPr="00D9348B">
        <w:rPr>
          <w:i/>
          <w:spacing w:val="-2"/>
        </w:rPr>
        <w:t>Forest</w:t>
      </w:r>
      <w:r w:rsidRPr="00D9348B">
        <w:rPr>
          <w:spacing w:val="-2"/>
        </w:rPr>
        <w:t xml:space="preserve"> </w:t>
      </w:r>
      <w:r w:rsidRPr="00D9348B">
        <w:rPr>
          <w:i/>
          <w:spacing w:val="-2"/>
        </w:rPr>
        <w:t>management</w:t>
      </w:r>
      <w:r w:rsidRPr="00D9348B">
        <w:rPr>
          <w:spacing w:val="-2"/>
        </w:rPr>
        <w:t xml:space="preserve"> are determined using plot-network-based estimates for each type of forest (pre</w:t>
      </w:r>
      <w:r w:rsidRPr="00D9348B">
        <w:rPr>
          <w:spacing w:val="-2"/>
        </w:rPr>
        <w:noBreakHyphen/>
        <w:t xml:space="preserve">1990 natural forest, pre-1990 planted forest and post-1989 forest). Carbon analyses are performed to estimate the carbon stored per hectare per pool and are described in chapter 6, section 6.4.2. </w:t>
      </w:r>
    </w:p>
    <w:p w14:paraId="51E7D472" w14:textId="77777777" w:rsidR="00627CA1" w:rsidRPr="00D9348B" w:rsidRDefault="00627CA1" w:rsidP="00690F44">
      <w:pPr>
        <w:pStyle w:val="Heading3"/>
        <w:spacing w:before="240"/>
      </w:pPr>
      <w:r w:rsidRPr="00D9348B">
        <w:t>11.3.2</w:t>
      </w:r>
      <w:r w:rsidRPr="00D9348B">
        <w:tab/>
        <w:t>Afforestation and reforestation (CRF 4(KP.A.1))</w:t>
      </w:r>
    </w:p>
    <w:p w14:paraId="45CDE9E3" w14:textId="77777777" w:rsidR="00627CA1" w:rsidRPr="00D9348B" w:rsidRDefault="00627CA1" w:rsidP="00690F44">
      <w:pPr>
        <w:pStyle w:val="BodyText"/>
        <w:spacing w:before="100" w:after="100"/>
      </w:pPr>
      <w:r w:rsidRPr="00D9348B">
        <w:t>Between 1990 and 2018, it is estimated that 729,769 hectares of new forest (post</w:t>
      </w:r>
      <w:r w:rsidRPr="00D9348B">
        <w:noBreakHyphen/>
        <w:t xml:space="preserve">1989 forest) were established as a result of </w:t>
      </w:r>
      <w:r w:rsidRPr="00D9348B">
        <w:rPr>
          <w:i/>
        </w:rPr>
        <w:t>Afforestation and reforestation</w:t>
      </w:r>
      <w:r w:rsidRPr="00D9348B">
        <w:t xml:space="preserve"> activities (table </w:t>
      </w:r>
      <w:r w:rsidRPr="00D9348B">
        <w:rPr>
          <w:spacing w:val="-2"/>
        </w:rPr>
        <w:t>11.3.1</w:t>
      </w:r>
      <w:r w:rsidRPr="00D9348B">
        <w:t xml:space="preserve">). The net area of post-1989 forest (calculated from the total area of new forest planted since 31 December 1989 minus the deforestation of post-1989 forest since 1 January 1990) as at the end of 2018 was </w:t>
      </w:r>
      <w:r w:rsidRPr="00D9348B">
        <w:rPr>
          <w:rFonts w:cs="Arial"/>
          <w:color w:val="000000"/>
          <w:szCs w:val="16"/>
        </w:rPr>
        <w:t xml:space="preserve">698,497 </w:t>
      </w:r>
      <w:r w:rsidRPr="00D9348B">
        <w:t>hectares. Emissions from this land in 2018 were –17,593.2 kt CO</w:t>
      </w:r>
      <w:r w:rsidRPr="00D9348B">
        <w:rPr>
          <w:vertAlign w:val="subscript"/>
        </w:rPr>
        <w:t>2</w:t>
      </w:r>
      <w:r w:rsidRPr="00D9348B">
        <w:t>-e, compared with –17,790.2 kt CO</w:t>
      </w:r>
      <w:r w:rsidRPr="00D9348B">
        <w:rPr>
          <w:vertAlign w:val="subscript"/>
        </w:rPr>
        <w:t>2</w:t>
      </w:r>
      <w:r w:rsidRPr="00D9348B">
        <w:t xml:space="preserve">-e in 2017. Of the total area afforested or reforested between 1990 and 2018, an estimated 31,272 hectares were deforested between 1990 and 2018 (table </w:t>
      </w:r>
      <w:r w:rsidRPr="00D9348B">
        <w:rPr>
          <w:spacing w:val="-2"/>
        </w:rPr>
        <w:t>11.3.1</w:t>
      </w:r>
      <w:r w:rsidRPr="00D9348B">
        <w:t xml:space="preserve">). The emissions for this area are reported under </w:t>
      </w:r>
      <w:r w:rsidRPr="00D9348B">
        <w:rPr>
          <w:i/>
          <w:spacing w:val="-2"/>
        </w:rPr>
        <w:t>Deforestation</w:t>
      </w:r>
      <w:r w:rsidRPr="00D9348B">
        <w:t>.</w:t>
      </w:r>
    </w:p>
    <w:p w14:paraId="07928674" w14:textId="77777777" w:rsidR="00627CA1" w:rsidRPr="00D9348B" w:rsidRDefault="00627CA1" w:rsidP="00627CA1">
      <w:pPr>
        <w:pStyle w:val="BodyText"/>
        <w:spacing w:before="100" w:after="100"/>
        <w:rPr>
          <w:spacing w:val="-2"/>
        </w:rPr>
      </w:pPr>
      <w:r w:rsidRPr="00D9348B">
        <w:rPr>
          <w:spacing w:val="-2"/>
        </w:rPr>
        <w:lastRenderedPageBreak/>
        <w:t xml:space="preserve">The afforestation rate between 1990 and 2018 was, on average, 25,064 hectares per year. New planting rates were high from 1992 to 1998, averaging 62,152 hectares per year. This followed a change in the taxation regime, an unprecedented price spike for forest products with subsequent favourable publicity, a government focus on forestry as an instrument for regional development and the conclusion of the state forest assets sale. The removal of agricultural subsidies and the poor performance of the New Zealand and international share markets also encouraged investors to seek alternatives (Rhodes and Novis, 2002). The rate of new planting declined from 1996 until 2008. Between 2008 and 2012, planting rates began to increase again, largely attributable to the NZ ETS (Ministry for Primary Industries, 2015d), Afforestation Grant Scheme (Ministry for Primary Industries, 2015a) and Permanent Forest Sink Initiative (Ministry for Primary Industries, 2015b), which have been introduced by the New Zealand Government to encourage new planting and regeneration of natural ecosystems. Both of these schemes, the Afforestation Grant Scheme and the Permanent Forest Sink Initiative, have subsequently been replaced by the One Billion Trees Fund in 2018 (Te Uru Rākau, 2018). </w:t>
      </w:r>
      <w:r w:rsidRPr="00D9348B">
        <w:t>The afforestation rate reduced</w:t>
      </w:r>
      <w:r w:rsidRPr="00D9348B">
        <w:rPr>
          <w:spacing w:val="-2"/>
        </w:rPr>
        <w:t xml:space="preserve"> after 2012. This is likely due in part to a significant drop in the price of carbon in the NZ ETS. Between 2013 and 2018, the average afforestation rate was 4,792 hectares. A total of 7,145 hectares were subject to </w:t>
      </w:r>
      <w:r w:rsidRPr="00D9348B">
        <w:rPr>
          <w:i/>
          <w:spacing w:val="-2"/>
        </w:rPr>
        <w:t>Afforestation and reforestation</w:t>
      </w:r>
      <w:r w:rsidRPr="00D9348B">
        <w:rPr>
          <w:spacing w:val="-2"/>
        </w:rPr>
        <w:t xml:space="preserve"> activities in 2018. </w:t>
      </w:r>
    </w:p>
    <w:p w14:paraId="1B3CD394" w14:textId="77777777" w:rsidR="00627CA1" w:rsidRPr="00D9348B" w:rsidRDefault="00627CA1" w:rsidP="00627CA1">
      <w:pPr>
        <w:pStyle w:val="BodyText"/>
        <w:spacing w:before="100" w:after="100"/>
        <w:rPr>
          <w:spacing w:val="-2"/>
        </w:rPr>
      </w:pPr>
      <w:r w:rsidRPr="00D9348B">
        <w:rPr>
          <w:spacing w:val="-2"/>
        </w:rPr>
        <w:t xml:space="preserve">The reduction in </w:t>
      </w:r>
      <w:r w:rsidRPr="00D9348B">
        <w:rPr>
          <w:i/>
          <w:spacing w:val="-2"/>
        </w:rPr>
        <w:t>Afforestation and reforestation</w:t>
      </w:r>
      <w:r w:rsidRPr="00D9348B">
        <w:rPr>
          <w:spacing w:val="-2"/>
        </w:rPr>
        <w:t xml:space="preserve"> activities that has occurred since the 1990s is likely caused by the relative profitability of other forms of land use, high rural land prices and a lack of confidence in the carbon market. The exclusion of international units from the NZ ETS scheme on 31 May 2015, the conclusion of the recent NZ ETS review and the implementation of some of its findings have contributed to higher carbon prices, and this is expected to encourage larger areas of afforestation in future.</w:t>
      </w:r>
    </w:p>
    <w:p w14:paraId="078D9A87" w14:textId="77777777" w:rsidR="00627CA1" w:rsidRPr="00D9348B" w:rsidRDefault="00627CA1" w:rsidP="00627CA1">
      <w:pPr>
        <w:pStyle w:val="BodyText"/>
        <w:spacing w:before="100" w:after="100"/>
        <w:rPr>
          <w:spacing w:val="-2"/>
        </w:rPr>
      </w:pPr>
      <w:r w:rsidRPr="00D9348B">
        <w:rPr>
          <w:spacing w:val="-2"/>
        </w:rPr>
        <w:t xml:space="preserve">The activity data used to estimate new planting in planted forests between 2013 and 2018 are obtained from a national survey of forest owners (Ministry for Primary Industries, 2018b) and the NZ ETS scheme for areas subject to the </w:t>
      </w:r>
      <w:r w:rsidRPr="00D9348B">
        <w:t>carbon equivalent forest provision</w:t>
      </w:r>
      <w:r w:rsidRPr="00D9348B">
        <w:rPr>
          <w:spacing w:val="-2"/>
        </w:rPr>
        <w:t xml:space="preserve">. The survey respondents report areas as net stocked area. However, gross stocked area is reported in the inventory. To account for the difference between the two sources of data (mapping and survey), an unstocked area component is added to the new planting statistic between 2008 and 2016. For estimating emissions associated with new planting, the net planted forest area is modelled separately from the unstocked area component. This ensures the net new planting and NZ ETS data used in the inventory are consistent with the gross mapped forest area. </w:t>
      </w:r>
    </w:p>
    <w:p w14:paraId="5E6DE4A3" w14:textId="77777777" w:rsidR="00627CA1" w:rsidRPr="00D9348B" w:rsidRDefault="00627CA1" w:rsidP="00627CA1">
      <w:pPr>
        <w:pStyle w:val="BodyText"/>
        <w:spacing w:before="100"/>
      </w:pPr>
      <w:r w:rsidRPr="00D9348B">
        <w:t>New Zealand’s post-1989 forest is described in further detail in chapter 6, section 6.4.</w:t>
      </w:r>
    </w:p>
    <w:p w14:paraId="38E938E0" w14:textId="77777777" w:rsidR="00627CA1" w:rsidRPr="00D9348B" w:rsidRDefault="00627CA1" w:rsidP="00627CA1">
      <w:pPr>
        <w:pStyle w:val="Table"/>
      </w:pPr>
      <w:bookmarkStart w:id="3251" w:name="_Toc310423440"/>
      <w:bookmarkStart w:id="3252" w:name="_Toc318362733"/>
      <w:bookmarkStart w:id="3253" w:name="_Toc342470812"/>
      <w:bookmarkStart w:id="3254" w:name="_Toc352505065"/>
      <w:bookmarkStart w:id="3255" w:name="_Toc377043701"/>
      <w:bookmarkStart w:id="3256" w:name="_Toc391023553"/>
      <w:bookmarkStart w:id="3257" w:name="_Toc414531527"/>
      <w:bookmarkStart w:id="3258" w:name="_Toc456179107"/>
      <w:bookmarkStart w:id="3259" w:name="_Toc481751633"/>
      <w:bookmarkStart w:id="3260" w:name="_Toc522010658"/>
      <w:bookmarkStart w:id="3261" w:name="_Toc5269628"/>
      <w:bookmarkStart w:id="3262" w:name="_Toc36224710"/>
      <w:r w:rsidRPr="00D9348B">
        <w:t>Table 11.3.1</w:t>
      </w:r>
      <w:r w:rsidRPr="00D9348B">
        <w:tab/>
        <w:t>New Zealand’s estimated annual area under Afforestation and reforestation</w:t>
      </w:r>
      <w:r w:rsidRPr="00D9348B">
        <w:rPr>
          <w:vertAlign w:val="subscript"/>
        </w:rPr>
        <w:t xml:space="preserve"> </w:t>
      </w:r>
      <w:r w:rsidRPr="00D9348B">
        <w:t>from 1990</w:t>
      </w:r>
      <w:bookmarkEnd w:id="3251"/>
      <w:bookmarkEnd w:id="3252"/>
      <w:bookmarkEnd w:id="3253"/>
      <w:bookmarkEnd w:id="3254"/>
      <w:bookmarkEnd w:id="3255"/>
      <w:r w:rsidRPr="00D9348B">
        <w:t> to</w:t>
      </w:r>
      <w:bookmarkEnd w:id="3256"/>
      <w:r w:rsidRPr="00D9348B">
        <w:t> 201</w:t>
      </w:r>
      <w:bookmarkEnd w:id="3257"/>
      <w:bookmarkEnd w:id="3258"/>
      <w:bookmarkEnd w:id="3259"/>
      <w:bookmarkEnd w:id="3260"/>
      <w:bookmarkEnd w:id="3261"/>
      <w:r w:rsidRPr="00D9348B">
        <w:t>8</w:t>
      </w:r>
      <w:bookmarkEnd w:id="3262"/>
    </w:p>
    <w:tbl>
      <w:tblPr>
        <w:tblW w:w="8505" w:type="dxa"/>
        <w:tblInd w:w="108" w:type="dxa"/>
        <w:tblBorders>
          <w:top w:val="single" w:sz="4" w:space="0" w:color="365F91"/>
          <w:bottom w:val="single" w:sz="4" w:space="0" w:color="365F91"/>
          <w:insideH w:val="single" w:sz="4" w:space="0" w:color="365F91"/>
        </w:tblBorders>
        <w:tblLook w:val="04A0" w:firstRow="1" w:lastRow="0" w:firstColumn="1" w:lastColumn="0" w:noHBand="0" w:noVBand="1"/>
      </w:tblPr>
      <w:tblGrid>
        <w:gridCol w:w="873"/>
        <w:gridCol w:w="2503"/>
        <w:gridCol w:w="1479"/>
        <w:gridCol w:w="1479"/>
        <w:gridCol w:w="2171"/>
      </w:tblGrid>
      <w:tr w:rsidR="00627CA1" w:rsidRPr="00D9348B" w14:paraId="250C6394" w14:textId="77777777" w:rsidTr="00D83048">
        <w:trPr>
          <w:tblHeader/>
        </w:trPr>
        <w:tc>
          <w:tcPr>
            <w:tcW w:w="873" w:type="dxa"/>
            <w:vMerge w:val="restart"/>
            <w:shd w:val="clear" w:color="auto" w:fill="365F91"/>
            <w:vAlign w:val="bottom"/>
          </w:tcPr>
          <w:p w14:paraId="6637C649" w14:textId="77777777" w:rsidR="00627CA1" w:rsidRPr="00D9348B" w:rsidRDefault="00627CA1" w:rsidP="00DB330E">
            <w:pPr>
              <w:pStyle w:val="TableTextBold"/>
              <w:keepNext/>
              <w:spacing w:before="40" w:after="40"/>
              <w:rPr>
                <w:rFonts w:cs="Calibri"/>
                <w:noProof w:val="0"/>
                <w:color w:val="FFFFFF"/>
                <w:szCs w:val="16"/>
              </w:rPr>
            </w:pPr>
            <w:r w:rsidRPr="00D9348B">
              <w:rPr>
                <w:rFonts w:cs="Calibri"/>
                <w:noProof w:val="0"/>
                <w:color w:val="FFFFFF"/>
                <w:szCs w:val="16"/>
              </w:rPr>
              <w:t>Year</w:t>
            </w:r>
          </w:p>
        </w:tc>
        <w:tc>
          <w:tcPr>
            <w:tcW w:w="7632" w:type="dxa"/>
            <w:gridSpan w:val="4"/>
            <w:shd w:val="clear" w:color="auto" w:fill="365F91"/>
            <w:vAlign w:val="center"/>
          </w:tcPr>
          <w:p w14:paraId="04BEC15B" w14:textId="77777777" w:rsidR="00627CA1" w:rsidRPr="00D9348B" w:rsidRDefault="00627CA1" w:rsidP="00DB330E">
            <w:pPr>
              <w:pStyle w:val="TableTextBold"/>
              <w:keepNext/>
              <w:spacing w:before="40" w:after="40"/>
              <w:jc w:val="center"/>
              <w:rPr>
                <w:rFonts w:cs="Calibri"/>
                <w:bCs/>
                <w:noProof w:val="0"/>
                <w:color w:val="FFFFFF"/>
                <w:szCs w:val="16"/>
              </w:rPr>
            </w:pPr>
            <w:r w:rsidRPr="00D9348B">
              <w:rPr>
                <w:rFonts w:cs="Calibri"/>
                <w:bCs/>
                <w:noProof w:val="0"/>
                <w:color w:val="FFFFFF"/>
                <w:szCs w:val="16"/>
              </w:rPr>
              <w:t>Annual area of Afforestation and reforestation (ha)</w:t>
            </w:r>
          </w:p>
        </w:tc>
      </w:tr>
      <w:tr w:rsidR="00627CA1" w:rsidRPr="00D9348B" w14:paraId="31D2BFCD" w14:textId="77777777" w:rsidTr="00D83048">
        <w:trPr>
          <w:tblHeader/>
        </w:trPr>
        <w:tc>
          <w:tcPr>
            <w:tcW w:w="873" w:type="dxa"/>
            <w:vMerge/>
            <w:shd w:val="clear" w:color="auto" w:fill="2E74B5"/>
            <w:vAlign w:val="bottom"/>
          </w:tcPr>
          <w:p w14:paraId="6754DBFC" w14:textId="77777777" w:rsidR="00627CA1" w:rsidRPr="00D9348B" w:rsidRDefault="00627CA1" w:rsidP="00DB330E">
            <w:pPr>
              <w:pStyle w:val="TableTextBold"/>
              <w:keepNext/>
              <w:spacing w:before="40" w:after="40"/>
              <w:rPr>
                <w:rFonts w:cs="Calibri"/>
                <w:b w:val="0"/>
                <w:bCs/>
                <w:noProof w:val="0"/>
                <w:color w:val="FFFFFF"/>
                <w:szCs w:val="16"/>
              </w:rPr>
            </w:pPr>
          </w:p>
        </w:tc>
        <w:tc>
          <w:tcPr>
            <w:tcW w:w="2503" w:type="dxa"/>
            <w:shd w:val="clear" w:color="auto" w:fill="365F91"/>
            <w:vAlign w:val="bottom"/>
          </w:tcPr>
          <w:p w14:paraId="3D884DBB" w14:textId="77777777" w:rsidR="00627CA1" w:rsidRPr="00D9348B" w:rsidRDefault="00627CA1" w:rsidP="00E2658A">
            <w:pPr>
              <w:pStyle w:val="TableTextBold"/>
              <w:spacing w:before="40" w:after="40"/>
              <w:jc w:val="right"/>
              <w:rPr>
                <w:rFonts w:cs="Calibri"/>
                <w:noProof w:val="0"/>
                <w:color w:val="FFFFFF"/>
                <w:szCs w:val="16"/>
              </w:rPr>
            </w:pPr>
            <w:r w:rsidRPr="00D9348B">
              <w:rPr>
                <w:rFonts w:cs="Calibri"/>
                <w:noProof w:val="0"/>
                <w:color w:val="FFFFFF"/>
                <w:szCs w:val="16"/>
              </w:rPr>
              <w:t>Afforestation/reforestation</w:t>
            </w:r>
            <w:r w:rsidRPr="00D9348B">
              <w:rPr>
                <w:rFonts w:cs="Calibri"/>
                <w:noProof w:val="0"/>
                <w:color w:val="FFFFFF"/>
                <w:szCs w:val="16"/>
                <w:vertAlign w:val="superscript"/>
              </w:rPr>
              <w:t>+</w:t>
            </w:r>
          </w:p>
        </w:tc>
        <w:tc>
          <w:tcPr>
            <w:tcW w:w="1479" w:type="dxa"/>
            <w:shd w:val="clear" w:color="auto" w:fill="365F91"/>
            <w:vAlign w:val="bottom"/>
          </w:tcPr>
          <w:p w14:paraId="311ACA17" w14:textId="77777777" w:rsidR="00627CA1" w:rsidRPr="00D9348B" w:rsidRDefault="00627CA1" w:rsidP="00E2658A">
            <w:pPr>
              <w:pStyle w:val="TableTextBold"/>
              <w:spacing w:before="40" w:after="40"/>
              <w:jc w:val="right"/>
              <w:rPr>
                <w:rFonts w:cs="Calibri"/>
                <w:noProof w:val="0"/>
                <w:color w:val="FFFFFF"/>
                <w:szCs w:val="16"/>
              </w:rPr>
            </w:pPr>
            <w:r w:rsidRPr="00D9348B">
              <w:rPr>
                <w:rFonts w:cs="Calibri"/>
                <w:noProof w:val="0"/>
                <w:color w:val="FFFFFF"/>
                <w:szCs w:val="16"/>
              </w:rPr>
              <w:t>Harvesting</w:t>
            </w:r>
          </w:p>
        </w:tc>
        <w:tc>
          <w:tcPr>
            <w:tcW w:w="1479" w:type="dxa"/>
            <w:shd w:val="clear" w:color="auto" w:fill="365F91"/>
            <w:vAlign w:val="bottom"/>
          </w:tcPr>
          <w:p w14:paraId="6BC78EF2" w14:textId="77777777" w:rsidR="00627CA1" w:rsidRPr="00D9348B" w:rsidRDefault="00627CA1" w:rsidP="00E2658A">
            <w:pPr>
              <w:pStyle w:val="TableTextBold"/>
              <w:spacing w:before="40" w:after="40"/>
              <w:jc w:val="right"/>
              <w:rPr>
                <w:rFonts w:cs="Calibri"/>
                <w:noProof w:val="0"/>
                <w:color w:val="FFFFFF"/>
                <w:szCs w:val="16"/>
              </w:rPr>
            </w:pPr>
            <w:r w:rsidRPr="00D9348B">
              <w:rPr>
                <w:rFonts w:cs="Calibri"/>
                <w:noProof w:val="0"/>
                <w:color w:val="FFFFFF"/>
                <w:szCs w:val="16"/>
              </w:rPr>
              <w:t>Deforestation</w:t>
            </w:r>
          </w:p>
        </w:tc>
        <w:tc>
          <w:tcPr>
            <w:tcW w:w="2171" w:type="dxa"/>
            <w:shd w:val="clear" w:color="auto" w:fill="365F91"/>
            <w:vAlign w:val="bottom"/>
          </w:tcPr>
          <w:p w14:paraId="61C3DBC3" w14:textId="77777777" w:rsidR="00627CA1" w:rsidRPr="00D9348B" w:rsidRDefault="00627CA1" w:rsidP="00E2658A">
            <w:pPr>
              <w:pStyle w:val="TableTextBold"/>
              <w:spacing w:before="40" w:after="40"/>
              <w:jc w:val="right"/>
              <w:rPr>
                <w:rFonts w:cs="Calibri"/>
                <w:noProof w:val="0"/>
                <w:color w:val="FFFFFF"/>
                <w:szCs w:val="16"/>
              </w:rPr>
            </w:pPr>
            <w:r w:rsidRPr="00D9348B">
              <w:rPr>
                <w:rFonts w:cs="Calibri"/>
                <w:noProof w:val="0"/>
                <w:color w:val="FFFFFF"/>
                <w:szCs w:val="16"/>
              </w:rPr>
              <w:t>Net cumulative area</w:t>
            </w:r>
          </w:p>
        </w:tc>
      </w:tr>
      <w:tr w:rsidR="00627CA1" w:rsidRPr="00D9348B" w14:paraId="1E100047" w14:textId="77777777" w:rsidTr="00D83048">
        <w:tc>
          <w:tcPr>
            <w:tcW w:w="873" w:type="dxa"/>
            <w:shd w:val="clear" w:color="auto" w:fill="auto"/>
          </w:tcPr>
          <w:p w14:paraId="7D14EDE4" w14:textId="77777777" w:rsidR="00627CA1" w:rsidRPr="00D9348B" w:rsidRDefault="00627CA1" w:rsidP="00DB330E">
            <w:pPr>
              <w:pStyle w:val="TableText"/>
              <w:keepNext/>
              <w:spacing w:before="40" w:after="40"/>
              <w:rPr>
                <w:rFonts w:cs="Calibri"/>
                <w:szCs w:val="16"/>
              </w:rPr>
            </w:pPr>
            <w:r w:rsidRPr="00D9348B">
              <w:rPr>
                <w:rFonts w:cs="Calibri"/>
                <w:szCs w:val="16"/>
              </w:rPr>
              <w:t>1990</w:t>
            </w:r>
          </w:p>
        </w:tc>
        <w:tc>
          <w:tcPr>
            <w:tcW w:w="2503" w:type="dxa"/>
            <w:shd w:val="clear" w:color="auto" w:fill="auto"/>
            <w:vAlign w:val="center"/>
          </w:tcPr>
          <w:p w14:paraId="26F73C8A"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14,807</w:t>
            </w:r>
          </w:p>
        </w:tc>
        <w:tc>
          <w:tcPr>
            <w:tcW w:w="1479" w:type="dxa"/>
            <w:shd w:val="clear" w:color="auto" w:fill="auto"/>
            <w:vAlign w:val="center"/>
          </w:tcPr>
          <w:p w14:paraId="75DA4595"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0</w:t>
            </w:r>
          </w:p>
        </w:tc>
        <w:tc>
          <w:tcPr>
            <w:tcW w:w="1479" w:type="dxa"/>
            <w:shd w:val="clear" w:color="auto" w:fill="auto"/>
            <w:vAlign w:val="center"/>
          </w:tcPr>
          <w:p w14:paraId="51AC61F5"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0</w:t>
            </w:r>
          </w:p>
        </w:tc>
        <w:tc>
          <w:tcPr>
            <w:tcW w:w="2171" w:type="dxa"/>
            <w:shd w:val="clear" w:color="auto" w:fill="auto"/>
            <w:vAlign w:val="center"/>
          </w:tcPr>
          <w:p w14:paraId="5D36E585"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14,807</w:t>
            </w:r>
          </w:p>
        </w:tc>
      </w:tr>
      <w:tr w:rsidR="00627CA1" w:rsidRPr="00D9348B" w14:paraId="144E2BD4" w14:textId="77777777" w:rsidTr="00D83048">
        <w:tc>
          <w:tcPr>
            <w:tcW w:w="873" w:type="dxa"/>
            <w:shd w:val="clear" w:color="auto" w:fill="auto"/>
          </w:tcPr>
          <w:p w14:paraId="66E758EA" w14:textId="77777777" w:rsidR="00627CA1" w:rsidRPr="00D9348B" w:rsidRDefault="00627CA1" w:rsidP="00DB330E">
            <w:pPr>
              <w:pStyle w:val="TableText"/>
              <w:keepNext/>
              <w:spacing w:before="40" w:after="40"/>
              <w:rPr>
                <w:rFonts w:cs="Calibri"/>
                <w:szCs w:val="16"/>
              </w:rPr>
            </w:pPr>
            <w:r w:rsidRPr="00D9348B">
              <w:rPr>
                <w:rFonts w:cs="Calibri"/>
                <w:szCs w:val="16"/>
              </w:rPr>
              <w:t>1991</w:t>
            </w:r>
          </w:p>
        </w:tc>
        <w:tc>
          <w:tcPr>
            <w:tcW w:w="2503" w:type="dxa"/>
            <w:shd w:val="clear" w:color="auto" w:fill="auto"/>
            <w:vAlign w:val="center"/>
          </w:tcPr>
          <w:p w14:paraId="544B00E4"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14,454</w:t>
            </w:r>
          </w:p>
        </w:tc>
        <w:tc>
          <w:tcPr>
            <w:tcW w:w="1479" w:type="dxa"/>
            <w:shd w:val="clear" w:color="auto" w:fill="auto"/>
            <w:vAlign w:val="center"/>
          </w:tcPr>
          <w:p w14:paraId="5C6E1CA5"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0</w:t>
            </w:r>
          </w:p>
        </w:tc>
        <w:tc>
          <w:tcPr>
            <w:tcW w:w="1479" w:type="dxa"/>
            <w:shd w:val="clear" w:color="auto" w:fill="auto"/>
            <w:vAlign w:val="center"/>
          </w:tcPr>
          <w:p w14:paraId="074DBC6A"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0</w:t>
            </w:r>
          </w:p>
        </w:tc>
        <w:tc>
          <w:tcPr>
            <w:tcW w:w="2171" w:type="dxa"/>
            <w:shd w:val="clear" w:color="auto" w:fill="auto"/>
            <w:vAlign w:val="center"/>
          </w:tcPr>
          <w:p w14:paraId="4C41D326"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29,260</w:t>
            </w:r>
          </w:p>
        </w:tc>
      </w:tr>
      <w:tr w:rsidR="00627CA1" w:rsidRPr="00D9348B" w14:paraId="3BF4BC61" w14:textId="77777777" w:rsidTr="00D83048">
        <w:tc>
          <w:tcPr>
            <w:tcW w:w="873" w:type="dxa"/>
            <w:shd w:val="clear" w:color="auto" w:fill="auto"/>
          </w:tcPr>
          <w:p w14:paraId="15F42163" w14:textId="77777777" w:rsidR="00627CA1" w:rsidRPr="00D9348B" w:rsidRDefault="00627CA1" w:rsidP="00DB330E">
            <w:pPr>
              <w:pStyle w:val="TableText"/>
              <w:spacing w:before="40" w:after="40"/>
              <w:rPr>
                <w:rFonts w:cs="Calibri"/>
                <w:szCs w:val="16"/>
              </w:rPr>
            </w:pPr>
            <w:r w:rsidRPr="00D9348B">
              <w:rPr>
                <w:rFonts w:cs="Calibri"/>
                <w:szCs w:val="16"/>
              </w:rPr>
              <w:t>1992</w:t>
            </w:r>
          </w:p>
        </w:tc>
        <w:tc>
          <w:tcPr>
            <w:tcW w:w="2503" w:type="dxa"/>
            <w:shd w:val="clear" w:color="auto" w:fill="auto"/>
            <w:vAlign w:val="center"/>
          </w:tcPr>
          <w:p w14:paraId="51B17D60"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45,364</w:t>
            </w:r>
          </w:p>
        </w:tc>
        <w:tc>
          <w:tcPr>
            <w:tcW w:w="1479" w:type="dxa"/>
            <w:shd w:val="clear" w:color="auto" w:fill="auto"/>
            <w:vAlign w:val="center"/>
          </w:tcPr>
          <w:p w14:paraId="21239E60"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0</w:t>
            </w:r>
          </w:p>
        </w:tc>
        <w:tc>
          <w:tcPr>
            <w:tcW w:w="1479" w:type="dxa"/>
            <w:shd w:val="clear" w:color="auto" w:fill="auto"/>
            <w:vAlign w:val="center"/>
          </w:tcPr>
          <w:p w14:paraId="6E7F7BD3"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0</w:t>
            </w:r>
          </w:p>
        </w:tc>
        <w:tc>
          <w:tcPr>
            <w:tcW w:w="2171" w:type="dxa"/>
            <w:shd w:val="clear" w:color="auto" w:fill="auto"/>
            <w:vAlign w:val="center"/>
          </w:tcPr>
          <w:p w14:paraId="2BBE3B46"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74,624</w:t>
            </w:r>
          </w:p>
        </w:tc>
      </w:tr>
      <w:tr w:rsidR="00627CA1" w:rsidRPr="00D9348B" w14:paraId="6EF86098" w14:textId="77777777" w:rsidTr="00D83048">
        <w:tc>
          <w:tcPr>
            <w:tcW w:w="873" w:type="dxa"/>
            <w:shd w:val="clear" w:color="auto" w:fill="auto"/>
          </w:tcPr>
          <w:p w14:paraId="36EBA7CF" w14:textId="77777777" w:rsidR="00627CA1" w:rsidRPr="00D9348B" w:rsidRDefault="00627CA1" w:rsidP="00DB330E">
            <w:pPr>
              <w:pStyle w:val="TableText"/>
              <w:spacing w:before="40" w:after="40"/>
              <w:rPr>
                <w:rFonts w:cs="Calibri"/>
                <w:szCs w:val="16"/>
              </w:rPr>
            </w:pPr>
            <w:r w:rsidRPr="00D9348B">
              <w:rPr>
                <w:rFonts w:cs="Calibri"/>
                <w:szCs w:val="16"/>
              </w:rPr>
              <w:t>1993</w:t>
            </w:r>
          </w:p>
        </w:tc>
        <w:tc>
          <w:tcPr>
            <w:tcW w:w="2503" w:type="dxa"/>
            <w:shd w:val="clear" w:color="auto" w:fill="auto"/>
            <w:vAlign w:val="center"/>
          </w:tcPr>
          <w:p w14:paraId="0991907C"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55,418</w:t>
            </w:r>
          </w:p>
        </w:tc>
        <w:tc>
          <w:tcPr>
            <w:tcW w:w="1479" w:type="dxa"/>
            <w:shd w:val="clear" w:color="auto" w:fill="auto"/>
            <w:vAlign w:val="center"/>
          </w:tcPr>
          <w:p w14:paraId="3060A82F"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0</w:t>
            </w:r>
          </w:p>
        </w:tc>
        <w:tc>
          <w:tcPr>
            <w:tcW w:w="1479" w:type="dxa"/>
            <w:shd w:val="clear" w:color="auto" w:fill="auto"/>
            <w:vAlign w:val="center"/>
          </w:tcPr>
          <w:p w14:paraId="0720E354"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0</w:t>
            </w:r>
          </w:p>
        </w:tc>
        <w:tc>
          <w:tcPr>
            <w:tcW w:w="2171" w:type="dxa"/>
            <w:shd w:val="clear" w:color="auto" w:fill="auto"/>
            <w:vAlign w:val="center"/>
          </w:tcPr>
          <w:p w14:paraId="13BDAF3D"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130,042</w:t>
            </w:r>
          </w:p>
        </w:tc>
      </w:tr>
      <w:tr w:rsidR="00627CA1" w:rsidRPr="00D9348B" w14:paraId="368C4D78" w14:textId="77777777" w:rsidTr="00D83048">
        <w:tc>
          <w:tcPr>
            <w:tcW w:w="873" w:type="dxa"/>
            <w:shd w:val="clear" w:color="auto" w:fill="auto"/>
          </w:tcPr>
          <w:p w14:paraId="499E9237" w14:textId="77777777" w:rsidR="00627CA1" w:rsidRPr="00D9348B" w:rsidRDefault="00627CA1" w:rsidP="00DB330E">
            <w:pPr>
              <w:pStyle w:val="TableText"/>
              <w:spacing w:before="40" w:after="40"/>
              <w:rPr>
                <w:rFonts w:cs="Calibri"/>
                <w:szCs w:val="16"/>
              </w:rPr>
            </w:pPr>
            <w:r w:rsidRPr="00D9348B">
              <w:rPr>
                <w:rFonts w:cs="Calibri"/>
                <w:szCs w:val="16"/>
              </w:rPr>
              <w:t>1994</w:t>
            </w:r>
          </w:p>
        </w:tc>
        <w:tc>
          <w:tcPr>
            <w:tcW w:w="2503" w:type="dxa"/>
            <w:shd w:val="clear" w:color="auto" w:fill="auto"/>
            <w:vAlign w:val="center"/>
          </w:tcPr>
          <w:p w14:paraId="635C3081"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87,704</w:t>
            </w:r>
          </w:p>
        </w:tc>
        <w:tc>
          <w:tcPr>
            <w:tcW w:w="1479" w:type="dxa"/>
            <w:shd w:val="clear" w:color="auto" w:fill="auto"/>
            <w:vAlign w:val="center"/>
          </w:tcPr>
          <w:p w14:paraId="62BDAD9C"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0</w:t>
            </w:r>
          </w:p>
        </w:tc>
        <w:tc>
          <w:tcPr>
            <w:tcW w:w="1479" w:type="dxa"/>
            <w:shd w:val="clear" w:color="auto" w:fill="auto"/>
            <w:vAlign w:val="center"/>
          </w:tcPr>
          <w:p w14:paraId="21BA3754"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0</w:t>
            </w:r>
          </w:p>
        </w:tc>
        <w:tc>
          <w:tcPr>
            <w:tcW w:w="2171" w:type="dxa"/>
            <w:shd w:val="clear" w:color="auto" w:fill="auto"/>
            <w:vAlign w:val="center"/>
          </w:tcPr>
          <w:p w14:paraId="7FE95C71"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217,746</w:t>
            </w:r>
          </w:p>
        </w:tc>
      </w:tr>
      <w:tr w:rsidR="00627CA1" w:rsidRPr="00D9348B" w14:paraId="0FEDE816" w14:textId="77777777" w:rsidTr="00D83048">
        <w:tc>
          <w:tcPr>
            <w:tcW w:w="873" w:type="dxa"/>
            <w:shd w:val="clear" w:color="auto" w:fill="auto"/>
          </w:tcPr>
          <w:p w14:paraId="3F84B628" w14:textId="77777777" w:rsidR="00627CA1" w:rsidRPr="00D9348B" w:rsidRDefault="00627CA1" w:rsidP="00DB330E">
            <w:pPr>
              <w:pStyle w:val="TableText"/>
              <w:spacing w:before="40" w:after="40"/>
              <w:rPr>
                <w:rFonts w:cs="Calibri"/>
                <w:szCs w:val="16"/>
              </w:rPr>
            </w:pPr>
            <w:r w:rsidRPr="00D9348B">
              <w:rPr>
                <w:rFonts w:cs="Calibri"/>
                <w:szCs w:val="16"/>
              </w:rPr>
              <w:t>1995</w:t>
            </w:r>
          </w:p>
        </w:tc>
        <w:tc>
          <w:tcPr>
            <w:tcW w:w="2503" w:type="dxa"/>
            <w:shd w:val="clear" w:color="auto" w:fill="auto"/>
            <w:vAlign w:val="center"/>
          </w:tcPr>
          <w:p w14:paraId="614CF3E5"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66,432</w:t>
            </w:r>
          </w:p>
        </w:tc>
        <w:tc>
          <w:tcPr>
            <w:tcW w:w="1479" w:type="dxa"/>
            <w:shd w:val="clear" w:color="auto" w:fill="auto"/>
            <w:vAlign w:val="center"/>
          </w:tcPr>
          <w:p w14:paraId="60359073"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0</w:t>
            </w:r>
          </w:p>
        </w:tc>
        <w:tc>
          <w:tcPr>
            <w:tcW w:w="1479" w:type="dxa"/>
            <w:shd w:val="clear" w:color="auto" w:fill="auto"/>
            <w:vAlign w:val="center"/>
          </w:tcPr>
          <w:p w14:paraId="01F37A13"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0</w:t>
            </w:r>
          </w:p>
        </w:tc>
        <w:tc>
          <w:tcPr>
            <w:tcW w:w="2171" w:type="dxa"/>
            <w:shd w:val="clear" w:color="auto" w:fill="auto"/>
            <w:vAlign w:val="center"/>
          </w:tcPr>
          <w:p w14:paraId="749EECC3"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284,178</w:t>
            </w:r>
          </w:p>
        </w:tc>
      </w:tr>
      <w:tr w:rsidR="00627CA1" w:rsidRPr="00D9348B" w14:paraId="11E84A87" w14:textId="77777777" w:rsidTr="00D83048">
        <w:tc>
          <w:tcPr>
            <w:tcW w:w="873" w:type="dxa"/>
            <w:shd w:val="clear" w:color="auto" w:fill="auto"/>
          </w:tcPr>
          <w:p w14:paraId="34ED461F" w14:textId="77777777" w:rsidR="00627CA1" w:rsidRPr="00D9348B" w:rsidRDefault="00627CA1" w:rsidP="00DB330E">
            <w:pPr>
              <w:pStyle w:val="TableText"/>
              <w:spacing w:before="40" w:after="40"/>
              <w:rPr>
                <w:rFonts w:cs="Calibri"/>
                <w:szCs w:val="16"/>
              </w:rPr>
            </w:pPr>
            <w:r w:rsidRPr="00D9348B">
              <w:rPr>
                <w:rFonts w:cs="Calibri"/>
                <w:szCs w:val="16"/>
              </w:rPr>
              <w:t>1996</w:t>
            </w:r>
          </w:p>
        </w:tc>
        <w:tc>
          <w:tcPr>
            <w:tcW w:w="2503" w:type="dxa"/>
            <w:shd w:val="clear" w:color="auto" w:fill="auto"/>
            <w:vAlign w:val="center"/>
          </w:tcPr>
          <w:p w14:paraId="0DA7DA99"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75,118</w:t>
            </w:r>
          </w:p>
        </w:tc>
        <w:tc>
          <w:tcPr>
            <w:tcW w:w="1479" w:type="dxa"/>
            <w:shd w:val="clear" w:color="auto" w:fill="auto"/>
            <w:vAlign w:val="center"/>
          </w:tcPr>
          <w:p w14:paraId="7B79D00F"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0</w:t>
            </w:r>
          </w:p>
        </w:tc>
        <w:tc>
          <w:tcPr>
            <w:tcW w:w="1479" w:type="dxa"/>
            <w:shd w:val="clear" w:color="auto" w:fill="auto"/>
            <w:vAlign w:val="center"/>
          </w:tcPr>
          <w:p w14:paraId="0B2FBD4C"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0</w:t>
            </w:r>
          </w:p>
        </w:tc>
        <w:tc>
          <w:tcPr>
            <w:tcW w:w="2171" w:type="dxa"/>
            <w:shd w:val="clear" w:color="auto" w:fill="auto"/>
            <w:vAlign w:val="center"/>
          </w:tcPr>
          <w:p w14:paraId="417DCB2D"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359,296</w:t>
            </w:r>
          </w:p>
        </w:tc>
      </w:tr>
      <w:tr w:rsidR="00627CA1" w:rsidRPr="00D9348B" w14:paraId="7D97B1D4" w14:textId="77777777" w:rsidTr="00D83048">
        <w:tc>
          <w:tcPr>
            <w:tcW w:w="873" w:type="dxa"/>
            <w:shd w:val="clear" w:color="auto" w:fill="auto"/>
          </w:tcPr>
          <w:p w14:paraId="177FD3F8" w14:textId="77777777" w:rsidR="00627CA1" w:rsidRPr="00D9348B" w:rsidRDefault="00627CA1" w:rsidP="00DB330E">
            <w:pPr>
              <w:pStyle w:val="TableText"/>
              <w:spacing w:before="40" w:after="40"/>
              <w:rPr>
                <w:rFonts w:cs="Calibri"/>
                <w:szCs w:val="16"/>
              </w:rPr>
            </w:pPr>
            <w:r w:rsidRPr="00D9348B">
              <w:rPr>
                <w:rFonts w:cs="Calibri"/>
                <w:szCs w:val="16"/>
              </w:rPr>
              <w:t>1997</w:t>
            </w:r>
          </w:p>
        </w:tc>
        <w:tc>
          <w:tcPr>
            <w:tcW w:w="2503" w:type="dxa"/>
            <w:shd w:val="clear" w:color="auto" w:fill="auto"/>
            <w:vAlign w:val="center"/>
          </w:tcPr>
          <w:p w14:paraId="1DF38A0B"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57,737</w:t>
            </w:r>
          </w:p>
        </w:tc>
        <w:tc>
          <w:tcPr>
            <w:tcW w:w="1479" w:type="dxa"/>
            <w:shd w:val="clear" w:color="auto" w:fill="auto"/>
            <w:vAlign w:val="center"/>
          </w:tcPr>
          <w:p w14:paraId="23037D46"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0</w:t>
            </w:r>
          </w:p>
        </w:tc>
        <w:tc>
          <w:tcPr>
            <w:tcW w:w="1479" w:type="dxa"/>
            <w:shd w:val="clear" w:color="auto" w:fill="auto"/>
            <w:vAlign w:val="center"/>
          </w:tcPr>
          <w:p w14:paraId="57E99F86"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0</w:t>
            </w:r>
          </w:p>
        </w:tc>
        <w:tc>
          <w:tcPr>
            <w:tcW w:w="2171" w:type="dxa"/>
            <w:shd w:val="clear" w:color="auto" w:fill="auto"/>
            <w:vAlign w:val="center"/>
          </w:tcPr>
          <w:p w14:paraId="3899C141"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417,033</w:t>
            </w:r>
          </w:p>
        </w:tc>
      </w:tr>
      <w:tr w:rsidR="00627CA1" w:rsidRPr="00D9348B" w14:paraId="1550798A" w14:textId="77777777" w:rsidTr="00D83048">
        <w:tc>
          <w:tcPr>
            <w:tcW w:w="873" w:type="dxa"/>
            <w:shd w:val="clear" w:color="auto" w:fill="auto"/>
          </w:tcPr>
          <w:p w14:paraId="3F8DFC57" w14:textId="77777777" w:rsidR="00627CA1" w:rsidRPr="00D9348B" w:rsidRDefault="00627CA1" w:rsidP="00DB330E">
            <w:pPr>
              <w:pStyle w:val="TableText"/>
              <w:spacing w:before="40" w:after="40"/>
              <w:rPr>
                <w:rFonts w:cs="Calibri"/>
                <w:szCs w:val="16"/>
              </w:rPr>
            </w:pPr>
            <w:r w:rsidRPr="00D9348B">
              <w:rPr>
                <w:rFonts w:cs="Calibri"/>
                <w:szCs w:val="16"/>
              </w:rPr>
              <w:t>1998</w:t>
            </w:r>
          </w:p>
        </w:tc>
        <w:tc>
          <w:tcPr>
            <w:tcW w:w="2503" w:type="dxa"/>
            <w:shd w:val="clear" w:color="auto" w:fill="auto"/>
            <w:vAlign w:val="center"/>
          </w:tcPr>
          <w:p w14:paraId="451665DB"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47,295</w:t>
            </w:r>
          </w:p>
        </w:tc>
        <w:tc>
          <w:tcPr>
            <w:tcW w:w="1479" w:type="dxa"/>
            <w:shd w:val="clear" w:color="auto" w:fill="auto"/>
            <w:vAlign w:val="center"/>
          </w:tcPr>
          <w:p w14:paraId="074E4AA5"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0</w:t>
            </w:r>
          </w:p>
        </w:tc>
        <w:tc>
          <w:tcPr>
            <w:tcW w:w="1479" w:type="dxa"/>
            <w:shd w:val="clear" w:color="auto" w:fill="auto"/>
            <w:vAlign w:val="center"/>
          </w:tcPr>
          <w:p w14:paraId="61924560"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0</w:t>
            </w:r>
          </w:p>
        </w:tc>
        <w:tc>
          <w:tcPr>
            <w:tcW w:w="2171" w:type="dxa"/>
            <w:shd w:val="clear" w:color="auto" w:fill="auto"/>
            <w:vAlign w:val="center"/>
          </w:tcPr>
          <w:p w14:paraId="437C5EDF"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464,327</w:t>
            </w:r>
          </w:p>
        </w:tc>
      </w:tr>
      <w:tr w:rsidR="00627CA1" w:rsidRPr="00D9348B" w14:paraId="0EA3B5D0" w14:textId="77777777" w:rsidTr="00D83048">
        <w:tc>
          <w:tcPr>
            <w:tcW w:w="873" w:type="dxa"/>
            <w:shd w:val="clear" w:color="auto" w:fill="auto"/>
          </w:tcPr>
          <w:p w14:paraId="4B536585" w14:textId="77777777" w:rsidR="00627CA1" w:rsidRPr="00D9348B" w:rsidRDefault="00627CA1" w:rsidP="00DB330E">
            <w:pPr>
              <w:pStyle w:val="TableText"/>
              <w:spacing w:before="40" w:after="40"/>
              <w:rPr>
                <w:rFonts w:cs="Calibri"/>
                <w:szCs w:val="16"/>
              </w:rPr>
            </w:pPr>
            <w:r w:rsidRPr="00D9348B">
              <w:rPr>
                <w:rFonts w:cs="Calibri"/>
                <w:szCs w:val="16"/>
              </w:rPr>
              <w:t>1999</w:t>
            </w:r>
          </w:p>
        </w:tc>
        <w:tc>
          <w:tcPr>
            <w:tcW w:w="2503" w:type="dxa"/>
            <w:shd w:val="clear" w:color="auto" w:fill="auto"/>
            <w:vAlign w:val="center"/>
          </w:tcPr>
          <w:p w14:paraId="596A769B"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37,377</w:t>
            </w:r>
          </w:p>
        </w:tc>
        <w:tc>
          <w:tcPr>
            <w:tcW w:w="1479" w:type="dxa"/>
            <w:shd w:val="clear" w:color="auto" w:fill="auto"/>
            <w:vAlign w:val="center"/>
          </w:tcPr>
          <w:p w14:paraId="64550999"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0</w:t>
            </w:r>
          </w:p>
        </w:tc>
        <w:tc>
          <w:tcPr>
            <w:tcW w:w="1479" w:type="dxa"/>
            <w:shd w:val="clear" w:color="auto" w:fill="auto"/>
            <w:vAlign w:val="center"/>
          </w:tcPr>
          <w:p w14:paraId="2D5E2500"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0</w:t>
            </w:r>
          </w:p>
        </w:tc>
        <w:tc>
          <w:tcPr>
            <w:tcW w:w="2171" w:type="dxa"/>
            <w:shd w:val="clear" w:color="auto" w:fill="auto"/>
            <w:vAlign w:val="center"/>
          </w:tcPr>
          <w:p w14:paraId="0FBE327E"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501,705</w:t>
            </w:r>
          </w:p>
        </w:tc>
      </w:tr>
      <w:tr w:rsidR="00627CA1" w:rsidRPr="00D9348B" w14:paraId="6D3E2208" w14:textId="77777777" w:rsidTr="00D83048">
        <w:tc>
          <w:tcPr>
            <w:tcW w:w="873" w:type="dxa"/>
            <w:shd w:val="clear" w:color="auto" w:fill="auto"/>
          </w:tcPr>
          <w:p w14:paraId="39829C38" w14:textId="77777777" w:rsidR="00627CA1" w:rsidRPr="00D9348B" w:rsidRDefault="00627CA1" w:rsidP="00DB330E">
            <w:pPr>
              <w:pStyle w:val="TableText"/>
              <w:spacing w:before="40" w:after="40"/>
              <w:rPr>
                <w:rFonts w:cs="Calibri"/>
                <w:szCs w:val="16"/>
              </w:rPr>
            </w:pPr>
            <w:r w:rsidRPr="00D9348B">
              <w:rPr>
                <w:rFonts w:cs="Calibri"/>
                <w:szCs w:val="16"/>
              </w:rPr>
              <w:t>2000</w:t>
            </w:r>
          </w:p>
        </w:tc>
        <w:tc>
          <w:tcPr>
            <w:tcW w:w="2503" w:type="dxa"/>
            <w:shd w:val="clear" w:color="auto" w:fill="auto"/>
            <w:vAlign w:val="center"/>
          </w:tcPr>
          <w:p w14:paraId="62AFD7E6"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32,368</w:t>
            </w:r>
          </w:p>
        </w:tc>
        <w:tc>
          <w:tcPr>
            <w:tcW w:w="1479" w:type="dxa"/>
            <w:shd w:val="clear" w:color="auto" w:fill="auto"/>
            <w:vAlign w:val="center"/>
          </w:tcPr>
          <w:p w14:paraId="0EFA7E4E"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0</w:t>
            </w:r>
          </w:p>
        </w:tc>
        <w:tc>
          <w:tcPr>
            <w:tcW w:w="1479" w:type="dxa"/>
            <w:shd w:val="clear" w:color="auto" w:fill="auto"/>
            <w:vAlign w:val="center"/>
          </w:tcPr>
          <w:p w14:paraId="3ACC3174"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0</w:t>
            </w:r>
          </w:p>
        </w:tc>
        <w:tc>
          <w:tcPr>
            <w:tcW w:w="2171" w:type="dxa"/>
            <w:shd w:val="clear" w:color="auto" w:fill="auto"/>
            <w:vAlign w:val="center"/>
          </w:tcPr>
          <w:p w14:paraId="4692150B"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534,073</w:t>
            </w:r>
          </w:p>
        </w:tc>
      </w:tr>
      <w:tr w:rsidR="00627CA1" w:rsidRPr="00D9348B" w14:paraId="274DCE5B" w14:textId="77777777" w:rsidTr="00D83048">
        <w:tc>
          <w:tcPr>
            <w:tcW w:w="873" w:type="dxa"/>
            <w:shd w:val="clear" w:color="auto" w:fill="auto"/>
          </w:tcPr>
          <w:p w14:paraId="03AC8159" w14:textId="77777777" w:rsidR="00627CA1" w:rsidRPr="00D9348B" w:rsidRDefault="00627CA1" w:rsidP="00DB330E">
            <w:pPr>
              <w:pStyle w:val="TableText"/>
              <w:spacing w:before="40" w:after="40"/>
              <w:rPr>
                <w:rFonts w:cs="Calibri"/>
                <w:szCs w:val="16"/>
              </w:rPr>
            </w:pPr>
            <w:r w:rsidRPr="00D9348B">
              <w:rPr>
                <w:rFonts w:cs="Calibri"/>
                <w:szCs w:val="16"/>
              </w:rPr>
              <w:lastRenderedPageBreak/>
              <w:t>2001</w:t>
            </w:r>
          </w:p>
        </w:tc>
        <w:tc>
          <w:tcPr>
            <w:tcW w:w="2503" w:type="dxa"/>
            <w:shd w:val="clear" w:color="auto" w:fill="auto"/>
            <w:vAlign w:val="center"/>
          </w:tcPr>
          <w:p w14:paraId="0BEAF14D"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29,313</w:t>
            </w:r>
          </w:p>
        </w:tc>
        <w:tc>
          <w:tcPr>
            <w:tcW w:w="1479" w:type="dxa"/>
            <w:shd w:val="clear" w:color="auto" w:fill="auto"/>
            <w:vAlign w:val="center"/>
          </w:tcPr>
          <w:p w14:paraId="4F37D2C4"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0</w:t>
            </w:r>
          </w:p>
        </w:tc>
        <w:tc>
          <w:tcPr>
            <w:tcW w:w="1479" w:type="dxa"/>
            <w:shd w:val="clear" w:color="auto" w:fill="auto"/>
            <w:vAlign w:val="center"/>
          </w:tcPr>
          <w:p w14:paraId="2B9D8118"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0</w:t>
            </w:r>
          </w:p>
        </w:tc>
        <w:tc>
          <w:tcPr>
            <w:tcW w:w="2171" w:type="dxa"/>
            <w:shd w:val="clear" w:color="auto" w:fill="auto"/>
            <w:vAlign w:val="center"/>
          </w:tcPr>
          <w:p w14:paraId="546E5208"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563,387</w:t>
            </w:r>
          </w:p>
        </w:tc>
      </w:tr>
      <w:tr w:rsidR="00627CA1" w:rsidRPr="00D9348B" w14:paraId="305B6FCE" w14:textId="77777777" w:rsidTr="00D83048">
        <w:tc>
          <w:tcPr>
            <w:tcW w:w="873" w:type="dxa"/>
            <w:shd w:val="clear" w:color="auto" w:fill="auto"/>
          </w:tcPr>
          <w:p w14:paraId="6EF23D8A" w14:textId="77777777" w:rsidR="00627CA1" w:rsidRPr="00D9348B" w:rsidRDefault="00627CA1" w:rsidP="00DB330E">
            <w:pPr>
              <w:pStyle w:val="TableText"/>
              <w:spacing w:before="40" w:after="40"/>
              <w:rPr>
                <w:rFonts w:cs="Calibri"/>
                <w:szCs w:val="16"/>
              </w:rPr>
            </w:pPr>
            <w:r w:rsidRPr="00D9348B">
              <w:rPr>
                <w:rFonts w:cs="Calibri"/>
                <w:szCs w:val="16"/>
              </w:rPr>
              <w:t>2002</w:t>
            </w:r>
          </w:p>
        </w:tc>
        <w:tc>
          <w:tcPr>
            <w:tcW w:w="2503" w:type="dxa"/>
            <w:shd w:val="clear" w:color="auto" w:fill="auto"/>
            <w:vAlign w:val="center"/>
          </w:tcPr>
          <w:p w14:paraId="5E2FD815"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22,247</w:t>
            </w:r>
          </w:p>
        </w:tc>
        <w:tc>
          <w:tcPr>
            <w:tcW w:w="1479" w:type="dxa"/>
            <w:shd w:val="clear" w:color="auto" w:fill="auto"/>
            <w:vAlign w:val="center"/>
          </w:tcPr>
          <w:p w14:paraId="6C818EB1"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0</w:t>
            </w:r>
          </w:p>
        </w:tc>
        <w:tc>
          <w:tcPr>
            <w:tcW w:w="1479" w:type="dxa"/>
            <w:shd w:val="clear" w:color="auto" w:fill="auto"/>
            <w:vAlign w:val="center"/>
          </w:tcPr>
          <w:p w14:paraId="414C202D"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702</w:t>
            </w:r>
          </w:p>
        </w:tc>
        <w:tc>
          <w:tcPr>
            <w:tcW w:w="2171" w:type="dxa"/>
            <w:shd w:val="clear" w:color="auto" w:fill="auto"/>
            <w:vAlign w:val="center"/>
          </w:tcPr>
          <w:p w14:paraId="207B2C33"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584,932</w:t>
            </w:r>
          </w:p>
        </w:tc>
      </w:tr>
      <w:tr w:rsidR="00627CA1" w:rsidRPr="00D9348B" w14:paraId="689685A5" w14:textId="77777777" w:rsidTr="00D83048">
        <w:tc>
          <w:tcPr>
            <w:tcW w:w="873" w:type="dxa"/>
            <w:shd w:val="clear" w:color="auto" w:fill="auto"/>
          </w:tcPr>
          <w:p w14:paraId="3EDCEC0E" w14:textId="77777777" w:rsidR="00627CA1" w:rsidRPr="00D9348B" w:rsidRDefault="00627CA1" w:rsidP="00DB330E">
            <w:pPr>
              <w:pStyle w:val="TableText"/>
              <w:spacing w:before="40" w:after="40"/>
              <w:rPr>
                <w:rFonts w:cs="Calibri"/>
                <w:szCs w:val="16"/>
              </w:rPr>
            </w:pPr>
            <w:r w:rsidRPr="00D9348B">
              <w:rPr>
                <w:rFonts w:cs="Calibri"/>
                <w:szCs w:val="16"/>
              </w:rPr>
              <w:t>2003</w:t>
            </w:r>
          </w:p>
        </w:tc>
        <w:tc>
          <w:tcPr>
            <w:tcW w:w="2503" w:type="dxa"/>
            <w:shd w:val="clear" w:color="auto" w:fill="auto"/>
            <w:vAlign w:val="center"/>
          </w:tcPr>
          <w:p w14:paraId="3C58B418"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20,963</w:t>
            </w:r>
          </w:p>
        </w:tc>
        <w:tc>
          <w:tcPr>
            <w:tcW w:w="1479" w:type="dxa"/>
            <w:shd w:val="clear" w:color="auto" w:fill="auto"/>
            <w:vAlign w:val="center"/>
          </w:tcPr>
          <w:p w14:paraId="3201E2D9"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0</w:t>
            </w:r>
          </w:p>
        </w:tc>
        <w:tc>
          <w:tcPr>
            <w:tcW w:w="1479" w:type="dxa"/>
            <w:shd w:val="clear" w:color="auto" w:fill="auto"/>
            <w:vAlign w:val="center"/>
          </w:tcPr>
          <w:p w14:paraId="0D68686A"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2,213</w:t>
            </w:r>
          </w:p>
        </w:tc>
        <w:tc>
          <w:tcPr>
            <w:tcW w:w="2171" w:type="dxa"/>
            <w:shd w:val="clear" w:color="auto" w:fill="auto"/>
            <w:vAlign w:val="center"/>
          </w:tcPr>
          <w:p w14:paraId="797A6C37"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603,682</w:t>
            </w:r>
          </w:p>
        </w:tc>
      </w:tr>
      <w:tr w:rsidR="00627CA1" w:rsidRPr="00D9348B" w14:paraId="2A359EE0" w14:textId="77777777" w:rsidTr="00D83048">
        <w:tc>
          <w:tcPr>
            <w:tcW w:w="873" w:type="dxa"/>
            <w:shd w:val="clear" w:color="auto" w:fill="auto"/>
          </w:tcPr>
          <w:p w14:paraId="7191FAF5" w14:textId="77777777" w:rsidR="00627CA1" w:rsidRPr="00D9348B" w:rsidRDefault="00627CA1" w:rsidP="00DB330E">
            <w:pPr>
              <w:pStyle w:val="TableText"/>
              <w:spacing w:before="40" w:after="40"/>
              <w:rPr>
                <w:rFonts w:cs="Calibri"/>
                <w:szCs w:val="16"/>
              </w:rPr>
            </w:pPr>
            <w:r w:rsidRPr="00D9348B">
              <w:rPr>
                <w:rFonts w:cs="Calibri"/>
                <w:szCs w:val="16"/>
              </w:rPr>
              <w:t>2004</w:t>
            </w:r>
          </w:p>
        </w:tc>
        <w:tc>
          <w:tcPr>
            <w:tcW w:w="2503" w:type="dxa"/>
            <w:shd w:val="clear" w:color="auto" w:fill="auto"/>
            <w:vAlign w:val="center"/>
          </w:tcPr>
          <w:p w14:paraId="0855780D"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13,198</w:t>
            </w:r>
          </w:p>
        </w:tc>
        <w:tc>
          <w:tcPr>
            <w:tcW w:w="1479" w:type="dxa"/>
            <w:shd w:val="clear" w:color="auto" w:fill="auto"/>
            <w:vAlign w:val="center"/>
          </w:tcPr>
          <w:p w14:paraId="51EB45B1"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0</w:t>
            </w:r>
          </w:p>
        </w:tc>
        <w:tc>
          <w:tcPr>
            <w:tcW w:w="1479" w:type="dxa"/>
            <w:shd w:val="clear" w:color="auto" w:fill="auto"/>
            <w:vAlign w:val="center"/>
          </w:tcPr>
          <w:p w14:paraId="49DD6F44"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2,033</w:t>
            </w:r>
          </w:p>
        </w:tc>
        <w:tc>
          <w:tcPr>
            <w:tcW w:w="2171" w:type="dxa"/>
            <w:shd w:val="clear" w:color="auto" w:fill="auto"/>
            <w:vAlign w:val="center"/>
          </w:tcPr>
          <w:p w14:paraId="4F0266FC"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614,846</w:t>
            </w:r>
          </w:p>
        </w:tc>
      </w:tr>
      <w:tr w:rsidR="00627CA1" w:rsidRPr="00D9348B" w14:paraId="787D4502" w14:textId="77777777" w:rsidTr="00D83048">
        <w:tc>
          <w:tcPr>
            <w:tcW w:w="873" w:type="dxa"/>
            <w:shd w:val="clear" w:color="auto" w:fill="auto"/>
          </w:tcPr>
          <w:p w14:paraId="661CBC3B" w14:textId="77777777" w:rsidR="00627CA1" w:rsidRPr="00D9348B" w:rsidRDefault="00627CA1" w:rsidP="00DB330E">
            <w:pPr>
              <w:pStyle w:val="TableText"/>
              <w:spacing w:before="40" w:after="40"/>
              <w:rPr>
                <w:rFonts w:cs="Calibri"/>
                <w:szCs w:val="16"/>
              </w:rPr>
            </w:pPr>
            <w:r w:rsidRPr="00D9348B">
              <w:rPr>
                <w:rFonts w:cs="Calibri"/>
                <w:szCs w:val="16"/>
              </w:rPr>
              <w:t>2005</w:t>
            </w:r>
          </w:p>
        </w:tc>
        <w:tc>
          <w:tcPr>
            <w:tcW w:w="2503" w:type="dxa"/>
            <w:shd w:val="clear" w:color="auto" w:fill="auto"/>
            <w:vAlign w:val="center"/>
          </w:tcPr>
          <w:p w14:paraId="776E20DC"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9,388</w:t>
            </w:r>
          </w:p>
        </w:tc>
        <w:tc>
          <w:tcPr>
            <w:tcW w:w="1479" w:type="dxa"/>
            <w:shd w:val="clear" w:color="auto" w:fill="auto"/>
            <w:vAlign w:val="center"/>
          </w:tcPr>
          <w:p w14:paraId="56EF9AAC"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200</w:t>
            </w:r>
          </w:p>
        </w:tc>
        <w:tc>
          <w:tcPr>
            <w:tcW w:w="1479" w:type="dxa"/>
            <w:shd w:val="clear" w:color="auto" w:fill="auto"/>
            <w:vAlign w:val="center"/>
          </w:tcPr>
          <w:p w14:paraId="410D90FA"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2,313</w:t>
            </w:r>
          </w:p>
        </w:tc>
        <w:tc>
          <w:tcPr>
            <w:tcW w:w="2171" w:type="dxa"/>
            <w:shd w:val="clear" w:color="auto" w:fill="auto"/>
            <w:vAlign w:val="center"/>
          </w:tcPr>
          <w:p w14:paraId="407F8E27"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621,921</w:t>
            </w:r>
          </w:p>
        </w:tc>
      </w:tr>
      <w:tr w:rsidR="00627CA1" w:rsidRPr="00D9348B" w14:paraId="7F33F309" w14:textId="77777777" w:rsidTr="00D83048">
        <w:tc>
          <w:tcPr>
            <w:tcW w:w="873" w:type="dxa"/>
            <w:shd w:val="clear" w:color="auto" w:fill="auto"/>
          </w:tcPr>
          <w:p w14:paraId="78CD4B91" w14:textId="77777777" w:rsidR="00627CA1" w:rsidRPr="00D9348B" w:rsidRDefault="00627CA1" w:rsidP="00DB330E">
            <w:pPr>
              <w:pStyle w:val="TableText"/>
              <w:spacing w:before="40" w:after="40"/>
              <w:rPr>
                <w:rFonts w:cs="Calibri"/>
                <w:szCs w:val="16"/>
              </w:rPr>
            </w:pPr>
            <w:r w:rsidRPr="00D9348B">
              <w:rPr>
                <w:rFonts w:cs="Calibri"/>
                <w:szCs w:val="16"/>
              </w:rPr>
              <w:t>2006</w:t>
            </w:r>
          </w:p>
        </w:tc>
        <w:tc>
          <w:tcPr>
            <w:tcW w:w="2503" w:type="dxa"/>
            <w:shd w:val="clear" w:color="auto" w:fill="auto"/>
            <w:vAlign w:val="center"/>
          </w:tcPr>
          <w:p w14:paraId="76D904F7"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6,414</w:t>
            </w:r>
          </w:p>
        </w:tc>
        <w:tc>
          <w:tcPr>
            <w:tcW w:w="1479" w:type="dxa"/>
            <w:shd w:val="clear" w:color="auto" w:fill="auto"/>
            <w:vAlign w:val="center"/>
          </w:tcPr>
          <w:p w14:paraId="7EA06B57"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600</w:t>
            </w:r>
          </w:p>
        </w:tc>
        <w:tc>
          <w:tcPr>
            <w:tcW w:w="1479" w:type="dxa"/>
            <w:shd w:val="clear" w:color="auto" w:fill="auto"/>
            <w:vAlign w:val="center"/>
          </w:tcPr>
          <w:p w14:paraId="6B42F34C"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1,982</w:t>
            </w:r>
          </w:p>
        </w:tc>
        <w:tc>
          <w:tcPr>
            <w:tcW w:w="2171" w:type="dxa"/>
            <w:shd w:val="clear" w:color="auto" w:fill="auto"/>
            <w:vAlign w:val="center"/>
          </w:tcPr>
          <w:p w14:paraId="027C8CD8"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626,352</w:t>
            </w:r>
          </w:p>
        </w:tc>
      </w:tr>
      <w:tr w:rsidR="00627CA1" w:rsidRPr="00D9348B" w14:paraId="6AFA0D08" w14:textId="77777777" w:rsidTr="00D83048">
        <w:tc>
          <w:tcPr>
            <w:tcW w:w="873" w:type="dxa"/>
            <w:shd w:val="clear" w:color="auto" w:fill="auto"/>
          </w:tcPr>
          <w:p w14:paraId="06FFA5CC" w14:textId="77777777" w:rsidR="00627CA1" w:rsidRPr="00D9348B" w:rsidRDefault="00627CA1" w:rsidP="00DB330E">
            <w:pPr>
              <w:pStyle w:val="TableText"/>
              <w:spacing w:before="40" w:after="40"/>
              <w:rPr>
                <w:rFonts w:cs="Calibri"/>
                <w:szCs w:val="16"/>
              </w:rPr>
            </w:pPr>
            <w:r w:rsidRPr="00D9348B">
              <w:rPr>
                <w:rFonts w:cs="Calibri"/>
                <w:szCs w:val="16"/>
              </w:rPr>
              <w:t>2007</w:t>
            </w:r>
          </w:p>
        </w:tc>
        <w:tc>
          <w:tcPr>
            <w:tcW w:w="2503" w:type="dxa"/>
            <w:shd w:val="clear" w:color="auto" w:fill="auto"/>
            <w:vAlign w:val="center"/>
          </w:tcPr>
          <w:p w14:paraId="18884187"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6,435</w:t>
            </w:r>
          </w:p>
        </w:tc>
        <w:tc>
          <w:tcPr>
            <w:tcW w:w="1479" w:type="dxa"/>
            <w:shd w:val="clear" w:color="auto" w:fill="auto"/>
            <w:vAlign w:val="center"/>
          </w:tcPr>
          <w:p w14:paraId="3E469748"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600</w:t>
            </w:r>
          </w:p>
        </w:tc>
        <w:tc>
          <w:tcPr>
            <w:tcW w:w="1479" w:type="dxa"/>
            <w:shd w:val="clear" w:color="auto" w:fill="auto"/>
            <w:vAlign w:val="center"/>
          </w:tcPr>
          <w:p w14:paraId="35268AAF"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4,759</w:t>
            </w:r>
          </w:p>
        </w:tc>
        <w:tc>
          <w:tcPr>
            <w:tcW w:w="2171" w:type="dxa"/>
            <w:shd w:val="clear" w:color="auto" w:fill="auto"/>
            <w:vAlign w:val="center"/>
          </w:tcPr>
          <w:p w14:paraId="22A33A23"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628,029</w:t>
            </w:r>
          </w:p>
        </w:tc>
      </w:tr>
      <w:tr w:rsidR="00627CA1" w:rsidRPr="00D9348B" w14:paraId="36AAD342" w14:textId="77777777" w:rsidTr="00D83048">
        <w:tc>
          <w:tcPr>
            <w:tcW w:w="873" w:type="dxa"/>
            <w:shd w:val="clear" w:color="auto" w:fill="auto"/>
          </w:tcPr>
          <w:p w14:paraId="15D2CE37" w14:textId="77777777" w:rsidR="00627CA1" w:rsidRPr="00D9348B" w:rsidRDefault="00627CA1" w:rsidP="00DB330E">
            <w:pPr>
              <w:pStyle w:val="TableText"/>
              <w:spacing w:before="40" w:after="40"/>
              <w:rPr>
                <w:rFonts w:cs="Calibri"/>
                <w:szCs w:val="16"/>
              </w:rPr>
            </w:pPr>
            <w:r w:rsidRPr="00D9348B">
              <w:rPr>
                <w:rFonts w:cs="Calibri"/>
                <w:szCs w:val="16"/>
              </w:rPr>
              <w:t>2008</w:t>
            </w:r>
          </w:p>
        </w:tc>
        <w:tc>
          <w:tcPr>
            <w:tcW w:w="2503" w:type="dxa"/>
            <w:shd w:val="clear" w:color="auto" w:fill="auto"/>
            <w:vAlign w:val="center"/>
          </w:tcPr>
          <w:p w14:paraId="533DD372"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4,418</w:t>
            </w:r>
          </w:p>
        </w:tc>
        <w:tc>
          <w:tcPr>
            <w:tcW w:w="1479" w:type="dxa"/>
            <w:shd w:val="clear" w:color="auto" w:fill="auto"/>
            <w:vAlign w:val="center"/>
          </w:tcPr>
          <w:p w14:paraId="05E5907D"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872</w:t>
            </w:r>
          </w:p>
        </w:tc>
        <w:tc>
          <w:tcPr>
            <w:tcW w:w="1479" w:type="dxa"/>
            <w:shd w:val="clear" w:color="auto" w:fill="auto"/>
            <w:vAlign w:val="center"/>
          </w:tcPr>
          <w:p w14:paraId="52E4B73E"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1,076</w:t>
            </w:r>
          </w:p>
        </w:tc>
        <w:tc>
          <w:tcPr>
            <w:tcW w:w="2171" w:type="dxa"/>
            <w:shd w:val="clear" w:color="auto" w:fill="auto"/>
            <w:vAlign w:val="center"/>
          </w:tcPr>
          <w:p w14:paraId="2B56A954"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631,371</w:t>
            </w:r>
          </w:p>
        </w:tc>
      </w:tr>
      <w:tr w:rsidR="00627CA1" w:rsidRPr="00D9348B" w14:paraId="35DDC9CF" w14:textId="77777777" w:rsidTr="00D83048">
        <w:tc>
          <w:tcPr>
            <w:tcW w:w="873" w:type="dxa"/>
            <w:shd w:val="clear" w:color="auto" w:fill="auto"/>
          </w:tcPr>
          <w:p w14:paraId="5277595A" w14:textId="77777777" w:rsidR="00627CA1" w:rsidRPr="00D9348B" w:rsidRDefault="00627CA1" w:rsidP="00DB330E">
            <w:pPr>
              <w:pStyle w:val="TableText"/>
              <w:spacing w:before="40" w:after="40"/>
              <w:rPr>
                <w:rFonts w:cs="Calibri"/>
                <w:szCs w:val="16"/>
              </w:rPr>
            </w:pPr>
            <w:r w:rsidRPr="00D9348B">
              <w:rPr>
                <w:rFonts w:cs="Calibri"/>
                <w:szCs w:val="16"/>
              </w:rPr>
              <w:t>2009</w:t>
            </w:r>
          </w:p>
        </w:tc>
        <w:tc>
          <w:tcPr>
            <w:tcW w:w="2503" w:type="dxa"/>
            <w:shd w:val="clear" w:color="auto" w:fill="auto"/>
            <w:vAlign w:val="center"/>
          </w:tcPr>
          <w:p w14:paraId="47ABAB62"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7,561</w:t>
            </w:r>
          </w:p>
        </w:tc>
        <w:tc>
          <w:tcPr>
            <w:tcW w:w="1479" w:type="dxa"/>
            <w:shd w:val="clear" w:color="auto" w:fill="auto"/>
            <w:vAlign w:val="center"/>
          </w:tcPr>
          <w:p w14:paraId="1FDAB8B4"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988</w:t>
            </w:r>
          </w:p>
        </w:tc>
        <w:tc>
          <w:tcPr>
            <w:tcW w:w="1479" w:type="dxa"/>
            <w:shd w:val="clear" w:color="auto" w:fill="auto"/>
            <w:vAlign w:val="center"/>
          </w:tcPr>
          <w:p w14:paraId="24EC8CA9"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2,023</w:t>
            </w:r>
          </w:p>
        </w:tc>
        <w:tc>
          <w:tcPr>
            <w:tcW w:w="2171" w:type="dxa"/>
            <w:shd w:val="clear" w:color="auto" w:fill="auto"/>
            <w:vAlign w:val="center"/>
          </w:tcPr>
          <w:p w14:paraId="21DCFCDF"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636,909</w:t>
            </w:r>
          </w:p>
        </w:tc>
      </w:tr>
      <w:tr w:rsidR="00627CA1" w:rsidRPr="00D9348B" w14:paraId="0C5DD2CD" w14:textId="77777777" w:rsidTr="00D83048">
        <w:tc>
          <w:tcPr>
            <w:tcW w:w="873" w:type="dxa"/>
            <w:shd w:val="clear" w:color="auto" w:fill="auto"/>
          </w:tcPr>
          <w:p w14:paraId="1893D907" w14:textId="77777777" w:rsidR="00627CA1" w:rsidRPr="00D9348B" w:rsidRDefault="00627CA1" w:rsidP="00DB330E">
            <w:pPr>
              <w:pStyle w:val="TableText"/>
              <w:spacing w:before="40" w:after="40"/>
              <w:rPr>
                <w:rFonts w:cs="Calibri"/>
                <w:szCs w:val="16"/>
              </w:rPr>
            </w:pPr>
            <w:r w:rsidRPr="00D9348B">
              <w:rPr>
                <w:rFonts w:cs="Calibri"/>
                <w:szCs w:val="16"/>
              </w:rPr>
              <w:t>2010</w:t>
            </w:r>
          </w:p>
        </w:tc>
        <w:tc>
          <w:tcPr>
            <w:tcW w:w="2503" w:type="dxa"/>
            <w:shd w:val="clear" w:color="auto" w:fill="auto"/>
            <w:vAlign w:val="center"/>
          </w:tcPr>
          <w:p w14:paraId="7AF99850"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9,884</w:t>
            </w:r>
          </w:p>
        </w:tc>
        <w:tc>
          <w:tcPr>
            <w:tcW w:w="1479" w:type="dxa"/>
            <w:shd w:val="clear" w:color="auto" w:fill="auto"/>
            <w:vAlign w:val="center"/>
          </w:tcPr>
          <w:p w14:paraId="54552CCC"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1,481</w:t>
            </w:r>
          </w:p>
        </w:tc>
        <w:tc>
          <w:tcPr>
            <w:tcW w:w="1479" w:type="dxa"/>
            <w:shd w:val="clear" w:color="auto" w:fill="auto"/>
            <w:vAlign w:val="center"/>
          </w:tcPr>
          <w:p w14:paraId="62A47223"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1,744</w:t>
            </w:r>
          </w:p>
        </w:tc>
        <w:tc>
          <w:tcPr>
            <w:tcW w:w="2171" w:type="dxa"/>
            <w:shd w:val="clear" w:color="auto" w:fill="auto"/>
            <w:vAlign w:val="center"/>
          </w:tcPr>
          <w:p w14:paraId="59BB955C"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645,048</w:t>
            </w:r>
          </w:p>
        </w:tc>
      </w:tr>
      <w:tr w:rsidR="00627CA1" w:rsidRPr="00D9348B" w14:paraId="30FA40C1" w14:textId="77777777" w:rsidTr="00D83048">
        <w:tc>
          <w:tcPr>
            <w:tcW w:w="873" w:type="dxa"/>
            <w:shd w:val="clear" w:color="auto" w:fill="auto"/>
          </w:tcPr>
          <w:p w14:paraId="066CB6ED" w14:textId="77777777" w:rsidR="00627CA1" w:rsidRPr="00D9348B" w:rsidRDefault="00627CA1" w:rsidP="00DB330E">
            <w:pPr>
              <w:pStyle w:val="TableText"/>
              <w:spacing w:before="40" w:after="40"/>
              <w:rPr>
                <w:rFonts w:cs="Calibri"/>
                <w:szCs w:val="16"/>
              </w:rPr>
            </w:pPr>
            <w:r w:rsidRPr="00D9348B">
              <w:rPr>
                <w:rFonts w:cs="Calibri"/>
                <w:szCs w:val="16"/>
              </w:rPr>
              <w:t>2011</w:t>
            </w:r>
          </w:p>
        </w:tc>
        <w:tc>
          <w:tcPr>
            <w:tcW w:w="2503" w:type="dxa"/>
            <w:shd w:val="clear" w:color="auto" w:fill="auto"/>
            <w:vAlign w:val="center"/>
          </w:tcPr>
          <w:p w14:paraId="13B25B45"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17,799</w:t>
            </w:r>
          </w:p>
        </w:tc>
        <w:tc>
          <w:tcPr>
            <w:tcW w:w="1479" w:type="dxa"/>
            <w:shd w:val="clear" w:color="auto" w:fill="auto"/>
            <w:vAlign w:val="center"/>
          </w:tcPr>
          <w:p w14:paraId="3C64303F"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1,656</w:t>
            </w:r>
          </w:p>
        </w:tc>
        <w:tc>
          <w:tcPr>
            <w:tcW w:w="1479" w:type="dxa"/>
            <w:shd w:val="clear" w:color="auto" w:fill="auto"/>
            <w:vAlign w:val="center"/>
          </w:tcPr>
          <w:p w14:paraId="6A9BB3FB"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2,270</w:t>
            </w:r>
          </w:p>
        </w:tc>
        <w:tc>
          <w:tcPr>
            <w:tcW w:w="2171" w:type="dxa"/>
            <w:shd w:val="clear" w:color="auto" w:fill="auto"/>
            <w:vAlign w:val="center"/>
          </w:tcPr>
          <w:p w14:paraId="72548EE1"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660,577</w:t>
            </w:r>
          </w:p>
        </w:tc>
      </w:tr>
      <w:tr w:rsidR="00627CA1" w:rsidRPr="00D9348B" w14:paraId="07EF9C82" w14:textId="77777777" w:rsidTr="00D83048">
        <w:tc>
          <w:tcPr>
            <w:tcW w:w="873" w:type="dxa"/>
            <w:shd w:val="clear" w:color="auto" w:fill="auto"/>
          </w:tcPr>
          <w:p w14:paraId="0B92FF10" w14:textId="77777777" w:rsidR="00627CA1" w:rsidRPr="00D9348B" w:rsidRDefault="00627CA1" w:rsidP="00DB330E">
            <w:pPr>
              <w:pStyle w:val="TableText"/>
              <w:spacing w:before="40" w:after="40"/>
              <w:rPr>
                <w:rFonts w:cs="Calibri"/>
                <w:szCs w:val="16"/>
              </w:rPr>
            </w:pPr>
            <w:r w:rsidRPr="00D9348B">
              <w:rPr>
                <w:rFonts w:cs="Calibri"/>
                <w:szCs w:val="16"/>
              </w:rPr>
              <w:t>2012</w:t>
            </w:r>
          </w:p>
        </w:tc>
        <w:tc>
          <w:tcPr>
            <w:tcW w:w="2503" w:type="dxa"/>
            <w:shd w:val="clear" w:color="auto" w:fill="auto"/>
            <w:vAlign w:val="center"/>
          </w:tcPr>
          <w:p w14:paraId="214FBF36"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16,411</w:t>
            </w:r>
          </w:p>
        </w:tc>
        <w:tc>
          <w:tcPr>
            <w:tcW w:w="1479" w:type="dxa"/>
            <w:shd w:val="clear" w:color="auto" w:fill="auto"/>
            <w:vAlign w:val="center"/>
          </w:tcPr>
          <w:p w14:paraId="0B674F84"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1,844</w:t>
            </w:r>
          </w:p>
        </w:tc>
        <w:tc>
          <w:tcPr>
            <w:tcW w:w="1479" w:type="dxa"/>
            <w:shd w:val="clear" w:color="auto" w:fill="auto"/>
            <w:vAlign w:val="center"/>
          </w:tcPr>
          <w:p w14:paraId="156226B7"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1,353</w:t>
            </w:r>
          </w:p>
        </w:tc>
        <w:tc>
          <w:tcPr>
            <w:tcW w:w="2171" w:type="dxa"/>
            <w:shd w:val="clear" w:color="auto" w:fill="auto"/>
            <w:vAlign w:val="center"/>
          </w:tcPr>
          <w:p w14:paraId="7173F0F3"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675,635</w:t>
            </w:r>
          </w:p>
        </w:tc>
      </w:tr>
      <w:tr w:rsidR="00627CA1" w:rsidRPr="00D9348B" w14:paraId="71A0D83D" w14:textId="77777777" w:rsidTr="00D83048">
        <w:tc>
          <w:tcPr>
            <w:tcW w:w="873" w:type="dxa"/>
            <w:shd w:val="clear" w:color="auto" w:fill="auto"/>
          </w:tcPr>
          <w:p w14:paraId="0E53CF04" w14:textId="77777777" w:rsidR="00627CA1" w:rsidRPr="00D9348B" w:rsidRDefault="00627CA1" w:rsidP="00DB330E">
            <w:pPr>
              <w:pStyle w:val="TableText"/>
              <w:spacing w:before="40" w:after="40"/>
              <w:rPr>
                <w:rFonts w:cs="Calibri"/>
                <w:szCs w:val="16"/>
              </w:rPr>
            </w:pPr>
            <w:r w:rsidRPr="00D9348B">
              <w:rPr>
                <w:rFonts w:cs="Calibri"/>
                <w:szCs w:val="16"/>
              </w:rPr>
              <w:t>2013</w:t>
            </w:r>
          </w:p>
        </w:tc>
        <w:tc>
          <w:tcPr>
            <w:tcW w:w="2503" w:type="dxa"/>
            <w:shd w:val="clear" w:color="auto" w:fill="auto"/>
            <w:vAlign w:val="center"/>
          </w:tcPr>
          <w:p w14:paraId="4039913D"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4,530</w:t>
            </w:r>
          </w:p>
        </w:tc>
        <w:tc>
          <w:tcPr>
            <w:tcW w:w="1479" w:type="dxa"/>
            <w:shd w:val="clear" w:color="auto" w:fill="auto"/>
            <w:vAlign w:val="center"/>
          </w:tcPr>
          <w:p w14:paraId="7B85A141"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3,577</w:t>
            </w:r>
          </w:p>
        </w:tc>
        <w:tc>
          <w:tcPr>
            <w:tcW w:w="1479" w:type="dxa"/>
            <w:shd w:val="clear" w:color="auto" w:fill="auto"/>
            <w:vAlign w:val="center"/>
          </w:tcPr>
          <w:p w14:paraId="5088417C"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2,936</w:t>
            </w:r>
          </w:p>
        </w:tc>
        <w:tc>
          <w:tcPr>
            <w:tcW w:w="2171" w:type="dxa"/>
            <w:shd w:val="clear" w:color="auto" w:fill="auto"/>
            <w:vAlign w:val="center"/>
          </w:tcPr>
          <w:p w14:paraId="16450A17"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677,229</w:t>
            </w:r>
          </w:p>
        </w:tc>
      </w:tr>
      <w:tr w:rsidR="00627CA1" w:rsidRPr="00D9348B" w14:paraId="45EDD53E" w14:textId="77777777" w:rsidTr="00D83048">
        <w:tc>
          <w:tcPr>
            <w:tcW w:w="873" w:type="dxa"/>
            <w:shd w:val="clear" w:color="auto" w:fill="auto"/>
          </w:tcPr>
          <w:p w14:paraId="42948BBB" w14:textId="77777777" w:rsidR="00627CA1" w:rsidRPr="00D9348B" w:rsidRDefault="00627CA1" w:rsidP="00DB330E">
            <w:pPr>
              <w:pStyle w:val="TableText"/>
              <w:spacing w:before="40" w:after="40"/>
              <w:rPr>
                <w:rFonts w:cs="Calibri"/>
                <w:szCs w:val="16"/>
              </w:rPr>
            </w:pPr>
            <w:r w:rsidRPr="00D9348B">
              <w:rPr>
                <w:rFonts w:cs="Calibri"/>
                <w:szCs w:val="16"/>
              </w:rPr>
              <w:t>2014</w:t>
            </w:r>
          </w:p>
        </w:tc>
        <w:tc>
          <w:tcPr>
            <w:tcW w:w="2503" w:type="dxa"/>
            <w:shd w:val="clear" w:color="auto" w:fill="auto"/>
            <w:vAlign w:val="center"/>
          </w:tcPr>
          <w:p w14:paraId="57C14A3E"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3,447</w:t>
            </w:r>
          </w:p>
        </w:tc>
        <w:tc>
          <w:tcPr>
            <w:tcW w:w="1479" w:type="dxa"/>
            <w:shd w:val="clear" w:color="auto" w:fill="auto"/>
            <w:vAlign w:val="center"/>
          </w:tcPr>
          <w:p w14:paraId="2D4A070A"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4,132</w:t>
            </w:r>
          </w:p>
        </w:tc>
        <w:tc>
          <w:tcPr>
            <w:tcW w:w="1479" w:type="dxa"/>
            <w:shd w:val="clear" w:color="auto" w:fill="auto"/>
            <w:vAlign w:val="center"/>
          </w:tcPr>
          <w:p w14:paraId="0BFCCE4C"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1,549</w:t>
            </w:r>
          </w:p>
        </w:tc>
        <w:tc>
          <w:tcPr>
            <w:tcW w:w="2171" w:type="dxa"/>
            <w:shd w:val="clear" w:color="auto" w:fill="auto"/>
            <w:vAlign w:val="center"/>
          </w:tcPr>
          <w:p w14:paraId="7C82EDE8"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679,128</w:t>
            </w:r>
          </w:p>
        </w:tc>
      </w:tr>
      <w:tr w:rsidR="00627CA1" w:rsidRPr="00D9348B" w14:paraId="0AEA1B46" w14:textId="77777777" w:rsidTr="00D83048">
        <w:tc>
          <w:tcPr>
            <w:tcW w:w="873" w:type="dxa"/>
            <w:shd w:val="clear" w:color="auto" w:fill="auto"/>
          </w:tcPr>
          <w:p w14:paraId="501A7E05" w14:textId="77777777" w:rsidR="00627CA1" w:rsidRPr="00D9348B" w:rsidRDefault="00627CA1" w:rsidP="00DB330E">
            <w:pPr>
              <w:pStyle w:val="Tableboldblue"/>
              <w:spacing w:before="40" w:after="40"/>
              <w:rPr>
                <w:rFonts w:cs="Calibri"/>
                <w:bCs/>
                <w:szCs w:val="16"/>
              </w:rPr>
            </w:pPr>
            <w:r w:rsidRPr="00D9348B">
              <w:rPr>
                <w:rFonts w:cs="Calibri"/>
                <w:b w:val="0"/>
                <w:color w:val="auto"/>
                <w:szCs w:val="16"/>
              </w:rPr>
              <w:t>2015</w:t>
            </w:r>
            <w:r w:rsidRPr="00D9348B">
              <w:rPr>
                <w:rFonts w:cs="Calibri"/>
                <w:szCs w:val="16"/>
                <w:vertAlign w:val="superscript"/>
              </w:rPr>
              <w:t xml:space="preserve"> </w:t>
            </w:r>
          </w:p>
        </w:tc>
        <w:tc>
          <w:tcPr>
            <w:tcW w:w="2503" w:type="dxa"/>
            <w:shd w:val="clear" w:color="auto" w:fill="auto"/>
            <w:vAlign w:val="center"/>
          </w:tcPr>
          <w:p w14:paraId="23615F22"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3,502</w:t>
            </w:r>
          </w:p>
        </w:tc>
        <w:tc>
          <w:tcPr>
            <w:tcW w:w="1479" w:type="dxa"/>
            <w:shd w:val="clear" w:color="auto" w:fill="auto"/>
            <w:vAlign w:val="center"/>
          </w:tcPr>
          <w:p w14:paraId="698B629B" w14:textId="77777777" w:rsidR="00627CA1" w:rsidRPr="00D9348B" w:rsidRDefault="00627CA1" w:rsidP="00E2658A">
            <w:pPr>
              <w:pStyle w:val="Tableboldblue"/>
              <w:spacing w:before="40" w:after="40"/>
              <w:jc w:val="right"/>
              <w:rPr>
                <w:rFonts w:cs="Calibri"/>
                <w:b w:val="0"/>
                <w:color w:val="auto"/>
                <w:szCs w:val="16"/>
              </w:rPr>
            </w:pPr>
            <w:r w:rsidRPr="00D9348B">
              <w:rPr>
                <w:rFonts w:cs="Calibri"/>
                <w:b w:val="0"/>
                <w:color w:val="000000"/>
                <w:szCs w:val="16"/>
              </w:rPr>
              <w:t>4,855</w:t>
            </w:r>
          </w:p>
        </w:tc>
        <w:tc>
          <w:tcPr>
            <w:tcW w:w="1479" w:type="dxa"/>
            <w:shd w:val="clear" w:color="auto" w:fill="auto"/>
            <w:vAlign w:val="center"/>
          </w:tcPr>
          <w:p w14:paraId="2352CA8C" w14:textId="77777777" w:rsidR="00627CA1" w:rsidRPr="00D9348B" w:rsidRDefault="00627CA1" w:rsidP="00E2658A">
            <w:pPr>
              <w:pStyle w:val="Tableboldblue"/>
              <w:spacing w:before="40" w:after="40"/>
              <w:jc w:val="right"/>
              <w:rPr>
                <w:rFonts w:cs="Calibri"/>
                <w:b w:val="0"/>
                <w:color w:val="auto"/>
                <w:szCs w:val="16"/>
              </w:rPr>
            </w:pPr>
            <w:r w:rsidRPr="00D9348B">
              <w:rPr>
                <w:rFonts w:cs="Calibri"/>
                <w:b w:val="0"/>
                <w:color w:val="000000"/>
                <w:szCs w:val="16"/>
              </w:rPr>
              <w:t>1,667</w:t>
            </w:r>
          </w:p>
        </w:tc>
        <w:tc>
          <w:tcPr>
            <w:tcW w:w="2171" w:type="dxa"/>
            <w:shd w:val="clear" w:color="auto" w:fill="auto"/>
            <w:vAlign w:val="center"/>
          </w:tcPr>
          <w:p w14:paraId="3A312876" w14:textId="77777777" w:rsidR="00627CA1" w:rsidRPr="00D9348B" w:rsidRDefault="00627CA1" w:rsidP="00E2658A">
            <w:pPr>
              <w:pStyle w:val="Tableboldblue"/>
              <w:spacing w:before="40" w:after="40"/>
              <w:jc w:val="right"/>
              <w:rPr>
                <w:rFonts w:cs="Calibri"/>
                <w:b w:val="0"/>
                <w:color w:val="auto"/>
                <w:szCs w:val="16"/>
              </w:rPr>
            </w:pPr>
            <w:r w:rsidRPr="00D9348B">
              <w:rPr>
                <w:rFonts w:cs="Calibri"/>
                <w:b w:val="0"/>
                <w:color w:val="000000"/>
                <w:szCs w:val="16"/>
              </w:rPr>
              <w:t>680,963</w:t>
            </w:r>
          </w:p>
        </w:tc>
      </w:tr>
      <w:tr w:rsidR="00627CA1" w:rsidRPr="00D9348B" w14:paraId="0D01D977" w14:textId="77777777" w:rsidTr="00D83048">
        <w:tc>
          <w:tcPr>
            <w:tcW w:w="873" w:type="dxa"/>
            <w:shd w:val="clear" w:color="auto" w:fill="auto"/>
          </w:tcPr>
          <w:p w14:paraId="52250F31" w14:textId="77777777" w:rsidR="00627CA1" w:rsidRPr="00D9348B" w:rsidRDefault="00627CA1" w:rsidP="00DB330E">
            <w:pPr>
              <w:pStyle w:val="Tableboldblue"/>
              <w:spacing w:before="40" w:after="40"/>
              <w:rPr>
                <w:rFonts w:cs="Calibri"/>
                <w:b w:val="0"/>
                <w:bCs/>
                <w:color w:val="auto"/>
                <w:szCs w:val="16"/>
              </w:rPr>
            </w:pPr>
            <w:r w:rsidRPr="00D9348B">
              <w:rPr>
                <w:rFonts w:cs="Calibri"/>
                <w:b w:val="0"/>
                <w:bCs/>
                <w:color w:val="auto"/>
                <w:szCs w:val="16"/>
              </w:rPr>
              <w:t>2016</w:t>
            </w:r>
          </w:p>
        </w:tc>
        <w:tc>
          <w:tcPr>
            <w:tcW w:w="2503" w:type="dxa"/>
            <w:shd w:val="clear" w:color="auto" w:fill="auto"/>
            <w:vAlign w:val="center"/>
          </w:tcPr>
          <w:p w14:paraId="72C49E91"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4,281</w:t>
            </w:r>
          </w:p>
        </w:tc>
        <w:tc>
          <w:tcPr>
            <w:tcW w:w="1479" w:type="dxa"/>
            <w:shd w:val="clear" w:color="auto" w:fill="auto"/>
            <w:vAlign w:val="center"/>
          </w:tcPr>
          <w:p w14:paraId="7C0423B9"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7,565</w:t>
            </w:r>
          </w:p>
        </w:tc>
        <w:tc>
          <w:tcPr>
            <w:tcW w:w="1479" w:type="dxa"/>
            <w:shd w:val="clear" w:color="auto" w:fill="auto"/>
            <w:vAlign w:val="center"/>
          </w:tcPr>
          <w:p w14:paraId="45DB6492"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1,322</w:t>
            </w:r>
          </w:p>
        </w:tc>
        <w:tc>
          <w:tcPr>
            <w:tcW w:w="2171" w:type="dxa"/>
            <w:shd w:val="clear" w:color="auto" w:fill="auto"/>
            <w:vAlign w:val="center"/>
          </w:tcPr>
          <w:p w14:paraId="0CAE1254"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683,921</w:t>
            </w:r>
          </w:p>
        </w:tc>
      </w:tr>
      <w:tr w:rsidR="00627CA1" w:rsidRPr="00D9348B" w14:paraId="7F665136" w14:textId="77777777" w:rsidTr="00D83048">
        <w:tc>
          <w:tcPr>
            <w:tcW w:w="873" w:type="dxa"/>
            <w:shd w:val="clear" w:color="auto" w:fill="auto"/>
          </w:tcPr>
          <w:p w14:paraId="1B005F82" w14:textId="77777777" w:rsidR="00627CA1" w:rsidRPr="00D9348B" w:rsidRDefault="00627CA1" w:rsidP="00DB330E">
            <w:pPr>
              <w:pStyle w:val="Tableboldblue"/>
              <w:spacing w:before="40" w:after="40"/>
              <w:rPr>
                <w:rFonts w:cs="Calibri"/>
                <w:b w:val="0"/>
                <w:bCs/>
                <w:color w:val="auto"/>
                <w:szCs w:val="16"/>
              </w:rPr>
            </w:pPr>
            <w:r w:rsidRPr="00D9348B">
              <w:rPr>
                <w:rFonts w:cs="Calibri"/>
                <w:b w:val="0"/>
                <w:bCs/>
                <w:color w:val="auto"/>
                <w:szCs w:val="16"/>
              </w:rPr>
              <w:t>2017</w:t>
            </w:r>
            <w:r w:rsidRPr="00D9348B">
              <w:rPr>
                <w:rFonts w:cs="Calibri"/>
                <w:b w:val="0"/>
                <w:color w:val="auto"/>
                <w:szCs w:val="16"/>
                <w:vertAlign w:val="superscript"/>
              </w:rPr>
              <w:t xml:space="preserve"> P</w:t>
            </w:r>
          </w:p>
        </w:tc>
        <w:tc>
          <w:tcPr>
            <w:tcW w:w="2503" w:type="dxa"/>
            <w:shd w:val="clear" w:color="auto" w:fill="auto"/>
            <w:vAlign w:val="center"/>
          </w:tcPr>
          <w:p w14:paraId="785CB752"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6,461</w:t>
            </w:r>
          </w:p>
        </w:tc>
        <w:tc>
          <w:tcPr>
            <w:tcW w:w="1479" w:type="dxa"/>
            <w:shd w:val="clear" w:color="auto" w:fill="auto"/>
            <w:vAlign w:val="center"/>
          </w:tcPr>
          <w:p w14:paraId="17F1AE5E"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8,210</w:t>
            </w:r>
          </w:p>
        </w:tc>
        <w:tc>
          <w:tcPr>
            <w:tcW w:w="1479" w:type="dxa"/>
            <w:shd w:val="clear" w:color="auto" w:fill="auto"/>
            <w:vAlign w:val="center"/>
          </w:tcPr>
          <w:p w14:paraId="2DBAFD14"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635</w:t>
            </w:r>
          </w:p>
        </w:tc>
        <w:tc>
          <w:tcPr>
            <w:tcW w:w="2171" w:type="dxa"/>
            <w:shd w:val="clear" w:color="auto" w:fill="auto"/>
            <w:vAlign w:val="center"/>
          </w:tcPr>
          <w:p w14:paraId="798BB331"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689,747</w:t>
            </w:r>
          </w:p>
        </w:tc>
      </w:tr>
      <w:tr w:rsidR="00627CA1" w:rsidRPr="00D9348B" w14:paraId="49A51D33" w14:textId="77777777" w:rsidTr="00D83048">
        <w:tc>
          <w:tcPr>
            <w:tcW w:w="873" w:type="dxa"/>
            <w:shd w:val="clear" w:color="auto" w:fill="auto"/>
          </w:tcPr>
          <w:p w14:paraId="134692E9" w14:textId="77777777" w:rsidR="00627CA1" w:rsidRPr="00D9348B" w:rsidRDefault="00627CA1" w:rsidP="00DB330E">
            <w:pPr>
              <w:pStyle w:val="Tableboldblue"/>
              <w:spacing w:before="40" w:after="40"/>
              <w:rPr>
                <w:rFonts w:cs="Calibri"/>
                <w:b w:val="0"/>
                <w:bCs/>
                <w:color w:val="auto"/>
                <w:szCs w:val="16"/>
              </w:rPr>
            </w:pPr>
            <w:r w:rsidRPr="00D9348B">
              <w:rPr>
                <w:rFonts w:cs="Calibri"/>
                <w:b w:val="0"/>
                <w:bCs/>
                <w:color w:val="auto"/>
                <w:szCs w:val="16"/>
              </w:rPr>
              <w:t>2018</w:t>
            </w:r>
            <w:r w:rsidRPr="00D9348B">
              <w:rPr>
                <w:rFonts w:cs="Calibri"/>
                <w:b w:val="0"/>
                <w:bCs/>
                <w:color w:val="auto"/>
                <w:szCs w:val="16"/>
                <w:vertAlign w:val="superscript"/>
              </w:rPr>
              <w:t>P</w:t>
            </w:r>
          </w:p>
        </w:tc>
        <w:tc>
          <w:tcPr>
            <w:tcW w:w="2503" w:type="dxa"/>
            <w:shd w:val="clear" w:color="auto" w:fill="auto"/>
            <w:vAlign w:val="center"/>
          </w:tcPr>
          <w:p w14:paraId="157EA5BA"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9,443</w:t>
            </w:r>
          </w:p>
        </w:tc>
        <w:tc>
          <w:tcPr>
            <w:tcW w:w="1479" w:type="dxa"/>
            <w:shd w:val="clear" w:color="auto" w:fill="auto"/>
            <w:vAlign w:val="center"/>
          </w:tcPr>
          <w:p w14:paraId="36A88313"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9,477</w:t>
            </w:r>
          </w:p>
        </w:tc>
        <w:tc>
          <w:tcPr>
            <w:tcW w:w="1479" w:type="dxa"/>
            <w:shd w:val="clear" w:color="auto" w:fill="auto"/>
            <w:vAlign w:val="center"/>
          </w:tcPr>
          <w:p w14:paraId="79B933B6"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692</w:t>
            </w:r>
          </w:p>
        </w:tc>
        <w:tc>
          <w:tcPr>
            <w:tcW w:w="2171" w:type="dxa"/>
            <w:shd w:val="clear" w:color="auto" w:fill="auto"/>
            <w:vAlign w:val="center"/>
          </w:tcPr>
          <w:p w14:paraId="5101B5B7" w14:textId="77777777" w:rsidR="00627CA1" w:rsidRPr="00D9348B" w:rsidRDefault="00627CA1" w:rsidP="00E2658A">
            <w:pPr>
              <w:pStyle w:val="TableText"/>
              <w:spacing w:before="40" w:after="40"/>
              <w:jc w:val="right"/>
              <w:rPr>
                <w:rFonts w:cs="Calibri"/>
                <w:szCs w:val="16"/>
              </w:rPr>
            </w:pPr>
            <w:r w:rsidRPr="00D9348B">
              <w:rPr>
                <w:rFonts w:cs="Calibri"/>
                <w:color w:val="000000"/>
                <w:szCs w:val="16"/>
              </w:rPr>
              <w:t>698,497</w:t>
            </w:r>
          </w:p>
        </w:tc>
      </w:tr>
      <w:tr w:rsidR="00627CA1" w:rsidRPr="00D9348B" w14:paraId="7C288C80" w14:textId="77777777" w:rsidTr="00D83048">
        <w:tc>
          <w:tcPr>
            <w:tcW w:w="873" w:type="dxa"/>
            <w:shd w:val="clear" w:color="auto" w:fill="auto"/>
          </w:tcPr>
          <w:p w14:paraId="5E5E00B2" w14:textId="77777777" w:rsidR="00627CA1" w:rsidRPr="00D9348B" w:rsidRDefault="00627CA1" w:rsidP="00DB330E">
            <w:pPr>
              <w:pStyle w:val="Tableboldblue"/>
              <w:spacing w:before="40" w:after="40"/>
              <w:rPr>
                <w:rFonts w:cs="Calibri"/>
                <w:bCs/>
                <w:szCs w:val="16"/>
              </w:rPr>
            </w:pPr>
            <w:r w:rsidRPr="00D9348B">
              <w:rPr>
                <w:rFonts w:cs="Calibri"/>
                <w:bCs/>
                <w:szCs w:val="16"/>
              </w:rPr>
              <w:t>Total</w:t>
            </w:r>
          </w:p>
        </w:tc>
        <w:tc>
          <w:tcPr>
            <w:tcW w:w="2503" w:type="dxa"/>
            <w:shd w:val="clear" w:color="auto" w:fill="auto"/>
            <w:vAlign w:val="center"/>
          </w:tcPr>
          <w:p w14:paraId="574D9E54" w14:textId="77777777" w:rsidR="00627CA1" w:rsidRPr="00D9348B" w:rsidRDefault="00627CA1" w:rsidP="00D83048">
            <w:pPr>
              <w:pStyle w:val="Tableboldblue"/>
              <w:spacing w:before="40" w:after="40"/>
              <w:jc w:val="right"/>
            </w:pPr>
            <w:r w:rsidRPr="00D9348B">
              <w:t>729,769</w:t>
            </w:r>
          </w:p>
        </w:tc>
        <w:tc>
          <w:tcPr>
            <w:tcW w:w="1479" w:type="dxa"/>
            <w:shd w:val="clear" w:color="auto" w:fill="auto"/>
            <w:vAlign w:val="center"/>
          </w:tcPr>
          <w:p w14:paraId="57BFEB69" w14:textId="77777777" w:rsidR="00627CA1" w:rsidRPr="00D9348B" w:rsidRDefault="00627CA1" w:rsidP="00D83048">
            <w:pPr>
              <w:pStyle w:val="Tableboldblue"/>
              <w:spacing w:before="40" w:after="40"/>
              <w:jc w:val="right"/>
            </w:pPr>
            <w:r w:rsidRPr="00D9348B">
              <w:t>46,057</w:t>
            </w:r>
          </w:p>
        </w:tc>
        <w:tc>
          <w:tcPr>
            <w:tcW w:w="1479" w:type="dxa"/>
            <w:shd w:val="clear" w:color="auto" w:fill="auto"/>
            <w:vAlign w:val="center"/>
          </w:tcPr>
          <w:p w14:paraId="78B6EE63" w14:textId="77777777" w:rsidR="00627CA1" w:rsidRPr="00D9348B" w:rsidRDefault="00627CA1" w:rsidP="00D83048">
            <w:pPr>
              <w:pStyle w:val="Tableboldblue"/>
              <w:spacing w:before="40" w:after="40"/>
              <w:jc w:val="right"/>
            </w:pPr>
            <w:r w:rsidRPr="00D9348B">
              <w:t>31,272</w:t>
            </w:r>
          </w:p>
        </w:tc>
        <w:tc>
          <w:tcPr>
            <w:tcW w:w="2171" w:type="dxa"/>
            <w:shd w:val="clear" w:color="auto" w:fill="auto"/>
            <w:vAlign w:val="center"/>
          </w:tcPr>
          <w:p w14:paraId="1CE4449A" w14:textId="77777777" w:rsidR="00627CA1" w:rsidRPr="00D9348B" w:rsidRDefault="00627CA1" w:rsidP="00D83048">
            <w:pPr>
              <w:pStyle w:val="Tableboldblue"/>
              <w:spacing w:before="40" w:after="40"/>
              <w:jc w:val="right"/>
            </w:pPr>
            <w:r w:rsidRPr="00D9348B">
              <w:t>698,497</w:t>
            </w:r>
          </w:p>
        </w:tc>
      </w:tr>
    </w:tbl>
    <w:p w14:paraId="3AA3126C" w14:textId="77777777" w:rsidR="00627CA1" w:rsidRPr="00D9348B" w:rsidRDefault="00627CA1" w:rsidP="00627CA1">
      <w:pPr>
        <w:pStyle w:val="Noteundertable"/>
      </w:pPr>
      <w:r w:rsidRPr="00D9348B">
        <w:rPr>
          <w:b/>
        </w:rPr>
        <w:t>Note</w:t>
      </w:r>
      <w:r w:rsidRPr="00D9348B">
        <w:t xml:space="preserve">: </w:t>
      </w:r>
      <w:r w:rsidRPr="00D9348B">
        <w:tab/>
        <w:t>P = provisional figure;</w:t>
      </w:r>
      <w:r w:rsidRPr="00D9348B" w:rsidDel="0054499F">
        <w:t xml:space="preserve"> </w:t>
      </w:r>
      <w:r w:rsidRPr="00D9348B">
        <w:rPr>
          <w:vertAlign w:val="superscript"/>
        </w:rPr>
        <w:t>+</w:t>
      </w:r>
      <w:r w:rsidRPr="00D9348B">
        <w:t xml:space="preserve"> = gross area. Columns may not total due to rounding. Afforestation differs from that in chapter 6 due to carbon equivalent forests being reported separately.</w:t>
      </w:r>
    </w:p>
    <w:p w14:paraId="1D067FE5" w14:textId="14AEC409" w:rsidR="00627CA1" w:rsidRPr="00D9348B" w:rsidRDefault="00627CA1" w:rsidP="00627CA1">
      <w:pPr>
        <w:pStyle w:val="BodyText"/>
        <w:rPr>
          <w:spacing w:val="-2"/>
        </w:rPr>
      </w:pPr>
      <w:r w:rsidRPr="00D9348B">
        <w:rPr>
          <w:spacing w:val="-2"/>
        </w:rPr>
        <w:t xml:space="preserve">Post-1989 forests include a relatively small component of natural forest. Table 11.3.2 provides synthesised information on the correspondence between forest land categories (i.e., the area of planted forest versus natural forest as presented in common reporting format (CRF) table 4.A) and the area of </w:t>
      </w:r>
      <w:r w:rsidRPr="00D9348B">
        <w:rPr>
          <w:i/>
          <w:spacing w:val="-2"/>
        </w:rPr>
        <w:t>Afforestation and reforestation</w:t>
      </w:r>
      <w:r w:rsidRPr="00D9348B">
        <w:rPr>
          <w:spacing w:val="-2"/>
        </w:rPr>
        <w:t xml:space="preserve"> reported in CRF table 4(KP-1)A.1. Furthermore, table 11.3.3 details why the area reported under </w:t>
      </w:r>
      <w:r w:rsidRPr="00D9348B">
        <w:rPr>
          <w:i/>
          <w:spacing w:val="-2"/>
        </w:rPr>
        <w:t>Forest managem</w:t>
      </w:r>
      <w:r w:rsidRPr="00D9348B">
        <w:rPr>
          <w:i/>
          <w:iCs/>
          <w:spacing w:val="-2"/>
        </w:rPr>
        <w:t>ent</w:t>
      </w:r>
      <w:r w:rsidRPr="00D9348B">
        <w:rPr>
          <w:spacing w:val="-2"/>
        </w:rPr>
        <w:t xml:space="preserve"> does not reconcile with the</w:t>
      </w:r>
      <w:r w:rsidR="00E2658A" w:rsidRPr="00D9348B">
        <w:rPr>
          <w:spacing w:val="-2"/>
        </w:rPr>
        <w:t> </w:t>
      </w:r>
      <w:r w:rsidRPr="00D9348B">
        <w:rPr>
          <w:spacing w:val="-2"/>
        </w:rPr>
        <w:t xml:space="preserve">area reported for </w:t>
      </w:r>
      <w:r w:rsidRPr="00D9348B">
        <w:rPr>
          <w:i/>
          <w:spacing w:val="-2"/>
        </w:rPr>
        <w:t>Forest land remaining</w:t>
      </w:r>
      <w:r w:rsidRPr="00D9348B">
        <w:rPr>
          <w:spacing w:val="-2"/>
        </w:rPr>
        <w:t xml:space="preserve"> </w:t>
      </w:r>
      <w:r w:rsidRPr="00D9348B">
        <w:rPr>
          <w:i/>
          <w:spacing w:val="-2"/>
        </w:rPr>
        <w:t>forest land</w:t>
      </w:r>
      <w:r w:rsidRPr="00D9348B">
        <w:rPr>
          <w:spacing w:val="-2"/>
        </w:rPr>
        <w:t xml:space="preserve"> under the convention, due to forests reported under land in transition and carbon equivalent forests (CEFs). These tables have been added to address expert review team recommendation KL.5 (FCCC/ARR/2017/NZL).</w:t>
      </w:r>
    </w:p>
    <w:p w14:paraId="1D6532AF" w14:textId="77777777" w:rsidR="00627CA1" w:rsidRPr="00D9348B" w:rsidRDefault="00627CA1" w:rsidP="00627CA1">
      <w:pPr>
        <w:pStyle w:val="Table"/>
      </w:pPr>
      <w:bookmarkStart w:id="3263" w:name="_Toc5269629"/>
      <w:bookmarkStart w:id="3264" w:name="_Toc36224711"/>
      <w:r w:rsidRPr="00D9348B">
        <w:t>Table 11.3.2</w:t>
      </w:r>
      <w:r w:rsidRPr="00D9348B">
        <w:tab/>
        <w:t>New Zealand’s estimated annual area under Afforestation and reforestation</w:t>
      </w:r>
      <w:r w:rsidRPr="00D9348B">
        <w:rPr>
          <w:vertAlign w:val="subscript"/>
        </w:rPr>
        <w:t xml:space="preserve"> </w:t>
      </w:r>
      <w:r w:rsidRPr="00D9348B">
        <w:t>from 2013 to 2018</w:t>
      </w:r>
      <w:bookmarkEnd w:id="3263"/>
      <w:bookmarkEnd w:id="3264"/>
    </w:p>
    <w:tbl>
      <w:tblPr>
        <w:tblW w:w="8562" w:type="dxa"/>
        <w:tblInd w:w="108" w:type="dxa"/>
        <w:tblBorders>
          <w:top w:val="single" w:sz="4" w:space="0" w:color="365F91"/>
          <w:bottom w:val="single" w:sz="4" w:space="0" w:color="365F91"/>
          <w:insideH w:val="single" w:sz="4" w:space="0" w:color="365F91"/>
          <w:insideV w:val="single" w:sz="4" w:space="0" w:color="365F91"/>
        </w:tblBorders>
        <w:tblLook w:val="04A0" w:firstRow="1" w:lastRow="0" w:firstColumn="1" w:lastColumn="0" w:noHBand="0" w:noVBand="1"/>
      </w:tblPr>
      <w:tblGrid>
        <w:gridCol w:w="1261"/>
        <w:gridCol w:w="2127"/>
        <w:gridCol w:w="2127"/>
        <w:gridCol w:w="3047"/>
      </w:tblGrid>
      <w:tr w:rsidR="00D83048" w:rsidRPr="00D9348B" w14:paraId="5A8DBF10" w14:textId="77777777" w:rsidTr="00D83048">
        <w:tc>
          <w:tcPr>
            <w:tcW w:w="8562" w:type="dxa"/>
            <w:gridSpan w:val="4"/>
            <w:shd w:val="clear" w:color="000000" w:fill="365F91"/>
            <w:vAlign w:val="bottom"/>
            <w:hideMark/>
          </w:tcPr>
          <w:p w14:paraId="4E5629C8" w14:textId="77777777" w:rsidR="00627CA1" w:rsidRPr="00D9348B" w:rsidRDefault="00627CA1" w:rsidP="00E2658A">
            <w:pPr>
              <w:pStyle w:val="TableTextBold"/>
              <w:spacing w:after="0"/>
              <w:jc w:val="center"/>
              <w:rPr>
                <w:noProof w:val="0"/>
                <w:color w:val="FFFFFF"/>
              </w:rPr>
            </w:pPr>
            <w:r w:rsidRPr="00D9348B">
              <w:rPr>
                <w:noProof w:val="0"/>
                <w:color w:val="FFFFFF"/>
              </w:rPr>
              <w:t>Cumulative area of Afforestation and reforestation of different forest types (hectares)</w:t>
            </w:r>
          </w:p>
        </w:tc>
      </w:tr>
      <w:tr w:rsidR="00627CA1" w:rsidRPr="00D9348B" w14:paraId="4CFD5F00" w14:textId="77777777" w:rsidTr="00D83048">
        <w:tc>
          <w:tcPr>
            <w:tcW w:w="1261" w:type="dxa"/>
            <w:shd w:val="clear" w:color="000000" w:fill="365F91"/>
            <w:hideMark/>
          </w:tcPr>
          <w:p w14:paraId="0AE7A7C0" w14:textId="77777777" w:rsidR="00627CA1" w:rsidRPr="00D9348B" w:rsidRDefault="00627CA1" w:rsidP="00DB330E">
            <w:pPr>
              <w:pStyle w:val="TableTextBold"/>
              <w:keepNext/>
              <w:spacing w:before="50" w:after="50"/>
              <w:rPr>
                <w:noProof w:val="0"/>
                <w:color w:val="FFFFFF"/>
              </w:rPr>
            </w:pPr>
            <w:r w:rsidRPr="00D9348B">
              <w:rPr>
                <w:noProof w:val="0"/>
                <w:color w:val="FFFFFF"/>
              </w:rPr>
              <w:t>Year</w:t>
            </w:r>
          </w:p>
        </w:tc>
        <w:tc>
          <w:tcPr>
            <w:tcW w:w="2127" w:type="dxa"/>
            <w:shd w:val="clear" w:color="000000" w:fill="365F91"/>
            <w:hideMark/>
          </w:tcPr>
          <w:p w14:paraId="741B298B" w14:textId="77777777" w:rsidR="00627CA1" w:rsidRPr="00D9348B" w:rsidRDefault="00627CA1" w:rsidP="00DB330E">
            <w:pPr>
              <w:pStyle w:val="TableTextBold"/>
              <w:keepNext/>
              <w:spacing w:before="50" w:after="50"/>
              <w:jc w:val="center"/>
              <w:rPr>
                <w:noProof w:val="0"/>
                <w:color w:val="FFFFFF"/>
              </w:rPr>
            </w:pPr>
            <w:r w:rsidRPr="00D9348B">
              <w:rPr>
                <w:noProof w:val="0"/>
                <w:color w:val="FFFFFF"/>
              </w:rPr>
              <w:t>Planted forest</w:t>
            </w:r>
          </w:p>
        </w:tc>
        <w:tc>
          <w:tcPr>
            <w:tcW w:w="2127" w:type="dxa"/>
            <w:shd w:val="clear" w:color="000000" w:fill="365F91"/>
            <w:hideMark/>
          </w:tcPr>
          <w:p w14:paraId="5115AD8F" w14:textId="77777777" w:rsidR="00627CA1" w:rsidRPr="00D9348B" w:rsidRDefault="00627CA1" w:rsidP="00DB330E">
            <w:pPr>
              <w:pStyle w:val="TableTextBold"/>
              <w:keepNext/>
              <w:spacing w:before="50" w:after="50"/>
              <w:jc w:val="center"/>
              <w:rPr>
                <w:noProof w:val="0"/>
                <w:color w:val="FFFFFF"/>
              </w:rPr>
            </w:pPr>
            <w:r w:rsidRPr="00D9348B">
              <w:rPr>
                <w:noProof w:val="0"/>
                <w:color w:val="FFFFFF"/>
              </w:rPr>
              <w:t>Natural forest</w:t>
            </w:r>
          </w:p>
        </w:tc>
        <w:tc>
          <w:tcPr>
            <w:tcW w:w="3047" w:type="dxa"/>
            <w:shd w:val="clear" w:color="000000" w:fill="365F91"/>
            <w:hideMark/>
          </w:tcPr>
          <w:p w14:paraId="47B02EBA" w14:textId="77777777" w:rsidR="00627CA1" w:rsidRPr="00D9348B" w:rsidRDefault="00627CA1" w:rsidP="00DB330E">
            <w:pPr>
              <w:pStyle w:val="TableTextBold"/>
              <w:keepNext/>
              <w:spacing w:before="50" w:after="50"/>
              <w:jc w:val="center"/>
              <w:rPr>
                <w:noProof w:val="0"/>
                <w:color w:val="FFFFFF"/>
              </w:rPr>
            </w:pPr>
            <w:r w:rsidRPr="00D9348B">
              <w:rPr>
                <w:noProof w:val="0"/>
                <w:color w:val="FFFFFF"/>
              </w:rPr>
              <w:t>Net cumulative area</w:t>
            </w:r>
          </w:p>
        </w:tc>
      </w:tr>
      <w:tr w:rsidR="00627CA1" w:rsidRPr="00D9348B" w14:paraId="34AFF8B4" w14:textId="77777777" w:rsidTr="00D83048">
        <w:tc>
          <w:tcPr>
            <w:tcW w:w="1261" w:type="dxa"/>
            <w:shd w:val="clear" w:color="auto" w:fill="auto"/>
            <w:vAlign w:val="center"/>
            <w:hideMark/>
          </w:tcPr>
          <w:p w14:paraId="2F325D24" w14:textId="77777777" w:rsidR="00627CA1" w:rsidRPr="00D9348B" w:rsidRDefault="00627CA1" w:rsidP="00DB330E">
            <w:pPr>
              <w:pStyle w:val="TableText"/>
              <w:spacing w:before="50" w:after="50"/>
            </w:pPr>
            <w:r w:rsidRPr="00D9348B">
              <w:rPr>
                <w:rFonts w:cs="Arial"/>
                <w:szCs w:val="16"/>
              </w:rPr>
              <w:t>2013</w:t>
            </w:r>
          </w:p>
        </w:tc>
        <w:tc>
          <w:tcPr>
            <w:tcW w:w="2127" w:type="dxa"/>
            <w:shd w:val="clear" w:color="auto" w:fill="auto"/>
            <w:vAlign w:val="center"/>
            <w:hideMark/>
          </w:tcPr>
          <w:p w14:paraId="3A2BF543" w14:textId="77777777" w:rsidR="00627CA1" w:rsidRPr="00D9348B" w:rsidRDefault="00627CA1" w:rsidP="00DB330E">
            <w:pPr>
              <w:pStyle w:val="TableText"/>
              <w:spacing w:before="50" w:after="50"/>
              <w:jc w:val="center"/>
            </w:pPr>
            <w:r w:rsidRPr="00D9348B">
              <w:rPr>
                <w:rFonts w:cs="Arial"/>
                <w:color w:val="000000"/>
                <w:szCs w:val="16"/>
              </w:rPr>
              <w:t>632,488</w:t>
            </w:r>
          </w:p>
        </w:tc>
        <w:tc>
          <w:tcPr>
            <w:tcW w:w="2127" w:type="dxa"/>
            <w:shd w:val="clear" w:color="auto" w:fill="auto"/>
            <w:vAlign w:val="center"/>
            <w:hideMark/>
          </w:tcPr>
          <w:p w14:paraId="436CD43F" w14:textId="77777777" w:rsidR="00627CA1" w:rsidRPr="00D9348B" w:rsidRDefault="00627CA1" w:rsidP="00DB330E">
            <w:pPr>
              <w:pStyle w:val="TableText"/>
              <w:spacing w:before="50" w:after="50"/>
              <w:jc w:val="center"/>
            </w:pPr>
            <w:r w:rsidRPr="00D9348B">
              <w:rPr>
                <w:rFonts w:cs="Arial"/>
                <w:color w:val="000000"/>
                <w:szCs w:val="16"/>
              </w:rPr>
              <w:t>44,741</w:t>
            </w:r>
          </w:p>
        </w:tc>
        <w:tc>
          <w:tcPr>
            <w:tcW w:w="3047" w:type="dxa"/>
            <w:shd w:val="clear" w:color="auto" w:fill="auto"/>
            <w:vAlign w:val="center"/>
            <w:hideMark/>
          </w:tcPr>
          <w:p w14:paraId="4117449C" w14:textId="77777777" w:rsidR="00627CA1" w:rsidRPr="00D9348B" w:rsidRDefault="00627CA1" w:rsidP="00DB330E">
            <w:pPr>
              <w:pStyle w:val="Tableboldblue"/>
              <w:spacing w:before="50" w:after="50"/>
              <w:ind w:right="284"/>
              <w:jc w:val="center"/>
            </w:pPr>
            <w:r w:rsidRPr="00D9348B">
              <w:rPr>
                <w:rFonts w:cs="Arial"/>
                <w:b w:val="0"/>
                <w:bCs/>
                <w:szCs w:val="16"/>
              </w:rPr>
              <w:t>677,229</w:t>
            </w:r>
          </w:p>
        </w:tc>
      </w:tr>
      <w:tr w:rsidR="00627CA1" w:rsidRPr="00D9348B" w14:paraId="2DC1838F" w14:textId="77777777" w:rsidTr="00D83048">
        <w:tc>
          <w:tcPr>
            <w:tcW w:w="1261" w:type="dxa"/>
            <w:shd w:val="clear" w:color="auto" w:fill="auto"/>
            <w:vAlign w:val="center"/>
            <w:hideMark/>
          </w:tcPr>
          <w:p w14:paraId="5DE4D7AC" w14:textId="77777777" w:rsidR="00627CA1" w:rsidRPr="00D9348B" w:rsidRDefault="00627CA1" w:rsidP="00DB330E">
            <w:pPr>
              <w:pStyle w:val="TableText"/>
              <w:spacing w:before="50" w:after="50"/>
            </w:pPr>
            <w:r w:rsidRPr="00D9348B">
              <w:rPr>
                <w:rFonts w:cs="Arial"/>
                <w:szCs w:val="16"/>
              </w:rPr>
              <w:t>2014</w:t>
            </w:r>
          </w:p>
        </w:tc>
        <w:tc>
          <w:tcPr>
            <w:tcW w:w="2127" w:type="dxa"/>
            <w:shd w:val="clear" w:color="auto" w:fill="auto"/>
            <w:vAlign w:val="center"/>
            <w:hideMark/>
          </w:tcPr>
          <w:p w14:paraId="2F32C9DC" w14:textId="77777777" w:rsidR="00627CA1" w:rsidRPr="00D9348B" w:rsidRDefault="00627CA1" w:rsidP="00DB330E">
            <w:pPr>
              <w:pStyle w:val="TableText"/>
              <w:spacing w:before="50" w:after="50"/>
              <w:jc w:val="center"/>
            </w:pPr>
            <w:r w:rsidRPr="00D9348B">
              <w:rPr>
                <w:rFonts w:cs="Arial"/>
                <w:color w:val="000000"/>
                <w:szCs w:val="16"/>
              </w:rPr>
              <w:t>634,266</w:t>
            </w:r>
          </w:p>
        </w:tc>
        <w:tc>
          <w:tcPr>
            <w:tcW w:w="2127" w:type="dxa"/>
            <w:shd w:val="clear" w:color="auto" w:fill="auto"/>
            <w:vAlign w:val="center"/>
            <w:hideMark/>
          </w:tcPr>
          <w:p w14:paraId="4A76D7BC" w14:textId="77777777" w:rsidR="00627CA1" w:rsidRPr="00D9348B" w:rsidRDefault="00627CA1" w:rsidP="00DB330E">
            <w:pPr>
              <w:pStyle w:val="TableText"/>
              <w:spacing w:before="50" w:after="50"/>
              <w:jc w:val="center"/>
            </w:pPr>
            <w:r w:rsidRPr="00D9348B">
              <w:rPr>
                <w:rFonts w:cs="Arial"/>
                <w:color w:val="000000"/>
                <w:szCs w:val="16"/>
              </w:rPr>
              <w:t>44,862</w:t>
            </w:r>
          </w:p>
        </w:tc>
        <w:tc>
          <w:tcPr>
            <w:tcW w:w="3047" w:type="dxa"/>
            <w:shd w:val="clear" w:color="auto" w:fill="auto"/>
            <w:vAlign w:val="center"/>
            <w:hideMark/>
          </w:tcPr>
          <w:p w14:paraId="4C3F26D4" w14:textId="77777777" w:rsidR="00627CA1" w:rsidRPr="00D9348B" w:rsidRDefault="00627CA1" w:rsidP="00DB330E">
            <w:pPr>
              <w:pStyle w:val="Tableboldblue"/>
              <w:spacing w:before="50" w:after="50"/>
              <w:ind w:right="284"/>
              <w:jc w:val="center"/>
            </w:pPr>
            <w:r w:rsidRPr="00D9348B">
              <w:rPr>
                <w:rFonts w:cs="Arial"/>
                <w:b w:val="0"/>
                <w:bCs/>
                <w:szCs w:val="16"/>
              </w:rPr>
              <w:t>679,128</w:t>
            </w:r>
          </w:p>
        </w:tc>
      </w:tr>
      <w:tr w:rsidR="00627CA1" w:rsidRPr="00D9348B" w14:paraId="0E41C068" w14:textId="77777777" w:rsidTr="00D83048">
        <w:tc>
          <w:tcPr>
            <w:tcW w:w="1261" w:type="dxa"/>
            <w:shd w:val="clear" w:color="auto" w:fill="auto"/>
            <w:vAlign w:val="center"/>
            <w:hideMark/>
          </w:tcPr>
          <w:p w14:paraId="73E0D80B" w14:textId="77777777" w:rsidR="00627CA1" w:rsidRPr="00D9348B" w:rsidRDefault="00627CA1" w:rsidP="00DB330E">
            <w:pPr>
              <w:pStyle w:val="TableText"/>
              <w:spacing w:before="50" w:after="50"/>
            </w:pPr>
            <w:r w:rsidRPr="00D9348B">
              <w:rPr>
                <w:rFonts w:cs="Arial"/>
                <w:szCs w:val="16"/>
              </w:rPr>
              <w:t>2015</w:t>
            </w:r>
          </w:p>
        </w:tc>
        <w:tc>
          <w:tcPr>
            <w:tcW w:w="2127" w:type="dxa"/>
            <w:shd w:val="clear" w:color="auto" w:fill="auto"/>
            <w:vAlign w:val="center"/>
            <w:hideMark/>
          </w:tcPr>
          <w:p w14:paraId="13CD08B2" w14:textId="77777777" w:rsidR="00627CA1" w:rsidRPr="00D9348B" w:rsidRDefault="00627CA1" w:rsidP="00DB330E">
            <w:pPr>
              <w:pStyle w:val="TableText"/>
              <w:spacing w:before="50" w:after="50"/>
              <w:jc w:val="center"/>
            </w:pPr>
            <w:r w:rsidRPr="00D9348B">
              <w:rPr>
                <w:rFonts w:cs="Arial"/>
                <w:color w:val="000000"/>
                <w:szCs w:val="16"/>
              </w:rPr>
              <w:t>635,937</w:t>
            </w:r>
          </w:p>
        </w:tc>
        <w:tc>
          <w:tcPr>
            <w:tcW w:w="2127" w:type="dxa"/>
            <w:shd w:val="clear" w:color="auto" w:fill="auto"/>
            <w:vAlign w:val="center"/>
            <w:hideMark/>
          </w:tcPr>
          <w:p w14:paraId="3BD36151" w14:textId="77777777" w:rsidR="00627CA1" w:rsidRPr="00D9348B" w:rsidRDefault="00627CA1" w:rsidP="00DB330E">
            <w:pPr>
              <w:pStyle w:val="TableText"/>
              <w:spacing w:before="50" w:after="50"/>
              <w:jc w:val="center"/>
            </w:pPr>
            <w:r w:rsidRPr="00D9348B">
              <w:rPr>
                <w:rFonts w:cs="Arial"/>
                <w:color w:val="000000"/>
                <w:szCs w:val="16"/>
              </w:rPr>
              <w:t>45,026</w:t>
            </w:r>
          </w:p>
        </w:tc>
        <w:tc>
          <w:tcPr>
            <w:tcW w:w="3047" w:type="dxa"/>
            <w:shd w:val="clear" w:color="auto" w:fill="auto"/>
            <w:vAlign w:val="center"/>
            <w:hideMark/>
          </w:tcPr>
          <w:p w14:paraId="3749334C" w14:textId="77777777" w:rsidR="00627CA1" w:rsidRPr="00D9348B" w:rsidRDefault="00627CA1" w:rsidP="00DB330E">
            <w:pPr>
              <w:pStyle w:val="Tableboldblue"/>
              <w:spacing w:before="50" w:after="50"/>
              <w:ind w:right="284"/>
              <w:jc w:val="center"/>
            </w:pPr>
            <w:r w:rsidRPr="00D9348B">
              <w:rPr>
                <w:rFonts w:cs="Arial"/>
                <w:b w:val="0"/>
                <w:bCs/>
                <w:szCs w:val="16"/>
              </w:rPr>
              <w:t>680,963</w:t>
            </w:r>
          </w:p>
        </w:tc>
      </w:tr>
      <w:tr w:rsidR="00627CA1" w:rsidRPr="00D9348B" w14:paraId="501B2A85" w14:textId="77777777" w:rsidTr="00D83048">
        <w:tc>
          <w:tcPr>
            <w:tcW w:w="1261" w:type="dxa"/>
            <w:shd w:val="clear" w:color="auto" w:fill="auto"/>
            <w:vAlign w:val="center"/>
            <w:hideMark/>
          </w:tcPr>
          <w:p w14:paraId="0B7F0870" w14:textId="77777777" w:rsidR="00627CA1" w:rsidRPr="00D9348B" w:rsidRDefault="00627CA1" w:rsidP="00DB330E">
            <w:pPr>
              <w:pStyle w:val="TableText"/>
              <w:spacing w:before="50" w:after="50"/>
            </w:pPr>
            <w:r w:rsidRPr="00D9348B">
              <w:rPr>
                <w:rFonts w:cs="Arial"/>
                <w:szCs w:val="16"/>
              </w:rPr>
              <w:t>2016</w:t>
            </w:r>
          </w:p>
        </w:tc>
        <w:tc>
          <w:tcPr>
            <w:tcW w:w="2127" w:type="dxa"/>
            <w:shd w:val="clear" w:color="auto" w:fill="auto"/>
            <w:vAlign w:val="center"/>
            <w:hideMark/>
          </w:tcPr>
          <w:p w14:paraId="23735C13" w14:textId="77777777" w:rsidR="00627CA1" w:rsidRPr="00D9348B" w:rsidRDefault="00627CA1" w:rsidP="00DB330E">
            <w:pPr>
              <w:pStyle w:val="TableText"/>
              <w:spacing w:before="50" w:after="50"/>
              <w:jc w:val="center"/>
            </w:pPr>
            <w:r w:rsidRPr="00D9348B">
              <w:rPr>
                <w:rFonts w:cs="Arial"/>
                <w:color w:val="000000"/>
                <w:szCs w:val="16"/>
              </w:rPr>
              <w:t>637,799</w:t>
            </w:r>
          </w:p>
        </w:tc>
        <w:tc>
          <w:tcPr>
            <w:tcW w:w="2127" w:type="dxa"/>
            <w:shd w:val="clear" w:color="auto" w:fill="auto"/>
            <w:vAlign w:val="center"/>
            <w:hideMark/>
          </w:tcPr>
          <w:p w14:paraId="1B9FFEE6" w14:textId="77777777" w:rsidR="00627CA1" w:rsidRPr="00D9348B" w:rsidRDefault="00627CA1" w:rsidP="00DB330E">
            <w:pPr>
              <w:pStyle w:val="TableText"/>
              <w:spacing w:before="50" w:after="50"/>
              <w:jc w:val="center"/>
            </w:pPr>
            <w:r w:rsidRPr="00D9348B">
              <w:rPr>
                <w:rFonts w:cs="Arial"/>
                <w:color w:val="000000"/>
                <w:szCs w:val="16"/>
              </w:rPr>
              <w:t>46,122</w:t>
            </w:r>
          </w:p>
        </w:tc>
        <w:tc>
          <w:tcPr>
            <w:tcW w:w="3047" w:type="dxa"/>
            <w:shd w:val="clear" w:color="auto" w:fill="auto"/>
            <w:vAlign w:val="center"/>
            <w:hideMark/>
          </w:tcPr>
          <w:p w14:paraId="640287A8" w14:textId="77777777" w:rsidR="00627CA1" w:rsidRPr="00D9348B" w:rsidRDefault="00627CA1" w:rsidP="00DB330E">
            <w:pPr>
              <w:pStyle w:val="Tableboldblue"/>
              <w:spacing w:before="50" w:after="50"/>
              <w:ind w:right="284"/>
              <w:jc w:val="center"/>
            </w:pPr>
            <w:r w:rsidRPr="00D9348B">
              <w:rPr>
                <w:rFonts w:cs="Arial"/>
                <w:b w:val="0"/>
                <w:bCs/>
                <w:szCs w:val="16"/>
              </w:rPr>
              <w:t>683,921</w:t>
            </w:r>
          </w:p>
        </w:tc>
      </w:tr>
      <w:tr w:rsidR="00627CA1" w:rsidRPr="00D9348B" w14:paraId="378940AC" w14:textId="77777777" w:rsidTr="00D83048">
        <w:tc>
          <w:tcPr>
            <w:tcW w:w="1261" w:type="dxa"/>
            <w:shd w:val="clear" w:color="auto" w:fill="auto"/>
            <w:vAlign w:val="center"/>
            <w:hideMark/>
          </w:tcPr>
          <w:p w14:paraId="3D3B1F23" w14:textId="77777777" w:rsidR="00627CA1" w:rsidRPr="00D9348B" w:rsidRDefault="00627CA1" w:rsidP="00DB330E">
            <w:pPr>
              <w:pStyle w:val="TableText"/>
              <w:spacing w:before="50" w:after="50"/>
            </w:pPr>
            <w:r w:rsidRPr="00D9348B">
              <w:rPr>
                <w:rFonts w:cs="Arial"/>
                <w:szCs w:val="16"/>
              </w:rPr>
              <w:t>2017</w:t>
            </w:r>
          </w:p>
        </w:tc>
        <w:tc>
          <w:tcPr>
            <w:tcW w:w="2127" w:type="dxa"/>
            <w:shd w:val="clear" w:color="auto" w:fill="auto"/>
            <w:vAlign w:val="center"/>
            <w:hideMark/>
          </w:tcPr>
          <w:p w14:paraId="20264DFE" w14:textId="77777777" w:rsidR="00627CA1" w:rsidRPr="00D9348B" w:rsidRDefault="00627CA1" w:rsidP="00DB330E">
            <w:pPr>
              <w:pStyle w:val="TableText"/>
              <w:spacing w:before="50" w:after="50"/>
              <w:jc w:val="center"/>
            </w:pPr>
            <w:r w:rsidRPr="00D9348B">
              <w:rPr>
                <w:rFonts w:cs="Arial"/>
                <w:color w:val="000000"/>
                <w:szCs w:val="16"/>
              </w:rPr>
              <w:t>641,972</w:t>
            </w:r>
          </w:p>
        </w:tc>
        <w:tc>
          <w:tcPr>
            <w:tcW w:w="2127" w:type="dxa"/>
            <w:shd w:val="clear" w:color="auto" w:fill="auto"/>
            <w:vAlign w:val="center"/>
            <w:hideMark/>
          </w:tcPr>
          <w:p w14:paraId="788ADFAA" w14:textId="77777777" w:rsidR="00627CA1" w:rsidRPr="00D9348B" w:rsidRDefault="00627CA1" w:rsidP="00DB330E">
            <w:pPr>
              <w:pStyle w:val="TableText"/>
              <w:spacing w:before="50" w:after="50"/>
              <w:jc w:val="center"/>
            </w:pPr>
            <w:r w:rsidRPr="00D9348B">
              <w:rPr>
                <w:rFonts w:cs="Arial"/>
                <w:color w:val="000000"/>
                <w:szCs w:val="16"/>
              </w:rPr>
              <w:t>47,775</w:t>
            </w:r>
          </w:p>
        </w:tc>
        <w:tc>
          <w:tcPr>
            <w:tcW w:w="3047" w:type="dxa"/>
            <w:shd w:val="clear" w:color="auto" w:fill="auto"/>
            <w:vAlign w:val="center"/>
            <w:hideMark/>
          </w:tcPr>
          <w:p w14:paraId="02B36729" w14:textId="77777777" w:rsidR="00627CA1" w:rsidRPr="00D9348B" w:rsidRDefault="00627CA1" w:rsidP="00DB330E">
            <w:pPr>
              <w:pStyle w:val="Tableboldblue"/>
              <w:spacing w:before="50" w:after="50"/>
              <w:ind w:right="284"/>
              <w:jc w:val="center"/>
            </w:pPr>
            <w:r w:rsidRPr="00D9348B">
              <w:rPr>
                <w:rFonts w:cs="Arial"/>
                <w:b w:val="0"/>
                <w:bCs/>
                <w:szCs w:val="16"/>
              </w:rPr>
              <w:t>689,747</w:t>
            </w:r>
          </w:p>
        </w:tc>
      </w:tr>
      <w:tr w:rsidR="00627CA1" w:rsidRPr="00D9348B" w14:paraId="449DDD92" w14:textId="77777777" w:rsidTr="00D83048">
        <w:tc>
          <w:tcPr>
            <w:tcW w:w="1261" w:type="dxa"/>
            <w:shd w:val="clear" w:color="auto" w:fill="auto"/>
            <w:vAlign w:val="center"/>
          </w:tcPr>
          <w:p w14:paraId="2782E9D8" w14:textId="77777777" w:rsidR="00627CA1" w:rsidRPr="00D9348B" w:rsidRDefault="00627CA1" w:rsidP="00DB330E">
            <w:pPr>
              <w:pStyle w:val="TableText"/>
              <w:spacing w:before="50" w:after="50"/>
            </w:pPr>
            <w:r w:rsidRPr="00D9348B">
              <w:rPr>
                <w:rFonts w:cs="Arial"/>
                <w:szCs w:val="16"/>
              </w:rPr>
              <w:t>2018</w:t>
            </w:r>
          </w:p>
        </w:tc>
        <w:tc>
          <w:tcPr>
            <w:tcW w:w="2127" w:type="dxa"/>
            <w:shd w:val="clear" w:color="auto" w:fill="auto"/>
            <w:vAlign w:val="center"/>
          </w:tcPr>
          <w:p w14:paraId="6451C867" w14:textId="77777777" w:rsidR="00627CA1" w:rsidRPr="00D9348B" w:rsidRDefault="00627CA1" w:rsidP="00DB330E">
            <w:pPr>
              <w:pStyle w:val="TableText"/>
              <w:spacing w:before="50" w:after="50"/>
              <w:jc w:val="center"/>
            </w:pPr>
            <w:r w:rsidRPr="00D9348B">
              <w:rPr>
                <w:rFonts w:cs="Arial"/>
                <w:color w:val="000000"/>
                <w:szCs w:val="16"/>
              </w:rPr>
              <w:t>649,430</w:t>
            </w:r>
          </w:p>
        </w:tc>
        <w:tc>
          <w:tcPr>
            <w:tcW w:w="2127" w:type="dxa"/>
            <w:shd w:val="clear" w:color="auto" w:fill="auto"/>
            <w:vAlign w:val="center"/>
          </w:tcPr>
          <w:p w14:paraId="3081F574" w14:textId="77777777" w:rsidR="00627CA1" w:rsidRPr="00D9348B" w:rsidRDefault="00627CA1" w:rsidP="00DB330E">
            <w:pPr>
              <w:pStyle w:val="TableText"/>
              <w:spacing w:before="50" w:after="50"/>
              <w:jc w:val="center"/>
            </w:pPr>
            <w:r w:rsidRPr="00D9348B">
              <w:rPr>
                <w:rFonts w:cs="Arial"/>
                <w:color w:val="000000"/>
                <w:szCs w:val="16"/>
              </w:rPr>
              <w:t>49,067</w:t>
            </w:r>
          </w:p>
        </w:tc>
        <w:tc>
          <w:tcPr>
            <w:tcW w:w="3047" w:type="dxa"/>
            <w:shd w:val="clear" w:color="auto" w:fill="auto"/>
            <w:vAlign w:val="center"/>
          </w:tcPr>
          <w:p w14:paraId="04B23B69" w14:textId="77777777" w:rsidR="00627CA1" w:rsidRPr="00D9348B" w:rsidRDefault="00627CA1" w:rsidP="00DB330E">
            <w:pPr>
              <w:pStyle w:val="Tableboldblue"/>
              <w:spacing w:before="50" w:after="50"/>
              <w:ind w:right="284"/>
              <w:jc w:val="center"/>
            </w:pPr>
            <w:r w:rsidRPr="00D9348B">
              <w:rPr>
                <w:rFonts w:cs="Arial"/>
                <w:b w:val="0"/>
                <w:bCs/>
                <w:szCs w:val="16"/>
              </w:rPr>
              <w:t>698,497</w:t>
            </w:r>
          </w:p>
        </w:tc>
      </w:tr>
    </w:tbl>
    <w:p w14:paraId="774A0D3E" w14:textId="77777777" w:rsidR="00627CA1" w:rsidRPr="00D9348B" w:rsidRDefault="00627CA1" w:rsidP="00627CA1"/>
    <w:p w14:paraId="6EEAF03E" w14:textId="77777777" w:rsidR="00627CA1" w:rsidRPr="00D9348B" w:rsidRDefault="00627CA1" w:rsidP="00627CA1"/>
    <w:p w14:paraId="460F69F1" w14:textId="77777777" w:rsidR="00627CA1" w:rsidRPr="00D9348B" w:rsidRDefault="00627CA1" w:rsidP="00627CA1">
      <w:pPr>
        <w:sectPr w:rsidR="00627CA1" w:rsidRPr="00D9348B" w:rsidSect="00DB330E">
          <w:footerReference w:type="even" r:id="rId281"/>
          <w:footerReference w:type="default" r:id="rId282"/>
          <w:pgSz w:w="11907" w:h="16840" w:code="9"/>
          <w:pgMar w:top="1418" w:right="1701" w:bottom="1418" w:left="1701" w:header="567" w:footer="567" w:gutter="0"/>
          <w:cols w:space="720"/>
          <w:docGrid w:linePitch="299"/>
        </w:sectPr>
      </w:pPr>
    </w:p>
    <w:p w14:paraId="58602049" w14:textId="0FA35953" w:rsidR="00627CA1" w:rsidRPr="00D9348B" w:rsidRDefault="00627CA1" w:rsidP="00627CA1">
      <w:pPr>
        <w:pStyle w:val="Table"/>
        <w:spacing w:before="0"/>
      </w:pPr>
      <w:bookmarkStart w:id="3265" w:name="_Toc36224712"/>
      <w:r w:rsidRPr="00D9348B">
        <w:lastRenderedPageBreak/>
        <w:t>Table 11.3.3</w:t>
      </w:r>
      <w:r w:rsidRPr="00D9348B">
        <w:tab/>
        <w:t>New Zealand’s Afforestation and reforestation reconciliation between Kyoto Protocol and Intergovernmental Panel on Climate Change Convention</w:t>
      </w:r>
      <w:r w:rsidR="00E2658A" w:rsidRPr="00D9348B">
        <w:t xml:space="preserve"> </w:t>
      </w:r>
      <w:r w:rsidRPr="00D9348B">
        <w:br/>
        <w:t>reporting from 2008 to 2018</w:t>
      </w:r>
      <w:bookmarkEnd w:id="3265"/>
    </w:p>
    <w:tbl>
      <w:tblPr>
        <w:tblW w:w="13997" w:type="dxa"/>
        <w:tblInd w:w="108" w:type="dxa"/>
        <w:tblLook w:val="04A0" w:firstRow="1" w:lastRow="0" w:firstColumn="1" w:lastColumn="0" w:noHBand="0" w:noVBand="1"/>
      </w:tblPr>
      <w:tblGrid>
        <w:gridCol w:w="4678"/>
        <w:gridCol w:w="851"/>
        <w:gridCol w:w="850"/>
        <w:gridCol w:w="851"/>
        <w:gridCol w:w="850"/>
        <w:gridCol w:w="851"/>
        <w:gridCol w:w="850"/>
        <w:gridCol w:w="851"/>
        <w:gridCol w:w="850"/>
        <w:gridCol w:w="851"/>
        <w:gridCol w:w="850"/>
        <w:gridCol w:w="814"/>
      </w:tblGrid>
      <w:tr w:rsidR="00627CA1" w:rsidRPr="00D9348B" w14:paraId="3EF3FE6A" w14:textId="77777777" w:rsidTr="00DB330E">
        <w:tc>
          <w:tcPr>
            <w:tcW w:w="4678" w:type="dxa"/>
            <w:tcBorders>
              <w:top w:val="nil"/>
              <w:left w:val="nil"/>
              <w:bottom w:val="nil"/>
              <w:right w:val="nil"/>
            </w:tcBorders>
            <w:shd w:val="clear" w:color="auto" w:fill="auto"/>
            <w:noWrap/>
            <w:vAlign w:val="center"/>
            <w:hideMark/>
          </w:tcPr>
          <w:p w14:paraId="7AC37346" w14:textId="77777777" w:rsidR="00627CA1" w:rsidRPr="00D9348B" w:rsidRDefault="00627CA1" w:rsidP="00DB330E">
            <w:pPr>
              <w:pStyle w:val="Tableboldblue"/>
              <w:jc w:val="center"/>
              <w:rPr>
                <w:lang w:eastAsia="en-NZ"/>
              </w:rPr>
            </w:pPr>
          </w:p>
        </w:tc>
        <w:tc>
          <w:tcPr>
            <w:tcW w:w="851" w:type="dxa"/>
            <w:tcBorders>
              <w:top w:val="single" w:sz="8" w:space="0" w:color="365F91"/>
              <w:left w:val="nil"/>
              <w:bottom w:val="single" w:sz="8" w:space="0" w:color="365F91"/>
              <w:right w:val="nil"/>
            </w:tcBorders>
            <w:shd w:val="clear" w:color="000000" w:fill="365F91"/>
            <w:vAlign w:val="center"/>
            <w:hideMark/>
          </w:tcPr>
          <w:p w14:paraId="372A2DB4" w14:textId="77777777" w:rsidR="00627CA1" w:rsidRPr="00D9348B" w:rsidRDefault="00627CA1" w:rsidP="00DB330E">
            <w:pPr>
              <w:pStyle w:val="Tableboldblue"/>
              <w:jc w:val="right"/>
              <w:rPr>
                <w:rFonts w:cs="Calibri"/>
                <w:bCs/>
                <w:color w:val="FFFFFF"/>
                <w:szCs w:val="16"/>
                <w:lang w:eastAsia="en-NZ"/>
              </w:rPr>
            </w:pPr>
            <w:r w:rsidRPr="00D9348B">
              <w:rPr>
                <w:rFonts w:cs="Calibri"/>
                <w:bCs/>
                <w:color w:val="FFFFFF"/>
                <w:szCs w:val="16"/>
                <w:lang w:eastAsia="en-NZ"/>
              </w:rPr>
              <w:t>2008</w:t>
            </w:r>
          </w:p>
        </w:tc>
        <w:tc>
          <w:tcPr>
            <w:tcW w:w="850" w:type="dxa"/>
            <w:tcBorders>
              <w:top w:val="single" w:sz="8" w:space="0" w:color="365F91"/>
              <w:left w:val="nil"/>
              <w:bottom w:val="single" w:sz="8" w:space="0" w:color="365F91"/>
              <w:right w:val="nil"/>
            </w:tcBorders>
            <w:shd w:val="clear" w:color="000000" w:fill="365F91"/>
            <w:vAlign w:val="center"/>
            <w:hideMark/>
          </w:tcPr>
          <w:p w14:paraId="6828342B" w14:textId="77777777" w:rsidR="00627CA1" w:rsidRPr="00D9348B" w:rsidRDefault="00627CA1" w:rsidP="00DB330E">
            <w:pPr>
              <w:pStyle w:val="Tableboldblue"/>
              <w:jc w:val="right"/>
              <w:rPr>
                <w:rFonts w:cs="Calibri"/>
                <w:bCs/>
                <w:color w:val="FFFFFF"/>
                <w:szCs w:val="16"/>
                <w:lang w:eastAsia="en-NZ"/>
              </w:rPr>
            </w:pPr>
            <w:r w:rsidRPr="00D9348B">
              <w:rPr>
                <w:rFonts w:cs="Calibri"/>
                <w:bCs/>
                <w:color w:val="FFFFFF"/>
                <w:szCs w:val="16"/>
                <w:lang w:eastAsia="en-NZ"/>
              </w:rPr>
              <w:t>2009</w:t>
            </w:r>
          </w:p>
        </w:tc>
        <w:tc>
          <w:tcPr>
            <w:tcW w:w="851" w:type="dxa"/>
            <w:tcBorders>
              <w:top w:val="single" w:sz="8" w:space="0" w:color="365F91"/>
              <w:left w:val="nil"/>
              <w:bottom w:val="single" w:sz="8" w:space="0" w:color="365F91"/>
              <w:right w:val="nil"/>
            </w:tcBorders>
            <w:shd w:val="clear" w:color="000000" w:fill="365F91"/>
            <w:vAlign w:val="center"/>
            <w:hideMark/>
          </w:tcPr>
          <w:p w14:paraId="69665765" w14:textId="77777777" w:rsidR="00627CA1" w:rsidRPr="00D9348B" w:rsidRDefault="00627CA1" w:rsidP="00DB330E">
            <w:pPr>
              <w:pStyle w:val="Tableboldblue"/>
              <w:jc w:val="right"/>
              <w:rPr>
                <w:rFonts w:cs="Calibri"/>
                <w:bCs/>
                <w:color w:val="FFFFFF"/>
                <w:szCs w:val="16"/>
                <w:lang w:eastAsia="en-NZ"/>
              </w:rPr>
            </w:pPr>
            <w:r w:rsidRPr="00D9348B">
              <w:rPr>
                <w:rFonts w:cs="Calibri"/>
                <w:bCs/>
                <w:color w:val="FFFFFF"/>
                <w:szCs w:val="16"/>
                <w:lang w:eastAsia="en-NZ"/>
              </w:rPr>
              <w:t>2010</w:t>
            </w:r>
          </w:p>
        </w:tc>
        <w:tc>
          <w:tcPr>
            <w:tcW w:w="850" w:type="dxa"/>
            <w:tcBorders>
              <w:top w:val="single" w:sz="8" w:space="0" w:color="365F91"/>
              <w:left w:val="nil"/>
              <w:bottom w:val="single" w:sz="8" w:space="0" w:color="365F91"/>
              <w:right w:val="nil"/>
            </w:tcBorders>
            <w:shd w:val="clear" w:color="000000" w:fill="365F91"/>
            <w:vAlign w:val="center"/>
            <w:hideMark/>
          </w:tcPr>
          <w:p w14:paraId="1633AE9C" w14:textId="77777777" w:rsidR="00627CA1" w:rsidRPr="00D9348B" w:rsidRDefault="00627CA1" w:rsidP="00DB330E">
            <w:pPr>
              <w:pStyle w:val="Tableboldblue"/>
              <w:jc w:val="right"/>
              <w:rPr>
                <w:rFonts w:cs="Calibri"/>
                <w:bCs/>
                <w:color w:val="FFFFFF"/>
                <w:szCs w:val="16"/>
                <w:lang w:eastAsia="en-NZ"/>
              </w:rPr>
            </w:pPr>
            <w:r w:rsidRPr="00D9348B">
              <w:rPr>
                <w:rFonts w:cs="Calibri"/>
                <w:bCs/>
                <w:color w:val="FFFFFF"/>
                <w:szCs w:val="16"/>
                <w:lang w:eastAsia="en-NZ"/>
              </w:rPr>
              <w:t>2011</w:t>
            </w:r>
          </w:p>
        </w:tc>
        <w:tc>
          <w:tcPr>
            <w:tcW w:w="851" w:type="dxa"/>
            <w:tcBorders>
              <w:top w:val="single" w:sz="8" w:space="0" w:color="365F91"/>
              <w:left w:val="nil"/>
              <w:bottom w:val="single" w:sz="8" w:space="0" w:color="365F91"/>
              <w:right w:val="nil"/>
            </w:tcBorders>
            <w:shd w:val="clear" w:color="000000" w:fill="365F91"/>
            <w:vAlign w:val="center"/>
            <w:hideMark/>
          </w:tcPr>
          <w:p w14:paraId="57BE663F" w14:textId="77777777" w:rsidR="00627CA1" w:rsidRPr="00D9348B" w:rsidRDefault="00627CA1" w:rsidP="00DB330E">
            <w:pPr>
              <w:pStyle w:val="Tableboldblue"/>
              <w:jc w:val="right"/>
              <w:rPr>
                <w:rFonts w:cs="Calibri"/>
                <w:bCs/>
                <w:color w:val="FFFFFF"/>
                <w:szCs w:val="16"/>
                <w:lang w:eastAsia="en-NZ"/>
              </w:rPr>
            </w:pPr>
            <w:r w:rsidRPr="00D9348B">
              <w:rPr>
                <w:rFonts w:cs="Calibri"/>
                <w:bCs/>
                <w:color w:val="FFFFFF"/>
                <w:szCs w:val="16"/>
                <w:lang w:eastAsia="en-NZ"/>
              </w:rPr>
              <w:t>2012</w:t>
            </w:r>
          </w:p>
        </w:tc>
        <w:tc>
          <w:tcPr>
            <w:tcW w:w="850" w:type="dxa"/>
            <w:tcBorders>
              <w:top w:val="single" w:sz="8" w:space="0" w:color="365F91"/>
              <w:left w:val="nil"/>
              <w:bottom w:val="single" w:sz="8" w:space="0" w:color="365F91"/>
              <w:right w:val="nil"/>
            </w:tcBorders>
            <w:shd w:val="clear" w:color="000000" w:fill="365F91"/>
            <w:vAlign w:val="center"/>
            <w:hideMark/>
          </w:tcPr>
          <w:p w14:paraId="3E6554FB" w14:textId="77777777" w:rsidR="00627CA1" w:rsidRPr="00D9348B" w:rsidRDefault="00627CA1" w:rsidP="00DB330E">
            <w:pPr>
              <w:pStyle w:val="Tableboldblue"/>
              <w:jc w:val="right"/>
              <w:rPr>
                <w:rFonts w:cs="Calibri"/>
                <w:bCs/>
                <w:color w:val="FFFFFF"/>
                <w:szCs w:val="16"/>
                <w:lang w:eastAsia="en-NZ"/>
              </w:rPr>
            </w:pPr>
            <w:r w:rsidRPr="00D9348B">
              <w:rPr>
                <w:rFonts w:cs="Calibri"/>
                <w:bCs/>
                <w:color w:val="FFFFFF"/>
                <w:szCs w:val="16"/>
                <w:lang w:eastAsia="en-NZ"/>
              </w:rPr>
              <w:t>2013</w:t>
            </w:r>
          </w:p>
        </w:tc>
        <w:tc>
          <w:tcPr>
            <w:tcW w:w="851" w:type="dxa"/>
            <w:tcBorders>
              <w:top w:val="single" w:sz="8" w:space="0" w:color="365F91"/>
              <w:left w:val="nil"/>
              <w:bottom w:val="single" w:sz="8" w:space="0" w:color="365F91"/>
              <w:right w:val="nil"/>
            </w:tcBorders>
            <w:shd w:val="clear" w:color="000000" w:fill="365F91"/>
            <w:vAlign w:val="center"/>
            <w:hideMark/>
          </w:tcPr>
          <w:p w14:paraId="5079EFB5" w14:textId="77777777" w:rsidR="00627CA1" w:rsidRPr="00D9348B" w:rsidRDefault="00627CA1" w:rsidP="00DB330E">
            <w:pPr>
              <w:pStyle w:val="Tableboldblue"/>
              <w:jc w:val="right"/>
              <w:rPr>
                <w:rFonts w:cs="Calibri"/>
                <w:bCs/>
                <w:color w:val="FFFFFF"/>
                <w:szCs w:val="16"/>
                <w:lang w:eastAsia="en-NZ"/>
              </w:rPr>
            </w:pPr>
            <w:r w:rsidRPr="00D9348B">
              <w:rPr>
                <w:rFonts w:cs="Calibri"/>
                <w:bCs/>
                <w:color w:val="FFFFFF"/>
                <w:szCs w:val="16"/>
                <w:lang w:eastAsia="en-NZ"/>
              </w:rPr>
              <w:t>2014</w:t>
            </w:r>
          </w:p>
        </w:tc>
        <w:tc>
          <w:tcPr>
            <w:tcW w:w="850" w:type="dxa"/>
            <w:tcBorders>
              <w:top w:val="single" w:sz="8" w:space="0" w:color="365F91"/>
              <w:left w:val="nil"/>
              <w:bottom w:val="single" w:sz="8" w:space="0" w:color="365F91"/>
              <w:right w:val="nil"/>
            </w:tcBorders>
            <w:shd w:val="clear" w:color="000000" w:fill="365F91"/>
            <w:vAlign w:val="center"/>
            <w:hideMark/>
          </w:tcPr>
          <w:p w14:paraId="70EDDA61" w14:textId="77777777" w:rsidR="00627CA1" w:rsidRPr="00D9348B" w:rsidRDefault="00627CA1" w:rsidP="00DB330E">
            <w:pPr>
              <w:pStyle w:val="Tableboldblue"/>
              <w:jc w:val="right"/>
              <w:rPr>
                <w:rFonts w:cs="Calibri"/>
                <w:bCs/>
                <w:color w:val="FFFFFF"/>
                <w:szCs w:val="16"/>
                <w:lang w:eastAsia="en-NZ"/>
              </w:rPr>
            </w:pPr>
            <w:r w:rsidRPr="00D9348B">
              <w:rPr>
                <w:rFonts w:cs="Calibri"/>
                <w:bCs/>
                <w:color w:val="FFFFFF"/>
                <w:szCs w:val="16"/>
                <w:lang w:eastAsia="en-NZ"/>
              </w:rPr>
              <w:t>2015</w:t>
            </w:r>
          </w:p>
        </w:tc>
        <w:tc>
          <w:tcPr>
            <w:tcW w:w="851" w:type="dxa"/>
            <w:tcBorders>
              <w:top w:val="single" w:sz="8" w:space="0" w:color="365F91"/>
              <w:left w:val="nil"/>
              <w:bottom w:val="single" w:sz="8" w:space="0" w:color="365F91"/>
              <w:right w:val="nil"/>
            </w:tcBorders>
            <w:shd w:val="clear" w:color="000000" w:fill="365F91"/>
            <w:vAlign w:val="center"/>
            <w:hideMark/>
          </w:tcPr>
          <w:p w14:paraId="6FDF9D18" w14:textId="77777777" w:rsidR="00627CA1" w:rsidRPr="00D9348B" w:rsidRDefault="00627CA1" w:rsidP="00DB330E">
            <w:pPr>
              <w:pStyle w:val="Tableboldblue"/>
              <w:jc w:val="right"/>
              <w:rPr>
                <w:rFonts w:cs="Calibri"/>
                <w:bCs/>
                <w:color w:val="FFFFFF"/>
                <w:szCs w:val="16"/>
                <w:lang w:eastAsia="en-NZ"/>
              </w:rPr>
            </w:pPr>
            <w:r w:rsidRPr="00D9348B">
              <w:rPr>
                <w:rFonts w:cs="Calibri"/>
                <w:bCs/>
                <w:color w:val="FFFFFF"/>
                <w:szCs w:val="16"/>
                <w:lang w:eastAsia="en-NZ"/>
              </w:rPr>
              <w:t>2016</w:t>
            </w:r>
          </w:p>
        </w:tc>
        <w:tc>
          <w:tcPr>
            <w:tcW w:w="850" w:type="dxa"/>
            <w:tcBorders>
              <w:top w:val="single" w:sz="8" w:space="0" w:color="365F91"/>
              <w:left w:val="nil"/>
              <w:bottom w:val="single" w:sz="8" w:space="0" w:color="365F91"/>
              <w:right w:val="nil"/>
            </w:tcBorders>
            <w:shd w:val="clear" w:color="000000" w:fill="365F91"/>
            <w:vAlign w:val="center"/>
            <w:hideMark/>
          </w:tcPr>
          <w:p w14:paraId="709A843F" w14:textId="77777777" w:rsidR="00627CA1" w:rsidRPr="00D9348B" w:rsidRDefault="00627CA1" w:rsidP="00DB330E">
            <w:pPr>
              <w:pStyle w:val="Tableboldblue"/>
              <w:jc w:val="right"/>
              <w:rPr>
                <w:rFonts w:cs="Calibri"/>
                <w:bCs/>
                <w:color w:val="FFFFFF"/>
                <w:szCs w:val="16"/>
                <w:lang w:eastAsia="en-NZ"/>
              </w:rPr>
            </w:pPr>
            <w:r w:rsidRPr="00D9348B">
              <w:rPr>
                <w:rFonts w:cs="Calibri"/>
                <w:bCs/>
                <w:color w:val="FFFFFF"/>
                <w:szCs w:val="16"/>
                <w:lang w:eastAsia="en-NZ"/>
              </w:rPr>
              <w:t>2017</w:t>
            </w:r>
          </w:p>
        </w:tc>
        <w:tc>
          <w:tcPr>
            <w:tcW w:w="814" w:type="dxa"/>
            <w:tcBorders>
              <w:top w:val="single" w:sz="8" w:space="0" w:color="365F91"/>
              <w:left w:val="nil"/>
              <w:bottom w:val="single" w:sz="8" w:space="0" w:color="365F91"/>
              <w:right w:val="nil"/>
            </w:tcBorders>
            <w:shd w:val="clear" w:color="000000" w:fill="365F91"/>
            <w:vAlign w:val="center"/>
            <w:hideMark/>
          </w:tcPr>
          <w:p w14:paraId="72D05FB1" w14:textId="77777777" w:rsidR="00627CA1" w:rsidRPr="00D9348B" w:rsidRDefault="00627CA1" w:rsidP="00DB330E">
            <w:pPr>
              <w:pStyle w:val="Tableboldblue"/>
              <w:jc w:val="right"/>
              <w:rPr>
                <w:rFonts w:cs="Calibri"/>
                <w:bCs/>
                <w:color w:val="FFFFFF"/>
                <w:szCs w:val="16"/>
                <w:lang w:eastAsia="en-NZ"/>
              </w:rPr>
            </w:pPr>
            <w:r w:rsidRPr="00D9348B">
              <w:rPr>
                <w:rFonts w:cs="Calibri"/>
                <w:bCs/>
                <w:color w:val="FFFFFF"/>
                <w:szCs w:val="16"/>
                <w:lang w:eastAsia="en-NZ"/>
              </w:rPr>
              <w:t>2018</w:t>
            </w:r>
          </w:p>
        </w:tc>
      </w:tr>
      <w:tr w:rsidR="00627CA1" w:rsidRPr="00D9348B" w14:paraId="0450E251" w14:textId="77777777" w:rsidTr="00DB330E">
        <w:tc>
          <w:tcPr>
            <w:tcW w:w="4678" w:type="dxa"/>
            <w:tcBorders>
              <w:top w:val="nil"/>
              <w:left w:val="nil"/>
              <w:bottom w:val="nil"/>
              <w:right w:val="nil"/>
            </w:tcBorders>
            <w:shd w:val="clear" w:color="auto" w:fill="auto"/>
            <w:noWrap/>
            <w:hideMark/>
          </w:tcPr>
          <w:p w14:paraId="3173FEC0" w14:textId="77777777" w:rsidR="00627CA1" w:rsidRPr="00D9348B" w:rsidRDefault="00627CA1" w:rsidP="00DB330E">
            <w:pPr>
              <w:pStyle w:val="TableText"/>
            </w:pPr>
            <w:r w:rsidRPr="00D9348B">
              <w:t>Forest remaining forest (kha)</w:t>
            </w:r>
          </w:p>
        </w:tc>
        <w:tc>
          <w:tcPr>
            <w:tcW w:w="851" w:type="dxa"/>
            <w:tcBorders>
              <w:top w:val="nil"/>
              <w:left w:val="nil"/>
              <w:bottom w:val="nil"/>
              <w:right w:val="nil"/>
            </w:tcBorders>
            <w:shd w:val="clear" w:color="auto" w:fill="auto"/>
            <w:noWrap/>
            <w:vAlign w:val="bottom"/>
            <w:hideMark/>
          </w:tcPr>
          <w:p w14:paraId="4A00E836" w14:textId="77777777" w:rsidR="00627CA1" w:rsidRPr="00D9348B" w:rsidRDefault="00627CA1" w:rsidP="00DB330E">
            <w:pPr>
              <w:pStyle w:val="TableText"/>
              <w:jc w:val="right"/>
              <w:rPr>
                <w:rFonts w:cs="Calibri"/>
              </w:rPr>
            </w:pPr>
            <w:r w:rsidRPr="00D9348B">
              <w:rPr>
                <w:rFonts w:cs="Calibri"/>
              </w:rPr>
              <w:t>8,812.6</w:t>
            </w:r>
          </w:p>
        </w:tc>
        <w:tc>
          <w:tcPr>
            <w:tcW w:w="850" w:type="dxa"/>
            <w:tcBorders>
              <w:top w:val="nil"/>
              <w:left w:val="nil"/>
              <w:bottom w:val="nil"/>
              <w:right w:val="nil"/>
            </w:tcBorders>
            <w:shd w:val="clear" w:color="auto" w:fill="auto"/>
            <w:noWrap/>
            <w:vAlign w:val="bottom"/>
            <w:hideMark/>
          </w:tcPr>
          <w:p w14:paraId="1FD93F01" w14:textId="77777777" w:rsidR="00627CA1" w:rsidRPr="00D9348B" w:rsidRDefault="00627CA1" w:rsidP="00DB330E">
            <w:pPr>
              <w:pStyle w:val="TableText"/>
              <w:jc w:val="right"/>
              <w:rPr>
                <w:rFonts w:cs="Calibri"/>
              </w:rPr>
            </w:pPr>
            <w:r w:rsidRPr="00D9348B">
              <w:rPr>
                <w:rFonts w:cs="Calibri"/>
              </w:rPr>
              <w:t>8,861.0</w:t>
            </w:r>
          </w:p>
        </w:tc>
        <w:tc>
          <w:tcPr>
            <w:tcW w:w="851" w:type="dxa"/>
            <w:tcBorders>
              <w:top w:val="nil"/>
              <w:left w:val="nil"/>
              <w:bottom w:val="nil"/>
              <w:right w:val="nil"/>
            </w:tcBorders>
            <w:shd w:val="clear" w:color="auto" w:fill="auto"/>
            <w:noWrap/>
            <w:vAlign w:val="bottom"/>
            <w:hideMark/>
          </w:tcPr>
          <w:p w14:paraId="6C52C59A" w14:textId="77777777" w:rsidR="00627CA1" w:rsidRPr="00D9348B" w:rsidRDefault="00627CA1" w:rsidP="00DB330E">
            <w:pPr>
              <w:pStyle w:val="TableText"/>
              <w:jc w:val="right"/>
              <w:rPr>
                <w:rFonts w:cs="Calibri"/>
              </w:rPr>
            </w:pPr>
            <w:r w:rsidRPr="00D9348B">
              <w:rPr>
                <w:rFonts w:cs="Calibri"/>
              </w:rPr>
              <w:t>8,916.4</w:t>
            </w:r>
          </w:p>
        </w:tc>
        <w:tc>
          <w:tcPr>
            <w:tcW w:w="850" w:type="dxa"/>
            <w:tcBorders>
              <w:top w:val="nil"/>
              <w:left w:val="nil"/>
              <w:bottom w:val="nil"/>
              <w:right w:val="nil"/>
            </w:tcBorders>
            <w:shd w:val="clear" w:color="auto" w:fill="auto"/>
            <w:noWrap/>
            <w:vAlign w:val="bottom"/>
            <w:hideMark/>
          </w:tcPr>
          <w:p w14:paraId="3E73A6A6" w14:textId="77777777" w:rsidR="00627CA1" w:rsidRPr="00D9348B" w:rsidRDefault="00627CA1" w:rsidP="00DB330E">
            <w:pPr>
              <w:pStyle w:val="TableText"/>
              <w:jc w:val="right"/>
              <w:rPr>
                <w:rFonts w:cs="Calibri"/>
              </w:rPr>
            </w:pPr>
            <w:r w:rsidRPr="00D9348B">
              <w:rPr>
                <w:rFonts w:cs="Calibri"/>
              </w:rPr>
              <w:t>8,977.6</w:t>
            </w:r>
          </w:p>
        </w:tc>
        <w:tc>
          <w:tcPr>
            <w:tcW w:w="851" w:type="dxa"/>
            <w:tcBorders>
              <w:top w:val="nil"/>
              <w:left w:val="nil"/>
              <w:bottom w:val="nil"/>
              <w:right w:val="nil"/>
            </w:tcBorders>
            <w:shd w:val="clear" w:color="auto" w:fill="auto"/>
            <w:noWrap/>
            <w:vAlign w:val="bottom"/>
            <w:hideMark/>
          </w:tcPr>
          <w:p w14:paraId="75CCF1F6" w14:textId="77777777" w:rsidR="00627CA1" w:rsidRPr="00D9348B" w:rsidRDefault="00627CA1" w:rsidP="00DB330E">
            <w:pPr>
              <w:pStyle w:val="TableText"/>
              <w:jc w:val="right"/>
              <w:rPr>
                <w:rFonts w:cs="Calibri"/>
              </w:rPr>
            </w:pPr>
            <w:r w:rsidRPr="00D9348B">
              <w:rPr>
                <w:rFonts w:cs="Calibri"/>
              </w:rPr>
              <w:t>9,038.8</w:t>
            </w:r>
          </w:p>
        </w:tc>
        <w:tc>
          <w:tcPr>
            <w:tcW w:w="850" w:type="dxa"/>
            <w:tcBorders>
              <w:top w:val="nil"/>
              <w:left w:val="nil"/>
              <w:bottom w:val="nil"/>
              <w:right w:val="nil"/>
            </w:tcBorders>
            <w:shd w:val="clear" w:color="auto" w:fill="auto"/>
            <w:noWrap/>
            <w:vAlign w:val="bottom"/>
            <w:hideMark/>
          </w:tcPr>
          <w:p w14:paraId="526B6B65" w14:textId="77777777" w:rsidR="00627CA1" w:rsidRPr="00D9348B" w:rsidRDefault="00627CA1" w:rsidP="00DB330E">
            <w:pPr>
              <w:pStyle w:val="TableText"/>
              <w:jc w:val="right"/>
              <w:rPr>
                <w:rFonts w:cs="Calibri"/>
              </w:rPr>
            </w:pPr>
            <w:r w:rsidRPr="00D9348B">
              <w:rPr>
                <w:rFonts w:cs="Calibri"/>
              </w:rPr>
              <w:t>9,090.1</w:t>
            </w:r>
          </w:p>
        </w:tc>
        <w:tc>
          <w:tcPr>
            <w:tcW w:w="851" w:type="dxa"/>
            <w:tcBorders>
              <w:top w:val="nil"/>
              <w:left w:val="nil"/>
              <w:bottom w:val="nil"/>
              <w:right w:val="nil"/>
            </w:tcBorders>
            <w:shd w:val="clear" w:color="auto" w:fill="auto"/>
            <w:noWrap/>
            <w:vAlign w:val="bottom"/>
            <w:hideMark/>
          </w:tcPr>
          <w:p w14:paraId="7E03D36F" w14:textId="77777777" w:rsidR="00627CA1" w:rsidRPr="00D9348B" w:rsidRDefault="00627CA1" w:rsidP="00DB330E">
            <w:pPr>
              <w:pStyle w:val="TableText"/>
              <w:jc w:val="right"/>
              <w:rPr>
                <w:rFonts w:cs="Calibri"/>
              </w:rPr>
            </w:pPr>
            <w:r w:rsidRPr="00D9348B">
              <w:rPr>
                <w:rFonts w:cs="Calibri"/>
              </w:rPr>
              <w:t>9,131.5</w:t>
            </w:r>
          </w:p>
        </w:tc>
        <w:tc>
          <w:tcPr>
            <w:tcW w:w="850" w:type="dxa"/>
            <w:tcBorders>
              <w:top w:val="nil"/>
              <w:left w:val="nil"/>
              <w:bottom w:val="nil"/>
              <w:right w:val="nil"/>
            </w:tcBorders>
            <w:shd w:val="clear" w:color="auto" w:fill="auto"/>
            <w:noWrap/>
            <w:vAlign w:val="bottom"/>
            <w:hideMark/>
          </w:tcPr>
          <w:p w14:paraId="73D3500B" w14:textId="77777777" w:rsidR="00627CA1" w:rsidRPr="00D9348B" w:rsidRDefault="00627CA1" w:rsidP="00DB330E">
            <w:pPr>
              <w:pStyle w:val="TableText"/>
              <w:jc w:val="right"/>
              <w:rPr>
                <w:rFonts w:cs="Calibri"/>
              </w:rPr>
            </w:pPr>
            <w:r w:rsidRPr="00D9348B">
              <w:rPr>
                <w:rFonts w:cs="Calibri"/>
              </w:rPr>
              <w:t>9,160.2</w:t>
            </w:r>
          </w:p>
        </w:tc>
        <w:tc>
          <w:tcPr>
            <w:tcW w:w="851" w:type="dxa"/>
            <w:tcBorders>
              <w:top w:val="nil"/>
              <w:left w:val="nil"/>
              <w:bottom w:val="nil"/>
              <w:right w:val="nil"/>
            </w:tcBorders>
            <w:shd w:val="clear" w:color="auto" w:fill="auto"/>
            <w:noWrap/>
            <w:vAlign w:val="bottom"/>
            <w:hideMark/>
          </w:tcPr>
          <w:p w14:paraId="0CB2A69E" w14:textId="77777777" w:rsidR="00627CA1" w:rsidRPr="00D9348B" w:rsidRDefault="00627CA1" w:rsidP="00DB330E">
            <w:pPr>
              <w:pStyle w:val="TableText"/>
              <w:jc w:val="right"/>
              <w:rPr>
                <w:rFonts w:cs="Calibri"/>
              </w:rPr>
            </w:pPr>
            <w:r w:rsidRPr="00D9348B">
              <w:rPr>
                <w:rFonts w:cs="Calibri"/>
              </w:rPr>
              <w:t>9,179.7</w:t>
            </w:r>
          </w:p>
        </w:tc>
        <w:tc>
          <w:tcPr>
            <w:tcW w:w="850" w:type="dxa"/>
            <w:tcBorders>
              <w:top w:val="nil"/>
              <w:left w:val="nil"/>
              <w:bottom w:val="nil"/>
              <w:right w:val="nil"/>
            </w:tcBorders>
            <w:shd w:val="clear" w:color="auto" w:fill="auto"/>
            <w:noWrap/>
            <w:vAlign w:val="bottom"/>
            <w:hideMark/>
          </w:tcPr>
          <w:p w14:paraId="3CAEAF2D" w14:textId="77777777" w:rsidR="00627CA1" w:rsidRPr="00D9348B" w:rsidRDefault="00627CA1" w:rsidP="00DB330E">
            <w:pPr>
              <w:pStyle w:val="TableText"/>
              <w:jc w:val="right"/>
              <w:rPr>
                <w:rFonts w:cs="Calibri"/>
              </w:rPr>
            </w:pPr>
            <w:r w:rsidRPr="00D9348B">
              <w:rPr>
                <w:rFonts w:cs="Calibri"/>
              </w:rPr>
              <w:t>9,204.8</w:t>
            </w:r>
          </w:p>
        </w:tc>
        <w:tc>
          <w:tcPr>
            <w:tcW w:w="814" w:type="dxa"/>
            <w:tcBorders>
              <w:top w:val="nil"/>
              <w:left w:val="nil"/>
              <w:bottom w:val="nil"/>
              <w:right w:val="nil"/>
            </w:tcBorders>
            <w:shd w:val="clear" w:color="auto" w:fill="auto"/>
            <w:noWrap/>
            <w:vAlign w:val="bottom"/>
            <w:hideMark/>
          </w:tcPr>
          <w:p w14:paraId="14831888" w14:textId="77777777" w:rsidR="00627CA1" w:rsidRPr="00D9348B" w:rsidRDefault="00627CA1" w:rsidP="00DB330E">
            <w:pPr>
              <w:pStyle w:val="TableText"/>
              <w:jc w:val="right"/>
              <w:rPr>
                <w:rFonts w:cs="Calibri"/>
              </w:rPr>
            </w:pPr>
            <w:r w:rsidRPr="00D9348B">
              <w:rPr>
                <w:rFonts w:cs="Calibri"/>
              </w:rPr>
              <w:t>9,216.1</w:t>
            </w:r>
          </w:p>
        </w:tc>
      </w:tr>
      <w:tr w:rsidR="00627CA1" w:rsidRPr="00D9348B" w14:paraId="2EE0184C" w14:textId="77777777" w:rsidTr="00DB330E">
        <w:tc>
          <w:tcPr>
            <w:tcW w:w="4678" w:type="dxa"/>
            <w:tcBorders>
              <w:top w:val="nil"/>
              <w:left w:val="nil"/>
              <w:bottom w:val="single" w:sz="8" w:space="0" w:color="365F91"/>
              <w:right w:val="nil"/>
            </w:tcBorders>
            <w:shd w:val="clear" w:color="auto" w:fill="auto"/>
            <w:hideMark/>
          </w:tcPr>
          <w:p w14:paraId="2E06E6CA" w14:textId="77777777" w:rsidR="00627CA1" w:rsidRPr="00D9348B" w:rsidRDefault="00627CA1" w:rsidP="00DB330E">
            <w:pPr>
              <w:pStyle w:val="TableText"/>
            </w:pPr>
            <w:r w:rsidRPr="00D9348B">
              <w:t xml:space="preserve">Forest management (kha) </w:t>
            </w:r>
          </w:p>
        </w:tc>
        <w:tc>
          <w:tcPr>
            <w:tcW w:w="851" w:type="dxa"/>
            <w:tcBorders>
              <w:top w:val="nil"/>
              <w:left w:val="nil"/>
              <w:bottom w:val="single" w:sz="8" w:space="0" w:color="365F91"/>
              <w:right w:val="nil"/>
            </w:tcBorders>
            <w:shd w:val="clear" w:color="auto" w:fill="auto"/>
            <w:hideMark/>
          </w:tcPr>
          <w:p w14:paraId="59D0910C" w14:textId="77777777" w:rsidR="00627CA1" w:rsidRPr="00D9348B" w:rsidRDefault="00627CA1" w:rsidP="00DB330E">
            <w:pPr>
              <w:pStyle w:val="TableText"/>
              <w:jc w:val="right"/>
              <w:rPr>
                <w:rFonts w:cs="Calibri"/>
              </w:rPr>
            </w:pPr>
            <w:r w:rsidRPr="00D9348B">
              <w:rPr>
                <w:rFonts w:cs="Calibri"/>
              </w:rPr>
              <w:t>9,267.7</w:t>
            </w:r>
          </w:p>
        </w:tc>
        <w:tc>
          <w:tcPr>
            <w:tcW w:w="850" w:type="dxa"/>
            <w:tcBorders>
              <w:top w:val="nil"/>
              <w:left w:val="nil"/>
              <w:bottom w:val="single" w:sz="8" w:space="0" w:color="365F91"/>
              <w:right w:val="nil"/>
            </w:tcBorders>
            <w:shd w:val="clear" w:color="auto" w:fill="auto"/>
            <w:hideMark/>
          </w:tcPr>
          <w:p w14:paraId="31596602" w14:textId="77777777" w:rsidR="00627CA1" w:rsidRPr="00D9348B" w:rsidRDefault="00627CA1" w:rsidP="00DB330E">
            <w:pPr>
              <w:pStyle w:val="TableText"/>
              <w:jc w:val="right"/>
              <w:rPr>
                <w:rFonts w:cs="Calibri"/>
              </w:rPr>
            </w:pPr>
            <w:r w:rsidRPr="00D9348B">
              <w:rPr>
                <w:rFonts w:cs="Calibri"/>
              </w:rPr>
              <w:t>9,259.6</w:t>
            </w:r>
          </w:p>
        </w:tc>
        <w:tc>
          <w:tcPr>
            <w:tcW w:w="851" w:type="dxa"/>
            <w:tcBorders>
              <w:top w:val="nil"/>
              <w:left w:val="nil"/>
              <w:bottom w:val="single" w:sz="8" w:space="0" w:color="365F91"/>
              <w:right w:val="nil"/>
            </w:tcBorders>
            <w:shd w:val="clear" w:color="auto" w:fill="auto"/>
            <w:hideMark/>
          </w:tcPr>
          <w:p w14:paraId="4DAB1CBD" w14:textId="77777777" w:rsidR="00627CA1" w:rsidRPr="00D9348B" w:rsidRDefault="00627CA1" w:rsidP="00DB330E">
            <w:pPr>
              <w:pStyle w:val="TableText"/>
              <w:jc w:val="right"/>
              <w:rPr>
                <w:rFonts w:cs="Calibri"/>
              </w:rPr>
            </w:pPr>
            <w:r w:rsidRPr="00D9348B">
              <w:rPr>
                <w:rFonts w:cs="Calibri"/>
              </w:rPr>
              <w:t>9,250.7</w:t>
            </w:r>
          </w:p>
        </w:tc>
        <w:tc>
          <w:tcPr>
            <w:tcW w:w="850" w:type="dxa"/>
            <w:tcBorders>
              <w:top w:val="nil"/>
              <w:left w:val="nil"/>
              <w:bottom w:val="single" w:sz="8" w:space="0" w:color="365F91"/>
              <w:right w:val="nil"/>
            </w:tcBorders>
            <w:shd w:val="clear" w:color="auto" w:fill="auto"/>
            <w:hideMark/>
          </w:tcPr>
          <w:p w14:paraId="387A5979" w14:textId="77777777" w:rsidR="00627CA1" w:rsidRPr="00D9348B" w:rsidRDefault="00627CA1" w:rsidP="00DB330E">
            <w:pPr>
              <w:pStyle w:val="TableText"/>
              <w:jc w:val="right"/>
              <w:rPr>
                <w:rFonts w:cs="Calibri"/>
              </w:rPr>
            </w:pPr>
            <w:r w:rsidRPr="00D9348B">
              <w:rPr>
                <w:rFonts w:cs="Calibri"/>
              </w:rPr>
              <w:t>9,244.1</w:t>
            </w:r>
          </w:p>
        </w:tc>
        <w:tc>
          <w:tcPr>
            <w:tcW w:w="851" w:type="dxa"/>
            <w:tcBorders>
              <w:top w:val="nil"/>
              <w:left w:val="nil"/>
              <w:bottom w:val="single" w:sz="8" w:space="0" w:color="365F91"/>
              <w:right w:val="nil"/>
            </w:tcBorders>
            <w:shd w:val="clear" w:color="auto" w:fill="auto"/>
            <w:hideMark/>
          </w:tcPr>
          <w:p w14:paraId="48C7567E" w14:textId="77777777" w:rsidR="00627CA1" w:rsidRPr="00D9348B" w:rsidRDefault="00627CA1" w:rsidP="00DB330E">
            <w:pPr>
              <w:pStyle w:val="TableText"/>
              <w:jc w:val="right"/>
              <w:rPr>
                <w:rFonts w:cs="Calibri"/>
              </w:rPr>
            </w:pPr>
            <w:r w:rsidRPr="00D9348B">
              <w:rPr>
                <w:rFonts w:cs="Calibri"/>
              </w:rPr>
              <w:t>9,235.4</w:t>
            </w:r>
          </w:p>
        </w:tc>
        <w:tc>
          <w:tcPr>
            <w:tcW w:w="850" w:type="dxa"/>
            <w:tcBorders>
              <w:top w:val="nil"/>
              <w:left w:val="nil"/>
              <w:bottom w:val="single" w:sz="8" w:space="0" w:color="365F91"/>
              <w:right w:val="nil"/>
            </w:tcBorders>
            <w:shd w:val="clear" w:color="auto" w:fill="auto"/>
            <w:hideMark/>
          </w:tcPr>
          <w:p w14:paraId="224DE9F4" w14:textId="77777777" w:rsidR="00627CA1" w:rsidRPr="00D9348B" w:rsidRDefault="00627CA1" w:rsidP="00DB330E">
            <w:pPr>
              <w:pStyle w:val="TableText"/>
              <w:jc w:val="right"/>
              <w:rPr>
                <w:rFonts w:cs="Calibri"/>
              </w:rPr>
            </w:pPr>
            <w:r w:rsidRPr="00D9348B">
              <w:rPr>
                <w:rFonts w:cs="Calibri"/>
              </w:rPr>
              <w:t>9,224.1</w:t>
            </w:r>
          </w:p>
        </w:tc>
        <w:tc>
          <w:tcPr>
            <w:tcW w:w="851" w:type="dxa"/>
            <w:tcBorders>
              <w:top w:val="nil"/>
              <w:left w:val="nil"/>
              <w:bottom w:val="single" w:sz="8" w:space="0" w:color="365F91"/>
              <w:right w:val="nil"/>
            </w:tcBorders>
            <w:shd w:val="clear" w:color="auto" w:fill="auto"/>
            <w:hideMark/>
          </w:tcPr>
          <w:p w14:paraId="221508BD" w14:textId="77777777" w:rsidR="00627CA1" w:rsidRPr="00D9348B" w:rsidRDefault="00627CA1" w:rsidP="00DB330E">
            <w:pPr>
              <w:pStyle w:val="TableText"/>
              <w:jc w:val="right"/>
              <w:rPr>
                <w:rFonts w:cs="Calibri"/>
              </w:rPr>
            </w:pPr>
            <w:r w:rsidRPr="00D9348B">
              <w:rPr>
                <w:rFonts w:cs="Calibri"/>
              </w:rPr>
              <w:t>9,217.1</w:t>
            </w:r>
          </w:p>
        </w:tc>
        <w:tc>
          <w:tcPr>
            <w:tcW w:w="850" w:type="dxa"/>
            <w:tcBorders>
              <w:top w:val="nil"/>
              <w:left w:val="nil"/>
              <w:bottom w:val="single" w:sz="8" w:space="0" w:color="365F91"/>
              <w:right w:val="nil"/>
            </w:tcBorders>
            <w:shd w:val="clear" w:color="auto" w:fill="auto"/>
            <w:hideMark/>
          </w:tcPr>
          <w:p w14:paraId="1BFCFEFF" w14:textId="77777777" w:rsidR="00627CA1" w:rsidRPr="00D9348B" w:rsidRDefault="00627CA1" w:rsidP="00DB330E">
            <w:pPr>
              <w:pStyle w:val="TableText"/>
              <w:jc w:val="right"/>
              <w:rPr>
                <w:rFonts w:cs="Calibri"/>
              </w:rPr>
            </w:pPr>
            <w:r w:rsidRPr="00D9348B">
              <w:rPr>
                <w:rFonts w:cs="Calibri"/>
              </w:rPr>
              <w:t>9,212.8</w:t>
            </w:r>
          </w:p>
        </w:tc>
        <w:tc>
          <w:tcPr>
            <w:tcW w:w="851" w:type="dxa"/>
            <w:tcBorders>
              <w:top w:val="nil"/>
              <w:left w:val="nil"/>
              <w:bottom w:val="single" w:sz="8" w:space="0" w:color="365F91"/>
              <w:right w:val="nil"/>
            </w:tcBorders>
            <w:shd w:val="clear" w:color="auto" w:fill="auto"/>
            <w:hideMark/>
          </w:tcPr>
          <w:p w14:paraId="53CF494A" w14:textId="77777777" w:rsidR="00627CA1" w:rsidRPr="00D9348B" w:rsidRDefault="00627CA1" w:rsidP="00DB330E">
            <w:pPr>
              <w:pStyle w:val="TableText"/>
              <w:jc w:val="right"/>
              <w:rPr>
                <w:rFonts w:cs="Calibri"/>
              </w:rPr>
            </w:pPr>
            <w:r w:rsidRPr="00D9348B">
              <w:rPr>
                <w:rFonts w:cs="Calibri"/>
              </w:rPr>
              <w:t>9,211.4</w:t>
            </w:r>
          </w:p>
        </w:tc>
        <w:tc>
          <w:tcPr>
            <w:tcW w:w="850" w:type="dxa"/>
            <w:tcBorders>
              <w:top w:val="nil"/>
              <w:left w:val="nil"/>
              <w:bottom w:val="single" w:sz="8" w:space="0" w:color="365F91"/>
              <w:right w:val="nil"/>
            </w:tcBorders>
            <w:shd w:val="clear" w:color="auto" w:fill="auto"/>
            <w:hideMark/>
          </w:tcPr>
          <w:p w14:paraId="523B6EC1" w14:textId="77777777" w:rsidR="00627CA1" w:rsidRPr="00D9348B" w:rsidRDefault="00627CA1" w:rsidP="00DB330E">
            <w:pPr>
              <w:pStyle w:val="TableText"/>
              <w:jc w:val="right"/>
              <w:rPr>
                <w:rFonts w:cs="Calibri"/>
              </w:rPr>
            </w:pPr>
            <w:r w:rsidRPr="00D9348B">
              <w:rPr>
                <w:rFonts w:cs="Calibri"/>
              </w:rPr>
              <w:t>9,210.2</w:t>
            </w:r>
          </w:p>
        </w:tc>
        <w:tc>
          <w:tcPr>
            <w:tcW w:w="814" w:type="dxa"/>
            <w:tcBorders>
              <w:top w:val="nil"/>
              <w:left w:val="nil"/>
              <w:bottom w:val="single" w:sz="8" w:space="0" w:color="365F91"/>
              <w:right w:val="nil"/>
            </w:tcBorders>
            <w:shd w:val="clear" w:color="auto" w:fill="auto"/>
            <w:hideMark/>
          </w:tcPr>
          <w:p w14:paraId="4D14B7E8" w14:textId="77777777" w:rsidR="00627CA1" w:rsidRPr="00D9348B" w:rsidRDefault="00627CA1" w:rsidP="00DB330E">
            <w:pPr>
              <w:pStyle w:val="TableText"/>
              <w:jc w:val="right"/>
              <w:rPr>
                <w:rFonts w:cs="Calibri"/>
              </w:rPr>
            </w:pPr>
            <w:r w:rsidRPr="00D9348B">
              <w:rPr>
                <w:rFonts w:cs="Calibri"/>
              </w:rPr>
              <w:t>9,208.9</w:t>
            </w:r>
          </w:p>
        </w:tc>
      </w:tr>
      <w:tr w:rsidR="00627CA1" w:rsidRPr="00D9348B" w14:paraId="05BCE267" w14:textId="77777777" w:rsidTr="00DB330E">
        <w:tc>
          <w:tcPr>
            <w:tcW w:w="4678" w:type="dxa"/>
            <w:tcBorders>
              <w:top w:val="nil"/>
              <w:left w:val="nil"/>
              <w:bottom w:val="single" w:sz="8" w:space="0" w:color="365F91"/>
              <w:right w:val="nil"/>
            </w:tcBorders>
            <w:shd w:val="clear" w:color="auto" w:fill="auto"/>
            <w:hideMark/>
          </w:tcPr>
          <w:p w14:paraId="6610ED5B" w14:textId="77777777" w:rsidR="00627CA1" w:rsidRPr="00D9348B" w:rsidRDefault="00627CA1" w:rsidP="00DB330E">
            <w:pPr>
              <w:pStyle w:val="Tableboldblue"/>
              <w:rPr>
                <w:lang w:eastAsia="en-NZ"/>
              </w:rPr>
            </w:pPr>
            <w:r w:rsidRPr="00D9348B">
              <w:rPr>
                <w:lang w:eastAsia="en-NZ"/>
              </w:rPr>
              <w:t>Difference (kha)</w:t>
            </w:r>
          </w:p>
        </w:tc>
        <w:tc>
          <w:tcPr>
            <w:tcW w:w="851" w:type="dxa"/>
            <w:tcBorders>
              <w:top w:val="nil"/>
              <w:left w:val="nil"/>
              <w:bottom w:val="single" w:sz="8" w:space="0" w:color="365F91"/>
              <w:right w:val="nil"/>
            </w:tcBorders>
            <w:shd w:val="clear" w:color="auto" w:fill="auto"/>
            <w:hideMark/>
          </w:tcPr>
          <w:p w14:paraId="326E9C6B" w14:textId="77777777" w:rsidR="00627CA1" w:rsidRPr="00D9348B" w:rsidRDefault="00627CA1" w:rsidP="00DB330E">
            <w:pPr>
              <w:pStyle w:val="Tableboldblue"/>
              <w:jc w:val="right"/>
              <w:rPr>
                <w:rFonts w:cs="Calibri"/>
                <w:lang w:eastAsia="en-NZ"/>
              </w:rPr>
            </w:pPr>
            <w:r w:rsidRPr="00D9348B">
              <w:rPr>
                <w:rFonts w:cs="Calibri"/>
                <w:lang w:eastAsia="en-NZ"/>
              </w:rPr>
              <w:t>–455.1</w:t>
            </w:r>
          </w:p>
        </w:tc>
        <w:tc>
          <w:tcPr>
            <w:tcW w:w="850" w:type="dxa"/>
            <w:tcBorders>
              <w:top w:val="nil"/>
              <w:left w:val="nil"/>
              <w:bottom w:val="single" w:sz="8" w:space="0" w:color="365F91"/>
              <w:right w:val="nil"/>
            </w:tcBorders>
            <w:shd w:val="clear" w:color="auto" w:fill="auto"/>
            <w:hideMark/>
          </w:tcPr>
          <w:p w14:paraId="58737EF9" w14:textId="77777777" w:rsidR="00627CA1" w:rsidRPr="00D9348B" w:rsidRDefault="00627CA1" w:rsidP="00DB330E">
            <w:pPr>
              <w:pStyle w:val="Tableboldblue"/>
              <w:jc w:val="right"/>
              <w:rPr>
                <w:rFonts w:cs="Calibri"/>
                <w:lang w:eastAsia="en-NZ"/>
              </w:rPr>
            </w:pPr>
            <w:r w:rsidRPr="00D9348B">
              <w:rPr>
                <w:rFonts w:cs="Calibri"/>
                <w:lang w:eastAsia="en-NZ"/>
              </w:rPr>
              <w:t>–398.7</w:t>
            </w:r>
          </w:p>
        </w:tc>
        <w:tc>
          <w:tcPr>
            <w:tcW w:w="851" w:type="dxa"/>
            <w:tcBorders>
              <w:top w:val="nil"/>
              <w:left w:val="nil"/>
              <w:bottom w:val="single" w:sz="8" w:space="0" w:color="365F91"/>
              <w:right w:val="nil"/>
            </w:tcBorders>
            <w:shd w:val="clear" w:color="auto" w:fill="auto"/>
            <w:hideMark/>
          </w:tcPr>
          <w:p w14:paraId="61DB08F2" w14:textId="77777777" w:rsidR="00627CA1" w:rsidRPr="00D9348B" w:rsidRDefault="00627CA1" w:rsidP="00DB330E">
            <w:pPr>
              <w:pStyle w:val="Tableboldblue"/>
              <w:jc w:val="right"/>
              <w:rPr>
                <w:rFonts w:cs="Calibri"/>
                <w:lang w:eastAsia="en-NZ"/>
              </w:rPr>
            </w:pPr>
            <w:r w:rsidRPr="00D9348B">
              <w:rPr>
                <w:rFonts w:cs="Calibri"/>
                <w:lang w:eastAsia="en-NZ"/>
              </w:rPr>
              <w:t>–334.3</w:t>
            </w:r>
          </w:p>
        </w:tc>
        <w:tc>
          <w:tcPr>
            <w:tcW w:w="850" w:type="dxa"/>
            <w:tcBorders>
              <w:top w:val="nil"/>
              <w:left w:val="nil"/>
              <w:bottom w:val="single" w:sz="8" w:space="0" w:color="365F91"/>
              <w:right w:val="nil"/>
            </w:tcBorders>
            <w:shd w:val="clear" w:color="auto" w:fill="auto"/>
            <w:hideMark/>
          </w:tcPr>
          <w:p w14:paraId="2AF31ABC" w14:textId="77777777" w:rsidR="00627CA1" w:rsidRPr="00D9348B" w:rsidRDefault="00627CA1" w:rsidP="00DB330E">
            <w:pPr>
              <w:pStyle w:val="Tableboldblue"/>
              <w:jc w:val="right"/>
              <w:rPr>
                <w:rFonts w:cs="Calibri"/>
                <w:lang w:eastAsia="en-NZ"/>
              </w:rPr>
            </w:pPr>
            <w:r w:rsidRPr="00D9348B">
              <w:rPr>
                <w:rFonts w:cs="Calibri"/>
                <w:lang w:eastAsia="en-NZ"/>
              </w:rPr>
              <w:t>–266.5</w:t>
            </w:r>
          </w:p>
        </w:tc>
        <w:tc>
          <w:tcPr>
            <w:tcW w:w="851" w:type="dxa"/>
            <w:tcBorders>
              <w:top w:val="nil"/>
              <w:left w:val="nil"/>
              <w:bottom w:val="single" w:sz="8" w:space="0" w:color="365F91"/>
              <w:right w:val="nil"/>
            </w:tcBorders>
            <w:shd w:val="clear" w:color="auto" w:fill="auto"/>
            <w:hideMark/>
          </w:tcPr>
          <w:p w14:paraId="4B556A93" w14:textId="77777777" w:rsidR="00627CA1" w:rsidRPr="00D9348B" w:rsidRDefault="00627CA1" w:rsidP="00DB330E">
            <w:pPr>
              <w:pStyle w:val="Tableboldblue"/>
              <w:jc w:val="right"/>
              <w:rPr>
                <w:rFonts w:cs="Calibri"/>
                <w:lang w:eastAsia="en-NZ"/>
              </w:rPr>
            </w:pPr>
            <w:r w:rsidRPr="00D9348B">
              <w:rPr>
                <w:rFonts w:cs="Calibri"/>
                <w:lang w:eastAsia="en-NZ"/>
              </w:rPr>
              <w:t>–196.6</w:t>
            </w:r>
          </w:p>
        </w:tc>
        <w:tc>
          <w:tcPr>
            <w:tcW w:w="850" w:type="dxa"/>
            <w:tcBorders>
              <w:top w:val="nil"/>
              <w:left w:val="nil"/>
              <w:bottom w:val="single" w:sz="8" w:space="0" w:color="365F91"/>
              <w:right w:val="nil"/>
            </w:tcBorders>
            <w:shd w:val="clear" w:color="auto" w:fill="auto"/>
            <w:hideMark/>
          </w:tcPr>
          <w:p w14:paraId="26E65FCC" w14:textId="77777777" w:rsidR="00627CA1" w:rsidRPr="00D9348B" w:rsidRDefault="00627CA1" w:rsidP="00DB330E">
            <w:pPr>
              <w:pStyle w:val="Tableboldblue"/>
              <w:jc w:val="right"/>
              <w:rPr>
                <w:rFonts w:cs="Calibri"/>
                <w:lang w:eastAsia="en-NZ"/>
              </w:rPr>
            </w:pPr>
            <w:r w:rsidRPr="00D9348B">
              <w:rPr>
                <w:rFonts w:cs="Calibri"/>
                <w:lang w:eastAsia="en-NZ"/>
              </w:rPr>
              <w:t>–133.9</w:t>
            </w:r>
          </w:p>
        </w:tc>
        <w:tc>
          <w:tcPr>
            <w:tcW w:w="851" w:type="dxa"/>
            <w:tcBorders>
              <w:top w:val="nil"/>
              <w:left w:val="nil"/>
              <w:bottom w:val="single" w:sz="8" w:space="0" w:color="365F91"/>
              <w:right w:val="nil"/>
            </w:tcBorders>
            <w:shd w:val="clear" w:color="auto" w:fill="auto"/>
            <w:hideMark/>
          </w:tcPr>
          <w:p w14:paraId="6EF5D924" w14:textId="77777777" w:rsidR="00627CA1" w:rsidRPr="00D9348B" w:rsidRDefault="00627CA1" w:rsidP="00DB330E">
            <w:pPr>
              <w:pStyle w:val="Tableboldblue"/>
              <w:jc w:val="right"/>
              <w:rPr>
                <w:rFonts w:cs="Calibri"/>
                <w:lang w:eastAsia="en-NZ"/>
              </w:rPr>
            </w:pPr>
            <w:r w:rsidRPr="00D9348B">
              <w:rPr>
                <w:rFonts w:cs="Calibri"/>
                <w:lang w:eastAsia="en-NZ"/>
              </w:rPr>
              <w:t>–85.6</w:t>
            </w:r>
          </w:p>
        </w:tc>
        <w:tc>
          <w:tcPr>
            <w:tcW w:w="850" w:type="dxa"/>
            <w:tcBorders>
              <w:top w:val="nil"/>
              <w:left w:val="nil"/>
              <w:bottom w:val="single" w:sz="8" w:space="0" w:color="365F91"/>
              <w:right w:val="nil"/>
            </w:tcBorders>
            <w:shd w:val="clear" w:color="auto" w:fill="auto"/>
            <w:hideMark/>
          </w:tcPr>
          <w:p w14:paraId="68983795" w14:textId="77777777" w:rsidR="00627CA1" w:rsidRPr="00D9348B" w:rsidRDefault="00627CA1" w:rsidP="00DB330E">
            <w:pPr>
              <w:pStyle w:val="Tableboldblue"/>
              <w:jc w:val="right"/>
              <w:rPr>
                <w:rFonts w:cs="Calibri"/>
                <w:lang w:eastAsia="en-NZ"/>
              </w:rPr>
            </w:pPr>
            <w:r w:rsidRPr="00D9348B">
              <w:rPr>
                <w:rFonts w:cs="Calibri"/>
                <w:lang w:eastAsia="en-NZ"/>
              </w:rPr>
              <w:t>–52.7</w:t>
            </w:r>
          </w:p>
        </w:tc>
        <w:tc>
          <w:tcPr>
            <w:tcW w:w="851" w:type="dxa"/>
            <w:tcBorders>
              <w:top w:val="nil"/>
              <w:left w:val="nil"/>
              <w:bottom w:val="single" w:sz="8" w:space="0" w:color="365F91"/>
              <w:right w:val="nil"/>
            </w:tcBorders>
            <w:shd w:val="clear" w:color="auto" w:fill="auto"/>
            <w:hideMark/>
          </w:tcPr>
          <w:p w14:paraId="3299328F" w14:textId="77777777" w:rsidR="00627CA1" w:rsidRPr="00D9348B" w:rsidRDefault="00627CA1" w:rsidP="00DB330E">
            <w:pPr>
              <w:pStyle w:val="Tableboldblue"/>
              <w:jc w:val="right"/>
              <w:rPr>
                <w:rFonts w:cs="Calibri"/>
                <w:lang w:eastAsia="en-NZ"/>
              </w:rPr>
            </w:pPr>
            <w:r w:rsidRPr="00D9348B">
              <w:rPr>
                <w:rFonts w:cs="Calibri"/>
                <w:lang w:eastAsia="en-NZ"/>
              </w:rPr>
              <w:t>–31.7</w:t>
            </w:r>
          </w:p>
        </w:tc>
        <w:tc>
          <w:tcPr>
            <w:tcW w:w="850" w:type="dxa"/>
            <w:tcBorders>
              <w:top w:val="nil"/>
              <w:left w:val="nil"/>
              <w:bottom w:val="single" w:sz="8" w:space="0" w:color="365F91"/>
              <w:right w:val="nil"/>
            </w:tcBorders>
            <w:shd w:val="clear" w:color="auto" w:fill="auto"/>
            <w:hideMark/>
          </w:tcPr>
          <w:p w14:paraId="3A357336" w14:textId="77777777" w:rsidR="00627CA1" w:rsidRPr="00D9348B" w:rsidRDefault="00627CA1" w:rsidP="00DB330E">
            <w:pPr>
              <w:pStyle w:val="Tableboldblue"/>
              <w:jc w:val="right"/>
              <w:rPr>
                <w:rFonts w:cs="Calibri"/>
                <w:lang w:eastAsia="en-NZ"/>
              </w:rPr>
            </w:pPr>
            <w:r w:rsidRPr="00D9348B">
              <w:rPr>
                <w:rFonts w:cs="Calibri"/>
                <w:lang w:eastAsia="en-NZ"/>
              </w:rPr>
              <w:t>–5.4</w:t>
            </w:r>
          </w:p>
        </w:tc>
        <w:tc>
          <w:tcPr>
            <w:tcW w:w="814" w:type="dxa"/>
            <w:tcBorders>
              <w:top w:val="nil"/>
              <w:left w:val="nil"/>
              <w:bottom w:val="single" w:sz="8" w:space="0" w:color="365F91"/>
              <w:right w:val="nil"/>
            </w:tcBorders>
            <w:shd w:val="clear" w:color="auto" w:fill="auto"/>
            <w:hideMark/>
          </w:tcPr>
          <w:p w14:paraId="2F91C199" w14:textId="77777777" w:rsidR="00627CA1" w:rsidRPr="00D9348B" w:rsidRDefault="00627CA1" w:rsidP="00DB330E">
            <w:pPr>
              <w:pStyle w:val="Tableboldblue"/>
              <w:jc w:val="right"/>
              <w:rPr>
                <w:rFonts w:cs="Calibri"/>
                <w:lang w:eastAsia="en-NZ"/>
              </w:rPr>
            </w:pPr>
            <w:r w:rsidRPr="00D9348B">
              <w:rPr>
                <w:rFonts w:cs="Calibri"/>
                <w:lang w:eastAsia="en-NZ"/>
              </w:rPr>
              <w:t>–7.2</w:t>
            </w:r>
          </w:p>
        </w:tc>
      </w:tr>
      <w:tr w:rsidR="00627CA1" w:rsidRPr="00D9348B" w14:paraId="0CEFD231" w14:textId="77777777" w:rsidTr="00DB330E">
        <w:tc>
          <w:tcPr>
            <w:tcW w:w="5529" w:type="dxa"/>
            <w:gridSpan w:val="2"/>
            <w:tcBorders>
              <w:top w:val="nil"/>
              <w:left w:val="nil"/>
              <w:bottom w:val="nil"/>
              <w:right w:val="nil"/>
            </w:tcBorders>
            <w:shd w:val="clear" w:color="auto" w:fill="auto"/>
            <w:noWrap/>
            <w:hideMark/>
          </w:tcPr>
          <w:p w14:paraId="0AAC72BB" w14:textId="77777777" w:rsidR="00627CA1" w:rsidRPr="00D9348B" w:rsidRDefault="00627CA1" w:rsidP="00DB330E">
            <w:pPr>
              <w:pStyle w:val="TableText"/>
              <w:rPr>
                <w:rFonts w:cs="Calibri"/>
              </w:rPr>
            </w:pPr>
            <w:r w:rsidRPr="00D9348B">
              <w:rPr>
                <w:rFonts w:cs="Calibri"/>
              </w:rPr>
              <w:t>Land in transition (under a 28 year transition period)</w:t>
            </w:r>
          </w:p>
        </w:tc>
        <w:tc>
          <w:tcPr>
            <w:tcW w:w="850" w:type="dxa"/>
            <w:tcBorders>
              <w:top w:val="nil"/>
              <w:left w:val="nil"/>
              <w:bottom w:val="nil"/>
              <w:right w:val="nil"/>
            </w:tcBorders>
            <w:shd w:val="clear" w:color="auto" w:fill="auto"/>
            <w:noWrap/>
            <w:vAlign w:val="bottom"/>
            <w:hideMark/>
          </w:tcPr>
          <w:p w14:paraId="14BA298E" w14:textId="77777777" w:rsidR="00627CA1" w:rsidRPr="00D9348B" w:rsidRDefault="00627CA1" w:rsidP="00DB330E">
            <w:pPr>
              <w:pStyle w:val="TableText"/>
              <w:rPr>
                <w:rFonts w:cs="Calibri"/>
              </w:rPr>
            </w:pPr>
          </w:p>
        </w:tc>
        <w:tc>
          <w:tcPr>
            <w:tcW w:w="851" w:type="dxa"/>
            <w:tcBorders>
              <w:top w:val="nil"/>
              <w:left w:val="nil"/>
              <w:bottom w:val="nil"/>
              <w:right w:val="nil"/>
            </w:tcBorders>
            <w:shd w:val="clear" w:color="auto" w:fill="auto"/>
            <w:noWrap/>
            <w:vAlign w:val="bottom"/>
            <w:hideMark/>
          </w:tcPr>
          <w:p w14:paraId="44D8FA36" w14:textId="77777777" w:rsidR="00627CA1" w:rsidRPr="00D9348B" w:rsidRDefault="00627CA1" w:rsidP="00DB330E">
            <w:pPr>
              <w:pStyle w:val="TableText"/>
              <w:rPr>
                <w:rFonts w:cs="Calibri"/>
              </w:rPr>
            </w:pPr>
          </w:p>
        </w:tc>
        <w:tc>
          <w:tcPr>
            <w:tcW w:w="850" w:type="dxa"/>
            <w:tcBorders>
              <w:top w:val="nil"/>
              <w:left w:val="nil"/>
              <w:bottom w:val="nil"/>
              <w:right w:val="nil"/>
            </w:tcBorders>
            <w:shd w:val="clear" w:color="auto" w:fill="auto"/>
            <w:noWrap/>
            <w:vAlign w:val="bottom"/>
            <w:hideMark/>
          </w:tcPr>
          <w:p w14:paraId="5303CA59" w14:textId="77777777" w:rsidR="00627CA1" w:rsidRPr="00D9348B" w:rsidRDefault="00627CA1" w:rsidP="00DB330E">
            <w:pPr>
              <w:pStyle w:val="TableText"/>
              <w:rPr>
                <w:rFonts w:cs="Calibri"/>
              </w:rPr>
            </w:pPr>
          </w:p>
        </w:tc>
        <w:tc>
          <w:tcPr>
            <w:tcW w:w="851" w:type="dxa"/>
            <w:tcBorders>
              <w:top w:val="nil"/>
              <w:left w:val="nil"/>
              <w:bottom w:val="nil"/>
              <w:right w:val="nil"/>
            </w:tcBorders>
            <w:shd w:val="clear" w:color="auto" w:fill="auto"/>
            <w:noWrap/>
            <w:vAlign w:val="bottom"/>
            <w:hideMark/>
          </w:tcPr>
          <w:p w14:paraId="5376A547" w14:textId="77777777" w:rsidR="00627CA1" w:rsidRPr="00D9348B" w:rsidRDefault="00627CA1" w:rsidP="00DB330E">
            <w:pPr>
              <w:pStyle w:val="TableText"/>
              <w:rPr>
                <w:rFonts w:cs="Calibri"/>
              </w:rPr>
            </w:pPr>
          </w:p>
        </w:tc>
        <w:tc>
          <w:tcPr>
            <w:tcW w:w="850" w:type="dxa"/>
            <w:tcBorders>
              <w:top w:val="nil"/>
              <w:left w:val="nil"/>
              <w:bottom w:val="nil"/>
              <w:right w:val="nil"/>
            </w:tcBorders>
            <w:shd w:val="clear" w:color="auto" w:fill="auto"/>
            <w:noWrap/>
            <w:vAlign w:val="bottom"/>
            <w:hideMark/>
          </w:tcPr>
          <w:p w14:paraId="09AF72AF" w14:textId="77777777" w:rsidR="00627CA1" w:rsidRPr="00D9348B" w:rsidRDefault="00627CA1" w:rsidP="00DB330E">
            <w:pPr>
              <w:pStyle w:val="TableText"/>
              <w:rPr>
                <w:rFonts w:cs="Calibri"/>
              </w:rPr>
            </w:pPr>
          </w:p>
        </w:tc>
        <w:tc>
          <w:tcPr>
            <w:tcW w:w="851" w:type="dxa"/>
            <w:tcBorders>
              <w:top w:val="nil"/>
              <w:left w:val="nil"/>
              <w:bottom w:val="nil"/>
              <w:right w:val="nil"/>
            </w:tcBorders>
            <w:shd w:val="clear" w:color="auto" w:fill="auto"/>
            <w:noWrap/>
            <w:vAlign w:val="bottom"/>
            <w:hideMark/>
          </w:tcPr>
          <w:p w14:paraId="2ACF478B" w14:textId="77777777" w:rsidR="00627CA1" w:rsidRPr="00D9348B" w:rsidRDefault="00627CA1" w:rsidP="00DB330E">
            <w:pPr>
              <w:pStyle w:val="TableText"/>
              <w:rPr>
                <w:rFonts w:cs="Calibri"/>
              </w:rPr>
            </w:pPr>
          </w:p>
        </w:tc>
        <w:tc>
          <w:tcPr>
            <w:tcW w:w="850" w:type="dxa"/>
            <w:tcBorders>
              <w:top w:val="nil"/>
              <w:left w:val="nil"/>
              <w:bottom w:val="nil"/>
              <w:right w:val="nil"/>
            </w:tcBorders>
            <w:shd w:val="clear" w:color="auto" w:fill="auto"/>
            <w:noWrap/>
            <w:vAlign w:val="bottom"/>
            <w:hideMark/>
          </w:tcPr>
          <w:p w14:paraId="6CF85A2A" w14:textId="77777777" w:rsidR="00627CA1" w:rsidRPr="00D9348B" w:rsidRDefault="00627CA1" w:rsidP="00DB330E">
            <w:pPr>
              <w:pStyle w:val="TableText"/>
              <w:rPr>
                <w:rFonts w:cs="Calibri"/>
              </w:rPr>
            </w:pPr>
          </w:p>
        </w:tc>
        <w:tc>
          <w:tcPr>
            <w:tcW w:w="851" w:type="dxa"/>
            <w:tcBorders>
              <w:top w:val="nil"/>
              <w:left w:val="nil"/>
              <w:bottom w:val="nil"/>
              <w:right w:val="nil"/>
            </w:tcBorders>
            <w:shd w:val="clear" w:color="auto" w:fill="auto"/>
            <w:noWrap/>
            <w:vAlign w:val="bottom"/>
            <w:hideMark/>
          </w:tcPr>
          <w:p w14:paraId="0EA7DFB8" w14:textId="77777777" w:rsidR="00627CA1" w:rsidRPr="00D9348B" w:rsidRDefault="00627CA1" w:rsidP="00DB330E">
            <w:pPr>
              <w:pStyle w:val="TableText"/>
              <w:rPr>
                <w:rFonts w:cs="Calibri"/>
              </w:rPr>
            </w:pPr>
          </w:p>
        </w:tc>
        <w:tc>
          <w:tcPr>
            <w:tcW w:w="850" w:type="dxa"/>
            <w:tcBorders>
              <w:top w:val="nil"/>
              <w:left w:val="nil"/>
              <w:bottom w:val="nil"/>
              <w:right w:val="nil"/>
            </w:tcBorders>
            <w:shd w:val="clear" w:color="auto" w:fill="auto"/>
            <w:noWrap/>
            <w:vAlign w:val="bottom"/>
            <w:hideMark/>
          </w:tcPr>
          <w:p w14:paraId="593E3D08" w14:textId="77777777" w:rsidR="00627CA1" w:rsidRPr="00D9348B" w:rsidRDefault="00627CA1" w:rsidP="00DB330E">
            <w:pPr>
              <w:pStyle w:val="TableText"/>
              <w:rPr>
                <w:rFonts w:cs="Calibri"/>
              </w:rPr>
            </w:pPr>
          </w:p>
        </w:tc>
        <w:tc>
          <w:tcPr>
            <w:tcW w:w="814" w:type="dxa"/>
            <w:tcBorders>
              <w:top w:val="nil"/>
              <w:left w:val="nil"/>
              <w:bottom w:val="nil"/>
              <w:right w:val="nil"/>
            </w:tcBorders>
            <w:shd w:val="clear" w:color="auto" w:fill="auto"/>
            <w:noWrap/>
            <w:vAlign w:val="bottom"/>
            <w:hideMark/>
          </w:tcPr>
          <w:p w14:paraId="43B835AC" w14:textId="77777777" w:rsidR="00627CA1" w:rsidRPr="00D9348B" w:rsidRDefault="00627CA1" w:rsidP="00DB330E">
            <w:pPr>
              <w:pStyle w:val="TableText"/>
              <w:rPr>
                <w:rFonts w:cs="Calibri"/>
              </w:rPr>
            </w:pPr>
          </w:p>
        </w:tc>
      </w:tr>
      <w:tr w:rsidR="00627CA1" w:rsidRPr="00D9348B" w14:paraId="7D28DB3E" w14:textId="77777777" w:rsidTr="00DB330E">
        <w:tc>
          <w:tcPr>
            <w:tcW w:w="4678" w:type="dxa"/>
            <w:tcBorders>
              <w:top w:val="nil"/>
              <w:left w:val="nil"/>
              <w:bottom w:val="nil"/>
              <w:right w:val="nil"/>
            </w:tcBorders>
            <w:shd w:val="clear" w:color="auto" w:fill="auto"/>
            <w:noWrap/>
            <w:hideMark/>
          </w:tcPr>
          <w:p w14:paraId="675F58F2" w14:textId="77777777" w:rsidR="00627CA1" w:rsidRPr="00D9348B" w:rsidRDefault="00627CA1" w:rsidP="00DB330E">
            <w:pPr>
              <w:pStyle w:val="TableText"/>
              <w:rPr>
                <w:rFonts w:cs="Calibri"/>
                <w:color w:val="000000"/>
              </w:rPr>
            </w:pPr>
            <w:r w:rsidRPr="00D9348B">
              <w:rPr>
                <w:rFonts w:cs="Calibri"/>
                <w:color w:val="000000"/>
              </w:rPr>
              <w:t>New forest planted before 1990 – included in FM (kha)</w:t>
            </w:r>
          </w:p>
        </w:tc>
        <w:tc>
          <w:tcPr>
            <w:tcW w:w="851" w:type="dxa"/>
            <w:tcBorders>
              <w:top w:val="nil"/>
              <w:left w:val="nil"/>
              <w:bottom w:val="nil"/>
              <w:right w:val="nil"/>
            </w:tcBorders>
            <w:shd w:val="clear" w:color="auto" w:fill="auto"/>
            <w:noWrap/>
            <w:hideMark/>
          </w:tcPr>
          <w:p w14:paraId="4FE43021" w14:textId="77777777" w:rsidR="00627CA1" w:rsidRPr="00D9348B" w:rsidRDefault="00627CA1" w:rsidP="00DB330E">
            <w:pPr>
              <w:pStyle w:val="TableText"/>
              <w:jc w:val="right"/>
              <w:rPr>
                <w:rFonts w:cs="Calibri"/>
                <w:color w:val="000000"/>
              </w:rPr>
            </w:pPr>
            <w:r w:rsidRPr="00D9348B">
              <w:rPr>
                <w:rFonts w:cs="Calibri"/>
                <w:color w:val="000000"/>
              </w:rPr>
              <w:t>455.1</w:t>
            </w:r>
          </w:p>
        </w:tc>
        <w:tc>
          <w:tcPr>
            <w:tcW w:w="850" w:type="dxa"/>
            <w:tcBorders>
              <w:top w:val="nil"/>
              <w:left w:val="nil"/>
              <w:bottom w:val="nil"/>
              <w:right w:val="nil"/>
            </w:tcBorders>
            <w:shd w:val="clear" w:color="auto" w:fill="auto"/>
            <w:noWrap/>
            <w:hideMark/>
          </w:tcPr>
          <w:p w14:paraId="00173144" w14:textId="77777777" w:rsidR="00627CA1" w:rsidRPr="00D9348B" w:rsidRDefault="00627CA1" w:rsidP="00DB330E">
            <w:pPr>
              <w:pStyle w:val="TableText"/>
              <w:jc w:val="right"/>
              <w:rPr>
                <w:rFonts w:cs="Calibri"/>
                <w:color w:val="000000"/>
              </w:rPr>
            </w:pPr>
            <w:r w:rsidRPr="00D9348B">
              <w:rPr>
                <w:rFonts w:cs="Calibri"/>
                <w:color w:val="000000"/>
              </w:rPr>
              <w:t>398.7</w:t>
            </w:r>
          </w:p>
        </w:tc>
        <w:tc>
          <w:tcPr>
            <w:tcW w:w="851" w:type="dxa"/>
            <w:tcBorders>
              <w:top w:val="nil"/>
              <w:left w:val="nil"/>
              <w:bottom w:val="nil"/>
              <w:right w:val="nil"/>
            </w:tcBorders>
            <w:shd w:val="clear" w:color="auto" w:fill="auto"/>
            <w:noWrap/>
            <w:hideMark/>
          </w:tcPr>
          <w:p w14:paraId="14C9B7ED" w14:textId="77777777" w:rsidR="00627CA1" w:rsidRPr="00D9348B" w:rsidRDefault="00627CA1" w:rsidP="00DB330E">
            <w:pPr>
              <w:pStyle w:val="TableText"/>
              <w:jc w:val="right"/>
              <w:rPr>
                <w:rFonts w:cs="Calibri"/>
                <w:color w:val="000000"/>
              </w:rPr>
            </w:pPr>
            <w:r w:rsidRPr="00D9348B">
              <w:rPr>
                <w:rFonts w:cs="Calibri"/>
                <w:color w:val="000000"/>
              </w:rPr>
              <w:t>334.3</w:t>
            </w:r>
          </w:p>
        </w:tc>
        <w:tc>
          <w:tcPr>
            <w:tcW w:w="850" w:type="dxa"/>
            <w:tcBorders>
              <w:top w:val="nil"/>
              <w:left w:val="nil"/>
              <w:bottom w:val="nil"/>
              <w:right w:val="nil"/>
            </w:tcBorders>
            <w:shd w:val="clear" w:color="auto" w:fill="auto"/>
            <w:noWrap/>
            <w:hideMark/>
          </w:tcPr>
          <w:p w14:paraId="19A1B7BF" w14:textId="77777777" w:rsidR="00627CA1" w:rsidRPr="00D9348B" w:rsidRDefault="00627CA1" w:rsidP="00DB330E">
            <w:pPr>
              <w:pStyle w:val="TableText"/>
              <w:jc w:val="right"/>
              <w:rPr>
                <w:rFonts w:cs="Calibri"/>
                <w:color w:val="000000"/>
              </w:rPr>
            </w:pPr>
            <w:r w:rsidRPr="00D9348B">
              <w:rPr>
                <w:rFonts w:cs="Calibri"/>
                <w:color w:val="000000"/>
              </w:rPr>
              <w:t>266.5</w:t>
            </w:r>
          </w:p>
        </w:tc>
        <w:tc>
          <w:tcPr>
            <w:tcW w:w="851" w:type="dxa"/>
            <w:tcBorders>
              <w:top w:val="nil"/>
              <w:left w:val="nil"/>
              <w:bottom w:val="nil"/>
              <w:right w:val="nil"/>
            </w:tcBorders>
            <w:shd w:val="clear" w:color="auto" w:fill="auto"/>
            <w:noWrap/>
            <w:hideMark/>
          </w:tcPr>
          <w:p w14:paraId="6C12E7CE" w14:textId="77777777" w:rsidR="00627CA1" w:rsidRPr="00D9348B" w:rsidRDefault="00627CA1" w:rsidP="00DB330E">
            <w:pPr>
              <w:pStyle w:val="TableText"/>
              <w:jc w:val="right"/>
              <w:rPr>
                <w:rFonts w:cs="Calibri"/>
                <w:color w:val="000000"/>
              </w:rPr>
            </w:pPr>
            <w:r w:rsidRPr="00D9348B">
              <w:rPr>
                <w:rFonts w:cs="Calibri"/>
                <w:color w:val="000000"/>
              </w:rPr>
              <w:t>196.6</w:t>
            </w:r>
          </w:p>
        </w:tc>
        <w:tc>
          <w:tcPr>
            <w:tcW w:w="850" w:type="dxa"/>
            <w:tcBorders>
              <w:top w:val="nil"/>
              <w:left w:val="nil"/>
              <w:bottom w:val="nil"/>
              <w:right w:val="nil"/>
            </w:tcBorders>
            <w:shd w:val="clear" w:color="auto" w:fill="auto"/>
            <w:noWrap/>
            <w:hideMark/>
          </w:tcPr>
          <w:p w14:paraId="2C53B42E" w14:textId="77777777" w:rsidR="00627CA1" w:rsidRPr="00D9348B" w:rsidRDefault="00627CA1" w:rsidP="00DB330E">
            <w:pPr>
              <w:pStyle w:val="TableText"/>
              <w:jc w:val="right"/>
              <w:rPr>
                <w:rFonts w:cs="Calibri"/>
                <w:color w:val="000000"/>
              </w:rPr>
            </w:pPr>
            <w:r w:rsidRPr="00D9348B">
              <w:rPr>
                <w:rFonts w:cs="Calibri"/>
                <w:color w:val="000000"/>
              </w:rPr>
              <w:t>133.9</w:t>
            </w:r>
          </w:p>
        </w:tc>
        <w:tc>
          <w:tcPr>
            <w:tcW w:w="851" w:type="dxa"/>
            <w:tcBorders>
              <w:top w:val="nil"/>
              <w:left w:val="nil"/>
              <w:bottom w:val="nil"/>
              <w:right w:val="nil"/>
            </w:tcBorders>
            <w:shd w:val="clear" w:color="auto" w:fill="auto"/>
            <w:noWrap/>
            <w:hideMark/>
          </w:tcPr>
          <w:p w14:paraId="2234112B" w14:textId="77777777" w:rsidR="00627CA1" w:rsidRPr="00D9348B" w:rsidRDefault="00627CA1" w:rsidP="00DB330E">
            <w:pPr>
              <w:pStyle w:val="TableText"/>
              <w:jc w:val="right"/>
              <w:rPr>
                <w:rFonts w:cs="Calibri"/>
                <w:color w:val="000000"/>
              </w:rPr>
            </w:pPr>
            <w:r w:rsidRPr="00D9348B">
              <w:rPr>
                <w:rFonts w:cs="Calibri"/>
                <w:color w:val="000000"/>
              </w:rPr>
              <w:t>85.6</w:t>
            </w:r>
          </w:p>
        </w:tc>
        <w:tc>
          <w:tcPr>
            <w:tcW w:w="850" w:type="dxa"/>
            <w:tcBorders>
              <w:top w:val="nil"/>
              <w:left w:val="nil"/>
              <w:bottom w:val="nil"/>
              <w:right w:val="nil"/>
            </w:tcBorders>
            <w:shd w:val="clear" w:color="auto" w:fill="auto"/>
            <w:noWrap/>
            <w:hideMark/>
          </w:tcPr>
          <w:p w14:paraId="42836AE6" w14:textId="77777777" w:rsidR="00627CA1" w:rsidRPr="00D9348B" w:rsidRDefault="00627CA1" w:rsidP="00DB330E">
            <w:pPr>
              <w:pStyle w:val="TableText"/>
              <w:jc w:val="right"/>
              <w:rPr>
                <w:rFonts w:cs="Calibri"/>
                <w:color w:val="000000"/>
              </w:rPr>
            </w:pPr>
            <w:r w:rsidRPr="00D9348B">
              <w:rPr>
                <w:rFonts w:cs="Calibri"/>
                <w:color w:val="000000"/>
              </w:rPr>
              <w:t>52.1</w:t>
            </w:r>
          </w:p>
        </w:tc>
        <w:tc>
          <w:tcPr>
            <w:tcW w:w="851" w:type="dxa"/>
            <w:tcBorders>
              <w:top w:val="nil"/>
              <w:left w:val="nil"/>
              <w:bottom w:val="nil"/>
              <w:right w:val="nil"/>
            </w:tcBorders>
            <w:shd w:val="clear" w:color="auto" w:fill="auto"/>
            <w:noWrap/>
            <w:hideMark/>
          </w:tcPr>
          <w:p w14:paraId="46A8CFF2" w14:textId="77777777" w:rsidR="00627CA1" w:rsidRPr="00D9348B" w:rsidRDefault="00627CA1" w:rsidP="00DB330E">
            <w:pPr>
              <w:pStyle w:val="TableText"/>
              <w:jc w:val="right"/>
              <w:rPr>
                <w:rFonts w:cs="Calibri"/>
                <w:color w:val="000000"/>
              </w:rPr>
            </w:pPr>
            <w:r w:rsidRPr="00D9348B">
              <w:rPr>
                <w:rFonts w:cs="Calibri"/>
                <w:color w:val="000000"/>
              </w:rPr>
              <w:t>29.0</w:t>
            </w:r>
          </w:p>
        </w:tc>
        <w:tc>
          <w:tcPr>
            <w:tcW w:w="850" w:type="dxa"/>
            <w:tcBorders>
              <w:top w:val="nil"/>
              <w:left w:val="nil"/>
              <w:bottom w:val="nil"/>
              <w:right w:val="nil"/>
            </w:tcBorders>
            <w:shd w:val="clear" w:color="auto" w:fill="auto"/>
            <w:noWrap/>
            <w:hideMark/>
          </w:tcPr>
          <w:p w14:paraId="553E6150" w14:textId="77777777" w:rsidR="00627CA1" w:rsidRPr="00D9348B" w:rsidRDefault="00627CA1" w:rsidP="00DB330E">
            <w:pPr>
              <w:pStyle w:val="TableText"/>
              <w:jc w:val="right"/>
              <w:rPr>
                <w:rFonts w:cs="Calibri"/>
                <w:color w:val="000000"/>
              </w:rPr>
            </w:pPr>
            <w:r w:rsidRPr="00D9348B">
              <w:rPr>
                <w:rFonts w:cs="Calibri"/>
                <w:color w:val="000000"/>
              </w:rPr>
              <w:t>–</w:t>
            </w:r>
          </w:p>
        </w:tc>
        <w:tc>
          <w:tcPr>
            <w:tcW w:w="814" w:type="dxa"/>
            <w:tcBorders>
              <w:top w:val="nil"/>
              <w:left w:val="nil"/>
              <w:bottom w:val="nil"/>
              <w:right w:val="nil"/>
            </w:tcBorders>
            <w:shd w:val="clear" w:color="auto" w:fill="auto"/>
            <w:noWrap/>
            <w:hideMark/>
          </w:tcPr>
          <w:p w14:paraId="55281134" w14:textId="77777777" w:rsidR="00627CA1" w:rsidRPr="00D9348B" w:rsidRDefault="00627CA1" w:rsidP="00DB330E">
            <w:pPr>
              <w:pStyle w:val="TableText"/>
              <w:jc w:val="right"/>
              <w:rPr>
                <w:rFonts w:cs="Calibri"/>
                <w:color w:val="000000"/>
              </w:rPr>
            </w:pPr>
            <w:r w:rsidRPr="00D9348B">
              <w:rPr>
                <w:rFonts w:cs="Calibri"/>
                <w:color w:val="000000"/>
              </w:rPr>
              <w:t>–</w:t>
            </w:r>
          </w:p>
        </w:tc>
      </w:tr>
      <w:tr w:rsidR="00627CA1" w:rsidRPr="00D9348B" w14:paraId="0B8E68E0" w14:textId="77777777" w:rsidTr="00DB330E">
        <w:tc>
          <w:tcPr>
            <w:tcW w:w="4678" w:type="dxa"/>
            <w:tcBorders>
              <w:top w:val="nil"/>
              <w:left w:val="nil"/>
              <w:bottom w:val="nil"/>
              <w:right w:val="nil"/>
            </w:tcBorders>
            <w:shd w:val="clear" w:color="auto" w:fill="auto"/>
            <w:noWrap/>
          </w:tcPr>
          <w:p w14:paraId="236FD42F" w14:textId="77777777" w:rsidR="00627CA1" w:rsidRPr="00D9348B" w:rsidRDefault="00627CA1" w:rsidP="00DB330E">
            <w:pPr>
              <w:pStyle w:val="TableText"/>
              <w:rPr>
                <w:rFonts w:cs="Calibri"/>
                <w:color w:val="000000"/>
              </w:rPr>
            </w:pPr>
            <w:r w:rsidRPr="00D9348B">
              <w:rPr>
                <w:rFonts w:cs="Calibri"/>
                <w:color w:val="000000"/>
              </w:rPr>
              <w:t>New forest planted after 1990 – included in A&amp;R (kha)</w:t>
            </w:r>
          </w:p>
        </w:tc>
        <w:tc>
          <w:tcPr>
            <w:tcW w:w="851" w:type="dxa"/>
            <w:tcBorders>
              <w:top w:val="nil"/>
              <w:left w:val="nil"/>
              <w:bottom w:val="nil"/>
              <w:right w:val="nil"/>
            </w:tcBorders>
            <w:shd w:val="clear" w:color="auto" w:fill="auto"/>
            <w:noWrap/>
          </w:tcPr>
          <w:p w14:paraId="142BCFE4" w14:textId="77777777" w:rsidR="00627CA1" w:rsidRPr="00D9348B" w:rsidRDefault="00627CA1" w:rsidP="00DB330E">
            <w:pPr>
              <w:pStyle w:val="TableText"/>
              <w:jc w:val="right"/>
              <w:rPr>
                <w:rFonts w:cs="Calibri"/>
                <w:color w:val="000000"/>
              </w:rPr>
            </w:pPr>
            <w:r w:rsidRPr="00D9348B">
              <w:rPr>
                <w:rFonts w:cs="Calibri"/>
                <w:color w:val="000000"/>
              </w:rPr>
              <w:t>–</w:t>
            </w:r>
          </w:p>
        </w:tc>
        <w:tc>
          <w:tcPr>
            <w:tcW w:w="850" w:type="dxa"/>
            <w:tcBorders>
              <w:top w:val="nil"/>
              <w:left w:val="nil"/>
              <w:bottom w:val="nil"/>
              <w:right w:val="nil"/>
            </w:tcBorders>
            <w:shd w:val="clear" w:color="auto" w:fill="auto"/>
            <w:noWrap/>
          </w:tcPr>
          <w:p w14:paraId="6FD315DF" w14:textId="77777777" w:rsidR="00627CA1" w:rsidRPr="00D9348B" w:rsidRDefault="00627CA1" w:rsidP="00DB330E">
            <w:pPr>
              <w:pStyle w:val="TableText"/>
              <w:jc w:val="right"/>
              <w:rPr>
                <w:rFonts w:cs="Calibri"/>
                <w:color w:val="000000"/>
              </w:rPr>
            </w:pPr>
            <w:r w:rsidRPr="00D9348B">
              <w:rPr>
                <w:rFonts w:cs="Calibri"/>
                <w:color w:val="000000"/>
              </w:rPr>
              <w:t>–</w:t>
            </w:r>
          </w:p>
        </w:tc>
        <w:tc>
          <w:tcPr>
            <w:tcW w:w="851" w:type="dxa"/>
            <w:tcBorders>
              <w:top w:val="nil"/>
              <w:left w:val="nil"/>
              <w:bottom w:val="nil"/>
              <w:right w:val="nil"/>
            </w:tcBorders>
            <w:shd w:val="clear" w:color="auto" w:fill="auto"/>
            <w:noWrap/>
          </w:tcPr>
          <w:p w14:paraId="0FFB071F" w14:textId="77777777" w:rsidR="00627CA1" w:rsidRPr="00D9348B" w:rsidRDefault="00627CA1" w:rsidP="00DB330E">
            <w:pPr>
              <w:pStyle w:val="TableText"/>
              <w:jc w:val="right"/>
              <w:rPr>
                <w:rFonts w:cs="Calibri"/>
                <w:color w:val="000000"/>
              </w:rPr>
            </w:pPr>
            <w:r w:rsidRPr="00D9348B">
              <w:rPr>
                <w:rFonts w:cs="Calibri"/>
                <w:color w:val="000000"/>
              </w:rPr>
              <w:t>–</w:t>
            </w:r>
          </w:p>
        </w:tc>
        <w:tc>
          <w:tcPr>
            <w:tcW w:w="850" w:type="dxa"/>
            <w:tcBorders>
              <w:top w:val="nil"/>
              <w:left w:val="nil"/>
              <w:bottom w:val="nil"/>
              <w:right w:val="nil"/>
            </w:tcBorders>
            <w:shd w:val="clear" w:color="auto" w:fill="auto"/>
            <w:noWrap/>
          </w:tcPr>
          <w:p w14:paraId="2C4CF486" w14:textId="77777777" w:rsidR="00627CA1" w:rsidRPr="00D9348B" w:rsidRDefault="00627CA1" w:rsidP="00DB330E">
            <w:pPr>
              <w:pStyle w:val="TableText"/>
              <w:jc w:val="right"/>
              <w:rPr>
                <w:rFonts w:cs="Calibri"/>
                <w:color w:val="000000"/>
              </w:rPr>
            </w:pPr>
            <w:r w:rsidRPr="00D9348B">
              <w:rPr>
                <w:rFonts w:cs="Calibri"/>
                <w:color w:val="000000"/>
              </w:rPr>
              <w:t>–</w:t>
            </w:r>
          </w:p>
        </w:tc>
        <w:tc>
          <w:tcPr>
            <w:tcW w:w="851" w:type="dxa"/>
            <w:tcBorders>
              <w:top w:val="nil"/>
              <w:left w:val="nil"/>
              <w:bottom w:val="nil"/>
              <w:right w:val="nil"/>
            </w:tcBorders>
            <w:shd w:val="clear" w:color="auto" w:fill="auto"/>
            <w:noWrap/>
          </w:tcPr>
          <w:p w14:paraId="1F4D7E5E" w14:textId="77777777" w:rsidR="00627CA1" w:rsidRPr="00D9348B" w:rsidRDefault="00627CA1" w:rsidP="00DB330E">
            <w:pPr>
              <w:pStyle w:val="TableText"/>
              <w:jc w:val="right"/>
              <w:rPr>
                <w:rFonts w:cs="Calibri"/>
                <w:color w:val="000000"/>
              </w:rPr>
            </w:pPr>
            <w:r w:rsidRPr="00D9348B">
              <w:rPr>
                <w:rFonts w:cs="Calibri"/>
                <w:color w:val="000000"/>
              </w:rPr>
              <w:t>–</w:t>
            </w:r>
          </w:p>
        </w:tc>
        <w:tc>
          <w:tcPr>
            <w:tcW w:w="850" w:type="dxa"/>
            <w:tcBorders>
              <w:top w:val="nil"/>
              <w:left w:val="nil"/>
              <w:bottom w:val="nil"/>
              <w:right w:val="nil"/>
            </w:tcBorders>
            <w:shd w:val="clear" w:color="auto" w:fill="auto"/>
            <w:noWrap/>
          </w:tcPr>
          <w:p w14:paraId="7AF58CC6" w14:textId="77777777" w:rsidR="00627CA1" w:rsidRPr="00D9348B" w:rsidRDefault="00627CA1" w:rsidP="00DB330E">
            <w:pPr>
              <w:pStyle w:val="TableText"/>
              <w:jc w:val="right"/>
              <w:rPr>
                <w:rFonts w:cs="Calibri"/>
                <w:color w:val="000000"/>
              </w:rPr>
            </w:pPr>
            <w:r w:rsidRPr="00D9348B">
              <w:rPr>
                <w:rFonts w:cs="Calibri"/>
                <w:color w:val="000000"/>
              </w:rPr>
              <w:t>–</w:t>
            </w:r>
          </w:p>
        </w:tc>
        <w:tc>
          <w:tcPr>
            <w:tcW w:w="851" w:type="dxa"/>
            <w:tcBorders>
              <w:top w:val="nil"/>
              <w:left w:val="nil"/>
              <w:bottom w:val="nil"/>
              <w:right w:val="nil"/>
            </w:tcBorders>
            <w:shd w:val="clear" w:color="auto" w:fill="auto"/>
            <w:noWrap/>
          </w:tcPr>
          <w:p w14:paraId="392683B6" w14:textId="77777777" w:rsidR="00627CA1" w:rsidRPr="00D9348B" w:rsidRDefault="00627CA1" w:rsidP="00DB330E">
            <w:pPr>
              <w:pStyle w:val="TableText"/>
              <w:jc w:val="right"/>
              <w:rPr>
                <w:rFonts w:cs="Calibri"/>
                <w:color w:val="000000"/>
              </w:rPr>
            </w:pPr>
            <w:r w:rsidRPr="00D9348B">
              <w:rPr>
                <w:rFonts w:cs="Calibri"/>
                <w:color w:val="000000"/>
              </w:rPr>
              <w:t>–</w:t>
            </w:r>
          </w:p>
        </w:tc>
        <w:tc>
          <w:tcPr>
            <w:tcW w:w="850" w:type="dxa"/>
            <w:tcBorders>
              <w:top w:val="nil"/>
              <w:left w:val="nil"/>
              <w:bottom w:val="nil"/>
              <w:right w:val="nil"/>
            </w:tcBorders>
            <w:shd w:val="clear" w:color="auto" w:fill="auto"/>
            <w:noWrap/>
          </w:tcPr>
          <w:p w14:paraId="1597B9A8" w14:textId="77777777" w:rsidR="00627CA1" w:rsidRPr="00D9348B" w:rsidRDefault="00627CA1" w:rsidP="00DB330E">
            <w:pPr>
              <w:pStyle w:val="TableText"/>
              <w:jc w:val="right"/>
              <w:rPr>
                <w:rFonts w:cs="Calibri"/>
                <w:color w:val="000000"/>
              </w:rPr>
            </w:pPr>
            <w:r w:rsidRPr="00D9348B">
              <w:rPr>
                <w:rFonts w:cs="Calibri"/>
                <w:color w:val="000000"/>
              </w:rPr>
              <w:t>–</w:t>
            </w:r>
          </w:p>
        </w:tc>
        <w:tc>
          <w:tcPr>
            <w:tcW w:w="851" w:type="dxa"/>
            <w:tcBorders>
              <w:top w:val="nil"/>
              <w:left w:val="nil"/>
              <w:bottom w:val="nil"/>
              <w:right w:val="nil"/>
            </w:tcBorders>
            <w:shd w:val="clear" w:color="auto" w:fill="auto"/>
            <w:noWrap/>
          </w:tcPr>
          <w:p w14:paraId="78BA2204" w14:textId="77777777" w:rsidR="00627CA1" w:rsidRPr="00D9348B" w:rsidRDefault="00627CA1" w:rsidP="00DB330E">
            <w:pPr>
              <w:pStyle w:val="TableText"/>
              <w:jc w:val="right"/>
              <w:rPr>
                <w:rFonts w:cs="Calibri"/>
                <w:color w:val="000000"/>
              </w:rPr>
            </w:pPr>
            <w:r w:rsidRPr="00D9348B">
              <w:rPr>
                <w:rFonts w:cs="Calibri"/>
                <w:color w:val="000000"/>
              </w:rPr>
              <w:t>–</w:t>
            </w:r>
          </w:p>
        </w:tc>
        <w:tc>
          <w:tcPr>
            <w:tcW w:w="850" w:type="dxa"/>
            <w:tcBorders>
              <w:top w:val="nil"/>
              <w:left w:val="nil"/>
              <w:bottom w:val="nil"/>
              <w:right w:val="nil"/>
            </w:tcBorders>
            <w:shd w:val="clear" w:color="auto" w:fill="auto"/>
            <w:noWrap/>
          </w:tcPr>
          <w:p w14:paraId="17B7F84E" w14:textId="77777777" w:rsidR="00627CA1" w:rsidRPr="00D9348B" w:rsidRDefault="00627CA1" w:rsidP="00DB330E">
            <w:pPr>
              <w:pStyle w:val="TableText"/>
              <w:jc w:val="right"/>
              <w:rPr>
                <w:rFonts w:cs="Calibri"/>
                <w:color w:val="000000"/>
              </w:rPr>
            </w:pPr>
            <w:r w:rsidRPr="00D9348B">
              <w:rPr>
                <w:rFonts w:cs="Calibri"/>
                <w:color w:val="000000"/>
              </w:rPr>
              <w:t>–</w:t>
            </w:r>
          </w:p>
        </w:tc>
        <w:tc>
          <w:tcPr>
            <w:tcW w:w="814" w:type="dxa"/>
            <w:tcBorders>
              <w:top w:val="nil"/>
              <w:left w:val="nil"/>
              <w:bottom w:val="nil"/>
              <w:right w:val="nil"/>
            </w:tcBorders>
            <w:shd w:val="clear" w:color="auto" w:fill="auto"/>
            <w:noWrap/>
          </w:tcPr>
          <w:p w14:paraId="07BD7DC3" w14:textId="77777777" w:rsidR="00627CA1" w:rsidRPr="00D9348B" w:rsidRDefault="00627CA1" w:rsidP="00DB330E">
            <w:pPr>
              <w:pStyle w:val="TableText"/>
              <w:jc w:val="right"/>
              <w:rPr>
                <w:rFonts w:cs="Calibri"/>
                <w:color w:val="000000"/>
              </w:rPr>
            </w:pPr>
            <w:r w:rsidRPr="00D9348B">
              <w:rPr>
                <w:rFonts w:cs="Calibri"/>
                <w:color w:val="000000"/>
              </w:rPr>
              <w:t>14.7</w:t>
            </w:r>
          </w:p>
        </w:tc>
      </w:tr>
      <w:tr w:rsidR="00627CA1" w:rsidRPr="00D9348B" w14:paraId="650C8321" w14:textId="77777777" w:rsidTr="00DB330E">
        <w:tc>
          <w:tcPr>
            <w:tcW w:w="4678" w:type="dxa"/>
            <w:tcBorders>
              <w:top w:val="nil"/>
              <w:left w:val="nil"/>
              <w:bottom w:val="nil"/>
              <w:right w:val="nil"/>
            </w:tcBorders>
            <w:shd w:val="clear" w:color="auto" w:fill="auto"/>
            <w:noWrap/>
            <w:hideMark/>
          </w:tcPr>
          <w:p w14:paraId="715A1457" w14:textId="77777777" w:rsidR="00627CA1" w:rsidRPr="00D9348B" w:rsidRDefault="00627CA1" w:rsidP="00DB330E">
            <w:pPr>
              <w:pStyle w:val="TableTextBold"/>
              <w:rPr>
                <w:rFonts w:cs="Calibri"/>
                <w:noProof w:val="0"/>
              </w:rPr>
            </w:pPr>
            <w:r w:rsidRPr="00D9348B">
              <w:rPr>
                <w:rFonts w:cs="Calibri"/>
                <w:noProof w:val="0"/>
              </w:rPr>
              <w:t>Carbon equivalent forests</w:t>
            </w:r>
          </w:p>
        </w:tc>
        <w:tc>
          <w:tcPr>
            <w:tcW w:w="851" w:type="dxa"/>
            <w:tcBorders>
              <w:top w:val="nil"/>
              <w:left w:val="nil"/>
              <w:bottom w:val="nil"/>
              <w:right w:val="nil"/>
            </w:tcBorders>
            <w:shd w:val="clear" w:color="auto" w:fill="auto"/>
            <w:noWrap/>
            <w:hideMark/>
          </w:tcPr>
          <w:p w14:paraId="27CB4BF0" w14:textId="77777777" w:rsidR="00627CA1" w:rsidRPr="00D9348B" w:rsidRDefault="00627CA1" w:rsidP="00DB330E">
            <w:pPr>
              <w:pStyle w:val="TableTextBold"/>
              <w:jc w:val="right"/>
              <w:rPr>
                <w:rFonts w:cs="Calibri"/>
                <w:noProof w:val="0"/>
              </w:rPr>
            </w:pPr>
          </w:p>
        </w:tc>
        <w:tc>
          <w:tcPr>
            <w:tcW w:w="850" w:type="dxa"/>
            <w:tcBorders>
              <w:top w:val="nil"/>
              <w:left w:val="nil"/>
              <w:bottom w:val="nil"/>
              <w:right w:val="nil"/>
            </w:tcBorders>
            <w:shd w:val="clear" w:color="auto" w:fill="auto"/>
            <w:noWrap/>
            <w:hideMark/>
          </w:tcPr>
          <w:p w14:paraId="3D2CF341" w14:textId="77777777" w:rsidR="00627CA1" w:rsidRPr="00D9348B" w:rsidRDefault="00627CA1" w:rsidP="00DB330E">
            <w:pPr>
              <w:pStyle w:val="TableTextBold"/>
              <w:jc w:val="right"/>
              <w:rPr>
                <w:rFonts w:cs="Calibri"/>
                <w:noProof w:val="0"/>
              </w:rPr>
            </w:pPr>
          </w:p>
        </w:tc>
        <w:tc>
          <w:tcPr>
            <w:tcW w:w="851" w:type="dxa"/>
            <w:tcBorders>
              <w:top w:val="nil"/>
              <w:left w:val="nil"/>
              <w:bottom w:val="nil"/>
              <w:right w:val="nil"/>
            </w:tcBorders>
            <w:shd w:val="clear" w:color="auto" w:fill="auto"/>
            <w:noWrap/>
            <w:hideMark/>
          </w:tcPr>
          <w:p w14:paraId="007CDFE1" w14:textId="77777777" w:rsidR="00627CA1" w:rsidRPr="00D9348B" w:rsidRDefault="00627CA1" w:rsidP="00DB330E">
            <w:pPr>
              <w:pStyle w:val="TableTextBold"/>
              <w:jc w:val="right"/>
              <w:rPr>
                <w:rFonts w:cs="Calibri"/>
                <w:noProof w:val="0"/>
              </w:rPr>
            </w:pPr>
          </w:p>
        </w:tc>
        <w:tc>
          <w:tcPr>
            <w:tcW w:w="850" w:type="dxa"/>
            <w:tcBorders>
              <w:top w:val="nil"/>
              <w:left w:val="nil"/>
              <w:bottom w:val="nil"/>
              <w:right w:val="nil"/>
            </w:tcBorders>
            <w:shd w:val="clear" w:color="auto" w:fill="auto"/>
            <w:noWrap/>
            <w:hideMark/>
          </w:tcPr>
          <w:p w14:paraId="51A5775B" w14:textId="77777777" w:rsidR="00627CA1" w:rsidRPr="00D9348B" w:rsidRDefault="00627CA1" w:rsidP="00DB330E">
            <w:pPr>
              <w:pStyle w:val="TableTextBold"/>
              <w:jc w:val="right"/>
              <w:rPr>
                <w:rFonts w:cs="Calibri"/>
                <w:noProof w:val="0"/>
              </w:rPr>
            </w:pPr>
          </w:p>
        </w:tc>
        <w:tc>
          <w:tcPr>
            <w:tcW w:w="851" w:type="dxa"/>
            <w:tcBorders>
              <w:top w:val="nil"/>
              <w:left w:val="nil"/>
              <w:bottom w:val="nil"/>
              <w:right w:val="nil"/>
            </w:tcBorders>
            <w:shd w:val="clear" w:color="auto" w:fill="auto"/>
            <w:noWrap/>
            <w:hideMark/>
          </w:tcPr>
          <w:p w14:paraId="53E0B5E0" w14:textId="77777777" w:rsidR="00627CA1" w:rsidRPr="00D9348B" w:rsidRDefault="00627CA1" w:rsidP="00DB330E">
            <w:pPr>
              <w:pStyle w:val="TableTextBold"/>
              <w:jc w:val="right"/>
              <w:rPr>
                <w:rFonts w:cs="Calibri"/>
                <w:noProof w:val="0"/>
              </w:rPr>
            </w:pPr>
          </w:p>
        </w:tc>
        <w:tc>
          <w:tcPr>
            <w:tcW w:w="850" w:type="dxa"/>
            <w:tcBorders>
              <w:top w:val="nil"/>
              <w:left w:val="nil"/>
              <w:bottom w:val="nil"/>
              <w:right w:val="nil"/>
            </w:tcBorders>
            <w:shd w:val="clear" w:color="auto" w:fill="auto"/>
            <w:noWrap/>
            <w:hideMark/>
          </w:tcPr>
          <w:p w14:paraId="6EAE332E" w14:textId="77777777" w:rsidR="00627CA1" w:rsidRPr="00D9348B" w:rsidRDefault="00627CA1" w:rsidP="00DB330E">
            <w:pPr>
              <w:pStyle w:val="TableTextBold"/>
              <w:jc w:val="right"/>
              <w:rPr>
                <w:rFonts w:cs="Calibri"/>
                <w:noProof w:val="0"/>
              </w:rPr>
            </w:pPr>
          </w:p>
        </w:tc>
        <w:tc>
          <w:tcPr>
            <w:tcW w:w="851" w:type="dxa"/>
            <w:tcBorders>
              <w:top w:val="nil"/>
              <w:left w:val="nil"/>
              <w:bottom w:val="nil"/>
              <w:right w:val="nil"/>
            </w:tcBorders>
            <w:shd w:val="clear" w:color="auto" w:fill="auto"/>
            <w:noWrap/>
            <w:hideMark/>
          </w:tcPr>
          <w:p w14:paraId="2BEE5FA0" w14:textId="77777777" w:rsidR="00627CA1" w:rsidRPr="00D9348B" w:rsidRDefault="00627CA1" w:rsidP="00DB330E">
            <w:pPr>
              <w:pStyle w:val="TableTextBold"/>
              <w:jc w:val="right"/>
              <w:rPr>
                <w:rFonts w:cs="Calibri"/>
                <w:noProof w:val="0"/>
              </w:rPr>
            </w:pPr>
          </w:p>
        </w:tc>
        <w:tc>
          <w:tcPr>
            <w:tcW w:w="850" w:type="dxa"/>
            <w:tcBorders>
              <w:top w:val="nil"/>
              <w:left w:val="nil"/>
              <w:bottom w:val="nil"/>
              <w:right w:val="nil"/>
            </w:tcBorders>
            <w:shd w:val="clear" w:color="auto" w:fill="auto"/>
            <w:noWrap/>
            <w:hideMark/>
          </w:tcPr>
          <w:p w14:paraId="72D756F6" w14:textId="77777777" w:rsidR="00627CA1" w:rsidRPr="00D9348B" w:rsidRDefault="00627CA1" w:rsidP="00DB330E">
            <w:pPr>
              <w:pStyle w:val="TableTextBold"/>
              <w:jc w:val="right"/>
              <w:rPr>
                <w:rFonts w:cs="Calibri"/>
                <w:noProof w:val="0"/>
              </w:rPr>
            </w:pPr>
          </w:p>
        </w:tc>
        <w:tc>
          <w:tcPr>
            <w:tcW w:w="851" w:type="dxa"/>
            <w:tcBorders>
              <w:top w:val="nil"/>
              <w:left w:val="nil"/>
              <w:bottom w:val="nil"/>
              <w:right w:val="nil"/>
            </w:tcBorders>
            <w:shd w:val="clear" w:color="auto" w:fill="auto"/>
            <w:noWrap/>
            <w:hideMark/>
          </w:tcPr>
          <w:p w14:paraId="4A301367" w14:textId="77777777" w:rsidR="00627CA1" w:rsidRPr="00D9348B" w:rsidRDefault="00627CA1" w:rsidP="00DB330E">
            <w:pPr>
              <w:pStyle w:val="TableTextBold"/>
              <w:jc w:val="right"/>
              <w:rPr>
                <w:rFonts w:cs="Calibri"/>
                <w:noProof w:val="0"/>
              </w:rPr>
            </w:pPr>
          </w:p>
        </w:tc>
        <w:tc>
          <w:tcPr>
            <w:tcW w:w="850" w:type="dxa"/>
            <w:tcBorders>
              <w:top w:val="nil"/>
              <w:left w:val="nil"/>
              <w:bottom w:val="nil"/>
              <w:right w:val="nil"/>
            </w:tcBorders>
            <w:shd w:val="clear" w:color="auto" w:fill="auto"/>
            <w:noWrap/>
            <w:hideMark/>
          </w:tcPr>
          <w:p w14:paraId="31652FF5" w14:textId="77777777" w:rsidR="00627CA1" w:rsidRPr="00D9348B" w:rsidRDefault="00627CA1" w:rsidP="00DB330E">
            <w:pPr>
              <w:pStyle w:val="TableTextBold"/>
              <w:jc w:val="right"/>
              <w:rPr>
                <w:rFonts w:cs="Calibri"/>
                <w:noProof w:val="0"/>
              </w:rPr>
            </w:pPr>
          </w:p>
        </w:tc>
        <w:tc>
          <w:tcPr>
            <w:tcW w:w="814" w:type="dxa"/>
            <w:tcBorders>
              <w:top w:val="nil"/>
              <w:left w:val="nil"/>
              <w:bottom w:val="nil"/>
              <w:right w:val="nil"/>
            </w:tcBorders>
            <w:shd w:val="clear" w:color="auto" w:fill="auto"/>
            <w:noWrap/>
            <w:hideMark/>
          </w:tcPr>
          <w:p w14:paraId="11EDA62B" w14:textId="77777777" w:rsidR="00627CA1" w:rsidRPr="00D9348B" w:rsidRDefault="00627CA1" w:rsidP="00DB330E">
            <w:pPr>
              <w:pStyle w:val="TableTextBold"/>
              <w:jc w:val="right"/>
              <w:rPr>
                <w:rFonts w:cs="Calibri"/>
                <w:noProof w:val="0"/>
              </w:rPr>
            </w:pPr>
          </w:p>
        </w:tc>
      </w:tr>
      <w:tr w:rsidR="00627CA1" w:rsidRPr="00D9348B" w14:paraId="06644142" w14:textId="77777777" w:rsidTr="00DB330E">
        <w:tc>
          <w:tcPr>
            <w:tcW w:w="4678" w:type="dxa"/>
            <w:tcBorders>
              <w:top w:val="nil"/>
              <w:left w:val="nil"/>
              <w:bottom w:val="nil"/>
              <w:right w:val="nil"/>
            </w:tcBorders>
            <w:shd w:val="clear" w:color="auto" w:fill="auto"/>
            <w:noWrap/>
            <w:hideMark/>
          </w:tcPr>
          <w:p w14:paraId="2C0F7C14" w14:textId="77777777" w:rsidR="00627CA1" w:rsidRPr="00D9348B" w:rsidRDefault="00627CA1" w:rsidP="00DB330E">
            <w:pPr>
              <w:pStyle w:val="TableText"/>
              <w:rPr>
                <w:rFonts w:cs="Calibri"/>
              </w:rPr>
            </w:pPr>
            <w:r w:rsidRPr="00D9348B">
              <w:rPr>
                <w:rFonts w:cs="Calibri"/>
              </w:rPr>
              <w:t>CEF – Newly established</w:t>
            </w:r>
          </w:p>
        </w:tc>
        <w:tc>
          <w:tcPr>
            <w:tcW w:w="851" w:type="dxa"/>
            <w:tcBorders>
              <w:top w:val="nil"/>
              <w:left w:val="nil"/>
              <w:bottom w:val="nil"/>
              <w:right w:val="nil"/>
            </w:tcBorders>
            <w:shd w:val="clear" w:color="auto" w:fill="auto"/>
            <w:noWrap/>
            <w:hideMark/>
          </w:tcPr>
          <w:p w14:paraId="6917E51A" w14:textId="77777777" w:rsidR="00627CA1" w:rsidRPr="00D9348B" w:rsidRDefault="00627CA1" w:rsidP="00DB330E">
            <w:pPr>
              <w:pStyle w:val="TableText"/>
              <w:jc w:val="right"/>
              <w:rPr>
                <w:rFonts w:cs="Calibri"/>
              </w:rPr>
            </w:pPr>
            <w:r w:rsidRPr="00D9348B">
              <w:rPr>
                <w:rFonts w:cs="Calibri"/>
              </w:rPr>
              <w:t>–</w:t>
            </w:r>
          </w:p>
        </w:tc>
        <w:tc>
          <w:tcPr>
            <w:tcW w:w="850" w:type="dxa"/>
            <w:tcBorders>
              <w:top w:val="nil"/>
              <w:left w:val="nil"/>
              <w:bottom w:val="nil"/>
              <w:right w:val="nil"/>
            </w:tcBorders>
            <w:shd w:val="clear" w:color="auto" w:fill="auto"/>
            <w:noWrap/>
            <w:hideMark/>
          </w:tcPr>
          <w:p w14:paraId="54BD0E7B" w14:textId="77777777" w:rsidR="00627CA1" w:rsidRPr="00D9348B" w:rsidRDefault="00627CA1" w:rsidP="00DB330E">
            <w:pPr>
              <w:pStyle w:val="TableText"/>
              <w:jc w:val="right"/>
              <w:rPr>
                <w:rFonts w:cs="Calibri"/>
              </w:rPr>
            </w:pPr>
            <w:r w:rsidRPr="00D9348B">
              <w:rPr>
                <w:rFonts w:cs="Calibri"/>
              </w:rPr>
              <w:t>–</w:t>
            </w:r>
          </w:p>
        </w:tc>
        <w:tc>
          <w:tcPr>
            <w:tcW w:w="851" w:type="dxa"/>
            <w:tcBorders>
              <w:top w:val="nil"/>
              <w:left w:val="nil"/>
              <w:bottom w:val="nil"/>
              <w:right w:val="nil"/>
            </w:tcBorders>
            <w:shd w:val="clear" w:color="auto" w:fill="auto"/>
            <w:noWrap/>
            <w:hideMark/>
          </w:tcPr>
          <w:p w14:paraId="73E15E12" w14:textId="77777777" w:rsidR="00627CA1" w:rsidRPr="00D9348B" w:rsidRDefault="00627CA1" w:rsidP="00DB330E">
            <w:pPr>
              <w:pStyle w:val="TableText"/>
              <w:jc w:val="right"/>
              <w:rPr>
                <w:rFonts w:cs="Calibri"/>
              </w:rPr>
            </w:pPr>
            <w:r w:rsidRPr="00D9348B">
              <w:rPr>
                <w:rFonts w:cs="Calibri"/>
              </w:rPr>
              <w:t>–</w:t>
            </w:r>
          </w:p>
        </w:tc>
        <w:tc>
          <w:tcPr>
            <w:tcW w:w="850" w:type="dxa"/>
            <w:tcBorders>
              <w:top w:val="nil"/>
              <w:left w:val="nil"/>
              <w:bottom w:val="nil"/>
              <w:right w:val="nil"/>
            </w:tcBorders>
            <w:shd w:val="clear" w:color="auto" w:fill="auto"/>
            <w:noWrap/>
            <w:hideMark/>
          </w:tcPr>
          <w:p w14:paraId="27E2CD21" w14:textId="77777777" w:rsidR="00627CA1" w:rsidRPr="00D9348B" w:rsidRDefault="00627CA1" w:rsidP="00DB330E">
            <w:pPr>
              <w:pStyle w:val="TableText"/>
              <w:jc w:val="right"/>
              <w:rPr>
                <w:rFonts w:cs="Calibri"/>
              </w:rPr>
            </w:pPr>
            <w:r w:rsidRPr="00D9348B">
              <w:rPr>
                <w:rFonts w:cs="Calibri"/>
              </w:rPr>
              <w:t>–</w:t>
            </w:r>
          </w:p>
        </w:tc>
        <w:tc>
          <w:tcPr>
            <w:tcW w:w="851" w:type="dxa"/>
            <w:tcBorders>
              <w:top w:val="nil"/>
              <w:left w:val="nil"/>
              <w:bottom w:val="nil"/>
              <w:right w:val="nil"/>
            </w:tcBorders>
            <w:shd w:val="clear" w:color="auto" w:fill="auto"/>
            <w:noWrap/>
            <w:hideMark/>
          </w:tcPr>
          <w:p w14:paraId="42E436BE" w14:textId="77777777" w:rsidR="00627CA1" w:rsidRPr="00D9348B" w:rsidRDefault="00627CA1" w:rsidP="00DB330E">
            <w:pPr>
              <w:pStyle w:val="TableText"/>
              <w:jc w:val="right"/>
              <w:rPr>
                <w:rFonts w:cs="Calibri"/>
              </w:rPr>
            </w:pPr>
            <w:r w:rsidRPr="00D9348B">
              <w:rPr>
                <w:rFonts w:cs="Calibri"/>
              </w:rPr>
              <w:t>–</w:t>
            </w:r>
          </w:p>
        </w:tc>
        <w:tc>
          <w:tcPr>
            <w:tcW w:w="850" w:type="dxa"/>
            <w:tcBorders>
              <w:top w:val="nil"/>
              <w:left w:val="nil"/>
              <w:bottom w:val="nil"/>
              <w:right w:val="nil"/>
            </w:tcBorders>
            <w:shd w:val="clear" w:color="auto" w:fill="auto"/>
            <w:noWrap/>
            <w:hideMark/>
          </w:tcPr>
          <w:p w14:paraId="4814E300" w14:textId="77777777" w:rsidR="00627CA1" w:rsidRPr="00D9348B" w:rsidRDefault="00627CA1" w:rsidP="00DB330E">
            <w:pPr>
              <w:pStyle w:val="TableText"/>
              <w:jc w:val="right"/>
              <w:rPr>
                <w:rFonts w:cs="Calibri"/>
              </w:rPr>
            </w:pPr>
            <w:r w:rsidRPr="00D9348B">
              <w:rPr>
                <w:rFonts w:cs="Calibri"/>
              </w:rPr>
              <w:t>–</w:t>
            </w:r>
          </w:p>
        </w:tc>
        <w:tc>
          <w:tcPr>
            <w:tcW w:w="851" w:type="dxa"/>
            <w:tcBorders>
              <w:top w:val="nil"/>
              <w:left w:val="nil"/>
              <w:bottom w:val="nil"/>
              <w:right w:val="nil"/>
            </w:tcBorders>
            <w:shd w:val="clear" w:color="auto" w:fill="auto"/>
            <w:noWrap/>
            <w:hideMark/>
          </w:tcPr>
          <w:p w14:paraId="645557E1" w14:textId="77777777" w:rsidR="00627CA1" w:rsidRPr="00D9348B" w:rsidRDefault="00627CA1" w:rsidP="00DB330E">
            <w:pPr>
              <w:pStyle w:val="TableText"/>
              <w:jc w:val="right"/>
              <w:rPr>
                <w:rFonts w:cs="Calibri"/>
              </w:rPr>
            </w:pPr>
            <w:r w:rsidRPr="00D9348B">
              <w:rPr>
                <w:rFonts w:cs="Calibri"/>
              </w:rPr>
              <w:t>–</w:t>
            </w:r>
          </w:p>
        </w:tc>
        <w:tc>
          <w:tcPr>
            <w:tcW w:w="850" w:type="dxa"/>
            <w:tcBorders>
              <w:top w:val="nil"/>
              <w:left w:val="nil"/>
              <w:bottom w:val="nil"/>
              <w:right w:val="nil"/>
            </w:tcBorders>
            <w:shd w:val="clear" w:color="auto" w:fill="auto"/>
            <w:noWrap/>
            <w:hideMark/>
          </w:tcPr>
          <w:p w14:paraId="39194D9F" w14:textId="77777777" w:rsidR="00627CA1" w:rsidRPr="00D9348B" w:rsidRDefault="00627CA1" w:rsidP="00DB330E">
            <w:pPr>
              <w:pStyle w:val="TableText"/>
              <w:jc w:val="right"/>
              <w:rPr>
                <w:rFonts w:cs="Calibri"/>
              </w:rPr>
            </w:pPr>
            <w:r w:rsidRPr="00D9348B">
              <w:rPr>
                <w:rFonts w:cs="Calibri"/>
              </w:rPr>
              <w:t>–</w:t>
            </w:r>
          </w:p>
        </w:tc>
        <w:tc>
          <w:tcPr>
            <w:tcW w:w="851" w:type="dxa"/>
            <w:tcBorders>
              <w:top w:val="nil"/>
              <w:left w:val="nil"/>
              <w:bottom w:val="nil"/>
              <w:right w:val="nil"/>
            </w:tcBorders>
            <w:shd w:val="clear" w:color="auto" w:fill="auto"/>
            <w:noWrap/>
            <w:hideMark/>
          </w:tcPr>
          <w:p w14:paraId="1AC3A268" w14:textId="77777777" w:rsidR="00627CA1" w:rsidRPr="00D9348B" w:rsidRDefault="00627CA1" w:rsidP="00DB330E">
            <w:pPr>
              <w:pStyle w:val="TableText"/>
              <w:jc w:val="right"/>
              <w:rPr>
                <w:rFonts w:cs="Calibri"/>
              </w:rPr>
            </w:pPr>
            <w:r w:rsidRPr="00D9348B">
              <w:rPr>
                <w:rFonts w:cs="Calibri"/>
              </w:rPr>
              <w:t>0.6</w:t>
            </w:r>
          </w:p>
        </w:tc>
        <w:tc>
          <w:tcPr>
            <w:tcW w:w="850" w:type="dxa"/>
            <w:tcBorders>
              <w:top w:val="nil"/>
              <w:left w:val="nil"/>
              <w:bottom w:val="nil"/>
              <w:right w:val="nil"/>
            </w:tcBorders>
            <w:shd w:val="clear" w:color="auto" w:fill="auto"/>
            <w:noWrap/>
            <w:hideMark/>
          </w:tcPr>
          <w:p w14:paraId="5E3A3ADC" w14:textId="77777777" w:rsidR="00627CA1" w:rsidRPr="00D9348B" w:rsidRDefault="00627CA1" w:rsidP="00DB330E">
            <w:pPr>
              <w:pStyle w:val="TableText"/>
              <w:jc w:val="right"/>
              <w:rPr>
                <w:rFonts w:cs="Calibri"/>
              </w:rPr>
            </w:pPr>
            <w:r w:rsidRPr="00D9348B">
              <w:rPr>
                <w:rFonts w:cs="Calibri"/>
              </w:rPr>
              <w:t>2.3</w:t>
            </w:r>
          </w:p>
        </w:tc>
        <w:tc>
          <w:tcPr>
            <w:tcW w:w="814" w:type="dxa"/>
            <w:tcBorders>
              <w:top w:val="nil"/>
              <w:left w:val="nil"/>
              <w:bottom w:val="nil"/>
              <w:right w:val="nil"/>
            </w:tcBorders>
            <w:shd w:val="clear" w:color="auto" w:fill="auto"/>
            <w:noWrap/>
            <w:hideMark/>
          </w:tcPr>
          <w:p w14:paraId="7AF0E3E8" w14:textId="77777777" w:rsidR="00627CA1" w:rsidRPr="00D9348B" w:rsidRDefault="00627CA1" w:rsidP="00DB330E">
            <w:pPr>
              <w:pStyle w:val="TableText"/>
              <w:jc w:val="right"/>
              <w:rPr>
                <w:rFonts w:cs="Calibri"/>
              </w:rPr>
            </w:pPr>
            <w:r w:rsidRPr="00D9348B">
              <w:rPr>
                <w:rFonts w:cs="Calibri"/>
              </w:rPr>
              <w:t>4.1</w:t>
            </w:r>
          </w:p>
        </w:tc>
      </w:tr>
      <w:tr w:rsidR="00627CA1" w:rsidRPr="00D9348B" w14:paraId="19FE96CE" w14:textId="77777777" w:rsidTr="00DB330E">
        <w:tc>
          <w:tcPr>
            <w:tcW w:w="4678" w:type="dxa"/>
            <w:tcBorders>
              <w:top w:val="nil"/>
              <w:left w:val="nil"/>
              <w:bottom w:val="single" w:sz="8" w:space="0" w:color="365F91"/>
              <w:right w:val="nil"/>
            </w:tcBorders>
            <w:shd w:val="clear" w:color="auto" w:fill="auto"/>
            <w:hideMark/>
          </w:tcPr>
          <w:p w14:paraId="4F282BC3" w14:textId="77777777" w:rsidR="00627CA1" w:rsidRPr="00D9348B" w:rsidRDefault="00627CA1" w:rsidP="00DB330E">
            <w:pPr>
              <w:pStyle w:val="TableText"/>
              <w:rPr>
                <w:rFonts w:cs="Calibri"/>
              </w:rPr>
            </w:pPr>
            <w:r w:rsidRPr="00D9348B">
              <w:rPr>
                <w:rFonts w:cs="Calibri"/>
              </w:rPr>
              <w:t xml:space="preserve">CEF – Harvested and converted </w:t>
            </w:r>
          </w:p>
        </w:tc>
        <w:tc>
          <w:tcPr>
            <w:tcW w:w="851" w:type="dxa"/>
            <w:tcBorders>
              <w:top w:val="nil"/>
              <w:left w:val="nil"/>
              <w:bottom w:val="single" w:sz="8" w:space="0" w:color="365F91"/>
              <w:right w:val="nil"/>
            </w:tcBorders>
            <w:shd w:val="clear" w:color="auto" w:fill="auto"/>
            <w:hideMark/>
          </w:tcPr>
          <w:p w14:paraId="5323A6D0" w14:textId="77777777" w:rsidR="00627CA1" w:rsidRPr="00D9348B" w:rsidRDefault="00627CA1" w:rsidP="00DB330E">
            <w:pPr>
              <w:pStyle w:val="TableText"/>
              <w:jc w:val="right"/>
              <w:rPr>
                <w:rFonts w:cs="Calibri"/>
              </w:rPr>
            </w:pPr>
            <w:r w:rsidRPr="00D9348B">
              <w:rPr>
                <w:rFonts w:cs="Calibri"/>
              </w:rPr>
              <w:t>–</w:t>
            </w:r>
          </w:p>
        </w:tc>
        <w:tc>
          <w:tcPr>
            <w:tcW w:w="850" w:type="dxa"/>
            <w:tcBorders>
              <w:top w:val="nil"/>
              <w:left w:val="nil"/>
              <w:bottom w:val="single" w:sz="8" w:space="0" w:color="365F91"/>
              <w:right w:val="nil"/>
            </w:tcBorders>
            <w:shd w:val="clear" w:color="auto" w:fill="auto"/>
            <w:hideMark/>
          </w:tcPr>
          <w:p w14:paraId="19C364A3" w14:textId="77777777" w:rsidR="00627CA1" w:rsidRPr="00D9348B" w:rsidRDefault="00627CA1" w:rsidP="00DB330E">
            <w:pPr>
              <w:pStyle w:val="TableText"/>
              <w:jc w:val="right"/>
              <w:rPr>
                <w:rFonts w:cs="Calibri"/>
              </w:rPr>
            </w:pPr>
            <w:r w:rsidRPr="00D9348B">
              <w:rPr>
                <w:rFonts w:cs="Calibri"/>
              </w:rPr>
              <w:t>–</w:t>
            </w:r>
          </w:p>
        </w:tc>
        <w:tc>
          <w:tcPr>
            <w:tcW w:w="851" w:type="dxa"/>
            <w:tcBorders>
              <w:top w:val="nil"/>
              <w:left w:val="nil"/>
              <w:bottom w:val="single" w:sz="8" w:space="0" w:color="365F91"/>
              <w:right w:val="nil"/>
            </w:tcBorders>
            <w:shd w:val="clear" w:color="auto" w:fill="auto"/>
            <w:hideMark/>
          </w:tcPr>
          <w:p w14:paraId="77F88A57" w14:textId="77777777" w:rsidR="00627CA1" w:rsidRPr="00D9348B" w:rsidRDefault="00627CA1" w:rsidP="00DB330E">
            <w:pPr>
              <w:pStyle w:val="TableText"/>
              <w:jc w:val="right"/>
              <w:rPr>
                <w:rFonts w:cs="Calibri"/>
              </w:rPr>
            </w:pPr>
            <w:r w:rsidRPr="00D9348B">
              <w:rPr>
                <w:rFonts w:cs="Calibri"/>
              </w:rPr>
              <w:t>–</w:t>
            </w:r>
          </w:p>
        </w:tc>
        <w:tc>
          <w:tcPr>
            <w:tcW w:w="850" w:type="dxa"/>
            <w:tcBorders>
              <w:top w:val="nil"/>
              <w:left w:val="nil"/>
              <w:bottom w:val="single" w:sz="8" w:space="0" w:color="365F91"/>
              <w:right w:val="nil"/>
            </w:tcBorders>
            <w:shd w:val="clear" w:color="auto" w:fill="auto"/>
            <w:hideMark/>
          </w:tcPr>
          <w:p w14:paraId="14E0369A" w14:textId="77777777" w:rsidR="00627CA1" w:rsidRPr="00D9348B" w:rsidRDefault="00627CA1" w:rsidP="00DB330E">
            <w:pPr>
              <w:pStyle w:val="TableText"/>
              <w:jc w:val="right"/>
              <w:rPr>
                <w:rFonts w:cs="Calibri"/>
              </w:rPr>
            </w:pPr>
            <w:r w:rsidRPr="00D9348B">
              <w:rPr>
                <w:rFonts w:cs="Calibri"/>
              </w:rPr>
              <w:t>–</w:t>
            </w:r>
          </w:p>
        </w:tc>
        <w:tc>
          <w:tcPr>
            <w:tcW w:w="851" w:type="dxa"/>
            <w:tcBorders>
              <w:top w:val="nil"/>
              <w:left w:val="nil"/>
              <w:bottom w:val="single" w:sz="8" w:space="0" w:color="365F91"/>
              <w:right w:val="nil"/>
            </w:tcBorders>
            <w:shd w:val="clear" w:color="auto" w:fill="auto"/>
            <w:hideMark/>
          </w:tcPr>
          <w:p w14:paraId="789B6352" w14:textId="77777777" w:rsidR="00627CA1" w:rsidRPr="00D9348B" w:rsidRDefault="00627CA1" w:rsidP="00DB330E">
            <w:pPr>
              <w:pStyle w:val="TableText"/>
              <w:jc w:val="right"/>
              <w:rPr>
                <w:rFonts w:cs="Calibri"/>
              </w:rPr>
            </w:pPr>
            <w:r w:rsidRPr="00D9348B">
              <w:rPr>
                <w:rFonts w:cs="Calibri"/>
              </w:rPr>
              <w:t>–</w:t>
            </w:r>
          </w:p>
        </w:tc>
        <w:tc>
          <w:tcPr>
            <w:tcW w:w="850" w:type="dxa"/>
            <w:tcBorders>
              <w:top w:val="nil"/>
              <w:left w:val="nil"/>
              <w:bottom w:val="single" w:sz="8" w:space="0" w:color="365F91"/>
              <w:right w:val="nil"/>
            </w:tcBorders>
            <w:shd w:val="clear" w:color="auto" w:fill="auto"/>
            <w:hideMark/>
          </w:tcPr>
          <w:p w14:paraId="7C3E3586" w14:textId="77777777" w:rsidR="00627CA1" w:rsidRPr="00D9348B" w:rsidRDefault="00627CA1" w:rsidP="00DB330E">
            <w:pPr>
              <w:pStyle w:val="TableText"/>
              <w:jc w:val="right"/>
              <w:rPr>
                <w:rFonts w:cs="Calibri"/>
              </w:rPr>
            </w:pPr>
            <w:r w:rsidRPr="00D9348B">
              <w:rPr>
                <w:rFonts w:cs="Calibri"/>
              </w:rPr>
              <w:t>–</w:t>
            </w:r>
          </w:p>
        </w:tc>
        <w:tc>
          <w:tcPr>
            <w:tcW w:w="851" w:type="dxa"/>
            <w:tcBorders>
              <w:top w:val="nil"/>
              <w:left w:val="nil"/>
              <w:bottom w:val="single" w:sz="8" w:space="0" w:color="365F91"/>
              <w:right w:val="nil"/>
            </w:tcBorders>
            <w:shd w:val="clear" w:color="auto" w:fill="auto"/>
            <w:hideMark/>
          </w:tcPr>
          <w:p w14:paraId="799855E1" w14:textId="77777777" w:rsidR="00627CA1" w:rsidRPr="00D9348B" w:rsidRDefault="00627CA1" w:rsidP="00DB330E">
            <w:pPr>
              <w:pStyle w:val="TableText"/>
              <w:jc w:val="right"/>
              <w:rPr>
                <w:rFonts w:cs="Calibri"/>
              </w:rPr>
            </w:pPr>
            <w:r w:rsidRPr="00D9348B">
              <w:rPr>
                <w:rFonts w:cs="Calibri"/>
              </w:rPr>
              <w:t>0.1</w:t>
            </w:r>
          </w:p>
        </w:tc>
        <w:tc>
          <w:tcPr>
            <w:tcW w:w="850" w:type="dxa"/>
            <w:tcBorders>
              <w:top w:val="nil"/>
              <w:left w:val="nil"/>
              <w:bottom w:val="single" w:sz="8" w:space="0" w:color="365F91"/>
              <w:right w:val="nil"/>
            </w:tcBorders>
            <w:shd w:val="clear" w:color="auto" w:fill="auto"/>
            <w:hideMark/>
          </w:tcPr>
          <w:p w14:paraId="642390D9" w14:textId="77777777" w:rsidR="00627CA1" w:rsidRPr="00D9348B" w:rsidRDefault="00627CA1" w:rsidP="00DB330E">
            <w:pPr>
              <w:pStyle w:val="TableText"/>
              <w:jc w:val="right"/>
              <w:rPr>
                <w:rFonts w:cs="Calibri"/>
              </w:rPr>
            </w:pPr>
            <w:r w:rsidRPr="00D9348B">
              <w:rPr>
                <w:rFonts w:cs="Calibri"/>
              </w:rPr>
              <w:t>0.6</w:t>
            </w:r>
          </w:p>
        </w:tc>
        <w:tc>
          <w:tcPr>
            <w:tcW w:w="851" w:type="dxa"/>
            <w:tcBorders>
              <w:top w:val="nil"/>
              <w:left w:val="nil"/>
              <w:bottom w:val="single" w:sz="8" w:space="0" w:color="365F91"/>
              <w:right w:val="nil"/>
            </w:tcBorders>
            <w:shd w:val="clear" w:color="auto" w:fill="auto"/>
            <w:hideMark/>
          </w:tcPr>
          <w:p w14:paraId="4378B544" w14:textId="77777777" w:rsidR="00627CA1" w:rsidRPr="00D9348B" w:rsidRDefault="00627CA1" w:rsidP="00DB330E">
            <w:pPr>
              <w:pStyle w:val="TableText"/>
              <w:jc w:val="right"/>
              <w:rPr>
                <w:rFonts w:cs="Calibri"/>
              </w:rPr>
            </w:pPr>
            <w:r w:rsidRPr="00D9348B">
              <w:rPr>
                <w:rFonts w:cs="Calibri"/>
              </w:rPr>
              <w:t>2.1</w:t>
            </w:r>
          </w:p>
        </w:tc>
        <w:tc>
          <w:tcPr>
            <w:tcW w:w="850" w:type="dxa"/>
            <w:tcBorders>
              <w:top w:val="nil"/>
              <w:left w:val="nil"/>
              <w:bottom w:val="single" w:sz="8" w:space="0" w:color="365F91"/>
              <w:right w:val="nil"/>
            </w:tcBorders>
            <w:shd w:val="clear" w:color="auto" w:fill="auto"/>
            <w:hideMark/>
          </w:tcPr>
          <w:p w14:paraId="08CEC2C7" w14:textId="77777777" w:rsidR="00627CA1" w:rsidRPr="00D9348B" w:rsidRDefault="00627CA1" w:rsidP="00DB330E">
            <w:pPr>
              <w:pStyle w:val="TableText"/>
              <w:jc w:val="right"/>
              <w:rPr>
                <w:rFonts w:cs="Calibri"/>
              </w:rPr>
            </w:pPr>
            <w:r w:rsidRPr="00D9348B">
              <w:rPr>
                <w:rFonts w:cs="Calibri"/>
              </w:rPr>
              <w:t>3.1</w:t>
            </w:r>
          </w:p>
        </w:tc>
        <w:tc>
          <w:tcPr>
            <w:tcW w:w="814" w:type="dxa"/>
            <w:tcBorders>
              <w:top w:val="nil"/>
              <w:left w:val="nil"/>
              <w:bottom w:val="single" w:sz="8" w:space="0" w:color="365F91"/>
              <w:right w:val="nil"/>
            </w:tcBorders>
            <w:shd w:val="clear" w:color="auto" w:fill="auto"/>
            <w:hideMark/>
          </w:tcPr>
          <w:p w14:paraId="7F13144C" w14:textId="77777777" w:rsidR="00627CA1" w:rsidRPr="00D9348B" w:rsidRDefault="00627CA1" w:rsidP="00DB330E">
            <w:pPr>
              <w:pStyle w:val="TableText"/>
              <w:jc w:val="right"/>
              <w:rPr>
                <w:rFonts w:cs="Calibri"/>
              </w:rPr>
            </w:pPr>
            <w:r w:rsidRPr="00D9348B">
              <w:rPr>
                <w:rFonts w:cs="Calibri"/>
              </w:rPr>
              <w:t>3.4</w:t>
            </w:r>
          </w:p>
        </w:tc>
      </w:tr>
      <w:tr w:rsidR="00627CA1" w:rsidRPr="00D9348B" w14:paraId="12C565AE" w14:textId="77777777" w:rsidTr="00DB330E">
        <w:tc>
          <w:tcPr>
            <w:tcW w:w="4678" w:type="dxa"/>
            <w:tcBorders>
              <w:top w:val="nil"/>
              <w:left w:val="nil"/>
              <w:bottom w:val="single" w:sz="8" w:space="0" w:color="365F91"/>
              <w:right w:val="nil"/>
            </w:tcBorders>
            <w:shd w:val="clear" w:color="auto" w:fill="auto"/>
            <w:hideMark/>
          </w:tcPr>
          <w:p w14:paraId="56EC2597" w14:textId="77777777" w:rsidR="00627CA1" w:rsidRPr="00D9348B" w:rsidRDefault="00627CA1" w:rsidP="00DB330E">
            <w:pPr>
              <w:pStyle w:val="Tableboldblue"/>
              <w:rPr>
                <w:rFonts w:cs="Calibri"/>
              </w:rPr>
            </w:pPr>
            <w:r w:rsidRPr="00D9348B">
              <w:rPr>
                <w:rFonts w:cs="Calibri"/>
              </w:rPr>
              <w:t>Total in Forest management but not Forest remaining forest</w:t>
            </w:r>
          </w:p>
        </w:tc>
        <w:tc>
          <w:tcPr>
            <w:tcW w:w="851" w:type="dxa"/>
            <w:tcBorders>
              <w:top w:val="nil"/>
              <w:left w:val="nil"/>
              <w:bottom w:val="single" w:sz="8" w:space="0" w:color="365F91"/>
              <w:right w:val="nil"/>
            </w:tcBorders>
            <w:shd w:val="clear" w:color="auto" w:fill="auto"/>
            <w:vAlign w:val="bottom"/>
            <w:hideMark/>
          </w:tcPr>
          <w:p w14:paraId="3C6AFA02" w14:textId="77777777" w:rsidR="00627CA1" w:rsidRPr="00D9348B" w:rsidRDefault="00627CA1" w:rsidP="00DB330E">
            <w:pPr>
              <w:pStyle w:val="Tableboldblue"/>
              <w:jc w:val="right"/>
              <w:rPr>
                <w:rFonts w:cs="Calibri"/>
              </w:rPr>
            </w:pPr>
            <w:r w:rsidRPr="00D9348B">
              <w:rPr>
                <w:rFonts w:cs="Calibri"/>
              </w:rPr>
              <w:t>455.1</w:t>
            </w:r>
          </w:p>
        </w:tc>
        <w:tc>
          <w:tcPr>
            <w:tcW w:w="850" w:type="dxa"/>
            <w:tcBorders>
              <w:top w:val="nil"/>
              <w:left w:val="nil"/>
              <w:bottom w:val="single" w:sz="8" w:space="0" w:color="365F91"/>
              <w:right w:val="nil"/>
            </w:tcBorders>
            <w:shd w:val="clear" w:color="auto" w:fill="auto"/>
            <w:vAlign w:val="bottom"/>
            <w:hideMark/>
          </w:tcPr>
          <w:p w14:paraId="6F05E4A2" w14:textId="77777777" w:rsidR="00627CA1" w:rsidRPr="00D9348B" w:rsidRDefault="00627CA1" w:rsidP="00DB330E">
            <w:pPr>
              <w:pStyle w:val="Tableboldblue"/>
              <w:jc w:val="right"/>
              <w:rPr>
                <w:rFonts w:cs="Calibri"/>
              </w:rPr>
            </w:pPr>
            <w:r w:rsidRPr="00D9348B">
              <w:rPr>
                <w:rFonts w:cs="Calibri"/>
              </w:rPr>
              <w:t>398.7</w:t>
            </w:r>
          </w:p>
        </w:tc>
        <w:tc>
          <w:tcPr>
            <w:tcW w:w="851" w:type="dxa"/>
            <w:tcBorders>
              <w:top w:val="nil"/>
              <w:left w:val="nil"/>
              <w:bottom w:val="single" w:sz="8" w:space="0" w:color="365F91"/>
              <w:right w:val="nil"/>
            </w:tcBorders>
            <w:shd w:val="clear" w:color="auto" w:fill="auto"/>
            <w:vAlign w:val="bottom"/>
            <w:hideMark/>
          </w:tcPr>
          <w:p w14:paraId="502106BF" w14:textId="77777777" w:rsidR="00627CA1" w:rsidRPr="00D9348B" w:rsidRDefault="00627CA1" w:rsidP="00DB330E">
            <w:pPr>
              <w:pStyle w:val="Tableboldblue"/>
              <w:jc w:val="right"/>
              <w:rPr>
                <w:rFonts w:cs="Calibri"/>
              </w:rPr>
            </w:pPr>
            <w:r w:rsidRPr="00D9348B">
              <w:rPr>
                <w:rFonts w:cs="Calibri"/>
              </w:rPr>
              <w:t>334.3</w:t>
            </w:r>
          </w:p>
        </w:tc>
        <w:tc>
          <w:tcPr>
            <w:tcW w:w="850" w:type="dxa"/>
            <w:tcBorders>
              <w:top w:val="nil"/>
              <w:left w:val="nil"/>
              <w:bottom w:val="single" w:sz="8" w:space="0" w:color="365F91"/>
              <w:right w:val="nil"/>
            </w:tcBorders>
            <w:shd w:val="clear" w:color="auto" w:fill="auto"/>
            <w:vAlign w:val="bottom"/>
            <w:hideMark/>
          </w:tcPr>
          <w:p w14:paraId="1E0CBCCF" w14:textId="77777777" w:rsidR="00627CA1" w:rsidRPr="00D9348B" w:rsidRDefault="00627CA1" w:rsidP="00DB330E">
            <w:pPr>
              <w:pStyle w:val="Tableboldblue"/>
              <w:jc w:val="right"/>
              <w:rPr>
                <w:rFonts w:cs="Calibri"/>
              </w:rPr>
            </w:pPr>
            <w:r w:rsidRPr="00D9348B">
              <w:rPr>
                <w:rFonts w:cs="Calibri"/>
              </w:rPr>
              <w:t>266.5</w:t>
            </w:r>
          </w:p>
        </w:tc>
        <w:tc>
          <w:tcPr>
            <w:tcW w:w="851" w:type="dxa"/>
            <w:tcBorders>
              <w:top w:val="nil"/>
              <w:left w:val="nil"/>
              <w:bottom w:val="single" w:sz="8" w:space="0" w:color="365F91"/>
              <w:right w:val="nil"/>
            </w:tcBorders>
            <w:shd w:val="clear" w:color="auto" w:fill="auto"/>
            <w:vAlign w:val="bottom"/>
            <w:hideMark/>
          </w:tcPr>
          <w:p w14:paraId="69B4087E" w14:textId="77777777" w:rsidR="00627CA1" w:rsidRPr="00D9348B" w:rsidRDefault="00627CA1" w:rsidP="00DB330E">
            <w:pPr>
              <w:pStyle w:val="Tableboldblue"/>
              <w:jc w:val="right"/>
              <w:rPr>
                <w:rFonts w:cs="Calibri"/>
              </w:rPr>
            </w:pPr>
            <w:r w:rsidRPr="00D9348B">
              <w:rPr>
                <w:rFonts w:cs="Calibri"/>
              </w:rPr>
              <w:t>196.6</w:t>
            </w:r>
          </w:p>
        </w:tc>
        <w:tc>
          <w:tcPr>
            <w:tcW w:w="850" w:type="dxa"/>
            <w:tcBorders>
              <w:top w:val="nil"/>
              <w:left w:val="nil"/>
              <w:bottom w:val="single" w:sz="8" w:space="0" w:color="365F91"/>
              <w:right w:val="nil"/>
            </w:tcBorders>
            <w:shd w:val="clear" w:color="auto" w:fill="auto"/>
            <w:vAlign w:val="bottom"/>
            <w:hideMark/>
          </w:tcPr>
          <w:p w14:paraId="3AB6CBED" w14:textId="77777777" w:rsidR="00627CA1" w:rsidRPr="00D9348B" w:rsidRDefault="00627CA1" w:rsidP="00DB330E">
            <w:pPr>
              <w:pStyle w:val="Tableboldblue"/>
              <w:jc w:val="right"/>
              <w:rPr>
                <w:rFonts w:cs="Calibri"/>
              </w:rPr>
            </w:pPr>
            <w:r w:rsidRPr="00D9348B">
              <w:rPr>
                <w:rFonts w:cs="Calibri"/>
              </w:rPr>
              <w:t>133.9</w:t>
            </w:r>
          </w:p>
        </w:tc>
        <w:tc>
          <w:tcPr>
            <w:tcW w:w="851" w:type="dxa"/>
            <w:tcBorders>
              <w:top w:val="nil"/>
              <w:left w:val="nil"/>
              <w:bottom w:val="single" w:sz="8" w:space="0" w:color="365F91"/>
              <w:right w:val="nil"/>
            </w:tcBorders>
            <w:shd w:val="clear" w:color="auto" w:fill="auto"/>
            <w:vAlign w:val="bottom"/>
            <w:hideMark/>
          </w:tcPr>
          <w:p w14:paraId="11BA0A22" w14:textId="77777777" w:rsidR="00627CA1" w:rsidRPr="00D9348B" w:rsidRDefault="00627CA1" w:rsidP="00DB330E">
            <w:pPr>
              <w:pStyle w:val="Tableboldblue"/>
              <w:jc w:val="right"/>
              <w:rPr>
                <w:rFonts w:cs="Calibri"/>
              </w:rPr>
            </w:pPr>
            <w:r w:rsidRPr="00D9348B">
              <w:rPr>
                <w:rFonts w:cs="Calibri"/>
              </w:rPr>
              <w:t>85.6</w:t>
            </w:r>
          </w:p>
        </w:tc>
        <w:tc>
          <w:tcPr>
            <w:tcW w:w="850" w:type="dxa"/>
            <w:tcBorders>
              <w:top w:val="nil"/>
              <w:left w:val="nil"/>
              <w:bottom w:val="single" w:sz="8" w:space="0" w:color="365F91"/>
              <w:right w:val="nil"/>
            </w:tcBorders>
            <w:shd w:val="clear" w:color="auto" w:fill="auto"/>
            <w:vAlign w:val="bottom"/>
            <w:hideMark/>
          </w:tcPr>
          <w:p w14:paraId="29237552" w14:textId="77777777" w:rsidR="00627CA1" w:rsidRPr="00D9348B" w:rsidRDefault="00627CA1" w:rsidP="00DB330E">
            <w:pPr>
              <w:pStyle w:val="Tableboldblue"/>
              <w:jc w:val="right"/>
              <w:rPr>
                <w:rFonts w:cs="Calibri"/>
              </w:rPr>
            </w:pPr>
            <w:r w:rsidRPr="00D9348B">
              <w:rPr>
                <w:rFonts w:cs="Calibri"/>
              </w:rPr>
              <w:t>52.7</w:t>
            </w:r>
          </w:p>
        </w:tc>
        <w:tc>
          <w:tcPr>
            <w:tcW w:w="851" w:type="dxa"/>
            <w:tcBorders>
              <w:top w:val="nil"/>
              <w:left w:val="nil"/>
              <w:bottom w:val="single" w:sz="8" w:space="0" w:color="365F91"/>
              <w:right w:val="nil"/>
            </w:tcBorders>
            <w:shd w:val="clear" w:color="auto" w:fill="auto"/>
            <w:vAlign w:val="bottom"/>
            <w:hideMark/>
          </w:tcPr>
          <w:p w14:paraId="5058A2C1" w14:textId="77777777" w:rsidR="00627CA1" w:rsidRPr="00D9348B" w:rsidRDefault="00627CA1" w:rsidP="00DB330E">
            <w:pPr>
              <w:pStyle w:val="Tableboldblue"/>
              <w:jc w:val="right"/>
              <w:rPr>
                <w:rFonts w:cs="Calibri"/>
              </w:rPr>
            </w:pPr>
            <w:r w:rsidRPr="00D9348B">
              <w:rPr>
                <w:rFonts w:cs="Calibri"/>
              </w:rPr>
              <w:t>31.7</w:t>
            </w:r>
          </w:p>
        </w:tc>
        <w:tc>
          <w:tcPr>
            <w:tcW w:w="850" w:type="dxa"/>
            <w:tcBorders>
              <w:top w:val="nil"/>
              <w:left w:val="nil"/>
              <w:bottom w:val="single" w:sz="8" w:space="0" w:color="365F91"/>
              <w:right w:val="nil"/>
            </w:tcBorders>
            <w:shd w:val="clear" w:color="auto" w:fill="auto"/>
            <w:vAlign w:val="bottom"/>
            <w:hideMark/>
          </w:tcPr>
          <w:p w14:paraId="7368A964" w14:textId="77777777" w:rsidR="00627CA1" w:rsidRPr="00D9348B" w:rsidRDefault="00627CA1" w:rsidP="00DB330E">
            <w:pPr>
              <w:pStyle w:val="Tableboldblue"/>
              <w:jc w:val="right"/>
              <w:rPr>
                <w:rFonts w:cs="Calibri"/>
              </w:rPr>
            </w:pPr>
            <w:r w:rsidRPr="00D9348B">
              <w:rPr>
                <w:rFonts w:cs="Calibri"/>
              </w:rPr>
              <w:t>5.4</w:t>
            </w:r>
          </w:p>
        </w:tc>
        <w:tc>
          <w:tcPr>
            <w:tcW w:w="814" w:type="dxa"/>
            <w:tcBorders>
              <w:top w:val="nil"/>
              <w:left w:val="nil"/>
              <w:bottom w:val="single" w:sz="8" w:space="0" w:color="365F91"/>
              <w:right w:val="nil"/>
            </w:tcBorders>
            <w:shd w:val="clear" w:color="auto" w:fill="auto"/>
            <w:vAlign w:val="bottom"/>
            <w:hideMark/>
          </w:tcPr>
          <w:p w14:paraId="11375505" w14:textId="77777777" w:rsidR="00627CA1" w:rsidRPr="00D9348B" w:rsidRDefault="00627CA1" w:rsidP="00DB330E">
            <w:pPr>
              <w:pStyle w:val="Tableboldblue"/>
              <w:jc w:val="right"/>
              <w:rPr>
                <w:rFonts w:cs="Calibri"/>
              </w:rPr>
            </w:pPr>
            <w:r w:rsidRPr="00D9348B">
              <w:rPr>
                <w:rFonts w:cs="Calibri"/>
              </w:rPr>
              <w:t>7.2</w:t>
            </w:r>
          </w:p>
        </w:tc>
      </w:tr>
    </w:tbl>
    <w:p w14:paraId="39DA74EA" w14:textId="77777777" w:rsidR="00627CA1" w:rsidRPr="00D9348B" w:rsidRDefault="00627CA1" w:rsidP="00627CA1">
      <w:pPr>
        <w:pStyle w:val="Noteundertable"/>
      </w:pPr>
      <w:r w:rsidRPr="00D9348B">
        <w:rPr>
          <w:b/>
        </w:rPr>
        <w:t>Note:</w:t>
      </w:r>
      <w:r w:rsidRPr="00D9348B">
        <w:rPr>
          <w:bCs/>
        </w:rPr>
        <w:t xml:space="preserve"> </w:t>
      </w:r>
      <w:r w:rsidRPr="00D9348B">
        <w:tab/>
        <w:t>A&amp;R = Afforestation and reforestation; CEF = carbon equivalent forest; FM = Forest management; kha = kilohectare. Columns may not total due to rounding.</w:t>
      </w:r>
    </w:p>
    <w:p w14:paraId="0CC41166" w14:textId="77777777" w:rsidR="00627CA1" w:rsidRPr="00D9348B" w:rsidRDefault="00627CA1" w:rsidP="00627CA1">
      <w:pPr>
        <w:pStyle w:val="BodyText"/>
        <w:spacing w:before="240" w:after="100"/>
        <w:rPr>
          <w:rFonts w:ascii="Arial" w:hAnsi="Arial" w:cs="Arial"/>
          <w:color w:val="000000"/>
          <w:sz w:val="16"/>
          <w:szCs w:val="16"/>
        </w:rPr>
      </w:pPr>
    </w:p>
    <w:p w14:paraId="58DC281B" w14:textId="77777777" w:rsidR="00627CA1" w:rsidRPr="00D9348B" w:rsidRDefault="00627CA1" w:rsidP="00627CA1">
      <w:pPr>
        <w:pStyle w:val="BodyText"/>
        <w:spacing w:before="240" w:after="100"/>
        <w:rPr>
          <w:rFonts w:ascii="Arial" w:hAnsi="Arial" w:cs="Arial"/>
          <w:color w:val="000000"/>
          <w:sz w:val="16"/>
          <w:szCs w:val="16"/>
        </w:rPr>
        <w:sectPr w:rsidR="00627CA1" w:rsidRPr="00D9348B" w:rsidSect="00DB330E">
          <w:footerReference w:type="default" r:id="rId283"/>
          <w:pgSz w:w="16840" w:h="11907" w:orient="landscape" w:code="9"/>
          <w:pgMar w:top="1701" w:right="1418" w:bottom="1701" w:left="1418" w:header="567" w:footer="567" w:gutter="0"/>
          <w:cols w:space="720"/>
          <w:docGrid w:linePitch="299"/>
        </w:sectPr>
      </w:pPr>
    </w:p>
    <w:p w14:paraId="10FB7A8A" w14:textId="5BB9A1BE" w:rsidR="00627CA1" w:rsidRPr="00D9348B" w:rsidRDefault="00627CA1" w:rsidP="00627CA1">
      <w:pPr>
        <w:pStyle w:val="BodyText"/>
        <w:spacing w:before="0" w:after="100"/>
      </w:pPr>
      <w:r w:rsidRPr="00D9348B">
        <w:lastRenderedPageBreak/>
        <w:t>Since 1993, the New Zealand Government has introduced legislation and government initiatives to encourage forest establishment and discourage deforestation of planted forests.</w:t>
      </w:r>
      <w:r w:rsidR="004F481A" w:rsidRPr="00D9348B">
        <w:t> </w:t>
      </w:r>
      <w:r w:rsidRPr="00D9348B">
        <w:t xml:space="preserve">These measures include the: </w:t>
      </w:r>
    </w:p>
    <w:p w14:paraId="1A98B4BC" w14:textId="77777777" w:rsidR="00627CA1" w:rsidRPr="00D9348B" w:rsidRDefault="00627CA1" w:rsidP="00771A8F">
      <w:pPr>
        <w:pStyle w:val="Bullet"/>
        <w:numPr>
          <w:ilvl w:val="0"/>
          <w:numId w:val="20"/>
        </w:numPr>
        <w:spacing w:after="100"/>
      </w:pPr>
      <w:r w:rsidRPr="00D9348B">
        <w:t>Climate Change Response Act 2002 (amended 8 December 2009)</w:t>
      </w:r>
    </w:p>
    <w:p w14:paraId="6F5A5767" w14:textId="77777777" w:rsidR="00627CA1" w:rsidRPr="00D9348B" w:rsidRDefault="00627CA1" w:rsidP="00771A8F">
      <w:pPr>
        <w:pStyle w:val="Bullet"/>
        <w:numPr>
          <w:ilvl w:val="0"/>
          <w:numId w:val="20"/>
        </w:numPr>
        <w:spacing w:after="100"/>
      </w:pPr>
      <w:r w:rsidRPr="00D9348B">
        <w:t>Erosion Control Funding Programme</w:t>
      </w:r>
      <w:r w:rsidRPr="00D9348B" w:rsidDel="004A3481">
        <w:t xml:space="preserve"> </w:t>
      </w:r>
      <w:r w:rsidRPr="00D9348B">
        <w:t>(Ministry for Primary Industries, 2014)</w:t>
      </w:r>
    </w:p>
    <w:p w14:paraId="77D7F2B7" w14:textId="77777777" w:rsidR="00627CA1" w:rsidRPr="00D9348B" w:rsidRDefault="00627CA1" w:rsidP="00771A8F">
      <w:pPr>
        <w:pStyle w:val="Bullet"/>
        <w:numPr>
          <w:ilvl w:val="0"/>
          <w:numId w:val="20"/>
        </w:numPr>
        <w:spacing w:after="100"/>
      </w:pPr>
      <w:r w:rsidRPr="00D9348B">
        <w:t>Permanent Forest Sink Initiative (Ministry for Primary Industries, 2015b)</w:t>
      </w:r>
    </w:p>
    <w:p w14:paraId="328750B1" w14:textId="77777777" w:rsidR="00627CA1" w:rsidRPr="00D9348B" w:rsidRDefault="00627CA1" w:rsidP="00771A8F">
      <w:pPr>
        <w:pStyle w:val="Bullet"/>
        <w:numPr>
          <w:ilvl w:val="0"/>
          <w:numId w:val="20"/>
        </w:numPr>
        <w:spacing w:after="100"/>
      </w:pPr>
      <w:r w:rsidRPr="00D9348B">
        <w:t>Hill Country Erosion Programme (Ministry for Primary Industries, 2015c)</w:t>
      </w:r>
    </w:p>
    <w:p w14:paraId="0C2F53AC" w14:textId="77777777" w:rsidR="00627CA1" w:rsidRPr="00D9348B" w:rsidRDefault="00627CA1" w:rsidP="00771A8F">
      <w:pPr>
        <w:pStyle w:val="Bullet"/>
        <w:numPr>
          <w:ilvl w:val="0"/>
          <w:numId w:val="20"/>
        </w:numPr>
        <w:spacing w:after="100"/>
      </w:pPr>
      <w:r w:rsidRPr="00D9348B">
        <w:t>Afforestation Grant Scheme (Ministry for Primary Industries, 2015a)</w:t>
      </w:r>
    </w:p>
    <w:p w14:paraId="0EA997E6" w14:textId="77777777" w:rsidR="00627CA1" w:rsidRPr="00D9348B" w:rsidRDefault="00627CA1" w:rsidP="00771A8F">
      <w:pPr>
        <w:pStyle w:val="Bullet"/>
        <w:numPr>
          <w:ilvl w:val="0"/>
          <w:numId w:val="20"/>
        </w:numPr>
      </w:pPr>
      <w:r w:rsidRPr="00D9348B">
        <w:t>One Billion Trees Fund (Te Uru Rākau, 2018).</w:t>
      </w:r>
    </w:p>
    <w:p w14:paraId="1B34FEB1" w14:textId="77777777" w:rsidR="00627CA1" w:rsidRPr="00D9348B" w:rsidRDefault="00627CA1" w:rsidP="00627CA1">
      <w:pPr>
        <w:pStyle w:val="BodyText"/>
        <w:spacing w:after="100"/>
      </w:pPr>
      <w:r w:rsidRPr="00D9348B">
        <w:t xml:space="preserve">The NZ ETS was introduced under the Climate Change Response Act 2002. </w:t>
      </w:r>
      <w:r w:rsidRPr="00D9348B">
        <w:rPr>
          <w:i/>
        </w:rPr>
        <w:t>Forest land</w:t>
      </w:r>
      <w:r w:rsidRPr="00D9348B">
        <w:t xml:space="preserve"> was introduced into the scheme on 1 January 2008. Under the scheme, owners of post-1989 forest land may voluntarily participate in the NZ ETS and receive emission units (New Zealand Units (NZUs)) for any increase in carbon stocks in their forests from 1 January 2008.</w:t>
      </w:r>
    </w:p>
    <w:p w14:paraId="5B1B7F40" w14:textId="77777777" w:rsidR="00627CA1" w:rsidRPr="00D9348B" w:rsidRDefault="00627CA1" w:rsidP="00627CA1">
      <w:pPr>
        <w:pStyle w:val="BodyText"/>
        <w:spacing w:after="100"/>
      </w:pPr>
      <w:r w:rsidRPr="00D9348B">
        <w:t>The Erosion Control Funding Programme, formerly the East Coast Forestry Project, is a grant scheme that was established in 1993. It aims to address soil erosion on the worst eroding land in the Gisborne District through planting trees or encouraging natural reversion to native bush. Funding has been approved to 2020 (Ministry for Primary Industries, 2014). To date, 38,643 hectares of forest have been established under the scheme.</w:t>
      </w:r>
    </w:p>
    <w:p w14:paraId="48EDA7DF" w14:textId="77777777" w:rsidR="00627CA1" w:rsidRPr="00D9348B" w:rsidRDefault="00627CA1" w:rsidP="00627CA1">
      <w:pPr>
        <w:pStyle w:val="BodyText"/>
        <w:spacing w:after="100"/>
      </w:pPr>
      <w:r w:rsidRPr="00D9348B">
        <w:t>The Permanent Forest Sink Initiative enables landowners to earn carbon credits through the establishment of permanent forests on land that was not forested prior to 1990 (Ministry for Primary Industries, 2015b). In total, 21,022 hectares were registered under this scheme. The scheme was discontinued in 2018 and will be replaced by a permanent post-1989 forest category in the NZ ETS.</w:t>
      </w:r>
    </w:p>
    <w:p w14:paraId="604DE5E2" w14:textId="77777777" w:rsidR="00627CA1" w:rsidRPr="00D9348B" w:rsidRDefault="00627CA1" w:rsidP="00627CA1">
      <w:pPr>
        <w:pStyle w:val="BodyText"/>
        <w:spacing w:after="100"/>
        <w:rPr>
          <w:spacing w:val="-2"/>
        </w:rPr>
      </w:pPr>
      <w:r w:rsidRPr="00D9348B">
        <w:rPr>
          <w:spacing w:val="-2"/>
        </w:rPr>
        <w:t>The Hill Country Erosion Programme, like the Erosion Control Funding Programme, is focused on the retiring and afforestation of erosion-prone, hill-country farmland in the North Island. It underwent a review in 2011 and continues with an expanded target area throughout erosion-prone land in the North Island (Ministry for Primary Industries, 2015c). To date, 25,834 hectares of forest have been established under this scheme.</w:t>
      </w:r>
    </w:p>
    <w:p w14:paraId="27790112" w14:textId="77777777" w:rsidR="00627CA1" w:rsidRPr="00D9348B" w:rsidRDefault="00627CA1" w:rsidP="00627CA1">
      <w:pPr>
        <w:pStyle w:val="BodyText"/>
        <w:spacing w:after="100"/>
      </w:pPr>
      <w:r w:rsidRPr="00D9348B">
        <w:t>The Afforestation Grant Scheme was first established in 2008 to promote carbon sequestration and sustainable land use. The first round of the scheme established 11,533 hectares of new forest between 2008 and 2013. A second afforestation grant scheme was established in 2015, and 6,146 hectares of new forest were established under this scheme. The scheme was replaced by the One Billion Trees Fund in 2018.</w:t>
      </w:r>
    </w:p>
    <w:p w14:paraId="682ACD94" w14:textId="77777777" w:rsidR="00627CA1" w:rsidRPr="00D9348B" w:rsidRDefault="00627CA1" w:rsidP="00627CA1">
      <w:pPr>
        <w:pStyle w:val="BodyText"/>
      </w:pPr>
      <w:r w:rsidRPr="00D9348B">
        <w:t xml:space="preserve">The One Billion Trees Fund was established in 2018 to support individuals and groups across New Zealand to plant trees and manage land sustainably. Te Uru Rākau works in partnership with landowners and organisations to achieve the goal of planting 1 billion trees by 2028 (Te Uru Rākau, 2018). </w:t>
      </w:r>
    </w:p>
    <w:p w14:paraId="4D1D8FE4" w14:textId="77777777" w:rsidR="00627CA1" w:rsidRPr="00D9348B" w:rsidRDefault="00627CA1" w:rsidP="00627CA1">
      <w:pPr>
        <w:pStyle w:val="BodyText"/>
        <w:spacing w:after="100"/>
      </w:pPr>
      <w:r w:rsidRPr="00D9348B">
        <w:t xml:space="preserve">New Zealand reports on harvested wood products originating from </w:t>
      </w:r>
      <w:r w:rsidRPr="00D9348B">
        <w:rPr>
          <w:i/>
        </w:rPr>
        <w:t>Afforestation and reforestation</w:t>
      </w:r>
      <w:r w:rsidRPr="00D9348B">
        <w:t xml:space="preserve"> activities. This is described further in section 11.3.6.</w:t>
      </w:r>
      <w:r w:rsidRPr="00D9348B" w:rsidDel="004331A9">
        <w:rPr>
          <w:rStyle w:val="CommentReference"/>
        </w:rPr>
        <w:t xml:space="preserve"> </w:t>
      </w:r>
    </w:p>
    <w:p w14:paraId="0225F19A" w14:textId="47C6CC80" w:rsidR="00627CA1" w:rsidRPr="00D9348B" w:rsidRDefault="00627CA1" w:rsidP="00627CA1">
      <w:pPr>
        <w:pStyle w:val="BodyText"/>
        <w:spacing w:after="100"/>
        <w:rPr>
          <w:spacing w:val="-2"/>
        </w:rPr>
      </w:pPr>
      <w:r w:rsidRPr="00D9348B">
        <w:rPr>
          <w:spacing w:val="-2"/>
        </w:rPr>
        <w:t>New Zealand may choose to apply the provision for the treatment of natural disturbance emissions to its afforestation and reforestation accounting (Ministry for the Environment, 2015).</w:t>
      </w:r>
      <w:r w:rsidR="001A1DE4" w:rsidRPr="00D9348B">
        <w:rPr>
          <w:spacing w:val="-2"/>
        </w:rPr>
        <w:t> </w:t>
      </w:r>
      <w:r w:rsidRPr="00D9348B">
        <w:rPr>
          <w:spacing w:val="-2"/>
        </w:rPr>
        <w:t>The method used to set New Zealand’s natural disturbance background level is outlined in</w:t>
      </w:r>
      <w:r w:rsidR="001A1DE4" w:rsidRPr="00D9348B">
        <w:rPr>
          <w:spacing w:val="-2"/>
        </w:rPr>
        <w:t> </w:t>
      </w:r>
      <w:r w:rsidRPr="00D9348B">
        <w:rPr>
          <w:spacing w:val="-2"/>
        </w:rPr>
        <w:t xml:space="preserve">annex 5.2. </w:t>
      </w:r>
    </w:p>
    <w:p w14:paraId="04B25746" w14:textId="77777777" w:rsidR="00627CA1" w:rsidRPr="00D9348B" w:rsidRDefault="00627CA1" w:rsidP="00627CA1">
      <w:pPr>
        <w:pStyle w:val="BodyText"/>
        <w:spacing w:after="100"/>
      </w:pPr>
      <w:r w:rsidRPr="00D9348B">
        <w:lastRenderedPageBreak/>
        <w:t xml:space="preserve">While some wildfire has occurred within </w:t>
      </w:r>
      <w:r w:rsidRPr="00D9348B">
        <w:rPr>
          <w:i/>
        </w:rPr>
        <w:t>Afforestation and reforestation</w:t>
      </w:r>
      <w:r w:rsidRPr="00D9348B">
        <w:t xml:space="preserve"> activities since 2013, this was not at a high enough level for New Zealand to trigger the natural disturbance provision.</w:t>
      </w:r>
    </w:p>
    <w:p w14:paraId="48CABFFE" w14:textId="77777777" w:rsidR="00627CA1" w:rsidRPr="00D9348B" w:rsidRDefault="00627CA1" w:rsidP="00627CA1">
      <w:pPr>
        <w:pStyle w:val="Heading3"/>
      </w:pPr>
      <w:r w:rsidRPr="00D9348B">
        <w:t xml:space="preserve">11.3.3 </w:t>
      </w:r>
      <w:r w:rsidRPr="00D9348B">
        <w:tab/>
        <w:t xml:space="preserve">Deforestation (CRF 4(KP.A.2)) </w:t>
      </w:r>
    </w:p>
    <w:p w14:paraId="25346083" w14:textId="77777777" w:rsidR="00627CA1" w:rsidRPr="00D9348B" w:rsidRDefault="00627CA1" w:rsidP="00627CA1">
      <w:pPr>
        <w:pStyle w:val="BodyText"/>
      </w:pPr>
      <w:r w:rsidRPr="00D9348B">
        <w:t xml:space="preserve">In 2018, </w:t>
      </w:r>
      <w:r w:rsidRPr="00D9348B">
        <w:rPr>
          <w:i/>
        </w:rPr>
        <w:t>Deforestation</w:t>
      </w:r>
      <w:r w:rsidRPr="00D9348B">
        <w:t xml:space="preserve"> emissions were 2,146.2 kt CO</w:t>
      </w:r>
      <w:r w:rsidRPr="00D9348B">
        <w:rPr>
          <w:vertAlign w:val="subscript"/>
        </w:rPr>
        <w:t>2</w:t>
      </w:r>
      <w:r w:rsidRPr="00D9348B">
        <w:t>-e, compared with 1,977.1 kt CO</w:t>
      </w:r>
      <w:r w:rsidRPr="00D9348B">
        <w:rPr>
          <w:vertAlign w:val="subscript"/>
        </w:rPr>
        <w:t>2</w:t>
      </w:r>
      <w:r w:rsidRPr="00D9348B">
        <w:noBreakHyphen/>
        <w:t>e in 2017. These emissions result from the loss of carbon, which was stored in the biomass prior to deforestation, occurring in the year that deforestation occurs; soil carbon stock changes including lagged emissions from previous deforestation events; mineralisation of soil nitrogen associated with the land-use change; emissions from burning biomass on deforested land; and removals from biomass growth of the new land use, which accumulates at the rates given in chapter 6, table 6.1.5.</w:t>
      </w:r>
    </w:p>
    <w:p w14:paraId="656745B3" w14:textId="77777777" w:rsidR="00627CA1" w:rsidRPr="00D9348B" w:rsidRDefault="00627CA1" w:rsidP="00627CA1">
      <w:pPr>
        <w:pStyle w:val="BodyText"/>
      </w:pPr>
      <w:r w:rsidRPr="00D9348B">
        <w:t xml:space="preserve">The estimated area reported under </w:t>
      </w:r>
      <w:r w:rsidRPr="00D9348B">
        <w:rPr>
          <w:i/>
          <w:spacing w:val="-2"/>
        </w:rPr>
        <w:t>Deforestation</w:t>
      </w:r>
      <w:r w:rsidRPr="00D9348B">
        <w:t xml:space="preserve"> for 2018 was 3,740 hectares. This is 7.1 per cent higher than the 2017 recalculated value, resulting in higher emissions reported under </w:t>
      </w:r>
      <w:r w:rsidRPr="00D9348B">
        <w:rPr>
          <w:i/>
          <w:spacing w:val="-2"/>
        </w:rPr>
        <w:t>Deforestation</w:t>
      </w:r>
      <w:r w:rsidRPr="00D9348B">
        <w:t xml:space="preserve"> in 2018.</w:t>
      </w:r>
    </w:p>
    <w:p w14:paraId="45E9C223" w14:textId="77777777" w:rsidR="00627CA1" w:rsidRPr="00D9348B" w:rsidRDefault="00627CA1" w:rsidP="00627CA1">
      <w:pPr>
        <w:pStyle w:val="BodyText"/>
      </w:pPr>
      <w:r w:rsidRPr="00D9348B">
        <w:t xml:space="preserve">Table 11.3.4 shows the areas of </w:t>
      </w:r>
      <w:r w:rsidRPr="00D9348B">
        <w:rPr>
          <w:i/>
        </w:rPr>
        <w:t>Forest land</w:t>
      </w:r>
      <w:r w:rsidRPr="00D9348B">
        <w:t xml:space="preserve"> subject to </w:t>
      </w:r>
      <w:r w:rsidRPr="00D9348B">
        <w:rPr>
          <w:i/>
          <w:spacing w:val="-2"/>
        </w:rPr>
        <w:t>Deforestation</w:t>
      </w:r>
      <w:r w:rsidRPr="00D9348B">
        <w:t xml:space="preserve"> activities since 2008 by forest category. </w:t>
      </w:r>
    </w:p>
    <w:p w14:paraId="33C997F3" w14:textId="77777777" w:rsidR="00627CA1" w:rsidRPr="00D9348B" w:rsidRDefault="00627CA1" w:rsidP="00627CA1">
      <w:pPr>
        <w:pStyle w:val="Table"/>
      </w:pPr>
      <w:bookmarkStart w:id="3266" w:name="_Toc456179108"/>
      <w:bookmarkStart w:id="3267" w:name="_Toc481751634"/>
      <w:bookmarkStart w:id="3268" w:name="_Toc522010659"/>
      <w:bookmarkStart w:id="3269" w:name="_Toc5269630"/>
      <w:bookmarkStart w:id="3270" w:name="_Toc36224713"/>
      <w:r w:rsidRPr="00D9348B">
        <w:t>Table 11.3.4</w:t>
      </w:r>
      <w:r w:rsidRPr="00D9348B">
        <w:tab/>
        <w:t>Area of New Zealand subject to deforestation</w:t>
      </w:r>
      <w:bookmarkEnd w:id="3266"/>
      <w:bookmarkEnd w:id="3267"/>
      <w:bookmarkEnd w:id="3268"/>
      <w:bookmarkEnd w:id="3269"/>
      <w:bookmarkEnd w:id="3270"/>
    </w:p>
    <w:tbl>
      <w:tblPr>
        <w:tblW w:w="8505" w:type="dxa"/>
        <w:tblInd w:w="108" w:type="dxa"/>
        <w:tblBorders>
          <w:top w:val="single" w:sz="4" w:space="0" w:color="2E74B5"/>
          <w:bottom w:val="single" w:sz="4" w:space="0" w:color="2E74B5"/>
          <w:insideH w:val="single" w:sz="4" w:space="0" w:color="2E74B5"/>
        </w:tblBorders>
        <w:tblLook w:val="04A0" w:firstRow="1" w:lastRow="0" w:firstColumn="1" w:lastColumn="0" w:noHBand="0" w:noVBand="1"/>
      </w:tblPr>
      <w:tblGrid>
        <w:gridCol w:w="993"/>
        <w:gridCol w:w="1984"/>
        <w:gridCol w:w="2112"/>
        <w:gridCol w:w="1701"/>
        <w:gridCol w:w="1715"/>
      </w:tblGrid>
      <w:tr w:rsidR="00627CA1" w:rsidRPr="00D9348B" w14:paraId="47D8A932" w14:textId="77777777" w:rsidTr="004F481A">
        <w:trPr>
          <w:tblHeader/>
        </w:trPr>
        <w:tc>
          <w:tcPr>
            <w:tcW w:w="993" w:type="dxa"/>
            <w:tcBorders>
              <w:top w:val="single" w:sz="4" w:space="0" w:color="365F91"/>
              <w:bottom w:val="single" w:sz="4" w:space="0" w:color="365F91"/>
            </w:tcBorders>
            <w:shd w:val="clear" w:color="auto" w:fill="365F91"/>
            <w:vAlign w:val="bottom"/>
          </w:tcPr>
          <w:p w14:paraId="57D719F2" w14:textId="77777777" w:rsidR="00627CA1" w:rsidRPr="00D9348B" w:rsidRDefault="00627CA1" w:rsidP="004F481A">
            <w:pPr>
              <w:pStyle w:val="TableTextBold"/>
              <w:keepNext/>
              <w:spacing w:before="50" w:after="0"/>
              <w:jc w:val="center"/>
              <w:rPr>
                <w:rFonts w:cs="Calibri"/>
                <w:bCs/>
                <w:noProof w:val="0"/>
                <w:color w:val="FFFFFF"/>
                <w:szCs w:val="16"/>
              </w:rPr>
            </w:pPr>
          </w:p>
        </w:tc>
        <w:tc>
          <w:tcPr>
            <w:tcW w:w="5797" w:type="dxa"/>
            <w:gridSpan w:val="3"/>
            <w:tcBorders>
              <w:top w:val="single" w:sz="4" w:space="0" w:color="365F91"/>
              <w:bottom w:val="single" w:sz="4" w:space="0" w:color="365F91"/>
            </w:tcBorders>
            <w:shd w:val="clear" w:color="auto" w:fill="365F91"/>
            <w:vAlign w:val="bottom"/>
          </w:tcPr>
          <w:p w14:paraId="720B3C7E" w14:textId="77777777" w:rsidR="00627CA1" w:rsidRPr="00D9348B" w:rsidRDefault="00627CA1" w:rsidP="004F481A">
            <w:pPr>
              <w:pStyle w:val="TableTextBold"/>
              <w:keepNext/>
              <w:spacing w:before="50" w:after="0"/>
              <w:jc w:val="center"/>
              <w:rPr>
                <w:rFonts w:cs="Calibri"/>
                <w:bCs/>
                <w:noProof w:val="0"/>
                <w:color w:val="FFFFFF"/>
                <w:szCs w:val="16"/>
              </w:rPr>
            </w:pPr>
            <w:r w:rsidRPr="00D9348B">
              <w:rPr>
                <w:rFonts w:cs="Calibri"/>
                <w:bCs/>
                <w:noProof w:val="0"/>
                <w:color w:val="FFFFFF"/>
                <w:szCs w:val="16"/>
              </w:rPr>
              <w:t>Annual area of deforestation (ha)</w:t>
            </w:r>
          </w:p>
        </w:tc>
        <w:tc>
          <w:tcPr>
            <w:tcW w:w="1715" w:type="dxa"/>
            <w:tcBorders>
              <w:top w:val="single" w:sz="4" w:space="0" w:color="365F91"/>
              <w:bottom w:val="single" w:sz="4" w:space="0" w:color="365F91"/>
            </w:tcBorders>
            <w:shd w:val="clear" w:color="auto" w:fill="365F91"/>
            <w:vAlign w:val="bottom"/>
          </w:tcPr>
          <w:p w14:paraId="341C96F9" w14:textId="77777777" w:rsidR="00627CA1" w:rsidRPr="00D9348B" w:rsidRDefault="00627CA1" w:rsidP="004F481A">
            <w:pPr>
              <w:pStyle w:val="TableTextBold"/>
              <w:keepNext/>
              <w:spacing w:before="50" w:after="0"/>
              <w:jc w:val="center"/>
              <w:rPr>
                <w:rFonts w:cs="Calibri"/>
                <w:bCs/>
                <w:noProof w:val="0"/>
                <w:color w:val="FFFFFF"/>
                <w:szCs w:val="16"/>
              </w:rPr>
            </w:pPr>
          </w:p>
        </w:tc>
      </w:tr>
      <w:tr w:rsidR="00627CA1" w:rsidRPr="00D9348B" w14:paraId="7D311963" w14:textId="77777777" w:rsidTr="004F481A">
        <w:trPr>
          <w:tblHeader/>
        </w:trPr>
        <w:tc>
          <w:tcPr>
            <w:tcW w:w="993" w:type="dxa"/>
            <w:tcBorders>
              <w:top w:val="single" w:sz="4" w:space="0" w:color="365F91"/>
              <w:left w:val="nil"/>
              <w:bottom w:val="single" w:sz="4" w:space="0" w:color="365F91"/>
            </w:tcBorders>
            <w:shd w:val="clear" w:color="auto" w:fill="365F91"/>
            <w:vAlign w:val="bottom"/>
          </w:tcPr>
          <w:p w14:paraId="5DDFBBBA" w14:textId="77777777" w:rsidR="00627CA1" w:rsidRPr="00D9348B" w:rsidRDefault="00627CA1" w:rsidP="00DB330E">
            <w:pPr>
              <w:pStyle w:val="TableTextBold"/>
              <w:keepNext/>
              <w:spacing w:before="50" w:after="50"/>
              <w:rPr>
                <w:rFonts w:cs="Calibri"/>
                <w:bCs/>
                <w:noProof w:val="0"/>
                <w:color w:val="FFFFFF"/>
                <w:szCs w:val="16"/>
              </w:rPr>
            </w:pPr>
            <w:r w:rsidRPr="00D9348B">
              <w:rPr>
                <w:rFonts w:cs="Calibri"/>
                <w:bCs/>
                <w:noProof w:val="0"/>
                <w:color w:val="FFFFFF"/>
                <w:szCs w:val="16"/>
              </w:rPr>
              <w:t>Year</w:t>
            </w:r>
          </w:p>
        </w:tc>
        <w:tc>
          <w:tcPr>
            <w:tcW w:w="1984" w:type="dxa"/>
            <w:tcBorders>
              <w:top w:val="single" w:sz="4" w:space="0" w:color="365F91"/>
              <w:bottom w:val="single" w:sz="4" w:space="0" w:color="365F91"/>
            </w:tcBorders>
            <w:shd w:val="clear" w:color="auto" w:fill="365F91"/>
            <w:vAlign w:val="bottom"/>
          </w:tcPr>
          <w:p w14:paraId="6B31C33B" w14:textId="77777777" w:rsidR="00627CA1" w:rsidRPr="00D9348B" w:rsidRDefault="00627CA1" w:rsidP="00DB330E">
            <w:pPr>
              <w:pStyle w:val="TableTextBold"/>
              <w:spacing w:before="50" w:after="50"/>
              <w:jc w:val="center"/>
              <w:rPr>
                <w:rFonts w:cs="Calibri"/>
                <w:noProof w:val="0"/>
                <w:color w:val="FFFFFF"/>
                <w:szCs w:val="16"/>
              </w:rPr>
            </w:pPr>
            <w:r w:rsidRPr="00D9348B">
              <w:rPr>
                <w:rFonts w:cs="Calibri"/>
                <w:noProof w:val="0"/>
                <w:color w:val="FFFFFF"/>
                <w:szCs w:val="16"/>
              </w:rPr>
              <w:t>Pre-1990 natural forest</w:t>
            </w:r>
          </w:p>
        </w:tc>
        <w:tc>
          <w:tcPr>
            <w:tcW w:w="2112" w:type="dxa"/>
            <w:tcBorders>
              <w:top w:val="single" w:sz="4" w:space="0" w:color="365F91"/>
              <w:bottom w:val="single" w:sz="4" w:space="0" w:color="365F91"/>
            </w:tcBorders>
            <w:shd w:val="clear" w:color="auto" w:fill="365F91"/>
            <w:vAlign w:val="bottom"/>
          </w:tcPr>
          <w:p w14:paraId="6F1BA784" w14:textId="77777777" w:rsidR="00627CA1" w:rsidRPr="00D9348B" w:rsidRDefault="00627CA1" w:rsidP="00DB330E">
            <w:pPr>
              <w:pStyle w:val="TableTextBold"/>
              <w:spacing w:before="50" w:after="50"/>
              <w:jc w:val="center"/>
              <w:rPr>
                <w:rFonts w:cs="Calibri"/>
                <w:noProof w:val="0"/>
                <w:color w:val="FFFFFF"/>
                <w:szCs w:val="16"/>
              </w:rPr>
            </w:pPr>
            <w:r w:rsidRPr="00D9348B">
              <w:rPr>
                <w:rFonts w:cs="Calibri"/>
                <w:noProof w:val="0"/>
                <w:color w:val="FFFFFF"/>
                <w:szCs w:val="16"/>
              </w:rPr>
              <w:t>Pre-1990 planted forest</w:t>
            </w:r>
          </w:p>
        </w:tc>
        <w:tc>
          <w:tcPr>
            <w:tcW w:w="1701" w:type="dxa"/>
            <w:tcBorders>
              <w:top w:val="single" w:sz="4" w:space="0" w:color="365F91"/>
              <w:bottom w:val="single" w:sz="4" w:space="0" w:color="365F91"/>
              <w:right w:val="nil"/>
            </w:tcBorders>
            <w:shd w:val="clear" w:color="auto" w:fill="365F91"/>
            <w:vAlign w:val="bottom"/>
          </w:tcPr>
          <w:p w14:paraId="12F6612D" w14:textId="77777777" w:rsidR="00627CA1" w:rsidRPr="00D9348B" w:rsidRDefault="00627CA1" w:rsidP="00DB330E">
            <w:pPr>
              <w:pStyle w:val="TableTextBold"/>
              <w:spacing w:before="50" w:after="50"/>
              <w:jc w:val="center"/>
              <w:rPr>
                <w:rFonts w:cs="Calibri"/>
                <w:noProof w:val="0"/>
                <w:color w:val="FFFFFF"/>
                <w:szCs w:val="16"/>
              </w:rPr>
            </w:pPr>
            <w:r w:rsidRPr="00D9348B">
              <w:rPr>
                <w:rFonts w:cs="Calibri"/>
                <w:noProof w:val="0"/>
                <w:color w:val="FFFFFF"/>
                <w:szCs w:val="16"/>
              </w:rPr>
              <w:t>Post-1989 forest</w:t>
            </w:r>
          </w:p>
        </w:tc>
        <w:tc>
          <w:tcPr>
            <w:tcW w:w="1715" w:type="dxa"/>
            <w:tcBorders>
              <w:top w:val="single" w:sz="4" w:space="0" w:color="365F91"/>
              <w:bottom w:val="single" w:sz="4" w:space="0" w:color="365F91"/>
              <w:right w:val="nil"/>
            </w:tcBorders>
            <w:shd w:val="clear" w:color="auto" w:fill="365F91"/>
            <w:vAlign w:val="bottom"/>
          </w:tcPr>
          <w:p w14:paraId="10FAB652" w14:textId="77777777" w:rsidR="00627CA1" w:rsidRPr="00D9348B" w:rsidRDefault="00627CA1" w:rsidP="00DB330E">
            <w:pPr>
              <w:pStyle w:val="TableTextBold"/>
              <w:jc w:val="right"/>
              <w:rPr>
                <w:rFonts w:cs="Calibri"/>
                <w:noProof w:val="0"/>
                <w:color w:val="FFFFFF"/>
                <w:szCs w:val="16"/>
              </w:rPr>
            </w:pPr>
            <w:r w:rsidRPr="00D9348B">
              <w:rPr>
                <w:rFonts w:cs="Calibri"/>
                <w:noProof w:val="0"/>
                <w:color w:val="FFFFFF"/>
                <w:szCs w:val="16"/>
              </w:rPr>
              <w:t>Total</w:t>
            </w:r>
          </w:p>
        </w:tc>
      </w:tr>
      <w:tr w:rsidR="00627CA1" w:rsidRPr="00D9348B" w14:paraId="27B6E544" w14:textId="77777777" w:rsidTr="00DB330E">
        <w:tc>
          <w:tcPr>
            <w:tcW w:w="993" w:type="dxa"/>
            <w:tcBorders>
              <w:top w:val="single" w:sz="4" w:space="0" w:color="365F91"/>
              <w:bottom w:val="single" w:sz="4" w:space="0" w:color="365F91"/>
            </w:tcBorders>
            <w:shd w:val="clear" w:color="auto" w:fill="auto"/>
            <w:vAlign w:val="center"/>
          </w:tcPr>
          <w:p w14:paraId="5FA7F49B" w14:textId="77777777" w:rsidR="00627CA1" w:rsidRPr="00D9348B" w:rsidRDefault="00627CA1" w:rsidP="00DB330E">
            <w:pPr>
              <w:pStyle w:val="TableText"/>
              <w:spacing w:before="50" w:after="50"/>
              <w:rPr>
                <w:rFonts w:cs="Calibri"/>
                <w:szCs w:val="16"/>
              </w:rPr>
            </w:pPr>
            <w:r w:rsidRPr="00D9348B">
              <w:rPr>
                <w:rFonts w:cs="Calibri"/>
                <w:szCs w:val="16"/>
              </w:rPr>
              <w:t>2008</w:t>
            </w:r>
          </w:p>
        </w:tc>
        <w:tc>
          <w:tcPr>
            <w:tcW w:w="1984" w:type="dxa"/>
            <w:tcBorders>
              <w:top w:val="single" w:sz="4" w:space="0" w:color="365F91"/>
              <w:bottom w:val="single" w:sz="4" w:space="0" w:color="365F91"/>
            </w:tcBorders>
            <w:shd w:val="clear" w:color="auto" w:fill="auto"/>
          </w:tcPr>
          <w:p w14:paraId="495FD213" w14:textId="77777777" w:rsidR="00627CA1" w:rsidRPr="00D9348B" w:rsidRDefault="00627CA1" w:rsidP="00DB330E">
            <w:pPr>
              <w:pStyle w:val="TableText"/>
              <w:spacing w:before="50" w:after="50"/>
              <w:jc w:val="right"/>
              <w:rPr>
                <w:rFonts w:cs="Calibri"/>
                <w:szCs w:val="16"/>
              </w:rPr>
            </w:pPr>
            <w:r w:rsidRPr="00D9348B">
              <w:rPr>
                <w:rFonts w:cs="Calibri"/>
                <w:szCs w:val="16"/>
              </w:rPr>
              <w:t xml:space="preserve"> 773 </w:t>
            </w:r>
          </w:p>
        </w:tc>
        <w:tc>
          <w:tcPr>
            <w:tcW w:w="2112" w:type="dxa"/>
            <w:tcBorders>
              <w:top w:val="single" w:sz="4" w:space="0" w:color="365F91"/>
              <w:bottom w:val="single" w:sz="4" w:space="0" w:color="365F91"/>
            </w:tcBorders>
            <w:shd w:val="clear" w:color="auto" w:fill="auto"/>
          </w:tcPr>
          <w:p w14:paraId="7C0AEEBA" w14:textId="77777777" w:rsidR="00627CA1" w:rsidRPr="00D9348B" w:rsidRDefault="00627CA1" w:rsidP="00DB330E">
            <w:pPr>
              <w:pStyle w:val="TableText"/>
              <w:spacing w:before="50" w:after="50"/>
              <w:jc w:val="right"/>
              <w:rPr>
                <w:rFonts w:cs="Calibri"/>
                <w:szCs w:val="16"/>
              </w:rPr>
            </w:pPr>
            <w:r w:rsidRPr="00D9348B">
              <w:rPr>
                <w:rFonts w:cs="Calibri"/>
                <w:szCs w:val="16"/>
              </w:rPr>
              <w:t xml:space="preserve"> 3,830 </w:t>
            </w:r>
          </w:p>
        </w:tc>
        <w:tc>
          <w:tcPr>
            <w:tcW w:w="1701" w:type="dxa"/>
            <w:tcBorders>
              <w:top w:val="single" w:sz="4" w:space="0" w:color="365F91"/>
              <w:bottom w:val="single" w:sz="4" w:space="0" w:color="365F91"/>
            </w:tcBorders>
            <w:shd w:val="clear" w:color="auto" w:fill="auto"/>
          </w:tcPr>
          <w:p w14:paraId="4A754EE1" w14:textId="77777777" w:rsidR="00627CA1" w:rsidRPr="00D9348B" w:rsidRDefault="00627CA1" w:rsidP="00DB330E">
            <w:pPr>
              <w:pStyle w:val="TableText"/>
              <w:spacing w:before="50" w:after="50"/>
              <w:jc w:val="right"/>
              <w:rPr>
                <w:rFonts w:cs="Calibri"/>
                <w:szCs w:val="16"/>
              </w:rPr>
            </w:pPr>
            <w:r w:rsidRPr="00D9348B">
              <w:rPr>
                <w:rFonts w:cs="Calibri"/>
                <w:szCs w:val="16"/>
              </w:rPr>
              <w:t xml:space="preserve"> 1,076 </w:t>
            </w:r>
          </w:p>
        </w:tc>
        <w:tc>
          <w:tcPr>
            <w:tcW w:w="1715" w:type="dxa"/>
            <w:tcBorders>
              <w:top w:val="single" w:sz="4" w:space="0" w:color="365F91"/>
              <w:bottom w:val="single" w:sz="4" w:space="0" w:color="365F91"/>
            </w:tcBorders>
          </w:tcPr>
          <w:p w14:paraId="115FEA94" w14:textId="77777777" w:rsidR="00627CA1" w:rsidRPr="00D9348B" w:rsidRDefault="00627CA1" w:rsidP="00DB330E">
            <w:pPr>
              <w:pStyle w:val="TableText"/>
              <w:spacing w:before="50" w:after="50"/>
              <w:jc w:val="right"/>
              <w:rPr>
                <w:rFonts w:cs="Calibri"/>
                <w:szCs w:val="16"/>
              </w:rPr>
            </w:pPr>
            <w:r w:rsidRPr="00D9348B">
              <w:rPr>
                <w:rFonts w:cs="Calibri"/>
                <w:szCs w:val="16"/>
              </w:rPr>
              <w:t xml:space="preserve"> 5,679 </w:t>
            </w:r>
          </w:p>
        </w:tc>
      </w:tr>
      <w:tr w:rsidR="00627CA1" w:rsidRPr="00D9348B" w14:paraId="05FE475D" w14:textId="77777777" w:rsidTr="00DB330E">
        <w:tc>
          <w:tcPr>
            <w:tcW w:w="993" w:type="dxa"/>
            <w:tcBorders>
              <w:top w:val="single" w:sz="4" w:space="0" w:color="365F91"/>
              <w:bottom w:val="single" w:sz="4" w:space="0" w:color="365F91"/>
            </w:tcBorders>
            <w:shd w:val="clear" w:color="auto" w:fill="auto"/>
            <w:vAlign w:val="center"/>
          </w:tcPr>
          <w:p w14:paraId="2E862FB4" w14:textId="77777777" w:rsidR="00627CA1" w:rsidRPr="00D9348B" w:rsidRDefault="00627CA1" w:rsidP="00DB330E">
            <w:pPr>
              <w:pStyle w:val="TableText"/>
              <w:spacing w:before="50" w:after="50"/>
              <w:rPr>
                <w:rFonts w:cs="Calibri"/>
                <w:szCs w:val="16"/>
              </w:rPr>
            </w:pPr>
            <w:r w:rsidRPr="00D9348B">
              <w:rPr>
                <w:rFonts w:cs="Calibri"/>
                <w:szCs w:val="16"/>
              </w:rPr>
              <w:t>2009</w:t>
            </w:r>
          </w:p>
        </w:tc>
        <w:tc>
          <w:tcPr>
            <w:tcW w:w="1984" w:type="dxa"/>
            <w:tcBorders>
              <w:top w:val="single" w:sz="4" w:space="0" w:color="365F91"/>
              <w:bottom w:val="single" w:sz="4" w:space="0" w:color="365F91"/>
            </w:tcBorders>
            <w:shd w:val="clear" w:color="auto" w:fill="auto"/>
          </w:tcPr>
          <w:p w14:paraId="6CE0E999" w14:textId="77777777" w:rsidR="00627CA1" w:rsidRPr="00D9348B" w:rsidRDefault="00627CA1" w:rsidP="00DB330E">
            <w:pPr>
              <w:pStyle w:val="TableText"/>
              <w:spacing w:before="50" w:after="50"/>
              <w:jc w:val="right"/>
              <w:rPr>
                <w:rFonts w:cs="Calibri"/>
                <w:szCs w:val="16"/>
              </w:rPr>
            </w:pPr>
            <w:r w:rsidRPr="00D9348B">
              <w:rPr>
                <w:rFonts w:cs="Calibri"/>
                <w:szCs w:val="16"/>
              </w:rPr>
              <w:t xml:space="preserve"> 2,480 </w:t>
            </w:r>
          </w:p>
        </w:tc>
        <w:tc>
          <w:tcPr>
            <w:tcW w:w="2112" w:type="dxa"/>
            <w:tcBorders>
              <w:top w:val="single" w:sz="4" w:space="0" w:color="365F91"/>
              <w:bottom w:val="single" w:sz="4" w:space="0" w:color="365F91"/>
            </w:tcBorders>
            <w:shd w:val="clear" w:color="auto" w:fill="auto"/>
          </w:tcPr>
          <w:p w14:paraId="0B6E914A" w14:textId="77777777" w:rsidR="00627CA1" w:rsidRPr="00D9348B" w:rsidRDefault="00627CA1" w:rsidP="00DB330E">
            <w:pPr>
              <w:pStyle w:val="TableText"/>
              <w:spacing w:before="50" w:after="50"/>
              <w:jc w:val="right"/>
              <w:rPr>
                <w:rFonts w:cs="Calibri"/>
                <w:szCs w:val="16"/>
              </w:rPr>
            </w:pPr>
            <w:r w:rsidRPr="00D9348B">
              <w:rPr>
                <w:rFonts w:cs="Calibri"/>
                <w:szCs w:val="16"/>
              </w:rPr>
              <w:t xml:space="preserve"> 5,612 </w:t>
            </w:r>
          </w:p>
        </w:tc>
        <w:tc>
          <w:tcPr>
            <w:tcW w:w="1701" w:type="dxa"/>
            <w:tcBorders>
              <w:top w:val="single" w:sz="4" w:space="0" w:color="365F91"/>
              <w:bottom w:val="single" w:sz="4" w:space="0" w:color="365F91"/>
            </w:tcBorders>
            <w:shd w:val="clear" w:color="auto" w:fill="auto"/>
          </w:tcPr>
          <w:p w14:paraId="2BC87D5B" w14:textId="77777777" w:rsidR="00627CA1" w:rsidRPr="00D9348B" w:rsidRDefault="00627CA1" w:rsidP="00DB330E">
            <w:pPr>
              <w:pStyle w:val="TableText"/>
              <w:spacing w:before="50" w:after="50"/>
              <w:jc w:val="right"/>
              <w:rPr>
                <w:rFonts w:cs="Calibri"/>
                <w:szCs w:val="16"/>
              </w:rPr>
            </w:pPr>
            <w:r w:rsidRPr="00D9348B">
              <w:rPr>
                <w:rFonts w:cs="Calibri"/>
                <w:szCs w:val="16"/>
              </w:rPr>
              <w:t xml:space="preserve"> 2,023 </w:t>
            </w:r>
          </w:p>
        </w:tc>
        <w:tc>
          <w:tcPr>
            <w:tcW w:w="1715" w:type="dxa"/>
            <w:tcBorders>
              <w:top w:val="single" w:sz="4" w:space="0" w:color="365F91"/>
              <w:bottom w:val="single" w:sz="4" w:space="0" w:color="365F91"/>
            </w:tcBorders>
          </w:tcPr>
          <w:p w14:paraId="457DCBBF" w14:textId="77777777" w:rsidR="00627CA1" w:rsidRPr="00D9348B" w:rsidRDefault="00627CA1" w:rsidP="00DB330E">
            <w:pPr>
              <w:pStyle w:val="TableText"/>
              <w:spacing w:before="50" w:after="50"/>
              <w:jc w:val="right"/>
              <w:rPr>
                <w:rFonts w:cs="Calibri"/>
                <w:szCs w:val="16"/>
              </w:rPr>
            </w:pPr>
            <w:r w:rsidRPr="00D9348B">
              <w:rPr>
                <w:rFonts w:cs="Calibri"/>
                <w:szCs w:val="16"/>
              </w:rPr>
              <w:t xml:space="preserve"> 10,115 </w:t>
            </w:r>
          </w:p>
        </w:tc>
      </w:tr>
      <w:tr w:rsidR="00627CA1" w:rsidRPr="00D9348B" w14:paraId="5BD7451C" w14:textId="77777777" w:rsidTr="00DB330E">
        <w:tc>
          <w:tcPr>
            <w:tcW w:w="993" w:type="dxa"/>
            <w:tcBorders>
              <w:top w:val="single" w:sz="4" w:space="0" w:color="365F91"/>
              <w:bottom w:val="single" w:sz="4" w:space="0" w:color="365F91"/>
            </w:tcBorders>
            <w:shd w:val="clear" w:color="auto" w:fill="auto"/>
            <w:vAlign w:val="center"/>
          </w:tcPr>
          <w:p w14:paraId="0704809F" w14:textId="77777777" w:rsidR="00627CA1" w:rsidRPr="00D9348B" w:rsidRDefault="00627CA1" w:rsidP="00DB330E">
            <w:pPr>
              <w:pStyle w:val="TableText"/>
              <w:spacing w:before="50" w:after="50"/>
              <w:rPr>
                <w:rFonts w:cs="Calibri"/>
                <w:szCs w:val="16"/>
              </w:rPr>
            </w:pPr>
            <w:r w:rsidRPr="00D9348B">
              <w:rPr>
                <w:rFonts w:cs="Calibri"/>
                <w:szCs w:val="16"/>
              </w:rPr>
              <w:t>2010</w:t>
            </w:r>
          </w:p>
        </w:tc>
        <w:tc>
          <w:tcPr>
            <w:tcW w:w="1984" w:type="dxa"/>
            <w:tcBorders>
              <w:top w:val="single" w:sz="4" w:space="0" w:color="365F91"/>
              <w:bottom w:val="single" w:sz="4" w:space="0" w:color="365F91"/>
            </w:tcBorders>
            <w:shd w:val="clear" w:color="auto" w:fill="auto"/>
          </w:tcPr>
          <w:p w14:paraId="52C71253" w14:textId="77777777" w:rsidR="00627CA1" w:rsidRPr="00D9348B" w:rsidRDefault="00627CA1" w:rsidP="00DB330E">
            <w:pPr>
              <w:pStyle w:val="TableText"/>
              <w:spacing w:before="50" w:after="50"/>
              <w:jc w:val="right"/>
              <w:rPr>
                <w:rFonts w:cs="Calibri"/>
                <w:szCs w:val="16"/>
              </w:rPr>
            </w:pPr>
            <w:r w:rsidRPr="00D9348B">
              <w:rPr>
                <w:rFonts w:cs="Calibri"/>
                <w:szCs w:val="16"/>
              </w:rPr>
              <w:t xml:space="preserve"> 1,963 </w:t>
            </w:r>
          </w:p>
        </w:tc>
        <w:tc>
          <w:tcPr>
            <w:tcW w:w="2112" w:type="dxa"/>
            <w:tcBorders>
              <w:top w:val="single" w:sz="4" w:space="0" w:color="365F91"/>
              <w:bottom w:val="single" w:sz="4" w:space="0" w:color="365F91"/>
            </w:tcBorders>
            <w:shd w:val="clear" w:color="auto" w:fill="auto"/>
          </w:tcPr>
          <w:p w14:paraId="3A16EDB1" w14:textId="77777777" w:rsidR="00627CA1" w:rsidRPr="00D9348B" w:rsidRDefault="00627CA1" w:rsidP="00DB330E">
            <w:pPr>
              <w:pStyle w:val="TableText"/>
              <w:spacing w:before="50" w:after="50"/>
              <w:jc w:val="right"/>
              <w:rPr>
                <w:rFonts w:cs="Calibri"/>
                <w:szCs w:val="16"/>
              </w:rPr>
            </w:pPr>
            <w:r w:rsidRPr="00D9348B">
              <w:rPr>
                <w:rFonts w:cs="Calibri"/>
                <w:szCs w:val="16"/>
              </w:rPr>
              <w:t xml:space="preserve"> 6,984 </w:t>
            </w:r>
          </w:p>
        </w:tc>
        <w:tc>
          <w:tcPr>
            <w:tcW w:w="1701" w:type="dxa"/>
            <w:tcBorders>
              <w:top w:val="single" w:sz="4" w:space="0" w:color="365F91"/>
              <w:bottom w:val="single" w:sz="4" w:space="0" w:color="365F91"/>
            </w:tcBorders>
            <w:shd w:val="clear" w:color="auto" w:fill="auto"/>
          </w:tcPr>
          <w:p w14:paraId="1CA97C97" w14:textId="77777777" w:rsidR="00627CA1" w:rsidRPr="00D9348B" w:rsidRDefault="00627CA1" w:rsidP="00DB330E">
            <w:pPr>
              <w:pStyle w:val="TableText"/>
              <w:spacing w:before="50" w:after="50"/>
              <w:jc w:val="right"/>
              <w:rPr>
                <w:rFonts w:cs="Calibri"/>
                <w:szCs w:val="16"/>
              </w:rPr>
            </w:pPr>
            <w:r w:rsidRPr="00D9348B">
              <w:rPr>
                <w:rFonts w:cs="Calibri"/>
                <w:szCs w:val="16"/>
              </w:rPr>
              <w:t xml:space="preserve"> 1,744 </w:t>
            </w:r>
          </w:p>
        </w:tc>
        <w:tc>
          <w:tcPr>
            <w:tcW w:w="1715" w:type="dxa"/>
            <w:tcBorders>
              <w:top w:val="single" w:sz="4" w:space="0" w:color="365F91"/>
              <w:bottom w:val="single" w:sz="4" w:space="0" w:color="365F91"/>
            </w:tcBorders>
          </w:tcPr>
          <w:p w14:paraId="2D1D65CD" w14:textId="77777777" w:rsidR="00627CA1" w:rsidRPr="00D9348B" w:rsidRDefault="00627CA1" w:rsidP="00DB330E">
            <w:pPr>
              <w:pStyle w:val="TableText"/>
              <w:spacing w:before="50" w:after="50"/>
              <w:jc w:val="right"/>
              <w:rPr>
                <w:rFonts w:cs="Calibri"/>
                <w:szCs w:val="16"/>
              </w:rPr>
            </w:pPr>
            <w:r w:rsidRPr="00D9348B">
              <w:rPr>
                <w:rFonts w:cs="Calibri"/>
                <w:szCs w:val="16"/>
              </w:rPr>
              <w:t xml:space="preserve"> 10,691 </w:t>
            </w:r>
          </w:p>
        </w:tc>
      </w:tr>
      <w:tr w:rsidR="00627CA1" w:rsidRPr="00D9348B" w14:paraId="3E9E58DC" w14:textId="77777777" w:rsidTr="00DB330E">
        <w:tc>
          <w:tcPr>
            <w:tcW w:w="993" w:type="dxa"/>
            <w:tcBorders>
              <w:top w:val="single" w:sz="4" w:space="0" w:color="365F91"/>
              <w:bottom w:val="single" w:sz="4" w:space="0" w:color="365F91"/>
            </w:tcBorders>
            <w:shd w:val="clear" w:color="auto" w:fill="auto"/>
            <w:vAlign w:val="center"/>
          </w:tcPr>
          <w:p w14:paraId="6C8322A1" w14:textId="77777777" w:rsidR="00627CA1" w:rsidRPr="00D9348B" w:rsidRDefault="00627CA1" w:rsidP="00DB330E">
            <w:pPr>
              <w:pStyle w:val="TableText"/>
              <w:spacing w:before="50" w:after="50"/>
              <w:rPr>
                <w:rFonts w:cs="Calibri"/>
                <w:szCs w:val="16"/>
              </w:rPr>
            </w:pPr>
            <w:r w:rsidRPr="00D9348B">
              <w:rPr>
                <w:rFonts w:cs="Calibri"/>
                <w:szCs w:val="16"/>
              </w:rPr>
              <w:t>2011</w:t>
            </w:r>
          </w:p>
        </w:tc>
        <w:tc>
          <w:tcPr>
            <w:tcW w:w="1984" w:type="dxa"/>
            <w:tcBorders>
              <w:top w:val="single" w:sz="4" w:space="0" w:color="365F91"/>
              <w:bottom w:val="single" w:sz="4" w:space="0" w:color="365F91"/>
            </w:tcBorders>
            <w:shd w:val="clear" w:color="auto" w:fill="auto"/>
          </w:tcPr>
          <w:p w14:paraId="7DD4640F" w14:textId="77777777" w:rsidR="00627CA1" w:rsidRPr="00D9348B" w:rsidRDefault="00627CA1" w:rsidP="00DB330E">
            <w:pPr>
              <w:pStyle w:val="TableText"/>
              <w:spacing w:before="50" w:after="50"/>
              <w:jc w:val="right"/>
              <w:rPr>
                <w:rFonts w:cs="Calibri"/>
                <w:szCs w:val="16"/>
              </w:rPr>
            </w:pPr>
            <w:r w:rsidRPr="00D9348B">
              <w:rPr>
                <w:rFonts w:cs="Calibri"/>
                <w:szCs w:val="16"/>
              </w:rPr>
              <w:t xml:space="preserve"> 1,004 </w:t>
            </w:r>
          </w:p>
        </w:tc>
        <w:tc>
          <w:tcPr>
            <w:tcW w:w="2112" w:type="dxa"/>
            <w:tcBorders>
              <w:top w:val="single" w:sz="4" w:space="0" w:color="365F91"/>
              <w:bottom w:val="single" w:sz="4" w:space="0" w:color="365F91"/>
            </w:tcBorders>
            <w:shd w:val="clear" w:color="auto" w:fill="auto"/>
          </w:tcPr>
          <w:p w14:paraId="580F911A" w14:textId="77777777" w:rsidR="00627CA1" w:rsidRPr="00D9348B" w:rsidRDefault="00627CA1" w:rsidP="00DB330E">
            <w:pPr>
              <w:pStyle w:val="TableText"/>
              <w:spacing w:before="50" w:after="50"/>
              <w:jc w:val="right"/>
              <w:rPr>
                <w:rFonts w:cs="Calibri"/>
                <w:szCs w:val="16"/>
              </w:rPr>
            </w:pPr>
            <w:r w:rsidRPr="00D9348B">
              <w:rPr>
                <w:rFonts w:cs="Calibri"/>
                <w:szCs w:val="16"/>
              </w:rPr>
              <w:t xml:space="preserve"> 5,546 </w:t>
            </w:r>
          </w:p>
        </w:tc>
        <w:tc>
          <w:tcPr>
            <w:tcW w:w="1701" w:type="dxa"/>
            <w:tcBorders>
              <w:top w:val="single" w:sz="4" w:space="0" w:color="365F91"/>
              <w:bottom w:val="single" w:sz="4" w:space="0" w:color="365F91"/>
            </w:tcBorders>
            <w:shd w:val="clear" w:color="auto" w:fill="auto"/>
          </w:tcPr>
          <w:p w14:paraId="683E83CF" w14:textId="77777777" w:rsidR="00627CA1" w:rsidRPr="00D9348B" w:rsidRDefault="00627CA1" w:rsidP="00DB330E">
            <w:pPr>
              <w:pStyle w:val="TableText"/>
              <w:spacing w:before="50" w:after="50"/>
              <w:jc w:val="right"/>
              <w:rPr>
                <w:rFonts w:cs="Calibri"/>
                <w:szCs w:val="16"/>
              </w:rPr>
            </w:pPr>
            <w:r w:rsidRPr="00D9348B">
              <w:rPr>
                <w:rFonts w:cs="Calibri"/>
                <w:szCs w:val="16"/>
              </w:rPr>
              <w:t xml:space="preserve"> 2,270 </w:t>
            </w:r>
          </w:p>
        </w:tc>
        <w:tc>
          <w:tcPr>
            <w:tcW w:w="1715" w:type="dxa"/>
            <w:tcBorders>
              <w:top w:val="single" w:sz="4" w:space="0" w:color="365F91"/>
              <w:bottom w:val="single" w:sz="4" w:space="0" w:color="365F91"/>
            </w:tcBorders>
          </w:tcPr>
          <w:p w14:paraId="41539595" w14:textId="77777777" w:rsidR="00627CA1" w:rsidRPr="00D9348B" w:rsidRDefault="00627CA1" w:rsidP="00DB330E">
            <w:pPr>
              <w:pStyle w:val="TableText"/>
              <w:spacing w:before="50" w:after="50"/>
              <w:jc w:val="right"/>
              <w:rPr>
                <w:rFonts w:cs="Calibri"/>
                <w:szCs w:val="16"/>
              </w:rPr>
            </w:pPr>
            <w:r w:rsidRPr="00D9348B">
              <w:rPr>
                <w:rFonts w:cs="Calibri"/>
                <w:szCs w:val="16"/>
              </w:rPr>
              <w:t xml:space="preserve"> 8,821 </w:t>
            </w:r>
          </w:p>
        </w:tc>
      </w:tr>
      <w:tr w:rsidR="00627CA1" w:rsidRPr="00D9348B" w14:paraId="06FD5302" w14:textId="77777777" w:rsidTr="00DB330E">
        <w:tc>
          <w:tcPr>
            <w:tcW w:w="993" w:type="dxa"/>
            <w:tcBorders>
              <w:top w:val="single" w:sz="4" w:space="0" w:color="365F91"/>
              <w:bottom w:val="single" w:sz="4" w:space="0" w:color="365F91"/>
            </w:tcBorders>
            <w:shd w:val="clear" w:color="auto" w:fill="auto"/>
            <w:vAlign w:val="center"/>
          </w:tcPr>
          <w:p w14:paraId="5BC3C0B1" w14:textId="77777777" w:rsidR="00627CA1" w:rsidRPr="00D9348B" w:rsidRDefault="00627CA1" w:rsidP="00DB330E">
            <w:pPr>
              <w:pStyle w:val="TableText"/>
              <w:spacing w:before="50" w:after="50"/>
              <w:rPr>
                <w:rFonts w:cs="Calibri"/>
                <w:szCs w:val="16"/>
              </w:rPr>
            </w:pPr>
            <w:r w:rsidRPr="00D9348B">
              <w:rPr>
                <w:rFonts w:cs="Calibri"/>
                <w:szCs w:val="16"/>
              </w:rPr>
              <w:t>2012</w:t>
            </w:r>
          </w:p>
        </w:tc>
        <w:tc>
          <w:tcPr>
            <w:tcW w:w="1984" w:type="dxa"/>
            <w:tcBorders>
              <w:top w:val="single" w:sz="4" w:space="0" w:color="365F91"/>
              <w:bottom w:val="single" w:sz="4" w:space="0" w:color="365F91"/>
            </w:tcBorders>
            <w:shd w:val="clear" w:color="auto" w:fill="auto"/>
          </w:tcPr>
          <w:p w14:paraId="7FC43F28" w14:textId="77777777" w:rsidR="00627CA1" w:rsidRPr="00D9348B" w:rsidRDefault="00627CA1" w:rsidP="00DB330E">
            <w:pPr>
              <w:pStyle w:val="TableText"/>
              <w:spacing w:before="50" w:after="50"/>
              <w:jc w:val="right"/>
              <w:rPr>
                <w:rFonts w:cs="Calibri"/>
                <w:szCs w:val="16"/>
              </w:rPr>
            </w:pPr>
            <w:r w:rsidRPr="00D9348B">
              <w:rPr>
                <w:rFonts w:cs="Calibri"/>
                <w:szCs w:val="16"/>
              </w:rPr>
              <w:t xml:space="preserve"> 1,124 </w:t>
            </w:r>
          </w:p>
        </w:tc>
        <w:tc>
          <w:tcPr>
            <w:tcW w:w="2112" w:type="dxa"/>
            <w:tcBorders>
              <w:top w:val="single" w:sz="4" w:space="0" w:color="365F91"/>
              <w:bottom w:val="single" w:sz="4" w:space="0" w:color="365F91"/>
            </w:tcBorders>
            <w:shd w:val="clear" w:color="auto" w:fill="auto"/>
          </w:tcPr>
          <w:p w14:paraId="26B7E136" w14:textId="77777777" w:rsidR="00627CA1" w:rsidRPr="00D9348B" w:rsidRDefault="00627CA1" w:rsidP="00DB330E">
            <w:pPr>
              <w:pStyle w:val="TableText"/>
              <w:spacing w:before="50" w:after="50"/>
              <w:jc w:val="right"/>
              <w:rPr>
                <w:rFonts w:cs="Calibri"/>
                <w:szCs w:val="16"/>
              </w:rPr>
            </w:pPr>
            <w:r w:rsidRPr="00D9348B">
              <w:rPr>
                <w:rFonts w:cs="Calibri"/>
                <w:szCs w:val="16"/>
              </w:rPr>
              <w:t xml:space="preserve"> 7,650 </w:t>
            </w:r>
          </w:p>
        </w:tc>
        <w:tc>
          <w:tcPr>
            <w:tcW w:w="1701" w:type="dxa"/>
            <w:tcBorders>
              <w:top w:val="single" w:sz="4" w:space="0" w:color="365F91"/>
              <w:bottom w:val="single" w:sz="4" w:space="0" w:color="365F91"/>
            </w:tcBorders>
            <w:shd w:val="clear" w:color="auto" w:fill="auto"/>
          </w:tcPr>
          <w:p w14:paraId="77479BDF" w14:textId="77777777" w:rsidR="00627CA1" w:rsidRPr="00D9348B" w:rsidRDefault="00627CA1" w:rsidP="00DB330E">
            <w:pPr>
              <w:pStyle w:val="TableText"/>
              <w:spacing w:before="50" w:after="50"/>
              <w:jc w:val="right"/>
              <w:rPr>
                <w:rFonts w:cs="Calibri"/>
                <w:szCs w:val="16"/>
              </w:rPr>
            </w:pPr>
            <w:r w:rsidRPr="00D9348B">
              <w:rPr>
                <w:rFonts w:cs="Calibri"/>
                <w:szCs w:val="16"/>
              </w:rPr>
              <w:t xml:space="preserve"> 1,353 </w:t>
            </w:r>
          </w:p>
        </w:tc>
        <w:tc>
          <w:tcPr>
            <w:tcW w:w="1715" w:type="dxa"/>
            <w:tcBorders>
              <w:top w:val="single" w:sz="4" w:space="0" w:color="365F91"/>
              <w:bottom w:val="single" w:sz="4" w:space="0" w:color="365F91"/>
            </w:tcBorders>
          </w:tcPr>
          <w:p w14:paraId="1133B040" w14:textId="77777777" w:rsidR="00627CA1" w:rsidRPr="00D9348B" w:rsidRDefault="00627CA1" w:rsidP="00DB330E">
            <w:pPr>
              <w:pStyle w:val="TableText"/>
              <w:spacing w:before="50" w:after="50"/>
              <w:jc w:val="right"/>
              <w:rPr>
                <w:rFonts w:cs="Calibri"/>
                <w:szCs w:val="16"/>
              </w:rPr>
            </w:pPr>
            <w:r w:rsidRPr="00D9348B">
              <w:rPr>
                <w:rFonts w:cs="Calibri"/>
                <w:szCs w:val="16"/>
              </w:rPr>
              <w:t xml:space="preserve"> 10,127 </w:t>
            </w:r>
          </w:p>
        </w:tc>
      </w:tr>
      <w:tr w:rsidR="00627CA1" w:rsidRPr="00D9348B" w14:paraId="1B2A1675" w14:textId="77777777" w:rsidTr="00DB330E">
        <w:tc>
          <w:tcPr>
            <w:tcW w:w="993" w:type="dxa"/>
            <w:tcBorders>
              <w:top w:val="single" w:sz="4" w:space="0" w:color="365F91"/>
              <w:bottom w:val="single" w:sz="4" w:space="0" w:color="365F91"/>
            </w:tcBorders>
            <w:shd w:val="clear" w:color="auto" w:fill="auto"/>
            <w:vAlign w:val="center"/>
          </w:tcPr>
          <w:p w14:paraId="3F661957" w14:textId="77777777" w:rsidR="00627CA1" w:rsidRPr="00D9348B" w:rsidRDefault="00627CA1" w:rsidP="00DB330E">
            <w:pPr>
              <w:pStyle w:val="TableText"/>
              <w:spacing w:before="50" w:after="50"/>
              <w:rPr>
                <w:rFonts w:cs="Calibri"/>
                <w:szCs w:val="16"/>
              </w:rPr>
            </w:pPr>
            <w:r w:rsidRPr="00D9348B">
              <w:rPr>
                <w:rFonts w:cs="Calibri"/>
                <w:szCs w:val="16"/>
              </w:rPr>
              <w:t>2013</w:t>
            </w:r>
          </w:p>
        </w:tc>
        <w:tc>
          <w:tcPr>
            <w:tcW w:w="1984" w:type="dxa"/>
            <w:tcBorders>
              <w:top w:val="single" w:sz="4" w:space="0" w:color="365F91"/>
              <w:bottom w:val="single" w:sz="4" w:space="0" w:color="365F91"/>
            </w:tcBorders>
            <w:shd w:val="clear" w:color="auto" w:fill="auto"/>
          </w:tcPr>
          <w:p w14:paraId="4AE6FF7D" w14:textId="77777777" w:rsidR="00627CA1" w:rsidRPr="00D9348B" w:rsidRDefault="00627CA1" w:rsidP="00DB330E">
            <w:pPr>
              <w:pStyle w:val="TableText"/>
              <w:spacing w:before="50" w:after="50"/>
              <w:jc w:val="right"/>
              <w:rPr>
                <w:rFonts w:cs="Calibri"/>
                <w:szCs w:val="16"/>
              </w:rPr>
            </w:pPr>
            <w:r w:rsidRPr="00D9348B">
              <w:rPr>
                <w:rFonts w:cs="Calibri"/>
                <w:szCs w:val="16"/>
              </w:rPr>
              <w:t xml:space="preserve"> 1,120 </w:t>
            </w:r>
          </w:p>
        </w:tc>
        <w:tc>
          <w:tcPr>
            <w:tcW w:w="2112" w:type="dxa"/>
            <w:tcBorders>
              <w:top w:val="single" w:sz="4" w:space="0" w:color="365F91"/>
              <w:bottom w:val="single" w:sz="4" w:space="0" w:color="365F91"/>
            </w:tcBorders>
            <w:shd w:val="clear" w:color="auto" w:fill="auto"/>
          </w:tcPr>
          <w:p w14:paraId="1AE432EF" w14:textId="77777777" w:rsidR="00627CA1" w:rsidRPr="00D9348B" w:rsidRDefault="00627CA1" w:rsidP="00DB330E">
            <w:pPr>
              <w:pStyle w:val="TableText"/>
              <w:spacing w:before="50" w:after="50"/>
              <w:jc w:val="right"/>
              <w:rPr>
                <w:rFonts w:cs="Calibri"/>
                <w:szCs w:val="16"/>
              </w:rPr>
            </w:pPr>
            <w:r w:rsidRPr="00D9348B">
              <w:rPr>
                <w:rFonts w:cs="Calibri"/>
                <w:szCs w:val="16"/>
              </w:rPr>
              <w:t xml:space="preserve"> 10,175 </w:t>
            </w:r>
          </w:p>
        </w:tc>
        <w:tc>
          <w:tcPr>
            <w:tcW w:w="1701" w:type="dxa"/>
            <w:tcBorders>
              <w:top w:val="single" w:sz="4" w:space="0" w:color="365F91"/>
              <w:bottom w:val="single" w:sz="4" w:space="0" w:color="365F91"/>
            </w:tcBorders>
            <w:shd w:val="clear" w:color="auto" w:fill="auto"/>
          </w:tcPr>
          <w:p w14:paraId="3F82AA1B" w14:textId="77777777" w:rsidR="00627CA1" w:rsidRPr="00D9348B" w:rsidRDefault="00627CA1" w:rsidP="00DB330E">
            <w:pPr>
              <w:pStyle w:val="TableText"/>
              <w:spacing w:before="50" w:after="50"/>
              <w:jc w:val="right"/>
              <w:rPr>
                <w:rFonts w:cs="Calibri"/>
                <w:szCs w:val="16"/>
              </w:rPr>
            </w:pPr>
            <w:r w:rsidRPr="00D9348B">
              <w:rPr>
                <w:rFonts w:cs="Calibri"/>
                <w:szCs w:val="16"/>
              </w:rPr>
              <w:t xml:space="preserve"> 2,936 </w:t>
            </w:r>
          </w:p>
        </w:tc>
        <w:tc>
          <w:tcPr>
            <w:tcW w:w="1715" w:type="dxa"/>
            <w:tcBorders>
              <w:top w:val="single" w:sz="4" w:space="0" w:color="365F91"/>
              <w:bottom w:val="single" w:sz="4" w:space="0" w:color="365F91"/>
            </w:tcBorders>
          </w:tcPr>
          <w:p w14:paraId="12C498E4" w14:textId="77777777" w:rsidR="00627CA1" w:rsidRPr="00D9348B" w:rsidRDefault="00627CA1" w:rsidP="00DB330E">
            <w:pPr>
              <w:pStyle w:val="TableText"/>
              <w:spacing w:before="50" w:after="50"/>
              <w:jc w:val="right"/>
              <w:rPr>
                <w:rFonts w:cs="Calibri"/>
                <w:szCs w:val="16"/>
              </w:rPr>
            </w:pPr>
            <w:r w:rsidRPr="00D9348B">
              <w:rPr>
                <w:rFonts w:cs="Calibri"/>
                <w:szCs w:val="16"/>
              </w:rPr>
              <w:t xml:space="preserve"> 14,232 </w:t>
            </w:r>
          </w:p>
        </w:tc>
      </w:tr>
      <w:tr w:rsidR="00627CA1" w:rsidRPr="00D9348B" w14:paraId="39BE162C" w14:textId="77777777" w:rsidTr="00DB330E">
        <w:tc>
          <w:tcPr>
            <w:tcW w:w="993" w:type="dxa"/>
            <w:tcBorders>
              <w:top w:val="single" w:sz="4" w:space="0" w:color="365F91"/>
              <w:bottom w:val="single" w:sz="4" w:space="0" w:color="365F91"/>
            </w:tcBorders>
            <w:shd w:val="clear" w:color="auto" w:fill="auto"/>
            <w:vAlign w:val="center"/>
          </w:tcPr>
          <w:p w14:paraId="38AC3FC0" w14:textId="77777777" w:rsidR="00627CA1" w:rsidRPr="00D9348B" w:rsidRDefault="00627CA1" w:rsidP="00DB330E">
            <w:pPr>
              <w:pStyle w:val="TableText"/>
              <w:spacing w:before="50" w:after="50"/>
              <w:rPr>
                <w:rFonts w:cs="Calibri"/>
                <w:szCs w:val="16"/>
              </w:rPr>
            </w:pPr>
            <w:r w:rsidRPr="00D9348B">
              <w:rPr>
                <w:rFonts w:cs="Calibri"/>
                <w:szCs w:val="16"/>
              </w:rPr>
              <w:t>2014</w:t>
            </w:r>
          </w:p>
        </w:tc>
        <w:tc>
          <w:tcPr>
            <w:tcW w:w="1984" w:type="dxa"/>
            <w:tcBorders>
              <w:top w:val="single" w:sz="4" w:space="0" w:color="365F91"/>
              <w:bottom w:val="single" w:sz="4" w:space="0" w:color="365F91"/>
            </w:tcBorders>
            <w:shd w:val="clear" w:color="auto" w:fill="auto"/>
          </w:tcPr>
          <w:p w14:paraId="431679E6" w14:textId="77777777" w:rsidR="00627CA1" w:rsidRPr="00D9348B" w:rsidRDefault="00627CA1" w:rsidP="00DB330E">
            <w:pPr>
              <w:pStyle w:val="TableText"/>
              <w:spacing w:before="50" w:after="50"/>
              <w:jc w:val="right"/>
              <w:rPr>
                <w:rFonts w:cs="Calibri"/>
                <w:szCs w:val="16"/>
              </w:rPr>
            </w:pPr>
            <w:r w:rsidRPr="00D9348B">
              <w:rPr>
                <w:rFonts w:cs="Calibri"/>
                <w:szCs w:val="16"/>
              </w:rPr>
              <w:t xml:space="preserve"> 471 </w:t>
            </w:r>
          </w:p>
        </w:tc>
        <w:tc>
          <w:tcPr>
            <w:tcW w:w="2112" w:type="dxa"/>
            <w:tcBorders>
              <w:top w:val="single" w:sz="4" w:space="0" w:color="365F91"/>
              <w:bottom w:val="single" w:sz="4" w:space="0" w:color="365F91"/>
            </w:tcBorders>
            <w:shd w:val="clear" w:color="auto" w:fill="auto"/>
          </w:tcPr>
          <w:p w14:paraId="504F3B87" w14:textId="77777777" w:rsidR="00627CA1" w:rsidRPr="00D9348B" w:rsidRDefault="00627CA1" w:rsidP="00DB330E">
            <w:pPr>
              <w:pStyle w:val="TableText"/>
              <w:spacing w:before="50" w:after="50"/>
              <w:jc w:val="right"/>
              <w:rPr>
                <w:rFonts w:cs="Calibri"/>
                <w:szCs w:val="16"/>
              </w:rPr>
            </w:pPr>
            <w:r w:rsidRPr="00D9348B">
              <w:rPr>
                <w:rFonts w:cs="Calibri"/>
                <w:szCs w:val="16"/>
              </w:rPr>
              <w:t xml:space="preserve"> 6,516 </w:t>
            </w:r>
          </w:p>
        </w:tc>
        <w:tc>
          <w:tcPr>
            <w:tcW w:w="1701" w:type="dxa"/>
            <w:tcBorders>
              <w:top w:val="single" w:sz="4" w:space="0" w:color="365F91"/>
              <w:bottom w:val="single" w:sz="4" w:space="0" w:color="365F91"/>
            </w:tcBorders>
            <w:shd w:val="clear" w:color="auto" w:fill="auto"/>
          </w:tcPr>
          <w:p w14:paraId="0AAB951E" w14:textId="77777777" w:rsidR="00627CA1" w:rsidRPr="00D9348B" w:rsidRDefault="00627CA1" w:rsidP="00DB330E">
            <w:pPr>
              <w:pStyle w:val="TableText"/>
              <w:spacing w:before="50" w:after="50"/>
              <w:jc w:val="right"/>
              <w:rPr>
                <w:rFonts w:cs="Calibri"/>
                <w:szCs w:val="16"/>
              </w:rPr>
            </w:pPr>
            <w:r w:rsidRPr="00D9348B">
              <w:rPr>
                <w:rFonts w:cs="Calibri"/>
                <w:szCs w:val="16"/>
              </w:rPr>
              <w:t xml:space="preserve"> 1,549 </w:t>
            </w:r>
          </w:p>
        </w:tc>
        <w:tc>
          <w:tcPr>
            <w:tcW w:w="1715" w:type="dxa"/>
            <w:tcBorders>
              <w:top w:val="single" w:sz="4" w:space="0" w:color="365F91"/>
              <w:bottom w:val="single" w:sz="4" w:space="0" w:color="365F91"/>
            </w:tcBorders>
          </w:tcPr>
          <w:p w14:paraId="73846907" w14:textId="77777777" w:rsidR="00627CA1" w:rsidRPr="00D9348B" w:rsidRDefault="00627CA1" w:rsidP="00DB330E">
            <w:pPr>
              <w:pStyle w:val="TableText"/>
              <w:spacing w:before="50" w:after="50"/>
              <w:jc w:val="right"/>
              <w:rPr>
                <w:rFonts w:cs="Calibri"/>
                <w:szCs w:val="16"/>
              </w:rPr>
            </w:pPr>
            <w:r w:rsidRPr="00D9348B">
              <w:rPr>
                <w:rFonts w:cs="Calibri"/>
                <w:szCs w:val="16"/>
              </w:rPr>
              <w:t xml:space="preserve"> 8,536 </w:t>
            </w:r>
          </w:p>
        </w:tc>
      </w:tr>
      <w:tr w:rsidR="00627CA1" w:rsidRPr="00D9348B" w14:paraId="3E9E1DF7" w14:textId="77777777" w:rsidTr="00DB330E">
        <w:tc>
          <w:tcPr>
            <w:tcW w:w="993" w:type="dxa"/>
            <w:tcBorders>
              <w:top w:val="single" w:sz="4" w:space="0" w:color="365F91"/>
              <w:bottom w:val="single" w:sz="4" w:space="0" w:color="365F91"/>
            </w:tcBorders>
            <w:shd w:val="clear" w:color="auto" w:fill="auto"/>
            <w:vAlign w:val="center"/>
          </w:tcPr>
          <w:p w14:paraId="4C656DBA" w14:textId="77777777" w:rsidR="00627CA1" w:rsidRPr="00D9348B" w:rsidRDefault="00627CA1" w:rsidP="00DB330E">
            <w:pPr>
              <w:pStyle w:val="TableText"/>
              <w:spacing w:before="50" w:after="50"/>
              <w:rPr>
                <w:rFonts w:cs="Calibri"/>
                <w:szCs w:val="16"/>
              </w:rPr>
            </w:pPr>
            <w:r w:rsidRPr="00D9348B">
              <w:rPr>
                <w:rFonts w:cs="Calibri"/>
                <w:szCs w:val="16"/>
              </w:rPr>
              <w:t>2015</w:t>
            </w:r>
            <w:r w:rsidRPr="00D9348B">
              <w:rPr>
                <w:rFonts w:cs="Calibri"/>
                <w:szCs w:val="16"/>
                <w:vertAlign w:val="superscript"/>
              </w:rPr>
              <w:t xml:space="preserve"> </w:t>
            </w:r>
          </w:p>
        </w:tc>
        <w:tc>
          <w:tcPr>
            <w:tcW w:w="1984" w:type="dxa"/>
            <w:tcBorders>
              <w:top w:val="single" w:sz="4" w:space="0" w:color="365F91"/>
              <w:bottom w:val="single" w:sz="4" w:space="0" w:color="365F91"/>
            </w:tcBorders>
            <w:shd w:val="clear" w:color="auto" w:fill="auto"/>
          </w:tcPr>
          <w:p w14:paraId="6A2F46F1" w14:textId="77777777" w:rsidR="00627CA1" w:rsidRPr="00D9348B" w:rsidRDefault="00627CA1" w:rsidP="00DB330E">
            <w:pPr>
              <w:pStyle w:val="TableText"/>
              <w:spacing w:before="50" w:after="50"/>
              <w:jc w:val="right"/>
              <w:rPr>
                <w:rFonts w:cs="Calibri"/>
                <w:szCs w:val="16"/>
              </w:rPr>
            </w:pPr>
            <w:r w:rsidRPr="00D9348B">
              <w:rPr>
                <w:rFonts w:cs="Calibri"/>
                <w:szCs w:val="16"/>
              </w:rPr>
              <w:t xml:space="preserve"> 612 </w:t>
            </w:r>
          </w:p>
        </w:tc>
        <w:tc>
          <w:tcPr>
            <w:tcW w:w="2112" w:type="dxa"/>
            <w:tcBorders>
              <w:top w:val="single" w:sz="4" w:space="0" w:color="365F91"/>
              <w:bottom w:val="single" w:sz="4" w:space="0" w:color="365F91"/>
            </w:tcBorders>
            <w:shd w:val="clear" w:color="auto" w:fill="auto"/>
          </w:tcPr>
          <w:p w14:paraId="32C18B9B" w14:textId="77777777" w:rsidR="00627CA1" w:rsidRPr="00D9348B" w:rsidRDefault="00627CA1" w:rsidP="00DB330E">
            <w:pPr>
              <w:pStyle w:val="TableText"/>
              <w:spacing w:before="50" w:after="50"/>
              <w:jc w:val="right"/>
              <w:rPr>
                <w:rFonts w:cs="Calibri"/>
                <w:szCs w:val="16"/>
              </w:rPr>
            </w:pPr>
            <w:r w:rsidRPr="00D9348B">
              <w:rPr>
                <w:rFonts w:cs="Calibri"/>
                <w:szCs w:val="16"/>
              </w:rPr>
              <w:t xml:space="preserve"> 3,644 </w:t>
            </w:r>
          </w:p>
        </w:tc>
        <w:tc>
          <w:tcPr>
            <w:tcW w:w="1701" w:type="dxa"/>
            <w:tcBorders>
              <w:top w:val="single" w:sz="4" w:space="0" w:color="365F91"/>
              <w:bottom w:val="single" w:sz="4" w:space="0" w:color="365F91"/>
            </w:tcBorders>
            <w:shd w:val="clear" w:color="auto" w:fill="auto"/>
          </w:tcPr>
          <w:p w14:paraId="46157D0B" w14:textId="77777777" w:rsidR="00627CA1" w:rsidRPr="00D9348B" w:rsidRDefault="00627CA1" w:rsidP="00DB330E">
            <w:pPr>
              <w:pStyle w:val="TableText"/>
              <w:spacing w:before="50" w:after="50"/>
              <w:jc w:val="right"/>
              <w:rPr>
                <w:rFonts w:cs="Calibri"/>
                <w:szCs w:val="16"/>
              </w:rPr>
            </w:pPr>
            <w:r w:rsidRPr="00D9348B">
              <w:rPr>
                <w:rFonts w:cs="Calibri"/>
                <w:szCs w:val="16"/>
              </w:rPr>
              <w:t xml:space="preserve"> 1,667 </w:t>
            </w:r>
          </w:p>
        </w:tc>
        <w:tc>
          <w:tcPr>
            <w:tcW w:w="1715" w:type="dxa"/>
            <w:tcBorders>
              <w:top w:val="single" w:sz="4" w:space="0" w:color="365F91"/>
              <w:bottom w:val="single" w:sz="4" w:space="0" w:color="365F91"/>
            </w:tcBorders>
          </w:tcPr>
          <w:p w14:paraId="416AF0A1" w14:textId="77777777" w:rsidR="00627CA1" w:rsidRPr="00D9348B" w:rsidRDefault="00627CA1" w:rsidP="00DB330E">
            <w:pPr>
              <w:pStyle w:val="TableText"/>
              <w:spacing w:before="50" w:after="50"/>
              <w:jc w:val="right"/>
              <w:rPr>
                <w:rFonts w:cs="Calibri"/>
                <w:szCs w:val="16"/>
              </w:rPr>
            </w:pPr>
            <w:r w:rsidRPr="00D9348B">
              <w:rPr>
                <w:rFonts w:cs="Calibri"/>
                <w:szCs w:val="16"/>
              </w:rPr>
              <w:t xml:space="preserve"> 5,923 </w:t>
            </w:r>
          </w:p>
        </w:tc>
      </w:tr>
      <w:tr w:rsidR="00627CA1" w:rsidRPr="00D9348B" w14:paraId="64ED9109" w14:textId="77777777" w:rsidTr="00DB330E">
        <w:tc>
          <w:tcPr>
            <w:tcW w:w="993" w:type="dxa"/>
            <w:tcBorders>
              <w:top w:val="single" w:sz="4" w:space="0" w:color="365F91"/>
              <w:bottom w:val="single" w:sz="4" w:space="0" w:color="365F91"/>
            </w:tcBorders>
            <w:shd w:val="clear" w:color="auto" w:fill="auto"/>
            <w:vAlign w:val="center"/>
          </w:tcPr>
          <w:p w14:paraId="52F05F87" w14:textId="77777777" w:rsidR="00627CA1" w:rsidRPr="00D9348B" w:rsidRDefault="00627CA1" w:rsidP="00DB330E">
            <w:pPr>
              <w:pStyle w:val="TableText"/>
              <w:spacing w:before="50" w:after="50"/>
              <w:rPr>
                <w:rFonts w:cs="Calibri"/>
                <w:szCs w:val="16"/>
              </w:rPr>
            </w:pPr>
            <w:r w:rsidRPr="00D9348B">
              <w:rPr>
                <w:rFonts w:cs="Calibri"/>
                <w:szCs w:val="16"/>
              </w:rPr>
              <w:t>2016</w:t>
            </w:r>
            <w:r w:rsidRPr="00D9348B">
              <w:rPr>
                <w:rFonts w:cs="Calibri"/>
                <w:szCs w:val="16"/>
                <w:vertAlign w:val="superscript"/>
              </w:rPr>
              <w:t xml:space="preserve"> </w:t>
            </w:r>
          </w:p>
        </w:tc>
        <w:tc>
          <w:tcPr>
            <w:tcW w:w="1984" w:type="dxa"/>
            <w:tcBorders>
              <w:top w:val="single" w:sz="4" w:space="0" w:color="365F91"/>
              <w:bottom w:val="single" w:sz="4" w:space="0" w:color="365F91"/>
            </w:tcBorders>
            <w:shd w:val="clear" w:color="auto" w:fill="auto"/>
          </w:tcPr>
          <w:p w14:paraId="6A8D8CDE" w14:textId="77777777" w:rsidR="00627CA1" w:rsidRPr="00D9348B" w:rsidRDefault="00627CA1" w:rsidP="00DB330E">
            <w:pPr>
              <w:pStyle w:val="TableText"/>
              <w:spacing w:before="50" w:after="50"/>
              <w:jc w:val="right"/>
              <w:rPr>
                <w:rFonts w:cs="Calibri"/>
                <w:szCs w:val="16"/>
              </w:rPr>
            </w:pPr>
            <w:r w:rsidRPr="00D9348B">
              <w:rPr>
                <w:rFonts w:cs="Calibri"/>
                <w:szCs w:val="16"/>
              </w:rPr>
              <w:t xml:space="preserve"> 375 </w:t>
            </w:r>
          </w:p>
        </w:tc>
        <w:tc>
          <w:tcPr>
            <w:tcW w:w="2112" w:type="dxa"/>
            <w:tcBorders>
              <w:top w:val="single" w:sz="4" w:space="0" w:color="365F91"/>
              <w:bottom w:val="single" w:sz="4" w:space="0" w:color="365F91"/>
            </w:tcBorders>
            <w:shd w:val="clear" w:color="auto" w:fill="auto"/>
          </w:tcPr>
          <w:p w14:paraId="5361FDC9" w14:textId="77777777" w:rsidR="00627CA1" w:rsidRPr="00D9348B" w:rsidRDefault="00627CA1" w:rsidP="00DB330E">
            <w:pPr>
              <w:pStyle w:val="TableText"/>
              <w:spacing w:before="50" w:after="50"/>
              <w:jc w:val="right"/>
              <w:rPr>
                <w:rFonts w:cs="Calibri"/>
                <w:szCs w:val="16"/>
              </w:rPr>
            </w:pPr>
            <w:r w:rsidRPr="00D9348B">
              <w:rPr>
                <w:rFonts w:cs="Calibri"/>
                <w:szCs w:val="16"/>
              </w:rPr>
              <w:t xml:space="preserve"> 1,717 </w:t>
            </w:r>
          </w:p>
        </w:tc>
        <w:tc>
          <w:tcPr>
            <w:tcW w:w="1701" w:type="dxa"/>
            <w:tcBorders>
              <w:top w:val="single" w:sz="4" w:space="0" w:color="365F91"/>
              <w:bottom w:val="single" w:sz="4" w:space="0" w:color="365F91"/>
            </w:tcBorders>
            <w:shd w:val="clear" w:color="auto" w:fill="auto"/>
          </w:tcPr>
          <w:p w14:paraId="7151D964" w14:textId="77777777" w:rsidR="00627CA1" w:rsidRPr="00D9348B" w:rsidRDefault="00627CA1" w:rsidP="00DB330E">
            <w:pPr>
              <w:pStyle w:val="TableText"/>
              <w:spacing w:before="50" w:after="50"/>
              <w:jc w:val="right"/>
              <w:rPr>
                <w:rFonts w:cs="Calibri"/>
                <w:szCs w:val="16"/>
              </w:rPr>
            </w:pPr>
            <w:r w:rsidRPr="00D9348B">
              <w:rPr>
                <w:rFonts w:cs="Calibri"/>
                <w:szCs w:val="16"/>
              </w:rPr>
              <w:t xml:space="preserve"> 1,322 </w:t>
            </w:r>
          </w:p>
        </w:tc>
        <w:tc>
          <w:tcPr>
            <w:tcW w:w="1715" w:type="dxa"/>
            <w:tcBorders>
              <w:top w:val="single" w:sz="4" w:space="0" w:color="365F91"/>
              <w:bottom w:val="single" w:sz="4" w:space="0" w:color="365F91"/>
            </w:tcBorders>
          </w:tcPr>
          <w:p w14:paraId="6C0DB535" w14:textId="77777777" w:rsidR="00627CA1" w:rsidRPr="00D9348B" w:rsidRDefault="00627CA1" w:rsidP="00DB330E">
            <w:pPr>
              <w:pStyle w:val="TableText"/>
              <w:spacing w:before="50" w:after="50"/>
              <w:jc w:val="right"/>
              <w:rPr>
                <w:rFonts w:cs="Calibri"/>
                <w:szCs w:val="16"/>
              </w:rPr>
            </w:pPr>
            <w:r w:rsidRPr="00D9348B">
              <w:rPr>
                <w:rFonts w:cs="Calibri"/>
                <w:szCs w:val="16"/>
              </w:rPr>
              <w:t xml:space="preserve"> 3,414 </w:t>
            </w:r>
          </w:p>
        </w:tc>
      </w:tr>
      <w:tr w:rsidR="00627CA1" w:rsidRPr="00D9348B" w14:paraId="751103B0" w14:textId="77777777" w:rsidTr="00DB330E">
        <w:tc>
          <w:tcPr>
            <w:tcW w:w="993" w:type="dxa"/>
            <w:tcBorders>
              <w:top w:val="single" w:sz="4" w:space="0" w:color="365F91"/>
              <w:bottom w:val="single" w:sz="4" w:space="0" w:color="365F91"/>
            </w:tcBorders>
            <w:shd w:val="clear" w:color="auto" w:fill="auto"/>
            <w:vAlign w:val="center"/>
          </w:tcPr>
          <w:p w14:paraId="08E1FDEF" w14:textId="77777777" w:rsidR="00627CA1" w:rsidRPr="00D9348B" w:rsidRDefault="00627CA1" w:rsidP="00DB330E">
            <w:pPr>
              <w:pStyle w:val="TableText"/>
              <w:spacing w:before="50" w:after="50"/>
              <w:rPr>
                <w:rFonts w:cs="Calibri"/>
                <w:szCs w:val="16"/>
              </w:rPr>
            </w:pPr>
            <w:r w:rsidRPr="00D9348B">
              <w:rPr>
                <w:rFonts w:cs="Calibri"/>
                <w:szCs w:val="16"/>
              </w:rPr>
              <w:t>2017</w:t>
            </w:r>
            <w:r w:rsidRPr="00D9348B">
              <w:rPr>
                <w:rFonts w:cs="Calibri"/>
                <w:szCs w:val="16"/>
                <w:vertAlign w:val="superscript"/>
              </w:rPr>
              <w:t xml:space="preserve"> P</w:t>
            </w:r>
          </w:p>
        </w:tc>
        <w:tc>
          <w:tcPr>
            <w:tcW w:w="1984" w:type="dxa"/>
            <w:tcBorders>
              <w:top w:val="single" w:sz="4" w:space="0" w:color="365F91"/>
              <w:bottom w:val="single" w:sz="4" w:space="0" w:color="365F91"/>
            </w:tcBorders>
            <w:shd w:val="clear" w:color="auto" w:fill="auto"/>
          </w:tcPr>
          <w:p w14:paraId="60D7705F" w14:textId="77777777" w:rsidR="00627CA1" w:rsidRPr="00D9348B" w:rsidRDefault="00627CA1" w:rsidP="00DB330E">
            <w:pPr>
              <w:pStyle w:val="TableText"/>
              <w:spacing w:before="50" w:after="50"/>
              <w:jc w:val="right"/>
              <w:rPr>
                <w:rFonts w:cs="Calibri"/>
                <w:szCs w:val="16"/>
              </w:rPr>
            </w:pPr>
            <w:r w:rsidRPr="00D9348B">
              <w:rPr>
                <w:rFonts w:cs="Calibri"/>
                <w:szCs w:val="16"/>
              </w:rPr>
              <w:t xml:space="preserve"> 740 </w:t>
            </w:r>
          </w:p>
        </w:tc>
        <w:tc>
          <w:tcPr>
            <w:tcW w:w="2112" w:type="dxa"/>
            <w:tcBorders>
              <w:top w:val="single" w:sz="4" w:space="0" w:color="365F91"/>
              <w:bottom w:val="single" w:sz="4" w:space="0" w:color="365F91"/>
            </w:tcBorders>
            <w:shd w:val="clear" w:color="auto" w:fill="auto"/>
          </w:tcPr>
          <w:p w14:paraId="43FECF58" w14:textId="77777777" w:rsidR="00627CA1" w:rsidRPr="00D9348B" w:rsidRDefault="00627CA1" w:rsidP="00DB330E">
            <w:pPr>
              <w:pStyle w:val="TableText"/>
              <w:spacing w:before="50" w:after="50"/>
              <w:jc w:val="right"/>
              <w:rPr>
                <w:rFonts w:cs="Calibri"/>
                <w:szCs w:val="16"/>
              </w:rPr>
            </w:pPr>
            <w:r w:rsidRPr="00D9348B">
              <w:rPr>
                <w:rFonts w:cs="Calibri"/>
                <w:szCs w:val="16"/>
              </w:rPr>
              <w:t xml:space="preserve"> 2,117 </w:t>
            </w:r>
          </w:p>
        </w:tc>
        <w:tc>
          <w:tcPr>
            <w:tcW w:w="1701" w:type="dxa"/>
            <w:tcBorders>
              <w:top w:val="single" w:sz="4" w:space="0" w:color="365F91"/>
              <w:bottom w:val="single" w:sz="4" w:space="0" w:color="365F91"/>
            </w:tcBorders>
            <w:shd w:val="clear" w:color="auto" w:fill="auto"/>
          </w:tcPr>
          <w:p w14:paraId="21652CDA" w14:textId="77777777" w:rsidR="00627CA1" w:rsidRPr="00D9348B" w:rsidRDefault="00627CA1" w:rsidP="00DB330E">
            <w:pPr>
              <w:pStyle w:val="TableText"/>
              <w:spacing w:before="50" w:after="50"/>
              <w:jc w:val="right"/>
              <w:rPr>
                <w:rFonts w:cs="Calibri"/>
                <w:szCs w:val="16"/>
              </w:rPr>
            </w:pPr>
            <w:r w:rsidRPr="00D9348B">
              <w:rPr>
                <w:rFonts w:cs="Calibri"/>
                <w:szCs w:val="16"/>
              </w:rPr>
              <w:t xml:space="preserve"> 635 </w:t>
            </w:r>
          </w:p>
        </w:tc>
        <w:tc>
          <w:tcPr>
            <w:tcW w:w="1715" w:type="dxa"/>
            <w:tcBorders>
              <w:top w:val="single" w:sz="4" w:space="0" w:color="365F91"/>
              <w:bottom w:val="single" w:sz="4" w:space="0" w:color="365F91"/>
            </w:tcBorders>
          </w:tcPr>
          <w:p w14:paraId="41765E6B" w14:textId="77777777" w:rsidR="00627CA1" w:rsidRPr="00D9348B" w:rsidRDefault="00627CA1" w:rsidP="00DB330E">
            <w:pPr>
              <w:pStyle w:val="TableText"/>
              <w:spacing w:before="50" w:after="50"/>
              <w:jc w:val="right"/>
              <w:rPr>
                <w:rFonts w:cs="Calibri"/>
                <w:szCs w:val="16"/>
              </w:rPr>
            </w:pPr>
            <w:r w:rsidRPr="00D9348B">
              <w:rPr>
                <w:rFonts w:cs="Calibri"/>
                <w:szCs w:val="16"/>
              </w:rPr>
              <w:t xml:space="preserve"> 3,493 </w:t>
            </w:r>
          </w:p>
        </w:tc>
      </w:tr>
      <w:tr w:rsidR="00627CA1" w:rsidRPr="00D9348B" w14:paraId="50514F0A" w14:textId="77777777" w:rsidTr="00DB330E">
        <w:tc>
          <w:tcPr>
            <w:tcW w:w="993" w:type="dxa"/>
            <w:tcBorders>
              <w:top w:val="single" w:sz="4" w:space="0" w:color="365F91"/>
              <w:bottom w:val="single" w:sz="4" w:space="0" w:color="365F91"/>
            </w:tcBorders>
            <w:shd w:val="clear" w:color="auto" w:fill="auto"/>
            <w:vAlign w:val="center"/>
          </w:tcPr>
          <w:p w14:paraId="28C76875" w14:textId="77777777" w:rsidR="00627CA1" w:rsidRPr="00D9348B" w:rsidRDefault="00627CA1" w:rsidP="00DB330E">
            <w:pPr>
              <w:pStyle w:val="TableText"/>
              <w:spacing w:before="50" w:after="50"/>
              <w:rPr>
                <w:rFonts w:cs="Calibri"/>
                <w:szCs w:val="16"/>
              </w:rPr>
            </w:pPr>
            <w:r w:rsidRPr="00D9348B">
              <w:rPr>
                <w:rFonts w:cs="Calibri"/>
                <w:szCs w:val="16"/>
              </w:rPr>
              <w:t>2018</w:t>
            </w:r>
            <w:r w:rsidRPr="00D9348B">
              <w:rPr>
                <w:rFonts w:cs="Calibri"/>
                <w:szCs w:val="16"/>
                <w:vertAlign w:val="superscript"/>
              </w:rPr>
              <w:t>P</w:t>
            </w:r>
          </w:p>
        </w:tc>
        <w:tc>
          <w:tcPr>
            <w:tcW w:w="1984" w:type="dxa"/>
            <w:tcBorders>
              <w:top w:val="single" w:sz="4" w:space="0" w:color="365F91"/>
              <w:bottom w:val="single" w:sz="4" w:space="0" w:color="365F91"/>
            </w:tcBorders>
            <w:shd w:val="clear" w:color="auto" w:fill="auto"/>
          </w:tcPr>
          <w:p w14:paraId="04FF0B2D" w14:textId="77777777" w:rsidR="00627CA1" w:rsidRPr="00D9348B" w:rsidRDefault="00627CA1" w:rsidP="00DB330E">
            <w:pPr>
              <w:pStyle w:val="TableText"/>
              <w:spacing w:before="50" w:after="50"/>
              <w:jc w:val="right"/>
              <w:rPr>
                <w:rFonts w:cs="Calibri"/>
                <w:szCs w:val="16"/>
              </w:rPr>
            </w:pPr>
            <w:r w:rsidRPr="00D9348B">
              <w:rPr>
                <w:rFonts w:cs="Calibri"/>
                <w:szCs w:val="16"/>
              </w:rPr>
              <w:t xml:space="preserve"> 740 </w:t>
            </w:r>
          </w:p>
        </w:tc>
        <w:tc>
          <w:tcPr>
            <w:tcW w:w="2112" w:type="dxa"/>
            <w:tcBorders>
              <w:top w:val="single" w:sz="4" w:space="0" w:color="365F91"/>
              <w:bottom w:val="single" w:sz="4" w:space="0" w:color="365F91"/>
            </w:tcBorders>
            <w:shd w:val="clear" w:color="auto" w:fill="auto"/>
          </w:tcPr>
          <w:p w14:paraId="475C7971" w14:textId="77777777" w:rsidR="00627CA1" w:rsidRPr="00D9348B" w:rsidRDefault="00627CA1" w:rsidP="00DB330E">
            <w:pPr>
              <w:pStyle w:val="TableText"/>
              <w:spacing w:before="50" w:after="50"/>
              <w:jc w:val="right"/>
              <w:rPr>
                <w:rFonts w:cs="Calibri"/>
                <w:szCs w:val="16"/>
              </w:rPr>
            </w:pPr>
            <w:r w:rsidRPr="00D9348B">
              <w:rPr>
                <w:rFonts w:cs="Calibri"/>
                <w:szCs w:val="16"/>
              </w:rPr>
              <w:t xml:space="preserve"> 2,308 </w:t>
            </w:r>
          </w:p>
        </w:tc>
        <w:tc>
          <w:tcPr>
            <w:tcW w:w="1701" w:type="dxa"/>
            <w:tcBorders>
              <w:top w:val="single" w:sz="4" w:space="0" w:color="365F91"/>
              <w:bottom w:val="single" w:sz="4" w:space="0" w:color="365F91"/>
            </w:tcBorders>
            <w:shd w:val="clear" w:color="auto" w:fill="auto"/>
          </w:tcPr>
          <w:p w14:paraId="41ABB174" w14:textId="77777777" w:rsidR="00627CA1" w:rsidRPr="00D9348B" w:rsidRDefault="00627CA1" w:rsidP="00DB330E">
            <w:pPr>
              <w:pStyle w:val="TableText"/>
              <w:spacing w:before="50" w:after="50"/>
              <w:jc w:val="right"/>
              <w:rPr>
                <w:rFonts w:cs="Calibri"/>
                <w:szCs w:val="16"/>
              </w:rPr>
            </w:pPr>
            <w:r w:rsidRPr="00D9348B">
              <w:rPr>
                <w:rFonts w:cs="Calibri"/>
                <w:szCs w:val="16"/>
              </w:rPr>
              <w:t xml:space="preserve"> 692 </w:t>
            </w:r>
          </w:p>
        </w:tc>
        <w:tc>
          <w:tcPr>
            <w:tcW w:w="1715" w:type="dxa"/>
            <w:tcBorders>
              <w:top w:val="single" w:sz="4" w:space="0" w:color="365F91"/>
              <w:bottom w:val="single" w:sz="4" w:space="0" w:color="365F91"/>
            </w:tcBorders>
          </w:tcPr>
          <w:p w14:paraId="72C37AF7" w14:textId="77777777" w:rsidR="00627CA1" w:rsidRPr="00D9348B" w:rsidRDefault="00627CA1" w:rsidP="00DB330E">
            <w:pPr>
              <w:pStyle w:val="TableText"/>
              <w:spacing w:before="50" w:after="50"/>
              <w:jc w:val="right"/>
              <w:rPr>
                <w:rFonts w:cs="Calibri"/>
                <w:szCs w:val="16"/>
              </w:rPr>
            </w:pPr>
            <w:r w:rsidRPr="00D9348B">
              <w:rPr>
                <w:rFonts w:cs="Calibri"/>
                <w:szCs w:val="16"/>
              </w:rPr>
              <w:t xml:space="preserve"> 3,740 </w:t>
            </w:r>
          </w:p>
        </w:tc>
      </w:tr>
    </w:tbl>
    <w:p w14:paraId="5A520F78" w14:textId="77777777" w:rsidR="00627CA1" w:rsidRPr="00D9348B" w:rsidRDefault="00627CA1" w:rsidP="00627CA1">
      <w:pPr>
        <w:pStyle w:val="Noteundertable"/>
      </w:pPr>
      <w:r w:rsidRPr="00D9348B">
        <w:rPr>
          <w:b/>
        </w:rPr>
        <w:t>Note:</w:t>
      </w:r>
      <w:r w:rsidRPr="00D9348B">
        <w:tab/>
        <w:t>P</w:t>
      </w:r>
      <w:r w:rsidRPr="00D9348B">
        <w:rPr>
          <w:vertAlign w:val="subscript"/>
        </w:rPr>
        <w:t xml:space="preserve"> </w:t>
      </w:r>
      <w:r w:rsidRPr="00D9348B">
        <w:t>= provisional figure. Areas as at 31 December. Deforestation differs from that in chapter 6 due to carbon equivalent forests being reported separately.</w:t>
      </w:r>
    </w:p>
    <w:p w14:paraId="19284A75" w14:textId="77777777" w:rsidR="00627CA1" w:rsidRPr="00D9348B" w:rsidRDefault="00627CA1" w:rsidP="00627CA1">
      <w:pPr>
        <w:pStyle w:val="BodyText"/>
      </w:pPr>
      <w:r w:rsidRPr="00D9348B">
        <w:t>Figure 11.3.1 shows the annual areas d</w:t>
      </w:r>
      <w:r w:rsidRPr="00D9348B">
        <w:rPr>
          <w:spacing w:val="-2"/>
        </w:rPr>
        <w:t xml:space="preserve">eforested </w:t>
      </w:r>
      <w:r w:rsidRPr="00D9348B">
        <w:t xml:space="preserve">since 1990, by forest category. This illustrates the increase in pre-1990 planted forest </w:t>
      </w:r>
      <w:r w:rsidRPr="00D9348B">
        <w:rPr>
          <w:spacing w:val="-2"/>
        </w:rPr>
        <w:t>deforestation</w:t>
      </w:r>
      <w:r w:rsidRPr="00D9348B">
        <w:t xml:space="preserve"> that occurred in the four years leading up to 2008.</w:t>
      </w:r>
    </w:p>
    <w:p w14:paraId="39BD3881" w14:textId="77777777" w:rsidR="00627CA1" w:rsidRPr="00D9348B" w:rsidRDefault="00627CA1" w:rsidP="00627CA1">
      <w:pPr>
        <w:pStyle w:val="BodyText"/>
      </w:pPr>
      <w:r w:rsidRPr="00D9348B">
        <w:t xml:space="preserve">While the conversion of land from one land use to another is not uncommon in New Zealand, plantation forest </w:t>
      </w:r>
      <w:r w:rsidRPr="00D9348B">
        <w:rPr>
          <w:spacing w:val="-2"/>
        </w:rPr>
        <w:t>deforestation</w:t>
      </w:r>
      <w:r w:rsidRPr="00D9348B">
        <w:t xml:space="preserve"> on the scale seen between 2004 and 2008 was a new phenomenon. Most of the area of planted forest that was deforested from the mid-2000s onwards has subsequently been converted to grassland. This conversion is due in part to the relative profitability of some forms of pastoral farming (particularly dairy farming), compared with forestry, as well as the anticipated introduction of the NZ ETS.</w:t>
      </w:r>
    </w:p>
    <w:p w14:paraId="2B2D8A13" w14:textId="77777777" w:rsidR="00627CA1" w:rsidRPr="00D9348B" w:rsidRDefault="00627CA1" w:rsidP="00627CA1">
      <w:pPr>
        <w:pStyle w:val="Figure"/>
      </w:pPr>
      <w:bookmarkStart w:id="3271" w:name="_Toc456179009"/>
      <w:bookmarkStart w:id="3272" w:name="_Toc481752045"/>
      <w:bookmarkStart w:id="3273" w:name="_Toc522010714"/>
      <w:bookmarkStart w:id="3274" w:name="_Toc5269734"/>
      <w:bookmarkStart w:id="3275" w:name="_Toc36292840"/>
      <w:r w:rsidRPr="00D9348B">
        <w:lastRenderedPageBreak/>
        <w:t>Figure 11.3.1</w:t>
      </w:r>
      <w:r w:rsidRPr="00D9348B">
        <w:tab/>
        <w:t>New Zealand’s annual areas of deforestation from 1990 to </w:t>
      </w:r>
      <w:bookmarkEnd w:id="3271"/>
      <w:bookmarkEnd w:id="3272"/>
      <w:bookmarkEnd w:id="3273"/>
      <w:r w:rsidRPr="00D9348B">
        <w:t>201</w:t>
      </w:r>
      <w:bookmarkEnd w:id="3274"/>
      <w:r w:rsidRPr="00D9348B">
        <w:t>8</w:t>
      </w:r>
      <w:bookmarkEnd w:id="3275"/>
    </w:p>
    <w:p w14:paraId="0D16D33F" w14:textId="77777777" w:rsidR="00627CA1" w:rsidRPr="00D9348B" w:rsidRDefault="007165CF" w:rsidP="00627CA1">
      <w:r>
        <w:pict w14:anchorId="374913CB">
          <v:shape id="_x0000_i1173" type="#_x0000_t75" style="width:401.3pt;height:235.4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cSqo4F&#10;AQAALAIAAA4AAABkcnMvZTJvRG9jLnhtbJyRwWrDMAyG74O9g9F9ddLBKKFOL2Gw0y7bA2i2nBgS&#10;28jusr393DSM7jTIxeiX4POvX8fT1zSKT+LkgldQ7yoQ5HUwzvcK3t+eHw4gUkZvcAyeFHxTglN7&#10;f3ecY0P7MITREIsC8amZo4Ih59hImfRAE6ZdiOTL0AaeMBfJvTSMc6FPo9xX1ZOcA5vIQVNKpdtd&#10;h9AufGtJ51drE2UxKije8vKygsdDDeLjomR7xKZnjIPTqxHc4GNC58u3v6gOM4ozuw0oPSDnwtLN&#10;Uq2m9GbSCihb/59usNZp6oI+T+TzNWKmEXO5bxpcTCC4cUYBv5j6kp38s/GtLvXtkdsfAAAA//8D&#10;AFBLAwQUAAYACAAAACEA43qV25QBAADdAgAAIAAAAGRycy9jaGFydHMvX3JlbHMvY2hhcnQxLnht&#10;bC5yZWxzrFLBauMwEL0X9h+MYPfUWrYPS+nWKSFpIIdNi5teiqCo0thRK0tipIRkv75jl0AKhb30&#10;oNE8zei9YWaub/a9zXaA0XhXszIvWAZOeW1cV7PH9eLikmUxSael9Q5qdoDIbiY/zq4bsDLRp7gx&#10;IWbE4mLNNimFK86j2kAvY+4DOIq0HnuZCGLHg1RvsgNeFcVvjqccbPKJM1vqmuFSVyxbHwIp/5/b&#10;t61RMPdq24NLX0hwb+Hu5RVUIlKJHaSatcYClcyF6FsI6HUbYlHmBMbT+V3K3T+xoLQpqo3ZgZht&#10;EUngZ1XMZZIvMkIkHyFJ48gZTU+OxiF79TSbPgyIciOkKB5XhBoIHhN1WTQQExqVQIuqKC8ptlo2&#10;onKaPNw6MZNWPd+jVxBJSMyaBQVu98N3QDF10h6iGQqgIZEluq0llYHogs60pfaTxDis8zHh5IHw&#10;L9mHP3TP4eQ939vYH5v012vq/+2e9EiN8a8HVX7noBItENzRXqLRcKyjZnnOx8iHPcbLnJZsKIt/&#10;WsrJOwA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C9uf4jaAAAABQEAAA8AAABkcnMv&#10;ZG93bnJldi54bWxMj8FOwzAQRO9I/IO1SNyoDVVCG+JUEQiVKwV63sZLEojXUew0ga/H9AKXlUYz&#10;mnmbb2bbiSMNvnWs4XqhQBBXzrRca3h9ebxagfAB2WDnmDR8kYdNcX6WY2bcxM903IVaxBL2GWpo&#10;QugzKX3VkEW/cD1x9N7dYDFEOdTSDDjFctvJG6VSabHluNBgT/cNVZ+70WoYy/0W12/Td1BPHw8l&#10;98v0tt5qfXkxl3cgAs3hLwy/+BEdish0cCMbLzoN8ZFwutFbJSoFcdCQqGQJssjlf/riBwAA//8D&#10;AFBLAwQUAAYACAAAACEA5/yEWt8NAAApPAAAFQAAAGRycy9jaGFydHMvY2hhcnQxLnhtbOxbbXPb&#10;xhH+3pn+BxbxTOK2BHEvOABsKFeipDRTO/bEdj5kMpOBSEhCBAIMANpSMvnvfe4OdyAhHS3H8dTt&#10;yJPY4GHvbXdvd5/bxZdPrlfF6E1WN3lVzjziB94oKxfVMi8vZt7rV6fj2Bs1bVou06Iqs5l3kzXe&#10;k4M//+nLxXRxmdbty3W6yEYYpGymi5l32bbr6WTSLC6zVdr41Tor8e68qldpi5/1xWRZp28x+KqY&#10;0CAQEzWI1w2Q/o4BVmlemv71ffpX5+f5IjuuFptVVrZ6FXVWpC040Fzm68aMtiCiprdGXOWLumqq&#10;89ZfVKuJHsxsCoORcGJ3dQAmLdM2I0nAR2/SYuYF3kQ2Fml5oRuycvz6pW6sq025zJbzqi4hji36&#10;1WJ6WLRZXWKoeVW2WHXHr9W9OL5K66vNeozlrrHJs7zI2xu1be/gS4w9v6zAj9G32c+bvM6ambcg&#10;vGcBf18GBNEkntBOrtgs4dOmvSkyvSESULnbiZ1XLeE0LYqzdHElebNFbEn797LjkBmy16Kon6Xr&#10;52/q0dkFmXlFS7xRe42n5RWezi4gx6Klsg1Pyys8pYsFGAmK7sG04L1usTTMtDBDA6ZoGjBKP4Sm&#10;JTQtwrQIb3RZ5OUVGCn/8UbnVfEv3WCetAKooyA3k27a6lXeFtlxVmRtttzShcV0XVTtYZ2lkrBI&#10;b6pNK59WablJi6f2t37zKq0vslZ3z0uolZ7o+lm17OSRLS8y3XhzV+N1N7VPCAvCKA7jOGRxFEei&#10;66Tfxz4lNBaxIDgAJGIhOxkr4S2mb80IMeGUQvw8DKIg4UQPcGleRyQkTAScERwhyhmX7yfDjaGh&#10;33OzSFsci7k0Q5IH3e+XvbaBy9kzaL/Z+Ju0vplXRbVzvNAxq2X/fGm2q9dW1cus7tanW9prNU9b&#10;f5udy6fzg89fpWdF1ozwfzOan5x+/pdH80ecyJUriqat5ymMoaRet3Mc8U4c3f7X7QjTSsMgKd4c&#10;vKizMUmSYITDvqnTAsqCM9nK8d4ofqyxVfzox9U/1ILw2K1w/QI7SqdFOXo782jIAzl+Om2qIl+e&#10;5kWhfkgbnc2Lbos4GYqm2KygCXrb6IeeEASG2qyen5/rZmGaJxjSjIJl7UyAX0Wp16pWI0UpJaE4&#10;eLM6q+B2pEks4VasrA3B9Xcp1riYlpvVPlYfPeJ0+ujoURRYhqOHZbh2O3Mo+8FXGbQ/LRSZckaq&#10;dSgUmmg5D6UiJbIrAilNLTkCrknhgEaJvRdTTyM529FQ1zisp2EuGt7TcBdN2NOELhrR0wgXTdTT&#10;RC6auKeJXTRJT5O4aIhRf4QEbkYbToPIyWliWA0iJ6uJ4TWInLyGE9RCA5GT2cRwG0RObhPDbhA5&#10;2U0Mv0Hk5DcxDAeRk+HEcBxETo7TnuPEyXHac5w4OU57jhMnx2nPceLkOO05Tpwcpz3HiZPjtOc4&#10;cXKc9hwnTo7TnuNkwHFY297Y6B/GChvzdXM/MwaPATM2v4cZ+/GLv44++/tnnwV+EPz4+B/y5w9f&#10;mIYfdIM39p48US//+eNjeeK2zOC9DZ4fx4KGglIuaEBDp/SNhpDdDggHXGfdqMugh3sKozqDDsw9&#10;hdGjQQ/tlu+yz0anBh32TGEUbNBDOBlllG3QAXGVi1FG8wY9uHvf5uDfv4c1vIMue3ZOHCIP3euy&#10;Rnkwy74uDqnvUSxrsAezuMVurfegB8JYl1CsLR902TOJS/J7fIERfeBHESMRx98iRlS9z8kY4VOf&#10;RwkOL2WIxAV1L8y6AOInggURTUQEpymCxO01etnDKYI0iKIkgg7v6dKfd0JZJFiUIBzFX273bJ0F&#10;8YEnaJzECY8TJhK327euI8Dug0QklAhGYnRx+27rSQIfAqcxOI1JBOFJ5HYH5twHPovCICTYfCzn&#10;SxLnObZ+BtKUAXUcER6GMXCQ24dbt/POPnu8kPE+zaqqWgO0dICbXbdPGwWa8DTa1PnM+3XOWBzM&#10;53wcHouTMQ+S+fjohNHxSUSPaSJB3Xz+W38xAHw7uOx5180I37oUENNNmf+8yb7ukMavElLIP2NB&#10;k6MxP2Xz8eGcnIzZ6SkRAY3CaM5+63AC1qyAhdkFeNBBuCGS61DWFpLrWu6F5I7/ECS3xm2PBPEf&#10;EcnVF2cWx+EIn8wVaHvAYy4rbm1SkjgtvXVAe462DTSSxBmw2tgiSZzxqrEqwJDOcNW6kSRxmifj&#10;NzDOIFjtsajxE6Bx2nkbFgBCONGBDQRA5Ax7rOsHkZPVD3jMs84YF2hOjj/gMc86RvBpoOJ7POF7&#10;4jHYfeCx408IjzlVwgRkTgJj6pwExs45CYyRcxIYC+ckMObNSWBsm5PAGDYngbFqToLepPkRYdCe&#10;iPKAJAgsBmrUW8rewPmC4dY64nFEmcB/9zB3fsARf4ZJSBMWJiJ02mxr/JiPe++QYk0Ml+hB4kbE&#10;FulEPsJ2jkiXcB7FuKR0z2KERKiPK3xcwfMQMRXCd/dejNiI8IEkBK7+Q8FpzKibY0aQlPhcYEk0&#10;YgEXSBm4PLG90WJ+jCCThGGIPEEYAMA4uxhZh4jbSRxGgjPGgoTETn9mravwk5gJKEAUQPBRyJwM&#10;s7Y29EMOoIPYOEDXmLsZZm/CIl9weGDoVgh+xSR2z2JOHwnAY+BhzlmALAkX7i7mPAo/JGGCTUQB&#10;SwBa3KDVIh2GhQFHSYnAsbNgzyxW+DguQoSAnxJQBaE7+LA4hyJbFCELJHBQoM9I9rhE2VtzHyqJ&#10;oxLJHBKj0bDLHtv+v4hyyB+LcrpU2xbK6VruhXJOPgjlVE2LhFWcfEx4c9NYdIPSgWX11hsVadOi&#10;ceadqj+4qlcpKpu5ArjWmSsJglT/h/zUHsvV52icZtdaqgc8tJ2LvStceMBDQHtul2/8N4je7bEf&#10;8NCBDFbf7UE/Ih6ChwAeOnnAQ6pUw8RfTqhhQm0ngYmtnAQmjHYS/IF4yDmHhT9uCgsu/SiQt0A8&#10;BqYKcWM/jN+2rKTxIxQ1QwxhtUAxUYSkljuwtHCH+gFjuNhHaMlZgnt+57GwmR3qMwJ0QEIRoUdE&#10;9yRdjFSQDokpT3iA+30uzY/zZt/m7LkfhUg1YCLKFOZxgyojOVRaIjuD3A5gC1AM+OY64n0+3w+Q&#10;phAJYAViaiArp4m1eIcg5QAIEgWCAvSI2L19i3cgFwgTSRoULSYxEjBOJlu8Q3yG2J3i5j4WERJP&#10;7r3Y1A71kWuBRMBnTIecjZPJNrVDAMSwE1leBkhFROy8TrV4h/gCYA8KyTnSOqEztrH1AtgJAHgM&#10;dCTzR+EtHNLrsUU7yB4hNcJjqBhFWRt44BaLET76JJRH4BhnERDfrbvR/zO8Qz8M7yyfnhWNLMZp&#10;Lqu3T7OLrFz+O7vZqcyTb1BscattnrbfpKuu2LGrvpW0L7P6zvYXWS3LQm+Nc7Q5Q53fy/yX7aEg&#10;Jbu09NqkspAMjWmYdBBstx36EXdJrGH1IorhDlV54W6PfiR0QD3jheRDVedYpKpY1itd5eWz9Frn&#10;9lZpV8YI26UmQ+VdXmo6XPrr1BB42Q+3VGWmO3tOr19UXQ3ymRn2p6r+qs6XsqhSS8NWGb6rthA1&#10;ubcQWiwhmuLFniLCdLqum/Y4bbr05RJPXZ+d4kJIYpUO14fqnNNVK4Epis9lvd/M68oAUdJebSDo&#10;p6jHzZYoe9/a4qt8cSVrRjU7UF7bvcvLqna8a9EFKmo5VgChqjrv5t4cQq1yt6+tGs3bJZTttS7s&#10;PKuWNy/qUV21M28syzslL2UZP35fVvUvciwA4qZVxbDqx1q2dOtZZuffonvzy8zDtRbqo2UB6ghJ&#10;YPy96UoyUfVf51fgWVm9VE8gS5tMSl+Xq+5Ue+LHbhJSrQgT7yYhsSZobTlqb9bZOT4cmHl/W5Xj&#10;QvE4nWbp1ovDOk8LvY9Fc1c7Rtb7UJN0O4NpeJHWqdydLLKfebbAHuRgARRF8xAl4yjjbw67syIP&#10;rTmc3StU9eJMooob1djfZ3WlRap6HWXt2yzrztQqX8LK6LdKCV+XeWdAOhuA41fVfauWNECkOfH2&#10;Yffo9+vZOqt7jj72tkW4/1Arzt51aO6vsr/7UA/V+s7D28r6d2nr9B1WnS8upQJrxb+3diMo+zS1&#10;ew5bflbnd+j31ps7NbyWbKi39fub7/Uw7cFIfhgw+gJnb3SZLdoUpeOP5QmU5RLopA+KOgSan+o0&#10;SCb3RfXDDwne+1sB5hMZ2YZIZcAPov7GfgpgPLbP5IV9EiCMQ1yGu+VQrl9pwfZHDGjol1XBtuHX&#10;jo8yqlpWsqRd68Sg4N2+ukPnrIbd4SdUSeXQS3ThgzrjDk+gTvruO1PfDk0euIkS9SuvOrNi9iK9&#10;2tCwmgp7vfkP8BQ4Cw8uYvohLqKPxpQfeH8XAaW21t7IfMvjb4VCWtrSyN7yohhE98XDzudAKjRW&#10;51k92YCkC+H64/TBpxzpKuApgCXGZVYUSa7dL4ICPyFcxCgpTGgQSvzN5D62vgcCjiUSlqPoEIYA&#10;SR/9vgv0uI80KIZGPSLSQciL0c6MYMu7i0dDv6+7zMRuzKTNxD0Co0/WdXzkwEjy0+qR1K7v8uZ5&#10;WXSmt4uUl3mzPkKAddUcdlHSRbrWApTo6lgCtuewNQAlWyYbQ9tv3Izya4PntNMmXHtvz09URPxf&#10;DGy3/Pggst15sxPbbr250/e/h+mCb5FfjBbHaZuOanzbNvPqr5f6wk5GtK/X8svUXeFs91EOWUlL&#10;feF78B8AAAD//wMAUEsDBBQABgAIAAAAIQBpsSFibAYAAFcbAAAcAAAAZHJzL3RoZW1lL3RoZW1l&#10;T3ZlcnJpZGUxLnhtbOxZT48bNRS/I/EdrLm3SXaTdLNqttpkky602642aVGPzsSZceMZj2xnt7mh&#10;9oiEhCiICxI3Dgio1EpcyqdZKIIi9SvwbM9MxpsJu9uuQJTmkMzYP7//7/nZuXrtQcTQIRGS8rjt&#10;1S5XPURin49pHLS9O8P+pQ0PSYXjMWY8Jm1vTqR3bev9967iTRWSiNyGtYKOCQI6sdzEbS9UKtms&#10;VKQP01he5gmJYW7CRYQVvIqgMhb4COhHrLJWrTYrEaaxtwUEfSYGehVBMY6A1+3JhPrETI2nNY2Q&#10;c9llAh1i1vaAxJgfDckD5SGGpYKJtlc1H6+ydbWCN9NFTK1YW1jXN590XbpgPF0zPEUwypnW+vXW&#10;lZ2cvgEwtYzr9XrdXi2nZwDY90mcylKkWe9v1DoZzQLIPi7T7lYb1bqLL9BfX5K51el0Gq1UFkvU&#10;gOxjfQm/UW3Wt9ccvAFZfGMJX+9sd7tNB29AFt9cwvevtJp1F29AIaPxdAmtHdrvp9RzyISz3VL4&#10;BsA3qil8gYJoyKNLs5jwWK2KtQjf56IPAA1kWNEYqXlCJtiHmOziaCQo1gzwJsGFGTvky6UhzQtJ&#10;X9BEtb0PExx7Bcir59+/ev4UvXr+5Pjhs+OHPx0/enT88EdLy1m4i+OguPDlt5/9+fXH6I+n37x8&#10;/EU5Xhbxv/7wyS8/f14OhAxaaPjiyye/PXvy4qtPf//ucQl8W+BRET6kEZHoFjlCBzwC3YxhXMnJ&#10;SJxvxTDE1FmBQ6BdQrqnQgd4a45ZGa5DXOPdFVA8yoDXZ/cdWQehmClawvlGGDnAPc5Zh4tSA9zQ&#10;vAoWHs7ioJy5mBVxBxgflvHu4thxbW+WQNXMgtKxfTckjpj7DMcKByQmCuk5PiWkRLt7lDp23aO+&#10;4JJPFLpHUQfTUpMM6cgJpMWiXRqBX+ZlOoOrHdvs3UUdzsq03iGHLhISArMS4YeEOWa8jmcKR2Uk&#10;hzhiRYPfxCosE3IwF34R15MKPB0QxlFvTKQsW3NbgL4Fp9/AUK9K3b7H5pGLFIpOy2jexJwXkTt8&#10;2g1xlJRhBzQOi9gP5BRCFKN9rsrge9zNEP0OfsDxSnffpcRx9+mF4A4NHJEWAaJnZqLEl9cJd+J3&#10;MGcTTEyVgZLuVOqIxn9XthmFum05vCvbbW8bNrGy5Nk9UaxX4f6DJXoHz+J9AlmxvEW9q9DvKrT3&#10;1lfoVbl88XV5UYqhSuuGxPbapvOOVjbeE8rYQM0ZuSlN7y1hAxr3YVCvM+dJkh/EkhAedSYDAwcX&#10;CGzWIMHVR1SFgxAn0LfXPE0kkCnpQKKESzgvmuFS2hoPvb+yp82GPofYyiGx2uNjO7yuh7PjRk7G&#10;SBVIy9EyWtcEzsps/UpKFHR7HWY1LdSZudWMaKYoOtxylbWJzbkcTJ6rBoO5NaGzQdAPgZWbcKLX&#10;rOG8gxkZa7tbH2VuMTa5SBfJEMPtg7kRaGi9l31UM07KYmVJEa2H9ZE+O55itQK3lib7BtzO4qQi&#10;u/oKdpn33sRLWQQvvATUTqYji4vJyWJ01PZajbWGh3yctL0JHJXhMUrA61I3k5gFcKXkK2HD/tRk&#10;1qFRVDhTzE2CGtx+WLsvKezUgURItYNlaEPDTKUhwGLNycq/1gCzXpQCJdXobFKsb0Aw/GtSgB1d&#10;15LJhPiq6OzCiLadfU1LKZ8pIgbh+AiN2EwcYHC/DlXQZ0wl3HiYiqBf4HpOW9tMucU5TbripZjB&#10;2XHMkhCn5VanaJbJFm4KUi6DeSuIB7qVym6UO78qJuUvSJViGP/PVNH7CVxBrI+1B3y46xUY6Uxp&#10;e1yokEMVSkLq9wU0DqZ2QLTAFS9MQ1DBNbT5FeRQ/9qcszRMWsNJUh3QAAkK+5EKBSH7UJZM9J1C&#10;rJbuXZYkSwmZiCqIKxMr9ogcEjbUNbCp93YPhRDqppqkZcDgTsaf+55m0CjQTU4x35xKlu+9Ngf+&#10;6c7HJjMo5dZh09Bk9s9FzNuDxa5q15vl2d5bVERPLNqsepYV7lbQStP+NUU451ZrK9aSxmuNTDjw&#10;4rLGMJg3RAlcJCH9BfsfFT6zf2LoDXXID6C2Ivj/QhODsIGovmQbD6QLpB0cQeNkB20waVLWtGnr&#10;pK2WbdYX3OnmfE8YW0t2Fn+f09h5c+ayc3LxIo2dWtixtR1baWrw7MkUhaFJdpAxjnH+DNv6CwAA&#10;//8DAFBLAQItABQABgAIAAAAIQBAH/RBMAEAAOACAAATAAAAAAAAAAAAAAAAAAAAAABbQ29udGVu&#10;dF9UeXBlc10ueG1sUEsBAi0AFAAGAAgAAAAhADj9If/WAAAAlAEAAAsAAAAAAAAAAAAAAAAAYQEA&#10;AF9yZWxzLy5yZWxzUEsBAi0AFAAGAAgAAAAhALcSqo4FAQAALAIAAA4AAAAAAAAAAAAAAAAAYAIA&#10;AGRycy9lMm9Eb2MueG1sUEsBAi0AFAAGAAgAAAAhAON6lduUAQAA3QIAACAAAAAAAAAAAAAAAAAA&#10;kQMAAGRycy9jaGFydHMvX3JlbHMvY2hhcnQxLnhtbC5yZWxzUEsBAi0AFAAGAAgAAAAhAKsWzUa5&#10;AAAAIgEAABkAAAAAAAAAAAAAAAAAYwUAAGRycy9fcmVscy9lMm9Eb2MueG1sLnJlbHNQSwECLQAU&#10;AAYACAAAACEAL25/iNoAAAAFAQAADwAAAAAAAAAAAAAAAABTBgAAZHJzL2Rvd25yZXYueG1sUEsB&#10;Ai0AFAAGAAgAAAAhAOf8hFrfDQAAKTwAABUAAAAAAAAAAAAAAAAAWgcAAGRycy9jaGFydHMvY2hh&#10;cnQxLnhtbFBLAQItABQABgAIAAAAIQBpsSFibAYAAFcbAAAcAAAAAAAAAAAAAAAAAGwVAABkcnMv&#10;dGhlbWUvdGhlbWVPdmVycmlkZTEueG1sUEsFBgAAAAAIAAgAFQIAABIcAAAAAA==&#10;">
            <v:imagedata r:id="rId284" o:title="" croptop="2465f" cropbottom="1726f" cropleft="1156f" cropright="2720f"/>
            <o:lock v:ext="edit" aspectratio="f"/>
          </v:shape>
        </w:pict>
      </w:r>
    </w:p>
    <w:p w14:paraId="3FB2D148" w14:textId="77777777" w:rsidR="00627CA1" w:rsidRPr="00D9348B" w:rsidRDefault="00627CA1" w:rsidP="00627CA1">
      <w:pPr>
        <w:pStyle w:val="BodyText"/>
        <w:spacing w:before="160" w:after="100"/>
      </w:pPr>
      <w:r w:rsidRPr="00D9348B">
        <w:t xml:space="preserve">There are no emissions from </w:t>
      </w:r>
      <w:r w:rsidRPr="00D9348B">
        <w:rPr>
          <w:spacing w:val="-2"/>
        </w:rPr>
        <w:t>deforestation</w:t>
      </w:r>
      <w:r w:rsidRPr="00D9348B">
        <w:t xml:space="preserve"> of pre-1990 planted forest or post-1989 forest estimated before 2000. This activity was not significant, and insufficient data exist to reliably report the small areas of </w:t>
      </w:r>
      <w:r w:rsidRPr="00D9348B">
        <w:rPr>
          <w:spacing w:val="-2"/>
        </w:rPr>
        <w:t>deforestation</w:t>
      </w:r>
      <w:r w:rsidRPr="00D9348B">
        <w:t xml:space="preserve"> that may have occurred.</w:t>
      </w:r>
    </w:p>
    <w:p w14:paraId="4A13963D" w14:textId="77777777" w:rsidR="00627CA1" w:rsidRPr="00D9348B" w:rsidRDefault="00627CA1" w:rsidP="00627CA1">
      <w:pPr>
        <w:pStyle w:val="BodyText"/>
        <w:spacing w:before="100" w:after="100"/>
      </w:pPr>
      <w:r w:rsidRPr="00D9348B">
        <w:t xml:space="preserve">Since the introduction of the NZ ETS in 2008, owners of pre-1990 planted forest have been able to deforest a maximum of 2 hectares in any five-year period without having to surrender emission units. Above this level of </w:t>
      </w:r>
      <w:r w:rsidRPr="00D9348B">
        <w:rPr>
          <w:spacing w:val="-2"/>
        </w:rPr>
        <w:t>deforestation</w:t>
      </w:r>
      <w:r w:rsidRPr="00D9348B">
        <w:t xml:space="preserve">, they are required to surrender units equal to the reported emissions, with some exemptions for smaller forest owners and tree weeds within protected areas (Ministry for Primary Industries, 2015d). Since 2007, there has been a significant reduction in the rate of </w:t>
      </w:r>
      <w:r w:rsidRPr="00D9348B">
        <w:rPr>
          <w:spacing w:val="-2"/>
        </w:rPr>
        <w:t>deforestation</w:t>
      </w:r>
      <w:r w:rsidRPr="00D9348B">
        <w:t xml:space="preserve"> of pre-1990 planted forest. Post-1989 forest owners, who are registered in the scheme, also have legal obligations to surrender units if the carbon stocks in their registered forest area fall below a previously reported level (for example, due to deforestation, harvesting or fire). </w:t>
      </w:r>
    </w:p>
    <w:p w14:paraId="6C778F41" w14:textId="77777777" w:rsidR="00627CA1" w:rsidRPr="00D9348B" w:rsidRDefault="00627CA1" w:rsidP="00627CA1">
      <w:pPr>
        <w:pStyle w:val="BodyText"/>
        <w:spacing w:before="100" w:after="100"/>
      </w:pPr>
      <w:r w:rsidRPr="00D9348B">
        <w:t xml:space="preserve">It was expected that the level of deforestation during the first Kyoto Protocol commitment period (2008–12) would be less than that seen prior to the introduction of the NZ ETS in 2008 (Manley, 2009). However, following the introduction of the NZ ETS, the carbon price went into a steady decline. The low carbon price reduced the liability on pre-1990 planted forest owners for deforestation. Consequently, more deforestation has occurred since 2008 than previously expected. Carbon prices have since increased following </w:t>
      </w:r>
      <w:r w:rsidRPr="00D9348B">
        <w:rPr>
          <w:spacing w:val="-2"/>
        </w:rPr>
        <w:t>the exclusion of international units from the scheme on 31 May 2015, the conclusion of the NZ ETS review and the implementation of some of its findings</w:t>
      </w:r>
      <w:r w:rsidRPr="00D9348B">
        <w:t xml:space="preserve">. These higher carbon prices are coincident with reduced deforestation activities and the first participants of the domestic version of the carbon equivalent forests provision, which is now available within the NZ ETS. </w:t>
      </w:r>
    </w:p>
    <w:p w14:paraId="41BF9C6F" w14:textId="77777777" w:rsidR="00627CA1" w:rsidRPr="00D9348B" w:rsidRDefault="00627CA1" w:rsidP="00627CA1">
      <w:pPr>
        <w:pStyle w:val="BodyText"/>
        <w:spacing w:before="100" w:after="100"/>
      </w:pPr>
      <w:r w:rsidRPr="00D9348B">
        <w:t xml:space="preserve">The area of </w:t>
      </w:r>
      <w:r w:rsidRPr="00D9348B">
        <w:rPr>
          <w:spacing w:val="-2"/>
        </w:rPr>
        <w:t>deforestation</w:t>
      </w:r>
      <w:r w:rsidRPr="00D9348B">
        <w:t xml:space="preserve"> of pre-1990 natural forest prior to 2008 has been estimated by linear interpolation from the average land-use change mapped between 1 January 1990 and 1 January 2008. However, a number of factors suggest that the rate of pre-1990 natural forest deforestation is unlikely to have been constant over the 18-year period between 1990 and 2007, but instead mostly occurred prior to 2002. The area available for harvesting (and potentially deforestation) was higher before 1993 when amendments were made to the Forests Act 1949 that restricted natural forest harvesting. Further restrictions on the harvesting of natural forests were also introduced in 2002, resulting in the cessation of </w:t>
      </w:r>
      <w:r w:rsidRPr="00D9348B">
        <w:lastRenderedPageBreak/>
        <w:t>harvesting of publicly owned forests on the West Coast of New Zealand from that time on. Both of these developments are likely to have reduced pre-1990 natural forest deforestation since 2002.</w:t>
      </w:r>
    </w:p>
    <w:p w14:paraId="6EE136D9" w14:textId="77777777" w:rsidR="00627CA1" w:rsidRPr="00D9348B" w:rsidRDefault="00627CA1" w:rsidP="00627CA1">
      <w:pPr>
        <w:pStyle w:val="BodyText"/>
      </w:pPr>
      <w:r w:rsidRPr="00D9348B">
        <w:t>Further detail on the methods employed for estimating deforestation</w:t>
      </w:r>
      <w:r w:rsidRPr="00D9348B">
        <w:rPr>
          <w:i/>
        </w:rPr>
        <w:t xml:space="preserve"> </w:t>
      </w:r>
      <w:r w:rsidRPr="00D9348B">
        <w:t>is provided in chapter 6, section 6.2.3.</w:t>
      </w:r>
    </w:p>
    <w:p w14:paraId="51020B95" w14:textId="77777777" w:rsidR="00627CA1" w:rsidRPr="00D9348B" w:rsidRDefault="00627CA1" w:rsidP="0026227A">
      <w:pPr>
        <w:pStyle w:val="Heading3"/>
        <w:spacing w:before="280"/>
        <w:rPr>
          <w:rFonts w:eastAsia="Calibri"/>
        </w:rPr>
      </w:pPr>
      <w:r w:rsidRPr="00D9348B">
        <w:rPr>
          <w:rFonts w:eastAsia="Calibri"/>
        </w:rPr>
        <w:t>11.3.4</w:t>
      </w:r>
      <w:r w:rsidRPr="00D9348B">
        <w:rPr>
          <w:rFonts w:eastAsia="Calibri"/>
        </w:rPr>
        <w:tab/>
        <w:t>Forest management CRF 4(KP.B.1))</w:t>
      </w:r>
    </w:p>
    <w:p w14:paraId="56832A92" w14:textId="32685B02" w:rsidR="00627CA1" w:rsidRPr="00D9348B" w:rsidRDefault="00627CA1" w:rsidP="00627CA1">
      <w:pPr>
        <w:pStyle w:val="BodyText"/>
        <w:spacing w:before="100" w:after="100"/>
      </w:pPr>
      <w:r w:rsidRPr="00D9348B">
        <w:t xml:space="preserve">New Zealand reports emissions and removals from </w:t>
      </w:r>
      <w:r w:rsidRPr="00D9348B">
        <w:rPr>
          <w:i/>
        </w:rPr>
        <w:t>Forest management</w:t>
      </w:r>
      <w:r w:rsidRPr="00D9348B">
        <w:t xml:space="preserve"> from 2013 onwards. New Zealand has applied the broad approach to interpreting the definition of forest management so that it includes the whole area classified as pre-1990 natural forest and pre</w:t>
      </w:r>
      <w:r w:rsidR="00C2141D" w:rsidRPr="00D9348B">
        <w:noBreakHyphen/>
      </w:r>
      <w:r w:rsidRPr="00D9348B">
        <w:t xml:space="preserve">1990 planted forest. The area in this category excludes any area deforested since 1990, because this is reported under Article 3.3 – </w:t>
      </w:r>
      <w:r w:rsidRPr="00D9348B">
        <w:rPr>
          <w:i/>
        </w:rPr>
        <w:t>Deforestation</w:t>
      </w:r>
      <w:r w:rsidRPr="00D9348B">
        <w:t xml:space="preserve">, and includes areas to which the carbon equivalent forest provision is applied. </w:t>
      </w:r>
    </w:p>
    <w:p w14:paraId="0104FBE8" w14:textId="77777777" w:rsidR="00627CA1" w:rsidRPr="00D9348B" w:rsidRDefault="00627CA1" w:rsidP="00627CA1">
      <w:pPr>
        <w:pStyle w:val="BodyText"/>
        <w:spacing w:before="100" w:after="100"/>
      </w:pPr>
      <w:r w:rsidRPr="00D9348B">
        <w:t>In 2018, emissions on this land were –13,898.9 kt CO</w:t>
      </w:r>
      <w:r w:rsidRPr="00D9348B">
        <w:rPr>
          <w:vertAlign w:val="subscript"/>
        </w:rPr>
        <w:t>2</w:t>
      </w:r>
      <w:r w:rsidRPr="00D9348B">
        <w:t xml:space="preserve">-e. This included emissions of </w:t>
      </w:r>
      <w:r w:rsidRPr="00D9348B">
        <w:br/>
        <w:t>–12,006.8 kt CO</w:t>
      </w:r>
      <w:r w:rsidRPr="00D9348B">
        <w:rPr>
          <w:vertAlign w:val="subscript"/>
        </w:rPr>
        <w:t>2</w:t>
      </w:r>
      <w:r w:rsidRPr="00D9348B">
        <w:t xml:space="preserve">-e from harvested wood products originating from </w:t>
      </w:r>
      <w:r w:rsidRPr="00D9348B">
        <w:rPr>
          <w:i/>
        </w:rPr>
        <w:t>Forest management</w:t>
      </w:r>
      <w:r w:rsidRPr="00D9348B">
        <w:t xml:space="preserve">. </w:t>
      </w:r>
    </w:p>
    <w:p w14:paraId="3740B718" w14:textId="77777777" w:rsidR="00627CA1" w:rsidRPr="00D9348B" w:rsidRDefault="00627CA1" w:rsidP="00627CA1">
      <w:pPr>
        <w:pStyle w:val="BodyText"/>
        <w:spacing w:before="100" w:after="100"/>
      </w:pPr>
      <w:r w:rsidRPr="00D9348B">
        <w:t xml:space="preserve">The total area remaining in </w:t>
      </w:r>
      <w:r w:rsidRPr="00D9348B">
        <w:rPr>
          <w:i/>
        </w:rPr>
        <w:t>Forest management</w:t>
      </w:r>
      <w:r w:rsidRPr="00D9348B">
        <w:t xml:space="preserve"> at the end of 2018 was 9,208,933 hectares; this is a decrease of 165,841 hectares (or 1.8 per cent) since 1990.</w:t>
      </w:r>
    </w:p>
    <w:p w14:paraId="48BCD5F5" w14:textId="3AF4AB94" w:rsidR="00627CA1" w:rsidRPr="00D9348B" w:rsidRDefault="00627CA1" w:rsidP="00627CA1">
      <w:pPr>
        <w:pStyle w:val="BodyText"/>
        <w:spacing w:before="100" w:after="100"/>
      </w:pPr>
      <w:r w:rsidRPr="00D9348B">
        <w:t xml:space="preserve">The source of the activity data and emission factors applied to </w:t>
      </w:r>
      <w:r w:rsidRPr="00D9348B">
        <w:rPr>
          <w:i/>
        </w:rPr>
        <w:t>Forest management</w:t>
      </w:r>
      <w:r w:rsidRPr="00D9348B">
        <w:t xml:space="preserve"> activities is described in more detail in chapter 6. This is because New Zealand applies the same methods to estimating emissions from </w:t>
      </w:r>
      <w:r w:rsidRPr="00D9348B">
        <w:rPr>
          <w:i/>
        </w:rPr>
        <w:t>Forest management</w:t>
      </w:r>
      <w:r w:rsidRPr="00D9348B">
        <w:t xml:space="preserve"> activities as those applied to the equivalent </w:t>
      </w:r>
      <w:r w:rsidR="00EA7212">
        <w:t>land-use</w:t>
      </w:r>
      <w:r w:rsidRPr="00D9348B">
        <w:t xml:space="preserve"> categories of the inventory. </w:t>
      </w:r>
    </w:p>
    <w:p w14:paraId="0F68ECD3" w14:textId="4A74EF30" w:rsidR="00627CA1" w:rsidRPr="00D9348B" w:rsidRDefault="00627CA1" w:rsidP="00627CA1">
      <w:pPr>
        <w:pStyle w:val="BodyText"/>
        <w:spacing w:before="100" w:after="100"/>
      </w:pPr>
      <w:r w:rsidRPr="00D9348B">
        <w:t xml:space="preserve">Where the land reported under </w:t>
      </w:r>
      <w:r w:rsidRPr="00D9348B">
        <w:rPr>
          <w:i/>
        </w:rPr>
        <w:t>Forest management</w:t>
      </w:r>
      <w:r w:rsidRPr="00D9348B">
        <w:t xml:space="preserve"> has remained in the same </w:t>
      </w:r>
      <w:r w:rsidR="00EA7212">
        <w:t>land-use</w:t>
      </w:r>
      <w:r w:rsidRPr="00D9348B">
        <w:t xml:space="preserve"> sub</w:t>
      </w:r>
      <w:r w:rsidRPr="00D9348B">
        <w:noBreakHyphen/>
        <w:t xml:space="preserve">division for more than 20 years, mineral soil carbon stocks are assumed to have reached steady state. New Zealand models the effects of land use on mineral soil carbon based on empirical measurements collected from each land-use sub-division in steady state, specifically to model land-use change and management effects. The pre-1990 forests are subdivided into natural and planted forest types, which allows the different management methods to be taken into account. Where the land reported under </w:t>
      </w:r>
      <w:r w:rsidRPr="00D9348B">
        <w:rPr>
          <w:i/>
        </w:rPr>
        <w:t>Forest management</w:t>
      </w:r>
      <w:r w:rsidRPr="00D9348B">
        <w:t xml:space="preserve"> is no longer in its native land use, irrespective of how long it has been in the land use, where organic soil is present, the soil organic carbon pool is an ongoing source of emissions, and these are reported. More detail is provided in chapter 6, section 6.3. </w:t>
      </w:r>
      <w:r w:rsidRPr="00D9348B">
        <w:rPr>
          <w:spacing w:val="-2"/>
        </w:rPr>
        <w:t>This information has been added to address expert review team recommendation KL.4 (FCCC/ARR/2017/NZL).</w:t>
      </w:r>
    </w:p>
    <w:p w14:paraId="475225CE" w14:textId="77777777" w:rsidR="00627CA1" w:rsidRPr="00D9348B" w:rsidRDefault="00627CA1" w:rsidP="00627CA1">
      <w:pPr>
        <w:pStyle w:val="BodyText"/>
        <w:spacing w:before="100" w:after="100"/>
      </w:pPr>
      <w:r w:rsidRPr="00D9348B">
        <w:t xml:space="preserve">As agreed in Decision 2/CMP.7 (UNFCCC, 2012), accounting for </w:t>
      </w:r>
      <w:r w:rsidRPr="00D9348B">
        <w:rPr>
          <w:i/>
        </w:rPr>
        <w:t>Forest management</w:t>
      </w:r>
      <w:r w:rsidRPr="00D9348B">
        <w:t xml:space="preserve"> is now mandatory and measured against the Forest Management Reference Level (FMRL) inscribed in the appendix to the annex to Decision 2/CMP.7 (UNFCCC, 2012). This means New Zealand is only required to take responsibility for emissions from land under </w:t>
      </w:r>
      <w:r w:rsidRPr="00D9348B">
        <w:rPr>
          <w:i/>
        </w:rPr>
        <w:t>Forest management</w:t>
      </w:r>
      <w:r w:rsidRPr="00D9348B">
        <w:t xml:space="preserve"> where these emissions are greater than the reference level, and can claim reductions where emissions are less than the reference level (up to a cap set at 3.5 per cent of New Zealand’s gross emissions in the base year, per year). New Zealand’s original FMRL was 11.150 megatonnes (Mt) CO</w:t>
      </w:r>
      <w:r w:rsidRPr="00D9348B">
        <w:rPr>
          <w:vertAlign w:val="subscript"/>
        </w:rPr>
        <w:t>2</w:t>
      </w:r>
      <w:r w:rsidRPr="00D9348B">
        <w:t xml:space="preserve">-e per year. It was set using a business-as-usual projection of emissions for </w:t>
      </w:r>
      <w:r w:rsidRPr="00D9348B">
        <w:rPr>
          <w:i/>
        </w:rPr>
        <w:t xml:space="preserve">Forest management </w:t>
      </w:r>
      <w:r w:rsidRPr="00D9348B">
        <w:t xml:space="preserve">over the period to 2020 and represents the estimated annual average emissions between 2013 and 2020. Technical corrections to the FMRL, as required by Decision 2/CMP.7, Annex I, para 14 (UNFCCC, 2012), were made in the 2016 and 2019 submissions. Details of these corrections are provided in annex 5.1. New Zealand undertook an additional technical correction for the 2019 submission, as discussed below and in annex 5. </w:t>
      </w:r>
    </w:p>
    <w:p w14:paraId="358130CB" w14:textId="77777777" w:rsidR="00627CA1" w:rsidRPr="00D9348B" w:rsidRDefault="00627CA1" w:rsidP="00627CA1">
      <w:pPr>
        <w:pStyle w:val="BodyText"/>
        <w:spacing w:before="100" w:after="100"/>
        <w:rPr>
          <w:spacing w:val="-2"/>
        </w:rPr>
      </w:pPr>
      <w:r w:rsidRPr="00D9348B">
        <w:rPr>
          <w:spacing w:val="-2"/>
        </w:rPr>
        <w:lastRenderedPageBreak/>
        <w:t xml:space="preserve">The emissions for </w:t>
      </w:r>
      <w:r w:rsidRPr="00D9348B">
        <w:rPr>
          <w:i/>
          <w:spacing w:val="-2"/>
        </w:rPr>
        <w:t>Forest management</w:t>
      </w:r>
      <w:r w:rsidRPr="00D9348B">
        <w:rPr>
          <w:spacing w:val="-2"/>
        </w:rPr>
        <w:t xml:space="preserve"> from 2013–18 were lower than the </w:t>
      </w:r>
      <w:r w:rsidRPr="00D9348B">
        <w:rPr>
          <w:bCs/>
          <w:spacing w:val="-2"/>
        </w:rPr>
        <w:t>FMRL</w:t>
      </w:r>
      <w:r w:rsidRPr="00D9348B">
        <w:rPr>
          <w:bCs/>
          <w:i/>
          <w:spacing w:val="-2"/>
          <w:vertAlign w:val="subscript"/>
        </w:rPr>
        <w:t>corr</w:t>
      </w:r>
      <w:r w:rsidRPr="00D9348B">
        <w:rPr>
          <w:spacing w:val="-2"/>
          <w:vertAlign w:val="subscript"/>
        </w:rPr>
        <w:t xml:space="preserve"> </w:t>
      </w:r>
      <w:r w:rsidRPr="00D9348B">
        <w:rPr>
          <w:spacing w:val="-2"/>
        </w:rPr>
        <w:t>(technically corrected FMRL) of –9.42 Mt CO</w:t>
      </w:r>
      <w:r w:rsidRPr="00D9348B">
        <w:rPr>
          <w:spacing w:val="-2"/>
          <w:vertAlign w:val="subscript"/>
        </w:rPr>
        <w:t>2</w:t>
      </w:r>
      <w:r w:rsidRPr="00D9348B">
        <w:rPr>
          <w:spacing w:val="-2"/>
        </w:rPr>
        <w:t xml:space="preserve">-e (as New Zealand’s removals were higher). This is expected because the FMRL is the estimated annual average over the eight years from 2013 to 2020 inclusive, and over this period New Zealand expects harvesting of pre-1990 planted forest to increase, which will mean emissions from </w:t>
      </w:r>
      <w:r w:rsidRPr="00D9348B">
        <w:rPr>
          <w:i/>
          <w:spacing w:val="-2"/>
        </w:rPr>
        <w:t>Forest management</w:t>
      </w:r>
      <w:r w:rsidRPr="00D9348B">
        <w:rPr>
          <w:spacing w:val="-2"/>
        </w:rPr>
        <w:t xml:space="preserve"> will also increase. </w:t>
      </w:r>
    </w:p>
    <w:p w14:paraId="3839B73C" w14:textId="77777777" w:rsidR="00627CA1" w:rsidRPr="00D9348B" w:rsidRDefault="00627CA1" w:rsidP="00627CA1">
      <w:pPr>
        <w:pStyle w:val="Heading5"/>
      </w:pPr>
      <w:r w:rsidRPr="00D9348B">
        <w:t>Technical corrections to the Forest Management Reference Level</w:t>
      </w:r>
    </w:p>
    <w:p w14:paraId="19374A52" w14:textId="77777777" w:rsidR="00627CA1" w:rsidRPr="00D9348B" w:rsidRDefault="00627CA1" w:rsidP="00627CA1">
      <w:pPr>
        <w:pStyle w:val="BodyText"/>
      </w:pPr>
      <w:r w:rsidRPr="00D9348B">
        <w:t>New Zealand’s FMRL, as inscribed in the appendix to the annex to Decision 2/CMP.7 (UNFCCC, 2012), was 11.150 Mt CO</w:t>
      </w:r>
      <w:r w:rsidRPr="00D9348B">
        <w:rPr>
          <w:vertAlign w:val="subscript"/>
        </w:rPr>
        <w:t>2</w:t>
      </w:r>
      <w:r w:rsidRPr="00D9348B">
        <w:t>-e per year. For the 2016 submission, New Zealand submitted a technical correction of –17.25 Mt CO</w:t>
      </w:r>
      <w:r w:rsidRPr="00D9348B">
        <w:rPr>
          <w:vertAlign w:val="subscript"/>
        </w:rPr>
        <w:t>2</w:t>
      </w:r>
      <w:r w:rsidRPr="00D9348B">
        <w:t>-e, correcting the FMRL to –6.10 Mt CO</w:t>
      </w:r>
      <w:r w:rsidRPr="00D9348B">
        <w:rPr>
          <w:vertAlign w:val="subscript"/>
        </w:rPr>
        <w:t>2</w:t>
      </w:r>
      <w:r w:rsidRPr="00D9348B">
        <w:t xml:space="preserve">-e per year, to achieve consistency with the methods used for reporting of </w:t>
      </w:r>
      <w:r w:rsidRPr="00D9348B">
        <w:rPr>
          <w:i/>
        </w:rPr>
        <w:t>Forest management</w:t>
      </w:r>
      <w:r w:rsidRPr="00D9348B">
        <w:t xml:space="preserve">, including incorporating changes to </w:t>
      </w:r>
      <w:r w:rsidRPr="00D9348B">
        <w:rPr>
          <w:i/>
        </w:rPr>
        <w:t>Harvested wood products</w:t>
      </w:r>
      <w:r w:rsidRPr="00D9348B">
        <w:t>. In the 2019 submission, New Zealand submitted another technical correction, of –3.33 Mt CO</w:t>
      </w:r>
      <w:r w:rsidRPr="00D9348B">
        <w:rPr>
          <w:vertAlign w:val="subscript"/>
        </w:rPr>
        <w:t>2</w:t>
      </w:r>
      <w:r w:rsidRPr="00D9348B">
        <w:t>-e, which when added to the 2016 technical correction now equals –20.57 Mt CO</w:t>
      </w:r>
      <w:r w:rsidRPr="00D9348B">
        <w:rPr>
          <w:vertAlign w:val="subscript"/>
        </w:rPr>
        <w:t>2</w:t>
      </w:r>
      <w:r w:rsidRPr="00D9348B">
        <w:t>-e (rounded to two decimal places). New Zealand’s technically corrected FMRL is now –9.42 Mt CO</w:t>
      </w:r>
      <w:r w:rsidRPr="00D9348B">
        <w:rPr>
          <w:vertAlign w:val="subscript"/>
        </w:rPr>
        <w:t>2</w:t>
      </w:r>
      <w:r w:rsidRPr="00D9348B">
        <w:t xml:space="preserve">-e per year. </w:t>
      </w:r>
    </w:p>
    <w:p w14:paraId="792AF73D" w14:textId="77777777" w:rsidR="00627CA1" w:rsidRPr="00D9348B" w:rsidRDefault="00627CA1" w:rsidP="00627CA1">
      <w:pPr>
        <w:pStyle w:val="Heading5"/>
      </w:pPr>
      <w:r w:rsidRPr="00D9348B">
        <w:t>Carbon equivalent forests</w:t>
      </w:r>
    </w:p>
    <w:p w14:paraId="005BDBFF" w14:textId="77777777" w:rsidR="00627CA1" w:rsidRPr="00D9348B" w:rsidRDefault="00627CA1" w:rsidP="00627CA1">
      <w:pPr>
        <w:pStyle w:val="BodyText"/>
      </w:pPr>
      <w:r w:rsidRPr="00D9348B">
        <w:t xml:space="preserve">The carbon equivalent forest provision allows pre-1990 planted forests that meet the conditions specified in Decision 2/CMP.7, paragraph 37 (UNFCCC, 2012), to be harvested and converted to another land use without being classified as deforested, provided a new forest that will reach carbon equivalence is established elsewhere. New Zealand’s carbon equivalent forests, between the 2013 and 2018 period, are summarised in table 11.3.5. </w:t>
      </w:r>
    </w:p>
    <w:p w14:paraId="5F136A6D" w14:textId="77777777" w:rsidR="00627CA1" w:rsidRPr="00D9348B" w:rsidRDefault="00627CA1" w:rsidP="00627CA1">
      <w:pPr>
        <w:pStyle w:val="Table"/>
      </w:pPr>
      <w:bookmarkStart w:id="3276" w:name="_Toc522010660"/>
      <w:bookmarkStart w:id="3277" w:name="_Toc5269631"/>
      <w:bookmarkStart w:id="3278" w:name="_Toc36224714"/>
      <w:r w:rsidRPr="00D9348B">
        <w:t>Table 11.3.5</w:t>
      </w:r>
      <w:r w:rsidRPr="00D9348B">
        <w:tab/>
        <w:t>Carbon equivalent forests (2013–18)</w:t>
      </w:r>
      <w:bookmarkEnd w:id="3276"/>
      <w:bookmarkEnd w:id="3277"/>
      <w:bookmarkEnd w:id="3278"/>
    </w:p>
    <w:tbl>
      <w:tblPr>
        <w:tblW w:w="8505" w:type="dxa"/>
        <w:tblInd w:w="108" w:type="dxa"/>
        <w:tblLook w:val="04A0" w:firstRow="1" w:lastRow="0" w:firstColumn="1" w:lastColumn="0" w:noHBand="0" w:noVBand="1"/>
      </w:tblPr>
      <w:tblGrid>
        <w:gridCol w:w="2177"/>
        <w:gridCol w:w="1057"/>
        <w:gridCol w:w="1043"/>
        <w:gridCol w:w="1057"/>
        <w:gridCol w:w="1057"/>
        <w:gridCol w:w="1057"/>
        <w:gridCol w:w="1057"/>
      </w:tblGrid>
      <w:tr w:rsidR="00627CA1" w:rsidRPr="00D9348B" w14:paraId="6DFF94F1" w14:textId="77777777" w:rsidTr="0026227A">
        <w:tc>
          <w:tcPr>
            <w:tcW w:w="1985" w:type="dxa"/>
            <w:tcBorders>
              <w:top w:val="single" w:sz="8" w:space="0" w:color="365F91"/>
              <w:left w:val="nil"/>
              <w:bottom w:val="single" w:sz="8" w:space="0" w:color="365F91"/>
              <w:right w:val="nil"/>
            </w:tcBorders>
            <w:shd w:val="clear" w:color="000000" w:fill="365F91"/>
            <w:vAlign w:val="center"/>
            <w:hideMark/>
          </w:tcPr>
          <w:p w14:paraId="06E6B88F" w14:textId="77777777" w:rsidR="00627CA1" w:rsidRPr="00D9348B" w:rsidRDefault="00627CA1" w:rsidP="00DB330E">
            <w:pPr>
              <w:pStyle w:val="TableTextBold"/>
              <w:keepNext/>
              <w:spacing w:before="40" w:after="40"/>
              <w:rPr>
                <w:noProof w:val="0"/>
                <w:color w:val="FFFFFF"/>
                <w:szCs w:val="16"/>
              </w:rPr>
            </w:pPr>
            <w:r w:rsidRPr="00D9348B">
              <w:rPr>
                <w:noProof w:val="0"/>
                <w:color w:val="FFFFFF"/>
                <w:szCs w:val="16"/>
              </w:rPr>
              <w:t> </w:t>
            </w:r>
          </w:p>
        </w:tc>
        <w:tc>
          <w:tcPr>
            <w:tcW w:w="964" w:type="dxa"/>
            <w:tcBorders>
              <w:top w:val="single" w:sz="8" w:space="0" w:color="365F91"/>
              <w:left w:val="nil"/>
              <w:bottom w:val="single" w:sz="8" w:space="0" w:color="365F91"/>
              <w:right w:val="nil"/>
            </w:tcBorders>
            <w:shd w:val="clear" w:color="000000" w:fill="365F91"/>
            <w:vAlign w:val="center"/>
            <w:hideMark/>
          </w:tcPr>
          <w:p w14:paraId="5C430975" w14:textId="77777777" w:rsidR="00627CA1" w:rsidRPr="00D9348B" w:rsidRDefault="00627CA1" w:rsidP="00DB330E">
            <w:pPr>
              <w:pStyle w:val="TableTextBold"/>
              <w:keepNext/>
              <w:spacing w:before="40" w:after="40"/>
              <w:jc w:val="center"/>
              <w:rPr>
                <w:noProof w:val="0"/>
                <w:color w:val="FFFFFF"/>
                <w:szCs w:val="16"/>
              </w:rPr>
            </w:pPr>
            <w:r w:rsidRPr="00D9348B">
              <w:rPr>
                <w:noProof w:val="0"/>
                <w:color w:val="FFFFFF"/>
                <w:szCs w:val="16"/>
              </w:rPr>
              <w:t>2013</w:t>
            </w:r>
          </w:p>
        </w:tc>
        <w:tc>
          <w:tcPr>
            <w:tcW w:w="951" w:type="dxa"/>
            <w:tcBorders>
              <w:top w:val="single" w:sz="8" w:space="0" w:color="365F91"/>
              <w:left w:val="nil"/>
              <w:bottom w:val="single" w:sz="8" w:space="0" w:color="365F91"/>
              <w:right w:val="nil"/>
            </w:tcBorders>
            <w:shd w:val="clear" w:color="000000" w:fill="365F91"/>
            <w:vAlign w:val="center"/>
            <w:hideMark/>
          </w:tcPr>
          <w:p w14:paraId="12CEC099" w14:textId="77777777" w:rsidR="00627CA1" w:rsidRPr="00D9348B" w:rsidRDefault="00627CA1" w:rsidP="00DB330E">
            <w:pPr>
              <w:pStyle w:val="TableTextBold"/>
              <w:keepNext/>
              <w:spacing w:before="40" w:after="40"/>
              <w:jc w:val="right"/>
              <w:rPr>
                <w:noProof w:val="0"/>
                <w:color w:val="FFFFFF"/>
                <w:szCs w:val="16"/>
              </w:rPr>
            </w:pPr>
            <w:r w:rsidRPr="00D9348B">
              <w:rPr>
                <w:noProof w:val="0"/>
                <w:color w:val="FFFFFF"/>
                <w:szCs w:val="16"/>
              </w:rPr>
              <w:t>2014</w:t>
            </w:r>
          </w:p>
        </w:tc>
        <w:tc>
          <w:tcPr>
            <w:tcW w:w="964" w:type="dxa"/>
            <w:tcBorders>
              <w:top w:val="single" w:sz="8" w:space="0" w:color="365F91"/>
              <w:left w:val="nil"/>
              <w:bottom w:val="single" w:sz="8" w:space="0" w:color="365F91"/>
              <w:right w:val="nil"/>
            </w:tcBorders>
            <w:shd w:val="clear" w:color="000000" w:fill="365F91"/>
            <w:vAlign w:val="center"/>
            <w:hideMark/>
          </w:tcPr>
          <w:p w14:paraId="20BF610F" w14:textId="77777777" w:rsidR="00627CA1" w:rsidRPr="00D9348B" w:rsidRDefault="00627CA1" w:rsidP="00DB330E">
            <w:pPr>
              <w:pStyle w:val="TableTextBold"/>
              <w:keepNext/>
              <w:spacing w:before="40" w:after="40"/>
              <w:jc w:val="right"/>
              <w:rPr>
                <w:noProof w:val="0"/>
                <w:color w:val="FFFFFF"/>
                <w:szCs w:val="16"/>
              </w:rPr>
            </w:pPr>
            <w:r w:rsidRPr="00D9348B">
              <w:rPr>
                <w:noProof w:val="0"/>
                <w:color w:val="FFFFFF"/>
                <w:szCs w:val="16"/>
              </w:rPr>
              <w:t>2015</w:t>
            </w:r>
          </w:p>
        </w:tc>
        <w:tc>
          <w:tcPr>
            <w:tcW w:w="964" w:type="dxa"/>
            <w:tcBorders>
              <w:top w:val="single" w:sz="8" w:space="0" w:color="365F91"/>
              <w:left w:val="nil"/>
              <w:bottom w:val="single" w:sz="8" w:space="0" w:color="365F91"/>
              <w:right w:val="nil"/>
            </w:tcBorders>
            <w:shd w:val="clear" w:color="000000" w:fill="365F91"/>
            <w:vAlign w:val="center"/>
            <w:hideMark/>
          </w:tcPr>
          <w:p w14:paraId="68FB4E1E" w14:textId="77777777" w:rsidR="00627CA1" w:rsidRPr="00D9348B" w:rsidRDefault="00627CA1" w:rsidP="00DB330E">
            <w:pPr>
              <w:pStyle w:val="TableTextBold"/>
              <w:keepNext/>
              <w:spacing w:before="40" w:after="40"/>
              <w:jc w:val="right"/>
              <w:rPr>
                <w:noProof w:val="0"/>
                <w:color w:val="FFFFFF"/>
                <w:szCs w:val="16"/>
              </w:rPr>
            </w:pPr>
            <w:r w:rsidRPr="00D9348B">
              <w:rPr>
                <w:noProof w:val="0"/>
                <w:color w:val="FFFFFF"/>
                <w:szCs w:val="16"/>
              </w:rPr>
              <w:t>2016</w:t>
            </w:r>
          </w:p>
        </w:tc>
        <w:tc>
          <w:tcPr>
            <w:tcW w:w="964" w:type="dxa"/>
            <w:tcBorders>
              <w:top w:val="single" w:sz="8" w:space="0" w:color="365F91"/>
              <w:left w:val="single" w:sz="8" w:space="0" w:color="365F91"/>
              <w:bottom w:val="single" w:sz="8" w:space="0" w:color="365F91"/>
            </w:tcBorders>
            <w:shd w:val="clear" w:color="000000" w:fill="365F91"/>
          </w:tcPr>
          <w:p w14:paraId="0BF0D4A8" w14:textId="77777777" w:rsidR="00627CA1" w:rsidRPr="00D9348B" w:rsidRDefault="00627CA1" w:rsidP="00DB330E">
            <w:pPr>
              <w:pStyle w:val="TableTextBold"/>
              <w:keepNext/>
              <w:spacing w:before="40" w:after="40"/>
              <w:jc w:val="right"/>
              <w:rPr>
                <w:noProof w:val="0"/>
                <w:color w:val="FFFFFF"/>
                <w:szCs w:val="16"/>
              </w:rPr>
            </w:pPr>
            <w:r w:rsidRPr="00D9348B">
              <w:rPr>
                <w:noProof w:val="0"/>
                <w:color w:val="FFFFFF"/>
                <w:szCs w:val="16"/>
              </w:rPr>
              <w:t>2017</w:t>
            </w:r>
          </w:p>
        </w:tc>
        <w:tc>
          <w:tcPr>
            <w:tcW w:w="964" w:type="dxa"/>
            <w:tcBorders>
              <w:top w:val="single" w:sz="8" w:space="0" w:color="365F91"/>
              <w:left w:val="single" w:sz="8" w:space="0" w:color="365F91"/>
              <w:bottom w:val="single" w:sz="8" w:space="0" w:color="365F91"/>
            </w:tcBorders>
            <w:shd w:val="clear" w:color="000000" w:fill="365F91"/>
          </w:tcPr>
          <w:p w14:paraId="311AD8E5" w14:textId="77777777" w:rsidR="00627CA1" w:rsidRPr="00D9348B" w:rsidRDefault="00627CA1" w:rsidP="00DB330E">
            <w:pPr>
              <w:pStyle w:val="TableTextBold"/>
              <w:keepNext/>
              <w:spacing w:before="40" w:after="40"/>
              <w:jc w:val="right"/>
              <w:rPr>
                <w:noProof w:val="0"/>
                <w:color w:val="FFFFFF"/>
                <w:szCs w:val="16"/>
              </w:rPr>
            </w:pPr>
            <w:r w:rsidRPr="00D9348B">
              <w:rPr>
                <w:noProof w:val="0"/>
                <w:color w:val="FFFFFF"/>
                <w:szCs w:val="16"/>
              </w:rPr>
              <w:t>2018</w:t>
            </w:r>
          </w:p>
        </w:tc>
      </w:tr>
      <w:tr w:rsidR="00627CA1" w:rsidRPr="00D9348B" w14:paraId="697EEC1E" w14:textId="77777777" w:rsidTr="0026227A">
        <w:tc>
          <w:tcPr>
            <w:tcW w:w="1985" w:type="dxa"/>
            <w:tcBorders>
              <w:top w:val="single" w:sz="8" w:space="0" w:color="365F91"/>
              <w:left w:val="nil"/>
              <w:bottom w:val="nil"/>
              <w:right w:val="nil"/>
            </w:tcBorders>
            <w:shd w:val="clear" w:color="auto" w:fill="auto"/>
            <w:vAlign w:val="center"/>
            <w:hideMark/>
          </w:tcPr>
          <w:p w14:paraId="0101D3E5" w14:textId="77777777" w:rsidR="00627CA1" w:rsidRPr="00D9348B" w:rsidRDefault="00627CA1" w:rsidP="00DB330E">
            <w:pPr>
              <w:pStyle w:val="TableText"/>
              <w:keepNext/>
              <w:spacing w:before="40" w:after="40"/>
              <w:rPr>
                <w:szCs w:val="16"/>
              </w:rPr>
            </w:pPr>
            <w:r w:rsidRPr="00D9348B">
              <w:rPr>
                <w:szCs w:val="16"/>
              </w:rPr>
              <w:t>CEF</w:t>
            </w:r>
            <w:r w:rsidRPr="00D9348B">
              <w:rPr>
                <w:szCs w:val="16"/>
                <w:vertAlign w:val="subscript"/>
              </w:rPr>
              <w:t>NE</w:t>
            </w:r>
            <w:r w:rsidRPr="00D9348B">
              <w:rPr>
                <w:szCs w:val="16"/>
              </w:rPr>
              <w:t xml:space="preserve"> area (ha)</w:t>
            </w:r>
          </w:p>
        </w:tc>
        <w:tc>
          <w:tcPr>
            <w:tcW w:w="964" w:type="dxa"/>
            <w:tcBorders>
              <w:top w:val="single" w:sz="8" w:space="0" w:color="365F91"/>
              <w:left w:val="nil"/>
              <w:bottom w:val="nil"/>
              <w:right w:val="nil"/>
            </w:tcBorders>
            <w:shd w:val="clear" w:color="auto" w:fill="auto"/>
            <w:vAlign w:val="center"/>
            <w:hideMark/>
          </w:tcPr>
          <w:p w14:paraId="3E2AB2DC" w14:textId="77777777" w:rsidR="00627CA1" w:rsidRPr="00D9348B" w:rsidRDefault="00627CA1" w:rsidP="00DB330E">
            <w:pPr>
              <w:pStyle w:val="TableText"/>
              <w:keepNext/>
              <w:spacing w:before="40" w:after="40"/>
              <w:jc w:val="center"/>
              <w:rPr>
                <w:szCs w:val="16"/>
              </w:rPr>
            </w:pPr>
            <w:r w:rsidRPr="00D9348B">
              <w:rPr>
                <w:szCs w:val="16"/>
              </w:rPr>
              <w:t>NIL</w:t>
            </w:r>
          </w:p>
        </w:tc>
        <w:tc>
          <w:tcPr>
            <w:tcW w:w="951" w:type="dxa"/>
            <w:tcBorders>
              <w:top w:val="single" w:sz="8" w:space="0" w:color="365F91"/>
              <w:left w:val="nil"/>
              <w:bottom w:val="nil"/>
              <w:right w:val="nil"/>
            </w:tcBorders>
            <w:shd w:val="clear" w:color="auto" w:fill="auto"/>
            <w:hideMark/>
          </w:tcPr>
          <w:p w14:paraId="071C8462" w14:textId="77777777" w:rsidR="00627CA1" w:rsidRPr="00D9348B" w:rsidRDefault="00627CA1" w:rsidP="00DB330E">
            <w:pPr>
              <w:pStyle w:val="TableText"/>
              <w:keepNext/>
              <w:spacing w:before="40" w:after="40"/>
              <w:jc w:val="right"/>
              <w:rPr>
                <w:szCs w:val="16"/>
              </w:rPr>
            </w:pPr>
            <w:r w:rsidRPr="00D9348B">
              <w:rPr>
                <w:szCs w:val="16"/>
              </w:rPr>
              <w:t>–</w:t>
            </w:r>
          </w:p>
        </w:tc>
        <w:tc>
          <w:tcPr>
            <w:tcW w:w="964" w:type="dxa"/>
            <w:tcBorders>
              <w:top w:val="single" w:sz="8" w:space="0" w:color="365F91"/>
              <w:left w:val="nil"/>
              <w:bottom w:val="nil"/>
              <w:right w:val="nil"/>
            </w:tcBorders>
            <w:shd w:val="clear" w:color="auto" w:fill="auto"/>
            <w:hideMark/>
          </w:tcPr>
          <w:p w14:paraId="6C0F561A" w14:textId="77777777" w:rsidR="00627CA1" w:rsidRPr="00D9348B" w:rsidRDefault="00627CA1" w:rsidP="00DB330E">
            <w:pPr>
              <w:pStyle w:val="TableText"/>
              <w:keepNext/>
              <w:spacing w:before="40" w:after="40"/>
              <w:jc w:val="right"/>
              <w:rPr>
                <w:szCs w:val="16"/>
              </w:rPr>
            </w:pPr>
            <w:r w:rsidRPr="00D9348B">
              <w:rPr>
                <w:szCs w:val="16"/>
              </w:rPr>
              <w:t>–</w:t>
            </w:r>
          </w:p>
        </w:tc>
        <w:tc>
          <w:tcPr>
            <w:tcW w:w="964" w:type="dxa"/>
            <w:tcBorders>
              <w:top w:val="single" w:sz="8" w:space="0" w:color="365F91"/>
              <w:left w:val="nil"/>
              <w:bottom w:val="nil"/>
            </w:tcBorders>
            <w:shd w:val="clear" w:color="auto" w:fill="auto"/>
            <w:hideMark/>
          </w:tcPr>
          <w:p w14:paraId="23670D9F" w14:textId="77777777" w:rsidR="00627CA1" w:rsidRPr="00D9348B" w:rsidRDefault="00627CA1" w:rsidP="00DB330E">
            <w:pPr>
              <w:pStyle w:val="TableText"/>
              <w:keepNext/>
              <w:spacing w:before="40" w:after="40"/>
              <w:jc w:val="right"/>
              <w:rPr>
                <w:szCs w:val="16"/>
              </w:rPr>
            </w:pPr>
            <w:r w:rsidRPr="00D9348B">
              <w:rPr>
                <w:szCs w:val="16"/>
              </w:rPr>
              <w:t xml:space="preserve"> 612.34 </w:t>
            </w:r>
          </w:p>
        </w:tc>
        <w:tc>
          <w:tcPr>
            <w:tcW w:w="964" w:type="dxa"/>
            <w:tcBorders>
              <w:top w:val="single" w:sz="8" w:space="0" w:color="365F91"/>
              <w:left w:val="nil"/>
              <w:bottom w:val="nil"/>
            </w:tcBorders>
          </w:tcPr>
          <w:p w14:paraId="43824F13" w14:textId="77777777" w:rsidR="00627CA1" w:rsidRPr="00D9348B" w:rsidRDefault="00627CA1" w:rsidP="00DB330E">
            <w:pPr>
              <w:pStyle w:val="TableText"/>
              <w:keepNext/>
              <w:spacing w:before="40" w:after="40"/>
              <w:jc w:val="right"/>
              <w:rPr>
                <w:szCs w:val="16"/>
              </w:rPr>
            </w:pPr>
            <w:r w:rsidRPr="00D9348B">
              <w:rPr>
                <w:szCs w:val="16"/>
              </w:rPr>
              <w:t xml:space="preserve"> 1,685.68 </w:t>
            </w:r>
          </w:p>
        </w:tc>
        <w:tc>
          <w:tcPr>
            <w:tcW w:w="964" w:type="dxa"/>
            <w:tcBorders>
              <w:top w:val="single" w:sz="8" w:space="0" w:color="365F91"/>
              <w:left w:val="nil"/>
              <w:bottom w:val="nil"/>
            </w:tcBorders>
          </w:tcPr>
          <w:p w14:paraId="79205C39" w14:textId="77777777" w:rsidR="00627CA1" w:rsidRPr="00D9348B" w:rsidRDefault="00627CA1" w:rsidP="00DB330E">
            <w:pPr>
              <w:pStyle w:val="TableText"/>
              <w:keepNext/>
              <w:spacing w:before="40" w:after="40"/>
              <w:jc w:val="right"/>
              <w:rPr>
                <w:szCs w:val="16"/>
              </w:rPr>
            </w:pPr>
            <w:r w:rsidRPr="00D9348B">
              <w:rPr>
                <w:szCs w:val="16"/>
              </w:rPr>
              <w:t xml:space="preserve"> 1,795.02 </w:t>
            </w:r>
          </w:p>
        </w:tc>
      </w:tr>
      <w:tr w:rsidR="00627CA1" w:rsidRPr="00D9348B" w14:paraId="0C080F00" w14:textId="77777777" w:rsidTr="0026227A">
        <w:tc>
          <w:tcPr>
            <w:tcW w:w="1985" w:type="dxa"/>
            <w:tcBorders>
              <w:top w:val="nil"/>
              <w:left w:val="nil"/>
              <w:bottom w:val="single" w:sz="8" w:space="0" w:color="365F91"/>
              <w:right w:val="nil"/>
            </w:tcBorders>
            <w:shd w:val="clear" w:color="auto" w:fill="auto"/>
            <w:vAlign w:val="center"/>
            <w:hideMark/>
          </w:tcPr>
          <w:p w14:paraId="45352D04" w14:textId="77777777" w:rsidR="00627CA1" w:rsidRPr="00D9348B" w:rsidRDefault="00627CA1" w:rsidP="00DB330E">
            <w:pPr>
              <w:pStyle w:val="TableText"/>
              <w:keepNext/>
              <w:spacing w:before="40" w:after="40"/>
              <w:rPr>
                <w:szCs w:val="16"/>
              </w:rPr>
            </w:pPr>
            <w:r w:rsidRPr="00D9348B">
              <w:rPr>
                <w:szCs w:val="16"/>
              </w:rPr>
              <w:t>Net emissions (t CO</w:t>
            </w:r>
            <w:r w:rsidRPr="00D9348B">
              <w:rPr>
                <w:szCs w:val="16"/>
                <w:vertAlign w:val="subscript"/>
              </w:rPr>
              <w:t>2</w:t>
            </w:r>
            <w:r w:rsidRPr="00D9348B">
              <w:rPr>
                <w:szCs w:val="16"/>
              </w:rPr>
              <w:t>)</w:t>
            </w:r>
          </w:p>
        </w:tc>
        <w:tc>
          <w:tcPr>
            <w:tcW w:w="964" w:type="dxa"/>
            <w:tcBorders>
              <w:top w:val="nil"/>
              <w:left w:val="nil"/>
              <w:bottom w:val="single" w:sz="8" w:space="0" w:color="365F91"/>
              <w:right w:val="nil"/>
            </w:tcBorders>
            <w:shd w:val="clear" w:color="auto" w:fill="auto"/>
            <w:vAlign w:val="center"/>
            <w:hideMark/>
          </w:tcPr>
          <w:p w14:paraId="240CBE6F" w14:textId="77777777" w:rsidR="00627CA1" w:rsidRPr="00D9348B" w:rsidRDefault="00627CA1" w:rsidP="00DB330E">
            <w:pPr>
              <w:pStyle w:val="TableText"/>
              <w:keepNext/>
              <w:spacing w:before="40" w:after="40"/>
              <w:jc w:val="center"/>
              <w:rPr>
                <w:szCs w:val="16"/>
              </w:rPr>
            </w:pPr>
            <w:r w:rsidRPr="00D9348B">
              <w:rPr>
                <w:szCs w:val="16"/>
              </w:rPr>
              <w:t>NA</w:t>
            </w:r>
          </w:p>
        </w:tc>
        <w:tc>
          <w:tcPr>
            <w:tcW w:w="951" w:type="dxa"/>
            <w:tcBorders>
              <w:top w:val="nil"/>
              <w:left w:val="nil"/>
              <w:bottom w:val="single" w:sz="8" w:space="0" w:color="365F91"/>
              <w:right w:val="nil"/>
            </w:tcBorders>
            <w:shd w:val="clear" w:color="auto" w:fill="auto"/>
            <w:hideMark/>
          </w:tcPr>
          <w:p w14:paraId="17F262D9" w14:textId="77777777" w:rsidR="00627CA1" w:rsidRPr="00D9348B" w:rsidRDefault="00627CA1" w:rsidP="00DB330E">
            <w:pPr>
              <w:pStyle w:val="TableText"/>
              <w:keepNext/>
              <w:spacing w:before="40" w:after="40"/>
              <w:jc w:val="right"/>
              <w:rPr>
                <w:szCs w:val="16"/>
              </w:rPr>
            </w:pPr>
            <w:r w:rsidRPr="00D9348B">
              <w:rPr>
                <w:szCs w:val="16"/>
              </w:rPr>
              <w:t xml:space="preserve"> –</w:t>
            </w:r>
          </w:p>
        </w:tc>
        <w:tc>
          <w:tcPr>
            <w:tcW w:w="964" w:type="dxa"/>
            <w:tcBorders>
              <w:top w:val="nil"/>
              <w:left w:val="nil"/>
              <w:bottom w:val="single" w:sz="8" w:space="0" w:color="365F91"/>
              <w:right w:val="nil"/>
            </w:tcBorders>
            <w:shd w:val="clear" w:color="auto" w:fill="auto"/>
            <w:hideMark/>
          </w:tcPr>
          <w:p w14:paraId="48C6CCFD" w14:textId="77777777" w:rsidR="00627CA1" w:rsidRPr="00D9348B" w:rsidRDefault="00627CA1" w:rsidP="00DB330E">
            <w:pPr>
              <w:pStyle w:val="TableText"/>
              <w:keepNext/>
              <w:spacing w:before="40" w:after="40"/>
              <w:jc w:val="right"/>
              <w:rPr>
                <w:szCs w:val="16"/>
              </w:rPr>
            </w:pPr>
            <w:r w:rsidRPr="00D9348B">
              <w:rPr>
                <w:szCs w:val="16"/>
              </w:rPr>
              <w:t xml:space="preserve"> –</w:t>
            </w:r>
          </w:p>
        </w:tc>
        <w:tc>
          <w:tcPr>
            <w:tcW w:w="964" w:type="dxa"/>
            <w:tcBorders>
              <w:top w:val="nil"/>
              <w:left w:val="nil"/>
              <w:bottom w:val="single" w:sz="8" w:space="0" w:color="365F91"/>
            </w:tcBorders>
            <w:shd w:val="clear" w:color="auto" w:fill="auto"/>
            <w:hideMark/>
          </w:tcPr>
          <w:p w14:paraId="0DB2DB8E" w14:textId="77777777" w:rsidR="00627CA1" w:rsidRPr="00D9348B" w:rsidRDefault="00627CA1" w:rsidP="00DB330E">
            <w:pPr>
              <w:pStyle w:val="TableText"/>
              <w:keepNext/>
              <w:spacing w:before="40" w:after="40"/>
              <w:jc w:val="right"/>
              <w:rPr>
                <w:szCs w:val="16"/>
              </w:rPr>
            </w:pPr>
            <w:r w:rsidRPr="00D9348B">
              <w:rPr>
                <w:szCs w:val="16"/>
              </w:rPr>
              <w:t xml:space="preserve">–5.77 </w:t>
            </w:r>
          </w:p>
        </w:tc>
        <w:tc>
          <w:tcPr>
            <w:tcW w:w="964" w:type="dxa"/>
            <w:tcBorders>
              <w:top w:val="nil"/>
              <w:left w:val="nil"/>
              <w:bottom w:val="single" w:sz="8" w:space="0" w:color="365F91"/>
            </w:tcBorders>
          </w:tcPr>
          <w:p w14:paraId="219DA1AB" w14:textId="77777777" w:rsidR="00627CA1" w:rsidRPr="00D9348B" w:rsidRDefault="00627CA1" w:rsidP="00DB330E">
            <w:pPr>
              <w:pStyle w:val="TableText"/>
              <w:keepNext/>
              <w:spacing w:before="40" w:after="40"/>
              <w:jc w:val="right"/>
              <w:rPr>
                <w:szCs w:val="16"/>
              </w:rPr>
            </w:pPr>
            <w:r w:rsidRPr="00D9348B">
              <w:rPr>
                <w:szCs w:val="16"/>
              </w:rPr>
              <w:t xml:space="preserve"> 9.60 </w:t>
            </w:r>
          </w:p>
        </w:tc>
        <w:tc>
          <w:tcPr>
            <w:tcW w:w="964" w:type="dxa"/>
            <w:tcBorders>
              <w:top w:val="nil"/>
              <w:left w:val="nil"/>
              <w:bottom w:val="single" w:sz="8" w:space="0" w:color="365F91"/>
            </w:tcBorders>
          </w:tcPr>
          <w:p w14:paraId="374FD0BF" w14:textId="77777777" w:rsidR="00627CA1" w:rsidRPr="00D9348B" w:rsidRDefault="00627CA1" w:rsidP="00DB330E">
            <w:pPr>
              <w:pStyle w:val="TableText"/>
              <w:keepNext/>
              <w:spacing w:before="40" w:after="40"/>
              <w:jc w:val="right"/>
              <w:rPr>
                <w:szCs w:val="16"/>
              </w:rPr>
            </w:pPr>
            <w:r w:rsidRPr="00D9348B">
              <w:rPr>
                <w:szCs w:val="16"/>
              </w:rPr>
              <w:t xml:space="preserve">–9.85 </w:t>
            </w:r>
          </w:p>
        </w:tc>
      </w:tr>
      <w:tr w:rsidR="00627CA1" w:rsidRPr="00D9348B" w14:paraId="55FCA055" w14:textId="77777777" w:rsidTr="0026227A">
        <w:tc>
          <w:tcPr>
            <w:tcW w:w="1985" w:type="dxa"/>
            <w:tcBorders>
              <w:top w:val="nil"/>
              <w:left w:val="nil"/>
              <w:bottom w:val="nil"/>
              <w:right w:val="nil"/>
            </w:tcBorders>
            <w:shd w:val="clear" w:color="auto" w:fill="auto"/>
            <w:vAlign w:val="center"/>
            <w:hideMark/>
          </w:tcPr>
          <w:p w14:paraId="2C341DC9" w14:textId="77777777" w:rsidR="00627CA1" w:rsidRPr="00D9348B" w:rsidRDefault="00627CA1" w:rsidP="00DB330E">
            <w:pPr>
              <w:pStyle w:val="TableText"/>
              <w:spacing w:before="40" w:after="40"/>
              <w:rPr>
                <w:szCs w:val="16"/>
              </w:rPr>
            </w:pPr>
            <w:r w:rsidRPr="00D9348B">
              <w:rPr>
                <w:szCs w:val="16"/>
              </w:rPr>
              <w:t>CEF</w:t>
            </w:r>
            <w:r w:rsidRPr="00D9348B">
              <w:rPr>
                <w:szCs w:val="16"/>
                <w:vertAlign w:val="subscript"/>
              </w:rPr>
              <w:t xml:space="preserve">HC </w:t>
            </w:r>
            <w:r w:rsidRPr="00D9348B">
              <w:rPr>
                <w:szCs w:val="16"/>
              </w:rPr>
              <w:t>area (ha)</w:t>
            </w:r>
          </w:p>
        </w:tc>
        <w:tc>
          <w:tcPr>
            <w:tcW w:w="964" w:type="dxa"/>
            <w:tcBorders>
              <w:top w:val="nil"/>
              <w:left w:val="nil"/>
              <w:bottom w:val="nil"/>
              <w:right w:val="nil"/>
            </w:tcBorders>
            <w:shd w:val="clear" w:color="auto" w:fill="auto"/>
            <w:vAlign w:val="center"/>
            <w:hideMark/>
          </w:tcPr>
          <w:p w14:paraId="666776FE" w14:textId="77777777" w:rsidR="00627CA1" w:rsidRPr="00D9348B" w:rsidRDefault="00627CA1" w:rsidP="00DB330E">
            <w:pPr>
              <w:pStyle w:val="TableText"/>
              <w:spacing w:before="40" w:after="40"/>
              <w:jc w:val="center"/>
              <w:rPr>
                <w:szCs w:val="16"/>
              </w:rPr>
            </w:pPr>
            <w:r w:rsidRPr="00D9348B">
              <w:rPr>
                <w:szCs w:val="16"/>
              </w:rPr>
              <w:t>NIL</w:t>
            </w:r>
          </w:p>
        </w:tc>
        <w:tc>
          <w:tcPr>
            <w:tcW w:w="951" w:type="dxa"/>
            <w:tcBorders>
              <w:top w:val="nil"/>
              <w:left w:val="nil"/>
              <w:bottom w:val="nil"/>
              <w:right w:val="nil"/>
            </w:tcBorders>
            <w:shd w:val="clear" w:color="auto" w:fill="auto"/>
            <w:hideMark/>
          </w:tcPr>
          <w:p w14:paraId="2A4CD959" w14:textId="77777777" w:rsidR="00627CA1" w:rsidRPr="00D9348B" w:rsidRDefault="00627CA1" w:rsidP="00DB330E">
            <w:pPr>
              <w:pStyle w:val="TableText"/>
              <w:spacing w:before="40" w:after="40"/>
              <w:jc w:val="right"/>
              <w:rPr>
                <w:szCs w:val="16"/>
              </w:rPr>
            </w:pPr>
            <w:r w:rsidRPr="00D9348B">
              <w:rPr>
                <w:szCs w:val="16"/>
              </w:rPr>
              <w:t xml:space="preserve"> 52.02 </w:t>
            </w:r>
          </w:p>
        </w:tc>
        <w:tc>
          <w:tcPr>
            <w:tcW w:w="964" w:type="dxa"/>
            <w:tcBorders>
              <w:top w:val="nil"/>
              <w:left w:val="nil"/>
              <w:bottom w:val="nil"/>
              <w:right w:val="nil"/>
            </w:tcBorders>
            <w:shd w:val="clear" w:color="auto" w:fill="auto"/>
            <w:hideMark/>
          </w:tcPr>
          <w:p w14:paraId="613AF476" w14:textId="77777777" w:rsidR="00627CA1" w:rsidRPr="00D9348B" w:rsidRDefault="00627CA1" w:rsidP="00DB330E">
            <w:pPr>
              <w:pStyle w:val="TableText"/>
              <w:spacing w:before="40" w:after="40"/>
              <w:jc w:val="right"/>
              <w:rPr>
                <w:szCs w:val="16"/>
              </w:rPr>
            </w:pPr>
            <w:r w:rsidRPr="00D9348B">
              <w:rPr>
                <w:szCs w:val="16"/>
              </w:rPr>
              <w:t xml:space="preserve"> 543.40 </w:t>
            </w:r>
          </w:p>
        </w:tc>
        <w:tc>
          <w:tcPr>
            <w:tcW w:w="964" w:type="dxa"/>
            <w:tcBorders>
              <w:top w:val="nil"/>
              <w:left w:val="nil"/>
              <w:bottom w:val="nil"/>
            </w:tcBorders>
            <w:shd w:val="clear" w:color="auto" w:fill="auto"/>
            <w:hideMark/>
          </w:tcPr>
          <w:p w14:paraId="2DC1377F" w14:textId="77777777" w:rsidR="00627CA1" w:rsidRPr="00D9348B" w:rsidRDefault="00627CA1" w:rsidP="00DB330E">
            <w:pPr>
              <w:pStyle w:val="TableText"/>
              <w:keepNext/>
              <w:spacing w:before="40" w:after="40"/>
              <w:jc w:val="right"/>
              <w:rPr>
                <w:szCs w:val="16"/>
              </w:rPr>
            </w:pPr>
            <w:r w:rsidRPr="00D9348B">
              <w:rPr>
                <w:szCs w:val="16"/>
              </w:rPr>
              <w:t xml:space="preserve"> 1,463.21 </w:t>
            </w:r>
          </w:p>
        </w:tc>
        <w:tc>
          <w:tcPr>
            <w:tcW w:w="964" w:type="dxa"/>
            <w:tcBorders>
              <w:top w:val="nil"/>
              <w:left w:val="nil"/>
              <w:bottom w:val="nil"/>
            </w:tcBorders>
          </w:tcPr>
          <w:p w14:paraId="687ADACD" w14:textId="77777777" w:rsidR="00627CA1" w:rsidRPr="00D9348B" w:rsidRDefault="00627CA1" w:rsidP="00DB330E">
            <w:pPr>
              <w:pStyle w:val="TableText"/>
              <w:spacing w:before="40" w:after="40"/>
              <w:jc w:val="right"/>
              <w:rPr>
                <w:szCs w:val="16"/>
              </w:rPr>
            </w:pPr>
            <w:r w:rsidRPr="00D9348B">
              <w:rPr>
                <w:szCs w:val="16"/>
              </w:rPr>
              <w:t xml:space="preserve"> 1,041.72 </w:t>
            </w:r>
          </w:p>
        </w:tc>
        <w:tc>
          <w:tcPr>
            <w:tcW w:w="964" w:type="dxa"/>
            <w:tcBorders>
              <w:top w:val="nil"/>
              <w:left w:val="nil"/>
              <w:bottom w:val="nil"/>
            </w:tcBorders>
          </w:tcPr>
          <w:p w14:paraId="4C28D83E" w14:textId="77777777" w:rsidR="00627CA1" w:rsidRPr="00D9348B" w:rsidRDefault="00627CA1" w:rsidP="00DB330E">
            <w:pPr>
              <w:pStyle w:val="TableText"/>
              <w:spacing w:before="40" w:after="40"/>
              <w:jc w:val="right"/>
              <w:rPr>
                <w:szCs w:val="16"/>
              </w:rPr>
            </w:pPr>
            <w:r w:rsidRPr="00D9348B">
              <w:rPr>
                <w:szCs w:val="16"/>
              </w:rPr>
              <w:t xml:space="preserve"> 321.45 </w:t>
            </w:r>
          </w:p>
        </w:tc>
      </w:tr>
      <w:tr w:rsidR="00627CA1" w:rsidRPr="00D9348B" w14:paraId="50682632" w14:textId="77777777" w:rsidTr="0026227A">
        <w:tc>
          <w:tcPr>
            <w:tcW w:w="1985" w:type="dxa"/>
            <w:tcBorders>
              <w:top w:val="nil"/>
              <w:left w:val="nil"/>
              <w:bottom w:val="single" w:sz="4" w:space="0" w:color="365F91"/>
              <w:right w:val="nil"/>
            </w:tcBorders>
            <w:shd w:val="clear" w:color="auto" w:fill="auto"/>
            <w:vAlign w:val="center"/>
            <w:hideMark/>
          </w:tcPr>
          <w:p w14:paraId="579FC69A" w14:textId="77777777" w:rsidR="00627CA1" w:rsidRPr="00D9348B" w:rsidRDefault="00627CA1" w:rsidP="00DB330E">
            <w:pPr>
              <w:pStyle w:val="TableText"/>
              <w:spacing w:before="40" w:after="40"/>
              <w:rPr>
                <w:szCs w:val="16"/>
              </w:rPr>
            </w:pPr>
            <w:r w:rsidRPr="00D9348B">
              <w:rPr>
                <w:szCs w:val="16"/>
              </w:rPr>
              <w:t>Net emissions (t CO</w:t>
            </w:r>
            <w:r w:rsidRPr="00D9348B">
              <w:rPr>
                <w:szCs w:val="16"/>
                <w:vertAlign w:val="subscript"/>
              </w:rPr>
              <w:t>2</w:t>
            </w:r>
            <w:r w:rsidRPr="00D9348B">
              <w:rPr>
                <w:szCs w:val="16"/>
              </w:rPr>
              <w:t>)</w:t>
            </w:r>
          </w:p>
        </w:tc>
        <w:tc>
          <w:tcPr>
            <w:tcW w:w="964" w:type="dxa"/>
            <w:tcBorders>
              <w:top w:val="nil"/>
              <w:left w:val="nil"/>
              <w:bottom w:val="single" w:sz="4" w:space="0" w:color="365F91"/>
              <w:right w:val="nil"/>
            </w:tcBorders>
            <w:shd w:val="clear" w:color="auto" w:fill="auto"/>
            <w:vAlign w:val="center"/>
            <w:hideMark/>
          </w:tcPr>
          <w:p w14:paraId="2792E71A" w14:textId="77777777" w:rsidR="00627CA1" w:rsidRPr="00D9348B" w:rsidRDefault="00627CA1" w:rsidP="00DB330E">
            <w:pPr>
              <w:pStyle w:val="TableText"/>
              <w:spacing w:before="40" w:after="40"/>
              <w:jc w:val="center"/>
              <w:rPr>
                <w:szCs w:val="16"/>
              </w:rPr>
            </w:pPr>
            <w:r w:rsidRPr="00D9348B">
              <w:rPr>
                <w:szCs w:val="16"/>
              </w:rPr>
              <w:t>NA</w:t>
            </w:r>
          </w:p>
        </w:tc>
        <w:tc>
          <w:tcPr>
            <w:tcW w:w="951" w:type="dxa"/>
            <w:tcBorders>
              <w:top w:val="nil"/>
              <w:left w:val="nil"/>
              <w:bottom w:val="single" w:sz="4" w:space="0" w:color="365F91"/>
              <w:right w:val="nil"/>
            </w:tcBorders>
            <w:shd w:val="clear" w:color="auto" w:fill="auto"/>
            <w:hideMark/>
          </w:tcPr>
          <w:p w14:paraId="49B88C2A" w14:textId="77777777" w:rsidR="00627CA1" w:rsidRPr="00D9348B" w:rsidRDefault="00627CA1" w:rsidP="00DB330E">
            <w:pPr>
              <w:pStyle w:val="TableText"/>
              <w:spacing w:before="40" w:after="40"/>
              <w:jc w:val="right"/>
              <w:rPr>
                <w:szCs w:val="16"/>
              </w:rPr>
            </w:pPr>
            <w:r w:rsidRPr="00D9348B">
              <w:rPr>
                <w:szCs w:val="16"/>
              </w:rPr>
              <w:t xml:space="preserve"> 44.76 </w:t>
            </w:r>
          </w:p>
        </w:tc>
        <w:tc>
          <w:tcPr>
            <w:tcW w:w="964" w:type="dxa"/>
            <w:tcBorders>
              <w:top w:val="nil"/>
              <w:left w:val="nil"/>
              <w:bottom w:val="single" w:sz="4" w:space="0" w:color="365F91"/>
              <w:right w:val="nil"/>
            </w:tcBorders>
            <w:shd w:val="clear" w:color="auto" w:fill="auto"/>
            <w:hideMark/>
          </w:tcPr>
          <w:p w14:paraId="47E5F82E" w14:textId="77777777" w:rsidR="00627CA1" w:rsidRPr="00D9348B" w:rsidRDefault="00627CA1" w:rsidP="00DB330E">
            <w:pPr>
              <w:pStyle w:val="TableText"/>
              <w:spacing w:before="40" w:after="40"/>
              <w:jc w:val="right"/>
              <w:rPr>
                <w:szCs w:val="16"/>
              </w:rPr>
            </w:pPr>
            <w:r w:rsidRPr="00D9348B">
              <w:rPr>
                <w:szCs w:val="16"/>
              </w:rPr>
              <w:t xml:space="preserve"> 469.00 </w:t>
            </w:r>
          </w:p>
        </w:tc>
        <w:tc>
          <w:tcPr>
            <w:tcW w:w="964" w:type="dxa"/>
            <w:tcBorders>
              <w:top w:val="nil"/>
              <w:left w:val="nil"/>
              <w:bottom w:val="single" w:sz="4" w:space="0" w:color="365F91"/>
            </w:tcBorders>
            <w:shd w:val="clear" w:color="auto" w:fill="auto"/>
            <w:hideMark/>
          </w:tcPr>
          <w:p w14:paraId="5C6EDD24" w14:textId="77777777" w:rsidR="00627CA1" w:rsidRPr="00D9348B" w:rsidRDefault="00627CA1" w:rsidP="00DB330E">
            <w:pPr>
              <w:pStyle w:val="TableText"/>
              <w:keepNext/>
              <w:spacing w:before="40" w:after="40"/>
              <w:jc w:val="right"/>
              <w:rPr>
                <w:szCs w:val="16"/>
              </w:rPr>
            </w:pPr>
            <w:r w:rsidRPr="00D9348B">
              <w:rPr>
                <w:szCs w:val="16"/>
              </w:rPr>
              <w:t xml:space="preserve"> 1,260.66 </w:t>
            </w:r>
          </w:p>
        </w:tc>
        <w:tc>
          <w:tcPr>
            <w:tcW w:w="964" w:type="dxa"/>
            <w:tcBorders>
              <w:top w:val="nil"/>
              <w:left w:val="nil"/>
              <w:bottom w:val="single" w:sz="4" w:space="0" w:color="365F91"/>
            </w:tcBorders>
          </w:tcPr>
          <w:p w14:paraId="2426A584" w14:textId="77777777" w:rsidR="00627CA1" w:rsidRPr="00D9348B" w:rsidRDefault="00627CA1" w:rsidP="00DB330E">
            <w:pPr>
              <w:pStyle w:val="TableText"/>
              <w:spacing w:before="40" w:after="40"/>
              <w:jc w:val="right"/>
              <w:rPr>
                <w:szCs w:val="16"/>
              </w:rPr>
            </w:pPr>
            <w:r w:rsidRPr="00D9348B">
              <w:rPr>
                <w:szCs w:val="16"/>
              </w:rPr>
              <w:t xml:space="preserve"> 888.10 </w:t>
            </w:r>
          </w:p>
        </w:tc>
        <w:tc>
          <w:tcPr>
            <w:tcW w:w="964" w:type="dxa"/>
            <w:tcBorders>
              <w:top w:val="nil"/>
              <w:left w:val="nil"/>
              <w:bottom w:val="single" w:sz="4" w:space="0" w:color="365F91"/>
            </w:tcBorders>
          </w:tcPr>
          <w:p w14:paraId="79A880F5" w14:textId="77777777" w:rsidR="00627CA1" w:rsidRPr="00D9348B" w:rsidRDefault="00627CA1" w:rsidP="00DB330E">
            <w:pPr>
              <w:pStyle w:val="TableText"/>
              <w:spacing w:before="40" w:after="40"/>
              <w:jc w:val="right"/>
              <w:rPr>
                <w:szCs w:val="16"/>
              </w:rPr>
            </w:pPr>
            <w:r w:rsidRPr="00D9348B">
              <w:rPr>
                <w:szCs w:val="16"/>
              </w:rPr>
              <w:t xml:space="preserve"> 268.14 </w:t>
            </w:r>
          </w:p>
        </w:tc>
      </w:tr>
      <w:tr w:rsidR="00627CA1" w:rsidRPr="00D9348B" w14:paraId="703770B9" w14:textId="77777777" w:rsidTr="0026227A">
        <w:tc>
          <w:tcPr>
            <w:tcW w:w="1985" w:type="dxa"/>
            <w:tcBorders>
              <w:top w:val="single" w:sz="4" w:space="0" w:color="365F91"/>
              <w:left w:val="nil"/>
              <w:bottom w:val="single" w:sz="4" w:space="0" w:color="365F91"/>
              <w:right w:val="nil"/>
            </w:tcBorders>
            <w:shd w:val="clear" w:color="auto" w:fill="auto"/>
            <w:vAlign w:val="center"/>
            <w:hideMark/>
          </w:tcPr>
          <w:p w14:paraId="468E3B48" w14:textId="77777777" w:rsidR="00627CA1" w:rsidRPr="00D9348B" w:rsidRDefault="00627CA1" w:rsidP="00DB330E">
            <w:pPr>
              <w:pStyle w:val="TableText"/>
              <w:spacing w:before="40" w:after="40"/>
              <w:rPr>
                <w:b/>
                <w:bCs/>
                <w:color w:val="1F497D"/>
                <w:szCs w:val="16"/>
              </w:rPr>
            </w:pPr>
            <w:r w:rsidRPr="00D9348B">
              <w:rPr>
                <w:b/>
                <w:bCs/>
                <w:color w:val="1F497D"/>
                <w:szCs w:val="16"/>
              </w:rPr>
              <w:t>Total (kt CO</w:t>
            </w:r>
            <w:r w:rsidRPr="00D9348B">
              <w:rPr>
                <w:b/>
                <w:bCs/>
                <w:color w:val="1F497D"/>
                <w:szCs w:val="16"/>
                <w:vertAlign w:val="subscript"/>
              </w:rPr>
              <w:t>2</w:t>
            </w:r>
            <w:r w:rsidRPr="00D9348B">
              <w:rPr>
                <w:b/>
                <w:bCs/>
                <w:color w:val="1F497D"/>
                <w:szCs w:val="16"/>
              </w:rPr>
              <w:t>)</w:t>
            </w:r>
          </w:p>
        </w:tc>
        <w:tc>
          <w:tcPr>
            <w:tcW w:w="964" w:type="dxa"/>
            <w:tcBorders>
              <w:top w:val="single" w:sz="4" w:space="0" w:color="365F91"/>
              <w:left w:val="nil"/>
              <w:bottom w:val="single" w:sz="4" w:space="0" w:color="365F91"/>
              <w:right w:val="nil"/>
            </w:tcBorders>
            <w:shd w:val="clear" w:color="auto" w:fill="auto"/>
            <w:vAlign w:val="center"/>
            <w:hideMark/>
          </w:tcPr>
          <w:p w14:paraId="5985214E" w14:textId="77777777" w:rsidR="00627CA1" w:rsidRPr="00D9348B" w:rsidRDefault="00627CA1" w:rsidP="00DB330E">
            <w:pPr>
              <w:pStyle w:val="TableText"/>
              <w:spacing w:before="40" w:after="40"/>
              <w:jc w:val="center"/>
              <w:rPr>
                <w:b/>
                <w:bCs/>
                <w:color w:val="1F497D"/>
                <w:szCs w:val="16"/>
              </w:rPr>
            </w:pPr>
            <w:r w:rsidRPr="00D9348B">
              <w:rPr>
                <w:b/>
                <w:bCs/>
                <w:color w:val="1F497D"/>
                <w:szCs w:val="16"/>
              </w:rPr>
              <w:t>NA</w:t>
            </w:r>
          </w:p>
        </w:tc>
        <w:tc>
          <w:tcPr>
            <w:tcW w:w="951" w:type="dxa"/>
            <w:tcBorders>
              <w:top w:val="single" w:sz="4" w:space="0" w:color="365F91"/>
              <w:left w:val="nil"/>
              <w:bottom w:val="single" w:sz="4" w:space="0" w:color="365F91"/>
              <w:right w:val="nil"/>
            </w:tcBorders>
            <w:shd w:val="clear" w:color="auto" w:fill="auto"/>
            <w:hideMark/>
          </w:tcPr>
          <w:p w14:paraId="635B999B" w14:textId="77777777" w:rsidR="00627CA1" w:rsidRPr="00D9348B" w:rsidRDefault="00627CA1" w:rsidP="00DB330E">
            <w:pPr>
              <w:pStyle w:val="Tableboldblue"/>
              <w:spacing w:before="40" w:after="40"/>
              <w:jc w:val="right"/>
              <w:rPr>
                <w:bCs/>
                <w:color w:val="1F497D"/>
                <w:lang w:eastAsia="en-NZ"/>
              </w:rPr>
            </w:pPr>
            <w:r w:rsidRPr="00D9348B">
              <w:t xml:space="preserve"> 44.76 </w:t>
            </w:r>
          </w:p>
        </w:tc>
        <w:tc>
          <w:tcPr>
            <w:tcW w:w="964" w:type="dxa"/>
            <w:tcBorders>
              <w:top w:val="single" w:sz="4" w:space="0" w:color="365F91"/>
              <w:left w:val="nil"/>
              <w:bottom w:val="single" w:sz="4" w:space="0" w:color="365F91"/>
              <w:right w:val="nil"/>
            </w:tcBorders>
            <w:shd w:val="clear" w:color="auto" w:fill="auto"/>
            <w:hideMark/>
          </w:tcPr>
          <w:p w14:paraId="4C20BB34" w14:textId="77777777" w:rsidR="00627CA1" w:rsidRPr="00D9348B" w:rsidRDefault="00627CA1" w:rsidP="00DB330E">
            <w:pPr>
              <w:pStyle w:val="Tableboldblue"/>
              <w:spacing w:before="40" w:after="40"/>
              <w:jc w:val="right"/>
              <w:rPr>
                <w:bCs/>
                <w:color w:val="1F497D"/>
                <w:lang w:eastAsia="en-NZ"/>
              </w:rPr>
            </w:pPr>
            <w:r w:rsidRPr="00D9348B">
              <w:t xml:space="preserve"> 469.00 </w:t>
            </w:r>
          </w:p>
        </w:tc>
        <w:tc>
          <w:tcPr>
            <w:tcW w:w="964" w:type="dxa"/>
            <w:tcBorders>
              <w:top w:val="single" w:sz="4" w:space="0" w:color="365F91"/>
              <w:left w:val="nil"/>
              <w:bottom w:val="single" w:sz="4" w:space="0" w:color="365F91"/>
            </w:tcBorders>
            <w:shd w:val="clear" w:color="auto" w:fill="auto"/>
            <w:hideMark/>
          </w:tcPr>
          <w:p w14:paraId="1EBAA950" w14:textId="77777777" w:rsidR="00627CA1" w:rsidRPr="00D9348B" w:rsidRDefault="00627CA1" w:rsidP="00DB330E">
            <w:pPr>
              <w:pStyle w:val="Tableboldblue"/>
              <w:spacing w:before="40" w:after="40"/>
              <w:jc w:val="right"/>
              <w:rPr>
                <w:bCs/>
                <w:color w:val="1F497D"/>
                <w:lang w:eastAsia="en-NZ"/>
              </w:rPr>
            </w:pPr>
            <w:r w:rsidRPr="00D9348B">
              <w:t xml:space="preserve"> 1,254.89 </w:t>
            </w:r>
          </w:p>
        </w:tc>
        <w:tc>
          <w:tcPr>
            <w:tcW w:w="964" w:type="dxa"/>
            <w:tcBorders>
              <w:top w:val="single" w:sz="4" w:space="0" w:color="365F91"/>
              <w:left w:val="nil"/>
              <w:bottom w:val="single" w:sz="4" w:space="0" w:color="365F91"/>
            </w:tcBorders>
          </w:tcPr>
          <w:p w14:paraId="79FE195B" w14:textId="77777777" w:rsidR="00627CA1" w:rsidRPr="00D9348B" w:rsidRDefault="00627CA1" w:rsidP="00DB330E">
            <w:pPr>
              <w:pStyle w:val="Tableboldblue"/>
              <w:spacing w:before="40" w:after="40"/>
              <w:jc w:val="right"/>
              <w:rPr>
                <w:bCs/>
                <w:color w:val="1F497D"/>
                <w:lang w:eastAsia="en-NZ"/>
              </w:rPr>
            </w:pPr>
            <w:r w:rsidRPr="00D9348B">
              <w:t xml:space="preserve"> 897.70 </w:t>
            </w:r>
          </w:p>
        </w:tc>
        <w:tc>
          <w:tcPr>
            <w:tcW w:w="964" w:type="dxa"/>
            <w:tcBorders>
              <w:top w:val="single" w:sz="4" w:space="0" w:color="365F91"/>
              <w:left w:val="nil"/>
              <w:bottom w:val="single" w:sz="4" w:space="0" w:color="365F91"/>
            </w:tcBorders>
          </w:tcPr>
          <w:p w14:paraId="241FBA36" w14:textId="77777777" w:rsidR="00627CA1" w:rsidRPr="00D9348B" w:rsidRDefault="00627CA1" w:rsidP="00DB330E">
            <w:pPr>
              <w:pStyle w:val="Tableboldblue"/>
              <w:spacing w:before="40" w:after="40"/>
              <w:jc w:val="right"/>
              <w:rPr>
                <w:bCs/>
                <w:color w:val="1F497D"/>
                <w:lang w:eastAsia="en-NZ"/>
              </w:rPr>
            </w:pPr>
            <w:r w:rsidRPr="00D9348B">
              <w:t xml:space="preserve"> 258.30 </w:t>
            </w:r>
          </w:p>
        </w:tc>
      </w:tr>
    </w:tbl>
    <w:p w14:paraId="19EC5183" w14:textId="77777777" w:rsidR="00627CA1" w:rsidRPr="00D9348B" w:rsidRDefault="00627CA1" w:rsidP="00627CA1">
      <w:pPr>
        <w:pStyle w:val="Noteundertable"/>
        <w:rPr>
          <w:rFonts w:cs="Arial"/>
          <w:color w:val="000000"/>
          <w:szCs w:val="18"/>
        </w:rPr>
      </w:pPr>
      <w:r w:rsidRPr="00D9348B">
        <w:rPr>
          <w:b/>
        </w:rPr>
        <w:t>Note</w:t>
      </w:r>
      <w:r w:rsidRPr="00D9348B">
        <w:t xml:space="preserve">: </w:t>
      </w:r>
      <w:r w:rsidRPr="00D9348B">
        <w:tab/>
      </w:r>
      <w:r w:rsidRPr="00D9348B">
        <w:rPr>
          <w:rFonts w:cs="Arial"/>
          <w:color w:val="000000"/>
          <w:szCs w:val="18"/>
        </w:rPr>
        <w:t>CEF</w:t>
      </w:r>
      <w:r w:rsidRPr="00D9348B">
        <w:rPr>
          <w:rFonts w:cs="Arial"/>
          <w:color w:val="000000"/>
          <w:szCs w:val="18"/>
          <w:vertAlign w:val="subscript"/>
        </w:rPr>
        <w:t>HC</w:t>
      </w:r>
      <w:r w:rsidRPr="00D9348B">
        <w:rPr>
          <w:rFonts w:cs="Arial"/>
          <w:color w:val="000000"/>
          <w:szCs w:val="18"/>
        </w:rPr>
        <w:t xml:space="preserve"> refers to the existing forest land that is harvested and converted to non-forest land; CEF</w:t>
      </w:r>
      <w:r w:rsidRPr="00D9348B">
        <w:rPr>
          <w:rFonts w:cs="Arial"/>
          <w:color w:val="000000"/>
          <w:szCs w:val="18"/>
          <w:vertAlign w:val="subscript"/>
        </w:rPr>
        <w:t>NE</w:t>
      </w:r>
      <w:r w:rsidRPr="00D9348B">
        <w:rPr>
          <w:szCs w:val="18"/>
        </w:rPr>
        <w:t xml:space="preserve"> </w:t>
      </w:r>
      <w:r w:rsidRPr="00D9348B">
        <w:rPr>
          <w:rFonts w:cs="Arial"/>
          <w:color w:val="000000"/>
          <w:szCs w:val="18"/>
        </w:rPr>
        <w:t>refers to the non-forest land on which a forest is newly established. NA = not available. Columns may not total due to rounding. Disaggregated data on the application of the provision are provided in annex 5.3.</w:t>
      </w:r>
    </w:p>
    <w:p w14:paraId="19FFBC13" w14:textId="77777777" w:rsidR="00627CA1" w:rsidRPr="00D9348B" w:rsidRDefault="00627CA1" w:rsidP="00627CA1">
      <w:pPr>
        <w:pStyle w:val="BodyText"/>
        <w:spacing w:after="100"/>
      </w:pPr>
      <w:r w:rsidRPr="00D9348B">
        <w:t xml:space="preserve">The carbon equivalent forest provision is administered domestically by the New Zealand Ministry for Primary Industries as part of the NZ ETS. The domestic carbon equivalent forest rules are broadly aligned with those in the Kyoto Protocol Supplement (IPCC, 2014a). Misalignments between the domestic and international rulesets include: </w:t>
      </w:r>
    </w:p>
    <w:p w14:paraId="02DEE233" w14:textId="77777777" w:rsidR="00627CA1" w:rsidRPr="00D9348B" w:rsidRDefault="00627CA1" w:rsidP="00771A8F">
      <w:pPr>
        <w:pStyle w:val="Bullet"/>
        <w:numPr>
          <w:ilvl w:val="0"/>
          <w:numId w:val="20"/>
        </w:numPr>
        <w:spacing w:after="100"/>
      </w:pPr>
      <w:r w:rsidRPr="00D9348B">
        <w:t xml:space="preserve">domestically, the carbon equivalent forest can be established before the forest land is converted to another land use, and </w:t>
      </w:r>
    </w:p>
    <w:p w14:paraId="3B9861F8" w14:textId="77777777" w:rsidR="00627CA1" w:rsidRPr="00D9348B" w:rsidRDefault="00627CA1" w:rsidP="00771A8F">
      <w:pPr>
        <w:pStyle w:val="Bullet"/>
        <w:numPr>
          <w:ilvl w:val="0"/>
          <w:numId w:val="20"/>
        </w:numPr>
        <w:spacing w:after="100"/>
      </w:pPr>
      <w:proofErr w:type="gramStart"/>
      <w:r w:rsidRPr="00D9348B">
        <w:t>the</w:t>
      </w:r>
      <w:proofErr w:type="gramEnd"/>
      <w:r w:rsidRPr="00D9348B">
        <w:t xml:space="preserve"> newly established carbon equivalent forest can be established on land that was forested on 31 December 1989. </w:t>
      </w:r>
    </w:p>
    <w:p w14:paraId="5FF33DB6" w14:textId="77777777" w:rsidR="00627CA1" w:rsidRPr="00D9348B" w:rsidRDefault="00627CA1" w:rsidP="00627CA1">
      <w:pPr>
        <w:pStyle w:val="BodyText"/>
        <w:spacing w:after="100"/>
      </w:pPr>
      <w:r w:rsidRPr="00D9348B">
        <w:t>Where these misalignments are detected, these activities are instead reported as separate afforestation and deforestation events.</w:t>
      </w:r>
    </w:p>
    <w:p w14:paraId="11935F10" w14:textId="77777777" w:rsidR="00627CA1" w:rsidRPr="00D9348B" w:rsidRDefault="00627CA1" w:rsidP="00627CA1">
      <w:pPr>
        <w:pStyle w:val="BodyText"/>
        <w:spacing w:after="100"/>
      </w:pPr>
      <w:r w:rsidRPr="00D9348B">
        <w:t xml:space="preserve">Emissions from the conversion of forest land under the carbon equivalent forest provision are calculated as a deforestation event. In calculating these emissions, all biomass is instantly emitted at the time of conversion and soil organic carbon changes due to land-use change are </w:t>
      </w:r>
      <w:r w:rsidRPr="00D9348B">
        <w:lastRenderedPageBreak/>
        <w:t xml:space="preserve">accounted for. The emissions from the establishment of the new forest under the provision are calculated as an afforestation event and include biomass loss and soil organic carbon changes resulting from this land-use change. Net emissions from the activities are reported under </w:t>
      </w:r>
      <w:r w:rsidRPr="00D9348B">
        <w:rPr>
          <w:i/>
        </w:rPr>
        <w:t>Forest management</w:t>
      </w:r>
      <w:r w:rsidRPr="00D9348B">
        <w:t xml:space="preserve"> and monitored over time to ensure carbon equivalence.</w:t>
      </w:r>
    </w:p>
    <w:p w14:paraId="5DB2AA86" w14:textId="77777777" w:rsidR="00627CA1" w:rsidRPr="00D9348B" w:rsidRDefault="00627CA1" w:rsidP="00627CA1">
      <w:pPr>
        <w:pStyle w:val="BodyText"/>
        <w:spacing w:after="100"/>
      </w:pPr>
      <w:r w:rsidRPr="00D9348B">
        <w:t xml:space="preserve">The carbon equivalent forest provision creates a misalignment for the afforestation and deforestation area reported under the Decision 2/CMP.7 and 2013 supplementary Kyoto Protocol guidelines and the reporting under the 2006 IPCC Guidelines. The carbon equivalent forest provision is not recognised under the UNFCCC and is reported as </w:t>
      </w:r>
      <w:r w:rsidRPr="00D9348B">
        <w:rPr>
          <w:i/>
        </w:rPr>
        <w:t>Land converted to forest land</w:t>
      </w:r>
      <w:r w:rsidRPr="00D9348B">
        <w:t xml:space="preserve"> (afforestation) and </w:t>
      </w:r>
      <w:r w:rsidRPr="00D9348B">
        <w:rPr>
          <w:i/>
        </w:rPr>
        <w:t>Forest land converted to other land uses</w:t>
      </w:r>
      <w:r w:rsidRPr="00D9348B">
        <w:t xml:space="preserve"> (deforestation). </w:t>
      </w:r>
    </w:p>
    <w:p w14:paraId="2A44BBFC" w14:textId="77777777" w:rsidR="00627CA1" w:rsidRPr="00D9348B" w:rsidRDefault="00627CA1" w:rsidP="00627CA1">
      <w:pPr>
        <w:pStyle w:val="Heading3"/>
        <w:spacing w:before="280"/>
      </w:pPr>
      <w:r w:rsidRPr="00D9348B">
        <w:t>11.3.5</w:t>
      </w:r>
      <w:r w:rsidRPr="00D9348B">
        <w:tab/>
        <w:t>Voluntary activities under Article 3.4</w:t>
      </w:r>
    </w:p>
    <w:p w14:paraId="29EC7C34" w14:textId="77777777" w:rsidR="00627CA1" w:rsidRPr="00D9348B" w:rsidRDefault="00627CA1" w:rsidP="00627CA1">
      <w:pPr>
        <w:pStyle w:val="BodyText"/>
        <w:spacing w:before="100"/>
      </w:pPr>
      <w:r w:rsidRPr="00D9348B">
        <w:t>New Zealand has not elected to report on any voluntary activities under Article 3.4 of the Kyoto Protocol.</w:t>
      </w:r>
    </w:p>
    <w:p w14:paraId="70659F92" w14:textId="77777777" w:rsidR="00627CA1" w:rsidRPr="00D9348B" w:rsidRDefault="00627CA1" w:rsidP="00627CA1">
      <w:pPr>
        <w:pStyle w:val="Heading3"/>
        <w:spacing w:before="280"/>
      </w:pPr>
      <w:r w:rsidRPr="00D9348B">
        <w:t>11.3.6</w:t>
      </w:r>
      <w:r w:rsidRPr="00D9348B">
        <w:tab/>
        <w:t>Harvested wood products (CRF 4(KP-I</w:t>
      </w:r>
      <w:proofErr w:type="gramStart"/>
      <w:r w:rsidRPr="00D9348B">
        <w:t>)C</w:t>
      </w:r>
      <w:proofErr w:type="gramEnd"/>
      <w:r w:rsidRPr="00D9348B">
        <w:t>)</w:t>
      </w:r>
    </w:p>
    <w:p w14:paraId="05A7853A" w14:textId="77777777" w:rsidR="00627CA1" w:rsidRPr="00D9348B" w:rsidRDefault="00627CA1" w:rsidP="00627CA1">
      <w:pPr>
        <w:pStyle w:val="BodyText"/>
        <w:spacing w:before="100" w:after="100"/>
        <w:rPr>
          <w:spacing w:val="-2"/>
        </w:rPr>
      </w:pPr>
      <w:r w:rsidRPr="00D9348B">
        <w:rPr>
          <w:spacing w:val="-2"/>
        </w:rPr>
        <w:t xml:space="preserve">The </w:t>
      </w:r>
      <w:r w:rsidRPr="00D9348B">
        <w:rPr>
          <w:i/>
          <w:spacing w:val="-2"/>
        </w:rPr>
        <w:t>Harvested wood products</w:t>
      </w:r>
      <w:r w:rsidRPr="00D9348B">
        <w:rPr>
          <w:spacing w:val="-2"/>
        </w:rPr>
        <w:t xml:space="preserve"> category comprises all wood material that leaves a harvest site and is subsequently processed. This wood constitutes a carbon reservoir (section 12.1, IPCC, 2006a). </w:t>
      </w:r>
    </w:p>
    <w:p w14:paraId="06AEA5D1" w14:textId="77777777" w:rsidR="00627CA1" w:rsidRPr="00D9348B" w:rsidRDefault="00627CA1" w:rsidP="00627CA1">
      <w:pPr>
        <w:pStyle w:val="BodyText"/>
        <w:spacing w:before="100" w:after="100"/>
      </w:pPr>
      <w:r w:rsidRPr="00D9348B">
        <w:t xml:space="preserve">New Zealand is required to report changes in the harvested wood products pool under the Kyoto Protocol from 2013. For </w:t>
      </w:r>
      <w:r w:rsidRPr="00D9348B">
        <w:rPr>
          <w:i/>
        </w:rPr>
        <w:t>Afforestation and reforestation</w:t>
      </w:r>
      <w:r w:rsidRPr="00D9348B">
        <w:t xml:space="preserve"> and </w:t>
      </w:r>
      <w:r w:rsidRPr="00D9348B">
        <w:rPr>
          <w:i/>
        </w:rPr>
        <w:t>Forest management</w:t>
      </w:r>
      <w:r w:rsidRPr="00D9348B">
        <w:t xml:space="preserve">, estimates are derived from a modified Intergovernmental Panel on Climate Change (IPCC) Convention reporting model. The emissions from </w:t>
      </w:r>
      <w:r w:rsidRPr="00D9348B">
        <w:rPr>
          <w:i/>
        </w:rPr>
        <w:t>Harvested wood products</w:t>
      </w:r>
      <w:r w:rsidRPr="00D9348B">
        <w:t xml:space="preserve"> originating from </w:t>
      </w:r>
      <w:r w:rsidRPr="00D9348B">
        <w:rPr>
          <w:i/>
        </w:rPr>
        <w:t>Deforestation</w:t>
      </w:r>
      <w:r w:rsidRPr="00D9348B">
        <w:t xml:space="preserve"> activities are instantly oxidised. </w:t>
      </w:r>
    </w:p>
    <w:p w14:paraId="751BE8B0" w14:textId="77777777" w:rsidR="00627CA1" w:rsidRPr="00D9348B" w:rsidRDefault="00627CA1" w:rsidP="00627CA1">
      <w:pPr>
        <w:pStyle w:val="BodyText"/>
        <w:spacing w:before="100" w:after="100"/>
      </w:pPr>
      <w:r w:rsidRPr="00D9348B">
        <w:rPr>
          <w:i/>
        </w:rPr>
        <w:t>Harvested wood product</w:t>
      </w:r>
      <w:r w:rsidRPr="00D9348B">
        <w:t xml:space="preserve"> emissions for 2018 </w:t>
      </w:r>
      <w:r w:rsidRPr="00D9348B">
        <w:rPr>
          <w:i/>
        </w:rPr>
        <w:t>Afforestation and reforestation</w:t>
      </w:r>
      <w:r w:rsidRPr="00D9348B">
        <w:t xml:space="preserve"> were </w:t>
      </w:r>
      <w:r w:rsidRPr="00D9348B">
        <w:br/>
        <w:t>–2,804.5 kt CO</w:t>
      </w:r>
      <w:r w:rsidRPr="00D9348B">
        <w:rPr>
          <w:vertAlign w:val="subscript"/>
        </w:rPr>
        <w:t>2</w:t>
      </w:r>
      <w:r w:rsidRPr="00D9348B">
        <w:t xml:space="preserve">-e; and for </w:t>
      </w:r>
      <w:r w:rsidRPr="00D9348B">
        <w:rPr>
          <w:i/>
        </w:rPr>
        <w:t>Forest management</w:t>
      </w:r>
      <w:r w:rsidRPr="00D9348B">
        <w:t xml:space="preserve"> they were –12,006.8 kt CO</w:t>
      </w:r>
      <w:r w:rsidRPr="00D9348B">
        <w:rPr>
          <w:vertAlign w:val="subscript"/>
        </w:rPr>
        <w:t>2</w:t>
      </w:r>
      <w:r w:rsidRPr="00D9348B">
        <w:t>-e.</w:t>
      </w:r>
    </w:p>
    <w:p w14:paraId="4ABA96C2" w14:textId="77777777" w:rsidR="00627CA1" w:rsidRPr="00D9348B" w:rsidRDefault="00627CA1" w:rsidP="00627CA1">
      <w:pPr>
        <w:pStyle w:val="BodyText"/>
        <w:spacing w:before="100" w:after="100"/>
      </w:pPr>
      <w:r w:rsidRPr="00D9348B">
        <w:t>New Zealand has a large planted forest estate that provides most of the wood products consumed domestically. The remainder of domestic production is exported in either product or raw material form. A more detailed description of the forest estate and New Zealand wood use is provided in chapter 6, section 6.10.</w:t>
      </w:r>
    </w:p>
    <w:p w14:paraId="73365CD3" w14:textId="77777777" w:rsidR="00627CA1" w:rsidRPr="00D9348B" w:rsidRDefault="00627CA1" w:rsidP="00627CA1">
      <w:pPr>
        <w:pStyle w:val="BodyText"/>
        <w:spacing w:before="100" w:after="100"/>
        <w:rPr>
          <w:spacing w:val="-2"/>
        </w:rPr>
      </w:pPr>
      <w:r w:rsidRPr="00D9348B">
        <w:rPr>
          <w:spacing w:val="-2"/>
        </w:rPr>
        <w:t xml:space="preserve">New Zealand has developed a Tier 2 method to report </w:t>
      </w:r>
      <w:r w:rsidRPr="00D9348B">
        <w:rPr>
          <w:i/>
          <w:spacing w:val="-2"/>
        </w:rPr>
        <w:t>Harvested wood products</w:t>
      </w:r>
      <w:r w:rsidRPr="00D9348B">
        <w:rPr>
          <w:spacing w:val="-2"/>
        </w:rPr>
        <w:t xml:space="preserve"> under the Kyoto Protocol. New Zealand uses the default Tier 2 methodology, as described in the IPCC guidance (IPCC, 2014a), and some country-specific activity data and parameters where available. IPCC default half-lives and some conversion factors are used. Country-specific conversion factors are used for domestically produced sawnwood and veneer sheets (see chapter 6, table 6.10.1).</w:t>
      </w:r>
    </w:p>
    <w:p w14:paraId="07940E61" w14:textId="77777777" w:rsidR="00627CA1" w:rsidRPr="00D9348B" w:rsidRDefault="00627CA1" w:rsidP="00627CA1">
      <w:pPr>
        <w:pStyle w:val="BodyText"/>
        <w:spacing w:before="100" w:after="100"/>
      </w:pPr>
      <w:r w:rsidRPr="00D9348B">
        <w:t xml:space="preserve">Data on the production, import and export of harvested wood products from 1990 to 2018 were sourced from the FAO Statistics database (FAOSTAT). These data are provided to the FAO by the Ministry for Primary Industries. The basic data are the same as those used for IPCC Convention reporting, except the time series begins in 1990 for </w:t>
      </w:r>
      <w:r w:rsidRPr="00D9348B">
        <w:rPr>
          <w:i/>
        </w:rPr>
        <w:t>Afforestation and reforestation</w:t>
      </w:r>
      <w:r w:rsidRPr="00D9348B">
        <w:t xml:space="preserve"> and 2013 for </w:t>
      </w:r>
      <w:r w:rsidRPr="00D9348B">
        <w:rPr>
          <w:i/>
        </w:rPr>
        <w:t>Forest management</w:t>
      </w:r>
      <w:r w:rsidRPr="00D9348B">
        <w:t xml:space="preserve">. Also, the </w:t>
      </w:r>
      <w:r w:rsidRPr="00D9348B">
        <w:rPr>
          <w:i/>
        </w:rPr>
        <w:t>Solid wood</w:t>
      </w:r>
      <w:r w:rsidRPr="00D9348B">
        <w:t xml:space="preserve"> category used for IPCC Convention reporting is disaggregated into </w:t>
      </w:r>
      <w:r w:rsidRPr="00D9348B">
        <w:rPr>
          <w:i/>
        </w:rPr>
        <w:t>Sawnwood</w:t>
      </w:r>
      <w:r w:rsidRPr="00D9348B">
        <w:t xml:space="preserve"> and </w:t>
      </w:r>
      <w:r w:rsidRPr="00D9348B">
        <w:rPr>
          <w:i/>
        </w:rPr>
        <w:t>Wood-based</w:t>
      </w:r>
      <w:r w:rsidRPr="00D9348B">
        <w:t xml:space="preserve"> </w:t>
      </w:r>
      <w:r w:rsidRPr="00D9348B">
        <w:rPr>
          <w:i/>
        </w:rPr>
        <w:t>panels</w:t>
      </w:r>
      <w:r w:rsidRPr="00D9348B">
        <w:t xml:space="preserve"> for Kyoto Protocol reporting. Errors within the data sourced from FAOSTAT were corrected and missing data were added, using data directly from the Ministry for Primary Industries.</w:t>
      </w:r>
    </w:p>
    <w:p w14:paraId="55F85F4D" w14:textId="77777777" w:rsidR="00627CA1" w:rsidRPr="00D9348B" w:rsidRDefault="00627CA1" w:rsidP="00627CA1">
      <w:pPr>
        <w:pStyle w:val="BodyText"/>
        <w:spacing w:after="100"/>
      </w:pPr>
      <w:r w:rsidRPr="00D9348B">
        <w:t xml:space="preserve">In 2018, a large proportion (approximately 60 per cent) of New Zealand’s harvest was exported as raw materials in the form of logs or wood chips (Ministry for Primary Industries, 2018a). The </w:t>
      </w:r>
      <w:r w:rsidRPr="00D9348B">
        <w:lastRenderedPageBreak/>
        <w:t xml:space="preserve">FAOSTAT database provides data on the export quantity of raw materials but provides no information on the conversion of these materials to products and their expected half-lives. A project was completed in 2016 to provide information on harvested wood products from exported logs in New Zealand’s three main export markets (China, South Korea and India). The study found that most New Zealand wood is converted into construction and packaging materials. Therefore, weighted half-lives were found to be 6.6 years, 18 years and 2.5 years for China, South Korea and India respectively (Ministry for Primary Industries, 2016). The weighted half-lives for China and India are significantly lower than the IPCC default half-lives for sawnwood and panels (35 years and 25 years respectively). These findings are included in New Zealand’s </w:t>
      </w:r>
      <w:r w:rsidRPr="00D9348B">
        <w:rPr>
          <w:i/>
        </w:rPr>
        <w:t>Harvested wood products</w:t>
      </w:r>
      <w:r w:rsidRPr="00D9348B">
        <w:t xml:space="preserve"> estimates and provide an improvement on the previous assumption of instant emission for exported raw materials.</w:t>
      </w:r>
    </w:p>
    <w:p w14:paraId="346CF26D" w14:textId="77777777" w:rsidR="00627CA1" w:rsidRPr="00D9348B" w:rsidRDefault="00627CA1" w:rsidP="00627CA1">
      <w:pPr>
        <w:pStyle w:val="BodyText"/>
        <w:spacing w:after="100"/>
      </w:pPr>
      <w:r w:rsidRPr="00D9348B">
        <w:t xml:space="preserve">Emissions from the harvest of </w:t>
      </w:r>
      <w:r w:rsidRPr="00D9348B">
        <w:rPr>
          <w:i/>
        </w:rPr>
        <w:t>Afforestation and reforestation</w:t>
      </w:r>
      <w:r w:rsidRPr="00D9348B">
        <w:t xml:space="preserve"> land are reported from 1990 onwards. These lands currently provide a small contribution to </w:t>
      </w:r>
      <w:r w:rsidRPr="00D9348B">
        <w:rPr>
          <w:i/>
        </w:rPr>
        <w:t>Harvested wood products</w:t>
      </w:r>
      <w:r w:rsidRPr="00D9348B">
        <w:t xml:space="preserve"> because most post-1989 planted forest is yet to reach harvest age. Harvested wood products originating from these lands are estimated by prorating the proportion of </w:t>
      </w:r>
      <w:r w:rsidRPr="00D9348B">
        <w:rPr>
          <w:i/>
        </w:rPr>
        <w:t>Afforestation and reforestation</w:t>
      </w:r>
      <w:r w:rsidRPr="00D9348B">
        <w:t xml:space="preserve"> harvest emissions to total harvest emissions (excluding </w:t>
      </w:r>
      <w:r w:rsidRPr="00D9348B">
        <w:rPr>
          <w:i/>
          <w:spacing w:val="-2"/>
        </w:rPr>
        <w:t>Deforestation</w:t>
      </w:r>
      <w:r w:rsidRPr="00D9348B">
        <w:t>).</w:t>
      </w:r>
    </w:p>
    <w:p w14:paraId="529D1730" w14:textId="77777777" w:rsidR="00627CA1" w:rsidRPr="00D9348B" w:rsidRDefault="00627CA1" w:rsidP="00627CA1">
      <w:pPr>
        <w:pStyle w:val="BodyText"/>
      </w:pPr>
      <w:r w:rsidRPr="00D9348B">
        <w:t xml:space="preserve">Harvesting is the primary driver of emissions from </w:t>
      </w:r>
      <w:r w:rsidRPr="00D9348B">
        <w:rPr>
          <w:i/>
        </w:rPr>
        <w:t xml:space="preserve">Forest management </w:t>
      </w:r>
      <w:r w:rsidRPr="00D9348B">
        <w:t>land, specifically pre</w:t>
      </w:r>
      <w:r w:rsidRPr="00D9348B">
        <w:noBreakHyphen/>
        <w:t xml:space="preserve">1990 planted forest, for which emissions from harvested wood products are accounted for from 2013 onwards. Emissions from </w:t>
      </w:r>
      <w:r w:rsidRPr="00D9348B">
        <w:rPr>
          <w:i/>
        </w:rPr>
        <w:t xml:space="preserve">Forest management </w:t>
      </w:r>
      <w:r w:rsidRPr="00D9348B">
        <w:t xml:space="preserve">land comprised 83 per cent of the emissions from all planted forests in 2018. Harvested wood products originating from these lands are estimated by prorating the proportion of </w:t>
      </w:r>
      <w:r w:rsidRPr="00D9348B">
        <w:rPr>
          <w:i/>
        </w:rPr>
        <w:t>Forest management</w:t>
      </w:r>
      <w:r w:rsidRPr="00D9348B">
        <w:t xml:space="preserve"> harvest emissions to total harvest emissions (excluding </w:t>
      </w:r>
      <w:r w:rsidRPr="00D9348B">
        <w:rPr>
          <w:i/>
        </w:rPr>
        <w:t>Deforestation</w:t>
      </w:r>
      <w:r w:rsidRPr="00D9348B">
        <w:t>). Accounting of harvested wood products on these lands is against New Zealand’s projected FMRL and, therefore, emissions from harvest occurring prior to 2013 are excluded.</w:t>
      </w:r>
    </w:p>
    <w:p w14:paraId="6F8F733D" w14:textId="77777777" w:rsidR="00627CA1" w:rsidRPr="00D9348B" w:rsidRDefault="00627CA1" w:rsidP="00627CA1">
      <w:pPr>
        <w:pStyle w:val="BodyText"/>
      </w:pPr>
      <w:r w:rsidRPr="00D9348B">
        <w:t xml:space="preserve">Harvested wood products originating from </w:t>
      </w:r>
      <w:r w:rsidRPr="00D9348B">
        <w:rPr>
          <w:i/>
          <w:spacing w:val="-2"/>
        </w:rPr>
        <w:t>Deforestation</w:t>
      </w:r>
      <w:r w:rsidRPr="00D9348B">
        <w:t xml:space="preserve"> are instantly emitted, as required under the Kyoto Protocol; however, the production statistics do not identify products that were derived originally from the wood that was harvested as part of the deforestation activity. The share of harvest volume originating from </w:t>
      </w:r>
      <w:r w:rsidRPr="00D9348B">
        <w:rPr>
          <w:i/>
          <w:spacing w:val="-2"/>
        </w:rPr>
        <w:t>Deforestation</w:t>
      </w:r>
      <w:r w:rsidRPr="00D9348B">
        <w:t xml:space="preserve"> is estimated by comparing emissions from </w:t>
      </w:r>
      <w:r w:rsidRPr="00D9348B">
        <w:rPr>
          <w:i/>
          <w:spacing w:val="-2"/>
        </w:rPr>
        <w:t>Deforestation</w:t>
      </w:r>
      <w:r w:rsidRPr="00D9348B">
        <w:t xml:space="preserve"> with emissions from harvesting. This provides a proportion to apply to the production statistics to separate harvested wood products originating from </w:t>
      </w:r>
      <w:r w:rsidRPr="00D9348B">
        <w:rPr>
          <w:i/>
          <w:spacing w:val="-2"/>
        </w:rPr>
        <w:t>Deforestation</w:t>
      </w:r>
      <w:r w:rsidRPr="00D9348B">
        <w:t>.</w:t>
      </w:r>
    </w:p>
    <w:p w14:paraId="6D44CD17" w14:textId="77777777" w:rsidR="00627CA1" w:rsidRPr="00D9348B" w:rsidRDefault="00627CA1" w:rsidP="00627CA1">
      <w:pPr>
        <w:pStyle w:val="BodyText"/>
      </w:pPr>
      <w:r w:rsidRPr="00D9348B">
        <w:t>Non-forest harvest is treated as an instant emission. Harvest from these lands is assumed to be used for fuel wood. Therefore, the harvested wood products contribution from non-forest lands is assumed to be zero.</w:t>
      </w:r>
    </w:p>
    <w:p w14:paraId="037CD4C9" w14:textId="77777777" w:rsidR="00627CA1" w:rsidRPr="00D9348B" w:rsidRDefault="00627CA1" w:rsidP="00627CA1">
      <w:pPr>
        <w:pStyle w:val="Heading3"/>
        <w:spacing w:before="280"/>
      </w:pPr>
      <w:r w:rsidRPr="00D9348B">
        <w:t>11.3.7</w:t>
      </w:r>
      <w:r w:rsidRPr="00D9348B">
        <w:tab/>
        <w:t>Other greenhouse gas sources</w:t>
      </w:r>
    </w:p>
    <w:p w14:paraId="66FBC602" w14:textId="77777777" w:rsidR="00627CA1" w:rsidRPr="00D9348B" w:rsidRDefault="00627CA1" w:rsidP="007E30D7">
      <w:pPr>
        <w:pStyle w:val="Heading4"/>
        <w:spacing w:before="160"/>
      </w:pPr>
      <w:r w:rsidRPr="00D9348B">
        <w:t>Direct nitrous oxide emissions from nitrogen fertilisation (CRF 4(KP-II</w:t>
      </w:r>
      <w:proofErr w:type="gramStart"/>
      <w:r w:rsidRPr="00D9348B">
        <w:t>)1</w:t>
      </w:r>
      <w:proofErr w:type="gramEnd"/>
      <w:r w:rsidRPr="00D9348B">
        <w:t>)</w:t>
      </w:r>
    </w:p>
    <w:p w14:paraId="63E83442" w14:textId="77777777" w:rsidR="00627CA1" w:rsidRPr="00D9348B" w:rsidRDefault="00627CA1" w:rsidP="00627CA1">
      <w:pPr>
        <w:pStyle w:val="BodyText"/>
      </w:pPr>
      <w:r w:rsidRPr="00D9348B">
        <w:rPr>
          <w:rStyle w:val="BodyTextChar"/>
        </w:rPr>
        <w:t>New Zealand’s activity data</w:t>
      </w:r>
      <w:r w:rsidRPr="00D9348B">
        <w:t xml:space="preserve"> on nitrogen fertilisation are not currently disaggregated by land use; therefore, all nitrous oxide (N</w:t>
      </w:r>
      <w:r w:rsidRPr="00D9348B">
        <w:rPr>
          <w:vertAlign w:val="subscript"/>
        </w:rPr>
        <w:t>2</w:t>
      </w:r>
      <w:r w:rsidRPr="00D9348B">
        <w:t xml:space="preserve">O) emissions from nitrogen fertilisation are reported in the Agriculture sector under the category </w:t>
      </w:r>
      <w:r w:rsidRPr="00D9348B">
        <w:rPr>
          <w:i/>
        </w:rPr>
        <w:t>Direct N</w:t>
      </w:r>
      <w:r w:rsidRPr="00D9348B">
        <w:rPr>
          <w:i/>
          <w:vertAlign w:val="subscript"/>
        </w:rPr>
        <w:t>2</w:t>
      </w:r>
      <w:r w:rsidRPr="00D9348B">
        <w:rPr>
          <w:i/>
        </w:rPr>
        <w:t>O emissions from managed soils</w:t>
      </w:r>
      <w:r w:rsidRPr="00D9348B">
        <w:t xml:space="preserve"> (CRF 3.D). The notation key IE (included elsewhere) is reported in the CRF tables for the KP-LULUCF sector (section 2.4.4.2, IPCC, 2014a).</w:t>
      </w:r>
    </w:p>
    <w:p w14:paraId="5E29B9A4" w14:textId="77777777" w:rsidR="00627CA1" w:rsidRPr="00D9348B" w:rsidRDefault="00627CA1" w:rsidP="007E30D7">
      <w:pPr>
        <w:pStyle w:val="Heading4"/>
        <w:spacing w:before="160"/>
      </w:pPr>
      <w:r w:rsidRPr="00D9348B">
        <w:t>Methane and nitrous oxide emissions from drained and rewetted organic soils (CRF 4(KP-II</w:t>
      </w:r>
      <w:proofErr w:type="gramStart"/>
      <w:r w:rsidRPr="00D9348B">
        <w:t>)2</w:t>
      </w:r>
      <w:proofErr w:type="gramEnd"/>
      <w:r w:rsidRPr="00D9348B">
        <w:t>)</w:t>
      </w:r>
    </w:p>
    <w:p w14:paraId="01C3B77A" w14:textId="77777777" w:rsidR="00627CA1" w:rsidRPr="00D9348B" w:rsidRDefault="00627CA1" w:rsidP="00627CA1">
      <w:pPr>
        <w:pStyle w:val="BodyText"/>
      </w:pPr>
      <w:r w:rsidRPr="00D9348B">
        <w:t xml:space="preserve">The methodology for estimating these emissions is contained within the </w:t>
      </w:r>
      <w:r w:rsidRPr="00D9348B">
        <w:rPr>
          <w:i/>
        </w:rPr>
        <w:t>2013 Supplement to the 2006 IPCC Guidelines for National Greenhouse Gas Inventories: Wetlands</w:t>
      </w:r>
      <w:r w:rsidRPr="00D9348B">
        <w:t xml:space="preserve"> (IPCC, 2014b). </w:t>
      </w:r>
      <w:r w:rsidRPr="00D9348B">
        <w:lastRenderedPageBreak/>
        <w:t>This supplement was not adopted by the Conference of the Parties serving as the meeting of the Parties to the Kyoto Protocol and, as such, its use is voluntary unless a country has elected ‘</w:t>
      </w:r>
      <w:r w:rsidRPr="00D9348B">
        <w:rPr>
          <w:i/>
        </w:rPr>
        <w:t>Wetland drainage and rewetting</w:t>
      </w:r>
      <w:r w:rsidRPr="00D9348B">
        <w:t>’. Given this, New Zealand reports NE (not estimated) in the CRF table for methane and N</w:t>
      </w:r>
      <w:r w:rsidRPr="00D9348B">
        <w:rPr>
          <w:vertAlign w:val="subscript"/>
        </w:rPr>
        <w:t>2</w:t>
      </w:r>
      <w:r w:rsidRPr="00D9348B">
        <w:t>O emissions from drained and rewetted organic soils.</w:t>
      </w:r>
    </w:p>
    <w:p w14:paraId="4C627034" w14:textId="56ED2708" w:rsidR="00627CA1" w:rsidRPr="00D9348B" w:rsidRDefault="00627CA1" w:rsidP="007E30D7">
      <w:pPr>
        <w:pStyle w:val="Heading4"/>
        <w:spacing w:before="160"/>
      </w:pPr>
      <w:r w:rsidRPr="00D9348B">
        <w:t>Nitrous oxide emissions from nitrogen mineralisation and immobilisation associated with </w:t>
      </w:r>
      <w:r w:rsidR="00EA7212">
        <w:t>land-use</w:t>
      </w:r>
      <w:r w:rsidRPr="00D9348B">
        <w:t xml:space="preserve"> conversions and management in mineral soils (CRF 4(KP-II</w:t>
      </w:r>
      <w:proofErr w:type="gramStart"/>
      <w:r w:rsidRPr="00D9348B">
        <w:t>)3</w:t>
      </w:r>
      <w:proofErr w:type="gramEnd"/>
      <w:r w:rsidRPr="00D9348B">
        <w:t>)</w:t>
      </w:r>
    </w:p>
    <w:p w14:paraId="77774D29" w14:textId="77777777" w:rsidR="00627CA1" w:rsidRPr="00D9348B" w:rsidRDefault="00627CA1" w:rsidP="00627CA1">
      <w:pPr>
        <w:pStyle w:val="BodyText"/>
      </w:pPr>
      <w:r w:rsidRPr="00D9348B">
        <w:t xml:space="preserve">Nitrous oxide emissions, resulting from nitrogen mineralisation and immobilisation associated with land conversion, are reported for </w:t>
      </w:r>
      <w:r w:rsidRPr="00D9348B">
        <w:rPr>
          <w:i/>
        </w:rPr>
        <w:t>Afforestation and reforestation</w:t>
      </w:r>
      <w:r w:rsidRPr="00D9348B">
        <w:t xml:space="preserve">, </w:t>
      </w:r>
      <w:r w:rsidRPr="00D9348B">
        <w:rPr>
          <w:i/>
        </w:rPr>
        <w:t>Deforestation</w:t>
      </w:r>
      <w:r w:rsidRPr="00D9348B">
        <w:t xml:space="preserve"> and </w:t>
      </w:r>
      <w:r w:rsidRPr="00D9348B">
        <w:rPr>
          <w:i/>
        </w:rPr>
        <w:t>Forest management</w:t>
      </w:r>
      <w:r w:rsidRPr="00D9348B">
        <w:t>. These are calculated following the IPCC Guidelines (IPCC, 2006a). Total emissions for these three activities are 0.2 kt N</w:t>
      </w:r>
      <w:r w:rsidRPr="00D9348B">
        <w:rPr>
          <w:vertAlign w:val="subscript"/>
        </w:rPr>
        <w:t>2</w:t>
      </w:r>
      <w:r w:rsidRPr="00D9348B">
        <w:t>O.</w:t>
      </w:r>
    </w:p>
    <w:p w14:paraId="36D81FAC" w14:textId="77777777" w:rsidR="00627CA1" w:rsidRPr="00D9348B" w:rsidRDefault="00627CA1" w:rsidP="00627CA1">
      <w:pPr>
        <w:pStyle w:val="BodyText"/>
      </w:pPr>
      <w:r w:rsidRPr="00D9348B">
        <w:t xml:space="preserve">Emissions associated with </w:t>
      </w:r>
      <w:r w:rsidRPr="00D9348B">
        <w:rPr>
          <w:i/>
        </w:rPr>
        <w:t>Indirect N</w:t>
      </w:r>
      <w:r w:rsidRPr="00D9348B">
        <w:rPr>
          <w:i/>
          <w:vertAlign w:val="subscript"/>
        </w:rPr>
        <w:t>2</w:t>
      </w:r>
      <w:r w:rsidRPr="00D9348B">
        <w:rPr>
          <w:i/>
        </w:rPr>
        <w:t>O emissions from managed soils</w:t>
      </w:r>
      <w:r w:rsidRPr="00D9348B">
        <w:t xml:space="preserve"> are also reported under the Agriculture sector. New Zealand reports IE (included elsewhere) in the relevant CRF tables. </w:t>
      </w:r>
    </w:p>
    <w:p w14:paraId="1C43D40A" w14:textId="77777777" w:rsidR="00627CA1" w:rsidRPr="00D9348B" w:rsidRDefault="00627CA1" w:rsidP="00865BDB">
      <w:pPr>
        <w:pStyle w:val="Heading4"/>
      </w:pPr>
      <w:r w:rsidRPr="00D9348B">
        <w:t>Biomass burning (CRF 4(KP-II</w:t>
      </w:r>
      <w:proofErr w:type="gramStart"/>
      <w:r w:rsidRPr="00D9348B">
        <w:t>)4</w:t>
      </w:r>
      <w:proofErr w:type="gramEnd"/>
      <w:r w:rsidRPr="00D9348B">
        <w:t>)</w:t>
      </w:r>
    </w:p>
    <w:p w14:paraId="712A5334" w14:textId="77777777" w:rsidR="00627CA1" w:rsidRPr="00D9348B" w:rsidRDefault="00627CA1" w:rsidP="00627CA1">
      <w:pPr>
        <w:pStyle w:val="Heading5"/>
        <w:spacing w:before="160"/>
      </w:pPr>
      <w:r w:rsidRPr="00D9348B">
        <w:t>Afforestation and reforestation</w:t>
      </w:r>
    </w:p>
    <w:p w14:paraId="7FC6EE58" w14:textId="77777777" w:rsidR="00627CA1" w:rsidRPr="00D9348B" w:rsidRDefault="00627CA1" w:rsidP="00627CA1">
      <w:pPr>
        <w:pStyle w:val="BodyText"/>
        <w:spacing w:after="100"/>
        <w:rPr>
          <w:spacing w:val="-2"/>
        </w:rPr>
      </w:pPr>
      <w:r w:rsidRPr="00D9348B">
        <w:rPr>
          <w:spacing w:val="-2"/>
        </w:rPr>
        <w:t xml:space="preserve">Non-carbon dioxide emissions from wildfires in </w:t>
      </w:r>
      <w:r w:rsidRPr="00D9348B">
        <w:rPr>
          <w:i/>
          <w:spacing w:val="-2"/>
        </w:rPr>
        <w:t>Land converted to forest land</w:t>
      </w:r>
      <w:r w:rsidRPr="00D9348B">
        <w:rPr>
          <w:spacing w:val="-2"/>
        </w:rPr>
        <w:t xml:space="preserve"> are reported under </w:t>
      </w:r>
      <w:r w:rsidRPr="00D9348B">
        <w:rPr>
          <w:i/>
          <w:spacing w:val="-2"/>
        </w:rPr>
        <w:t>Afforestation and reforestation</w:t>
      </w:r>
      <w:r w:rsidRPr="00D9348B">
        <w:rPr>
          <w:spacing w:val="-2"/>
        </w:rPr>
        <w:t xml:space="preserve">. The activity data do not distinguish between </w:t>
      </w:r>
      <w:r w:rsidRPr="00D9348B">
        <w:rPr>
          <w:i/>
          <w:spacing w:val="-2"/>
        </w:rPr>
        <w:t>Forest land</w:t>
      </w:r>
      <w:r w:rsidRPr="00D9348B">
        <w:rPr>
          <w:spacing w:val="-2"/>
        </w:rPr>
        <w:t> categories (</w:t>
      </w:r>
      <w:r w:rsidRPr="00D9348B">
        <w:rPr>
          <w:i/>
          <w:spacing w:val="-2"/>
        </w:rPr>
        <w:t>Afforestation and reforestation</w:t>
      </w:r>
      <w:r w:rsidRPr="00D9348B">
        <w:rPr>
          <w:spacing w:val="-2"/>
        </w:rPr>
        <w:t xml:space="preserve"> or </w:t>
      </w:r>
      <w:r w:rsidRPr="00D9348B">
        <w:rPr>
          <w:i/>
          <w:spacing w:val="-2"/>
        </w:rPr>
        <w:t>Forest management</w:t>
      </w:r>
      <w:r w:rsidRPr="00D9348B">
        <w:rPr>
          <w:spacing w:val="-2"/>
        </w:rPr>
        <w:t>); therefore, non-CO</w:t>
      </w:r>
      <w:r w:rsidRPr="00D9348B">
        <w:rPr>
          <w:spacing w:val="-2"/>
          <w:vertAlign w:val="subscript"/>
        </w:rPr>
        <w:t>2</w:t>
      </w:r>
      <w:r w:rsidRPr="00D9348B">
        <w:rPr>
          <w:spacing w:val="-2"/>
        </w:rPr>
        <w:t xml:space="preserve"> emissions resulting from wildfire are attributed to </w:t>
      </w:r>
      <w:r w:rsidRPr="00D9348B">
        <w:rPr>
          <w:i/>
          <w:spacing w:val="-2"/>
        </w:rPr>
        <w:t>Afforestation and reforestation</w:t>
      </w:r>
      <w:r w:rsidRPr="00D9348B">
        <w:rPr>
          <w:spacing w:val="-2"/>
        </w:rPr>
        <w:t xml:space="preserve"> by the proportion of the total planted forest area that these forests make up. An age-based carbon yield table is then used to estimate non-CO</w:t>
      </w:r>
      <w:r w:rsidRPr="00D9348B">
        <w:rPr>
          <w:spacing w:val="-2"/>
          <w:vertAlign w:val="subscript"/>
        </w:rPr>
        <w:t>2</w:t>
      </w:r>
      <w:r w:rsidRPr="00D9348B">
        <w:rPr>
          <w:spacing w:val="-2"/>
        </w:rPr>
        <w:t xml:space="preserve"> emissions for </w:t>
      </w:r>
      <w:r w:rsidRPr="00D9348B">
        <w:rPr>
          <w:i/>
          <w:spacing w:val="-2"/>
        </w:rPr>
        <w:t>Afforestation and reforestation</w:t>
      </w:r>
      <w:r w:rsidRPr="00D9348B">
        <w:rPr>
          <w:spacing w:val="-2"/>
        </w:rPr>
        <w:t xml:space="preserve"> land. This approach assumes that the carbon stock affected by wildfire is equivalent to the carbon stock at the average stand age each year throughout the time series (Wakelin, </w:t>
      </w:r>
      <w:proofErr w:type="gramStart"/>
      <w:r w:rsidRPr="00D9348B">
        <w:rPr>
          <w:spacing w:val="-2"/>
        </w:rPr>
        <w:t>unpublished(</w:t>
      </w:r>
      <w:proofErr w:type="gramEnd"/>
      <w:r w:rsidRPr="00D9348B">
        <w:rPr>
          <w:spacing w:val="-2"/>
        </w:rPr>
        <w:t>a)). Carbon dioxide emissions resulting from wildfire events are reported as IE (included elsewhere) in the CRF tables because these are assumed to be captured in the harvest emissions of salvage logged stands.</w:t>
      </w:r>
    </w:p>
    <w:p w14:paraId="0DB29AEF" w14:textId="77777777" w:rsidR="00627CA1" w:rsidRPr="00D9348B" w:rsidRDefault="00627CA1" w:rsidP="00627CA1">
      <w:pPr>
        <w:pStyle w:val="BodyText"/>
        <w:spacing w:after="100"/>
      </w:pPr>
      <w:r w:rsidRPr="00D9348B">
        <w:t xml:space="preserve">A survey of controlled burning activities in planted forests was carried out in 2011. The survey indicated that, on average, 5 per cent of conversions to planted forest between 1990 and 2011 involved burning to clear vegetation. This area is allocated to </w:t>
      </w:r>
      <w:r w:rsidRPr="00D9348B">
        <w:rPr>
          <w:i/>
        </w:rPr>
        <w:t>Forest management</w:t>
      </w:r>
      <w:r w:rsidRPr="00D9348B">
        <w:t xml:space="preserve"> (land converted from natural forest) and </w:t>
      </w:r>
      <w:r w:rsidRPr="00D9348B">
        <w:rPr>
          <w:i/>
        </w:rPr>
        <w:t>Afforestation</w:t>
      </w:r>
      <w:r w:rsidRPr="00D9348B">
        <w:t xml:space="preserve"> (land converted from grassland with woody biomass) on a pro rata basis (Wakelin, </w:t>
      </w:r>
      <w:proofErr w:type="gramStart"/>
      <w:r w:rsidRPr="00D9348B">
        <w:t>unpublished(</w:t>
      </w:r>
      <w:proofErr w:type="gramEnd"/>
      <w:r w:rsidRPr="00D9348B">
        <w:t>b)).</w:t>
      </w:r>
    </w:p>
    <w:p w14:paraId="17EE8B22" w14:textId="77777777" w:rsidR="00627CA1" w:rsidRPr="00D9348B" w:rsidRDefault="00627CA1" w:rsidP="00627CA1">
      <w:pPr>
        <w:pStyle w:val="BodyText"/>
        <w:spacing w:after="100"/>
      </w:pPr>
      <w:r w:rsidRPr="00D9348B">
        <w:t xml:space="preserve">It is understood that controlled burning of post-harvest residues prior to replanting on </w:t>
      </w:r>
      <w:r w:rsidRPr="00D9348B">
        <w:rPr>
          <w:i/>
        </w:rPr>
        <w:t>Afforestation</w:t>
      </w:r>
      <w:r w:rsidRPr="00D9348B">
        <w:t xml:space="preserve"> land does not occur due to the nature of harvest in short-rotation forest grown for pulp (where most biomass is removed from the site). However, this assumption will be revisited in a future submission as the harvest rate in these forests increases. </w:t>
      </w:r>
    </w:p>
    <w:p w14:paraId="355C55B1" w14:textId="77777777" w:rsidR="00627CA1" w:rsidRPr="00D9348B" w:rsidRDefault="00627CA1" w:rsidP="007E30D7">
      <w:pPr>
        <w:pStyle w:val="Heading5"/>
        <w:spacing w:before="160"/>
      </w:pPr>
      <w:bookmarkStart w:id="3279" w:name="_Toc261513291"/>
      <w:bookmarkStart w:id="3280" w:name="_Toc261513904"/>
      <w:bookmarkStart w:id="3281" w:name="_Toc280630394"/>
      <w:r w:rsidRPr="00D9348B">
        <w:t>Deforestation</w:t>
      </w:r>
    </w:p>
    <w:p w14:paraId="325045F0" w14:textId="02C64CC1" w:rsidR="00627CA1" w:rsidRPr="00D9348B" w:rsidRDefault="00627CA1" w:rsidP="00627CA1">
      <w:pPr>
        <w:pStyle w:val="BodyText"/>
        <w:spacing w:before="100" w:after="100"/>
        <w:rPr>
          <w:spacing w:val="-2"/>
        </w:rPr>
      </w:pPr>
      <w:r w:rsidRPr="00D9348B">
        <w:rPr>
          <w:spacing w:val="-2"/>
        </w:rPr>
        <w:t xml:space="preserve">An estimate is provided for controlled burning of post-harvest slash associated with </w:t>
      </w:r>
      <w:r w:rsidRPr="00D9348B">
        <w:rPr>
          <w:i/>
          <w:spacing w:val="-2"/>
        </w:rPr>
        <w:t>Deforestation</w:t>
      </w:r>
      <w:r w:rsidRPr="00D9348B">
        <w:rPr>
          <w:spacing w:val="-2"/>
        </w:rPr>
        <w:t xml:space="preserve">. No information is available on the extent of burning associated with </w:t>
      </w:r>
      <w:r w:rsidRPr="00D9348B">
        <w:rPr>
          <w:i/>
          <w:spacing w:val="-2"/>
        </w:rPr>
        <w:t>Deforestation</w:t>
      </w:r>
      <w:r w:rsidRPr="00D9348B">
        <w:rPr>
          <w:spacing w:val="-2"/>
        </w:rPr>
        <w:t xml:space="preserve"> in New Zealand. Therefore, it is assumed that 30 per cent of conversions involve burning. This percentage is chosen as a conservative proportion of one of the four main methods for disposing of residues in New Zealand. The other methods for residue disposal are chipping and removal, mulching into the soil and leaving to decay (Goulding, unpublished). To estimate emissions from the burning of harvest residue, the IPCC default combustion proportion for non-eucalypt temperate forest (0.62) is applied to an emission factor derived from the national plot network (table 2.6, IPCC, 2006a). The emission factor excludes the proportion of logs taken offsite </w:t>
      </w:r>
      <w:r w:rsidRPr="00D9348B">
        <w:rPr>
          <w:spacing w:val="-2"/>
        </w:rPr>
        <w:lastRenderedPageBreak/>
        <w:t>(70 per</w:t>
      </w:r>
      <w:r w:rsidR="007E30D7" w:rsidRPr="00D9348B">
        <w:rPr>
          <w:spacing w:val="-2"/>
        </w:rPr>
        <w:t> </w:t>
      </w:r>
      <w:r w:rsidRPr="00D9348B">
        <w:rPr>
          <w:spacing w:val="-2"/>
        </w:rPr>
        <w:t>cent of above-ground biomass) and is taken from the relevant yield tables at the average age of harvest in New Zealand.</w:t>
      </w:r>
    </w:p>
    <w:p w14:paraId="4C97CB79" w14:textId="77777777" w:rsidR="00627CA1" w:rsidRPr="00D9348B" w:rsidRDefault="00627CA1" w:rsidP="00627CA1">
      <w:pPr>
        <w:pStyle w:val="BodyText"/>
        <w:spacing w:before="100" w:after="100"/>
      </w:pPr>
      <w:r w:rsidRPr="00D9348B">
        <w:t>Estimates are provided for wildfire on deforested land (</w:t>
      </w:r>
      <w:r w:rsidRPr="00D9348B">
        <w:rPr>
          <w:i/>
        </w:rPr>
        <w:t>Forest land converted to grassland</w:t>
      </w:r>
      <w:r w:rsidRPr="00D9348B">
        <w:t>) in the inventory. The activity data do not identify deforested land; therefore, non-CO</w:t>
      </w:r>
      <w:r w:rsidRPr="00D9348B">
        <w:rPr>
          <w:vertAlign w:val="subscript"/>
        </w:rPr>
        <w:t>2</w:t>
      </w:r>
      <w:r w:rsidRPr="00D9348B">
        <w:t xml:space="preserve"> emissions resulting from wildfire are attributed to deforested land by the proportion of area that deforested land makes up of the total </w:t>
      </w:r>
      <w:r w:rsidRPr="00D9348B">
        <w:rPr>
          <w:i/>
        </w:rPr>
        <w:t>Grassland</w:t>
      </w:r>
      <w:r w:rsidRPr="00D9348B">
        <w:t xml:space="preserve"> area. The methodology follows that described in chapter 6, section 6.11.5. Around 1 per cent of wildfire emissions in </w:t>
      </w:r>
      <w:r w:rsidRPr="00D9348B">
        <w:rPr>
          <w:i/>
        </w:rPr>
        <w:t>Grassland</w:t>
      </w:r>
      <w:r w:rsidRPr="00D9348B">
        <w:t xml:space="preserve"> are estimated to have occurred on deforested land between 2008 and 2018.</w:t>
      </w:r>
    </w:p>
    <w:p w14:paraId="7665BF24" w14:textId="77777777" w:rsidR="00627CA1" w:rsidRPr="00D9348B" w:rsidRDefault="00627CA1" w:rsidP="00627CA1">
      <w:pPr>
        <w:pStyle w:val="Heading5"/>
        <w:spacing w:before="200"/>
      </w:pPr>
      <w:r w:rsidRPr="00D9348B">
        <w:t>Forest management</w:t>
      </w:r>
    </w:p>
    <w:p w14:paraId="3862AE48" w14:textId="77777777" w:rsidR="00627CA1" w:rsidRPr="00D9348B" w:rsidRDefault="00627CA1" w:rsidP="00627CA1">
      <w:pPr>
        <w:pStyle w:val="BodyText"/>
      </w:pPr>
      <w:r w:rsidRPr="00D9348B">
        <w:t>Non-CO</w:t>
      </w:r>
      <w:r w:rsidRPr="00D9348B">
        <w:rPr>
          <w:vertAlign w:val="subscript"/>
        </w:rPr>
        <w:t>2</w:t>
      </w:r>
      <w:r w:rsidRPr="00D9348B">
        <w:t xml:space="preserve"> emissions from wildfires in pre-1990 forest land are reported under </w:t>
      </w:r>
      <w:r w:rsidRPr="00D9348B">
        <w:rPr>
          <w:i/>
        </w:rPr>
        <w:t>Forest management</w:t>
      </w:r>
      <w:r w:rsidRPr="00D9348B">
        <w:t>. A plot-network-derived biomass density is used to estimate non-CO</w:t>
      </w:r>
      <w:r w:rsidRPr="00D9348B">
        <w:rPr>
          <w:vertAlign w:val="subscript"/>
        </w:rPr>
        <w:t>2</w:t>
      </w:r>
      <w:r w:rsidRPr="00D9348B">
        <w:t xml:space="preserve"> emissions from wildfire on </w:t>
      </w:r>
      <w:r w:rsidRPr="00D9348B">
        <w:rPr>
          <w:i/>
        </w:rPr>
        <w:t>Forest management</w:t>
      </w:r>
      <w:r w:rsidRPr="00D9348B">
        <w:t xml:space="preserve"> land. Aggregated wildfire activity data are attributed to each forest management category by proportion of forest type estimated to be burned over the time series. The split attributes 87.5 per cent to planted forest and the remaining to natural forest (Wakelin, </w:t>
      </w:r>
      <w:proofErr w:type="gramStart"/>
      <w:r w:rsidRPr="00D9348B">
        <w:t>unpublished(</w:t>
      </w:r>
      <w:proofErr w:type="gramEnd"/>
      <w:r w:rsidRPr="00D9348B">
        <w:t xml:space="preserve">a)). The planted forest activity data are further split into pre-1990 and post-1989 forest (see ‘Afforestation and reforestation’ above). In planted forest, it is assumed that the carbon stock affected by wildfire is equivalent to the carbon stock at the average stand age in each category (Wakelin, </w:t>
      </w:r>
      <w:proofErr w:type="gramStart"/>
      <w:r w:rsidRPr="00D9348B">
        <w:t>unpublished(</w:t>
      </w:r>
      <w:proofErr w:type="gramEnd"/>
      <w:r w:rsidRPr="00D9348B">
        <w:t xml:space="preserve">a)). </w:t>
      </w:r>
    </w:p>
    <w:p w14:paraId="3CC4D0B4" w14:textId="77777777" w:rsidR="00627CA1" w:rsidRPr="00D9348B" w:rsidRDefault="00627CA1" w:rsidP="00627CA1">
      <w:pPr>
        <w:pStyle w:val="BodyText"/>
        <w:spacing w:after="100"/>
      </w:pPr>
      <w:r w:rsidRPr="00D9348B">
        <w:t xml:space="preserve">A survey of controlled burning in planted forest was carried out in 2011 (Wakelin, </w:t>
      </w:r>
      <w:proofErr w:type="gramStart"/>
      <w:r w:rsidRPr="00D9348B">
        <w:t>unpublished(</w:t>
      </w:r>
      <w:proofErr w:type="gramEnd"/>
      <w:r w:rsidRPr="00D9348B">
        <w:t>b)). Estimates were provided for burning associated with the clearing of vegetation (i.e., natural forest and grassland with woody biomass) prior to the establishment of exotic planted forest (see ‘Afforestation and reforestation’ above).</w:t>
      </w:r>
    </w:p>
    <w:p w14:paraId="65876D58" w14:textId="77777777" w:rsidR="00627CA1" w:rsidRPr="00D9348B" w:rsidRDefault="00627CA1" w:rsidP="00627CA1">
      <w:pPr>
        <w:pStyle w:val="BodyText"/>
        <w:spacing w:after="100"/>
      </w:pPr>
      <w:r w:rsidRPr="00D9348B">
        <w:t xml:space="preserve">The survey also provided data on the burning of post-harvest slash prior to restocking. This activity was found to occur mainly as a training exercise for wildfire control or for the clearing of slash heaps on skid sites. The data indicated that 0.8 per cent of restocked area was burned annually in recent years (Wakelin, </w:t>
      </w:r>
      <w:proofErr w:type="gramStart"/>
      <w:r w:rsidRPr="00D9348B">
        <w:t>unpublished(</w:t>
      </w:r>
      <w:proofErr w:type="gramEnd"/>
      <w:r w:rsidRPr="00D9348B">
        <w:t xml:space="preserve">b)). This estimate was combined with two earlier estimates of controlled burning in planted forest (Forest Industry Training and Education Council, 2005; Robertson, 1998) to provide activity data throughout the time series. It is assumed that 1.6 per cent of restocked area was burned from 1990 to 1997 (Wakelin, </w:t>
      </w:r>
      <w:proofErr w:type="gramStart"/>
      <w:r w:rsidRPr="00D9348B">
        <w:t>unpublished(</w:t>
      </w:r>
      <w:proofErr w:type="gramEnd"/>
      <w:r w:rsidRPr="00D9348B">
        <w:t xml:space="preserve">b)). From 1997, the area burned declines linearly to 0.8 per cent, which is used from 2005 onwards (Wakelin, </w:t>
      </w:r>
      <w:proofErr w:type="gramStart"/>
      <w:r w:rsidRPr="00D9348B">
        <w:t>unpublished(</w:t>
      </w:r>
      <w:proofErr w:type="gramEnd"/>
      <w:r w:rsidRPr="00D9348B">
        <w:t>b)).</w:t>
      </w:r>
    </w:p>
    <w:p w14:paraId="177AAEA6" w14:textId="77777777" w:rsidR="00627CA1" w:rsidRPr="00D9348B" w:rsidRDefault="00627CA1" w:rsidP="00627CA1">
      <w:pPr>
        <w:pStyle w:val="BodyText"/>
        <w:spacing w:after="100"/>
      </w:pPr>
      <w:r w:rsidRPr="00D9348B">
        <w:t xml:space="preserve">A more detailed description of </w:t>
      </w:r>
      <w:r w:rsidRPr="00D9348B">
        <w:rPr>
          <w:i/>
        </w:rPr>
        <w:t>Biomass burning</w:t>
      </w:r>
      <w:r w:rsidRPr="00D9348B">
        <w:t xml:space="preserve"> on </w:t>
      </w:r>
      <w:r w:rsidRPr="00D9348B">
        <w:rPr>
          <w:i/>
        </w:rPr>
        <w:t>Forest land</w:t>
      </w:r>
      <w:r w:rsidRPr="00D9348B">
        <w:t xml:space="preserve"> is provided in chapter 6, section 6.11.5. </w:t>
      </w:r>
    </w:p>
    <w:p w14:paraId="588ADC70" w14:textId="77777777" w:rsidR="00627CA1" w:rsidRPr="00D9348B" w:rsidRDefault="00627CA1" w:rsidP="00627CA1">
      <w:pPr>
        <w:pStyle w:val="Heading2"/>
        <w:spacing w:before="320"/>
      </w:pPr>
      <w:bookmarkStart w:id="3282" w:name="_Toc456179172"/>
      <w:bookmarkStart w:id="3283" w:name="_Toc481751425"/>
      <w:bookmarkStart w:id="3284" w:name="_Toc522013964"/>
      <w:bookmarkStart w:id="3285" w:name="_Toc5269408"/>
      <w:bookmarkStart w:id="3286" w:name="_Toc36224448"/>
      <w:bookmarkStart w:id="3287" w:name="_Toc261513293"/>
      <w:bookmarkStart w:id="3288" w:name="_Toc261513906"/>
      <w:bookmarkStart w:id="3289" w:name="_Toc280630396"/>
      <w:bookmarkEnd w:id="3279"/>
      <w:bookmarkEnd w:id="3280"/>
      <w:bookmarkEnd w:id="3281"/>
      <w:r w:rsidRPr="00D9348B">
        <w:t>11.4</w:t>
      </w:r>
      <w:r w:rsidRPr="00D9348B">
        <w:tab/>
        <w:t>Other methodological issues</w:t>
      </w:r>
      <w:bookmarkEnd w:id="3282"/>
      <w:bookmarkEnd w:id="3283"/>
      <w:bookmarkEnd w:id="3284"/>
      <w:bookmarkEnd w:id="3285"/>
      <w:bookmarkEnd w:id="3286"/>
    </w:p>
    <w:p w14:paraId="62378F20" w14:textId="77777777" w:rsidR="00627CA1" w:rsidRPr="00D9348B" w:rsidRDefault="00627CA1" w:rsidP="00627CA1">
      <w:pPr>
        <w:pStyle w:val="Heading3"/>
        <w:spacing w:before="120"/>
      </w:pPr>
      <w:bookmarkStart w:id="3290" w:name="_Toc261513294"/>
      <w:bookmarkStart w:id="3291" w:name="_Toc261513907"/>
      <w:bookmarkStart w:id="3292" w:name="_Toc280630397"/>
      <w:bookmarkEnd w:id="3287"/>
      <w:bookmarkEnd w:id="3288"/>
      <w:bookmarkEnd w:id="3289"/>
      <w:r w:rsidRPr="00D9348B">
        <w:t xml:space="preserve">11.4.1 </w:t>
      </w:r>
      <w:r w:rsidRPr="00D9348B">
        <w:tab/>
        <w:t>Uncertainty</w:t>
      </w:r>
      <w:bookmarkEnd w:id="3290"/>
      <w:bookmarkEnd w:id="3291"/>
      <w:bookmarkEnd w:id="3292"/>
      <w:r w:rsidRPr="00D9348B">
        <w:t xml:space="preserve"> and time-series consistency</w:t>
      </w:r>
    </w:p>
    <w:p w14:paraId="087AA1AF" w14:textId="7E2E88B5" w:rsidR="00627CA1" w:rsidRPr="00D9348B" w:rsidRDefault="00627CA1" w:rsidP="00627CA1">
      <w:pPr>
        <w:pStyle w:val="BodyText"/>
        <w:spacing w:before="100" w:after="100"/>
      </w:pPr>
      <w:r w:rsidRPr="00D9348B">
        <w:t xml:space="preserve">The uncertainty in net emissions from </w:t>
      </w:r>
      <w:r w:rsidRPr="00D9348B">
        <w:rPr>
          <w:i/>
        </w:rPr>
        <w:t>Afforestation and reforestation</w:t>
      </w:r>
      <w:r w:rsidRPr="00D9348B">
        <w:t xml:space="preserve"> is ±15.2 per cent. This is</w:t>
      </w:r>
      <w:r w:rsidR="00C15D88" w:rsidRPr="00D9348B">
        <w:t> </w:t>
      </w:r>
      <w:r w:rsidRPr="00D9348B">
        <w:t xml:space="preserve">based on the uncertainty in emissions from post-1989 forest and a small contribution from </w:t>
      </w:r>
      <w:r w:rsidRPr="00D9348B">
        <w:rPr>
          <w:i/>
        </w:rPr>
        <w:t>Harvested wood products</w:t>
      </w:r>
      <w:r w:rsidRPr="00D9348B">
        <w:t xml:space="preserve"> (tables 11.4.1 and 11.4.2). </w:t>
      </w:r>
    </w:p>
    <w:p w14:paraId="63996EFE" w14:textId="77777777" w:rsidR="00627CA1" w:rsidRPr="00D9348B" w:rsidRDefault="00627CA1" w:rsidP="00627CA1">
      <w:pPr>
        <w:pStyle w:val="BodyText"/>
        <w:spacing w:before="100" w:after="100"/>
      </w:pPr>
      <w:r w:rsidRPr="00D9348B">
        <w:t xml:space="preserve">The uncertainty in emissions from </w:t>
      </w:r>
      <w:r w:rsidRPr="00D9348B">
        <w:rPr>
          <w:i/>
        </w:rPr>
        <w:t>Deforestation</w:t>
      </w:r>
      <w:r w:rsidRPr="00D9348B">
        <w:t xml:space="preserve"> is determined by the type of </w:t>
      </w:r>
      <w:r w:rsidRPr="00D9348B">
        <w:rPr>
          <w:i/>
        </w:rPr>
        <w:t>Forest land</w:t>
      </w:r>
      <w:r w:rsidRPr="00D9348B">
        <w:t xml:space="preserve"> (table 11.4.1). The combined uncertainty introduced into emissions from </w:t>
      </w:r>
      <w:r w:rsidRPr="00D9348B">
        <w:rPr>
          <w:i/>
        </w:rPr>
        <w:t>Deforestation</w:t>
      </w:r>
      <w:r w:rsidRPr="00D9348B">
        <w:t xml:space="preserve"> is ±2.3 per cent (table 11.4.2). </w:t>
      </w:r>
    </w:p>
    <w:p w14:paraId="1043FDDD" w14:textId="77777777" w:rsidR="00627CA1" w:rsidRPr="00D9348B" w:rsidRDefault="00627CA1" w:rsidP="00627CA1">
      <w:pPr>
        <w:pStyle w:val="BodyText"/>
        <w:spacing w:before="100" w:after="100"/>
      </w:pPr>
      <w:r w:rsidRPr="00D9348B">
        <w:lastRenderedPageBreak/>
        <w:t xml:space="preserve">The combined uncertainty in </w:t>
      </w:r>
      <w:r w:rsidRPr="00D9348B">
        <w:rPr>
          <w:i/>
        </w:rPr>
        <w:t>Forest management</w:t>
      </w:r>
      <w:r w:rsidRPr="00D9348B">
        <w:t xml:space="preserve"> is ±53.9 per cent at a 95 per cent confidence interval. This is the combined uncertainty of pre-1990 natural forest and pre-1990 planted forest and includes uncertainty associated with </w:t>
      </w:r>
      <w:r w:rsidRPr="00D9348B">
        <w:rPr>
          <w:i/>
        </w:rPr>
        <w:t>Harvested wood products</w:t>
      </w:r>
      <w:r w:rsidRPr="00D9348B">
        <w:t>.</w:t>
      </w:r>
    </w:p>
    <w:p w14:paraId="1B6EB6DE" w14:textId="77777777" w:rsidR="00627CA1" w:rsidRPr="00D9348B" w:rsidRDefault="00627CA1" w:rsidP="00627CA1">
      <w:pPr>
        <w:pStyle w:val="BodyText"/>
        <w:spacing w:before="100" w:after="100"/>
      </w:pPr>
      <w:r w:rsidRPr="00D9348B">
        <w:t xml:space="preserve">Further detail on the uncertainty in emissions for pre-1990 natural forest, pre-1990 planted forest, post-1989 forest and </w:t>
      </w:r>
      <w:r w:rsidRPr="00D9348B">
        <w:rPr>
          <w:i/>
        </w:rPr>
        <w:t>Harvested wood products</w:t>
      </w:r>
      <w:r w:rsidRPr="00D9348B">
        <w:t xml:space="preserve"> is provided in chapter 6, sections 6.1.3 and 6.4.3.</w:t>
      </w:r>
    </w:p>
    <w:p w14:paraId="016A233E" w14:textId="77777777" w:rsidR="00627CA1" w:rsidRPr="00D9348B" w:rsidRDefault="00627CA1" w:rsidP="00627CA1">
      <w:pPr>
        <w:pStyle w:val="Table"/>
      </w:pPr>
      <w:bookmarkStart w:id="3293" w:name="_Toc280630486"/>
      <w:bookmarkStart w:id="3294" w:name="_Toc310423446"/>
      <w:bookmarkStart w:id="3295" w:name="_Toc318362739"/>
      <w:bookmarkStart w:id="3296" w:name="_Toc342470818"/>
      <w:bookmarkStart w:id="3297" w:name="_Toc352505071"/>
      <w:bookmarkStart w:id="3298" w:name="_Toc377043707"/>
      <w:bookmarkStart w:id="3299" w:name="_Toc391023559"/>
      <w:bookmarkStart w:id="3300" w:name="_Toc414531532"/>
      <w:bookmarkStart w:id="3301" w:name="_Toc456179110"/>
      <w:bookmarkStart w:id="3302" w:name="_Toc481751635"/>
      <w:bookmarkStart w:id="3303" w:name="_Toc522010661"/>
      <w:bookmarkStart w:id="3304" w:name="_Toc5269632"/>
      <w:bookmarkStart w:id="3305" w:name="_Toc36224715"/>
      <w:r w:rsidRPr="00D9348B">
        <w:t xml:space="preserve">Table 11.4.1 </w:t>
      </w:r>
      <w:r w:rsidRPr="00D9348B">
        <w:tab/>
        <w:t>Uncertainty in New Zealand’s estimates for Afforestation and reforestation</w:t>
      </w:r>
      <w:proofErr w:type="gramStart"/>
      <w:r w:rsidRPr="00D9348B">
        <w:t>,</w:t>
      </w:r>
      <w:proofErr w:type="gramEnd"/>
      <w:r w:rsidRPr="00D9348B">
        <w:br/>
        <w:t xml:space="preserve">Deforestation and Forest management in </w:t>
      </w:r>
      <w:bookmarkEnd w:id="3293"/>
      <w:bookmarkEnd w:id="3294"/>
      <w:bookmarkEnd w:id="3295"/>
      <w:bookmarkEnd w:id="3296"/>
      <w:bookmarkEnd w:id="3297"/>
      <w:bookmarkEnd w:id="3298"/>
      <w:bookmarkEnd w:id="3299"/>
      <w:bookmarkEnd w:id="3300"/>
      <w:r w:rsidRPr="00D9348B">
        <w:t>2018</w:t>
      </w:r>
      <w:bookmarkEnd w:id="3301"/>
      <w:bookmarkEnd w:id="3302"/>
      <w:bookmarkEnd w:id="3303"/>
      <w:bookmarkEnd w:id="3304"/>
      <w:bookmarkEnd w:id="3305"/>
    </w:p>
    <w:tbl>
      <w:tblPr>
        <w:tblW w:w="8505" w:type="dxa"/>
        <w:tblInd w:w="108" w:type="dxa"/>
        <w:tblBorders>
          <w:top w:val="single" w:sz="8" w:space="0" w:color="1F497D"/>
          <w:bottom w:val="single" w:sz="8" w:space="0" w:color="1F497D"/>
          <w:insideH w:val="single" w:sz="8" w:space="0" w:color="1F497D"/>
        </w:tblBorders>
        <w:tblLayout w:type="fixed"/>
        <w:tblLook w:val="04A0" w:firstRow="1" w:lastRow="0" w:firstColumn="1" w:lastColumn="0" w:noHBand="0" w:noVBand="1"/>
      </w:tblPr>
      <w:tblGrid>
        <w:gridCol w:w="2552"/>
        <w:gridCol w:w="1417"/>
        <w:gridCol w:w="993"/>
        <w:gridCol w:w="850"/>
        <w:gridCol w:w="851"/>
        <w:gridCol w:w="897"/>
        <w:gridCol w:w="945"/>
      </w:tblGrid>
      <w:tr w:rsidR="00627CA1" w:rsidRPr="00D9348B" w14:paraId="3C13892D" w14:textId="77777777" w:rsidTr="00DB330E">
        <w:trPr>
          <w:tblHeader/>
        </w:trPr>
        <w:tc>
          <w:tcPr>
            <w:tcW w:w="2552" w:type="dxa"/>
            <w:tcBorders>
              <w:top w:val="single" w:sz="4" w:space="0" w:color="365F91"/>
              <w:bottom w:val="nil"/>
            </w:tcBorders>
            <w:shd w:val="clear" w:color="auto" w:fill="365F91"/>
            <w:noWrap/>
            <w:vAlign w:val="center"/>
            <w:hideMark/>
          </w:tcPr>
          <w:p w14:paraId="5FD6A4AA" w14:textId="77777777" w:rsidR="00627CA1" w:rsidRPr="00D9348B" w:rsidRDefault="00627CA1" w:rsidP="00C124D7">
            <w:pPr>
              <w:pStyle w:val="TableTextBold"/>
              <w:keepNext/>
              <w:spacing w:before="50" w:after="0"/>
              <w:jc w:val="center"/>
              <w:rPr>
                <w:rFonts w:cs="Calibri"/>
                <w:bCs/>
                <w:noProof w:val="0"/>
                <w:color w:val="FFFFFF"/>
                <w:szCs w:val="16"/>
              </w:rPr>
            </w:pPr>
          </w:p>
        </w:tc>
        <w:tc>
          <w:tcPr>
            <w:tcW w:w="5953" w:type="dxa"/>
            <w:gridSpan w:val="6"/>
            <w:tcBorders>
              <w:top w:val="single" w:sz="4" w:space="0" w:color="365F91"/>
              <w:bottom w:val="nil"/>
            </w:tcBorders>
            <w:shd w:val="clear" w:color="auto" w:fill="365F91"/>
            <w:noWrap/>
            <w:vAlign w:val="center"/>
            <w:hideMark/>
          </w:tcPr>
          <w:p w14:paraId="4877EEDE" w14:textId="77777777" w:rsidR="00627CA1" w:rsidRPr="00D9348B" w:rsidRDefault="00627CA1" w:rsidP="00C124D7">
            <w:pPr>
              <w:pStyle w:val="TableTextBold"/>
              <w:spacing w:before="50" w:after="0"/>
              <w:jc w:val="center"/>
              <w:rPr>
                <w:rFonts w:cs="Calibri"/>
                <w:bCs/>
                <w:noProof w:val="0"/>
                <w:color w:val="FFFFFF"/>
                <w:szCs w:val="16"/>
              </w:rPr>
            </w:pPr>
            <w:r w:rsidRPr="00D9348B">
              <w:rPr>
                <w:rFonts w:cs="Calibri"/>
                <w:bCs/>
                <w:noProof w:val="0"/>
                <w:color w:val="FFFFFF"/>
                <w:szCs w:val="16"/>
              </w:rPr>
              <w:t>Uncertainty (%) at a 95% confidence interval</w:t>
            </w:r>
          </w:p>
        </w:tc>
      </w:tr>
      <w:tr w:rsidR="00627CA1" w:rsidRPr="00D9348B" w14:paraId="522CC1DB" w14:textId="77777777" w:rsidTr="00DB330E">
        <w:trPr>
          <w:tblHeader/>
        </w:trPr>
        <w:tc>
          <w:tcPr>
            <w:tcW w:w="2552" w:type="dxa"/>
            <w:tcBorders>
              <w:top w:val="nil"/>
              <w:left w:val="nil"/>
              <w:bottom w:val="single" w:sz="4" w:space="0" w:color="365F91"/>
            </w:tcBorders>
            <w:shd w:val="clear" w:color="auto" w:fill="365F91"/>
            <w:noWrap/>
            <w:vAlign w:val="center"/>
            <w:hideMark/>
          </w:tcPr>
          <w:p w14:paraId="5482449C" w14:textId="77777777" w:rsidR="00627CA1" w:rsidRPr="00D9348B" w:rsidRDefault="00627CA1" w:rsidP="00DB330E">
            <w:pPr>
              <w:pStyle w:val="TableTextBold"/>
              <w:keepNext/>
              <w:spacing w:before="50" w:after="50"/>
              <w:jc w:val="center"/>
              <w:rPr>
                <w:rFonts w:cs="Calibri"/>
                <w:bCs/>
                <w:noProof w:val="0"/>
                <w:color w:val="FFFFFF"/>
                <w:szCs w:val="16"/>
              </w:rPr>
            </w:pPr>
          </w:p>
        </w:tc>
        <w:tc>
          <w:tcPr>
            <w:tcW w:w="1417" w:type="dxa"/>
            <w:tcBorders>
              <w:top w:val="nil"/>
              <w:bottom w:val="single" w:sz="4" w:space="0" w:color="365F91"/>
            </w:tcBorders>
            <w:shd w:val="clear" w:color="auto" w:fill="365F91"/>
            <w:vAlign w:val="bottom"/>
            <w:hideMark/>
          </w:tcPr>
          <w:p w14:paraId="248EF688" w14:textId="77777777" w:rsidR="00627CA1" w:rsidRPr="00D9348B" w:rsidRDefault="00627CA1" w:rsidP="00DB330E">
            <w:pPr>
              <w:pStyle w:val="TableTextBold"/>
              <w:spacing w:before="50" w:after="50"/>
              <w:jc w:val="center"/>
              <w:rPr>
                <w:rFonts w:cs="Calibri"/>
                <w:noProof w:val="0"/>
                <w:color w:val="FFFFFF"/>
                <w:szCs w:val="16"/>
              </w:rPr>
            </w:pPr>
            <w:r w:rsidRPr="00D9348B">
              <w:rPr>
                <w:rFonts w:cs="Calibri"/>
                <w:noProof w:val="0"/>
                <w:color w:val="FFFFFF"/>
                <w:szCs w:val="16"/>
              </w:rPr>
              <w:t>Afforestation and</w:t>
            </w:r>
            <w:r w:rsidRPr="00D9348B">
              <w:rPr>
                <w:rFonts w:cs="Calibri"/>
                <w:noProof w:val="0"/>
                <w:color w:val="FFFFFF"/>
                <w:szCs w:val="16"/>
              </w:rPr>
              <w:br/>
              <w:t>reforestation</w:t>
            </w:r>
          </w:p>
        </w:tc>
        <w:tc>
          <w:tcPr>
            <w:tcW w:w="2694" w:type="dxa"/>
            <w:gridSpan w:val="3"/>
            <w:tcBorders>
              <w:top w:val="nil"/>
              <w:bottom w:val="single" w:sz="4" w:space="0" w:color="365F91"/>
            </w:tcBorders>
            <w:shd w:val="clear" w:color="auto" w:fill="365F91"/>
            <w:noWrap/>
            <w:vAlign w:val="bottom"/>
            <w:hideMark/>
          </w:tcPr>
          <w:p w14:paraId="1B947B6D" w14:textId="77777777" w:rsidR="00627CA1" w:rsidRPr="00D9348B" w:rsidRDefault="00627CA1" w:rsidP="00DB330E">
            <w:pPr>
              <w:pStyle w:val="TableTextBold"/>
              <w:spacing w:before="50" w:after="50"/>
              <w:jc w:val="center"/>
              <w:rPr>
                <w:rFonts w:cs="Calibri"/>
                <w:noProof w:val="0"/>
                <w:color w:val="FFFFFF"/>
                <w:szCs w:val="16"/>
              </w:rPr>
            </w:pPr>
            <w:r w:rsidRPr="00D9348B">
              <w:rPr>
                <w:rFonts w:cs="Calibri"/>
                <w:noProof w:val="0"/>
                <w:color w:val="FFFFFF"/>
                <w:szCs w:val="16"/>
              </w:rPr>
              <w:t>Deforestation</w:t>
            </w:r>
          </w:p>
        </w:tc>
        <w:tc>
          <w:tcPr>
            <w:tcW w:w="1842" w:type="dxa"/>
            <w:gridSpan w:val="2"/>
            <w:tcBorders>
              <w:top w:val="nil"/>
              <w:bottom w:val="single" w:sz="4" w:space="0" w:color="365F91"/>
              <w:right w:val="nil"/>
            </w:tcBorders>
            <w:shd w:val="clear" w:color="auto" w:fill="365F91"/>
            <w:vAlign w:val="bottom"/>
          </w:tcPr>
          <w:p w14:paraId="2A4FCB08" w14:textId="77777777" w:rsidR="00627CA1" w:rsidRPr="00D9348B" w:rsidRDefault="00627CA1" w:rsidP="00DB330E">
            <w:pPr>
              <w:pStyle w:val="TableTextBold"/>
              <w:spacing w:before="50" w:after="50"/>
              <w:jc w:val="center"/>
              <w:rPr>
                <w:rFonts w:cs="Calibri"/>
                <w:noProof w:val="0"/>
                <w:color w:val="FFFFFF"/>
                <w:szCs w:val="16"/>
              </w:rPr>
            </w:pPr>
            <w:r w:rsidRPr="00D9348B">
              <w:rPr>
                <w:rFonts w:cs="Calibri"/>
                <w:noProof w:val="0"/>
                <w:color w:val="FFFFFF"/>
                <w:szCs w:val="16"/>
              </w:rPr>
              <w:t>Forest management</w:t>
            </w:r>
          </w:p>
        </w:tc>
      </w:tr>
      <w:tr w:rsidR="00627CA1" w:rsidRPr="00D9348B" w14:paraId="4EA3721A" w14:textId="77777777" w:rsidTr="00DB330E">
        <w:tc>
          <w:tcPr>
            <w:tcW w:w="2552" w:type="dxa"/>
            <w:tcBorders>
              <w:top w:val="single" w:sz="4" w:space="0" w:color="365F91"/>
              <w:left w:val="nil"/>
              <w:bottom w:val="single" w:sz="4" w:space="0" w:color="365F91"/>
            </w:tcBorders>
            <w:shd w:val="clear" w:color="auto" w:fill="auto"/>
            <w:noWrap/>
            <w:vAlign w:val="bottom"/>
            <w:hideMark/>
          </w:tcPr>
          <w:p w14:paraId="1A15C122" w14:textId="77777777" w:rsidR="00627CA1" w:rsidRPr="00D9348B" w:rsidRDefault="00627CA1" w:rsidP="00DB330E">
            <w:pPr>
              <w:pStyle w:val="TableText"/>
              <w:keepNext/>
              <w:spacing w:before="50" w:after="50"/>
              <w:rPr>
                <w:rFonts w:cs="Calibri"/>
                <w:b/>
                <w:bCs/>
                <w:szCs w:val="16"/>
              </w:rPr>
            </w:pPr>
          </w:p>
        </w:tc>
        <w:tc>
          <w:tcPr>
            <w:tcW w:w="1417" w:type="dxa"/>
            <w:tcBorders>
              <w:top w:val="single" w:sz="4" w:space="0" w:color="365F91"/>
              <w:bottom w:val="single" w:sz="4" w:space="0" w:color="365F91"/>
            </w:tcBorders>
            <w:shd w:val="clear" w:color="auto" w:fill="auto"/>
            <w:vAlign w:val="bottom"/>
            <w:hideMark/>
          </w:tcPr>
          <w:p w14:paraId="4F9EEF45" w14:textId="77777777" w:rsidR="00627CA1" w:rsidRPr="00D9348B" w:rsidRDefault="00627CA1" w:rsidP="00DB330E">
            <w:pPr>
              <w:pStyle w:val="TableText"/>
              <w:spacing w:before="50" w:after="50"/>
              <w:jc w:val="center"/>
              <w:rPr>
                <w:rFonts w:cs="Calibri"/>
                <w:b/>
                <w:szCs w:val="16"/>
              </w:rPr>
            </w:pPr>
            <w:r w:rsidRPr="00D9348B">
              <w:rPr>
                <w:rFonts w:cs="Calibri"/>
                <w:b/>
                <w:szCs w:val="16"/>
              </w:rPr>
              <w:t>Post-1989 forest</w:t>
            </w:r>
          </w:p>
        </w:tc>
        <w:tc>
          <w:tcPr>
            <w:tcW w:w="993" w:type="dxa"/>
            <w:tcBorders>
              <w:top w:val="single" w:sz="4" w:space="0" w:color="365F91"/>
              <w:bottom w:val="single" w:sz="4" w:space="0" w:color="365F91"/>
            </w:tcBorders>
            <w:shd w:val="clear" w:color="auto" w:fill="auto"/>
            <w:noWrap/>
            <w:vAlign w:val="bottom"/>
            <w:hideMark/>
          </w:tcPr>
          <w:p w14:paraId="1F4E1391" w14:textId="77777777" w:rsidR="00627CA1" w:rsidRPr="00D9348B" w:rsidRDefault="00627CA1" w:rsidP="00DB330E">
            <w:pPr>
              <w:pStyle w:val="TableText"/>
              <w:spacing w:before="50" w:after="50"/>
              <w:jc w:val="center"/>
              <w:rPr>
                <w:rFonts w:cs="Calibri"/>
                <w:b/>
                <w:szCs w:val="16"/>
              </w:rPr>
            </w:pPr>
            <w:r w:rsidRPr="00D9348B">
              <w:rPr>
                <w:rFonts w:cs="Calibri"/>
                <w:b/>
                <w:szCs w:val="16"/>
              </w:rPr>
              <w:t>Pre-1990 natural forest</w:t>
            </w:r>
          </w:p>
        </w:tc>
        <w:tc>
          <w:tcPr>
            <w:tcW w:w="850" w:type="dxa"/>
            <w:tcBorders>
              <w:top w:val="single" w:sz="4" w:space="0" w:color="365F91"/>
              <w:bottom w:val="single" w:sz="4" w:space="0" w:color="365F91"/>
            </w:tcBorders>
            <w:shd w:val="clear" w:color="auto" w:fill="auto"/>
            <w:noWrap/>
            <w:vAlign w:val="bottom"/>
            <w:hideMark/>
          </w:tcPr>
          <w:p w14:paraId="115171ED" w14:textId="77777777" w:rsidR="00627CA1" w:rsidRPr="00D9348B" w:rsidRDefault="00627CA1" w:rsidP="00DB330E">
            <w:pPr>
              <w:pStyle w:val="TableText"/>
              <w:spacing w:before="50" w:after="50"/>
              <w:jc w:val="center"/>
              <w:rPr>
                <w:rFonts w:cs="Calibri"/>
                <w:b/>
                <w:szCs w:val="16"/>
              </w:rPr>
            </w:pPr>
            <w:r w:rsidRPr="00D9348B">
              <w:rPr>
                <w:rFonts w:cs="Calibri"/>
                <w:b/>
                <w:szCs w:val="16"/>
              </w:rPr>
              <w:t>Pre-1990 planted forest</w:t>
            </w:r>
          </w:p>
        </w:tc>
        <w:tc>
          <w:tcPr>
            <w:tcW w:w="851" w:type="dxa"/>
            <w:tcBorders>
              <w:top w:val="single" w:sz="4" w:space="0" w:color="365F91"/>
              <w:bottom w:val="single" w:sz="4" w:space="0" w:color="365F91"/>
            </w:tcBorders>
            <w:shd w:val="clear" w:color="auto" w:fill="auto"/>
            <w:noWrap/>
            <w:vAlign w:val="bottom"/>
            <w:hideMark/>
          </w:tcPr>
          <w:p w14:paraId="7C8C592D" w14:textId="77777777" w:rsidR="00627CA1" w:rsidRPr="00D9348B" w:rsidRDefault="00627CA1" w:rsidP="00DB330E">
            <w:pPr>
              <w:pStyle w:val="TableText"/>
              <w:spacing w:before="50" w:after="50"/>
              <w:jc w:val="center"/>
              <w:rPr>
                <w:rFonts w:cs="Calibri"/>
                <w:b/>
                <w:szCs w:val="16"/>
              </w:rPr>
            </w:pPr>
            <w:r w:rsidRPr="00D9348B">
              <w:rPr>
                <w:rFonts w:cs="Calibri"/>
                <w:b/>
                <w:szCs w:val="16"/>
              </w:rPr>
              <w:t>Post-1989 forest</w:t>
            </w:r>
          </w:p>
        </w:tc>
        <w:tc>
          <w:tcPr>
            <w:tcW w:w="897" w:type="dxa"/>
            <w:tcBorders>
              <w:top w:val="single" w:sz="4" w:space="0" w:color="365F91"/>
              <w:bottom w:val="single" w:sz="4" w:space="0" w:color="365F91"/>
            </w:tcBorders>
            <w:shd w:val="clear" w:color="auto" w:fill="auto"/>
            <w:vAlign w:val="bottom"/>
          </w:tcPr>
          <w:p w14:paraId="2F460983" w14:textId="77777777" w:rsidR="00627CA1" w:rsidRPr="00D9348B" w:rsidRDefault="00627CA1" w:rsidP="00DB330E">
            <w:pPr>
              <w:pStyle w:val="TableText"/>
              <w:spacing w:before="50" w:after="50"/>
              <w:jc w:val="center"/>
              <w:rPr>
                <w:rFonts w:cs="Calibri"/>
                <w:b/>
                <w:szCs w:val="16"/>
              </w:rPr>
            </w:pPr>
            <w:r w:rsidRPr="00D9348B">
              <w:rPr>
                <w:rFonts w:cs="Calibri"/>
                <w:b/>
                <w:szCs w:val="16"/>
              </w:rPr>
              <w:t>Pre-1990 natural forest</w:t>
            </w:r>
          </w:p>
        </w:tc>
        <w:tc>
          <w:tcPr>
            <w:tcW w:w="945" w:type="dxa"/>
            <w:tcBorders>
              <w:top w:val="single" w:sz="4" w:space="0" w:color="365F91"/>
              <w:bottom w:val="single" w:sz="4" w:space="0" w:color="365F91"/>
              <w:right w:val="nil"/>
            </w:tcBorders>
            <w:shd w:val="clear" w:color="auto" w:fill="auto"/>
            <w:vAlign w:val="bottom"/>
          </w:tcPr>
          <w:p w14:paraId="2CE7AB4D" w14:textId="77777777" w:rsidR="00627CA1" w:rsidRPr="00D9348B" w:rsidRDefault="00627CA1" w:rsidP="00DB330E">
            <w:pPr>
              <w:pStyle w:val="TableText"/>
              <w:spacing w:before="50" w:after="50"/>
              <w:jc w:val="center"/>
              <w:rPr>
                <w:rFonts w:cs="Calibri"/>
                <w:b/>
                <w:szCs w:val="16"/>
              </w:rPr>
            </w:pPr>
            <w:r w:rsidRPr="00D9348B">
              <w:rPr>
                <w:rFonts w:cs="Calibri"/>
                <w:b/>
                <w:szCs w:val="16"/>
              </w:rPr>
              <w:t>Pre-1990 planted forest</w:t>
            </w:r>
          </w:p>
        </w:tc>
      </w:tr>
      <w:tr w:rsidR="00627CA1" w:rsidRPr="00D9348B" w14:paraId="5B6FE222" w14:textId="77777777" w:rsidTr="00DB330E">
        <w:tc>
          <w:tcPr>
            <w:tcW w:w="2552" w:type="dxa"/>
            <w:tcBorders>
              <w:top w:val="single" w:sz="4" w:space="0" w:color="365F91"/>
              <w:left w:val="nil"/>
              <w:bottom w:val="single" w:sz="4" w:space="0" w:color="365F91"/>
            </w:tcBorders>
            <w:shd w:val="clear" w:color="auto" w:fill="auto"/>
            <w:noWrap/>
            <w:hideMark/>
          </w:tcPr>
          <w:p w14:paraId="6F5D3412" w14:textId="77777777" w:rsidR="00627CA1" w:rsidRPr="00D9348B" w:rsidRDefault="00627CA1" w:rsidP="00DB330E">
            <w:pPr>
              <w:pStyle w:val="TableTextBold"/>
              <w:keepNext/>
              <w:spacing w:before="50" w:after="50"/>
              <w:rPr>
                <w:rFonts w:cs="Calibri"/>
                <w:bCs/>
                <w:noProof w:val="0"/>
                <w:szCs w:val="16"/>
              </w:rPr>
            </w:pPr>
            <w:r w:rsidRPr="00D9348B">
              <w:rPr>
                <w:rFonts w:cs="Calibri"/>
                <w:bCs/>
                <w:noProof w:val="0"/>
                <w:szCs w:val="16"/>
              </w:rPr>
              <w:t>Activity data</w:t>
            </w:r>
          </w:p>
        </w:tc>
        <w:tc>
          <w:tcPr>
            <w:tcW w:w="1417" w:type="dxa"/>
            <w:tcBorders>
              <w:top w:val="single" w:sz="4" w:space="0" w:color="365F91"/>
              <w:bottom w:val="single" w:sz="4" w:space="0" w:color="365F91"/>
            </w:tcBorders>
            <w:shd w:val="clear" w:color="auto" w:fill="auto"/>
            <w:noWrap/>
            <w:hideMark/>
          </w:tcPr>
          <w:p w14:paraId="65A39491" w14:textId="77777777" w:rsidR="00627CA1" w:rsidRPr="00D9348B" w:rsidRDefault="00627CA1" w:rsidP="00DB330E">
            <w:pPr>
              <w:pStyle w:val="TableTextBold"/>
              <w:spacing w:before="50" w:after="50"/>
              <w:jc w:val="center"/>
              <w:rPr>
                <w:rFonts w:cs="Calibri"/>
                <w:noProof w:val="0"/>
                <w:szCs w:val="16"/>
              </w:rPr>
            </w:pPr>
          </w:p>
        </w:tc>
        <w:tc>
          <w:tcPr>
            <w:tcW w:w="993" w:type="dxa"/>
            <w:tcBorders>
              <w:top w:val="single" w:sz="4" w:space="0" w:color="365F91"/>
              <w:bottom w:val="single" w:sz="4" w:space="0" w:color="365F91"/>
            </w:tcBorders>
            <w:shd w:val="clear" w:color="auto" w:fill="auto"/>
            <w:noWrap/>
            <w:hideMark/>
          </w:tcPr>
          <w:p w14:paraId="4F876C98" w14:textId="77777777" w:rsidR="00627CA1" w:rsidRPr="00D9348B" w:rsidRDefault="00627CA1" w:rsidP="00DB330E">
            <w:pPr>
              <w:pStyle w:val="TableTextBold"/>
              <w:spacing w:before="50" w:after="50"/>
              <w:jc w:val="center"/>
              <w:rPr>
                <w:rFonts w:cs="Calibri"/>
                <w:noProof w:val="0"/>
                <w:szCs w:val="16"/>
              </w:rPr>
            </w:pPr>
          </w:p>
        </w:tc>
        <w:tc>
          <w:tcPr>
            <w:tcW w:w="850" w:type="dxa"/>
            <w:tcBorders>
              <w:top w:val="single" w:sz="4" w:space="0" w:color="365F91"/>
              <w:bottom w:val="single" w:sz="4" w:space="0" w:color="365F91"/>
            </w:tcBorders>
            <w:shd w:val="clear" w:color="auto" w:fill="auto"/>
            <w:noWrap/>
            <w:hideMark/>
          </w:tcPr>
          <w:p w14:paraId="195DEEF8" w14:textId="77777777" w:rsidR="00627CA1" w:rsidRPr="00D9348B" w:rsidRDefault="00627CA1" w:rsidP="00DB330E">
            <w:pPr>
              <w:pStyle w:val="TableTextBold"/>
              <w:spacing w:before="50" w:after="50"/>
              <w:jc w:val="center"/>
              <w:rPr>
                <w:rFonts w:cs="Calibri"/>
                <w:noProof w:val="0"/>
                <w:szCs w:val="16"/>
              </w:rPr>
            </w:pPr>
          </w:p>
        </w:tc>
        <w:tc>
          <w:tcPr>
            <w:tcW w:w="851" w:type="dxa"/>
            <w:tcBorders>
              <w:top w:val="single" w:sz="4" w:space="0" w:color="365F91"/>
              <w:bottom w:val="single" w:sz="4" w:space="0" w:color="365F91"/>
            </w:tcBorders>
            <w:shd w:val="clear" w:color="auto" w:fill="auto"/>
            <w:noWrap/>
            <w:hideMark/>
          </w:tcPr>
          <w:p w14:paraId="43A55B36" w14:textId="77777777" w:rsidR="00627CA1" w:rsidRPr="00D9348B" w:rsidRDefault="00627CA1" w:rsidP="00DB330E">
            <w:pPr>
              <w:pStyle w:val="TableTextBold"/>
              <w:spacing w:before="50" w:after="50"/>
              <w:jc w:val="center"/>
              <w:rPr>
                <w:rFonts w:cs="Calibri"/>
                <w:noProof w:val="0"/>
                <w:szCs w:val="16"/>
              </w:rPr>
            </w:pPr>
          </w:p>
        </w:tc>
        <w:tc>
          <w:tcPr>
            <w:tcW w:w="897" w:type="dxa"/>
            <w:tcBorders>
              <w:top w:val="single" w:sz="4" w:space="0" w:color="365F91"/>
              <w:bottom w:val="single" w:sz="4" w:space="0" w:color="365F91"/>
            </w:tcBorders>
            <w:shd w:val="clear" w:color="auto" w:fill="auto"/>
          </w:tcPr>
          <w:p w14:paraId="39A90C85" w14:textId="77777777" w:rsidR="00627CA1" w:rsidRPr="00D9348B" w:rsidRDefault="00627CA1" w:rsidP="00DB330E">
            <w:pPr>
              <w:pStyle w:val="TableTextBold"/>
              <w:spacing w:before="50" w:after="50"/>
              <w:jc w:val="center"/>
              <w:rPr>
                <w:rFonts w:cs="Calibri"/>
                <w:noProof w:val="0"/>
                <w:szCs w:val="16"/>
              </w:rPr>
            </w:pPr>
          </w:p>
        </w:tc>
        <w:tc>
          <w:tcPr>
            <w:tcW w:w="945" w:type="dxa"/>
            <w:tcBorders>
              <w:top w:val="single" w:sz="4" w:space="0" w:color="365F91"/>
              <w:bottom w:val="single" w:sz="4" w:space="0" w:color="365F91"/>
              <w:right w:val="nil"/>
            </w:tcBorders>
            <w:shd w:val="clear" w:color="auto" w:fill="auto"/>
          </w:tcPr>
          <w:p w14:paraId="2552255B" w14:textId="77777777" w:rsidR="00627CA1" w:rsidRPr="00D9348B" w:rsidRDefault="00627CA1" w:rsidP="00DB330E">
            <w:pPr>
              <w:pStyle w:val="TableTextBold"/>
              <w:spacing w:before="50" w:after="50"/>
              <w:jc w:val="center"/>
              <w:rPr>
                <w:rFonts w:cs="Calibri"/>
                <w:noProof w:val="0"/>
                <w:szCs w:val="16"/>
              </w:rPr>
            </w:pPr>
          </w:p>
        </w:tc>
      </w:tr>
      <w:tr w:rsidR="00627CA1" w:rsidRPr="00D9348B" w14:paraId="6C6CEDB4" w14:textId="77777777" w:rsidTr="00DB330E">
        <w:tc>
          <w:tcPr>
            <w:tcW w:w="2552" w:type="dxa"/>
            <w:tcBorders>
              <w:top w:val="single" w:sz="4" w:space="0" w:color="365F91"/>
              <w:left w:val="nil"/>
              <w:bottom w:val="single" w:sz="4" w:space="0" w:color="365F91"/>
            </w:tcBorders>
            <w:shd w:val="clear" w:color="auto" w:fill="auto"/>
            <w:noWrap/>
            <w:vAlign w:val="center"/>
            <w:hideMark/>
          </w:tcPr>
          <w:p w14:paraId="6E431687" w14:textId="77777777" w:rsidR="00627CA1" w:rsidRPr="00D9348B" w:rsidRDefault="00627CA1" w:rsidP="00DB330E">
            <w:pPr>
              <w:pStyle w:val="TableText"/>
              <w:keepNext/>
              <w:spacing w:before="50" w:after="50"/>
              <w:ind w:left="185"/>
              <w:rPr>
                <w:rFonts w:cs="Calibri"/>
                <w:bCs/>
                <w:szCs w:val="16"/>
              </w:rPr>
            </w:pPr>
            <w:r w:rsidRPr="00D9348B">
              <w:rPr>
                <w:rFonts w:cs="Calibri"/>
                <w:bCs/>
                <w:szCs w:val="16"/>
              </w:rPr>
              <w:t>Uncertainty in land area</w:t>
            </w:r>
          </w:p>
        </w:tc>
        <w:tc>
          <w:tcPr>
            <w:tcW w:w="1417" w:type="dxa"/>
            <w:tcBorders>
              <w:top w:val="single" w:sz="4" w:space="0" w:color="365F91"/>
              <w:bottom w:val="single" w:sz="4" w:space="0" w:color="365F91"/>
            </w:tcBorders>
            <w:shd w:val="clear" w:color="auto" w:fill="auto"/>
            <w:noWrap/>
            <w:vAlign w:val="center"/>
            <w:hideMark/>
          </w:tcPr>
          <w:p w14:paraId="1EC433A1" w14:textId="77777777" w:rsidR="00627CA1" w:rsidRPr="00D9348B" w:rsidRDefault="00627CA1" w:rsidP="00DB330E">
            <w:pPr>
              <w:pStyle w:val="TableText"/>
              <w:spacing w:before="50" w:after="50"/>
              <w:ind w:right="118"/>
              <w:jc w:val="right"/>
              <w:rPr>
                <w:rFonts w:cs="Calibri"/>
                <w:szCs w:val="16"/>
              </w:rPr>
            </w:pPr>
            <w:r w:rsidRPr="00D9348B">
              <w:rPr>
                <w:rFonts w:cs="Calibri"/>
                <w:szCs w:val="16"/>
              </w:rPr>
              <w:t>±8.0</w:t>
            </w:r>
          </w:p>
        </w:tc>
        <w:tc>
          <w:tcPr>
            <w:tcW w:w="993" w:type="dxa"/>
            <w:tcBorders>
              <w:top w:val="single" w:sz="4" w:space="0" w:color="365F91"/>
              <w:bottom w:val="single" w:sz="4" w:space="0" w:color="365F91"/>
            </w:tcBorders>
            <w:shd w:val="clear" w:color="auto" w:fill="auto"/>
            <w:noWrap/>
            <w:vAlign w:val="center"/>
            <w:hideMark/>
          </w:tcPr>
          <w:p w14:paraId="67FD6142" w14:textId="77777777" w:rsidR="00627CA1" w:rsidRPr="00D9348B" w:rsidRDefault="00627CA1" w:rsidP="00DB330E">
            <w:pPr>
              <w:pStyle w:val="TableText"/>
              <w:spacing w:before="50" w:after="50"/>
              <w:ind w:right="118"/>
              <w:jc w:val="right"/>
              <w:rPr>
                <w:rFonts w:cs="Calibri"/>
                <w:szCs w:val="16"/>
              </w:rPr>
            </w:pPr>
            <w:r w:rsidRPr="00D9348B">
              <w:rPr>
                <w:rFonts w:cs="Calibri"/>
                <w:szCs w:val="16"/>
              </w:rPr>
              <w:t>±5.0</w:t>
            </w:r>
          </w:p>
        </w:tc>
        <w:tc>
          <w:tcPr>
            <w:tcW w:w="850" w:type="dxa"/>
            <w:tcBorders>
              <w:top w:val="single" w:sz="4" w:space="0" w:color="365F91"/>
              <w:bottom w:val="single" w:sz="4" w:space="0" w:color="365F91"/>
            </w:tcBorders>
            <w:shd w:val="clear" w:color="auto" w:fill="auto"/>
            <w:noWrap/>
            <w:vAlign w:val="center"/>
            <w:hideMark/>
          </w:tcPr>
          <w:p w14:paraId="7E88FC89" w14:textId="77777777" w:rsidR="00627CA1" w:rsidRPr="00D9348B" w:rsidRDefault="00627CA1" w:rsidP="00DB330E">
            <w:pPr>
              <w:pStyle w:val="TableText"/>
              <w:spacing w:before="50" w:after="50"/>
              <w:ind w:right="118"/>
              <w:jc w:val="right"/>
              <w:rPr>
                <w:rFonts w:cs="Calibri"/>
                <w:szCs w:val="16"/>
              </w:rPr>
            </w:pPr>
            <w:r w:rsidRPr="00D9348B">
              <w:rPr>
                <w:rFonts w:cs="Calibri"/>
                <w:szCs w:val="16"/>
              </w:rPr>
              <w:t>±5.0</w:t>
            </w:r>
          </w:p>
        </w:tc>
        <w:tc>
          <w:tcPr>
            <w:tcW w:w="851" w:type="dxa"/>
            <w:tcBorders>
              <w:top w:val="single" w:sz="4" w:space="0" w:color="365F91"/>
              <w:bottom w:val="single" w:sz="4" w:space="0" w:color="365F91"/>
            </w:tcBorders>
            <w:shd w:val="clear" w:color="auto" w:fill="auto"/>
            <w:noWrap/>
            <w:vAlign w:val="center"/>
            <w:hideMark/>
          </w:tcPr>
          <w:p w14:paraId="684D129F" w14:textId="77777777" w:rsidR="00627CA1" w:rsidRPr="00D9348B" w:rsidRDefault="00627CA1" w:rsidP="00DB330E">
            <w:pPr>
              <w:pStyle w:val="TableText"/>
              <w:spacing w:before="50" w:after="50"/>
              <w:ind w:right="118"/>
              <w:jc w:val="right"/>
              <w:rPr>
                <w:rFonts w:cs="Calibri"/>
                <w:szCs w:val="16"/>
              </w:rPr>
            </w:pPr>
            <w:r w:rsidRPr="00D9348B">
              <w:rPr>
                <w:rFonts w:cs="Calibri"/>
                <w:szCs w:val="16"/>
              </w:rPr>
              <w:t>±5.0</w:t>
            </w:r>
          </w:p>
        </w:tc>
        <w:tc>
          <w:tcPr>
            <w:tcW w:w="897" w:type="dxa"/>
            <w:tcBorders>
              <w:top w:val="single" w:sz="4" w:space="0" w:color="365F91"/>
              <w:bottom w:val="single" w:sz="4" w:space="0" w:color="365F91"/>
            </w:tcBorders>
            <w:shd w:val="clear" w:color="auto" w:fill="auto"/>
            <w:vAlign w:val="center"/>
          </w:tcPr>
          <w:p w14:paraId="6FD04B87" w14:textId="77777777" w:rsidR="00627CA1" w:rsidRPr="00D9348B" w:rsidRDefault="00627CA1" w:rsidP="00DB330E">
            <w:pPr>
              <w:pStyle w:val="TableText"/>
              <w:spacing w:before="50" w:after="50"/>
              <w:ind w:right="118"/>
              <w:jc w:val="right"/>
              <w:rPr>
                <w:rFonts w:cs="Calibri"/>
                <w:szCs w:val="16"/>
              </w:rPr>
            </w:pPr>
            <w:r w:rsidRPr="00D9348B">
              <w:rPr>
                <w:rFonts w:cs="Calibri"/>
                <w:szCs w:val="16"/>
              </w:rPr>
              <w:t>±5.0</w:t>
            </w:r>
          </w:p>
        </w:tc>
        <w:tc>
          <w:tcPr>
            <w:tcW w:w="945" w:type="dxa"/>
            <w:tcBorders>
              <w:top w:val="single" w:sz="4" w:space="0" w:color="365F91"/>
              <w:bottom w:val="single" w:sz="4" w:space="0" w:color="365F91"/>
              <w:right w:val="nil"/>
            </w:tcBorders>
            <w:shd w:val="clear" w:color="auto" w:fill="auto"/>
            <w:vAlign w:val="center"/>
          </w:tcPr>
          <w:p w14:paraId="24EE7E38" w14:textId="77777777" w:rsidR="00627CA1" w:rsidRPr="00D9348B" w:rsidRDefault="00627CA1" w:rsidP="00DB330E">
            <w:pPr>
              <w:pStyle w:val="TableText"/>
              <w:spacing w:before="50" w:after="50"/>
              <w:ind w:right="118"/>
              <w:jc w:val="right"/>
              <w:rPr>
                <w:rFonts w:cs="Calibri"/>
                <w:szCs w:val="16"/>
              </w:rPr>
            </w:pPr>
            <w:r w:rsidRPr="00D9348B">
              <w:rPr>
                <w:rFonts w:cs="Calibri"/>
                <w:szCs w:val="16"/>
              </w:rPr>
              <w:t>±5.0</w:t>
            </w:r>
          </w:p>
        </w:tc>
      </w:tr>
      <w:tr w:rsidR="00627CA1" w:rsidRPr="00D9348B" w14:paraId="28C542F2" w14:textId="77777777" w:rsidTr="00DB330E">
        <w:tc>
          <w:tcPr>
            <w:tcW w:w="2552" w:type="dxa"/>
            <w:tcBorders>
              <w:top w:val="single" w:sz="4" w:space="0" w:color="365F91"/>
              <w:left w:val="nil"/>
              <w:bottom w:val="single" w:sz="4" w:space="0" w:color="365F91"/>
            </w:tcBorders>
            <w:shd w:val="clear" w:color="auto" w:fill="auto"/>
            <w:noWrap/>
            <w:hideMark/>
          </w:tcPr>
          <w:p w14:paraId="29E7F78C" w14:textId="77777777" w:rsidR="00627CA1" w:rsidRPr="00D9348B" w:rsidRDefault="00627CA1" w:rsidP="00DB330E">
            <w:pPr>
              <w:pStyle w:val="TableTextBold"/>
              <w:spacing w:before="50" w:after="50"/>
              <w:rPr>
                <w:rFonts w:cs="Calibri"/>
                <w:bCs/>
                <w:noProof w:val="0"/>
                <w:szCs w:val="16"/>
              </w:rPr>
            </w:pPr>
            <w:r w:rsidRPr="00D9348B">
              <w:rPr>
                <w:rFonts w:cs="Calibri"/>
                <w:bCs/>
                <w:noProof w:val="0"/>
                <w:szCs w:val="16"/>
              </w:rPr>
              <w:t>Emission factors</w:t>
            </w:r>
          </w:p>
        </w:tc>
        <w:tc>
          <w:tcPr>
            <w:tcW w:w="1417" w:type="dxa"/>
            <w:tcBorders>
              <w:top w:val="single" w:sz="4" w:space="0" w:color="365F91"/>
              <w:bottom w:val="single" w:sz="4" w:space="0" w:color="365F91"/>
            </w:tcBorders>
            <w:shd w:val="clear" w:color="auto" w:fill="auto"/>
            <w:noWrap/>
            <w:hideMark/>
          </w:tcPr>
          <w:p w14:paraId="431071BA" w14:textId="77777777" w:rsidR="00627CA1" w:rsidRPr="00D9348B" w:rsidRDefault="00627CA1" w:rsidP="00DB330E">
            <w:pPr>
              <w:pStyle w:val="TableTextBold"/>
              <w:spacing w:before="50" w:after="50"/>
              <w:ind w:right="118"/>
              <w:jc w:val="right"/>
              <w:rPr>
                <w:rFonts w:cs="Calibri"/>
                <w:noProof w:val="0"/>
                <w:szCs w:val="16"/>
              </w:rPr>
            </w:pPr>
          </w:p>
        </w:tc>
        <w:tc>
          <w:tcPr>
            <w:tcW w:w="993" w:type="dxa"/>
            <w:tcBorders>
              <w:top w:val="single" w:sz="4" w:space="0" w:color="365F91"/>
              <w:bottom w:val="single" w:sz="4" w:space="0" w:color="365F91"/>
            </w:tcBorders>
            <w:shd w:val="clear" w:color="auto" w:fill="auto"/>
            <w:noWrap/>
            <w:hideMark/>
          </w:tcPr>
          <w:p w14:paraId="68E7CB6D" w14:textId="77777777" w:rsidR="00627CA1" w:rsidRPr="00D9348B" w:rsidRDefault="00627CA1" w:rsidP="00DB330E">
            <w:pPr>
              <w:pStyle w:val="TableTextBold"/>
              <w:spacing w:before="50" w:after="50"/>
              <w:ind w:right="118"/>
              <w:jc w:val="right"/>
              <w:rPr>
                <w:rFonts w:cs="Calibri"/>
                <w:noProof w:val="0"/>
                <w:szCs w:val="16"/>
              </w:rPr>
            </w:pPr>
          </w:p>
        </w:tc>
        <w:tc>
          <w:tcPr>
            <w:tcW w:w="850" w:type="dxa"/>
            <w:tcBorders>
              <w:top w:val="single" w:sz="4" w:space="0" w:color="365F91"/>
              <w:bottom w:val="single" w:sz="4" w:space="0" w:color="365F91"/>
            </w:tcBorders>
            <w:shd w:val="clear" w:color="auto" w:fill="auto"/>
            <w:noWrap/>
            <w:hideMark/>
          </w:tcPr>
          <w:p w14:paraId="1F741327" w14:textId="77777777" w:rsidR="00627CA1" w:rsidRPr="00D9348B" w:rsidRDefault="00627CA1" w:rsidP="00DB330E">
            <w:pPr>
              <w:pStyle w:val="TableTextBold"/>
              <w:spacing w:before="50" w:after="50"/>
              <w:ind w:right="118"/>
              <w:jc w:val="right"/>
              <w:rPr>
                <w:rFonts w:cs="Calibri"/>
                <w:noProof w:val="0"/>
                <w:szCs w:val="16"/>
              </w:rPr>
            </w:pPr>
          </w:p>
        </w:tc>
        <w:tc>
          <w:tcPr>
            <w:tcW w:w="851" w:type="dxa"/>
            <w:tcBorders>
              <w:top w:val="single" w:sz="4" w:space="0" w:color="365F91"/>
              <w:bottom w:val="single" w:sz="4" w:space="0" w:color="365F91"/>
            </w:tcBorders>
            <w:shd w:val="clear" w:color="auto" w:fill="auto"/>
            <w:noWrap/>
            <w:hideMark/>
          </w:tcPr>
          <w:p w14:paraId="430F90FD" w14:textId="77777777" w:rsidR="00627CA1" w:rsidRPr="00D9348B" w:rsidRDefault="00627CA1" w:rsidP="00DB330E">
            <w:pPr>
              <w:pStyle w:val="TableTextBold"/>
              <w:spacing w:before="50" w:after="50"/>
              <w:ind w:right="118"/>
              <w:jc w:val="right"/>
              <w:rPr>
                <w:rFonts w:cs="Calibri"/>
                <w:noProof w:val="0"/>
                <w:szCs w:val="16"/>
              </w:rPr>
            </w:pPr>
          </w:p>
        </w:tc>
        <w:tc>
          <w:tcPr>
            <w:tcW w:w="897" w:type="dxa"/>
            <w:tcBorders>
              <w:top w:val="single" w:sz="4" w:space="0" w:color="365F91"/>
              <w:bottom w:val="single" w:sz="4" w:space="0" w:color="365F91"/>
            </w:tcBorders>
            <w:shd w:val="clear" w:color="auto" w:fill="auto"/>
          </w:tcPr>
          <w:p w14:paraId="473A213C" w14:textId="77777777" w:rsidR="00627CA1" w:rsidRPr="00D9348B" w:rsidRDefault="00627CA1" w:rsidP="00DB330E">
            <w:pPr>
              <w:pStyle w:val="TableTextBold"/>
              <w:spacing w:before="50" w:after="50"/>
              <w:ind w:right="118"/>
              <w:jc w:val="right"/>
              <w:rPr>
                <w:rFonts w:cs="Calibri"/>
                <w:noProof w:val="0"/>
                <w:szCs w:val="16"/>
              </w:rPr>
            </w:pPr>
          </w:p>
        </w:tc>
        <w:tc>
          <w:tcPr>
            <w:tcW w:w="945" w:type="dxa"/>
            <w:tcBorders>
              <w:top w:val="single" w:sz="4" w:space="0" w:color="365F91"/>
              <w:bottom w:val="single" w:sz="4" w:space="0" w:color="365F91"/>
              <w:right w:val="nil"/>
            </w:tcBorders>
            <w:shd w:val="clear" w:color="auto" w:fill="auto"/>
          </w:tcPr>
          <w:p w14:paraId="1C19E725" w14:textId="77777777" w:rsidR="00627CA1" w:rsidRPr="00D9348B" w:rsidRDefault="00627CA1" w:rsidP="00DB330E">
            <w:pPr>
              <w:pStyle w:val="TableTextBold"/>
              <w:spacing w:before="50" w:after="50"/>
              <w:ind w:right="118"/>
              <w:jc w:val="right"/>
              <w:rPr>
                <w:rFonts w:cs="Calibri"/>
                <w:noProof w:val="0"/>
                <w:szCs w:val="16"/>
              </w:rPr>
            </w:pPr>
          </w:p>
        </w:tc>
      </w:tr>
      <w:tr w:rsidR="00627CA1" w:rsidRPr="00D9348B" w14:paraId="3E4F39D8" w14:textId="77777777" w:rsidTr="00DB330E">
        <w:tc>
          <w:tcPr>
            <w:tcW w:w="2552" w:type="dxa"/>
            <w:tcBorders>
              <w:top w:val="single" w:sz="4" w:space="0" w:color="365F91"/>
              <w:left w:val="nil"/>
              <w:bottom w:val="single" w:sz="4" w:space="0" w:color="365F91"/>
            </w:tcBorders>
            <w:shd w:val="clear" w:color="auto" w:fill="auto"/>
            <w:noWrap/>
            <w:vAlign w:val="bottom"/>
            <w:hideMark/>
          </w:tcPr>
          <w:p w14:paraId="32A602D9" w14:textId="77777777" w:rsidR="00627CA1" w:rsidRPr="00D9348B" w:rsidRDefault="00627CA1" w:rsidP="00DB330E">
            <w:pPr>
              <w:pStyle w:val="TableText"/>
              <w:spacing w:before="50" w:after="50"/>
              <w:ind w:left="185"/>
              <w:rPr>
                <w:rFonts w:cs="Calibri"/>
                <w:bCs/>
                <w:szCs w:val="16"/>
              </w:rPr>
            </w:pPr>
            <w:r w:rsidRPr="00D9348B">
              <w:rPr>
                <w:rFonts w:cs="Calibri"/>
                <w:bCs/>
                <w:szCs w:val="16"/>
              </w:rPr>
              <w:t>Uncertainty in biomass carbon stocks</w:t>
            </w:r>
          </w:p>
        </w:tc>
        <w:tc>
          <w:tcPr>
            <w:tcW w:w="1417" w:type="dxa"/>
            <w:tcBorders>
              <w:top w:val="single" w:sz="4" w:space="0" w:color="365F91"/>
              <w:bottom w:val="single" w:sz="4" w:space="0" w:color="365F91"/>
            </w:tcBorders>
            <w:shd w:val="clear" w:color="auto" w:fill="auto"/>
            <w:noWrap/>
            <w:vAlign w:val="bottom"/>
            <w:hideMark/>
          </w:tcPr>
          <w:p w14:paraId="25C81CDE" w14:textId="77777777" w:rsidR="00627CA1" w:rsidRPr="00D9348B" w:rsidRDefault="00627CA1" w:rsidP="00DB330E">
            <w:pPr>
              <w:pStyle w:val="TableText"/>
              <w:spacing w:before="50" w:after="50"/>
              <w:ind w:right="118"/>
              <w:jc w:val="right"/>
              <w:rPr>
                <w:rFonts w:cs="Calibri"/>
                <w:szCs w:val="16"/>
              </w:rPr>
            </w:pPr>
            <w:r w:rsidRPr="00D9348B">
              <w:rPr>
                <w:rFonts w:cs="Calibri"/>
                <w:szCs w:val="16"/>
              </w:rPr>
              <w:t>±12.2</w:t>
            </w:r>
          </w:p>
        </w:tc>
        <w:tc>
          <w:tcPr>
            <w:tcW w:w="993" w:type="dxa"/>
            <w:tcBorders>
              <w:top w:val="single" w:sz="4" w:space="0" w:color="365F91"/>
              <w:bottom w:val="single" w:sz="4" w:space="0" w:color="365F91"/>
            </w:tcBorders>
            <w:shd w:val="clear" w:color="auto" w:fill="auto"/>
            <w:noWrap/>
            <w:vAlign w:val="bottom"/>
            <w:hideMark/>
          </w:tcPr>
          <w:p w14:paraId="090848EB" w14:textId="77777777" w:rsidR="00627CA1" w:rsidRPr="00D9348B" w:rsidRDefault="00627CA1" w:rsidP="00DB330E">
            <w:pPr>
              <w:pStyle w:val="TableText"/>
              <w:spacing w:before="50" w:after="50"/>
              <w:ind w:right="118"/>
              <w:jc w:val="right"/>
              <w:rPr>
                <w:rFonts w:cs="Calibri"/>
                <w:szCs w:val="16"/>
              </w:rPr>
            </w:pPr>
            <w:r w:rsidRPr="00D9348B">
              <w:rPr>
                <w:rFonts w:cs="Calibri"/>
                <w:szCs w:val="16"/>
              </w:rPr>
              <w:t>±6.5</w:t>
            </w:r>
          </w:p>
        </w:tc>
        <w:tc>
          <w:tcPr>
            <w:tcW w:w="850" w:type="dxa"/>
            <w:tcBorders>
              <w:top w:val="single" w:sz="4" w:space="0" w:color="365F91"/>
              <w:bottom w:val="single" w:sz="4" w:space="0" w:color="365F91"/>
            </w:tcBorders>
            <w:shd w:val="clear" w:color="auto" w:fill="auto"/>
            <w:noWrap/>
            <w:vAlign w:val="bottom"/>
            <w:hideMark/>
          </w:tcPr>
          <w:p w14:paraId="1DE211CD" w14:textId="77777777" w:rsidR="00627CA1" w:rsidRPr="00D9348B" w:rsidRDefault="00627CA1" w:rsidP="00DB330E">
            <w:pPr>
              <w:pStyle w:val="TableText"/>
              <w:spacing w:before="50" w:after="50"/>
              <w:ind w:right="118"/>
              <w:jc w:val="right"/>
              <w:rPr>
                <w:rFonts w:cs="Calibri"/>
                <w:szCs w:val="16"/>
              </w:rPr>
            </w:pPr>
            <w:r w:rsidRPr="00D9348B">
              <w:rPr>
                <w:rFonts w:cs="Calibri"/>
                <w:szCs w:val="16"/>
              </w:rPr>
              <w:t>±11.4</w:t>
            </w:r>
          </w:p>
        </w:tc>
        <w:tc>
          <w:tcPr>
            <w:tcW w:w="851" w:type="dxa"/>
            <w:tcBorders>
              <w:top w:val="single" w:sz="4" w:space="0" w:color="365F91"/>
              <w:bottom w:val="single" w:sz="4" w:space="0" w:color="365F91"/>
            </w:tcBorders>
            <w:shd w:val="clear" w:color="auto" w:fill="auto"/>
            <w:noWrap/>
            <w:vAlign w:val="bottom"/>
            <w:hideMark/>
          </w:tcPr>
          <w:p w14:paraId="04D1A252" w14:textId="77777777" w:rsidR="00627CA1" w:rsidRPr="00D9348B" w:rsidRDefault="00627CA1" w:rsidP="00DB330E">
            <w:pPr>
              <w:pStyle w:val="TableText"/>
              <w:spacing w:before="50" w:after="50"/>
              <w:ind w:right="118"/>
              <w:jc w:val="right"/>
              <w:rPr>
                <w:rFonts w:cs="Calibri"/>
                <w:szCs w:val="16"/>
              </w:rPr>
            </w:pPr>
            <w:r w:rsidRPr="00D9348B">
              <w:rPr>
                <w:rFonts w:cs="Calibri"/>
                <w:szCs w:val="16"/>
              </w:rPr>
              <w:t>±12.2</w:t>
            </w:r>
          </w:p>
        </w:tc>
        <w:tc>
          <w:tcPr>
            <w:tcW w:w="897" w:type="dxa"/>
            <w:tcBorders>
              <w:top w:val="single" w:sz="4" w:space="0" w:color="365F91"/>
              <w:bottom w:val="single" w:sz="4" w:space="0" w:color="365F91"/>
            </w:tcBorders>
            <w:shd w:val="clear" w:color="auto" w:fill="auto"/>
            <w:vAlign w:val="bottom"/>
          </w:tcPr>
          <w:p w14:paraId="794CC3C8" w14:textId="77777777" w:rsidR="00627CA1" w:rsidRPr="00D9348B" w:rsidRDefault="00627CA1" w:rsidP="00DB330E">
            <w:pPr>
              <w:pStyle w:val="TableText"/>
              <w:spacing w:before="50" w:after="50"/>
              <w:ind w:right="118"/>
              <w:jc w:val="right"/>
              <w:rPr>
                <w:rFonts w:cs="Calibri"/>
                <w:szCs w:val="16"/>
              </w:rPr>
            </w:pPr>
            <w:r w:rsidRPr="00D9348B">
              <w:rPr>
                <w:rFonts w:cs="Calibri"/>
                <w:szCs w:val="16"/>
              </w:rPr>
              <w:t>±6.5</w:t>
            </w:r>
          </w:p>
        </w:tc>
        <w:tc>
          <w:tcPr>
            <w:tcW w:w="945" w:type="dxa"/>
            <w:tcBorders>
              <w:top w:val="single" w:sz="4" w:space="0" w:color="365F91"/>
              <w:bottom w:val="single" w:sz="4" w:space="0" w:color="365F91"/>
              <w:right w:val="nil"/>
            </w:tcBorders>
            <w:shd w:val="clear" w:color="auto" w:fill="auto"/>
            <w:vAlign w:val="bottom"/>
          </w:tcPr>
          <w:p w14:paraId="10FFBF01" w14:textId="77777777" w:rsidR="00627CA1" w:rsidRPr="00D9348B" w:rsidRDefault="00627CA1" w:rsidP="00DB330E">
            <w:pPr>
              <w:pStyle w:val="TableText"/>
              <w:spacing w:before="50" w:after="50"/>
              <w:ind w:right="118"/>
              <w:jc w:val="right"/>
              <w:rPr>
                <w:rFonts w:cs="Calibri"/>
                <w:szCs w:val="16"/>
              </w:rPr>
            </w:pPr>
            <w:r w:rsidRPr="00D9348B">
              <w:rPr>
                <w:rFonts w:cs="Calibri"/>
                <w:szCs w:val="16"/>
              </w:rPr>
              <w:t>±11.4</w:t>
            </w:r>
          </w:p>
        </w:tc>
      </w:tr>
      <w:tr w:rsidR="00627CA1" w:rsidRPr="00D9348B" w14:paraId="53E31ACD" w14:textId="77777777" w:rsidTr="00DB330E">
        <w:tc>
          <w:tcPr>
            <w:tcW w:w="2552" w:type="dxa"/>
            <w:tcBorders>
              <w:top w:val="single" w:sz="4" w:space="0" w:color="365F91"/>
              <w:left w:val="nil"/>
              <w:bottom w:val="single" w:sz="4" w:space="0" w:color="365F91"/>
            </w:tcBorders>
            <w:shd w:val="clear" w:color="auto" w:fill="auto"/>
            <w:noWrap/>
            <w:vAlign w:val="bottom"/>
            <w:hideMark/>
          </w:tcPr>
          <w:p w14:paraId="006ADAF4" w14:textId="77777777" w:rsidR="00627CA1" w:rsidRPr="00D9348B" w:rsidRDefault="00627CA1" w:rsidP="00DB330E">
            <w:pPr>
              <w:pStyle w:val="TableText"/>
              <w:spacing w:before="50" w:after="50"/>
              <w:ind w:left="185"/>
              <w:rPr>
                <w:rFonts w:cs="Calibri"/>
                <w:bCs/>
                <w:szCs w:val="16"/>
              </w:rPr>
            </w:pPr>
            <w:r w:rsidRPr="00D9348B">
              <w:rPr>
                <w:rFonts w:cs="Calibri"/>
                <w:bCs/>
                <w:szCs w:val="16"/>
              </w:rPr>
              <w:t>Uncertainty in soil carbon stocks</w:t>
            </w:r>
          </w:p>
        </w:tc>
        <w:tc>
          <w:tcPr>
            <w:tcW w:w="1417" w:type="dxa"/>
            <w:tcBorders>
              <w:top w:val="single" w:sz="4" w:space="0" w:color="365F91"/>
              <w:bottom w:val="single" w:sz="4" w:space="0" w:color="365F91"/>
            </w:tcBorders>
            <w:shd w:val="clear" w:color="auto" w:fill="auto"/>
            <w:noWrap/>
            <w:vAlign w:val="bottom"/>
            <w:hideMark/>
          </w:tcPr>
          <w:p w14:paraId="1E5E810F" w14:textId="77777777" w:rsidR="00627CA1" w:rsidRPr="00D9348B" w:rsidRDefault="00627CA1" w:rsidP="00DB330E">
            <w:pPr>
              <w:pStyle w:val="TableText"/>
              <w:spacing w:before="50" w:after="50"/>
              <w:ind w:right="118"/>
              <w:jc w:val="right"/>
              <w:rPr>
                <w:rFonts w:cs="Calibri"/>
                <w:szCs w:val="16"/>
              </w:rPr>
            </w:pPr>
            <w:r w:rsidRPr="00D9348B">
              <w:rPr>
                <w:rFonts w:cs="Calibri"/>
                <w:szCs w:val="16"/>
              </w:rPr>
              <w:t>±10.4</w:t>
            </w:r>
          </w:p>
        </w:tc>
        <w:tc>
          <w:tcPr>
            <w:tcW w:w="993" w:type="dxa"/>
            <w:tcBorders>
              <w:top w:val="single" w:sz="4" w:space="0" w:color="365F91"/>
              <w:bottom w:val="single" w:sz="4" w:space="0" w:color="365F91"/>
            </w:tcBorders>
            <w:shd w:val="clear" w:color="auto" w:fill="auto"/>
            <w:noWrap/>
            <w:vAlign w:val="bottom"/>
            <w:hideMark/>
          </w:tcPr>
          <w:p w14:paraId="2A89DBB1" w14:textId="77777777" w:rsidR="00627CA1" w:rsidRPr="00D9348B" w:rsidRDefault="00627CA1" w:rsidP="00DB330E">
            <w:pPr>
              <w:pStyle w:val="TableText"/>
              <w:spacing w:before="50" w:after="50"/>
              <w:ind w:right="118"/>
              <w:jc w:val="right"/>
              <w:rPr>
                <w:rFonts w:cs="Calibri"/>
                <w:szCs w:val="16"/>
              </w:rPr>
            </w:pPr>
            <w:r w:rsidRPr="00D9348B">
              <w:rPr>
                <w:rFonts w:cs="Calibri"/>
                <w:szCs w:val="16"/>
              </w:rPr>
              <w:t>±7.9</w:t>
            </w:r>
          </w:p>
        </w:tc>
        <w:tc>
          <w:tcPr>
            <w:tcW w:w="850" w:type="dxa"/>
            <w:tcBorders>
              <w:top w:val="single" w:sz="4" w:space="0" w:color="365F91"/>
              <w:bottom w:val="single" w:sz="4" w:space="0" w:color="365F91"/>
            </w:tcBorders>
            <w:shd w:val="clear" w:color="auto" w:fill="auto"/>
            <w:noWrap/>
            <w:vAlign w:val="bottom"/>
            <w:hideMark/>
          </w:tcPr>
          <w:p w14:paraId="05BDDFF9" w14:textId="77777777" w:rsidR="00627CA1" w:rsidRPr="00D9348B" w:rsidRDefault="00627CA1" w:rsidP="00DB330E">
            <w:pPr>
              <w:pStyle w:val="TableText"/>
              <w:spacing w:before="50" w:after="50"/>
              <w:ind w:right="118"/>
              <w:jc w:val="right"/>
              <w:rPr>
                <w:rFonts w:cs="Calibri"/>
                <w:szCs w:val="16"/>
              </w:rPr>
            </w:pPr>
            <w:r w:rsidRPr="00D9348B">
              <w:rPr>
                <w:rFonts w:cs="Calibri"/>
                <w:szCs w:val="16"/>
              </w:rPr>
              <w:t>±12.3</w:t>
            </w:r>
          </w:p>
        </w:tc>
        <w:tc>
          <w:tcPr>
            <w:tcW w:w="851" w:type="dxa"/>
            <w:tcBorders>
              <w:top w:val="single" w:sz="4" w:space="0" w:color="365F91"/>
              <w:bottom w:val="single" w:sz="4" w:space="0" w:color="365F91"/>
            </w:tcBorders>
            <w:shd w:val="clear" w:color="auto" w:fill="auto"/>
            <w:noWrap/>
            <w:vAlign w:val="bottom"/>
            <w:hideMark/>
          </w:tcPr>
          <w:p w14:paraId="6045F3F0" w14:textId="77777777" w:rsidR="00627CA1" w:rsidRPr="00D9348B" w:rsidRDefault="00627CA1" w:rsidP="00DB330E">
            <w:pPr>
              <w:pStyle w:val="TableText"/>
              <w:spacing w:before="50" w:after="50"/>
              <w:ind w:right="118"/>
              <w:jc w:val="right"/>
              <w:rPr>
                <w:rFonts w:cs="Calibri"/>
                <w:szCs w:val="16"/>
              </w:rPr>
            </w:pPr>
            <w:r w:rsidRPr="00D9348B">
              <w:rPr>
                <w:rFonts w:cs="Calibri"/>
                <w:szCs w:val="16"/>
              </w:rPr>
              <w:t>±10.4</w:t>
            </w:r>
          </w:p>
        </w:tc>
        <w:tc>
          <w:tcPr>
            <w:tcW w:w="897" w:type="dxa"/>
            <w:tcBorders>
              <w:top w:val="single" w:sz="4" w:space="0" w:color="365F91"/>
              <w:bottom w:val="single" w:sz="4" w:space="0" w:color="365F91"/>
            </w:tcBorders>
            <w:shd w:val="clear" w:color="auto" w:fill="auto"/>
            <w:vAlign w:val="bottom"/>
          </w:tcPr>
          <w:p w14:paraId="76AC2147" w14:textId="77777777" w:rsidR="00627CA1" w:rsidRPr="00D9348B" w:rsidRDefault="00627CA1" w:rsidP="00DB330E">
            <w:pPr>
              <w:pStyle w:val="TableText"/>
              <w:spacing w:before="50" w:after="50"/>
              <w:ind w:right="118"/>
              <w:jc w:val="right"/>
              <w:rPr>
                <w:rFonts w:cs="Calibri"/>
                <w:szCs w:val="16"/>
              </w:rPr>
            </w:pPr>
            <w:r w:rsidRPr="00D9348B">
              <w:rPr>
                <w:rFonts w:cs="Calibri"/>
                <w:szCs w:val="16"/>
              </w:rPr>
              <w:t>±7.9</w:t>
            </w:r>
          </w:p>
        </w:tc>
        <w:tc>
          <w:tcPr>
            <w:tcW w:w="945" w:type="dxa"/>
            <w:tcBorders>
              <w:top w:val="single" w:sz="4" w:space="0" w:color="365F91"/>
              <w:bottom w:val="single" w:sz="4" w:space="0" w:color="365F91"/>
              <w:right w:val="nil"/>
            </w:tcBorders>
            <w:shd w:val="clear" w:color="auto" w:fill="auto"/>
            <w:vAlign w:val="bottom"/>
          </w:tcPr>
          <w:p w14:paraId="44859648" w14:textId="77777777" w:rsidR="00627CA1" w:rsidRPr="00D9348B" w:rsidRDefault="00627CA1" w:rsidP="00DB330E">
            <w:pPr>
              <w:pStyle w:val="TableText"/>
              <w:spacing w:before="50" w:after="50"/>
              <w:ind w:right="118"/>
              <w:jc w:val="right"/>
              <w:rPr>
                <w:rFonts w:cs="Calibri"/>
                <w:szCs w:val="16"/>
              </w:rPr>
            </w:pPr>
            <w:r w:rsidRPr="00D9348B">
              <w:rPr>
                <w:rFonts w:cs="Calibri"/>
                <w:szCs w:val="16"/>
              </w:rPr>
              <w:t>±12.3</w:t>
            </w:r>
          </w:p>
        </w:tc>
      </w:tr>
      <w:tr w:rsidR="00627CA1" w:rsidRPr="00D9348B" w14:paraId="64632134" w14:textId="77777777" w:rsidTr="00DB330E">
        <w:tc>
          <w:tcPr>
            <w:tcW w:w="2552" w:type="dxa"/>
            <w:tcBorders>
              <w:top w:val="single" w:sz="4" w:space="0" w:color="365F91"/>
              <w:left w:val="nil"/>
              <w:bottom w:val="single" w:sz="4" w:space="0" w:color="365F91"/>
            </w:tcBorders>
            <w:shd w:val="clear" w:color="auto" w:fill="auto"/>
            <w:noWrap/>
            <w:vAlign w:val="bottom"/>
          </w:tcPr>
          <w:p w14:paraId="4A8811B9" w14:textId="77777777" w:rsidR="00627CA1" w:rsidRPr="00D9348B" w:rsidRDefault="00627CA1" w:rsidP="00DB330E">
            <w:pPr>
              <w:pStyle w:val="TableTextBold"/>
              <w:spacing w:before="50" w:after="50"/>
              <w:ind w:left="185"/>
              <w:rPr>
                <w:rFonts w:cs="Calibri"/>
                <w:b w:val="0"/>
                <w:bCs/>
                <w:noProof w:val="0"/>
                <w:szCs w:val="16"/>
              </w:rPr>
            </w:pPr>
            <w:r w:rsidRPr="00D9348B">
              <w:rPr>
                <w:rFonts w:cs="Calibri"/>
                <w:b w:val="0"/>
                <w:bCs/>
                <w:noProof w:val="0"/>
                <w:szCs w:val="16"/>
              </w:rPr>
              <w:t>Uncertainty in harvested wood products</w:t>
            </w:r>
          </w:p>
        </w:tc>
        <w:tc>
          <w:tcPr>
            <w:tcW w:w="1417" w:type="dxa"/>
            <w:tcBorders>
              <w:top w:val="single" w:sz="4" w:space="0" w:color="365F91"/>
              <w:bottom w:val="single" w:sz="4" w:space="0" w:color="365F91"/>
            </w:tcBorders>
            <w:shd w:val="clear" w:color="auto" w:fill="auto"/>
            <w:noWrap/>
            <w:vAlign w:val="bottom"/>
          </w:tcPr>
          <w:p w14:paraId="611CCB95" w14:textId="77777777" w:rsidR="00627CA1" w:rsidRPr="00D9348B" w:rsidRDefault="00627CA1" w:rsidP="00DB330E">
            <w:pPr>
              <w:pStyle w:val="TableTextBold"/>
              <w:spacing w:before="50" w:after="50"/>
              <w:ind w:right="118"/>
              <w:jc w:val="right"/>
              <w:rPr>
                <w:rFonts w:cs="Calibri"/>
                <w:b w:val="0"/>
                <w:noProof w:val="0"/>
                <w:szCs w:val="16"/>
              </w:rPr>
            </w:pPr>
            <w:r w:rsidRPr="00D9348B">
              <w:rPr>
                <w:rFonts w:cs="Calibri"/>
                <w:b w:val="0"/>
                <w:noProof w:val="0"/>
                <w:szCs w:val="16"/>
              </w:rPr>
              <w:t>±51.3</w:t>
            </w:r>
          </w:p>
        </w:tc>
        <w:tc>
          <w:tcPr>
            <w:tcW w:w="993" w:type="dxa"/>
            <w:tcBorders>
              <w:top w:val="single" w:sz="4" w:space="0" w:color="365F91"/>
              <w:bottom w:val="single" w:sz="4" w:space="0" w:color="365F91"/>
            </w:tcBorders>
            <w:shd w:val="clear" w:color="auto" w:fill="auto"/>
            <w:noWrap/>
            <w:vAlign w:val="bottom"/>
          </w:tcPr>
          <w:p w14:paraId="28BB0A1E" w14:textId="77777777" w:rsidR="00627CA1" w:rsidRPr="00D9348B" w:rsidRDefault="00627CA1" w:rsidP="00DB330E">
            <w:pPr>
              <w:pStyle w:val="TableTextBold"/>
              <w:spacing w:before="50" w:after="50"/>
              <w:ind w:right="118"/>
              <w:jc w:val="right"/>
              <w:rPr>
                <w:rFonts w:cs="Calibri"/>
                <w:b w:val="0"/>
                <w:noProof w:val="0"/>
                <w:szCs w:val="16"/>
              </w:rPr>
            </w:pPr>
            <w:r w:rsidRPr="00D9348B">
              <w:rPr>
                <w:rFonts w:cs="Calibri"/>
                <w:b w:val="0"/>
                <w:noProof w:val="0"/>
                <w:szCs w:val="16"/>
              </w:rPr>
              <w:t>–</w:t>
            </w:r>
          </w:p>
        </w:tc>
        <w:tc>
          <w:tcPr>
            <w:tcW w:w="850" w:type="dxa"/>
            <w:tcBorders>
              <w:top w:val="single" w:sz="4" w:space="0" w:color="365F91"/>
              <w:bottom w:val="single" w:sz="4" w:space="0" w:color="365F91"/>
            </w:tcBorders>
            <w:shd w:val="clear" w:color="auto" w:fill="auto"/>
            <w:noWrap/>
            <w:vAlign w:val="bottom"/>
          </w:tcPr>
          <w:p w14:paraId="2A7FE576" w14:textId="77777777" w:rsidR="00627CA1" w:rsidRPr="00D9348B" w:rsidRDefault="00627CA1" w:rsidP="00DB330E">
            <w:pPr>
              <w:pStyle w:val="TableTextBold"/>
              <w:spacing w:before="50" w:after="50"/>
              <w:ind w:right="118"/>
              <w:jc w:val="right"/>
              <w:rPr>
                <w:rFonts w:cs="Calibri"/>
                <w:b w:val="0"/>
                <w:noProof w:val="0"/>
                <w:szCs w:val="16"/>
              </w:rPr>
            </w:pPr>
            <w:r w:rsidRPr="00D9348B">
              <w:rPr>
                <w:rFonts w:cs="Calibri"/>
                <w:b w:val="0"/>
                <w:noProof w:val="0"/>
                <w:szCs w:val="16"/>
              </w:rPr>
              <w:t>–</w:t>
            </w:r>
          </w:p>
        </w:tc>
        <w:tc>
          <w:tcPr>
            <w:tcW w:w="851" w:type="dxa"/>
            <w:tcBorders>
              <w:top w:val="single" w:sz="4" w:space="0" w:color="365F91"/>
              <w:bottom w:val="single" w:sz="4" w:space="0" w:color="365F91"/>
            </w:tcBorders>
            <w:shd w:val="clear" w:color="auto" w:fill="auto"/>
            <w:noWrap/>
            <w:vAlign w:val="bottom"/>
          </w:tcPr>
          <w:p w14:paraId="07929B10" w14:textId="77777777" w:rsidR="00627CA1" w:rsidRPr="00D9348B" w:rsidRDefault="00627CA1" w:rsidP="00DB330E">
            <w:pPr>
              <w:pStyle w:val="TableTextBold"/>
              <w:spacing w:before="50" w:after="50"/>
              <w:ind w:right="118"/>
              <w:jc w:val="right"/>
              <w:rPr>
                <w:rFonts w:cs="Calibri"/>
                <w:b w:val="0"/>
                <w:noProof w:val="0"/>
                <w:szCs w:val="16"/>
              </w:rPr>
            </w:pPr>
            <w:r w:rsidRPr="00D9348B">
              <w:rPr>
                <w:rFonts w:cs="Calibri"/>
                <w:b w:val="0"/>
                <w:noProof w:val="0"/>
                <w:szCs w:val="16"/>
              </w:rPr>
              <w:t>–</w:t>
            </w:r>
          </w:p>
        </w:tc>
        <w:tc>
          <w:tcPr>
            <w:tcW w:w="897" w:type="dxa"/>
            <w:tcBorders>
              <w:top w:val="single" w:sz="4" w:space="0" w:color="365F91"/>
              <w:bottom w:val="single" w:sz="4" w:space="0" w:color="365F91"/>
            </w:tcBorders>
            <w:shd w:val="clear" w:color="auto" w:fill="auto"/>
            <w:vAlign w:val="bottom"/>
          </w:tcPr>
          <w:p w14:paraId="1E537B53" w14:textId="77777777" w:rsidR="00627CA1" w:rsidRPr="00D9348B" w:rsidRDefault="00627CA1" w:rsidP="00DB330E">
            <w:pPr>
              <w:pStyle w:val="TableTextBold"/>
              <w:spacing w:before="50" w:after="50"/>
              <w:ind w:right="118"/>
              <w:jc w:val="right"/>
              <w:rPr>
                <w:rFonts w:cs="Calibri"/>
                <w:b w:val="0"/>
                <w:noProof w:val="0"/>
                <w:szCs w:val="16"/>
              </w:rPr>
            </w:pPr>
            <w:r w:rsidRPr="00D9348B">
              <w:rPr>
                <w:rFonts w:cs="Calibri"/>
                <w:b w:val="0"/>
                <w:noProof w:val="0"/>
                <w:szCs w:val="16"/>
              </w:rPr>
              <w:t>–</w:t>
            </w:r>
          </w:p>
        </w:tc>
        <w:tc>
          <w:tcPr>
            <w:tcW w:w="945" w:type="dxa"/>
            <w:tcBorders>
              <w:top w:val="single" w:sz="4" w:space="0" w:color="365F91"/>
              <w:bottom w:val="single" w:sz="4" w:space="0" w:color="365F91"/>
              <w:right w:val="nil"/>
            </w:tcBorders>
            <w:shd w:val="clear" w:color="auto" w:fill="auto"/>
            <w:vAlign w:val="bottom"/>
          </w:tcPr>
          <w:p w14:paraId="03AECFB6" w14:textId="77777777" w:rsidR="00627CA1" w:rsidRPr="00D9348B" w:rsidRDefault="00627CA1" w:rsidP="00DB330E">
            <w:pPr>
              <w:pStyle w:val="TableTextBold"/>
              <w:spacing w:before="50" w:after="50"/>
              <w:ind w:right="118"/>
              <w:jc w:val="right"/>
              <w:rPr>
                <w:rFonts w:cs="Calibri"/>
                <w:b w:val="0"/>
                <w:noProof w:val="0"/>
                <w:szCs w:val="16"/>
              </w:rPr>
            </w:pPr>
            <w:r w:rsidRPr="00D9348B">
              <w:rPr>
                <w:rFonts w:cs="Calibri"/>
                <w:b w:val="0"/>
                <w:noProof w:val="0"/>
                <w:szCs w:val="16"/>
              </w:rPr>
              <w:t>±51.3</w:t>
            </w:r>
          </w:p>
        </w:tc>
      </w:tr>
      <w:tr w:rsidR="00627CA1" w:rsidRPr="00D9348B" w14:paraId="2FB99EC0" w14:textId="77777777" w:rsidTr="00DB330E">
        <w:tc>
          <w:tcPr>
            <w:tcW w:w="2552" w:type="dxa"/>
            <w:tcBorders>
              <w:top w:val="single" w:sz="4" w:space="0" w:color="365F91"/>
              <w:left w:val="nil"/>
              <w:bottom w:val="single" w:sz="4" w:space="0" w:color="365F91"/>
            </w:tcBorders>
            <w:shd w:val="clear" w:color="auto" w:fill="auto"/>
            <w:noWrap/>
            <w:vAlign w:val="bottom"/>
            <w:hideMark/>
          </w:tcPr>
          <w:p w14:paraId="49FDA88C" w14:textId="77777777" w:rsidR="00627CA1" w:rsidRPr="00D9348B" w:rsidRDefault="00627CA1" w:rsidP="00DB330E">
            <w:pPr>
              <w:pStyle w:val="Tableboldblue"/>
              <w:spacing w:before="50" w:after="50"/>
              <w:rPr>
                <w:rFonts w:cs="Calibri"/>
                <w:bCs/>
                <w:szCs w:val="16"/>
              </w:rPr>
            </w:pPr>
            <w:r w:rsidRPr="00D9348B">
              <w:rPr>
                <w:rFonts w:cs="Calibri"/>
                <w:bCs/>
                <w:szCs w:val="16"/>
              </w:rPr>
              <w:t>Uncertainty introduced into emissions for Kyoto Protocol</w:t>
            </w:r>
          </w:p>
        </w:tc>
        <w:tc>
          <w:tcPr>
            <w:tcW w:w="1417" w:type="dxa"/>
            <w:tcBorders>
              <w:top w:val="single" w:sz="4" w:space="0" w:color="365F91"/>
              <w:bottom w:val="single" w:sz="4" w:space="0" w:color="365F91"/>
            </w:tcBorders>
            <w:shd w:val="clear" w:color="auto" w:fill="auto"/>
            <w:noWrap/>
            <w:vAlign w:val="bottom"/>
            <w:hideMark/>
          </w:tcPr>
          <w:p w14:paraId="2337E8D7" w14:textId="77777777" w:rsidR="00627CA1" w:rsidRPr="00D9348B" w:rsidRDefault="00627CA1" w:rsidP="00DB330E">
            <w:pPr>
              <w:pStyle w:val="Tableboldblue"/>
              <w:spacing w:before="50" w:after="50"/>
              <w:ind w:right="118"/>
              <w:jc w:val="right"/>
              <w:rPr>
                <w:rFonts w:cs="Calibri"/>
                <w:szCs w:val="16"/>
              </w:rPr>
            </w:pPr>
            <w:r w:rsidRPr="00D9348B">
              <w:rPr>
                <w:rFonts w:cs="Calibri"/>
                <w:szCs w:val="16"/>
              </w:rPr>
              <w:t>±15.2</w:t>
            </w:r>
          </w:p>
        </w:tc>
        <w:tc>
          <w:tcPr>
            <w:tcW w:w="993" w:type="dxa"/>
            <w:tcBorders>
              <w:top w:val="single" w:sz="4" w:space="0" w:color="365F91"/>
              <w:bottom w:val="single" w:sz="4" w:space="0" w:color="365F91"/>
            </w:tcBorders>
            <w:shd w:val="clear" w:color="auto" w:fill="auto"/>
            <w:noWrap/>
            <w:vAlign w:val="bottom"/>
            <w:hideMark/>
          </w:tcPr>
          <w:p w14:paraId="32EC3BC0" w14:textId="77777777" w:rsidR="00627CA1" w:rsidRPr="00D9348B" w:rsidRDefault="00627CA1" w:rsidP="00DB330E">
            <w:pPr>
              <w:pStyle w:val="Tableboldblue"/>
              <w:spacing w:before="50" w:after="50"/>
              <w:ind w:right="118"/>
              <w:jc w:val="right"/>
              <w:rPr>
                <w:rFonts w:cs="Calibri"/>
                <w:szCs w:val="16"/>
              </w:rPr>
            </w:pPr>
            <w:r w:rsidRPr="00D9348B">
              <w:rPr>
                <w:rFonts w:cs="Calibri"/>
                <w:szCs w:val="16"/>
              </w:rPr>
              <w:t>±0.2</w:t>
            </w:r>
          </w:p>
        </w:tc>
        <w:tc>
          <w:tcPr>
            <w:tcW w:w="850" w:type="dxa"/>
            <w:tcBorders>
              <w:top w:val="single" w:sz="4" w:space="0" w:color="365F91"/>
              <w:bottom w:val="single" w:sz="4" w:space="0" w:color="365F91"/>
            </w:tcBorders>
            <w:shd w:val="clear" w:color="auto" w:fill="auto"/>
            <w:noWrap/>
            <w:vAlign w:val="bottom"/>
            <w:hideMark/>
          </w:tcPr>
          <w:p w14:paraId="2BBCFEB5" w14:textId="77777777" w:rsidR="00627CA1" w:rsidRPr="00D9348B" w:rsidRDefault="00627CA1" w:rsidP="00DB330E">
            <w:pPr>
              <w:pStyle w:val="Tableboldblue"/>
              <w:spacing w:before="50" w:after="50"/>
              <w:ind w:right="118"/>
              <w:jc w:val="right"/>
              <w:rPr>
                <w:rFonts w:cs="Calibri"/>
                <w:szCs w:val="16"/>
              </w:rPr>
            </w:pPr>
            <w:r w:rsidRPr="00D9348B">
              <w:rPr>
                <w:rFonts w:cs="Calibri"/>
                <w:szCs w:val="16"/>
              </w:rPr>
              <w:t>±1.3</w:t>
            </w:r>
          </w:p>
        </w:tc>
        <w:tc>
          <w:tcPr>
            <w:tcW w:w="851" w:type="dxa"/>
            <w:tcBorders>
              <w:top w:val="single" w:sz="4" w:space="0" w:color="365F91"/>
              <w:bottom w:val="single" w:sz="4" w:space="0" w:color="365F91"/>
            </w:tcBorders>
            <w:shd w:val="clear" w:color="auto" w:fill="auto"/>
            <w:noWrap/>
            <w:vAlign w:val="bottom"/>
            <w:hideMark/>
          </w:tcPr>
          <w:p w14:paraId="0C8423F3" w14:textId="77777777" w:rsidR="00627CA1" w:rsidRPr="00D9348B" w:rsidRDefault="00627CA1" w:rsidP="00DB330E">
            <w:pPr>
              <w:pStyle w:val="Tableboldblue"/>
              <w:spacing w:before="50" w:after="50"/>
              <w:ind w:right="118"/>
              <w:jc w:val="right"/>
              <w:rPr>
                <w:rFonts w:cs="Calibri"/>
                <w:szCs w:val="16"/>
              </w:rPr>
            </w:pPr>
            <w:r w:rsidRPr="00D9348B">
              <w:rPr>
                <w:rFonts w:cs="Calibri"/>
                <w:szCs w:val="16"/>
              </w:rPr>
              <w:t>±0.2</w:t>
            </w:r>
          </w:p>
        </w:tc>
        <w:tc>
          <w:tcPr>
            <w:tcW w:w="897" w:type="dxa"/>
            <w:tcBorders>
              <w:top w:val="single" w:sz="4" w:space="0" w:color="365F91"/>
              <w:bottom w:val="single" w:sz="4" w:space="0" w:color="365F91"/>
            </w:tcBorders>
            <w:shd w:val="clear" w:color="auto" w:fill="auto"/>
            <w:vAlign w:val="bottom"/>
          </w:tcPr>
          <w:p w14:paraId="4463CB9D" w14:textId="77777777" w:rsidR="00627CA1" w:rsidRPr="00D9348B" w:rsidRDefault="00627CA1" w:rsidP="00DB330E">
            <w:pPr>
              <w:pStyle w:val="Tableboldblue"/>
              <w:spacing w:before="50" w:after="50"/>
              <w:ind w:right="118"/>
              <w:jc w:val="right"/>
              <w:rPr>
                <w:rFonts w:cs="Calibri"/>
                <w:szCs w:val="16"/>
              </w:rPr>
            </w:pPr>
            <w:r w:rsidRPr="00D9348B">
              <w:rPr>
                <w:rFonts w:cs="Calibri"/>
                <w:szCs w:val="16"/>
              </w:rPr>
              <w:t>±7.1</w:t>
            </w:r>
          </w:p>
        </w:tc>
        <w:tc>
          <w:tcPr>
            <w:tcW w:w="945" w:type="dxa"/>
            <w:tcBorders>
              <w:top w:val="single" w:sz="4" w:space="0" w:color="365F91"/>
              <w:bottom w:val="single" w:sz="4" w:space="0" w:color="365F91"/>
              <w:right w:val="nil"/>
            </w:tcBorders>
            <w:shd w:val="clear" w:color="auto" w:fill="auto"/>
            <w:vAlign w:val="bottom"/>
          </w:tcPr>
          <w:p w14:paraId="43871190" w14:textId="77777777" w:rsidR="00627CA1" w:rsidRPr="00D9348B" w:rsidRDefault="00627CA1" w:rsidP="00DB330E">
            <w:pPr>
              <w:pStyle w:val="Tableboldblue"/>
              <w:spacing w:before="50" w:after="50"/>
              <w:ind w:right="118"/>
              <w:jc w:val="right"/>
              <w:rPr>
                <w:rFonts w:cs="Calibri"/>
                <w:szCs w:val="16"/>
              </w:rPr>
            </w:pPr>
            <w:r w:rsidRPr="00D9348B">
              <w:rPr>
                <w:rFonts w:cs="Calibri"/>
                <w:szCs w:val="16"/>
              </w:rPr>
              <w:t>±53.4</w:t>
            </w:r>
          </w:p>
        </w:tc>
      </w:tr>
    </w:tbl>
    <w:p w14:paraId="7F0BF2A1" w14:textId="77777777" w:rsidR="00627CA1" w:rsidRPr="00D9348B" w:rsidRDefault="00627CA1" w:rsidP="00627CA1">
      <w:pPr>
        <w:pStyle w:val="Noteundertable"/>
      </w:pPr>
      <w:r w:rsidRPr="00D9348B">
        <w:rPr>
          <w:b/>
        </w:rPr>
        <w:t>Note:</w:t>
      </w:r>
      <w:r w:rsidRPr="00D9348B">
        <w:tab/>
        <w:t>All land that has been afforested or reforested since 1 January 1990 is defined as post-1989 forest. Land deforested since 1 January 1990 may be pre-1990 natural forest, pre</w:t>
      </w:r>
      <w:r w:rsidRPr="00D9348B">
        <w:noBreakHyphen/>
        <w:t>1990 planted forest or post</w:t>
      </w:r>
      <w:r w:rsidRPr="00D9348B">
        <w:noBreakHyphen/>
        <w:t>1989 forest.</w:t>
      </w:r>
    </w:p>
    <w:p w14:paraId="08680440" w14:textId="77777777" w:rsidR="00627CA1" w:rsidRPr="00D9348B" w:rsidRDefault="00627CA1" w:rsidP="00627CA1">
      <w:pPr>
        <w:pStyle w:val="BodyText"/>
      </w:pPr>
      <w:r w:rsidRPr="00D9348B">
        <w:t>Total uncertainty in New Zealand’s estimates of emissions for Article 3.3 and Article 3.4 of the Kyoto Protocol is ±56.0 per cent</w:t>
      </w:r>
      <w:r w:rsidRPr="00D9348B">
        <w:rPr>
          <w:spacing w:val="-2"/>
        </w:rPr>
        <w:t xml:space="preserve"> at a 95 per cent confidence interval</w:t>
      </w:r>
      <w:r w:rsidRPr="00D9348B">
        <w:t xml:space="preserve">. </w:t>
      </w:r>
    </w:p>
    <w:p w14:paraId="1977C52C" w14:textId="77777777" w:rsidR="00627CA1" w:rsidRPr="00D9348B" w:rsidRDefault="00627CA1" w:rsidP="00627CA1">
      <w:pPr>
        <w:pStyle w:val="Table"/>
      </w:pPr>
      <w:bookmarkStart w:id="3306" w:name="_Toc318362740"/>
      <w:bookmarkStart w:id="3307" w:name="_Toc342470819"/>
      <w:bookmarkStart w:id="3308" w:name="_Toc352505072"/>
      <w:bookmarkStart w:id="3309" w:name="_Toc377043708"/>
      <w:bookmarkStart w:id="3310" w:name="_Toc391023560"/>
      <w:bookmarkStart w:id="3311" w:name="_Toc414531533"/>
      <w:bookmarkStart w:id="3312" w:name="_Toc456179111"/>
      <w:bookmarkStart w:id="3313" w:name="_Toc481751636"/>
      <w:bookmarkStart w:id="3314" w:name="_Toc522010662"/>
      <w:bookmarkStart w:id="3315" w:name="_Toc5269633"/>
      <w:bookmarkStart w:id="3316" w:name="_Toc36224716"/>
      <w:r w:rsidRPr="00D9348B">
        <w:t xml:space="preserve">Table 11.4.2 </w:t>
      </w:r>
      <w:r w:rsidRPr="00D9348B">
        <w:tab/>
        <w:t>Total uncertainty in New Zealand’s estimates for Afforestation and reforestation</w:t>
      </w:r>
      <w:proofErr w:type="gramStart"/>
      <w:r w:rsidRPr="00D9348B">
        <w:t>,</w:t>
      </w:r>
      <w:proofErr w:type="gramEnd"/>
      <w:r w:rsidRPr="00D9348B">
        <w:br/>
        <w:t xml:space="preserve">Deforestation and Forest management in </w:t>
      </w:r>
      <w:bookmarkEnd w:id="3306"/>
      <w:bookmarkEnd w:id="3307"/>
      <w:bookmarkEnd w:id="3308"/>
      <w:bookmarkEnd w:id="3309"/>
      <w:bookmarkEnd w:id="3310"/>
      <w:r w:rsidRPr="00D9348B">
        <w:t>2018</w:t>
      </w:r>
      <w:bookmarkEnd w:id="3311"/>
      <w:bookmarkEnd w:id="3312"/>
      <w:bookmarkEnd w:id="3313"/>
      <w:bookmarkEnd w:id="3314"/>
      <w:bookmarkEnd w:id="3315"/>
      <w:bookmarkEnd w:id="3316"/>
    </w:p>
    <w:tbl>
      <w:tblPr>
        <w:tblW w:w="8505" w:type="dxa"/>
        <w:tblInd w:w="108" w:type="dxa"/>
        <w:tblBorders>
          <w:top w:val="single" w:sz="8" w:space="0" w:color="1F497D"/>
          <w:bottom w:val="single" w:sz="8" w:space="0" w:color="1F497D"/>
          <w:insideH w:val="single" w:sz="8" w:space="0" w:color="1F497D"/>
        </w:tblBorders>
        <w:tblLayout w:type="fixed"/>
        <w:tblLook w:val="04A0" w:firstRow="1" w:lastRow="0" w:firstColumn="1" w:lastColumn="0" w:noHBand="0" w:noVBand="1"/>
      </w:tblPr>
      <w:tblGrid>
        <w:gridCol w:w="5245"/>
        <w:gridCol w:w="3260"/>
      </w:tblGrid>
      <w:tr w:rsidR="00627CA1" w:rsidRPr="00D9348B" w14:paraId="697636AB" w14:textId="77777777" w:rsidTr="00DB330E">
        <w:tc>
          <w:tcPr>
            <w:tcW w:w="5245" w:type="dxa"/>
            <w:tcBorders>
              <w:top w:val="single" w:sz="4" w:space="0" w:color="365F91"/>
              <w:bottom w:val="single" w:sz="4" w:space="0" w:color="365F91"/>
            </w:tcBorders>
            <w:shd w:val="clear" w:color="auto" w:fill="365F91"/>
            <w:noWrap/>
            <w:vAlign w:val="center"/>
            <w:hideMark/>
          </w:tcPr>
          <w:p w14:paraId="22D3EC1F" w14:textId="77777777" w:rsidR="00627CA1" w:rsidRPr="00D9348B" w:rsidRDefault="00627CA1" w:rsidP="00DB330E">
            <w:pPr>
              <w:pStyle w:val="TableTextBold"/>
              <w:keepNext/>
              <w:rPr>
                <w:bCs/>
                <w:noProof w:val="0"/>
                <w:color w:val="FFFFFF"/>
                <w:szCs w:val="16"/>
              </w:rPr>
            </w:pPr>
            <w:r w:rsidRPr="00D9348B">
              <w:rPr>
                <w:bCs/>
                <w:noProof w:val="0"/>
                <w:color w:val="FFFFFF"/>
                <w:szCs w:val="16"/>
              </w:rPr>
              <w:t>Variable</w:t>
            </w:r>
          </w:p>
        </w:tc>
        <w:tc>
          <w:tcPr>
            <w:tcW w:w="3260" w:type="dxa"/>
            <w:tcBorders>
              <w:top w:val="single" w:sz="4" w:space="0" w:color="365F91"/>
              <w:bottom w:val="single" w:sz="4" w:space="0" w:color="365F91"/>
            </w:tcBorders>
            <w:shd w:val="clear" w:color="auto" w:fill="365F91"/>
            <w:noWrap/>
            <w:vAlign w:val="center"/>
            <w:hideMark/>
          </w:tcPr>
          <w:p w14:paraId="37163183" w14:textId="77777777" w:rsidR="00627CA1" w:rsidRPr="00D9348B" w:rsidRDefault="00627CA1" w:rsidP="00DB330E">
            <w:pPr>
              <w:pStyle w:val="TableTextBold"/>
              <w:keepNext/>
              <w:jc w:val="center"/>
              <w:rPr>
                <w:bCs/>
                <w:noProof w:val="0"/>
                <w:color w:val="FFFFFF"/>
                <w:szCs w:val="16"/>
              </w:rPr>
            </w:pPr>
            <w:r w:rsidRPr="00D9348B">
              <w:rPr>
                <w:bCs/>
                <w:noProof w:val="0"/>
                <w:color w:val="FFFFFF"/>
                <w:szCs w:val="16"/>
              </w:rPr>
              <w:t>Uncertainty (%) at a 95% confidence interval</w:t>
            </w:r>
          </w:p>
        </w:tc>
      </w:tr>
      <w:tr w:rsidR="00627CA1" w:rsidRPr="00D9348B" w14:paraId="1B1655B2" w14:textId="77777777" w:rsidTr="00DB330E">
        <w:tc>
          <w:tcPr>
            <w:tcW w:w="5245" w:type="dxa"/>
            <w:tcBorders>
              <w:top w:val="single" w:sz="4" w:space="0" w:color="365F91"/>
              <w:left w:val="nil"/>
              <w:bottom w:val="single" w:sz="4" w:space="0" w:color="365F91"/>
            </w:tcBorders>
            <w:shd w:val="clear" w:color="auto" w:fill="auto"/>
            <w:noWrap/>
            <w:vAlign w:val="bottom"/>
            <w:hideMark/>
          </w:tcPr>
          <w:p w14:paraId="771C3448" w14:textId="77777777" w:rsidR="00627CA1" w:rsidRPr="00D9348B" w:rsidRDefault="00627CA1" w:rsidP="00DB330E">
            <w:pPr>
              <w:pStyle w:val="TableText"/>
              <w:rPr>
                <w:szCs w:val="16"/>
              </w:rPr>
            </w:pPr>
            <w:r w:rsidRPr="00D9348B">
              <w:rPr>
                <w:szCs w:val="16"/>
              </w:rPr>
              <w:t>Afforestation and reforestation uncertainty introduced into emissions for Kyoto Protocol</w:t>
            </w:r>
          </w:p>
        </w:tc>
        <w:tc>
          <w:tcPr>
            <w:tcW w:w="3260" w:type="dxa"/>
            <w:tcBorders>
              <w:top w:val="single" w:sz="4" w:space="0" w:color="365F91"/>
              <w:bottom w:val="single" w:sz="4" w:space="0" w:color="365F91"/>
              <w:right w:val="nil"/>
            </w:tcBorders>
            <w:shd w:val="clear" w:color="auto" w:fill="auto"/>
            <w:noWrap/>
            <w:vAlign w:val="bottom"/>
            <w:hideMark/>
          </w:tcPr>
          <w:p w14:paraId="100E9928" w14:textId="77777777" w:rsidR="00627CA1" w:rsidRPr="00D9348B" w:rsidRDefault="00627CA1" w:rsidP="00DB330E">
            <w:pPr>
              <w:pStyle w:val="TableText"/>
              <w:keepNext/>
              <w:jc w:val="center"/>
              <w:rPr>
                <w:szCs w:val="16"/>
              </w:rPr>
            </w:pPr>
            <w:r w:rsidRPr="00D9348B">
              <w:rPr>
                <w:szCs w:val="16"/>
              </w:rPr>
              <w:t>±15.2</w:t>
            </w:r>
          </w:p>
        </w:tc>
      </w:tr>
      <w:tr w:rsidR="00627CA1" w:rsidRPr="00D9348B" w14:paraId="6A299661" w14:textId="77777777" w:rsidTr="00DB330E">
        <w:tc>
          <w:tcPr>
            <w:tcW w:w="5245" w:type="dxa"/>
            <w:tcBorders>
              <w:top w:val="single" w:sz="4" w:space="0" w:color="365F91"/>
              <w:left w:val="nil"/>
              <w:bottom w:val="single" w:sz="4" w:space="0" w:color="365F91"/>
            </w:tcBorders>
            <w:shd w:val="clear" w:color="auto" w:fill="auto"/>
            <w:noWrap/>
            <w:vAlign w:val="bottom"/>
            <w:hideMark/>
          </w:tcPr>
          <w:p w14:paraId="42E2500D" w14:textId="77777777" w:rsidR="00627CA1" w:rsidRPr="00D9348B" w:rsidRDefault="00627CA1" w:rsidP="00DB330E">
            <w:pPr>
              <w:pStyle w:val="TableText"/>
              <w:rPr>
                <w:szCs w:val="16"/>
              </w:rPr>
            </w:pPr>
            <w:r w:rsidRPr="00D9348B">
              <w:rPr>
                <w:szCs w:val="16"/>
              </w:rPr>
              <w:t>Deforestation uncertainty introduced into emissions for Kyoto Protocol</w:t>
            </w:r>
          </w:p>
        </w:tc>
        <w:tc>
          <w:tcPr>
            <w:tcW w:w="3260" w:type="dxa"/>
            <w:tcBorders>
              <w:top w:val="single" w:sz="4" w:space="0" w:color="365F91"/>
              <w:bottom w:val="single" w:sz="4" w:space="0" w:color="365F91"/>
              <w:right w:val="nil"/>
            </w:tcBorders>
            <w:shd w:val="clear" w:color="auto" w:fill="auto"/>
            <w:noWrap/>
            <w:vAlign w:val="bottom"/>
            <w:hideMark/>
          </w:tcPr>
          <w:p w14:paraId="7F25DA03" w14:textId="77777777" w:rsidR="00627CA1" w:rsidRPr="00D9348B" w:rsidRDefault="00627CA1" w:rsidP="00DB330E">
            <w:pPr>
              <w:pStyle w:val="TableText"/>
              <w:keepNext/>
              <w:jc w:val="center"/>
              <w:rPr>
                <w:szCs w:val="16"/>
              </w:rPr>
            </w:pPr>
            <w:r w:rsidRPr="00D9348B">
              <w:rPr>
                <w:szCs w:val="16"/>
              </w:rPr>
              <w:t>±2.3</w:t>
            </w:r>
          </w:p>
        </w:tc>
      </w:tr>
      <w:tr w:rsidR="00627CA1" w:rsidRPr="00D9348B" w14:paraId="229EB5B7" w14:textId="77777777" w:rsidTr="00DB330E">
        <w:tc>
          <w:tcPr>
            <w:tcW w:w="5245" w:type="dxa"/>
            <w:tcBorders>
              <w:top w:val="single" w:sz="4" w:space="0" w:color="365F91"/>
              <w:left w:val="nil"/>
              <w:bottom w:val="single" w:sz="4" w:space="0" w:color="365F91"/>
            </w:tcBorders>
            <w:shd w:val="clear" w:color="auto" w:fill="auto"/>
            <w:noWrap/>
            <w:vAlign w:val="bottom"/>
          </w:tcPr>
          <w:p w14:paraId="587AF9A7" w14:textId="77777777" w:rsidR="00627CA1" w:rsidRPr="00D9348B" w:rsidRDefault="00627CA1" w:rsidP="00DB330E">
            <w:pPr>
              <w:pStyle w:val="TableText"/>
              <w:rPr>
                <w:szCs w:val="16"/>
              </w:rPr>
            </w:pPr>
            <w:r w:rsidRPr="00D9348B">
              <w:rPr>
                <w:szCs w:val="16"/>
              </w:rPr>
              <w:t>Forest management uncertainty introduced into emissions for Kyoto Protocol</w:t>
            </w:r>
          </w:p>
        </w:tc>
        <w:tc>
          <w:tcPr>
            <w:tcW w:w="3260" w:type="dxa"/>
            <w:tcBorders>
              <w:top w:val="single" w:sz="4" w:space="0" w:color="365F91"/>
              <w:bottom w:val="single" w:sz="4" w:space="0" w:color="365F91"/>
              <w:right w:val="nil"/>
            </w:tcBorders>
            <w:shd w:val="clear" w:color="auto" w:fill="auto"/>
            <w:noWrap/>
            <w:vAlign w:val="bottom"/>
          </w:tcPr>
          <w:p w14:paraId="00C86386" w14:textId="77777777" w:rsidR="00627CA1" w:rsidRPr="00D9348B" w:rsidRDefault="00627CA1" w:rsidP="00DB330E">
            <w:pPr>
              <w:pStyle w:val="TableText"/>
              <w:keepNext/>
              <w:jc w:val="center"/>
              <w:rPr>
                <w:szCs w:val="16"/>
              </w:rPr>
            </w:pPr>
            <w:r w:rsidRPr="00D9348B">
              <w:rPr>
                <w:szCs w:val="16"/>
              </w:rPr>
              <w:t>±53.9</w:t>
            </w:r>
          </w:p>
        </w:tc>
      </w:tr>
      <w:tr w:rsidR="00627CA1" w:rsidRPr="00D9348B" w14:paraId="58BFFA05" w14:textId="77777777" w:rsidTr="00DB330E">
        <w:tc>
          <w:tcPr>
            <w:tcW w:w="5245" w:type="dxa"/>
            <w:tcBorders>
              <w:top w:val="single" w:sz="4" w:space="0" w:color="365F91"/>
              <w:left w:val="nil"/>
              <w:bottom w:val="single" w:sz="4" w:space="0" w:color="365F91"/>
            </w:tcBorders>
            <w:shd w:val="clear" w:color="auto" w:fill="auto"/>
            <w:noWrap/>
            <w:vAlign w:val="center"/>
            <w:hideMark/>
          </w:tcPr>
          <w:p w14:paraId="3DAE0380" w14:textId="77777777" w:rsidR="00627CA1" w:rsidRPr="00D9348B" w:rsidRDefault="00627CA1" w:rsidP="00DB330E">
            <w:pPr>
              <w:pStyle w:val="Tableboldblue"/>
              <w:spacing w:before="50" w:after="50"/>
              <w:rPr>
                <w:bCs/>
                <w:szCs w:val="16"/>
              </w:rPr>
            </w:pPr>
            <w:r w:rsidRPr="00D9348B">
              <w:rPr>
                <w:bCs/>
                <w:szCs w:val="16"/>
              </w:rPr>
              <w:t>Total uncertainty for Kyoto Protocol</w:t>
            </w:r>
          </w:p>
        </w:tc>
        <w:tc>
          <w:tcPr>
            <w:tcW w:w="3260" w:type="dxa"/>
            <w:tcBorders>
              <w:top w:val="single" w:sz="4" w:space="0" w:color="365F91"/>
              <w:bottom w:val="single" w:sz="4" w:space="0" w:color="365F91"/>
              <w:right w:val="nil"/>
            </w:tcBorders>
            <w:shd w:val="clear" w:color="auto" w:fill="auto"/>
            <w:noWrap/>
            <w:vAlign w:val="center"/>
            <w:hideMark/>
          </w:tcPr>
          <w:p w14:paraId="57C9188F" w14:textId="77777777" w:rsidR="00627CA1" w:rsidRPr="00D9348B" w:rsidRDefault="00627CA1" w:rsidP="00DB330E">
            <w:pPr>
              <w:pStyle w:val="Tableboldblue"/>
              <w:spacing w:before="50" w:after="50"/>
              <w:jc w:val="center"/>
              <w:rPr>
                <w:szCs w:val="16"/>
              </w:rPr>
            </w:pPr>
            <w:r w:rsidRPr="00D9348B">
              <w:rPr>
                <w:szCs w:val="16"/>
              </w:rPr>
              <w:t>±56.0</w:t>
            </w:r>
          </w:p>
        </w:tc>
      </w:tr>
    </w:tbl>
    <w:p w14:paraId="57E76403" w14:textId="77777777" w:rsidR="00627CA1" w:rsidRPr="00D9348B" w:rsidRDefault="00627CA1" w:rsidP="00627CA1">
      <w:pPr>
        <w:pStyle w:val="Heading3"/>
        <w:spacing w:before="440"/>
      </w:pPr>
      <w:bookmarkStart w:id="3317" w:name="_Toc261513295"/>
      <w:bookmarkStart w:id="3318" w:name="_Toc261513908"/>
      <w:bookmarkStart w:id="3319" w:name="_Toc280630398"/>
      <w:r w:rsidRPr="00D9348B">
        <w:t>11.4.2</w:t>
      </w:r>
      <w:r w:rsidRPr="00D9348B">
        <w:tab/>
      </w:r>
      <w:bookmarkEnd w:id="3317"/>
      <w:bookmarkEnd w:id="3318"/>
      <w:bookmarkEnd w:id="3319"/>
      <w:r w:rsidRPr="00D9348B">
        <w:t>Quality control and quality assurance</w:t>
      </w:r>
    </w:p>
    <w:p w14:paraId="62F4AAE4" w14:textId="77777777" w:rsidR="00627CA1" w:rsidRPr="00D9348B" w:rsidRDefault="00627CA1" w:rsidP="00627CA1">
      <w:pPr>
        <w:pStyle w:val="BodyText"/>
      </w:pPr>
      <w:r w:rsidRPr="00D9348B">
        <w:t xml:space="preserve">Quality-control and quality-assurance procedures have been adopted for all data collection and data analyses, to be consistent with the </w:t>
      </w:r>
      <w:r w:rsidRPr="00D9348B">
        <w:rPr>
          <w:i/>
        </w:rPr>
        <w:t xml:space="preserve">IPCC General Guidance and Reporting </w:t>
      </w:r>
      <w:r w:rsidRPr="00D9348B">
        <w:t xml:space="preserve">(IPCC, 2006b) and New Zealand’s inventory quality-control and quality-assurance plan. Quality-control and quality-assurance plans were established for each type of data used to determine carbon stock and stock changes, as well as the areal extent and spatial location of land-use changes. All data were subject to an independent and documented quality-assurance process. Data validation rules and reports were established to ensure that all data are fit for purpose </w:t>
      </w:r>
      <w:r w:rsidRPr="00D9348B">
        <w:lastRenderedPageBreak/>
        <w:t>and are of consistent and known quality, and that data quality continues to be improved over time. The data used to derive the country-specific yield tables and average carbon values have also undergone quality assurance, as described in chapter 6, section 6.4.4.</w:t>
      </w:r>
    </w:p>
    <w:p w14:paraId="5F4CEAEE" w14:textId="77777777" w:rsidR="00627CA1" w:rsidRPr="00D9348B" w:rsidRDefault="00627CA1" w:rsidP="002944CE">
      <w:pPr>
        <w:pStyle w:val="Heading3"/>
        <w:spacing w:before="280"/>
      </w:pPr>
      <w:r w:rsidRPr="00D9348B">
        <w:t>11.4.3</w:t>
      </w:r>
      <w:r w:rsidRPr="00D9348B">
        <w:tab/>
        <w:t>Recalculations</w:t>
      </w:r>
    </w:p>
    <w:p w14:paraId="24DDA134" w14:textId="77777777" w:rsidR="00627CA1" w:rsidRPr="00D9348B" w:rsidRDefault="00627CA1" w:rsidP="00627CA1">
      <w:pPr>
        <w:pStyle w:val="BodyText"/>
      </w:pPr>
      <w:r w:rsidRPr="00D9348B">
        <w:t>New Zealand’s greenhouse gas estimates for activities under Article 3.3 of the Kyoto Protocol have been recalculated since the previous submission to incorporate improved activity data and emission factors.</w:t>
      </w:r>
    </w:p>
    <w:p w14:paraId="657DFB37" w14:textId="77777777" w:rsidR="00627CA1" w:rsidRPr="00D9348B" w:rsidRDefault="00627CA1" w:rsidP="002944CE">
      <w:pPr>
        <w:pStyle w:val="Heading5"/>
        <w:spacing w:before="160"/>
      </w:pPr>
      <w:r w:rsidRPr="00D9348B">
        <w:t>Activity data</w:t>
      </w:r>
    </w:p>
    <w:p w14:paraId="2D1B5715" w14:textId="77777777" w:rsidR="00627CA1" w:rsidRPr="00D9348B" w:rsidRDefault="00627CA1" w:rsidP="00627CA1">
      <w:pPr>
        <w:pStyle w:val="BodyText"/>
      </w:pPr>
      <w:r w:rsidRPr="00D9348B">
        <w:t>Table 11.4.3 shows there has been an increase in the estimated total area of new planting</w:t>
      </w:r>
      <w:r w:rsidRPr="00D9348B">
        <w:rPr>
          <w:i/>
        </w:rPr>
        <w:t xml:space="preserve"> </w:t>
      </w:r>
      <w:r w:rsidRPr="00D9348B">
        <w:t>for 2017, since the last submission. This is due to updated new planting data being provided by the NEFD survey (Ministry for Primary Industries, 2018b).</w:t>
      </w:r>
    </w:p>
    <w:p w14:paraId="0CE87BE7" w14:textId="77777777" w:rsidR="00627CA1" w:rsidRPr="00D9348B" w:rsidRDefault="00627CA1" w:rsidP="00627CA1">
      <w:pPr>
        <w:pStyle w:val="BodyText"/>
        <w:rPr>
          <w:spacing w:val="-2"/>
        </w:rPr>
      </w:pPr>
      <w:r w:rsidRPr="00D9348B">
        <w:rPr>
          <w:spacing w:val="-2"/>
        </w:rPr>
        <w:t>The total area of deforestation for 2017 has increased, compared with the estimate made for the 2019 submission. This is due to corrections made to the area of CEF</w:t>
      </w:r>
      <w:r w:rsidRPr="00D9348B">
        <w:rPr>
          <w:spacing w:val="-2"/>
          <w:vertAlign w:val="subscript"/>
        </w:rPr>
        <w:t>HC</w:t>
      </w:r>
      <w:r w:rsidRPr="00D9348B">
        <w:rPr>
          <w:spacing w:val="-2"/>
        </w:rPr>
        <w:t xml:space="preserve"> land deducted from the estimated area of deforestation occurring in 2017. In the last submission, an incorrect figure for 2017 CEF-hc was used leading to an underestimate of the area of 2017 deforestation area. This has been corrected in this submission.</w:t>
      </w:r>
    </w:p>
    <w:p w14:paraId="4DE5F408" w14:textId="77777777" w:rsidR="00627CA1" w:rsidRPr="00D9348B" w:rsidRDefault="00627CA1" w:rsidP="00627CA1">
      <w:pPr>
        <w:pStyle w:val="Table"/>
        <w:keepLines/>
      </w:pPr>
      <w:bookmarkStart w:id="3320" w:name="_Toc414531531"/>
      <w:bookmarkStart w:id="3321" w:name="_Toc456179112"/>
      <w:bookmarkStart w:id="3322" w:name="_Toc481751637"/>
      <w:bookmarkStart w:id="3323" w:name="_Toc522010663"/>
      <w:bookmarkStart w:id="3324" w:name="_Toc5269634"/>
      <w:bookmarkStart w:id="3325" w:name="_Toc36224717"/>
      <w:r w:rsidRPr="00D9348B">
        <w:t>Table 11.4.3</w:t>
      </w:r>
      <w:r w:rsidRPr="00D9348B">
        <w:tab/>
        <w:t>Recalculations of New Zealand’s 2017 activity data under Article 3.3 and</w:t>
      </w:r>
      <w:r w:rsidRPr="00D9348B">
        <w:br/>
        <w:t>Article 3.4 of the Kyoto Protocol</w:t>
      </w:r>
      <w:bookmarkEnd w:id="3320"/>
      <w:bookmarkEnd w:id="3321"/>
      <w:bookmarkEnd w:id="3322"/>
      <w:bookmarkEnd w:id="3323"/>
      <w:bookmarkEnd w:id="3324"/>
      <w:bookmarkEnd w:id="3325"/>
    </w:p>
    <w:tbl>
      <w:tblPr>
        <w:tblW w:w="8505" w:type="dxa"/>
        <w:tblInd w:w="108" w:type="dxa"/>
        <w:tblLook w:val="04A0" w:firstRow="1" w:lastRow="0" w:firstColumn="1" w:lastColumn="0" w:noHBand="0" w:noVBand="1"/>
      </w:tblPr>
      <w:tblGrid>
        <w:gridCol w:w="3400"/>
        <w:gridCol w:w="1640"/>
        <w:gridCol w:w="120"/>
        <w:gridCol w:w="1538"/>
        <w:gridCol w:w="1807"/>
      </w:tblGrid>
      <w:tr w:rsidR="00627CA1" w:rsidRPr="00D9348B" w14:paraId="34B87459" w14:textId="77777777" w:rsidTr="00C124D7">
        <w:tc>
          <w:tcPr>
            <w:tcW w:w="3400" w:type="dxa"/>
            <w:vMerge w:val="restart"/>
            <w:tcBorders>
              <w:top w:val="single" w:sz="4" w:space="0" w:color="365F91"/>
            </w:tcBorders>
            <w:shd w:val="clear" w:color="auto" w:fill="365F91"/>
            <w:vAlign w:val="bottom"/>
          </w:tcPr>
          <w:p w14:paraId="09CFA9B5" w14:textId="77777777" w:rsidR="00627CA1" w:rsidRPr="00D9348B" w:rsidRDefault="00627CA1" w:rsidP="00DB330E">
            <w:pPr>
              <w:pStyle w:val="TableText"/>
              <w:keepNext/>
              <w:spacing w:before="50" w:after="50"/>
              <w:rPr>
                <w:rFonts w:cs="Calibri"/>
                <w:b/>
                <w:bCs/>
                <w:color w:val="FFFFFF"/>
                <w:szCs w:val="16"/>
              </w:rPr>
            </w:pPr>
            <w:r w:rsidRPr="00D9348B">
              <w:rPr>
                <w:rFonts w:cs="Calibri"/>
                <w:b/>
                <w:bCs/>
                <w:color w:val="FFFFFF"/>
                <w:szCs w:val="16"/>
              </w:rPr>
              <w:t xml:space="preserve">Activities under Article 3.3 of the </w:t>
            </w:r>
            <w:r w:rsidRPr="00D9348B">
              <w:rPr>
                <w:rFonts w:cs="Calibri"/>
                <w:b/>
                <w:bCs/>
                <w:color w:val="FFFFFF"/>
                <w:szCs w:val="16"/>
              </w:rPr>
              <w:br/>
              <w:t xml:space="preserve">Kyoto Protocol </w:t>
            </w:r>
          </w:p>
        </w:tc>
        <w:tc>
          <w:tcPr>
            <w:tcW w:w="3298" w:type="dxa"/>
            <w:gridSpan w:val="3"/>
            <w:tcBorders>
              <w:top w:val="single" w:sz="4" w:space="0" w:color="365F91"/>
              <w:bottom w:val="single" w:sz="4" w:space="0" w:color="365F91"/>
            </w:tcBorders>
            <w:shd w:val="clear" w:color="auto" w:fill="365F91"/>
            <w:vAlign w:val="bottom"/>
          </w:tcPr>
          <w:p w14:paraId="7EAE2D36" w14:textId="77777777" w:rsidR="00627CA1" w:rsidRPr="00D9348B" w:rsidRDefault="00627CA1" w:rsidP="00DB330E">
            <w:pPr>
              <w:pStyle w:val="TableText"/>
              <w:keepNext/>
              <w:spacing w:before="50" w:after="50"/>
              <w:jc w:val="center"/>
              <w:rPr>
                <w:rFonts w:cs="Calibri"/>
                <w:b/>
                <w:bCs/>
                <w:color w:val="FFFFFF"/>
                <w:szCs w:val="16"/>
              </w:rPr>
            </w:pPr>
            <w:r w:rsidRPr="00D9348B">
              <w:rPr>
                <w:rFonts w:cs="Calibri"/>
                <w:b/>
                <w:bCs/>
                <w:color w:val="FFFFFF"/>
                <w:szCs w:val="16"/>
              </w:rPr>
              <w:t>Area as at 2017 (ha)</w:t>
            </w:r>
          </w:p>
        </w:tc>
        <w:tc>
          <w:tcPr>
            <w:tcW w:w="1807" w:type="dxa"/>
            <w:vMerge w:val="restart"/>
            <w:tcBorders>
              <w:top w:val="single" w:sz="4" w:space="0" w:color="365F91"/>
            </w:tcBorders>
            <w:shd w:val="clear" w:color="auto" w:fill="365F91"/>
            <w:vAlign w:val="bottom"/>
          </w:tcPr>
          <w:p w14:paraId="7B09741D" w14:textId="77777777" w:rsidR="00627CA1" w:rsidRPr="00D9348B" w:rsidRDefault="00627CA1" w:rsidP="00DB330E">
            <w:pPr>
              <w:pStyle w:val="TableTextBold"/>
              <w:keepNext/>
              <w:jc w:val="center"/>
              <w:rPr>
                <w:rFonts w:cs="Calibri"/>
                <w:bCs/>
                <w:noProof w:val="0"/>
                <w:color w:val="FFFFFF"/>
                <w:szCs w:val="16"/>
              </w:rPr>
            </w:pPr>
            <w:r w:rsidRPr="00D9348B">
              <w:rPr>
                <w:rFonts w:cs="Calibri"/>
                <w:bCs/>
                <w:noProof w:val="0"/>
                <w:color w:val="FFFFFF"/>
                <w:szCs w:val="16"/>
              </w:rPr>
              <w:t>Change from 2019 submission (%)</w:t>
            </w:r>
          </w:p>
        </w:tc>
      </w:tr>
      <w:tr w:rsidR="00627CA1" w:rsidRPr="00D9348B" w14:paraId="471EADB2" w14:textId="77777777" w:rsidTr="00C124D7">
        <w:tc>
          <w:tcPr>
            <w:tcW w:w="3400" w:type="dxa"/>
            <w:vMerge/>
            <w:tcBorders>
              <w:bottom w:val="single" w:sz="4" w:space="0" w:color="365F91"/>
            </w:tcBorders>
            <w:shd w:val="clear" w:color="auto" w:fill="365F91"/>
            <w:vAlign w:val="center"/>
          </w:tcPr>
          <w:p w14:paraId="23543EE5" w14:textId="77777777" w:rsidR="00627CA1" w:rsidRPr="00D9348B" w:rsidRDefault="00627CA1" w:rsidP="00DB330E">
            <w:pPr>
              <w:pStyle w:val="Captions"/>
              <w:keepNext/>
              <w:suppressAutoHyphens w:val="0"/>
              <w:spacing w:before="50" w:after="50"/>
              <w:rPr>
                <w:rFonts w:ascii="Calibri" w:hAnsi="Calibri" w:cs="Calibri"/>
                <w:b/>
                <w:bCs/>
                <w:sz w:val="16"/>
                <w:szCs w:val="16"/>
              </w:rPr>
            </w:pPr>
          </w:p>
        </w:tc>
        <w:tc>
          <w:tcPr>
            <w:tcW w:w="1640" w:type="dxa"/>
            <w:tcBorders>
              <w:top w:val="single" w:sz="4" w:space="0" w:color="365F91"/>
              <w:bottom w:val="single" w:sz="4" w:space="0" w:color="365F91"/>
            </w:tcBorders>
            <w:shd w:val="clear" w:color="auto" w:fill="365F91"/>
            <w:vAlign w:val="center"/>
          </w:tcPr>
          <w:p w14:paraId="71FD9262" w14:textId="77777777" w:rsidR="00627CA1" w:rsidRPr="00D9348B" w:rsidRDefault="00627CA1" w:rsidP="00DB330E">
            <w:pPr>
              <w:pStyle w:val="TableTextBold"/>
              <w:keepNext/>
              <w:jc w:val="center"/>
              <w:rPr>
                <w:rFonts w:cs="Calibri"/>
                <w:noProof w:val="0"/>
                <w:color w:val="FFFFFF"/>
                <w:szCs w:val="16"/>
              </w:rPr>
            </w:pPr>
            <w:r w:rsidRPr="00D9348B">
              <w:rPr>
                <w:rFonts w:cs="Calibri"/>
                <w:noProof w:val="0"/>
                <w:color w:val="FFFFFF"/>
                <w:szCs w:val="16"/>
              </w:rPr>
              <w:t>2019 submission</w:t>
            </w:r>
          </w:p>
        </w:tc>
        <w:tc>
          <w:tcPr>
            <w:tcW w:w="1658" w:type="dxa"/>
            <w:gridSpan w:val="2"/>
            <w:tcBorders>
              <w:top w:val="single" w:sz="4" w:space="0" w:color="365F91"/>
              <w:bottom w:val="single" w:sz="4" w:space="0" w:color="365F91"/>
            </w:tcBorders>
            <w:shd w:val="clear" w:color="auto" w:fill="365F91"/>
            <w:vAlign w:val="center"/>
          </w:tcPr>
          <w:p w14:paraId="27E5A679" w14:textId="77777777" w:rsidR="00627CA1" w:rsidRPr="00D9348B" w:rsidRDefault="00627CA1" w:rsidP="00DB330E">
            <w:pPr>
              <w:pStyle w:val="TableTextBold"/>
              <w:keepNext/>
              <w:jc w:val="center"/>
              <w:rPr>
                <w:rFonts w:cs="Calibri"/>
                <w:noProof w:val="0"/>
                <w:color w:val="FFFFFF"/>
                <w:szCs w:val="16"/>
              </w:rPr>
            </w:pPr>
            <w:r w:rsidRPr="00D9348B">
              <w:rPr>
                <w:rFonts w:cs="Calibri"/>
                <w:noProof w:val="0"/>
                <w:color w:val="FFFFFF"/>
                <w:szCs w:val="16"/>
              </w:rPr>
              <w:t>2020 submission</w:t>
            </w:r>
          </w:p>
        </w:tc>
        <w:tc>
          <w:tcPr>
            <w:tcW w:w="1807" w:type="dxa"/>
            <w:vMerge/>
            <w:tcBorders>
              <w:bottom w:val="single" w:sz="4" w:space="0" w:color="365F91"/>
            </w:tcBorders>
            <w:shd w:val="clear" w:color="auto" w:fill="365F91"/>
            <w:vAlign w:val="center"/>
          </w:tcPr>
          <w:p w14:paraId="303046F3" w14:textId="77777777" w:rsidR="00627CA1" w:rsidRPr="00D9348B" w:rsidRDefault="00627CA1" w:rsidP="00DB330E">
            <w:pPr>
              <w:pStyle w:val="Captions"/>
              <w:keepNext/>
              <w:suppressAutoHyphens w:val="0"/>
              <w:spacing w:before="50" w:after="50"/>
              <w:rPr>
                <w:rFonts w:ascii="Calibri" w:hAnsi="Calibri" w:cs="Calibri"/>
                <w:sz w:val="16"/>
                <w:szCs w:val="16"/>
              </w:rPr>
            </w:pPr>
          </w:p>
        </w:tc>
      </w:tr>
      <w:tr w:rsidR="00627CA1" w:rsidRPr="00D9348B" w14:paraId="1AF44B15" w14:textId="77777777" w:rsidTr="00DB330E">
        <w:trPr>
          <w:trHeight w:val="225"/>
        </w:trPr>
        <w:tc>
          <w:tcPr>
            <w:tcW w:w="3400" w:type="dxa"/>
            <w:tcBorders>
              <w:top w:val="single" w:sz="4" w:space="0" w:color="365F91"/>
              <w:bottom w:val="single" w:sz="4" w:space="0" w:color="365F91"/>
            </w:tcBorders>
            <w:shd w:val="clear" w:color="auto" w:fill="auto"/>
            <w:vAlign w:val="center"/>
          </w:tcPr>
          <w:p w14:paraId="7EFA6232" w14:textId="77777777" w:rsidR="00627CA1" w:rsidRPr="00D9348B" w:rsidRDefault="00627CA1" w:rsidP="00DB330E">
            <w:pPr>
              <w:pStyle w:val="TableText"/>
              <w:keepNext/>
              <w:spacing w:before="50" w:after="50"/>
              <w:rPr>
                <w:rFonts w:cs="Calibri"/>
                <w:bCs/>
                <w:szCs w:val="16"/>
              </w:rPr>
            </w:pPr>
            <w:r w:rsidRPr="00D9348B">
              <w:rPr>
                <w:rFonts w:cs="Calibri"/>
                <w:bCs/>
                <w:szCs w:val="16"/>
              </w:rPr>
              <w:t>Afforestation and reforestation</w:t>
            </w:r>
          </w:p>
        </w:tc>
        <w:tc>
          <w:tcPr>
            <w:tcW w:w="1640" w:type="dxa"/>
            <w:tcBorders>
              <w:top w:val="single" w:sz="4" w:space="0" w:color="365F91"/>
              <w:bottom w:val="single" w:sz="4" w:space="0" w:color="365F91"/>
            </w:tcBorders>
            <w:shd w:val="clear" w:color="auto" w:fill="auto"/>
          </w:tcPr>
          <w:p w14:paraId="669624E1" w14:textId="77777777" w:rsidR="00627CA1" w:rsidRPr="00D9348B" w:rsidRDefault="00627CA1" w:rsidP="00DB330E">
            <w:pPr>
              <w:pStyle w:val="TableText"/>
              <w:keepNext/>
              <w:spacing w:before="50" w:after="50"/>
              <w:jc w:val="right"/>
              <w:rPr>
                <w:rFonts w:cs="Calibri"/>
                <w:szCs w:val="16"/>
              </w:rPr>
            </w:pPr>
            <w:r w:rsidRPr="00D9348B">
              <w:rPr>
                <w:rFonts w:cs="Calibri"/>
                <w:szCs w:val="16"/>
              </w:rPr>
              <w:t>680,086</w:t>
            </w:r>
          </w:p>
        </w:tc>
        <w:tc>
          <w:tcPr>
            <w:tcW w:w="1658" w:type="dxa"/>
            <w:gridSpan w:val="2"/>
            <w:tcBorders>
              <w:top w:val="single" w:sz="4" w:space="0" w:color="365F91"/>
              <w:bottom w:val="single" w:sz="4" w:space="0" w:color="365F91"/>
            </w:tcBorders>
            <w:shd w:val="clear" w:color="auto" w:fill="auto"/>
          </w:tcPr>
          <w:p w14:paraId="2911AA60" w14:textId="77777777" w:rsidR="00627CA1" w:rsidRPr="00D9348B" w:rsidRDefault="00627CA1" w:rsidP="00DB330E">
            <w:pPr>
              <w:pStyle w:val="TableText"/>
              <w:keepNext/>
              <w:spacing w:before="50" w:after="50"/>
              <w:jc w:val="right"/>
              <w:rPr>
                <w:rFonts w:cs="Calibri"/>
                <w:szCs w:val="16"/>
              </w:rPr>
            </w:pPr>
            <w:r w:rsidRPr="00D9348B">
              <w:rPr>
                <w:rFonts w:cs="Calibri"/>
                <w:szCs w:val="16"/>
              </w:rPr>
              <w:t>689,747</w:t>
            </w:r>
          </w:p>
        </w:tc>
        <w:tc>
          <w:tcPr>
            <w:tcW w:w="1807" w:type="dxa"/>
            <w:tcBorders>
              <w:top w:val="single" w:sz="4" w:space="0" w:color="365F91"/>
              <w:bottom w:val="single" w:sz="4" w:space="0" w:color="365F91"/>
            </w:tcBorders>
            <w:shd w:val="clear" w:color="auto" w:fill="auto"/>
          </w:tcPr>
          <w:p w14:paraId="25C1E82A" w14:textId="77777777" w:rsidR="00627CA1" w:rsidRPr="00D9348B" w:rsidRDefault="00627CA1" w:rsidP="00DB330E">
            <w:pPr>
              <w:pStyle w:val="TableText"/>
              <w:keepNext/>
              <w:spacing w:before="50" w:after="50"/>
              <w:jc w:val="right"/>
              <w:rPr>
                <w:rFonts w:cs="Calibri"/>
                <w:szCs w:val="16"/>
              </w:rPr>
            </w:pPr>
            <w:r w:rsidRPr="00D9348B">
              <w:rPr>
                <w:rFonts w:cs="Calibri"/>
                <w:szCs w:val="16"/>
              </w:rPr>
              <w:t xml:space="preserve"> 1.4 </w:t>
            </w:r>
          </w:p>
        </w:tc>
      </w:tr>
      <w:tr w:rsidR="00627CA1" w:rsidRPr="00D9348B" w14:paraId="6C66A99F" w14:textId="77777777" w:rsidTr="00DB330E">
        <w:tc>
          <w:tcPr>
            <w:tcW w:w="3400" w:type="dxa"/>
            <w:tcBorders>
              <w:top w:val="single" w:sz="4" w:space="0" w:color="365F91"/>
              <w:bottom w:val="single" w:sz="4" w:space="0" w:color="365F91"/>
            </w:tcBorders>
            <w:shd w:val="clear" w:color="auto" w:fill="auto"/>
            <w:vAlign w:val="center"/>
          </w:tcPr>
          <w:p w14:paraId="28F12478" w14:textId="77777777" w:rsidR="00627CA1" w:rsidRPr="00D9348B" w:rsidRDefault="00627CA1" w:rsidP="00DB330E">
            <w:pPr>
              <w:pStyle w:val="TableText"/>
              <w:spacing w:before="50" w:after="50"/>
              <w:rPr>
                <w:rFonts w:cs="Calibri"/>
                <w:bCs/>
                <w:szCs w:val="16"/>
              </w:rPr>
            </w:pPr>
            <w:r w:rsidRPr="00D9348B">
              <w:rPr>
                <w:rFonts w:cs="Calibri"/>
                <w:bCs/>
                <w:szCs w:val="16"/>
              </w:rPr>
              <w:t xml:space="preserve">Deforestation </w:t>
            </w:r>
          </w:p>
        </w:tc>
        <w:tc>
          <w:tcPr>
            <w:tcW w:w="1640" w:type="dxa"/>
            <w:tcBorders>
              <w:top w:val="single" w:sz="4" w:space="0" w:color="365F91"/>
              <w:bottom w:val="single" w:sz="4" w:space="0" w:color="365F91"/>
            </w:tcBorders>
            <w:shd w:val="clear" w:color="auto" w:fill="auto"/>
          </w:tcPr>
          <w:p w14:paraId="4610E024" w14:textId="77777777" w:rsidR="00627CA1" w:rsidRPr="00D9348B" w:rsidRDefault="00627CA1" w:rsidP="00DB330E">
            <w:pPr>
              <w:pStyle w:val="TableText"/>
              <w:keepNext/>
              <w:keepLines/>
              <w:spacing w:before="50" w:after="50"/>
              <w:jc w:val="right"/>
              <w:rPr>
                <w:rFonts w:cs="Calibri"/>
                <w:szCs w:val="16"/>
              </w:rPr>
            </w:pPr>
            <w:r w:rsidRPr="00D9348B">
              <w:rPr>
                <w:rFonts w:cs="Calibri"/>
                <w:szCs w:val="16"/>
              </w:rPr>
              <w:t>200,161</w:t>
            </w:r>
          </w:p>
        </w:tc>
        <w:tc>
          <w:tcPr>
            <w:tcW w:w="1658" w:type="dxa"/>
            <w:gridSpan w:val="2"/>
            <w:tcBorders>
              <w:top w:val="single" w:sz="4" w:space="0" w:color="365F91"/>
              <w:bottom w:val="single" w:sz="4" w:space="0" w:color="365F91"/>
            </w:tcBorders>
            <w:shd w:val="clear" w:color="auto" w:fill="auto"/>
          </w:tcPr>
          <w:p w14:paraId="1073A909" w14:textId="77777777" w:rsidR="00627CA1" w:rsidRPr="00D9348B" w:rsidRDefault="00627CA1" w:rsidP="00DB330E">
            <w:pPr>
              <w:pStyle w:val="TableText"/>
              <w:keepNext/>
              <w:keepLines/>
              <w:spacing w:before="50" w:after="50"/>
              <w:jc w:val="right"/>
              <w:rPr>
                <w:rFonts w:cs="Calibri"/>
                <w:szCs w:val="16"/>
              </w:rPr>
            </w:pPr>
            <w:r w:rsidRPr="00D9348B">
              <w:rPr>
                <w:rFonts w:cs="Calibri"/>
                <w:szCs w:val="16"/>
              </w:rPr>
              <w:t>197,466</w:t>
            </w:r>
          </w:p>
        </w:tc>
        <w:tc>
          <w:tcPr>
            <w:tcW w:w="1807" w:type="dxa"/>
            <w:tcBorders>
              <w:top w:val="single" w:sz="4" w:space="0" w:color="365F91"/>
              <w:bottom w:val="single" w:sz="4" w:space="0" w:color="365F91"/>
            </w:tcBorders>
            <w:shd w:val="clear" w:color="auto" w:fill="auto"/>
          </w:tcPr>
          <w:p w14:paraId="40287D96" w14:textId="77777777" w:rsidR="00627CA1" w:rsidRPr="00D9348B" w:rsidRDefault="00627CA1" w:rsidP="00DB330E">
            <w:pPr>
              <w:pStyle w:val="TableText"/>
              <w:keepNext/>
              <w:keepLines/>
              <w:spacing w:before="50" w:after="50"/>
              <w:jc w:val="right"/>
              <w:rPr>
                <w:rFonts w:cs="Calibri"/>
                <w:szCs w:val="16"/>
              </w:rPr>
            </w:pPr>
            <w:r w:rsidRPr="00D9348B">
              <w:rPr>
                <w:rFonts w:cs="Calibri"/>
                <w:szCs w:val="16"/>
              </w:rPr>
              <w:t xml:space="preserve">–1.3 </w:t>
            </w:r>
          </w:p>
        </w:tc>
      </w:tr>
      <w:tr w:rsidR="00627CA1" w:rsidRPr="00D9348B" w14:paraId="128CFC40" w14:textId="77777777" w:rsidTr="00DB330E">
        <w:tc>
          <w:tcPr>
            <w:tcW w:w="3400" w:type="dxa"/>
            <w:tcBorders>
              <w:top w:val="single" w:sz="4" w:space="0" w:color="365F91"/>
              <w:bottom w:val="single" w:sz="4" w:space="0" w:color="365F91"/>
            </w:tcBorders>
            <w:shd w:val="clear" w:color="auto" w:fill="auto"/>
            <w:vAlign w:val="center"/>
          </w:tcPr>
          <w:p w14:paraId="39863990" w14:textId="77777777" w:rsidR="00627CA1" w:rsidRPr="00D9348B" w:rsidRDefault="00627CA1" w:rsidP="00DB330E">
            <w:pPr>
              <w:pStyle w:val="TableText"/>
              <w:spacing w:before="50" w:after="50"/>
              <w:rPr>
                <w:rFonts w:cs="Calibri"/>
                <w:bCs/>
                <w:szCs w:val="16"/>
              </w:rPr>
            </w:pPr>
            <w:r w:rsidRPr="00D9348B">
              <w:rPr>
                <w:rFonts w:cs="Calibri"/>
                <w:bCs/>
                <w:szCs w:val="16"/>
              </w:rPr>
              <w:t>Forest management</w:t>
            </w:r>
          </w:p>
        </w:tc>
        <w:tc>
          <w:tcPr>
            <w:tcW w:w="1640" w:type="dxa"/>
            <w:tcBorders>
              <w:top w:val="single" w:sz="4" w:space="0" w:color="365F91"/>
              <w:bottom w:val="single" w:sz="4" w:space="0" w:color="365F91"/>
            </w:tcBorders>
            <w:shd w:val="clear" w:color="auto" w:fill="auto"/>
          </w:tcPr>
          <w:p w14:paraId="6D5B2C71" w14:textId="77777777" w:rsidR="00627CA1" w:rsidRPr="00D9348B" w:rsidRDefault="00627CA1" w:rsidP="00DB330E">
            <w:pPr>
              <w:pStyle w:val="TableText"/>
              <w:keepNext/>
              <w:keepLines/>
              <w:spacing w:before="50" w:after="50"/>
              <w:jc w:val="right"/>
              <w:rPr>
                <w:rFonts w:cs="Calibri"/>
                <w:szCs w:val="16"/>
              </w:rPr>
            </w:pPr>
            <w:r w:rsidRPr="00D9348B">
              <w:rPr>
                <w:rFonts w:cs="Calibri"/>
                <w:szCs w:val="16"/>
              </w:rPr>
              <w:t>9,245,248</w:t>
            </w:r>
          </w:p>
        </w:tc>
        <w:tc>
          <w:tcPr>
            <w:tcW w:w="1658" w:type="dxa"/>
            <w:gridSpan w:val="2"/>
            <w:tcBorders>
              <w:top w:val="single" w:sz="4" w:space="0" w:color="365F91"/>
              <w:bottom w:val="single" w:sz="4" w:space="0" w:color="365F91"/>
            </w:tcBorders>
            <w:shd w:val="clear" w:color="auto" w:fill="auto"/>
          </w:tcPr>
          <w:p w14:paraId="5DC4D0CD" w14:textId="77777777" w:rsidR="00627CA1" w:rsidRPr="00D9348B" w:rsidRDefault="00627CA1" w:rsidP="00DB330E">
            <w:pPr>
              <w:pStyle w:val="TableText"/>
              <w:keepNext/>
              <w:keepLines/>
              <w:spacing w:before="50" w:after="50"/>
              <w:jc w:val="right"/>
              <w:rPr>
                <w:rFonts w:cs="Calibri"/>
                <w:szCs w:val="16"/>
              </w:rPr>
            </w:pPr>
            <w:r w:rsidRPr="00D9348B">
              <w:rPr>
                <w:rFonts w:cs="Calibri"/>
                <w:szCs w:val="16"/>
              </w:rPr>
              <w:t>9,210,186</w:t>
            </w:r>
          </w:p>
        </w:tc>
        <w:tc>
          <w:tcPr>
            <w:tcW w:w="1807" w:type="dxa"/>
            <w:tcBorders>
              <w:top w:val="single" w:sz="4" w:space="0" w:color="365F91"/>
              <w:bottom w:val="single" w:sz="4" w:space="0" w:color="365F91"/>
            </w:tcBorders>
            <w:shd w:val="clear" w:color="auto" w:fill="auto"/>
          </w:tcPr>
          <w:p w14:paraId="628B3C16" w14:textId="77777777" w:rsidR="00627CA1" w:rsidRPr="00D9348B" w:rsidRDefault="00627CA1" w:rsidP="00DB330E">
            <w:pPr>
              <w:pStyle w:val="TableText"/>
              <w:keepNext/>
              <w:keepLines/>
              <w:spacing w:before="50" w:after="50"/>
              <w:jc w:val="right"/>
              <w:rPr>
                <w:rFonts w:cs="Calibri"/>
                <w:szCs w:val="16"/>
              </w:rPr>
            </w:pPr>
            <w:r w:rsidRPr="00D9348B">
              <w:rPr>
                <w:rFonts w:cs="Calibri"/>
                <w:szCs w:val="16"/>
              </w:rPr>
              <w:t xml:space="preserve">–0.4 </w:t>
            </w:r>
          </w:p>
        </w:tc>
      </w:tr>
      <w:tr w:rsidR="00627CA1" w:rsidRPr="00D9348B" w14:paraId="312760F5" w14:textId="77777777" w:rsidTr="00DB330E">
        <w:tc>
          <w:tcPr>
            <w:tcW w:w="3400" w:type="dxa"/>
            <w:tcBorders>
              <w:top w:val="single" w:sz="4" w:space="0" w:color="365F91"/>
              <w:bottom w:val="single" w:sz="4" w:space="0" w:color="365F91"/>
            </w:tcBorders>
            <w:shd w:val="clear" w:color="auto" w:fill="365F91"/>
            <w:vAlign w:val="bottom"/>
          </w:tcPr>
          <w:p w14:paraId="45B5D813" w14:textId="77777777" w:rsidR="00627CA1" w:rsidRPr="00D9348B" w:rsidRDefault="00627CA1" w:rsidP="00DB330E">
            <w:pPr>
              <w:pStyle w:val="TableText"/>
              <w:spacing w:before="50" w:after="50"/>
              <w:rPr>
                <w:rFonts w:cs="Calibri"/>
                <w:b/>
                <w:bCs/>
                <w:color w:val="FFFFFF"/>
                <w:szCs w:val="16"/>
              </w:rPr>
            </w:pPr>
            <w:r w:rsidRPr="00D9348B">
              <w:rPr>
                <w:rFonts w:cs="Calibri"/>
                <w:b/>
                <w:bCs/>
                <w:color w:val="FFFFFF"/>
                <w:szCs w:val="16"/>
              </w:rPr>
              <w:t>Activities occurring in 2017</w:t>
            </w:r>
          </w:p>
        </w:tc>
        <w:tc>
          <w:tcPr>
            <w:tcW w:w="3298" w:type="dxa"/>
            <w:gridSpan w:val="3"/>
            <w:tcBorders>
              <w:top w:val="single" w:sz="4" w:space="0" w:color="365F91"/>
              <w:bottom w:val="single" w:sz="4" w:space="0" w:color="365F91"/>
            </w:tcBorders>
            <w:shd w:val="clear" w:color="auto" w:fill="365F91"/>
            <w:vAlign w:val="bottom"/>
          </w:tcPr>
          <w:p w14:paraId="6C2F2CE9" w14:textId="77777777" w:rsidR="00627CA1" w:rsidRPr="00D9348B" w:rsidRDefault="00627CA1" w:rsidP="00DB330E">
            <w:pPr>
              <w:pStyle w:val="TableTextBold"/>
              <w:keepNext/>
              <w:keepLines/>
              <w:jc w:val="center"/>
              <w:rPr>
                <w:rFonts w:cs="Calibri"/>
                <w:noProof w:val="0"/>
                <w:color w:val="FFFFFF"/>
                <w:szCs w:val="16"/>
              </w:rPr>
            </w:pPr>
            <w:r w:rsidRPr="00D9348B">
              <w:rPr>
                <w:rFonts w:cs="Calibri"/>
                <w:noProof w:val="0"/>
                <w:color w:val="FFFFFF"/>
                <w:szCs w:val="16"/>
              </w:rPr>
              <w:t>Area change in 2017 (ha)</w:t>
            </w:r>
          </w:p>
        </w:tc>
        <w:tc>
          <w:tcPr>
            <w:tcW w:w="1807" w:type="dxa"/>
            <w:tcBorders>
              <w:top w:val="single" w:sz="4" w:space="0" w:color="365F91"/>
              <w:bottom w:val="single" w:sz="4" w:space="0" w:color="365F91"/>
            </w:tcBorders>
            <w:shd w:val="clear" w:color="auto" w:fill="365F91"/>
            <w:vAlign w:val="bottom"/>
          </w:tcPr>
          <w:p w14:paraId="68DAE8F1" w14:textId="77777777" w:rsidR="00627CA1" w:rsidRPr="00D9348B" w:rsidRDefault="00627CA1" w:rsidP="00DB330E">
            <w:pPr>
              <w:pStyle w:val="TableTextBold"/>
              <w:keepNext/>
              <w:keepLines/>
              <w:jc w:val="center"/>
              <w:rPr>
                <w:rFonts w:cs="Calibri"/>
                <w:noProof w:val="0"/>
                <w:color w:val="FFFFFF"/>
                <w:szCs w:val="16"/>
              </w:rPr>
            </w:pPr>
            <w:r w:rsidRPr="00D9348B">
              <w:rPr>
                <w:rFonts w:cs="Calibri"/>
                <w:noProof w:val="0"/>
                <w:color w:val="FFFFFF"/>
                <w:szCs w:val="16"/>
              </w:rPr>
              <w:t>Change from 2019 submission (%)</w:t>
            </w:r>
          </w:p>
        </w:tc>
      </w:tr>
      <w:tr w:rsidR="00627CA1" w:rsidRPr="00D9348B" w14:paraId="5E2C2AAB" w14:textId="77777777" w:rsidTr="00DB330E">
        <w:tc>
          <w:tcPr>
            <w:tcW w:w="3400" w:type="dxa"/>
            <w:tcBorders>
              <w:top w:val="single" w:sz="4" w:space="0" w:color="365F91"/>
              <w:bottom w:val="single" w:sz="4" w:space="0" w:color="365F91"/>
            </w:tcBorders>
            <w:shd w:val="clear" w:color="auto" w:fill="auto"/>
            <w:vAlign w:val="center"/>
          </w:tcPr>
          <w:p w14:paraId="4EBF7710" w14:textId="77777777" w:rsidR="00627CA1" w:rsidRPr="00D9348B" w:rsidRDefault="00627CA1" w:rsidP="00DB330E">
            <w:pPr>
              <w:pStyle w:val="TableText"/>
              <w:spacing w:before="50" w:after="50"/>
              <w:rPr>
                <w:rFonts w:cs="Calibri"/>
                <w:bCs/>
                <w:szCs w:val="16"/>
              </w:rPr>
            </w:pPr>
            <w:r w:rsidRPr="00D9348B">
              <w:rPr>
                <w:rFonts w:cs="Calibri"/>
                <w:bCs/>
                <w:szCs w:val="16"/>
              </w:rPr>
              <w:t>New planting</w:t>
            </w:r>
          </w:p>
        </w:tc>
        <w:tc>
          <w:tcPr>
            <w:tcW w:w="1760" w:type="dxa"/>
            <w:gridSpan w:val="2"/>
            <w:tcBorders>
              <w:top w:val="single" w:sz="4" w:space="0" w:color="365F91"/>
              <w:bottom w:val="single" w:sz="4" w:space="0" w:color="365F91"/>
            </w:tcBorders>
            <w:shd w:val="clear" w:color="auto" w:fill="auto"/>
          </w:tcPr>
          <w:p w14:paraId="22477569" w14:textId="77777777" w:rsidR="00627CA1" w:rsidRPr="00D9348B" w:rsidRDefault="00627CA1" w:rsidP="00DB330E">
            <w:pPr>
              <w:pStyle w:val="TableText"/>
              <w:keepNext/>
              <w:keepLines/>
              <w:spacing w:before="50" w:after="50"/>
              <w:jc w:val="right"/>
              <w:rPr>
                <w:rFonts w:cs="Calibri"/>
                <w:szCs w:val="16"/>
              </w:rPr>
            </w:pPr>
            <w:r w:rsidRPr="00D9348B">
              <w:rPr>
                <w:rFonts w:cs="Calibri"/>
                <w:szCs w:val="16"/>
              </w:rPr>
              <w:t>4,979</w:t>
            </w:r>
          </w:p>
        </w:tc>
        <w:tc>
          <w:tcPr>
            <w:tcW w:w="1538" w:type="dxa"/>
            <w:tcBorders>
              <w:top w:val="single" w:sz="4" w:space="0" w:color="365F91"/>
              <w:bottom w:val="single" w:sz="4" w:space="0" w:color="365F91"/>
            </w:tcBorders>
            <w:shd w:val="clear" w:color="auto" w:fill="auto"/>
          </w:tcPr>
          <w:p w14:paraId="2A6FF365" w14:textId="77777777" w:rsidR="00627CA1" w:rsidRPr="00D9348B" w:rsidRDefault="00627CA1" w:rsidP="00DB330E">
            <w:pPr>
              <w:pStyle w:val="TableText"/>
              <w:keepNext/>
              <w:keepLines/>
              <w:spacing w:before="50" w:after="50"/>
              <w:jc w:val="right"/>
              <w:rPr>
                <w:rFonts w:cs="Calibri"/>
                <w:szCs w:val="16"/>
              </w:rPr>
            </w:pPr>
            <w:r w:rsidRPr="00D9348B">
              <w:rPr>
                <w:rFonts w:cs="Calibri"/>
                <w:szCs w:val="16"/>
              </w:rPr>
              <w:t>6,461</w:t>
            </w:r>
          </w:p>
        </w:tc>
        <w:tc>
          <w:tcPr>
            <w:tcW w:w="1807" w:type="dxa"/>
            <w:tcBorders>
              <w:top w:val="single" w:sz="4" w:space="0" w:color="365F91"/>
              <w:bottom w:val="single" w:sz="4" w:space="0" w:color="365F91"/>
            </w:tcBorders>
            <w:shd w:val="clear" w:color="auto" w:fill="auto"/>
          </w:tcPr>
          <w:p w14:paraId="23D930A7" w14:textId="77777777" w:rsidR="00627CA1" w:rsidRPr="00D9348B" w:rsidRDefault="00627CA1" w:rsidP="00DB330E">
            <w:pPr>
              <w:pStyle w:val="TableText"/>
              <w:keepNext/>
              <w:keepLines/>
              <w:spacing w:before="50" w:after="50"/>
              <w:jc w:val="right"/>
              <w:rPr>
                <w:rFonts w:cs="Calibri"/>
                <w:szCs w:val="16"/>
              </w:rPr>
            </w:pPr>
            <w:r w:rsidRPr="00D9348B">
              <w:rPr>
                <w:rFonts w:cs="Calibri"/>
                <w:szCs w:val="16"/>
              </w:rPr>
              <w:t xml:space="preserve"> 29.8 </w:t>
            </w:r>
          </w:p>
        </w:tc>
      </w:tr>
      <w:tr w:rsidR="00627CA1" w:rsidRPr="00D9348B" w14:paraId="0023F99C" w14:textId="77777777" w:rsidTr="00DB330E">
        <w:tc>
          <w:tcPr>
            <w:tcW w:w="3400" w:type="dxa"/>
            <w:tcBorders>
              <w:top w:val="single" w:sz="4" w:space="0" w:color="365F91"/>
            </w:tcBorders>
            <w:shd w:val="clear" w:color="auto" w:fill="auto"/>
            <w:vAlign w:val="center"/>
          </w:tcPr>
          <w:p w14:paraId="5F6DBE35" w14:textId="77777777" w:rsidR="00627CA1" w:rsidRPr="00D9348B" w:rsidRDefault="00627CA1" w:rsidP="00DB330E">
            <w:pPr>
              <w:pStyle w:val="TableText"/>
              <w:spacing w:before="50" w:after="50"/>
              <w:rPr>
                <w:rFonts w:cs="Calibri"/>
                <w:bCs/>
                <w:szCs w:val="16"/>
              </w:rPr>
            </w:pPr>
            <w:r w:rsidRPr="00D9348B">
              <w:rPr>
                <w:rFonts w:cs="Calibri"/>
                <w:bCs/>
                <w:szCs w:val="16"/>
              </w:rPr>
              <w:t>Deforestation</w:t>
            </w:r>
          </w:p>
        </w:tc>
        <w:tc>
          <w:tcPr>
            <w:tcW w:w="1760" w:type="dxa"/>
            <w:gridSpan w:val="2"/>
            <w:tcBorders>
              <w:top w:val="single" w:sz="4" w:space="0" w:color="365F91"/>
            </w:tcBorders>
            <w:shd w:val="clear" w:color="auto" w:fill="auto"/>
          </w:tcPr>
          <w:p w14:paraId="1026DA2A" w14:textId="77777777" w:rsidR="00627CA1" w:rsidRPr="00D9348B" w:rsidRDefault="00627CA1" w:rsidP="00DB330E">
            <w:pPr>
              <w:pStyle w:val="TableText"/>
              <w:keepNext/>
              <w:keepLines/>
              <w:spacing w:before="50" w:after="50"/>
              <w:jc w:val="right"/>
              <w:rPr>
                <w:rFonts w:cs="Calibri"/>
                <w:szCs w:val="16"/>
              </w:rPr>
            </w:pPr>
          </w:p>
        </w:tc>
        <w:tc>
          <w:tcPr>
            <w:tcW w:w="1538" w:type="dxa"/>
            <w:tcBorders>
              <w:top w:val="single" w:sz="4" w:space="0" w:color="365F91"/>
            </w:tcBorders>
            <w:shd w:val="clear" w:color="auto" w:fill="auto"/>
          </w:tcPr>
          <w:p w14:paraId="3D8C27BE" w14:textId="77777777" w:rsidR="00627CA1" w:rsidRPr="00D9348B" w:rsidRDefault="00627CA1" w:rsidP="00DB330E">
            <w:pPr>
              <w:pStyle w:val="TableText"/>
              <w:keepNext/>
              <w:keepLines/>
              <w:spacing w:before="50" w:after="50"/>
              <w:jc w:val="right"/>
              <w:rPr>
                <w:rFonts w:cs="Calibri"/>
                <w:szCs w:val="16"/>
              </w:rPr>
            </w:pPr>
          </w:p>
        </w:tc>
        <w:tc>
          <w:tcPr>
            <w:tcW w:w="1807" w:type="dxa"/>
            <w:tcBorders>
              <w:top w:val="single" w:sz="4" w:space="0" w:color="365F91"/>
            </w:tcBorders>
            <w:shd w:val="clear" w:color="auto" w:fill="auto"/>
          </w:tcPr>
          <w:p w14:paraId="44DD7D7D" w14:textId="77777777" w:rsidR="00627CA1" w:rsidRPr="00D9348B" w:rsidRDefault="00627CA1" w:rsidP="00DB330E">
            <w:pPr>
              <w:pStyle w:val="TableText"/>
              <w:keepNext/>
              <w:keepLines/>
              <w:spacing w:before="50" w:after="50"/>
              <w:jc w:val="right"/>
              <w:rPr>
                <w:rFonts w:cs="Calibri"/>
                <w:szCs w:val="16"/>
              </w:rPr>
            </w:pPr>
          </w:p>
        </w:tc>
      </w:tr>
      <w:tr w:rsidR="00627CA1" w:rsidRPr="00D9348B" w14:paraId="1736F6F5" w14:textId="77777777" w:rsidTr="00DB330E">
        <w:tc>
          <w:tcPr>
            <w:tcW w:w="3400" w:type="dxa"/>
            <w:tcBorders>
              <w:bottom w:val="single" w:sz="4" w:space="0" w:color="365F91"/>
            </w:tcBorders>
            <w:shd w:val="clear" w:color="auto" w:fill="auto"/>
            <w:vAlign w:val="center"/>
          </w:tcPr>
          <w:p w14:paraId="7F2B76F0" w14:textId="77777777" w:rsidR="00627CA1" w:rsidRPr="00D9348B" w:rsidRDefault="00627CA1" w:rsidP="00DB330E">
            <w:pPr>
              <w:pStyle w:val="TableText"/>
              <w:spacing w:before="50" w:after="50"/>
              <w:ind w:left="369"/>
              <w:rPr>
                <w:rFonts w:cs="Calibri"/>
                <w:bCs/>
                <w:szCs w:val="16"/>
              </w:rPr>
            </w:pPr>
            <w:r w:rsidRPr="00D9348B">
              <w:rPr>
                <w:rFonts w:cs="Calibri"/>
                <w:bCs/>
                <w:szCs w:val="16"/>
              </w:rPr>
              <w:t>Pre-1990 natural forest</w:t>
            </w:r>
          </w:p>
        </w:tc>
        <w:tc>
          <w:tcPr>
            <w:tcW w:w="1760" w:type="dxa"/>
            <w:gridSpan w:val="2"/>
            <w:tcBorders>
              <w:bottom w:val="single" w:sz="4" w:space="0" w:color="365F91"/>
            </w:tcBorders>
            <w:shd w:val="clear" w:color="auto" w:fill="auto"/>
          </w:tcPr>
          <w:p w14:paraId="417EC7E8" w14:textId="77777777" w:rsidR="00627CA1" w:rsidRPr="00D9348B" w:rsidRDefault="00627CA1" w:rsidP="00DB330E">
            <w:pPr>
              <w:pStyle w:val="TableText"/>
              <w:keepNext/>
              <w:keepLines/>
              <w:spacing w:before="50" w:after="50"/>
              <w:jc w:val="right"/>
              <w:rPr>
                <w:rFonts w:cs="Calibri"/>
                <w:szCs w:val="16"/>
              </w:rPr>
            </w:pPr>
            <w:r w:rsidRPr="00D9348B">
              <w:rPr>
                <w:rFonts w:cs="Calibri"/>
                <w:szCs w:val="16"/>
              </w:rPr>
              <w:t>772</w:t>
            </w:r>
          </w:p>
        </w:tc>
        <w:tc>
          <w:tcPr>
            <w:tcW w:w="1538" w:type="dxa"/>
            <w:tcBorders>
              <w:bottom w:val="single" w:sz="4" w:space="0" w:color="365F91"/>
            </w:tcBorders>
            <w:shd w:val="clear" w:color="auto" w:fill="auto"/>
          </w:tcPr>
          <w:p w14:paraId="37C7D4BE" w14:textId="77777777" w:rsidR="00627CA1" w:rsidRPr="00D9348B" w:rsidRDefault="00627CA1" w:rsidP="00DB330E">
            <w:pPr>
              <w:pStyle w:val="TableText"/>
              <w:keepNext/>
              <w:keepLines/>
              <w:spacing w:before="50" w:after="50"/>
              <w:jc w:val="right"/>
              <w:rPr>
                <w:rFonts w:cs="Calibri"/>
                <w:szCs w:val="16"/>
              </w:rPr>
            </w:pPr>
            <w:r w:rsidRPr="00D9348B">
              <w:rPr>
                <w:rFonts w:cs="Calibri"/>
                <w:szCs w:val="16"/>
              </w:rPr>
              <w:t xml:space="preserve"> 740 </w:t>
            </w:r>
          </w:p>
        </w:tc>
        <w:tc>
          <w:tcPr>
            <w:tcW w:w="1807" w:type="dxa"/>
            <w:tcBorders>
              <w:bottom w:val="single" w:sz="4" w:space="0" w:color="365F91"/>
            </w:tcBorders>
            <w:shd w:val="clear" w:color="auto" w:fill="auto"/>
          </w:tcPr>
          <w:p w14:paraId="08393F1D" w14:textId="77777777" w:rsidR="00627CA1" w:rsidRPr="00D9348B" w:rsidRDefault="00627CA1" w:rsidP="00DB330E">
            <w:pPr>
              <w:pStyle w:val="TableText"/>
              <w:keepNext/>
              <w:keepLines/>
              <w:spacing w:before="50" w:after="50"/>
              <w:jc w:val="right"/>
              <w:rPr>
                <w:rFonts w:cs="Calibri"/>
                <w:szCs w:val="16"/>
              </w:rPr>
            </w:pPr>
            <w:r w:rsidRPr="00D9348B">
              <w:rPr>
                <w:rFonts w:cs="Calibri"/>
                <w:szCs w:val="16"/>
              </w:rPr>
              <w:t xml:space="preserve">–4.1 </w:t>
            </w:r>
          </w:p>
        </w:tc>
      </w:tr>
      <w:tr w:rsidR="00627CA1" w:rsidRPr="00D9348B" w14:paraId="641F22DD" w14:textId="77777777" w:rsidTr="00DB330E">
        <w:tc>
          <w:tcPr>
            <w:tcW w:w="3400" w:type="dxa"/>
            <w:tcBorders>
              <w:top w:val="single" w:sz="4" w:space="0" w:color="365F91"/>
              <w:bottom w:val="single" w:sz="4" w:space="0" w:color="365F91"/>
            </w:tcBorders>
            <w:shd w:val="clear" w:color="auto" w:fill="auto"/>
            <w:vAlign w:val="center"/>
          </w:tcPr>
          <w:p w14:paraId="32ACCA0E" w14:textId="77777777" w:rsidR="00627CA1" w:rsidRPr="00D9348B" w:rsidRDefault="00627CA1" w:rsidP="00DB330E">
            <w:pPr>
              <w:pStyle w:val="TableText"/>
              <w:spacing w:before="50" w:after="50"/>
              <w:ind w:left="369"/>
              <w:rPr>
                <w:rFonts w:cs="Calibri"/>
                <w:bCs/>
                <w:szCs w:val="16"/>
              </w:rPr>
            </w:pPr>
            <w:r w:rsidRPr="00D9348B">
              <w:rPr>
                <w:rFonts w:cs="Calibri"/>
                <w:bCs/>
                <w:szCs w:val="16"/>
              </w:rPr>
              <w:t>Pre-1990 planted forest</w:t>
            </w:r>
          </w:p>
        </w:tc>
        <w:tc>
          <w:tcPr>
            <w:tcW w:w="1760" w:type="dxa"/>
            <w:gridSpan w:val="2"/>
            <w:tcBorders>
              <w:top w:val="single" w:sz="4" w:space="0" w:color="365F91"/>
              <w:bottom w:val="single" w:sz="4" w:space="0" w:color="365F91"/>
            </w:tcBorders>
            <w:shd w:val="clear" w:color="auto" w:fill="auto"/>
          </w:tcPr>
          <w:p w14:paraId="29D045A4" w14:textId="77777777" w:rsidR="00627CA1" w:rsidRPr="00D9348B" w:rsidRDefault="00627CA1" w:rsidP="00DB330E">
            <w:pPr>
              <w:pStyle w:val="TableText"/>
              <w:keepNext/>
              <w:keepLines/>
              <w:spacing w:before="50" w:after="50"/>
              <w:jc w:val="right"/>
              <w:rPr>
                <w:rFonts w:cs="Calibri"/>
                <w:szCs w:val="16"/>
              </w:rPr>
            </w:pPr>
            <w:r w:rsidRPr="00D9348B">
              <w:rPr>
                <w:rFonts w:cs="Calibri"/>
                <w:szCs w:val="16"/>
              </w:rPr>
              <w:t>1,713</w:t>
            </w:r>
          </w:p>
        </w:tc>
        <w:tc>
          <w:tcPr>
            <w:tcW w:w="1538" w:type="dxa"/>
            <w:tcBorders>
              <w:top w:val="single" w:sz="4" w:space="0" w:color="365F91"/>
              <w:bottom w:val="single" w:sz="4" w:space="0" w:color="365F91"/>
            </w:tcBorders>
            <w:shd w:val="clear" w:color="auto" w:fill="auto"/>
          </w:tcPr>
          <w:p w14:paraId="360C7427" w14:textId="77777777" w:rsidR="00627CA1" w:rsidRPr="00D9348B" w:rsidRDefault="00627CA1" w:rsidP="00DB330E">
            <w:pPr>
              <w:pStyle w:val="TableText"/>
              <w:keepNext/>
              <w:keepLines/>
              <w:spacing w:before="50" w:after="50"/>
              <w:jc w:val="right"/>
              <w:rPr>
                <w:rFonts w:cs="Calibri"/>
                <w:szCs w:val="16"/>
              </w:rPr>
            </w:pPr>
            <w:r w:rsidRPr="00D9348B">
              <w:rPr>
                <w:rFonts w:cs="Calibri"/>
                <w:szCs w:val="16"/>
              </w:rPr>
              <w:t xml:space="preserve"> 2,117 </w:t>
            </w:r>
          </w:p>
        </w:tc>
        <w:tc>
          <w:tcPr>
            <w:tcW w:w="1807" w:type="dxa"/>
            <w:tcBorders>
              <w:top w:val="single" w:sz="4" w:space="0" w:color="365F91"/>
              <w:bottom w:val="single" w:sz="4" w:space="0" w:color="365F91"/>
            </w:tcBorders>
            <w:shd w:val="clear" w:color="auto" w:fill="auto"/>
          </w:tcPr>
          <w:p w14:paraId="16D0D243" w14:textId="77777777" w:rsidR="00627CA1" w:rsidRPr="00D9348B" w:rsidRDefault="00627CA1" w:rsidP="00DB330E">
            <w:pPr>
              <w:pStyle w:val="TableText"/>
              <w:keepNext/>
              <w:keepLines/>
              <w:spacing w:before="50" w:after="50"/>
              <w:jc w:val="right"/>
              <w:rPr>
                <w:rFonts w:cs="Calibri"/>
                <w:szCs w:val="16"/>
              </w:rPr>
            </w:pPr>
            <w:r w:rsidRPr="00D9348B">
              <w:rPr>
                <w:rFonts w:cs="Calibri"/>
                <w:szCs w:val="16"/>
              </w:rPr>
              <w:t xml:space="preserve"> 23.6 </w:t>
            </w:r>
          </w:p>
        </w:tc>
      </w:tr>
      <w:tr w:rsidR="00627CA1" w:rsidRPr="00D9348B" w14:paraId="511606B8" w14:textId="77777777" w:rsidTr="00DB330E">
        <w:tc>
          <w:tcPr>
            <w:tcW w:w="3400" w:type="dxa"/>
            <w:tcBorders>
              <w:top w:val="single" w:sz="4" w:space="0" w:color="365F91"/>
              <w:bottom w:val="single" w:sz="4" w:space="0" w:color="365F91"/>
            </w:tcBorders>
            <w:shd w:val="clear" w:color="auto" w:fill="auto"/>
            <w:vAlign w:val="center"/>
          </w:tcPr>
          <w:p w14:paraId="19895FEA" w14:textId="77777777" w:rsidR="00627CA1" w:rsidRPr="00D9348B" w:rsidRDefault="00627CA1" w:rsidP="00DB330E">
            <w:pPr>
              <w:pStyle w:val="TableText"/>
              <w:spacing w:before="50" w:after="50"/>
              <w:ind w:left="369"/>
              <w:rPr>
                <w:rFonts w:cs="Calibri"/>
                <w:bCs/>
                <w:szCs w:val="16"/>
              </w:rPr>
            </w:pPr>
            <w:r w:rsidRPr="00D9348B">
              <w:rPr>
                <w:rFonts w:cs="Calibri"/>
                <w:bCs/>
                <w:szCs w:val="16"/>
              </w:rPr>
              <w:t>Post-1989 forest</w:t>
            </w:r>
          </w:p>
        </w:tc>
        <w:tc>
          <w:tcPr>
            <w:tcW w:w="1760" w:type="dxa"/>
            <w:gridSpan w:val="2"/>
            <w:tcBorders>
              <w:top w:val="single" w:sz="4" w:space="0" w:color="365F91"/>
              <w:bottom w:val="single" w:sz="4" w:space="0" w:color="365F91"/>
            </w:tcBorders>
            <w:shd w:val="clear" w:color="auto" w:fill="auto"/>
          </w:tcPr>
          <w:p w14:paraId="46314F80" w14:textId="77777777" w:rsidR="00627CA1" w:rsidRPr="00D9348B" w:rsidRDefault="00627CA1" w:rsidP="00DB330E">
            <w:pPr>
              <w:pStyle w:val="TableText"/>
              <w:keepNext/>
              <w:keepLines/>
              <w:spacing w:before="50" w:after="50"/>
              <w:jc w:val="right"/>
              <w:rPr>
                <w:rFonts w:cs="Calibri"/>
                <w:szCs w:val="16"/>
              </w:rPr>
            </w:pPr>
            <w:r w:rsidRPr="00D9348B">
              <w:rPr>
                <w:rFonts w:cs="Calibri"/>
                <w:szCs w:val="16"/>
              </w:rPr>
              <w:t>462</w:t>
            </w:r>
          </w:p>
        </w:tc>
        <w:tc>
          <w:tcPr>
            <w:tcW w:w="1538" w:type="dxa"/>
            <w:tcBorders>
              <w:top w:val="single" w:sz="4" w:space="0" w:color="365F91"/>
              <w:bottom w:val="single" w:sz="4" w:space="0" w:color="365F91"/>
            </w:tcBorders>
            <w:shd w:val="clear" w:color="auto" w:fill="auto"/>
          </w:tcPr>
          <w:p w14:paraId="6CC3C3E1" w14:textId="77777777" w:rsidR="00627CA1" w:rsidRPr="00D9348B" w:rsidRDefault="00627CA1" w:rsidP="00DB330E">
            <w:pPr>
              <w:pStyle w:val="TableText"/>
              <w:keepNext/>
              <w:keepLines/>
              <w:spacing w:before="50" w:after="50"/>
              <w:jc w:val="right"/>
              <w:rPr>
                <w:rFonts w:cs="Calibri"/>
                <w:szCs w:val="16"/>
              </w:rPr>
            </w:pPr>
            <w:r w:rsidRPr="00D9348B">
              <w:rPr>
                <w:rFonts w:cs="Calibri"/>
                <w:szCs w:val="16"/>
              </w:rPr>
              <w:t xml:space="preserve"> 635 </w:t>
            </w:r>
          </w:p>
        </w:tc>
        <w:tc>
          <w:tcPr>
            <w:tcW w:w="1807" w:type="dxa"/>
            <w:tcBorders>
              <w:top w:val="single" w:sz="4" w:space="0" w:color="365F91"/>
              <w:bottom w:val="single" w:sz="4" w:space="0" w:color="365F91"/>
            </w:tcBorders>
            <w:shd w:val="clear" w:color="auto" w:fill="auto"/>
          </w:tcPr>
          <w:p w14:paraId="2D3E7B89" w14:textId="77777777" w:rsidR="00627CA1" w:rsidRPr="00D9348B" w:rsidRDefault="00627CA1" w:rsidP="00DB330E">
            <w:pPr>
              <w:pStyle w:val="TableText"/>
              <w:keepNext/>
              <w:keepLines/>
              <w:spacing w:before="50" w:after="50"/>
              <w:jc w:val="right"/>
              <w:rPr>
                <w:rFonts w:cs="Calibri"/>
                <w:szCs w:val="16"/>
              </w:rPr>
            </w:pPr>
            <w:r w:rsidRPr="00D9348B">
              <w:rPr>
                <w:rFonts w:cs="Calibri"/>
                <w:szCs w:val="16"/>
              </w:rPr>
              <w:t xml:space="preserve"> 37.6 </w:t>
            </w:r>
          </w:p>
        </w:tc>
      </w:tr>
    </w:tbl>
    <w:p w14:paraId="550C936A" w14:textId="77777777" w:rsidR="00627CA1" w:rsidRPr="00D9348B" w:rsidRDefault="00627CA1" w:rsidP="00627CA1">
      <w:pPr>
        <w:pStyle w:val="Heading5"/>
        <w:spacing w:before="360"/>
      </w:pPr>
      <w:r w:rsidRPr="00D9348B">
        <w:t>Emission factors</w:t>
      </w:r>
    </w:p>
    <w:p w14:paraId="5E8029CA" w14:textId="77777777" w:rsidR="00627CA1" w:rsidRPr="00D9348B" w:rsidRDefault="00627CA1" w:rsidP="00627CA1">
      <w:pPr>
        <w:pStyle w:val="BodyText"/>
      </w:pPr>
      <w:r w:rsidRPr="00D9348B">
        <w:t xml:space="preserve">The post-1989 planted forest yield table has been revised for the 2020 submission. The revised yield table is based on two complete inventories of post-1989 planted forest permanent sample plots and a partial re-measure in 2016, 2017 and 2018. The analysis of the data collected has provided a plot-based estimate of carbon stock and mean carbon density within this forest type, and is further described in chapter 6, section 6.4.2. </w:t>
      </w:r>
    </w:p>
    <w:p w14:paraId="75D013E1" w14:textId="77777777" w:rsidR="00627CA1" w:rsidRPr="00D9348B" w:rsidRDefault="00627CA1" w:rsidP="00627CA1">
      <w:pPr>
        <w:pStyle w:val="BodyText"/>
      </w:pPr>
      <w:r w:rsidRPr="00D9348B">
        <w:t xml:space="preserve">A revised analysis of the pre-1990 natural forest plot data was undertaken for the 2020 submission (Paul et al., unpublished). The revised analysis included a range of improvements that are outlined in chapter 6, section 6.4.2. The analysis of the data collected has provided a plot-based estimate of carbon stock and stock change within this forest type, and is further described in section 6.4.2. </w:t>
      </w:r>
    </w:p>
    <w:p w14:paraId="4A979559" w14:textId="77777777" w:rsidR="00627CA1" w:rsidRPr="00D9348B" w:rsidRDefault="00627CA1" w:rsidP="00627CA1">
      <w:pPr>
        <w:pStyle w:val="Table"/>
        <w:keepLines/>
      </w:pPr>
      <w:bookmarkStart w:id="3326" w:name="_Toc522010664"/>
      <w:bookmarkStart w:id="3327" w:name="_Toc5269635"/>
      <w:bookmarkStart w:id="3328" w:name="_Toc36224718"/>
      <w:r w:rsidRPr="00D9348B">
        <w:lastRenderedPageBreak/>
        <w:t>Table 11.4.4</w:t>
      </w:r>
      <w:r w:rsidRPr="00D9348B">
        <w:tab/>
        <w:t>Recalculations of New Zealand’s total net emissions estimates from 2013</w:t>
      </w:r>
      <w:r w:rsidRPr="00D9348B">
        <w:br/>
        <w:t>under Article 3.3 and Article 3.4 of the Kyoto Protocol</w:t>
      </w:r>
      <w:bookmarkEnd w:id="3326"/>
      <w:bookmarkEnd w:id="3327"/>
      <w:bookmarkEnd w:id="3328"/>
    </w:p>
    <w:tbl>
      <w:tblPr>
        <w:tblW w:w="8505" w:type="dxa"/>
        <w:tblInd w:w="108" w:type="dxa"/>
        <w:tblLook w:val="04A0" w:firstRow="1" w:lastRow="0" w:firstColumn="1" w:lastColumn="0" w:noHBand="0" w:noVBand="1"/>
      </w:tblPr>
      <w:tblGrid>
        <w:gridCol w:w="2601"/>
        <w:gridCol w:w="1967"/>
        <w:gridCol w:w="1819"/>
        <w:gridCol w:w="2118"/>
      </w:tblGrid>
      <w:tr w:rsidR="00627CA1" w:rsidRPr="00D9348B" w14:paraId="2890A980" w14:textId="77777777" w:rsidTr="008575ED">
        <w:tc>
          <w:tcPr>
            <w:tcW w:w="2601" w:type="dxa"/>
            <w:vMerge w:val="restart"/>
            <w:tcBorders>
              <w:top w:val="single" w:sz="4" w:space="0" w:color="365F91"/>
              <w:left w:val="nil"/>
              <w:bottom w:val="single" w:sz="4" w:space="0" w:color="365F91"/>
              <w:right w:val="nil"/>
            </w:tcBorders>
            <w:shd w:val="clear" w:color="000000" w:fill="365F91"/>
            <w:vAlign w:val="bottom"/>
            <w:hideMark/>
          </w:tcPr>
          <w:p w14:paraId="344965DA" w14:textId="77777777" w:rsidR="00627CA1" w:rsidRPr="00D9348B" w:rsidRDefault="00627CA1" w:rsidP="00DB330E">
            <w:pPr>
              <w:pStyle w:val="TableTextBold"/>
              <w:spacing w:before="50" w:after="50"/>
              <w:jc w:val="center"/>
              <w:rPr>
                <w:rFonts w:cs="Calibri"/>
                <w:noProof w:val="0"/>
                <w:color w:val="FFFFFF"/>
                <w:szCs w:val="16"/>
              </w:rPr>
            </w:pPr>
            <w:r w:rsidRPr="00D9348B">
              <w:rPr>
                <w:rFonts w:cs="Calibri"/>
                <w:noProof w:val="0"/>
                <w:color w:val="FFFFFF"/>
                <w:szCs w:val="16"/>
              </w:rPr>
              <w:t>Activities</w:t>
            </w:r>
          </w:p>
        </w:tc>
        <w:tc>
          <w:tcPr>
            <w:tcW w:w="3786" w:type="dxa"/>
            <w:gridSpan w:val="2"/>
            <w:tcBorders>
              <w:top w:val="single" w:sz="4" w:space="0" w:color="365F91"/>
              <w:left w:val="nil"/>
              <w:bottom w:val="single" w:sz="4" w:space="0" w:color="365F91"/>
              <w:right w:val="nil"/>
            </w:tcBorders>
            <w:shd w:val="clear" w:color="000000" w:fill="365F91"/>
            <w:vAlign w:val="bottom"/>
            <w:hideMark/>
          </w:tcPr>
          <w:p w14:paraId="7ED532F5" w14:textId="77777777" w:rsidR="00627CA1" w:rsidRPr="00D9348B" w:rsidRDefault="00627CA1" w:rsidP="00DB330E">
            <w:pPr>
              <w:pStyle w:val="TableTextBold"/>
              <w:spacing w:before="50" w:after="50"/>
              <w:jc w:val="center"/>
              <w:rPr>
                <w:rFonts w:cs="Calibri"/>
                <w:noProof w:val="0"/>
                <w:color w:val="FFFFFF"/>
                <w:szCs w:val="16"/>
              </w:rPr>
            </w:pPr>
            <w:r w:rsidRPr="00D9348B">
              <w:rPr>
                <w:rFonts w:cs="Calibri"/>
                <w:noProof w:val="0"/>
                <w:color w:val="FFFFFF"/>
                <w:szCs w:val="16"/>
              </w:rPr>
              <w:t>Total net emissions 2013–17 (Gg CO</w:t>
            </w:r>
            <w:r w:rsidRPr="00D9348B">
              <w:rPr>
                <w:rFonts w:cs="Calibri"/>
                <w:noProof w:val="0"/>
                <w:color w:val="FFFFFF"/>
                <w:szCs w:val="16"/>
                <w:vertAlign w:val="subscript"/>
              </w:rPr>
              <w:t>2</w:t>
            </w:r>
            <w:r w:rsidRPr="00D9348B">
              <w:rPr>
                <w:rFonts w:cs="Calibri"/>
                <w:noProof w:val="0"/>
                <w:color w:val="FFFFFF"/>
                <w:szCs w:val="16"/>
              </w:rPr>
              <w:t>-e)</w:t>
            </w:r>
          </w:p>
        </w:tc>
        <w:tc>
          <w:tcPr>
            <w:tcW w:w="2118" w:type="dxa"/>
            <w:vMerge w:val="restart"/>
            <w:tcBorders>
              <w:top w:val="single" w:sz="4" w:space="0" w:color="365F91"/>
              <w:left w:val="nil"/>
              <w:bottom w:val="single" w:sz="4" w:space="0" w:color="365F91"/>
              <w:right w:val="nil"/>
            </w:tcBorders>
            <w:shd w:val="clear" w:color="000000" w:fill="365F91"/>
            <w:vAlign w:val="bottom"/>
            <w:hideMark/>
          </w:tcPr>
          <w:p w14:paraId="5410EE3E" w14:textId="77777777" w:rsidR="00627CA1" w:rsidRPr="00D9348B" w:rsidRDefault="00627CA1" w:rsidP="00DB330E">
            <w:pPr>
              <w:pStyle w:val="TableTextBold"/>
              <w:spacing w:before="50" w:after="50"/>
              <w:jc w:val="right"/>
              <w:rPr>
                <w:rFonts w:cs="Calibri"/>
                <w:noProof w:val="0"/>
                <w:color w:val="FFFFFF"/>
                <w:szCs w:val="16"/>
              </w:rPr>
            </w:pPr>
            <w:r w:rsidRPr="00D9348B">
              <w:rPr>
                <w:rFonts w:cs="Calibri"/>
                <w:noProof w:val="0"/>
                <w:color w:val="FFFFFF"/>
                <w:szCs w:val="16"/>
              </w:rPr>
              <w:t>Change from 2019 submission (%)</w:t>
            </w:r>
          </w:p>
        </w:tc>
      </w:tr>
      <w:tr w:rsidR="00627CA1" w:rsidRPr="00D9348B" w14:paraId="4583B3F2" w14:textId="77777777" w:rsidTr="008575ED">
        <w:tc>
          <w:tcPr>
            <w:tcW w:w="2601" w:type="dxa"/>
            <w:vMerge/>
            <w:tcBorders>
              <w:top w:val="single" w:sz="4" w:space="0" w:color="365F91"/>
              <w:left w:val="nil"/>
              <w:bottom w:val="single" w:sz="4" w:space="0" w:color="365F91"/>
              <w:right w:val="nil"/>
            </w:tcBorders>
            <w:vAlign w:val="bottom"/>
            <w:hideMark/>
          </w:tcPr>
          <w:p w14:paraId="50C35955" w14:textId="77777777" w:rsidR="00627CA1" w:rsidRPr="00D9348B" w:rsidRDefault="00627CA1" w:rsidP="00DB330E">
            <w:pPr>
              <w:pStyle w:val="TableTextBold"/>
              <w:spacing w:before="50" w:after="50"/>
              <w:jc w:val="center"/>
              <w:rPr>
                <w:rFonts w:cs="Calibri"/>
                <w:noProof w:val="0"/>
                <w:color w:val="FFFFFF"/>
                <w:szCs w:val="16"/>
              </w:rPr>
            </w:pPr>
          </w:p>
        </w:tc>
        <w:tc>
          <w:tcPr>
            <w:tcW w:w="1967" w:type="dxa"/>
            <w:tcBorders>
              <w:top w:val="single" w:sz="4" w:space="0" w:color="365F91"/>
              <w:left w:val="nil"/>
              <w:bottom w:val="single" w:sz="4" w:space="0" w:color="365F91"/>
              <w:right w:val="nil"/>
            </w:tcBorders>
            <w:shd w:val="clear" w:color="000000" w:fill="365F91"/>
            <w:vAlign w:val="bottom"/>
            <w:hideMark/>
          </w:tcPr>
          <w:p w14:paraId="7146F6CE" w14:textId="77777777" w:rsidR="00627CA1" w:rsidRPr="00D9348B" w:rsidRDefault="00627CA1" w:rsidP="008575ED">
            <w:pPr>
              <w:pStyle w:val="TableTextBold"/>
              <w:spacing w:before="40" w:after="50"/>
              <w:jc w:val="right"/>
              <w:rPr>
                <w:rFonts w:cs="Calibri"/>
                <w:noProof w:val="0"/>
                <w:color w:val="FFFFFF"/>
                <w:szCs w:val="16"/>
              </w:rPr>
            </w:pPr>
            <w:r w:rsidRPr="00D9348B">
              <w:rPr>
                <w:rFonts w:cs="Calibri"/>
                <w:noProof w:val="0"/>
                <w:color w:val="FFFFFF"/>
                <w:szCs w:val="16"/>
              </w:rPr>
              <w:t>2019 submission</w:t>
            </w:r>
          </w:p>
        </w:tc>
        <w:tc>
          <w:tcPr>
            <w:tcW w:w="1819" w:type="dxa"/>
            <w:tcBorders>
              <w:top w:val="single" w:sz="4" w:space="0" w:color="365F91"/>
              <w:left w:val="nil"/>
              <w:bottom w:val="single" w:sz="4" w:space="0" w:color="365F91"/>
              <w:right w:val="nil"/>
            </w:tcBorders>
            <w:shd w:val="clear" w:color="000000" w:fill="365F91"/>
            <w:vAlign w:val="bottom"/>
            <w:hideMark/>
          </w:tcPr>
          <w:p w14:paraId="4A773060" w14:textId="77777777" w:rsidR="00627CA1" w:rsidRPr="00D9348B" w:rsidRDefault="00627CA1" w:rsidP="008575ED">
            <w:pPr>
              <w:pStyle w:val="TableTextBold"/>
              <w:spacing w:before="40" w:after="50"/>
              <w:jc w:val="right"/>
              <w:rPr>
                <w:rFonts w:cs="Calibri"/>
                <w:noProof w:val="0"/>
                <w:color w:val="FFFFFF"/>
                <w:szCs w:val="16"/>
              </w:rPr>
            </w:pPr>
            <w:r w:rsidRPr="00D9348B">
              <w:rPr>
                <w:rFonts w:cs="Calibri"/>
                <w:noProof w:val="0"/>
                <w:color w:val="FFFFFF"/>
                <w:szCs w:val="16"/>
              </w:rPr>
              <w:t>2020 submission</w:t>
            </w:r>
          </w:p>
        </w:tc>
        <w:tc>
          <w:tcPr>
            <w:tcW w:w="2118" w:type="dxa"/>
            <w:vMerge/>
            <w:tcBorders>
              <w:top w:val="single" w:sz="4" w:space="0" w:color="365F91"/>
              <w:left w:val="nil"/>
              <w:bottom w:val="single" w:sz="4" w:space="0" w:color="365F91"/>
              <w:right w:val="nil"/>
            </w:tcBorders>
            <w:vAlign w:val="bottom"/>
            <w:hideMark/>
          </w:tcPr>
          <w:p w14:paraId="5987B04F" w14:textId="77777777" w:rsidR="00627CA1" w:rsidRPr="00D9348B" w:rsidRDefault="00627CA1" w:rsidP="00DB330E">
            <w:pPr>
              <w:pStyle w:val="TableTextBold"/>
              <w:spacing w:before="50" w:after="50"/>
              <w:jc w:val="right"/>
              <w:rPr>
                <w:rFonts w:cs="Calibri"/>
                <w:noProof w:val="0"/>
                <w:color w:val="FFFFFF"/>
                <w:szCs w:val="16"/>
              </w:rPr>
            </w:pPr>
          </w:p>
        </w:tc>
      </w:tr>
      <w:tr w:rsidR="00627CA1" w:rsidRPr="00D9348B" w14:paraId="495E9D88" w14:textId="77777777" w:rsidTr="008575ED">
        <w:tc>
          <w:tcPr>
            <w:tcW w:w="2601" w:type="dxa"/>
            <w:tcBorders>
              <w:top w:val="single" w:sz="4" w:space="0" w:color="365F91"/>
              <w:left w:val="nil"/>
              <w:bottom w:val="nil"/>
              <w:right w:val="nil"/>
            </w:tcBorders>
            <w:shd w:val="clear" w:color="auto" w:fill="auto"/>
            <w:noWrap/>
            <w:vAlign w:val="bottom"/>
            <w:hideMark/>
          </w:tcPr>
          <w:p w14:paraId="689B1E4F" w14:textId="77777777" w:rsidR="00627CA1" w:rsidRPr="00D9348B" w:rsidRDefault="00627CA1" w:rsidP="00DB330E">
            <w:pPr>
              <w:pStyle w:val="TableText"/>
              <w:spacing w:before="50" w:after="50"/>
              <w:rPr>
                <w:rFonts w:cs="Calibri"/>
                <w:szCs w:val="16"/>
              </w:rPr>
            </w:pPr>
            <w:r w:rsidRPr="00D9348B">
              <w:rPr>
                <w:rFonts w:cs="Calibri"/>
                <w:szCs w:val="16"/>
              </w:rPr>
              <w:t>Afforestation and reforestation</w:t>
            </w:r>
          </w:p>
        </w:tc>
        <w:tc>
          <w:tcPr>
            <w:tcW w:w="1967" w:type="dxa"/>
            <w:tcBorders>
              <w:top w:val="single" w:sz="4" w:space="0" w:color="365F91"/>
              <w:left w:val="nil"/>
              <w:bottom w:val="single" w:sz="8" w:space="0" w:color="365F91"/>
              <w:right w:val="nil"/>
            </w:tcBorders>
            <w:shd w:val="clear" w:color="auto" w:fill="auto"/>
            <w:hideMark/>
          </w:tcPr>
          <w:p w14:paraId="21E69CE9" w14:textId="77777777" w:rsidR="00627CA1" w:rsidRPr="00D9348B" w:rsidRDefault="00627CA1" w:rsidP="00DB330E">
            <w:pPr>
              <w:pStyle w:val="TableText"/>
              <w:spacing w:before="50" w:after="50"/>
              <w:jc w:val="right"/>
              <w:rPr>
                <w:rFonts w:cs="Calibri"/>
                <w:szCs w:val="16"/>
              </w:rPr>
            </w:pPr>
            <w:r w:rsidRPr="00D9348B">
              <w:rPr>
                <w:rFonts w:cs="Calibri"/>
                <w:szCs w:val="16"/>
              </w:rPr>
              <w:t>–88,184.1</w:t>
            </w:r>
          </w:p>
        </w:tc>
        <w:tc>
          <w:tcPr>
            <w:tcW w:w="1819" w:type="dxa"/>
            <w:tcBorders>
              <w:top w:val="single" w:sz="4" w:space="0" w:color="365F91"/>
              <w:left w:val="nil"/>
              <w:bottom w:val="single" w:sz="8" w:space="0" w:color="365F91"/>
              <w:right w:val="nil"/>
            </w:tcBorders>
            <w:shd w:val="clear" w:color="auto" w:fill="auto"/>
            <w:hideMark/>
          </w:tcPr>
          <w:p w14:paraId="271E52D0" w14:textId="77777777" w:rsidR="00627CA1" w:rsidRPr="00D9348B" w:rsidRDefault="00627CA1" w:rsidP="00DB330E">
            <w:pPr>
              <w:pStyle w:val="TableText"/>
              <w:spacing w:before="50" w:after="50"/>
              <w:jc w:val="right"/>
              <w:rPr>
                <w:rFonts w:cs="Calibri"/>
                <w:szCs w:val="16"/>
              </w:rPr>
            </w:pPr>
            <w:r w:rsidRPr="00D9348B">
              <w:rPr>
                <w:rFonts w:cs="Calibri"/>
                <w:szCs w:val="16"/>
              </w:rPr>
              <w:t>–89,014.1</w:t>
            </w:r>
          </w:p>
        </w:tc>
        <w:tc>
          <w:tcPr>
            <w:tcW w:w="2118" w:type="dxa"/>
            <w:tcBorders>
              <w:top w:val="single" w:sz="4" w:space="0" w:color="365F91"/>
              <w:left w:val="nil"/>
              <w:bottom w:val="single" w:sz="8" w:space="0" w:color="365F91"/>
              <w:right w:val="nil"/>
            </w:tcBorders>
            <w:shd w:val="clear" w:color="auto" w:fill="auto"/>
            <w:hideMark/>
          </w:tcPr>
          <w:p w14:paraId="515BC9EE" w14:textId="77777777" w:rsidR="00627CA1" w:rsidRPr="00D9348B" w:rsidRDefault="00627CA1" w:rsidP="00DB330E">
            <w:pPr>
              <w:pStyle w:val="TableText"/>
              <w:spacing w:before="50" w:after="50"/>
              <w:jc w:val="right"/>
              <w:rPr>
                <w:rFonts w:cs="Calibri"/>
                <w:szCs w:val="16"/>
              </w:rPr>
            </w:pPr>
            <w:r w:rsidRPr="00D9348B">
              <w:rPr>
                <w:rFonts w:cs="Calibri"/>
                <w:szCs w:val="16"/>
              </w:rPr>
              <w:t>–0.9</w:t>
            </w:r>
          </w:p>
        </w:tc>
      </w:tr>
      <w:tr w:rsidR="00627CA1" w:rsidRPr="00D9348B" w14:paraId="71EBEDC4" w14:textId="77777777" w:rsidTr="008575ED">
        <w:tc>
          <w:tcPr>
            <w:tcW w:w="2601" w:type="dxa"/>
            <w:tcBorders>
              <w:top w:val="nil"/>
              <w:left w:val="nil"/>
              <w:bottom w:val="nil"/>
              <w:right w:val="nil"/>
            </w:tcBorders>
            <w:shd w:val="clear" w:color="auto" w:fill="auto"/>
            <w:noWrap/>
            <w:vAlign w:val="bottom"/>
            <w:hideMark/>
          </w:tcPr>
          <w:p w14:paraId="4DCE3DBA" w14:textId="77777777" w:rsidR="00627CA1" w:rsidRPr="00D9348B" w:rsidRDefault="00627CA1" w:rsidP="00DB330E">
            <w:pPr>
              <w:pStyle w:val="TableText"/>
              <w:spacing w:before="50" w:after="50"/>
              <w:rPr>
                <w:rFonts w:cs="Calibri"/>
                <w:szCs w:val="16"/>
              </w:rPr>
            </w:pPr>
            <w:r w:rsidRPr="00D9348B">
              <w:rPr>
                <w:rFonts w:cs="Calibri"/>
                <w:szCs w:val="16"/>
              </w:rPr>
              <w:t>Deforestation</w:t>
            </w:r>
          </w:p>
        </w:tc>
        <w:tc>
          <w:tcPr>
            <w:tcW w:w="1967" w:type="dxa"/>
            <w:tcBorders>
              <w:top w:val="single" w:sz="8" w:space="0" w:color="365F91"/>
              <w:left w:val="nil"/>
              <w:bottom w:val="single" w:sz="8" w:space="0" w:color="365F91"/>
              <w:right w:val="nil"/>
            </w:tcBorders>
            <w:shd w:val="clear" w:color="auto" w:fill="auto"/>
            <w:hideMark/>
          </w:tcPr>
          <w:p w14:paraId="7C22E1CE" w14:textId="77777777" w:rsidR="00627CA1" w:rsidRPr="00D9348B" w:rsidRDefault="00627CA1" w:rsidP="00DB330E">
            <w:pPr>
              <w:pStyle w:val="TableText"/>
              <w:spacing w:before="50" w:after="50"/>
              <w:jc w:val="right"/>
              <w:rPr>
                <w:rFonts w:cs="Calibri"/>
                <w:szCs w:val="16"/>
              </w:rPr>
            </w:pPr>
            <w:r w:rsidRPr="00D9348B">
              <w:rPr>
                <w:rFonts w:cs="Calibri"/>
                <w:szCs w:val="16"/>
              </w:rPr>
              <w:t>22,846.9</w:t>
            </w:r>
          </w:p>
        </w:tc>
        <w:tc>
          <w:tcPr>
            <w:tcW w:w="1819" w:type="dxa"/>
            <w:tcBorders>
              <w:top w:val="single" w:sz="8" w:space="0" w:color="365F91"/>
              <w:left w:val="nil"/>
              <w:bottom w:val="single" w:sz="8" w:space="0" w:color="365F91"/>
              <w:right w:val="nil"/>
            </w:tcBorders>
            <w:shd w:val="clear" w:color="auto" w:fill="auto"/>
            <w:hideMark/>
          </w:tcPr>
          <w:p w14:paraId="613DA8D9" w14:textId="77777777" w:rsidR="00627CA1" w:rsidRPr="00D9348B" w:rsidRDefault="00627CA1" w:rsidP="00DB330E">
            <w:pPr>
              <w:pStyle w:val="TableText"/>
              <w:spacing w:before="50" w:after="50"/>
              <w:jc w:val="right"/>
              <w:rPr>
                <w:rFonts w:cs="Calibri"/>
                <w:szCs w:val="16"/>
              </w:rPr>
            </w:pPr>
            <w:r w:rsidRPr="00D9348B">
              <w:rPr>
                <w:rFonts w:cs="Calibri"/>
                <w:szCs w:val="16"/>
              </w:rPr>
              <w:t>22,631.8</w:t>
            </w:r>
          </w:p>
        </w:tc>
        <w:tc>
          <w:tcPr>
            <w:tcW w:w="2118" w:type="dxa"/>
            <w:tcBorders>
              <w:top w:val="single" w:sz="8" w:space="0" w:color="365F91"/>
              <w:left w:val="nil"/>
              <w:bottom w:val="single" w:sz="8" w:space="0" w:color="365F91"/>
              <w:right w:val="nil"/>
            </w:tcBorders>
            <w:shd w:val="clear" w:color="auto" w:fill="auto"/>
            <w:hideMark/>
          </w:tcPr>
          <w:p w14:paraId="15838758" w14:textId="77777777" w:rsidR="00627CA1" w:rsidRPr="00D9348B" w:rsidRDefault="00627CA1" w:rsidP="00DB330E">
            <w:pPr>
              <w:pStyle w:val="TableText"/>
              <w:spacing w:before="50" w:after="50"/>
              <w:jc w:val="right"/>
              <w:rPr>
                <w:rFonts w:cs="Calibri"/>
                <w:szCs w:val="16"/>
              </w:rPr>
            </w:pPr>
            <w:r w:rsidRPr="00D9348B">
              <w:rPr>
                <w:rFonts w:cs="Calibri"/>
                <w:szCs w:val="16"/>
              </w:rPr>
              <w:t>0.9</w:t>
            </w:r>
          </w:p>
        </w:tc>
      </w:tr>
      <w:tr w:rsidR="00627CA1" w:rsidRPr="00D9348B" w14:paraId="1685DAE3" w14:textId="77777777" w:rsidTr="008575ED">
        <w:tc>
          <w:tcPr>
            <w:tcW w:w="2601" w:type="dxa"/>
            <w:tcBorders>
              <w:top w:val="nil"/>
              <w:left w:val="nil"/>
              <w:bottom w:val="single" w:sz="4" w:space="0" w:color="365F91"/>
              <w:right w:val="nil"/>
            </w:tcBorders>
            <w:shd w:val="clear" w:color="auto" w:fill="auto"/>
            <w:vAlign w:val="center"/>
            <w:hideMark/>
          </w:tcPr>
          <w:p w14:paraId="030D7E41" w14:textId="77777777" w:rsidR="00627CA1" w:rsidRPr="00D9348B" w:rsidRDefault="00627CA1" w:rsidP="00DB330E">
            <w:pPr>
              <w:pStyle w:val="TableText"/>
              <w:spacing w:before="50" w:after="50"/>
              <w:rPr>
                <w:rFonts w:cs="Calibri"/>
                <w:szCs w:val="16"/>
              </w:rPr>
            </w:pPr>
            <w:r w:rsidRPr="00D9348B">
              <w:rPr>
                <w:rFonts w:cs="Calibri"/>
                <w:szCs w:val="16"/>
              </w:rPr>
              <w:t>Forest management</w:t>
            </w:r>
          </w:p>
        </w:tc>
        <w:tc>
          <w:tcPr>
            <w:tcW w:w="1967" w:type="dxa"/>
            <w:tcBorders>
              <w:top w:val="single" w:sz="8" w:space="0" w:color="365F91"/>
              <w:left w:val="nil"/>
              <w:bottom w:val="single" w:sz="4" w:space="0" w:color="365F91"/>
              <w:right w:val="nil"/>
            </w:tcBorders>
            <w:shd w:val="clear" w:color="auto" w:fill="auto"/>
            <w:hideMark/>
          </w:tcPr>
          <w:p w14:paraId="37B13571" w14:textId="77777777" w:rsidR="00627CA1" w:rsidRPr="00D9348B" w:rsidRDefault="00627CA1" w:rsidP="00DB330E">
            <w:pPr>
              <w:pStyle w:val="TableText"/>
              <w:spacing w:before="50" w:after="50"/>
              <w:jc w:val="right"/>
              <w:rPr>
                <w:rFonts w:cs="Calibri"/>
                <w:szCs w:val="16"/>
              </w:rPr>
            </w:pPr>
            <w:r w:rsidRPr="00D9348B">
              <w:rPr>
                <w:rFonts w:cs="Calibri"/>
                <w:szCs w:val="16"/>
              </w:rPr>
              <w:t>–91,428.1</w:t>
            </w:r>
          </w:p>
        </w:tc>
        <w:tc>
          <w:tcPr>
            <w:tcW w:w="1819" w:type="dxa"/>
            <w:tcBorders>
              <w:top w:val="single" w:sz="8" w:space="0" w:color="365F91"/>
              <w:left w:val="nil"/>
              <w:bottom w:val="single" w:sz="4" w:space="0" w:color="365F91"/>
              <w:right w:val="nil"/>
            </w:tcBorders>
            <w:shd w:val="clear" w:color="auto" w:fill="auto"/>
            <w:hideMark/>
          </w:tcPr>
          <w:p w14:paraId="245C01E0" w14:textId="77777777" w:rsidR="00627CA1" w:rsidRPr="00D9348B" w:rsidRDefault="00627CA1" w:rsidP="00DB330E">
            <w:pPr>
              <w:pStyle w:val="TableText"/>
              <w:spacing w:before="50" w:after="50"/>
              <w:jc w:val="right"/>
              <w:rPr>
                <w:rFonts w:cs="Calibri"/>
                <w:szCs w:val="16"/>
              </w:rPr>
            </w:pPr>
            <w:r w:rsidRPr="00D9348B">
              <w:rPr>
                <w:rFonts w:cs="Calibri"/>
                <w:szCs w:val="16"/>
              </w:rPr>
              <w:t>–77,138.8</w:t>
            </w:r>
          </w:p>
        </w:tc>
        <w:tc>
          <w:tcPr>
            <w:tcW w:w="2118" w:type="dxa"/>
            <w:tcBorders>
              <w:top w:val="single" w:sz="8" w:space="0" w:color="365F91"/>
              <w:left w:val="nil"/>
              <w:bottom w:val="single" w:sz="4" w:space="0" w:color="365F91"/>
              <w:right w:val="nil"/>
            </w:tcBorders>
            <w:shd w:val="clear" w:color="auto" w:fill="auto"/>
            <w:hideMark/>
          </w:tcPr>
          <w:p w14:paraId="78C0C656" w14:textId="77777777" w:rsidR="00627CA1" w:rsidRPr="00D9348B" w:rsidRDefault="00627CA1" w:rsidP="00DB330E">
            <w:pPr>
              <w:pStyle w:val="TableText"/>
              <w:spacing w:before="50" w:after="50"/>
              <w:jc w:val="right"/>
              <w:rPr>
                <w:rFonts w:cs="Calibri"/>
                <w:szCs w:val="16"/>
              </w:rPr>
            </w:pPr>
            <w:r w:rsidRPr="00D9348B">
              <w:rPr>
                <w:rFonts w:cs="Calibri"/>
                <w:szCs w:val="16"/>
              </w:rPr>
              <w:t>15.6</w:t>
            </w:r>
          </w:p>
        </w:tc>
      </w:tr>
      <w:tr w:rsidR="00627CA1" w:rsidRPr="00D9348B" w14:paraId="7380591F" w14:textId="77777777" w:rsidTr="008575ED">
        <w:tc>
          <w:tcPr>
            <w:tcW w:w="2601" w:type="dxa"/>
            <w:tcBorders>
              <w:top w:val="single" w:sz="4" w:space="0" w:color="365F91"/>
              <w:left w:val="nil"/>
              <w:bottom w:val="single" w:sz="4" w:space="0" w:color="365F91"/>
              <w:right w:val="nil"/>
            </w:tcBorders>
            <w:shd w:val="clear" w:color="auto" w:fill="auto"/>
            <w:vAlign w:val="center"/>
            <w:hideMark/>
          </w:tcPr>
          <w:p w14:paraId="282B03DE" w14:textId="77777777" w:rsidR="00627CA1" w:rsidRPr="00D9348B" w:rsidRDefault="00627CA1" w:rsidP="00DB330E">
            <w:pPr>
              <w:pStyle w:val="Tableboldblue"/>
              <w:spacing w:before="50" w:after="50"/>
              <w:rPr>
                <w:rFonts w:cs="Calibri"/>
                <w:szCs w:val="16"/>
                <w:lang w:eastAsia="en-NZ"/>
              </w:rPr>
            </w:pPr>
            <w:r w:rsidRPr="00D9348B">
              <w:rPr>
                <w:rFonts w:cs="Calibri"/>
                <w:szCs w:val="16"/>
                <w:lang w:eastAsia="en-NZ"/>
              </w:rPr>
              <w:t>Total</w:t>
            </w:r>
          </w:p>
        </w:tc>
        <w:tc>
          <w:tcPr>
            <w:tcW w:w="1967" w:type="dxa"/>
            <w:tcBorders>
              <w:top w:val="single" w:sz="4" w:space="0" w:color="365F91"/>
              <w:left w:val="nil"/>
              <w:bottom w:val="single" w:sz="4" w:space="0" w:color="365F91"/>
              <w:right w:val="nil"/>
            </w:tcBorders>
            <w:shd w:val="clear" w:color="auto" w:fill="auto"/>
            <w:hideMark/>
          </w:tcPr>
          <w:p w14:paraId="1540277B" w14:textId="77777777" w:rsidR="00627CA1" w:rsidRPr="00D9348B" w:rsidRDefault="00627CA1" w:rsidP="00DB330E">
            <w:pPr>
              <w:pStyle w:val="Tableboldblue"/>
              <w:spacing w:before="50" w:after="50"/>
              <w:jc w:val="right"/>
              <w:rPr>
                <w:rFonts w:cs="Calibri"/>
                <w:szCs w:val="16"/>
                <w:lang w:eastAsia="en-NZ"/>
              </w:rPr>
            </w:pPr>
            <w:r w:rsidRPr="00D9348B">
              <w:rPr>
                <w:rFonts w:cs="Calibri"/>
                <w:szCs w:val="16"/>
              </w:rPr>
              <w:t>–156,765.3</w:t>
            </w:r>
          </w:p>
        </w:tc>
        <w:tc>
          <w:tcPr>
            <w:tcW w:w="1819" w:type="dxa"/>
            <w:tcBorders>
              <w:top w:val="single" w:sz="4" w:space="0" w:color="365F91"/>
              <w:left w:val="nil"/>
              <w:bottom w:val="single" w:sz="4" w:space="0" w:color="365F91"/>
              <w:right w:val="nil"/>
            </w:tcBorders>
            <w:shd w:val="clear" w:color="auto" w:fill="auto"/>
            <w:hideMark/>
          </w:tcPr>
          <w:p w14:paraId="59374644" w14:textId="77777777" w:rsidR="00627CA1" w:rsidRPr="00D9348B" w:rsidRDefault="00627CA1" w:rsidP="00DB330E">
            <w:pPr>
              <w:pStyle w:val="Tableboldblue"/>
              <w:spacing w:before="50" w:after="50"/>
              <w:jc w:val="right"/>
              <w:rPr>
                <w:rFonts w:cs="Calibri"/>
                <w:szCs w:val="16"/>
                <w:lang w:eastAsia="en-NZ"/>
              </w:rPr>
            </w:pPr>
            <w:r w:rsidRPr="00D9348B">
              <w:rPr>
                <w:rFonts w:cs="Calibri"/>
                <w:szCs w:val="16"/>
              </w:rPr>
              <w:t>–143,521.1</w:t>
            </w:r>
          </w:p>
        </w:tc>
        <w:tc>
          <w:tcPr>
            <w:tcW w:w="2118" w:type="dxa"/>
            <w:tcBorders>
              <w:top w:val="single" w:sz="4" w:space="0" w:color="365F91"/>
              <w:left w:val="nil"/>
              <w:bottom w:val="single" w:sz="4" w:space="0" w:color="365F91"/>
              <w:right w:val="nil"/>
            </w:tcBorders>
            <w:shd w:val="clear" w:color="auto" w:fill="auto"/>
            <w:hideMark/>
          </w:tcPr>
          <w:p w14:paraId="388F7B77" w14:textId="77777777" w:rsidR="00627CA1" w:rsidRPr="00D9348B" w:rsidRDefault="00627CA1" w:rsidP="00DB330E">
            <w:pPr>
              <w:pStyle w:val="Tableboldblue"/>
              <w:spacing w:before="50" w:after="50"/>
              <w:jc w:val="right"/>
              <w:rPr>
                <w:rFonts w:cs="Calibri"/>
                <w:szCs w:val="16"/>
                <w:lang w:eastAsia="en-NZ"/>
              </w:rPr>
            </w:pPr>
            <w:r w:rsidRPr="00D9348B">
              <w:rPr>
                <w:rFonts w:cs="Calibri"/>
                <w:szCs w:val="16"/>
              </w:rPr>
              <w:t>8.4</w:t>
            </w:r>
          </w:p>
        </w:tc>
      </w:tr>
    </w:tbl>
    <w:p w14:paraId="1DE7F2C0" w14:textId="77777777" w:rsidR="00627CA1" w:rsidRPr="00D9348B" w:rsidRDefault="00627CA1" w:rsidP="00627CA1">
      <w:pPr>
        <w:pStyle w:val="Heading3"/>
      </w:pPr>
      <w:r w:rsidRPr="00D9348B">
        <w:t xml:space="preserve">11.4.4 </w:t>
      </w:r>
      <w:r w:rsidRPr="00D9348B">
        <w:tab/>
        <w:t>Planned improvements</w:t>
      </w:r>
    </w:p>
    <w:p w14:paraId="66586639" w14:textId="77777777" w:rsidR="00627CA1" w:rsidRPr="00D9348B" w:rsidRDefault="00627CA1" w:rsidP="00627CA1">
      <w:pPr>
        <w:pStyle w:val="BodyText"/>
        <w:spacing w:before="100"/>
      </w:pPr>
      <w:r w:rsidRPr="00D9348B">
        <w:t xml:space="preserve">The assumption that controlled burning of post-harvest residues on afforested or reforested land does not occur will be revisited in a future submission, due to the increasing harvest rate in these forests as they reach maturity. </w:t>
      </w:r>
    </w:p>
    <w:p w14:paraId="68567491" w14:textId="77777777" w:rsidR="00627CA1" w:rsidRPr="00D9348B" w:rsidRDefault="00627CA1" w:rsidP="00627CA1">
      <w:pPr>
        <w:pStyle w:val="BodyText"/>
        <w:spacing w:before="100"/>
      </w:pPr>
      <w:r w:rsidRPr="00D9348B">
        <w:t>The complete planted forest plot network (pre-1990 and post-1989) is currently being re</w:t>
      </w:r>
      <w:r w:rsidRPr="00D9348B">
        <w:noBreakHyphen/>
        <w:t>measured on a continuous basis (on a five-year cycle). These data are being incorporated into the inventory annually, as they become available.</w:t>
      </w:r>
    </w:p>
    <w:p w14:paraId="57C2D30A" w14:textId="77777777" w:rsidR="00627CA1" w:rsidRPr="00D9348B" w:rsidRDefault="00627CA1" w:rsidP="00627CA1">
      <w:pPr>
        <w:pStyle w:val="BodyText"/>
        <w:spacing w:before="100"/>
      </w:pPr>
      <w:r w:rsidRPr="00D9348B">
        <w:t>The pre-1990 natural forest ground plot inventory is currently being re-measured on a continuous basis (on a 10-year cycle). Work is also under way to improve the classification of pre-1990 natural forest into its tall and regenerating components. These data will be incorporated into the National Inventory Report as they become available.</w:t>
      </w:r>
    </w:p>
    <w:p w14:paraId="682703D7" w14:textId="77777777" w:rsidR="00627CA1" w:rsidRPr="00D9348B" w:rsidRDefault="00627CA1" w:rsidP="00627CA1">
      <w:pPr>
        <w:pStyle w:val="Bullet"/>
        <w:numPr>
          <w:ilvl w:val="0"/>
          <w:numId w:val="0"/>
        </w:numPr>
        <w:spacing w:before="100"/>
      </w:pPr>
      <w:r w:rsidRPr="00D9348B">
        <w:t xml:space="preserve">The re-measurement of the post-1989 natural forest ground plot inventory has recently been completed. These data are currently being analysed, and new emissions factors for this forest type will be available for inclusion in the 2021 submission. </w:t>
      </w:r>
    </w:p>
    <w:p w14:paraId="3BCB4DCF" w14:textId="02A548FA" w:rsidR="00627CA1" w:rsidRPr="00D9348B" w:rsidRDefault="00627CA1" w:rsidP="00627CA1">
      <w:pPr>
        <w:pStyle w:val="BodyText"/>
        <w:spacing w:before="100"/>
      </w:pPr>
      <w:r w:rsidRPr="00D9348B">
        <w:t xml:space="preserve">The NZ ETS provides an ongoing source of mapping information on forest extent and age along with information on deforestation activity and carbon equivalent forest activities. This will be used as part of a continuous improvement programme to update the 1990, 2008, 2012 and 2016 </w:t>
      </w:r>
      <w:r w:rsidR="00EA7212">
        <w:t>land-use</w:t>
      </w:r>
      <w:r w:rsidRPr="00D9348B">
        <w:t xml:space="preserve"> maps. </w:t>
      </w:r>
    </w:p>
    <w:p w14:paraId="0174DDF6" w14:textId="77777777" w:rsidR="00627CA1" w:rsidRPr="00D9348B" w:rsidRDefault="00627CA1" w:rsidP="00627CA1">
      <w:pPr>
        <w:pStyle w:val="BodyText"/>
        <w:spacing w:before="100"/>
      </w:pPr>
      <w:r w:rsidRPr="00D9348B">
        <w:t>Other mapping improvements planned for the coming year include the development of a methodology to determine the age cohorts for forest planted after 1990.</w:t>
      </w:r>
    </w:p>
    <w:p w14:paraId="7B73DF16" w14:textId="77777777" w:rsidR="00627CA1" w:rsidRPr="00D9348B" w:rsidRDefault="00627CA1" w:rsidP="00627CA1">
      <w:pPr>
        <w:pStyle w:val="Heading2"/>
        <w:spacing w:before="280"/>
      </w:pPr>
      <w:bookmarkStart w:id="3329" w:name="_Toc456179173"/>
      <w:bookmarkStart w:id="3330" w:name="_Toc481751426"/>
      <w:bookmarkStart w:id="3331" w:name="_Toc522013965"/>
      <w:bookmarkStart w:id="3332" w:name="_Toc5269409"/>
      <w:bookmarkStart w:id="3333" w:name="_Toc36224449"/>
      <w:bookmarkStart w:id="3334" w:name="_Toc261513296"/>
      <w:bookmarkStart w:id="3335" w:name="_Toc261513909"/>
      <w:bookmarkStart w:id="3336" w:name="_Toc280630399"/>
      <w:r w:rsidRPr="00D9348B">
        <w:t xml:space="preserve">11.5 </w:t>
      </w:r>
      <w:r w:rsidRPr="00D9348B">
        <w:tab/>
        <w:t>Demonstration that activities apply</w:t>
      </w:r>
      <w:bookmarkEnd w:id="3329"/>
      <w:bookmarkEnd w:id="3330"/>
      <w:bookmarkEnd w:id="3331"/>
      <w:bookmarkEnd w:id="3332"/>
      <w:bookmarkEnd w:id="3333"/>
    </w:p>
    <w:p w14:paraId="27423C17" w14:textId="77777777" w:rsidR="00627CA1" w:rsidRPr="00D9348B" w:rsidRDefault="00627CA1" w:rsidP="00627CA1">
      <w:pPr>
        <w:pStyle w:val="Heading3"/>
        <w:spacing w:before="160"/>
      </w:pPr>
      <w:r w:rsidRPr="00D9348B">
        <w:t xml:space="preserve">11.5.1 </w:t>
      </w:r>
      <w:r w:rsidRPr="00D9348B">
        <w:tab/>
        <w:t>Year of the onset of an activity</w:t>
      </w:r>
      <w:bookmarkEnd w:id="3334"/>
      <w:bookmarkEnd w:id="3335"/>
      <w:bookmarkEnd w:id="3336"/>
    </w:p>
    <w:p w14:paraId="33080F5B" w14:textId="77777777" w:rsidR="00627CA1" w:rsidRPr="00D9348B" w:rsidRDefault="00627CA1" w:rsidP="00627CA1">
      <w:pPr>
        <w:pStyle w:val="BodyText"/>
        <w:spacing w:before="100" w:after="100"/>
      </w:pPr>
      <w:r w:rsidRPr="00D9348B">
        <w:t>Paragraph 18 of the annex to Decision 16/CMP.1 (UNFCCC, 2006) requires Parties to account for land use, land-use change and forestry emissions and removals from Article 3.3 activities beginning with the onset of the activity or the beginning of the commitment period, whichever is later. In practical terms, paragraph 18 means there is a need to differentiate activities that occurred between 1 January 1990 and 31 December 2007 from those after this period.</w:t>
      </w:r>
    </w:p>
    <w:p w14:paraId="5741D718" w14:textId="77777777" w:rsidR="00627CA1" w:rsidRPr="00D9348B" w:rsidRDefault="00627CA1" w:rsidP="00627CA1">
      <w:pPr>
        <w:pStyle w:val="BodyText"/>
        <w:spacing w:before="100" w:after="100"/>
      </w:pPr>
      <w:r w:rsidRPr="00D9348B">
        <w:t xml:space="preserve">The </w:t>
      </w:r>
      <w:r w:rsidRPr="00D9348B">
        <w:rPr>
          <w:i/>
        </w:rPr>
        <w:t>Afforestation</w:t>
      </w:r>
      <w:r w:rsidRPr="00D9348B">
        <w:t xml:space="preserve"> occurring in each year is estimated from the NEFD survey, which includes information from the Afforestation Grant Scheme and the East Coast Forestry Project (Ministry for Primary Industries, 2018b). This information ensures that the activity is attributed to the correct year of onset. Note that the Afforestation Grant Scheme has now been replaced by the One Billion Trees Programme. However, the data for this new scheme will still be captured by the NEFD survey.</w:t>
      </w:r>
    </w:p>
    <w:p w14:paraId="13E5A709" w14:textId="4D8B9E29" w:rsidR="00627CA1" w:rsidRPr="00D9348B" w:rsidRDefault="00627CA1" w:rsidP="00627CA1">
      <w:pPr>
        <w:pStyle w:val="BodyText"/>
        <w:spacing w:before="100" w:after="100"/>
      </w:pPr>
      <w:r w:rsidRPr="00D9348B">
        <w:lastRenderedPageBreak/>
        <w:t xml:space="preserve">The annual area of </w:t>
      </w:r>
      <w:r w:rsidRPr="00D9348B">
        <w:rPr>
          <w:i/>
          <w:spacing w:val="-2"/>
        </w:rPr>
        <w:t>Deforestation</w:t>
      </w:r>
      <w:r w:rsidRPr="00D9348B">
        <w:t xml:space="preserve"> reported from 2008 to 2016 is based on wall-to-wall detection and mapping of </w:t>
      </w:r>
      <w:r w:rsidRPr="00D9348B">
        <w:rPr>
          <w:spacing w:val="-2"/>
        </w:rPr>
        <w:t>deforestation</w:t>
      </w:r>
      <w:r w:rsidRPr="00D9348B">
        <w:t xml:space="preserve"> activity supported by data from the NZ ETS. Deforestation is first detected using annual satellite imagery and confirmed using oblique and</w:t>
      </w:r>
      <w:r w:rsidR="008575ED" w:rsidRPr="00D9348B">
        <w:t xml:space="preserve"> </w:t>
      </w:r>
      <w:r w:rsidRPr="00D9348B">
        <w:t xml:space="preserve">vertical aerial photography. The year of onset (destocking year) is therefore determined from the first year of detection of forest loss in the annual satellite imagery time series. Because </w:t>
      </w:r>
      <w:r w:rsidRPr="00D9348B">
        <w:rPr>
          <w:spacing w:val="-2"/>
        </w:rPr>
        <w:t>deforestation</w:t>
      </w:r>
      <w:r w:rsidRPr="00D9348B">
        <w:t xml:space="preserve"> mapping has not yet been carried out for 2017 or 2018 activity, the total deforestation area for these years has been estimated as described in chapter 6, section 6.2.3.</w:t>
      </w:r>
    </w:p>
    <w:p w14:paraId="6C45CCA6" w14:textId="77777777" w:rsidR="00627CA1" w:rsidRPr="00D9348B" w:rsidRDefault="00627CA1" w:rsidP="00627CA1">
      <w:pPr>
        <w:pStyle w:val="BodyText"/>
        <w:spacing w:before="100" w:after="100"/>
        <w:rPr>
          <w:spacing w:val="-2"/>
        </w:rPr>
      </w:pPr>
      <w:r w:rsidRPr="00D9348B">
        <w:rPr>
          <w:spacing w:val="-2"/>
        </w:rPr>
        <w:t>It can take up to four years following the loss of forest cover to determine that replanting or revegetation has occurred. This is because sometimes the landowner does not replant trees immediately but leaves the land fallow for a period of time. The process for monitoring this unclassified deforestation is described in section 11.5.4. When deforestation is finally confirmed, the deforestation is attributed to the year when forest cover was removed, regardless of whether that forest loss occurred in a previous commitment period.</w:t>
      </w:r>
    </w:p>
    <w:p w14:paraId="4CC8E7FA" w14:textId="77777777" w:rsidR="00627CA1" w:rsidRPr="00D9348B" w:rsidRDefault="00627CA1" w:rsidP="00627CA1">
      <w:pPr>
        <w:pStyle w:val="Heading3"/>
        <w:spacing w:before="240"/>
      </w:pPr>
      <w:bookmarkStart w:id="3337" w:name="_Toc261513299"/>
      <w:bookmarkStart w:id="3338" w:name="_Toc261513912"/>
      <w:bookmarkStart w:id="3339" w:name="_Toc280630402"/>
      <w:bookmarkStart w:id="3340" w:name="_Toc377043726"/>
      <w:bookmarkStart w:id="3341" w:name="_Toc400967264"/>
      <w:r w:rsidRPr="00D9348B">
        <w:t xml:space="preserve">11.5.2 </w:t>
      </w:r>
      <w:r w:rsidRPr="00D9348B">
        <w:tab/>
        <w:t>Distinction between harvesting and deforestation</w:t>
      </w:r>
      <w:bookmarkEnd w:id="3337"/>
      <w:bookmarkEnd w:id="3338"/>
      <w:bookmarkEnd w:id="3339"/>
      <w:bookmarkEnd w:id="3340"/>
      <w:bookmarkEnd w:id="3341"/>
    </w:p>
    <w:p w14:paraId="52783C68" w14:textId="77777777" w:rsidR="00627CA1" w:rsidRPr="00D9348B" w:rsidRDefault="00627CA1" w:rsidP="00627CA1">
      <w:pPr>
        <w:pStyle w:val="BodyText"/>
        <w:spacing w:before="100" w:after="100"/>
      </w:pPr>
      <w:r w:rsidRPr="00D9348B">
        <w:t>Paragraph 5 of the annex to Decision 16/CMP.1 (UNFCCC, 2006) requires that countries provide information on how harvesting or forest disturbance that is followed by the re</w:t>
      </w:r>
      <w:r w:rsidRPr="00D9348B">
        <w:noBreakHyphen/>
        <w:t xml:space="preserve">establishment of forest is distinguished from </w:t>
      </w:r>
      <w:r w:rsidRPr="00D9348B">
        <w:rPr>
          <w:i/>
          <w:spacing w:val="-2"/>
        </w:rPr>
        <w:t>Deforestation</w:t>
      </w:r>
      <w:r w:rsidRPr="00D9348B">
        <w:t>.</w:t>
      </w:r>
    </w:p>
    <w:p w14:paraId="69B252C5" w14:textId="77777777" w:rsidR="00627CA1" w:rsidRPr="00D9348B" w:rsidRDefault="00627CA1" w:rsidP="00627CA1">
      <w:pPr>
        <w:pStyle w:val="BodyText"/>
        <w:spacing w:before="100" w:after="100"/>
      </w:pPr>
      <w:r w:rsidRPr="00D9348B">
        <w:t xml:space="preserve">New Zealand has used the definition of </w:t>
      </w:r>
      <w:r w:rsidRPr="00D9348B">
        <w:rPr>
          <w:i/>
          <w:spacing w:val="-2"/>
        </w:rPr>
        <w:t>Deforestation</w:t>
      </w:r>
      <w:r w:rsidRPr="00D9348B">
        <w:t xml:space="preserve"> from Decision 16/CMP.1: “the direct human-induced conversion of forested land to non-forested land” (Annex A, UNFCCC, 2006). Deforestation is different from harvesting, in that harvesting is part of usual forest management practice and involves the removal of biomass from a site followed by reforestation (replanting or natural regeneration, i.e., no change in land use).</w:t>
      </w:r>
    </w:p>
    <w:p w14:paraId="791E4C78" w14:textId="77777777" w:rsidR="00627CA1" w:rsidRPr="00D9348B" w:rsidRDefault="00627CA1" w:rsidP="00627CA1">
      <w:pPr>
        <w:pStyle w:val="BodyText"/>
        <w:spacing w:before="100" w:after="100"/>
      </w:pPr>
      <w:r w:rsidRPr="00D9348B">
        <w:t xml:space="preserve">In New Zealand, temporarily unstocked or cleared areas of forest (e.g., harvested areas and areas subject to disturbances) remain designated as </w:t>
      </w:r>
      <w:r w:rsidRPr="00D9348B">
        <w:rPr>
          <w:i/>
        </w:rPr>
        <w:t>Forest land</w:t>
      </w:r>
      <w:r w:rsidRPr="00D9348B">
        <w:t xml:space="preserve"> unless there is a confirmed change in land use or if, after four years, no reforestation (replanting or regeneration) has occurred. This follows the process for determining whether land is subject to direct human-induced </w:t>
      </w:r>
      <w:r w:rsidRPr="00D9348B">
        <w:rPr>
          <w:spacing w:val="-2"/>
        </w:rPr>
        <w:t>deforestation</w:t>
      </w:r>
      <w:r w:rsidRPr="00D9348B">
        <w:t xml:space="preserve"> as set out in section 2.6.2.1 of the Kyoto Protocol Supplement (IPCC, 2014a). New Zealand has defined the expected time period between the removal of tree cover and successful natural regeneration or planting as four years. In New Zealand, the tree grower and landowner are often different people. Forest land can be temporarily unstocked for a number of years while landowners decide what to do with land after harvesting. </w:t>
      </w:r>
    </w:p>
    <w:p w14:paraId="1A688FEE" w14:textId="77777777" w:rsidR="00627CA1" w:rsidRPr="00D9348B" w:rsidRDefault="00627CA1" w:rsidP="00627CA1">
      <w:pPr>
        <w:pStyle w:val="BodyText"/>
        <w:spacing w:before="100" w:after="100"/>
      </w:pPr>
      <w:r w:rsidRPr="00D9348B">
        <w:t>A number of activities are carried out to determine if land-use change has occurred, including the analysis of satellite imagery and aerial photography. The use of aerial photography is described in chapter 6, section 6.2.</w:t>
      </w:r>
    </w:p>
    <w:p w14:paraId="38666C83" w14:textId="77777777" w:rsidR="00627CA1" w:rsidRPr="00D9348B" w:rsidRDefault="00627CA1" w:rsidP="00627CA1">
      <w:pPr>
        <w:pStyle w:val="BodyText"/>
      </w:pPr>
      <w:r w:rsidRPr="00D9348B">
        <w:t xml:space="preserve">Evidence from the NZ ETS is also used to confirm </w:t>
      </w:r>
      <w:r w:rsidRPr="00D9348B">
        <w:rPr>
          <w:i/>
          <w:spacing w:val="-2"/>
        </w:rPr>
        <w:t>Deforestation</w:t>
      </w:r>
      <w:r w:rsidRPr="00D9348B">
        <w:t xml:space="preserve">. Under the NZ ETS, owners of pre-1990 planted forest or post-1989 forest (if they are participants in the scheme) are required to notify the Government of any </w:t>
      </w:r>
      <w:r w:rsidRPr="00D9348B">
        <w:rPr>
          <w:spacing w:val="-2"/>
        </w:rPr>
        <w:t>deforestation</w:t>
      </w:r>
      <w:r w:rsidRPr="00D9348B">
        <w:t xml:space="preserve"> activity (Ministry for Primary Industries, 2015d). There is a data-sharing agreement that allows for the Ministry for Primary Industries, the agency that administers forestry aspects of the NZ ETS, to provide the Ministry for the Environment with regular updates of the area of confirmed </w:t>
      </w:r>
      <w:r w:rsidRPr="00D9348B">
        <w:rPr>
          <w:i/>
          <w:spacing w:val="-2"/>
        </w:rPr>
        <w:t>Deforestation</w:t>
      </w:r>
      <w:r w:rsidRPr="00D9348B">
        <w:t>.</w:t>
      </w:r>
    </w:p>
    <w:p w14:paraId="4C5DA944" w14:textId="77777777" w:rsidR="00627CA1" w:rsidRPr="00D9348B" w:rsidRDefault="00627CA1" w:rsidP="00627CA1">
      <w:pPr>
        <w:pStyle w:val="BodyText"/>
        <w:rPr>
          <w:spacing w:val="-2"/>
        </w:rPr>
      </w:pPr>
      <w:r w:rsidRPr="00D9348B">
        <w:rPr>
          <w:spacing w:val="-2"/>
        </w:rPr>
        <w:t xml:space="preserve">A summary of the decision-making process for determining whether </w:t>
      </w:r>
      <w:r w:rsidRPr="00D9348B">
        <w:rPr>
          <w:i/>
          <w:spacing w:val="-2"/>
        </w:rPr>
        <w:t>Deforestation</w:t>
      </w:r>
      <w:r w:rsidRPr="00D9348B">
        <w:rPr>
          <w:spacing w:val="-2"/>
        </w:rPr>
        <w:t xml:space="preserve"> has occurred, including all sources of information, is shown in figure 11.5.1. Once a land-use change is mapped and confirmed, the </w:t>
      </w:r>
      <w:r w:rsidRPr="00D9348B">
        <w:rPr>
          <w:i/>
          <w:spacing w:val="-2"/>
        </w:rPr>
        <w:t>Deforestation</w:t>
      </w:r>
      <w:r w:rsidRPr="00D9348B">
        <w:rPr>
          <w:spacing w:val="-2"/>
        </w:rPr>
        <w:t xml:space="preserve"> emissions will be reported in the year of forest clearance.</w:t>
      </w:r>
    </w:p>
    <w:p w14:paraId="40338113" w14:textId="77777777" w:rsidR="00627CA1" w:rsidRPr="00D9348B" w:rsidRDefault="00627CA1" w:rsidP="00627CA1">
      <w:pPr>
        <w:pStyle w:val="Figure"/>
      </w:pPr>
      <w:bookmarkStart w:id="3342" w:name="_Toc522010715"/>
      <w:bookmarkStart w:id="3343" w:name="_Toc5269735"/>
      <w:bookmarkStart w:id="3344" w:name="_Toc36292841"/>
      <w:r w:rsidRPr="00D9348B">
        <w:lastRenderedPageBreak/>
        <w:t>Figure 11.5.1</w:t>
      </w:r>
      <w:r w:rsidRPr="00D9348B">
        <w:tab/>
        <w:t>Verification of deforestation in New Zealand</w:t>
      </w:r>
      <w:bookmarkEnd w:id="3342"/>
      <w:bookmarkEnd w:id="3343"/>
      <w:bookmarkEnd w:id="3344"/>
    </w:p>
    <w:p w14:paraId="12EB9AE9" w14:textId="77777777" w:rsidR="00627CA1" w:rsidRPr="00D9348B" w:rsidRDefault="00DA6C03" w:rsidP="00627CA1">
      <w:pPr>
        <w:pStyle w:val="BodyText"/>
        <w:spacing w:after="0"/>
      </w:pPr>
      <w:r>
        <w:pict w14:anchorId="0989302F">
          <v:group id="Group 6" o:spid="_x0000_s1100" style="width:423.35pt;height:276.4pt;mso-position-horizontal-relative:char;mso-position-vertical-relative:line" coordorigin="2197,4715" coordsize="8796,5577">
            <o:lock v:ext="edit" aspectratio="t"/>
            <v:group id="Group 7" o:spid="_x0000_s1101" style="position:absolute;left:4739;top:6910;width:6254;height:3226" coordorigin="3862,5489" coordsize="6254,3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o:lock v:ext="edit" aspectratio="t"/>
              <v:shapetype id="_x0000_t32" coordsize="21600,21600" o:spt="32" o:oned="t" path="m,l21600,21600e" filled="f">
                <v:path arrowok="t" fillok="f" o:connecttype="none"/>
                <o:lock v:ext="edit" shapetype="t"/>
              </v:shapetype>
              <v:shape id="AutoShape 8" o:spid="_x0000_s1102" type="#_x0000_t32" style="position:absolute;left:5378;top:5489;width:0;height:6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swNsUAAADbAAAADwAAAGRycy9kb3ducmV2LnhtbESPQWvCQBSE74X+h+UVvNWNHmyNrlIK&#10;FbF4qJGgt0f2mYRm34bdVaO/3hUEj8PMfMNM551pxImcry0rGPQTEMSF1TWXCrbZz/snCB+QNTaW&#10;ScGFPMxnry9TTLU98x+dNqEUEcI+RQVVCG0qpS8qMuj7tiWO3sE6gyFKV0rt8BzhppHDJBlJgzXH&#10;hQpb+q6o+N8cjYLd7/iYX/I1rfLBeLVHZ/w1WyjVe+u+JiACdeEZfrSXWsHHC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swNsUAAADbAAAADwAAAAAAAAAA&#10;AAAAAAChAgAAZHJzL2Rvd25yZXYueG1sUEsFBgAAAAAEAAQA+QAAAJMDAAAAAA==&#10;">
                <v:stroke endarrow="block"/>
                <o:lock v:ext="edit" aspectratio="t"/>
              </v:shape>
              <v:shape id="AutoShape 9" o:spid="_x0000_s1103" type="#_x0000_t32" style="position:absolute;left:5378;top:7005;width:0;height:12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VrcUAAADbAAAADwAAAGRycy9kb3ducmV2LnhtbESPQWvCQBSE7wX/w/KE3uomPdQaXUUE&#10;S7H0UC1Bb4/sMwlm34bd1UR/vVsQehxm5htmtuhNIy7kfG1ZQTpKQBAXVtdcKvjdrV/eQfiArLGx&#10;TAqu5GExHzzNMNO24x+6bEMpIoR9hgqqENpMSl9UZNCPbEscvaN1BkOUrpTaYRfhppGvSfImDdYc&#10;FypsaVVRcdqejYL91+ScX/Nv2uTpZHNAZ/xt96HU87BfTkEE6sN/+NH+1ArGY/j7En+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eVrcUAAADbAAAADwAAAAAAAAAA&#10;AAAAAAChAgAAZHJzL2Rvd25yZXYueG1sUEsFBgAAAAAEAAQA+QAAAJMDAAAAAA==&#10;">
                <v:stroke endarrow="block"/>
                <o:lock v:ext="edit" aspectratio="t"/>
              </v:shape>
              <v:shapetype id="_x0000_t109" coordsize="21600,21600" o:spt="109" path="m,l,21600r21600,l21600,xe">
                <v:stroke joinstyle="miter"/>
                <v:path gradientshapeok="t" o:connecttype="rect"/>
              </v:shapetype>
              <v:shape id="AutoShape 10" o:spid="_x0000_s1104" type="#_x0000_t109" style="position:absolute;left:7641;top:8275;width:2475;height:44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rLncIA&#10;AADbAAAADwAAAGRycy9kb3ducmV2LnhtbERPy4rCMBTdD/gP4QpuRFMfo1KNMgxUdOFiqht31+ba&#10;Fpub0sTa+fvJQpjl4bw3u85UoqXGlZYVTMYRCOLM6pJzBZdzMlqBcB5ZY2WZFPySg92297HBWNsX&#10;/1Cb+lyEEHYxKii8r2MpXVaQQTe2NXHg7rYx6ANscqkbfIVwU8lpFC2kwZJDQ4E1fReUPdKnUTBd&#10;DdM9n5LD/HbUCX5Oru1wdlRq0O++1iA8df5f/HYftIJlGBu+hB8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esudwgAAANsAAAAPAAAAAAAAAAAAAAAAAJgCAABkcnMvZG93&#10;bnJldi54bWxQSwUGAAAAAAQABAD1AAAAhwMAAAAA&#10;">
                <o:lock v:ext="edit" aspectratio="t"/>
                <v:textbox style="mso-next-textbox:#AutoShape 10">
                  <w:txbxContent>
                    <w:p w14:paraId="6F0A41F4" w14:textId="77777777" w:rsidR="00DA6C03" w:rsidRPr="00070704" w:rsidRDefault="00DA6C03" w:rsidP="00627CA1">
                      <w:pPr>
                        <w:spacing w:before="40" w:after="40"/>
                        <w:rPr>
                          <w:rFonts w:cs="Calibri"/>
                          <w:sz w:val="17"/>
                          <w:szCs w:val="17"/>
                        </w:rPr>
                      </w:pPr>
                      <w:r w:rsidRPr="00070704">
                        <w:rPr>
                          <w:rFonts w:cs="Calibri"/>
                          <w:sz w:val="17"/>
                          <w:szCs w:val="17"/>
                        </w:rPr>
                        <w:t>Mark area as deforested</w:t>
                      </w:r>
                    </w:p>
                  </w:txbxContent>
                </v:textbox>
              </v:shape>
              <v:shape id="AutoShape 12" o:spid="_x0000_s1105" type="#_x0000_t109" style="position:absolute;left:7626;top:7337;width:2490;height:44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ZuBsUA&#10;AADbAAAADwAAAGRycy9kb3ducmV2LnhtbESPQWvCQBSE7wX/w/KEXqRutGo1ukoRUvTgwbQXb8/s&#10;Mwlm34bsGtN/7xaEHoeZ+YZZbTpTiZYaV1pWMBpGIIgzq0vOFfx8J29zEM4ja6wsk4JfcrBZ915W&#10;GGt75yO1qc9FgLCLUUHhfR1L6bKCDLqhrYmDd7GNQR9kk0vd4D3ATSXHUTSTBksOCwXWtC0ou6Y3&#10;o2A8H6RffEh2k/NeJzgdndrB+16p1373uQThqfP/4Wd7pxV8LODvS/gB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m4GxQAAANsAAAAPAAAAAAAAAAAAAAAAAJgCAABkcnMv&#10;ZG93bnJldi54bWxQSwUGAAAAAAQABAD1AAAAigMAAAAA&#10;">
                <o:lock v:ext="edit" aspectratio="t"/>
                <v:textbox style="mso-next-textbox:#AutoShape 12">
                  <w:txbxContent>
                    <w:p w14:paraId="16A15457" w14:textId="77777777" w:rsidR="00DA6C03" w:rsidRPr="00070704" w:rsidRDefault="00DA6C03" w:rsidP="00627CA1">
                      <w:pPr>
                        <w:spacing w:before="40" w:after="40"/>
                        <w:rPr>
                          <w:rFonts w:cs="Calibri"/>
                          <w:sz w:val="17"/>
                          <w:szCs w:val="17"/>
                        </w:rPr>
                      </w:pPr>
                      <w:r w:rsidRPr="00070704">
                        <w:rPr>
                          <w:rFonts w:cs="Calibri"/>
                          <w:sz w:val="17"/>
                          <w:szCs w:val="17"/>
                        </w:rPr>
                        <w:t>Mark area as harvested</w:t>
                      </w:r>
                    </w:p>
                  </w:txbxContent>
                </v:textbox>
              </v:shape>
              <v:shape id="AutoShape 13" o:spid="_x0000_s1106" type="#_x0000_t109" style="position:absolute;left:3862;top:6232;width:2985;height:67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m3vMMA&#10;AADbAAAADwAAAGRycy9kb3ducmV2LnhtbERPTWuDQBC9F/IflgnkEpI1aRvEZpVQMJhDDzW59DZ1&#10;pypxZ8Xdqv333UOhx8f7Pmaz6cRIg2stK9htIxDEldUt1wpu13wTg3AeWWNnmRT8kIMsXTwcMdF2&#10;4ncaS1+LEMIuQQWN930ipasaMui2ticO3JcdDPoAh1rqAacQbjq5j6KDNNhyaGiwp9eGqnv5bRTs&#10;43V55re8ePq86Byfdx/j+vGi1Go5n15AeJr9v/jPXWgFcVgfvoQf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m3vMMAAADbAAAADwAAAAAAAAAAAAAAAACYAgAAZHJzL2Rv&#10;d25yZXYueG1sUEsFBgAAAAAEAAQA9QAAAIgDAAAAAA==&#10;">
                <o:lock v:ext="edit" aspectratio="t"/>
                <v:textbox style="mso-next-textbox:#AutoShape 13">
                  <w:txbxContent>
                    <w:p w14:paraId="53823924" w14:textId="77777777" w:rsidR="00DA6C03" w:rsidRPr="00070704" w:rsidRDefault="00DA6C03" w:rsidP="00627CA1">
                      <w:pPr>
                        <w:spacing w:before="40" w:after="40"/>
                        <w:jc w:val="center"/>
                        <w:rPr>
                          <w:rFonts w:cs="Calibri"/>
                          <w:sz w:val="17"/>
                          <w:szCs w:val="17"/>
                        </w:rPr>
                      </w:pPr>
                      <w:r w:rsidRPr="00070704">
                        <w:rPr>
                          <w:rFonts w:cs="Calibri"/>
                          <w:sz w:val="17"/>
                          <w:szCs w:val="17"/>
                        </w:rPr>
                        <w:t>Can current land use be confirmed?</w:t>
                      </w:r>
                    </w:p>
                  </w:txbxContent>
                </v:textbox>
              </v:shape>
              <v:shape id="AutoShape 14" o:spid="_x0000_s1107" type="#_x0000_t109" style="position:absolute;left:5055;top:7388;width:615;height:38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8scQA&#10;AADbAAAADwAAAGRycy9kb3ducmV2LnhtbESPQWvCQBSE7wX/w/IEb3UTwSLRVUJRaiiUmkjPj+xr&#10;Epp9G3a3Mf77bqHQ4zAz3zC7w2R6MZLznWUF6TIBQVxb3XGj4FqdHjcgfEDW2FsmBXfycNjPHnaY&#10;aXvjC41laESEsM9QQRvCkEnp65YM+qUdiKP3aZ3BEKVrpHZ4i3DTy1WSPEmDHceFFgd6bqn+Kr+N&#10;grd1XpXr4/Ty+v5RWK76uzsVpVKL+ZRvQQSawn/4r33WCjYp/H6JP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yPLHEAAAA2wAAAA8AAAAAAAAAAAAAAAAAmAIAAGRycy9k&#10;b3ducmV2LnhtbFBLBQYAAAAABAAEAPUAAACJAwAAAAA=&#10;" stroked="f">
                <o:lock v:ext="edit" aspectratio="t"/>
                <v:textbox style="mso-next-textbox:#AutoShape 14">
                  <w:txbxContent>
                    <w:p w14:paraId="64D0B397" w14:textId="77777777" w:rsidR="00DA6C03" w:rsidRPr="00070704" w:rsidRDefault="00DA6C03" w:rsidP="00627CA1">
                      <w:pPr>
                        <w:rPr>
                          <w:rFonts w:cs="Calibri"/>
                          <w:sz w:val="17"/>
                          <w:szCs w:val="17"/>
                        </w:rPr>
                      </w:pPr>
                      <w:r w:rsidRPr="00070704">
                        <w:rPr>
                          <w:rFonts w:cs="Calibri"/>
                          <w:sz w:val="17"/>
                          <w:szCs w:val="17"/>
                        </w:rPr>
                        <w:t>No</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5" o:spid="_x0000_s1108" type="#_x0000_t34" style="position:absolute;left:6555;top:6945;width:1071;height:61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dNysEAAADbAAAADwAAAGRycy9kb3ducmV2LnhtbESPT4vCMBTE74LfITzBmyZ6UKlGEZdd&#10;9iT4B7w+mmdTbF5qk2r3228EweMwM79hVpvOVeJBTSg9a5iMFQji3JuSCw3n0/doASJEZIOVZ9Lw&#10;RwE2635vhZnxTz7Q4xgLkSAcMtRgY6wzKUNuyWEY+5o4eVffOIxJNoU0DT4T3FVyqtRMOiw5LVis&#10;aWcpvx1bp8G0h3yirvNwDxdl9z+mlV91q/Vw0G2XICJ18RN+t3+NhsUUXl/SD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903KwQAAANsAAAAPAAAAAAAAAAAAAAAA&#10;AKECAABkcnMvZG93bnJldi54bWxQSwUGAAAAAAQABAD5AAAAjwMAAAAA&#10;" adj="253">
                <v:stroke endarrow="block"/>
                <o:lock v:ext="edit" aspectratio="t"/>
              </v:shape>
              <v:shape id="AutoShape 16" o:spid="_x0000_s1109" type="#_x0000_t34" style="position:absolute;left:6555;top:7558;width:1086;height:93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Pt8sQAAADbAAAADwAAAGRycy9kb3ducmV2LnhtbESPT2sCMRTE7wW/Q3iCl1KztSCy3ayI&#10;VBB6KP7B83Pzml26eVmTuG6/fVMQPA4z8xumWA62FT350DhW8DrNQBBXTjdsFBwPm5cFiBCRNbaO&#10;ScEvBViWo6cCc+1uvKN+H41IEA45Kqhj7HIpQ1WTxTB1HXHyvp23GJP0RmqPtwS3rZxl2VxabDgt&#10;1NjRuqbqZ3+1Cswz9Zfq7Fe8Oem4M1/n+Uf7qdRkPKzeQUQa4iN8b2+1gsUb/H9JP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Q+3yxAAAANsAAAAPAAAAAAAAAAAA&#10;AAAAAKECAABkcnMvZG93bnJldi54bWxQSwUGAAAAAAQABAD5AAAAkgMAAAAA&#10;">
                <v:stroke endarrow="block"/>
                <o:lock v:ext="edit" aspectratio="t"/>
              </v:shape>
              <v:shape id="AutoShape 17" o:spid="_x0000_s1110" type="#_x0000_t109" style="position:absolute;left:6229;top:7128;width:753;height:34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fKcQA&#10;AADbAAAADwAAAGRycy9kb3ducmV2LnhtbESPQWvCQBSE7wX/w/KE3urGUotE1xBEaaVQNBHPj+wz&#10;CWbfht2txn/fLRQ8DjPzDbPMBtOJKznfWlYwnSQgiCurW64VHMvtyxyED8gaO8uk4E4estXoaYmp&#10;tjc+0LUItYgQ9ikqaELoUyl91ZBBP7E9cfTO1hkMUbpaaoe3CDedfE2Sd2mw5bjQYE/rhqpL8WMU&#10;fM/ysphtho+v/WlnuezubrsrlHoeD/kCRKAhPML/7U+tYP4Gf1/i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FnynEAAAA2wAAAA8AAAAAAAAAAAAAAAAAmAIAAGRycy9k&#10;b3ducmV2LnhtbFBLBQYAAAAABAAEAPUAAACJAwAAAAA=&#10;" stroked="f">
                <o:lock v:ext="edit" aspectratio="t"/>
                <v:textbox style="mso-next-textbox:#AutoShape 17">
                  <w:txbxContent>
                    <w:p w14:paraId="063583CD" w14:textId="77777777" w:rsidR="00DA6C03" w:rsidRPr="00070704" w:rsidRDefault="00DA6C03" w:rsidP="00627CA1">
                      <w:pPr>
                        <w:rPr>
                          <w:rFonts w:cs="Calibri"/>
                          <w:sz w:val="17"/>
                          <w:szCs w:val="17"/>
                        </w:rPr>
                      </w:pPr>
                      <w:r w:rsidRPr="00070704">
                        <w:rPr>
                          <w:rFonts w:cs="Calibri"/>
                          <w:sz w:val="17"/>
                          <w:szCs w:val="17"/>
                        </w:rPr>
                        <w:t>Yes</w:t>
                      </w:r>
                    </w:p>
                  </w:txbxContent>
                </v:textbox>
              </v:shape>
            </v:group>
            <v:shape id="AutoShape 27" o:spid="_x0000_s1111" type="#_x0000_t109" style="position:absolute;left:4927;top:9747;width:2625;height:54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4UJMUA&#10;AADbAAAADwAAAGRycy9kb3ducmV2LnhtbESPQWvCQBSE7wX/w/KEXqTZaGsJqauIkKKHHoxevD2z&#10;r0kw+zZk15j+e1coeBxm5htmsRpMI3rqXG1ZwTSKQRAXVtdcKjgesrcEhPPIGhvLpOCPHKyWo5cF&#10;ptreeE997ksRIOxSVFB536ZSuqIigy6yLXHwfm1n0AfZlVJ3eAtw08hZHH9KgzWHhQpb2lRUXPKr&#10;UTBLJvk3/2Tbj/NOZzifnvrJ+06p1/Gw/gLhafDP8H97qxUkc3h8CT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hQkxQAAANsAAAAPAAAAAAAAAAAAAAAAAJgCAABkcnMv&#10;ZG93bnJldi54bWxQSwUGAAAAAAQABAD1AAAAigMAAAAA&#10;">
              <o:lock v:ext="edit" aspectratio="t"/>
              <v:textbox style="mso-next-textbox:#AutoShape 27">
                <w:txbxContent>
                  <w:p w14:paraId="0D17D8FC" w14:textId="77777777" w:rsidR="00DA6C03" w:rsidRPr="00070704" w:rsidRDefault="00DA6C03" w:rsidP="00627CA1">
                    <w:pPr>
                      <w:spacing w:before="40" w:after="40"/>
                      <w:jc w:val="center"/>
                      <w:rPr>
                        <w:rFonts w:cs="Calibri"/>
                        <w:sz w:val="17"/>
                        <w:szCs w:val="17"/>
                      </w:rPr>
                    </w:pPr>
                    <w:r w:rsidRPr="00070704">
                      <w:rPr>
                        <w:rFonts w:cs="Calibri"/>
                        <w:sz w:val="17"/>
                        <w:szCs w:val="17"/>
                      </w:rPr>
                      <w:t>Mark area as awaiting</w:t>
                    </w:r>
                  </w:p>
                </w:txbxContent>
              </v:textbox>
            </v:shape>
            <v:group id="Group 29" o:spid="_x0000_s1112" style="position:absolute;left:2197;top:4715;width:8091;height:2625" coordorigin="2197,4715" coordsize="8091,2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o:lock v:ext="edit" aspectratio="t"/>
              <v:shape id="AutoShape 30" o:spid="_x0000_s1113" type="#_x0000_t32" style="position:absolute;left:3577;top:6305;width:15;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LlisUAAADbAAAADwAAAGRycy9kb3ducmV2LnhtbESPQWvCQBSE7wX/w/KE3urGHqpGVxHB&#10;Uiw9aErQ2yP7TILZt2F31eiv7wpCj8PMfMPMFp1pxIWcry0rGA4SEMSF1TWXCn6z9dsYhA/IGhvL&#10;pOBGHhbz3ssMU22vvKXLLpQiQtinqKAKoU2l9EVFBv3AtsTRO1pnMETpSqkdXiPcNPI9ST6kwZrj&#10;QoUtrSoqTruzUbD/npzzW/5Dm3w42RzQGX/PPpV67XfLKYhAXfgPP9tfWsF4BI8v8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LlisUAAADbAAAADwAAAAAAAAAA&#10;AAAAAAChAgAAZHJzL2Rvd25yZXYueG1sUEsFBgAAAAAEAAQA+QAAAJMDAAAAAA==&#10;">
                <v:stroke endarrow="block"/>
                <o:lock v:ext="edit" aspectratio="t"/>
              </v:shape>
              <v:shape id="AutoShape 31" o:spid="_x0000_s1114" type="#_x0000_t32" style="position:absolute;left:3562;top:5194;width:15;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1x+MIAAADbAAAADwAAAGRycy9kb3ducmV2LnhtbERPy2rCQBTdF/yH4QrdNRO7KJpmEkSw&#10;FEsXPgjt7pK5TYKZO2Fm1NivdxaCy8N55+VoenEm5zvLCmZJCoK4trrjRsFhv36Zg/ABWWNvmRRc&#10;yUNZTJ5yzLS98JbOu9CIGMI+QwVtCEMmpa9bMugTOxBH7s86gyFC10jt8BLDTS9f0/RNGuw4NrQ4&#10;0Kql+rg7GQU/X4tTda2+aVPNFptfdMb/7z+Uep6Oy3cQgcbwEN/dn1rBPI6N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1x+MIAAADbAAAADwAAAAAAAAAAAAAA&#10;AAChAgAAZHJzL2Rvd25yZXYueG1sUEsFBgAAAAAEAAQA+QAAAJADAAAAAA==&#10;">
                <v:stroke endarrow="block"/>
                <o:lock v:ext="edit" aspectratio="t"/>
              </v:shape>
              <v:shape id="AutoShape 32" o:spid="_x0000_s1115" type="#_x0000_t109" style="position:absolute;left:2212;top:5539;width:2805;height:76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eIcUA&#10;AADbAAAADwAAAGRycy9kb3ducmV2LnhtbESPT2vCQBTE7wW/w/IKXqRu/FdidBURUvTgwdhLb8/s&#10;MwnNvg3ZbYzfvlsQehxm5jfMetubWnTUusqygsk4AkGcW11xoeDzkr7FIJxH1lhbJgUPcrDdDF7W&#10;mGh75zN1mS9EgLBLUEHpfZNI6fKSDLqxbYiDd7OtQR9kW0jd4j3ATS2nUfQuDVYcFkpsaF9S/p39&#10;GAXTeJR98Ck9zK9HneJi8tWNZkelhq/9bgXCU+//w8/2QSuIl/D3Jfw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4x4hxQAAANsAAAAPAAAAAAAAAAAAAAAAAJgCAABkcnMv&#10;ZG93bnJldi54bWxQSwUGAAAAAAQABAD1AAAAigMAAAAA&#10;">
                <o:lock v:ext="edit" aspectratio="t"/>
                <v:textbox style="mso-next-textbox:#AutoShape 32">
                  <w:txbxContent>
                    <w:p w14:paraId="03D04FC5" w14:textId="77777777" w:rsidR="00DA6C03" w:rsidRPr="00C7607E" w:rsidRDefault="00DA6C03" w:rsidP="00627CA1">
                      <w:pPr>
                        <w:spacing w:before="40" w:after="40"/>
                        <w:jc w:val="center"/>
                        <w:rPr>
                          <w:rFonts w:cs="Calibri"/>
                          <w:sz w:val="17"/>
                          <w:szCs w:val="17"/>
                        </w:rPr>
                      </w:pPr>
                      <w:r w:rsidRPr="00C7607E">
                        <w:rPr>
                          <w:rFonts w:cs="Calibri"/>
                          <w:sz w:val="17"/>
                          <w:szCs w:val="17"/>
                        </w:rPr>
                        <w:t>Is the area harvested or deforested?</w:t>
                      </w:r>
                    </w:p>
                  </w:txbxContent>
                </v:textbox>
              </v:shape>
              <v:shape id="AutoShape 33" o:spid="_x0000_s1116" type="#_x0000_t109" style="position:absolute;left:2227;top:6620;width:2805;height:72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hYcMA&#10;AADbAAAADwAAAGRycy9kb3ducmV2LnhtbERPPW/CMBDdK/EfrEPqEoETSisImKiqlCoMDE1Zul3j&#10;I4mIz1HshvTf1wNSx6f3vc8m04mRBtdaVpAsYxDEldUt1wrOn/liA8J5ZI2dZVLwSw6yw+xhj6m2&#10;N/6gsfS1CCHsUlTQeN+nUrqqIYNuaXviwF3sYNAHONRSD3gL4aaTqzh+kQZbDg0N9vTWUHUtf4yC&#10;1SYq3/mUF+vvo87xOfkao6ejUo/z6XUHwtPk/8V3d6EVbMP68CX8AH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AhYcMAAADbAAAADwAAAAAAAAAAAAAAAACYAgAAZHJzL2Rv&#10;d25yZXYueG1sUEsFBgAAAAAEAAQA9QAAAIgDAAAAAA==&#10;">
                <o:lock v:ext="edit" aspectratio="t"/>
                <v:textbox style="mso-next-textbox:#AutoShape 33">
                  <w:txbxContent>
                    <w:p w14:paraId="7823AF02" w14:textId="77777777" w:rsidR="00DA6C03" w:rsidRPr="00C7607E" w:rsidRDefault="00DA6C03" w:rsidP="00627CA1">
                      <w:pPr>
                        <w:spacing w:before="40" w:after="40"/>
                        <w:rPr>
                          <w:rFonts w:cs="Calibri"/>
                          <w:sz w:val="17"/>
                          <w:szCs w:val="17"/>
                        </w:rPr>
                      </w:pPr>
                      <w:r w:rsidRPr="00C7607E">
                        <w:rPr>
                          <w:rFonts w:cs="Calibri"/>
                          <w:sz w:val="17"/>
                          <w:szCs w:val="17"/>
                        </w:rPr>
                        <w:t>Look at all sources of information</w:t>
                      </w:r>
                    </w:p>
                  </w:txbxContent>
                </v:textbox>
              </v:shape>
              <v:shape id="AutoShape 34" o:spid="_x0000_s1117" type="#_x0000_t109" style="position:absolute;left:5407;top:4715;width:4881;height:2119;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yE+sUA&#10;AADbAAAADwAAAGRycy9kb3ducmV2LnhtbESPQWvCQBSE74X+h+UVvIhuolY0ukoRUvTgwdSLt2f2&#10;mYRm34bsNsZ/3y0IPQ4z8w2z3vamFh21rrKsIB5HIIhzqysuFJy/0tEChPPIGmvLpOBBDrab15c1&#10;Jtre+URd5gsRIOwSVFB63yRSurwkg25sG+Lg3Wxr0AfZFlK3eA9wU8tJFM2lwYrDQokN7UrKv7Mf&#10;o2CyGGaffEz3s+tBp/geX7rh9KDU4K3/WIHw1Pv/8LO91wqWMfx9C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IT6xQAAANsAAAAPAAAAAAAAAAAAAAAAAJgCAABkcnMv&#10;ZG93bnJldi54bWxQSwUGAAAAAAQABAD1AAAAigMAAAAA&#10;">
                <o:lock v:ext="edit" aspectratio="t"/>
                <v:textbox style="mso-next-textbox:#AutoShape 34">
                  <w:txbxContent>
                    <w:p w14:paraId="2636B731" w14:textId="77777777" w:rsidR="00DA6C03" w:rsidRPr="00C7607E" w:rsidRDefault="00DA6C03" w:rsidP="00627CA1">
                      <w:pPr>
                        <w:spacing w:before="40" w:after="60"/>
                        <w:rPr>
                          <w:rFonts w:cs="Calibri"/>
                          <w:sz w:val="17"/>
                          <w:szCs w:val="17"/>
                        </w:rPr>
                      </w:pPr>
                      <w:r w:rsidRPr="00C7607E">
                        <w:rPr>
                          <w:rFonts w:cs="Calibri"/>
                          <w:sz w:val="17"/>
                          <w:szCs w:val="17"/>
                        </w:rPr>
                        <w:t>SOURCES OF INFORMATION</w:t>
                      </w:r>
                    </w:p>
                    <w:p w14:paraId="1C1E99D6" w14:textId="77777777" w:rsidR="00DA6C03" w:rsidRPr="00C7607E" w:rsidRDefault="00DA6C03" w:rsidP="00771A8F">
                      <w:pPr>
                        <w:numPr>
                          <w:ilvl w:val="0"/>
                          <w:numId w:val="29"/>
                        </w:numPr>
                        <w:spacing w:after="20" w:line="276" w:lineRule="auto"/>
                        <w:ind w:left="284" w:hanging="284"/>
                        <w:rPr>
                          <w:rFonts w:cs="Calibri"/>
                          <w:sz w:val="17"/>
                          <w:szCs w:val="17"/>
                        </w:rPr>
                      </w:pPr>
                      <w:r w:rsidRPr="00C7607E">
                        <w:rPr>
                          <w:rFonts w:cs="Calibri"/>
                          <w:sz w:val="17"/>
                          <w:szCs w:val="17"/>
                        </w:rPr>
                        <w:t>Ministry for Primary Industries forestry schemes</w:t>
                      </w:r>
                    </w:p>
                    <w:p w14:paraId="5D0061B6" w14:textId="77777777" w:rsidR="00DA6C03" w:rsidRPr="00C7607E" w:rsidRDefault="00DA6C03" w:rsidP="00771A8F">
                      <w:pPr>
                        <w:numPr>
                          <w:ilvl w:val="0"/>
                          <w:numId w:val="29"/>
                        </w:numPr>
                        <w:spacing w:after="20" w:line="276" w:lineRule="auto"/>
                        <w:ind w:left="284" w:hanging="284"/>
                        <w:rPr>
                          <w:rFonts w:cs="Calibri"/>
                          <w:sz w:val="17"/>
                          <w:szCs w:val="17"/>
                        </w:rPr>
                      </w:pPr>
                      <w:r w:rsidRPr="00C7607E">
                        <w:rPr>
                          <w:rFonts w:cs="Calibri"/>
                          <w:sz w:val="17"/>
                          <w:szCs w:val="17"/>
                        </w:rPr>
                        <w:t>Ministry for Primary Industries compliance field teams</w:t>
                      </w:r>
                    </w:p>
                    <w:p w14:paraId="72B15B15" w14:textId="77777777" w:rsidR="00DA6C03" w:rsidRPr="00C7607E" w:rsidRDefault="00DA6C03" w:rsidP="00771A8F">
                      <w:pPr>
                        <w:numPr>
                          <w:ilvl w:val="0"/>
                          <w:numId w:val="29"/>
                        </w:numPr>
                        <w:spacing w:after="20" w:line="276" w:lineRule="auto"/>
                        <w:ind w:left="284" w:hanging="284"/>
                        <w:rPr>
                          <w:rFonts w:cs="Calibri"/>
                          <w:sz w:val="17"/>
                          <w:szCs w:val="17"/>
                        </w:rPr>
                      </w:pPr>
                      <w:r w:rsidRPr="00C7607E">
                        <w:rPr>
                          <w:rFonts w:cs="Calibri"/>
                          <w:sz w:val="17"/>
                          <w:szCs w:val="17"/>
                        </w:rPr>
                        <w:t>Forestry consultants</w:t>
                      </w:r>
                    </w:p>
                    <w:p w14:paraId="190017E9" w14:textId="77777777" w:rsidR="00DA6C03" w:rsidRPr="00C7607E" w:rsidRDefault="00DA6C03" w:rsidP="00771A8F">
                      <w:pPr>
                        <w:numPr>
                          <w:ilvl w:val="0"/>
                          <w:numId w:val="29"/>
                        </w:numPr>
                        <w:spacing w:after="40" w:line="276" w:lineRule="auto"/>
                        <w:ind w:left="284" w:hanging="284"/>
                        <w:rPr>
                          <w:rFonts w:cs="Calibri"/>
                          <w:sz w:val="17"/>
                          <w:szCs w:val="17"/>
                        </w:rPr>
                      </w:pPr>
                      <w:r w:rsidRPr="00C7607E">
                        <w:rPr>
                          <w:rFonts w:cs="Calibri"/>
                          <w:sz w:val="17"/>
                          <w:szCs w:val="17"/>
                        </w:rPr>
                        <w:t>Vertical aerial photography</w:t>
                      </w:r>
                    </w:p>
                    <w:p w14:paraId="33A2130C" w14:textId="77777777" w:rsidR="00DA6C03" w:rsidRPr="00C7607E" w:rsidRDefault="00DA6C03" w:rsidP="00771A8F">
                      <w:pPr>
                        <w:numPr>
                          <w:ilvl w:val="0"/>
                          <w:numId w:val="29"/>
                        </w:numPr>
                        <w:spacing w:after="40" w:line="276" w:lineRule="auto"/>
                        <w:ind w:left="284" w:hanging="284"/>
                        <w:rPr>
                          <w:rFonts w:cs="Calibri"/>
                          <w:sz w:val="17"/>
                          <w:szCs w:val="17"/>
                        </w:rPr>
                      </w:pPr>
                      <w:r w:rsidRPr="00C7607E">
                        <w:rPr>
                          <w:rFonts w:cs="Calibri"/>
                          <w:sz w:val="17"/>
                          <w:szCs w:val="17"/>
                        </w:rPr>
                        <w:t>Oblique aerial photography</w:t>
                      </w:r>
                    </w:p>
                    <w:p w14:paraId="6BC17F2F" w14:textId="77777777" w:rsidR="00DA6C03" w:rsidRPr="00C7607E" w:rsidRDefault="00DA6C03" w:rsidP="00771A8F">
                      <w:pPr>
                        <w:numPr>
                          <w:ilvl w:val="0"/>
                          <w:numId w:val="29"/>
                        </w:numPr>
                        <w:spacing w:after="40" w:line="276" w:lineRule="auto"/>
                        <w:ind w:left="284" w:hanging="284"/>
                        <w:rPr>
                          <w:rFonts w:cs="Calibri"/>
                          <w:sz w:val="17"/>
                          <w:szCs w:val="17"/>
                        </w:rPr>
                      </w:pPr>
                      <w:r w:rsidRPr="00C7607E">
                        <w:rPr>
                          <w:rFonts w:cs="Calibri"/>
                          <w:sz w:val="17"/>
                          <w:szCs w:val="17"/>
                        </w:rPr>
                        <w:t>Satellite imagery</w:t>
                      </w:r>
                    </w:p>
                  </w:txbxContent>
                </v:textbox>
              </v:shape>
              <v:shape id="AutoShape 35" o:spid="_x0000_s1118" type="#_x0000_t32" style="position:absolute;left:5017;top:6910;width:4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zQz8UAAADbAAAADwAAAGRycy9kb3ducmV2LnhtbESPQWvCQBSE74X+h+UVvNVNPIhJXYMU&#10;WorioVpCvT2yzySYfRt2V43++q4g9DjMzDfMvBhMJ87kfGtZQTpOQBBXVrdcK/jZfbzOQPiArLGz&#10;TAqu5KFYPD/NMdf2wt903oZaRAj7HBU0IfS5lL5qyKAf2544egfrDIYoXS21w0uEm05OkmQqDbYc&#10;Fxrs6b2h6rg9GQW/6+xUXssNrco0W+3RGX/bfSo1ehmWbyACDeE//Gh/aQXZB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zQz8UAAADbAAAADwAAAAAAAAAA&#10;AAAAAAChAgAAZHJzL2Rvd25yZXYueG1sUEsFBgAAAAAEAAQA+QAAAJMDAAAAAA==&#10;">
                <v:stroke endarrow="block"/>
                <o:lock v:ext="edit" aspectratio="t"/>
              </v:shape>
              <v:shape id="AutoShape 36" o:spid="_x0000_s1119" type="#_x0000_t109" style="position:absolute;left:2197;top:4715;width:2805;height:46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K/FsUA&#10;AADbAAAADwAAAGRycy9kb3ducmV2LnhtbESPQWvCQBSE74L/YXmCF6kbtS2augkipOjBQ9NeenvN&#10;PpPQ7NuQXWP6712h4HGYmW+YbTqYRvTUudqygsU8AkFcWF1zqeDrM3tag3AeWWNjmRT8kYM0GY+2&#10;GGt75Q/qc1+KAGEXo4LK+zaW0hUVGXRz2xIH72w7gz7IrpS6w2uAm0Yuo+hVGqw5LFTY0r6i4je/&#10;GAXL9Sx/51N2eP456gxfFt/9bHVUajoZdm8gPA3+Ef5vH7SCzQruX8IPk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0r8WxQAAANsAAAAPAAAAAAAAAAAAAAAAAJgCAABkcnMv&#10;ZG93bnJldi54bWxQSwUGAAAAAAQABAD1AAAAigMAAAAA&#10;">
                <o:lock v:ext="edit" aspectratio="t"/>
                <v:textbox style="mso-next-textbox:#AutoShape 36">
                  <w:txbxContent>
                    <w:p w14:paraId="20A8B771" w14:textId="77777777" w:rsidR="00DA6C03" w:rsidRPr="00C7607E" w:rsidRDefault="00DA6C03" w:rsidP="00627CA1">
                      <w:pPr>
                        <w:spacing w:before="40" w:after="40"/>
                        <w:jc w:val="center"/>
                        <w:rPr>
                          <w:rFonts w:cs="Calibri"/>
                          <w:sz w:val="17"/>
                          <w:szCs w:val="17"/>
                        </w:rPr>
                      </w:pPr>
                      <w:r w:rsidRPr="00C7607E">
                        <w:rPr>
                          <w:rFonts w:cs="Calibri"/>
                          <w:sz w:val="17"/>
                          <w:szCs w:val="17"/>
                        </w:rPr>
                        <w:t>Area mapped as destocked</w:t>
                      </w:r>
                    </w:p>
                    <w:p w14:paraId="03921FA1" w14:textId="77777777" w:rsidR="00DA6C03" w:rsidRPr="00C7607E" w:rsidRDefault="00DA6C03" w:rsidP="00627CA1">
                      <w:pPr>
                        <w:spacing w:before="40" w:after="40"/>
                        <w:rPr>
                          <w:rFonts w:cs="Calibri"/>
                          <w:sz w:val="17"/>
                          <w:szCs w:val="17"/>
                        </w:rPr>
                      </w:pPr>
                    </w:p>
                  </w:txbxContent>
                </v:textbox>
              </v:shape>
            </v:group>
            <w10:wrap type="none"/>
            <w10:anchorlock/>
          </v:group>
        </w:pict>
      </w:r>
    </w:p>
    <w:p w14:paraId="73A28A6C" w14:textId="77777777" w:rsidR="00627CA1" w:rsidRPr="00D9348B" w:rsidRDefault="00627CA1" w:rsidP="00627CA1">
      <w:pPr>
        <w:pStyle w:val="Heading3"/>
      </w:pPr>
      <w:bookmarkStart w:id="3345" w:name="_Toc261513300"/>
      <w:bookmarkStart w:id="3346" w:name="_Toc261513913"/>
      <w:bookmarkStart w:id="3347" w:name="_Toc280630403"/>
      <w:bookmarkStart w:id="3348" w:name="_Toc377043727"/>
      <w:bookmarkStart w:id="3349" w:name="_Toc400967265"/>
      <w:r w:rsidRPr="00D9348B">
        <w:t xml:space="preserve">11.5.3 </w:t>
      </w:r>
      <w:r w:rsidRPr="00D9348B">
        <w:tab/>
        <w:t>Distinction between afforestation and grassland with woody biomass</w:t>
      </w:r>
    </w:p>
    <w:p w14:paraId="3DA550C3" w14:textId="77777777" w:rsidR="00627CA1" w:rsidRPr="00D9348B" w:rsidRDefault="00627CA1" w:rsidP="00627CA1">
      <w:pPr>
        <w:pStyle w:val="BodyText"/>
      </w:pPr>
      <w:r w:rsidRPr="00D9348B">
        <w:t xml:space="preserve">For a shrubland area to be classed as post-1989 forest (and hence </w:t>
      </w:r>
      <w:r w:rsidRPr="00D9348B">
        <w:rPr>
          <w:i/>
        </w:rPr>
        <w:t>Afforestation</w:t>
      </w:r>
      <w:r w:rsidRPr="00D9348B">
        <w:t xml:space="preserve">), as opposed to grassland with woody biomass, it must meet a range of criteria including the forest definition criteria of having at least 30 per cent cover and being at least 1 hectare in size and 30 metres in width. It must also have the potential to reach 5 metres in height within a </w:t>
      </w:r>
      <w:r w:rsidRPr="00D9348B">
        <w:br/>
        <w:t>30</w:t>
      </w:r>
      <w:r w:rsidRPr="00D9348B">
        <w:noBreakHyphen/>
        <w:t xml:space="preserve"> to 40-year timeframe under current land management, and there must be evidence of intention for it do so.</w:t>
      </w:r>
    </w:p>
    <w:p w14:paraId="0A1828AD" w14:textId="77777777" w:rsidR="00627CA1" w:rsidRPr="00D9348B" w:rsidRDefault="00627CA1" w:rsidP="00627CA1">
      <w:pPr>
        <w:pStyle w:val="BodyText"/>
      </w:pPr>
      <w:r w:rsidRPr="00D9348B">
        <w:t>This potential to reach 5 metres, and evidence of intention, is determined using a range of ancillary data including:</w:t>
      </w:r>
    </w:p>
    <w:p w14:paraId="5BDD3489" w14:textId="77777777" w:rsidR="00627CA1" w:rsidRPr="00D9348B" w:rsidRDefault="00627CA1" w:rsidP="00771A8F">
      <w:pPr>
        <w:pStyle w:val="Bullet"/>
        <w:numPr>
          <w:ilvl w:val="0"/>
          <w:numId w:val="20"/>
        </w:numPr>
      </w:pPr>
      <w:r w:rsidRPr="00D9348B">
        <w:t>NZ ETS forest mapping – if an area has been accepted into the NZ ETS this is considered to be strong evidence of afforestation. The area will have been checked to verify establishment date and the potential of the area to grow to 5 metres in height. The fact that the land owner has entered the area in the NZ ETS is strong evidence of intention to afforest</w:t>
      </w:r>
    </w:p>
    <w:p w14:paraId="503554BE" w14:textId="77777777" w:rsidR="00627CA1" w:rsidRPr="00D9348B" w:rsidRDefault="00627CA1" w:rsidP="00771A8F">
      <w:pPr>
        <w:pStyle w:val="Bullet"/>
        <w:numPr>
          <w:ilvl w:val="0"/>
          <w:numId w:val="20"/>
        </w:numPr>
      </w:pPr>
      <w:r w:rsidRPr="00D9348B">
        <w:t>location with respect to the treeline – shrub species located below but within 225 vertical metres of the treeline are not considered to have the potential to reach 5 metres in height within the required timeframe (Newsome et al., 2011)</w:t>
      </w:r>
    </w:p>
    <w:p w14:paraId="2900E939" w14:textId="77777777" w:rsidR="00627CA1" w:rsidRPr="00D9348B" w:rsidRDefault="00627CA1" w:rsidP="00771A8F">
      <w:pPr>
        <w:pStyle w:val="Bullet"/>
        <w:numPr>
          <w:ilvl w:val="0"/>
          <w:numId w:val="20"/>
        </w:numPr>
      </w:pPr>
      <w:proofErr w:type="gramStart"/>
      <w:r w:rsidRPr="00D9348B">
        <w:t>environmental</w:t>
      </w:r>
      <w:proofErr w:type="gramEnd"/>
      <w:r w:rsidRPr="00D9348B">
        <w:t xml:space="preserve"> conditions – there are a range of environmental conditions that limit growth of shrub species in New Zealand. These include, soil type, climatic conditions, geothermal activity and salt spray (Newsome et al., 2011). When a shrubland area falls within one of these zones of limitation, it is classed as grassland with woody biomass</w:t>
      </w:r>
    </w:p>
    <w:p w14:paraId="22FFEE46" w14:textId="77777777" w:rsidR="00627CA1" w:rsidRPr="00D9348B" w:rsidRDefault="00627CA1" w:rsidP="00771A8F">
      <w:pPr>
        <w:pStyle w:val="Bullet"/>
        <w:numPr>
          <w:ilvl w:val="0"/>
          <w:numId w:val="20"/>
        </w:numPr>
      </w:pPr>
      <w:r w:rsidRPr="00D9348B">
        <w:t>geographical context – shrubland areas in a grazing context are unlikely to grow to 5 metres in height unless there is evidence of stock exclusion, such as a fence line or a change to steep terrain (gully or hill), which provides a natural barrier to stock.</w:t>
      </w:r>
    </w:p>
    <w:p w14:paraId="4F64C09B" w14:textId="77777777" w:rsidR="00627CA1" w:rsidRPr="00D9348B" w:rsidRDefault="00627CA1" w:rsidP="00627CA1">
      <w:pPr>
        <w:pStyle w:val="BodyText"/>
      </w:pPr>
      <w:r w:rsidRPr="00D9348B">
        <w:lastRenderedPageBreak/>
        <w:t>The decision tree relating this classification of shrubland areas is described in the grassland with woody biomass section of the Satellite Imagery Interpretation Guide for Land-Use Classes (Ministry for the Environment, 2012).</w:t>
      </w:r>
    </w:p>
    <w:p w14:paraId="673DD798" w14:textId="77777777" w:rsidR="00627CA1" w:rsidRPr="00D9348B" w:rsidRDefault="00627CA1" w:rsidP="00627CA1">
      <w:pPr>
        <w:pStyle w:val="Heading3"/>
      </w:pPr>
      <w:r w:rsidRPr="00D9348B">
        <w:t xml:space="preserve">11.5.4 </w:t>
      </w:r>
      <w:r w:rsidRPr="00D9348B">
        <w:tab/>
        <w:t>Unclassified deforest</w:t>
      </w:r>
      <w:bookmarkEnd w:id="3345"/>
      <w:bookmarkEnd w:id="3346"/>
      <w:bookmarkEnd w:id="3347"/>
      <w:r w:rsidRPr="00D9348B">
        <w:t>ation</w:t>
      </w:r>
      <w:bookmarkEnd w:id="3348"/>
      <w:bookmarkEnd w:id="3349"/>
    </w:p>
    <w:p w14:paraId="4A84C187" w14:textId="77777777" w:rsidR="00627CA1" w:rsidRPr="00D9348B" w:rsidRDefault="00627CA1" w:rsidP="00627CA1">
      <w:pPr>
        <w:pStyle w:val="BodyText"/>
      </w:pPr>
      <w:r w:rsidRPr="00D9348B">
        <w:t>The reporting guidelines under the Convention require that countries provide information on the size and geographical location of forest areas that have lost forest cover but that are not yet classified as deforested.</w:t>
      </w:r>
    </w:p>
    <w:p w14:paraId="620133AE" w14:textId="720FCBAD" w:rsidR="00627CA1" w:rsidRPr="00D9348B" w:rsidRDefault="00627CA1" w:rsidP="00627CA1">
      <w:pPr>
        <w:pStyle w:val="BodyText"/>
      </w:pPr>
      <w:r w:rsidRPr="00D9348B">
        <w:t xml:space="preserve">To identify these areas, destocked land is mapped into three main classes: harvested, deforested and awaiting. The awaiting areas are those where there is no clear evidence to support harvesting (replanting activity, forestry context) or </w:t>
      </w:r>
      <w:r w:rsidRPr="00D9348B">
        <w:rPr>
          <w:i/>
          <w:spacing w:val="-2"/>
        </w:rPr>
        <w:t>Deforestation</w:t>
      </w:r>
      <w:r w:rsidRPr="00D9348B">
        <w:t xml:space="preserve"> (confirmed land-use change, such as pasture establishment, fences and stock). The areas are therefore awaiting a </w:t>
      </w:r>
      <w:r w:rsidR="00EA7212">
        <w:t>land-use</w:t>
      </w:r>
      <w:r w:rsidRPr="00D9348B">
        <w:t xml:space="preserve"> determination.</w:t>
      </w:r>
    </w:p>
    <w:p w14:paraId="632879AB" w14:textId="77777777" w:rsidR="00627CA1" w:rsidRPr="00D9348B" w:rsidRDefault="00627CA1" w:rsidP="00627CA1">
      <w:pPr>
        <w:pStyle w:val="BodyText"/>
        <w:spacing w:before="100" w:after="100"/>
        <w:rPr>
          <w:spacing w:val="-2"/>
        </w:rPr>
      </w:pPr>
      <w:r w:rsidRPr="00D9348B">
        <w:rPr>
          <w:spacing w:val="-2"/>
        </w:rPr>
        <w:t>Wall-to-wall mapping of harvested, deforested and awaiting areas was completed for 2008 to 2016. Each year, areas of awaiting land that have been destocked for more than four years are reviewed to determine whether deforestation or replanting has occurred. Where a recent imagery evidence source is available, these awaiting areas are reclassified as either harvested (where there is evidence of replanting) or deforested (where there is evidence of land</w:t>
      </w:r>
      <w:r w:rsidRPr="00D9348B">
        <w:rPr>
          <w:spacing w:val="-2"/>
        </w:rPr>
        <w:noBreakHyphen/>
        <w:t xml:space="preserve">use change). </w:t>
      </w:r>
    </w:p>
    <w:p w14:paraId="22D07EB2" w14:textId="77777777" w:rsidR="00627CA1" w:rsidRPr="00D9348B" w:rsidRDefault="00627CA1" w:rsidP="00627CA1">
      <w:pPr>
        <w:pStyle w:val="BodyText"/>
        <w:spacing w:before="80" w:after="100"/>
      </w:pPr>
      <w:r w:rsidRPr="00D9348B">
        <w:t xml:space="preserve">Areas classed as awaiting land are still considered to be forested land until either evidence of land-use change is identified or four years have passed since destocking and the land is confirmed to be in a new land use (whichever comes first). This is consistent with section 2.6.2.1 of the Kyoto Protocol Supplement (IPCC, 2014a), which states that (p 82): </w:t>
      </w:r>
    </w:p>
    <w:p w14:paraId="339949E2" w14:textId="77777777" w:rsidR="00627CA1" w:rsidRPr="00D9348B" w:rsidRDefault="00627CA1" w:rsidP="00627CA1">
      <w:pPr>
        <w:pStyle w:val="Quote"/>
        <w:spacing w:before="80" w:after="80"/>
      </w:pPr>
      <w:r w:rsidRPr="00D9348B">
        <w:t>In the absence of land-use change (such as conversion to Cropland or construction of settlements) areas without tree cover are considered “forest” provided that the time since forest cover loss is shorter than the number of years within which tree establishment is expected.</w:t>
      </w:r>
    </w:p>
    <w:p w14:paraId="1AB42710" w14:textId="77777777" w:rsidR="00627CA1" w:rsidRPr="00D9348B" w:rsidRDefault="00627CA1" w:rsidP="00627CA1">
      <w:pPr>
        <w:pStyle w:val="BodyText"/>
        <w:tabs>
          <w:tab w:val="left" w:pos="3544"/>
        </w:tabs>
        <w:spacing w:before="100" w:after="100"/>
      </w:pPr>
      <w:r w:rsidRPr="00D9348B">
        <w:t>Estimates of the total areas of awaiting land for 2014 to 2016 are shown in table 11.5.1.</w:t>
      </w:r>
    </w:p>
    <w:p w14:paraId="0C4B60FD" w14:textId="7FFD9FDB" w:rsidR="00627CA1" w:rsidRPr="00D9348B" w:rsidRDefault="00627CA1" w:rsidP="00627CA1">
      <w:pPr>
        <w:pStyle w:val="Table"/>
        <w:tabs>
          <w:tab w:val="left" w:pos="3544"/>
        </w:tabs>
      </w:pPr>
      <w:bookmarkStart w:id="3350" w:name="_Toc310423447"/>
      <w:bookmarkStart w:id="3351" w:name="_Toc318362741"/>
      <w:bookmarkStart w:id="3352" w:name="_Toc342470820"/>
      <w:bookmarkStart w:id="3353" w:name="_Toc352505073"/>
      <w:bookmarkStart w:id="3354" w:name="_Toc377043709"/>
      <w:bookmarkStart w:id="3355" w:name="_Toc391023561"/>
      <w:bookmarkStart w:id="3356" w:name="_Toc414531534"/>
      <w:bookmarkStart w:id="3357" w:name="_Toc456179113"/>
      <w:bookmarkStart w:id="3358" w:name="_Toc481751638"/>
      <w:bookmarkStart w:id="3359" w:name="_Toc522010665"/>
      <w:bookmarkStart w:id="3360" w:name="_Toc5269636"/>
      <w:bookmarkStart w:id="3361" w:name="_Toc36224719"/>
      <w:r w:rsidRPr="00D9348B">
        <w:t xml:space="preserve">Table 11.5.1 </w:t>
      </w:r>
      <w:r w:rsidRPr="00D9348B">
        <w:tab/>
        <w:t>Estimate of land destocked in New Zealand between 2014 and 2016 awaiting</w:t>
      </w:r>
      <w:r w:rsidRPr="00D9348B">
        <w:br/>
        <w:t xml:space="preserve">a </w:t>
      </w:r>
      <w:r w:rsidR="00EA7212">
        <w:t>land-use</w:t>
      </w:r>
      <w:r w:rsidRPr="00D9348B">
        <w:t xml:space="preserve"> determination</w:t>
      </w:r>
      <w:bookmarkEnd w:id="3350"/>
      <w:bookmarkEnd w:id="3351"/>
      <w:bookmarkEnd w:id="3352"/>
      <w:bookmarkEnd w:id="3353"/>
      <w:bookmarkEnd w:id="3354"/>
      <w:bookmarkEnd w:id="3355"/>
      <w:bookmarkEnd w:id="3356"/>
      <w:bookmarkEnd w:id="3357"/>
      <w:bookmarkEnd w:id="3358"/>
      <w:bookmarkEnd w:id="3359"/>
      <w:bookmarkEnd w:id="3360"/>
      <w:bookmarkEnd w:id="3361"/>
    </w:p>
    <w:tbl>
      <w:tblPr>
        <w:tblW w:w="8505" w:type="dxa"/>
        <w:tblInd w:w="108" w:type="dxa"/>
        <w:tblBorders>
          <w:top w:val="single" w:sz="8" w:space="0" w:color="1F497D"/>
          <w:bottom w:val="single" w:sz="8" w:space="0" w:color="1F497D"/>
          <w:insideH w:val="single" w:sz="8" w:space="0" w:color="1F497D"/>
        </w:tblBorders>
        <w:tblLayout w:type="fixed"/>
        <w:tblLook w:val="04A0" w:firstRow="1" w:lastRow="0" w:firstColumn="1" w:lastColumn="0" w:noHBand="0" w:noVBand="1"/>
      </w:tblPr>
      <w:tblGrid>
        <w:gridCol w:w="1260"/>
        <w:gridCol w:w="1960"/>
        <w:gridCol w:w="2112"/>
        <w:gridCol w:w="1810"/>
        <w:gridCol w:w="1363"/>
      </w:tblGrid>
      <w:tr w:rsidR="00627CA1" w:rsidRPr="00D9348B" w14:paraId="0B6CB8AC" w14:textId="77777777" w:rsidTr="00DB330E">
        <w:tc>
          <w:tcPr>
            <w:tcW w:w="1185" w:type="dxa"/>
            <w:tcBorders>
              <w:top w:val="single" w:sz="4" w:space="0" w:color="365F91"/>
              <w:bottom w:val="single" w:sz="4" w:space="0" w:color="365F91"/>
            </w:tcBorders>
            <w:shd w:val="clear" w:color="auto" w:fill="365F91"/>
            <w:vAlign w:val="bottom"/>
          </w:tcPr>
          <w:p w14:paraId="42D48B06" w14:textId="77777777" w:rsidR="00627CA1" w:rsidRPr="00D9348B" w:rsidRDefault="00627CA1" w:rsidP="00DB330E">
            <w:pPr>
              <w:pStyle w:val="TableTextBold"/>
              <w:keepNext/>
              <w:tabs>
                <w:tab w:val="left" w:pos="3544"/>
              </w:tabs>
              <w:spacing w:before="50" w:after="50"/>
              <w:jc w:val="center"/>
              <w:rPr>
                <w:bCs/>
                <w:noProof w:val="0"/>
                <w:color w:val="FFFFFF"/>
                <w:szCs w:val="16"/>
              </w:rPr>
            </w:pPr>
            <w:r w:rsidRPr="00D9348B">
              <w:rPr>
                <w:bCs/>
                <w:noProof w:val="0"/>
                <w:color w:val="FFFFFF"/>
                <w:szCs w:val="16"/>
              </w:rPr>
              <w:t>Year of destocking</w:t>
            </w:r>
          </w:p>
        </w:tc>
        <w:tc>
          <w:tcPr>
            <w:tcW w:w="1843" w:type="dxa"/>
            <w:tcBorders>
              <w:top w:val="single" w:sz="4" w:space="0" w:color="365F91"/>
              <w:bottom w:val="single" w:sz="4" w:space="0" w:color="365F91"/>
            </w:tcBorders>
            <w:shd w:val="clear" w:color="auto" w:fill="365F91"/>
            <w:vAlign w:val="bottom"/>
            <w:hideMark/>
          </w:tcPr>
          <w:p w14:paraId="6EE63919" w14:textId="77777777" w:rsidR="00627CA1" w:rsidRPr="00D9348B" w:rsidRDefault="00627CA1" w:rsidP="00DB330E">
            <w:pPr>
              <w:pStyle w:val="TableTextBold"/>
              <w:keepNext/>
              <w:tabs>
                <w:tab w:val="left" w:pos="3544"/>
              </w:tabs>
              <w:spacing w:before="50" w:after="50"/>
              <w:jc w:val="center"/>
              <w:rPr>
                <w:bCs/>
                <w:noProof w:val="0"/>
                <w:color w:val="FFFFFF"/>
                <w:szCs w:val="16"/>
              </w:rPr>
            </w:pPr>
            <w:r w:rsidRPr="00D9348B">
              <w:rPr>
                <w:bCs/>
                <w:noProof w:val="0"/>
                <w:color w:val="FFFFFF"/>
                <w:szCs w:val="16"/>
              </w:rPr>
              <w:t xml:space="preserve">Pre-1990 natural forest </w:t>
            </w:r>
            <w:r w:rsidRPr="00D9348B">
              <w:rPr>
                <w:bCs/>
                <w:noProof w:val="0"/>
                <w:color w:val="FFFFFF"/>
                <w:szCs w:val="16"/>
              </w:rPr>
              <w:br/>
              <w:t>(ha)</w:t>
            </w:r>
          </w:p>
        </w:tc>
        <w:tc>
          <w:tcPr>
            <w:tcW w:w="1985" w:type="dxa"/>
            <w:tcBorders>
              <w:top w:val="single" w:sz="4" w:space="0" w:color="365F91"/>
              <w:bottom w:val="single" w:sz="4" w:space="0" w:color="365F91"/>
            </w:tcBorders>
            <w:shd w:val="clear" w:color="auto" w:fill="365F91"/>
            <w:vAlign w:val="bottom"/>
            <w:hideMark/>
          </w:tcPr>
          <w:p w14:paraId="11295EB5" w14:textId="77777777" w:rsidR="00627CA1" w:rsidRPr="00D9348B" w:rsidRDefault="00627CA1" w:rsidP="00DB330E">
            <w:pPr>
              <w:pStyle w:val="TableTextBold"/>
              <w:keepNext/>
              <w:tabs>
                <w:tab w:val="left" w:pos="3544"/>
              </w:tabs>
              <w:spacing w:before="50" w:after="50"/>
              <w:jc w:val="center"/>
              <w:rPr>
                <w:bCs/>
                <w:noProof w:val="0"/>
                <w:color w:val="FFFFFF"/>
                <w:szCs w:val="16"/>
              </w:rPr>
            </w:pPr>
            <w:r w:rsidRPr="00D9348B">
              <w:rPr>
                <w:bCs/>
                <w:noProof w:val="0"/>
                <w:color w:val="FFFFFF"/>
                <w:szCs w:val="16"/>
              </w:rPr>
              <w:t xml:space="preserve">Pre-1990 planted forest </w:t>
            </w:r>
            <w:r w:rsidRPr="00D9348B">
              <w:rPr>
                <w:bCs/>
                <w:noProof w:val="0"/>
                <w:color w:val="FFFFFF"/>
                <w:szCs w:val="16"/>
              </w:rPr>
              <w:br/>
              <w:t>(ha)</w:t>
            </w:r>
          </w:p>
        </w:tc>
        <w:tc>
          <w:tcPr>
            <w:tcW w:w="1701" w:type="dxa"/>
            <w:tcBorders>
              <w:top w:val="single" w:sz="4" w:space="0" w:color="365F91"/>
              <w:bottom w:val="single" w:sz="4" w:space="0" w:color="365F91"/>
            </w:tcBorders>
            <w:shd w:val="clear" w:color="auto" w:fill="365F91"/>
            <w:vAlign w:val="bottom"/>
          </w:tcPr>
          <w:p w14:paraId="7B230B82" w14:textId="77777777" w:rsidR="00627CA1" w:rsidRPr="00D9348B" w:rsidRDefault="00627CA1" w:rsidP="00DB330E">
            <w:pPr>
              <w:pStyle w:val="TableTextBold"/>
              <w:keepNext/>
              <w:tabs>
                <w:tab w:val="left" w:pos="3544"/>
              </w:tabs>
              <w:spacing w:before="50" w:after="50"/>
              <w:jc w:val="center"/>
              <w:rPr>
                <w:bCs/>
                <w:noProof w:val="0"/>
                <w:color w:val="FFFFFF"/>
                <w:szCs w:val="16"/>
              </w:rPr>
            </w:pPr>
            <w:r w:rsidRPr="00D9348B">
              <w:rPr>
                <w:bCs/>
                <w:noProof w:val="0"/>
                <w:color w:val="FFFFFF"/>
                <w:szCs w:val="16"/>
              </w:rPr>
              <w:t>Post-1989 forest</w:t>
            </w:r>
            <w:r w:rsidRPr="00D9348B">
              <w:rPr>
                <w:bCs/>
                <w:noProof w:val="0"/>
                <w:color w:val="FFFFFF"/>
                <w:szCs w:val="16"/>
              </w:rPr>
              <w:br/>
              <w:t>(ha)</w:t>
            </w:r>
          </w:p>
        </w:tc>
        <w:tc>
          <w:tcPr>
            <w:tcW w:w="1281" w:type="dxa"/>
            <w:tcBorders>
              <w:top w:val="single" w:sz="4" w:space="0" w:color="365F91"/>
              <w:bottom w:val="single" w:sz="4" w:space="0" w:color="365F91"/>
            </w:tcBorders>
            <w:shd w:val="clear" w:color="auto" w:fill="365F91"/>
            <w:vAlign w:val="bottom"/>
            <w:hideMark/>
          </w:tcPr>
          <w:p w14:paraId="0A7D7E8E" w14:textId="77777777" w:rsidR="00627CA1" w:rsidRPr="00D9348B" w:rsidRDefault="00627CA1" w:rsidP="00DB330E">
            <w:pPr>
              <w:pStyle w:val="TableTextBold"/>
              <w:keepNext/>
              <w:tabs>
                <w:tab w:val="left" w:pos="3544"/>
              </w:tabs>
              <w:spacing w:before="50" w:after="50"/>
              <w:jc w:val="center"/>
              <w:rPr>
                <w:bCs/>
                <w:noProof w:val="0"/>
                <w:color w:val="FFFFFF"/>
                <w:szCs w:val="16"/>
              </w:rPr>
            </w:pPr>
            <w:r w:rsidRPr="00D9348B">
              <w:rPr>
                <w:bCs/>
                <w:noProof w:val="0"/>
                <w:color w:val="FFFFFF"/>
                <w:szCs w:val="16"/>
              </w:rPr>
              <w:t>Total</w:t>
            </w:r>
            <w:r w:rsidRPr="00D9348B">
              <w:rPr>
                <w:bCs/>
                <w:noProof w:val="0"/>
                <w:color w:val="FFFFFF"/>
                <w:szCs w:val="16"/>
              </w:rPr>
              <w:br/>
              <w:t>(ha)</w:t>
            </w:r>
          </w:p>
        </w:tc>
      </w:tr>
      <w:tr w:rsidR="00627CA1" w:rsidRPr="00D9348B" w14:paraId="5A8DB174" w14:textId="77777777" w:rsidTr="00DB330E">
        <w:tc>
          <w:tcPr>
            <w:tcW w:w="1185" w:type="dxa"/>
            <w:tcBorders>
              <w:top w:val="single" w:sz="4" w:space="0" w:color="365F91"/>
              <w:left w:val="nil"/>
              <w:bottom w:val="single" w:sz="4" w:space="0" w:color="365F91"/>
            </w:tcBorders>
          </w:tcPr>
          <w:p w14:paraId="64F562F8" w14:textId="77777777" w:rsidR="00627CA1" w:rsidRPr="00D9348B" w:rsidRDefault="00627CA1" w:rsidP="00DB330E">
            <w:pPr>
              <w:pStyle w:val="TableText"/>
              <w:keepNext/>
              <w:tabs>
                <w:tab w:val="left" w:pos="3544"/>
              </w:tabs>
              <w:spacing w:before="50" w:after="50"/>
              <w:jc w:val="center"/>
              <w:rPr>
                <w:szCs w:val="16"/>
              </w:rPr>
            </w:pPr>
            <w:r w:rsidRPr="00D9348B">
              <w:rPr>
                <w:szCs w:val="16"/>
              </w:rPr>
              <w:t>2014</w:t>
            </w:r>
          </w:p>
        </w:tc>
        <w:tc>
          <w:tcPr>
            <w:tcW w:w="1843" w:type="dxa"/>
            <w:tcBorders>
              <w:top w:val="single" w:sz="4" w:space="0" w:color="365F91"/>
              <w:left w:val="nil"/>
              <w:bottom w:val="single" w:sz="4" w:space="0" w:color="365F91"/>
            </w:tcBorders>
            <w:shd w:val="clear" w:color="auto" w:fill="auto"/>
            <w:noWrap/>
            <w:vAlign w:val="center"/>
            <w:hideMark/>
          </w:tcPr>
          <w:p w14:paraId="34E29EAF" w14:textId="77777777" w:rsidR="00627CA1" w:rsidRPr="00D9348B" w:rsidRDefault="00627CA1" w:rsidP="00DB330E">
            <w:pPr>
              <w:pStyle w:val="TableText"/>
              <w:keepNext/>
              <w:tabs>
                <w:tab w:val="left" w:pos="3544"/>
              </w:tabs>
              <w:spacing w:before="50" w:after="50"/>
              <w:jc w:val="center"/>
              <w:rPr>
                <w:bCs/>
                <w:szCs w:val="16"/>
              </w:rPr>
            </w:pPr>
            <w:r w:rsidRPr="00D9348B">
              <w:rPr>
                <w:szCs w:val="16"/>
              </w:rPr>
              <w:t>258</w:t>
            </w:r>
          </w:p>
        </w:tc>
        <w:tc>
          <w:tcPr>
            <w:tcW w:w="1985" w:type="dxa"/>
            <w:tcBorders>
              <w:top w:val="single" w:sz="4" w:space="0" w:color="365F91"/>
              <w:bottom w:val="single" w:sz="4" w:space="0" w:color="365F91"/>
            </w:tcBorders>
            <w:shd w:val="clear" w:color="auto" w:fill="auto"/>
            <w:noWrap/>
            <w:vAlign w:val="center"/>
            <w:hideMark/>
          </w:tcPr>
          <w:p w14:paraId="74EE6A33" w14:textId="77777777" w:rsidR="00627CA1" w:rsidRPr="00D9348B" w:rsidRDefault="00627CA1" w:rsidP="00DB330E">
            <w:pPr>
              <w:pStyle w:val="TableText"/>
              <w:keepNext/>
              <w:tabs>
                <w:tab w:val="left" w:pos="3544"/>
              </w:tabs>
              <w:spacing w:before="50" w:after="50"/>
              <w:jc w:val="center"/>
              <w:rPr>
                <w:szCs w:val="16"/>
              </w:rPr>
            </w:pPr>
            <w:r w:rsidRPr="00D9348B">
              <w:rPr>
                <w:szCs w:val="16"/>
              </w:rPr>
              <w:t>3,008</w:t>
            </w:r>
          </w:p>
        </w:tc>
        <w:tc>
          <w:tcPr>
            <w:tcW w:w="1701" w:type="dxa"/>
            <w:tcBorders>
              <w:top w:val="single" w:sz="4" w:space="0" w:color="365F91"/>
              <w:bottom w:val="single" w:sz="4" w:space="0" w:color="365F91"/>
            </w:tcBorders>
            <w:shd w:val="clear" w:color="auto" w:fill="auto"/>
            <w:vAlign w:val="center"/>
          </w:tcPr>
          <w:p w14:paraId="796D236E" w14:textId="77777777" w:rsidR="00627CA1" w:rsidRPr="00D9348B" w:rsidRDefault="00627CA1" w:rsidP="00DB330E">
            <w:pPr>
              <w:pStyle w:val="TableText"/>
              <w:keepNext/>
              <w:tabs>
                <w:tab w:val="left" w:pos="3544"/>
              </w:tabs>
              <w:spacing w:before="50" w:after="50"/>
              <w:jc w:val="center"/>
              <w:rPr>
                <w:szCs w:val="16"/>
              </w:rPr>
            </w:pPr>
            <w:r w:rsidRPr="00D9348B">
              <w:rPr>
                <w:szCs w:val="16"/>
              </w:rPr>
              <w:t>1,691</w:t>
            </w:r>
          </w:p>
        </w:tc>
        <w:tc>
          <w:tcPr>
            <w:tcW w:w="1281" w:type="dxa"/>
            <w:tcBorders>
              <w:top w:val="single" w:sz="4" w:space="0" w:color="365F91"/>
              <w:bottom w:val="single" w:sz="4" w:space="0" w:color="365F91"/>
              <w:right w:val="nil"/>
            </w:tcBorders>
            <w:shd w:val="clear" w:color="auto" w:fill="auto"/>
            <w:noWrap/>
            <w:vAlign w:val="center"/>
            <w:hideMark/>
          </w:tcPr>
          <w:p w14:paraId="6AF52B5E" w14:textId="77777777" w:rsidR="00627CA1" w:rsidRPr="00D9348B" w:rsidRDefault="00627CA1" w:rsidP="00DB330E">
            <w:pPr>
              <w:pStyle w:val="TableText"/>
              <w:keepNext/>
              <w:tabs>
                <w:tab w:val="left" w:pos="3544"/>
              </w:tabs>
              <w:spacing w:before="50" w:after="50"/>
              <w:jc w:val="center"/>
              <w:rPr>
                <w:szCs w:val="16"/>
              </w:rPr>
            </w:pPr>
            <w:r w:rsidRPr="00D9348B">
              <w:rPr>
                <w:szCs w:val="16"/>
              </w:rPr>
              <w:t>4,957</w:t>
            </w:r>
          </w:p>
        </w:tc>
      </w:tr>
      <w:tr w:rsidR="00627CA1" w:rsidRPr="00D9348B" w14:paraId="5EF418E8" w14:textId="77777777" w:rsidTr="00DB330E">
        <w:tc>
          <w:tcPr>
            <w:tcW w:w="1185" w:type="dxa"/>
            <w:tcBorders>
              <w:top w:val="single" w:sz="4" w:space="0" w:color="365F91"/>
              <w:left w:val="nil"/>
              <w:bottom w:val="single" w:sz="4" w:space="0" w:color="365F91"/>
            </w:tcBorders>
          </w:tcPr>
          <w:p w14:paraId="08DD962C" w14:textId="77777777" w:rsidR="00627CA1" w:rsidRPr="00D9348B" w:rsidRDefault="00627CA1" w:rsidP="00DB330E">
            <w:pPr>
              <w:pStyle w:val="TableText"/>
              <w:tabs>
                <w:tab w:val="left" w:pos="3544"/>
              </w:tabs>
              <w:spacing w:before="50" w:after="50"/>
              <w:jc w:val="center"/>
              <w:rPr>
                <w:szCs w:val="16"/>
              </w:rPr>
            </w:pPr>
            <w:r w:rsidRPr="00D9348B">
              <w:rPr>
                <w:szCs w:val="16"/>
              </w:rPr>
              <w:t>2015</w:t>
            </w:r>
          </w:p>
        </w:tc>
        <w:tc>
          <w:tcPr>
            <w:tcW w:w="1843" w:type="dxa"/>
            <w:tcBorders>
              <w:top w:val="single" w:sz="4" w:space="0" w:color="365F91"/>
              <w:left w:val="nil"/>
              <w:bottom w:val="single" w:sz="4" w:space="0" w:color="365F91"/>
            </w:tcBorders>
            <w:shd w:val="clear" w:color="auto" w:fill="auto"/>
            <w:noWrap/>
            <w:vAlign w:val="center"/>
          </w:tcPr>
          <w:p w14:paraId="37D6C018" w14:textId="77777777" w:rsidR="00627CA1" w:rsidRPr="00D9348B" w:rsidDel="009F7DF9" w:rsidRDefault="00627CA1" w:rsidP="00DB330E">
            <w:pPr>
              <w:pStyle w:val="TableText"/>
              <w:tabs>
                <w:tab w:val="left" w:pos="3544"/>
              </w:tabs>
              <w:spacing w:before="50" w:after="50"/>
              <w:jc w:val="center"/>
              <w:rPr>
                <w:szCs w:val="16"/>
              </w:rPr>
            </w:pPr>
            <w:r w:rsidRPr="00D9348B">
              <w:rPr>
                <w:szCs w:val="16"/>
              </w:rPr>
              <w:t>611</w:t>
            </w:r>
          </w:p>
        </w:tc>
        <w:tc>
          <w:tcPr>
            <w:tcW w:w="1985" w:type="dxa"/>
            <w:tcBorders>
              <w:top w:val="single" w:sz="4" w:space="0" w:color="365F91"/>
              <w:bottom w:val="single" w:sz="4" w:space="0" w:color="365F91"/>
            </w:tcBorders>
            <w:shd w:val="clear" w:color="auto" w:fill="auto"/>
            <w:noWrap/>
            <w:vAlign w:val="center"/>
          </w:tcPr>
          <w:p w14:paraId="449435B4" w14:textId="77777777" w:rsidR="00627CA1" w:rsidRPr="00D9348B" w:rsidDel="009F7DF9" w:rsidRDefault="00627CA1" w:rsidP="00DB330E">
            <w:pPr>
              <w:pStyle w:val="TableText"/>
              <w:tabs>
                <w:tab w:val="left" w:pos="3544"/>
              </w:tabs>
              <w:spacing w:before="50" w:after="50"/>
              <w:jc w:val="center"/>
              <w:rPr>
                <w:szCs w:val="16"/>
              </w:rPr>
            </w:pPr>
            <w:r w:rsidRPr="00D9348B">
              <w:rPr>
                <w:szCs w:val="16"/>
              </w:rPr>
              <w:t>3,129</w:t>
            </w:r>
          </w:p>
        </w:tc>
        <w:tc>
          <w:tcPr>
            <w:tcW w:w="1701" w:type="dxa"/>
            <w:tcBorders>
              <w:top w:val="single" w:sz="4" w:space="0" w:color="365F91"/>
              <w:bottom w:val="single" w:sz="4" w:space="0" w:color="365F91"/>
            </w:tcBorders>
            <w:shd w:val="clear" w:color="auto" w:fill="auto"/>
            <w:vAlign w:val="center"/>
          </w:tcPr>
          <w:p w14:paraId="04DD2431" w14:textId="77777777" w:rsidR="00627CA1" w:rsidRPr="00D9348B" w:rsidDel="009F7DF9" w:rsidRDefault="00627CA1" w:rsidP="00DB330E">
            <w:pPr>
              <w:pStyle w:val="TableText"/>
              <w:tabs>
                <w:tab w:val="left" w:pos="3544"/>
              </w:tabs>
              <w:spacing w:before="50" w:after="50"/>
              <w:jc w:val="center"/>
              <w:rPr>
                <w:szCs w:val="16"/>
              </w:rPr>
            </w:pPr>
            <w:r w:rsidRPr="00D9348B">
              <w:rPr>
                <w:szCs w:val="16"/>
              </w:rPr>
              <w:t>1,229</w:t>
            </w:r>
          </w:p>
        </w:tc>
        <w:tc>
          <w:tcPr>
            <w:tcW w:w="1281" w:type="dxa"/>
            <w:tcBorders>
              <w:top w:val="single" w:sz="4" w:space="0" w:color="365F91"/>
              <w:bottom w:val="single" w:sz="4" w:space="0" w:color="365F91"/>
              <w:right w:val="nil"/>
            </w:tcBorders>
            <w:shd w:val="clear" w:color="auto" w:fill="auto"/>
            <w:noWrap/>
            <w:vAlign w:val="center"/>
          </w:tcPr>
          <w:p w14:paraId="32C2318F" w14:textId="77777777" w:rsidR="00627CA1" w:rsidRPr="00D9348B" w:rsidDel="009F7DF9" w:rsidRDefault="00627CA1" w:rsidP="00DB330E">
            <w:pPr>
              <w:pStyle w:val="TableText"/>
              <w:tabs>
                <w:tab w:val="left" w:pos="3544"/>
              </w:tabs>
              <w:spacing w:before="50" w:after="50"/>
              <w:jc w:val="center"/>
              <w:rPr>
                <w:szCs w:val="16"/>
              </w:rPr>
            </w:pPr>
            <w:r w:rsidRPr="00D9348B">
              <w:rPr>
                <w:szCs w:val="16"/>
              </w:rPr>
              <w:t>4,969</w:t>
            </w:r>
          </w:p>
        </w:tc>
      </w:tr>
      <w:tr w:rsidR="00627CA1" w:rsidRPr="00D9348B" w14:paraId="78F47877" w14:textId="77777777" w:rsidTr="00DB330E">
        <w:tc>
          <w:tcPr>
            <w:tcW w:w="1185" w:type="dxa"/>
            <w:tcBorders>
              <w:top w:val="single" w:sz="4" w:space="0" w:color="365F91"/>
              <w:left w:val="nil"/>
              <w:bottom w:val="single" w:sz="4" w:space="0" w:color="365F91"/>
            </w:tcBorders>
          </w:tcPr>
          <w:p w14:paraId="556C73F1" w14:textId="77777777" w:rsidR="00627CA1" w:rsidRPr="00D9348B" w:rsidRDefault="00627CA1" w:rsidP="00DB330E">
            <w:pPr>
              <w:pStyle w:val="TableText"/>
              <w:tabs>
                <w:tab w:val="left" w:pos="3544"/>
              </w:tabs>
              <w:spacing w:before="50" w:after="50"/>
              <w:jc w:val="center"/>
              <w:rPr>
                <w:szCs w:val="16"/>
              </w:rPr>
            </w:pPr>
            <w:r w:rsidRPr="00D9348B">
              <w:rPr>
                <w:szCs w:val="16"/>
              </w:rPr>
              <w:t>2016</w:t>
            </w:r>
          </w:p>
        </w:tc>
        <w:tc>
          <w:tcPr>
            <w:tcW w:w="1843" w:type="dxa"/>
            <w:tcBorders>
              <w:top w:val="single" w:sz="4" w:space="0" w:color="365F91"/>
              <w:left w:val="nil"/>
              <w:bottom w:val="single" w:sz="4" w:space="0" w:color="365F91"/>
            </w:tcBorders>
            <w:shd w:val="clear" w:color="auto" w:fill="auto"/>
            <w:noWrap/>
            <w:vAlign w:val="center"/>
          </w:tcPr>
          <w:p w14:paraId="3CA8C176" w14:textId="77777777" w:rsidR="00627CA1" w:rsidRPr="00D9348B" w:rsidDel="009F7DF9" w:rsidRDefault="00627CA1" w:rsidP="00DB330E">
            <w:pPr>
              <w:pStyle w:val="TableText"/>
              <w:tabs>
                <w:tab w:val="left" w:pos="3544"/>
              </w:tabs>
              <w:spacing w:before="50" w:after="50"/>
              <w:jc w:val="center"/>
              <w:rPr>
                <w:szCs w:val="16"/>
              </w:rPr>
            </w:pPr>
            <w:r w:rsidRPr="00D9348B">
              <w:rPr>
                <w:szCs w:val="16"/>
              </w:rPr>
              <w:t>790</w:t>
            </w:r>
          </w:p>
        </w:tc>
        <w:tc>
          <w:tcPr>
            <w:tcW w:w="1985" w:type="dxa"/>
            <w:tcBorders>
              <w:top w:val="single" w:sz="4" w:space="0" w:color="365F91"/>
              <w:bottom w:val="single" w:sz="4" w:space="0" w:color="365F91"/>
            </w:tcBorders>
            <w:shd w:val="clear" w:color="auto" w:fill="auto"/>
            <w:noWrap/>
            <w:vAlign w:val="center"/>
          </w:tcPr>
          <w:p w14:paraId="3112AEB3" w14:textId="77777777" w:rsidR="00627CA1" w:rsidRPr="00D9348B" w:rsidDel="009F7DF9" w:rsidRDefault="00627CA1" w:rsidP="00DB330E">
            <w:pPr>
              <w:pStyle w:val="TableText"/>
              <w:tabs>
                <w:tab w:val="left" w:pos="3544"/>
              </w:tabs>
              <w:spacing w:before="50" w:after="50"/>
              <w:jc w:val="center"/>
              <w:rPr>
                <w:szCs w:val="16"/>
              </w:rPr>
            </w:pPr>
            <w:r w:rsidRPr="00D9348B">
              <w:rPr>
                <w:szCs w:val="16"/>
              </w:rPr>
              <w:t>6,052</w:t>
            </w:r>
          </w:p>
        </w:tc>
        <w:tc>
          <w:tcPr>
            <w:tcW w:w="1701" w:type="dxa"/>
            <w:tcBorders>
              <w:top w:val="single" w:sz="4" w:space="0" w:color="365F91"/>
              <w:bottom w:val="single" w:sz="4" w:space="0" w:color="365F91"/>
            </w:tcBorders>
            <w:shd w:val="clear" w:color="auto" w:fill="auto"/>
            <w:vAlign w:val="center"/>
          </w:tcPr>
          <w:p w14:paraId="34C4D2E8" w14:textId="77777777" w:rsidR="00627CA1" w:rsidRPr="00D9348B" w:rsidDel="009F7DF9" w:rsidRDefault="00627CA1" w:rsidP="00DB330E">
            <w:pPr>
              <w:pStyle w:val="TableText"/>
              <w:tabs>
                <w:tab w:val="left" w:pos="3544"/>
              </w:tabs>
              <w:spacing w:before="50" w:after="50"/>
              <w:jc w:val="center"/>
              <w:rPr>
                <w:szCs w:val="16"/>
              </w:rPr>
            </w:pPr>
            <w:r w:rsidRPr="00D9348B">
              <w:rPr>
                <w:szCs w:val="16"/>
              </w:rPr>
              <w:t>2,974</w:t>
            </w:r>
          </w:p>
        </w:tc>
        <w:tc>
          <w:tcPr>
            <w:tcW w:w="1281" w:type="dxa"/>
            <w:tcBorders>
              <w:top w:val="single" w:sz="4" w:space="0" w:color="365F91"/>
              <w:bottom w:val="single" w:sz="4" w:space="0" w:color="365F91"/>
              <w:right w:val="nil"/>
            </w:tcBorders>
            <w:shd w:val="clear" w:color="auto" w:fill="auto"/>
            <w:noWrap/>
            <w:vAlign w:val="center"/>
          </w:tcPr>
          <w:p w14:paraId="7DDBEBDD" w14:textId="77777777" w:rsidR="00627CA1" w:rsidRPr="00D9348B" w:rsidDel="009F7DF9" w:rsidRDefault="00627CA1" w:rsidP="00DB330E">
            <w:pPr>
              <w:pStyle w:val="TableText"/>
              <w:tabs>
                <w:tab w:val="left" w:pos="3544"/>
              </w:tabs>
              <w:spacing w:before="50" w:after="50"/>
              <w:jc w:val="center"/>
              <w:rPr>
                <w:szCs w:val="16"/>
              </w:rPr>
            </w:pPr>
            <w:r w:rsidRPr="00D9348B">
              <w:rPr>
                <w:szCs w:val="16"/>
              </w:rPr>
              <w:t>9,816</w:t>
            </w:r>
          </w:p>
        </w:tc>
      </w:tr>
    </w:tbl>
    <w:p w14:paraId="55BE5EBF" w14:textId="77777777" w:rsidR="00627CA1" w:rsidRPr="00D9348B" w:rsidRDefault="00627CA1" w:rsidP="00627CA1">
      <w:pPr>
        <w:pStyle w:val="Noteundertable"/>
      </w:pPr>
      <w:bookmarkStart w:id="3362" w:name="_Toc261513301"/>
      <w:bookmarkStart w:id="3363" w:name="_Toc261513914"/>
      <w:bookmarkStart w:id="3364" w:name="_Toc280630404"/>
      <w:bookmarkStart w:id="3365" w:name="_Toc310423468"/>
      <w:bookmarkStart w:id="3366" w:name="_Toc342470736"/>
      <w:bookmarkStart w:id="3367" w:name="_Toc352504895"/>
      <w:bookmarkStart w:id="3368" w:name="_Toc377043728"/>
      <w:bookmarkStart w:id="3369" w:name="_Toc391023465"/>
      <w:bookmarkStart w:id="3370" w:name="_Toc400967266"/>
      <w:r w:rsidRPr="00D9348B">
        <w:rPr>
          <w:b/>
        </w:rPr>
        <w:t>Note</w:t>
      </w:r>
      <w:r w:rsidRPr="00D9348B">
        <w:t xml:space="preserve">: </w:t>
      </w:r>
      <w:r w:rsidRPr="00D9348B">
        <w:tab/>
        <w:t>Rows may not total due to rounding. Deforestation mapping will take place over the summer of 2020. Land from 2014 and 2015 awaiting determination will be classified in the next inventory submission.</w:t>
      </w:r>
    </w:p>
    <w:p w14:paraId="0345A66C" w14:textId="12B9307D" w:rsidR="00627CA1" w:rsidRPr="00D9348B" w:rsidRDefault="00627CA1" w:rsidP="00627CA1">
      <w:pPr>
        <w:pStyle w:val="BodyText"/>
      </w:pPr>
      <w:r w:rsidRPr="00D9348B">
        <w:t xml:space="preserve">No estimates of awaiting land for 2017 and 2018 have been made because </w:t>
      </w:r>
      <w:r w:rsidR="00EA7212">
        <w:t>land-use</w:t>
      </w:r>
      <w:r w:rsidRPr="00D9348B">
        <w:t xml:space="preserve"> mapping has not been undertaken for these years. The </w:t>
      </w:r>
      <w:r w:rsidRPr="00D9348B">
        <w:rPr>
          <w:i/>
          <w:spacing w:val="-2"/>
        </w:rPr>
        <w:t>Deforestation</w:t>
      </w:r>
      <w:r w:rsidRPr="00D9348B">
        <w:t xml:space="preserve"> areas reported for 2017 and 2018 are provisional and based on survey estimates as described in chapter 6, section 6.2.3.</w:t>
      </w:r>
    </w:p>
    <w:p w14:paraId="220E3954" w14:textId="77777777" w:rsidR="00627CA1" w:rsidRPr="00D9348B" w:rsidRDefault="00627CA1" w:rsidP="00627CA1">
      <w:pPr>
        <w:pStyle w:val="Heading2"/>
        <w:spacing w:before="280"/>
      </w:pPr>
      <w:bookmarkStart w:id="3371" w:name="_Toc261513302"/>
      <w:bookmarkStart w:id="3372" w:name="_Toc261513915"/>
      <w:bookmarkStart w:id="3373" w:name="_Toc280630405"/>
      <w:bookmarkStart w:id="3374" w:name="_Toc310423469"/>
      <w:bookmarkStart w:id="3375" w:name="_Toc342470737"/>
      <w:bookmarkStart w:id="3376" w:name="_Toc352504896"/>
      <w:bookmarkStart w:id="3377" w:name="_Toc377043729"/>
      <w:bookmarkStart w:id="3378" w:name="_Toc391023466"/>
      <w:bookmarkStart w:id="3379" w:name="_Toc400967269"/>
      <w:bookmarkStart w:id="3380" w:name="_Toc414531345"/>
      <w:bookmarkStart w:id="3381" w:name="_Toc456179174"/>
      <w:bookmarkStart w:id="3382" w:name="_Toc481751427"/>
      <w:bookmarkStart w:id="3383" w:name="_Toc522013966"/>
      <w:bookmarkStart w:id="3384" w:name="_Toc5269410"/>
      <w:bookmarkStart w:id="3385" w:name="_Toc36224450"/>
      <w:bookmarkEnd w:id="3362"/>
      <w:bookmarkEnd w:id="3363"/>
      <w:bookmarkEnd w:id="3364"/>
      <w:bookmarkEnd w:id="3365"/>
      <w:bookmarkEnd w:id="3366"/>
      <w:bookmarkEnd w:id="3367"/>
      <w:bookmarkEnd w:id="3368"/>
      <w:bookmarkEnd w:id="3369"/>
      <w:bookmarkEnd w:id="3370"/>
      <w:r w:rsidRPr="00D9348B">
        <w:lastRenderedPageBreak/>
        <w:t>11.6</w:t>
      </w:r>
      <w:r w:rsidRPr="00D9348B">
        <w:tab/>
        <w:t>Other information</w:t>
      </w:r>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p>
    <w:p w14:paraId="16BA18EC" w14:textId="77777777" w:rsidR="00627CA1" w:rsidRPr="00D9348B" w:rsidRDefault="00627CA1" w:rsidP="00627CA1">
      <w:pPr>
        <w:pStyle w:val="Heading3"/>
        <w:spacing w:before="160"/>
      </w:pPr>
      <w:bookmarkStart w:id="3386" w:name="_Toc261513303"/>
      <w:bookmarkStart w:id="3387" w:name="_Toc261513916"/>
      <w:bookmarkStart w:id="3388" w:name="_Toc280630406"/>
      <w:bookmarkStart w:id="3389" w:name="_Toc377043730"/>
      <w:bookmarkStart w:id="3390" w:name="_Toc400967270"/>
      <w:r w:rsidRPr="00D9348B">
        <w:t>11.6.1</w:t>
      </w:r>
      <w:r w:rsidRPr="00D9348B">
        <w:tab/>
        <w:t>Justification when omitting any carbon pool or greenhouse gas emissions from activities under Article 3.3 and Article 3.4</w:t>
      </w:r>
    </w:p>
    <w:p w14:paraId="7C5AD233" w14:textId="77777777" w:rsidR="00627CA1" w:rsidRPr="00D9348B" w:rsidRDefault="00627CA1" w:rsidP="00627CA1">
      <w:pPr>
        <w:pStyle w:val="BodyText"/>
        <w:spacing w:before="100" w:after="100"/>
      </w:pPr>
      <w:r w:rsidRPr="00D9348B">
        <w:t>New Zealand has accounted for all carbon pools for mandatory reporting activities under Article 3.3 and Article 3.4 of the Kyoto Protocol. New Zealand has not elected any of the voluntary activities under Article 3.4.</w:t>
      </w:r>
    </w:p>
    <w:p w14:paraId="433EDEC5" w14:textId="77777777" w:rsidR="00627CA1" w:rsidRPr="00D9348B" w:rsidRDefault="00627CA1" w:rsidP="00627CA1">
      <w:pPr>
        <w:pStyle w:val="BodyText"/>
        <w:spacing w:before="100" w:after="100"/>
      </w:pPr>
      <w:r w:rsidRPr="00D9348B">
        <w:rPr>
          <w:i/>
        </w:rPr>
        <w:t>Direct N</w:t>
      </w:r>
      <w:r w:rsidRPr="00D9348B">
        <w:rPr>
          <w:i/>
          <w:vertAlign w:val="subscript"/>
        </w:rPr>
        <w:t>2</w:t>
      </w:r>
      <w:r w:rsidRPr="00D9348B">
        <w:rPr>
          <w:i/>
        </w:rPr>
        <w:t>O emissions from nitrogen fertilisation</w:t>
      </w:r>
      <w:r w:rsidRPr="00D9348B">
        <w:t xml:space="preserve"> to land subject to </w:t>
      </w:r>
      <w:r w:rsidRPr="00D9348B">
        <w:rPr>
          <w:i/>
        </w:rPr>
        <w:t>Afforestation and reforestation</w:t>
      </w:r>
      <w:r w:rsidRPr="00D9348B">
        <w:t xml:space="preserve">, and </w:t>
      </w:r>
      <w:r w:rsidRPr="00D9348B">
        <w:rPr>
          <w:i/>
        </w:rPr>
        <w:t>Indirect N</w:t>
      </w:r>
      <w:r w:rsidRPr="00D9348B">
        <w:rPr>
          <w:i/>
          <w:vertAlign w:val="subscript"/>
        </w:rPr>
        <w:t>2</w:t>
      </w:r>
      <w:r w:rsidRPr="00D9348B">
        <w:rPr>
          <w:i/>
        </w:rPr>
        <w:t>O emissions from managed soils</w:t>
      </w:r>
      <w:r w:rsidRPr="00D9348B">
        <w:t xml:space="preserve"> are reported as IE (included elsewhere), because these emissions are reported in the Agriculture sector (see chapter 5).</w:t>
      </w:r>
    </w:p>
    <w:p w14:paraId="5DF5094D" w14:textId="77777777" w:rsidR="00627CA1" w:rsidRPr="00D9348B" w:rsidRDefault="00627CA1" w:rsidP="00627CA1">
      <w:pPr>
        <w:pStyle w:val="Heading3"/>
        <w:spacing w:before="240"/>
      </w:pPr>
      <w:bookmarkStart w:id="3391" w:name="_Toc261513292"/>
      <w:bookmarkStart w:id="3392" w:name="_Toc261513905"/>
      <w:bookmarkStart w:id="3393" w:name="_Toc280630395"/>
      <w:r w:rsidRPr="00D9348B">
        <w:t>11.6.2</w:t>
      </w:r>
      <w:r w:rsidRPr="00D9348B">
        <w:tab/>
        <w:t>Factoring out information</w:t>
      </w:r>
      <w:bookmarkEnd w:id="3391"/>
      <w:bookmarkEnd w:id="3392"/>
      <w:bookmarkEnd w:id="3393"/>
    </w:p>
    <w:p w14:paraId="1C72B1BB" w14:textId="77777777" w:rsidR="00627CA1" w:rsidRPr="00D9348B" w:rsidRDefault="00627CA1" w:rsidP="00627CA1">
      <w:pPr>
        <w:pStyle w:val="BodyText"/>
        <w:spacing w:after="100"/>
      </w:pPr>
      <w:r w:rsidRPr="00D9348B">
        <w:t>New Zealand does not factor out from reporting either emissions or removals from:</w:t>
      </w:r>
    </w:p>
    <w:p w14:paraId="771915D7" w14:textId="77777777" w:rsidR="00627CA1" w:rsidRPr="00D9348B" w:rsidRDefault="00627CA1" w:rsidP="00771A8F">
      <w:pPr>
        <w:pStyle w:val="Bullet"/>
        <w:numPr>
          <w:ilvl w:val="0"/>
          <w:numId w:val="20"/>
        </w:numPr>
        <w:spacing w:after="100"/>
      </w:pPr>
      <w:r w:rsidRPr="00D9348B">
        <w:t>elevated CO</w:t>
      </w:r>
      <w:r w:rsidRPr="00D9348B">
        <w:rPr>
          <w:vertAlign w:val="subscript"/>
        </w:rPr>
        <w:t>2</w:t>
      </w:r>
      <w:r w:rsidRPr="00D9348B">
        <w:t xml:space="preserve"> concentrations above pre-industrial levels</w:t>
      </w:r>
    </w:p>
    <w:p w14:paraId="1867E12E" w14:textId="77777777" w:rsidR="00627CA1" w:rsidRPr="00D9348B" w:rsidRDefault="00627CA1" w:rsidP="00771A8F">
      <w:pPr>
        <w:pStyle w:val="Bullet"/>
        <w:numPr>
          <w:ilvl w:val="0"/>
          <w:numId w:val="20"/>
        </w:numPr>
        <w:spacing w:after="100"/>
      </w:pPr>
      <w:r w:rsidRPr="00D9348B">
        <w:t>indirect nitrogen deposition</w:t>
      </w:r>
    </w:p>
    <w:p w14:paraId="64364FCA" w14:textId="77777777" w:rsidR="00627CA1" w:rsidRPr="00D9348B" w:rsidRDefault="00627CA1" w:rsidP="00771A8F">
      <w:pPr>
        <w:pStyle w:val="Bullet"/>
        <w:numPr>
          <w:ilvl w:val="0"/>
          <w:numId w:val="20"/>
        </w:numPr>
      </w:pPr>
      <w:proofErr w:type="gramStart"/>
      <w:r w:rsidRPr="00D9348B">
        <w:t>the</w:t>
      </w:r>
      <w:proofErr w:type="gramEnd"/>
      <w:r w:rsidRPr="00D9348B">
        <w:t xml:space="preserve"> dynamic effects of age structure resulting from activities prior to 1 January 1990. </w:t>
      </w:r>
    </w:p>
    <w:p w14:paraId="129FED6D" w14:textId="77777777" w:rsidR="00627CA1" w:rsidRPr="00D9348B" w:rsidRDefault="00627CA1" w:rsidP="00627CA1">
      <w:pPr>
        <w:pStyle w:val="BodyText"/>
      </w:pPr>
      <w:r w:rsidRPr="00D9348B">
        <w:t xml:space="preserve">New Zealand applies a net–net approach thereby removing the need to factor out the above-mentioned processes. Net change in greenhouse gas emissions and removals are accounted by comparing greenhouse gas emissions and removals during the commitment period with a bench-mark business as usual scenario, the FMRL. </w:t>
      </w:r>
    </w:p>
    <w:p w14:paraId="1C641770" w14:textId="77777777" w:rsidR="00627CA1" w:rsidRPr="00D9348B" w:rsidRDefault="00627CA1" w:rsidP="00627CA1">
      <w:pPr>
        <w:pStyle w:val="Heading3"/>
        <w:spacing w:before="240"/>
      </w:pPr>
      <w:r w:rsidRPr="00D9348B">
        <w:t xml:space="preserve">11.6.3 </w:t>
      </w:r>
      <w:r w:rsidRPr="00D9348B">
        <w:tab/>
        <w:t xml:space="preserve">Key category analysis for Article 3.3 and Article 3.4 </w:t>
      </w:r>
      <w:bookmarkEnd w:id="3386"/>
      <w:bookmarkEnd w:id="3387"/>
      <w:bookmarkEnd w:id="3388"/>
      <w:proofErr w:type="gramStart"/>
      <w:r w:rsidRPr="00D9348B">
        <w:t>activities</w:t>
      </w:r>
      <w:proofErr w:type="gramEnd"/>
      <w:r w:rsidRPr="00D9348B">
        <w:br/>
        <w:t>(CRF NIR-3)</w:t>
      </w:r>
      <w:bookmarkEnd w:id="3389"/>
      <w:bookmarkEnd w:id="3390"/>
    </w:p>
    <w:p w14:paraId="46E3D6F0" w14:textId="77777777" w:rsidR="00627CA1" w:rsidRPr="00D9348B" w:rsidRDefault="00627CA1" w:rsidP="00627CA1">
      <w:pPr>
        <w:pStyle w:val="BodyText"/>
        <w:rPr>
          <w:spacing w:val="-2"/>
        </w:rPr>
      </w:pPr>
      <w:r w:rsidRPr="00D9348B">
        <w:rPr>
          <w:i/>
          <w:spacing w:val="-2"/>
        </w:rPr>
        <w:t xml:space="preserve">Land converted to forest land </w:t>
      </w:r>
      <w:r w:rsidRPr="00D9348B">
        <w:rPr>
          <w:spacing w:val="-2"/>
        </w:rPr>
        <w:t>(</w:t>
      </w:r>
      <w:r w:rsidRPr="00D9348B">
        <w:rPr>
          <w:i/>
          <w:spacing w:val="-2"/>
        </w:rPr>
        <w:t>Afforestation and reforestation</w:t>
      </w:r>
      <w:r w:rsidRPr="00D9348B">
        <w:rPr>
          <w:spacing w:val="-2"/>
        </w:rPr>
        <w:t xml:space="preserve">), </w:t>
      </w:r>
      <w:r w:rsidRPr="00D9348B">
        <w:rPr>
          <w:i/>
          <w:spacing w:val="-2"/>
        </w:rPr>
        <w:t>Land converted to grassland</w:t>
      </w:r>
      <w:r w:rsidRPr="00D9348B">
        <w:rPr>
          <w:spacing w:val="-2"/>
        </w:rPr>
        <w:t> (</w:t>
      </w:r>
      <w:r w:rsidRPr="00D9348B">
        <w:rPr>
          <w:i/>
          <w:spacing w:val="-2"/>
        </w:rPr>
        <w:t>Deforestation</w:t>
      </w:r>
      <w:r w:rsidRPr="00D9348B">
        <w:rPr>
          <w:spacing w:val="-2"/>
        </w:rPr>
        <w:t xml:space="preserve">) and </w:t>
      </w:r>
      <w:r w:rsidRPr="00D9348B">
        <w:rPr>
          <w:i/>
          <w:spacing w:val="-2"/>
        </w:rPr>
        <w:t>Forest land remaining forest land</w:t>
      </w:r>
      <w:r w:rsidRPr="00D9348B">
        <w:rPr>
          <w:spacing w:val="-2"/>
        </w:rPr>
        <w:t xml:space="preserve"> (</w:t>
      </w:r>
      <w:r w:rsidRPr="00D9348B">
        <w:rPr>
          <w:i/>
          <w:spacing w:val="-2"/>
        </w:rPr>
        <w:t>Forest management</w:t>
      </w:r>
      <w:r w:rsidRPr="00D9348B">
        <w:rPr>
          <w:spacing w:val="-2"/>
        </w:rPr>
        <w:t>) are all key categories.</w:t>
      </w:r>
    </w:p>
    <w:p w14:paraId="2DB99852" w14:textId="77777777" w:rsidR="00627CA1" w:rsidRPr="00D9348B" w:rsidRDefault="00627CA1" w:rsidP="00627CA1">
      <w:pPr>
        <w:pStyle w:val="Heading2"/>
        <w:keepNext w:val="0"/>
        <w:spacing w:before="240"/>
      </w:pPr>
      <w:bookmarkStart w:id="3394" w:name="_Toc261513304"/>
      <w:bookmarkStart w:id="3395" w:name="_Toc261513917"/>
      <w:bookmarkStart w:id="3396" w:name="_Toc280630407"/>
      <w:bookmarkStart w:id="3397" w:name="_Toc310423470"/>
      <w:bookmarkStart w:id="3398" w:name="_Toc342470738"/>
      <w:bookmarkStart w:id="3399" w:name="_Toc352504897"/>
      <w:bookmarkStart w:id="3400" w:name="_Toc377043731"/>
      <w:bookmarkStart w:id="3401" w:name="_Toc391023467"/>
      <w:bookmarkStart w:id="3402" w:name="_Toc400967271"/>
      <w:bookmarkStart w:id="3403" w:name="_Toc414531346"/>
      <w:bookmarkStart w:id="3404" w:name="_Toc456179175"/>
      <w:bookmarkStart w:id="3405" w:name="_Toc481751428"/>
      <w:bookmarkStart w:id="3406" w:name="_Toc522013967"/>
      <w:bookmarkStart w:id="3407" w:name="_Toc5269411"/>
      <w:bookmarkStart w:id="3408" w:name="_Toc36224451"/>
      <w:r w:rsidRPr="00D9348B">
        <w:t>11.7</w:t>
      </w:r>
      <w:r w:rsidRPr="00D9348B">
        <w:tab/>
        <w:t>Information relating to Article 6</w:t>
      </w:r>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p>
    <w:p w14:paraId="4415412E" w14:textId="77777777" w:rsidR="00627CA1" w:rsidRPr="00D9348B" w:rsidRDefault="00627CA1" w:rsidP="00627CA1">
      <w:pPr>
        <w:pStyle w:val="BodyText"/>
      </w:pPr>
      <w:r w:rsidRPr="00D9348B">
        <w:t>New Zealand is not involved in any LULUCF activities under Article 6 of the Kyoto Protocol.</w:t>
      </w:r>
    </w:p>
    <w:p w14:paraId="7E724ECF" w14:textId="77777777" w:rsidR="00627CA1" w:rsidRPr="00D9348B" w:rsidRDefault="00627CA1" w:rsidP="00627CA1">
      <w:pPr>
        <w:pStyle w:val="Heading2"/>
        <w:spacing w:before="0" w:after="360"/>
      </w:pPr>
      <w:r w:rsidRPr="00D9348B">
        <w:br w:type="page"/>
      </w:r>
      <w:bookmarkStart w:id="3409" w:name="_Toc342470739"/>
      <w:bookmarkStart w:id="3410" w:name="_Toc352504898"/>
      <w:bookmarkStart w:id="3411" w:name="_Toc377043732"/>
      <w:bookmarkStart w:id="3412" w:name="_Toc391023468"/>
      <w:bookmarkStart w:id="3413" w:name="_Toc400967272"/>
      <w:bookmarkStart w:id="3414" w:name="_Toc414531347"/>
      <w:bookmarkStart w:id="3415" w:name="_Toc456179176"/>
      <w:bookmarkStart w:id="3416" w:name="_Toc481751429"/>
      <w:bookmarkStart w:id="3417" w:name="_Toc522013968"/>
      <w:bookmarkStart w:id="3418" w:name="_Toc5269412"/>
      <w:bookmarkStart w:id="3419" w:name="_Toc36224452"/>
      <w:r w:rsidRPr="00D9348B">
        <w:lastRenderedPageBreak/>
        <w:t>Chapter 11: References</w:t>
      </w:r>
      <w:bookmarkEnd w:id="3409"/>
      <w:bookmarkEnd w:id="3410"/>
      <w:bookmarkEnd w:id="3411"/>
      <w:bookmarkEnd w:id="3412"/>
      <w:bookmarkEnd w:id="3413"/>
      <w:bookmarkEnd w:id="3414"/>
      <w:bookmarkEnd w:id="3415"/>
      <w:bookmarkEnd w:id="3416"/>
      <w:bookmarkEnd w:id="3417"/>
      <w:bookmarkEnd w:id="3418"/>
      <w:bookmarkEnd w:id="3419"/>
    </w:p>
    <w:p w14:paraId="024657E2" w14:textId="77777777" w:rsidR="00627CA1" w:rsidRPr="00D9348B" w:rsidRDefault="00627CA1" w:rsidP="00627CA1">
      <w:pPr>
        <w:pStyle w:val="References"/>
      </w:pPr>
      <w:r w:rsidRPr="00D9348B">
        <w:t xml:space="preserve">Forest Industry Training and Education Council. 2005. </w:t>
      </w:r>
      <w:r w:rsidRPr="00D9348B">
        <w:rPr>
          <w:i/>
        </w:rPr>
        <w:t>Best Practice Guidelines for Land Preparation</w:t>
      </w:r>
      <w:r w:rsidRPr="00D9348B">
        <w:t xml:space="preserve">. Revised edn. Rotorua: Forest Industry Training and Education Council. </w:t>
      </w:r>
    </w:p>
    <w:p w14:paraId="5FA6362B" w14:textId="77777777" w:rsidR="00627CA1" w:rsidRPr="00D9348B" w:rsidRDefault="00627CA1" w:rsidP="00627CA1">
      <w:pPr>
        <w:pStyle w:val="References"/>
      </w:pPr>
      <w:r w:rsidRPr="00D9348B">
        <w:t xml:space="preserve">Goulding CJ. Unpublished. A Review of Current Deforestation Activities, Covering Age of Trees Harvested, Methods Used, and the Amount of Material Remaining. Contract report prepared for the Ministry for the Environment by New Zealand Forest Research Institute Limited (trading as Scion). </w:t>
      </w:r>
    </w:p>
    <w:p w14:paraId="0678EAE4" w14:textId="77777777" w:rsidR="00627CA1" w:rsidRPr="00D9348B" w:rsidRDefault="00627CA1" w:rsidP="00627CA1">
      <w:pPr>
        <w:pStyle w:val="References"/>
      </w:pPr>
      <w:r w:rsidRPr="00D9348B">
        <w:t xml:space="preserve">Indufor Asia Pacific. 2013. </w:t>
      </w:r>
      <w:r w:rsidRPr="00D9348B">
        <w:rPr>
          <w:i/>
        </w:rPr>
        <w:t>Deforestation Mapping 2012 – Final Report</w:t>
      </w:r>
      <w:r w:rsidRPr="00D9348B">
        <w:t>. Prepared for the Ministry for the Environment by Indufor Asia Pacific. Wellington: Ministry for the Environment.</w:t>
      </w:r>
    </w:p>
    <w:p w14:paraId="67D7DA15" w14:textId="77777777" w:rsidR="00627CA1" w:rsidRPr="00D9348B" w:rsidRDefault="00627CA1" w:rsidP="00627CA1">
      <w:pPr>
        <w:pStyle w:val="References"/>
      </w:pPr>
      <w:r w:rsidRPr="00D9348B">
        <w:t xml:space="preserve">Indufor Asia Pacific. 2016. </w:t>
      </w:r>
      <w:r w:rsidRPr="00D9348B">
        <w:rPr>
          <w:i/>
        </w:rPr>
        <w:t>Deforestation Mapping 2013 &amp; 2014 – Final Report</w:t>
      </w:r>
      <w:r w:rsidRPr="00D9348B">
        <w:t>. Prepared for the Ministry for the Environment by Indufor Asia Pacific. Wellington: Ministry for the Environment.</w:t>
      </w:r>
    </w:p>
    <w:p w14:paraId="5ED64CBE" w14:textId="77777777" w:rsidR="00627CA1" w:rsidRPr="00D9348B" w:rsidRDefault="00627CA1" w:rsidP="00627CA1">
      <w:pPr>
        <w:pStyle w:val="References"/>
      </w:pPr>
      <w:r w:rsidRPr="00D9348B">
        <w:t>Indufor Asia Pacific. 2018.</w:t>
      </w:r>
      <w:r w:rsidRPr="00D9348B">
        <w:rPr>
          <w:i/>
        </w:rPr>
        <w:t xml:space="preserve"> Deforestation Mapping 2015 &amp; 2016 – Final Report</w:t>
      </w:r>
      <w:r w:rsidRPr="00D9348B">
        <w:t>. Prepared for the Ministry for the Environment by Indufor Asia Pacific. Wellington: Ministry for the Environment.</w:t>
      </w:r>
    </w:p>
    <w:p w14:paraId="5E4AEB30" w14:textId="77777777" w:rsidR="00627CA1" w:rsidRPr="00D9348B" w:rsidRDefault="00627CA1" w:rsidP="00627CA1">
      <w:pPr>
        <w:pStyle w:val="References"/>
      </w:pPr>
      <w:r w:rsidRPr="00D9348B">
        <w:t>IPCC. 2006a. Eggleston HS, Buendia L, Miwa K, Ngara T, Tanabe K (</w:t>
      </w:r>
      <w:proofErr w:type="gramStart"/>
      <w:r w:rsidRPr="00D9348B">
        <w:t>eds</w:t>
      </w:r>
      <w:proofErr w:type="gramEnd"/>
      <w:r w:rsidRPr="00D9348B">
        <w:t xml:space="preserve">). </w:t>
      </w:r>
      <w:r w:rsidRPr="00D9348B">
        <w:rPr>
          <w:i/>
        </w:rPr>
        <w:t>2006</w:t>
      </w:r>
      <w:r w:rsidRPr="00D9348B">
        <w:t xml:space="preserve"> </w:t>
      </w:r>
      <w:r w:rsidRPr="00D9348B">
        <w:rPr>
          <w:i/>
        </w:rPr>
        <w:t>IPCC Guidelines for National Greenhouse Gas Inventories. Volume 4. Agriculture, Forestry and Other Land Use.</w:t>
      </w:r>
      <w:r w:rsidRPr="00D9348B">
        <w:t xml:space="preserve"> </w:t>
      </w:r>
      <w:r w:rsidRPr="00D9348B">
        <w:rPr>
          <w:i/>
        </w:rPr>
        <w:t>IPCC National Greenhouse Gas Inventories Programme</w:t>
      </w:r>
      <w:r w:rsidRPr="00D9348B">
        <w:t>. Japan: Institute for Global Environmental Strategies for IPCC.</w:t>
      </w:r>
    </w:p>
    <w:p w14:paraId="7B2D8C4A" w14:textId="77777777" w:rsidR="00627CA1" w:rsidRPr="00D9348B" w:rsidRDefault="00627CA1" w:rsidP="00627CA1">
      <w:pPr>
        <w:pStyle w:val="References"/>
      </w:pPr>
      <w:r w:rsidRPr="00D9348B">
        <w:t>IPCC. 2006b. Eggleston HS, Buendia L, Miwa K, Ngara T, Tanabe K (</w:t>
      </w:r>
      <w:proofErr w:type="gramStart"/>
      <w:r w:rsidRPr="00D9348B">
        <w:t>eds</w:t>
      </w:r>
      <w:proofErr w:type="gramEnd"/>
      <w:r w:rsidRPr="00D9348B">
        <w:t xml:space="preserve">). </w:t>
      </w:r>
      <w:r w:rsidRPr="00D9348B">
        <w:rPr>
          <w:i/>
        </w:rPr>
        <w:t>2006 IPCC General Guidance and Reporting, Volume 1. IPCC National Greenhouse Gas Inventories Programme</w:t>
      </w:r>
      <w:r w:rsidRPr="00D9348B">
        <w:t xml:space="preserve">. Japan: Institute for Global Environmental Strategies for IPCC. </w:t>
      </w:r>
    </w:p>
    <w:p w14:paraId="1D6BFCC1" w14:textId="77777777" w:rsidR="00627CA1" w:rsidRPr="00D9348B" w:rsidRDefault="00627CA1" w:rsidP="00627CA1">
      <w:pPr>
        <w:pStyle w:val="References"/>
      </w:pPr>
      <w:r w:rsidRPr="00D9348B">
        <w:t xml:space="preserve">IPCC. 2014a. Hiraishi T, Krug T, Tanabe K, Srivastava N, Baasansuren J, Fukuda M, Troxler TG (eds). </w:t>
      </w:r>
      <w:r w:rsidRPr="00D9348B">
        <w:rPr>
          <w:i/>
          <w:iCs/>
        </w:rPr>
        <w:t>2013 Revised Supplementary Methods and Good Practice Guidance Arising from the Kyoto Protocol</w:t>
      </w:r>
      <w:r w:rsidRPr="00D9348B">
        <w:t>. Switzerland: IPCC.</w:t>
      </w:r>
    </w:p>
    <w:p w14:paraId="52CC33FB" w14:textId="77777777" w:rsidR="00627CA1" w:rsidRPr="00D9348B" w:rsidRDefault="00627CA1" w:rsidP="00627CA1">
      <w:pPr>
        <w:pStyle w:val="References"/>
      </w:pPr>
      <w:r w:rsidRPr="00D9348B">
        <w:t xml:space="preserve">IPCC. 2014b. Hiraishi T, Krug T, Tanabe K, Srivastava N, Baasansuren J, Fukuda M, Troxler TG (eds). </w:t>
      </w:r>
      <w:r w:rsidRPr="00D9348B">
        <w:rPr>
          <w:i/>
          <w:iCs/>
        </w:rPr>
        <w:t>2013 Supplement to the 2006 IPCC Guidelines for National Greenhouse Gas Inventories: Wetlands.</w:t>
      </w:r>
      <w:r w:rsidRPr="00D9348B">
        <w:t xml:space="preserve"> Switzerland: IPCC.</w:t>
      </w:r>
    </w:p>
    <w:p w14:paraId="7EF3030A" w14:textId="77777777" w:rsidR="00627CA1" w:rsidRPr="00D9348B" w:rsidRDefault="00627CA1" w:rsidP="00627CA1">
      <w:pPr>
        <w:pStyle w:val="References"/>
        <w:spacing w:after="100"/>
      </w:pPr>
      <w:r w:rsidRPr="00D9348B">
        <w:t xml:space="preserve">Manley B. 2009. </w:t>
      </w:r>
      <w:r w:rsidRPr="00D9348B">
        <w:rPr>
          <w:i/>
          <w:iCs/>
        </w:rPr>
        <w:t>2008 Deforestation Intentions Survey</w:t>
      </w:r>
      <w:r w:rsidRPr="00D9348B">
        <w:t>. Wellington: Contract report prepared for the Ministry of Agriculture and Forestry by New Zealand School of Forestry, University of Canterbury. Wellington: Ministry of Agriculture and Forestry.</w:t>
      </w:r>
    </w:p>
    <w:p w14:paraId="4BC89530" w14:textId="77777777" w:rsidR="00627CA1" w:rsidRPr="00D9348B" w:rsidRDefault="00627CA1" w:rsidP="00627CA1">
      <w:pPr>
        <w:pStyle w:val="References"/>
      </w:pPr>
      <w:r w:rsidRPr="00D9348B">
        <w:t xml:space="preserve">Manley B. 2018. </w:t>
      </w:r>
      <w:r w:rsidRPr="00D9348B">
        <w:rPr>
          <w:i/>
        </w:rPr>
        <w:t>Deforestation Intentions Survey 2017</w:t>
      </w:r>
      <w:r w:rsidRPr="00D9348B">
        <w:t>. Wellington: Ministry for Primary Industries.</w:t>
      </w:r>
    </w:p>
    <w:p w14:paraId="69102455" w14:textId="77777777" w:rsidR="00627CA1" w:rsidRPr="00D9348B" w:rsidRDefault="00627CA1" w:rsidP="00627CA1">
      <w:pPr>
        <w:pStyle w:val="References"/>
      </w:pPr>
      <w:r w:rsidRPr="00D9348B">
        <w:t xml:space="preserve">Manley B. 2019. </w:t>
      </w:r>
      <w:r w:rsidRPr="00D9348B">
        <w:rPr>
          <w:i/>
        </w:rPr>
        <w:t>Deforestation Intentions Survey 2018</w:t>
      </w:r>
      <w:r w:rsidRPr="00D9348B">
        <w:t>. Wellington: Ministry for Primary Industries.</w:t>
      </w:r>
    </w:p>
    <w:p w14:paraId="2B4EBF2D" w14:textId="77777777" w:rsidR="00627CA1" w:rsidRPr="00D9348B" w:rsidRDefault="00627CA1" w:rsidP="00627CA1">
      <w:pPr>
        <w:pStyle w:val="References"/>
      </w:pPr>
      <w:r w:rsidRPr="00D9348B">
        <w:t xml:space="preserve">Ministry for Primary Industries. 2014. </w:t>
      </w:r>
      <w:r w:rsidRPr="00D9348B">
        <w:rPr>
          <w:i/>
          <w:iCs/>
        </w:rPr>
        <w:t>Erosion Control Funding Programme (East Coast) (ECFP)</w:t>
      </w:r>
      <w:r w:rsidRPr="00D9348B">
        <w:t xml:space="preserve">. Wellington: Ministry for Primary Industries. Retrieved from www.mpi.govt.nz/funding-and-programmes/forestry/erosion-control-funding-programme (18 January 2017). </w:t>
      </w:r>
    </w:p>
    <w:p w14:paraId="0708E337" w14:textId="77777777" w:rsidR="00627CA1" w:rsidRPr="00D9348B" w:rsidRDefault="00627CA1" w:rsidP="00627CA1">
      <w:pPr>
        <w:pStyle w:val="References"/>
      </w:pPr>
      <w:r w:rsidRPr="00D9348B">
        <w:rPr>
          <w:spacing w:val="-2"/>
        </w:rPr>
        <w:t xml:space="preserve">Ministry for Primary Industries. 2015a. </w:t>
      </w:r>
      <w:r w:rsidRPr="00D9348B">
        <w:rPr>
          <w:i/>
          <w:iCs/>
          <w:spacing w:val="-2"/>
        </w:rPr>
        <w:t>Afforestation Grant Scheme</w:t>
      </w:r>
      <w:r w:rsidRPr="00D9348B">
        <w:rPr>
          <w:spacing w:val="-2"/>
        </w:rPr>
        <w:t>. Wellington: Ministry for Primary Industries. Retrieved from www.mpi.govt.nz/funding-and-programmes/forestry/afforestation-grant-scheme</w:t>
      </w:r>
      <w:r w:rsidRPr="00D9348B">
        <w:t xml:space="preserve"> (23 January 2018).</w:t>
      </w:r>
    </w:p>
    <w:p w14:paraId="7B015B7E" w14:textId="77777777" w:rsidR="00627CA1" w:rsidRPr="00D9348B" w:rsidRDefault="00627CA1" w:rsidP="00627CA1">
      <w:pPr>
        <w:pStyle w:val="References"/>
      </w:pPr>
      <w:r w:rsidRPr="00D9348B">
        <w:t xml:space="preserve">Ministry for Primary Industries. 2015b. </w:t>
      </w:r>
      <w:r w:rsidRPr="00D9348B">
        <w:rPr>
          <w:i/>
          <w:iCs/>
        </w:rPr>
        <w:t>Guide to the</w:t>
      </w:r>
      <w:r w:rsidRPr="00D9348B">
        <w:t xml:space="preserve"> </w:t>
      </w:r>
      <w:r w:rsidRPr="00D9348B">
        <w:rPr>
          <w:i/>
          <w:iCs/>
        </w:rPr>
        <w:t>Permanent Forest Sink Initiative</w:t>
      </w:r>
      <w:r w:rsidRPr="00D9348B">
        <w:t>. Wellington: Ministry for Primary Industries. Retrieved from www.mpi.govt.nz/funding-and-programmes/forestry/ permanent-forest-sink-initiative (23 January 2018).</w:t>
      </w:r>
    </w:p>
    <w:p w14:paraId="7E1FD88C" w14:textId="77777777" w:rsidR="00627CA1" w:rsidRPr="00D9348B" w:rsidRDefault="00627CA1" w:rsidP="00627CA1">
      <w:pPr>
        <w:pStyle w:val="References"/>
      </w:pPr>
      <w:r w:rsidRPr="00D9348B">
        <w:t xml:space="preserve">Ministry for Primary Industries. 2015c. </w:t>
      </w:r>
      <w:r w:rsidRPr="00D9348B">
        <w:rPr>
          <w:i/>
          <w:iCs/>
        </w:rPr>
        <w:t>Sustainable Land Management Hill Country Erosion Programme</w:t>
      </w:r>
      <w:r w:rsidRPr="00D9348B">
        <w:t>. Wellington: Ministry for Primary Industries. Retrieved from www.mpi.govt.nz/funding-and-programmes/ environment-and-natural-resources/hill-country-erosion-programme (23 January 2018).</w:t>
      </w:r>
    </w:p>
    <w:p w14:paraId="26C362BB" w14:textId="77777777" w:rsidR="00627CA1" w:rsidRPr="00D9348B" w:rsidRDefault="00627CA1" w:rsidP="00627CA1">
      <w:pPr>
        <w:pStyle w:val="References"/>
      </w:pPr>
      <w:r w:rsidRPr="00D9348B">
        <w:t>Ministry for Primary Industries. 2015d.</w:t>
      </w:r>
      <w:r w:rsidRPr="00D9348B">
        <w:rPr>
          <w:i/>
          <w:iCs/>
        </w:rPr>
        <w:t xml:space="preserve"> </w:t>
      </w:r>
      <w:proofErr w:type="gramStart"/>
      <w:r w:rsidRPr="00D9348B">
        <w:rPr>
          <w:i/>
          <w:iCs/>
        </w:rPr>
        <w:t>An</w:t>
      </w:r>
      <w:proofErr w:type="gramEnd"/>
      <w:r w:rsidRPr="00D9348B">
        <w:rPr>
          <w:i/>
          <w:iCs/>
        </w:rPr>
        <w:t xml:space="preserve"> Overview of Forestry in the Emissions Trading Scheme</w:t>
      </w:r>
      <w:r w:rsidRPr="00D9348B">
        <w:t>. Wellington: Ministry for Primary Industries. Retrieved from www.mpi.govt.nz/growing-and-harvesting/ forestry/forestry-in-the-emissions-trading-scheme (8 January 2018).</w:t>
      </w:r>
    </w:p>
    <w:p w14:paraId="30AF5AC1" w14:textId="77777777" w:rsidR="00627CA1" w:rsidRPr="00D9348B" w:rsidRDefault="00627CA1" w:rsidP="00627CA1">
      <w:pPr>
        <w:pStyle w:val="References"/>
      </w:pPr>
      <w:r w:rsidRPr="00D9348B">
        <w:t xml:space="preserve">Ministry for Primary Industries. 2016. </w:t>
      </w:r>
      <w:r w:rsidRPr="00D9348B">
        <w:rPr>
          <w:i/>
          <w:iCs/>
        </w:rPr>
        <w:t>Material flow and end-use of harvested wood products produced from New Zealand log exports</w:t>
      </w:r>
      <w:r w:rsidRPr="00D9348B">
        <w:t>. Wellington: Ministry for Primary Industries.</w:t>
      </w:r>
    </w:p>
    <w:p w14:paraId="52396824" w14:textId="77777777" w:rsidR="00627CA1" w:rsidRPr="00D9348B" w:rsidRDefault="00627CA1" w:rsidP="00627CA1">
      <w:pPr>
        <w:pStyle w:val="References"/>
      </w:pPr>
      <w:r w:rsidRPr="00D9348B">
        <w:lastRenderedPageBreak/>
        <w:t>Ministry for Primary Industries. 2018a</w:t>
      </w:r>
      <w:r w:rsidRPr="00D9348B">
        <w:rPr>
          <w:i/>
        </w:rPr>
        <w:t>. Forestry Production and Trade Statistics Detail the Production, Trade, and Other Forestry Activities in New Zealand</w:t>
      </w:r>
      <w:r w:rsidRPr="00D9348B">
        <w:t xml:space="preserve">. Wellington: Ministry for Primary Industries. Retrieved from </w:t>
      </w:r>
      <w:hyperlink r:id="rId285" w:history="1">
        <w:r w:rsidRPr="00D9348B">
          <w:rPr>
            <w:rStyle w:val="Hyperlink"/>
            <w:color w:val="auto"/>
          </w:rPr>
          <w:t>https://mpi.govt.nz/news-and-resources/statistics-and-forecasting/forestry</w:t>
        </w:r>
      </w:hyperlink>
      <w:r w:rsidRPr="00D9348B">
        <w:t xml:space="preserve"> (25 October 2019).</w:t>
      </w:r>
    </w:p>
    <w:p w14:paraId="7F5D1899" w14:textId="77777777" w:rsidR="00627CA1" w:rsidRPr="00D9348B" w:rsidRDefault="00627CA1" w:rsidP="00627CA1">
      <w:pPr>
        <w:pStyle w:val="References"/>
      </w:pPr>
      <w:r w:rsidRPr="00D9348B">
        <w:t xml:space="preserve">Ministry for Primary Industries. 2018b. </w:t>
      </w:r>
      <w:r w:rsidRPr="00D9348B">
        <w:rPr>
          <w:i/>
          <w:iCs/>
        </w:rPr>
        <w:t>National Exotic Forest Description as at 1 April 2018</w:t>
      </w:r>
      <w:r w:rsidRPr="00D9348B">
        <w:t>. Wellington: Ministry for Primary Industries.</w:t>
      </w:r>
    </w:p>
    <w:p w14:paraId="31859886" w14:textId="77777777" w:rsidR="00627CA1" w:rsidRPr="00D9348B" w:rsidRDefault="00627CA1" w:rsidP="00627CA1">
      <w:pPr>
        <w:pStyle w:val="References"/>
      </w:pPr>
      <w:r w:rsidRPr="00D9348B">
        <w:t xml:space="preserve">Ministry for the Environment. 2006. </w:t>
      </w:r>
      <w:r w:rsidRPr="00D9348B">
        <w:rPr>
          <w:i/>
          <w:iCs/>
        </w:rPr>
        <w:t>New Zealand’s Initial Report under the Kyoto Protocol</w:t>
      </w:r>
      <w:r w:rsidRPr="00D9348B">
        <w:t>. Wellington: Ministry for the Environment. Retrieved from www.mfe.govt.nz/publications/climate-change/new-zealand%E2%80%99s-initial-report-under-kyoto-protocol (23 January 2018).</w:t>
      </w:r>
    </w:p>
    <w:p w14:paraId="6D3918BB" w14:textId="77777777" w:rsidR="00627CA1" w:rsidRPr="00D9348B" w:rsidRDefault="00627CA1" w:rsidP="00627CA1">
      <w:pPr>
        <w:pStyle w:val="References"/>
      </w:pPr>
      <w:r w:rsidRPr="00D9348B">
        <w:t xml:space="preserve">Ministry for the Environment. 2012. </w:t>
      </w:r>
      <w:r w:rsidRPr="00D9348B">
        <w:rPr>
          <w:i/>
          <w:iCs/>
        </w:rPr>
        <w:t>Land Use and Carbon Analysis System: Satellite imagery interpretation guide for land use classes</w:t>
      </w:r>
      <w:r w:rsidRPr="00D9348B">
        <w:t>. 2nd edn. Wellington: Ministry for the Environment.</w:t>
      </w:r>
    </w:p>
    <w:p w14:paraId="4276A5C9" w14:textId="77777777" w:rsidR="00627CA1" w:rsidRPr="00D9348B" w:rsidRDefault="00627CA1" w:rsidP="00627CA1">
      <w:pPr>
        <w:pStyle w:val="References"/>
      </w:pPr>
      <w:r w:rsidRPr="00D9348B">
        <w:t xml:space="preserve">Ministry for the Environment. 2015. </w:t>
      </w:r>
      <w:r w:rsidRPr="00D9348B">
        <w:rPr>
          <w:i/>
        </w:rPr>
        <w:t>New Zealand’s Greenhouse Gas Inventory 1990–2013</w:t>
      </w:r>
      <w:r w:rsidRPr="00D9348B">
        <w:t>. Wellington: Ministry for the Environment.</w:t>
      </w:r>
    </w:p>
    <w:p w14:paraId="5CC2E091" w14:textId="77777777" w:rsidR="00627CA1" w:rsidRPr="00D9348B" w:rsidRDefault="00627CA1" w:rsidP="00627CA1">
      <w:pPr>
        <w:pStyle w:val="References"/>
      </w:pPr>
      <w:r w:rsidRPr="00D9348B">
        <w:t xml:space="preserve">Ministry of Agriculture and Forestry. 2002. </w:t>
      </w:r>
      <w:r w:rsidRPr="00D9348B">
        <w:rPr>
          <w:i/>
          <w:iCs/>
        </w:rPr>
        <w:t>New Zealand Country Report.</w:t>
      </w:r>
      <w:r w:rsidRPr="00D9348B">
        <w:t xml:space="preserve"> Montreal Process Criteria and Indicators for the Conservation and Sustainable Management of Temperate and Boreal Forests 2003. Ministry of Agriculture and Forestry Technical Paper No: 2002/21, December. Wellington: Ministry of Agriculture and Forestry.</w:t>
      </w:r>
    </w:p>
    <w:p w14:paraId="3B2DFEA1" w14:textId="77777777" w:rsidR="00627CA1" w:rsidRPr="00D9348B" w:rsidRDefault="00627CA1" w:rsidP="00627CA1">
      <w:pPr>
        <w:pStyle w:val="References"/>
      </w:pPr>
      <w:r w:rsidRPr="00D9348B">
        <w:t xml:space="preserve">Newsome P, Shepherd J, Meurk C, Samle M, Sutherland A, Heke H, Willoughby J. 2011. </w:t>
      </w:r>
      <w:r w:rsidRPr="00D9348B">
        <w:rPr>
          <w:i/>
        </w:rPr>
        <w:t>2012 Kyoto Land Use Mapping Pilot – Regional image mosaics, environmentally-limiting factors, tree-line assessment and trial land use mapping</w:t>
      </w:r>
      <w:r w:rsidRPr="00D9348B">
        <w:t>. Wellington: Ministry for the Environment.</w:t>
      </w:r>
    </w:p>
    <w:p w14:paraId="6E8E4C2A" w14:textId="77777777" w:rsidR="00627CA1" w:rsidRPr="00D9348B" w:rsidRDefault="00627CA1" w:rsidP="00627CA1">
      <w:pPr>
        <w:pStyle w:val="References"/>
      </w:pPr>
      <w:r w:rsidRPr="00D9348B">
        <w:t>Paul TSH, Kimberley MO, Beets PN. Unpublished. Carbon stocks and change in New Zealand’s natural forests: estimates from the first two complete inventory cycles 2002–2007 and 2007–2014. Contract report prepared for the Ministry for the Environment by the New Zealand Forest Research Institute Ltd (trading as Scion) in 2019.</w:t>
      </w:r>
    </w:p>
    <w:p w14:paraId="640CD3C1" w14:textId="77777777" w:rsidR="00627CA1" w:rsidRPr="00D9348B" w:rsidRDefault="00627CA1" w:rsidP="00627CA1">
      <w:pPr>
        <w:pStyle w:val="References"/>
      </w:pPr>
      <w:r w:rsidRPr="00D9348B">
        <w:t xml:space="preserve">Rhodes D, Novis J. 2002. </w:t>
      </w:r>
      <w:r w:rsidRPr="00D9348B">
        <w:rPr>
          <w:i/>
        </w:rPr>
        <w:t>The Impact of Incentives on the Development of Plantation Forest Resources in New Zealand</w:t>
      </w:r>
      <w:r w:rsidRPr="00D9348B">
        <w:t>. MAF information paper no 45. MAF policy division. Wellington: Ministry of Agriculture and Forestry.</w:t>
      </w:r>
    </w:p>
    <w:p w14:paraId="5B246D8D" w14:textId="77777777" w:rsidR="00627CA1" w:rsidRPr="00D9348B" w:rsidRDefault="00627CA1" w:rsidP="00627CA1">
      <w:pPr>
        <w:pStyle w:val="References"/>
      </w:pPr>
      <w:r w:rsidRPr="00D9348B">
        <w:t xml:space="preserve">Robertson KA. 1998. Loss of organic matter and carbon during slash burns in New Zealand exotic forests. </w:t>
      </w:r>
      <w:r w:rsidRPr="00D9348B">
        <w:rPr>
          <w:i/>
        </w:rPr>
        <w:t>New Zealand Journal of Forestry Science</w:t>
      </w:r>
      <w:r w:rsidRPr="00D9348B">
        <w:t xml:space="preserve"> 28(2): 221–241.</w:t>
      </w:r>
    </w:p>
    <w:p w14:paraId="1F8B9D48" w14:textId="77777777" w:rsidR="00627CA1" w:rsidRPr="00D9348B" w:rsidRDefault="00627CA1" w:rsidP="00627CA1">
      <w:pPr>
        <w:pStyle w:val="References"/>
      </w:pPr>
      <w:r w:rsidRPr="00D9348B">
        <w:t xml:space="preserve">Te Uru Rākau. 2018. </w:t>
      </w:r>
      <w:r w:rsidRPr="00D9348B">
        <w:rPr>
          <w:i/>
        </w:rPr>
        <w:t>One Billion Trees Fund.</w:t>
      </w:r>
      <w:r w:rsidRPr="00D9348B">
        <w:t xml:space="preserve"> Wellington: Te Uru Rākau. Retrieved from www.mpi.govt.nz/funding-and-programmes/forestry/planting-one-billion-trees/one-billion-tree-fund (5 February 2019).</w:t>
      </w:r>
    </w:p>
    <w:p w14:paraId="4A1D8B94" w14:textId="77777777" w:rsidR="00627CA1" w:rsidRPr="00D9348B" w:rsidRDefault="00627CA1" w:rsidP="00627CA1">
      <w:pPr>
        <w:pStyle w:val="References"/>
      </w:pPr>
      <w:r w:rsidRPr="00D9348B">
        <w:t>UNFCCC. 2006</w:t>
      </w:r>
      <w:r w:rsidRPr="00D9348B">
        <w:rPr>
          <w:i/>
        </w:rPr>
        <w:t>. Report of the Conference of the Parties serving as the meeting of the Parties to the Kyoto Protocol on its first session, held at Montreal from 28 November to 10 December 2005: Addendum – Part 2: Action taken by the Conference of the Parties serving as the meeting of the Parties to the Kyoto Protocol at its first session</w:t>
      </w:r>
      <w:r w:rsidRPr="00D9348B">
        <w:t>. FCCC/KP/CMP/2005/8/Add.3.</w:t>
      </w:r>
    </w:p>
    <w:p w14:paraId="6A807DFC" w14:textId="77777777" w:rsidR="00627CA1" w:rsidRPr="00D9348B" w:rsidRDefault="00627CA1" w:rsidP="00627CA1">
      <w:pPr>
        <w:pStyle w:val="References"/>
      </w:pPr>
      <w:r w:rsidRPr="00D9348B">
        <w:t>UNFCCC. 2012</w:t>
      </w:r>
      <w:r w:rsidRPr="00D9348B">
        <w:rPr>
          <w:i/>
        </w:rPr>
        <w:t>. Report of the Conference of the Parties serving as the meeting of the Parties to the Kyoto Protocol on its seventh session, held in Durban from 28 November to 11 December 2011: Addendum – Part 2: Action taken by the Conference of the Parties serving as the meeting of the Parties to the Kyoto Protocol at its seventh session</w:t>
      </w:r>
      <w:r w:rsidRPr="00D9348B">
        <w:t>. FCCC/KP/CMP/2011/10/Add.1.</w:t>
      </w:r>
    </w:p>
    <w:p w14:paraId="5E6E28DA" w14:textId="77777777" w:rsidR="00627CA1" w:rsidRPr="00D9348B" w:rsidRDefault="00627CA1" w:rsidP="00627CA1">
      <w:pPr>
        <w:pStyle w:val="References"/>
      </w:pPr>
      <w:r w:rsidRPr="00D9348B">
        <w:t xml:space="preserve">Wakelin SJ. </w:t>
      </w:r>
      <w:proofErr w:type="gramStart"/>
      <w:r w:rsidRPr="00D9348B">
        <w:t>Unpublished(</w:t>
      </w:r>
      <w:proofErr w:type="gramEnd"/>
      <w:r w:rsidRPr="00D9348B">
        <w:t xml:space="preserve">a). </w:t>
      </w:r>
      <w:r w:rsidRPr="00D9348B">
        <w:rPr>
          <w:iCs/>
        </w:rPr>
        <w:t>Apportioning Wildfire Emissions to Forest Sub-categories in the National Greenhouse Gas Inventory</w:t>
      </w:r>
      <w:r w:rsidRPr="00D9348B">
        <w:t>. Contract report prepared for the Ministry for the Environment by New Zealand Forest Research Institute Limited (trading as Scion) in 2011.</w:t>
      </w:r>
    </w:p>
    <w:p w14:paraId="43221A26" w14:textId="77777777" w:rsidR="00627CA1" w:rsidRPr="00D9348B" w:rsidRDefault="00627CA1" w:rsidP="00627CA1">
      <w:pPr>
        <w:pStyle w:val="References"/>
      </w:pPr>
      <w:r w:rsidRPr="00D9348B">
        <w:t xml:space="preserve">Wakelin SJ. </w:t>
      </w:r>
      <w:proofErr w:type="gramStart"/>
      <w:r w:rsidRPr="00D9348B">
        <w:t>Unpublished(</w:t>
      </w:r>
      <w:proofErr w:type="gramEnd"/>
      <w:r w:rsidRPr="00D9348B">
        <w:t xml:space="preserve">b). </w:t>
      </w:r>
      <w:r w:rsidRPr="00D9348B">
        <w:rPr>
          <w:iCs/>
        </w:rPr>
        <w:t>Controlled Biomass Burning Emissions for the 2011 Greenhouse Gas Inventory</w:t>
      </w:r>
      <w:r w:rsidRPr="00D9348B">
        <w:t>. Contract report prepared for the Ministry for the Environment by New Zealand Forest Research Institute Limited (trading as Scion) in 2012.</w:t>
      </w:r>
    </w:p>
    <w:p w14:paraId="0E51ED50" w14:textId="77777777" w:rsidR="00627CA1" w:rsidRPr="00D9348B" w:rsidRDefault="00627CA1" w:rsidP="00627CA1">
      <w:pPr>
        <w:pStyle w:val="References"/>
      </w:pPr>
    </w:p>
    <w:p w14:paraId="684F1316" w14:textId="77777777" w:rsidR="00316F64" w:rsidRPr="00D9348B" w:rsidRDefault="00316F64" w:rsidP="003A09BB">
      <w:pPr>
        <w:sectPr w:rsidR="00316F64" w:rsidRPr="00D9348B" w:rsidSect="00DB330E">
          <w:footerReference w:type="default" r:id="rId286"/>
          <w:pgSz w:w="11907" w:h="16840" w:code="9"/>
          <w:pgMar w:top="1418" w:right="1701" w:bottom="1418" w:left="1701" w:header="567" w:footer="567" w:gutter="0"/>
          <w:cols w:space="720"/>
          <w:docGrid w:linePitch="299"/>
        </w:sectPr>
      </w:pPr>
    </w:p>
    <w:p w14:paraId="16133100" w14:textId="77777777" w:rsidR="007C7851" w:rsidRPr="00D9348B" w:rsidRDefault="007C7851" w:rsidP="007C7851">
      <w:pPr>
        <w:pStyle w:val="Heading1"/>
      </w:pPr>
      <w:bookmarkStart w:id="3420" w:name="_Toc5269413"/>
      <w:bookmarkStart w:id="3421" w:name="_Toc36224453"/>
      <w:r w:rsidRPr="00D9348B">
        <w:lastRenderedPageBreak/>
        <w:t>Chapter 12: Information on accounting of the Kyoto Protocol units</w:t>
      </w:r>
      <w:bookmarkEnd w:id="3420"/>
      <w:bookmarkEnd w:id="3421"/>
    </w:p>
    <w:p w14:paraId="794B99F3" w14:textId="77777777" w:rsidR="007C7851" w:rsidRPr="00D9348B" w:rsidRDefault="007C7851" w:rsidP="007C7851">
      <w:pPr>
        <w:pStyle w:val="Heading2"/>
      </w:pPr>
      <w:bookmarkStart w:id="3422" w:name="_Toc235955566"/>
      <w:bookmarkStart w:id="3423" w:name="_Toc481751431"/>
      <w:bookmarkStart w:id="3424" w:name="_Toc511116646"/>
      <w:bookmarkStart w:id="3425" w:name="_Toc5269414"/>
      <w:bookmarkStart w:id="3426" w:name="_Toc36224454"/>
      <w:r w:rsidRPr="00D9348B">
        <w:t>12.1</w:t>
      </w:r>
      <w:r w:rsidRPr="00D9348B">
        <w:tab/>
        <w:t>Background information</w:t>
      </w:r>
      <w:bookmarkEnd w:id="3422"/>
      <w:bookmarkEnd w:id="3423"/>
      <w:bookmarkEnd w:id="3424"/>
      <w:bookmarkEnd w:id="3425"/>
      <w:bookmarkEnd w:id="3426"/>
    </w:p>
    <w:p w14:paraId="645DEE05" w14:textId="77777777" w:rsidR="007C7851" w:rsidRPr="00D9348B" w:rsidRDefault="007C7851" w:rsidP="007C7851">
      <w:pPr>
        <w:pStyle w:val="Heading3"/>
        <w:spacing w:before="120"/>
      </w:pPr>
      <w:r w:rsidRPr="00D9348B">
        <w:t>12.1.1</w:t>
      </w:r>
      <w:r w:rsidRPr="00D9348B">
        <w:tab/>
        <w:t>Assigned amount and commitment period reserve</w:t>
      </w:r>
    </w:p>
    <w:p w14:paraId="028121A4" w14:textId="77777777" w:rsidR="007C7851" w:rsidRPr="00D9348B" w:rsidRDefault="007C7851" w:rsidP="007C7851">
      <w:pPr>
        <w:pStyle w:val="BodyText"/>
      </w:pPr>
      <w:r w:rsidRPr="00D9348B">
        <w:t>In January 2008, New Zealand’s national registry was issued with New Zealand’s assigned amount of 309,564,733 metric tonnes of carbon dioxide equivalent (CO</w:t>
      </w:r>
      <w:r w:rsidRPr="00D9348B">
        <w:rPr>
          <w:vertAlign w:val="subscript"/>
        </w:rPr>
        <w:t>2</w:t>
      </w:r>
      <w:r w:rsidRPr="00D9348B">
        <w:t xml:space="preserve">-e). </w:t>
      </w:r>
    </w:p>
    <w:p w14:paraId="2EF452AB" w14:textId="77777777" w:rsidR="007C7851" w:rsidRPr="00D9348B" w:rsidRDefault="007C7851" w:rsidP="007C7851">
      <w:pPr>
        <w:pStyle w:val="BodyText"/>
      </w:pPr>
      <w:r w:rsidRPr="00D9348B">
        <w:t>The commitment period reserve for the first commitment period (CP1) of 278,608,260 metric tonnes of CO</w:t>
      </w:r>
      <w:r w:rsidRPr="00D9348B">
        <w:rPr>
          <w:vertAlign w:val="subscript"/>
        </w:rPr>
        <w:t>2</w:t>
      </w:r>
      <w:r w:rsidRPr="00D9348B">
        <w:t>-e is 90 per cent of the assigned amount, fixed after the initial review in 2007.</w:t>
      </w:r>
    </w:p>
    <w:p w14:paraId="6E14258A" w14:textId="77777777" w:rsidR="007C7851" w:rsidRPr="00D9348B" w:rsidRDefault="007C7851" w:rsidP="007C7851">
      <w:pPr>
        <w:pStyle w:val="Heading3"/>
        <w:spacing w:before="240"/>
      </w:pPr>
      <w:r w:rsidRPr="00D9348B">
        <w:t>12.1.2</w:t>
      </w:r>
      <w:r w:rsidRPr="00D9348B">
        <w:tab/>
        <w:t>Holdings and transactions of Kyoto Protocol units</w:t>
      </w:r>
    </w:p>
    <w:p w14:paraId="15F1118D" w14:textId="77777777" w:rsidR="007C7851" w:rsidRPr="00D9348B" w:rsidRDefault="007C7851" w:rsidP="007C7851">
      <w:pPr>
        <w:pStyle w:val="BodyText"/>
        <w:rPr>
          <w:spacing w:val="-2"/>
        </w:rPr>
      </w:pPr>
      <w:r w:rsidRPr="00D9348B">
        <w:rPr>
          <w:spacing w:val="-2"/>
        </w:rPr>
        <w:t>Tables detailing holdings and transactions of commitment period units have been submitted to the United Nations Framework Convention on Climate Change (UNFCCC) Secretariat electronically, and are also provided in the MS Excel worksheets available for download with this report from the Ministry for the Environment’s website (</w:t>
      </w:r>
      <w:hyperlink r:id="rId287" w:history="1">
        <w:r w:rsidRPr="00D9348B">
          <w:rPr>
            <w:rStyle w:val="Hyperlink"/>
            <w:color w:val="auto"/>
          </w:rPr>
          <w:t>www.mfe.govt.nz/climate-change/state-of-our-atmosphere-and-climate/new-zealands-greenhouse-gas-inventory</w:t>
        </w:r>
      </w:hyperlink>
      <w:r w:rsidRPr="00D9348B">
        <w:rPr>
          <w:spacing w:val="-2"/>
        </w:rPr>
        <w:t>).</w:t>
      </w:r>
    </w:p>
    <w:p w14:paraId="5C3B0FC9" w14:textId="77777777" w:rsidR="007C7851" w:rsidRPr="00D9348B" w:rsidRDefault="007C7851" w:rsidP="007C7851">
      <w:pPr>
        <w:pStyle w:val="BodyText"/>
        <w:spacing w:after="0"/>
        <w:rPr>
          <w:b/>
          <w:bCs/>
        </w:rPr>
      </w:pPr>
      <w:r w:rsidRPr="00D9348B">
        <w:rPr>
          <w:b/>
          <w:bCs/>
        </w:rPr>
        <w:t>General note</w:t>
      </w:r>
    </w:p>
    <w:p w14:paraId="60D96962" w14:textId="77777777" w:rsidR="007C7851" w:rsidRPr="00D9348B" w:rsidRDefault="007C7851" w:rsidP="007C7851">
      <w:pPr>
        <w:pStyle w:val="BodyText"/>
        <w:spacing w:after="60"/>
      </w:pPr>
      <w:r w:rsidRPr="00D9348B">
        <w:t>Abbreviations used in this chapter include:</w:t>
      </w:r>
    </w:p>
    <w:p w14:paraId="0FACCCDD" w14:textId="77777777" w:rsidR="007C7851" w:rsidRPr="00D9348B" w:rsidRDefault="007C7851" w:rsidP="007C7851">
      <w:pPr>
        <w:pStyle w:val="BodyText"/>
        <w:spacing w:before="60" w:after="0"/>
      </w:pPr>
      <w:r w:rsidRPr="00D9348B">
        <w:t>AAUs</w:t>
      </w:r>
      <w:r w:rsidRPr="00D9348B">
        <w:tab/>
      </w:r>
      <w:r w:rsidRPr="00D9348B">
        <w:tab/>
        <w:t>Assigned amount units</w:t>
      </w:r>
    </w:p>
    <w:p w14:paraId="733C0237" w14:textId="77777777" w:rsidR="007C7851" w:rsidRPr="00D9348B" w:rsidRDefault="007C7851" w:rsidP="007C7851">
      <w:pPr>
        <w:pStyle w:val="BodyText"/>
        <w:spacing w:before="60" w:after="0"/>
      </w:pPr>
      <w:r w:rsidRPr="00D9348B">
        <w:t xml:space="preserve">CDM </w:t>
      </w:r>
      <w:r w:rsidRPr="00D9348B">
        <w:tab/>
      </w:r>
      <w:r w:rsidRPr="00D9348B">
        <w:tab/>
        <w:t>Clean Development Mechanism</w:t>
      </w:r>
    </w:p>
    <w:p w14:paraId="602DE034" w14:textId="77777777" w:rsidR="007C7851" w:rsidRPr="00D9348B" w:rsidRDefault="007C7851" w:rsidP="007C7851">
      <w:pPr>
        <w:pStyle w:val="BodyText"/>
        <w:spacing w:before="60" w:after="0"/>
      </w:pPr>
      <w:r w:rsidRPr="00D9348B">
        <w:t>CERs</w:t>
      </w:r>
      <w:r w:rsidRPr="00D9348B">
        <w:tab/>
      </w:r>
      <w:r w:rsidRPr="00D9348B">
        <w:tab/>
        <w:t>Certified emission reduction units</w:t>
      </w:r>
    </w:p>
    <w:p w14:paraId="5AFF1E34" w14:textId="77777777" w:rsidR="007C7851" w:rsidRPr="00D9348B" w:rsidRDefault="007C7851" w:rsidP="007C7851">
      <w:pPr>
        <w:pStyle w:val="BodyText"/>
        <w:spacing w:before="60" w:after="0"/>
      </w:pPr>
      <w:r w:rsidRPr="00D9348B">
        <w:t>ERUs</w:t>
      </w:r>
      <w:r w:rsidRPr="00D9348B">
        <w:tab/>
      </w:r>
      <w:r w:rsidRPr="00D9348B">
        <w:tab/>
        <w:t>Emission reduction units</w:t>
      </w:r>
    </w:p>
    <w:p w14:paraId="08369FA3" w14:textId="77777777" w:rsidR="007C7851" w:rsidRPr="00D9348B" w:rsidRDefault="007C7851" w:rsidP="007C7851">
      <w:pPr>
        <w:pStyle w:val="BodyText"/>
        <w:spacing w:before="60" w:after="0"/>
      </w:pPr>
      <w:proofErr w:type="gramStart"/>
      <w:r w:rsidRPr="00D9348B">
        <w:t>lCERs</w:t>
      </w:r>
      <w:proofErr w:type="gramEnd"/>
      <w:r w:rsidRPr="00D9348B">
        <w:tab/>
      </w:r>
      <w:r w:rsidRPr="00D9348B">
        <w:tab/>
        <w:t>Long-term certified emission reduction units</w:t>
      </w:r>
    </w:p>
    <w:p w14:paraId="3296F586" w14:textId="77777777" w:rsidR="007C7851" w:rsidRPr="00D9348B" w:rsidRDefault="007C7851" w:rsidP="007C7851">
      <w:pPr>
        <w:pStyle w:val="BodyText"/>
        <w:spacing w:before="60" w:after="0"/>
      </w:pPr>
      <w:r w:rsidRPr="00D9348B">
        <w:t>RMUs</w:t>
      </w:r>
      <w:r w:rsidRPr="00D9348B">
        <w:tab/>
      </w:r>
      <w:r w:rsidRPr="00D9348B">
        <w:tab/>
        <w:t>Removal units</w:t>
      </w:r>
    </w:p>
    <w:p w14:paraId="6455F031" w14:textId="77777777" w:rsidR="007C7851" w:rsidRPr="00D9348B" w:rsidRDefault="007C7851" w:rsidP="007C7851">
      <w:pPr>
        <w:pStyle w:val="BodyText"/>
        <w:spacing w:before="60" w:after="0"/>
      </w:pPr>
      <w:proofErr w:type="gramStart"/>
      <w:r w:rsidRPr="00D9348B">
        <w:t>tCERS</w:t>
      </w:r>
      <w:proofErr w:type="gramEnd"/>
      <w:r w:rsidRPr="00D9348B">
        <w:tab/>
      </w:r>
      <w:r w:rsidRPr="00D9348B">
        <w:tab/>
        <w:t>Temporary certified emission reduction units</w:t>
      </w:r>
    </w:p>
    <w:p w14:paraId="4FEC71D3" w14:textId="6ABAEDBC" w:rsidR="007C7851" w:rsidRPr="00D9348B" w:rsidRDefault="007C7851" w:rsidP="007C7851">
      <w:pPr>
        <w:pStyle w:val="Heading2"/>
      </w:pPr>
      <w:bookmarkStart w:id="3427" w:name="_Toc235955567"/>
      <w:bookmarkStart w:id="3428" w:name="_Toc481751432"/>
      <w:bookmarkStart w:id="3429" w:name="_Toc5269415"/>
      <w:bookmarkStart w:id="3430" w:name="_Toc36224455"/>
      <w:r w:rsidRPr="00D9348B">
        <w:t>12.2</w:t>
      </w:r>
      <w:r w:rsidRPr="00D9348B">
        <w:tab/>
        <w:t>Summary of the standard electronic format tables</w:t>
      </w:r>
      <w:r w:rsidR="00B76B84" w:rsidRPr="00D9348B">
        <w:t xml:space="preserve"> </w:t>
      </w:r>
      <w:r w:rsidRPr="00D9348B">
        <w:t>for</w:t>
      </w:r>
      <w:r w:rsidR="00B76B84" w:rsidRPr="00D9348B">
        <w:t> </w:t>
      </w:r>
      <w:r w:rsidRPr="00D9348B">
        <w:t>reporting Kyoto Protocol units</w:t>
      </w:r>
      <w:bookmarkEnd w:id="3427"/>
      <w:bookmarkEnd w:id="3428"/>
      <w:bookmarkEnd w:id="3429"/>
      <w:bookmarkEnd w:id="3430"/>
    </w:p>
    <w:p w14:paraId="3CD78651" w14:textId="77777777" w:rsidR="007C7851" w:rsidRPr="00D9348B" w:rsidRDefault="007C7851" w:rsidP="007C7851">
      <w:pPr>
        <w:pStyle w:val="BodyText"/>
      </w:pPr>
      <w:r w:rsidRPr="00D9348B">
        <w:t xml:space="preserve">At the beginning of the calendar year </w:t>
      </w:r>
      <w:r w:rsidRPr="00D9348B">
        <w:rPr>
          <w:color w:val="000000"/>
        </w:rPr>
        <w:t>2019</w:t>
      </w:r>
      <w:r w:rsidRPr="00D9348B">
        <w:t>, New Zealand’s national registry held 308,343,858 CP1 AAUs, 110,744,560 CP1 ERUs, 21,685,909 CP1 CERs and 100,845,399 CP1 RMUs. No second commitment period (CP2) units were held by New Zealand in 2019.</w:t>
      </w:r>
    </w:p>
    <w:p w14:paraId="3348A306" w14:textId="77777777" w:rsidR="007C7851" w:rsidRPr="00D9348B" w:rsidRDefault="007C7851" w:rsidP="007C7851">
      <w:pPr>
        <w:pStyle w:val="BodyText"/>
      </w:pPr>
      <w:r w:rsidRPr="00D9348B">
        <w:t xml:space="preserve">At the end of </w:t>
      </w:r>
      <w:r w:rsidRPr="00D9348B">
        <w:rPr>
          <w:color w:val="000000"/>
        </w:rPr>
        <w:t>2019</w:t>
      </w:r>
      <w:r w:rsidRPr="00D9348B">
        <w:t xml:space="preserve">, the units held in New Zealand’s national registry remained at 308,343,858 AAUs, 110,744,560 ERUs, 21,685,909 CERs and 100,845,399 RMUs. </w:t>
      </w:r>
    </w:p>
    <w:p w14:paraId="04A2EF9B" w14:textId="77777777" w:rsidR="007C7851" w:rsidRPr="00D9348B" w:rsidRDefault="007C7851" w:rsidP="007C7851">
      <w:pPr>
        <w:pStyle w:val="BodyText"/>
      </w:pPr>
      <w:r w:rsidRPr="00D9348B">
        <w:t xml:space="preserve">New Zealand’s national registry did not hold any tCERS or lCERs during </w:t>
      </w:r>
      <w:r w:rsidRPr="00D9348B">
        <w:rPr>
          <w:color w:val="000000"/>
        </w:rPr>
        <w:t>2019</w:t>
      </w:r>
      <w:r w:rsidRPr="00D9348B">
        <w:t>.</w:t>
      </w:r>
    </w:p>
    <w:p w14:paraId="79CEB94A" w14:textId="77777777" w:rsidR="007C7851" w:rsidRPr="00D9348B" w:rsidRDefault="007C7851" w:rsidP="007C7851">
      <w:pPr>
        <w:pStyle w:val="BodyText"/>
      </w:pPr>
      <w:r w:rsidRPr="00D9348B">
        <w:t xml:space="preserve">The transactions made to New Zealand’s national registry during </w:t>
      </w:r>
      <w:r w:rsidRPr="00D9348B">
        <w:rPr>
          <w:color w:val="000000"/>
        </w:rPr>
        <w:t xml:space="preserve">2019 </w:t>
      </w:r>
      <w:r w:rsidRPr="00D9348B">
        <w:t>are summarised below.</w:t>
      </w:r>
    </w:p>
    <w:p w14:paraId="0AA73DA1" w14:textId="77777777" w:rsidR="007C7851" w:rsidRPr="00D9348B" w:rsidRDefault="007C7851" w:rsidP="007C7851">
      <w:pPr>
        <w:pStyle w:val="Bullet"/>
        <w:tabs>
          <w:tab w:val="clear" w:pos="567"/>
        </w:tabs>
        <w:rPr>
          <w:lang w:eastAsia="en-GB"/>
        </w:rPr>
      </w:pPr>
      <w:r w:rsidRPr="00D9348B">
        <w:rPr>
          <w:lang w:eastAsia="en-GB"/>
        </w:rPr>
        <w:lastRenderedPageBreak/>
        <w:t xml:space="preserve">No external transfers of Kyoto units occurred. A total of </w:t>
      </w:r>
      <w:r w:rsidRPr="00D9348B">
        <w:rPr>
          <w:color w:val="000000"/>
          <w:lang w:eastAsia="en-GB"/>
        </w:rPr>
        <w:t>89,912 AAUs</w:t>
      </w:r>
      <w:r w:rsidRPr="00D9348B">
        <w:rPr>
          <w:lang w:eastAsia="en-GB"/>
        </w:rPr>
        <w:t xml:space="preserve"> and 3,154,698 ERUs were subtracted internally through voluntary cancellation. There were no conversions to ERUs. No CP2 Kyoto units were held by New Zealand during the 2019 year.</w:t>
      </w:r>
    </w:p>
    <w:p w14:paraId="4CF3F2C6" w14:textId="77777777" w:rsidR="007C7851" w:rsidRPr="00D9348B" w:rsidRDefault="007C7851" w:rsidP="007C7851">
      <w:pPr>
        <w:pStyle w:val="Table"/>
      </w:pPr>
      <w:bookmarkStart w:id="3431" w:name="_Toc481751639"/>
      <w:bookmarkStart w:id="3432" w:name="_Toc511116869"/>
      <w:bookmarkStart w:id="3433" w:name="_Toc5269637"/>
      <w:bookmarkStart w:id="3434" w:name="_Toc36224720"/>
      <w:r w:rsidRPr="00D9348B">
        <w:t>Table 12.2.1</w:t>
      </w:r>
      <w:r w:rsidRPr="00D9348B">
        <w:tab/>
        <w:t>New Zealand’s submission of the standard electronic format</w:t>
      </w:r>
      <w:bookmarkEnd w:id="3431"/>
      <w:bookmarkEnd w:id="3432"/>
      <w:bookmarkEnd w:id="3433"/>
      <w:bookmarkEnd w:id="3434"/>
    </w:p>
    <w:tbl>
      <w:tblPr>
        <w:tblW w:w="8505" w:type="dxa"/>
        <w:tblInd w:w="108" w:type="dxa"/>
        <w:tblBorders>
          <w:top w:val="single" w:sz="4" w:space="0" w:color="365F91"/>
          <w:bottom w:val="single" w:sz="4" w:space="0" w:color="365F91"/>
          <w:insideH w:val="single" w:sz="4" w:space="0" w:color="365F91"/>
          <w:insideV w:val="single" w:sz="4" w:space="0" w:color="365F91"/>
        </w:tblBorders>
        <w:tblLook w:val="01E0" w:firstRow="1" w:lastRow="1" w:firstColumn="1" w:lastColumn="1" w:noHBand="0" w:noVBand="0"/>
      </w:tblPr>
      <w:tblGrid>
        <w:gridCol w:w="2694"/>
        <w:gridCol w:w="5811"/>
      </w:tblGrid>
      <w:tr w:rsidR="007C7851" w:rsidRPr="00D9348B" w14:paraId="479C88D9" w14:textId="77777777" w:rsidTr="00DB330E">
        <w:tc>
          <w:tcPr>
            <w:tcW w:w="2694" w:type="dxa"/>
            <w:shd w:val="clear" w:color="auto" w:fill="365F91"/>
          </w:tcPr>
          <w:p w14:paraId="45B572FE" w14:textId="77777777" w:rsidR="007C7851" w:rsidRPr="00D9348B" w:rsidRDefault="007C7851" w:rsidP="00DB330E">
            <w:pPr>
              <w:pStyle w:val="TableTextBold"/>
              <w:rPr>
                <w:rFonts w:eastAsia="Calibri"/>
                <w:noProof w:val="0"/>
                <w:color w:val="FFFFFF"/>
              </w:rPr>
            </w:pPr>
            <w:r w:rsidRPr="00D9348B">
              <w:rPr>
                <w:rFonts w:eastAsia="Calibri"/>
                <w:noProof w:val="0"/>
                <w:color w:val="FFFFFF"/>
              </w:rPr>
              <w:t>Annual submission item</w:t>
            </w:r>
          </w:p>
        </w:tc>
        <w:tc>
          <w:tcPr>
            <w:tcW w:w="5811" w:type="dxa"/>
            <w:shd w:val="clear" w:color="auto" w:fill="365F91"/>
          </w:tcPr>
          <w:p w14:paraId="5D0944AD" w14:textId="77777777" w:rsidR="007C7851" w:rsidRPr="00D9348B" w:rsidRDefault="007C7851" w:rsidP="00DB330E">
            <w:pPr>
              <w:pStyle w:val="TableTextBold"/>
              <w:rPr>
                <w:rFonts w:eastAsia="Calibri"/>
                <w:noProof w:val="0"/>
                <w:color w:val="FFFFFF"/>
              </w:rPr>
            </w:pPr>
            <w:r w:rsidRPr="00D9348B">
              <w:rPr>
                <w:rFonts w:eastAsia="Calibri"/>
                <w:noProof w:val="0"/>
                <w:color w:val="FFFFFF"/>
              </w:rPr>
              <w:t>New Zealand’s national registry response</w:t>
            </w:r>
          </w:p>
        </w:tc>
      </w:tr>
      <w:tr w:rsidR="007C7851" w:rsidRPr="00D9348B" w14:paraId="4A7C575C" w14:textId="77777777" w:rsidTr="00DB330E">
        <w:tc>
          <w:tcPr>
            <w:tcW w:w="2694" w:type="dxa"/>
            <w:shd w:val="clear" w:color="auto" w:fill="auto"/>
          </w:tcPr>
          <w:p w14:paraId="5B3ACB2A" w14:textId="77777777" w:rsidR="007C7851" w:rsidRPr="00D9348B" w:rsidRDefault="007C7851" w:rsidP="00DB330E">
            <w:pPr>
              <w:pStyle w:val="TableText"/>
              <w:rPr>
                <w:rFonts w:eastAsia="Calibri"/>
              </w:rPr>
            </w:pPr>
            <w:r w:rsidRPr="00D9348B">
              <w:rPr>
                <w:rFonts w:eastAsia="Calibri"/>
              </w:rPr>
              <w:t>15/CMP.1 annex I.E paragraph 11: Standard electronic format (SEF)</w:t>
            </w:r>
          </w:p>
        </w:tc>
        <w:tc>
          <w:tcPr>
            <w:tcW w:w="5811" w:type="dxa"/>
            <w:shd w:val="clear" w:color="auto" w:fill="auto"/>
          </w:tcPr>
          <w:p w14:paraId="7990FE65" w14:textId="77777777" w:rsidR="007C7851" w:rsidRPr="00D9348B" w:rsidRDefault="007C7851" w:rsidP="00DB330E">
            <w:pPr>
              <w:pStyle w:val="TableText"/>
              <w:rPr>
                <w:rFonts w:eastAsia="Calibri"/>
              </w:rPr>
            </w:pPr>
            <w:r w:rsidRPr="00D9348B">
              <w:rPr>
                <w:rFonts w:eastAsia="Calibri"/>
              </w:rPr>
              <w:t>The standard electronic format reports for 2019 first and second commitment period units have been submitted to the UNFCCC Secretariat electronically.</w:t>
            </w:r>
          </w:p>
        </w:tc>
      </w:tr>
    </w:tbl>
    <w:p w14:paraId="1F304934" w14:textId="77777777" w:rsidR="007C7851" w:rsidRPr="00D9348B" w:rsidRDefault="007C7851" w:rsidP="007C7851">
      <w:pPr>
        <w:pStyle w:val="Heading2"/>
      </w:pPr>
      <w:bookmarkStart w:id="3435" w:name="_Toc481751433"/>
      <w:bookmarkStart w:id="3436" w:name="_Toc511116647"/>
      <w:bookmarkStart w:id="3437" w:name="_Toc5269416"/>
      <w:bookmarkStart w:id="3438" w:name="_Toc36224456"/>
      <w:r w:rsidRPr="00D9348B">
        <w:t>12.3</w:t>
      </w:r>
      <w:r w:rsidRPr="00D9348B">
        <w:tab/>
        <w:t>Discrepancies and notifications</w:t>
      </w:r>
      <w:bookmarkEnd w:id="3435"/>
      <w:bookmarkEnd w:id="3436"/>
      <w:bookmarkEnd w:id="3437"/>
      <w:bookmarkEnd w:id="3438"/>
    </w:p>
    <w:p w14:paraId="1A750F22" w14:textId="77777777" w:rsidR="007C7851" w:rsidRPr="00D9348B" w:rsidRDefault="007C7851" w:rsidP="007C7851">
      <w:pPr>
        <w:pStyle w:val="BodyText"/>
      </w:pPr>
      <w:r w:rsidRPr="00D9348B">
        <w:t xml:space="preserve">New Zealand has not received any notification of discrepancies, failures or invalid units. </w:t>
      </w:r>
    </w:p>
    <w:p w14:paraId="17D24A85" w14:textId="77777777" w:rsidR="007C7851" w:rsidRPr="00D9348B" w:rsidRDefault="007C7851" w:rsidP="007C7851">
      <w:pPr>
        <w:pStyle w:val="Table"/>
      </w:pPr>
      <w:bookmarkStart w:id="3439" w:name="_Toc481751642"/>
      <w:bookmarkStart w:id="3440" w:name="_Toc511116870"/>
      <w:bookmarkStart w:id="3441" w:name="_Toc5269638"/>
      <w:bookmarkStart w:id="3442" w:name="_Toc36224721"/>
      <w:r w:rsidRPr="00D9348B">
        <w:t>Table 12.3.1</w:t>
      </w:r>
      <w:r w:rsidRPr="00D9348B">
        <w:tab/>
        <w:t>Discrepancies and notifications from New Zealand’s national registry</w:t>
      </w:r>
      <w:bookmarkEnd w:id="3439"/>
      <w:bookmarkEnd w:id="3440"/>
      <w:bookmarkEnd w:id="3441"/>
      <w:bookmarkEnd w:id="3442"/>
    </w:p>
    <w:tbl>
      <w:tblPr>
        <w:tblW w:w="8505" w:type="dxa"/>
        <w:tblInd w:w="108" w:type="dxa"/>
        <w:tblBorders>
          <w:top w:val="single" w:sz="4" w:space="0" w:color="365F91"/>
          <w:bottom w:val="single" w:sz="4" w:space="0" w:color="365F91"/>
          <w:insideH w:val="single" w:sz="4" w:space="0" w:color="365F91"/>
          <w:insideV w:val="single" w:sz="4" w:space="0" w:color="365F91"/>
        </w:tblBorders>
        <w:tblLook w:val="01E0" w:firstRow="1" w:lastRow="1" w:firstColumn="1" w:lastColumn="1" w:noHBand="0" w:noVBand="0"/>
      </w:tblPr>
      <w:tblGrid>
        <w:gridCol w:w="4081"/>
        <w:gridCol w:w="4424"/>
      </w:tblGrid>
      <w:tr w:rsidR="007C7851" w:rsidRPr="00D9348B" w14:paraId="499AF572" w14:textId="77777777" w:rsidTr="00DB330E">
        <w:tc>
          <w:tcPr>
            <w:tcW w:w="3958" w:type="dxa"/>
            <w:tcBorders>
              <w:bottom w:val="single" w:sz="4" w:space="0" w:color="365F91"/>
            </w:tcBorders>
            <w:shd w:val="clear" w:color="auto" w:fill="365F91"/>
          </w:tcPr>
          <w:p w14:paraId="79818882" w14:textId="77777777" w:rsidR="007C7851" w:rsidRPr="00D9348B" w:rsidRDefault="007C7851" w:rsidP="00DB330E">
            <w:pPr>
              <w:pStyle w:val="TableTextBold"/>
              <w:rPr>
                <w:rFonts w:eastAsia="Calibri"/>
                <w:noProof w:val="0"/>
                <w:color w:val="FFFFFF"/>
              </w:rPr>
            </w:pPr>
            <w:r w:rsidRPr="00D9348B">
              <w:rPr>
                <w:rFonts w:eastAsia="Calibri"/>
                <w:noProof w:val="0"/>
                <w:color w:val="FFFFFF"/>
              </w:rPr>
              <w:t>Annual submission item</w:t>
            </w:r>
          </w:p>
        </w:tc>
        <w:tc>
          <w:tcPr>
            <w:tcW w:w="4290" w:type="dxa"/>
            <w:tcBorders>
              <w:bottom w:val="single" w:sz="4" w:space="0" w:color="365F91"/>
            </w:tcBorders>
            <w:shd w:val="clear" w:color="auto" w:fill="365F91"/>
          </w:tcPr>
          <w:p w14:paraId="795EEC44" w14:textId="77777777" w:rsidR="007C7851" w:rsidRPr="00D9348B" w:rsidRDefault="007C7851" w:rsidP="00DB330E">
            <w:pPr>
              <w:pStyle w:val="TableTextBold"/>
              <w:rPr>
                <w:rFonts w:eastAsia="Calibri"/>
                <w:noProof w:val="0"/>
                <w:color w:val="FFFFFF"/>
              </w:rPr>
            </w:pPr>
            <w:r w:rsidRPr="00D9348B">
              <w:rPr>
                <w:rFonts w:eastAsia="Calibri"/>
                <w:noProof w:val="0"/>
                <w:color w:val="FFFFFF"/>
              </w:rPr>
              <w:t>New Zealand’s national registry response</w:t>
            </w:r>
          </w:p>
        </w:tc>
      </w:tr>
      <w:tr w:rsidR="007C7851" w:rsidRPr="00D9348B" w14:paraId="550D485F" w14:textId="77777777" w:rsidTr="00DB330E">
        <w:tc>
          <w:tcPr>
            <w:tcW w:w="3958" w:type="dxa"/>
            <w:shd w:val="clear" w:color="auto" w:fill="auto"/>
          </w:tcPr>
          <w:p w14:paraId="58C70349" w14:textId="77777777" w:rsidR="007C7851" w:rsidRPr="00D9348B" w:rsidRDefault="007C7851" w:rsidP="00DB330E">
            <w:pPr>
              <w:pStyle w:val="TableText"/>
              <w:spacing w:after="0"/>
              <w:rPr>
                <w:rFonts w:eastAsia="Calibri"/>
              </w:rPr>
            </w:pPr>
            <w:r w:rsidRPr="00D9348B">
              <w:rPr>
                <w:rFonts w:eastAsia="Calibri"/>
              </w:rPr>
              <w:t xml:space="preserve">15/CMP.1 annex I.E, paragraph 12: </w:t>
            </w:r>
          </w:p>
          <w:p w14:paraId="65D5DE6F" w14:textId="77777777" w:rsidR="007C7851" w:rsidRPr="00D9348B" w:rsidRDefault="007C7851" w:rsidP="00DB330E">
            <w:pPr>
              <w:pStyle w:val="TableText"/>
              <w:spacing w:before="0"/>
              <w:rPr>
                <w:rFonts w:eastAsia="Calibri"/>
              </w:rPr>
            </w:pPr>
            <w:r w:rsidRPr="00D9348B">
              <w:rPr>
                <w:rFonts w:eastAsia="Calibri"/>
              </w:rPr>
              <w:t>List of discrepant transactions</w:t>
            </w:r>
          </w:p>
        </w:tc>
        <w:tc>
          <w:tcPr>
            <w:tcW w:w="4290" w:type="dxa"/>
            <w:shd w:val="clear" w:color="auto" w:fill="auto"/>
          </w:tcPr>
          <w:p w14:paraId="58C33D23" w14:textId="77777777" w:rsidR="007C7851" w:rsidRPr="00D9348B" w:rsidRDefault="007C7851" w:rsidP="00DB330E">
            <w:pPr>
              <w:pStyle w:val="TableText"/>
              <w:rPr>
                <w:rFonts w:eastAsia="Calibri"/>
              </w:rPr>
            </w:pPr>
            <w:r w:rsidRPr="00D9348B">
              <w:rPr>
                <w:rFonts w:eastAsia="Calibri"/>
              </w:rPr>
              <w:t xml:space="preserve">No discrepant transactions occurred in 2019. </w:t>
            </w:r>
          </w:p>
        </w:tc>
      </w:tr>
      <w:tr w:rsidR="007C7851" w:rsidRPr="00D9348B" w14:paraId="09738436" w14:textId="77777777" w:rsidTr="00DB330E">
        <w:tc>
          <w:tcPr>
            <w:tcW w:w="3958" w:type="dxa"/>
            <w:shd w:val="clear" w:color="auto" w:fill="auto"/>
          </w:tcPr>
          <w:p w14:paraId="799E4A7C" w14:textId="77777777" w:rsidR="007C7851" w:rsidRPr="00D9348B" w:rsidRDefault="007C7851" w:rsidP="00DB330E">
            <w:pPr>
              <w:pStyle w:val="TableText"/>
              <w:spacing w:after="0"/>
              <w:rPr>
                <w:rFonts w:eastAsia="Calibri"/>
              </w:rPr>
            </w:pPr>
            <w:r w:rsidRPr="00D9348B">
              <w:rPr>
                <w:rFonts w:eastAsia="Calibri"/>
              </w:rPr>
              <w:t>15/CMP.1 annex I.E, paragraph 13 &amp; 14:</w:t>
            </w:r>
          </w:p>
          <w:p w14:paraId="489C7F6B" w14:textId="77777777" w:rsidR="007C7851" w:rsidRPr="00D9348B" w:rsidRDefault="007C7851" w:rsidP="00DB330E">
            <w:pPr>
              <w:pStyle w:val="TableText"/>
              <w:spacing w:before="0"/>
              <w:rPr>
                <w:rFonts w:eastAsia="Calibri"/>
              </w:rPr>
            </w:pPr>
            <w:r w:rsidRPr="00D9348B">
              <w:rPr>
                <w:rFonts w:eastAsia="Calibri"/>
              </w:rPr>
              <w:t>List of CDM notifications</w:t>
            </w:r>
          </w:p>
        </w:tc>
        <w:tc>
          <w:tcPr>
            <w:tcW w:w="4290" w:type="dxa"/>
            <w:shd w:val="clear" w:color="auto" w:fill="auto"/>
          </w:tcPr>
          <w:p w14:paraId="36D0F5D4" w14:textId="77777777" w:rsidR="007C7851" w:rsidRPr="00D9348B" w:rsidRDefault="007C7851" w:rsidP="00DB330E">
            <w:pPr>
              <w:pStyle w:val="TableText"/>
              <w:rPr>
                <w:rFonts w:eastAsia="Calibri"/>
              </w:rPr>
            </w:pPr>
            <w:r w:rsidRPr="00D9348B">
              <w:rPr>
                <w:rFonts w:eastAsia="Calibri"/>
              </w:rPr>
              <w:t>No CDM notifications occurred in 2019.</w:t>
            </w:r>
          </w:p>
        </w:tc>
      </w:tr>
      <w:tr w:rsidR="007C7851" w:rsidRPr="00D9348B" w14:paraId="40147E55" w14:textId="77777777" w:rsidTr="00DB330E">
        <w:tc>
          <w:tcPr>
            <w:tcW w:w="3958" w:type="dxa"/>
            <w:shd w:val="clear" w:color="auto" w:fill="auto"/>
          </w:tcPr>
          <w:p w14:paraId="2FA3B5F4" w14:textId="77777777" w:rsidR="007C7851" w:rsidRPr="00D9348B" w:rsidRDefault="007C7851" w:rsidP="00DB330E">
            <w:pPr>
              <w:pStyle w:val="TableText"/>
              <w:spacing w:after="0"/>
              <w:rPr>
                <w:rFonts w:eastAsia="Calibri"/>
              </w:rPr>
            </w:pPr>
            <w:r w:rsidRPr="00D9348B">
              <w:rPr>
                <w:rFonts w:eastAsia="Calibri"/>
              </w:rPr>
              <w:t>15/CMP.1 annex I.E, paragraph 1 15:</w:t>
            </w:r>
          </w:p>
          <w:p w14:paraId="36881D2B" w14:textId="77777777" w:rsidR="007C7851" w:rsidRPr="00D9348B" w:rsidRDefault="007C7851" w:rsidP="00DB330E">
            <w:pPr>
              <w:pStyle w:val="TableText"/>
              <w:spacing w:before="0"/>
              <w:rPr>
                <w:rFonts w:eastAsia="Calibri"/>
              </w:rPr>
            </w:pPr>
            <w:r w:rsidRPr="00D9348B">
              <w:rPr>
                <w:rFonts w:eastAsia="Calibri"/>
              </w:rPr>
              <w:t>List of non-replacements</w:t>
            </w:r>
          </w:p>
        </w:tc>
        <w:tc>
          <w:tcPr>
            <w:tcW w:w="4290" w:type="dxa"/>
            <w:shd w:val="clear" w:color="auto" w:fill="auto"/>
          </w:tcPr>
          <w:p w14:paraId="1ED3D80F" w14:textId="77777777" w:rsidR="007C7851" w:rsidRPr="00D9348B" w:rsidRDefault="007C7851" w:rsidP="00DB330E">
            <w:pPr>
              <w:pStyle w:val="TableText"/>
              <w:rPr>
                <w:rFonts w:eastAsia="Calibri"/>
              </w:rPr>
            </w:pPr>
            <w:r w:rsidRPr="00D9348B">
              <w:rPr>
                <w:rFonts w:eastAsia="Calibri"/>
              </w:rPr>
              <w:t>No non-replacements occurred in 2019.</w:t>
            </w:r>
          </w:p>
        </w:tc>
      </w:tr>
      <w:tr w:rsidR="007C7851" w:rsidRPr="00D9348B" w14:paraId="68DED9C1" w14:textId="77777777" w:rsidTr="00DB330E">
        <w:tc>
          <w:tcPr>
            <w:tcW w:w="3958" w:type="dxa"/>
            <w:tcBorders>
              <w:bottom w:val="single" w:sz="4" w:space="0" w:color="365F91"/>
            </w:tcBorders>
            <w:shd w:val="clear" w:color="auto" w:fill="auto"/>
          </w:tcPr>
          <w:p w14:paraId="6D3F5646" w14:textId="77777777" w:rsidR="007C7851" w:rsidRPr="00D9348B" w:rsidRDefault="007C7851" w:rsidP="00DB330E">
            <w:pPr>
              <w:pStyle w:val="TableText"/>
              <w:spacing w:after="0"/>
              <w:rPr>
                <w:rFonts w:eastAsia="Calibri"/>
              </w:rPr>
            </w:pPr>
            <w:r w:rsidRPr="00D9348B">
              <w:rPr>
                <w:rFonts w:eastAsia="Calibri"/>
              </w:rPr>
              <w:t>15/CMP.1 annex I.E, paragraph 1 15:</w:t>
            </w:r>
          </w:p>
          <w:p w14:paraId="31DD9BA4" w14:textId="77777777" w:rsidR="007C7851" w:rsidRPr="00D9348B" w:rsidRDefault="007C7851" w:rsidP="00DB330E">
            <w:pPr>
              <w:pStyle w:val="TableText"/>
              <w:spacing w:before="0"/>
              <w:rPr>
                <w:rFonts w:eastAsia="Calibri"/>
              </w:rPr>
            </w:pPr>
            <w:r w:rsidRPr="00D9348B">
              <w:rPr>
                <w:rFonts w:eastAsia="Calibri"/>
              </w:rPr>
              <w:t>List of invalid units</w:t>
            </w:r>
          </w:p>
        </w:tc>
        <w:tc>
          <w:tcPr>
            <w:tcW w:w="4290" w:type="dxa"/>
            <w:tcBorders>
              <w:bottom w:val="single" w:sz="4" w:space="0" w:color="365F91"/>
            </w:tcBorders>
            <w:shd w:val="clear" w:color="auto" w:fill="auto"/>
          </w:tcPr>
          <w:p w14:paraId="1DA89EBF" w14:textId="77777777" w:rsidR="007C7851" w:rsidRPr="00D9348B" w:rsidRDefault="007C7851" w:rsidP="00DB330E">
            <w:pPr>
              <w:pStyle w:val="TableText"/>
              <w:rPr>
                <w:rFonts w:eastAsia="Calibri"/>
              </w:rPr>
            </w:pPr>
            <w:r w:rsidRPr="00D9348B">
              <w:rPr>
                <w:rFonts w:eastAsia="Calibri"/>
              </w:rPr>
              <w:t>No invalid units exist as at 31 December 2019.</w:t>
            </w:r>
          </w:p>
        </w:tc>
      </w:tr>
      <w:tr w:rsidR="007C7851" w:rsidRPr="00D9348B" w14:paraId="7A7B792F" w14:textId="77777777" w:rsidTr="00DB330E">
        <w:tc>
          <w:tcPr>
            <w:tcW w:w="3958" w:type="dxa"/>
            <w:shd w:val="clear" w:color="auto" w:fill="auto"/>
          </w:tcPr>
          <w:p w14:paraId="4854AF2F" w14:textId="77777777" w:rsidR="007C7851" w:rsidRPr="00D9348B" w:rsidRDefault="007C7851" w:rsidP="00DB330E">
            <w:pPr>
              <w:pStyle w:val="TableText"/>
              <w:spacing w:after="0"/>
              <w:rPr>
                <w:rFonts w:eastAsia="Calibri"/>
              </w:rPr>
            </w:pPr>
            <w:r w:rsidRPr="00D9348B">
              <w:rPr>
                <w:rFonts w:eastAsia="Calibri"/>
              </w:rPr>
              <w:t>15/CMP.1 annex I.E, paragraph 1 17:</w:t>
            </w:r>
          </w:p>
          <w:p w14:paraId="73D17164" w14:textId="77777777" w:rsidR="007C7851" w:rsidRPr="00D9348B" w:rsidRDefault="007C7851" w:rsidP="00DB330E">
            <w:pPr>
              <w:pStyle w:val="TableText"/>
              <w:spacing w:before="0"/>
              <w:rPr>
                <w:rFonts w:eastAsia="Calibri"/>
              </w:rPr>
            </w:pPr>
            <w:r w:rsidRPr="00D9348B">
              <w:rPr>
                <w:rFonts w:eastAsia="Calibri"/>
              </w:rPr>
              <w:t>Actions and changes to address discrepancies</w:t>
            </w:r>
          </w:p>
        </w:tc>
        <w:tc>
          <w:tcPr>
            <w:tcW w:w="4290" w:type="dxa"/>
            <w:shd w:val="clear" w:color="auto" w:fill="auto"/>
          </w:tcPr>
          <w:p w14:paraId="44F808EE" w14:textId="77777777" w:rsidR="007C7851" w:rsidRPr="00D9348B" w:rsidRDefault="007C7851" w:rsidP="00DB330E">
            <w:pPr>
              <w:pStyle w:val="TableText"/>
              <w:rPr>
                <w:rFonts w:eastAsia="Calibri"/>
              </w:rPr>
            </w:pPr>
            <w:r w:rsidRPr="00D9348B">
              <w:rPr>
                <w:rFonts w:eastAsia="Calibri"/>
              </w:rPr>
              <w:t>No actions were taken or changes made to address discrepancies for the period under review.</w:t>
            </w:r>
          </w:p>
        </w:tc>
      </w:tr>
    </w:tbl>
    <w:p w14:paraId="6DE50166" w14:textId="77777777" w:rsidR="007C7851" w:rsidRPr="00D9348B" w:rsidRDefault="007C7851" w:rsidP="007C7851">
      <w:pPr>
        <w:pStyle w:val="Heading2"/>
      </w:pPr>
      <w:bookmarkStart w:id="3443" w:name="_Toc481751434"/>
      <w:bookmarkStart w:id="3444" w:name="_Toc511116648"/>
      <w:bookmarkStart w:id="3445" w:name="_Toc5269417"/>
      <w:bookmarkStart w:id="3446" w:name="_Toc36224457"/>
      <w:r w:rsidRPr="00D9348B">
        <w:t>1</w:t>
      </w:r>
      <w:bookmarkStart w:id="3447" w:name="_Toc235955569"/>
      <w:r w:rsidRPr="00D9348B">
        <w:t>2.4</w:t>
      </w:r>
      <w:r w:rsidRPr="00D9348B">
        <w:tab/>
        <w:t>Publicly accessible information</w:t>
      </w:r>
      <w:bookmarkEnd w:id="3443"/>
      <w:bookmarkEnd w:id="3444"/>
      <w:bookmarkEnd w:id="3445"/>
      <w:bookmarkEnd w:id="3446"/>
      <w:bookmarkEnd w:id="3447"/>
    </w:p>
    <w:p w14:paraId="057393AE" w14:textId="77777777" w:rsidR="007C7851" w:rsidRPr="00D9348B" w:rsidRDefault="007C7851" w:rsidP="007C7851">
      <w:pPr>
        <w:pStyle w:val="BodyText"/>
        <w:rPr>
          <w:b/>
          <w:spacing w:val="-2"/>
        </w:rPr>
      </w:pPr>
      <w:bookmarkStart w:id="3448" w:name="_Toc235955646"/>
      <w:r w:rsidRPr="00D9348B">
        <w:rPr>
          <w:spacing w:val="-2"/>
        </w:rPr>
        <w:t xml:space="preserve">New Zealand’s national registry list of publicly accessible information is available at </w:t>
      </w:r>
      <w:hyperlink r:id="rId288" w:history="1">
        <w:r w:rsidRPr="00D9348B">
          <w:rPr>
            <w:spacing w:val="-2"/>
          </w:rPr>
          <w:t>www.emissionsregister.govt.nz</w:t>
        </w:r>
      </w:hyperlink>
      <w:r w:rsidRPr="00D9348B">
        <w:rPr>
          <w:spacing w:val="-2"/>
        </w:rPr>
        <w:t>, ‘</w:t>
      </w:r>
      <w:hyperlink r:id="rId289" w:history="1">
        <w:r w:rsidRPr="00D9348B">
          <w:rPr>
            <w:spacing w:val="-2"/>
          </w:rPr>
          <w:t>Public information and reports</w:t>
        </w:r>
      </w:hyperlink>
      <w:r w:rsidRPr="00D9348B">
        <w:rPr>
          <w:spacing w:val="-2"/>
        </w:rPr>
        <w:t>’ link. A list of publicly accessible information is provided in table 12.4.1.</w:t>
      </w:r>
    </w:p>
    <w:p w14:paraId="3DF523CC" w14:textId="77777777" w:rsidR="007C7851" w:rsidRPr="00D9348B" w:rsidRDefault="007C7851" w:rsidP="007C7851">
      <w:pPr>
        <w:pStyle w:val="Table"/>
        <w:rPr>
          <w:rFonts w:ascii="Tahoma" w:hAnsi="Tahoma" w:cs="Tahoma"/>
          <w:highlight w:val="yellow"/>
        </w:rPr>
      </w:pPr>
      <w:bookmarkStart w:id="3449" w:name="_Toc481751643"/>
      <w:bookmarkStart w:id="3450" w:name="_Toc511116871"/>
      <w:bookmarkStart w:id="3451" w:name="_Toc5269639"/>
      <w:bookmarkStart w:id="3452" w:name="_Toc36224722"/>
      <w:r w:rsidRPr="00D9348B">
        <w:t>Table 12.4.1</w:t>
      </w:r>
      <w:r w:rsidRPr="00D9348B">
        <w:tab/>
        <w:t>List of the publicly accessible information in New Zealand’s national registry</w:t>
      </w:r>
      <w:bookmarkEnd w:id="3449"/>
      <w:bookmarkEnd w:id="3450"/>
      <w:bookmarkEnd w:id="3451"/>
      <w:bookmarkEnd w:id="3452"/>
    </w:p>
    <w:tbl>
      <w:tblPr>
        <w:tblW w:w="85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126"/>
        <w:gridCol w:w="1985"/>
        <w:gridCol w:w="1899"/>
      </w:tblGrid>
      <w:tr w:rsidR="007C7851" w:rsidRPr="00D9348B" w14:paraId="31833D7B" w14:textId="77777777" w:rsidTr="00DB330E">
        <w:trPr>
          <w:tblHeader/>
        </w:trPr>
        <w:tc>
          <w:tcPr>
            <w:tcW w:w="2552" w:type="dxa"/>
            <w:tcBorders>
              <w:top w:val="single" w:sz="4" w:space="0" w:color="365F91"/>
              <w:left w:val="nil"/>
              <w:bottom w:val="single" w:sz="4" w:space="0" w:color="365F91"/>
              <w:right w:val="nil"/>
            </w:tcBorders>
            <w:shd w:val="clear" w:color="auto" w:fill="365F91"/>
            <w:vAlign w:val="bottom"/>
          </w:tcPr>
          <w:p w14:paraId="006B1BAF" w14:textId="77777777" w:rsidR="007C7851" w:rsidRPr="00D9348B" w:rsidRDefault="007C7851" w:rsidP="00DB330E">
            <w:pPr>
              <w:pStyle w:val="TableTextBold"/>
              <w:rPr>
                <w:noProof w:val="0"/>
                <w:color w:val="FFFFFF"/>
              </w:rPr>
            </w:pPr>
            <w:r w:rsidRPr="00D9348B">
              <w:rPr>
                <w:noProof w:val="0"/>
                <w:color w:val="FFFFFF"/>
              </w:rPr>
              <w:t>Type of information to be made public pursuant to part E of the annex to 13/CMP.1, paragraphs 44 to 48</w:t>
            </w:r>
          </w:p>
        </w:tc>
        <w:tc>
          <w:tcPr>
            <w:tcW w:w="2126" w:type="dxa"/>
            <w:tcBorders>
              <w:top w:val="single" w:sz="4" w:space="0" w:color="365F91"/>
              <w:left w:val="nil"/>
              <w:bottom w:val="single" w:sz="4" w:space="0" w:color="365F91"/>
              <w:right w:val="nil"/>
            </w:tcBorders>
            <w:shd w:val="clear" w:color="auto" w:fill="365F91"/>
            <w:vAlign w:val="bottom"/>
          </w:tcPr>
          <w:p w14:paraId="2811C27F" w14:textId="77777777" w:rsidR="007C7851" w:rsidRPr="00D9348B" w:rsidRDefault="007C7851" w:rsidP="00DB330E">
            <w:pPr>
              <w:pStyle w:val="TableTextBold"/>
              <w:rPr>
                <w:noProof w:val="0"/>
                <w:color w:val="FFFFFF"/>
              </w:rPr>
            </w:pPr>
            <w:r w:rsidRPr="00D9348B">
              <w:rPr>
                <w:noProof w:val="0"/>
                <w:color w:val="FFFFFF"/>
              </w:rPr>
              <w:t>Publicly available on New Zealand’s national registry website (refer www.emissionsregister. govt.nz, ‘Public information and reports’) (yes/no/partial)</w:t>
            </w:r>
          </w:p>
        </w:tc>
        <w:tc>
          <w:tcPr>
            <w:tcW w:w="1985" w:type="dxa"/>
            <w:tcBorders>
              <w:top w:val="single" w:sz="4" w:space="0" w:color="365F91"/>
              <w:left w:val="nil"/>
              <w:bottom w:val="single" w:sz="4" w:space="0" w:color="365F91"/>
              <w:right w:val="nil"/>
            </w:tcBorders>
            <w:shd w:val="clear" w:color="auto" w:fill="365F91"/>
            <w:vAlign w:val="bottom"/>
          </w:tcPr>
          <w:p w14:paraId="4C5F4546" w14:textId="77777777" w:rsidR="007C7851" w:rsidRPr="00D9348B" w:rsidRDefault="007C7851" w:rsidP="00DB330E">
            <w:pPr>
              <w:pStyle w:val="TableTextBold"/>
              <w:rPr>
                <w:noProof w:val="0"/>
                <w:color w:val="FFFFFF"/>
              </w:rPr>
            </w:pPr>
            <w:r w:rsidRPr="00D9348B">
              <w:rPr>
                <w:noProof w:val="0"/>
                <w:color w:val="FFFFFF"/>
              </w:rPr>
              <w:t>Timing of information to be made available under New Zealand’s Climate Change Response Act 2002</w:t>
            </w:r>
          </w:p>
        </w:tc>
        <w:tc>
          <w:tcPr>
            <w:tcW w:w="1899" w:type="dxa"/>
            <w:tcBorders>
              <w:top w:val="single" w:sz="4" w:space="0" w:color="365F91"/>
              <w:left w:val="nil"/>
              <w:bottom w:val="single" w:sz="4" w:space="0" w:color="365F91"/>
              <w:right w:val="nil"/>
            </w:tcBorders>
            <w:shd w:val="clear" w:color="auto" w:fill="365F91"/>
            <w:vAlign w:val="bottom"/>
          </w:tcPr>
          <w:p w14:paraId="7DF16A2D" w14:textId="77777777" w:rsidR="007C7851" w:rsidRPr="00D9348B" w:rsidRDefault="007C7851" w:rsidP="00DB330E">
            <w:pPr>
              <w:pStyle w:val="TableTextBold"/>
              <w:rPr>
                <w:noProof w:val="0"/>
                <w:color w:val="FFFFFF"/>
              </w:rPr>
            </w:pPr>
            <w:r w:rsidRPr="00D9348B">
              <w:rPr>
                <w:noProof w:val="0"/>
                <w:color w:val="FFFFFF"/>
              </w:rPr>
              <w:t>Relevant reference to New Zealand’s Climate Change Response Act 2002 where information is not publicly available in accordance with paragraphs 44 to 48</w:t>
            </w:r>
          </w:p>
        </w:tc>
      </w:tr>
      <w:tr w:rsidR="007C7851" w:rsidRPr="00D9348B" w14:paraId="7DB6A1D2" w14:textId="77777777" w:rsidTr="00DB330E">
        <w:tc>
          <w:tcPr>
            <w:tcW w:w="2552" w:type="dxa"/>
            <w:tcBorders>
              <w:top w:val="single" w:sz="4" w:space="0" w:color="365F91"/>
              <w:left w:val="nil"/>
              <w:bottom w:val="single" w:sz="4" w:space="0" w:color="365F91"/>
              <w:right w:val="nil"/>
            </w:tcBorders>
          </w:tcPr>
          <w:p w14:paraId="12DA585A" w14:textId="77777777" w:rsidR="007C7851" w:rsidRPr="00D9348B" w:rsidRDefault="007C7851" w:rsidP="00DB330E">
            <w:pPr>
              <w:pStyle w:val="TableText"/>
              <w:ind w:left="284" w:hanging="284"/>
            </w:pPr>
            <w:r w:rsidRPr="00D9348B">
              <w:t xml:space="preserve">44. </w:t>
            </w:r>
            <w:r w:rsidRPr="00D9348B">
              <w:tab/>
              <w:t>Each national registry shall make non-confidential information publicly available and provide a publicly accessible user interface through the Internet that allows interested persons to query and view it.</w:t>
            </w:r>
          </w:p>
        </w:tc>
        <w:tc>
          <w:tcPr>
            <w:tcW w:w="6010" w:type="dxa"/>
            <w:gridSpan w:val="3"/>
            <w:tcBorders>
              <w:top w:val="single" w:sz="4" w:space="0" w:color="365F91"/>
              <w:left w:val="nil"/>
              <w:bottom w:val="single" w:sz="4" w:space="0" w:color="365F91"/>
              <w:right w:val="nil"/>
            </w:tcBorders>
          </w:tcPr>
          <w:p w14:paraId="5D7C1ECE" w14:textId="77777777" w:rsidR="007C7851" w:rsidRPr="00D9348B" w:rsidRDefault="007C7851" w:rsidP="00DB330E">
            <w:pPr>
              <w:pStyle w:val="TableText"/>
              <w:rPr>
                <w:highlight w:val="yellow"/>
              </w:rPr>
            </w:pPr>
            <w:r w:rsidRPr="00D9348B">
              <w:t>Details of information availability are provided below.</w:t>
            </w:r>
          </w:p>
        </w:tc>
      </w:tr>
      <w:tr w:rsidR="007C7851" w:rsidRPr="00D9348B" w14:paraId="36C6CA6F" w14:textId="77777777" w:rsidTr="00DB330E">
        <w:tc>
          <w:tcPr>
            <w:tcW w:w="2552" w:type="dxa"/>
            <w:tcBorders>
              <w:top w:val="single" w:sz="4" w:space="0" w:color="365F91"/>
              <w:left w:val="nil"/>
              <w:bottom w:val="nil"/>
              <w:right w:val="nil"/>
            </w:tcBorders>
          </w:tcPr>
          <w:p w14:paraId="626ADF16" w14:textId="77777777" w:rsidR="007C7851" w:rsidRPr="00D9348B" w:rsidRDefault="007C7851" w:rsidP="00DB330E">
            <w:pPr>
              <w:pStyle w:val="TableText"/>
              <w:ind w:left="284" w:hanging="284"/>
            </w:pPr>
            <w:r w:rsidRPr="00D9348B">
              <w:t xml:space="preserve">45. </w:t>
            </w:r>
            <w:r w:rsidRPr="00D9348B">
              <w:tab/>
              <w:t>The information referred to in paragraph 44 above shall include up-to-date information for each account number in that registry on the following:</w:t>
            </w:r>
          </w:p>
        </w:tc>
        <w:tc>
          <w:tcPr>
            <w:tcW w:w="4111" w:type="dxa"/>
            <w:gridSpan w:val="2"/>
            <w:tcBorders>
              <w:top w:val="single" w:sz="4" w:space="0" w:color="365F91"/>
              <w:left w:val="nil"/>
              <w:bottom w:val="nil"/>
              <w:right w:val="nil"/>
            </w:tcBorders>
          </w:tcPr>
          <w:p w14:paraId="38FD3B1D" w14:textId="77777777" w:rsidR="007C7851" w:rsidRPr="00D9348B" w:rsidRDefault="007C7851" w:rsidP="00DB330E">
            <w:pPr>
              <w:pStyle w:val="TableText"/>
              <w:keepNext/>
              <w:rPr>
                <w:highlight w:val="yellow"/>
              </w:rPr>
            </w:pPr>
          </w:p>
        </w:tc>
        <w:tc>
          <w:tcPr>
            <w:tcW w:w="1899" w:type="dxa"/>
            <w:tcBorders>
              <w:top w:val="single" w:sz="4" w:space="0" w:color="365F91"/>
              <w:left w:val="nil"/>
              <w:bottom w:val="nil"/>
              <w:right w:val="nil"/>
            </w:tcBorders>
          </w:tcPr>
          <w:p w14:paraId="65D1A57E" w14:textId="77777777" w:rsidR="007C7851" w:rsidRPr="00D9348B" w:rsidRDefault="007C7851" w:rsidP="00DB330E">
            <w:pPr>
              <w:pStyle w:val="TableText"/>
              <w:keepNext/>
              <w:rPr>
                <w:highlight w:val="yellow"/>
              </w:rPr>
            </w:pPr>
          </w:p>
        </w:tc>
      </w:tr>
      <w:tr w:rsidR="007C7851" w:rsidRPr="00D9348B" w14:paraId="3C318B6A" w14:textId="77777777" w:rsidTr="00DB330E">
        <w:tc>
          <w:tcPr>
            <w:tcW w:w="2552" w:type="dxa"/>
            <w:tcBorders>
              <w:top w:val="nil"/>
              <w:left w:val="nil"/>
              <w:bottom w:val="nil"/>
              <w:right w:val="nil"/>
            </w:tcBorders>
          </w:tcPr>
          <w:p w14:paraId="0350E13D" w14:textId="77777777" w:rsidR="007C7851" w:rsidRPr="00D9348B" w:rsidRDefault="007C7851" w:rsidP="00DB330E">
            <w:pPr>
              <w:pStyle w:val="TableText"/>
              <w:keepNext/>
              <w:ind w:left="284" w:hanging="284"/>
            </w:pPr>
            <w:r w:rsidRPr="00D9348B">
              <w:lastRenderedPageBreak/>
              <w:t xml:space="preserve">(a) </w:t>
            </w:r>
            <w:r w:rsidRPr="00D9348B">
              <w:tab/>
              <w:t>Account name: the holder of the account.</w:t>
            </w:r>
          </w:p>
        </w:tc>
        <w:tc>
          <w:tcPr>
            <w:tcW w:w="2126" w:type="dxa"/>
            <w:tcBorders>
              <w:top w:val="nil"/>
              <w:left w:val="nil"/>
              <w:bottom w:val="nil"/>
              <w:right w:val="nil"/>
            </w:tcBorders>
          </w:tcPr>
          <w:p w14:paraId="50DD9DA0" w14:textId="77777777" w:rsidR="007C7851" w:rsidRPr="00D9348B" w:rsidRDefault="007C7851" w:rsidP="00DB330E">
            <w:pPr>
              <w:pStyle w:val="TableText"/>
            </w:pPr>
            <w:r w:rsidRPr="00D9348B">
              <w:t>Yes (refer Public information and reports: Accounts).</w:t>
            </w:r>
          </w:p>
        </w:tc>
        <w:tc>
          <w:tcPr>
            <w:tcW w:w="1985" w:type="dxa"/>
            <w:tcBorders>
              <w:top w:val="nil"/>
              <w:left w:val="nil"/>
              <w:bottom w:val="nil"/>
              <w:right w:val="nil"/>
            </w:tcBorders>
          </w:tcPr>
          <w:p w14:paraId="60F4F35E" w14:textId="77777777" w:rsidR="007C7851" w:rsidRPr="00D9348B" w:rsidRDefault="007C7851" w:rsidP="00DB330E">
            <w:pPr>
              <w:pStyle w:val="TableText"/>
            </w:pPr>
            <w:r w:rsidRPr="00D9348B">
              <w:t>Up to date (note, refreshed daily)</w:t>
            </w:r>
          </w:p>
        </w:tc>
        <w:tc>
          <w:tcPr>
            <w:tcW w:w="1899" w:type="dxa"/>
            <w:tcBorders>
              <w:top w:val="nil"/>
              <w:left w:val="nil"/>
              <w:bottom w:val="nil"/>
              <w:right w:val="nil"/>
            </w:tcBorders>
          </w:tcPr>
          <w:p w14:paraId="302951BD" w14:textId="77777777" w:rsidR="007C7851" w:rsidRPr="00D9348B" w:rsidRDefault="007C7851" w:rsidP="00DB330E">
            <w:pPr>
              <w:pStyle w:val="TableText"/>
            </w:pPr>
            <w:r w:rsidRPr="00D9348B">
              <w:t>n/a</w:t>
            </w:r>
          </w:p>
        </w:tc>
      </w:tr>
      <w:tr w:rsidR="007C7851" w:rsidRPr="00D9348B" w14:paraId="2DE7EE18" w14:textId="77777777" w:rsidTr="00DB330E">
        <w:tc>
          <w:tcPr>
            <w:tcW w:w="2552" w:type="dxa"/>
            <w:tcBorders>
              <w:top w:val="nil"/>
              <w:left w:val="nil"/>
              <w:bottom w:val="nil"/>
              <w:right w:val="nil"/>
            </w:tcBorders>
          </w:tcPr>
          <w:p w14:paraId="53BE2D7C" w14:textId="77777777" w:rsidR="007C7851" w:rsidRPr="00D9348B" w:rsidRDefault="007C7851" w:rsidP="00DB330E">
            <w:pPr>
              <w:pStyle w:val="TableText"/>
              <w:ind w:left="284" w:hanging="284"/>
            </w:pPr>
            <w:r w:rsidRPr="00D9348B">
              <w:t xml:space="preserve">(b) </w:t>
            </w:r>
            <w:r w:rsidRPr="00D9348B">
              <w:tab/>
              <w:t>Account type: the type of account (holding, cancellation or retirement).</w:t>
            </w:r>
          </w:p>
        </w:tc>
        <w:tc>
          <w:tcPr>
            <w:tcW w:w="2126" w:type="dxa"/>
            <w:tcBorders>
              <w:top w:val="nil"/>
              <w:left w:val="nil"/>
              <w:bottom w:val="nil"/>
              <w:right w:val="nil"/>
            </w:tcBorders>
          </w:tcPr>
          <w:p w14:paraId="41E3CEEE" w14:textId="77777777" w:rsidR="007C7851" w:rsidRPr="00D9348B" w:rsidRDefault="007C7851" w:rsidP="00DB330E">
            <w:pPr>
              <w:pStyle w:val="TableText"/>
            </w:pPr>
            <w:r w:rsidRPr="00D9348B">
              <w:t>Yes (refer Public information and reports: Accounts).</w:t>
            </w:r>
          </w:p>
        </w:tc>
        <w:tc>
          <w:tcPr>
            <w:tcW w:w="1985" w:type="dxa"/>
            <w:tcBorders>
              <w:top w:val="nil"/>
              <w:left w:val="nil"/>
              <w:bottom w:val="nil"/>
              <w:right w:val="nil"/>
            </w:tcBorders>
          </w:tcPr>
          <w:p w14:paraId="5B8654FB" w14:textId="77777777" w:rsidR="007C7851" w:rsidRPr="00D9348B" w:rsidRDefault="007C7851" w:rsidP="00DB330E">
            <w:pPr>
              <w:pStyle w:val="TableText"/>
            </w:pPr>
            <w:r w:rsidRPr="00D9348B">
              <w:t>Up to date (note, refreshed daily)</w:t>
            </w:r>
          </w:p>
        </w:tc>
        <w:tc>
          <w:tcPr>
            <w:tcW w:w="1899" w:type="dxa"/>
            <w:tcBorders>
              <w:top w:val="nil"/>
              <w:left w:val="nil"/>
              <w:bottom w:val="nil"/>
              <w:right w:val="nil"/>
            </w:tcBorders>
          </w:tcPr>
          <w:p w14:paraId="4B76F6D4" w14:textId="77777777" w:rsidR="007C7851" w:rsidRPr="00D9348B" w:rsidRDefault="007C7851" w:rsidP="00DB330E">
            <w:pPr>
              <w:pStyle w:val="TableText"/>
            </w:pPr>
            <w:r w:rsidRPr="00D9348B">
              <w:t>n/a</w:t>
            </w:r>
          </w:p>
        </w:tc>
      </w:tr>
      <w:tr w:rsidR="007C7851" w:rsidRPr="00D9348B" w14:paraId="7BFA632E" w14:textId="77777777" w:rsidTr="00DB330E">
        <w:tc>
          <w:tcPr>
            <w:tcW w:w="2552" w:type="dxa"/>
            <w:tcBorders>
              <w:top w:val="nil"/>
              <w:left w:val="nil"/>
              <w:bottom w:val="nil"/>
              <w:right w:val="nil"/>
            </w:tcBorders>
          </w:tcPr>
          <w:p w14:paraId="35A5E8B5" w14:textId="77777777" w:rsidR="007C7851" w:rsidRPr="00D9348B" w:rsidRDefault="007C7851" w:rsidP="00DB330E">
            <w:pPr>
              <w:pStyle w:val="TableText"/>
              <w:ind w:left="284" w:hanging="284"/>
            </w:pPr>
            <w:r w:rsidRPr="00D9348B">
              <w:t xml:space="preserve">(c) </w:t>
            </w:r>
            <w:r w:rsidRPr="00D9348B">
              <w:tab/>
              <w:t>Commitment period: the commitment period with which a cancellation or retirement account is associated.</w:t>
            </w:r>
          </w:p>
        </w:tc>
        <w:tc>
          <w:tcPr>
            <w:tcW w:w="2126" w:type="dxa"/>
            <w:tcBorders>
              <w:top w:val="nil"/>
              <w:left w:val="nil"/>
              <w:bottom w:val="nil"/>
              <w:right w:val="nil"/>
            </w:tcBorders>
          </w:tcPr>
          <w:p w14:paraId="38DD475D" w14:textId="77777777" w:rsidR="007C7851" w:rsidRPr="00D9348B" w:rsidRDefault="007C7851" w:rsidP="00DB330E">
            <w:pPr>
              <w:pStyle w:val="TableText"/>
            </w:pPr>
            <w:r w:rsidRPr="00D9348B">
              <w:t>Yes (refer Public information and reports: Accounts).</w:t>
            </w:r>
          </w:p>
        </w:tc>
        <w:tc>
          <w:tcPr>
            <w:tcW w:w="1985" w:type="dxa"/>
            <w:tcBorders>
              <w:top w:val="nil"/>
              <w:left w:val="nil"/>
              <w:bottom w:val="nil"/>
              <w:right w:val="nil"/>
            </w:tcBorders>
          </w:tcPr>
          <w:p w14:paraId="1C078BEF" w14:textId="77777777" w:rsidR="007C7851" w:rsidRPr="00D9348B" w:rsidRDefault="007C7851" w:rsidP="00DB330E">
            <w:pPr>
              <w:pStyle w:val="TableText"/>
            </w:pPr>
            <w:r w:rsidRPr="00D9348B">
              <w:t>Up to date (note, refreshed daily)</w:t>
            </w:r>
          </w:p>
        </w:tc>
        <w:tc>
          <w:tcPr>
            <w:tcW w:w="1899" w:type="dxa"/>
            <w:tcBorders>
              <w:top w:val="nil"/>
              <w:left w:val="nil"/>
              <w:bottom w:val="nil"/>
              <w:right w:val="nil"/>
            </w:tcBorders>
          </w:tcPr>
          <w:p w14:paraId="68901ECC" w14:textId="77777777" w:rsidR="007C7851" w:rsidRPr="00D9348B" w:rsidRDefault="007C7851" w:rsidP="00DB330E">
            <w:pPr>
              <w:pStyle w:val="TableText"/>
            </w:pPr>
            <w:r w:rsidRPr="00D9348B">
              <w:t xml:space="preserve">n/a </w:t>
            </w:r>
          </w:p>
        </w:tc>
      </w:tr>
      <w:tr w:rsidR="007C7851" w:rsidRPr="00D9348B" w14:paraId="6A582331" w14:textId="77777777" w:rsidTr="00DB330E">
        <w:tc>
          <w:tcPr>
            <w:tcW w:w="2552" w:type="dxa"/>
            <w:tcBorders>
              <w:top w:val="nil"/>
              <w:left w:val="nil"/>
              <w:bottom w:val="nil"/>
              <w:right w:val="nil"/>
            </w:tcBorders>
          </w:tcPr>
          <w:p w14:paraId="4FBBCB34" w14:textId="77777777" w:rsidR="007C7851" w:rsidRPr="00D9348B" w:rsidRDefault="007C7851" w:rsidP="00DB330E">
            <w:pPr>
              <w:pStyle w:val="TableText"/>
              <w:ind w:left="284" w:hanging="284"/>
            </w:pPr>
            <w:r w:rsidRPr="00D9348B">
              <w:t xml:space="preserve">(d) </w:t>
            </w:r>
            <w:r w:rsidRPr="00D9348B">
              <w:tab/>
              <w:t>Representative identifier: the representative of the account holder, using the Party identifier (the two-letter country code defined by ISO 3166) and a number unique to that representative within the Party’s registry.</w:t>
            </w:r>
          </w:p>
        </w:tc>
        <w:tc>
          <w:tcPr>
            <w:tcW w:w="2126" w:type="dxa"/>
            <w:tcBorders>
              <w:top w:val="nil"/>
              <w:left w:val="nil"/>
              <w:bottom w:val="nil"/>
              <w:right w:val="nil"/>
            </w:tcBorders>
          </w:tcPr>
          <w:p w14:paraId="726F6E84" w14:textId="77777777" w:rsidR="007C7851" w:rsidRPr="00D9348B" w:rsidRDefault="007C7851" w:rsidP="00DB330E">
            <w:pPr>
              <w:pStyle w:val="TableText"/>
            </w:pPr>
            <w:r w:rsidRPr="00D9348B">
              <w:t>No – the representative identifiers for representatives are not publicly available and have been withheld for security reasons.</w:t>
            </w:r>
          </w:p>
        </w:tc>
        <w:tc>
          <w:tcPr>
            <w:tcW w:w="1985" w:type="dxa"/>
            <w:tcBorders>
              <w:top w:val="nil"/>
              <w:left w:val="nil"/>
              <w:bottom w:val="nil"/>
              <w:right w:val="nil"/>
            </w:tcBorders>
          </w:tcPr>
          <w:p w14:paraId="37EFBBFC" w14:textId="77777777" w:rsidR="007C7851" w:rsidRPr="00D9348B" w:rsidRDefault="007C7851" w:rsidP="00DB330E">
            <w:pPr>
              <w:pStyle w:val="TableText"/>
            </w:pPr>
            <w:r w:rsidRPr="00D9348B">
              <w:t>n/a</w:t>
            </w:r>
          </w:p>
        </w:tc>
        <w:tc>
          <w:tcPr>
            <w:tcW w:w="1899" w:type="dxa"/>
            <w:tcBorders>
              <w:top w:val="nil"/>
              <w:left w:val="nil"/>
              <w:bottom w:val="nil"/>
              <w:right w:val="nil"/>
            </w:tcBorders>
          </w:tcPr>
          <w:p w14:paraId="030B7A1C" w14:textId="77777777" w:rsidR="007C7851" w:rsidRPr="00D9348B" w:rsidRDefault="007C7851" w:rsidP="00DB330E">
            <w:pPr>
              <w:pStyle w:val="TableText"/>
            </w:pPr>
            <w:r w:rsidRPr="00D9348B">
              <w:t>Section 27(1</w:t>
            </w:r>
            <w:proofErr w:type="gramStart"/>
            <w:r w:rsidRPr="00D9348B">
              <w:t>)(</w:t>
            </w:r>
            <w:proofErr w:type="gramEnd"/>
            <w:r w:rsidRPr="00D9348B">
              <w:t>a) of the Climate Change Response Act 2002 does not require this information to be made publicly available. Only the holding account number for each account in the registry is publicly available under this section.</w:t>
            </w:r>
          </w:p>
        </w:tc>
      </w:tr>
      <w:tr w:rsidR="007C7851" w:rsidRPr="00D9348B" w14:paraId="1EA99385" w14:textId="77777777" w:rsidTr="00DB330E">
        <w:tc>
          <w:tcPr>
            <w:tcW w:w="2552" w:type="dxa"/>
            <w:tcBorders>
              <w:top w:val="nil"/>
              <w:left w:val="nil"/>
              <w:bottom w:val="single" w:sz="4" w:space="0" w:color="365F91"/>
              <w:right w:val="nil"/>
            </w:tcBorders>
          </w:tcPr>
          <w:p w14:paraId="524AF049" w14:textId="77777777" w:rsidR="007C7851" w:rsidRPr="00D9348B" w:rsidRDefault="007C7851" w:rsidP="00DB330E">
            <w:pPr>
              <w:pStyle w:val="TableText"/>
              <w:ind w:left="284" w:hanging="284"/>
            </w:pPr>
            <w:r w:rsidRPr="00D9348B">
              <w:br w:type="page"/>
              <w:t xml:space="preserve">(e) </w:t>
            </w:r>
            <w:r w:rsidRPr="00D9348B">
              <w:tab/>
              <w:t>Representative name and contact information: the full name, mailing address, telephone number, facsimile number and email address of the representative of the account holder.</w:t>
            </w:r>
          </w:p>
        </w:tc>
        <w:tc>
          <w:tcPr>
            <w:tcW w:w="2126" w:type="dxa"/>
            <w:tcBorders>
              <w:top w:val="nil"/>
              <w:left w:val="nil"/>
              <w:bottom w:val="single" w:sz="4" w:space="0" w:color="365F91"/>
              <w:right w:val="nil"/>
            </w:tcBorders>
          </w:tcPr>
          <w:p w14:paraId="1FF0F710" w14:textId="77777777" w:rsidR="007C7851" w:rsidRPr="00D9348B" w:rsidRDefault="007C7851" w:rsidP="00DB330E">
            <w:pPr>
              <w:pStyle w:val="TableText"/>
              <w:spacing w:after="0"/>
            </w:pPr>
            <w:r w:rsidRPr="00D9348B">
              <w:t>Partial – publication of the mailing address, email addresses, telephone numbers and facsimile number of the representatives has been withheld for security reasons.</w:t>
            </w:r>
          </w:p>
          <w:p w14:paraId="7A42F2C8" w14:textId="77777777" w:rsidR="007C7851" w:rsidRPr="00D9348B" w:rsidRDefault="007C7851" w:rsidP="00DB330E">
            <w:pPr>
              <w:pStyle w:val="TableText"/>
            </w:pPr>
            <w:r w:rsidRPr="00D9348B">
              <w:t>(Refer Public information and reports: Accounts.)</w:t>
            </w:r>
          </w:p>
        </w:tc>
        <w:tc>
          <w:tcPr>
            <w:tcW w:w="1985" w:type="dxa"/>
            <w:tcBorders>
              <w:top w:val="nil"/>
              <w:left w:val="nil"/>
              <w:bottom w:val="single" w:sz="4" w:space="0" w:color="365F91"/>
              <w:right w:val="nil"/>
            </w:tcBorders>
          </w:tcPr>
          <w:p w14:paraId="7568D7EB" w14:textId="77777777" w:rsidR="007C7851" w:rsidRPr="00D9348B" w:rsidRDefault="007C7851" w:rsidP="00DB330E">
            <w:pPr>
              <w:pStyle w:val="TableText"/>
            </w:pPr>
            <w:r w:rsidRPr="00D9348B">
              <w:t>Up to date (note, refreshed daily)</w:t>
            </w:r>
          </w:p>
        </w:tc>
        <w:tc>
          <w:tcPr>
            <w:tcW w:w="1899" w:type="dxa"/>
            <w:tcBorders>
              <w:top w:val="nil"/>
              <w:left w:val="nil"/>
              <w:bottom w:val="single" w:sz="4" w:space="0" w:color="365F91"/>
              <w:right w:val="nil"/>
            </w:tcBorders>
          </w:tcPr>
          <w:p w14:paraId="5230368D" w14:textId="77777777" w:rsidR="007C7851" w:rsidRPr="00D9348B" w:rsidRDefault="007C7851" w:rsidP="00DB330E">
            <w:pPr>
              <w:pStyle w:val="TableText"/>
            </w:pPr>
            <w:r w:rsidRPr="00D9348B">
              <w:t xml:space="preserve">Section 13 of the Climate Change Response Act 2002 permits the Registrar to withhold access to the email address and phone and fax numbers of account holder’s representatives on the grounds of security or integrity of the registry. </w:t>
            </w:r>
          </w:p>
        </w:tc>
      </w:tr>
      <w:tr w:rsidR="007C7851" w:rsidRPr="00D9348B" w14:paraId="633289E8" w14:textId="77777777" w:rsidTr="00DB330E">
        <w:tc>
          <w:tcPr>
            <w:tcW w:w="2552" w:type="dxa"/>
            <w:tcBorders>
              <w:top w:val="single" w:sz="4" w:space="0" w:color="365F91"/>
              <w:left w:val="nil"/>
              <w:bottom w:val="nil"/>
              <w:right w:val="nil"/>
            </w:tcBorders>
          </w:tcPr>
          <w:p w14:paraId="6A8D160D" w14:textId="77777777" w:rsidR="007C7851" w:rsidRPr="00D9348B" w:rsidRDefault="007C7851" w:rsidP="00DB330E">
            <w:pPr>
              <w:pStyle w:val="TableText"/>
              <w:ind w:left="284" w:hanging="284"/>
            </w:pPr>
            <w:r w:rsidRPr="00D9348B">
              <w:t xml:space="preserve">46. </w:t>
            </w:r>
            <w:r w:rsidRPr="00D9348B">
              <w:tab/>
              <w:t xml:space="preserve">The information referred to in paragraph 44 shall include the following Article 6 project information, for each project identifier against which the Party has issued ERUs: </w:t>
            </w:r>
          </w:p>
        </w:tc>
        <w:tc>
          <w:tcPr>
            <w:tcW w:w="6010" w:type="dxa"/>
            <w:gridSpan w:val="3"/>
            <w:tcBorders>
              <w:top w:val="single" w:sz="4" w:space="0" w:color="365F91"/>
              <w:left w:val="nil"/>
              <w:bottom w:val="nil"/>
              <w:right w:val="nil"/>
            </w:tcBorders>
          </w:tcPr>
          <w:p w14:paraId="4193EE87" w14:textId="77777777" w:rsidR="007C7851" w:rsidRPr="00D9348B" w:rsidRDefault="007C7851" w:rsidP="00DB330E">
            <w:pPr>
              <w:pStyle w:val="TableText"/>
            </w:pPr>
          </w:p>
        </w:tc>
      </w:tr>
      <w:tr w:rsidR="007C7851" w:rsidRPr="00D9348B" w14:paraId="6B91FA51" w14:textId="77777777" w:rsidTr="00DB330E">
        <w:tc>
          <w:tcPr>
            <w:tcW w:w="2552" w:type="dxa"/>
            <w:tcBorders>
              <w:top w:val="nil"/>
              <w:left w:val="nil"/>
              <w:bottom w:val="nil"/>
              <w:right w:val="nil"/>
            </w:tcBorders>
          </w:tcPr>
          <w:p w14:paraId="24E17375" w14:textId="77777777" w:rsidR="007C7851" w:rsidRPr="00D9348B" w:rsidRDefault="007C7851" w:rsidP="00DB330E">
            <w:pPr>
              <w:pStyle w:val="TableText"/>
              <w:ind w:left="284" w:hanging="284"/>
            </w:pPr>
            <w:r w:rsidRPr="00D9348B">
              <w:t xml:space="preserve">(a) </w:t>
            </w:r>
            <w:r w:rsidRPr="00D9348B">
              <w:tab/>
              <w:t>Project name: a unique name for the project.</w:t>
            </w:r>
          </w:p>
        </w:tc>
        <w:tc>
          <w:tcPr>
            <w:tcW w:w="2126" w:type="dxa"/>
            <w:tcBorders>
              <w:top w:val="nil"/>
              <w:left w:val="nil"/>
              <w:bottom w:val="nil"/>
              <w:right w:val="nil"/>
            </w:tcBorders>
          </w:tcPr>
          <w:p w14:paraId="781711BD" w14:textId="77777777" w:rsidR="007C7851" w:rsidRPr="00D9348B" w:rsidRDefault="007C7851" w:rsidP="00DB330E">
            <w:pPr>
              <w:pStyle w:val="TableText"/>
            </w:pPr>
            <w:r w:rsidRPr="00D9348B">
              <w:t>Yes (refer Public information and reports: Joint implementation (JI) projects).</w:t>
            </w:r>
          </w:p>
        </w:tc>
        <w:tc>
          <w:tcPr>
            <w:tcW w:w="1985" w:type="dxa"/>
            <w:tcBorders>
              <w:top w:val="nil"/>
              <w:left w:val="nil"/>
              <w:bottom w:val="nil"/>
              <w:right w:val="nil"/>
            </w:tcBorders>
          </w:tcPr>
          <w:p w14:paraId="28106F61" w14:textId="77777777" w:rsidR="007C7851" w:rsidRPr="00D9348B" w:rsidRDefault="007C7851" w:rsidP="00DB330E">
            <w:pPr>
              <w:pStyle w:val="TableText"/>
            </w:pPr>
            <w:r w:rsidRPr="00D9348B">
              <w:t>Up to date</w:t>
            </w:r>
          </w:p>
        </w:tc>
        <w:tc>
          <w:tcPr>
            <w:tcW w:w="1899" w:type="dxa"/>
            <w:tcBorders>
              <w:top w:val="nil"/>
              <w:left w:val="nil"/>
              <w:bottom w:val="nil"/>
              <w:right w:val="nil"/>
            </w:tcBorders>
          </w:tcPr>
          <w:p w14:paraId="198DAF7C" w14:textId="77777777" w:rsidR="007C7851" w:rsidRPr="00D9348B" w:rsidRDefault="007C7851" w:rsidP="00DB330E">
            <w:pPr>
              <w:pStyle w:val="TableText"/>
            </w:pPr>
            <w:r w:rsidRPr="00D9348B">
              <w:t>n/a</w:t>
            </w:r>
          </w:p>
        </w:tc>
      </w:tr>
      <w:tr w:rsidR="007C7851" w:rsidRPr="00D9348B" w14:paraId="0B2852D0" w14:textId="77777777" w:rsidTr="00DB330E">
        <w:tc>
          <w:tcPr>
            <w:tcW w:w="2552" w:type="dxa"/>
            <w:tcBorders>
              <w:top w:val="nil"/>
              <w:left w:val="nil"/>
              <w:bottom w:val="nil"/>
              <w:right w:val="nil"/>
            </w:tcBorders>
          </w:tcPr>
          <w:p w14:paraId="5A3CE033" w14:textId="77777777" w:rsidR="007C7851" w:rsidRPr="00D9348B" w:rsidRDefault="007C7851" w:rsidP="00DB330E">
            <w:pPr>
              <w:pStyle w:val="TableText"/>
              <w:ind w:left="284" w:hanging="284"/>
            </w:pPr>
            <w:r w:rsidRPr="00D9348B">
              <w:t xml:space="preserve">(b) </w:t>
            </w:r>
            <w:r w:rsidRPr="00D9348B">
              <w:tab/>
              <w:t>Project location: the Party and town or region in which the project is located.</w:t>
            </w:r>
          </w:p>
        </w:tc>
        <w:tc>
          <w:tcPr>
            <w:tcW w:w="2126" w:type="dxa"/>
            <w:tcBorders>
              <w:top w:val="nil"/>
              <w:left w:val="nil"/>
              <w:bottom w:val="nil"/>
              <w:right w:val="nil"/>
            </w:tcBorders>
          </w:tcPr>
          <w:p w14:paraId="6C71D838" w14:textId="77777777" w:rsidR="007C7851" w:rsidRPr="00D9348B" w:rsidRDefault="007C7851" w:rsidP="00DB330E">
            <w:pPr>
              <w:pStyle w:val="TableText"/>
            </w:pPr>
            <w:r w:rsidRPr="00D9348B">
              <w:t>Yes (refer Public information and reports: Joint implementation (JI) projects).</w:t>
            </w:r>
          </w:p>
        </w:tc>
        <w:tc>
          <w:tcPr>
            <w:tcW w:w="1985" w:type="dxa"/>
            <w:tcBorders>
              <w:top w:val="nil"/>
              <w:left w:val="nil"/>
              <w:bottom w:val="nil"/>
              <w:right w:val="nil"/>
            </w:tcBorders>
          </w:tcPr>
          <w:p w14:paraId="6680D86C" w14:textId="77777777" w:rsidR="007C7851" w:rsidRPr="00D9348B" w:rsidRDefault="007C7851" w:rsidP="00DB330E">
            <w:pPr>
              <w:pStyle w:val="TableText"/>
            </w:pPr>
            <w:r w:rsidRPr="00D9348B">
              <w:t>Up to date</w:t>
            </w:r>
          </w:p>
        </w:tc>
        <w:tc>
          <w:tcPr>
            <w:tcW w:w="1899" w:type="dxa"/>
            <w:tcBorders>
              <w:top w:val="nil"/>
              <w:left w:val="nil"/>
              <w:bottom w:val="nil"/>
              <w:right w:val="nil"/>
            </w:tcBorders>
          </w:tcPr>
          <w:p w14:paraId="77FB9FA4" w14:textId="77777777" w:rsidR="007C7851" w:rsidRPr="00D9348B" w:rsidRDefault="007C7851" w:rsidP="00DB330E">
            <w:pPr>
              <w:pStyle w:val="TableText"/>
            </w:pPr>
            <w:r w:rsidRPr="00D9348B">
              <w:t xml:space="preserve">n/a </w:t>
            </w:r>
          </w:p>
        </w:tc>
      </w:tr>
      <w:tr w:rsidR="007C7851" w:rsidRPr="00D9348B" w14:paraId="0EF1B733" w14:textId="77777777" w:rsidTr="00DB330E">
        <w:tc>
          <w:tcPr>
            <w:tcW w:w="2552" w:type="dxa"/>
            <w:tcBorders>
              <w:top w:val="nil"/>
              <w:left w:val="nil"/>
              <w:bottom w:val="nil"/>
              <w:right w:val="nil"/>
            </w:tcBorders>
          </w:tcPr>
          <w:p w14:paraId="24FDAF56" w14:textId="77777777" w:rsidR="007C7851" w:rsidRPr="00D9348B" w:rsidRDefault="007C7851" w:rsidP="00DB330E">
            <w:pPr>
              <w:pStyle w:val="TableText"/>
              <w:ind w:left="284" w:hanging="284"/>
            </w:pPr>
            <w:r w:rsidRPr="00D9348B">
              <w:t>(</w:t>
            </w:r>
            <w:proofErr w:type="gramStart"/>
            <w:r w:rsidRPr="00D9348B">
              <w:t>c</w:t>
            </w:r>
            <w:proofErr w:type="gramEnd"/>
            <w:r w:rsidRPr="00D9348B">
              <w:t xml:space="preserve">) </w:t>
            </w:r>
            <w:r w:rsidRPr="00D9348B">
              <w:tab/>
              <w:t>Years of ERU issuance: the years when ERUs have been issued as a result of the Article 6 project.</w:t>
            </w:r>
          </w:p>
        </w:tc>
        <w:tc>
          <w:tcPr>
            <w:tcW w:w="2126" w:type="dxa"/>
            <w:tcBorders>
              <w:top w:val="nil"/>
              <w:left w:val="nil"/>
              <w:bottom w:val="nil"/>
              <w:right w:val="nil"/>
            </w:tcBorders>
          </w:tcPr>
          <w:p w14:paraId="333C2B71" w14:textId="77777777" w:rsidR="007C7851" w:rsidRPr="00D9348B" w:rsidRDefault="007C7851" w:rsidP="00DB330E">
            <w:pPr>
              <w:pStyle w:val="TableText"/>
              <w:spacing w:after="0"/>
            </w:pPr>
            <w:r w:rsidRPr="00D9348B">
              <w:t xml:space="preserve">Yes (refer Public information and reports: Ministers’ directions, which list directions relating to the transfer of emission reduction units to individual JI Projects. </w:t>
            </w:r>
          </w:p>
          <w:p w14:paraId="265B668B" w14:textId="77777777" w:rsidR="007C7851" w:rsidRPr="00D9348B" w:rsidRDefault="007C7851" w:rsidP="00DB330E">
            <w:pPr>
              <w:pStyle w:val="TableText"/>
            </w:pPr>
            <w:r w:rsidRPr="00D9348B">
              <w:t>The New Zealand Emission Trading Register Unit Holding and Transaction Summary Report shows in aggregate the total ERUs converted from AAUs by year).</w:t>
            </w:r>
          </w:p>
        </w:tc>
        <w:tc>
          <w:tcPr>
            <w:tcW w:w="1985" w:type="dxa"/>
            <w:tcBorders>
              <w:top w:val="nil"/>
              <w:left w:val="nil"/>
              <w:bottom w:val="nil"/>
              <w:right w:val="nil"/>
            </w:tcBorders>
          </w:tcPr>
          <w:p w14:paraId="1B79A9D5" w14:textId="77777777" w:rsidR="007C7851" w:rsidRPr="00D9348B" w:rsidRDefault="007C7851" w:rsidP="00DB330E">
            <w:pPr>
              <w:pStyle w:val="TableText"/>
              <w:spacing w:after="0"/>
            </w:pPr>
            <w:r w:rsidRPr="00D9348B">
              <w:t>Joint implementation projects annually by 31 January for the previous calendar year</w:t>
            </w:r>
          </w:p>
          <w:p w14:paraId="257500DC" w14:textId="77777777" w:rsidR="007C7851" w:rsidRPr="00D9348B" w:rsidRDefault="007C7851" w:rsidP="00DB330E">
            <w:pPr>
              <w:pStyle w:val="TableText"/>
            </w:pPr>
            <w:r w:rsidRPr="00D9348B">
              <w:t>Ministers’ directions – up to date (note, refreshed daily)</w:t>
            </w:r>
          </w:p>
        </w:tc>
        <w:tc>
          <w:tcPr>
            <w:tcW w:w="1899" w:type="dxa"/>
            <w:tcBorders>
              <w:top w:val="nil"/>
              <w:left w:val="nil"/>
              <w:bottom w:val="nil"/>
              <w:right w:val="nil"/>
            </w:tcBorders>
          </w:tcPr>
          <w:p w14:paraId="14AEBF68" w14:textId="77777777" w:rsidR="007C7851" w:rsidRPr="00D9348B" w:rsidRDefault="007C7851" w:rsidP="00DB330E">
            <w:pPr>
              <w:pStyle w:val="TableText"/>
            </w:pPr>
            <w:r w:rsidRPr="00D9348B">
              <w:t>n/a</w:t>
            </w:r>
          </w:p>
        </w:tc>
      </w:tr>
      <w:tr w:rsidR="007C7851" w:rsidRPr="00D9348B" w14:paraId="34BE5ACF" w14:textId="77777777" w:rsidTr="00DB330E">
        <w:tc>
          <w:tcPr>
            <w:tcW w:w="2552" w:type="dxa"/>
            <w:tcBorders>
              <w:top w:val="nil"/>
              <w:left w:val="nil"/>
              <w:bottom w:val="single" w:sz="4" w:space="0" w:color="365F91"/>
              <w:right w:val="nil"/>
            </w:tcBorders>
          </w:tcPr>
          <w:p w14:paraId="6A0DDEC4" w14:textId="77777777" w:rsidR="007C7851" w:rsidRPr="00D9348B" w:rsidRDefault="007C7851" w:rsidP="00DB330E">
            <w:pPr>
              <w:pStyle w:val="TableText"/>
              <w:ind w:left="284" w:hanging="284"/>
            </w:pPr>
            <w:r w:rsidRPr="00D9348B">
              <w:lastRenderedPageBreak/>
              <w:t xml:space="preserve">(d) </w:t>
            </w:r>
            <w:r w:rsidRPr="00D9348B">
              <w:tab/>
              <w:t>Reports: downloadable electronic versions of all publicly available documentation relating to the project, including proposals, monitoring, verification and issuance of ERUs, where relevant, subject to the confidentiality provisions in decision 9/CMP.1.</w:t>
            </w:r>
          </w:p>
        </w:tc>
        <w:tc>
          <w:tcPr>
            <w:tcW w:w="2126" w:type="dxa"/>
            <w:tcBorders>
              <w:top w:val="nil"/>
              <w:left w:val="nil"/>
              <w:bottom w:val="single" w:sz="4" w:space="0" w:color="365F91"/>
              <w:right w:val="nil"/>
            </w:tcBorders>
          </w:tcPr>
          <w:p w14:paraId="3127EABB" w14:textId="77777777" w:rsidR="007C7851" w:rsidRPr="00D9348B" w:rsidRDefault="007C7851" w:rsidP="00DB330E">
            <w:pPr>
              <w:pStyle w:val="TableText"/>
              <w:spacing w:after="0"/>
            </w:pPr>
            <w:r w:rsidRPr="00D9348B">
              <w:t>No – the report provides a link to the project documentation on the UNFCCC site (</w:t>
            </w:r>
            <w:hyperlink r:id="rId290" w:history="1">
              <w:r w:rsidRPr="00D9348B">
                <w:t>https://ji.unfccc.int/JI_Parties/DB/E48QQ342M7VSOFWEI6MTBKVVF9NFAM/viewDFP</w:t>
              </w:r>
            </w:hyperlink>
            <w:r w:rsidRPr="00D9348B">
              <w:t>) and is not replicated on the New Zealand’s national registry website.</w:t>
            </w:r>
          </w:p>
          <w:p w14:paraId="6364E67E" w14:textId="77777777" w:rsidR="007C7851" w:rsidRPr="00D9348B" w:rsidRDefault="007C7851" w:rsidP="00DB330E">
            <w:pPr>
              <w:pStyle w:val="TableText"/>
            </w:pPr>
            <w:r w:rsidRPr="00D9348B">
              <w:t>The following information for each JI project is published:</w:t>
            </w:r>
          </w:p>
          <w:p w14:paraId="30EB5275" w14:textId="77777777" w:rsidR="007C7851" w:rsidRPr="00D9348B" w:rsidRDefault="007C7851" w:rsidP="00DB330E">
            <w:pPr>
              <w:pStyle w:val="TableBullet"/>
              <w:tabs>
                <w:tab w:val="clear" w:pos="284"/>
              </w:tabs>
              <w:spacing w:before="0"/>
              <w:ind w:left="170" w:hanging="170"/>
            </w:pPr>
            <w:r w:rsidRPr="00D9348B">
              <w:t xml:space="preserve">non-host party project approval </w:t>
            </w:r>
          </w:p>
          <w:p w14:paraId="4EC70E72" w14:textId="77777777" w:rsidR="007C7851" w:rsidRPr="00D9348B" w:rsidRDefault="007C7851" w:rsidP="00DB330E">
            <w:pPr>
              <w:pStyle w:val="TableBullet"/>
              <w:tabs>
                <w:tab w:val="clear" w:pos="284"/>
              </w:tabs>
              <w:spacing w:before="0"/>
              <w:ind w:left="170" w:hanging="170"/>
            </w:pPr>
            <w:r w:rsidRPr="00D9348B">
              <w:t xml:space="preserve">annual reports </w:t>
            </w:r>
          </w:p>
          <w:p w14:paraId="4582113E" w14:textId="77777777" w:rsidR="007C7851" w:rsidRPr="00D9348B" w:rsidRDefault="007C7851" w:rsidP="00DB330E">
            <w:pPr>
              <w:pStyle w:val="TableBullet"/>
              <w:tabs>
                <w:tab w:val="clear" w:pos="284"/>
              </w:tabs>
              <w:spacing w:before="0" w:after="0"/>
              <w:ind w:left="170" w:hanging="170"/>
            </w:pPr>
            <w:proofErr w:type="gramStart"/>
            <w:r w:rsidRPr="00D9348B">
              <w:t>verification</w:t>
            </w:r>
            <w:proofErr w:type="gramEnd"/>
            <w:r w:rsidRPr="00D9348B">
              <w:t xml:space="preserve"> reports. </w:t>
            </w:r>
          </w:p>
          <w:p w14:paraId="29DC4B98" w14:textId="77777777" w:rsidR="007C7851" w:rsidRPr="00D9348B" w:rsidRDefault="007C7851" w:rsidP="00DB330E">
            <w:pPr>
              <w:pStyle w:val="TableText"/>
            </w:pPr>
            <w:r w:rsidRPr="00D9348B">
              <w:t>Project proposals are not included as they contain financial information that is considered to be commercially sensitive and confidential.</w:t>
            </w:r>
          </w:p>
        </w:tc>
        <w:tc>
          <w:tcPr>
            <w:tcW w:w="1985" w:type="dxa"/>
            <w:tcBorders>
              <w:top w:val="nil"/>
              <w:left w:val="nil"/>
              <w:bottom w:val="single" w:sz="4" w:space="0" w:color="365F91"/>
              <w:right w:val="nil"/>
            </w:tcBorders>
          </w:tcPr>
          <w:p w14:paraId="034CD86B" w14:textId="77777777" w:rsidR="007C7851" w:rsidRPr="00D9348B" w:rsidRDefault="007C7851" w:rsidP="00DB330E">
            <w:pPr>
              <w:pStyle w:val="TableText"/>
            </w:pPr>
            <w:r w:rsidRPr="00D9348B">
              <w:t>This information becomes publicly available once New Zealand gives its approval to the JI project. The information is then updated when necessary and annual reports are added annually.</w:t>
            </w:r>
          </w:p>
        </w:tc>
        <w:tc>
          <w:tcPr>
            <w:tcW w:w="1899" w:type="dxa"/>
            <w:tcBorders>
              <w:top w:val="nil"/>
              <w:left w:val="nil"/>
              <w:bottom w:val="single" w:sz="4" w:space="0" w:color="365F91"/>
              <w:right w:val="nil"/>
            </w:tcBorders>
          </w:tcPr>
          <w:p w14:paraId="36173E50" w14:textId="77777777" w:rsidR="007C7851" w:rsidRPr="00D9348B" w:rsidRDefault="007C7851" w:rsidP="00DB330E">
            <w:pPr>
              <w:pStyle w:val="TableText"/>
            </w:pPr>
            <w:r w:rsidRPr="00D9348B">
              <w:t>n/a</w:t>
            </w:r>
          </w:p>
        </w:tc>
      </w:tr>
      <w:tr w:rsidR="007C7851" w:rsidRPr="00D9348B" w14:paraId="3A6BB835" w14:textId="77777777" w:rsidTr="00DB330E">
        <w:tc>
          <w:tcPr>
            <w:tcW w:w="2552" w:type="dxa"/>
            <w:tcBorders>
              <w:top w:val="single" w:sz="4" w:space="0" w:color="365F91"/>
              <w:left w:val="nil"/>
              <w:bottom w:val="nil"/>
              <w:right w:val="nil"/>
            </w:tcBorders>
          </w:tcPr>
          <w:p w14:paraId="05AE7638" w14:textId="11EC0080" w:rsidR="007C7851" w:rsidRPr="00D9348B" w:rsidRDefault="007C7851" w:rsidP="00DB330E">
            <w:pPr>
              <w:pStyle w:val="TableText"/>
              <w:ind w:left="284" w:hanging="284"/>
            </w:pPr>
            <w:r w:rsidRPr="00D9348B">
              <w:t xml:space="preserve">47. </w:t>
            </w:r>
            <w:r w:rsidRPr="00D9348B">
              <w:tab/>
              <w:t>The information referred to in paragraph 44 shall include the following holding and transaction information relevant to the national registry, by serial number, for each calendar year (defined according to Greenwich Mean</w:t>
            </w:r>
            <w:r w:rsidR="00911626" w:rsidRPr="00D9348B">
              <w:t> </w:t>
            </w:r>
            <w:r w:rsidRPr="00D9348B">
              <w:t>Time):</w:t>
            </w:r>
          </w:p>
        </w:tc>
        <w:tc>
          <w:tcPr>
            <w:tcW w:w="4111" w:type="dxa"/>
            <w:gridSpan w:val="2"/>
            <w:tcBorders>
              <w:top w:val="single" w:sz="4" w:space="0" w:color="365F91"/>
              <w:left w:val="nil"/>
              <w:bottom w:val="nil"/>
              <w:right w:val="nil"/>
            </w:tcBorders>
          </w:tcPr>
          <w:p w14:paraId="10F9EC9B" w14:textId="77777777" w:rsidR="007C7851" w:rsidRPr="00D9348B" w:rsidRDefault="007C7851" w:rsidP="00DB330E">
            <w:pPr>
              <w:pStyle w:val="TableText"/>
            </w:pPr>
          </w:p>
        </w:tc>
        <w:tc>
          <w:tcPr>
            <w:tcW w:w="1899" w:type="dxa"/>
            <w:tcBorders>
              <w:top w:val="single" w:sz="4" w:space="0" w:color="365F91"/>
              <w:left w:val="nil"/>
              <w:bottom w:val="nil"/>
              <w:right w:val="nil"/>
            </w:tcBorders>
          </w:tcPr>
          <w:p w14:paraId="5EF6BADE" w14:textId="77777777" w:rsidR="007C7851" w:rsidRPr="00D9348B" w:rsidRDefault="007C7851" w:rsidP="00DB330E">
            <w:pPr>
              <w:pStyle w:val="TableText"/>
            </w:pPr>
          </w:p>
        </w:tc>
      </w:tr>
      <w:tr w:rsidR="007C7851" w:rsidRPr="00D9348B" w14:paraId="5483B037" w14:textId="77777777" w:rsidTr="00DB330E">
        <w:tc>
          <w:tcPr>
            <w:tcW w:w="2552" w:type="dxa"/>
            <w:tcBorders>
              <w:top w:val="nil"/>
              <w:left w:val="nil"/>
              <w:bottom w:val="nil"/>
              <w:right w:val="nil"/>
            </w:tcBorders>
          </w:tcPr>
          <w:p w14:paraId="51868FC3" w14:textId="013C5131" w:rsidR="007C7851" w:rsidRPr="00D9348B" w:rsidRDefault="007C7851" w:rsidP="00DB330E">
            <w:pPr>
              <w:pStyle w:val="TableText"/>
              <w:ind w:left="284" w:hanging="284"/>
            </w:pPr>
            <w:r w:rsidRPr="00D9348B">
              <w:t xml:space="preserve">(a) </w:t>
            </w:r>
            <w:r w:rsidRPr="00D9348B">
              <w:tab/>
              <w:t>The total quantity of ERUs, CERs, AAUs and RMUs in each account at the beginning of the</w:t>
            </w:r>
            <w:r w:rsidR="00911626" w:rsidRPr="00D9348B">
              <w:t> </w:t>
            </w:r>
            <w:r w:rsidRPr="00D9348B">
              <w:t>year.</w:t>
            </w:r>
          </w:p>
        </w:tc>
        <w:tc>
          <w:tcPr>
            <w:tcW w:w="2126" w:type="dxa"/>
            <w:tcBorders>
              <w:top w:val="nil"/>
              <w:left w:val="nil"/>
              <w:bottom w:val="nil"/>
              <w:right w:val="nil"/>
            </w:tcBorders>
          </w:tcPr>
          <w:p w14:paraId="324602C2" w14:textId="77777777" w:rsidR="007C7851" w:rsidRPr="00D9348B" w:rsidRDefault="007C7851" w:rsidP="00DB330E">
            <w:pPr>
              <w:pStyle w:val="TableText"/>
            </w:pPr>
            <w:r w:rsidRPr="00D9348B">
              <w:t>Partial – aggregate unit holdings of ERUs, CERs, AAUs and RMUs for the previous calendar year are disclosed by 31 January of each year (refer Public information and reports: Holding &amp; transaction summary).</w:t>
            </w:r>
          </w:p>
          <w:p w14:paraId="42E49AED" w14:textId="77777777" w:rsidR="007C7851" w:rsidRPr="00D9348B" w:rsidRDefault="007C7851" w:rsidP="00DB330E">
            <w:pPr>
              <w:pStyle w:val="TableText"/>
            </w:pPr>
            <w:r w:rsidRPr="00D9348B">
              <w:t>Total quantity of unit holdings in each account within the most recent calendar year is considered to be confidential information. Therefore the total quantity of unit holdings in each account provided consists of only those completed more than one year in the past.</w:t>
            </w:r>
          </w:p>
          <w:p w14:paraId="571856C1" w14:textId="77777777" w:rsidR="007C7851" w:rsidRPr="00D9348B" w:rsidRDefault="007C7851" w:rsidP="00DB330E">
            <w:pPr>
              <w:pStyle w:val="TableText"/>
            </w:pPr>
            <w:r w:rsidRPr="00D9348B">
              <w:t>(Refer Public information and reports: Kyoto unit holdings by account. Use Search Criteria to find information about more than one year in the past.)</w:t>
            </w:r>
          </w:p>
        </w:tc>
        <w:tc>
          <w:tcPr>
            <w:tcW w:w="1985" w:type="dxa"/>
            <w:tcBorders>
              <w:top w:val="nil"/>
              <w:left w:val="nil"/>
              <w:bottom w:val="nil"/>
              <w:right w:val="nil"/>
            </w:tcBorders>
          </w:tcPr>
          <w:p w14:paraId="5BC51017" w14:textId="77777777" w:rsidR="007C7851" w:rsidRPr="00D9348B" w:rsidRDefault="007C7851" w:rsidP="00DB330E">
            <w:pPr>
              <w:pStyle w:val="TableText"/>
            </w:pPr>
            <w:r w:rsidRPr="00D9348B">
              <w:t>Annually by 31 January for the previous calendar year 1 January for the beginning of the previous calendar year</w:t>
            </w:r>
          </w:p>
        </w:tc>
        <w:tc>
          <w:tcPr>
            <w:tcW w:w="1899" w:type="dxa"/>
            <w:tcBorders>
              <w:top w:val="nil"/>
              <w:left w:val="nil"/>
              <w:bottom w:val="nil"/>
              <w:right w:val="nil"/>
            </w:tcBorders>
          </w:tcPr>
          <w:p w14:paraId="3207245D" w14:textId="77777777" w:rsidR="007C7851" w:rsidRPr="00D9348B" w:rsidRDefault="007C7851" w:rsidP="00DB330E">
            <w:pPr>
              <w:pStyle w:val="TableText"/>
              <w:spacing w:after="0"/>
            </w:pPr>
            <w:r w:rsidRPr="00D9348B">
              <w:t xml:space="preserve">Section 27(2) of the Climate Change Response Act 2002 requires total holdings of AAUs, ERUs, CERs, lCERs, tCERs and RMUs to be publicly available by 31 January of each year for the previous calendar year. </w:t>
            </w:r>
          </w:p>
          <w:p w14:paraId="570ACDBD" w14:textId="77777777" w:rsidR="007C7851" w:rsidRPr="00D9348B" w:rsidRDefault="007C7851" w:rsidP="00DB330E">
            <w:pPr>
              <w:pStyle w:val="TableText"/>
            </w:pPr>
            <w:r w:rsidRPr="00D9348B">
              <w:t xml:space="preserve">Section 27(3) of the Climate Change Response Act 2002 only requires holdings of Kyoto units by each holding account for the beginning of the previous calendar year to be made publicly available. </w:t>
            </w:r>
          </w:p>
        </w:tc>
      </w:tr>
      <w:tr w:rsidR="007C7851" w:rsidRPr="00D9348B" w14:paraId="36E86BFF" w14:textId="77777777" w:rsidTr="00DB330E">
        <w:tc>
          <w:tcPr>
            <w:tcW w:w="2552" w:type="dxa"/>
            <w:tcBorders>
              <w:top w:val="nil"/>
              <w:left w:val="nil"/>
              <w:bottom w:val="nil"/>
              <w:right w:val="nil"/>
            </w:tcBorders>
          </w:tcPr>
          <w:p w14:paraId="5B0BFEAD" w14:textId="77777777" w:rsidR="007C7851" w:rsidRPr="00D9348B" w:rsidRDefault="007C7851" w:rsidP="00DB330E">
            <w:pPr>
              <w:pStyle w:val="TableText"/>
              <w:keepNext/>
              <w:spacing w:before="50" w:after="50"/>
              <w:ind w:left="284" w:hanging="284"/>
            </w:pPr>
            <w:r w:rsidRPr="00D9348B">
              <w:lastRenderedPageBreak/>
              <w:t xml:space="preserve">(b) </w:t>
            </w:r>
            <w:r w:rsidRPr="00D9348B">
              <w:tab/>
              <w:t>The total quantity of AAUs issued on the basis of the assigned amount pursuant to Article 3, paragraphs 7 and 8.</w:t>
            </w:r>
          </w:p>
        </w:tc>
        <w:tc>
          <w:tcPr>
            <w:tcW w:w="2126" w:type="dxa"/>
            <w:tcBorders>
              <w:top w:val="nil"/>
              <w:left w:val="nil"/>
              <w:bottom w:val="nil"/>
              <w:right w:val="nil"/>
            </w:tcBorders>
          </w:tcPr>
          <w:p w14:paraId="763624BC" w14:textId="77777777" w:rsidR="007C7851" w:rsidRPr="00D9348B" w:rsidRDefault="007C7851" w:rsidP="00DB330E">
            <w:pPr>
              <w:pStyle w:val="TableText"/>
              <w:spacing w:before="50" w:after="50"/>
            </w:pPr>
            <w:r w:rsidRPr="00D9348B">
              <w:t>Yes (refer Public information and reports: Holding &amp; transaction summary).</w:t>
            </w:r>
          </w:p>
        </w:tc>
        <w:tc>
          <w:tcPr>
            <w:tcW w:w="1985" w:type="dxa"/>
            <w:tcBorders>
              <w:top w:val="nil"/>
              <w:left w:val="nil"/>
              <w:bottom w:val="nil"/>
              <w:right w:val="nil"/>
            </w:tcBorders>
          </w:tcPr>
          <w:p w14:paraId="162C4419" w14:textId="77777777" w:rsidR="007C7851" w:rsidRPr="00D9348B" w:rsidRDefault="007C7851" w:rsidP="00DB330E">
            <w:pPr>
              <w:pStyle w:val="TableText"/>
              <w:spacing w:before="50" w:after="50"/>
            </w:pPr>
            <w:r w:rsidRPr="00D9348B">
              <w:t>Annually by 31 January for the previous calendar year</w:t>
            </w:r>
          </w:p>
        </w:tc>
        <w:tc>
          <w:tcPr>
            <w:tcW w:w="1899" w:type="dxa"/>
            <w:tcBorders>
              <w:top w:val="nil"/>
              <w:left w:val="nil"/>
              <w:bottom w:val="nil"/>
              <w:right w:val="nil"/>
            </w:tcBorders>
          </w:tcPr>
          <w:p w14:paraId="3B3D3A0A" w14:textId="77777777" w:rsidR="007C7851" w:rsidRPr="00D9348B" w:rsidRDefault="007C7851" w:rsidP="00DB330E">
            <w:pPr>
              <w:pStyle w:val="TableText"/>
              <w:spacing w:before="50" w:after="50"/>
            </w:pPr>
            <w:r w:rsidRPr="00D9348B">
              <w:t>n/a</w:t>
            </w:r>
          </w:p>
        </w:tc>
      </w:tr>
      <w:tr w:rsidR="007C7851" w:rsidRPr="00D9348B" w14:paraId="217E245F" w14:textId="77777777" w:rsidTr="00DB330E">
        <w:tc>
          <w:tcPr>
            <w:tcW w:w="2552" w:type="dxa"/>
            <w:tcBorders>
              <w:top w:val="nil"/>
              <w:left w:val="nil"/>
              <w:bottom w:val="nil"/>
              <w:right w:val="nil"/>
            </w:tcBorders>
          </w:tcPr>
          <w:p w14:paraId="0D83F1BA" w14:textId="77777777" w:rsidR="007C7851" w:rsidRPr="00D9348B" w:rsidRDefault="007C7851" w:rsidP="00DB330E">
            <w:pPr>
              <w:pStyle w:val="TableText"/>
              <w:spacing w:before="50" w:after="50"/>
              <w:ind w:left="284" w:hanging="284"/>
            </w:pPr>
            <w:r w:rsidRPr="00D9348B">
              <w:t xml:space="preserve">(c) </w:t>
            </w:r>
            <w:r w:rsidRPr="00D9348B">
              <w:tab/>
              <w:t>The total quantity of ERUs issued on the basis of Article 6 projects.</w:t>
            </w:r>
          </w:p>
        </w:tc>
        <w:tc>
          <w:tcPr>
            <w:tcW w:w="2126" w:type="dxa"/>
            <w:tcBorders>
              <w:top w:val="nil"/>
              <w:left w:val="nil"/>
              <w:bottom w:val="nil"/>
              <w:right w:val="nil"/>
            </w:tcBorders>
          </w:tcPr>
          <w:p w14:paraId="19DD291D" w14:textId="77777777" w:rsidR="007C7851" w:rsidRPr="00D9348B" w:rsidRDefault="007C7851" w:rsidP="00DB330E">
            <w:pPr>
              <w:pStyle w:val="TableText"/>
              <w:spacing w:before="50" w:after="40"/>
            </w:pPr>
            <w:r w:rsidRPr="00D9348B">
              <w:t>Yes (refer Public information and reports: Holding &amp; transaction summary – Units converted to).</w:t>
            </w:r>
          </w:p>
        </w:tc>
        <w:tc>
          <w:tcPr>
            <w:tcW w:w="1985" w:type="dxa"/>
            <w:tcBorders>
              <w:top w:val="nil"/>
              <w:left w:val="nil"/>
              <w:bottom w:val="nil"/>
              <w:right w:val="nil"/>
            </w:tcBorders>
          </w:tcPr>
          <w:p w14:paraId="547F0E62" w14:textId="77777777" w:rsidR="007C7851" w:rsidRPr="00D9348B" w:rsidRDefault="007C7851" w:rsidP="00DB330E">
            <w:pPr>
              <w:pStyle w:val="TableText"/>
              <w:spacing w:before="50" w:after="50"/>
            </w:pPr>
            <w:r w:rsidRPr="00D9348B">
              <w:t>Annually by 31 January for the previous calendar year</w:t>
            </w:r>
          </w:p>
        </w:tc>
        <w:tc>
          <w:tcPr>
            <w:tcW w:w="1899" w:type="dxa"/>
            <w:tcBorders>
              <w:top w:val="nil"/>
              <w:left w:val="nil"/>
              <w:bottom w:val="nil"/>
              <w:right w:val="nil"/>
            </w:tcBorders>
          </w:tcPr>
          <w:p w14:paraId="29579F11" w14:textId="77777777" w:rsidR="007C7851" w:rsidRPr="00D9348B" w:rsidRDefault="007C7851" w:rsidP="00DB330E">
            <w:pPr>
              <w:pStyle w:val="TableText"/>
              <w:spacing w:before="50" w:after="50"/>
            </w:pPr>
            <w:r w:rsidRPr="00D9348B">
              <w:t>n/a</w:t>
            </w:r>
          </w:p>
        </w:tc>
      </w:tr>
      <w:tr w:rsidR="007C7851" w:rsidRPr="00D9348B" w14:paraId="5D510805" w14:textId="77777777" w:rsidTr="00DB330E">
        <w:tc>
          <w:tcPr>
            <w:tcW w:w="2552" w:type="dxa"/>
            <w:tcBorders>
              <w:top w:val="nil"/>
              <w:left w:val="nil"/>
              <w:bottom w:val="nil"/>
              <w:right w:val="nil"/>
            </w:tcBorders>
          </w:tcPr>
          <w:p w14:paraId="7F461824" w14:textId="77777777" w:rsidR="007C7851" w:rsidRPr="00D9348B" w:rsidRDefault="007C7851" w:rsidP="00DB330E">
            <w:pPr>
              <w:pStyle w:val="TableText"/>
              <w:ind w:left="284" w:hanging="284"/>
            </w:pPr>
            <w:r w:rsidRPr="00D9348B">
              <w:t xml:space="preserve">(d) </w:t>
            </w:r>
            <w:r w:rsidRPr="00D9348B">
              <w:tab/>
              <w:t>The total quantity of ERUs, CERs, AAUs and RMUs acquired from other registries and the identity of the transferring accounts and registries.</w:t>
            </w:r>
          </w:p>
        </w:tc>
        <w:tc>
          <w:tcPr>
            <w:tcW w:w="2126" w:type="dxa"/>
            <w:tcBorders>
              <w:top w:val="nil"/>
              <w:left w:val="nil"/>
              <w:bottom w:val="nil"/>
              <w:right w:val="nil"/>
            </w:tcBorders>
          </w:tcPr>
          <w:p w14:paraId="3F190FCB" w14:textId="77777777" w:rsidR="007C7851" w:rsidRPr="00D9348B" w:rsidRDefault="007C7851" w:rsidP="00DB330E">
            <w:pPr>
              <w:pStyle w:val="TableText"/>
            </w:pPr>
            <w:r w:rsidRPr="00D9348B">
              <w:t xml:space="preserve">Partial – the total quantity of ERUs, CERs, AAUs and RMUs acquired from other registries, and the identity of the registries is publicly available by 31 January for the previous calendar year (refer Public information and reports: Incoming transactions by year). </w:t>
            </w:r>
          </w:p>
          <w:p w14:paraId="3F7FBC2F" w14:textId="77777777" w:rsidR="007C7851" w:rsidRPr="00D9348B" w:rsidRDefault="007C7851" w:rsidP="00DB330E">
            <w:pPr>
              <w:pStyle w:val="TableText"/>
            </w:pPr>
            <w:r w:rsidRPr="00D9348B">
              <w:t>The identity of the individual transferring accounts is not available as it is considered to be confidential information.</w:t>
            </w:r>
          </w:p>
        </w:tc>
        <w:tc>
          <w:tcPr>
            <w:tcW w:w="1985" w:type="dxa"/>
            <w:tcBorders>
              <w:top w:val="nil"/>
              <w:left w:val="nil"/>
              <w:bottom w:val="nil"/>
              <w:right w:val="nil"/>
            </w:tcBorders>
          </w:tcPr>
          <w:p w14:paraId="22631DF5" w14:textId="77777777" w:rsidR="007C7851" w:rsidRPr="00D9348B" w:rsidRDefault="007C7851" w:rsidP="00DB330E">
            <w:pPr>
              <w:pStyle w:val="TableText"/>
            </w:pPr>
            <w:r w:rsidRPr="00D9348B">
              <w:t>Annually by 31 January for the previous calendar year</w:t>
            </w:r>
          </w:p>
        </w:tc>
        <w:tc>
          <w:tcPr>
            <w:tcW w:w="1899" w:type="dxa"/>
            <w:tcBorders>
              <w:top w:val="nil"/>
              <w:left w:val="nil"/>
              <w:bottom w:val="nil"/>
              <w:right w:val="nil"/>
            </w:tcBorders>
          </w:tcPr>
          <w:p w14:paraId="4F811366" w14:textId="77777777" w:rsidR="007C7851" w:rsidRPr="00D9348B" w:rsidRDefault="007C7851" w:rsidP="00DB330E">
            <w:pPr>
              <w:pStyle w:val="TableText"/>
            </w:pPr>
            <w:r w:rsidRPr="00D9348B">
              <w:t>n/a</w:t>
            </w:r>
          </w:p>
          <w:p w14:paraId="25D21044" w14:textId="77777777" w:rsidR="007C7851" w:rsidRPr="00D9348B" w:rsidRDefault="007C7851" w:rsidP="00DB330E">
            <w:pPr>
              <w:pStyle w:val="TableText"/>
              <w:spacing w:after="40"/>
            </w:pPr>
            <w:r w:rsidRPr="00D9348B">
              <w:t>Section 27(j) of the Climate Change Response Act 2002 requires that only the following be made publicly available:</w:t>
            </w:r>
          </w:p>
          <w:p w14:paraId="06C6BCE0" w14:textId="77777777" w:rsidR="007C7851" w:rsidRPr="00D9348B" w:rsidRDefault="007C7851" w:rsidP="00DB330E">
            <w:pPr>
              <w:pStyle w:val="TableBullet"/>
              <w:tabs>
                <w:tab w:val="clear" w:pos="284"/>
              </w:tabs>
              <w:spacing w:before="0" w:after="40"/>
              <w:ind w:left="170" w:hanging="170"/>
            </w:pPr>
            <w:r w:rsidRPr="00D9348B">
              <w:t>total quantity of units transferred</w:t>
            </w:r>
          </w:p>
          <w:p w14:paraId="11488B62" w14:textId="77777777" w:rsidR="007C7851" w:rsidRPr="00D9348B" w:rsidRDefault="007C7851" w:rsidP="00DB330E">
            <w:pPr>
              <w:pStyle w:val="TableBullet"/>
              <w:tabs>
                <w:tab w:val="clear" w:pos="284"/>
              </w:tabs>
              <w:spacing w:before="0" w:after="40"/>
              <w:ind w:left="170" w:hanging="170"/>
            </w:pPr>
            <w:r w:rsidRPr="00D9348B">
              <w:t>total quantity and type of unit transferred</w:t>
            </w:r>
          </w:p>
          <w:p w14:paraId="2717F64F" w14:textId="77777777" w:rsidR="007C7851" w:rsidRPr="00D9348B" w:rsidRDefault="007C7851" w:rsidP="00DB330E">
            <w:pPr>
              <w:pStyle w:val="TableBullet"/>
              <w:tabs>
                <w:tab w:val="clear" w:pos="284"/>
              </w:tabs>
              <w:spacing w:before="0" w:after="40"/>
              <w:ind w:left="170" w:hanging="170"/>
            </w:pPr>
            <w:proofErr w:type="gramStart"/>
            <w:r w:rsidRPr="00D9348B">
              <w:t>the</w:t>
            </w:r>
            <w:proofErr w:type="gramEnd"/>
            <w:r w:rsidRPr="00D9348B">
              <w:t xml:space="preserve"> identity of the transferring overseas registries, including the total quantity of units transferred from each overseas registry and each type of unit transferred from each overseas registry.</w:t>
            </w:r>
          </w:p>
        </w:tc>
      </w:tr>
      <w:tr w:rsidR="007C7851" w:rsidRPr="00D9348B" w14:paraId="191F1CE8" w14:textId="77777777" w:rsidTr="00DB330E">
        <w:tc>
          <w:tcPr>
            <w:tcW w:w="2552" w:type="dxa"/>
            <w:tcBorders>
              <w:top w:val="nil"/>
              <w:left w:val="nil"/>
              <w:bottom w:val="nil"/>
              <w:right w:val="nil"/>
            </w:tcBorders>
          </w:tcPr>
          <w:p w14:paraId="08AD810F" w14:textId="77777777" w:rsidR="007C7851" w:rsidRPr="00D9348B" w:rsidRDefault="007C7851" w:rsidP="00DB330E">
            <w:pPr>
              <w:pStyle w:val="TableText"/>
              <w:spacing w:before="40" w:after="40"/>
              <w:ind w:left="284" w:hanging="284"/>
            </w:pPr>
            <w:r w:rsidRPr="00D9348B">
              <w:t xml:space="preserve">(e) </w:t>
            </w:r>
            <w:r w:rsidRPr="00D9348B">
              <w:tab/>
              <w:t>The total quantity of RMUs issued on the basis of each activity under Article 3, paragraphs 3 and 4.</w:t>
            </w:r>
          </w:p>
        </w:tc>
        <w:tc>
          <w:tcPr>
            <w:tcW w:w="2126" w:type="dxa"/>
            <w:tcBorders>
              <w:top w:val="nil"/>
              <w:left w:val="nil"/>
              <w:bottom w:val="nil"/>
              <w:right w:val="nil"/>
            </w:tcBorders>
          </w:tcPr>
          <w:p w14:paraId="033CDCBE" w14:textId="77777777" w:rsidR="007C7851" w:rsidRPr="00D9348B" w:rsidRDefault="007C7851" w:rsidP="00DB330E">
            <w:pPr>
              <w:pStyle w:val="TableText"/>
              <w:spacing w:before="40" w:after="40"/>
            </w:pPr>
            <w:r w:rsidRPr="00D9348B">
              <w:t xml:space="preserve">Yes (refer Public information and reports: Holding &amp; transaction summary). </w:t>
            </w:r>
          </w:p>
        </w:tc>
        <w:tc>
          <w:tcPr>
            <w:tcW w:w="1985" w:type="dxa"/>
            <w:tcBorders>
              <w:top w:val="nil"/>
              <w:left w:val="nil"/>
              <w:bottom w:val="nil"/>
              <w:right w:val="nil"/>
            </w:tcBorders>
          </w:tcPr>
          <w:p w14:paraId="50ED12A7" w14:textId="77777777" w:rsidR="007C7851" w:rsidRPr="00D9348B" w:rsidRDefault="007C7851" w:rsidP="00DB330E">
            <w:pPr>
              <w:pStyle w:val="TableText"/>
              <w:spacing w:before="40" w:after="40"/>
            </w:pPr>
            <w:r w:rsidRPr="00D9348B">
              <w:t>Annually by 31 January for the previous calendar year</w:t>
            </w:r>
          </w:p>
        </w:tc>
        <w:tc>
          <w:tcPr>
            <w:tcW w:w="1899" w:type="dxa"/>
            <w:tcBorders>
              <w:top w:val="nil"/>
              <w:left w:val="nil"/>
              <w:bottom w:val="nil"/>
              <w:right w:val="nil"/>
            </w:tcBorders>
          </w:tcPr>
          <w:p w14:paraId="31F18243" w14:textId="77777777" w:rsidR="007C7851" w:rsidRPr="00D9348B" w:rsidRDefault="007C7851" w:rsidP="00DB330E">
            <w:pPr>
              <w:pStyle w:val="TableText"/>
              <w:spacing w:before="40" w:after="40"/>
            </w:pPr>
            <w:r w:rsidRPr="00D9348B">
              <w:t>n/a</w:t>
            </w:r>
          </w:p>
        </w:tc>
      </w:tr>
      <w:tr w:rsidR="007C7851" w:rsidRPr="00D9348B" w14:paraId="77BFF27C" w14:textId="77777777" w:rsidTr="00DB330E">
        <w:tc>
          <w:tcPr>
            <w:tcW w:w="2552" w:type="dxa"/>
            <w:tcBorders>
              <w:top w:val="nil"/>
              <w:left w:val="nil"/>
              <w:bottom w:val="nil"/>
              <w:right w:val="nil"/>
            </w:tcBorders>
          </w:tcPr>
          <w:p w14:paraId="59A4BE94" w14:textId="77777777" w:rsidR="007C7851" w:rsidRPr="00D9348B" w:rsidRDefault="007C7851" w:rsidP="00DB330E">
            <w:pPr>
              <w:pStyle w:val="TableText"/>
              <w:ind w:left="284" w:hanging="284"/>
            </w:pPr>
            <w:r w:rsidRPr="00D9348B">
              <w:t xml:space="preserve">(f) </w:t>
            </w:r>
            <w:r w:rsidRPr="00D9348B">
              <w:tab/>
              <w:t>The total quantity of ERUs, CERs, AAUs and RMUs transferred to other registries and the identity of the acquiring accounts and registries.</w:t>
            </w:r>
          </w:p>
        </w:tc>
        <w:tc>
          <w:tcPr>
            <w:tcW w:w="2126" w:type="dxa"/>
            <w:tcBorders>
              <w:top w:val="nil"/>
              <w:left w:val="nil"/>
              <w:bottom w:val="nil"/>
              <w:right w:val="nil"/>
            </w:tcBorders>
          </w:tcPr>
          <w:p w14:paraId="20302CDA" w14:textId="77777777" w:rsidR="007C7851" w:rsidRPr="00D9348B" w:rsidRDefault="007C7851" w:rsidP="00DB330E">
            <w:pPr>
              <w:pStyle w:val="TableText"/>
            </w:pPr>
            <w:r w:rsidRPr="00D9348B">
              <w:t>Partial – the total quantity of ERUs, CERs, AAUs and RMUs transferred to other registries, and the identity of the registries are publicly available by 31 January for the previous calendar year (refer Public information and reports: Outgoing transactions by year).</w:t>
            </w:r>
          </w:p>
          <w:p w14:paraId="73356F0C" w14:textId="77777777" w:rsidR="007C7851" w:rsidRPr="00D9348B" w:rsidRDefault="007C7851" w:rsidP="00DB330E">
            <w:pPr>
              <w:pStyle w:val="TableText"/>
              <w:spacing w:before="0"/>
            </w:pPr>
            <w:r w:rsidRPr="00D9348B">
              <w:t>The identity of the individual acquiring accounts is not available as it is considered to be confidential information.</w:t>
            </w:r>
          </w:p>
        </w:tc>
        <w:tc>
          <w:tcPr>
            <w:tcW w:w="1985" w:type="dxa"/>
            <w:tcBorders>
              <w:top w:val="nil"/>
              <w:left w:val="nil"/>
              <w:bottom w:val="nil"/>
              <w:right w:val="nil"/>
            </w:tcBorders>
          </w:tcPr>
          <w:p w14:paraId="63F226FA" w14:textId="77777777" w:rsidR="007C7851" w:rsidRPr="00D9348B" w:rsidRDefault="007C7851" w:rsidP="00DB330E">
            <w:pPr>
              <w:pStyle w:val="TableText"/>
            </w:pPr>
            <w:r w:rsidRPr="00D9348B">
              <w:t>Annually by 31 January for the previous calendar year</w:t>
            </w:r>
          </w:p>
        </w:tc>
        <w:tc>
          <w:tcPr>
            <w:tcW w:w="1899" w:type="dxa"/>
            <w:tcBorders>
              <w:top w:val="nil"/>
              <w:left w:val="nil"/>
              <w:bottom w:val="nil"/>
              <w:right w:val="nil"/>
            </w:tcBorders>
          </w:tcPr>
          <w:p w14:paraId="5BCE3C54" w14:textId="77777777" w:rsidR="007C7851" w:rsidRPr="00D9348B" w:rsidRDefault="007C7851" w:rsidP="00DB330E">
            <w:pPr>
              <w:pStyle w:val="TableText"/>
              <w:spacing w:after="0"/>
            </w:pPr>
            <w:r w:rsidRPr="00D9348B">
              <w:t>n/a</w:t>
            </w:r>
          </w:p>
          <w:p w14:paraId="11ED57DB" w14:textId="77777777" w:rsidR="007C7851" w:rsidRPr="00D9348B" w:rsidRDefault="007C7851" w:rsidP="00DB330E">
            <w:pPr>
              <w:pStyle w:val="TableText"/>
            </w:pPr>
            <w:r w:rsidRPr="00D9348B">
              <w:t>Section 27(k) of the Climate Change Response Act 2002 requires that only the following be publicly available:</w:t>
            </w:r>
          </w:p>
          <w:p w14:paraId="59503144" w14:textId="77777777" w:rsidR="007C7851" w:rsidRPr="00D9348B" w:rsidRDefault="007C7851" w:rsidP="00DB330E">
            <w:pPr>
              <w:pStyle w:val="TableBullet"/>
              <w:tabs>
                <w:tab w:val="clear" w:pos="284"/>
              </w:tabs>
              <w:spacing w:before="0" w:after="40"/>
              <w:ind w:left="170" w:hanging="170"/>
            </w:pPr>
            <w:r w:rsidRPr="00D9348B">
              <w:t>total quantity of units transferred</w:t>
            </w:r>
          </w:p>
          <w:p w14:paraId="747EED32" w14:textId="77777777" w:rsidR="007C7851" w:rsidRPr="00D9348B" w:rsidRDefault="007C7851" w:rsidP="00DB330E">
            <w:pPr>
              <w:pStyle w:val="TableBullet"/>
              <w:tabs>
                <w:tab w:val="clear" w:pos="284"/>
              </w:tabs>
              <w:spacing w:before="0" w:after="40"/>
              <w:ind w:left="170" w:hanging="170"/>
            </w:pPr>
            <w:r w:rsidRPr="00D9348B">
              <w:t>total quantity and type of unit transferred</w:t>
            </w:r>
          </w:p>
          <w:p w14:paraId="445E7BCB" w14:textId="77777777" w:rsidR="007C7851" w:rsidRPr="00D9348B" w:rsidRDefault="007C7851" w:rsidP="00DB330E">
            <w:pPr>
              <w:pStyle w:val="TableBullet"/>
              <w:tabs>
                <w:tab w:val="clear" w:pos="284"/>
              </w:tabs>
              <w:spacing w:before="0" w:after="40"/>
              <w:ind w:left="170" w:hanging="170"/>
            </w:pPr>
            <w:proofErr w:type="gramStart"/>
            <w:r w:rsidRPr="00D9348B">
              <w:t>the</w:t>
            </w:r>
            <w:proofErr w:type="gramEnd"/>
            <w:r w:rsidRPr="00D9348B">
              <w:t xml:space="preserve"> identity of the acquiring overseas registries, including the total quantity of units transferred to each overseas registry and each type of unit transferred to each overseas registry.</w:t>
            </w:r>
          </w:p>
        </w:tc>
      </w:tr>
      <w:tr w:rsidR="007C7851" w:rsidRPr="00D9348B" w14:paraId="61C34916" w14:textId="77777777" w:rsidTr="00DB330E">
        <w:tc>
          <w:tcPr>
            <w:tcW w:w="2552" w:type="dxa"/>
            <w:tcBorders>
              <w:top w:val="nil"/>
              <w:left w:val="nil"/>
              <w:bottom w:val="nil"/>
              <w:right w:val="nil"/>
            </w:tcBorders>
          </w:tcPr>
          <w:p w14:paraId="19C673CA" w14:textId="77777777" w:rsidR="007C7851" w:rsidRPr="00D9348B" w:rsidRDefault="007C7851" w:rsidP="00DB330E">
            <w:pPr>
              <w:pStyle w:val="TableText"/>
              <w:spacing w:before="40" w:after="40"/>
              <w:ind w:left="284" w:hanging="284"/>
            </w:pPr>
            <w:r w:rsidRPr="00D9348B">
              <w:t xml:space="preserve">(g) </w:t>
            </w:r>
            <w:r w:rsidRPr="00D9348B">
              <w:tab/>
              <w:t>The total quantity of ERUs, CERs, AAUs and RMUs cancelled on the basis of activities under Article 3, paragraphs 3 and 4.</w:t>
            </w:r>
          </w:p>
        </w:tc>
        <w:tc>
          <w:tcPr>
            <w:tcW w:w="2126" w:type="dxa"/>
            <w:tcBorders>
              <w:top w:val="nil"/>
              <w:left w:val="nil"/>
              <w:bottom w:val="nil"/>
              <w:right w:val="nil"/>
            </w:tcBorders>
          </w:tcPr>
          <w:p w14:paraId="6D54BFDB" w14:textId="77777777" w:rsidR="007C7851" w:rsidRPr="00D9348B" w:rsidRDefault="007C7851" w:rsidP="00DB330E">
            <w:pPr>
              <w:pStyle w:val="TableText"/>
              <w:spacing w:before="40" w:after="40"/>
            </w:pPr>
            <w:r w:rsidRPr="00D9348B">
              <w:t>Yes (refer Public information and reports: Holding &amp; transaction summary).</w:t>
            </w:r>
          </w:p>
        </w:tc>
        <w:tc>
          <w:tcPr>
            <w:tcW w:w="1985" w:type="dxa"/>
            <w:tcBorders>
              <w:top w:val="nil"/>
              <w:left w:val="nil"/>
              <w:bottom w:val="nil"/>
              <w:right w:val="nil"/>
            </w:tcBorders>
          </w:tcPr>
          <w:p w14:paraId="67512C97" w14:textId="77777777" w:rsidR="007C7851" w:rsidRPr="00D9348B" w:rsidRDefault="007C7851" w:rsidP="00DB330E">
            <w:pPr>
              <w:pStyle w:val="TableText"/>
              <w:spacing w:before="40" w:after="40"/>
            </w:pPr>
            <w:r w:rsidRPr="00D9348B">
              <w:t>Annually by 31 January for the previous calendar year</w:t>
            </w:r>
          </w:p>
        </w:tc>
        <w:tc>
          <w:tcPr>
            <w:tcW w:w="1899" w:type="dxa"/>
            <w:tcBorders>
              <w:top w:val="nil"/>
              <w:left w:val="nil"/>
              <w:bottom w:val="nil"/>
              <w:right w:val="nil"/>
            </w:tcBorders>
          </w:tcPr>
          <w:p w14:paraId="21129AA4" w14:textId="3DA7823B" w:rsidR="007C7851" w:rsidRPr="00D9348B" w:rsidRDefault="007C7851" w:rsidP="00DB330E">
            <w:pPr>
              <w:pStyle w:val="TableText"/>
              <w:spacing w:before="40" w:after="40"/>
            </w:pPr>
            <w:r w:rsidRPr="00D9348B">
              <w:t>n/a</w:t>
            </w:r>
          </w:p>
        </w:tc>
      </w:tr>
      <w:tr w:rsidR="007C7851" w:rsidRPr="00D9348B" w14:paraId="05DD9BAC" w14:textId="77777777" w:rsidTr="00DB330E">
        <w:tc>
          <w:tcPr>
            <w:tcW w:w="2552" w:type="dxa"/>
            <w:tcBorders>
              <w:top w:val="nil"/>
              <w:left w:val="nil"/>
              <w:bottom w:val="nil"/>
              <w:right w:val="nil"/>
            </w:tcBorders>
          </w:tcPr>
          <w:p w14:paraId="1BD7C416" w14:textId="77777777" w:rsidR="007C7851" w:rsidRPr="00D9348B" w:rsidRDefault="007C7851" w:rsidP="00443350">
            <w:pPr>
              <w:pStyle w:val="TableText"/>
              <w:keepNext/>
              <w:spacing w:before="40" w:after="40"/>
              <w:ind w:left="284" w:hanging="284"/>
            </w:pPr>
            <w:r w:rsidRPr="00D9348B">
              <w:lastRenderedPageBreak/>
              <w:t xml:space="preserve">(h) </w:t>
            </w:r>
            <w:r w:rsidRPr="00D9348B">
              <w:rPr>
                <w:spacing w:val="-2"/>
              </w:rPr>
              <w:tab/>
            </w:r>
            <w:r w:rsidRPr="00D9348B">
              <w:t>The total quantity of ERUs, CERs, AAUs and RMUs cancelled following determination by the Compliance Committee that the Party is not in compliance with its commitment under Article 3, paragraph 1.</w:t>
            </w:r>
          </w:p>
        </w:tc>
        <w:tc>
          <w:tcPr>
            <w:tcW w:w="2126" w:type="dxa"/>
            <w:tcBorders>
              <w:top w:val="nil"/>
              <w:left w:val="nil"/>
              <w:bottom w:val="nil"/>
              <w:right w:val="nil"/>
            </w:tcBorders>
          </w:tcPr>
          <w:p w14:paraId="3F8A3378" w14:textId="77777777" w:rsidR="007C7851" w:rsidRPr="00D9348B" w:rsidRDefault="007C7851" w:rsidP="00443350">
            <w:pPr>
              <w:pStyle w:val="TableText"/>
              <w:keepNext/>
              <w:spacing w:before="40" w:after="40"/>
            </w:pPr>
            <w:r w:rsidRPr="00D9348B">
              <w:t>Yes (refer Public information and reports: Holding &amp; transaction summary).</w:t>
            </w:r>
          </w:p>
          <w:p w14:paraId="33E55444" w14:textId="77777777" w:rsidR="007C7851" w:rsidRPr="00D9348B" w:rsidRDefault="007C7851" w:rsidP="00443350">
            <w:pPr>
              <w:pStyle w:val="TableText"/>
              <w:keepNext/>
              <w:spacing w:before="40" w:after="40"/>
            </w:pPr>
            <w:r w:rsidRPr="00D9348B">
              <w:t>NOTE: Reported as ‘0’ because this event did not occur in the specified period.</w:t>
            </w:r>
          </w:p>
        </w:tc>
        <w:tc>
          <w:tcPr>
            <w:tcW w:w="1985" w:type="dxa"/>
            <w:tcBorders>
              <w:top w:val="nil"/>
              <w:left w:val="nil"/>
              <w:bottom w:val="nil"/>
              <w:right w:val="nil"/>
            </w:tcBorders>
          </w:tcPr>
          <w:p w14:paraId="7FDE8E17" w14:textId="77777777" w:rsidR="007C7851" w:rsidRPr="00D9348B" w:rsidRDefault="007C7851" w:rsidP="00443350">
            <w:pPr>
              <w:pStyle w:val="TableText"/>
              <w:keepNext/>
              <w:spacing w:before="40" w:after="40"/>
            </w:pPr>
            <w:r w:rsidRPr="00D9348B">
              <w:t>Annually by 31 January for the previous calendar year</w:t>
            </w:r>
          </w:p>
        </w:tc>
        <w:tc>
          <w:tcPr>
            <w:tcW w:w="1899" w:type="dxa"/>
            <w:tcBorders>
              <w:top w:val="nil"/>
              <w:left w:val="nil"/>
              <w:bottom w:val="nil"/>
              <w:right w:val="nil"/>
            </w:tcBorders>
          </w:tcPr>
          <w:p w14:paraId="17FDFCF2" w14:textId="77777777" w:rsidR="007C7851" w:rsidRPr="00D9348B" w:rsidRDefault="007C7851" w:rsidP="00443350">
            <w:pPr>
              <w:pStyle w:val="TableText"/>
              <w:keepNext/>
              <w:spacing w:before="40" w:after="40"/>
            </w:pPr>
            <w:r w:rsidRPr="00D9348B">
              <w:t>n/a</w:t>
            </w:r>
          </w:p>
        </w:tc>
      </w:tr>
      <w:tr w:rsidR="007C7851" w:rsidRPr="00D9348B" w14:paraId="4B50B645" w14:textId="77777777" w:rsidTr="00DB330E">
        <w:tc>
          <w:tcPr>
            <w:tcW w:w="2552" w:type="dxa"/>
            <w:tcBorders>
              <w:top w:val="nil"/>
              <w:left w:val="nil"/>
              <w:bottom w:val="nil"/>
              <w:right w:val="nil"/>
            </w:tcBorders>
          </w:tcPr>
          <w:p w14:paraId="21A9BB1A" w14:textId="77777777" w:rsidR="007C7851" w:rsidRPr="00D9348B" w:rsidRDefault="007C7851" w:rsidP="00DB330E">
            <w:pPr>
              <w:pStyle w:val="TableText"/>
              <w:ind w:left="284" w:hanging="284"/>
            </w:pPr>
            <w:r w:rsidRPr="00D9348B">
              <w:t xml:space="preserve">(i) </w:t>
            </w:r>
            <w:r w:rsidRPr="00D9348B">
              <w:tab/>
              <w:t>The total quantity of other ERUs, CERs, AAUs and RMUs cancelled.</w:t>
            </w:r>
          </w:p>
        </w:tc>
        <w:tc>
          <w:tcPr>
            <w:tcW w:w="2126" w:type="dxa"/>
            <w:tcBorders>
              <w:top w:val="nil"/>
              <w:left w:val="nil"/>
              <w:bottom w:val="nil"/>
              <w:right w:val="nil"/>
            </w:tcBorders>
          </w:tcPr>
          <w:p w14:paraId="077B8EF8" w14:textId="77777777" w:rsidR="007C7851" w:rsidRPr="00D9348B" w:rsidRDefault="007C7851" w:rsidP="00DB330E">
            <w:pPr>
              <w:pStyle w:val="TableText"/>
            </w:pPr>
            <w:r w:rsidRPr="00D9348B">
              <w:t>Yes (refer Public information and reports: Holding &amp; transaction summary).</w:t>
            </w:r>
          </w:p>
        </w:tc>
        <w:tc>
          <w:tcPr>
            <w:tcW w:w="1985" w:type="dxa"/>
            <w:tcBorders>
              <w:top w:val="nil"/>
              <w:left w:val="nil"/>
              <w:bottom w:val="nil"/>
              <w:right w:val="nil"/>
            </w:tcBorders>
          </w:tcPr>
          <w:p w14:paraId="2A286E40" w14:textId="77777777" w:rsidR="007C7851" w:rsidRPr="00D9348B" w:rsidRDefault="007C7851" w:rsidP="00DB330E">
            <w:pPr>
              <w:pStyle w:val="TableText"/>
            </w:pPr>
            <w:r w:rsidRPr="00D9348B">
              <w:t>Annually by 31 January for the previous calendar year</w:t>
            </w:r>
          </w:p>
        </w:tc>
        <w:tc>
          <w:tcPr>
            <w:tcW w:w="1899" w:type="dxa"/>
            <w:tcBorders>
              <w:top w:val="nil"/>
              <w:left w:val="nil"/>
              <w:bottom w:val="nil"/>
              <w:right w:val="nil"/>
            </w:tcBorders>
          </w:tcPr>
          <w:p w14:paraId="6C1A62E4" w14:textId="77777777" w:rsidR="007C7851" w:rsidRPr="00D9348B" w:rsidRDefault="007C7851" w:rsidP="00DB330E">
            <w:pPr>
              <w:pStyle w:val="TableText"/>
            </w:pPr>
            <w:r w:rsidRPr="00D9348B">
              <w:t>n/a</w:t>
            </w:r>
          </w:p>
        </w:tc>
      </w:tr>
      <w:tr w:rsidR="007C7851" w:rsidRPr="00D9348B" w14:paraId="0E61435E" w14:textId="77777777" w:rsidTr="00DB330E">
        <w:tc>
          <w:tcPr>
            <w:tcW w:w="2552" w:type="dxa"/>
            <w:tcBorders>
              <w:top w:val="nil"/>
              <w:left w:val="nil"/>
              <w:bottom w:val="nil"/>
              <w:right w:val="nil"/>
            </w:tcBorders>
          </w:tcPr>
          <w:p w14:paraId="726D4F34" w14:textId="77777777" w:rsidR="007C7851" w:rsidRPr="00D9348B" w:rsidRDefault="007C7851" w:rsidP="00DB330E">
            <w:pPr>
              <w:pStyle w:val="TableText"/>
              <w:ind w:left="284" w:hanging="284"/>
            </w:pPr>
            <w:r w:rsidRPr="00D9348B">
              <w:t xml:space="preserve">(j) </w:t>
            </w:r>
            <w:r w:rsidRPr="00D9348B">
              <w:tab/>
              <w:t>The total quantity of ERUs, CERs, AAUs and RMUs retired.</w:t>
            </w:r>
          </w:p>
        </w:tc>
        <w:tc>
          <w:tcPr>
            <w:tcW w:w="2126" w:type="dxa"/>
            <w:tcBorders>
              <w:top w:val="nil"/>
              <w:left w:val="nil"/>
              <w:bottom w:val="nil"/>
              <w:right w:val="nil"/>
            </w:tcBorders>
          </w:tcPr>
          <w:p w14:paraId="66846B6F" w14:textId="77777777" w:rsidR="007C7851" w:rsidRPr="00D9348B" w:rsidRDefault="007C7851" w:rsidP="00DB330E">
            <w:pPr>
              <w:pStyle w:val="TableText"/>
            </w:pPr>
            <w:r w:rsidRPr="00D9348B">
              <w:t>Yes (refer Public information and reports: Holding &amp; transaction summary).</w:t>
            </w:r>
          </w:p>
        </w:tc>
        <w:tc>
          <w:tcPr>
            <w:tcW w:w="1985" w:type="dxa"/>
            <w:tcBorders>
              <w:top w:val="nil"/>
              <w:left w:val="nil"/>
              <w:bottom w:val="nil"/>
              <w:right w:val="nil"/>
            </w:tcBorders>
          </w:tcPr>
          <w:p w14:paraId="011A70BF" w14:textId="77777777" w:rsidR="007C7851" w:rsidRPr="00D9348B" w:rsidRDefault="007C7851" w:rsidP="00DB330E">
            <w:pPr>
              <w:pStyle w:val="TableText"/>
            </w:pPr>
            <w:r w:rsidRPr="00D9348B">
              <w:t>Annually by 31 January for the previous calendar year</w:t>
            </w:r>
          </w:p>
        </w:tc>
        <w:tc>
          <w:tcPr>
            <w:tcW w:w="1899" w:type="dxa"/>
            <w:tcBorders>
              <w:top w:val="nil"/>
              <w:left w:val="nil"/>
              <w:bottom w:val="nil"/>
              <w:right w:val="nil"/>
            </w:tcBorders>
          </w:tcPr>
          <w:p w14:paraId="6E6406AE" w14:textId="77777777" w:rsidR="007C7851" w:rsidRPr="00D9348B" w:rsidRDefault="007C7851" w:rsidP="00DB330E">
            <w:pPr>
              <w:pStyle w:val="TableText"/>
            </w:pPr>
            <w:r w:rsidRPr="00D9348B">
              <w:t>n/a</w:t>
            </w:r>
          </w:p>
        </w:tc>
      </w:tr>
      <w:tr w:rsidR="007C7851" w:rsidRPr="00D9348B" w14:paraId="66030A8E" w14:textId="77777777" w:rsidTr="00DB330E">
        <w:tc>
          <w:tcPr>
            <w:tcW w:w="2552" w:type="dxa"/>
            <w:tcBorders>
              <w:top w:val="nil"/>
              <w:left w:val="nil"/>
              <w:bottom w:val="nil"/>
              <w:right w:val="nil"/>
            </w:tcBorders>
          </w:tcPr>
          <w:p w14:paraId="4462196E" w14:textId="77777777" w:rsidR="007C7851" w:rsidRPr="00D9348B" w:rsidRDefault="007C7851" w:rsidP="00DB330E">
            <w:pPr>
              <w:pStyle w:val="TableText"/>
              <w:ind w:left="284" w:hanging="284"/>
            </w:pPr>
            <w:r w:rsidRPr="00D9348B">
              <w:t xml:space="preserve">(k) </w:t>
            </w:r>
            <w:r w:rsidRPr="00D9348B">
              <w:tab/>
              <w:t>The total quantity of ERUs, CERs, and AAUs carried over from the previous commitment period.</w:t>
            </w:r>
          </w:p>
        </w:tc>
        <w:tc>
          <w:tcPr>
            <w:tcW w:w="2126" w:type="dxa"/>
            <w:tcBorders>
              <w:top w:val="nil"/>
              <w:left w:val="nil"/>
              <w:bottom w:val="nil"/>
              <w:right w:val="nil"/>
            </w:tcBorders>
          </w:tcPr>
          <w:p w14:paraId="02767837" w14:textId="77777777" w:rsidR="007C7851" w:rsidRPr="00D9348B" w:rsidRDefault="007C7851" w:rsidP="00DB330E">
            <w:pPr>
              <w:pStyle w:val="TableText"/>
            </w:pPr>
            <w:r w:rsidRPr="00D9348B">
              <w:t>Yes (refer Public information and reports: Holding &amp; transaction summary).</w:t>
            </w:r>
          </w:p>
          <w:p w14:paraId="15EE9500" w14:textId="77777777" w:rsidR="007C7851" w:rsidRPr="00D9348B" w:rsidRDefault="007C7851" w:rsidP="00DB330E">
            <w:pPr>
              <w:pStyle w:val="TableText"/>
            </w:pPr>
            <w:r w:rsidRPr="00D9348B">
              <w:t>NOTE: Reported as ‘0’ because this event did not occur in the specified period.</w:t>
            </w:r>
          </w:p>
        </w:tc>
        <w:tc>
          <w:tcPr>
            <w:tcW w:w="1985" w:type="dxa"/>
            <w:tcBorders>
              <w:top w:val="nil"/>
              <w:left w:val="nil"/>
              <w:bottom w:val="nil"/>
              <w:right w:val="nil"/>
            </w:tcBorders>
          </w:tcPr>
          <w:p w14:paraId="7CD6CB42" w14:textId="77777777" w:rsidR="007C7851" w:rsidRPr="00D9348B" w:rsidRDefault="007C7851" w:rsidP="00DB330E">
            <w:pPr>
              <w:pStyle w:val="TableText"/>
            </w:pPr>
            <w:r w:rsidRPr="00D9348B">
              <w:t>Annually by 31 January for the previous calendar year</w:t>
            </w:r>
          </w:p>
        </w:tc>
        <w:tc>
          <w:tcPr>
            <w:tcW w:w="1899" w:type="dxa"/>
            <w:tcBorders>
              <w:top w:val="nil"/>
              <w:left w:val="nil"/>
              <w:bottom w:val="nil"/>
              <w:right w:val="nil"/>
            </w:tcBorders>
          </w:tcPr>
          <w:p w14:paraId="5740A4E7" w14:textId="77777777" w:rsidR="007C7851" w:rsidRPr="00D9348B" w:rsidRDefault="007C7851" w:rsidP="00DB330E">
            <w:pPr>
              <w:pStyle w:val="TableText"/>
            </w:pPr>
            <w:r w:rsidRPr="00D9348B">
              <w:t>n/a</w:t>
            </w:r>
          </w:p>
        </w:tc>
      </w:tr>
      <w:tr w:rsidR="007C7851" w:rsidRPr="00D9348B" w14:paraId="4E09932E" w14:textId="77777777" w:rsidTr="00DB330E">
        <w:tc>
          <w:tcPr>
            <w:tcW w:w="2552" w:type="dxa"/>
            <w:tcBorders>
              <w:top w:val="nil"/>
              <w:left w:val="nil"/>
              <w:bottom w:val="nil"/>
              <w:right w:val="nil"/>
            </w:tcBorders>
          </w:tcPr>
          <w:p w14:paraId="1DB8E538" w14:textId="77777777" w:rsidR="007C7851" w:rsidRPr="00D9348B" w:rsidRDefault="007C7851" w:rsidP="00DB330E">
            <w:pPr>
              <w:pStyle w:val="TableText"/>
              <w:ind w:left="284" w:hanging="284"/>
            </w:pPr>
            <w:r w:rsidRPr="00D9348B">
              <w:t xml:space="preserve">(l) </w:t>
            </w:r>
            <w:r w:rsidRPr="00D9348B">
              <w:tab/>
              <w:t>Current holdings of ERUs, CERs, AAUs and RMUs in each account.</w:t>
            </w:r>
          </w:p>
        </w:tc>
        <w:tc>
          <w:tcPr>
            <w:tcW w:w="2126" w:type="dxa"/>
            <w:tcBorders>
              <w:top w:val="nil"/>
              <w:left w:val="nil"/>
              <w:bottom w:val="nil"/>
              <w:right w:val="nil"/>
            </w:tcBorders>
          </w:tcPr>
          <w:p w14:paraId="593E63F1" w14:textId="77777777" w:rsidR="007C7851" w:rsidRPr="00D9348B" w:rsidRDefault="007C7851" w:rsidP="00DB330E">
            <w:pPr>
              <w:pStyle w:val="TableText"/>
            </w:pPr>
            <w:r w:rsidRPr="00D9348B">
              <w:t>Partial – aggregate unit holdings of ERUs, CERs, AAUs and RMUs from the previous calendar year are disclosed by 31 January (refer Public information and reports: Kyoto unit holdings by account).</w:t>
            </w:r>
          </w:p>
          <w:p w14:paraId="498D0325" w14:textId="77777777" w:rsidR="007C7851" w:rsidRPr="00D9348B" w:rsidRDefault="007C7851" w:rsidP="00DB330E">
            <w:pPr>
              <w:pStyle w:val="TableText"/>
            </w:pPr>
            <w:r w:rsidRPr="00D9348B">
              <w:t>Total quantity of unit holdings in each account within the most recent calendar year is considered to be confidential information. Therefore the total quantity of unit holdings in each account provided consists of only those completed more than one year in the past.</w:t>
            </w:r>
          </w:p>
          <w:p w14:paraId="41BE802D" w14:textId="77777777" w:rsidR="007C7851" w:rsidRPr="00D9348B" w:rsidRDefault="007C7851" w:rsidP="00DB330E">
            <w:pPr>
              <w:pStyle w:val="TableText"/>
            </w:pPr>
            <w:r w:rsidRPr="00D9348B">
              <w:t>(Refer Public information and reports: Kyoto unit holdings by account.)</w:t>
            </w:r>
          </w:p>
        </w:tc>
        <w:tc>
          <w:tcPr>
            <w:tcW w:w="1985" w:type="dxa"/>
            <w:tcBorders>
              <w:top w:val="nil"/>
              <w:left w:val="nil"/>
              <w:bottom w:val="nil"/>
              <w:right w:val="nil"/>
            </w:tcBorders>
          </w:tcPr>
          <w:p w14:paraId="4448211A" w14:textId="77777777" w:rsidR="007C7851" w:rsidRPr="00D9348B" w:rsidRDefault="007C7851" w:rsidP="00DB330E">
            <w:pPr>
              <w:pStyle w:val="TableText"/>
            </w:pPr>
            <w:r w:rsidRPr="00D9348B">
              <w:t>Annually by 31 January for the previous calendar year</w:t>
            </w:r>
          </w:p>
          <w:p w14:paraId="1E2ACBB9" w14:textId="77777777" w:rsidR="007C7851" w:rsidRPr="00D9348B" w:rsidRDefault="007C7851" w:rsidP="00DB330E">
            <w:pPr>
              <w:pStyle w:val="TableText"/>
            </w:pPr>
            <w:r w:rsidRPr="00D9348B">
              <w:t>1 January for the beginning of the previous calendar year</w:t>
            </w:r>
          </w:p>
          <w:p w14:paraId="6AD6338C" w14:textId="77777777" w:rsidR="007C7851" w:rsidRPr="00D9348B" w:rsidRDefault="007C7851" w:rsidP="00DB330E">
            <w:pPr>
              <w:pStyle w:val="TableText"/>
            </w:pPr>
          </w:p>
        </w:tc>
        <w:tc>
          <w:tcPr>
            <w:tcW w:w="1899" w:type="dxa"/>
            <w:tcBorders>
              <w:top w:val="nil"/>
              <w:left w:val="nil"/>
              <w:bottom w:val="nil"/>
              <w:right w:val="nil"/>
            </w:tcBorders>
          </w:tcPr>
          <w:p w14:paraId="36847CAB" w14:textId="77777777" w:rsidR="007C7851" w:rsidRPr="00D9348B" w:rsidRDefault="007C7851" w:rsidP="00DB330E">
            <w:pPr>
              <w:pStyle w:val="TableText"/>
            </w:pPr>
            <w:r w:rsidRPr="00D9348B">
              <w:t xml:space="preserve">Section 27(2) of the Climate Change Response Act 2002 only requires total holdings of AAUs, ERUs, CERs, ICERs, tCERs and RMUs to be publicly available by 31 January of each year for the previous calendar year. </w:t>
            </w:r>
          </w:p>
          <w:p w14:paraId="13AF7AE0" w14:textId="77777777" w:rsidR="007C7851" w:rsidRPr="00D9348B" w:rsidRDefault="007C7851" w:rsidP="00DB330E">
            <w:pPr>
              <w:pStyle w:val="TableText"/>
            </w:pPr>
            <w:r w:rsidRPr="00D9348B">
              <w:t xml:space="preserve">Section 27(3) of the Climate Change Response Act 2002 only requires holdings of Kyoto units by each holding account for the beginning of the previous calendar year to be made publicly available. </w:t>
            </w:r>
          </w:p>
        </w:tc>
      </w:tr>
      <w:tr w:rsidR="007C7851" w:rsidRPr="00D9348B" w14:paraId="2D9DE669" w14:textId="77777777" w:rsidTr="00DB330E">
        <w:tc>
          <w:tcPr>
            <w:tcW w:w="2552" w:type="dxa"/>
            <w:tcBorders>
              <w:top w:val="single" w:sz="4" w:space="0" w:color="365F91"/>
              <w:left w:val="nil"/>
              <w:bottom w:val="single" w:sz="4" w:space="0" w:color="365F91"/>
              <w:right w:val="nil"/>
            </w:tcBorders>
          </w:tcPr>
          <w:p w14:paraId="60602134" w14:textId="77777777" w:rsidR="007C7851" w:rsidRPr="00D9348B" w:rsidRDefault="007C7851" w:rsidP="00443350">
            <w:pPr>
              <w:pStyle w:val="TableText"/>
            </w:pPr>
            <w:r w:rsidRPr="00D9348B">
              <w:t xml:space="preserve">48. </w:t>
            </w:r>
            <w:r w:rsidRPr="00D9348B">
              <w:tab/>
              <w:t>The information referred to in paragraph 44 shall include a list of legal entities authorised by the Party to hold ERUs, CERs, AAUs and/or RMUs under its responsibility.</w:t>
            </w:r>
          </w:p>
        </w:tc>
        <w:tc>
          <w:tcPr>
            <w:tcW w:w="2126" w:type="dxa"/>
            <w:tcBorders>
              <w:top w:val="single" w:sz="4" w:space="0" w:color="365F91"/>
              <w:left w:val="nil"/>
              <w:bottom w:val="single" w:sz="4" w:space="0" w:color="365F91"/>
              <w:right w:val="nil"/>
            </w:tcBorders>
          </w:tcPr>
          <w:p w14:paraId="62E6AB65" w14:textId="77777777" w:rsidR="007C7851" w:rsidRPr="00D9348B" w:rsidRDefault="007C7851" w:rsidP="00DB330E">
            <w:pPr>
              <w:pStyle w:val="TableText"/>
            </w:pPr>
            <w:r w:rsidRPr="00D9348B">
              <w:t>Yes (refer Public information and reports: Account holders for list of authorised entities).</w:t>
            </w:r>
          </w:p>
        </w:tc>
        <w:tc>
          <w:tcPr>
            <w:tcW w:w="1985" w:type="dxa"/>
            <w:tcBorders>
              <w:top w:val="single" w:sz="4" w:space="0" w:color="365F91"/>
              <w:left w:val="nil"/>
              <w:bottom w:val="single" w:sz="4" w:space="0" w:color="365F91"/>
              <w:right w:val="nil"/>
            </w:tcBorders>
          </w:tcPr>
          <w:p w14:paraId="464A23EC" w14:textId="77777777" w:rsidR="007C7851" w:rsidRPr="00D9348B" w:rsidRDefault="007C7851" w:rsidP="00DB330E">
            <w:pPr>
              <w:pStyle w:val="TableText"/>
            </w:pPr>
            <w:r w:rsidRPr="00D9348B">
              <w:t>Up to date (note, refreshed daily)</w:t>
            </w:r>
          </w:p>
        </w:tc>
        <w:tc>
          <w:tcPr>
            <w:tcW w:w="1899" w:type="dxa"/>
            <w:tcBorders>
              <w:top w:val="single" w:sz="4" w:space="0" w:color="365F91"/>
              <w:left w:val="nil"/>
              <w:bottom w:val="single" w:sz="4" w:space="0" w:color="365F91"/>
              <w:right w:val="nil"/>
            </w:tcBorders>
          </w:tcPr>
          <w:p w14:paraId="2550F398" w14:textId="77777777" w:rsidR="007C7851" w:rsidRPr="00D9348B" w:rsidRDefault="007C7851" w:rsidP="00DB330E">
            <w:pPr>
              <w:pStyle w:val="TableText"/>
            </w:pPr>
            <w:r w:rsidRPr="00D9348B">
              <w:t>n/a</w:t>
            </w:r>
          </w:p>
        </w:tc>
      </w:tr>
    </w:tbl>
    <w:p w14:paraId="1D9D1BF8" w14:textId="77777777" w:rsidR="007C7851" w:rsidRPr="00D9348B" w:rsidRDefault="007C7851" w:rsidP="007C7851">
      <w:pPr>
        <w:pStyle w:val="Heading2"/>
        <w:spacing w:before="480"/>
      </w:pPr>
      <w:bookmarkStart w:id="3453" w:name="_Toc481751435"/>
      <w:bookmarkStart w:id="3454" w:name="_Toc511116649"/>
      <w:bookmarkStart w:id="3455" w:name="_Toc5269418"/>
      <w:bookmarkStart w:id="3456" w:name="_Toc36224458"/>
      <w:bookmarkStart w:id="3457" w:name="_Toc235955570"/>
      <w:bookmarkEnd w:id="3448"/>
      <w:r w:rsidRPr="00D9348B">
        <w:lastRenderedPageBreak/>
        <w:t>12.5</w:t>
      </w:r>
      <w:r w:rsidRPr="00D9348B">
        <w:tab/>
        <w:t>Calculation of the commitment period reserve</w:t>
      </w:r>
      <w:bookmarkEnd w:id="3453"/>
      <w:bookmarkEnd w:id="3454"/>
      <w:bookmarkEnd w:id="3455"/>
      <w:bookmarkEnd w:id="3456"/>
      <w:r w:rsidRPr="00D9348B">
        <w:t xml:space="preserve"> </w:t>
      </w:r>
      <w:bookmarkEnd w:id="3457"/>
    </w:p>
    <w:p w14:paraId="2F46BA0F" w14:textId="26753586" w:rsidR="007C7851" w:rsidRPr="00D9348B" w:rsidRDefault="007C7851" w:rsidP="00443350">
      <w:pPr>
        <w:pStyle w:val="BodyText"/>
        <w:keepLines/>
      </w:pPr>
      <w:r w:rsidRPr="00D9348B">
        <w:t>New Zealand’s commitment period reserve calculation is based on the assigned amount for</w:t>
      </w:r>
      <w:r w:rsidR="00443350" w:rsidRPr="00D9348B">
        <w:t> </w:t>
      </w:r>
      <w:r w:rsidRPr="00D9348B">
        <w:t>the first commitment period and is therefore fixed. The commitment period reserve is 278,608,260 metric tonnes of CO</w:t>
      </w:r>
      <w:r w:rsidRPr="00D9348B">
        <w:rPr>
          <w:vertAlign w:val="subscript"/>
        </w:rPr>
        <w:t>2</w:t>
      </w:r>
      <w:r w:rsidRPr="00D9348B">
        <w:t xml:space="preserve">-e, 90 per cent of the assigned amount of 309,564,733, fixed after the review of </w:t>
      </w:r>
      <w:r w:rsidRPr="00D9348B">
        <w:rPr>
          <w:i/>
        </w:rPr>
        <w:t>New Zealand’s Initial Report under the Kyoto Protocol</w:t>
      </w:r>
      <w:r w:rsidRPr="00D9348B">
        <w:t xml:space="preserve"> (Ministry for the Environment, 2006).</w:t>
      </w:r>
    </w:p>
    <w:p w14:paraId="475C976F" w14:textId="77777777" w:rsidR="007C7851" w:rsidRPr="00D9348B" w:rsidRDefault="007C7851" w:rsidP="007C7851">
      <w:pPr>
        <w:pStyle w:val="BodyText"/>
      </w:pPr>
      <w:r w:rsidRPr="00D9348B">
        <w:t xml:space="preserve">The commitment period reserve level as at 31 December </w:t>
      </w:r>
      <w:r w:rsidRPr="00D9348B">
        <w:rPr>
          <w:color w:val="000000"/>
        </w:rPr>
        <w:t xml:space="preserve">2019 </w:t>
      </w:r>
      <w:r w:rsidRPr="00D9348B">
        <w:t>is:</w:t>
      </w:r>
    </w:p>
    <w:tbl>
      <w:tblPr>
        <w:tblW w:w="8618" w:type="dxa"/>
        <w:tblLayout w:type="fixed"/>
        <w:tblLook w:val="01E0" w:firstRow="1" w:lastRow="1" w:firstColumn="1" w:lastColumn="1" w:noHBand="0" w:noVBand="0"/>
      </w:tblPr>
      <w:tblGrid>
        <w:gridCol w:w="6012"/>
        <w:gridCol w:w="2606"/>
      </w:tblGrid>
      <w:tr w:rsidR="007C7851" w:rsidRPr="00D9348B" w14:paraId="5CCD5E50" w14:textId="77777777" w:rsidTr="00DB330E">
        <w:tc>
          <w:tcPr>
            <w:tcW w:w="6194" w:type="dxa"/>
            <w:shd w:val="clear" w:color="auto" w:fill="auto"/>
          </w:tcPr>
          <w:p w14:paraId="462A49D3" w14:textId="77777777" w:rsidR="007C7851" w:rsidRPr="00D9348B" w:rsidRDefault="007C7851" w:rsidP="00DB330E">
            <w:pPr>
              <w:rPr>
                <w:rFonts w:cs="Calibri"/>
              </w:rPr>
            </w:pPr>
            <w:r w:rsidRPr="00D9348B">
              <w:rPr>
                <w:rFonts w:cs="Calibri"/>
              </w:rPr>
              <w:t>Commitment period reserve (CPR) limit:</w:t>
            </w:r>
          </w:p>
        </w:tc>
        <w:tc>
          <w:tcPr>
            <w:tcW w:w="2680" w:type="dxa"/>
            <w:tcBorders>
              <w:bottom w:val="single" w:sz="4" w:space="0" w:color="auto"/>
            </w:tcBorders>
            <w:shd w:val="clear" w:color="auto" w:fill="auto"/>
          </w:tcPr>
          <w:p w14:paraId="5F5F0EF3" w14:textId="77777777" w:rsidR="007C7851" w:rsidRPr="00D9348B" w:rsidRDefault="007C7851" w:rsidP="00DB330E">
            <w:pPr>
              <w:jc w:val="right"/>
              <w:rPr>
                <w:rFonts w:cs="Calibri"/>
              </w:rPr>
            </w:pPr>
            <w:r w:rsidRPr="00D9348B">
              <w:rPr>
                <w:rFonts w:cs="Calibri"/>
              </w:rPr>
              <w:t>278,608,260</w:t>
            </w:r>
          </w:p>
        </w:tc>
      </w:tr>
      <w:tr w:rsidR="007C7851" w:rsidRPr="00D9348B" w14:paraId="7C02F98A" w14:textId="77777777" w:rsidTr="00DB330E">
        <w:tc>
          <w:tcPr>
            <w:tcW w:w="6194" w:type="dxa"/>
            <w:shd w:val="clear" w:color="auto" w:fill="auto"/>
          </w:tcPr>
          <w:p w14:paraId="4DA7FB54" w14:textId="77777777" w:rsidR="007C7851" w:rsidRPr="00D9348B" w:rsidRDefault="007C7851" w:rsidP="00DB330E">
            <w:pPr>
              <w:rPr>
                <w:rFonts w:cs="Calibri"/>
              </w:rPr>
            </w:pPr>
            <w:r w:rsidRPr="00D9348B">
              <w:rPr>
                <w:rFonts w:cs="Calibri"/>
              </w:rPr>
              <w:t>Units held:</w:t>
            </w:r>
          </w:p>
        </w:tc>
        <w:tc>
          <w:tcPr>
            <w:tcW w:w="2680" w:type="dxa"/>
            <w:tcBorders>
              <w:top w:val="single" w:sz="4" w:space="0" w:color="auto"/>
            </w:tcBorders>
            <w:shd w:val="clear" w:color="auto" w:fill="auto"/>
          </w:tcPr>
          <w:p w14:paraId="40619E4E" w14:textId="77777777" w:rsidR="007C7851" w:rsidRPr="00D9348B" w:rsidRDefault="007C7851" w:rsidP="00DB330E">
            <w:pPr>
              <w:jc w:val="right"/>
              <w:rPr>
                <w:rFonts w:cs="Calibri"/>
              </w:rPr>
            </w:pPr>
            <w:r w:rsidRPr="00D9348B">
              <w:rPr>
                <w:rFonts w:cs="Calibri"/>
              </w:rPr>
              <w:t>512,290,486</w:t>
            </w:r>
          </w:p>
        </w:tc>
      </w:tr>
      <w:tr w:rsidR="007C7851" w:rsidRPr="00D9348B" w14:paraId="3B3C1DB2" w14:textId="77777777" w:rsidTr="00DB330E">
        <w:tc>
          <w:tcPr>
            <w:tcW w:w="6194" w:type="dxa"/>
            <w:shd w:val="clear" w:color="auto" w:fill="auto"/>
          </w:tcPr>
          <w:p w14:paraId="192C0FDB" w14:textId="77777777" w:rsidR="007C7851" w:rsidRPr="00D9348B" w:rsidRDefault="007C7851" w:rsidP="00DB330E">
            <w:pPr>
              <w:rPr>
                <w:rFonts w:cs="Calibri"/>
              </w:rPr>
            </w:pPr>
            <w:r w:rsidRPr="00D9348B">
              <w:rPr>
                <w:rFonts w:cs="Calibri"/>
              </w:rPr>
              <w:t>CPR level:</w:t>
            </w:r>
          </w:p>
        </w:tc>
        <w:tc>
          <w:tcPr>
            <w:tcW w:w="2680" w:type="dxa"/>
            <w:shd w:val="clear" w:color="auto" w:fill="auto"/>
          </w:tcPr>
          <w:p w14:paraId="4A690D9D" w14:textId="77777777" w:rsidR="007C7851" w:rsidRPr="00D9348B" w:rsidRDefault="007C7851" w:rsidP="00DB330E">
            <w:pPr>
              <w:jc w:val="right"/>
              <w:rPr>
                <w:rFonts w:cs="Calibri"/>
              </w:rPr>
            </w:pPr>
            <w:r w:rsidRPr="00D9348B">
              <w:rPr>
                <w:rFonts w:cs="Calibri"/>
              </w:rPr>
              <w:t>512,290,486</w:t>
            </w:r>
          </w:p>
        </w:tc>
      </w:tr>
      <w:tr w:rsidR="007C7851" w:rsidRPr="00D9348B" w14:paraId="6E64B750" w14:textId="77777777" w:rsidTr="00DB330E">
        <w:tc>
          <w:tcPr>
            <w:tcW w:w="6194" w:type="dxa"/>
            <w:shd w:val="clear" w:color="auto" w:fill="auto"/>
          </w:tcPr>
          <w:p w14:paraId="0C4C1174" w14:textId="77777777" w:rsidR="007C7851" w:rsidRPr="00D9348B" w:rsidRDefault="007C7851" w:rsidP="00DB330E">
            <w:pPr>
              <w:rPr>
                <w:rFonts w:cs="Calibri"/>
              </w:rPr>
            </w:pPr>
            <w:r w:rsidRPr="00D9348B">
              <w:rPr>
                <w:rFonts w:cs="Calibri"/>
              </w:rPr>
              <w:t xml:space="preserve">CPR level = (% of assigned amount): </w:t>
            </w:r>
          </w:p>
        </w:tc>
        <w:tc>
          <w:tcPr>
            <w:tcW w:w="2680" w:type="dxa"/>
            <w:shd w:val="clear" w:color="auto" w:fill="auto"/>
          </w:tcPr>
          <w:p w14:paraId="5D46562C" w14:textId="77777777" w:rsidR="007C7851" w:rsidRPr="00D9348B" w:rsidRDefault="007C7851" w:rsidP="00DB330E">
            <w:pPr>
              <w:jc w:val="right"/>
              <w:rPr>
                <w:rFonts w:cs="Calibri"/>
              </w:rPr>
            </w:pPr>
            <w:r w:rsidRPr="00D9348B">
              <w:rPr>
                <w:rFonts w:cs="Calibri"/>
              </w:rPr>
              <w:t>183.87%</w:t>
            </w:r>
          </w:p>
        </w:tc>
      </w:tr>
      <w:tr w:rsidR="007C7851" w:rsidRPr="00D9348B" w14:paraId="403F96BD" w14:textId="77777777" w:rsidTr="00DB330E">
        <w:tc>
          <w:tcPr>
            <w:tcW w:w="6194" w:type="dxa"/>
            <w:shd w:val="clear" w:color="auto" w:fill="auto"/>
          </w:tcPr>
          <w:p w14:paraId="28D97665" w14:textId="77777777" w:rsidR="007C7851" w:rsidRPr="00D9348B" w:rsidRDefault="007C7851" w:rsidP="00DB330E">
            <w:pPr>
              <w:rPr>
                <w:rFonts w:cs="Calibri"/>
                <w:highlight w:val="yellow"/>
              </w:rPr>
            </w:pPr>
          </w:p>
        </w:tc>
        <w:tc>
          <w:tcPr>
            <w:tcW w:w="2680" w:type="dxa"/>
            <w:shd w:val="clear" w:color="auto" w:fill="auto"/>
          </w:tcPr>
          <w:p w14:paraId="399FBDC2" w14:textId="77777777" w:rsidR="007C7851" w:rsidRPr="00D9348B" w:rsidRDefault="007C7851" w:rsidP="00DB330E">
            <w:pPr>
              <w:jc w:val="right"/>
              <w:rPr>
                <w:rFonts w:cs="Calibri"/>
                <w:highlight w:val="yellow"/>
              </w:rPr>
            </w:pPr>
          </w:p>
        </w:tc>
      </w:tr>
      <w:tr w:rsidR="007C7851" w:rsidRPr="00D9348B" w14:paraId="607F6208" w14:textId="77777777" w:rsidTr="00DB330E">
        <w:tc>
          <w:tcPr>
            <w:tcW w:w="6194" w:type="dxa"/>
            <w:shd w:val="clear" w:color="auto" w:fill="auto"/>
          </w:tcPr>
          <w:p w14:paraId="6286B3A3" w14:textId="77777777" w:rsidR="007C7851" w:rsidRPr="00D9348B" w:rsidRDefault="007C7851" w:rsidP="00DB330E">
            <w:pPr>
              <w:rPr>
                <w:rFonts w:cs="Calibri"/>
              </w:rPr>
            </w:pPr>
            <w:r w:rsidRPr="00D9348B">
              <w:rPr>
                <w:rFonts w:cs="Calibri"/>
              </w:rPr>
              <w:t>CPR level comprises the following units:</w:t>
            </w:r>
          </w:p>
        </w:tc>
        <w:tc>
          <w:tcPr>
            <w:tcW w:w="2680" w:type="dxa"/>
            <w:shd w:val="clear" w:color="auto" w:fill="auto"/>
          </w:tcPr>
          <w:p w14:paraId="64A67264" w14:textId="77777777" w:rsidR="007C7851" w:rsidRPr="00D9348B" w:rsidRDefault="007C7851" w:rsidP="00DB330E">
            <w:pPr>
              <w:jc w:val="right"/>
              <w:rPr>
                <w:rFonts w:cs="Calibri"/>
              </w:rPr>
            </w:pPr>
          </w:p>
        </w:tc>
      </w:tr>
      <w:tr w:rsidR="007C7851" w:rsidRPr="00D9348B" w14:paraId="5CF9B017" w14:textId="77777777" w:rsidTr="00DB330E">
        <w:tc>
          <w:tcPr>
            <w:tcW w:w="6194" w:type="dxa"/>
            <w:shd w:val="clear" w:color="auto" w:fill="auto"/>
          </w:tcPr>
          <w:p w14:paraId="11E0C8D7" w14:textId="77777777" w:rsidR="007C7851" w:rsidRPr="00D9348B" w:rsidRDefault="007C7851" w:rsidP="00DB330E">
            <w:pPr>
              <w:rPr>
                <w:rFonts w:cs="Calibri"/>
              </w:rPr>
            </w:pPr>
            <w:r w:rsidRPr="00D9348B">
              <w:rPr>
                <w:rFonts w:cs="Calibri"/>
              </w:rPr>
              <w:t>AAUs</w:t>
            </w:r>
          </w:p>
        </w:tc>
        <w:tc>
          <w:tcPr>
            <w:tcW w:w="2680" w:type="dxa"/>
            <w:shd w:val="clear" w:color="auto" w:fill="auto"/>
          </w:tcPr>
          <w:p w14:paraId="7785A436" w14:textId="77777777" w:rsidR="007C7851" w:rsidRPr="00D9348B" w:rsidRDefault="007C7851" w:rsidP="00DB330E">
            <w:pPr>
              <w:jc w:val="right"/>
              <w:rPr>
                <w:rFonts w:cs="Calibri"/>
              </w:rPr>
            </w:pPr>
            <w:r w:rsidRPr="00D9348B">
              <w:rPr>
                <w:rFonts w:cs="Calibri"/>
              </w:rPr>
              <w:t>308,131,270</w:t>
            </w:r>
          </w:p>
        </w:tc>
      </w:tr>
      <w:tr w:rsidR="007C7851" w:rsidRPr="00D9348B" w14:paraId="675D8268" w14:textId="77777777" w:rsidTr="00DB330E">
        <w:tc>
          <w:tcPr>
            <w:tcW w:w="6194" w:type="dxa"/>
            <w:shd w:val="clear" w:color="auto" w:fill="auto"/>
          </w:tcPr>
          <w:p w14:paraId="71E54196" w14:textId="77777777" w:rsidR="007C7851" w:rsidRPr="00D9348B" w:rsidRDefault="007C7851" w:rsidP="00DB330E">
            <w:pPr>
              <w:rPr>
                <w:rFonts w:cs="Calibri"/>
              </w:rPr>
            </w:pPr>
            <w:r w:rsidRPr="00D9348B">
              <w:rPr>
                <w:rFonts w:cs="Calibri"/>
              </w:rPr>
              <w:t>ERUs (converted from AAUs)</w:t>
            </w:r>
          </w:p>
        </w:tc>
        <w:tc>
          <w:tcPr>
            <w:tcW w:w="2680" w:type="dxa"/>
            <w:shd w:val="clear" w:color="auto" w:fill="auto"/>
          </w:tcPr>
          <w:p w14:paraId="03121287" w14:textId="77777777" w:rsidR="007C7851" w:rsidRPr="00D9348B" w:rsidRDefault="007C7851" w:rsidP="00DB330E">
            <w:pPr>
              <w:jc w:val="right"/>
              <w:rPr>
                <w:rFonts w:cs="Calibri"/>
              </w:rPr>
            </w:pPr>
            <w:r w:rsidRPr="00D9348B">
              <w:rPr>
                <w:rFonts w:cs="Calibri"/>
              </w:rPr>
              <w:t>107,296,223</w:t>
            </w:r>
          </w:p>
        </w:tc>
      </w:tr>
      <w:tr w:rsidR="007C7851" w:rsidRPr="00D9348B" w14:paraId="29935143" w14:textId="77777777" w:rsidTr="00DB330E">
        <w:tc>
          <w:tcPr>
            <w:tcW w:w="6194" w:type="dxa"/>
            <w:shd w:val="clear" w:color="auto" w:fill="auto"/>
          </w:tcPr>
          <w:p w14:paraId="0960C6EC" w14:textId="77777777" w:rsidR="007C7851" w:rsidRPr="00D9348B" w:rsidRDefault="007C7851" w:rsidP="00DB330E">
            <w:pPr>
              <w:rPr>
                <w:rFonts w:cs="Calibri"/>
              </w:rPr>
            </w:pPr>
            <w:r w:rsidRPr="00D9348B">
              <w:rPr>
                <w:rFonts w:cs="Calibri"/>
              </w:rPr>
              <w:t>CERs</w:t>
            </w:r>
          </w:p>
        </w:tc>
        <w:tc>
          <w:tcPr>
            <w:tcW w:w="2680" w:type="dxa"/>
            <w:shd w:val="clear" w:color="auto" w:fill="auto"/>
          </w:tcPr>
          <w:p w14:paraId="60BC0EDE" w14:textId="77777777" w:rsidR="007C7851" w:rsidRPr="00D9348B" w:rsidRDefault="007C7851" w:rsidP="00DB330E">
            <w:pPr>
              <w:jc w:val="right"/>
              <w:rPr>
                <w:rFonts w:cs="Calibri"/>
              </w:rPr>
            </w:pPr>
            <w:r w:rsidRPr="00D9348B">
              <w:rPr>
                <w:rFonts w:cs="Calibri"/>
              </w:rPr>
              <w:t>16,262,930</w:t>
            </w:r>
          </w:p>
        </w:tc>
      </w:tr>
      <w:tr w:rsidR="007C7851" w:rsidRPr="00D9348B" w14:paraId="388E37E8" w14:textId="77777777" w:rsidTr="00DB330E">
        <w:tc>
          <w:tcPr>
            <w:tcW w:w="6194" w:type="dxa"/>
            <w:shd w:val="clear" w:color="auto" w:fill="auto"/>
          </w:tcPr>
          <w:p w14:paraId="13A13F6D" w14:textId="77777777" w:rsidR="007C7851" w:rsidRPr="00D9348B" w:rsidRDefault="007C7851" w:rsidP="00DB330E">
            <w:pPr>
              <w:rPr>
                <w:rFonts w:cs="Calibri"/>
              </w:rPr>
            </w:pPr>
            <w:r w:rsidRPr="00D9348B">
              <w:rPr>
                <w:rFonts w:cs="Calibri"/>
              </w:rPr>
              <w:t>RMUs</w:t>
            </w:r>
          </w:p>
        </w:tc>
        <w:tc>
          <w:tcPr>
            <w:tcW w:w="2680" w:type="dxa"/>
            <w:tcBorders>
              <w:bottom w:val="single" w:sz="4" w:space="0" w:color="auto"/>
            </w:tcBorders>
            <w:shd w:val="clear" w:color="auto" w:fill="auto"/>
          </w:tcPr>
          <w:p w14:paraId="2C0AE209" w14:textId="77777777" w:rsidR="007C7851" w:rsidRPr="00D9348B" w:rsidRDefault="007C7851" w:rsidP="00DB330E">
            <w:pPr>
              <w:jc w:val="right"/>
              <w:rPr>
                <w:rFonts w:cs="Calibri"/>
              </w:rPr>
            </w:pPr>
            <w:r w:rsidRPr="00D9348B">
              <w:rPr>
                <w:rFonts w:cs="Calibri"/>
              </w:rPr>
              <w:t>80,600,063</w:t>
            </w:r>
          </w:p>
        </w:tc>
      </w:tr>
      <w:tr w:rsidR="007C7851" w:rsidRPr="00D9348B" w14:paraId="55E9F3C3" w14:textId="77777777" w:rsidTr="00DB330E">
        <w:tc>
          <w:tcPr>
            <w:tcW w:w="6194" w:type="dxa"/>
            <w:shd w:val="clear" w:color="auto" w:fill="auto"/>
          </w:tcPr>
          <w:p w14:paraId="43038171" w14:textId="77777777" w:rsidR="007C7851" w:rsidRPr="00D9348B" w:rsidRDefault="007C7851" w:rsidP="00DB330E">
            <w:pPr>
              <w:rPr>
                <w:rFonts w:cs="Calibri"/>
              </w:rPr>
            </w:pPr>
            <w:r w:rsidRPr="00D9348B">
              <w:rPr>
                <w:rFonts w:cs="Calibri"/>
              </w:rPr>
              <w:t>Total units</w:t>
            </w:r>
          </w:p>
        </w:tc>
        <w:tc>
          <w:tcPr>
            <w:tcW w:w="2680" w:type="dxa"/>
            <w:tcBorders>
              <w:top w:val="single" w:sz="4" w:space="0" w:color="auto"/>
            </w:tcBorders>
            <w:shd w:val="clear" w:color="auto" w:fill="auto"/>
          </w:tcPr>
          <w:p w14:paraId="7889B4CC" w14:textId="77777777" w:rsidR="007C7851" w:rsidRPr="00D9348B" w:rsidRDefault="007C7851" w:rsidP="00DB330E">
            <w:pPr>
              <w:jc w:val="right"/>
              <w:rPr>
                <w:rFonts w:cs="Calibri"/>
              </w:rPr>
            </w:pPr>
            <w:r w:rsidRPr="00D9348B">
              <w:rPr>
                <w:rFonts w:cs="Calibri"/>
              </w:rPr>
              <w:t>512,290,486</w:t>
            </w:r>
          </w:p>
        </w:tc>
      </w:tr>
    </w:tbl>
    <w:p w14:paraId="0B397136" w14:textId="77777777" w:rsidR="007C7851" w:rsidRPr="00D9348B" w:rsidRDefault="007C7851" w:rsidP="007C7851">
      <w:pPr>
        <w:pStyle w:val="BodyText"/>
      </w:pPr>
    </w:p>
    <w:p w14:paraId="35B8D147" w14:textId="77777777" w:rsidR="007C7851" w:rsidRPr="00D9348B" w:rsidRDefault="007C7851" w:rsidP="007C7851">
      <w:pPr>
        <w:pStyle w:val="Heading2"/>
      </w:pPr>
      <w:bookmarkStart w:id="3458" w:name="_Toc481751436"/>
      <w:r w:rsidRPr="00D9348B">
        <w:br w:type="page"/>
      </w:r>
      <w:bookmarkStart w:id="3459" w:name="_Toc511116650"/>
      <w:bookmarkStart w:id="3460" w:name="_Toc5269419"/>
      <w:bookmarkStart w:id="3461" w:name="_Toc36224459"/>
      <w:r w:rsidRPr="00D9348B">
        <w:lastRenderedPageBreak/>
        <w:t>Chapter 12: Reference</w:t>
      </w:r>
      <w:bookmarkEnd w:id="3458"/>
      <w:bookmarkEnd w:id="3459"/>
      <w:bookmarkEnd w:id="3460"/>
      <w:bookmarkEnd w:id="3461"/>
      <w:r w:rsidRPr="00D9348B">
        <w:t xml:space="preserve"> </w:t>
      </w:r>
    </w:p>
    <w:p w14:paraId="0E414E2A" w14:textId="77777777" w:rsidR="007C7851" w:rsidRPr="00D9348B" w:rsidRDefault="007C7851" w:rsidP="007C7851">
      <w:pPr>
        <w:pStyle w:val="References"/>
        <w:spacing w:before="360"/>
      </w:pPr>
      <w:r w:rsidRPr="00D9348B">
        <w:t xml:space="preserve">Ministry for the Environment. 2006. </w:t>
      </w:r>
      <w:r w:rsidRPr="00D9348B">
        <w:rPr>
          <w:i/>
          <w:iCs/>
        </w:rPr>
        <w:t xml:space="preserve">New Zealand’s Initial Report under the Kyoto Protocol. </w:t>
      </w:r>
      <w:r w:rsidRPr="00D9348B">
        <w:t>Wellington: Ministry for the Environment. Retrieved from www.mfe.govt.nz/publications/climate/new-zealands-initial-report-under-the-kyoto-protocol/index.html (17 February 2016).</w:t>
      </w:r>
    </w:p>
    <w:p w14:paraId="7A604BAA" w14:textId="77777777" w:rsidR="007C7851" w:rsidRPr="00D9348B" w:rsidRDefault="007C7851" w:rsidP="007C7851"/>
    <w:p w14:paraId="5B43B19E" w14:textId="77777777" w:rsidR="007C7851" w:rsidRPr="00D9348B" w:rsidRDefault="007C7851" w:rsidP="007C7851"/>
    <w:p w14:paraId="6DF7DBA9" w14:textId="77777777" w:rsidR="00E10FE9" w:rsidRPr="00D9348B" w:rsidRDefault="00E10FE9" w:rsidP="003A09BB">
      <w:pPr>
        <w:sectPr w:rsidR="00E10FE9" w:rsidRPr="00D9348B" w:rsidSect="0022519D">
          <w:footerReference w:type="even" r:id="rId291"/>
          <w:footerReference w:type="default" r:id="rId292"/>
          <w:pgSz w:w="11907" w:h="16840" w:code="9"/>
          <w:pgMar w:top="1418" w:right="1701" w:bottom="1418" w:left="1701" w:header="567" w:footer="567" w:gutter="0"/>
          <w:cols w:space="720"/>
        </w:sectPr>
      </w:pPr>
    </w:p>
    <w:p w14:paraId="58B2DC01" w14:textId="68CB98DF" w:rsidR="00E10FE9" w:rsidRPr="00D9348B" w:rsidRDefault="00E10FE9" w:rsidP="00E10FE9">
      <w:pPr>
        <w:pStyle w:val="Heading1"/>
      </w:pPr>
      <w:bookmarkStart w:id="3462" w:name="_Toc5269420"/>
      <w:bookmarkStart w:id="3463" w:name="_Toc36224460"/>
      <w:r w:rsidRPr="00D9348B">
        <w:lastRenderedPageBreak/>
        <w:t>Chapter 13: Information on changes to</w:t>
      </w:r>
      <w:r w:rsidR="00472140" w:rsidRPr="00D9348B">
        <w:t> </w:t>
      </w:r>
      <w:r w:rsidRPr="00D9348B">
        <w:t>the</w:t>
      </w:r>
      <w:r w:rsidR="00472140" w:rsidRPr="00D9348B">
        <w:t> </w:t>
      </w:r>
      <w:r w:rsidRPr="00D9348B">
        <w:t>National Inventory System</w:t>
      </w:r>
      <w:bookmarkEnd w:id="3462"/>
      <w:bookmarkEnd w:id="3463"/>
    </w:p>
    <w:p w14:paraId="60AEE4B5" w14:textId="77777777" w:rsidR="00E10FE9" w:rsidRPr="00D9348B" w:rsidRDefault="00E10FE9" w:rsidP="00E10FE9">
      <w:pPr>
        <w:pStyle w:val="BodyText"/>
      </w:pPr>
      <w:r w:rsidRPr="00D9348B">
        <w:t xml:space="preserve">No changes have been made to the legal or institutional arrangements in the National Inventory system since the last Inventory submission (2019). </w:t>
      </w:r>
    </w:p>
    <w:p w14:paraId="3088E57F" w14:textId="77777777" w:rsidR="00E10FE9" w:rsidRPr="00D9348B" w:rsidRDefault="00E10FE9" w:rsidP="00E10FE9">
      <w:pPr>
        <w:pStyle w:val="BodyText"/>
      </w:pPr>
      <w:r w:rsidRPr="00D9348B">
        <w:t xml:space="preserve">Changes in New Zealand’s inventory system in the 2019 submission were associated with including greenhouse gas emissions from Tokelau in New Zealand’s greenhouse gas inventory, following the extension of New Zealand’s ratification of the United Nations Framework Convention on Climate Change and Paris Agreement to include Tokelau. </w:t>
      </w:r>
    </w:p>
    <w:p w14:paraId="0ED908A4" w14:textId="77777777" w:rsidR="00E10FE9" w:rsidRPr="00D9348B" w:rsidRDefault="00E10FE9" w:rsidP="00E10FE9">
      <w:pPr>
        <w:pStyle w:val="BodyText"/>
      </w:pPr>
      <w:r w:rsidRPr="00D9348B">
        <w:t xml:space="preserve">Chapter 1, section 1.2.2, outlines information on the responsibilities of both New Zealand’s central inventory agency (Ministry for the Environment) and the Tokelau Department for Climate Change, as a result of these changes. </w:t>
      </w:r>
    </w:p>
    <w:p w14:paraId="372D2457" w14:textId="77777777" w:rsidR="00E10FE9" w:rsidRPr="00D9348B" w:rsidRDefault="00E10FE9" w:rsidP="00E10FE9">
      <w:pPr>
        <w:pStyle w:val="BodyText"/>
      </w:pPr>
      <w:r w:rsidRPr="00D9348B">
        <w:t xml:space="preserve">Details on how Tokelau’s data and information are incorporated in the National Inventory Report, the Common Reporting Format, and quality assurance and quality procedures are outlined in chapter 8 and annex 6. </w:t>
      </w:r>
    </w:p>
    <w:p w14:paraId="59D7F040" w14:textId="77777777" w:rsidR="00E10FE9" w:rsidRPr="00D9348B" w:rsidRDefault="00E10FE9" w:rsidP="00E10FE9"/>
    <w:p w14:paraId="4C28AE80" w14:textId="77777777" w:rsidR="00E10FE9" w:rsidRPr="00D9348B" w:rsidRDefault="00E10FE9" w:rsidP="00E10FE9"/>
    <w:p w14:paraId="18A813AF" w14:textId="77777777" w:rsidR="005F05A2" w:rsidRPr="00D9348B" w:rsidRDefault="005F05A2" w:rsidP="003A09BB">
      <w:pPr>
        <w:sectPr w:rsidR="005F05A2" w:rsidRPr="00D9348B" w:rsidSect="00DB330E">
          <w:footerReference w:type="even" r:id="rId293"/>
          <w:footerReference w:type="default" r:id="rId294"/>
          <w:pgSz w:w="11907" w:h="16840" w:code="9"/>
          <w:pgMar w:top="1418" w:right="1701" w:bottom="1418" w:left="1701" w:header="567" w:footer="567" w:gutter="0"/>
          <w:cols w:space="720"/>
        </w:sectPr>
      </w:pPr>
    </w:p>
    <w:p w14:paraId="385B8D92" w14:textId="77777777" w:rsidR="001A2BD1" w:rsidRPr="00D9348B" w:rsidRDefault="001A2BD1" w:rsidP="001A2BD1">
      <w:pPr>
        <w:pStyle w:val="Heading1"/>
      </w:pPr>
      <w:bookmarkStart w:id="3464" w:name="_Toc5269421"/>
      <w:bookmarkStart w:id="3465" w:name="_Toc36224461"/>
      <w:r w:rsidRPr="00D9348B">
        <w:lastRenderedPageBreak/>
        <w:t>Chapter 14: Information on changes to the national registry</w:t>
      </w:r>
      <w:bookmarkEnd w:id="3464"/>
      <w:bookmarkEnd w:id="3465"/>
    </w:p>
    <w:p w14:paraId="2B52DB9A" w14:textId="77777777" w:rsidR="001A2BD1" w:rsidRPr="00D9348B" w:rsidRDefault="001A2BD1" w:rsidP="001A2BD1">
      <w:pPr>
        <w:pStyle w:val="BodyText"/>
      </w:pPr>
      <w:r w:rsidRPr="00D9348B">
        <w:t>This chapter contains information required for the reporting of changes to New Zealand’s national registry. The changes made to New Zealand’s national registry since the 2019 submission are included in table 14.1.</w:t>
      </w:r>
    </w:p>
    <w:p w14:paraId="24BF7A50" w14:textId="77777777" w:rsidR="001A2BD1" w:rsidRPr="00D9348B" w:rsidRDefault="001A2BD1" w:rsidP="001A2BD1">
      <w:pPr>
        <w:pStyle w:val="BodyText"/>
      </w:pPr>
      <w:r w:rsidRPr="00D9348B">
        <w:t>Recommendations were made in the review of New Zealand’s 2019 submission by the expert review team. Refer to table 14.2 for recommendations and how</w:t>
      </w:r>
      <w:r w:rsidRPr="00D9348B">
        <w:rPr>
          <w:b/>
        </w:rPr>
        <w:t xml:space="preserve"> </w:t>
      </w:r>
      <w:r w:rsidRPr="00D9348B">
        <w:t>these were addressed.</w:t>
      </w:r>
    </w:p>
    <w:p w14:paraId="60C420F5" w14:textId="77777777" w:rsidR="001A2BD1" w:rsidRPr="00D9348B" w:rsidRDefault="001A2BD1" w:rsidP="001A2BD1">
      <w:pPr>
        <w:pStyle w:val="Table"/>
      </w:pPr>
      <w:bookmarkStart w:id="3466" w:name="_Toc481751644"/>
      <w:bookmarkStart w:id="3467" w:name="_Toc511116872"/>
      <w:bookmarkStart w:id="3468" w:name="_Toc5269640"/>
      <w:bookmarkStart w:id="3469" w:name="_Toc36224723"/>
      <w:r w:rsidRPr="00D9348B">
        <w:t xml:space="preserve">Table 14.1 </w:t>
      </w:r>
      <w:r w:rsidRPr="00D9348B">
        <w:tab/>
        <w:t>Changes made to New Zealand’s national registry</w:t>
      </w:r>
      <w:bookmarkEnd w:id="3466"/>
      <w:bookmarkEnd w:id="3467"/>
      <w:bookmarkEnd w:id="3468"/>
      <w:bookmarkEnd w:id="3469"/>
    </w:p>
    <w:tbl>
      <w:tblPr>
        <w:tblW w:w="8562" w:type="dxa"/>
        <w:tblInd w:w="108" w:type="dxa"/>
        <w:tblBorders>
          <w:top w:val="single" w:sz="4" w:space="0" w:color="365F91"/>
          <w:bottom w:val="single" w:sz="4" w:space="0" w:color="365F91"/>
          <w:insideV w:val="single" w:sz="4" w:space="0" w:color="365F91"/>
        </w:tblBorders>
        <w:tblLook w:val="01E0" w:firstRow="1" w:lastRow="1" w:firstColumn="1" w:lastColumn="1" w:noHBand="0" w:noVBand="0"/>
      </w:tblPr>
      <w:tblGrid>
        <w:gridCol w:w="3283"/>
        <w:gridCol w:w="5279"/>
      </w:tblGrid>
      <w:tr w:rsidR="001A2BD1" w:rsidRPr="00D9348B" w14:paraId="26C24A9F" w14:textId="77777777" w:rsidTr="00DB330E">
        <w:trPr>
          <w:tblHeader/>
        </w:trPr>
        <w:tc>
          <w:tcPr>
            <w:tcW w:w="3261" w:type="dxa"/>
            <w:tcBorders>
              <w:top w:val="single" w:sz="4" w:space="0" w:color="365F91"/>
              <w:bottom w:val="single" w:sz="4" w:space="0" w:color="365F91"/>
            </w:tcBorders>
            <w:shd w:val="clear" w:color="auto" w:fill="365F91"/>
          </w:tcPr>
          <w:p w14:paraId="5F31454C" w14:textId="77777777" w:rsidR="001A2BD1" w:rsidRPr="00D9348B" w:rsidRDefault="001A2BD1" w:rsidP="00DB330E">
            <w:pPr>
              <w:pStyle w:val="TableTextBold"/>
              <w:rPr>
                <w:noProof w:val="0"/>
                <w:color w:val="FFFFFF"/>
              </w:rPr>
            </w:pPr>
            <w:r w:rsidRPr="00D9348B">
              <w:rPr>
                <w:noProof w:val="0"/>
                <w:color w:val="FFFFFF"/>
              </w:rPr>
              <w:t>Section subheading</w:t>
            </w:r>
          </w:p>
        </w:tc>
        <w:tc>
          <w:tcPr>
            <w:tcW w:w="5244" w:type="dxa"/>
            <w:tcBorders>
              <w:top w:val="single" w:sz="4" w:space="0" w:color="365F91"/>
              <w:bottom w:val="single" w:sz="4" w:space="0" w:color="365F91"/>
            </w:tcBorders>
            <w:shd w:val="clear" w:color="auto" w:fill="365F91"/>
          </w:tcPr>
          <w:p w14:paraId="003C5CD7" w14:textId="77777777" w:rsidR="001A2BD1" w:rsidRPr="00D9348B" w:rsidRDefault="001A2BD1" w:rsidP="00DB330E">
            <w:pPr>
              <w:pStyle w:val="TableTextBold"/>
              <w:rPr>
                <w:noProof w:val="0"/>
                <w:color w:val="FFFFFF"/>
              </w:rPr>
            </w:pPr>
            <w:r w:rsidRPr="00D9348B">
              <w:rPr>
                <w:noProof w:val="0"/>
                <w:color w:val="FFFFFF"/>
              </w:rPr>
              <w:t>New Zealand’s response</w:t>
            </w:r>
          </w:p>
        </w:tc>
      </w:tr>
      <w:tr w:rsidR="001A2BD1" w:rsidRPr="00D9348B" w14:paraId="5FCA0D99" w14:textId="77777777" w:rsidTr="00DB330E">
        <w:tc>
          <w:tcPr>
            <w:tcW w:w="3261" w:type="dxa"/>
            <w:tcBorders>
              <w:top w:val="single" w:sz="4" w:space="0" w:color="365F91"/>
            </w:tcBorders>
          </w:tcPr>
          <w:p w14:paraId="06B5772E" w14:textId="77777777" w:rsidR="001A2BD1" w:rsidRPr="00D9348B" w:rsidRDefault="001A2BD1" w:rsidP="00DB330E">
            <w:pPr>
              <w:pStyle w:val="TableText"/>
            </w:pPr>
            <w:r w:rsidRPr="00D9348B">
              <w:t xml:space="preserve">15/CMP.1 Annex II.E, paragraph 32.(a): Change in the name or contact for the national registry </w:t>
            </w:r>
          </w:p>
        </w:tc>
        <w:tc>
          <w:tcPr>
            <w:tcW w:w="5244" w:type="dxa"/>
            <w:tcBorders>
              <w:top w:val="single" w:sz="4" w:space="0" w:color="365F91"/>
            </w:tcBorders>
          </w:tcPr>
          <w:p w14:paraId="7AA9D129" w14:textId="77777777" w:rsidR="001A2BD1" w:rsidRPr="00D9348B" w:rsidRDefault="001A2BD1" w:rsidP="00DB330E">
            <w:pPr>
              <w:pStyle w:val="TableText"/>
            </w:pPr>
            <w:r w:rsidRPr="00D9348B">
              <w:t>The contact details for the national registry have not been changed during the reporting period.</w:t>
            </w:r>
          </w:p>
        </w:tc>
      </w:tr>
      <w:tr w:rsidR="001A2BD1" w:rsidRPr="00D9348B" w14:paraId="5241BBD0" w14:textId="77777777" w:rsidTr="00DB330E">
        <w:tc>
          <w:tcPr>
            <w:tcW w:w="3261" w:type="dxa"/>
          </w:tcPr>
          <w:p w14:paraId="6578A296" w14:textId="77777777" w:rsidR="001A2BD1" w:rsidRPr="00D9348B" w:rsidRDefault="001A2BD1" w:rsidP="00DB330E">
            <w:pPr>
              <w:pStyle w:val="TableText"/>
            </w:pPr>
            <w:r w:rsidRPr="00D9348B">
              <w:t xml:space="preserve">15/CMP.1 Annex II.E, paragraph 32.(b): Change in cooperation arrangement </w:t>
            </w:r>
          </w:p>
        </w:tc>
        <w:tc>
          <w:tcPr>
            <w:tcW w:w="5244" w:type="dxa"/>
          </w:tcPr>
          <w:p w14:paraId="600245EF" w14:textId="77777777" w:rsidR="001A2BD1" w:rsidRPr="00D9348B" w:rsidRDefault="001A2BD1" w:rsidP="00DB330E">
            <w:pPr>
              <w:pStyle w:val="TableText"/>
            </w:pPr>
            <w:r w:rsidRPr="00D9348B">
              <w:t>No change of cooperation arrangement occurred during the reported period.</w:t>
            </w:r>
          </w:p>
        </w:tc>
      </w:tr>
      <w:tr w:rsidR="001A2BD1" w:rsidRPr="00D9348B" w14:paraId="77C95653" w14:textId="77777777" w:rsidTr="00DB330E">
        <w:tc>
          <w:tcPr>
            <w:tcW w:w="3261" w:type="dxa"/>
          </w:tcPr>
          <w:p w14:paraId="3ECEFA2C" w14:textId="77777777" w:rsidR="001A2BD1" w:rsidRPr="00D9348B" w:rsidRDefault="001A2BD1" w:rsidP="00DB330E">
            <w:pPr>
              <w:pStyle w:val="TableText"/>
            </w:pPr>
            <w:r w:rsidRPr="00D9348B">
              <w:t>1/CMP.1 Annex II.E, paragraph 32.(c): Change to the database or the capacity of the national registry</w:t>
            </w:r>
          </w:p>
        </w:tc>
        <w:tc>
          <w:tcPr>
            <w:tcW w:w="5244" w:type="dxa"/>
          </w:tcPr>
          <w:p w14:paraId="25603B22" w14:textId="77777777" w:rsidR="001A2BD1" w:rsidRPr="00D9348B" w:rsidRDefault="001A2BD1" w:rsidP="00DB330E">
            <w:pPr>
              <w:pStyle w:val="TableText"/>
            </w:pPr>
            <w:r w:rsidRPr="00D9348B">
              <w:t>No change to the database or the capacity of the national registry occurred during the reporting period.</w:t>
            </w:r>
          </w:p>
        </w:tc>
      </w:tr>
      <w:tr w:rsidR="001A2BD1" w:rsidRPr="00D9348B" w14:paraId="0A36DC08" w14:textId="77777777" w:rsidTr="00DB330E">
        <w:tc>
          <w:tcPr>
            <w:tcW w:w="3261" w:type="dxa"/>
          </w:tcPr>
          <w:p w14:paraId="0201993B" w14:textId="77777777" w:rsidR="001A2BD1" w:rsidRPr="00D9348B" w:rsidRDefault="001A2BD1" w:rsidP="00DB330E">
            <w:pPr>
              <w:pStyle w:val="TableText"/>
            </w:pPr>
            <w:r w:rsidRPr="00D9348B">
              <w:t xml:space="preserve">15/CMP.1 Annex II.E, paragraph 32.(d): Change in the conformance to technical standards </w:t>
            </w:r>
          </w:p>
        </w:tc>
        <w:tc>
          <w:tcPr>
            <w:tcW w:w="5244" w:type="dxa"/>
          </w:tcPr>
          <w:p w14:paraId="12600F47" w14:textId="77777777" w:rsidR="001A2BD1" w:rsidRPr="00D9348B" w:rsidRDefault="001A2BD1" w:rsidP="00DB330E">
            <w:pPr>
              <w:pStyle w:val="TableText"/>
            </w:pPr>
            <w:r w:rsidRPr="00D9348B">
              <w:t>No change in the conformance to technical standards occurred during the reporting period.</w:t>
            </w:r>
          </w:p>
        </w:tc>
      </w:tr>
      <w:tr w:rsidR="001A2BD1" w:rsidRPr="00D9348B" w14:paraId="163B5384" w14:textId="77777777" w:rsidTr="00DB330E">
        <w:tc>
          <w:tcPr>
            <w:tcW w:w="3261" w:type="dxa"/>
          </w:tcPr>
          <w:p w14:paraId="75A3E317" w14:textId="77777777" w:rsidR="001A2BD1" w:rsidRPr="00D9348B" w:rsidRDefault="001A2BD1" w:rsidP="00DB330E">
            <w:pPr>
              <w:pStyle w:val="TableText"/>
            </w:pPr>
            <w:r w:rsidRPr="00D9348B">
              <w:t xml:space="preserve">15/CMP.1 Annex II.E, paragraph 32.(e): Change in the discrepancy procedures </w:t>
            </w:r>
          </w:p>
        </w:tc>
        <w:tc>
          <w:tcPr>
            <w:tcW w:w="5244" w:type="dxa"/>
          </w:tcPr>
          <w:p w14:paraId="2B4BCE6F" w14:textId="77777777" w:rsidR="001A2BD1" w:rsidRPr="00D9348B" w:rsidRDefault="001A2BD1" w:rsidP="00DB330E">
            <w:pPr>
              <w:pStyle w:val="TableText"/>
            </w:pPr>
            <w:r w:rsidRPr="00D9348B">
              <w:t>No change of discrepancy procedures occurred during the reporting period.</w:t>
            </w:r>
          </w:p>
        </w:tc>
      </w:tr>
      <w:tr w:rsidR="001A2BD1" w:rsidRPr="00D9348B" w14:paraId="09824A26" w14:textId="77777777" w:rsidTr="00DB330E">
        <w:tc>
          <w:tcPr>
            <w:tcW w:w="3261" w:type="dxa"/>
          </w:tcPr>
          <w:p w14:paraId="7CFFA499" w14:textId="77777777" w:rsidR="001A2BD1" w:rsidRPr="00D9348B" w:rsidRDefault="001A2BD1" w:rsidP="00DB330E">
            <w:pPr>
              <w:pStyle w:val="TableText"/>
            </w:pPr>
            <w:r w:rsidRPr="00D9348B">
              <w:t xml:space="preserve">15/CMP.1 Annex II.E, paragraph 32.(f): Change in security </w:t>
            </w:r>
          </w:p>
        </w:tc>
        <w:tc>
          <w:tcPr>
            <w:tcW w:w="5244" w:type="dxa"/>
          </w:tcPr>
          <w:p w14:paraId="765A83E1" w14:textId="77777777" w:rsidR="001A2BD1" w:rsidRPr="00D9348B" w:rsidRDefault="001A2BD1" w:rsidP="00DB330E">
            <w:pPr>
              <w:pStyle w:val="TableText"/>
            </w:pPr>
            <w:r w:rsidRPr="00D9348B">
              <w:t>No change in security occurred during the reporting period.</w:t>
            </w:r>
          </w:p>
        </w:tc>
      </w:tr>
      <w:tr w:rsidR="001A2BD1" w:rsidRPr="00D9348B" w14:paraId="4B3A6B38" w14:textId="77777777" w:rsidTr="00DB330E">
        <w:tc>
          <w:tcPr>
            <w:tcW w:w="3261" w:type="dxa"/>
          </w:tcPr>
          <w:p w14:paraId="66634D93" w14:textId="77777777" w:rsidR="001A2BD1" w:rsidRPr="00D9348B" w:rsidRDefault="001A2BD1" w:rsidP="00DB330E">
            <w:pPr>
              <w:pStyle w:val="TableText"/>
            </w:pPr>
            <w:r w:rsidRPr="00D9348B">
              <w:t xml:space="preserve">15/CMP.1 Annex II.E, paragraph 32.(g): Change in the list of publicly available information </w:t>
            </w:r>
          </w:p>
        </w:tc>
        <w:tc>
          <w:tcPr>
            <w:tcW w:w="5244" w:type="dxa"/>
          </w:tcPr>
          <w:p w14:paraId="0AA3DBF8" w14:textId="77777777" w:rsidR="001A2BD1" w:rsidRPr="00D9348B" w:rsidRDefault="001A2BD1" w:rsidP="00DB330E">
            <w:pPr>
              <w:pStyle w:val="TableText"/>
            </w:pPr>
            <w:r w:rsidRPr="00D9348B">
              <w:t xml:space="preserve">No changes to the list of publicly available information occurred during the reporting period. </w:t>
            </w:r>
          </w:p>
        </w:tc>
      </w:tr>
      <w:tr w:rsidR="001A2BD1" w:rsidRPr="00D9348B" w14:paraId="0C1BC6CE" w14:textId="77777777" w:rsidTr="00DB330E">
        <w:tc>
          <w:tcPr>
            <w:tcW w:w="3261" w:type="dxa"/>
          </w:tcPr>
          <w:p w14:paraId="1B30310B" w14:textId="77777777" w:rsidR="001A2BD1" w:rsidRPr="00D9348B" w:rsidRDefault="001A2BD1" w:rsidP="00DB330E">
            <w:pPr>
              <w:pStyle w:val="TableText"/>
            </w:pPr>
            <w:r w:rsidRPr="00D9348B">
              <w:t>15/CMP.1 Annex II.E, paragraph 32.(h): Change to the internet address</w:t>
            </w:r>
          </w:p>
        </w:tc>
        <w:tc>
          <w:tcPr>
            <w:tcW w:w="5244" w:type="dxa"/>
          </w:tcPr>
          <w:p w14:paraId="22D6237A" w14:textId="77777777" w:rsidR="001A2BD1" w:rsidRPr="00D9348B" w:rsidRDefault="001A2BD1" w:rsidP="00DB330E">
            <w:pPr>
              <w:pStyle w:val="TableText"/>
            </w:pPr>
            <w:r w:rsidRPr="00D9348B">
              <w:t>No change to the internet address occurred during the reporting period.</w:t>
            </w:r>
          </w:p>
        </w:tc>
      </w:tr>
      <w:tr w:rsidR="001A2BD1" w:rsidRPr="00D9348B" w14:paraId="1522BFBA" w14:textId="77777777" w:rsidTr="00DB330E">
        <w:tc>
          <w:tcPr>
            <w:tcW w:w="3261" w:type="dxa"/>
          </w:tcPr>
          <w:p w14:paraId="20A68B41" w14:textId="77777777" w:rsidR="001A2BD1" w:rsidRPr="00D9348B" w:rsidRDefault="001A2BD1" w:rsidP="00DB330E">
            <w:pPr>
              <w:pStyle w:val="TableText"/>
            </w:pPr>
            <w:r w:rsidRPr="00D9348B">
              <w:t xml:space="preserve">15/CMP.1 Annex II.E, paragraph 32.(i): Change to the data integrity measures </w:t>
            </w:r>
          </w:p>
        </w:tc>
        <w:tc>
          <w:tcPr>
            <w:tcW w:w="5244" w:type="dxa"/>
          </w:tcPr>
          <w:p w14:paraId="3038FBDB" w14:textId="77777777" w:rsidR="001A2BD1" w:rsidRPr="00D9348B" w:rsidRDefault="001A2BD1" w:rsidP="00DB330E">
            <w:pPr>
              <w:pStyle w:val="TableText"/>
            </w:pPr>
            <w:r w:rsidRPr="00D9348B">
              <w:t>No change to the data integrity measures occurred during the reporting period.</w:t>
            </w:r>
          </w:p>
        </w:tc>
      </w:tr>
      <w:tr w:rsidR="001A2BD1" w:rsidRPr="00D9348B" w14:paraId="2E6DA77C" w14:textId="77777777" w:rsidTr="00DB330E">
        <w:tc>
          <w:tcPr>
            <w:tcW w:w="3261" w:type="dxa"/>
            <w:tcBorders>
              <w:bottom w:val="single" w:sz="4" w:space="0" w:color="365F91"/>
            </w:tcBorders>
          </w:tcPr>
          <w:p w14:paraId="7121FAC4" w14:textId="77777777" w:rsidR="001A2BD1" w:rsidRPr="00D9348B" w:rsidRDefault="001A2BD1" w:rsidP="00DB330E">
            <w:pPr>
              <w:pStyle w:val="TableText"/>
            </w:pPr>
            <w:r w:rsidRPr="00D9348B">
              <w:t xml:space="preserve">15/CMP.1 Annex II.E, paragraph 32.(j): Change of the test results </w:t>
            </w:r>
          </w:p>
        </w:tc>
        <w:tc>
          <w:tcPr>
            <w:tcW w:w="5244" w:type="dxa"/>
            <w:tcBorders>
              <w:bottom w:val="single" w:sz="4" w:space="0" w:color="365F91"/>
            </w:tcBorders>
          </w:tcPr>
          <w:p w14:paraId="3F9E13E2" w14:textId="77777777" w:rsidR="001A2BD1" w:rsidRPr="00D9348B" w:rsidRDefault="001A2BD1" w:rsidP="00DB330E">
            <w:pPr>
              <w:pStyle w:val="TableText"/>
            </w:pPr>
            <w:r w:rsidRPr="00D9348B">
              <w:t>No change to the test results occurred during the reporting period.</w:t>
            </w:r>
          </w:p>
        </w:tc>
      </w:tr>
    </w:tbl>
    <w:p w14:paraId="3FBF067B" w14:textId="77777777" w:rsidR="001A2BD1" w:rsidRPr="00D9348B" w:rsidRDefault="001A2BD1" w:rsidP="001A2BD1">
      <w:pPr>
        <w:pStyle w:val="Table"/>
        <w:spacing w:before="360"/>
      </w:pPr>
      <w:bookmarkStart w:id="3470" w:name="_Toc481751645"/>
      <w:bookmarkStart w:id="3471" w:name="_Toc511116873"/>
      <w:bookmarkStart w:id="3472" w:name="_Toc5269641"/>
      <w:bookmarkStart w:id="3473" w:name="_Toc36224724"/>
      <w:r w:rsidRPr="00D9348B">
        <w:t>Table 14.2</w:t>
      </w:r>
      <w:r w:rsidRPr="00D9348B">
        <w:tab/>
        <w:t>Previous recommendations for New Zealand from the expert review team</w:t>
      </w:r>
      <w:bookmarkEnd w:id="3470"/>
      <w:bookmarkEnd w:id="3471"/>
      <w:bookmarkEnd w:id="3472"/>
      <w:bookmarkEnd w:id="3473"/>
      <w:r w:rsidRPr="00D9348B">
        <w:t xml:space="preserve"> </w:t>
      </w:r>
    </w:p>
    <w:tbl>
      <w:tblPr>
        <w:tblW w:w="8562" w:type="dxa"/>
        <w:tblInd w:w="108" w:type="dxa"/>
        <w:tblBorders>
          <w:top w:val="single" w:sz="4" w:space="0" w:color="365F91"/>
          <w:bottom w:val="single" w:sz="4" w:space="0" w:color="365F91"/>
          <w:insideH w:val="single" w:sz="4" w:space="0" w:color="365F91"/>
          <w:insideV w:val="single" w:sz="4" w:space="0" w:color="365F91"/>
        </w:tblBorders>
        <w:tblLook w:val="04A0" w:firstRow="1" w:lastRow="0" w:firstColumn="1" w:lastColumn="0" w:noHBand="0" w:noVBand="1"/>
      </w:tblPr>
      <w:tblGrid>
        <w:gridCol w:w="812"/>
        <w:gridCol w:w="3856"/>
        <w:gridCol w:w="3894"/>
      </w:tblGrid>
      <w:tr w:rsidR="001A2BD1" w:rsidRPr="00D9348B" w14:paraId="4FE8E174" w14:textId="77777777" w:rsidTr="00DB330E">
        <w:tc>
          <w:tcPr>
            <w:tcW w:w="831" w:type="dxa"/>
            <w:tcBorders>
              <w:bottom w:val="single" w:sz="4" w:space="0" w:color="365F91"/>
            </w:tcBorders>
            <w:shd w:val="clear" w:color="auto" w:fill="365F91"/>
            <w:vAlign w:val="bottom"/>
          </w:tcPr>
          <w:p w14:paraId="1E686CA2" w14:textId="77777777" w:rsidR="001A2BD1" w:rsidRPr="00D9348B" w:rsidRDefault="001A2BD1" w:rsidP="00DB330E">
            <w:pPr>
              <w:pStyle w:val="TableTextBold"/>
              <w:rPr>
                <w:noProof w:val="0"/>
                <w:color w:val="FFFFFF"/>
              </w:rPr>
            </w:pPr>
          </w:p>
        </w:tc>
        <w:tc>
          <w:tcPr>
            <w:tcW w:w="3978" w:type="dxa"/>
            <w:tcBorders>
              <w:bottom w:val="single" w:sz="4" w:space="0" w:color="365F91"/>
            </w:tcBorders>
            <w:shd w:val="clear" w:color="auto" w:fill="365F91"/>
            <w:vAlign w:val="bottom"/>
          </w:tcPr>
          <w:p w14:paraId="271C556D" w14:textId="77777777" w:rsidR="001A2BD1" w:rsidRPr="00D9348B" w:rsidRDefault="001A2BD1" w:rsidP="00DB330E">
            <w:pPr>
              <w:pStyle w:val="TableTextBold"/>
              <w:rPr>
                <w:noProof w:val="0"/>
                <w:color w:val="FFFFFF"/>
              </w:rPr>
            </w:pPr>
            <w:r w:rsidRPr="00D9348B">
              <w:rPr>
                <w:noProof w:val="0"/>
                <w:color w:val="FFFFFF"/>
              </w:rPr>
              <w:t>Review descriptions</w:t>
            </w:r>
          </w:p>
        </w:tc>
        <w:tc>
          <w:tcPr>
            <w:tcW w:w="4020" w:type="dxa"/>
            <w:tcBorders>
              <w:bottom w:val="single" w:sz="4" w:space="0" w:color="365F91"/>
            </w:tcBorders>
            <w:shd w:val="clear" w:color="auto" w:fill="365F91"/>
            <w:vAlign w:val="bottom"/>
          </w:tcPr>
          <w:p w14:paraId="0505F085" w14:textId="77777777" w:rsidR="001A2BD1" w:rsidRPr="00D9348B" w:rsidRDefault="001A2BD1" w:rsidP="00DB330E">
            <w:pPr>
              <w:pStyle w:val="TableTextBold"/>
              <w:rPr>
                <w:noProof w:val="0"/>
                <w:color w:val="FFFFFF"/>
              </w:rPr>
            </w:pPr>
            <w:r w:rsidRPr="00D9348B">
              <w:rPr>
                <w:noProof w:val="0"/>
                <w:color w:val="FFFFFF"/>
              </w:rPr>
              <w:t>New Zealand addressed the recommendation as follows</w:t>
            </w:r>
          </w:p>
        </w:tc>
      </w:tr>
      <w:tr w:rsidR="001A2BD1" w:rsidRPr="00D9348B" w14:paraId="1A0016A0" w14:textId="77777777" w:rsidTr="00DB330E">
        <w:tc>
          <w:tcPr>
            <w:tcW w:w="831" w:type="dxa"/>
            <w:shd w:val="clear" w:color="auto" w:fill="FFFFFF"/>
            <w:vAlign w:val="bottom"/>
          </w:tcPr>
          <w:p w14:paraId="341DEF64" w14:textId="77777777" w:rsidR="001A2BD1" w:rsidRPr="00D9348B" w:rsidRDefault="001A2BD1" w:rsidP="00DB330E">
            <w:pPr>
              <w:pStyle w:val="TableTextBold"/>
              <w:rPr>
                <w:b w:val="0"/>
                <w:noProof w:val="0"/>
                <w:color w:val="FFFFFF"/>
              </w:rPr>
            </w:pPr>
            <w:r w:rsidRPr="00D9348B">
              <w:rPr>
                <w:b w:val="0"/>
                <w:noProof w:val="0"/>
              </w:rPr>
              <w:t>NA</w:t>
            </w:r>
          </w:p>
        </w:tc>
        <w:tc>
          <w:tcPr>
            <w:tcW w:w="3978" w:type="dxa"/>
            <w:shd w:val="clear" w:color="auto" w:fill="FFFFFF"/>
            <w:vAlign w:val="bottom"/>
          </w:tcPr>
          <w:p w14:paraId="7B759768" w14:textId="77777777" w:rsidR="001A2BD1" w:rsidRPr="00D9348B" w:rsidRDefault="001A2BD1" w:rsidP="00DB330E">
            <w:pPr>
              <w:pStyle w:val="TableTextBold"/>
              <w:rPr>
                <w:b w:val="0"/>
                <w:noProof w:val="0"/>
                <w:color w:val="FFFFFF"/>
              </w:rPr>
            </w:pPr>
            <w:r w:rsidRPr="00D9348B">
              <w:rPr>
                <w:b w:val="0"/>
                <w:noProof w:val="0"/>
              </w:rPr>
              <w:t>There were no recommendations to be addressed</w:t>
            </w:r>
          </w:p>
        </w:tc>
        <w:tc>
          <w:tcPr>
            <w:tcW w:w="4020" w:type="dxa"/>
            <w:shd w:val="clear" w:color="auto" w:fill="FFFFFF"/>
            <w:vAlign w:val="bottom"/>
          </w:tcPr>
          <w:p w14:paraId="693E66F1" w14:textId="77777777" w:rsidR="001A2BD1" w:rsidRPr="00D9348B" w:rsidRDefault="001A2BD1" w:rsidP="00DB330E">
            <w:pPr>
              <w:pStyle w:val="TableTextBold"/>
              <w:rPr>
                <w:b w:val="0"/>
                <w:noProof w:val="0"/>
                <w:color w:val="FFFFFF"/>
              </w:rPr>
            </w:pPr>
            <w:r w:rsidRPr="00D9348B">
              <w:rPr>
                <w:b w:val="0"/>
                <w:noProof w:val="0"/>
              </w:rPr>
              <w:t>NA</w:t>
            </w:r>
          </w:p>
        </w:tc>
      </w:tr>
    </w:tbl>
    <w:p w14:paraId="1070C142" w14:textId="77777777" w:rsidR="001A2BD1" w:rsidRPr="00D9348B" w:rsidRDefault="001A2BD1" w:rsidP="001A2BD1">
      <w:pPr>
        <w:pStyle w:val="Table"/>
        <w:spacing w:before="360"/>
      </w:pPr>
      <w:bookmarkStart w:id="3474" w:name="_Toc481751646"/>
      <w:bookmarkStart w:id="3475" w:name="_Toc511116874"/>
      <w:bookmarkStart w:id="3476" w:name="_Toc5269642"/>
      <w:bookmarkStart w:id="3477" w:name="_Toc36224725"/>
      <w:r w:rsidRPr="00D9348B">
        <w:lastRenderedPageBreak/>
        <w:t xml:space="preserve">Table 14.3 </w:t>
      </w:r>
      <w:r w:rsidRPr="00D9348B">
        <w:tab/>
        <w:t>Contact details</w:t>
      </w:r>
      <w:bookmarkEnd w:id="3474"/>
      <w:bookmarkEnd w:id="3475"/>
      <w:bookmarkEnd w:id="3476"/>
      <w:bookmarkEnd w:id="3477"/>
    </w:p>
    <w:tbl>
      <w:tblPr>
        <w:tblW w:w="8505" w:type="dxa"/>
        <w:tblInd w:w="108" w:type="dxa"/>
        <w:tblBorders>
          <w:top w:val="single" w:sz="4" w:space="0" w:color="365F91"/>
          <w:bottom w:val="single" w:sz="4" w:space="0" w:color="365F91"/>
        </w:tblBorders>
        <w:tblLook w:val="01E0" w:firstRow="1" w:lastRow="1" w:firstColumn="1" w:lastColumn="1" w:noHBand="0" w:noVBand="0"/>
      </w:tblPr>
      <w:tblGrid>
        <w:gridCol w:w="3785"/>
        <w:gridCol w:w="4720"/>
      </w:tblGrid>
      <w:tr w:rsidR="001A2BD1" w:rsidRPr="00D9348B" w14:paraId="2F214E05" w14:textId="77777777" w:rsidTr="00DB330E">
        <w:tc>
          <w:tcPr>
            <w:tcW w:w="3799" w:type="dxa"/>
            <w:tcBorders>
              <w:bottom w:val="single" w:sz="4" w:space="0" w:color="365F91"/>
            </w:tcBorders>
            <w:shd w:val="clear" w:color="auto" w:fill="auto"/>
          </w:tcPr>
          <w:p w14:paraId="50B2BF3E" w14:textId="77777777" w:rsidR="001A2BD1" w:rsidRPr="00D9348B" w:rsidRDefault="001A2BD1" w:rsidP="00DB330E">
            <w:pPr>
              <w:pStyle w:val="TableText"/>
              <w:keepNext/>
              <w:spacing w:before="120"/>
            </w:pPr>
            <w:r w:rsidRPr="00D9348B">
              <w:t>Organisation designated as the administrator of New Zealand’s national registry</w:t>
            </w:r>
          </w:p>
        </w:tc>
        <w:tc>
          <w:tcPr>
            <w:tcW w:w="4733" w:type="dxa"/>
            <w:tcBorders>
              <w:bottom w:val="single" w:sz="4" w:space="0" w:color="365F91"/>
            </w:tcBorders>
            <w:shd w:val="clear" w:color="auto" w:fill="auto"/>
          </w:tcPr>
          <w:p w14:paraId="745F8530" w14:textId="77777777" w:rsidR="001A2BD1" w:rsidRPr="00D9348B" w:rsidRDefault="001A2BD1" w:rsidP="00DB330E">
            <w:pPr>
              <w:pStyle w:val="TableText"/>
              <w:keepNext/>
              <w:spacing w:before="120" w:after="0"/>
            </w:pPr>
            <w:r w:rsidRPr="00D9348B">
              <w:t>Environmental Protection Authority</w:t>
            </w:r>
          </w:p>
          <w:p w14:paraId="0F857036" w14:textId="77777777" w:rsidR="001A2BD1" w:rsidRPr="00D9348B" w:rsidRDefault="001A2BD1" w:rsidP="00DB330E">
            <w:pPr>
              <w:pStyle w:val="TableText"/>
              <w:keepNext/>
              <w:spacing w:after="0"/>
            </w:pPr>
            <w:r w:rsidRPr="00D9348B">
              <w:t>Private Bag 63002, Wellington 6140, New Zealand</w:t>
            </w:r>
          </w:p>
          <w:p w14:paraId="0D2E7F24" w14:textId="77777777" w:rsidR="001A2BD1" w:rsidRPr="00D9348B" w:rsidRDefault="001A2BD1" w:rsidP="00DB330E">
            <w:pPr>
              <w:pStyle w:val="TableText"/>
              <w:keepNext/>
              <w:spacing w:after="0"/>
            </w:pPr>
            <w:r w:rsidRPr="00D9348B">
              <w:t>Phone: +64 4 462 4289</w:t>
            </w:r>
          </w:p>
          <w:p w14:paraId="4BD05268" w14:textId="77777777" w:rsidR="001A2BD1" w:rsidRPr="00D9348B" w:rsidRDefault="001A2BD1" w:rsidP="00DB330E">
            <w:pPr>
              <w:pStyle w:val="TableText"/>
              <w:keepNext/>
              <w:spacing w:after="0"/>
            </w:pPr>
            <w:r w:rsidRPr="00D9348B">
              <w:t>Fax: +64 4 978 3661</w:t>
            </w:r>
          </w:p>
          <w:p w14:paraId="11F640D1" w14:textId="77777777" w:rsidR="001A2BD1" w:rsidRPr="00D9348B" w:rsidRDefault="001A2BD1" w:rsidP="00DB330E">
            <w:pPr>
              <w:pStyle w:val="TableText"/>
              <w:keepNext/>
            </w:pPr>
            <w:r w:rsidRPr="00D9348B">
              <w:t xml:space="preserve">Web: </w:t>
            </w:r>
            <w:hyperlink r:id="rId295" w:history="1">
              <w:r w:rsidRPr="00D9348B">
                <w:t>www.epa.govt.nz</w:t>
              </w:r>
            </w:hyperlink>
          </w:p>
        </w:tc>
      </w:tr>
      <w:tr w:rsidR="001A2BD1" w:rsidRPr="00D9348B" w14:paraId="6C0B82BD" w14:textId="77777777" w:rsidTr="00DB330E">
        <w:tc>
          <w:tcPr>
            <w:tcW w:w="3799" w:type="dxa"/>
            <w:tcBorders>
              <w:top w:val="single" w:sz="4" w:space="0" w:color="365F91"/>
              <w:bottom w:val="single" w:sz="4" w:space="0" w:color="365F91"/>
            </w:tcBorders>
            <w:shd w:val="clear" w:color="auto" w:fill="auto"/>
          </w:tcPr>
          <w:p w14:paraId="2BBAE338" w14:textId="77777777" w:rsidR="001A2BD1" w:rsidRPr="00D9348B" w:rsidRDefault="001A2BD1" w:rsidP="00DB330E">
            <w:pPr>
              <w:pStyle w:val="TableText"/>
              <w:keepNext/>
              <w:spacing w:before="120"/>
            </w:pPr>
            <w:r w:rsidRPr="00D9348B">
              <w:t>Main Contact</w:t>
            </w:r>
          </w:p>
        </w:tc>
        <w:tc>
          <w:tcPr>
            <w:tcW w:w="4733" w:type="dxa"/>
            <w:tcBorders>
              <w:top w:val="single" w:sz="4" w:space="0" w:color="365F91"/>
              <w:bottom w:val="single" w:sz="4" w:space="0" w:color="365F91"/>
            </w:tcBorders>
            <w:shd w:val="clear" w:color="auto" w:fill="auto"/>
          </w:tcPr>
          <w:p w14:paraId="3BABA72C" w14:textId="77777777" w:rsidR="001A2BD1" w:rsidRPr="00D9348B" w:rsidRDefault="001A2BD1" w:rsidP="00DB330E">
            <w:pPr>
              <w:pStyle w:val="TableText"/>
              <w:keepNext/>
              <w:spacing w:before="120" w:after="0"/>
            </w:pPr>
            <w:r w:rsidRPr="00D9348B">
              <w:t>Guy Windley</w:t>
            </w:r>
          </w:p>
          <w:p w14:paraId="433915EE" w14:textId="77777777" w:rsidR="001A2BD1" w:rsidRPr="00D9348B" w:rsidRDefault="001A2BD1" w:rsidP="00DB330E">
            <w:pPr>
              <w:pStyle w:val="TableText"/>
              <w:keepNext/>
              <w:spacing w:after="0"/>
            </w:pPr>
            <w:r w:rsidRPr="00D9348B">
              <w:t>Team Leader, ETS Operations</w:t>
            </w:r>
          </w:p>
          <w:p w14:paraId="000B283A" w14:textId="77777777" w:rsidR="001A2BD1" w:rsidRPr="00D9348B" w:rsidRDefault="001A2BD1" w:rsidP="00DB330E">
            <w:pPr>
              <w:pStyle w:val="TableText"/>
              <w:keepNext/>
              <w:spacing w:after="0"/>
            </w:pPr>
            <w:r w:rsidRPr="00D9348B">
              <w:t>Environmental Protection Authority</w:t>
            </w:r>
          </w:p>
          <w:p w14:paraId="4712E79A" w14:textId="77777777" w:rsidR="001A2BD1" w:rsidRPr="00D9348B" w:rsidRDefault="001A2BD1" w:rsidP="00DB330E">
            <w:pPr>
              <w:pStyle w:val="TableText"/>
              <w:keepNext/>
              <w:spacing w:after="0"/>
            </w:pPr>
            <w:r w:rsidRPr="00D9348B">
              <w:t>Private Bag 63002, Wellington 6140, New Zealand</w:t>
            </w:r>
          </w:p>
          <w:p w14:paraId="3B4BD112" w14:textId="77777777" w:rsidR="001A2BD1" w:rsidRPr="00D9348B" w:rsidRDefault="001A2BD1" w:rsidP="00DB330E">
            <w:pPr>
              <w:pStyle w:val="TableText"/>
              <w:keepNext/>
              <w:spacing w:after="0"/>
            </w:pPr>
            <w:r w:rsidRPr="00D9348B">
              <w:t>Phone: +64 4 474 5514</w:t>
            </w:r>
          </w:p>
          <w:p w14:paraId="66A063A6" w14:textId="77777777" w:rsidR="001A2BD1" w:rsidRPr="00D9348B" w:rsidRDefault="001A2BD1" w:rsidP="00DB330E">
            <w:pPr>
              <w:pStyle w:val="TableText"/>
              <w:keepNext/>
              <w:spacing w:after="0"/>
            </w:pPr>
            <w:r w:rsidRPr="00D9348B">
              <w:t>Fax: +64 4 978 3661</w:t>
            </w:r>
          </w:p>
          <w:p w14:paraId="321BB56A" w14:textId="77777777" w:rsidR="001A2BD1" w:rsidRPr="00D9348B" w:rsidRDefault="001A2BD1" w:rsidP="00DB330E">
            <w:pPr>
              <w:pStyle w:val="TableText"/>
              <w:keepNext/>
            </w:pPr>
            <w:r w:rsidRPr="00D9348B">
              <w:t>Email: guy.windley@epa.govt.nz</w:t>
            </w:r>
          </w:p>
        </w:tc>
      </w:tr>
      <w:tr w:rsidR="001A2BD1" w:rsidRPr="00D9348B" w14:paraId="38EA3B52" w14:textId="77777777" w:rsidTr="00DB330E">
        <w:tc>
          <w:tcPr>
            <w:tcW w:w="3799" w:type="dxa"/>
            <w:tcBorders>
              <w:top w:val="single" w:sz="4" w:space="0" w:color="365F91"/>
              <w:bottom w:val="single" w:sz="4" w:space="0" w:color="365F91"/>
            </w:tcBorders>
            <w:shd w:val="clear" w:color="auto" w:fill="auto"/>
          </w:tcPr>
          <w:p w14:paraId="10A387B2" w14:textId="77777777" w:rsidR="001A2BD1" w:rsidRPr="00D9348B" w:rsidRDefault="001A2BD1" w:rsidP="00DB330E">
            <w:pPr>
              <w:pStyle w:val="TableText"/>
              <w:spacing w:before="120"/>
            </w:pPr>
            <w:r w:rsidRPr="00D9348B">
              <w:t>Alternative Contact</w:t>
            </w:r>
          </w:p>
        </w:tc>
        <w:tc>
          <w:tcPr>
            <w:tcW w:w="4733" w:type="dxa"/>
            <w:tcBorders>
              <w:top w:val="single" w:sz="4" w:space="0" w:color="365F91"/>
              <w:bottom w:val="single" w:sz="4" w:space="0" w:color="365F91"/>
            </w:tcBorders>
            <w:shd w:val="clear" w:color="auto" w:fill="auto"/>
          </w:tcPr>
          <w:p w14:paraId="6C997507" w14:textId="77777777" w:rsidR="001A2BD1" w:rsidRPr="00D9348B" w:rsidRDefault="001A2BD1" w:rsidP="00DB330E">
            <w:pPr>
              <w:pStyle w:val="TableText"/>
              <w:spacing w:before="120" w:after="0"/>
            </w:pPr>
            <w:r w:rsidRPr="00D9348B">
              <w:t xml:space="preserve">Justin Bloomfield </w:t>
            </w:r>
          </w:p>
          <w:p w14:paraId="562B84AE" w14:textId="77777777" w:rsidR="001A2BD1" w:rsidRPr="00D9348B" w:rsidRDefault="001A2BD1" w:rsidP="00DB330E">
            <w:pPr>
              <w:pStyle w:val="TableText"/>
              <w:spacing w:after="0"/>
            </w:pPr>
            <w:r w:rsidRPr="00D9348B">
              <w:t>Systems Analyst, Information Technology Team</w:t>
            </w:r>
          </w:p>
          <w:p w14:paraId="5E8DD9DB" w14:textId="77777777" w:rsidR="001A2BD1" w:rsidRPr="00D9348B" w:rsidRDefault="001A2BD1" w:rsidP="00DB330E">
            <w:pPr>
              <w:pStyle w:val="TableText"/>
              <w:spacing w:after="0"/>
            </w:pPr>
            <w:r w:rsidRPr="00D9348B">
              <w:t>Environmental Protection Authority</w:t>
            </w:r>
          </w:p>
          <w:p w14:paraId="02EB8DD0" w14:textId="77777777" w:rsidR="001A2BD1" w:rsidRPr="00D9348B" w:rsidRDefault="001A2BD1" w:rsidP="00DB330E">
            <w:pPr>
              <w:pStyle w:val="TableText"/>
              <w:spacing w:after="0"/>
            </w:pPr>
            <w:r w:rsidRPr="00D9348B">
              <w:t>Private Bag 63002, Wellington 6140, New Zealand</w:t>
            </w:r>
          </w:p>
          <w:p w14:paraId="21AC2394" w14:textId="77777777" w:rsidR="001A2BD1" w:rsidRPr="00D9348B" w:rsidRDefault="001A2BD1" w:rsidP="00DB330E">
            <w:pPr>
              <w:pStyle w:val="TableText"/>
              <w:spacing w:after="0"/>
            </w:pPr>
            <w:r w:rsidRPr="00D9348B">
              <w:t>Phone: +64 4 474 5435</w:t>
            </w:r>
          </w:p>
          <w:p w14:paraId="63DDB564" w14:textId="77777777" w:rsidR="001A2BD1" w:rsidRPr="00D9348B" w:rsidRDefault="001A2BD1" w:rsidP="00DB330E">
            <w:pPr>
              <w:pStyle w:val="TableText"/>
              <w:spacing w:after="0"/>
            </w:pPr>
            <w:r w:rsidRPr="00D9348B">
              <w:t>Fax: +64 4 978 3661</w:t>
            </w:r>
          </w:p>
          <w:p w14:paraId="4B8498E4" w14:textId="77777777" w:rsidR="001A2BD1" w:rsidRPr="00D9348B" w:rsidRDefault="001A2BD1" w:rsidP="00DB330E">
            <w:pPr>
              <w:pStyle w:val="TableText"/>
            </w:pPr>
            <w:r w:rsidRPr="00D9348B">
              <w:t>Email: justin.bloomfield@epa.govt.nz</w:t>
            </w:r>
          </w:p>
        </w:tc>
      </w:tr>
    </w:tbl>
    <w:p w14:paraId="0CF28020" w14:textId="77777777" w:rsidR="001A2BD1" w:rsidRPr="00D9348B" w:rsidRDefault="001A2BD1" w:rsidP="001A2BD1">
      <w:pPr>
        <w:pStyle w:val="BodyText"/>
      </w:pPr>
    </w:p>
    <w:p w14:paraId="3532519E" w14:textId="77777777" w:rsidR="00887BD2" w:rsidRPr="00D9348B" w:rsidRDefault="00887BD2" w:rsidP="003A09BB">
      <w:pPr>
        <w:sectPr w:rsidR="00887BD2" w:rsidRPr="00D9348B" w:rsidSect="001A2BD1">
          <w:footerReference w:type="even" r:id="rId296"/>
          <w:footerReference w:type="default" r:id="rId297"/>
          <w:pgSz w:w="11907" w:h="16840" w:code="9"/>
          <w:pgMar w:top="1418" w:right="1701" w:bottom="1418" w:left="1701" w:header="567" w:footer="567" w:gutter="0"/>
          <w:cols w:space="720"/>
        </w:sectPr>
      </w:pPr>
    </w:p>
    <w:p w14:paraId="10475DCF" w14:textId="77777777" w:rsidR="00562F43" w:rsidRPr="00D9348B" w:rsidRDefault="00562F43" w:rsidP="00562F43">
      <w:pPr>
        <w:pStyle w:val="Heading1"/>
        <w:spacing w:after="360"/>
      </w:pPr>
      <w:bookmarkStart w:id="3478" w:name="_Toc448321577"/>
      <w:bookmarkStart w:id="3479" w:name="_Toc481751439"/>
      <w:bookmarkStart w:id="3480" w:name="_Toc36224462"/>
      <w:r w:rsidRPr="00D9348B">
        <w:lastRenderedPageBreak/>
        <w:t>Chapter 15: Information on minimisation of adverse impacts</w:t>
      </w:r>
      <w:bookmarkEnd w:id="3478"/>
      <w:bookmarkEnd w:id="3479"/>
      <w:bookmarkEnd w:id="3480"/>
    </w:p>
    <w:p w14:paraId="1CE69023" w14:textId="77777777" w:rsidR="00562F43" w:rsidRPr="00D9348B" w:rsidRDefault="00562F43" w:rsidP="00562F43">
      <w:pPr>
        <w:pStyle w:val="BodyText"/>
      </w:pPr>
      <w:r w:rsidRPr="00D9348B">
        <w:t>This chapter provides information on New Zealand’s actions to minimise adverse social, environmental and economic impacts on non-Annex I Parties of the implementation of climate change policies and measures, as required under Article 3.14 of the Kyoto Protocol.</w:t>
      </w:r>
    </w:p>
    <w:p w14:paraId="5434628F" w14:textId="77777777" w:rsidR="00562F43" w:rsidRPr="00D9348B" w:rsidRDefault="00562F43" w:rsidP="00562F43">
      <w:pPr>
        <w:pStyle w:val="Heading2"/>
        <w:spacing w:before="280"/>
      </w:pPr>
      <w:bookmarkStart w:id="3481" w:name="_Toc448321578"/>
      <w:bookmarkStart w:id="3482" w:name="_Toc481751440"/>
      <w:bookmarkStart w:id="3483" w:name="_Toc36224463"/>
      <w:r w:rsidRPr="00D9348B">
        <w:t xml:space="preserve">15.1 </w:t>
      </w:r>
      <w:r w:rsidRPr="00D9348B">
        <w:tab/>
        <w:t>Overview</w:t>
      </w:r>
      <w:bookmarkEnd w:id="3481"/>
      <w:bookmarkEnd w:id="3482"/>
      <w:bookmarkEnd w:id="3483"/>
    </w:p>
    <w:p w14:paraId="78B5EB9A" w14:textId="77777777" w:rsidR="00562F43" w:rsidRPr="00D9348B" w:rsidRDefault="00562F43" w:rsidP="00562F43">
      <w:pPr>
        <w:pStyle w:val="BodyText"/>
        <w:spacing w:after="100"/>
      </w:pPr>
      <w:r w:rsidRPr="00D9348B">
        <w:t>New Zealand is undertaking a number of mitigation actions and policies to reduce emissions to meet its Kyoto and Paris commitments. These include:</w:t>
      </w:r>
    </w:p>
    <w:p w14:paraId="761C631C" w14:textId="77777777" w:rsidR="00562F43" w:rsidRPr="00D9348B" w:rsidRDefault="00562F43" w:rsidP="00562F43">
      <w:pPr>
        <w:pStyle w:val="Bullet"/>
        <w:tabs>
          <w:tab w:val="clear" w:pos="567"/>
        </w:tabs>
        <w:spacing w:after="100"/>
      </w:pPr>
      <w:r w:rsidRPr="00D9348B">
        <w:t>an emissions trading scheme</w:t>
      </w:r>
    </w:p>
    <w:p w14:paraId="3A13263A" w14:textId="77777777" w:rsidR="00562F43" w:rsidRPr="00D9348B" w:rsidRDefault="00562F43" w:rsidP="00562F43">
      <w:pPr>
        <w:pStyle w:val="Bullet"/>
        <w:tabs>
          <w:tab w:val="clear" w:pos="567"/>
        </w:tabs>
        <w:spacing w:after="100"/>
      </w:pPr>
      <w:r w:rsidRPr="00D9348B">
        <w:t>energy efficiency initiatives</w:t>
      </w:r>
    </w:p>
    <w:p w14:paraId="0BAE5F0F" w14:textId="77777777" w:rsidR="00562F43" w:rsidRPr="00D9348B" w:rsidRDefault="00562F43" w:rsidP="00562F43">
      <w:pPr>
        <w:pStyle w:val="Bullet"/>
        <w:tabs>
          <w:tab w:val="clear" w:pos="567"/>
        </w:tabs>
        <w:spacing w:after="100"/>
      </w:pPr>
      <w:r w:rsidRPr="00D9348B">
        <w:t>investment in public transport</w:t>
      </w:r>
    </w:p>
    <w:p w14:paraId="3B8169B6" w14:textId="77777777" w:rsidR="00562F43" w:rsidRPr="00D9348B" w:rsidRDefault="00562F43" w:rsidP="00562F43">
      <w:pPr>
        <w:pStyle w:val="Bullet"/>
        <w:tabs>
          <w:tab w:val="clear" w:pos="567"/>
        </w:tabs>
        <w:spacing w:after="100"/>
      </w:pPr>
      <w:r w:rsidRPr="00D9348B">
        <w:t>supporting afforestation</w:t>
      </w:r>
    </w:p>
    <w:p w14:paraId="6EC14BD9" w14:textId="77777777" w:rsidR="00562F43" w:rsidRPr="00D9348B" w:rsidRDefault="00562F43" w:rsidP="00562F43">
      <w:pPr>
        <w:pStyle w:val="Bullet"/>
        <w:tabs>
          <w:tab w:val="clear" w:pos="567"/>
        </w:tabs>
        <w:spacing w:after="100"/>
      </w:pPr>
      <w:r w:rsidRPr="00D9348B">
        <w:t>research, technology development and sharing of technical expertise, most notably in the agricultural sector</w:t>
      </w:r>
    </w:p>
    <w:p w14:paraId="0887B0C8" w14:textId="77777777" w:rsidR="00562F43" w:rsidRPr="00D9348B" w:rsidRDefault="00562F43" w:rsidP="00562F43">
      <w:pPr>
        <w:pStyle w:val="Bullet"/>
        <w:tabs>
          <w:tab w:val="clear" w:pos="567"/>
        </w:tabs>
        <w:spacing w:after="100"/>
      </w:pPr>
      <w:r w:rsidRPr="00D9348B">
        <w:t>an increased proportion of electricity produced from renewable energy sources</w:t>
      </w:r>
    </w:p>
    <w:p w14:paraId="5895A054" w14:textId="77777777" w:rsidR="00562F43" w:rsidRPr="00D9348B" w:rsidRDefault="00562F43" w:rsidP="00562F43">
      <w:pPr>
        <w:pStyle w:val="Bullet"/>
        <w:tabs>
          <w:tab w:val="clear" w:pos="567"/>
        </w:tabs>
        <w:spacing w:after="100"/>
      </w:pPr>
      <w:r w:rsidRPr="00D9348B">
        <w:t>playing a leading role in the Friends of Fossil Fuel Subsidy Reform, a group aimed at encouraging the global phase out of harmful and inefficient subsidies to fossil fuel consumption and production</w:t>
      </w:r>
    </w:p>
    <w:p w14:paraId="7F348EC7" w14:textId="77777777" w:rsidR="00562F43" w:rsidRPr="00D9348B" w:rsidRDefault="00562F43" w:rsidP="00562F43">
      <w:pPr>
        <w:pStyle w:val="Bullet"/>
        <w:tabs>
          <w:tab w:val="clear" w:pos="567"/>
        </w:tabs>
        <w:spacing w:after="100"/>
      </w:pPr>
      <w:r w:rsidRPr="00D9348B">
        <w:t>sharing New Zealand’s long-standing expertise in renewable energy development internationally</w:t>
      </w:r>
    </w:p>
    <w:p w14:paraId="1E566773" w14:textId="77777777" w:rsidR="00562F43" w:rsidRPr="00D9348B" w:rsidRDefault="00562F43" w:rsidP="00562F43">
      <w:pPr>
        <w:pStyle w:val="Bullet"/>
        <w:tabs>
          <w:tab w:val="clear" w:pos="567"/>
        </w:tabs>
      </w:pPr>
      <w:proofErr w:type="gramStart"/>
      <w:r w:rsidRPr="00D9348B">
        <w:t>climate-related</w:t>
      </w:r>
      <w:proofErr w:type="gramEnd"/>
      <w:r w:rsidRPr="00D9348B">
        <w:t xml:space="preserve"> support delivered by the New Zealand Aid Programme (</w:t>
      </w:r>
      <w:hyperlink r:id="rId298" w:history="1">
        <w:r w:rsidRPr="00D9348B">
          <w:t>https://mfat.govt.nz/en/aid-and-development</w:t>
        </w:r>
      </w:hyperlink>
      <w:r w:rsidRPr="00D9348B">
        <w:t>).</w:t>
      </w:r>
    </w:p>
    <w:p w14:paraId="73CB63B1" w14:textId="77777777" w:rsidR="00562F43" w:rsidRPr="00D9348B" w:rsidRDefault="00562F43" w:rsidP="00562F43">
      <w:pPr>
        <w:pStyle w:val="BodyText"/>
      </w:pPr>
      <w:r w:rsidRPr="00D9348B">
        <w:t xml:space="preserve">Further information on actions and policies is included in </w:t>
      </w:r>
      <w:r w:rsidRPr="00D9348B">
        <w:rPr>
          <w:i/>
        </w:rPr>
        <w:t xml:space="preserve">New Zealand’s </w:t>
      </w:r>
      <w:hyperlink r:id="rId299" w:history="1">
        <w:r w:rsidRPr="00D9348B">
          <w:rPr>
            <w:i/>
            <w:iCs/>
          </w:rPr>
          <w:t>Fourth Biennial Report</w:t>
        </w:r>
      </w:hyperlink>
      <w:r w:rsidRPr="00D9348B">
        <w:t>, published in December 2019 (Ministry for the Environment, 2019).</w:t>
      </w:r>
    </w:p>
    <w:p w14:paraId="5CBC70FD" w14:textId="77777777" w:rsidR="00562F43" w:rsidRPr="00D9348B" w:rsidRDefault="00562F43" w:rsidP="00562F43">
      <w:pPr>
        <w:pStyle w:val="BodyText"/>
      </w:pPr>
      <w:r w:rsidRPr="00D9348B">
        <w:t xml:space="preserve">In the development of major policy initiatives related to these mitigation measures, an analysis of impacts of the proposed policy is completed. As appropriate, the benefits and risks of proposed options, including those with possible international implications, are considered. </w:t>
      </w:r>
    </w:p>
    <w:p w14:paraId="44478522" w14:textId="0FA80E70" w:rsidR="00562F43" w:rsidRPr="00D9348B" w:rsidRDefault="00562F43" w:rsidP="00562F43">
      <w:pPr>
        <w:pStyle w:val="BodyText"/>
      </w:pPr>
      <w:r w:rsidRPr="00D9348B">
        <w:t>In addition, through the New Zealand Government’s regular engagement with other governments, including many non-Annex I Parties, there are opportunities for those concerned about the possible or actual adverse impacts of New Zealand policies to raise concerns and have them resolved within the bilateral relationship. There is also an opportunity for people or</w:t>
      </w:r>
      <w:r w:rsidR="00DD366F">
        <w:t> </w:t>
      </w:r>
      <w:r w:rsidRPr="00D9348B">
        <w:t>organisations to raise concerns and highlight issues about new policies at the public consultation phase. To date, no specific concerns have been raised about any negative impacts of New Zealand’s climate change response policies on non-Annex I Parties.</w:t>
      </w:r>
    </w:p>
    <w:p w14:paraId="06CB406C" w14:textId="77777777" w:rsidR="00562F43" w:rsidRPr="00D9348B" w:rsidRDefault="00562F43" w:rsidP="00562F43">
      <w:pPr>
        <w:pStyle w:val="BodyText"/>
        <w:spacing w:before="100" w:after="100"/>
      </w:pPr>
      <w:r w:rsidRPr="00D9348B">
        <w:t xml:space="preserve">New Zealand’s development assistance in each country is required to be aligned to the priorities and needs of the partner country while also reflecting New Zealand’s priorities and policies. Regular development assistance talks provide an opportunity for partner country governments to raise concerns about any impacts and to ask for or prioritise assistance to </w:t>
      </w:r>
      <w:r w:rsidRPr="00D9348B">
        <w:lastRenderedPageBreak/>
        <w:t>deal with those impacts. From these discussions, New Zealand works closely with the partner country to agree priorities for the particular country aid programme. A similar approach is taken with New Zealand’s Pacific regional and multi-country climate change activities. Discussions with partners and experts in the region were central to developing the current strategy for those regional activities.</w:t>
      </w:r>
    </w:p>
    <w:p w14:paraId="3E732542" w14:textId="77777777" w:rsidR="00562F43" w:rsidRPr="00D9348B" w:rsidRDefault="00562F43" w:rsidP="00562F43">
      <w:pPr>
        <w:pStyle w:val="BodyText"/>
        <w:spacing w:before="100" w:after="100"/>
      </w:pPr>
      <w:r w:rsidRPr="00D9348B">
        <w:t xml:space="preserve">Practice standards for activities funded by the Ministry of Foreign Affairs and Trade under the New Zealand Aid Programme include assessments and responses to environmental and climate-related impacts and risks (along with gender and human rights as the other significant cross-cutting issues). </w:t>
      </w:r>
    </w:p>
    <w:p w14:paraId="62692D64" w14:textId="77777777" w:rsidR="00562F43" w:rsidRPr="00D9348B" w:rsidRDefault="00562F43" w:rsidP="00562F43">
      <w:pPr>
        <w:pStyle w:val="BodyText"/>
        <w:spacing w:before="100" w:after="100"/>
      </w:pPr>
      <w:r w:rsidRPr="00D9348B">
        <w:t>In September 2015, the international community adopted the Sustainable Development Goals, including Goal 7, which calls for a substantial increase in the share of renewables and will ensure access to affordable, reliable, sustainable and modern energy for all. Along with the work undertaken under the umbrella of the Decade of Sustainable Energy for All (SEforALL), renewable energy is of increasing significance to transform lives and economies.</w:t>
      </w:r>
    </w:p>
    <w:p w14:paraId="77FF3C0D" w14:textId="77777777" w:rsidR="00562F43" w:rsidRPr="00D9348B" w:rsidRDefault="00562F43" w:rsidP="00562F43">
      <w:pPr>
        <w:pStyle w:val="BodyText"/>
        <w:spacing w:before="100" w:after="100"/>
      </w:pPr>
      <w:r w:rsidRPr="00D9348B">
        <w:t>As a critical element of long-term sustainable development efforts,</w:t>
      </w:r>
      <w:r w:rsidRPr="00D9348B">
        <w:rPr>
          <w:rStyle w:val="CommentReference"/>
        </w:rPr>
        <w:t xml:space="preserve"> </w:t>
      </w:r>
      <w:r w:rsidRPr="00D9348B">
        <w:t>Small Island Developing States continue to increase their uptake of renewable energy. The New Zealand Aid Programme supports a major push to increase this uptake in the Pacific and reduce the region’s reliance on imported diesel. Further afield, the New Zealand Aid Programme supports several programmes to increase access to affordable, reliable and clean energy in Africa, the Caribbean and South East Asia.</w:t>
      </w:r>
    </w:p>
    <w:p w14:paraId="15AFC00D" w14:textId="77777777" w:rsidR="00562F43" w:rsidRPr="00D9348B" w:rsidRDefault="00562F43" w:rsidP="00562F43">
      <w:pPr>
        <w:pStyle w:val="BodyText"/>
        <w:spacing w:before="100" w:after="100"/>
      </w:pPr>
      <w:r w:rsidRPr="00D9348B">
        <w:t>The Sustainable Development Goals also include Goal 13, which calls for strengthened resilience and adaptive capacity, integration of climate change measures into national policies, strategies and planning, and mobilising finance from all sources to address the needs of developing countries. The New Zealand Aid Programme supports climate change adaptation, disaster risk reduction and humanitarian response to natural disasters.</w:t>
      </w:r>
    </w:p>
    <w:p w14:paraId="126779FC" w14:textId="00E4AA9C" w:rsidR="00562F43" w:rsidRPr="00D9348B" w:rsidRDefault="00562F43" w:rsidP="00562F43">
      <w:pPr>
        <w:pStyle w:val="Heading2"/>
        <w:spacing w:before="280"/>
      </w:pPr>
      <w:bookmarkStart w:id="3484" w:name="_Toc448321579"/>
      <w:bookmarkStart w:id="3485" w:name="_Toc481751441"/>
      <w:bookmarkStart w:id="3486" w:name="_Toc36224464"/>
      <w:r w:rsidRPr="00D9348B">
        <w:t xml:space="preserve">15.2 </w:t>
      </w:r>
      <w:r w:rsidRPr="00D9348B">
        <w:tab/>
        <w:t>Market imperfections, fiscal incentives, tax and</w:t>
      </w:r>
      <w:r w:rsidR="00DE74F0" w:rsidRPr="00D9348B">
        <w:t> </w:t>
      </w:r>
      <w:r w:rsidRPr="00D9348B">
        <w:t>duty</w:t>
      </w:r>
      <w:r w:rsidR="00DE74F0" w:rsidRPr="00D9348B">
        <w:t> </w:t>
      </w:r>
      <w:r w:rsidRPr="00D9348B">
        <w:t>exemptions and subsidies</w:t>
      </w:r>
      <w:bookmarkEnd w:id="3484"/>
      <w:bookmarkEnd w:id="3485"/>
      <w:bookmarkEnd w:id="3486"/>
    </w:p>
    <w:p w14:paraId="26BF620F" w14:textId="77777777" w:rsidR="00562F43" w:rsidRPr="00D9348B" w:rsidRDefault="00562F43" w:rsidP="00562F43">
      <w:pPr>
        <w:pStyle w:val="BodyText"/>
      </w:pPr>
      <w:r w:rsidRPr="00D9348B">
        <w:t>Annex I Parties are required to report any progressive reduction or phasing out of market imperfections, fiscal incentives, tax and duty exemptions and subsidies in all greenhouse-gas-emitting sectors, taking into account the need for energy price reforms to reflect market prices and externalities.</w:t>
      </w:r>
    </w:p>
    <w:p w14:paraId="1721A50E" w14:textId="77777777" w:rsidR="00562F43" w:rsidRPr="00D9348B" w:rsidRDefault="00562F43" w:rsidP="00562F43">
      <w:pPr>
        <w:pStyle w:val="BodyText"/>
      </w:pPr>
      <w:r w:rsidRPr="00D9348B">
        <w:t>New Zealand maintains a liberalised and open trading environment, consistent with the principles of free trade and investment, ensuring that both developed and developing countries can maximise opportunities in New Zealand’s market regardless of the response measures undertaken.</w:t>
      </w:r>
    </w:p>
    <w:p w14:paraId="00C5C821" w14:textId="77777777" w:rsidR="00562F43" w:rsidRPr="00D9348B" w:rsidRDefault="00562F43" w:rsidP="00562F43">
      <w:pPr>
        <w:pStyle w:val="Heading2"/>
        <w:spacing w:before="280"/>
      </w:pPr>
      <w:bookmarkStart w:id="3487" w:name="_Toc481751442"/>
      <w:bookmarkStart w:id="3488" w:name="_Toc36224465"/>
      <w:bookmarkStart w:id="3489" w:name="_Toc448321581"/>
      <w:r w:rsidRPr="00D9348B">
        <w:t xml:space="preserve">15.3 </w:t>
      </w:r>
      <w:r w:rsidRPr="00D9348B">
        <w:tab/>
        <w:t>Removal of subsidies</w:t>
      </w:r>
      <w:bookmarkEnd w:id="3487"/>
      <w:bookmarkEnd w:id="3488"/>
    </w:p>
    <w:p w14:paraId="3E9B5CC0" w14:textId="77777777" w:rsidR="00562F43" w:rsidRPr="00D9348B" w:rsidRDefault="00562F43" w:rsidP="00562F43">
      <w:pPr>
        <w:pStyle w:val="BodyText"/>
        <w:spacing w:after="100"/>
      </w:pPr>
      <w:r w:rsidRPr="00D9348B">
        <w:t xml:space="preserve">Annex I Parties are required to report information concerning the removal of subsidies associated with the use of environmentally unsound and unsafe technologies. </w:t>
      </w:r>
    </w:p>
    <w:p w14:paraId="69420585" w14:textId="77777777" w:rsidR="00562F43" w:rsidRPr="00D9348B" w:rsidRDefault="00562F43" w:rsidP="00562F43">
      <w:pPr>
        <w:pStyle w:val="BodyText"/>
        <w:spacing w:after="100"/>
      </w:pPr>
      <w:r w:rsidRPr="00D9348B">
        <w:t>New Zealand does not have any subsidies of this nature.</w:t>
      </w:r>
    </w:p>
    <w:p w14:paraId="24DAA778" w14:textId="77777777" w:rsidR="00562F43" w:rsidRPr="00D9348B" w:rsidRDefault="00562F43" w:rsidP="00562F43">
      <w:pPr>
        <w:pStyle w:val="BodyText"/>
        <w:spacing w:after="100"/>
      </w:pPr>
      <w:r w:rsidRPr="00D9348B">
        <w:t xml:space="preserve">New Zealand is a founding member of the Friends of Fossil Fuel Subsidy Reform. This is an informal group of non-Group of Twenty (G20) countries that aims to build international </w:t>
      </w:r>
      <w:r w:rsidRPr="00D9348B">
        <w:lastRenderedPageBreak/>
        <w:t xml:space="preserve">political consensus on the importance of fossil fuel subsidy reform, including as a major contribution to climate change mitigation. The group’s support for reform is based on the essential notion that it is incoherent to continue to subsidise the costs of emissions from fossil fuels at the same time as making concerted efforts to mitigate those emissions through actions elsewhere. </w:t>
      </w:r>
    </w:p>
    <w:p w14:paraId="73576C80" w14:textId="77777777" w:rsidR="00562F43" w:rsidRPr="00D9348B" w:rsidRDefault="00562F43" w:rsidP="00562F43">
      <w:pPr>
        <w:pStyle w:val="BodyText"/>
        <w:spacing w:after="100"/>
      </w:pPr>
      <w:r w:rsidRPr="00D9348B">
        <w:t xml:space="preserve">New Zealand has been working with the Friends group to encourage and support the G20 and Asia-Pacific Economic Cooperation (APEC) economies to meet their commitments to reform inefficient fossil fuel subsidies through the peer review process. In 2018, New Zealand participated in the peer review panels for Italy and Indonesia. </w:t>
      </w:r>
    </w:p>
    <w:p w14:paraId="7BEA5665" w14:textId="77777777" w:rsidR="00562F43" w:rsidRPr="00D9348B" w:rsidRDefault="00562F43" w:rsidP="00562F43">
      <w:pPr>
        <w:pStyle w:val="BodyText"/>
        <w:spacing w:after="100"/>
      </w:pPr>
      <w:r w:rsidRPr="00D9348B">
        <w:t>In December 2017, New Zealand delivered a Ministerial Statement to the World Trade Organisation (WTO), encouraging Members to address the global harm being caused by inefficient fossil fuel subsidies. Endorsed by 11 other WTO Members, the statement confirms the environmental, development and trade benefits of fossil fuel subsidy reform, and includes a political commitment to look at avenues to bring the issue into the WTO. New Zealand will also lead a renewed Ministerial Statement at the next WTO Ministerial Conference in June 2020.</w:t>
      </w:r>
    </w:p>
    <w:p w14:paraId="6801501C" w14:textId="77777777" w:rsidR="00562F43" w:rsidRPr="00D9348B" w:rsidRDefault="00562F43" w:rsidP="00562F43">
      <w:pPr>
        <w:pStyle w:val="BodyText"/>
        <w:spacing w:after="100"/>
      </w:pPr>
      <w:r w:rsidRPr="00D9348B">
        <w:t xml:space="preserve">In addition to previous events, New Zealand hosted a side event on fossil fuel subsidy reform at the United Nations High-Level Political Forum in July 2018. This event focused on improving energy access and responding to the Sustainable Development Goals through the phase out of fossil fuel subsidies. </w:t>
      </w:r>
    </w:p>
    <w:p w14:paraId="156B1FE9" w14:textId="77777777" w:rsidR="00562F43" w:rsidRPr="00D9348B" w:rsidRDefault="00562F43" w:rsidP="00562F43">
      <w:pPr>
        <w:pStyle w:val="BodyText"/>
        <w:spacing w:after="100"/>
      </w:pPr>
      <w:r w:rsidRPr="00D9348B">
        <w:t>At the twenty-fourth session of the Conference of the Parties (COP24) of the United Nations Framework Convention on Climate Change in December 2018, New Zealand helped launch a ‘Friends Network’ to broaden understanding of the need for reform and practical ways to achieve it. The Network held a series of five virtual interactive roundtables, which took place in 2019 with the participation of representatives from around 20 countries from around the world.</w:t>
      </w:r>
    </w:p>
    <w:p w14:paraId="49B3EA09" w14:textId="77777777" w:rsidR="00562F43" w:rsidRPr="00D9348B" w:rsidRDefault="00562F43" w:rsidP="00562F43">
      <w:pPr>
        <w:pStyle w:val="Heading2"/>
        <w:spacing w:before="280"/>
      </w:pPr>
      <w:bookmarkStart w:id="3490" w:name="_Toc481751443"/>
      <w:bookmarkStart w:id="3491" w:name="_Toc36224466"/>
      <w:r w:rsidRPr="00D9348B">
        <w:t xml:space="preserve">15.4 </w:t>
      </w:r>
      <w:r w:rsidRPr="00D9348B">
        <w:tab/>
        <w:t>Technological development of non-energy uses</w:t>
      </w:r>
      <w:r w:rsidRPr="00D9348B">
        <w:br/>
        <w:t>of fossil fuels</w:t>
      </w:r>
      <w:bookmarkEnd w:id="3489"/>
      <w:bookmarkEnd w:id="3490"/>
      <w:bookmarkEnd w:id="3491"/>
    </w:p>
    <w:p w14:paraId="1626448C" w14:textId="77777777" w:rsidR="00562F43" w:rsidRPr="00D9348B" w:rsidRDefault="00562F43" w:rsidP="00562F43">
      <w:pPr>
        <w:pStyle w:val="BodyText"/>
      </w:pPr>
      <w:r w:rsidRPr="00D9348B">
        <w:t xml:space="preserve">Annex I Parties are required to report on cooperation in the technological development of non-energy use of fossil fuels and support provided to non-Annex I Parties. </w:t>
      </w:r>
    </w:p>
    <w:p w14:paraId="55206A34" w14:textId="77777777" w:rsidR="00562F43" w:rsidRPr="00D9348B" w:rsidRDefault="00562F43" w:rsidP="00562F43">
      <w:pPr>
        <w:pStyle w:val="BodyText"/>
      </w:pPr>
      <w:r w:rsidRPr="00D9348B">
        <w:t>The New Zealand Government has not participated actively in activities of this nature, as yet.</w:t>
      </w:r>
    </w:p>
    <w:p w14:paraId="57972155" w14:textId="77777777" w:rsidR="00562F43" w:rsidRPr="00D9348B" w:rsidRDefault="00562F43" w:rsidP="00562F43">
      <w:pPr>
        <w:pStyle w:val="Heading2"/>
        <w:spacing w:before="280"/>
      </w:pPr>
      <w:bookmarkStart w:id="3492" w:name="_Toc448321582"/>
      <w:bookmarkStart w:id="3493" w:name="_Toc481751444"/>
      <w:bookmarkStart w:id="3494" w:name="_Toc36224467"/>
      <w:r w:rsidRPr="00D9348B">
        <w:t xml:space="preserve">15.5 </w:t>
      </w:r>
      <w:r w:rsidRPr="00D9348B">
        <w:tab/>
        <w:t>Carbon capture and storage technology development</w:t>
      </w:r>
      <w:bookmarkEnd w:id="3492"/>
      <w:bookmarkEnd w:id="3493"/>
      <w:bookmarkEnd w:id="3494"/>
    </w:p>
    <w:p w14:paraId="5BE6AEEA" w14:textId="77777777" w:rsidR="00562F43" w:rsidRPr="00D9348B" w:rsidRDefault="00562F43" w:rsidP="00562F43">
      <w:pPr>
        <w:pStyle w:val="BodyText"/>
      </w:pPr>
      <w:r w:rsidRPr="00D9348B">
        <w:t>Annex I Parties are required to report on cooperation in the development, diffusion and transfer of less-greenhouse-gas-emitting advanced fossil fuel technologies, and/or technologies relating to fossil fuels that capture and store greenhouse gases, and encouragement of their wider use; and on facilitating the participation of non-Annex I Parties.</w:t>
      </w:r>
    </w:p>
    <w:p w14:paraId="3BD13C92" w14:textId="77777777" w:rsidR="00562F43" w:rsidRPr="00D9348B" w:rsidRDefault="00562F43" w:rsidP="00562F43">
      <w:pPr>
        <w:pStyle w:val="BodyText"/>
      </w:pPr>
      <w:r w:rsidRPr="00D9348B">
        <w:t>New Zealand is a member of the United States-led Carbon Sequestration Leadership Forum (</w:t>
      </w:r>
      <w:hyperlink r:id="rId300" w:history="1">
        <w:r w:rsidRPr="00D9348B">
          <w:t>www.cslforum.org</w:t>
        </w:r>
      </w:hyperlink>
      <w:r w:rsidRPr="00D9348B">
        <w:t>) and the International Energy Agency Greenhouse Gas Research and Development Programme (</w:t>
      </w:r>
      <w:hyperlink r:id="rId301" w:history="1">
        <w:r w:rsidRPr="00D9348B">
          <w:t>www.ieaghg.org</w:t>
        </w:r>
      </w:hyperlink>
      <w:r w:rsidRPr="00D9348B">
        <w:t>).</w:t>
      </w:r>
    </w:p>
    <w:p w14:paraId="650D86A7" w14:textId="77777777" w:rsidR="00562F43" w:rsidRPr="00D9348B" w:rsidRDefault="00562F43" w:rsidP="00562F43">
      <w:pPr>
        <w:pStyle w:val="Heading2"/>
        <w:spacing w:before="280"/>
      </w:pPr>
      <w:bookmarkStart w:id="3495" w:name="_Toc448321583"/>
      <w:bookmarkStart w:id="3496" w:name="_Toc481751445"/>
      <w:bookmarkStart w:id="3497" w:name="_Toc36224468"/>
      <w:r w:rsidRPr="00D9348B">
        <w:lastRenderedPageBreak/>
        <w:t xml:space="preserve">15.6 </w:t>
      </w:r>
      <w:r w:rsidRPr="00D9348B">
        <w:tab/>
        <w:t>Improvements in fossil fuel efficiencies</w:t>
      </w:r>
      <w:bookmarkEnd w:id="3495"/>
      <w:bookmarkEnd w:id="3496"/>
      <w:bookmarkEnd w:id="3497"/>
    </w:p>
    <w:p w14:paraId="52F397CC" w14:textId="77777777" w:rsidR="00562F43" w:rsidRPr="00D9348B" w:rsidRDefault="00562F43" w:rsidP="00562F43">
      <w:pPr>
        <w:pStyle w:val="BodyText"/>
        <w:spacing w:before="80" w:after="100"/>
      </w:pPr>
      <w:r w:rsidRPr="00D9348B">
        <w:t>Annex I Parties are required to report on how they have strengthened the capacity of non-Annex I Parties identified in Article 4.8 and Article 4.9 of the United Nations Framework Convention on Climate Change, by improving the efficiency in upstream and downstream activities related to fossil fuels and by taking into consideration the need to improve the environmental efficiency of these activities.</w:t>
      </w:r>
    </w:p>
    <w:p w14:paraId="661352DC" w14:textId="77777777" w:rsidR="00562F43" w:rsidRPr="00D9348B" w:rsidRDefault="00562F43" w:rsidP="00562F43">
      <w:pPr>
        <w:pStyle w:val="BodyText"/>
        <w:spacing w:before="100" w:after="100"/>
      </w:pPr>
      <w:r w:rsidRPr="00D9348B">
        <w:t>The New Zealand Aid Programme maintains a focus on energy efficiency and the transition away from fossil fuel dependency to clean, efficient, affordable and reliable energy generation. Introducing clean and affordable energy technologies is a high priority for the Pacific region. On average, less than 10 per cent of the region’s gross domestic product is expended on imported fossil fuel, and less than 70 per cent of electricity generation depends on the combustion of diesel, although actual figures vary widely between countries.</w:t>
      </w:r>
    </w:p>
    <w:p w14:paraId="0E5EB564" w14:textId="77777777" w:rsidR="00562F43" w:rsidRPr="00D9348B" w:rsidRDefault="00562F43" w:rsidP="00562F43">
      <w:pPr>
        <w:pStyle w:val="BodyText"/>
        <w:spacing w:before="100" w:after="100"/>
      </w:pPr>
      <w:r w:rsidRPr="00D9348B">
        <w:t xml:space="preserve">Following the New Zealand Government and the European Union Pacific Energy Conference in 2016, New Zealand has committed a further $100 million over 2017–21 to renewable energy investments in the Pacific, in addition to the $200 million investment in renewable energy across eight countries since 2013 (Cook Islands, Kiribati, Papua New Guinea, Samoa, Solomon Islands, Tonga, Tuvalu, Vanuatu). Projects to implement renewable energy resources, particularly solar energy for remote island communities, have been completed in all eight countries of interest, as well as in Niue, Tokelau and the North Pacific states of Nauru, Palau, Republic of Marshall Islands and the Federated States of Micronesia. </w:t>
      </w:r>
    </w:p>
    <w:p w14:paraId="62616D48" w14:textId="77777777" w:rsidR="00562F43" w:rsidRPr="00D9348B" w:rsidRDefault="00562F43" w:rsidP="00562F43">
      <w:pPr>
        <w:pStyle w:val="BodyText"/>
        <w:spacing w:before="100" w:after="100"/>
      </w:pPr>
      <w:r w:rsidRPr="00D9348B">
        <w:t>New Zealand is also a member of the International Renewable Energy Agency (IRENA), an intergovernmental organisation that aims to promote the widespread use of all forms of renewable energy. New Zealand is involved with several of IRENA’s work programmes in the Pacific and further afield and uses its strong credentials in the IRENA Assemblies to support Pacific and Small Island Developing States issues. New Zealand is also a member of other multilateral institutions that play a role in the energy sector, for example, the International Energy Agency and APEC.</w:t>
      </w:r>
    </w:p>
    <w:p w14:paraId="4EAA4696" w14:textId="77777777" w:rsidR="00562F43" w:rsidRPr="00D9348B" w:rsidRDefault="00562F43" w:rsidP="00562F43">
      <w:pPr>
        <w:pStyle w:val="Heading2"/>
        <w:spacing w:before="280"/>
      </w:pPr>
      <w:bookmarkStart w:id="3498" w:name="_Toc448321584"/>
      <w:bookmarkStart w:id="3499" w:name="_Toc481751446"/>
      <w:bookmarkStart w:id="3500" w:name="_Toc36224469"/>
      <w:r w:rsidRPr="00D9348B">
        <w:t xml:space="preserve">15.7 </w:t>
      </w:r>
      <w:r w:rsidRPr="00D9348B">
        <w:tab/>
        <w:t>Assistance to non-Annex I Parties dependent on the export and consumption of fossil fuels for diversifying their economies</w:t>
      </w:r>
      <w:bookmarkEnd w:id="3498"/>
      <w:bookmarkEnd w:id="3499"/>
      <w:bookmarkEnd w:id="3500"/>
    </w:p>
    <w:p w14:paraId="7562C3C0" w14:textId="77777777" w:rsidR="00562F43" w:rsidRPr="00D9348B" w:rsidRDefault="00562F43" w:rsidP="00562F43">
      <w:pPr>
        <w:pStyle w:val="BodyText"/>
        <w:spacing w:before="80" w:after="100"/>
      </w:pPr>
      <w:r w:rsidRPr="00D9348B">
        <w:t>Annex I Parties are required to report on assistance provided to non-Annex I Parties that are highly dependent on the export and consumption of fossil fuels in diversifying their economies.</w:t>
      </w:r>
    </w:p>
    <w:p w14:paraId="68FCA617" w14:textId="77777777" w:rsidR="00562F43" w:rsidRPr="00D9348B" w:rsidRDefault="00562F43" w:rsidP="00562F43">
      <w:pPr>
        <w:pStyle w:val="BodyText"/>
        <w:spacing w:before="80" w:after="100"/>
      </w:pPr>
      <w:r w:rsidRPr="00D9348B">
        <w:t xml:space="preserve">The New Zealand Aid Programme provides support to a number of non-Annex I Parties for purposes of economic diversification (refer to section 15.6). </w:t>
      </w:r>
    </w:p>
    <w:p w14:paraId="3F7CBE9C" w14:textId="77777777" w:rsidR="00562F43" w:rsidRPr="00D9348B" w:rsidRDefault="00562F43" w:rsidP="00562F43">
      <w:pPr>
        <w:pStyle w:val="BodyText"/>
        <w:spacing w:before="80" w:after="100"/>
      </w:pPr>
      <w:r w:rsidRPr="00D9348B">
        <w:t xml:space="preserve">For example, New Zealand has a long-standing partnership with the Government of Indonesia to accelerate the development of Indonesia’s geothermal energy sector. Since 2016, New Zealand has provided technical support to the Government of Indonesia to identify suitable areas for geothermal development, improve clarity and communication of the regulatory framework, and increase certainty around geothermal resource size and classification. New Zealand is also providing scholarships in geothermal project management, a programme of training, coordinated technical assistance and capacity building to strengthen Indonesia’s local skill base and ability to sustainably operate, manage and maintain geothermal resources. </w:t>
      </w:r>
    </w:p>
    <w:p w14:paraId="2FA942FC" w14:textId="77777777" w:rsidR="00562F43" w:rsidRPr="00D9348B" w:rsidRDefault="00562F43" w:rsidP="00562F43">
      <w:pPr>
        <w:pStyle w:val="BodyText"/>
        <w:spacing w:before="80" w:after="0"/>
      </w:pPr>
      <w:r w:rsidRPr="00D9348B">
        <w:t xml:space="preserve">New Zealand is committed to providing long-term assistance to non-Annex I Parties in achieving economic diversification that is independent of fossil fuels. </w:t>
      </w:r>
    </w:p>
    <w:p w14:paraId="0B7B8EFF" w14:textId="7EED921D" w:rsidR="00562F43" w:rsidRPr="00D9348B" w:rsidRDefault="006529AF" w:rsidP="00562F43">
      <w:pPr>
        <w:pStyle w:val="Heading2"/>
        <w:spacing w:after="240"/>
      </w:pPr>
      <w:bookmarkStart w:id="3501" w:name="_Toc36224470"/>
      <w:r w:rsidRPr="00D9348B">
        <w:lastRenderedPageBreak/>
        <w:t xml:space="preserve">Chapter 15: </w:t>
      </w:r>
      <w:r w:rsidR="00562F43" w:rsidRPr="00D9348B">
        <w:t>Reference</w:t>
      </w:r>
      <w:bookmarkEnd w:id="3501"/>
    </w:p>
    <w:p w14:paraId="1E299120" w14:textId="77777777" w:rsidR="00562F43" w:rsidRPr="00D9348B" w:rsidRDefault="00562F43" w:rsidP="00562F43">
      <w:pPr>
        <w:pStyle w:val="References"/>
      </w:pPr>
      <w:r w:rsidRPr="00D9348B">
        <w:t>Ministry for the Environment. 2019. New Zealand’s Fourth Biennial Report under the United Nations Framework Convention on Climate Change. Wellington: Ministry for the Environment.</w:t>
      </w:r>
    </w:p>
    <w:p w14:paraId="3BB12CDA" w14:textId="77777777" w:rsidR="00562F43" w:rsidRPr="00D9348B" w:rsidRDefault="00562F43" w:rsidP="00562F43">
      <w:pPr>
        <w:pStyle w:val="References"/>
      </w:pPr>
    </w:p>
    <w:p w14:paraId="39D605B0" w14:textId="629920BE" w:rsidR="003A09BB" w:rsidRPr="00D9348B" w:rsidRDefault="003A09BB" w:rsidP="003A09BB"/>
    <w:sectPr w:rsidR="003A09BB" w:rsidRPr="00D9348B" w:rsidSect="00562F43">
      <w:footerReference w:type="even" r:id="rId302"/>
      <w:footerReference w:type="default" r:id="rId303"/>
      <w:pgSz w:w="11907" w:h="16840" w:code="9"/>
      <w:pgMar w:top="1418" w:right="1701" w:bottom="1418" w:left="1701" w:header="567" w:footer="567"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0E3601E" w16cid:durableId="2229A891"/>
  <w16cid:commentId w16cid:paraId="30864CCB" w16cid:durableId="21F10F29"/>
  <w16cid:commentId w16cid:paraId="5A0E8482" w16cid:durableId="222B8F84"/>
  <w16cid:commentId w16cid:paraId="79FE4DB5" w16cid:durableId="21EFA4E7"/>
  <w16cid:commentId w16cid:paraId="2BF81AD5" w16cid:durableId="21FA62D1"/>
  <w16cid:commentId w16cid:paraId="682A1D71" w16cid:durableId="21EE981D"/>
  <w16cid:commentId w16cid:paraId="5932ADF1" w16cid:durableId="2228B95B"/>
  <w16cid:commentId w16cid:paraId="54F6FE67" w16cid:durableId="21EEAB2A"/>
  <w16cid:commentId w16cid:paraId="228A86DE" w16cid:durableId="2219E882"/>
  <w16cid:commentId w16cid:paraId="2EBB6B20" w16cid:durableId="2228B9AA"/>
  <w16cid:commentId w16cid:paraId="2DD26DF1" w16cid:durableId="21EE835B"/>
  <w16cid:commentId w16cid:paraId="34157E4B" w16cid:durableId="2229E2F5"/>
  <w16cid:commentId w16cid:paraId="7A92FF4E" w16cid:durableId="2214C2A0"/>
  <w16cid:commentId w16cid:paraId="009B14FF" w16cid:durableId="2228BA3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2679BF" w14:textId="77777777" w:rsidR="00DA6C03" w:rsidRDefault="00DA6C03">
      <w:r>
        <w:separator/>
      </w:r>
    </w:p>
  </w:endnote>
  <w:endnote w:type="continuationSeparator" w:id="0">
    <w:p w14:paraId="4E987069" w14:textId="77777777" w:rsidR="00DA6C03" w:rsidRDefault="00DA6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JBHHJB+Arial,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Arial Bold">
    <w:panose1 w:val="020B0704020202020204"/>
    <w:charset w:val="00"/>
    <w:family w:val="roman"/>
    <w:notTrueType/>
    <w:pitch w:val="default"/>
  </w:font>
  <w:font w:name="+mn-ea">
    <w:panose1 w:val="00000000000000000000"/>
    <w:charset w:val="00"/>
    <w:family w:val="roman"/>
    <w:notTrueType/>
    <w:pitch w:val="default"/>
  </w:font>
  <w:font w:name="Frutiger LT Pro 57 Condensed">
    <w:altName w:val="Frutiger LT Pro 57 Condense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CC6AF" w14:textId="7DC6E9A8" w:rsidR="00DA6C03" w:rsidRDefault="00DA6C03" w:rsidP="00B44BA5">
    <w:pPr>
      <w:pStyle w:val="Footer"/>
      <w:ind w:left="-567"/>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4B5AB" w14:textId="50CBD8F5" w:rsidR="00DA6C03" w:rsidRPr="00EC2491" w:rsidRDefault="00DA6C03" w:rsidP="00EC2491">
    <w:pPr>
      <w:pStyle w:val="EvenFooter"/>
    </w:pP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630893">
      <w:rPr>
        <w:rStyle w:val="PageNumber"/>
        <w:noProof/>
        <w:sz w:val="22"/>
      </w:rPr>
      <w:t>56</w:t>
    </w:r>
    <w:r w:rsidRPr="00762043">
      <w:rPr>
        <w:rStyle w:val="PageNumber"/>
        <w:sz w:val="22"/>
      </w:rPr>
      <w:fldChar w:fldCharType="end"/>
    </w:r>
    <w:r>
      <w:rPr>
        <w:rStyle w:val="PageNumber"/>
        <w:b w:val="0"/>
        <w:sz w:val="22"/>
      </w:rPr>
      <w:tab/>
    </w:r>
    <w:r w:rsidRPr="00EA6875">
      <w:t>Chapter 1: Introduction</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D07D8" w14:textId="50503644" w:rsidR="00DA6C03" w:rsidRPr="00EC2491" w:rsidRDefault="00DA6C03" w:rsidP="00EC2491">
    <w:pPr>
      <w:pStyle w:val="EvenFooter"/>
    </w:pP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630893">
      <w:rPr>
        <w:rStyle w:val="PageNumber"/>
        <w:noProof/>
        <w:sz w:val="22"/>
      </w:rPr>
      <w:t>74</w:t>
    </w:r>
    <w:r w:rsidRPr="00762043">
      <w:rPr>
        <w:rStyle w:val="PageNumber"/>
        <w:sz w:val="22"/>
      </w:rPr>
      <w:fldChar w:fldCharType="end"/>
    </w:r>
    <w:r>
      <w:rPr>
        <w:rStyle w:val="PageNumber"/>
        <w:b w:val="0"/>
        <w:sz w:val="22"/>
      </w:rPr>
      <w:tab/>
    </w:r>
    <w:r w:rsidRPr="008E22C3">
      <w:t>Chapter 2: Trends in greenhouse gas emissions</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F3B91" w14:textId="707C5DBE" w:rsidR="00DA6C03" w:rsidRPr="00EC2491" w:rsidRDefault="00DA6C03" w:rsidP="00EC2491">
    <w:pPr>
      <w:pStyle w:val="EvenFooter"/>
    </w:pP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2C7B14">
      <w:rPr>
        <w:rStyle w:val="PageNumber"/>
        <w:noProof/>
        <w:sz w:val="22"/>
      </w:rPr>
      <w:t>96</w:t>
    </w:r>
    <w:r w:rsidRPr="00762043">
      <w:rPr>
        <w:rStyle w:val="PageNumber"/>
        <w:sz w:val="22"/>
      </w:rPr>
      <w:fldChar w:fldCharType="end"/>
    </w:r>
    <w:r>
      <w:rPr>
        <w:rStyle w:val="PageNumber"/>
        <w:b w:val="0"/>
        <w:sz w:val="22"/>
      </w:rPr>
      <w:tab/>
    </w:r>
    <w:r w:rsidRPr="00292C83">
      <w:rPr>
        <w:rFonts w:cs="Calibri"/>
        <w:lang w:eastAsia="en-GB"/>
      </w:rPr>
      <w:t>Chapter 3: Energy</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7A7A2" w14:textId="6C4BA548" w:rsidR="00DA6C03" w:rsidRPr="00EC2491" w:rsidRDefault="00DA6C03" w:rsidP="00EC2491">
    <w:pPr>
      <w:pStyle w:val="EvenFooter"/>
    </w:pP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630893">
      <w:rPr>
        <w:rStyle w:val="PageNumber"/>
        <w:noProof/>
        <w:sz w:val="22"/>
      </w:rPr>
      <w:t>154</w:t>
    </w:r>
    <w:r w:rsidRPr="00762043">
      <w:rPr>
        <w:rStyle w:val="PageNumber"/>
        <w:sz w:val="22"/>
      </w:rPr>
      <w:fldChar w:fldCharType="end"/>
    </w:r>
    <w:r>
      <w:rPr>
        <w:rStyle w:val="PageNumber"/>
        <w:b w:val="0"/>
        <w:sz w:val="22"/>
      </w:rPr>
      <w:tab/>
    </w:r>
    <w:r w:rsidRPr="00292C83">
      <w:t>Chapter 4: Industrial Processes and Product Use (IPPU)</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EB766" w14:textId="38E14445" w:rsidR="00DA6C03" w:rsidRPr="00EC2491" w:rsidRDefault="00DA6C03" w:rsidP="00EC2491">
    <w:pPr>
      <w:pStyle w:val="EvenFooter"/>
    </w:pP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630893">
      <w:rPr>
        <w:rStyle w:val="PageNumber"/>
        <w:noProof/>
        <w:sz w:val="22"/>
      </w:rPr>
      <w:t>240</w:t>
    </w:r>
    <w:r w:rsidRPr="00762043">
      <w:rPr>
        <w:rStyle w:val="PageNumber"/>
        <w:sz w:val="22"/>
      </w:rPr>
      <w:fldChar w:fldCharType="end"/>
    </w:r>
    <w:r>
      <w:rPr>
        <w:rStyle w:val="PageNumber"/>
        <w:b w:val="0"/>
        <w:sz w:val="22"/>
      </w:rPr>
      <w:tab/>
    </w:r>
    <w:r w:rsidRPr="00292C83">
      <w:rPr>
        <w:rFonts w:cs="Calibri"/>
      </w:rPr>
      <w:t>Chapter 5: Agriculture</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FDC66" w14:textId="07BF91F2" w:rsidR="00DA6C03" w:rsidRPr="00346220" w:rsidRDefault="00DA6C03" w:rsidP="00DB330E">
    <w:pPr>
      <w:pStyle w:val="Footereven"/>
    </w:pP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630893">
      <w:rPr>
        <w:rStyle w:val="PageNumber"/>
        <w:noProof/>
        <w:sz w:val="22"/>
      </w:rPr>
      <w:t>346</w:t>
    </w:r>
    <w:r w:rsidRPr="00762043">
      <w:rPr>
        <w:rStyle w:val="PageNumber"/>
        <w:sz w:val="22"/>
      </w:rPr>
      <w:fldChar w:fldCharType="end"/>
    </w:r>
    <w:r>
      <w:rPr>
        <w:rStyle w:val="PageNumber"/>
        <w:sz w:val="22"/>
      </w:rPr>
      <w:tab/>
    </w:r>
    <w:r w:rsidRPr="00292C83">
      <w:t>Chapter 6: Land Use, Land-Use Change and Forestry (LULUCF)</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C9711" w14:textId="5210AA3E" w:rsidR="00DA6C03" w:rsidRPr="00027E55" w:rsidRDefault="00DA6C03" w:rsidP="00DB330E">
    <w:pPr>
      <w:pStyle w:val="OddFooter"/>
      <w:rPr>
        <w:b/>
      </w:rPr>
    </w:pPr>
    <w:r>
      <w:tab/>
    </w:r>
    <w:r w:rsidRPr="00BF1C36">
      <w:t>New Zealand’s Greenhouse Gas Inventory 1990–20</w:t>
    </w:r>
    <w:r>
      <w:t>18</w:t>
    </w:r>
    <w:r w:rsidRPr="00027E55">
      <w:tab/>
    </w: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630893">
      <w:rPr>
        <w:rStyle w:val="PageNumber"/>
        <w:noProof/>
        <w:sz w:val="22"/>
      </w:rPr>
      <w:t>419</w:t>
    </w:r>
    <w:r w:rsidRPr="00762043">
      <w:rPr>
        <w:rStyle w:val="PageNumber"/>
        <w:sz w:val="22"/>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66E10" w14:textId="54374F83" w:rsidR="00DA6C03" w:rsidRPr="00346220" w:rsidRDefault="00DA6C03" w:rsidP="00DB330E">
    <w:pPr>
      <w:pStyle w:val="Footereven"/>
    </w:pP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630893">
      <w:rPr>
        <w:rStyle w:val="PageNumber"/>
        <w:noProof/>
        <w:sz w:val="22"/>
      </w:rPr>
      <w:t>388</w:t>
    </w:r>
    <w:r w:rsidRPr="00762043">
      <w:rPr>
        <w:rStyle w:val="PageNumber"/>
        <w:sz w:val="22"/>
      </w:rPr>
      <w:fldChar w:fldCharType="end"/>
    </w:r>
    <w:r>
      <w:rPr>
        <w:rStyle w:val="PageNumber"/>
        <w:sz w:val="22"/>
      </w:rPr>
      <w:tab/>
    </w:r>
    <w:r w:rsidRPr="00292C83">
      <w:t>Chapter 7: Waste</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80A92" w14:textId="343204B6" w:rsidR="00DA6C03" w:rsidRPr="00346220" w:rsidRDefault="00DA6C03" w:rsidP="00DB330E">
    <w:pPr>
      <w:pStyle w:val="Footereven"/>
    </w:pP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630893">
      <w:rPr>
        <w:rStyle w:val="PageNumber"/>
        <w:noProof/>
        <w:sz w:val="22"/>
      </w:rPr>
      <w:t>418</w:t>
    </w:r>
    <w:r w:rsidRPr="00762043">
      <w:rPr>
        <w:rStyle w:val="PageNumber"/>
        <w:sz w:val="22"/>
      </w:rPr>
      <w:fldChar w:fldCharType="end"/>
    </w:r>
    <w:r>
      <w:rPr>
        <w:rStyle w:val="PageNumber"/>
        <w:sz w:val="22"/>
      </w:rPr>
      <w:tab/>
    </w:r>
    <w:r w:rsidRPr="00292C83">
      <w:t>Chapter 8: Tokelau (other) sector</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FB803" w14:textId="50D2AFE7" w:rsidR="00DA6C03" w:rsidRPr="00346220" w:rsidRDefault="00DA6C03" w:rsidP="00DB330E">
    <w:pPr>
      <w:pStyle w:val="Footereven"/>
    </w:pP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630893">
      <w:rPr>
        <w:rStyle w:val="PageNumber"/>
        <w:noProof/>
        <w:sz w:val="22"/>
      </w:rPr>
      <w:t>420</w:t>
    </w:r>
    <w:r w:rsidRPr="00762043">
      <w:rPr>
        <w:rStyle w:val="PageNumber"/>
        <w:sz w:val="22"/>
      </w:rPr>
      <w:fldChar w:fldCharType="end"/>
    </w:r>
    <w:r>
      <w:rPr>
        <w:rStyle w:val="PageNumber"/>
        <w:sz w:val="22"/>
      </w:rPr>
      <w:tab/>
    </w:r>
    <w:r w:rsidRPr="00292C83">
      <w:t>Chapter 9: Indirect carbon dioxide and nitrous oxide emissions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001EB" w14:textId="77777777" w:rsidR="00DA6C03" w:rsidRDefault="00DA6C03">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0A2EE" w14:textId="28FEBB1F" w:rsidR="00DA6C03" w:rsidRPr="00027E55" w:rsidRDefault="00DA6C03" w:rsidP="000C636D">
    <w:pPr>
      <w:pStyle w:val="OddFooter"/>
      <w:rPr>
        <w:b/>
      </w:rPr>
    </w:pPr>
    <w:r>
      <w:tab/>
    </w:r>
    <w:r w:rsidRPr="00BF1C36">
      <w:t>New Zealand’s Greenhouse Gas Inventory 1990–20</w:t>
    </w:r>
    <w:r>
      <w:t>18</w:t>
    </w:r>
    <w:r w:rsidRPr="00027E55">
      <w:tab/>
    </w: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630893">
      <w:rPr>
        <w:rStyle w:val="PageNumber"/>
        <w:noProof/>
        <w:sz w:val="22"/>
      </w:rPr>
      <w:t>443</w:t>
    </w:r>
    <w:r w:rsidRPr="00762043">
      <w:rPr>
        <w:rStyle w:val="PageNumber"/>
        <w:sz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BE8E2" w14:textId="4E5C65E9" w:rsidR="00DA6C03" w:rsidRPr="00346220" w:rsidRDefault="00DA6C03" w:rsidP="00DB330E">
    <w:pPr>
      <w:pStyle w:val="Footereven"/>
    </w:pP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630893">
      <w:rPr>
        <w:rStyle w:val="PageNumber"/>
        <w:noProof/>
        <w:sz w:val="22"/>
      </w:rPr>
      <w:t>442</w:t>
    </w:r>
    <w:r w:rsidRPr="00762043">
      <w:rPr>
        <w:rStyle w:val="PageNumber"/>
        <w:sz w:val="22"/>
      </w:rPr>
      <w:fldChar w:fldCharType="end"/>
    </w:r>
    <w:r>
      <w:rPr>
        <w:rStyle w:val="PageNumber"/>
        <w:sz w:val="22"/>
      </w:rPr>
      <w:tab/>
    </w:r>
    <w:r w:rsidRPr="00B50664">
      <w:t>Chapter 10: Recalculations and improvements</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C5843" w14:textId="114AF33A" w:rsidR="00DA6C03" w:rsidRPr="00346220" w:rsidRDefault="00DA6C03" w:rsidP="00DB330E">
    <w:pPr>
      <w:pStyle w:val="Footereven"/>
    </w:pP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630893">
      <w:rPr>
        <w:rStyle w:val="PageNumber"/>
        <w:noProof/>
        <w:sz w:val="22"/>
      </w:rPr>
      <w:t>470</w:t>
    </w:r>
    <w:r w:rsidRPr="00762043">
      <w:rPr>
        <w:rStyle w:val="PageNumber"/>
        <w:sz w:val="22"/>
      </w:rPr>
      <w:fldChar w:fldCharType="end"/>
    </w:r>
    <w:r>
      <w:rPr>
        <w:rStyle w:val="PageNumber"/>
        <w:sz w:val="22"/>
      </w:rPr>
      <w:tab/>
    </w:r>
    <w:r w:rsidRPr="00292C83">
      <w:t>Chapter 11: KP-LULUCF</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D3ED6" w14:textId="71536D0C" w:rsidR="00DA6C03" w:rsidRPr="00027E55" w:rsidRDefault="00DA6C03" w:rsidP="00DB330E">
    <w:pPr>
      <w:pStyle w:val="OddFooter"/>
      <w:rPr>
        <w:b/>
      </w:rPr>
    </w:pPr>
    <w:r>
      <w:tab/>
    </w:r>
    <w:r w:rsidRPr="00BF1C36">
      <w:t>New Zealand’s Greenhouse Gas Inventory 1990–20</w:t>
    </w:r>
    <w:r>
      <w:t>18</w:t>
    </w:r>
    <w:r w:rsidRPr="00027E55">
      <w:tab/>
    </w: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630893">
      <w:rPr>
        <w:rStyle w:val="PageNumber"/>
        <w:noProof/>
        <w:sz w:val="22"/>
      </w:rPr>
      <w:t>451</w:t>
    </w:r>
    <w:r w:rsidRPr="00762043">
      <w:rPr>
        <w:rStyle w:val="PageNumber"/>
        <w:sz w:val="22"/>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48BE4" w14:textId="5529EA06" w:rsidR="00DA6C03" w:rsidRPr="00027E55" w:rsidRDefault="00DA6C03" w:rsidP="00DB330E">
    <w:pPr>
      <w:pStyle w:val="OddFooter"/>
      <w:tabs>
        <w:tab w:val="clear" w:pos="7655"/>
        <w:tab w:val="clear" w:pos="8505"/>
        <w:tab w:val="right" w:pos="13041"/>
        <w:tab w:val="right" w:pos="14004"/>
      </w:tabs>
      <w:rPr>
        <w:b/>
      </w:rPr>
    </w:pPr>
    <w:r>
      <w:tab/>
    </w:r>
    <w:r w:rsidRPr="00BF1C36">
      <w:t>New Zealand’s Greenhouse Gas Inventory 1990–20</w:t>
    </w:r>
    <w:r>
      <w:t>18</w:t>
    </w:r>
    <w:r w:rsidRPr="00027E55">
      <w:tab/>
    </w: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Pr>
        <w:rStyle w:val="PageNumber"/>
        <w:noProof/>
        <w:sz w:val="22"/>
      </w:rPr>
      <w:t>453</w:t>
    </w:r>
    <w:r w:rsidRPr="00762043">
      <w:rPr>
        <w:rStyle w:val="PageNumber"/>
        <w:sz w:val="22"/>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6142C" w14:textId="6CB05E71" w:rsidR="00DA6C03" w:rsidRPr="00027E55" w:rsidRDefault="00DA6C03" w:rsidP="00DB330E">
    <w:pPr>
      <w:pStyle w:val="OddFooter"/>
      <w:rPr>
        <w:b/>
      </w:rPr>
    </w:pPr>
    <w:r>
      <w:tab/>
    </w:r>
    <w:r w:rsidRPr="00BF1C36">
      <w:t>New Zealand’s Greenhouse Gas Inventory 1990–20</w:t>
    </w:r>
    <w:r>
      <w:t>18</w:t>
    </w:r>
    <w:r w:rsidRPr="00027E55">
      <w:tab/>
    </w: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630893">
      <w:rPr>
        <w:rStyle w:val="PageNumber"/>
        <w:noProof/>
        <w:sz w:val="22"/>
      </w:rPr>
      <w:t>469</w:t>
    </w:r>
    <w:r w:rsidRPr="00762043">
      <w:rPr>
        <w:rStyle w:val="PageNumber"/>
        <w:sz w:val="22"/>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1D3CA" w14:textId="0D07B804" w:rsidR="00DA6C03" w:rsidRPr="00B37D7C" w:rsidRDefault="00DA6C03" w:rsidP="00DB330E">
    <w:pPr>
      <w:pStyle w:val="EvenFooter"/>
    </w:pP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630893">
      <w:rPr>
        <w:rStyle w:val="PageNumber"/>
        <w:noProof/>
        <w:sz w:val="22"/>
      </w:rPr>
      <w:t>478</w:t>
    </w:r>
    <w:r w:rsidRPr="00762043">
      <w:rPr>
        <w:rStyle w:val="PageNumber"/>
        <w:sz w:val="22"/>
      </w:rPr>
      <w:fldChar w:fldCharType="end"/>
    </w:r>
    <w:r>
      <w:rPr>
        <w:rStyle w:val="PageNumber"/>
        <w:b w:val="0"/>
        <w:sz w:val="22"/>
      </w:rPr>
      <w:tab/>
    </w:r>
    <w:r w:rsidRPr="00292C83">
      <w:t>Chapter 12: Information on accounting of the Kyoto Protocol units</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1BE6D" w14:textId="72BA3A7F" w:rsidR="00DA6C03" w:rsidRPr="00027E55" w:rsidRDefault="00DA6C03" w:rsidP="00DB330E">
    <w:pPr>
      <w:pStyle w:val="OddFooter"/>
      <w:rPr>
        <w:b/>
      </w:rPr>
    </w:pPr>
    <w:r>
      <w:tab/>
    </w:r>
    <w:r w:rsidRPr="00BF1C36">
      <w:t xml:space="preserve">New Zealand’s </w:t>
    </w:r>
    <w:r w:rsidRPr="00B928E7">
      <w:t>Greenhouse</w:t>
    </w:r>
    <w:r w:rsidRPr="00BF1C36">
      <w:t xml:space="preserve"> Gas Inventory 1990</w:t>
    </w:r>
    <w:r>
      <w:t>–2018</w:t>
    </w:r>
    <w:r w:rsidRPr="00027E55">
      <w:tab/>
    </w: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630893">
      <w:rPr>
        <w:rStyle w:val="PageNumber"/>
        <w:noProof/>
        <w:sz w:val="22"/>
      </w:rPr>
      <w:t>477</w:t>
    </w:r>
    <w:r w:rsidRPr="00762043">
      <w:rPr>
        <w:rStyle w:val="PageNumber"/>
        <w:sz w:val="22"/>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B49E1" w14:textId="6BF6B063" w:rsidR="00DA6C03" w:rsidRPr="00346220" w:rsidRDefault="00DA6C03" w:rsidP="00DB330E">
    <w:pPr>
      <w:pStyle w:val="Footereven"/>
    </w:pP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Pr>
        <w:rStyle w:val="PageNumber"/>
        <w:noProof/>
        <w:sz w:val="22"/>
      </w:rPr>
      <w:t>480</w:t>
    </w:r>
    <w:r w:rsidRPr="00762043">
      <w:rPr>
        <w:rStyle w:val="PageNumber"/>
        <w:sz w:val="22"/>
      </w:rPr>
      <w:fldChar w:fldCharType="end"/>
    </w:r>
    <w:r>
      <w:rPr>
        <w:rStyle w:val="PageNumber"/>
        <w:sz w:val="22"/>
      </w:rPr>
      <w:tab/>
    </w:r>
    <w:r w:rsidRPr="00BF1C36">
      <w:t>New Zealand’s G</w:t>
    </w:r>
    <w:r>
      <w:t>reenhouse Gas Inventory 1990–2018</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36D58" w14:textId="1DAA9658" w:rsidR="00DA6C03" w:rsidRPr="00710C68" w:rsidRDefault="00DA6C03" w:rsidP="00DB330E">
    <w:pPr>
      <w:pStyle w:val="OddFooter"/>
      <w:rPr>
        <w:rFonts w:cs="Calibri"/>
        <w:b/>
      </w:rPr>
    </w:pPr>
    <w:r w:rsidRPr="00710C68">
      <w:rPr>
        <w:rFonts w:cs="Calibri"/>
      </w:rPr>
      <w:tab/>
      <w:t>New Zealand’s Greenhouse Gas Inventory 1990–2018</w:t>
    </w:r>
    <w:r w:rsidRPr="00710C68">
      <w:rPr>
        <w:rFonts w:cs="Calibri"/>
      </w:rPr>
      <w:tab/>
    </w:r>
    <w:r w:rsidRPr="00710C68">
      <w:rPr>
        <w:rStyle w:val="PageNumber"/>
        <w:rFonts w:cs="Calibri"/>
        <w:sz w:val="22"/>
      </w:rPr>
      <w:fldChar w:fldCharType="begin"/>
    </w:r>
    <w:r w:rsidRPr="005F05A2">
      <w:rPr>
        <w:rStyle w:val="PageNumber"/>
        <w:rFonts w:cs="Calibri"/>
        <w:sz w:val="22"/>
      </w:rPr>
      <w:instrText xml:space="preserve"> PAGE </w:instrText>
    </w:r>
    <w:r w:rsidRPr="00710C68">
      <w:rPr>
        <w:rStyle w:val="PageNumber"/>
        <w:rFonts w:cs="Calibri"/>
        <w:sz w:val="22"/>
      </w:rPr>
      <w:fldChar w:fldCharType="separate"/>
    </w:r>
    <w:r w:rsidR="00630893">
      <w:rPr>
        <w:rStyle w:val="PageNumber"/>
        <w:rFonts w:cs="Calibri"/>
        <w:noProof/>
        <w:sz w:val="22"/>
      </w:rPr>
      <w:t>479</w:t>
    </w:r>
    <w:r w:rsidRPr="00710C68">
      <w:rPr>
        <w:rStyle w:val="PageNumber"/>
        <w:rFonts w:cs="Calibri"/>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99CE3" w14:textId="45596ED8" w:rsidR="00DA6C03" w:rsidRPr="00B928E7" w:rsidRDefault="00DA6C03" w:rsidP="00B928E7">
    <w:pPr>
      <w:pStyle w:val="Footereven"/>
    </w:pPr>
    <w:r w:rsidRPr="007A30E8">
      <w:rPr>
        <w:rStyle w:val="PageNumber"/>
        <w:bCs/>
        <w:sz w:val="22"/>
      </w:rPr>
      <w:fldChar w:fldCharType="begin"/>
    </w:r>
    <w:r w:rsidRPr="007A30E8">
      <w:rPr>
        <w:rStyle w:val="PageNumber"/>
        <w:bCs/>
        <w:sz w:val="22"/>
      </w:rPr>
      <w:instrText xml:space="preserve"> PAGE </w:instrText>
    </w:r>
    <w:r w:rsidRPr="007A30E8">
      <w:rPr>
        <w:rStyle w:val="PageNumber"/>
        <w:bCs/>
        <w:sz w:val="22"/>
      </w:rPr>
      <w:fldChar w:fldCharType="separate"/>
    </w:r>
    <w:r w:rsidR="00630893">
      <w:rPr>
        <w:rStyle w:val="PageNumber"/>
        <w:bCs/>
        <w:noProof/>
        <w:sz w:val="22"/>
      </w:rPr>
      <w:t>iv</w:t>
    </w:r>
    <w:r w:rsidRPr="007A30E8">
      <w:rPr>
        <w:rStyle w:val="PageNumber"/>
        <w:bCs/>
        <w:sz w:val="22"/>
      </w:rPr>
      <w:fldChar w:fldCharType="end"/>
    </w:r>
    <w:r>
      <w:rPr>
        <w:rStyle w:val="PageNumber"/>
        <w:b w:val="0"/>
        <w:sz w:val="22"/>
      </w:rPr>
      <w:tab/>
    </w:r>
    <w:r>
      <w:t>Acknowledgements</w: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9FC1A" w14:textId="71BF9A41" w:rsidR="00DA6C03" w:rsidRPr="00E932B5" w:rsidRDefault="00DA6C03" w:rsidP="00DB330E">
    <w:pPr>
      <w:pStyle w:val="EvenFooter"/>
    </w:pP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630893">
      <w:rPr>
        <w:rStyle w:val="PageNumber"/>
        <w:noProof/>
        <w:sz w:val="22"/>
      </w:rPr>
      <w:t>480</w:t>
    </w:r>
    <w:r w:rsidRPr="00762043">
      <w:rPr>
        <w:rStyle w:val="PageNumber"/>
        <w:sz w:val="22"/>
      </w:rPr>
      <w:fldChar w:fldCharType="end"/>
    </w:r>
    <w:r>
      <w:rPr>
        <w:rStyle w:val="PageNumber"/>
        <w:b w:val="0"/>
        <w:sz w:val="22"/>
      </w:rPr>
      <w:tab/>
    </w:r>
    <w:r w:rsidRPr="00292C83">
      <w:t>Chapter 14: Information on changes to the national registry</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97EA9" w14:textId="7B9C024F" w:rsidR="00DA6C03" w:rsidRPr="00027E55" w:rsidRDefault="00DA6C03" w:rsidP="00DB330E">
    <w:pPr>
      <w:pStyle w:val="OddFooter"/>
      <w:rPr>
        <w:b/>
      </w:rPr>
    </w:pPr>
    <w:r>
      <w:tab/>
    </w:r>
    <w:r w:rsidRPr="00BF1C36">
      <w:t xml:space="preserve">New Zealand’s </w:t>
    </w:r>
    <w:r w:rsidRPr="00B928E7">
      <w:t>Greenhouse</w:t>
    </w:r>
    <w:r w:rsidRPr="00BF1C36">
      <w:t xml:space="preserve"> Gas Inventory 1990–20</w:t>
    </w:r>
    <w:r>
      <w:t>18</w:t>
    </w:r>
    <w:r w:rsidRPr="00027E55">
      <w:tab/>
    </w: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630893">
      <w:rPr>
        <w:rStyle w:val="PageNumber"/>
        <w:noProof/>
        <w:sz w:val="22"/>
      </w:rPr>
      <w:t>481</w:t>
    </w:r>
    <w:r w:rsidRPr="00762043">
      <w:rPr>
        <w:rStyle w:val="PageNumber"/>
        <w:sz w:val="22"/>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271D4" w14:textId="220B34FE" w:rsidR="00DA6C03" w:rsidRPr="00EC2491" w:rsidRDefault="00DA6C03" w:rsidP="00EC2491">
    <w:pPr>
      <w:pStyle w:val="EvenFooter"/>
    </w:pP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630893">
      <w:rPr>
        <w:rStyle w:val="PageNumber"/>
        <w:noProof/>
        <w:sz w:val="22"/>
      </w:rPr>
      <w:t>486</w:t>
    </w:r>
    <w:r w:rsidRPr="00762043">
      <w:rPr>
        <w:rStyle w:val="PageNumber"/>
        <w:sz w:val="22"/>
      </w:rPr>
      <w:fldChar w:fldCharType="end"/>
    </w:r>
    <w:r>
      <w:rPr>
        <w:rStyle w:val="PageNumber"/>
        <w:b w:val="0"/>
        <w:sz w:val="22"/>
      </w:rPr>
      <w:tab/>
    </w:r>
    <w:r w:rsidRPr="00292C83">
      <w:t>Chapter 15: Information on minimisation of adverse impacts</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08A23" w14:textId="6DCF98F0" w:rsidR="00DA6C03" w:rsidRPr="00027E55" w:rsidRDefault="00DA6C03" w:rsidP="00DB330E">
    <w:pPr>
      <w:pStyle w:val="OddFooter"/>
      <w:rPr>
        <w:b/>
      </w:rPr>
    </w:pPr>
    <w:r>
      <w:tab/>
    </w:r>
    <w:r w:rsidRPr="00BF1C36">
      <w:t xml:space="preserve">New Zealand’s </w:t>
    </w:r>
    <w:r w:rsidRPr="00B928E7">
      <w:t>Greenhouse</w:t>
    </w:r>
    <w:r w:rsidRPr="00BF1C36">
      <w:t xml:space="preserve"> Gas </w:t>
    </w:r>
    <w:r w:rsidRPr="00715D39">
      <w:t>Inventory</w:t>
    </w:r>
    <w:r w:rsidRPr="00BF1C36">
      <w:t xml:space="preserve"> 1990–20</w:t>
    </w:r>
    <w:r>
      <w:t>18</w:t>
    </w:r>
    <w:r w:rsidRPr="00027E55">
      <w:tab/>
    </w: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630893">
      <w:rPr>
        <w:rStyle w:val="PageNumber"/>
        <w:noProof/>
        <w:sz w:val="22"/>
      </w:rPr>
      <w:t>485</w:t>
    </w:r>
    <w:r w:rsidRPr="00762043">
      <w:rPr>
        <w:rStyle w:val="PageNumber"/>
        <w:sz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3AF73" w14:textId="4F80FD2B" w:rsidR="00DA6C03" w:rsidRPr="00027E55" w:rsidRDefault="00DA6C03" w:rsidP="00F660F9">
    <w:pPr>
      <w:pStyle w:val="OddFooter"/>
      <w:rPr>
        <w:rStyle w:val="PageNumber"/>
        <w:b w:val="0"/>
      </w:rPr>
    </w:pPr>
    <w:r>
      <w:tab/>
    </w:r>
    <w:r w:rsidRPr="00BF1C36">
      <w:t>New Zealand’s Greenhouse Gas Inventory 1990–20</w:t>
    </w:r>
    <w:r>
      <w:t>18</w:t>
    </w:r>
    <w:r>
      <w:tab/>
    </w:r>
    <w:r w:rsidRPr="00027E55">
      <w:rPr>
        <w:rStyle w:val="PageNumber"/>
        <w:b w:val="0"/>
        <w:sz w:val="22"/>
      </w:rPr>
      <w:fldChar w:fldCharType="begin"/>
    </w:r>
    <w:r w:rsidRPr="00027E55">
      <w:rPr>
        <w:rStyle w:val="PageNumber"/>
        <w:b w:val="0"/>
        <w:sz w:val="22"/>
      </w:rPr>
      <w:instrText xml:space="preserve"> PAGE </w:instrText>
    </w:r>
    <w:r w:rsidRPr="00027E55">
      <w:rPr>
        <w:rStyle w:val="PageNumber"/>
        <w:b w:val="0"/>
        <w:sz w:val="22"/>
      </w:rPr>
      <w:fldChar w:fldCharType="separate"/>
    </w:r>
    <w:r w:rsidR="00630893">
      <w:rPr>
        <w:rStyle w:val="PageNumber"/>
        <w:b w:val="0"/>
        <w:noProof/>
        <w:sz w:val="22"/>
      </w:rPr>
      <w:t>xxiii</w:t>
    </w:r>
    <w:r w:rsidRPr="00027E55">
      <w:rPr>
        <w:rStyle w:val="PageNumber"/>
        <w:b w:val="0"/>
        <w:sz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CCFAA" w14:textId="3D01B06C" w:rsidR="00DA6C03" w:rsidRPr="00B928E7" w:rsidRDefault="00DA6C03" w:rsidP="00B928E7">
    <w:pPr>
      <w:pStyle w:val="Footereven"/>
    </w:pPr>
    <w:r w:rsidRPr="007A30E8">
      <w:rPr>
        <w:rStyle w:val="PageNumber"/>
        <w:bCs/>
        <w:sz w:val="22"/>
      </w:rPr>
      <w:fldChar w:fldCharType="begin"/>
    </w:r>
    <w:r w:rsidRPr="007A30E8">
      <w:rPr>
        <w:rStyle w:val="PageNumber"/>
        <w:bCs/>
        <w:sz w:val="22"/>
      </w:rPr>
      <w:instrText xml:space="preserve"> PAGE </w:instrText>
    </w:r>
    <w:r w:rsidRPr="007A30E8">
      <w:rPr>
        <w:rStyle w:val="PageNumber"/>
        <w:bCs/>
        <w:sz w:val="22"/>
      </w:rPr>
      <w:fldChar w:fldCharType="separate"/>
    </w:r>
    <w:r w:rsidR="00630893">
      <w:rPr>
        <w:rStyle w:val="PageNumber"/>
        <w:bCs/>
        <w:noProof/>
        <w:sz w:val="22"/>
      </w:rPr>
      <w:t>viii</w:t>
    </w:r>
    <w:r w:rsidRPr="007A30E8">
      <w:rPr>
        <w:rStyle w:val="PageNumber"/>
        <w:bCs/>
        <w:sz w:val="22"/>
      </w:rPr>
      <w:fldChar w:fldCharType="end"/>
    </w:r>
    <w:r>
      <w:rPr>
        <w:rStyle w:val="PageNumber"/>
        <w:b w:val="0"/>
        <w:sz w:val="22"/>
      </w:rPr>
      <w:tab/>
    </w:r>
    <w:r>
      <w:t>Contents</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90726" w14:textId="765B61D9" w:rsidR="00DA6C03" w:rsidRPr="00B928E7" w:rsidRDefault="00DA6C03" w:rsidP="00B928E7">
    <w:pPr>
      <w:pStyle w:val="Footereven"/>
    </w:pPr>
    <w:r w:rsidRPr="007A30E8">
      <w:rPr>
        <w:rStyle w:val="PageNumber"/>
        <w:bCs/>
        <w:sz w:val="22"/>
      </w:rPr>
      <w:fldChar w:fldCharType="begin"/>
    </w:r>
    <w:r w:rsidRPr="007A30E8">
      <w:rPr>
        <w:rStyle w:val="PageNumber"/>
        <w:bCs/>
        <w:sz w:val="22"/>
      </w:rPr>
      <w:instrText xml:space="preserve"> PAGE </w:instrText>
    </w:r>
    <w:r w:rsidRPr="007A30E8">
      <w:rPr>
        <w:rStyle w:val="PageNumber"/>
        <w:bCs/>
        <w:sz w:val="22"/>
      </w:rPr>
      <w:fldChar w:fldCharType="separate"/>
    </w:r>
    <w:r w:rsidR="00630893">
      <w:rPr>
        <w:rStyle w:val="PageNumber"/>
        <w:bCs/>
        <w:noProof/>
        <w:sz w:val="22"/>
      </w:rPr>
      <w:t>xviii</w:t>
    </w:r>
    <w:r w:rsidRPr="007A30E8">
      <w:rPr>
        <w:rStyle w:val="PageNumber"/>
        <w:bCs/>
        <w:sz w:val="22"/>
      </w:rPr>
      <w:fldChar w:fldCharType="end"/>
    </w:r>
    <w:r>
      <w:rPr>
        <w:rStyle w:val="PageNumber"/>
        <w:b w:val="0"/>
        <w:sz w:val="22"/>
      </w:rPr>
      <w:tab/>
    </w:r>
    <w:r>
      <w:t>Tables and figures</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7245F" w14:textId="61EA62DB" w:rsidR="00DA6C03" w:rsidRPr="00B928E7" w:rsidRDefault="00DA6C03" w:rsidP="00B928E7">
    <w:pPr>
      <w:pStyle w:val="Footereven"/>
    </w:pPr>
    <w:r w:rsidRPr="007A30E8">
      <w:rPr>
        <w:rStyle w:val="PageNumber"/>
        <w:bCs/>
        <w:sz w:val="22"/>
      </w:rPr>
      <w:fldChar w:fldCharType="begin"/>
    </w:r>
    <w:r w:rsidRPr="007A30E8">
      <w:rPr>
        <w:rStyle w:val="PageNumber"/>
        <w:bCs/>
        <w:sz w:val="22"/>
      </w:rPr>
      <w:instrText xml:space="preserve"> PAGE </w:instrText>
    </w:r>
    <w:r w:rsidRPr="007A30E8">
      <w:rPr>
        <w:rStyle w:val="PageNumber"/>
        <w:bCs/>
        <w:sz w:val="22"/>
      </w:rPr>
      <w:fldChar w:fldCharType="separate"/>
    </w:r>
    <w:r w:rsidR="00630893">
      <w:rPr>
        <w:rStyle w:val="PageNumber"/>
        <w:bCs/>
        <w:noProof/>
        <w:sz w:val="22"/>
      </w:rPr>
      <w:t>xxii</w:t>
    </w:r>
    <w:r w:rsidRPr="007A30E8">
      <w:rPr>
        <w:rStyle w:val="PageNumber"/>
        <w:bCs/>
        <w:sz w:val="22"/>
      </w:rPr>
      <w:fldChar w:fldCharType="end"/>
    </w:r>
    <w:r>
      <w:rPr>
        <w:rStyle w:val="PageNumber"/>
        <w:b w:val="0"/>
        <w:sz w:val="22"/>
      </w:rPr>
      <w:tab/>
    </w:r>
    <w:r>
      <w:t>Abbreviations</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CDE73" w14:textId="23B5B751" w:rsidR="00DA6C03" w:rsidRPr="00EC2491" w:rsidRDefault="00DA6C03" w:rsidP="00EC2491">
    <w:pPr>
      <w:pStyle w:val="EvenFooter"/>
    </w:pP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630893">
      <w:rPr>
        <w:rStyle w:val="PageNumber"/>
        <w:noProof/>
        <w:sz w:val="22"/>
      </w:rPr>
      <w:t>18</w:t>
    </w:r>
    <w:r w:rsidRPr="00762043">
      <w:rPr>
        <w:rStyle w:val="PageNumber"/>
        <w:sz w:val="22"/>
      </w:rPr>
      <w:fldChar w:fldCharType="end"/>
    </w:r>
    <w:r>
      <w:rPr>
        <w:rStyle w:val="PageNumber"/>
        <w:b w:val="0"/>
        <w:sz w:val="22"/>
      </w:rPr>
      <w:tab/>
    </w:r>
    <w:r w:rsidRPr="007911CD">
      <w:t>Executive summary</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E7C8E" w14:textId="7C7B1B96" w:rsidR="00DA6C03" w:rsidRPr="00027E55" w:rsidRDefault="00DA6C03" w:rsidP="00715D39">
    <w:pPr>
      <w:pStyle w:val="OddFooter"/>
      <w:rPr>
        <w:b/>
      </w:rPr>
    </w:pPr>
    <w:r>
      <w:tab/>
    </w:r>
    <w:r w:rsidRPr="00BF1C36">
      <w:t xml:space="preserve">New Zealand’s </w:t>
    </w:r>
    <w:r w:rsidRPr="00B928E7">
      <w:t>Greenhouse</w:t>
    </w:r>
    <w:r w:rsidRPr="00BF1C36">
      <w:t xml:space="preserve"> Gas </w:t>
    </w:r>
    <w:r w:rsidRPr="00715D39">
      <w:t>Inventory</w:t>
    </w:r>
    <w:r w:rsidRPr="00BF1C36">
      <w:t xml:space="preserve"> 1990–20</w:t>
    </w:r>
    <w:r>
      <w:t>18</w:t>
    </w:r>
    <w:r w:rsidRPr="00027E55">
      <w:tab/>
    </w: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2C7B14">
      <w:rPr>
        <w:rStyle w:val="PageNumber"/>
        <w:noProof/>
        <w:sz w:val="22"/>
      </w:rPr>
      <w:t>87</w:t>
    </w:r>
    <w:r w:rsidRPr="00762043">
      <w:rPr>
        <w:rStyle w:val="PageNumber"/>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FE0C9E" w14:textId="77777777" w:rsidR="00DA6C03" w:rsidRDefault="00DA6C03">
      <w:r>
        <w:separator/>
      </w:r>
    </w:p>
  </w:footnote>
  <w:footnote w:type="continuationSeparator" w:id="0">
    <w:p w14:paraId="36D91078" w14:textId="77777777" w:rsidR="00DA6C03" w:rsidRDefault="00DA6C03">
      <w:r>
        <w:continuationSeparator/>
      </w:r>
    </w:p>
  </w:footnote>
  <w:footnote w:id="1">
    <w:p w14:paraId="523F0883" w14:textId="77777777" w:rsidR="00DA6C03" w:rsidRPr="00560B3D" w:rsidRDefault="00DA6C03" w:rsidP="00D1512E">
      <w:pPr>
        <w:pStyle w:val="FootnoteText"/>
      </w:pPr>
      <w:r w:rsidRPr="00560B3D">
        <w:rPr>
          <w:rStyle w:val="FootnoteReference"/>
        </w:rPr>
        <w:footnoteRef/>
      </w:r>
      <w:r w:rsidRPr="00560B3D">
        <w:t xml:space="preserve"> </w:t>
      </w:r>
      <w:r w:rsidRPr="00560B3D">
        <w:tab/>
        <w:t>Nitrogen trifluoride emissions do not occur in New Zealand and, therefore, are not included in this report.</w:t>
      </w:r>
    </w:p>
  </w:footnote>
  <w:footnote w:id="2">
    <w:p w14:paraId="5736624E" w14:textId="77777777" w:rsidR="00DA6C03" w:rsidRPr="00560B3D" w:rsidRDefault="00DA6C03" w:rsidP="00D1512E">
      <w:pPr>
        <w:pStyle w:val="FootnoteText"/>
      </w:pPr>
      <w:r w:rsidRPr="00560B3D">
        <w:rPr>
          <w:rStyle w:val="FootnoteReference"/>
        </w:rPr>
        <w:footnoteRef/>
      </w:r>
      <w:r w:rsidRPr="00560B3D">
        <w:t xml:space="preserve"> </w:t>
      </w:r>
      <w:r w:rsidRPr="00560B3D">
        <w:tab/>
        <w:t>Indirect gases include carbon monoxide (CO), sulphur dioxide (SO</w:t>
      </w:r>
      <w:r w:rsidRPr="00560B3D">
        <w:rPr>
          <w:vertAlign w:val="subscript"/>
        </w:rPr>
        <w:t>2</w:t>
      </w:r>
      <w:r w:rsidRPr="00560B3D">
        <w:t>), oxides of nitrogen (NO</w:t>
      </w:r>
      <w:r w:rsidRPr="00560B3D">
        <w:rPr>
          <w:vertAlign w:val="subscript"/>
        </w:rPr>
        <w:t>X</w:t>
      </w:r>
      <w:r w:rsidRPr="00560B3D">
        <w:t>) and non</w:t>
      </w:r>
      <w:r w:rsidRPr="00560B3D">
        <w:noBreakHyphen/>
        <w:t>methane volatile organic compounds (NMVOCs).</w:t>
      </w:r>
    </w:p>
  </w:footnote>
  <w:footnote w:id="3">
    <w:p w14:paraId="5C662692" w14:textId="77777777" w:rsidR="00DA6C03" w:rsidRPr="00560B3D" w:rsidRDefault="00DA6C03" w:rsidP="00D1512E">
      <w:pPr>
        <w:pStyle w:val="FootnoteText"/>
      </w:pPr>
      <w:r w:rsidRPr="00560B3D">
        <w:rPr>
          <w:rStyle w:val="FootnoteReference"/>
        </w:rPr>
        <w:footnoteRef/>
      </w:r>
      <w:r w:rsidRPr="00560B3D">
        <w:t xml:space="preserve"> </w:t>
      </w:r>
      <w:r w:rsidRPr="00560B3D">
        <w:tab/>
        <w:t>Methane emissions produced from the digestive process in ruminant livestock.</w:t>
      </w:r>
    </w:p>
  </w:footnote>
  <w:footnote w:id="4">
    <w:p w14:paraId="55E29FE1" w14:textId="77777777" w:rsidR="00DA6C03" w:rsidRPr="00560B3D" w:rsidRDefault="00DA6C03" w:rsidP="00D1512E">
      <w:pPr>
        <w:pStyle w:val="FootnoteText"/>
      </w:pPr>
      <w:r w:rsidRPr="00560B3D">
        <w:rPr>
          <w:rStyle w:val="FootnoteReference"/>
        </w:rPr>
        <w:footnoteRef/>
      </w:r>
      <w:r w:rsidRPr="00560B3D">
        <w:t xml:space="preserve"> </w:t>
      </w:r>
      <w:r w:rsidRPr="00560B3D">
        <w:tab/>
        <w:t>‘ODS’ stands for ozone depleting substances.</w:t>
      </w:r>
    </w:p>
  </w:footnote>
  <w:footnote w:id="5">
    <w:p w14:paraId="721C69B4" w14:textId="6ECDDB67" w:rsidR="00DA6C03" w:rsidRPr="00560B3D" w:rsidRDefault="00DA6C03" w:rsidP="00D1512E">
      <w:pPr>
        <w:pStyle w:val="FootnoteText"/>
      </w:pPr>
      <w:r w:rsidRPr="00560B3D">
        <w:rPr>
          <w:rStyle w:val="FootnoteReference"/>
        </w:rPr>
        <w:footnoteRef/>
      </w:r>
      <w:r w:rsidRPr="00560B3D">
        <w:t xml:space="preserve"> </w:t>
      </w:r>
      <w:r w:rsidRPr="00560B3D">
        <w:tab/>
        <w:t xml:space="preserve">See </w:t>
      </w:r>
      <w:r w:rsidRPr="00560B3D">
        <w:rPr>
          <w:i/>
          <w:iCs/>
          <w:lang w:eastAsia="en-GB"/>
        </w:rPr>
        <w:t>Energy in New Zealand</w:t>
      </w:r>
      <w:r w:rsidRPr="00560B3D">
        <w:rPr>
          <w:lang w:eastAsia="en-GB"/>
        </w:rPr>
        <w:t xml:space="preserve"> (M</w:t>
      </w:r>
      <w:r>
        <w:rPr>
          <w:lang w:eastAsia="en-GB"/>
        </w:rPr>
        <w:t xml:space="preserve">inistry of </w:t>
      </w:r>
      <w:r w:rsidRPr="00560B3D">
        <w:rPr>
          <w:lang w:eastAsia="en-GB"/>
        </w:rPr>
        <w:t>B</w:t>
      </w:r>
      <w:r>
        <w:rPr>
          <w:lang w:eastAsia="en-GB"/>
        </w:rPr>
        <w:t xml:space="preserve">usiness, </w:t>
      </w:r>
      <w:r w:rsidRPr="00560B3D">
        <w:rPr>
          <w:lang w:eastAsia="en-GB"/>
        </w:rPr>
        <w:t>I</w:t>
      </w:r>
      <w:r>
        <w:rPr>
          <w:lang w:eastAsia="en-GB"/>
        </w:rPr>
        <w:t xml:space="preserve">nnovation and </w:t>
      </w:r>
      <w:r w:rsidRPr="00560B3D">
        <w:rPr>
          <w:lang w:eastAsia="en-GB"/>
        </w:rPr>
        <w:t>E</w:t>
      </w:r>
      <w:r>
        <w:rPr>
          <w:lang w:eastAsia="en-GB"/>
        </w:rPr>
        <w:t>mployment,</w:t>
      </w:r>
      <w:r w:rsidRPr="00560B3D">
        <w:rPr>
          <w:lang w:eastAsia="en-GB"/>
        </w:rPr>
        <w:t xml:space="preserve"> 2019) page 54 for further</w:t>
      </w:r>
      <w:r>
        <w:rPr>
          <w:lang w:eastAsia="en-GB"/>
        </w:rPr>
        <w:t> </w:t>
      </w:r>
      <w:r w:rsidRPr="00560B3D">
        <w:rPr>
          <w:lang w:eastAsia="en-GB"/>
        </w:rPr>
        <w:t>information.</w:t>
      </w:r>
    </w:p>
  </w:footnote>
  <w:footnote w:id="6">
    <w:p w14:paraId="47101EF8" w14:textId="77777777" w:rsidR="00DA6C03" w:rsidRPr="00560B3D" w:rsidRDefault="00DA6C03" w:rsidP="00D1512E">
      <w:pPr>
        <w:pStyle w:val="FootnoteText"/>
      </w:pPr>
      <w:r w:rsidRPr="00560B3D">
        <w:rPr>
          <w:rStyle w:val="FootnoteReference"/>
        </w:rPr>
        <w:footnoteRef/>
      </w:r>
      <w:r w:rsidRPr="00560B3D">
        <w:t xml:space="preserve"> </w:t>
      </w:r>
      <w:r w:rsidRPr="00560B3D">
        <w:tab/>
        <w:t xml:space="preserve">For more details, refer to </w:t>
      </w:r>
      <w:r w:rsidRPr="00560B3D">
        <w:rPr>
          <w:i/>
        </w:rPr>
        <w:t>New Zealand’s Initial Report to Facilitate the Calculation of its Emissions Budget for the Period 2013 to 2020</w:t>
      </w:r>
      <w:r w:rsidRPr="00560B3D">
        <w:t xml:space="preserve"> (www.mfe.govt.nz/sites/default/files/media/Climate%20Change/New%20 Zealand%27s%20Initial%20Report%20July%202016.pdf).</w:t>
      </w:r>
    </w:p>
  </w:footnote>
  <w:footnote w:id="7">
    <w:p w14:paraId="5080DE3E" w14:textId="77777777" w:rsidR="00DA6C03" w:rsidRPr="00560B3D" w:rsidRDefault="00DA6C03" w:rsidP="00D1512E">
      <w:pPr>
        <w:pStyle w:val="FootnoteText"/>
      </w:pPr>
      <w:r w:rsidRPr="00560B3D">
        <w:rPr>
          <w:rStyle w:val="FootnoteReference"/>
        </w:rPr>
        <w:footnoteRef/>
      </w:r>
      <w:r w:rsidRPr="00560B3D">
        <w:t xml:space="preserve"> </w:t>
      </w:r>
      <w:r w:rsidRPr="00560B3D">
        <w:tab/>
        <w:t>New Zealand’s latest net position can be accessed from the Ministry for the Environment’s website (www.mfe.govt.nz/climate-change/reporting-greenhouse-gas-emissions/latest-2020-net-position).</w:t>
      </w:r>
    </w:p>
  </w:footnote>
  <w:footnote w:id="8">
    <w:p w14:paraId="7ADADBAB" w14:textId="77777777" w:rsidR="00DA6C03" w:rsidRPr="00560B3D" w:rsidRDefault="00DA6C03" w:rsidP="00D1512E">
      <w:pPr>
        <w:pStyle w:val="FootnoteText"/>
      </w:pPr>
      <w:r w:rsidRPr="00560B3D">
        <w:rPr>
          <w:rStyle w:val="FootnoteReference"/>
        </w:rPr>
        <w:footnoteRef/>
      </w:r>
      <w:r w:rsidRPr="00560B3D">
        <w:t xml:space="preserve"> </w:t>
      </w:r>
      <w:r w:rsidRPr="00560B3D">
        <w:tab/>
        <w:t>Reporting rules under the Convention.</w:t>
      </w:r>
    </w:p>
  </w:footnote>
  <w:footnote w:id="9">
    <w:p w14:paraId="392A2595" w14:textId="77777777" w:rsidR="00DA6C03" w:rsidRPr="00560B3D" w:rsidRDefault="00DA6C03" w:rsidP="00D1512E">
      <w:pPr>
        <w:pStyle w:val="FootnoteText"/>
      </w:pPr>
      <w:r w:rsidRPr="00560B3D">
        <w:rPr>
          <w:rStyle w:val="FootnoteReference"/>
        </w:rPr>
        <w:footnoteRef/>
      </w:r>
      <w:r w:rsidRPr="00560B3D">
        <w:t xml:space="preserve"> </w:t>
      </w:r>
      <w:r w:rsidRPr="00560B3D">
        <w:tab/>
        <w:t>The national dairy herd increased by 3.2 million animals in the period 1990–2018.</w:t>
      </w:r>
    </w:p>
  </w:footnote>
  <w:footnote w:id="10">
    <w:p w14:paraId="20F0A5B7" w14:textId="77777777" w:rsidR="00DA6C03" w:rsidRPr="00560B3D" w:rsidRDefault="00DA6C03" w:rsidP="00FD4854">
      <w:pPr>
        <w:pStyle w:val="FootnoteText"/>
        <w:spacing w:after="0"/>
      </w:pPr>
      <w:r w:rsidRPr="00560B3D">
        <w:rPr>
          <w:rStyle w:val="FootnoteReference"/>
        </w:rPr>
        <w:footnoteRef/>
      </w:r>
      <w:r w:rsidRPr="00560B3D">
        <w:t xml:space="preserve"> </w:t>
      </w:r>
      <w:r w:rsidRPr="00560B3D">
        <w:tab/>
        <w:t xml:space="preserve">The New Zealand Emissions Trading Scheme included the </w:t>
      </w:r>
      <w:r w:rsidRPr="00560B3D">
        <w:rPr>
          <w:i/>
        </w:rPr>
        <w:t>Forestry</w:t>
      </w:r>
      <w:r w:rsidRPr="00560B3D">
        <w:t xml:space="preserve"> sector as of 1 January 2008.</w:t>
      </w:r>
    </w:p>
  </w:footnote>
  <w:footnote w:id="11">
    <w:p w14:paraId="4B121620" w14:textId="77777777" w:rsidR="00DA6C03" w:rsidRPr="00560B3D" w:rsidRDefault="00DA6C03" w:rsidP="00D1512E">
      <w:pPr>
        <w:pStyle w:val="FootnoteText"/>
      </w:pPr>
      <w:r w:rsidRPr="00560B3D">
        <w:rPr>
          <w:rStyle w:val="FootnoteReference"/>
        </w:rPr>
        <w:footnoteRef/>
      </w:r>
      <w:r w:rsidRPr="00560B3D">
        <w:t xml:space="preserve"> </w:t>
      </w:r>
      <w:r>
        <w:tab/>
      </w:r>
      <w:r w:rsidRPr="00560B3D">
        <w:t>Land with a gradient between 0</w:t>
      </w:r>
      <w:r>
        <w:t xml:space="preserve"> degrees</w:t>
      </w:r>
      <w:r w:rsidRPr="00560B3D">
        <w:t xml:space="preserve"> and 12</w:t>
      </w:r>
      <w:r>
        <w:t xml:space="preserve"> degrees</w:t>
      </w:r>
      <w:r w:rsidRPr="00560B3D">
        <w:t xml:space="preserve">. </w:t>
      </w:r>
    </w:p>
  </w:footnote>
  <w:footnote w:id="12">
    <w:p w14:paraId="0FE7AFC1" w14:textId="77777777" w:rsidR="00DA6C03" w:rsidRPr="00560B3D" w:rsidRDefault="00DA6C03" w:rsidP="00D1512E">
      <w:pPr>
        <w:pStyle w:val="FootnoteText"/>
      </w:pPr>
      <w:r w:rsidRPr="00560B3D">
        <w:rPr>
          <w:rStyle w:val="FootnoteReference"/>
        </w:rPr>
        <w:footnoteRef/>
      </w:r>
      <w:r w:rsidRPr="00560B3D">
        <w:t xml:space="preserve"> </w:t>
      </w:r>
      <w:r>
        <w:tab/>
      </w:r>
      <w:r w:rsidRPr="00560B3D">
        <w:t>Gradient g</w:t>
      </w:r>
      <w:r>
        <w:t>r</w:t>
      </w:r>
      <w:r w:rsidRPr="00560B3D">
        <w:t>eater than 12</w:t>
      </w:r>
      <w:r>
        <w:t xml:space="preserve"> degrees</w:t>
      </w:r>
      <w:r w:rsidRPr="00560B3D">
        <w:t xml:space="preserve"> and 24</w:t>
      </w:r>
      <w:r>
        <w:t xml:space="preserve"> degrees</w:t>
      </w:r>
      <w:r w:rsidRPr="00560B3D">
        <w:t>.</w:t>
      </w:r>
    </w:p>
  </w:footnote>
  <w:footnote w:id="13">
    <w:p w14:paraId="464E48B1" w14:textId="77777777" w:rsidR="00DA6C03" w:rsidRPr="00555E1A" w:rsidRDefault="00DA6C03" w:rsidP="00D1512E">
      <w:pPr>
        <w:pStyle w:val="FootnoteText"/>
      </w:pPr>
      <w:r w:rsidRPr="00560B3D">
        <w:rPr>
          <w:rStyle w:val="FootnoteReference"/>
        </w:rPr>
        <w:footnoteRef/>
      </w:r>
      <w:r w:rsidRPr="00560B3D">
        <w:t xml:space="preserve"> </w:t>
      </w:r>
      <w:r>
        <w:tab/>
      </w:r>
      <w:r w:rsidRPr="00560B3D">
        <w:t>Gradient greater than 24</w:t>
      </w:r>
      <w:r>
        <w:t xml:space="preserve"> degrees</w:t>
      </w:r>
      <w:r w:rsidRPr="00560B3D">
        <w:t>.</w:t>
      </w:r>
    </w:p>
  </w:footnote>
  <w:footnote w:id="14">
    <w:p w14:paraId="41C0A2B9" w14:textId="77777777" w:rsidR="00DA6C03" w:rsidRPr="005A386A" w:rsidRDefault="00DA6C03" w:rsidP="00643D10">
      <w:pPr>
        <w:pStyle w:val="FootnoteText"/>
      </w:pPr>
      <w:r w:rsidRPr="005A386A">
        <w:rPr>
          <w:rStyle w:val="FootnoteReference"/>
        </w:rPr>
        <w:footnoteRef/>
      </w:r>
      <w:r w:rsidRPr="005A386A">
        <w:t xml:space="preserve"> </w:t>
      </w:r>
      <w:r w:rsidRPr="005A386A">
        <w:tab/>
        <w:t>Annex II to the Convention (a subset of Annex I) lists the Organisation for Economic Co-operation and Development (OECD) member countries at the time the Convention was agreed.</w:t>
      </w:r>
    </w:p>
  </w:footnote>
  <w:footnote w:id="15">
    <w:p w14:paraId="162F70DF" w14:textId="77777777" w:rsidR="00DA6C03" w:rsidRPr="005A386A" w:rsidRDefault="00DA6C03" w:rsidP="00643D10">
      <w:pPr>
        <w:pStyle w:val="FootnoteText"/>
      </w:pPr>
      <w:r w:rsidRPr="005A386A">
        <w:rPr>
          <w:rStyle w:val="FootnoteReference"/>
        </w:rPr>
        <w:footnoteRef/>
      </w:r>
      <w:r w:rsidRPr="005A386A">
        <w:t xml:space="preserve"> </w:t>
      </w:r>
      <w:r w:rsidRPr="005A386A">
        <w:tab/>
        <w:t>Annex I to the Convention lists the countries included in Annex II, as defined above, together with countries defined at the time as undergoing the process of transition to a market economy, commonly known as ‘economies in transition’.</w:t>
      </w:r>
    </w:p>
  </w:footnote>
  <w:footnote w:id="16">
    <w:p w14:paraId="3509D070" w14:textId="4662E460" w:rsidR="00DA6C03" w:rsidRPr="005A386A" w:rsidRDefault="00DA6C03" w:rsidP="00643D10">
      <w:pPr>
        <w:pStyle w:val="FootnoteText"/>
      </w:pPr>
      <w:r w:rsidRPr="005A386A">
        <w:rPr>
          <w:rStyle w:val="FootnoteReference"/>
        </w:rPr>
        <w:footnoteRef/>
      </w:r>
      <w:r w:rsidRPr="005A386A">
        <w:t xml:space="preserve"> </w:t>
      </w:r>
      <w:r w:rsidRPr="005A386A">
        <w:tab/>
        <w:t>New Zealand’s target under the Kyoto Protocol was a responsibility target. A responsibility target means that New Zealand can meet its target through a mixture of domestic emission reductions, the storage of</w:t>
      </w:r>
      <w:r>
        <w:t> </w:t>
      </w:r>
      <w:r w:rsidRPr="005A386A">
        <w:t>carbon in forests and the purchase of emission reductions in other countries through the emissions trading mechanisms established under the Kyoto Protocol. The target was based on total gross emissions from the following sectors: Energy, Industrial Processes, Solvent and Other Product Use (from 2015, Industrial Processes and Solvent and Other Product Use are reported jointly under the Industrial Processes</w:t>
      </w:r>
      <w:r>
        <w:t> </w:t>
      </w:r>
      <w:r w:rsidRPr="005A386A">
        <w:t>and Product Use sector), Agriculture and Waste.</w:t>
      </w:r>
    </w:p>
  </w:footnote>
  <w:footnote w:id="17">
    <w:p w14:paraId="548E1FB8" w14:textId="77777777" w:rsidR="00DA6C03" w:rsidRPr="005A386A" w:rsidRDefault="00DA6C03" w:rsidP="00643D10">
      <w:pPr>
        <w:pStyle w:val="FootnoteText"/>
      </w:pPr>
      <w:r w:rsidRPr="005A386A">
        <w:rPr>
          <w:rStyle w:val="FootnoteReference"/>
        </w:rPr>
        <w:footnoteRef/>
      </w:r>
      <w:r w:rsidRPr="005A386A">
        <w:t xml:space="preserve"> </w:t>
      </w:r>
      <w:r w:rsidRPr="005A386A">
        <w:tab/>
        <w:t>Nitrogen trifluoride emissions do not occur in New Zealand and, therefore, are not included in this report.</w:t>
      </w:r>
    </w:p>
  </w:footnote>
  <w:footnote w:id="18">
    <w:p w14:paraId="6B63B72C" w14:textId="77777777" w:rsidR="00DA6C03" w:rsidRPr="005A386A" w:rsidRDefault="00DA6C03" w:rsidP="00643D10">
      <w:pPr>
        <w:pStyle w:val="FootnoteText"/>
      </w:pPr>
      <w:r w:rsidRPr="005A386A">
        <w:rPr>
          <w:rStyle w:val="FootnoteReference"/>
        </w:rPr>
        <w:footnoteRef/>
      </w:r>
      <w:r w:rsidRPr="005A386A">
        <w:t xml:space="preserve"> </w:t>
      </w:r>
      <w:r w:rsidRPr="005A386A">
        <w:tab/>
        <w:t>Indirect greenhouse gases are the gases that have indirect radiative effects in the atmosphere. This may happen either through conversion of an indirect gas to a direct greenhouse gas in the atmosphere (</w:t>
      </w:r>
      <w:r>
        <w:t>for example, where</w:t>
      </w:r>
      <w:r w:rsidRPr="005A386A">
        <w:t xml:space="preserve"> CO is converted to CO</w:t>
      </w:r>
      <w:r w:rsidRPr="005A386A">
        <w:rPr>
          <w:vertAlign w:val="subscript"/>
        </w:rPr>
        <w:t>2</w:t>
      </w:r>
      <w:r w:rsidRPr="005A386A">
        <w:t xml:space="preserve">) or when chemical reactions in the atmosphere involving these gases change the concentrations of direct greenhouse gases. </w:t>
      </w:r>
    </w:p>
  </w:footnote>
  <w:footnote w:id="19">
    <w:p w14:paraId="6B771150" w14:textId="77777777" w:rsidR="00DA6C03" w:rsidRPr="005A386A" w:rsidRDefault="00DA6C03" w:rsidP="00643D10">
      <w:pPr>
        <w:pStyle w:val="FootnoteText"/>
      </w:pPr>
      <w:r w:rsidRPr="005A386A">
        <w:rPr>
          <w:rStyle w:val="FootnoteReference"/>
        </w:rPr>
        <w:footnoteRef/>
      </w:r>
      <w:r w:rsidRPr="005A386A">
        <w:t xml:space="preserve"> </w:t>
      </w:r>
      <w:r w:rsidRPr="005A386A">
        <w:tab/>
      </w:r>
      <w:r w:rsidRPr="005A386A">
        <w:rPr>
          <w:shd w:val="clear" w:color="auto" w:fill="FFFFFF"/>
        </w:rPr>
        <w:t>In the United Nations Charter (UN, 1945), a non-self-governing territory is defined as a territory “whose people have not yet attained a full measure of self-government”. Tokelau has been on the United Nations list of non-self-governing territories since 1946, following the declaration of the intention by New Zealand to transmit information on the Tokelau Islands under Article 73e of the United Nations Charter.</w:t>
      </w:r>
    </w:p>
  </w:footnote>
  <w:footnote w:id="20">
    <w:p w14:paraId="51E00D7E" w14:textId="77777777" w:rsidR="00DA6C03" w:rsidRPr="005A386A" w:rsidRDefault="00DA6C03" w:rsidP="00643D10">
      <w:pPr>
        <w:pStyle w:val="FootnoteText"/>
      </w:pPr>
      <w:r w:rsidRPr="005A386A">
        <w:rPr>
          <w:rStyle w:val="FootnoteReference"/>
        </w:rPr>
        <w:footnoteRef/>
      </w:r>
      <w:r w:rsidRPr="005A386A">
        <w:t xml:space="preserve"> </w:t>
      </w:r>
      <w:r w:rsidRPr="005A386A">
        <w:tab/>
        <w:t>‘ODS’ stands for ozone depleting substances.</w:t>
      </w:r>
    </w:p>
  </w:footnote>
  <w:footnote w:id="21">
    <w:p w14:paraId="1B72761D" w14:textId="77777777" w:rsidR="00DA6C03" w:rsidRPr="005A386A" w:rsidRDefault="00DA6C03" w:rsidP="00643D10">
      <w:pPr>
        <w:pStyle w:val="FootnoteText"/>
        <w:rPr>
          <w:sz w:val="20"/>
        </w:rPr>
      </w:pPr>
      <w:r w:rsidRPr="005A386A">
        <w:rPr>
          <w:rStyle w:val="FootnoteReference"/>
        </w:rPr>
        <w:footnoteRef/>
      </w:r>
      <w:r w:rsidRPr="005A386A">
        <w:t xml:space="preserve"> </w:t>
      </w:r>
      <w:r w:rsidRPr="005A386A">
        <w:tab/>
        <w:t>According to the 2006 IPCC Guidelines (IPCC, 2006b), L1 indicates a level assessment for a Tier 1 key category, and T1 indicates a trend assessment for a Tier 1 key category.</w:t>
      </w:r>
    </w:p>
  </w:footnote>
  <w:footnote w:id="22">
    <w:p w14:paraId="7BDE86A9" w14:textId="77777777" w:rsidR="00DA6C03" w:rsidRPr="005A386A" w:rsidRDefault="00DA6C03" w:rsidP="00B7613B">
      <w:pPr>
        <w:pStyle w:val="FootnoteText"/>
      </w:pPr>
      <w:r w:rsidRPr="005A386A">
        <w:rPr>
          <w:rStyle w:val="FootnoteReference"/>
        </w:rPr>
        <w:footnoteRef/>
      </w:r>
      <w:r w:rsidRPr="005A386A">
        <w:t xml:space="preserve"> </w:t>
      </w:r>
      <w:r w:rsidRPr="005A386A">
        <w:tab/>
        <w:t>Methane emissions produced from the digestive process in ruminant livestock.</w:t>
      </w:r>
    </w:p>
  </w:footnote>
  <w:footnote w:id="23">
    <w:p w14:paraId="22E10EF0" w14:textId="77777777" w:rsidR="00DA6C03" w:rsidRPr="009F01AD" w:rsidRDefault="00DA6C03" w:rsidP="00B7613B">
      <w:pPr>
        <w:pStyle w:val="FootnoteText"/>
        <w:spacing w:after="0"/>
      </w:pPr>
      <w:r w:rsidRPr="009F01AD">
        <w:rPr>
          <w:rStyle w:val="FootnoteReference"/>
        </w:rPr>
        <w:footnoteRef/>
      </w:r>
      <w:r w:rsidRPr="009F01AD">
        <w:t xml:space="preserve"> </w:t>
      </w:r>
      <w:r w:rsidRPr="009F01AD">
        <w:tab/>
        <w:t>‘ODS</w:t>
      </w:r>
      <w:r>
        <w:t>’</w:t>
      </w:r>
      <w:r w:rsidRPr="009F01AD">
        <w:t xml:space="preserve"> stands for ozone depleting substances.</w:t>
      </w:r>
    </w:p>
  </w:footnote>
  <w:footnote w:id="24">
    <w:p w14:paraId="2F06C54F" w14:textId="141A711A" w:rsidR="00DA6C03" w:rsidRPr="0043406E" w:rsidRDefault="00DA6C03" w:rsidP="000B51B1">
      <w:pPr>
        <w:pStyle w:val="FootnoteText"/>
        <w:spacing w:after="0"/>
      </w:pPr>
      <w:r w:rsidRPr="009F01AD">
        <w:rPr>
          <w:rStyle w:val="FootnoteReference"/>
        </w:rPr>
        <w:footnoteRef/>
      </w:r>
      <w:r w:rsidRPr="009F01AD">
        <w:t xml:space="preserve"> </w:t>
      </w:r>
      <w:r w:rsidRPr="009F01AD">
        <w:tab/>
        <w:t xml:space="preserve">See </w:t>
      </w:r>
      <w:r w:rsidRPr="009F01AD">
        <w:rPr>
          <w:i/>
          <w:iCs/>
          <w:lang w:eastAsia="en-GB"/>
        </w:rPr>
        <w:t>Energy in New Zealand</w:t>
      </w:r>
      <w:r w:rsidRPr="009F01AD">
        <w:rPr>
          <w:lang w:eastAsia="en-GB"/>
        </w:rPr>
        <w:t xml:space="preserve"> (</w:t>
      </w:r>
      <w:r>
        <w:rPr>
          <w:lang w:eastAsia="en-GB"/>
        </w:rPr>
        <w:t xml:space="preserve">Ministry </w:t>
      </w:r>
      <w:r w:rsidRPr="00847EB6">
        <w:rPr>
          <w:lang w:eastAsia="en-GB"/>
        </w:rPr>
        <w:t>of Business, Innovation and Employment</w:t>
      </w:r>
      <w:r>
        <w:rPr>
          <w:lang w:eastAsia="en-GB"/>
        </w:rPr>
        <w:t>,</w:t>
      </w:r>
      <w:r w:rsidRPr="009F01AD">
        <w:rPr>
          <w:lang w:eastAsia="en-GB"/>
        </w:rPr>
        <w:t xml:space="preserve"> 2019) page 54</w:t>
      </w:r>
      <w:r>
        <w:rPr>
          <w:lang w:eastAsia="en-GB"/>
        </w:rPr>
        <w:t>,</w:t>
      </w:r>
      <w:r w:rsidRPr="009F01AD">
        <w:rPr>
          <w:lang w:eastAsia="en-GB"/>
        </w:rPr>
        <w:t xml:space="preserve"> for further</w:t>
      </w:r>
      <w:r>
        <w:rPr>
          <w:lang w:eastAsia="en-GB"/>
        </w:rPr>
        <w:t> </w:t>
      </w:r>
      <w:r w:rsidRPr="009F01AD">
        <w:rPr>
          <w:lang w:eastAsia="en-GB"/>
        </w:rPr>
        <w:t>information.</w:t>
      </w:r>
    </w:p>
  </w:footnote>
  <w:footnote w:id="25">
    <w:p w14:paraId="31CC436A" w14:textId="77777777" w:rsidR="00DA6C03" w:rsidRPr="005A386A" w:rsidRDefault="00DA6C03" w:rsidP="00B7613B">
      <w:pPr>
        <w:pStyle w:val="FootnoteText"/>
      </w:pPr>
      <w:r w:rsidRPr="005A386A">
        <w:rPr>
          <w:rStyle w:val="FootnoteReference"/>
        </w:rPr>
        <w:footnoteRef/>
      </w:r>
      <w:r w:rsidRPr="005A386A">
        <w:t xml:space="preserve"> </w:t>
      </w:r>
      <w:r w:rsidRPr="005A386A">
        <w:tab/>
        <w:t>For the period 2013 to 2020, New Zealand has taken an unconditional target to reduce its greenhouse gas emissions under the Convention. New Zealand will apply the Kyoto Protocol framework of rules to its target, to ensure New Zealand’s actions are transparent and have integrity.</w:t>
      </w:r>
    </w:p>
  </w:footnote>
  <w:footnote w:id="26">
    <w:p w14:paraId="0442F993" w14:textId="58EC0D3A" w:rsidR="00DA6C03" w:rsidRPr="000B51B1" w:rsidRDefault="00DA6C03" w:rsidP="00B7613B">
      <w:pPr>
        <w:pStyle w:val="FootnoteText"/>
      </w:pPr>
      <w:r w:rsidRPr="005A386A">
        <w:rPr>
          <w:rStyle w:val="FootnoteReference"/>
        </w:rPr>
        <w:footnoteRef/>
      </w:r>
      <w:r w:rsidRPr="005A386A">
        <w:t xml:space="preserve"> </w:t>
      </w:r>
      <w:r w:rsidRPr="005A386A">
        <w:tab/>
        <w:t xml:space="preserve">For more details, refer to </w:t>
      </w:r>
      <w:r w:rsidRPr="005A386A">
        <w:rPr>
          <w:i/>
        </w:rPr>
        <w:t>New Zealand’s Initial Report to Facilitate the Calculation of its Emissions Budget for the Period 2013 to 2020</w:t>
      </w:r>
      <w:r w:rsidRPr="005A386A">
        <w:t xml:space="preserve"> </w:t>
      </w:r>
      <w:r w:rsidRPr="00346E81">
        <w:t>(</w:t>
      </w:r>
      <w:hyperlink r:id="rId1" w:history="1">
        <w:r w:rsidRPr="00346E81">
          <w:t>www.mfe.govt.nz/sites/default/files/media/Climate%20Change/ New%20Zealand%27s%20Initial%20Report%20July%202016.pdf</w:t>
        </w:r>
      </w:hyperlink>
      <w:r w:rsidRPr="000B51B1">
        <w:t>).</w:t>
      </w:r>
    </w:p>
  </w:footnote>
  <w:footnote w:id="27">
    <w:p w14:paraId="186D3B7F" w14:textId="77777777" w:rsidR="00DA6C03" w:rsidRPr="005A386A" w:rsidRDefault="00DA6C03" w:rsidP="00B7613B">
      <w:pPr>
        <w:pStyle w:val="FootnoteText"/>
      </w:pPr>
      <w:r w:rsidRPr="005A386A">
        <w:rPr>
          <w:rStyle w:val="FootnoteReference"/>
        </w:rPr>
        <w:footnoteRef/>
      </w:r>
      <w:r w:rsidRPr="005A386A">
        <w:t xml:space="preserve"> </w:t>
      </w:r>
      <w:r w:rsidRPr="005A386A">
        <w:tab/>
        <w:t>New Zealand’s latest net position can be accessed from the Ministry for the Environment’s website (www.mfe.govt.nz/climate-change/reporting-greenhouse-gas-emissions/latest-2020-net-position).</w:t>
      </w:r>
    </w:p>
  </w:footnote>
  <w:footnote w:id="28">
    <w:p w14:paraId="3190285E" w14:textId="77777777" w:rsidR="00DA6C03" w:rsidRPr="005A386A" w:rsidRDefault="00DA6C03" w:rsidP="00800A33">
      <w:pPr>
        <w:pStyle w:val="FootnoteText"/>
        <w:spacing w:after="0"/>
      </w:pPr>
      <w:r w:rsidRPr="005A386A">
        <w:rPr>
          <w:rStyle w:val="FootnoteReference"/>
        </w:rPr>
        <w:footnoteRef/>
      </w:r>
      <w:r w:rsidRPr="005A386A">
        <w:t xml:space="preserve"> </w:t>
      </w:r>
      <w:r w:rsidRPr="005A386A">
        <w:tab/>
        <w:t>New Zealand does not produce or consume nitrogen trifluoride (NF</w:t>
      </w:r>
      <w:r w:rsidRPr="005A386A">
        <w:rPr>
          <w:vertAlign w:val="subscript"/>
        </w:rPr>
        <w:t>3</w:t>
      </w:r>
      <w:r w:rsidRPr="005A386A">
        <w:t>).</w:t>
      </w:r>
    </w:p>
  </w:footnote>
  <w:footnote w:id="29">
    <w:p w14:paraId="02695E97" w14:textId="77777777" w:rsidR="00DA6C03" w:rsidRPr="00570EFA" w:rsidRDefault="00DA6C03" w:rsidP="00800A33">
      <w:pPr>
        <w:pStyle w:val="FootnoteText"/>
        <w:spacing w:after="0"/>
      </w:pPr>
      <w:r w:rsidRPr="00841F7D">
        <w:rPr>
          <w:rStyle w:val="FootnoteReference"/>
        </w:rPr>
        <w:footnoteRef/>
      </w:r>
      <w:r w:rsidRPr="00841F7D">
        <w:t xml:space="preserve"> </w:t>
      </w:r>
      <w:r>
        <w:tab/>
      </w:r>
      <w:r w:rsidRPr="00841F7D">
        <w:t>Electricity generated from renewable energy sources was 84.0 per cent in 2018.</w:t>
      </w:r>
    </w:p>
  </w:footnote>
  <w:footnote w:id="30">
    <w:p w14:paraId="1F5E826D" w14:textId="77777777" w:rsidR="00DA6C03" w:rsidRPr="005A386A" w:rsidRDefault="00DA6C03" w:rsidP="00B7613B">
      <w:pPr>
        <w:pStyle w:val="FootnoteText"/>
      </w:pPr>
      <w:r w:rsidRPr="005A386A">
        <w:rPr>
          <w:rStyle w:val="FootnoteReference"/>
        </w:rPr>
        <w:footnoteRef/>
      </w:r>
      <w:r w:rsidRPr="005A386A">
        <w:t xml:space="preserve"> </w:t>
      </w:r>
      <w:r w:rsidRPr="005A386A">
        <w:tab/>
        <w:t xml:space="preserve">The national dairy herd increased </w:t>
      </w:r>
      <w:r w:rsidRPr="00BF448D">
        <w:t>by 3.2 million animals in the period 1990–2018.</w:t>
      </w:r>
    </w:p>
  </w:footnote>
  <w:footnote w:id="31">
    <w:p w14:paraId="07BE5297" w14:textId="77777777" w:rsidR="00DA6C03" w:rsidRPr="005A386A" w:rsidRDefault="00DA6C03" w:rsidP="00B7613B">
      <w:pPr>
        <w:pStyle w:val="FootnoteText"/>
      </w:pPr>
      <w:r w:rsidRPr="005A386A">
        <w:rPr>
          <w:rStyle w:val="FootnoteReference"/>
        </w:rPr>
        <w:footnoteRef/>
      </w:r>
      <w:r w:rsidRPr="005A386A">
        <w:t xml:space="preserve"> </w:t>
      </w:r>
      <w:r w:rsidRPr="005A386A">
        <w:tab/>
        <w:t>The New Zealand Emissions Trading Scheme included the Forestry sector as of 1 January 2008.</w:t>
      </w:r>
    </w:p>
  </w:footnote>
  <w:footnote w:id="32">
    <w:p w14:paraId="2B731DCF" w14:textId="77777777" w:rsidR="00DA6C03" w:rsidRPr="005A386A" w:rsidRDefault="00DA6C03" w:rsidP="00F40230">
      <w:pPr>
        <w:pStyle w:val="FootnoteText"/>
        <w:spacing w:after="0"/>
      </w:pPr>
      <w:r w:rsidRPr="005A386A">
        <w:rPr>
          <w:rStyle w:val="FootnoteReference"/>
        </w:rPr>
        <w:footnoteRef/>
      </w:r>
      <w:r w:rsidRPr="005A386A">
        <w:t xml:space="preserve"> </w:t>
      </w:r>
      <w:r w:rsidRPr="005A386A">
        <w:tab/>
        <w:t>In climate change literature, negative emissions are often referred to as ‘removals’ because they indicate removing carbon dioxide from the atmosphere as a net result. This report uses the term ‘removal’ or ‘net removal’ where it will make the relevant sections easier to understand.</w:t>
      </w:r>
    </w:p>
  </w:footnote>
  <w:footnote w:id="33">
    <w:p w14:paraId="7A4B5574" w14:textId="77777777" w:rsidR="00DA6C03" w:rsidRPr="005A386A" w:rsidRDefault="00DA6C03" w:rsidP="00B7613B">
      <w:pPr>
        <w:pStyle w:val="FootnoteText"/>
      </w:pPr>
      <w:r w:rsidRPr="005A386A">
        <w:rPr>
          <w:rStyle w:val="FootnoteReference"/>
        </w:rPr>
        <w:footnoteRef/>
      </w:r>
      <w:r w:rsidRPr="005A386A">
        <w:t xml:space="preserve"> </w:t>
      </w:r>
      <w:r w:rsidRPr="005A386A">
        <w:tab/>
        <w:t xml:space="preserve">The carbon equivalent forest provision creates a misalignment for the afforestation and deforestation area reported under the Kyoto Protocol and the Convention sections of the inventory. The carbon equivalent forest provision under the Kyoto Protocol is reported in the categories </w:t>
      </w:r>
      <w:r w:rsidRPr="005A386A">
        <w:rPr>
          <w:i/>
        </w:rPr>
        <w:t>Land converted to forest land</w:t>
      </w:r>
      <w:r w:rsidRPr="005A386A">
        <w:t xml:space="preserve"> (afforestation) and </w:t>
      </w:r>
      <w:r w:rsidRPr="005A386A">
        <w:rPr>
          <w:i/>
        </w:rPr>
        <w:t>Forest land converted to other land</w:t>
      </w:r>
      <w:r w:rsidRPr="005A386A">
        <w:t xml:space="preserve"> uses (deforestation) under the Convention.</w:t>
      </w:r>
    </w:p>
  </w:footnote>
  <w:footnote w:id="34">
    <w:p w14:paraId="371A3961" w14:textId="77777777" w:rsidR="00DA6C03" w:rsidRPr="005A386A" w:rsidRDefault="00DA6C03" w:rsidP="00B7613B">
      <w:pPr>
        <w:pStyle w:val="FootnoteText"/>
        <w:spacing w:after="0"/>
      </w:pPr>
      <w:r w:rsidRPr="005A386A">
        <w:rPr>
          <w:rStyle w:val="FootnoteReference"/>
        </w:rPr>
        <w:footnoteRef/>
      </w:r>
      <w:r w:rsidRPr="005A386A">
        <w:t xml:space="preserve"> </w:t>
      </w:r>
      <w:r w:rsidRPr="005A386A">
        <w:tab/>
      </w:r>
      <w:r w:rsidRPr="005A386A">
        <w:rPr>
          <w:i/>
        </w:rPr>
        <w:t>Deforestation</w:t>
      </w:r>
      <w:r w:rsidRPr="005A386A">
        <w:t xml:space="preserve"> includes deforestation of natural forest, pre-1990 planted forest and post-1989 forest. </w:t>
      </w:r>
    </w:p>
  </w:footnote>
  <w:footnote w:id="35">
    <w:p w14:paraId="61F2F709" w14:textId="77777777" w:rsidR="00DA6C03" w:rsidRDefault="00DA6C03" w:rsidP="00E20138">
      <w:pPr>
        <w:pStyle w:val="FootnoteText"/>
      </w:pPr>
      <w:r>
        <w:rPr>
          <w:rStyle w:val="FootnoteReference"/>
        </w:rPr>
        <w:footnoteRef/>
      </w:r>
      <w:r>
        <w:t xml:space="preserve"> </w:t>
      </w:r>
      <w:r>
        <w:tab/>
      </w:r>
      <w:r>
        <w:rPr>
          <w:lang w:eastAsia="en-GB"/>
        </w:rPr>
        <w:t>For urea production, the fraction of carbon stored varies across the time series depending on the composition of the feedstock gas.</w:t>
      </w:r>
    </w:p>
  </w:footnote>
  <w:footnote w:id="36">
    <w:p w14:paraId="40FBF53A" w14:textId="77777777" w:rsidR="00DA6C03" w:rsidRDefault="00DA6C03" w:rsidP="00E20138">
      <w:pPr>
        <w:pStyle w:val="FootnoteText"/>
      </w:pPr>
      <w:r>
        <w:rPr>
          <w:rStyle w:val="FootnoteReference"/>
        </w:rPr>
        <w:footnoteRef/>
      </w:r>
      <w:r>
        <w:t xml:space="preserve"> </w:t>
      </w:r>
      <w:r>
        <w:tab/>
        <w:t xml:space="preserve">As of 2018, </w:t>
      </w:r>
      <w:r w:rsidRPr="00237E11">
        <w:t>New Zealand only manufactures a small number of buses and heavy trucks</w:t>
      </w:r>
      <w:r>
        <w:t>.</w:t>
      </w:r>
    </w:p>
  </w:footnote>
  <w:footnote w:id="37">
    <w:p w14:paraId="7CD0812D" w14:textId="77777777" w:rsidR="00DA6C03" w:rsidRPr="005A386A" w:rsidRDefault="00DA6C03" w:rsidP="00F849A7">
      <w:pPr>
        <w:pStyle w:val="FootnoteText"/>
      </w:pPr>
      <w:r w:rsidRPr="005A386A">
        <w:rPr>
          <w:rStyle w:val="FootnoteReference"/>
        </w:rPr>
        <w:footnoteRef/>
      </w:r>
      <w:r w:rsidRPr="005A386A">
        <w:t xml:space="preserve"> </w:t>
      </w:r>
      <w:r w:rsidRPr="005A386A">
        <w:tab/>
        <w:t xml:space="preserve">Implied emission factors (IEFs) are calculated by dividing the total emissions of a particular animal </w:t>
      </w:r>
      <w:r>
        <w:t>species</w:t>
      </w:r>
      <w:r w:rsidRPr="005A386A">
        <w:t xml:space="preserve"> and sector (e.g., enteric fermentation from sheep) by the number of animals.</w:t>
      </w:r>
    </w:p>
  </w:footnote>
  <w:footnote w:id="38">
    <w:p w14:paraId="65F89840" w14:textId="77777777" w:rsidR="00DA6C03" w:rsidRPr="00492E7F" w:rsidRDefault="00DA6C03" w:rsidP="00F849A7">
      <w:pPr>
        <w:pStyle w:val="FootnoteText"/>
      </w:pPr>
      <w:r>
        <w:rPr>
          <w:rStyle w:val="FootnoteReference"/>
        </w:rPr>
        <w:footnoteRef/>
      </w:r>
      <w:r>
        <w:t xml:space="preserve"> </w:t>
      </w:r>
      <w:r>
        <w:tab/>
        <w:t>This assumption is from</w:t>
      </w:r>
      <w:r w:rsidRPr="00254B3A">
        <w:t xml:space="preserve"> </w:t>
      </w:r>
      <w:r w:rsidRPr="00256982">
        <w:t>Clark et al., 2003</w:t>
      </w:r>
      <w:r>
        <w:t xml:space="preserve">. In reality, the age at slaughter will vary; however, not enough data are available to estimate using a model. For more information on this assumption, see </w:t>
      </w:r>
      <w:hyperlink r:id="rId2" w:history="1">
        <w:r w:rsidRPr="00492E7F">
          <w:t>www.mpi.govt.nz/dmsdocument/32863/direct</w:t>
        </w:r>
      </w:hyperlink>
      <w:r w:rsidRPr="00492E7F">
        <w:t>.</w:t>
      </w:r>
    </w:p>
  </w:footnote>
  <w:footnote w:id="39">
    <w:p w14:paraId="0CF5C7AA" w14:textId="77777777" w:rsidR="00DA6C03" w:rsidRPr="005A386A" w:rsidRDefault="00DA6C03" w:rsidP="00F849A7">
      <w:pPr>
        <w:pStyle w:val="FootnoteText"/>
      </w:pPr>
      <w:r w:rsidRPr="005A386A">
        <w:rPr>
          <w:rStyle w:val="FootnoteReference"/>
        </w:rPr>
        <w:footnoteRef/>
      </w:r>
      <w:r w:rsidRPr="005A386A">
        <w:t xml:space="preserve"> </w:t>
      </w:r>
      <w:r w:rsidRPr="005A386A">
        <w:tab/>
      </w:r>
      <w:r w:rsidRPr="005A386A">
        <w:rPr>
          <w:spacing w:val="-2"/>
        </w:rPr>
        <w:t>The number of beef cows slaughtered is assumed to be 17 per cent of the total beef cow herd, with other</w:t>
      </w:r>
      <w:r>
        <w:rPr>
          <w:spacing w:val="-2"/>
        </w:rPr>
        <w:t xml:space="preserve"> </w:t>
      </w:r>
      <w:r w:rsidRPr="005A386A">
        <w:rPr>
          <w:spacing w:val="-2"/>
        </w:rPr>
        <w:t>adult cows slaughtered assumed to be dairy cows. The carcass weight of dairy cattle slaughtered was</w:t>
      </w:r>
      <w:r>
        <w:rPr>
          <w:spacing w:val="-2"/>
        </w:rPr>
        <w:t xml:space="preserve"> </w:t>
      </w:r>
      <w:r w:rsidRPr="005A386A">
        <w:rPr>
          <w:spacing w:val="-2"/>
        </w:rPr>
        <w:t>estimated using the adult dairy cow liveweights and a killing-out percentage of 42 per cent (Thomson et al., 2010). The total weight of dairy cattle slaughtered was calculated (carcass weight × number slaughtered) and then deducted from the national total carcass weight of slaughtered adult cows. This figure was then divided by the number of beef cows slaughtered, to obtain an estimate of the carcass weight of adult beef cows. Liveweights were calculated assuming a killing-out percentage of 42.6 per cent (Thomson et al., 2010).</w:t>
      </w:r>
    </w:p>
  </w:footnote>
  <w:footnote w:id="40">
    <w:p w14:paraId="4BF97443" w14:textId="77777777" w:rsidR="00DA6C03" w:rsidRPr="005A386A" w:rsidRDefault="00DA6C03" w:rsidP="00F849A7">
      <w:pPr>
        <w:pStyle w:val="FootnoteText"/>
        <w:spacing w:after="0"/>
      </w:pPr>
      <w:r w:rsidRPr="005A386A">
        <w:rPr>
          <w:rStyle w:val="FootnoteReference"/>
        </w:rPr>
        <w:footnoteRef/>
      </w:r>
      <w:r w:rsidRPr="005A386A">
        <w:t xml:space="preserve"> </w:t>
      </w:r>
      <w:r w:rsidRPr="005A386A">
        <w:tab/>
        <w:t>Percentage of carcass weight in relation to liveweight.</w:t>
      </w:r>
    </w:p>
  </w:footnote>
  <w:footnote w:id="41">
    <w:p w14:paraId="3BEE0E53" w14:textId="77777777" w:rsidR="00DA6C03" w:rsidRPr="005A386A" w:rsidRDefault="00DA6C03" w:rsidP="00F849A7">
      <w:pPr>
        <w:pStyle w:val="FootnoteText"/>
      </w:pPr>
      <w:r w:rsidRPr="005A386A">
        <w:rPr>
          <w:rStyle w:val="FootnoteReference"/>
        </w:rPr>
        <w:footnoteRef/>
      </w:r>
      <w:r w:rsidRPr="005A386A">
        <w:t xml:space="preserve"> </w:t>
      </w:r>
      <w:r w:rsidRPr="005A386A">
        <w:tab/>
        <w:t xml:space="preserve">BERG reports can be found on the Ministry for Primary Industries website: </w:t>
      </w:r>
      <w:hyperlink r:id="rId3" w:history="1">
        <w:r w:rsidRPr="005A386A">
          <w:t>www.mpi.govt.nz/protection-and-response/environment-and-natural-resources/biological-emissions-reference-group</w:t>
        </w:r>
      </w:hyperlink>
      <w:r w:rsidRPr="005A386A">
        <w:t>.</w:t>
      </w:r>
    </w:p>
  </w:footnote>
  <w:footnote w:id="42">
    <w:p w14:paraId="36A853C7" w14:textId="77777777" w:rsidR="00DA6C03" w:rsidRPr="005A386A" w:rsidRDefault="00DA6C03" w:rsidP="00F849A7">
      <w:pPr>
        <w:pStyle w:val="FootnoteText"/>
      </w:pPr>
      <w:r w:rsidRPr="005A386A">
        <w:rPr>
          <w:rStyle w:val="FootnoteReference"/>
        </w:rPr>
        <w:footnoteRef/>
      </w:r>
      <w:r w:rsidRPr="005A386A">
        <w:t xml:space="preserve"> </w:t>
      </w:r>
      <w:r w:rsidRPr="005A386A">
        <w:tab/>
        <w:t>In 2017, the name of the Methanet and NzOnet annual meeting was changed to the New Zealand Greenhouse Gas Inventory Research Conference.</w:t>
      </w:r>
    </w:p>
  </w:footnote>
  <w:footnote w:id="43">
    <w:p w14:paraId="72A2DA06" w14:textId="77777777" w:rsidR="00DA6C03" w:rsidRPr="005A386A" w:rsidRDefault="00DA6C03" w:rsidP="00F849A7">
      <w:pPr>
        <w:pStyle w:val="FootnoteText"/>
      </w:pPr>
      <w:r w:rsidRPr="005A386A">
        <w:rPr>
          <w:rStyle w:val="FootnoteReference"/>
        </w:rPr>
        <w:footnoteRef/>
      </w:r>
      <w:r w:rsidRPr="005A386A">
        <w:t xml:space="preserve"> </w:t>
      </w:r>
      <w:r w:rsidRPr="005A386A">
        <w:tab/>
        <w:t xml:space="preserve">The equation displayed here is a rearranged form of the equation displayed in Swainson et al. (2016): </w:t>
      </w:r>
      <w:proofErr w:type="gramStart"/>
      <w:r w:rsidRPr="005A386A">
        <w:t>Ln(</w:t>
      </w:r>
      <w:proofErr w:type="gramEnd"/>
      <w:r w:rsidRPr="005A386A">
        <w:t>CH</w:t>
      </w:r>
      <w:r w:rsidRPr="005A386A">
        <w:rPr>
          <w:vertAlign w:val="subscript"/>
        </w:rPr>
        <w:t>4</w:t>
      </w:r>
      <w:r w:rsidRPr="005A386A">
        <w:t xml:space="preserve">) = 0.734 × In(DMI) + 0.05 </w:t>
      </w:r>
      <w:r w:rsidRPr="005A386A">
        <w:rPr>
          <w:szCs w:val="19"/>
        </w:rPr>
        <w:t>×</w:t>
      </w:r>
      <w:r w:rsidRPr="005A386A">
        <w:t xml:space="preserve"> ME + 2.46.</w:t>
      </w:r>
    </w:p>
  </w:footnote>
  <w:footnote w:id="44">
    <w:p w14:paraId="6C93051F" w14:textId="77777777" w:rsidR="00DA6C03" w:rsidRPr="005A386A" w:rsidRDefault="00DA6C03" w:rsidP="00F849A7">
      <w:pPr>
        <w:pStyle w:val="FootnoteText"/>
      </w:pPr>
      <w:r w:rsidRPr="005A386A">
        <w:rPr>
          <w:rStyle w:val="FootnoteReference"/>
        </w:rPr>
        <w:footnoteRef/>
      </w:r>
      <w:r w:rsidRPr="005A386A">
        <w:t xml:space="preserve"> </w:t>
      </w:r>
      <w:r w:rsidRPr="005A386A">
        <w:tab/>
        <w:t xml:space="preserve">The equation displayed here is a rearranged form of the equation displayed in Swainson et al. (2016): </w:t>
      </w:r>
      <w:proofErr w:type="gramStart"/>
      <w:r w:rsidRPr="005A386A">
        <w:t>Ln(</w:t>
      </w:r>
      <w:proofErr w:type="gramEnd"/>
      <w:r w:rsidRPr="005A386A">
        <w:t>CH</w:t>
      </w:r>
      <w:r w:rsidRPr="005A386A">
        <w:rPr>
          <w:vertAlign w:val="subscript"/>
        </w:rPr>
        <w:t>4</w:t>
      </w:r>
      <w:r w:rsidRPr="005A386A">
        <w:t>) = 0.765 × In(DMI) + 3.09.</w:t>
      </w:r>
    </w:p>
  </w:footnote>
  <w:footnote w:id="45">
    <w:p w14:paraId="5F387AA9" w14:textId="77777777" w:rsidR="00DA6C03" w:rsidRPr="005A386A" w:rsidRDefault="00DA6C03" w:rsidP="00F849A7">
      <w:pPr>
        <w:pStyle w:val="FootnoteText"/>
        <w:spacing w:after="0"/>
        <w:rPr>
          <w:szCs w:val="19"/>
        </w:rPr>
      </w:pPr>
      <w:r w:rsidRPr="005A386A">
        <w:rPr>
          <w:rStyle w:val="FootnoteReference"/>
          <w:szCs w:val="19"/>
        </w:rPr>
        <w:footnoteRef/>
      </w:r>
      <w:r w:rsidRPr="005A386A">
        <w:rPr>
          <w:szCs w:val="19"/>
        </w:rPr>
        <w:t xml:space="preserve"> </w:t>
      </w:r>
      <w:r w:rsidRPr="005A386A">
        <w:rPr>
          <w:szCs w:val="19"/>
        </w:rPr>
        <w:tab/>
        <w:t xml:space="preserve">For example, Blaxter and Clapperton (1965); Moe and Tyrrel (1975); Baldwin et al. (1988); Djikstra et al. (1992) and Benchaar et al. (2001) – all cited in Clark et al. (2003). </w:t>
      </w:r>
    </w:p>
  </w:footnote>
  <w:footnote w:id="46">
    <w:p w14:paraId="14C67DBD" w14:textId="77777777" w:rsidR="00DA6C03" w:rsidRPr="005A386A" w:rsidRDefault="00DA6C03" w:rsidP="00F849A7">
      <w:pPr>
        <w:pStyle w:val="FootnoteText"/>
        <w:rPr>
          <w:szCs w:val="19"/>
        </w:rPr>
      </w:pPr>
      <w:r w:rsidRPr="005A386A">
        <w:rPr>
          <w:rStyle w:val="FootnoteReference"/>
          <w:szCs w:val="19"/>
        </w:rPr>
        <w:footnoteRef/>
      </w:r>
      <w:r w:rsidRPr="005A386A">
        <w:rPr>
          <w:szCs w:val="19"/>
        </w:rPr>
        <w:t xml:space="preserve"> </w:t>
      </w:r>
      <w:r w:rsidRPr="005A386A">
        <w:rPr>
          <w:szCs w:val="19"/>
        </w:rPr>
        <w:tab/>
        <w:t>The IPCC (2006) default emission factor for swine is identical to the IPCC (1996) emission factor.</w:t>
      </w:r>
    </w:p>
  </w:footnote>
  <w:footnote w:id="47">
    <w:p w14:paraId="1DD2750F" w14:textId="77777777" w:rsidR="00DA6C03" w:rsidRPr="005A386A" w:rsidRDefault="00DA6C03" w:rsidP="00F849A7">
      <w:pPr>
        <w:pStyle w:val="FootnoteText"/>
      </w:pPr>
      <w:r w:rsidRPr="005A386A">
        <w:rPr>
          <w:rStyle w:val="FootnoteReference"/>
        </w:rPr>
        <w:footnoteRef/>
      </w:r>
      <w:r w:rsidRPr="005A386A">
        <w:t xml:space="preserve"> </w:t>
      </w:r>
      <w:r w:rsidRPr="005A386A">
        <w:tab/>
      </w:r>
      <w:r w:rsidRPr="005A386A">
        <w:rPr>
          <w:rFonts w:cs="Arial"/>
          <w:szCs w:val="16"/>
        </w:rPr>
        <w:t xml:space="preserve">As reported in Australia’s </w:t>
      </w:r>
      <w:r w:rsidRPr="005A386A">
        <w:rPr>
          <w:rFonts w:cs="Arial"/>
          <w:i/>
        </w:rPr>
        <w:t>National Inventory Report 201</w:t>
      </w:r>
      <w:r>
        <w:rPr>
          <w:rFonts w:cs="Arial"/>
          <w:i/>
        </w:rPr>
        <w:t>7</w:t>
      </w:r>
      <w:r w:rsidRPr="005A386A">
        <w:rPr>
          <w:rFonts w:cs="Arial"/>
          <w:i/>
        </w:rPr>
        <w:t xml:space="preserve"> Volume 1 </w:t>
      </w:r>
      <w:r w:rsidRPr="005A386A">
        <w:rPr>
          <w:rFonts w:cs="Arial"/>
          <w:szCs w:val="16"/>
        </w:rPr>
        <w:t xml:space="preserve">on Greenhouse Gas Accounts </w:t>
      </w:r>
      <w:r w:rsidRPr="005A386A">
        <w:rPr>
          <w:rFonts w:cs="Arial"/>
          <w:spacing w:val="-2"/>
          <w:szCs w:val="16"/>
        </w:rPr>
        <w:t>(Commonwealth of Australia, 201</w:t>
      </w:r>
      <w:r>
        <w:rPr>
          <w:rFonts w:cs="Arial"/>
          <w:spacing w:val="-2"/>
          <w:szCs w:val="16"/>
        </w:rPr>
        <w:t>9</w:t>
      </w:r>
      <w:r w:rsidRPr="005A386A">
        <w:rPr>
          <w:rFonts w:cs="Arial"/>
          <w:spacing w:val="-2"/>
          <w:szCs w:val="16"/>
        </w:rPr>
        <w:t xml:space="preserve">). </w:t>
      </w:r>
      <w:r w:rsidRPr="005A386A">
        <w:rPr>
          <w:spacing w:val="-2"/>
        </w:rPr>
        <w:t>Note that the Australian-specific non-dairy cattle IEF value is calculated</w:t>
      </w:r>
      <w:r w:rsidRPr="005A386A">
        <w:t xml:space="preserve"> from a population-based weighted average of pasture and feedlot IEF values from non-dairy cattle.</w:t>
      </w:r>
    </w:p>
  </w:footnote>
  <w:footnote w:id="48">
    <w:p w14:paraId="2DE1792C" w14:textId="77777777" w:rsidR="00DA6C03" w:rsidRPr="005A386A" w:rsidRDefault="00DA6C03" w:rsidP="00F849A7">
      <w:pPr>
        <w:pStyle w:val="FootnoteText"/>
        <w:rPr>
          <w:i/>
          <w:szCs w:val="19"/>
        </w:rPr>
      </w:pPr>
      <w:r w:rsidRPr="005A386A">
        <w:rPr>
          <w:rStyle w:val="FootnoteReference"/>
          <w:szCs w:val="19"/>
        </w:rPr>
        <w:footnoteRef/>
      </w:r>
      <w:r w:rsidRPr="005A386A">
        <w:rPr>
          <w:szCs w:val="19"/>
        </w:rPr>
        <w:t xml:space="preserve"> </w:t>
      </w:r>
      <w:r w:rsidRPr="005A386A">
        <w:rPr>
          <w:szCs w:val="19"/>
        </w:rPr>
        <w:tab/>
        <w:t xml:space="preserve">Reported under </w:t>
      </w:r>
      <w:r w:rsidRPr="005A386A">
        <w:rPr>
          <w:i/>
          <w:szCs w:val="19"/>
        </w:rPr>
        <w:t>Agricultural soils</w:t>
      </w:r>
      <w:r w:rsidRPr="005A386A">
        <w:rPr>
          <w:szCs w:val="19"/>
        </w:rPr>
        <w:t xml:space="preserve">, under </w:t>
      </w:r>
      <w:r w:rsidRPr="005A386A">
        <w:rPr>
          <w:i/>
          <w:szCs w:val="19"/>
        </w:rPr>
        <w:t>Organic nitrogen fertilisers</w:t>
      </w:r>
      <w:r w:rsidRPr="005A386A">
        <w:rPr>
          <w:szCs w:val="19"/>
        </w:rPr>
        <w:t xml:space="preserve"> (CRF 3.D.1.2).</w:t>
      </w:r>
    </w:p>
  </w:footnote>
  <w:footnote w:id="49">
    <w:p w14:paraId="3DF253B8" w14:textId="77777777" w:rsidR="00DA6C03" w:rsidRPr="005A386A" w:rsidRDefault="00DA6C03" w:rsidP="00F849A7">
      <w:pPr>
        <w:pStyle w:val="FootnoteText"/>
        <w:rPr>
          <w:szCs w:val="19"/>
        </w:rPr>
      </w:pPr>
      <w:r w:rsidRPr="005A386A">
        <w:rPr>
          <w:rStyle w:val="FootnoteReference"/>
          <w:szCs w:val="19"/>
        </w:rPr>
        <w:footnoteRef/>
      </w:r>
      <w:r w:rsidRPr="005A386A">
        <w:rPr>
          <w:szCs w:val="19"/>
        </w:rPr>
        <w:t xml:space="preserve"> </w:t>
      </w:r>
      <w:r w:rsidRPr="005A386A">
        <w:rPr>
          <w:szCs w:val="19"/>
        </w:rPr>
        <w:tab/>
        <w:t xml:space="preserve">Reported under </w:t>
      </w:r>
      <w:r w:rsidRPr="005A386A">
        <w:rPr>
          <w:i/>
          <w:szCs w:val="19"/>
        </w:rPr>
        <w:t>Agricultural soils</w:t>
      </w:r>
      <w:r w:rsidRPr="005A386A">
        <w:rPr>
          <w:szCs w:val="19"/>
        </w:rPr>
        <w:t xml:space="preserve">, under </w:t>
      </w:r>
      <w:r w:rsidRPr="005A386A">
        <w:rPr>
          <w:i/>
          <w:szCs w:val="19"/>
        </w:rPr>
        <w:t>Urine and dung deposited by grazing animals</w:t>
      </w:r>
      <w:r w:rsidRPr="005A386A">
        <w:rPr>
          <w:szCs w:val="19"/>
        </w:rPr>
        <w:t xml:space="preserve"> (CRF 3.D.1.3).</w:t>
      </w:r>
    </w:p>
  </w:footnote>
  <w:footnote w:id="50">
    <w:p w14:paraId="14827F4E" w14:textId="77777777" w:rsidR="00DA6C03" w:rsidRPr="005A386A" w:rsidRDefault="00DA6C03" w:rsidP="00F849A7">
      <w:pPr>
        <w:pStyle w:val="FootnoteText"/>
      </w:pPr>
      <w:r w:rsidRPr="005A386A">
        <w:rPr>
          <w:rStyle w:val="FootnoteReference"/>
        </w:rPr>
        <w:footnoteRef/>
      </w:r>
      <w:r w:rsidRPr="005A386A">
        <w:t xml:space="preserve"> </w:t>
      </w:r>
      <w:r w:rsidRPr="005A386A">
        <w:tab/>
        <w:t>Calculated using 201</w:t>
      </w:r>
      <w:r>
        <w:t>8</w:t>
      </w:r>
      <w:r w:rsidRPr="005A386A">
        <w:t xml:space="preserve"> data.</w:t>
      </w:r>
    </w:p>
  </w:footnote>
  <w:footnote w:id="51">
    <w:p w14:paraId="6D5A956C" w14:textId="77777777" w:rsidR="00DA6C03" w:rsidRPr="005A386A" w:rsidRDefault="00DA6C03" w:rsidP="00F849A7">
      <w:pPr>
        <w:pStyle w:val="FootnoteText"/>
        <w:rPr>
          <w:szCs w:val="19"/>
        </w:rPr>
      </w:pPr>
      <w:r w:rsidRPr="005A386A">
        <w:rPr>
          <w:rStyle w:val="FootnoteReference"/>
          <w:color w:val="000000"/>
          <w:szCs w:val="19"/>
        </w:rPr>
        <w:footnoteRef/>
      </w:r>
      <w:r w:rsidRPr="005A386A">
        <w:rPr>
          <w:color w:val="000000"/>
          <w:szCs w:val="19"/>
        </w:rPr>
        <w:t xml:space="preserve"> </w:t>
      </w:r>
      <w:r w:rsidRPr="005A386A">
        <w:rPr>
          <w:color w:val="000000"/>
          <w:szCs w:val="19"/>
        </w:rPr>
        <w:tab/>
      </w:r>
      <w:r w:rsidRPr="005A386A">
        <w:rPr>
          <w:szCs w:val="19"/>
        </w:rPr>
        <w:t>Hill (2012).</w:t>
      </w:r>
    </w:p>
  </w:footnote>
  <w:footnote w:id="52">
    <w:p w14:paraId="47233204" w14:textId="77777777" w:rsidR="00DA6C03" w:rsidRPr="005A386A" w:rsidRDefault="00DA6C03" w:rsidP="00F849A7">
      <w:pPr>
        <w:pStyle w:val="FootnoteText"/>
        <w:rPr>
          <w:szCs w:val="19"/>
        </w:rPr>
      </w:pPr>
      <w:r w:rsidRPr="005A386A">
        <w:rPr>
          <w:rStyle w:val="FootnoteReference"/>
          <w:szCs w:val="19"/>
        </w:rPr>
        <w:footnoteRef/>
      </w:r>
      <w:r w:rsidRPr="005A386A">
        <w:rPr>
          <w:szCs w:val="19"/>
        </w:rPr>
        <w:t xml:space="preserve"> </w:t>
      </w:r>
      <w:r w:rsidRPr="005A386A">
        <w:rPr>
          <w:szCs w:val="19"/>
        </w:rPr>
        <w:tab/>
        <w:t>Fick et al. (2011) and pers. comm. (2010).</w:t>
      </w:r>
    </w:p>
  </w:footnote>
  <w:footnote w:id="53">
    <w:p w14:paraId="2C429EF1" w14:textId="77777777" w:rsidR="00DA6C03" w:rsidRPr="005A386A" w:rsidRDefault="00DA6C03" w:rsidP="00F849A7">
      <w:pPr>
        <w:pStyle w:val="FootnoteText"/>
        <w:rPr>
          <w:szCs w:val="19"/>
        </w:rPr>
      </w:pPr>
      <w:r w:rsidRPr="005A386A">
        <w:rPr>
          <w:rStyle w:val="FootnoteReference"/>
          <w:szCs w:val="19"/>
        </w:rPr>
        <w:footnoteRef/>
      </w:r>
      <w:r w:rsidRPr="005A386A">
        <w:rPr>
          <w:szCs w:val="19"/>
        </w:rPr>
        <w:t xml:space="preserve"> </w:t>
      </w:r>
      <w:r w:rsidRPr="005A386A">
        <w:rPr>
          <w:szCs w:val="19"/>
        </w:rPr>
        <w:tab/>
        <w:t>Fick et al. (2011) and pers. comm. (2010).</w:t>
      </w:r>
    </w:p>
  </w:footnote>
  <w:footnote w:id="54">
    <w:p w14:paraId="12D85513" w14:textId="77777777" w:rsidR="00DA6C03" w:rsidRPr="005A386A" w:rsidRDefault="00DA6C03" w:rsidP="00F849A7">
      <w:pPr>
        <w:pStyle w:val="FootnoteText"/>
        <w:rPr>
          <w:szCs w:val="19"/>
        </w:rPr>
      </w:pPr>
      <w:r w:rsidRPr="005A386A">
        <w:rPr>
          <w:rStyle w:val="FootnoteReference"/>
          <w:szCs w:val="19"/>
        </w:rPr>
        <w:footnoteRef/>
      </w:r>
      <w:r w:rsidRPr="005A386A">
        <w:rPr>
          <w:szCs w:val="19"/>
        </w:rPr>
        <w:t xml:space="preserve"> </w:t>
      </w:r>
      <w:r w:rsidRPr="005A386A">
        <w:rPr>
          <w:szCs w:val="19"/>
        </w:rPr>
        <w:tab/>
        <w:t>IPCC (1996) default waste management proportions for Oceania.</w:t>
      </w:r>
    </w:p>
  </w:footnote>
  <w:footnote w:id="55">
    <w:p w14:paraId="1044855C" w14:textId="77777777" w:rsidR="00DA6C03" w:rsidRPr="005A386A" w:rsidRDefault="00DA6C03" w:rsidP="00F849A7">
      <w:pPr>
        <w:pStyle w:val="FootnoteText"/>
        <w:rPr>
          <w:szCs w:val="19"/>
        </w:rPr>
      </w:pPr>
      <w:r w:rsidRPr="005A386A">
        <w:rPr>
          <w:rStyle w:val="FootnoteReference"/>
        </w:rPr>
        <w:footnoteRef/>
      </w:r>
      <w:r w:rsidRPr="005A386A">
        <w:t xml:space="preserve"> </w:t>
      </w:r>
      <w:r w:rsidRPr="005A386A">
        <w:tab/>
        <w:t xml:space="preserve">As reported in Australia’s </w:t>
      </w:r>
      <w:r w:rsidRPr="005A386A">
        <w:rPr>
          <w:i/>
          <w:iCs/>
        </w:rPr>
        <w:t>National Inventory Report 201</w:t>
      </w:r>
      <w:r>
        <w:rPr>
          <w:i/>
          <w:iCs/>
        </w:rPr>
        <w:t>7</w:t>
      </w:r>
      <w:r w:rsidRPr="005A386A">
        <w:rPr>
          <w:iCs/>
        </w:rPr>
        <w:t xml:space="preserve"> (Commonwealth of Australia, 201</w:t>
      </w:r>
      <w:r>
        <w:rPr>
          <w:iCs/>
        </w:rPr>
        <w:t>9</w:t>
      </w:r>
      <w:r w:rsidRPr="005A386A">
        <w:rPr>
          <w:iCs/>
        </w:rPr>
        <w:t>)</w:t>
      </w:r>
      <w:r w:rsidRPr="005A386A">
        <w:t xml:space="preserve">. Retrieved </w:t>
      </w:r>
      <w:r w:rsidRPr="00CD62EB">
        <w:t xml:space="preserve">from </w:t>
      </w:r>
      <w:hyperlink r:id="rId4" w:history="1">
        <w:r w:rsidRPr="00CD62EB">
          <w:rPr>
            <w:rStyle w:val="Hyperlink"/>
            <w:color w:val="auto"/>
          </w:rPr>
          <w:t>https://unfccc.int/documents/195779</w:t>
        </w:r>
      </w:hyperlink>
      <w:r w:rsidRPr="00CD62EB">
        <w:t xml:space="preserve"> (20 December 2019). Note that the Australian-specific non-</w:t>
      </w:r>
      <w:r w:rsidRPr="005A386A">
        <w:t>dairy cattle IEF value is calculated from a population-based weighted average of pasture and feedlot IEF values from non-dairy cattle.</w:t>
      </w:r>
    </w:p>
  </w:footnote>
  <w:footnote w:id="56">
    <w:p w14:paraId="2FBCCA87" w14:textId="77777777" w:rsidR="00DA6C03" w:rsidRPr="0040348A" w:rsidRDefault="00DA6C03" w:rsidP="00F849A7">
      <w:pPr>
        <w:pStyle w:val="FootnoteText"/>
      </w:pPr>
      <w:r>
        <w:rPr>
          <w:rStyle w:val="FootnoteReference"/>
        </w:rPr>
        <w:footnoteRef/>
      </w:r>
      <w:r>
        <w:t xml:space="preserve"> </w:t>
      </w:r>
      <w:r>
        <w:tab/>
        <w:t>Flatland is classified as flat pastoral land or plains with a gradient lower than 12 degrees.</w:t>
      </w:r>
    </w:p>
  </w:footnote>
  <w:footnote w:id="57">
    <w:p w14:paraId="78B2680B" w14:textId="77777777" w:rsidR="00DA6C03" w:rsidRPr="0040348A" w:rsidRDefault="00DA6C03" w:rsidP="00F849A7">
      <w:pPr>
        <w:pStyle w:val="FootnoteText"/>
      </w:pPr>
      <w:r>
        <w:rPr>
          <w:rStyle w:val="FootnoteReference"/>
        </w:rPr>
        <w:footnoteRef/>
      </w:r>
      <w:r>
        <w:t xml:space="preserve"> </w:t>
      </w:r>
      <w:r>
        <w:tab/>
        <w:t>Low slopes are classified as hill country pastoral land with a gradient lower than 12 degrees.</w:t>
      </w:r>
    </w:p>
  </w:footnote>
  <w:footnote w:id="58">
    <w:p w14:paraId="6F4E6761" w14:textId="77777777" w:rsidR="00DA6C03" w:rsidRPr="0040348A" w:rsidRDefault="00DA6C03" w:rsidP="00F849A7">
      <w:pPr>
        <w:pStyle w:val="FootnoteText"/>
      </w:pPr>
      <w:r>
        <w:rPr>
          <w:rStyle w:val="FootnoteReference"/>
        </w:rPr>
        <w:footnoteRef/>
      </w:r>
      <w:r>
        <w:t xml:space="preserve"> </w:t>
      </w:r>
      <w:r>
        <w:tab/>
        <w:t>Medium slopes are classified as hill country pastoral land with a gradient between 12 degrees</w:t>
      </w:r>
      <w:r>
        <w:rPr>
          <w:vertAlign w:val="superscript"/>
        </w:rPr>
        <w:t xml:space="preserve"> </w:t>
      </w:r>
      <w:r>
        <w:t>and 24 degrees.</w:t>
      </w:r>
    </w:p>
  </w:footnote>
  <w:footnote w:id="59">
    <w:p w14:paraId="2DE0D7F8" w14:textId="77777777" w:rsidR="00DA6C03" w:rsidRPr="0040348A" w:rsidRDefault="00DA6C03" w:rsidP="00F849A7">
      <w:pPr>
        <w:pStyle w:val="FootnoteText"/>
      </w:pPr>
      <w:r>
        <w:rPr>
          <w:rStyle w:val="FootnoteReference"/>
        </w:rPr>
        <w:footnoteRef/>
      </w:r>
      <w:r>
        <w:t xml:space="preserve"> </w:t>
      </w:r>
      <w:r>
        <w:tab/>
        <w:t>Steep slopes are classified as hill country pastoral land with a gradient greater than 24</w:t>
      </w:r>
      <w:r>
        <w:rPr>
          <w:vertAlign w:val="superscript"/>
        </w:rPr>
        <w:t xml:space="preserve"> </w:t>
      </w:r>
      <w:r>
        <w:t>degrees.</w:t>
      </w:r>
    </w:p>
  </w:footnote>
  <w:footnote w:id="60">
    <w:p w14:paraId="25CA15F1" w14:textId="77777777" w:rsidR="00DA6C03" w:rsidRPr="005A386A" w:rsidRDefault="00DA6C03" w:rsidP="00F849A7">
      <w:pPr>
        <w:pStyle w:val="FootnoteText"/>
      </w:pPr>
      <w:r w:rsidRPr="005A386A">
        <w:rPr>
          <w:rStyle w:val="FootnoteReference"/>
        </w:rPr>
        <w:footnoteRef/>
      </w:r>
      <w:r w:rsidRPr="005A386A">
        <w:t xml:space="preserve"> </w:t>
      </w:r>
      <w:r w:rsidRPr="005A386A">
        <w:tab/>
        <w:t>For reporting under the 1996 IPCC Guidelines, this parameter was defined as Frac</w:t>
      </w:r>
      <w:r w:rsidRPr="005A386A">
        <w:rPr>
          <w:vertAlign w:val="subscript"/>
        </w:rPr>
        <w:t>LEACH</w:t>
      </w:r>
      <w:r w:rsidRPr="005A386A">
        <w:t>; under the 2006 IPCC Guidelines, it is defined as Frac</w:t>
      </w:r>
      <w:r w:rsidRPr="005A386A">
        <w:rPr>
          <w:vertAlign w:val="subscript"/>
        </w:rPr>
        <w:t>LEACH – (H)</w:t>
      </w:r>
      <w:r w:rsidRPr="005A386A">
        <w:t>.</w:t>
      </w:r>
    </w:p>
  </w:footnote>
  <w:footnote w:id="61">
    <w:p w14:paraId="54B89804" w14:textId="77777777" w:rsidR="00DA6C03" w:rsidRPr="005A386A" w:rsidRDefault="00DA6C03" w:rsidP="00F849A7">
      <w:pPr>
        <w:pStyle w:val="FootnoteText"/>
      </w:pPr>
      <w:r w:rsidRPr="005A386A">
        <w:rPr>
          <w:rStyle w:val="FootnoteReference"/>
        </w:rPr>
        <w:footnoteRef/>
      </w:r>
      <w:r w:rsidRPr="005A386A">
        <w:t xml:space="preserve"> </w:t>
      </w:r>
      <w:r w:rsidRPr="005A386A">
        <w:tab/>
        <w:t>A New Zealand parameter for Frac</w:t>
      </w:r>
      <w:r w:rsidRPr="005A386A">
        <w:rPr>
          <w:vertAlign w:val="subscript"/>
        </w:rPr>
        <w:t>LEACH</w:t>
      </w:r>
      <w:r w:rsidRPr="005A386A">
        <w:t xml:space="preserve"> of 0.15 was used in inventories submitted before 2003.</w:t>
      </w:r>
    </w:p>
  </w:footnote>
  <w:footnote w:id="62">
    <w:p w14:paraId="48ACA6A5" w14:textId="77777777" w:rsidR="00DA6C03" w:rsidRPr="005A386A" w:rsidRDefault="00DA6C03" w:rsidP="00F849A7">
      <w:pPr>
        <w:pStyle w:val="FootnoteText"/>
      </w:pPr>
      <w:r w:rsidRPr="005A386A">
        <w:rPr>
          <w:rStyle w:val="FootnoteReference"/>
        </w:rPr>
        <w:footnoteRef/>
      </w:r>
      <w:r w:rsidRPr="005A386A">
        <w:t xml:space="preserve"> </w:t>
      </w:r>
      <w:r w:rsidRPr="005A386A">
        <w:tab/>
        <w:t xml:space="preserve">Activity data on urease inhibitor usage before 2016 was provided by Ballance Agri-Nutrients Limited. </w:t>
      </w:r>
    </w:p>
  </w:footnote>
  <w:footnote w:id="63">
    <w:p w14:paraId="1FC19F82" w14:textId="77777777" w:rsidR="00DA6C03" w:rsidRPr="005A386A" w:rsidRDefault="00DA6C03" w:rsidP="00A10636">
      <w:pPr>
        <w:pStyle w:val="FootnoteText"/>
      </w:pPr>
      <w:r w:rsidRPr="005A386A">
        <w:rPr>
          <w:rStyle w:val="FootnoteReference"/>
        </w:rPr>
        <w:footnoteRef/>
      </w:r>
      <w:r w:rsidRPr="005A386A">
        <w:tab/>
        <w:t>Land cover consistent with pre-1990 natural forest, pre-1990 planted forest, post-1989 forest and grassland with woody biomass land uses.</w:t>
      </w:r>
    </w:p>
  </w:footnote>
  <w:footnote w:id="64">
    <w:p w14:paraId="6211052F" w14:textId="77777777" w:rsidR="00DA6C03" w:rsidRPr="005A386A" w:rsidRDefault="00DA6C03" w:rsidP="00A10636">
      <w:pPr>
        <w:pStyle w:val="FootnoteText"/>
        <w:spacing w:after="50"/>
      </w:pPr>
      <w:r w:rsidRPr="005A386A">
        <w:rPr>
          <w:rStyle w:val="FootnoteReference"/>
        </w:rPr>
        <w:footnoteRef/>
      </w:r>
      <w:r w:rsidRPr="005A386A">
        <w:t xml:space="preserve"> </w:t>
      </w:r>
      <w:r w:rsidRPr="005A386A">
        <w:tab/>
        <w:t>‘Destocking’ is defined here as forest loss for any reason including harvesting, deforestation or some type</w:t>
      </w:r>
      <w:r>
        <w:t> </w:t>
      </w:r>
      <w:r w:rsidRPr="005A386A">
        <w:t>of non-anthropogenic change, such as wind damage or erosion.</w:t>
      </w:r>
    </w:p>
  </w:footnote>
  <w:footnote w:id="65">
    <w:p w14:paraId="4200B670" w14:textId="77777777" w:rsidR="00DA6C03" w:rsidRPr="005A386A" w:rsidRDefault="00DA6C03" w:rsidP="00A10636">
      <w:pPr>
        <w:pStyle w:val="FootnoteText"/>
        <w:spacing w:after="50"/>
      </w:pPr>
      <w:r w:rsidRPr="005A386A">
        <w:rPr>
          <w:rStyle w:val="FootnoteReference"/>
        </w:rPr>
        <w:footnoteRef/>
      </w:r>
      <w:r w:rsidRPr="005A386A">
        <w:tab/>
        <w:t xml:space="preserve">To distinguish between deforestation and temporary tree crown cover removal in forest land, New Zealand has defined the expected period between the removal of tree cover and successful natural regeneration or planting as four years. </w:t>
      </w:r>
    </w:p>
  </w:footnote>
  <w:footnote w:id="66">
    <w:p w14:paraId="3063C2C7" w14:textId="77777777" w:rsidR="00DA6C03" w:rsidRPr="005A386A" w:rsidRDefault="00DA6C03" w:rsidP="00A10636">
      <w:pPr>
        <w:pStyle w:val="FootnoteText"/>
        <w:spacing w:after="0"/>
      </w:pPr>
      <w:r w:rsidRPr="005A386A">
        <w:rPr>
          <w:rStyle w:val="FootnoteReference"/>
        </w:rPr>
        <w:footnoteRef/>
      </w:r>
      <w:r w:rsidRPr="005A386A">
        <w:tab/>
        <w:t>Often regenerating shrubland areas are sprayed but land-use conversion is not completed by clearing the</w:t>
      </w:r>
      <w:r>
        <w:t> </w:t>
      </w:r>
      <w:r w:rsidRPr="005A386A">
        <w:t>area. In these instances, the vegetation regenerates and recovers, therefore land-use change has not</w:t>
      </w:r>
      <w:r>
        <w:t> </w:t>
      </w:r>
      <w:r w:rsidRPr="005A386A">
        <w:t>occurred.</w:t>
      </w:r>
    </w:p>
  </w:footnote>
  <w:footnote w:id="67">
    <w:p w14:paraId="7E3408D5" w14:textId="44360809" w:rsidR="00DA6C03" w:rsidRPr="005A386A" w:rsidRDefault="00DA6C03" w:rsidP="00A10636">
      <w:pPr>
        <w:pStyle w:val="FootnoteText"/>
        <w:spacing w:after="40"/>
      </w:pPr>
      <w:r w:rsidRPr="005A386A">
        <w:rPr>
          <w:rStyle w:val="FootnoteReference"/>
        </w:rPr>
        <w:footnoteRef/>
      </w:r>
      <w:r w:rsidRPr="005A386A">
        <w:t xml:space="preserve"> </w:t>
      </w:r>
      <w:r w:rsidRPr="005A386A">
        <w:tab/>
        <w:t xml:space="preserve">The SPOT-6 natural colour 1.5-metre resolution imagery was acquired in the summers of 2012/13 and 2013/14 making it generally one year later than the SPOT-5 multi-spectral 10-metre resolution imagery used to create the 2012 </w:t>
      </w:r>
      <w:r>
        <w:t>land-use</w:t>
      </w:r>
      <w:r w:rsidRPr="005A386A">
        <w:t xml:space="preserve"> map.</w:t>
      </w:r>
    </w:p>
  </w:footnote>
  <w:footnote w:id="68">
    <w:p w14:paraId="2D43CA97" w14:textId="77777777" w:rsidR="00DA6C03" w:rsidRPr="005A386A" w:rsidRDefault="00DA6C03" w:rsidP="00A10636">
      <w:pPr>
        <w:pStyle w:val="FootnoteText"/>
      </w:pPr>
      <w:r w:rsidRPr="005A386A">
        <w:rPr>
          <w:rStyle w:val="FootnoteReference"/>
        </w:rPr>
        <w:footnoteRef/>
      </w:r>
      <w:r w:rsidRPr="005A386A">
        <w:tab/>
        <w:t>An exception occurred in the creation of the Clyde Dam. The Clutha River in the South Island was dammed, creating Lake Dunstan. The area flooded was mostly low producing grassland.</w:t>
      </w:r>
    </w:p>
  </w:footnote>
  <w:footnote w:id="69">
    <w:p w14:paraId="15302F4C" w14:textId="77777777" w:rsidR="00DA6C03" w:rsidRPr="005A386A" w:rsidRDefault="00DA6C03" w:rsidP="00A71B0D">
      <w:pPr>
        <w:pStyle w:val="FootnoteText"/>
        <w:spacing w:after="0"/>
      </w:pPr>
      <w:r w:rsidRPr="005A386A">
        <w:rPr>
          <w:rStyle w:val="FootnoteReference"/>
        </w:rPr>
        <w:footnoteRef/>
      </w:r>
      <w:r w:rsidRPr="005A386A">
        <w:t xml:space="preserve"> </w:t>
      </w:r>
      <w:r w:rsidRPr="005A386A">
        <w:tab/>
      </w:r>
      <w:r w:rsidRPr="005A386A">
        <w:rPr>
          <w:shd w:val="clear" w:color="auto" w:fill="FFFFFF"/>
        </w:rPr>
        <w:t xml:space="preserve">In the United Nations Charter (UN, 1945), a non-self-governing territory is defined as a territory “whose people have not yet attained a full measure of self-government”. Tokelau has been on the United Nations list of non-self-governing territories since 1946, following the declaration of the intention by New Zealand to </w:t>
      </w:r>
      <w:r w:rsidRPr="0010616B">
        <w:rPr>
          <w:shd w:val="clear" w:color="auto" w:fill="FFFFFF"/>
        </w:rPr>
        <w:t>transmit information on the Tokelau Islands under Article 73e of the United Nations Charter</w:t>
      </w:r>
      <w:r w:rsidRPr="005A386A">
        <w:rPr>
          <w:shd w:val="clear" w:color="auto" w:fill="FFFFFF"/>
        </w:rPr>
        <w:t>.</w:t>
      </w:r>
    </w:p>
  </w:footnote>
  <w:footnote w:id="70">
    <w:p w14:paraId="74933638" w14:textId="77777777" w:rsidR="00DA6C03" w:rsidRPr="005A386A" w:rsidRDefault="00DA6C03" w:rsidP="00A71B0D">
      <w:pPr>
        <w:pStyle w:val="FootnoteText"/>
      </w:pPr>
      <w:r w:rsidRPr="005A386A">
        <w:rPr>
          <w:rStyle w:val="FootnoteReference"/>
        </w:rPr>
        <w:footnoteRef/>
      </w:r>
      <w:r w:rsidRPr="005A386A">
        <w:t xml:space="preserve"> </w:t>
      </w:r>
      <w:r w:rsidRPr="005A386A">
        <w:tab/>
        <w:t>See www.mfat.govt.nz/assets/Aid-Prog-docs/Evaluations/2016/June-2016/Tokelau-Programme-Evaluation-Final-2015.pdf.</w:t>
      </w:r>
    </w:p>
  </w:footnote>
  <w:footnote w:id="71">
    <w:p w14:paraId="4E940AB6" w14:textId="77777777" w:rsidR="00DA6C03" w:rsidRPr="005A386A" w:rsidRDefault="00DA6C03" w:rsidP="00A71B0D">
      <w:pPr>
        <w:pStyle w:val="FootnoteText"/>
        <w:rPr>
          <w:szCs w:val="19"/>
        </w:rPr>
      </w:pPr>
      <w:r w:rsidRPr="005A386A">
        <w:rPr>
          <w:rStyle w:val="FootnoteReference"/>
          <w:szCs w:val="19"/>
        </w:rPr>
        <w:footnoteRef/>
      </w:r>
      <w:r w:rsidRPr="005A386A">
        <w:rPr>
          <w:szCs w:val="19"/>
        </w:rPr>
        <w:t xml:space="preserve"> </w:t>
      </w:r>
      <w:r w:rsidRPr="005A386A">
        <w:rPr>
          <w:szCs w:val="19"/>
        </w:rPr>
        <w:tab/>
        <w:t xml:space="preserve">A keyhole garden is a small (approximately 2.5 metre diameter) circular raised garden with a keyhole-shaped indentation on one side. </w:t>
      </w:r>
      <w:r>
        <w:rPr>
          <w:szCs w:val="19"/>
        </w:rPr>
        <w:t>M</w:t>
      </w:r>
      <w:r w:rsidRPr="005A386A">
        <w:rPr>
          <w:szCs w:val="19"/>
        </w:rPr>
        <w:t xml:space="preserve">oisture and nutrients </w:t>
      </w:r>
      <w:r>
        <w:rPr>
          <w:szCs w:val="19"/>
        </w:rPr>
        <w:t>flow from</w:t>
      </w:r>
      <w:r w:rsidRPr="005A386A">
        <w:rPr>
          <w:szCs w:val="19"/>
        </w:rPr>
        <w:t xml:space="preserve"> an active compost pile placed in the centre of a round </w:t>
      </w:r>
      <w:r>
        <w:rPr>
          <w:szCs w:val="19"/>
        </w:rPr>
        <w:t xml:space="preserve">plant </w:t>
      </w:r>
      <w:r w:rsidRPr="005A386A">
        <w:rPr>
          <w:szCs w:val="19"/>
        </w:rPr>
        <w:t xml:space="preserve">bed. </w:t>
      </w:r>
    </w:p>
  </w:footnote>
  <w:footnote w:id="72">
    <w:p w14:paraId="206BD870" w14:textId="77777777" w:rsidR="00DA6C03" w:rsidRPr="005A386A" w:rsidRDefault="00DA6C03" w:rsidP="00A71B0D">
      <w:pPr>
        <w:pStyle w:val="FootnoteText"/>
        <w:spacing w:after="0"/>
      </w:pPr>
      <w:r w:rsidRPr="005A386A">
        <w:rPr>
          <w:rStyle w:val="FootnoteReference"/>
          <w:szCs w:val="19"/>
        </w:rPr>
        <w:footnoteRef/>
      </w:r>
      <w:r w:rsidRPr="005A386A">
        <w:t xml:space="preserve"> </w:t>
      </w:r>
      <w:r w:rsidRPr="005A386A">
        <w:tab/>
        <w:t xml:space="preserve">See </w:t>
      </w:r>
      <w:r w:rsidRPr="00D027B4">
        <w:t>Government</w:t>
      </w:r>
      <w:r w:rsidRPr="005A386A">
        <w:t xml:space="preserve"> of Tokelau. 2017. </w:t>
      </w:r>
      <w:r w:rsidRPr="005A386A">
        <w:rPr>
          <w:i/>
        </w:rPr>
        <w:t>Solid Waste Management: MOU Signed between Tokelau EDNRE and</w:t>
      </w:r>
      <w:r>
        <w:rPr>
          <w:i/>
        </w:rPr>
        <w:t> </w:t>
      </w:r>
      <w:r w:rsidRPr="005A386A">
        <w:rPr>
          <w:i/>
        </w:rPr>
        <w:t>Pacific Recycle Co. Ltd</w:t>
      </w:r>
      <w:r w:rsidRPr="005A386A">
        <w:t xml:space="preserve">. Retrieved from </w:t>
      </w:r>
      <w:hyperlink r:id="rId5" w:history="1">
        <w:r w:rsidRPr="005A386A">
          <w:rPr>
            <w:rStyle w:val="Hyperlink"/>
            <w:color w:val="auto"/>
            <w:szCs w:val="19"/>
          </w:rPr>
          <w:t>www.tokelau.org.nz/Bulletin/December+ 2017/Solid+Waste+ Management+MOU+Signed+between+Tokelau+EDNRE+and+Pacific++Recycle+Co.+Ltd.html</w:t>
        </w:r>
      </w:hyperlink>
      <w:r w:rsidRPr="005A386A">
        <w:rPr>
          <w:rStyle w:val="Hyperlink"/>
          <w:color w:val="auto"/>
          <w:szCs w:val="19"/>
        </w:rPr>
        <w:t xml:space="preserve"> </w:t>
      </w:r>
      <w:r>
        <w:rPr>
          <w:rStyle w:val="Hyperlink"/>
          <w:color w:val="auto"/>
          <w:szCs w:val="19"/>
        </w:rPr>
        <w:br/>
      </w:r>
      <w:r w:rsidRPr="005A386A">
        <w:rPr>
          <w:rStyle w:val="Hyperlink"/>
          <w:color w:val="auto"/>
          <w:szCs w:val="19"/>
        </w:rPr>
        <w:t>(9 March 2018).</w:t>
      </w:r>
    </w:p>
  </w:footnote>
  <w:footnote w:id="73">
    <w:p w14:paraId="7809D0CE" w14:textId="77777777" w:rsidR="00DA6C03" w:rsidRPr="005A386A" w:rsidRDefault="00DA6C03" w:rsidP="00627CA1">
      <w:pPr>
        <w:pStyle w:val="FootnoteText"/>
      </w:pPr>
      <w:r w:rsidRPr="005A386A">
        <w:rPr>
          <w:rStyle w:val="FootnoteReference"/>
        </w:rPr>
        <w:footnoteRef/>
      </w:r>
      <w:r w:rsidRPr="005A386A">
        <w:tab/>
        <w:t>Including emissions from harvesting of post-1989 forest.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CF70B" w14:textId="4399C928" w:rsidR="00DA6C03" w:rsidRDefault="00DA6C03" w:rsidP="00B44BA5">
    <w:pPr>
      <w:pStyle w:val="Header"/>
      <w:ind w:left="-567"/>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A3486" w14:textId="77777777" w:rsidR="00DA6C03" w:rsidRDefault="00DA6C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E62E9" w14:textId="77777777" w:rsidR="00DA6C03" w:rsidRDefault="00DA6C0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0D870" w14:textId="77777777" w:rsidR="00DA6C03" w:rsidRDefault="00DA6C0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0AF5D" w14:textId="77777777" w:rsidR="00DA6C03" w:rsidRDefault="00DA6C0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8D557" w14:textId="77777777" w:rsidR="00DA6C03" w:rsidRDefault="00DA6C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E786C8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D6AC9AC"/>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548CEFF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E3000008"/>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132E23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3F6446A0"/>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FD86B90A"/>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E5101BE4"/>
    <w:lvl w:ilvl="0">
      <w:numFmt w:val="decimal"/>
      <w:lvlText w:val="*"/>
      <w:lvlJc w:val="left"/>
    </w:lvl>
  </w:abstractNum>
  <w:abstractNum w:abstractNumId="8" w15:restartNumberingAfterBreak="0">
    <w:nsid w:val="041849F3"/>
    <w:multiLevelType w:val="hybridMultilevel"/>
    <w:tmpl w:val="9234825C"/>
    <w:lvl w:ilvl="0" w:tplc="4AE8F718">
      <w:start w:val="1"/>
      <w:numFmt w:val="lowerLetter"/>
      <w:pStyle w:val="a"/>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04B67626"/>
    <w:multiLevelType w:val="hybridMultilevel"/>
    <w:tmpl w:val="9E70C15A"/>
    <w:lvl w:ilvl="0" w:tplc="FFFFFFFF">
      <w:start w:val="1"/>
      <w:numFmt w:val="decimal"/>
      <w:pStyle w:val="Numberedparagraph"/>
      <w:lvlText w:val="%1."/>
      <w:lvlJc w:val="left"/>
      <w:pPr>
        <w:tabs>
          <w:tab w:val="num" w:pos="397"/>
        </w:tabs>
        <w:ind w:left="397" w:hanging="397"/>
      </w:pPr>
      <w:rPr>
        <w:rFonts w:ascii="Times New Roman" w:hAnsi="Times New Roman" w:cs="Arial" w:hint="default"/>
        <w:b w:val="0"/>
        <w:i w:val="0"/>
        <w:color w:val="auto"/>
        <w:sz w:val="22"/>
        <w:szCs w:val="22"/>
      </w:rPr>
    </w:lvl>
    <w:lvl w:ilvl="1" w:tplc="FFFFFFFF">
      <w:start w:val="1"/>
      <w:numFmt w:val="lowerLetter"/>
      <w:lvlText w:val="%2."/>
      <w:lvlJc w:val="left"/>
      <w:pPr>
        <w:tabs>
          <w:tab w:val="num" w:pos="1440"/>
        </w:tabs>
        <w:ind w:left="1440" w:hanging="360"/>
      </w:pPr>
      <w:rPr>
        <w:b/>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04F6031F"/>
    <w:multiLevelType w:val="hybridMultilevel"/>
    <w:tmpl w:val="CE44A97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2" w15:restartNumberingAfterBreak="0">
    <w:nsid w:val="16305FAC"/>
    <w:multiLevelType w:val="multilevel"/>
    <w:tmpl w:val="5CD615F8"/>
    <w:styleLink w:val="Annex"/>
    <w:lvl w:ilvl="0">
      <w:start w:val="4"/>
      <w:numFmt w:val="decimal"/>
      <w:lvlText w:val="A%1"/>
      <w:lvlJc w:val="left"/>
      <w:pPr>
        <w:ind w:left="0" w:firstLine="0"/>
      </w:pPr>
      <w:rPr>
        <w:rFonts w:hint="default"/>
      </w:rPr>
    </w:lvl>
    <w:lvl w:ilvl="1">
      <w:start w:val="1"/>
      <w:numFmt w:val="decimal"/>
      <w:lvlText w:val="A%1.%2"/>
      <w:lvlJc w:val="left"/>
      <w:pPr>
        <w:ind w:left="0" w:firstLine="0"/>
      </w:pPr>
      <w:rPr>
        <w:rFonts w:hint="default"/>
      </w:rPr>
    </w:lvl>
    <w:lvl w:ilvl="2">
      <w:start w:val="1"/>
      <w:numFmt w:val="decimal"/>
      <w:lvlText w:val="A%1.%2.%3"/>
      <w:lvlJc w:val="left"/>
      <w:pPr>
        <w:ind w:left="0" w:firstLine="0"/>
      </w:pPr>
      <w:rPr>
        <w:rFonts w:hint="default"/>
      </w:rPr>
    </w:lvl>
    <w:lvl w:ilvl="3">
      <w:start w:val="1"/>
      <w:numFmt w:val="decimal"/>
      <w:lvlText w:val="A%1.%2.%3.%4"/>
      <w:lvlJc w:val="left"/>
      <w:pPr>
        <w:ind w:left="0" w:firstLine="0"/>
      </w:pPr>
      <w:rPr>
        <w:rFonts w:hint="default"/>
      </w:rPr>
    </w:lvl>
    <w:lvl w:ilvl="4">
      <w:start w:val="1"/>
      <w:numFmt w:val="decimal"/>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3" w15:restartNumberingAfterBreak="0">
    <w:nsid w:val="192853F1"/>
    <w:multiLevelType w:val="hybridMultilevel"/>
    <w:tmpl w:val="D35889E0"/>
    <w:lvl w:ilvl="0" w:tplc="FAC265E6">
      <w:start w:val="1"/>
      <w:numFmt w:val="bullet"/>
      <w:lvlText w:val=""/>
      <w:lvlJc w:val="left"/>
      <w:pPr>
        <w:ind w:left="644" w:hanging="360"/>
      </w:pPr>
      <w:rPr>
        <w:rFonts w:ascii="Symbol" w:hAnsi="Symbol" w:hint="default"/>
        <w:sz w:val="16"/>
        <w:szCs w:val="16"/>
      </w:rPr>
    </w:lvl>
    <w:lvl w:ilvl="1" w:tplc="F648CAD4">
      <w:numFmt w:val="bullet"/>
      <w:lvlText w:val="-"/>
      <w:lvlJc w:val="left"/>
      <w:pPr>
        <w:ind w:left="1364" w:hanging="360"/>
      </w:pPr>
      <w:rPr>
        <w:rFonts w:ascii="Times New Roman" w:eastAsia="Times New Roman" w:hAnsi="Times New Roman" w:cs="Times New Roman" w:hint="default"/>
      </w:rPr>
    </w:lvl>
    <w:lvl w:ilvl="2" w:tplc="14090005" w:tentative="1">
      <w:start w:val="1"/>
      <w:numFmt w:val="bullet"/>
      <w:lvlText w:val=""/>
      <w:lvlJc w:val="left"/>
      <w:pPr>
        <w:ind w:left="2084" w:hanging="360"/>
      </w:pPr>
      <w:rPr>
        <w:rFonts w:ascii="Wingdings" w:hAnsi="Wingdings" w:hint="default"/>
      </w:rPr>
    </w:lvl>
    <w:lvl w:ilvl="3" w:tplc="14090001" w:tentative="1">
      <w:start w:val="1"/>
      <w:numFmt w:val="bullet"/>
      <w:lvlText w:val=""/>
      <w:lvlJc w:val="left"/>
      <w:pPr>
        <w:ind w:left="2804" w:hanging="360"/>
      </w:pPr>
      <w:rPr>
        <w:rFonts w:ascii="Symbol" w:hAnsi="Symbol" w:hint="default"/>
      </w:rPr>
    </w:lvl>
    <w:lvl w:ilvl="4" w:tplc="14090003" w:tentative="1">
      <w:start w:val="1"/>
      <w:numFmt w:val="bullet"/>
      <w:lvlText w:val="o"/>
      <w:lvlJc w:val="left"/>
      <w:pPr>
        <w:ind w:left="3524" w:hanging="360"/>
      </w:pPr>
      <w:rPr>
        <w:rFonts w:ascii="Courier New" w:hAnsi="Courier New" w:cs="Courier New" w:hint="default"/>
      </w:rPr>
    </w:lvl>
    <w:lvl w:ilvl="5" w:tplc="14090005" w:tentative="1">
      <w:start w:val="1"/>
      <w:numFmt w:val="bullet"/>
      <w:lvlText w:val=""/>
      <w:lvlJc w:val="left"/>
      <w:pPr>
        <w:ind w:left="4244" w:hanging="360"/>
      </w:pPr>
      <w:rPr>
        <w:rFonts w:ascii="Wingdings" w:hAnsi="Wingdings" w:hint="default"/>
      </w:rPr>
    </w:lvl>
    <w:lvl w:ilvl="6" w:tplc="14090001" w:tentative="1">
      <w:start w:val="1"/>
      <w:numFmt w:val="bullet"/>
      <w:lvlText w:val=""/>
      <w:lvlJc w:val="left"/>
      <w:pPr>
        <w:ind w:left="4964" w:hanging="360"/>
      </w:pPr>
      <w:rPr>
        <w:rFonts w:ascii="Symbol" w:hAnsi="Symbol" w:hint="default"/>
      </w:rPr>
    </w:lvl>
    <w:lvl w:ilvl="7" w:tplc="14090003" w:tentative="1">
      <w:start w:val="1"/>
      <w:numFmt w:val="bullet"/>
      <w:lvlText w:val="o"/>
      <w:lvlJc w:val="left"/>
      <w:pPr>
        <w:ind w:left="5684" w:hanging="360"/>
      </w:pPr>
      <w:rPr>
        <w:rFonts w:ascii="Courier New" w:hAnsi="Courier New" w:cs="Courier New" w:hint="default"/>
      </w:rPr>
    </w:lvl>
    <w:lvl w:ilvl="8" w:tplc="14090005" w:tentative="1">
      <w:start w:val="1"/>
      <w:numFmt w:val="bullet"/>
      <w:lvlText w:val=""/>
      <w:lvlJc w:val="left"/>
      <w:pPr>
        <w:ind w:left="6404" w:hanging="360"/>
      </w:pPr>
      <w:rPr>
        <w:rFonts w:ascii="Wingdings" w:hAnsi="Wingdings" w:hint="default"/>
      </w:rPr>
    </w:lvl>
  </w:abstractNum>
  <w:abstractNum w:abstractNumId="14" w15:restartNumberingAfterBreak="0">
    <w:nsid w:val="1FDF624F"/>
    <w:multiLevelType w:val="hybridMultilevel"/>
    <w:tmpl w:val="7E785C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08C5CF5"/>
    <w:multiLevelType w:val="multilevel"/>
    <w:tmpl w:val="A07E8244"/>
    <w:lvl w:ilvl="0">
      <w:start w:val="1"/>
      <w:numFmt w:val="lowerLetter"/>
      <w:pStyle w:val="Sub-lista"/>
      <w:lvlText w:val="%1)"/>
      <w:lvlJc w:val="left"/>
      <w:pPr>
        <w:tabs>
          <w:tab w:val="num" w:pos="794"/>
        </w:tabs>
        <w:ind w:left="397" w:hanging="397"/>
      </w:pPr>
      <w:rPr>
        <w:rFonts w:ascii="Calibri" w:hAnsi="Calibri" w:cs="Calibri" w:hint="default"/>
        <w:b w:val="0"/>
        <w:i w:val="0"/>
        <w:sz w:val="22"/>
        <w:szCs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27BD2E58"/>
    <w:multiLevelType w:val="multilevel"/>
    <w:tmpl w:val="B0DC6D48"/>
    <w:lvl w:ilvl="0">
      <w:start w:val="1"/>
      <w:numFmt w:val="bullet"/>
      <w:lvlText w:val=""/>
      <w:lvlJc w:val="left"/>
      <w:pPr>
        <w:ind w:left="397" w:hanging="397"/>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8B2D74"/>
    <w:multiLevelType w:val="hybridMultilevel"/>
    <w:tmpl w:val="EF1C9466"/>
    <w:lvl w:ilvl="0" w:tplc="6D362E22">
      <w:start w:val="1"/>
      <w:numFmt w:val="bullet"/>
      <w:pStyle w:val="TableBullet"/>
      <w:lvlText w:val=""/>
      <w:lvlJc w:val="left"/>
      <w:pPr>
        <w:tabs>
          <w:tab w:val="num" w:pos="284"/>
        </w:tabs>
        <w:ind w:left="284" w:hanging="284"/>
      </w:pPr>
      <w:rPr>
        <w:rFonts w:ascii="Symbol" w:hAnsi="Symbol" w:hint="default"/>
        <w:sz w:val="16"/>
        <w:szCs w:val="16"/>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F35055"/>
    <w:multiLevelType w:val="hybridMultilevel"/>
    <w:tmpl w:val="98F6C22E"/>
    <w:lvl w:ilvl="0" w:tplc="1409000F">
      <w:start w:val="1"/>
      <w:numFmt w:val="decimal"/>
      <w:pStyle w:val="Keypointsbullet"/>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3B934134"/>
    <w:multiLevelType w:val="hybridMultilevel"/>
    <w:tmpl w:val="67F24C4E"/>
    <w:lvl w:ilvl="0" w:tplc="DC66E45C">
      <w:start w:val="1"/>
      <w:numFmt w:val="bullet"/>
      <w:pStyle w:val="Keypointsub-bullet"/>
      <w:lvlText w:val="‒"/>
      <w:lvlJc w:val="left"/>
      <w:pPr>
        <w:ind w:left="1400" w:hanging="360"/>
      </w:pPr>
      <w:rPr>
        <w:rFonts w:ascii="Calibri" w:hAnsi="Calibri" w:cs="Times New Roman" w:hint="default"/>
        <w:b w:val="0"/>
        <w:i w:val="0"/>
        <w:sz w:val="20"/>
      </w:rPr>
    </w:lvl>
    <w:lvl w:ilvl="1" w:tplc="14090003" w:tentative="1">
      <w:start w:val="1"/>
      <w:numFmt w:val="bullet"/>
      <w:lvlText w:val="o"/>
      <w:lvlJc w:val="left"/>
      <w:pPr>
        <w:ind w:left="2120" w:hanging="360"/>
      </w:pPr>
      <w:rPr>
        <w:rFonts w:ascii="Courier New" w:hAnsi="Courier New" w:cs="Courier New" w:hint="default"/>
      </w:rPr>
    </w:lvl>
    <w:lvl w:ilvl="2" w:tplc="14090005" w:tentative="1">
      <w:start w:val="1"/>
      <w:numFmt w:val="bullet"/>
      <w:lvlText w:val=""/>
      <w:lvlJc w:val="left"/>
      <w:pPr>
        <w:ind w:left="2840" w:hanging="360"/>
      </w:pPr>
      <w:rPr>
        <w:rFonts w:ascii="Wingdings" w:hAnsi="Wingdings" w:hint="default"/>
      </w:rPr>
    </w:lvl>
    <w:lvl w:ilvl="3" w:tplc="14090001" w:tentative="1">
      <w:start w:val="1"/>
      <w:numFmt w:val="bullet"/>
      <w:lvlText w:val=""/>
      <w:lvlJc w:val="left"/>
      <w:pPr>
        <w:ind w:left="3560" w:hanging="360"/>
      </w:pPr>
      <w:rPr>
        <w:rFonts w:ascii="Symbol" w:hAnsi="Symbol" w:hint="default"/>
      </w:rPr>
    </w:lvl>
    <w:lvl w:ilvl="4" w:tplc="14090003" w:tentative="1">
      <w:start w:val="1"/>
      <w:numFmt w:val="bullet"/>
      <w:lvlText w:val="o"/>
      <w:lvlJc w:val="left"/>
      <w:pPr>
        <w:ind w:left="4280" w:hanging="360"/>
      </w:pPr>
      <w:rPr>
        <w:rFonts w:ascii="Courier New" w:hAnsi="Courier New" w:cs="Courier New" w:hint="default"/>
      </w:rPr>
    </w:lvl>
    <w:lvl w:ilvl="5" w:tplc="14090005" w:tentative="1">
      <w:start w:val="1"/>
      <w:numFmt w:val="bullet"/>
      <w:lvlText w:val=""/>
      <w:lvlJc w:val="left"/>
      <w:pPr>
        <w:ind w:left="5000" w:hanging="360"/>
      </w:pPr>
      <w:rPr>
        <w:rFonts w:ascii="Wingdings" w:hAnsi="Wingdings" w:hint="default"/>
      </w:rPr>
    </w:lvl>
    <w:lvl w:ilvl="6" w:tplc="14090001" w:tentative="1">
      <w:start w:val="1"/>
      <w:numFmt w:val="bullet"/>
      <w:lvlText w:val=""/>
      <w:lvlJc w:val="left"/>
      <w:pPr>
        <w:ind w:left="5720" w:hanging="360"/>
      </w:pPr>
      <w:rPr>
        <w:rFonts w:ascii="Symbol" w:hAnsi="Symbol" w:hint="default"/>
      </w:rPr>
    </w:lvl>
    <w:lvl w:ilvl="7" w:tplc="14090003" w:tentative="1">
      <w:start w:val="1"/>
      <w:numFmt w:val="bullet"/>
      <w:lvlText w:val="o"/>
      <w:lvlJc w:val="left"/>
      <w:pPr>
        <w:ind w:left="6440" w:hanging="360"/>
      </w:pPr>
      <w:rPr>
        <w:rFonts w:ascii="Courier New" w:hAnsi="Courier New" w:cs="Courier New" w:hint="default"/>
      </w:rPr>
    </w:lvl>
    <w:lvl w:ilvl="8" w:tplc="14090005" w:tentative="1">
      <w:start w:val="1"/>
      <w:numFmt w:val="bullet"/>
      <w:lvlText w:val=""/>
      <w:lvlJc w:val="left"/>
      <w:pPr>
        <w:ind w:left="7160" w:hanging="360"/>
      </w:pPr>
      <w:rPr>
        <w:rFonts w:ascii="Wingdings" w:hAnsi="Wingdings" w:hint="default"/>
      </w:rPr>
    </w:lvl>
  </w:abstractNum>
  <w:abstractNum w:abstractNumId="20" w15:restartNumberingAfterBreak="0">
    <w:nsid w:val="427701FB"/>
    <w:multiLevelType w:val="hybridMultilevel"/>
    <w:tmpl w:val="87A07910"/>
    <w:lvl w:ilvl="0" w:tplc="FFFFFFFF">
      <w:start w:val="1"/>
      <w:numFmt w:val="bullet"/>
      <w:pStyle w:val="Sub-list"/>
      <w:lvlText w:val=""/>
      <w:lvlJc w:val="left"/>
      <w:pPr>
        <w:tabs>
          <w:tab w:val="num" w:pos="397"/>
        </w:tabs>
        <w:ind w:left="397" w:firstLine="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5B15110"/>
    <w:multiLevelType w:val="multilevel"/>
    <w:tmpl w:val="6BACFCB2"/>
    <w:lvl w:ilvl="0">
      <w:start w:val="1"/>
      <w:numFmt w:val="bullet"/>
      <w:pStyle w:val="Bullet"/>
      <w:lvlText w:val=""/>
      <w:lvlJc w:val="left"/>
      <w:pPr>
        <w:tabs>
          <w:tab w:val="num" w:pos="567"/>
        </w:tabs>
        <w:ind w:left="397" w:hanging="397"/>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3D6104"/>
    <w:multiLevelType w:val="hybridMultilevel"/>
    <w:tmpl w:val="7698242C"/>
    <w:lvl w:ilvl="0" w:tplc="F710A272">
      <w:start w:val="1"/>
      <w:numFmt w:val="lowerRoman"/>
      <w:pStyle w:val="Sub-listi"/>
      <w:lvlText w:val="%1."/>
      <w:lvlJc w:val="left"/>
      <w:pPr>
        <w:tabs>
          <w:tab w:val="num" w:pos="1191"/>
        </w:tabs>
        <w:ind w:left="1191" w:hanging="397"/>
      </w:pPr>
      <w:rPr>
        <w:rFonts w:ascii="Calibri" w:hAnsi="Calibri" w:cs="Calibri" w:hint="default"/>
        <w:b w:val="0"/>
        <w:i w:val="0"/>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53535234"/>
    <w:multiLevelType w:val="singleLevel"/>
    <w:tmpl w:val="7FC073B8"/>
    <w:lvl w:ilvl="0">
      <w:start w:val="1"/>
      <w:numFmt w:val="bullet"/>
      <w:pStyle w:val="BoxBullet"/>
      <w:lvlText w:val=""/>
      <w:lvlJc w:val="left"/>
      <w:pPr>
        <w:tabs>
          <w:tab w:val="num" w:pos="851"/>
        </w:tabs>
        <w:ind w:left="851" w:hanging="567"/>
      </w:pPr>
      <w:rPr>
        <w:rFonts w:ascii="Symbol" w:hAnsi="Symbol" w:hint="default"/>
        <w:sz w:val="16"/>
      </w:rPr>
    </w:lvl>
  </w:abstractNum>
  <w:abstractNum w:abstractNumId="24" w15:restartNumberingAfterBreak="0">
    <w:nsid w:val="569A0D6A"/>
    <w:multiLevelType w:val="hybridMultilevel"/>
    <w:tmpl w:val="F33839CE"/>
    <w:lvl w:ilvl="0" w:tplc="A6FC95F2">
      <w:start w:val="1"/>
      <w:numFmt w:val="bullet"/>
      <w:lvlText w:val=""/>
      <w:lvlJc w:val="left"/>
      <w:pPr>
        <w:tabs>
          <w:tab w:val="num" w:pos="397"/>
        </w:tabs>
        <w:ind w:left="397" w:hanging="397"/>
      </w:pPr>
      <w:rPr>
        <w:rFonts w:ascii="Symbol" w:hAnsi="Symbol" w:cs="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FAD4597"/>
    <w:multiLevelType w:val="hybridMultilevel"/>
    <w:tmpl w:val="5EE0156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5811DDE"/>
    <w:multiLevelType w:val="hybridMultilevel"/>
    <w:tmpl w:val="5784BADA"/>
    <w:lvl w:ilvl="0" w:tplc="14090001">
      <w:start w:val="1"/>
      <w:numFmt w:val="bullet"/>
      <w:pStyle w:val="TableDash"/>
      <w:lvlText w:val=""/>
      <w:lvlJc w:val="left"/>
      <w:pPr>
        <w:tabs>
          <w:tab w:val="num" w:pos="567"/>
        </w:tabs>
        <w:ind w:left="567" w:hanging="283"/>
      </w:pPr>
      <w:rPr>
        <w:rFonts w:ascii="Symbol" w:hAnsi="Symbol" w:hint="default"/>
        <w:color w:val="auto"/>
        <w:sz w:val="16"/>
        <w:szCs w:val="16"/>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5FE74C4"/>
    <w:multiLevelType w:val="multilevel"/>
    <w:tmpl w:val="36AA8DFC"/>
    <w:lvl w:ilvl="0">
      <w:start w:val="1"/>
      <w:numFmt w:val="bullet"/>
      <w:pStyle w:val="Sub-bullet"/>
      <w:lvlText w:val=""/>
      <w:lvlJc w:val="left"/>
      <w:pPr>
        <w:ind w:left="794" w:hanging="397"/>
      </w:pPr>
      <w:rPr>
        <w:rFonts w:ascii="Symbol" w:hAnsi="Symbol"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28" w15:restartNumberingAfterBreak="0">
    <w:nsid w:val="7BB52E00"/>
    <w:multiLevelType w:val="hybridMultilevel"/>
    <w:tmpl w:val="FA24D34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3"/>
  </w:num>
  <w:num w:numId="2">
    <w:abstractNumId w:val="17"/>
  </w:num>
  <w:num w:numId="3">
    <w:abstractNumId w:val="21"/>
  </w:num>
  <w:num w:numId="4">
    <w:abstractNumId w:val="27"/>
  </w:num>
  <w:num w:numId="5">
    <w:abstractNumId w:val="6"/>
  </w:num>
  <w:num w:numId="6">
    <w:abstractNumId w:val="5"/>
  </w:num>
  <w:num w:numId="7">
    <w:abstractNumId w:val="4"/>
  </w:num>
  <w:num w:numId="8">
    <w:abstractNumId w:val="3"/>
  </w:num>
  <w:num w:numId="9">
    <w:abstractNumId w:val="2"/>
  </w:num>
  <w:num w:numId="10">
    <w:abstractNumId w:val="8"/>
  </w:num>
  <w:num w:numId="11">
    <w:abstractNumId w:val="9"/>
  </w:num>
  <w:num w:numId="12">
    <w:abstractNumId w:val="15"/>
  </w:num>
  <w:num w:numId="13">
    <w:abstractNumId w:val="20"/>
  </w:num>
  <w:num w:numId="14">
    <w:abstractNumId w:val="22"/>
  </w:num>
  <w:num w:numId="15">
    <w:abstractNumId w:val="26"/>
  </w:num>
  <w:num w:numId="16">
    <w:abstractNumId w:val="1"/>
  </w:num>
  <w:num w:numId="17">
    <w:abstractNumId w:val="0"/>
  </w:num>
  <w:num w:numId="18">
    <w:abstractNumId w:val="12"/>
  </w:num>
  <w:num w:numId="19">
    <w:abstractNumId w:val="24"/>
  </w:num>
  <w:num w:numId="20">
    <w:abstractNumId w:val="16"/>
  </w:num>
  <w:num w:numId="21">
    <w:abstractNumId w:val="19"/>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25"/>
  </w:num>
  <w:num w:numId="25">
    <w:abstractNumId w:val="28"/>
  </w:num>
  <w:num w:numId="26">
    <w:abstractNumId w:val="21"/>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14"/>
  </w:num>
  <w:num w:numId="30">
    <w:abstractNumId w:val="7"/>
    <w:lvlOverride w:ilvl="0">
      <w:lvl w:ilvl="0">
        <w:start w:val="1"/>
        <w:numFmt w:val="bullet"/>
        <w:lvlText w:val="–"/>
        <w:legacy w:legacy="1" w:legacySpace="0" w:legacyIndent="284"/>
        <w:lvlJc w:val="left"/>
        <w:pPr>
          <w:ind w:left="851" w:hanging="284"/>
        </w:pPr>
        <w:rPr>
          <w:rFonts w:ascii="Times New Roman" w:hAnsi="Times New Roman" w:cs="Times New Roman" w:hint="default"/>
          <w:sz w:val="20"/>
        </w:rPr>
      </w:lvl>
    </w:lvlOverride>
  </w:num>
  <w:num w:numId="31">
    <w:abstractNumId w:val="13"/>
  </w:num>
  <w:num w:numId="32">
    <w:abstractNumId w:val="22"/>
    <w:lvlOverride w:ilvl="0">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activeWritingStyle w:appName="MSWord" w:lang="en-NZ" w:vendorID="64" w:dllVersion="6" w:nlCheck="1" w:checkStyle="1"/>
  <w:activeWritingStyle w:appName="MSWord" w:lang="en-NZ" w:vendorID="64" w:dllVersion="0" w:nlCheck="1" w:checkStyle="0"/>
  <w:activeWritingStyle w:appName="MSWord" w:lang="en-NZ" w:vendorID="64" w:dllVersion="131078" w:nlCheck="1" w:checkStyle="1"/>
  <w:proofState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doNotTrackMoves/>
  <w:defaultTabStop w:val="397"/>
  <w:evenAndOddHeaders/>
  <w:drawingGridHorizontalSpacing w:val="187"/>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suppressBottomSpacing/>
    <w:suppressTopSpacing/>
    <w:suppressSpBfAfterPgBrk/>
    <w:doNotUseHTMLParagraphAutoSpacing/>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A30E8"/>
    <w:rsid w:val="00001716"/>
    <w:rsid w:val="000072D8"/>
    <w:rsid w:val="00007ABB"/>
    <w:rsid w:val="00007F6A"/>
    <w:rsid w:val="00014419"/>
    <w:rsid w:val="00021565"/>
    <w:rsid w:val="00021ACF"/>
    <w:rsid w:val="00022513"/>
    <w:rsid w:val="00027E55"/>
    <w:rsid w:val="00030690"/>
    <w:rsid w:val="00030F27"/>
    <w:rsid w:val="00032A28"/>
    <w:rsid w:val="000331B3"/>
    <w:rsid w:val="00035185"/>
    <w:rsid w:val="00036FB1"/>
    <w:rsid w:val="0004051F"/>
    <w:rsid w:val="00041B8F"/>
    <w:rsid w:val="00050008"/>
    <w:rsid w:val="00051006"/>
    <w:rsid w:val="0005290A"/>
    <w:rsid w:val="0005498B"/>
    <w:rsid w:val="00054EC9"/>
    <w:rsid w:val="000576EC"/>
    <w:rsid w:val="00065C53"/>
    <w:rsid w:val="000756C0"/>
    <w:rsid w:val="00082902"/>
    <w:rsid w:val="000959CB"/>
    <w:rsid w:val="000A018F"/>
    <w:rsid w:val="000B1212"/>
    <w:rsid w:val="000B3AAD"/>
    <w:rsid w:val="000B51B1"/>
    <w:rsid w:val="000B5C5F"/>
    <w:rsid w:val="000C20A6"/>
    <w:rsid w:val="000C249B"/>
    <w:rsid w:val="000C636D"/>
    <w:rsid w:val="000C7C27"/>
    <w:rsid w:val="000D120B"/>
    <w:rsid w:val="000E3CC9"/>
    <w:rsid w:val="000E5D1F"/>
    <w:rsid w:val="000E6DC7"/>
    <w:rsid w:val="000F4DEF"/>
    <w:rsid w:val="000F62D5"/>
    <w:rsid w:val="00102A2C"/>
    <w:rsid w:val="00103A6C"/>
    <w:rsid w:val="00103A70"/>
    <w:rsid w:val="00111A34"/>
    <w:rsid w:val="0011242D"/>
    <w:rsid w:val="00115EF9"/>
    <w:rsid w:val="00116E1B"/>
    <w:rsid w:val="00117A42"/>
    <w:rsid w:val="00121084"/>
    <w:rsid w:val="001221C3"/>
    <w:rsid w:val="00124792"/>
    <w:rsid w:val="00126411"/>
    <w:rsid w:val="00127C5A"/>
    <w:rsid w:val="00130604"/>
    <w:rsid w:val="001368D6"/>
    <w:rsid w:val="00137E84"/>
    <w:rsid w:val="001423C4"/>
    <w:rsid w:val="00142ADB"/>
    <w:rsid w:val="001469A6"/>
    <w:rsid w:val="001503D9"/>
    <w:rsid w:val="00153F5A"/>
    <w:rsid w:val="001546A7"/>
    <w:rsid w:val="00156D4F"/>
    <w:rsid w:val="00156F21"/>
    <w:rsid w:val="001577FD"/>
    <w:rsid w:val="00162C94"/>
    <w:rsid w:val="0016306C"/>
    <w:rsid w:val="00163488"/>
    <w:rsid w:val="00164ECC"/>
    <w:rsid w:val="001712C4"/>
    <w:rsid w:val="00174C29"/>
    <w:rsid w:val="00177C9C"/>
    <w:rsid w:val="00180C1C"/>
    <w:rsid w:val="0018246B"/>
    <w:rsid w:val="00182B34"/>
    <w:rsid w:val="00183BC1"/>
    <w:rsid w:val="00185AB0"/>
    <w:rsid w:val="00191C16"/>
    <w:rsid w:val="001941AE"/>
    <w:rsid w:val="00194FC5"/>
    <w:rsid w:val="00195C62"/>
    <w:rsid w:val="001970E1"/>
    <w:rsid w:val="001A1997"/>
    <w:rsid w:val="001A1DE4"/>
    <w:rsid w:val="001A2BD1"/>
    <w:rsid w:val="001A5998"/>
    <w:rsid w:val="001A5BD0"/>
    <w:rsid w:val="001B6A52"/>
    <w:rsid w:val="001B6FD2"/>
    <w:rsid w:val="001C0BC6"/>
    <w:rsid w:val="001C1581"/>
    <w:rsid w:val="001C5A35"/>
    <w:rsid w:val="001D206C"/>
    <w:rsid w:val="001D366E"/>
    <w:rsid w:val="001D4675"/>
    <w:rsid w:val="001E1ABC"/>
    <w:rsid w:val="001E350B"/>
    <w:rsid w:val="001E5645"/>
    <w:rsid w:val="001E584F"/>
    <w:rsid w:val="001F12CA"/>
    <w:rsid w:val="001F14C5"/>
    <w:rsid w:val="001F4072"/>
    <w:rsid w:val="002004F4"/>
    <w:rsid w:val="00207ABF"/>
    <w:rsid w:val="002117C8"/>
    <w:rsid w:val="00211C55"/>
    <w:rsid w:val="00211ED1"/>
    <w:rsid w:val="00212BA2"/>
    <w:rsid w:val="00213955"/>
    <w:rsid w:val="00213A7A"/>
    <w:rsid w:val="002151C9"/>
    <w:rsid w:val="00217583"/>
    <w:rsid w:val="00217967"/>
    <w:rsid w:val="00224522"/>
    <w:rsid w:val="0022519D"/>
    <w:rsid w:val="002253F5"/>
    <w:rsid w:val="00225AF5"/>
    <w:rsid w:val="0022771A"/>
    <w:rsid w:val="002278D8"/>
    <w:rsid w:val="002317CB"/>
    <w:rsid w:val="00240B42"/>
    <w:rsid w:val="00244E0E"/>
    <w:rsid w:val="00246583"/>
    <w:rsid w:val="00257BB5"/>
    <w:rsid w:val="00260B48"/>
    <w:rsid w:val="0026227A"/>
    <w:rsid w:val="00265955"/>
    <w:rsid w:val="002745A8"/>
    <w:rsid w:val="00274AE4"/>
    <w:rsid w:val="00276A11"/>
    <w:rsid w:val="002851BB"/>
    <w:rsid w:val="0028581A"/>
    <w:rsid w:val="002868D3"/>
    <w:rsid w:val="00292C83"/>
    <w:rsid w:val="002944CE"/>
    <w:rsid w:val="00295B2A"/>
    <w:rsid w:val="002A1361"/>
    <w:rsid w:val="002A49D7"/>
    <w:rsid w:val="002B1C5A"/>
    <w:rsid w:val="002B1E8B"/>
    <w:rsid w:val="002B3284"/>
    <w:rsid w:val="002B3633"/>
    <w:rsid w:val="002B5847"/>
    <w:rsid w:val="002C3AEC"/>
    <w:rsid w:val="002C7B14"/>
    <w:rsid w:val="002D012E"/>
    <w:rsid w:val="002D0986"/>
    <w:rsid w:val="002D0B56"/>
    <w:rsid w:val="002D13B7"/>
    <w:rsid w:val="002D60CB"/>
    <w:rsid w:val="002D60DB"/>
    <w:rsid w:val="002D6A54"/>
    <w:rsid w:val="002D6AB5"/>
    <w:rsid w:val="002F0F21"/>
    <w:rsid w:val="002F134A"/>
    <w:rsid w:val="002F217A"/>
    <w:rsid w:val="002F6369"/>
    <w:rsid w:val="002F6E5E"/>
    <w:rsid w:val="00301D21"/>
    <w:rsid w:val="00302D84"/>
    <w:rsid w:val="00306B8F"/>
    <w:rsid w:val="00315760"/>
    <w:rsid w:val="003158D0"/>
    <w:rsid w:val="00316F64"/>
    <w:rsid w:val="00321557"/>
    <w:rsid w:val="0032349D"/>
    <w:rsid w:val="00330809"/>
    <w:rsid w:val="00330F6B"/>
    <w:rsid w:val="00344227"/>
    <w:rsid w:val="00346E81"/>
    <w:rsid w:val="0035181A"/>
    <w:rsid w:val="003526C7"/>
    <w:rsid w:val="00353362"/>
    <w:rsid w:val="003557B6"/>
    <w:rsid w:val="00361DD4"/>
    <w:rsid w:val="0036223D"/>
    <w:rsid w:val="0036324D"/>
    <w:rsid w:val="00365854"/>
    <w:rsid w:val="00365BD1"/>
    <w:rsid w:val="00372AD7"/>
    <w:rsid w:val="003731B6"/>
    <w:rsid w:val="0037590E"/>
    <w:rsid w:val="00377186"/>
    <w:rsid w:val="00382B77"/>
    <w:rsid w:val="00383207"/>
    <w:rsid w:val="00390016"/>
    <w:rsid w:val="00390E89"/>
    <w:rsid w:val="00395B45"/>
    <w:rsid w:val="003972EF"/>
    <w:rsid w:val="00397D2B"/>
    <w:rsid w:val="003A034F"/>
    <w:rsid w:val="003A09BB"/>
    <w:rsid w:val="003A5006"/>
    <w:rsid w:val="003A643C"/>
    <w:rsid w:val="003A6524"/>
    <w:rsid w:val="003B0192"/>
    <w:rsid w:val="003C080E"/>
    <w:rsid w:val="003C2615"/>
    <w:rsid w:val="003C3954"/>
    <w:rsid w:val="003C5CB5"/>
    <w:rsid w:val="003D0318"/>
    <w:rsid w:val="003D4BDF"/>
    <w:rsid w:val="003D5417"/>
    <w:rsid w:val="003D5797"/>
    <w:rsid w:val="003E2C49"/>
    <w:rsid w:val="003E4A42"/>
    <w:rsid w:val="003F123F"/>
    <w:rsid w:val="00400F92"/>
    <w:rsid w:val="004020D7"/>
    <w:rsid w:val="00402DC1"/>
    <w:rsid w:val="004044F1"/>
    <w:rsid w:val="00406850"/>
    <w:rsid w:val="00412BA2"/>
    <w:rsid w:val="004168AB"/>
    <w:rsid w:val="00420CB5"/>
    <w:rsid w:val="0042250F"/>
    <w:rsid w:val="0042424B"/>
    <w:rsid w:val="00424864"/>
    <w:rsid w:val="00430D5D"/>
    <w:rsid w:val="00432DF0"/>
    <w:rsid w:val="00441F59"/>
    <w:rsid w:val="00443350"/>
    <w:rsid w:val="00444336"/>
    <w:rsid w:val="00445A02"/>
    <w:rsid w:val="00454A0D"/>
    <w:rsid w:val="00455788"/>
    <w:rsid w:val="0045652C"/>
    <w:rsid w:val="00457BC6"/>
    <w:rsid w:val="00462497"/>
    <w:rsid w:val="00462DFC"/>
    <w:rsid w:val="004662B3"/>
    <w:rsid w:val="00471B23"/>
    <w:rsid w:val="00471DB7"/>
    <w:rsid w:val="00472140"/>
    <w:rsid w:val="0047613C"/>
    <w:rsid w:val="004805A3"/>
    <w:rsid w:val="00490EB0"/>
    <w:rsid w:val="0049254D"/>
    <w:rsid w:val="00493BA9"/>
    <w:rsid w:val="004A39F8"/>
    <w:rsid w:val="004A3C2C"/>
    <w:rsid w:val="004A618E"/>
    <w:rsid w:val="004B5C62"/>
    <w:rsid w:val="004B5F20"/>
    <w:rsid w:val="004C46B9"/>
    <w:rsid w:val="004D2E55"/>
    <w:rsid w:val="004D50CC"/>
    <w:rsid w:val="004E1438"/>
    <w:rsid w:val="004E4B2C"/>
    <w:rsid w:val="004E4BF6"/>
    <w:rsid w:val="004E50FF"/>
    <w:rsid w:val="004E517A"/>
    <w:rsid w:val="004E67B3"/>
    <w:rsid w:val="004F1572"/>
    <w:rsid w:val="004F229D"/>
    <w:rsid w:val="004F27EE"/>
    <w:rsid w:val="004F481A"/>
    <w:rsid w:val="004F483D"/>
    <w:rsid w:val="004F5497"/>
    <w:rsid w:val="00500181"/>
    <w:rsid w:val="00502D87"/>
    <w:rsid w:val="00506DFF"/>
    <w:rsid w:val="00516D72"/>
    <w:rsid w:val="0052105D"/>
    <w:rsid w:val="00524720"/>
    <w:rsid w:val="00524D35"/>
    <w:rsid w:val="00526270"/>
    <w:rsid w:val="00531F56"/>
    <w:rsid w:val="005338F3"/>
    <w:rsid w:val="00534210"/>
    <w:rsid w:val="00540271"/>
    <w:rsid w:val="00543478"/>
    <w:rsid w:val="00543AA5"/>
    <w:rsid w:val="00545600"/>
    <w:rsid w:val="00546A6A"/>
    <w:rsid w:val="00562240"/>
    <w:rsid w:val="00562F43"/>
    <w:rsid w:val="005630B0"/>
    <w:rsid w:val="005660CD"/>
    <w:rsid w:val="0056715F"/>
    <w:rsid w:val="005720F2"/>
    <w:rsid w:val="0058044E"/>
    <w:rsid w:val="00580A1E"/>
    <w:rsid w:val="005812D6"/>
    <w:rsid w:val="00582587"/>
    <w:rsid w:val="00584CC8"/>
    <w:rsid w:val="00591646"/>
    <w:rsid w:val="005932BB"/>
    <w:rsid w:val="00596603"/>
    <w:rsid w:val="005A18C8"/>
    <w:rsid w:val="005A3830"/>
    <w:rsid w:val="005A6F84"/>
    <w:rsid w:val="005B1D32"/>
    <w:rsid w:val="005B274A"/>
    <w:rsid w:val="005B76A4"/>
    <w:rsid w:val="005B7868"/>
    <w:rsid w:val="005B78E1"/>
    <w:rsid w:val="005C1988"/>
    <w:rsid w:val="005C3384"/>
    <w:rsid w:val="005C416E"/>
    <w:rsid w:val="005C6E3E"/>
    <w:rsid w:val="005D0C94"/>
    <w:rsid w:val="005D1C3A"/>
    <w:rsid w:val="005E062A"/>
    <w:rsid w:val="005E43DD"/>
    <w:rsid w:val="005E60C7"/>
    <w:rsid w:val="005E6405"/>
    <w:rsid w:val="005E6AE2"/>
    <w:rsid w:val="005E77C4"/>
    <w:rsid w:val="005E7AB9"/>
    <w:rsid w:val="005F05A2"/>
    <w:rsid w:val="005F6829"/>
    <w:rsid w:val="00600179"/>
    <w:rsid w:val="00603FC0"/>
    <w:rsid w:val="00605CD5"/>
    <w:rsid w:val="00611F8C"/>
    <w:rsid w:val="00612A2C"/>
    <w:rsid w:val="00614578"/>
    <w:rsid w:val="006167DD"/>
    <w:rsid w:val="0062172E"/>
    <w:rsid w:val="00627CA1"/>
    <w:rsid w:val="00627DAF"/>
    <w:rsid w:val="00630893"/>
    <w:rsid w:val="00635834"/>
    <w:rsid w:val="00636BF0"/>
    <w:rsid w:val="00637524"/>
    <w:rsid w:val="00643D10"/>
    <w:rsid w:val="00646B6D"/>
    <w:rsid w:val="00647697"/>
    <w:rsid w:val="006529AF"/>
    <w:rsid w:val="00655908"/>
    <w:rsid w:val="00656A94"/>
    <w:rsid w:val="00657997"/>
    <w:rsid w:val="0066131C"/>
    <w:rsid w:val="00662319"/>
    <w:rsid w:val="006654F8"/>
    <w:rsid w:val="00665768"/>
    <w:rsid w:val="00667291"/>
    <w:rsid w:val="00671024"/>
    <w:rsid w:val="00673052"/>
    <w:rsid w:val="00673C8A"/>
    <w:rsid w:val="00682D89"/>
    <w:rsid w:val="00686249"/>
    <w:rsid w:val="00687504"/>
    <w:rsid w:val="00690F44"/>
    <w:rsid w:val="00691AFF"/>
    <w:rsid w:val="00695807"/>
    <w:rsid w:val="006A0275"/>
    <w:rsid w:val="006A1572"/>
    <w:rsid w:val="006A171F"/>
    <w:rsid w:val="006A36A8"/>
    <w:rsid w:val="006A4209"/>
    <w:rsid w:val="006A4E5F"/>
    <w:rsid w:val="006B4344"/>
    <w:rsid w:val="006B44DA"/>
    <w:rsid w:val="006B5184"/>
    <w:rsid w:val="006B5927"/>
    <w:rsid w:val="006B5FE0"/>
    <w:rsid w:val="006B7E05"/>
    <w:rsid w:val="006C223B"/>
    <w:rsid w:val="006C4333"/>
    <w:rsid w:val="006C5461"/>
    <w:rsid w:val="006D056D"/>
    <w:rsid w:val="006D0A98"/>
    <w:rsid w:val="006D0C1B"/>
    <w:rsid w:val="006D2536"/>
    <w:rsid w:val="006D2BC6"/>
    <w:rsid w:val="006D3FAE"/>
    <w:rsid w:val="006D4600"/>
    <w:rsid w:val="006E0A2C"/>
    <w:rsid w:val="006E1BC8"/>
    <w:rsid w:val="006E202B"/>
    <w:rsid w:val="006E57B5"/>
    <w:rsid w:val="006E5F87"/>
    <w:rsid w:val="006F3194"/>
    <w:rsid w:val="006F55FE"/>
    <w:rsid w:val="00702FA0"/>
    <w:rsid w:val="00703E08"/>
    <w:rsid w:val="007049F4"/>
    <w:rsid w:val="00715D39"/>
    <w:rsid w:val="007165CF"/>
    <w:rsid w:val="00724218"/>
    <w:rsid w:val="00724803"/>
    <w:rsid w:val="007253D6"/>
    <w:rsid w:val="0073441C"/>
    <w:rsid w:val="007345A0"/>
    <w:rsid w:val="00735508"/>
    <w:rsid w:val="00737E65"/>
    <w:rsid w:val="0074030A"/>
    <w:rsid w:val="007409A3"/>
    <w:rsid w:val="00741439"/>
    <w:rsid w:val="007440D4"/>
    <w:rsid w:val="00751CB3"/>
    <w:rsid w:val="007575A8"/>
    <w:rsid w:val="00762043"/>
    <w:rsid w:val="00762249"/>
    <w:rsid w:val="007633C2"/>
    <w:rsid w:val="00765A47"/>
    <w:rsid w:val="00766DDA"/>
    <w:rsid w:val="00770E82"/>
    <w:rsid w:val="00771A8F"/>
    <w:rsid w:val="00772E94"/>
    <w:rsid w:val="00777D15"/>
    <w:rsid w:val="007819F5"/>
    <w:rsid w:val="007822F5"/>
    <w:rsid w:val="00782B12"/>
    <w:rsid w:val="00782F1A"/>
    <w:rsid w:val="00783F25"/>
    <w:rsid w:val="007911CD"/>
    <w:rsid w:val="00794F66"/>
    <w:rsid w:val="00795F08"/>
    <w:rsid w:val="007A09C6"/>
    <w:rsid w:val="007A1322"/>
    <w:rsid w:val="007A30E8"/>
    <w:rsid w:val="007A4033"/>
    <w:rsid w:val="007A5E1C"/>
    <w:rsid w:val="007B028B"/>
    <w:rsid w:val="007B12DF"/>
    <w:rsid w:val="007B1D71"/>
    <w:rsid w:val="007B587C"/>
    <w:rsid w:val="007B7BF7"/>
    <w:rsid w:val="007C00D0"/>
    <w:rsid w:val="007C102A"/>
    <w:rsid w:val="007C2186"/>
    <w:rsid w:val="007C31A2"/>
    <w:rsid w:val="007C55DE"/>
    <w:rsid w:val="007C623E"/>
    <w:rsid w:val="007C7851"/>
    <w:rsid w:val="007D185B"/>
    <w:rsid w:val="007D31BB"/>
    <w:rsid w:val="007D4AA4"/>
    <w:rsid w:val="007D6B43"/>
    <w:rsid w:val="007E0E95"/>
    <w:rsid w:val="007E30D7"/>
    <w:rsid w:val="007F2233"/>
    <w:rsid w:val="007F521C"/>
    <w:rsid w:val="00800A33"/>
    <w:rsid w:val="0080155A"/>
    <w:rsid w:val="00803A41"/>
    <w:rsid w:val="00804C17"/>
    <w:rsid w:val="008053BA"/>
    <w:rsid w:val="0080579E"/>
    <w:rsid w:val="0080694B"/>
    <w:rsid w:val="008104F5"/>
    <w:rsid w:val="0081078E"/>
    <w:rsid w:val="00810AB6"/>
    <w:rsid w:val="0081779C"/>
    <w:rsid w:val="00827E25"/>
    <w:rsid w:val="00831D0D"/>
    <w:rsid w:val="00832057"/>
    <w:rsid w:val="00832DEE"/>
    <w:rsid w:val="00833D4F"/>
    <w:rsid w:val="0083531E"/>
    <w:rsid w:val="00835B98"/>
    <w:rsid w:val="00840713"/>
    <w:rsid w:val="00846CDB"/>
    <w:rsid w:val="00854B9D"/>
    <w:rsid w:val="00855A8A"/>
    <w:rsid w:val="008575ED"/>
    <w:rsid w:val="00865000"/>
    <w:rsid w:val="00865BDB"/>
    <w:rsid w:val="00865C89"/>
    <w:rsid w:val="00866192"/>
    <w:rsid w:val="0086672C"/>
    <w:rsid w:val="008675E4"/>
    <w:rsid w:val="00867E9D"/>
    <w:rsid w:val="00872795"/>
    <w:rsid w:val="00887BD2"/>
    <w:rsid w:val="008936D4"/>
    <w:rsid w:val="008A2EC5"/>
    <w:rsid w:val="008B19AF"/>
    <w:rsid w:val="008B2CF4"/>
    <w:rsid w:val="008B2E08"/>
    <w:rsid w:val="008B77F5"/>
    <w:rsid w:val="008C0279"/>
    <w:rsid w:val="008C1276"/>
    <w:rsid w:val="008C1F5D"/>
    <w:rsid w:val="008C3877"/>
    <w:rsid w:val="008C44D0"/>
    <w:rsid w:val="008C6537"/>
    <w:rsid w:val="008C7C6D"/>
    <w:rsid w:val="008C7F68"/>
    <w:rsid w:val="008D68F9"/>
    <w:rsid w:val="008E380C"/>
    <w:rsid w:val="008E3FE6"/>
    <w:rsid w:val="008E405A"/>
    <w:rsid w:val="008F0E45"/>
    <w:rsid w:val="008F0F67"/>
    <w:rsid w:val="008F1337"/>
    <w:rsid w:val="008F25D2"/>
    <w:rsid w:val="008F50EC"/>
    <w:rsid w:val="008F587A"/>
    <w:rsid w:val="008F7904"/>
    <w:rsid w:val="0090054C"/>
    <w:rsid w:val="00900565"/>
    <w:rsid w:val="009010F8"/>
    <w:rsid w:val="009013BE"/>
    <w:rsid w:val="00911626"/>
    <w:rsid w:val="009134CA"/>
    <w:rsid w:val="00914CC6"/>
    <w:rsid w:val="00922421"/>
    <w:rsid w:val="00923BCE"/>
    <w:rsid w:val="00925AA2"/>
    <w:rsid w:val="0092751F"/>
    <w:rsid w:val="00932067"/>
    <w:rsid w:val="0093594A"/>
    <w:rsid w:val="0094143E"/>
    <w:rsid w:val="009431D1"/>
    <w:rsid w:val="00943D70"/>
    <w:rsid w:val="009451C4"/>
    <w:rsid w:val="00950F0A"/>
    <w:rsid w:val="00954B07"/>
    <w:rsid w:val="00955D73"/>
    <w:rsid w:val="0096512C"/>
    <w:rsid w:val="0096540A"/>
    <w:rsid w:val="00965711"/>
    <w:rsid w:val="00970AEA"/>
    <w:rsid w:val="00971A1F"/>
    <w:rsid w:val="00984460"/>
    <w:rsid w:val="0099479E"/>
    <w:rsid w:val="009A13B6"/>
    <w:rsid w:val="009A3AA4"/>
    <w:rsid w:val="009A67BF"/>
    <w:rsid w:val="009B3E28"/>
    <w:rsid w:val="009B639F"/>
    <w:rsid w:val="009C0F3A"/>
    <w:rsid w:val="009C5D2A"/>
    <w:rsid w:val="009D57F4"/>
    <w:rsid w:val="009E083D"/>
    <w:rsid w:val="009E225F"/>
    <w:rsid w:val="009E442F"/>
    <w:rsid w:val="009E573D"/>
    <w:rsid w:val="009E7F98"/>
    <w:rsid w:val="009F10D5"/>
    <w:rsid w:val="009F13BC"/>
    <w:rsid w:val="009F5151"/>
    <w:rsid w:val="009F6E65"/>
    <w:rsid w:val="009F74CF"/>
    <w:rsid w:val="00A02252"/>
    <w:rsid w:val="00A03931"/>
    <w:rsid w:val="00A06700"/>
    <w:rsid w:val="00A10636"/>
    <w:rsid w:val="00A10B40"/>
    <w:rsid w:val="00A331E7"/>
    <w:rsid w:val="00A34169"/>
    <w:rsid w:val="00A37D9B"/>
    <w:rsid w:val="00A408D8"/>
    <w:rsid w:val="00A40BAC"/>
    <w:rsid w:val="00A41C3C"/>
    <w:rsid w:val="00A42450"/>
    <w:rsid w:val="00A4725A"/>
    <w:rsid w:val="00A47BEA"/>
    <w:rsid w:val="00A5060F"/>
    <w:rsid w:val="00A52113"/>
    <w:rsid w:val="00A56E11"/>
    <w:rsid w:val="00A619BD"/>
    <w:rsid w:val="00A628DC"/>
    <w:rsid w:val="00A641CA"/>
    <w:rsid w:val="00A66967"/>
    <w:rsid w:val="00A676E6"/>
    <w:rsid w:val="00A71B0D"/>
    <w:rsid w:val="00A73C50"/>
    <w:rsid w:val="00A757CB"/>
    <w:rsid w:val="00A76984"/>
    <w:rsid w:val="00A8076A"/>
    <w:rsid w:val="00A8523F"/>
    <w:rsid w:val="00A948D7"/>
    <w:rsid w:val="00A96B45"/>
    <w:rsid w:val="00A97EF6"/>
    <w:rsid w:val="00AA0A87"/>
    <w:rsid w:val="00AA75EE"/>
    <w:rsid w:val="00AA7B1E"/>
    <w:rsid w:val="00AB0571"/>
    <w:rsid w:val="00AB111E"/>
    <w:rsid w:val="00AB2710"/>
    <w:rsid w:val="00AB46B5"/>
    <w:rsid w:val="00AC555A"/>
    <w:rsid w:val="00AD0275"/>
    <w:rsid w:val="00AD0CC5"/>
    <w:rsid w:val="00AD184B"/>
    <w:rsid w:val="00AD43E8"/>
    <w:rsid w:val="00AE02E6"/>
    <w:rsid w:val="00AE26EB"/>
    <w:rsid w:val="00AE65AF"/>
    <w:rsid w:val="00AF19B6"/>
    <w:rsid w:val="00AF3CC3"/>
    <w:rsid w:val="00B01687"/>
    <w:rsid w:val="00B03727"/>
    <w:rsid w:val="00B0566D"/>
    <w:rsid w:val="00B108D9"/>
    <w:rsid w:val="00B132D1"/>
    <w:rsid w:val="00B1488D"/>
    <w:rsid w:val="00B15478"/>
    <w:rsid w:val="00B174B1"/>
    <w:rsid w:val="00B24175"/>
    <w:rsid w:val="00B25070"/>
    <w:rsid w:val="00B35BD9"/>
    <w:rsid w:val="00B36ABF"/>
    <w:rsid w:val="00B37DE8"/>
    <w:rsid w:val="00B43898"/>
    <w:rsid w:val="00B44BA5"/>
    <w:rsid w:val="00B47D70"/>
    <w:rsid w:val="00B5608D"/>
    <w:rsid w:val="00B60575"/>
    <w:rsid w:val="00B65BED"/>
    <w:rsid w:val="00B7123D"/>
    <w:rsid w:val="00B7613B"/>
    <w:rsid w:val="00B76B84"/>
    <w:rsid w:val="00B77952"/>
    <w:rsid w:val="00B81BDA"/>
    <w:rsid w:val="00B82F1A"/>
    <w:rsid w:val="00B84125"/>
    <w:rsid w:val="00B928E7"/>
    <w:rsid w:val="00B961F6"/>
    <w:rsid w:val="00B964DA"/>
    <w:rsid w:val="00BA11A9"/>
    <w:rsid w:val="00BA5F7E"/>
    <w:rsid w:val="00BB3033"/>
    <w:rsid w:val="00BB7F2F"/>
    <w:rsid w:val="00BC736E"/>
    <w:rsid w:val="00BC77DD"/>
    <w:rsid w:val="00BC7E76"/>
    <w:rsid w:val="00BC7F25"/>
    <w:rsid w:val="00BD3902"/>
    <w:rsid w:val="00BD39D9"/>
    <w:rsid w:val="00BD773B"/>
    <w:rsid w:val="00BE3630"/>
    <w:rsid w:val="00BE472F"/>
    <w:rsid w:val="00BE52D4"/>
    <w:rsid w:val="00BE5513"/>
    <w:rsid w:val="00BE7500"/>
    <w:rsid w:val="00BF1235"/>
    <w:rsid w:val="00BF12F6"/>
    <w:rsid w:val="00C00765"/>
    <w:rsid w:val="00C056CB"/>
    <w:rsid w:val="00C10464"/>
    <w:rsid w:val="00C119C2"/>
    <w:rsid w:val="00C124D7"/>
    <w:rsid w:val="00C15758"/>
    <w:rsid w:val="00C15D88"/>
    <w:rsid w:val="00C20AB4"/>
    <w:rsid w:val="00C2141D"/>
    <w:rsid w:val="00C21B54"/>
    <w:rsid w:val="00C21F88"/>
    <w:rsid w:val="00C23261"/>
    <w:rsid w:val="00C27E02"/>
    <w:rsid w:val="00C32E69"/>
    <w:rsid w:val="00C376D8"/>
    <w:rsid w:val="00C40967"/>
    <w:rsid w:val="00C42C64"/>
    <w:rsid w:val="00C4400C"/>
    <w:rsid w:val="00C453DB"/>
    <w:rsid w:val="00C5351F"/>
    <w:rsid w:val="00C600E2"/>
    <w:rsid w:val="00C62181"/>
    <w:rsid w:val="00C6374B"/>
    <w:rsid w:val="00C63D43"/>
    <w:rsid w:val="00C73B65"/>
    <w:rsid w:val="00C74134"/>
    <w:rsid w:val="00C74E89"/>
    <w:rsid w:val="00C823B1"/>
    <w:rsid w:val="00C85A4A"/>
    <w:rsid w:val="00C900F8"/>
    <w:rsid w:val="00C90D68"/>
    <w:rsid w:val="00C93D19"/>
    <w:rsid w:val="00CA271E"/>
    <w:rsid w:val="00CA30D5"/>
    <w:rsid w:val="00CA56F2"/>
    <w:rsid w:val="00CB1488"/>
    <w:rsid w:val="00CB36F4"/>
    <w:rsid w:val="00CB434B"/>
    <w:rsid w:val="00CB7414"/>
    <w:rsid w:val="00CC01A9"/>
    <w:rsid w:val="00CC5C4F"/>
    <w:rsid w:val="00CC6894"/>
    <w:rsid w:val="00CD4888"/>
    <w:rsid w:val="00CD5933"/>
    <w:rsid w:val="00CE19C1"/>
    <w:rsid w:val="00CF03DD"/>
    <w:rsid w:val="00CF364B"/>
    <w:rsid w:val="00CF3D81"/>
    <w:rsid w:val="00CF4043"/>
    <w:rsid w:val="00D01CFE"/>
    <w:rsid w:val="00D0530B"/>
    <w:rsid w:val="00D0572E"/>
    <w:rsid w:val="00D07C4B"/>
    <w:rsid w:val="00D1512E"/>
    <w:rsid w:val="00D201C9"/>
    <w:rsid w:val="00D225D8"/>
    <w:rsid w:val="00D2503C"/>
    <w:rsid w:val="00D30983"/>
    <w:rsid w:val="00D33A2E"/>
    <w:rsid w:val="00D34954"/>
    <w:rsid w:val="00D351B8"/>
    <w:rsid w:val="00D364CA"/>
    <w:rsid w:val="00D367F2"/>
    <w:rsid w:val="00D40AF3"/>
    <w:rsid w:val="00D41D0D"/>
    <w:rsid w:val="00D4214D"/>
    <w:rsid w:val="00D4315E"/>
    <w:rsid w:val="00D511A1"/>
    <w:rsid w:val="00D548AB"/>
    <w:rsid w:val="00D54BA9"/>
    <w:rsid w:val="00D56CF9"/>
    <w:rsid w:val="00D608D5"/>
    <w:rsid w:val="00D651CA"/>
    <w:rsid w:val="00D664F6"/>
    <w:rsid w:val="00D75155"/>
    <w:rsid w:val="00D76C8C"/>
    <w:rsid w:val="00D81C27"/>
    <w:rsid w:val="00D83048"/>
    <w:rsid w:val="00D872BF"/>
    <w:rsid w:val="00D90F13"/>
    <w:rsid w:val="00D9348B"/>
    <w:rsid w:val="00D93B05"/>
    <w:rsid w:val="00D97563"/>
    <w:rsid w:val="00DA0C50"/>
    <w:rsid w:val="00DA4C87"/>
    <w:rsid w:val="00DA6C03"/>
    <w:rsid w:val="00DB2A31"/>
    <w:rsid w:val="00DB330E"/>
    <w:rsid w:val="00DB4CF4"/>
    <w:rsid w:val="00DB4D4F"/>
    <w:rsid w:val="00DB5613"/>
    <w:rsid w:val="00DB7FA6"/>
    <w:rsid w:val="00DD01CD"/>
    <w:rsid w:val="00DD20DA"/>
    <w:rsid w:val="00DD366F"/>
    <w:rsid w:val="00DE01F6"/>
    <w:rsid w:val="00DE15BD"/>
    <w:rsid w:val="00DE1F1F"/>
    <w:rsid w:val="00DE1FAA"/>
    <w:rsid w:val="00DE20B8"/>
    <w:rsid w:val="00DE2998"/>
    <w:rsid w:val="00DE3547"/>
    <w:rsid w:val="00DE4223"/>
    <w:rsid w:val="00DE6B60"/>
    <w:rsid w:val="00DE74F0"/>
    <w:rsid w:val="00DF14FA"/>
    <w:rsid w:val="00DF1B90"/>
    <w:rsid w:val="00DF21C4"/>
    <w:rsid w:val="00E06D10"/>
    <w:rsid w:val="00E07624"/>
    <w:rsid w:val="00E10FE9"/>
    <w:rsid w:val="00E11E79"/>
    <w:rsid w:val="00E20138"/>
    <w:rsid w:val="00E20458"/>
    <w:rsid w:val="00E22F51"/>
    <w:rsid w:val="00E247F2"/>
    <w:rsid w:val="00E25503"/>
    <w:rsid w:val="00E2658A"/>
    <w:rsid w:val="00E3344E"/>
    <w:rsid w:val="00E418EE"/>
    <w:rsid w:val="00E42A9C"/>
    <w:rsid w:val="00E47019"/>
    <w:rsid w:val="00E52664"/>
    <w:rsid w:val="00E5454D"/>
    <w:rsid w:val="00E54B98"/>
    <w:rsid w:val="00E55420"/>
    <w:rsid w:val="00E56487"/>
    <w:rsid w:val="00E62277"/>
    <w:rsid w:val="00E702D6"/>
    <w:rsid w:val="00E81646"/>
    <w:rsid w:val="00E83F08"/>
    <w:rsid w:val="00E853F3"/>
    <w:rsid w:val="00E87F19"/>
    <w:rsid w:val="00EA71DA"/>
    <w:rsid w:val="00EA7212"/>
    <w:rsid w:val="00EC050B"/>
    <w:rsid w:val="00EC2491"/>
    <w:rsid w:val="00EC455D"/>
    <w:rsid w:val="00EC7ADE"/>
    <w:rsid w:val="00ED2C42"/>
    <w:rsid w:val="00EE3E10"/>
    <w:rsid w:val="00EE75F1"/>
    <w:rsid w:val="00EF0E0D"/>
    <w:rsid w:val="00EF3B2B"/>
    <w:rsid w:val="00EF3F0D"/>
    <w:rsid w:val="00EF5F99"/>
    <w:rsid w:val="00EF6E50"/>
    <w:rsid w:val="00F006B3"/>
    <w:rsid w:val="00F00A67"/>
    <w:rsid w:val="00F00EE9"/>
    <w:rsid w:val="00F04E69"/>
    <w:rsid w:val="00F07042"/>
    <w:rsid w:val="00F14FFC"/>
    <w:rsid w:val="00F24CC6"/>
    <w:rsid w:val="00F30FA7"/>
    <w:rsid w:val="00F332EE"/>
    <w:rsid w:val="00F336E2"/>
    <w:rsid w:val="00F33CE0"/>
    <w:rsid w:val="00F379DD"/>
    <w:rsid w:val="00F40230"/>
    <w:rsid w:val="00F44640"/>
    <w:rsid w:val="00F47244"/>
    <w:rsid w:val="00F511A7"/>
    <w:rsid w:val="00F51DB1"/>
    <w:rsid w:val="00F56FC5"/>
    <w:rsid w:val="00F61E94"/>
    <w:rsid w:val="00F6348A"/>
    <w:rsid w:val="00F64EF0"/>
    <w:rsid w:val="00F660F9"/>
    <w:rsid w:val="00F82417"/>
    <w:rsid w:val="00F83362"/>
    <w:rsid w:val="00F849A7"/>
    <w:rsid w:val="00F902E2"/>
    <w:rsid w:val="00F90365"/>
    <w:rsid w:val="00F92EBA"/>
    <w:rsid w:val="00FA30DD"/>
    <w:rsid w:val="00FA56E4"/>
    <w:rsid w:val="00FA5F45"/>
    <w:rsid w:val="00FA7522"/>
    <w:rsid w:val="00FB2D36"/>
    <w:rsid w:val="00FB63D8"/>
    <w:rsid w:val="00FB71DC"/>
    <w:rsid w:val="00FC2C59"/>
    <w:rsid w:val="00FC4905"/>
    <w:rsid w:val="00FC6104"/>
    <w:rsid w:val="00FC71B0"/>
    <w:rsid w:val="00FD178C"/>
    <w:rsid w:val="00FD3CFA"/>
    <w:rsid w:val="00FD4854"/>
    <w:rsid w:val="00FD6935"/>
    <w:rsid w:val="00FD7EE6"/>
    <w:rsid w:val="00FE274B"/>
    <w:rsid w:val="00FF22D6"/>
    <w:rsid w:val="00FF38BD"/>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rules v:ext="edit">
        <o:r id="V:Rule8" type="connector" idref="#AutoShape 35"/>
        <o:r id="V:Rule9" type="connector" idref="#AutoShape 8"/>
        <o:r id="V:Rule10" type="connector" idref="#AutoShape 15">
          <o:proxy end="" idref="#AutoShape 12" connectloc="1"/>
        </o:r>
        <o:r id="V:Rule11" type="connector" idref="#AutoShape 16">
          <o:proxy end="" idref="#AutoShape 10" connectloc="1"/>
        </o:r>
        <o:r id="V:Rule12" type="connector" idref="#AutoShape 31"/>
        <o:r id="V:Rule13" type="connector" idref="#AutoShape 30"/>
        <o:r id="V:Rule14" type="connector" idref="#AutoShape 9"/>
      </o:rules>
    </o:shapelayout>
  </w:shapeDefaults>
  <w:decimalSymbol w:val="."/>
  <w:listSeparator w:val=","/>
  <w14:docId w14:val="489EEBFC"/>
  <w15:chartTrackingRefBased/>
  <w15:docId w15:val="{5A4C457B-7D69-4BB1-9C00-308328CAA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D76C8C"/>
    <w:rPr>
      <w:sz w:val="22"/>
      <w:szCs w:val="22"/>
    </w:rPr>
  </w:style>
  <w:style w:type="paragraph" w:styleId="Heading1">
    <w:name w:val="heading 1"/>
    <w:basedOn w:val="Normal"/>
    <w:next w:val="Normal"/>
    <w:link w:val="Heading1Char"/>
    <w:qFormat/>
    <w:rsid w:val="00543478"/>
    <w:pPr>
      <w:keepNext/>
      <w:pBdr>
        <w:bottom w:val="single" w:sz="4" w:space="4" w:color="365F91"/>
      </w:pBdr>
      <w:spacing w:after="480"/>
      <w:outlineLvl w:val="0"/>
    </w:pPr>
    <w:rPr>
      <w:bCs/>
      <w:color w:val="365F91"/>
      <w:sz w:val="48"/>
    </w:rPr>
  </w:style>
  <w:style w:type="paragraph" w:styleId="Heading2">
    <w:name w:val="heading 2"/>
    <w:basedOn w:val="Normal"/>
    <w:next w:val="BodyText"/>
    <w:link w:val="Heading2Char"/>
    <w:qFormat/>
    <w:rsid w:val="005E77C4"/>
    <w:pPr>
      <w:keepNext/>
      <w:spacing w:before="360"/>
      <w:ind w:left="851" w:hanging="851"/>
      <w:outlineLvl w:val="1"/>
    </w:pPr>
    <w:rPr>
      <w:b/>
      <w:color w:val="365F91"/>
      <w:sz w:val="32"/>
    </w:rPr>
  </w:style>
  <w:style w:type="paragraph" w:styleId="Heading3">
    <w:name w:val="heading 3"/>
    <w:basedOn w:val="Normal"/>
    <w:next w:val="BodyText"/>
    <w:link w:val="Heading3Char"/>
    <w:qFormat/>
    <w:rsid w:val="005E77C4"/>
    <w:pPr>
      <w:keepNext/>
      <w:spacing w:before="360"/>
      <w:ind w:left="851" w:hanging="851"/>
      <w:outlineLvl w:val="2"/>
    </w:pPr>
    <w:rPr>
      <w:b/>
      <w:color w:val="365F91"/>
      <w:sz w:val="26"/>
    </w:rPr>
  </w:style>
  <w:style w:type="paragraph" w:styleId="Heading4">
    <w:name w:val="heading 4"/>
    <w:basedOn w:val="Normal"/>
    <w:next w:val="Normal"/>
    <w:link w:val="Heading4Char"/>
    <w:qFormat/>
    <w:rsid w:val="00865BDB"/>
    <w:pPr>
      <w:keepNext/>
      <w:spacing w:before="240"/>
      <w:outlineLvl w:val="3"/>
    </w:pPr>
    <w:rPr>
      <w:b/>
      <w:color w:val="365F91"/>
    </w:rPr>
  </w:style>
  <w:style w:type="paragraph" w:styleId="Heading5">
    <w:name w:val="heading 5"/>
    <w:basedOn w:val="Normal"/>
    <w:next w:val="Normal"/>
    <w:link w:val="Heading5Char"/>
    <w:qFormat/>
    <w:rsid w:val="0032349D"/>
    <w:pPr>
      <w:keepNext/>
      <w:spacing w:before="240"/>
      <w:outlineLvl w:val="4"/>
    </w:pPr>
    <w:rPr>
      <w:bCs/>
      <w:i/>
      <w:iCs/>
      <w:color w:val="365F91"/>
      <w:szCs w:val="26"/>
    </w:rPr>
  </w:style>
  <w:style w:type="paragraph" w:styleId="Heading6">
    <w:name w:val="heading 6"/>
    <w:basedOn w:val="Normal"/>
    <w:next w:val="Normal"/>
    <w:link w:val="Heading6Char"/>
    <w:qFormat/>
    <w:rsid w:val="00E20138"/>
    <w:pPr>
      <w:keepNext/>
      <w:spacing w:before="240"/>
      <w:outlineLvl w:val="5"/>
    </w:pPr>
    <w:rPr>
      <w:b/>
      <w:iCs/>
      <w:lang w:eastAsia="en-US"/>
    </w:rPr>
  </w:style>
  <w:style w:type="paragraph" w:styleId="Heading7">
    <w:name w:val="heading 7"/>
    <w:aliases w:val=" Char15,Char15"/>
    <w:basedOn w:val="Normal"/>
    <w:next w:val="Normal"/>
    <w:link w:val="Heading7Char"/>
    <w:semiHidden/>
    <w:qFormat/>
    <w:rsid w:val="00E20138"/>
    <w:pPr>
      <w:keepNext/>
      <w:keepLines/>
      <w:spacing w:before="200"/>
      <w:outlineLvl w:val="6"/>
    </w:pPr>
    <w:rPr>
      <w:rFonts w:ascii="Arial" w:hAnsi="Arial"/>
      <w:i/>
      <w:iCs/>
      <w:color w:val="404040"/>
      <w:lang w:eastAsia="en-US"/>
    </w:rPr>
  </w:style>
  <w:style w:type="paragraph" w:styleId="Heading8">
    <w:name w:val="heading 8"/>
    <w:aliases w:val=" Char14,Char14"/>
    <w:basedOn w:val="Normal"/>
    <w:next w:val="Normal"/>
    <w:link w:val="Heading8Char"/>
    <w:semiHidden/>
    <w:qFormat/>
    <w:rsid w:val="00E20138"/>
    <w:pPr>
      <w:keepNext/>
      <w:keepLines/>
      <w:spacing w:before="200"/>
      <w:outlineLvl w:val="7"/>
    </w:pPr>
    <w:rPr>
      <w:rFonts w:ascii="Arial" w:hAnsi="Arial"/>
      <w:color w:val="4F81BD"/>
      <w:sz w:val="20"/>
      <w:szCs w:val="20"/>
      <w:lang w:eastAsia="en-US"/>
    </w:rPr>
  </w:style>
  <w:style w:type="paragraph" w:styleId="Heading9">
    <w:name w:val="heading 9"/>
    <w:aliases w:val=" Char13,Char13"/>
    <w:basedOn w:val="Normal"/>
    <w:next w:val="Normal"/>
    <w:link w:val="Heading9Char"/>
    <w:semiHidden/>
    <w:qFormat/>
    <w:rsid w:val="00E20138"/>
    <w:pPr>
      <w:keepNext/>
      <w:keepLines/>
      <w:spacing w:before="200"/>
      <w:outlineLvl w:val="8"/>
    </w:pPr>
    <w:rPr>
      <w:rFonts w:ascii="Arial" w:hAnsi="Arial"/>
      <w:i/>
      <w:iCs/>
      <w:color w:val="40404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31E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772E94"/>
    <w:pPr>
      <w:jc w:val="center"/>
    </w:pPr>
    <w:rPr>
      <w:rFonts w:ascii="Arial" w:hAnsi="Arial"/>
      <w:sz w:val="16"/>
    </w:rPr>
  </w:style>
  <w:style w:type="paragraph" w:styleId="Footer">
    <w:name w:val="footer"/>
    <w:aliases w:val=" Char10,Char10"/>
    <w:basedOn w:val="Normal"/>
    <w:link w:val="FooterChar"/>
    <w:semiHidden/>
    <w:rsid w:val="00772E94"/>
    <w:rPr>
      <w:rFonts w:ascii="Arial" w:hAnsi="Arial"/>
      <w:sz w:val="16"/>
    </w:rPr>
  </w:style>
  <w:style w:type="paragraph" w:customStyle="1" w:styleId="Blockquote">
    <w:name w:val="Blockquote"/>
    <w:basedOn w:val="Normal"/>
    <w:semiHidden/>
    <w:rsid w:val="00772E94"/>
    <w:pPr>
      <w:ind w:left="567" w:right="567"/>
    </w:pPr>
    <w:rPr>
      <w:i/>
      <w:sz w:val="20"/>
    </w:rPr>
  </w:style>
  <w:style w:type="paragraph" w:styleId="BodyText">
    <w:name w:val="Body Text"/>
    <w:basedOn w:val="Normal"/>
    <w:link w:val="BodyTextChar"/>
    <w:qFormat/>
    <w:rsid w:val="00CE19C1"/>
    <w:pPr>
      <w:spacing w:before="120" w:after="120"/>
    </w:pPr>
  </w:style>
  <w:style w:type="paragraph" w:customStyle="1" w:styleId="Box">
    <w:name w:val="Box"/>
    <w:basedOn w:val="Normal"/>
    <w:next w:val="Normal"/>
    <w:uiPriority w:val="2"/>
    <w:rsid w:val="000576EC"/>
    <w:pPr>
      <w:pBdr>
        <w:top w:val="single" w:sz="6" w:space="15" w:color="auto"/>
        <w:left w:val="single" w:sz="6" w:space="15" w:color="auto"/>
        <w:bottom w:val="single" w:sz="6" w:space="15" w:color="auto"/>
        <w:right w:val="single" w:sz="6" w:space="15" w:color="auto"/>
      </w:pBdr>
      <w:ind w:right="284"/>
    </w:pPr>
    <w:rPr>
      <w:sz w:val="20"/>
    </w:rPr>
  </w:style>
  <w:style w:type="paragraph" w:customStyle="1" w:styleId="BoxBullet">
    <w:name w:val="Box Bullet"/>
    <w:basedOn w:val="Box"/>
    <w:uiPriority w:val="2"/>
    <w:rsid w:val="00855A8A"/>
    <w:pPr>
      <w:numPr>
        <w:numId w:val="1"/>
      </w:numPr>
      <w:tabs>
        <w:tab w:val="clear" w:pos="851"/>
        <w:tab w:val="left" w:pos="567"/>
      </w:tabs>
      <w:spacing w:before="120"/>
      <w:ind w:left="567"/>
    </w:pPr>
  </w:style>
  <w:style w:type="paragraph" w:customStyle="1" w:styleId="BoxHeading">
    <w:name w:val="BoxHeading"/>
    <w:basedOn w:val="Box"/>
    <w:next w:val="Box"/>
    <w:uiPriority w:val="2"/>
    <w:rsid w:val="00153F5A"/>
    <w:pPr>
      <w:spacing w:after="240"/>
    </w:pPr>
    <w:rPr>
      <w:b/>
      <w:sz w:val="22"/>
    </w:rPr>
  </w:style>
  <w:style w:type="paragraph" w:customStyle="1" w:styleId="Bullet">
    <w:name w:val="Bullet"/>
    <w:basedOn w:val="Normal"/>
    <w:link w:val="BulletChar"/>
    <w:qFormat/>
    <w:rsid w:val="00C42C64"/>
    <w:pPr>
      <w:numPr>
        <w:numId w:val="3"/>
      </w:numPr>
      <w:tabs>
        <w:tab w:val="left" w:pos="397"/>
      </w:tabs>
      <w:spacing w:after="120"/>
    </w:pPr>
  </w:style>
  <w:style w:type="paragraph" w:customStyle="1" w:styleId="Heading">
    <w:name w:val="Heading"/>
    <w:basedOn w:val="Heading1"/>
    <w:next w:val="Normal"/>
    <w:rsid w:val="00A34169"/>
    <w:pPr>
      <w:outlineLvl w:val="9"/>
    </w:pPr>
  </w:style>
  <w:style w:type="paragraph" w:customStyle="1" w:styleId="ContentsHeading">
    <w:name w:val="ContentsHeading"/>
    <w:basedOn w:val="Heading"/>
    <w:next w:val="BodyText"/>
    <w:uiPriority w:val="2"/>
    <w:semiHidden/>
    <w:rsid w:val="00543478"/>
    <w:rPr>
      <w:b/>
    </w:rPr>
  </w:style>
  <w:style w:type="paragraph" w:customStyle="1" w:styleId="Sub-bullet">
    <w:name w:val="Sub-bullet"/>
    <w:basedOn w:val="Normal"/>
    <w:uiPriority w:val="1"/>
    <w:rsid w:val="00C42C64"/>
    <w:pPr>
      <w:numPr>
        <w:numId w:val="4"/>
      </w:numPr>
      <w:tabs>
        <w:tab w:val="left" w:pos="794"/>
      </w:tabs>
      <w:spacing w:after="120"/>
    </w:pPr>
  </w:style>
  <w:style w:type="paragraph" w:customStyle="1" w:styleId="EvenFooter">
    <w:name w:val="Even Footer"/>
    <w:basedOn w:val="Normal"/>
    <w:next w:val="Normal"/>
    <w:rsid w:val="00A34169"/>
    <w:pPr>
      <w:pBdr>
        <w:top w:val="single" w:sz="4" w:space="4" w:color="auto"/>
      </w:pBdr>
      <w:tabs>
        <w:tab w:val="left" w:pos="851"/>
      </w:tabs>
    </w:pPr>
    <w:rPr>
      <w:sz w:val="16"/>
    </w:rPr>
  </w:style>
  <w:style w:type="paragraph" w:customStyle="1" w:styleId="Figure">
    <w:name w:val="Figure"/>
    <w:basedOn w:val="Normal"/>
    <w:next w:val="BodyText"/>
    <w:link w:val="FigureChar"/>
    <w:qFormat/>
    <w:rsid w:val="00854B9D"/>
    <w:pPr>
      <w:keepNext/>
      <w:spacing w:before="120" w:after="120"/>
      <w:ind w:left="1247" w:hanging="1247"/>
    </w:pPr>
    <w:rPr>
      <w:b/>
      <w:sz w:val="18"/>
    </w:rPr>
  </w:style>
  <w:style w:type="character" w:styleId="FootnoteReference">
    <w:name w:val="footnote reference"/>
    <w:uiPriority w:val="99"/>
    <w:rsid w:val="00CE19C1"/>
    <w:rPr>
      <w:rFonts w:ascii="Calibri" w:hAnsi="Calibri"/>
      <w:sz w:val="22"/>
      <w:vertAlign w:val="superscript"/>
    </w:rPr>
  </w:style>
  <w:style w:type="paragraph" w:styleId="FootnoteText">
    <w:name w:val="footnote text"/>
    <w:basedOn w:val="Normal"/>
    <w:link w:val="FootnoteTextChar"/>
    <w:uiPriority w:val="99"/>
    <w:rsid w:val="0032349D"/>
    <w:pPr>
      <w:spacing w:after="60"/>
      <w:ind w:left="284" w:hanging="284"/>
    </w:pPr>
    <w:rPr>
      <w:sz w:val="19"/>
    </w:rPr>
  </w:style>
  <w:style w:type="character" w:styleId="Hyperlink">
    <w:name w:val="Hyperlink"/>
    <w:uiPriority w:val="99"/>
    <w:rsid w:val="00772E94"/>
    <w:rPr>
      <w:color w:val="0000FF"/>
      <w:u w:val="none"/>
    </w:rPr>
  </w:style>
  <w:style w:type="paragraph" w:customStyle="1" w:styleId="Imprint">
    <w:name w:val="Imprint"/>
    <w:basedOn w:val="Normal"/>
    <w:next w:val="Normal"/>
    <w:semiHidden/>
    <w:rsid w:val="00A34169"/>
    <w:pPr>
      <w:spacing w:after="240"/>
      <w:jc w:val="center"/>
    </w:pPr>
  </w:style>
  <w:style w:type="paragraph" w:customStyle="1" w:styleId="Noteundertable">
    <w:name w:val="Note under table"/>
    <w:basedOn w:val="Normal"/>
    <w:next w:val="Normal"/>
    <w:link w:val="NoteundertableChar"/>
    <w:qFormat/>
    <w:rsid w:val="006D3FAE"/>
    <w:pPr>
      <w:tabs>
        <w:tab w:val="left" w:pos="567"/>
      </w:tabs>
      <w:spacing w:before="120" w:after="120"/>
      <w:ind w:left="567" w:hanging="567"/>
    </w:pPr>
    <w:rPr>
      <w:sz w:val="18"/>
    </w:rPr>
  </w:style>
  <w:style w:type="paragraph" w:customStyle="1" w:styleId="OddFooter">
    <w:name w:val="Odd Footer"/>
    <w:basedOn w:val="Normal"/>
    <w:next w:val="Normal"/>
    <w:rsid w:val="00A34169"/>
    <w:pPr>
      <w:pBdr>
        <w:top w:val="single" w:sz="4" w:space="4" w:color="auto"/>
      </w:pBdr>
      <w:tabs>
        <w:tab w:val="right" w:pos="7655"/>
        <w:tab w:val="right" w:pos="8505"/>
      </w:tabs>
    </w:pPr>
    <w:rPr>
      <w:sz w:val="16"/>
    </w:rPr>
  </w:style>
  <w:style w:type="character" w:styleId="PageNumber">
    <w:name w:val="page number"/>
    <w:semiHidden/>
    <w:rsid w:val="00A34169"/>
    <w:rPr>
      <w:rFonts w:ascii="Calibri" w:hAnsi="Calibri"/>
      <w:b/>
      <w:sz w:val="24"/>
    </w:rPr>
  </w:style>
  <w:style w:type="paragraph" w:customStyle="1" w:styleId="References">
    <w:name w:val="References"/>
    <w:basedOn w:val="Normal"/>
    <w:link w:val="ReferencesChar"/>
    <w:qFormat/>
    <w:rsid w:val="00772E94"/>
    <w:pPr>
      <w:spacing w:after="120"/>
    </w:pPr>
    <w:rPr>
      <w:sz w:val="20"/>
    </w:rPr>
  </w:style>
  <w:style w:type="paragraph" w:customStyle="1" w:styleId="Source">
    <w:name w:val="Source"/>
    <w:basedOn w:val="Normal"/>
    <w:next w:val="Normal"/>
    <w:uiPriority w:val="1"/>
    <w:rsid w:val="00CE19C1"/>
    <w:pPr>
      <w:tabs>
        <w:tab w:val="left" w:pos="680"/>
      </w:tabs>
      <w:spacing w:before="120"/>
    </w:pPr>
    <w:rPr>
      <w:sz w:val="16"/>
    </w:rPr>
  </w:style>
  <w:style w:type="paragraph" w:styleId="Title">
    <w:name w:val="Title"/>
    <w:basedOn w:val="Normal"/>
    <w:link w:val="TitleChar"/>
    <w:uiPriority w:val="2"/>
    <w:qFormat/>
    <w:rsid w:val="00A34169"/>
    <w:pPr>
      <w:spacing w:line="360" w:lineRule="auto"/>
      <w:jc w:val="center"/>
    </w:pPr>
    <w:rPr>
      <w:b/>
      <w:sz w:val="48"/>
    </w:rPr>
  </w:style>
  <w:style w:type="paragraph" w:styleId="Subtitle">
    <w:name w:val="Subtitle"/>
    <w:basedOn w:val="Title"/>
    <w:link w:val="SubtitleChar"/>
    <w:qFormat/>
    <w:rsid w:val="00772E94"/>
    <w:pPr>
      <w:spacing w:before="600" w:line="240" w:lineRule="auto"/>
      <w:outlineLvl w:val="1"/>
    </w:pPr>
    <w:rPr>
      <w:sz w:val="36"/>
    </w:rPr>
  </w:style>
  <w:style w:type="paragraph" w:customStyle="1" w:styleId="Table">
    <w:name w:val="Table"/>
    <w:basedOn w:val="Normal"/>
    <w:next w:val="BodyText"/>
    <w:link w:val="TableChar"/>
    <w:rsid w:val="007409A3"/>
    <w:pPr>
      <w:keepNext/>
      <w:spacing w:before="120" w:after="120"/>
      <w:ind w:left="1247" w:hanging="1247"/>
    </w:pPr>
    <w:rPr>
      <w:b/>
      <w:sz w:val="18"/>
    </w:rPr>
  </w:style>
  <w:style w:type="paragraph" w:customStyle="1" w:styleId="TableText">
    <w:name w:val="TableText"/>
    <w:basedOn w:val="Normal"/>
    <w:link w:val="TableTextChar"/>
    <w:qFormat/>
    <w:rsid w:val="00CE19C1"/>
    <w:pPr>
      <w:spacing w:before="60" w:after="60"/>
    </w:pPr>
    <w:rPr>
      <w:sz w:val="16"/>
    </w:rPr>
  </w:style>
  <w:style w:type="paragraph" w:customStyle="1" w:styleId="TableTextBold">
    <w:name w:val="TableText Bold"/>
    <w:basedOn w:val="TableText"/>
    <w:link w:val="TableTextBoldChar"/>
    <w:qFormat/>
    <w:rsid w:val="00F511A7"/>
    <w:rPr>
      <w:b/>
      <w:noProof/>
    </w:rPr>
  </w:style>
  <w:style w:type="paragraph" w:styleId="TOC1">
    <w:name w:val="toc 1"/>
    <w:basedOn w:val="Normal"/>
    <w:next w:val="Normal"/>
    <w:uiPriority w:val="39"/>
    <w:qFormat/>
    <w:rsid w:val="007C31A2"/>
    <w:pPr>
      <w:tabs>
        <w:tab w:val="right" w:pos="8505"/>
      </w:tabs>
      <w:spacing w:before="280"/>
      <w:ind w:left="567" w:right="567" w:hanging="567"/>
    </w:pPr>
    <w:rPr>
      <w:sz w:val="24"/>
    </w:rPr>
  </w:style>
  <w:style w:type="paragraph" w:styleId="TOC2">
    <w:name w:val="toc 2"/>
    <w:basedOn w:val="Normal"/>
    <w:next w:val="Normal"/>
    <w:uiPriority w:val="39"/>
    <w:qFormat/>
    <w:rsid w:val="006529AF"/>
    <w:pPr>
      <w:tabs>
        <w:tab w:val="left" w:pos="1134"/>
        <w:tab w:val="right" w:pos="8505"/>
      </w:tabs>
      <w:spacing w:before="120"/>
      <w:ind w:left="1134" w:right="567" w:hanging="567"/>
    </w:pPr>
    <w:rPr>
      <w:sz w:val="20"/>
    </w:rPr>
  </w:style>
  <w:style w:type="paragraph" w:styleId="TOC3">
    <w:name w:val="toc 3"/>
    <w:basedOn w:val="Normal"/>
    <w:next w:val="Normal"/>
    <w:uiPriority w:val="39"/>
    <w:semiHidden/>
    <w:qFormat/>
    <w:rsid w:val="005C3384"/>
    <w:pPr>
      <w:tabs>
        <w:tab w:val="left" w:pos="1701"/>
        <w:tab w:val="right" w:pos="7938"/>
      </w:tabs>
      <w:spacing w:before="120" w:after="120"/>
      <w:ind w:left="1134"/>
    </w:pPr>
    <w:rPr>
      <w:rFonts w:ascii="Arial" w:hAnsi="Arial"/>
      <w:sz w:val="20"/>
    </w:rPr>
  </w:style>
  <w:style w:type="paragraph" w:styleId="Caption">
    <w:name w:val="caption"/>
    <w:basedOn w:val="Normal"/>
    <w:next w:val="Normal"/>
    <w:qFormat/>
    <w:rsid w:val="00CE19C1"/>
    <w:pPr>
      <w:tabs>
        <w:tab w:val="left" w:pos="851"/>
      </w:tabs>
    </w:pPr>
    <w:rPr>
      <w:bCs/>
      <w:sz w:val="18"/>
    </w:rPr>
  </w:style>
  <w:style w:type="paragraph" w:customStyle="1" w:styleId="TableBullet">
    <w:name w:val="TableBullet"/>
    <w:basedOn w:val="TableText"/>
    <w:next w:val="TableText"/>
    <w:rsid w:val="00546A6A"/>
    <w:pPr>
      <w:numPr>
        <w:numId w:val="2"/>
      </w:numPr>
    </w:pPr>
    <w:rPr>
      <w:szCs w:val="16"/>
    </w:rPr>
  </w:style>
  <w:style w:type="paragraph" w:styleId="TableofFigures">
    <w:name w:val="table of figures"/>
    <w:basedOn w:val="Normal"/>
    <w:next w:val="Normal"/>
    <w:uiPriority w:val="99"/>
    <w:rsid w:val="00FC71B0"/>
    <w:pPr>
      <w:tabs>
        <w:tab w:val="right" w:pos="8505"/>
      </w:tabs>
      <w:spacing w:before="40" w:after="40"/>
      <w:ind w:left="1134" w:right="567" w:hanging="1134"/>
    </w:pPr>
    <w:rPr>
      <w:rFonts w:cs="Calibri"/>
      <w:noProof/>
      <w:sz w:val="20"/>
    </w:rPr>
  </w:style>
  <w:style w:type="paragraph" w:styleId="BalloonText">
    <w:name w:val="Balloon Text"/>
    <w:aliases w:val=" Char6,Char6"/>
    <w:basedOn w:val="Normal"/>
    <w:link w:val="BalloonTextChar"/>
    <w:semiHidden/>
    <w:unhideWhenUsed/>
    <w:rsid w:val="007409A3"/>
    <w:rPr>
      <w:rFonts w:ascii="Segoe UI" w:hAnsi="Segoe UI" w:cs="Segoe UI"/>
      <w:sz w:val="18"/>
      <w:szCs w:val="18"/>
    </w:rPr>
  </w:style>
  <w:style w:type="character" w:customStyle="1" w:styleId="BalloonTextChar">
    <w:name w:val="Balloon Text Char"/>
    <w:aliases w:val=" Char6 Char,Char6 Char"/>
    <w:link w:val="BalloonText"/>
    <w:semiHidden/>
    <w:rsid w:val="007409A3"/>
    <w:rPr>
      <w:rFonts w:ascii="Segoe UI" w:hAnsi="Segoe UI" w:cs="Segoe UI"/>
      <w:sz w:val="18"/>
      <w:szCs w:val="18"/>
    </w:rPr>
  </w:style>
  <w:style w:type="paragraph" w:customStyle="1" w:styleId="Footereven">
    <w:name w:val="Footer even"/>
    <w:basedOn w:val="EvenFooter"/>
    <w:uiPriority w:val="2"/>
    <w:semiHidden/>
    <w:qFormat/>
    <w:rsid w:val="00B928E7"/>
  </w:style>
  <w:style w:type="paragraph" w:customStyle="1" w:styleId="Footerodd">
    <w:name w:val="Footer odd"/>
    <w:basedOn w:val="OddFooter"/>
    <w:uiPriority w:val="2"/>
    <w:semiHidden/>
    <w:qFormat/>
    <w:rsid w:val="00B928E7"/>
    <w:pPr>
      <w:tabs>
        <w:tab w:val="clear" w:pos="7655"/>
        <w:tab w:val="clear" w:pos="8505"/>
        <w:tab w:val="right" w:pos="6804"/>
        <w:tab w:val="right" w:pos="7938"/>
      </w:tabs>
    </w:pPr>
  </w:style>
  <w:style w:type="character" w:customStyle="1" w:styleId="Heading6Char">
    <w:name w:val="Heading 6 Char"/>
    <w:link w:val="Heading6"/>
    <w:rsid w:val="00E20138"/>
    <w:rPr>
      <w:b/>
      <w:iCs/>
      <w:sz w:val="22"/>
      <w:szCs w:val="22"/>
      <w:lang w:eastAsia="en-US"/>
    </w:rPr>
  </w:style>
  <w:style w:type="character" w:customStyle="1" w:styleId="Heading7Char">
    <w:name w:val="Heading 7 Char"/>
    <w:aliases w:val=" Char15 Char,Char15 Char"/>
    <w:link w:val="Heading7"/>
    <w:semiHidden/>
    <w:rsid w:val="00E20138"/>
    <w:rPr>
      <w:rFonts w:ascii="Arial" w:hAnsi="Arial"/>
      <w:i/>
      <w:iCs/>
      <w:color w:val="404040"/>
      <w:sz w:val="22"/>
      <w:szCs w:val="22"/>
      <w:lang w:eastAsia="en-US"/>
    </w:rPr>
  </w:style>
  <w:style w:type="character" w:customStyle="1" w:styleId="Heading8Char">
    <w:name w:val="Heading 8 Char"/>
    <w:aliases w:val=" Char14 Char,Char14 Char"/>
    <w:link w:val="Heading8"/>
    <w:semiHidden/>
    <w:rsid w:val="007C31A2"/>
    <w:rPr>
      <w:rFonts w:ascii="Arial" w:hAnsi="Arial"/>
      <w:color w:val="4F81BD"/>
      <w:lang w:eastAsia="en-US"/>
    </w:rPr>
  </w:style>
  <w:style w:type="character" w:customStyle="1" w:styleId="Heading9Char">
    <w:name w:val="Heading 9 Char"/>
    <w:aliases w:val=" Char13 Char,Char13 Char"/>
    <w:link w:val="Heading9"/>
    <w:semiHidden/>
    <w:rsid w:val="007C31A2"/>
    <w:rPr>
      <w:rFonts w:ascii="Arial" w:hAnsi="Arial"/>
      <w:i/>
      <w:iCs/>
      <w:color w:val="404040"/>
      <w:lang w:eastAsia="en-US"/>
    </w:rPr>
  </w:style>
  <w:style w:type="character" w:customStyle="1" w:styleId="Heading1Char">
    <w:name w:val="Heading 1 Char"/>
    <w:link w:val="Heading1"/>
    <w:rsid w:val="00E20138"/>
    <w:rPr>
      <w:bCs/>
      <w:color w:val="365F91"/>
      <w:sz w:val="48"/>
      <w:szCs w:val="22"/>
    </w:rPr>
  </w:style>
  <w:style w:type="character" w:customStyle="1" w:styleId="Heading2Char">
    <w:name w:val="Heading 2 Char"/>
    <w:link w:val="Heading2"/>
    <w:rsid w:val="005E77C4"/>
    <w:rPr>
      <w:b/>
      <w:color w:val="365F91"/>
      <w:sz w:val="32"/>
      <w:szCs w:val="22"/>
    </w:rPr>
  </w:style>
  <w:style w:type="character" w:customStyle="1" w:styleId="Heading3Char">
    <w:name w:val="Heading 3 Char"/>
    <w:link w:val="Heading3"/>
    <w:rsid w:val="005E77C4"/>
    <w:rPr>
      <w:b/>
      <w:color w:val="365F91"/>
      <w:sz w:val="26"/>
      <w:szCs w:val="22"/>
    </w:rPr>
  </w:style>
  <w:style w:type="character" w:customStyle="1" w:styleId="Heading4Char">
    <w:name w:val="Heading 4 Char"/>
    <w:link w:val="Heading4"/>
    <w:rsid w:val="00865BDB"/>
    <w:rPr>
      <w:b/>
      <w:color w:val="365F91"/>
      <w:sz w:val="22"/>
      <w:szCs w:val="22"/>
    </w:rPr>
  </w:style>
  <w:style w:type="character" w:customStyle="1" w:styleId="Heading5Char">
    <w:name w:val="Heading 5 Char"/>
    <w:link w:val="Heading5"/>
    <w:rsid w:val="00E20138"/>
    <w:rPr>
      <w:bCs/>
      <w:i/>
      <w:iCs/>
      <w:color w:val="365F91"/>
      <w:sz w:val="22"/>
      <w:szCs w:val="26"/>
    </w:rPr>
  </w:style>
  <w:style w:type="character" w:customStyle="1" w:styleId="HeaderChar">
    <w:name w:val="Header Char"/>
    <w:link w:val="Header"/>
    <w:semiHidden/>
    <w:rsid w:val="00E20138"/>
    <w:rPr>
      <w:rFonts w:ascii="Arial" w:hAnsi="Arial"/>
      <w:sz w:val="16"/>
      <w:szCs w:val="22"/>
    </w:rPr>
  </w:style>
  <w:style w:type="character" w:customStyle="1" w:styleId="FooterChar">
    <w:name w:val="Footer Char"/>
    <w:aliases w:val=" Char10 Char,Char10 Char"/>
    <w:link w:val="Footer"/>
    <w:semiHidden/>
    <w:rsid w:val="00E20138"/>
    <w:rPr>
      <w:rFonts w:ascii="Arial" w:hAnsi="Arial"/>
      <w:sz w:val="16"/>
      <w:szCs w:val="22"/>
    </w:rPr>
  </w:style>
  <w:style w:type="character" w:customStyle="1" w:styleId="TableTextBoldChar">
    <w:name w:val="TableText Bold Char"/>
    <w:link w:val="TableTextBold"/>
    <w:rsid w:val="00E20138"/>
    <w:rPr>
      <w:b/>
      <w:noProof/>
      <w:sz w:val="16"/>
      <w:szCs w:val="22"/>
    </w:rPr>
  </w:style>
  <w:style w:type="character" w:customStyle="1" w:styleId="TableTextChar">
    <w:name w:val="TableText Char"/>
    <w:link w:val="TableText"/>
    <w:rsid w:val="00E20138"/>
    <w:rPr>
      <w:sz w:val="16"/>
      <w:szCs w:val="22"/>
    </w:rPr>
  </w:style>
  <w:style w:type="character" w:customStyle="1" w:styleId="FigureChar">
    <w:name w:val="Figure Char"/>
    <w:link w:val="Figure"/>
    <w:rsid w:val="00E20138"/>
    <w:rPr>
      <w:b/>
      <w:sz w:val="18"/>
      <w:szCs w:val="22"/>
    </w:rPr>
  </w:style>
  <w:style w:type="character" w:customStyle="1" w:styleId="FootnoteTextChar">
    <w:name w:val="Footnote Text Char"/>
    <w:link w:val="FootnoteText"/>
    <w:uiPriority w:val="99"/>
    <w:rsid w:val="00E20138"/>
    <w:rPr>
      <w:sz w:val="19"/>
      <w:szCs w:val="22"/>
    </w:rPr>
  </w:style>
  <w:style w:type="character" w:customStyle="1" w:styleId="ReferencesChar">
    <w:name w:val="References Char"/>
    <w:link w:val="References"/>
    <w:rsid w:val="00E20138"/>
    <w:rPr>
      <w:szCs w:val="22"/>
    </w:rPr>
  </w:style>
  <w:style w:type="character" w:customStyle="1" w:styleId="TitleChar">
    <w:name w:val="Title Char"/>
    <w:link w:val="Title"/>
    <w:uiPriority w:val="2"/>
    <w:rsid w:val="007C31A2"/>
    <w:rPr>
      <w:b/>
      <w:sz w:val="48"/>
      <w:szCs w:val="22"/>
    </w:rPr>
  </w:style>
  <w:style w:type="character" w:customStyle="1" w:styleId="SubtitleChar">
    <w:name w:val="Subtitle Char"/>
    <w:link w:val="Subtitle"/>
    <w:rsid w:val="007C31A2"/>
    <w:rPr>
      <w:b/>
      <w:sz w:val="36"/>
      <w:szCs w:val="22"/>
    </w:rPr>
  </w:style>
  <w:style w:type="character" w:customStyle="1" w:styleId="TableChar">
    <w:name w:val="Table Char"/>
    <w:link w:val="Table"/>
    <w:locked/>
    <w:rsid w:val="00E20138"/>
    <w:rPr>
      <w:b/>
      <w:sz w:val="18"/>
      <w:szCs w:val="22"/>
    </w:rPr>
  </w:style>
  <w:style w:type="paragraph" w:styleId="TOCHeading">
    <w:name w:val="TOC Heading"/>
    <w:basedOn w:val="Heading1"/>
    <w:next w:val="Normal"/>
    <w:uiPriority w:val="39"/>
    <w:semiHidden/>
    <w:unhideWhenUsed/>
    <w:qFormat/>
    <w:rsid w:val="00E20138"/>
    <w:pPr>
      <w:keepLines/>
      <w:pBdr>
        <w:bottom w:val="none" w:sz="0" w:space="0" w:color="auto"/>
      </w:pBdr>
      <w:spacing w:before="480" w:after="0"/>
      <w:jc w:val="both"/>
      <w:outlineLvl w:val="9"/>
    </w:pPr>
    <w:rPr>
      <w:b/>
      <w:bCs w:val="0"/>
      <w:sz w:val="28"/>
      <w:szCs w:val="28"/>
    </w:rPr>
  </w:style>
  <w:style w:type="character" w:customStyle="1" w:styleId="CommentTextChar">
    <w:name w:val="Comment Text Char"/>
    <w:link w:val="CommentText"/>
    <w:uiPriority w:val="99"/>
    <w:rsid w:val="00E20138"/>
    <w:rPr>
      <w:rFonts w:eastAsia="Arial"/>
    </w:rPr>
  </w:style>
  <w:style w:type="paragraph" w:styleId="CommentText">
    <w:name w:val="annotation text"/>
    <w:basedOn w:val="Normal"/>
    <w:link w:val="CommentTextChar"/>
    <w:uiPriority w:val="99"/>
    <w:rsid w:val="00E20138"/>
    <w:pPr>
      <w:spacing w:after="120"/>
    </w:pPr>
    <w:rPr>
      <w:rFonts w:eastAsia="Arial"/>
      <w:sz w:val="20"/>
      <w:szCs w:val="20"/>
    </w:rPr>
  </w:style>
  <w:style w:type="character" w:customStyle="1" w:styleId="CommentTextChar1">
    <w:name w:val="Comment Text Char1"/>
    <w:basedOn w:val="DefaultParagraphFont"/>
    <w:uiPriority w:val="99"/>
    <w:semiHidden/>
    <w:rsid w:val="00E20138"/>
  </w:style>
  <w:style w:type="character" w:customStyle="1" w:styleId="CommentSubjectChar">
    <w:name w:val="Comment Subject Char"/>
    <w:aliases w:val=" Char5 Char,Char5 Char"/>
    <w:link w:val="CommentSubject"/>
    <w:semiHidden/>
    <w:rsid w:val="00E20138"/>
    <w:rPr>
      <w:b/>
      <w:bCs/>
    </w:rPr>
  </w:style>
  <w:style w:type="paragraph" w:styleId="CommentSubject">
    <w:name w:val="annotation subject"/>
    <w:aliases w:val=" Char5,Char5"/>
    <w:basedOn w:val="CommentText"/>
    <w:next w:val="CommentText"/>
    <w:link w:val="CommentSubjectChar"/>
    <w:semiHidden/>
    <w:rsid w:val="00E20138"/>
    <w:rPr>
      <w:rFonts w:eastAsia="Times New Roman"/>
      <w:b/>
      <w:bCs/>
    </w:rPr>
  </w:style>
  <w:style w:type="character" w:customStyle="1" w:styleId="CommentSubjectChar1">
    <w:name w:val="Comment Subject Char1"/>
    <w:aliases w:val="Char5 Char1"/>
    <w:uiPriority w:val="99"/>
    <w:semiHidden/>
    <w:rsid w:val="00E20138"/>
    <w:rPr>
      <w:b/>
      <w:bCs/>
    </w:rPr>
  </w:style>
  <w:style w:type="paragraph" w:styleId="BodyText2">
    <w:name w:val="Body Text 2"/>
    <w:aliases w:val=" Char4,Char4"/>
    <w:basedOn w:val="Normal"/>
    <w:link w:val="BodyText2Char"/>
    <w:semiHidden/>
    <w:rsid w:val="00E20138"/>
    <w:pPr>
      <w:spacing w:after="120" w:line="480" w:lineRule="auto"/>
    </w:pPr>
    <w:rPr>
      <w:rFonts w:ascii="Times New Roman" w:hAnsi="Times New Roman"/>
      <w:lang w:eastAsia="en-US"/>
    </w:rPr>
  </w:style>
  <w:style w:type="character" w:customStyle="1" w:styleId="BodyText2Char">
    <w:name w:val="Body Text 2 Char"/>
    <w:aliases w:val=" Char4 Char,Char4 Char"/>
    <w:link w:val="BodyText2"/>
    <w:semiHidden/>
    <w:rsid w:val="00E20138"/>
    <w:rPr>
      <w:rFonts w:ascii="Times New Roman" w:hAnsi="Times New Roman"/>
      <w:sz w:val="22"/>
      <w:szCs w:val="22"/>
      <w:lang w:eastAsia="en-US"/>
    </w:rPr>
  </w:style>
  <w:style w:type="paragraph" w:customStyle="1" w:styleId="Default">
    <w:name w:val="Default"/>
    <w:semiHidden/>
    <w:rsid w:val="00E20138"/>
    <w:pPr>
      <w:autoSpaceDE w:val="0"/>
      <w:autoSpaceDN w:val="0"/>
      <w:adjustRightInd w:val="0"/>
    </w:pPr>
    <w:rPr>
      <w:rFonts w:ascii="JBHHJB+Arial,Bold" w:hAnsi="JBHHJB+Arial,Bold" w:cs="JBHHJB+Arial,Bold"/>
      <w:i/>
      <w:color w:val="000000"/>
      <w:sz w:val="24"/>
      <w:szCs w:val="24"/>
    </w:rPr>
  </w:style>
  <w:style w:type="character" w:customStyle="1" w:styleId="EndnoteTextChar">
    <w:name w:val="Endnote Text Char"/>
    <w:aliases w:val=" Char3 Char,Char3 Char"/>
    <w:link w:val="EndnoteText"/>
    <w:semiHidden/>
    <w:rsid w:val="00E20138"/>
    <w:rPr>
      <w:i/>
    </w:rPr>
  </w:style>
  <w:style w:type="paragraph" w:styleId="EndnoteText">
    <w:name w:val="endnote text"/>
    <w:aliases w:val=" Char3,Char3"/>
    <w:basedOn w:val="Normal"/>
    <w:link w:val="EndnoteTextChar"/>
    <w:semiHidden/>
    <w:rsid w:val="00E20138"/>
    <w:pPr>
      <w:spacing w:after="120"/>
    </w:pPr>
    <w:rPr>
      <w:i/>
      <w:sz w:val="20"/>
      <w:szCs w:val="20"/>
    </w:rPr>
  </w:style>
  <w:style w:type="character" w:customStyle="1" w:styleId="EndnoteTextChar1">
    <w:name w:val="Endnote Text Char1"/>
    <w:aliases w:val="Char3 Char1"/>
    <w:basedOn w:val="DefaultParagraphFont"/>
    <w:uiPriority w:val="99"/>
    <w:semiHidden/>
    <w:rsid w:val="00E20138"/>
  </w:style>
  <w:style w:type="character" w:styleId="Emphasis">
    <w:name w:val="Emphasis"/>
    <w:uiPriority w:val="20"/>
    <w:semiHidden/>
    <w:qFormat/>
    <w:rsid w:val="00E20138"/>
    <w:rPr>
      <w:i/>
      <w:iCs/>
    </w:rPr>
  </w:style>
  <w:style w:type="character" w:customStyle="1" w:styleId="BulletsChar">
    <w:name w:val="Bullets Char"/>
    <w:link w:val="Bullets"/>
    <w:semiHidden/>
    <w:rsid w:val="00E20138"/>
  </w:style>
  <w:style w:type="paragraph" w:customStyle="1" w:styleId="Bullets">
    <w:name w:val="Bullets"/>
    <w:basedOn w:val="Normal"/>
    <w:link w:val="BulletsChar"/>
    <w:semiHidden/>
    <w:rsid w:val="00E20138"/>
    <w:pPr>
      <w:tabs>
        <w:tab w:val="left" w:pos="397"/>
      </w:tabs>
      <w:spacing w:before="120"/>
      <w:ind w:left="397" w:hanging="397"/>
    </w:pPr>
    <w:rPr>
      <w:sz w:val="20"/>
      <w:szCs w:val="20"/>
    </w:rPr>
  </w:style>
  <w:style w:type="paragraph" w:styleId="Revision">
    <w:name w:val="Revision"/>
    <w:hidden/>
    <w:uiPriority w:val="99"/>
    <w:rsid w:val="00E20138"/>
    <w:rPr>
      <w:rFonts w:ascii="Times New Roman" w:hAnsi="Times New Roman"/>
      <w:i/>
      <w:sz w:val="22"/>
      <w:lang w:eastAsia="en-US"/>
    </w:rPr>
  </w:style>
  <w:style w:type="character" w:customStyle="1" w:styleId="PlainTextChar1">
    <w:name w:val="Plain Text Char1"/>
    <w:aliases w:val="Char2 Char1"/>
    <w:uiPriority w:val="99"/>
    <w:semiHidden/>
    <w:rsid w:val="00E20138"/>
    <w:rPr>
      <w:rFonts w:ascii="Courier New" w:hAnsi="Courier New" w:cs="Courier New"/>
      <w:lang w:eastAsia="en-US"/>
    </w:rPr>
  </w:style>
  <w:style w:type="paragraph" w:styleId="ListBullet">
    <w:name w:val="List Bullet"/>
    <w:basedOn w:val="Normal"/>
    <w:semiHidden/>
    <w:rsid w:val="00E20138"/>
    <w:pPr>
      <w:numPr>
        <w:numId w:val="5"/>
      </w:numPr>
      <w:spacing w:after="120"/>
    </w:pPr>
    <w:rPr>
      <w:rFonts w:ascii="Arial" w:hAnsi="Arial"/>
      <w:sz w:val="24"/>
      <w:lang w:eastAsia="en-US"/>
    </w:rPr>
  </w:style>
  <w:style w:type="paragraph" w:styleId="ListBullet2">
    <w:name w:val="List Bullet 2"/>
    <w:basedOn w:val="ListBullet"/>
    <w:semiHidden/>
    <w:rsid w:val="00E20138"/>
    <w:pPr>
      <w:numPr>
        <w:numId w:val="6"/>
      </w:numPr>
      <w:tabs>
        <w:tab w:val="clear" w:pos="643"/>
        <w:tab w:val="num" w:pos="720"/>
      </w:tabs>
      <w:ind w:left="720"/>
    </w:pPr>
  </w:style>
  <w:style w:type="paragraph" w:styleId="ListBullet3">
    <w:name w:val="List Bullet 3"/>
    <w:basedOn w:val="ListBullet2"/>
    <w:semiHidden/>
    <w:rsid w:val="00E20138"/>
    <w:pPr>
      <w:numPr>
        <w:numId w:val="7"/>
      </w:numPr>
      <w:tabs>
        <w:tab w:val="clear" w:pos="926"/>
        <w:tab w:val="num" w:pos="1080"/>
      </w:tabs>
      <w:ind w:left="720" w:firstLine="0"/>
    </w:pPr>
  </w:style>
  <w:style w:type="paragraph" w:styleId="ListBullet4">
    <w:name w:val="List Bullet 4"/>
    <w:basedOn w:val="ListBullet3"/>
    <w:semiHidden/>
    <w:rsid w:val="00E20138"/>
    <w:pPr>
      <w:numPr>
        <w:numId w:val="8"/>
      </w:numPr>
      <w:tabs>
        <w:tab w:val="clear" w:pos="1209"/>
        <w:tab w:val="left" w:pos="1435"/>
      </w:tabs>
      <w:ind w:left="1434" w:hanging="357"/>
    </w:pPr>
  </w:style>
  <w:style w:type="paragraph" w:styleId="ListBullet5">
    <w:name w:val="List Bullet 5"/>
    <w:basedOn w:val="ListBullet4"/>
    <w:semiHidden/>
    <w:rsid w:val="00E20138"/>
    <w:pPr>
      <w:numPr>
        <w:numId w:val="9"/>
      </w:numPr>
      <w:tabs>
        <w:tab w:val="clear" w:pos="1435"/>
        <w:tab w:val="clear" w:pos="1492"/>
        <w:tab w:val="num" w:pos="1794"/>
      </w:tabs>
      <w:ind w:left="1794"/>
    </w:pPr>
  </w:style>
  <w:style w:type="paragraph" w:customStyle="1" w:styleId="Numberedparagraph">
    <w:name w:val="Numbered paragraph"/>
    <w:basedOn w:val="Normal"/>
    <w:semiHidden/>
    <w:rsid w:val="00E20138"/>
    <w:pPr>
      <w:numPr>
        <w:numId w:val="11"/>
      </w:numPr>
      <w:tabs>
        <w:tab w:val="clear" w:pos="397"/>
        <w:tab w:val="left" w:pos="567"/>
        <w:tab w:val="num" w:pos="1728"/>
      </w:tabs>
      <w:spacing w:before="120" w:after="120"/>
      <w:ind w:left="288" w:firstLine="0"/>
    </w:pPr>
    <w:rPr>
      <w:rFonts w:ascii="Times New Roman" w:hAnsi="Times New Roman"/>
      <w:lang w:eastAsia="en-US"/>
    </w:rPr>
  </w:style>
  <w:style w:type="paragraph" w:customStyle="1" w:styleId="Sub-list">
    <w:name w:val="Sub-list"/>
    <w:basedOn w:val="Normal"/>
    <w:semiHidden/>
    <w:rsid w:val="00E20138"/>
    <w:pPr>
      <w:numPr>
        <w:numId w:val="13"/>
      </w:numPr>
      <w:tabs>
        <w:tab w:val="clear" w:pos="397"/>
        <w:tab w:val="num" w:pos="360"/>
        <w:tab w:val="left" w:pos="794"/>
      </w:tabs>
      <w:spacing w:before="60" w:after="120"/>
      <w:ind w:left="794" w:hanging="397"/>
    </w:pPr>
    <w:rPr>
      <w:rFonts w:ascii="Times New Roman" w:hAnsi="Times New Roman"/>
      <w:lang w:eastAsia="en-US"/>
    </w:rPr>
  </w:style>
  <w:style w:type="paragraph" w:customStyle="1" w:styleId="Sub-lista">
    <w:name w:val="Sub-list a"/>
    <w:aliases w:val="b"/>
    <w:basedOn w:val="Normal"/>
    <w:rsid w:val="00030F27"/>
    <w:pPr>
      <w:numPr>
        <w:numId w:val="12"/>
      </w:numPr>
      <w:tabs>
        <w:tab w:val="clear" w:pos="794"/>
        <w:tab w:val="left" w:pos="397"/>
      </w:tabs>
      <w:spacing w:after="120"/>
    </w:pPr>
    <w:rPr>
      <w:rFonts w:cs="Calibri"/>
      <w:lang w:eastAsia="ko-KR"/>
    </w:rPr>
  </w:style>
  <w:style w:type="paragraph" w:customStyle="1" w:styleId="Sub-listi">
    <w:name w:val="Sub-list i"/>
    <w:aliases w:val="ii"/>
    <w:basedOn w:val="BodyText"/>
    <w:semiHidden/>
    <w:rsid w:val="00E20138"/>
    <w:pPr>
      <w:numPr>
        <w:numId w:val="14"/>
      </w:numPr>
      <w:tabs>
        <w:tab w:val="clear" w:pos="1191"/>
        <w:tab w:val="num" w:pos="360"/>
      </w:tabs>
      <w:spacing w:before="0"/>
      <w:ind w:left="397"/>
    </w:pPr>
  </w:style>
  <w:style w:type="paragraph" w:customStyle="1" w:styleId="TableDash">
    <w:name w:val="TableDash"/>
    <w:basedOn w:val="Normal"/>
    <w:rsid w:val="00E20138"/>
    <w:pPr>
      <w:numPr>
        <w:numId w:val="15"/>
      </w:numPr>
      <w:tabs>
        <w:tab w:val="clear" w:pos="567"/>
        <w:tab w:val="num" w:pos="360"/>
      </w:tabs>
      <w:spacing w:before="20" w:after="20"/>
      <w:ind w:left="568" w:hanging="284"/>
    </w:pPr>
    <w:rPr>
      <w:rFonts w:ascii="Arial" w:hAnsi="Arial" w:cs="Arial"/>
      <w:sz w:val="16"/>
      <w:szCs w:val="16"/>
      <w:lang w:eastAsia="en-US"/>
    </w:rPr>
  </w:style>
  <w:style w:type="paragraph" w:customStyle="1" w:styleId="a">
    <w:name w:val="(a)"/>
    <w:aliases w:val="(b) list"/>
    <w:basedOn w:val="Normal"/>
    <w:semiHidden/>
    <w:rsid w:val="00E20138"/>
    <w:pPr>
      <w:numPr>
        <w:numId w:val="10"/>
      </w:numPr>
      <w:tabs>
        <w:tab w:val="clear" w:pos="720"/>
        <w:tab w:val="num" w:pos="360"/>
      </w:tabs>
      <w:ind w:left="360"/>
    </w:pPr>
    <w:rPr>
      <w:rFonts w:ascii="Times New Roman" w:hAnsi="Times New Roman"/>
      <w:szCs w:val="20"/>
    </w:rPr>
  </w:style>
  <w:style w:type="character" w:customStyle="1" w:styleId="NoteundertableChar">
    <w:name w:val="Note under table Char"/>
    <w:link w:val="Noteundertable"/>
    <w:rsid w:val="00E20138"/>
    <w:rPr>
      <w:sz w:val="18"/>
      <w:szCs w:val="22"/>
    </w:rPr>
  </w:style>
  <w:style w:type="character" w:styleId="CommentReference">
    <w:name w:val="annotation reference"/>
    <w:uiPriority w:val="99"/>
    <w:semiHidden/>
    <w:rsid w:val="00E20138"/>
    <w:rPr>
      <w:sz w:val="16"/>
      <w:szCs w:val="16"/>
    </w:rPr>
  </w:style>
  <w:style w:type="character" w:styleId="FollowedHyperlink">
    <w:name w:val="FollowedHyperlink"/>
    <w:uiPriority w:val="99"/>
    <w:semiHidden/>
    <w:rsid w:val="00E20138"/>
    <w:rPr>
      <w:color w:val="800080"/>
      <w:u w:val="none"/>
    </w:rPr>
  </w:style>
  <w:style w:type="paragraph" w:styleId="NormalWeb">
    <w:name w:val="Normal (Web)"/>
    <w:basedOn w:val="Normal"/>
    <w:semiHidden/>
    <w:rsid w:val="00E20138"/>
    <w:pPr>
      <w:widowControl w:val="0"/>
      <w:adjustRightInd w:val="0"/>
      <w:spacing w:before="100" w:beforeAutospacing="1" w:after="100" w:afterAutospacing="1"/>
      <w:textAlignment w:val="baseline"/>
    </w:pPr>
    <w:rPr>
      <w:rFonts w:ascii="Times New Roman" w:hAnsi="Times New Roman"/>
      <w:szCs w:val="24"/>
      <w:lang w:val="en-GB" w:eastAsia="en-GB"/>
    </w:rPr>
  </w:style>
  <w:style w:type="table" w:styleId="Table3Deffects3">
    <w:name w:val="Table 3D effects 3"/>
    <w:basedOn w:val="TableNormal"/>
    <w:rsid w:val="00E20138"/>
    <w:rPr>
      <w:rFonts w:ascii="Times New Roman" w:hAnsi="Times New Roman"/>
      <w: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aptions">
    <w:name w:val="Captions"/>
    <w:basedOn w:val="Normal"/>
    <w:next w:val="Normal"/>
    <w:semiHidden/>
    <w:rsid w:val="00E20138"/>
    <w:pPr>
      <w:tabs>
        <w:tab w:val="left" w:pos="851"/>
      </w:tabs>
      <w:suppressAutoHyphens/>
      <w:spacing w:before="120" w:after="120"/>
    </w:pPr>
    <w:rPr>
      <w:rFonts w:ascii="Times New Roman" w:hAnsi="Times New Roman"/>
      <w:lang w:eastAsia="ar-SA"/>
    </w:rPr>
  </w:style>
  <w:style w:type="character" w:customStyle="1" w:styleId="FootnoteCharacters">
    <w:name w:val="Footnote Characters"/>
    <w:semiHidden/>
    <w:rsid w:val="00E20138"/>
    <w:rPr>
      <w:vertAlign w:val="superscript"/>
    </w:rPr>
  </w:style>
  <w:style w:type="character" w:customStyle="1" w:styleId="EndnoteCharacters">
    <w:name w:val="Endnote Characters"/>
    <w:semiHidden/>
    <w:rsid w:val="00E20138"/>
    <w:rPr>
      <w:vertAlign w:val="superscript"/>
    </w:rPr>
  </w:style>
  <w:style w:type="paragraph" w:styleId="List">
    <w:name w:val="List"/>
    <w:basedOn w:val="BodyText"/>
    <w:semiHidden/>
    <w:rsid w:val="00E20138"/>
    <w:pPr>
      <w:suppressAutoHyphens/>
    </w:pPr>
    <w:rPr>
      <w:lang w:eastAsia="ar-SA"/>
    </w:rPr>
  </w:style>
  <w:style w:type="paragraph" w:customStyle="1" w:styleId="Index">
    <w:name w:val="Index"/>
    <w:basedOn w:val="Normal"/>
    <w:semiHidden/>
    <w:rsid w:val="00E20138"/>
    <w:pPr>
      <w:suppressLineNumbers/>
      <w:suppressAutoHyphens/>
      <w:spacing w:after="120"/>
    </w:pPr>
    <w:rPr>
      <w:rFonts w:ascii="Times New Roman" w:hAnsi="Times New Roman"/>
      <w:lang w:eastAsia="ar-SA"/>
    </w:rPr>
  </w:style>
  <w:style w:type="paragraph" w:styleId="TOC4">
    <w:name w:val="toc 4"/>
    <w:basedOn w:val="Normal"/>
    <w:next w:val="Normal"/>
    <w:uiPriority w:val="39"/>
    <w:semiHidden/>
    <w:rsid w:val="00E20138"/>
    <w:pPr>
      <w:tabs>
        <w:tab w:val="right" w:leader="dot" w:pos="7938"/>
      </w:tabs>
      <w:suppressAutoHyphens/>
      <w:spacing w:before="60" w:after="60"/>
      <w:ind w:left="1701"/>
    </w:pPr>
    <w:rPr>
      <w:rFonts w:ascii="Arial" w:hAnsi="Arial"/>
      <w:sz w:val="18"/>
      <w:lang w:eastAsia="ar-SA"/>
    </w:rPr>
  </w:style>
  <w:style w:type="paragraph" w:styleId="TOC5">
    <w:name w:val="toc 5"/>
    <w:basedOn w:val="Normal"/>
    <w:next w:val="Normal"/>
    <w:uiPriority w:val="39"/>
    <w:semiHidden/>
    <w:rsid w:val="00E20138"/>
    <w:pPr>
      <w:tabs>
        <w:tab w:val="left" w:pos="2268"/>
        <w:tab w:val="right" w:leader="dot" w:pos="7938"/>
      </w:tabs>
      <w:suppressAutoHyphens/>
      <w:spacing w:before="60" w:after="60"/>
      <w:ind w:left="2268"/>
    </w:pPr>
    <w:rPr>
      <w:rFonts w:ascii="Arial" w:hAnsi="Arial"/>
      <w:sz w:val="18"/>
      <w:lang w:eastAsia="ar-SA"/>
    </w:rPr>
  </w:style>
  <w:style w:type="paragraph" w:styleId="TOC6">
    <w:name w:val="toc 6"/>
    <w:basedOn w:val="Normal"/>
    <w:next w:val="Normal"/>
    <w:uiPriority w:val="39"/>
    <w:semiHidden/>
    <w:rsid w:val="00E20138"/>
    <w:pPr>
      <w:tabs>
        <w:tab w:val="left" w:pos="2552"/>
        <w:tab w:val="right" w:leader="dot" w:pos="7938"/>
      </w:tabs>
      <w:suppressAutoHyphens/>
      <w:spacing w:before="60" w:after="60"/>
      <w:ind w:left="2835"/>
    </w:pPr>
    <w:rPr>
      <w:rFonts w:ascii="Arial" w:hAnsi="Arial"/>
      <w:sz w:val="18"/>
      <w:lang w:eastAsia="ar-SA"/>
    </w:rPr>
  </w:style>
  <w:style w:type="paragraph" w:styleId="TOC7">
    <w:name w:val="toc 7"/>
    <w:basedOn w:val="Normal"/>
    <w:next w:val="Normal"/>
    <w:uiPriority w:val="39"/>
    <w:semiHidden/>
    <w:rsid w:val="00E20138"/>
    <w:pPr>
      <w:suppressAutoHyphens/>
      <w:spacing w:after="100" w:line="276" w:lineRule="auto"/>
      <w:ind w:left="1320"/>
    </w:pPr>
    <w:rPr>
      <w:lang w:eastAsia="ar-SA"/>
    </w:rPr>
  </w:style>
  <w:style w:type="paragraph" w:styleId="TOC8">
    <w:name w:val="toc 8"/>
    <w:basedOn w:val="Normal"/>
    <w:next w:val="Normal"/>
    <w:uiPriority w:val="39"/>
    <w:semiHidden/>
    <w:rsid w:val="00E20138"/>
    <w:pPr>
      <w:suppressAutoHyphens/>
      <w:spacing w:after="100" w:line="276" w:lineRule="auto"/>
      <w:ind w:left="1540"/>
    </w:pPr>
    <w:rPr>
      <w:lang w:eastAsia="ar-SA"/>
    </w:rPr>
  </w:style>
  <w:style w:type="paragraph" w:styleId="TOC9">
    <w:name w:val="toc 9"/>
    <w:basedOn w:val="Normal"/>
    <w:next w:val="Normal"/>
    <w:uiPriority w:val="39"/>
    <w:semiHidden/>
    <w:rsid w:val="00E20138"/>
    <w:pPr>
      <w:suppressAutoHyphens/>
      <w:spacing w:after="100" w:line="276" w:lineRule="auto"/>
      <w:ind w:left="1760"/>
    </w:pPr>
    <w:rPr>
      <w:lang w:eastAsia="ar-SA"/>
    </w:rPr>
  </w:style>
  <w:style w:type="paragraph" w:customStyle="1" w:styleId="Glossary">
    <w:name w:val="Glossary"/>
    <w:basedOn w:val="Normal"/>
    <w:semiHidden/>
    <w:rsid w:val="00E20138"/>
    <w:pPr>
      <w:tabs>
        <w:tab w:val="left" w:pos="2835"/>
      </w:tabs>
      <w:suppressAutoHyphens/>
      <w:spacing w:after="120"/>
      <w:ind w:left="2835" w:hanging="2835"/>
    </w:pPr>
    <w:rPr>
      <w:rFonts w:ascii="Times New Roman" w:hAnsi="Times New Roman"/>
      <w:lang w:eastAsia="ar-SA"/>
    </w:rPr>
  </w:style>
  <w:style w:type="paragraph" w:customStyle="1" w:styleId="Headerleft">
    <w:name w:val="Header left"/>
    <w:basedOn w:val="Normal"/>
    <w:semiHidden/>
    <w:rsid w:val="00E20138"/>
    <w:pPr>
      <w:suppressLineNumbers/>
      <w:tabs>
        <w:tab w:val="center" w:pos="3968"/>
        <w:tab w:val="right" w:pos="7937"/>
      </w:tabs>
      <w:suppressAutoHyphens/>
      <w:spacing w:after="120"/>
    </w:pPr>
    <w:rPr>
      <w:rFonts w:ascii="Times New Roman" w:hAnsi="Times New Roman"/>
      <w:lang w:eastAsia="ar-SA"/>
    </w:rPr>
  </w:style>
  <w:style w:type="paragraph" w:styleId="Bibliography">
    <w:name w:val="Bibliography"/>
    <w:basedOn w:val="Normal"/>
    <w:next w:val="Normal"/>
    <w:uiPriority w:val="37"/>
    <w:semiHidden/>
    <w:rsid w:val="00E20138"/>
    <w:pPr>
      <w:widowControl w:val="0"/>
      <w:adjustRightInd w:val="0"/>
      <w:spacing w:after="120"/>
      <w:textAlignment w:val="baseline"/>
    </w:pPr>
    <w:rPr>
      <w:rFonts w:ascii="Times New Roman" w:hAnsi="Times New Roman"/>
      <w:lang w:eastAsia="en-US"/>
    </w:rPr>
  </w:style>
  <w:style w:type="paragraph" w:styleId="DocumentMap">
    <w:name w:val="Document Map"/>
    <w:aliases w:val=" Char1,Char1"/>
    <w:basedOn w:val="Normal"/>
    <w:link w:val="DocumentMapChar"/>
    <w:semiHidden/>
    <w:rsid w:val="00E20138"/>
    <w:pPr>
      <w:widowControl w:val="0"/>
      <w:adjustRightInd w:val="0"/>
      <w:spacing w:after="120"/>
      <w:textAlignment w:val="baseline"/>
    </w:pPr>
    <w:rPr>
      <w:rFonts w:ascii="Tahoma" w:hAnsi="Tahoma" w:cs="Tahoma"/>
      <w:sz w:val="16"/>
      <w:szCs w:val="16"/>
      <w:lang w:eastAsia="en-US"/>
    </w:rPr>
  </w:style>
  <w:style w:type="character" w:customStyle="1" w:styleId="DocumentMapChar">
    <w:name w:val="Document Map Char"/>
    <w:aliases w:val=" Char1 Char,Char1 Char"/>
    <w:link w:val="DocumentMap"/>
    <w:semiHidden/>
    <w:rsid w:val="00E20138"/>
    <w:rPr>
      <w:rFonts w:ascii="Tahoma" w:hAnsi="Tahoma" w:cs="Tahoma"/>
      <w:sz w:val="16"/>
      <w:szCs w:val="16"/>
      <w:lang w:eastAsia="en-US"/>
    </w:rPr>
  </w:style>
  <w:style w:type="paragraph" w:customStyle="1" w:styleId="StyleHeading6Before6pt">
    <w:name w:val="Style Heading 6 + Before:  6 pt"/>
    <w:basedOn w:val="Heading6"/>
    <w:uiPriority w:val="99"/>
    <w:semiHidden/>
    <w:rsid w:val="00E20138"/>
    <w:pPr>
      <w:spacing w:before="120"/>
    </w:pPr>
    <w:rPr>
      <w:szCs w:val="20"/>
    </w:rPr>
  </w:style>
  <w:style w:type="paragraph" w:styleId="NormalIndent">
    <w:name w:val="Normal Indent"/>
    <w:basedOn w:val="Normal"/>
    <w:uiPriority w:val="99"/>
    <w:unhideWhenUsed/>
    <w:rsid w:val="00E20138"/>
    <w:pPr>
      <w:spacing w:after="120"/>
      <w:ind w:left="567" w:right="567"/>
    </w:pPr>
    <w:rPr>
      <w:rFonts w:ascii="Times New Roman" w:hAnsi="Times New Roman"/>
      <w:lang w:eastAsia="en-US"/>
    </w:rPr>
  </w:style>
  <w:style w:type="character" w:styleId="Strong">
    <w:name w:val="Strong"/>
    <w:uiPriority w:val="22"/>
    <w:semiHidden/>
    <w:qFormat/>
    <w:rsid w:val="00E20138"/>
    <w:rPr>
      <w:b/>
      <w:bCs/>
    </w:rPr>
  </w:style>
  <w:style w:type="paragraph" w:styleId="Quote">
    <w:name w:val="Quote"/>
    <w:basedOn w:val="Normal"/>
    <w:next w:val="Normal"/>
    <w:link w:val="QuoteChar"/>
    <w:uiPriority w:val="29"/>
    <w:qFormat/>
    <w:rsid w:val="00E20138"/>
    <w:pPr>
      <w:spacing w:after="120" w:line="260" w:lineRule="atLeast"/>
      <w:ind w:left="567" w:right="567"/>
    </w:pPr>
    <w:rPr>
      <w:iCs/>
      <w:color w:val="000000"/>
      <w:sz w:val="20"/>
      <w:lang w:eastAsia="en-US"/>
    </w:rPr>
  </w:style>
  <w:style w:type="character" w:customStyle="1" w:styleId="QuoteChar">
    <w:name w:val="Quote Char"/>
    <w:link w:val="Quote"/>
    <w:uiPriority w:val="29"/>
    <w:rsid w:val="00E20138"/>
    <w:rPr>
      <w:iCs/>
      <w:color w:val="000000"/>
      <w:szCs w:val="22"/>
      <w:lang w:eastAsia="en-US"/>
    </w:rPr>
  </w:style>
  <w:style w:type="character" w:styleId="BookTitle">
    <w:name w:val="Book Title"/>
    <w:uiPriority w:val="33"/>
    <w:semiHidden/>
    <w:qFormat/>
    <w:rsid w:val="00E20138"/>
    <w:rPr>
      <w:b/>
      <w:bCs/>
      <w:smallCaps/>
      <w:spacing w:val="5"/>
    </w:rPr>
  </w:style>
  <w:style w:type="table" w:styleId="LightList-Accent1">
    <w:name w:val="Light List Accent 1"/>
    <w:basedOn w:val="TableNormal"/>
    <w:uiPriority w:val="61"/>
    <w:rsid w:val="00E20138"/>
    <w:pPr>
      <w:jc w:val="right"/>
    </w:pPr>
    <w:rPr>
      <w:rFonts w:ascii="Arial" w:hAnsi="Arial"/>
      <w:szCs w:val="22"/>
      <w:lang w:eastAsia="en-US"/>
    </w:rPr>
    <w:tblPr>
      <w:tblStyleRowBandSize w:val="1"/>
      <w:tblStyleColBandSize w:val="1"/>
      <w:tblBorders>
        <w:top w:val="single" w:sz="8" w:space="0" w:color="1F497D"/>
        <w:bottom w:val="single" w:sz="8" w:space="0" w:color="1F497D"/>
        <w:insideH w:val="single" w:sz="8" w:space="0" w:color="1F497D"/>
      </w:tblBorders>
    </w:tbl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Professional"/>
    <w:uiPriority w:val="63"/>
    <w:rsid w:val="00E20138"/>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none" w:sz="0" w:space="0" w:color="auto"/>
      </w:tblBorders>
    </w:tblPr>
    <w:tcPr>
      <w:shd w:val="clear" w:color="auto" w:fill="auto"/>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l2br w:val="none" w:sz="0" w:space="0" w:color="auto"/>
          <w:tr2bl w:val="none" w:sz="0" w:space="0" w:color="auto"/>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ableProfessional">
    <w:name w:val="Table Professional"/>
    <w:basedOn w:val="TableNormal"/>
    <w:uiPriority w:val="99"/>
    <w:semiHidden/>
    <w:unhideWhenUsed/>
    <w:rsid w:val="00E20138"/>
    <w:pPr>
      <w:spacing w:after="120"/>
      <w:jc w:val="both"/>
    </w:pPr>
    <w:rPr>
      <w:rFonts w:ascii="Arial" w:hAnsi="Arial"/>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PlaceholderText">
    <w:name w:val="Placeholder Text"/>
    <w:uiPriority w:val="99"/>
    <w:semiHidden/>
    <w:rsid w:val="00E20138"/>
    <w:rPr>
      <w:color w:val="808080"/>
    </w:rPr>
  </w:style>
  <w:style w:type="table" w:customStyle="1" w:styleId="LightList-Accent11">
    <w:name w:val="Light List - Accent 11"/>
    <w:basedOn w:val="TableNormal"/>
    <w:next w:val="LightList-Accent1"/>
    <w:uiPriority w:val="61"/>
    <w:rsid w:val="00E20138"/>
    <w:rPr>
      <w:rFonts w:eastAsia="Arial"/>
      <w:sz w:val="16"/>
      <w:szCs w:val="22"/>
      <w:lang w:eastAsia="en-US"/>
    </w:rPr>
    <w:tblPr>
      <w:tblStyleRowBandSize w:val="1"/>
      <w:tblStyleColBandSize w:val="1"/>
      <w:tblBorders>
        <w:top w:val="single" w:sz="8" w:space="0" w:color="365F91"/>
        <w:left w:val="single" w:sz="8" w:space="0" w:color="365F91"/>
        <w:bottom w:val="single" w:sz="8" w:space="0" w:color="365F91"/>
        <w:right w:val="single" w:sz="8" w:space="0" w:color="365F91"/>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IntenseEmphasis">
    <w:name w:val="Intense Emphasis"/>
    <w:uiPriority w:val="21"/>
    <w:semiHidden/>
    <w:qFormat/>
    <w:rsid w:val="00E20138"/>
    <w:rPr>
      <w:b w:val="0"/>
      <w:bCs/>
      <w:i w:val="0"/>
      <w:iCs/>
      <w:color w:val="4F81BD"/>
    </w:rPr>
  </w:style>
  <w:style w:type="paragraph" w:customStyle="1" w:styleId="Tableboldblue">
    <w:name w:val="Table bold blue"/>
    <w:basedOn w:val="Normal"/>
    <w:qFormat/>
    <w:rsid w:val="00E20138"/>
    <w:pPr>
      <w:spacing w:before="60" w:after="60"/>
    </w:pPr>
    <w:rPr>
      <w:b/>
      <w:color w:val="365F91"/>
      <w:sz w:val="16"/>
      <w:lang w:eastAsia="en-US"/>
    </w:rPr>
  </w:style>
  <w:style w:type="character" w:customStyle="1" w:styleId="BodyText3Char">
    <w:name w:val="Body Text 3 Char"/>
    <w:link w:val="BodyText3"/>
    <w:uiPriority w:val="99"/>
    <w:semiHidden/>
    <w:rsid w:val="00E20138"/>
    <w:rPr>
      <w:rFonts w:eastAsia="MS Mincho"/>
      <w:sz w:val="16"/>
      <w:szCs w:val="16"/>
      <w:lang w:eastAsia="ja-JP"/>
    </w:rPr>
  </w:style>
  <w:style w:type="paragraph" w:styleId="BodyText3">
    <w:name w:val="Body Text 3"/>
    <w:basedOn w:val="Normal"/>
    <w:link w:val="BodyText3Char"/>
    <w:uiPriority w:val="99"/>
    <w:semiHidden/>
    <w:rsid w:val="00E20138"/>
    <w:pPr>
      <w:spacing w:after="120"/>
    </w:pPr>
    <w:rPr>
      <w:rFonts w:eastAsia="MS Mincho"/>
      <w:sz w:val="16"/>
      <w:szCs w:val="16"/>
      <w:lang w:eastAsia="ja-JP"/>
    </w:rPr>
  </w:style>
  <w:style w:type="character" w:customStyle="1" w:styleId="BodyText3Char1">
    <w:name w:val="Body Text 3 Char1"/>
    <w:uiPriority w:val="99"/>
    <w:semiHidden/>
    <w:rsid w:val="00E20138"/>
    <w:rPr>
      <w:sz w:val="16"/>
      <w:szCs w:val="16"/>
    </w:rPr>
  </w:style>
  <w:style w:type="character" w:customStyle="1" w:styleId="BodyTextFirstIndentChar">
    <w:name w:val="Body Text First Indent Char"/>
    <w:link w:val="BodyTextFirstIndent"/>
    <w:uiPriority w:val="99"/>
    <w:semiHidden/>
    <w:rsid w:val="00E20138"/>
    <w:rPr>
      <w:rFonts w:eastAsia="MS Mincho"/>
      <w:lang w:eastAsia="ja-JP"/>
    </w:rPr>
  </w:style>
  <w:style w:type="paragraph" w:styleId="BodyTextFirstIndent">
    <w:name w:val="Body Text First Indent"/>
    <w:basedOn w:val="BodyText"/>
    <w:link w:val="BodyTextFirstIndentChar"/>
    <w:uiPriority w:val="99"/>
    <w:semiHidden/>
    <w:rsid w:val="00E20138"/>
    <w:pPr>
      <w:ind w:firstLine="360"/>
    </w:pPr>
    <w:rPr>
      <w:rFonts w:eastAsia="MS Mincho"/>
      <w:sz w:val="20"/>
      <w:szCs w:val="20"/>
      <w:lang w:eastAsia="ja-JP"/>
    </w:rPr>
  </w:style>
  <w:style w:type="character" w:customStyle="1" w:styleId="BodyTextChar">
    <w:name w:val="Body Text Char"/>
    <w:link w:val="BodyText"/>
    <w:rsid w:val="00E20138"/>
    <w:rPr>
      <w:sz w:val="22"/>
      <w:szCs w:val="22"/>
    </w:rPr>
  </w:style>
  <w:style w:type="character" w:customStyle="1" w:styleId="BodyTextFirstIndentChar1">
    <w:name w:val="Body Text First Indent Char1"/>
    <w:uiPriority w:val="99"/>
    <w:semiHidden/>
    <w:rsid w:val="00E20138"/>
    <w:rPr>
      <w:sz w:val="22"/>
      <w:szCs w:val="22"/>
    </w:rPr>
  </w:style>
  <w:style w:type="character" w:customStyle="1" w:styleId="BodyTextIndentChar">
    <w:name w:val="Body Text Indent Char"/>
    <w:link w:val="BodyTextIndent"/>
    <w:uiPriority w:val="99"/>
    <w:semiHidden/>
    <w:rsid w:val="00E20138"/>
    <w:rPr>
      <w:rFonts w:eastAsia="MS Mincho"/>
      <w:lang w:eastAsia="ja-JP"/>
    </w:rPr>
  </w:style>
  <w:style w:type="paragraph" w:styleId="BodyTextIndent">
    <w:name w:val="Body Text Indent"/>
    <w:basedOn w:val="Normal"/>
    <w:link w:val="BodyTextIndentChar"/>
    <w:uiPriority w:val="99"/>
    <w:semiHidden/>
    <w:rsid w:val="00E20138"/>
    <w:pPr>
      <w:spacing w:after="120"/>
      <w:ind w:left="283"/>
    </w:pPr>
    <w:rPr>
      <w:rFonts w:eastAsia="MS Mincho"/>
      <w:sz w:val="20"/>
      <w:szCs w:val="20"/>
      <w:lang w:eastAsia="ja-JP"/>
    </w:rPr>
  </w:style>
  <w:style w:type="character" w:customStyle="1" w:styleId="BodyTextIndentChar1">
    <w:name w:val="Body Text Indent Char1"/>
    <w:uiPriority w:val="99"/>
    <w:semiHidden/>
    <w:rsid w:val="00E20138"/>
    <w:rPr>
      <w:sz w:val="22"/>
      <w:szCs w:val="22"/>
    </w:rPr>
  </w:style>
  <w:style w:type="character" w:customStyle="1" w:styleId="BodyTextFirstIndent2Char">
    <w:name w:val="Body Text First Indent 2 Char"/>
    <w:link w:val="BodyTextFirstIndent2"/>
    <w:uiPriority w:val="99"/>
    <w:semiHidden/>
    <w:rsid w:val="00E20138"/>
    <w:rPr>
      <w:rFonts w:eastAsia="MS Mincho"/>
      <w:lang w:eastAsia="ja-JP"/>
    </w:rPr>
  </w:style>
  <w:style w:type="paragraph" w:styleId="BodyTextFirstIndent2">
    <w:name w:val="Body Text First Indent 2"/>
    <w:basedOn w:val="BodyTextIndent"/>
    <w:link w:val="BodyTextFirstIndent2Char"/>
    <w:uiPriority w:val="99"/>
    <w:semiHidden/>
    <w:rsid w:val="00E20138"/>
    <w:pPr>
      <w:spacing w:after="0"/>
      <w:ind w:left="360" w:firstLine="360"/>
    </w:pPr>
  </w:style>
  <w:style w:type="character" w:customStyle="1" w:styleId="BodyTextFirstIndent2Char1">
    <w:name w:val="Body Text First Indent 2 Char1"/>
    <w:uiPriority w:val="99"/>
    <w:semiHidden/>
    <w:rsid w:val="00E20138"/>
    <w:rPr>
      <w:sz w:val="22"/>
      <w:szCs w:val="22"/>
    </w:rPr>
  </w:style>
  <w:style w:type="character" w:customStyle="1" w:styleId="BodyTextIndent2Char">
    <w:name w:val="Body Text Indent 2 Char"/>
    <w:link w:val="BodyTextIndent2"/>
    <w:uiPriority w:val="99"/>
    <w:semiHidden/>
    <w:rsid w:val="00E20138"/>
    <w:rPr>
      <w:rFonts w:eastAsia="MS Mincho"/>
      <w:lang w:eastAsia="ja-JP"/>
    </w:rPr>
  </w:style>
  <w:style w:type="paragraph" w:styleId="BodyTextIndent2">
    <w:name w:val="Body Text Indent 2"/>
    <w:basedOn w:val="Normal"/>
    <w:link w:val="BodyTextIndent2Char"/>
    <w:uiPriority w:val="99"/>
    <w:semiHidden/>
    <w:rsid w:val="00E20138"/>
    <w:pPr>
      <w:spacing w:after="120" w:line="480" w:lineRule="auto"/>
      <w:ind w:left="283"/>
    </w:pPr>
    <w:rPr>
      <w:rFonts w:eastAsia="MS Mincho"/>
      <w:sz w:val="20"/>
      <w:szCs w:val="20"/>
      <w:lang w:eastAsia="ja-JP"/>
    </w:rPr>
  </w:style>
  <w:style w:type="character" w:customStyle="1" w:styleId="BodyTextIndent2Char1">
    <w:name w:val="Body Text Indent 2 Char1"/>
    <w:uiPriority w:val="99"/>
    <w:semiHidden/>
    <w:rsid w:val="00E20138"/>
    <w:rPr>
      <w:sz w:val="22"/>
      <w:szCs w:val="22"/>
    </w:rPr>
  </w:style>
  <w:style w:type="character" w:customStyle="1" w:styleId="BodyTextIndent3Char">
    <w:name w:val="Body Text Indent 3 Char"/>
    <w:link w:val="BodyTextIndent3"/>
    <w:uiPriority w:val="99"/>
    <w:semiHidden/>
    <w:rsid w:val="00E20138"/>
    <w:rPr>
      <w:rFonts w:eastAsia="MS Mincho"/>
      <w:sz w:val="16"/>
      <w:szCs w:val="16"/>
      <w:lang w:eastAsia="ja-JP"/>
    </w:rPr>
  </w:style>
  <w:style w:type="paragraph" w:styleId="BodyTextIndent3">
    <w:name w:val="Body Text Indent 3"/>
    <w:basedOn w:val="Normal"/>
    <w:link w:val="BodyTextIndent3Char"/>
    <w:uiPriority w:val="99"/>
    <w:semiHidden/>
    <w:rsid w:val="00E20138"/>
    <w:pPr>
      <w:spacing w:after="120"/>
      <w:ind w:left="283"/>
    </w:pPr>
    <w:rPr>
      <w:rFonts w:eastAsia="MS Mincho"/>
      <w:sz w:val="16"/>
      <w:szCs w:val="16"/>
      <w:lang w:eastAsia="ja-JP"/>
    </w:rPr>
  </w:style>
  <w:style w:type="character" w:customStyle="1" w:styleId="BodyTextIndent3Char1">
    <w:name w:val="Body Text Indent 3 Char1"/>
    <w:uiPriority w:val="99"/>
    <w:semiHidden/>
    <w:rsid w:val="00E20138"/>
    <w:rPr>
      <w:sz w:val="16"/>
      <w:szCs w:val="16"/>
    </w:rPr>
  </w:style>
  <w:style w:type="character" w:customStyle="1" w:styleId="ClosingChar">
    <w:name w:val="Closing Char"/>
    <w:link w:val="Closing"/>
    <w:uiPriority w:val="99"/>
    <w:semiHidden/>
    <w:rsid w:val="00E20138"/>
    <w:rPr>
      <w:rFonts w:eastAsia="MS Mincho"/>
      <w:lang w:eastAsia="ja-JP"/>
    </w:rPr>
  </w:style>
  <w:style w:type="paragraph" w:styleId="Closing">
    <w:name w:val="Closing"/>
    <w:basedOn w:val="Normal"/>
    <w:link w:val="ClosingChar"/>
    <w:uiPriority w:val="99"/>
    <w:semiHidden/>
    <w:rsid w:val="00E20138"/>
    <w:pPr>
      <w:ind w:left="4252"/>
    </w:pPr>
    <w:rPr>
      <w:rFonts w:eastAsia="MS Mincho"/>
      <w:sz w:val="20"/>
      <w:szCs w:val="20"/>
      <w:lang w:eastAsia="ja-JP"/>
    </w:rPr>
  </w:style>
  <w:style w:type="character" w:customStyle="1" w:styleId="ClosingChar1">
    <w:name w:val="Closing Char1"/>
    <w:uiPriority w:val="99"/>
    <w:semiHidden/>
    <w:rsid w:val="00E20138"/>
    <w:rPr>
      <w:sz w:val="22"/>
      <w:szCs w:val="22"/>
    </w:rPr>
  </w:style>
  <w:style w:type="character" w:customStyle="1" w:styleId="DateChar">
    <w:name w:val="Date Char"/>
    <w:link w:val="Date"/>
    <w:uiPriority w:val="99"/>
    <w:semiHidden/>
    <w:rsid w:val="00E20138"/>
    <w:rPr>
      <w:rFonts w:eastAsia="MS Mincho"/>
      <w:lang w:eastAsia="ja-JP"/>
    </w:rPr>
  </w:style>
  <w:style w:type="paragraph" w:styleId="Date">
    <w:name w:val="Date"/>
    <w:basedOn w:val="Normal"/>
    <w:next w:val="Normal"/>
    <w:link w:val="DateChar"/>
    <w:uiPriority w:val="99"/>
    <w:semiHidden/>
    <w:rsid w:val="00E20138"/>
    <w:rPr>
      <w:rFonts w:eastAsia="MS Mincho"/>
      <w:sz w:val="20"/>
      <w:szCs w:val="20"/>
      <w:lang w:eastAsia="ja-JP"/>
    </w:rPr>
  </w:style>
  <w:style w:type="character" w:customStyle="1" w:styleId="DateChar1">
    <w:name w:val="Date Char1"/>
    <w:uiPriority w:val="99"/>
    <w:semiHidden/>
    <w:rsid w:val="00E20138"/>
    <w:rPr>
      <w:sz w:val="22"/>
      <w:szCs w:val="22"/>
    </w:rPr>
  </w:style>
  <w:style w:type="character" w:customStyle="1" w:styleId="QuoteChar1">
    <w:name w:val="Quote Char1"/>
    <w:uiPriority w:val="29"/>
    <w:semiHidden/>
    <w:rsid w:val="00E20138"/>
    <w:rPr>
      <w:rFonts w:ascii="Times New Roman" w:hAnsi="Times New Roman"/>
      <w:i/>
      <w:iCs/>
      <w:color w:val="000000"/>
      <w:lang w:eastAsia="en-US"/>
    </w:rPr>
  </w:style>
  <w:style w:type="character" w:customStyle="1" w:styleId="E-mailSignatureChar">
    <w:name w:val="E-mail Signature Char"/>
    <w:link w:val="E-mailSignature"/>
    <w:uiPriority w:val="99"/>
    <w:semiHidden/>
    <w:rsid w:val="00E20138"/>
    <w:rPr>
      <w:rFonts w:eastAsia="MS Mincho"/>
      <w:lang w:eastAsia="ja-JP"/>
    </w:rPr>
  </w:style>
  <w:style w:type="paragraph" w:styleId="E-mailSignature">
    <w:name w:val="E-mail Signature"/>
    <w:basedOn w:val="Normal"/>
    <w:link w:val="E-mailSignatureChar"/>
    <w:uiPriority w:val="99"/>
    <w:semiHidden/>
    <w:rsid w:val="00E20138"/>
    <w:rPr>
      <w:rFonts w:eastAsia="MS Mincho"/>
      <w:sz w:val="20"/>
      <w:szCs w:val="20"/>
      <w:lang w:eastAsia="ja-JP"/>
    </w:rPr>
  </w:style>
  <w:style w:type="character" w:customStyle="1" w:styleId="E-mailSignatureChar1">
    <w:name w:val="E-mail Signature Char1"/>
    <w:uiPriority w:val="99"/>
    <w:semiHidden/>
    <w:rsid w:val="00E20138"/>
    <w:rPr>
      <w:sz w:val="22"/>
      <w:szCs w:val="22"/>
    </w:rPr>
  </w:style>
  <w:style w:type="character" w:customStyle="1" w:styleId="HTMLAddressChar">
    <w:name w:val="HTML Address Char"/>
    <w:link w:val="HTMLAddress"/>
    <w:uiPriority w:val="99"/>
    <w:semiHidden/>
    <w:rsid w:val="00E20138"/>
    <w:rPr>
      <w:rFonts w:eastAsia="MS Mincho"/>
      <w:i/>
      <w:iCs/>
      <w:lang w:eastAsia="ja-JP"/>
    </w:rPr>
  </w:style>
  <w:style w:type="paragraph" w:styleId="HTMLAddress">
    <w:name w:val="HTML Address"/>
    <w:basedOn w:val="Normal"/>
    <w:link w:val="HTMLAddressChar"/>
    <w:uiPriority w:val="99"/>
    <w:semiHidden/>
    <w:rsid w:val="00E20138"/>
    <w:rPr>
      <w:rFonts w:eastAsia="MS Mincho"/>
      <w:i/>
      <w:iCs/>
      <w:sz w:val="20"/>
      <w:szCs w:val="20"/>
      <w:lang w:eastAsia="ja-JP"/>
    </w:rPr>
  </w:style>
  <w:style w:type="character" w:customStyle="1" w:styleId="HTMLAddressChar1">
    <w:name w:val="HTML Address Char1"/>
    <w:uiPriority w:val="99"/>
    <w:semiHidden/>
    <w:rsid w:val="00E20138"/>
    <w:rPr>
      <w:i/>
      <w:iCs/>
      <w:sz w:val="22"/>
      <w:szCs w:val="22"/>
    </w:rPr>
  </w:style>
  <w:style w:type="character" w:customStyle="1" w:styleId="HTMLPreformattedChar">
    <w:name w:val="HTML Preformatted Char"/>
    <w:link w:val="HTMLPreformatted"/>
    <w:uiPriority w:val="99"/>
    <w:semiHidden/>
    <w:rsid w:val="00E20138"/>
    <w:rPr>
      <w:rFonts w:ascii="Consolas" w:eastAsia="MS Mincho" w:hAnsi="Consolas"/>
      <w:lang w:eastAsia="ja-JP"/>
    </w:rPr>
  </w:style>
  <w:style w:type="paragraph" w:styleId="HTMLPreformatted">
    <w:name w:val="HTML Preformatted"/>
    <w:basedOn w:val="Normal"/>
    <w:link w:val="HTMLPreformattedChar"/>
    <w:uiPriority w:val="99"/>
    <w:semiHidden/>
    <w:rsid w:val="00E20138"/>
    <w:rPr>
      <w:rFonts w:ascii="Consolas" w:eastAsia="MS Mincho" w:hAnsi="Consolas"/>
      <w:sz w:val="20"/>
      <w:szCs w:val="20"/>
      <w:lang w:eastAsia="ja-JP"/>
    </w:rPr>
  </w:style>
  <w:style w:type="character" w:customStyle="1" w:styleId="HTMLPreformattedChar1">
    <w:name w:val="HTML Preformatted Char1"/>
    <w:uiPriority w:val="99"/>
    <w:semiHidden/>
    <w:rsid w:val="00E20138"/>
    <w:rPr>
      <w:rFonts w:ascii="Courier New" w:hAnsi="Courier New" w:cs="Courier New"/>
    </w:rPr>
  </w:style>
  <w:style w:type="character" w:customStyle="1" w:styleId="MacroTextChar">
    <w:name w:val="Macro Text Char"/>
    <w:link w:val="MacroText"/>
    <w:uiPriority w:val="99"/>
    <w:semiHidden/>
    <w:rsid w:val="00E20138"/>
    <w:rPr>
      <w:rFonts w:ascii="Consolas" w:hAnsi="Consolas"/>
    </w:rPr>
  </w:style>
  <w:style w:type="paragraph" w:styleId="MacroText">
    <w:name w:val="macro"/>
    <w:link w:val="MacroTextChar"/>
    <w:uiPriority w:val="99"/>
    <w:semiHidden/>
    <w:rsid w:val="00E20138"/>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rPr>
  </w:style>
  <w:style w:type="character" w:customStyle="1" w:styleId="MacroTextChar1">
    <w:name w:val="Macro Text Char1"/>
    <w:uiPriority w:val="99"/>
    <w:semiHidden/>
    <w:rsid w:val="00E20138"/>
    <w:rPr>
      <w:rFonts w:ascii="Courier New" w:hAnsi="Courier New" w:cs="Courier New"/>
    </w:rPr>
  </w:style>
  <w:style w:type="character" w:customStyle="1" w:styleId="MessageHeaderChar">
    <w:name w:val="Message Header Char"/>
    <w:link w:val="MessageHeader"/>
    <w:uiPriority w:val="99"/>
    <w:semiHidden/>
    <w:rsid w:val="00E20138"/>
    <w:rPr>
      <w:rFonts w:ascii="Arial" w:eastAsia="MS Mincho" w:hAnsi="Arial"/>
      <w:sz w:val="24"/>
      <w:szCs w:val="24"/>
      <w:shd w:val="pct20" w:color="auto" w:fill="auto"/>
      <w:lang w:eastAsia="ja-JP"/>
    </w:rPr>
  </w:style>
  <w:style w:type="paragraph" w:styleId="MessageHeader">
    <w:name w:val="Message Header"/>
    <w:basedOn w:val="Normal"/>
    <w:link w:val="MessageHeaderChar"/>
    <w:uiPriority w:val="99"/>
    <w:semiHidden/>
    <w:rsid w:val="00E2013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MS Mincho" w:hAnsi="Arial"/>
      <w:sz w:val="24"/>
      <w:szCs w:val="24"/>
      <w:lang w:eastAsia="ja-JP"/>
    </w:rPr>
  </w:style>
  <w:style w:type="character" w:customStyle="1" w:styleId="MessageHeaderChar1">
    <w:name w:val="Message Header Char1"/>
    <w:uiPriority w:val="99"/>
    <w:semiHidden/>
    <w:rsid w:val="00E20138"/>
    <w:rPr>
      <w:rFonts w:ascii="Calibri Light" w:eastAsia="Times New Roman" w:hAnsi="Calibri Light" w:cs="Times New Roman"/>
      <w:sz w:val="24"/>
      <w:szCs w:val="24"/>
      <w:shd w:val="pct20" w:color="auto" w:fill="auto"/>
    </w:rPr>
  </w:style>
  <w:style w:type="character" w:customStyle="1" w:styleId="NoteHeadingChar">
    <w:name w:val="Note Heading Char"/>
    <w:link w:val="NoteHeading"/>
    <w:uiPriority w:val="99"/>
    <w:semiHidden/>
    <w:rsid w:val="00E20138"/>
    <w:rPr>
      <w:rFonts w:eastAsia="MS Mincho"/>
      <w:lang w:eastAsia="ja-JP"/>
    </w:rPr>
  </w:style>
  <w:style w:type="paragraph" w:styleId="NoteHeading">
    <w:name w:val="Note Heading"/>
    <w:basedOn w:val="Normal"/>
    <w:next w:val="Normal"/>
    <w:link w:val="NoteHeadingChar"/>
    <w:uiPriority w:val="99"/>
    <w:semiHidden/>
    <w:rsid w:val="00E20138"/>
    <w:rPr>
      <w:rFonts w:eastAsia="MS Mincho"/>
      <w:sz w:val="20"/>
      <w:szCs w:val="20"/>
      <w:lang w:eastAsia="ja-JP"/>
    </w:rPr>
  </w:style>
  <w:style w:type="character" w:customStyle="1" w:styleId="NoteHeadingChar1">
    <w:name w:val="Note Heading Char1"/>
    <w:uiPriority w:val="99"/>
    <w:semiHidden/>
    <w:rsid w:val="00E20138"/>
    <w:rPr>
      <w:sz w:val="22"/>
      <w:szCs w:val="22"/>
    </w:rPr>
  </w:style>
  <w:style w:type="character" w:customStyle="1" w:styleId="SalutationChar">
    <w:name w:val="Salutation Char"/>
    <w:link w:val="Salutation"/>
    <w:uiPriority w:val="99"/>
    <w:semiHidden/>
    <w:rsid w:val="00E20138"/>
    <w:rPr>
      <w:rFonts w:eastAsia="MS Mincho"/>
      <w:lang w:eastAsia="ja-JP"/>
    </w:rPr>
  </w:style>
  <w:style w:type="paragraph" w:styleId="Salutation">
    <w:name w:val="Salutation"/>
    <w:basedOn w:val="Normal"/>
    <w:next w:val="Normal"/>
    <w:link w:val="SalutationChar"/>
    <w:uiPriority w:val="99"/>
    <w:semiHidden/>
    <w:rsid w:val="00E20138"/>
    <w:rPr>
      <w:rFonts w:eastAsia="MS Mincho"/>
      <w:sz w:val="20"/>
      <w:szCs w:val="20"/>
      <w:lang w:eastAsia="ja-JP"/>
    </w:rPr>
  </w:style>
  <w:style w:type="character" w:customStyle="1" w:styleId="SalutationChar1">
    <w:name w:val="Salutation Char1"/>
    <w:uiPriority w:val="99"/>
    <w:semiHidden/>
    <w:rsid w:val="00E20138"/>
    <w:rPr>
      <w:sz w:val="22"/>
      <w:szCs w:val="22"/>
    </w:rPr>
  </w:style>
  <w:style w:type="character" w:customStyle="1" w:styleId="SignatureChar">
    <w:name w:val="Signature Char"/>
    <w:link w:val="Signature"/>
    <w:uiPriority w:val="99"/>
    <w:semiHidden/>
    <w:rsid w:val="00E20138"/>
    <w:rPr>
      <w:rFonts w:eastAsia="MS Mincho"/>
      <w:lang w:eastAsia="ja-JP"/>
    </w:rPr>
  </w:style>
  <w:style w:type="paragraph" w:styleId="Signature">
    <w:name w:val="Signature"/>
    <w:basedOn w:val="Normal"/>
    <w:link w:val="SignatureChar"/>
    <w:uiPriority w:val="99"/>
    <w:semiHidden/>
    <w:rsid w:val="00E20138"/>
    <w:pPr>
      <w:ind w:left="4252"/>
    </w:pPr>
    <w:rPr>
      <w:rFonts w:eastAsia="MS Mincho"/>
      <w:sz w:val="20"/>
      <w:szCs w:val="20"/>
      <w:lang w:eastAsia="ja-JP"/>
    </w:rPr>
  </w:style>
  <w:style w:type="character" w:customStyle="1" w:styleId="SignatureChar1">
    <w:name w:val="Signature Char1"/>
    <w:uiPriority w:val="99"/>
    <w:semiHidden/>
    <w:rsid w:val="00E20138"/>
    <w:rPr>
      <w:sz w:val="22"/>
      <w:szCs w:val="22"/>
    </w:rPr>
  </w:style>
  <w:style w:type="table" w:customStyle="1" w:styleId="TableGrid1">
    <w:name w:val="Table Grid1"/>
    <w:basedOn w:val="TableNormal"/>
    <w:next w:val="TableGrid"/>
    <w:uiPriority w:val="59"/>
    <w:rsid w:val="00E20138"/>
    <w:rPr>
      <w:rFonts w:eastAsia="Calibri"/>
      <w: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20138"/>
    <w:rPr>
      <w:rFonts w:eastAsia="Calibri"/>
      <w: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uiPriority w:val="99"/>
    <w:semiHidden/>
    <w:unhideWhenUsed/>
    <w:rsid w:val="00E20138"/>
    <w:pPr>
      <w:pBdr>
        <w:top w:val="single" w:sz="2" w:space="10" w:color="4F81BD" w:shadow="1"/>
        <w:left w:val="single" w:sz="2" w:space="10" w:color="4F81BD" w:shadow="1"/>
        <w:bottom w:val="single" w:sz="2" w:space="10" w:color="4F81BD" w:shadow="1"/>
        <w:right w:val="single" w:sz="2" w:space="10" w:color="4F81BD" w:shadow="1"/>
      </w:pBdr>
      <w:spacing w:before="60" w:after="180"/>
      <w:ind w:left="1152" w:right="1152"/>
    </w:pPr>
    <w:rPr>
      <w:rFonts w:ascii="Arial" w:hAnsi="Arial"/>
      <w:i/>
      <w:iCs/>
      <w:color w:val="4F81BD"/>
      <w:szCs w:val="20"/>
      <w:lang w:eastAsia="en-US"/>
    </w:rPr>
  </w:style>
  <w:style w:type="paragraph" w:styleId="EnvelopeAddress">
    <w:name w:val="envelope address"/>
    <w:basedOn w:val="Normal"/>
    <w:uiPriority w:val="99"/>
    <w:semiHidden/>
    <w:unhideWhenUsed/>
    <w:rsid w:val="00E20138"/>
    <w:pPr>
      <w:framePr w:w="7920" w:h="1980" w:hRule="exact" w:hSpace="180" w:wrap="auto" w:hAnchor="page" w:xAlign="center" w:yAlign="bottom"/>
      <w:spacing w:before="60" w:after="180"/>
      <w:ind w:left="2880"/>
    </w:pPr>
    <w:rPr>
      <w:rFonts w:ascii="Arial" w:hAnsi="Arial"/>
      <w:sz w:val="24"/>
      <w:szCs w:val="24"/>
      <w:lang w:eastAsia="en-US"/>
    </w:rPr>
  </w:style>
  <w:style w:type="paragraph" w:styleId="EnvelopeReturn">
    <w:name w:val="envelope return"/>
    <w:basedOn w:val="Normal"/>
    <w:uiPriority w:val="99"/>
    <w:semiHidden/>
    <w:unhideWhenUsed/>
    <w:rsid w:val="00E20138"/>
    <w:pPr>
      <w:spacing w:before="60" w:after="180"/>
    </w:pPr>
    <w:rPr>
      <w:rFonts w:ascii="Arial" w:hAnsi="Arial"/>
      <w:sz w:val="20"/>
      <w:szCs w:val="20"/>
      <w:lang w:eastAsia="en-US"/>
    </w:rPr>
  </w:style>
  <w:style w:type="paragraph" w:styleId="Index1">
    <w:name w:val="index 1"/>
    <w:basedOn w:val="Normal"/>
    <w:next w:val="Normal"/>
    <w:autoRedefine/>
    <w:uiPriority w:val="99"/>
    <w:semiHidden/>
    <w:unhideWhenUsed/>
    <w:rsid w:val="00E20138"/>
    <w:pPr>
      <w:spacing w:before="60" w:after="180"/>
      <w:ind w:left="220" w:hanging="220"/>
    </w:pPr>
    <w:rPr>
      <w:rFonts w:ascii="Times New Roman" w:hAnsi="Times New Roman"/>
      <w:szCs w:val="20"/>
      <w:lang w:eastAsia="en-US"/>
    </w:rPr>
  </w:style>
  <w:style w:type="paragraph" w:styleId="Index2">
    <w:name w:val="index 2"/>
    <w:basedOn w:val="Normal"/>
    <w:next w:val="Normal"/>
    <w:autoRedefine/>
    <w:uiPriority w:val="99"/>
    <w:semiHidden/>
    <w:unhideWhenUsed/>
    <w:rsid w:val="00E20138"/>
    <w:pPr>
      <w:spacing w:before="60" w:after="180"/>
      <w:ind w:left="440" w:hanging="220"/>
    </w:pPr>
    <w:rPr>
      <w:rFonts w:ascii="Times New Roman" w:hAnsi="Times New Roman"/>
      <w:szCs w:val="20"/>
      <w:lang w:eastAsia="en-US"/>
    </w:rPr>
  </w:style>
  <w:style w:type="paragraph" w:styleId="Index3">
    <w:name w:val="index 3"/>
    <w:basedOn w:val="Normal"/>
    <w:next w:val="Normal"/>
    <w:autoRedefine/>
    <w:uiPriority w:val="99"/>
    <w:semiHidden/>
    <w:unhideWhenUsed/>
    <w:rsid w:val="00E20138"/>
    <w:pPr>
      <w:spacing w:before="60" w:after="180"/>
      <w:ind w:left="660" w:hanging="220"/>
    </w:pPr>
    <w:rPr>
      <w:rFonts w:ascii="Times New Roman" w:hAnsi="Times New Roman"/>
      <w:szCs w:val="20"/>
      <w:lang w:eastAsia="en-US"/>
    </w:rPr>
  </w:style>
  <w:style w:type="paragraph" w:styleId="Index4">
    <w:name w:val="index 4"/>
    <w:basedOn w:val="Normal"/>
    <w:next w:val="Normal"/>
    <w:autoRedefine/>
    <w:uiPriority w:val="99"/>
    <w:semiHidden/>
    <w:unhideWhenUsed/>
    <w:rsid w:val="00E20138"/>
    <w:pPr>
      <w:spacing w:before="60" w:after="180"/>
      <w:ind w:left="880" w:hanging="220"/>
    </w:pPr>
    <w:rPr>
      <w:rFonts w:ascii="Times New Roman" w:hAnsi="Times New Roman"/>
      <w:szCs w:val="20"/>
      <w:lang w:eastAsia="en-US"/>
    </w:rPr>
  </w:style>
  <w:style w:type="paragraph" w:styleId="Index5">
    <w:name w:val="index 5"/>
    <w:basedOn w:val="Normal"/>
    <w:next w:val="Normal"/>
    <w:autoRedefine/>
    <w:uiPriority w:val="99"/>
    <w:semiHidden/>
    <w:unhideWhenUsed/>
    <w:rsid w:val="00E20138"/>
    <w:pPr>
      <w:spacing w:before="60" w:after="180"/>
      <w:ind w:left="1100" w:hanging="220"/>
    </w:pPr>
    <w:rPr>
      <w:rFonts w:ascii="Times New Roman" w:hAnsi="Times New Roman"/>
      <w:szCs w:val="20"/>
      <w:lang w:eastAsia="en-US"/>
    </w:rPr>
  </w:style>
  <w:style w:type="paragraph" w:styleId="Index6">
    <w:name w:val="index 6"/>
    <w:basedOn w:val="Normal"/>
    <w:next w:val="Normal"/>
    <w:autoRedefine/>
    <w:uiPriority w:val="99"/>
    <w:semiHidden/>
    <w:unhideWhenUsed/>
    <w:rsid w:val="00E20138"/>
    <w:pPr>
      <w:spacing w:before="60" w:after="180"/>
      <w:ind w:left="1320" w:hanging="220"/>
    </w:pPr>
    <w:rPr>
      <w:rFonts w:ascii="Times New Roman" w:hAnsi="Times New Roman"/>
      <w:szCs w:val="20"/>
      <w:lang w:eastAsia="en-US"/>
    </w:rPr>
  </w:style>
  <w:style w:type="paragraph" w:styleId="Index7">
    <w:name w:val="index 7"/>
    <w:basedOn w:val="Normal"/>
    <w:next w:val="Normal"/>
    <w:autoRedefine/>
    <w:uiPriority w:val="99"/>
    <w:semiHidden/>
    <w:unhideWhenUsed/>
    <w:rsid w:val="00E20138"/>
    <w:pPr>
      <w:spacing w:before="60" w:after="180"/>
      <w:ind w:left="1540" w:hanging="220"/>
    </w:pPr>
    <w:rPr>
      <w:rFonts w:ascii="Times New Roman" w:hAnsi="Times New Roman"/>
      <w:szCs w:val="20"/>
      <w:lang w:eastAsia="en-US"/>
    </w:rPr>
  </w:style>
  <w:style w:type="paragraph" w:styleId="Index8">
    <w:name w:val="index 8"/>
    <w:basedOn w:val="Normal"/>
    <w:next w:val="Normal"/>
    <w:autoRedefine/>
    <w:uiPriority w:val="99"/>
    <w:semiHidden/>
    <w:unhideWhenUsed/>
    <w:rsid w:val="00E20138"/>
    <w:pPr>
      <w:spacing w:before="60" w:after="180"/>
      <w:ind w:left="1760" w:hanging="220"/>
    </w:pPr>
    <w:rPr>
      <w:rFonts w:ascii="Times New Roman" w:hAnsi="Times New Roman"/>
      <w:szCs w:val="20"/>
      <w:lang w:eastAsia="en-US"/>
    </w:rPr>
  </w:style>
  <w:style w:type="paragraph" w:styleId="Index9">
    <w:name w:val="index 9"/>
    <w:basedOn w:val="Normal"/>
    <w:next w:val="Normal"/>
    <w:autoRedefine/>
    <w:uiPriority w:val="99"/>
    <w:semiHidden/>
    <w:unhideWhenUsed/>
    <w:rsid w:val="00E20138"/>
    <w:pPr>
      <w:spacing w:before="60" w:after="180"/>
      <w:ind w:left="1980" w:hanging="220"/>
    </w:pPr>
    <w:rPr>
      <w:rFonts w:ascii="Times New Roman" w:hAnsi="Times New Roman"/>
      <w:szCs w:val="20"/>
      <w:lang w:eastAsia="en-US"/>
    </w:rPr>
  </w:style>
  <w:style w:type="paragraph" w:styleId="IndexHeading">
    <w:name w:val="index heading"/>
    <w:basedOn w:val="Normal"/>
    <w:next w:val="Index1"/>
    <w:uiPriority w:val="99"/>
    <w:semiHidden/>
    <w:unhideWhenUsed/>
    <w:rsid w:val="00E20138"/>
    <w:pPr>
      <w:spacing w:before="60" w:after="180"/>
    </w:pPr>
    <w:rPr>
      <w:rFonts w:ascii="Arial" w:hAnsi="Arial"/>
      <w:b/>
      <w:bCs/>
      <w:szCs w:val="20"/>
      <w:lang w:eastAsia="en-US"/>
    </w:rPr>
  </w:style>
  <w:style w:type="paragraph" w:styleId="List2">
    <w:name w:val="List 2"/>
    <w:basedOn w:val="Normal"/>
    <w:uiPriority w:val="99"/>
    <w:semiHidden/>
    <w:unhideWhenUsed/>
    <w:rsid w:val="00E20138"/>
    <w:pPr>
      <w:spacing w:before="60" w:after="180"/>
      <w:ind w:left="566" w:hanging="283"/>
      <w:contextualSpacing/>
    </w:pPr>
    <w:rPr>
      <w:rFonts w:ascii="Times New Roman" w:hAnsi="Times New Roman"/>
      <w:szCs w:val="20"/>
      <w:lang w:eastAsia="en-US"/>
    </w:rPr>
  </w:style>
  <w:style w:type="paragraph" w:styleId="List3">
    <w:name w:val="List 3"/>
    <w:basedOn w:val="Normal"/>
    <w:uiPriority w:val="99"/>
    <w:semiHidden/>
    <w:unhideWhenUsed/>
    <w:rsid w:val="00E20138"/>
    <w:pPr>
      <w:spacing w:before="60" w:after="180"/>
      <w:ind w:left="849" w:hanging="283"/>
      <w:contextualSpacing/>
    </w:pPr>
    <w:rPr>
      <w:rFonts w:ascii="Times New Roman" w:hAnsi="Times New Roman"/>
      <w:szCs w:val="20"/>
      <w:lang w:eastAsia="en-US"/>
    </w:rPr>
  </w:style>
  <w:style w:type="paragraph" w:styleId="List4">
    <w:name w:val="List 4"/>
    <w:basedOn w:val="Normal"/>
    <w:uiPriority w:val="99"/>
    <w:semiHidden/>
    <w:unhideWhenUsed/>
    <w:rsid w:val="00E20138"/>
    <w:pPr>
      <w:spacing w:before="60" w:after="180"/>
      <w:ind w:left="1132" w:hanging="283"/>
      <w:contextualSpacing/>
    </w:pPr>
    <w:rPr>
      <w:rFonts w:ascii="Times New Roman" w:hAnsi="Times New Roman"/>
      <w:szCs w:val="20"/>
      <w:lang w:eastAsia="en-US"/>
    </w:rPr>
  </w:style>
  <w:style w:type="paragraph" w:styleId="List5">
    <w:name w:val="List 5"/>
    <w:basedOn w:val="Normal"/>
    <w:uiPriority w:val="99"/>
    <w:semiHidden/>
    <w:unhideWhenUsed/>
    <w:rsid w:val="00E20138"/>
    <w:pPr>
      <w:spacing w:before="60" w:after="180"/>
      <w:ind w:left="1415" w:hanging="283"/>
      <w:contextualSpacing/>
    </w:pPr>
    <w:rPr>
      <w:rFonts w:ascii="Times New Roman" w:hAnsi="Times New Roman"/>
      <w:szCs w:val="20"/>
      <w:lang w:eastAsia="en-US"/>
    </w:rPr>
  </w:style>
  <w:style w:type="paragraph" w:styleId="ListContinue">
    <w:name w:val="List Continue"/>
    <w:basedOn w:val="Normal"/>
    <w:uiPriority w:val="99"/>
    <w:semiHidden/>
    <w:unhideWhenUsed/>
    <w:rsid w:val="00E20138"/>
    <w:pPr>
      <w:spacing w:before="60" w:after="120"/>
      <w:ind w:left="283"/>
      <w:contextualSpacing/>
    </w:pPr>
    <w:rPr>
      <w:rFonts w:ascii="Times New Roman" w:hAnsi="Times New Roman"/>
      <w:szCs w:val="20"/>
      <w:lang w:eastAsia="en-US"/>
    </w:rPr>
  </w:style>
  <w:style w:type="paragraph" w:styleId="ListContinue2">
    <w:name w:val="List Continue 2"/>
    <w:basedOn w:val="Normal"/>
    <w:uiPriority w:val="99"/>
    <w:semiHidden/>
    <w:unhideWhenUsed/>
    <w:rsid w:val="00E20138"/>
    <w:pPr>
      <w:spacing w:before="60" w:after="120"/>
      <w:ind w:left="566"/>
      <w:contextualSpacing/>
    </w:pPr>
    <w:rPr>
      <w:rFonts w:ascii="Times New Roman" w:hAnsi="Times New Roman"/>
      <w:szCs w:val="20"/>
      <w:lang w:eastAsia="en-US"/>
    </w:rPr>
  </w:style>
  <w:style w:type="paragraph" w:styleId="ListContinue3">
    <w:name w:val="List Continue 3"/>
    <w:basedOn w:val="Normal"/>
    <w:uiPriority w:val="99"/>
    <w:semiHidden/>
    <w:unhideWhenUsed/>
    <w:rsid w:val="00E20138"/>
    <w:pPr>
      <w:spacing w:before="60" w:after="120"/>
      <w:ind w:left="849"/>
      <w:contextualSpacing/>
    </w:pPr>
    <w:rPr>
      <w:rFonts w:ascii="Times New Roman" w:hAnsi="Times New Roman"/>
      <w:szCs w:val="20"/>
      <w:lang w:eastAsia="en-US"/>
    </w:rPr>
  </w:style>
  <w:style w:type="paragraph" w:styleId="ListContinue4">
    <w:name w:val="List Continue 4"/>
    <w:basedOn w:val="Normal"/>
    <w:uiPriority w:val="99"/>
    <w:semiHidden/>
    <w:unhideWhenUsed/>
    <w:rsid w:val="00E20138"/>
    <w:pPr>
      <w:spacing w:before="60" w:after="120"/>
      <w:ind w:left="1132"/>
      <w:contextualSpacing/>
    </w:pPr>
    <w:rPr>
      <w:rFonts w:ascii="Times New Roman" w:hAnsi="Times New Roman"/>
      <w:szCs w:val="20"/>
      <w:lang w:eastAsia="en-US"/>
    </w:rPr>
  </w:style>
  <w:style w:type="paragraph" w:styleId="ListContinue5">
    <w:name w:val="List Continue 5"/>
    <w:basedOn w:val="Normal"/>
    <w:uiPriority w:val="99"/>
    <w:semiHidden/>
    <w:unhideWhenUsed/>
    <w:rsid w:val="00E20138"/>
    <w:pPr>
      <w:spacing w:before="60" w:after="120"/>
      <w:ind w:left="1415"/>
      <w:contextualSpacing/>
    </w:pPr>
    <w:rPr>
      <w:rFonts w:ascii="Times New Roman" w:hAnsi="Times New Roman"/>
      <w:szCs w:val="20"/>
      <w:lang w:eastAsia="en-US"/>
    </w:rPr>
  </w:style>
  <w:style w:type="paragraph" w:styleId="ListNumber">
    <w:name w:val="List Number"/>
    <w:basedOn w:val="Normal"/>
    <w:uiPriority w:val="99"/>
    <w:semiHidden/>
    <w:unhideWhenUsed/>
    <w:rsid w:val="00E20138"/>
    <w:pPr>
      <w:tabs>
        <w:tab w:val="num" w:pos="360"/>
      </w:tabs>
      <w:spacing w:before="60" w:after="180"/>
      <w:ind w:left="360" w:hanging="360"/>
      <w:contextualSpacing/>
    </w:pPr>
    <w:rPr>
      <w:rFonts w:ascii="Times New Roman" w:hAnsi="Times New Roman"/>
      <w:szCs w:val="20"/>
      <w:lang w:eastAsia="en-US"/>
    </w:rPr>
  </w:style>
  <w:style w:type="paragraph" w:styleId="ListNumber2">
    <w:name w:val="List Number 2"/>
    <w:basedOn w:val="Normal"/>
    <w:uiPriority w:val="99"/>
    <w:semiHidden/>
    <w:unhideWhenUsed/>
    <w:rsid w:val="00E20138"/>
    <w:pPr>
      <w:tabs>
        <w:tab w:val="num" w:pos="643"/>
      </w:tabs>
      <w:spacing w:before="60" w:after="180"/>
      <w:ind w:left="643" w:hanging="360"/>
      <w:contextualSpacing/>
    </w:pPr>
    <w:rPr>
      <w:rFonts w:ascii="Times New Roman" w:hAnsi="Times New Roman"/>
      <w:szCs w:val="20"/>
      <w:lang w:eastAsia="en-US"/>
    </w:rPr>
  </w:style>
  <w:style w:type="paragraph" w:styleId="ListNumber3">
    <w:name w:val="List Number 3"/>
    <w:basedOn w:val="Normal"/>
    <w:uiPriority w:val="99"/>
    <w:semiHidden/>
    <w:unhideWhenUsed/>
    <w:rsid w:val="00E20138"/>
    <w:pPr>
      <w:tabs>
        <w:tab w:val="num" w:pos="926"/>
      </w:tabs>
      <w:spacing w:before="60" w:after="180"/>
      <w:ind w:left="926" w:hanging="360"/>
      <w:contextualSpacing/>
    </w:pPr>
    <w:rPr>
      <w:rFonts w:ascii="Times New Roman" w:hAnsi="Times New Roman"/>
      <w:szCs w:val="20"/>
      <w:lang w:eastAsia="en-US"/>
    </w:rPr>
  </w:style>
  <w:style w:type="paragraph" w:styleId="ListNumber4">
    <w:name w:val="List Number 4"/>
    <w:basedOn w:val="Normal"/>
    <w:uiPriority w:val="99"/>
    <w:semiHidden/>
    <w:unhideWhenUsed/>
    <w:rsid w:val="00E20138"/>
    <w:pPr>
      <w:numPr>
        <w:numId w:val="16"/>
      </w:numPr>
      <w:spacing w:before="60" w:after="180"/>
      <w:contextualSpacing/>
    </w:pPr>
    <w:rPr>
      <w:rFonts w:ascii="Times New Roman" w:hAnsi="Times New Roman"/>
      <w:szCs w:val="20"/>
      <w:lang w:eastAsia="en-US"/>
    </w:rPr>
  </w:style>
  <w:style w:type="paragraph" w:styleId="ListNumber5">
    <w:name w:val="List Number 5"/>
    <w:basedOn w:val="Normal"/>
    <w:uiPriority w:val="99"/>
    <w:semiHidden/>
    <w:unhideWhenUsed/>
    <w:rsid w:val="00E20138"/>
    <w:pPr>
      <w:numPr>
        <w:numId w:val="17"/>
      </w:numPr>
      <w:spacing w:before="60" w:after="180"/>
      <w:contextualSpacing/>
    </w:pPr>
    <w:rPr>
      <w:rFonts w:ascii="Times New Roman" w:hAnsi="Times New Roman"/>
      <w:szCs w:val="20"/>
      <w:lang w:eastAsia="en-US"/>
    </w:rPr>
  </w:style>
  <w:style w:type="paragraph" w:styleId="TableofAuthorities">
    <w:name w:val="table of authorities"/>
    <w:basedOn w:val="Normal"/>
    <w:next w:val="Normal"/>
    <w:uiPriority w:val="99"/>
    <w:semiHidden/>
    <w:unhideWhenUsed/>
    <w:rsid w:val="00E20138"/>
    <w:pPr>
      <w:spacing w:before="60" w:after="180"/>
      <w:ind w:left="220" w:hanging="220"/>
    </w:pPr>
    <w:rPr>
      <w:rFonts w:ascii="Times New Roman" w:hAnsi="Times New Roman"/>
      <w:szCs w:val="20"/>
      <w:lang w:eastAsia="en-US"/>
    </w:rPr>
  </w:style>
  <w:style w:type="paragraph" w:styleId="TOAHeading">
    <w:name w:val="toa heading"/>
    <w:basedOn w:val="Normal"/>
    <w:next w:val="Normal"/>
    <w:uiPriority w:val="99"/>
    <w:semiHidden/>
    <w:rsid w:val="00E20138"/>
    <w:pPr>
      <w:spacing w:before="120" w:after="180"/>
    </w:pPr>
    <w:rPr>
      <w:rFonts w:ascii="Arial" w:hAnsi="Arial"/>
      <w:b/>
      <w:bCs/>
      <w:sz w:val="24"/>
      <w:szCs w:val="24"/>
      <w:lang w:eastAsia="en-US"/>
    </w:rPr>
  </w:style>
  <w:style w:type="paragraph" w:customStyle="1" w:styleId="Headline">
    <w:name w:val="Headline"/>
    <w:basedOn w:val="Normal"/>
    <w:next w:val="Normal"/>
    <w:semiHidden/>
    <w:rsid w:val="00E20138"/>
    <w:pPr>
      <w:spacing w:before="60" w:after="180"/>
    </w:pPr>
    <w:rPr>
      <w:rFonts w:ascii="Times New Roman" w:hAnsi="Times New Roman"/>
      <w:b/>
      <w:sz w:val="48"/>
      <w:szCs w:val="20"/>
      <w:lang w:eastAsia="en-US"/>
    </w:rPr>
  </w:style>
  <w:style w:type="paragraph" w:customStyle="1" w:styleId="Bulletindent">
    <w:name w:val="Bullet indent"/>
    <w:basedOn w:val="Bullet"/>
    <w:next w:val="BodyText"/>
    <w:semiHidden/>
    <w:qFormat/>
    <w:rsid w:val="00E20138"/>
    <w:pPr>
      <w:numPr>
        <w:numId w:val="0"/>
      </w:numPr>
      <w:tabs>
        <w:tab w:val="left" w:pos="794"/>
      </w:tabs>
      <w:ind w:left="794" w:hanging="397"/>
    </w:pPr>
  </w:style>
  <w:style w:type="paragraph" w:customStyle="1" w:styleId="Acknowledgements">
    <w:name w:val="Acknowledgements"/>
    <w:basedOn w:val="Normal"/>
    <w:semiHidden/>
    <w:rsid w:val="00E20138"/>
    <w:pPr>
      <w:spacing w:before="60" w:after="60"/>
    </w:pPr>
    <w:rPr>
      <w:rFonts w:ascii="Times New Roman" w:hAnsi="Times New Roman"/>
      <w:szCs w:val="20"/>
      <w:lang w:eastAsia="en-US"/>
    </w:rPr>
  </w:style>
  <w:style w:type="paragraph" w:customStyle="1" w:styleId="Acknowledgementsbolditalics">
    <w:name w:val="Acknowledgements bold italics"/>
    <w:basedOn w:val="Normal"/>
    <w:semiHidden/>
    <w:rsid w:val="00E20138"/>
    <w:pPr>
      <w:spacing w:before="160"/>
    </w:pPr>
    <w:rPr>
      <w:rFonts w:ascii="Times New Roman" w:hAnsi="Times New Roman"/>
      <w:b/>
      <w:i/>
      <w:szCs w:val="20"/>
      <w:lang w:eastAsia="en-US"/>
    </w:rPr>
  </w:style>
  <w:style w:type="numbering" w:customStyle="1" w:styleId="NoList1">
    <w:name w:val="No List1"/>
    <w:next w:val="NoList"/>
    <w:uiPriority w:val="99"/>
    <w:semiHidden/>
    <w:unhideWhenUsed/>
    <w:rsid w:val="00E20138"/>
  </w:style>
  <w:style w:type="character" w:customStyle="1" w:styleId="PlainTextChar">
    <w:name w:val="Plain Text Char"/>
    <w:aliases w:val=" Char2 Char,Char2 Char"/>
    <w:link w:val="PlainText"/>
    <w:uiPriority w:val="99"/>
    <w:semiHidden/>
    <w:rsid w:val="00E20138"/>
    <w:rPr>
      <w:rFonts w:ascii="Verdana" w:hAnsi="Verdana"/>
      <w:szCs w:val="21"/>
    </w:rPr>
  </w:style>
  <w:style w:type="paragraph" w:styleId="PlainText">
    <w:name w:val="Plain Text"/>
    <w:aliases w:val=" Char2,Char2"/>
    <w:basedOn w:val="Normal"/>
    <w:link w:val="PlainTextChar"/>
    <w:uiPriority w:val="99"/>
    <w:semiHidden/>
    <w:rsid w:val="00E20138"/>
    <w:pPr>
      <w:spacing w:after="120"/>
    </w:pPr>
    <w:rPr>
      <w:rFonts w:ascii="Verdana" w:hAnsi="Verdana"/>
      <w:sz w:val="20"/>
      <w:szCs w:val="21"/>
    </w:rPr>
  </w:style>
  <w:style w:type="character" w:customStyle="1" w:styleId="PlainTextChar2">
    <w:name w:val="Plain Text Char2"/>
    <w:uiPriority w:val="99"/>
    <w:semiHidden/>
    <w:rsid w:val="00E20138"/>
    <w:rPr>
      <w:rFonts w:ascii="Courier New" w:hAnsi="Courier New" w:cs="Courier New"/>
    </w:rPr>
  </w:style>
  <w:style w:type="paragraph" w:customStyle="1" w:styleId="Bulletfirst">
    <w:name w:val="Bullet first"/>
    <w:basedOn w:val="Bullet"/>
    <w:semiHidden/>
    <w:qFormat/>
    <w:rsid w:val="00E20138"/>
    <w:pPr>
      <w:numPr>
        <w:numId w:val="0"/>
      </w:numPr>
      <w:ind w:left="851" w:hanging="284"/>
    </w:pPr>
  </w:style>
  <w:style w:type="paragraph" w:customStyle="1" w:styleId="Bulletlast">
    <w:name w:val="Bullet last"/>
    <w:basedOn w:val="Bullet"/>
    <w:semiHidden/>
    <w:qFormat/>
    <w:rsid w:val="00E20138"/>
    <w:pPr>
      <w:numPr>
        <w:numId w:val="0"/>
      </w:numPr>
      <w:ind w:left="397" w:hanging="397"/>
    </w:pPr>
  </w:style>
  <w:style w:type="numbering" w:customStyle="1" w:styleId="Annex">
    <w:name w:val="Annex"/>
    <w:uiPriority w:val="99"/>
    <w:rsid w:val="00E20138"/>
    <w:pPr>
      <w:numPr>
        <w:numId w:val="18"/>
      </w:numPr>
    </w:pPr>
  </w:style>
  <w:style w:type="paragraph" w:customStyle="1" w:styleId="Contentssubhead">
    <w:name w:val="Contents subhead"/>
    <w:basedOn w:val="ContentsHeading"/>
    <w:uiPriority w:val="2"/>
    <w:semiHidden/>
    <w:qFormat/>
    <w:rsid w:val="00E20138"/>
    <w:pPr>
      <w:pBdr>
        <w:bottom w:val="none" w:sz="0" w:space="0" w:color="auto"/>
      </w:pBdr>
      <w:outlineLvl w:val="0"/>
    </w:pPr>
    <w:rPr>
      <w:sz w:val="40"/>
    </w:rPr>
  </w:style>
  <w:style w:type="paragraph" w:styleId="ListParagraph">
    <w:name w:val="List Paragraph"/>
    <w:basedOn w:val="Normal"/>
    <w:uiPriority w:val="34"/>
    <w:semiHidden/>
    <w:qFormat/>
    <w:rsid w:val="00E20138"/>
    <w:pPr>
      <w:spacing w:after="120"/>
      <w:ind w:left="720"/>
      <w:contextualSpacing/>
    </w:pPr>
    <w:rPr>
      <w:rFonts w:eastAsia="Malgun Gothic"/>
      <w:sz w:val="20"/>
      <w:lang w:eastAsia="en-US"/>
    </w:rPr>
  </w:style>
  <w:style w:type="character" w:styleId="EndnoteReference">
    <w:name w:val="endnote reference"/>
    <w:uiPriority w:val="99"/>
    <w:semiHidden/>
    <w:unhideWhenUsed/>
    <w:rsid w:val="00E20138"/>
    <w:rPr>
      <w:vertAlign w:val="superscript"/>
    </w:rPr>
  </w:style>
  <w:style w:type="character" w:customStyle="1" w:styleId="NIRTitleChar">
    <w:name w:val="NIR Title Char"/>
    <w:link w:val="NIRTitle"/>
    <w:semiHidden/>
    <w:locked/>
    <w:rsid w:val="00E20138"/>
    <w:rPr>
      <w:rFonts w:ascii="Calibri Light" w:eastAsia="Malgun Gothic" w:hAnsi="Calibri Light"/>
      <w:color w:val="323E4F"/>
      <w:spacing w:val="5"/>
      <w:kern w:val="28"/>
      <w:sz w:val="52"/>
      <w:szCs w:val="52"/>
    </w:rPr>
  </w:style>
  <w:style w:type="paragraph" w:customStyle="1" w:styleId="NIRTitle">
    <w:name w:val="NIR Title"/>
    <w:basedOn w:val="Title"/>
    <w:link w:val="NIRTitleChar"/>
    <w:semiHidden/>
    <w:qFormat/>
    <w:rsid w:val="00E20138"/>
    <w:pPr>
      <w:pBdr>
        <w:bottom w:val="single" w:sz="8" w:space="4" w:color="5B9BD5"/>
      </w:pBdr>
      <w:spacing w:after="300" w:line="240" w:lineRule="auto"/>
      <w:contextualSpacing/>
      <w:jc w:val="both"/>
    </w:pPr>
    <w:rPr>
      <w:rFonts w:ascii="Calibri Light" w:eastAsia="Malgun Gothic" w:hAnsi="Calibri Light"/>
      <w:b w:val="0"/>
      <w:color w:val="323E4F"/>
      <w:spacing w:val="5"/>
      <w:kern w:val="28"/>
      <w:sz w:val="52"/>
      <w:szCs w:val="52"/>
    </w:rPr>
  </w:style>
  <w:style w:type="paragraph" w:customStyle="1" w:styleId="TableHeading">
    <w:name w:val="Table Heading"/>
    <w:basedOn w:val="TableText"/>
    <w:semiHidden/>
    <w:rsid w:val="00E20138"/>
    <w:pPr>
      <w:tabs>
        <w:tab w:val="left" w:pos="567"/>
      </w:tabs>
    </w:pPr>
    <w:rPr>
      <w:rFonts w:ascii="Arial Bold" w:hAnsi="Arial Bold"/>
      <w:b/>
      <w:noProof/>
      <w:szCs w:val="16"/>
    </w:rPr>
  </w:style>
  <w:style w:type="table" w:styleId="ColorfulList-Accent6">
    <w:name w:val="Colorful List Accent 6"/>
    <w:basedOn w:val="TableNormal"/>
    <w:uiPriority w:val="72"/>
    <w:rsid w:val="00E20138"/>
    <w:rPr>
      <w:rFonts w:ascii="Arial" w:hAnsi="Arial"/>
      <w:color w:val="000000"/>
      <w:sz w:val="16"/>
    </w:rPr>
    <w:tblPr>
      <w:tblStyleRowBandSize w:val="1"/>
      <w:tblStyleColBandSize w:val="1"/>
    </w:tblPr>
    <w:tcPr>
      <w:shd w:val="clear" w:color="auto" w:fill="FFFFFF"/>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rFonts w:ascii="Arial" w:hAnsi="Arial"/>
        <w:b w:val="0"/>
        <w:bCs/>
        <w:sz w:val="16"/>
      </w:rPr>
    </w:tblStylePr>
    <w:tblStylePr w:type="lastCol">
      <w:rPr>
        <w:rFonts w:ascii="Arial" w:hAnsi="Arial"/>
        <w:b w:val="0"/>
        <w:bCs/>
        <w:sz w:val="16"/>
      </w:rPr>
      <w:tblPr/>
      <w:tcPr>
        <w:tcBorders>
          <w:insideH w:val="nil"/>
        </w:tcBorders>
        <w:shd w:val="clear" w:color="auto" w:fill="FFFFFF"/>
      </w:tcPr>
    </w:tblStylePr>
    <w:tblStylePr w:type="band1Horz">
      <w:tblPr/>
      <w:tcPr>
        <w:shd w:val="clear" w:color="auto" w:fill="FFFFFF"/>
      </w:tcPr>
    </w:tblStylePr>
    <w:tblStylePr w:type="band2Horz">
      <w:tblPr/>
      <w:tcPr>
        <w:shd w:val="clear" w:color="auto" w:fill="FFFFFF"/>
      </w:tcPr>
    </w:tblStylePr>
  </w:style>
  <w:style w:type="table" w:styleId="LightList-Accent5">
    <w:name w:val="Light List Accent 5"/>
    <w:basedOn w:val="TableNormal"/>
    <w:uiPriority w:val="61"/>
    <w:rsid w:val="00E20138"/>
    <w:rPr>
      <w:rFonts w:ascii="Times New Roman" w:hAnsi="Times New Roman"/>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numbering" w:customStyle="1" w:styleId="Annex1">
    <w:name w:val="Annex1"/>
    <w:uiPriority w:val="99"/>
    <w:rsid w:val="00E20138"/>
  </w:style>
  <w:style w:type="numbering" w:customStyle="1" w:styleId="Annex11">
    <w:name w:val="Annex11"/>
    <w:uiPriority w:val="99"/>
    <w:rsid w:val="00E20138"/>
  </w:style>
  <w:style w:type="numbering" w:customStyle="1" w:styleId="NoList2">
    <w:name w:val="No List2"/>
    <w:next w:val="NoList"/>
    <w:uiPriority w:val="99"/>
    <w:semiHidden/>
    <w:unhideWhenUsed/>
    <w:rsid w:val="00E20138"/>
  </w:style>
  <w:style w:type="table" w:customStyle="1" w:styleId="TableGrid3">
    <w:name w:val="Table Grid3"/>
    <w:basedOn w:val="TableNormal"/>
    <w:next w:val="TableGrid"/>
    <w:uiPriority w:val="59"/>
    <w:rsid w:val="00E20138"/>
    <w:pPr>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31">
    <w:name w:val="Table 3D effects 31"/>
    <w:basedOn w:val="TableNormal"/>
    <w:next w:val="Table3Deffects3"/>
    <w:rsid w:val="00E20138"/>
    <w:rPr>
      <w:rFonts w:ascii="Times New Roman" w:hAnsi="Times New Roman"/>
      <w: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List-Accent12">
    <w:name w:val="Light List - Accent 12"/>
    <w:basedOn w:val="TableNormal"/>
    <w:next w:val="LightList-Accent1"/>
    <w:uiPriority w:val="61"/>
    <w:rsid w:val="00E20138"/>
    <w:pPr>
      <w:jc w:val="right"/>
    </w:pPr>
    <w:rPr>
      <w:rFonts w:ascii="Arial" w:hAnsi="Arial"/>
      <w:szCs w:val="22"/>
      <w:lang w:eastAsia="en-US"/>
    </w:rPr>
    <w:tblPr>
      <w:tblStyleRowBandSize w:val="1"/>
      <w:tblStyleColBandSize w:val="1"/>
      <w:tblBorders>
        <w:top w:val="single" w:sz="8" w:space="0" w:color="1F497D"/>
        <w:bottom w:val="single" w:sz="8" w:space="0" w:color="1F497D"/>
        <w:insideH w:val="single" w:sz="8" w:space="0" w:color="1F497D"/>
      </w:tblBorders>
    </w:tbl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Professional"/>
    <w:next w:val="MediumShading1-Accent1"/>
    <w:uiPriority w:val="63"/>
    <w:rsid w:val="00E20138"/>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none" w:sz="0" w:space="0" w:color="auto"/>
      </w:tblBorders>
    </w:tblPr>
    <w:tcPr>
      <w:shd w:val="clear" w:color="auto" w:fill="auto"/>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l2br w:val="none" w:sz="0" w:space="0" w:color="auto"/>
          <w:tr2bl w:val="none" w:sz="0" w:space="0" w:color="auto"/>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Professional1">
    <w:name w:val="Table Professional1"/>
    <w:basedOn w:val="TableNormal"/>
    <w:next w:val="TableProfessional"/>
    <w:uiPriority w:val="99"/>
    <w:semiHidden/>
    <w:unhideWhenUsed/>
    <w:rsid w:val="00E20138"/>
    <w:pPr>
      <w:spacing w:after="120"/>
      <w:jc w:val="both"/>
    </w:pPr>
    <w:rPr>
      <w:rFonts w:ascii="Arial" w:hAnsi="Arial"/>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List-Accent111">
    <w:name w:val="Light List - Accent 111"/>
    <w:basedOn w:val="TableNormal"/>
    <w:next w:val="LightList-Accent1"/>
    <w:uiPriority w:val="61"/>
    <w:rsid w:val="00E20138"/>
    <w:rPr>
      <w:rFonts w:eastAsia="Arial"/>
      <w:sz w:val="16"/>
      <w:szCs w:val="22"/>
      <w:lang w:eastAsia="en-US"/>
    </w:rPr>
    <w:tblPr>
      <w:tblStyleRowBandSize w:val="1"/>
      <w:tblStyleColBandSize w:val="1"/>
      <w:tblBorders>
        <w:top w:val="single" w:sz="8" w:space="0" w:color="365F91"/>
        <w:left w:val="single" w:sz="8" w:space="0" w:color="365F91"/>
        <w:bottom w:val="single" w:sz="8" w:space="0" w:color="365F91"/>
        <w:right w:val="single" w:sz="8" w:space="0" w:color="365F91"/>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1">
    <w:name w:val="Table Grid11"/>
    <w:basedOn w:val="TableNormal"/>
    <w:next w:val="TableGrid"/>
    <w:uiPriority w:val="59"/>
    <w:rsid w:val="00E20138"/>
    <w:rPr>
      <w:rFonts w:eastAsia="Calibri"/>
      <w: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E20138"/>
    <w:rPr>
      <w:rFonts w:eastAsia="Calibri"/>
      <w: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E20138"/>
  </w:style>
  <w:style w:type="paragraph" w:customStyle="1" w:styleId="BoxSubbullet">
    <w:name w:val="Box Subbullet"/>
    <w:basedOn w:val="BoxBullet"/>
    <w:uiPriority w:val="2"/>
    <w:qFormat/>
    <w:rsid w:val="00E20138"/>
    <w:pPr>
      <w:numPr>
        <w:numId w:val="0"/>
      </w:numPr>
      <w:tabs>
        <w:tab w:val="left" w:pos="680"/>
      </w:tabs>
      <w:ind w:left="1135" w:hanging="851"/>
    </w:pPr>
  </w:style>
  <w:style w:type="character" w:customStyle="1" w:styleId="UnresolvedMention1">
    <w:name w:val="Unresolved Mention1"/>
    <w:uiPriority w:val="99"/>
    <w:semiHidden/>
    <w:unhideWhenUsed/>
    <w:rsid w:val="00E20138"/>
    <w:rPr>
      <w:color w:val="605E5C"/>
      <w:shd w:val="clear" w:color="auto" w:fill="E1DFDD"/>
    </w:rPr>
  </w:style>
  <w:style w:type="paragraph" w:customStyle="1" w:styleId="FooterEven0">
    <w:name w:val="Footer Even"/>
    <w:basedOn w:val="Normal"/>
    <w:next w:val="Normal"/>
    <w:uiPriority w:val="99"/>
    <w:rsid w:val="00D30983"/>
    <w:pPr>
      <w:pBdr>
        <w:top w:val="single" w:sz="4" w:space="4" w:color="auto"/>
      </w:pBdr>
      <w:tabs>
        <w:tab w:val="left" w:pos="851"/>
      </w:tabs>
    </w:pPr>
    <w:rPr>
      <w:rFonts w:ascii="Arial" w:hAnsi="Arial"/>
      <w:sz w:val="16"/>
      <w:szCs w:val="20"/>
      <w:lang w:eastAsia="en-US"/>
    </w:rPr>
  </w:style>
  <w:style w:type="paragraph" w:customStyle="1" w:styleId="FooterOdd0">
    <w:name w:val="Footer Odd"/>
    <w:basedOn w:val="Normal"/>
    <w:next w:val="Normal"/>
    <w:uiPriority w:val="99"/>
    <w:rsid w:val="00D30983"/>
    <w:pPr>
      <w:pBdr>
        <w:top w:val="single" w:sz="4" w:space="4" w:color="auto"/>
      </w:pBdr>
      <w:tabs>
        <w:tab w:val="right" w:pos="7655"/>
        <w:tab w:val="right" w:pos="8505"/>
      </w:tabs>
    </w:pPr>
    <w:rPr>
      <w:rFonts w:ascii="Arial" w:hAnsi="Arial"/>
      <w:sz w:val="16"/>
      <w:szCs w:val="20"/>
      <w:lang w:eastAsia="en-US"/>
    </w:rPr>
  </w:style>
  <w:style w:type="paragraph" w:customStyle="1" w:styleId="Keypointshead">
    <w:name w:val="Key points head"/>
    <w:basedOn w:val="BoxHeading"/>
    <w:qFormat/>
    <w:rsid w:val="00D30983"/>
    <w:pPr>
      <w:pBdr>
        <w:top w:val="none" w:sz="0" w:space="0" w:color="auto"/>
        <w:left w:val="none" w:sz="0" w:space="0" w:color="auto"/>
        <w:bottom w:val="none" w:sz="0" w:space="0" w:color="auto"/>
        <w:right w:val="none" w:sz="0" w:space="0" w:color="auto"/>
      </w:pBdr>
    </w:pPr>
    <w:rPr>
      <w:sz w:val="19"/>
      <w:szCs w:val="19"/>
    </w:rPr>
  </w:style>
  <w:style w:type="character" w:customStyle="1" w:styleId="BulletChar">
    <w:name w:val="Bullet Char"/>
    <w:link w:val="Bullet"/>
    <w:locked/>
    <w:rsid w:val="00D30983"/>
    <w:rPr>
      <w:sz w:val="22"/>
      <w:szCs w:val="22"/>
    </w:rPr>
  </w:style>
  <w:style w:type="paragraph" w:customStyle="1" w:styleId="Keypointsbullet">
    <w:name w:val="Key points bullet"/>
    <w:basedOn w:val="BoxBullet"/>
    <w:qFormat/>
    <w:rsid w:val="00D30983"/>
    <w:pPr>
      <w:numPr>
        <w:numId w:val="23"/>
      </w:numPr>
      <w:pBdr>
        <w:top w:val="none" w:sz="0" w:space="0" w:color="auto"/>
        <w:left w:val="none" w:sz="0" w:space="0" w:color="auto"/>
        <w:bottom w:val="none" w:sz="0" w:space="0" w:color="auto"/>
        <w:right w:val="none" w:sz="0" w:space="0" w:color="auto"/>
      </w:pBdr>
      <w:tabs>
        <w:tab w:val="clear" w:pos="567"/>
        <w:tab w:val="left" w:pos="680"/>
      </w:tabs>
      <w:spacing w:before="100"/>
      <w:ind w:left="681" w:hanging="397"/>
    </w:pPr>
    <w:rPr>
      <w:sz w:val="18"/>
      <w:szCs w:val="18"/>
    </w:rPr>
  </w:style>
  <w:style w:type="paragraph" w:customStyle="1" w:styleId="Keypointsub-bullet">
    <w:name w:val="Key point sub-bullet"/>
    <w:basedOn w:val="BoxSubbullet"/>
    <w:qFormat/>
    <w:rsid w:val="00D30983"/>
    <w:pPr>
      <w:numPr>
        <w:numId w:val="21"/>
      </w:numPr>
      <w:pBdr>
        <w:top w:val="none" w:sz="0" w:space="0" w:color="auto"/>
        <w:left w:val="none" w:sz="0" w:space="0" w:color="auto"/>
        <w:bottom w:val="none" w:sz="0" w:space="0" w:color="auto"/>
        <w:right w:val="none" w:sz="0" w:space="0" w:color="auto"/>
      </w:pBdr>
      <w:tabs>
        <w:tab w:val="clear" w:pos="567"/>
        <w:tab w:val="clear" w:pos="680"/>
        <w:tab w:val="left" w:pos="1077"/>
      </w:tabs>
      <w:ind w:left="1077" w:hanging="397"/>
    </w:pPr>
    <w:rPr>
      <w:sz w:val="18"/>
      <w:szCs w:val="18"/>
    </w:rPr>
  </w:style>
  <w:style w:type="paragraph" w:customStyle="1" w:styleId="Keypointstext">
    <w:name w:val="Key points text"/>
    <w:basedOn w:val="Keypointshead"/>
    <w:qFormat/>
    <w:rsid w:val="00D30983"/>
    <w:pPr>
      <w:spacing w:before="120" w:after="120"/>
    </w:pPr>
    <w:rPr>
      <w:b w:val="0"/>
    </w:rPr>
  </w:style>
  <w:style w:type="paragraph" w:customStyle="1" w:styleId="Boxa">
    <w:name w:val="Box a"/>
    <w:aliases w:val="b list"/>
    <w:basedOn w:val="Normal"/>
    <w:semiHidden/>
    <w:qFormat/>
    <w:rsid w:val="00D30983"/>
    <w:pPr>
      <w:numPr>
        <w:ilvl w:val="1"/>
        <w:numId w:val="22"/>
      </w:numPr>
      <w:pBdr>
        <w:top w:val="single" w:sz="6" w:space="15" w:color="0092CF"/>
        <w:left w:val="single" w:sz="6" w:space="15" w:color="0092CF"/>
        <w:bottom w:val="single" w:sz="6" w:space="15" w:color="0092CF"/>
        <w:right w:val="single" w:sz="6" w:space="15" w:color="0092CF"/>
      </w:pBdr>
      <w:tabs>
        <w:tab w:val="left" w:pos="426"/>
      </w:tabs>
      <w:spacing w:before="120" w:line="280" w:lineRule="atLeast"/>
      <w:ind w:right="284"/>
    </w:pPr>
    <w:rPr>
      <w:color w:val="0092CF"/>
      <w:sz w:val="20"/>
      <w:szCs w:val="20"/>
    </w:rPr>
  </w:style>
  <w:style w:type="table" w:styleId="LightShading-Accent1">
    <w:name w:val="Light Shading Accent 1"/>
    <w:basedOn w:val="TableNormal"/>
    <w:uiPriority w:val="60"/>
    <w:rsid w:val="00D30983"/>
    <w:pPr>
      <w:jc w:val="both"/>
    </w:pPr>
    <w:rPr>
      <w:rFonts w:eastAsia="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3-Accent1">
    <w:name w:val="List Table 3 Accent 1"/>
    <w:basedOn w:val="TableNormal"/>
    <w:uiPriority w:val="48"/>
    <w:rsid w:val="00D30983"/>
    <w:pPr>
      <w:spacing w:before="120"/>
      <w:jc w:val="both"/>
    </w:pPr>
    <w:rPr>
      <w:rFonts w:eastAsia="Calibri"/>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character" w:customStyle="1" w:styleId="UnresolvedMention">
    <w:name w:val="Unresolved Mention"/>
    <w:uiPriority w:val="99"/>
    <w:semiHidden/>
    <w:unhideWhenUsed/>
    <w:rsid w:val="00F849A7"/>
    <w:rPr>
      <w:color w:val="605E5C"/>
      <w:shd w:val="clear" w:color="auto" w:fill="E1DFDD"/>
    </w:rPr>
  </w:style>
  <w:style w:type="paragraph" w:customStyle="1" w:styleId="msonormal0">
    <w:name w:val="msonormal"/>
    <w:basedOn w:val="Normal"/>
    <w:semiHidden/>
    <w:rsid w:val="00524720"/>
    <w:pPr>
      <w:widowControl w:val="0"/>
      <w:adjustRightInd w:val="0"/>
      <w:spacing w:before="100" w:beforeAutospacing="1" w:after="100" w:afterAutospacing="1"/>
    </w:pPr>
    <w:rPr>
      <w:rFonts w:ascii="Times New Roman" w:hAnsi="Times New Roman"/>
      <w:szCs w:val="24"/>
      <w:lang w:val="en-GB" w:eastAsia="en-GB"/>
    </w:rPr>
  </w:style>
  <w:style w:type="character" w:customStyle="1" w:styleId="Heading7Char1">
    <w:name w:val="Heading 7 Char1"/>
    <w:aliases w:val="Char15 Char1"/>
    <w:semiHidden/>
    <w:rsid w:val="00524720"/>
    <w:rPr>
      <w:rFonts w:ascii="Calibri Light" w:eastAsia="Times New Roman" w:hAnsi="Calibri Light" w:cs="Times New Roman"/>
      <w:i/>
      <w:iCs/>
      <w:color w:val="1F4D78"/>
      <w:sz w:val="22"/>
      <w:lang w:eastAsia="en-US"/>
    </w:rPr>
  </w:style>
  <w:style w:type="character" w:customStyle="1" w:styleId="Heading8Char1">
    <w:name w:val="Heading 8 Char1"/>
    <w:aliases w:val="Char14 Char1"/>
    <w:semiHidden/>
    <w:rsid w:val="00524720"/>
    <w:rPr>
      <w:rFonts w:ascii="Calibri Light" w:eastAsia="Times New Roman" w:hAnsi="Calibri Light" w:cs="Times New Roman"/>
      <w:color w:val="272727"/>
      <w:sz w:val="21"/>
      <w:szCs w:val="21"/>
      <w:lang w:eastAsia="en-US"/>
    </w:rPr>
  </w:style>
  <w:style w:type="character" w:customStyle="1" w:styleId="Heading9Char1">
    <w:name w:val="Heading 9 Char1"/>
    <w:aliases w:val="Char13 Char1"/>
    <w:semiHidden/>
    <w:rsid w:val="00524720"/>
    <w:rPr>
      <w:rFonts w:ascii="Calibri Light" w:eastAsia="Times New Roman" w:hAnsi="Calibri Light" w:cs="Times New Roman"/>
      <w:i/>
      <w:iCs/>
      <w:color w:val="272727"/>
      <w:sz w:val="21"/>
      <w:szCs w:val="21"/>
      <w:lang w:eastAsia="en-US"/>
    </w:rPr>
  </w:style>
  <w:style w:type="character" w:customStyle="1" w:styleId="FooterChar1">
    <w:name w:val="Footer Char1"/>
    <w:aliases w:val="Char10 Char1"/>
    <w:semiHidden/>
    <w:rsid w:val="00524720"/>
    <w:rPr>
      <w:rFonts w:ascii="Times New Roman" w:hAnsi="Times New Roman"/>
      <w:sz w:val="22"/>
      <w:lang w:eastAsia="en-US"/>
    </w:rPr>
  </w:style>
  <w:style w:type="character" w:customStyle="1" w:styleId="BodyText2Char1">
    <w:name w:val="Body Text 2 Char1"/>
    <w:aliases w:val="Char4 Char1"/>
    <w:semiHidden/>
    <w:rsid w:val="00524720"/>
    <w:rPr>
      <w:rFonts w:ascii="Times New Roman" w:hAnsi="Times New Roman"/>
      <w:sz w:val="22"/>
      <w:lang w:eastAsia="en-US"/>
    </w:rPr>
  </w:style>
  <w:style w:type="character" w:customStyle="1" w:styleId="DocumentMapChar1">
    <w:name w:val="Document Map Char1"/>
    <w:aliases w:val="Char1 Char1"/>
    <w:semiHidden/>
    <w:rsid w:val="00524720"/>
    <w:rPr>
      <w:rFonts w:ascii="Segoe UI" w:hAnsi="Segoe UI" w:cs="Segoe UI"/>
      <w:sz w:val="16"/>
      <w:szCs w:val="16"/>
      <w:lang w:eastAsia="en-US"/>
    </w:rPr>
  </w:style>
  <w:style w:type="character" w:customStyle="1" w:styleId="BalloonTextChar1">
    <w:name w:val="Balloon Text Char1"/>
    <w:aliases w:val="Char6 Char1"/>
    <w:semiHidden/>
    <w:rsid w:val="00524720"/>
    <w:rPr>
      <w:rFonts w:ascii="Segoe UI" w:hAnsi="Segoe UI" w:cs="Segoe UI"/>
      <w:sz w:val="18"/>
      <w:szCs w:val="18"/>
      <w:lang w:eastAsia="en-US"/>
    </w:rPr>
  </w:style>
  <w:style w:type="paragraph" w:customStyle="1" w:styleId="TableText2">
    <w:name w:val="TableText 2"/>
    <w:basedOn w:val="TableText"/>
    <w:semiHidden/>
    <w:qFormat/>
    <w:rsid w:val="00643D10"/>
    <w:pPr>
      <w:spacing w:line="240" w:lineRule="atLeast"/>
      <w:ind w:left="737"/>
    </w:pPr>
  </w:style>
  <w:style w:type="paragraph" w:customStyle="1" w:styleId="TableText1">
    <w:name w:val="TableText 1"/>
    <w:basedOn w:val="TableText"/>
    <w:semiHidden/>
    <w:qFormat/>
    <w:rsid w:val="00643D10"/>
    <w:pPr>
      <w:spacing w:line="240" w:lineRule="atLeast"/>
      <w:ind w:left="397"/>
    </w:pPr>
  </w:style>
  <w:style w:type="character" w:customStyle="1" w:styleId="insertwords">
    <w:name w:val="insertwords"/>
    <w:rsid w:val="00643D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4067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99" Type="http://schemas.openxmlformats.org/officeDocument/2006/relationships/hyperlink" Target="https://www.mfe.govt.nz/publications/climate-change/new-zealands-fourth-biennial-report-under-united-nations-framework" TargetMode="External"/><Relationship Id="rId303" Type="http://schemas.openxmlformats.org/officeDocument/2006/relationships/footer" Target="footer33.xml"/><Relationship Id="rId21" Type="http://schemas.openxmlformats.org/officeDocument/2006/relationships/image" Target="media/image3.png"/><Relationship Id="rId42" Type="http://schemas.openxmlformats.org/officeDocument/2006/relationships/oleObject" Target="embeddings/Microsoft_Visio_2003-2010_Drawing1.vsd"/><Relationship Id="rId63" Type="http://schemas.openxmlformats.org/officeDocument/2006/relationships/image" Target="media/image21.png"/><Relationship Id="rId84" Type="http://schemas.openxmlformats.org/officeDocument/2006/relationships/oleObject" Target="embeddings/oleObject1.bin"/><Relationship Id="rId138" Type="http://schemas.openxmlformats.org/officeDocument/2006/relationships/image" Target="media/image63.png"/><Relationship Id="rId159" Type="http://schemas.openxmlformats.org/officeDocument/2006/relationships/package" Target="embeddings/Microsoft_Word_Document16.docx"/><Relationship Id="rId170" Type="http://schemas.openxmlformats.org/officeDocument/2006/relationships/image" Target="media/image80.emf"/><Relationship Id="rId191" Type="http://schemas.openxmlformats.org/officeDocument/2006/relationships/hyperlink" Target="http://www.austrex.com/what-we-do/livestock/dairy/" TargetMode="External"/><Relationship Id="rId205" Type="http://schemas.openxmlformats.org/officeDocument/2006/relationships/image" Target="media/image95.jpeg"/><Relationship Id="rId226" Type="http://schemas.openxmlformats.org/officeDocument/2006/relationships/image" Target="media/image114.png"/><Relationship Id="rId247" Type="http://schemas.openxmlformats.org/officeDocument/2006/relationships/hyperlink" Target="https://gazette.govt.nz/notice/id/2014-au3648" TargetMode="External"/><Relationship Id="rId107" Type="http://schemas.openxmlformats.org/officeDocument/2006/relationships/hyperlink" Target="https://tepuna.mfe.govt.nz/otcsdav/nodes/13324267/mailto_T%40_________" TargetMode="External"/><Relationship Id="rId268" Type="http://schemas.openxmlformats.org/officeDocument/2006/relationships/hyperlink" Target="https://www.tokelau.org.nz/Bulletin/September+2016/2014+imports+final.html" TargetMode="External"/><Relationship Id="rId289" Type="http://schemas.openxmlformats.org/officeDocument/2006/relationships/hyperlink" Target="https://www.emissionsregister.govt.nz/Common/InformationReports.aspx" TargetMode="External"/><Relationship Id="rId11" Type="http://schemas.openxmlformats.org/officeDocument/2006/relationships/image" Target="media/image2.png"/><Relationship Id="rId32" Type="http://schemas.openxmlformats.org/officeDocument/2006/relationships/footer" Target="footer9.xml"/><Relationship Id="rId53" Type="http://schemas.openxmlformats.org/officeDocument/2006/relationships/image" Target="media/image14.png"/><Relationship Id="rId74" Type="http://schemas.openxmlformats.org/officeDocument/2006/relationships/image" Target="media/image30.png"/><Relationship Id="rId128" Type="http://schemas.openxmlformats.org/officeDocument/2006/relationships/image" Target="media/image58.png"/><Relationship Id="rId149" Type="http://schemas.openxmlformats.org/officeDocument/2006/relationships/package" Target="embeddings/Microsoft_Word_Document11.docx"/><Relationship Id="rId5" Type="http://schemas.openxmlformats.org/officeDocument/2006/relationships/webSettings" Target="webSettings.xml"/><Relationship Id="rId95" Type="http://schemas.openxmlformats.org/officeDocument/2006/relationships/image" Target="media/image39.png"/><Relationship Id="rId160" Type="http://schemas.openxmlformats.org/officeDocument/2006/relationships/image" Target="media/image75.emf"/><Relationship Id="rId181" Type="http://schemas.openxmlformats.org/officeDocument/2006/relationships/package" Target="embeddings/Microsoft_Word_Document27.docx"/><Relationship Id="rId216" Type="http://schemas.openxmlformats.org/officeDocument/2006/relationships/image" Target="media/image105.jpeg"/><Relationship Id="rId237" Type="http://schemas.openxmlformats.org/officeDocument/2006/relationships/image" Target="media/image117.png"/><Relationship Id="rId258" Type="http://schemas.openxmlformats.org/officeDocument/2006/relationships/hyperlink" Target="https://tepuna.mfe.govt.nz/otcsdav/nodes/11559364/2014%20imports%20final.html" TargetMode="External"/><Relationship Id="rId279" Type="http://schemas.openxmlformats.org/officeDocument/2006/relationships/image" Target="media/image142.png"/><Relationship Id="rId22" Type="http://schemas.openxmlformats.org/officeDocument/2006/relationships/image" Target="media/image4.png"/><Relationship Id="rId43" Type="http://schemas.openxmlformats.org/officeDocument/2006/relationships/hyperlink" Target="http://www.stats.govt.nz" TargetMode="External"/><Relationship Id="rId64" Type="http://schemas.openxmlformats.org/officeDocument/2006/relationships/image" Target="media/image22.png"/><Relationship Id="rId118" Type="http://schemas.openxmlformats.org/officeDocument/2006/relationships/package" Target="embeddings/Microsoft_Word_Document.docx"/><Relationship Id="rId139" Type="http://schemas.openxmlformats.org/officeDocument/2006/relationships/hyperlink" Target="http://mpi.govt.nz/news-and-resources/statistics-and-forecasting/greenhouse-gas-reporting" TargetMode="External"/><Relationship Id="rId290" Type="http://schemas.openxmlformats.org/officeDocument/2006/relationships/hyperlink" Target="https://ji.unfccc.int/JI_Parties/DB/E48QQ342M7VSOFWEI6MTBKVVF9NFAM/viewDFP" TargetMode="External"/><Relationship Id="rId304" Type="http://schemas.openxmlformats.org/officeDocument/2006/relationships/fontTable" Target="fontTable.xml"/><Relationship Id="rId85" Type="http://schemas.openxmlformats.org/officeDocument/2006/relationships/image" Target="media/image37.png"/><Relationship Id="rId150" Type="http://schemas.openxmlformats.org/officeDocument/2006/relationships/image" Target="media/image70.emf"/><Relationship Id="rId171" Type="http://schemas.openxmlformats.org/officeDocument/2006/relationships/package" Target="embeddings/Microsoft_Word_Document22.docx"/><Relationship Id="rId192" Type="http://schemas.openxmlformats.org/officeDocument/2006/relationships/hyperlink" Target="http://www.environment.gov.au/system/files/resources/29eca947-af49-4ed1-8369-e68d74730cf9/files/national-inventory-report-2017-volume-1.pdf" TargetMode="External"/><Relationship Id="rId206" Type="http://schemas.openxmlformats.org/officeDocument/2006/relationships/image" Target="media/image96.jpeg"/><Relationship Id="rId227" Type="http://schemas.openxmlformats.org/officeDocument/2006/relationships/image" Target="media/image115.jpeg"/><Relationship Id="rId248" Type="http://schemas.openxmlformats.org/officeDocument/2006/relationships/hyperlink" Target="https://gazette.govt.nz/notice/id/2015-au2831" TargetMode="External"/><Relationship Id="rId269" Type="http://schemas.openxmlformats.org/officeDocument/2006/relationships/hyperlink" Target="http://www.un.org/en/sections/un-charter/chapter-xi/" TargetMode="External"/><Relationship Id="rId12" Type="http://schemas.openxmlformats.org/officeDocument/2006/relationships/header" Target="header2.xml"/><Relationship Id="rId33" Type="http://schemas.openxmlformats.org/officeDocument/2006/relationships/hyperlink" Target="http://www.unfccc.int" TargetMode="External"/><Relationship Id="rId108" Type="http://schemas.openxmlformats.org/officeDocument/2006/relationships/hyperlink" Target="http://www.mpi.govt.nz/dmsdocument/13906-detailed-methodologies-for-agricultural-greenhouse-gas-emission-calculation" TargetMode="External"/><Relationship Id="rId129" Type="http://schemas.openxmlformats.org/officeDocument/2006/relationships/image" Target="media/image59.emf"/><Relationship Id="rId280" Type="http://schemas.openxmlformats.org/officeDocument/2006/relationships/footer" Target="footer21.xml"/><Relationship Id="rId54" Type="http://schemas.openxmlformats.org/officeDocument/2006/relationships/image" Target="media/image15.png"/><Relationship Id="rId75" Type="http://schemas.openxmlformats.org/officeDocument/2006/relationships/image" Target="media/image31.png"/><Relationship Id="rId96" Type="http://schemas.openxmlformats.org/officeDocument/2006/relationships/image" Target="media/image40.emf"/><Relationship Id="rId140" Type="http://schemas.openxmlformats.org/officeDocument/2006/relationships/image" Target="media/image64.emf"/><Relationship Id="rId161" Type="http://schemas.openxmlformats.org/officeDocument/2006/relationships/package" Target="embeddings/Microsoft_Word_Document17.docx"/><Relationship Id="rId182" Type="http://schemas.openxmlformats.org/officeDocument/2006/relationships/image" Target="media/image86.emf"/><Relationship Id="rId217" Type="http://schemas.openxmlformats.org/officeDocument/2006/relationships/hyperlink" Target="https://soils.landcareresearch.co.nz/soil-data/fundamental-soil-layers" TargetMode="External"/><Relationship Id="rId6" Type="http://schemas.openxmlformats.org/officeDocument/2006/relationships/footnotes" Target="footnotes.xml"/><Relationship Id="rId238" Type="http://schemas.openxmlformats.org/officeDocument/2006/relationships/image" Target="media/image118.png"/><Relationship Id="rId259" Type="http://schemas.openxmlformats.org/officeDocument/2006/relationships/image" Target="media/image128.png"/><Relationship Id="rId23" Type="http://schemas.openxmlformats.org/officeDocument/2006/relationships/image" Target="media/image5.png"/><Relationship Id="rId119" Type="http://schemas.openxmlformats.org/officeDocument/2006/relationships/image" Target="media/image53.emf"/><Relationship Id="rId270" Type="http://schemas.openxmlformats.org/officeDocument/2006/relationships/footer" Target="footer18.xml"/><Relationship Id="rId291" Type="http://schemas.openxmlformats.org/officeDocument/2006/relationships/footer" Target="footer26.xml"/><Relationship Id="rId305" Type="http://schemas.openxmlformats.org/officeDocument/2006/relationships/theme" Target="theme/theme1.xml"/><Relationship Id="rId44" Type="http://schemas.openxmlformats.org/officeDocument/2006/relationships/hyperlink" Target="https://www.tokelau.org.nz/Stats.html" TargetMode="External"/><Relationship Id="rId65" Type="http://schemas.openxmlformats.org/officeDocument/2006/relationships/image" Target="media/image23.emf"/><Relationship Id="rId86" Type="http://schemas.openxmlformats.org/officeDocument/2006/relationships/hyperlink" Target="https://www.climatechange.govt.nz/consultation%20/energy/review-default-emissions-factors.pdf" TargetMode="External"/><Relationship Id="rId130" Type="http://schemas.openxmlformats.org/officeDocument/2006/relationships/package" Target="embeddings/Microsoft_Word_Document4.docx"/><Relationship Id="rId151" Type="http://schemas.openxmlformats.org/officeDocument/2006/relationships/package" Target="embeddings/Microsoft_Word_Document12.docx"/><Relationship Id="rId172" Type="http://schemas.openxmlformats.org/officeDocument/2006/relationships/image" Target="media/image81.emf"/><Relationship Id="rId193" Type="http://schemas.openxmlformats.org/officeDocument/2006/relationships/hyperlink" Target="http://www.dcanz.com" TargetMode="External"/><Relationship Id="rId207" Type="http://schemas.openxmlformats.org/officeDocument/2006/relationships/image" Target="media/image97.jpeg"/><Relationship Id="rId228" Type="http://schemas.openxmlformats.org/officeDocument/2006/relationships/image" Target="media/image116.png"/><Relationship Id="rId249" Type="http://schemas.openxmlformats.org/officeDocument/2006/relationships/hyperlink" Target="https://gazette.govt.nz/notice/id/2016-au1239" TargetMode="External"/><Relationship Id="rId13" Type="http://schemas.openxmlformats.org/officeDocument/2006/relationships/footer" Target="footer2.xml"/><Relationship Id="rId109" Type="http://schemas.openxmlformats.org/officeDocument/2006/relationships/image" Target="media/image47.emf"/><Relationship Id="rId260" Type="http://schemas.openxmlformats.org/officeDocument/2006/relationships/image" Target="media/image129.png"/><Relationship Id="rId281" Type="http://schemas.openxmlformats.org/officeDocument/2006/relationships/footer" Target="footer22.xml"/><Relationship Id="rId34" Type="http://schemas.openxmlformats.org/officeDocument/2006/relationships/hyperlink" Target="http://www.legislation.govt.nz/act/public/2002/0040/latest/link.aspx?search=ts_act_climate+change_resel&amp;id=DLM160412" TargetMode="External"/><Relationship Id="rId55" Type="http://schemas.openxmlformats.org/officeDocument/2006/relationships/hyperlink" Target="http://www.mpi.govt.nz/news-and-resources/economic-intelligence-unit/situation-and-outlook-for-primary-industries/" TargetMode="External"/><Relationship Id="rId76" Type="http://schemas.openxmlformats.org/officeDocument/2006/relationships/image" Target="media/image32.emf"/><Relationship Id="rId97" Type="http://schemas.openxmlformats.org/officeDocument/2006/relationships/oleObject" Target="embeddings/Microsoft_Visio_2003-2010_Drawing6.vsd"/><Relationship Id="rId120" Type="http://schemas.openxmlformats.org/officeDocument/2006/relationships/image" Target="media/image54.emf"/><Relationship Id="rId141" Type="http://schemas.openxmlformats.org/officeDocument/2006/relationships/package" Target="embeddings/Microsoft_Word_Document8.docx"/><Relationship Id="rId7" Type="http://schemas.openxmlformats.org/officeDocument/2006/relationships/endnotes" Target="endnotes.xml"/><Relationship Id="rId162" Type="http://schemas.openxmlformats.org/officeDocument/2006/relationships/image" Target="media/image76.emf"/><Relationship Id="rId183" Type="http://schemas.openxmlformats.org/officeDocument/2006/relationships/package" Target="embeddings/Microsoft_Word_Document28.docx"/><Relationship Id="rId218" Type="http://schemas.openxmlformats.org/officeDocument/2006/relationships/image" Target="media/image106.png"/><Relationship Id="rId239" Type="http://schemas.openxmlformats.org/officeDocument/2006/relationships/image" Target="media/image119.emf"/><Relationship Id="rId2" Type="http://schemas.openxmlformats.org/officeDocument/2006/relationships/numbering" Target="numbering.xml"/><Relationship Id="rId29" Type="http://schemas.openxmlformats.org/officeDocument/2006/relationships/header" Target="header5.xml"/><Relationship Id="rId250" Type="http://schemas.openxmlformats.org/officeDocument/2006/relationships/hyperlink" Target="https://gazette.govt.nz/notice/id/2017-au1739" TargetMode="External"/><Relationship Id="rId255" Type="http://schemas.openxmlformats.org/officeDocument/2006/relationships/image" Target="media/image127.png"/><Relationship Id="rId271" Type="http://schemas.openxmlformats.org/officeDocument/2006/relationships/footer" Target="footer19.xml"/><Relationship Id="rId276" Type="http://schemas.openxmlformats.org/officeDocument/2006/relationships/image" Target="media/image139.png"/><Relationship Id="rId292" Type="http://schemas.openxmlformats.org/officeDocument/2006/relationships/footer" Target="footer27.xml"/><Relationship Id="rId297" Type="http://schemas.openxmlformats.org/officeDocument/2006/relationships/footer" Target="footer31.xml"/><Relationship Id="rId24" Type="http://schemas.openxmlformats.org/officeDocument/2006/relationships/image" Target="media/image6.png"/><Relationship Id="rId40" Type="http://schemas.openxmlformats.org/officeDocument/2006/relationships/oleObject" Target="embeddings/Microsoft_Visio_2003-2010_Drawing.vsd"/><Relationship Id="rId45" Type="http://schemas.openxmlformats.org/officeDocument/2006/relationships/hyperlink" Target="https://tepuna.mfe.govt.nz/otcsdav/nodes/13296004/2014%20imports%20final.html" TargetMode="External"/><Relationship Id="rId66" Type="http://schemas.openxmlformats.org/officeDocument/2006/relationships/oleObject" Target="embeddings/Microsoft_Visio_2003-2010_Drawing2.vsd"/><Relationship Id="rId87" Type="http://schemas.openxmlformats.org/officeDocument/2006/relationships/hyperlink" Target="http://www.legislation.govt.nz/regulation/public/2009/0285/latest/DLM2394207.html" TargetMode="External"/><Relationship Id="rId110" Type="http://schemas.openxmlformats.org/officeDocument/2006/relationships/package" Target="embeddings/Microsoft_Visio_Drawing.vsdx"/><Relationship Id="rId115" Type="http://schemas.openxmlformats.org/officeDocument/2006/relationships/hyperlink" Target="http://mpi.govt.nz/news-and-resources/statistics-and-forecasting/greenhouse-gas-reporting" TargetMode="External"/><Relationship Id="rId131" Type="http://schemas.openxmlformats.org/officeDocument/2006/relationships/image" Target="media/image60.emf"/><Relationship Id="rId136" Type="http://schemas.openxmlformats.org/officeDocument/2006/relationships/image" Target="media/image62.emf"/><Relationship Id="rId157" Type="http://schemas.openxmlformats.org/officeDocument/2006/relationships/package" Target="embeddings/Microsoft_Word_Document15.docx"/><Relationship Id="rId178" Type="http://schemas.openxmlformats.org/officeDocument/2006/relationships/image" Target="media/image84.emf"/><Relationship Id="rId301" Type="http://schemas.openxmlformats.org/officeDocument/2006/relationships/hyperlink" Target="http://www.ieaghg.org" TargetMode="External"/><Relationship Id="rId61" Type="http://schemas.openxmlformats.org/officeDocument/2006/relationships/footer" Target="footer11.xml"/><Relationship Id="rId82" Type="http://schemas.openxmlformats.org/officeDocument/2006/relationships/oleObject" Target="embeddings/Microsoft_Visio_2003-2010_Drawing5.vsd"/><Relationship Id="rId152" Type="http://schemas.openxmlformats.org/officeDocument/2006/relationships/image" Target="media/image71.emf"/><Relationship Id="rId173" Type="http://schemas.openxmlformats.org/officeDocument/2006/relationships/package" Target="embeddings/Microsoft_Word_Document23.docx"/><Relationship Id="rId194" Type="http://schemas.openxmlformats.org/officeDocument/2006/relationships/hyperlink" Target="http://www.dairynz.co.nz/media/5792471/nz_dairy_statistics_2018-19_web_v2.pdf" TargetMode="External"/><Relationship Id="rId199" Type="http://schemas.openxmlformats.org/officeDocument/2006/relationships/hyperlink" Target="http://www.publish.csiro.au/AN/pdf/AN15766%20(13" TargetMode="External"/><Relationship Id="rId203" Type="http://schemas.openxmlformats.org/officeDocument/2006/relationships/image" Target="media/image93.jpeg"/><Relationship Id="rId208" Type="http://schemas.openxmlformats.org/officeDocument/2006/relationships/image" Target="media/image98.jpeg"/><Relationship Id="rId229" Type="http://schemas.openxmlformats.org/officeDocument/2006/relationships/hyperlink" Target="http://www.legislation.govt.nz/act/public/1949/0019/latest/whole.html" TargetMode="External"/><Relationship Id="rId19" Type="http://schemas.openxmlformats.org/officeDocument/2006/relationships/footer" Target="footer6.xml"/><Relationship Id="rId224" Type="http://schemas.openxmlformats.org/officeDocument/2006/relationships/image" Target="media/image112.png"/><Relationship Id="rId240" Type="http://schemas.openxmlformats.org/officeDocument/2006/relationships/oleObject" Target="embeddings/Microsoft_Visio_2003-2010_Drawing7.vsd"/><Relationship Id="rId245" Type="http://schemas.openxmlformats.org/officeDocument/2006/relationships/hyperlink" Target="https://ecan.govt.nz/document/download?uri=1851763" TargetMode="External"/><Relationship Id="rId261" Type="http://schemas.openxmlformats.org/officeDocument/2006/relationships/image" Target="media/image130.png"/><Relationship Id="rId266" Type="http://schemas.openxmlformats.org/officeDocument/2006/relationships/image" Target="media/image135.png"/><Relationship Id="rId287" Type="http://schemas.openxmlformats.org/officeDocument/2006/relationships/hyperlink" Target="http://www.mfe.govt.nz/climate-change/state-of-our-atmosphere-and-climate/new-zealands-greenhouse-gas-inventory" TargetMode="External"/><Relationship Id="rId14" Type="http://schemas.openxmlformats.org/officeDocument/2006/relationships/header" Target="header3.xml"/><Relationship Id="rId30" Type="http://schemas.openxmlformats.org/officeDocument/2006/relationships/header" Target="header6.xml"/><Relationship Id="rId35" Type="http://schemas.openxmlformats.org/officeDocument/2006/relationships/hyperlink" Target="http://www.legislation.govt.nz/act/public/2002/0040/latest/link.aspx?search=ts_act_climate+change_resel&amp;id=DLM160412" TargetMode="External"/><Relationship Id="rId56" Type="http://schemas.openxmlformats.org/officeDocument/2006/relationships/hyperlink" Target="http://www.mpi.govt.nz/news-and-resources/economic-intelligence-unit/situation-and-outlook-for-primary-industries/" TargetMode="External"/><Relationship Id="rId77" Type="http://schemas.openxmlformats.org/officeDocument/2006/relationships/oleObject" Target="embeddings/Microsoft_Visio_2003-2010_Drawing4.vsd"/><Relationship Id="rId100" Type="http://schemas.openxmlformats.org/officeDocument/2006/relationships/footer" Target="footer13.xml"/><Relationship Id="rId105" Type="http://schemas.openxmlformats.org/officeDocument/2006/relationships/image" Target="media/image46.png"/><Relationship Id="rId126" Type="http://schemas.openxmlformats.org/officeDocument/2006/relationships/package" Target="embeddings/Microsoft_Word_Document3.docx"/><Relationship Id="rId147" Type="http://schemas.openxmlformats.org/officeDocument/2006/relationships/package" Target="embeddings/Microsoft_Word_Document10.docx"/><Relationship Id="rId168" Type="http://schemas.openxmlformats.org/officeDocument/2006/relationships/image" Target="media/image79.emf"/><Relationship Id="rId282" Type="http://schemas.openxmlformats.org/officeDocument/2006/relationships/footer" Target="footer23.xml"/><Relationship Id="rId8" Type="http://schemas.openxmlformats.org/officeDocument/2006/relationships/image" Target="media/image1.jpeg"/><Relationship Id="rId51" Type="http://schemas.openxmlformats.org/officeDocument/2006/relationships/image" Target="media/image12.png"/><Relationship Id="rId72" Type="http://schemas.openxmlformats.org/officeDocument/2006/relationships/oleObject" Target="embeddings/Microsoft_Visio_2003-2010_Drawing3.vsd"/><Relationship Id="rId93" Type="http://schemas.openxmlformats.org/officeDocument/2006/relationships/footer" Target="footer12.xml"/><Relationship Id="rId98" Type="http://schemas.openxmlformats.org/officeDocument/2006/relationships/image" Target="media/image41.png"/><Relationship Id="rId121" Type="http://schemas.openxmlformats.org/officeDocument/2006/relationships/package" Target="embeddings/Microsoft_Visio_Drawing1.vsdx"/><Relationship Id="rId142" Type="http://schemas.openxmlformats.org/officeDocument/2006/relationships/image" Target="media/image65.png"/><Relationship Id="rId163" Type="http://schemas.openxmlformats.org/officeDocument/2006/relationships/package" Target="embeddings/Microsoft_Word_Document18.docx"/><Relationship Id="rId184" Type="http://schemas.openxmlformats.org/officeDocument/2006/relationships/package" Target="embeddings/Microsoft_Word_Document29.docx"/><Relationship Id="rId189" Type="http://schemas.openxmlformats.org/officeDocument/2006/relationships/image" Target="media/image90.png"/><Relationship Id="rId219" Type="http://schemas.openxmlformats.org/officeDocument/2006/relationships/image" Target="media/image107.png"/><Relationship Id="rId3" Type="http://schemas.openxmlformats.org/officeDocument/2006/relationships/styles" Target="styles.xml"/><Relationship Id="rId214" Type="http://schemas.openxmlformats.org/officeDocument/2006/relationships/image" Target="media/image104.png"/><Relationship Id="rId230" Type="http://schemas.openxmlformats.org/officeDocument/2006/relationships/hyperlink" Target="https://mpi.govt.nz/funding-and-programmes/forestry/afforestation-grant-scheme/" TargetMode="External"/><Relationship Id="rId235" Type="http://schemas.openxmlformats.org/officeDocument/2006/relationships/footer" Target="footer15.xml"/><Relationship Id="rId251" Type="http://schemas.openxmlformats.org/officeDocument/2006/relationships/footer" Target="footer17.xml"/><Relationship Id="rId256" Type="http://schemas.openxmlformats.org/officeDocument/2006/relationships/hyperlink" Target="http://www.stats.govt.nz" TargetMode="External"/><Relationship Id="rId277" Type="http://schemas.openxmlformats.org/officeDocument/2006/relationships/image" Target="media/image140.png"/><Relationship Id="rId298" Type="http://schemas.openxmlformats.org/officeDocument/2006/relationships/hyperlink" Target="https://mfat.govt.nz/en/aid-and-development" TargetMode="External"/><Relationship Id="rId25" Type="http://schemas.openxmlformats.org/officeDocument/2006/relationships/image" Target="media/image7.png"/><Relationship Id="rId46" Type="http://schemas.openxmlformats.org/officeDocument/2006/relationships/hyperlink" Target="http://www.emissionsregister.govt.nz" TargetMode="External"/><Relationship Id="rId67" Type="http://schemas.openxmlformats.org/officeDocument/2006/relationships/image" Target="media/image24.png"/><Relationship Id="rId116" Type="http://schemas.openxmlformats.org/officeDocument/2006/relationships/image" Target="media/image51.png"/><Relationship Id="rId137" Type="http://schemas.openxmlformats.org/officeDocument/2006/relationships/package" Target="embeddings/Microsoft_Word_Document7.docx"/><Relationship Id="rId158" Type="http://schemas.openxmlformats.org/officeDocument/2006/relationships/image" Target="media/image74.emf"/><Relationship Id="rId272" Type="http://schemas.openxmlformats.org/officeDocument/2006/relationships/footer" Target="footer20.xml"/><Relationship Id="rId293" Type="http://schemas.openxmlformats.org/officeDocument/2006/relationships/footer" Target="footer28.xml"/><Relationship Id="rId302" Type="http://schemas.openxmlformats.org/officeDocument/2006/relationships/footer" Target="footer32.xml"/><Relationship Id="rId20" Type="http://schemas.openxmlformats.org/officeDocument/2006/relationships/footer" Target="footer7.xml"/><Relationship Id="rId41" Type="http://schemas.openxmlformats.org/officeDocument/2006/relationships/image" Target="media/image11.emf"/><Relationship Id="rId62" Type="http://schemas.openxmlformats.org/officeDocument/2006/relationships/image" Target="media/image20.png"/><Relationship Id="rId83" Type="http://schemas.openxmlformats.org/officeDocument/2006/relationships/image" Target="media/image36.wmf"/><Relationship Id="rId88" Type="http://schemas.openxmlformats.org/officeDocument/2006/relationships/hyperlink" Target="http://www.med.govt.nz/sectors-industries/energy/energy-modelling/technical-papers/liquid-fuels-use-in-new-zealand" TargetMode="External"/><Relationship Id="rId111" Type="http://schemas.openxmlformats.org/officeDocument/2006/relationships/image" Target="media/image48.png"/><Relationship Id="rId132" Type="http://schemas.openxmlformats.org/officeDocument/2006/relationships/package" Target="embeddings/Microsoft_Word_Document5.docx"/><Relationship Id="rId153" Type="http://schemas.openxmlformats.org/officeDocument/2006/relationships/package" Target="embeddings/Microsoft_Word_Document13.docx"/><Relationship Id="rId174" Type="http://schemas.openxmlformats.org/officeDocument/2006/relationships/image" Target="media/image82.emf"/><Relationship Id="rId179" Type="http://schemas.openxmlformats.org/officeDocument/2006/relationships/package" Target="embeddings/Microsoft_Word_Document26.docx"/><Relationship Id="rId195" Type="http://schemas.openxmlformats.org/officeDocument/2006/relationships/hyperlink" Target="http://www.lic.co.nz/documents/275/100_years_of_Herd_Testing.pdf" TargetMode="External"/><Relationship Id="rId209" Type="http://schemas.openxmlformats.org/officeDocument/2006/relationships/image" Target="media/image99.jpeg"/><Relationship Id="rId190" Type="http://schemas.openxmlformats.org/officeDocument/2006/relationships/hyperlink" Target="http://mpi.govt.nz/news-and-resources/statistics-and-forecasting/greenhouse-gas-reporting/agriculture-greenhouse-gas-inventory-reports" TargetMode="External"/><Relationship Id="rId204" Type="http://schemas.openxmlformats.org/officeDocument/2006/relationships/image" Target="media/image94.jpeg"/><Relationship Id="rId220" Type="http://schemas.openxmlformats.org/officeDocument/2006/relationships/image" Target="media/image108.jpeg"/><Relationship Id="rId225" Type="http://schemas.openxmlformats.org/officeDocument/2006/relationships/image" Target="media/image113.jpeg"/><Relationship Id="rId241" Type="http://schemas.openxmlformats.org/officeDocument/2006/relationships/image" Target="media/image120.png"/><Relationship Id="rId246" Type="http://schemas.openxmlformats.org/officeDocument/2006/relationships/hyperlink" Target="http://www.waikatoregion.govt.nz/assets/PageFiles/30542/TR201455.pdf" TargetMode="External"/><Relationship Id="rId267" Type="http://schemas.openxmlformats.org/officeDocument/2006/relationships/hyperlink" Target="https://www.tokelau.org.nz/Bulletin/December+2017/Solid+Waste+Management+MOU+Signed+between+Tokelau+EDNRE+and+Pacific++Recycle+Co.+Ltd.html" TargetMode="External"/><Relationship Id="rId288" Type="http://schemas.openxmlformats.org/officeDocument/2006/relationships/hyperlink" Target="http://www.emissionsregister.govt.nz" TargetMode="External"/><Relationship Id="rId15" Type="http://schemas.openxmlformats.org/officeDocument/2006/relationships/header" Target="header4.xml"/><Relationship Id="rId36" Type="http://schemas.openxmlformats.org/officeDocument/2006/relationships/hyperlink" Target="http://www.legislation.govt.nz/act/public/2002/0040/latest/link.aspx?search=ts_act_climate+change_resel&amp;id=DLM160067" TargetMode="External"/><Relationship Id="rId57" Type="http://schemas.openxmlformats.org/officeDocument/2006/relationships/image" Target="media/image16.png"/><Relationship Id="rId106" Type="http://schemas.openxmlformats.org/officeDocument/2006/relationships/hyperlink" Target="https://tepuna.mfe.govt.nz/otcsdav/nodes/13324267/mailto_T%40_________" TargetMode="External"/><Relationship Id="rId127" Type="http://schemas.openxmlformats.org/officeDocument/2006/relationships/image" Target="media/image57.png"/><Relationship Id="rId262" Type="http://schemas.openxmlformats.org/officeDocument/2006/relationships/image" Target="media/image131.png"/><Relationship Id="rId283" Type="http://schemas.openxmlformats.org/officeDocument/2006/relationships/footer" Target="footer24.xml"/><Relationship Id="rId10" Type="http://schemas.openxmlformats.org/officeDocument/2006/relationships/footer" Target="footer1.xml"/><Relationship Id="rId31" Type="http://schemas.openxmlformats.org/officeDocument/2006/relationships/footer" Target="footer8.xml"/><Relationship Id="rId52" Type="http://schemas.openxmlformats.org/officeDocument/2006/relationships/image" Target="media/image13.png"/><Relationship Id="rId73" Type="http://schemas.openxmlformats.org/officeDocument/2006/relationships/image" Target="media/image29.png"/><Relationship Id="rId78" Type="http://schemas.openxmlformats.org/officeDocument/2006/relationships/image" Target="media/image33.png"/><Relationship Id="rId94" Type="http://schemas.openxmlformats.org/officeDocument/2006/relationships/image" Target="media/image38.png"/><Relationship Id="rId99" Type="http://schemas.openxmlformats.org/officeDocument/2006/relationships/hyperlink" Target="http://www.legislation.govt.nz/regulation/public/2009/0285/latest/DLM2394207.html" TargetMode="External"/><Relationship Id="rId101" Type="http://schemas.openxmlformats.org/officeDocument/2006/relationships/image" Target="media/image42.png"/><Relationship Id="rId122" Type="http://schemas.openxmlformats.org/officeDocument/2006/relationships/hyperlink" Target="http://mpi.govt.nz/news-and-resources/statistics-and-forecasting/greenhouse-gas-reporting/agricultural-inventory-advisory-panel" TargetMode="External"/><Relationship Id="rId143" Type="http://schemas.openxmlformats.org/officeDocument/2006/relationships/image" Target="media/image66.png"/><Relationship Id="rId148" Type="http://schemas.openxmlformats.org/officeDocument/2006/relationships/image" Target="media/image69.emf"/><Relationship Id="rId164" Type="http://schemas.openxmlformats.org/officeDocument/2006/relationships/image" Target="media/image77.emf"/><Relationship Id="rId169" Type="http://schemas.openxmlformats.org/officeDocument/2006/relationships/package" Target="embeddings/Microsoft_Word_Document21.docx"/><Relationship Id="rId185" Type="http://schemas.openxmlformats.org/officeDocument/2006/relationships/image" Target="media/image87.e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85.emf"/><Relationship Id="rId210" Type="http://schemas.openxmlformats.org/officeDocument/2006/relationships/image" Target="media/image100.jpeg"/><Relationship Id="rId215" Type="http://schemas.openxmlformats.org/officeDocument/2006/relationships/hyperlink" Target="https://soils.landcareresearch.co.nz/soil-data/national-soils-data-repository-and-the-national-soils-database/" TargetMode="External"/><Relationship Id="rId236" Type="http://schemas.openxmlformats.org/officeDocument/2006/relationships/footer" Target="footer16.xml"/><Relationship Id="rId257" Type="http://schemas.openxmlformats.org/officeDocument/2006/relationships/hyperlink" Target="https://www.tokelau.org.nz/Stats.html" TargetMode="External"/><Relationship Id="rId278" Type="http://schemas.openxmlformats.org/officeDocument/2006/relationships/image" Target="media/image141.png"/><Relationship Id="rId26" Type="http://schemas.openxmlformats.org/officeDocument/2006/relationships/image" Target="media/image8.png"/><Relationship Id="rId231" Type="http://schemas.openxmlformats.org/officeDocument/2006/relationships/hyperlink" Target="https://mpi.govt.nz/news-and-resources/statistics-and-forecasting/forestry/" TargetMode="External"/><Relationship Id="rId252" Type="http://schemas.openxmlformats.org/officeDocument/2006/relationships/image" Target="media/image124.png"/><Relationship Id="rId273" Type="http://schemas.openxmlformats.org/officeDocument/2006/relationships/image" Target="media/image136.png"/><Relationship Id="rId294" Type="http://schemas.openxmlformats.org/officeDocument/2006/relationships/footer" Target="footer29.xml"/><Relationship Id="rId47" Type="http://schemas.openxmlformats.org/officeDocument/2006/relationships/hyperlink" Target="http://www.legislation.govt.nz/act/public/2002/0040/latest/DLM158584.html?search=ts_act_climate+change+response+act_resel&amp;p=1&amp;sr=1" TargetMode="External"/><Relationship Id="rId68" Type="http://schemas.openxmlformats.org/officeDocument/2006/relationships/image" Target="media/image25.png"/><Relationship Id="rId89" Type="http://schemas.openxmlformats.org/officeDocument/2006/relationships/hyperlink" Target="http://www.med.govt.nz/sectors-industries/energy/energy-modelling/technical-papers/delivering-the-diesel-liquid-fuel-deliveries-in-new-zealand-1990-2008" TargetMode="External"/><Relationship Id="rId112" Type="http://schemas.openxmlformats.org/officeDocument/2006/relationships/image" Target="media/image49.png"/><Relationship Id="rId133" Type="http://schemas.openxmlformats.org/officeDocument/2006/relationships/hyperlink" Target="http://www.mpi.govt.nz/news-and-resources/open-data-and-forecasting/greenhouse-gas-reporting/agricultural-greenhouse-gas-inventory-reports/" TargetMode="External"/><Relationship Id="rId154" Type="http://schemas.openxmlformats.org/officeDocument/2006/relationships/image" Target="media/image72.emf"/><Relationship Id="rId175" Type="http://schemas.openxmlformats.org/officeDocument/2006/relationships/package" Target="embeddings/Microsoft_Word_Document24.docx"/><Relationship Id="rId196" Type="http://schemas.openxmlformats.org/officeDocument/2006/relationships/hyperlink" Target="http://www.mfe.govt.nz/sites/default/files/media/Climate%20Change/21-12-17%20Web%20FINAL%20-%20Seventh%20National%20Communication%202017.pdf" TargetMode="External"/><Relationship Id="rId200" Type="http://schemas.openxmlformats.org/officeDocument/2006/relationships/footer" Target="footer14.xml"/><Relationship Id="rId16" Type="http://schemas.openxmlformats.org/officeDocument/2006/relationships/footer" Target="footer3.xml"/><Relationship Id="rId221" Type="http://schemas.openxmlformats.org/officeDocument/2006/relationships/image" Target="media/image109.png"/><Relationship Id="rId242" Type="http://schemas.openxmlformats.org/officeDocument/2006/relationships/image" Target="media/image121.png"/><Relationship Id="rId263" Type="http://schemas.openxmlformats.org/officeDocument/2006/relationships/image" Target="media/image132.png"/><Relationship Id="rId284" Type="http://schemas.openxmlformats.org/officeDocument/2006/relationships/image" Target="media/image143.png"/><Relationship Id="rId37" Type="http://schemas.openxmlformats.org/officeDocument/2006/relationships/hyperlink" Target="http://www.legislation.govt.nz/act/public/2002/0040/latest/link.aspx?search=ts_act_climate+change_resel&amp;id=DLM160412" TargetMode="External"/><Relationship Id="rId58" Type="http://schemas.openxmlformats.org/officeDocument/2006/relationships/image" Target="media/image17.png"/><Relationship Id="rId79" Type="http://schemas.openxmlformats.org/officeDocument/2006/relationships/image" Target="media/image34.png"/><Relationship Id="rId102" Type="http://schemas.openxmlformats.org/officeDocument/2006/relationships/image" Target="media/image43.png"/><Relationship Id="rId123" Type="http://schemas.openxmlformats.org/officeDocument/2006/relationships/image" Target="media/image55.emf"/><Relationship Id="rId144" Type="http://schemas.openxmlformats.org/officeDocument/2006/relationships/image" Target="media/image67.emf"/><Relationship Id="rId90" Type="http://schemas.openxmlformats.org/officeDocument/2006/relationships/hyperlink" Target="http://www.mfe.govt.nz/issues/climate/policies-initiatives/projects" TargetMode="External"/><Relationship Id="rId165" Type="http://schemas.openxmlformats.org/officeDocument/2006/relationships/package" Target="embeddings/Microsoft_Word_Document19.docx"/><Relationship Id="rId186" Type="http://schemas.openxmlformats.org/officeDocument/2006/relationships/package" Target="embeddings/Microsoft_Word_Document30.docx"/><Relationship Id="rId211" Type="http://schemas.openxmlformats.org/officeDocument/2006/relationships/image" Target="media/image101.jpeg"/><Relationship Id="rId232" Type="http://schemas.openxmlformats.org/officeDocument/2006/relationships/hyperlink" Target="http://www.mfe.govt.nz" TargetMode="External"/><Relationship Id="rId253" Type="http://schemas.openxmlformats.org/officeDocument/2006/relationships/image" Target="media/image125.png"/><Relationship Id="rId274" Type="http://schemas.openxmlformats.org/officeDocument/2006/relationships/image" Target="media/image137.png"/><Relationship Id="rId295" Type="http://schemas.openxmlformats.org/officeDocument/2006/relationships/hyperlink" Target="http://www.epa.govt.nz" TargetMode="External"/><Relationship Id="rId27" Type="http://schemas.openxmlformats.org/officeDocument/2006/relationships/image" Target="media/image9.png"/><Relationship Id="rId48" Type="http://schemas.openxmlformats.org/officeDocument/2006/relationships/hyperlink" Target="https://www.tokelau.org.nz/Bulletin/September+2016/2014+imports+final.html" TargetMode="External"/><Relationship Id="rId69" Type="http://schemas.openxmlformats.org/officeDocument/2006/relationships/image" Target="media/image26.png"/><Relationship Id="rId113" Type="http://schemas.openxmlformats.org/officeDocument/2006/relationships/image" Target="media/image50.png"/><Relationship Id="rId134" Type="http://schemas.openxmlformats.org/officeDocument/2006/relationships/image" Target="media/image61.emf"/><Relationship Id="rId80" Type="http://schemas.openxmlformats.org/officeDocument/2006/relationships/hyperlink" Target="https://www.nzpam.govt.nz/maps-geoscience/nz-mine-plans/" TargetMode="External"/><Relationship Id="rId155" Type="http://schemas.openxmlformats.org/officeDocument/2006/relationships/package" Target="embeddings/Microsoft_Word_Document14.docx"/><Relationship Id="rId176" Type="http://schemas.openxmlformats.org/officeDocument/2006/relationships/image" Target="media/image83.emf"/><Relationship Id="rId197" Type="http://schemas.openxmlformats.org/officeDocument/2006/relationships/hyperlink" Target="http://www.mpi.govt.nz/dmsdocument/13906-detailed-methodologies-for-agricultural-greenhouse-gas-emission-calculation" TargetMode="External"/><Relationship Id="rId201" Type="http://schemas.openxmlformats.org/officeDocument/2006/relationships/image" Target="media/image91.png"/><Relationship Id="rId222" Type="http://schemas.openxmlformats.org/officeDocument/2006/relationships/image" Target="media/image110.png"/><Relationship Id="rId243" Type="http://schemas.openxmlformats.org/officeDocument/2006/relationships/image" Target="media/image122.png"/><Relationship Id="rId264" Type="http://schemas.openxmlformats.org/officeDocument/2006/relationships/image" Target="media/image133.png"/><Relationship Id="rId285" Type="http://schemas.openxmlformats.org/officeDocument/2006/relationships/hyperlink" Target="https://mpi.govt.nz/news-and-resources/statistics-and-forecasting/forestry/" TargetMode="External"/><Relationship Id="rId17" Type="http://schemas.openxmlformats.org/officeDocument/2006/relationships/footer" Target="footer4.xml"/><Relationship Id="rId38" Type="http://schemas.openxmlformats.org/officeDocument/2006/relationships/hyperlink" Target="http://www.emissionsregister.govt.nz" TargetMode="External"/><Relationship Id="rId59" Type="http://schemas.openxmlformats.org/officeDocument/2006/relationships/image" Target="media/image18.png"/><Relationship Id="rId103" Type="http://schemas.openxmlformats.org/officeDocument/2006/relationships/image" Target="media/image44.png"/><Relationship Id="rId124" Type="http://schemas.openxmlformats.org/officeDocument/2006/relationships/package" Target="embeddings/Microsoft_Visio_Drawing2.vsdx"/><Relationship Id="rId310" Type="http://schemas.microsoft.com/office/2016/09/relationships/commentsIds" Target="commentsIds.xml"/><Relationship Id="rId70" Type="http://schemas.openxmlformats.org/officeDocument/2006/relationships/image" Target="media/image27.png"/><Relationship Id="rId91" Type="http://schemas.openxmlformats.org/officeDocument/2006/relationships/hyperlink" Target="http://www.transport.govt.nz/research/Pages/TravelSurvey.aspx" TargetMode="External"/><Relationship Id="rId145" Type="http://schemas.openxmlformats.org/officeDocument/2006/relationships/package" Target="embeddings/Microsoft_Word_Document9.docx"/><Relationship Id="rId166" Type="http://schemas.openxmlformats.org/officeDocument/2006/relationships/image" Target="media/image78.emf"/><Relationship Id="rId187" Type="http://schemas.openxmlformats.org/officeDocument/2006/relationships/image" Target="media/image88.png"/><Relationship Id="rId1" Type="http://schemas.openxmlformats.org/officeDocument/2006/relationships/customXml" Target="../customXml/item1.xml"/><Relationship Id="rId212" Type="http://schemas.openxmlformats.org/officeDocument/2006/relationships/image" Target="media/image102.jpeg"/><Relationship Id="rId233" Type="http://schemas.openxmlformats.org/officeDocument/2006/relationships/hyperlink" Target="https://www.niwa.co.nz/climate/information-and-resources/elnino/elnino-impacts-on-newzealand" TargetMode="External"/><Relationship Id="rId254" Type="http://schemas.openxmlformats.org/officeDocument/2006/relationships/image" Target="media/image126.png"/><Relationship Id="rId28" Type="http://schemas.openxmlformats.org/officeDocument/2006/relationships/hyperlink" Target="http://www.dairynz.co.nz/media/5792471/nz_dairy_statistics_2018-19_web_v2.pdf" TargetMode="External"/><Relationship Id="rId49" Type="http://schemas.openxmlformats.org/officeDocument/2006/relationships/hyperlink" Target="http://www.un.org/en/sections/un-charter/chapter-xi/" TargetMode="External"/><Relationship Id="rId114" Type="http://schemas.openxmlformats.org/officeDocument/2006/relationships/hyperlink" Target="http://mpi.govt.nz/news-and-resources/open-data-and-forecasting/greenhouse-gas-reporting/" TargetMode="External"/><Relationship Id="rId275" Type="http://schemas.openxmlformats.org/officeDocument/2006/relationships/image" Target="media/image138.png"/><Relationship Id="rId296" Type="http://schemas.openxmlformats.org/officeDocument/2006/relationships/footer" Target="footer30.xml"/><Relationship Id="rId300" Type="http://schemas.openxmlformats.org/officeDocument/2006/relationships/hyperlink" Target="http://www.cslforum.org" TargetMode="External"/><Relationship Id="rId60" Type="http://schemas.openxmlformats.org/officeDocument/2006/relationships/image" Target="media/image19.png"/><Relationship Id="rId81" Type="http://schemas.openxmlformats.org/officeDocument/2006/relationships/image" Target="media/image35.emf"/><Relationship Id="rId135" Type="http://schemas.openxmlformats.org/officeDocument/2006/relationships/package" Target="embeddings/Microsoft_Word_Document6.docx"/><Relationship Id="rId156" Type="http://schemas.openxmlformats.org/officeDocument/2006/relationships/image" Target="media/image73.emf"/><Relationship Id="rId177" Type="http://schemas.openxmlformats.org/officeDocument/2006/relationships/package" Target="embeddings/Microsoft_Word_Document25.docx"/><Relationship Id="rId198" Type="http://schemas.openxmlformats.org/officeDocument/2006/relationships/hyperlink" Target="http://www.stats.govt.nz/infoshare" TargetMode="External"/><Relationship Id="rId202" Type="http://schemas.openxmlformats.org/officeDocument/2006/relationships/image" Target="media/image92.png"/><Relationship Id="rId223" Type="http://schemas.openxmlformats.org/officeDocument/2006/relationships/image" Target="media/image111.png"/><Relationship Id="rId244" Type="http://schemas.openxmlformats.org/officeDocument/2006/relationships/image" Target="media/image123.png"/><Relationship Id="rId18" Type="http://schemas.openxmlformats.org/officeDocument/2006/relationships/footer" Target="footer5.xml"/><Relationship Id="rId39" Type="http://schemas.openxmlformats.org/officeDocument/2006/relationships/image" Target="media/image10.emf"/><Relationship Id="rId265" Type="http://schemas.openxmlformats.org/officeDocument/2006/relationships/image" Target="media/image134.png"/><Relationship Id="rId286" Type="http://schemas.openxmlformats.org/officeDocument/2006/relationships/footer" Target="footer25.xml"/><Relationship Id="rId50" Type="http://schemas.openxmlformats.org/officeDocument/2006/relationships/footer" Target="footer10.xml"/><Relationship Id="rId104" Type="http://schemas.openxmlformats.org/officeDocument/2006/relationships/image" Target="media/image45.png"/><Relationship Id="rId125" Type="http://schemas.openxmlformats.org/officeDocument/2006/relationships/image" Target="media/image56.emf"/><Relationship Id="rId146" Type="http://schemas.openxmlformats.org/officeDocument/2006/relationships/image" Target="media/image68.emf"/><Relationship Id="rId167" Type="http://schemas.openxmlformats.org/officeDocument/2006/relationships/package" Target="embeddings/Microsoft_Word_Document20.docx"/><Relationship Id="rId188" Type="http://schemas.openxmlformats.org/officeDocument/2006/relationships/image" Target="media/image89.png"/><Relationship Id="rId71" Type="http://schemas.openxmlformats.org/officeDocument/2006/relationships/image" Target="media/image28.emf"/><Relationship Id="rId92" Type="http://schemas.openxmlformats.org/officeDocument/2006/relationships/hyperlink" Target="http://www.legislation.govt.nz/act/public/2017/0029/latest/whole.html" TargetMode="External"/><Relationship Id="rId213" Type="http://schemas.openxmlformats.org/officeDocument/2006/relationships/image" Target="media/image103.png"/><Relationship Id="rId234" Type="http://schemas.openxmlformats.org/officeDocument/2006/relationships/hyperlink" Target="http://www.regional.org.au/au/asssi/supersoil2004%20(27"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mpi.govt.nz/protection-and-response/environment-and-natural-resources/biological-emissions-reference-group/" TargetMode="External"/><Relationship Id="rId2" Type="http://schemas.openxmlformats.org/officeDocument/2006/relationships/hyperlink" Target="https://d.docs.live.net/d82e1fd947f4c33e/Documents/Work/Environment%20-%20Ministry%20for/FORMATTING/Greenhouse%20gas%20inventories/Greenhouse%20gas%20inventory%202020/Files%20for%20formatting/Originals/www.mpi.govt.nz/dmsdocument/32863/direct" TargetMode="External"/><Relationship Id="rId1" Type="http://schemas.openxmlformats.org/officeDocument/2006/relationships/hyperlink" Target="http://www.mfe.govt.nz/sites/default/files/media/Climate%20Change/%20New%20Zealand%27s%20Initial%20Report%20July%202016.pdf" TargetMode="External"/><Relationship Id="rId5" Type="http://schemas.openxmlformats.org/officeDocument/2006/relationships/hyperlink" Target="https://www.tokelau.org.nz/Bulletin/December+2017/Solid+Waste+Management+MOU+Signed+between+Tokelau+EDNRE+and+Pacific++Recycle+Co.+Ltd.html" TargetMode="External"/><Relationship Id="rId4" Type="http://schemas.openxmlformats.org/officeDocument/2006/relationships/hyperlink" Target="https://unfccc.int/documents/1957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5E1A56-A396-4ED5-AC4F-6F1A401BE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2760</TotalTime>
  <Pages>510</Pages>
  <Words>199891</Words>
  <Characters>1145951</Characters>
  <Application>Microsoft Office Word</Application>
  <DocSecurity>0</DocSecurity>
  <Lines>9549</Lines>
  <Paragraphs>2686</Paragraphs>
  <ScaleCrop>false</ScaleCrop>
  <HeadingPairs>
    <vt:vector size="2" baseType="variant">
      <vt:variant>
        <vt:lpstr>Title</vt:lpstr>
      </vt:variant>
      <vt:variant>
        <vt:i4>1</vt:i4>
      </vt:variant>
    </vt:vector>
  </HeadingPairs>
  <TitlesOfParts>
    <vt:vector size="1" baseType="lpstr">
      <vt:lpstr>Table</vt:lpstr>
    </vt:vector>
  </TitlesOfParts>
  <Company> </Company>
  <LinksUpToDate>false</LinksUpToDate>
  <CharactersWithSpaces>1343156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dc:title>
  <dc:subject>Source:</dc:subject>
  <dc:creator>Jenny</dc:creator>
  <cp:keywords/>
  <dc:description/>
  <cp:lastModifiedBy>Dee Warring</cp:lastModifiedBy>
  <cp:revision>632</cp:revision>
  <cp:lastPrinted>2006-12-07T05:00:00Z</cp:lastPrinted>
  <dcterms:created xsi:type="dcterms:W3CDTF">2020-03-24T01:24:00Z</dcterms:created>
  <dcterms:modified xsi:type="dcterms:W3CDTF">2020-04-08T22:10:00Z</dcterms:modified>
</cp:coreProperties>
</file>